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4489E" w14:textId="06BFBB54" w:rsidR="00310D6B" w:rsidRDefault="00E91357" w:rsidP="00080FC6">
      <w:r>
        <w:rPr>
          <w:noProof/>
        </w:rPr>
        <mc:AlternateContent>
          <mc:Choice Requires="wps">
            <w:drawing>
              <wp:anchor distT="0" distB="0" distL="114300" distR="114300" simplePos="0" relativeHeight="251658240" behindDoc="0" locked="0" layoutInCell="1" allowOverlap="1" wp14:anchorId="1AAE6808" wp14:editId="2FD9C4B6">
                <wp:simplePos x="0" y="0"/>
                <wp:positionH relativeFrom="column">
                  <wp:posOffset>4511040</wp:posOffset>
                </wp:positionH>
                <wp:positionV relativeFrom="paragraph">
                  <wp:posOffset>281940</wp:posOffset>
                </wp:positionV>
                <wp:extent cx="2143125" cy="1207770"/>
                <wp:effectExtent l="0" t="0" r="381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207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9BCAB" w14:textId="6D36392A" w:rsidR="000F483A" w:rsidRPr="008B0978" w:rsidRDefault="000F483A" w:rsidP="008C66A0">
                            <w:pPr>
                              <w:pStyle w:val="NoSpacing"/>
                              <w:rPr>
                                <w:b/>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AAE6808" id="_x0000_t202" coordsize="21600,21600" o:spt="202" path="m,l,21600r21600,l21600,xe">
                <v:stroke joinstyle="miter"/>
                <v:path gradientshapeok="t" o:connecttype="rect"/>
              </v:shapetype>
              <v:shape id="Text Box 2" o:spid="_x0000_s1026" type="#_x0000_t202" style="position:absolute;margin-left:355.2pt;margin-top:22.2pt;width:168.75pt;height:95.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" stroked="f">
                <v:textbox style="mso-fit-shape-to-text:t">
                  <w:txbxContent>
                    <w:p w14:paraId="10F9BCAB" w14:textId="6D36392A" w:rsidR="000F483A" w:rsidRPr="008B0978" w:rsidRDefault="000F483A" w:rsidP="008C66A0">
                      <w:pPr>
                        <w:pStyle w:val="NoSpacing"/>
                        <w:rPr>
                          <w:b/>
                          <w:sz w:val="18"/>
                          <w:szCs w:val="18"/>
                        </w:rPr>
                      </w:pPr>
                    </w:p>
                  </w:txbxContent>
                </v:textbox>
              </v:shape>
            </w:pict>
          </mc:Fallback>
        </mc:AlternateContent>
      </w:r>
      <w:bookmarkStart w:id="0" w:name="_Hlk503776811"/>
    </w:p>
    <w:p w14:paraId="6D5C5379" w14:textId="45943B3B" w:rsidR="00E97D63" w:rsidRDefault="005105E7" w:rsidP="000318C6">
      <w:pPr>
        <w:jc w:val="center"/>
        <w:rPr>
          <w:rFonts w:ascii="Times New Roman" w:hAnsi="Times New Roman"/>
          <w:sz w:val="24"/>
          <w:szCs w:val="24"/>
        </w:rPr>
      </w:pPr>
      <w:r>
        <w:rPr>
          <w:rFonts w:ascii="Times New Roman" w:hAnsi="Times New Roman"/>
          <w:sz w:val="24"/>
          <w:szCs w:val="24"/>
        </w:rPr>
        <w:t>6/2</w:t>
      </w:r>
      <w:r w:rsidR="005D4218">
        <w:rPr>
          <w:rFonts w:ascii="Times New Roman" w:hAnsi="Times New Roman"/>
          <w:sz w:val="24"/>
          <w:szCs w:val="24"/>
        </w:rPr>
        <w:t>9</w:t>
      </w:r>
      <w:r w:rsidR="00BB145E">
        <w:rPr>
          <w:rFonts w:ascii="Times New Roman" w:hAnsi="Times New Roman"/>
          <w:sz w:val="24"/>
          <w:szCs w:val="24"/>
        </w:rPr>
        <w:t>/</w:t>
      </w:r>
      <w:r w:rsidR="00310992">
        <w:rPr>
          <w:rFonts w:ascii="Times New Roman" w:hAnsi="Times New Roman"/>
          <w:sz w:val="24"/>
          <w:szCs w:val="24"/>
        </w:rPr>
        <w:t xml:space="preserve">2026 </w:t>
      </w:r>
      <w:r w:rsidR="00C0703E">
        <w:rPr>
          <w:rFonts w:ascii="Times New Roman" w:hAnsi="Times New Roman"/>
          <w:sz w:val="24"/>
          <w:szCs w:val="24"/>
        </w:rPr>
        <w:t xml:space="preserve"> </w:t>
      </w:r>
      <w:r w:rsidR="00812C71">
        <w:rPr>
          <w:rFonts w:ascii="Times New Roman" w:hAnsi="Times New Roman"/>
          <w:sz w:val="24"/>
          <w:szCs w:val="24"/>
        </w:rPr>
        <w:t xml:space="preserve">  </w:t>
      </w:r>
    </w:p>
    <w:p w14:paraId="01728056" w14:textId="78168CA1" w:rsidR="000318C6" w:rsidRDefault="000318C6" w:rsidP="000318C6">
      <w:pPr>
        <w:jc w:val="center"/>
        <w:rPr>
          <w:rFonts w:ascii="Arial Black" w:hAnsi="Arial Black"/>
          <w:sz w:val="40"/>
          <w:szCs w:val="40"/>
        </w:rPr>
      </w:pPr>
      <w:r>
        <w:rPr>
          <w:rFonts w:ascii="Arial Black" w:hAnsi="Arial Black"/>
          <w:sz w:val="40"/>
          <w:szCs w:val="40"/>
        </w:rPr>
        <w:t>FIRE</w:t>
      </w:r>
      <w:r w:rsidR="00D507CB">
        <w:rPr>
          <w:rFonts w:ascii="Arial Black" w:hAnsi="Arial Black"/>
          <w:sz w:val="40"/>
          <w:szCs w:val="40"/>
        </w:rPr>
        <w:t xml:space="preserve"> &amp; E</w:t>
      </w:r>
      <w:r>
        <w:rPr>
          <w:rFonts w:ascii="Arial Black" w:hAnsi="Arial Black"/>
          <w:sz w:val="40"/>
          <w:szCs w:val="40"/>
        </w:rPr>
        <w:t>MS</w:t>
      </w:r>
      <w:r w:rsidR="00877589">
        <w:rPr>
          <w:rFonts w:ascii="Arial Black" w:hAnsi="Arial Black"/>
          <w:sz w:val="40"/>
          <w:szCs w:val="40"/>
        </w:rPr>
        <w:t xml:space="preserve"> </w:t>
      </w:r>
      <w:r>
        <w:rPr>
          <w:rFonts w:ascii="Arial Black" w:hAnsi="Arial Black"/>
          <w:sz w:val="40"/>
          <w:szCs w:val="40"/>
        </w:rPr>
        <w:t>LAW –</w:t>
      </w:r>
      <w:r w:rsidR="008C6EC1">
        <w:rPr>
          <w:rFonts w:ascii="Arial Black" w:hAnsi="Arial Black"/>
          <w:sz w:val="40"/>
          <w:szCs w:val="40"/>
        </w:rPr>
        <w:t xml:space="preserve"> LIBRARY </w:t>
      </w:r>
      <w:r>
        <w:rPr>
          <w:rFonts w:ascii="Arial Black" w:hAnsi="Arial Black"/>
          <w:sz w:val="40"/>
          <w:szCs w:val="40"/>
        </w:rPr>
        <w:t>RECENT CASE SUMMARIES</w:t>
      </w:r>
    </w:p>
    <w:p w14:paraId="32C2A09A" w14:textId="3126B8CC" w:rsidR="00B90800" w:rsidRPr="00B90800" w:rsidRDefault="00B90800" w:rsidP="000318C6">
      <w:pPr>
        <w:jc w:val="center"/>
        <w:rPr>
          <w:rFonts w:ascii="Arial Black" w:hAnsi="Arial Black"/>
          <w:color w:val="EE0000"/>
          <w:sz w:val="28"/>
          <w:szCs w:val="28"/>
        </w:rPr>
      </w:pPr>
      <w:r w:rsidRPr="00B90800">
        <w:rPr>
          <w:rFonts w:ascii="Arial Black" w:hAnsi="Arial Black"/>
          <w:color w:val="EE0000"/>
          <w:sz w:val="28"/>
          <w:szCs w:val="28"/>
        </w:rPr>
        <w:t>1,6</w:t>
      </w:r>
      <w:r w:rsidR="00B82AF0">
        <w:rPr>
          <w:rFonts w:ascii="Arial Black" w:hAnsi="Arial Black"/>
          <w:color w:val="EE0000"/>
          <w:sz w:val="28"/>
          <w:szCs w:val="28"/>
        </w:rPr>
        <w:t>84</w:t>
      </w:r>
      <w:r w:rsidRPr="00B90800">
        <w:rPr>
          <w:rFonts w:ascii="Arial Black" w:hAnsi="Arial Black"/>
          <w:color w:val="EE0000"/>
          <w:sz w:val="28"/>
          <w:szCs w:val="28"/>
        </w:rPr>
        <w:t xml:space="preserve"> CASES</w:t>
      </w:r>
      <w:r w:rsidR="00C134B7">
        <w:rPr>
          <w:rFonts w:ascii="Arial Black" w:hAnsi="Arial Black"/>
          <w:color w:val="EE0000"/>
          <w:sz w:val="28"/>
          <w:szCs w:val="28"/>
        </w:rPr>
        <w:t xml:space="preserve"> (2018 – Present)</w:t>
      </w:r>
    </w:p>
    <w:p w14:paraId="711A9CD4" w14:textId="77777777" w:rsidR="003209F9" w:rsidRDefault="001C1C3A" w:rsidP="001C1C3A">
      <w:pPr>
        <w:pStyle w:val="NoSpacing"/>
        <w:ind w:left="1440" w:firstLine="720"/>
      </w:pPr>
      <w:r w:rsidRPr="00D72CFF">
        <w:rPr>
          <w:rFonts w:ascii="Times New Roman" w:hAnsi="Times New Roman"/>
          <w:bCs/>
          <w:sz w:val="20"/>
          <w:szCs w:val="20"/>
        </w:rPr>
        <w:t xml:space="preserve">Posted online, UC Libraries, </w:t>
      </w:r>
      <w:proofErr w:type="spellStart"/>
      <w:r w:rsidRPr="00D72CFF">
        <w:rPr>
          <w:rFonts w:ascii="Times New Roman" w:hAnsi="Times New Roman"/>
          <w:bCs/>
          <w:sz w:val="20"/>
          <w:szCs w:val="20"/>
        </w:rPr>
        <w:t>Scholar@UC</w:t>
      </w:r>
      <w:proofErr w:type="spellEnd"/>
      <w:r w:rsidRPr="00D72CFF">
        <w:rPr>
          <w:rFonts w:ascii="Times New Roman" w:hAnsi="Times New Roman"/>
          <w:bCs/>
          <w:sz w:val="20"/>
          <w:szCs w:val="20"/>
        </w:rPr>
        <w:t>:</w:t>
      </w:r>
      <w:r>
        <w:rPr>
          <w:rFonts w:ascii="Times New Roman" w:hAnsi="Times New Roman"/>
          <w:bCs/>
          <w:sz w:val="20"/>
          <w:szCs w:val="20"/>
        </w:rPr>
        <w:t xml:space="preserve"> </w:t>
      </w:r>
      <w:hyperlink r:id="rId8" w:history="1">
        <w:r w:rsidRPr="00EE6CD3">
          <w:rPr>
            <w:rStyle w:val="Hyperlink"/>
            <w:sz w:val="20"/>
            <w:szCs w:val="20"/>
          </w:rPr>
          <w:t>https://doi.org/10.7945/j6c2-q930</w:t>
        </w:r>
      </w:hyperlink>
    </w:p>
    <w:p w14:paraId="51B8C5CE" w14:textId="77777777" w:rsidR="00C134B7" w:rsidRDefault="00C134B7" w:rsidP="00336514">
      <w:pPr>
        <w:pStyle w:val="NoSpacing"/>
        <w:ind w:left="2880"/>
        <w:rPr>
          <w:rFonts w:ascii="Arial Black" w:hAnsi="Arial Black"/>
          <w:sz w:val="28"/>
          <w:szCs w:val="28"/>
        </w:rPr>
      </w:pPr>
    </w:p>
    <w:p w14:paraId="7DDE9128" w14:textId="3797B2F2" w:rsidR="00336514" w:rsidRDefault="00336514" w:rsidP="00336514">
      <w:pPr>
        <w:pStyle w:val="NoSpacing"/>
        <w:ind w:left="2880"/>
        <w:rPr>
          <w:rFonts w:ascii="Arial Black" w:hAnsi="Arial Black"/>
          <w:sz w:val="28"/>
          <w:szCs w:val="28"/>
        </w:rPr>
      </w:pPr>
      <w:r w:rsidRPr="006216EF">
        <w:rPr>
          <w:rFonts w:ascii="Arial Black" w:hAnsi="Arial Black"/>
          <w:sz w:val="28"/>
          <w:szCs w:val="28"/>
        </w:rPr>
        <w:t>NOT PROVIDING LEGAL ADVICE.</w:t>
      </w:r>
    </w:p>
    <w:p w14:paraId="59FC0D6D" w14:textId="77777777" w:rsidR="001C1C3A" w:rsidRDefault="001C1C3A" w:rsidP="00336514">
      <w:pPr>
        <w:pStyle w:val="NoSpacing"/>
        <w:ind w:left="2880"/>
        <w:rPr>
          <w:rFonts w:ascii="Arial Black" w:hAnsi="Arial Black"/>
          <w:sz w:val="28"/>
          <w:szCs w:val="28"/>
        </w:rPr>
      </w:pPr>
    </w:p>
    <w:p w14:paraId="7F7A5763" w14:textId="77777777" w:rsidR="00DA1200" w:rsidRDefault="00DA1200" w:rsidP="00DA1200">
      <w:pPr>
        <w:pStyle w:val="p0"/>
        <w:ind w:left="1440"/>
        <w:rPr>
          <w:b/>
          <w:bCs/>
          <w:sz w:val="16"/>
          <w:szCs w:val="16"/>
        </w:rPr>
      </w:pPr>
      <w:r w:rsidRPr="00492302">
        <w:rPr>
          <w:bCs/>
          <w:noProof/>
        </w:rPr>
        <w:drawing>
          <wp:inline distT="0" distB="0" distL="0" distR="0" wp14:anchorId="13777092" wp14:editId="68265166">
            <wp:extent cx="2171700" cy="1630680"/>
            <wp:effectExtent l="0" t="0" r="0" b="0"/>
            <wp:docPr id="1122263655" name="Picture 4" descr="A person holding a fire truck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holding a fire truck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inline>
        </w:drawing>
      </w:r>
      <w:r>
        <w:rPr>
          <w:b/>
          <w:bCs/>
        </w:rPr>
        <w:t xml:space="preserve">      </w:t>
      </w:r>
      <w:r w:rsidRPr="00492302">
        <w:rPr>
          <w:bCs/>
          <w:noProof/>
        </w:rPr>
        <w:drawing>
          <wp:inline distT="0" distB="0" distL="0" distR="0" wp14:anchorId="210DB762" wp14:editId="2640F1B6">
            <wp:extent cx="1554480" cy="1630680"/>
            <wp:effectExtent l="0" t="0" r="0" b="0"/>
            <wp:docPr id="618278438" name="Picture 1" descr="A person holding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holding a do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630680"/>
                    </a:xfrm>
                    <a:prstGeom prst="rect">
                      <a:avLst/>
                    </a:prstGeom>
                    <a:noFill/>
                    <a:ln>
                      <a:noFill/>
                    </a:ln>
                  </pic:spPr>
                </pic:pic>
              </a:graphicData>
            </a:graphic>
          </wp:inline>
        </w:drawing>
      </w:r>
      <w:r w:rsidRPr="004D7B96">
        <w:rPr>
          <w:b/>
          <w:bCs/>
          <w:sz w:val="16"/>
          <w:szCs w:val="16"/>
        </w:rPr>
        <w:t>Pet Therapy dog FRYE</w:t>
      </w:r>
    </w:p>
    <w:p w14:paraId="205294EC" w14:textId="77777777" w:rsidR="008E3395" w:rsidRPr="008E3395" w:rsidRDefault="008E3395" w:rsidP="008E3395"/>
    <w:p w14:paraId="5D3C60EC" w14:textId="50D8080A" w:rsidR="00327B64" w:rsidRDefault="006C14C0" w:rsidP="008E3395">
      <w:pPr>
        <w:ind w:left="2160" w:firstLine="720"/>
        <w:rPr>
          <w:rStyle w:val="Strong"/>
          <w:b w:val="0"/>
        </w:rPr>
      </w:pPr>
      <w:r>
        <w:rPr>
          <w:noProof/>
        </w:rPr>
        <w:drawing>
          <wp:inline distT="0" distB="0" distL="0" distR="0" wp14:anchorId="671DD1C9" wp14:editId="59B0B555">
            <wp:extent cx="1623060" cy="2163211"/>
            <wp:effectExtent l="0" t="0" r="0" b="8890"/>
            <wp:docPr id="1143274283" name="Picture 1" descr="Fire Service Law:  by Lawrence T.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Service Law:  by Lawrence T. Bennet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340" cy="2207566"/>
                    </a:xfrm>
                    <a:prstGeom prst="rect">
                      <a:avLst/>
                    </a:prstGeom>
                    <a:noFill/>
                    <a:ln>
                      <a:noFill/>
                    </a:ln>
                  </pic:spPr>
                </pic:pic>
              </a:graphicData>
            </a:graphic>
          </wp:inline>
        </w:drawing>
      </w:r>
      <w:r w:rsidR="00327B64" w:rsidRPr="00E87FC9">
        <w:rPr>
          <w:noProof/>
        </w:rPr>
        <w:drawing>
          <wp:inline distT="0" distB="0" distL="0" distR="0" wp14:anchorId="0AB9545B" wp14:editId="02E5F00B">
            <wp:extent cx="2179320" cy="2144864"/>
            <wp:effectExtent l="0" t="0" r="0" b="0"/>
            <wp:docPr id="1757636339" name="Picture 12" descr="A firefighter wearing a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36339" name="Picture 12" descr="A firefighter wearing a mask&#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935" cy="2152359"/>
                    </a:xfrm>
                    <a:prstGeom prst="rect">
                      <a:avLst/>
                    </a:prstGeom>
                    <a:noFill/>
                    <a:ln>
                      <a:noFill/>
                    </a:ln>
                  </pic:spPr>
                </pic:pic>
              </a:graphicData>
            </a:graphic>
          </wp:inline>
        </w:drawing>
      </w:r>
    </w:p>
    <w:p w14:paraId="685461D8" w14:textId="78880B6F" w:rsidR="001C1C3A" w:rsidRPr="001C1C3A" w:rsidRDefault="001C1C3A" w:rsidP="008D7007">
      <w:pPr>
        <w:pStyle w:val="NoSpacing"/>
      </w:pPr>
      <w:r w:rsidRPr="00E7637D">
        <w:t>Updating 18 chapters of my textbook</w:t>
      </w:r>
      <w:r w:rsidR="00C134B7">
        <w:t xml:space="preserve">: </w:t>
      </w:r>
      <w:r w:rsidRPr="00E7637D">
        <w:t>Fire Service Law (2017)</w:t>
      </w:r>
      <w:r w:rsidR="00D4353F">
        <w:t>:</w:t>
      </w:r>
      <w:hyperlink r:id="rId13" w:history="1">
        <w:r w:rsidRPr="00E7637D">
          <w:rPr>
            <w:rStyle w:val="Hyperlink"/>
            <w:rFonts w:ascii="Times New Roman" w:hAnsi="Times New Roman"/>
            <w:bCs/>
            <w:szCs w:val="20"/>
          </w:rPr>
          <w:t>http://www.waveland.com/browse.php?t=708</w:t>
        </w:r>
      </w:hyperlink>
    </w:p>
    <w:p w14:paraId="38451120" w14:textId="77777777" w:rsidR="001C1C3A" w:rsidRDefault="001C1C3A" w:rsidP="004E6CA7">
      <w:pPr>
        <w:pStyle w:val="NoSpacing"/>
        <w:jc w:val="center"/>
        <w:rPr>
          <w:rFonts w:ascii="Times New Roman" w:hAnsi="Times New Roman"/>
          <w:sz w:val="24"/>
          <w:szCs w:val="24"/>
        </w:rPr>
      </w:pPr>
    </w:p>
    <w:p w14:paraId="353FA1A8" w14:textId="3B153954" w:rsidR="004E6CA7" w:rsidRDefault="004E6CA7" w:rsidP="004E6CA7">
      <w:pPr>
        <w:pStyle w:val="NoSpacing"/>
        <w:jc w:val="center"/>
        <w:rPr>
          <w:rFonts w:ascii="Times New Roman" w:hAnsi="Times New Roman"/>
          <w:sz w:val="24"/>
          <w:szCs w:val="24"/>
        </w:rPr>
      </w:pPr>
      <w:r w:rsidRPr="00403244">
        <w:rPr>
          <w:rFonts w:ascii="Times New Roman" w:hAnsi="Times New Roman"/>
          <w:sz w:val="24"/>
          <w:szCs w:val="24"/>
        </w:rPr>
        <w:t>Lawrence T. Bennett, Esq.</w:t>
      </w:r>
    </w:p>
    <w:p w14:paraId="65297302" w14:textId="77777777" w:rsidR="004E6CA7" w:rsidRPr="00403244" w:rsidRDefault="004E6CA7" w:rsidP="004E6CA7">
      <w:pPr>
        <w:pStyle w:val="NoSpacing"/>
        <w:jc w:val="center"/>
        <w:rPr>
          <w:rFonts w:ascii="Times New Roman" w:hAnsi="Times New Roman"/>
          <w:sz w:val="24"/>
          <w:szCs w:val="24"/>
        </w:rPr>
      </w:pPr>
      <w:r>
        <w:rPr>
          <w:rFonts w:ascii="Times New Roman" w:hAnsi="Times New Roman"/>
          <w:sz w:val="24"/>
          <w:szCs w:val="24"/>
        </w:rPr>
        <w:t>Professor – Educator Emeritus</w:t>
      </w:r>
    </w:p>
    <w:p w14:paraId="022E10C9" w14:textId="27CE8FC9" w:rsidR="004E6CA7" w:rsidRPr="00403244" w:rsidRDefault="00684B8D" w:rsidP="004E6CA7">
      <w:pPr>
        <w:pStyle w:val="NoSpacing"/>
        <w:jc w:val="center"/>
        <w:rPr>
          <w:rFonts w:ascii="Times New Roman" w:hAnsi="Times New Roman"/>
          <w:sz w:val="24"/>
          <w:szCs w:val="24"/>
        </w:rPr>
      </w:pPr>
      <w:r>
        <w:rPr>
          <w:rFonts w:ascii="Times New Roman" w:hAnsi="Times New Roman"/>
          <w:sz w:val="24"/>
          <w:szCs w:val="24"/>
        </w:rPr>
        <w:t xml:space="preserve">Former </w:t>
      </w:r>
      <w:r w:rsidR="004E6CA7" w:rsidRPr="00403244">
        <w:rPr>
          <w:rFonts w:ascii="Times New Roman" w:hAnsi="Times New Roman"/>
          <w:sz w:val="24"/>
          <w:szCs w:val="24"/>
        </w:rPr>
        <w:t>Program Chair</w:t>
      </w:r>
    </w:p>
    <w:p w14:paraId="3C46A891" w14:textId="77777777" w:rsidR="004E6CA7" w:rsidRPr="00403244" w:rsidRDefault="004E6CA7" w:rsidP="004E6CA7">
      <w:pPr>
        <w:pStyle w:val="NoSpacing"/>
        <w:jc w:val="center"/>
        <w:rPr>
          <w:rFonts w:ascii="Times New Roman" w:hAnsi="Times New Roman"/>
          <w:sz w:val="24"/>
          <w:szCs w:val="24"/>
        </w:rPr>
      </w:pPr>
      <w:r w:rsidRPr="00403244">
        <w:rPr>
          <w:rFonts w:ascii="Times New Roman" w:hAnsi="Times New Roman"/>
          <w:sz w:val="24"/>
          <w:szCs w:val="24"/>
        </w:rPr>
        <w:t>Fire Science &amp; Emergency Management</w:t>
      </w:r>
    </w:p>
    <w:p w14:paraId="7DBD8955" w14:textId="77777777" w:rsidR="004E6CA7" w:rsidRPr="00403244" w:rsidRDefault="004E6CA7" w:rsidP="004E6CA7">
      <w:pPr>
        <w:pStyle w:val="NoSpacing"/>
        <w:jc w:val="center"/>
        <w:rPr>
          <w:rFonts w:ascii="Times New Roman" w:hAnsi="Times New Roman"/>
          <w:sz w:val="24"/>
          <w:szCs w:val="24"/>
        </w:rPr>
      </w:pPr>
      <w:r w:rsidRPr="00403244">
        <w:rPr>
          <w:rFonts w:ascii="Times New Roman" w:hAnsi="Times New Roman"/>
          <w:sz w:val="24"/>
          <w:szCs w:val="24"/>
        </w:rPr>
        <w:t>Cell 513-470-2744</w:t>
      </w:r>
    </w:p>
    <w:p w14:paraId="6B4A7DBC" w14:textId="77777777" w:rsidR="004E6CA7" w:rsidRDefault="004E6CA7" w:rsidP="004E6CA7">
      <w:pPr>
        <w:pStyle w:val="NoSpacing"/>
        <w:jc w:val="center"/>
      </w:pPr>
      <w:hyperlink r:id="rId14" w:history="1">
        <w:r w:rsidRPr="00403244">
          <w:rPr>
            <w:rStyle w:val="Hyperlink"/>
            <w:rFonts w:ascii="Times New Roman" w:hAnsi="Times New Roman"/>
            <w:sz w:val="24"/>
            <w:szCs w:val="24"/>
          </w:rPr>
          <w:t>Lawrence.bennett@uc.edu</w:t>
        </w:r>
      </w:hyperlink>
    </w:p>
    <w:p w14:paraId="5D83A70E" w14:textId="77777777" w:rsidR="00B921CF" w:rsidRDefault="00B921CF" w:rsidP="004E6CA7">
      <w:pPr>
        <w:pStyle w:val="NoSpacing"/>
        <w:jc w:val="center"/>
      </w:pPr>
    </w:p>
    <w:p w14:paraId="630A6671" w14:textId="2368BEF8" w:rsidR="00F326E5" w:rsidRPr="00105EF2"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1</w:t>
      </w:r>
      <w:r w:rsidR="00F22A0D">
        <w:rPr>
          <w:rFonts w:ascii="Times New Roman" w:hAnsi="Times New Roman"/>
          <w:b/>
          <w:sz w:val="24"/>
          <w:szCs w:val="24"/>
        </w:rPr>
        <w:tab/>
      </w:r>
      <w:r w:rsidRPr="00F22A0D">
        <w:rPr>
          <w:rFonts w:ascii="Times New Roman" w:hAnsi="Times New Roman"/>
          <w:b/>
          <w:sz w:val="24"/>
          <w:szCs w:val="24"/>
        </w:rPr>
        <w:t>American Legal System</w:t>
      </w:r>
      <w:r w:rsidR="003F660F" w:rsidRPr="00F22A0D">
        <w:rPr>
          <w:rFonts w:ascii="Times New Roman" w:hAnsi="Times New Roman"/>
          <w:b/>
          <w:sz w:val="24"/>
          <w:szCs w:val="24"/>
        </w:rPr>
        <w:t xml:space="preserve">, incl. Fire Code, Fire Invest. </w:t>
      </w:r>
      <w:r w:rsidR="00636395" w:rsidRPr="00F22A0D">
        <w:rPr>
          <w:rFonts w:ascii="Times New Roman" w:hAnsi="Times New Roman"/>
          <w:b/>
          <w:sz w:val="24"/>
          <w:szCs w:val="24"/>
        </w:rPr>
        <w:t xml:space="preserve"> </w:t>
      </w:r>
      <w:r w:rsidRPr="00F22A0D">
        <w:rPr>
          <w:rFonts w:ascii="Times New Roman" w:hAnsi="Times New Roman"/>
          <w:b/>
          <w:sz w:val="24"/>
          <w:szCs w:val="24"/>
        </w:rPr>
        <w:t xml:space="preserve">   </w:t>
      </w:r>
      <w:r w:rsidR="00105EF2">
        <w:rPr>
          <w:rFonts w:ascii="Times New Roman" w:hAnsi="Times New Roman"/>
          <w:b/>
          <w:sz w:val="24"/>
          <w:szCs w:val="24"/>
        </w:rPr>
        <w:t xml:space="preserve"> </w:t>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t xml:space="preserve"> </w:t>
      </w:r>
      <w:r w:rsidR="00105EF2" w:rsidRPr="00105EF2">
        <w:rPr>
          <w:rFonts w:ascii="Times New Roman" w:hAnsi="Times New Roman"/>
          <w:b/>
          <w:color w:val="EE0000"/>
          <w:sz w:val="24"/>
          <w:szCs w:val="24"/>
        </w:rPr>
        <w:t>2</w:t>
      </w:r>
      <w:r w:rsidR="0054339C">
        <w:rPr>
          <w:rFonts w:ascii="Times New Roman" w:hAnsi="Times New Roman"/>
          <w:b/>
          <w:color w:val="EE0000"/>
          <w:sz w:val="24"/>
          <w:szCs w:val="24"/>
        </w:rPr>
        <w:t>13</w:t>
      </w:r>
      <w:r w:rsidR="00105EF2" w:rsidRPr="00105EF2">
        <w:rPr>
          <w:rFonts w:ascii="Times New Roman" w:hAnsi="Times New Roman"/>
          <w:b/>
          <w:color w:val="EE0000"/>
          <w:sz w:val="24"/>
          <w:szCs w:val="24"/>
        </w:rPr>
        <w:t xml:space="preserve"> cases</w:t>
      </w:r>
    </w:p>
    <w:p w14:paraId="2108EABF" w14:textId="61D0315D"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lastRenderedPageBreak/>
        <w:t>Chap. 2</w:t>
      </w:r>
      <w:r w:rsidRPr="00F22A0D">
        <w:rPr>
          <w:rFonts w:ascii="Times New Roman" w:hAnsi="Times New Roman"/>
          <w:b/>
          <w:sz w:val="24"/>
          <w:szCs w:val="24"/>
        </w:rPr>
        <w:tab/>
        <w:t xml:space="preserve">Line </w:t>
      </w:r>
      <w:proofErr w:type="gramStart"/>
      <w:r w:rsidRPr="00F22A0D">
        <w:rPr>
          <w:rFonts w:ascii="Times New Roman" w:hAnsi="Times New Roman"/>
          <w:b/>
          <w:sz w:val="24"/>
          <w:szCs w:val="24"/>
        </w:rPr>
        <w:t>Of</w:t>
      </w:r>
      <w:proofErr w:type="gramEnd"/>
      <w:r w:rsidRPr="00F22A0D">
        <w:rPr>
          <w:rFonts w:ascii="Times New Roman" w:hAnsi="Times New Roman"/>
          <w:b/>
          <w:sz w:val="24"/>
          <w:szCs w:val="24"/>
        </w:rPr>
        <w:t xml:space="preserve"> Duty Death</w:t>
      </w:r>
      <w:r w:rsidR="00636395" w:rsidRPr="00F22A0D">
        <w:rPr>
          <w:rFonts w:ascii="Times New Roman" w:hAnsi="Times New Roman"/>
          <w:b/>
          <w:sz w:val="24"/>
          <w:szCs w:val="24"/>
        </w:rPr>
        <w:t xml:space="preserve"> / </w:t>
      </w:r>
      <w:r w:rsidRPr="00F22A0D">
        <w:rPr>
          <w:rFonts w:ascii="Times New Roman" w:hAnsi="Times New Roman"/>
          <w:b/>
          <w:sz w:val="24"/>
          <w:szCs w:val="24"/>
        </w:rPr>
        <w:t>Safety</w:t>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r>
      <w:r w:rsidR="00105EF2">
        <w:rPr>
          <w:rFonts w:ascii="Times New Roman" w:hAnsi="Times New Roman"/>
          <w:b/>
          <w:sz w:val="24"/>
          <w:szCs w:val="24"/>
        </w:rPr>
        <w:tab/>
      </w:r>
      <w:r w:rsidR="00597923" w:rsidRPr="00597923">
        <w:rPr>
          <w:rFonts w:ascii="Times New Roman" w:hAnsi="Times New Roman"/>
          <w:b/>
          <w:color w:val="EE0000"/>
          <w:sz w:val="24"/>
          <w:szCs w:val="24"/>
        </w:rPr>
        <w:t>1</w:t>
      </w:r>
      <w:r w:rsidR="00CA73AA">
        <w:rPr>
          <w:rFonts w:ascii="Times New Roman" w:hAnsi="Times New Roman"/>
          <w:b/>
          <w:color w:val="EE0000"/>
          <w:sz w:val="24"/>
          <w:szCs w:val="24"/>
        </w:rPr>
        <w:t>1</w:t>
      </w:r>
      <w:r w:rsidR="0054339C">
        <w:rPr>
          <w:rFonts w:ascii="Times New Roman" w:hAnsi="Times New Roman"/>
          <w:b/>
          <w:color w:val="EE0000"/>
          <w:sz w:val="24"/>
          <w:szCs w:val="24"/>
        </w:rPr>
        <w:t>3</w:t>
      </w:r>
      <w:r w:rsidR="00597923" w:rsidRPr="00597923">
        <w:rPr>
          <w:rFonts w:ascii="Times New Roman" w:hAnsi="Times New Roman"/>
          <w:b/>
          <w:color w:val="EE0000"/>
          <w:sz w:val="24"/>
          <w:szCs w:val="24"/>
        </w:rPr>
        <w:t xml:space="preserve"> cases</w:t>
      </w:r>
      <w:r w:rsidR="00105EF2">
        <w:rPr>
          <w:rFonts w:ascii="Times New Roman" w:hAnsi="Times New Roman"/>
          <w:b/>
          <w:sz w:val="24"/>
          <w:szCs w:val="24"/>
        </w:rPr>
        <w:tab/>
      </w:r>
      <w:r w:rsidR="00105EF2">
        <w:rPr>
          <w:rFonts w:ascii="Times New Roman" w:hAnsi="Times New Roman"/>
          <w:b/>
          <w:sz w:val="24"/>
          <w:szCs w:val="24"/>
        </w:rPr>
        <w:tab/>
      </w:r>
    </w:p>
    <w:p w14:paraId="6E22783A" w14:textId="5C89F414" w:rsidR="00F326E5" w:rsidRPr="00597923"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3</w:t>
      </w:r>
      <w:r w:rsidRPr="00F22A0D">
        <w:rPr>
          <w:rFonts w:ascii="Times New Roman" w:hAnsi="Times New Roman"/>
          <w:b/>
          <w:sz w:val="24"/>
          <w:szCs w:val="24"/>
        </w:rPr>
        <w:tab/>
        <w:t>Homeland Security</w:t>
      </w:r>
      <w:r w:rsidR="003F660F" w:rsidRPr="00F22A0D">
        <w:rPr>
          <w:rFonts w:ascii="Times New Roman" w:hAnsi="Times New Roman"/>
          <w:b/>
          <w:sz w:val="24"/>
          <w:szCs w:val="24"/>
        </w:rPr>
        <w:t>, incl.</w:t>
      </w:r>
      <w:r w:rsidR="00636395" w:rsidRPr="00F22A0D">
        <w:rPr>
          <w:rFonts w:ascii="Times New Roman" w:hAnsi="Times New Roman"/>
          <w:b/>
          <w:sz w:val="24"/>
          <w:szCs w:val="24"/>
        </w:rPr>
        <w:t xml:space="preserve"> </w:t>
      </w:r>
      <w:r w:rsidRPr="00F22A0D">
        <w:rPr>
          <w:rFonts w:ascii="Times New Roman" w:hAnsi="Times New Roman"/>
          <w:b/>
          <w:sz w:val="24"/>
          <w:szCs w:val="24"/>
        </w:rPr>
        <w:t>Active Shooter</w:t>
      </w:r>
      <w:r w:rsidR="003F660F" w:rsidRPr="00F22A0D">
        <w:rPr>
          <w:rFonts w:ascii="Times New Roman" w:hAnsi="Times New Roman"/>
          <w:b/>
          <w:sz w:val="24"/>
          <w:szCs w:val="24"/>
        </w:rPr>
        <w:t xml:space="preserve">, </w:t>
      </w:r>
      <w:r w:rsidR="00636395" w:rsidRPr="00F22A0D">
        <w:rPr>
          <w:rFonts w:ascii="Times New Roman" w:hAnsi="Times New Roman"/>
          <w:b/>
          <w:sz w:val="24"/>
          <w:szCs w:val="24"/>
        </w:rPr>
        <w:t>Cybersecurity</w:t>
      </w:r>
      <w:r w:rsidR="00B7693D">
        <w:rPr>
          <w:rFonts w:ascii="Times New Roman" w:hAnsi="Times New Roman"/>
          <w:b/>
          <w:sz w:val="24"/>
          <w:szCs w:val="24"/>
        </w:rPr>
        <w:tab/>
      </w:r>
      <w:r w:rsidR="00B7693D">
        <w:rPr>
          <w:rFonts w:ascii="Times New Roman" w:hAnsi="Times New Roman"/>
          <w:b/>
          <w:sz w:val="24"/>
          <w:szCs w:val="24"/>
        </w:rPr>
        <w:tab/>
      </w:r>
      <w:r w:rsidR="00597923">
        <w:rPr>
          <w:rFonts w:ascii="Times New Roman" w:hAnsi="Times New Roman"/>
          <w:b/>
          <w:sz w:val="24"/>
          <w:szCs w:val="24"/>
        </w:rPr>
        <w:tab/>
      </w:r>
      <w:r w:rsidR="00CA73AA">
        <w:rPr>
          <w:rFonts w:ascii="Times New Roman" w:hAnsi="Times New Roman"/>
          <w:b/>
          <w:color w:val="EE0000"/>
          <w:sz w:val="24"/>
          <w:szCs w:val="24"/>
        </w:rPr>
        <w:t>9</w:t>
      </w:r>
      <w:r w:rsidR="00E209BC">
        <w:rPr>
          <w:rFonts w:ascii="Times New Roman" w:hAnsi="Times New Roman"/>
          <w:b/>
          <w:color w:val="EE0000"/>
          <w:sz w:val="24"/>
          <w:szCs w:val="24"/>
        </w:rPr>
        <w:t>2</w:t>
      </w:r>
      <w:r w:rsidR="00597923" w:rsidRPr="00597923">
        <w:rPr>
          <w:rFonts w:ascii="Times New Roman" w:hAnsi="Times New Roman"/>
          <w:b/>
          <w:color w:val="EE0000"/>
          <w:sz w:val="24"/>
          <w:szCs w:val="24"/>
        </w:rPr>
        <w:t xml:space="preserve"> cases</w:t>
      </w:r>
    </w:p>
    <w:p w14:paraId="3B6B36EA" w14:textId="04E8DC73" w:rsidR="00F326E5" w:rsidRPr="0076241C"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4</w:t>
      </w:r>
      <w:r w:rsidRPr="00F22A0D">
        <w:rPr>
          <w:rFonts w:ascii="Times New Roman" w:hAnsi="Times New Roman"/>
          <w:b/>
          <w:sz w:val="24"/>
          <w:szCs w:val="24"/>
        </w:rPr>
        <w:tab/>
        <w:t>Incident Command</w:t>
      </w:r>
      <w:r w:rsidR="003F660F" w:rsidRPr="00F22A0D">
        <w:rPr>
          <w:rFonts w:ascii="Times New Roman" w:hAnsi="Times New Roman"/>
          <w:b/>
          <w:sz w:val="24"/>
          <w:szCs w:val="24"/>
        </w:rPr>
        <w:t xml:space="preserve">, incl </w:t>
      </w:r>
      <w:r w:rsidRPr="00F22A0D">
        <w:rPr>
          <w:rFonts w:ascii="Times New Roman" w:hAnsi="Times New Roman"/>
          <w:b/>
          <w:sz w:val="24"/>
          <w:szCs w:val="24"/>
        </w:rPr>
        <w:t>Training</w:t>
      </w:r>
      <w:r w:rsidR="003F660F" w:rsidRPr="00F22A0D">
        <w:rPr>
          <w:rFonts w:ascii="Times New Roman" w:hAnsi="Times New Roman"/>
          <w:b/>
          <w:sz w:val="24"/>
          <w:szCs w:val="24"/>
        </w:rPr>
        <w:t xml:space="preserve">, </w:t>
      </w:r>
      <w:r w:rsidRPr="00F22A0D">
        <w:rPr>
          <w:rFonts w:ascii="Times New Roman" w:hAnsi="Times New Roman"/>
          <w:b/>
          <w:sz w:val="24"/>
          <w:szCs w:val="24"/>
        </w:rPr>
        <w:t>Drones</w:t>
      </w:r>
      <w:r w:rsidR="00597923">
        <w:rPr>
          <w:rFonts w:ascii="Times New Roman" w:hAnsi="Times New Roman"/>
          <w:b/>
          <w:sz w:val="24"/>
          <w:szCs w:val="24"/>
        </w:rPr>
        <w:tab/>
      </w:r>
      <w:r w:rsidR="00597923">
        <w:rPr>
          <w:rFonts w:ascii="Times New Roman" w:hAnsi="Times New Roman"/>
          <w:b/>
          <w:sz w:val="24"/>
          <w:szCs w:val="24"/>
        </w:rPr>
        <w:tab/>
      </w:r>
      <w:r w:rsidR="00597923">
        <w:rPr>
          <w:rFonts w:ascii="Times New Roman" w:hAnsi="Times New Roman"/>
          <w:b/>
          <w:sz w:val="24"/>
          <w:szCs w:val="24"/>
        </w:rPr>
        <w:tab/>
      </w:r>
      <w:r w:rsidR="00597923">
        <w:rPr>
          <w:rFonts w:ascii="Times New Roman" w:hAnsi="Times New Roman"/>
          <w:b/>
          <w:sz w:val="24"/>
          <w:szCs w:val="24"/>
        </w:rPr>
        <w:tab/>
      </w:r>
      <w:r w:rsidR="00597923">
        <w:rPr>
          <w:rFonts w:ascii="Times New Roman" w:hAnsi="Times New Roman"/>
          <w:b/>
          <w:sz w:val="24"/>
          <w:szCs w:val="24"/>
        </w:rPr>
        <w:tab/>
      </w:r>
      <w:r w:rsidR="0076241C" w:rsidRPr="0076241C">
        <w:rPr>
          <w:rFonts w:ascii="Times New Roman" w:hAnsi="Times New Roman"/>
          <w:b/>
          <w:color w:val="EE0000"/>
          <w:sz w:val="24"/>
          <w:szCs w:val="24"/>
        </w:rPr>
        <w:t>5</w:t>
      </w:r>
      <w:r w:rsidR="00460471">
        <w:rPr>
          <w:rFonts w:ascii="Times New Roman" w:hAnsi="Times New Roman"/>
          <w:b/>
          <w:color w:val="EE0000"/>
          <w:sz w:val="24"/>
          <w:szCs w:val="24"/>
        </w:rPr>
        <w:t>5</w:t>
      </w:r>
      <w:r w:rsidR="0076241C" w:rsidRPr="0076241C">
        <w:rPr>
          <w:rFonts w:ascii="Times New Roman" w:hAnsi="Times New Roman"/>
          <w:b/>
          <w:color w:val="EE0000"/>
          <w:sz w:val="24"/>
          <w:szCs w:val="24"/>
        </w:rPr>
        <w:t xml:space="preserve"> cases</w:t>
      </w:r>
    </w:p>
    <w:p w14:paraId="1B2693F0" w14:textId="16CECD53"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5</w:t>
      </w:r>
      <w:r w:rsidRPr="00F22A0D">
        <w:rPr>
          <w:rFonts w:ascii="Times New Roman" w:hAnsi="Times New Roman"/>
          <w:b/>
          <w:sz w:val="24"/>
          <w:szCs w:val="24"/>
        </w:rPr>
        <w:tab/>
        <w:t>Emergency Vehicle Operations</w:t>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sidRPr="0076241C">
        <w:rPr>
          <w:rFonts w:ascii="Times New Roman" w:hAnsi="Times New Roman"/>
          <w:b/>
          <w:color w:val="EE0000"/>
          <w:sz w:val="24"/>
          <w:szCs w:val="24"/>
        </w:rPr>
        <w:t>6</w:t>
      </w:r>
      <w:r w:rsidR="001F5D19">
        <w:rPr>
          <w:rFonts w:ascii="Times New Roman" w:hAnsi="Times New Roman"/>
          <w:b/>
          <w:color w:val="EE0000"/>
          <w:sz w:val="24"/>
          <w:szCs w:val="24"/>
        </w:rPr>
        <w:t>3</w:t>
      </w:r>
      <w:r w:rsidR="0076241C" w:rsidRPr="0076241C">
        <w:rPr>
          <w:rFonts w:ascii="Times New Roman" w:hAnsi="Times New Roman"/>
          <w:b/>
          <w:color w:val="EE0000"/>
          <w:sz w:val="24"/>
          <w:szCs w:val="24"/>
        </w:rPr>
        <w:t xml:space="preserve"> cases</w:t>
      </w:r>
    </w:p>
    <w:p w14:paraId="32062B5D" w14:textId="3ABEE784"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6</w:t>
      </w:r>
      <w:r w:rsidRPr="00F22A0D">
        <w:rPr>
          <w:rFonts w:ascii="Times New Roman" w:hAnsi="Times New Roman"/>
          <w:b/>
          <w:sz w:val="24"/>
          <w:szCs w:val="24"/>
        </w:rPr>
        <w:tab/>
        <w:t>Employment Litigation</w:t>
      </w:r>
      <w:r w:rsidR="003F660F" w:rsidRPr="00F22A0D">
        <w:rPr>
          <w:rFonts w:ascii="Times New Roman" w:hAnsi="Times New Roman"/>
          <w:b/>
          <w:sz w:val="24"/>
          <w:szCs w:val="24"/>
        </w:rPr>
        <w:t xml:space="preserve">, incl. </w:t>
      </w:r>
      <w:r w:rsidR="00BB43DD" w:rsidRPr="00F22A0D">
        <w:rPr>
          <w:rFonts w:ascii="Times New Roman" w:hAnsi="Times New Roman"/>
          <w:b/>
          <w:sz w:val="24"/>
          <w:szCs w:val="24"/>
        </w:rPr>
        <w:t>Worker’s Comp</w:t>
      </w:r>
      <w:r w:rsidR="00DB0696">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425E76">
        <w:rPr>
          <w:rFonts w:ascii="Times New Roman" w:hAnsi="Times New Roman"/>
          <w:b/>
          <w:sz w:val="24"/>
          <w:szCs w:val="24"/>
        </w:rPr>
        <w:tab/>
      </w:r>
      <w:r w:rsidR="0076241C" w:rsidRPr="0076241C">
        <w:rPr>
          <w:rFonts w:ascii="Times New Roman" w:hAnsi="Times New Roman"/>
          <w:b/>
          <w:color w:val="EE0000"/>
          <w:sz w:val="24"/>
          <w:szCs w:val="24"/>
        </w:rPr>
        <w:t>18</w:t>
      </w:r>
      <w:r w:rsidR="00E209BC">
        <w:rPr>
          <w:rFonts w:ascii="Times New Roman" w:hAnsi="Times New Roman"/>
          <w:b/>
          <w:color w:val="EE0000"/>
          <w:sz w:val="24"/>
          <w:szCs w:val="24"/>
        </w:rPr>
        <w:t>3</w:t>
      </w:r>
      <w:r w:rsidR="0076241C" w:rsidRPr="0076241C">
        <w:rPr>
          <w:rFonts w:ascii="Times New Roman" w:hAnsi="Times New Roman"/>
          <w:b/>
          <w:color w:val="EE0000"/>
          <w:sz w:val="24"/>
          <w:szCs w:val="24"/>
        </w:rPr>
        <w:t xml:space="preserve"> cases</w:t>
      </w:r>
    </w:p>
    <w:p w14:paraId="31BA6C12" w14:textId="095DE977" w:rsidR="00F326E5" w:rsidRPr="0076241C"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7</w:t>
      </w:r>
      <w:r w:rsidRPr="00F22A0D">
        <w:rPr>
          <w:rFonts w:ascii="Times New Roman" w:hAnsi="Times New Roman"/>
          <w:b/>
          <w:sz w:val="24"/>
          <w:szCs w:val="24"/>
        </w:rPr>
        <w:tab/>
        <w:t>Sexual Harassment</w:t>
      </w:r>
      <w:r w:rsidR="003F660F" w:rsidRPr="00F22A0D">
        <w:rPr>
          <w:rFonts w:ascii="Times New Roman" w:hAnsi="Times New Roman"/>
          <w:b/>
          <w:sz w:val="24"/>
          <w:szCs w:val="24"/>
        </w:rPr>
        <w:t xml:space="preserve">, incl. </w:t>
      </w:r>
      <w:r w:rsidR="00EF4D50">
        <w:rPr>
          <w:rFonts w:ascii="Times New Roman" w:hAnsi="Times New Roman"/>
          <w:b/>
          <w:sz w:val="24"/>
          <w:szCs w:val="24"/>
        </w:rPr>
        <w:t xml:space="preserve">Gender, </w:t>
      </w:r>
      <w:r w:rsidRPr="00F22A0D">
        <w:rPr>
          <w:rFonts w:ascii="Times New Roman" w:hAnsi="Times New Roman"/>
          <w:b/>
          <w:sz w:val="24"/>
          <w:szCs w:val="24"/>
        </w:rPr>
        <w:t>Pregnancy Discrimination</w:t>
      </w:r>
      <w:r w:rsidR="0076241C">
        <w:rPr>
          <w:rFonts w:ascii="Times New Roman" w:hAnsi="Times New Roman"/>
          <w:b/>
          <w:sz w:val="24"/>
          <w:szCs w:val="24"/>
        </w:rPr>
        <w:tab/>
      </w:r>
      <w:r w:rsidR="00EF4D50">
        <w:rPr>
          <w:rFonts w:ascii="Times New Roman" w:hAnsi="Times New Roman"/>
          <w:b/>
          <w:sz w:val="24"/>
          <w:szCs w:val="24"/>
        </w:rPr>
        <w:tab/>
      </w:r>
      <w:r w:rsidR="001F5D19">
        <w:rPr>
          <w:rFonts w:ascii="Times New Roman" w:hAnsi="Times New Roman"/>
          <w:b/>
          <w:color w:val="EE0000"/>
          <w:sz w:val="24"/>
          <w:szCs w:val="24"/>
        </w:rPr>
        <w:t>9</w:t>
      </w:r>
      <w:r w:rsidR="00E209BC">
        <w:rPr>
          <w:rFonts w:ascii="Times New Roman" w:hAnsi="Times New Roman"/>
          <w:b/>
          <w:color w:val="EE0000"/>
          <w:sz w:val="24"/>
          <w:szCs w:val="24"/>
        </w:rPr>
        <w:t>2</w:t>
      </w:r>
      <w:r w:rsidR="0076241C" w:rsidRPr="0076241C">
        <w:rPr>
          <w:rFonts w:ascii="Times New Roman" w:hAnsi="Times New Roman"/>
          <w:b/>
          <w:color w:val="EE0000"/>
          <w:sz w:val="24"/>
          <w:szCs w:val="24"/>
        </w:rPr>
        <w:t xml:space="preserve"> cases</w:t>
      </w:r>
    </w:p>
    <w:p w14:paraId="57D0CDD9" w14:textId="4A394BBF" w:rsidR="00F326E5" w:rsidRPr="007209A9"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8</w:t>
      </w:r>
      <w:r w:rsidRPr="00F22A0D">
        <w:rPr>
          <w:rFonts w:ascii="Times New Roman" w:hAnsi="Times New Roman"/>
          <w:b/>
          <w:sz w:val="24"/>
          <w:szCs w:val="24"/>
        </w:rPr>
        <w:tab/>
        <w:t>Race Discrimination</w:t>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76241C">
        <w:rPr>
          <w:rFonts w:ascii="Times New Roman" w:hAnsi="Times New Roman"/>
          <w:b/>
          <w:sz w:val="24"/>
          <w:szCs w:val="24"/>
        </w:rPr>
        <w:tab/>
      </w:r>
      <w:r w:rsidR="00E209BC">
        <w:rPr>
          <w:rFonts w:ascii="Times New Roman" w:hAnsi="Times New Roman"/>
          <w:b/>
          <w:color w:val="EE0000"/>
          <w:sz w:val="24"/>
          <w:szCs w:val="24"/>
        </w:rPr>
        <w:t>9</w:t>
      </w:r>
      <w:r w:rsidR="005105E7">
        <w:rPr>
          <w:rFonts w:ascii="Times New Roman" w:hAnsi="Times New Roman"/>
          <w:b/>
          <w:color w:val="EE0000"/>
          <w:sz w:val="24"/>
          <w:szCs w:val="24"/>
        </w:rPr>
        <w:t>1</w:t>
      </w:r>
      <w:r w:rsidR="007209A9" w:rsidRPr="007209A9">
        <w:rPr>
          <w:rFonts w:ascii="Times New Roman" w:hAnsi="Times New Roman"/>
          <w:b/>
          <w:color w:val="EE0000"/>
          <w:sz w:val="24"/>
          <w:szCs w:val="24"/>
        </w:rPr>
        <w:t xml:space="preserve"> cases</w:t>
      </w:r>
    </w:p>
    <w:p w14:paraId="0075D979" w14:textId="61112510" w:rsidR="00F326E5" w:rsidRPr="007209A9"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9</w:t>
      </w:r>
      <w:r w:rsidRPr="00F22A0D">
        <w:rPr>
          <w:rFonts w:ascii="Times New Roman" w:hAnsi="Times New Roman"/>
          <w:b/>
          <w:sz w:val="24"/>
          <w:szCs w:val="24"/>
        </w:rPr>
        <w:tab/>
        <w:t xml:space="preserve">Americans </w:t>
      </w:r>
      <w:proofErr w:type="gramStart"/>
      <w:r w:rsidRPr="00F22A0D">
        <w:rPr>
          <w:rFonts w:ascii="Times New Roman" w:hAnsi="Times New Roman"/>
          <w:b/>
          <w:sz w:val="24"/>
          <w:szCs w:val="24"/>
        </w:rPr>
        <w:t>With</w:t>
      </w:r>
      <w:proofErr w:type="gramEnd"/>
      <w:r w:rsidRPr="00F22A0D">
        <w:rPr>
          <w:rFonts w:ascii="Times New Roman" w:hAnsi="Times New Roman"/>
          <w:b/>
          <w:sz w:val="24"/>
          <w:szCs w:val="24"/>
        </w:rPr>
        <w:t xml:space="preserve"> Disabilities Act</w:t>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1F5D19">
        <w:rPr>
          <w:rFonts w:ascii="Times New Roman" w:hAnsi="Times New Roman"/>
          <w:b/>
          <w:color w:val="EE0000"/>
          <w:sz w:val="24"/>
          <w:szCs w:val="24"/>
        </w:rPr>
        <w:t>6</w:t>
      </w:r>
      <w:r w:rsidR="00E209BC">
        <w:rPr>
          <w:rFonts w:ascii="Times New Roman" w:hAnsi="Times New Roman"/>
          <w:b/>
          <w:color w:val="EE0000"/>
          <w:sz w:val="24"/>
          <w:szCs w:val="24"/>
        </w:rPr>
        <w:t>5</w:t>
      </w:r>
      <w:r w:rsidR="007209A9" w:rsidRPr="007209A9">
        <w:rPr>
          <w:rFonts w:ascii="Times New Roman" w:hAnsi="Times New Roman"/>
          <w:b/>
          <w:color w:val="EE0000"/>
          <w:sz w:val="24"/>
          <w:szCs w:val="24"/>
        </w:rPr>
        <w:t xml:space="preserve"> cases</w:t>
      </w:r>
    </w:p>
    <w:p w14:paraId="4424B00D" w14:textId="737DF983"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10</w:t>
      </w:r>
      <w:r w:rsidRPr="00F22A0D">
        <w:rPr>
          <w:rFonts w:ascii="Times New Roman" w:hAnsi="Times New Roman"/>
          <w:b/>
          <w:sz w:val="24"/>
          <w:szCs w:val="24"/>
        </w:rPr>
        <w:tab/>
        <w:t>Family Medical Leave Act</w:t>
      </w:r>
      <w:r w:rsidRPr="00F22A0D">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7209A9">
        <w:rPr>
          <w:rFonts w:ascii="Times New Roman" w:hAnsi="Times New Roman"/>
          <w:b/>
          <w:sz w:val="24"/>
          <w:szCs w:val="24"/>
        </w:rPr>
        <w:tab/>
      </w:r>
      <w:r w:rsidR="004246F0" w:rsidRPr="004246F0">
        <w:rPr>
          <w:rFonts w:ascii="Times New Roman" w:hAnsi="Times New Roman"/>
          <w:b/>
          <w:color w:val="EE0000"/>
          <w:sz w:val="24"/>
          <w:szCs w:val="24"/>
        </w:rPr>
        <w:t>13 cases</w:t>
      </w:r>
    </w:p>
    <w:p w14:paraId="4E82CC4C" w14:textId="4DB2CB7F"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11</w:t>
      </w:r>
      <w:r w:rsidRPr="00F22A0D">
        <w:rPr>
          <w:rFonts w:ascii="Times New Roman" w:hAnsi="Times New Roman"/>
          <w:b/>
          <w:sz w:val="24"/>
          <w:szCs w:val="24"/>
        </w:rPr>
        <w:tab/>
        <w:t>Fair Labor Standards Act</w:t>
      </w:r>
      <w:r w:rsidR="00664013">
        <w:rPr>
          <w:rFonts w:ascii="Times New Roman" w:hAnsi="Times New Roman"/>
          <w:b/>
          <w:sz w:val="24"/>
          <w:szCs w:val="24"/>
        </w:rPr>
        <w:t xml:space="preserve">, and Military Leave </w:t>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3814D7">
        <w:rPr>
          <w:rFonts w:ascii="Times New Roman" w:hAnsi="Times New Roman"/>
          <w:b/>
          <w:color w:val="EE0000"/>
          <w:sz w:val="24"/>
          <w:szCs w:val="24"/>
        </w:rPr>
        <w:t>7</w:t>
      </w:r>
      <w:r w:rsidR="00B23332">
        <w:rPr>
          <w:rFonts w:ascii="Times New Roman" w:hAnsi="Times New Roman"/>
          <w:b/>
          <w:color w:val="EE0000"/>
          <w:sz w:val="24"/>
          <w:szCs w:val="24"/>
        </w:rPr>
        <w:t>1</w:t>
      </w:r>
      <w:r w:rsidR="004246F0" w:rsidRPr="004246F0">
        <w:rPr>
          <w:rFonts w:ascii="Times New Roman" w:hAnsi="Times New Roman"/>
          <w:b/>
          <w:color w:val="EE0000"/>
          <w:sz w:val="24"/>
          <w:szCs w:val="24"/>
        </w:rPr>
        <w:t xml:space="preserve"> cases</w:t>
      </w:r>
      <w:r w:rsidRPr="00F22A0D">
        <w:rPr>
          <w:rFonts w:ascii="Times New Roman" w:hAnsi="Times New Roman"/>
          <w:b/>
          <w:sz w:val="24"/>
          <w:szCs w:val="24"/>
        </w:rPr>
        <w:tab/>
      </w:r>
    </w:p>
    <w:p w14:paraId="0AE4624B" w14:textId="285281DF" w:rsidR="00F326E5" w:rsidRPr="009C594C"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12</w:t>
      </w:r>
      <w:r w:rsidRPr="00F22A0D">
        <w:rPr>
          <w:rFonts w:ascii="Times New Roman" w:hAnsi="Times New Roman"/>
          <w:b/>
          <w:sz w:val="24"/>
          <w:szCs w:val="24"/>
        </w:rPr>
        <w:tab/>
        <w:t>Drug-Free Workplace</w:t>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4246F0">
        <w:rPr>
          <w:rFonts w:ascii="Times New Roman" w:hAnsi="Times New Roman"/>
          <w:b/>
          <w:sz w:val="24"/>
          <w:szCs w:val="24"/>
        </w:rPr>
        <w:tab/>
      </w:r>
      <w:r w:rsidR="009C594C" w:rsidRPr="009C594C">
        <w:rPr>
          <w:rFonts w:ascii="Times New Roman" w:hAnsi="Times New Roman"/>
          <w:b/>
          <w:color w:val="EE0000"/>
          <w:sz w:val="24"/>
          <w:szCs w:val="24"/>
        </w:rPr>
        <w:t>3</w:t>
      </w:r>
      <w:r w:rsidR="003814D7">
        <w:rPr>
          <w:rFonts w:ascii="Times New Roman" w:hAnsi="Times New Roman"/>
          <w:b/>
          <w:color w:val="EE0000"/>
          <w:sz w:val="24"/>
          <w:szCs w:val="24"/>
        </w:rPr>
        <w:t>7</w:t>
      </w:r>
      <w:r w:rsidR="009C594C" w:rsidRPr="009C594C">
        <w:rPr>
          <w:rFonts w:ascii="Times New Roman" w:hAnsi="Times New Roman"/>
          <w:b/>
          <w:color w:val="EE0000"/>
          <w:sz w:val="24"/>
          <w:szCs w:val="24"/>
        </w:rPr>
        <w:t xml:space="preserve"> cases</w:t>
      </w:r>
    </w:p>
    <w:p w14:paraId="769B9330" w14:textId="27AA534E" w:rsidR="00F326E5" w:rsidRPr="009C594C"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13</w:t>
      </w:r>
      <w:r w:rsidRPr="00F22A0D">
        <w:rPr>
          <w:rFonts w:ascii="Times New Roman" w:hAnsi="Times New Roman"/>
          <w:b/>
          <w:sz w:val="24"/>
          <w:szCs w:val="24"/>
        </w:rPr>
        <w:tab/>
        <w:t>EMS</w:t>
      </w:r>
      <w:r w:rsidR="003F660F" w:rsidRPr="00F22A0D">
        <w:rPr>
          <w:rFonts w:ascii="Times New Roman" w:hAnsi="Times New Roman"/>
          <w:b/>
          <w:sz w:val="24"/>
          <w:szCs w:val="24"/>
        </w:rPr>
        <w:t xml:space="preserve">, incl. </w:t>
      </w:r>
      <w:r w:rsidR="00636395" w:rsidRPr="00F22A0D">
        <w:rPr>
          <w:rFonts w:ascii="Times New Roman" w:hAnsi="Times New Roman"/>
          <w:b/>
          <w:sz w:val="24"/>
          <w:szCs w:val="24"/>
        </w:rPr>
        <w:t>Community Paramedicine</w:t>
      </w:r>
      <w:r w:rsidR="003F660F" w:rsidRPr="00F22A0D">
        <w:rPr>
          <w:rFonts w:ascii="Times New Roman" w:hAnsi="Times New Roman"/>
          <w:b/>
          <w:sz w:val="24"/>
          <w:szCs w:val="24"/>
        </w:rPr>
        <w:t>, Corona Virus</w:t>
      </w:r>
      <w:r w:rsidRPr="00F22A0D">
        <w:rPr>
          <w:rFonts w:ascii="Times New Roman" w:hAnsi="Times New Roman"/>
          <w:b/>
          <w:sz w:val="24"/>
          <w:szCs w:val="24"/>
        </w:rPr>
        <w:tab/>
      </w:r>
      <w:r w:rsidR="009C594C">
        <w:rPr>
          <w:rFonts w:ascii="Times New Roman" w:hAnsi="Times New Roman"/>
          <w:b/>
          <w:sz w:val="24"/>
          <w:szCs w:val="24"/>
        </w:rPr>
        <w:tab/>
      </w:r>
      <w:r w:rsidR="009C594C">
        <w:rPr>
          <w:rFonts w:ascii="Times New Roman" w:hAnsi="Times New Roman"/>
          <w:b/>
          <w:sz w:val="24"/>
          <w:szCs w:val="24"/>
        </w:rPr>
        <w:tab/>
      </w:r>
      <w:r w:rsidR="009C594C" w:rsidRPr="009C594C">
        <w:rPr>
          <w:rFonts w:ascii="Times New Roman" w:hAnsi="Times New Roman"/>
          <w:b/>
          <w:color w:val="EE0000"/>
          <w:sz w:val="24"/>
          <w:szCs w:val="24"/>
        </w:rPr>
        <w:t>2</w:t>
      </w:r>
      <w:r w:rsidR="00B23332">
        <w:rPr>
          <w:rFonts w:ascii="Times New Roman" w:hAnsi="Times New Roman"/>
          <w:b/>
          <w:color w:val="EE0000"/>
          <w:sz w:val="24"/>
          <w:szCs w:val="24"/>
        </w:rPr>
        <w:t>61</w:t>
      </w:r>
      <w:r w:rsidR="009C594C" w:rsidRPr="009C594C">
        <w:rPr>
          <w:rFonts w:ascii="Times New Roman" w:hAnsi="Times New Roman"/>
          <w:b/>
          <w:color w:val="EE0000"/>
          <w:sz w:val="24"/>
          <w:szCs w:val="24"/>
        </w:rPr>
        <w:t xml:space="preserve"> cases</w:t>
      </w:r>
    </w:p>
    <w:p w14:paraId="496A7E44" w14:textId="3C7C52B2" w:rsidR="00F326E5" w:rsidRPr="000A5D63"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14</w:t>
      </w:r>
      <w:r w:rsidRPr="00F22A0D">
        <w:rPr>
          <w:rFonts w:ascii="Times New Roman" w:hAnsi="Times New Roman"/>
          <w:b/>
          <w:sz w:val="24"/>
          <w:szCs w:val="24"/>
        </w:rPr>
        <w:tab/>
        <w:t>Physical Fitness</w:t>
      </w:r>
      <w:r w:rsidR="00BE44CB">
        <w:rPr>
          <w:rFonts w:ascii="Times New Roman" w:hAnsi="Times New Roman"/>
          <w:b/>
          <w:sz w:val="24"/>
          <w:szCs w:val="24"/>
        </w:rPr>
        <w:t xml:space="preserve"> and</w:t>
      </w:r>
      <w:r w:rsidR="00D5755F">
        <w:rPr>
          <w:rFonts w:ascii="Times New Roman" w:hAnsi="Times New Roman"/>
          <w:b/>
          <w:sz w:val="24"/>
          <w:szCs w:val="24"/>
        </w:rPr>
        <w:t xml:space="preserve"> Light Duty</w:t>
      </w:r>
      <w:r w:rsidRPr="00F22A0D">
        <w:rPr>
          <w:rFonts w:ascii="Times New Roman" w:hAnsi="Times New Roman"/>
          <w:b/>
          <w:sz w:val="24"/>
          <w:szCs w:val="24"/>
        </w:rPr>
        <w:tab/>
      </w:r>
      <w:r w:rsidR="009C594C">
        <w:rPr>
          <w:rFonts w:ascii="Times New Roman" w:hAnsi="Times New Roman"/>
          <w:b/>
          <w:sz w:val="24"/>
          <w:szCs w:val="24"/>
        </w:rPr>
        <w:tab/>
      </w:r>
      <w:r w:rsidR="009C594C">
        <w:rPr>
          <w:rFonts w:ascii="Times New Roman" w:hAnsi="Times New Roman"/>
          <w:b/>
          <w:sz w:val="24"/>
          <w:szCs w:val="24"/>
        </w:rPr>
        <w:tab/>
      </w:r>
      <w:r w:rsidR="009C594C">
        <w:rPr>
          <w:rFonts w:ascii="Times New Roman" w:hAnsi="Times New Roman"/>
          <w:b/>
          <w:sz w:val="24"/>
          <w:szCs w:val="24"/>
        </w:rPr>
        <w:tab/>
      </w:r>
      <w:r w:rsidR="009C594C">
        <w:rPr>
          <w:rFonts w:ascii="Times New Roman" w:hAnsi="Times New Roman"/>
          <w:b/>
          <w:sz w:val="24"/>
          <w:szCs w:val="24"/>
        </w:rPr>
        <w:tab/>
      </w:r>
      <w:r w:rsidR="009C594C">
        <w:rPr>
          <w:rFonts w:ascii="Times New Roman" w:hAnsi="Times New Roman"/>
          <w:b/>
          <w:sz w:val="24"/>
          <w:szCs w:val="24"/>
        </w:rPr>
        <w:tab/>
      </w:r>
      <w:r w:rsidR="00751EBA">
        <w:rPr>
          <w:rFonts w:ascii="Times New Roman" w:hAnsi="Times New Roman"/>
          <w:b/>
          <w:color w:val="EE0000"/>
          <w:sz w:val="24"/>
          <w:szCs w:val="24"/>
        </w:rPr>
        <w:t>9</w:t>
      </w:r>
      <w:r w:rsidR="00F42EFD">
        <w:rPr>
          <w:rFonts w:ascii="Times New Roman" w:hAnsi="Times New Roman"/>
          <w:b/>
          <w:color w:val="EE0000"/>
          <w:sz w:val="24"/>
          <w:szCs w:val="24"/>
        </w:rPr>
        <w:t xml:space="preserve"> </w:t>
      </w:r>
      <w:r w:rsidR="000A5D63" w:rsidRPr="000A5D63">
        <w:rPr>
          <w:rFonts w:ascii="Times New Roman" w:hAnsi="Times New Roman"/>
          <w:b/>
          <w:color w:val="EE0000"/>
          <w:sz w:val="24"/>
          <w:szCs w:val="24"/>
        </w:rPr>
        <w:t>cases</w:t>
      </w:r>
    </w:p>
    <w:p w14:paraId="157ACADA" w14:textId="662E9787" w:rsidR="00F326E5" w:rsidRPr="000A5D63"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Chap. 15</w:t>
      </w:r>
      <w:r w:rsidRPr="00F22A0D">
        <w:rPr>
          <w:rFonts w:ascii="Times New Roman" w:hAnsi="Times New Roman"/>
          <w:b/>
          <w:sz w:val="24"/>
          <w:szCs w:val="24"/>
        </w:rPr>
        <w:tab/>
      </w:r>
      <w:r w:rsidR="00C61FBA">
        <w:rPr>
          <w:rFonts w:ascii="Times New Roman" w:hAnsi="Times New Roman"/>
          <w:b/>
          <w:sz w:val="24"/>
          <w:szCs w:val="24"/>
        </w:rPr>
        <w:t xml:space="preserve">Mental Health, incl. </w:t>
      </w:r>
      <w:r w:rsidRPr="00F22A0D">
        <w:rPr>
          <w:rFonts w:ascii="Times New Roman" w:hAnsi="Times New Roman"/>
          <w:b/>
          <w:sz w:val="24"/>
          <w:szCs w:val="24"/>
        </w:rPr>
        <w:t>C</w:t>
      </w:r>
      <w:r w:rsidR="006D5E9F" w:rsidRPr="00F22A0D">
        <w:rPr>
          <w:rFonts w:ascii="Times New Roman" w:hAnsi="Times New Roman"/>
          <w:b/>
          <w:sz w:val="24"/>
          <w:szCs w:val="24"/>
        </w:rPr>
        <w:t>ISM</w:t>
      </w:r>
      <w:r w:rsidR="003F660F" w:rsidRPr="00F22A0D">
        <w:rPr>
          <w:rFonts w:ascii="Times New Roman" w:hAnsi="Times New Roman"/>
          <w:b/>
          <w:sz w:val="24"/>
          <w:szCs w:val="24"/>
        </w:rPr>
        <w:t>, Pee</w:t>
      </w:r>
      <w:r w:rsidR="00321766" w:rsidRPr="00F22A0D">
        <w:rPr>
          <w:rFonts w:ascii="Times New Roman" w:hAnsi="Times New Roman"/>
          <w:b/>
          <w:sz w:val="24"/>
          <w:szCs w:val="24"/>
        </w:rPr>
        <w:t>r Support</w:t>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sidRPr="000A5D63">
        <w:rPr>
          <w:rFonts w:ascii="Times New Roman" w:hAnsi="Times New Roman"/>
          <w:b/>
          <w:color w:val="EE0000"/>
          <w:sz w:val="24"/>
          <w:szCs w:val="24"/>
        </w:rPr>
        <w:t>5</w:t>
      </w:r>
      <w:r w:rsidR="00B23332">
        <w:rPr>
          <w:rFonts w:ascii="Times New Roman" w:hAnsi="Times New Roman"/>
          <w:b/>
          <w:color w:val="EE0000"/>
          <w:sz w:val="24"/>
          <w:szCs w:val="24"/>
        </w:rPr>
        <w:t>3</w:t>
      </w:r>
      <w:r w:rsidR="000A5D63" w:rsidRPr="000A5D63">
        <w:rPr>
          <w:rFonts w:ascii="Times New Roman" w:hAnsi="Times New Roman"/>
          <w:b/>
          <w:color w:val="EE0000"/>
          <w:sz w:val="24"/>
          <w:szCs w:val="24"/>
        </w:rPr>
        <w:t xml:space="preserve"> cases</w:t>
      </w:r>
    </w:p>
    <w:p w14:paraId="22C4C000" w14:textId="2E089FEA"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16</w:t>
      </w:r>
      <w:r w:rsidRPr="00F22A0D">
        <w:rPr>
          <w:rFonts w:ascii="Times New Roman" w:hAnsi="Times New Roman"/>
          <w:b/>
          <w:sz w:val="24"/>
          <w:szCs w:val="24"/>
        </w:rPr>
        <w:tab/>
        <w:t>Discipline</w:t>
      </w:r>
      <w:r w:rsidR="00F27CD5" w:rsidRPr="00F22A0D">
        <w:rPr>
          <w:rFonts w:ascii="Times New Roman" w:hAnsi="Times New Roman"/>
          <w:b/>
          <w:sz w:val="24"/>
          <w:szCs w:val="24"/>
        </w:rPr>
        <w:t>, incl. Social Media</w:t>
      </w:r>
      <w:r w:rsidR="00991BC0">
        <w:rPr>
          <w:rFonts w:ascii="Times New Roman" w:hAnsi="Times New Roman"/>
          <w:b/>
          <w:sz w:val="24"/>
          <w:szCs w:val="24"/>
        </w:rPr>
        <w:t xml:space="preserve"> Posts</w:t>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0A5D63">
        <w:rPr>
          <w:rFonts w:ascii="Times New Roman" w:hAnsi="Times New Roman"/>
          <w:b/>
          <w:sz w:val="24"/>
          <w:szCs w:val="24"/>
        </w:rPr>
        <w:tab/>
      </w:r>
      <w:r w:rsidR="00644E1A" w:rsidRPr="00644E1A">
        <w:rPr>
          <w:rFonts w:ascii="Times New Roman" w:hAnsi="Times New Roman"/>
          <w:b/>
          <w:color w:val="EE0000"/>
          <w:sz w:val="24"/>
          <w:szCs w:val="24"/>
        </w:rPr>
        <w:t>15</w:t>
      </w:r>
      <w:r w:rsidR="00B23332">
        <w:rPr>
          <w:rFonts w:ascii="Times New Roman" w:hAnsi="Times New Roman"/>
          <w:b/>
          <w:color w:val="EE0000"/>
          <w:sz w:val="24"/>
          <w:szCs w:val="24"/>
        </w:rPr>
        <w:t>7</w:t>
      </w:r>
      <w:r w:rsidR="00644E1A" w:rsidRPr="00644E1A">
        <w:rPr>
          <w:rFonts w:ascii="Times New Roman" w:hAnsi="Times New Roman"/>
          <w:b/>
          <w:color w:val="EE0000"/>
          <w:sz w:val="24"/>
          <w:szCs w:val="24"/>
        </w:rPr>
        <w:t xml:space="preserve"> cases</w:t>
      </w:r>
      <w:r w:rsidRPr="00F22A0D">
        <w:rPr>
          <w:rFonts w:ascii="Times New Roman" w:hAnsi="Times New Roman"/>
          <w:b/>
          <w:sz w:val="24"/>
          <w:szCs w:val="24"/>
        </w:rPr>
        <w:tab/>
      </w:r>
    </w:p>
    <w:p w14:paraId="71067951" w14:textId="385173D8" w:rsidR="00F326E5" w:rsidRPr="00F22A0D" w:rsidRDefault="00F326E5" w:rsidP="00F326E5">
      <w:pPr>
        <w:pStyle w:val="NoSpacing"/>
        <w:rPr>
          <w:rFonts w:ascii="Times New Roman" w:hAnsi="Times New Roman"/>
          <w:b/>
          <w:sz w:val="24"/>
          <w:szCs w:val="24"/>
        </w:rPr>
      </w:pPr>
      <w:r w:rsidRPr="00F22A0D">
        <w:rPr>
          <w:rFonts w:ascii="Times New Roman" w:hAnsi="Times New Roman"/>
          <w:b/>
          <w:sz w:val="24"/>
          <w:szCs w:val="24"/>
        </w:rPr>
        <w:t>Chap. 17</w:t>
      </w:r>
      <w:r w:rsidRPr="00F22A0D">
        <w:rPr>
          <w:rFonts w:ascii="Times New Roman" w:hAnsi="Times New Roman"/>
          <w:b/>
          <w:sz w:val="24"/>
          <w:szCs w:val="24"/>
        </w:rPr>
        <w:tab/>
        <w:t>Arbitration</w:t>
      </w:r>
      <w:r w:rsidR="005E16F7" w:rsidRPr="00F22A0D">
        <w:rPr>
          <w:rFonts w:ascii="Times New Roman" w:hAnsi="Times New Roman"/>
          <w:b/>
          <w:sz w:val="24"/>
          <w:szCs w:val="24"/>
        </w:rPr>
        <w:t xml:space="preserve">, </w:t>
      </w:r>
      <w:r w:rsidR="00F27CD5" w:rsidRPr="00F22A0D">
        <w:rPr>
          <w:rFonts w:ascii="Times New Roman" w:hAnsi="Times New Roman"/>
          <w:b/>
          <w:sz w:val="24"/>
          <w:szCs w:val="24"/>
        </w:rPr>
        <w:t xml:space="preserve">incl. </w:t>
      </w:r>
      <w:r w:rsidRPr="00F22A0D">
        <w:rPr>
          <w:rFonts w:ascii="Times New Roman" w:hAnsi="Times New Roman"/>
          <w:b/>
          <w:sz w:val="24"/>
          <w:szCs w:val="24"/>
        </w:rPr>
        <w:t>Mediation</w:t>
      </w:r>
      <w:r w:rsidR="005E16F7" w:rsidRPr="00F22A0D">
        <w:rPr>
          <w:rFonts w:ascii="Times New Roman" w:hAnsi="Times New Roman"/>
          <w:b/>
          <w:sz w:val="24"/>
          <w:szCs w:val="24"/>
        </w:rPr>
        <w:t>, Labor Relations</w:t>
      </w:r>
      <w:r w:rsidR="00644E1A">
        <w:rPr>
          <w:rFonts w:ascii="Times New Roman" w:hAnsi="Times New Roman"/>
          <w:b/>
          <w:sz w:val="24"/>
          <w:szCs w:val="24"/>
        </w:rPr>
        <w:tab/>
      </w:r>
      <w:r w:rsidR="00644E1A">
        <w:rPr>
          <w:rFonts w:ascii="Times New Roman" w:hAnsi="Times New Roman"/>
          <w:b/>
          <w:sz w:val="24"/>
          <w:szCs w:val="24"/>
        </w:rPr>
        <w:tab/>
      </w:r>
      <w:r w:rsidR="00644E1A">
        <w:rPr>
          <w:rFonts w:ascii="Times New Roman" w:hAnsi="Times New Roman"/>
          <w:b/>
          <w:sz w:val="24"/>
          <w:szCs w:val="24"/>
        </w:rPr>
        <w:tab/>
      </w:r>
      <w:r w:rsidR="00644E1A">
        <w:rPr>
          <w:rFonts w:ascii="Times New Roman" w:hAnsi="Times New Roman"/>
          <w:b/>
          <w:sz w:val="24"/>
          <w:szCs w:val="24"/>
        </w:rPr>
        <w:tab/>
      </w:r>
      <w:r w:rsidR="00F42EFD">
        <w:rPr>
          <w:rFonts w:ascii="Times New Roman" w:hAnsi="Times New Roman"/>
          <w:b/>
          <w:color w:val="EE0000"/>
          <w:sz w:val="24"/>
          <w:szCs w:val="24"/>
        </w:rPr>
        <w:t>6</w:t>
      </w:r>
      <w:r w:rsidR="00B23332">
        <w:rPr>
          <w:rFonts w:ascii="Times New Roman" w:hAnsi="Times New Roman"/>
          <w:b/>
          <w:color w:val="EE0000"/>
          <w:sz w:val="24"/>
          <w:szCs w:val="24"/>
        </w:rPr>
        <w:t>1</w:t>
      </w:r>
      <w:r w:rsidR="00644E1A" w:rsidRPr="00644E1A">
        <w:rPr>
          <w:rFonts w:ascii="Times New Roman" w:hAnsi="Times New Roman"/>
          <w:b/>
          <w:color w:val="EE0000"/>
          <w:sz w:val="24"/>
          <w:szCs w:val="24"/>
        </w:rPr>
        <w:t xml:space="preserve"> cases</w:t>
      </w:r>
    </w:p>
    <w:p w14:paraId="74F6F193" w14:textId="31998BBB" w:rsidR="00447518" w:rsidRPr="00165526" w:rsidRDefault="00F326E5" w:rsidP="00F326E5">
      <w:pPr>
        <w:pStyle w:val="NoSpacing"/>
        <w:rPr>
          <w:rFonts w:ascii="Times New Roman" w:hAnsi="Times New Roman"/>
          <w:b/>
          <w:color w:val="EE0000"/>
          <w:sz w:val="24"/>
          <w:szCs w:val="24"/>
        </w:rPr>
      </w:pPr>
      <w:r w:rsidRPr="00F22A0D">
        <w:rPr>
          <w:rFonts w:ascii="Times New Roman" w:hAnsi="Times New Roman"/>
          <w:b/>
          <w:sz w:val="24"/>
          <w:szCs w:val="24"/>
        </w:rPr>
        <w:t xml:space="preserve">Chap. 18 </w:t>
      </w:r>
      <w:r w:rsidRPr="00F22A0D">
        <w:rPr>
          <w:rFonts w:ascii="Times New Roman" w:hAnsi="Times New Roman"/>
          <w:b/>
          <w:sz w:val="24"/>
          <w:szCs w:val="24"/>
        </w:rPr>
        <w:tab/>
        <w:t>Legislation</w:t>
      </w:r>
      <w:r w:rsidR="00801D3A">
        <w:rPr>
          <w:rFonts w:ascii="Times New Roman" w:hAnsi="Times New Roman"/>
          <w:b/>
          <w:sz w:val="24"/>
          <w:szCs w:val="24"/>
        </w:rPr>
        <w:t>, incl. Public Documents</w:t>
      </w:r>
      <w:r w:rsidR="00644E1A">
        <w:rPr>
          <w:rFonts w:ascii="Times New Roman" w:hAnsi="Times New Roman"/>
          <w:b/>
          <w:sz w:val="24"/>
          <w:szCs w:val="24"/>
        </w:rPr>
        <w:tab/>
      </w:r>
      <w:r w:rsidR="00644E1A">
        <w:rPr>
          <w:rFonts w:ascii="Times New Roman" w:hAnsi="Times New Roman"/>
          <w:b/>
          <w:sz w:val="24"/>
          <w:szCs w:val="24"/>
        </w:rPr>
        <w:tab/>
      </w:r>
      <w:r w:rsidR="00644E1A">
        <w:rPr>
          <w:rFonts w:ascii="Times New Roman" w:hAnsi="Times New Roman"/>
          <w:b/>
          <w:sz w:val="24"/>
          <w:szCs w:val="24"/>
        </w:rPr>
        <w:tab/>
      </w:r>
      <w:r w:rsidR="00644E1A">
        <w:rPr>
          <w:rFonts w:ascii="Times New Roman" w:hAnsi="Times New Roman"/>
          <w:b/>
          <w:sz w:val="24"/>
          <w:szCs w:val="24"/>
        </w:rPr>
        <w:tab/>
      </w:r>
      <w:r w:rsidR="00644E1A">
        <w:rPr>
          <w:rFonts w:ascii="Times New Roman" w:hAnsi="Times New Roman"/>
          <w:b/>
          <w:sz w:val="24"/>
          <w:szCs w:val="24"/>
        </w:rPr>
        <w:tab/>
      </w:r>
      <w:r w:rsidR="00165526" w:rsidRPr="00165526">
        <w:rPr>
          <w:rFonts w:ascii="Times New Roman" w:hAnsi="Times New Roman"/>
          <w:b/>
          <w:color w:val="EE0000"/>
          <w:sz w:val="24"/>
          <w:szCs w:val="24"/>
        </w:rPr>
        <w:t>33 cases</w:t>
      </w:r>
    </w:p>
    <w:p w14:paraId="786BD399" w14:textId="77777777" w:rsidR="00EE45D8" w:rsidRDefault="00EE45D8" w:rsidP="00F326E5">
      <w:pPr>
        <w:pStyle w:val="NoSpacing"/>
        <w:rPr>
          <w:rFonts w:ascii="Times New Roman" w:hAnsi="Times New Roman"/>
          <w:b/>
          <w:sz w:val="24"/>
          <w:szCs w:val="24"/>
        </w:rPr>
      </w:pPr>
    </w:p>
    <w:p w14:paraId="2CD1179B" w14:textId="77777777" w:rsidR="00080FC6" w:rsidRDefault="00080FC6" w:rsidP="00F326E5">
      <w:pPr>
        <w:pStyle w:val="NoSpacing"/>
        <w:rPr>
          <w:rFonts w:ascii="Times New Roman" w:hAnsi="Times New Roman"/>
          <w:b/>
          <w:sz w:val="20"/>
          <w:szCs w:val="20"/>
        </w:rPr>
      </w:pPr>
    </w:p>
    <w:p w14:paraId="5A3CA201" w14:textId="77777777" w:rsidR="009F6174" w:rsidRPr="009F6174" w:rsidRDefault="009F6174" w:rsidP="009F6174">
      <w:pPr>
        <w:pStyle w:val="NoSpacing"/>
        <w:rPr>
          <w:b/>
          <w:bCs/>
          <w:sz w:val="16"/>
          <w:szCs w:val="16"/>
          <w:u w:val="single"/>
        </w:rPr>
      </w:pPr>
      <w:r w:rsidRPr="009F6174">
        <w:rPr>
          <w:b/>
          <w:bCs/>
          <w:sz w:val="16"/>
          <w:szCs w:val="16"/>
          <w:u w:val="single"/>
        </w:rPr>
        <w:t>Textbooks / Other Publications</w:t>
      </w:r>
    </w:p>
    <w:p w14:paraId="631FF5ED" w14:textId="77777777" w:rsidR="009F6174" w:rsidRPr="009F6174" w:rsidRDefault="009F6174" w:rsidP="009F6174">
      <w:pPr>
        <w:pStyle w:val="NoSpacing"/>
        <w:numPr>
          <w:ilvl w:val="0"/>
          <w:numId w:val="42"/>
        </w:numPr>
        <w:rPr>
          <w:b/>
          <w:bCs/>
          <w:sz w:val="16"/>
          <w:szCs w:val="16"/>
        </w:rPr>
      </w:pPr>
      <w:r w:rsidRPr="009F6174">
        <w:rPr>
          <w:b/>
          <w:bCs/>
          <w:sz w:val="16"/>
          <w:szCs w:val="16"/>
        </w:rPr>
        <w:t xml:space="preserve">2026: FIRE &amp; EMS LAW – LIBRARY OF RECENT CASE SUMMARIES:  Over 1,600 case summaries since 2018 from monthly newsletters (supplement my 2017 Textbook, Fire Service Law):  </w:t>
      </w:r>
      <w:hyperlink r:id="rId15" w:history="1">
        <w:r w:rsidRPr="009F6174">
          <w:rPr>
            <w:rStyle w:val="Hyperlink"/>
            <w:b/>
            <w:bCs/>
            <w:sz w:val="16"/>
            <w:szCs w:val="16"/>
          </w:rPr>
          <w:t>https://doi.org/10.7945/j6c2-q930</w:t>
        </w:r>
      </w:hyperlink>
    </w:p>
    <w:p w14:paraId="5C2A5EB6" w14:textId="77777777" w:rsidR="009F6174" w:rsidRPr="009F6174" w:rsidRDefault="009F6174" w:rsidP="009F6174">
      <w:pPr>
        <w:pStyle w:val="NoSpacing"/>
        <w:numPr>
          <w:ilvl w:val="0"/>
          <w:numId w:val="42"/>
        </w:numPr>
        <w:rPr>
          <w:b/>
          <w:bCs/>
          <w:sz w:val="16"/>
          <w:szCs w:val="16"/>
        </w:rPr>
      </w:pPr>
      <w:r w:rsidRPr="009F6174">
        <w:rPr>
          <w:b/>
          <w:bCs/>
          <w:sz w:val="16"/>
          <w:szCs w:val="16"/>
        </w:rPr>
        <w:t xml:space="preserve">2026: FIRE &amp; EMS - CURRENT EVENTS:   </w:t>
      </w:r>
      <w:hyperlink r:id="rId16" w:history="1">
        <w:r w:rsidRPr="009F6174">
          <w:rPr>
            <w:rStyle w:val="Hyperlink"/>
            <w:b/>
            <w:bCs/>
            <w:sz w:val="16"/>
            <w:szCs w:val="16"/>
          </w:rPr>
          <w:t>https://doi.org/10.7945/0dwx-fc52</w:t>
        </w:r>
      </w:hyperlink>
    </w:p>
    <w:p w14:paraId="60804F3F" w14:textId="77777777" w:rsidR="009F6174" w:rsidRPr="009F6174" w:rsidRDefault="009F6174" w:rsidP="009F6174">
      <w:pPr>
        <w:pStyle w:val="NoSpacing"/>
        <w:numPr>
          <w:ilvl w:val="0"/>
          <w:numId w:val="42"/>
        </w:numPr>
        <w:rPr>
          <w:b/>
          <w:bCs/>
          <w:sz w:val="16"/>
          <w:szCs w:val="16"/>
        </w:rPr>
      </w:pPr>
      <w:r w:rsidRPr="009F6174">
        <w:rPr>
          <w:b/>
          <w:bCs/>
          <w:sz w:val="16"/>
          <w:szCs w:val="16"/>
        </w:rPr>
        <w:t>2026: EMS LAW – LEGAL LESSONS LEARNED (3</w:t>
      </w:r>
      <w:r w:rsidRPr="009F6174">
        <w:rPr>
          <w:b/>
          <w:bCs/>
          <w:sz w:val="16"/>
          <w:szCs w:val="16"/>
          <w:vertAlign w:val="superscript"/>
        </w:rPr>
        <w:t>rd</w:t>
      </w:r>
      <w:r w:rsidRPr="009F6174">
        <w:rPr>
          <w:b/>
          <w:bCs/>
          <w:sz w:val="16"/>
          <w:szCs w:val="16"/>
        </w:rPr>
        <w:t xml:space="preserve"> Edition) – case summaries 2018 - present: </w:t>
      </w:r>
      <w:hyperlink r:id="rId17" w:history="1">
        <w:r w:rsidRPr="009F6174">
          <w:rPr>
            <w:rStyle w:val="Hyperlink"/>
            <w:b/>
            <w:bCs/>
            <w:sz w:val="16"/>
            <w:szCs w:val="16"/>
          </w:rPr>
          <w:t>https://scholar.uc.edu/show/dn39x307g</w:t>
        </w:r>
      </w:hyperlink>
    </w:p>
    <w:p w14:paraId="356D09A4" w14:textId="77777777" w:rsidR="009F6174" w:rsidRPr="009F6174" w:rsidRDefault="009F6174" w:rsidP="009F6174">
      <w:pPr>
        <w:pStyle w:val="NoSpacing"/>
        <w:numPr>
          <w:ilvl w:val="0"/>
          <w:numId w:val="42"/>
        </w:numPr>
        <w:rPr>
          <w:b/>
          <w:bCs/>
          <w:sz w:val="16"/>
          <w:szCs w:val="16"/>
        </w:rPr>
      </w:pPr>
      <w:r w:rsidRPr="009F6174">
        <w:rPr>
          <w:b/>
          <w:bCs/>
          <w:sz w:val="16"/>
          <w:szCs w:val="16"/>
        </w:rPr>
        <w:t xml:space="preserve">2026: POLITICAL &amp; LEGAL APPLICATIONS FOR EMERGENCY SERVICES (3 Author text for National Fire Academy / FESHE online course): </w:t>
      </w:r>
      <w:hyperlink r:id="rId18" w:history="1">
        <w:r w:rsidRPr="009F6174">
          <w:rPr>
            <w:rStyle w:val="Hyperlink"/>
            <w:b/>
            <w:bCs/>
            <w:sz w:val="16"/>
            <w:szCs w:val="16"/>
          </w:rPr>
          <w:t>https://doi.org/10.7945/av8d-c920</w:t>
        </w:r>
      </w:hyperlink>
    </w:p>
    <w:p w14:paraId="3317A5AE" w14:textId="77777777" w:rsidR="009F6174" w:rsidRPr="009F6174" w:rsidRDefault="009F6174" w:rsidP="009F6174">
      <w:pPr>
        <w:pStyle w:val="NoSpacing"/>
        <w:numPr>
          <w:ilvl w:val="0"/>
          <w:numId w:val="42"/>
        </w:numPr>
        <w:rPr>
          <w:b/>
          <w:bCs/>
          <w:sz w:val="16"/>
          <w:szCs w:val="16"/>
        </w:rPr>
      </w:pPr>
      <w:r w:rsidRPr="009F6174">
        <w:rPr>
          <w:b/>
          <w:bCs/>
          <w:sz w:val="16"/>
          <w:szCs w:val="16"/>
        </w:rPr>
        <w:t xml:space="preserve">2026: EMS POLITICAL &amp; LEGAL APPLICATIONS FOR EMERGENCY MEDICAL SERVICES  (4 Author text for National Fire Academy / FESHE online course): </w:t>
      </w:r>
      <w:hyperlink r:id="rId19" w:history="1">
        <w:r w:rsidRPr="009F6174">
          <w:rPr>
            <w:rStyle w:val="Hyperlink"/>
            <w:b/>
            <w:bCs/>
            <w:sz w:val="16"/>
            <w:szCs w:val="16"/>
          </w:rPr>
          <w:t>https://scholar.uc.edu/concern/documents/ht24wm15r?locale=en</w:t>
        </w:r>
      </w:hyperlink>
    </w:p>
    <w:p w14:paraId="2D3BDA88" w14:textId="77777777" w:rsidR="009F6174" w:rsidRPr="009F6174" w:rsidRDefault="009F6174" w:rsidP="009F6174">
      <w:pPr>
        <w:pStyle w:val="NoSpacing"/>
        <w:numPr>
          <w:ilvl w:val="0"/>
          <w:numId w:val="42"/>
        </w:numPr>
        <w:rPr>
          <w:b/>
          <w:bCs/>
          <w:sz w:val="16"/>
          <w:szCs w:val="16"/>
        </w:rPr>
      </w:pPr>
      <w:r w:rsidRPr="009F6174">
        <w:rPr>
          <w:b/>
          <w:bCs/>
          <w:sz w:val="16"/>
          <w:szCs w:val="16"/>
        </w:rPr>
        <w:t xml:space="preserve">2026: AMERICAN HISTORY – FOR FIRE &amp; EMS (including U.S. Supreme Court decisions, and Major Fires)  </w:t>
      </w:r>
      <w:hyperlink r:id="rId20" w:history="1">
        <w:r w:rsidRPr="009F6174">
          <w:rPr>
            <w:rStyle w:val="Hyperlink"/>
            <w:b/>
            <w:bCs/>
            <w:sz w:val="16"/>
            <w:szCs w:val="16"/>
          </w:rPr>
          <w:t>https://scholar.uc.edu/show/ks65hd707</w:t>
        </w:r>
      </w:hyperlink>
    </w:p>
    <w:p w14:paraId="6C3B5078" w14:textId="77777777" w:rsidR="009F6174" w:rsidRPr="009F6174" w:rsidRDefault="009F6174" w:rsidP="009F6174">
      <w:pPr>
        <w:pStyle w:val="NoSpacing"/>
        <w:numPr>
          <w:ilvl w:val="0"/>
          <w:numId w:val="42"/>
        </w:numPr>
        <w:rPr>
          <w:b/>
          <w:bCs/>
          <w:sz w:val="16"/>
          <w:szCs w:val="16"/>
        </w:rPr>
      </w:pPr>
      <w:r w:rsidRPr="009F6174">
        <w:rPr>
          <w:b/>
          <w:bCs/>
          <w:sz w:val="16"/>
          <w:szCs w:val="16"/>
        </w:rPr>
        <w:t xml:space="preserve">2017: TEXTBOOK:  FIRE SERVICE LAW (Second Edition) (ISBN 978-1-4786-3397-6); Waveland Press: </w:t>
      </w:r>
      <w:hyperlink r:id="rId21" w:history="1">
        <w:r w:rsidRPr="009F6174">
          <w:rPr>
            <w:rStyle w:val="Hyperlink"/>
            <w:b/>
            <w:bCs/>
            <w:sz w:val="16"/>
            <w:szCs w:val="16"/>
          </w:rPr>
          <w:t>http://www.waveland.com/browse.php?t=708</w:t>
        </w:r>
      </w:hyperlink>
      <w:r w:rsidRPr="009F6174">
        <w:rPr>
          <w:b/>
          <w:bCs/>
          <w:sz w:val="16"/>
          <w:szCs w:val="16"/>
        </w:rPr>
        <w:t xml:space="preserve">  (First Edition – Prentice Hall, 2008).</w:t>
      </w:r>
    </w:p>
    <w:p w14:paraId="3A8B0D38" w14:textId="77777777" w:rsidR="009F6174" w:rsidRPr="009F6174" w:rsidRDefault="009F6174" w:rsidP="009F6174">
      <w:pPr>
        <w:pStyle w:val="NoSpacing"/>
        <w:numPr>
          <w:ilvl w:val="0"/>
          <w:numId w:val="42"/>
        </w:numPr>
        <w:rPr>
          <w:b/>
          <w:bCs/>
          <w:sz w:val="16"/>
          <w:szCs w:val="16"/>
        </w:rPr>
      </w:pPr>
      <w:r w:rsidRPr="009F6174">
        <w:rPr>
          <w:b/>
          <w:bCs/>
          <w:sz w:val="16"/>
          <w:szCs w:val="16"/>
        </w:rPr>
        <w:t>2006: CHIEF FIRE OFFICER’S DESK REFERENCE: Jones &amp; Bartlett, Chap. 4: U.S. Legal System.</w:t>
      </w:r>
    </w:p>
    <w:p w14:paraId="0387007A" w14:textId="77777777" w:rsidR="009F6174" w:rsidRPr="009F6174" w:rsidRDefault="009F6174" w:rsidP="009F6174">
      <w:pPr>
        <w:pStyle w:val="NoSpacing"/>
        <w:numPr>
          <w:ilvl w:val="0"/>
          <w:numId w:val="42"/>
        </w:numPr>
        <w:rPr>
          <w:b/>
          <w:bCs/>
          <w:sz w:val="16"/>
          <w:szCs w:val="16"/>
        </w:rPr>
      </w:pPr>
      <w:r w:rsidRPr="009F6174">
        <w:rPr>
          <w:b/>
          <w:bCs/>
          <w:sz w:val="16"/>
          <w:szCs w:val="16"/>
        </w:rPr>
        <w:t>2005: FIRE &amp; EMS LAW FOR OFFICERS: Fire Protection Publications, Okla. State: Employment Best Practices (2005); Safety (2004).</w:t>
      </w:r>
    </w:p>
    <w:p w14:paraId="6D2A07B5" w14:textId="77777777" w:rsidR="009F6174" w:rsidRPr="009F6174" w:rsidRDefault="009F6174" w:rsidP="009F6174">
      <w:pPr>
        <w:pStyle w:val="NoSpacing"/>
        <w:rPr>
          <w:b/>
          <w:bCs/>
          <w:sz w:val="16"/>
          <w:szCs w:val="16"/>
          <w:u w:val="single"/>
        </w:rPr>
      </w:pPr>
    </w:p>
    <w:p w14:paraId="75EF7650" w14:textId="77777777" w:rsidR="006D2D4A" w:rsidRDefault="006D2D4A" w:rsidP="006D2D4A">
      <w:pPr>
        <w:pStyle w:val="NoSpacing"/>
        <w:rPr>
          <w:b/>
          <w:bCs/>
          <w:sz w:val="16"/>
          <w:szCs w:val="16"/>
        </w:rPr>
      </w:pPr>
    </w:p>
    <w:p w14:paraId="12AD15FA" w14:textId="77777777" w:rsidR="006D2D4A" w:rsidRPr="00F5681B" w:rsidRDefault="006D2D4A" w:rsidP="006D2D4A">
      <w:pPr>
        <w:pStyle w:val="NoSpacing"/>
        <w:ind w:left="720"/>
        <w:rPr>
          <w:rFonts w:ascii="Times New Roman" w:hAnsi="Times New Roman"/>
          <w:b/>
          <w:bCs/>
          <w:sz w:val="20"/>
          <w:szCs w:val="20"/>
        </w:rPr>
      </w:pPr>
    </w:p>
    <w:p w14:paraId="544D5725" w14:textId="77777777" w:rsidR="006C4753" w:rsidRPr="00F5681B" w:rsidRDefault="006C4753" w:rsidP="00F326E5">
      <w:pPr>
        <w:pStyle w:val="NoSpacing"/>
        <w:rPr>
          <w:rFonts w:ascii="Times New Roman" w:hAnsi="Times New Roman"/>
          <w:sz w:val="20"/>
          <w:szCs w:val="20"/>
        </w:rPr>
      </w:pPr>
    </w:p>
    <w:p w14:paraId="3216C5A5" w14:textId="24866E97" w:rsidR="00F326E5" w:rsidRDefault="00F326E5" w:rsidP="00F326E5">
      <w:pPr>
        <w:pStyle w:val="NoSpacing"/>
        <w:rPr>
          <w:rFonts w:ascii="Arial Black" w:hAnsi="Arial Black"/>
          <w:sz w:val="40"/>
          <w:szCs w:val="40"/>
        </w:rPr>
      </w:pPr>
      <w:r w:rsidRPr="007732FA">
        <w:rPr>
          <w:rFonts w:ascii="Arial Black" w:hAnsi="Arial Black"/>
          <w:sz w:val="40"/>
          <w:szCs w:val="40"/>
        </w:rPr>
        <w:t>Chap. 1</w:t>
      </w:r>
      <w:r w:rsidRPr="007732FA">
        <w:rPr>
          <w:rFonts w:ascii="Arial Black" w:hAnsi="Arial Black"/>
          <w:sz w:val="40"/>
          <w:szCs w:val="40"/>
        </w:rPr>
        <w:tab/>
        <w:t>American Legal System</w:t>
      </w:r>
      <w:r w:rsidR="003F660F">
        <w:rPr>
          <w:rFonts w:ascii="Arial Black" w:hAnsi="Arial Black"/>
          <w:sz w:val="40"/>
          <w:szCs w:val="40"/>
        </w:rPr>
        <w:t>, incl</w:t>
      </w:r>
      <w:r w:rsidR="00022BE4">
        <w:rPr>
          <w:rFonts w:ascii="Arial Black" w:hAnsi="Arial Black"/>
          <w:sz w:val="40"/>
          <w:szCs w:val="40"/>
        </w:rPr>
        <w:t xml:space="preserve">. </w:t>
      </w:r>
      <w:r w:rsidR="00636395">
        <w:rPr>
          <w:rFonts w:ascii="Arial Black" w:hAnsi="Arial Black"/>
          <w:sz w:val="40"/>
          <w:szCs w:val="40"/>
        </w:rPr>
        <w:t xml:space="preserve">Fire </w:t>
      </w:r>
      <w:r w:rsidRPr="007732FA">
        <w:rPr>
          <w:rFonts w:ascii="Arial Black" w:hAnsi="Arial Black"/>
          <w:sz w:val="40"/>
          <w:szCs w:val="40"/>
        </w:rPr>
        <w:t>Code</w:t>
      </w:r>
      <w:r w:rsidR="00636395">
        <w:rPr>
          <w:rFonts w:ascii="Arial Black" w:hAnsi="Arial Black"/>
          <w:sz w:val="40"/>
          <w:szCs w:val="40"/>
        </w:rPr>
        <w:t>s</w:t>
      </w:r>
      <w:r w:rsidR="003F660F">
        <w:rPr>
          <w:rFonts w:ascii="Arial Black" w:hAnsi="Arial Black"/>
          <w:sz w:val="40"/>
          <w:szCs w:val="40"/>
        </w:rPr>
        <w:t xml:space="preserve">, </w:t>
      </w:r>
      <w:r w:rsidR="00636395">
        <w:rPr>
          <w:rFonts w:ascii="Arial Black" w:hAnsi="Arial Black"/>
          <w:sz w:val="40"/>
          <w:szCs w:val="40"/>
        </w:rPr>
        <w:t xml:space="preserve">Arson </w:t>
      </w:r>
      <w:r w:rsidRPr="007732FA">
        <w:rPr>
          <w:rFonts w:ascii="Arial Black" w:hAnsi="Arial Black"/>
          <w:sz w:val="40"/>
          <w:szCs w:val="40"/>
        </w:rPr>
        <w:t xml:space="preserve"> </w:t>
      </w:r>
    </w:p>
    <w:p w14:paraId="42575F13" w14:textId="77777777" w:rsidR="006E51B1" w:rsidRDefault="006E51B1" w:rsidP="00037CB8">
      <w:pPr>
        <w:pStyle w:val="NoSpacing"/>
        <w:rPr>
          <w:rFonts w:ascii="Arial Black" w:hAnsi="Arial Black"/>
          <w:sz w:val="24"/>
          <w:szCs w:val="24"/>
        </w:rPr>
      </w:pPr>
    </w:p>
    <w:p w14:paraId="572F4743" w14:textId="77777777" w:rsidR="002E1260" w:rsidRDefault="002E1260" w:rsidP="00822052">
      <w:pPr>
        <w:pStyle w:val="NoSpacing"/>
        <w:rPr>
          <w:rFonts w:ascii="Arial Black" w:hAnsi="Arial Black"/>
          <w:sz w:val="24"/>
          <w:szCs w:val="24"/>
        </w:rPr>
      </w:pPr>
    </w:p>
    <w:p w14:paraId="0EBB3492" w14:textId="4ECC5604" w:rsidR="002E1260" w:rsidRDefault="002E1260" w:rsidP="002E1260">
      <w:pPr>
        <w:pStyle w:val="NoSpacing"/>
        <w:rPr>
          <w:rFonts w:ascii="Arial Black" w:hAnsi="Arial Black"/>
          <w:sz w:val="24"/>
          <w:szCs w:val="24"/>
        </w:rPr>
      </w:pPr>
      <w:r>
        <w:rPr>
          <w:rFonts w:ascii="Arial Black" w:hAnsi="Arial Black"/>
          <w:sz w:val="24"/>
          <w:szCs w:val="24"/>
        </w:rPr>
        <w:t>1-21</w:t>
      </w:r>
      <w:r>
        <w:rPr>
          <w:rFonts w:ascii="Arial Black" w:hAnsi="Arial Black"/>
          <w:sz w:val="24"/>
          <w:szCs w:val="24"/>
        </w:rPr>
        <w:t>5</w:t>
      </w:r>
    </w:p>
    <w:p w14:paraId="65A21BF6" w14:textId="77777777" w:rsidR="002E1260" w:rsidRDefault="002E1260" w:rsidP="002E1260">
      <w:pPr>
        <w:rPr>
          <w:rFonts w:ascii="Arial Black" w:hAnsi="Arial Black"/>
          <w:b/>
          <w:sz w:val="28"/>
          <w:szCs w:val="28"/>
        </w:rPr>
      </w:pPr>
    </w:p>
    <w:p w14:paraId="42DC3D0A" w14:textId="0C098E3B" w:rsidR="002E1260" w:rsidRPr="00605DA5" w:rsidRDefault="002E1260" w:rsidP="002E1260">
      <w:pPr>
        <w:rPr>
          <w:rFonts w:ascii="Arial Black" w:hAnsi="Arial Black"/>
          <w:b/>
          <w:sz w:val="28"/>
          <w:szCs w:val="28"/>
        </w:rPr>
      </w:pPr>
      <w:r>
        <w:rPr>
          <w:rFonts w:ascii="Arial Black" w:hAnsi="Arial Black"/>
          <w:b/>
          <w:sz w:val="28"/>
          <w:szCs w:val="28"/>
        </w:rPr>
        <w:t>VA: ARSON – SUSPECT NOT “IN CUSTODY” – NO MIRANDA</w:t>
      </w:r>
    </w:p>
    <w:p w14:paraId="161E8BC4" w14:textId="77777777" w:rsidR="002E1260" w:rsidRPr="00505873" w:rsidRDefault="002E1260" w:rsidP="002E1260">
      <w:pPr>
        <w:rPr>
          <w:bCs/>
        </w:rPr>
      </w:pPr>
      <w:r>
        <w:t xml:space="preserve">On June 23, 2026, in </w:t>
      </w:r>
      <w:r w:rsidRPr="00376966">
        <w:rPr>
          <w:u w:val="single"/>
        </w:rPr>
        <w:t>Darius Marquise Mills-Brown v. Commonwealth of Virginia</w:t>
      </w:r>
      <w:r>
        <w:t xml:space="preserve">, the </w:t>
      </w:r>
      <w:r w:rsidRPr="00376966">
        <w:t>Court of Appeals of Virginia</w:t>
      </w:r>
      <w:r>
        <w:t xml:space="preserve"> held (3 to 0; unpublished opinion) that trial court properly denied defendant’s motion to suppress since he was not in custody and was free to leave the Subway Restaurant when questioned by the arson investigator, and confessed, prior to being given </w:t>
      </w:r>
      <w:r w:rsidRPr="00505873">
        <w:rPr>
          <w:i/>
          <w:iCs/>
        </w:rPr>
        <w:t xml:space="preserve">Miranda </w:t>
      </w:r>
      <w:r>
        <w:t>warnings. I</w:t>
      </w:r>
      <w:r w:rsidRPr="00466B9C">
        <w:t xml:space="preserve">n 2024, a jury convicted Darius Marquise Mills-Brown of arson </w:t>
      </w:r>
      <w:proofErr w:type="gramStart"/>
      <w:r w:rsidRPr="00466B9C">
        <w:t>of</w:t>
      </w:r>
      <w:proofErr w:type="gramEnd"/>
      <w:r w:rsidRPr="00466B9C">
        <w:t xml:space="preserve"> an occupied building.</w:t>
      </w:r>
      <w:r>
        <w:t xml:space="preserve"> </w:t>
      </w:r>
      <w:r w:rsidRPr="00466B9C">
        <w:t>The trial court sentenced him to 20 years’ incarceration, with 10 years suspended.</w:t>
      </w:r>
      <w:r>
        <w:t xml:space="preserve"> The Court wrote: “At no point during the conversation did Persons exert force or restrain Mills-Brown. Indeed, Persons clarified that Mills-Brown was free to leave at any time.”</w:t>
      </w:r>
      <w:r w:rsidRPr="00466B9C">
        <w:t xml:space="preserve"> </w:t>
      </w:r>
      <w:hyperlink r:id="rId22" w:history="1">
        <w:r w:rsidRPr="00043B81">
          <w:rPr>
            <w:rStyle w:val="Hyperlink"/>
          </w:rPr>
          <w:t>https://cases.justia.com/virginia/court-of-appeals-unpublished/2026-2083-24-1.pdf?ts=1782229177</w:t>
        </w:r>
      </w:hyperlink>
      <w:r>
        <w:t xml:space="preserve"> </w:t>
      </w:r>
    </w:p>
    <w:p w14:paraId="2CE49D98" w14:textId="77777777" w:rsidR="002E1260" w:rsidRDefault="002E1260" w:rsidP="002E1260">
      <w:pPr>
        <w:rPr>
          <w:b/>
        </w:rPr>
      </w:pPr>
      <w:r>
        <w:rPr>
          <w:b/>
        </w:rPr>
        <w:t>FACTS:</w:t>
      </w:r>
    </w:p>
    <w:p w14:paraId="597E9D52" w14:textId="77777777" w:rsidR="002E1260" w:rsidRDefault="002E1260" w:rsidP="002E1260">
      <w:pPr>
        <w:pStyle w:val="NoSpacing"/>
      </w:pPr>
      <w:r>
        <w:t>“In December 2021, Darius Marquise Mills-Brown was housesitting for Nicole Thomas</w:t>
      </w:r>
    </w:p>
    <w:p w14:paraId="6966291B" w14:textId="77777777" w:rsidR="002E1260" w:rsidRDefault="002E1260" w:rsidP="002E1260">
      <w:pPr>
        <w:pStyle w:val="NoSpacing"/>
      </w:pPr>
      <w:r>
        <w:t>while she was deployed with the military. Tiffany Marchman and her son lived in a townhouse</w:t>
      </w:r>
    </w:p>
    <w:p w14:paraId="0F43D43E" w14:textId="77777777" w:rsidR="002E1260" w:rsidRDefault="002E1260" w:rsidP="002E1260">
      <w:pPr>
        <w:pStyle w:val="NoSpacing"/>
      </w:pPr>
      <w:r>
        <w:t>next door.</w:t>
      </w:r>
    </w:p>
    <w:p w14:paraId="3832036C" w14:textId="77777777" w:rsidR="002E1260" w:rsidRDefault="002E1260" w:rsidP="002E1260">
      <w:pPr>
        <w:pStyle w:val="NoSpacing"/>
      </w:pPr>
    </w:p>
    <w:p w14:paraId="71BA2936" w14:textId="77777777" w:rsidR="002E1260" w:rsidRDefault="002E1260" w:rsidP="002E1260">
      <w:pPr>
        <w:pStyle w:val="NoSpacing"/>
      </w:pPr>
      <w:r>
        <w:t>***</w:t>
      </w:r>
    </w:p>
    <w:p w14:paraId="0DCBFACD" w14:textId="77777777" w:rsidR="002E1260" w:rsidRDefault="002E1260" w:rsidP="002E1260">
      <w:pPr>
        <w:pStyle w:val="NoSpacing"/>
      </w:pPr>
    </w:p>
    <w:p w14:paraId="65613973" w14:textId="77777777" w:rsidR="002E1260" w:rsidRDefault="002E1260" w:rsidP="002E1260">
      <w:pPr>
        <w:pStyle w:val="NoSpacing"/>
      </w:pPr>
      <w:r>
        <w:t xml:space="preserve">Chris Persons, an investigator at the Fire Marshal’s Office, </w:t>
      </w:r>
      <w:proofErr w:type="gramStart"/>
      <w:r>
        <w:t>had not arrived</w:t>
      </w:r>
      <w:proofErr w:type="gramEnd"/>
      <w:r>
        <w:t xml:space="preserve"> </w:t>
      </w:r>
      <w:proofErr w:type="gramStart"/>
      <w:r>
        <w:t>on</w:t>
      </w:r>
      <w:proofErr w:type="gramEnd"/>
      <w:r>
        <w:t xml:space="preserve"> the scene</w:t>
      </w:r>
    </w:p>
    <w:p w14:paraId="5DE5ECB5" w14:textId="77777777" w:rsidR="002E1260" w:rsidRDefault="002E1260" w:rsidP="002E1260">
      <w:pPr>
        <w:pStyle w:val="NoSpacing"/>
      </w:pPr>
      <w:r>
        <w:t>when a dispatch officer informed him that they had received a call from a person with</w:t>
      </w:r>
    </w:p>
    <w:p w14:paraId="58B6C63A" w14:textId="77777777" w:rsidR="002E1260" w:rsidRDefault="002E1260" w:rsidP="002E1260">
      <w:pPr>
        <w:pStyle w:val="NoSpacing"/>
      </w:pPr>
      <w:r>
        <w:t xml:space="preserve">information about the fire. </w:t>
      </w:r>
      <w:proofErr w:type="gramStart"/>
      <w:r>
        <w:t>Persons</w:t>
      </w:r>
      <w:proofErr w:type="gramEnd"/>
      <w:r>
        <w:t xml:space="preserve"> called the number associated with the tip and learned that the</w:t>
      </w:r>
    </w:p>
    <w:p w14:paraId="76DF7D2D" w14:textId="77777777" w:rsidR="002E1260" w:rsidRDefault="002E1260" w:rsidP="002E1260">
      <w:pPr>
        <w:pStyle w:val="NoSpacing"/>
      </w:pPr>
      <w:r>
        <w:t>caller was Mills-Brown. Mills-Brown stated that he was at a nearby Subway restaurant. When</w:t>
      </w:r>
    </w:p>
    <w:p w14:paraId="76D22CF1" w14:textId="77777777" w:rsidR="002E1260" w:rsidRDefault="002E1260" w:rsidP="002E1260">
      <w:pPr>
        <w:pStyle w:val="NoSpacing"/>
      </w:pPr>
      <w:r>
        <w:t xml:space="preserve">Persons arrived at the Subway, he </w:t>
      </w:r>
      <w:proofErr w:type="gramStart"/>
      <w:r>
        <w:t>saw Mills</w:t>
      </w:r>
      <w:proofErr w:type="gramEnd"/>
      <w:r>
        <w:t xml:space="preserve">-Brown sitting at a corner table alone. Persons approached Mills-Brown, identified himself, and asked if he was ‘ok.’ </w:t>
      </w:r>
      <w:proofErr w:type="gramStart"/>
      <w:r>
        <w:t>Persons</w:t>
      </w:r>
      <w:proofErr w:type="gramEnd"/>
      <w:r>
        <w:t xml:space="preserve"> did not place</w:t>
      </w:r>
    </w:p>
    <w:p w14:paraId="781314A8" w14:textId="77777777" w:rsidR="002E1260" w:rsidRDefault="002E1260" w:rsidP="002E1260">
      <w:pPr>
        <w:pStyle w:val="NoSpacing"/>
      </w:pPr>
      <w:r>
        <w:t>Mills-Brown in handcuffs and clarified that he was free to leave at any time. When Persons</w:t>
      </w:r>
    </w:p>
    <w:p w14:paraId="0F0C5BA8" w14:textId="77777777" w:rsidR="002E1260" w:rsidRDefault="002E1260" w:rsidP="002E1260">
      <w:pPr>
        <w:pStyle w:val="NoSpacing"/>
      </w:pPr>
      <w:r>
        <w:t>asked what had happened, Mills-Brown ‘tear[ed] up, appeared emotional and distraught’ and</w:t>
      </w:r>
    </w:p>
    <w:p w14:paraId="682501CA" w14:textId="77777777" w:rsidR="002E1260" w:rsidRDefault="002E1260" w:rsidP="002E1260">
      <w:pPr>
        <w:pStyle w:val="NoSpacing"/>
      </w:pPr>
      <w:r>
        <w:t xml:space="preserve">told him that he set fire to the </w:t>
      </w:r>
      <w:proofErr w:type="gramStart"/>
      <w:r>
        <w:t>townhome</w:t>
      </w:r>
      <w:proofErr w:type="gramEnd"/>
      <w:r>
        <w:t xml:space="preserve"> after Thomas kicked him out. Mills-Brown told</w:t>
      </w:r>
    </w:p>
    <w:p w14:paraId="6EC28057" w14:textId="77777777" w:rsidR="002E1260" w:rsidRDefault="002E1260" w:rsidP="002E1260">
      <w:pPr>
        <w:pStyle w:val="NoSpacing"/>
      </w:pPr>
      <w:proofErr w:type="gramStart"/>
      <w:r>
        <w:t>Persons</w:t>
      </w:r>
      <w:proofErr w:type="gramEnd"/>
      <w:r>
        <w:t xml:space="preserve"> that he lit a blanket on fire on a wicker chair in the backyard. Mills-Brown then wrote a</w:t>
      </w:r>
    </w:p>
    <w:p w14:paraId="36C28144" w14:textId="77777777" w:rsidR="002E1260" w:rsidRDefault="002E1260" w:rsidP="002E1260">
      <w:pPr>
        <w:pStyle w:val="NoSpacing"/>
      </w:pPr>
      <w:r>
        <w:t>statement memorializing his oral account. Following the written and oral statements, Persons</w:t>
      </w:r>
    </w:p>
    <w:p w14:paraId="5EE5EAB0" w14:textId="77777777" w:rsidR="002E1260" w:rsidRDefault="002E1260" w:rsidP="002E1260">
      <w:pPr>
        <w:pStyle w:val="NoSpacing"/>
      </w:pPr>
      <w:proofErr w:type="gramStart"/>
      <w:r>
        <w:t>arrested Mills-Brown</w:t>
      </w:r>
      <w:proofErr w:type="gramEnd"/>
      <w:r>
        <w:t xml:space="preserve"> for arson of Thomas’s dwelling.</w:t>
      </w:r>
    </w:p>
    <w:p w14:paraId="35694BBD" w14:textId="77777777" w:rsidR="002E1260" w:rsidRDefault="002E1260" w:rsidP="002E1260">
      <w:pPr>
        <w:pStyle w:val="NoSpacing"/>
      </w:pPr>
    </w:p>
    <w:p w14:paraId="238B576C" w14:textId="77777777" w:rsidR="002E1260" w:rsidRDefault="002E1260" w:rsidP="002E1260">
      <w:pPr>
        <w:pStyle w:val="NoSpacing"/>
      </w:pPr>
      <w:r>
        <w:t>***</w:t>
      </w:r>
    </w:p>
    <w:p w14:paraId="33A581D5" w14:textId="77777777" w:rsidR="002E1260" w:rsidRDefault="002E1260" w:rsidP="002E1260">
      <w:pPr>
        <w:pStyle w:val="NoSpacing"/>
      </w:pPr>
      <w:r w:rsidRPr="002B59C1">
        <w:t>At the suppression hearing, he argued that</w:t>
      </w:r>
      <w:r>
        <w:t xml:space="preserve"> </w:t>
      </w:r>
      <w:r w:rsidRPr="002B59C1">
        <w:t xml:space="preserve">his inculpatory statements from Subway were inadmissible because Persons </w:t>
      </w:r>
      <w:r>
        <w:t>‘</w:t>
      </w:r>
      <w:r w:rsidRPr="002B59C1">
        <w:t>should have read</w:t>
      </w:r>
      <w:r>
        <w:t xml:space="preserve"> </w:t>
      </w:r>
      <w:r w:rsidRPr="002B59C1">
        <w:t>[him his] rights before that.</w:t>
      </w:r>
      <w:r>
        <w:t>’</w:t>
      </w:r>
      <w:r w:rsidRPr="002B59C1">
        <w:t xml:space="preserve"> Mills-Brown acknowledged that he admitted to starting the fire</w:t>
      </w:r>
      <w:r>
        <w:t xml:space="preserve"> </w:t>
      </w:r>
      <w:r w:rsidRPr="002B59C1">
        <w:t>because he was mad that Thomas had thrown him out of the townhouse. He also agreed that</w:t>
      </w:r>
      <w:r>
        <w:t xml:space="preserve"> </w:t>
      </w:r>
      <w:r w:rsidRPr="002B59C1">
        <w:t>Persons was sitting beside him at the Subway, did not handcuff him, and never told him that he</w:t>
      </w:r>
      <w:r>
        <w:t xml:space="preserve"> </w:t>
      </w:r>
      <w:r w:rsidRPr="002B59C1">
        <w:t>had to stay. Mills-Brown confirmed that Persons did not arrest him until after he made oral and</w:t>
      </w:r>
      <w:r>
        <w:t xml:space="preserve"> </w:t>
      </w:r>
      <w:r w:rsidRPr="002B59C1">
        <w:t>written statements. The trial court found that Mills-Brown was not in custody when he made his</w:t>
      </w:r>
      <w:r>
        <w:t xml:space="preserve"> </w:t>
      </w:r>
      <w:r w:rsidRPr="002B59C1">
        <w:t>voluntary statements and denied the motion to suppress.</w:t>
      </w:r>
      <w:r>
        <w:t>”</w:t>
      </w:r>
    </w:p>
    <w:p w14:paraId="6F7299AC" w14:textId="77777777" w:rsidR="002E1260" w:rsidRDefault="002E1260" w:rsidP="002E1260">
      <w:pPr>
        <w:pStyle w:val="NoSpacing"/>
      </w:pPr>
    </w:p>
    <w:p w14:paraId="1A7E5EC3" w14:textId="77777777" w:rsidR="002E1260" w:rsidRDefault="002E1260" w:rsidP="002E1260">
      <w:pPr>
        <w:rPr>
          <w:b/>
        </w:rPr>
      </w:pPr>
      <w:r>
        <w:rPr>
          <w:b/>
        </w:rPr>
        <w:t>COURT HELD:</w:t>
      </w:r>
    </w:p>
    <w:p w14:paraId="7D061B4E" w14:textId="77777777" w:rsidR="002E1260" w:rsidRPr="009E418E" w:rsidRDefault="002E1260" w:rsidP="002E1260">
      <w:pPr>
        <w:pStyle w:val="NoSpacing"/>
      </w:pPr>
      <w:r w:rsidRPr="009E418E">
        <w:t>Mills-Brown contends that his oral and written confessions should have been suppressed</w:t>
      </w:r>
    </w:p>
    <w:p w14:paraId="6E526F93" w14:textId="77777777" w:rsidR="002E1260" w:rsidRPr="009E418E" w:rsidRDefault="002E1260" w:rsidP="002E1260">
      <w:pPr>
        <w:pStyle w:val="NoSpacing"/>
      </w:pPr>
      <w:r w:rsidRPr="009E418E">
        <w:t>because Investigator Persons did not read him his Miranda8 rights during their conversation at</w:t>
      </w:r>
    </w:p>
    <w:p w14:paraId="6B8F5E80" w14:textId="77777777" w:rsidR="002E1260" w:rsidRDefault="002E1260" w:rsidP="002E1260">
      <w:pPr>
        <w:pStyle w:val="NoSpacing"/>
      </w:pPr>
      <w:r w:rsidRPr="009E418E">
        <w:t>Subway. As Mills-Brown was not in custody at the time of his confession, we disagree.</w:t>
      </w:r>
    </w:p>
    <w:p w14:paraId="76293754" w14:textId="77777777" w:rsidR="002E1260" w:rsidRDefault="002E1260" w:rsidP="002E1260">
      <w:pPr>
        <w:pStyle w:val="NoSpacing"/>
      </w:pPr>
    </w:p>
    <w:p w14:paraId="263C81D6" w14:textId="77777777" w:rsidR="002E1260" w:rsidRDefault="002E1260" w:rsidP="002E1260">
      <w:pPr>
        <w:pStyle w:val="NoSpacing"/>
      </w:pPr>
      <w:r>
        <w:t>The ‘protection afforded by Miranda applies only when a suspect is subjected to</w:t>
      </w:r>
    </w:p>
    <w:p w14:paraId="7A4DAD01" w14:textId="77777777" w:rsidR="002E1260" w:rsidRDefault="002E1260" w:rsidP="002E1260">
      <w:pPr>
        <w:pStyle w:val="NoSpacing"/>
      </w:pPr>
      <w:r>
        <w:t>custodial interrogation.’ Webber v. Commonwealth, 26 Va. App. 549, 557 (1998). See, e.g.,</w:t>
      </w:r>
    </w:p>
    <w:p w14:paraId="10F2FD65" w14:textId="77777777" w:rsidR="002E1260" w:rsidRDefault="002E1260" w:rsidP="002E1260">
      <w:pPr>
        <w:pStyle w:val="NoSpacing"/>
      </w:pPr>
      <w:r>
        <w:t>Pruett v. Commonwealth, 232 Va. 266, 272 (1986) (explaining that Miranda does not apply to a</w:t>
      </w:r>
    </w:p>
    <w:p w14:paraId="54EFD33F" w14:textId="77777777" w:rsidR="002E1260" w:rsidRDefault="002E1260" w:rsidP="002E1260">
      <w:pPr>
        <w:pStyle w:val="NoSpacing"/>
      </w:pPr>
      <w:r>
        <w:t>police officer’s ‘general questioning’ of citizens during a fact-finding mission). ‘Custodial</w:t>
      </w:r>
    </w:p>
    <w:p w14:paraId="0F8803A3" w14:textId="77777777" w:rsidR="002E1260" w:rsidRDefault="002E1260" w:rsidP="002E1260">
      <w:pPr>
        <w:pStyle w:val="NoSpacing"/>
      </w:pPr>
      <w:r>
        <w:t xml:space="preserve">interrogation </w:t>
      </w:r>
      <w:proofErr w:type="gramStart"/>
      <w:r>
        <w:t>is ‘questioning</w:t>
      </w:r>
      <w:proofErr w:type="gramEnd"/>
      <w:r>
        <w:t xml:space="preserve"> initiated by law enforcement officers after a person has been taken</w:t>
      </w:r>
    </w:p>
    <w:p w14:paraId="70003F55" w14:textId="77777777" w:rsidR="002E1260" w:rsidRDefault="002E1260" w:rsidP="002E1260">
      <w:pPr>
        <w:pStyle w:val="NoSpacing"/>
      </w:pPr>
      <w:r>
        <w:t>into custody or otherwise deprived of his freedom of action in any significant way.’ Keepers v.</w:t>
      </w:r>
    </w:p>
    <w:p w14:paraId="548A85C8" w14:textId="77777777" w:rsidR="002E1260" w:rsidRDefault="002E1260" w:rsidP="002E1260">
      <w:pPr>
        <w:pStyle w:val="NoSpacing"/>
      </w:pPr>
      <w:r>
        <w:t>Commonwealth, 72 Va. App. 17, 34 (2020) (quoting Miranda v. Arizona, 384 U.S. 436, 444</w:t>
      </w:r>
    </w:p>
    <w:p w14:paraId="613B24B1" w14:textId="77777777" w:rsidR="002E1260" w:rsidRDefault="002E1260" w:rsidP="002E1260">
      <w:pPr>
        <w:pStyle w:val="NoSpacing"/>
      </w:pPr>
      <w:r>
        <w:t>(</w:t>
      </w:r>
      <w:proofErr w:type="gramStart"/>
      <w:r>
        <w:t>1966))</w:t>
      </w:r>
      <w:proofErr w:type="gramEnd"/>
      <w:r>
        <w:t>. ‘The ultimate inquiry into whether an individual is subject to custodial interrogation is simply whether there is a formal arrest or restraint on freedom of movement of the degree</w:t>
      </w:r>
    </w:p>
    <w:p w14:paraId="34FB8EBE" w14:textId="77777777" w:rsidR="002E1260" w:rsidRDefault="002E1260" w:rsidP="002E1260">
      <w:pPr>
        <w:pStyle w:val="NoSpacing"/>
      </w:pPr>
      <w:r>
        <w:t>associated with formal arrest.’ Id. (quoting Spinner v. Commonwealth, 297 Va. 384, 392</w:t>
      </w:r>
    </w:p>
    <w:p w14:paraId="319FCCD7" w14:textId="77777777" w:rsidR="002E1260" w:rsidRDefault="002E1260" w:rsidP="002E1260">
      <w:pPr>
        <w:pStyle w:val="NoSpacing"/>
      </w:pPr>
      <w:r>
        <w:t>(2019)).</w:t>
      </w:r>
    </w:p>
    <w:p w14:paraId="5A822853" w14:textId="77777777" w:rsidR="002E1260" w:rsidRDefault="002E1260" w:rsidP="002E1260">
      <w:pPr>
        <w:pStyle w:val="NoSpacing"/>
      </w:pPr>
    </w:p>
    <w:p w14:paraId="4E51D849" w14:textId="77777777" w:rsidR="002E1260" w:rsidRDefault="002E1260" w:rsidP="002E1260">
      <w:pPr>
        <w:pStyle w:val="NoSpacing"/>
      </w:pPr>
      <w:r>
        <w:t>***</w:t>
      </w:r>
    </w:p>
    <w:p w14:paraId="34E34415" w14:textId="77777777" w:rsidR="002E1260" w:rsidRDefault="002E1260" w:rsidP="002E1260">
      <w:pPr>
        <w:pStyle w:val="NoSpacing"/>
      </w:pPr>
      <w:r>
        <w:t xml:space="preserve">When Persons arrived, he found Mills-Brown seated at a corner table ten feet from the exit. </w:t>
      </w:r>
      <w:proofErr w:type="gramStart"/>
      <w:r>
        <w:t>Persons</w:t>
      </w:r>
      <w:proofErr w:type="gramEnd"/>
      <w:r>
        <w:t xml:space="preserve"> identified </w:t>
      </w:r>
      <w:proofErr w:type="gramStart"/>
      <w:r>
        <w:t>himself</w:t>
      </w:r>
      <w:proofErr w:type="gramEnd"/>
      <w:r>
        <w:t xml:space="preserve"> and started the conversation checking on Mills- Brown’s well-being. At no point during the conversation did Persons exert force or restrain Mills-Brown. Indeed, Persons clarified that Mills-Brown was free to leave at any time. When Persons asked what happened, Mills-Brown teared up and appeared emotionally distraught before disclosing that he started the fire after Thomas kicked him out of the townhouse. He stated that he had gotten mad and just “snapped.” And Persons only placed Mills-Brown under arrest after he made his oral and written confession. Therefore, we find that the court did not err in determining that a reasonable person would have felt free to leave under the </w:t>
      </w:r>
      <w:proofErr w:type="gramStart"/>
      <w:r>
        <w:t>circumstances.”</w:t>
      </w:r>
      <w:proofErr w:type="gramEnd"/>
    </w:p>
    <w:p w14:paraId="0DB7B21F" w14:textId="77777777" w:rsidR="002E1260" w:rsidRDefault="002E1260" w:rsidP="002E1260">
      <w:pPr>
        <w:pStyle w:val="NoSpacing"/>
      </w:pPr>
    </w:p>
    <w:p w14:paraId="5B391698" w14:textId="77777777" w:rsidR="002E1260" w:rsidRPr="005B7A19" w:rsidRDefault="002E1260" w:rsidP="002E1260">
      <w:pPr>
        <w:pStyle w:val="NoSpacing"/>
        <w:rPr>
          <w:b/>
          <w:bCs/>
        </w:rPr>
      </w:pPr>
      <w:r>
        <w:rPr>
          <w:b/>
        </w:rPr>
        <w:t xml:space="preserve">Legal lesson learned: </w:t>
      </w:r>
      <w:r w:rsidRPr="005B7A19">
        <w:rPr>
          <w:b/>
          <w:i/>
          <w:iCs/>
        </w:rPr>
        <w:t>Miranda</w:t>
      </w:r>
      <w:r>
        <w:rPr>
          <w:b/>
        </w:rPr>
        <w:t xml:space="preserve"> warnings are only required when the suspect is “in custody.”</w:t>
      </w:r>
    </w:p>
    <w:p w14:paraId="38249C10" w14:textId="77777777" w:rsidR="002E1260" w:rsidRDefault="002E1260" w:rsidP="002E1260">
      <w:pPr>
        <w:rPr>
          <w:b/>
        </w:rPr>
      </w:pPr>
    </w:p>
    <w:p w14:paraId="0C274633" w14:textId="77777777" w:rsidR="002E1260" w:rsidRDefault="002E1260" w:rsidP="002E1260">
      <w:pPr>
        <w:rPr>
          <w:rFonts w:ascii="Arial Black" w:hAnsi="Arial Black"/>
          <w:b/>
          <w:sz w:val="28"/>
          <w:szCs w:val="28"/>
        </w:rPr>
      </w:pPr>
    </w:p>
    <w:p w14:paraId="59BCD61D" w14:textId="15783D38" w:rsidR="002E1260" w:rsidRDefault="002E1260" w:rsidP="002E1260">
      <w:pPr>
        <w:pStyle w:val="NoSpacing"/>
        <w:rPr>
          <w:rFonts w:ascii="Arial Black" w:hAnsi="Arial Black"/>
          <w:sz w:val="24"/>
          <w:szCs w:val="24"/>
        </w:rPr>
      </w:pPr>
      <w:r>
        <w:rPr>
          <w:rFonts w:ascii="Arial Black" w:hAnsi="Arial Black"/>
          <w:sz w:val="24"/>
          <w:szCs w:val="24"/>
        </w:rPr>
        <w:t>1-21</w:t>
      </w:r>
      <w:r>
        <w:rPr>
          <w:rFonts w:ascii="Arial Black" w:hAnsi="Arial Black"/>
          <w:sz w:val="24"/>
          <w:szCs w:val="24"/>
        </w:rPr>
        <w:t>4</w:t>
      </w:r>
    </w:p>
    <w:p w14:paraId="361830D1" w14:textId="77777777" w:rsidR="002E1260" w:rsidRDefault="002E1260" w:rsidP="002E1260">
      <w:pPr>
        <w:pStyle w:val="NoSpacing"/>
        <w:rPr>
          <w:rFonts w:ascii="Arial Black" w:hAnsi="Arial Black"/>
          <w:sz w:val="24"/>
          <w:szCs w:val="24"/>
        </w:rPr>
      </w:pPr>
    </w:p>
    <w:p w14:paraId="7A7A6C0D" w14:textId="4BE4308C" w:rsidR="002E1260" w:rsidRPr="00756ABA" w:rsidRDefault="002E1260" w:rsidP="002E1260">
      <w:pPr>
        <w:rPr>
          <w:rFonts w:ascii="Arial Black" w:hAnsi="Arial Black"/>
          <w:b/>
          <w:sz w:val="28"/>
          <w:szCs w:val="28"/>
        </w:rPr>
      </w:pPr>
      <w:r>
        <w:rPr>
          <w:rFonts w:ascii="Arial Black" w:hAnsi="Arial Black"/>
          <w:b/>
          <w:sz w:val="28"/>
          <w:szCs w:val="28"/>
        </w:rPr>
        <w:t xml:space="preserve">CA: BRUSH FIRE - 30 BUILDINGS – MENTAL NO DEFENSE </w:t>
      </w:r>
    </w:p>
    <w:p w14:paraId="45902F86" w14:textId="77777777" w:rsidR="002E1260" w:rsidRDefault="002E1260" w:rsidP="002E1260">
      <w:pPr>
        <w:pStyle w:val="NoSpacing"/>
        <w:rPr>
          <w:bCs/>
        </w:rPr>
      </w:pPr>
      <w:r>
        <w:t xml:space="preserve">On June 13, 2026, in </w:t>
      </w:r>
      <w:r w:rsidRPr="002E0C32">
        <w:rPr>
          <w:u w:val="single"/>
        </w:rPr>
        <w:t>The People v. Devin Lamar Johnson</w:t>
      </w:r>
      <w:r>
        <w:t xml:space="preserve">, the </w:t>
      </w:r>
      <w:r w:rsidRPr="00862ADC">
        <w:t>California Court of Appeals, First District, Fourth Division</w:t>
      </w:r>
      <w:r>
        <w:t xml:space="preserve"> held (3 to 0; unpublished opinion) held that arson is a crime of general intent. </w:t>
      </w:r>
      <w:r w:rsidRPr="00F53B34">
        <w:t>Devin Lamar Johnson started a brush fire that ultimately burned</w:t>
      </w:r>
      <w:r>
        <w:t xml:space="preserve"> </w:t>
      </w:r>
      <w:r w:rsidRPr="00F53B34">
        <w:t>257 acres and 30 dwellings. About a month later, a psychologist diagnosed</w:t>
      </w:r>
      <w:r>
        <w:t xml:space="preserve"> </w:t>
      </w:r>
      <w:r w:rsidRPr="00F53B34">
        <w:t xml:space="preserve">him with </w:t>
      </w:r>
      <w:proofErr w:type="gramStart"/>
      <w:r w:rsidRPr="00F53B34">
        <w:t>early stage</w:t>
      </w:r>
      <w:proofErr w:type="gramEnd"/>
      <w:r w:rsidRPr="00F53B34">
        <w:t xml:space="preserve"> schizophrenia</w:t>
      </w:r>
      <w:r>
        <w:t>.</w:t>
      </w:r>
    </w:p>
    <w:p w14:paraId="477C0ACF" w14:textId="77777777" w:rsidR="002E1260" w:rsidRDefault="002E1260" w:rsidP="002E1260">
      <w:pPr>
        <w:pStyle w:val="NoSpacing"/>
      </w:pPr>
      <w:r>
        <w:t>The Court wrote: “</w:t>
      </w:r>
      <w:r w:rsidRPr="00E62C38">
        <w:t>He argues that the trial court erred by instructing the jury to</w:t>
      </w:r>
      <w:r>
        <w:t xml:space="preserve"> </w:t>
      </w:r>
      <w:r w:rsidRPr="00E62C38">
        <w:t>disregard evidence of his mental illness when deciding whether he acted with</w:t>
      </w:r>
      <w:r>
        <w:t xml:space="preserve"> </w:t>
      </w:r>
      <w:r w:rsidRPr="00E62C38">
        <w:t>the required intent. He also argues that insufficient evidence supports the</w:t>
      </w:r>
      <w:r>
        <w:t xml:space="preserve"> </w:t>
      </w:r>
      <w:r w:rsidRPr="00E62C38">
        <w:t>jury’s finding that he acted with the required intent. Underpinning these</w:t>
      </w:r>
      <w:r>
        <w:t xml:space="preserve"> </w:t>
      </w:r>
      <w:r w:rsidRPr="00E62C38">
        <w:t>arguments is Johnson’s contention that we should classify arson as a specific</w:t>
      </w:r>
      <w:r w:rsidRPr="00E62C38">
        <w:br/>
        <w:t>intent crime in the context of a mental illness defense, which he</w:t>
      </w:r>
      <w:r>
        <w:t xml:space="preserve"> </w:t>
      </w:r>
      <w:r w:rsidRPr="00E62C38">
        <w:t>acknowledges would require us to conclude that we are not bound on that</w:t>
      </w:r>
      <w:r>
        <w:t xml:space="preserve"> </w:t>
      </w:r>
      <w:r w:rsidRPr="00E62C38">
        <w:t>point by Supreme Court cases holding that arson is a general intent crime.</w:t>
      </w:r>
      <w:r>
        <w:t xml:space="preserve"> </w:t>
      </w:r>
      <w:r w:rsidRPr="00E62C38">
        <w:t xml:space="preserve">We cannot so </w:t>
      </w:r>
      <w:proofErr w:type="gramStart"/>
      <w:r w:rsidRPr="00E62C38">
        <w:t>conclude, and</w:t>
      </w:r>
      <w:proofErr w:type="gramEnd"/>
      <w:r w:rsidRPr="00E62C38">
        <w:t xml:space="preserve"> therefore affirm.</w:t>
      </w:r>
      <w:r>
        <w:t>”</w:t>
      </w:r>
    </w:p>
    <w:p w14:paraId="7CB78CF3" w14:textId="77777777" w:rsidR="002E1260" w:rsidRPr="005638FC" w:rsidRDefault="002E1260" w:rsidP="002E1260">
      <w:pPr>
        <w:pStyle w:val="NoSpacing"/>
        <w:rPr>
          <w:b/>
        </w:rPr>
      </w:pPr>
      <w:hyperlink r:id="rId23" w:history="1">
        <w:r w:rsidRPr="00014504">
          <w:rPr>
            <w:rStyle w:val="Hyperlink"/>
            <w:b/>
          </w:rPr>
          <w:t>https://www.casemine.com/judgement/us/6a2b9a31eaa021ae7251d64e</w:t>
        </w:r>
      </w:hyperlink>
      <w:r>
        <w:rPr>
          <w:b/>
        </w:rPr>
        <w:t xml:space="preserve"> </w:t>
      </w:r>
    </w:p>
    <w:p w14:paraId="28A739BE" w14:textId="77777777" w:rsidR="002E1260" w:rsidRDefault="002E1260" w:rsidP="002E1260">
      <w:pPr>
        <w:rPr>
          <w:b/>
        </w:rPr>
      </w:pPr>
    </w:p>
    <w:p w14:paraId="325F046B" w14:textId="77777777" w:rsidR="002E1260" w:rsidRDefault="002E1260" w:rsidP="002E1260">
      <w:pPr>
        <w:rPr>
          <w:b/>
        </w:rPr>
      </w:pPr>
      <w:r>
        <w:rPr>
          <w:b/>
        </w:rPr>
        <w:t>FACTS:</w:t>
      </w:r>
    </w:p>
    <w:p w14:paraId="023940E9" w14:textId="77777777" w:rsidR="002E1260" w:rsidRPr="00756ABA" w:rsidRDefault="002E1260" w:rsidP="002E1260">
      <w:pPr>
        <w:pStyle w:val="NoSpacing"/>
      </w:pPr>
      <w:r>
        <w:t>“</w:t>
      </w:r>
      <w:r w:rsidRPr="00756ABA">
        <w:t xml:space="preserve">Devin Lamar Johnson started a brush fire that ultimately burned 257 acres and 30 dwellings. About a month later, a psychologist diagnosed him with </w:t>
      </w:r>
      <w:proofErr w:type="gramStart"/>
      <w:r w:rsidRPr="00756ABA">
        <w:t>early</w:t>
      </w:r>
      <w:r>
        <w:t xml:space="preserve"> </w:t>
      </w:r>
      <w:r w:rsidRPr="00756ABA">
        <w:t>stage</w:t>
      </w:r>
      <w:proofErr w:type="gramEnd"/>
      <w:r w:rsidRPr="00756ABA">
        <w:t xml:space="preserve"> schizophrenia. </w:t>
      </w:r>
    </w:p>
    <w:p w14:paraId="697BDB6C" w14:textId="77777777" w:rsidR="002E1260" w:rsidRDefault="002E1260" w:rsidP="002E1260">
      <w:pPr>
        <w:pStyle w:val="NoSpacing"/>
      </w:pPr>
      <w:r w:rsidRPr="00756ABA">
        <w:t>   </w:t>
      </w:r>
    </w:p>
    <w:p w14:paraId="4F9DA197" w14:textId="77777777" w:rsidR="002E1260" w:rsidRPr="00756ABA" w:rsidRDefault="002E1260" w:rsidP="002E1260">
      <w:pPr>
        <w:pStyle w:val="NoSpacing"/>
      </w:pPr>
      <w:r w:rsidRPr="00756ABA">
        <w:t>A jury acquitted Johnson of aggravated arson (Penal Code, § 451.5, subd. (a)(3)</w:t>
      </w:r>
      <w:r>
        <w:t xml:space="preserve"> </w:t>
      </w:r>
      <w:r w:rsidRPr="00756ABA">
        <w:t>-a count for which the trial court allowed mental-illness evidence to negate the required state of mind. The jury convicted him of arson of a dwelling (Penal Code, § 451, subd. (</w:t>
      </w:r>
      <w:proofErr w:type="gramStart"/>
      <w:r w:rsidRPr="00756ABA">
        <w:t>b))</w:t>
      </w:r>
      <w:proofErr w:type="gramEnd"/>
      <w:r w:rsidRPr="00756ABA">
        <w:t xml:space="preserve">-a count for which the trial court did not allow such evidence. The jury found true that Johnson had caused multiple structures to burn within the meaning of section 451.1, subdivision (a)(4). The trial court found true prior strike and aggravation allegations. </w:t>
      </w:r>
    </w:p>
    <w:p w14:paraId="6D4D0926" w14:textId="77777777" w:rsidR="002E1260" w:rsidRDefault="002E1260" w:rsidP="002E1260">
      <w:pPr>
        <w:pStyle w:val="NoSpacing"/>
      </w:pPr>
    </w:p>
    <w:p w14:paraId="3F64FB34" w14:textId="77777777" w:rsidR="002E1260" w:rsidRDefault="002E1260" w:rsidP="002E1260">
      <w:pPr>
        <w:pStyle w:val="NoSpacing"/>
      </w:pPr>
      <w:r w:rsidRPr="00756ABA">
        <w:t xml:space="preserve">The trial court sentenced Johnson to the midterm of 5 years, doubled under the </w:t>
      </w:r>
      <w:r>
        <w:t>‘</w:t>
      </w:r>
      <w:r w:rsidRPr="00756ABA">
        <w:t>Three Strikes</w:t>
      </w:r>
      <w:r>
        <w:t>’</w:t>
      </w:r>
      <w:r w:rsidRPr="00756ABA">
        <w:t xml:space="preserve"> law (section 1170.12), plus a consecutive 5 years for the multiple-structures enhancement, for a total of 15 years. </w:t>
      </w:r>
    </w:p>
    <w:p w14:paraId="2005D23C" w14:textId="77777777" w:rsidR="002E1260" w:rsidRDefault="002E1260" w:rsidP="002E1260">
      <w:pPr>
        <w:pStyle w:val="NoSpacing"/>
      </w:pPr>
    </w:p>
    <w:p w14:paraId="1A5F0132" w14:textId="77777777" w:rsidR="002E1260" w:rsidRPr="00756ABA" w:rsidRDefault="002E1260" w:rsidP="002E1260">
      <w:pPr>
        <w:pStyle w:val="NoSpacing"/>
      </w:pPr>
      <w:r>
        <w:t>***</w:t>
      </w:r>
    </w:p>
    <w:p w14:paraId="49BD93E2" w14:textId="77777777" w:rsidR="002E1260" w:rsidRDefault="002E1260" w:rsidP="002E1260">
      <w:pPr>
        <w:pStyle w:val="NoSpacing"/>
      </w:pPr>
      <w:r>
        <w:t>A</w:t>
      </w:r>
      <w:r w:rsidRPr="00094247">
        <w:t xml:space="preserve">t trial, Johnson testified that he had started the fire accidentally by dropping a lit cigarette that he had been smoking into dry grass. He said that he went to look for it but that it was buried in the grass. He said it started </w:t>
      </w:r>
      <w:proofErr w:type="gramStart"/>
      <w:r w:rsidRPr="00094247">
        <w:t>singeing</w:t>
      </w:r>
      <w:proofErr w:type="gramEnd"/>
      <w:r w:rsidRPr="00094247">
        <w:t xml:space="preserve"> the dead grass, and that when he tried to stomp it out it began to flame. Video showed, and Johnson conceded, that he was at the origin site for five minutes. During part of that time, he </w:t>
      </w:r>
      <w:proofErr w:type="gramStart"/>
      <w:r w:rsidRPr="00094247">
        <w:t>testified,</w:t>
      </w:r>
      <w:proofErr w:type="gramEnd"/>
      <w:r w:rsidRPr="00094247">
        <w:t xml:space="preserve"> he was </w:t>
      </w:r>
      <w:proofErr w:type="gramStart"/>
      <w:r w:rsidRPr="00094247">
        <w:t>smoking the cigarette</w:t>
      </w:r>
      <w:proofErr w:type="gramEnd"/>
      <w:r w:rsidRPr="00094247">
        <w:t>.</w:t>
      </w:r>
    </w:p>
    <w:p w14:paraId="08DF3233" w14:textId="77777777" w:rsidR="002E1260" w:rsidRDefault="002E1260" w:rsidP="002E1260">
      <w:pPr>
        <w:pStyle w:val="NoSpacing"/>
      </w:pPr>
    </w:p>
    <w:p w14:paraId="759593FC" w14:textId="77777777" w:rsidR="002E1260" w:rsidRDefault="002E1260" w:rsidP="002E1260">
      <w:pPr>
        <w:pStyle w:val="NoSpacing"/>
      </w:pPr>
      <w:r w:rsidRPr="00B84407">
        <w:t xml:space="preserve">The jury heard testimony that contradicted Johnson's story. A fire chief and investigator who investigated the fire testified as follows. A cigarette needs a minimum of 8 minutes to smolder before it will go to flame. The average time is 12 minutes. To remain lit, a cigarette would need to land with the tip down, facing the </w:t>
      </w:r>
      <w:proofErr w:type="gramStart"/>
      <w:r w:rsidRPr="00B84407">
        <w:t xml:space="preserve">wind, </w:t>
      </w:r>
      <w:r>
        <w:t>‘</w:t>
      </w:r>
      <w:proofErr w:type="gramEnd"/>
      <w:r w:rsidRPr="00B84407">
        <w:t>so that the wind keeps it going because no one is puffing on it . . . .</w:t>
      </w:r>
      <w:r>
        <w:t>’</w:t>
      </w:r>
      <w:r w:rsidRPr="00B84407">
        <w:t xml:space="preserve"> The investigation team did not find any cigarette butts at the site. Based on this and other evidence, the investigation team concluded that </w:t>
      </w:r>
      <w:r>
        <w:t>‘</w:t>
      </w:r>
      <w:r w:rsidRPr="00B84407">
        <w:t>it just didn't add up that [accidental ignition by a dropped cigarette] could even be a possibility . . . .</w:t>
      </w:r>
      <w:r>
        <w:t>’</w:t>
      </w:r>
      <w:r w:rsidRPr="00B84407">
        <w:t xml:space="preserve"> </w:t>
      </w:r>
    </w:p>
    <w:p w14:paraId="065B1300" w14:textId="77777777" w:rsidR="002E1260" w:rsidRDefault="002E1260" w:rsidP="002E1260">
      <w:pPr>
        <w:pStyle w:val="NoSpacing"/>
      </w:pPr>
    </w:p>
    <w:p w14:paraId="6EF4A291" w14:textId="77777777" w:rsidR="002E1260" w:rsidRDefault="002E1260" w:rsidP="002E1260">
      <w:pPr>
        <w:pStyle w:val="NoSpacing"/>
      </w:pPr>
      <w:r w:rsidRPr="00555E7B">
        <w:t xml:space="preserve">Evidence supported a different theory-that Johnson had deliberately started the fire with a cigarette lighter that was later found in his apartment. The investigation team concluded that an open flame had started the fire. In a way relevant to intent, the investigator testified that it takes a concerted effort to make a lighter </w:t>
      </w:r>
      <w:proofErr w:type="gramStart"/>
      <w:r w:rsidRPr="00555E7B">
        <w:t xml:space="preserve">work: </w:t>
      </w:r>
      <w:r>
        <w:t>‘</w:t>
      </w:r>
      <w:proofErr w:type="gramEnd"/>
      <w:r w:rsidRPr="00555E7B">
        <w:t>[y]</w:t>
      </w:r>
      <w:proofErr w:type="spellStart"/>
      <w:r w:rsidRPr="00555E7B">
        <w:t>ou</w:t>
      </w:r>
      <w:proofErr w:type="spellEnd"/>
      <w:r w:rsidRPr="00555E7B">
        <w:t xml:space="preserve"> </w:t>
      </w:r>
      <w:proofErr w:type="gramStart"/>
      <w:r w:rsidRPr="00555E7B">
        <w:t>have</w:t>
      </w:r>
      <w:proofErr w:type="gramEnd"/>
      <w:r w:rsidRPr="00555E7B">
        <w:t xml:space="preserve"> to take it out of your pocket or whatever it is in. You </w:t>
      </w:r>
      <w:proofErr w:type="gramStart"/>
      <w:r w:rsidRPr="00555E7B">
        <w:t>have to</w:t>
      </w:r>
      <w:proofErr w:type="gramEnd"/>
      <w:r w:rsidRPr="00555E7B">
        <w:t xml:space="preserve"> manipulate your lighter with your thumb to get it to work. And you </w:t>
      </w:r>
      <w:proofErr w:type="gramStart"/>
      <w:r w:rsidRPr="00555E7B">
        <w:t>have to</w:t>
      </w:r>
      <w:proofErr w:type="gramEnd"/>
      <w:r w:rsidRPr="00555E7B">
        <w:t xml:space="preserve"> hold that against something that would be combustible.</w:t>
      </w:r>
      <w:r>
        <w:t>’</w:t>
      </w:r>
      <w:r w:rsidRPr="00555E7B">
        <w:t xml:space="preserve"> It takes some time, he further testified, for the enough heat to transfer from a lighter flame to other material before it will catch on fire.</w:t>
      </w:r>
      <w:r>
        <w:t>”</w:t>
      </w:r>
    </w:p>
    <w:p w14:paraId="3A0D7E07" w14:textId="77777777" w:rsidR="002E1260" w:rsidRDefault="002E1260" w:rsidP="002E1260">
      <w:pPr>
        <w:pStyle w:val="NoSpacing"/>
      </w:pPr>
    </w:p>
    <w:p w14:paraId="32A89501" w14:textId="77777777" w:rsidR="002E1260" w:rsidRDefault="002E1260" w:rsidP="002E1260">
      <w:pPr>
        <w:pStyle w:val="NoSpacing"/>
      </w:pPr>
      <w:r w:rsidRPr="00960EA4">
        <w:rPr>
          <w:b/>
        </w:rPr>
        <w:t>COURT HELD</w:t>
      </w:r>
      <w:r>
        <w:t>:</w:t>
      </w:r>
    </w:p>
    <w:p w14:paraId="086925A0" w14:textId="77777777" w:rsidR="002E1260" w:rsidRDefault="002E1260" w:rsidP="002E1260">
      <w:pPr>
        <w:pStyle w:val="NoSpacing"/>
      </w:pPr>
    </w:p>
    <w:p w14:paraId="44D531EF" w14:textId="77777777" w:rsidR="002E1260" w:rsidRPr="00352647" w:rsidRDefault="002E1260" w:rsidP="002E1260">
      <w:pPr>
        <w:pStyle w:val="NoSpacing"/>
      </w:pPr>
      <w:r>
        <w:t>“</w:t>
      </w:r>
      <w:r w:rsidRPr="00352647">
        <w:t xml:space="preserve">Courts categorize some crimes as requiring proof of general intent and others as requiring proof of specific intent. (See, e.g., </w:t>
      </w:r>
      <w:r w:rsidRPr="00352647">
        <w:rPr>
          <w:i/>
          <w:iCs/>
        </w:rPr>
        <w:t>People v. Atkins</w:t>
      </w:r>
      <w:r w:rsidRPr="00352647">
        <w:t xml:space="preserve"> (2001) 25 Cal.4th 76, 81-83.) These terms have been explained as follows. </w:t>
      </w:r>
      <w:r>
        <w:t>‘</w:t>
      </w:r>
      <w:r w:rsidRPr="00352647">
        <w:t>When the definition of a crime consists of only the description of a particular act, without reference to intent to do a further act or achieve a future consequence, we ask whether the defendant intended to do the proscribed act. This intention is deemed to be a general criminal intent.</w:t>
      </w:r>
      <w:r>
        <w:t>’</w:t>
      </w:r>
      <w:r w:rsidRPr="00352647">
        <w:t xml:space="preserve"> (</w:t>
      </w:r>
      <w:r w:rsidRPr="00352647">
        <w:rPr>
          <w:i/>
          <w:iCs/>
        </w:rPr>
        <w:t>People v. Hood</w:t>
      </w:r>
      <w:r w:rsidRPr="00352647">
        <w:t xml:space="preserve"> (1969) 1 Cal.3d 444, 456-457.) On the other </w:t>
      </w:r>
      <w:proofErr w:type="gramStart"/>
      <w:r w:rsidRPr="00352647">
        <w:t xml:space="preserve">hand, </w:t>
      </w:r>
      <w:r>
        <w:t>‘</w:t>
      </w:r>
      <w:proofErr w:type="gramEnd"/>
      <w:r w:rsidRPr="00352647">
        <w:t>[</w:t>
      </w:r>
      <w:proofErr w:type="gramStart"/>
      <w:r w:rsidRPr="00352647">
        <w:t>w]hen</w:t>
      </w:r>
      <w:proofErr w:type="gramEnd"/>
      <w:r w:rsidRPr="00352647">
        <w:t xml:space="preserve"> the definition refers to [a] defendant's intent to do some further act or achieve some </w:t>
      </w:r>
    </w:p>
    <w:p w14:paraId="41E96A40" w14:textId="77777777" w:rsidR="002E1260" w:rsidRPr="00352647" w:rsidRDefault="002E1260" w:rsidP="002E1260">
      <w:pPr>
        <w:pStyle w:val="NoSpacing"/>
      </w:pPr>
      <w:proofErr w:type="gramStart"/>
      <w:r w:rsidRPr="00352647">
        <w:t>additional consequence</w:t>
      </w:r>
      <w:proofErr w:type="gramEnd"/>
      <w:r w:rsidRPr="00352647">
        <w:t>, the crime is deemed to be one of specific intent.</w:t>
      </w:r>
      <w:r>
        <w:t xml:space="preserve">’ </w:t>
      </w:r>
      <w:r w:rsidRPr="00352647">
        <w:t xml:space="preserve"> </w:t>
      </w:r>
    </w:p>
    <w:p w14:paraId="329DFD95" w14:textId="77777777" w:rsidR="002E1260" w:rsidRDefault="002E1260" w:rsidP="002E1260">
      <w:pPr>
        <w:pStyle w:val="NoSpacing"/>
      </w:pPr>
    </w:p>
    <w:p w14:paraId="7215F8EB" w14:textId="77777777" w:rsidR="002E1260" w:rsidRDefault="002E1260" w:rsidP="002E1260">
      <w:pPr>
        <w:pStyle w:val="NoSpacing"/>
      </w:pPr>
      <w:r>
        <w:t>***</w:t>
      </w:r>
    </w:p>
    <w:p w14:paraId="4FFB4DA0" w14:textId="77777777" w:rsidR="002E1260" w:rsidRDefault="002E1260" w:rsidP="002E1260">
      <w:pPr>
        <w:pStyle w:val="NoSpacing"/>
      </w:pPr>
      <w:r w:rsidRPr="0086202A">
        <w:t xml:space="preserve">Sufficient evidence also supports a finding that Johnson was aware of facts that would lead a reasonable person to understand that the highly probable consequence of setting the fire was that it would spread to inhabited buildings. The origin site was about an eighth of a mile from Johnson's home in the town where the buildings burned. At the origin site, Johnson noticed that the nearby creek was dry. He testified that the grass was dry and that there was a layer of dead grass around the area. Another witness testified about typical September conditions in the area. He said that it was a hot, dry time of the year. </w:t>
      </w:r>
      <w:proofErr w:type="gramStart"/>
      <w:r w:rsidRPr="0086202A">
        <w:t>A wind</w:t>
      </w:r>
      <w:proofErr w:type="gramEnd"/>
      <w:r w:rsidRPr="0086202A">
        <w:t xml:space="preserve"> usually picked up at about 2 p.m., as it did on the day of the fire. In addition, the area had been in drought for </w:t>
      </w:r>
      <w:proofErr w:type="gramStart"/>
      <w:r w:rsidRPr="0086202A">
        <w:t>a number of</w:t>
      </w:r>
      <w:proofErr w:type="gramEnd"/>
      <w:r w:rsidRPr="0086202A">
        <w:t xml:space="preserve"> years. Johnson testified that he had lived in the area a while before the fire and that it was his hometown. The jury reasonably could infer that he was aware of these conditions and the proximity of the site to buildings in the town.</w:t>
      </w:r>
      <w:r>
        <w:t>”</w:t>
      </w:r>
    </w:p>
    <w:p w14:paraId="76DDCF82" w14:textId="77777777" w:rsidR="002E1260" w:rsidRDefault="002E1260" w:rsidP="002E1260">
      <w:pPr>
        <w:pStyle w:val="NoSpacing"/>
      </w:pPr>
    </w:p>
    <w:p w14:paraId="366EAD02" w14:textId="77777777" w:rsidR="002E1260" w:rsidRPr="00F961CC" w:rsidRDefault="002E1260" w:rsidP="002E1260">
      <w:pPr>
        <w:pStyle w:val="NoSpacing"/>
        <w:rPr>
          <w:b/>
          <w:bCs/>
        </w:rPr>
      </w:pPr>
      <w:r w:rsidRPr="00F961CC">
        <w:rPr>
          <w:b/>
        </w:rPr>
        <w:t xml:space="preserve">Legal lesson learned: </w:t>
      </w:r>
      <w:r>
        <w:rPr>
          <w:b/>
        </w:rPr>
        <w:t xml:space="preserve">Arson is a “general intent” crime and the defendant’s specific intent to burn buildings was not relevant. </w:t>
      </w:r>
    </w:p>
    <w:p w14:paraId="4EEFE617" w14:textId="77777777" w:rsidR="002E1260" w:rsidRPr="00F961CC" w:rsidRDefault="002E1260" w:rsidP="002E1260">
      <w:pPr>
        <w:pStyle w:val="NoSpacing"/>
        <w:rPr>
          <w:b/>
          <w:bCs/>
        </w:rPr>
      </w:pPr>
    </w:p>
    <w:p w14:paraId="645ADB51" w14:textId="77777777" w:rsidR="002E1260" w:rsidRDefault="002E1260" w:rsidP="002E1260">
      <w:pPr>
        <w:pStyle w:val="NoSpacing"/>
        <w:rPr>
          <w:sz w:val="20"/>
          <w:szCs w:val="20"/>
        </w:rPr>
      </w:pPr>
    </w:p>
    <w:p w14:paraId="2CC92941" w14:textId="77777777" w:rsidR="002E1260" w:rsidRDefault="002E1260" w:rsidP="00822052">
      <w:pPr>
        <w:pStyle w:val="NoSpacing"/>
        <w:rPr>
          <w:rFonts w:ascii="Arial Black" w:hAnsi="Arial Black"/>
          <w:sz w:val="24"/>
          <w:szCs w:val="24"/>
        </w:rPr>
      </w:pPr>
    </w:p>
    <w:p w14:paraId="1043E7B4" w14:textId="77777777" w:rsidR="002E1260" w:rsidRDefault="002E1260" w:rsidP="00822052">
      <w:pPr>
        <w:pStyle w:val="NoSpacing"/>
        <w:rPr>
          <w:rFonts w:ascii="Arial Black" w:hAnsi="Arial Black"/>
          <w:sz w:val="24"/>
          <w:szCs w:val="24"/>
        </w:rPr>
      </w:pPr>
    </w:p>
    <w:p w14:paraId="1F172D80" w14:textId="77777777" w:rsidR="002E1260" w:rsidRDefault="002E1260" w:rsidP="00822052">
      <w:pPr>
        <w:pStyle w:val="NoSpacing"/>
        <w:rPr>
          <w:rFonts w:ascii="Arial Black" w:hAnsi="Arial Black"/>
          <w:sz w:val="24"/>
          <w:szCs w:val="24"/>
        </w:rPr>
      </w:pPr>
    </w:p>
    <w:p w14:paraId="4AEE6B1A" w14:textId="77777777" w:rsidR="002E1260" w:rsidRDefault="002E1260" w:rsidP="00822052">
      <w:pPr>
        <w:pStyle w:val="NoSpacing"/>
        <w:rPr>
          <w:rFonts w:ascii="Arial Black" w:hAnsi="Arial Black"/>
          <w:sz w:val="24"/>
          <w:szCs w:val="24"/>
        </w:rPr>
      </w:pPr>
    </w:p>
    <w:p w14:paraId="1CE5FA9D" w14:textId="77777777" w:rsidR="002E1260" w:rsidRDefault="002E1260" w:rsidP="00822052">
      <w:pPr>
        <w:pStyle w:val="NoSpacing"/>
        <w:rPr>
          <w:rFonts w:ascii="Arial Black" w:hAnsi="Arial Black"/>
          <w:sz w:val="24"/>
          <w:szCs w:val="24"/>
        </w:rPr>
      </w:pPr>
    </w:p>
    <w:p w14:paraId="301EA977" w14:textId="378FA627" w:rsidR="001A609B" w:rsidRDefault="001A609B" w:rsidP="00822052">
      <w:pPr>
        <w:pStyle w:val="NoSpacing"/>
        <w:rPr>
          <w:rFonts w:ascii="Arial Black" w:hAnsi="Arial Black"/>
          <w:sz w:val="24"/>
          <w:szCs w:val="24"/>
        </w:rPr>
      </w:pPr>
      <w:r>
        <w:rPr>
          <w:rFonts w:ascii="Arial Black" w:hAnsi="Arial Black"/>
          <w:sz w:val="24"/>
          <w:szCs w:val="24"/>
        </w:rPr>
        <w:t>1-213</w:t>
      </w:r>
    </w:p>
    <w:p w14:paraId="5D6DE394" w14:textId="77777777" w:rsidR="001A609B" w:rsidRDefault="001A609B" w:rsidP="00822052">
      <w:pPr>
        <w:pStyle w:val="NoSpacing"/>
        <w:rPr>
          <w:rFonts w:ascii="Arial Black" w:hAnsi="Arial Black"/>
          <w:sz w:val="24"/>
          <w:szCs w:val="24"/>
        </w:rPr>
      </w:pPr>
    </w:p>
    <w:p w14:paraId="09B876B5" w14:textId="77777777" w:rsidR="001A609B" w:rsidRPr="00794D71" w:rsidRDefault="001A609B" w:rsidP="001A609B">
      <w:pPr>
        <w:pStyle w:val="NoSpacing"/>
        <w:rPr>
          <w:rFonts w:ascii="Arial Black" w:hAnsi="Arial Black"/>
          <w:sz w:val="28"/>
          <w:szCs w:val="28"/>
        </w:rPr>
      </w:pPr>
      <w:r>
        <w:rPr>
          <w:rFonts w:ascii="Arial Black" w:hAnsi="Arial Black"/>
          <w:sz w:val="28"/>
          <w:szCs w:val="28"/>
        </w:rPr>
        <w:t>OH: SOLAR PROJECT - 6,000 ACRES - NFPA  / FD EQUIP</w:t>
      </w:r>
    </w:p>
    <w:p w14:paraId="04AEBD4C" w14:textId="77777777" w:rsidR="001A609B" w:rsidRDefault="001A609B" w:rsidP="001A609B">
      <w:pPr>
        <w:pStyle w:val="NoSpacing"/>
      </w:pPr>
    </w:p>
    <w:p w14:paraId="3EA0C149" w14:textId="77777777" w:rsidR="001A609B" w:rsidRDefault="001A609B" w:rsidP="001A609B">
      <w:pPr>
        <w:pStyle w:val="NoSpacing"/>
      </w:pPr>
      <w:r>
        <w:t xml:space="preserve">On May 26, 2026, </w:t>
      </w:r>
      <w:proofErr w:type="gramStart"/>
      <w:r w:rsidRPr="002518AB">
        <w:rPr>
          <w:u w:val="single"/>
        </w:rPr>
        <w:t>In</w:t>
      </w:r>
      <w:proofErr w:type="gramEnd"/>
      <w:r w:rsidRPr="002518AB">
        <w:rPr>
          <w:u w:val="single"/>
        </w:rPr>
        <w:t xml:space="preserve"> re Application of Oak Run Solar Project, L.L.C.</w:t>
      </w:r>
      <w:r>
        <w:t xml:space="preserve">, the Ohio Supreme Court held (4 to 3) that the project may proceed, over the objections of 3 Townships and County, after the developers submit to the State Board photographic simulations or an artist’s pictorial sketches of the proposed facility substations. The Court, however, held that </w:t>
      </w:r>
      <w:r w:rsidRPr="00BB3C2C">
        <w:t xml:space="preserve">the safety-related details </w:t>
      </w:r>
      <w:r>
        <w:t xml:space="preserve">can be properly worked out </w:t>
      </w:r>
      <w:r w:rsidRPr="00BB3C2C">
        <w:t>in</w:t>
      </w:r>
      <w:r>
        <w:t xml:space="preserve"> the future prior to start of construction. THE COURT WROTE: “And there appears to be no dispute that there is no effective way to extinguish a lithium-ion-battery fire and that after a fire starts, the only recourse is to try to prevent the fire from spreading. In view of these risks, the local governments assert that the board should not have approved the project without requiring Oak Run to provide for measures to prevent the spread of fire and the release of fumes into the community and that the board should have been more thorough in evaluating the availability of water supplies to contain a fire once it starts…. </w:t>
      </w:r>
    </w:p>
    <w:p w14:paraId="3823DB98" w14:textId="77777777" w:rsidR="001A609B" w:rsidRPr="002518AB" w:rsidRDefault="001A609B" w:rsidP="001A609B">
      <w:pPr>
        <w:pStyle w:val="NoSpacing"/>
      </w:pPr>
      <w:r>
        <w:t xml:space="preserve">Oak Run will develop an emergency-services-and-response plan in consultation with local authorities, provide fire and emergency responders with training and proper firefighting equipment to enable them to respond to emergency situations…. We think the BESS’s [Battery Energy Storage System] ultimate compliance with the National Fire Protection Association’s Standard for the Installation of Stationary Energy Storage Systems is a better safeguard than this court’s collective armchair firefighting expertise.” </w:t>
      </w:r>
      <w:hyperlink r:id="rId24" w:history="1">
        <w:r w:rsidRPr="00910A6A">
          <w:rPr>
            <w:rStyle w:val="Hyperlink"/>
          </w:rPr>
          <w:t>https://www.supremecourt.ohio.gov/rod/docs/pdf/0/2026/2026-Ohio-1849.pdf</w:t>
        </w:r>
      </w:hyperlink>
      <w:r>
        <w:t xml:space="preserve"> </w:t>
      </w:r>
    </w:p>
    <w:p w14:paraId="52AC3A66" w14:textId="77777777" w:rsidR="001A609B" w:rsidRDefault="001A609B" w:rsidP="001A609B">
      <w:pPr>
        <w:pStyle w:val="NoSpacing"/>
      </w:pPr>
    </w:p>
    <w:p w14:paraId="34492F46" w14:textId="77777777" w:rsidR="001A609B" w:rsidRDefault="001A609B" w:rsidP="001A609B">
      <w:pPr>
        <w:pStyle w:val="NoSpacing"/>
      </w:pPr>
      <w:r>
        <w:t xml:space="preserve">THE COURT HELD:  </w:t>
      </w:r>
    </w:p>
    <w:p w14:paraId="76A7708F" w14:textId="77777777" w:rsidR="001A609B" w:rsidRDefault="001A609B" w:rsidP="001A609B">
      <w:pPr>
        <w:pStyle w:val="NoSpacing"/>
      </w:pPr>
    </w:p>
    <w:p w14:paraId="10961FE1" w14:textId="77777777" w:rsidR="001A609B" w:rsidRDefault="001A609B" w:rsidP="001A609B">
      <w:pPr>
        <w:pStyle w:val="NoSpacing"/>
        <w:ind w:left="720"/>
      </w:pPr>
      <w:r>
        <w:t xml:space="preserve">“The facility will sit on about 4,400 acres of privately owned land within an approximate 6,050-acre project area…. The facility will include an 800 megawatt (‘MW’) solar-powered electric-generating facility, a 300 MW alternating-current battery-energy storage system (‘BESS’) comprised of two 150 MW facilities, and two 3.45-mile-long transmission lines…. </w:t>
      </w:r>
      <w:r w:rsidRPr="00051AF3">
        <w:t>approximately 328 battery containers, along with 82 inverters and 82 transformers.</w:t>
      </w:r>
    </w:p>
    <w:p w14:paraId="6A51AD03" w14:textId="77777777" w:rsidR="001A609B" w:rsidRDefault="001A609B" w:rsidP="001A609B">
      <w:pPr>
        <w:pStyle w:val="NoSpacing"/>
        <w:ind w:left="720"/>
      </w:pPr>
    </w:p>
    <w:p w14:paraId="5A6747B8" w14:textId="77777777" w:rsidR="001A609B" w:rsidRDefault="001A609B" w:rsidP="001A609B">
      <w:pPr>
        <w:pStyle w:val="NoSpacing"/>
        <w:ind w:left="720"/>
      </w:pPr>
      <w:r>
        <w:t>***</w:t>
      </w:r>
    </w:p>
    <w:p w14:paraId="473752CF" w14:textId="77777777" w:rsidR="001A609B" w:rsidRDefault="001A609B" w:rsidP="001A609B">
      <w:pPr>
        <w:pStyle w:val="NoSpacing"/>
        <w:ind w:left="720"/>
      </w:pPr>
    </w:p>
    <w:p w14:paraId="3070976E" w14:textId="77777777" w:rsidR="001A609B" w:rsidRDefault="001A609B" w:rsidP="001A609B">
      <w:pPr>
        <w:pStyle w:val="NoSpacing"/>
        <w:ind w:left="720"/>
      </w:pPr>
      <w:r>
        <w:t>The BESS will conform to the National Fire Protection Association’s Standard for the Installation of Stationary Energy Storage Systems, and a fire-protection engineer will review the fire-protection design of the facility. Oak Run will develop an emergency-services-and-response plan in consultation with local authorities, provide fire and emergency responders with training and proper firefighting equipment to enable them to respond to emergency situations at the BESS, and collaborate with local authorities to ensure that sufficient water resources and a long-term water supply are available for any firefighting needs, in accordance with the applicable fire code.”</w:t>
      </w:r>
    </w:p>
    <w:p w14:paraId="6A6E34B2" w14:textId="77777777" w:rsidR="001A609B" w:rsidRDefault="001A609B" w:rsidP="001A609B">
      <w:pPr>
        <w:pStyle w:val="NoSpacing"/>
        <w:ind w:left="720"/>
      </w:pPr>
    </w:p>
    <w:p w14:paraId="20E8736C" w14:textId="77777777" w:rsidR="001A609B" w:rsidRPr="004256AB" w:rsidRDefault="001A609B" w:rsidP="001A609B">
      <w:pPr>
        <w:pStyle w:val="NoSpacing"/>
        <w:rPr>
          <w:b/>
          <w:bCs/>
        </w:rPr>
      </w:pPr>
      <w:r>
        <w:rPr>
          <w:b/>
        </w:rPr>
        <w:t xml:space="preserve">Legal lesson learned:  </w:t>
      </w:r>
      <w:r w:rsidRPr="004256AB">
        <w:rPr>
          <w:b/>
        </w:rPr>
        <w:t>No construction permit will be issued until “Oak Run develops an emergency-services-and-response plan in consultation with local authorities, provide fire and emergency responders with training and proper firefighting equipment to enable them to respond to emergency situations.”</w:t>
      </w:r>
    </w:p>
    <w:p w14:paraId="10A0B926" w14:textId="77777777" w:rsidR="001A609B" w:rsidRPr="004256AB" w:rsidRDefault="001A609B" w:rsidP="001A609B">
      <w:pPr>
        <w:pStyle w:val="NoSpacing"/>
        <w:rPr>
          <w:b/>
          <w:bCs/>
        </w:rPr>
      </w:pPr>
    </w:p>
    <w:p w14:paraId="00EBA227" w14:textId="77777777" w:rsidR="001A609B" w:rsidRDefault="001A609B" w:rsidP="001A609B">
      <w:pPr>
        <w:rPr>
          <w:b/>
        </w:rPr>
      </w:pPr>
    </w:p>
    <w:p w14:paraId="5497CD61" w14:textId="6DBC754D" w:rsidR="001A609B" w:rsidRDefault="001A609B" w:rsidP="001A609B">
      <w:pPr>
        <w:pStyle w:val="NoSpacing"/>
        <w:rPr>
          <w:rFonts w:ascii="Arial Black" w:hAnsi="Arial Black"/>
          <w:sz w:val="24"/>
          <w:szCs w:val="24"/>
        </w:rPr>
      </w:pPr>
      <w:r>
        <w:rPr>
          <w:rFonts w:ascii="Arial Black" w:hAnsi="Arial Black"/>
          <w:sz w:val="24"/>
          <w:szCs w:val="24"/>
        </w:rPr>
        <w:t>1-212</w:t>
      </w:r>
    </w:p>
    <w:p w14:paraId="2BF56490" w14:textId="77777777" w:rsidR="001A609B" w:rsidRDefault="001A609B" w:rsidP="001A609B">
      <w:pPr>
        <w:pStyle w:val="NoSpacing"/>
        <w:rPr>
          <w:rFonts w:ascii="Arial Black" w:hAnsi="Arial Black"/>
          <w:sz w:val="24"/>
          <w:szCs w:val="24"/>
        </w:rPr>
      </w:pPr>
    </w:p>
    <w:p w14:paraId="3E5145ED" w14:textId="77777777" w:rsidR="001A609B" w:rsidRPr="00B23131" w:rsidRDefault="001A609B" w:rsidP="001A609B">
      <w:pPr>
        <w:rPr>
          <w:rFonts w:ascii="Arial Black" w:hAnsi="Arial Black"/>
          <w:b/>
          <w:sz w:val="28"/>
          <w:szCs w:val="28"/>
        </w:rPr>
      </w:pPr>
      <w:r>
        <w:rPr>
          <w:rFonts w:ascii="Arial Black" w:hAnsi="Arial Black"/>
          <w:b/>
          <w:sz w:val="28"/>
          <w:szCs w:val="28"/>
        </w:rPr>
        <w:t>NC: OUTER BANKS - LODGING TAXES / PAID FIRE DEPT</w:t>
      </w:r>
    </w:p>
    <w:p w14:paraId="4EF46FC3" w14:textId="77777777" w:rsidR="001A609B" w:rsidRPr="001E0FF3" w:rsidRDefault="001A609B" w:rsidP="001A609B">
      <w:pPr>
        <w:rPr>
          <w:bCs/>
        </w:rPr>
      </w:pPr>
      <w:r>
        <w:t xml:space="preserve">On May 22, 2026, in </w:t>
      </w:r>
      <w:r w:rsidRPr="00D40D8E">
        <w:rPr>
          <w:u w:val="single"/>
        </w:rPr>
        <w:t>Gerald Constanzo, et al. v. Currituck County North Carolina, et al</w:t>
      </w:r>
      <w:r>
        <w:t xml:space="preserve">, the Supreme Court of North Carolina held (7 to 0) that hotel room occupancy tax revenues, which North Carolina legislature restricts spending only on </w:t>
      </w:r>
      <w:r w:rsidRPr="00E07697">
        <w:t>“</w:t>
      </w:r>
      <w:proofErr w:type="spellStart"/>
      <w:r w:rsidRPr="00E07697">
        <w:t>promot</w:t>
      </w:r>
      <w:proofErr w:type="spellEnd"/>
      <w:r w:rsidRPr="00E07697">
        <w:t>[</w:t>
      </w:r>
      <w:proofErr w:type="spellStart"/>
      <w:r w:rsidRPr="00E07697">
        <w:t>ing</w:t>
      </w:r>
      <w:proofErr w:type="spellEnd"/>
      <w:r w:rsidRPr="00E07697">
        <w:t>] travel and</w:t>
      </w:r>
      <w:r>
        <w:t xml:space="preserve"> </w:t>
      </w:r>
      <w:r w:rsidRPr="00E07697">
        <w:t>tourism” as well as “tourism-related expenditures</w:t>
      </w:r>
      <w:r>
        <w:t xml:space="preserve">,” can be spent on improving public safety services for heavily: “For several annual budget cycles, the County, through the Board of Commissioners, has expended occupancy tax revenues on various public safety services. These costs included law enforcement personnel and equipment, emergency medical services personnel, a paid fire district (instead of an all-volunteer fire response service), beach lifeguards, and repairing and maintaining coastal roads…. The County could––and here, did–– reasonably conclude that the challenged public safety spending is tourism-related because tourists are not likely to visit Currituck if they believe it is unsafe and because substantial tourism-related population changes greatly increase the demand for public safety services in the area and at a year-round cost.” </w:t>
      </w:r>
      <w:hyperlink r:id="rId25" w:history="1">
        <w:r w:rsidRPr="001E0FF3">
          <w:rPr>
            <w:rStyle w:val="Hyperlink"/>
          </w:rPr>
          <w:t>https://cases.justia.com/north-carolina/supreme-court/2026-101pa24.pdf?ts=1779464497</w:t>
        </w:r>
      </w:hyperlink>
      <w:r w:rsidRPr="001E0FF3">
        <w:t xml:space="preserve"> </w:t>
      </w:r>
    </w:p>
    <w:p w14:paraId="12705D71" w14:textId="77777777" w:rsidR="001A609B" w:rsidRDefault="001A609B" w:rsidP="001A609B">
      <w:pPr>
        <w:pStyle w:val="NoSpacing"/>
      </w:pPr>
    </w:p>
    <w:p w14:paraId="7BBD641B" w14:textId="77777777" w:rsidR="001A609B" w:rsidRDefault="001A609B" w:rsidP="001A609B">
      <w:pPr>
        <w:pStyle w:val="NoSpacing"/>
      </w:pPr>
      <w:r>
        <w:t>THE COURT HELD:</w:t>
      </w:r>
    </w:p>
    <w:p w14:paraId="2BB65885" w14:textId="77777777" w:rsidR="001A609B" w:rsidRDefault="001A609B" w:rsidP="001A609B">
      <w:pPr>
        <w:pStyle w:val="NoSpacing"/>
      </w:pPr>
    </w:p>
    <w:p w14:paraId="0D6EB1C6" w14:textId="77777777" w:rsidR="001A609B" w:rsidRDefault="001A609B" w:rsidP="001A609B">
      <w:pPr>
        <w:pStyle w:val="NoSpacing"/>
        <w:ind w:left="720"/>
      </w:pPr>
      <w:r>
        <w:t>“Defendant Currituck County, through its Board of Commissioners, decided to spend occupancy tax revenues on certain public safety services—including law enforcement, emergency medical services, and fire response, predominately tied to the heavily touristed beach destination of Corolla along the northern Outer Banks. In the Commission’s view, these expenditures are tourism-related because Currituck County’s population doubles during peak season and the County incurs substantial year-round costs to provide adequate public safety services during that period. The Commissioners believe that tourists and business travelers visit the County because it has a reputation for being safe and family-friendly and that tourists would be deterred from visiting the County if it were unable to provide sufficient police, fire, and emergency response services to protect them during their visit.</w:t>
      </w:r>
    </w:p>
    <w:p w14:paraId="6AA6A908" w14:textId="77777777" w:rsidR="001A609B" w:rsidRDefault="001A609B" w:rsidP="001A609B">
      <w:pPr>
        <w:pStyle w:val="NoSpacing"/>
      </w:pPr>
    </w:p>
    <w:p w14:paraId="16AF8947" w14:textId="77777777" w:rsidR="001A609B" w:rsidRDefault="001A609B" w:rsidP="001A609B">
      <w:pPr>
        <w:pStyle w:val="NoSpacing"/>
        <w:ind w:left="720"/>
      </w:pPr>
      <w:r>
        <w:t>***</w:t>
      </w:r>
    </w:p>
    <w:p w14:paraId="67321573" w14:textId="77777777" w:rsidR="001A609B" w:rsidRDefault="001A609B" w:rsidP="001A609B">
      <w:pPr>
        <w:pStyle w:val="NoSpacing"/>
        <w:ind w:left="720"/>
      </w:pPr>
    </w:p>
    <w:p w14:paraId="076DC083" w14:textId="77777777" w:rsidR="001A609B" w:rsidRDefault="001A609B" w:rsidP="001A609B">
      <w:pPr>
        <w:pStyle w:val="NoSpacing"/>
        <w:ind w:left="720"/>
      </w:pPr>
      <w:r>
        <w:t xml:space="preserve">Plaintiffs are [hotel and other ] property owners who collect and remit occupancy tax proceeds to Currituck County and a civic association whose members include other such property owners (collectively, the property owners)…. They sought a declaratory judgment to that effect and an injunction prohibiting the County from making such expenditures…. They argue that the definition of ‘tourism-related </w:t>
      </w:r>
      <w:proofErr w:type="gramStart"/>
      <w:r>
        <w:t>expenditures’</w:t>
      </w:r>
      <w:proofErr w:type="gramEnd"/>
      <w:r>
        <w:t xml:space="preserve"> encompasses only literal tourist attractions, such as Beaufort’s pirate invasion weekend, Morehead City’s Big Rock fishing tournament, Kitty Hawk’s aviation history museum, and Carolina Beach’s beach music festival.</w:t>
      </w:r>
    </w:p>
    <w:p w14:paraId="187F0C01" w14:textId="77777777" w:rsidR="001A609B" w:rsidRDefault="001A609B" w:rsidP="001A609B">
      <w:pPr>
        <w:pStyle w:val="NoSpacing"/>
        <w:ind w:left="720"/>
      </w:pPr>
    </w:p>
    <w:p w14:paraId="5CFC2E7F" w14:textId="77777777" w:rsidR="001A609B" w:rsidRDefault="001A609B" w:rsidP="001A609B">
      <w:pPr>
        <w:pStyle w:val="NoSpacing"/>
        <w:ind w:left="720"/>
      </w:pPr>
      <w:r>
        <w:t>***</w:t>
      </w:r>
    </w:p>
    <w:p w14:paraId="51909773" w14:textId="77777777" w:rsidR="001A609B" w:rsidRDefault="001A609B" w:rsidP="001A609B">
      <w:pPr>
        <w:pStyle w:val="NoSpacing"/>
        <w:ind w:left="720"/>
      </w:pPr>
      <w:r>
        <w:t>Protecting public safety is among the most important responsibilities North</w:t>
      </w:r>
    </w:p>
    <w:p w14:paraId="330F0466" w14:textId="77777777" w:rsidR="001A609B" w:rsidRDefault="001A609B" w:rsidP="001A609B">
      <w:pPr>
        <w:pStyle w:val="NoSpacing"/>
        <w:ind w:left="720"/>
      </w:pPr>
      <w:r>
        <w:t xml:space="preserve">Carolinians </w:t>
      </w:r>
      <w:proofErr w:type="gramStart"/>
      <w:r>
        <w:t>entrust</w:t>
      </w:r>
      <w:proofErr w:type="gramEnd"/>
      <w:r>
        <w:t xml:space="preserve"> to their democratically elected officials. Doing so while promoting</w:t>
      </w:r>
    </w:p>
    <w:p w14:paraId="62288CED" w14:textId="77777777" w:rsidR="001A609B" w:rsidRDefault="001A609B" w:rsidP="001A609B">
      <w:pPr>
        <w:pStyle w:val="NoSpacing"/>
        <w:ind w:left="720"/>
      </w:pPr>
      <w:r>
        <w:t>economic growth and fairly allocating the tax burden across the community is an</w:t>
      </w:r>
    </w:p>
    <w:p w14:paraId="48B35210" w14:textId="77777777" w:rsidR="001A609B" w:rsidRDefault="001A609B" w:rsidP="001A609B">
      <w:pPr>
        <w:pStyle w:val="NoSpacing"/>
        <w:ind w:left="720"/>
      </w:pPr>
      <w:r>
        <w:t>ongoing challenge for many elected officials.</w:t>
      </w:r>
    </w:p>
    <w:p w14:paraId="22601438" w14:textId="77777777" w:rsidR="001A609B" w:rsidRDefault="001A609B" w:rsidP="001A609B">
      <w:pPr>
        <w:pStyle w:val="NoSpacing"/>
        <w:ind w:left="720"/>
      </w:pPr>
    </w:p>
    <w:p w14:paraId="5AF46B1B" w14:textId="77777777" w:rsidR="001A609B" w:rsidRDefault="001A609B" w:rsidP="001A609B">
      <w:pPr>
        <w:pStyle w:val="NoSpacing"/>
        <w:ind w:left="720"/>
      </w:pPr>
      <w:r>
        <w:t>***</w:t>
      </w:r>
    </w:p>
    <w:p w14:paraId="6DBDBE93" w14:textId="77777777" w:rsidR="001A609B" w:rsidRDefault="001A609B" w:rsidP="001A609B">
      <w:pPr>
        <w:pStyle w:val="NoSpacing"/>
        <w:ind w:left="720"/>
      </w:pPr>
      <w:r>
        <w:t>Existing services were also, in the Commissioners’ view, insufficient to support</w:t>
      </w:r>
    </w:p>
    <w:p w14:paraId="23451074" w14:textId="77777777" w:rsidR="001A609B" w:rsidRDefault="001A609B" w:rsidP="001A609B">
      <w:pPr>
        <w:pStyle w:val="NoSpacing"/>
        <w:ind w:left="720"/>
      </w:pPr>
      <w:r>
        <w:t>the tourist population. Again, the County’s 28,000 year-round population doubles to</w:t>
      </w:r>
    </w:p>
    <w:p w14:paraId="2B950024" w14:textId="77777777" w:rsidR="001A609B" w:rsidRDefault="001A609B" w:rsidP="001A609B">
      <w:pPr>
        <w:pStyle w:val="NoSpacing"/>
        <w:ind w:left="720"/>
      </w:pPr>
      <w:r>
        <w:t xml:space="preserve">about 60,000 during tourist season when most tourists flock to Corolla. Commissioners testified that protecting the tourist population requires significantly more public safety personnel than the County would have otherwise. More people means a greater risk of accidents, drownings, </w:t>
      </w:r>
      <w:proofErr w:type="spellStart"/>
      <w:r>
        <w:t>heatstrokes</w:t>
      </w:r>
      <w:proofErr w:type="spellEnd"/>
      <w:r>
        <w:t xml:space="preserve">, physical altercations, and other safety risks. As one commissioner put it, ‘[W]e </w:t>
      </w:r>
      <w:proofErr w:type="gramStart"/>
      <w:r>
        <w:t>have</w:t>
      </w:r>
      <w:proofErr w:type="gramEnd"/>
      <w:r>
        <w:t xml:space="preserve"> to have more [s]</w:t>
      </w:r>
      <w:proofErr w:type="spellStart"/>
      <w:r>
        <w:t>heriffs</w:t>
      </w:r>
      <w:proofErr w:type="spellEnd"/>
      <w:r>
        <w:t xml:space="preserve"> or EMS because of the influx of the tourists on our county.’”</w:t>
      </w:r>
    </w:p>
    <w:p w14:paraId="0E33424B" w14:textId="77777777" w:rsidR="001A609B" w:rsidRDefault="001A609B" w:rsidP="001A609B">
      <w:pPr>
        <w:pStyle w:val="NoSpacing"/>
        <w:ind w:left="720"/>
      </w:pPr>
    </w:p>
    <w:p w14:paraId="5F82E939" w14:textId="77777777" w:rsidR="001A609B" w:rsidRPr="007F1EB4" w:rsidRDefault="001A609B" w:rsidP="001A609B">
      <w:pPr>
        <w:pStyle w:val="NoSpacing"/>
        <w:rPr>
          <w:b/>
          <w:bCs/>
        </w:rPr>
      </w:pPr>
      <w:r>
        <w:rPr>
          <w:b/>
        </w:rPr>
        <w:t>Legal lesson learned: Tax dollars to support paid FD; public safety is “among the most important responsibilities.”</w:t>
      </w:r>
    </w:p>
    <w:p w14:paraId="3C3A0F77" w14:textId="77777777" w:rsidR="001A609B" w:rsidRDefault="001A609B" w:rsidP="001A609B">
      <w:pPr>
        <w:pStyle w:val="NoSpacing"/>
        <w:ind w:left="720"/>
      </w:pPr>
    </w:p>
    <w:p w14:paraId="1A702751" w14:textId="77777777" w:rsidR="001A609B" w:rsidRDefault="001A609B" w:rsidP="001A609B">
      <w:pPr>
        <w:pStyle w:val="NoSpacing"/>
      </w:pPr>
    </w:p>
    <w:p w14:paraId="5BA11528" w14:textId="77777777" w:rsidR="001A609B" w:rsidRPr="0034646D" w:rsidRDefault="001A609B" w:rsidP="001A609B">
      <w:pPr>
        <w:pStyle w:val="NoSpacing"/>
        <w:rPr>
          <w:sz w:val="20"/>
          <w:szCs w:val="20"/>
        </w:rPr>
      </w:pPr>
    </w:p>
    <w:p w14:paraId="51BB3C12" w14:textId="00BFE299" w:rsidR="001A609B" w:rsidRDefault="001A609B" w:rsidP="001A609B">
      <w:pPr>
        <w:pStyle w:val="NoSpacing"/>
        <w:rPr>
          <w:rFonts w:ascii="Arial Black" w:hAnsi="Arial Black"/>
          <w:sz w:val="24"/>
          <w:szCs w:val="24"/>
        </w:rPr>
      </w:pPr>
      <w:r>
        <w:rPr>
          <w:rFonts w:ascii="Arial Black" w:hAnsi="Arial Black"/>
          <w:sz w:val="24"/>
          <w:szCs w:val="24"/>
        </w:rPr>
        <w:t>1-211</w:t>
      </w:r>
    </w:p>
    <w:p w14:paraId="1D77B67F" w14:textId="77777777" w:rsidR="001A609B" w:rsidRDefault="001A609B" w:rsidP="001A609B">
      <w:pPr>
        <w:pStyle w:val="NoSpacing"/>
        <w:rPr>
          <w:rFonts w:ascii="Arial Black" w:hAnsi="Arial Black"/>
          <w:sz w:val="24"/>
          <w:szCs w:val="24"/>
        </w:rPr>
      </w:pPr>
    </w:p>
    <w:p w14:paraId="48AFE425" w14:textId="77777777" w:rsidR="001A609B" w:rsidRPr="00C45381" w:rsidRDefault="001A609B" w:rsidP="001A609B">
      <w:pPr>
        <w:pStyle w:val="NoSpacing"/>
        <w:rPr>
          <w:rFonts w:ascii="Arial Black" w:hAnsi="Arial Black"/>
          <w:sz w:val="28"/>
          <w:szCs w:val="28"/>
        </w:rPr>
      </w:pPr>
      <w:r>
        <w:rPr>
          <w:rFonts w:ascii="Arial Black" w:hAnsi="Arial Black"/>
          <w:sz w:val="28"/>
          <w:szCs w:val="28"/>
        </w:rPr>
        <w:t xml:space="preserve">OH: FIRE / PUSHED FF, THEN CALLED 911 – PROB CAUSE </w:t>
      </w:r>
    </w:p>
    <w:p w14:paraId="1ED0413A" w14:textId="77777777" w:rsidR="001A609B" w:rsidRDefault="001A609B" w:rsidP="001A609B">
      <w:pPr>
        <w:pStyle w:val="NoSpacing"/>
      </w:pPr>
    </w:p>
    <w:p w14:paraId="3663031F" w14:textId="77777777" w:rsidR="001A609B" w:rsidRPr="00887917" w:rsidRDefault="001A609B" w:rsidP="001A609B">
      <w:pPr>
        <w:pStyle w:val="NoSpacing"/>
      </w:pPr>
      <w:r>
        <w:t xml:space="preserve">On May 20, 2026, in </w:t>
      </w:r>
      <w:r w:rsidRPr="00EE3149">
        <w:rPr>
          <w:u w:val="single"/>
        </w:rPr>
        <w:t>Paula Willey v. Springfield Township, et al</w:t>
      </w:r>
      <w:r>
        <w:t xml:space="preserve">., the </w:t>
      </w:r>
      <w:r w:rsidRPr="00EE3149">
        <w:t>Court of Appeals of Ohio, Ninth District, Summit</w:t>
      </w:r>
      <w:r>
        <w:t xml:space="preserve"> County, held (3 to 0) that trial court properly granted summary judgment to police and firefighters; there was probable cause to arrest </w:t>
      </w:r>
      <w:r w:rsidRPr="00FF3169">
        <w:t>Willey</w:t>
      </w:r>
      <w:r>
        <w:t xml:space="preserve"> w</w:t>
      </w:r>
      <w:r w:rsidRPr="00FF3169">
        <w:t>ith misconduct at an emergency in violation of R.C. 2917.13, making</w:t>
      </w:r>
      <w:r>
        <w:t xml:space="preserve"> </w:t>
      </w:r>
      <w:r w:rsidRPr="00FF3169">
        <w:t>false alarms in violation of R.C. 2917.32, and disorderly conduct in violation of R.C. 2917.11</w:t>
      </w:r>
      <w:r>
        <w:t>, even though the c</w:t>
      </w:r>
      <w:r w:rsidRPr="00FF3169">
        <w:t>harges were dismissed several months later.</w:t>
      </w:r>
      <w:r>
        <w:t xml:space="preserve">  THE COURT WROTE: “</w:t>
      </w:r>
      <w:r w:rsidRPr="00887917">
        <w:t xml:space="preserve">Willey failed to point to any evidence suggesting the police officers did not have probable cause to arrest her for misconduct at an emergency, making false alarms, and disorderly conduct. Willey did not dispute that several witnesses informed officers that Willey was yelling and screaming at firefighters, had </w:t>
      </w:r>
      <w:r>
        <w:t>‘</w:t>
      </w:r>
      <w:r w:rsidRPr="00887917">
        <w:t>put hands on the firefighter,</w:t>
      </w:r>
      <w:r>
        <w:t>’</w:t>
      </w:r>
      <w:r w:rsidRPr="00887917">
        <w:t xml:space="preserve"> and had pushed him twice while he was on duty at the scene of a fire. Sergeant London testified that Chief </w:t>
      </w:r>
      <w:proofErr w:type="spellStart"/>
      <w:r w:rsidRPr="00887917">
        <w:t>Wincik</w:t>
      </w:r>
      <w:proofErr w:type="spellEnd"/>
      <w:r w:rsidRPr="00887917">
        <w:t xml:space="preserve"> had informed him the fire department was leaving the scene due to an altercation which involved Willey. Both Sergeant London and Officer Chapman testified Willey consistently yelled at them despite being asked to lower her voice and remain calm. Willey did not point to any evidence to dispute this testimony. Finally, Willey did not testify that she called 9-1-1 to report an emergency. Rather, she testified she called 9-1-1 for the purpose of speaking to the officer's supervisor despite having been informed that a supervisor was not </w:t>
      </w:r>
      <w:proofErr w:type="gramStart"/>
      <w:r w:rsidRPr="00887917">
        <w:t>available.</w:t>
      </w:r>
      <w:r>
        <w:t>”</w:t>
      </w:r>
      <w:proofErr w:type="gramEnd"/>
      <w:r>
        <w:t xml:space="preserve">  </w:t>
      </w:r>
      <w:hyperlink r:id="rId26" w:history="1">
        <w:r w:rsidRPr="006E380B">
          <w:rPr>
            <w:rStyle w:val="Hyperlink"/>
          </w:rPr>
          <w:t>https://www.supremecourt.ohio.gov/rod/docs/pdf/9/2026/2026-Ohio-1842.pdf</w:t>
        </w:r>
      </w:hyperlink>
      <w:r>
        <w:t xml:space="preserve"> </w:t>
      </w:r>
    </w:p>
    <w:p w14:paraId="0F7B86D2" w14:textId="77777777" w:rsidR="001A609B" w:rsidRPr="00EE3149" w:rsidRDefault="001A609B" w:rsidP="001A609B">
      <w:pPr>
        <w:rPr>
          <w:bCs/>
        </w:rPr>
      </w:pPr>
    </w:p>
    <w:p w14:paraId="10EFCF81" w14:textId="77777777" w:rsidR="001A609B" w:rsidRDefault="001A609B" w:rsidP="001A609B">
      <w:pPr>
        <w:pStyle w:val="NoSpacing"/>
      </w:pPr>
      <w:r>
        <w:t>THE COURT HELD:</w:t>
      </w:r>
    </w:p>
    <w:p w14:paraId="5AF83797" w14:textId="77777777" w:rsidR="001A609B" w:rsidRDefault="001A609B" w:rsidP="001A609B">
      <w:pPr>
        <w:pStyle w:val="NoSpacing"/>
      </w:pPr>
    </w:p>
    <w:p w14:paraId="7F7990BD" w14:textId="77777777" w:rsidR="001A609B" w:rsidRDefault="001A609B" w:rsidP="001A609B">
      <w:pPr>
        <w:pStyle w:val="NoSpacing"/>
        <w:ind w:firstLine="720"/>
      </w:pPr>
      <w:r>
        <w:t>“In the early evening hours of June 22, 2022, a fire started at the primary residence.</w:t>
      </w:r>
    </w:p>
    <w:p w14:paraId="75B2B0A5" w14:textId="77777777" w:rsidR="001A609B" w:rsidRDefault="001A609B" w:rsidP="001A609B">
      <w:pPr>
        <w:pStyle w:val="NoSpacing"/>
        <w:ind w:left="720"/>
      </w:pPr>
      <w:r>
        <w:t>[</w:t>
      </w:r>
      <w:r w:rsidRPr="0074665F">
        <w:t>Leann</w:t>
      </w:r>
      <w:r>
        <w:t>] Burks was at home with her three children, five dogs, and three cats. The Springfield Township Fire Department responded. The home was a total loss…. Willey, Burks’ mother, resided in a separate structure on the property, identified by the parties as</w:t>
      </w:r>
    </w:p>
    <w:p w14:paraId="632FB23C" w14:textId="77777777" w:rsidR="001A609B" w:rsidRDefault="001A609B" w:rsidP="001A609B">
      <w:pPr>
        <w:pStyle w:val="NoSpacing"/>
        <w:ind w:left="720"/>
      </w:pPr>
      <w:r>
        <w:t xml:space="preserve">a mother-in-law suite…. </w:t>
      </w:r>
    </w:p>
    <w:p w14:paraId="37D59139" w14:textId="77777777" w:rsidR="001A609B" w:rsidRDefault="001A609B" w:rsidP="001A609B">
      <w:pPr>
        <w:pStyle w:val="NoSpacing"/>
        <w:ind w:left="720"/>
      </w:pPr>
    </w:p>
    <w:p w14:paraId="173100FD" w14:textId="77777777" w:rsidR="001A609B" w:rsidRDefault="001A609B" w:rsidP="001A609B">
      <w:pPr>
        <w:pStyle w:val="NoSpacing"/>
        <w:ind w:left="720"/>
      </w:pPr>
      <w:r>
        <w:t>***</w:t>
      </w:r>
    </w:p>
    <w:p w14:paraId="4DFFB61D" w14:textId="77777777" w:rsidR="001A609B" w:rsidRDefault="001A609B" w:rsidP="001A609B">
      <w:pPr>
        <w:pStyle w:val="NoSpacing"/>
        <w:ind w:left="720"/>
      </w:pPr>
    </w:p>
    <w:p w14:paraId="65FA45F5" w14:textId="77777777" w:rsidR="001A609B" w:rsidRDefault="001A609B" w:rsidP="001A609B">
      <w:pPr>
        <w:pStyle w:val="NoSpacing"/>
        <w:ind w:left="720"/>
      </w:pPr>
      <w:r>
        <w:t>Although Willey was advised of the fire, she did not arrive at the property until</w:t>
      </w:r>
    </w:p>
    <w:p w14:paraId="4D5AB686" w14:textId="77777777" w:rsidR="001A609B" w:rsidRDefault="001A609B" w:rsidP="001A609B">
      <w:pPr>
        <w:pStyle w:val="NoSpacing"/>
        <w:ind w:left="720"/>
      </w:pPr>
      <w:r>
        <w:t>around 12:30 a.m. Nonetheless, firefighters were still on scene addressing the fire. After Willey arrived, an altercation occurred between Willey and Burks, [</w:t>
      </w:r>
      <w:r w:rsidRPr="00B41493">
        <w:t>Chase</w:t>
      </w:r>
      <w:r>
        <w:t xml:space="preserve">]Whipp, </w:t>
      </w:r>
      <w:proofErr w:type="gramStart"/>
      <w:r>
        <w:t>a number of</w:t>
      </w:r>
      <w:proofErr w:type="gramEnd"/>
      <w:r>
        <w:t xml:space="preserve"> Burks’ friends (Burrell, Abigail Christian, and David Christian), and a firefighter.</w:t>
      </w:r>
    </w:p>
    <w:p w14:paraId="2C190973" w14:textId="77777777" w:rsidR="001A609B" w:rsidRDefault="001A609B" w:rsidP="001A609B">
      <w:pPr>
        <w:pStyle w:val="NoSpacing"/>
        <w:ind w:left="720"/>
      </w:pPr>
    </w:p>
    <w:p w14:paraId="578C414A" w14:textId="77777777" w:rsidR="001A609B" w:rsidRDefault="001A609B" w:rsidP="001A609B">
      <w:pPr>
        <w:pStyle w:val="NoSpacing"/>
        <w:ind w:left="720"/>
      </w:pPr>
      <w:r>
        <w:t>***</w:t>
      </w:r>
    </w:p>
    <w:p w14:paraId="3AB19CC8" w14:textId="77777777" w:rsidR="001A609B" w:rsidRDefault="001A609B" w:rsidP="001A609B">
      <w:pPr>
        <w:pStyle w:val="NoSpacing"/>
        <w:ind w:left="720"/>
      </w:pPr>
    </w:p>
    <w:p w14:paraId="4AD889E2" w14:textId="77777777" w:rsidR="001A609B" w:rsidRDefault="001A609B" w:rsidP="001A609B">
      <w:pPr>
        <w:pStyle w:val="NoSpacing"/>
        <w:ind w:left="720"/>
      </w:pPr>
      <w:r w:rsidRPr="009F4D15">
        <w:t xml:space="preserve">Sergeant London </w:t>
      </w:r>
      <w:proofErr w:type="gramStart"/>
      <w:r w:rsidRPr="009F4D15">
        <w:t>testified</w:t>
      </w:r>
      <w:proofErr w:type="gramEnd"/>
      <w:r w:rsidRPr="009F4D15">
        <w:t xml:space="preserve"> Willey appeared </w:t>
      </w:r>
      <w:r>
        <w:t>‘</w:t>
      </w:r>
      <w:r w:rsidRPr="009F4D15">
        <w:t>pretty intoxicated[.]</w:t>
      </w:r>
      <w:r>
        <w:t>’</w:t>
      </w:r>
      <w:r w:rsidRPr="009F4D15">
        <w:t xml:space="preserve"> He stated he smelled the odor of alcoholic beverage come from Willey's person and that she displayed irrational behavior, was argumentative, and had a hard time following directions. Officer Chapman also testified that he smelled an odor of alcohol. </w:t>
      </w:r>
    </w:p>
    <w:p w14:paraId="702E8C26" w14:textId="77777777" w:rsidR="001A609B" w:rsidRDefault="001A609B" w:rsidP="001A609B">
      <w:pPr>
        <w:pStyle w:val="NoSpacing"/>
        <w:ind w:left="720"/>
      </w:pPr>
    </w:p>
    <w:p w14:paraId="44C380F8" w14:textId="77777777" w:rsidR="001A609B" w:rsidRDefault="001A609B" w:rsidP="001A609B">
      <w:pPr>
        <w:pStyle w:val="NoSpacing"/>
        <w:ind w:left="720"/>
      </w:pPr>
      <w:r>
        <w:t>***</w:t>
      </w:r>
    </w:p>
    <w:p w14:paraId="1B378AFB" w14:textId="77777777" w:rsidR="001A609B" w:rsidRDefault="001A609B" w:rsidP="001A609B">
      <w:pPr>
        <w:pStyle w:val="NoSpacing"/>
        <w:ind w:left="720"/>
      </w:pPr>
      <w:r w:rsidRPr="00F5741C">
        <w:t xml:space="preserve">Both Sergeant London and Officer Chapman testified that Willey called 9-1-1 and requested other officers to come to the scene while they were talking to her. A review of the officers' body camera footage shows officers had been on the scene for more than forty-five minutes and had already taken Willey's witness statement before Willey made the call. Sergeant London testified he told Willey to hang up the phone and then placed her in handcuffs and arrested her for misuse of 9-1-1 for reporting an emergency. Officer Chapman also testified that Willey was charged with misuse of 9-1-1 due to calling the emergency line while the officers were already on scene. Sergeant London </w:t>
      </w:r>
      <w:proofErr w:type="gramStart"/>
      <w:r w:rsidRPr="00F5741C">
        <w:t>testified</w:t>
      </w:r>
      <w:proofErr w:type="gramEnd"/>
      <w:r w:rsidRPr="00F5741C">
        <w:t xml:space="preserve"> Willey was arrested for disorderly conduct for </w:t>
      </w:r>
      <w:r>
        <w:t>‘</w:t>
      </w:r>
      <w:r w:rsidRPr="00F5741C">
        <w:t>raising her voice causing an annoyance alarm at the emergency scene.</w:t>
      </w:r>
      <w:r>
        <w:t>’</w:t>
      </w:r>
      <w:r w:rsidRPr="00F5741C">
        <w:t xml:space="preserve"> He stated she was arrested for misconduct at emergency because </w:t>
      </w:r>
      <w:r>
        <w:t>‘</w:t>
      </w:r>
      <w:r w:rsidRPr="00F5741C">
        <w:t xml:space="preserve">Firefighters were doing their </w:t>
      </w:r>
      <w:proofErr w:type="gramStart"/>
      <w:r w:rsidRPr="00F5741C">
        <w:t>job</w:t>
      </w:r>
      <w:proofErr w:type="gramEnd"/>
      <w:r w:rsidRPr="00F5741C">
        <w:t xml:space="preserve"> and they were leaving because of her conduct.</w:t>
      </w:r>
      <w:r>
        <w:t>’</w:t>
      </w:r>
      <w:r w:rsidRPr="00F5741C">
        <w:t xml:space="preserve"> Sergeant London testified he did not know when or why the charges were dismissed. Officer Chapman testified he did not know why the charges were dismissed.</w:t>
      </w:r>
      <w:r>
        <w:t>”</w:t>
      </w:r>
    </w:p>
    <w:p w14:paraId="3CDB6D57" w14:textId="77777777" w:rsidR="001A609B" w:rsidRDefault="001A609B" w:rsidP="001A609B">
      <w:pPr>
        <w:pStyle w:val="NoSpacing"/>
        <w:ind w:left="720"/>
      </w:pPr>
    </w:p>
    <w:p w14:paraId="48FE7840" w14:textId="77777777" w:rsidR="001A609B" w:rsidRDefault="001A609B" w:rsidP="001A609B">
      <w:pPr>
        <w:pStyle w:val="NoSpacing"/>
        <w:rPr>
          <w:b/>
          <w:bCs/>
        </w:rPr>
      </w:pPr>
      <w:r>
        <w:rPr>
          <w:b/>
        </w:rPr>
        <w:t xml:space="preserve">Legal lesson learned: </w:t>
      </w:r>
      <w:r w:rsidRPr="00D51D58">
        <w:rPr>
          <w:b/>
        </w:rPr>
        <w:t>There was probable cause to arrest Willey with misconduct at an emergency, making false alarms, and disorderly conduct</w:t>
      </w:r>
      <w:r>
        <w:rPr>
          <w:b/>
        </w:rPr>
        <w:t xml:space="preserve">; </w:t>
      </w:r>
      <w:r w:rsidRPr="00D51D58">
        <w:rPr>
          <w:b/>
        </w:rPr>
        <w:t>even if charges later dropped by prosecutor.</w:t>
      </w:r>
      <w:r>
        <w:t xml:space="preserve"> </w:t>
      </w:r>
    </w:p>
    <w:p w14:paraId="6557FA54" w14:textId="77777777" w:rsidR="001A609B" w:rsidRDefault="001A609B" w:rsidP="001A609B"/>
    <w:p w14:paraId="6048E2E2" w14:textId="3DDA3293" w:rsidR="001A609B" w:rsidRDefault="001A609B" w:rsidP="001A609B">
      <w:pPr>
        <w:pStyle w:val="NoSpacing"/>
        <w:rPr>
          <w:rFonts w:ascii="Arial Black" w:hAnsi="Arial Black"/>
          <w:sz w:val="24"/>
          <w:szCs w:val="24"/>
        </w:rPr>
      </w:pPr>
      <w:r>
        <w:rPr>
          <w:rFonts w:ascii="Arial Black" w:hAnsi="Arial Black"/>
          <w:sz w:val="24"/>
          <w:szCs w:val="24"/>
        </w:rPr>
        <w:t>1-210</w:t>
      </w:r>
    </w:p>
    <w:p w14:paraId="26642001" w14:textId="77777777" w:rsidR="001A609B" w:rsidRDefault="001A609B" w:rsidP="001A609B">
      <w:pPr>
        <w:pStyle w:val="NoSpacing"/>
        <w:rPr>
          <w:rFonts w:ascii="Arial Black" w:hAnsi="Arial Black"/>
          <w:sz w:val="28"/>
          <w:szCs w:val="28"/>
        </w:rPr>
      </w:pPr>
    </w:p>
    <w:p w14:paraId="45A32E79" w14:textId="6057E11E" w:rsidR="001A609B" w:rsidRDefault="001A609B" w:rsidP="001A609B">
      <w:pPr>
        <w:pStyle w:val="NoSpacing"/>
        <w:rPr>
          <w:rFonts w:ascii="Arial Black" w:hAnsi="Arial Black"/>
          <w:sz w:val="28"/>
          <w:szCs w:val="28"/>
        </w:rPr>
      </w:pPr>
      <w:r>
        <w:rPr>
          <w:rFonts w:ascii="Arial Black" w:hAnsi="Arial Black"/>
          <w:sz w:val="28"/>
          <w:szCs w:val="28"/>
        </w:rPr>
        <w:t>MI: ARSON – DROP ATTY / “STANDBY” ATTY – 7 YRS PRISON</w:t>
      </w:r>
    </w:p>
    <w:p w14:paraId="203AA91B" w14:textId="77777777" w:rsidR="001A609B" w:rsidRDefault="001A609B" w:rsidP="001A609B">
      <w:pPr>
        <w:pStyle w:val="NoSpacing"/>
      </w:pPr>
    </w:p>
    <w:p w14:paraId="05763FC9" w14:textId="77777777" w:rsidR="001A609B" w:rsidRDefault="001A609B" w:rsidP="001A609B">
      <w:pPr>
        <w:rPr>
          <w:b/>
        </w:rPr>
      </w:pPr>
      <w:r>
        <w:t xml:space="preserve">On May 20, 2026, in </w:t>
      </w:r>
      <w:r w:rsidRPr="00F03998">
        <w:rPr>
          <w:u w:val="single"/>
        </w:rPr>
        <w:t>Steve Ellis Karacson v. David Shaver, Warden</w:t>
      </w:r>
      <w:r>
        <w:t xml:space="preserve">, the United States Court of Appeals for the Sixth Circuit (Cincinnati) held that the prisoner serving seven years in Michigan state prison was properly denied habeas corpus by federal district court judge.  His conviction by a jury was affirmed on appeal by the Michigan Court of Appeals, which held that the Michigan state court judge properly warned the defendant of danger of dropping his second appointed attorney on the morning of trial. The Michigan judge also wisely had the second attorney serve as “standby counsel” throughout the trial; the defendant questioned jurors and made his own closing argument.  THE COURT WROTE: “Indeed, the attorney had ably represented </w:t>
      </w:r>
      <w:proofErr w:type="spellStart"/>
      <w:r>
        <w:t>Karacson</w:t>
      </w:r>
      <w:proofErr w:type="spellEnd"/>
      <w:r>
        <w:t xml:space="preserve"> before trial by negotiating a bond reduction and rejecting the state’s plea offers…. The attorney was still </w:t>
      </w:r>
      <w:proofErr w:type="spellStart"/>
      <w:r>
        <w:t>Karacson’s</w:t>
      </w:r>
      <w:proofErr w:type="spellEnd"/>
      <w:r>
        <w:t xml:space="preserve"> standby counsel, and he continued to aid </w:t>
      </w:r>
      <w:proofErr w:type="spellStart"/>
      <w:r>
        <w:t>Karacson</w:t>
      </w:r>
      <w:proofErr w:type="spellEnd"/>
      <w:r>
        <w:t xml:space="preserve"> throughout trial even though </w:t>
      </w:r>
      <w:proofErr w:type="spellStart"/>
      <w:r>
        <w:t>Karacson</w:t>
      </w:r>
      <w:proofErr w:type="spellEnd"/>
      <w:r>
        <w:t xml:space="preserve"> was representing himself. He even introduced himself to the jury pool as someone who would be “assisting” </w:t>
      </w:r>
      <w:proofErr w:type="spellStart"/>
      <w:r>
        <w:t>Karacson</w:t>
      </w:r>
      <w:proofErr w:type="spellEnd"/>
      <w:r>
        <w:t xml:space="preserve">, and the trial court called the attorney a ‘kind of legal advisor.’ </w:t>
      </w:r>
      <w:hyperlink r:id="rId27" w:history="1">
        <w:r w:rsidRPr="007D75EB">
          <w:rPr>
            <w:rStyle w:val="Hyperlink"/>
            <w:b/>
          </w:rPr>
          <w:t>https://cases.justia.com/federal/appellate-courts/ca6/25-1089/25-1089-2026-05-20.pdf?ts=1779309039</w:t>
        </w:r>
      </w:hyperlink>
      <w:r>
        <w:rPr>
          <w:b/>
        </w:rPr>
        <w:t xml:space="preserve"> </w:t>
      </w:r>
    </w:p>
    <w:p w14:paraId="2479C6BB" w14:textId="77777777" w:rsidR="001A609B" w:rsidRDefault="001A609B" w:rsidP="001A609B">
      <w:pPr>
        <w:pStyle w:val="NoSpacing"/>
      </w:pPr>
      <w:r>
        <w:t xml:space="preserve"> THE COURT HELD:</w:t>
      </w:r>
    </w:p>
    <w:p w14:paraId="6EC9BD10" w14:textId="77777777" w:rsidR="001A609B" w:rsidRDefault="001A609B" w:rsidP="001A609B">
      <w:pPr>
        <w:pStyle w:val="NoSpacing"/>
      </w:pPr>
    </w:p>
    <w:p w14:paraId="4C66F371" w14:textId="77777777" w:rsidR="001A609B" w:rsidRPr="00895548" w:rsidRDefault="001A609B" w:rsidP="001A609B">
      <w:pPr>
        <w:pStyle w:val="NoSpacing"/>
        <w:ind w:firstLine="720"/>
      </w:pPr>
      <w:r>
        <w:t>“</w:t>
      </w:r>
      <w:r w:rsidRPr="00895548">
        <w:t>In 2017, a fire devastated Steve Karacson’s house. It took firefighters two or three hours</w:t>
      </w:r>
    </w:p>
    <w:p w14:paraId="24960DCB" w14:textId="77777777" w:rsidR="001A609B" w:rsidRPr="00895548" w:rsidRDefault="001A609B" w:rsidP="001A609B">
      <w:pPr>
        <w:pStyle w:val="NoSpacing"/>
        <w:ind w:firstLine="720"/>
      </w:pPr>
      <w:r w:rsidRPr="00895548">
        <w:t>to put out the flames. The next day, investigators entered the house with an arson dog and</w:t>
      </w:r>
    </w:p>
    <w:p w14:paraId="2B9BF31F" w14:textId="77777777" w:rsidR="001A609B" w:rsidRDefault="001A609B" w:rsidP="001A609B">
      <w:pPr>
        <w:pStyle w:val="NoSpacing"/>
        <w:ind w:left="720"/>
      </w:pPr>
      <w:r w:rsidRPr="00895548">
        <w:t>detected the smell of gasoline. They also determined that the fire had multiple origin points</w:t>
      </w:r>
      <w:r>
        <w:t xml:space="preserve"> </w:t>
      </w:r>
      <w:r w:rsidRPr="00895548">
        <w:t>inside the house. After reviewing this evidence and eliminating other possible causes, they</w:t>
      </w:r>
      <w:r>
        <w:t xml:space="preserve"> </w:t>
      </w:r>
      <w:r w:rsidRPr="00895548">
        <w:t xml:space="preserve">concluded the fire was an act of arson. </w:t>
      </w:r>
      <w:proofErr w:type="spellStart"/>
      <w:r w:rsidRPr="00895548">
        <w:t>Karacson</w:t>
      </w:r>
      <w:proofErr w:type="spellEnd"/>
      <w:r w:rsidRPr="00895548">
        <w:t xml:space="preserve"> had fire insurance, so the investigation focused</w:t>
      </w:r>
      <w:r>
        <w:t xml:space="preserve"> </w:t>
      </w:r>
      <w:r w:rsidRPr="00895548">
        <w:t>on him.</w:t>
      </w:r>
    </w:p>
    <w:p w14:paraId="18CAC5F4" w14:textId="77777777" w:rsidR="001A609B" w:rsidRDefault="001A609B" w:rsidP="001A609B">
      <w:pPr>
        <w:pStyle w:val="NoSpacing"/>
      </w:pPr>
    </w:p>
    <w:p w14:paraId="3618E560" w14:textId="77777777" w:rsidR="001A609B" w:rsidRPr="00742EA0" w:rsidRDefault="001A609B" w:rsidP="001A609B">
      <w:pPr>
        <w:pStyle w:val="NoSpacing"/>
        <w:ind w:firstLine="720"/>
      </w:pPr>
      <w:proofErr w:type="spellStart"/>
      <w:r w:rsidRPr="00742EA0">
        <w:t>Karacson</w:t>
      </w:r>
      <w:proofErr w:type="spellEnd"/>
      <w:r w:rsidRPr="00742EA0">
        <w:t xml:space="preserve"> told investigators he wasn’t home on the night of the fire. He claimed instead</w:t>
      </w:r>
    </w:p>
    <w:p w14:paraId="74247581" w14:textId="77777777" w:rsidR="001A609B" w:rsidRDefault="001A609B" w:rsidP="001A609B">
      <w:pPr>
        <w:pStyle w:val="NoSpacing"/>
        <w:ind w:left="720"/>
      </w:pPr>
      <w:r w:rsidRPr="00742EA0">
        <w:t>that he’d traveled to Kentucky two days before the fire and returned the morning after the fire.</w:t>
      </w:r>
      <w:r>
        <w:t xml:space="preserve"> </w:t>
      </w:r>
      <w:r w:rsidRPr="00742EA0">
        <w:t xml:space="preserve">But location data from his cell phone said otherwise. The morning before the fire, </w:t>
      </w:r>
      <w:proofErr w:type="spellStart"/>
      <w:r w:rsidRPr="00742EA0">
        <w:t>Karacson’s</w:t>
      </w:r>
      <w:proofErr w:type="spellEnd"/>
      <w:r>
        <w:t xml:space="preserve"> </w:t>
      </w:r>
      <w:r w:rsidRPr="00742EA0">
        <w:t>phone connected to towers along a route heading north from Kentucky back to Michigan. And</w:t>
      </w:r>
      <w:r>
        <w:t xml:space="preserve"> </w:t>
      </w:r>
      <w:r w:rsidRPr="00742EA0">
        <w:t>less than an hour before the fire, his phone pinged a tower near his house. Police officers also</w:t>
      </w:r>
      <w:r>
        <w:t xml:space="preserve"> </w:t>
      </w:r>
      <w:r w:rsidRPr="00742EA0">
        <w:t xml:space="preserve">found a receipt in </w:t>
      </w:r>
      <w:proofErr w:type="spellStart"/>
      <w:r w:rsidRPr="00742EA0">
        <w:t>Karacson’s</w:t>
      </w:r>
      <w:proofErr w:type="spellEnd"/>
      <w:r w:rsidRPr="00742EA0">
        <w:t xml:space="preserve"> wallet showing that, just hours before the fire, he had bought a</w:t>
      </w:r>
      <w:r>
        <w:t xml:space="preserve"> </w:t>
      </w:r>
      <w:r w:rsidRPr="00742EA0">
        <w:t xml:space="preserve">five-gallon gas can and a pair of utility gloves from a Michigan hardware store. </w:t>
      </w:r>
      <w:proofErr w:type="gramStart"/>
      <w:r w:rsidRPr="00742EA0">
        <w:t>So</w:t>
      </w:r>
      <w:proofErr w:type="gramEnd"/>
      <w:r w:rsidRPr="00742EA0">
        <w:t xml:space="preserve"> Michigan</w:t>
      </w:r>
      <w:r>
        <w:t xml:space="preserve"> </w:t>
      </w:r>
      <w:r w:rsidRPr="00742EA0">
        <w:t xml:space="preserve">charged </w:t>
      </w:r>
      <w:proofErr w:type="spellStart"/>
      <w:r w:rsidRPr="00742EA0">
        <w:t>Karacson</w:t>
      </w:r>
      <w:proofErr w:type="spellEnd"/>
      <w:r w:rsidRPr="00742EA0">
        <w:t xml:space="preserve"> with arson and insurance fraud.</w:t>
      </w:r>
    </w:p>
    <w:p w14:paraId="35BCC9B4" w14:textId="77777777" w:rsidR="001A609B" w:rsidRDefault="001A609B" w:rsidP="001A609B">
      <w:pPr>
        <w:pStyle w:val="NoSpacing"/>
        <w:ind w:left="720"/>
      </w:pPr>
    </w:p>
    <w:p w14:paraId="2692D157" w14:textId="77777777" w:rsidR="001A609B" w:rsidRDefault="001A609B" w:rsidP="001A609B">
      <w:pPr>
        <w:pStyle w:val="NoSpacing"/>
        <w:ind w:left="720"/>
      </w:pPr>
      <w:r>
        <w:t>***</w:t>
      </w:r>
    </w:p>
    <w:p w14:paraId="6975AD00" w14:textId="77777777" w:rsidR="001A609B" w:rsidRDefault="001A609B" w:rsidP="001A609B">
      <w:pPr>
        <w:pStyle w:val="NoSpacing"/>
        <w:ind w:left="720"/>
      </w:pPr>
      <w:proofErr w:type="spellStart"/>
      <w:r w:rsidRPr="00307040">
        <w:t>Karacson</w:t>
      </w:r>
      <w:proofErr w:type="spellEnd"/>
      <w:r w:rsidRPr="00307040">
        <w:t xml:space="preserve"> later changed his story to say that he was at a friend’s house in Michigan the night of</w:t>
      </w:r>
      <w:r>
        <w:t xml:space="preserve"> </w:t>
      </w:r>
      <w:r w:rsidRPr="00307040">
        <w:t>the fire. But he didn’t want the police to ask that friend any questions, so it’s unclear how</w:t>
      </w:r>
      <w:r>
        <w:t xml:space="preserve"> </w:t>
      </w:r>
      <w:r w:rsidRPr="001E2F51">
        <w:t>anyone could have confirmed his story.</w:t>
      </w:r>
    </w:p>
    <w:p w14:paraId="627AD441" w14:textId="77777777" w:rsidR="001A609B" w:rsidRDefault="001A609B" w:rsidP="001A609B">
      <w:pPr>
        <w:pStyle w:val="NoSpacing"/>
        <w:ind w:left="720"/>
      </w:pPr>
    </w:p>
    <w:p w14:paraId="1D2DBA1A" w14:textId="77777777" w:rsidR="001A609B" w:rsidRDefault="001A609B" w:rsidP="001A609B">
      <w:pPr>
        <w:pStyle w:val="NoSpacing"/>
        <w:ind w:left="720"/>
      </w:pPr>
      <w:r>
        <w:t>***</w:t>
      </w:r>
    </w:p>
    <w:p w14:paraId="7E492DEA" w14:textId="77777777" w:rsidR="001A609B" w:rsidRDefault="001A609B" w:rsidP="001A609B">
      <w:pPr>
        <w:pStyle w:val="NoSpacing"/>
        <w:ind w:left="720"/>
      </w:pPr>
      <w:r>
        <w:t xml:space="preserve">The jury convicted </w:t>
      </w:r>
      <w:proofErr w:type="spellStart"/>
      <w:r>
        <w:t>Karacson</w:t>
      </w:r>
      <w:proofErr w:type="spellEnd"/>
      <w:r>
        <w:t xml:space="preserve"> on all counts. Although his conviction carried a possible</w:t>
      </w:r>
    </w:p>
    <w:p w14:paraId="58736C3B" w14:textId="77777777" w:rsidR="001A609B" w:rsidRDefault="001A609B" w:rsidP="001A609B">
      <w:pPr>
        <w:pStyle w:val="NoSpacing"/>
        <w:ind w:left="720"/>
      </w:pPr>
      <w:r>
        <w:t xml:space="preserve">life sentence, the trial court opted for a more lenient punishment. It reasoned that </w:t>
      </w:r>
      <w:proofErr w:type="spellStart"/>
      <w:r>
        <w:t>Karacson</w:t>
      </w:r>
      <w:proofErr w:type="spellEnd"/>
      <w:r>
        <w:t xml:space="preserve"> hadn’t hurt anyone, harmed anyone else’s property, or received any insurance money. The court therefore sentenced him to only seven years in prison.”</w:t>
      </w:r>
    </w:p>
    <w:p w14:paraId="5F0C07F2" w14:textId="77777777" w:rsidR="001A609B" w:rsidRDefault="001A609B" w:rsidP="001A609B">
      <w:pPr>
        <w:pStyle w:val="NoSpacing"/>
        <w:ind w:left="720"/>
      </w:pPr>
    </w:p>
    <w:p w14:paraId="6B99BA0F" w14:textId="77777777" w:rsidR="001A609B" w:rsidRPr="00283AB4" w:rsidRDefault="001A609B" w:rsidP="001A609B">
      <w:pPr>
        <w:pStyle w:val="NoSpacing"/>
        <w:rPr>
          <w:b/>
          <w:bCs/>
        </w:rPr>
      </w:pPr>
      <w:r>
        <w:rPr>
          <w:b/>
        </w:rPr>
        <w:t xml:space="preserve">Legal lesson learned: </w:t>
      </w:r>
      <w:r w:rsidRPr="00283AB4">
        <w:rPr>
          <w:b/>
        </w:rPr>
        <w:t>State prison</w:t>
      </w:r>
      <w:r>
        <w:rPr>
          <w:b/>
        </w:rPr>
        <w:t>er</w:t>
      </w:r>
      <w:r w:rsidRPr="00283AB4">
        <w:rPr>
          <w:b/>
        </w:rPr>
        <w:t xml:space="preserve"> was properly denied habeas corpus by federal district court judge.  Trial judge wisely appointed “standby counsel” even if the defendant </w:t>
      </w:r>
      <w:r>
        <w:rPr>
          <w:b/>
        </w:rPr>
        <w:t>represented himself and did closing argument.</w:t>
      </w:r>
    </w:p>
    <w:p w14:paraId="0383C7EA" w14:textId="77777777" w:rsidR="001A609B" w:rsidRDefault="001A609B" w:rsidP="001A609B">
      <w:pPr>
        <w:pStyle w:val="NoSpacing"/>
        <w:rPr>
          <w:b/>
          <w:bCs/>
        </w:rPr>
      </w:pPr>
    </w:p>
    <w:p w14:paraId="71991639" w14:textId="77777777" w:rsidR="001A609B" w:rsidRPr="0089017A" w:rsidRDefault="001A609B" w:rsidP="001A609B">
      <w:pPr>
        <w:pStyle w:val="NoSpacing"/>
        <w:ind w:left="720"/>
      </w:pPr>
      <w:r w:rsidRPr="0089017A">
        <w:t xml:space="preserve">Note:  Congress enacted the Antiterrorism and Effective Death Penalty Act (AEDPA) </w:t>
      </w:r>
      <w:r>
        <w:t xml:space="preserve">on April 24, 1966, in response to the Oklahoma City bombing; it limits </w:t>
      </w:r>
      <w:r w:rsidRPr="0089017A">
        <w:t xml:space="preserve">federal judges </w:t>
      </w:r>
      <w:r>
        <w:t xml:space="preserve">granting </w:t>
      </w:r>
      <w:r w:rsidRPr="0089017A">
        <w:t>state prisoners</w:t>
      </w:r>
      <w:r>
        <w:t xml:space="preserve"> petitions for </w:t>
      </w:r>
      <w:r w:rsidRPr="0089017A">
        <w:t xml:space="preserve">federal habeas </w:t>
      </w:r>
      <w:r>
        <w:t xml:space="preserve">release. </w:t>
      </w:r>
      <w:r w:rsidRPr="0089017A">
        <w:t xml:space="preserve">“So to obtain relief under AEDPA, </w:t>
      </w:r>
      <w:proofErr w:type="spellStart"/>
      <w:r w:rsidRPr="0089017A">
        <w:t>Karacson</w:t>
      </w:r>
      <w:proofErr w:type="spellEnd"/>
      <w:r w:rsidRPr="0089017A">
        <w:t xml:space="preserve"> must show that the</w:t>
      </w:r>
      <w:r>
        <w:t xml:space="preserve"> </w:t>
      </w:r>
      <w:r w:rsidRPr="0089017A">
        <w:t>Michigan court’s decision was (1) “contrary to, or involved an unreasonable application of,</w:t>
      </w:r>
      <w:r>
        <w:t xml:space="preserve"> </w:t>
      </w:r>
      <w:r w:rsidRPr="0089017A">
        <w:t>clearly established Federal law, as determined by the Supreme Court of the United States” or (2) “based on an unreasonable determination of the facts in light of the evidence” before the state court. 28 U.S.C. § 2254(d)(1)–(2).</w:t>
      </w:r>
    </w:p>
    <w:p w14:paraId="18F68E15" w14:textId="77777777" w:rsidR="001A609B" w:rsidRPr="0089017A" w:rsidRDefault="001A609B" w:rsidP="001A609B"/>
    <w:p w14:paraId="45B57B65" w14:textId="77777777" w:rsidR="001A609B" w:rsidRDefault="001A609B" w:rsidP="001A609B">
      <w:pPr>
        <w:pStyle w:val="NoSpacing"/>
        <w:rPr>
          <w:bCs/>
        </w:rPr>
      </w:pPr>
    </w:p>
    <w:p w14:paraId="03CD7650" w14:textId="77777777" w:rsidR="001A609B" w:rsidRDefault="001A609B" w:rsidP="00822052">
      <w:pPr>
        <w:pStyle w:val="NoSpacing"/>
        <w:rPr>
          <w:rFonts w:ascii="Arial Black" w:hAnsi="Arial Black"/>
          <w:sz w:val="24"/>
          <w:szCs w:val="24"/>
        </w:rPr>
      </w:pPr>
    </w:p>
    <w:p w14:paraId="51EB89D9" w14:textId="77777777" w:rsidR="001A609B" w:rsidRDefault="001A609B" w:rsidP="00822052">
      <w:pPr>
        <w:pStyle w:val="NoSpacing"/>
        <w:rPr>
          <w:rFonts w:ascii="Arial Black" w:hAnsi="Arial Black"/>
          <w:sz w:val="24"/>
          <w:szCs w:val="24"/>
        </w:rPr>
      </w:pPr>
    </w:p>
    <w:p w14:paraId="275824BD" w14:textId="77777777" w:rsidR="001A609B" w:rsidRDefault="001A609B" w:rsidP="00822052">
      <w:pPr>
        <w:pStyle w:val="NoSpacing"/>
        <w:rPr>
          <w:rFonts w:ascii="Arial Black" w:hAnsi="Arial Black"/>
          <w:sz w:val="24"/>
          <w:szCs w:val="24"/>
        </w:rPr>
      </w:pPr>
    </w:p>
    <w:p w14:paraId="66FB1077" w14:textId="77777777" w:rsidR="001A609B" w:rsidRDefault="001A609B" w:rsidP="00822052">
      <w:pPr>
        <w:pStyle w:val="NoSpacing"/>
        <w:rPr>
          <w:rFonts w:ascii="Arial Black" w:hAnsi="Arial Black"/>
          <w:sz w:val="24"/>
          <w:szCs w:val="24"/>
        </w:rPr>
      </w:pPr>
    </w:p>
    <w:p w14:paraId="2C21048E" w14:textId="77777777" w:rsidR="001A609B" w:rsidRDefault="001A609B" w:rsidP="00822052">
      <w:pPr>
        <w:pStyle w:val="NoSpacing"/>
        <w:rPr>
          <w:rFonts w:ascii="Arial Black" w:hAnsi="Arial Black"/>
          <w:sz w:val="24"/>
          <w:szCs w:val="24"/>
        </w:rPr>
      </w:pPr>
    </w:p>
    <w:p w14:paraId="6CCEA4D1" w14:textId="48B39326" w:rsidR="00822052" w:rsidRDefault="00822052" w:rsidP="00822052">
      <w:pPr>
        <w:pStyle w:val="NoSpacing"/>
        <w:rPr>
          <w:rFonts w:ascii="Arial Black" w:hAnsi="Arial Black"/>
          <w:sz w:val="24"/>
          <w:szCs w:val="24"/>
        </w:rPr>
      </w:pPr>
      <w:r>
        <w:rPr>
          <w:rFonts w:ascii="Arial Black" w:hAnsi="Arial Black"/>
          <w:sz w:val="24"/>
          <w:szCs w:val="24"/>
        </w:rPr>
        <w:t>1-209</w:t>
      </w:r>
    </w:p>
    <w:p w14:paraId="358353C4" w14:textId="77777777" w:rsidR="00822052" w:rsidRDefault="00822052" w:rsidP="00387E6C">
      <w:pPr>
        <w:pStyle w:val="NoSpacing"/>
        <w:rPr>
          <w:rFonts w:ascii="Arial Black" w:hAnsi="Arial Black"/>
          <w:sz w:val="28"/>
          <w:szCs w:val="28"/>
        </w:rPr>
      </w:pPr>
    </w:p>
    <w:p w14:paraId="2263E180" w14:textId="77777777" w:rsidR="00822052" w:rsidRDefault="00822052" w:rsidP="00387E6C">
      <w:pPr>
        <w:pStyle w:val="NoSpacing"/>
        <w:rPr>
          <w:rFonts w:ascii="Arial Black" w:hAnsi="Arial Black"/>
          <w:sz w:val="28"/>
          <w:szCs w:val="28"/>
        </w:rPr>
      </w:pPr>
    </w:p>
    <w:p w14:paraId="14A052D7" w14:textId="0A315A5A" w:rsidR="00387E6C" w:rsidRDefault="00387E6C" w:rsidP="00387E6C">
      <w:pPr>
        <w:pStyle w:val="NoSpacing"/>
        <w:rPr>
          <w:rFonts w:ascii="Arial Black" w:hAnsi="Arial Black"/>
          <w:sz w:val="28"/>
          <w:szCs w:val="28"/>
        </w:rPr>
      </w:pPr>
      <w:r>
        <w:rPr>
          <w:rFonts w:ascii="Arial Black" w:hAnsi="Arial Black"/>
          <w:sz w:val="28"/>
          <w:szCs w:val="28"/>
        </w:rPr>
        <w:t>MN: CHINA PHONE BATTERY - $3.8M FIRE – AMAZON SUED</w:t>
      </w:r>
    </w:p>
    <w:p w14:paraId="6596CDB5" w14:textId="77777777" w:rsidR="00387E6C" w:rsidRDefault="00387E6C" w:rsidP="00387E6C">
      <w:pPr>
        <w:pStyle w:val="NoSpacing"/>
      </w:pPr>
    </w:p>
    <w:p w14:paraId="655E7D28" w14:textId="77777777" w:rsidR="00387E6C" w:rsidRDefault="00387E6C" w:rsidP="00387E6C">
      <w:pPr>
        <w:pStyle w:val="NoSpacing"/>
      </w:pPr>
      <w:r>
        <w:t xml:space="preserve">On April 27, 2028, in </w:t>
      </w:r>
      <w:r w:rsidRPr="0025753E">
        <w:rPr>
          <w:u w:val="single"/>
        </w:rPr>
        <w:t>Berkly Regional Insurance Company, et al. v. John Doe Battery Manufacturer</w:t>
      </w:r>
      <w:r>
        <w:rPr>
          <w:u w:val="single"/>
        </w:rPr>
        <w:t xml:space="preserve">; </w:t>
      </w:r>
      <w:proofErr w:type="spellStart"/>
      <w:r>
        <w:rPr>
          <w:u w:val="single"/>
        </w:rPr>
        <w:t>Yishda</w:t>
      </w:r>
      <w:proofErr w:type="spellEnd"/>
      <w:r>
        <w:rPr>
          <w:u w:val="single"/>
        </w:rPr>
        <w:t xml:space="preserve">; </w:t>
      </w:r>
      <w:r w:rsidRPr="0025753E">
        <w:rPr>
          <w:u w:val="single"/>
        </w:rPr>
        <w:t>et al</w:t>
      </w:r>
      <w:r>
        <w:t>., the United States Court of Appeals for the Eight Circuit (St. Louis) held (3 to 0) that the lawsuit against Amazon cannot proceed in federal court until state law is clarified.  When Rochelle Zappa’s cellphone would not hold a charge, she searched</w:t>
      </w:r>
    </w:p>
    <w:p w14:paraId="74F450A7" w14:textId="77777777" w:rsidR="00387E6C" w:rsidRDefault="00387E6C" w:rsidP="00387E6C">
      <w:pPr>
        <w:pStyle w:val="NoSpacing"/>
      </w:pPr>
      <w:r>
        <w:t xml:space="preserve">Amazon for a replacement battery. She picked one sold by a Chinese company named </w:t>
      </w:r>
      <w:proofErr w:type="spellStart"/>
      <w:r>
        <w:t>Yishda</w:t>
      </w:r>
      <w:proofErr w:type="spellEnd"/>
      <w:r>
        <w:t xml:space="preserve"> that the website advertised as “Amazon’s Choice.”  When she plugged her phone in at work to charge the battery, it fizzled, sparked, and then burst into flames. Smoke soon enveloped the office. By the time firefighters put out the fire, it had caused $3,881,280 in damage.  The employer’s insurance company sued Amazon in state court; Amazon removed it </w:t>
      </w:r>
      <w:proofErr w:type="gramStart"/>
      <w:r>
        <w:t>to federal</w:t>
      </w:r>
      <w:proofErr w:type="gramEnd"/>
      <w:r>
        <w:t xml:space="preserve"> court. The 8</w:t>
      </w:r>
      <w:r w:rsidRPr="00463C71">
        <w:rPr>
          <w:vertAlign w:val="superscript"/>
        </w:rPr>
        <w:t>th</w:t>
      </w:r>
      <w:r>
        <w:t xml:space="preserve"> Circuit is sending following </w:t>
      </w:r>
      <w:proofErr w:type="gramStart"/>
      <w:r>
        <w:t>question</w:t>
      </w:r>
      <w:proofErr w:type="gramEnd"/>
      <w:r>
        <w:t xml:space="preserve"> to the Minnesota Supreme Court to answer following </w:t>
      </w:r>
      <w:proofErr w:type="gramStart"/>
      <w:r>
        <w:t>question</w:t>
      </w:r>
      <w:proofErr w:type="gramEnd"/>
      <w:r>
        <w:t xml:space="preserve">:  </w:t>
      </w:r>
    </w:p>
    <w:p w14:paraId="5BC710CD" w14:textId="77777777" w:rsidR="00387E6C" w:rsidRDefault="00387E6C" w:rsidP="00387E6C">
      <w:pPr>
        <w:pStyle w:val="NoSpacing"/>
      </w:pPr>
    </w:p>
    <w:p w14:paraId="7EDC654E" w14:textId="77777777" w:rsidR="00387E6C" w:rsidRDefault="00387E6C" w:rsidP="00387E6C">
      <w:pPr>
        <w:pStyle w:val="NoSpacing"/>
        <w:ind w:firstLine="720"/>
      </w:pPr>
      <w:r>
        <w:t>“Under Minnesota law, if an e-commerce company allows an unrelated</w:t>
      </w:r>
    </w:p>
    <w:p w14:paraId="6827638F" w14:textId="77777777" w:rsidR="00387E6C" w:rsidRDefault="00387E6C" w:rsidP="00387E6C">
      <w:pPr>
        <w:pStyle w:val="NoSpacing"/>
        <w:ind w:firstLine="720"/>
      </w:pPr>
      <w:r>
        <w:t>party to sell a defective product through its website and provides order-</w:t>
      </w:r>
    </w:p>
    <w:p w14:paraId="4A235976" w14:textId="77777777" w:rsidR="00387E6C" w:rsidRDefault="00387E6C" w:rsidP="00387E6C">
      <w:pPr>
        <w:pStyle w:val="NoSpacing"/>
        <w:ind w:firstLine="720"/>
      </w:pPr>
      <w:r>
        <w:t>fulfillment services for the sale, is it strictly liable for any harm caused</w:t>
      </w:r>
    </w:p>
    <w:p w14:paraId="492BEF04" w14:textId="77777777" w:rsidR="00387E6C" w:rsidRDefault="00387E6C" w:rsidP="00387E6C">
      <w:pPr>
        <w:pStyle w:val="NoSpacing"/>
        <w:ind w:firstLine="720"/>
      </w:pPr>
      <w:r>
        <w:t xml:space="preserve">by the defect?” </w:t>
      </w:r>
    </w:p>
    <w:p w14:paraId="357D3C8D" w14:textId="77777777" w:rsidR="00387E6C" w:rsidRDefault="00387E6C" w:rsidP="00387E6C">
      <w:pPr>
        <w:pStyle w:val="NoSpacing"/>
        <w:ind w:firstLine="720"/>
      </w:pPr>
    </w:p>
    <w:p w14:paraId="2088CDBC" w14:textId="77777777" w:rsidR="00387E6C" w:rsidRDefault="00387E6C" w:rsidP="00387E6C">
      <w:pPr>
        <w:pStyle w:val="NoSpacing"/>
      </w:pPr>
      <w:hyperlink r:id="rId28" w:history="1">
        <w:r w:rsidRPr="00CF721F">
          <w:rPr>
            <w:rStyle w:val="Hyperlink"/>
          </w:rPr>
          <w:t>https://ecf.ca8.uscourts.gov/opndir/26/04/242159P.pdf</w:t>
        </w:r>
      </w:hyperlink>
      <w:r>
        <w:t xml:space="preserve"> </w:t>
      </w:r>
    </w:p>
    <w:p w14:paraId="3B4956FA" w14:textId="77777777" w:rsidR="00387E6C" w:rsidRDefault="00387E6C" w:rsidP="00387E6C">
      <w:pPr>
        <w:pStyle w:val="NoSpacing"/>
        <w:ind w:firstLine="720"/>
      </w:pPr>
    </w:p>
    <w:p w14:paraId="079A78B6" w14:textId="77777777" w:rsidR="00387E6C" w:rsidRDefault="00387E6C" w:rsidP="00387E6C">
      <w:r>
        <w:t>THE COURT HELD:</w:t>
      </w:r>
    </w:p>
    <w:p w14:paraId="4C1580F5" w14:textId="77777777" w:rsidR="00387E6C" w:rsidRDefault="00387E6C" w:rsidP="00387E6C">
      <w:pPr>
        <w:pStyle w:val="NoSpacing"/>
        <w:ind w:left="720"/>
      </w:pPr>
      <w:r>
        <w:t>“When Rochelle Zappa’s cellphone would not hold a charge, she searched</w:t>
      </w:r>
    </w:p>
    <w:p w14:paraId="70012299" w14:textId="77777777" w:rsidR="00387E6C" w:rsidRDefault="00387E6C" w:rsidP="00387E6C">
      <w:pPr>
        <w:pStyle w:val="NoSpacing"/>
        <w:ind w:firstLine="720"/>
      </w:pPr>
      <w:r>
        <w:t>Amazon for a replacement battery. She picked one sold by a Chinese company</w:t>
      </w:r>
    </w:p>
    <w:p w14:paraId="7699417D" w14:textId="77777777" w:rsidR="00387E6C" w:rsidRDefault="00387E6C" w:rsidP="00387E6C">
      <w:pPr>
        <w:pStyle w:val="NoSpacing"/>
        <w:ind w:firstLine="720"/>
      </w:pPr>
      <w:r>
        <w:t xml:space="preserve">named </w:t>
      </w:r>
      <w:proofErr w:type="spellStart"/>
      <w:r>
        <w:t>Yishda</w:t>
      </w:r>
      <w:proofErr w:type="spellEnd"/>
      <w:r>
        <w:t xml:space="preserve"> that the website advertised as ‘Amazon’s Choice.’</w:t>
      </w:r>
    </w:p>
    <w:p w14:paraId="707246A1" w14:textId="77777777" w:rsidR="00387E6C" w:rsidRDefault="00387E6C" w:rsidP="00387E6C">
      <w:pPr>
        <w:pStyle w:val="NoSpacing"/>
        <w:ind w:firstLine="720"/>
      </w:pPr>
    </w:p>
    <w:p w14:paraId="6B0C6FD1" w14:textId="77777777" w:rsidR="00387E6C" w:rsidRDefault="00387E6C" w:rsidP="00387E6C">
      <w:pPr>
        <w:pStyle w:val="NoSpacing"/>
        <w:ind w:firstLine="720"/>
      </w:pPr>
      <w:r>
        <w:t>The company took part in the “Fulfillment by Amazon” program, a service</w:t>
      </w:r>
    </w:p>
    <w:p w14:paraId="572AA354" w14:textId="77777777" w:rsidR="00387E6C" w:rsidRDefault="00387E6C" w:rsidP="00387E6C">
      <w:pPr>
        <w:pStyle w:val="NoSpacing"/>
        <w:ind w:firstLine="720"/>
      </w:pPr>
      <w:r>
        <w:t>that allows sellers to use Amazon’s infrastructure, including its website, its</w:t>
      </w:r>
    </w:p>
    <w:p w14:paraId="19C8B7D7" w14:textId="77777777" w:rsidR="00387E6C" w:rsidRDefault="00387E6C" w:rsidP="00387E6C">
      <w:pPr>
        <w:pStyle w:val="NoSpacing"/>
        <w:ind w:firstLine="720"/>
      </w:pPr>
      <w:r>
        <w:t>warehouses, and its delivery drivers. For a fee, Amazon handled storage, order</w:t>
      </w:r>
    </w:p>
    <w:p w14:paraId="44418347" w14:textId="77777777" w:rsidR="00387E6C" w:rsidRDefault="00387E6C" w:rsidP="00387E6C">
      <w:pPr>
        <w:pStyle w:val="NoSpacing"/>
        <w:ind w:firstLine="720"/>
      </w:pPr>
      <w:r>
        <w:t>fulfillment, returns, and customer service. See Pickard v. Amazon.com, Inc., 387</w:t>
      </w:r>
    </w:p>
    <w:p w14:paraId="20562245" w14:textId="77777777" w:rsidR="00387E6C" w:rsidRDefault="00387E6C" w:rsidP="00387E6C">
      <w:pPr>
        <w:pStyle w:val="NoSpacing"/>
        <w:ind w:firstLine="720"/>
      </w:pPr>
      <w:r>
        <w:t>So.3d 515, 518 (La. 2024) (describing Amazon’s order-fulfillment service). Here,</w:t>
      </w:r>
    </w:p>
    <w:p w14:paraId="236D84FD" w14:textId="77777777" w:rsidR="00387E6C" w:rsidRDefault="00387E6C" w:rsidP="00387E6C">
      <w:pPr>
        <w:pStyle w:val="NoSpacing"/>
        <w:ind w:firstLine="720"/>
      </w:pPr>
      <w:proofErr w:type="gramStart"/>
      <w:r>
        <w:t>it</w:t>
      </w:r>
      <w:proofErr w:type="gramEnd"/>
      <w:r>
        <w:t xml:space="preserve"> resulted in an Amazon driver delivering a </w:t>
      </w:r>
      <w:proofErr w:type="spellStart"/>
      <w:r>
        <w:t>Yishda</w:t>
      </w:r>
      <w:proofErr w:type="spellEnd"/>
      <w:r>
        <w:t xml:space="preserve"> battery inside an Amazon bag to</w:t>
      </w:r>
    </w:p>
    <w:p w14:paraId="3B93A22C" w14:textId="77777777" w:rsidR="00387E6C" w:rsidRDefault="00387E6C" w:rsidP="00387E6C">
      <w:pPr>
        <w:pStyle w:val="NoSpacing"/>
        <w:ind w:firstLine="720"/>
      </w:pPr>
      <w:r>
        <w:t>her doorstep.</w:t>
      </w:r>
    </w:p>
    <w:p w14:paraId="29C137AB" w14:textId="77777777" w:rsidR="00387E6C" w:rsidRDefault="00387E6C" w:rsidP="00387E6C">
      <w:pPr>
        <w:ind w:firstLine="720"/>
        <w:rPr>
          <w:b/>
          <w:bCs/>
        </w:rPr>
      </w:pPr>
    </w:p>
    <w:p w14:paraId="7481721C" w14:textId="77777777" w:rsidR="00387E6C" w:rsidRDefault="00387E6C" w:rsidP="00387E6C">
      <w:pPr>
        <w:pStyle w:val="NoSpacing"/>
        <w:ind w:firstLine="720"/>
      </w:pPr>
      <w:r>
        <w:t>***</w:t>
      </w:r>
    </w:p>
    <w:p w14:paraId="250397F5" w14:textId="77777777" w:rsidR="00387E6C" w:rsidRDefault="00387E6C" w:rsidP="00387E6C">
      <w:pPr>
        <w:ind w:left="720"/>
        <w:rPr>
          <w:b/>
          <w:bCs/>
        </w:rPr>
      </w:pPr>
      <w:r>
        <w:t xml:space="preserve">We need to know whether, under Minnesota law, Amazon is strictly liable for a defective product it offered, stored, and shipped, even though someone else was the seller. The Minnesota Supreme Court ought to be the one to decide this novel legal issue, so we give it the right of first refusal… Finally, the legal question we have is about </w:t>
      </w:r>
      <w:proofErr w:type="gramStart"/>
      <w:r>
        <w:t>as</w:t>
      </w:r>
      <w:proofErr w:type="gramEnd"/>
      <w:r>
        <w:t xml:space="preserve"> clean as it gets. Whether Amazon is strictly liable for </w:t>
      </w:r>
      <w:proofErr w:type="spellStart"/>
      <w:r>
        <w:t>Yishda’s</w:t>
      </w:r>
      <w:proofErr w:type="spellEnd"/>
      <w:r>
        <w:t xml:space="preserve"> batteries depends on undisputed facts. The record is clear that, as the seller, </w:t>
      </w:r>
      <w:proofErr w:type="spellStart"/>
      <w:r>
        <w:t>Yishda</w:t>
      </w:r>
      <w:proofErr w:type="spellEnd"/>
      <w:r>
        <w:t xml:space="preserve"> listed the batteries online, sent them to warehouses around the country, and left the rest to Amazon.”</w:t>
      </w:r>
    </w:p>
    <w:p w14:paraId="15E9482E" w14:textId="77777777" w:rsidR="00387E6C" w:rsidRPr="001C2DCD" w:rsidRDefault="00387E6C" w:rsidP="00387E6C">
      <w:pPr>
        <w:rPr>
          <w:b/>
          <w:bCs/>
        </w:rPr>
      </w:pPr>
      <w:r>
        <w:rPr>
          <w:b/>
        </w:rPr>
        <w:t xml:space="preserve">Legal lesson learned: Battery fires are becoming all too common; the question here is whether the insurance company for the $3.8 million loss can recover from Amazon and was  Amazon aware of prior fires with this product. </w:t>
      </w:r>
    </w:p>
    <w:p w14:paraId="3182CCB3" w14:textId="77777777" w:rsidR="00387E6C" w:rsidRDefault="00387E6C" w:rsidP="00387E6C">
      <w:pPr>
        <w:pStyle w:val="NoSpacing"/>
        <w:rPr>
          <w:bCs/>
        </w:rPr>
      </w:pPr>
    </w:p>
    <w:p w14:paraId="3DA51BA2" w14:textId="4ED6D940" w:rsidR="00822052" w:rsidRDefault="00822052" w:rsidP="00822052">
      <w:pPr>
        <w:pStyle w:val="NoSpacing"/>
        <w:rPr>
          <w:rFonts w:ascii="Arial Black" w:hAnsi="Arial Black"/>
          <w:sz w:val="24"/>
          <w:szCs w:val="24"/>
        </w:rPr>
      </w:pPr>
      <w:r>
        <w:rPr>
          <w:rFonts w:ascii="Arial Black" w:hAnsi="Arial Black"/>
          <w:sz w:val="24"/>
          <w:szCs w:val="24"/>
        </w:rPr>
        <w:t>1-208</w:t>
      </w:r>
    </w:p>
    <w:p w14:paraId="01F3CD84" w14:textId="77777777" w:rsidR="00387E6C" w:rsidRDefault="00387E6C" w:rsidP="00387E6C">
      <w:pPr>
        <w:pStyle w:val="NoSpacing"/>
        <w:rPr>
          <w:bCs/>
        </w:rPr>
      </w:pPr>
    </w:p>
    <w:p w14:paraId="011FF64E" w14:textId="77777777" w:rsidR="00387E6C" w:rsidRDefault="00387E6C" w:rsidP="00387E6C">
      <w:pPr>
        <w:pStyle w:val="NoSpacing"/>
        <w:rPr>
          <w:b/>
        </w:rPr>
      </w:pPr>
    </w:p>
    <w:p w14:paraId="2F5E6217" w14:textId="77777777" w:rsidR="008326CD" w:rsidRPr="00891643" w:rsidRDefault="008326CD" w:rsidP="008326CD">
      <w:pPr>
        <w:pStyle w:val="NoSpacing"/>
        <w:rPr>
          <w:rFonts w:ascii="Arial Black" w:hAnsi="Arial Black"/>
          <w:sz w:val="28"/>
          <w:szCs w:val="28"/>
        </w:rPr>
      </w:pPr>
      <w:r>
        <w:rPr>
          <w:rFonts w:ascii="Arial Black" w:hAnsi="Arial Black"/>
          <w:sz w:val="28"/>
          <w:szCs w:val="28"/>
        </w:rPr>
        <w:t xml:space="preserve">WV: ARSON - SIGNED CONFESSION / NO NEED PD TO VIDEO </w:t>
      </w:r>
    </w:p>
    <w:p w14:paraId="52E5C633" w14:textId="77777777" w:rsidR="008326CD" w:rsidRDefault="008326CD" w:rsidP="008326CD">
      <w:pPr>
        <w:pStyle w:val="NoSpacing"/>
      </w:pPr>
    </w:p>
    <w:p w14:paraId="53F1750F" w14:textId="77777777" w:rsidR="008326CD" w:rsidRDefault="008326CD" w:rsidP="008326CD">
      <w:pPr>
        <w:pStyle w:val="NoSpacing"/>
        <w:rPr>
          <w:bCs/>
        </w:rPr>
      </w:pPr>
      <w:r>
        <w:t xml:space="preserve">On April 21, 2026, in  </w:t>
      </w:r>
      <w:r w:rsidRPr="00E63016">
        <w:rPr>
          <w:u w:val="single"/>
        </w:rPr>
        <w:t>State of West Virginia v. Harry Lee Steele</w:t>
      </w:r>
      <w:r>
        <w:t xml:space="preserve">, the </w:t>
      </w:r>
      <w:r w:rsidRPr="00E63016">
        <w:t>Supreme Court of Appeals of West Virginia</w:t>
      </w:r>
      <w:r>
        <w:t xml:space="preserve">, held (5 to 0) that trial court properly denied motion to suppress written confession, which was given voluntarily; jury convicted him of first-degree arson for light couch on fire on front of house, and sentenced him to 20 years.  He confessed to lighting a couch on the front porch, which led to structure fire; he turned himself in the next day and admitted he started the fire out of personal animosity with the owner of the house. </w:t>
      </w:r>
      <w:r w:rsidRPr="004C6462">
        <w:t>Deputy Martin stated that he recorded only part of the interview because his bodycam</w:t>
      </w:r>
      <w:r>
        <w:t xml:space="preserve"> </w:t>
      </w:r>
      <w:r w:rsidRPr="004C6462">
        <w:t xml:space="preserve">needed to charge. </w:t>
      </w:r>
    </w:p>
    <w:p w14:paraId="712494D1" w14:textId="77777777" w:rsidR="008326CD" w:rsidRPr="00883C4E" w:rsidRDefault="008326CD" w:rsidP="008326CD">
      <w:pPr>
        <w:pStyle w:val="NoSpacing"/>
        <w:rPr>
          <w:bCs/>
        </w:rPr>
      </w:pPr>
      <w:hyperlink r:id="rId29" w:history="1">
        <w:r w:rsidRPr="00072B77">
          <w:rPr>
            <w:rStyle w:val="Hyperlink"/>
          </w:rPr>
          <w:t>https://www.courtswv.gov/sites/default/pubfilesmnt/2026-04/24-79%20Memorandum%20Decision.pdf</w:t>
        </w:r>
      </w:hyperlink>
      <w:r w:rsidRPr="00883C4E">
        <w:t xml:space="preserve"> </w:t>
      </w:r>
    </w:p>
    <w:p w14:paraId="236E03FF" w14:textId="77777777" w:rsidR="008326CD" w:rsidRPr="00883C4E" w:rsidRDefault="008326CD" w:rsidP="008326CD">
      <w:pPr>
        <w:pStyle w:val="NoSpacing"/>
        <w:rPr>
          <w:bCs/>
        </w:rPr>
      </w:pPr>
    </w:p>
    <w:p w14:paraId="4E9C2108" w14:textId="77777777" w:rsidR="008326CD" w:rsidRDefault="008326CD" w:rsidP="008326CD">
      <w:pPr>
        <w:pStyle w:val="NoSpacing"/>
        <w:rPr>
          <w:bCs/>
        </w:rPr>
      </w:pPr>
    </w:p>
    <w:p w14:paraId="56AC101D" w14:textId="77777777" w:rsidR="008326CD" w:rsidRPr="00E63016" w:rsidRDefault="008326CD" w:rsidP="008326CD">
      <w:pPr>
        <w:pStyle w:val="NoSpacing"/>
        <w:rPr>
          <w:bCs/>
        </w:rPr>
      </w:pPr>
      <w:r>
        <w:t>THE COURT HELD:</w:t>
      </w:r>
    </w:p>
    <w:p w14:paraId="21F30B11" w14:textId="77777777" w:rsidR="008326CD" w:rsidRDefault="008326CD" w:rsidP="008326CD">
      <w:pPr>
        <w:pStyle w:val="NoSpacing"/>
      </w:pPr>
    </w:p>
    <w:p w14:paraId="03FC5F8D" w14:textId="77777777" w:rsidR="008326CD" w:rsidRPr="00891643" w:rsidRDefault="008326CD" w:rsidP="008326CD">
      <w:pPr>
        <w:pStyle w:val="NoSpacing"/>
        <w:ind w:firstLine="720"/>
      </w:pPr>
      <w:r>
        <w:t>“</w:t>
      </w:r>
      <w:r w:rsidRPr="00891643">
        <w:t>Here, the circuit court considered the evidence presented at the suppression hearing and</w:t>
      </w:r>
    </w:p>
    <w:p w14:paraId="03EA4592" w14:textId="77777777" w:rsidR="008326CD" w:rsidRDefault="008326CD" w:rsidP="008326CD">
      <w:pPr>
        <w:pStyle w:val="NoSpacing"/>
        <w:ind w:left="720"/>
      </w:pPr>
      <w:r w:rsidRPr="00891643">
        <w:t xml:space="preserve">found that the petitioner did not appear intoxicated; that his signatures on both the </w:t>
      </w:r>
      <w:r w:rsidRPr="00883C4E">
        <w:rPr>
          <w:i/>
          <w:iCs/>
        </w:rPr>
        <w:t>Miranda</w:t>
      </w:r>
      <w:r w:rsidRPr="00891643">
        <w:t xml:space="preserve"> waiver</w:t>
      </w:r>
      <w:r>
        <w:t xml:space="preserve"> </w:t>
      </w:r>
      <w:r w:rsidRPr="00891643">
        <w:t>form and the written statement matched; and that the petitioner affirmed the accuracy of the</w:t>
      </w:r>
      <w:r>
        <w:t xml:space="preserve"> </w:t>
      </w:r>
      <w:r w:rsidRPr="00891643">
        <w:t>statement as observed in the recorded portion of the interview—all of which led the court to</w:t>
      </w:r>
      <w:r>
        <w:t xml:space="preserve"> </w:t>
      </w:r>
      <w:r w:rsidRPr="00891643">
        <w:t xml:space="preserve">conclude that the petitioner’s confession was voluntary and not made under duress. </w:t>
      </w:r>
    </w:p>
    <w:p w14:paraId="4D7B9EFF" w14:textId="77777777" w:rsidR="008326CD" w:rsidRDefault="008326CD" w:rsidP="008326CD">
      <w:pPr>
        <w:pStyle w:val="NoSpacing"/>
        <w:ind w:left="720"/>
      </w:pPr>
    </w:p>
    <w:p w14:paraId="1A8F75E1" w14:textId="77777777" w:rsidR="008326CD" w:rsidRDefault="008326CD" w:rsidP="008326CD">
      <w:pPr>
        <w:pStyle w:val="NoSpacing"/>
        <w:ind w:left="720"/>
      </w:pPr>
      <w:r w:rsidRPr="00891643">
        <w:t>While the</w:t>
      </w:r>
      <w:r>
        <w:t xml:space="preserve"> </w:t>
      </w:r>
      <w:r w:rsidRPr="00891643">
        <w:t>petitioner argues that the voluntariness of his confession cannot be proven because his initial</w:t>
      </w:r>
      <w:r>
        <w:t xml:space="preserve"> </w:t>
      </w:r>
      <w:r w:rsidRPr="00891643">
        <w:t xml:space="preserve">statement to Deputy Martin was not recorded, we have previously declined to </w:t>
      </w:r>
      <w:r>
        <w:t>‘</w:t>
      </w:r>
      <w:r w:rsidRPr="00891643">
        <w:t>establish an</w:t>
      </w:r>
      <w:r>
        <w:t xml:space="preserve"> </w:t>
      </w:r>
      <w:r w:rsidRPr="00891643">
        <w:t>absolute rule requiring such recording,</w:t>
      </w:r>
      <w:r>
        <w:t>’</w:t>
      </w:r>
      <w:r w:rsidRPr="00891643">
        <w:t xml:space="preserve"> noting that</w:t>
      </w:r>
      <w:r>
        <w:t xml:space="preserve"> ‘</w:t>
      </w:r>
      <w:r w:rsidRPr="00891643">
        <w:t xml:space="preserve">requiring police agencies to record </w:t>
      </w:r>
      <w:r>
        <w:t>i</w:t>
      </w:r>
      <w:r w:rsidRPr="00891643">
        <w:t>nterrogations is impractical and does not offer any greater safeguards for protecting the accused’s</w:t>
      </w:r>
      <w:r>
        <w:t xml:space="preserve"> </w:t>
      </w:r>
      <w:r w:rsidRPr="00891643">
        <w:t>rights than would be afforded by writing the statements affords.</w:t>
      </w:r>
      <w:r>
        <w:t>’</w:t>
      </w:r>
      <w:r w:rsidRPr="00891643">
        <w:t xml:space="preserve"> State v. Kilmer, 190 W. Va. 617,</w:t>
      </w:r>
      <w:r>
        <w:t xml:space="preserve"> </w:t>
      </w:r>
      <w:r w:rsidRPr="00891643">
        <w:t xml:space="preserve">628-29, 439 S.E.2d 881, 892-93 (1993). </w:t>
      </w:r>
    </w:p>
    <w:p w14:paraId="0CA9F908" w14:textId="77777777" w:rsidR="008326CD" w:rsidRDefault="008326CD" w:rsidP="008326CD">
      <w:pPr>
        <w:pStyle w:val="NoSpacing"/>
        <w:ind w:left="720"/>
      </w:pPr>
      <w:r w:rsidRPr="00891643">
        <w:t>Further, to the extent that petitioner claims the</w:t>
      </w:r>
      <w:r>
        <w:t xml:space="preserve"> </w:t>
      </w:r>
      <w:r w:rsidRPr="00891643">
        <w:t>voluntariness of his statement cannot be proven because Deputy Martin drafted it on his behalf,</w:t>
      </w:r>
      <w:r>
        <w:t xml:space="preserve"> </w:t>
      </w:r>
      <w:r w:rsidRPr="00891643">
        <w:t>we have previously held that</w:t>
      </w:r>
      <w:r>
        <w:t xml:space="preserve"> </w:t>
      </w:r>
      <w:r w:rsidRPr="00891643">
        <w:t>[a] confession or statement made by a suspect is admissible if it is freely</w:t>
      </w:r>
      <w:r>
        <w:t xml:space="preserve"> </w:t>
      </w:r>
      <w:r w:rsidRPr="00891643">
        <w:t>and voluntarily made despite the fact that it is written by an arresting officer if the</w:t>
      </w:r>
      <w:r>
        <w:t xml:space="preserve"> </w:t>
      </w:r>
      <w:r w:rsidRPr="00891643">
        <w:t>confession or statement is read, translated (if necessary), signed by the accused and</w:t>
      </w:r>
      <w:r>
        <w:t xml:space="preserve"> </w:t>
      </w:r>
      <w:r w:rsidRPr="00891643">
        <w:t>admitted by him to be correct.</w:t>
      </w:r>
      <w:r>
        <w:t xml:space="preserve">”  </w:t>
      </w:r>
    </w:p>
    <w:p w14:paraId="6FC35589" w14:textId="77777777" w:rsidR="008326CD" w:rsidRDefault="008326CD" w:rsidP="008326CD">
      <w:pPr>
        <w:pStyle w:val="NoSpacing"/>
        <w:ind w:left="720"/>
      </w:pPr>
    </w:p>
    <w:p w14:paraId="33B55A5D" w14:textId="77777777" w:rsidR="008326CD" w:rsidRPr="003D0F2A" w:rsidRDefault="008326CD" w:rsidP="008326CD">
      <w:pPr>
        <w:pStyle w:val="NoSpacing"/>
        <w:rPr>
          <w:b/>
          <w:bCs/>
        </w:rPr>
      </w:pPr>
      <w:r>
        <w:rPr>
          <w:b/>
        </w:rPr>
        <w:t xml:space="preserve">Legal lesson learned: If PD drafts the confession document, it would be helpful to video the draft being read to the defendant prior to his signature. </w:t>
      </w:r>
    </w:p>
    <w:p w14:paraId="54286982" w14:textId="77777777" w:rsidR="00387E6C" w:rsidRDefault="00387E6C" w:rsidP="00037CB8">
      <w:pPr>
        <w:pStyle w:val="NoSpacing"/>
        <w:rPr>
          <w:rFonts w:ascii="Arial Black" w:hAnsi="Arial Black"/>
          <w:sz w:val="24"/>
          <w:szCs w:val="24"/>
        </w:rPr>
      </w:pPr>
    </w:p>
    <w:p w14:paraId="1527E0F3" w14:textId="77777777" w:rsidR="00822052" w:rsidRDefault="00822052" w:rsidP="00037CB8">
      <w:pPr>
        <w:pStyle w:val="NoSpacing"/>
        <w:rPr>
          <w:rFonts w:ascii="Arial Black" w:hAnsi="Arial Black"/>
          <w:sz w:val="24"/>
          <w:szCs w:val="24"/>
        </w:rPr>
      </w:pPr>
    </w:p>
    <w:p w14:paraId="606A6F7B" w14:textId="59B2DBBF" w:rsidR="00822052" w:rsidRDefault="00822052" w:rsidP="00822052">
      <w:pPr>
        <w:pStyle w:val="NoSpacing"/>
        <w:rPr>
          <w:rFonts w:ascii="Arial Black" w:hAnsi="Arial Black"/>
          <w:sz w:val="24"/>
          <w:szCs w:val="24"/>
        </w:rPr>
      </w:pPr>
      <w:r>
        <w:rPr>
          <w:rFonts w:ascii="Arial Black" w:hAnsi="Arial Black"/>
          <w:sz w:val="24"/>
          <w:szCs w:val="24"/>
        </w:rPr>
        <w:t>1-207</w:t>
      </w:r>
    </w:p>
    <w:p w14:paraId="64F48355" w14:textId="77777777" w:rsidR="00822052" w:rsidRDefault="00822052" w:rsidP="00037CB8">
      <w:pPr>
        <w:pStyle w:val="NoSpacing"/>
        <w:rPr>
          <w:rFonts w:ascii="Arial Black" w:hAnsi="Arial Black"/>
          <w:sz w:val="24"/>
          <w:szCs w:val="24"/>
        </w:rPr>
      </w:pPr>
    </w:p>
    <w:p w14:paraId="49D08AD2" w14:textId="77777777" w:rsidR="00822052" w:rsidRDefault="00822052" w:rsidP="00037CB8">
      <w:pPr>
        <w:pStyle w:val="NoSpacing"/>
        <w:rPr>
          <w:rFonts w:ascii="Arial Black" w:hAnsi="Arial Black"/>
          <w:sz w:val="24"/>
          <w:szCs w:val="24"/>
        </w:rPr>
      </w:pPr>
    </w:p>
    <w:p w14:paraId="3E197E33" w14:textId="77777777" w:rsidR="00822052" w:rsidRDefault="00822052" w:rsidP="00822052">
      <w:pPr>
        <w:pStyle w:val="NoSpacing"/>
        <w:rPr>
          <w:rFonts w:ascii="Arial Black" w:hAnsi="Arial Black"/>
          <w:b/>
          <w:sz w:val="28"/>
          <w:szCs w:val="28"/>
        </w:rPr>
      </w:pPr>
      <w:r>
        <w:rPr>
          <w:rFonts w:ascii="Arial Black" w:hAnsi="Arial Black"/>
          <w:b/>
          <w:sz w:val="28"/>
          <w:szCs w:val="28"/>
        </w:rPr>
        <w:t>TX: BATTERY STORAGE PLANT– INJUNCTION – RISK PLAN</w:t>
      </w:r>
    </w:p>
    <w:p w14:paraId="730B4CC1" w14:textId="77777777" w:rsidR="00822052" w:rsidRDefault="00822052" w:rsidP="00822052">
      <w:pPr>
        <w:pStyle w:val="NoSpacing"/>
        <w:rPr>
          <w:rFonts w:ascii="Arial Black" w:hAnsi="Arial Black"/>
          <w:b/>
          <w:sz w:val="28"/>
          <w:szCs w:val="28"/>
        </w:rPr>
      </w:pPr>
    </w:p>
    <w:p w14:paraId="138C8D57" w14:textId="77777777" w:rsidR="00822052" w:rsidRDefault="00822052" w:rsidP="00822052">
      <w:pPr>
        <w:pStyle w:val="NoSpacing"/>
        <w:rPr>
          <w:b/>
        </w:rPr>
      </w:pPr>
      <w:r>
        <w:t xml:space="preserve">On April 9, 2026, in </w:t>
      </w:r>
      <w:r w:rsidRPr="00D9240F">
        <w:t xml:space="preserve">Jim Clements, et al. v. Jason McBroom, et al., </w:t>
      </w:r>
      <w:r>
        <w:t xml:space="preserve">the </w:t>
      </w:r>
      <w:r w:rsidRPr="00D9240F">
        <w:t>Court of Appeals of Texas, Third District, Austin</w:t>
      </w:r>
      <w:r>
        <w:t xml:space="preserve"> held (3 to 0) reversed trial court and held that landowners are entitled to an injunction to </w:t>
      </w:r>
      <w:r w:rsidRPr="00792680">
        <w:t xml:space="preserve">temporarily halt the construction of a planned 200-megawatt Battery Energy Storage System (BESS) on the </w:t>
      </w:r>
      <w:proofErr w:type="spellStart"/>
      <w:r w:rsidRPr="00792680">
        <w:t>McBrooms</w:t>
      </w:r>
      <w:proofErr w:type="spellEnd"/>
      <w:r w:rsidRPr="00792680">
        <w:t xml:space="preserve">' property until the </w:t>
      </w:r>
      <w:proofErr w:type="spellStart"/>
      <w:r w:rsidRPr="00792680">
        <w:t>McBrooms</w:t>
      </w:r>
      <w:proofErr w:type="spellEnd"/>
      <w:r w:rsidRPr="00792680">
        <w:t xml:space="preserve"> ensure the implementation of a “Court-approved hazard mitigation plan, including specific measures for fire containment, contamination prevention, and emergency response.”</w:t>
      </w:r>
      <w:r>
        <w:t xml:space="preserve">  </w:t>
      </w:r>
    </w:p>
    <w:p w14:paraId="1216F496" w14:textId="77777777" w:rsidR="00822052" w:rsidRPr="00656164" w:rsidRDefault="00822052" w:rsidP="00822052">
      <w:pPr>
        <w:pStyle w:val="NoSpacing"/>
        <w:rPr>
          <w:bCs/>
        </w:rPr>
      </w:pPr>
      <w:hyperlink r:id="rId30" w:history="1">
        <w:r w:rsidRPr="00656164">
          <w:rPr>
            <w:rStyle w:val="Hyperlink"/>
          </w:rPr>
          <w:t>https://caselaw.findlaw.com/court/tx-court-of-appeals/118277713.html</w:t>
        </w:r>
      </w:hyperlink>
    </w:p>
    <w:p w14:paraId="15B1D7E4" w14:textId="77777777" w:rsidR="00822052" w:rsidRPr="00656164" w:rsidRDefault="00822052" w:rsidP="00822052">
      <w:pPr>
        <w:pStyle w:val="NoSpacing"/>
        <w:rPr>
          <w:bCs/>
        </w:rPr>
      </w:pPr>
    </w:p>
    <w:p w14:paraId="62B3FE8C" w14:textId="77777777" w:rsidR="00822052" w:rsidRPr="00656164" w:rsidRDefault="00822052" w:rsidP="00822052">
      <w:pPr>
        <w:pStyle w:val="NoSpacing"/>
        <w:rPr>
          <w:bCs/>
        </w:rPr>
      </w:pPr>
      <w:r w:rsidRPr="00656164">
        <w:t xml:space="preserve">THE COURT HELD: </w:t>
      </w:r>
    </w:p>
    <w:p w14:paraId="2E392DF5" w14:textId="77777777" w:rsidR="00822052" w:rsidRDefault="00822052" w:rsidP="00822052">
      <w:pPr>
        <w:pStyle w:val="NoSpacing"/>
        <w:rPr>
          <w:bCs/>
        </w:rPr>
      </w:pPr>
    </w:p>
    <w:p w14:paraId="62A4D576" w14:textId="77777777" w:rsidR="00822052" w:rsidRPr="002E6437" w:rsidRDefault="00822052" w:rsidP="00822052">
      <w:pPr>
        <w:pStyle w:val="NoSpacing"/>
        <w:ind w:left="720"/>
        <w:rPr>
          <w:bCs/>
        </w:rPr>
      </w:pPr>
      <w:r>
        <w:t>“</w:t>
      </w:r>
      <w:r w:rsidRPr="002E6437">
        <w:t xml:space="preserve">In their live petition, filed November 26, 2024, Landowners asserted a claim against the </w:t>
      </w:r>
      <w:proofErr w:type="spellStart"/>
      <w:r w:rsidRPr="002E6437">
        <w:t>McBrooms</w:t>
      </w:r>
      <w:proofErr w:type="spellEnd"/>
      <w:r w:rsidRPr="002E6437">
        <w:t xml:space="preserve"> for private nuisance based on negligence to support their request for injunctive relief and damages. Landowners' factual allegations include the following:</w:t>
      </w:r>
    </w:p>
    <w:p w14:paraId="689DF851" w14:textId="77777777" w:rsidR="00822052" w:rsidRDefault="00822052" w:rsidP="00822052">
      <w:pPr>
        <w:pStyle w:val="NoSpacing"/>
        <w:rPr>
          <w:bCs/>
        </w:rPr>
      </w:pPr>
    </w:p>
    <w:p w14:paraId="0F4C1D36" w14:textId="77777777" w:rsidR="00822052" w:rsidRPr="002E6437" w:rsidRDefault="00822052" w:rsidP="00822052">
      <w:pPr>
        <w:pStyle w:val="NoSpacing"/>
        <w:ind w:left="1440"/>
        <w:rPr>
          <w:bCs/>
        </w:rPr>
      </w:pPr>
      <w:r w:rsidRPr="002E6437">
        <w:t>• Construction on the planned BESS facility could begin as early as “the fourth quarter of 2025,” with operations beginning in 2026;</w:t>
      </w:r>
    </w:p>
    <w:p w14:paraId="760955AA" w14:textId="77777777" w:rsidR="00822052" w:rsidRDefault="00822052" w:rsidP="00822052">
      <w:pPr>
        <w:pStyle w:val="NoSpacing"/>
        <w:ind w:left="1440"/>
        <w:rPr>
          <w:bCs/>
        </w:rPr>
      </w:pPr>
      <w:r w:rsidRPr="002E6437">
        <w:t xml:space="preserve">• The planned BESS relies on lithium-ion battery technology, which is prone to </w:t>
      </w:r>
      <w:r>
        <w:t>‘</w:t>
      </w:r>
      <w:r w:rsidRPr="002E6437">
        <w:t>thermal runaway,</w:t>
      </w:r>
      <w:r>
        <w:t>’</w:t>
      </w:r>
      <w:r w:rsidRPr="002E6437">
        <w:t xml:space="preserve"> a self-sustaining process triggered by overheating that can lead to the rapid release of flammable gases, high-temperature fires, and even explosions</w:t>
      </w:r>
      <w:r>
        <w:t>; …</w:t>
      </w:r>
    </w:p>
    <w:p w14:paraId="5F284BAC" w14:textId="77777777" w:rsidR="00822052" w:rsidRPr="005B0BC8" w:rsidRDefault="00822052" w:rsidP="00822052">
      <w:pPr>
        <w:pStyle w:val="NoSpacing"/>
        <w:ind w:left="1440"/>
        <w:rPr>
          <w:bCs/>
        </w:rPr>
      </w:pPr>
      <w:r w:rsidRPr="005B0BC8">
        <w:t>The phenomenon of thermal runaway is well-documented in federal research and has been observed in multiple large-scale BESS incidents, underscoring the immediate risks posed to nearby residents;</w:t>
      </w:r>
    </w:p>
    <w:p w14:paraId="27EBFB80" w14:textId="77777777" w:rsidR="00822052" w:rsidRPr="005B0BC8" w:rsidRDefault="00822052" w:rsidP="00822052">
      <w:pPr>
        <w:pStyle w:val="NoSpacing"/>
        <w:ind w:left="1440"/>
        <w:rPr>
          <w:bCs/>
        </w:rPr>
      </w:pPr>
      <w:r w:rsidRPr="005B0BC8">
        <w:t xml:space="preserve">• Despite these substantial hazards, Texas currently lacks adequate regulations for BESS facilities, leaving the burden of risk entirely on </w:t>
      </w:r>
      <w:proofErr w:type="gramStart"/>
      <w:r w:rsidRPr="005B0BC8">
        <w:t>local residents</w:t>
      </w:r>
      <w:proofErr w:type="gramEnd"/>
      <w:r w:rsidRPr="005B0BC8">
        <w:t>;</w:t>
      </w:r>
    </w:p>
    <w:p w14:paraId="231C1433" w14:textId="77777777" w:rsidR="00822052" w:rsidRPr="005B0BC8" w:rsidRDefault="00822052" w:rsidP="00822052">
      <w:pPr>
        <w:pStyle w:val="NoSpacing"/>
        <w:ind w:left="1440"/>
        <w:rPr>
          <w:bCs/>
        </w:rPr>
      </w:pPr>
      <w:r w:rsidRPr="005B0BC8">
        <w:t>• Fayette County is ill-equipped to address the unique and severe dangers associated with BESS fires. The County relies on a volunteer firefighting force that lacks the specialized training, personnel, and resources—such as water supplies and hazardous-material-response capabilities—necessary to manage such incidents;</w:t>
      </w:r>
    </w:p>
    <w:p w14:paraId="073FB2EF" w14:textId="77777777" w:rsidR="00822052" w:rsidRPr="005B0BC8" w:rsidRDefault="00822052" w:rsidP="00822052">
      <w:pPr>
        <w:pStyle w:val="NoSpacing"/>
        <w:ind w:left="1440"/>
        <w:rPr>
          <w:bCs/>
        </w:rPr>
      </w:pPr>
      <w:r w:rsidRPr="005B0BC8">
        <w:t>• Fire Chief Eddie Schneider confirmed at a local town hall that the County's emergency response infrastructure is insufficient for handling BESS fires, noting that the County lacks both the resources and an emergency plan tailored to the hazards posed by lithium-ion battery fires;</w:t>
      </w:r>
    </w:p>
    <w:p w14:paraId="31C03C76" w14:textId="77777777" w:rsidR="00822052" w:rsidRPr="005B0BC8" w:rsidRDefault="00822052" w:rsidP="00822052">
      <w:pPr>
        <w:pStyle w:val="NoSpacing"/>
        <w:ind w:left="1440"/>
        <w:rPr>
          <w:bCs/>
        </w:rPr>
      </w:pPr>
      <w:r w:rsidRPr="005B0BC8">
        <w:t>• The County's unpreparedness directly endangers Landowners, as the County cannot effectively contain a BESS fire or prevent its resulting contamination from spreading through the environment</w:t>
      </w:r>
      <w:r>
        <w:t xml:space="preserve">…. </w:t>
      </w:r>
    </w:p>
    <w:p w14:paraId="36DC5934" w14:textId="77777777" w:rsidR="00822052" w:rsidRPr="002E6437" w:rsidRDefault="00822052" w:rsidP="00822052">
      <w:pPr>
        <w:pStyle w:val="NoSpacing"/>
        <w:ind w:left="1440"/>
        <w:rPr>
          <w:bCs/>
        </w:rPr>
      </w:pPr>
    </w:p>
    <w:p w14:paraId="3E56EDAB" w14:textId="77777777" w:rsidR="00822052" w:rsidRPr="00656164" w:rsidRDefault="00822052" w:rsidP="00822052">
      <w:pPr>
        <w:pStyle w:val="NoSpacing"/>
        <w:rPr>
          <w:bCs/>
        </w:rPr>
      </w:pPr>
      <w:r>
        <w:tab/>
        <w:t>***</w:t>
      </w:r>
    </w:p>
    <w:p w14:paraId="27E8816E" w14:textId="77777777" w:rsidR="00822052" w:rsidRPr="00656164" w:rsidRDefault="00822052" w:rsidP="00822052">
      <w:pPr>
        <w:pStyle w:val="NoSpacing"/>
        <w:rPr>
          <w:bCs/>
        </w:rPr>
      </w:pPr>
    </w:p>
    <w:p w14:paraId="1DBA174E" w14:textId="77777777" w:rsidR="00822052" w:rsidRDefault="00822052" w:rsidP="00822052">
      <w:pPr>
        <w:pStyle w:val="NoSpacing"/>
        <w:ind w:left="720"/>
      </w:pPr>
      <w:proofErr w:type="gramStart"/>
      <w:r w:rsidRPr="00DE129C">
        <w:t>Similarly</w:t>
      </w:r>
      <w:proofErr w:type="gramEnd"/>
      <w:r w:rsidRPr="00DE129C">
        <w:t xml:space="preserve"> here, we conclude that Landowners have sufficiently alleged facts that, if proven, would support their request for injunctive relief to redress a prospective nuisance that plausibly will be caused by the </w:t>
      </w:r>
      <w:proofErr w:type="spellStart"/>
      <w:r w:rsidRPr="00DE129C">
        <w:t>McBrooms</w:t>
      </w:r>
      <w:proofErr w:type="spellEnd"/>
      <w:r w:rsidRPr="00DE129C">
        <w:t xml:space="preserve">' and Staccato's imminent actions that will likely cause irreparable harm for which they would have no adequate remedy at law. Viewing the allegations liberally and making all reasonable inferences in Landowners' favor, as we must, we conclude that they have sufficiently pleaded that the </w:t>
      </w:r>
      <w:proofErr w:type="spellStart"/>
      <w:r w:rsidRPr="00DE129C">
        <w:t>McBrooms</w:t>
      </w:r>
      <w:proofErr w:type="spellEnd"/>
      <w:r w:rsidRPr="00DE129C">
        <w:t xml:space="preserve"> will indeed engage in the activity sought to be enjoined—allowing Staccato to construct and operate a BESS on their property without sufficient hazard-mitigation plans and measures in place, highlighted by Staccato's alleged demonstrable intent to construct and operate the BESS in such manner—to entitle Landowners to the relief sought and pass the hurdle of a Rule 91a motion. See Tex. R. Civ. P. 91a. Landowners' allegations are sufficient to state a cognizable claim for the court to exercise its equitable power to enjoin a prospective nuisance, if proven, see Huynh, 694 S.W.3d at 679, and the trial court erred in determining otherwise.</w:t>
      </w:r>
      <w:r>
        <w:t>”</w:t>
      </w:r>
    </w:p>
    <w:p w14:paraId="071CC39C" w14:textId="77777777" w:rsidR="00822052" w:rsidRDefault="00822052" w:rsidP="00822052">
      <w:pPr>
        <w:pStyle w:val="NoSpacing"/>
        <w:ind w:left="720"/>
      </w:pPr>
    </w:p>
    <w:p w14:paraId="7588FAF4" w14:textId="77777777" w:rsidR="00822052" w:rsidRPr="00CA65F9" w:rsidRDefault="00822052" w:rsidP="00822052">
      <w:pPr>
        <w:pStyle w:val="NoSpacing"/>
        <w:rPr>
          <w:b/>
          <w:bCs/>
        </w:rPr>
      </w:pPr>
      <w:r w:rsidRPr="00CA65F9">
        <w:rPr>
          <w:b/>
        </w:rPr>
        <w:t xml:space="preserve">Legal lesson learned: Texas currently lacks adequate regulations for BESS facilities; hazard-mitigation plan needed to address thermal runaway and other safety hazards. </w:t>
      </w:r>
    </w:p>
    <w:p w14:paraId="23106731" w14:textId="77777777" w:rsidR="00822052" w:rsidRDefault="00822052" w:rsidP="00822052">
      <w:pPr>
        <w:pStyle w:val="NoSpacing"/>
        <w:rPr>
          <w:bCs/>
        </w:rPr>
      </w:pPr>
    </w:p>
    <w:p w14:paraId="475382B7" w14:textId="77777777" w:rsidR="00822052" w:rsidRDefault="00822052" w:rsidP="00822052">
      <w:pPr>
        <w:pStyle w:val="NoSpacing"/>
        <w:rPr>
          <w:bCs/>
        </w:rPr>
      </w:pPr>
    </w:p>
    <w:p w14:paraId="69CA7DFF" w14:textId="77777777" w:rsidR="00822052" w:rsidRDefault="00822052" w:rsidP="00822052">
      <w:pPr>
        <w:pStyle w:val="NoSpacing"/>
        <w:rPr>
          <w:bCs/>
        </w:rPr>
      </w:pPr>
    </w:p>
    <w:p w14:paraId="75E3C56B" w14:textId="77777777" w:rsidR="00822052" w:rsidRDefault="00822052" w:rsidP="00037CB8">
      <w:pPr>
        <w:pStyle w:val="NoSpacing"/>
        <w:rPr>
          <w:rFonts w:ascii="Arial Black" w:hAnsi="Arial Black"/>
          <w:sz w:val="24"/>
          <w:szCs w:val="24"/>
        </w:rPr>
      </w:pPr>
    </w:p>
    <w:p w14:paraId="0543B1FA" w14:textId="77777777" w:rsidR="00387E6C" w:rsidRDefault="00387E6C" w:rsidP="00037CB8">
      <w:pPr>
        <w:pStyle w:val="NoSpacing"/>
        <w:rPr>
          <w:rFonts w:ascii="Arial Black" w:hAnsi="Arial Black"/>
          <w:sz w:val="24"/>
          <w:szCs w:val="24"/>
        </w:rPr>
      </w:pPr>
    </w:p>
    <w:p w14:paraId="1A6044C6" w14:textId="77777777" w:rsidR="00387E6C" w:rsidRDefault="00387E6C" w:rsidP="00037CB8">
      <w:pPr>
        <w:pStyle w:val="NoSpacing"/>
        <w:rPr>
          <w:rFonts w:ascii="Arial Black" w:hAnsi="Arial Black"/>
          <w:sz w:val="24"/>
          <w:szCs w:val="24"/>
        </w:rPr>
      </w:pPr>
    </w:p>
    <w:p w14:paraId="76950E13" w14:textId="77777777" w:rsidR="00387E6C" w:rsidRDefault="00387E6C" w:rsidP="00037CB8">
      <w:pPr>
        <w:pStyle w:val="NoSpacing"/>
        <w:rPr>
          <w:rFonts w:ascii="Arial Black" w:hAnsi="Arial Black"/>
          <w:sz w:val="24"/>
          <w:szCs w:val="24"/>
        </w:rPr>
      </w:pPr>
    </w:p>
    <w:p w14:paraId="62529162" w14:textId="77777777" w:rsidR="00387E6C" w:rsidRDefault="00387E6C" w:rsidP="00037CB8">
      <w:pPr>
        <w:pStyle w:val="NoSpacing"/>
        <w:rPr>
          <w:rFonts w:ascii="Arial Black" w:hAnsi="Arial Black"/>
          <w:sz w:val="24"/>
          <w:szCs w:val="24"/>
        </w:rPr>
      </w:pPr>
    </w:p>
    <w:p w14:paraId="5DD865EA" w14:textId="4F49EE94" w:rsidR="006C4753" w:rsidRDefault="006C4753" w:rsidP="00037CB8">
      <w:pPr>
        <w:pStyle w:val="NoSpacing"/>
        <w:rPr>
          <w:rFonts w:ascii="Arial Black" w:hAnsi="Arial Black"/>
          <w:sz w:val="24"/>
          <w:szCs w:val="24"/>
        </w:rPr>
      </w:pPr>
      <w:r>
        <w:rPr>
          <w:rFonts w:ascii="Arial Black" w:hAnsi="Arial Black"/>
          <w:sz w:val="24"/>
          <w:szCs w:val="24"/>
        </w:rPr>
        <w:t>1-206</w:t>
      </w:r>
    </w:p>
    <w:p w14:paraId="2C398EFF" w14:textId="77777777" w:rsidR="006C4753" w:rsidRDefault="006C4753" w:rsidP="00037CB8">
      <w:pPr>
        <w:pStyle w:val="NoSpacing"/>
        <w:rPr>
          <w:rFonts w:ascii="Arial Black" w:hAnsi="Arial Black"/>
          <w:sz w:val="24"/>
          <w:szCs w:val="24"/>
        </w:rPr>
      </w:pPr>
    </w:p>
    <w:p w14:paraId="1F787486" w14:textId="77777777" w:rsidR="00961DF4" w:rsidRPr="007F62AA" w:rsidRDefault="00961DF4" w:rsidP="00961DF4">
      <w:pPr>
        <w:pStyle w:val="NoSpacing"/>
        <w:rPr>
          <w:rFonts w:ascii="Arial Black" w:hAnsi="Arial Black"/>
          <w:b/>
          <w:sz w:val="28"/>
          <w:szCs w:val="28"/>
        </w:rPr>
      </w:pPr>
      <w:r>
        <w:rPr>
          <w:rFonts w:ascii="Arial Black" w:hAnsi="Arial Black"/>
          <w:b/>
          <w:sz w:val="28"/>
          <w:szCs w:val="28"/>
        </w:rPr>
        <w:t>TX: PUBLIC RECORDS - 19 CHILDREN / 2 TEACHERS KILLED</w:t>
      </w:r>
    </w:p>
    <w:p w14:paraId="6B1AFA8A" w14:textId="77777777" w:rsidR="00961DF4" w:rsidRDefault="00961DF4" w:rsidP="00961DF4">
      <w:pPr>
        <w:pStyle w:val="NoSpacing"/>
        <w:rPr>
          <w:b/>
        </w:rPr>
      </w:pPr>
    </w:p>
    <w:p w14:paraId="050A7360" w14:textId="77777777" w:rsidR="00961DF4" w:rsidRDefault="00961DF4" w:rsidP="00961DF4">
      <w:pPr>
        <w:pStyle w:val="NoSpacing"/>
        <w:rPr>
          <w:bCs/>
        </w:rPr>
      </w:pPr>
      <w:r w:rsidRPr="00BC7AD6">
        <w:t xml:space="preserve">On March 6, 2026, in </w:t>
      </w:r>
      <w:r w:rsidRPr="00BC7AD6">
        <w:rPr>
          <w:u w:val="single"/>
        </w:rPr>
        <w:t>Texas Department of Public Safety, et al. v. Texas Tribune, CBS News; Cable News Network, Inc., et al</w:t>
      </w:r>
      <w:r w:rsidRPr="00BC7AD6">
        <w:t>.</w:t>
      </w:r>
      <w:r>
        <w:t xml:space="preserve">, the Texas </w:t>
      </w:r>
      <w:r w:rsidRPr="008C739B">
        <w:t>Fifteenth Court of Appeals</w:t>
      </w:r>
      <w:r>
        <w:t xml:space="preserve"> held (3 to 0) that the trial court improperly granted summary judgment to news media for access to law enforcement records while District Attorney was actively interviewing witnesses. The prosecutor had filed an affidavit confirming </w:t>
      </w:r>
      <w:r w:rsidRPr="00932725">
        <w:t>that her office will be questioning many witnesses and needs</w:t>
      </w:r>
      <w:r>
        <w:t xml:space="preserve"> </w:t>
      </w:r>
      <w:r w:rsidRPr="00932725">
        <w:t xml:space="preserve">such </w:t>
      </w:r>
      <w:r>
        <w:t>“</w:t>
      </w:r>
      <w:r w:rsidRPr="00932725">
        <w:t>testimony to be uninfluenced by media accounts.</w:t>
      </w:r>
      <w:r>
        <w:t xml:space="preserve">” </w:t>
      </w:r>
    </w:p>
    <w:p w14:paraId="7CF8EB6F" w14:textId="77777777" w:rsidR="00961DF4" w:rsidRDefault="00961DF4" w:rsidP="00961DF4">
      <w:pPr>
        <w:pStyle w:val="NoSpacing"/>
        <w:rPr>
          <w:bCs/>
        </w:rPr>
      </w:pPr>
      <w:hyperlink r:id="rId31" w:history="1">
        <w:r w:rsidRPr="004D13CD">
          <w:rPr>
            <w:rStyle w:val="Hyperlink"/>
          </w:rPr>
          <w:t>https://cases.justia.com/texas/fifteenth-court-of-appeals/2026-15-24-00010-cv.pdf?ts=1772815197</w:t>
        </w:r>
      </w:hyperlink>
      <w:r>
        <w:t xml:space="preserve"> </w:t>
      </w:r>
    </w:p>
    <w:p w14:paraId="746CFF0D" w14:textId="77777777" w:rsidR="00961DF4" w:rsidRDefault="00961DF4" w:rsidP="00961DF4">
      <w:pPr>
        <w:pStyle w:val="NoSpacing"/>
        <w:rPr>
          <w:bCs/>
        </w:rPr>
      </w:pPr>
    </w:p>
    <w:p w14:paraId="14818E23" w14:textId="77777777" w:rsidR="00961DF4" w:rsidRDefault="00961DF4" w:rsidP="00961DF4">
      <w:pPr>
        <w:pStyle w:val="NoSpacing"/>
        <w:rPr>
          <w:bCs/>
        </w:rPr>
      </w:pPr>
      <w:r>
        <w:t>THE COURT HELD:  “</w:t>
      </w:r>
      <w:r w:rsidRPr="009A68DF">
        <w:t>On May 24, 2022, an 18-year-old former student of Robb Elementary in</w:t>
      </w:r>
      <w:r>
        <w:t xml:space="preserve"> </w:t>
      </w:r>
      <w:r w:rsidRPr="009A68DF">
        <w:t>Uvalde shot his grandmother, crashed her truck in a ditch near the school, made his</w:t>
      </w:r>
      <w:r>
        <w:t xml:space="preserve"> </w:t>
      </w:r>
      <w:r w:rsidRPr="009A68DF">
        <w:t>way to the school, and killed twenty-one people and injured seventeen others. Three</w:t>
      </w:r>
      <w:r>
        <w:t xml:space="preserve"> </w:t>
      </w:r>
      <w:r w:rsidRPr="009A68DF">
        <w:t>hundred and seventy-six officers from almost two dozen state, federal, and local law</w:t>
      </w:r>
      <w:r>
        <w:t xml:space="preserve"> </w:t>
      </w:r>
      <w:r w:rsidRPr="009A68DF">
        <w:t>enforcement agencies responded to the shooting, including ninety-one from DPS.</w:t>
      </w:r>
      <w:r>
        <w:t xml:space="preserve"> </w:t>
      </w:r>
      <w:r w:rsidRPr="009A68DF">
        <w:t>Although some arrived within minutes of the gunman, approximately seventy-four</w:t>
      </w:r>
      <w:r>
        <w:t xml:space="preserve"> </w:t>
      </w:r>
      <w:r w:rsidRPr="009A68DF">
        <w:t>minutes elapsed between the time the gunman entered the school and when officers</w:t>
      </w:r>
      <w:r>
        <w:t xml:space="preserve"> </w:t>
      </w:r>
      <w:r w:rsidRPr="009A68DF">
        <w:t>breached the room where he was located and killed him. The loss of life and time it</w:t>
      </w:r>
      <w:r>
        <w:t xml:space="preserve"> </w:t>
      </w:r>
      <w:r w:rsidRPr="009A68DF">
        <w:t>took to neutralize the gunman immediately prompted questions about law</w:t>
      </w:r>
      <w:r>
        <w:t xml:space="preserve"> </w:t>
      </w:r>
      <w:r w:rsidRPr="009A68DF">
        <w:t>enforcement’s response.</w:t>
      </w:r>
    </w:p>
    <w:p w14:paraId="4936844B" w14:textId="77777777" w:rsidR="00961DF4" w:rsidRDefault="00961DF4" w:rsidP="00961DF4">
      <w:pPr>
        <w:pStyle w:val="NoSpacing"/>
        <w:rPr>
          <w:bCs/>
        </w:rPr>
      </w:pPr>
    </w:p>
    <w:p w14:paraId="4B7E1832" w14:textId="77777777" w:rsidR="00961DF4" w:rsidRDefault="00961DF4" w:rsidP="00961DF4">
      <w:pPr>
        <w:pStyle w:val="NoSpacing"/>
        <w:rPr>
          <w:bCs/>
        </w:rPr>
      </w:pPr>
      <w:r>
        <w:t>***</w:t>
      </w:r>
    </w:p>
    <w:p w14:paraId="3F732608" w14:textId="77777777" w:rsidR="00961DF4" w:rsidRDefault="00961DF4" w:rsidP="00961DF4">
      <w:pPr>
        <w:pStyle w:val="NoSpacing"/>
        <w:rPr>
          <w:bCs/>
        </w:rPr>
      </w:pPr>
    </w:p>
    <w:p w14:paraId="3F86E203" w14:textId="77777777" w:rsidR="00961DF4" w:rsidRDefault="00961DF4" w:rsidP="00961DF4">
      <w:pPr>
        <w:pStyle w:val="NoSpacing"/>
        <w:rPr>
          <w:bCs/>
        </w:rPr>
      </w:pPr>
      <w:r>
        <w:t xml:space="preserve">[District Attorney] </w:t>
      </w:r>
      <w:r w:rsidRPr="00932725">
        <w:t>Mitchell opined that her office will be questioning many witnesses and needs</w:t>
      </w:r>
      <w:r>
        <w:t xml:space="preserve"> </w:t>
      </w:r>
      <w:r w:rsidRPr="00932725">
        <w:t xml:space="preserve">such </w:t>
      </w:r>
      <w:r>
        <w:t>‘</w:t>
      </w:r>
      <w:r w:rsidRPr="00932725">
        <w:t>testimony to be uninfluenced by media accounts.</w:t>
      </w:r>
      <w:r>
        <w:t xml:space="preserve">’ </w:t>
      </w:r>
      <w:r w:rsidRPr="00932725">
        <w:t xml:space="preserve"> She alleged that this has</w:t>
      </w:r>
      <w:r>
        <w:t xml:space="preserve"> </w:t>
      </w:r>
      <w:r w:rsidRPr="00932725">
        <w:t xml:space="preserve">already become an issue as one interviewed witness </w:t>
      </w:r>
      <w:proofErr w:type="gramStart"/>
      <w:r w:rsidRPr="00932725">
        <w:t>said</w:t>
      </w:r>
      <w:proofErr w:type="gramEnd"/>
      <w:r w:rsidRPr="00932725">
        <w:t xml:space="preserve"> </w:t>
      </w:r>
      <w:r>
        <w:t>‘</w:t>
      </w:r>
      <w:r w:rsidRPr="00932725">
        <w:t>that they cannot remember</w:t>
      </w:r>
      <w:r>
        <w:t xml:space="preserve"> </w:t>
      </w:r>
      <w:r w:rsidRPr="00932725">
        <w:t xml:space="preserve">if what they are </w:t>
      </w:r>
      <w:proofErr w:type="spellStart"/>
      <w:r w:rsidRPr="00932725">
        <w:t>stating</w:t>
      </w:r>
      <w:proofErr w:type="spellEnd"/>
      <w:r w:rsidRPr="00932725">
        <w:t xml:space="preserve"> to investigators is their individual and personal recollection</w:t>
      </w:r>
      <w:r>
        <w:t xml:space="preserve"> </w:t>
      </w:r>
      <w:r w:rsidRPr="00932725">
        <w:t>from the event or from events reported by and in the media.</w:t>
      </w:r>
      <w:r>
        <w:t>’</w:t>
      </w:r>
      <w:r w:rsidRPr="00932725">
        <w:t xml:space="preserve"> At bottom, Mitchell</w:t>
      </w:r>
      <w:r>
        <w:t xml:space="preserve"> </w:t>
      </w:r>
      <w:r w:rsidRPr="00932725">
        <w:t xml:space="preserve">opined that disclosing the information </w:t>
      </w:r>
      <w:r>
        <w:t>‘</w:t>
      </w:r>
      <w:r w:rsidRPr="00932725">
        <w:t>would ultimately leave [her] office, the</w:t>
      </w:r>
      <w:r>
        <w:t xml:space="preserve"> </w:t>
      </w:r>
      <w:r w:rsidRPr="00932725">
        <w:t>families of the deceased and injured children, the other victims, and the overall</w:t>
      </w:r>
      <w:r>
        <w:t xml:space="preserve"> </w:t>
      </w:r>
      <w:r w:rsidRPr="00932725">
        <w:t>Uvalde community with an investigation for which a valid prosecution could not be</w:t>
      </w:r>
      <w:r>
        <w:t xml:space="preserve"> </w:t>
      </w:r>
      <w:proofErr w:type="gramStart"/>
      <w:r w:rsidRPr="00932725">
        <w:t>dependent.</w:t>
      </w:r>
      <w:r>
        <w:t>’</w:t>
      </w:r>
      <w:proofErr w:type="gramEnd"/>
    </w:p>
    <w:p w14:paraId="34997684" w14:textId="77777777" w:rsidR="00961DF4" w:rsidRDefault="00961DF4" w:rsidP="00961DF4">
      <w:pPr>
        <w:pStyle w:val="NoSpacing"/>
        <w:rPr>
          <w:bCs/>
        </w:rPr>
      </w:pPr>
    </w:p>
    <w:p w14:paraId="7E646F3B" w14:textId="77777777" w:rsidR="00961DF4" w:rsidRDefault="00961DF4" w:rsidP="00961DF4">
      <w:pPr>
        <w:pStyle w:val="NoSpacing"/>
        <w:rPr>
          <w:bCs/>
        </w:rPr>
      </w:pPr>
      <w:r>
        <w:t>***</w:t>
      </w:r>
    </w:p>
    <w:p w14:paraId="6E0C1CFF" w14:textId="77777777" w:rsidR="00961DF4" w:rsidRDefault="00961DF4" w:rsidP="00961DF4">
      <w:pPr>
        <w:pStyle w:val="NoSpacing"/>
        <w:rPr>
          <w:bCs/>
        </w:rPr>
      </w:pPr>
    </w:p>
    <w:p w14:paraId="61C1587F" w14:textId="77777777" w:rsidR="00961DF4" w:rsidRDefault="00961DF4" w:rsidP="00961DF4">
      <w:pPr>
        <w:pStyle w:val="NoSpacing"/>
        <w:rPr>
          <w:bCs/>
        </w:rPr>
      </w:pPr>
    </w:p>
    <w:p w14:paraId="516CF5B3" w14:textId="77777777" w:rsidR="00961DF4" w:rsidRDefault="00961DF4" w:rsidP="00961DF4">
      <w:pPr>
        <w:pStyle w:val="NoSpacing"/>
        <w:rPr>
          <w:bCs/>
        </w:rPr>
      </w:pPr>
      <w:r>
        <w:t>[W]</w:t>
      </w:r>
      <w:r w:rsidRPr="00D15E6B">
        <w:t>e</w:t>
      </w:r>
      <w:r>
        <w:t xml:space="preserve"> </w:t>
      </w:r>
      <w:proofErr w:type="gramStart"/>
      <w:r w:rsidRPr="00D15E6B">
        <w:t>hold</w:t>
      </w:r>
      <w:proofErr w:type="gramEnd"/>
      <w:r w:rsidRPr="00D15E6B">
        <w:t xml:space="preserve"> that DPS carried its burden of supplying more than a mere </w:t>
      </w:r>
      <w:proofErr w:type="gramStart"/>
      <w:r w:rsidRPr="00D15E6B">
        <w:t>scintilla</w:t>
      </w:r>
      <w:proofErr w:type="gramEnd"/>
      <w:r w:rsidRPr="00D15E6B">
        <w:t xml:space="preserve"> of evidence</w:t>
      </w:r>
      <w:r>
        <w:t xml:space="preserve"> </w:t>
      </w:r>
      <w:r w:rsidRPr="00D15E6B">
        <w:t>to support the law enforcement’s exception’s application. Significantly, we do not</w:t>
      </w:r>
      <w:r>
        <w:t xml:space="preserve"> </w:t>
      </w:r>
      <w:r w:rsidRPr="00D15E6B">
        <w:t>hold that each file and video clip contained in the massive volume of responsive</w:t>
      </w:r>
      <w:r>
        <w:t xml:space="preserve"> </w:t>
      </w:r>
      <w:r w:rsidRPr="00D15E6B">
        <w:t>information is forever shielded from public view. Rather, we conclude that DPS</w:t>
      </w:r>
      <w:r>
        <w:t xml:space="preserve"> </w:t>
      </w:r>
      <w:r w:rsidRPr="00D15E6B">
        <w:t>cleared the bar of defeating a summary judgment with respect to the responsive</w:t>
      </w:r>
      <w:r>
        <w:t xml:space="preserve"> </w:t>
      </w:r>
      <w:r w:rsidRPr="00D15E6B">
        <w:t>information and is entitled to proceed to a trial. At trial, DPS will bear the burden of</w:t>
      </w:r>
      <w:r>
        <w:t xml:space="preserve"> </w:t>
      </w:r>
      <w:r w:rsidRPr="00D15E6B">
        <w:t>proving that the information sought qualifies for the law enforcement exception to</w:t>
      </w:r>
      <w:r>
        <w:t xml:space="preserve"> </w:t>
      </w:r>
      <w:r w:rsidRPr="00D15E6B">
        <w:t>disclosure. But that was not DPS’s burden at this early juncture.</w:t>
      </w:r>
      <w:r>
        <w:t>:</w:t>
      </w:r>
    </w:p>
    <w:p w14:paraId="5C1AADA4" w14:textId="77777777" w:rsidR="00961DF4" w:rsidRDefault="00961DF4" w:rsidP="00961DF4">
      <w:pPr>
        <w:pStyle w:val="NoSpacing"/>
        <w:rPr>
          <w:bCs/>
        </w:rPr>
      </w:pPr>
    </w:p>
    <w:p w14:paraId="06844FB6" w14:textId="77777777" w:rsidR="00961DF4" w:rsidRPr="002C6D76" w:rsidRDefault="00961DF4" w:rsidP="00961DF4">
      <w:pPr>
        <w:pStyle w:val="NoSpacing"/>
        <w:rPr>
          <w:b/>
        </w:rPr>
      </w:pPr>
      <w:r>
        <w:rPr>
          <w:b/>
        </w:rPr>
        <w:t xml:space="preserve">Legal lesson learned: Public records requests must be balanced against the need for investigators to interview witnesses without being influenced by the media. </w:t>
      </w:r>
    </w:p>
    <w:p w14:paraId="54C18782" w14:textId="77777777" w:rsidR="00961DF4" w:rsidRDefault="00961DF4" w:rsidP="00037CB8">
      <w:pPr>
        <w:pStyle w:val="NoSpacing"/>
        <w:rPr>
          <w:rFonts w:ascii="Arial Black" w:hAnsi="Arial Black"/>
          <w:sz w:val="24"/>
          <w:szCs w:val="24"/>
        </w:rPr>
      </w:pPr>
    </w:p>
    <w:p w14:paraId="66E60D30" w14:textId="77777777" w:rsidR="006C4753" w:rsidRDefault="006C4753" w:rsidP="00037CB8">
      <w:pPr>
        <w:pStyle w:val="NoSpacing"/>
        <w:rPr>
          <w:rFonts w:ascii="Arial Black" w:hAnsi="Arial Black"/>
          <w:sz w:val="24"/>
          <w:szCs w:val="24"/>
        </w:rPr>
      </w:pPr>
    </w:p>
    <w:p w14:paraId="44C9B4F5" w14:textId="77777777" w:rsidR="006C4753" w:rsidRDefault="006C4753" w:rsidP="00037CB8">
      <w:pPr>
        <w:pStyle w:val="NoSpacing"/>
        <w:rPr>
          <w:rFonts w:ascii="Arial Black" w:hAnsi="Arial Black"/>
          <w:sz w:val="24"/>
          <w:szCs w:val="24"/>
        </w:rPr>
      </w:pPr>
    </w:p>
    <w:p w14:paraId="76BADCF2" w14:textId="2294E2B3" w:rsidR="007A0B60" w:rsidRDefault="007A0B60" w:rsidP="00037CB8">
      <w:pPr>
        <w:pStyle w:val="NoSpacing"/>
        <w:rPr>
          <w:rFonts w:ascii="Arial Black" w:hAnsi="Arial Black"/>
          <w:sz w:val="24"/>
          <w:szCs w:val="24"/>
        </w:rPr>
      </w:pPr>
      <w:r>
        <w:rPr>
          <w:rFonts w:ascii="Arial Black" w:hAnsi="Arial Black"/>
          <w:sz w:val="24"/>
          <w:szCs w:val="24"/>
        </w:rPr>
        <w:t>1-205</w:t>
      </w:r>
    </w:p>
    <w:p w14:paraId="34826ACD" w14:textId="77777777" w:rsidR="007A0B60" w:rsidRDefault="007A0B60" w:rsidP="00037CB8">
      <w:pPr>
        <w:pStyle w:val="NoSpacing"/>
        <w:rPr>
          <w:rFonts w:ascii="Arial Black" w:hAnsi="Arial Black"/>
          <w:sz w:val="24"/>
          <w:szCs w:val="24"/>
        </w:rPr>
      </w:pPr>
    </w:p>
    <w:p w14:paraId="11A11520" w14:textId="77777777" w:rsidR="007A0B60" w:rsidRPr="007076A7" w:rsidRDefault="007A0B60" w:rsidP="007A0B60">
      <w:pPr>
        <w:pStyle w:val="NoSpacing"/>
        <w:rPr>
          <w:rFonts w:ascii="Arial Black" w:hAnsi="Arial Black"/>
          <w:b/>
          <w:sz w:val="28"/>
          <w:szCs w:val="28"/>
        </w:rPr>
      </w:pPr>
      <w:r>
        <w:rPr>
          <w:rFonts w:ascii="Arial Black" w:hAnsi="Arial Black"/>
          <w:b/>
          <w:sz w:val="28"/>
          <w:szCs w:val="28"/>
        </w:rPr>
        <w:t>CA: ARSON / MJ GROW IN BLDG / CITY KNEW - IMMUNITY</w:t>
      </w:r>
    </w:p>
    <w:p w14:paraId="6BB4154F" w14:textId="77777777" w:rsidR="007A0B60" w:rsidRDefault="007A0B60" w:rsidP="007A0B60">
      <w:pPr>
        <w:pStyle w:val="NoSpacing"/>
        <w:rPr>
          <w:bCs/>
        </w:rPr>
      </w:pPr>
    </w:p>
    <w:p w14:paraId="76A269BD" w14:textId="77777777" w:rsidR="007A0B60" w:rsidRPr="00867718" w:rsidRDefault="007A0B60" w:rsidP="007A0B60">
      <w:pPr>
        <w:pStyle w:val="NoSpacing"/>
      </w:pPr>
      <w:r>
        <w:t xml:space="preserve">On February 24, 2026, in </w:t>
      </w:r>
      <w:r w:rsidRPr="004C7E3E">
        <w:rPr>
          <w:u w:val="single"/>
        </w:rPr>
        <w:t xml:space="preserve">Pink </w:t>
      </w:r>
      <w:proofErr w:type="spellStart"/>
      <w:r w:rsidRPr="004C7E3E">
        <w:rPr>
          <w:u w:val="single"/>
        </w:rPr>
        <w:t>Selkin</w:t>
      </w:r>
      <w:proofErr w:type="spellEnd"/>
      <w:r w:rsidRPr="004C7E3E">
        <w:rPr>
          <w:u w:val="single"/>
        </w:rPr>
        <w:t>, et al. v. City of Los Angeles</w:t>
      </w:r>
      <w:r>
        <w:t xml:space="preserve">, the </w:t>
      </w:r>
      <w:r w:rsidRPr="004C7E3E">
        <w:t>California Court of Appeals, Second District, Fifth Division</w:t>
      </w:r>
      <w:r>
        <w:t xml:space="preserve"> held (3 to 0) that trial court properly dismissed the lawsuit be individuals living in the commercial building who were injured in the arson fire.  While police on prior occasions observed safety issues in the building, and </w:t>
      </w:r>
      <w:r w:rsidRPr="00E864A2">
        <w:t xml:space="preserve">the fire department received two customer service requests regarding an alleged marijuana grow operation at the property, </w:t>
      </w:r>
      <w:r>
        <w:t>which were forwarded t</w:t>
      </w:r>
      <w:r w:rsidRPr="00E864A2">
        <w:t>o the Los Angeles Department of Building and Safety (DBS)</w:t>
      </w:r>
      <w:r>
        <w:t xml:space="preserve">, there is governmental immunity for the </w:t>
      </w:r>
      <w:r w:rsidRPr="00F126CC">
        <w:t>City of Los Angeles under the Government Claims Act under section 815.6, based on its failure to carry out a mandatory duty to abate obvious building and safety code violations.</w:t>
      </w:r>
      <w:r>
        <w:t xml:space="preserve">  </w:t>
      </w:r>
      <w:hyperlink r:id="rId32" w:history="1">
        <w:r w:rsidRPr="00867718">
          <w:rPr>
            <w:rStyle w:val="Hyperlink"/>
          </w:rPr>
          <w:t>https://public.fastcase.com/Jhe1Qn%2BmJndQYQU6z%2FeNm57E189vmSMp%2BOS67ay8wFWitKPcCGY4GMdxJS93bY4IOZ1rR%2BpqLAwnmO1MhhKsFw8mOzyCAgo2oZ0ZZPsNViU%3D?utm_medium=email&amp;_hsenc=p2ANqtz-_RDDEsF8WYWrAIUyd_V4g0U3Z9WIVpc4wUXBmJG03XH_ukvjIDW01jf2KlbNNNJy_jYwJIbAOIzBm1vMJk5QjVjhiSog&amp;_hsmi=226712652&amp;utm_content=226712652&amp;utm_source=hs_email</w:t>
        </w:r>
      </w:hyperlink>
      <w:r w:rsidRPr="00867718">
        <w:t xml:space="preserve"> </w:t>
      </w:r>
    </w:p>
    <w:p w14:paraId="4FBF632E" w14:textId="77777777" w:rsidR="007A0B60" w:rsidRDefault="007A0B60" w:rsidP="007A0B60">
      <w:pPr>
        <w:pStyle w:val="NoSpacing"/>
      </w:pPr>
    </w:p>
    <w:p w14:paraId="7C4CCEB9" w14:textId="77777777" w:rsidR="007A0B60" w:rsidRPr="00E864A2" w:rsidRDefault="007A0B60" w:rsidP="007A0B60">
      <w:pPr>
        <w:pStyle w:val="NoSpacing"/>
      </w:pPr>
      <w:r>
        <w:t>THE COURT HELD: “</w:t>
      </w:r>
      <w:r w:rsidRPr="009913E2">
        <w:t xml:space="preserve">This case arises from an arson fire at a commercial building in Los Angeles which killed two individuals. The survivors of the deceased filed several suits against the </w:t>
      </w:r>
      <w:proofErr w:type="gramStart"/>
      <w:r w:rsidRPr="009913E2">
        <w:t>City</w:t>
      </w:r>
      <w:proofErr w:type="gramEnd"/>
      <w:r w:rsidRPr="009913E2">
        <w:t xml:space="preserve">. Pink </w:t>
      </w:r>
      <w:proofErr w:type="spellStart"/>
      <w:r w:rsidRPr="009913E2">
        <w:t>Selkin</w:t>
      </w:r>
      <w:proofErr w:type="spellEnd"/>
      <w:r w:rsidRPr="009913E2">
        <w:t xml:space="preserve">, who was also trapped in the fire and survived, filed a separate suit, seeking damages for her permanent injuries, including severe burns over more than three-quarters of her body. </w:t>
      </w:r>
      <w:r>
        <w:t xml:space="preserve"> </w:t>
      </w:r>
      <w:r w:rsidRPr="009913E2">
        <w:t>Plaintiffs' theory of liability is that because City employees had actual knowledge of obvious fire safety hazards, the City had a mandatory duty to ensure that the substandard conditions were addressed, and because the City's knowledge was not in any way related to a building inspection, the inspection immunity statute does not protect the City from liability for its failure to fulfill its mandatory duties</w:t>
      </w:r>
      <w:r>
        <w:t xml:space="preserve">…. </w:t>
      </w:r>
      <w:r w:rsidRPr="00E864A2">
        <w:t>A</w:t>
      </w:r>
      <w:r>
        <w:t xml:space="preserve"> </w:t>
      </w:r>
      <w:r w:rsidRPr="00E864A2">
        <w:t xml:space="preserve"> DBS </w:t>
      </w:r>
      <w:r>
        <w:t>[</w:t>
      </w:r>
      <w:r w:rsidRPr="00E864A2">
        <w:t>Department of Building and Safety</w:t>
      </w:r>
      <w:r>
        <w:t>]</w:t>
      </w:r>
      <w:r w:rsidRPr="00E864A2">
        <w:t xml:space="preserve"> staff member testified that DBS is not trained in matters concerning unlawful growing of marijuana, however, and therefore DBS forwarded the requests to the police department.</w:t>
      </w:r>
      <w:r w:rsidRPr="00E864A2">
        <w:rPr>
          <w:vertAlign w:val="superscript"/>
        </w:rPr>
        <w:t>[</w:t>
      </w:r>
      <w:hyperlink r:id="rId33" w:anchor="ftn.FN3" w:history="1">
        <w:r w:rsidRPr="00E864A2">
          <w:rPr>
            <w:rStyle w:val="Hyperlink"/>
            <w:vertAlign w:val="superscript"/>
          </w:rPr>
          <w:t>3</w:t>
        </w:r>
      </w:hyperlink>
      <w:r w:rsidRPr="00E864A2">
        <w:rPr>
          <w:vertAlign w:val="superscript"/>
        </w:rPr>
        <w:t>]</w:t>
      </w:r>
    </w:p>
    <w:p w14:paraId="29A38871" w14:textId="77777777" w:rsidR="007A0B60" w:rsidRDefault="007A0B60" w:rsidP="007A0B60">
      <w:pPr>
        <w:pStyle w:val="NoSpacing"/>
      </w:pPr>
    </w:p>
    <w:p w14:paraId="01B62CFF" w14:textId="77777777" w:rsidR="007A0B60" w:rsidRDefault="007A0B60" w:rsidP="007A0B60">
      <w:pPr>
        <w:pStyle w:val="NoSpacing"/>
        <w:ind w:left="720"/>
        <w:rPr>
          <w:bCs/>
        </w:rPr>
      </w:pPr>
      <w:r>
        <w:t xml:space="preserve">Footnote 3: </w:t>
      </w:r>
      <w:r w:rsidRPr="00545AD8">
        <w:t>Based upon the appellate briefing and the trial court's minute order, we understand that no party presented evidence that any DBS personnel inspected the property or personally observed any substandard conditions of the property.</w:t>
      </w:r>
    </w:p>
    <w:p w14:paraId="44E8F33A" w14:textId="77777777" w:rsidR="007A0B60" w:rsidRDefault="007A0B60" w:rsidP="007A0B60">
      <w:pPr>
        <w:pStyle w:val="NoSpacing"/>
      </w:pPr>
    </w:p>
    <w:p w14:paraId="37C7C194" w14:textId="77777777" w:rsidR="007A0B60" w:rsidRDefault="007A0B60" w:rsidP="007A0B60">
      <w:pPr>
        <w:pStyle w:val="NoSpacing"/>
      </w:pPr>
      <w:r w:rsidRPr="00BB5BC7">
        <w:t xml:space="preserve">However, </w:t>
      </w:r>
      <w:r>
        <w:t xml:space="preserve">[Government Code] </w:t>
      </w:r>
      <w:r w:rsidRPr="00BB5BC7">
        <w:t xml:space="preserve">section 818.6 provides a specific statutory immunity for inspections: </w:t>
      </w:r>
      <w:r>
        <w:t>‘</w:t>
      </w:r>
      <w:r w:rsidRPr="00BB5BC7">
        <w:t>A public entity is not liable for injury caused by its failure to make an inspection, or by reason of making an inadequate or negligent inspection . . . for the purpose of determining whether the property complies with or violates any enactment or contains or constitutes a hazard to health or safety.</w:t>
      </w:r>
      <w:r>
        <w:t>’”</w:t>
      </w:r>
    </w:p>
    <w:p w14:paraId="055A1C84" w14:textId="77777777" w:rsidR="007A0B60" w:rsidRDefault="007A0B60" w:rsidP="007A0B60">
      <w:pPr>
        <w:pStyle w:val="NoSpacing"/>
      </w:pPr>
    </w:p>
    <w:p w14:paraId="6D04ADF2" w14:textId="77777777" w:rsidR="007A0B60" w:rsidRPr="00CC7E78" w:rsidRDefault="007A0B60" w:rsidP="007A0B60">
      <w:pPr>
        <w:pStyle w:val="NoSpacing"/>
        <w:rPr>
          <w:b/>
          <w:bCs/>
        </w:rPr>
      </w:pPr>
      <w:r>
        <w:rPr>
          <w:b/>
        </w:rPr>
        <w:t xml:space="preserve">Legal lesson learned: There is broad statutory immunity for failure to inspect, or apparently also for failure to follow up.  </w:t>
      </w:r>
      <w:r w:rsidRPr="00CC7E78">
        <w:rPr>
          <w:b/>
        </w:rPr>
        <w:t xml:space="preserve">LA’s </w:t>
      </w:r>
      <w:r w:rsidRPr="00E864A2">
        <w:rPr>
          <w:b/>
        </w:rPr>
        <w:t>Department of Building and Safety</w:t>
      </w:r>
      <w:r>
        <w:rPr>
          <w:b/>
        </w:rPr>
        <w:t xml:space="preserve"> needs a protocol on handling calls for marijuana growth operations in buildings. </w:t>
      </w:r>
    </w:p>
    <w:p w14:paraId="67920D61" w14:textId="77777777" w:rsidR="007A0B60" w:rsidRDefault="007A0B60" w:rsidP="007A0B60">
      <w:pPr>
        <w:pStyle w:val="NoSpacing"/>
      </w:pPr>
    </w:p>
    <w:p w14:paraId="07D8EE6A" w14:textId="77777777" w:rsidR="007A0B60" w:rsidRDefault="007A0B60" w:rsidP="00037CB8">
      <w:pPr>
        <w:pStyle w:val="NoSpacing"/>
        <w:rPr>
          <w:rFonts w:ascii="Arial Black" w:hAnsi="Arial Black"/>
          <w:sz w:val="24"/>
          <w:szCs w:val="24"/>
        </w:rPr>
      </w:pPr>
    </w:p>
    <w:p w14:paraId="3A992096" w14:textId="77777777" w:rsidR="00E5401A" w:rsidRDefault="00E5401A" w:rsidP="00037CB8">
      <w:pPr>
        <w:pStyle w:val="NoSpacing"/>
        <w:rPr>
          <w:rFonts w:ascii="Arial Black" w:hAnsi="Arial Black"/>
          <w:sz w:val="24"/>
          <w:szCs w:val="24"/>
        </w:rPr>
      </w:pPr>
    </w:p>
    <w:p w14:paraId="22D9E2B8" w14:textId="664D3078" w:rsidR="00E5401A" w:rsidRDefault="00E5401A" w:rsidP="00037CB8">
      <w:pPr>
        <w:pStyle w:val="NoSpacing"/>
        <w:rPr>
          <w:rFonts w:ascii="Arial Black" w:hAnsi="Arial Black"/>
          <w:sz w:val="24"/>
          <w:szCs w:val="24"/>
        </w:rPr>
      </w:pPr>
      <w:r>
        <w:rPr>
          <w:rFonts w:ascii="Arial Black" w:hAnsi="Arial Black"/>
          <w:sz w:val="24"/>
          <w:szCs w:val="24"/>
        </w:rPr>
        <w:t>1-20</w:t>
      </w:r>
      <w:r w:rsidR="00345B75">
        <w:rPr>
          <w:rFonts w:ascii="Arial Black" w:hAnsi="Arial Black"/>
          <w:sz w:val="24"/>
          <w:szCs w:val="24"/>
        </w:rPr>
        <w:t>4</w:t>
      </w:r>
    </w:p>
    <w:p w14:paraId="2CF5CB94" w14:textId="77777777" w:rsidR="00345B75" w:rsidRDefault="00345B75" w:rsidP="00037CB8">
      <w:pPr>
        <w:pStyle w:val="NoSpacing"/>
        <w:rPr>
          <w:rFonts w:ascii="Arial Black" w:hAnsi="Arial Black"/>
          <w:sz w:val="24"/>
          <w:szCs w:val="24"/>
        </w:rPr>
      </w:pPr>
    </w:p>
    <w:p w14:paraId="7D6B2F26" w14:textId="77777777" w:rsidR="00345B75" w:rsidRDefault="00345B75" w:rsidP="00345B75">
      <w:pPr>
        <w:pStyle w:val="NoSpacing"/>
        <w:rPr>
          <w:rFonts w:ascii="Arial Black" w:hAnsi="Arial Black"/>
          <w:bCs/>
          <w:sz w:val="28"/>
          <w:szCs w:val="28"/>
        </w:rPr>
      </w:pPr>
      <w:r>
        <w:rPr>
          <w:rFonts w:ascii="Arial Black" w:hAnsi="Arial Black"/>
          <w:sz w:val="28"/>
          <w:szCs w:val="28"/>
        </w:rPr>
        <w:t>CA: ARSON FOREST - DROUGHT / “BEETLE” – RE-SENTENCE</w:t>
      </w:r>
    </w:p>
    <w:p w14:paraId="13FCCB3B" w14:textId="77777777" w:rsidR="00345B75" w:rsidRDefault="00345B75" w:rsidP="00345B75">
      <w:pPr>
        <w:pStyle w:val="NoSpacing"/>
        <w:rPr>
          <w:rFonts w:ascii="Arial Black" w:hAnsi="Arial Black"/>
          <w:bCs/>
          <w:sz w:val="28"/>
          <w:szCs w:val="28"/>
        </w:rPr>
      </w:pPr>
    </w:p>
    <w:p w14:paraId="640D44D0" w14:textId="77777777" w:rsidR="00345B75" w:rsidRDefault="00345B75" w:rsidP="00345B75">
      <w:pPr>
        <w:pStyle w:val="NoSpacing"/>
      </w:pPr>
      <w:r>
        <w:t xml:space="preserve">On February 17, 2026, in </w:t>
      </w:r>
      <w:r w:rsidRPr="00731068">
        <w:rPr>
          <w:u w:val="single"/>
        </w:rPr>
        <w:t>The People v. Derek J. Gutierrez</w:t>
      </w:r>
      <w:r>
        <w:t xml:space="preserve">, the California </w:t>
      </w:r>
      <w:r w:rsidRPr="00731068">
        <w:t>Court of Appeal, Fourth District, Division 1</w:t>
      </w:r>
      <w:r>
        <w:t xml:space="preserve"> held (3 to 0) that the trial court must resentence him; he received an enhanced prison term for setting fire to a forest during a declared state of emergency (drought caused beetle infestation filling millions of trees). </w:t>
      </w:r>
      <w:r w:rsidRPr="00CE6B93">
        <w:t xml:space="preserve">A jury convicted him of felony arson of forest land and found </w:t>
      </w:r>
      <w:proofErr w:type="gramStart"/>
      <w:r w:rsidRPr="00CE6B93">
        <w:t>true a</w:t>
      </w:r>
      <w:proofErr w:type="gramEnd"/>
      <w:r w:rsidRPr="00CE6B93">
        <w:t xml:space="preserve"> sentencing enhancement allegation that he set the fire "during and within an area" proclaimed by the Governor to be in a state of emergency. (Pen. Code, § 454, subd. (a)(2).) The enhancement elevates the sentencing triad for this type of arson by five, seven, or nine years.</w:t>
      </w:r>
      <w:r>
        <w:t xml:space="preserve"> However, the prosecutor failed to prove to the jury that the 2015 </w:t>
      </w:r>
      <w:r w:rsidRPr="00290677">
        <w:t xml:space="preserve">state of emergency </w:t>
      </w:r>
      <w:r>
        <w:t xml:space="preserve">applied to Riverside County when in December 2023 </w:t>
      </w:r>
      <w:r w:rsidRPr="003E03D1">
        <w:t>Derek J. Gutierrez was arrested for setting a fire</w:t>
      </w:r>
      <w:r>
        <w:t xml:space="preserve">.  </w:t>
      </w:r>
      <w:hyperlink r:id="rId34" w:history="1">
        <w:r w:rsidRPr="00125CD1">
          <w:rPr>
            <w:rStyle w:val="Hyperlink"/>
          </w:rPr>
          <w:t>https://www.casemine.com/judgement/us/6995c147d22bd43f3d89db5b</w:t>
        </w:r>
      </w:hyperlink>
      <w:r>
        <w:t xml:space="preserve"> </w:t>
      </w:r>
    </w:p>
    <w:p w14:paraId="6C15CA1C" w14:textId="77777777" w:rsidR="00345B75" w:rsidRDefault="00345B75" w:rsidP="00345B75">
      <w:pPr>
        <w:pStyle w:val="NoSpacing"/>
      </w:pPr>
    </w:p>
    <w:p w14:paraId="1AF77941" w14:textId="77777777" w:rsidR="00345B75" w:rsidRDefault="00345B75" w:rsidP="00345B75">
      <w:pPr>
        <w:pStyle w:val="NoSpacing"/>
      </w:pPr>
      <w:r>
        <w:t>THE COURT HELD:  “</w:t>
      </w:r>
      <w:r w:rsidRPr="003F7FB0">
        <w:t xml:space="preserve">On December 9, 2023, around 6:30 a.m., </w:t>
      </w:r>
      <w:r>
        <w:t xml:space="preserve">[property owner] </w:t>
      </w:r>
      <w:r w:rsidRPr="003F7FB0">
        <w:t xml:space="preserve">Jorge heard </w:t>
      </w:r>
      <w:r>
        <w:t>‘</w:t>
      </w:r>
      <w:r w:rsidRPr="003F7FB0">
        <w:t>yelling and screaming</w:t>
      </w:r>
      <w:r>
        <w:t>’</w:t>
      </w:r>
      <w:r w:rsidRPr="003F7FB0">
        <w:t xml:space="preserve"> outside. He drove up the hill to investigate. He stopped the truck near some bushes about halfway between his house and the mountains.</w:t>
      </w:r>
      <w:r>
        <w:t xml:space="preserve"> </w:t>
      </w:r>
      <w:r w:rsidRPr="007E21E1">
        <w:t>Gutierrez came out of the bushes wearing a backpack. He was about 100 or 200 feet from Jorge. Jorge recognized him because, about a year earlier, he had seen the owner of the property tell Gutierrez to leave the property and never come back.</w:t>
      </w:r>
      <w:r>
        <w:t xml:space="preserve"> </w:t>
      </w:r>
      <w:r w:rsidRPr="007E21E1">
        <w:t xml:space="preserve">Jorge asked Gutierrez what he was doing, and Gutierrez asked him for a beer. Jorge took a photograph of Gutierrez and told him he had no beer. Gutierrez went back into the bushes, and Jorge could no longer see him. A few minutes later, Jorge saw smoke coming from the bushes. He called the property owner, then 911. While Jorge was on the phone reporting the smoke to the 911 dispatcher, Gutierrez began walking down the hill while </w:t>
      </w:r>
      <w:r>
        <w:t>‘</w:t>
      </w:r>
      <w:proofErr w:type="gramStart"/>
      <w:r w:rsidRPr="007E21E1">
        <w:t>yelling, and</w:t>
      </w:r>
      <w:proofErr w:type="gramEnd"/>
      <w:r w:rsidRPr="007E21E1">
        <w:t xml:space="preserve"> saying something.</w:t>
      </w:r>
      <w:r>
        <w:t xml:space="preserve">’ </w:t>
      </w:r>
      <w:r w:rsidRPr="00C17AFF">
        <w:t>Firefighters from the Riverside County Fire Department arrived within 15 to 20 minutes. A fire captain noticed smoke as he approached. He saw a person standing near the location of the smoke. The person started walking down the hill through the forest toward Lakeland Village. The captain later identified the person as Gutierrez</w:t>
      </w:r>
      <w:r>
        <w:t xml:space="preserve">…. </w:t>
      </w:r>
      <w:r w:rsidRPr="003463CD">
        <w:t>The fire investigator headed back to where he had seen Gutierrez and found him walking on Grand Avenue about a mile from the location of the fire. He arrested him and patted him down for weapons. According to the investigator, Gutierrez physically resisted when he tried to handcuff him. The investigator called for backup and eventually managed to place Gutierrez in the back of his CAL FIRE truck.</w:t>
      </w:r>
      <w:r>
        <w:t xml:space="preserve"> </w:t>
      </w:r>
      <w:r w:rsidRPr="0024559A">
        <w:t xml:space="preserve">The fire investigator found two lighters in Gutierrez's pocket and three lighters in his backpack and grocery bag. One of the lighters was a "small butane lighter" that was out of fuel. </w:t>
      </w:r>
      <w:r>
        <w:t xml:space="preserve">*** </w:t>
      </w:r>
      <w:r w:rsidRPr="000F17F2">
        <w:t>We agree with Gutierrez that this language in the proclamation does not declare a statewide state of emergency, but rather expressly limits the state of emergency to areas and zones of the state that were yet to be identified. Because the proclamation did not extend statewide, the People failed to prove Gutierrez committed arson during and within an area in a state of emergency.</w:t>
      </w:r>
      <w:r>
        <w:t>”</w:t>
      </w:r>
    </w:p>
    <w:p w14:paraId="22F36771" w14:textId="77777777" w:rsidR="00345B75" w:rsidRDefault="00345B75" w:rsidP="00345B75">
      <w:pPr>
        <w:pStyle w:val="NoSpacing"/>
      </w:pPr>
    </w:p>
    <w:p w14:paraId="5EB268CB" w14:textId="6ED40FB2" w:rsidR="00345B75" w:rsidRDefault="00345B75" w:rsidP="00345B75">
      <w:pPr>
        <w:pStyle w:val="NoSpacing"/>
        <w:rPr>
          <w:rFonts w:ascii="Arial Black" w:hAnsi="Arial Black"/>
          <w:sz w:val="24"/>
          <w:szCs w:val="24"/>
        </w:rPr>
      </w:pPr>
      <w:r w:rsidRPr="001C250F">
        <w:rPr>
          <w:b/>
        </w:rPr>
        <w:t xml:space="preserve">Legal lesson learned: </w:t>
      </w:r>
      <w:r>
        <w:rPr>
          <w:b/>
        </w:rPr>
        <w:t>The defendant remains convicted of arson but must be re-sentenced</w:t>
      </w:r>
    </w:p>
    <w:p w14:paraId="28F3464D" w14:textId="77777777" w:rsidR="007A0B60" w:rsidRDefault="007A0B60" w:rsidP="00037CB8">
      <w:pPr>
        <w:pStyle w:val="NoSpacing"/>
        <w:rPr>
          <w:rFonts w:ascii="Arial Black" w:hAnsi="Arial Black"/>
          <w:sz w:val="24"/>
          <w:szCs w:val="24"/>
        </w:rPr>
      </w:pPr>
    </w:p>
    <w:p w14:paraId="0D27CD36" w14:textId="77777777" w:rsidR="007A0B60" w:rsidRDefault="007A0B60" w:rsidP="00037CB8">
      <w:pPr>
        <w:pStyle w:val="NoSpacing"/>
        <w:rPr>
          <w:rFonts w:ascii="Arial Black" w:hAnsi="Arial Black"/>
          <w:sz w:val="24"/>
          <w:szCs w:val="24"/>
        </w:rPr>
      </w:pPr>
    </w:p>
    <w:p w14:paraId="33FCA000" w14:textId="77777777" w:rsidR="007A0B60" w:rsidRDefault="007A0B60" w:rsidP="00037CB8">
      <w:pPr>
        <w:pStyle w:val="NoSpacing"/>
        <w:rPr>
          <w:rFonts w:ascii="Arial Black" w:hAnsi="Arial Black"/>
          <w:sz w:val="24"/>
          <w:szCs w:val="24"/>
        </w:rPr>
      </w:pPr>
    </w:p>
    <w:p w14:paraId="090EEFB9" w14:textId="77777777" w:rsidR="007A0B60" w:rsidRDefault="007A0B60" w:rsidP="00037CB8">
      <w:pPr>
        <w:pStyle w:val="NoSpacing"/>
        <w:rPr>
          <w:rFonts w:ascii="Arial Black" w:hAnsi="Arial Black"/>
          <w:sz w:val="24"/>
          <w:szCs w:val="24"/>
        </w:rPr>
      </w:pPr>
    </w:p>
    <w:p w14:paraId="6D66EA1B" w14:textId="77777777" w:rsidR="007A0B60" w:rsidRDefault="007A0B60" w:rsidP="00037CB8">
      <w:pPr>
        <w:pStyle w:val="NoSpacing"/>
        <w:rPr>
          <w:rFonts w:ascii="Arial Black" w:hAnsi="Arial Black"/>
          <w:sz w:val="24"/>
          <w:szCs w:val="24"/>
        </w:rPr>
      </w:pPr>
    </w:p>
    <w:p w14:paraId="7122DA9F" w14:textId="1D0F4215" w:rsidR="00D035D9" w:rsidRDefault="00C137EF" w:rsidP="00037CB8">
      <w:pPr>
        <w:pStyle w:val="NoSpacing"/>
        <w:rPr>
          <w:rFonts w:ascii="Arial Black" w:hAnsi="Arial Black"/>
          <w:sz w:val="24"/>
          <w:szCs w:val="24"/>
        </w:rPr>
      </w:pPr>
      <w:r>
        <w:rPr>
          <w:rFonts w:ascii="Arial Black" w:hAnsi="Arial Black"/>
          <w:sz w:val="24"/>
          <w:szCs w:val="24"/>
        </w:rPr>
        <w:t>1-20</w:t>
      </w:r>
      <w:r w:rsidR="0015512D">
        <w:rPr>
          <w:rFonts w:ascii="Arial Black" w:hAnsi="Arial Black"/>
          <w:sz w:val="24"/>
          <w:szCs w:val="24"/>
        </w:rPr>
        <w:t>3</w:t>
      </w:r>
    </w:p>
    <w:p w14:paraId="65FBB331" w14:textId="77777777" w:rsidR="00C137EF" w:rsidRDefault="00C137EF" w:rsidP="00037CB8">
      <w:pPr>
        <w:pStyle w:val="NoSpacing"/>
        <w:rPr>
          <w:rFonts w:ascii="Arial Black" w:hAnsi="Arial Black"/>
          <w:sz w:val="24"/>
          <w:szCs w:val="24"/>
        </w:rPr>
      </w:pPr>
    </w:p>
    <w:p w14:paraId="12E90B59" w14:textId="77777777" w:rsidR="00C137EF" w:rsidRPr="005E65E1" w:rsidRDefault="00C137EF" w:rsidP="00C137EF">
      <w:pPr>
        <w:pStyle w:val="NoSpacing"/>
        <w:rPr>
          <w:rFonts w:ascii="Arial Black" w:hAnsi="Arial Black"/>
          <w:sz w:val="28"/>
          <w:szCs w:val="28"/>
        </w:rPr>
      </w:pPr>
      <w:r>
        <w:rPr>
          <w:rFonts w:ascii="Arial Black" w:hAnsi="Arial Black"/>
          <w:sz w:val="28"/>
          <w:szCs w:val="28"/>
        </w:rPr>
        <w:t>U.S. SUP CT: MED. EMERG - PD ENTER HOME W/O WARRANT</w:t>
      </w:r>
    </w:p>
    <w:p w14:paraId="116517CC" w14:textId="77777777" w:rsidR="00C137EF" w:rsidRDefault="00C137EF" w:rsidP="00C137EF">
      <w:pPr>
        <w:pStyle w:val="NoSpacing"/>
      </w:pPr>
    </w:p>
    <w:p w14:paraId="6E4EA501" w14:textId="77777777" w:rsidR="00C137EF" w:rsidRDefault="00C137EF" w:rsidP="00C137EF">
      <w:pPr>
        <w:pStyle w:val="NoSpacing"/>
      </w:pPr>
      <w:r>
        <w:t xml:space="preserve">On Jan. 14, 2026, in </w:t>
      </w:r>
      <w:r w:rsidRPr="00860758">
        <w:rPr>
          <w:u w:val="single"/>
        </w:rPr>
        <w:t>William Trevor Case v. Montana</w:t>
      </w:r>
      <w:r>
        <w:t xml:space="preserve">, the Supreme Court of the United States held (9 to 0) that “In Brigham City v. Stuart, 547 U. S. 398, 400 (2006), this Court held that police officers may enter a home without a warrant if they have an “objectively reasonable basis for believing” that someone inside needs emergency assistance.  In 2006, the Court in  </w:t>
      </w:r>
      <w:r w:rsidRPr="001249E8">
        <w:t>Brigham City v. Stuart, 547 U. S. 398, 403 (2006)</w:t>
      </w:r>
      <w:r>
        <w:t xml:space="preserve">, held that police ca enter home to break up </w:t>
      </w:r>
      <w:proofErr w:type="gramStart"/>
      <w:r>
        <w:t>an ongoing</w:t>
      </w:r>
      <w:proofErr w:type="gramEnd"/>
    </w:p>
    <w:p w14:paraId="5A1D0488" w14:textId="77777777" w:rsidR="00C137EF" w:rsidRDefault="00C137EF" w:rsidP="00C137EF">
      <w:pPr>
        <w:pStyle w:val="NoSpacing"/>
      </w:pPr>
      <w:r>
        <w:t xml:space="preserve">fight to protect a person.  </w:t>
      </w:r>
      <w:r w:rsidRPr="00D74B75">
        <w:t>In September 2021, law enforcement officers in Anaconda, Montana, entered the home of William Trevor Case after his ex-girlfriend reported he had threatened suicide, was acting erratically and may have fired a gun.</w:t>
      </w:r>
      <w:r>
        <w:t xml:space="preserve"> Police found him hiding behind a closet curtain holding dark object (he recovered) and found his gun; the trial court judge denied his motion to suppress the gun (police didn’t need “probable cause” to enter house), and he was convicted by jury of assaulting a police officer. U.S. Supreme Court Justice </w:t>
      </w:r>
      <w:r w:rsidRPr="00C4737C">
        <w:t>Elena Kagan</w:t>
      </w:r>
      <w:r>
        <w:t xml:space="preserve"> wrote the opinion: “The question in this presented is whether that standard means that officers must have ‘probable cause’ for the intrusion, as they typically would when investigating a crime. We </w:t>
      </w:r>
      <w:proofErr w:type="gramStart"/>
      <w:r>
        <w:t>hold it does not.”</w:t>
      </w:r>
      <w:proofErr w:type="gramEnd"/>
      <w:r>
        <w:t xml:space="preserve"> </w:t>
      </w:r>
      <w:hyperlink r:id="rId35" w:history="1">
        <w:r w:rsidRPr="00815351">
          <w:rPr>
            <w:rStyle w:val="Hyperlink"/>
          </w:rPr>
          <w:t>https://www.supremecourt.gov/opinions/25pdf/24-624_b07d.pdf</w:t>
        </w:r>
      </w:hyperlink>
      <w:r>
        <w:t xml:space="preserve"> </w:t>
      </w:r>
    </w:p>
    <w:p w14:paraId="2643C846" w14:textId="77777777" w:rsidR="00C137EF" w:rsidRDefault="00C137EF" w:rsidP="00C137EF">
      <w:pPr>
        <w:pStyle w:val="NoSpacing"/>
      </w:pPr>
    </w:p>
    <w:p w14:paraId="1166EA5E" w14:textId="77777777" w:rsidR="00C137EF" w:rsidRDefault="00C137EF" w:rsidP="00C137EF">
      <w:pPr>
        <w:pStyle w:val="NoSpacing"/>
      </w:pPr>
      <w:r>
        <w:t>THE COURT HELD:</w:t>
      </w:r>
    </w:p>
    <w:p w14:paraId="3439CFD2" w14:textId="77777777" w:rsidR="00C137EF" w:rsidRDefault="00C137EF" w:rsidP="00C137EF">
      <w:pPr>
        <w:pStyle w:val="NoSpacing"/>
      </w:pPr>
    </w:p>
    <w:p w14:paraId="28E6838E" w14:textId="77777777" w:rsidR="00C137EF" w:rsidRDefault="00C137EF" w:rsidP="00C137EF">
      <w:pPr>
        <w:pStyle w:val="NoSpacing"/>
        <w:ind w:left="720"/>
      </w:pPr>
      <w:r>
        <w:t>“This case began with an alarming phone call—from petitioner William Case to his ex-girlfriend J. H., both residents of a small town in Montana. Case told J. H. on the call that</w:t>
      </w:r>
    </w:p>
    <w:p w14:paraId="2E51B761" w14:textId="77777777" w:rsidR="00C137EF" w:rsidRDefault="00C137EF" w:rsidP="00C137EF">
      <w:pPr>
        <w:pStyle w:val="NoSpacing"/>
        <w:ind w:left="720"/>
      </w:pPr>
      <w:r>
        <w:t>‘</w:t>
      </w:r>
      <w:proofErr w:type="gramStart"/>
      <w:r>
        <w:t>he</w:t>
      </w:r>
      <w:proofErr w:type="gramEnd"/>
      <w:r>
        <w:t xml:space="preserve"> was going to kill himself.”’ … Because Case sounded ‘erratic,’ J. H. assumed he had been drinking…. She tried to talk Case out of committing suicide, but ‘couldn’t reel him back’: With each passing moment, Case ‘became more methodical about what he was</w:t>
      </w:r>
    </w:p>
    <w:p w14:paraId="0FF4C115" w14:textId="77777777" w:rsidR="00C137EF" w:rsidRDefault="00C137EF" w:rsidP="00C137EF">
      <w:pPr>
        <w:pStyle w:val="NoSpacing"/>
        <w:ind w:left="720"/>
      </w:pPr>
      <w:r>
        <w:t>going to do.’ … Case said that he was ‘going to get a note’—presumably meaning a suicide note, for J. H. or others to find…. And then J. H. heard a ‘clicking’ sound, like the ‘cock[</w:t>
      </w:r>
      <w:proofErr w:type="spellStart"/>
      <w:r>
        <w:t>ing</w:t>
      </w:r>
      <w:proofErr w:type="spellEnd"/>
      <w:r>
        <w:t xml:space="preserve"> of] a gun.’ … J. H. told Case she was going to call the police, but that seemed only to antagonize him: Case </w:t>
      </w:r>
      <w:proofErr w:type="gramStart"/>
      <w:r>
        <w:t>replied</w:t>
      </w:r>
      <w:proofErr w:type="gramEnd"/>
      <w:r>
        <w:t xml:space="preserve"> ‘he would shoot them all too.”… Finally, J. H. heard ‘a pop’ followed by ‘nothing’—'just dead air.’ … She ‘yelled [Case’s] name a few</w:t>
      </w:r>
    </w:p>
    <w:p w14:paraId="3BA008FD" w14:textId="77777777" w:rsidR="00C137EF" w:rsidRDefault="00C137EF" w:rsidP="00C137EF">
      <w:pPr>
        <w:pStyle w:val="NoSpacing"/>
        <w:ind w:left="720"/>
      </w:pPr>
      <w:r>
        <w:t xml:space="preserve">times,’ but got no response, leading her to think he had ‘pulled the trigger.’ … </w:t>
      </w:r>
      <w:proofErr w:type="gramStart"/>
      <w:r>
        <w:t>So</w:t>
      </w:r>
      <w:proofErr w:type="gramEnd"/>
      <w:r>
        <w:t xml:space="preserve"> she called 9–1–1 to report the incident and drove as fast as she could to Case’s home.</w:t>
      </w:r>
    </w:p>
    <w:p w14:paraId="05859AE5" w14:textId="77777777" w:rsidR="00C137EF" w:rsidRDefault="00C137EF" w:rsidP="00C137EF">
      <w:pPr>
        <w:pStyle w:val="NoSpacing"/>
        <w:ind w:left="720"/>
      </w:pPr>
    </w:p>
    <w:p w14:paraId="7193F384" w14:textId="77777777" w:rsidR="00C137EF" w:rsidRDefault="00C137EF" w:rsidP="00C137EF">
      <w:pPr>
        <w:pStyle w:val="NoSpacing"/>
        <w:ind w:left="720"/>
      </w:pPr>
      <w:r>
        <w:t>***</w:t>
      </w:r>
    </w:p>
    <w:p w14:paraId="53F21539" w14:textId="77777777" w:rsidR="00C137EF" w:rsidRDefault="00C137EF" w:rsidP="00C137EF">
      <w:pPr>
        <w:pStyle w:val="NoSpacing"/>
        <w:ind w:left="720"/>
      </w:pPr>
      <w:r>
        <w:t xml:space="preserve">Once the [Police] chief came, the officers conferred and decided to enter the house ‘to render emergency aid.’ … In the best-case scenario, they hoped to ‘talk [Case] down’ and prevent any injury…. But given J. H.’s account, the officers considered </w:t>
      </w:r>
      <w:proofErr w:type="gramStart"/>
      <w:r>
        <w:t>as well another possibility</w:t>
      </w:r>
      <w:proofErr w:type="gramEnd"/>
      <w:r>
        <w:t xml:space="preserve">—that Case had already shot himself and might be ‘in </w:t>
      </w:r>
      <w:proofErr w:type="gramStart"/>
      <w:r>
        <w:t>there</w:t>
      </w:r>
      <w:proofErr w:type="gramEnd"/>
      <w:r>
        <w:t xml:space="preserve"> bleeding.’ … At the same time, they worried that if Case remained unharmed, their entry could spark a confrontation…. </w:t>
      </w:r>
      <w:proofErr w:type="gramStart"/>
      <w:r>
        <w:t>So</w:t>
      </w:r>
      <w:proofErr w:type="gramEnd"/>
      <w:r>
        <w:t xml:space="preserve"> they equipped themselves with long-barrel guns and a ballistic shield before going in. The officers entered the house through the front door, about 40 minutes after they first arrived. They announced themselves </w:t>
      </w:r>
      <w:proofErr w:type="gramStart"/>
      <w:r>
        <w:t>loudly, and</w:t>
      </w:r>
      <w:proofErr w:type="gramEnd"/>
      <w:r>
        <w:t xml:space="preserve"> continued to call out as they walked through the home. Case did not answer; he was hiding in the closet of a bedroom upstairs. When one of the officers entered that room, Case threw open the closet curtain and appeared from behind it, holding ‘a black object’ which looked like a gun…. Fearing that he was about to be shot, the officer fired his own rifle. The bullet hit Case</w:t>
      </w:r>
    </w:p>
    <w:p w14:paraId="092518BB" w14:textId="77777777" w:rsidR="00C137EF" w:rsidRDefault="00C137EF" w:rsidP="00C137EF">
      <w:pPr>
        <w:pStyle w:val="NoSpacing"/>
        <w:ind w:left="720"/>
      </w:pPr>
      <w:r>
        <w:t>in the abdomen, and another officer rushed to administer first aid. An ambulance was called to take Case to the nearest hospital (where he recovered). Meanwhile, one of the</w:t>
      </w:r>
    </w:p>
    <w:p w14:paraId="6F327C6C" w14:textId="77777777" w:rsidR="00C137EF" w:rsidRDefault="00C137EF" w:rsidP="00C137EF">
      <w:pPr>
        <w:pStyle w:val="NoSpacing"/>
        <w:ind w:left="720"/>
      </w:pPr>
      <w:r>
        <w:t>officers found a handgun in a laundry basket next to the place where Case had stood.</w:t>
      </w:r>
    </w:p>
    <w:p w14:paraId="7EDC27CD" w14:textId="77777777" w:rsidR="00C137EF" w:rsidRDefault="00C137EF" w:rsidP="00C137EF">
      <w:pPr>
        <w:pStyle w:val="NoSpacing"/>
        <w:ind w:left="720"/>
      </w:pPr>
    </w:p>
    <w:p w14:paraId="5EEFEB51" w14:textId="77777777" w:rsidR="00C137EF" w:rsidRDefault="00C137EF" w:rsidP="00C137EF">
      <w:pPr>
        <w:pStyle w:val="NoSpacing"/>
        <w:ind w:left="720"/>
      </w:pPr>
      <w:r>
        <w:t>The county attorney charged Case with assaulting a police officer…. A Montana</w:t>
      </w:r>
    </w:p>
    <w:p w14:paraId="35236867" w14:textId="77777777" w:rsidR="00C137EF" w:rsidRDefault="00C137EF" w:rsidP="00C137EF">
      <w:pPr>
        <w:pStyle w:val="NoSpacing"/>
        <w:ind w:left="720"/>
      </w:pPr>
      <w:r>
        <w:t xml:space="preserve">jury then found Case guilty of the crime charged. Case moved to suppress all evidence obtained </w:t>
      </w:r>
      <w:proofErr w:type="gramStart"/>
      <w:r>
        <w:t>as a result of</w:t>
      </w:r>
      <w:proofErr w:type="gramEnd"/>
      <w:r>
        <w:t xml:space="preserve"> the home entry, arguing that the police had violated the Fourth Amendment by coming into his house without a warrant. The trial court denied the motion on the ground that the police officers were responding legitimately </w:t>
      </w:r>
    </w:p>
    <w:p w14:paraId="2A69196D" w14:textId="77777777" w:rsidR="00C137EF" w:rsidRDefault="00C137EF" w:rsidP="00C137EF">
      <w:pPr>
        <w:pStyle w:val="NoSpacing"/>
        <w:ind w:left="720"/>
      </w:pPr>
      <w:r>
        <w:t>to an “emergency.”</w:t>
      </w:r>
    </w:p>
    <w:p w14:paraId="1D01348E" w14:textId="77777777" w:rsidR="00C137EF" w:rsidRDefault="00C137EF" w:rsidP="00C137EF">
      <w:pPr>
        <w:pStyle w:val="NoSpacing"/>
        <w:ind w:left="720"/>
      </w:pPr>
    </w:p>
    <w:p w14:paraId="5249E9C7" w14:textId="77777777" w:rsidR="00C137EF" w:rsidRDefault="00C137EF" w:rsidP="00C137EF">
      <w:pPr>
        <w:pStyle w:val="NoSpacing"/>
        <w:ind w:left="720"/>
      </w:pPr>
      <w:r>
        <w:t>***</w:t>
      </w:r>
    </w:p>
    <w:p w14:paraId="789A47FD" w14:textId="77777777" w:rsidR="00C137EF" w:rsidRDefault="00C137EF" w:rsidP="00C137EF">
      <w:pPr>
        <w:pStyle w:val="NoSpacing"/>
        <w:ind w:left="720"/>
      </w:pPr>
      <w:r>
        <w:t xml:space="preserve">We…hold just what we have held before: that the officers may enter if, but only if, they have an “objectively reasonable basis for believing” that an occupant faces </w:t>
      </w:r>
      <w:proofErr w:type="gramStart"/>
      <w:r>
        <w:t>serious danger</w:t>
      </w:r>
      <w:proofErr w:type="gramEnd"/>
      <w:r>
        <w:t>. Brigham City, 547 U. S., at 400.”</w:t>
      </w:r>
    </w:p>
    <w:p w14:paraId="51C8A6CD" w14:textId="77777777" w:rsidR="00C137EF" w:rsidRDefault="00C137EF" w:rsidP="00C137EF">
      <w:pPr>
        <w:pStyle w:val="NoSpacing"/>
        <w:ind w:left="720"/>
      </w:pPr>
    </w:p>
    <w:p w14:paraId="19B3E3E9" w14:textId="77777777" w:rsidR="00C137EF" w:rsidRPr="000E4D83" w:rsidRDefault="00C137EF" w:rsidP="00C137EF">
      <w:pPr>
        <w:pStyle w:val="NoSpacing"/>
        <w:rPr>
          <w:b/>
          <w:bCs/>
        </w:rPr>
      </w:pPr>
      <w:r>
        <w:rPr>
          <w:b/>
        </w:rPr>
        <w:t xml:space="preserve">Legal lesson learned: Decision will also apply to fire and EMS forcing entry for a medical emergency. </w:t>
      </w:r>
    </w:p>
    <w:p w14:paraId="253B2887" w14:textId="77777777" w:rsidR="00C137EF" w:rsidRDefault="00C137EF" w:rsidP="00C137EF">
      <w:pPr>
        <w:pStyle w:val="NoSpacing"/>
      </w:pPr>
    </w:p>
    <w:p w14:paraId="6450F432" w14:textId="698E9670" w:rsidR="00C137EF" w:rsidRDefault="00C137EF" w:rsidP="00C137EF">
      <w:pPr>
        <w:pStyle w:val="NoSpacing"/>
        <w:rPr>
          <w:rFonts w:ascii="Arial Black" w:hAnsi="Arial Black"/>
          <w:sz w:val="24"/>
          <w:szCs w:val="24"/>
        </w:rPr>
      </w:pPr>
      <w:r>
        <w:t xml:space="preserve">Note: Can listen to Oral Argument in this case: </w:t>
      </w:r>
      <w:hyperlink r:id="rId36" w:history="1">
        <w:r w:rsidRPr="00815351">
          <w:rPr>
            <w:rStyle w:val="Hyperlink"/>
          </w:rPr>
          <w:t>https://www.youtube.com/watch?v=lqmk210Y9sk</w:t>
        </w:r>
      </w:hyperlink>
    </w:p>
    <w:p w14:paraId="7C4A6982" w14:textId="77777777" w:rsidR="00C137EF" w:rsidRDefault="00C137EF" w:rsidP="00037CB8">
      <w:pPr>
        <w:pStyle w:val="NoSpacing"/>
        <w:rPr>
          <w:rFonts w:ascii="Arial Black" w:hAnsi="Arial Black"/>
          <w:sz w:val="24"/>
          <w:szCs w:val="24"/>
        </w:rPr>
      </w:pPr>
    </w:p>
    <w:p w14:paraId="26879D6A" w14:textId="69E11388" w:rsidR="00C137EF" w:rsidRDefault="00C137EF" w:rsidP="00037CB8">
      <w:pPr>
        <w:pStyle w:val="NoSpacing"/>
        <w:rPr>
          <w:rFonts w:ascii="Arial Black" w:hAnsi="Arial Black"/>
          <w:sz w:val="24"/>
          <w:szCs w:val="24"/>
        </w:rPr>
      </w:pPr>
      <w:r>
        <w:rPr>
          <w:rFonts w:ascii="Arial Black" w:hAnsi="Arial Black"/>
          <w:sz w:val="24"/>
          <w:szCs w:val="24"/>
        </w:rPr>
        <w:t>1-20</w:t>
      </w:r>
      <w:r w:rsidR="0015512D">
        <w:rPr>
          <w:rFonts w:ascii="Arial Black" w:hAnsi="Arial Black"/>
          <w:sz w:val="24"/>
          <w:szCs w:val="24"/>
        </w:rPr>
        <w:t>2</w:t>
      </w:r>
    </w:p>
    <w:p w14:paraId="6207F5C2" w14:textId="77777777" w:rsidR="0015512D" w:rsidRDefault="0015512D" w:rsidP="00037CB8">
      <w:pPr>
        <w:pStyle w:val="NoSpacing"/>
        <w:rPr>
          <w:rFonts w:ascii="Arial Black" w:hAnsi="Arial Black"/>
          <w:sz w:val="24"/>
          <w:szCs w:val="24"/>
        </w:rPr>
      </w:pPr>
    </w:p>
    <w:p w14:paraId="6F07D39C" w14:textId="77777777" w:rsidR="0015512D" w:rsidRDefault="0015512D" w:rsidP="0015512D">
      <w:pPr>
        <w:pStyle w:val="NoSpacing"/>
      </w:pPr>
      <w:r>
        <w:rPr>
          <w:rFonts w:ascii="Arial Black" w:hAnsi="Arial Black"/>
          <w:sz w:val="28"/>
          <w:szCs w:val="28"/>
        </w:rPr>
        <w:t xml:space="preserve">TX: PAINTER AT FD – KNOCKED OFF LIFT - NO FD NEG </w:t>
      </w:r>
    </w:p>
    <w:p w14:paraId="1A4DF5AB" w14:textId="77777777" w:rsidR="0015512D" w:rsidRDefault="0015512D" w:rsidP="0015512D">
      <w:pPr>
        <w:pStyle w:val="NoSpacing"/>
      </w:pPr>
    </w:p>
    <w:p w14:paraId="3BD66D79" w14:textId="77777777" w:rsidR="0015512D" w:rsidRDefault="0015512D" w:rsidP="0015512D">
      <w:pPr>
        <w:rPr>
          <w:bCs/>
        </w:rPr>
      </w:pPr>
      <w:r>
        <w:t xml:space="preserve">On December 31, 2025, in </w:t>
      </w:r>
      <w:r w:rsidRPr="000F5A08">
        <w:rPr>
          <w:u w:val="single"/>
        </w:rPr>
        <w:t>City of Houston v. Jose Torres</w:t>
      </w:r>
      <w:r>
        <w:t xml:space="preserve">, </w:t>
      </w:r>
      <w:r w:rsidRPr="00DE41E5">
        <w:t>the Court of Appeals of Texas, First District, Houston</w:t>
      </w:r>
      <w:r>
        <w:t xml:space="preserve"> held (3 to 0) that trial court, after a bench trial, improperly found that the city was liable because the station District Chief didn’t deactivate the bay door.  The painter never asked that this be done, never told anyone he was going to be operating scissor lift inside the station, and never blocked the front of the bay door. </w:t>
      </w:r>
      <w:hyperlink r:id="rId37" w:history="1">
        <w:r w:rsidRPr="00091B3B">
          <w:rPr>
            <w:rStyle w:val="Hyperlink"/>
          </w:rPr>
          <w:t>https://cases.justia.com/texas/first-court-of-appeals/2025-01-23-00905-cv.pdf?ts=1767189326</w:t>
        </w:r>
      </w:hyperlink>
      <w:r>
        <w:t xml:space="preserve"> </w:t>
      </w:r>
    </w:p>
    <w:p w14:paraId="2C329852" w14:textId="77777777" w:rsidR="0015512D" w:rsidRDefault="0015512D" w:rsidP="0015512D">
      <w:pPr>
        <w:rPr>
          <w:bCs/>
        </w:rPr>
      </w:pPr>
      <w:r>
        <w:t>THE COURT HELD:</w:t>
      </w:r>
    </w:p>
    <w:p w14:paraId="2C0A41B4" w14:textId="77777777" w:rsidR="0015512D" w:rsidRPr="00830678" w:rsidRDefault="0015512D" w:rsidP="0015512D">
      <w:pPr>
        <w:pStyle w:val="NoSpacing"/>
        <w:ind w:left="720"/>
      </w:pPr>
      <w:r>
        <w:t>“</w:t>
      </w:r>
      <w:r w:rsidRPr="00830678">
        <w:t>Jose Torres, a painter employed by Arredondo’s Real Drywall, Inc., was</w:t>
      </w:r>
      <w:r>
        <w:t xml:space="preserve"> </w:t>
      </w:r>
      <w:r w:rsidRPr="00830678">
        <w:t>working at Houston Fire Department (HFD) Station #34. When he arrived on the</w:t>
      </w:r>
      <w:r>
        <w:t xml:space="preserve"> </w:t>
      </w:r>
      <w:r w:rsidRPr="00830678">
        <w:t>morning of this incident, around 8:30 a.m., there were no emergency vehicles inside</w:t>
      </w:r>
      <w:r>
        <w:t xml:space="preserve"> </w:t>
      </w:r>
      <w:r w:rsidRPr="00830678">
        <w:t>the fire station, although some were parked outside.</w:t>
      </w:r>
    </w:p>
    <w:p w14:paraId="20876DE9" w14:textId="77777777" w:rsidR="0015512D" w:rsidRDefault="0015512D" w:rsidP="0015512D">
      <w:pPr>
        <w:pStyle w:val="NoSpacing"/>
      </w:pPr>
    </w:p>
    <w:p w14:paraId="06903D1E" w14:textId="77777777" w:rsidR="0015512D" w:rsidRDefault="0015512D" w:rsidP="0015512D">
      <w:pPr>
        <w:pStyle w:val="NoSpacing"/>
        <w:ind w:left="720"/>
      </w:pPr>
      <w:r w:rsidRPr="00830678">
        <w:t>Torres began setting up his equipment, including a scissor lift, in one of the</w:t>
      </w:r>
      <w:r>
        <w:t xml:space="preserve"> </w:t>
      </w:r>
      <w:r w:rsidRPr="00830678">
        <w:t>bays of the fire station so he could paint the station’s ceiling. Because the station’s</w:t>
      </w:r>
      <w:r>
        <w:t xml:space="preserve"> </w:t>
      </w:r>
      <w:r w:rsidRPr="00830678">
        <w:t>large bay doors were open, and he needed them closed to paint the ceiling, Torres</w:t>
      </w:r>
      <w:r>
        <w:t xml:space="preserve"> </w:t>
      </w:r>
      <w:r w:rsidRPr="00830678">
        <w:t>asked one of the firefighters on duty how to close the doors. Torres closed the bay</w:t>
      </w:r>
      <w:r>
        <w:t xml:space="preserve"> </w:t>
      </w:r>
      <w:r w:rsidRPr="00830678">
        <w:t>doors by pushing a red button located inside the station. He then positioned the</w:t>
      </w:r>
      <w:r>
        <w:t xml:space="preserve"> </w:t>
      </w:r>
      <w:r w:rsidRPr="00830678">
        <w:t>scissor lift directly behind one of the closed bay doors, elevated himself on it, and</w:t>
      </w:r>
      <w:r>
        <w:t xml:space="preserve"> </w:t>
      </w:r>
      <w:r w:rsidRPr="00830678">
        <w:t>began painting the ceiling of the station.</w:t>
      </w:r>
    </w:p>
    <w:p w14:paraId="66856796" w14:textId="77777777" w:rsidR="0015512D" w:rsidRDefault="0015512D" w:rsidP="0015512D">
      <w:pPr>
        <w:pStyle w:val="NoSpacing"/>
      </w:pPr>
    </w:p>
    <w:p w14:paraId="26E3CE78" w14:textId="77777777" w:rsidR="0015512D" w:rsidRDefault="0015512D" w:rsidP="0015512D">
      <w:pPr>
        <w:pStyle w:val="NoSpacing"/>
        <w:ind w:left="720"/>
      </w:pPr>
      <w:r>
        <w:t>Adam Ricci, a firefighter employed by HFD at Fire Station #34, arrived at the fire station that morning at 6:30 a.m.—two hours before Torres—to begin his 24-hour shift. Around 8:00 a.</w:t>
      </w:r>
      <w:proofErr w:type="gramStart"/>
      <w:r>
        <w:t>m.—</w:t>
      </w:r>
      <w:proofErr w:type="gramEnd"/>
      <w:r>
        <w:t>about 30 minutes before Torres arrived—Ricci left the station in one of the emergency vehicles to respond to a call. Before he left, Ricci did not see anyone painting inside the fire station. And before returning to the station, Ricci had not seen or spoken to Torres and did not know that he (or anyone) was inside the station painting.</w:t>
      </w:r>
    </w:p>
    <w:p w14:paraId="0C74976E" w14:textId="77777777" w:rsidR="0015512D" w:rsidRDefault="0015512D" w:rsidP="0015512D">
      <w:pPr>
        <w:pStyle w:val="NoSpacing"/>
      </w:pPr>
    </w:p>
    <w:p w14:paraId="6FE21586" w14:textId="77777777" w:rsidR="0015512D" w:rsidRDefault="0015512D" w:rsidP="0015512D">
      <w:pPr>
        <w:pStyle w:val="NoSpacing"/>
        <w:ind w:left="720"/>
      </w:pPr>
      <w:r>
        <w:t>When Ricci returned to the fire station, he pushed a remote control inside his vehicle to open one of the bay doors. Unbeknownst to Ricci, Torres was standing on top of the scissor lift directly behind that door. When the door opened, it knocked over the scissor lift, injuring Torres.</w:t>
      </w:r>
    </w:p>
    <w:p w14:paraId="4F60A938" w14:textId="77777777" w:rsidR="0015512D" w:rsidRDefault="0015512D" w:rsidP="0015512D">
      <w:pPr>
        <w:pStyle w:val="NoSpacing"/>
      </w:pPr>
    </w:p>
    <w:p w14:paraId="4A48A6C7" w14:textId="77777777" w:rsidR="0015512D" w:rsidRDefault="0015512D" w:rsidP="0015512D">
      <w:pPr>
        <w:pStyle w:val="NoSpacing"/>
        <w:ind w:left="720"/>
      </w:pPr>
      <w:r>
        <w:t xml:space="preserve">The record shows that the bay door could have been deactivated. And, according to the City, District Chief Troy Koteras was the highest-ranking person on site that day—and he had the authority to do that. Following a bench trial, the trial court found that the </w:t>
      </w:r>
      <w:proofErr w:type="gramStart"/>
      <w:r>
        <w:t>City</w:t>
      </w:r>
      <w:proofErr w:type="gramEnd"/>
      <w:r>
        <w:t xml:space="preserve"> “did not act reasonably and its actions proximately causes [Torres’s] injuries.” It concluded that the </w:t>
      </w:r>
      <w:proofErr w:type="gramStart"/>
      <w:r>
        <w:t>City</w:t>
      </w:r>
      <w:proofErr w:type="gramEnd"/>
      <w:r>
        <w:t xml:space="preserve"> was negligent3 and awarded Torres damages.</w:t>
      </w:r>
    </w:p>
    <w:p w14:paraId="60330D89" w14:textId="77777777" w:rsidR="0015512D" w:rsidRDefault="0015512D" w:rsidP="0015512D">
      <w:pPr>
        <w:pStyle w:val="NoSpacing"/>
        <w:ind w:left="720"/>
      </w:pPr>
    </w:p>
    <w:p w14:paraId="219B3A88" w14:textId="77777777" w:rsidR="0015512D" w:rsidRDefault="0015512D" w:rsidP="0015512D">
      <w:pPr>
        <w:pStyle w:val="NoSpacing"/>
        <w:ind w:left="720"/>
      </w:pPr>
      <w:r>
        <w:t>***</w:t>
      </w:r>
    </w:p>
    <w:p w14:paraId="5B212D40" w14:textId="77777777" w:rsidR="0015512D" w:rsidRDefault="0015512D" w:rsidP="0015512D">
      <w:pPr>
        <w:pStyle w:val="NoSpacing"/>
        <w:ind w:firstLine="720"/>
      </w:pPr>
    </w:p>
    <w:p w14:paraId="22D1D2C8" w14:textId="77777777" w:rsidR="0015512D" w:rsidRDefault="0015512D" w:rsidP="0015512D">
      <w:pPr>
        <w:pStyle w:val="NoSpacing"/>
        <w:ind w:firstLine="720"/>
      </w:pPr>
      <w:r>
        <w:t xml:space="preserve">Accordingly, for </w:t>
      </w:r>
      <w:proofErr w:type="gramStart"/>
      <w:r>
        <w:t>all of</w:t>
      </w:r>
      <w:proofErr w:type="gramEnd"/>
      <w:r>
        <w:t xml:space="preserve"> the foregoing reasons, we hold that the evidence</w:t>
      </w:r>
    </w:p>
    <w:p w14:paraId="66901706" w14:textId="77777777" w:rsidR="0015512D" w:rsidRDefault="0015512D" w:rsidP="0015512D">
      <w:pPr>
        <w:pStyle w:val="NoSpacing"/>
        <w:ind w:firstLine="720"/>
      </w:pPr>
      <w:r>
        <w:t>establishes that the City owed no duty to Torres, a required element of negligence.</w:t>
      </w:r>
    </w:p>
    <w:p w14:paraId="40D02F40" w14:textId="77777777" w:rsidR="0015512D" w:rsidRDefault="0015512D" w:rsidP="0015512D">
      <w:pPr>
        <w:pStyle w:val="NoSpacing"/>
        <w:ind w:firstLine="720"/>
      </w:pPr>
      <w:r>
        <w:t xml:space="preserve">Absent proof of the common-law elements of negligence, the </w:t>
      </w:r>
      <w:proofErr w:type="gramStart"/>
      <w:r>
        <w:t>City</w:t>
      </w:r>
      <w:proofErr w:type="gramEnd"/>
      <w:r>
        <w:t xml:space="preserve"> was entitled to</w:t>
      </w:r>
    </w:p>
    <w:p w14:paraId="0DB17D93" w14:textId="77777777" w:rsidR="0015512D" w:rsidRDefault="0015512D" w:rsidP="0015512D">
      <w:pPr>
        <w:pStyle w:val="NoSpacing"/>
        <w:ind w:firstLine="720"/>
      </w:pPr>
      <w:r>
        <w:t>governmental immunity under the TTCA. We therefore reverse the trial court’s</w:t>
      </w:r>
    </w:p>
    <w:p w14:paraId="6D2B2347" w14:textId="77777777" w:rsidR="0015512D" w:rsidRDefault="0015512D" w:rsidP="0015512D">
      <w:pPr>
        <w:pStyle w:val="NoSpacing"/>
        <w:ind w:firstLine="720"/>
      </w:pPr>
      <w:r>
        <w:t xml:space="preserve">judgment and render judgment dismissing Torres’s claims against the </w:t>
      </w:r>
      <w:proofErr w:type="gramStart"/>
      <w:r>
        <w:t>City</w:t>
      </w:r>
      <w:proofErr w:type="gramEnd"/>
      <w:r>
        <w:t xml:space="preserve"> for lack</w:t>
      </w:r>
    </w:p>
    <w:p w14:paraId="2AF54172" w14:textId="77777777" w:rsidR="0015512D" w:rsidRDefault="0015512D" w:rsidP="0015512D">
      <w:pPr>
        <w:pStyle w:val="NoSpacing"/>
        <w:ind w:firstLine="720"/>
      </w:pPr>
      <w:r>
        <w:t>of subject-matter jurisdiction.”</w:t>
      </w:r>
    </w:p>
    <w:p w14:paraId="1DDC8690" w14:textId="77777777" w:rsidR="0015512D" w:rsidRDefault="0015512D" w:rsidP="0015512D">
      <w:pPr>
        <w:pStyle w:val="NoSpacing"/>
        <w:ind w:firstLine="720"/>
      </w:pPr>
    </w:p>
    <w:p w14:paraId="3022F51D" w14:textId="77777777" w:rsidR="0015512D" w:rsidRPr="0059074F" w:rsidRDefault="0015512D" w:rsidP="0015512D">
      <w:pPr>
        <w:pStyle w:val="NoSpacing"/>
        <w:rPr>
          <w:b/>
          <w:bCs/>
        </w:rPr>
      </w:pPr>
      <w:r>
        <w:rPr>
          <w:b/>
        </w:rPr>
        <w:t xml:space="preserve">Legal lesson learned: The injured painter was negligent and not requiring the bay door be deactivated; he is covered by worker’s comp. but can’t sue the city for damages. </w:t>
      </w:r>
    </w:p>
    <w:p w14:paraId="48223938" w14:textId="77777777" w:rsidR="0015512D" w:rsidRDefault="0015512D" w:rsidP="0015512D">
      <w:pPr>
        <w:pStyle w:val="NoSpacing"/>
        <w:ind w:firstLine="720"/>
      </w:pPr>
    </w:p>
    <w:p w14:paraId="59E2DB67" w14:textId="0CA4B440" w:rsidR="0015512D" w:rsidRDefault="0015512D" w:rsidP="00037CB8">
      <w:pPr>
        <w:pStyle w:val="NoSpacing"/>
        <w:rPr>
          <w:rFonts w:ascii="Arial Black" w:hAnsi="Arial Black"/>
          <w:sz w:val="24"/>
          <w:szCs w:val="24"/>
        </w:rPr>
      </w:pPr>
      <w:r>
        <w:rPr>
          <w:rFonts w:ascii="Arial Black" w:hAnsi="Arial Black"/>
          <w:sz w:val="24"/>
          <w:szCs w:val="24"/>
        </w:rPr>
        <w:t>1-201</w:t>
      </w:r>
    </w:p>
    <w:p w14:paraId="161948B9" w14:textId="77777777" w:rsidR="0015512D" w:rsidRDefault="0015512D" w:rsidP="00037CB8">
      <w:pPr>
        <w:pStyle w:val="NoSpacing"/>
        <w:rPr>
          <w:rFonts w:ascii="Arial Black" w:hAnsi="Arial Black"/>
          <w:sz w:val="24"/>
          <w:szCs w:val="24"/>
        </w:rPr>
      </w:pPr>
    </w:p>
    <w:p w14:paraId="3C2D52E9" w14:textId="77777777" w:rsidR="00ED1FF6" w:rsidRPr="00DD5FA8" w:rsidRDefault="00ED1FF6" w:rsidP="00ED1FF6">
      <w:pPr>
        <w:rPr>
          <w:rFonts w:ascii="Arial Black" w:hAnsi="Arial Black"/>
          <w:b/>
          <w:sz w:val="28"/>
          <w:szCs w:val="28"/>
        </w:rPr>
      </w:pPr>
      <w:r>
        <w:rPr>
          <w:rFonts w:ascii="Arial Black" w:hAnsi="Arial Black"/>
          <w:b/>
          <w:sz w:val="28"/>
          <w:szCs w:val="28"/>
        </w:rPr>
        <w:t>NJ: ARSON – PD SEIZED DVR CAMERA IN GARAGE - LAWFUL</w:t>
      </w:r>
    </w:p>
    <w:p w14:paraId="31D29707" w14:textId="77777777" w:rsidR="00ED1FF6" w:rsidRDefault="00ED1FF6" w:rsidP="00ED1FF6">
      <w:r>
        <w:t xml:space="preserve">On December 4, 2025, in </w:t>
      </w:r>
      <w:r w:rsidRPr="00EA75F6">
        <w:rPr>
          <w:u w:val="single"/>
        </w:rPr>
        <w:t xml:space="preserve">State of New Jersey v. Paul J. </w:t>
      </w:r>
      <w:proofErr w:type="spellStart"/>
      <w:r w:rsidRPr="00EA75F6">
        <w:rPr>
          <w:u w:val="single"/>
        </w:rPr>
        <w:t>Caneiro</w:t>
      </w:r>
      <w:proofErr w:type="spellEnd"/>
      <w:r>
        <w:t xml:space="preserve">, the </w:t>
      </w:r>
      <w:r w:rsidRPr="00EA75F6">
        <w:t>Supreme Court of New Jersey</w:t>
      </w:r>
      <w:r>
        <w:t xml:space="preserve"> held (7 to 0) that trial court improperly granted defense motion to suppress, and the Court of Appeals improperly confirmed the trial court decision.  Under the “exigent circumstances” police properly seized the security camera digital video recorder, which showed defendant disconnecting the camera before starting fire in his home. </w:t>
      </w:r>
      <w:hyperlink r:id="rId38" w:history="1">
        <w:r w:rsidRPr="00091B3B">
          <w:rPr>
            <w:rStyle w:val="Hyperlink"/>
          </w:rPr>
          <w:t>https://www.njcourts.gov/system/files/court-opinions/2025/a_1_25.pdf</w:t>
        </w:r>
      </w:hyperlink>
      <w:r>
        <w:t xml:space="preserve"> </w:t>
      </w:r>
    </w:p>
    <w:p w14:paraId="76F8ADF9" w14:textId="77777777" w:rsidR="00ED1FF6" w:rsidRPr="00EA75F6" w:rsidRDefault="00ED1FF6" w:rsidP="00ED1FF6">
      <w:pPr>
        <w:rPr>
          <w:bCs/>
        </w:rPr>
      </w:pPr>
      <w:r>
        <w:t>THE COURT HELD:</w:t>
      </w:r>
    </w:p>
    <w:p w14:paraId="3D371FC5" w14:textId="77777777" w:rsidR="00ED1FF6" w:rsidRDefault="00ED1FF6" w:rsidP="00ED1FF6">
      <w:pPr>
        <w:pStyle w:val="NoSpacing"/>
        <w:ind w:left="720"/>
      </w:pPr>
      <w:r>
        <w:t xml:space="preserve">“A fire was reported at defendant Paul J. </w:t>
      </w:r>
      <w:proofErr w:type="spellStart"/>
      <w:r>
        <w:t>Caneiro’s</w:t>
      </w:r>
      <w:proofErr w:type="spellEnd"/>
      <w:r>
        <w:t xml:space="preserve"> home at around 5:02 a.m. in November 2018. About forty minutes after arriving at defendant’s home, and while the house fire remained active, police seized, without a warrant, a security camera digital video recorder (DVR) located in the home’s attached garage…. Defendant later provided consent to </w:t>
      </w:r>
      <w:proofErr w:type="gramStart"/>
      <w:r>
        <w:t>search</w:t>
      </w:r>
      <w:proofErr w:type="gramEnd"/>
      <w:r>
        <w:t xml:space="preserve"> the DVR’s contents. </w:t>
      </w:r>
    </w:p>
    <w:p w14:paraId="06CA9B37" w14:textId="77777777" w:rsidR="00ED1FF6" w:rsidRDefault="00ED1FF6" w:rsidP="00ED1FF6">
      <w:pPr>
        <w:pStyle w:val="NoSpacing"/>
        <w:ind w:left="720"/>
      </w:pPr>
    </w:p>
    <w:p w14:paraId="25B14DDF" w14:textId="77777777" w:rsidR="00ED1FF6" w:rsidRDefault="00ED1FF6" w:rsidP="00ED1FF6">
      <w:pPr>
        <w:pStyle w:val="NoSpacing"/>
        <w:ind w:left="720"/>
      </w:pPr>
      <w:r>
        <w:t>***</w:t>
      </w:r>
    </w:p>
    <w:p w14:paraId="1E052307" w14:textId="77777777" w:rsidR="00ED1FF6" w:rsidRDefault="00ED1FF6" w:rsidP="00ED1FF6">
      <w:pPr>
        <w:pStyle w:val="NoSpacing"/>
        <w:ind w:left="720"/>
      </w:pPr>
      <w:r>
        <w:t>The State alleges that defendant murdered his brother, his brother’s wife, and</w:t>
      </w:r>
    </w:p>
    <w:p w14:paraId="461D942A" w14:textId="77777777" w:rsidR="00ED1FF6" w:rsidRDefault="00ED1FF6" w:rsidP="00ED1FF6">
      <w:pPr>
        <w:pStyle w:val="NoSpacing"/>
        <w:ind w:left="720"/>
      </w:pPr>
      <w:r>
        <w:t>their two children, and then set their house ablaze to cover up his involvement in</w:t>
      </w:r>
    </w:p>
    <w:p w14:paraId="77C9FA2D" w14:textId="77777777" w:rsidR="00ED1FF6" w:rsidRDefault="00ED1FF6" w:rsidP="00ED1FF6">
      <w:pPr>
        <w:pStyle w:val="NoSpacing"/>
        <w:ind w:left="720"/>
      </w:pPr>
      <w:r>
        <w:t>those crimes. The State further contends that defendant then set his own house on</w:t>
      </w:r>
    </w:p>
    <w:p w14:paraId="1A8F9845" w14:textId="77777777" w:rsidR="00ED1FF6" w:rsidRDefault="00ED1FF6" w:rsidP="00ED1FF6">
      <w:pPr>
        <w:pStyle w:val="NoSpacing"/>
        <w:ind w:left="720"/>
      </w:pPr>
      <w:r>
        <w:t>fire with his wife and children asleep inside as a ruse to suggest that criminals</w:t>
      </w:r>
    </w:p>
    <w:p w14:paraId="11D155BA" w14:textId="77777777" w:rsidR="00ED1FF6" w:rsidRDefault="00ED1FF6" w:rsidP="00ED1FF6">
      <w:pPr>
        <w:pStyle w:val="NoSpacing"/>
        <w:ind w:left="720"/>
      </w:pPr>
      <w:r>
        <w:t>targeted both families. The State asserts that the DVR showed defendant</w:t>
      </w:r>
    </w:p>
    <w:p w14:paraId="26D27F10" w14:textId="77777777" w:rsidR="00ED1FF6" w:rsidRDefault="00ED1FF6" w:rsidP="00ED1FF6">
      <w:pPr>
        <w:pStyle w:val="NoSpacing"/>
        <w:ind w:left="720"/>
      </w:pPr>
      <w:r>
        <w:t>disconnecting the security camera system prior to starting the fire in his house.</w:t>
      </w:r>
    </w:p>
    <w:p w14:paraId="74614F04" w14:textId="77777777" w:rsidR="00ED1FF6" w:rsidRDefault="00ED1FF6" w:rsidP="00ED1FF6">
      <w:pPr>
        <w:pStyle w:val="NoSpacing"/>
        <w:ind w:left="720"/>
      </w:pPr>
    </w:p>
    <w:p w14:paraId="54215439" w14:textId="77777777" w:rsidR="00ED1FF6" w:rsidRDefault="00ED1FF6" w:rsidP="00ED1FF6">
      <w:pPr>
        <w:pStyle w:val="NoSpacing"/>
        <w:ind w:left="720"/>
      </w:pPr>
      <w:r>
        <w:t>***</w:t>
      </w:r>
    </w:p>
    <w:p w14:paraId="1DA8EDA5" w14:textId="77777777" w:rsidR="00ED1FF6" w:rsidRDefault="00ED1FF6" w:rsidP="00ED1FF6">
      <w:pPr>
        <w:pStyle w:val="NoSpacing"/>
        <w:ind w:left="720"/>
      </w:pPr>
    </w:p>
    <w:p w14:paraId="74B18BBC" w14:textId="77777777" w:rsidR="00ED1FF6" w:rsidRDefault="00ED1FF6" w:rsidP="00ED1FF6">
      <w:pPr>
        <w:pStyle w:val="NoSpacing"/>
        <w:ind w:left="720"/>
      </w:pPr>
      <w:r>
        <w:t xml:space="preserve">The parties do not dispute that </w:t>
      </w:r>
      <w:proofErr w:type="gramStart"/>
      <w:r>
        <w:t>defendant’s</w:t>
      </w:r>
      <w:proofErr w:type="gramEnd"/>
      <w:r>
        <w:t xml:space="preserve"> consent to </w:t>
      </w:r>
      <w:proofErr w:type="gramStart"/>
      <w:r>
        <w:t>search</w:t>
      </w:r>
      <w:proofErr w:type="gramEnd"/>
      <w:r>
        <w:t xml:space="preserve"> the DVR was valid. They dispute only whether the warrantless seizure of the DVR was justified by the exigency exception to the warrant requirement. The trial judge, focusing on the fact that the garage itself was not on fire, granted defendant’s motion to suppress the DVR. The Appellate Division affirmed. We granted the State’s motion for leave to appeal and have proceeded on an accelerated basis.</w:t>
      </w:r>
    </w:p>
    <w:p w14:paraId="5A4A9F5C" w14:textId="77777777" w:rsidR="00ED1FF6" w:rsidRDefault="00ED1FF6" w:rsidP="00ED1FF6">
      <w:pPr>
        <w:pStyle w:val="NoSpacing"/>
        <w:ind w:left="720"/>
      </w:pPr>
    </w:p>
    <w:p w14:paraId="7BD07432" w14:textId="77777777" w:rsidR="00ED1FF6" w:rsidRDefault="00ED1FF6" w:rsidP="00ED1FF6">
      <w:pPr>
        <w:pStyle w:val="NoSpacing"/>
        <w:ind w:left="720"/>
      </w:pPr>
      <w:r>
        <w:t>***</w:t>
      </w:r>
    </w:p>
    <w:p w14:paraId="070691F6" w14:textId="77777777" w:rsidR="00ED1FF6" w:rsidRDefault="00ED1FF6" w:rsidP="00ED1FF6">
      <w:pPr>
        <w:pStyle w:val="NoSpacing"/>
        <w:ind w:left="720"/>
      </w:pPr>
      <w:r w:rsidRPr="00305E47">
        <w:t>Under the totality of the circumstances in this case, the police acted in an</w:t>
      </w:r>
      <w:r>
        <w:t xml:space="preserve"> </w:t>
      </w:r>
      <w:r w:rsidRPr="00305E47">
        <w:t>objectively reasonable manner to meet an exigency that did not permit time to secure</w:t>
      </w:r>
      <w:r>
        <w:t xml:space="preserve"> </w:t>
      </w:r>
      <w:r w:rsidRPr="00305E47">
        <w:t xml:space="preserve">a warrant. No bright-line rule governs the question of </w:t>
      </w:r>
      <w:proofErr w:type="gramStart"/>
      <w:r w:rsidRPr="00305E47">
        <w:t>exigency, and</w:t>
      </w:r>
      <w:proofErr w:type="gramEnd"/>
      <w:r w:rsidRPr="00305E47">
        <w:t xml:space="preserve"> determining</w:t>
      </w:r>
      <w:r>
        <w:t xml:space="preserve"> </w:t>
      </w:r>
      <w:r w:rsidRPr="00305E47">
        <w:t xml:space="preserve">whether the exigency exception to the </w:t>
      </w:r>
      <w:proofErr w:type="gramStart"/>
      <w:r w:rsidRPr="00305E47">
        <w:t>warrant requirement applies</w:t>
      </w:r>
      <w:proofErr w:type="gramEnd"/>
      <w:r w:rsidRPr="00305E47">
        <w:t xml:space="preserve"> requires courts to</w:t>
      </w:r>
      <w:r>
        <w:t xml:space="preserve"> </w:t>
      </w:r>
      <w:r w:rsidRPr="00F565F4">
        <w:t>conduct an objective, fact-sensitive analysis. Drawing de novo legal conclusions</w:t>
      </w:r>
      <w:r>
        <w:t xml:space="preserve"> </w:t>
      </w:r>
      <w:r w:rsidRPr="00F565F4">
        <w:t>from the facts found by the trial judge, the Court finds that here, time was of the</w:t>
      </w:r>
      <w:r>
        <w:t xml:space="preserve"> </w:t>
      </w:r>
      <w:r w:rsidRPr="00F565F4">
        <w:t>essence, delay was not reasonable, and seizure of the DVR by the police without a</w:t>
      </w:r>
      <w:r>
        <w:t xml:space="preserve"> </w:t>
      </w:r>
      <w:r w:rsidRPr="00F565F4">
        <w:t xml:space="preserve">warrant was justified by exigent </w:t>
      </w:r>
      <w:r>
        <w:t>c</w:t>
      </w:r>
      <w:r w:rsidRPr="00F565F4">
        <w:t>ircumstances.</w:t>
      </w:r>
      <w:r>
        <w:t>”</w:t>
      </w:r>
    </w:p>
    <w:p w14:paraId="221A3E25" w14:textId="77777777" w:rsidR="00ED1FF6" w:rsidRDefault="00ED1FF6" w:rsidP="00ED1FF6">
      <w:pPr>
        <w:pStyle w:val="NoSpacing"/>
        <w:ind w:left="720"/>
      </w:pPr>
    </w:p>
    <w:p w14:paraId="63CED89F" w14:textId="77777777" w:rsidR="00ED1FF6" w:rsidRDefault="00ED1FF6" w:rsidP="00ED1FF6">
      <w:pPr>
        <w:pStyle w:val="NoSpacing"/>
        <w:rPr>
          <w:b/>
          <w:bCs/>
        </w:rPr>
      </w:pPr>
      <w:r>
        <w:rPr>
          <w:b/>
        </w:rPr>
        <w:t>Legal lesson learned: Exigent circumstances justified seizing the security camera without a search warrant.</w:t>
      </w:r>
    </w:p>
    <w:p w14:paraId="11593B09" w14:textId="77777777" w:rsidR="00ED1FF6" w:rsidRDefault="00ED1FF6" w:rsidP="00ED1FF6">
      <w:pPr>
        <w:pStyle w:val="NoSpacing"/>
        <w:rPr>
          <w:b/>
          <w:bCs/>
        </w:rPr>
      </w:pPr>
    </w:p>
    <w:p w14:paraId="79C95776" w14:textId="77777777" w:rsidR="00ED1FF6" w:rsidRDefault="00ED1FF6" w:rsidP="00037CB8">
      <w:pPr>
        <w:pStyle w:val="NoSpacing"/>
        <w:rPr>
          <w:rFonts w:ascii="Arial Black" w:hAnsi="Arial Black"/>
          <w:sz w:val="24"/>
          <w:szCs w:val="24"/>
        </w:rPr>
      </w:pPr>
    </w:p>
    <w:p w14:paraId="7C5061BC" w14:textId="77777777" w:rsidR="00C137EF" w:rsidRDefault="00C137EF" w:rsidP="00037CB8">
      <w:pPr>
        <w:pStyle w:val="NoSpacing"/>
        <w:rPr>
          <w:rFonts w:ascii="Arial Black" w:hAnsi="Arial Black"/>
          <w:sz w:val="24"/>
          <w:szCs w:val="24"/>
        </w:rPr>
      </w:pPr>
    </w:p>
    <w:p w14:paraId="38BC3130" w14:textId="77777777" w:rsidR="00C137EF" w:rsidRDefault="00C137EF" w:rsidP="00037CB8">
      <w:pPr>
        <w:pStyle w:val="NoSpacing"/>
        <w:rPr>
          <w:rFonts w:ascii="Arial Black" w:hAnsi="Arial Black"/>
          <w:sz w:val="24"/>
          <w:szCs w:val="24"/>
        </w:rPr>
      </w:pPr>
    </w:p>
    <w:p w14:paraId="7661086B" w14:textId="77777777" w:rsidR="00C137EF" w:rsidRDefault="00C137EF" w:rsidP="00037CB8">
      <w:pPr>
        <w:pStyle w:val="NoSpacing"/>
        <w:rPr>
          <w:rFonts w:ascii="Arial Black" w:hAnsi="Arial Black"/>
          <w:sz w:val="24"/>
          <w:szCs w:val="24"/>
        </w:rPr>
      </w:pPr>
    </w:p>
    <w:p w14:paraId="243C462B" w14:textId="26B7DB33" w:rsidR="00D035D9" w:rsidRDefault="00D035D9" w:rsidP="00037CB8">
      <w:pPr>
        <w:pStyle w:val="NoSpacing"/>
        <w:rPr>
          <w:rFonts w:ascii="Arial Black" w:hAnsi="Arial Black"/>
          <w:sz w:val="24"/>
          <w:szCs w:val="24"/>
        </w:rPr>
      </w:pPr>
      <w:r>
        <w:rPr>
          <w:rFonts w:ascii="Arial Black" w:hAnsi="Arial Black"/>
          <w:sz w:val="24"/>
          <w:szCs w:val="24"/>
        </w:rPr>
        <w:t>1-</w:t>
      </w:r>
      <w:r w:rsidR="0028642A">
        <w:rPr>
          <w:rFonts w:ascii="Arial Black" w:hAnsi="Arial Black"/>
          <w:sz w:val="24"/>
          <w:szCs w:val="24"/>
        </w:rPr>
        <w:t>20</w:t>
      </w:r>
      <w:r w:rsidR="00A44AF2">
        <w:rPr>
          <w:rFonts w:ascii="Arial Black" w:hAnsi="Arial Black"/>
          <w:sz w:val="24"/>
          <w:szCs w:val="24"/>
        </w:rPr>
        <w:t>0</w:t>
      </w:r>
    </w:p>
    <w:p w14:paraId="4686B41B" w14:textId="77777777" w:rsidR="00D035D9" w:rsidRDefault="00D035D9" w:rsidP="00037CB8">
      <w:pPr>
        <w:pStyle w:val="NoSpacing"/>
        <w:rPr>
          <w:rFonts w:ascii="Arial Black" w:hAnsi="Arial Black"/>
          <w:sz w:val="24"/>
          <w:szCs w:val="24"/>
        </w:rPr>
      </w:pPr>
    </w:p>
    <w:p w14:paraId="66EA8208" w14:textId="2E3C5C85" w:rsidR="00D035D9" w:rsidRPr="00DD3D69" w:rsidRDefault="00D035D9" w:rsidP="00D035D9">
      <w:pPr>
        <w:rPr>
          <w:rFonts w:ascii="Arial Black" w:hAnsi="Arial Black"/>
          <w:b/>
          <w:sz w:val="28"/>
          <w:szCs w:val="28"/>
        </w:rPr>
      </w:pPr>
      <w:r>
        <w:rPr>
          <w:rFonts w:ascii="Arial Black" w:hAnsi="Arial Black"/>
          <w:b/>
          <w:sz w:val="28"/>
          <w:szCs w:val="28"/>
        </w:rPr>
        <w:t>UT: TOWN COUNCIL – DID</w:t>
      </w:r>
      <w:r w:rsidR="00932FB7">
        <w:rPr>
          <w:rFonts w:ascii="Arial Black" w:hAnsi="Arial Black"/>
          <w:b/>
          <w:sz w:val="28"/>
          <w:szCs w:val="28"/>
        </w:rPr>
        <w:t xml:space="preserve">N’T </w:t>
      </w:r>
      <w:r>
        <w:rPr>
          <w:rFonts w:ascii="Arial Black" w:hAnsi="Arial Black"/>
          <w:b/>
          <w:sz w:val="28"/>
          <w:szCs w:val="28"/>
        </w:rPr>
        <w:t xml:space="preserve"> APPROVE NEW CHIEF</w:t>
      </w:r>
      <w:r w:rsidR="00932FB7">
        <w:rPr>
          <w:rFonts w:ascii="Arial Black" w:hAnsi="Arial Black"/>
          <w:b/>
          <w:sz w:val="28"/>
          <w:szCs w:val="28"/>
        </w:rPr>
        <w:t xml:space="preserve"> – NO SEVERANCE</w:t>
      </w:r>
    </w:p>
    <w:p w14:paraId="4D8B4ACA" w14:textId="77777777" w:rsidR="00D035D9" w:rsidRPr="009C12DF" w:rsidRDefault="00D035D9" w:rsidP="00D035D9">
      <w:pPr>
        <w:pStyle w:val="NoSpacing"/>
        <w:rPr>
          <w:bCs/>
        </w:rPr>
      </w:pPr>
      <w:r w:rsidRPr="00DF4246">
        <w:t xml:space="preserve">On December 26, 2025, in </w:t>
      </w:r>
      <w:r w:rsidRPr="00DF4246">
        <w:rPr>
          <w:u w:val="single"/>
        </w:rPr>
        <w:t>Daniel N. Musser v. Town of Apple Valley, et al</w:t>
      </w:r>
      <w:r w:rsidRPr="00DF4246">
        <w:t>.</w:t>
      </w:r>
      <w:r>
        <w:rPr>
          <w:b/>
        </w:rPr>
        <w:t xml:space="preserve">, </w:t>
      </w:r>
      <w:r w:rsidRPr="00DF4246">
        <w:t>the Court of Appeals of Utah</w:t>
      </w:r>
      <w:r>
        <w:t xml:space="preserve"> held (3 to 0) that the trial court properly dismissed the lawsuit by the plaintiff seeking a severance payment of one year’s salary.  On November 4, </w:t>
      </w:r>
      <w:proofErr w:type="gramStart"/>
      <w:r>
        <w:t>2021</w:t>
      </w:r>
      <w:proofErr w:type="gramEnd"/>
      <w:r>
        <w:t xml:space="preserve"> he signed a contract to be Fire Chief and Police Chief, two days after the election of the new Mayor, </w:t>
      </w:r>
      <w:r w:rsidRPr="00FC03C2">
        <w:t>Dina Mason Walters</w:t>
      </w:r>
      <w:r>
        <w:t>, who took office one month later.  According to his lawsuit: “</w:t>
      </w:r>
      <w:r w:rsidRPr="008527CE">
        <w:t>In August 2021, Apple Valley’s mayor, Dale Beddo (</w:t>
      </w:r>
      <w:r>
        <w:t>‘</w:t>
      </w:r>
      <w:r w:rsidRPr="008527CE">
        <w:t>Mayor Beddo</w:t>
      </w:r>
      <w:r>
        <w:t>’</w:t>
      </w:r>
      <w:r w:rsidRPr="008527CE">
        <w:t xml:space="preserve">), contacted Plaintiff </w:t>
      </w:r>
      <w:r>
        <w:t xml:space="preserve"> </w:t>
      </w:r>
      <w:r w:rsidRPr="008527CE">
        <w:t>and inquired whether Plaintiff would be interested in a position with Apple Valley as the police chief and fire chief</w:t>
      </w:r>
      <w:r>
        <w:t xml:space="preserve">…. </w:t>
      </w:r>
      <w:r w:rsidRPr="008561FF">
        <w:t xml:space="preserve">Plaintiff informed Mayor Beddo that although Plaintiff had worked for the Colorado City Marshals Office for over six years, trained, and worked with the Colorado City Fire </w:t>
      </w:r>
      <w:r>
        <w:t xml:space="preserve"> </w:t>
      </w:r>
      <w:r w:rsidRPr="008561FF">
        <w:t>Department, Plaintiff did not have any Fire Certifications.</w:t>
      </w:r>
      <w:r>
        <w:t xml:space="preserve">”  He then obtained the required certifications to be a Utah firefighter and police officer.  He apparently did not know that </w:t>
      </w:r>
      <w:r w:rsidRPr="009C12DF">
        <w:t>under a council-mayor form of government, Utah law required the advice and consent of the Council</w:t>
      </w:r>
      <w:r>
        <w:t xml:space="preserve"> </w:t>
      </w:r>
      <w:r w:rsidRPr="009C12DF">
        <w:t>when appointing a department head. See Utah Code § 10-3b-202(1)(d)(ii).</w:t>
      </w:r>
      <w:r>
        <w:t xml:space="preserve">  The new Mayor, Ms. Walters, </w:t>
      </w:r>
      <w:r w:rsidRPr="00C21543">
        <w:t xml:space="preserve">took office on January 3, 2022. A week later, she and a majority of the </w:t>
      </w:r>
      <w:r>
        <w:t xml:space="preserve">[5-member] </w:t>
      </w:r>
      <w:r w:rsidRPr="00C21543">
        <w:t>Council sent Musser a letter terminating his</w:t>
      </w:r>
      <w:r>
        <w:t xml:space="preserve"> </w:t>
      </w:r>
      <w:r w:rsidRPr="00C21543">
        <w:t>employment</w:t>
      </w:r>
      <w:r>
        <w:t xml:space="preserve">. </w:t>
      </w:r>
      <w:hyperlink r:id="rId39" w:history="1">
        <w:r w:rsidRPr="007B3445">
          <w:rPr>
            <w:rStyle w:val="Hyperlink"/>
          </w:rPr>
          <w:t>https://cases.justia.com/utah/court-of-appeals-published/2025-20241334-ca.pdf?ts=1766864394</w:t>
        </w:r>
      </w:hyperlink>
      <w:r>
        <w:t xml:space="preserve"> </w:t>
      </w:r>
    </w:p>
    <w:p w14:paraId="73C11812" w14:textId="77777777" w:rsidR="00D035D9" w:rsidRDefault="00D035D9" w:rsidP="00D035D9">
      <w:pPr>
        <w:rPr>
          <w:bCs/>
        </w:rPr>
      </w:pPr>
    </w:p>
    <w:p w14:paraId="51C571EF" w14:textId="77777777" w:rsidR="00D035D9" w:rsidRDefault="00D035D9" w:rsidP="00D035D9">
      <w:pPr>
        <w:rPr>
          <w:bCs/>
        </w:rPr>
      </w:pPr>
      <w:r>
        <w:t xml:space="preserve">THE COURT HELD:  </w:t>
      </w:r>
    </w:p>
    <w:p w14:paraId="1EB0C05B" w14:textId="77777777" w:rsidR="00D035D9" w:rsidRDefault="00D035D9" w:rsidP="00D035D9">
      <w:pPr>
        <w:pStyle w:val="NoSpacing"/>
        <w:ind w:left="720"/>
        <w:rPr>
          <w:bCs/>
        </w:rPr>
      </w:pPr>
      <w:r>
        <w:t>“</w:t>
      </w:r>
      <w:r w:rsidRPr="00F2593C">
        <w:t xml:space="preserve">On November 2, 2021, </w:t>
      </w:r>
      <w:r>
        <w:t>[D</w:t>
      </w:r>
      <w:r w:rsidRPr="004B6AE3">
        <w:t xml:space="preserve">ina Mason </w:t>
      </w:r>
      <w:r>
        <w:t xml:space="preserve">] </w:t>
      </w:r>
      <w:r w:rsidRPr="00F2593C">
        <w:t>Walters was elected mayor of Apple Valley, with her term beginning in January 2022. Two days later,</w:t>
      </w:r>
      <w:r>
        <w:t xml:space="preserve"> </w:t>
      </w:r>
      <w:r w:rsidRPr="00F2593C">
        <w:t xml:space="preserve">on November 4, 2021, Musser </w:t>
      </w:r>
      <w:proofErr w:type="gramStart"/>
      <w:r w:rsidRPr="00F2593C">
        <w:t>entered into</w:t>
      </w:r>
      <w:proofErr w:type="gramEnd"/>
      <w:r w:rsidRPr="00F2593C">
        <w:t xml:space="preserve"> the Contract with Apple Valley to employ him as the chief of its fire and police</w:t>
      </w:r>
      <w:r>
        <w:t xml:space="preserve"> </w:t>
      </w:r>
      <w:r w:rsidRPr="00F2593C">
        <w:t>departments.</w:t>
      </w:r>
      <w:r>
        <w:t xml:space="preserve">  </w:t>
      </w:r>
      <w:r w:rsidRPr="00F2593C">
        <w:t xml:space="preserve">The mayor pro </w:t>
      </w:r>
      <w:proofErr w:type="spellStart"/>
      <w:proofErr w:type="gramStart"/>
      <w:r w:rsidRPr="00F2593C">
        <w:t>tem</w:t>
      </w:r>
      <w:proofErr w:type="spellEnd"/>
      <w:proofErr w:type="gramEnd"/>
      <w:r w:rsidRPr="00F2593C">
        <w:t xml:space="preserve"> </w:t>
      </w:r>
      <w:r>
        <w:t xml:space="preserve">[temporary acting Mayor] </w:t>
      </w:r>
      <w:r w:rsidRPr="00F2593C">
        <w:t>signed on behalf of Apple Valley. Musser began his employment on November 11, 2021.</w:t>
      </w:r>
    </w:p>
    <w:p w14:paraId="7DD0376D" w14:textId="77777777" w:rsidR="00D035D9" w:rsidRDefault="00D035D9" w:rsidP="00D035D9">
      <w:pPr>
        <w:pStyle w:val="NoSpacing"/>
        <w:ind w:left="720"/>
        <w:rPr>
          <w:bCs/>
        </w:rPr>
      </w:pPr>
    </w:p>
    <w:p w14:paraId="37EB3EAB" w14:textId="77777777" w:rsidR="00D035D9" w:rsidRDefault="00D035D9" w:rsidP="00D035D9">
      <w:pPr>
        <w:pStyle w:val="NoSpacing"/>
        <w:ind w:left="720"/>
        <w:rPr>
          <w:bCs/>
        </w:rPr>
      </w:pPr>
      <w:r w:rsidRPr="006D2942">
        <w:t xml:space="preserve">In response to concerns about the validity of the Contract and Musser's employment, the mayor pro </w:t>
      </w:r>
      <w:proofErr w:type="spellStart"/>
      <w:r w:rsidRPr="006D2942">
        <w:t>tem</w:t>
      </w:r>
      <w:proofErr w:type="spellEnd"/>
      <w:r w:rsidRPr="006D2942">
        <w:t xml:space="preserve"> presented the Council</w:t>
      </w:r>
      <w:r>
        <w:t xml:space="preserve"> </w:t>
      </w:r>
      <w:r w:rsidRPr="006D2942">
        <w:t>with a resolution (the Appointment Resolution) on December 2, 2021, to confirm Musser's appointment as the police and fire</w:t>
      </w:r>
      <w:r>
        <w:t xml:space="preserve"> </w:t>
      </w:r>
      <w:r w:rsidRPr="004E3A4E">
        <w:t>chief. Of the five Council members, only three voted on the Appointment Resolution, with two in favor and one against. The</w:t>
      </w:r>
      <w:r>
        <w:t xml:space="preserve"> </w:t>
      </w:r>
      <w:r w:rsidRPr="004E3A4E">
        <w:t>other two Council members were absent from the vote.</w:t>
      </w:r>
    </w:p>
    <w:p w14:paraId="56CFF984" w14:textId="77777777" w:rsidR="00D035D9" w:rsidRDefault="00D035D9" w:rsidP="00D035D9">
      <w:pPr>
        <w:pStyle w:val="NoSpacing"/>
        <w:ind w:left="720"/>
        <w:rPr>
          <w:bCs/>
        </w:rPr>
      </w:pPr>
    </w:p>
    <w:p w14:paraId="03A41D2A" w14:textId="77777777" w:rsidR="00D035D9" w:rsidRDefault="00D035D9" w:rsidP="00D035D9">
      <w:pPr>
        <w:pStyle w:val="NoSpacing"/>
        <w:ind w:left="720"/>
        <w:rPr>
          <w:bCs/>
        </w:rPr>
      </w:pPr>
      <w:r w:rsidRPr="00C21543">
        <w:t xml:space="preserve">Walters took office on January 3, 2022. A week later, she and </w:t>
      </w:r>
      <w:proofErr w:type="gramStart"/>
      <w:r w:rsidRPr="00C21543">
        <w:t>a majority of</w:t>
      </w:r>
      <w:proofErr w:type="gramEnd"/>
      <w:r w:rsidRPr="00C21543">
        <w:t xml:space="preserve"> the Council sent Musser a letter terminating his</w:t>
      </w:r>
      <w:r>
        <w:t xml:space="preserve"> </w:t>
      </w:r>
      <w:r w:rsidRPr="00C21543">
        <w:t>employment, which gave several reasons for Musser's termination. As relevant to this appeal, the letter explained that Musser's</w:t>
      </w:r>
      <w:r>
        <w:t xml:space="preserve"> </w:t>
      </w:r>
      <w:r w:rsidRPr="00C21543">
        <w:t xml:space="preserve">termination was necessary because the Council </w:t>
      </w:r>
      <w:r>
        <w:t>‘</w:t>
      </w:r>
      <w:r w:rsidRPr="00C21543">
        <w:t>never approved or ratified</w:t>
      </w:r>
      <w:r>
        <w:t>’</w:t>
      </w:r>
      <w:r w:rsidRPr="00C21543">
        <w:t xml:space="preserve"> the Contract.</w:t>
      </w:r>
    </w:p>
    <w:p w14:paraId="49FF906D" w14:textId="77777777" w:rsidR="00D035D9" w:rsidRDefault="00D035D9" w:rsidP="00D035D9">
      <w:pPr>
        <w:pStyle w:val="NoSpacing"/>
        <w:ind w:left="720"/>
        <w:rPr>
          <w:bCs/>
        </w:rPr>
      </w:pPr>
    </w:p>
    <w:p w14:paraId="6C5479F7" w14:textId="77777777" w:rsidR="00D035D9" w:rsidRDefault="00D035D9" w:rsidP="00D035D9">
      <w:pPr>
        <w:pStyle w:val="NoSpacing"/>
        <w:ind w:left="720"/>
        <w:rPr>
          <w:bCs/>
        </w:rPr>
      </w:pPr>
      <w:r>
        <w:t>***</w:t>
      </w:r>
    </w:p>
    <w:p w14:paraId="7FD7E6CC" w14:textId="77777777" w:rsidR="00D035D9" w:rsidRDefault="00D035D9" w:rsidP="00D035D9">
      <w:pPr>
        <w:pStyle w:val="NoSpacing"/>
        <w:ind w:left="720"/>
        <w:rPr>
          <w:bCs/>
        </w:rPr>
      </w:pPr>
      <w:r w:rsidRPr="00711A48">
        <w:t>In response to his termination, Musser filed a complaint against the Town alleging breach of the Contract because he</w:t>
      </w:r>
      <w:r>
        <w:t xml:space="preserve"> </w:t>
      </w:r>
      <w:r w:rsidRPr="00711A48">
        <w:t xml:space="preserve">was terminated </w:t>
      </w:r>
      <w:r>
        <w:t>‘</w:t>
      </w:r>
      <w:r w:rsidRPr="00711A48">
        <w:t>without notice</w:t>
      </w:r>
      <w:r>
        <w:t>’</w:t>
      </w:r>
      <w:r w:rsidRPr="00711A48">
        <w:t xml:space="preserve"> and was not given the severance he was entitled to under the Contract. The Contract described</w:t>
      </w:r>
      <w:r>
        <w:t xml:space="preserve"> </w:t>
      </w:r>
      <w:r w:rsidRPr="00711A48">
        <w:t xml:space="preserve">reasonable and sufficient notice as </w:t>
      </w:r>
      <w:r>
        <w:t>‘</w:t>
      </w:r>
      <w:r w:rsidRPr="00711A48">
        <w:t>the greater of four (4) weeks or any minimum notice required by law</w:t>
      </w:r>
      <w:r>
        <w:t xml:space="preserve">’ </w:t>
      </w:r>
      <w:r w:rsidRPr="00711A48">
        <w:t xml:space="preserve"> and provided, </w:t>
      </w:r>
      <w:r>
        <w:t>‘</w:t>
      </w:r>
      <w:r w:rsidRPr="00711A48">
        <w:t>Upon</w:t>
      </w:r>
      <w:r>
        <w:t xml:space="preserve"> </w:t>
      </w:r>
      <w:r w:rsidRPr="00711A48">
        <w:t>any termination, by [Apple Valley], the employee will be entitled to one full year of compensation paid within 14 days of</w:t>
      </w:r>
      <w:r>
        <w:t xml:space="preserve"> </w:t>
      </w:r>
      <w:r w:rsidRPr="00711A48">
        <w:t>termination.</w:t>
      </w:r>
      <w:r>
        <w:t>’</w:t>
      </w:r>
    </w:p>
    <w:p w14:paraId="18BE19DF" w14:textId="77777777" w:rsidR="00D035D9" w:rsidRDefault="00D035D9" w:rsidP="00D035D9">
      <w:pPr>
        <w:pStyle w:val="NoSpacing"/>
        <w:ind w:left="720"/>
        <w:rPr>
          <w:bCs/>
        </w:rPr>
      </w:pPr>
    </w:p>
    <w:p w14:paraId="4FF339EE" w14:textId="77777777" w:rsidR="00D035D9" w:rsidRDefault="00D035D9" w:rsidP="00D035D9">
      <w:pPr>
        <w:pStyle w:val="NoSpacing"/>
        <w:ind w:left="720"/>
        <w:rPr>
          <w:bCs/>
        </w:rPr>
      </w:pPr>
      <w:r>
        <w:t>***</w:t>
      </w:r>
    </w:p>
    <w:p w14:paraId="410248F6" w14:textId="77777777" w:rsidR="00D035D9" w:rsidRDefault="00D035D9" w:rsidP="00D035D9">
      <w:pPr>
        <w:pStyle w:val="NoSpacing"/>
        <w:ind w:left="720"/>
        <w:rPr>
          <w:bCs/>
        </w:rPr>
      </w:pPr>
    </w:p>
    <w:p w14:paraId="0FB5D59E" w14:textId="77777777" w:rsidR="00D035D9" w:rsidRDefault="00D035D9" w:rsidP="00D035D9">
      <w:pPr>
        <w:pStyle w:val="NoSpacing"/>
        <w:ind w:left="720"/>
        <w:rPr>
          <w:bCs/>
        </w:rPr>
      </w:pPr>
      <w:r w:rsidRPr="0049467E">
        <w:t>The district court concluded that the Contract was null and void as an ultra vires act because Musser was hired without</w:t>
      </w:r>
      <w:r>
        <w:t xml:space="preserve"> </w:t>
      </w:r>
      <w:r w:rsidRPr="0049467E">
        <w:t>the advice and consent of the Council. Specifically, the district court concluded that the council-mayor form of government</w:t>
      </w:r>
      <w:r>
        <w:t xml:space="preserve"> ‘</w:t>
      </w:r>
      <w:r w:rsidRPr="0049467E">
        <w:t>allowed [Musser] to be hired as the head of [Apple Valley's] police and fire departments only with the advice and consent</w:t>
      </w:r>
      <w:r>
        <w:t xml:space="preserve"> </w:t>
      </w:r>
      <w:r w:rsidRPr="0049467E">
        <w:t>of the ... Council</w:t>
      </w:r>
      <w:r>
        <w:t xml:space="preserve">’ </w:t>
      </w:r>
      <w:r w:rsidRPr="0049467E">
        <w:t xml:space="preserve">pursuant to Utah law. Because the Contract was </w:t>
      </w:r>
      <w:r>
        <w:t>‘</w:t>
      </w:r>
      <w:r w:rsidRPr="0049467E">
        <w:t>executed in violation of ... statute,</w:t>
      </w:r>
      <w:r>
        <w:t>’</w:t>
      </w:r>
      <w:r w:rsidRPr="0049467E">
        <w:t xml:space="preserve"> it was </w:t>
      </w:r>
      <w:r>
        <w:t>‘</w:t>
      </w:r>
      <w:r w:rsidRPr="0049467E">
        <w:t>null and void</w:t>
      </w:r>
      <w:r>
        <w:t xml:space="preserve"> </w:t>
      </w:r>
      <w:r w:rsidRPr="0049467E">
        <w:t>as an ultra vires act.</w:t>
      </w:r>
      <w:r>
        <w:t>’</w:t>
      </w:r>
    </w:p>
    <w:p w14:paraId="4DD0D67B" w14:textId="77777777" w:rsidR="00D035D9" w:rsidRDefault="00D035D9" w:rsidP="00D035D9">
      <w:pPr>
        <w:pStyle w:val="NoSpacing"/>
        <w:ind w:left="720"/>
        <w:rPr>
          <w:bCs/>
        </w:rPr>
      </w:pPr>
    </w:p>
    <w:p w14:paraId="5FC0FC7B" w14:textId="77777777" w:rsidR="00D035D9" w:rsidRDefault="00D035D9" w:rsidP="00D035D9">
      <w:pPr>
        <w:pStyle w:val="NoSpacing"/>
        <w:ind w:left="720"/>
        <w:rPr>
          <w:bCs/>
        </w:rPr>
      </w:pPr>
      <w:r w:rsidRPr="0099019A">
        <w:t xml:space="preserve">Musser does not challenge this conclusion by the district court. Rather, he asserts </w:t>
      </w:r>
      <w:proofErr w:type="gramStart"/>
      <w:r w:rsidRPr="0099019A">
        <w:t>a number of</w:t>
      </w:r>
      <w:proofErr w:type="gramEnd"/>
      <w:r w:rsidRPr="0099019A">
        <w:t xml:space="preserve"> arguments as to why the</w:t>
      </w:r>
      <w:r>
        <w:t xml:space="preserve"> </w:t>
      </w:r>
      <w:r w:rsidRPr="0099019A">
        <w:t>Contract is nonetheless enforceable, including that he had no knowledge of the relevant statutes and ordinances and that Apple</w:t>
      </w:r>
      <w:r>
        <w:t xml:space="preserve"> </w:t>
      </w:r>
      <w:r w:rsidRPr="0099019A">
        <w:t>Valley ratified the Contract by acquiescence. We find neither argument persuasive</w:t>
      </w:r>
      <w:r>
        <w:t xml:space="preserve">…. </w:t>
      </w:r>
      <w:r w:rsidRPr="00B50A0A">
        <w:t xml:space="preserve">Thus, the mayor pro </w:t>
      </w:r>
      <w:proofErr w:type="spellStart"/>
      <w:r w:rsidRPr="00B50A0A">
        <w:t>tem's</w:t>
      </w:r>
      <w:proofErr w:type="spellEnd"/>
      <w:r w:rsidRPr="00B50A0A">
        <w:t xml:space="preserve"> apparent authority and Musser's lack of knowledge are irrelevant and cannot overcome</w:t>
      </w:r>
      <w:r>
        <w:t xml:space="preserve"> </w:t>
      </w:r>
      <w:r w:rsidRPr="00B50A0A">
        <w:t>the fact that the Contract was never approved by Apple Valley</w:t>
      </w:r>
      <w:r>
        <w:t xml:space="preserve">…. </w:t>
      </w:r>
      <w:r w:rsidRPr="00100751">
        <w:t>The district court did not err in concluding that the Contract was invalid, because the Council never gave its advice and</w:t>
      </w:r>
      <w:r>
        <w:t xml:space="preserve"> </w:t>
      </w:r>
      <w:r w:rsidRPr="00100751">
        <w:t>consent as required by statute. Musser's arguments to the contrary are unavailing. Accordingly, we affirm the district court's</w:t>
      </w:r>
      <w:r>
        <w:t xml:space="preserve"> </w:t>
      </w:r>
      <w:r w:rsidRPr="00100751">
        <w:t>grant of summary judgment in favor of the Town</w:t>
      </w:r>
      <w:r>
        <w:t>.”</w:t>
      </w:r>
    </w:p>
    <w:p w14:paraId="09A2E5AF" w14:textId="77777777" w:rsidR="00D035D9" w:rsidRDefault="00D035D9" w:rsidP="00D035D9">
      <w:pPr>
        <w:pStyle w:val="NoSpacing"/>
        <w:ind w:left="720"/>
        <w:rPr>
          <w:bCs/>
        </w:rPr>
      </w:pPr>
    </w:p>
    <w:p w14:paraId="49522CBC" w14:textId="77777777" w:rsidR="00D035D9" w:rsidRDefault="00D035D9" w:rsidP="00D035D9">
      <w:pPr>
        <w:pStyle w:val="NoSpacing"/>
        <w:rPr>
          <w:b/>
        </w:rPr>
      </w:pPr>
      <w:r>
        <w:rPr>
          <w:b/>
        </w:rPr>
        <w:t>Legal lesson learned: Before accepting new position as Fire Chief, you need to first meet with the incoming Mayor and Council members before signing the contract.</w:t>
      </w:r>
    </w:p>
    <w:p w14:paraId="708B110B" w14:textId="77777777" w:rsidR="00D035D9" w:rsidRDefault="00D035D9" w:rsidP="00D035D9">
      <w:pPr>
        <w:pStyle w:val="NoSpacing"/>
        <w:rPr>
          <w:b/>
        </w:rPr>
      </w:pPr>
    </w:p>
    <w:p w14:paraId="2219D0A7" w14:textId="77777777" w:rsidR="00D035D9" w:rsidRDefault="00D035D9" w:rsidP="00D035D9">
      <w:pPr>
        <w:pStyle w:val="NoSpacing"/>
      </w:pPr>
      <w:r w:rsidRPr="0056174D">
        <w:t xml:space="preserve">Note:  </w:t>
      </w:r>
      <w:r>
        <w:t xml:space="preserve">Read the plaintiff’s lawsuit; he apparently had been in discussions with Mayor Dale Beddo since August 2021 and took the necessary courses to be certified as a firefighter and police officer.  </w:t>
      </w:r>
      <w:hyperlink r:id="rId40" w:history="1">
        <w:r w:rsidRPr="00811005">
          <w:rPr>
            <w:rStyle w:val="Hyperlink"/>
          </w:rPr>
          <w:t>https://www.facebook.com/groups/336997465025309/posts/424479052943816/</w:t>
        </w:r>
      </w:hyperlink>
    </w:p>
    <w:p w14:paraId="536661AC" w14:textId="77777777" w:rsidR="00D035D9" w:rsidRDefault="00D035D9" w:rsidP="00D035D9">
      <w:pPr>
        <w:pStyle w:val="NoSpacing"/>
      </w:pPr>
    </w:p>
    <w:p w14:paraId="131854FD" w14:textId="77777777" w:rsidR="00473C4B" w:rsidRDefault="00D035D9" w:rsidP="00037CB8">
      <w:pPr>
        <w:pStyle w:val="NoSpacing"/>
        <w:rPr>
          <w:rFonts w:ascii="Arial Black" w:hAnsi="Arial Black"/>
          <w:sz w:val="24"/>
          <w:szCs w:val="24"/>
        </w:rPr>
      </w:pPr>
      <w:r>
        <w:rPr>
          <w:rFonts w:ascii="Arial Black" w:hAnsi="Arial Black"/>
          <w:sz w:val="24"/>
          <w:szCs w:val="24"/>
        </w:rPr>
        <w:t xml:space="preserve"> </w:t>
      </w:r>
    </w:p>
    <w:p w14:paraId="22ADC4D3" w14:textId="4DC2845E" w:rsidR="00473C4B" w:rsidRDefault="00473C4B" w:rsidP="00037CB8">
      <w:pPr>
        <w:pStyle w:val="NoSpacing"/>
        <w:rPr>
          <w:rFonts w:ascii="Arial Black" w:hAnsi="Arial Black"/>
          <w:sz w:val="24"/>
          <w:szCs w:val="24"/>
        </w:rPr>
      </w:pPr>
      <w:r>
        <w:rPr>
          <w:rFonts w:ascii="Arial Black" w:hAnsi="Arial Black"/>
          <w:sz w:val="24"/>
          <w:szCs w:val="24"/>
        </w:rPr>
        <w:t>1-</w:t>
      </w:r>
      <w:r w:rsidR="00A44AF2">
        <w:rPr>
          <w:rFonts w:ascii="Arial Black" w:hAnsi="Arial Black"/>
          <w:sz w:val="24"/>
          <w:szCs w:val="24"/>
        </w:rPr>
        <w:t>199</w:t>
      </w:r>
    </w:p>
    <w:p w14:paraId="5A848819" w14:textId="77777777" w:rsidR="00473C4B" w:rsidRDefault="00473C4B" w:rsidP="00473C4B">
      <w:pPr>
        <w:pStyle w:val="NoSpacing"/>
        <w:rPr>
          <w:rFonts w:ascii="Arial Black" w:hAnsi="Arial Black"/>
          <w:sz w:val="28"/>
          <w:szCs w:val="28"/>
        </w:rPr>
      </w:pPr>
      <w:r>
        <w:rPr>
          <w:rFonts w:ascii="Arial Black" w:hAnsi="Arial Black"/>
          <w:sz w:val="28"/>
          <w:szCs w:val="28"/>
        </w:rPr>
        <w:t>KY: FF RESIDENCY – FDs CAN REQUIRE – NEED NEW LAW</w:t>
      </w:r>
    </w:p>
    <w:p w14:paraId="2965FF20" w14:textId="77777777" w:rsidR="00473C4B" w:rsidRDefault="00473C4B" w:rsidP="00473C4B">
      <w:pPr>
        <w:pStyle w:val="NoSpacing"/>
        <w:rPr>
          <w:bCs/>
        </w:rPr>
      </w:pPr>
    </w:p>
    <w:p w14:paraId="48F93283" w14:textId="34E20D58" w:rsidR="00473C4B" w:rsidRDefault="00473C4B" w:rsidP="00473C4B">
      <w:pPr>
        <w:pStyle w:val="NoSpacing"/>
        <w:rPr>
          <w:bCs/>
        </w:rPr>
      </w:pPr>
      <w:r>
        <w:t xml:space="preserve">On December 18, 2025, in </w:t>
      </w:r>
      <w:r w:rsidRPr="001A4912">
        <w:rPr>
          <w:u w:val="single"/>
        </w:rPr>
        <w:t>Nathan Torain, et al. v. City of Paducah</w:t>
      </w:r>
      <w:r>
        <w:t xml:space="preserve">, the Kentuck Supreme Court held (6 to 1) that the City of Paducah, which has no ambulances and relies on private ambulance service to transport patients, may impose a residency requirement that firefighters to live within McCracken County (their ordinance has exception – can reside outside County if live within 45 minute response time of Station 4).  The state legislature was concerned about recruitment, particularly in rural areas has enacted a statute with following prohibition on residency. </w:t>
      </w:r>
      <w:r w:rsidRPr="00FF28DE">
        <w:t>KRS 311A.027(1) states “No public agency, tax district, or other publicly</w:t>
      </w:r>
      <w:r>
        <w:t xml:space="preserve"> </w:t>
      </w:r>
      <w:r w:rsidRPr="00FF28DE">
        <w:t>funded emergency medical service first response provider or licensed</w:t>
      </w:r>
      <w:r>
        <w:t xml:space="preserve"> </w:t>
      </w:r>
      <w:r w:rsidRPr="00FF28DE">
        <w:t>ambulance service shall have a residence requirement for an employee of or</w:t>
      </w:r>
      <w:r>
        <w:t xml:space="preserve"> </w:t>
      </w:r>
      <w:r w:rsidRPr="00FF28DE">
        <w:t>volunteer for the organization.”</w:t>
      </w:r>
      <w:r>
        <w:t xml:space="preserve">  The Kentucky Supreme Court majority decision recognizes that many fire departments do have ambulances and suggests that Kentucky legislature clarify whether “fire &amp; EMS” departments can impose a residency requirement.  The one Dissenting Justice would extend the residency statute to Paducah, which has </w:t>
      </w:r>
      <w:r w:rsidRPr="00A3098D">
        <w:t>five (5) fire stations</w:t>
      </w:r>
      <w:r>
        <w:t xml:space="preserve">, and </w:t>
      </w:r>
      <w:r w:rsidRPr="00A3098D">
        <w:t>one (1) private ambulance</w:t>
      </w:r>
      <w:r>
        <w:t xml:space="preserve"> </w:t>
      </w:r>
      <w:r w:rsidRPr="00A3098D">
        <w:t>station</w:t>
      </w:r>
      <w:r>
        <w:t xml:space="preserve">, and all firefighters must be EMTs. </w:t>
      </w:r>
      <w:r w:rsidR="00F84DC5">
        <w:t xml:space="preserve"> </w:t>
      </w:r>
      <w:hyperlink r:id="rId41" w:history="1">
        <w:r w:rsidR="00F84DC5" w:rsidRPr="00D0038D">
          <w:rPr>
            <w:rStyle w:val="Hyperlink"/>
          </w:rPr>
          <w:t>https://law.justia.com/cases/kentucky/supreme-court/2025/2023-sc-0395-dg.html</w:t>
        </w:r>
      </w:hyperlink>
      <w:r w:rsidR="00F84DC5">
        <w:t xml:space="preserve"> </w:t>
      </w:r>
    </w:p>
    <w:p w14:paraId="1B1394CC" w14:textId="77777777" w:rsidR="00473C4B" w:rsidRDefault="00473C4B" w:rsidP="00473C4B">
      <w:pPr>
        <w:pStyle w:val="NoSpacing"/>
        <w:rPr>
          <w:bCs/>
        </w:rPr>
      </w:pPr>
    </w:p>
    <w:p w14:paraId="59401B58" w14:textId="77777777" w:rsidR="00473C4B" w:rsidRDefault="00473C4B" w:rsidP="00473C4B">
      <w:pPr>
        <w:pStyle w:val="NoSpacing"/>
      </w:pPr>
      <w:r>
        <w:t>THE COURT HELD:</w:t>
      </w:r>
    </w:p>
    <w:p w14:paraId="0B65D284" w14:textId="77777777" w:rsidR="00473C4B" w:rsidRDefault="00473C4B" w:rsidP="00473C4B">
      <w:pPr>
        <w:pStyle w:val="NoSpacing"/>
      </w:pPr>
    </w:p>
    <w:p w14:paraId="5C49D9BC" w14:textId="77777777" w:rsidR="00473C4B" w:rsidRDefault="00473C4B" w:rsidP="00473C4B">
      <w:pPr>
        <w:pStyle w:val="NoSpacing"/>
        <w:ind w:left="720"/>
      </w:pPr>
      <w:r>
        <w:t xml:space="preserve">“Paducah’s Ordinance § 2-304 states, ‘All members of the fire department hired after October 1, 1998, shall reside within McCracken County or within forty-five minutes of Station 4 as measured by a recognized mapping program . . . as a condition of their continued employment with the fire department of the city.’ </w:t>
      </w:r>
    </w:p>
    <w:p w14:paraId="1832DB97" w14:textId="77777777" w:rsidR="00473C4B" w:rsidRDefault="00473C4B" w:rsidP="00473C4B">
      <w:pPr>
        <w:pStyle w:val="NoSpacing"/>
      </w:pPr>
    </w:p>
    <w:p w14:paraId="721EDE9C" w14:textId="77777777" w:rsidR="00473C4B" w:rsidRDefault="00473C4B" w:rsidP="00473C4B">
      <w:pPr>
        <w:pStyle w:val="NoSpacing"/>
        <w:ind w:firstLine="720"/>
      </w:pPr>
      <w:r>
        <w:t>***</w:t>
      </w:r>
    </w:p>
    <w:p w14:paraId="254EEDB3" w14:textId="77777777" w:rsidR="00473C4B" w:rsidRDefault="00473C4B" w:rsidP="00473C4B">
      <w:pPr>
        <w:pStyle w:val="NoSpacing"/>
      </w:pPr>
    </w:p>
    <w:p w14:paraId="6001BC93" w14:textId="77777777" w:rsidR="00473C4B" w:rsidRDefault="00473C4B" w:rsidP="00473C4B">
      <w:pPr>
        <w:pStyle w:val="NoSpacing"/>
        <w:ind w:firstLine="720"/>
      </w:pPr>
      <w:r>
        <w:t>The trial court found,</w:t>
      </w:r>
    </w:p>
    <w:p w14:paraId="3DAC375B" w14:textId="77777777" w:rsidR="00473C4B" w:rsidRDefault="00473C4B" w:rsidP="00473C4B">
      <w:pPr>
        <w:pStyle w:val="NoSpacing"/>
      </w:pPr>
    </w:p>
    <w:p w14:paraId="12D483BD" w14:textId="77777777" w:rsidR="00473C4B" w:rsidRDefault="00473C4B" w:rsidP="00473C4B">
      <w:pPr>
        <w:pStyle w:val="NoSpacing"/>
        <w:ind w:left="1440"/>
      </w:pPr>
      <w:r>
        <w:t xml:space="preserve">‘If Paducah firefighters were emergency medical service first responders only, or even if their primary duty were medical service first response providers, Torian’s argument may have merit. However, firefighters are firefighters first and emergency medical responders second. KRS 311A.027 was not intended to apply to firefighters. Firefighters’ duties are governed by KRS Chapter 95 </w:t>
      </w:r>
      <w:proofErr w:type="gramStart"/>
      <w:r>
        <w:t>which was</w:t>
      </w:r>
      <w:proofErr w:type="gramEnd"/>
      <w:r>
        <w:t xml:space="preserve"> does not preclude ordinances establishing residence requirements for firefighters. If the legislature had intended for this section to apply to </w:t>
      </w:r>
      <w:proofErr w:type="gramStart"/>
      <w:r>
        <w:t>firefighters</w:t>
      </w:r>
      <w:proofErr w:type="gramEnd"/>
      <w:r>
        <w:t xml:space="preserve"> it would have used the term ‘firefighter’ in the body of the subsection and would not have</w:t>
      </w:r>
    </w:p>
    <w:p w14:paraId="7DCEAFCA" w14:textId="77777777" w:rsidR="00473C4B" w:rsidRDefault="00473C4B" w:rsidP="00473C4B">
      <w:pPr>
        <w:pStyle w:val="NoSpacing"/>
        <w:ind w:left="1440"/>
      </w:pPr>
      <w:r>
        <w:t>placed the statute in a chapter dealing exclusively with emergency medical services.’</w:t>
      </w:r>
    </w:p>
    <w:p w14:paraId="7D3AD92E" w14:textId="77777777" w:rsidR="00473C4B" w:rsidRDefault="00473C4B" w:rsidP="00473C4B">
      <w:pPr>
        <w:ind w:firstLine="720"/>
        <w:rPr>
          <w:bCs/>
        </w:rPr>
      </w:pPr>
      <w:r>
        <w:t>***</w:t>
      </w:r>
    </w:p>
    <w:p w14:paraId="55AAC334" w14:textId="77777777" w:rsidR="00473C4B" w:rsidRPr="00610A05" w:rsidRDefault="00473C4B" w:rsidP="00473C4B">
      <w:pPr>
        <w:pStyle w:val="NoSpacing"/>
        <w:ind w:left="720"/>
        <w:rPr>
          <w:bCs/>
        </w:rPr>
      </w:pPr>
      <w:r w:rsidRPr="00610A05">
        <w:t>At first blush, this term would seem to</w:t>
      </w:r>
      <w:r>
        <w:t xml:space="preserve"> </w:t>
      </w:r>
      <w:r w:rsidRPr="00610A05">
        <w:t>encompass fire departments since they respond to emergencies; are first</w:t>
      </w:r>
      <w:r>
        <w:t xml:space="preserve"> </w:t>
      </w:r>
      <w:r w:rsidRPr="00610A05">
        <w:t>responders; and firefighters do, or at least are trained to, provide medical</w:t>
      </w:r>
      <w:r>
        <w:t xml:space="preserve"> </w:t>
      </w:r>
      <w:r w:rsidRPr="00610A05">
        <w:t>service when called. Reference to the regulations, however, demonstrates that</w:t>
      </w:r>
    </w:p>
    <w:p w14:paraId="130F87B9" w14:textId="77777777" w:rsidR="00473C4B" w:rsidRDefault="00473C4B" w:rsidP="00473C4B">
      <w:pPr>
        <w:pStyle w:val="NoSpacing"/>
        <w:ind w:left="720"/>
        <w:rPr>
          <w:bCs/>
        </w:rPr>
      </w:pPr>
      <w:proofErr w:type="gramStart"/>
      <w:r w:rsidRPr="00610A05">
        <w:t>emergency</w:t>
      </w:r>
      <w:proofErr w:type="gramEnd"/>
      <w:r w:rsidRPr="00610A05">
        <w:t xml:space="preserve"> medical first response services are exclusively understood in the</w:t>
      </w:r>
      <w:r>
        <w:t xml:space="preserve"> </w:t>
      </w:r>
      <w:r w:rsidRPr="00610A05">
        <w:t>context of ambulance services. Since Paducah Fire Department does not</w:t>
      </w:r>
      <w:r>
        <w:t xml:space="preserve"> </w:t>
      </w:r>
      <w:r w:rsidRPr="00610A05">
        <w:t>provide ambulance services it is not covered by KRS 311A.027(1)</w:t>
      </w:r>
      <w:r>
        <w:t>.</w:t>
      </w:r>
    </w:p>
    <w:p w14:paraId="55D671EA" w14:textId="77777777" w:rsidR="00473C4B" w:rsidRDefault="00473C4B" w:rsidP="00473C4B">
      <w:pPr>
        <w:pStyle w:val="NoSpacing"/>
        <w:ind w:left="720"/>
        <w:rPr>
          <w:bCs/>
        </w:rPr>
      </w:pPr>
    </w:p>
    <w:p w14:paraId="1EDCF035" w14:textId="77777777" w:rsidR="00473C4B" w:rsidRDefault="00473C4B" w:rsidP="00473C4B">
      <w:pPr>
        <w:pStyle w:val="NoSpacing"/>
        <w:ind w:left="720"/>
        <w:rPr>
          <w:bCs/>
        </w:rPr>
      </w:pPr>
      <w:r>
        <w:t>***</w:t>
      </w:r>
    </w:p>
    <w:p w14:paraId="1CF7DEB3" w14:textId="77777777" w:rsidR="00473C4B" w:rsidRDefault="00473C4B" w:rsidP="00473C4B">
      <w:pPr>
        <w:pStyle w:val="NoSpacing"/>
        <w:ind w:left="720"/>
        <w:rPr>
          <w:bCs/>
        </w:rPr>
      </w:pPr>
      <w:r w:rsidRPr="003F0DC2">
        <w:t xml:space="preserve">The Paducah Fire Department does not maintain an </w:t>
      </w:r>
      <w:proofErr w:type="gramStart"/>
      <w:r w:rsidRPr="003F0DC2">
        <w:t>ambulance</w:t>
      </w:r>
      <w:proofErr w:type="gramEnd"/>
      <w:r w:rsidRPr="003F0DC2">
        <w:t xml:space="preserve"> and it does not</w:t>
      </w:r>
      <w:r>
        <w:t xml:space="preserve">  </w:t>
      </w:r>
      <w:r w:rsidRPr="007F3D51">
        <w:t>provide ambulance services</w:t>
      </w:r>
      <w:r>
        <w:t xml:space="preserve">. </w:t>
      </w:r>
      <w:r w:rsidRPr="007F3D51">
        <w:t xml:space="preserve"> </w:t>
      </w:r>
      <w:r>
        <w:t xml:space="preserve">[Footnote 8.] </w:t>
      </w:r>
      <w:r w:rsidRPr="007F3D51">
        <w:t xml:space="preserve">It is not a </w:t>
      </w:r>
      <w:r>
        <w:t>‘</w:t>
      </w:r>
      <w:r w:rsidRPr="007F3D51">
        <w:t>medical first response agency</w:t>
      </w:r>
      <w:r>
        <w:t xml:space="preserve">’ </w:t>
      </w:r>
      <w:r w:rsidRPr="007F3D51">
        <w:t>under</w:t>
      </w:r>
      <w:r>
        <w:t xml:space="preserve"> </w:t>
      </w:r>
      <w:r w:rsidRPr="007F3D51">
        <w:t xml:space="preserve">the regulations, therefore, we conclude it is not an </w:t>
      </w:r>
      <w:r>
        <w:t>‘</w:t>
      </w:r>
      <w:r w:rsidRPr="007F3D51">
        <w:t>emergency medical first</w:t>
      </w:r>
      <w:r>
        <w:t xml:space="preserve"> </w:t>
      </w:r>
      <w:r w:rsidRPr="007F3D51">
        <w:t>response provider</w:t>
      </w:r>
      <w:r>
        <w:t>’</w:t>
      </w:r>
      <w:r w:rsidRPr="007F3D51">
        <w:t xml:space="preserve"> under KRS 311A.027(1) since the two phrases are</w:t>
      </w:r>
      <w:r>
        <w:t xml:space="preserve"> </w:t>
      </w:r>
      <w:r w:rsidRPr="007F3D51">
        <w:t>functionally equivalent.</w:t>
      </w:r>
    </w:p>
    <w:p w14:paraId="6C272A67" w14:textId="77777777" w:rsidR="00473C4B" w:rsidRDefault="00473C4B" w:rsidP="00473C4B">
      <w:pPr>
        <w:pStyle w:val="NoSpacing"/>
        <w:ind w:left="720"/>
        <w:rPr>
          <w:bCs/>
        </w:rPr>
      </w:pPr>
    </w:p>
    <w:p w14:paraId="3592A628" w14:textId="77777777" w:rsidR="00473C4B" w:rsidRDefault="00473C4B" w:rsidP="00473C4B">
      <w:pPr>
        <w:pStyle w:val="NoSpacing"/>
        <w:ind w:left="1440"/>
        <w:rPr>
          <w:bCs/>
        </w:rPr>
      </w:pPr>
      <w:r>
        <w:t xml:space="preserve">Footnote 8: </w:t>
      </w:r>
      <w:r w:rsidRPr="001E1034">
        <w:t xml:space="preserve">Paducah represented both in briefing </w:t>
      </w:r>
      <w:proofErr w:type="gramStart"/>
      <w:r w:rsidRPr="001E1034">
        <w:t>and at</w:t>
      </w:r>
      <w:proofErr w:type="gramEnd"/>
      <w:r w:rsidRPr="001E1034">
        <w:t xml:space="preserve"> oral argument that Paducah Fire</w:t>
      </w:r>
      <w:r>
        <w:t xml:space="preserve"> </w:t>
      </w:r>
      <w:r w:rsidRPr="001E1034">
        <w:t>Department does not operate an ambulance service. The only ambulance service in</w:t>
      </w:r>
      <w:r>
        <w:t xml:space="preserve"> </w:t>
      </w:r>
      <w:r w:rsidRPr="001E1034">
        <w:t>Paducah is a private company operated by the local hospitals. Torian has not denied</w:t>
      </w:r>
      <w:r>
        <w:t xml:space="preserve"> </w:t>
      </w:r>
      <w:r w:rsidRPr="001E1034">
        <w:t>this assertion nor produced evidence to the contrary.</w:t>
      </w:r>
    </w:p>
    <w:p w14:paraId="55FD265F" w14:textId="77777777" w:rsidR="00473C4B" w:rsidRDefault="00473C4B" w:rsidP="00473C4B">
      <w:pPr>
        <w:pStyle w:val="NoSpacing"/>
        <w:ind w:left="1440"/>
        <w:rPr>
          <w:bCs/>
        </w:rPr>
      </w:pPr>
    </w:p>
    <w:p w14:paraId="6BB5DC2E" w14:textId="77777777" w:rsidR="00473C4B" w:rsidRDefault="00473C4B" w:rsidP="00473C4B">
      <w:pPr>
        <w:pStyle w:val="NoSpacing"/>
        <w:rPr>
          <w:bCs/>
        </w:rPr>
      </w:pPr>
      <w:r>
        <w:tab/>
        <w:t>***</w:t>
      </w:r>
    </w:p>
    <w:p w14:paraId="3ACCD077" w14:textId="77777777" w:rsidR="00473C4B" w:rsidRDefault="00473C4B" w:rsidP="00473C4B">
      <w:pPr>
        <w:pStyle w:val="NoSpacing"/>
        <w:rPr>
          <w:bCs/>
        </w:rPr>
      </w:pPr>
    </w:p>
    <w:p w14:paraId="5E663387" w14:textId="77777777" w:rsidR="00473C4B" w:rsidRDefault="00473C4B" w:rsidP="00473C4B">
      <w:pPr>
        <w:pStyle w:val="NoSpacing"/>
        <w:ind w:left="720"/>
        <w:rPr>
          <w:bCs/>
        </w:rPr>
      </w:pPr>
      <w:r w:rsidRPr="005C67B6">
        <w:t>The amicus brief filed by Kentucky</w:t>
      </w:r>
      <w:r>
        <w:t xml:space="preserve"> </w:t>
      </w:r>
      <w:r w:rsidRPr="005C67B6">
        <w:t>Professional Firefighters Association has also pointed out that several cities</w:t>
      </w:r>
      <w:r>
        <w:t xml:space="preserve"> </w:t>
      </w:r>
      <w:r w:rsidRPr="005C67B6">
        <w:t>and counties maintain departments which combine both fire response and</w:t>
      </w:r>
      <w:r>
        <w:t xml:space="preserve"> </w:t>
      </w:r>
      <w:r w:rsidRPr="005C67B6">
        <w:t>emergency medical services, such Winchester Fire and EMS, and Frankfort Fire</w:t>
      </w:r>
      <w:r>
        <w:t xml:space="preserve"> </w:t>
      </w:r>
      <w:r w:rsidRPr="005C67B6">
        <w:t>and EMS.</w:t>
      </w:r>
      <w:r>
        <w:t xml:space="preserve">  </w:t>
      </w:r>
      <w:r w:rsidRPr="005C67B6">
        <w:t>Presumably it is these kinds of combined service departments that</w:t>
      </w:r>
      <w:r>
        <w:t xml:space="preserve"> </w:t>
      </w:r>
      <w:r w:rsidRPr="005C67B6">
        <w:t xml:space="preserve">the parties were referring to by the term </w:t>
      </w:r>
      <w:r>
        <w:t>‘</w:t>
      </w:r>
      <w:r w:rsidRPr="005C67B6">
        <w:t>fire-based EMS.</w:t>
      </w:r>
      <w:r>
        <w:t>’</w:t>
      </w:r>
      <w:r w:rsidRPr="005C67B6">
        <w:t xml:space="preserve"> Because any</w:t>
      </w:r>
      <w:r>
        <w:t xml:space="preserve"> </w:t>
      </w:r>
      <w:r w:rsidRPr="005C67B6">
        <w:t>department which maintains an ambulance and provides ambulance services</w:t>
      </w:r>
      <w:r>
        <w:t xml:space="preserve"> </w:t>
      </w:r>
      <w:r w:rsidRPr="005C67B6">
        <w:t>is subject to the applicable regulations, they are distinct from those fire</w:t>
      </w:r>
      <w:r>
        <w:t xml:space="preserve"> </w:t>
      </w:r>
      <w:r w:rsidRPr="005C67B6">
        <w:t>departments which do not. We, therefore, do not think affirming the Court of</w:t>
      </w:r>
      <w:r>
        <w:t xml:space="preserve"> </w:t>
      </w:r>
      <w:r w:rsidRPr="00451943">
        <w:t xml:space="preserve">Appeals is quite as broad as </w:t>
      </w:r>
      <w:proofErr w:type="gramStart"/>
      <w:r w:rsidRPr="00451943">
        <w:t>amici</w:t>
      </w:r>
      <w:proofErr w:type="gramEnd"/>
      <w:r w:rsidRPr="00451943">
        <w:t xml:space="preserve"> believes. </w:t>
      </w:r>
    </w:p>
    <w:p w14:paraId="11D3BB21" w14:textId="77777777" w:rsidR="00473C4B" w:rsidRDefault="00473C4B" w:rsidP="00473C4B">
      <w:pPr>
        <w:pStyle w:val="NoSpacing"/>
        <w:ind w:left="720"/>
        <w:rPr>
          <w:bCs/>
        </w:rPr>
      </w:pPr>
    </w:p>
    <w:p w14:paraId="02BEA8D9" w14:textId="77777777" w:rsidR="00473C4B" w:rsidRPr="00451943" w:rsidRDefault="00473C4B" w:rsidP="00473C4B">
      <w:pPr>
        <w:pStyle w:val="NoSpacing"/>
        <w:ind w:left="720"/>
        <w:rPr>
          <w:bCs/>
        </w:rPr>
      </w:pPr>
      <w:r w:rsidRPr="00451943">
        <w:t>In plain terms, this decision does</w:t>
      </w:r>
      <w:r>
        <w:t xml:space="preserve"> </w:t>
      </w:r>
      <w:r w:rsidRPr="00451943">
        <w:t>not answer the question of whether combined service departments that</w:t>
      </w:r>
      <w:r>
        <w:t xml:space="preserve"> </w:t>
      </w:r>
      <w:r w:rsidRPr="00451943">
        <w:t>function as both fire departments and EMS providers are subject to KRS</w:t>
      </w:r>
    </w:p>
    <w:p w14:paraId="676047B9" w14:textId="77777777" w:rsidR="00473C4B" w:rsidRPr="00451943" w:rsidRDefault="00473C4B" w:rsidP="00473C4B">
      <w:pPr>
        <w:pStyle w:val="NoSpacing"/>
        <w:ind w:left="720"/>
        <w:rPr>
          <w:bCs/>
        </w:rPr>
      </w:pPr>
      <w:r w:rsidRPr="00451943">
        <w:t>311A.027(1).</w:t>
      </w:r>
      <w:r>
        <w:t xml:space="preserve"> </w:t>
      </w:r>
      <w:r w:rsidRPr="00451943">
        <w:t>We will not engage in dicta to provide a clue as to how that question</w:t>
      </w:r>
    </w:p>
    <w:p w14:paraId="73AC7B91" w14:textId="77777777" w:rsidR="00473C4B" w:rsidRDefault="00473C4B" w:rsidP="00473C4B">
      <w:pPr>
        <w:pStyle w:val="NoSpacing"/>
        <w:ind w:left="720"/>
        <w:rPr>
          <w:bCs/>
        </w:rPr>
      </w:pPr>
      <w:r w:rsidRPr="00451943">
        <w:t>should be resolved. It exceeds the authority of this Court to fill gaps in the</w:t>
      </w:r>
      <w:r>
        <w:t xml:space="preserve"> </w:t>
      </w:r>
      <w:r w:rsidRPr="00451943">
        <w:t>applicable legislation or regulations.</w:t>
      </w:r>
    </w:p>
    <w:p w14:paraId="3B0D6815" w14:textId="77777777" w:rsidR="00473C4B" w:rsidRDefault="00473C4B" w:rsidP="00473C4B">
      <w:pPr>
        <w:pStyle w:val="NoSpacing"/>
        <w:ind w:left="720"/>
        <w:rPr>
          <w:bCs/>
        </w:rPr>
      </w:pPr>
    </w:p>
    <w:p w14:paraId="0C5EB198" w14:textId="77777777" w:rsidR="00473C4B" w:rsidRDefault="00473C4B" w:rsidP="00473C4B">
      <w:pPr>
        <w:pStyle w:val="NoSpacing"/>
        <w:ind w:left="720"/>
        <w:rPr>
          <w:bCs/>
        </w:rPr>
      </w:pPr>
      <w:r>
        <w:t>***</w:t>
      </w:r>
    </w:p>
    <w:p w14:paraId="27CFBE08" w14:textId="77777777" w:rsidR="00473C4B" w:rsidRPr="00A24BAF" w:rsidRDefault="00473C4B" w:rsidP="00473C4B">
      <w:pPr>
        <w:pStyle w:val="NoSpacing"/>
        <w:ind w:left="720"/>
        <w:rPr>
          <w:bCs/>
        </w:rPr>
      </w:pPr>
      <w:r w:rsidRPr="00A24BAF">
        <w:t xml:space="preserve">Nonetheless, the fact that there exists in </w:t>
      </w:r>
      <w:proofErr w:type="gramStart"/>
      <w:r w:rsidRPr="00A24BAF">
        <w:t>this</w:t>
      </w:r>
      <w:proofErr w:type="gramEnd"/>
      <w:r w:rsidRPr="00A24BAF">
        <w:t xml:space="preserve"> Commonwealth</w:t>
      </w:r>
      <w:r>
        <w:t xml:space="preserve"> </w:t>
      </w:r>
      <w:r w:rsidRPr="00A24BAF">
        <w:t>departments that combine both firefighting and emergency medical services,</w:t>
      </w:r>
      <w:r>
        <w:t xml:space="preserve"> </w:t>
      </w:r>
      <w:r w:rsidRPr="00A24BAF">
        <w:t>yet such combined departments are undefined in statutory or regulatory law,</w:t>
      </w:r>
      <w:r>
        <w:t xml:space="preserve"> </w:t>
      </w:r>
      <w:r w:rsidRPr="00A24BAF">
        <w:t>leaves them in a precarious state. We call upon the General Assembly to bring</w:t>
      </w:r>
      <w:r>
        <w:t xml:space="preserve"> </w:t>
      </w:r>
      <w:r w:rsidRPr="00A24BAF">
        <w:t xml:space="preserve">clarity to this situation; if not for the sake of </w:t>
      </w:r>
      <w:proofErr w:type="gramStart"/>
      <w:r w:rsidRPr="00A24BAF">
        <w:t>the judiciary</w:t>
      </w:r>
      <w:proofErr w:type="gramEnd"/>
      <w:r w:rsidRPr="00A24BAF">
        <w:t>, then at least for the</w:t>
      </w:r>
      <w:r>
        <w:t xml:space="preserve"> </w:t>
      </w:r>
      <w:r w:rsidRPr="00A24BAF">
        <w:t>sake of the thousands of fire fighters in the Commonwealth who serve our</w:t>
      </w:r>
      <w:r>
        <w:t xml:space="preserve"> </w:t>
      </w:r>
      <w:r w:rsidRPr="00A24BAF">
        <w:t>communities. These men and women richly deserve, at the very least, to know</w:t>
      </w:r>
    </w:p>
    <w:p w14:paraId="67B9FA04" w14:textId="77777777" w:rsidR="00473C4B" w:rsidRDefault="00473C4B" w:rsidP="00473C4B">
      <w:pPr>
        <w:pStyle w:val="NoSpacing"/>
        <w:ind w:left="720"/>
        <w:rPr>
          <w:bCs/>
        </w:rPr>
      </w:pPr>
      <w:r w:rsidRPr="00A24BAF">
        <w:t>with certainty which statutes govern them. The General Assembly is quite</w:t>
      </w:r>
      <w:r>
        <w:t xml:space="preserve"> </w:t>
      </w:r>
      <w:r w:rsidRPr="00A24BAF">
        <w:t>capable of providing that certainty.</w:t>
      </w:r>
      <w:r>
        <w:t>”</w:t>
      </w:r>
    </w:p>
    <w:p w14:paraId="64B965BC" w14:textId="77777777" w:rsidR="00473C4B" w:rsidRDefault="00473C4B" w:rsidP="00473C4B">
      <w:pPr>
        <w:pStyle w:val="NoSpacing"/>
        <w:ind w:left="720"/>
        <w:rPr>
          <w:bCs/>
        </w:rPr>
      </w:pPr>
    </w:p>
    <w:p w14:paraId="3780C7EC" w14:textId="77777777" w:rsidR="00473C4B" w:rsidRDefault="00473C4B" w:rsidP="00473C4B">
      <w:pPr>
        <w:pStyle w:val="NoSpacing"/>
        <w:rPr>
          <w:bCs/>
        </w:rPr>
      </w:pPr>
      <w:r>
        <w:t xml:space="preserve">DISSENT – Justice </w:t>
      </w:r>
      <w:r w:rsidRPr="00DD15C7">
        <w:t>Michelle M. Keller</w:t>
      </w:r>
      <w:r>
        <w:t xml:space="preserve"> </w:t>
      </w:r>
    </w:p>
    <w:p w14:paraId="62826E6A" w14:textId="77777777" w:rsidR="00473C4B" w:rsidRDefault="00473C4B" w:rsidP="00473C4B">
      <w:pPr>
        <w:pStyle w:val="NoSpacing"/>
        <w:rPr>
          <w:bCs/>
        </w:rPr>
      </w:pPr>
    </w:p>
    <w:p w14:paraId="40D2D5DD" w14:textId="77777777" w:rsidR="00473C4B" w:rsidRDefault="00473C4B" w:rsidP="00473C4B">
      <w:pPr>
        <w:pStyle w:val="NoSpacing"/>
        <w:ind w:left="720"/>
        <w:rPr>
          <w:bCs/>
        </w:rPr>
      </w:pPr>
      <w:r>
        <w:t>“</w:t>
      </w:r>
      <w:r w:rsidRPr="00A3098D">
        <w:t>There are five (5) fire stations versus one (1) private ambulance</w:t>
      </w:r>
      <w:r>
        <w:t xml:space="preserve"> </w:t>
      </w:r>
      <w:r w:rsidRPr="00A3098D">
        <w:t>station in Paducah. When a citizen of Paducah calls 911 for a non-fire related</w:t>
      </w:r>
      <w:r>
        <w:t xml:space="preserve"> </w:t>
      </w:r>
      <w:r w:rsidRPr="00A3098D">
        <w:t>medical emergency, a firefighter responds and arrives, often before the private</w:t>
      </w:r>
      <w:r>
        <w:t xml:space="preserve"> </w:t>
      </w:r>
      <w:r w:rsidRPr="00A3098D">
        <w:t>ambulance service. The firefighters administer medical aid, as they are trained</w:t>
      </w:r>
      <w:r>
        <w:t xml:space="preserve"> </w:t>
      </w:r>
      <w:r w:rsidRPr="00A3098D">
        <w:t>to do. In essence, this makes them emergency medical service first response</w:t>
      </w:r>
      <w:r>
        <w:t xml:space="preserve"> </w:t>
      </w:r>
      <w:r w:rsidRPr="00A3098D">
        <w:t>providers</w:t>
      </w:r>
      <w:r>
        <w:t xml:space="preserve">…. </w:t>
      </w:r>
      <w:r w:rsidRPr="007A3DA1">
        <w:t>By both ordinance and</w:t>
      </w:r>
      <w:r>
        <w:t xml:space="preserve"> </w:t>
      </w:r>
      <w:r w:rsidRPr="007A3DA1">
        <w:t>function, Paducah’s fire department is a publicly funded emergency medical</w:t>
      </w:r>
      <w:r>
        <w:t xml:space="preserve"> </w:t>
      </w:r>
      <w:r w:rsidRPr="007A3DA1">
        <w:t>service first-response provider, its members trained, certified, and dispatched</w:t>
      </w:r>
      <w:r>
        <w:t xml:space="preserve"> </w:t>
      </w:r>
      <w:r w:rsidRPr="007A3DA1">
        <w:t>as initial medical responders.</w:t>
      </w:r>
    </w:p>
    <w:p w14:paraId="736354B3" w14:textId="77777777" w:rsidR="00473C4B" w:rsidRDefault="00473C4B" w:rsidP="00473C4B">
      <w:pPr>
        <w:pStyle w:val="NoSpacing"/>
        <w:ind w:left="720"/>
        <w:rPr>
          <w:bCs/>
        </w:rPr>
      </w:pPr>
    </w:p>
    <w:p w14:paraId="44B559ED" w14:textId="77777777" w:rsidR="00473C4B" w:rsidRDefault="00473C4B" w:rsidP="00473C4B">
      <w:pPr>
        <w:pStyle w:val="NoSpacing"/>
        <w:ind w:left="720"/>
        <w:rPr>
          <w:bCs/>
        </w:rPr>
      </w:pPr>
      <w:r>
        <w:t>***</w:t>
      </w:r>
    </w:p>
    <w:p w14:paraId="7C47BF85" w14:textId="77777777" w:rsidR="00473C4B" w:rsidRDefault="00473C4B" w:rsidP="00473C4B">
      <w:pPr>
        <w:pStyle w:val="NoSpacing"/>
        <w:ind w:left="720"/>
        <w:rPr>
          <w:bCs/>
        </w:rPr>
      </w:pPr>
      <w:r w:rsidRPr="00E04227">
        <w:t>Paducah cannot have it both ways. Paducah mandates that its</w:t>
      </w:r>
      <w:r>
        <w:t xml:space="preserve"> </w:t>
      </w:r>
      <w:r w:rsidRPr="00E04227">
        <w:t>firefighters maintain KBEMS medical responder certification precisely because</w:t>
      </w:r>
      <w:r>
        <w:t xml:space="preserve"> </w:t>
      </w:r>
      <w:r w:rsidRPr="00E04227">
        <w:t>they are the first to arrive at medical 911 scenes. This operational reality</w:t>
      </w:r>
      <w:r>
        <w:t xml:space="preserve"> </w:t>
      </w:r>
      <w:r w:rsidRPr="00E04227">
        <w:t>places the department squarely within the statute’s definition. It calls them</w:t>
      </w:r>
      <w:r>
        <w:t xml:space="preserve"> ‘</w:t>
      </w:r>
      <w:r w:rsidRPr="00E04227">
        <w:t>first responders</w:t>
      </w:r>
      <w:r>
        <w:t>’</w:t>
      </w:r>
      <w:r w:rsidRPr="00E04227">
        <w:t xml:space="preserve"> for training, insurance, and dispatch purposes, yet denies</w:t>
      </w:r>
      <w:r>
        <w:t xml:space="preserve"> </w:t>
      </w:r>
      <w:r w:rsidRPr="00E04227">
        <w:t>them that same status when the legislature extends statutory protection.</w:t>
      </w:r>
      <w:r>
        <w:t>”</w:t>
      </w:r>
    </w:p>
    <w:p w14:paraId="678B5D21" w14:textId="77777777" w:rsidR="00473C4B" w:rsidRDefault="00473C4B" w:rsidP="00473C4B">
      <w:pPr>
        <w:pStyle w:val="NoSpacing"/>
        <w:ind w:left="720"/>
        <w:rPr>
          <w:bCs/>
        </w:rPr>
      </w:pPr>
    </w:p>
    <w:p w14:paraId="6880B917" w14:textId="77777777" w:rsidR="00473C4B" w:rsidRPr="008E1096" w:rsidRDefault="00473C4B" w:rsidP="00473C4B">
      <w:pPr>
        <w:pStyle w:val="NoSpacing"/>
        <w:rPr>
          <w:b/>
        </w:rPr>
      </w:pPr>
      <w:r>
        <w:rPr>
          <w:b/>
        </w:rPr>
        <w:t xml:space="preserve">Legal lesson learned:  This decision will likely lead to further legislation to clarify residency requirements for “fire &amp; EMS” departments.  </w:t>
      </w:r>
    </w:p>
    <w:p w14:paraId="2D499C18" w14:textId="77777777" w:rsidR="00473C4B" w:rsidRDefault="00473C4B" w:rsidP="00473C4B">
      <w:pPr>
        <w:pStyle w:val="NoSpacing"/>
        <w:ind w:left="720"/>
        <w:rPr>
          <w:bCs/>
        </w:rPr>
      </w:pPr>
    </w:p>
    <w:p w14:paraId="7BF61E68" w14:textId="77777777" w:rsidR="00473C4B" w:rsidRPr="00AC06CD" w:rsidRDefault="00473C4B" w:rsidP="00473C4B">
      <w:pPr>
        <w:pStyle w:val="NoSpacing"/>
        <w:ind w:left="720"/>
        <w:rPr>
          <w:bCs/>
        </w:rPr>
      </w:pPr>
      <w:r>
        <w:t>Note: Ohio Revised Code:</w:t>
      </w:r>
      <w:r w:rsidRPr="00AC06CD">
        <w:rPr>
          <w:rFonts w:eastAsia="Times New Roman"/>
          <w:b/>
          <w:kern w:val="36"/>
          <w:sz w:val="48"/>
          <w:szCs w:val="48"/>
        </w:rPr>
        <w:t xml:space="preserve"> </w:t>
      </w:r>
      <w:r w:rsidRPr="00AC06CD">
        <w:t>Section 9.481 | Residency requirements prohibited for certain employees.</w:t>
      </w:r>
      <w:r w:rsidRPr="000E0CFF">
        <w:t xml:space="preserve"> </w:t>
      </w:r>
      <w:hyperlink r:id="rId42" w:history="1">
        <w:r w:rsidRPr="00C950F1">
          <w:rPr>
            <w:rStyle w:val="Hyperlink"/>
          </w:rPr>
          <w:t>https://codes.ohio.gov/ohio-revised-code/section-9.481</w:t>
        </w:r>
      </w:hyperlink>
      <w:r>
        <w:t xml:space="preserve"> </w:t>
      </w:r>
    </w:p>
    <w:p w14:paraId="2BF965E2" w14:textId="77777777" w:rsidR="00473C4B" w:rsidRDefault="00473C4B" w:rsidP="00473C4B">
      <w:pPr>
        <w:pStyle w:val="NoSpacing"/>
        <w:rPr>
          <w:bCs/>
        </w:rPr>
      </w:pPr>
    </w:p>
    <w:p w14:paraId="19C64A5F" w14:textId="77777777" w:rsidR="00473C4B" w:rsidRDefault="00473C4B" w:rsidP="00473C4B">
      <w:pPr>
        <w:pStyle w:val="NoSpacing"/>
        <w:rPr>
          <w:bCs/>
        </w:rPr>
      </w:pPr>
    </w:p>
    <w:p w14:paraId="671FEBFC" w14:textId="77777777" w:rsidR="00473C4B" w:rsidRDefault="00473C4B" w:rsidP="00473C4B">
      <w:pPr>
        <w:pStyle w:val="NoSpacing"/>
        <w:ind w:left="720"/>
      </w:pPr>
      <w:r>
        <w:t>“(2)(</w:t>
      </w:r>
      <w:r w:rsidRPr="009729F6">
        <w:t>b) To ensure adequate response times by certain employees of political subdivisions to emergencies or disasters while ensuring that those employees generally are free to reside throughout the state, the electors of any political subdivision may file an initiative petition to submit a local law to the electorate, or the legislative authority of the political subdivision may adopt an ordinance or resolution, that requires any individual employed by that political subdivision, as a condition of employment, to reside either in the county where the political subdivision is located or in any adjacent county in this state.</w:t>
      </w:r>
      <w:r>
        <w:t>”</w:t>
      </w:r>
    </w:p>
    <w:p w14:paraId="4EAD1BB5" w14:textId="77777777" w:rsidR="00473C4B" w:rsidRDefault="00473C4B" w:rsidP="00473C4B">
      <w:pPr>
        <w:pStyle w:val="NoSpacing"/>
        <w:ind w:left="720"/>
      </w:pPr>
    </w:p>
    <w:p w14:paraId="620CBD94" w14:textId="77777777" w:rsidR="00473C4B" w:rsidRDefault="00473C4B" w:rsidP="00473C4B">
      <w:pPr>
        <w:pStyle w:val="NoSpacing"/>
        <w:ind w:left="720"/>
      </w:pPr>
      <w:r>
        <w:t>***</w:t>
      </w:r>
    </w:p>
    <w:p w14:paraId="1DD1B3E7" w14:textId="77777777" w:rsidR="00473C4B" w:rsidRDefault="00473C4B" w:rsidP="00473C4B">
      <w:pPr>
        <w:pStyle w:val="NoSpacing"/>
        <w:ind w:left="720"/>
      </w:pPr>
    </w:p>
    <w:p w14:paraId="10EF764B" w14:textId="77777777" w:rsidR="00473C4B" w:rsidRDefault="00473C4B" w:rsidP="00473C4B">
      <w:pPr>
        <w:pStyle w:val="NoSpacing"/>
        <w:ind w:left="720"/>
        <w:rPr>
          <w:bCs/>
        </w:rPr>
      </w:pPr>
      <w:r>
        <w:t>Cincinnati Fire Department has following residency requirements. “</w:t>
      </w:r>
      <w:r w:rsidRPr="00D1365F">
        <w:t>All members shall reside within Hamilton County, Ohio, or within any county that is adjacent to Hamilton County, Ohio, or within a 35-mile radius of CFD Headquarters, located at 430 Central Ave., Cincinnati, OH 45202.</w:t>
      </w:r>
      <w:r>
        <w:t xml:space="preserve">”  </w:t>
      </w:r>
      <w:hyperlink r:id="rId43" w:history="1">
        <w:r w:rsidRPr="00C950F1">
          <w:rPr>
            <w:rStyle w:val="Hyperlink"/>
          </w:rPr>
          <w:t>https://www.cincinnati-oh.gov/fire/recruiting/requirements-to-apply/</w:t>
        </w:r>
      </w:hyperlink>
      <w:r>
        <w:t xml:space="preserve"> </w:t>
      </w:r>
    </w:p>
    <w:p w14:paraId="49E7BE83" w14:textId="77777777" w:rsidR="00473C4B" w:rsidRDefault="00473C4B" w:rsidP="00037CB8">
      <w:pPr>
        <w:pStyle w:val="NoSpacing"/>
        <w:rPr>
          <w:rFonts w:ascii="Arial Black" w:hAnsi="Arial Black"/>
          <w:sz w:val="24"/>
          <w:szCs w:val="24"/>
        </w:rPr>
      </w:pPr>
    </w:p>
    <w:p w14:paraId="51B64C6A" w14:textId="77777777" w:rsidR="00473C4B" w:rsidRDefault="00473C4B" w:rsidP="00037CB8">
      <w:pPr>
        <w:pStyle w:val="NoSpacing"/>
        <w:rPr>
          <w:rFonts w:ascii="Arial Black" w:hAnsi="Arial Black"/>
          <w:sz w:val="24"/>
          <w:szCs w:val="24"/>
        </w:rPr>
      </w:pPr>
    </w:p>
    <w:p w14:paraId="2B009C62" w14:textId="77777777" w:rsidR="00473C4B" w:rsidRDefault="00473C4B" w:rsidP="00037CB8">
      <w:pPr>
        <w:pStyle w:val="NoSpacing"/>
        <w:rPr>
          <w:rFonts w:ascii="Arial Black" w:hAnsi="Arial Black"/>
          <w:sz w:val="24"/>
          <w:szCs w:val="24"/>
        </w:rPr>
      </w:pPr>
    </w:p>
    <w:p w14:paraId="4043C759" w14:textId="77777777" w:rsidR="0028642A" w:rsidRDefault="0028642A" w:rsidP="0028642A">
      <w:pPr>
        <w:pStyle w:val="NoSpacing"/>
      </w:pPr>
    </w:p>
    <w:p w14:paraId="433F0386" w14:textId="35D5F065" w:rsidR="00374747" w:rsidRDefault="00374747" w:rsidP="00374747">
      <w:pPr>
        <w:pStyle w:val="NoSpacing"/>
        <w:rPr>
          <w:rFonts w:ascii="Arial Black" w:hAnsi="Arial Black"/>
          <w:sz w:val="24"/>
          <w:szCs w:val="24"/>
        </w:rPr>
      </w:pPr>
      <w:r>
        <w:rPr>
          <w:rFonts w:ascii="Arial Black" w:hAnsi="Arial Black"/>
          <w:sz w:val="24"/>
          <w:szCs w:val="24"/>
        </w:rPr>
        <w:t>1-198</w:t>
      </w:r>
    </w:p>
    <w:p w14:paraId="3F0523E6" w14:textId="77777777" w:rsidR="00374747" w:rsidRDefault="00374747" w:rsidP="0028642A">
      <w:pPr>
        <w:pStyle w:val="NoSpacing"/>
      </w:pPr>
    </w:p>
    <w:p w14:paraId="2C413E24" w14:textId="77777777" w:rsidR="00374747" w:rsidRPr="00C62797" w:rsidRDefault="00374747" w:rsidP="00374747">
      <w:pPr>
        <w:rPr>
          <w:rFonts w:ascii="Arial Black" w:hAnsi="Arial Black"/>
          <w:b/>
          <w:sz w:val="28"/>
          <w:szCs w:val="28"/>
        </w:rPr>
      </w:pPr>
      <w:r>
        <w:rPr>
          <w:rFonts w:ascii="Arial Black" w:hAnsi="Arial Black"/>
          <w:b/>
          <w:sz w:val="28"/>
          <w:szCs w:val="28"/>
        </w:rPr>
        <w:t xml:space="preserve">NJ: OLD TIRES – FIRE HAZARD - COMPANY SHUT DOWN </w:t>
      </w:r>
    </w:p>
    <w:p w14:paraId="5DF9AB24" w14:textId="77777777" w:rsidR="00374747" w:rsidRDefault="00374747" w:rsidP="00374747">
      <w:pPr>
        <w:pStyle w:val="NoSpacing"/>
      </w:pPr>
      <w:r>
        <w:t xml:space="preserve">On December 2, 2025, in </w:t>
      </w:r>
      <w:r w:rsidRPr="003D5FD0">
        <w:rPr>
          <w:u w:val="single"/>
        </w:rPr>
        <w:t>Township of Gloucester v. Harry’s Tires, et al</w:t>
      </w:r>
      <w:r>
        <w:t xml:space="preserve">., the </w:t>
      </w:r>
      <w:r w:rsidRPr="003D5FD0">
        <w:t>Superior Court of New Jersey, Appellate Division</w:t>
      </w:r>
      <w:r>
        <w:t xml:space="preserve"> held (2 to 0) that the trial court properly denied the motion by Harry Lamplugh, owner of Harry’s Tires, to vacate the final judgment rendered 16 months prior and re-start the business.  Since 2017 the Township zoning officer has ordered the tires stored outside his two locations be removed. The Township's acting fire marshal certified that Harry's Tires received numerous notices of violation through June 28, </w:t>
      </w:r>
      <w:proofErr w:type="gramStart"/>
      <w:r>
        <w:t>2021</w:t>
      </w:r>
      <w:proofErr w:type="gramEnd"/>
      <w:r>
        <w:t xml:space="preserve"> and failed to pay a total of $16,558 in unpaid fines. On August 18, </w:t>
      </w:r>
      <w:proofErr w:type="gramStart"/>
      <w:r>
        <w:t>2021</w:t>
      </w:r>
      <w:proofErr w:type="gramEnd"/>
      <w:r>
        <w:t xml:space="preserve"> the Township had the tires removed from his principal place of business - removal costs of $34,043, including waste disposal fees of $17,015 from Magnus Environmental and manpower costs for the Township's employees of $17,028. The township filed a lawsuit on January18, 2022 and the Court on February 28, </w:t>
      </w:r>
      <w:proofErr w:type="gramStart"/>
      <w:r>
        <w:t>2022</w:t>
      </w:r>
      <w:proofErr w:type="gramEnd"/>
      <w:r>
        <w:t xml:space="preserve"> granted the Township a permanent injunction, preventing defendants from operating their tire businesses "at the two locations" and requiring defendants to pay damages of $50,601.  The Township</w:t>
      </w:r>
    </w:p>
    <w:p w14:paraId="4E276988" w14:textId="77777777" w:rsidR="00374747" w:rsidRDefault="00374747" w:rsidP="00374747">
      <w:pPr>
        <w:pStyle w:val="NoSpacing"/>
      </w:pPr>
      <w:r>
        <w:t xml:space="preserve">thereafter remediated defendants' properties for a second time. </w:t>
      </w:r>
      <w:hyperlink r:id="rId44" w:history="1">
        <w:r w:rsidRPr="00E7352C">
          <w:rPr>
            <w:rStyle w:val="Hyperlink"/>
          </w:rPr>
          <w:t>https://cases.justia.com/new-jersey/appellate-division-unpublished/2025-a-1179-23.pdf?ts=1765469961</w:t>
        </w:r>
      </w:hyperlink>
      <w:r>
        <w:t xml:space="preserve"> </w:t>
      </w:r>
    </w:p>
    <w:p w14:paraId="59085DFF" w14:textId="77777777" w:rsidR="00374747" w:rsidRDefault="00374747" w:rsidP="00374747">
      <w:pPr>
        <w:pStyle w:val="NoSpacing"/>
      </w:pPr>
    </w:p>
    <w:p w14:paraId="310AE671" w14:textId="77777777" w:rsidR="00374747" w:rsidRDefault="00374747" w:rsidP="00374747">
      <w:pPr>
        <w:pStyle w:val="NoSpacing"/>
      </w:pPr>
      <w:r>
        <w:t>THE COURT HELD:</w:t>
      </w:r>
    </w:p>
    <w:p w14:paraId="0A37389F" w14:textId="77777777" w:rsidR="00374747" w:rsidRDefault="00374747" w:rsidP="00374747">
      <w:pPr>
        <w:pStyle w:val="NoSpacing"/>
      </w:pPr>
    </w:p>
    <w:p w14:paraId="0383EEC0" w14:textId="77777777" w:rsidR="00374747" w:rsidRDefault="00374747" w:rsidP="00374747">
      <w:pPr>
        <w:pStyle w:val="NoSpacing"/>
        <w:ind w:left="720"/>
      </w:pPr>
      <w:r>
        <w:t xml:space="preserve">“ [Township’s acting fire marshal] certified that in November 2021, ‘the Township Fire Department responded to a fire at defendants' North Black Horse Pike location because a single tire had caught fire and ‘spread to some scrap lumber and a tree branch before it was extinguished.’ The officer attached a police report stating that </w:t>
      </w:r>
      <w:proofErr w:type="gramStart"/>
      <w:r>
        <w:t>‘stacks of several</w:t>
      </w:r>
      <w:proofErr w:type="gramEnd"/>
      <w:r>
        <w:t xml:space="preserve"> hundred new and old </w:t>
      </w:r>
      <w:proofErr w:type="gramStart"/>
      <w:r>
        <w:t>tires’</w:t>
      </w:r>
      <w:proofErr w:type="gramEnd"/>
      <w:r>
        <w:t xml:space="preserve"> enclosed the fire </w:t>
      </w:r>
      <w:proofErr w:type="gramStart"/>
      <w:r>
        <w:t>area, ‘</w:t>
      </w:r>
      <w:proofErr w:type="gramEnd"/>
      <w:r>
        <w:t>making it a difficult area to access.’</w:t>
      </w:r>
    </w:p>
    <w:p w14:paraId="776AFE0F" w14:textId="77777777" w:rsidR="00374747" w:rsidRDefault="00374747" w:rsidP="00374747">
      <w:pPr>
        <w:pStyle w:val="NoSpacing"/>
        <w:ind w:left="720"/>
      </w:pPr>
    </w:p>
    <w:p w14:paraId="5EA17C22" w14:textId="77777777" w:rsidR="00374747" w:rsidRDefault="00374747" w:rsidP="00374747">
      <w:pPr>
        <w:pStyle w:val="NoSpacing"/>
        <w:ind w:left="720"/>
      </w:pPr>
      <w:r>
        <w:t>***</w:t>
      </w:r>
    </w:p>
    <w:p w14:paraId="742419C3" w14:textId="77777777" w:rsidR="00374747" w:rsidRDefault="00374747" w:rsidP="00374747">
      <w:pPr>
        <w:pStyle w:val="NoSpacing"/>
        <w:ind w:firstLine="720"/>
      </w:pPr>
    </w:p>
    <w:p w14:paraId="27FD3FE2" w14:textId="77777777" w:rsidR="00374747" w:rsidRDefault="00374747" w:rsidP="00374747">
      <w:pPr>
        <w:pStyle w:val="NoSpacing"/>
        <w:ind w:firstLine="720"/>
      </w:pPr>
      <w:r>
        <w:t xml:space="preserve">The Township's emergency management coordinator certified </w:t>
      </w:r>
      <w:proofErr w:type="gramStart"/>
      <w:r>
        <w:t>that ‘[</w:t>
      </w:r>
      <w:proofErr w:type="gramEnd"/>
      <w:r>
        <w:t>a]</w:t>
      </w:r>
    </w:p>
    <w:p w14:paraId="39888643" w14:textId="77777777" w:rsidR="00374747" w:rsidRDefault="00374747" w:rsidP="00374747">
      <w:pPr>
        <w:pStyle w:val="NoSpacing"/>
        <w:ind w:firstLine="720"/>
      </w:pPr>
      <w:r>
        <w:t>fire from any of the Harry's Tires sites would pose a major environmental and</w:t>
      </w:r>
    </w:p>
    <w:p w14:paraId="459384EB" w14:textId="77777777" w:rsidR="00374747" w:rsidRDefault="00374747" w:rsidP="00374747">
      <w:pPr>
        <w:pStyle w:val="NoSpacing"/>
        <w:ind w:firstLine="720"/>
      </w:pPr>
      <w:r>
        <w:t>logistical nightmare for emergency responders.’</w:t>
      </w:r>
    </w:p>
    <w:p w14:paraId="475EF746" w14:textId="77777777" w:rsidR="00374747" w:rsidRDefault="00374747" w:rsidP="00374747">
      <w:pPr>
        <w:pStyle w:val="NoSpacing"/>
        <w:ind w:firstLine="720"/>
      </w:pPr>
    </w:p>
    <w:p w14:paraId="21411259" w14:textId="77777777" w:rsidR="00374747" w:rsidRDefault="00374747" w:rsidP="00374747">
      <w:pPr>
        <w:pStyle w:val="NoSpacing"/>
        <w:ind w:firstLine="720"/>
      </w:pPr>
      <w:r>
        <w:t>***</w:t>
      </w:r>
    </w:p>
    <w:p w14:paraId="5869929C" w14:textId="77777777" w:rsidR="00374747" w:rsidRDefault="00374747" w:rsidP="00374747">
      <w:pPr>
        <w:pStyle w:val="NoSpacing"/>
        <w:ind w:left="720"/>
      </w:pPr>
      <w:r>
        <w:t>During argument, the … court noted the final judgment did not preclude defendants from leasing the properties or seeking approval for another use before the appropriate Township board. The second court also found that defendants offered no meritorious</w:t>
      </w:r>
    </w:p>
    <w:p w14:paraId="652A3FF0" w14:textId="77777777" w:rsidR="00374747" w:rsidRDefault="00374747" w:rsidP="00374747">
      <w:pPr>
        <w:pStyle w:val="NoSpacing"/>
        <w:ind w:firstLine="720"/>
      </w:pPr>
      <w:r>
        <w:t>defense to the Township's claims. Defendants never asserted they were ‘in</w:t>
      </w:r>
    </w:p>
    <w:p w14:paraId="20E3CF27" w14:textId="77777777" w:rsidR="00374747" w:rsidRDefault="00374747" w:rsidP="00374747">
      <w:pPr>
        <w:pStyle w:val="NoSpacing"/>
        <w:ind w:firstLine="720"/>
      </w:pPr>
      <w:r>
        <w:t>compliance’ with the Township's ordinances and had the required ‘licenses that</w:t>
      </w:r>
    </w:p>
    <w:p w14:paraId="5E8ED366" w14:textId="77777777" w:rsidR="00374747" w:rsidRDefault="00374747" w:rsidP="00374747">
      <w:pPr>
        <w:pStyle w:val="NoSpacing"/>
        <w:ind w:firstLine="720"/>
      </w:pPr>
      <w:r>
        <w:t>[they were] supposed to have.’"</w:t>
      </w:r>
    </w:p>
    <w:p w14:paraId="2850CDCB" w14:textId="77777777" w:rsidR="00374747" w:rsidRDefault="00374747" w:rsidP="00374747">
      <w:pPr>
        <w:pStyle w:val="NoSpacing"/>
        <w:ind w:firstLine="720"/>
      </w:pPr>
    </w:p>
    <w:p w14:paraId="3EF3A124" w14:textId="77777777" w:rsidR="00374747" w:rsidRPr="002B36A6" w:rsidRDefault="00374747" w:rsidP="00374747">
      <w:pPr>
        <w:pStyle w:val="NoSpacing"/>
        <w:rPr>
          <w:b/>
          <w:bCs/>
        </w:rPr>
      </w:pPr>
      <w:r>
        <w:rPr>
          <w:b/>
        </w:rPr>
        <w:t xml:space="preserve">Legal lesson learned: Storage of large </w:t>
      </w:r>
      <w:proofErr w:type="gramStart"/>
      <w:r>
        <w:rPr>
          <w:b/>
        </w:rPr>
        <w:t>amount</w:t>
      </w:r>
      <w:proofErr w:type="gramEnd"/>
      <w:r>
        <w:rPr>
          <w:b/>
        </w:rPr>
        <w:t xml:space="preserve"> of abandoned tires is a clear fire hazard. </w:t>
      </w:r>
    </w:p>
    <w:p w14:paraId="4E7D2842" w14:textId="77777777" w:rsidR="0028642A" w:rsidRDefault="0028642A" w:rsidP="0028642A">
      <w:pPr>
        <w:pStyle w:val="NoSpacing"/>
      </w:pPr>
    </w:p>
    <w:p w14:paraId="6B756B2F" w14:textId="77777777" w:rsidR="0028642A" w:rsidRDefault="0028642A" w:rsidP="00037CB8">
      <w:pPr>
        <w:pStyle w:val="NoSpacing"/>
        <w:rPr>
          <w:rFonts w:ascii="Arial Black" w:hAnsi="Arial Black"/>
          <w:sz w:val="24"/>
          <w:szCs w:val="24"/>
        </w:rPr>
      </w:pPr>
    </w:p>
    <w:p w14:paraId="75AF15D0" w14:textId="77777777" w:rsidR="00D035D9" w:rsidRDefault="00D035D9" w:rsidP="00037CB8">
      <w:pPr>
        <w:pStyle w:val="NoSpacing"/>
        <w:rPr>
          <w:rFonts w:ascii="Arial Black" w:hAnsi="Arial Black"/>
          <w:sz w:val="24"/>
          <w:szCs w:val="24"/>
        </w:rPr>
      </w:pPr>
    </w:p>
    <w:p w14:paraId="58FB5621" w14:textId="77777777" w:rsidR="00D035D9" w:rsidRDefault="00D035D9" w:rsidP="00037CB8">
      <w:pPr>
        <w:pStyle w:val="NoSpacing"/>
        <w:rPr>
          <w:rFonts w:ascii="Arial Black" w:hAnsi="Arial Black"/>
          <w:sz w:val="24"/>
          <w:szCs w:val="24"/>
        </w:rPr>
      </w:pPr>
    </w:p>
    <w:p w14:paraId="2C126ABF" w14:textId="77777777" w:rsidR="00D035D9" w:rsidRDefault="00D035D9" w:rsidP="00037CB8">
      <w:pPr>
        <w:pStyle w:val="NoSpacing"/>
        <w:rPr>
          <w:rFonts w:ascii="Arial Black" w:hAnsi="Arial Black"/>
          <w:sz w:val="24"/>
          <w:szCs w:val="24"/>
        </w:rPr>
      </w:pPr>
    </w:p>
    <w:p w14:paraId="3F8F39EF" w14:textId="3D2413A5" w:rsidR="006E51B1" w:rsidRDefault="009135A7" w:rsidP="00037CB8">
      <w:pPr>
        <w:pStyle w:val="NoSpacing"/>
        <w:rPr>
          <w:rFonts w:ascii="Arial Black" w:hAnsi="Arial Black"/>
          <w:sz w:val="24"/>
          <w:szCs w:val="24"/>
        </w:rPr>
      </w:pPr>
      <w:r>
        <w:rPr>
          <w:rFonts w:ascii="Arial Black" w:hAnsi="Arial Black"/>
          <w:sz w:val="24"/>
          <w:szCs w:val="24"/>
        </w:rPr>
        <w:t>1-197</w:t>
      </w:r>
    </w:p>
    <w:p w14:paraId="4F552192" w14:textId="77777777" w:rsidR="009135A7" w:rsidRDefault="009135A7" w:rsidP="00037CB8">
      <w:pPr>
        <w:pStyle w:val="NoSpacing"/>
        <w:rPr>
          <w:rFonts w:ascii="Arial Black" w:hAnsi="Arial Black"/>
          <w:sz w:val="24"/>
          <w:szCs w:val="24"/>
        </w:rPr>
      </w:pPr>
    </w:p>
    <w:p w14:paraId="5E376A1A" w14:textId="77777777" w:rsidR="007A5DCD" w:rsidRDefault="007A5DCD" w:rsidP="007A5DCD">
      <w:pPr>
        <w:pStyle w:val="NoSpacing"/>
        <w:rPr>
          <w:bCs/>
        </w:rPr>
      </w:pPr>
      <w:r>
        <w:rPr>
          <w:rFonts w:ascii="Arial Black" w:hAnsi="Arial Black"/>
          <w:sz w:val="28"/>
          <w:szCs w:val="28"/>
        </w:rPr>
        <w:t xml:space="preserve">PA: ARSON – LIQUID ON FLOOR - 4 PD FLED – ONE FELONY </w:t>
      </w:r>
    </w:p>
    <w:p w14:paraId="0EEE433C" w14:textId="77777777" w:rsidR="007A5DCD" w:rsidRDefault="007A5DCD" w:rsidP="007A5DCD">
      <w:pPr>
        <w:pStyle w:val="NoSpacing"/>
        <w:rPr>
          <w:bCs/>
        </w:rPr>
      </w:pPr>
    </w:p>
    <w:p w14:paraId="65961BD4" w14:textId="77777777" w:rsidR="007A5DCD" w:rsidRDefault="007A5DCD" w:rsidP="007A5DCD">
      <w:pPr>
        <w:pStyle w:val="NoSpacing"/>
      </w:pPr>
      <w:r>
        <w:t xml:space="preserve">On Nov. 19, 2025, in </w:t>
      </w:r>
      <w:r w:rsidRPr="00395990">
        <w:rPr>
          <w:u w:val="single"/>
        </w:rPr>
        <w:t>Commonwealth of Pennsylvania v. Vincent Smith</w:t>
      </w:r>
      <w:r>
        <w:t xml:space="preserve">, the </w:t>
      </w:r>
      <w:r w:rsidRPr="0048298D">
        <w:t>Supreme Court of Pennsylvania</w:t>
      </w:r>
      <w:r>
        <w:t xml:space="preserve"> held (4 to 2) that the defendant, who pled guilty, can be sentenced for one count of </w:t>
      </w:r>
      <w:r w:rsidRPr="003560CE">
        <w:t>Arson Endangering Persons (“AEP”)</w:t>
      </w:r>
      <w:r>
        <w:t>, not four counts even though he endangered four police officers.  The trial court rejected defense argument that he only committed one arson offense; the court sentenced to 4 to 8 years imprisonment for each AEP offense. He also pled guilty to involuntary manslaughter of two roommates, for aggregate sentence of 26 to 52 years imprisonment.  THE COURT WROTE: “Thus, the Crimes Code</w:t>
      </w:r>
      <w:proofErr w:type="gramStart"/>
      <w:r>
        <w:t>, as a whole, was</w:t>
      </w:r>
      <w:proofErr w:type="gramEnd"/>
      <w:r>
        <w:t xml:space="preserve"> enacted to classify all crimes into grades and degrees. Moreover, Section 3301</w:t>
      </w:r>
      <w:proofErr w:type="gramStart"/>
      <w:r>
        <w:t>, in particular, differentiates</w:t>
      </w:r>
      <w:proofErr w:type="gramEnd"/>
      <w:r>
        <w:t xml:space="preserve"> between arson endangering persons and property − Section 3301(a) − and arson endangering only property – Section 3301(c) – and allows for a harsher sentence for the former by designating the offense of AEP as a felony of the first degree. There is nothing, however, to suggest that the underlying intent of Section 3301(a) was to allow for separate convictions and sentences for each endangered </w:t>
      </w:r>
      <w:proofErr w:type="gramStart"/>
      <w:r>
        <w:t>individual.”</w:t>
      </w:r>
      <w:proofErr w:type="gramEnd"/>
      <w:r>
        <w:t xml:space="preserve"> </w:t>
      </w:r>
      <w:hyperlink r:id="rId45" w:history="1">
        <w:r w:rsidRPr="00422760">
          <w:rPr>
            <w:rStyle w:val="Hyperlink"/>
          </w:rPr>
          <w:t>https://cases.justia.com/pennsylvania/supreme-court/2025-15-wap-2024.pdf?ts=1763559881</w:t>
        </w:r>
      </w:hyperlink>
      <w:r>
        <w:t xml:space="preserve"> </w:t>
      </w:r>
    </w:p>
    <w:p w14:paraId="4AB67559" w14:textId="77777777" w:rsidR="007A5DCD" w:rsidRDefault="007A5DCD" w:rsidP="007A5DCD">
      <w:pPr>
        <w:pStyle w:val="NoSpacing"/>
      </w:pPr>
    </w:p>
    <w:p w14:paraId="54C0AF4C" w14:textId="77777777" w:rsidR="007A5DCD" w:rsidRDefault="007A5DCD" w:rsidP="007A5DCD">
      <w:pPr>
        <w:pStyle w:val="NoSpacing"/>
      </w:pPr>
      <w:r>
        <w:t>THE COURT HELD:</w:t>
      </w:r>
    </w:p>
    <w:p w14:paraId="7F11D9E3" w14:textId="77777777" w:rsidR="007A5DCD" w:rsidRDefault="007A5DCD" w:rsidP="007A5DCD">
      <w:pPr>
        <w:pStyle w:val="NoSpacing"/>
      </w:pPr>
    </w:p>
    <w:p w14:paraId="6AE0CD27" w14:textId="77777777" w:rsidR="007A5DCD" w:rsidRDefault="007A5DCD" w:rsidP="007A5DCD">
      <w:pPr>
        <w:pStyle w:val="NoSpacing"/>
        <w:ind w:left="720"/>
      </w:pPr>
      <w:r>
        <w:t>“</w:t>
      </w:r>
      <w:r w:rsidRPr="00932361">
        <w:t xml:space="preserve">In February 2018, four police officers arrived at a rowhouse in Pittsburgh </w:t>
      </w:r>
      <w:proofErr w:type="gramStart"/>
      <w:r w:rsidRPr="00932361">
        <w:t>in an</w:t>
      </w:r>
      <w:r>
        <w:t xml:space="preserve"> </w:t>
      </w:r>
      <w:r w:rsidRPr="00932361">
        <w:t>effort to</w:t>
      </w:r>
      <w:proofErr w:type="gramEnd"/>
      <w:r w:rsidRPr="00932361">
        <w:t xml:space="preserve"> locate a missing person, John Van Dyke. The officers forcibly entered the home</w:t>
      </w:r>
      <w:r>
        <w:t xml:space="preserve"> </w:t>
      </w:r>
      <w:r w:rsidRPr="00932361">
        <w:t>and repeatedly announced their presence. Once inside, the officers heard Appellant,</w:t>
      </w:r>
      <w:r>
        <w:t xml:space="preserve"> </w:t>
      </w:r>
      <w:r w:rsidRPr="00932361">
        <w:t xml:space="preserve">Vincent Smith, who was on the second floor of the residence, declare </w:t>
      </w:r>
      <w:r>
        <w:t>‘</w:t>
      </w:r>
      <w:r w:rsidRPr="00932361">
        <w:t>Steve’s not here.</w:t>
      </w:r>
      <w:r>
        <w:t xml:space="preserve">’ …  </w:t>
      </w:r>
      <w:r w:rsidRPr="00932361">
        <w:t>After re-announcing</w:t>
      </w:r>
      <w:r>
        <w:t xml:space="preserve"> </w:t>
      </w:r>
      <w:r w:rsidRPr="00932361">
        <w:t>their presence and stating their purpose, the officers observed Appellant striking matches</w:t>
      </w:r>
      <w:r>
        <w:t xml:space="preserve"> </w:t>
      </w:r>
      <w:r w:rsidRPr="00932361">
        <w:t>and throwing them on the floor, instantly setting a fire that traveled down the stairs toward</w:t>
      </w:r>
      <w:r>
        <w:t xml:space="preserve"> </w:t>
      </w:r>
      <w:r w:rsidRPr="00932361">
        <w:t>the officers. The officers immediately exited the residence, and Appellant was rescued</w:t>
      </w:r>
      <w:r>
        <w:t xml:space="preserve"> </w:t>
      </w:r>
      <w:r w:rsidRPr="00932361">
        <w:t>by firemen and treated for smoke inhalation.</w:t>
      </w:r>
    </w:p>
    <w:p w14:paraId="4D2B3C64" w14:textId="77777777" w:rsidR="007A5DCD" w:rsidRDefault="007A5DCD" w:rsidP="007A5DCD">
      <w:pPr>
        <w:pStyle w:val="NoSpacing"/>
      </w:pPr>
    </w:p>
    <w:p w14:paraId="0EB89F79" w14:textId="77777777" w:rsidR="007A5DCD" w:rsidRDefault="007A5DCD" w:rsidP="007A5DCD">
      <w:pPr>
        <w:pStyle w:val="NoSpacing"/>
        <w:ind w:left="720"/>
      </w:pPr>
      <w:r w:rsidRPr="007C4267">
        <w:t>Subsequently, the bodies of Van Dyke and another man, Steven Pariser, were</w:t>
      </w:r>
      <w:r>
        <w:t xml:space="preserve"> </w:t>
      </w:r>
      <w:r w:rsidRPr="007C4267">
        <w:t>recovered from the residence. Both men had trauma to the back of their heads, and it</w:t>
      </w:r>
      <w:r>
        <w:t xml:space="preserve"> </w:t>
      </w:r>
      <w:r w:rsidRPr="007C4267">
        <w:t>was determined that Appellant had killed the men approximately five days earlier; thus,</w:t>
      </w:r>
      <w:r>
        <w:t xml:space="preserve"> </w:t>
      </w:r>
      <w:r w:rsidRPr="007C4267">
        <w:t>their deaths were ruled as homicides. Appellant told detectives that the two victims had</w:t>
      </w:r>
      <w:r>
        <w:t xml:space="preserve"> </w:t>
      </w:r>
      <w:r w:rsidRPr="007C4267">
        <w:t>attacked him, and he fought back by throwing them down a flight of stairs, after which he</w:t>
      </w:r>
      <w:r>
        <w:t xml:space="preserve"> </w:t>
      </w:r>
      <w:r w:rsidRPr="007C4267">
        <w:t>covered them with blankets and bags. Appellant also stated that he wanted to kill himself,</w:t>
      </w:r>
      <w:r>
        <w:t xml:space="preserve"> </w:t>
      </w:r>
      <w:r w:rsidRPr="007C4267">
        <w:t>and that he had attempted to do so by taking some pills and spreading lighter fluid around</w:t>
      </w:r>
      <w:r>
        <w:t xml:space="preserve"> </w:t>
      </w:r>
      <w:r w:rsidRPr="007C4267">
        <w:t>the residence.</w:t>
      </w:r>
      <w:r>
        <w:t>”</w:t>
      </w:r>
    </w:p>
    <w:p w14:paraId="5BCAA1F3" w14:textId="77777777" w:rsidR="007A5DCD" w:rsidRDefault="007A5DCD" w:rsidP="007A5DCD">
      <w:pPr>
        <w:pStyle w:val="NoSpacing"/>
        <w:ind w:left="720"/>
      </w:pPr>
    </w:p>
    <w:p w14:paraId="07B3BB93" w14:textId="77777777" w:rsidR="007A5DCD" w:rsidRDefault="007A5DCD" w:rsidP="007A5DCD">
      <w:pPr>
        <w:pStyle w:val="NoSpacing"/>
      </w:pPr>
      <w:r>
        <w:t>DISSENT (Opinion by Justice Sallie Updyke Mundy; joined by Justice Kevin Brobson)</w:t>
      </w:r>
    </w:p>
    <w:p w14:paraId="152FB725" w14:textId="77777777" w:rsidR="007A5DCD" w:rsidRDefault="007A5DCD" w:rsidP="007A5DCD">
      <w:pPr>
        <w:pStyle w:val="NoSpacing"/>
      </w:pPr>
    </w:p>
    <w:p w14:paraId="6291B785" w14:textId="77777777" w:rsidR="007A5DCD" w:rsidRDefault="007A5DCD" w:rsidP="007A5DCD">
      <w:pPr>
        <w:pStyle w:val="NoSpacing"/>
        <w:ind w:left="720"/>
      </w:pPr>
      <w:r>
        <w:t xml:space="preserve">“As the majority itself concedes, the offense of AEP cannot be completed without </w:t>
      </w:r>
      <w:proofErr w:type="gramStart"/>
      <w:r>
        <w:t>both of these</w:t>
      </w:r>
      <w:proofErr w:type="gramEnd"/>
      <w:r>
        <w:t xml:space="preserve"> actions. Majority Op. at 15 (‘[P]lacing another person in danger of death or bodily injury is not merely a description of the result of the prohibited act of starting a fire or causing an explosion, but, rather, an essential component of the minimum conduct that must be proven to support a conviction – the actus reus − under Section 3301(a)(1)(</w:t>
      </w:r>
      <w:proofErr w:type="spellStart"/>
      <w:r>
        <w:t>i</w:t>
      </w:r>
      <w:proofErr w:type="spellEnd"/>
      <w:r>
        <w:t xml:space="preserve">).’). The General Assembly therefore intended a count of AEP to apply to each victim endangered by the intentional act of starting a fire.” </w:t>
      </w:r>
    </w:p>
    <w:p w14:paraId="0B3A422F" w14:textId="77777777" w:rsidR="007A5DCD" w:rsidRDefault="007A5DCD" w:rsidP="007A5DCD">
      <w:pPr>
        <w:pStyle w:val="NoSpacing"/>
        <w:ind w:left="720"/>
      </w:pPr>
      <w:hyperlink r:id="rId46" w:history="1">
        <w:r w:rsidRPr="00422760">
          <w:rPr>
            <w:rStyle w:val="Hyperlink"/>
          </w:rPr>
          <w:t>https://cases.justia.com/pennsylvania/supreme-court/2025-15-wap-2024-0.pdf?ts=1763559882</w:t>
        </w:r>
      </w:hyperlink>
      <w:r>
        <w:t xml:space="preserve"> </w:t>
      </w:r>
    </w:p>
    <w:p w14:paraId="5509C8E2" w14:textId="77777777" w:rsidR="007A5DCD" w:rsidRDefault="007A5DCD" w:rsidP="007A5DCD">
      <w:pPr>
        <w:pStyle w:val="NoSpacing"/>
        <w:ind w:left="720"/>
      </w:pPr>
    </w:p>
    <w:p w14:paraId="736C6EB3" w14:textId="754F208D" w:rsidR="007A5DCD" w:rsidRPr="00C63759" w:rsidRDefault="007A5DCD" w:rsidP="007A5DCD">
      <w:pPr>
        <w:pStyle w:val="NoSpacing"/>
        <w:rPr>
          <w:b/>
          <w:bCs/>
        </w:rPr>
      </w:pPr>
      <w:r>
        <w:rPr>
          <w:b/>
        </w:rPr>
        <w:t xml:space="preserve">Legal lesson learned:  </w:t>
      </w:r>
      <w:r w:rsidRPr="00C63759">
        <w:rPr>
          <w:b/>
        </w:rPr>
        <w:t>“Arson Endangering Persons”</w:t>
      </w:r>
      <w:r>
        <w:rPr>
          <w:b/>
        </w:rPr>
        <w:t xml:space="preserve"> – the two Dissenting Justices agreed with the trial court judge – the defe</w:t>
      </w:r>
      <w:r w:rsidR="00CD4F1A">
        <w:rPr>
          <w:b/>
        </w:rPr>
        <w:t xml:space="preserve">ndant </w:t>
      </w:r>
      <w:r>
        <w:rPr>
          <w:b/>
        </w:rPr>
        <w:t xml:space="preserve">endangered four police </w:t>
      </w:r>
      <w:proofErr w:type="gramStart"/>
      <w:r>
        <w:rPr>
          <w:b/>
        </w:rPr>
        <w:t>officers, and</w:t>
      </w:r>
      <w:proofErr w:type="gramEnd"/>
      <w:r>
        <w:rPr>
          <w:b/>
        </w:rPr>
        <w:t xml:space="preserve"> should be sentenced for four counts.  </w:t>
      </w:r>
    </w:p>
    <w:p w14:paraId="21DFB8BF" w14:textId="77777777" w:rsidR="007A5DCD" w:rsidRDefault="007A5DCD" w:rsidP="007A5DCD">
      <w:pPr>
        <w:rPr>
          <w:bCs/>
        </w:rPr>
      </w:pPr>
    </w:p>
    <w:p w14:paraId="60CFC215" w14:textId="77777777" w:rsidR="009135A7" w:rsidRDefault="009135A7" w:rsidP="00037CB8">
      <w:pPr>
        <w:pStyle w:val="NoSpacing"/>
        <w:rPr>
          <w:rFonts w:ascii="Arial Black" w:hAnsi="Arial Black"/>
          <w:sz w:val="24"/>
          <w:szCs w:val="24"/>
        </w:rPr>
      </w:pPr>
    </w:p>
    <w:p w14:paraId="73723EA4" w14:textId="77777777" w:rsidR="009135A7" w:rsidRDefault="009135A7" w:rsidP="00037CB8">
      <w:pPr>
        <w:pStyle w:val="NoSpacing"/>
        <w:rPr>
          <w:rFonts w:ascii="Arial Black" w:hAnsi="Arial Black"/>
          <w:sz w:val="24"/>
          <w:szCs w:val="24"/>
        </w:rPr>
      </w:pPr>
    </w:p>
    <w:p w14:paraId="49FF20B2" w14:textId="77777777" w:rsidR="009135A7" w:rsidRDefault="009135A7" w:rsidP="00037CB8">
      <w:pPr>
        <w:pStyle w:val="NoSpacing"/>
        <w:rPr>
          <w:rFonts w:ascii="Arial Black" w:hAnsi="Arial Black"/>
          <w:sz w:val="24"/>
          <w:szCs w:val="24"/>
        </w:rPr>
      </w:pPr>
    </w:p>
    <w:p w14:paraId="5DBBCF68" w14:textId="7AD7BA31" w:rsidR="006E51B1" w:rsidRDefault="006E51B1" w:rsidP="00037CB8">
      <w:pPr>
        <w:pStyle w:val="NoSpacing"/>
        <w:rPr>
          <w:rFonts w:ascii="Arial Black" w:hAnsi="Arial Black"/>
          <w:sz w:val="24"/>
          <w:szCs w:val="24"/>
        </w:rPr>
      </w:pPr>
      <w:r>
        <w:rPr>
          <w:rFonts w:ascii="Arial Black" w:hAnsi="Arial Black"/>
          <w:sz w:val="24"/>
          <w:szCs w:val="24"/>
        </w:rPr>
        <w:t>1-196</w:t>
      </w:r>
    </w:p>
    <w:p w14:paraId="71E9947D" w14:textId="77777777" w:rsidR="006E51B1" w:rsidRDefault="006E51B1" w:rsidP="00037CB8">
      <w:pPr>
        <w:pStyle w:val="NoSpacing"/>
        <w:rPr>
          <w:rFonts w:ascii="Arial Black" w:hAnsi="Arial Black"/>
          <w:sz w:val="24"/>
          <w:szCs w:val="24"/>
        </w:rPr>
      </w:pPr>
    </w:p>
    <w:p w14:paraId="516E312F" w14:textId="77777777" w:rsidR="006E51B1" w:rsidRPr="008E4E50" w:rsidRDefault="006E51B1" w:rsidP="006E51B1">
      <w:pPr>
        <w:pStyle w:val="NoSpacing"/>
        <w:rPr>
          <w:rFonts w:ascii="Arial Black" w:hAnsi="Arial Black"/>
          <w:bCs/>
          <w:sz w:val="28"/>
          <w:szCs w:val="28"/>
        </w:rPr>
      </w:pPr>
      <w:r>
        <w:rPr>
          <w:rFonts w:ascii="Arial Black" w:hAnsi="Arial Black"/>
          <w:sz w:val="28"/>
          <w:szCs w:val="28"/>
        </w:rPr>
        <w:t xml:space="preserve">WI: ARSON – NO </w:t>
      </w:r>
      <w:r w:rsidRPr="007F0262">
        <w:rPr>
          <w:rFonts w:ascii="Arial Black" w:hAnsi="Arial Black"/>
          <w:i/>
          <w:iCs/>
          <w:sz w:val="28"/>
          <w:szCs w:val="28"/>
        </w:rPr>
        <w:t>MIRANDA</w:t>
      </w:r>
      <w:r>
        <w:rPr>
          <w:rFonts w:ascii="Arial Black" w:hAnsi="Arial Black"/>
          <w:sz w:val="28"/>
          <w:szCs w:val="28"/>
        </w:rPr>
        <w:t xml:space="preserve"> – NOT IN CUSTODY BY ATF</w:t>
      </w:r>
    </w:p>
    <w:p w14:paraId="0B61AE52" w14:textId="77777777" w:rsidR="006E51B1" w:rsidRDefault="006E51B1" w:rsidP="006E51B1">
      <w:pPr>
        <w:pStyle w:val="NoSpacing"/>
        <w:rPr>
          <w:b/>
        </w:rPr>
      </w:pPr>
    </w:p>
    <w:p w14:paraId="3D6935E3" w14:textId="77777777" w:rsidR="006E51B1" w:rsidRDefault="006E51B1" w:rsidP="006E51B1">
      <w:pPr>
        <w:pStyle w:val="NoSpacing"/>
        <w:rPr>
          <w:bCs/>
        </w:rPr>
      </w:pPr>
      <w:r>
        <w:t xml:space="preserve">On October 28, 2025, in </w:t>
      </w:r>
      <w:r w:rsidRPr="001E3816">
        <w:rPr>
          <w:u w:val="single"/>
        </w:rPr>
        <w:t>United States of America v. Arletta Allen</w:t>
      </w:r>
      <w:r>
        <w:t xml:space="preserve">, U.S. District Court Chief Judge Pamela A. Pepper, United States District Court for the Eastern District of Wisconsin adopted the U.S. Magistrate Judge William E. Duffin’s recommendation to deny defense </w:t>
      </w:r>
      <w:r w:rsidRPr="006D53D8">
        <w:t xml:space="preserve">motion to suppress statements she made to </w:t>
      </w:r>
      <w:r>
        <w:t xml:space="preserve">ATF Special Agents </w:t>
      </w:r>
      <w:r w:rsidRPr="006D53D8">
        <w:t>on November 2, 2021</w:t>
      </w:r>
      <w:r>
        <w:t xml:space="preserve"> sitting in their vehicle as agents searched her home.  </w:t>
      </w:r>
      <w:r w:rsidRPr="001E3816">
        <w:t>According to the indictment, on or about October 10, 2021, Allen maliciously damaged by fire a restaurant known as “A Family Affair Soulfood Kitchen” located at 417 S. Main Street in Fond du Lac, Wisconsin.</w:t>
      </w:r>
      <w:r>
        <w:t xml:space="preserve">  </w:t>
      </w:r>
      <w:r w:rsidRPr="008231EE">
        <w:t xml:space="preserve">Judge Duffin determined that </w:t>
      </w:r>
      <w:proofErr w:type="gramStart"/>
      <w:r w:rsidRPr="008231EE">
        <w:t>in light of</w:t>
      </w:r>
      <w:proofErr w:type="gramEnd"/>
      <w:r w:rsidRPr="008231EE">
        <w:t xml:space="preserve"> all the facts, the defendant had failed to establish that her movement was restricted to the degree of an arrest</w:t>
      </w:r>
      <w:r>
        <w:t xml:space="preserve">.  </w:t>
      </w:r>
      <w:r w:rsidRPr="008231EE">
        <w:t>Judge Duffin recounted that SA Heimerl had told the defendant that she was not under arrest and had explained that the search team was present to execute the warran</w:t>
      </w:r>
      <w:r>
        <w:t xml:space="preserve">t. </w:t>
      </w:r>
      <w:hyperlink r:id="rId47" w:history="1">
        <w:r w:rsidRPr="00467EB3">
          <w:rPr>
            <w:rStyle w:val="Hyperlink"/>
          </w:rPr>
          <w:t>https://public.fastcase.com/jaEE2PXzRXmZ99jOLMt1Io7YtJZzhGRSpWTaEU5VEs33%2BTg9rUAoQurxZOT9gqkAJFaugLm9Mxx2CSeMl9vD0%2FrzAe6H5F%2F5zH2a3krjQxc%3D?utm_medium=email&amp;_hsenc=p2ANqtz--xi3xhqQTQTPjw8tThXPxla5fboNp_lyjnL-u37viXN8Zx1O-9U8osPNb7oBpn1RZ6w4oAGvXBZvBP5z9zhZ_Qvufy4w&amp;_hsmi=226712652&amp;utm_content=226712652&amp;utm_source=hs_email</w:t>
        </w:r>
      </w:hyperlink>
      <w:r>
        <w:t xml:space="preserve"> </w:t>
      </w:r>
    </w:p>
    <w:p w14:paraId="084524DA" w14:textId="77777777" w:rsidR="006E51B1" w:rsidRDefault="006E51B1" w:rsidP="006E51B1">
      <w:pPr>
        <w:pStyle w:val="NoSpacing"/>
        <w:rPr>
          <w:bCs/>
        </w:rPr>
      </w:pPr>
    </w:p>
    <w:p w14:paraId="5FA37B70" w14:textId="77777777" w:rsidR="006E51B1" w:rsidRDefault="006E51B1" w:rsidP="006E51B1">
      <w:pPr>
        <w:pStyle w:val="NoSpacing"/>
        <w:rPr>
          <w:bCs/>
        </w:rPr>
      </w:pPr>
    </w:p>
    <w:p w14:paraId="1DC35307" w14:textId="77777777" w:rsidR="006E51B1" w:rsidRDefault="006E51B1" w:rsidP="006E51B1">
      <w:pPr>
        <w:pStyle w:val="NoSpacing"/>
      </w:pPr>
      <w:r>
        <w:t>THE COURT HELD:</w:t>
      </w:r>
    </w:p>
    <w:p w14:paraId="6954F720" w14:textId="77777777" w:rsidR="006E51B1" w:rsidRDefault="006E51B1" w:rsidP="006E51B1">
      <w:pPr>
        <w:pStyle w:val="NoSpacing"/>
      </w:pPr>
    </w:p>
    <w:p w14:paraId="7B9980AE" w14:textId="77777777" w:rsidR="006E51B1" w:rsidRDefault="006E51B1" w:rsidP="006E51B1">
      <w:pPr>
        <w:pStyle w:val="NoSpacing"/>
        <w:ind w:left="720"/>
      </w:pPr>
      <w:r>
        <w:t>“</w:t>
      </w:r>
      <w:r w:rsidRPr="007C1D31">
        <w:t>On November 1, 2021, Magistrate Judge Stephen C. Dries issued search warrants for the restaurant, the defendant's house and the defendant's Dodge Durango</w:t>
      </w:r>
      <w:r>
        <w:t xml:space="preserve">…. </w:t>
      </w:r>
      <w:r w:rsidRPr="007C1D31">
        <w:t>Judge Dries also issued a search warrant for the defendant's Facebook account</w:t>
      </w:r>
      <w:r>
        <w:t xml:space="preserve">…. </w:t>
      </w:r>
    </w:p>
    <w:p w14:paraId="4AEA8F4B" w14:textId="77777777" w:rsidR="006E51B1" w:rsidRDefault="006E51B1" w:rsidP="006E51B1">
      <w:pPr>
        <w:pStyle w:val="NoSpacing"/>
        <w:ind w:left="720"/>
      </w:pPr>
    </w:p>
    <w:p w14:paraId="2388024B" w14:textId="77777777" w:rsidR="006E51B1" w:rsidRDefault="006E51B1" w:rsidP="006E51B1">
      <w:pPr>
        <w:pStyle w:val="NoSpacing"/>
        <w:ind w:left="720"/>
      </w:pPr>
      <w:r w:rsidRPr="00773286">
        <w:t xml:space="preserve">On the morning of November 2, 2021, Special Agent Kevin Heimerl called the defendant and asked to meet with her to </w:t>
      </w:r>
      <w:r>
        <w:t>‘</w:t>
      </w:r>
      <w:r w:rsidRPr="00773286">
        <w:t>share a little bit of information.</w:t>
      </w:r>
      <w:r>
        <w:t>’ ....</w:t>
      </w:r>
      <w:r w:rsidRPr="00773286">
        <w:t xml:space="preserve"> </w:t>
      </w:r>
      <w:r>
        <w:t xml:space="preserve"> </w:t>
      </w:r>
      <w:r w:rsidRPr="00773286">
        <w:t>SA Heimerl and SA Matthew Anderson were parked about one block away from the defendant's house at the time of the call</w:t>
      </w:r>
      <w:r>
        <w:t xml:space="preserve">…. </w:t>
      </w:r>
      <w:r w:rsidRPr="00773286">
        <w:t>Heimerl recorded a portion of this phone call and his later in-person conversation with the defendant that morning</w:t>
      </w:r>
      <w:r>
        <w:t xml:space="preserve">…. </w:t>
      </w:r>
      <w:r w:rsidRPr="00773286">
        <w:t>About two minutes after speaking with the defendant on the phone, the agents arrived at her home and parked in her driveway at the rear of the home</w:t>
      </w:r>
      <w:r>
        <w:t xml:space="preserve">…. </w:t>
      </w:r>
    </w:p>
    <w:p w14:paraId="33CCCD1D" w14:textId="77777777" w:rsidR="006E51B1" w:rsidRDefault="006E51B1" w:rsidP="006E51B1">
      <w:pPr>
        <w:pStyle w:val="NoSpacing"/>
        <w:ind w:left="720"/>
      </w:pPr>
    </w:p>
    <w:p w14:paraId="52E5B184" w14:textId="77777777" w:rsidR="006E51B1" w:rsidRDefault="006E51B1" w:rsidP="006E51B1">
      <w:pPr>
        <w:pStyle w:val="NoSpacing"/>
        <w:ind w:left="720"/>
      </w:pPr>
      <w:r>
        <w:t>***</w:t>
      </w:r>
    </w:p>
    <w:p w14:paraId="50D808F1" w14:textId="77777777" w:rsidR="006E51B1" w:rsidRPr="00773286" w:rsidRDefault="006E51B1" w:rsidP="006E51B1">
      <w:pPr>
        <w:pStyle w:val="NoSpacing"/>
        <w:ind w:left="720"/>
      </w:pPr>
      <w:r w:rsidRPr="00773286">
        <w:t xml:space="preserve"> </w:t>
      </w:r>
    </w:p>
    <w:p w14:paraId="0ADBE649" w14:textId="77777777" w:rsidR="006E51B1" w:rsidRDefault="006E51B1" w:rsidP="006E51B1">
      <w:pPr>
        <w:pStyle w:val="NoSpacing"/>
        <w:ind w:left="720"/>
      </w:pPr>
      <w:r w:rsidRPr="009D7443">
        <w:t xml:space="preserve">Heimerl told the defendant, </w:t>
      </w:r>
      <w:r>
        <w:t>‘</w:t>
      </w:r>
      <w:r w:rsidRPr="009D7443">
        <w:t xml:space="preserve">Just get what you need to get and we're </w:t>
      </w:r>
      <w:proofErr w:type="spellStart"/>
      <w:r w:rsidRPr="009D7443">
        <w:t>gonna</w:t>
      </w:r>
      <w:proofErr w:type="spellEnd"/>
      <w:r w:rsidRPr="009D7443">
        <w:t xml:space="preserve"> go outside and sit in my truck</w:t>
      </w:r>
      <w:proofErr w:type="gramStart"/>
      <w:r w:rsidRPr="009D7443">
        <w:t>.</w:t>
      </w:r>
      <w:proofErr w:type="gramEnd"/>
      <w:r w:rsidRPr="009D7443">
        <w:t xml:space="preserve"> Okay?</w:t>
      </w:r>
      <w:r>
        <w:t xml:space="preserve">’ … </w:t>
      </w:r>
      <w:r w:rsidRPr="009D7443">
        <w:t>The agents then escorted the defendant downstairs and toward the parked truck</w:t>
      </w:r>
      <w:r>
        <w:t xml:space="preserve">…. </w:t>
      </w:r>
      <w:r w:rsidRPr="009D7443">
        <w:t xml:space="preserve"> The agents did not pat the defendant down or place her in handcuffs</w:t>
      </w:r>
      <w:r>
        <w:t xml:space="preserve">…. </w:t>
      </w:r>
      <w:r w:rsidRPr="009D7443">
        <w:t xml:space="preserve"> The defendant asserts that Heimerl placed his hand on her arm and physically guided her out the door of her home, while Heimerl states that he did not have any physical contact with the defendant after taking her phone</w:t>
      </w:r>
      <w:r>
        <w:t xml:space="preserve">…. </w:t>
      </w:r>
      <w:r w:rsidRPr="009D7443">
        <w:t>Once at the truck, the defendant was escorted into the front passenger seat</w:t>
      </w:r>
      <w:r>
        <w:t xml:space="preserve">…. </w:t>
      </w:r>
      <w:r w:rsidRPr="009D7443">
        <w:t>Heimerl sat in the driver's seat and turned on the vehicle and its heating system, while Anderson sat in the rear passenger seat behind the defendant.</w:t>
      </w:r>
    </w:p>
    <w:p w14:paraId="311E451A" w14:textId="77777777" w:rsidR="006E51B1" w:rsidRDefault="006E51B1" w:rsidP="006E51B1">
      <w:pPr>
        <w:pStyle w:val="NoSpacing"/>
        <w:ind w:left="720"/>
      </w:pPr>
    </w:p>
    <w:p w14:paraId="714DD454" w14:textId="77777777" w:rsidR="006E51B1" w:rsidRDefault="006E51B1" w:rsidP="006E51B1">
      <w:pPr>
        <w:pStyle w:val="NoSpacing"/>
        <w:ind w:left="720"/>
      </w:pPr>
      <w:r w:rsidRPr="007B5FA6">
        <w:t>The defendant then saw approximately ten officers approaching her home with weapons drawn</w:t>
      </w:r>
      <w:r>
        <w:t xml:space="preserve">…. </w:t>
      </w:r>
      <w:r w:rsidRPr="007B5FA6">
        <w:t>The defendant believed that the officers looked like a SWAT team and was visibly shaken, anxious and upset</w:t>
      </w:r>
      <w:r>
        <w:t xml:space="preserve">….  </w:t>
      </w:r>
      <w:r w:rsidRPr="007B5FA6">
        <w:t>Heimerl questioned the defendant about the fire, including showing her images from the surveillance footage, while law enforcement executed the search warrant</w:t>
      </w:r>
      <w:r>
        <w:t xml:space="preserve">… </w:t>
      </w:r>
      <w:r w:rsidRPr="007B5FA6">
        <w:t>The defendant was in the truck for approximately two hours</w:t>
      </w:r>
      <w:r>
        <w:t xml:space="preserve">…. </w:t>
      </w:r>
      <w:r w:rsidRPr="007B5FA6">
        <w:t xml:space="preserve">Neither agent informed the defendant of her </w:t>
      </w:r>
      <w:r w:rsidRPr="007B5FA6">
        <w:rPr>
          <w:i/>
          <w:iCs/>
        </w:rPr>
        <w:t>Miranda</w:t>
      </w:r>
      <w:r w:rsidRPr="007B5FA6">
        <w:t xml:space="preserve"> rights</w:t>
      </w:r>
      <w:r>
        <w:t xml:space="preserve">…. </w:t>
      </w:r>
      <w:r w:rsidRPr="007B5FA6">
        <w:t>The defendant previously had met or spoken with Heimerl six times before this but never had been shown the surveillance images from the night of the fire</w:t>
      </w:r>
      <w:r>
        <w:t xml:space="preserve">…. </w:t>
      </w:r>
      <w:r w:rsidRPr="007B5FA6">
        <w:t xml:space="preserve">Both agents were in plainclothes and armed during the </w:t>
      </w:r>
      <w:proofErr w:type="gramStart"/>
      <w:r w:rsidRPr="007B5FA6">
        <w:t>interview, but</w:t>
      </w:r>
      <w:proofErr w:type="gramEnd"/>
      <w:r w:rsidRPr="007B5FA6">
        <w:t xml:space="preserve"> did not display their weapons to the defendant</w:t>
      </w:r>
      <w:r>
        <w:t xml:space="preserve">…. </w:t>
      </w:r>
      <w:r w:rsidRPr="007B5FA6">
        <w:t xml:space="preserve">During the interview, the defendant was </w:t>
      </w:r>
      <w:r>
        <w:t>‘</w:t>
      </w:r>
      <w:r w:rsidRPr="007B5FA6">
        <w:t>visibly shaken, upset, and scared</w:t>
      </w:r>
      <w:r>
        <w:t>’</w:t>
      </w:r>
      <w:r w:rsidRPr="007B5FA6">
        <w:t xml:space="preserve"> with </w:t>
      </w:r>
      <w:r>
        <w:t>‘</w:t>
      </w:r>
      <w:r w:rsidRPr="007B5FA6">
        <w:t>tears in her eyes at times.</w:t>
      </w:r>
      <w:r>
        <w:t xml:space="preserve">’ … </w:t>
      </w:r>
      <w:r w:rsidRPr="007B5FA6">
        <w:t xml:space="preserve">The parties agree that </w:t>
      </w:r>
      <w:r>
        <w:t>‘</w:t>
      </w:r>
      <w:r w:rsidRPr="007B5FA6">
        <w:t>portions</w:t>
      </w:r>
      <w:r>
        <w:t>’</w:t>
      </w:r>
      <w:r w:rsidRPr="007B5FA6">
        <w:t xml:space="preserve"> of Heimerl's questioning constituted an interrogation, but dispute whether the interrogation was conducted in a custodial setting. </w:t>
      </w:r>
    </w:p>
    <w:p w14:paraId="51D78B35" w14:textId="77777777" w:rsidR="006E51B1" w:rsidRDefault="006E51B1" w:rsidP="006E51B1">
      <w:pPr>
        <w:pStyle w:val="NoSpacing"/>
        <w:ind w:left="720"/>
      </w:pPr>
    </w:p>
    <w:p w14:paraId="55045149" w14:textId="77777777" w:rsidR="006E51B1" w:rsidRDefault="006E51B1" w:rsidP="006E51B1">
      <w:pPr>
        <w:pStyle w:val="NoSpacing"/>
        <w:ind w:left="720"/>
      </w:pPr>
      <w:r>
        <w:t>***</w:t>
      </w:r>
    </w:p>
    <w:p w14:paraId="21AF3FFA" w14:textId="77777777" w:rsidR="006E51B1" w:rsidRDefault="006E51B1" w:rsidP="006E51B1">
      <w:pPr>
        <w:pStyle w:val="NoSpacing"/>
        <w:ind w:left="720"/>
      </w:pPr>
      <w:r w:rsidRPr="00804126">
        <w:t xml:space="preserve">Based on the totality of the circumstances, the court agrees with Judge Duffin that the defendant was not in custody. The defendant's initial contact with the agents was at her house. Although the agents went with her, she was allowed to get warmer clothing. She left her house and went with the agents to their truck, which was on her property. She remained in the truck for about an hour for the </w:t>
      </w:r>
      <w:proofErr w:type="gramStart"/>
      <w:r w:rsidRPr="00804126">
        <w:t>purposes</w:t>
      </w:r>
      <w:proofErr w:type="gramEnd"/>
      <w:r w:rsidRPr="00804126">
        <w:t xml:space="preserve"> of questioning (the questioning did not continue into the second hour), she was not physically </w:t>
      </w:r>
      <w:proofErr w:type="gramStart"/>
      <w:r w:rsidRPr="00804126">
        <w:t>restrained</w:t>
      </w:r>
      <w:proofErr w:type="gramEnd"/>
      <w:r w:rsidRPr="00804126">
        <w:t xml:space="preserve"> and she was released at the end of the conversation. The agents did not point their weapons at the defendant or threaten her. She was not detained at a police station or government building. Heimerl told the defendant that she did not have to answer the agents' questions, and the defendant demonstrated that she understood by declining to answer when asked to explain why she may have been at her restaurant on the night of the fire. Although there were several officers present to execute the search warrant, the defendant directly interacted only with Heimerl and Anderson, both of whom were known to her from previous interactions. The defendant has not alleged that the agents yelled at her or that they physically or verbally abused her. Although the defendant may have felt scared or upset during the interview, her subjective perception of the circumstances is not the issue. The question is whether a reasonable person in her position would have felt free to leave. Judge Duffin did not err in concluding that a reasonable person in that position would have felt free to leave.</w:t>
      </w:r>
      <w:r>
        <w:t>”</w:t>
      </w:r>
    </w:p>
    <w:p w14:paraId="5B362738" w14:textId="77777777" w:rsidR="006E51B1" w:rsidRDefault="006E51B1" w:rsidP="006E51B1">
      <w:pPr>
        <w:pStyle w:val="NoSpacing"/>
        <w:ind w:left="720"/>
      </w:pPr>
    </w:p>
    <w:p w14:paraId="478B8189" w14:textId="41238CE4" w:rsidR="006E51B1" w:rsidRPr="00804126" w:rsidRDefault="006E51B1" w:rsidP="006E51B1">
      <w:pPr>
        <w:pStyle w:val="NoSpacing"/>
        <w:rPr>
          <w:b/>
          <w:bCs/>
        </w:rPr>
      </w:pPr>
      <w:r>
        <w:rPr>
          <w:b/>
        </w:rPr>
        <w:t xml:space="preserve">Lesson learned:  The case will now proceed to trial; arson investigators should consult with prosecutors about their plan to have </w:t>
      </w:r>
      <w:proofErr w:type="gramStart"/>
      <w:r>
        <w:rPr>
          <w:b/>
        </w:rPr>
        <w:t>defendant</w:t>
      </w:r>
      <w:proofErr w:type="gramEnd"/>
      <w:r>
        <w:rPr>
          <w:b/>
        </w:rPr>
        <w:t xml:space="preserve"> wait in their vehicle as her home is searched, and when </w:t>
      </w:r>
      <w:r w:rsidRPr="00A058B6">
        <w:rPr>
          <w:b/>
          <w:i/>
          <w:iCs/>
        </w:rPr>
        <w:t xml:space="preserve">Miranda </w:t>
      </w:r>
      <w:r>
        <w:rPr>
          <w:b/>
        </w:rPr>
        <w:t xml:space="preserve">warnings should be given.  </w:t>
      </w:r>
    </w:p>
    <w:p w14:paraId="4DF537B7" w14:textId="77777777" w:rsidR="006E51B1" w:rsidRPr="007B5FA6" w:rsidRDefault="006E51B1" w:rsidP="006E51B1">
      <w:pPr>
        <w:pStyle w:val="NoSpacing"/>
        <w:ind w:left="720"/>
      </w:pPr>
    </w:p>
    <w:p w14:paraId="5367443E" w14:textId="77777777" w:rsidR="006E51B1" w:rsidRPr="000A4CD4" w:rsidRDefault="006E51B1" w:rsidP="006E51B1">
      <w:pPr>
        <w:pStyle w:val="NoSpacing"/>
        <w:ind w:left="720"/>
        <w:rPr>
          <w:b/>
        </w:rPr>
      </w:pPr>
      <w:r>
        <w:t xml:space="preserve">Note: See the Dec. 17, </w:t>
      </w:r>
      <w:proofErr w:type="gramStart"/>
      <w:r>
        <w:t>2024</w:t>
      </w:r>
      <w:proofErr w:type="gramEnd"/>
      <w:r>
        <w:t xml:space="preserve"> Press Release by U.S. Attorney’s Office when she was indicted. “</w:t>
      </w:r>
      <w:r w:rsidRPr="007F0061">
        <w:t>Former Restaurant Owner Indicted for Arson and Related Charges</w:t>
      </w:r>
      <w:r>
        <w:t>”</w:t>
      </w:r>
    </w:p>
    <w:p w14:paraId="3BB1D36B" w14:textId="77777777" w:rsidR="006E51B1" w:rsidRDefault="006E51B1" w:rsidP="006E51B1">
      <w:pPr>
        <w:pStyle w:val="NoSpacing"/>
        <w:ind w:left="720"/>
      </w:pPr>
      <w:hyperlink r:id="rId48" w:history="1">
        <w:r w:rsidRPr="00465B64">
          <w:rPr>
            <w:rStyle w:val="Hyperlink"/>
          </w:rPr>
          <w:t>https://www.justice.gov/usao-edwi/pr/former-restaurant-owner-indicted-arson-and-related-charges</w:t>
        </w:r>
      </w:hyperlink>
      <w:r>
        <w:t xml:space="preserve"> </w:t>
      </w:r>
    </w:p>
    <w:p w14:paraId="7A92164B" w14:textId="77777777" w:rsidR="006E51B1" w:rsidRDefault="006E51B1" w:rsidP="00037CB8">
      <w:pPr>
        <w:pStyle w:val="NoSpacing"/>
        <w:rPr>
          <w:rFonts w:ascii="Arial Black" w:hAnsi="Arial Black"/>
          <w:sz w:val="24"/>
          <w:szCs w:val="24"/>
        </w:rPr>
      </w:pPr>
    </w:p>
    <w:p w14:paraId="15E46EAC" w14:textId="77777777" w:rsidR="003306E6" w:rsidRDefault="003306E6" w:rsidP="00037CB8">
      <w:pPr>
        <w:pStyle w:val="NoSpacing"/>
        <w:rPr>
          <w:rFonts w:ascii="Arial Black" w:hAnsi="Arial Black"/>
          <w:sz w:val="24"/>
          <w:szCs w:val="24"/>
        </w:rPr>
      </w:pPr>
    </w:p>
    <w:p w14:paraId="17B76AC3" w14:textId="388F7597" w:rsidR="003306E6" w:rsidRDefault="003306E6" w:rsidP="00037CB8">
      <w:pPr>
        <w:pStyle w:val="NoSpacing"/>
        <w:rPr>
          <w:rFonts w:ascii="Arial Black" w:hAnsi="Arial Black"/>
          <w:sz w:val="24"/>
          <w:szCs w:val="24"/>
        </w:rPr>
      </w:pPr>
      <w:r>
        <w:rPr>
          <w:rFonts w:ascii="Arial Black" w:hAnsi="Arial Black"/>
          <w:sz w:val="24"/>
          <w:szCs w:val="24"/>
        </w:rPr>
        <w:t>1-195</w:t>
      </w:r>
    </w:p>
    <w:p w14:paraId="466A705C" w14:textId="77777777" w:rsidR="003306E6" w:rsidRDefault="003306E6" w:rsidP="003306E6">
      <w:pPr>
        <w:spacing w:after="0"/>
        <w:rPr>
          <w:rFonts w:ascii="Arial Black" w:hAnsi="Arial Black"/>
          <w:sz w:val="28"/>
          <w:szCs w:val="28"/>
        </w:rPr>
      </w:pPr>
    </w:p>
    <w:p w14:paraId="2F3D1EEB" w14:textId="5862191E" w:rsidR="003306E6" w:rsidRPr="00FD1C42" w:rsidRDefault="003306E6" w:rsidP="003306E6">
      <w:pPr>
        <w:spacing w:after="0"/>
        <w:rPr>
          <w:rFonts w:ascii="Arial Black" w:hAnsi="Arial Black"/>
          <w:sz w:val="28"/>
          <w:szCs w:val="28"/>
        </w:rPr>
      </w:pPr>
      <w:r>
        <w:rPr>
          <w:rFonts w:ascii="Arial Black" w:hAnsi="Arial Black"/>
          <w:sz w:val="28"/>
          <w:szCs w:val="28"/>
        </w:rPr>
        <w:t>NY: HOSP FIRE – PT’s FRAYED CELL CHARGING CABLE</w:t>
      </w:r>
    </w:p>
    <w:p w14:paraId="56D7E9F2" w14:textId="77777777" w:rsidR="003306E6" w:rsidRDefault="003306E6" w:rsidP="003306E6">
      <w:pPr>
        <w:spacing w:after="0"/>
      </w:pPr>
    </w:p>
    <w:p w14:paraId="3436DB2E" w14:textId="77777777" w:rsidR="003306E6" w:rsidRPr="00D86092" w:rsidRDefault="003306E6" w:rsidP="003306E6">
      <w:pPr>
        <w:pStyle w:val="NoSpacing"/>
      </w:pPr>
      <w:r>
        <w:t xml:space="preserve">On Oct. 9, 2025, in </w:t>
      </w:r>
      <w:r w:rsidRPr="00690F8A">
        <w:rPr>
          <w:u w:val="single"/>
        </w:rPr>
        <w:t xml:space="preserve">Krystel-Marie </w:t>
      </w:r>
      <w:proofErr w:type="spellStart"/>
      <w:r w:rsidRPr="00690F8A">
        <w:rPr>
          <w:u w:val="single"/>
        </w:rPr>
        <w:t>Desmornes</w:t>
      </w:r>
      <w:proofErr w:type="spellEnd"/>
      <w:r w:rsidRPr="00690F8A">
        <w:rPr>
          <w:u w:val="single"/>
        </w:rPr>
        <w:t xml:space="preserve"> as Administrator of Jean-Daniel Desmornes v. The Brooklyn Hospital Center</w:t>
      </w:r>
      <w:r>
        <w:t xml:space="preserve">, Judge Ruper P. Barry, </w:t>
      </w:r>
      <w:r w:rsidRPr="00D86092">
        <w:t>Supreme Court, Kings County</w:t>
      </w:r>
      <w:r>
        <w:t xml:space="preserve">, granted defense motion for summary judgment.  The COVID patient started a fire caused by his </w:t>
      </w:r>
      <w:r w:rsidRPr="00CA17D7">
        <w:t>use of his frayed,</w:t>
      </w:r>
      <w:r>
        <w:t xml:space="preserve"> </w:t>
      </w:r>
      <w:r w:rsidRPr="00CA17D7">
        <w:t>after-market cellphone charging cable.</w:t>
      </w:r>
      <w:r>
        <w:t xml:space="preserve"> </w:t>
      </w:r>
      <w:hyperlink r:id="rId49" w:history="1">
        <w:r w:rsidRPr="00307531">
          <w:rPr>
            <w:rStyle w:val="Hyperlink"/>
          </w:rPr>
          <w:t>https://cases.justia.com/new-york/other-courts/2025-2025-ny-slip-op-33961-u.pdf?ts=1761686709</w:t>
        </w:r>
      </w:hyperlink>
      <w:r>
        <w:t xml:space="preserve"> </w:t>
      </w:r>
    </w:p>
    <w:p w14:paraId="37834DA0" w14:textId="77777777" w:rsidR="003306E6" w:rsidRDefault="003306E6" w:rsidP="003306E6">
      <w:pPr>
        <w:spacing w:after="0"/>
        <w:rPr>
          <w:rFonts w:ascii="Arial Black" w:hAnsi="Arial Black"/>
          <w:sz w:val="28"/>
          <w:szCs w:val="28"/>
        </w:rPr>
      </w:pPr>
    </w:p>
    <w:p w14:paraId="4345CBC4" w14:textId="77777777" w:rsidR="003306E6" w:rsidRDefault="003306E6" w:rsidP="003306E6">
      <w:pPr>
        <w:pStyle w:val="NoSpacing"/>
      </w:pPr>
      <w:r>
        <w:t xml:space="preserve"> THE COURT HELD:</w:t>
      </w:r>
    </w:p>
    <w:p w14:paraId="67A6F378" w14:textId="77777777" w:rsidR="003306E6" w:rsidRDefault="003306E6" w:rsidP="003306E6">
      <w:pPr>
        <w:pStyle w:val="NoSpacing"/>
      </w:pPr>
    </w:p>
    <w:p w14:paraId="0AD7378F" w14:textId="77777777" w:rsidR="003306E6" w:rsidRDefault="003306E6" w:rsidP="003306E6">
      <w:pPr>
        <w:pStyle w:val="NoSpacing"/>
        <w:ind w:left="720"/>
      </w:pPr>
      <w:r>
        <w:t>“This action concerns a fire in the Brooklyn Hospital Center (hereafter ‘BHC’) Emergency Department on March 26, 2020, involving Jean-Daniel Desmornes, who had been admitted to BHC with covid on March 25, 2020. Immediately after the fire, the FDNY examined the scene and FDNY Marshall John Urrico concluded that the fire was solely caused by Mr. Jean-Daniel Desmornes’ use of his frayed, after-market cellphone charging cable.</w:t>
      </w:r>
    </w:p>
    <w:p w14:paraId="7D7B312D" w14:textId="77777777" w:rsidR="003306E6" w:rsidRDefault="003306E6" w:rsidP="003306E6">
      <w:pPr>
        <w:pStyle w:val="NoSpacing"/>
        <w:ind w:left="720"/>
      </w:pPr>
    </w:p>
    <w:p w14:paraId="7A1A8F71" w14:textId="77777777" w:rsidR="003306E6" w:rsidRDefault="003306E6" w:rsidP="003306E6">
      <w:pPr>
        <w:pStyle w:val="NoSpacing"/>
        <w:ind w:left="720"/>
      </w:pPr>
      <w:r>
        <w:t>***</w:t>
      </w:r>
    </w:p>
    <w:p w14:paraId="67FDEB3E" w14:textId="77777777" w:rsidR="003306E6" w:rsidRDefault="003306E6" w:rsidP="003306E6">
      <w:pPr>
        <w:pStyle w:val="NoSpacing"/>
        <w:ind w:left="720"/>
      </w:pPr>
      <w:r>
        <w:t xml:space="preserve">In support of its motion, BHC submits the medical records, the FDNY records, the deposition of its then BHC Chief Operating Officer, Robert Aucilino, the expert affirmation of Eugene West (hereafter ‘Mr. West’), and the expert affirmation of Mark Silberman, M.D. </w:t>
      </w:r>
      <w:proofErr w:type="gramStart"/>
      <w:r>
        <w:t>hereafter (‘</w:t>
      </w:r>
      <w:proofErr w:type="gramEnd"/>
      <w:r>
        <w:t>Dr. Silberman’). Mr. West is an expert in fire origin and cause, fire/arson related human factors and behavioral profiling, the management of major case fire incidents, fire department operations, fire incident sequencing, fire scene</w:t>
      </w:r>
    </w:p>
    <w:p w14:paraId="133699D8" w14:textId="77777777" w:rsidR="003306E6" w:rsidRDefault="003306E6" w:rsidP="003306E6">
      <w:pPr>
        <w:pStyle w:val="NoSpacing"/>
        <w:ind w:left="720"/>
      </w:pPr>
      <w:r>
        <w:t>reconstruction, building codes and fire codes.”</w:t>
      </w:r>
    </w:p>
    <w:p w14:paraId="30B8B1A9" w14:textId="77777777" w:rsidR="003306E6" w:rsidRDefault="003306E6" w:rsidP="003306E6">
      <w:pPr>
        <w:pStyle w:val="NoSpacing"/>
        <w:ind w:left="720"/>
      </w:pPr>
    </w:p>
    <w:p w14:paraId="38847118" w14:textId="77777777" w:rsidR="003306E6" w:rsidRPr="00AD46FA" w:rsidRDefault="003306E6" w:rsidP="003306E6">
      <w:pPr>
        <w:pStyle w:val="NoSpacing"/>
        <w:rPr>
          <w:b/>
          <w:bCs/>
        </w:rPr>
      </w:pPr>
      <w:r>
        <w:rPr>
          <w:b/>
        </w:rPr>
        <w:t>Legal lesson learned:  Frayed  cell phone charging cable can cause a fire.</w:t>
      </w:r>
    </w:p>
    <w:p w14:paraId="4BF3713F" w14:textId="77777777" w:rsidR="003306E6" w:rsidRDefault="003306E6" w:rsidP="003306E6">
      <w:pPr>
        <w:pStyle w:val="NoSpacing"/>
      </w:pPr>
    </w:p>
    <w:p w14:paraId="554C5B52" w14:textId="77777777" w:rsidR="003306E6" w:rsidRDefault="003306E6" w:rsidP="003306E6">
      <w:pPr>
        <w:pStyle w:val="NoSpacing"/>
        <w:ind w:left="720"/>
      </w:pPr>
    </w:p>
    <w:p w14:paraId="6D584608" w14:textId="77777777" w:rsidR="003306E6" w:rsidRPr="00BB26AD" w:rsidRDefault="003306E6" w:rsidP="003306E6">
      <w:pPr>
        <w:pStyle w:val="NoSpacing"/>
        <w:ind w:left="720"/>
        <w:rPr>
          <w:bCs/>
        </w:rPr>
      </w:pPr>
      <w:r>
        <w:t xml:space="preserve">Read this Feb. 3, </w:t>
      </w:r>
      <w:proofErr w:type="gramStart"/>
      <w:r>
        <w:t>2025</w:t>
      </w:r>
      <w:proofErr w:type="gramEnd"/>
      <w:r>
        <w:t xml:space="preserve"> article: </w:t>
      </w:r>
      <w:r w:rsidRPr="00BB26AD">
        <w:t xml:space="preserve">What Causes Phone Chargers to Explode? (And How to Avoid It). </w:t>
      </w:r>
      <w:hyperlink r:id="rId50" w:history="1">
        <w:r w:rsidRPr="00BB26AD">
          <w:rPr>
            <w:rStyle w:val="Hyperlink"/>
          </w:rPr>
          <w:t>https://www.voltacharger.com/blogs/news/what-causes-phone-chargers-to-explode-and-how-to-avoid-it?srsltid=AfmBOor-D0Mt5iX7UDwb-r4sqdnXak-6s4LPkG62kZWVkLQCSPJSBjBB</w:t>
        </w:r>
      </w:hyperlink>
      <w:r w:rsidRPr="00BB26AD">
        <w:t xml:space="preserve"> </w:t>
      </w:r>
    </w:p>
    <w:p w14:paraId="6E839AAA" w14:textId="77777777" w:rsidR="003306E6" w:rsidRDefault="003306E6" w:rsidP="003306E6">
      <w:pPr>
        <w:pStyle w:val="NoSpacing"/>
      </w:pPr>
    </w:p>
    <w:p w14:paraId="49D14C0A" w14:textId="77777777" w:rsidR="003306E6" w:rsidRDefault="003306E6" w:rsidP="003306E6">
      <w:pPr>
        <w:pStyle w:val="NoSpacing"/>
      </w:pPr>
    </w:p>
    <w:p w14:paraId="594460A9" w14:textId="77777777" w:rsidR="003306E6" w:rsidRDefault="003306E6" w:rsidP="00037CB8">
      <w:pPr>
        <w:pStyle w:val="NoSpacing"/>
        <w:rPr>
          <w:rFonts w:ascii="Arial Black" w:hAnsi="Arial Black"/>
          <w:sz w:val="24"/>
          <w:szCs w:val="24"/>
        </w:rPr>
      </w:pPr>
    </w:p>
    <w:p w14:paraId="606EE616" w14:textId="77777777" w:rsidR="006E51B1" w:rsidRDefault="006E51B1" w:rsidP="00037CB8">
      <w:pPr>
        <w:pStyle w:val="NoSpacing"/>
        <w:rPr>
          <w:rFonts w:ascii="Arial Black" w:hAnsi="Arial Black"/>
          <w:sz w:val="24"/>
          <w:szCs w:val="24"/>
        </w:rPr>
      </w:pPr>
    </w:p>
    <w:p w14:paraId="06070874" w14:textId="77777777" w:rsidR="006E51B1" w:rsidRDefault="006E51B1" w:rsidP="00037CB8">
      <w:pPr>
        <w:pStyle w:val="NoSpacing"/>
        <w:rPr>
          <w:rFonts w:ascii="Arial Black" w:hAnsi="Arial Black"/>
          <w:sz w:val="24"/>
          <w:szCs w:val="24"/>
        </w:rPr>
      </w:pPr>
    </w:p>
    <w:p w14:paraId="4E8C7FDE" w14:textId="77777777" w:rsidR="006E51B1" w:rsidRDefault="006E51B1" w:rsidP="00037CB8">
      <w:pPr>
        <w:pStyle w:val="NoSpacing"/>
        <w:rPr>
          <w:rFonts w:ascii="Arial Black" w:hAnsi="Arial Black"/>
          <w:sz w:val="24"/>
          <w:szCs w:val="24"/>
        </w:rPr>
      </w:pPr>
    </w:p>
    <w:p w14:paraId="78FCFA60" w14:textId="77777777" w:rsidR="006E51B1" w:rsidRDefault="006E51B1" w:rsidP="00037CB8">
      <w:pPr>
        <w:pStyle w:val="NoSpacing"/>
        <w:rPr>
          <w:rFonts w:ascii="Arial Black" w:hAnsi="Arial Black"/>
          <w:sz w:val="24"/>
          <w:szCs w:val="24"/>
        </w:rPr>
      </w:pPr>
    </w:p>
    <w:p w14:paraId="26C59824" w14:textId="7F12380B"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w:t>
      </w:r>
      <w:r>
        <w:rPr>
          <w:rFonts w:ascii="Arial Black" w:hAnsi="Arial Black"/>
          <w:sz w:val="24"/>
          <w:szCs w:val="24"/>
        </w:rPr>
        <w:t>94</w:t>
      </w:r>
    </w:p>
    <w:p w14:paraId="7414BED1" w14:textId="77777777" w:rsidR="00B232CB" w:rsidRDefault="00B232CB" w:rsidP="00F326E5">
      <w:pPr>
        <w:pStyle w:val="NoSpacing"/>
        <w:rPr>
          <w:rFonts w:ascii="Arial Black" w:hAnsi="Arial Black"/>
          <w:sz w:val="24"/>
          <w:szCs w:val="24"/>
        </w:rPr>
      </w:pPr>
    </w:p>
    <w:p w14:paraId="5765F509" w14:textId="03366397" w:rsidR="00B232CB" w:rsidRDefault="00B232CB" w:rsidP="00B232CB">
      <w:pPr>
        <w:spacing w:after="0" w:line="240" w:lineRule="auto"/>
        <w:rPr>
          <w:bCs/>
        </w:rPr>
      </w:pPr>
      <w:r>
        <w:rPr>
          <w:rFonts w:ascii="Arial Black" w:hAnsi="Arial Black"/>
          <w:sz w:val="28"/>
          <w:szCs w:val="28"/>
        </w:rPr>
        <w:t xml:space="preserve">ARTICLE – </w:t>
      </w:r>
      <w:r w:rsidRPr="00891811">
        <w:rPr>
          <w:rFonts w:ascii="Arial Black" w:hAnsi="Arial Black"/>
          <w:b/>
          <w:sz w:val="28"/>
          <w:szCs w:val="28"/>
        </w:rPr>
        <w:t>“EYES IN THE SKY: Do Cities Need Warrants for Drones?</w:t>
      </w:r>
      <w:r w:rsidRPr="00891811">
        <w:rPr>
          <w:rFonts w:ascii="Arial Black" w:hAnsi="Arial Black"/>
          <w:sz w:val="28"/>
          <w:szCs w:val="28"/>
        </w:rPr>
        <w:t>”</w:t>
      </w:r>
      <w:r>
        <w:t xml:space="preserve"> September 24, 2013, Homeland Security Today</w:t>
      </w:r>
      <w:r w:rsidR="00891811">
        <w:t xml:space="preserve">, by </w:t>
      </w:r>
      <w:r w:rsidR="0080370D">
        <w:t>Lawrence T. Bennett.</w:t>
      </w:r>
    </w:p>
    <w:p w14:paraId="7D763049" w14:textId="77777777" w:rsidR="00B232CB" w:rsidRDefault="00B232CB" w:rsidP="00B232CB">
      <w:pPr>
        <w:spacing w:after="0" w:line="240" w:lineRule="auto"/>
      </w:pPr>
      <w:hyperlink r:id="rId51" w:history="1">
        <w:r w:rsidRPr="00483260">
          <w:rPr>
            <w:rStyle w:val="Hyperlink"/>
          </w:rPr>
          <w:t>https://www.hstoday.us/subject-matter-areas/unmanned-vehicles/eyes-in-the-sky-do-cities-need-warrants-for-drones/</w:t>
        </w:r>
      </w:hyperlink>
      <w:r>
        <w:t xml:space="preserve">  [Personal thank you to Megan Norris for her very thorough and helpful editing of my first article for Homeland Security Today: </w:t>
      </w:r>
      <w:hyperlink r:id="rId52" w:history="1">
        <w:r w:rsidRPr="00483260">
          <w:rPr>
            <w:rStyle w:val="Hyperlink"/>
          </w:rPr>
          <w:t>https://www.norriseditorial.com</w:t>
        </w:r>
      </w:hyperlink>
      <w:r>
        <w:t xml:space="preserve">.]  </w:t>
      </w:r>
    </w:p>
    <w:p w14:paraId="3A274E71" w14:textId="77777777" w:rsidR="00B232CB" w:rsidRPr="00E91251" w:rsidRDefault="00B232CB" w:rsidP="00B232CB">
      <w:pPr>
        <w:spacing w:after="0" w:line="240" w:lineRule="auto"/>
      </w:pPr>
    </w:p>
    <w:p w14:paraId="19A052CF" w14:textId="450F5758"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w:t>
      </w:r>
      <w:r>
        <w:rPr>
          <w:rFonts w:ascii="Arial Black" w:hAnsi="Arial Black"/>
          <w:sz w:val="24"/>
          <w:szCs w:val="24"/>
        </w:rPr>
        <w:t>93</w:t>
      </w:r>
    </w:p>
    <w:p w14:paraId="0CF1218A" w14:textId="77777777" w:rsidR="00037CB8" w:rsidRDefault="00037CB8" w:rsidP="00F326E5">
      <w:pPr>
        <w:pStyle w:val="NoSpacing"/>
        <w:rPr>
          <w:rFonts w:ascii="Arial Black" w:hAnsi="Arial Black"/>
          <w:sz w:val="24"/>
          <w:szCs w:val="24"/>
        </w:rPr>
      </w:pPr>
    </w:p>
    <w:p w14:paraId="442D5959" w14:textId="77777777" w:rsidR="008F5629" w:rsidRDefault="008F5629" w:rsidP="008F5629">
      <w:pPr>
        <w:pStyle w:val="NoSpacing"/>
        <w:rPr>
          <w:rFonts w:ascii="Arial Black" w:hAnsi="Arial Black"/>
          <w:sz w:val="28"/>
          <w:szCs w:val="28"/>
        </w:rPr>
      </w:pPr>
      <w:r>
        <w:rPr>
          <w:rFonts w:ascii="Arial Black" w:hAnsi="Arial Black"/>
          <w:sz w:val="28"/>
          <w:szCs w:val="28"/>
        </w:rPr>
        <w:t xml:space="preserve">MI: INTER. FIRE CODE - FIRE CHIEF NO LONGER “AT WILL” </w:t>
      </w:r>
    </w:p>
    <w:p w14:paraId="1AC98985" w14:textId="77777777" w:rsidR="008F5629" w:rsidRDefault="008F5629" w:rsidP="008F5629">
      <w:pPr>
        <w:pStyle w:val="NoSpacing"/>
      </w:pPr>
    </w:p>
    <w:p w14:paraId="40AD7328" w14:textId="77777777" w:rsidR="008F5629" w:rsidRDefault="008F5629" w:rsidP="008F5629">
      <w:pPr>
        <w:pStyle w:val="NoSpacing"/>
      </w:pPr>
      <w:r>
        <w:t xml:space="preserve">On September 19, 2025, in </w:t>
      </w:r>
      <w:r w:rsidRPr="00A5472D">
        <w:rPr>
          <w:u w:val="single"/>
        </w:rPr>
        <w:t>Ronald Lammers v. City of Riverview</w:t>
      </w:r>
      <w:r>
        <w:t xml:space="preserve">, U.S. Federal District Court Judge </w:t>
      </w:r>
      <w:r w:rsidRPr="00C3664A">
        <w:t>Shalina D. Kumar</w:t>
      </w:r>
      <w:r>
        <w:t xml:space="preserve">, United States District Court, Eastern District of Michigan (Southern Division) denied the City’s motion to dismiss the former Fire Chief’s lawsuit, based on a provision in International Fire Code which city had adopted in 2022.  </w:t>
      </w:r>
    </w:p>
    <w:p w14:paraId="59279614" w14:textId="77777777" w:rsidR="008F5629" w:rsidRDefault="008F5629" w:rsidP="008F5629">
      <w:pPr>
        <w:pStyle w:val="NoSpacing"/>
      </w:pPr>
    </w:p>
    <w:p w14:paraId="5EB56138" w14:textId="77777777" w:rsidR="008F5629" w:rsidRDefault="008F5629" w:rsidP="008F5629">
      <w:pPr>
        <w:pStyle w:val="NoSpacing"/>
      </w:pPr>
      <w:r w:rsidRPr="00913B5B">
        <w:rPr>
          <w:b/>
        </w:rPr>
        <w:t>THE COURT HELD</w:t>
      </w:r>
      <w:r>
        <w:t>:  “</w:t>
      </w:r>
      <w:r w:rsidRPr="00C715F2">
        <w:t xml:space="preserve">And since Lammers became the City's fire chief in 2018 and held that position when it adopted the IFC in 2022, it can be reasonably inferred that he was familiar with the IFC and its just-cause provision because his position required him to </w:t>
      </w:r>
      <w:r>
        <w:t>‘</w:t>
      </w:r>
      <w:r w:rsidRPr="00C715F2">
        <w:t>adhere to the provisions of the 2015 International Fire Code (IFC) as identified in the city ordinances.</w:t>
      </w:r>
      <w:r>
        <w:t xml:space="preserve">’ …  </w:t>
      </w:r>
      <w:r w:rsidRPr="00D54466">
        <w:t xml:space="preserve">The fact that this section of the IFC includes the mandatory provision </w:t>
      </w:r>
      <w:r>
        <w:t>‘</w:t>
      </w:r>
      <w:r w:rsidRPr="00D54466">
        <w:t>shall not</w:t>
      </w:r>
      <w:r>
        <w:t xml:space="preserve">’ </w:t>
      </w:r>
      <w:r w:rsidRPr="00D54466">
        <w:t>indicates that the City promised not to terminate Lammers absent just cause. As such, Lammers contends that it was reasonable for him to have a legitimate expectation of just-cause employment with the City, and to have an opportunity to be heard by the city council prior to his termination</w:t>
      </w:r>
      <w:r>
        <w:t xml:space="preserve">.” </w:t>
      </w:r>
      <w:hyperlink r:id="rId53" w:history="1">
        <w:r w:rsidRPr="00EE407B">
          <w:rPr>
            <w:rStyle w:val="Hyperlink"/>
          </w:rPr>
          <w:t>https://public.fastcase.com/jaEE2PXzRXmZ99jOLMt1Ips4C6WkUGp0KzACPcngYbWmPTLfIWMstLJyRryzc8Dq?utm_medium=email&amp;_hsenc=p2ANqtz-94X9-jvo7aphxCTddVbMuFo0h95bmcaFpGEwlnAd6pPwVsx4xOyg-iR7W5WKYYvAnlQWrH3LVFVTBhWCeJd3O3dSBjuA&amp;_hsmi=226712652&amp;utm_content=226712652&amp;utm_source=hs_email</w:t>
        </w:r>
      </w:hyperlink>
    </w:p>
    <w:p w14:paraId="6F5F8705" w14:textId="77777777" w:rsidR="008F5629" w:rsidRDefault="008F5629" w:rsidP="008F5629">
      <w:pPr>
        <w:pStyle w:val="NoSpacing"/>
      </w:pPr>
    </w:p>
    <w:p w14:paraId="3ECBB750" w14:textId="77777777" w:rsidR="008F5629" w:rsidRDefault="008F5629" w:rsidP="008F5629">
      <w:pPr>
        <w:pStyle w:val="NoSpacing"/>
      </w:pPr>
    </w:p>
    <w:p w14:paraId="28445281" w14:textId="77777777" w:rsidR="008F5629" w:rsidRPr="00913B5B" w:rsidRDefault="008F5629" w:rsidP="008F5629">
      <w:pPr>
        <w:pStyle w:val="NoSpacing"/>
        <w:rPr>
          <w:b/>
          <w:bCs/>
        </w:rPr>
      </w:pPr>
      <w:r w:rsidRPr="00913B5B">
        <w:rPr>
          <w:b/>
        </w:rPr>
        <w:t xml:space="preserve">KEY FACTS: </w:t>
      </w:r>
    </w:p>
    <w:p w14:paraId="601DDB8E" w14:textId="77777777" w:rsidR="008F5629" w:rsidRDefault="008F5629" w:rsidP="008F5629">
      <w:pPr>
        <w:pStyle w:val="NoSpacing"/>
      </w:pPr>
    </w:p>
    <w:p w14:paraId="747CB55E" w14:textId="77777777" w:rsidR="008F5629" w:rsidRDefault="008F5629" w:rsidP="008F5629">
      <w:pPr>
        <w:pStyle w:val="NoSpacing"/>
        <w:ind w:left="720"/>
      </w:pPr>
      <w:r>
        <w:t>“</w:t>
      </w:r>
      <w:r w:rsidRPr="00306699">
        <w:t xml:space="preserve">Lammers began working for the </w:t>
      </w:r>
      <w:proofErr w:type="gramStart"/>
      <w:r w:rsidRPr="00306699">
        <w:t>City</w:t>
      </w:r>
      <w:proofErr w:type="gramEnd"/>
      <w:r w:rsidRPr="00306699">
        <w:t xml:space="preserve"> in 2007</w:t>
      </w:r>
      <w:r>
        <w:t>….</w:t>
      </w:r>
      <w:r w:rsidRPr="00306699">
        <w:t>In 2018, he was appointed the City's fire chief by the mayor and city council</w:t>
      </w:r>
      <w:r>
        <w:t xml:space="preserve">…. </w:t>
      </w:r>
      <w:r w:rsidRPr="00306699">
        <w:t>Dobek was appointed the city manager in 2022</w:t>
      </w:r>
      <w:r>
        <w:t xml:space="preserve">…. </w:t>
      </w:r>
      <w:r w:rsidRPr="00306699">
        <w:t>In January 2024, the fire department's supervisor group organized a union of which the deputy fire chief was a member</w:t>
      </w:r>
      <w:r>
        <w:t xml:space="preserve">…. </w:t>
      </w:r>
      <w:r w:rsidRPr="00306699">
        <w:t>Two months later, Dobek informed Lammers that he intended to eliminate the deputy fire chief position due to budgetary constraints</w:t>
      </w:r>
      <w:r>
        <w:t xml:space="preserve">…. </w:t>
      </w:r>
      <w:r w:rsidRPr="00306699">
        <w:t>Lammers disagreed with this decision and told Dobek, human resources, and city council members that this decision was not cost-effective and contrary to public safety</w:t>
      </w:r>
      <w:r>
        <w:t xml:space="preserve">…. </w:t>
      </w:r>
      <w:r w:rsidRPr="00306699">
        <w:t xml:space="preserve"> Thereafter, Dobek advised Lammers in writing to bring any concerns directly to him and to cease voicing his disagreement regarding the decision to terminate the deputy fire chief position to others</w:t>
      </w:r>
      <w:r>
        <w:t xml:space="preserve">…. </w:t>
      </w:r>
      <w:r w:rsidRPr="00306699">
        <w:t>Dobek verbally eliminated Lammers' employment with the City in July 2024, without providing him notice or a hearing beforehand.</w:t>
      </w:r>
    </w:p>
    <w:p w14:paraId="6F46CEBB" w14:textId="77777777" w:rsidR="008F5629" w:rsidRDefault="008F5629" w:rsidP="008F5629">
      <w:pPr>
        <w:pStyle w:val="NoSpacing"/>
        <w:ind w:left="720"/>
      </w:pPr>
    </w:p>
    <w:p w14:paraId="0A75D83E" w14:textId="77777777" w:rsidR="008F5629" w:rsidRDefault="008F5629" w:rsidP="008F5629">
      <w:pPr>
        <w:pStyle w:val="NoSpacing"/>
        <w:ind w:left="720"/>
      </w:pPr>
      <w:r>
        <w:t>***</w:t>
      </w:r>
    </w:p>
    <w:p w14:paraId="65F5832F" w14:textId="77777777" w:rsidR="008F5629" w:rsidRPr="005826E0" w:rsidRDefault="008F5629" w:rsidP="008F5629">
      <w:pPr>
        <w:pStyle w:val="NoSpacing"/>
        <w:ind w:left="720"/>
      </w:pPr>
      <w:r w:rsidRPr="00DA1947">
        <w:t xml:space="preserve">Here, Lammers does not allege that he had a written employment contract with the City. Rather, he claims that the City's adoption of the IFC </w:t>
      </w:r>
      <w:r>
        <w:t xml:space="preserve">[International Fire Code, adopted by city in 2022] </w:t>
      </w:r>
      <w:r w:rsidRPr="00DA1947">
        <w:t>created a legitimate expectation of just-cause employment</w:t>
      </w:r>
      <w:r>
        <w:t xml:space="preserve">…. </w:t>
      </w:r>
      <w:r w:rsidRPr="005826E0">
        <w:t xml:space="preserve">Lammers claims that Section 103.2 of the IFC designated him as a just-cause employee. That Section reads: </w:t>
      </w:r>
    </w:p>
    <w:p w14:paraId="16B698EA" w14:textId="77777777" w:rsidR="008F5629" w:rsidRDefault="008F5629" w:rsidP="008F5629">
      <w:pPr>
        <w:pStyle w:val="NoSpacing"/>
        <w:ind w:left="1440"/>
      </w:pPr>
    </w:p>
    <w:p w14:paraId="7614FFA1" w14:textId="77777777" w:rsidR="008F5629" w:rsidRDefault="008F5629" w:rsidP="008F5629">
      <w:pPr>
        <w:pStyle w:val="NoSpacing"/>
        <w:ind w:left="1440"/>
      </w:pPr>
      <w:r w:rsidRPr="005826E0">
        <w:t xml:space="preserve">The </w:t>
      </w:r>
      <w:r w:rsidRPr="005826E0">
        <w:rPr>
          <w:i/>
          <w:iCs/>
        </w:rPr>
        <w:t>fire code official</w:t>
      </w:r>
      <w:r w:rsidRPr="005826E0">
        <w:t xml:space="preserve"> shall be appointed by the chief appointing authority of the jurisdiction; and the </w:t>
      </w:r>
      <w:r w:rsidRPr="005826E0">
        <w:rPr>
          <w:i/>
          <w:iCs/>
        </w:rPr>
        <w:t>fire code official</w:t>
      </w:r>
      <w:r w:rsidRPr="005826E0">
        <w:t xml:space="preserve"> shall not be removed from office except for cause and after full opportunity to be heard on specific and relevant charges by and before the appointing authority.</w:t>
      </w:r>
      <w:r>
        <w:t>”</w:t>
      </w:r>
    </w:p>
    <w:p w14:paraId="1E9FAD4A" w14:textId="77777777" w:rsidR="008F5629" w:rsidRDefault="008F5629" w:rsidP="008F5629">
      <w:pPr>
        <w:pStyle w:val="NoSpacing"/>
        <w:ind w:left="1440"/>
      </w:pPr>
    </w:p>
    <w:p w14:paraId="6EC7B5A3" w14:textId="5D0E4E3F" w:rsidR="008F5629" w:rsidRPr="00817EEB" w:rsidRDefault="008F5629" w:rsidP="008F5629">
      <w:pPr>
        <w:pStyle w:val="NoSpacing"/>
        <w:rPr>
          <w:b/>
          <w:bCs/>
        </w:rPr>
      </w:pPr>
      <w:r w:rsidRPr="00817EEB">
        <w:rPr>
          <w:b/>
        </w:rPr>
        <w:t xml:space="preserve">Lesson learned: </w:t>
      </w:r>
      <w:r>
        <w:rPr>
          <w:b/>
        </w:rPr>
        <w:t>City’s adoption of International Fire Code “</w:t>
      </w:r>
      <w:r w:rsidRPr="002104E5">
        <w:rPr>
          <w:b/>
        </w:rPr>
        <w:t>created a legitimate expectation of just-cause employment.</w:t>
      </w:r>
      <w:r>
        <w:rPr>
          <w:b/>
        </w:rPr>
        <w:t>”</w:t>
      </w:r>
    </w:p>
    <w:p w14:paraId="7E903289" w14:textId="77777777" w:rsidR="008F5629" w:rsidRDefault="008F5629" w:rsidP="008F5629">
      <w:pPr>
        <w:rPr>
          <w:rFonts w:ascii="Arial Black" w:hAnsi="Arial Black"/>
          <w:sz w:val="28"/>
          <w:szCs w:val="28"/>
        </w:rPr>
      </w:pPr>
    </w:p>
    <w:p w14:paraId="11CB6D50" w14:textId="77777777" w:rsidR="008F5629" w:rsidRDefault="008F5629" w:rsidP="00F326E5">
      <w:pPr>
        <w:pStyle w:val="NoSpacing"/>
        <w:rPr>
          <w:rFonts w:ascii="Arial Black" w:hAnsi="Arial Black"/>
          <w:sz w:val="24"/>
          <w:szCs w:val="24"/>
        </w:rPr>
      </w:pPr>
    </w:p>
    <w:p w14:paraId="1D561103" w14:textId="4FFC3FFB"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w:t>
      </w:r>
      <w:r>
        <w:rPr>
          <w:rFonts w:ascii="Arial Black" w:hAnsi="Arial Black"/>
          <w:sz w:val="24"/>
          <w:szCs w:val="24"/>
        </w:rPr>
        <w:t>92</w:t>
      </w:r>
    </w:p>
    <w:p w14:paraId="77AF718F" w14:textId="77777777" w:rsidR="00037CB8" w:rsidRDefault="00037CB8" w:rsidP="005142F0">
      <w:pPr>
        <w:pStyle w:val="NoSpacing"/>
        <w:rPr>
          <w:rFonts w:ascii="Arial Black" w:hAnsi="Arial Black"/>
          <w:sz w:val="28"/>
          <w:szCs w:val="28"/>
        </w:rPr>
      </w:pPr>
    </w:p>
    <w:p w14:paraId="0580C586" w14:textId="29D4118D" w:rsidR="005142F0" w:rsidRDefault="005142F0" w:rsidP="005142F0">
      <w:pPr>
        <w:pStyle w:val="NoSpacing"/>
        <w:rPr>
          <w:rFonts w:ascii="Arial Black" w:hAnsi="Arial Black"/>
          <w:sz w:val="28"/>
          <w:szCs w:val="28"/>
        </w:rPr>
      </w:pPr>
      <w:r>
        <w:rPr>
          <w:rFonts w:ascii="Arial Black" w:hAnsi="Arial Black"/>
          <w:sz w:val="28"/>
          <w:szCs w:val="28"/>
        </w:rPr>
        <w:t xml:space="preserve">GA: DRONE / CODE OFFICER </w:t>
      </w:r>
      <w:r w:rsidR="001D4188">
        <w:rPr>
          <w:rFonts w:ascii="Arial Black" w:hAnsi="Arial Black"/>
          <w:sz w:val="28"/>
          <w:szCs w:val="28"/>
        </w:rPr>
        <w:t>–</w:t>
      </w:r>
      <w:r w:rsidR="00EB07EC">
        <w:rPr>
          <w:rFonts w:ascii="Arial Black" w:hAnsi="Arial Black"/>
          <w:sz w:val="28"/>
          <w:szCs w:val="28"/>
        </w:rPr>
        <w:t xml:space="preserve"> </w:t>
      </w:r>
      <w:r>
        <w:rPr>
          <w:rFonts w:ascii="Arial Black" w:hAnsi="Arial Black"/>
          <w:sz w:val="28"/>
          <w:szCs w:val="28"/>
        </w:rPr>
        <w:t>WARRANT AFTER HIS VISIT</w:t>
      </w:r>
    </w:p>
    <w:p w14:paraId="382654F6" w14:textId="77777777" w:rsidR="005142F0" w:rsidRDefault="005142F0" w:rsidP="005142F0">
      <w:pPr>
        <w:pStyle w:val="NoSpacing"/>
      </w:pPr>
    </w:p>
    <w:p w14:paraId="31962C72" w14:textId="77777777" w:rsidR="005142F0" w:rsidRDefault="005142F0" w:rsidP="005142F0">
      <w:pPr>
        <w:pStyle w:val="NoSpacing"/>
        <w:rPr>
          <w:bCs/>
        </w:rPr>
      </w:pPr>
      <w:r>
        <w:t xml:space="preserve">On September 18, 2025, in </w:t>
      </w:r>
      <w:r w:rsidRPr="00735CF2">
        <w:rPr>
          <w:u w:val="single"/>
        </w:rPr>
        <w:t>Dunn Terrious Bradford v. State of Georgia</w:t>
      </w:r>
      <w:r>
        <w:t xml:space="preserve">, the </w:t>
      </w:r>
      <w:r w:rsidRPr="00F17116">
        <w:t>Court of Appeals of Georgia, Third Division</w:t>
      </w:r>
      <w:r>
        <w:t xml:space="preserve"> held (3 to 0) held that trial court properly denied the property owner’s </w:t>
      </w:r>
      <w:r w:rsidRPr="00BF3969">
        <w:t xml:space="preserve"> motion to suppress evidence obtained in a civil forfeiture proceeding </w:t>
      </w:r>
      <w:r>
        <w:t xml:space="preserve">for operating a dog fighting operation (forfeiture of both his </w:t>
      </w:r>
      <w:r w:rsidRPr="00531C02">
        <w:t>real</w:t>
      </w:r>
      <w:r>
        <w:t xml:space="preserve"> estate </w:t>
      </w:r>
      <w:r w:rsidRPr="00531C02">
        <w:t xml:space="preserve">property, </w:t>
      </w:r>
      <w:r>
        <w:t xml:space="preserve">and </w:t>
      </w:r>
      <w:r w:rsidRPr="00531C02">
        <w:t>two rifles, a shotgun, a handgun,</w:t>
      </w:r>
      <w:r>
        <w:t xml:space="preserve"> </w:t>
      </w:r>
      <w:r w:rsidRPr="00531C02">
        <w:t>ammunition, and cash</w:t>
      </w:r>
      <w:r>
        <w:t xml:space="preserve">).  </w:t>
      </w:r>
      <w:r w:rsidRPr="00BF3969">
        <w:t xml:space="preserve"> </w:t>
      </w:r>
    </w:p>
    <w:p w14:paraId="6933EB67" w14:textId="77777777" w:rsidR="005142F0" w:rsidRDefault="005142F0" w:rsidP="005142F0">
      <w:pPr>
        <w:pStyle w:val="NoSpacing"/>
        <w:rPr>
          <w:bCs/>
        </w:rPr>
      </w:pPr>
    </w:p>
    <w:p w14:paraId="07DAAE08" w14:textId="77777777" w:rsidR="005142F0" w:rsidRPr="00F17116" w:rsidRDefault="005142F0" w:rsidP="005142F0">
      <w:pPr>
        <w:pStyle w:val="NoSpacing"/>
        <w:rPr>
          <w:bCs/>
        </w:rPr>
      </w:pPr>
      <w:r w:rsidRPr="00913B5B">
        <w:rPr>
          <w:b/>
        </w:rPr>
        <w:t>THE COURT HELD</w:t>
      </w:r>
      <w:r>
        <w:t>:  “A</w:t>
      </w:r>
      <w:r w:rsidRPr="005076D5">
        <w:t>s a threshold matter, we assume without deciding that the drone flight that</w:t>
      </w:r>
      <w:r>
        <w:t xml:space="preserve"> </w:t>
      </w:r>
      <w:r w:rsidRPr="005076D5">
        <w:t>observed Bradford’s property was an unauthorized search without a warrant.</w:t>
      </w:r>
      <w:r>
        <w:t xml:space="preserve"> </w:t>
      </w:r>
      <w:proofErr w:type="gramStart"/>
      <w:r w:rsidRPr="005076D5">
        <w:t>So</w:t>
      </w:r>
      <w:proofErr w:type="gramEnd"/>
      <w:r w:rsidRPr="005076D5">
        <w:t xml:space="preserve"> the</w:t>
      </w:r>
      <w:r>
        <w:t xml:space="preserve"> </w:t>
      </w:r>
      <w:r w:rsidRPr="005076D5">
        <w:t xml:space="preserve">question before us is whether the warrant that authorized the search </w:t>
      </w:r>
      <w:proofErr w:type="gramStart"/>
      <w:r w:rsidRPr="005076D5">
        <w:t>of</w:t>
      </w:r>
      <w:proofErr w:type="gramEnd"/>
      <w:r w:rsidRPr="005076D5">
        <w:t xml:space="preserve"> Bradford’s</w:t>
      </w:r>
      <w:r>
        <w:t xml:space="preserve"> </w:t>
      </w:r>
      <w:r w:rsidRPr="005076D5">
        <w:t>home was based on an independent source of probable cause, such that the warrant</w:t>
      </w:r>
      <w:r>
        <w:t xml:space="preserve"> </w:t>
      </w:r>
      <w:r w:rsidRPr="005076D5">
        <w:t>was not derived from the drone flight.</w:t>
      </w:r>
      <w:r>
        <w:t xml:space="preserve"> *** T</w:t>
      </w:r>
      <w:r w:rsidRPr="00EC56C1">
        <w:t>hus, the warrant affidavit did not mention the drone flight or any information</w:t>
      </w:r>
      <w:r>
        <w:t xml:space="preserve"> </w:t>
      </w:r>
      <w:r w:rsidRPr="00EC56C1">
        <w:t>gleaned from the drone flight. The warrant affidavit merely described the scene</w:t>
      </w:r>
      <w:r>
        <w:t xml:space="preserve"> </w:t>
      </w:r>
      <w:r w:rsidRPr="00EC56C1">
        <w:t>encountered by the investigator and code enforcement officer during their in-person</w:t>
      </w:r>
      <w:r>
        <w:t xml:space="preserve"> </w:t>
      </w:r>
      <w:r w:rsidRPr="00EC56C1">
        <w:t>visit to Bradford’s residence a week later. That information, which was not</w:t>
      </w:r>
      <w:r>
        <w:t xml:space="preserve"> </w:t>
      </w:r>
      <w:r w:rsidRPr="00EC56C1">
        <w:t>discernable from the drone flight, presented evidence of animal cruelty</w:t>
      </w:r>
      <w:r>
        <w:t xml:space="preserve"> </w:t>
      </w:r>
      <w:r w:rsidRPr="00EC56C1">
        <w:t>and illegal</w:t>
      </w:r>
      <w:r>
        <w:t xml:space="preserve"> </w:t>
      </w:r>
      <w:r w:rsidRPr="00ED078F">
        <w:t>dogfighting, which provided probable cause to issue a warrant to investigate those</w:t>
      </w:r>
      <w:r>
        <w:t xml:space="preserve"> </w:t>
      </w:r>
      <w:r w:rsidRPr="00ED078F">
        <w:t>activities</w:t>
      </w:r>
      <w:r>
        <w:t xml:space="preserve">.” </w:t>
      </w:r>
      <w:hyperlink r:id="rId54" w:history="1">
        <w:r w:rsidRPr="006F63BB">
          <w:rPr>
            <w:rStyle w:val="Hyperlink"/>
          </w:rPr>
          <w:t>https://cases.justia.com/georgia/court-of-appeals/2025-a25a0954.pdf?ts=1758208974</w:t>
        </w:r>
      </w:hyperlink>
      <w:r>
        <w:t xml:space="preserve"> </w:t>
      </w:r>
    </w:p>
    <w:p w14:paraId="6B5313B0" w14:textId="77777777" w:rsidR="005142F0" w:rsidRDefault="005142F0" w:rsidP="005142F0">
      <w:pPr>
        <w:pStyle w:val="NoSpacing"/>
        <w:rPr>
          <w:bCs/>
        </w:rPr>
      </w:pPr>
    </w:p>
    <w:p w14:paraId="6D273C46" w14:textId="77777777" w:rsidR="005142F0" w:rsidRPr="00913B5B" w:rsidRDefault="005142F0" w:rsidP="005142F0">
      <w:pPr>
        <w:pStyle w:val="NoSpacing"/>
        <w:rPr>
          <w:b/>
        </w:rPr>
      </w:pPr>
      <w:r w:rsidRPr="00913B5B">
        <w:rPr>
          <w:b/>
        </w:rPr>
        <w:t xml:space="preserve">KEY FACTS: </w:t>
      </w:r>
    </w:p>
    <w:p w14:paraId="154034A8" w14:textId="77777777" w:rsidR="005142F0" w:rsidRDefault="005142F0" w:rsidP="005142F0">
      <w:pPr>
        <w:pStyle w:val="NoSpacing"/>
        <w:rPr>
          <w:bCs/>
        </w:rPr>
      </w:pPr>
    </w:p>
    <w:p w14:paraId="5B30C1CF" w14:textId="77777777" w:rsidR="005142F0" w:rsidRDefault="005142F0" w:rsidP="005142F0">
      <w:pPr>
        <w:pStyle w:val="NoSpacing"/>
        <w:ind w:left="720"/>
        <w:rPr>
          <w:bCs/>
        </w:rPr>
      </w:pPr>
      <w:r>
        <w:t>“[T]</w:t>
      </w:r>
      <w:r w:rsidRPr="00FA0DEF">
        <w:t>he record shows that on February 15, 2024, a Mitchell County</w:t>
      </w:r>
      <w:r>
        <w:t xml:space="preserve"> </w:t>
      </w:r>
      <w:r w:rsidRPr="00FA0DEF">
        <w:t>Sheriff’s Department investigator received a call from the sheriff, who had received</w:t>
      </w:r>
      <w:r>
        <w:t xml:space="preserve"> </w:t>
      </w:r>
      <w:r w:rsidRPr="00FA0DEF">
        <w:t xml:space="preserve">a call from a </w:t>
      </w:r>
      <w:r>
        <w:t>‘</w:t>
      </w:r>
      <w:r w:rsidRPr="00FA0DEF">
        <w:t>concerned citizen.</w:t>
      </w:r>
      <w:r>
        <w:t>’</w:t>
      </w:r>
      <w:r w:rsidRPr="00FA0DEF">
        <w:t xml:space="preserve"> The caller reported a noise complaint due to a large</w:t>
      </w:r>
      <w:r>
        <w:t xml:space="preserve"> </w:t>
      </w:r>
      <w:r w:rsidRPr="00FA0DEF">
        <w:t>group of dogs constantly barking at a property on Pinewood Lane. Approximately</w:t>
      </w:r>
      <w:r>
        <w:t xml:space="preserve"> </w:t>
      </w:r>
      <w:r w:rsidRPr="00FA0DEF">
        <w:t>seven residences are located along the road, and based on the call, the investigator</w:t>
      </w:r>
      <w:r>
        <w:t xml:space="preserve"> ‘</w:t>
      </w:r>
      <w:r w:rsidRPr="00FA0DEF">
        <w:t>went and met with a guy that lives right down the road and got permission to get on</w:t>
      </w:r>
      <w:r>
        <w:t xml:space="preserve"> </w:t>
      </w:r>
      <w:r w:rsidRPr="00FA0DEF">
        <w:t>his property. [The investigator] flew [a] drone over the tree line of the property and</w:t>
      </w:r>
      <w:r>
        <w:t xml:space="preserve"> </w:t>
      </w:r>
      <w:r w:rsidRPr="00FA0DEF">
        <w:t xml:space="preserve">observed a large </w:t>
      </w:r>
      <w:proofErr w:type="gramStart"/>
      <w:r w:rsidRPr="00FA0DEF">
        <w:t>amount</w:t>
      </w:r>
      <w:proofErr w:type="gramEnd"/>
      <w:r w:rsidRPr="00FA0DEF">
        <w:t xml:space="preserve"> of dogs in a wooded area in the back of the residence” at 600</w:t>
      </w:r>
      <w:r>
        <w:t xml:space="preserve"> </w:t>
      </w:r>
      <w:r w:rsidRPr="00FA0DEF">
        <w:t>Pinewood Lane, where Bradford lives. Using the drone’s camera, the investigator saw</w:t>
      </w:r>
      <w:r>
        <w:t xml:space="preserve"> ‘</w:t>
      </w:r>
      <w:r w:rsidRPr="00FA0DEF">
        <w:t>approximately 40 to 50</w:t>
      </w:r>
      <w:r>
        <w:t>’</w:t>
      </w:r>
      <w:r w:rsidRPr="00FA0DEF">
        <w:t xml:space="preserve"> dogs on the property. He </w:t>
      </w:r>
      <w:proofErr w:type="gramStart"/>
      <w:r w:rsidRPr="00FA0DEF">
        <w:t>was not able to</w:t>
      </w:r>
      <w:proofErr w:type="gramEnd"/>
      <w:r w:rsidRPr="00FA0DEF">
        <w:t xml:space="preserve"> discern their</w:t>
      </w:r>
      <w:r>
        <w:t xml:space="preserve"> </w:t>
      </w:r>
      <w:r w:rsidRPr="00FA0DEF">
        <w:t>condition, and he pursued no further investigation or criminal action at that time.</w:t>
      </w:r>
    </w:p>
    <w:p w14:paraId="7888058D" w14:textId="77777777" w:rsidR="005142F0" w:rsidRDefault="005142F0" w:rsidP="005142F0">
      <w:pPr>
        <w:pStyle w:val="NoSpacing"/>
        <w:ind w:left="720"/>
        <w:rPr>
          <w:bCs/>
        </w:rPr>
      </w:pPr>
    </w:p>
    <w:p w14:paraId="1549ECE2" w14:textId="77777777" w:rsidR="005142F0" w:rsidRDefault="005142F0" w:rsidP="005142F0">
      <w:pPr>
        <w:pStyle w:val="NoSpacing"/>
        <w:ind w:left="720"/>
        <w:rPr>
          <w:bCs/>
        </w:rPr>
      </w:pPr>
      <w:r w:rsidRPr="00DA2CA3">
        <w:t>A week later, on February 22, 2024, the sheriff received a second call from a</w:t>
      </w:r>
      <w:r>
        <w:t xml:space="preserve"> </w:t>
      </w:r>
      <w:r w:rsidRPr="00DA2CA3">
        <w:t xml:space="preserve">neighbor on the same street stating that </w:t>
      </w:r>
      <w:r>
        <w:t>‘</w:t>
      </w:r>
      <w:r w:rsidRPr="00DA2CA3">
        <w:t>one of the dogs had gotten loose and come</w:t>
      </w:r>
      <w:r>
        <w:t xml:space="preserve"> </w:t>
      </w:r>
      <w:r w:rsidRPr="00DA2CA3">
        <w:t>up to their property and he looked malnourished.</w:t>
      </w:r>
      <w:r>
        <w:t xml:space="preserve">’ </w:t>
      </w:r>
      <w:r w:rsidRPr="00DA2CA3">
        <w:t xml:space="preserve"> Based on this, the investigator</w:t>
      </w:r>
      <w:r>
        <w:t xml:space="preserve"> </w:t>
      </w:r>
      <w:r w:rsidRPr="00DA2CA3">
        <w:t>contacted the county code enforcement officer to conduct a welfare check regarding</w:t>
      </w:r>
      <w:r>
        <w:t xml:space="preserve"> </w:t>
      </w:r>
      <w:r w:rsidRPr="00DA2CA3">
        <w:t xml:space="preserve">the loose dog. The investigator testified </w:t>
      </w:r>
      <w:proofErr w:type="gramStart"/>
      <w:r w:rsidRPr="00DA2CA3">
        <w:t xml:space="preserve">that, </w:t>
      </w:r>
      <w:r>
        <w:t>‘</w:t>
      </w:r>
      <w:proofErr w:type="gramEnd"/>
      <w:r w:rsidRPr="00DA2CA3">
        <w:t>when we rode down [Pinewood Lane],</w:t>
      </w:r>
      <w:r>
        <w:t xml:space="preserve"> </w:t>
      </w:r>
      <w:r w:rsidRPr="00DA2CA3">
        <w:t>we didn’t observe any dogs at any of the other residences until we got to the end and</w:t>
      </w:r>
      <w:r>
        <w:t xml:space="preserve"> </w:t>
      </w:r>
      <w:r w:rsidRPr="00632369">
        <w:t>observed</w:t>
      </w:r>
      <w:r>
        <w:t>’</w:t>
      </w:r>
      <w:r w:rsidRPr="00632369">
        <w:t xml:space="preserve"> two dogs in the front yard of Bradford’s property. The two dogs were</w:t>
      </w:r>
      <w:r>
        <w:t xml:space="preserve"> </w:t>
      </w:r>
      <w:r w:rsidRPr="00632369">
        <w:t xml:space="preserve">visible from the road, and one dog was confined in a small cage </w:t>
      </w:r>
      <w:proofErr w:type="gramStart"/>
      <w:r w:rsidRPr="00632369">
        <w:t>similar to</w:t>
      </w:r>
      <w:proofErr w:type="gramEnd"/>
      <w:r w:rsidRPr="00632369">
        <w:t xml:space="preserve"> a rabbit cage,</w:t>
      </w:r>
      <w:r>
        <w:t xml:space="preserve"> </w:t>
      </w:r>
      <w:r w:rsidRPr="00632369">
        <w:t xml:space="preserve">and the other dog was attached to a heavy logging chain. The caged dog was </w:t>
      </w:r>
      <w:r>
        <w:t>‘</w:t>
      </w:r>
      <w:r w:rsidRPr="00632369">
        <w:t>almost</w:t>
      </w:r>
      <w:r>
        <w:t xml:space="preserve"> </w:t>
      </w:r>
      <w:r w:rsidRPr="00632369">
        <w:t>bigger than the cage it was in,</w:t>
      </w:r>
      <w:r>
        <w:t>’</w:t>
      </w:r>
      <w:r w:rsidRPr="00632369">
        <w:t xml:space="preserve"> such that its confinement appeared inhumane. Also</w:t>
      </w:r>
      <w:r>
        <w:t xml:space="preserve"> </w:t>
      </w:r>
      <w:r w:rsidRPr="00632369">
        <w:t xml:space="preserve">audible from the road was the sound of </w:t>
      </w:r>
      <w:proofErr w:type="gramStart"/>
      <w:r w:rsidRPr="00632369">
        <w:t>a large number of</w:t>
      </w:r>
      <w:proofErr w:type="gramEnd"/>
      <w:r w:rsidRPr="00632369">
        <w:t xml:space="preserve"> dogs barking from the back</w:t>
      </w:r>
      <w:r>
        <w:t xml:space="preserve"> </w:t>
      </w:r>
      <w:r w:rsidRPr="00632369">
        <w:t>of Bradford’s property.</w:t>
      </w:r>
    </w:p>
    <w:p w14:paraId="50115AEA" w14:textId="77777777" w:rsidR="005142F0" w:rsidRDefault="005142F0" w:rsidP="005142F0">
      <w:pPr>
        <w:pStyle w:val="NoSpacing"/>
        <w:ind w:left="720"/>
        <w:rPr>
          <w:bCs/>
        </w:rPr>
      </w:pPr>
    </w:p>
    <w:p w14:paraId="44D9A16B" w14:textId="77777777" w:rsidR="005142F0" w:rsidRDefault="005142F0" w:rsidP="005142F0">
      <w:pPr>
        <w:pStyle w:val="NoSpacing"/>
        <w:ind w:left="720"/>
        <w:rPr>
          <w:bCs/>
        </w:rPr>
      </w:pPr>
      <w:r>
        <w:t>***</w:t>
      </w:r>
    </w:p>
    <w:p w14:paraId="6C125A9D" w14:textId="77777777" w:rsidR="005142F0" w:rsidRDefault="005142F0" w:rsidP="005142F0">
      <w:pPr>
        <w:pStyle w:val="NoSpacing"/>
        <w:ind w:left="720"/>
        <w:rPr>
          <w:bCs/>
        </w:rPr>
      </w:pPr>
      <w:proofErr w:type="gramStart"/>
      <w:r w:rsidRPr="0079581D">
        <w:t>In light of</w:t>
      </w:r>
      <w:proofErr w:type="gramEnd"/>
      <w:r w:rsidRPr="0079581D">
        <w:t xml:space="preserve"> the grim scene, the investigator determined that he would seek a</w:t>
      </w:r>
      <w:r>
        <w:t xml:space="preserve"> </w:t>
      </w:r>
      <w:r w:rsidRPr="0079581D">
        <w:t>warrant to search for evidence of crimes pertaining to animal cruelty. After obtaining</w:t>
      </w:r>
      <w:r>
        <w:t xml:space="preserve"> </w:t>
      </w:r>
      <w:r w:rsidRPr="0079581D">
        <w:t>the search warrant, police discovered contraband leading to Bradford’s indictment for</w:t>
      </w:r>
      <w:r>
        <w:t xml:space="preserve"> </w:t>
      </w:r>
      <w:r w:rsidRPr="0079581D">
        <w:t>drug crimes, dog fighting, cruelty to animals, firearm violations, and commercial</w:t>
      </w:r>
      <w:r>
        <w:t xml:space="preserve"> </w:t>
      </w:r>
      <w:r w:rsidRPr="0079581D">
        <w:t>gambling, as well as the forfeiture of property involved in this appeal.</w:t>
      </w:r>
      <w:r>
        <w:t>”</w:t>
      </w:r>
    </w:p>
    <w:p w14:paraId="172B2396" w14:textId="77777777" w:rsidR="005142F0" w:rsidRPr="000506B0" w:rsidRDefault="005142F0" w:rsidP="005142F0">
      <w:pPr>
        <w:pStyle w:val="NoSpacing"/>
      </w:pPr>
    </w:p>
    <w:p w14:paraId="6D00F05B" w14:textId="77777777" w:rsidR="005142F0" w:rsidRDefault="005142F0" w:rsidP="005142F0">
      <w:pPr>
        <w:pStyle w:val="NoSpacing"/>
        <w:rPr>
          <w:b/>
          <w:bCs/>
        </w:rPr>
      </w:pPr>
      <w:r>
        <w:rPr>
          <w:b/>
        </w:rPr>
        <w:t>Legal lesson learned:  When using a drone for code enforcement, avoid flying over target property until search warrant is obtained.</w:t>
      </w:r>
    </w:p>
    <w:p w14:paraId="5811BC1B" w14:textId="77777777" w:rsidR="005142F0" w:rsidRDefault="005142F0" w:rsidP="005142F0">
      <w:pPr>
        <w:pStyle w:val="NoSpacing"/>
        <w:rPr>
          <w:b/>
          <w:bCs/>
        </w:rPr>
      </w:pPr>
      <w:r>
        <w:rPr>
          <w:b/>
        </w:rPr>
        <w:tab/>
      </w:r>
    </w:p>
    <w:p w14:paraId="3B6A4B20" w14:textId="77777777" w:rsidR="005142F0" w:rsidRDefault="005142F0" w:rsidP="005142F0">
      <w:pPr>
        <w:pStyle w:val="NoSpacing"/>
        <w:ind w:left="720"/>
      </w:pPr>
      <w:r w:rsidRPr="00826E91">
        <w:t xml:space="preserve">Note: </w:t>
      </w:r>
      <w:r w:rsidRPr="008D2B93">
        <w:t>See also see this</w:t>
      </w:r>
      <w:r>
        <w:t xml:space="preserve"> April 17, </w:t>
      </w:r>
      <w:proofErr w:type="gramStart"/>
      <w:r>
        <w:t>2025</w:t>
      </w:r>
      <w:proofErr w:type="gramEnd"/>
      <w:r>
        <w:t xml:space="preserve"> Illinois decision </w:t>
      </w:r>
      <w:r w:rsidRPr="008D2B93">
        <w:t xml:space="preserve">where Sheriff </w:t>
      </w:r>
      <w:r>
        <w:t xml:space="preserve">wisely </w:t>
      </w:r>
      <w:r w:rsidRPr="008D2B93">
        <w:t xml:space="preserve">obtained search warrant </w:t>
      </w:r>
      <w:r>
        <w:t xml:space="preserve">to use a </w:t>
      </w:r>
      <w:r w:rsidRPr="008D2B93">
        <w:t xml:space="preserve">drone to </w:t>
      </w:r>
      <w:r>
        <w:t xml:space="preserve">film run down </w:t>
      </w:r>
      <w:r w:rsidRPr="008D2B93">
        <w:t>hotel</w:t>
      </w:r>
      <w:r>
        <w:t xml:space="preserve"> to support condemnation. </w:t>
      </w:r>
    </w:p>
    <w:p w14:paraId="77D0D301" w14:textId="77777777" w:rsidR="005142F0" w:rsidRPr="008D2B93" w:rsidRDefault="005142F0" w:rsidP="005142F0">
      <w:pPr>
        <w:ind w:left="720"/>
      </w:pPr>
      <w:r>
        <w:t xml:space="preserve">“On July 24, 2023, with judicial approval, the Winnebago County Sheriff’s Office used a drone to make a video of the Hotel. At trial, as the video was played, Henthorn pointed out to the circuit court the vandalized entryway, water damage and mildew on the walls and ceiling, the nonfunctioning plumbing, the lack of electrical service, and the unsecured and vacant condition of the Hotel.”  </w:t>
      </w:r>
      <w:r w:rsidRPr="001116F2">
        <w:rPr>
          <w:u w:val="single"/>
        </w:rPr>
        <w:t>The City of South Beloit, Illinois v. The New Chapter Group, et al</w:t>
      </w:r>
      <w:r>
        <w:t xml:space="preserve">., Appellate Court of Illinois. April 17, 2025. </w:t>
      </w:r>
      <w:hyperlink r:id="rId55" w:history="1">
        <w:r w:rsidRPr="005A0008">
          <w:rPr>
            <w:rStyle w:val="Hyperlink"/>
          </w:rPr>
          <w:t>https://legal.iml.org/file.cfm?key=29946</w:t>
        </w:r>
      </w:hyperlink>
      <w:r>
        <w:t xml:space="preserve"> </w:t>
      </w:r>
    </w:p>
    <w:p w14:paraId="0EDC12B0" w14:textId="60821484"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w:t>
      </w:r>
      <w:r>
        <w:rPr>
          <w:rFonts w:ascii="Arial Black" w:hAnsi="Arial Black"/>
          <w:sz w:val="24"/>
          <w:szCs w:val="24"/>
        </w:rPr>
        <w:t>91</w:t>
      </w:r>
    </w:p>
    <w:p w14:paraId="213BB90A" w14:textId="77777777" w:rsidR="005142F0" w:rsidRPr="00306696" w:rsidRDefault="005142F0" w:rsidP="00037CB8">
      <w:pPr>
        <w:pStyle w:val="NoSpacing"/>
      </w:pPr>
    </w:p>
    <w:p w14:paraId="104D090D" w14:textId="77777777" w:rsidR="001F3C9E" w:rsidRDefault="001F3C9E" w:rsidP="001F3C9E">
      <w:pPr>
        <w:rPr>
          <w:rFonts w:ascii="Arial Black" w:hAnsi="Arial Black"/>
          <w:b/>
          <w:sz w:val="28"/>
          <w:szCs w:val="28"/>
        </w:rPr>
      </w:pPr>
      <w:r>
        <w:rPr>
          <w:rFonts w:ascii="Arial Black" w:hAnsi="Arial Black"/>
          <w:b/>
          <w:sz w:val="28"/>
          <w:szCs w:val="28"/>
        </w:rPr>
        <w:t>OH: LIQUOR LICENSE NOT RENEWED – FD / PD TESTIMONY</w:t>
      </w:r>
    </w:p>
    <w:p w14:paraId="7660F6F6" w14:textId="77777777" w:rsidR="001F3C9E" w:rsidRDefault="001F3C9E" w:rsidP="001F3C9E">
      <w:pPr>
        <w:pStyle w:val="NoSpacing"/>
        <w:rPr>
          <w:bCs/>
        </w:rPr>
      </w:pPr>
      <w:r w:rsidRPr="001C15AB">
        <w:t xml:space="preserve">On September 12, </w:t>
      </w:r>
      <w:proofErr w:type="gramStart"/>
      <w:r w:rsidRPr="001C15AB">
        <w:t>2025</w:t>
      </w:r>
      <w:proofErr w:type="gramEnd"/>
      <w:r w:rsidRPr="001C15AB">
        <w:t xml:space="preserve"> in </w:t>
      </w:r>
      <w:r w:rsidRPr="001C15AB">
        <w:rPr>
          <w:u w:val="single"/>
        </w:rPr>
        <w:t>City of Sharonville v. Ohio Liquor Control Commission, et al</w:t>
      </w:r>
      <w:r w:rsidRPr="001C15AB">
        <w:t xml:space="preserve">., </w:t>
      </w:r>
      <w:r>
        <w:t xml:space="preserve">the </w:t>
      </w:r>
      <w:r w:rsidRPr="00862D06">
        <w:t>Court of Appeals of Ohio, Tenth District</w:t>
      </w:r>
      <w:r>
        <w:t xml:space="preserve"> held (2 to 1) that trial court judge, after testimony from Acting Fire Chief and Police Chief, properly reversed the Commission and liquor license of the “Cove 51” bar was not renewed.  </w:t>
      </w:r>
    </w:p>
    <w:p w14:paraId="00EF20E6" w14:textId="77777777" w:rsidR="001F3C9E" w:rsidRDefault="001F3C9E" w:rsidP="001F3C9E">
      <w:pPr>
        <w:pStyle w:val="NoSpacing"/>
        <w:rPr>
          <w:bCs/>
        </w:rPr>
      </w:pPr>
    </w:p>
    <w:p w14:paraId="70CDCFD3" w14:textId="77777777" w:rsidR="001F3C9E" w:rsidRDefault="001F3C9E" w:rsidP="001F3C9E">
      <w:pPr>
        <w:pStyle w:val="NoSpacing"/>
        <w:rPr>
          <w:bCs/>
        </w:rPr>
      </w:pPr>
      <w:r w:rsidRPr="005A464F">
        <w:rPr>
          <w:b/>
        </w:rPr>
        <w:t>THE COURT HELD:</w:t>
      </w:r>
      <w:r>
        <w:t xml:space="preserve"> “</w:t>
      </w:r>
      <w:r w:rsidRPr="001D46D4">
        <w:t xml:space="preserve">The Sharonville Fire Department’s Acting Chief </w:t>
      </w:r>
      <w:r>
        <w:t xml:space="preserve">[John Mackey] </w:t>
      </w:r>
      <w:r w:rsidRPr="001D46D4">
        <w:t>testified that the operation of</w:t>
      </w:r>
      <w:r>
        <w:t xml:space="preserve"> </w:t>
      </w:r>
      <w:r w:rsidRPr="001D46D4">
        <w:t>Cove 51 had substantially affected the delivery of emergency services to the business. The</w:t>
      </w:r>
      <w:r>
        <w:t xml:space="preserve"> </w:t>
      </w:r>
      <w:r w:rsidRPr="001D46D4">
        <w:t xml:space="preserve">parking lot was frequently overcrowded and difficult to navigate, and patrons </w:t>
      </w:r>
      <w:proofErr w:type="gramStart"/>
      <w:r w:rsidRPr="001D46D4">
        <w:t>have</w:t>
      </w:r>
      <w:r>
        <w:t xml:space="preserve"> </w:t>
      </w:r>
      <w:r w:rsidRPr="001D46D4">
        <w:t>confronted</w:t>
      </w:r>
      <w:proofErr w:type="gramEnd"/>
      <w:r w:rsidRPr="001D46D4">
        <w:t xml:space="preserve"> EMS teams with weapons while they were treating patients. As a result, EMS</w:t>
      </w:r>
      <w:r>
        <w:t xml:space="preserve"> </w:t>
      </w:r>
      <w:r w:rsidRPr="001D46D4">
        <w:t>personnel have been required to wear ballistic vests when responding to the area, and have</w:t>
      </w:r>
      <w:r>
        <w:t xml:space="preserve"> </w:t>
      </w:r>
      <w:r w:rsidRPr="001D46D4">
        <w:t>been instructed to transport patients away from the area for any treatment</w:t>
      </w:r>
      <w:r>
        <w:t>….</w:t>
      </w:r>
      <w:r w:rsidRPr="001D46D4">
        <w:t>Further,</w:t>
      </w:r>
      <w:r>
        <w:t xml:space="preserve"> </w:t>
      </w:r>
      <w:r w:rsidRPr="001D46D4">
        <w:t>the operations commander of the Sharonville Police Department testified about numerous</w:t>
      </w:r>
      <w:r>
        <w:t xml:space="preserve"> </w:t>
      </w:r>
      <w:r w:rsidRPr="001D46D4">
        <w:t>incidents requiring police intervention traceable to Cove 51, including 118 documented calls</w:t>
      </w:r>
      <w:r>
        <w:t xml:space="preserve"> </w:t>
      </w:r>
      <w:r w:rsidRPr="001D46D4">
        <w:t>and 43 calls over the course of a single year, including assaults, shots fired incidents, thefts,</w:t>
      </w:r>
      <w:r>
        <w:t xml:space="preserve"> </w:t>
      </w:r>
      <w:r w:rsidRPr="001D46D4">
        <w:t>trouble runs, criminal damaging, and disruption of other area businesses.</w:t>
      </w:r>
      <w:r>
        <w:t xml:space="preserve"> *** Chief Mackey’s testimony as stated above also shows that Cove’s patrons’ conduct has also had a significant impact on the City’s fire department not only for runs to Cove, but to all calls on Chester Road. *** The [trial] court’s review of the facts is very thorough and completely reasonable, and its partial reversal of the OLCC’s decision is appropriate on these facts. And given our own limited standard of review, we cannot conclude that review of the facts and partial reversal constitutes an abuse of the common pleas court’s discretion.” </w:t>
      </w:r>
      <w:hyperlink r:id="rId56" w:history="1">
        <w:r w:rsidRPr="00854CEF">
          <w:rPr>
            <w:rStyle w:val="Hyperlink"/>
            <w:b/>
          </w:rPr>
          <w:t>https://cases.justia.com/ohio/tenth-district-court-of-appeals/2025-24ap-255.pdf?ts=1757620491</w:t>
        </w:r>
      </w:hyperlink>
    </w:p>
    <w:p w14:paraId="22AABB4E" w14:textId="77777777" w:rsidR="001F3C9E" w:rsidRDefault="001F3C9E" w:rsidP="001F3C9E">
      <w:pPr>
        <w:pStyle w:val="NoSpacing"/>
        <w:rPr>
          <w:bCs/>
        </w:rPr>
      </w:pPr>
    </w:p>
    <w:p w14:paraId="0AE062B3" w14:textId="77777777" w:rsidR="001F3C9E" w:rsidRPr="005A464F" w:rsidRDefault="001F3C9E" w:rsidP="001F3C9E">
      <w:pPr>
        <w:pStyle w:val="NoSpacing"/>
        <w:rPr>
          <w:b/>
        </w:rPr>
      </w:pPr>
      <w:r w:rsidRPr="005A464F">
        <w:rPr>
          <w:b/>
        </w:rPr>
        <w:t>KEY FACTS:</w:t>
      </w:r>
    </w:p>
    <w:p w14:paraId="5D372BD1" w14:textId="77777777" w:rsidR="001F3C9E" w:rsidRDefault="001F3C9E" w:rsidP="001F3C9E">
      <w:pPr>
        <w:pStyle w:val="NoSpacing"/>
        <w:rPr>
          <w:bCs/>
        </w:rPr>
      </w:pPr>
    </w:p>
    <w:p w14:paraId="2898D302" w14:textId="77777777" w:rsidR="001F3C9E" w:rsidRPr="00DC61C4" w:rsidRDefault="001F3C9E" w:rsidP="001F3C9E">
      <w:pPr>
        <w:pStyle w:val="NoSpacing"/>
        <w:ind w:left="720"/>
        <w:rPr>
          <w:bCs/>
        </w:rPr>
      </w:pPr>
      <w:r>
        <w:t>“</w:t>
      </w:r>
      <w:r w:rsidRPr="00DC61C4">
        <w:t>On May 25, 2021, Sharonville’s City Council adopted an emergency</w:t>
      </w:r>
      <w:r>
        <w:t xml:space="preserve"> </w:t>
      </w:r>
      <w:r w:rsidRPr="00DC61C4">
        <w:t xml:space="preserve">resolution stating its position that </w:t>
      </w:r>
      <w:r>
        <w:t>‘</w:t>
      </w:r>
      <w:r w:rsidRPr="00DC61C4">
        <w:t xml:space="preserve">the liquor permit issued to Elizabeth </w:t>
      </w:r>
      <w:proofErr w:type="spellStart"/>
      <w:r w:rsidRPr="00DC61C4">
        <w:t>Iloegbunam</w:t>
      </w:r>
      <w:proofErr w:type="spellEnd"/>
      <w:r w:rsidRPr="00DC61C4">
        <w:t xml:space="preserve"> for</w:t>
      </w:r>
      <w:r>
        <w:t xml:space="preserve"> </w:t>
      </w:r>
      <w:r w:rsidRPr="00DC61C4">
        <w:t>Klass Entertainment, dba Cove 51, should not be renewed,</w:t>
      </w:r>
      <w:r>
        <w:t xml:space="preserve">’ </w:t>
      </w:r>
      <w:r w:rsidRPr="00DC61C4">
        <w:t xml:space="preserve">and requested a hearing </w:t>
      </w:r>
      <w:r>
        <w:t>‘</w:t>
      </w:r>
      <w:r w:rsidRPr="00DC61C4">
        <w:t>before</w:t>
      </w:r>
    </w:p>
    <w:p w14:paraId="09E3C4A7" w14:textId="77777777" w:rsidR="001F3C9E" w:rsidRDefault="001F3C9E" w:rsidP="001F3C9E">
      <w:pPr>
        <w:pStyle w:val="NoSpacing"/>
        <w:ind w:left="720"/>
        <w:rPr>
          <w:bCs/>
        </w:rPr>
      </w:pPr>
      <w:r w:rsidRPr="00DC61C4">
        <w:t>the Ohio Department of Liquor Control [sic] to prove the authenticity of these findings and</w:t>
      </w:r>
      <w:r>
        <w:t xml:space="preserve"> </w:t>
      </w:r>
      <w:r w:rsidRPr="00DC61C4">
        <w:t>to document the fact that the liquor permit should be cancelled.</w:t>
      </w:r>
      <w:r>
        <w:t>’</w:t>
      </w:r>
    </w:p>
    <w:p w14:paraId="01FBF4BE" w14:textId="77777777" w:rsidR="001F3C9E" w:rsidRDefault="001F3C9E" w:rsidP="001F3C9E">
      <w:pPr>
        <w:pStyle w:val="NoSpacing"/>
        <w:ind w:left="720"/>
        <w:rPr>
          <w:bCs/>
        </w:rPr>
      </w:pPr>
    </w:p>
    <w:p w14:paraId="39E8C7BC" w14:textId="77777777" w:rsidR="001F3C9E" w:rsidRDefault="001F3C9E" w:rsidP="001F3C9E">
      <w:pPr>
        <w:pStyle w:val="NoSpacing"/>
        <w:ind w:left="720"/>
        <w:rPr>
          <w:bCs/>
        </w:rPr>
      </w:pPr>
      <w:r>
        <w:t>***</w:t>
      </w:r>
    </w:p>
    <w:p w14:paraId="32433F4E" w14:textId="77777777" w:rsidR="001F3C9E" w:rsidRPr="00C17172" w:rsidRDefault="001F3C9E" w:rsidP="001F3C9E">
      <w:pPr>
        <w:pStyle w:val="NoSpacing"/>
        <w:ind w:left="720"/>
        <w:rPr>
          <w:bCs/>
        </w:rPr>
      </w:pPr>
      <w:r w:rsidRPr="00C17172">
        <w:t>The denial was supported by extensive evidence, both regarding the nature</w:t>
      </w:r>
      <w:r>
        <w:t xml:space="preserve"> </w:t>
      </w:r>
      <w:r w:rsidRPr="00C17172">
        <w:t>of the neighborhood where Cove 51 is located and of the incidents with public safety and</w:t>
      </w:r>
    </w:p>
    <w:p w14:paraId="58E0732B" w14:textId="77777777" w:rsidR="001F3C9E" w:rsidRDefault="001F3C9E" w:rsidP="001F3C9E">
      <w:pPr>
        <w:pStyle w:val="NoSpacing"/>
        <w:ind w:left="720"/>
        <w:rPr>
          <w:bCs/>
        </w:rPr>
      </w:pPr>
      <w:r w:rsidRPr="00C17172">
        <w:t xml:space="preserve">law enforcement that prompted Sharonville’s objection to renewal of </w:t>
      </w:r>
      <w:proofErr w:type="spellStart"/>
      <w:r w:rsidRPr="00C17172">
        <w:t>Iloegbunam’s</w:t>
      </w:r>
      <w:proofErr w:type="spellEnd"/>
      <w:r w:rsidRPr="00C17172">
        <w:t xml:space="preserve"> permit.</w:t>
      </w:r>
      <w:r>
        <w:t xml:space="preserve"> </w:t>
      </w:r>
      <w:r w:rsidRPr="00C17172">
        <w:t>Representatives of three nearby hotels described regular disruptions by Cove 51’s patrons</w:t>
      </w:r>
      <w:r>
        <w:t xml:space="preserve"> </w:t>
      </w:r>
      <w:r w:rsidRPr="00C17172">
        <w:t>on their properties, which included excessive late-night noise, unauthorized use of private</w:t>
      </w:r>
      <w:r>
        <w:t xml:space="preserve"> </w:t>
      </w:r>
      <w:r w:rsidRPr="00C17172">
        <w:t>parking lots, fights, discarded and broken alcohol containers, abandoned litter, and used</w:t>
      </w:r>
      <w:r>
        <w:t xml:space="preserve"> </w:t>
      </w:r>
      <w:r w:rsidRPr="00C17172">
        <w:t>condoms. One of the managers testified that a Cove 51 patron had run through their hotel</w:t>
      </w:r>
      <w:r>
        <w:t xml:space="preserve"> </w:t>
      </w:r>
      <w:r w:rsidRPr="00C17172">
        <w:t>lobby brandishing a gun, and the director of guest services for another hotel testified that</w:t>
      </w:r>
      <w:r>
        <w:t xml:space="preserve"> </w:t>
      </w:r>
      <w:r w:rsidRPr="00C17172">
        <w:t xml:space="preserve">the hotel had lost the business of traveling sports teams because of </w:t>
      </w:r>
      <w:r>
        <w:t>‘</w:t>
      </w:r>
      <w:r w:rsidRPr="00C17172">
        <w:t>shots fired</w:t>
      </w:r>
      <w:r>
        <w:t>’</w:t>
      </w:r>
      <w:r w:rsidRPr="00C17172">
        <w:t xml:space="preserve"> incidents</w:t>
      </w:r>
      <w:r>
        <w:t xml:space="preserve"> </w:t>
      </w:r>
      <w:r w:rsidRPr="00C17172">
        <w:t>at Cove 51 and the required police response to those incidents. Id. Sharonville’s City</w:t>
      </w:r>
      <w:r>
        <w:t xml:space="preserve"> </w:t>
      </w:r>
      <w:r w:rsidRPr="00C17172">
        <w:t>Director testified that the area surrounding those hotels had been a subject of revitalization</w:t>
      </w:r>
      <w:r>
        <w:t xml:space="preserve"> </w:t>
      </w:r>
      <w:r w:rsidRPr="00C17172">
        <w:t>and investment efforts over the past few years, and also that Sharonville had planned to</w:t>
      </w:r>
      <w:r>
        <w:t xml:space="preserve"> </w:t>
      </w:r>
      <w:r w:rsidRPr="00C17172">
        <w:t>borrow nearly $20 million over the next quarter to expand the Sharonville Convention</w:t>
      </w:r>
      <w:r>
        <w:t xml:space="preserve"> </w:t>
      </w:r>
      <w:r w:rsidRPr="00616855">
        <w:t>Center, which is in that same area on the same side of the street and just south of Cove 51.</w:t>
      </w:r>
      <w:r>
        <w:t>”</w:t>
      </w:r>
    </w:p>
    <w:p w14:paraId="35AF1EAD" w14:textId="77777777" w:rsidR="001F3C9E" w:rsidRDefault="001F3C9E" w:rsidP="001F3C9E">
      <w:pPr>
        <w:pStyle w:val="NoSpacing"/>
        <w:rPr>
          <w:bCs/>
        </w:rPr>
      </w:pPr>
    </w:p>
    <w:p w14:paraId="1A389576" w14:textId="7485D4E8" w:rsidR="001F3C9E" w:rsidRPr="004E4F8A" w:rsidRDefault="001F3C9E" w:rsidP="001F3C9E">
      <w:pPr>
        <w:pStyle w:val="NoSpacing"/>
        <w:rPr>
          <w:b/>
          <w:bCs/>
        </w:rPr>
      </w:pPr>
      <w:r>
        <w:rPr>
          <w:b/>
        </w:rPr>
        <w:t xml:space="preserve">Lesson learned: Excellent example of fire and police testimony leading to revocation of liquor license. </w:t>
      </w:r>
    </w:p>
    <w:p w14:paraId="07CA95B4" w14:textId="77777777" w:rsidR="001F3C9E" w:rsidRDefault="001F3C9E" w:rsidP="001F3C9E">
      <w:pPr>
        <w:pStyle w:val="NoSpacing"/>
      </w:pPr>
    </w:p>
    <w:p w14:paraId="55574709" w14:textId="77777777" w:rsidR="001F3C9E" w:rsidRDefault="001F3C9E" w:rsidP="00F326E5">
      <w:pPr>
        <w:pStyle w:val="NoSpacing"/>
        <w:rPr>
          <w:rFonts w:ascii="Arial Black" w:hAnsi="Arial Black"/>
          <w:sz w:val="24"/>
          <w:szCs w:val="24"/>
        </w:rPr>
      </w:pPr>
    </w:p>
    <w:p w14:paraId="5BBF69C0" w14:textId="730CED6F"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w:t>
      </w:r>
      <w:r>
        <w:rPr>
          <w:rFonts w:ascii="Arial Black" w:hAnsi="Arial Black"/>
          <w:sz w:val="24"/>
          <w:szCs w:val="24"/>
        </w:rPr>
        <w:t>90</w:t>
      </w:r>
    </w:p>
    <w:p w14:paraId="336B7366" w14:textId="77777777" w:rsidR="00141CEC" w:rsidRDefault="00141CEC" w:rsidP="0044195B">
      <w:pPr>
        <w:rPr>
          <w:rFonts w:ascii="Arial Black" w:hAnsi="Arial Black"/>
          <w:b/>
          <w:sz w:val="28"/>
          <w:szCs w:val="28"/>
        </w:rPr>
      </w:pPr>
    </w:p>
    <w:p w14:paraId="353322A6" w14:textId="11B04C4A" w:rsidR="0044195B" w:rsidRPr="00B80244" w:rsidRDefault="0044195B" w:rsidP="0044195B">
      <w:pPr>
        <w:rPr>
          <w:rFonts w:ascii="Arial Black" w:hAnsi="Arial Black"/>
          <w:b/>
          <w:sz w:val="28"/>
          <w:szCs w:val="28"/>
        </w:rPr>
      </w:pPr>
      <w:r>
        <w:rPr>
          <w:rFonts w:ascii="Arial Black" w:hAnsi="Arial Black"/>
          <w:b/>
          <w:sz w:val="28"/>
          <w:szCs w:val="28"/>
        </w:rPr>
        <w:t>WY: ARSON TRAILER – CIR. EVID. / BLEACH ON SHIRT</w:t>
      </w:r>
    </w:p>
    <w:p w14:paraId="05C50ADB" w14:textId="77777777" w:rsidR="0044195B" w:rsidRDefault="0044195B" w:rsidP="0044195B">
      <w:pPr>
        <w:rPr>
          <w:bCs/>
        </w:rPr>
      </w:pPr>
      <w:r w:rsidRPr="00A2196C">
        <w:t xml:space="preserve">On September 12, 2025, in </w:t>
      </w:r>
      <w:r w:rsidRPr="00240688">
        <w:rPr>
          <w:u w:val="single"/>
        </w:rPr>
        <w:t>Andrew Lee Boyer v. The State of Wyoming</w:t>
      </w:r>
      <w:r>
        <w:t xml:space="preserve">, the Supreme Court of Wyoming held (5 to 0) there was sufficient circumstantial evidence when jury found him guilty of first-degree arson (sentenced to 8-14 years).  </w:t>
      </w:r>
    </w:p>
    <w:p w14:paraId="733E3126" w14:textId="77777777" w:rsidR="0044195B" w:rsidRDefault="0044195B" w:rsidP="0044195B">
      <w:r w:rsidRPr="00B511E1">
        <w:rPr>
          <w:b/>
        </w:rPr>
        <w:t>THE COURT HELD</w:t>
      </w:r>
      <w:r>
        <w:t>: “</w:t>
      </w:r>
      <w:r w:rsidRPr="00B80244">
        <w:t>We find there was substantial evidence to support Mr. Boyer’s conviction. While</w:t>
      </w:r>
      <w:r>
        <w:t xml:space="preserve"> </w:t>
      </w:r>
      <w:r w:rsidRPr="00B80244">
        <w:t>there was no direct evidence linking Mr. Boyer to the fire, there was plenty of</w:t>
      </w:r>
      <w:r>
        <w:t xml:space="preserve"> </w:t>
      </w:r>
      <w:r w:rsidRPr="00B80244">
        <w:t>circumstantial evidence to support the jury’s verdict. Mr. Boyer was the last person to be</w:t>
      </w:r>
      <w:r>
        <w:t xml:space="preserve"> </w:t>
      </w:r>
      <w:r w:rsidRPr="00B80244">
        <w:t>seen in the trailer. The doors to the trailer were locked, the windows were shut, and there</w:t>
      </w:r>
      <w:r>
        <w:t xml:space="preserve"> </w:t>
      </w:r>
      <w:r w:rsidRPr="00B80244">
        <w:t xml:space="preserve">was no sign of a break-in. Ms. Haglund </w:t>
      </w:r>
      <w:r>
        <w:t xml:space="preserve">[neighbor] </w:t>
      </w:r>
      <w:r w:rsidRPr="00B80244">
        <w:t>smelled and observed smoke just thirty minutes</w:t>
      </w:r>
      <w:r>
        <w:t xml:space="preserve"> </w:t>
      </w:r>
      <w:r w:rsidRPr="00B80244">
        <w:t>after Mr. Boyer left her home. Ms. Haglund saw him walk toward the main road after</w:t>
      </w:r>
      <w:r>
        <w:t xml:space="preserve"> </w:t>
      </w:r>
      <w:r w:rsidRPr="00B80244">
        <w:t>borrowing her lighter. The fire started in two or three spots and was lit on purpose.</w:t>
      </w:r>
      <w:r>
        <w:t xml:space="preserve"> </w:t>
      </w:r>
      <w:r w:rsidRPr="00B80244">
        <w:t>Mr. Boyer was covered with bleach, which can be used to manipulate evidence.</w:t>
      </w:r>
      <w:r>
        <w:t xml:space="preserve"> </w:t>
      </w:r>
      <w:r w:rsidRPr="00B80244">
        <w:t>Mr. Boyer discarded his bleach covered shirt before returning to his trailer. Contrary to</w:t>
      </w:r>
      <w:r>
        <w:t xml:space="preserve"> </w:t>
      </w:r>
      <w:r w:rsidRPr="00B80244">
        <w:t>Mr. Boyer’s story that his dogs ran away, officers found Mr. Boyer’s dogs nearby, and</w:t>
      </w:r>
      <w:r>
        <w:t xml:space="preserve"> </w:t>
      </w:r>
      <w:r w:rsidRPr="00B80244">
        <w:t>Mr. Boyer said they often got out and would come back. A jury could reasonably</w:t>
      </w:r>
      <w:r>
        <w:t xml:space="preserve"> </w:t>
      </w:r>
      <w:r w:rsidRPr="00B80244">
        <w:t>conclude that Mr. Boyer started the fire, let his dogs out, and used the fact they got out as</w:t>
      </w:r>
      <w:r>
        <w:t xml:space="preserve"> </w:t>
      </w:r>
      <w:r w:rsidRPr="00B80244">
        <w:t xml:space="preserve">a pretense to give the fire time to burn and give him time to leave the </w:t>
      </w:r>
      <w:proofErr w:type="gramStart"/>
      <w:r w:rsidRPr="00B80244">
        <w:t>scene</w:t>
      </w:r>
      <w:r>
        <w:t>.”</w:t>
      </w:r>
      <w:proofErr w:type="gramEnd"/>
      <w:r>
        <w:t xml:space="preserve">  </w:t>
      </w:r>
      <w:hyperlink r:id="rId57" w:history="1">
        <w:r w:rsidRPr="00E220D9">
          <w:rPr>
            <w:rStyle w:val="Hyperlink"/>
          </w:rPr>
          <w:t>https://cases.justia.com/wyoming/supreme-court/2025-s-24-0295.pdf?ts=1757689246</w:t>
        </w:r>
      </w:hyperlink>
      <w:r>
        <w:t xml:space="preserve"> </w:t>
      </w:r>
    </w:p>
    <w:p w14:paraId="33F0647C" w14:textId="77777777" w:rsidR="0044195B" w:rsidRDefault="0044195B" w:rsidP="0044195B">
      <w:r w:rsidRPr="00B511E1">
        <w:rPr>
          <w:b/>
        </w:rPr>
        <w:t>KEY FACTS</w:t>
      </w:r>
      <w:r>
        <w:t>:</w:t>
      </w:r>
    </w:p>
    <w:p w14:paraId="284BAF42" w14:textId="77777777" w:rsidR="0044195B" w:rsidRDefault="0044195B" w:rsidP="0044195B">
      <w:pPr>
        <w:pStyle w:val="NoSpacing"/>
        <w:ind w:firstLine="720"/>
      </w:pPr>
      <w:r>
        <w:t xml:space="preserve">“Mr. Boyer owned a trailer home located at 1605 </w:t>
      </w:r>
      <w:proofErr w:type="spellStart"/>
      <w:r>
        <w:t>Echeta</w:t>
      </w:r>
      <w:proofErr w:type="spellEnd"/>
      <w:r>
        <w:t xml:space="preserve"> Road, Lot 21 in Gillette.</w:t>
      </w:r>
    </w:p>
    <w:p w14:paraId="7A8F3204" w14:textId="77777777" w:rsidR="0044195B" w:rsidRDefault="0044195B" w:rsidP="0044195B">
      <w:pPr>
        <w:pStyle w:val="NoSpacing"/>
        <w:ind w:firstLine="720"/>
      </w:pPr>
      <w:r>
        <w:t>On the morning of August 2, 2022, Charlene Haglund was smoking a cigarette outside of</w:t>
      </w:r>
    </w:p>
    <w:p w14:paraId="627EC8C0" w14:textId="77777777" w:rsidR="0044195B" w:rsidRDefault="0044195B" w:rsidP="0044195B">
      <w:pPr>
        <w:pStyle w:val="NoSpacing"/>
        <w:ind w:firstLine="720"/>
      </w:pPr>
      <w:r>
        <w:t>her trailer home, directly across from Mr. Boyer’s trailer home. Mr. Boyer approached</w:t>
      </w:r>
    </w:p>
    <w:p w14:paraId="34E84CFC" w14:textId="77777777" w:rsidR="0044195B" w:rsidRDefault="0044195B" w:rsidP="0044195B">
      <w:pPr>
        <w:pStyle w:val="NoSpacing"/>
        <w:ind w:firstLine="720"/>
      </w:pPr>
      <w:r>
        <w:t xml:space="preserve">Ms. </w:t>
      </w:r>
      <w:proofErr w:type="gramStart"/>
      <w:r>
        <w:t>Haglund and</w:t>
      </w:r>
      <w:proofErr w:type="gramEnd"/>
      <w:r>
        <w:t xml:space="preserve"> asked if he could borrow her lighter. He lit his cigarette, made some</w:t>
      </w:r>
    </w:p>
    <w:p w14:paraId="4EDE3437" w14:textId="77777777" w:rsidR="0044195B" w:rsidRDefault="0044195B" w:rsidP="0044195B">
      <w:pPr>
        <w:pStyle w:val="NoSpacing"/>
        <w:ind w:firstLine="720"/>
      </w:pPr>
      <w:r>
        <w:t xml:space="preserve">small </w:t>
      </w:r>
      <w:proofErr w:type="gramStart"/>
      <w:r>
        <w:t>talk, and</w:t>
      </w:r>
      <w:proofErr w:type="gramEnd"/>
      <w:r>
        <w:t xml:space="preserve"> walked toward the main road. Ms. Haglund said Mr. Boyer was wearing a</w:t>
      </w:r>
    </w:p>
    <w:p w14:paraId="3D860590" w14:textId="77777777" w:rsidR="0044195B" w:rsidRDefault="0044195B" w:rsidP="0044195B">
      <w:pPr>
        <w:pStyle w:val="NoSpacing"/>
        <w:ind w:firstLine="720"/>
      </w:pPr>
      <w:r>
        <w:t>dark-colored polo shirt. About thirty minutes later, Ms. Haglund smelled and saw smoke</w:t>
      </w:r>
    </w:p>
    <w:p w14:paraId="59902826" w14:textId="77777777" w:rsidR="0044195B" w:rsidRDefault="0044195B" w:rsidP="0044195B">
      <w:pPr>
        <w:pStyle w:val="NoSpacing"/>
        <w:ind w:firstLine="720"/>
      </w:pPr>
      <w:r>
        <w:t>coming from Mr. Boyer’s trailer home. She had her boyfriend call 911 to report the</w:t>
      </w:r>
    </w:p>
    <w:p w14:paraId="0A61148C" w14:textId="77777777" w:rsidR="0044195B" w:rsidRDefault="0044195B" w:rsidP="0044195B">
      <w:pPr>
        <w:pStyle w:val="NoSpacing"/>
        <w:ind w:firstLine="720"/>
      </w:pPr>
      <w:r>
        <w:t>possible fire. Ms. Haglund did not see anyone else exit Mr. Boyer’s trailer that morning.</w:t>
      </w:r>
    </w:p>
    <w:p w14:paraId="495DF110" w14:textId="77777777" w:rsidR="0044195B" w:rsidRDefault="0044195B" w:rsidP="0044195B">
      <w:pPr>
        <w:pStyle w:val="NoSpacing"/>
        <w:ind w:firstLine="720"/>
      </w:pPr>
    </w:p>
    <w:p w14:paraId="33F5C11D" w14:textId="77777777" w:rsidR="0044195B" w:rsidRDefault="0044195B" w:rsidP="0044195B">
      <w:pPr>
        <w:pStyle w:val="NoSpacing"/>
        <w:ind w:left="720"/>
      </w:pPr>
      <w:r>
        <w:t xml:space="preserve">After leaving Ms. Haglund’s home, Mr. Boyer stopped at JB Auto Glass. Mr. Boyer was wearing shorts, flip-flops, and a black T-shirt. He had a dog with him. He asked Joseph Billington, owner of JB Auto Glass, if he could use the restroom. Mr. Billington gave him permission. Mr. Billington noticed a strong bleach odor coming from the restroom after Mr. Boyer finished using it. Mr. Boyer was covered in bleach when he came out of the restroom, and his shirt had bleach spot stains all over it. There was also bleach on his flip-flops. Mr. Billington asked Mr. Boyer what happened and if he was alright. Mr. Boyer told him not to worry about it. Mr. Boyer grabbed his dog and left on </w:t>
      </w:r>
      <w:proofErr w:type="gramStart"/>
      <w:r>
        <w:t>foot,</w:t>
      </w:r>
      <w:proofErr w:type="gramEnd"/>
      <w:r>
        <w:t xml:space="preserve"> in the opposite direction he came from. The bleach had been in a spray bottle. There was bleach on the floor when Mr. Billington went into the restroom afterwards.</w:t>
      </w:r>
    </w:p>
    <w:p w14:paraId="75FE4841" w14:textId="77777777" w:rsidR="0044195B" w:rsidRDefault="0044195B" w:rsidP="0044195B">
      <w:pPr>
        <w:pStyle w:val="NoSpacing"/>
        <w:ind w:left="720"/>
      </w:pPr>
    </w:p>
    <w:p w14:paraId="3726D3D5" w14:textId="77777777" w:rsidR="0044195B" w:rsidRDefault="0044195B" w:rsidP="0044195B">
      <w:pPr>
        <w:pStyle w:val="NoSpacing"/>
        <w:ind w:left="720"/>
      </w:pPr>
      <w:r>
        <w:t>***</w:t>
      </w:r>
    </w:p>
    <w:p w14:paraId="679973B5" w14:textId="77777777" w:rsidR="0044195B" w:rsidRDefault="0044195B" w:rsidP="0044195B">
      <w:pPr>
        <w:pStyle w:val="NoSpacing"/>
        <w:ind w:left="720"/>
      </w:pPr>
      <w:r>
        <w:t>Regarding the bleach, Mr. Boyer said the restroom at JB Auto Glass did not have</w:t>
      </w:r>
    </w:p>
    <w:p w14:paraId="04F8E516" w14:textId="77777777" w:rsidR="0044195B" w:rsidRDefault="0044195B" w:rsidP="0044195B">
      <w:pPr>
        <w:pStyle w:val="NoSpacing"/>
        <w:ind w:left="720"/>
      </w:pPr>
      <w:r>
        <w:t>soap or paper towels, but there was a bottle of 409 cleaning spray on the shelf. He</w:t>
      </w:r>
    </w:p>
    <w:p w14:paraId="5B7939E8" w14:textId="77777777" w:rsidR="0044195B" w:rsidRDefault="0044195B" w:rsidP="0044195B">
      <w:pPr>
        <w:pStyle w:val="NoSpacing"/>
        <w:ind w:left="720"/>
      </w:pPr>
      <w:r>
        <w:t>figured it was safe to use on hands and proceeded to wash his hands with it. He then</w:t>
      </w:r>
    </w:p>
    <w:p w14:paraId="54AF6CF8" w14:textId="77777777" w:rsidR="0044195B" w:rsidRDefault="0044195B" w:rsidP="0044195B">
      <w:pPr>
        <w:pStyle w:val="NoSpacing"/>
        <w:ind w:left="720"/>
      </w:pPr>
      <w:r>
        <w:t>dried his hands on his shirt. After he left the restroom, Mr. Boyer noticed he had bleach</w:t>
      </w:r>
    </w:p>
    <w:p w14:paraId="68F45150" w14:textId="77777777" w:rsidR="0044195B" w:rsidRDefault="0044195B" w:rsidP="0044195B">
      <w:pPr>
        <w:pStyle w:val="NoSpacing"/>
        <w:ind w:left="720"/>
      </w:pPr>
      <w:r>
        <w:t>stains all over his shirt and told Mr. Billington it “wasn’t a big deal.” While continuing</w:t>
      </w:r>
    </w:p>
    <w:p w14:paraId="7FE0677D" w14:textId="77777777" w:rsidR="0044195B" w:rsidRDefault="0044195B" w:rsidP="0044195B">
      <w:pPr>
        <w:pStyle w:val="NoSpacing"/>
        <w:ind w:left="720"/>
      </w:pPr>
      <w:r>
        <w:t>walking to Ms. Exley’s house, Mr. Boyer decided to throw away his shirt because it was</w:t>
      </w:r>
    </w:p>
    <w:p w14:paraId="5EEF2929" w14:textId="77777777" w:rsidR="0044195B" w:rsidRDefault="0044195B" w:rsidP="0044195B">
      <w:pPr>
        <w:pStyle w:val="NoSpacing"/>
        <w:ind w:left="720"/>
      </w:pPr>
      <w:r>
        <w:t>hot outside and it was a throwaway shirt he wore for work. According to Mr. Boyer, his</w:t>
      </w:r>
    </w:p>
    <w:p w14:paraId="180AE263" w14:textId="77777777" w:rsidR="0044195B" w:rsidRDefault="0044195B" w:rsidP="0044195B">
      <w:pPr>
        <w:pStyle w:val="NoSpacing"/>
        <w:ind w:left="720"/>
      </w:pPr>
      <w:r>
        <w:t>son gave him a gray tank top to wear.”</w:t>
      </w:r>
    </w:p>
    <w:p w14:paraId="749BB74B" w14:textId="77777777" w:rsidR="0044195B" w:rsidRDefault="0044195B" w:rsidP="0044195B">
      <w:pPr>
        <w:pStyle w:val="NoSpacing"/>
        <w:ind w:firstLine="720"/>
      </w:pPr>
    </w:p>
    <w:p w14:paraId="14D3B574" w14:textId="39E75D7D" w:rsidR="0044195B" w:rsidRPr="00815797" w:rsidRDefault="0044195B" w:rsidP="0044195B">
      <w:pPr>
        <w:pStyle w:val="NoSpacing"/>
        <w:rPr>
          <w:b/>
          <w:bCs/>
        </w:rPr>
      </w:pPr>
      <w:r>
        <w:rPr>
          <w:b/>
        </w:rPr>
        <w:t xml:space="preserve">Lesson learned:  Circumstantial evidence can lead to arson conviction. </w:t>
      </w:r>
    </w:p>
    <w:p w14:paraId="3D7CE79D" w14:textId="77777777" w:rsidR="0044195B" w:rsidRDefault="0044195B" w:rsidP="00F326E5">
      <w:pPr>
        <w:pStyle w:val="NoSpacing"/>
        <w:rPr>
          <w:rFonts w:ascii="Arial Black" w:hAnsi="Arial Black"/>
          <w:sz w:val="24"/>
          <w:szCs w:val="24"/>
        </w:rPr>
      </w:pPr>
    </w:p>
    <w:p w14:paraId="14BCFF23" w14:textId="556DE7C6" w:rsidR="00037CB8" w:rsidRPr="00E24913" w:rsidRDefault="00037CB8" w:rsidP="00037CB8">
      <w:pPr>
        <w:pStyle w:val="NoSpacing"/>
        <w:rPr>
          <w:rFonts w:ascii="Arial Black" w:hAnsi="Arial Black"/>
          <w:sz w:val="24"/>
          <w:szCs w:val="24"/>
        </w:rPr>
      </w:pPr>
      <w:r w:rsidRPr="00E24913">
        <w:rPr>
          <w:rFonts w:ascii="Arial Black" w:hAnsi="Arial Black"/>
          <w:sz w:val="24"/>
          <w:szCs w:val="24"/>
        </w:rPr>
        <w:t>1-18</w:t>
      </w:r>
      <w:r>
        <w:rPr>
          <w:rFonts w:ascii="Arial Black" w:hAnsi="Arial Black"/>
          <w:sz w:val="24"/>
          <w:szCs w:val="24"/>
        </w:rPr>
        <w:t>9</w:t>
      </w:r>
    </w:p>
    <w:p w14:paraId="7406034E" w14:textId="77777777" w:rsidR="00037CB8" w:rsidRDefault="00037CB8" w:rsidP="00F326E5">
      <w:pPr>
        <w:pStyle w:val="NoSpacing"/>
        <w:rPr>
          <w:rFonts w:ascii="Arial Black" w:hAnsi="Arial Black"/>
          <w:sz w:val="24"/>
          <w:szCs w:val="24"/>
        </w:rPr>
      </w:pPr>
    </w:p>
    <w:p w14:paraId="1DDDF586" w14:textId="77777777" w:rsidR="00037CB8" w:rsidRDefault="00037CB8" w:rsidP="00037CB8">
      <w:pPr>
        <w:rPr>
          <w:rFonts w:ascii="Arial Black" w:hAnsi="Arial Black"/>
          <w:sz w:val="28"/>
          <w:szCs w:val="28"/>
        </w:rPr>
      </w:pPr>
      <w:r>
        <w:rPr>
          <w:rFonts w:ascii="Arial Black" w:hAnsi="Arial Black"/>
          <w:sz w:val="28"/>
          <w:szCs w:val="28"/>
        </w:rPr>
        <w:t xml:space="preserve">SC: RESTAURANT $3.9M – GREASE FIRE – BATTLE EXPERTS </w:t>
      </w:r>
    </w:p>
    <w:p w14:paraId="6720D97D" w14:textId="77777777" w:rsidR="00037CB8" w:rsidRDefault="00037CB8" w:rsidP="00037CB8">
      <w:pPr>
        <w:pStyle w:val="NoSpacing"/>
      </w:pPr>
      <w:r>
        <w:t xml:space="preserve">On September 2, 2025, in </w:t>
      </w:r>
      <w:r w:rsidRPr="00AF68AC">
        <w:rPr>
          <w:u w:val="single"/>
        </w:rPr>
        <w:t>Axis Surplus Insurance Company v. Pye-Barker Fire and Safety, LLC</w:t>
      </w:r>
      <w:r>
        <w:t xml:space="preserve">, U.S. District Court Judge </w:t>
      </w:r>
      <w:r w:rsidRPr="00814051">
        <w:t>Richard Mark Gergel</w:t>
      </w:r>
      <w:r>
        <w:t xml:space="preserve">, United States District Court for the District of South Carolina (Charleston Division) held that most of the experts for both sides in this litigation may testify as experts under </w:t>
      </w:r>
      <w:r w:rsidRPr="009828B6">
        <w:rPr>
          <w:i/>
          <w:iCs/>
        </w:rPr>
        <w:t>Daubert v. Merrell Dow Pharm. Inc.</w:t>
      </w:r>
      <w:r w:rsidRPr="009828B6">
        <w:t>, 509 U.S. 579, 589 (1993)</w:t>
      </w:r>
      <w:r>
        <w:t xml:space="preserve">.  Case will </w:t>
      </w:r>
      <w:proofErr w:type="gramStart"/>
      <w:r>
        <w:t>no</w:t>
      </w:r>
      <w:proofErr w:type="gramEnd"/>
      <w:r>
        <w:t xml:space="preserve"> proceed to jury trial.  The plaintiff, Axis Surplus Insurance Company, provided</w:t>
      </w:r>
    </w:p>
    <w:p w14:paraId="72447902" w14:textId="77777777" w:rsidR="00037CB8" w:rsidRDefault="00037CB8" w:rsidP="00037CB8">
      <w:pPr>
        <w:pStyle w:val="NoSpacing"/>
      </w:pPr>
      <w:r>
        <w:t xml:space="preserve">insurance coverage for its insured, Hospitality Management Group, Inc., for </w:t>
      </w:r>
      <w:proofErr w:type="gramStart"/>
      <w:r>
        <w:t>damages</w:t>
      </w:r>
      <w:proofErr w:type="gramEnd"/>
      <w:r>
        <w:t xml:space="preserve"> suffered from a fire at one of Hospitality’s properties, Magnolias Restaurant, located in Charleston, South Carolina. Plaintiff reimbursed its insured </w:t>
      </w:r>
      <w:proofErr w:type="gramStart"/>
      <w:r>
        <w:t>in excess of</w:t>
      </w:r>
      <w:proofErr w:type="gramEnd"/>
      <w:r>
        <w:t xml:space="preserve"> $3.9 million for damages from the fire and was subrogated to its insured’s right of recovery against any at fault third party.</w:t>
      </w:r>
    </w:p>
    <w:p w14:paraId="47E33172" w14:textId="77777777" w:rsidR="00037CB8" w:rsidRDefault="00037CB8" w:rsidP="00037CB8">
      <w:pPr>
        <w:pStyle w:val="NoSpacing"/>
      </w:pPr>
    </w:p>
    <w:p w14:paraId="71ECB5A8" w14:textId="77777777" w:rsidR="00037CB8" w:rsidRDefault="00037CB8" w:rsidP="00037CB8">
      <w:pPr>
        <w:pStyle w:val="NoSpacing"/>
      </w:pPr>
      <w:r w:rsidRPr="00B71171">
        <w:rPr>
          <w:b/>
        </w:rPr>
        <w:t>THE COURT HELD:</w:t>
      </w:r>
      <w:r>
        <w:t xml:space="preserve"> “</w:t>
      </w:r>
      <w:r w:rsidRPr="00217646">
        <w:t xml:space="preserve">The bottom line is that both Plaintiff's and Defendant's experts have offered plausible explanations for the causes of the fire damage. The course of the Magnolias Restaurant fire and its impact on the fire suppression system are hotly contested by the parties, and there is circumstantial evidence sufficient to support both the Plaintiff's and Defendant's scenarios. Like many unwitnessed fire cases, the experts, often able and experienced, offer distinctly different opinions on critical issues </w:t>
      </w:r>
      <w:proofErr w:type="gramStart"/>
      <w:r w:rsidRPr="00217646">
        <w:t>of in</w:t>
      </w:r>
      <w:proofErr w:type="gramEnd"/>
      <w:r w:rsidRPr="00217646">
        <w:t xml:space="preserve"> the case. Under the present circumstances, a jury needs to hear the full case and determine which scenario more likely than not caused the extensive fire damage on August 7, 2021.</w:t>
      </w:r>
      <w:r>
        <w:t>”</w:t>
      </w:r>
    </w:p>
    <w:p w14:paraId="2101E6AB" w14:textId="77777777" w:rsidR="00037CB8" w:rsidRDefault="00037CB8" w:rsidP="00037CB8">
      <w:pPr>
        <w:pStyle w:val="NoSpacing"/>
      </w:pPr>
      <w:hyperlink r:id="rId58" w:history="1">
        <w:r w:rsidRPr="00494FBC">
          <w:rPr>
            <w:rStyle w:val="Hyperlink"/>
          </w:rPr>
          <w:t>https://cases.justia.com/federal/district-courts/south-carolina/scdce/2:2024cv02173/290787/65/0.pdf?ts=1756990440</w:t>
        </w:r>
      </w:hyperlink>
    </w:p>
    <w:p w14:paraId="60FAF2AE" w14:textId="77777777" w:rsidR="00037CB8" w:rsidRDefault="00037CB8" w:rsidP="00037CB8">
      <w:pPr>
        <w:pStyle w:val="NoSpacing"/>
      </w:pPr>
    </w:p>
    <w:p w14:paraId="163CDEC5" w14:textId="77777777" w:rsidR="00037CB8" w:rsidRPr="00B71171" w:rsidRDefault="00037CB8" w:rsidP="00037CB8">
      <w:pPr>
        <w:pStyle w:val="NoSpacing"/>
        <w:rPr>
          <w:b/>
          <w:bCs/>
        </w:rPr>
      </w:pPr>
      <w:r w:rsidRPr="00B71171">
        <w:rPr>
          <w:b/>
        </w:rPr>
        <w:t xml:space="preserve">KEY FACTS: </w:t>
      </w:r>
    </w:p>
    <w:p w14:paraId="383AF213" w14:textId="77777777" w:rsidR="00037CB8" w:rsidRDefault="00037CB8" w:rsidP="00037CB8">
      <w:pPr>
        <w:pStyle w:val="NoSpacing"/>
      </w:pPr>
    </w:p>
    <w:p w14:paraId="486599D2" w14:textId="77777777" w:rsidR="00037CB8" w:rsidRDefault="00037CB8" w:rsidP="00037CB8">
      <w:pPr>
        <w:pStyle w:val="NoSpacing"/>
        <w:ind w:firstLine="720"/>
      </w:pPr>
      <w:r>
        <w:t>“This action was brought by Plaintiff Axis Surplus Insurance Company, which provided</w:t>
      </w:r>
    </w:p>
    <w:p w14:paraId="7CCADBBC" w14:textId="77777777" w:rsidR="00037CB8" w:rsidRDefault="00037CB8" w:rsidP="00037CB8">
      <w:pPr>
        <w:pStyle w:val="NoSpacing"/>
        <w:ind w:left="720"/>
      </w:pPr>
      <w:r>
        <w:t xml:space="preserve">insurance coverage for its insured, Hospitality Management Group, Inc., for </w:t>
      </w:r>
      <w:proofErr w:type="gramStart"/>
      <w:r>
        <w:t>damages</w:t>
      </w:r>
      <w:proofErr w:type="gramEnd"/>
      <w:r>
        <w:t xml:space="preserve"> suffered from a fire at one of Hospitality’s properties, Magnolias Restaurant, located in Charleston, South Carolina. Plaintiff reimbursed its insured </w:t>
      </w:r>
      <w:proofErr w:type="gramStart"/>
      <w:r>
        <w:t>in excess of</w:t>
      </w:r>
      <w:proofErr w:type="gramEnd"/>
      <w:r>
        <w:t xml:space="preserve"> $3.9 million for damages from the fire and was subrogated to its insured’s right of recovery against any at fault third party. Plaintiff sued Defendant for negligence and breach of contract related to the performance of its duties to inspect, test, and maintain a fire suppression system, which Plaintiff alleges failed to properly operate to suppress the fire.</w:t>
      </w:r>
    </w:p>
    <w:p w14:paraId="0D5CC252" w14:textId="77777777" w:rsidR="00037CB8" w:rsidRDefault="00037CB8" w:rsidP="00037CB8">
      <w:pPr>
        <w:pStyle w:val="NoSpacing"/>
      </w:pPr>
    </w:p>
    <w:p w14:paraId="3A97838E" w14:textId="77777777" w:rsidR="00037CB8" w:rsidRDefault="00037CB8" w:rsidP="00037CB8">
      <w:pPr>
        <w:pStyle w:val="NoSpacing"/>
        <w:ind w:firstLine="720"/>
      </w:pPr>
      <w:r>
        <w:t>The Magnolia’s Restaurant fire occurred in the early morning hours on August 7, 2021.</w:t>
      </w:r>
    </w:p>
    <w:p w14:paraId="619EA82A" w14:textId="77777777" w:rsidR="00037CB8" w:rsidRDefault="00037CB8" w:rsidP="00037CB8">
      <w:pPr>
        <w:pStyle w:val="NoSpacing"/>
        <w:ind w:left="720"/>
      </w:pPr>
      <w:r>
        <w:t xml:space="preserve">There were no eyewitnesses to the outbreak of the fire. The parties agree that the fire began when a restaurant employee left a plastic dish rack on a </w:t>
      </w:r>
      <w:proofErr w:type="gramStart"/>
      <w:r>
        <w:t>two burner</w:t>
      </w:r>
      <w:proofErr w:type="gramEnd"/>
      <w:r>
        <w:t xml:space="preserve"> range in the prep kitchen, which subsequently melted from the heat of the burner range’s pilot light. Beyond that fact, the parties and their experts disagree about whether the fire suppression system failed due to improper maintenance by the Defendant (Plaintiff’s view) or whether excess grease near the burner range ignited and produced a massive fire outside the area of the fire suppression system (Defendant’s view).</w:t>
      </w:r>
    </w:p>
    <w:p w14:paraId="1EA63B56" w14:textId="77777777" w:rsidR="00037CB8" w:rsidRDefault="00037CB8" w:rsidP="00037CB8">
      <w:pPr>
        <w:pStyle w:val="NoSpacing"/>
        <w:ind w:left="720"/>
      </w:pPr>
    </w:p>
    <w:p w14:paraId="6A3F112E" w14:textId="77777777" w:rsidR="00037CB8" w:rsidRDefault="00037CB8" w:rsidP="00037CB8">
      <w:pPr>
        <w:pStyle w:val="NoSpacing"/>
        <w:ind w:left="720"/>
      </w:pPr>
      <w:r>
        <w:t>***</w:t>
      </w:r>
    </w:p>
    <w:p w14:paraId="108301BB" w14:textId="77777777" w:rsidR="00037CB8" w:rsidRDefault="00037CB8" w:rsidP="00037CB8">
      <w:pPr>
        <w:pStyle w:val="NoSpacing"/>
        <w:ind w:left="720"/>
      </w:pPr>
      <w:r>
        <w:t>Plaintiff’s expert, Daniel Arnold, is a professional engineer who has four decades of</w:t>
      </w:r>
    </w:p>
    <w:p w14:paraId="0CE62B9E" w14:textId="77777777" w:rsidR="00037CB8" w:rsidRDefault="00037CB8" w:rsidP="00037CB8">
      <w:pPr>
        <w:pStyle w:val="NoSpacing"/>
        <w:ind w:left="720"/>
      </w:pPr>
      <w:r>
        <w:t>experience in fire protection engineering and design of fire suppression systems. (</w:t>
      </w:r>
      <w:proofErr w:type="spellStart"/>
      <w:r>
        <w:t>Dkt</w:t>
      </w:r>
      <w:proofErr w:type="spellEnd"/>
      <w:r>
        <w:t xml:space="preserve">. No. 43-1 at 19-20). Arnold opines that the restaurant’s fire suppression system, which was designed to disperse a chemical retardant to suppress a fire, failed because Defendant improperly placed a critical piece of the system known as the fusible link. Arnold further opines that had the suppression system performed properly, the August 21, </w:t>
      </w:r>
      <w:proofErr w:type="gramStart"/>
      <w:r>
        <w:t>2025</w:t>
      </w:r>
      <w:proofErr w:type="gramEnd"/>
      <w:r>
        <w:t xml:space="preserve"> fire would </w:t>
      </w:r>
      <w:proofErr w:type="gramStart"/>
      <w:r>
        <w:t>have been</w:t>
      </w:r>
      <w:proofErr w:type="gramEnd"/>
      <w:r>
        <w:t xml:space="preserve"> caused only limited damage in the immediate area of the </w:t>
      </w:r>
      <w:proofErr w:type="gramStart"/>
      <w:r>
        <w:t>two burner</w:t>
      </w:r>
      <w:proofErr w:type="gramEnd"/>
      <w:r>
        <w:t xml:space="preserve"> range. (Id. at 15).</w:t>
      </w:r>
    </w:p>
    <w:p w14:paraId="75240737" w14:textId="77777777" w:rsidR="00037CB8" w:rsidRDefault="00037CB8" w:rsidP="00037CB8">
      <w:pPr>
        <w:pStyle w:val="NoSpacing"/>
        <w:ind w:left="720"/>
      </w:pPr>
      <w:r>
        <w:t>***</w:t>
      </w:r>
    </w:p>
    <w:p w14:paraId="0235B961" w14:textId="77777777" w:rsidR="00037CB8" w:rsidRDefault="00037CB8" w:rsidP="00037CB8">
      <w:pPr>
        <w:pStyle w:val="NoSpacing"/>
        <w:ind w:left="720"/>
      </w:pPr>
      <w:r w:rsidRPr="009F5ECF">
        <w:t>Defendant’s expert Jeffrey Berino is a fire origin and cause investigator with forty years of</w:t>
      </w:r>
      <w:r>
        <w:t xml:space="preserve"> </w:t>
      </w:r>
      <w:r w:rsidRPr="009F5ECF">
        <w:t>experience as a firefighter and significant experience investigating fires. (</w:t>
      </w:r>
      <w:proofErr w:type="spellStart"/>
      <w:r w:rsidRPr="009F5ECF">
        <w:t>Dkt</w:t>
      </w:r>
      <w:proofErr w:type="spellEnd"/>
      <w:r w:rsidRPr="009F5ECF">
        <w:t>. No. 46-2 at 2-6).</w:t>
      </w:r>
      <w:r>
        <w:t xml:space="preserve"> </w:t>
      </w:r>
      <w:r w:rsidRPr="009F5ECF">
        <w:t>Berino opines that the fire was initially caused by a restaurant employee leaving a plastic object</w:t>
      </w:r>
      <w:r>
        <w:t xml:space="preserve"> </w:t>
      </w:r>
      <w:r w:rsidRPr="009F5ECF">
        <w:t xml:space="preserve">on a </w:t>
      </w:r>
      <w:proofErr w:type="gramStart"/>
      <w:r w:rsidRPr="009F5ECF">
        <w:t>two burner</w:t>
      </w:r>
      <w:proofErr w:type="gramEnd"/>
      <w:r w:rsidRPr="009F5ECF">
        <w:t xml:space="preserve"> range and the melted plastic ignited extensive grease residue and deposits on the</w:t>
      </w:r>
      <w:r>
        <w:t xml:space="preserve"> </w:t>
      </w:r>
      <w:r w:rsidRPr="009F5ECF">
        <w:t>floor and in the nearby area. Berino further opines that the fire from the ignited grease migrated</w:t>
      </w:r>
      <w:r>
        <w:t xml:space="preserve"> </w:t>
      </w:r>
      <w:r w:rsidRPr="009F5ECF">
        <w:t>to the area of fire suppression system’s control box, which caused the system to fail. (Id. at 18-19).</w:t>
      </w:r>
    </w:p>
    <w:p w14:paraId="62155D08" w14:textId="77777777" w:rsidR="00037CB8" w:rsidRDefault="00037CB8" w:rsidP="00037CB8">
      <w:pPr>
        <w:pStyle w:val="NoSpacing"/>
        <w:ind w:left="720"/>
      </w:pPr>
    </w:p>
    <w:p w14:paraId="689EEED9" w14:textId="77777777" w:rsidR="00037CB8" w:rsidRDefault="00037CB8" w:rsidP="00037CB8">
      <w:pPr>
        <w:pStyle w:val="NoSpacing"/>
        <w:ind w:left="720"/>
      </w:pPr>
      <w:r>
        <w:t>***</w:t>
      </w:r>
    </w:p>
    <w:p w14:paraId="343DDDBD" w14:textId="77777777" w:rsidR="00037CB8" w:rsidRDefault="00037CB8" w:rsidP="00037CB8">
      <w:pPr>
        <w:pStyle w:val="NoSpacing"/>
        <w:ind w:left="720"/>
      </w:pPr>
      <w:r>
        <w:t xml:space="preserve">The Court finds that the testimony of the parties’ respective expert witnesses </w:t>
      </w:r>
      <w:proofErr w:type="gramStart"/>
      <w:r>
        <w:t>meet</w:t>
      </w:r>
      <w:proofErr w:type="gramEnd"/>
      <w:r>
        <w:t xml:space="preserve"> Rule</w:t>
      </w:r>
    </w:p>
    <w:p w14:paraId="44706C82" w14:textId="77777777" w:rsidR="00037CB8" w:rsidRPr="009F5ECF" w:rsidRDefault="00037CB8" w:rsidP="00037CB8">
      <w:pPr>
        <w:pStyle w:val="NoSpacing"/>
        <w:ind w:left="720"/>
      </w:pPr>
      <w:r>
        <w:t>702 standards and should not be excluded under Rule 403.”</w:t>
      </w:r>
    </w:p>
    <w:p w14:paraId="27FF90B1" w14:textId="77777777" w:rsidR="00037CB8" w:rsidRDefault="00037CB8" w:rsidP="00037CB8">
      <w:pPr>
        <w:pStyle w:val="NoSpacing"/>
        <w:ind w:left="720"/>
      </w:pPr>
    </w:p>
    <w:p w14:paraId="125EAB7F" w14:textId="5B00D54C" w:rsidR="00037CB8" w:rsidRDefault="00037CB8" w:rsidP="00037CB8">
      <w:pPr>
        <w:pStyle w:val="NoSpacing"/>
        <w:rPr>
          <w:b/>
          <w:bCs/>
        </w:rPr>
      </w:pPr>
      <w:r>
        <w:rPr>
          <w:b/>
        </w:rPr>
        <w:t xml:space="preserve">Lesson learned:  The case may now go to a jury, where the experts can testify.  </w:t>
      </w:r>
    </w:p>
    <w:p w14:paraId="54E5EEC4" w14:textId="77777777" w:rsidR="00037CB8" w:rsidRDefault="00037CB8" w:rsidP="00037CB8">
      <w:pPr>
        <w:pStyle w:val="NoSpacing"/>
        <w:rPr>
          <w:b/>
          <w:bCs/>
        </w:rPr>
      </w:pPr>
    </w:p>
    <w:p w14:paraId="1405C7EC" w14:textId="77777777" w:rsidR="00037CB8" w:rsidRPr="00AE45BD" w:rsidRDefault="00037CB8" w:rsidP="00037CB8">
      <w:pPr>
        <w:pStyle w:val="NoSpacing"/>
        <w:ind w:left="720"/>
      </w:pPr>
      <w:r w:rsidRPr="00AE45BD">
        <w:t xml:space="preserve">Note: Under Federal Rule of Evidence 702, the Court acts as a gatekeeper “to verify that expert testimony is based on sufficient facts or data” The expert testimony must be shown to be “not only relevant, but reliable.’ </w:t>
      </w:r>
      <w:r w:rsidRPr="00AE45BD">
        <w:rPr>
          <w:i/>
          <w:iCs/>
        </w:rPr>
        <w:t>Daubert v. Merrell Dow Pharm. Inc.</w:t>
      </w:r>
      <w:r w:rsidRPr="00AE45BD">
        <w:t xml:space="preserve">, 509 U.S. 579, 589 (1993). </w:t>
      </w:r>
    </w:p>
    <w:p w14:paraId="4518E214" w14:textId="77777777" w:rsidR="00B232CB" w:rsidRDefault="00B232CB" w:rsidP="00F326E5">
      <w:pPr>
        <w:pStyle w:val="NoSpacing"/>
        <w:rPr>
          <w:rFonts w:ascii="Arial Black" w:hAnsi="Arial Black"/>
          <w:sz w:val="24"/>
          <w:szCs w:val="24"/>
        </w:rPr>
      </w:pPr>
    </w:p>
    <w:p w14:paraId="0A2C64CD" w14:textId="77777777" w:rsidR="00B232CB" w:rsidRDefault="00B232CB" w:rsidP="00F326E5">
      <w:pPr>
        <w:pStyle w:val="NoSpacing"/>
        <w:rPr>
          <w:rFonts w:ascii="Arial Black" w:hAnsi="Arial Black"/>
          <w:sz w:val="24"/>
          <w:szCs w:val="24"/>
        </w:rPr>
      </w:pPr>
    </w:p>
    <w:p w14:paraId="3212F1C8" w14:textId="77777777" w:rsidR="00B232CB" w:rsidRDefault="00B232CB" w:rsidP="00F326E5">
      <w:pPr>
        <w:pStyle w:val="NoSpacing"/>
        <w:rPr>
          <w:rFonts w:ascii="Arial Black" w:hAnsi="Arial Black"/>
          <w:sz w:val="24"/>
          <w:szCs w:val="24"/>
        </w:rPr>
      </w:pPr>
    </w:p>
    <w:p w14:paraId="6B856FB4" w14:textId="23709BBA" w:rsidR="00E24913" w:rsidRPr="00E24913" w:rsidRDefault="00E24913" w:rsidP="00F326E5">
      <w:pPr>
        <w:pStyle w:val="NoSpacing"/>
        <w:rPr>
          <w:rFonts w:ascii="Arial Black" w:hAnsi="Arial Black"/>
          <w:sz w:val="24"/>
          <w:szCs w:val="24"/>
        </w:rPr>
      </w:pPr>
      <w:r w:rsidRPr="00E24913">
        <w:rPr>
          <w:rFonts w:ascii="Arial Black" w:hAnsi="Arial Black"/>
          <w:sz w:val="24"/>
          <w:szCs w:val="24"/>
        </w:rPr>
        <w:t>1-188</w:t>
      </w:r>
    </w:p>
    <w:p w14:paraId="0CABC036" w14:textId="77777777" w:rsidR="00AC44B8" w:rsidRDefault="00AC44B8" w:rsidP="00B86628">
      <w:pPr>
        <w:pStyle w:val="NoSpacing"/>
        <w:rPr>
          <w:rFonts w:ascii="Arial Black" w:hAnsi="Arial Black"/>
          <w:sz w:val="24"/>
          <w:szCs w:val="24"/>
        </w:rPr>
      </w:pPr>
    </w:p>
    <w:p w14:paraId="0ADF7975" w14:textId="77777777" w:rsidR="00421D18" w:rsidRDefault="00421D18" w:rsidP="00421D18">
      <w:pPr>
        <w:rPr>
          <w:rFonts w:ascii="Arial Black" w:hAnsi="Arial Black"/>
          <w:b/>
          <w:sz w:val="28"/>
          <w:szCs w:val="28"/>
        </w:rPr>
      </w:pPr>
      <w:r>
        <w:rPr>
          <w:rFonts w:ascii="Arial Black" w:hAnsi="Arial Black"/>
          <w:b/>
          <w:sz w:val="28"/>
          <w:szCs w:val="28"/>
        </w:rPr>
        <w:t xml:space="preserve">FL: EXPERT QUAL - BUTANE “MOSQUITOE SHIELD” FIRE </w:t>
      </w:r>
    </w:p>
    <w:p w14:paraId="3A4341D7" w14:textId="36A3B283" w:rsidR="00421D18" w:rsidRPr="0092209D" w:rsidRDefault="00421D18" w:rsidP="00421D18">
      <w:pPr>
        <w:rPr>
          <w:rFonts w:ascii="Times New Roman" w:hAnsi="Times New Roman"/>
          <w:sz w:val="24"/>
          <w:szCs w:val="24"/>
        </w:rPr>
      </w:pPr>
      <w:r w:rsidRPr="0092209D">
        <w:rPr>
          <w:rFonts w:ascii="Times New Roman" w:hAnsi="Times New Roman"/>
          <w:sz w:val="24"/>
          <w:szCs w:val="24"/>
        </w:rPr>
        <w:t xml:space="preserve">On July 28, 2025, in </w:t>
      </w:r>
      <w:r w:rsidRPr="0092209D">
        <w:rPr>
          <w:rFonts w:ascii="Times New Roman" w:hAnsi="Times New Roman"/>
          <w:sz w:val="24"/>
          <w:szCs w:val="24"/>
          <w:u w:val="single"/>
        </w:rPr>
        <w:t>Jacqueline Flynn v. Thermal Repellents, Inc. and Lowe’s Home Centers, LLC</w:t>
      </w:r>
      <w:r w:rsidRPr="0092209D">
        <w:rPr>
          <w:rFonts w:ascii="Times New Roman" w:hAnsi="Times New Roman"/>
          <w:sz w:val="24"/>
          <w:szCs w:val="24"/>
        </w:rPr>
        <w:t>, U.S. District Court Judge Paul G. Byron, United States District Court for Middle District of Florida (Orlando Division) denied the defense motion to exclude the testimony of Plaintiff’s cause and origin expert, Mr. Patrick B. Dugan, CFI concerning porch fire in 2021.  The expert followed 921, Guide for Fire and Explosion Investigations.  The lawsuit  involves a “</w:t>
      </w:r>
      <w:proofErr w:type="spellStart"/>
      <w:r w:rsidRPr="0092209D">
        <w:rPr>
          <w:rFonts w:ascii="Times New Roman" w:hAnsi="Times New Roman"/>
          <w:sz w:val="24"/>
          <w:szCs w:val="24"/>
        </w:rPr>
        <w:t>Thermacell</w:t>
      </w:r>
      <w:proofErr w:type="spellEnd"/>
      <w:r w:rsidRPr="0092209D">
        <w:rPr>
          <w:rFonts w:ascii="Times New Roman" w:hAnsi="Times New Roman"/>
          <w:sz w:val="24"/>
          <w:szCs w:val="24"/>
        </w:rPr>
        <w:t xml:space="preserve"> Patio Shield” – per Lowe’s advertisement, it “provides a 15 - foot zone of protection against mosquitoes” and is “powered by a butane cartridge, so you never need to plug in to charge or use batteries to repel mosquitoes.”</w:t>
      </w:r>
      <w:r w:rsidRPr="0092209D">
        <w:rPr>
          <w:rFonts w:ascii="Times New Roman" w:hAnsi="Times New Roman"/>
          <w:b/>
          <w:sz w:val="24"/>
          <w:szCs w:val="24"/>
        </w:rPr>
        <w:t xml:space="preserve"> </w:t>
      </w:r>
      <w:r w:rsidRPr="0092209D">
        <w:rPr>
          <w:rFonts w:ascii="Times New Roman" w:hAnsi="Times New Roman"/>
          <w:sz w:val="24"/>
          <w:szCs w:val="24"/>
        </w:rPr>
        <w:t xml:space="preserve">Plaintiff purchased the </w:t>
      </w:r>
      <w:proofErr w:type="spellStart"/>
      <w:r w:rsidRPr="0092209D">
        <w:rPr>
          <w:rFonts w:ascii="Times New Roman" w:hAnsi="Times New Roman"/>
          <w:sz w:val="24"/>
          <w:szCs w:val="24"/>
        </w:rPr>
        <w:t>Thermacell</w:t>
      </w:r>
      <w:proofErr w:type="spellEnd"/>
      <w:r w:rsidRPr="0092209D">
        <w:rPr>
          <w:rFonts w:ascii="Times New Roman" w:hAnsi="Times New Roman"/>
          <w:sz w:val="24"/>
          <w:szCs w:val="24"/>
        </w:rPr>
        <w:t xml:space="preserve"> Patio Shield from Lowe’s, arriving home around 5:30 </w:t>
      </w:r>
      <w:proofErr w:type="spellStart"/>
      <w:r w:rsidRPr="0092209D">
        <w:rPr>
          <w:rFonts w:ascii="Times New Roman" w:hAnsi="Times New Roman"/>
          <w:sz w:val="24"/>
          <w:szCs w:val="24"/>
        </w:rPr>
        <w:t>p.m</w:t>
      </w:r>
      <w:proofErr w:type="spellEnd"/>
      <w:r w:rsidRPr="0092209D">
        <w:rPr>
          <w:rFonts w:ascii="Times New Roman" w:hAnsi="Times New Roman"/>
          <w:sz w:val="24"/>
          <w:szCs w:val="24"/>
        </w:rPr>
        <w:t xml:space="preserve">, and around 7:15 p.m., after her son set up the device, Ms. Flynn placed it on a glass-topped wicker table on the second-floor balcony and turned it on.  She went downstairs to prepare dinner for her family, and </w:t>
      </w:r>
      <w:proofErr w:type="spellStart"/>
      <w:r w:rsidRPr="0092209D">
        <w:rPr>
          <w:rFonts w:ascii="Times New Roman" w:hAnsi="Times New Roman"/>
          <w:sz w:val="24"/>
          <w:szCs w:val="24"/>
        </w:rPr>
        <w:t>aound</w:t>
      </w:r>
      <w:proofErr w:type="spellEnd"/>
      <w:r w:rsidRPr="0092209D">
        <w:rPr>
          <w:rFonts w:ascii="Times New Roman" w:hAnsi="Times New Roman"/>
          <w:sz w:val="24"/>
          <w:szCs w:val="24"/>
        </w:rPr>
        <w:t xml:space="preserve"> 8:00 p.m., someone saw flames or an orange glow outside. When she went to investigate, Ms. Flynn saw flames coming from the second-floor balcony. THE COURT HELD: “Mr. Dugan’s investigation and analysis easily satisfy </w:t>
      </w:r>
      <w:r w:rsidRPr="0092209D">
        <w:rPr>
          <w:rFonts w:ascii="Times New Roman" w:hAnsi="Times New Roman"/>
          <w:i/>
          <w:iCs/>
          <w:sz w:val="24"/>
          <w:szCs w:val="24"/>
        </w:rPr>
        <w:t>Daubert’s</w:t>
      </w:r>
      <w:r w:rsidRPr="0092209D">
        <w:rPr>
          <w:rFonts w:ascii="Times New Roman" w:hAnsi="Times New Roman"/>
          <w:sz w:val="24"/>
          <w:szCs w:val="24"/>
        </w:rPr>
        <w:t xml:space="preserve"> mandate that an expert employ a ‘sufficiently reliable’ methodology. His opinions are based on sufficient facts and data; he does not unjustifiably extrapolate his research to reach an unfounded conclusion; he considered—and ruled out—contradictory data (other known ignition sources); his analysis is based on objective data including burn patterns, weather, timing, and available ignition sources, and Mr. Dugan is as careful as an expert would be in conducting professional work outside the context of paid litigation.”</w:t>
      </w:r>
      <w:r w:rsidR="00802D6B" w:rsidRPr="0092209D">
        <w:rPr>
          <w:rFonts w:ascii="Times New Roman" w:hAnsi="Times New Roman"/>
          <w:sz w:val="24"/>
          <w:szCs w:val="24"/>
        </w:rPr>
        <w:t xml:space="preserve"> </w:t>
      </w:r>
      <w:hyperlink r:id="rId59" w:history="1">
        <w:r w:rsidR="0092209D" w:rsidRPr="0092209D">
          <w:rPr>
            <w:rStyle w:val="Hyperlink"/>
            <w:rFonts w:ascii="Times New Roman" w:hAnsi="Times New Roman"/>
            <w:sz w:val="24"/>
            <w:szCs w:val="24"/>
          </w:rPr>
          <w:t>https://ecf.flmd.uscourts.gov/cgi-bin/show_public_doc?2023-01890-113-6-cv</w:t>
        </w:r>
      </w:hyperlink>
    </w:p>
    <w:p w14:paraId="223F1C1E" w14:textId="655FA1E5" w:rsidR="0092209D" w:rsidRPr="0092209D" w:rsidRDefault="0092209D" w:rsidP="0092209D">
      <w:pPr>
        <w:pStyle w:val="NoSpacing"/>
        <w:rPr>
          <w:rFonts w:ascii="Times New Roman" w:hAnsi="Times New Roman"/>
          <w:b/>
          <w:sz w:val="24"/>
          <w:szCs w:val="24"/>
        </w:rPr>
      </w:pPr>
      <w:r w:rsidRPr="0092209D">
        <w:rPr>
          <w:rFonts w:ascii="Times New Roman" w:hAnsi="Times New Roman"/>
          <w:b/>
          <w:sz w:val="24"/>
          <w:szCs w:val="24"/>
        </w:rPr>
        <w:t xml:space="preserve">Lesson learned:  The expert followed NFPA 921, Guide for Fire and Explosions Investigations. </w:t>
      </w:r>
    </w:p>
    <w:p w14:paraId="6A267A05" w14:textId="77777777" w:rsidR="0092209D" w:rsidRPr="0092209D" w:rsidRDefault="0092209D" w:rsidP="0092209D">
      <w:pPr>
        <w:pStyle w:val="NoSpacing"/>
        <w:rPr>
          <w:rFonts w:ascii="Times New Roman" w:hAnsi="Times New Roman"/>
          <w:b/>
          <w:sz w:val="24"/>
          <w:szCs w:val="24"/>
        </w:rPr>
      </w:pPr>
    </w:p>
    <w:p w14:paraId="61240AD3" w14:textId="77777777" w:rsidR="0092209D" w:rsidRPr="0092209D" w:rsidRDefault="0092209D" w:rsidP="0092209D">
      <w:pPr>
        <w:pStyle w:val="NoSpacing"/>
        <w:ind w:left="720"/>
        <w:rPr>
          <w:rFonts w:ascii="Times New Roman" w:hAnsi="Times New Roman"/>
          <w:bCs/>
          <w:sz w:val="24"/>
          <w:szCs w:val="24"/>
        </w:rPr>
      </w:pPr>
      <w:r w:rsidRPr="0092209D">
        <w:rPr>
          <w:rFonts w:ascii="Times New Roman" w:hAnsi="Times New Roman"/>
          <w:sz w:val="24"/>
          <w:szCs w:val="24"/>
        </w:rPr>
        <w:t xml:space="preserve">Note: See the U.S. Supreme Court decision in </w:t>
      </w:r>
      <w:r w:rsidRPr="0092209D">
        <w:rPr>
          <w:rFonts w:ascii="Times New Roman" w:hAnsi="Times New Roman"/>
          <w:sz w:val="24"/>
          <w:szCs w:val="24"/>
          <w:u w:val="single"/>
        </w:rPr>
        <w:t>Daubert v. Merrell Dow Pharmaceuticals, Inc.,</w:t>
      </w:r>
      <w:r w:rsidRPr="0092209D">
        <w:rPr>
          <w:rFonts w:ascii="Times New Roman" w:hAnsi="Times New Roman"/>
          <w:sz w:val="24"/>
          <w:szCs w:val="24"/>
        </w:rPr>
        <w:t xml:space="preserve"> 509 U.S. 579 (1993); </w:t>
      </w:r>
      <w:hyperlink r:id="rId60" w:history="1">
        <w:r w:rsidRPr="0092209D">
          <w:rPr>
            <w:rStyle w:val="Hyperlink"/>
            <w:rFonts w:ascii="Times New Roman" w:hAnsi="Times New Roman"/>
            <w:sz w:val="24"/>
            <w:szCs w:val="24"/>
          </w:rPr>
          <w:t>https://supreme.justia.com/cases/federal/us/509/579/</w:t>
        </w:r>
      </w:hyperlink>
      <w:r w:rsidRPr="0092209D">
        <w:rPr>
          <w:rFonts w:ascii="Times New Roman" w:hAnsi="Times New Roman"/>
          <w:sz w:val="24"/>
          <w:szCs w:val="24"/>
        </w:rPr>
        <w:t xml:space="preserve"> </w:t>
      </w:r>
    </w:p>
    <w:p w14:paraId="3EC027E7" w14:textId="77777777" w:rsidR="0092209D" w:rsidRPr="0092209D" w:rsidRDefault="0092209D" w:rsidP="0092209D">
      <w:pPr>
        <w:pStyle w:val="NoSpacing"/>
        <w:ind w:left="720"/>
        <w:rPr>
          <w:rFonts w:ascii="Times New Roman" w:hAnsi="Times New Roman"/>
          <w:sz w:val="24"/>
          <w:szCs w:val="24"/>
        </w:rPr>
      </w:pPr>
      <w:r w:rsidRPr="0092209D">
        <w:rPr>
          <w:rFonts w:ascii="Times New Roman" w:hAnsi="Times New Roman"/>
          <w:sz w:val="24"/>
          <w:szCs w:val="24"/>
        </w:rPr>
        <w:t>“An expert may testify about scientific knowledge that assists the jury in understanding the evidence or determining a fact in issue in the case. Factors that a judge should consider include whether the theory or technique in question can be and has been tested, whether it has been subjected to peer review and publication, its known or potential error rate, the existence and maintenance of standards controlling its operation, and whether it is widely accepted in the relevant scientific community.</w:t>
      </w:r>
    </w:p>
    <w:p w14:paraId="6CC7AE4B" w14:textId="77777777" w:rsidR="0092209D" w:rsidRDefault="0092209D" w:rsidP="0092209D">
      <w:pPr>
        <w:rPr>
          <w:b/>
        </w:rPr>
      </w:pPr>
    </w:p>
    <w:p w14:paraId="478F877B" w14:textId="7D91A566" w:rsidR="0092209D" w:rsidRPr="00E24913" w:rsidRDefault="00E24913" w:rsidP="00421D18">
      <w:pPr>
        <w:rPr>
          <w:rFonts w:ascii="Arial Black" w:hAnsi="Arial Black"/>
          <w:bCs/>
          <w:sz w:val="24"/>
          <w:szCs w:val="24"/>
        </w:rPr>
      </w:pPr>
      <w:r w:rsidRPr="00E24913">
        <w:rPr>
          <w:rFonts w:ascii="Arial Black" w:hAnsi="Arial Black"/>
          <w:bCs/>
          <w:sz w:val="24"/>
          <w:szCs w:val="24"/>
        </w:rPr>
        <w:t>1-187</w:t>
      </w:r>
    </w:p>
    <w:p w14:paraId="1D12AF6F" w14:textId="77777777" w:rsidR="009A7014" w:rsidRDefault="009A7014" w:rsidP="009A7014">
      <w:pPr>
        <w:pStyle w:val="NoSpacing"/>
        <w:rPr>
          <w:rFonts w:ascii="Arial Black" w:hAnsi="Arial Black"/>
          <w:sz w:val="28"/>
          <w:szCs w:val="28"/>
        </w:rPr>
      </w:pPr>
      <w:r>
        <w:rPr>
          <w:rFonts w:ascii="Arial Black" w:hAnsi="Arial Black"/>
          <w:sz w:val="28"/>
          <w:szCs w:val="28"/>
        </w:rPr>
        <w:t>IL: COMMERCIAL / MULTI-FAMILY ALARMS - DIRECT TO 911</w:t>
      </w:r>
    </w:p>
    <w:p w14:paraId="70E0EA98" w14:textId="77777777" w:rsidR="009A7014" w:rsidRDefault="009A7014" w:rsidP="009A7014">
      <w:pPr>
        <w:pStyle w:val="NoSpacing"/>
        <w:rPr>
          <w:rFonts w:ascii="Arial Black" w:hAnsi="Arial Black"/>
          <w:sz w:val="28"/>
          <w:szCs w:val="28"/>
        </w:rPr>
      </w:pPr>
    </w:p>
    <w:p w14:paraId="7F94CF0A" w14:textId="77777777" w:rsidR="009A7014" w:rsidRPr="008712E6" w:rsidRDefault="009A7014" w:rsidP="009A7014">
      <w:pPr>
        <w:pStyle w:val="NoSpacing"/>
        <w:rPr>
          <w:rFonts w:ascii="Times New Roman" w:hAnsi="Times New Roman"/>
          <w:sz w:val="24"/>
          <w:szCs w:val="24"/>
        </w:rPr>
      </w:pPr>
      <w:r w:rsidRPr="008712E6">
        <w:rPr>
          <w:rFonts w:ascii="Times New Roman" w:hAnsi="Times New Roman"/>
          <w:sz w:val="24"/>
          <w:szCs w:val="24"/>
        </w:rPr>
        <w:t xml:space="preserve">On July 22, 2025, in </w:t>
      </w:r>
      <w:r w:rsidRPr="008712E6">
        <w:rPr>
          <w:rFonts w:ascii="Times New Roman" w:hAnsi="Times New Roman"/>
          <w:sz w:val="24"/>
          <w:szCs w:val="24"/>
          <w:u w:val="single"/>
        </w:rPr>
        <w:t>Alarm Detection Systems, Inc, et al. v. Village of Schaumburg</w:t>
      </w:r>
      <w:r w:rsidRPr="008712E6">
        <w:rPr>
          <w:rFonts w:ascii="Times New Roman" w:hAnsi="Times New Roman"/>
          <w:sz w:val="24"/>
          <w:szCs w:val="24"/>
        </w:rPr>
        <w:t>, the United States Court of Appeals for 7</w:t>
      </w:r>
      <w:r w:rsidRPr="008712E6">
        <w:rPr>
          <w:rFonts w:ascii="Times New Roman" w:hAnsi="Times New Roman"/>
          <w:sz w:val="24"/>
          <w:szCs w:val="24"/>
          <w:vertAlign w:val="superscript"/>
        </w:rPr>
        <w:t>th</w:t>
      </w:r>
      <w:r w:rsidRPr="008712E6">
        <w:rPr>
          <w:rFonts w:ascii="Times New Roman" w:hAnsi="Times New Roman"/>
          <w:sz w:val="24"/>
          <w:szCs w:val="24"/>
        </w:rPr>
        <w:t xml:space="preserve"> Circuit (Chicago) held (3 to 0) that the Village had right to change alarm code ordinance in 2016, requiring by August 31, 2019 that all multi-family dwellings and commercial establishments to install system reporting directly to 911 dispatch, instead of to an alarm company center. Four alarm companies sued, claiming loss of 250 customers, since the only direct reporting system was owned by Tyco/Johnson Controls which had a contract with the Northwest Central Dispatch System.   Trial court dismissed the lawsuit since no proof customers breached their </w:t>
      </w:r>
      <w:proofErr w:type="gramStart"/>
      <w:r w:rsidRPr="008712E6">
        <w:rPr>
          <w:rFonts w:ascii="Times New Roman" w:hAnsi="Times New Roman"/>
          <w:sz w:val="24"/>
          <w:szCs w:val="24"/>
        </w:rPr>
        <w:t>contracts,</w:t>
      </w:r>
      <w:proofErr w:type="gramEnd"/>
      <w:r w:rsidRPr="008712E6">
        <w:rPr>
          <w:rFonts w:ascii="Times New Roman" w:hAnsi="Times New Roman"/>
          <w:sz w:val="24"/>
          <w:szCs w:val="24"/>
        </w:rPr>
        <w:t xml:space="preserve"> they merely didn’t renew with the four companies. THE COURT HELD:  “The Alarm Companies appealed, and we reversed in part, holding that they had stated a Contracts Clause claim. Alarm Detection Sys., Inc. v. Vill. of Schaumburg (“Alarm </w:t>
      </w:r>
      <w:proofErr w:type="spellStart"/>
      <w:r w:rsidRPr="008712E6">
        <w:rPr>
          <w:rFonts w:ascii="Times New Roman" w:hAnsi="Times New Roman"/>
          <w:sz w:val="24"/>
          <w:szCs w:val="24"/>
        </w:rPr>
        <w:t>Detec</w:t>
      </w:r>
      <w:proofErr w:type="spellEnd"/>
      <w:r w:rsidRPr="008712E6">
        <w:rPr>
          <w:rFonts w:ascii="Times New Roman" w:hAnsi="Times New Roman"/>
          <w:sz w:val="24"/>
          <w:szCs w:val="24"/>
        </w:rPr>
        <w:t>-</w:t>
      </w:r>
    </w:p>
    <w:p w14:paraId="0AD79C5C" w14:textId="77777777" w:rsidR="009A7014" w:rsidRPr="008712E6" w:rsidRDefault="009A7014" w:rsidP="009A7014">
      <w:pPr>
        <w:pStyle w:val="NoSpacing"/>
        <w:rPr>
          <w:rFonts w:ascii="Times New Roman" w:hAnsi="Times New Roman"/>
          <w:sz w:val="24"/>
          <w:szCs w:val="24"/>
        </w:rPr>
      </w:pPr>
      <w:proofErr w:type="spellStart"/>
      <w:r w:rsidRPr="008712E6">
        <w:rPr>
          <w:rFonts w:ascii="Times New Roman" w:hAnsi="Times New Roman"/>
          <w:sz w:val="24"/>
          <w:szCs w:val="24"/>
        </w:rPr>
        <w:t>tion</w:t>
      </w:r>
      <w:proofErr w:type="spellEnd"/>
      <w:r w:rsidRPr="008712E6">
        <w:rPr>
          <w:rFonts w:ascii="Times New Roman" w:hAnsi="Times New Roman"/>
          <w:sz w:val="24"/>
          <w:szCs w:val="24"/>
        </w:rPr>
        <w:t xml:space="preserve"> I”), 930 F.3d 812, 823–24 (7th Cir. 2019). We cautioned, however, that to ultimately prevail, the Alarm Companies would need to show the Ordinance caused their customers to prematurely cancel existing contracts, not just decline to renew them. See id. The district court granted the Village’s motion in a thorough written opinion. It </w:t>
      </w:r>
      <w:proofErr w:type="gramStart"/>
      <w:r w:rsidRPr="008712E6">
        <w:rPr>
          <w:rFonts w:ascii="Times New Roman" w:hAnsi="Times New Roman"/>
          <w:sz w:val="24"/>
          <w:szCs w:val="24"/>
        </w:rPr>
        <w:t>reasoned</w:t>
      </w:r>
      <w:proofErr w:type="gramEnd"/>
      <w:r w:rsidRPr="008712E6">
        <w:rPr>
          <w:rFonts w:ascii="Times New Roman" w:hAnsi="Times New Roman"/>
          <w:sz w:val="24"/>
          <w:szCs w:val="24"/>
        </w:rPr>
        <w:t xml:space="preserve"> that the Alarm Companies had offered no admissible evidence substantiating their claim that the Ordinance caused customers to breach contracts with them. *** They do not reveal which customers breached, when they breached, how the companies were notified of the breaches, or the reasons given for the breaches—all information a reasonable jury would need to understand how the Alarm Companies reached their conclusion that breaches occurred. Without any of this basic information, the Alarm Companies’ bare allegations are too conclusory to carry their burden at summary judgment.”  </w:t>
      </w:r>
      <w:hyperlink r:id="rId61" w:history="1">
        <w:r w:rsidRPr="008712E6">
          <w:rPr>
            <w:rStyle w:val="Hyperlink"/>
            <w:rFonts w:ascii="Times New Roman" w:hAnsi="Times New Roman"/>
            <w:sz w:val="24"/>
            <w:szCs w:val="24"/>
          </w:rPr>
          <w:t>https://cases.justia.com/federal/appellate-courts/ca7/24-3163/24-3163-2025-07-22.pdf?ts=1753214416</w:t>
        </w:r>
      </w:hyperlink>
      <w:r w:rsidRPr="008712E6">
        <w:rPr>
          <w:rFonts w:ascii="Times New Roman" w:hAnsi="Times New Roman"/>
          <w:sz w:val="24"/>
          <w:szCs w:val="24"/>
        </w:rPr>
        <w:t xml:space="preserve"> </w:t>
      </w:r>
    </w:p>
    <w:p w14:paraId="7DC559A3" w14:textId="77777777" w:rsidR="008712E6" w:rsidRPr="008712E6" w:rsidRDefault="008712E6" w:rsidP="008712E6">
      <w:pPr>
        <w:pStyle w:val="NoSpacing"/>
        <w:rPr>
          <w:rFonts w:ascii="Times New Roman" w:hAnsi="Times New Roman"/>
          <w:b/>
          <w:sz w:val="24"/>
          <w:szCs w:val="24"/>
        </w:rPr>
      </w:pPr>
    </w:p>
    <w:p w14:paraId="27CE7D9F" w14:textId="389F37D3" w:rsidR="008712E6" w:rsidRPr="008712E6" w:rsidRDefault="008712E6" w:rsidP="008712E6">
      <w:pPr>
        <w:pStyle w:val="NoSpacing"/>
        <w:rPr>
          <w:rFonts w:ascii="Times New Roman" w:hAnsi="Times New Roman"/>
          <w:b/>
          <w:bCs/>
          <w:sz w:val="24"/>
          <w:szCs w:val="24"/>
        </w:rPr>
      </w:pPr>
      <w:r w:rsidRPr="008712E6">
        <w:rPr>
          <w:rFonts w:ascii="Times New Roman" w:hAnsi="Times New Roman"/>
          <w:b/>
          <w:sz w:val="24"/>
          <w:szCs w:val="24"/>
        </w:rPr>
        <w:t xml:space="preserve">Lesson learned: Public safety prevails over alarm company’s loss of profits. </w:t>
      </w:r>
    </w:p>
    <w:p w14:paraId="37B5F662" w14:textId="77777777" w:rsidR="008712E6" w:rsidRDefault="008712E6" w:rsidP="008712E6">
      <w:pPr>
        <w:pStyle w:val="NoSpacing"/>
        <w:rPr>
          <w:bCs/>
        </w:rPr>
      </w:pPr>
    </w:p>
    <w:p w14:paraId="6C79F0AB" w14:textId="77777777" w:rsidR="009A7014" w:rsidRPr="00421D18" w:rsidRDefault="009A7014" w:rsidP="00421D18">
      <w:pPr>
        <w:rPr>
          <w:bCs/>
          <w:sz w:val="24"/>
          <w:szCs w:val="24"/>
        </w:rPr>
      </w:pPr>
    </w:p>
    <w:p w14:paraId="05797B85" w14:textId="69B543CB" w:rsidR="00421D18" w:rsidRDefault="00E24913" w:rsidP="007B08FB">
      <w:pPr>
        <w:pStyle w:val="NoSpacing"/>
        <w:rPr>
          <w:rFonts w:ascii="Arial Black" w:hAnsi="Arial Black"/>
          <w:sz w:val="24"/>
          <w:szCs w:val="24"/>
        </w:rPr>
      </w:pPr>
      <w:r>
        <w:rPr>
          <w:rFonts w:ascii="Arial Black" w:hAnsi="Arial Black"/>
          <w:sz w:val="24"/>
          <w:szCs w:val="24"/>
        </w:rPr>
        <w:t>1-186</w:t>
      </w:r>
    </w:p>
    <w:p w14:paraId="388DEDE0" w14:textId="77777777" w:rsidR="00E24913" w:rsidRDefault="00E24913" w:rsidP="007B08FB">
      <w:pPr>
        <w:pStyle w:val="NoSpacing"/>
        <w:rPr>
          <w:rFonts w:ascii="Arial Black" w:hAnsi="Arial Black"/>
          <w:sz w:val="24"/>
          <w:szCs w:val="24"/>
        </w:rPr>
      </w:pPr>
    </w:p>
    <w:p w14:paraId="514C6E56" w14:textId="77777777" w:rsidR="000A7B66" w:rsidRPr="0013391C" w:rsidRDefault="000A7B66" w:rsidP="000A7B66">
      <w:pPr>
        <w:pStyle w:val="NoSpacing"/>
        <w:rPr>
          <w:rFonts w:ascii="Arial Black" w:hAnsi="Arial Black"/>
          <w:sz w:val="28"/>
          <w:szCs w:val="28"/>
        </w:rPr>
      </w:pPr>
      <w:r>
        <w:rPr>
          <w:rFonts w:ascii="Arial Black" w:hAnsi="Arial Black"/>
          <w:sz w:val="28"/>
          <w:szCs w:val="28"/>
        </w:rPr>
        <w:t>TX: CITY DEMOLISHED HOUSE W/O NOTICE – 1-YR FIRE</w:t>
      </w:r>
    </w:p>
    <w:p w14:paraId="7C31CC41" w14:textId="77777777" w:rsidR="000A7B66" w:rsidRDefault="000A7B66" w:rsidP="000A7B66">
      <w:pPr>
        <w:pStyle w:val="NoSpacing"/>
      </w:pPr>
    </w:p>
    <w:p w14:paraId="0FC8C5A9" w14:textId="1D75D2DA" w:rsidR="00421D18" w:rsidRPr="00CC7E4B" w:rsidRDefault="000A7B66" w:rsidP="000A7B66">
      <w:pPr>
        <w:pStyle w:val="NoSpacing"/>
        <w:rPr>
          <w:rFonts w:ascii="Times New Roman" w:hAnsi="Times New Roman"/>
          <w:sz w:val="24"/>
          <w:szCs w:val="24"/>
        </w:rPr>
      </w:pPr>
      <w:r w:rsidRPr="00CC7E4B">
        <w:rPr>
          <w:rFonts w:ascii="Times New Roman" w:hAnsi="Times New Roman"/>
          <w:sz w:val="24"/>
          <w:szCs w:val="24"/>
        </w:rPr>
        <w:t xml:space="preserve">On July 18, 2025, in Michael Ramirez v. City of Texas City, U.S. District Court Judge Jeffrey Vincent Brown, United States District Court for Southern District of Texas (Galveston), after a one-day bench trial, held that while City violated property owner’s due process rights on failing to notify him that the house will be demolished, the owner is only entitled to $1 in nominal damages, and nothing for rehab materials in the house, and no attorney fees, since the house was not rehabbed for over a year.  The electrical fire was on April 10, 2022, with substantial damage; on April 13th, 2022, the city sent him  a Notice of Substandard Structure and of Abatement; Ramirez retained Michael Gaertner, a licensed architect, to help him obtain a permit to begin property </w:t>
      </w:r>
      <w:proofErr w:type="gramStart"/>
      <w:r w:rsidRPr="00CC7E4B">
        <w:rPr>
          <w:rFonts w:ascii="Times New Roman" w:hAnsi="Times New Roman"/>
          <w:sz w:val="24"/>
          <w:szCs w:val="24"/>
        </w:rPr>
        <w:t>renovations, but</w:t>
      </w:r>
      <w:proofErr w:type="gramEnd"/>
      <w:r w:rsidRPr="00CC7E4B">
        <w:rPr>
          <w:rFonts w:ascii="Times New Roman" w:hAnsi="Times New Roman"/>
          <w:sz w:val="24"/>
          <w:szCs w:val="24"/>
        </w:rPr>
        <w:t xml:space="preserve"> failed to provide a report from a structural engineer. Couple of break-ins; The damaged property languished without repair for about a year until its demolition on or around May 9th, 2023. THE COURT HELD: “Based on the fact findings and legal conclusions set forth above, the court concludes that although Ramirez’s fire-damaged home was ‘substandard’ and a public nuisance, it was not a clear and imminent danger that justified Texas City’s emergency demolition actions. Because Ramirez was not afforded an opportunity to be heard, the city deprived him of due process. Ramirez is therefore awarded $1 in nominal damages. Each party shall bear his or its own attorney’s fees and costs.”  </w:t>
      </w:r>
      <w:hyperlink r:id="rId62" w:history="1">
        <w:r w:rsidRPr="00CC7E4B">
          <w:rPr>
            <w:rStyle w:val="Hyperlink"/>
            <w:rFonts w:ascii="Times New Roman" w:hAnsi="Times New Roman"/>
            <w:sz w:val="24"/>
            <w:szCs w:val="24"/>
          </w:rPr>
          <w:t>https://cases.justia.com/federal/district-courts/texas/txsdce/3:2023cv00356/1939756/67/0.pdf?ts=1752929790</w:t>
        </w:r>
      </w:hyperlink>
    </w:p>
    <w:p w14:paraId="391533BB" w14:textId="77777777" w:rsidR="00421D18" w:rsidRPr="00CC7E4B" w:rsidRDefault="00421D18" w:rsidP="007B08FB">
      <w:pPr>
        <w:pStyle w:val="NoSpacing"/>
        <w:rPr>
          <w:rFonts w:ascii="Times New Roman" w:hAnsi="Times New Roman"/>
          <w:sz w:val="24"/>
          <w:szCs w:val="24"/>
        </w:rPr>
      </w:pPr>
    </w:p>
    <w:p w14:paraId="253B9104" w14:textId="77777777" w:rsidR="00CC7E4B" w:rsidRPr="00CC7E4B" w:rsidRDefault="00CC7E4B" w:rsidP="00CC7E4B">
      <w:pPr>
        <w:pStyle w:val="NoSpacing"/>
        <w:rPr>
          <w:rFonts w:ascii="Times New Roman" w:hAnsi="Times New Roman"/>
          <w:b/>
          <w:bCs/>
          <w:sz w:val="24"/>
          <w:szCs w:val="24"/>
        </w:rPr>
      </w:pPr>
      <w:r w:rsidRPr="00CC7E4B">
        <w:rPr>
          <w:rFonts w:ascii="Times New Roman" w:hAnsi="Times New Roman"/>
          <w:b/>
          <w:sz w:val="24"/>
          <w:szCs w:val="24"/>
        </w:rPr>
        <w:t xml:space="preserve">Legal lesson learned:  Give property owner written notice of plan to demolish.  While the City only </w:t>
      </w:r>
      <w:proofErr w:type="gramStart"/>
      <w:r w:rsidRPr="00CC7E4B">
        <w:rPr>
          <w:rFonts w:ascii="Times New Roman" w:hAnsi="Times New Roman"/>
          <w:b/>
          <w:sz w:val="24"/>
          <w:szCs w:val="24"/>
        </w:rPr>
        <w:t>has to</w:t>
      </w:r>
      <w:proofErr w:type="gramEnd"/>
      <w:r w:rsidRPr="00CC7E4B">
        <w:rPr>
          <w:rFonts w:ascii="Times New Roman" w:hAnsi="Times New Roman"/>
          <w:b/>
          <w:sz w:val="24"/>
          <w:szCs w:val="24"/>
        </w:rPr>
        <w:t xml:space="preserve"> pay property owner $1, the City has had to incur legal expenses simply because it failed to give notice of planned demolition. </w:t>
      </w:r>
    </w:p>
    <w:p w14:paraId="793718DF" w14:textId="77777777" w:rsidR="00CC7E4B" w:rsidRDefault="00CC7E4B" w:rsidP="00CC7E4B">
      <w:pPr>
        <w:pStyle w:val="NoSpacing"/>
      </w:pPr>
    </w:p>
    <w:p w14:paraId="52B6299A" w14:textId="77777777" w:rsidR="00E24913" w:rsidRDefault="00E24913" w:rsidP="007B08FB">
      <w:pPr>
        <w:pStyle w:val="NoSpacing"/>
        <w:rPr>
          <w:rFonts w:ascii="Arial Black" w:hAnsi="Arial Black"/>
          <w:sz w:val="24"/>
          <w:szCs w:val="24"/>
        </w:rPr>
      </w:pPr>
    </w:p>
    <w:p w14:paraId="10218354" w14:textId="74CF6081" w:rsidR="00421D18" w:rsidRDefault="00E24913" w:rsidP="007B08FB">
      <w:pPr>
        <w:pStyle w:val="NoSpacing"/>
        <w:rPr>
          <w:rFonts w:ascii="Arial Black" w:hAnsi="Arial Black"/>
          <w:sz w:val="24"/>
          <w:szCs w:val="24"/>
        </w:rPr>
      </w:pPr>
      <w:r>
        <w:rPr>
          <w:rFonts w:ascii="Arial Black" w:hAnsi="Arial Black"/>
          <w:sz w:val="24"/>
          <w:szCs w:val="24"/>
        </w:rPr>
        <w:t>1-185</w:t>
      </w:r>
    </w:p>
    <w:p w14:paraId="2FB81A72" w14:textId="77777777" w:rsidR="00DC77F7" w:rsidRDefault="00DC77F7" w:rsidP="007B08FB">
      <w:pPr>
        <w:pStyle w:val="NoSpacing"/>
        <w:rPr>
          <w:rFonts w:ascii="Arial Black" w:hAnsi="Arial Black"/>
          <w:sz w:val="24"/>
          <w:szCs w:val="24"/>
        </w:rPr>
      </w:pPr>
    </w:p>
    <w:p w14:paraId="1F95A636" w14:textId="77777777" w:rsidR="0094602E" w:rsidRDefault="0094602E" w:rsidP="0094602E">
      <w:pPr>
        <w:rPr>
          <w:rFonts w:ascii="Arial Black" w:hAnsi="Arial Black"/>
          <w:bCs/>
          <w:sz w:val="28"/>
          <w:szCs w:val="28"/>
        </w:rPr>
      </w:pPr>
      <w:r>
        <w:rPr>
          <w:rFonts w:ascii="Arial Black" w:hAnsi="Arial Black"/>
          <w:sz w:val="28"/>
          <w:szCs w:val="28"/>
        </w:rPr>
        <w:t xml:space="preserve">LA: WIRE FRAUD – LIED TO INSUR. CO. – FIRE “ELECTRICAL” </w:t>
      </w:r>
    </w:p>
    <w:p w14:paraId="4B162E4C" w14:textId="77777777" w:rsidR="0094602E" w:rsidRPr="00C27853" w:rsidRDefault="0094602E" w:rsidP="0094602E">
      <w:pPr>
        <w:pStyle w:val="NoSpacing"/>
        <w:rPr>
          <w:rFonts w:ascii="Times New Roman" w:hAnsi="Times New Roman"/>
          <w:bCs/>
          <w:sz w:val="24"/>
          <w:szCs w:val="24"/>
        </w:rPr>
      </w:pPr>
      <w:r w:rsidRPr="00C27853">
        <w:rPr>
          <w:rFonts w:ascii="Times New Roman" w:hAnsi="Times New Roman"/>
          <w:sz w:val="24"/>
          <w:szCs w:val="24"/>
        </w:rPr>
        <w:t xml:space="preserve">On July 15, 2025, in </w:t>
      </w:r>
      <w:r w:rsidRPr="00C27853">
        <w:rPr>
          <w:rFonts w:ascii="Times New Roman" w:hAnsi="Times New Roman"/>
          <w:sz w:val="24"/>
          <w:szCs w:val="24"/>
          <w:u w:val="single"/>
        </w:rPr>
        <w:t>United States of America v. Saleem Yousef Dabit</w:t>
      </w:r>
      <w:r w:rsidRPr="00C27853">
        <w:rPr>
          <w:rFonts w:ascii="Times New Roman" w:hAnsi="Times New Roman"/>
          <w:sz w:val="24"/>
          <w:szCs w:val="24"/>
        </w:rPr>
        <w:t>, the 5</w:t>
      </w:r>
      <w:r w:rsidRPr="00C27853">
        <w:rPr>
          <w:rFonts w:ascii="Times New Roman" w:hAnsi="Times New Roman"/>
          <w:sz w:val="24"/>
          <w:szCs w:val="24"/>
          <w:vertAlign w:val="superscript"/>
        </w:rPr>
        <w:t>th</w:t>
      </w:r>
      <w:r w:rsidRPr="00C27853">
        <w:rPr>
          <w:rFonts w:ascii="Times New Roman" w:hAnsi="Times New Roman"/>
          <w:sz w:val="24"/>
          <w:szCs w:val="24"/>
        </w:rPr>
        <w:t xml:space="preserve"> Circuit United States Court of Appeals (New Orleans) held (3 to 0) that a jury properly convicted the owner of wire fraud involving insurance claim for Jan. 1, </w:t>
      </w:r>
      <w:proofErr w:type="gramStart"/>
      <w:r w:rsidRPr="00C27853">
        <w:rPr>
          <w:rFonts w:ascii="Times New Roman" w:hAnsi="Times New Roman"/>
          <w:sz w:val="24"/>
          <w:szCs w:val="24"/>
        </w:rPr>
        <w:t>2019</w:t>
      </w:r>
      <w:proofErr w:type="gramEnd"/>
      <w:r w:rsidRPr="00C27853">
        <w:rPr>
          <w:rFonts w:ascii="Times New Roman" w:hAnsi="Times New Roman"/>
          <w:sz w:val="24"/>
          <w:szCs w:val="24"/>
        </w:rPr>
        <w:t xml:space="preserve"> fire at a warehouse - Sam's Men's Fashions.  Dabit was indicted on (1) one count of use of fire to commit a felony (gasoline from at least 15 containers, which resulted in a massive fuel-air explosion), (2) one count of use of fire to maliciously damage property, and (3) one count of wire fraud on Hanover Insurance Company (falsely told insurance company that fire investigators said it was electrical).   The jury found him not guilty of first two </w:t>
      </w:r>
      <w:proofErr w:type="gramStart"/>
      <w:r w:rsidRPr="00C27853">
        <w:rPr>
          <w:rFonts w:ascii="Times New Roman" w:hAnsi="Times New Roman"/>
          <w:sz w:val="24"/>
          <w:szCs w:val="24"/>
        </w:rPr>
        <w:t>counts</w:t>
      </w:r>
      <w:proofErr w:type="gramEnd"/>
      <w:r w:rsidRPr="00C27853">
        <w:rPr>
          <w:rFonts w:ascii="Times New Roman" w:hAnsi="Times New Roman"/>
          <w:sz w:val="24"/>
          <w:szCs w:val="24"/>
        </w:rPr>
        <w:t xml:space="preserve">.  On July 25, </w:t>
      </w:r>
      <w:proofErr w:type="gramStart"/>
      <w:r w:rsidRPr="00C27853">
        <w:rPr>
          <w:rFonts w:ascii="Times New Roman" w:hAnsi="Times New Roman"/>
          <w:sz w:val="24"/>
          <w:szCs w:val="24"/>
        </w:rPr>
        <w:t>2024</w:t>
      </w:r>
      <w:proofErr w:type="gramEnd"/>
      <w:r w:rsidRPr="00C27853">
        <w:rPr>
          <w:rFonts w:ascii="Times New Roman" w:hAnsi="Times New Roman"/>
          <w:sz w:val="24"/>
          <w:szCs w:val="24"/>
        </w:rPr>
        <w:t xml:space="preserve"> he was sentenced to 12 months and one day in jail; and on Aug. 26, </w:t>
      </w:r>
      <w:proofErr w:type="gramStart"/>
      <w:r w:rsidRPr="00C27853">
        <w:rPr>
          <w:rFonts w:ascii="Times New Roman" w:hAnsi="Times New Roman"/>
          <w:sz w:val="24"/>
          <w:szCs w:val="24"/>
        </w:rPr>
        <w:t>2024</w:t>
      </w:r>
      <w:proofErr w:type="gramEnd"/>
      <w:r w:rsidRPr="00C27853">
        <w:rPr>
          <w:rFonts w:ascii="Times New Roman" w:hAnsi="Times New Roman"/>
          <w:sz w:val="24"/>
          <w:szCs w:val="24"/>
        </w:rPr>
        <w:t xml:space="preserve"> the trial court judge denied his motion for release pending appeal. </w:t>
      </w:r>
      <w:hyperlink r:id="rId63" w:history="1">
        <w:r w:rsidRPr="00C27853">
          <w:rPr>
            <w:rStyle w:val="Hyperlink"/>
            <w:rFonts w:ascii="Times New Roman" w:hAnsi="Times New Roman"/>
            <w:sz w:val="24"/>
            <w:szCs w:val="24"/>
          </w:rPr>
          <w:t>https://www.casemine.com/judgement/us/66cea7f23f1f7c7a89e60871</w:t>
        </w:r>
      </w:hyperlink>
      <w:r w:rsidRPr="00C27853">
        <w:rPr>
          <w:rFonts w:ascii="Times New Roman" w:hAnsi="Times New Roman"/>
          <w:sz w:val="24"/>
          <w:szCs w:val="24"/>
        </w:rPr>
        <w:t xml:space="preserve"> . THE 5</w:t>
      </w:r>
      <w:r w:rsidRPr="00C27853">
        <w:rPr>
          <w:rFonts w:ascii="Times New Roman" w:hAnsi="Times New Roman"/>
          <w:sz w:val="24"/>
          <w:szCs w:val="24"/>
          <w:vertAlign w:val="superscript"/>
        </w:rPr>
        <w:t>th</w:t>
      </w:r>
      <w:r w:rsidRPr="00C27853">
        <w:rPr>
          <w:rFonts w:ascii="Times New Roman" w:hAnsi="Times New Roman"/>
          <w:sz w:val="24"/>
          <w:szCs w:val="24"/>
        </w:rPr>
        <w:t xml:space="preserve"> CIRCUIT HELD:  “Here, a rational jury could have found beyond a reasonable doubt that Dabit, with specific intent to defraud, engaged in a scheme to defraud the Hanover Insurance Company using wire communications…. Even if there was insufficient evidence that Dabit set fire to the warehouse, there was sufficient evidence that Dabit lied to Hanover when he said that firefighters told him the fire was probably electrical. Multiple firefighters and certified fire investigators testified that no firefighter or investigator told Dabit that. And we are not entitled to second-guess any credibility determinations the jury might have made in this </w:t>
      </w:r>
      <w:proofErr w:type="gramStart"/>
      <w:r w:rsidRPr="00C27853">
        <w:rPr>
          <w:rFonts w:ascii="Times New Roman" w:hAnsi="Times New Roman"/>
          <w:sz w:val="24"/>
          <w:szCs w:val="24"/>
        </w:rPr>
        <w:t>respect.”</w:t>
      </w:r>
      <w:proofErr w:type="gramEnd"/>
      <w:r w:rsidRPr="00C27853">
        <w:rPr>
          <w:rFonts w:ascii="Times New Roman" w:hAnsi="Times New Roman"/>
          <w:sz w:val="24"/>
          <w:szCs w:val="24"/>
        </w:rPr>
        <w:t xml:space="preserve"> </w:t>
      </w:r>
      <w:hyperlink r:id="rId64" w:history="1">
        <w:r w:rsidRPr="00C27853">
          <w:rPr>
            <w:rStyle w:val="Hyperlink"/>
            <w:rFonts w:ascii="Times New Roman" w:hAnsi="Times New Roman"/>
            <w:sz w:val="24"/>
            <w:szCs w:val="24"/>
          </w:rPr>
          <w:t>https://www.ca5.uscourts.gov/opinions/unpub/24/24-30496.0.pdf</w:t>
        </w:r>
      </w:hyperlink>
      <w:r w:rsidRPr="00C27853">
        <w:rPr>
          <w:rFonts w:ascii="Times New Roman" w:hAnsi="Times New Roman"/>
          <w:sz w:val="24"/>
          <w:szCs w:val="24"/>
        </w:rPr>
        <w:t xml:space="preserve"> </w:t>
      </w:r>
    </w:p>
    <w:p w14:paraId="2CFAFACB" w14:textId="77777777" w:rsidR="0094602E" w:rsidRPr="00C27853" w:rsidRDefault="0094602E" w:rsidP="0094602E">
      <w:pPr>
        <w:pStyle w:val="NoSpacing"/>
        <w:rPr>
          <w:rFonts w:ascii="Times New Roman" w:hAnsi="Times New Roman"/>
          <w:bCs/>
          <w:sz w:val="24"/>
          <w:szCs w:val="24"/>
        </w:rPr>
      </w:pPr>
    </w:p>
    <w:p w14:paraId="4C0026CA" w14:textId="77777777" w:rsidR="00C27853" w:rsidRPr="00C27853" w:rsidRDefault="00C27853" w:rsidP="00C27853">
      <w:pPr>
        <w:pStyle w:val="NoSpacing"/>
        <w:rPr>
          <w:rFonts w:ascii="Times New Roman" w:hAnsi="Times New Roman"/>
          <w:b/>
          <w:bCs/>
          <w:sz w:val="24"/>
          <w:szCs w:val="24"/>
        </w:rPr>
      </w:pPr>
      <w:r w:rsidRPr="00C27853">
        <w:rPr>
          <w:rFonts w:ascii="Times New Roman" w:hAnsi="Times New Roman"/>
          <w:b/>
          <w:sz w:val="24"/>
          <w:szCs w:val="24"/>
        </w:rPr>
        <w:t xml:space="preserve">Legal lesson learned:  Jury found him guilty of scheme to defraud insurance company, even if it did not find him guilty of arson. </w:t>
      </w:r>
    </w:p>
    <w:p w14:paraId="3CDCEE6C" w14:textId="77777777" w:rsidR="00C27853" w:rsidRPr="00C27853" w:rsidRDefault="00C27853" w:rsidP="00C27853">
      <w:pPr>
        <w:pStyle w:val="NoSpacing"/>
        <w:rPr>
          <w:rFonts w:ascii="Times New Roman" w:hAnsi="Times New Roman"/>
          <w:b/>
          <w:bCs/>
          <w:sz w:val="24"/>
          <w:szCs w:val="24"/>
        </w:rPr>
      </w:pPr>
    </w:p>
    <w:p w14:paraId="2CF885C4" w14:textId="02B37350" w:rsidR="00DC77F7" w:rsidRPr="00C27853" w:rsidRDefault="00C27853" w:rsidP="00C27853">
      <w:pPr>
        <w:pStyle w:val="NoSpacing"/>
        <w:ind w:left="720"/>
        <w:rPr>
          <w:rFonts w:ascii="Times New Roman" w:hAnsi="Times New Roman"/>
          <w:sz w:val="24"/>
          <w:szCs w:val="24"/>
        </w:rPr>
      </w:pPr>
      <w:r w:rsidRPr="00C27853">
        <w:rPr>
          <w:rFonts w:ascii="Times New Roman" w:hAnsi="Times New Roman"/>
          <w:sz w:val="24"/>
          <w:szCs w:val="24"/>
        </w:rPr>
        <w:t xml:space="preserve">Note: See Nov. 14, </w:t>
      </w:r>
      <w:proofErr w:type="gramStart"/>
      <w:r w:rsidRPr="00C27853">
        <w:rPr>
          <w:rFonts w:ascii="Times New Roman" w:hAnsi="Times New Roman"/>
          <w:sz w:val="24"/>
          <w:szCs w:val="24"/>
        </w:rPr>
        <w:t>2009</w:t>
      </w:r>
      <w:proofErr w:type="gramEnd"/>
      <w:r w:rsidRPr="00C27853">
        <w:rPr>
          <w:rFonts w:ascii="Times New Roman" w:hAnsi="Times New Roman"/>
          <w:sz w:val="24"/>
          <w:szCs w:val="24"/>
        </w:rPr>
        <w:t xml:space="preserve"> U.S Department of Justice Press Release, “Baton Rouge Man Indicted for Use of Fire to Commit a Felony, Use of Fire to Maliciously Damage Property, and Wire Fraud.” </w:t>
      </w:r>
      <w:hyperlink r:id="rId65" w:history="1">
        <w:r w:rsidRPr="00C27853">
          <w:rPr>
            <w:rStyle w:val="Hyperlink"/>
            <w:rFonts w:ascii="Times New Roman" w:hAnsi="Times New Roman"/>
            <w:sz w:val="24"/>
            <w:szCs w:val="24"/>
          </w:rPr>
          <w:t>https://www.justice.gov/usao-mdla/pr/baton-rouge-man-indicted-use-fire-commit-felony-use-fire-maliciously-damage-property</w:t>
        </w:r>
      </w:hyperlink>
    </w:p>
    <w:p w14:paraId="3D4A31ED" w14:textId="77777777" w:rsidR="00DC77F7" w:rsidRDefault="00DC77F7" w:rsidP="007B08FB">
      <w:pPr>
        <w:pStyle w:val="NoSpacing"/>
        <w:rPr>
          <w:rFonts w:ascii="Arial Black" w:hAnsi="Arial Black"/>
          <w:sz w:val="24"/>
          <w:szCs w:val="24"/>
        </w:rPr>
      </w:pPr>
    </w:p>
    <w:p w14:paraId="1C5D3D9D" w14:textId="77777777" w:rsidR="00DC77F7" w:rsidRDefault="00DC77F7" w:rsidP="007B08FB">
      <w:pPr>
        <w:pStyle w:val="NoSpacing"/>
        <w:rPr>
          <w:rFonts w:ascii="Arial Black" w:hAnsi="Arial Black"/>
          <w:sz w:val="24"/>
          <w:szCs w:val="24"/>
        </w:rPr>
      </w:pPr>
    </w:p>
    <w:p w14:paraId="0A696785" w14:textId="626A2012" w:rsidR="007B08FB" w:rsidRDefault="007B08FB" w:rsidP="007B08FB">
      <w:pPr>
        <w:pStyle w:val="NoSpacing"/>
        <w:rPr>
          <w:rFonts w:ascii="Arial Black" w:hAnsi="Arial Black"/>
          <w:sz w:val="24"/>
          <w:szCs w:val="24"/>
        </w:rPr>
      </w:pPr>
      <w:r>
        <w:rPr>
          <w:rFonts w:ascii="Arial Black" w:hAnsi="Arial Black"/>
          <w:sz w:val="24"/>
          <w:szCs w:val="24"/>
        </w:rPr>
        <w:t>1-184</w:t>
      </w:r>
    </w:p>
    <w:p w14:paraId="7F89048C" w14:textId="77777777" w:rsidR="00324C50" w:rsidRDefault="00324C50" w:rsidP="00B86628">
      <w:pPr>
        <w:pStyle w:val="NoSpacing"/>
        <w:rPr>
          <w:rFonts w:ascii="Arial Black" w:hAnsi="Arial Black"/>
          <w:sz w:val="24"/>
          <w:szCs w:val="24"/>
        </w:rPr>
      </w:pPr>
    </w:p>
    <w:p w14:paraId="6F3F1666" w14:textId="77777777" w:rsidR="00324C50" w:rsidRPr="00B50751" w:rsidRDefault="00324C50" w:rsidP="00324C50">
      <w:pPr>
        <w:rPr>
          <w:rFonts w:ascii="Arial Black" w:hAnsi="Arial Black"/>
          <w:b/>
          <w:sz w:val="28"/>
          <w:szCs w:val="28"/>
        </w:rPr>
      </w:pPr>
      <w:r>
        <w:rPr>
          <w:rFonts w:ascii="Arial Black" w:hAnsi="Arial Black"/>
          <w:b/>
          <w:sz w:val="28"/>
          <w:szCs w:val="28"/>
        </w:rPr>
        <w:t>GA:  FIRE MARSHAL – ARRESTED 2 / FIRE EXTIGUISHER CO.</w:t>
      </w:r>
    </w:p>
    <w:p w14:paraId="49709C47" w14:textId="624B27C9" w:rsidR="00324C50" w:rsidRDefault="00324C50" w:rsidP="00324C50">
      <w:pPr>
        <w:pStyle w:val="NoSpacing"/>
        <w:rPr>
          <w:rFonts w:ascii="Times New Roman" w:hAnsi="Times New Roman"/>
          <w:sz w:val="24"/>
          <w:szCs w:val="24"/>
        </w:rPr>
      </w:pPr>
      <w:r w:rsidRPr="00324C50">
        <w:rPr>
          <w:rFonts w:ascii="Times New Roman" w:hAnsi="Times New Roman"/>
          <w:sz w:val="24"/>
          <w:szCs w:val="24"/>
        </w:rPr>
        <w:t xml:space="preserve">On June 26, 2025, in </w:t>
      </w:r>
      <w:r w:rsidRPr="00324C50">
        <w:rPr>
          <w:rFonts w:ascii="Times New Roman" w:hAnsi="Times New Roman"/>
          <w:sz w:val="24"/>
          <w:szCs w:val="24"/>
          <w:u w:val="single"/>
        </w:rPr>
        <w:t>Karen Diane Wynn Lyle and Lyle Mobile Fire Protection, LLC v. Jerry D. Heath, Jr., individually and in his capacity as Fire Marshal of the City of Hinesville, and the City of Hinesville</w:t>
      </w:r>
      <w:r w:rsidRPr="00324C50">
        <w:rPr>
          <w:rFonts w:ascii="Times New Roman" w:hAnsi="Times New Roman"/>
          <w:sz w:val="24"/>
          <w:szCs w:val="24"/>
        </w:rPr>
        <w:t xml:space="preserve">, the Court of Appeals of Georgia, Third Division, reversed the dismissal of this lawsuit on the basis of governmental immunity, and ordered that pre-trial discovery proceed in this civil lawsuit for malicious prosecution, false arrest, defamation, slander per se, and tortious interference with a business relationship.  Karen Lyle is an elementary school </w:t>
      </w:r>
      <w:proofErr w:type="gramStart"/>
      <w:r w:rsidRPr="00324C50">
        <w:rPr>
          <w:rFonts w:ascii="Times New Roman" w:hAnsi="Times New Roman"/>
          <w:sz w:val="24"/>
          <w:szCs w:val="24"/>
        </w:rPr>
        <w:t>teacher, and</w:t>
      </w:r>
      <w:proofErr w:type="gramEnd"/>
      <w:r w:rsidRPr="00324C50">
        <w:rPr>
          <w:rFonts w:ascii="Times New Roman" w:hAnsi="Times New Roman"/>
          <w:sz w:val="24"/>
          <w:szCs w:val="24"/>
        </w:rPr>
        <w:t xml:space="preserve"> also worked as a bookkeeper for her late husband (died in 2019), who founded the fire extinguisher company.  Starting in </w:t>
      </w:r>
      <w:proofErr w:type="gramStart"/>
      <w:r w:rsidRPr="00324C50">
        <w:rPr>
          <w:rFonts w:ascii="Times New Roman" w:hAnsi="Times New Roman"/>
          <w:sz w:val="24"/>
          <w:szCs w:val="24"/>
        </w:rPr>
        <w:t>September,</w:t>
      </w:r>
      <w:proofErr w:type="gramEnd"/>
      <w:r w:rsidRPr="00324C50">
        <w:rPr>
          <w:rFonts w:ascii="Times New Roman" w:hAnsi="Times New Roman"/>
          <w:sz w:val="24"/>
          <w:szCs w:val="24"/>
        </w:rPr>
        <w:t xml:space="preserve"> 2020, Fire Marshal Heath contacted Shane Taylor with the Enforcement Division of the Insurance and Fire Safety Commissioner's Office regarding LMFP and certain improperly tagged fire extinguishers; Mr. Taylor then spoke with both Karen Lyle and employee John Mann about state regulations.  [TWO ARRESTS.]  On May 4, 2012, the Fire Marshall arrested Ms. Lyle while teaching at her elementary school; and on May 7, 202 he arrested John Mann for “impersonating a fireman” and “failing to abide by fire extinguisher and suppression systems regulations.” On Jan. 26, 2023, all charges were dropped.  THE COURT HELD:  “We therefore vacate the order and remand to more fully develop the factual record, not only as to Heath's status as a municipal or state actor, but also as to the full investigation, which will bear on the remaining questions as to whether the City or Heath are protected by sovereign or official immunity (or whether the Georgia Tort Claims Act applied), and whether Heath acted with malice and its effect on the application of immunity in this case. Thus, we decline the City's request to apply the sovereign immunity analysis </w:t>
      </w:r>
      <w:proofErr w:type="gramStart"/>
      <w:r w:rsidRPr="00324C50">
        <w:rPr>
          <w:rFonts w:ascii="Times New Roman" w:hAnsi="Times New Roman"/>
          <w:sz w:val="24"/>
          <w:szCs w:val="24"/>
        </w:rPr>
        <w:t>at this time</w:t>
      </w:r>
      <w:proofErr w:type="gramEnd"/>
      <w:r w:rsidRPr="00324C50">
        <w:rPr>
          <w:rFonts w:ascii="Times New Roman" w:hAnsi="Times New Roman"/>
          <w:sz w:val="24"/>
          <w:szCs w:val="24"/>
        </w:rPr>
        <w:t xml:space="preserve">.” </w:t>
      </w:r>
      <w:hyperlink r:id="rId66" w:history="1">
        <w:r w:rsidRPr="00324C50">
          <w:rPr>
            <w:rStyle w:val="Hyperlink"/>
            <w:rFonts w:ascii="Times New Roman" w:hAnsi="Times New Roman"/>
            <w:sz w:val="24"/>
            <w:szCs w:val="24"/>
          </w:rPr>
          <w:t>https://caselaw.findlaw.com/court/ga-court-of-appeals/117421566.html</w:t>
        </w:r>
      </w:hyperlink>
    </w:p>
    <w:p w14:paraId="0B17BA8D" w14:textId="77777777" w:rsidR="00E02F60" w:rsidRDefault="00E02F60" w:rsidP="00324C50">
      <w:pPr>
        <w:pStyle w:val="NoSpacing"/>
        <w:rPr>
          <w:rFonts w:ascii="Times New Roman" w:hAnsi="Times New Roman"/>
          <w:sz w:val="24"/>
          <w:szCs w:val="24"/>
        </w:rPr>
      </w:pPr>
    </w:p>
    <w:p w14:paraId="31B199F2" w14:textId="77777777" w:rsidR="00E02F60" w:rsidRPr="00E02F60" w:rsidRDefault="00E02F60" w:rsidP="00E02F60">
      <w:pPr>
        <w:rPr>
          <w:rFonts w:ascii="Times New Roman" w:hAnsi="Times New Roman"/>
          <w:b/>
          <w:bCs/>
          <w:sz w:val="24"/>
          <w:szCs w:val="24"/>
        </w:rPr>
      </w:pPr>
      <w:r w:rsidRPr="00E02F60">
        <w:rPr>
          <w:rFonts w:ascii="Times New Roman" w:hAnsi="Times New Roman"/>
          <w:b/>
          <w:sz w:val="24"/>
          <w:szCs w:val="24"/>
        </w:rPr>
        <w:t xml:space="preserve">Legal lesson learned: Very strange set of facts; there must be “more to this story.”  Pre-trial discovery will now proceed. </w:t>
      </w:r>
    </w:p>
    <w:p w14:paraId="1AAE8545" w14:textId="77777777" w:rsidR="00465650" w:rsidRDefault="00465650" w:rsidP="006F7F26">
      <w:pPr>
        <w:rPr>
          <w:rFonts w:ascii="Arial Black" w:hAnsi="Arial Black"/>
          <w:b/>
          <w:sz w:val="28"/>
          <w:szCs w:val="28"/>
        </w:rPr>
      </w:pPr>
    </w:p>
    <w:p w14:paraId="2ADC53AD" w14:textId="5EBA81C3" w:rsidR="00465650" w:rsidRDefault="00465650" w:rsidP="00465650">
      <w:pPr>
        <w:pStyle w:val="NoSpacing"/>
        <w:rPr>
          <w:rFonts w:ascii="Arial Black" w:hAnsi="Arial Black"/>
          <w:sz w:val="24"/>
          <w:szCs w:val="24"/>
        </w:rPr>
      </w:pPr>
      <w:r>
        <w:rPr>
          <w:rFonts w:ascii="Arial Black" w:hAnsi="Arial Black"/>
          <w:sz w:val="24"/>
          <w:szCs w:val="24"/>
        </w:rPr>
        <w:t>1-183</w:t>
      </w:r>
    </w:p>
    <w:p w14:paraId="09472BD6" w14:textId="77777777" w:rsidR="007B08FB" w:rsidRDefault="007B08FB" w:rsidP="00465650">
      <w:pPr>
        <w:pStyle w:val="NoSpacing"/>
        <w:rPr>
          <w:rFonts w:ascii="Arial Black" w:hAnsi="Arial Black"/>
          <w:b/>
          <w:sz w:val="28"/>
          <w:szCs w:val="28"/>
        </w:rPr>
      </w:pPr>
    </w:p>
    <w:p w14:paraId="1A9635FD" w14:textId="282B9413" w:rsidR="006F7F26" w:rsidRPr="004310F3" w:rsidRDefault="006F7F26" w:rsidP="006F7F26">
      <w:pPr>
        <w:rPr>
          <w:rFonts w:ascii="Arial Black" w:hAnsi="Arial Black"/>
          <w:b/>
          <w:sz w:val="28"/>
          <w:szCs w:val="28"/>
        </w:rPr>
      </w:pPr>
      <w:r>
        <w:rPr>
          <w:rFonts w:ascii="Arial Black" w:hAnsi="Arial Black"/>
          <w:b/>
          <w:sz w:val="28"/>
          <w:szCs w:val="28"/>
        </w:rPr>
        <w:t>FL: APT FIRE / DEATH – PUNITIVE DAMAGES FOR CODE VIOL</w:t>
      </w:r>
    </w:p>
    <w:p w14:paraId="0FA1F611" w14:textId="77777777" w:rsidR="006F7F26" w:rsidRPr="00C30ADD" w:rsidRDefault="006F7F26" w:rsidP="006F7F26">
      <w:pPr>
        <w:pStyle w:val="NoSpacing"/>
        <w:rPr>
          <w:rFonts w:ascii="Times New Roman" w:hAnsi="Times New Roman"/>
          <w:sz w:val="24"/>
          <w:szCs w:val="24"/>
        </w:rPr>
      </w:pPr>
      <w:r w:rsidRPr="00C30ADD">
        <w:rPr>
          <w:rFonts w:ascii="Times New Roman" w:hAnsi="Times New Roman"/>
          <w:sz w:val="24"/>
          <w:szCs w:val="24"/>
        </w:rPr>
        <w:t xml:space="preserve">On June 18, 2025, in  </w:t>
      </w:r>
      <w:proofErr w:type="spellStart"/>
      <w:r w:rsidRPr="00C30ADD">
        <w:rPr>
          <w:rFonts w:ascii="Times New Roman" w:hAnsi="Times New Roman"/>
          <w:sz w:val="24"/>
          <w:szCs w:val="24"/>
          <w:u w:val="single"/>
        </w:rPr>
        <w:t>Menada</w:t>
      </w:r>
      <w:proofErr w:type="spellEnd"/>
      <w:r w:rsidRPr="00C30ADD">
        <w:rPr>
          <w:rFonts w:ascii="Times New Roman" w:hAnsi="Times New Roman"/>
          <w:sz w:val="24"/>
          <w:szCs w:val="24"/>
          <w:u w:val="single"/>
        </w:rPr>
        <w:t>, Inc., et al. v. Gabriela Arevalo</w:t>
      </w:r>
      <w:r w:rsidRPr="00C30ADD">
        <w:rPr>
          <w:rFonts w:ascii="Times New Roman" w:hAnsi="Times New Roman"/>
          <w:sz w:val="24"/>
          <w:szCs w:val="24"/>
        </w:rPr>
        <w:t>. The Florida Court of Appeals, Third District, held (3 to 0) that family of the adult, blind son who did on the 15</w:t>
      </w:r>
      <w:r w:rsidRPr="00C30ADD">
        <w:rPr>
          <w:rFonts w:ascii="Times New Roman" w:hAnsi="Times New Roman"/>
          <w:sz w:val="24"/>
          <w:szCs w:val="24"/>
          <w:vertAlign w:val="superscript"/>
        </w:rPr>
        <w:t>th</w:t>
      </w:r>
      <w:r w:rsidRPr="00C30ADD">
        <w:rPr>
          <w:rFonts w:ascii="Times New Roman" w:hAnsi="Times New Roman"/>
          <w:sz w:val="24"/>
          <w:szCs w:val="24"/>
        </w:rPr>
        <w:t xml:space="preserve"> floor of the building with numerous prior code violations by City of Miami Beach, may file a lawsuit seeking punitive damages.  City of Miami Beach “Special Master” had previously determined the 15</w:t>
      </w:r>
      <w:r w:rsidRPr="00C30ADD">
        <w:rPr>
          <w:rFonts w:ascii="Times New Roman" w:hAnsi="Times New Roman"/>
          <w:sz w:val="24"/>
          <w:szCs w:val="24"/>
          <w:vertAlign w:val="superscript"/>
        </w:rPr>
        <w:t>th</w:t>
      </w:r>
      <w:r w:rsidRPr="00C30ADD">
        <w:rPr>
          <w:rFonts w:ascii="Times New Roman" w:hAnsi="Times New Roman"/>
          <w:sz w:val="24"/>
          <w:szCs w:val="24"/>
        </w:rPr>
        <w:t xml:space="preserve"> floor to be unsafe and prohibited any tenants on that floor. The hotel / apartment building had been fined $6.5 million for fire related violations, including the imposition of a daily fine of $1,000.00 for each day of noncompliance starting from April 1, 2018.  THE COURT HELD: “The trial court concluded that Arevalo satisfied the punitive damages pleading standard set forth in section 768.72(1), Florida Statutes (2024), which requires ‘a reasonable showing by evidence in the record or proffered by the claimant which would provide a reasonable basis for recovery of such damages.’ We agree and therefore affirm.” </w:t>
      </w:r>
      <w:hyperlink r:id="rId67" w:history="1">
        <w:r w:rsidRPr="00C30ADD">
          <w:rPr>
            <w:rStyle w:val="Hyperlink"/>
            <w:rFonts w:ascii="Times New Roman" w:hAnsi="Times New Roman"/>
            <w:sz w:val="24"/>
            <w:szCs w:val="24"/>
          </w:rPr>
          <w:t>https://cases.justia.com/florida/third-district-court-of-appeal/2025-3d23-1625.pdf?ts=1750259354</w:t>
        </w:r>
      </w:hyperlink>
      <w:r w:rsidRPr="00C30ADD">
        <w:rPr>
          <w:rFonts w:ascii="Times New Roman" w:hAnsi="Times New Roman"/>
          <w:sz w:val="24"/>
          <w:szCs w:val="24"/>
        </w:rPr>
        <w:t xml:space="preserve"> </w:t>
      </w:r>
    </w:p>
    <w:p w14:paraId="5369A4C5" w14:textId="77777777" w:rsidR="006F7F26" w:rsidRPr="00C30ADD" w:rsidRDefault="006F7F26" w:rsidP="006F7F26">
      <w:pPr>
        <w:pStyle w:val="NoSpacing"/>
        <w:ind w:left="720"/>
        <w:rPr>
          <w:rFonts w:ascii="Times New Roman" w:hAnsi="Times New Roman"/>
          <w:sz w:val="24"/>
          <w:szCs w:val="24"/>
        </w:rPr>
      </w:pPr>
    </w:p>
    <w:p w14:paraId="614F065A" w14:textId="77777777" w:rsidR="00C30ADD" w:rsidRPr="00C30ADD" w:rsidRDefault="00C30ADD" w:rsidP="00C30ADD">
      <w:pPr>
        <w:pStyle w:val="NoSpacing"/>
        <w:rPr>
          <w:rFonts w:ascii="Times New Roman" w:hAnsi="Times New Roman"/>
          <w:b/>
          <w:bCs/>
          <w:sz w:val="24"/>
          <w:szCs w:val="24"/>
        </w:rPr>
      </w:pPr>
      <w:r w:rsidRPr="00C30ADD">
        <w:rPr>
          <w:rFonts w:ascii="Times New Roman" w:hAnsi="Times New Roman"/>
          <w:b/>
          <w:sz w:val="24"/>
          <w:szCs w:val="24"/>
        </w:rPr>
        <w:t xml:space="preserve">Legal lesson learned: Tenant’s death, with fire code violations, will now proceed to a jury trial that could impose punitive damages.  Insurance does not cover punitive </w:t>
      </w:r>
      <w:proofErr w:type="gramStart"/>
      <w:r w:rsidRPr="00C30ADD">
        <w:rPr>
          <w:rFonts w:ascii="Times New Roman" w:hAnsi="Times New Roman"/>
          <w:b/>
          <w:sz w:val="24"/>
          <w:szCs w:val="24"/>
        </w:rPr>
        <w:t>damages</w:t>
      </w:r>
      <w:proofErr w:type="gramEnd"/>
      <w:r w:rsidRPr="00C30ADD">
        <w:rPr>
          <w:rFonts w:ascii="Times New Roman" w:hAnsi="Times New Roman"/>
          <w:b/>
          <w:sz w:val="24"/>
          <w:szCs w:val="24"/>
        </w:rPr>
        <w:t xml:space="preserve"> in Florida, which is </w:t>
      </w:r>
      <w:proofErr w:type="gramStart"/>
      <w:r w:rsidRPr="00C30ADD">
        <w:rPr>
          <w:rFonts w:ascii="Times New Roman" w:hAnsi="Times New Roman"/>
          <w:b/>
          <w:sz w:val="24"/>
          <w:szCs w:val="24"/>
        </w:rPr>
        <w:t>similar to</w:t>
      </w:r>
      <w:proofErr w:type="gramEnd"/>
      <w:r w:rsidRPr="00C30ADD">
        <w:rPr>
          <w:rFonts w:ascii="Times New Roman" w:hAnsi="Times New Roman"/>
          <w:b/>
          <w:sz w:val="24"/>
          <w:szCs w:val="24"/>
        </w:rPr>
        <w:t xml:space="preserve"> many states.  </w:t>
      </w:r>
    </w:p>
    <w:p w14:paraId="2FB385F6" w14:textId="77777777" w:rsidR="00C30ADD" w:rsidRPr="00C30ADD" w:rsidRDefault="00C30ADD" w:rsidP="00C30ADD">
      <w:pPr>
        <w:pStyle w:val="NoSpacing"/>
        <w:rPr>
          <w:rFonts w:ascii="Times New Roman" w:hAnsi="Times New Roman"/>
          <w:sz w:val="24"/>
          <w:szCs w:val="24"/>
        </w:rPr>
      </w:pPr>
    </w:p>
    <w:p w14:paraId="1526EAFD" w14:textId="34F33A36"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t xml:space="preserve">Note: See the Concurring Opinion by Judge Monic Gordo – </w:t>
      </w:r>
      <w:r>
        <w:rPr>
          <w:rFonts w:ascii="Times New Roman" w:hAnsi="Times New Roman"/>
          <w:sz w:val="24"/>
          <w:szCs w:val="24"/>
        </w:rPr>
        <w:t xml:space="preserve">Code violations </w:t>
      </w:r>
      <w:r w:rsidRPr="00C30ADD">
        <w:rPr>
          <w:rFonts w:ascii="Times New Roman" w:hAnsi="Times New Roman"/>
          <w:sz w:val="24"/>
          <w:szCs w:val="24"/>
        </w:rPr>
        <w:t xml:space="preserve">“SHOCK THE CONCIOUS.”  </w:t>
      </w:r>
    </w:p>
    <w:p w14:paraId="11119D5E" w14:textId="77777777" w:rsidR="00C30ADD" w:rsidRPr="00C30ADD" w:rsidRDefault="00C30ADD" w:rsidP="00C30ADD">
      <w:pPr>
        <w:pStyle w:val="NoSpacing"/>
        <w:ind w:firstLine="720"/>
        <w:rPr>
          <w:rFonts w:ascii="Times New Roman" w:hAnsi="Times New Roman"/>
          <w:sz w:val="24"/>
          <w:szCs w:val="24"/>
        </w:rPr>
      </w:pPr>
    </w:p>
    <w:p w14:paraId="6BCECE20"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t>“In my view, this case presents a perfect example of the kind of allegations that, if proven to be true, not only shock the conscience but are likely to merit punitive damages.</w:t>
      </w:r>
    </w:p>
    <w:p w14:paraId="77C69D8E" w14:textId="77777777" w:rsidR="00C30ADD" w:rsidRPr="00C30ADD" w:rsidRDefault="00C30ADD" w:rsidP="00C30ADD">
      <w:pPr>
        <w:pStyle w:val="NoSpacing"/>
        <w:ind w:firstLine="720"/>
        <w:rPr>
          <w:rFonts w:ascii="Times New Roman" w:hAnsi="Times New Roman"/>
          <w:sz w:val="24"/>
          <w:szCs w:val="24"/>
        </w:rPr>
      </w:pPr>
      <w:r w:rsidRPr="00C30ADD">
        <w:rPr>
          <w:rFonts w:ascii="Times New Roman" w:hAnsi="Times New Roman"/>
          <w:sz w:val="24"/>
          <w:szCs w:val="24"/>
        </w:rPr>
        <w:t>The proffer by the plaintiff in this case included evidence that the appellants:</w:t>
      </w:r>
    </w:p>
    <w:p w14:paraId="19973B36" w14:textId="77777777" w:rsidR="00C30ADD" w:rsidRPr="00C30ADD" w:rsidRDefault="00C30ADD" w:rsidP="00C30ADD">
      <w:pPr>
        <w:pStyle w:val="NoSpacing"/>
        <w:ind w:firstLine="720"/>
        <w:rPr>
          <w:rFonts w:ascii="Times New Roman" w:hAnsi="Times New Roman"/>
          <w:sz w:val="24"/>
          <w:szCs w:val="24"/>
        </w:rPr>
      </w:pPr>
    </w:p>
    <w:p w14:paraId="59C74C60"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t>• Engaged in fire safety violations that date back decades and which continued through the date of the subject fire resulting in repeated fines and reprimands from authorities;</w:t>
      </w:r>
    </w:p>
    <w:p w14:paraId="4DC9DCD6"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br/>
        <w:t xml:space="preserve">• Have been fined at least $6.5 million for fire related violations, including the imposition of a daily fine of $1,000.00 for each day of noncompliance starting from April 1, </w:t>
      </w:r>
      <w:proofErr w:type="gramStart"/>
      <w:r w:rsidRPr="00C30ADD">
        <w:rPr>
          <w:rFonts w:ascii="Times New Roman" w:hAnsi="Times New Roman"/>
          <w:sz w:val="24"/>
          <w:szCs w:val="24"/>
        </w:rPr>
        <w:t>2018</w:t>
      </w:r>
      <w:proofErr w:type="gramEnd"/>
      <w:r w:rsidRPr="00C30ADD">
        <w:rPr>
          <w:rFonts w:ascii="Times New Roman" w:hAnsi="Times New Roman"/>
          <w:sz w:val="24"/>
          <w:szCs w:val="24"/>
        </w:rPr>
        <w:t xml:space="preserve"> through the date of the subject fire;</w:t>
      </w:r>
    </w:p>
    <w:p w14:paraId="5429CF0A"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br/>
        <w:t>• Failed to meet their own submitted compliance deadlines and the City of Miami Beach’s compliance deadlines to install legally required sprinklers in all units on multiple floors, including the unit where the appellants moved the plaintiff and the decedent;</w:t>
      </w:r>
    </w:p>
    <w:p w14:paraId="62F88F8B"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br/>
        <w:t>• Implemented a life-threatening policy whereby security guards and employees were instructed and required to acknowledge and then silence fire alarms immediately upon them sounding;</w:t>
      </w:r>
    </w:p>
    <w:p w14:paraId="74A7AA53"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br/>
        <w:t xml:space="preserve">• </w:t>
      </w:r>
      <w:proofErr w:type="gramStart"/>
      <w:r w:rsidRPr="00C30ADD">
        <w:rPr>
          <w:rFonts w:ascii="Times New Roman" w:hAnsi="Times New Roman"/>
          <w:sz w:val="24"/>
          <w:szCs w:val="24"/>
        </w:rPr>
        <w:t>Specifically</w:t>
      </w:r>
      <w:proofErr w:type="gramEnd"/>
      <w:r w:rsidRPr="00C30ADD">
        <w:rPr>
          <w:rFonts w:ascii="Times New Roman" w:hAnsi="Times New Roman"/>
          <w:sz w:val="24"/>
          <w:szCs w:val="24"/>
        </w:rPr>
        <w:t xml:space="preserve"> and consciously placed the decedent, who was legally blind, in a unit on the fifteenth floor—a floor the City of Miami Beach Special Master had previously determined to be unsafe and on which the appellants were prohibited from placing tenants;</w:t>
      </w:r>
    </w:p>
    <w:p w14:paraId="5F3E2265"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br/>
        <w:t xml:space="preserve">• Specifically and consciously placed the decedent in a unit on the fifteenth floor which lacked, among other things: (1) fire sprinklers, (2) the minimum number of code-compliant smoke alarms and/or detectors, (3) code-compliant smoke alarms and/or detectors (the subject smoke detection device expired in 2005) and (4) adequately maintained standpipes which provide a water supply; and </w:t>
      </w:r>
    </w:p>
    <w:p w14:paraId="6DBA5A6D" w14:textId="77777777" w:rsidR="00C30ADD" w:rsidRPr="00C30ADD" w:rsidRDefault="00C30ADD" w:rsidP="00C30ADD">
      <w:pPr>
        <w:pStyle w:val="NoSpacing"/>
        <w:rPr>
          <w:rFonts w:ascii="Times New Roman" w:hAnsi="Times New Roman"/>
          <w:sz w:val="24"/>
          <w:szCs w:val="24"/>
        </w:rPr>
      </w:pPr>
    </w:p>
    <w:p w14:paraId="212BEA5B" w14:textId="77777777" w:rsidR="00C30ADD" w:rsidRPr="00C30ADD" w:rsidRDefault="00C30ADD" w:rsidP="00C30ADD">
      <w:pPr>
        <w:pStyle w:val="NoSpacing"/>
        <w:ind w:left="720"/>
        <w:rPr>
          <w:rFonts w:ascii="Times New Roman" w:hAnsi="Times New Roman"/>
          <w:sz w:val="24"/>
          <w:szCs w:val="24"/>
        </w:rPr>
      </w:pPr>
      <w:r w:rsidRPr="00C30ADD">
        <w:rPr>
          <w:rFonts w:ascii="Times New Roman" w:hAnsi="Times New Roman"/>
          <w:sz w:val="24"/>
          <w:szCs w:val="24"/>
        </w:rPr>
        <w:t xml:space="preserve">• Continued to conduct hotel operations in violation of applicable codes, laws and administrative orders.” </w:t>
      </w:r>
    </w:p>
    <w:p w14:paraId="2CCA681F" w14:textId="77777777" w:rsidR="00C30ADD" w:rsidRDefault="00C30ADD" w:rsidP="00C30ADD">
      <w:pPr>
        <w:pStyle w:val="NoSpacing"/>
      </w:pPr>
    </w:p>
    <w:p w14:paraId="6C09368A" w14:textId="77777777" w:rsidR="00C30ADD" w:rsidRDefault="00C30ADD" w:rsidP="00C30ADD">
      <w:pPr>
        <w:pStyle w:val="NoSpacing"/>
      </w:pPr>
    </w:p>
    <w:p w14:paraId="7A44850F" w14:textId="77777777" w:rsidR="00E02F60" w:rsidRPr="00324C50" w:rsidRDefault="00E02F60" w:rsidP="00324C50">
      <w:pPr>
        <w:pStyle w:val="NoSpacing"/>
        <w:rPr>
          <w:rFonts w:ascii="Times New Roman" w:hAnsi="Times New Roman"/>
          <w:sz w:val="24"/>
          <w:szCs w:val="24"/>
        </w:rPr>
      </w:pPr>
    </w:p>
    <w:p w14:paraId="22478134" w14:textId="77777777" w:rsidR="00324C50" w:rsidRDefault="00324C50" w:rsidP="00B86628">
      <w:pPr>
        <w:pStyle w:val="NoSpacing"/>
        <w:rPr>
          <w:rFonts w:ascii="Arial Black" w:hAnsi="Arial Black"/>
          <w:sz w:val="24"/>
          <w:szCs w:val="24"/>
        </w:rPr>
      </w:pPr>
    </w:p>
    <w:p w14:paraId="724B468E" w14:textId="77777777" w:rsidR="00324C50" w:rsidRDefault="00324C50" w:rsidP="00B86628">
      <w:pPr>
        <w:pStyle w:val="NoSpacing"/>
        <w:rPr>
          <w:rFonts w:ascii="Arial Black" w:hAnsi="Arial Black"/>
          <w:sz w:val="24"/>
          <w:szCs w:val="24"/>
        </w:rPr>
      </w:pPr>
    </w:p>
    <w:p w14:paraId="13841FA7" w14:textId="77777777" w:rsidR="00324C50" w:rsidRDefault="00324C50" w:rsidP="00B86628">
      <w:pPr>
        <w:pStyle w:val="NoSpacing"/>
        <w:rPr>
          <w:rFonts w:ascii="Arial Black" w:hAnsi="Arial Black"/>
          <w:sz w:val="24"/>
          <w:szCs w:val="24"/>
        </w:rPr>
      </w:pPr>
    </w:p>
    <w:p w14:paraId="10ABDE7C" w14:textId="77777777" w:rsidR="00324C50" w:rsidRDefault="00324C50" w:rsidP="00B86628">
      <w:pPr>
        <w:pStyle w:val="NoSpacing"/>
        <w:rPr>
          <w:rFonts w:ascii="Arial Black" w:hAnsi="Arial Black"/>
          <w:sz w:val="24"/>
          <w:szCs w:val="24"/>
        </w:rPr>
      </w:pPr>
    </w:p>
    <w:p w14:paraId="079366CF" w14:textId="4EBF0190" w:rsidR="00AC44B8" w:rsidRDefault="007A4EAE" w:rsidP="00B86628">
      <w:pPr>
        <w:pStyle w:val="NoSpacing"/>
        <w:rPr>
          <w:rFonts w:ascii="Arial Black" w:hAnsi="Arial Black"/>
          <w:sz w:val="24"/>
          <w:szCs w:val="24"/>
        </w:rPr>
      </w:pPr>
      <w:r>
        <w:rPr>
          <w:rFonts w:ascii="Arial Black" w:hAnsi="Arial Black"/>
          <w:sz w:val="24"/>
          <w:szCs w:val="24"/>
        </w:rPr>
        <w:t>1-182</w:t>
      </w:r>
    </w:p>
    <w:p w14:paraId="08D66F7C" w14:textId="77777777" w:rsidR="00261BA4" w:rsidRDefault="00261BA4" w:rsidP="00B86628">
      <w:pPr>
        <w:pStyle w:val="NoSpacing"/>
        <w:rPr>
          <w:rFonts w:ascii="Arial Black" w:hAnsi="Arial Black"/>
          <w:sz w:val="24"/>
          <w:szCs w:val="24"/>
        </w:rPr>
      </w:pPr>
    </w:p>
    <w:p w14:paraId="4B605433" w14:textId="77777777" w:rsidR="00261BA4" w:rsidRDefault="00261BA4" w:rsidP="00261BA4">
      <w:pPr>
        <w:pStyle w:val="NoSpacing"/>
        <w:rPr>
          <w:rFonts w:ascii="Arial Black" w:hAnsi="Arial Black"/>
          <w:bCs/>
          <w:sz w:val="28"/>
          <w:szCs w:val="28"/>
        </w:rPr>
      </w:pPr>
      <w:r>
        <w:rPr>
          <w:rFonts w:ascii="Arial Black" w:hAnsi="Arial Black"/>
          <w:sz w:val="28"/>
          <w:szCs w:val="28"/>
        </w:rPr>
        <w:t>OH: HOUSE DEMOL – NOTIFY OWNER UNLESS FD “EMERG”</w:t>
      </w:r>
    </w:p>
    <w:p w14:paraId="498AFA76" w14:textId="77777777" w:rsidR="00261BA4" w:rsidRDefault="00261BA4" w:rsidP="00261BA4">
      <w:pPr>
        <w:pStyle w:val="NoSpacing"/>
      </w:pPr>
    </w:p>
    <w:p w14:paraId="73B75F6D" w14:textId="77777777" w:rsidR="00261BA4" w:rsidRPr="00261BA4" w:rsidRDefault="00261BA4" w:rsidP="00261BA4">
      <w:pPr>
        <w:pStyle w:val="NoSpacing"/>
        <w:rPr>
          <w:rFonts w:ascii="Times New Roman" w:hAnsi="Times New Roman"/>
          <w:sz w:val="24"/>
          <w:szCs w:val="24"/>
        </w:rPr>
      </w:pPr>
      <w:r w:rsidRPr="00261BA4">
        <w:rPr>
          <w:rFonts w:ascii="Times New Roman" w:hAnsi="Times New Roman"/>
          <w:sz w:val="24"/>
          <w:szCs w:val="24"/>
        </w:rPr>
        <w:t xml:space="preserve">On May 23, 2025, in </w:t>
      </w:r>
      <w:r w:rsidRPr="00261BA4">
        <w:rPr>
          <w:rFonts w:ascii="Times New Roman" w:hAnsi="Times New Roman"/>
          <w:sz w:val="24"/>
          <w:szCs w:val="24"/>
          <w:u w:val="single"/>
        </w:rPr>
        <w:t>Matthew J. Nicholson v. City of Youngstown, Ohio et al</w:t>
      </w:r>
      <w:r w:rsidRPr="00261BA4">
        <w:rPr>
          <w:rFonts w:ascii="Times New Roman" w:hAnsi="Times New Roman"/>
          <w:sz w:val="24"/>
          <w:szCs w:val="24"/>
        </w:rPr>
        <w:t xml:space="preserve">, the Ohio Court of Appeals for Seventh District (Mahoning) held (3 to 0) that trial court improperly granted summary judgment to the City, since owner was never notified prior to the demolition.  Case returned to trial court; the </w:t>
      </w:r>
      <w:proofErr w:type="gramStart"/>
      <w:r w:rsidRPr="00261BA4">
        <w:rPr>
          <w:rFonts w:ascii="Times New Roman" w:hAnsi="Times New Roman"/>
          <w:sz w:val="24"/>
          <w:szCs w:val="24"/>
        </w:rPr>
        <w:t>City</w:t>
      </w:r>
      <w:proofErr w:type="gramEnd"/>
      <w:r w:rsidRPr="00261BA4">
        <w:rPr>
          <w:rFonts w:ascii="Times New Roman" w:hAnsi="Times New Roman"/>
          <w:sz w:val="24"/>
          <w:szCs w:val="24"/>
        </w:rPr>
        <w:t xml:space="preserve"> must file affidavit or other proof than “emergency” existed </w:t>
      </w:r>
      <w:proofErr w:type="gramStart"/>
      <w:r w:rsidRPr="00261BA4">
        <w:rPr>
          <w:rFonts w:ascii="Times New Roman" w:hAnsi="Times New Roman"/>
          <w:sz w:val="24"/>
          <w:szCs w:val="24"/>
        </w:rPr>
        <w:t>in order to</w:t>
      </w:r>
      <w:proofErr w:type="gramEnd"/>
      <w:r w:rsidRPr="00261BA4">
        <w:rPr>
          <w:rFonts w:ascii="Times New Roman" w:hAnsi="Times New Roman"/>
          <w:sz w:val="24"/>
          <w:szCs w:val="24"/>
        </w:rPr>
        <w:t xml:space="preserve"> collect $7,038.05 demolition charge.</w:t>
      </w:r>
    </w:p>
    <w:p w14:paraId="5CD4BB47" w14:textId="77777777" w:rsidR="00261BA4" w:rsidRPr="00261BA4" w:rsidRDefault="00261BA4" w:rsidP="00261BA4">
      <w:pPr>
        <w:pStyle w:val="NoSpacing"/>
        <w:rPr>
          <w:rFonts w:ascii="Times New Roman" w:hAnsi="Times New Roman"/>
          <w:sz w:val="24"/>
          <w:szCs w:val="24"/>
        </w:rPr>
      </w:pPr>
    </w:p>
    <w:p w14:paraId="6821752C" w14:textId="77777777" w:rsidR="00261BA4" w:rsidRPr="00261BA4" w:rsidRDefault="00261BA4" w:rsidP="00261BA4">
      <w:pPr>
        <w:pStyle w:val="NoSpacing"/>
        <w:rPr>
          <w:rFonts w:ascii="Times New Roman" w:hAnsi="Times New Roman"/>
          <w:sz w:val="24"/>
          <w:szCs w:val="24"/>
        </w:rPr>
      </w:pPr>
      <w:r w:rsidRPr="00261BA4">
        <w:rPr>
          <w:rFonts w:ascii="Times New Roman" w:hAnsi="Times New Roman"/>
          <w:sz w:val="24"/>
          <w:szCs w:val="24"/>
        </w:rPr>
        <w:t>The Court wrote:</w:t>
      </w:r>
    </w:p>
    <w:p w14:paraId="669905C7" w14:textId="77777777" w:rsidR="00261BA4" w:rsidRPr="00261BA4" w:rsidRDefault="00261BA4" w:rsidP="00261BA4">
      <w:pPr>
        <w:pStyle w:val="NoSpacing"/>
        <w:ind w:left="720"/>
        <w:rPr>
          <w:rFonts w:ascii="Times New Roman" w:hAnsi="Times New Roman"/>
          <w:sz w:val="24"/>
          <w:szCs w:val="24"/>
        </w:rPr>
      </w:pPr>
    </w:p>
    <w:p w14:paraId="2A745151" w14:textId="177F999C" w:rsidR="00261BA4" w:rsidRPr="00261BA4" w:rsidRDefault="00261BA4" w:rsidP="00261BA4">
      <w:pPr>
        <w:pStyle w:val="NoSpacing"/>
        <w:rPr>
          <w:rFonts w:ascii="Times New Roman" w:hAnsi="Times New Roman"/>
          <w:sz w:val="24"/>
          <w:szCs w:val="24"/>
        </w:rPr>
      </w:pPr>
      <w:r w:rsidRPr="00261BA4">
        <w:rPr>
          <w:rFonts w:ascii="Times New Roman" w:hAnsi="Times New Roman"/>
          <w:sz w:val="24"/>
          <w:szCs w:val="24"/>
        </w:rPr>
        <w:t xml:space="preserve">Appellees [City] admitted they knew or should have known that Appellant was the owner of the property. In their trial court documents they argued that prior notice was unnecessary because the Fire Chief declared that the house was a public health hazard, that it created an immediate threat to public health and safety, and as such, its condition constituted an emergency. They cited Youngstown Codified Ordinance 1525.01(c) that allows the Fire Chief to order the demolition of any unsafe structure in case of an emergency. They also cited Youngstown Codified Ordinance 1309.04, stating that emergency demolitions require no prior notice to the property owner. They submitted no evidence in support of the alleged emergency.” </w:t>
      </w:r>
      <w:hyperlink r:id="rId68" w:history="1">
        <w:r w:rsidRPr="00261BA4">
          <w:rPr>
            <w:rStyle w:val="Hyperlink"/>
            <w:rFonts w:ascii="Times New Roman" w:hAnsi="Times New Roman"/>
            <w:sz w:val="24"/>
            <w:szCs w:val="24"/>
          </w:rPr>
          <w:t>https://www.supremecourt.ohio.gov/rod/docs/pdf/7/2025/2025-Ohio-1915.pdf</w:t>
        </w:r>
      </w:hyperlink>
    </w:p>
    <w:p w14:paraId="5575F720" w14:textId="77777777" w:rsidR="00AC44B8" w:rsidRDefault="00AC44B8" w:rsidP="00B86628">
      <w:pPr>
        <w:pStyle w:val="NoSpacing"/>
        <w:rPr>
          <w:rFonts w:ascii="Times New Roman" w:hAnsi="Times New Roman"/>
          <w:sz w:val="24"/>
          <w:szCs w:val="24"/>
        </w:rPr>
      </w:pPr>
    </w:p>
    <w:p w14:paraId="0CD4C78B" w14:textId="121426E2" w:rsidR="007959FD" w:rsidRDefault="007959FD" w:rsidP="007959FD">
      <w:pPr>
        <w:pStyle w:val="NoSpacing"/>
        <w:rPr>
          <w:rFonts w:ascii="Times New Roman" w:hAnsi="Times New Roman"/>
          <w:b/>
          <w:sz w:val="24"/>
          <w:szCs w:val="24"/>
        </w:rPr>
      </w:pPr>
      <w:r w:rsidRPr="007959FD">
        <w:rPr>
          <w:rFonts w:ascii="Times New Roman" w:hAnsi="Times New Roman"/>
          <w:b/>
          <w:sz w:val="24"/>
          <w:szCs w:val="24"/>
        </w:rPr>
        <w:t xml:space="preserve">Legal Lesson Learned: Unless a true emergency exists, </w:t>
      </w:r>
      <w:r w:rsidRPr="007959FD">
        <w:rPr>
          <w:rFonts w:ascii="Times New Roman" w:hAnsi="Times New Roman"/>
          <w:b/>
          <w:bCs/>
          <w:sz w:val="24"/>
          <w:szCs w:val="24"/>
        </w:rPr>
        <w:t>City cannot</w:t>
      </w:r>
      <w:r w:rsidRPr="007959FD">
        <w:rPr>
          <w:rFonts w:ascii="Times New Roman" w:hAnsi="Times New Roman"/>
          <w:b/>
          <w:sz w:val="24"/>
          <w:szCs w:val="24"/>
        </w:rPr>
        <w:t xml:space="preserve"> demolish a home without notice to owner and opportunity to challenge the demolition order.</w:t>
      </w:r>
    </w:p>
    <w:p w14:paraId="1B7D361E" w14:textId="77777777" w:rsidR="000C756B" w:rsidRDefault="000C756B" w:rsidP="007959FD">
      <w:pPr>
        <w:pStyle w:val="NoSpacing"/>
        <w:rPr>
          <w:rFonts w:ascii="Times New Roman" w:hAnsi="Times New Roman"/>
          <w:b/>
          <w:sz w:val="24"/>
          <w:szCs w:val="24"/>
        </w:rPr>
      </w:pPr>
    </w:p>
    <w:p w14:paraId="503E2A2A" w14:textId="77777777" w:rsidR="000C756B" w:rsidRDefault="000C756B" w:rsidP="007959FD">
      <w:pPr>
        <w:pStyle w:val="NoSpacing"/>
        <w:rPr>
          <w:rFonts w:ascii="Times New Roman" w:hAnsi="Times New Roman"/>
          <w:b/>
          <w:sz w:val="24"/>
          <w:szCs w:val="24"/>
        </w:rPr>
      </w:pPr>
    </w:p>
    <w:p w14:paraId="04C136D8" w14:textId="77777777" w:rsidR="000C756B" w:rsidRDefault="000C756B" w:rsidP="007959FD">
      <w:pPr>
        <w:pStyle w:val="NoSpacing"/>
        <w:rPr>
          <w:rFonts w:ascii="Times New Roman" w:hAnsi="Times New Roman"/>
          <w:b/>
          <w:sz w:val="24"/>
          <w:szCs w:val="24"/>
        </w:rPr>
      </w:pPr>
    </w:p>
    <w:p w14:paraId="3AE2205B" w14:textId="265FE5DD" w:rsidR="002249FF" w:rsidRDefault="007A4EAE" w:rsidP="000C756B">
      <w:pPr>
        <w:pStyle w:val="NoSpacing"/>
        <w:rPr>
          <w:rFonts w:ascii="Arial Black" w:hAnsi="Arial Black"/>
          <w:sz w:val="28"/>
          <w:szCs w:val="28"/>
        </w:rPr>
      </w:pPr>
      <w:r>
        <w:rPr>
          <w:rFonts w:ascii="Arial Black" w:hAnsi="Arial Black"/>
          <w:sz w:val="28"/>
          <w:szCs w:val="28"/>
        </w:rPr>
        <w:t>1-181</w:t>
      </w:r>
    </w:p>
    <w:p w14:paraId="6C45390C" w14:textId="77777777" w:rsidR="002249FF" w:rsidRDefault="002249FF" w:rsidP="000C756B">
      <w:pPr>
        <w:pStyle w:val="NoSpacing"/>
        <w:rPr>
          <w:rFonts w:ascii="Arial Black" w:hAnsi="Arial Black"/>
          <w:sz w:val="28"/>
          <w:szCs w:val="28"/>
        </w:rPr>
      </w:pPr>
    </w:p>
    <w:p w14:paraId="6EC78121" w14:textId="10000825" w:rsidR="000C756B" w:rsidRPr="006F2B87" w:rsidRDefault="000C756B" w:rsidP="000C756B">
      <w:pPr>
        <w:pStyle w:val="NoSpacing"/>
        <w:rPr>
          <w:rFonts w:ascii="Arial Black" w:hAnsi="Arial Black"/>
          <w:sz w:val="28"/>
          <w:szCs w:val="28"/>
        </w:rPr>
      </w:pPr>
      <w:r w:rsidRPr="006F2B87">
        <w:rPr>
          <w:rFonts w:ascii="Arial Black" w:hAnsi="Arial Black"/>
          <w:sz w:val="28"/>
          <w:szCs w:val="28"/>
        </w:rPr>
        <w:t>MA: CLASS ACTION - IONIZATION SMOKE ALARMS – EXPERT</w:t>
      </w:r>
    </w:p>
    <w:p w14:paraId="76B1B197" w14:textId="77777777" w:rsidR="000C756B" w:rsidRPr="006F2B87" w:rsidRDefault="000C756B" w:rsidP="000C756B">
      <w:pPr>
        <w:pStyle w:val="NoSpacing"/>
      </w:pPr>
    </w:p>
    <w:p w14:paraId="19F6EF8F" w14:textId="77777777" w:rsidR="000C756B" w:rsidRPr="000C756B" w:rsidRDefault="000C756B" w:rsidP="000C756B">
      <w:pPr>
        <w:pStyle w:val="NoSpacing"/>
        <w:rPr>
          <w:rFonts w:ascii="Times New Roman" w:hAnsi="Times New Roman"/>
          <w:sz w:val="24"/>
          <w:szCs w:val="24"/>
        </w:rPr>
      </w:pPr>
      <w:r w:rsidRPr="000C756B">
        <w:rPr>
          <w:rFonts w:ascii="Times New Roman" w:hAnsi="Times New Roman"/>
          <w:sz w:val="24"/>
          <w:szCs w:val="24"/>
        </w:rPr>
        <w:t xml:space="preserve">On May 16, 2025, in </w:t>
      </w:r>
      <w:r w:rsidRPr="000C756B">
        <w:rPr>
          <w:rFonts w:ascii="Times New Roman" w:hAnsi="Times New Roman"/>
          <w:sz w:val="24"/>
          <w:szCs w:val="24"/>
          <w:u w:val="single"/>
        </w:rPr>
        <w:t>Stephen Pons, Caroline Coleman, Charles Bellavia, and Terri Letzman, on behalf of themselves and all others similarly situated v. Walter Kidde Portable Equipment, d/b/a Kidde Safety Equipment and BRK Brands, Inc</w:t>
      </w:r>
      <w:r w:rsidRPr="000C756B">
        <w:rPr>
          <w:rFonts w:ascii="Times New Roman" w:hAnsi="Times New Roman"/>
          <w:sz w:val="24"/>
          <w:szCs w:val="24"/>
        </w:rPr>
        <w:t xml:space="preserve">., U.S. District Court Judge Julia E. </w:t>
      </w:r>
      <w:proofErr w:type="spellStart"/>
      <w:r w:rsidRPr="000C756B">
        <w:rPr>
          <w:rFonts w:ascii="Times New Roman" w:hAnsi="Times New Roman"/>
          <w:sz w:val="24"/>
          <w:szCs w:val="24"/>
        </w:rPr>
        <w:t>Kobick</w:t>
      </w:r>
      <w:proofErr w:type="spellEnd"/>
      <w:r w:rsidRPr="000C756B">
        <w:rPr>
          <w:rFonts w:ascii="Times New Roman" w:hAnsi="Times New Roman"/>
          <w:sz w:val="24"/>
          <w:szCs w:val="24"/>
        </w:rPr>
        <w:t xml:space="preserve">, United States District Court for the District of Massachusetts, held that the defense is entitled to e-mails and other documents exchanged between Joseph Flemming, former Deputy Fire Chief of the Boston Fire Department, and plaintiffs’ legal counsel, even if he was not retained as expert witness for plaintiffs in this class action filed in California.  Chief Flemming’s deposition was taken in Boston on Feb. 27, </w:t>
      </w:r>
      <w:proofErr w:type="gramStart"/>
      <w:r w:rsidRPr="000C756B">
        <w:rPr>
          <w:rFonts w:ascii="Times New Roman" w:hAnsi="Times New Roman"/>
          <w:sz w:val="24"/>
          <w:szCs w:val="24"/>
        </w:rPr>
        <w:t>2025</w:t>
      </w:r>
      <w:proofErr w:type="gramEnd"/>
      <w:r w:rsidRPr="000C756B">
        <w:rPr>
          <w:rFonts w:ascii="Times New Roman" w:hAnsi="Times New Roman"/>
          <w:sz w:val="24"/>
          <w:szCs w:val="24"/>
        </w:rPr>
        <w:t xml:space="preserve"> by both sides.  </w:t>
      </w:r>
    </w:p>
    <w:p w14:paraId="3151049C" w14:textId="77777777" w:rsidR="000C756B" w:rsidRPr="000C756B" w:rsidRDefault="000C756B" w:rsidP="000C756B">
      <w:pPr>
        <w:pStyle w:val="NoSpacing"/>
        <w:rPr>
          <w:rFonts w:ascii="Times New Roman" w:hAnsi="Times New Roman"/>
          <w:sz w:val="24"/>
          <w:szCs w:val="24"/>
        </w:rPr>
      </w:pPr>
    </w:p>
    <w:p w14:paraId="0C2AAF57" w14:textId="77777777" w:rsidR="000C756B" w:rsidRPr="000C756B" w:rsidRDefault="000C756B" w:rsidP="000C756B">
      <w:pPr>
        <w:pStyle w:val="NoSpacing"/>
        <w:rPr>
          <w:rFonts w:ascii="Times New Roman" w:hAnsi="Times New Roman"/>
          <w:sz w:val="24"/>
          <w:szCs w:val="24"/>
        </w:rPr>
      </w:pPr>
      <w:r w:rsidRPr="000C756B">
        <w:rPr>
          <w:rFonts w:ascii="Times New Roman" w:hAnsi="Times New Roman"/>
          <w:sz w:val="24"/>
          <w:szCs w:val="24"/>
        </w:rPr>
        <w:t xml:space="preserve">The Court wrote: “Joseph Fleming is a former Deputy Fire Chief of the Boston Fire Department…. He is a ‘longtime, vocal advocate of restricting the use of ionization-only devices’ and ‘has testified as an expert in numerous cases over the past couple of decades involving deaths or grave injuries in which an ionization device did not timely sound during a home fire.’… Between April and July 2024, he exchanged about twenty emails with plaintiffs’ counsel regarding his potential engagement as an expert witness…. Ultimately, Fleming was not retained, but the plaintiffs subpoenaed Fleming as a fact witness for a February 27, </w:t>
      </w:r>
      <w:proofErr w:type="gramStart"/>
      <w:r w:rsidRPr="000C756B">
        <w:rPr>
          <w:rFonts w:ascii="Times New Roman" w:hAnsi="Times New Roman"/>
          <w:sz w:val="24"/>
          <w:szCs w:val="24"/>
        </w:rPr>
        <w:t>2025</w:t>
      </w:r>
      <w:proofErr w:type="gramEnd"/>
      <w:r w:rsidRPr="000C756B">
        <w:rPr>
          <w:rFonts w:ascii="Times New Roman" w:hAnsi="Times New Roman"/>
          <w:sz w:val="24"/>
          <w:szCs w:val="24"/>
        </w:rPr>
        <w:t xml:space="preserve"> deposition to testify about his participation on a committee of Underwriters Laboratories, Inc., which ‘sets the standards and protocols for laboratory testing of home smoke alarm products.’ …  As part of his work on that committee, Fleming supported the development of new fire testing requirements, which resulted in design changes to smoke detectors made by Kidde and co-defendant BRK Brands Inc. *** [Plaintiffs] on behalf of themselves and all others similarly situated, have moved for a protective order against a subpoena for documents issued by defendant Walter Kidde Portable Equipment, Inc. to third-party fact witness Joseph Fleming. </w:t>
      </w:r>
      <w:proofErr w:type="gramStart"/>
      <w:r w:rsidRPr="000C756B">
        <w:rPr>
          <w:rFonts w:ascii="Times New Roman" w:hAnsi="Times New Roman"/>
          <w:sz w:val="24"/>
          <w:szCs w:val="24"/>
        </w:rPr>
        <w:t>For the reasons that</w:t>
      </w:r>
      <w:proofErr w:type="gramEnd"/>
      <w:r w:rsidRPr="000C756B">
        <w:rPr>
          <w:rFonts w:ascii="Times New Roman" w:hAnsi="Times New Roman"/>
          <w:sz w:val="24"/>
          <w:szCs w:val="24"/>
        </w:rPr>
        <w:t xml:space="preserve"> follow, that motion, which will be construed as a motion to quash, will be denied…. In short, the plaintiffs have waived their privilege against disclosure of work product contained in their counsels’ emails with Fleming, and they are not entitled to an order quashing Kidde’s document subpoena.” </w:t>
      </w:r>
      <w:hyperlink r:id="rId69" w:history="1">
        <w:r w:rsidRPr="000C756B">
          <w:rPr>
            <w:rStyle w:val="Hyperlink"/>
            <w:rFonts w:ascii="Times New Roman" w:hAnsi="Times New Roman"/>
            <w:sz w:val="24"/>
            <w:szCs w:val="24"/>
          </w:rPr>
          <w:t>https://cases.justia.com/federal/district-courts/massachusetts/madce/1:2025mc91106/281992/17/0.pdf?ts=1747471889</w:t>
        </w:r>
      </w:hyperlink>
      <w:r w:rsidRPr="000C756B">
        <w:rPr>
          <w:rFonts w:ascii="Times New Roman" w:hAnsi="Times New Roman"/>
          <w:sz w:val="24"/>
          <w:szCs w:val="24"/>
        </w:rPr>
        <w:t xml:space="preserve"> </w:t>
      </w:r>
    </w:p>
    <w:p w14:paraId="551DAECB" w14:textId="77777777" w:rsidR="000C756B" w:rsidRDefault="000C756B" w:rsidP="007959FD">
      <w:pPr>
        <w:pStyle w:val="NoSpacing"/>
        <w:rPr>
          <w:rFonts w:ascii="Times New Roman" w:hAnsi="Times New Roman"/>
          <w:b/>
          <w:bCs/>
          <w:sz w:val="24"/>
          <w:szCs w:val="24"/>
        </w:rPr>
      </w:pPr>
    </w:p>
    <w:p w14:paraId="406391F8" w14:textId="49AA1092" w:rsidR="002B2465" w:rsidRPr="002B2465" w:rsidRDefault="002B2465" w:rsidP="002B2465">
      <w:pPr>
        <w:pStyle w:val="NoSpacing"/>
        <w:rPr>
          <w:rFonts w:ascii="Times New Roman" w:hAnsi="Times New Roman"/>
          <w:b/>
          <w:bCs/>
          <w:sz w:val="24"/>
          <w:szCs w:val="24"/>
        </w:rPr>
      </w:pPr>
      <w:r w:rsidRPr="002B2465">
        <w:rPr>
          <w:rFonts w:ascii="Times New Roman" w:hAnsi="Times New Roman"/>
          <w:b/>
          <w:sz w:val="24"/>
          <w:szCs w:val="24"/>
        </w:rPr>
        <w:t>Legal Lesson Learned: Expert witnesses can be deposed, and their communications with plaintiff’s counsel can be subject</w:t>
      </w:r>
      <w:r w:rsidRPr="002B2465">
        <w:rPr>
          <w:rFonts w:ascii="Times New Roman" w:hAnsi="Times New Roman"/>
          <w:b/>
          <w:bCs/>
          <w:sz w:val="24"/>
          <w:szCs w:val="24"/>
        </w:rPr>
        <w:t xml:space="preserve"> of pre-trial discovery</w:t>
      </w:r>
      <w:r w:rsidR="00691181">
        <w:rPr>
          <w:rFonts w:ascii="Times New Roman" w:hAnsi="Times New Roman"/>
          <w:b/>
          <w:sz w:val="24"/>
          <w:szCs w:val="24"/>
        </w:rPr>
        <w:t xml:space="preserve"> issues.</w:t>
      </w:r>
    </w:p>
    <w:p w14:paraId="46E3B14F" w14:textId="77777777" w:rsidR="002B2465" w:rsidRPr="002B2465" w:rsidRDefault="002B2465" w:rsidP="002B2465">
      <w:pPr>
        <w:pStyle w:val="NoSpacing"/>
        <w:rPr>
          <w:rFonts w:ascii="Times New Roman" w:hAnsi="Times New Roman"/>
          <w:b/>
          <w:bCs/>
          <w:sz w:val="24"/>
          <w:szCs w:val="24"/>
        </w:rPr>
      </w:pPr>
    </w:p>
    <w:p w14:paraId="2815F1DA" w14:textId="77777777" w:rsidR="002B2465" w:rsidRPr="002B2465" w:rsidRDefault="002B2465" w:rsidP="002B2465">
      <w:pPr>
        <w:pStyle w:val="NoSpacing"/>
        <w:ind w:left="720"/>
        <w:rPr>
          <w:rFonts w:ascii="Times New Roman" w:hAnsi="Times New Roman"/>
          <w:sz w:val="24"/>
          <w:szCs w:val="24"/>
        </w:rPr>
      </w:pPr>
      <w:r w:rsidRPr="002B2465">
        <w:rPr>
          <w:rFonts w:ascii="Times New Roman" w:hAnsi="Times New Roman"/>
          <w:sz w:val="24"/>
          <w:szCs w:val="24"/>
        </w:rPr>
        <w:t xml:space="preserve">Note: See April 2, </w:t>
      </w:r>
      <w:proofErr w:type="gramStart"/>
      <w:r w:rsidRPr="002B2465">
        <w:rPr>
          <w:rFonts w:ascii="Times New Roman" w:hAnsi="Times New Roman"/>
          <w:sz w:val="24"/>
          <w:szCs w:val="24"/>
        </w:rPr>
        <w:t>2025</w:t>
      </w:r>
      <w:proofErr w:type="gramEnd"/>
      <w:r w:rsidRPr="002B2465">
        <w:rPr>
          <w:rFonts w:ascii="Times New Roman" w:hAnsi="Times New Roman"/>
          <w:sz w:val="24"/>
          <w:szCs w:val="24"/>
        </w:rPr>
        <w:t xml:space="preserve"> video on Ionization v. Photoelectric alarms: </w:t>
      </w:r>
      <w:hyperlink r:id="rId70" w:history="1">
        <w:r w:rsidRPr="002B2465">
          <w:rPr>
            <w:rStyle w:val="Hyperlink"/>
            <w:rFonts w:ascii="Times New Roman" w:hAnsi="Times New Roman"/>
            <w:sz w:val="24"/>
            <w:szCs w:val="24"/>
          </w:rPr>
          <w:t>https://www.youtube.com/watch?v=pYAlJLy1R8U</w:t>
        </w:r>
      </w:hyperlink>
      <w:r w:rsidRPr="002B2465">
        <w:rPr>
          <w:rFonts w:ascii="Times New Roman" w:hAnsi="Times New Roman"/>
          <w:sz w:val="24"/>
          <w:szCs w:val="24"/>
        </w:rPr>
        <w:t xml:space="preserve"> </w:t>
      </w:r>
    </w:p>
    <w:p w14:paraId="6CEBFCFA" w14:textId="77777777" w:rsidR="002B2465" w:rsidRPr="002B2465" w:rsidRDefault="002B2465" w:rsidP="002B2465">
      <w:pPr>
        <w:pStyle w:val="NoSpacing"/>
        <w:ind w:left="720"/>
        <w:rPr>
          <w:rFonts w:ascii="Times New Roman" w:hAnsi="Times New Roman"/>
          <w:sz w:val="24"/>
          <w:szCs w:val="24"/>
        </w:rPr>
      </w:pPr>
    </w:p>
    <w:p w14:paraId="3454F948" w14:textId="77777777" w:rsidR="002B2465" w:rsidRPr="002B2465" w:rsidRDefault="002B2465" w:rsidP="002B2465">
      <w:pPr>
        <w:pStyle w:val="NoSpacing"/>
        <w:ind w:left="720"/>
        <w:rPr>
          <w:rFonts w:ascii="Times New Roman" w:hAnsi="Times New Roman"/>
          <w:sz w:val="24"/>
          <w:szCs w:val="24"/>
        </w:rPr>
      </w:pPr>
      <w:r w:rsidRPr="002B2465">
        <w:rPr>
          <w:rFonts w:ascii="Times New Roman" w:hAnsi="Times New Roman"/>
          <w:sz w:val="24"/>
          <w:szCs w:val="24"/>
        </w:rPr>
        <w:t xml:space="preserve">See also: U.S. Fire Administration publication. </w:t>
      </w:r>
      <w:hyperlink r:id="rId71" w:history="1">
        <w:r w:rsidRPr="002B2465">
          <w:rPr>
            <w:rStyle w:val="Hyperlink"/>
            <w:rFonts w:ascii="Times New Roman" w:hAnsi="Times New Roman"/>
            <w:sz w:val="24"/>
            <w:szCs w:val="24"/>
          </w:rPr>
          <w:t>https://www.usfa.fema.gov/prevention/home-fires/prepare-for-fire/smoke-alarms/</w:t>
        </w:r>
      </w:hyperlink>
      <w:r w:rsidRPr="002B2465">
        <w:rPr>
          <w:rFonts w:ascii="Times New Roman" w:hAnsi="Times New Roman"/>
          <w:sz w:val="24"/>
          <w:szCs w:val="24"/>
        </w:rPr>
        <w:t xml:space="preserve"> </w:t>
      </w:r>
    </w:p>
    <w:p w14:paraId="3AEC1FBD" w14:textId="77777777" w:rsidR="002B2465" w:rsidRPr="002B2465" w:rsidRDefault="002B2465" w:rsidP="002B2465">
      <w:pPr>
        <w:pStyle w:val="NoSpacing"/>
        <w:ind w:left="720"/>
        <w:rPr>
          <w:rFonts w:ascii="Times New Roman" w:hAnsi="Times New Roman"/>
          <w:sz w:val="24"/>
          <w:szCs w:val="24"/>
        </w:rPr>
      </w:pPr>
      <w:r w:rsidRPr="002B2465">
        <w:rPr>
          <w:rFonts w:ascii="Times New Roman" w:hAnsi="Times New Roman"/>
          <w:sz w:val="24"/>
          <w:szCs w:val="24"/>
        </w:rPr>
        <w:t>“There are many brands of smoke alarms on the market, but they fall under 2 basic types: ionization and photoelectric. Ionization and photoelectric smoke alarms detect different types of fires. Since no one can predict what type of fire might start in their home, the U.S. Fire Administration recommends that every home and place where people sleep have:</w:t>
      </w:r>
    </w:p>
    <w:p w14:paraId="0F8A74AC" w14:textId="77777777" w:rsidR="002B2465" w:rsidRPr="002B2465" w:rsidRDefault="002B2465" w:rsidP="002B2465">
      <w:pPr>
        <w:pStyle w:val="NoSpacing"/>
        <w:numPr>
          <w:ilvl w:val="0"/>
          <w:numId w:val="27"/>
        </w:numPr>
        <w:rPr>
          <w:rFonts w:ascii="Times New Roman" w:hAnsi="Times New Roman"/>
          <w:sz w:val="24"/>
          <w:szCs w:val="24"/>
        </w:rPr>
      </w:pPr>
      <w:r w:rsidRPr="002B2465">
        <w:rPr>
          <w:rFonts w:ascii="Times New Roman" w:hAnsi="Times New Roman"/>
          <w:sz w:val="24"/>
          <w:szCs w:val="24"/>
        </w:rPr>
        <w:t>Both ionization AND photoelectric smoke alarms, OR</w:t>
      </w:r>
    </w:p>
    <w:p w14:paraId="4DAAAA3F" w14:textId="77777777" w:rsidR="002B2465" w:rsidRPr="002B2465" w:rsidRDefault="002B2465" w:rsidP="002B2465">
      <w:pPr>
        <w:pStyle w:val="NoSpacing"/>
        <w:numPr>
          <w:ilvl w:val="0"/>
          <w:numId w:val="27"/>
        </w:numPr>
        <w:rPr>
          <w:rFonts w:ascii="Times New Roman" w:hAnsi="Times New Roman"/>
          <w:sz w:val="24"/>
          <w:szCs w:val="24"/>
        </w:rPr>
      </w:pPr>
      <w:r w:rsidRPr="002B2465">
        <w:rPr>
          <w:rFonts w:ascii="Times New Roman" w:hAnsi="Times New Roman"/>
          <w:sz w:val="24"/>
          <w:szCs w:val="24"/>
        </w:rPr>
        <w:t>Dual-sensor smoke alarms, which contain both ionization and photoelectric smoke sensors.</w:t>
      </w:r>
    </w:p>
    <w:p w14:paraId="275222D5" w14:textId="77777777" w:rsidR="002B2465" w:rsidRPr="002B2465" w:rsidRDefault="002B2465" w:rsidP="002B2465">
      <w:pPr>
        <w:pStyle w:val="NoSpacing"/>
        <w:ind w:firstLine="720"/>
        <w:rPr>
          <w:rFonts w:ascii="Times New Roman" w:hAnsi="Times New Roman"/>
          <w:sz w:val="24"/>
          <w:szCs w:val="24"/>
        </w:rPr>
      </w:pPr>
      <w:r w:rsidRPr="002B2465">
        <w:rPr>
          <w:rFonts w:ascii="Times New Roman" w:hAnsi="Times New Roman"/>
          <w:sz w:val="24"/>
          <w:szCs w:val="24"/>
        </w:rPr>
        <w:t>Choose interconnected smoke alarms so that when one sounds, they all sound.</w:t>
      </w:r>
    </w:p>
    <w:p w14:paraId="150F0718" w14:textId="77777777" w:rsidR="002B2465" w:rsidRDefault="002B2465" w:rsidP="002B2465">
      <w:pPr>
        <w:pStyle w:val="NoSpacing"/>
        <w:ind w:left="720"/>
        <w:rPr>
          <w:rFonts w:ascii="Times New Roman" w:hAnsi="Times New Roman"/>
          <w:sz w:val="24"/>
          <w:szCs w:val="24"/>
        </w:rPr>
      </w:pPr>
      <w:r w:rsidRPr="002B2465">
        <w:rPr>
          <w:rFonts w:ascii="Times New Roman" w:hAnsi="Times New Roman"/>
          <w:sz w:val="24"/>
          <w:szCs w:val="24"/>
        </w:rPr>
        <w:t>There are also alarms for people with hearing loss. These alarms may have strobe lights that flash and/or vibrate to alert those who are unable to hear standard smoke alarms when they sound.”</w:t>
      </w:r>
    </w:p>
    <w:p w14:paraId="5788AC45" w14:textId="77777777" w:rsidR="00A35301" w:rsidRDefault="00A35301" w:rsidP="002B2465">
      <w:pPr>
        <w:pStyle w:val="NoSpacing"/>
        <w:ind w:left="720"/>
        <w:rPr>
          <w:rFonts w:ascii="Times New Roman" w:hAnsi="Times New Roman"/>
          <w:sz w:val="24"/>
          <w:szCs w:val="24"/>
        </w:rPr>
      </w:pPr>
    </w:p>
    <w:p w14:paraId="5B2C1940" w14:textId="77777777" w:rsidR="00A35301" w:rsidRDefault="00A35301" w:rsidP="002B2465">
      <w:pPr>
        <w:pStyle w:val="NoSpacing"/>
        <w:ind w:left="720"/>
        <w:rPr>
          <w:rFonts w:ascii="Times New Roman" w:hAnsi="Times New Roman"/>
          <w:sz w:val="24"/>
          <w:szCs w:val="24"/>
        </w:rPr>
      </w:pPr>
    </w:p>
    <w:p w14:paraId="14C6B2DD" w14:textId="61868A1E" w:rsidR="00A35301" w:rsidRPr="002249FF" w:rsidRDefault="007A4EAE" w:rsidP="002249FF">
      <w:pPr>
        <w:pStyle w:val="NoSpacing"/>
        <w:rPr>
          <w:rFonts w:ascii="Arial Black" w:hAnsi="Arial Black"/>
          <w:sz w:val="24"/>
          <w:szCs w:val="24"/>
        </w:rPr>
      </w:pPr>
      <w:r>
        <w:rPr>
          <w:rFonts w:ascii="Arial Black" w:hAnsi="Arial Black"/>
          <w:sz w:val="24"/>
          <w:szCs w:val="24"/>
        </w:rPr>
        <w:t>1-180</w:t>
      </w:r>
    </w:p>
    <w:p w14:paraId="17D352EB" w14:textId="77777777" w:rsidR="00A35301" w:rsidRDefault="00A35301" w:rsidP="002B2465">
      <w:pPr>
        <w:pStyle w:val="NoSpacing"/>
        <w:ind w:left="720"/>
        <w:rPr>
          <w:rFonts w:ascii="Times New Roman" w:hAnsi="Times New Roman"/>
          <w:sz w:val="24"/>
          <w:szCs w:val="24"/>
        </w:rPr>
      </w:pPr>
    </w:p>
    <w:p w14:paraId="16B7B5B8" w14:textId="790187C4" w:rsidR="00A35301" w:rsidRPr="006F2B87" w:rsidRDefault="00A35301" w:rsidP="00A35301">
      <w:pPr>
        <w:pStyle w:val="NoSpacing"/>
        <w:rPr>
          <w:rFonts w:ascii="Arial Black" w:hAnsi="Arial Black"/>
          <w:sz w:val="28"/>
          <w:szCs w:val="28"/>
        </w:rPr>
      </w:pPr>
      <w:r w:rsidRPr="006F2B87">
        <w:rPr>
          <w:rFonts w:ascii="Arial Black" w:hAnsi="Arial Black"/>
          <w:sz w:val="28"/>
          <w:szCs w:val="28"/>
        </w:rPr>
        <w:t>A</w:t>
      </w:r>
      <w:r w:rsidR="00376E23">
        <w:rPr>
          <w:rFonts w:ascii="Arial Black" w:hAnsi="Arial Black"/>
          <w:sz w:val="28"/>
          <w:szCs w:val="28"/>
        </w:rPr>
        <w:t>Z</w:t>
      </w:r>
      <w:r w:rsidRPr="006F2B87">
        <w:rPr>
          <w:rFonts w:ascii="Arial Black" w:hAnsi="Arial Black"/>
          <w:sz w:val="28"/>
          <w:szCs w:val="28"/>
        </w:rPr>
        <w:t xml:space="preserve">: ARSON – VEHICLE FIRE </w:t>
      </w:r>
      <w:r>
        <w:rPr>
          <w:rFonts w:ascii="Arial Black" w:hAnsi="Arial Black"/>
          <w:sz w:val="28"/>
          <w:szCs w:val="28"/>
        </w:rPr>
        <w:t xml:space="preserve">- </w:t>
      </w:r>
      <w:r w:rsidRPr="006F2B87">
        <w:rPr>
          <w:rFonts w:ascii="Arial Black" w:hAnsi="Arial Black"/>
          <w:sz w:val="28"/>
          <w:szCs w:val="28"/>
        </w:rPr>
        <w:t xml:space="preserve">“OCCUPIED STRUCTURE” </w:t>
      </w:r>
    </w:p>
    <w:p w14:paraId="20C310C4" w14:textId="77777777" w:rsidR="00A35301" w:rsidRPr="006F2B87" w:rsidRDefault="00A35301" w:rsidP="00A35301">
      <w:pPr>
        <w:pStyle w:val="NoSpacing"/>
      </w:pPr>
    </w:p>
    <w:p w14:paraId="7666ED2A" w14:textId="77777777" w:rsidR="00A35301" w:rsidRPr="00A35301" w:rsidRDefault="00A35301" w:rsidP="00A35301">
      <w:pPr>
        <w:pStyle w:val="NoSpacing"/>
        <w:rPr>
          <w:rFonts w:ascii="Times New Roman" w:hAnsi="Times New Roman"/>
          <w:sz w:val="24"/>
          <w:szCs w:val="24"/>
        </w:rPr>
      </w:pPr>
      <w:r w:rsidRPr="00A35301">
        <w:rPr>
          <w:rFonts w:ascii="Times New Roman" w:hAnsi="Times New Roman"/>
          <w:sz w:val="24"/>
          <w:szCs w:val="24"/>
        </w:rPr>
        <w:t xml:space="preserve">On May 4, 2025, in </w:t>
      </w:r>
      <w:r w:rsidRPr="00A35301">
        <w:rPr>
          <w:rFonts w:ascii="Times New Roman" w:hAnsi="Times New Roman"/>
          <w:sz w:val="24"/>
          <w:szCs w:val="24"/>
          <w:u w:val="single"/>
        </w:rPr>
        <w:t>State of Arizona v. Edward Serrato, III</w:t>
      </w:r>
      <w:r w:rsidRPr="00A35301">
        <w:rPr>
          <w:rFonts w:ascii="Times New Roman" w:hAnsi="Times New Roman"/>
          <w:sz w:val="24"/>
          <w:szCs w:val="24"/>
        </w:rPr>
        <w:t xml:space="preserve">, the Supreme Court of State of Arizona, held (7 to 0) that the State’s most severe arson (Class 2 felony) of arson of “an occupied structure” does not apply where the only person present is the arsonist.  </w:t>
      </w:r>
    </w:p>
    <w:p w14:paraId="65A56CC6" w14:textId="77777777" w:rsidR="00A35301" w:rsidRPr="00A35301" w:rsidRDefault="00A35301" w:rsidP="00A35301">
      <w:pPr>
        <w:pStyle w:val="NoSpacing"/>
        <w:rPr>
          <w:rFonts w:ascii="Times New Roman" w:hAnsi="Times New Roman"/>
          <w:sz w:val="24"/>
          <w:szCs w:val="24"/>
        </w:rPr>
      </w:pPr>
    </w:p>
    <w:p w14:paraId="164AE656" w14:textId="77777777" w:rsidR="00A35301" w:rsidRPr="00A35301" w:rsidRDefault="00A35301" w:rsidP="00A35301">
      <w:pPr>
        <w:pStyle w:val="NoSpacing"/>
        <w:rPr>
          <w:rFonts w:ascii="Times New Roman" w:hAnsi="Times New Roman"/>
          <w:sz w:val="24"/>
          <w:szCs w:val="24"/>
        </w:rPr>
      </w:pPr>
      <w:r w:rsidRPr="00A35301">
        <w:rPr>
          <w:rFonts w:ascii="Times New Roman" w:hAnsi="Times New Roman"/>
          <w:sz w:val="24"/>
          <w:szCs w:val="24"/>
        </w:rPr>
        <w:t xml:space="preserve">The Court wrote: “On Christmas night in 2007, firefighters in Kingman, Arizona extinguished a fire engulfing a pickup truck. Investigators smelled gasoline fumes and discovered a residue of unusual flammable liquids and remnants of a gas can on the driver’s seat. Based on the evidence, investigators confirmed that someone had intentionally set the fire inside the truck. Officers traced the truck’s registration to Anna Hammond, who lived about a mile from the fire. When police entered her home, they found her and her dog lying on the floor in a pool of blood. The dog was dead, and Hammond later died from her injuries. The kitchen stove was on, gas fumes filled the home, and someone had tried to start a fire on the kitchen table. Hammond’s jewelry, </w:t>
      </w:r>
      <w:proofErr w:type="gramStart"/>
      <w:r w:rsidRPr="00A35301">
        <w:rPr>
          <w:rFonts w:ascii="Times New Roman" w:hAnsi="Times New Roman"/>
          <w:sz w:val="24"/>
          <w:szCs w:val="24"/>
        </w:rPr>
        <w:t>gun</w:t>
      </w:r>
      <w:proofErr w:type="gramEnd"/>
      <w:r w:rsidRPr="00A35301">
        <w:rPr>
          <w:rFonts w:ascii="Times New Roman" w:hAnsi="Times New Roman"/>
          <w:sz w:val="24"/>
          <w:szCs w:val="24"/>
        </w:rPr>
        <w:t xml:space="preserve">, coins, and cash were also missing. *** After a seven-day trial in 2023, a jury convicted him of </w:t>
      </w:r>
      <w:proofErr w:type="gramStart"/>
      <w:r w:rsidRPr="00A35301">
        <w:rPr>
          <w:rFonts w:ascii="Times New Roman" w:hAnsi="Times New Roman"/>
          <w:sz w:val="24"/>
          <w:szCs w:val="24"/>
        </w:rPr>
        <w:t>second degree</w:t>
      </w:r>
      <w:proofErr w:type="gramEnd"/>
      <w:r w:rsidRPr="00A35301">
        <w:rPr>
          <w:rFonts w:ascii="Times New Roman" w:hAnsi="Times New Roman"/>
          <w:sz w:val="24"/>
          <w:szCs w:val="24"/>
        </w:rPr>
        <w:t xml:space="preserve"> murder, first degree burglary, arson of an occupied structure (the vehicle), theft of means of transportation, and attempted arson of an occupied structure (the house). The court imposed consecutive sentences for each of these charges, totaling 135 years—35 of which stemmed from the vehicle arson conviction. *** We interpret “occupied structure” in §§ 13-1701(2) and -1704 to mean a structure in which one or more human beings—other than the arsonist—are present, likely to be present, or so near as to be in equivalent danger at the time of the fire or explosion.”  </w:t>
      </w:r>
      <w:hyperlink r:id="rId72" w:history="1">
        <w:r w:rsidRPr="00A35301">
          <w:rPr>
            <w:rStyle w:val="Hyperlink"/>
            <w:rFonts w:ascii="Times New Roman" w:hAnsi="Times New Roman"/>
            <w:sz w:val="24"/>
            <w:szCs w:val="24"/>
          </w:rPr>
          <w:t>https://cases.justia.com/arizona/supreme-court/2025-cr-24-0264-pr.pdf?ts=1747242027</w:t>
        </w:r>
      </w:hyperlink>
      <w:r w:rsidRPr="00A35301">
        <w:rPr>
          <w:rFonts w:ascii="Times New Roman" w:hAnsi="Times New Roman"/>
          <w:sz w:val="24"/>
          <w:szCs w:val="24"/>
        </w:rPr>
        <w:t xml:space="preserve"> </w:t>
      </w:r>
    </w:p>
    <w:p w14:paraId="52733520" w14:textId="77777777" w:rsidR="00A35301" w:rsidRPr="006F2B87" w:rsidRDefault="00A35301" w:rsidP="00A35301">
      <w:pPr>
        <w:pStyle w:val="NoSpacing"/>
      </w:pPr>
    </w:p>
    <w:p w14:paraId="1C492F3B" w14:textId="77777777" w:rsidR="001A2F0B" w:rsidRDefault="001A2F0B" w:rsidP="001A2F0B">
      <w:pPr>
        <w:pStyle w:val="NoSpacing"/>
        <w:rPr>
          <w:rFonts w:ascii="Times New Roman" w:hAnsi="Times New Roman"/>
          <w:b/>
          <w:sz w:val="24"/>
          <w:szCs w:val="24"/>
        </w:rPr>
      </w:pPr>
      <w:r w:rsidRPr="001A2F0B">
        <w:rPr>
          <w:rFonts w:ascii="Times New Roman" w:hAnsi="Times New Roman"/>
          <w:b/>
          <w:sz w:val="24"/>
          <w:szCs w:val="24"/>
        </w:rPr>
        <w:t>Legal Lesson Learned: The Court reviewed the legislature’s “tiered arson punishment scheme” to reach its conclusion; defendant will be resentenced to 100 years, instead of 135 years in prison.</w:t>
      </w:r>
    </w:p>
    <w:p w14:paraId="45B6F43E" w14:textId="77777777" w:rsidR="007A4EAE" w:rsidRDefault="007A4EAE" w:rsidP="001A2F0B">
      <w:pPr>
        <w:pStyle w:val="NoSpacing"/>
        <w:rPr>
          <w:rFonts w:ascii="Times New Roman" w:hAnsi="Times New Roman"/>
          <w:b/>
          <w:sz w:val="24"/>
          <w:szCs w:val="24"/>
        </w:rPr>
      </w:pPr>
    </w:p>
    <w:p w14:paraId="137E8988" w14:textId="77777777" w:rsidR="007A4EAE" w:rsidRPr="001A2F0B" w:rsidRDefault="007A4EAE" w:rsidP="001A2F0B">
      <w:pPr>
        <w:pStyle w:val="NoSpacing"/>
        <w:rPr>
          <w:rFonts w:ascii="Times New Roman" w:hAnsi="Times New Roman"/>
          <w:b/>
          <w:bCs/>
          <w:sz w:val="24"/>
          <w:szCs w:val="24"/>
        </w:rPr>
      </w:pPr>
    </w:p>
    <w:p w14:paraId="01B4F8C1" w14:textId="405FBD86" w:rsidR="00A35301" w:rsidRPr="007A4EAE" w:rsidRDefault="007A4EAE" w:rsidP="007A4EAE">
      <w:pPr>
        <w:pStyle w:val="NoSpacing"/>
        <w:rPr>
          <w:rFonts w:ascii="Arial Black" w:hAnsi="Arial Black"/>
          <w:sz w:val="24"/>
          <w:szCs w:val="24"/>
        </w:rPr>
      </w:pPr>
      <w:r w:rsidRPr="007A4EAE">
        <w:rPr>
          <w:rFonts w:ascii="Arial Black" w:hAnsi="Arial Black"/>
          <w:sz w:val="24"/>
          <w:szCs w:val="24"/>
        </w:rPr>
        <w:t>1-179</w:t>
      </w:r>
    </w:p>
    <w:p w14:paraId="7C8FE2A8" w14:textId="77777777" w:rsidR="002B2465" w:rsidRPr="006F2B87" w:rsidRDefault="002B2465" w:rsidP="002B2465">
      <w:pPr>
        <w:pStyle w:val="NoSpacing"/>
      </w:pPr>
    </w:p>
    <w:p w14:paraId="039184C9" w14:textId="77777777" w:rsidR="007448D6" w:rsidRPr="006F2B87" w:rsidRDefault="007448D6" w:rsidP="007448D6">
      <w:pPr>
        <w:pStyle w:val="NoSpacing"/>
        <w:rPr>
          <w:rFonts w:ascii="Arial Black" w:hAnsi="Arial Black"/>
          <w:sz w:val="28"/>
          <w:szCs w:val="28"/>
        </w:rPr>
      </w:pPr>
      <w:r w:rsidRPr="006F2B87">
        <w:rPr>
          <w:rFonts w:ascii="Arial Black" w:hAnsi="Arial Black"/>
          <w:sz w:val="28"/>
          <w:szCs w:val="28"/>
        </w:rPr>
        <w:t>CA: WILDLAND ARSONIST – 5 FF KILLED – DEATH PENALTY</w:t>
      </w:r>
    </w:p>
    <w:p w14:paraId="009FBDCF" w14:textId="77777777" w:rsidR="007448D6" w:rsidRDefault="007448D6" w:rsidP="007448D6">
      <w:pPr>
        <w:pStyle w:val="NoSpacing"/>
      </w:pPr>
    </w:p>
    <w:p w14:paraId="0B4156D0" w14:textId="77777777" w:rsidR="007448D6" w:rsidRPr="007448D6" w:rsidRDefault="007448D6" w:rsidP="007448D6">
      <w:pPr>
        <w:pStyle w:val="NoSpacing"/>
        <w:rPr>
          <w:rFonts w:ascii="Times New Roman" w:hAnsi="Times New Roman"/>
          <w:sz w:val="24"/>
          <w:szCs w:val="24"/>
        </w:rPr>
      </w:pPr>
      <w:r w:rsidRPr="007448D6">
        <w:rPr>
          <w:rFonts w:ascii="Times New Roman" w:hAnsi="Times New Roman"/>
          <w:sz w:val="24"/>
          <w:szCs w:val="24"/>
        </w:rPr>
        <w:t xml:space="preserve">On May 5, 2025, in </w:t>
      </w:r>
      <w:r w:rsidRPr="007448D6">
        <w:rPr>
          <w:rFonts w:ascii="Times New Roman" w:hAnsi="Times New Roman"/>
          <w:sz w:val="24"/>
          <w:szCs w:val="24"/>
          <w:u w:val="single"/>
        </w:rPr>
        <w:t>The People v. Raymond Lee Oliver</w:t>
      </w:r>
      <w:r w:rsidRPr="007448D6">
        <w:rPr>
          <w:rFonts w:ascii="Times New Roman" w:hAnsi="Times New Roman"/>
          <w:sz w:val="24"/>
          <w:szCs w:val="24"/>
        </w:rPr>
        <w:t xml:space="preserve">, the Supreme Court of California held (5 to 0) that jury properly convicted the defendant five counts of </w:t>
      </w:r>
      <w:proofErr w:type="gramStart"/>
      <w:r w:rsidRPr="007448D6">
        <w:rPr>
          <w:rFonts w:ascii="Times New Roman" w:hAnsi="Times New Roman"/>
          <w:sz w:val="24"/>
          <w:szCs w:val="24"/>
        </w:rPr>
        <w:t>first degree</w:t>
      </w:r>
      <w:proofErr w:type="gramEnd"/>
      <w:r w:rsidRPr="007448D6">
        <w:rPr>
          <w:rFonts w:ascii="Times New Roman" w:hAnsi="Times New Roman"/>
          <w:sz w:val="24"/>
          <w:szCs w:val="24"/>
        </w:rPr>
        <w:t xml:space="preserve"> murder, 20 counts of arson, 17 counts of possession of an incendiary device, and in the </w:t>
      </w:r>
      <w:proofErr w:type="gramStart"/>
      <w:r w:rsidRPr="007448D6">
        <w:rPr>
          <w:rFonts w:ascii="Times New Roman" w:hAnsi="Times New Roman"/>
          <w:sz w:val="24"/>
          <w:szCs w:val="24"/>
        </w:rPr>
        <w:t>penalty</w:t>
      </w:r>
      <w:proofErr w:type="gramEnd"/>
      <w:r w:rsidRPr="007448D6">
        <w:rPr>
          <w:rFonts w:ascii="Times New Roman" w:hAnsi="Times New Roman"/>
          <w:sz w:val="24"/>
          <w:szCs w:val="24"/>
        </w:rPr>
        <w:t xml:space="preserve"> phase returned a verdict of death. </w:t>
      </w:r>
    </w:p>
    <w:p w14:paraId="64AC2E45" w14:textId="77777777" w:rsidR="007448D6" w:rsidRPr="007448D6" w:rsidRDefault="007448D6" w:rsidP="007448D6">
      <w:pPr>
        <w:pStyle w:val="NoSpacing"/>
        <w:rPr>
          <w:rFonts w:ascii="Times New Roman" w:hAnsi="Times New Roman"/>
          <w:sz w:val="24"/>
          <w:szCs w:val="24"/>
        </w:rPr>
      </w:pPr>
    </w:p>
    <w:p w14:paraId="3C780810" w14:textId="77777777" w:rsidR="007448D6" w:rsidRPr="007448D6" w:rsidRDefault="007448D6" w:rsidP="007448D6">
      <w:pPr>
        <w:pStyle w:val="NoSpacing"/>
        <w:rPr>
          <w:rFonts w:ascii="Times New Roman" w:hAnsi="Times New Roman"/>
          <w:b/>
          <w:bCs/>
          <w:sz w:val="24"/>
          <w:szCs w:val="24"/>
        </w:rPr>
      </w:pPr>
      <w:r w:rsidRPr="007448D6">
        <w:rPr>
          <w:rFonts w:ascii="Times New Roman" w:hAnsi="Times New Roman"/>
          <w:sz w:val="24"/>
          <w:szCs w:val="24"/>
        </w:rPr>
        <w:t xml:space="preserve">The Court wrote: “Between May 16 and October 26, 2006, 3 more than two dozen wildland fires were reported in the Banning Pass area of Southern California. The series culminated with a fire known as the Esperanza Fire, which killed five firefighters assigned to Engine 57 of the United States Department of Agriculture Forest Service (Forest Service). *** </w:t>
      </w:r>
    </w:p>
    <w:p w14:paraId="63DA1AB0" w14:textId="77777777" w:rsidR="007448D6" w:rsidRDefault="007448D6" w:rsidP="007448D6">
      <w:pPr>
        <w:pStyle w:val="NoSpacing"/>
        <w:rPr>
          <w:rFonts w:ascii="Times New Roman" w:hAnsi="Times New Roman"/>
          <w:sz w:val="24"/>
          <w:szCs w:val="24"/>
        </w:rPr>
      </w:pPr>
      <w:r w:rsidRPr="007448D6">
        <w:rPr>
          <w:rFonts w:ascii="Times New Roman" w:hAnsi="Times New Roman"/>
          <w:sz w:val="24"/>
          <w:szCs w:val="24"/>
        </w:rPr>
        <w:t xml:space="preserve">An arson investigator who investigated all three fires determined they were caused by arson. At the point of origin of each fire, the investigator found a time-delayed incendiary device consisting of a Marlboro Light cigarette with wooden matchsticks attached lengthwise by a rubber band. The devices at the Sunset/Wilson and Sunset/Mesa fires had 31 matches attached and the device at the Gilman/Pump House fire had 30 matches attached. The matches pointed in both directions, such that some heads were at opposite ends of the cigarette. *** Around 1:10 a.m. on October 26, firefighters were dispatched to a wildland fire at Esperanza Road and Almond Street in Cabazon (about one mile from the origin of the June 14 </w:t>
      </w:r>
      <w:proofErr w:type="gramStart"/>
      <w:r w:rsidRPr="007448D6">
        <w:rPr>
          <w:rFonts w:ascii="Times New Roman" w:hAnsi="Times New Roman"/>
          <w:sz w:val="24"/>
          <w:szCs w:val="24"/>
        </w:rPr>
        <w:t>layover device</w:t>
      </w:r>
      <w:proofErr w:type="gramEnd"/>
      <w:r w:rsidRPr="007448D6">
        <w:rPr>
          <w:rFonts w:ascii="Times New Roman" w:hAnsi="Times New Roman"/>
          <w:sz w:val="24"/>
          <w:szCs w:val="24"/>
        </w:rPr>
        <w:t xml:space="preserve"> fire at Esperanza Road and Broadway). This fire would become known as the Esperanza Fire…. Around 7:00 a.m., the fire rapidly advanced on Engine 57, burned through the crew’s location, and </w:t>
      </w:r>
      <w:proofErr w:type="gramStart"/>
      <w:r w:rsidRPr="007448D6">
        <w:rPr>
          <w:rFonts w:ascii="Times New Roman" w:hAnsi="Times New Roman"/>
          <w:sz w:val="24"/>
          <w:szCs w:val="24"/>
        </w:rPr>
        <w:t>continued on</w:t>
      </w:r>
      <w:proofErr w:type="gramEnd"/>
      <w:r w:rsidRPr="007448D6">
        <w:rPr>
          <w:rFonts w:ascii="Times New Roman" w:hAnsi="Times New Roman"/>
          <w:sz w:val="24"/>
          <w:szCs w:val="24"/>
        </w:rPr>
        <w:t xml:space="preserve">. The crew members did not have time to deploy their emergency protective gear. Three of the firefighters — Daniel Hoover-Najera, Jess McLean, and Jason McKay — died at the scene. The other two crew members — Captain Mark Loutzenhiser and Pablo Cerda — were badly burned and were evacuated by helicopter. Loutzenhiser died at the hospital about three hours later; Cerda died at the hospital five days later.” </w:t>
      </w:r>
      <w:hyperlink r:id="rId73" w:history="1">
        <w:r w:rsidRPr="007448D6">
          <w:rPr>
            <w:rStyle w:val="Hyperlink"/>
            <w:rFonts w:ascii="Times New Roman" w:hAnsi="Times New Roman"/>
            <w:sz w:val="24"/>
            <w:szCs w:val="24"/>
          </w:rPr>
          <w:t>https://cases.justia.com/california/supreme-court/2025-s173784.pdf?ts=1746464481</w:t>
        </w:r>
      </w:hyperlink>
      <w:r w:rsidRPr="007448D6">
        <w:rPr>
          <w:rFonts w:ascii="Times New Roman" w:hAnsi="Times New Roman"/>
          <w:sz w:val="24"/>
          <w:szCs w:val="24"/>
        </w:rPr>
        <w:t xml:space="preserve"> </w:t>
      </w:r>
    </w:p>
    <w:p w14:paraId="428C38C1" w14:textId="77777777" w:rsidR="002249FF" w:rsidRDefault="002249FF" w:rsidP="007448D6">
      <w:pPr>
        <w:pStyle w:val="NoSpacing"/>
        <w:rPr>
          <w:rFonts w:ascii="Times New Roman" w:hAnsi="Times New Roman"/>
          <w:sz w:val="24"/>
          <w:szCs w:val="24"/>
        </w:rPr>
      </w:pPr>
    </w:p>
    <w:p w14:paraId="56C8EE78" w14:textId="77777777" w:rsidR="002249FF" w:rsidRPr="002249FF" w:rsidRDefault="002249FF" w:rsidP="002249FF">
      <w:pPr>
        <w:pStyle w:val="NoSpacing"/>
        <w:rPr>
          <w:rFonts w:ascii="Times New Roman" w:hAnsi="Times New Roman"/>
          <w:b/>
          <w:bCs/>
          <w:sz w:val="24"/>
          <w:szCs w:val="24"/>
        </w:rPr>
      </w:pPr>
      <w:r w:rsidRPr="002249FF">
        <w:rPr>
          <w:rFonts w:ascii="Times New Roman" w:hAnsi="Times New Roman"/>
          <w:b/>
          <w:sz w:val="24"/>
          <w:szCs w:val="24"/>
        </w:rPr>
        <w:t xml:space="preserve">Legal Lesson Learned: Death penalty </w:t>
      </w:r>
      <w:r w:rsidRPr="002249FF">
        <w:rPr>
          <w:rFonts w:ascii="Times New Roman" w:hAnsi="Times New Roman"/>
          <w:b/>
          <w:bCs/>
          <w:sz w:val="24"/>
          <w:szCs w:val="24"/>
        </w:rPr>
        <w:t xml:space="preserve">is the </w:t>
      </w:r>
      <w:r w:rsidRPr="002249FF">
        <w:rPr>
          <w:rFonts w:ascii="Times New Roman" w:hAnsi="Times New Roman"/>
          <w:b/>
          <w:sz w:val="24"/>
          <w:szCs w:val="24"/>
        </w:rPr>
        <w:t xml:space="preserve">appropriate penalty.  </w:t>
      </w:r>
    </w:p>
    <w:p w14:paraId="75714330" w14:textId="77777777" w:rsidR="002249FF" w:rsidRPr="002249FF" w:rsidRDefault="002249FF" w:rsidP="002249FF">
      <w:pPr>
        <w:pStyle w:val="NoSpacing"/>
        <w:rPr>
          <w:rFonts w:ascii="Times New Roman" w:hAnsi="Times New Roman"/>
          <w:b/>
          <w:bCs/>
          <w:sz w:val="24"/>
          <w:szCs w:val="24"/>
        </w:rPr>
      </w:pPr>
    </w:p>
    <w:p w14:paraId="152B813A" w14:textId="77777777" w:rsidR="002249FF" w:rsidRPr="002249FF" w:rsidRDefault="002249FF" w:rsidP="002249FF">
      <w:pPr>
        <w:pStyle w:val="NoSpacing"/>
        <w:ind w:left="720"/>
        <w:rPr>
          <w:rFonts w:ascii="Times New Roman" w:hAnsi="Times New Roman"/>
          <w:sz w:val="24"/>
          <w:szCs w:val="24"/>
        </w:rPr>
      </w:pPr>
      <w:r w:rsidRPr="002249FF">
        <w:rPr>
          <w:rFonts w:ascii="Times New Roman" w:hAnsi="Times New Roman"/>
          <w:sz w:val="24"/>
          <w:szCs w:val="24"/>
        </w:rPr>
        <w:t xml:space="preserve">Note: California Governor Gavin Newsome in 2019 issued a moratorium on imposing death penalty. </w:t>
      </w:r>
      <w:hyperlink r:id="rId74" w:history="1">
        <w:r w:rsidRPr="002249FF">
          <w:rPr>
            <w:rStyle w:val="Hyperlink"/>
            <w:rFonts w:ascii="Times New Roman" w:hAnsi="Times New Roman"/>
            <w:sz w:val="24"/>
            <w:szCs w:val="24"/>
          </w:rPr>
          <w:t>https://www.cdcr.ca.gov/capital-punishment/</w:t>
        </w:r>
      </w:hyperlink>
      <w:r w:rsidRPr="002249FF">
        <w:rPr>
          <w:rFonts w:ascii="Times New Roman" w:hAnsi="Times New Roman"/>
          <w:sz w:val="24"/>
          <w:szCs w:val="24"/>
        </w:rPr>
        <w:t xml:space="preserve"> </w:t>
      </w:r>
    </w:p>
    <w:p w14:paraId="41093A0E" w14:textId="77777777" w:rsidR="002249FF" w:rsidRPr="002249FF" w:rsidRDefault="002249FF" w:rsidP="002249FF">
      <w:pPr>
        <w:pStyle w:val="NoSpacing"/>
        <w:rPr>
          <w:rFonts w:ascii="Times New Roman" w:hAnsi="Times New Roman"/>
          <w:bCs/>
          <w:sz w:val="24"/>
          <w:szCs w:val="24"/>
        </w:rPr>
      </w:pPr>
    </w:p>
    <w:p w14:paraId="07D4945B" w14:textId="77777777" w:rsidR="00AC44B8" w:rsidRDefault="00AC44B8" w:rsidP="00B86628">
      <w:pPr>
        <w:pStyle w:val="NoSpacing"/>
        <w:rPr>
          <w:rFonts w:ascii="Arial Black" w:hAnsi="Arial Black"/>
          <w:sz w:val="24"/>
          <w:szCs w:val="24"/>
        </w:rPr>
      </w:pPr>
    </w:p>
    <w:p w14:paraId="71FA52D2" w14:textId="446670E7" w:rsidR="008D499E" w:rsidRDefault="00453E02" w:rsidP="00B86628">
      <w:pPr>
        <w:pStyle w:val="NoSpacing"/>
        <w:rPr>
          <w:rFonts w:ascii="Arial Black" w:hAnsi="Arial Black"/>
          <w:sz w:val="24"/>
          <w:szCs w:val="24"/>
        </w:rPr>
      </w:pPr>
      <w:r>
        <w:rPr>
          <w:rFonts w:ascii="Arial Black" w:hAnsi="Arial Black"/>
          <w:sz w:val="24"/>
          <w:szCs w:val="24"/>
        </w:rPr>
        <w:t>1-</w:t>
      </w:r>
      <w:r w:rsidR="002202B5">
        <w:rPr>
          <w:rFonts w:ascii="Arial Black" w:hAnsi="Arial Black"/>
          <w:sz w:val="24"/>
          <w:szCs w:val="24"/>
        </w:rPr>
        <w:t>178</w:t>
      </w:r>
    </w:p>
    <w:p w14:paraId="366F6FED" w14:textId="77777777" w:rsidR="003122E5" w:rsidRDefault="003122E5" w:rsidP="00B86628">
      <w:pPr>
        <w:pStyle w:val="NoSpacing"/>
        <w:rPr>
          <w:rFonts w:ascii="Arial Black" w:hAnsi="Arial Black"/>
          <w:sz w:val="24"/>
          <w:szCs w:val="24"/>
        </w:rPr>
      </w:pPr>
    </w:p>
    <w:p w14:paraId="5A1B7AF4" w14:textId="77777777" w:rsidR="003122E5" w:rsidRPr="00E510AC" w:rsidRDefault="003122E5" w:rsidP="003122E5">
      <w:pPr>
        <w:rPr>
          <w:rFonts w:ascii="Arial Black" w:hAnsi="Arial Black"/>
          <w:b/>
          <w:sz w:val="28"/>
          <w:szCs w:val="28"/>
        </w:rPr>
      </w:pPr>
      <w:r>
        <w:rPr>
          <w:rFonts w:ascii="Arial Black" w:hAnsi="Arial Black"/>
          <w:b/>
          <w:sz w:val="28"/>
          <w:szCs w:val="28"/>
        </w:rPr>
        <w:t>OR: HOMELESS - REMOVE NATIONAL FOREST - FIRES</w:t>
      </w:r>
    </w:p>
    <w:p w14:paraId="6B48CFA9" w14:textId="77777777" w:rsidR="003122E5" w:rsidRPr="003122E5" w:rsidRDefault="003122E5" w:rsidP="003122E5">
      <w:pPr>
        <w:rPr>
          <w:rFonts w:ascii="Times New Roman" w:hAnsi="Times New Roman"/>
          <w:bCs/>
          <w:sz w:val="24"/>
          <w:szCs w:val="24"/>
        </w:rPr>
      </w:pPr>
      <w:r w:rsidRPr="003122E5">
        <w:rPr>
          <w:rFonts w:ascii="Times New Roman" w:hAnsi="Times New Roman"/>
          <w:sz w:val="24"/>
          <w:szCs w:val="24"/>
        </w:rPr>
        <w:t xml:space="preserve">On May 1, 2025, in </w:t>
      </w:r>
      <w:r w:rsidRPr="003122E5">
        <w:rPr>
          <w:rFonts w:ascii="Times New Roman" w:hAnsi="Times New Roman"/>
          <w:sz w:val="24"/>
          <w:szCs w:val="24"/>
          <w:u w:val="single"/>
        </w:rPr>
        <w:t>Theresa Bradshaw, et al. v. Holly Jewkes, Bend-Fort Rock Ranger District, Deschutes National Forest, et al</w:t>
      </w:r>
      <w:r w:rsidRPr="003122E5">
        <w:rPr>
          <w:rFonts w:ascii="Times New Roman" w:hAnsi="Times New Roman"/>
          <w:sz w:val="24"/>
          <w:szCs w:val="24"/>
        </w:rPr>
        <w:t xml:space="preserve">.,  U.S. District Court Judge Michael J. McShane, United States District Court for the District of Oregon, Eugene Division, rejected the request of an organization on behalf of 150 homeless to stop U.S. Forest Service from closing a portion of the National Forest called China Hat.  There has been a significant increase in forest fires because of the homeless.  </w:t>
      </w:r>
      <w:hyperlink r:id="rId75" w:history="1">
        <w:r w:rsidRPr="003122E5">
          <w:rPr>
            <w:rStyle w:val="Hyperlink"/>
            <w:rFonts w:ascii="Times New Roman" w:hAnsi="Times New Roman"/>
            <w:sz w:val="24"/>
            <w:szCs w:val="24"/>
          </w:rPr>
          <w:t>https://ktvz.b-cdn.net/2025/05/TRO-ruling.pdf</w:t>
        </w:r>
      </w:hyperlink>
      <w:r w:rsidRPr="003122E5">
        <w:rPr>
          <w:rFonts w:ascii="Times New Roman" w:hAnsi="Times New Roman"/>
          <w:sz w:val="24"/>
          <w:szCs w:val="24"/>
        </w:rPr>
        <w:t xml:space="preserve"> </w:t>
      </w:r>
    </w:p>
    <w:p w14:paraId="7502E76C" w14:textId="77777777" w:rsidR="002714EB" w:rsidRPr="002714EB" w:rsidRDefault="002714EB" w:rsidP="002714EB">
      <w:pPr>
        <w:rPr>
          <w:rFonts w:ascii="Times New Roman" w:hAnsi="Times New Roman"/>
          <w:b/>
          <w:sz w:val="24"/>
          <w:szCs w:val="24"/>
        </w:rPr>
      </w:pPr>
      <w:r w:rsidRPr="002714EB">
        <w:rPr>
          <w:rFonts w:ascii="Times New Roman" w:hAnsi="Times New Roman"/>
          <w:b/>
          <w:sz w:val="24"/>
          <w:szCs w:val="24"/>
        </w:rPr>
        <w:t xml:space="preserve">Legal Lesson Learned: Public interest in prevention of forest fires outweighs the interest of homeless. </w:t>
      </w:r>
    </w:p>
    <w:p w14:paraId="7B35CD8C" w14:textId="0B751BB7" w:rsidR="003122E5" w:rsidRPr="002714EB" w:rsidRDefault="002714EB" w:rsidP="002714EB">
      <w:pPr>
        <w:pStyle w:val="NoSpacing"/>
        <w:ind w:left="720"/>
        <w:rPr>
          <w:rFonts w:ascii="Times New Roman" w:hAnsi="Times New Roman"/>
          <w:sz w:val="24"/>
          <w:szCs w:val="24"/>
        </w:rPr>
      </w:pPr>
      <w:r w:rsidRPr="002714EB">
        <w:rPr>
          <w:rFonts w:ascii="Times New Roman" w:hAnsi="Times New Roman"/>
          <w:sz w:val="24"/>
          <w:szCs w:val="24"/>
        </w:rPr>
        <w:t xml:space="preserve">Note: See this May 2, </w:t>
      </w:r>
      <w:proofErr w:type="gramStart"/>
      <w:r w:rsidRPr="002714EB">
        <w:rPr>
          <w:rFonts w:ascii="Times New Roman" w:hAnsi="Times New Roman"/>
          <w:sz w:val="24"/>
          <w:szCs w:val="24"/>
        </w:rPr>
        <w:t>2025</w:t>
      </w:r>
      <w:proofErr w:type="gramEnd"/>
      <w:r w:rsidRPr="002714EB">
        <w:rPr>
          <w:rFonts w:ascii="Times New Roman" w:hAnsi="Times New Roman"/>
          <w:sz w:val="24"/>
          <w:szCs w:val="24"/>
        </w:rPr>
        <w:t xml:space="preserve"> article, “US Forest Service starts clearing homeless camp in Oregon national forest, where some have lived for years.” </w:t>
      </w:r>
      <w:hyperlink r:id="rId76" w:history="1">
        <w:r w:rsidRPr="002714EB">
          <w:rPr>
            <w:rStyle w:val="Hyperlink"/>
            <w:rFonts w:ascii="Times New Roman" w:hAnsi="Times New Roman"/>
            <w:sz w:val="24"/>
            <w:szCs w:val="24"/>
          </w:rPr>
          <w:t>https://www.cnn.com/2025/05/02/us/oregon-deschutes-national-forest-eviction-hnk</w:t>
        </w:r>
      </w:hyperlink>
    </w:p>
    <w:p w14:paraId="5A781FC7" w14:textId="77777777" w:rsidR="002202B5" w:rsidRDefault="002202B5" w:rsidP="00B86628">
      <w:pPr>
        <w:pStyle w:val="NoSpacing"/>
        <w:rPr>
          <w:rFonts w:ascii="Arial Black" w:hAnsi="Arial Black"/>
          <w:sz w:val="24"/>
          <w:szCs w:val="24"/>
        </w:rPr>
      </w:pPr>
    </w:p>
    <w:p w14:paraId="29F13EA2" w14:textId="77777777" w:rsidR="002202B5" w:rsidRDefault="002202B5" w:rsidP="00B86628">
      <w:pPr>
        <w:pStyle w:val="NoSpacing"/>
        <w:rPr>
          <w:rFonts w:ascii="Arial Black" w:hAnsi="Arial Black"/>
          <w:sz w:val="24"/>
          <w:szCs w:val="24"/>
        </w:rPr>
      </w:pPr>
    </w:p>
    <w:p w14:paraId="767E7C37" w14:textId="1D533C35" w:rsidR="003C62F5" w:rsidRPr="002202B5" w:rsidRDefault="00453E02" w:rsidP="00B86628">
      <w:pPr>
        <w:pStyle w:val="NoSpacing"/>
        <w:rPr>
          <w:rFonts w:ascii="Arial Black" w:hAnsi="Arial Black"/>
          <w:sz w:val="24"/>
          <w:szCs w:val="24"/>
        </w:rPr>
      </w:pPr>
      <w:r>
        <w:rPr>
          <w:rFonts w:ascii="Arial Black" w:hAnsi="Arial Black"/>
          <w:sz w:val="24"/>
          <w:szCs w:val="24"/>
        </w:rPr>
        <w:t>1-</w:t>
      </w:r>
      <w:r w:rsidR="003C62F5" w:rsidRPr="002202B5">
        <w:rPr>
          <w:rFonts w:ascii="Arial Black" w:hAnsi="Arial Black"/>
          <w:sz w:val="24"/>
          <w:szCs w:val="24"/>
        </w:rPr>
        <w:t>177</w:t>
      </w:r>
    </w:p>
    <w:p w14:paraId="7DB2F45F" w14:textId="77777777" w:rsidR="002202B5" w:rsidRDefault="002202B5" w:rsidP="003C62F5">
      <w:pPr>
        <w:rPr>
          <w:rFonts w:ascii="Arial Black" w:hAnsi="Arial Black"/>
          <w:sz w:val="28"/>
          <w:szCs w:val="28"/>
        </w:rPr>
      </w:pPr>
    </w:p>
    <w:p w14:paraId="49A20867" w14:textId="3ECA9B41" w:rsidR="003C62F5" w:rsidRPr="00AE4361" w:rsidRDefault="003C62F5" w:rsidP="003C62F5">
      <w:pPr>
        <w:rPr>
          <w:rFonts w:ascii="Arial Black" w:hAnsi="Arial Black"/>
          <w:bCs/>
          <w:sz w:val="28"/>
          <w:szCs w:val="28"/>
        </w:rPr>
      </w:pPr>
      <w:r>
        <w:rPr>
          <w:rFonts w:ascii="Arial Black" w:hAnsi="Arial Black"/>
          <w:sz w:val="28"/>
          <w:szCs w:val="28"/>
        </w:rPr>
        <w:t>IN: WIFE HAD FF MURDERED – CONV. UPHELD / 90 YRS</w:t>
      </w:r>
    </w:p>
    <w:p w14:paraId="68293081" w14:textId="77777777" w:rsidR="003C62F5" w:rsidRPr="003C62F5" w:rsidRDefault="003C62F5" w:rsidP="003C62F5">
      <w:pPr>
        <w:pStyle w:val="NoSpacing"/>
        <w:rPr>
          <w:rFonts w:ascii="Times New Roman" w:hAnsi="Times New Roman"/>
          <w:bCs/>
          <w:sz w:val="24"/>
          <w:szCs w:val="24"/>
        </w:rPr>
      </w:pPr>
      <w:r w:rsidRPr="003C62F5">
        <w:rPr>
          <w:rFonts w:ascii="Times New Roman" w:hAnsi="Times New Roman"/>
          <w:sz w:val="24"/>
          <w:szCs w:val="24"/>
        </w:rPr>
        <w:t xml:space="preserve">On May 1, 2025, in </w:t>
      </w:r>
      <w:r w:rsidRPr="003C62F5">
        <w:rPr>
          <w:rFonts w:ascii="Times New Roman" w:hAnsi="Times New Roman"/>
          <w:sz w:val="24"/>
          <w:szCs w:val="24"/>
          <w:u w:val="single"/>
        </w:rPr>
        <w:t>Elizabeth Joanne Fox-Doerr v. State of Indiana</w:t>
      </w:r>
      <w:r w:rsidRPr="003C62F5">
        <w:rPr>
          <w:rFonts w:ascii="Times New Roman" w:hAnsi="Times New Roman"/>
          <w:sz w:val="24"/>
          <w:szCs w:val="24"/>
        </w:rPr>
        <w:t>,</w:t>
      </w:r>
      <w:r w:rsidRPr="003C62F5">
        <w:rPr>
          <w:rFonts w:ascii="Times New Roman" w:hAnsi="Times New Roman"/>
          <w:b/>
          <w:sz w:val="24"/>
          <w:szCs w:val="24"/>
        </w:rPr>
        <w:t xml:space="preserve"> </w:t>
      </w:r>
      <w:r w:rsidRPr="003C62F5">
        <w:rPr>
          <w:rFonts w:ascii="Times New Roman" w:hAnsi="Times New Roman"/>
          <w:sz w:val="24"/>
          <w:szCs w:val="24"/>
        </w:rPr>
        <w:t xml:space="preserve">the Court of Appeals of Indiana held (3 to 0; unpublished opinion) that there was sufficient evidence for jury to find that she arranged for the murder of Evanston firefighter Robert Doer on February 26, 2019, and the trial court properly sentenced her to 90 years in prison.  Larry Ali Richmond, Sr. was indicted for shooting Robert Doer.  </w:t>
      </w:r>
      <w:hyperlink r:id="rId77" w:history="1">
        <w:r w:rsidRPr="003C62F5">
          <w:rPr>
            <w:rStyle w:val="Hyperlink"/>
            <w:rFonts w:ascii="Times New Roman" w:hAnsi="Times New Roman"/>
            <w:sz w:val="24"/>
            <w:szCs w:val="24"/>
          </w:rPr>
          <w:t>https://www.aol.com/trial-delayed-man-accused-fatally-135028116.html</w:t>
        </w:r>
      </w:hyperlink>
      <w:r w:rsidRPr="003C62F5">
        <w:rPr>
          <w:rFonts w:ascii="Times New Roman" w:hAnsi="Times New Roman"/>
          <w:sz w:val="24"/>
          <w:szCs w:val="24"/>
        </w:rPr>
        <w:t xml:space="preserve"> . Elizabeth Fox-Doerr was tried first and convicted by a jury of aiding, inducing, or causing murder of her husband; they were only married for about six months (this was her third or fourth marriage).  At some point prior to February of 2019, Larry Ali Richmond’s son had observed Richmond and Fox-Doerr kissing.  On Feb. 26, 2019, firefighter Robert Doer worked a partial shift, returned home at 7:04 pm and was shot three times.  </w:t>
      </w:r>
      <w:hyperlink r:id="rId78" w:history="1">
        <w:r w:rsidRPr="003C62F5">
          <w:rPr>
            <w:rStyle w:val="Hyperlink"/>
            <w:rFonts w:ascii="Times New Roman" w:hAnsi="Times New Roman"/>
            <w:sz w:val="24"/>
            <w:szCs w:val="24"/>
          </w:rPr>
          <w:t>https://cases.justia.com/indiana/court-of-appeals/2025-24a-cr-01673.pdf?ts=1746121391</w:t>
        </w:r>
      </w:hyperlink>
    </w:p>
    <w:p w14:paraId="0F36C3F2" w14:textId="77777777" w:rsidR="003C62F5" w:rsidRPr="003C62F5" w:rsidRDefault="003C62F5" w:rsidP="003C62F5">
      <w:pPr>
        <w:pStyle w:val="NoSpacing"/>
        <w:rPr>
          <w:rFonts w:ascii="Times New Roman" w:hAnsi="Times New Roman"/>
          <w:bCs/>
          <w:sz w:val="24"/>
          <w:szCs w:val="24"/>
        </w:rPr>
      </w:pPr>
    </w:p>
    <w:p w14:paraId="2C9238CE" w14:textId="77777777" w:rsidR="00267F30" w:rsidRPr="00267F30" w:rsidRDefault="00267F30" w:rsidP="00267F30">
      <w:pPr>
        <w:rPr>
          <w:b/>
          <w:sz w:val="24"/>
          <w:szCs w:val="24"/>
        </w:rPr>
      </w:pPr>
      <w:r w:rsidRPr="00267F30">
        <w:rPr>
          <w:b/>
          <w:sz w:val="24"/>
          <w:szCs w:val="24"/>
        </w:rPr>
        <w:t xml:space="preserve">Legal Lesson Learned: The Court will not “reweigh the evidence” of conspiracy presented at trial. </w:t>
      </w:r>
    </w:p>
    <w:p w14:paraId="0099F781" w14:textId="77777777" w:rsidR="00267F30" w:rsidRPr="00267F30" w:rsidRDefault="00267F30" w:rsidP="00267F30">
      <w:pPr>
        <w:ind w:left="720"/>
        <w:rPr>
          <w:bCs/>
          <w:sz w:val="24"/>
          <w:szCs w:val="24"/>
        </w:rPr>
      </w:pPr>
      <w:r w:rsidRPr="00267F30">
        <w:rPr>
          <w:sz w:val="24"/>
          <w:szCs w:val="24"/>
        </w:rPr>
        <w:t xml:space="preserve">Note: Watch her sentencing on June 17, 2024.  “Convicted killer and wife of Evansville firefighter sentenced [TV VIDEO]. </w:t>
      </w:r>
      <w:hyperlink r:id="rId79" w:history="1">
        <w:r w:rsidRPr="00267F30">
          <w:rPr>
            <w:rStyle w:val="Hyperlink"/>
            <w:sz w:val="24"/>
            <w:szCs w:val="24"/>
          </w:rPr>
          <w:t>https://www.14news.com/2024/06/17/convicted-killer-evansville-firefighter-set-be-sentenced-this-afternoon/</w:t>
        </w:r>
      </w:hyperlink>
      <w:r w:rsidRPr="00267F30">
        <w:rPr>
          <w:sz w:val="24"/>
          <w:szCs w:val="24"/>
        </w:rPr>
        <w:t xml:space="preserve"> </w:t>
      </w:r>
    </w:p>
    <w:p w14:paraId="2DB8B9F9" w14:textId="77777777" w:rsidR="00267F30" w:rsidRPr="00F562BC" w:rsidRDefault="00267F30" w:rsidP="00267F30">
      <w:pPr>
        <w:ind w:left="720"/>
        <w:rPr>
          <w:b/>
        </w:rPr>
      </w:pPr>
      <w:r w:rsidRPr="00267F30">
        <w:rPr>
          <w:sz w:val="24"/>
          <w:szCs w:val="24"/>
        </w:rPr>
        <w:t xml:space="preserve">Aug. 18, 2022: “Wife and convicted murderer both charged in death of Evansville firefighter.” </w:t>
      </w:r>
      <w:hyperlink r:id="rId80" w:history="1">
        <w:r w:rsidRPr="00267F30">
          <w:rPr>
            <w:rStyle w:val="Hyperlink"/>
            <w:sz w:val="24"/>
            <w:szCs w:val="24"/>
          </w:rPr>
          <w:t>https://www.14news.com/2022/08/18/wife-convicted-murderer-both-charged-death-evansville-firefighter/</w:t>
        </w:r>
      </w:hyperlink>
      <w:r>
        <w:rPr>
          <w:b/>
        </w:rPr>
        <w:t xml:space="preserve"> </w:t>
      </w:r>
    </w:p>
    <w:p w14:paraId="693BE75B" w14:textId="77777777" w:rsidR="003C62F5" w:rsidRDefault="003C62F5" w:rsidP="00B86628">
      <w:pPr>
        <w:pStyle w:val="NoSpacing"/>
        <w:rPr>
          <w:rFonts w:ascii="Arial Black" w:hAnsi="Arial Black"/>
          <w:sz w:val="24"/>
          <w:szCs w:val="24"/>
        </w:rPr>
      </w:pPr>
    </w:p>
    <w:p w14:paraId="181C8DF3" w14:textId="77777777" w:rsidR="003C62F5" w:rsidRDefault="003C62F5" w:rsidP="00B86628">
      <w:pPr>
        <w:pStyle w:val="NoSpacing"/>
        <w:rPr>
          <w:rFonts w:ascii="Arial Black" w:hAnsi="Arial Black"/>
          <w:sz w:val="24"/>
          <w:szCs w:val="24"/>
        </w:rPr>
      </w:pPr>
    </w:p>
    <w:p w14:paraId="7A5FF2DE" w14:textId="3FCFB3A8" w:rsidR="00B9138D" w:rsidRDefault="00453E02" w:rsidP="00B86628">
      <w:pPr>
        <w:pStyle w:val="NoSpacing"/>
        <w:rPr>
          <w:rFonts w:ascii="Arial Black" w:hAnsi="Arial Black"/>
          <w:sz w:val="24"/>
          <w:szCs w:val="24"/>
        </w:rPr>
      </w:pPr>
      <w:r>
        <w:rPr>
          <w:rFonts w:ascii="Arial Black" w:hAnsi="Arial Black"/>
          <w:sz w:val="24"/>
          <w:szCs w:val="24"/>
        </w:rPr>
        <w:t>1-</w:t>
      </w:r>
      <w:r w:rsidR="00B9138D">
        <w:rPr>
          <w:rFonts w:ascii="Arial Black" w:hAnsi="Arial Black"/>
          <w:sz w:val="24"/>
          <w:szCs w:val="24"/>
        </w:rPr>
        <w:t>176</w:t>
      </w:r>
    </w:p>
    <w:p w14:paraId="2F89B39F" w14:textId="77777777" w:rsidR="00B9138D" w:rsidRDefault="00B9138D" w:rsidP="00B86628">
      <w:pPr>
        <w:pStyle w:val="NoSpacing"/>
        <w:rPr>
          <w:rFonts w:ascii="Arial Black" w:hAnsi="Arial Black"/>
          <w:sz w:val="24"/>
          <w:szCs w:val="24"/>
        </w:rPr>
      </w:pPr>
    </w:p>
    <w:p w14:paraId="48AA7DE0" w14:textId="77777777" w:rsidR="00B9138D" w:rsidRPr="00B71F72" w:rsidRDefault="00B9138D" w:rsidP="00B9138D">
      <w:pPr>
        <w:rPr>
          <w:rFonts w:ascii="Arial Black" w:hAnsi="Arial Black"/>
          <w:bCs/>
          <w:sz w:val="28"/>
          <w:szCs w:val="28"/>
        </w:rPr>
      </w:pPr>
      <w:r>
        <w:rPr>
          <w:rFonts w:ascii="Arial Black" w:hAnsi="Arial Black"/>
          <w:sz w:val="28"/>
          <w:szCs w:val="28"/>
        </w:rPr>
        <w:t>PA: FF EX-WIFE CONV. – GARAGE FIRE – HER FACEBOOK</w:t>
      </w:r>
    </w:p>
    <w:p w14:paraId="7024A3BD" w14:textId="4FABC9B9" w:rsidR="00B9138D" w:rsidRPr="00B9138D" w:rsidRDefault="00B9138D" w:rsidP="00B9138D">
      <w:pPr>
        <w:pStyle w:val="NoSpacing"/>
        <w:rPr>
          <w:rFonts w:ascii="Times New Roman" w:hAnsi="Times New Roman"/>
          <w:sz w:val="24"/>
          <w:szCs w:val="24"/>
        </w:rPr>
      </w:pPr>
      <w:r w:rsidRPr="00B9138D">
        <w:rPr>
          <w:rFonts w:ascii="Times New Roman" w:hAnsi="Times New Roman"/>
          <w:sz w:val="24"/>
          <w:szCs w:val="24"/>
        </w:rPr>
        <w:t xml:space="preserve">On April 29, </w:t>
      </w:r>
      <w:proofErr w:type="gramStart"/>
      <w:r w:rsidRPr="00B9138D">
        <w:rPr>
          <w:rFonts w:ascii="Times New Roman" w:hAnsi="Times New Roman"/>
          <w:sz w:val="24"/>
          <w:szCs w:val="24"/>
        </w:rPr>
        <w:t>2025</w:t>
      </w:r>
      <w:proofErr w:type="gramEnd"/>
      <w:r w:rsidRPr="00B9138D">
        <w:rPr>
          <w:rFonts w:ascii="Times New Roman" w:hAnsi="Times New Roman"/>
          <w:sz w:val="24"/>
          <w:szCs w:val="24"/>
        </w:rPr>
        <w:t xml:space="preserve"> in </w:t>
      </w:r>
      <w:r w:rsidRPr="00B9138D">
        <w:rPr>
          <w:rFonts w:ascii="Times New Roman" w:hAnsi="Times New Roman"/>
          <w:sz w:val="24"/>
          <w:szCs w:val="24"/>
          <w:u w:val="single"/>
        </w:rPr>
        <w:t>Commonwealth of Pennsylvania v. Nia C. Stallworth</w:t>
      </w:r>
      <w:r w:rsidRPr="00B9138D">
        <w:rPr>
          <w:rFonts w:ascii="Times New Roman" w:hAnsi="Times New Roman"/>
          <w:sz w:val="24"/>
          <w:szCs w:val="24"/>
        </w:rPr>
        <w:t xml:space="preserve">, the Superior Court of Pennsylvania held (3 to 0; non-precedential decision) that trial court judge in bench trial properly allowed into evidence a Facebook posting by the ex-wife of a Philadelphia firefighter, Timothy Rawls.  It was a screenshot of a Facebook post … with two photographs of Rawls’ damaged garage and captioned “These mutha </w:t>
      </w:r>
      <w:proofErr w:type="spellStart"/>
      <w:r w:rsidRPr="00B9138D">
        <w:rPr>
          <w:rFonts w:ascii="Times New Roman" w:hAnsi="Times New Roman"/>
          <w:sz w:val="24"/>
          <w:szCs w:val="24"/>
        </w:rPr>
        <w:t>Fuckas</w:t>
      </w:r>
      <w:proofErr w:type="spellEnd"/>
      <w:r w:rsidRPr="00B9138D">
        <w:rPr>
          <w:rFonts w:ascii="Times New Roman" w:hAnsi="Times New Roman"/>
          <w:sz w:val="24"/>
          <w:szCs w:val="24"/>
        </w:rPr>
        <w:t xml:space="preserve"> know I’m fucking crazy!! </w:t>
      </w:r>
      <w:proofErr w:type="gramStart"/>
      <w:r w:rsidRPr="00B9138D">
        <w:rPr>
          <w:rFonts w:ascii="Times New Roman" w:hAnsi="Times New Roman"/>
          <w:sz w:val="24"/>
          <w:szCs w:val="24"/>
        </w:rPr>
        <w:t>Yeah</w:t>
      </w:r>
      <w:proofErr w:type="gramEnd"/>
      <w:r w:rsidRPr="00B9138D">
        <w:rPr>
          <w:rFonts w:ascii="Times New Roman" w:hAnsi="Times New Roman"/>
          <w:sz w:val="24"/>
          <w:szCs w:val="24"/>
        </w:rPr>
        <w:t xml:space="preserve"> I set your shit on [fire emoji] bitch.”  The trial court judge found her guilty of criminal mischief, graded as a felony of the third degree, based upon her causing a pecuniary loss </w:t>
      </w:r>
      <w:proofErr w:type="gramStart"/>
      <w:r w:rsidRPr="00B9138D">
        <w:rPr>
          <w:rFonts w:ascii="Times New Roman" w:hAnsi="Times New Roman"/>
          <w:sz w:val="24"/>
          <w:szCs w:val="24"/>
        </w:rPr>
        <w:t>in excess of</w:t>
      </w:r>
      <w:proofErr w:type="gramEnd"/>
      <w:r w:rsidRPr="00B9138D">
        <w:rPr>
          <w:rFonts w:ascii="Times New Roman" w:hAnsi="Times New Roman"/>
          <w:sz w:val="24"/>
          <w:szCs w:val="24"/>
        </w:rPr>
        <w:t xml:space="preserve"> $5,000; but not guilty of arson, and sentenced her to two years’ probation. </w:t>
      </w:r>
      <w:hyperlink r:id="rId81" w:history="1">
        <w:r w:rsidRPr="00B9138D">
          <w:rPr>
            <w:rStyle w:val="Hyperlink"/>
            <w:rFonts w:ascii="Times New Roman" w:hAnsi="Times New Roman"/>
            <w:sz w:val="24"/>
            <w:szCs w:val="24"/>
          </w:rPr>
          <w:t>https://cases.justia.com/pennsylvania/superior-court/2025-76-eda-2024.pdf?ts=1745952844</w:t>
        </w:r>
      </w:hyperlink>
    </w:p>
    <w:p w14:paraId="507DE540" w14:textId="77777777" w:rsidR="00B9138D" w:rsidRDefault="00B9138D" w:rsidP="00B86628">
      <w:pPr>
        <w:pStyle w:val="NoSpacing"/>
        <w:rPr>
          <w:rFonts w:ascii="Arial Black" w:hAnsi="Arial Black"/>
          <w:sz w:val="24"/>
          <w:szCs w:val="24"/>
        </w:rPr>
      </w:pPr>
    </w:p>
    <w:p w14:paraId="45CA57EF" w14:textId="4A164792" w:rsidR="00D72EC2" w:rsidRPr="00D72EC2" w:rsidRDefault="00D72EC2" w:rsidP="00D72EC2">
      <w:pPr>
        <w:rPr>
          <w:b/>
          <w:sz w:val="24"/>
          <w:szCs w:val="24"/>
        </w:rPr>
      </w:pPr>
      <w:r w:rsidRPr="00D72EC2">
        <w:rPr>
          <w:rFonts w:ascii="Times New Roman" w:hAnsi="Times New Roman"/>
          <w:b/>
          <w:sz w:val="24"/>
          <w:szCs w:val="24"/>
        </w:rPr>
        <w:t xml:space="preserve">Legal Lesson Learned:  The Facebook post by </w:t>
      </w:r>
      <w:r>
        <w:rPr>
          <w:rFonts w:ascii="Times New Roman" w:hAnsi="Times New Roman"/>
          <w:b/>
          <w:sz w:val="24"/>
          <w:szCs w:val="24"/>
        </w:rPr>
        <w:t>ex-</w:t>
      </w:r>
      <w:r w:rsidRPr="00D72EC2">
        <w:rPr>
          <w:rFonts w:ascii="Times New Roman" w:hAnsi="Times New Roman"/>
          <w:b/>
          <w:sz w:val="24"/>
          <w:szCs w:val="24"/>
        </w:rPr>
        <w:t>wife was authenticated</w:t>
      </w:r>
      <w:r w:rsidRPr="00D72EC2">
        <w:rPr>
          <w:b/>
          <w:sz w:val="24"/>
          <w:szCs w:val="24"/>
        </w:rPr>
        <w:t xml:space="preserve">. </w:t>
      </w:r>
    </w:p>
    <w:p w14:paraId="536ADDC3" w14:textId="77777777" w:rsidR="00D72EC2" w:rsidRDefault="00D72EC2" w:rsidP="00B86628">
      <w:pPr>
        <w:pStyle w:val="NoSpacing"/>
        <w:rPr>
          <w:rFonts w:ascii="Arial Black" w:hAnsi="Arial Black"/>
          <w:sz w:val="24"/>
          <w:szCs w:val="24"/>
        </w:rPr>
      </w:pPr>
    </w:p>
    <w:p w14:paraId="49C41D0D" w14:textId="77777777" w:rsidR="00B9138D" w:rsidRDefault="00B9138D" w:rsidP="00B86628">
      <w:pPr>
        <w:pStyle w:val="NoSpacing"/>
        <w:rPr>
          <w:rFonts w:ascii="Arial Black" w:hAnsi="Arial Black"/>
          <w:sz w:val="24"/>
          <w:szCs w:val="24"/>
        </w:rPr>
      </w:pPr>
    </w:p>
    <w:p w14:paraId="0EBE4701" w14:textId="10A8371C" w:rsidR="008D499E" w:rsidRDefault="00453E02" w:rsidP="00B86628">
      <w:pPr>
        <w:pStyle w:val="NoSpacing"/>
        <w:rPr>
          <w:rFonts w:ascii="Arial Black" w:hAnsi="Arial Black"/>
          <w:sz w:val="24"/>
          <w:szCs w:val="24"/>
        </w:rPr>
      </w:pPr>
      <w:r>
        <w:rPr>
          <w:rFonts w:ascii="Arial Black" w:hAnsi="Arial Black"/>
          <w:sz w:val="24"/>
          <w:szCs w:val="24"/>
        </w:rPr>
        <w:t>1-</w:t>
      </w:r>
      <w:r w:rsidR="008D499E">
        <w:rPr>
          <w:rFonts w:ascii="Arial Black" w:hAnsi="Arial Black"/>
          <w:sz w:val="24"/>
          <w:szCs w:val="24"/>
        </w:rPr>
        <w:t>175</w:t>
      </w:r>
    </w:p>
    <w:p w14:paraId="6F060733" w14:textId="77777777" w:rsidR="008D499E" w:rsidRDefault="008D499E" w:rsidP="00B86628">
      <w:pPr>
        <w:pStyle w:val="NoSpacing"/>
        <w:rPr>
          <w:rFonts w:ascii="Arial Black" w:hAnsi="Arial Black"/>
          <w:sz w:val="24"/>
          <w:szCs w:val="24"/>
        </w:rPr>
      </w:pPr>
    </w:p>
    <w:p w14:paraId="57DD6EA0" w14:textId="77777777" w:rsidR="008D499E" w:rsidRDefault="008D499E" w:rsidP="008D499E">
      <w:pPr>
        <w:spacing w:after="0"/>
        <w:rPr>
          <w:rFonts w:ascii="Arial Black" w:hAnsi="Arial Black"/>
          <w:b/>
          <w:bCs/>
          <w:sz w:val="28"/>
          <w:szCs w:val="28"/>
        </w:rPr>
      </w:pPr>
      <w:r>
        <w:rPr>
          <w:rFonts w:ascii="Arial Black" w:hAnsi="Arial Black"/>
          <w:b/>
          <w:sz w:val="28"/>
          <w:szCs w:val="28"/>
        </w:rPr>
        <w:t>MO: ARSON - HOUSE FIRE - INSURED $350K / WORTH $60K</w:t>
      </w:r>
    </w:p>
    <w:p w14:paraId="64E9CC82" w14:textId="77777777" w:rsidR="008D499E" w:rsidRPr="00E57AE8" w:rsidRDefault="008D499E" w:rsidP="008D499E">
      <w:pPr>
        <w:spacing w:after="0"/>
        <w:rPr>
          <w:rFonts w:ascii="Times New Roman" w:hAnsi="Times New Roman"/>
          <w:sz w:val="24"/>
          <w:szCs w:val="24"/>
        </w:rPr>
      </w:pPr>
    </w:p>
    <w:p w14:paraId="78579601" w14:textId="77777777" w:rsidR="008D499E" w:rsidRPr="00C60EC1" w:rsidRDefault="008D499E" w:rsidP="008D499E">
      <w:pPr>
        <w:spacing w:after="0"/>
        <w:rPr>
          <w:rFonts w:ascii="Times New Roman" w:hAnsi="Times New Roman"/>
          <w:sz w:val="24"/>
          <w:szCs w:val="24"/>
        </w:rPr>
      </w:pPr>
      <w:r w:rsidRPr="00C60EC1">
        <w:rPr>
          <w:rFonts w:ascii="Times New Roman" w:hAnsi="Times New Roman"/>
          <w:sz w:val="24"/>
          <w:szCs w:val="24"/>
        </w:rPr>
        <w:t xml:space="preserve">On March 24, 2025, in </w:t>
      </w:r>
      <w:proofErr w:type="spellStart"/>
      <w:r w:rsidRPr="00C60EC1">
        <w:rPr>
          <w:rFonts w:ascii="Times New Roman" w:hAnsi="Times New Roman"/>
          <w:sz w:val="24"/>
          <w:szCs w:val="24"/>
          <w:u w:val="single"/>
        </w:rPr>
        <w:t>Amguard</w:t>
      </w:r>
      <w:proofErr w:type="spellEnd"/>
      <w:r w:rsidRPr="00C60EC1">
        <w:rPr>
          <w:rFonts w:ascii="Times New Roman" w:hAnsi="Times New Roman"/>
          <w:sz w:val="24"/>
          <w:szCs w:val="24"/>
          <w:u w:val="single"/>
        </w:rPr>
        <w:t xml:space="preserve"> Insurance Company v. James Cantrell, III</w:t>
      </w:r>
      <w:r w:rsidRPr="00C60EC1">
        <w:rPr>
          <w:rFonts w:ascii="Times New Roman" w:hAnsi="Times New Roman"/>
          <w:sz w:val="24"/>
          <w:szCs w:val="24"/>
        </w:rPr>
        <w:t xml:space="preserve">, U.S. District Court Judge Douglas Harpool, U.S. District Court for the Western District of Missouri, Southern Division, denied the homeowner’s motion for partial summary judgment in a lawsuit by the insurance company.  The insurance company refused to pay claim for March 8, </w:t>
      </w:r>
      <w:proofErr w:type="gramStart"/>
      <w:r w:rsidRPr="00C60EC1">
        <w:rPr>
          <w:rFonts w:ascii="Times New Roman" w:hAnsi="Times New Roman"/>
          <w:sz w:val="24"/>
          <w:szCs w:val="24"/>
        </w:rPr>
        <w:t>2023</w:t>
      </w:r>
      <w:proofErr w:type="gramEnd"/>
      <w:r w:rsidRPr="00C60EC1">
        <w:rPr>
          <w:rFonts w:ascii="Times New Roman" w:hAnsi="Times New Roman"/>
          <w:sz w:val="24"/>
          <w:szCs w:val="24"/>
        </w:rPr>
        <w:t xml:space="preserve"> house fire of $525,000 ($350,000 for house; $175,000 personal property).  There was little property in the home at the time of the fire; he was observed at </w:t>
      </w:r>
      <w:proofErr w:type="gramStart"/>
      <w:r w:rsidRPr="00C60EC1">
        <w:rPr>
          <w:rFonts w:ascii="Times New Roman" w:hAnsi="Times New Roman"/>
          <w:sz w:val="24"/>
          <w:szCs w:val="24"/>
        </w:rPr>
        <w:t>the home</w:t>
      </w:r>
      <w:proofErr w:type="gramEnd"/>
      <w:r w:rsidRPr="00C60EC1">
        <w:rPr>
          <w:rFonts w:ascii="Times New Roman" w:hAnsi="Times New Roman"/>
          <w:sz w:val="24"/>
          <w:szCs w:val="24"/>
        </w:rPr>
        <w:t xml:space="preserve"> at 8:08 pm, and fire </w:t>
      </w:r>
      <w:proofErr w:type="gramStart"/>
      <w:r w:rsidRPr="00C60EC1">
        <w:rPr>
          <w:rFonts w:ascii="Times New Roman" w:hAnsi="Times New Roman"/>
          <w:sz w:val="24"/>
          <w:szCs w:val="24"/>
        </w:rPr>
        <w:t>run came</w:t>
      </w:r>
      <w:proofErr w:type="gramEnd"/>
      <w:r w:rsidRPr="00C60EC1">
        <w:rPr>
          <w:rFonts w:ascii="Times New Roman" w:hAnsi="Times New Roman"/>
          <w:sz w:val="24"/>
          <w:szCs w:val="24"/>
        </w:rPr>
        <w:t xml:space="preserve"> in at 8:32 pm; and the hydrant had been manually turned off. The homeowner’s wife, Kara Cantrell, testified in her deposition that his husband “had filed previous fire insurance claims in January 2020 when her vehicle and their log cabin in Fair Play, Missouri burned within twenty-four hours of each other…. Ms. Cantrell also testified that on February 27, 2023, Defendant had looked up on her phone how to total a house.” </w:t>
      </w:r>
      <w:hyperlink r:id="rId82" w:history="1">
        <w:r w:rsidRPr="00C60EC1">
          <w:rPr>
            <w:rStyle w:val="Hyperlink"/>
            <w:rFonts w:ascii="Times New Roman" w:hAnsi="Times New Roman"/>
            <w:sz w:val="24"/>
            <w:szCs w:val="24"/>
          </w:rPr>
          <w:t>https://public.fastcase.com/jaEE2PXzRXmZ99jOLMt1IvQQ%2FwWODLAEJBukBPNCALgft0sHziy1G1EiNPA2la2I%2Bz7mV9PFJnpwehw24IHtnmGvfRX%2FCWFczT3vlKR%2B0P0%3D?utm_medium=email&amp;_hsenc=p2ANqtz--SWSAGzwwNdnG_VMPYwGihlDivIcGecVdTRk_nr30XIo07pFHIeVloVzlVGarTG9brlCuLB39_kFjuWt_H_cWvO7FD4A&amp;_hsmi=226712652&amp;utm_content=226712652&amp;utm_source=hs_email</w:t>
        </w:r>
      </w:hyperlink>
      <w:r w:rsidRPr="00C60EC1">
        <w:rPr>
          <w:rFonts w:ascii="Times New Roman" w:hAnsi="Times New Roman"/>
          <w:sz w:val="24"/>
          <w:szCs w:val="24"/>
        </w:rPr>
        <w:t xml:space="preserve"> </w:t>
      </w:r>
    </w:p>
    <w:p w14:paraId="58267EDB" w14:textId="77777777" w:rsidR="008D499E" w:rsidRPr="00C60EC1" w:rsidRDefault="008D499E" w:rsidP="00B86628">
      <w:pPr>
        <w:pStyle w:val="NoSpacing"/>
        <w:rPr>
          <w:rFonts w:ascii="Times New Roman" w:hAnsi="Times New Roman"/>
          <w:sz w:val="24"/>
          <w:szCs w:val="24"/>
        </w:rPr>
      </w:pPr>
    </w:p>
    <w:p w14:paraId="4D0A0C91" w14:textId="77777777" w:rsidR="00C60EC1" w:rsidRPr="00C60EC1" w:rsidRDefault="00C60EC1" w:rsidP="00C60EC1">
      <w:pPr>
        <w:spacing w:after="0"/>
        <w:rPr>
          <w:b/>
          <w:bCs/>
          <w:sz w:val="24"/>
          <w:szCs w:val="24"/>
        </w:rPr>
      </w:pPr>
      <w:r w:rsidRPr="00C60EC1">
        <w:rPr>
          <w:b/>
          <w:sz w:val="24"/>
          <w:szCs w:val="24"/>
        </w:rPr>
        <w:t xml:space="preserve">Legal Lesson Learned:  Insurance companies, when suspecting arson, can file lawsuits seeking court approval to not pay a suspicious claim. </w:t>
      </w:r>
    </w:p>
    <w:p w14:paraId="06CC6608" w14:textId="77777777" w:rsidR="00E57AE8" w:rsidRDefault="00E57AE8" w:rsidP="00B86628">
      <w:pPr>
        <w:pStyle w:val="NoSpacing"/>
        <w:rPr>
          <w:rFonts w:ascii="Arial Black" w:hAnsi="Arial Black"/>
          <w:sz w:val="24"/>
          <w:szCs w:val="24"/>
        </w:rPr>
      </w:pPr>
    </w:p>
    <w:p w14:paraId="5D23C62F" w14:textId="77777777" w:rsidR="008D499E" w:rsidRDefault="008D499E" w:rsidP="00B86628">
      <w:pPr>
        <w:pStyle w:val="NoSpacing"/>
        <w:rPr>
          <w:rFonts w:ascii="Arial Black" w:hAnsi="Arial Black"/>
          <w:sz w:val="24"/>
          <w:szCs w:val="24"/>
        </w:rPr>
      </w:pPr>
    </w:p>
    <w:p w14:paraId="5E5B7F81" w14:textId="1D305179" w:rsidR="00DA55B0" w:rsidRDefault="00453E02" w:rsidP="00B86628">
      <w:pPr>
        <w:pStyle w:val="NoSpacing"/>
        <w:rPr>
          <w:rFonts w:ascii="Arial Black" w:hAnsi="Arial Black"/>
          <w:sz w:val="24"/>
          <w:szCs w:val="24"/>
        </w:rPr>
      </w:pPr>
      <w:r>
        <w:rPr>
          <w:rFonts w:ascii="Arial Black" w:hAnsi="Arial Black"/>
          <w:sz w:val="24"/>
          <w:szCs w:val="24"/>
        </w:rPr>
        <w:t>1-</w:t>
      </w:r>
      <w:r w:rsidR="00DA55B0">
        <w:rPr>
          <w:rFonts w:ascii="Arial Black" w:hAnsi="Arial Black"/>
          <w:sz w:val="24"/>
          <w:szCs w:val="24"/>
        </w:rPr>
        <w:t>174</w:t>
      </w:r>
    </w:p>
    <w:p w14:paraId="7740C0D6" w14:textId="77777777" w:rsidR="00DA55B0" w:rsidRDefault="00DA55B0" w:rsidP="00B86628">
      <w:pPr>
        <w:pStyle w:val="NoSpacing"/>
        <w:rPr>
          <w:rFonts w:ascii="Arial Black" w:hAnsi="Arial Black"/>
          <w:sz w:val="24"/>
          <w:szCs w:val="24"/>
        </w:rPr>
      </w:pPr>
    </w:p>
    <w:p w14:paraId="7F37DB99" w14:textId="320890B7" w:rsidR="005C5C79" w:rsidRDefault="005C5C79" w:rsidP="005C5C79">
      <w:pPr>
        <w:rPr>
          <w:rFonts w:ascii="Arial Black" w:hAnsi="Arial Black"/>
          <w:sz w:val="28"/>
          <w:szCs w:val="28"/>
        </w:rPr>
      </w:pPr>
      <w:r w:rsidRPr="000B7F2C">
        <w:rPr>
          <w:rFonts w:ascii="Arial Black" w:hAnsi="Arial Black"/>
          <w:sz w:val="28"/>
          <w:szCs w:val="28"/>
        </w:rPr>
        <w:t xml:space="preserve">U.S. SUP. CT. – PROS. MUST CORRECT FALSE TESTIMONY </w:t>
      </w:r>
      <w:r w:rsidR="00D97A78">
        <w:rPr>
          <w:rFonts w:ascii="Arial Black" w:hAnsi="Arial Black"/>
          <w:sz w:val="28"/>
          <w:szCs w:val="28"/>
        </w:rPr>
        <w:t>– DEATH ROW INMATE NEW TRIAL</w:t>
      </w:r>
    </w:p>
    <w:p w14:paraId="1CF07A64" w14:textId="77777777" w:rsidR="005C5C79" w:rsidRPr="005C5C79" w:rsidRDefault="005C5C79" w:rsidP="005C5C79">
      <w:pPr>
        <w:pStyle w:val="NoSpacing"/>
        <w:rPr>
          <w:rFonts w:ascii="Times New Roman" w:hAnsi="Times New Roman"/>
          <w:bCs/>
          <w:sz w:val="24"/>
          <w:szCs w:val="24"/>
        </w:rPr>
      </w:pPr>
      <w:r w:rsidRPr="005C5C79">
        <w:rPr>
          <w:rFonts w:ascii="Times New Roman" w:hAnsi="Times New Roman"/>
          <w:sz w:val="24"/>
          <w:szCs w:val="24"/>
        </w:rPr>
        <w:t xml:space="preserve">On Feb. 25, 2025, in </w:t>
      </w:r>
      <w:r w:rsidRPr="005C5C79">
        <w:rPr>
          <w:rFonts w:ascii="Times New Roman" w:hAnsi="Times New Roman"/>
          <w:sz w:val="24"/>
          <w:szCs w:val="24"/>
          <w:u w:val="single"/>
        </w:rPr>
        <w:t>Richard Glossip v. Oklahoma</w:t>
      </w:r>
      <w:r w:rsidRPr="005C5C79">
        <w:rPr>
          <w:rFonts w:ascii="Times New Roman" w:hAnsi="Times New Roman"/>
          <w:sz w:val="24"/>
          <w:szCs w:val="24"/>
        </w:rPr>
        <w:t xml:space="preserve">, the U.S. Supreme Court held (5 to 3) that death row inmate Richard Glossip is entitled to a new trial, since the Oklahoma Attorney General admitted that prosecutors failed to disclose their key witness (Justin Sneed, who committed the murder with a baseball bat) falsely testified he did not suffer from bipolar disorder and was not administered lithium by jail psychiatrist to treat that condition   Richard Glossip was manager of the Best Budget Inn in Tulsa.  Sneed, a part-time employee, said he was paid by Glossip to kill the owner of the hotel (Barry Van Treese) to cover up Glossip’s embezzlement of hotel money.  Sneed testified against Glossip in exchange for avoiding the death penalty, and when first conviction was reversed for ineffective counsel, he testified in a second trial.  Sneed was the “only direct evidence connecting Glossip to the murder.” </w:t>
      </w:r>
      <w:hyperlink r:id="rId83" w:history="1">
        <w:r w:rsidRPr="005C5C79">
          <w:rPr>
            <w:rStyle w:val="Hyperlink"/>
            <w:rFonts w:ascii="Times New Roman" w:hAnsi="Times New Roman"/>
            <w:sz w:val="24"/>
            <w:szCs w:val="24"/>
          </w:rPr>
          <w:t>https://www.supremecourt.gov/opinions/24pdf/22-7466new_6479.pdf</w:t>
        </w:r>
      </w:hyperlink>
      <w:r w:rsidRPr="005C5C79">
        <w:rPr>
          <w:rFonts w:ascii="Times New Roman" w:hAnsi="Times New Roman"/>
          <w:sz w:val="24"/>
          <w:szCs w:val="24"/>
        </w:rPr>
        <w:t xml:space="preserve"> </w:t>
      </w:r>
    </w:p>
    <w:p w14:paraId="1E4C834B" w14:textId="77777777" w:rsidR="005C5C79" w:rsidRDefault="005C5C79" w:rsidP="005C5C79">
      <w:pPr>
        <w:pStyle w:val="NoSpacing"/>
        <w:rPr>
          <w:rFonts w:ascii="Times New Roman" w:hAnsi="Times New Roman"/>
          <w:sz w:val="24"/>
          <w:szCs w:val="24"/>
        </w:rPr>
      </w:pPr>
    </w:p>
    <w:p w14:paraId="509400E7" w14:textId="1B2CBC9D" w:rsidR="005C5C79" w:rsidRPr="005C5C79" w:rsidRDefault="005C5C79" w:rsidP="005C5C79">
      <w:pPr>
        <w:pStyle w:val="NoSpacing"/>
        <w:rPr>
          <w:rFonts w:ascii="Times New Roman" w:hAnsi="Times New Roman"/>
          <w:bCs/>
          <w:sz w:val="24"/>
          <w:szCs w:val="24"/>
        </w:rPr>
      </w:pPr>
      <w:r w:rsidRPr="005C5C79">
        <w:rPr>
          <w:rFonts w:ascii="Times New Roman" w:hAnsi="Times New Roman"/>
          <w:sz w:val="24"/>
          <w:szCs w:val="24"/>
        </w:rPr>
        <w:t>The Majority decision (by Justice Sonia Maria Sotomayor):</w:t>
      </w:r>
    </w:p>
    <w:p w14:paraId="58F38F0F" w14:textId="77777777" w:rsidR="005C5C79" w:rsidRPr="005C5C79" w:rsidRDefault="005C5C79" w:rsidP="005C5C79">
      <w:pPr>
        <w:pStyle w:val="NoSpacing"/>
        <w:rPr>
          <w:rFonts w:ascii="Times New Roman" w:hAnsi="Times New Roman"/>
          <w:bCs/>
          <w:sz w:val="24"/>
          <w:szCs w:val="24"/>
        </w:rPr>
      </w:pPr>
    </w:p>
    <w:p w14:paraId="17199174" w14:textId="6EC1F4CD" w:rsidR="005C5C79" w:rsidRPr="005C5C79" w:rsidRDefault="005C5C79" w:rsidP="005C5C79">
      <w:pPr>
        <w:pStyle w:val="NoSpacing"/>
        <w:ind w:left="720"/>
        <w:rPr>
          <w:rFonts w:ascii="Times New Roman" w:hAnsi="Times New Roman"/>
          <w:bCs/>
          <w:sz w:val="24"/>
          <w:szCs w:val="24"/>
        </w:rPr>
      </w:pPr>
      <w:r w:rsidRPr="005C5C79">
        <w:rPr>
          <w:rFonts w:ascii="Times New Roman" w:hAnsi="Times New Roman"/>
          <w:sz w:val="24"/>
          <w:szCs w:val="24"/>
        </w:rPr>
        <w:t>“Nearly two decades later, the State disclosed eight boxes of previously withheld documents from Glossip’s trial. These documents show that Sneed suffered from bipolar</w:t>
      </w:r>
      <w:r>
        <w:rPr>
          <w:rFonts w:ascii="Times New Roman" w:hAnsi="Times New Roman"/>
          <w:sz w:val="24"/>
          <w:szCs w:val="24"/>
        </w:rPr>
        <w:t xml:space="preserve"> </w:t>
      </w:r>
      <w:r w:rsidRPr="005C5C79">
        <w:rPr>
          <w:rFonts w:ascii="Times New Roman" w:hAnsi="Times New Roman"/>
          <w:sz w:val="24"/>
          <w:szCs w:val="24"/>
        </w:rPr>
        <w:t>disorder, which, combined with his known drug use, could have caused impulsive outbursts of violence. They also established, the State agrees, that a jail psychiatrist prescribed Sneed lithium to treat that condition, and that the prosecution allowed Sneed falsely to testify at trial that he had never seen a psychiatrist. Faced with that evidence,</w:t>
      </w:r>
    </w:p>
    <w:p w14:paraId="4AEDC5D7" w14:textId="77777777" w:rsidR="005C5C79" w:rsidRPr="005C5C79" w:rsidRDefault="005C5C79" w:rsidP="005C5C79">
      <w:pPr>
        <w:pStyle w:val="NoSpacing"/>
        <w:ind w:firstLine="720"/>
        <w:rPr>
          <w:rFonts w:ascii="Times New Roman" w:hAnsi="Times New Roman"/>
          <w:bCs/>
          <w:sz w:val="24"/>
          <w:szCs w:val="24"/>
        </w:rPr>
      </w:pPr>
      <w:r w:rsidRPr="005C5C79">
        <w:rPr>
          <w:rFonts w:ascii="Times New Roman" w:hAnsi="Times New Roman"/>
          <w:sz w:val="24"/>
          <w:szCs w:val="24"/>
        </w:rPr>
        <w:t>Oklahoma’s attorney general confessed error.</w:t>
      </w:r>
    </w:p>
    <w:p w14:paraId="1ECB9383" w14:textId="77777777" w:rsidR="005C5C79" w:rsidRPr="005C5C79" w:rsidRDefault="005C5C79" w:rsidP="005C5C79">
      <w:pPr>
        <w:pStyle w:val="NoSpacing"/>
        <w:rPr>
          <w:rFonts w:ascii="Times New Roman" w:hAnsi="Times New Roman"/>
          <w:bCs/>
          <w:sz w:val="24"/>
          <w:szCs w:val="24"/>
        </w:rPr>
      </w:pPr>
    </w:p>
    <w:p w14:paraId="02E6CA3B" w14:textId="77777777" w:rsidR="005C5C79" w:rsidRPr="005C5C79" w:rsidRDefault="005C5C79" w:rsidP="005C5C79">
      <w:pPr>
        <w:pStyle w:val="NoSpacing"/>
        <w:ind w:firstLine="720"/>
        <w:rPr>
          <w:rFonts w:ascii="Times New Roman" w:hAnsi="Times New Roman"/>
          <w:bCs/>
          <w:sz w:val="24"/>
          <w:szCs w:val="24"/>
        </w:rPr>
      </w:pPr>
      <w:r w:rsidRPr="005C5C79">
        <w:rPr>
          <w:rFonts w:ascii="Times New Roman" w:hAnsi="Times New Roman"/>
          <w:sz w:val="24"/>
          <w:szCs w:val="24"/>
        </w:rPr>
        <w:t>***</w:t>
      </w:r>
    </w:p>
    <w:p w14:paraId="6AE8F167" w14:textId="77777777" w:rsidR="005C5C79" w:rsidRPr="005C5C79" w:rsidRDefault="005C5C79" w:rsidP="005C5C79">
      <w:pPr>
        <w:pStyle w:val="NoSpacing"/>
        <w:ind w:left="720"/>
        <w:rPr>
          <w:rFonts w:ascii="Times New Roman" w:hAnsi="Times New Roman"/>
          <w:bCs/>
          <w:sz w:val="24"/>
          <w:szCs w:val="24"/>
        </w:rPr>
      </w:pPr>
      <w:r w:rsidRPr="005C5C79">
        <w:rPr>
          <w:rFonts w:ascii="Times New Roman" w:hAnsi="Times New Roman"/>
          <w:sz w:val="24"/>
          <w:szCs w:val="24"/>
        </w:rPr>
        <w:t xml:space="preserve">Turning to the merits, we conclude that the prosecution violated its constitutional obligation to correct false testimony. In </w:t>
      </w:r>
      <w:r w:rsidRPr="005C5C79">
        <w:rPr>
          <w:rFonts w:ascii="Times New Roman" w:hAnsi="Times New Roman"/>
          <w:sz w:val="24"/>
          <w:szCs w:val="24"/>
          <w:u w:val="single"/>
        </w:rPr>
        <w:t>Napue v. Illinois</w:t>
      </w:r>
      <w:r w:rsidRPr="005C5C79">
        <w:rPr>
          <w:rFonts w:ascii="Times New Roman" w:hAnsi="Times New Roman"/>
          <w:sz w:val="24"/>
          <w:szCs w:val="24"/>
        </w:rPr>
        <w:t xml:space="preserve">, [June 15, 1959; </w:t>
      </w:r>
      <w:hyperlink r:id="rId84" w:history="1">
        <w:r w:rsidRPr="005C5C79">
          <w:rPr>
            <w:rStyle w:val="Hyperlink"/>
            <w:rFonts w:ascii="Times New Roman" w:hAnsi="Times New Roman"/>
            <w:sz w:val="24"/>
            <w:szCs w:val="24"/>
          </w:rPr>
          <w:t>https://supreme.justia.com/cases/federal/us/360/264/</w:t>
        </w:r>
      </w:hyperlink>
      <w:r w:rsidRPr="005C5C79">
        <w:rPr>
          <w:rFonts w:ascii="Times New Roman" w:hAnsi="Times New Roman"/>
          <w:sz w:val="24"/>
          <w:szCs w:val="24"/>
        </w:rPr>
        <w:t xml:space="preserve"> ] this Court held that a conviction</w:t>
      </w:r>
    </w:p>
    <w:p w14:paraId="0581F090" w14:textId="77777777" w:rsidR="005C5C79" w:rsidRPr="005C5C79" w:rsidRDefault="005C5C79" w:rsidP="005C5C79">
      <w:pPr>
        <w:pStyle w:val="NoSpacing"/>
        <w:ind w:left="720"/>
        <w:rPr>
          <w:rFonts w:ascii="Times New Roman" w:hAnsi="Times New Roman"/>
          <w:bCs/>
          <w:sz w:val="24"/>
          <w:szCs w:val="24"/>
        </w:rPr>
      </w:pPr>
      <w:r w:rsidRPr="005C5C79">
        <w:rPr>
          <w:rFonts w:ascii="Times New Roman" w:hAnsi="Times New Roman"/>
          <w:sz w:val="24"/>
          <w:szCs w:val="24"/>
        </w:rPr>
        <w:t xml:space="preserve">knowingly ‘obtained through use of false evidence’ violates the Fourteenth Amendment’s Due Process Clause. 360 U. S., at 269. To establish a Napue violation, a defendant must show that the prosecution knowingly solicited false testimony or knowingly allowed it ‘to go uncorrected when it </w:t>
      </w:r>
      <w:proofErr w:type="gramStart"/>
      <w:r w:rsidRPr="005C5C79">
        <w:rPr>
          <w:rFonts w:ascii="Times New Roman" w:hAnsi="Times New Roman"/>
          <w:sz w:val="24"/>
          <w:szCs w:val="24"/>
        </w:rPr>
        <w:t>appear</w:t>
      </w:r>
      <w:proofErr w:type="gramEnd"/>
      <w:r w:rsidRPr="005C5C79">
        <w:rPr>
          <w:rFonts w:ascii="Times New Roman" w:hAnsi="Times New Roman"/>
          <w:sz w:val="24"/>
          <w:szCs w:val="24"/>
        </w:rPr>
        <w:t>[ed].’ Ibid. If the defendant makes that showing, a new trial is warranted so long as the false testimony ‘may have had an effect on the outcome of the trial,” id., at 272—that is, if it ‘in any reasonable likelihood [could] have affected the judgment of the jury.’</w:t>
      </w:r>
    </w:p>
    <w:p w14:paraId="64F67D55" w14:textId="77777777" w:rsidR="005C5C79" w:rsidRPr="005C5C79" w:rsidRDefault="005C5C79" w:rsidP="005C5C79">
      <w:pPr>
        <w:pStyle w:val="NoSpacing"/>
        <w:rPr>
          <w:rFonts w:ascii="Times New Roman" w:hAnsi="Times New Roman"/>
          <w:bCs/>
          <w:sz w:val="24"/>
          <w:szCs w:val="24"/>
        </w:rPr>
      </w:pPr>
    </w:p>
    <w:p w14:paraId="5F33087C" w14:textId="77777777" w:rsidR="005C5C79" w:rsidRPr="005C5C79" w:rsidRDefault="005C5C79" w:rsidP="005C5C79">
      <w:pPr>
        <w:pStyle w:val="NoSpacing"/>
        <w:ind w:firstLine="720"/>
        <w:rPr>
          <w:rFonts w:ascii="Times New Roman" w:hAnsi="Times New Roman"/>
          <w:bCs/>
          <w:sz w:val="24"/>
          <w:szCs w:val="24"/>
        </w:rPr>
      </w:pPr>
      <w:r w:rsidRPr="005C5C79">
        <w:rPr>
          <w:rFonts w:ascii="Times New Roman" w:hAnsi="Times New Roman"/>
          <w:sz w:val="24"/>
          <w:szCs w:val="24"/>
        </w:rPr>
        <w:t>***</w:t>
      </w:r>
    </w:p>
    <w:p w14:paraId="43D95862" w14:textId="77777777" w:rsidR="005C5C79" w:rsidRPr="005C5C79" w:rsidRDefault="005C5C79" w:rsidP="005C5C79">
      <w:pPr>
        <w:pStyle w:val="NoSpacing"/>
        <w:rPr>
          <w:rFonts w:ascii="Times New Roman" w:hAnsi="Times New Roman"/>
          <w:bCs/>
          <w:sz w:val="24"/>
          <w:szCs w:val="24"/>
        </w:rPr>
      </w:pPr>
    </w:p>
    <w:p w14:paraId="0420918E" w14:textId="77777777" w:rsidR="005C5C79" w:rsidRPr="005C5C79" w:rsidRDefault="005C5C79" w:rsidP="005C5C79">
      <w:pPr>
        <w:pStyle w:val="NoSpacing"/>
        <w:ind w:left="720"/>
        <w:rPr>
          <w:rFonts w:ascii="Times New Roman" w:hAnsi="Times New Roman"/>
          <w:bCs/>
          <w:sz w:val="24"/>
          <w:szCs w:val="24"/>
        </w:rPr>
      </w:pPr>
      <w:r w:rsidRPr="005C5C79">
        <w:rPr>
          <w:rFonts w:ascii="Times New Roman" w:hAnsi="Times New Roman"/>
          <w:sz w:val="24"/>
          <w:szCs w:val="24"/>
        </w:rPr>
        <w:t>The evidence likewise establishes that the prosecution knew Sneed’s statements were false as he testified to them.  The prosecution almost certainly had access to Sneed’s medical file, which would have listed both the lithium prescription and the bipolar diagnosis. Among other things, those records would have been provided to the State as part of Sneed’s competency evaluation …and the State opposed Glossip’s discovery request of Sneed’s medical files on its merits….</w:t>
      </w:r>
    </w:p>
    <w:p w14:paraId="707CA1EA" w14:textId="77777777" w:rsidR="005C5C79" w:rsidRPr="005C5C79" w:rsidRDefault="005C5C79" w:rsidP="005C5C79">
      <w:pPr>
        <w:pStyle w:val="NoSpacing"/>
        <w:rPr>
          <w:rFonts w:ascii="Times New Roman" w:hAnsi="Times New Roman"/>
          <w:bCs/>
          <w:sz w:val="24"/>
          <w:szCs w:val="24"/>
        </w:rPr>
      </w:pPr>
    </w:p>
    <w:p w14:paraId="785C8A16" w14:textId="77777777" w:rsidR="005C5C79" w:rsidRPr="005C5C79" w:rsidRDefault="005C5C79" w:rsidP="005C5C79">
      <w:pPr>
        <w:pStyle w:val="NoSpacing"/>
        <w:ind w:firstLine="720"/>
        <w:rPr>
          <w:rFonts w:ascii="Times New Roman" w:hAnsi="Times New Roman"/>
          <w:bCs/>
          <w:sz w:val="24"/>
          <w:szCs w:val="24"/>
        </w:rPr>
      </w:pPr>
      <w:r w:rsidRPr="005C5C79">
        <w:rPr>
          <w:rFonts w:ascii="Times New Roman" w:hAnsi="Times New Roman"/>
          <w:sz w:val="24"/>
          <w:szCs w:val="24"/>
        </w:rPr>
        <w:t>***</w:t>
      </w:r>
    </w:p>
    <w:p w14:paraId="112A6668" w14:textId="77777777" w:rsidR="005C5C79" w:rsidRPr="005C5C79" w:rsidRDefault="005C5C79" w:rsidP="005C5C79">
      <w:pPr>
        <w:pStyle w:val="NoSpacing"/>
        <w:ind w:left="720"/>
        <w:rPr>
          <w:rFonts w:ascii="Times New Roman" w:hAnsi="Times New Roman"/>
          <w:bCs/>
          <w:sz w:val="24"/>
          <w:szCs w:val="24"/>
        </w:rPr>
      </w:pPr>
      <w:r w:rsidRPr="005C5C79">
        <w:rPr>
          <w:rFonts w:ascii="Times New Roman" w:hAnsi="Times New Roman"/>
          <w:sz w:val="24"/>
          <w:szCs w:val="24"/>
        </w:rPr>
        <w:t>For these reasons, we conclude that the prosecution’s failure to correct Sneed’s trial testimony violated the Due Process Clause. Glossip is entitled to a new trial.”</w:t>
      </w:r>
    </w:p>
    <w:p w14:paraId="22A7535D" w14:textId="77777777" w:rsidR="005C5C79" w:rsidRPr="005C5C79" w:rsidRDefault="005C5C79" w:rsidP="005C5C79">
      <w:pPr>
        <w:pStyle w:val="NoSpacing"/>
        <w:rPr>
          <w:rFonts w:ascii="Times New Roman" w:hAnsi="Times New Roman"/>
          <w:bCs/>
          <w:sz w:val="24"/>
          <w:szCs w:val="24"/>
        </w:rPr>
      </w:pPr>
    </w:p>
    <w:p w14:paraId="0835D761" w14:textId="77777777" w:rsidR="005C5C79" w:rsidRPr="005C5C79" w:rsidRDefault="005C5C79" w:rsidP="00687306">
      <w:pPr>
        <w:pStyle w:val="NoSpacing"/>
        <w:ind w:left="720"/>
        <w:rPr>
          <w:rFonts w:ascii="Times New Roman" w:hAnsi="Times New Roman"/>
          <w:b/>
          <w:sz w:val="24"/>
          <w:szCs w:val="24"/>
        </w:rPr>
      </w:pPr>
      <w:r w:rsidRPr="005C5C79">
        <w:rPr>
          <w:rFonts w:ascii="Times New Roman" w:hAnsi="Times New Roman"/>
          <w:b/>
          <w:sz w:val="24"/>
          <w:szCs w:val="24"/>
        </w:rPr>
        <w:t xml:space="preserve">Legal Lesson Learned: Prosecutors must correct false testimony.  In arson and other criminal cases, if fire or EMS learn of incorrect testimony by prosecution  witness, immediately inform the prosecutor so it can be disclosed to the defense and the Court.  </w:t>
      </w:r>
    </w:p>
    <w:p w14:paraId="14944762" w14:textId="77777777" w:rsidR="005C5C79" w:rsidRPr="005C5C79" w:rsidRDefault="005C5C79" w:rsidP="005C5C79">
      <w:pPr>
        <w:pStyle w:val="NoSpacing"/>
        <w:rPr>
          <w:rFonts w:ascii="Times New Roman" w:hAnsi="Times New Roman"/>
          <w:bCs/>
          <w:sz w:val="24"/>
          <w:szCs w:val="24"/>
        </w:rPr>
      </w:pPr>
    </w:p>
    <w:p w14:paraId="56E16E5F" w14:textId="77777777" w:rsidR="00DA55B0" w:rsidRDefault="00DA55B0" w:rsidP="00B86628">
      <w:pPr>
        <w:pStyle w:val="NoSpacing"/>
        <w:rPr>
          <w:rFonts w:ascii="Arial Black" w:hAnsi="Arial Black"/>
          <w:sz w:val="24"/>
          <w:szCs w:val="24"/>
        </w:rPr>
      </w:pPr>
    </w:p>
    <w:p w14:paraId="633EF65D" w14:textId="77777777" w:rsidR="00DA55B0" w:rsidRDefault="00DA55B0" w:rsidP="00B86628">
      <w:pPr>
        <w:pStyle w:val="NoSpacing"/>
        <w:rPr>
          <w:rFonts w:ascii="Arial Black" w:hAnsi="Arial Black"/>
          <w:sz w:val="24"/>
          <w:szCs w:val="24"/>
        </w:rPr>
      </w:pPr>
    </w:p>
    <w:p w14:paraId="1553FDAE" w14:textId="1427812F" w:rsidR="00C11ACF" w:rsidRDefault="00453E02" w:rsidP="00B86628">
      <w:pPr>
        <w:pStyle w:val="NoSpacing"/>
        <w:rPr>
          <w:rFonts w:ascii="Arial Black" w:hAnsi="Arial Black"/>
          <w:sz w:val="24"/>
          <w:szCs w:val="24"/>
        </w:rPr>
      </w:pPr>
      <w:r>
        <w:rPr>
          <w:rFonts w:ascii="Arial Black" w:hAnsi="Arial Black"/>
          <w:sz w:val="24"/>
          <w:szCs w:val="24"/>
        </w:rPr>
        <w:t>1-</w:t>
      </w:r>
      <w:r w:rsidR="00C11ACF">
        <w:rPr>
          <w:rFonts w:ascii="Arial Black" w:hAnsi="Arial Black"/>
          <w:sz w:val="24"/>
          <w:szCs w:val="24"/>
        </w:rPr>
        <w:t>173</w:t>
      </w:r>
    </w:p>
    <w:p w14:paraId="21E9F0B3" w14:textId="77777777" w:rsidR="00C11ACF" w:rsidRDefault="00C11ACF" w:rsidP="00B86628">
      <w:pPr>
        <w:pStyle w:val="NoSpacing"/>
        <w:rPr>
          <w:rFonts w:ascii="Arial Black" w:hAnsi="Arial Black"/>
          <w:sz w:val="24"/>
          <w:szCs w:val="24"/>
        </w:rPr>
      </w:pPr>
    </w:p>
    <w:p w14:paraId="2E8AC6FB" w14:textId="1602A3F4" w:rsidR="008E1AE0" w:rsidRPr="00DA55B0" w:rsidRDefault="008E1AE0" w:rsidP="008E1AE0">
      <w:pPr>
        <w:rPr>
          <w:rFonts w:ascii="Arial Black" w:hAnsi="Arial Black"/>
          <w:sz w:val="28"/>
          <w:szCs w:val="28"/>
        </w:rPr>
      </w:pPr>
      <w:r w:rsidRPr="000B7F2C">
        <w:rPr>
          <w:rFonts w:ascii="Arial Black" w:hAnsi="Arial Black"/>
          <w:sz w:val="28"/>
          <w:szCs w:val="28"/>
        </w:rPr>
        <w:t>AR: LOST FOREST – 3 SIGNAL FIRES – NO “NECESSITY DEF.”</w:t>
      </w:r>
    </w:p>
    <w:p w14:paraId="1B743FBD" w14:textId="3AD8E9B6" w:rsidR="008E1AE0" w:rsidRPr="00DA55B0" w:rsidRDefault="008E1AE0" w:rsidP="008E1AE0">
      <w:pPr>
        <w:rPr>
          <w:rFonts w:ascii="Times New Roman" w:hAnsi="Times New Roman"/>
          <w:sz w:val="24"/>
          <w:szCs w:val="24"/>
        </w:rPr>
      </w:pPr>
      <w:r w:rsidRPr="00DA55B0">
        <w:rPr>
          <w:rFonts w:ascii="Times New Roman" w:hAnsi="Times New Roman"/>
          <w:sz w:val="24"/>
          <w:szCs w:val="24"/>
        </w:rPr>
        <w:t xml:space="preserve">On Feb. 24, 2025, in </w:t>
      </w:r>
      <w:r w:rsidRPr="00DA55B0">
        <w:rPr>
          <w:rFonts w:ascii="Times New Roman" w:hAnsi="Times New Roman"/>
          <w:sz w:val="24"/>
          <w:szCs w:val="24"/>
          <w:u w:val="single"/>
        </w:rPr>
        <w:t>United States of America v. Philip Alejandro Powers, III</w:t>
      </w:r>
      <w:r w:rsidRPr="00DA55B0">
        <w:rPr>
          <w:rFonts w:ascii="Times New Roman" w:hAnsi="Times New Roman"/>
          <w:sz w:val="24"/>
          <w:szCs w:val="24"/>
        </w:rPr>
        <w:t>, the U.S. Court of Appeals for the 9</w:t>
      </w:r>
      <w:r w:rsidRPr="00DA55B0">
        <w:rPr>
          <w:rFonts w:ascii="Times New Roman" w:hAnsi="Times New Roman"/>
          <w:sz w:val="24"/>
          <w:szCs w:val="24"/>
          <w:vertAlign w:val="superscript"/>
        </w:rPr>
        <w:t>th</w:t>
      </w:r>
      <w:r w:rsidRPr="00DA55B0">
        <w:rPr>
          <w:rFonts w:ascii="Times New Roman" w:hAnsi="Times New Roman"/>
          <w:sz w:val="24"/>
          <w:szCs w:val="24"/>
        </w:rPr>
        <w:t xml:space="preserve"> Circuit (San Francisco) held (3 to 0) that the U.S. Magistrate Judge who presided at two-day bench trial [no jury] properly rejected the “necessity defense” and found the defendant guilty of seven misdemeanor counts of leaving fires unattended, sentenced him to supervised probation, and ordered him to pay restitution to the U.S. Forest Service of $293,413.71 in recoverable fire suppression costs. </w:t>
      </w:r>
      <w:hyperlink r:id="rId85" w:history="1">
        <w:r w:rsidRPr="00DA55B0">
          <w:rPr>
            <w:rStyle w:val="Hyperlink"/>
            <w:rFonts w:ascii="Times New Roman" w:hAnsi="Times New Roman"/>
            <w:sz w:val="24"/>
            <w:szCs w:val="24"/>
          </w:rPr>
          <w:t>https://cdn.ca9.uscourts.gov/datastore/opinions/2025/02/24/23-2218.pdf</w:t>
        </w:r>
      </w:hyperlink>
      <w:r w:rsidRPr="00DA55B0">
        <w:rPr>
          <w:rFonts w:ascii="Times New Roman" w:hAnsi="Times New Roman"/>
          <w:sz w:val="24"/>
          <w:szCs w:val="24"/>
        </w:rPr>
        <w:t xml:space="preserve"> </w:t>
      </w:r>
    </w:p>
    <w:p w14:paraId="55BDF0A1" w14:textId="77777777" w:rsidR="008E1AE0" w:rsidRPr="00DA55B0" w:rsidRDefault="008E1AE0" w:rsidP="008E1AE0">
      <w:pPr>
        <w:rPr>
          <w:rFonts w:ascii="Times New Roman" w:hAnsi="Times New Roman"/>
          <w:sz w:val="24"/>
          <w:szCs w:val="24"/>
        </w:rPr>
      </w:pPr>
      <w:r w:rsidRPr="00DA55B0">
        <w:rPr>
          <w:rFonts w:ascii="Times New Roman" w:hAnsi="Times New Roman"/>
          <w:sz w:val="24"/>
          <w:szCs w:val="24"/>
        </w:rPr>
        <w:t>The Court wrote:</w:t>
      </w:r>
    </w:p>
    <w:p w14:paraId="72C52874"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“Because Powers’s actions in setting the fires were objectively unreasonable, and because he was not facing imminent harm when he set the Taylor Fire, he failed to meet the requirements of the necessity defense. Accordingly, we affirm.</w:t>
      </w:r>
    </w:p>
    <w:p w14:paraId="10ADCD6D" w14:textId="77777777" w:rsidR="008E1AE0" w:rsidRPr="00DA55B0" w:rsidRDefault="008E1AE0" w:rsidP="008E1AE0">
      <w:pPr>
        <w:rPr>
          <w:rFonts w:ascii="Times New Roman" w:hAnsi="Times New Roman"/>
          <w:sz w:val="24"/>
          <w:szCs w:val="24"/>
        </w:rPr>
      </w:pPr>
    </w:p>
    <w:p w14:paraId="76AE75A2" w14:textId="77777777" w:rsidR="008E1AE0" w:rsidRPr="00DA55B0" w:rsidRDefault="008E1AE0" w:rsidP="008E1AE0">
      <w:pPr>
        <w:ind w:firstLine="720"/>
        <w:rPr>
          <w:rFonts w:ascii="Times New Roman" w:hAnsi="Times New Roman"/>
          <w:sz w:val="24"/>
          <w:szCs w:val="24"/>
        </w:rPr>
      </w:pPr>
      <w:r w:rsidRPr="00DA55B0">
        <w:rPr>
          <w:rFonts w:ascii="Times New Roman" w:hAnsi="Times New Roman"/>
          <w:sz w:val="24"/>
          <w:szCs w:val="24"/>
        </w:rPr>
        <w:t>***</w:t>
      </w:r>
    </w:p>
    <w:p w14:paraId="1DE3BA0B"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 xml:space="preserve">In May 2018, Powers began an approximately nineteen-mile hike on the Taylor Cabin Loop trail near Sedona, Arizona…. After losing the trail while hiking in northern Arizona, [the defendant] deliberately set three fires in the Prescott and Coconino National Forests…. He tried to use his phone to call for  help, but he had no signal. He decided to stay at the [Taylor] cabin overnight. </w:t>
      </w:r>
    </w:p>
    <w:p w14:paraId="44650AF1" w14:textId="77777777" w:rsidR="008E1AE0" w:rsidRPr="00DA55B0" w:rsidRDefault="008E1AE0" w:rsidP="008E1AE0">
      <w:pPr>
        <w:ind w:firstLine="720"/>
        <w:rPr>
          <w:rFonts w:ascii="Times New Roman" w:hAnsi="Times New Roman"/>
          <w:sz w:val="24"/>
          <w:szCs w:val="24"/>
        </w:rPr>
      </w:pPr>
      <w:r w:rsidRPr="00DA55B0">
        <w:rPr>
          <w:rFonts w:ascii="Times New Roman" w:hAnsi="Times New Roman"/>
          <w:sz w:val="24"/>
          <w:szCs w:val="24"/>
        </w:rPr>
        <w:t>***</w:t>
      </w:r>
    </w:p>
    <w:p w14:paraId="73619C4F"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[TAYLOR FIRE] Around 9:00 p.m., Powers decided to set a signal fire. There was a fire pit next to Taylor Cabin, but Powers believed that a fire in the pit would not create enough smoke to be noticed by passing planes. Thus, he ignited a nearby patch of ‘dead grass mixed in with vegetation’ that was ‘right next to [the] fire pit.’ This first fire, the Taylor Fire, spread over about a tenth of an acre, burning grass, brush, and small trees, but did not attract any rescuers.</w:t>
      </w:r>
    </w:p>
    <w:p w14:paraId="02B67DF6" w14:textId="77777777" w:rsidR="008E1AE0" w:rsidRPr="00DA55B0" w:rsidRDefault="008E1AE0" w:rsidP="008E1AE0">
      <w:pPr>
        <w:ind w:firstLine="720"/>
        <w:rPr>
          <w:rFonts w:ascii="Times New Roman" w:hAnsi="Times New Roman"/>
          <w:sz w:val="24"/>
          <w:szCs w:val="24"/>
        </w:rPr>
      </w:pPr>
      <w:r w:rsidRPr="00DA55B0">
        <w:rPr>
          <w:rFonts w:ascii="Times New Roman" w:hAnsi="Times New Roman"/>
          <w:sz w:val="24"/>
          <w:szCs w:val="24"/>
        </w:rPr>
        <w:t>***</w:t>
      </w:r>
    </w:p>
    <w:p w14:paraId="2E0AF234"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 xml:space="preserve">[SYCAMORE FIRE] After hiking about three miles away from Taylor Cabin [100 degrees], Powers decided to set another fire. He ‘tried to get to a spot where [he] would be easily visible,’ thinking that a higher ‘vantage point’ would allow the smoke to be ‘easily seen from the canyon.’ After searching for ‘dead brush that would easily ignite,’ ‘stay lit’ and </w:t>
      </w:r>
      <w:proofErr w:type="spellStart"/>
      <w:r w:rsidRPr="00DA55B0">
        <w:rPr>
          <w:rFonts w:ascii="Times New Roman" w:hAnsi="Times New Roman"/>
          <w:sz w:val="24"/>
          <w:szCs w:val="24"/>
        </w:rPr>
        <w:t>‘cause</w:t>
      </w:r>
      <w:proofErr w:type="spellEnd"/>
      <w:r w:rsidRPr="00DA55B0">
        <w:rPr>
          <w:rFonts w:ascii="Times New Roman" w:hAnsi="Times New Roman"/>
          <w:sz w:val="24"/>
          <w:szCs w:val="24"/>
        </w:rPr>
        <w:t xml:space="preserve"> smoke,’ Powers ignited a dead tree. He did not build a fire ring, dig a fire pit or remove any flammable materials from the area before starting the fire.</w:t>
      </w:r>
    </w:p>
    <w:p w14:paraId="74FA7255"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 xml:space="preserve">The Sycamore Fire spread uncontrolled over 230 acres of forest, burning timber, shrubs, and </w:t>
      </w:r>
      <w:proofErr w:type="gramStart"/>
      <w:r w:rsidRPr="00DA55B0">
        <w:rPr>
          <w:rFonts w:ascii="Times New Roman" w:hAnsi="Times New Roman"/>
          <w:sz w:val="24"/>
          <w:szCs w:val="24"/>
        </w:rPr>
        <w:t>grasses</w:t>
      </w:r>
      <w:proofErr w:type="gramEnd"/>
      <w:r w:rsidRPr="00DA55B0">
        <w:rPr>
          <w:rFonts w:ascii="Times New Roman" w:hAnsi="Times New Roman"/>
          <w:sz w:val="24"/>
          <w:szCs w:val="24"/>
        </w:rPr>
        <w:t xml:space="preserve">, and threatening Flagstaff, Arizona and the nearby watershed. Firefighters contained the fire after approximately nine </w:t>
      </w:r>
      <w:proofErr w:type="gramStart"/>
      <w:r w:rsidRPr="00DA55B0">
        <w:rPr>
          <w:rFonts w:ascii="Times New Roman" w:hAnsi="Times New Roman"/>
          <w:sz w:val="24"/>
          <w:szCs w:val="24"/>
        </w:rPr>
        <w:t>day</w:t>
      </w:r>
      <w:proofErr w:type="gramEnd"/>
      <w:r w:rsidRPr="00DA55B0">
        <w:rPr>
          <w:rFonts w:ascii="Times New Roman" w:hAnsi="Times New Roman"/>
          <w:sz w:val="24"/>
          <w:szCs w:val="24"/>
        </w:rPr>
        <w:t xml:space="preserve"> and the USFS incurred $293,413.71 in recoverable fire suppression costs.</w:t>
      </w:r>
    </w:p>
    <w:p w14:paraId="4701159F" w14:textId="77777777" w:rsidR="008E1AE0" w:rsidRPr="00DA55B0" w:rsidRDefault="008E1AE0" w:rsidP="008E1AE0">
      <w:pPr>
        <w:ind w:left="720"/>
        <w:rPr>
          <w:rFonts w:ascii="Times New Roman" w:hAnsi="Times New Roman"/>
          <w:b/>
          <w:bCs/>
          <w:sz w:val="24"/>
          <w:szCs w:val="24"/>
        </w:rPr>
      </w:pPr>
      <w:r w:rsidRPr="00DA55B0">
        <w:rPr>
          <w:rFonts w:ascii="Times New Roman" w:hAnsi="Times New Roman"/>
          <w:sz w:val="24"/>
          <w:szCs w:val="24"/>
        </w:rPr>
        <w:t xml:space="preserve">By choosing not to take any precautions and to set the Sycamore Fire in an unnecessarily careless manner (and then abandon it, unextinguished), Powers acted unreasonably…. Because Powers has not shown that he was facing imminent harm when he set the Taylor Fire, and because the </w:t>
      </w:r>
      <w:proofErr w:type="gramStart"/>
      <w:r w:rsidRPr="00DA55B0">
        <w:rPr>
          <w:rFonts w:ascii="Times New Roman" w:hAnsi="Times New Roman"/>
          <w:sz w:val="24"/>
          <w:szCs w:val="24"/>
        </w:rPr>
        <w:t>manner in which</w:t>
      </w:r>
      <w:proofErr w:type="gramEnd"/>
      <w:r w:rsidRPr="00DA55B0">
        <w:rPr>
          <w:rFonts w:ascii="Times New Roman" w:hAnsi="Times New Roman"/>
          <w:sz w:val="24"/>
          <w:szCs w:val="24"/>
        </w:rPr>
        <w:t xml:space="preserve"> he set the fire was objectively unreasonable, his necessity defense as to Counts 2 and 5 fails.</w:t>
      </w:r>
    </w:p>
    <w:p w14:paraId="0FA76096" w14:textId="77777777" w:rsidR="008E1AE0" w:rsidRPr="00DA55B0" w:rsidRDefault="008E1AE0" w:rsidP="008E1AE0">
      <w:pPr>
        <w:rPr>
          <w:rFonts w:ascii="Times New Roman" w:hAnsi="Times New Roman"/>
          <w:sz w:val="24"/>
          <w:szCs w:val="24"/>
        </w:rPr>
      </w:pPr>
    </w:p>
    <w:p w14:paraId="23311C95" w14:textId="77777777" w:rsidR="008E1AE0" w:rsidRPr="00DA55B0" w:rsidRDefault="008E1AE0" w:rsidP="008E1AE0">
      <w:pPr>
        <w:ind w:firstLine="720"/>
        <w:rPr>
          <w:rFonts w:ascii="Times New Roman" w:hAnsi="Times New Roman"/>
          <w:sz w:val="24"/>
          <w:szCs w:val="24"/>
        </w:rPr>
      </w:pPr>
      <w:r w:rsidRPr="00DA55B0">
        <w:rPr>
          <w:rFonts w:ascii="Times New Roman" w:hAnsi="Times New Roman"/>
          <w:sz w:val="24"/>
          <w:szCs w:val="24"/>
        </w:rPr>
        <w:t>***</w:t>
      </w:r>
    </w:p>
    <w:p w14:paraId="2E223B8C"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 xml:space="preserve">[SYCAMORE 2 FIRE] About thirty minutes after leaving the Sycamore Fire, Powers saw ‘a low-flying helicopter,’ which ‘looped around’ and left. The helicopter returned approximately thirty minutes later, and Powers began doing ‘everything [he] </w:t>
      </w:r>
      <w:proofErr w:type="gramStart"/>
      <w:r w:rsidRPr="00DA55B0">
        <w:rPr>
          <w:rFonts w:ascii="Times New Roman" w:hAnsi="Times New Roman"/>
          <w:sz w:val="24"/>
          <w:szCs w:val="24"/>
        </w:rPr>
        <w:t>could to</w:t>
      </w:r>
      <w:proofErr w:type="gramEnd"/>
      <w:r w:rsidRPr="00DA55B0">
        <w:rPr>
          <w:rFonts w:ascii="Times New Roman" w:hAnsi="Times New Roman"/>
          <w:sz w:val="24"/>
          <w:szCs w:val="24"/>
        </w:rPr>
        <w:t xml:space="preserve"> get its attention.’… He also ignited a third signal fire, the Sycamore 2 Fire, which spread to a three-foot circle before dying out. As with the other two fires, Powers did not start the Sycamore 2 Fire in a fire ring or pit, nor did he clear flammable materials from the area…. In sum, the undisputed facts do not show that Powers acted reasonably to preserve his life when he started the Sycamore 2 Fire.  </w:t>
      </w:r>
    </w:p>
    <w:p w14:paraId="72534545" w14:textId="77777777" w:rsidR="008E1AE0" w:rsidRPr="00DA55B0" w:rsidRDefault="008E1AE0" w:rsidP="008E1AE0">
      <w:pPr>
        <w:ind w:firstLine="720"/>
        <w:rPr>
          <w:rFonts w:ascii="Times New Roman" w:hAnsi="Times New Roman"/>
          <w:sz w:val="24"/>
          <w:szCs w:val="24"/>
        </w:rPr>
      </w:pPr>
      <w:r w:rsidRPr="00DA55B0">
        <w:rPr>
          <w:rFonts w:ascii="Times New Roman" w:hAnsi="Times New Roman"/>
          <w:sz w:val="24"/>
          <w:szCs w:val="24"/>
        </w:rPr>
        <w:t>***</w:t>
      </w:r>
    </w:p>
    <w:p w14:paraId="7F9558FB" w14:textId="77777777" w:rsidR="008E1AE0" w:rsidRPr="00DA55B0" w:rsidRDefault="008E1AE0" w:rsidP="008E1AE0">
      <w:pPr>
        <w:ind w:left="720"/>
        <w:rPr>
          <w:rFonts w:ascii="Times New Roman" w:hAnsi="Times New Roman"/>
          <w:sz w:val="24"/>
          <w:szCs w:val="24"/>
        </w:rPr>
      </w:pPr>
      <w:r w:rsidRPr="00DA55B0">
        <w:rPr>
          <w:rFonts w:ascii="Times New Roman" w:hAnsi="Times New Roman"/>
          <w:sz w:val="24"/>
          <w:szCs w:val="24"/>
        </w:rPr>
        <w:t xml:space="preserve">The helicopter belonged to USFS, which had received reports of </w:t>
      </w:r>
      <w:proofErr w:type="gramStart"/>
      <w:r w:rsidRPr="00DA55B0">
        <w:rPr>
          <w:rFonts w:ascii="Times New Roman" w:hAnsi="Times New Roman"/>
          <w:sz w:val="24"/>
          <w:szCs w:val="24"/>
        </w:rPr>
        <w:t>a wildfire</w:t>
      </w:r>
      <w:proofErr w:type="gramEnd"/>
      <w:r w:rsidRPr="00DA55B0">
        <w:rPr>
          <w:rFonts w:ascii="Times New Roman" w:hAnsi="Times New Roman"/>
          <w:sz w:val="24"/>
          <w:szCs w:val="24"/>
        </w:rPr>
        <w:t>. Unbeknownst to Powers, the Sycamore Fire had not died out—flying in, firefighters saw a smoke column and twenty to thirty acres of burning landscape. After landing, firefighters spotted Powers lying under a tree. He was able to walk to the helicopter with the assistance of two firefighters. The helicopter crew gave him water and flew him to Sedona where he was put in an ambulance and given intravenous (IV) fluids. While in the ambulance, Powers admitted to setting the fires.”</w:t>
      </w:r>
    </w:p>
    <w:p w14:paraId="1F838B33" w14:textId="77777777" w:rsidR="008E1AE0" w:rsidRPr="00DA55B0" w:rsidRDefault="008E1AE0" w:rsidP="008E1AE0">
      <w:pPr>
        <w:rPr>
          <w:rFonts w:ascii="Times New Roman" w:hAnsi="Times New Roman"/>
          <w:b/>
          <w:bCs/>
          <w:sz w:val="24"/>
          <w:szCs w:val="24"/>
        </w:rPr>
      </w:pPr>
      <w:r w:rsidRPr="00DA55B0">
        <w:rPr>
          <w:rFonts w:ascii="Times New Roman" w:hAnsi="Times New Roman"/>
          <w:b/>
          <w:sz w:val="24"/>
          <w:szCs w:val="24"/>
        </w:rPr>
        <w:t xml:space="preserve">Legal Lesson Learned: If you start a “signal fire” need to build fire ring or other method to contain it and stay with it.  </w:t>
      </w:r>
    </w:p>
    <w:p w14:paraId="147FDA4E" w14:textId="77777777" w:rsidR="008E1AE0" w:rsidRPr="00DA55B0" w:rsidRDefault="008E1AE0" w:rsidP="008E1AE0">
      <w:pPr>
        <w:ind w:firstLine="720"/>
        <w:rPr>
          <w:rFonts w:ascii="Times New Roman" w:hAnsi="Times New Roman"/>
          <w:b/>
          <w:bCs/>
          <w:sz w:val="24"/>
          <w:szCs w:val="24"/>
        </w:rPr>
      </w:pPr>
      <w:r w:rsidRPr="00DA55B0">
        <w:rPr>
          <w:rFonts w:ascii="Times New Roman" w:hAnsi="Times New Roman"/>
          <w:sz w:val="24"/>
          <w:szCs w:val="24"/>
        </w:rPr>
        <w:t>Note: The defendant is lucky to be alive; next time purchase a GPS handheld phone</w:t>
      </w:r>
      <w:r w:rsidRPr="00DA55B0">
        <w:rPr>
          <w:rFonts w:ascii="Times New Roman" w:hAnsi="Times New Roman"/>
          <w:b/>
          <w:sz w:val="24"/>
          <w:szCs w:val="24"/>
        </w:rPr>
        <w:t xml:space="preserve">.  </w:t>
      </w:r>
    </w:p>
    <w:p w14:paraId="42422ABA" w14:textId="07E68D59" w:rsidR="00C11ACF" w:rsidRPr="00DA55B0" w:rsidRDefault="008E1AE0" w:rsidP="00DA55B0">
      <w:pPr>
        <w:pStyle w:val="NoSpacing"/>
        <w:ind w:left="720"/>
        <w:rPr>
          <w:rFonts w:ascii="Times New Roman" w:hAnsi="Times New Roman"/>
          <w:sz w:val="24"/>
          <w:szCs w:val="24"/>
        </w:rPr>
      </w:pPr>
      <w:r w:rsidRPr="00DA55B0">
        <w:rPr>
          <w:rFonts w:ascii="Times New Roman" w:hAnsi="Times New Roman"/>
          <w:sz w:val="24"/>
          <w:szCs w:val="24"/>
        </w:rPr>
        <w:t>“Durable devices that go wherever you go and track your precise location along the way. Go farther than ever before when hiking and finding adventure.”</w:t>
      </w:r>
      <w:r w:rsidRPr="00DA55B0">
        <w:rPr>
          <w:rFonts w:ascii="Times New Roman" w:hAnsi="Times New Roman"/>
          <w:b/>
          <w:sz w:val="24"/>
          <w:szCs w:val="24"/>
        </w:rPr>
        <w:t xml:space="preserve"> </w:t>
      </w:r>
      <w:hyperlink r:id="rId86" w:history="1">
        <w:r w:rsidRPr="00DA55B0">
          <w:rPr>
            <w:rStyle w:val="Hyperlink"/>
            <w:rFonts w:ascii="Times New Roman" w:hAnsi="Times New Roman"/>
            <w:b/>
            <w:sz w:val="24"/>
            <w:szCs w:val="24"/>
          </w:rPr>
          <w:t>https://www.garmin.com/en-US/c/outdoor-recreation/handheld-hiking-gps/?gad_source=1&amp;gclid=Cj0KCQiA_Yq-BhC9ARIsAA6fbAg8Hzg7tt3LxTDrvBKQ6Iq20PiW7TlBW7J0osrwHwlbOwcCFzY0rTcaAu65EALw_wcB</w:t>
        </w:r>
      </w:hyperlink>
    </w:p>
    <w:p w14:paraId="3CAF4C5F" w14:textId="77777777" w:rsidR="00C11ACF" w:rsidRPr="00DA55B0" w:rsidRDefault="00C11ACF" w:rsidP="00B86628">
      <w:pPr>
        <w:pStyle w:val="NoSpacing"/>
        <w:rPr>
          <w:rFonts w:ascii="Times New Roman" w:hAnsi="Times New Roman"/>
          <w:sz w:val="24"/>
          <w:szCs w:val="24"/>
        </w:rPr>
      </w:pPr>
    </w:p>
    <w:p w14:paraId="01972C8F" w14:textId="77777777" w:rsidR="00C11ACF" w:rsidRDefault="00C11ACF" w:rsidP="00B86628">
      <w:pPr>
        <w:pStyle w:val="NoSpacing"/>
        <w:rPr>
          <w:rFonts w:ascii="Arial Black" w:hAnsi="Arial Black"/>
          <w:sz w:val="24"/>
          <w:szCs w:val="24"/>
        </w:rPr>
      </w:pPr>
    </w:p>
    <w:p w14:paraId="513F561E" w14:textId="67C8133E" w:rsidR="00AE3DBB" w:rsidRDefault="00C11ACF" w:rsidP="00B86628">
      <w:pPr>
        <w:pStyle w:val="NoSpacing"/>
        <w:rPr>
          <w:rFonts w:ascii="Arial Black" w:hAnsi="Arial Black"/>
          <w:sz w:val="24"/>
          <w:szCs w:val="24"/>
        </w:rPr>
      </w:pPr>
      <w:r>
        <w:rPr>
          <w:rFonts w:ascii="Arial Black" w:hAnsi="Arial Black"/>
          <w:sz w:val="24"/>
          <w:szCs w:val="24"/>
        </w:rPr>
        <w:t>1-172</w:t>
      </w:r>
    </w:p>
    <w:p w14:paraId="1424637B" w14:textId="77777777" w:rsidR="005C5C79" w:rsidRDefault="005C5C79" w:rsidP="00C11ACF">
      <w:pPr>
        <w:rPr>
          <w:rFonts w:ascii="Arial Black" w:hAnsi="Arial Black"/>
          <w:sz w:val="28"/>
          <w:szCs w:val="28"/>
        </w:rPr>
      </w:pPr>
    </w:p>
    <w:p w14:paraId="5F6FACA1" w14:textId="7001E7BE" w:rsidR="00C11ACF" w:rsidRPr="000B7F2C" w:rsidRDefault="00C11ACF" w:rsidP="00C11ACF">
      <w:pPr>
        <w:rPr>
          <w:rFonts w:ascii="Arial Black" w:hAnsi="Arial Black"/>
          <w:sz w:val="28"/>
          <w:szCs w:val="28"/>
        </w:rPr>
      </w:pPr>
      <w:r w:rsidRPr="000B7F2C">
        <w:rPr>
          <w:rFonts w:ascii="Arial Black" w:hAnsi="Arial Black"/>
          <w:sz w:val="28"/>
          <w:szCs w:val="28"/>
        </w:rPr>
        <w:t xml:space="preserve">OR: </w:t>
      </w:r>
      <w:r>
        <w:rPr>
          <w:rFonts w:ascii="Arial Black" w:hAnsi="Arial Black"/>
          <w:sz w:val="28"/>
          <w:szCs w:val="28"/>
        </w:rPr>
        <w:t xml:space="preserve">FF SUED BY COUNCILMEN - </w:t>
      </w:r>
      <w:r w:rsidRPr="000B7F2C">
        <w:rPr>
          <w:rFonts w:ascii="Arial Black" w:hAnsi="Arial Black"/>
          <w:sz w:val="28"/>
          <w:szCs w:val="28"/>
        </w:rPr>
        <w:t xml:space="preserve">RECALL – </w:t>
      </w:r>
      <w:r w:rsidRPr="004F16B9">
        <w:rPr>
          <w:rFonts w:ascii="Arial Black" w:hAnsi="Arial Black"/>
          <w:sz w:val="28"/>
          <w:szCs w:val="28"/>
        </w:rPr>
        <w:t>ANTI-SLAPP</w:t>
      </w:r>
      <w:r>
        <w:rPr>
          <w:rFonts w:ascii="Arial Black" w:hAnsi="Arial Black"/>
          <w:sz w:val="28"/>
          <w:szCs w:val="28"/>
        </w:rPr>
        <w:t xml:space="preserve"> LAW</w:t>
      </w:r>
    </w:p>
    <w:p w14:paraId="5A3E78A6" w14:textId="77777777" w:rsidR="00C11ACF" w:rsidRPr="00C11ACF" w:rsidRDefault="00C11ACF" w:rsidP="00C11ACF">
      <w:pPr>
        <w:rPr>
          <w:rFonts w:ascii="Times New Roman" w:hAnsi="Times New Roman"/>
          <w:sz w:val="24"/>
          <w:szCs w:val="24"/>
        </w:rPr>
      </w:pPr>
      <w:r w:rsidRPr="00C11ACF">
        <w:rPr>
          <w:rFonts w:ascii="Times New Roman" w:hAnsi="Times New Roman"/>
          <w:sz w:val="24"/>
          <w:szCs w:val="24"/>
        </w:rPr>
        <w:t xml:space="preserve">On Jan. 29, 2025, in </w:t>
      </w:r>
      <w:r w:rsidRPr="00C11ACF">
        <w:rPr>
          <w:rFonts w:ascii="Times New Roman" w:hAnsi="Times New Roman"/>
          <w:sz w:val="24"/>
          <w:szCs w:val="24"/>
          <w:u w:val="single"/>
        </w:rPr>
        <w:t>Johnny Waggoner, Sr., Joanne Dixon; Kerry McQuisten v. Casey L. Husk, et al</w:t>
      </w:r>
      <w:r w:rsidRPr="00C11ACF">
        <w:rPr>
          <w:rFonts w:ascii="Times New Roman" w:hAnsi="Times New Roman"/>
          <w:sz w:val="24"/>
          <w:szCs w:val="24"/>
        </w:rPr>
        <w:t xml:space="preserve">., the Court of Appeals of Oregon held (3 to 0) that the three former members of City Council may proceed with their lawsuit under the Oregon Corrupt Practices Act against Casey Husk, a former Lieutenant with the fire department.  He filed recall petitions against 6 of the 7 </w:t>
      </w:r>
      <w:proofErr w:type="gramStart"/>
      <w:r w:rsidRPr="00C11ACF">
        <w:rPr>
          <w:rFonts w:ascii="Times New Roman" w:hAnsi="Times New Roman"/>
          <w:sz w:val="24"/>
          <w:szCs w:val="24"/>
        </w:rPr>
        <w:t>member</w:t>
      </w:r>
      <w:proofErr w:type="gramEnd"/>
      <w:r w:rsidRPr="00C11ACF">
        <w:rPr>
          <w:rFonts w:ascii="Times New Roman" w:hAnsi="Times New Roman"/>
          <w:sz w:val="24"/>
          <w:szCs w:val="24"/>
        </w:rPr>
        <w:t xml:space="preserve"> of City Council, including the 3 plaintiffs, claiming they voted to “dissolve” the fire department. The city council in April 2022 voted to have County EMS take over all EMS runs in the city; the department was not dissolved (staffing went from 15 career firefighters to 9).  Oregon, like many states, has an “Anti-SLAPP law” [strategic lawsuits against public participation] that protects press and citizens from lawsuits by public officials for alleged misconduct, but that protection does not protect against a knowingly false statement.  The lawsuit by the former Council members may now proceed </w:t>
      </w:r>
      <w:proofErr w:type="gramStart"/>
      <w:r w:rsidRPr="00C11ACF">
        <w:rPr>
          <w:rFonts w:ascii="Times New Roman" w:hAnsi="Times New Roman"/>
          <w:sz w:val="24"/>
          <w:szCs w:val="24"/>
        </w:rPr>
        <w:t>to</w:t>
      </w:r>
      <w:proofErr w:type="gramEnd"/>
      <w:r w:rsidRPr="00C11ACF">
        <w:rPr>
          <w:rFonts w:ascii="Times New Roman" w:hAnsi="Times New Roman"/>
          <w:sz w:val="24"/>
          <w:szCs w:val="24"/>
        </w:rPr>
        <w:t xml:space="preserve"> pre-trial discovery. </w:t>
      </w:r>
      <w:hyperlink r:id="rId87" w:history="1">
        <w:r w:rsidRPr="00C11ACF">
          <w:rPr>
            <w:rStyle w:val="Hyperlink"/>
            <w:rFonts w:ascii="Times New Roman" w:hAnsi="Times New Roman"/>
            <w:sz w:val="24"/>
            <w:szCs w:val="24"/>
          </w:rPr>
          <w:t>https://cases.justia.com/oregon/court-of-appeals/2025-a181038.pdf?ts=1738179139</w:t>
        </w:r>
      </w:hyperlink>
      <w:r w:rsidRPr="00C11ACF">
        <w:rPr>
          <w:rFonts w:ascii="Times New Roman" w:hAnsi="Times New Roman"/>
          <w:sz w:val="24"/>
          <w:szCs w:val="24"/>
        </w:rPr>
        <w:t xml:space="preserve"> </w:t>
      </w:r>
    </w:p>
    <w:p w14:paraId="29A7622E" w14:textId="77777777" w:rsidR="00C11ACF" w:rsidRPr="00C11ACF" w:rsidRDefault="00C11ACF" w:rsidP="00C11ACF">
      <w:pPr>
        <w:pStyle w:val="NoSpacing"/>
        <w:rPr>
          <w:rFonts w:ascii="Times New Roman" w:hAnsi="Times New Roman"/>
          <w:sz w:val="24"/>
          <w:szCs w:val="24"/>
        </w:rPr>
      </w:pPr>
      <w:r w:rsidRPr="00C11ACF">
        <w:rPr>
          <w:rFonts w:ascii="Times New Roman" w:hAnsi="Times New Roman"/>
          <w:sz w:val="24"/>
          <w:szCs w:val="24"/>
        </w:rPr>
        <w:t>The Court wrote:</w:t>
      </w:r>
    </w:p>
    <w:p w14:paraId="156E4B71" w14:textId="77777777" w:rsidR="00C11ACF" w:rsidRPr="00C11ACF" w:rsidRDefault="00C11ACF" w:rsidP="00C11ACF">
      <w:pPr>
        <w:pStyle w:val="NoSpacing"/>
        <w:rPr>
          <w:rFonts w:ascii="Times New Roman" w:hAnsi="Times New Roman"/>
          <w:sz w:val="24"/>
          <w:szCs w:val="24"/>
        </w:rPr>
      </w:pPr>
    </w:p>
    <w:p w14:paraId="4350E187" w14:textId="77777777" w:rsidR="00C11ACF" w:rsidRPr="00C11ACF" w:rsidRDefault="00C11ACF" w:rsidP="00C11ACF">
      <w:pPr>
        <w:pStyle w:val="NoSpacing"/>
        <w:ind w:left="720"/>
        <w:rPr>
          <w:rFonts w:ascii="Times New Roman" w:hAnsi="Times New Roman"/>
          <w:sz w:val="24"/>
          <w:szCs w:val="24"/>
        </w:rPr>
      </w:pPr>
      <w:r w:rsidRPr="00C11ACF">
        <w:rPr>
          <w:rFonts w:ascii="Times New Roman" w:hAnsi="Times New Roman"/>
          <w:sz w:val="24"/>
          <w:szCs w:val="24"/>
        </w:rPr>
        <w:t xml:space="preserve">“There is evidence that defendant worked as a firefighter for the Baker City Fire Department from 2020 to July 2022, was involved in union negotiations with the city regarding the fire </w:t>
      </w:r>
      <w:proofErr w:type="gramStart"/>
      <w:r w:rsidRPr="00C11ACF">
        <w:rPr>
          <w:rFonts w:ascii="Times New Roman" w:hAnsi="Times New Roman"/>
          <w:sz w:val="24"/>
          <w:szCs w:val="24"/>
        </w:rPr>
        <w:t>department, and</w:t>
      </w:r>
      <w:proofErr w:type="gramEnd"/>
      <w:r w:rsidRPr="00C11ACF">
        <w:rPr>
          <w:rFonts w:ascii="Times New Roman" w:hAnsi="Times New Roman"/>
          <w:sz w:val="24"/>
          <w:szCs w:val="24"/>
        </w:rPr>
        <w:t xml:space="preserve"> attended multiple city council meetings relating to the April 2022 vote. The record supports a reasonable inference that he knew that the city council did not vote to dissolve the fire department. See id. at 360 (concluding, with respect to an allegedly false statement regarding the fire department, that the plaintiff made out a prima facie case on the mental state element where, among other things, the defendant knew or should have known the true facts as a former fire department lieutenant and former city mayor). Accordingly, we conclude that the trial court did not err in denying defendant’s special motion to strike plaintiff’s complaint for a violation of ORS 260.532.”</w:t>
      </w:r>
    </w:p>
    <w:p w14:paraId="10E8C9B8" w14:textId="77777777" w:rsidR="00C11ACF" w:rsidRPr="00C11ACF" w:rsidRDefault="00C11ACF" w:rsidP="00C11ACF">
      <w:pPr>
        <w:pStyle w:val="NoSpacing"/>
        <w:rPr>
          <w:rFonts w:ascii="Times New Roman" w:hAnsi="Times New Roman"/>
          <w:b/>
          <w:bCs/>
          <w:sz w:val="24"/>
          <w:szCs w:val="24"/>
        </w:rPr>
      </w:pPr>
    </w:p>
    <w:p w14:paraId="4D8F4ADF" w14:textId="77777777" w:rsidR="00C11ACF" w:rsidRPr="00C11ACF" w:rsidRDefault="00C11ACF" w:rsidP="00C11ACF">
      <w:pPr>
        <w:pStyle w:val="NoSpacing"/>
        <w:rPr>
          <w:rFonts w:ascii="Times New Roman" w:hAnsi="Times New Roman"/>
          <w:b/>
          <w:bCs/>
          <w:sz w:val="24"/>
          <w:szCs w:val="24"/>
        </w:rPr>
      </w:pPr>
      <w:r w:rsidRPr="00C11ACF">
        <w:rPr>
          <w:rFonts w:ascii="Times New Roman" w:hAnsi="Times New Roman"/>
          <w:b/>
          <w:sz w:val="24"/>
          <w:szCs w:val="24"/>
        </w:rPr>
        <w:t xml:space="preserve">Legal Lesson Learned: When filing recall petition or other complaints against public official, carefully review allegations – opinions are protected under First Amendment and anti-SLAPP statutes, but not intentional false statements. </w:t>
      </w:r>
    </w:p>
    <w:p w14:paraId="0D381B3E" w14:textId="77777777" w:rsidR="00C11ACF" w:rsidRPr="00C11ACF" w:rsidRDefault="00C11ACF" w:rsidP="00C11ACF">
      <w:pPr>
        <w:pStyle w:val="NoSpacing"/>
        <w:rPr>
          <w:rFonts w:ascii="Times New Roman" w:hAnsi="Times New Roman"/>
          <w:b/>
          <w:bCs/>
          <w:sz w:val="24"/>
          <w:szCs w:val="24"/>
        </w:rPr>
      </w:pPr>
    </w:p>
    <w:p w14:paraId="3C79BEEA" w14:textId="77777777" w:rsidR="00C11ACF" w:rsidRPr="00C11ACF" w:rsidRDefault="00C11ACF" w:rsidP="00C11ACF">
      <w:pPr>
        <w:pStyle w:val="NoSpacing"/>
        <w:ind w:left="720"/>
        <w:rPr>
          <w:rFonts w:ascii="Times New Roman" w:hAnsi="Times New Roman"/>
          <w:sz w:val="24"/>
          <w:szCs w:val="24"/>
        </w:rPr>
      </w:pPr>
      <w:r w:rsidRPr="00C11ACF">
        <w:rPr>
          <w:rFonts w:ascii="Times New Roman" w:hAnsi="Times New Roman"/>
          <w:sz w:val="24"/>
          <w:szCs w:val="24"/>
        </w:rPr>
        <w:t xml:space="preserve">Note:  “Anti-SLAPP laws are intended to prevent people from using courts, and potential threats of a lawsuit, to intimidate people who are exercising their First Amendment rights. In terms of reporting, news organizations and individual journalists can use anti-SLAPP statutes to protect themselves from the financial threat of a groundless defamation case brought by a subject of an enterprise or investigative story. Under most anti-SLAPP statutes, the person sued makes a motion to strike the case because it involves speech on a matter of public concern. The plaintiff then has the burden of showing a probability that they will prevail in the suit — meaning they must show that they have evidence that could result in a favorable verdict. If the plaintiff cannot meet this burden and the suit is dismissed through anti-SLAPP proceedings, many statutes allow defendants to collect attorney’s fees from the plaintiff.”  </w:t>
      </w:r>
      <w:hyperlink r:id="rId88" w:history="1">
        <w:r w:rsidRPr="00C11ACF">
          <w:rPr>
            <w:rStyle w:val="Hyperlink"/>
            <w:rFonts w:ascii="Times New Roman" w:hAnsi="Times New Roman"/>
            <w:sz w:val="24"/>
            <w:szCs w:val="24"/>
          </w:rPr>
          <w:t>https://www.rcfp.org/resources/anti-slapp-laws/</w:t>
        </w:r>
      </w:hyperlink>
      <w:r w:rsidRPr="00C11ACF">
        <w:rPr>
          <w:rFonts w:ascii="Times New Roman" w:hAnsi="Times New Roman"/>
          <w:sz w:val="24"/>
          <w:szCs w:val="24"/>
        </w:rPr>
        <w:t xml:space="preserve"> </w:t>
      </w:r>
    </w:p>
    <w:p w14:paraId="259DE2FD" w14:textId="77777777" w:rsidR="00C11ACF" w:rsidRPr="00C11ACF" w:rsidRDefault="00C11ACF" w:rsidP="00C11ACF">
      <w:pPr>
        <w:rPr>
          <w:rFonts w:ascii="Times New Roman" w:hAnsi="Times New Roman"/>
          <w:sz w:val="24"/>
          <w:szCs w:val="24"/>
        </w:rPr>
      </w:pPr>
    </w:p>
    <w:p w14:paraId="3F05E003" w14:textId="77777777" w:rsidR="00C11ACF" w:rsidRDefault="00C11ACF" w:rsidP="00B86628">
      <w:pPr>
        <w:pStyle w:val="NoSpacing"/>
        <w:rPr>
          <w:rFonts w:ascii="Arial Black" w:hAnsi="Arial Black"/>
          <w:sz w:val="24"/>
          <w:szCs w:val="24"/>
        </w:rPr>
      </w:pPr>
    </w:p>
    <w:p w14:paraId="7C087412" w14:textId="77777777" w:rsidR="00C11ACF" w:rsidRDefault="00C11ACF" w:rsidP="00B86628">
      <w:pPr>
        <w:pStyle w:val="NoSpacing"/>
        <w:rPr>
          <w:rFonts w:ascii="Arial Black" w:hAnsi="Arial Black"/>
          <w:sz w:val="24"/>
          <w:szCs w:val="24"/>
        </w:rPr>
      </w:pPr>
    </w:p>
    <w:p w14:paraId="70A707BC" w14:textId="77777777" w:rsidR="00C11ACF" w:rsidRDefault="00C11ACF" w:rsidP="00B86628">
      <w:pPr>
        <w:pStyle w:val="NoSpacing"/>
        <w:rPr>
          <w:rFonts w:ascii="Arial Black" w:hAnsi="Arial Black"/>
          <w:sz w:val="24"/>
          <w:szCs w:val="24"/>
        </w:rPr>
      </w:pPr>
    </w:p>
    <w:p w14:paraId="0DF8A8C6" w14:textId="77777777" w:rsidR="00C11ACF" w:rsidRDefault="00C11ACF" w:rsidP="00B86628">
      <w:pPr>
        <w:pStyle w:val="NoSpacing"/>
        <w:rPr>
          <w:rFonts w:ascii="Arial Black" w:hAnsi="Arial Black"/>
          <w:sz w:val="24"/>
          <w:szCs w:val="24"/>
        </w:rPr>
      </w:pPr>
    </w:p>
    <w:p w14:paraId="370D70B6" w14:textId="52E09D20" w:rsidR="00EF4D70" w:rsidRDefault="00763EF6" w:rsidP="00B86628">
      <w:pPr>
        <w:pStyle w:val="NoSpacing"/>
        <w:rPr>
          <w:rFonts w:ascii="Arial Black" w:hAnsi="Arial Black"/>
          <w:sz w:val="24"/>
          <w:szCs w:val="24"/>
        </w:rPr>
      </w:pPr>
      <w:r>
        <w:rPr>
          <w:rFonts w:ascii="Arial Black" w:hAnsi="Arial Black"/>
          <w:sz w:val="24"/>
          <w:szCs w:val="24"/>
        </w:rPr>
        <w:t>1-171</w:t>
      </w:r>
    </w:p>
    <w:p w14:paraId="7C4CE94B" w14:textId="77777777" w:rsidR="00763EF6" w:rsidRDefault="00763EF6" w:rsidP="00B86628">
      <w:pPr>
        <w:pStyle w:val="NoSpacing"/>
        <w:rPr>
          <w:rFonts w:ascii="Arial Black" w:hAnsi="Arial Black"/>
          <w:sz w:val="24"/>
          <w:szCs w:val="24"/>
        </w:rPr>
      </w:pPr>
    </w:p>
    <w:p w14:paraId="159E2F97" w14:textId="77777777" w:rsidR="00763EF6" w:rsidRDefault="00763EF6" w:rsidP="00763EF6">
      <w:pPr>
        <w:pStyle w:val="NoSpacing"/>
        <w:rPr>
          <w:rFonts w:ascii="Arial Black" w:hAnsi="Arial Black"/>
          <w:sz w:val="28"/>
          <w:szCs w:val="28"/>
        </w:rPr>
      </w:pPr>
      <w:r>
        <w:rPr>
          <w:rFonts w:ascii="Arial Black" w:hAnsi="Arial Black"/>
          <w:sz w:val="28"/>
          <w:szCs w:val="28"/>
        </w:rPr>
        <w:t>U.S. SUP. CT. - CONGRESS CAN BAN TIKTOK – TRUMP DELAY</w:t>
      </w:r>
    </w:p>
    <w:p w14:paraId="70945E30" w14:textId="77777777" w:rsidR="00763EF6" w:rsidRDefault="00763EF6" w:rsidP="00763EF6">
      <w:pPr>
        <w:pStyle w:val="NoSpacing"/>
      </w:pPr>
    </w:p>
    <w:p w14:paraId="06EE4955" w14:textId="77777777" w:rsidR="00763EF6" w:rsidRPr="00763EF6" w:rsidRDefault="00763EF6" w:rsidP="00763EF6">
      <w:pPr>
        <w:pStyle w:val="NoSpacing"/>
        <w:rPr>
          <w:rFonts w:ascii="Times New Roman" w:hAnsi="Times New Roman"/>
          <w:sz w:val="24"/>
          <w:szCs w:val="24"/>
        </w:rPr>
      </w:pPr>
      <w:r w:rsidRPr="00763EF6">
        <w:rPr>
          <w:rFonts w:ascii="Times New Roman" w:hAnsi="Times New Roman"/>
          <w:sz w:val="24"/>
          <w:szCs w:val="24"/>
        </w:rPr>
        <w:t xml:space="preserve">On January 17, 2025, in </w:t>
      </w:r>
      <w:r w:rsidRPr="00763EF6">
        <w:rPr>
          <w:rFonts w:ascii="Times New Roman" w:hAnsi="Times New Roman"/>
          <w:sz w:val="24"/>
          <w:szCs w:val="24"/>
          <w:u w:val="single"/>
        </w:rPr>
        <w:t>TikTok Inc, et al. v, Merrick B. Garland, Attorney General</w:t>
      </w:r>
      <w:r w:rsidRPr="00763EF6">
        <w:rPr>
          <w:rFonts w:ascii="Times New Roman" w:hAnsi="Times New Roman"/>
          <w:sz w:val="24"/>
          <w:szCs w:val="24"/>
        </w:rPr>
        <w:t xml:space="preserve">, the United States Supreme Court held (9 to 0; per curiam decision – not authored by any individual Justice), that Congress did not violate the First Amendment when it passed the Protecting Americans from Foreign Adversary Controlled Applications Act will make it unlawful  (effective Jan. 19, 2025) for companies in the United States to provide services to distribute, maintain, or update the social media platform TikTok, unless U. S. operation of the platform is severed from Chinese control.  [The ban now delayed by President Trump.] </w:t>
      </w:r>
      <w:hyperlink r:id="rId89" w:history="1">
        <w:r w:rsidRPr="00763EF6">
          <w:rPr>
            <w:rStyle w:val="Hyperlink"/>
            <w:rFonts w:ascii="Times New Roman" w:hAnsi="Times New Roman"/>
            <w:sz w:val="24"/>
            <w:szCs w:val="24"/>
          </w:rPr>
          <w:t>https://www.supremecourt.gov/opinions/24pdf/24-656_ca7d.pdf</w:t>
        </w:r>
      </w:hyperlink>
      <w:r w:rsidRPr="00763EF6">
        <w:rPr>
          <w:rFonts w:ascii="Times New Roman" w:hAnsi="Times New Roman"/>
          <w:sz w:val="24"/>
          <w:szCs w:val="24"/>
        </w:rPr>
        <w:t xml:space="preserve">   </w:t>
      </w:r>
    </w:p>
    <w:p w14:paraId="7E7FF8F3" w14:textId="77777777" w:rsidR="00763EF6" w:rsidRPr="00763EF6" w:rsidRDefault="00763EF6" w:rsidP="00763EF6">
      <w:pPr>
        <w:pStyle w:val="NoSpacing"/>
        <w:rPr>
          <w:rFonts w:ascii="Times New Roman" w:hAnsi="Times New Roman"/>
          <w:sz w:val="24"/>
          <w:szCs w:val="24"/>
        </w:rPr>
      </w:pPr>
    </w:p>
    <w:p w14:paraId="0E7E6F87" w14:textId="77777777" w:rsidR="00763EF6" w:rsidRPr="00763EF6" w:rsidRDefault="00763EF6" w:rsidP="00763EF6">
      <w:pPr>
        <w:pStyle w:val="NoSpacing"/>
        <w:rPr>
          <w:rFonts w:ascii="Times New Roman" w:hAnsi="Times New Roman"/>
          <w:sz w:val="24"/>
          <w:szCs w:val="24"/>
        </w:rPr>
      </w:pPr>
      <w:r w:rsidRPr="00763EF6">
        <w:rPr>
          <w:rFonts w:ascii="Times New Roman" w:hAnsi="Times New Roman"/>
          <w:sz w:val="24"/>
          <w:szCs w:val="24"/>
        </w:rPr>
        <w:t>The Court wrote:</w:t>
      </w:r>
    </w:p>
    <w:p w14:paraId="23893B3A" w14:textId="77777777" w:rsidR="00763EF6" w:rsidRPr="00763EF6" w:rsidRDefault="00763EF6" w:rsidP="00763EF6">
      <w:pPr>
        <w:pStyle w:val="NoSpacing"/>
        <w:rPr>
          <w:rFonts w:ascii="Times New Roman" w:hAnsi="Times New Roman"/>
          <w:sz w:val="24"/>
          <w:szCs w:val="24"/>
        </w:rPr>
      </w:pPr>
    </w:p>
    <w:p w14:paraId="62B1E7DA"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“TikTok is a social media platform that allows users to create, publish, view, share, and interact with short videos overlaid with audio and text. Since its launch in 2017, the</w:t>
      </w:r>
    </w:p>
    <w:p w14:paraId="5E18707B"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platform has accumulated over 170 million users in the United States and more than one billion worldwide. Those users are prolific content creators and viewers. In 2023,</w:t>
      </w:r>
    </w:p>
    <w:p w14:paraId="6AA01A2A"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 xml:space="preserve">U. S. TikTok users uploaded more than 5.5 billion videos, which were in turn viewed more than 13 trillion times around the world. </w:t>
      </w:r>
    </w:p>
    <w:p w14:paraId="1B18A449" w14:textId="77777777" w:rsidR="00763EF6" w:rsidRPr="00763EF6" w:rsidRDefault="00763EF6" w:rsidP="00763EF6">
      <w:pPr>
        <w:pStyle w:val="NoSpacing"/>
        <w:rPr>
          <w:rFonts w:ascii="Times New Roman" w:hAnsi="Times New Roman"/>
          <w:sz w:val="24"/>
          <w:szCs w:val="24"/>
        </w:rPr>
      </w:pPr>
    </w:p>
    <w:p w14:paraId="1B6354FF"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Opening the TikTok application brings a user to the ‘For You’ page —a personalized content feed tailored to the user’s interests. TikTok generates the feed using a proprietary algorithm that recommends videos to a user based on the user’s interactions with the platform. Each interaction a user has on TikTok—watching a video, following an ac-</w:t>
      </w:r>
    </w:p>
    <w:p w14:paraId="4CC07142"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count, leaving a comment—enables the recommendation system to further tailor a personalized content feed.</w:t>
      </w:r>
    </w:p>
    <w:p w14:paraId="0DC5DAC7" w14:textId="77777777" w:rsidR="00763EF6" w:rsidRPr="00763EF6" w:rsidRDefault="00763EF6" w:rsidP="00763EF6">
      <w:pPr>
        <w:pStyle w:val="NoSpacing"/>
        <w:ind w:left="720"/>
        <w:rPr>
          <w:rFonts w:ascii="Times New Roman" w:hAnsi="Times New Roman"/>
          <w:sz w:val="24"/>
          <w:szCs w:val="24"/>
        </w:rPr>
      </w:pPr>
    </w:p>
    <w:p w14:paraId="7A66CA0C"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w:t>
      </w:r>
    </w:p>
    <w:p w14:paraId="546232AF"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TikTok Inc.’s ultimate parent company is ByteDance Ltd., a privately held company that has operations in China. ByteDance Ltd. owns TikTok’s proprietary algorithm, which is developed and maintained in China. The company is also responsible for developing portions of the source code that runs the TikTok platform. ByteDance Ltd. is subject to Chinese laws that require it to ‘assist or cooperate’ with the Chinese Government’s ‘intelligence work’ and to ensure that the Chinese Government has ‘the power to access and control private data’ the company holds. H. R. Rep. No. 118–417, p. 4 (2024) (H. R. Rep.); see 2 App. 673–676.</w:t>
      </w:r>
    </w:p>
    <w:p w14:paraId="563F3505" w14:textId="77777777" w:rsidR="00763EF6" w:rsidRPr="00763EF6" w:rsidRDefault="00763EF6" w:rsidP="00763EF6">
      <w:pPr>
        <w:pStyle w:val="NoSpacing"/>
        <w:ind w:left="720"/>
        <w:rPr>
          <w:rFonts w:ascii="Times New Roman" w:hAnsi="Times New Roman"/>
          <w:sz w:val="24"/>
          <w:szCs w:val="24"/>
        </w:rPr>
      </w:pPr>
    </w:p>
    <w:p w14:paraId="51E1EBAA"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w:t>
      </w:r>
    </w:p>
    <w:p w14:paraId="631AB358" w14:textId="7777777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There is no doubt that, for more than 170 million Americans, TikTok offers a distinctive and expansive outlet for expression, means of engagement, and source of community. But Congress has determined that divestiture is necessary to address its well-supported national security concerns regarding TikTok’s data collection practices and relationship with a foreign adversary. For the foregoing reasons, we conclude that the challenged provisions do not violate petitioners’ First Amendment rights.”</w:t>
      </w:r>
    </w:p>
    <w:p w14:paraId="125F27F7" w14:textId="77777777" w:rsidR="00763EF6" w:rsidRPr="00763EF6" w:rsidRDefault="00763EF6" w:rsidP="00763EF6">
      <w:pPr>
        <w:pStyle w:val="NoSpacing"/>
        <w:ind w:left="720"/>
        <w:rPr>
          <w:rFonts w:ascii="Times New Roman" w:hAnsi="Times New Roman"/>
          <w:sz w:val="24"/>
          <w:szCs w:val="24"/>
        </w:rPr>
      </w:pPr>
    </w:p>
    <w:p w14:paraId="678CDEE8" w14:textId="77777777" w:rsidR="00763EF6" w:rsidRPr="00763EF6" w:rsidRDefault="00763EF6" w:rsidP="00763EF6">
      <w:pPr>
        <w:pStyle w:val="NoSpacing"/>
        <w:rPr>
          <w:rFonts w:ascii="Times New Roman" w:hAnsi="Times New Roman"/>
          <w:b/>
          <w:bCs/>
          <w:sz w:val="24"/>
          <w:szCs w:val="24"/>
        </w:rPr>
      </w:pPr>
      <w:r w:rsidRPr="00763EF6">
        <w:rPr>
          <w:rFonts w:ascii="Times New Roman" w:hAnsi="Times New Roman"/>
          <w:b/>
          <w:sz w:val="24"/>
          <w:szCs w:val="24"/>
        </w:rPr>
        <w:t>Legal Lesson Learned: Fire &amp; EMS departments should review their computer systems that contain protected information, including patient health information, to help prevent “hacking” and unauthorized copying.</w:t>
      </w:r>
    </w:p>
    <w:p w14:paraId="2250629E" w14:textId="77777777" w:rsidR="00763EF6" w:rsidRPr="00763EF6" w:rsidRDefault="00763EF6" w:rsidP="00763EF6">
      <w:pPr>
        <w:rPr>
          <w:rFonts w:ascii="Times New Roman" w:hAnsi="Times New Roman"/>
          <w:b/>
          <w:sz w:val="24"/>
          <w:szCs w:val="24"/>
        </w:rPr>
      </w:pPr>
    </w:p>
    <w:p w14:paraId="00E4164D" w14:textId="77777777" w:rsidR="00763EF6" w:rsidRPr="00763EF6" w:rsidRDefault="00763EF6" w:rsidP="00763EF6">
      <w:pPr>
        <w:pStyle w:val="NoSpacing"/>
        <w:ind w:left="720"/>
        <w:rPr>
          <w:rFonts w:ascii="Times New Roman" w:hAnsi="Times New Roman"/>
          <w:bCs/>
          <w:sz w:val="24"/>
          <w:szCs w:val="24"/>
        </w:rPr>
      </w:pPr>
      <w:r w:rsidRPr="00763EF6">
        <w:rPr>
          <w:rFonts w:ascii="Times New Roman" w:hAnsi="Times New Roman"/>
          <w:sz w:val="24"/>
          <w:szCs w:val="24"/>
        </w:rPr>
        <w:t>Note:</w:t>
      </w:r>
      <w:r w:rsidRPr="00763EF6">
        <w:rPr>
          <w:rFonts w:ascii="Times New Roman" w:hAnsi="Times New Roman"/>
          <w:b/>
          <w:sz w:val="24"/>
          <w:szCs w:val="24"/>
        </w:rPr>
        <w:t xml:space="preserve"> </w:t>
      </w:r>
      <w:r w:rsidRPr="00763EF6">
        <w:rPr>
          <w:rFonts w:ascii="Times New Roman" w:hAnsi="Times New Roman"/>
          <w:sz w:val="24"/>
          <w:szCs w:val="24"/>
        </w:rPr>
        <w:t>See  Jan. 17, 2025: “Justice Department Statements on Supreme Court’s Decision in TikTok, et al. v. Garland.”</w:t>
      </w:r>
    </w:p>
    <w:p w14:paraId="493845B7" w14:textId="77777777" w:rsidR="00763EF6" w:rsidRPr="00763EF6" w:rsidRDefault="00763EF6" w:rsidP="00763EF6">
      <w:pPr>
        <w:pStyle w:val="NoSpacing"/>
        <w:ind w:left="720"/>
        <w:rPr>
          <w:rFonts w:ascii="Times New Roman" w:hAnsi="Times New Roman"/>
          <w:bCs/>
          <w:sz w:val="24"/>
          <w:szCs w:val="24"/>
        </w:rPr>
      </w:pPr>
      <w:hyperlink r:id="rId90" w:history="1">
        <w:r w:rsidRPr="00763EF6">
          <w:rPr>
            <w:rStyle w:val="Hyperlink"/>
            <w:rFonts w:ascii="Times New Roman" w:hAnsi="Times New Roman"/>
            <w:sz w:val="24"/>
            <w:szCs w:val="24"/>
          </w:rPr>
          <w:t>https://www.justice.gov/opa/pr/justice-department-statements-supreme-courts-decision-tiktok-et-al-v-garland</w:t>
        </w:r>
      </w:hyperlink>
      <w:r w:rsidRPr="00763EF6">
        <w:rPr>
          <w:rFonts w:ascii="Times New Roman" w:hAnsi="Times New Roman"/>
          <w:sz w:val="24"/>
          <w:szCs w:val="24"/>
        </w:rPr>
        <w:t xml:space="preserve"> </w:t>
      </w:r>
    </w:p>
    <w:p w14:paraId="0ED74ABC" w14:textId="77777777" w:rsidR="00763EF6" w:rsidRPr="00763EF6" w:rsidRDefault="00763EF6" w:rsidP="00763EF6">
      <w:pPr>
        <w:pStyle w:val="NoSpacing"/>
        <w:ind w:left="720"/>
        <w:rPr>
          <w:rFonts w:ascii="Times New Roman" w:hAnsi="Times New Roman"/>
          <w:bCs/>
          <w:sz w:val="24"/>
          <w:szCs w:val="24"/>
        </w:rPr>
      </w:pPr>
    </w:p>
    <w:p w14:paraId="44DAB6A8" w14:textId="33A88B17" w:rsidR="00763EF6" w:rsidRPr="00763EF6" w:rsidRDefault="00763EF6" w:rsidP="00763EF6">
      <w:pPr>
        <w:pStyle w:val="NoSpacing"/>
        <w:ind w:left="720"/>
        <w:rPr>
          <w:rFonts w:ascii="Times New Roman" w:hAnsi="Times New Roman"/>
          <w:sz w:val="24"/>
          <w:szCs w:val="24"/>
        </w:rPr>
      </w:pPr>
      <w:r w:rsidRPr="00763EF6">
        <w:rPr>
          <w:rFonts w:ascii="Times New Roman" w:hAnsi="Times New Roman"/>
          <w:sz w:val="24"/>
          <w:szCs w:val="24"/>
        </w:rPr>
        <w:t xml:space="preserve">Jan. 22, 2025: “TikTok still not available on app stores after Trump's executive order: What we know.” </w:t>
      </w:r>
      <w:hyperlink r:id="rId91" w:history="1">
        <w:r w:rsidR="00CD461F" w:rsidRPr="009B5658">
          <w:rPr>
            <w:rStyle w:val="Hyperlink"/>
            <w:rFonts w:ascii="Times New Roman" w:hAnsi="Times New Roman"/>
            <w:sz w:val="24"/>
            <w:szCs w:val="24"/>
          </w:rPr>
          <w:t>https://www.usatoday.com/story/tech/2025/01/22/tiktok-ban-download-app-stores-update/77872210007/</w:t>
        </w:r>
      </w:hyperlink>
    </w:p>
    <w:p w14:paraId="2182085A" w14:textId="77777777" w:rsidR="00EF4D70" w:rsidRDefault="00EF4D70" w:rsidP="00B86628">
      <w:pPr>
        <w:pStyle w:val="NoSpacing"/>
        <w:rPr>
          <w:rFonts w:ascii="Arial Black" w:hAnsi="Arial Black"/>
          <w:sz w:val="24"/>
          <w:szCs w:val="24"/>
        </w:rPr>
      </w:pPr>
    </w:p>
    <w:p w14:paraId="20ADFF84" w14:textId="77777777" w:rsidR="00EF4D70" w:rsidRDefault="00EF4D70" w:rsidP="00B86628">
      <w:pPr>
        <w:pStyle w:val="NoSpacing"/>
        <w:rPr>
          <w:rFonts w:ascii="Arial Black" w:hAnsi="Arial Black"/>
          <w:sz w:val="24"/>
          <w:szCs w:val="24"/>
        </w:rPr>
      </w:pPr>
    </w:p>
    <w:p w14:paraId="0D1FBE9A" w14:textId="14872BF5" w:rsidR="002F5070" w:rsidRDefault="002F5070" w:rsidP="00B86628">
      <w:pPr>
        <w:pStyle w:val="NoSpacing"/>
        <w:rPr>
          <w:rFonts w:ascii="Arial Black" w:hAnsi="Arial Black"/>
          <w:sz w:val="24"/>
          <w:szCs w:val="24"/>
        </w:rPr>
      </w:pPr>
      <w:r>
        <w:rPr>
          <w:rFonts w:ascii="Arial Black" w:hAnsi="Arial Black"/>
          <w:sz w:val="24"/>
          <w:szCs w:val="24"/>
        </w:rPr>
        <w:t>1-1</w:t>
      </w:r>
      <w:r w:rsidR="00F755DB">
        <w:rPr>
          <w:rFonts w:ascii="Arial Black" w:hAnsi="Arial Black"/>
          <w:sz w:val="24"/>
          <w:szCs w:val="24"/>
        </w:rPr>
        <w:t>70</w:t>
      </w:r>
    </w:p>
    <w:p w14:paraId="13C4FBE0" w14:textId="77777777" w:rsidR="009312DC" w:rsidRDefault="009312DC" w:rsidP="00B86628">
      <w:pPr>
        <w:pStyle w:val="NoSpacing"/>
        <w:rPr>
          <w:rFonts w:ascii="Arial Black" w:hAnsi="Arial Black"/>
          <w:sz w:val="24"/>
          <w:szCs w:val="24"/>
        </w:rPr>
      </w:pPr>
    </w:p>
    <w:p w14:paraId="2A1CEA88" w14:textId="77777777" w:rsidR="009312DC" w:rsidRPr="00D57EC3" w:rsidRDefault="009312DC" w:rsidP="009312DC">
      <w:pPr>
        <w:pStyle w:val="NoSpacing"/>
        <w:rPr>
          <w:rFonts w:ascii="Arial Black" w:hAnsi="Arial Black"/>
          <w:bCs/>
          <w:sz w:val="28"/>
          <w:szCs w:val="28"/>
        </w:rPr>
      </w:pPr>
      <w:r w:rsidRPr="00D57EC3">
        <w:rPr>
          <w:rFonts w:ascii="Arial Black" w:hAnsi="Arial Black"/>
          <w:b/>
          <w:sz w:val="28"/>
          <w:szCs w:val="28"/>
        </w:rPr>
        <w:t>PA: ADMIN</w:t>
      </w:r>
      <w:r>
        <w:rPr>
          <w:rFonts w:ascii="Arial Black" w:hAnsi="Arial Black"/>
          <w:b/>
          <w:sz w:val="28"/>
          <w:szCs w:val="28"/>
        </w:rPr>
        <w:t xml:space="preserve">. </w:t>
      </w:r>
      <w:r w:rsidRPr="00D57EC3">
        <w:rPr>
          <w:rFonts w:ascii="Arial Black" w:hAnsi="Arial Black"/>
          <w:b/>
          <w:sz w:val="28"/>
          <w:szCs w:val="28"/>
        </w:rPr>
        <w:t xml:space="preserve">SEARCH WARRANT – SEWER </w:t>
      </w:r>
      <w:r>
        <w:rPr>
          <w:rFonts w:ascii="Arial Black" w:hAnsi="Arial Black"/>
          <w:b/>
          <w:sz w:val="28"/>
          <w:szCs w:val="28"/>
        </w:rPr>
        <w:t xml:space="preserve">GAS </w:t>
      </w:r>
      <w:r w:rsidRPr="00D57EC3">
        <w:rPr>
          <w:rFonts w:ascii="Arial Black" w:hAnsi="Arial Black"/>
          <w:b/>
          <w:sz w:val="28"/>
          <w:szCs w:val="28"/>
        </w:rPr>
        <w:t>HOME</w:t>
      </w:r>
    </w:p>
    <w:p w14:paraId="325E1D7A" w14:textId="77777777" w:rsidR="009312DC" w:rsidRDefault="009312DC" w:rsidP="009312DC">
      <w:pPr>
        <w:pStyle w:val="NoSpacing"/>
        <w:rPr>
          <w:b/>
        </w:rPr>
      </w:pPr>
    </w:p>
    <w:p w14:paraId="7B918FE1" w14:textId="1E86E811" w:rsidR="003C08FD" w:rsidRPr="003C08FD" w:rsidRDefault="003C08FD" w:rsidP="009312DC">
      <w:pPr>
        <w:pStyle w:val="NoSpacing"/>
        <w:rPr>
          <w:rFonts w:ascii="Times New Roman" w:hAnsi="Times New Roman"/>
          <w:sz w:val="24"/>
          <w:szCs w:val="24"/>
        </w:rPr>
      </w:pPr>
      <w:r w:rsidRPr="003C08FD">
        <w:rPr>
          <w:rFonts w:ascii="Times New Roman" w:hAnsi="Times New Roman"/>
          <w:sz w:val="24"/>
          <w:szCs w:val="24"/>
        </w:rPr>
        <w:t xml:space="preserve">On Dec. 17. 2024, in </w:t>
      </w:r>
      <w:r w:rsidRPr="003C08FD">
        <w:rPr>
          <w:rFonts w:ascii="Times New Roman" w:hAnsi="Times New Roman"/>
          <w:sz w:val="24"/>
          <w:szCs w:val="24"/>
          <w:u w:val="single"/>
        </w:rPr>
        <w:t>Karimu Hamilton v. Christopher B. Flannigan; Bryan Mawr Fire Company, et al</w:t>
      </w:r>
      <w:r w:rsidRPr="003C08FD">
        <w:rPr>
          <w:rFonts w:ascii="Times New Roman" w:hAnsi="Times New Roman"/>
          <w:sz w:val="24"/>
          <w:szCs w:val="24"/>
        </w:rPr>
        <w:t>., the United States Court of Appeals for the 3</w:t>
      </w:r>
      <w:r w:rsidRPr="003C08FD">
        <w:rPr>
          <w:rFonts w:ascii="Times New Roman" w:hAnsi="Times New Roman"/>
          <w:sz w:val="24"/>
          <w:szCs w:val="24"/>
          <w:vertAlign w:val="superscript"/>
        </w:rPr>
        <w:t>rd</w:t>
      </w:r>
      <w:r w:rsidRPr="003C08FD">
        <w:rPr>
          <w:rFonts w:ascii="Times New Roman" w:hAnsi="Times New Roman"/>
          <w:sz w:val="24"/>
          <w:szCs w:val="24"/>
        </w:rPr>
        <w:t xml:space="preserve"> Circuit (Philadelphia) held 3 to 0 (not precedential decision) that U.S. District Court judge for Eastern District of Pennsylvania properly dismissed the lawsuit against the firefighters and police officers who entered her home with her consent. </w:t>
      </w:r>
      <w:hyperlink r:id="rId92" w:history="1">
        <w:r w:rsidRPr="003C08FD">
          <w:rPr>
            <w:rStyle w:val="Hyperlink"/>
            <w:rFonts w:ascii="Times New Roman" w:hAnsi="Times New Roman"/>
            <w:sz w:val="24"/>
            <w:szCs w:val="24"/>
          </w:rPr>
          <w:t>https://cases.justia.com/federal/appellate-courts/ca3/24-1567/24-1567-2024-12-17.pdf?ts=1734458412</w:t>
        </w:r>
      </w:hyperlink>
    </w:p>
    <w:p w14:paraId="141C14BC" w14:textId="77777777" w:rsidR="003C08FD" w:rsidRDefault="003C08FD" w:rsidP="009312DC">
      <w:pPr>
        <w:pStyle w:val="NoSpacing"/>
        <w:rPr>
          <w:rFonts w:ascii="Times New Roman" w:hAnsi="Times New Roman"/>
          <w:sz w:val="24"/>
          <w:szCs w:val="24"/>
        </w:rPr>
      </w:pPr>
    </w:p>
    <w:p w14:paraId="5F9DA264" w14:textId="1A49966A" w:rsidR="009312DC" w:rsidRPr="009312DC" w:rsidRDefault="009312DC" w:rsidP="009312DC">
      <w:pPr>
        <w:pStyle w:val="NoSpacing"/>
        <w:rPr>
          <w:rFonts w:ascii="Times New Roman" w:hAnsi="Times New Roman"/>
          <w:bCs/>
          <w:sz w:val="24"/>
          <w:szCs w:val="24"/>
        </w:rPr>
      </w:pPr>
      <w:r w:rsidRPr="009312DC">
        <w:rPr>
          <w:rFonts w:ascii="Times New Roman" w:hAnsi="Times New Roman"/>
          <w:sz w:val="24"/>
          <w:szCs w:val="24"/>
        </w:rPr>
        <w:t>The 3</w:t>
      </w:r>
      <w:r w:rsidRPr="009312DC">
        <w:rPr>
          <w:rFonts w:ascii="Times New Roman" w:hAnsi="Times New Roman"/>
          <w:sz w:val="24"/>
          <w:szCs w:val="24"/>
          <w:vertAlign w:val="superscript"/>
        </w:rPr>
        <w:t>rd</w:t>
      </w:r>
      <w:r w:rsidRPr="009312DC">
        <w:rPr>
          <w:rFonts w:ascii="Times New Roman" w:hAnsi="Times New Roman"/>
          <w:sz w:val="24"/>
          <w:szCs w:val="24"/>
        </w:rPr>
        <w:t xml:space="preserve"> Circuit wrote:</w:t>
      </w:r>
    </w:p>
    <w:p w14:paraId="3D6BC4B3" w14:textId="77777777" w:rsidR="009312DC" w:rsidRPr="009312DC" w:rsidRDefault="009312DC" w:rsidP="009312DC">
      <w:pPr>
        <w:pStyle w:val="NoSpacing"/>
        <w:rPr>
          <w:rFonts w:ascii="Times New Roman" w:hAnsi="Times New Roman"/>
          <w:bCs/>
          <w:sz w:val="24"/>
          <w:szCs w:val="24"/>
        </w:rPr>
      </w:pPr>
    </w:p>
    <w:p w14:paraId="6A65CFDB" w14:textId="77777777" w:rsidR="009312DC" w:rsidRPr="009312DC" w:rsidRDefault="009312DC" w:rsidP="009312DC">
      <w:pPr>
        <w:pStyle w:val="NoSpacing"/>
        <w:ind w:firstLine="720"/>
        <w:rPr>
          <w:rFonts w:ascii="Times New Roman" w:hAnsi="Times New Roman"/>
          <w:bCs/>
          <w:sz w:val="24"/>
          <w:szCs w:val="24"/>
        </w:rPr>
      </w:pPr>
      <w:r w:rsidRPr="009312DC">
        <w:rPr>
          <w:rFonts w:ascii="Times New Roman" w:hAnsi="Times New Roman"/>
          <w:sz w:val="24"/>
          <w:szCs w:val="24"/>
        </w:rPr>
        <w:t>“She also has no Fourth Amendment claim against the firefighters or police officers. The</w:t>
      </w:r>
    </w:p>
    <w:p w14:paraId="5EE3F3AD" w14:textId="77777777" w:rsidR="009312DC" w:rsidRPr="009312DC" w:rsidRDefault="009312DC" w:rsidP="009312DC">
      <w:pPr>
        <w:pStyle w:val="NoSpacing"/>
        <w:ind w:firstLine="720"/>
        <w:rPr>
          <w:rFonts w:ascii="Times New Roman" w:hAnsi="Times New Roman"/>
          <w:bCs/>
          <w:sz w:val="24"/>
          <w:szCs w:val="24"/>
        </w:rPr>
      </w:pPr>
      <w:proofErr w:type="gramStart"/>
      <w:r w:rsidRPr="009312DC">
        <w:rPr>
          <w:rFonts w:ascii="Times New Roman" w:hAnsi="Times New Roman"/>
          <w:sz w:val="24"/>
          <w:szCs w:val="24"/>
        </w:rPr>
        <w:t>firefighters</w:t>
      </w:r>
      <w:proofErr w:type="gramEnd"/>
      <w:r w:rsidRPr="009312DC">
        <w:rPr>
          <w:rFonts w:ascii="Times New Roman" w:hAnsi="Times New Roman"/>
          <w:sz w:val="24"/>
          <w:szCs w:val="24"/>
        </w:rPr>
        <w:t xml:space="preserve"> entered Hamilton’s home only once, when she consented to their search. See</w:t>
      </w:r>
    </w:p>
    <w:p w14:paraId="6A081BFF" w14:textId="77777777" w:rsidR="009312DC" w:rsidRPr="009312DC" w:rsidRDefault="009312DC" w:rsidP="009312DC">
      <w:pPr>
        <w:pStyle w:val="NoSpacing"/>
        <w:ind w:firstLine="720"/>
        <w:rPr>
          <w:rFonts w:ascii="Times New Roman" w:hAnsi="Times New Roman"/>
          <w:bCs/>
          <w:sz w:val="24"/>
          <w:szCs w:val="24"/>
        </w:rPr>
      </w:pPr>
      <w:r w:rsidRPr="009312DC">
        <w:rPr>
          <w:rFonts w:ascii="Times New Roman" w:hAnsi="Times New Roman"/>
          <w:sz w:val="24"/>
          <w:szCs w:val="24"/>
        </w:rPr>
        <w:t>Schneckloth v. Bustamonte, 412 U.S. 218, 219 (1973). When they asked to enter again</w:t>
      </w:r>
    </w:p>
    <w:p w14:paraId="2E2E2465" w14:textId="268AFFB7" w:rsidR="004B0DC2" w:rsidRDefault="009312DC" w:rsidP="009312DC">
      <w:pPr>
        <w:pStyle w:val="NoSpacing"/>
        <w:ind w:left="720"/>
        <w:rPr>
          <w:rFonts w:ascii="Times New Roman" w:hAnsi="Times New Roman"/>
          <w:sz w:val="24"/>
          <w:szCs w:val="24"/>
        </w:rPr>
      </w:pPr>
      <w:proofErr w:type="gramStart"/>
      <w:r w:rsidRPr="009312DC">
        <w:rPr>
          <w:rFonts w:ascii="Times New Roman" w:hAnsi="Times New Roman"/>
          <w:sz w:val="24"/>
          <w:szCs w:val="24"/>
        </w:rPr>
        <w:t>another</w:t>
      </w:r>
      <w:proofErr w:type="gramEnd"/>
      <w:r w:rsidRPr="009312DC">
        <w:rPr>
          <w:rFonts w:ascii="Times New Roman" w:hAnsi="Times New Roman"/>
          <w:sz w:val="24"/>
          <w:szCs w:val="24"/>
        </w:rPr>
        <w:t xml:space="preserve"> time, she refused entry, so they never searched her house. Officer Patterson entered Hamilton’s house in response to the reported smell of gas. The District Court correctly held that qualified immunity shields Patterson because existing precedent does not “squarely govern[ ].” </w:t>
      </w:r>
    </w:p>
    <w:p w14:paraId="63A8977D" w14:textId="77777777" w:rsidR="00AC2AA9" w:rsidRDefault="00AC2AA9" w:rsidP="009312DC">
      <w:pPr>
        <w:pStyle w:val="NoSpacing"/>
        <w:ind w:left="720"/>
        <w:rPr>
          <w:rStyle w:val="Hyperlink"/>
          <w:rFonts w:ascii="Times New Roman" w:hAnsi="Times New Roman"/>
          <w:sz w:val="24"/>
          <w:szCs w:val="24"/>
        </w:rPr>
      </w:pPr>
    </w:p>
    <w:p w14:paraId="5F86E665" w14:textId="77777777" w:rsidR="004B0DC2" w:rsidRPr="004B0DC2" w:rsidRDefault="004B0DC2" w:rsidP="004B0DC2">
      <w:pPr>
        <w:pStyle w:val="NoSpacing"/>
        <w:rPr>
          <w:rFonts w:ascii="Times New Roman" w:hAnsi="Times New Roman"/>
          <w:bCs/>
          <w:sz w:val="24"/>
          <w:szCs w:val="24"/>
        </w:rPr>
      </w:pPr>
      <w:r w:rsidRPr="004B0DC2">
        <w:rPr>
          <w:rFonts w:ascii="Times New Roman" w:hAnsi="Times New Roman"/>
          <w:sz w:val="24"/>
          <w:szCs w:val="24"/>
        </w:rPr>
        <w:t>HOLDING:</w:t>
      </w:r>
    </w:p>
    <w:p w14:paraId="5541A414" w14:textId="77777777" w:rsidR="004B0DC2" w:rsidRPr="004B0DC2" w:rsidRDefault="004B0DC2" w:rsidP="004B0DC2">
      <w:pPr>
        <w:pStyle w:val="NoSpacing"/>
        <w:rPr>
          <w:rFonts w:ascii="Times New Roman" w:hAnsi="Times New Roman"/>
          <w:bCs/>
          <w:sz w:val="24"/>
          <w:szCs w:val="24"/>
        </w:rPr>
      </w:pPr>
    </w:p>
    <w:p w14:paraId="524088FA" w14:textId="77777777" w:rsidR="004B0DC2" w:rsidRPr="004B0DC2" w:rsidRDefault="004B0DC2" w:rsidP="004B0DC2">
      <w:pPr>
        <w:pStyle w:val="NoSpacing"/>
        <w:ind w:firstLine="720"/>
        <w:rPr>
          <w:rFonts w:ascii="Times New Roman" w:hAnsi="Times New Roman"/>
          <w:bCs/>
          <w:sz w:val="24"/>
          <w:szCs w:val="24"/>
        </w:rPr>
      </w:pPr>
      <w:r w:rsidRPr="004B0DC2">
        <w:rPr>
          <w:rFonts w:ascii="Times New Roman" w:hAnsi="Times New Roman"/>
          <w:sz w:val="24"/>
          <w:szCs w:val="24"/>
        </w:rPr>
        <w:t xml:space="preserve">“Hamilton also got due process. The town warned her of the plumbing problems </w:t>
      </w:r>
      <w:proofErr w:type="gramStart"/>
      <w:r w:rsidRPr="004B0DC2">
        <w:rPr>
          <w:rFonts w:ascii="Times New Roman" w:hAnsi="Times New Roman"/>
          <w:sz w:val="24"/>
          <w:szCs w:val="24"/>
        </w:rPr>
        <w:t>three</w:t>
      </w:r>
      <w:proofErr w:type="gramEnd"/>
    </w:p>
    <w:p w14:paraId="10D3C660" w14:textId="77777777" w:rsidR="004B0DC2" w:rsidRPr="004B0DC2" w:rsidRDefault="004B0DC2" w:rsidP="004B0DC2">
      <w:pPr>
        <w:pStyle w:val="NoSpacing"/>
        <w:ind w:firstLine="720"/>
        <w:rPr>
          <w:rFonts w:ascii="Times New Roman" w:hAnsi="Times New Roman"/>
          <w:bCs/>
          <w:sz w:val="24"/>
          <w:szCs w:val="24"/>
        </w:rPr>
      </w:pPr>
      <w:r w:rsidRPr="004B0DC2">
        <w:rPr>
          <w:rFonts w:ascii="Times New Roman" w:hAnsi="Times New Roman"/>
          <w:sz w:val="24"/>
          <w:szCs w:val="24"/>
        </w:rPr>
        <w:t>times starting in December 2018, almost seven months before she was evicted. She</w:t>
      </w:r>
    </w:p>
    <w:p w14:paraId="276E0567" w14:textId="77777777" w:rsidR="004B0DC2" w:rsidRPr="004B0DC2" w:rsidRDefault="004B0DC2" w:rsidP="004B0DC2">
      <w:pPr>
        <w:pStyle w:val="NoSpacing"/>
        <w:ind w:firstLine="720"/>
        <w:rPr>
          <w:rFonts w:ascii="Times New Roman" w:hAnsi="Times New Roman"/>
          <w:bCs/>
          <w:sz w:val="24"/>
          <w:szCs w:val="24"/>
        </w:rPr>
      </w:pPr>
      <w:r w:rsidRPr="004B0DC2">
        <w:rPr>
          <w:rFonts w:ascii="Times New Roman" w:hAnsi="Times New Roman"/>
          <w:sz w:val="24"/>
          <w:szCs w:val="24"/>
        </w:rPr>
        <w:t>challenges the June administrative search warrant, arguing that there was no cyanide gas</w:t>
      </w:r>
    </w:p>
    <w:p w14:paraId="42D2008F" w14:textId="77777777" w:rsidR="004B0DC2" w:rsidRPr="004B0DC2" w:rsidRDefault="004B0DC2" w:rsidP="004B0DC2">
      <w:pPr>
        <w:pStyle w:val="NoSpacing"/>
        <w:ind w:firstLine="720"/>
        <w:rPr>
          <w:rFonts w:ascii="Times New Roman" w:hAnsi="Times New Roman"/>
          <w:bCs/>
          <w:sz w:val="24"/>
          <w:szCs w:val="24"/>
        </w:rPr>
      </w:pPr>
      <w:r w:rsidRPr="004B0DC2">
        <w:rPr>
          <w:rFonts w:ascii="Times New Roman" w:hAnsi="Times New Roman"/>
          <w:sz w:val="24"/>
          <w:szCs w:val="24"/>
        </w:rPr>
        <w:t>or sewage and that her house was habitable. But she offers no evidence that the affidavit</w:t>
      </w:r>
    </w:p>
    <w:p w14:paraId="0D6C3403" w14:textId="77777777" w:rsidR="004B0DC2" w:rsidRPr="004B0DC2" w:rsidRDefault="004B0DC2" w:rsidP="004B0DC2">
      <w:pPr>
        <w:pStyle w:val="NoSpacing"/>
        <w:ind w:firstLine="720"/>
        <w:rPr>
          <w:rFonts w:ascii="Times New Roman" w:hAnsi="Times New Roman"/>
          <w:bCs/>
          <w:sz w:val="24"/>
          <w:szCs w:val="24"/>
        </w:rPr>
      </w:pPr>
      <w:proofErr w:type="gramStart"/>
      <w:r w:rsidRPr="004B0DC2">
        <w:rPr>
          <w:rFonts w:ascii="Times New Roman" w:hAnsi="Times New Roman"/>
          <w:sz w:val="24"/>
          <w:szCs w:val="24"/>
        </w:rPr>
        <w:t>supporting</w:t>
      </w:r>
      <w:proofErr w:type="gramEnd"/>
      <w:r w:rsidRPr="004B0DC2">
        <w:rPr>
          <w:rFonts w:ascii="Times New Roman" w:hAnsi="Times New Roman"/>
          <w:sz w:val="24"/>
          <w:szCs w:val="24"/>
        </w:rPr>
        <w:t xml:space="preserve"> the warrant was untruthful or that officers had reason to doubt it. And she cites</w:t>
      </w:r>
    </w:p>
    <w:p w14:paraId="0B140433" w14:textId="77777777" w:rsidR="004B0DC2" w:rsidRPr="004B0DC2" w:rsidRDefault="004B0DC2" w:rsidP="004B0DC2">
      <w:pPr>
        <w:pStyle w:val="NoSpacing"/>
        <w:ind w:left="720"/>
        <w:rPr>
          <w:rFonts w:ascii="Times New Roman" w:hAnsi="Times New Roman"/>
          <w:bCs/>
          <w:sz w:val="24"/>
          <w:szCs w:val="24"/>
        </w:rPr>
      </w:pPr>
      <w:r w:rsidRPr="004B0DC2">
        <w:rPr>
          <w:rFonts w:ascii="Times New Roman" w:hAnsi="Times New Roman"/>
          <w:sz w:val="24"/>
          <w:szCs w:val="24"/>
        </w:rPr>
        <w:t>no authority requiring police to have personal knowledge of or verify the underlying facts.”</w:t>
      </w:r>
    </w:p>
    <w:p w14:paraId="19F1D958" w14:textId="77777777" w:rsidR="004B0DC2" w:rsidRPr="004B0DC2" w:rsidRDefault="004B0DC2" w:rsidP="004B0DC2">
      <w:pPr>
        <w:pStyle w:val="NoSpacing"/>
        <w:rPr>
          <w:rFonts w:ascii="Times New Roman" w:hAnsi="Times New Roman"/>
          <w:bCs/>
          <w:sz w:val="24"/>
          <w:szCs w:val="24"/>
        </w:rPr>
      </w:pPr>
    </w:p>
    <w:p w14:paraId="6E2BBD03" w14:textId="77777777" w:rsidR="004B0DC2" w:rsidRPr="004B0DC2" w:rsidRDefault="004B0DC2" w:rsidP="004B0DC2">
      <w:pPr>
        <w:pStyle w:val="NoSpacing"/>
        <w:rPr>
          <w:rFonts w:ascii="Times New Roman" w:hAnsi="Times New Roman"/>
          <w:b/>
          <w:sz w:val="24"/>
          <w:szCs w:val="24"/>
        </w:rPr>
      </w:pPr>
      <w:r w:rsidRPr="004B0DC2">
        <w:rPr>
          <w:rFonts w:ascii="Times New Roman" w:hAnsi="Times New Roman"/>
          <w:b/>
          <w:sz w:val="24"/>
          <w:szCs w:val="24"/>
        </w:rPr>
        <w:t>Legal Lesson Learned:  The 3</w:t>
      </w:r>
      <w:r w:rsidRPr="004B0DC2">
        <w:rPr>
          <w:rFonts w:ascii="Times New Roman" w:hAnsi="Times New Roman"/>
          <w:b/>
          <w:sz w:val="24"/>
          <w:szCs w:val="24"/>
          <w:vertAlign w:val="superscript"/>
        </w:rPr>
        <w:t>rd</w:t>
      </w:r>
      <w:r w:rsidRPr="004B0DC2">
        <w:rPr>
          <w:rFonts w:ascii="Times New Roman" w:hAnsi="Times New Roman"/>
          <w:b/>
          <w:sz w:val="24"/>
          <w:szCs w:val="24"/>
        </w:rPr>
        <w:t xml:space="preserve"> Circuit decision started with following: “Like good fences, good sewage systems make good neighbors.”  </w:t>
      </w:r>
    </w:p>
    <w:p w14:paraId="1EFF1733" w14:textId="77777777" w:rsidR="004B0DC2" w:rsidRDefault="004B0DC2" w:rsidP="004B0DC2">
      <w:pPr>
        <w:pStyle w:val="NoSpacing"/>
        <w:rPr>
          <w:b/>
        </w:rPr>
      </w:pPr>
    </w:p>
    <w:p w14:paraId="482C1DFA" w14:textId="77777777" w:rsidR="004B0DC2" w:rsidRPr="009312DC" w:rsidRDefault="004B0DC2" w:rsidP="009312DC">
      <w:pPr>
        <w:pStyle w:val="NoSpacing"/>
        <w:ind w:left="720"/>
        <w:rPr>
          <w:rFonts w:ascii="Times New Roman" w:hAnsi="Times New Roman"/>
          <w:sz w:val="24"/>
          <w:szCs w:val="24"/>
        </w:rPr>
      </w:pPr>
    </w:p>
    <w:p w14:paraId="4765280F" w14:textId="77777777" w:rsidR="002F5070" w:rsidRPr="009312DC" w:rsidRDefault="002F5070" w:rsidP="00B86628">
      <w:pPr>
        <w:pStyle w:val="NoSpacing"/>
        <w:rPr>
          <w:rFonts w:ascii="Times New Roman" w:hAnsi="Times New Roman"/>
          <w:sz w:val="24"/>
          <w:szCs w:val="24"/>
        </w:rPr>
      </w:pPr>
    </w:p>
    <w:p w14:paraId="432FDAB1" w14:textId="044986F3" w:rsidR="002F5070" w:rsidRPr="00956699" w:rsidRDefault="004B0DC2" w:rsidP="00B86628">
      <w:pPr>
        <w:pStyle w:val="NoSpacing"/>
        <w:rPr>
          <w:rFonts w:ascii="Arial Black" w:hAnsi="Arial Black"/>
          <w:sz w:val="28"/>
          <w:szCs w:val="28"/>
        </w:rPr>
      </w:pPr>
      <w:r w:rsidRPr="00956699">
        <w:rPr>
          <w:rFonts w:ascii="Arial Black" w:hAnsi="Arial Black"/>
          <w:sz w:val="28"/>
          <w:szCs w:val="28"/>
        </w:rPr>
        <w:t>1-16</w:t>
      </w:r>
      <w:r w:rsidR="00F755DB" w:rsidRPr="00956699">
        <w:rPr>
          <w:rFonts w:ascii="Arial Black" w:hAnsi="Arial Black"/>
          <w:sz w:val="28"/>
          <w:szCs w:val="28"/>
        </w:rPr>
        <w:t>9</w:t>
      </w:r>
    </w:p>
    <w:p w14:paraId="34CB414A" w14:textId="77777777" w:rsidR="004B0DC2" w:rsidRDefault="004B0DC2" w:rsidP="00B86628">
      <w:pPr>
        <w:pStyle w:val="NoSpacing"/>
        <w:rPr>
          <w:rFonts w:ascii="Arial Black" w:hAnsi="Arial Black"/>
          <w:sz w:val="24"/>
          <w:szCs w:val="24"/>
        </w:rPr>
      </w:pPr>
    </w:p>
    <w:p w14:paraId="54DA3E1E" w14:textId="77777777" w:rsidR="0060296F" w:rsidRPr="007C467A" w:rsidRDefault="0060296F" w:rsidP="0060296F">
      <w:pPr>
        <w:pStyle w:val="NoSpacing"/>
        <w:rPr>
          <w:rFonts w:ascii="Arial Black" w:hAnsi="Arial Black"/>
          <w:b/>
          <w:sz w:val="28"/>
          <w:szCs w:val="28"/>
        </w:rPr>
      </w:pPr>
      <w:r>
        <w:rPr>
          <w:rFonts w:ascii="Arial Black" w:hAnsi="Arial Black"/>
          <w:b/>
          <w:sz w:val="28"/>
          <w:szCs w:val="28"/>
        </w:rPr>
        <w:t>WA: REMOVAL HOMELESS – PERSONAL PROPERTY</w:t>
      </w:r>
    </w:p>
    <w:p w14:paraId="538DE1F5" w14:textId="77777777" w:rsidR="0060296F" w:rsidRDefault="0060296F" w:rsidP="0060296F">
      <w:pPr>
        <w:pStyle w:val="NoSpacing"/>
        <w:rPr>
          <w:bCs/>
        </w:rPr>
      </w:pPr>
    </w:p>
    <w:p w14:paraId="4D9A54CA" w14:textId="360124E3" w:rsidR="00FE3665" w:rsidRPr="00FE3665" w:rsidRDefault="00FE3665" w:rsidP="0060296F">
      <w:pPr>
        <w:pStyle w:val="NoSpacing"/>
        <w:rPr>
          <w:rFonts w:ascii="Times New Roman" w:hAnsi="Times New Roman"/>
          <w:sz w:val="24"/>
          <w:szCs w:val="24"/>
        </w:rPr>
      </w:pPr>
      <w:r w:rsidRPr="00FE3665">
        <w:rPr>
          <w:sz w:val="24"/>
          <w:szCs w:val="24"/>
        </w:rPr>
        <w:t xml:space="preserve">On Dec. 9, 2024, in </w:t>
      </w:r>
      <w:r w:rsidRPr="00FE3665">
        <w:rPr>
          <w:sz w:val="24"/>
          <w:szCs w:val="24"/>
          <w:u w:val="single"/>
        </w:rPr>
        <w:t>Bobby Kitcheon, Candance Ream, et al.  v. City of Seattle</w:t>
      </w:r>
      <w:r w:rsidRPr="00FE3665">
        <w:rPr>
          <w:sz w:val="24"/>
          <w:szCs w:val="24"/>
        </w:rPr>
        <w:t>, the</w:t>
      </w:r>
      <w:r w:rsidRPr="00FE3665">
        <w:rPr>
          <w:sz w:val="24"/>
          <w:szCs w:val="24"/>
          <w:u w:val="single"/>
        </w:rPr>
        <w:t xml:space="preserve"> </w:t>
      </w:r>
      <w:r w:rsidRPr="00FE3665">
        <w:rPr>
          <w:sz w:val="24"/>
          <w:szCs w:val="24"/>
        </w:rPr>
        <w:t xml:space="preserve">Court of Appeals, Division 1, State of Washington, held (3 to 0) that the city ordinance allowing destruction of property of homeless on city property, without prior notice, must be revised. </w:t>
      </w:r>
      <w:hyperlink r:id="rId93" w:history="1">
        <w:r w:rsidRPr="00FE3665">
          <w:rPr>
            <w:rStyle w:val="Hyperlink"/>
            <w:sz w:val="24"/>
            <w:szCs w:val="24"/>
          </w:rPr>
          <w:t>https://www.courts.wa.gov/opinions/pdf/855832.pdf</w:t>
        </w:r>
      </w:hyperlink>
    </w:p>
    <w:p w14:paraId="3EC3E066" w14:textId="77777777" w:rsidR="00FE3665" w:rsidRDefault="00FE3665" w:rsidP="0060296F">
      <w:pPr>
        <w:pStyle w:val="NoSpacing"/>
        <w:rPr>
          <w:rFonts w:ascii="Times New Roman" w:hAnsi="Times New Roman"/>
          <w:sz w:val="24"/>
          <w:szCs w:val="24"/>
        </w:rPr>
      </w:pPr>
    </w:p>
    <w:p w14:paraId="1380C192" w14:textId="7F6AC992" w:rsidR="0060296F" w:rsidRPr="0060296F" w:rsidRDefault="0060296F" w:rsidP="0060296F">
      <w:pPr>
        <w:pStyle w:val="NoSpacing"/>
        <w:rPr>
          <w:rFonts w:ascii="Times New Roman" w:hAnsi="Times New Roman"/>
          <w:bCs/>
          <w:sz w:val="24"/>
          <w:szCs w:val="24"/>
        </w:rPr>
      </w:pPr>
      <w:r w:rsidRPr="0060296F">
        <w:rPr>
          <w:rFonts w:ascii="Times New Roman" w:hAnsi="Times New Roman"/>
          <w:sz w:val="24"/>
          <w:szCs w:val="24"/>
        </w:rPr>
        <w:t>The Court wrote:</w:t>
      </w:r>
    </w:p>
    <w:p w14:paraId="4D8EB603" w14:textId="77777777" w:rsidR="0060296F" w:rsidRPr="0060296F" w:rsidRDefault="0060296F" w:rsidP="0060296F">
      <w:pPr>
        <w:pStyle w:val="NoSpacing"/>
        <w:rPr>
          <w:rFonts w:ascii="Times New Roman" w:hAnsi="Times New Roman"/>
          <w:bCs/>
          <w:sz w:val="24"/>
          <w:szCs w:val="24"/>
        </w:rPr>
      </w:pPr>
    </w:p>
    <w:p w14:paraId="76E95EDD" w14:textId="77777777" w:rsidR="0060296F" w:rsidRPr="0060296F" w:rsidRDefault="0060296F" w:rsidP="0060296F">
      <w:pPr>
        <w:pStyle w:val="NoSpacing"/>
        <w:ind w:left="720"/>
        <w:rPr>
          <w:rFonts w:ascii="Times New Roman" w:hAnsi="Times New Roman"/>
          <w:bCs/>
          <w:sz w:val="24"/>
          <w:szCs w:val="24"/>
        </w:rPr>
      </w:pPr>
      <w:r w:rsidRPr="0060296F">
        <w:rPr>
          <w:rFonts w:ascii="Times New Roman" w:hAnsi="Times New Roman"/>
          <w:sz w:val="24"/>
          <w:szCs w:val="24"/>
        </w:rPr>
        <w:t>“Applying a rational basis review, we hold that the City’s in-a-park category within FAS 17-01, section 3.4 allows the indiscriminate and standardless removal of such obstructions and is not carefully tailored to meet a legitimate governmental goal. Accordingly, section 3.4 is facially unconstitutional under article I, section 7 of the Washington State Constitution.</w:t>
      </w:r>
    </w:p>
    <w:p w14:paraId="71E932F4" w14:textId="77777777" w:rsidR="0060296F" w:rsidRPr="0060296F" w:rsidRDefault="0060296F" w:rsidP="0060296F">
      <w:pPr>
        <w:pStyle w:val="NoSpacing"/>
        <w:ind w:left="720"/>
        <w:rPr>
          <w:rFonts w:ascii="Times New Roman" w:hAnsi="Times New Roman"/>
          <w:bCs/>
          <w:sz w:val="24"/>
          <w:szCs w:val="24"/>
        </w:rPr>
      </w:pPr>
    </w:p>
    <w:p w14:paraId="1A549F6C" w14:textId="77777777" w:rsidR="0060296F" w:rsidRPr="0060296F" w:rsidRDefault="0060296F" w:rsidP="0060296F">
      <w:pPr>
        <w:pStyle w:val="NoSpacing"/>
        <w:ind w:left="720"/>
        <w:rPr>
          <w:rFonts w:ascii="Times New Roman" w:hAnsi="Times New Roman"/>
          <w:bCs/>
          <w:sz w:val="24"/>
          <w:szCs w:val="24"/>
        </w:rPr>
      </w:pPr>
      <w:r w:rsidRPr="0060296F">
        <w:rPr>
          <w:rFonts w:ascii="Times New Roman" w:hAnsi="Times New Roman"/>
          <w:sz w:val="24"/>
          <w:szCs w:val="24"/>
        </w:rPr>
        <w:t>***</w:t>
      </w:r>
    </w:p>
    <w:p w14:paraId="3B74B18D" w14:textId="77777777" w:rsidR="0060296F" w:rsidRPr="0060296F" w:rsidRDefault="0060296F" w:rsidP="0060296F">
      <w:pPr>
        <w:pStyle w:val="NoSpacing"/>
        <w:rPr>
          <w:rFonts w:ascii="Times New Roman" w:hAnsi="Times New Roman"/>
          <w:bCs/>
          <w:sz w:val="24"/>
          <w:szCs w:val="24"/>
        </w:rPr>
      </w:pPr>
    </w:p>
    <w:p w14:paraId="06CC345C" w14:textId="7BB4EABC" w:rsidR="0060296F" w:rsidRPr="0060296F" w:rsidRDefault="0060296F" w:rsidP="0060296F">
      <w:pPr>
        <w:pStyle w:val="NoSpacing"/>
        <w:ind w:left="720"/>
        <w:rPr>
          <w:rFonts w:ascii="Times New Roman" w:hAnsi="Times New Roman"/>
          <w:bCs/>
          <w:sz w:val="24"/>
          <w:szCs w:val="24"/>
        </w:rPr>
      </w:pPr>
      <w:r w:rsidRPr="0060296F">
        <w:rPr>
          <w:rFonts w:ascii="Times New Roman" w:hAnsi="Times New Roman"/>
          <w:sz w:val="24"/>
          <w:szCs w:val="24"/>
        </w:rPr>
        <w:t xml:space="preserve">On its face, the rules do not bind the in-a-park category with minimum requirements or standards that connect those obstructions to health and safety concerns. To restate the challenged provision, the in-a-park category allows the City to immediately remove ‘people, tents, personal property, garbage, debris or other objects related to an encampment’ merely because the encampment exists ‘in a </w:t>
      </w:r>
      <w:proofErr w:type="gramStart"/>
      <w:r w:rsidRPr="0060296F">
        <w:rPr>
          <w:rFonts w:ascii="Times New Roman" w:hAnsi="Times New Roman"/>
          <w:sz w:val="24"/>
          <w:szCs w:val="24"/>
        </w:rPr>
        <w:t>City</w:t>
      </w:r>
      <w:proofErr w:type="gramEnd"/>
      <w:r w:rsidRPr="0060296F">
        <w:rPr>
          <w:rFonts w:ascii="Times New Roman" w:hAnsi="Times New Roman"/>
          <w:sz w:val="24"/>
          <w:szCs w:val="24"/>
        </w:rPr>
        <w:t xml:space="preserve"> park or on a public sidewalk.” </w:t>
      </w:r>
    </w:p>
    <w:p w14:paraId="55A1E76F" w14:textId="77777777" w:rsidR="00AC2AA9" w:rsidRDefault="00AC2AA9" w:rsidP="0039158C">
      <w:pPr>
        <w:pStyle w:val="NoSpacing"/>
        <w:rPr>
          <w:rFonts w:ascii="Times New Roman" w:hAnsi="Times New Roman"/>
          <w:sz w:val="24"/>
          <w:szCs w:val="24"/>
        </w:rPr>
      </w:pPr>
    </w:p>
    <w:p w14:paraId="53C7D542" w14:textId="65890C18" w:rsidR="0039158C" w:rsidRPr="0039158C" w:rsidRDefault="0039158C" w:rsidP="0039158C">
      <w:pPr>
        <w:pStyle w:val="NoSpacing"/>
        <w:rPr>
          <w:rFonts w:ascii="Times New Roman" w:hAnsi="Times New Roman"/>
          <w:bCs/>
          <w:sz w:val="24"/>
          <w:szCs w:val="24"/>
        </w:rPr>
      </w:pPr>
      <w:r w:rsidRPr="0039158C">
        <w:rPr>
          <w:rFonts w:ascii="Times New Roman" w:hAnsi="Times New Roman"/>
          <w:sz w:val="24"/>
          <w:szCs w:val="24"/>
        </w:rPr>
        <w:t>HOLDING:</w:t>
      </w:r>
    </w:p>
    <w:p w14:paraId="344D367E" w14:textId="77777777" w:rsidR="0039158C" w:rsidRPr="0039158C" w:rsidRDefault="0039158C" w:rsidP="0039158C">
      <w:pPr>
        <w:pStyle w:val="NoSpacing"/>
        <w:rPr>
          <w:rFonts w:ascii="Times New Roman" w:hAnsi="Times New Roman"/>
          <w:b/>
          <w:sz w:val="24"/>
          <w:szCs w:val="24"/>
        </w:rPr>
      </w:pPr>
    </w:p>
    <w:p w14:paraId="113060BC" w14:textId="77777777" w:rsidR="0039158C" w:rsidRPr="0039158C" w:rsidRDefault="0039158C" w:rsidP="0039158C">
      <w:pPr>
        <w:pStyle w:val="NoSpacing"/>
        <w:ind w:left="720"/>
        <w:rPr>
          <w:rFonts w:ascii="Times New Roman" w:hAnsi="Times New Roman"/>
          <w:bCs/>
          <w:sz w:val="24"/>
          <w:szCs w:val="24"/>
        </w:rPr>
      </w:pPr>
      <w:r w:rsidRPr="0039158C">
        <w:rPr>
          <w:rFonts w:ascii="Times New Roman" w:hAnsi="Times New Roman"/>
          <w:sz w:val="24"/>
          <w:szCs w:val="24"/>
        </w:rPr>
        <w:t xml:space="preserve">“We recognize that having one’s belongings and temporary home removed without notice may feel punishing, but that does not equate to criminal punishment as contemplated under article I, section 14. Accordingly, we reverse the trial court’s order concluding that the </w:t>
      </w:r>
      <w:proofErr w:type="gramStart"/>
      <w:r w:rsidRPr="0039158C">
        <w:rPr>
          <w:rFonts w:ascii="Times New Roman" w:hAnsi="Times New Roman"/>
          <w:sz w:val="24"/>
          <w:szCs w:val="24"/>
        </w:rPr>
        <w:t>in-a-park</w:t>
      </w:r>
      <w:proofErr w:type="gramEnd"/>
      <w:r w:rsidRPr="0039158C">
        <w:rPr>
          <w:rFonts w:ascii="Times New Roman" w:hAnsi="Times New Roman"/>
          <w:sz w:val="24"/>
          <w:szCs w:val="24"/>
        </w:rPr>
        <w:t xml:space="preserve"> category is facially unconstitutional under article I, section 14.</w:t>
      </w:r>
    </w:p>
    <w:p w14:paraId="07FBC16D" w14:textId="77777777" w:rsidR="0039158C" w:rsidRPr="0039158C" w:rsidRDefault="0039158C" w:rsidP="0039158C">
      <w:pPr>
        <w:pStyle w:val="NoSpacing"/>
        <w:ind w:left="720"/>
        <w:rPr>
          <w:rFonts w:ascii="Times New Roman" w:hAnsi="Times New Roman"/>
          <w:bCs/>
          <w:sz w:val="24"/>
          <w:szCs w:val="24"/>
        </w:rPr>
      </w:pPr>
    </w:p>
    <w:p w14:paraId="60381DC1" w14:textId="77777777" w:rsidR="0039158C" w:rsidRPr="0039158C" w:rsidRDefault="0039158C" w:rsidP="0039158C">
      <w:pPr>
        <w:pStyle w:val="NoSpacing"/>
        <w:ind w:left="720"/>
        <w:rPr>
          <w:rFonts w:ascii="Times New Roman" w:hAnsi="Times New Roman"/>
          <w:bCs/>
          <w:sz w:val="24"/>
          <w:szCs w:val="24"/>
        </w:rPr>
      </w:pPr>
      <w:r w:rsidRPr="0039158C">
        <w:rPr>
          <w:rFonts w:ascii="Times New Roman" w:hAnsi="Times New Roman"/>
          <w:sz w:val="24"/>
          <w:szCs w:val="24"/>
        </w:rPr>
        <w:t>***</w:t>
      </w:r>
    </w:p>
    <w:p w14:paraId="63DA66ED" w14:textId="77777777" w:rsidR="0039158C" w:rsidRPr="0039158C" w:rsidRDefault="0039158C" w:rsidP="0039158C">
      <w:pPr>
        <w:pStyle w:val="NoSpacing"/>
        <w:ind w:firstLine="720"/>
        <w:rPr>
          <w:rFonts w:ascii="Times New Roman" w:hAnsi="Times New Roman"/>
          <w:bCs/>
          <w:sz w:val="24"/>
          <w:szCs w:val="24"/>
        </w:rPr>
      </w:pPr>
    </w:p>
    <w:p w14:paraId="4CAB8EEE" w14:textId="77777777" w:rsidR="0039158C" w:rsidRPr="0039158C" w:rsidRDefault="0039158C" w:rsidP="0039158C">
      <w:pPr>
        <w:pStyle w:val="NoSpacing"/>
        <w:ind w:firstLine="720"/>
        <w:rPr>
          <w:rFonts w:ascii="Times New Roman" w:hAnsi="Times New Roman"/>
          <w:bCs/>
          <w:sz w:val="24"/>
          <w:szCs w:val="24"/>
        </w:rPr>
      </w:pPr>
      <w:r w:rsidRPr="0039158C">
        <w:rPr>
          <w:rFonts w:ascii="Times New Roman" w:hAnsi="Times New Roman"/>
          <w:sz w:val="24"/>
          <w:szCs w:val="24"/>
        </w:rPr>
        <w:t xml:space="preserve">We affirm in part, reverse in part, and remand for further proceedings.” </w:t>
      </w:r>
    </w:p>
    <w:p w14:paraId="6C970B76" w14:textId="77777777" w:rsidR="0039158C" w:rsidRPr="0039158C" w:rsidRDefault="0039158C" w:rsidP="0039158C">
      <w:pPr>
        <w:pStyle w:val="NoSpacing"/>
        <w:ind w:firstLine="720"/>
        <w:rPr>
          <w:rFonts w:ascii="Times New Roman" w:hAnsi="Times New Roman"/>
          <w:bCs/>
          <w:sz w:val="24"/>
          <w:szCs w:val="24"/>
        </w:rPr>
      </w:pPr>
    </w:p>
    <w:p w14:paraId="799FA73F" w14:textId="77777777" w:rsidR="0039158C" w:rsidRPr="0039158C" w:rsidRDefault="0039158C" w:rsidP="0039158C">
      <w:pPr>
        <w:pStyle w:val="NoSpacing"/>
        <w:rPr>
          <w:rFonts w:ascii="Times New Roman" w:hAnsi="Times New Roman"/>
          <w:b/>
          <w:sz w:val="24"/>
          <w:szCs w:val="24"/>
        </w:rPr>
      </w:pPr>
      <w:r w:rsidRPr="0039158C">
        <w:rPr>
          <w:rFonts w:ascii="Times New Roman" w:hAnsi="Times New Roman"/>
          <w:b/>
          <w:sz w:val="24"/>
          <w:szCs w:val="24"/>
        </w:rPr>
        <w:t>Legal Lesson Learned: When drafting homeless removal ordinance, consider including a pro vision requiring notice be provided at least one day prior to removal of personal property.</w:t>
      </w:r>
    </w:p>
    <w:p w14:paraId="7CE025FA" w14:textId="77777777" w:rsidR="0039158C" w:rsidRPr="0039158C" w:rsidRDefault="0039158C" w:rsidP="0039158C">
      <w:pPr>
        <w:pStyle w:val="NoSpacing"/>
        <w:ind w:firstLine="720"/>
        <w:rPr>
          <w:rFonts w:ascii="Times New Roman" w:hAnsi="Times New Roman"/>
          <w:bCs/>
          <w:sz w:val="24"/>
          <w:szCs w:val="24"/>
        </w:rPr>
      </w:pPr>
    </w:p>
    <w:p w14:paraId="02BFFBDD" w14:textId="77777777" w:rsidR="004B0DC2" w:rsidRDefault="004B0DC2" w:rsidP="00B86628">
      <w:pPr>
        <w:pStyle w:val="NoSpacing"/>
        <w:rPr>
          <w:rFonts w:ascii="Arial Black" w:hAnsi="Arial Black"/>
          <w:sz w:val="24"/>
          <w:szCs w:val="24"/>
        </w:rPr>
      </w:pPr>
    </w:p>
    <w:p w14:paraId="3BA7CACC" w14:textId="695E060F" w:rsidR="004B0DC2" w:rsidRDefault="0039158C" w:rsidP="00B86628">
      <w:pPr>
        <w:pStyle w:val="NoSpacing"/>
        <w:rPr>
          <w:rFonts w:ascii="Arial Black" w:hAnsi="Arial Black"/>
          <w:sz w:val="24"/>
          <w:szCs w:val="24"/>
        </w:rPr>
      </w:pPr>
      <w:r>
        <w:rPr>
          <w:rFonts w:ascii="Arial Black" w:hAnsi="Arial Black"/>
          <w:sz w:val="24"/>
          <w:szCs w:val="24"/>
        </w:rPr>
        <w:t>1-168</w:t>
      </w:r>
    </w:p>
    <w:p w14:paraId="4EA15B80" w14:textId="77777777" w:rsidR="0039158C" w:rsidRDefault="0039158C" w:rsidP="00B86628">
      <w:pPr>
        <w:pStyle w:val="NoSpacing"/>
        <w:rPr>
          <w:rFonts w:ascii="Arial Black" w:hAnsi="Arial Black"/>
          <w:sz w:val="24"/>
          <w:szCs w:val="24"/>
        </w:rPr>
      </w:pPr>
    </w:p>
    <w:p w14:paraId="4C3BDD20" w14:textId="77777777" w:rsidR="006E7CA0" w:rsidRDefault="006E7CA0" w:rsidP="006E7CA0">
      <w:pPr>
        <w:pStyle w:val="NoSpacing"/>
        <w:rPr>
          <w:rFonts w:ascii="Arial Black" w:hAnsi="Arial Black"/>
          <w:b/>
          <w:sz w:val="28"/>
          <w:szCs w:val="28"/>
        </w:rPr>
      </w:pPr>
      <w:r>
        <w:rPr>
          <w:rFonts w:ascii="Arial Black" w:hAnsi="Arial Black"/>
          <w:b/>
          <w:sz w:val="28"/>
          <w:szCs w:val="28"/>
        </w:rPr>
        <w:t>KY: VOL. FFs ARSON – CHURCH – NOT FEDERAL CASE</w:t>
      </w:r>
    </w:p>
    <w:p w14:paraId="487505EE" w14:textId="77777777" w:rsidR="001A3D7F" w:rsidRDefault="001A3D7F" w:rsidP="00905074">
      <w:pPr>
        <w:rPr>
          <w:rFonts w:ascii="Times New Roman" w:hAnsi="Times New Roman"/>
          <w:sz w:val="24"/>
          <w:szCs w:val="24"/>
        </w:rPr>
      </w:pPr>
    </w:p>
    <w:p w14:paraId="434835AC" w14:textId="47CAC1AE" w:rsidR="00905074" w:rsidRPr="00905074" w:rsidRDefault="00905074" w:rsidP="00905074">
      <w:pPr>
        <w:rPr>
          <w:rStyle w:val="Hyperlink"/>
          <w:rFonts w:ascii="Times New Roman" w:hAnsi="Times New Roman"/>
          <w:bCs/>
          <w:sz w:val="24"/>
          <w:szCs w:val="24"/>
        </w:rPr>
      </w:pPr>
      <w:r w:rsidRPr="00905074">
        <w:rPr>
          <w:rFonts w:ascii="Times New Roman" w:hAnsi="Times New Roman"/>
          <w:sz w:val="24"/>
          <w:szCs w:val="24"/>
        </w:rPr>
        <w:t xml:space="preserve">On Dec. 3, 2024, in </w:t>
      </w:r>
      <w:r w:rsidRPr="00905074">
        <w:rPr>
          <w:rFonts w:ascii="Times New Roman" w:hAnsi="Times New Roman"/>
          <w:sz w:val="24"/>
          <w:szCs w:val="24"/>
          <w:u w:val="single"/>
        </w:rPr>
        <w:t>United States of America v. Brendan J. Gibson and Robert J. Hughes</w:t>
      </w:r>
      <w:r w:rsidRPr="00905074">
        <w:rPr>
          <w:rFonts w:ascii="Times New Roman" w:hAnsi="Times New Roman"/>
          <w:sz w:val="24"/>
          <w:szCs w:val="24"/>
        </w:rPr>
        <w:t xml:space="preserve">, United States District Court Judge David L. Bunning, U.S. District Court for the Eastern District of Kentucky, granted the defendant’s motion to dismiss the federal indictment because the church building located at 10950 Dixie Highway, Corinth, KY is not used in interstate commerce,  nor used in any activity affecting interstate commerce. </w:t>
      </w:r>
      <w:hyperlink r:id="rId94" w:history="1">
        <w:r w:rsidRPr="00905074">
          <w:rPr>
            <w:rStyle w:val="Hyperlink"/>
            <w:rFonts w:ascii="Times New Roman" w:hAnsi="Times New Roman"/>
            <w:sz w:val="24"/>
            <w:szCs w:val="24"/>
          </w:rPr>
          <w:t>https://casetext.com/case/united-states-v-gibson-453</w:t>
        </w:r>
      </w:hyperlink>
      <w:r w:rsidRPr="00905074">
        <w:rPr>
          <w:rStyle w:val="Hyperlink"/>
          <w:rFonts w:ascii="Times New Roman" w:hAnsi="Times New Roman"/>
          <w:sz w:val="24"/>
          <w:szCs w:val="24"/>
        </w:rPr>
        <w:t xml:space="preserve"> </w:t>
      </w:r>
    </w:p>
    <w:p w14:paraId="004E8FF9" w14:textId="2C45CA47" w:rsidR="006E7CA0" w:rsidRPr="006E7CA0" w:rsidRDefault="006E7CA0" w:rsidP="006E7CA0">
      <w:pPr>
        <w:pStyle w:val="NoSpacing"/>
        <w:rPr>
          <w:rFonts w:ascii="Times New Roman" w:hAnsi="Times New Roman"/>
          <w:bCs/>
          <w:sz w:val="24"/>
          <w:szCs w:val="24"/>
        </w:rPr>
      </w:pPr>
      <w:r w:rsidRPr="006E7CA0">
        <w:rPr>
          <w:rFonts w:ascii="Times New Roman" w:hAnsi="Times New Roman"/>
          <w:sz w:val="24"/>
          <w:szCs w:val="24"/>
        </w:rPr>
        <w:t>The Court wrote:</w:t>
      </w:r>
    </w:p>
    <w:p w14:paraId="60F6005F" w14:textId="77777777" w:rsidR="006E7CA0" w:rsidRPr="006E7CA0" w:rsidRDefault="006E7CA0" w:rsidP="006E7CA0">
      <w:pPr>
        <w:pStyle w:val="NoSpacing"/>
        <w:rPr>
          <w:rFonts w:ascii="Times New Roman" w:hAnsi="Times New Roman"/>
          <w:bCs/>
          <w:sz w:val="24"/>
          <w:szCs w:val="24"/>
        </w:rPr>
      </w:pPr>
    </w:p>
    <w:p w14:paraId="58793034" w14:textId="519F40E2" w:rsidR="006E7CA0" w:rsidRPr="006E7CA0" w:rsidRDefault="006E7CA0" w:rsidP="006E7CA0">
      <w:pPr>
        <w:pStyle w:val="NoSpacing"/>
        <w:ind w:left="720"/>
        <w:rPr>
          <w:rFonts w:ascii="Times New Roman" w:hAnsi="Times New Roman"/>
          <w:bCs/>
          <w:sz w:val="24"/>
          <w:szCs w:val="24"/>
        </w:rPr>
      </w:pPr>
      <w:r w:rsidRPr="006E7CA0">
        <w:rPr>
          <w:rFonts w:ascii="Times New Roman" w:hAnsi="Times New Roman"/>
          <w:sz w:val="24"/>
          <w:szCs w:val="24"/>
        </w:rPr>
        <w:t xml:space="preserve">“Based on the Government's proffer of the evidence, the arguments presented, and the authorities cited, the Court concludes that the United States cannot, as a matter of law, prove the required interstate commerce element of the offense charged.” </w:t>
      </w:r>
    </w:p>
    <w:p w14:paraId="78D7B5C2" w14:textId="77777777" w:rsidR="0039158C" w:rsidRDefault="0039158C" w:rsidP="00B86628">
      <w:pPr>
        <w:pStyle w:val="NoSpacing"/>
        <w:rPr>
          <w:rFonts w:ascii="Arial Black" w:hAnsi="Arial Black"/>
          <w:sz w:val="24"/>
          <w:szCs w:val="24"/>
        </w:rPr>
      </w:pPr>
    </w:p>
    <w:p w14:paraId="495BF7F9" w14:textId="77777777" w:rsidR="00F755DB" w:rsidRPr="00F755DB" w:rsidRDefault="00F755DB" w:rsidP="00F755DB">
      <w:pPr>
        <w:pStyle w:val="NoSpacing"/>
        <w:rPr>
          <w:rFonts w:ascii="Times New Roman" w:hAnsi="Times New Roman"/>
          <w:sz w:val="24"/>
          <w:szCs w:val="24"/>
        </w:rPr>
      </w:pPr>
      <w:r w:rsidRPr="00F755DB">
        <w:rPr>
          <w:rFonts w:ascii="Times New Roman" w:hAnsi="Times New Roman"/>
          <w:sz w:val="24"/>
          <w:szCs w:val="24"/>
        </w:rPr>
        <w:t>HOLDING:</w:t>
      </w:r>
    </w:p>
    <w:p w14:paraId="6844D4CF" w14:textId="77777777" w:rsidR="00F755DB" w:rsidRPr="00F755DB" w:rsidRDefault="00F755DB" w:rsidP="00F755DB">
      <w:pPr>
        <w:pStyle w:val="NoSpacing"/>
        <w:rPr>
          <w:rFonts w:ascii="Times New Roman" w:hAnsi="Times New Roman"/>
          <w:sz w:val="24"/>
          <w:szCs w:val="24"/>
        </w:rPr>
      </w:pPr>
    </w:p>
    <w:p w14:paraId="33A502BC" w14:textId="77777777" w:rsidR="00F755DB" w:rsidRPr="00F755DB" w:rsidRDefault="00F755DB" w:rsidP="00F755DB">
      <w:pPr>
        <w:pStyle w:val="NoSpacing"/>
        <w:ind w:left="720"/>
        <w:rPr>
          <w:rFonts w:ascii="Times New Roman" w:hAnsi="Times New Roman"/>
          <w:sz w:val="24"/>
          <w:szCs w:val="24"/>
        </w:rPr>
      </w:pPr>
      <w:r w:rsidRPr="00F755DB">
        <w:rPr>
          <w:rFonts w:ascii="Times New Roman" w:hAnsi="Times New Roman"/>
          <w:sz w:val="24"/>
          <w:szCs w:val="24"/>
        </w:rPr>
        <w:t>“At that hearing, the United States confirmed that the building in question was a church. Additionally, when prompted by the Court, the United States proffered the following evidence relating to the Church's interstate activity: (1) the week before the arson occurred, the Church participated in the U.S. 25 yard sale as a fundraiser for an international mission trip, which raised $700; (2) the Church participated in multiple fundraising events for international mission trips; (3) the Church was used as a youth event location; (4) the Church engaged in cookouts; (5) the Church held movie nights; (6) the Church provided food to the community; (7) the Church was a youth facility for a local recovery team; (8) communion was purchased out of state; (9) four or five out of state pastors had visited the Church; and (10) the building was an annex. Defendants did not contest any of the above proffered facts.</w:t>
      </w:r>
    </w:p>
    <w:p w14:paraId="5C66B199" w14:textId="77777777" w:rsidR="00F755DB" w:rsidRPr="00F755DB" w:rsidRDefault="00F755DB" w:rsidP="00F755DB">
      <w:pPr>
        <w:pStyle w:val="NoSpacing"/>
        <w:ind w:left="720"/>
        <w:rPr>
          <w:rFonts w:ascii="Times New Roman" w:hAnsi="Times New Roman"/>
          <w:sz w:val="24"/>
          <w:szCs w:val="24"/>
        </w:rPr>
      </w:pPr>
    </w:p>
    <w:p w14:paraId="6AB82979" w14:textId="77777777" w:rsidR="00F755DB" w:rsidRPr="00F755DB" w:rsidRDefault="00F755DB" w:rsidP="00F755DB">
      <w:pPr>
        <w:pStyle w:val="NoSpacing"/>
        <w:ind w:left="720"/>
        <w:rPr>
          <w:rFonts w:ascii="Times New Roman" w:hAnsi="Times New Roman"/>
          <w:sz w:val="24"/>
          <w:szCs w:val="24"/>
        </w:rPr>
      </w:pPr>
      <w:r w:rsidRPr="00F755DB">
        <w:rPr>
          <w:rFonts w:ascii="Times New Roman" w:hAnsi="Times New Roman"/>
          <w:sz w:val="24"/>
          <w:szCs w:val="24"/>
        </w:rPr>
        <w:t>***</w:t>
      </w:r>
    </w:p>
    <w:p w14:paraId="361C0091" w14:textId="77777777" w:rsidR="00F755DB" w:rsidRPr="00F755DB" w:rsidRDefault="00F755DB" w:rsidP="00F755DB">
      <w:pPr>
        <w:pStyle w:val="NoSpacing"/>
        <w:ind w:left="720"/>
        <w:rPr>
          <w:rFonts w:ascii="Times New Roman" w:hAnsi="Times New Roman"/>
          <w:sz w:val="24"/>
          <w:szCs w:val="24"/>
        </w:rPr>
      </w:pPr>
      <w:r w:rsidRPr="00F755DB">
        <w:rPr>
          <w:rFonts w:ascii="Times New Roman" w:hAnsi="Times New Roman"/>
          <w:sz w:val="24"/>
          <w:szCs w:val="24"/>
        </w:rPr>
        <w:t xml:space="preserve">At the November 21, </w:t>
      </w:r>
      <w:proofErr w:type="gramStart"/>
      <w:r w:rsidRPr="00F755DB">
        <w:rPr>
          <w:rFonts w:ascii="Times New Roman" w:hAnsi="Times New Roman"/>
          <w:sz w:val="24"/>
          <w:szCs w:val="24"/>
        </w:rPr>
        <w:t>2024</w:t>
      </w:r>
      <w:proofErr w:type="gramEnd"/>
      <w:r w:rsidRPr="00F755DB">
        <w:rPr>
          <w:rFonts w:ascii="Times New Roman" w:hAnsi="Times New Roman"/>
          <w:sz w:val="24"/>
          <w:szCs w:val="24"/>
        </w:rPr>
        <w:t xml:space="preserve"> pretrial hearing addressing Defendants' Motions, the United States affirmatively indicated that there is no dispute that the building in question is classified as a church or place of worship. Moreover, the detailed facts proffered by the United States, which this Court would describe as a full proffer of the evidence, were undisputed at the hearing. Thus, collectively, the full proffer of facts presented by the United States (both the classification of the building and the potential interstate activities) are entirely undisputed. What remains then, is solely a question of law-whether the undisputed evidence proffered by the United States is sufficient to satisfy the interstate commerce element of </w:t>
      </w:r>
      <w:hyperlink r:id="rId95" w:history="1">
        <w:r w:rsidRPr="00F755DB">
          <w:rPr>
            <w:rStyle w:val="Hyperlink"/>
            <w:rFonts w:ascii="Times New Roman" w:hAnsi="Times New Roman"/>
            <w:sz w:val="24"/>
            <w:szCs w:val="24"/>
          </w:rPr>
          <w:t>18 U.S.C. § 844(</w:t>
        </w:r>
        <w:proofErr w:type="spellStart"/>
        <w:r w:rsidRPr="00F755DB">
          <w:rPr>
            <w:rStyle w:val="Hyperlink"/>
            <w:rFonts w:ascii="Times New Roman" w:hAnsi="Times New Roman"/>
            <w:sz w:val="24"/>
            <w:szCs w:val="24"/>
          </w:rPr>
          <w:t>i</w:t>
        </w:r>
        <w:proofErr w:type="spellEnd"/>
        <w:r w:rsidRPr="00F755DB">
          <w:rPr>
            <w:rStyle w:val="Hyperlink"/>
            <w:rFonts w:ascii="Times New Roman" w:hAnsi="Times New Roman"/>
            <w:sz w:val="24"/>
            <w:szCs w:val="24"/>
          </w:rPr>
          <w:t>)</w:t>
        </w:r>
      </w:hyperlink>
      <w:r w:rsidRPr="00F755DB">
        <w:rPr>
          <w:rFonts w:ascii="Times New Roman" w:hAnsi="Times New Roman"/>
          <w:sz w:val="24"/>
          <w:szCs w:val="24"/>
        </w:rPr>
        <w:t>.</w:t>
      </w:r>
    </w:p>
    <w:p w14:paraId="6B4E8CF2" w14:textId="77777777" w:rsidR="00F755DB" w:rsidRPr="00F755DB" w:rsidRDefault="00F755DB" w:rsidP="00F755DB">
      <w:pPr>
        <w:pStyle w:val="NoSpacing"/>
        <w:ind w:left="720"/>
        <w:rPr>
          <w:rFonts w:ascii="Times New Roman" w:hAnsi="Times New Roman"/>
          <w:sz w:val="24"/>
          <w:szCs w:val="24"/>
        </w:rPr>
      </w:pPr>
    </w:p>
    <w:p w14:paraId="3F820AB0" w14:textId="77777777" w:rsidR="00F755DB" w:rsidRPr="00F755DB" w:rsidRDefault="00F755DB" w:rsidP="00F755DB">
      <w:pPr>
        <w:pStyle w:val="NoSpacing"/>
        <w:ind w:left="720"/>
        <w:rPr>
          <w:rFonts w:ascii="Times New Roman" w:hAnsi="Times New Roman"/>
          <w:sz w:val="24"/>
          <w:szCs w:val="24"/>
        </w:rPr>
      </w:pPr>
      <w:r w:rsidRPr="00F755DB">
        <w:rPr>
          <w:rFonts w:ascii="Times New Roman" w:hAnsi="Times New Roman"/>
          <w:sz w:val="24"/>
          <w:szCs w:val="24"/>
        </w:rPr>
        <w:t>***</w:t>
      </w:r>
    </w:p>
    <w:p w14:paraId="7AE0D5A1" w14:textId="77777777" w:rsidR="00F755DB" w:rsidRPr="00F755DB" w:rsidRDefault="00F755DB" w:rsidP="00F755DB">
      <w:pPr>
        <w:pStyle w:val="NoSpacing"/>
        <w:ind w:left="720"/>
        <w:rPr>
          <w:rFonts w:ascii="Times New Roman" w:hAnsi="Times New Roman"/>
          <w:bCs/>
          <w:sz w:val="24"/>
          <w:szCs w:val="24"/>
        </w:rPr>
      </w:pPr>
    </w:p>
    <w:p w14:paraId="1E707D92" w14:textId="77777777" w:rsidR="00F755DB" w:rsidRPr="00F755DB" w:rsidRDefault="00F755DB" w:rsidP="00F755DB">
      <w:pPr>
        <w:pStyle w:val="NoSpacing"/>
        <w:ind w:left="720"/>
        <w:rPr>
          <w:rFonts w:ascii="Times New Roman" w:hAnsi="Times New Roman"/>
          <w:sz w:val="24"/>
          <w:szCs w:val="24"/>
        </w:rPr>
      </w:pPr>
      <w:r w:rsidRPr="00F755DB">
        <w:rPr>
          <w:rFonts w:ascii="Times New Roman" w:hAnsi="Times New Roman"/>
          <w:sz w:val="24"/>
          <w:szCs w:val="24"/>
        </w:rPr>
        <w:t>However, as part of its commerce clause power, Congress federalized certain arson crimes in 1982. In relevant part, the underlying arson statute provides that: ‘[w]</w:t>
      </w:r>
      <w:proofErr w:type="spellStart"/>
      <w:r w:rsidRPr="00F755DB">
        <w:rPr>
          <w:rFonts w:ascii="Times New Roman" w:hAnsi="Times New Roman"/>
          <w:sz w:val="24"/>
          <w:szCs w:val="24"/>
        </w:rPr>
        <w:t>hoever</w:t>
      </w:r>
      <w:proofErr w:type="spellEnd"/>
      <w:r w:rsidRPr="00F755DB">
        <w:rPr>
          <w:rFonts w:ascii="Times New Roman" w:hAnsi="Times New Roman"/>
          <w:sz w:val="24"/>
          <w:szCs w:val="24"/>
        </w:rPr>
        <w:t xml:space="preserve"> maliciously damages or destroys, or attempts to damage or destroy, by means of fire or an explosive, any building, vehicle, or other real or personal property </w:t>
      </w:r>
      <w:r w:rsidRPr="00F755DB">
        <w:rPr>
          <w:rFonts w:ascii="Times New Roman" w:hAnsi="Times New Roman"/>
          <w:i/>
          <w:iCs/>
          <w:sz w:val="24"/>
          <w:szCs w:val="24"/>
        </w:rPr>
        <w:t>used in interstate or foreign commerce or in any activity affecting interstate or foreign commerce shall be imprisoned</w:t>
      </w:r>
      <w:r w:rsidRPr="00F755DB">
        <w:rPr>
          <w:rFonts w:ascii="Times New Roman" w:hAnsi="Times New Roman"/>
          <w:sz w:val="24"/>
          <w:szCs w:val="24"/>
        </w:rPr>
        <w:t xml:space="preserve">.’ </w:t>
      </w:r>
      <w:hyperlink r:id="rId96" w:history="1">
        <w:r w:rsidRPr="00F755DB">
          <w:rPr>
            <w:rStyle w:val="Hyperlink"/>
            <w:rFonts w:ascii="Times New Roman" w:hAnsi="Times New Roman"/>
            <w:sz w:val="24"/>
            <w:szCs w:val="24"/>
          </w:rPr>
          <w:t>18 U.S.C. § 844(</w:t>
        </w:r>
        <w:proofErr w:type="spellStart"/>
        <w:r w:rsidRPr="00F755DB">
          <w:rPr>
            <w:rStyle w:val="Hyperlink"/>
            <w:rFonts w:ascii="Times New Roman" w:hAnsi="Times New Roman"/>
            <w:sz w:val="24"/>
            <w:szCs w:val="24"/>
          </w:rPr>
          <w:t>i</w:t>
        </w:r>
        <w:proofErr w:type="spellEnd"/>
        <w:r w:rsidRPr="00F755DB">
          <w:rPr>
            <w:rStyle w:val="Hyperlink"/>
            <w:rFonts w:ascii="Times New Roman" w:hAnsi="Times New Roman"/>
            <w:sz w:val="24"/>
            <w:szCs w:val="24"/>
          </w:rPr>
          <w:t>)</w:t>
        </w:r>
      </w:hyperlink>
      <w:r w:rsidRPr="00F755DB">
        <w:rPr>
          <w:rFonts w:ascii="Times New Roman" w:hAnsi="Times New Roman"/>
          <w:sz w:val="24"/>
          <w:szCs w:val="24"/>
        </w:rPr>
        <w:t xml:space="preserve"> (emphasis added). While broad in one aspect (prosecuting the arson of ‘any’ building), it is simultaneously limited by permitting prosecution only when such building is used in or affects interstate or foreign commerce. The effect of such limiting language ensures that there remain buildings which do not fall within the federal statute's domain. </w:t>
      </w:r>
      <w:r w:rsidRPr="00F755DB">
        <w:rPr>
          <w:rFonts w:ascii="Times New Roman" w:hAnsi="Times New Roman"/>
          <w:i/>
          <w:iCs/>
          <w:sz w:val="24"/>
          <w:szCs w:val="24"/>
        </w:rPr>
        <w:t>See</w:t>
      </w:r>
      <w:r w:rsidRPr="00F755DB">
        <w:rPr>
          <w:rFonts w:ascii="Times New Roman" w:hAnsi="Times New Roman"/>
          <w:sz w:val="24"/>
          <w:szCs w:val="24"/>
        </w:rPr>
        <w:t xml:space="preserve"> </w:t>
      </w:r>
      <w:r w:rsidRPr="00F755DB">
        <w:rPr>
          <w:rFonts w:ascii="Times New Roman" w:hAnsi="Times New Roman"/>
          <w:i/>
          <w:iCs/>
          <w:sz w:val="24"/>
          <w:szCs w:val="24"/>
        </w:rPr>
        <w:t>Jones</w:t>
      </w:r>
      <w:r w:rsidRPr="00F755DB">
        <w:rPr>
          <w:rFonts w:ascii="Times New Roman" w:hAnsi="Times New Roman"/>
          <w:sz w:val="24"/>
          <w:szCs w:val="24"/>
        </w:rPr>
        <w:t xml:space="preserve">, </w:t>
      </w:r>
      <w:hyperlink r:id="rId97" w:anchor="p859" w:history="1">
        <w:r w:rsidRPr="00F755DB">
          <w:rPr>
            <w:rStyle w:val="Hyperlink"/>
            <w:rFonts w:ascii="Times New Roman" w:hAnsi="Times New Roman"/>
            <w:sz w:val="24"/>
            <w:szCs w:val="24"/>
          </w:rPr>
          <w:t>529 U.S. at 859</w:t>
        </w:r>
      </w:hyperlink>
      <w:r w:rsidRPr="00F755DB">
        <w:rPr>
          <w:rFonts w:ascii="Times New Roman" w:hAnsi="Times New Roman"/>
          <w:sz w:val="24"/>
          <w:szCs w:val="24"/>
        </w:rPr>
        <w:t xml:space="preserve"> (but for the interstate commerce element, </w:t>
      </w:r>
      <w:hyperlink r:id="rId98" w:history="1">
        <w:r w:rsidRPr="00F755DB">
          <w:rPr>
            <w:rStyle w:val="Hyperlink"/>
            <w:rFonts w:ascii="Times New Roman" w:hAnsi="Times New Roman"/>
            <w:sz w:val="24"/>
            <w:szCs w:val="24"/>
          </w:rPr>
          <w:t>§ 844(</w:t>
        </w:r>
        <w:proofErr w:type="spellStart"/>
        <w:r w:rsidRPr="00F755DB">
          <w:rPr>
            <w:rStyle w:val="Hyperlink"/>
            <w:rFonts w:ascii="Times New Roman" w:hAnsi="Times New Roman"/>
            <w:sz w:val="24"/>
            <w:szCs w:val="24"/>
          </w:rPr>
          <w:t>i</w:t>
        </w:r>
        <w:proofErr w:type="spellEnd"/>
        <w:r w:rsidRPr="00F755DB">
          <w:rPr>
            <w:rStyle w:val="Hyperlink"/>
            <w:rFonts w:ascii="Times New Roman" w:hAnsi="Times New Roman"/>
            <w:sz w:val="24"/>
            <w:szCs w:val="24"/>
          </w:rPr>
          <w:t>)</w:t>
        </w:r>
      </w:hyperlink>
      <w:r w:rsidRPr="00F755DB">
        <w:rPr>
          <w:rFonts w:ascii="Times New Roman" w:hAnsi="Times New Roman"/>
          <w:sz w:val="24"/>
          <w:szCs w:val="24"/>
        </w:rPr>
        <w:t xml:space="preserve"> would transform ‘virtually every arson in the country [into] a federal offense.’).”</w:t>
      </w:r>
    </w:p>
    <w:p w14:paraId="5C8E1C16" w14:textId="77777777" w:rsidR="00F755DB" w:rsidRPr="00F755DB" w:rsidRDefault="00F755DB" w:rsidP="00F755DB">
      <w:pPr>
        <w:pStyle w:val="NoSpacing"/>
        <w:ind w:left="720"/>
        <w:rPr>
          <w:rFonts w:ascii="Times New Roman" w:hAnsi="Times New Roman"/>
          <w:sz w:val="24"/>
          <w:szCs w:val="24"/>
        </w:rPr>
      </w:pPr>
    </w:p>
    <w:p w14:paraId="52D84DDC" w14:textId="77777777" w:rsidR="00F755DB" w:rsidRPr="00F755DB" w:rsidRDefault="00F755DB" w:rsidP="00F755DB">
      <w:pPr>
        <w:pStyle w:val="NoSpacing"/>
        <w:rPr>
          <w:rFonts w:ascii="Times New Roman" w:hAnsi="Times New Roman"/>
          <w:b/>
          <w:bCs/>
          <w:sz w:val="24"/>
          <w:szCs w:val="24"/>
        </w:rPr>
      </w:pPr>
      <w:r w:rsidRPr="00F755DB">
        <w:rPr>
          <w:rFonts w:ascii="Times New Roman" w:hAnsi="Times New Roman"/>
          <w:b/>
          <w:sz w:val="24"/>
          <w:szCs w:val="24"/>
        </w:rPr>
        <w:t>Legal Lesson Learned: The firefighters can now be tried in state court.</w:t>
      </w:r>
    </w:p>
    <w:p w14:paraId="4F2FD0E8" w14:textId="77777777" w:rsidR="00F755DB" w:rsidRPr="004447C7" w:rsidRDefault="00F755DB" w:rsidP="00F755DB">
      <w:pPr>
        <w:pStyle w:val="NoSpacing"/>
        <w:rPr>
          <w:b/>
          <w:bCs/>
        </w:rPr>
      </w:pPr>
    </w:p>
    <w:p w14:paraId="58541979" w14:textId="77777777" w:rsidR="004B0DC2" w:rsidRDefault="004B0DC2" w:rsidP="00B86628">
      <w:pPr>
        <w:pStyle w:val="NoSpacing"/>
        <w:rPr>
          <w:rFonts w:ascii="Arial Black" w:hAnsi="Arial Black"/>
          <w:sz w:val="24"/>
          <w:szCs w:val="24"/>
        </w:rPr>
      </w:pPr>
    </w:p>
    <w:p w14:paraId="2A782240" w14:textId="77777777" w:rsidR="004B0DC2" w:rsidRDefault="004B0DC2" w:rsidP="00B86628">
      <w:pPr>
        <w:pStyle w:val="NoSpacing"/>
        <w:rPr>
          <w:rFonts w:ascii="Arial Black" w:hAnsi="Arial Black"/>
          <w:sz w:val="24"/>
          <w:szCs w:val="24"/>
        </w:rPr>
      </w:pPr>
    </w:p>
    <w:p w14:paraId="3BC156B1" w14:textId="2D622D7F" w:rsidR="00AE3DBB" w:rsidRDefault="00AE3DBB" w:rsidP="00B86628">
      <w:pPr>
        <w:pStyle w:val="NoSpacing"/>
        <w:rPr>
          <w:rFonts w:ascii="Arial Black" w:hAnsi="Arial Black"/>
          <w:sz w:val="24"/>
          <w:szCs w:val="24"/>
        </w:rPr>
      </w:pPr>
      <w:r>
        <w:rPr>
          <w:rFonts w:ascii="Arial Black" w:hAnsi="Arial Black"/>
          <w:sz w:val="24"/>
          <w:szCs w:val="24"/>
        </w:rPr>
        <w:t>1-167</w:t>
      </w:r>
    </w:p>
    <w:p w14:paraId="22A5AC98" w14:textId="77777777" w:rsidR="00AE3DBB" w:rsidRDefault="00AE3DBB" w:rsidP="00B86628">
      <w:pPr>
        <w:pStyle w:val="NoSpacing"/>
        <w:rPr>
          <w:rFonts w:ascii="Arial Black" w:hAnsi="Arial Black"/>
          <w:sz w:val="24"/>
          <w:szCs w:val="24"/>
        </w:rPr>
      </w:pPr>
    </w:p>
    <w:p w14:paraId="1AFFE091" w14:textId="77777777" w:rsidR="00FA5992" w:rsidRPr="0053642C" w:rsidRDefault="00FA5992" w:rsidP="00FA5992">
      <w:pPr>
        <w:pStyle w:val="NoSpacing"/>
        <w:rPr>
          <w:rFonts w:ascii="Arial Black" w:hAnsi="Arial Black"/>
          <w:bCs/>
          <w:sz w:val="28"/>
          <w:szCs w:val="28"/>
        </w:rPr>
      </w:pPr>
      <w:r>
        <w:rPr>
          <w:rFonts w:ascii="Arial Black" w:hAnsi="Arial Black"/>
          <w:sz w:val="28"/>
          <w:szCs w:val="28"/>
        </w:rPr>
        <w:t xml:space="preserve">OH: ARSON - </w:t>
      </w:r>
      <w:r w:rsidRPr="00F01098">
        <w:rPr>
          <w:rFonts w:ascii="Arial Black" w:hAnsi="Arial Black"/>
          <w:sz w:val="28"/>
          <w:szCs w:val="28"/>
        </w:rPr>
        <w:t>2018 H</w:t>
      </w:r>
      <w:r>
        <w:rPr>
          <w:rFonts w:ascii="Arial Black" w:hAnsi="Arial Black"/>
          <w:sz w:val="28"/>
          <w:szCs w:val="28"/>
        </w:rPr>
        <w:t>ONDA ACCORD – “REAL TIME CRIME” STREET CAMERA / ARSONIST</w:t>
      </w:r>
      <w:r>
        <w:rPr>
          <w:rFonts w:ascii="Arial Black" w:hAnsi="Arial Black"/>
          <w:bCs/>
          <w:sz w:val="28"/>
          <w:szCs w:val="28"/>
        </w:rPr>
        <w:t xml:space="preserve"> AT</w:t>
      </w:r>
      <w:r>
        <w:rPr>
          <w:rFonts w:ascii="Arial Black" w:hAnsi="Arial Black"/>
          <w:sz w:val="28"/>
          <w:szCs w:val="28"/>
        </w:rPr>
        <w:t xml:space="preserve"> GAS STATION – 4</w:t>
      </w:r>
      <w:r>
        <w:rPr>
          <w:rFonts w:ascii="Arial Black" w:hAnsi="Arial Black"/>
          <w:bCs/>
          <w:sz w:val="28"/>
          <w:szCs w:val="28"/>
        </w:rPr>
        <w:t xml:space="preserve"> TO </w:t>
      </w:r>
      <w:r>
        <w:rPr>
          <w:rFonts w:ascii="Arial Black" w:hAnsi="Arial Black"/>
          <w:sz w:val="28"/>
          <w:szCs w:val="28"/>
        </w:rPr>
        <w:t>6 Y</w:t>
      </w:r>
      <w:r>
        <w:rPr>
          <w:rFonts w:ascii="Arial Black" w:hAnsi="Arial Black"/>
          <w:bCs/>
          <w:sz w:val="28"/>
          <w:szCs w:val="28"/>
        </w:rPr>
        <w:t xml:space="preserve">RS </w:t>
      </w:r>
    </w:p>
    <w:p w14:paraId="6556CFCC" w14:textId="77777777" w:rsidR="00FA5992" w:rsidRDefault="00FA5992" w:rsidP="00FA5992">
      <w:pPr>
        <w:pStyle w:val="NoSpacing"/>
        <w:rPr>
          <w:bCs/>
        </w:rPr>
      </w:pPr>
    </w:p>
    <w:p w14:paraId="4E6EBCFE" w14:textId="77777777" w:rsidR="00FA5992" w:rsidRPr="009800D6" w:rsidRDefault="00FA5992" w:rsidP="00FA5992">
      <w:pPr>
        <w:pStyle w:val="NoSpacing"/>
        <w:rPr>
          <w:rFonts w:ascii="Times New Roman" w:hAnsi="Times New Roman"/>
          <w:bCs/>
          <w:sz w:val="24"/>
          <w:szCs w:val="24"/>
        </w:rPr>
      </w:pPr>
      <w:r w:rsidRPr="009800D6">
        <w:rPr>
          <w:rFonts w:ascii="Times New Roman" w:hAnsi="Times New Roman"/>
          <w:sz w:val="24"/>
          <w:szCs w:val="24"/>
        </w:rPr>
        <w:t xml:space="preserve">On Nov. 27, 2024, in </w:t>
      </w:r>
      <w:r w:rsidRPr="009800D6">
        <w:rPr>
          <w:rFonts w:ascii="Times New Roman" w:hAnsi="Times New Roman"/>
          <w:sz w:val="24"/>
          <w:szCs w:val="24"/>
          <w:u w:val="single"/>
        </w:rPr>
        <w:t>State of Ohio v. Devontae Sullivan</w:t>
      </w:r>
      <w:r w:rsidRPr="009800D6">
        <w:rPr>
          <w:rFonts w:ascii="Times New Roman" w:hAnsi="Times New Roman"/>
          <w:sz w:val="24"/>
          <w:szCs w:val="24"/>
        </w:rPr>
        <w:t xml:space="preserve">, the Ohio Court of Appeals, Eight Appellate District, Cuyahoga County, held (3 to 0) that there was sufficient evidence presented to the jury that the defendant poured gasoline on the car. The Court wrote: “In his first assignment of error, Sullivan contends that the State failed to present sufficient evidence of identity. We disagree…. Detective David Baker [Cleveland Division of Fire] identified Sullivan as the perpetrator. He viewed surveillance video from a business two doors from the subject house. The video showed a maroon Buick with tinted windows in the area. Using the City of Cleveland’s ‘Real Time Crime’ street cameras, Detective Baker traced the Buick to a gas station located five minutes from the crime scene. The detective was able to obtain a license plate number for the Buick that was registered to a red 1999 Chevrolet Cavalier. *** Detective Baker positively identified Sullivan in court as the person in the driver license photo, as well as the person on the surveillance footage. The license photo and surveillance videos were shown to the jury and admitted into evidence; thus, the State presented sufficient evidence for the jury to determine whether Sullivan was the perpetrator.” </w:t>
      </w:r>
      <w:hyperlink r:id="rId99" w:history="1">
        <w:r w:rsidRPr="009800D6">
          <w:rPr>
            <w:rStyle w:val="Hyperlink"/>
            <w:rFonts w:ascii="Times New Roman" w:hAnsi="Times New Roman"/>
            <w:sz w:val="24"/>
            <w:szCs w:val="24"/>
          </w:rPr>
          <w:t>https://www.supremecourt.ohio.gov/rod/docs/pdf/8/2024/2024-Ohio-5601.pdf</w:t>
        </w:r>
      </w:hyperlink>
      <w:r w:rsidRPr="009800D6">
        <w:rPr>
          <w:rFonts w:ascii="Times New Roman" w:hAnsi="Times New Roman"/>
          <w:sz w:val="24"/>
          <w:szCs w:val="24"/>
        </w:rPr>
        <w:t xml:space="preserve"> </w:t>
      </w:r>
    </w:p>
    <w:p w14:paraId="75A98099" w14:textId="77777777" w:rsidR="009800D6" w:rsidRPr="009800D6" w:rsidRDefault="009800D6" w:rsidP="009800D6">
      <w:pPr>
        <w:pStyle w:val="NoSpacing"/>
        <w:rPr>
          <w:rFonts w:ascii="Times New Roman" w:hAnsi="Times New Roman"/>
          <w:sz w:val="24"/>
          <w:szCs w:val="24"/>
        </w:rPr>
      </w:pPr>
    </w:p>
    <w:p w14:paraId="33CACECE" w14:textId="4129A4F1" w:rsidR="009800D6" w:rsidRPr="009800D6" w:rsidRDefault="009800D6" w:rsidP="009800D6">
      <w:pPr>
        <w:pStyle w:val="NoSpacing"/>
        <w:rPr>
          <w:rFonts w:ascii="Times New Roman" w:hAnsi="Times New Roman"/>
          <w:b/>
          <w:sz w:val="24"/>
          <w:szCs w:val="24"/>
        </w:rPr>
      </w:pPr>
      <w:r w:rsidRPr="009800D6">
        <w:rPr>
          <w:rFonts w:ascii="Times New Roman" w:hAnsi="Times New Roman"/>
          <w:b/>
          <w:sz w:val="24"/>
          <w:szCs w:val="24"/>
        </w:rPr>
        <w:t xml:space="preserve">Legal Lesson Learned: Surveillance videos are powerful evidence. </w:t>
      </w:r>
    </w:p>
    <w:p w14:paraId="15DD3DD1" w14:textId="066C8F5A" w:rsidR="00AE3DBB" w:rsidRDefault="00AE3DBB" w:rsidP="00B86628">
      <w:pPr>
        <w:pStyle w:val="NoSpacing"/>
        <w:rPr>
          <w:rFonts w:ascii="Arial Black" w:hAnsi="Arial Black"/>
          <w:sz w:val="24"/>
          <w:szCs w:val="24"/>
        </w:rPr>
      </w:pPr>
    </w:p>
    <w:p w14:paraId="23C2078B" w14:textId="77777777" w:rsidR="00AE3DBB" w:rsidRDefault="00AE3DBB" w:rsidP="00B86628">
      <w:pPr>
        <w:pStyle w:val="NoSpacing"/>
        <w:rPr>
          <w:rFonts w:ascii="Arial Black" w:hAnsi="Arial Black"/>
          <w:sz w:val="24"/>
          <w:szCs w:val="24"/>
        </w:rPr>
      </w:pPr>
    </w:p>
    <w:p w14:paraId="572FD83E" w14:textId="0327AA6F" w:rsidR="00C437E2" w:rsidRDefault="000F060C" w:rsidP="00B86628">
      <w:pPr>
        <w:pStyle w:val="NoSpacing"/>
        <w:rPr>
          <w:rFonts w:ascii="Arial Black" w:hAnsi="Arial Black"/>
          <w:sz w:val="24"/>
          <w:szCs w:val="24"/>
        </w:rPr>
      </w:pPr>
      <w:r>
        <w:rPr>
          <w:rFonts w:ascii="Arial Black" w:hAnsi="Arial Black"/>
          <w:sz w:val="24"/>
          <w:szCs w:val="24"/>
        </w:rPr>
        <w:t>1-166</w:t>
      </w:r>
    </w:p>
    <w:p w14:paraId="1DC6A6B6" w14:textId="77777777" w:rsidR="000F060C" w:rsidRDefault="000F060C" w:rsidP="00B86628">
      <w:pPr>
        <w:pStyle w:val="NoSpacing"/>
        <w:rPr>
          <w:rFonts w:ascii="Arial Black" w:hAnsi="Arial Black"/>
          <w:sz w:val="24"/>
          <w:szCs w:val="24"/>
        </w:rPr>
      </w:pPr>
    </w:p>
    <w:p w14:paraId="308FE1A5" w14:textId="77777777" w:rsidR="00D60A72" w:rsidRDefault="00D60A72" w:rsidP="00D60A72">
      <w:pPr>
        <w:pStyle w:val="NoSpacing"/>
        <w:rPr>
          <w:rFonts w:ascii="Arial Black" w:hAnsi="Arial Black"/>
          <w:b/>
          <w:sz w:val="28"/>
          <w:szCs w:val="28"/>
        </w:rPr>
      </w:pPr>
      <w:r>
        <w:rPr>
          <w:rFonts w:ascii="Arial Black" w:hAnsi="Arial Black"/>
          <w:b/>
          <w:sz w:val="28"/>
          <w:szCs w:val="28"/>
        </w:rPr>
        <w:t>TN: ARSON – HUSBAND DIED HOUSE FIRE – WIFE “ALFORD PLEA” AFTER 3 DAYS JURY TRIAL – MAX SENTENCE 4-YRS</w:t>
      </w:r>
    </w:p>
    <w:p w14:paraId="1AD04279" w14:textId="77777777" w:rsidR="00D60A72" w:rsidRDefault="00D60A72" w:rsidP="00D60A72">
      <w:pPr>
        <w:pStyle w:val="NoSpacing"/>
        <w:rPr>
          <w:rFonts w:ascii="Arial Black" w:hAnsi="Arial Black"/>
          <w:b/>
          <w:sz w:val="28"/>
          <w:szCs w:val="28"/>
        </w:rPr>
      </w:pPr>
      <w:r>
        <w:rPr>
          <w:rFonts w:ascii="Arial Black" w:hAnsi="Arial Black"/>
          <w:b/>
          <w:sz w:val="28"/>
          <w:szCs w:val="28"/>
        </w:rPr>
        <w:t xml:space="preserve"> </w:t>
      </w:r>
    </w:p>
    <w:p w14:paraId="6990A00A" w14:textId="4292D308" w:rsidR="000F060C" w:rsidRPr="00AE3DBB" w:rsidRDefault="00D60A72" w:rsidP="00D60A72">
      <w:pPr>
        <w:pStyle w:val="NoSpacing"/>
        <w:rPr>
          <w:rStyle w:val="Hyperlink"/>
          <w:rFonts w:ascii="Times New Roman" w:hAnsi="Times New Roman"/>
          <w:sz w:val="24"/>
          <w:szCs w:val="24"/>
        </w:rPr>
      </w:pPr>
      <w:r w:rsidRPr="00AE3DBB">
        <w:rPr>
          <w:rFonts w:ascii="Times New Roman" w:hAnsi="Times New Roman"/>
          <w:sz w:val="24"/>
          <w:szCs w:val="24"/>
        </w:rPr>
        <w:t xml:space="preserve">On Nov. 26, 2024, in </w:t>
      </w:r>
      <w:r w:rsidRPr="00AE3DBB">
        <w:rPr>
          <w:rFonts w:ascii="Times New Roman" w:hAnsi="Times New Roman"/>
          <w:sz w:val="24"/>
          <w:szCs w:val="24"/>
          <w:u w:val="single"/>
        </w:rPr>
        <w:t>State of Tennessee v. Mendy Powell Neal</w:t>
      </w:r>
      <w:r w:rsidRPr="00AE3DBB">
        <w:rPr>
          <w:rFonts w:ascii="Times New Roman" w:hAnsi="Times New Roman"/>
          <w:sz w:val="24"/>
          <w:szCs w:val="24"/>
        </w:rPr>
        <w:t xml:space="preserve">, the Court of Criminal Appeals of Tennessee, at Nashville held (3 to 0) that the trial court judge properly sentenced her to maximum allowed for voluntary manslaughter; she had been charged with felony murder and aggravated arson (“Alford Plea” – defendant does not admit to the criminal act but pleads guilty).  The Court wrote: “In declining to reduce or modify the sentence, the trial court entered a thorough and extensive order in which it reviewed the evidence, including the horrific manner of the victim’s death, before affirming its original sentencing determinations. The Defendant has not shown any circumstances, warranting the alteration of her sentence in the interest of justice.” </w:t>
      </w:r>
      <w:hyperlink r:id="rId100" w:history="1">
        <w:r w:rsidRPr="00AE3DBB">
          <w:rPr>
            <w:rStyle w:val="Hyperlink"/>
            <w:rFonts w:ascii="Times New Roman" w:hAnsi="Times New Roman"/>
            <w:sz w:val="24"/>
            <w:szCs w:val="24"/>
          </w:rPr>
          <w:t>https://www.tncourts.gov/sites/default/files/OpinionsPDFVersion/Majority%20Opinion%20-%20M2023-01176-CCA-R3-CD.pdf</w:t>
        </w:r>
      </w:hyperlink>
    </w:p>
    <w:p w14:paraId="5F8AD572" w14:textId="77777777" w:rsidR="00AE3DBB" w:rsidRPr="00AE3DBB" w:rsidRDefault="00AE3DBB" w:rsidP="00D60A72">
      <w:pPr>
        <w:pStyle w:val="NoSpacing"/>
        <w:rPr>
          <w:rStyle w:val="Hyperlink"/>
          <w:rFonts w:ascii="Times New Roman" w:hAnsi="Times New Roman"/>
          <w:sz w:val="24"/>
          <w:szCs w:val="24"/>
        </w:rPr>
      </w:pPr>
    </w:p>
    <w:p w14:paraId="440F4600" w14:textId="77777777" w:rsidR="00AE3DBB" w:rsidRPr="00AE3DBB" w:rsidRDefault="00AE3DBB" w:rsidP="00AE3DBB">
      <w:pPr>
        <w:pStyle w:val="NoSpacing"/>
        <w:rPr>
          <w:rFonts w:ascii="Times New Roman" w:hAnsi="Times New Roman"/>
          <w:b/>
          <w:bCs/>
          <w:sz w:val="24"/>
          <w:szCs w:val="24"/>
        </w:rPr>
      </w:pPr>
      <w:r w:rsidRPr="00AE3DBB">
        <w:rPr>
          <w:rFonts w:ascii="Times New Roman" w:hAnsi="Times New Roman"/>
          <w:b/>
          <w:sz w:val="24"/>
          <w:szCs w:val="24"/>
        </w:rPr>
        <w:t xml:space="preserve">Legal Lesson Learned: Not </w:t>
      </w:r>
      <w:r w:rsidRPr="00AE3DBB">
        <w:rPr>
          <w:rFonts w:ascii="Times New Roman" w:hAnsi="Times New Roman"/>
          <w:b/>
          <w:bCs/>
          <w:sz w:val="24"/>
          <w:szCs w:val="24"/>
        </w:rPr>
        <w:t>clear</w:t>
      </w:r>
      <w:r w:rsidRPr="00AE3DBB">
        <w:rPr>
          <w:rFonts w:ascii="Times New Roman" w:hAnsi="Times New Roman"/>
          <w:b/>
          <w:sz w:val="24"/>
          <w:szCs w:val="24"/>
        </w:rPr>
        <w:t xml:space="preserve"> why the Prosecution took a plea deal after three days of jury trial, but the maximum sentence for voluntary manslaughter was certainly appropriate</w:t>
      </w:r>
      <w:r w:rsidRPr="00AE3DBB">
        <w:rPr>
          <w:rFonts w:ascii="Times New Roman" w:hAnsi="Times New Roman"/>
          <w:b/>
          <w:bCs/>
          <w:sz w:val="24"/>
          <w:szCs w:val="24"/>
        </w:rPr>
        <w:t xml:space="preserve">. </w:t>
      </w:r>
    </w:p>
    <w:p w14:paraId="54CC7E1F" w14:textId="77777777" w:rsidR="00AE3DBB" w:rsidRDefault="00AE3DBB" w:rsidP="00D60A72">
      <w:pPr>
        <w:pStyle w:val="NoSpacing"/>
        <w:rPr>
          <w:rFonts w:ascii="Arial Black" w:hAnsi="Arial Black"/>
          <w:sz w:val="24"/>
          <w:szCs w:val="24"/>
        </w:rPr>
      </w:pPr>
    </w:p>
    <w:p w14:paraId="2F8AD47B" w14:textId="77777777" w:rsidR="00D757ED" w:rsidRDefault="00D757ED" w:rsidP="006F4352">
      <w:pPr>
        <w:pStyle w:val="NoSpacing"/>
        <w:rPr>
          <w:rFonts w:ascii="Arial Black" w:hAnsi="Arial Black"/>
          <w:sz w:val="24"/>
          <w:szCs w:val="24"/>
        </w:rPr>
      </w:pPr>
    </w:p>
    <w:p w14:paraId="18BAC5FE" w14:textId="701F5F0E" w:rsidR="00D757ED" w:rsidRDefault="00D757ED" w:rsidP="006F4352">
      <w:pPr>
        <w:pStyle w:val="NoSpacing"/>
        <w:rPr>
          <w:rFonts w:ascii="Arial Black" w:hAnsi="Arial Black"/>
          <w:sz w:val="24"/>
          <w:szCs w:val="24"/>
        </w:rPr>
      </w:pPr>
      <w:r>
        <w:rPr>
          <w:rFonts w:ascii="Arial Black" w:hAnsi="Arial Black"/>
          <w:sz w:val="24"/>
          <w:szCs w:val="24"/>
        </w:rPr>
        <w:t>1-165</w:t>
      </w:r>
    </w:p>
    <w:p w14:paraId="40C96C26" w14:textId="77777777" w:rsidR="00D757ED" w:rsidRDefault="00D757ED" w:rsidP="006F4352">
      <w:pPr>
        <w:pStyle w:val="NoSpacing"/>
        <w:rPr>
          <w:rFonts w:ascii="Arial Black" w:hAnsi="Arial Black"/>
          <w:sz w:val="24"/>
          <w:szCs w:val="24"/>
        </w:rPr>
      </w:pPr>
    </w:p>
    <w:p w14:paraId="0F00C5FE" w14:textId="77777777" w:rsidR="00D757ED" w:rsidRDefault="00D757ED" w:rsidP="00D757ED">
      <w:pPr>
        <w:pStyle w:val="NoSpacing"/>
        <w:rPr>
          <w:rFonts w:ascii="Arial Black" w:hAnsi="Arial Black"/>
          <w:b/>
          <w:sz w:val="28"/>
          <w:szCs w:val="28"/>
        </w:rPr>
      </w:pPr>
      <w:r>
        <w:rPr>
          <w:rFonts w:ascii="Arial Black" w:hAnsi="Arial Black"/>
          <w:b/>
          <w:sz w:val="28"/>
          <w:szCs w:val="28"/>
        </w:rPr>
        <w:t xml:space="preserve">CA: HOMELESS - RVs CAN NOT BE PARKED ON CITY STREET – CITY ORDINANCE / $60 FINE UPHELD </w:t>
      </w:r>
    </w:p>
    <w:p w14:paraId="2BB84AA3" w14:textId="77777777" w:rsidR="00D757ED" w:rsidRDefault="00D757ED" w:rsidP="00D757ED">
      <w:pPr>
        <w:pStyle w:val="NoSpacing"/>
        <w:rPr>
          <w:rFonts w:ascii="Arial Black" w:hAnsi="Arial Black"/>
          <w:b/>
          <w:sz w:val="28"/>
          <w:szCs w:val="28"/>
        </w:rPr>
      </w:pPr>
    </w:p>
    <w:p w14:paraId="58140CE1" w14:textId="77777777" w:rsidR="00D757ED" w:rsidRPr="00D757ED" w:rsidRDefault="00D757ED" w:rsidP="00D757ED">
      <w:pPr>
        <w:pStyle w:val="NoSpacing"/>
        <w:rPr>
          <w:rFonts w:ascii="Times New Roman" w:hAnsi="Times New Roman"/>
          <w:bCs/>
          <w:sz w:val="24"/>
          <w:szCs w:val="24"/>
        </w:rPr>
      </w:pPr>
      <w:r w:rsidRPr="00D757ED">
        <w:rPr>
          <w:rFonts w:ascii="Times New Roman" w:hAnsi="Times New Roman"/>
          <w:sz w:val="24"/>
          <w:szCs w:val="24"/>
        </w:rPr>
        <w:t xml:space="preserve">On November 22, 2024, in </w:t>
      </w:r>
      <w:r w:rsidRPr="00D757ED">
        <w:rPr>
          <w:rFonts w:ascii="Times New Roman" w:hAnsi="Times New Roman"/>
          <w:sz w:val="24"/>
          <w:szCs w:val="24"/>
          <w:u w:val="single"/>
        </w:rPr>
        <w:t xml:space="preserve">David Allen </w:t>
      </w:r>
      <w:proofErr w:type="spellStart"/>
      <w:r w:rsidRPr="00D757ED">
        <w:rPr>
          <w:rFonts w:ascii="Times New Roman" w:hAnsi="Times New Roman"/>
          <w:sz w:val="24"/>
          <w:szCs w:val="24"/>
          <w:u w:val="single"/>
        </w:rPr>
        <w:t>Yesue</w:t>
      </w:r>
      <w:proofErr w:type="spellEnd"/>
      <w:r w:rsidRPr="00D757ED">
        <w:rPr>
          <w:rFonts w:ascii="Times New Roman" w:hAnsi="Times New Roman"/>
          <w:sz w:val="24"/>
          <w:szCs w:val="24"/>
          <w:u w:val="single"/>
        </w:rPr>
        <w:t xml:space="preserve"> v. City of Sebastopol</w:t>
      </w:r>
      <w:r w:rsidRPr="00D757ED">
        <w:rPr>
          <w:rFonts w:ascii="Times New Roman" w:hAnsi="Times New Roman"/>
          <w:sz w:val="24"/>
          <w:szCs w:val="24"/>
        </w:rPr>
        <w:t xml:space="preserve">, United States Magistrate Judge Kandis A. Westmore, U.S. District Court for the Northern District of California, upheld the </w:t>
      </w:r>
      <w:proofErr w:type="gramStart"/>
      <w:r w:rsidRPr="00D757ED">
        <w:rPr>
          <w:rFonts w:ascii="Times New Roman" w:hAnsi="Times New Roman"/>
          <w:sz w:val="24"/>
          <w:szCs w:val="24"/>
        </w:rPr>
        <w:t>City</w:t>
      </w:r>
      <w:proofErr w:type="gramEnd"/>
      <w:r w:rsidRPr="00D757ED">
        <w:rPr>
          <w:rFonts w:ascii="Times New Roman" w:hAnsi="Times New Roman"/>
          <w:sz w:val="24"/>
          <w:szCs w:val="24"/>
        </w:rPr>
        <w:t xml:space="preserve"> ordinance in a lawsuit filed by the ACLU.  The Court wrote: “Plaintiffs are effectively requesting that they be allowed to park their RVs in the city because they need to be able to live in their RVs, not because they are unable to access parking otherwise. The Court knows of no authority that would support such a demand…. Footnote 4: Plaintiffs also assert there is no direct evidence of, for example, an RV catching on fire. The Court notes, however, that Plaintiff Wetch herself stated in her declaration that her trailer burned down while she was on Morris Street.”  </w:t>
      </w:r>
      <w:hyperlink r:id="rId101" w:history="1">
        <w:r w:rsidRPr="00D757ED">
          <w:rPr>
            <w:rStyle w:val="Hyperlink"/>
            <w:rFonts w:ascii="Times New Roman" w:hAnsi="Times New Roman"/>
            <w:sz w:val="24"/>
            <w:szCs w:val="24"/>
          </w:rPr>
          <w:t>https://public.fastcase.com/H1P9uiW3J20SFp%2BGCG%2BxLdyLNTd%2BNZHrq5Wsvr6dKQeFEDZwgsQrm3TmKDWH2%2B1z?utm_medium=email&amp;_hsenc=p2ANqtz--qDncIsqCSeahqkjvoaWhQNyG1yg2f5tRQPi1w8DS9NFdMbI3pDOffIzG2fuU_g9WmDOo8NJeLM9bCUVMHJsMZyGOdjg&amp;_hsmi=226712652&amp;utm_content=226712652&amp;utm_source=hs_email</w:t>
        </w:r>
      </w:hyperlink>
      <w:r w:rsidRPr="00D757ED">
        <w:rPr>
          <w:rFonts w:ascii="Times New Roman" w:hAnsi="Times New Roman"/>
          <w:sz w:val="24"/>
          <w:szCs w:val="24"/>
        </w:rPr>
        <w:t xml:space="preserve"> </w:t>
      </w:r>
    </w:p>
    <w:p w14:paraId="58715618" w14:textId="77777777" w:rsidR="00D757ED" w:rsidRDefault="00D757ED" w:rsidP="006F4352">
      <w:pPr>
        <w:pStyle w:val="NoSpacing"/>
        <w:rPr>
          <w:rFonts w:ascii="Arial Black" w:hAnsi="Arial Black"/>
          <w:sz w:val="24"/>
          <w:szCs w:val="24"/>
        </w:rPr>
      </w:pPr>
    </w:p>
    <w:p w14:paraId="5DDF5007" w14:textId="77777777" w:rsidR="000F060C" w:rsidRPr="000F060C" w:rsidRDefault="000F060C" w:rsidP="000F060C">
      <w:pPr>
        <w:pStyle w:val="NoSpacing"/>
        <w:ind w:left="720"/>
        <w:rPr>
          <w:rFonts w:ascii="Times New Roman" w:hAnsi="Times New Roman"/>
          <w:sz w:val="24"/>
          <w:szCs w:val="24"/>
        </w:rPr>
      </w:pPr>
      <w:r w:rsidRPr="000F060C">
        <w:rPr>
          <w:rFonts w:ascii="Times New Roman" w:hAnsi="Times New Roman"/>
          <w:sz w:val="24"/>
          <w:szCs w:val="24"/>
        </w:rPr>
        <w:t>Note: See the City’s press release  about this case. “City of Sebastopol Prevails in Challenge to RV Ordinance,” November 23, 2024, City News</w:t>
      </w:r>
    </w:p>
    <w:p w14:paraId="5B0E067E" w14:textId="77777777" w:rsidR="000F060C" w:rsidRPr="000F060C" w:rsidRDefault="000F060C" w:rsidP="000F060C">
      <w:pPr>
        <w:pStyle w:val="NoSpacing"/>
        <w:ind w:left="720"/>
        <w:rPr>
          <w:rFonts w:ascii="Times New Roman" w:hAnsi="Times New Roman"/>
          <w:b/>
          <w:sz w:val="24"/>
          <w:szCs w:val="24"/>
        </w:rPr>
      </w:pPr>
      <w:hyperlink r:id="rId102" w:history="1">
        <w:r w:rsidRPr="000F060C">
          <w:rPr>
            <w:rStyle w:val="Hyperlink"/>
            <w:rFonts w:ascii="Times New Roman" w:hAnsi="Times New Roman"/>
            <w:b/>
            <w:sz w:val="24"/>
            <w:szCs w:val="24"/>
          </w:rPr>
          <w:t>https://www.cityofsebastopol.gov/city-of-sebastopol-prevails-in-challenge-to-rv-ordinance/</w:t>
        </w:r>
      </w:hyperlink>
      <w:r w:rsidRPr="000F060C">
        <w:rPr>
          <w:rFonts w:ascii="Times New Roman" w:hAnsi="Times New Roman"/>
          <w:b/>
          <w:sz w:val="24"/>
          <w:szCs w:val="24"/>
        </w:rPr>
        <w:t xml:space="preserve"> </w:t>
      </w:r>
    </w:p>
    <w:p w14:paraId="441BE378" w14:textId="77777777" w:rsidR="000F060C" w:rsidRPr="000F060C" w:rsidRDefault="000F060C" w:rsidP="000F060C">
      <w:pPr>
        <w:pStyle w:val="NoSpacing"/>
        <w:ind w:left="720"/>
        <w:rPr>
          <w:rFonts w:ascii="Times New Roman" w:hAnsi="Times New Roman"/>
          <w:bCs/>
          <w:sz w:val="24"/>
          <w:szCs w:val="24"/>
        </w:rPr>
      </w:pPr>
      <w:r w:rsidRPr="000F060C">
        <w:rPr>
          <w:rFonts w:ascii="Times New Roman" w:hAnsi="Times New Roman"/>
          <w:sz w:val="24"/>
          <w:szCs w:val="24"/>
        </w:rPr>
        <w:t xml:space="preserve">“Friday afternoon, November 22, a decision was issued in the case of </w:t>
      </w:r>
      <w:proofErr w:type="spellStart"/>
      <w:r w:rsidRPr="000F060C">
        <w:rPr>
          <w:rFonts w:ascii="Times New Roman" w:hAnsi="Times New Roman"/>
          <w:sz w:val="24"/>
          <w:szCs w:val="24"/>
        </w:rPr>
        <w:t>Yesue</w:t>
      </w:r>
      <w:proofErr w:type="spellEnd"/>
      <w:r w:rsidRPr="000F060C">
        <w:rPr>
          <w:rFonts w:ascii="Times New Roman" w:hAnsi="Times New Roman"/>
          <w:sz w:val="24"/>
          <w:szCs w:val="24"/>
        </w:rPr>
        <w:t xml:space="preserve"> et al. v. City of Sebastopol, commonly known as the ACLU litigation. In 2022, the Sebastopol City Council adopted an ordinance regulating where and when RVs could park on public streets. Soon after the ordinance was adopted, the ACLU filed a lawsuit challenging the ordinance on behalf of several plaintiffs. The lawsuit raised 14 different causes of action. The US District </w:t>
      </w:r>
      <w:proofErr w:type="gramStart"/>
      <w:r w:rsidRPr="000F060C">
        <w:rPr>
          <w:rFonts w:ascii="Times New Roman" w:hAnsi="Times New Roman"/>
          <w:sz w:val="24"/>
          <w:szCs w:val="24"/>
        </w:rPr>
        <w:t>Court,</w:t>
      </w:r>
      <w:proofErr w:type="gramEnd"/>
      <w:r w:rsidRPr="000F060C">
        <w:rPr>
          <w:rFonts w:ascii="Times New Roman" w:hAnsi="Times New Roman"/>
          <w:sz w:val="24"/>
          <w:szCs w:val="24"/>
        </w:rPr>
        <w:t xml:space="preserve"> Northern District of California rejected all claims raised by the Plaintiffs and granted the City’s motion for summary judgment in its entirety. In short, the City of Sebastopol prevailed. The purpose of the RV Ordinance was to address the serious public health and safety issues that arise from RV encampments, and to ensure adequate street parking for the </w:t>
      </w:r>
      <w:proofErr w:type="gramStart"/>
      <w:r w:rsidRPr="000F060C">
        <w:rPr>
          <w:rFonts w:ascii="Times New Roman" w:hAnsi="Times New Roman"/>
          <w:sz w:val="24"/>
          <w:szCs w:val="24"/>
        </w:rPr>
        <w:t>general public</w:t>
      </w:r>
      <w:proofErr w:type="gramEnd"/>
      <w:r w:rsidRPr="000F060C">
        <w:rPr>
          <w:rFonts w:ascii="Times New Roman" w:hAnsi="Times New Roman"/>
          <w:sz w:val="24"/>
          <w:szCs w:val="24"/>
        </w:rPr>
        <w:t xml:space="preserve">. Homelessness is a complex regional and statewide issue, that no one city can solve alone. Sebastopol has consistently done its part, and more, to tackle the crisis in a compassionate manner. ‘The parking ordinance was our small town’s effort to balance the many interests we serve, to find a solution and not turn away from what was a very challenging situation,” said Sebastopol Mayor Diana Rich. ‘It’s a good-faith heartfelt solution that gives consideration and respect to all in our community, including the unhoused. I’m pleased to see that the Court’s decision validates Sebastopol’s efforts to do what is right, fair, and equitable.’ The </w:t>
      </w:r>
      <w:proofErr w:type="gramStart"/>
      <w:r w:rsidRPr="000F060C">
        <w:rPr>
          <w:rFonts w:ascii="Times New Roman" w:hAnsi="Times New Roman"/>
          <w:sz w:val="24"/>
          <w:szCs w:val="24"/>
        </w:rPr>
        <w:t>City</w:t>
      </w:r>
      <w:proofErr w:type="gramEnd"/>
      <w:r w:rsidRPr="000F060C">
        <w:rPr>
          <w:rFonts w:ascii="Times New Roman" w:hAnsi="Times New Roman"/>
          <w:sz w:val="24"/>
          <w:szCs w:val="24"/>
        </w:rPr>
        <w:t xml:space="preserve"> is continuing to review the Court’s decision, and the City Council will discuss how to implement the Court’s decision and the RV Ordinance in the coming weeks.”</w:t>
      </w:r>
    </w:p>
    <w:p w14:paraId="7CF2484F" w14:textId="77777777" w:rsidR="000F060C" w:rsidRDefault="000F060C" w:rsidP="000F060C">
      <w:pPr>
        <w:rPr>
          <w:bCs/>
          <w:sz w:val="20"/>
          <w:szCs w:val="20"/>
        </w:rPr>
      </w:pPr>
    </w:p>
    <w:p w14:paraId="4FCD0DF9" w14:textId="77777777" w:rsidR="00D757ED" w:rsidRDefault="00D757ED" w:rsidP="006F4352">
      <w:pPr>
        <w:pStyle w:val="NoSpacing"/>
        <w:rPr>
          <w:rFonts w:ascii="Arial Black" w:hAnsi="Arial Black"/>
          <w:sz w:val="24"/>
          <w:szCs w:val="24"/>
        </w:rPr>
      </w:pPr>
    </w:p>
    <w:p w14:paraId="5394BF7E" w14:textId="504A5C8B" w:rsidR="006F4352" w:rsidRDefault="006F4352" w:rsidP="006F4352">
      <w:pPr>
        <w:pStyle w:val="NoSpacing"/>
        <w:rPr>
          <w:rFonts w:ascii="Arial Black" w:hAnsi="Arial Black"/>
          <w:sz w:val="24"/>
          <w:szCs w:val="24"/>
        </w:rPr>
      </w:pPr>
      <w:r>
        <w:rPr>
          <w:rFonts w:ascii="Arial Black" w:hAnsi="Arial Black"/>
          <w:sz w:val="24"/>
          <w:szCs w:val="24"/>
        </w:rPr>
        <w:t>1-164</w:t>
      </w:r>
    </w:p>
    <w:p w14:paraId="7EE03FC4" w14:textId="77777777" w:rsidR="009E27B4" w:rsidRDefault="009E27B4" w:rsidP="00B86628">
      <w:pPr>
        <w:pStyle w:val="NoSpacing"/>
        <w:rPr>
          <w:rFonts w:ascii="Arial Black" w:hAnsi="Arial Black"/>
          <w:sz w:val="24"/>
          <w:szCs w:val="24"/>
        </w:rPr>
      </w:pPr>
    </w:p>
    <w:p w14:paraId="02CD07BF" w14:textId="77777777" w:rsidR="009E27B4" w:rsidRPr="00CE10E8" w:rsidRDefault="009E27B4" w:rsidP="009E27B4">
      <w:pPr>
        <w:pStyle w:val="NoSpacing"/>
        <w:rPr>
          <w:rFonts w:ascii="Arial Black" w:hAnsi="Arial Black"/>
          <w:b/>
          <w:bCs/>
          <w:sz w:val="28"/>
          <w:szCs w:val="28"/>
        </w:rPr>
      </w:pPr>
      <w:r w:rsidRPr="00CE10E8">
        <w:rPr>
          <w:rFonts w:ascii="Arial Black" w:hAnsi="Arial Black"/>
          <w:b/>
          <w:bCs/>
          <w:sz w:val="28"/>
          <w:szCs w:val="28"/>
        </w:rPr>
        <w:t>IA: ARSON – FORMER GIRLFRIEND DATING ANOTHER – 5 HOME – CONV. 5 COUNTS ATT. MURDER – 50 YRS PRISON</w:t>
      </w:r>
    </w:p>
    <w:p w14:paraId="0EAEEE0D" w14:textId="77777777" w:rsidR="009E27B4" w:rsidRPr="00CE10E8" w:rsidRDefault="009E27B4" w:rsidP="009E27B4">
      <w:pPr>
        <w:pStyle w:val="NoSpacing"/>
        <w:rPr>
          <w:rFonts w:ascii="Arial Black" w:hAnsi="Arial Black"/>
          <w:sz w:val="28"/>
          <w:szCs w:val="28"/>
        </w:rPr>
      </w:pPr>
    </w:p>
    <w:p w14:paraId="41E95D03" w14:textId="7A778DD4" w:rsidR="009E27B4" w:rsidRPr="009E27B4" w:rsidRDefault="009E27B4" w:rsidP="009E27B4">
      <w:pPr>
        <w:pStyle w:val="NoSpacing"/>
        <w:rPr>
          <w:rFonts w:ascii="Times New Roman" w:hAnsi="Times New Roman"/>
          <w:bCs/>
          <w:sz w:val="24"/>
          <w:szCs w:val="24"/>
        </w:rPr>
      </w:pPr>
      <w:r w:rsidRPr="009E27B4">
        <w:rPr>
          <w:rFonts w:ascii="Times New Roman" w:hAnsi="Times New Roman"/>
          <w:sz w:val="24"/>
          <w:szCs w:val="24"/>
        </w:rPr>
        <w:t xml:space="preserve">On Oct. 30, 2024, in </w:t>
      </w:r>
      <w:r w:rsidRPr="009E27B4">
        <w:rPr>
          <w:rFonts w:ascii="Times New Roman" w:hAnsi="Times New Roman"/>
          <w:sz w:val="24"/>
          <w:szCs w:val="24"/>
          <w:u w:val="single"/>
        </w:rPr>
        <w:t>State of Iowa v. Ishmael Shabazz Carter</w:t>
      </w:r>
      <w:r w:rsidRPr="009E27B4">
        <w:rPr>
          <w:rFonts w:ascii="Times New Roman" w:hAnsi="Times New Roman"/>
          <w:sz w:val="24"/>
          <w:szCs w:val="24"/>
        </w:rPr>
        <w:t>, the Court of Appeals of Iowa held (3 to 0):  “A defendant challenges the sufficiency of the evidence supporting his</w:t>
      </w:r>
      <w:r>
        <w:rPr>
          <w:rFonts w:ascii="Times New Roman" w:hAnsi="Times New Roman"/>
          <w:sz w:val="24"/>
          <w:szCs w:val="24"/>
        </w:rPr>
        <w:t xml:space="preserve"> </w:t>
      </w:r>
      <w:r w:rsidRPr="009E27B4">
        <w:rPr>
          <w:rFonts w:ascii="Times New Roman" w:hAnsi="Times New Roman"/>
          <w:sz w:val="24"/>
          <w:szCs w:val="24"/>
        </w:rPr>
        <w:t>convictions for arson in the first degree and five counts of attempted murder.</w:t>
      </w:r>
      <w:r>
        <w:rPr>
          <w:rFonts w:ascii="Times New Roman" w:hAnsi="Times New Roman"/>
          <w:sz w:val="24"/>
          <w:szCs w:val="24"/>
        </w:rPr>
        <w:t xml:space="preserve"> </w:t>
      </w:r>
      <w:r w:rsidRPr="009E27B4">
        <w:rPr>
          <w:rFonts w:ascii="Times New Roman" w:hAnsi="Times New Roman"/>
          <w:sz w:val="24"/>
          <w:szCs w:val="24"/>
        </w:rPr>
        <w:t xml:space="preserve">AFFIRMED.” </w:t>
      </w:r>
      <w:hyperlink r:id="rId103" w:history="1">
        <w:r w:rsidRPr="009E27B4">
          <w:rPr>
            <w:rStyle w:val="Hyperlink"/>
            <w:rFonts w:ascii="Times New Roman" w:hAnsi="Times New Roman"/>
            <w:sz w:val="24"/>
            <w:szCs w:val="24"/>
          </w:rPr>
          <w:t>https://cases.justia.com/iowa/court-of-appeals/2024-23-0625.pdf?ts=1730301434</w:t>
        </w:r>
      </w:hyperlink>
      <w:r w:rsidRPr="009E27B4">
        <w:rPr>
          <w:rFonts w:ascii="Times New Roman" w:hAnsi="Times New Roman"/>
          <w:sz w:val="24"/>
          <w:szCs w:val="24"/>
        </w:rPr>
        <w:t xml:space="preserve"> </w:t>
      </w:r>
    </w:p>
    <w:p w14:paraId="30A20F43" w14:textId="77777777" w:rsidR="009E27B4" w:rsidRDefault="009E27B4" w:rsidP="009E27B4">
      <w:pPr>
        <w:pStyle w:val="NoSpacing"/>
      </w:pPr>
    </w:p>
    <w:p w14:paraId="42C7DC4B" w14:textId="77777777" w:rsidR="00113436" w:rsidRPr="00113436" w:rsidRDefault="00113436" w:rsidP="00113436">
      <w:pPr>
        <w:pStyle w:val="NoSpacing"/>
        <w:rPr>
          <w:rFonts w:ascii="Times New Roman" w:hAnsi="Times New Roman"/>
          <w:b/>
          <w:bCs/>
          <w:sz w:val="24"/>
          <w:szCs w:val="24"/>
        </w:rPr>
      </w:pPr>
      <w:r w:rsidRPr="00113436">
        <w:rPr>
          <w:rFonts w:ascii="Times New Roman" w:hAnsi="Times New Roman"/>
          <w:b/>
          <w:sz w:val="24"/>
          <w:szCs w:val="24"/>
        </w:rPr>
        <w:t xml:space="preserve">Legal Lesson Learned: Circumstantial evidence can support </w:t>
      </w:r>
      <w:proofErr w:type="gramStart"/>
      <w:r w:rsidRPr="00113436">
        <w:rPr>
          <w:rFonts w:ascii="Times New Roman" w:hAnsi="Times New Roman"/>
          <w:b/>
          <w:sz w:val="24"/>
          <w:szCs w:val="24"/>
        </w:rPr>
        <w:t>an arson</w:t>
      </w:r>
      <w:proofErr w:type="gramEnd"/>
      <w:r w:rsidRPr="00113436">
        <w:rPr>
          <w:rFonts w:ascii="Times New Roman" w:hAnsi="Times New Roman"/>
          <w:b/>
          <w:sz w:val="24"/>
          <w:szCs w:val="24"/>
        </w:rPr>
        <w:t xml:space="preserve"> conviction.</w:t>
      </w:r>
    </w:p>
    <w:p w14:paraId="70A84787" w14:textId="77777777" w:rsidR="009E27B4" w:rsidRDefault="009E27B4" w:rsidP="00B86628">
      <w:pPr>
        <w:pStyle w:val="NoSpacing"/>
        <w:rPr>
          <w:rFonts w:ascii="Arial Black" w:hAnsi="Arial Black"/>
          <w:sz w:val="24"/>
          <w:szCs w:val="24"/>
        </w:rPr>
      </w:pPr>
    </w:p>
    <w:p w14:paraId="6917EB72" w14:textId="77777777" w:rsidR="00C437E2" w:rsidRDefault="00C437E2" w:rsidP="00B86628">
      <w:pPr>
        <w:pStyle w:val="NoSpacing"/>
        <w:rPr>
          <w:rFonts w:ascii="Arial Black" w:hAnsi="Arial Black"/>
          <w:sz w:val="24"/>
          <w:szCs w:val="24"/>
        </w:rPr>
      </w:pPr>
    </w:p>
    <w:p w14:paraId="78094416" w14:textId="77777777" w:rsidR="00CE10E8" w:rsidRDefault="00CE10E8" w:rsidP="00B86628">
      <w:pPr>
        <w:pStyle w:val="NoSpacing"/>
        <w:rPr>
          <w:rFonts w:ascii="Arial Black" w:hAnsi="Arial Black"/>
          <w:sz w:val="24"/>
          <w:szCs w:val="24"/>
        </w:rPr>
      </w:pPr>
    </w:p>
    <w:p w14:paraId="2E354ABD" w14:textId="77777777" w:rsidR="00CE10E8" w:rsidRDefault="00CE10E8" w:rsidP="00B86628">
      <w:pPr>
        <w:pStyle w:val="NoSpacing"/>
        <w:rPr>
          <w:rFonts w:ascii="Arial Black" w:hAnsi="Arial Black"/>
          <w:sz w:val="24"/>
          <w:szCs w:val="24"/>
        </w:rPr>
      </w:pPr>
    </w:p>
    <w:p w14:paraId="400A1E27" w14:textId="16860332" w:rsidR="005C09B0" w:rsidRDefault="00C437E2" w:rsidP="00B86628">
      <w:pPr>
        <w:pStyle w:val="NoSpacing"/>
        <w:rPr>
          <w:rFonts w:ascii="Arial Black" w:hAnsi="Arial Black"/>
          <w:sz w:val="24"/>
          <w:szCs w:val="24"/>
        </w:rPr>
      </w:pPr>
      <w:r>
        <w:rPr>
          <w:rFonts w:ascii="Arial Black" w:hAnsi="Arial Black"/>
          <w:sz w:val="24"/>
          <w:szCs w:val="24"/>
        </w:rPr>
        <w:t>1-16</w:t>
      </w:r>
      <w:r w:rsidR="006F4352">
        <w:rPr>
          <w:rFonts w:ascii="Arial Black" w:hAnsi="Arial Black"/>
          <w:sz w:val="24"/>
          <w:szCs w:val="24"/>
        </w:rPr>
        <w:t>3</w:t>
      </w:r>
    </w:p>
    <w:p w14:paraId="3FE99A9C" w14:textId="77777777" w:rsidR="00C437E2" w:rsidRDefault="00C437E2" w:rsidP="00B86628">
      <w:pPr>
        <w:pStyle w:val="NoSpacing"/>
        <w:rPr>
          <w:rFonts w:ascii="Arial Black" w:hAnsi="Arial Black"/>
          <w:sz w:val="24"/>
          <w:szCs w:val="24"/>
        </w:rPr>
      </w:pPr>
    </w:p>
    <w:p w14:paraId="747B8A41" w14:textId="77777777" w:rsidR="005D2B81" w:rsidRPr="00CE10E8" w:rsidRDefault="005D2B81" w:rsidP="005D2B81">
      <w:pPr>
        <w:rPr>
          <w:rFonts w:ascii="Arial Black" w:hAnsi="Arial Black"/>
          <w:b/>
          <w:sz w:val="28"/>
          <w:szCs w:val="28"/>
        </w:rPr>
      </w:pPr>
      <w:r w:rsidRPr="00CE10E8">
        <w:rPr>
          <w:rFonts w:ascii="Arial Black" w:hAnsi="Arial Black"/>
          <w:b/>
          <w:sz w:val="28"/>
          <w:szCs w:val="28"/>
        </w:rPr>
        <w:t>OH:  OBSTRUCTION OF OFFICIAL BUSINESS - FIRE OUT OF CONTROL IN FRONT HER HOME – THREATENED FIRE CHIEF</w:t>
      </w:r>
    </w:p>
    <w:p w14:paraId="4273DEB1" w14:textId="77777777" w:rsidR="005D2B81" w:rsidRPr="005D2B81" w:rsidRDefault="005D2B81" w:rsidP="005D2B81">
      <w:pPr>
        <w:rPr>
          <w:rFonts w:ascii="Times New Roman" w:hAnsi="Times New Roman"/>
        </w:rPr>
      </w:pPr>
      <w:r w:rsidRPr="005D2B81">
        <w:rPr>
          <w:rFonts w:ascii="Times New Roman" w:hAnsi="Times New Roman"/>
          <w:sz w:val="24"/>
          <w:szCs w:val="24"/>
        </w:rPr>
        <w:t xml:space="preserve">On Oct. 25, </w:t>
      </w:r>
      <w:proofErr w:type="gramStart"/>
      <w:r w:rsidRPr="005D2B81">
        <w:rPr>
          <w:rFonts w:ascii="Times New Roman" w:hAnsi="Times New Roman"/>
          <w:sz w:val="24"/>
          <w:szCs w:val="24"/>
        </w:rPr>
        <w:t>2024</w:t>
      </w:r>
      <w:proofErr w:type="gramEnd"/>
      <w:r w:rsidRPr="005D2B81">
        <w:rPr>
          <w:rFonts w:ascii="Times New Roman" w:hAnsi="Times New Roman"/>
          <w:sz w:val="24"/>
          <w:szCs w:val="24"/>
        </w:rPr>
        <w:t xml:space="preserve"> in </w:t>
      </w:r>
      <w:r w:rsidRPr="005D2B81">
        <w:rPr>
          <w:rFonts w:ascii="Times New Roman" w:hAnsi="Times New Roman"/>
          <w:sz w:val="24"/>
          <w:szCs w:val="24"/>
          <w:u w:val="single"/>
        </w:rPr>
        <w:t>State of Ohio v. Jasmine A. Anderson</w:t>
      </w:r>
      <w:r w:rsidRPr="005D2B81">
        <w:rPr>
          <w:rFonts w:ascii="Times New Roman" w:hAnsi="Times New Roman"/>
          <w:sz w:val="24"/>
          <w:szCs w:val="24"/>
        </w:rPr>
        <w:t xml:space="preserve">, the Ohio Court of Appeals, Seventh Appellate District, Belmont County, held (3 to 0) “Appellant Jasmine A. Anderson argues that her conviction for obstruction of official business was against the sufficiency and manifest weight of the evidence. *** Appellant’s assignment of error is without merit, and her conviction and sentence are affirmed. *** The court sentenced Appellant to 90 days in jail and court costs, with credit for 10 days.” </w:t>
      </w:r>
      <w:hyperlink r:id="rId104" w:history="1">
        <w:r w:rsidRPr="005D2B81">
          <w:rPr>
            <w:rStyle w:val="Hyperlink"/>
            <w:rFonts w:ascii="Times New Roman" w:hAnsi="Times New Roman"/>
            <w:sz w:val="24"/>
            <w:szCs w:val="24"/>
          </w:rPr>
          <w:t>https://cases.justia.com/ohio/seventh-district-court-of-appeals/2024-24-be-0004.pdf?ts=1730297340</w:t>
        </w:r>
      </w:hyperlink>
      <w:r w:rsidRPr="005D2B81">
        <w:rPr>
          <w:rFonts w:ascii="Times New Roman" w:hAnsi="Times New Roman"/>
        </w:rPr>
        <w:t xml:space="preserve"> </w:t>
      </w:r>
    </w:p>
    <w:p w14:paraId="38E9E2B1" w14:textId="77777777" w:rsidR="00E81DD1" w:rsidRPr="00BD3A19" w:rsidRDefault="00E81DD1" w:rsidP="00E81DD1">
      <w:pPr>
        <w:rPr>
          <w:b/>
          <w:bCs/>
        </w:rPr>
      </w:pPr>
      <w:r w:rsidRPr="00E81DD1">
        <w:rPr>
          <w:b/>
          <w:sz w:val="24"/>
          <w:szCs w:val="24"/>
        </w:rPr>
        <w:t>Legal Lesson Learned: Threatening words may constitute obstruction of official business</w:t>
      </w:r>
      <w:r w:rsidRPr="00517201">
        <w:rPr>
          <w:b/>
        </w:rPr>
        <w:t>.</w:t>
      </w:r>
    </w:p>
    <w:p w14:paraId="4DACAD27" w14:textId="77777777" w:rsidR="005D2B81" w:rsidRPr="005D2B81" w:rsidRDefault="005D2B81" w:rsidP="00B86628">
      <w:pPr>
        <w:pStyle w:val="NoSpacing"/>
        <w:rPr>
          <w:rFonts w:ascii="Times New Roman" w:hAnsi="Times New Roman"/>
          <w:sz w:val="24"/>
          <w:szCs w:val="24"/>
        </w:rPr>
      </w:pPr>
    </w:p>
    <w:p w14:paraId="6357AB61" w14:textId="77777777" w:rsidR="00C437E2" w:rsidRDefault="00C437E2" w:rsidP="00B86628">
      <w:pPr>
        <w:pStyle w:val="NoSpacing"/>
        <w:rPr>
          <w:rFonts w:ascii="Arial Black" w:hAnsi="Arial Black"/>
          <w:sz w:val="24"/>
          <w:szCs w:val="24"/>
        </w:rPr>
      </w:pPr>
    </w:p>
    <w:p w14:paraId="590ADA05" w14:textId="1FF9BD86" w:rsidR="005C09B0" w:rsidRDefault="00C437E2" w:rsidP="00B86628">
      <w:pPr>
        <w:pStyle w:val="NoSpacing"/>
        <w:rPr>
          <w:rFonts w:ascii="Arial Black" w:hAnsi="Arial Black"/>
          <w:sz w:val="24"/>
          <w:szCs w:val="24"/>
        </w:rPr>
      </w:pPr>
      <w:r>
        <w:rPr>
          <w:rFonts w:ascii="Arial Black" w:hAnsi="Arial Black"/>
          <w:sz w:val="24"/>
          <w:szCs w:val="24"/>
        </w:rPr>
        <w:t>1-1</w:t>
      </w:r>
      <w:r w:rsidR="006F4352">
        <w:rPr>
          <w:rFonts w:ascii="Arial Black" w:hAnsi="Arial Black"/>
          <w:sz w:val="24"/>
          <w:szCs w:val="24"/>
        </w:rPr>
        <w:t>62</w:t>
      </w:r>
    </w:p>
    <w:p w14:paraId="4096FC4A" w14:textId="77777777" w:rsidR="00E81DD1" w:rsidRDefault="00E81DD1" w:rsidP="00B86628">
      <w:pPr>
        <w:pStyle w:val="NoSpacing"/>
        <w:rPr>
          <w:rFonts w:ascii="Arial Black" w:hAnsi="Arial Black"/>
          <w:sz w:val="24"/>
          <w:szCs w:val="24"/>
        </w:rPr>
      </w:pPr>
    </w:p>
    <w:p w14:paraId="4DAAFBE9" w14:textId="77777777" w:rsidR="004A436F" w:rsidRPr="00CE10E8" w:rsidRDefault="004A436F" w:rsidP="004A436F">
      <w:pPr>
        <w:rPr>
          <w:rFonts w:ascii="Arial Black" w:hAnsi="Arial Black"/>
          <w:b/>
          <w:bCs/>
          <w:sz w:val="28"/>
          <w:szCs w:val="28"/>
        </w:rPr>
      </w:pPr>
      <w:r w:rsidRPr="00CE10E8">
        <w:rPr>
          <w:rFonts w:ascii="Arial Black" w:hAnsi="Arial Black"/>
          <w:b/>
          <w:bCs/>
          <w:sz w:val="28"/>
          <w:szCs w:val="28"/>
        </w:rPr>
        <w:t>PA: ARSON – HIS CELL PHONE RECORDS SHOW AT HOME TIME FIRE – GETTING DIVORCE – 7.5-15 MONTHS / $369K</w:t>
      </w:r>
    </w:p>
    <w:p w14:paraId="338EF79B" w14:textId="77777777" w:rsidR="004A436F" w:rsidRPr="004A436F" w:rsidRDefault="004A436F" w:rsidP="004A436F">
      <w:pPr>
        <w:pStyle w:val="NoSpacing"/>
        <w:rPr>
          <w:rFonts w:ascii="Times New Roman" w:hAnsi="Times New Roman"/>
          <w:sz w:val="24"/>
          <w:szCs w:val="24"/>
        </w:rPr>
      </w:pPr>
      <w:r w:rsidRPr="004A436F">
        <w:rPr>
          <w:rFonts w:ascii="Times New Roman" w:hAnsi="Times New Roman"/>
          <w:sz w:val="24"/>
          <w:szCs w:val="24"/>
        </w:rPr>
        <w:t xml:space="preserve">Oct. 21, </w:t>
      </w:r>
      <w:proofErr w:type="gramStart"/>
      <w:r w:rsidRPr="004A436F">
        <w:rPr>
          <w:rFonts w:ascii="Times New Roman" w:hAnsi="Times New Roman"/>
          <w:sz w:val="24"/>
          <w:szCs w:val="24"/>
        </w:rPr>
        <w:t>2024</w:t>
      </w:r>
      <w:proofErr w:type="gramEnd"/>
      <w:r w:rsidRPr="004A436F">
        <w:rPr>
          <w:rFonts w:ascii="Times New Roman" w:hAnsi="Times New Roman"/>
          <w:sz w:val="24"/>
          <w:szCs w:val="24"/>
        </w:rPr>
        <w:t xml:space="preserve"> in </w:t>
      </w:r>
      <w:r w:rsidRPr="004A436F">
        <w:rPr>
          <w:rFonts w:ascii="Times New Roman" w:hAnsi="Times New Roman"/>
          <w:sz w:val="24"/>
          <w:szCs w:val="24"/>
          <w:u w:val="single"/>
        </w:rPr>
        <w:t>Commonwealth of Pennsylvania v. Sherman E. Lowry</w:t>
      </w:r>
      <w:r w:rsidRPr="004A436F">
        <w:rPr>
          <w:rFonts w:ascii="Times New Roman" w:hAnsi="Times New Roman"/>
          <w:sz w:val="24"/>
          <w:szCs w:val="24"/>
        </w:rPr>
        <w:t xml:space="preserve">, the Superior Court of Pennsylvania held (3 to 0; non-precedential decision): “The evidence was sufficient for the jury to conclude that the fire was set by Appellant and that he did it intentionally, causing the damage that resulted.” </w:t>
      </w:r>
      <w:hyperlink r:id="rId105" w:history="1">
        <w:r w:rsidRPr="004A436F">
          <w:rPr>
            <w:rStyle w:val="Hyperlink"/>
            <w:rFonts w:ascii="Times New Roman" w:hAnsi="Times New Roman"/>
            <w:sz w:val="24"/>
            <w:szCs w:val="24"/>
          </w:rPr>
          <w:t>https://cases.justia.com/pennsylvania/superior-court/2024-1034-mda-2023.pdf?ts=1729535164</w:t>
        </w:r>
      </w:hyperlink>
      <w:r w:rsidRPr="004A436F">
        <w:rPr>
          <w:rFonts w:ascii="Times New Roman" w:hAnsi="Times New Roman"/>
          <w:sz w:val="24"/>
          <w:szCs w:val="24"/>
        </w:rPr>
        <w:t xml:space="preserve"> </w:t>
      </w:r>
    </w:p>
    <w:p w14:paraId="32BC5AC3" w14:textId="77777777" w:rsidR="00E81DD1" w:rsidRDefault="00E81DD1" w:rsidP="00B86628">
      <w:pPr>
        <w:pStyle w:val="NoSpacing"/>
        <w:rPr>
          <w:rFonts w:ascii="Arial Black" w:hAnsi="Arial Black"/>
          <w:sz w:val="24"/>
          <w:szCs w:val="24"/>
        </w:rPr>
      </w:pPr>
    </w:p>
    <w:p w14:paraId="5615005E" w14:textId="77777777" w:rsidR="001D6E51" w:rsidRPr="001D6E51" w:rsidRDefault="001D6E51" w:rsidP="001D6E51">
      <w:pPr>
        <w:pStyle w:val="NoSpacing"/>
        <w:rPr>
          <w:rFonts w:ascii="Times New Roman" w:hAnsi="Times New Roman"/>
          <w:b/>
          <w:bCs/>
          <w:sz w:val="24"/>
          <w:szCs w:val="24"/>
        </w:rPr>
      </w:pPr>
      <w:r w:rsidRPr="001D6E51">
        <w:rPr>
          <w:rFonts w:ascii="Times New Roman" w:hAnsi="Times New Roman"/>
          <w:b/>
          <w:sz w:val="24"/>
          <w:szCs w:val="24"/>
        </w:rPr>
        <w:t xml:space="preserve">Legal Lesson Learned: Cell phone data placed defendant at the scene of the fire.  A search warrant for cell phone records is a powerful investigative tool. </w:t>
      </w:r>
    </w:p>
    <w:p w14:paraId="3DE6CD22" w14:textId="77777777" w:rsidR="00E81DD1" w:rsidRDefault="00E81DD1" w:rsidP="00B86628">
      <w:pPr>
        <w:pStyle w:val="NoSpacing"/>
        <w:rPr>
          <w:rFonts w:ascii="Arial Black" w:hAnsi="Arial Black"/>
          <w:sz w:val="24"/>
          <w:szCs w:val="24"/>
        </w:rPr>
      </w:pPr>
    </w:p>
    <w:p w14:paraId="202309DE" w14:textId="77777777" w:rsidR="00CE10E8" w:rsidRDefault="00CE10E8" w:rsidP="00B86628">
      <w:pPr>
        <w:pStyle w:val="NoSpacing"/>
        <w:rPr>
          <w:rFonts w:ascii="Arial Black" w:hAnsi="Arial Black"/>
          <w:sz w:val="24"/>
          <w:szCs w:val="24"/>
        </w:rPr>
      </w:pPr>
    </w:p>
    <w:p w14:paraId="063DFDF7" w14:textId="0CB1E822" w:rsidR="005C09B0" w:rsidRDefault="005C09B0" w:rsidP="00B86628">
      <w:pPr>
        <w:pStyle w:val="NoSpacing"/>
        <w:rPr>
          <w:rFonts w:ascii="Arial Black" w:hAnsi="Arial Black"/>
          <w:sz w:val="24"/>
          <w:szCs w:val="24"/>
        </w:rPr>
      </w:pPr>
      <w:r>
        <w:rPr>
          <w:rFonts w:ascii="Arial Black" w:hAnsi="Arial Black"/>
          <w:sz w:val="24"/>
          <w:szCs w:val="24"/>
        </w:rPr>
        <w:t>1-16</w:t>
      </w:r>
      <w:r w:rsidR="006F4352">
        <w:rPr>
          <w:rFonts w:ascii="Arial Black" w:hAnsi="Arial Black"/>
          <w:sz w:val="24"/>
          <w:szCs w:val="24"/>
        </w:rPr>
        <w:t>1</w:t>
      </w:r>
    </w:p>
    <w:p w14:paraId="4BEDD57A" w14:textId="77777777" w:rsidR="005C09B0" w:rsidRDefault="005C09B0" w:rsidP="00B86628">
      <w:pPr>
        <w:pStyle w:val="NoSpacing"/>
        <w:rPr>
          <w:rFonts w:ascii="Arial Black" w:hAnsi="Arial Black"/>
          <w:sz w:val="24"/>
          <w:szCs w:val="24"/>
        </w:rPr>
      </w:pPr>
    </w:p>
    <w:p w14:paraId="4E8BB654" w14:textId="77777777" w:rsidR="009F234F" w:rsidRPr="00CE10E8" w:rsidRDefault="009F234F" w:rsidP="009F234F">
      <w:pPr>
        <w:pStyle w:val="NoSpacing"/>
        <w:rPr>
          <w:rFonts w:ascii="Arial Black" w:hAnsi="Arial Black"/>
          <w:b/>
          <w:bCs/>
          <w:sz w:val="28"/>
          <w:szCs w:val="28"/>
        </w:rPr>
      </w:pPr>
      <w:r w:rsidRPr="00CE10E8">
        <w:rPr>
          <w:rFonts w:ascii="Arial Black" w:hAnsi="Arial Black"/>
          <w:b/>
          <w:bCs/>
          <w:sz w:val="28"/>
          <w:szCs w:val="28"/>
        </w:rPr>
        <w:t>AR: ARSON – TRUCK FIRE – DEF. CONV. ARSON OF “OCCUPIED STRUCTURE” – INCLUDES A VEHICLE – 35 YRS</w:t>
      </w:r>
    </w:p>
    <w:p w14:paraId="60DE8104" w14:textId="77777777" w:rsidR="009F234F" w:rsidRPr="006F4352" w:rsidRDefault="009F234F" w:rsidP="009F234F">
      <w:pPr>
        <w:pStyle w:val="NoSpacing"/>
        <w:rPr>
          <w:rFonts w:ascii="Times New Roman" w:hAnsi="Times New Roman"/>
          <w:sz w:val="24"/>
          <w:szCs w:val="24"/>
        </w:rPr>
      </w:pPr>
    </w:p>
    <w:p w14:paraId="530861C0" w14:textId="77777777" w:rsidR="009F234F" w:rsidRPr="006F4352" w:rsidRDefault="009F234F" w:rsidP="009F234F">
      <w:pPr>
        <w:pStyle w:val="NoSpacing"/>
        <w:rPr>
          <w:rFonts w:ascii="Times New Roman" w:hAnsi="Times New Roman"/>
          <w:sz w:val="24"/>
          <w:szCs w:val="24"/>
        </w:rPr>
      </w:pPr>
      <w:r w:rsidRPr="006F4352">
        <w:rPr>
          <w:rFonts w:ascii="Times New Roman" w:hAnsi="Times New Roman"/>
          <w:sz w:val="24"/>
          <w:szCs w:val="24"/>
        </w:rPr>
        <w:t xml:space="preserve">On Sept. 17, 2024 in </w:t>
      </w:r>
      <w:r w:rsidRPr="006F4352">
        <w:rPr>
          <w:rFonts w:ascii="Times New Roman" w:hAnsi="Times New Roman"/>
          <w:sz w:val="24"/>
          <w:szCs w:val="24"/>
          <w:u w:val="single"/>
        </w:rPr>
        <w:t>State of Arizona v. Edwardo Serrato, III</w:t>
      </w:r>
      <w:r w:rsidRPr="006F4352">
        <w:rPr>
          <w:rFonts w:ascii="Times New Roman" w:hAnsi="Times New Roman"/>
          <w:sz w:val="24"/>
          <w:szCs w:val="24"/>
        </w:rPr>
        <w:t>, the Court of Appeals of Arizona, Division 1, held (3 to 0): “Edwardo Serrato, III appeals his conviction and sentence for arson of an occupied structure.</w:t>
      </w:r>
      <w:hyperlink r:id="rId106" w:anchor="footnote_1" w:history="1">
        <w:r w:rsidRPr="006F4352">
          <w:rPr>
            <w:rStyle w:val="Hyperlink"/>
            <w:rFonts w:ascii="Times New Roman" w:hAnsi="Times New Roman"/>
            <w:sz w:val="24"/>
            <w:szCs w:val="24"/>
            <w:vertAlign w:val="superscript"/>
          </w:rPr>
          <w:t>1</w:t>
        </w:r>
      </w:hyperlink>
      <w:r w:rsidRPr="006F4352">
        <w:rPr>
          <w:rFonts w:ascii="Times New Roman" w:hAnsi="Times New Roman"/>
          <w:sz w:val="24"/>
          <w:szCs w:val="24"/>
        </w:rPr>
        <w:t xml:space="preserve"> He argues that the vehicle subject to the arson was not occupied because there was no proof that anyone else was inside or in the vicinity of the vehicle that burned. We address whether a defendant's presence alone is sufficient to find a structure is occupied. We hold that it is. Accordingly, we affirm.”  </w:t>
      </w:r>
      <w:hyperlink r:id="rId107" w:history="1">
        <w:r w:rsidRPr="006F4352">
          <w:rPr>
            <w:rStyle w:val="Hyperlink"/>
            <w:rFonts w:ascii="Times New Roman" w:hAnsi="Times New Roman"/>
            <w:sz w:val="24"/>
            <w:szCs w:val="24"/>
          </w:rPr>
          <w:t>https://caselaw.findlaw.com/court/az-court-of-appeals/116575227.html</w:t>
        </w:r>
      </w:hyperlink>
      <w:r w:rsidRPr="006F4352">
        <w:rPr>
          <w:rFonts w:ascii="Times New Roman" w:hAnsi="Times New Roman"/>
          <w:sz w:val="24"/>
          <w:szCs w:val="24"/>
        </w:rPr>
        <w:t xml:space="preserve"> </w:t>
      </w:r>
    </w:p>
    <w:p w14:paraId="6146A567" w14:textId="77777777" w:rsidR="006F4352" w:rsidRPr="006F4352" w:rsidRDefault="006F4352" w:rsidP="006F4352">
      <w:pPr>
        <w:pStyle w:val="NoSpacing"/>
        <w:rPr>
          <w:rFonts w:ascii="Times New Roman" w:hAnsi="Times New Roman"/>
          <w:b/>
          <w:sz w:val="24"/>
          <w:szCs w:val="24"/>
        </w:rPr>
      </w:pPr>
    </w:p>
    <w:p w14:paraId="746D8E24" w14:textId="4186891B" w:rsidR="006F4352" w:rsidRPr="006F4352" w:rsidRDefault="006F4352" w:rsidP="006F4352">
      <w:pPr>
        <w:pStyle w:val="NoSpacing"/>
        <w:rPr>
          <w:rStyle w:val="Hyperlink"/>
          <w:rFonts w:ascii="Times New Roman" w:hAnsi="Times New Roman"/>
          <w:sz w:val="24"/>
          <w:szCs w:val="24"/>
        </w:rPr>
      </w:pPr>
      <w:r w:rsidRPr="006F4352">
        <w:rPr>
          <w:rFonts w:ascii="Times New Roman" w:hAnsi="Times New Roman"/>
          <w:b/>
          <w:sz w:val="24"/>
          <w:szCs w:val="24"/>
        </w:rPr>
        <w:t xml:space="preserve">Legal Lesson Learned: </w:t>
      </w:r>
      <w:r w:rsidRPr="006F4352">
        <w:rPr>
          <w:rFonts w:ascii="Times New Roman" w:hAnsi="Times New Roman"/>
          <w:b/>
          <w:bCs/>
          <w:sz w:val="24"/>
          <w:szCs w:val="24"/>
        </w:rPr>
        <w:t xml:space="preserve">Arizona has broadly defined </w:t>
      </w:r>
      <w:r w:rsidRPr="006F4352">
        <w:rPr>
          <w:rFonts w:ascii="Times New Roman" w:hAnsi="Times New Roman"/>
          <w:b/>
          <w:sz w:val="24"/>
          <w:szCs w:val="24"/>
        </w:rPr>
        <w:t xml:space="preserve">“occupied structure” </w:t>
      </w:r>
      <w:r w:rsidRPr="006F4352">
        <w:rPr>
          <w:rFonts w:ascii="Times New Roman" w:hAnsi="Times New Roman"/>
          <w:b/>
          <w:bCs/>
          <w:sz w:val="24"/>
          <w:szCs w:val="24"/>
        </w:rPr>
        <w:t xml:space="preserve">in its arson statute. </w:t>
      </w:r>
    </w:p>
    <w:p w14:paraId="20799732" w14:textId="77777777" w:rsidR="001D6E51" w:rsidRPr="006F4352" w:rsidRDefault="001D6E51" w:rsidP="00B86628">
      <w:pPr>
        <w:pStyle w:val="NoSpacing"/>
        <w:rPr>
          <w:rFonts w:ascii="Times New Roman" w:hAnsi="Times New Roman"/>
          <w:sz w:val="24"/>
          <w:szCs w:val="24"/>
        </w:rPr>
      </w:pPr>
    </w:p>
    <w:p w14:paraId="5DC7E058" w14:textId="77777777" w:rsidR="001D6E51" w:rsidRDefault="001D6E51" w:rsidP="00B86628">
      <w:pPr>
        <w:pStyle w:val="NoSpacing"/>
        <w:rPr>
          <w:rFonts w:ascii="Arial Black" w:hAnsi="Arial Black"/>
          <w:sz w:val="24"/>
          <w:szCs w:val="24"/>
        </w:rPr>
      </w:pPr>
    </w:p>
    <w:p w14:paraId="7C264D84" w14:textId="77777777" w:rsidR="00CE10E8" w:rsidRDefault="00CE10E8" w:rsidP="00B86628">
      <w:pPr>
        <w:pStyle w:val="NoSpacing"/>
        <w:rPr>
          <w:rFonts w:ascii="Arial Black" w:hAnsi="Arial Black"/>
          <w:sz w:val="24"/>
          <w:szCs w:val="24"/>
        </w:rPr>
      </w:pPr>
    </w:p>
    <w:p w14:paraId="24A4AC18" w14:textId="69B5BD26" w:rsidR="001D6E51" w:rsidRDefault="00F567E0" w:rsidP="00B86628">
      <w:pPr>
        <w:pStyle w:val="NoSpacing"/>
        <w:rPr>
          <w:rFonts w:ascii="Arial Black" w:hAnsi="Arial Black"/>
          <w:sz w:val="24"/>
          <w:szCs w:val="24"/>
        </w:rPr>
      </w:pPr>
      <w:r>
        <w:rPr>
          <w:rFonts w:ascii="Arial Black" w:hAnsi="Arial Black"/>
          <w:sz w:val="24"/>
          <w:szCs w:val="24"/>
        </w:rPr>
        <w:t>1-160</w:t>
      </w:r>
    </w:p>
    <w:p w14:paraId="0BEB36D5" w14:textId="77777777" w:rsidR="00F567E0" w:rsidRDefault="00F567E0" w:rsidP="00B86628">
      <w:pPr>
        <w:pStyle w:val="NoSpacing"/>
        <w:rPr>
          <w:rFonts w:ascii="Arial Black" w:hAnsi="Arial Black"/>
          <w:sz w:val="24"/>
          <w:szCs w:val="24"/>
        </w:rPr>
      </w:pPr>
    </w:p>
    <w:p w14:paraId="25FF336D" w14:textId="77777777" w:rsidR="004A1004" w:rsidRPr="00CE10E8" w:rsidRDefault="004A1004" w:rsidP="004A1004">
      <w:pPr>
        <w:pStyle w:val="NoSpacing"/>
        <w:rPr>
          <w:rFonts w:ascii="Arial Black" w:hAnsi="Arial Black"/>
          <w:b/>
          <w:bCs/>
          <w:sz w:val="28"/>
          <w:szCs w:val="28"/>
        </w:rPr>
      </w:pPr>
      <w:r w:rsidRPr="00CE10E8">
        <w:rPr>
          <w:rFonts w:ascii="Arial Black" w:hAnsi="Arial Black"/>
          <w:b/>
          <w:bCs/>
          <w:sz w:val="28"/>
          <w:szCs w:val="28"/>
        </w:rPr>
        <w:t>MN: ARSON – SET FIRE IN HIS KITCHEN &amp; LIVING ROOM – TO “SECURE TRIP TO JAIL” – NO PROBATION - 48 MONTHS</w:t>
      </w:r>
    </w:p>
    <w:p w14:paraId="4A64B516" w14:textId="77777777" w:rsidR="004A1004" w:rsidRPr="00290B7D" w:rsidRDefault="004A1004" w:rsidP="004A1004">
      <w:pPr>
        <w:pStyle w:val="NoSpacing"/>
        <w:rPr>
          <w:rFonts w:ascii="Times New Roman" w:hAnsi="Times New Roman"/>
          <w:sz w:val="24"/>
          <w:szCs w:val="24"/>
        </w:rPr>
      </w:pPr>
    </w:p>
    <w:p w14:paraId="1483FAB1" w14:textId="77777777" w:rsidR="004A1004" w:rsidRPr="00290B7D" w:rsidRDefault="004A1004" w:rsidP="004A1004">
      <w:pPr>
        <w:pStyle w:val="NoSpacing"/>
        <w:rPr>
          <w:rFonts w:ascii="Times New Roman" w:hAnsi="Times New Roman"/>
          <w:sz w:val="24"/>
          <w:szCs w:val="24"/>
        </w:rPr>
      </w:pPr>
      <w:r w:rsidRPr="00290B7D">
        <w:rPr>
          <w:rFonts w:ascii="Times New Roman" w:hAnsi="Times New Roman"/>
          <w:sz w:val="24"/>
          <w:szCs w:val="24"/>
        </w:rPr>
        <w:t xml:space="preserve">On Sept. 16, 2024, in </w:t>
      </w:r>
      <w:r w:rsidRPr="00290B7D">
        <w:rPr>
          <w:rFonts w:ascii="Times New Roman" w:hAnsi="Times New Roman"/>
          <w:sz w:val="24"/>
          <w:szCs w:val="24"/>
          <w:u w:val="single"/>
        </w:rPr>
        <w:t>State of Minnesota v. Hunter Steven Hipp</w:t>
      </w:r>
      <w:r w:rsidRPr="00290B7D">
        <w:rPr>
          <w:rFonts w:ascii="Times New Roman" w:hAnsi="Times New Roman"/>
          <w:sz w:val="24"/>
          <w:szCs w:val="24"/>
        </w:rPr>
        <w:t>, the Minnesota Court of Appeals held (3 to 0) “Hunter Hipp pleaded guilty to first-degree arson after intentionally setting fires in</w:t>
      </w:r>
    </w:p>
    <w:p w14:paraId="263508C8" w14:textId="77777777" w:rsidR="004A1004" w:rsidRPr="00290B7D" w:rsidRDefault="004A1004" w:rsidP="004A1004">
      <w:pPr>
        <w:pStyle w:val="NoSpacing"/>
        <w:rPr>
          <w:rFonts w:ascii="Times New Roman" w:hAnsi="Times New Roman"/>
          <w:sz w:val="24"/>
          <w:szCs w:val="24"/>
        </w:rPr>
      </w:pPr>
      <w:r w:rsidRPr="00290B7D">
        <w:rPr>
          <w:rFonts w:ascii="Times New Roman" w:hAnsi="Times New Roman"/>
          <w:sz w:val="24"/>
          <w:szCs w:val="24"/>
        </w:rPr>
        <w:t>the kitchen and living room of his apartment. He notified the district court in writing of his</w:t>
      </w:r>
    </w:p>
    <w:p w14:paraId="5B9EA823" w14:textId="77777777" w:rsidR="004A1004" w:rsidRPr="00290B7D" w:rsidRDefault="004A1004" w:rsidP="004A1004">
      <w:pPr>
        <w:pStyle w:val="NoSpacing"/>
        <w:rPr>
          <w:rFonts w:ascii="Times New Roman" w:hAnsi="Times New Roman"/>
          <w:sz w:val="24"/>
          <w:szCs w:val="24"/>
        </w:rPr>
      </w:pPr>
      <w:r w:rsidRPr="00290B7D">
        <w:rPr>
          <w:rFonts w:ascii="Times New Roman" w:hAnsi="Times New Roman"/>
          <w:sz w:val="24"/>
          <w:szCs w:val="24"/>
        </w:rPr>
        <w:t>intent to move ‘for a dispositional and/or durational departure from the presumptive</w:t>
      </w:r>
    </w:p>
    <w:p w14:paraId="70A52B7E" w14:textId="77777777" w:rsidR="004A1004" w:rsidRPr="00290B7D" w:rsidRDefault="004A1004" w:rsidP="004A1004">
      <w:pPr>
        <w:pStyle w:val="NoSpacing"/>
        <w:rPr>
          <w:rFonts w:ascii="Times New Roman" w:hAnsi="Times New Roman"/>
          <w:sz w:val="24"/>
          <w:szCs w:val="24"/>
        </w:rPr>
      </w:pPr>
      <w:r w:rsidRPr="00290B7D">
        <w:rPr>
          <w:rFonts w:ascii="Times New Roman" w:hAnsi="Times New Roman"/>
          <w:sz w:val="24"/>
          <w:szCs w:val="24"/>
        </w:rPr>
        <w:t xml:space="preserve">sentence,’ and at sentencing he argued exclusively that he was particularly amenable to </w:t>
      </w:r>
    </w:p>
    <w:p w14:paraId="0B826661" w14:textId="77777777" w:rsidR="004A1004" w:rsidRPr="00290B7D" w:rsidRDefault="004A1004" w:rsidP="004A1004">
      <w:pPr>
        <w:pStyle w:val="NoSpacing"/>
        <w:rPr>
          <w:rFonts w:ascii="Times New Roman" w:hAnsi="Times New Roman"/>
          <w:sz w:val="24"/>
          <w:szCs w:val="24"/>
        </w:rPr>
      </w:pPr>
      <w:r w:rsidRPr="00290B7D">
        <w:rPr>
          <w:rFonts w:ascii="Times New Roman" w:hAnsi="Times New Roman"/>
          <w:sz w:val="24"/>
          <w:szCs w:val="24"/>
        </w:rPr>
        <w:t xml:space="preserve">probation. The district court denied his departure motion. *** We affirm.”  </w:t>
      </w:r>
    </w:p>
    <w:p w14:paraId="249E5668" w14:textId="77777777" w:rsidR="004A1004" w:rsidRPr="00290B7D" w:rsidRDefault="004A1004" w:rsidP="004A1004">
      <w:pPr>
        <w:pStyle w:val="NoSpacing"/>
        <w:rPr>
          <w:rFonts w:ascii="Times New Roman" w:hAnsi="Times New Roman"/>
          <w:sz w:val="24"/>
          <w:szCs w:val="24"/>
        </w:rPr>
      </w:pPr>
      <w:hyperlink r:id="rId108" w:history="1">
        <w:r w:rsidRPr="00290B7D">
          <w:rPr>
            <w:rStyle w:val="Hyperlink"/>
            <w:rFonts w:ascii="Times New Roman" w:hAnsi="Times New Roman"/>
            <w:sz w:val="24"/>
            <w:szCs w:val="24"/>
          </w:rPr>
          <w:t>https://cases.justia.com/minnesota/court-of-appeals/2024-a23-1836.pdf?ts=1726855674</w:t>
        </w:r>
      </w:hyperlink>
      <w:r w:rsidRPr="00290B7D">
        <w:rPr>
          <w:rFonts w:ascii="Times New Roman" w:hAnsi="Times New Roman"/>
          <w:sz w:val="24"/>
          <w:szCs w:val="24"/>
        </w:rPr>
        <w:t xml:space="preserve"> </w:t>
      </w:r>
    </w:p>
    <w:p w14:paraId="692B4F28" w14:textId="77777777" w:rsidR="00F567E0" w:rsidRPr="00290B7D" w:rsidRDefault="00F567E0" w:rsidP="00B86628">
      <w:pPr>
        <w:pStyle w:val="NoSpacing"/>
        <w:rPr>
          <w:rFonts w:ascii="Times New Roman" w:hAnsi="Times New Roman"/>
          <w:sz w:val="24"/>
          <w:szCs w:val="24"/>
        </w:rPr>
      </w:pPr>
    </w:p>
    <w:p w14:paraId="5E9F9035" w14:textId="77777777" w:rsidR="00290B7D" w:rsidRPr="00290B7D" w:rsidRDefault="00290B7D" w:rsidP="00290B7D">
      <w:pPr>
        <w:pStyle w:val="NoSpacing"/>
        <w:rPr>
          <w:rFonts w:ascii="Times New Roman" w:hAnsi="Times New Roman"/>
          <w:b/>
          <w:bCs/>
          <w:sz w:val="24"/>
          <w:szCs w:val="24"/>
        </w:rPr>
      </w:pPr>
      <w:r w:rsidRPr="00290B7D">
        <w:rPr>
          <w:rFonts w:ascii="Times New Roman" w:hAnsi="Times New Roman"/>
          <w:b/>
          <w:sz w:val="24"/>
          <w:szCs w:val="24"/>
        </w:rPr>
        <w:t xml:space="preserve">Legal Lesson Learned: Trial court has discretion in </w:t>
      </w:r>
      <w:r w:rsidRPr="00290B7D">
        <w:rPr>
          <w:rFonts w:ascii="Times New Roman" w:hAnsi="Times New Roman"/>
          <w:b/>
          <w:bCs/>
          <w:sz w:val="24"/>
          <w:szCs w:val="24"/>
        </w:rPr>
        <w:t>sentencing - j</w:t>
      </w:r>
      <w:r w:rsidRPr="00290B7D">
        <w:rPr>
          <w:rFonts w:ascii="Times New Roman" w:hAnsi="Times New Roman"/>
          <w:b/>
          <w:sz w:val="24"/>
          <w:szCs w:val="24"/>
        </w:rPr>
        <w:t xml:space="preserve">ail time or probation. </w:t>
      </w:r>
    </w:p>
    <w:p w14:paraId="317B34A6" w14:textId="77777777" w:rsidR="00290B7D" w:rsidRDefault="00290B7D" w:rsidP="00B86628">
      <w:pPr>
        <w:pStyle w:val="NoSpacing"/>
        <w:rPr>
          <w:rFonts w:ascii="Arial Black" w:hAnsi="Arial Black"/>
          <w:sz w:val="24"/>
          <w:szCs w:val="24"/>
        </w:rPr>
      </w:pPr>
    </w:p>
    <w:p w14:paraId="0CA23D62" w14:textId="77777777" w:rsidR="001D6E51" w:rsidRDefault="001D6E51" w:rsidP="00B86628">
      <w:pPr>
        <w:pStyle w:val="NoSpacing"/>
        <w:rPr>
          <w:rFonts w:ascii="Arial Black" w:hAnsi="Arial Black"/>
          <w:sz w:val="24"/>
          <w:szCs w:val="24"/>
        </w:rPr>
      </w:pPr>
    </w:p>
    <w:p w14:paraId="312FE519" w14:textId="5C6AEA10" w:rsidR="00455B5B" w:rsidRDefault="00455B5B" w:rsidP="00B86628">
      <w:pPr>
        <w:pStyle w:val="NoSpacing"/>
        <w:rPr>
          <w:rFonts w:ascii="Arial Black" w:hAnsi="Arial Black"/>
          <w:sz w:val="24"/>
          <w:szCs w:val="24"/>
        </w:rPr>
      </w:pPr>
      <w:r>
        <w:rPr>
          <w:rFonts w:ascii="Arial Black" w:hAnsi="Arial Black"/>
          <w:sz w:val="24"/>
          <w:szCs w:val="24"/>
        </w:rPr>
        <w:t>1-159</w:t>
      </w:r>
    </w:p>
    <w:p w14:paraId="3845B24E" w14:textId="77777777" w:rsidR="00455B5B" w:rsidRDefault="00455B5B" w:rsidP="00B86628">
      <w:pPr>
        <w:pStyle w:val="NoSpacing"/>
        <w:rPr>
          <w:rFonts w:ascii="Arial Black" w:hAnsi="Arial Black"/>
          <w:sz w:val="24"/>
          <w:szCs w:val="24"/>
        </w:rPr>
      </w:pPr>
    </w:p>
    <w:p w14:paraId="18AE0689" w14:textId="20E4B7B0" w:rsidR="00455B5B" w:rsidRPr="00641056" w:rsidRDefault="00455B5B" w:rsidP="00455B5B">
      <w:pPr>
        <w:rPr>
          <w:rFonts w:ascii="Arial Black" w:hAnsi="Arial Black"/>
          <w:b/>
          <w:bCs/>
          <w:sz w:val="28"/>
        </w:rPr>
      </w:pPr>
      <w:r>
        <w:rPr>
          <w:rFonts w:ascii="Arial Black" w:hAnsi="Arial Black"/>
          <w:b/>
          <w:bCs/>
          <w:sz w:val="28"/>
        </w:rPr>
        <w:t>IL: ARSON CONVICTION REVERSED – FD INVESTIG</w:t>
      </w:r>
      <w:r w:rsidR="00142FA2">
        <w:rPr>
          <w:rFonts w:ascii="Arial Black" w:hAnsi="Arial Black"/>
          <w:b/>
          <w:bCs/>
          <w:sz w:val="28"/>
        </w:rPr>
        <w:t>A</w:t>
      </w:r>
      <w:r>
        <w:rPr>
          <w:rFonts w:ascii="Arial Black" w:hAnsi="Arial Black"/>
          <w:b/>
          <w:bCs/>
          <w:sz w:val="28"/>
        </w:rPr>
        <w:t>TOR / PD NO “MIRANDA” WARNING – CUSTODIAL INTERROGATION</w:t>
      </w:r>
    </w:p>
    <w:p w14:paraId="673D6AE4" w14:textId="77777777" w:rsidR="00455B5B" w:rsidRPr="00455B5B" w:rsidRDefault="00455B5B" w:rsidP="00455B5B">
      <w:pPr>
        <w:rPr>
          <w:rFonts w:ascii="Times New Roman" w:hAnsi="Times New Roman"/>
          <w:sz w:val="24"/>
          <w:szCs w:val="24"/>
        </w:rPr>
      </w:pPr>
      <w:r w:rsidRPr="00455B5B">
        <w:rPr>
          <w:rFonts w:ascii="Times New Roman" w:hAnsi="Times New Roman"/>
          <w:sz w:val="24"/>
          <w:szCs w:val="24"/>
        </w:rPr>
        <w:t xml:space="preserve">On Oct. 1, 2024, in </w:t>
      </w:r>
      <w:r w:rsidRPr="00455B5B">
        <w:rPr>
          <w:rFonts w:ascii="Times New Roman" w:hAnsi="Times New Roman"/>
          <w:sz w:val="24"/>
          <w:szCs w:val="24"/>
          <w:u w:val="single"/>
        </w:rPr>
        <w:t>The People of the State of Illinois v. Adriane L. Parke</w:t>
      </w:r>
      <w:r w:rsidRPr="00455B5B">
        <w:rPr>
          <w:rFonts w:ascii="Times New Roman" w:hAnsi="Times New Roman"/>
          <w:sz w:val="24"/>
          <w:szCs w:val="24"/>
        </w:rPr>
        <w:t xml:space="preserve">, the Court of Appeals of Illinois, Fifth District, held (3 to 0) that the confession by the housekeeper (also volunteer firefighter) started the fire in a room at the Drury Inn must be suppressed; jury conviction set aside but State can re-try her.   The Court wrote: “Defendant argues no reasonable, innocent person in her shoes would have felt free to stop answering [Fire Investigator Shane] Emrich’s and [Mount Vernon Police Officer Nathan] Franklin’s questions during the interrogation. The question before this court is whether a custodial interrogation, requiring </w:t>
      </w:r>
      <w:r w:rsidRPr="00455B5B">
        <w:rPr>
          <w:rFonts w:ascii="Times New Roman" w:hAnsi="Times New Roman"/>
          <w:i/>
          <w:iCs/>
          <w:sz w:val="24"/>
          <w:szCs w:val="24"/>
        </w:rPr>
        <w:t>Miranda</w:t>
      </w:r>
      <w:r w:rsidRPr="00455B5B">
        <w:rPr>
          <w:rFonts w:ascii="Times New Roman" w:hAnsi="Times New Roman"/>
          <w:sz w:val="24"/>
          <w:szCs w:val="24"/>
        </w:rPr>
        <w:t xml:space="preserve">, took place. We believe one did. *** After considering the relevant factors and the circumstances of this case, we find that defendant was subjected to a custodial interrogation, requiring Miranda, when defendant confessed to starting the fire at the Drury Inn on December 2, 2015.” </w:t>
      </w:r>
      <w:hyperlink r:id="rId109" w:history="1">
        <w:r w:rsidRPr="00455B5B">
          <w:rPr>
            <w:rStyle w:val="Hyperlink"/>
            <w:rFonts w:ascii="Times New Roman" w:hAnsi="Times New Roman"/>
            <w:sz w:val="24"/>
            <w:szCs w:val="24"/>
          </w:rPr>
          <w:t>https://ilcourtsaudio.blob.core.windows.net/antilles-resources/resources/b35fd65d-f662-4e1a-abeb-4f9e1aa279eb/People%20v.%20Parke,%202024%20IL%20App%20(5th)%20220703-U.pdf</w:t>
        </w:r>
      </w:hyperlink>
      <w:r w:rsidRPr="00455B5B">
        <w:rPr>
          <w:rFonts w:ascii="Times New Roman" w:hAnsi="Times New Roman"/>
          <w:sz w:val="24"/>
          <w:szCs w:val="24"/>
        </w:rPr>
        <w:t xml:space="preserve"> </w:t>
      </w:r>
    </w:p>
    <w:p w14:paraId="3A3AA4B7" w14:textId="77777777" w:rsidR="00455B5B" w:rsidRPr="00455B5B" w:rsidRDefault="00455B5B" w:rsidP="00455B5B">
      <w:pPr>
        <w:rPr>
          <w:rFonts w:ascii="Times New Roman" w:hAnsi="Times New Roman"/>
          <w:sz w:val="24"/>
          <w:szCs w:val="24"/>
        </w:rPr>
      </w:pPr>
      <w:r w:rsidRPr="00455B5B">
        <w:rPr>
          <w:rFonts w:ascii="Times New Roman" w:hAnsi="Times New Roman"/>
          <w:sz w:val="24"/>
          <w:szCs w:val="24"/>
        </w:rPr>
        <w:t>THE COURT HELD:</w:t>
      </w:r>
    </w:p>
    <w:p w14:paraId="76CDCBEE"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“The [interrogation room] video shows that Emrich stated at least 10 times that he did not believe defendant’s version of events and accused her of lying and withholding the truth. Similarly, Franklin interjected halfway through the interview, informing defendant that he was trained to listen to people talk. Franklin then proceeded to state to defendant at least two times that she was not telling the truth. Franklin also claimed that he and Emrich knew that defendant “intentionally” started the fire in room 603. The trial court made no mention of these facts when it denied defendant’s motion to suppress.</w:t>
      </w:r>
    </w:p>
    <w:p w14:paraId="5015664A" w14:textId="77777777" w:rsidR="00455B5B" w:rsidRPr="00455B5B" w:rsidRDefault="00455B5B" w:rsidP="00455B5B">
      <w:pPr>
        <w:pStyle w:val="NoSpacing"/>
        <w:ind w:left="720"/>
        <w:rPr>
          <w:rFonts w:ascii="Times New Roman" w:hAnsi="Times New Roman"/>
          <w:sz w:val="24"/>
          <w:szCs w:val="24"/>
        </w:rPr>
      </w:pPr>
    </w:p>
    <w:p w14:paraId="60021666"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w:t>
      </w:r>
    </w:p>
    <w:p w14:paraId="4B222803"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 xml:space="preserve">Defendant, however, testified that she encountered Franklin, a police officer wearing a badge with his gun holstered, when she first walked into the room. According to defendant, she saw Franklin for the first time ‘sitting out behind his desk with his legs propped up on the desk.’ Regardless, neither Emrich nor defendant testified that defendant knew Franklin would be present when she agreed to speak with Emrich at the fire department. </w:t>
      </w:r>
    </w:p>
    <w:p w14:paraId="7865D693" w14:textId="77777777" w:rsidR="00455B5B" w:rsidRPr="00455B5B" w:rsidRDefault="00455B5B" w:rsidP="00455B5B">
      <w:pPr>
        <w:pStyle w:val="NoSpacing"/>
        <w:ind w:left="720"/>
        <w:rPr>
          <w:rFonts w:ascii="Times New Roman" w:hAnsi="Times New Roman"/>
          <w:sz w:val="24"/>
          <w:szCs w:val="24"/>
        </w:rPr>
      </w:pPr>
    </w:p>
    <w:p w14:paraId="75E5BD49"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Defendant, instead, agreed to speak with Emrich in the presence of her husband. Importantly, defendant testified at the suppression hearing that she specifically asked Emrich on the phone—at the time she agreed to meet with Emrich—to have her husband present during the interview, stating: ‘I can’t talk—I don’t understand a lot of things and he helps me.’ Despite this, Emrich offered Jeremy a seat downstairs, indicating that Jeremy was not welcome in the interview. As such, the absence of defendant’s husband and the presence of Franklin during the interview weigh in favor of a determination that a custodial interrogation took place.</w:t>
      </w:r>
    </w:p>
    <w:p w14:paraId="099B8B57" w14:textId="77777777" w:rsidR="00455B5B" w:rsidRPr="00455B5B" w:rsidRDefault="00455B5B" w:rsidP="00455B5B">
      <w:pPr>
        <w:pStyle w:val="NoSpacing"/>
        <w:ind w:left="720"/>
        <w:rPr>
          <w:rFonts w:ascii="Times New Roman" w:hAnsi="Times New Roman"/>
          <w:sz w:val="24"/>
          <w:szCs w:val="24"/>
        </w:rPr>
      </w:pPr>
    </w:p>
    <w:p w14:paraId="2F3D38C9"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w:t>
      </w:r>
    </w:p>
    <w:p w14:paraId="5AB848FD" w14:textId="77777777" w:rsidR="00455B5B" w:rsidRPr="00455B5B" w:rsidRDefault="00455B5B" w:rsidP="00455B5B">
      <w:pPr>
        <w:pStyle w:val="NoSpacing"/>
        <w:rPr>
          <w:rFonts w:ascii="Times New Roman" w:hAnsi="Times New Roman"/>
          <w:sz w:val="24"/>
          <w:szCs w:val="24"/>
        </w:rPr>
      </w:pPr>
    </w:p>
    <w:p w14:paraId="6AD5072C" w14:textId="77777777" w:rsidR="00455B5B" w:rsidRPr="00455B5B" w:rsidRDefault="00455B5B" w:rsidP="00455B5B">
      <w:pPr>
        <w:pStyle w:val="NoSpacing"/>
        <w:ind w:left="720"/>
        <w:rPr>
          <w:rFonts w:ascii="Times New Roman" w:hAnsi="Times New Roman"/>
          <w:sz w:val="24"/>
          <w:szCs w:val="24"/>
        </w:rPr>
      </w:pPr>
      <w:r w:rsidRPr="00455B5B">
        <w:rPr>
          <w:rFonts w:ascii="Times New Roman" w:hAnsi="Times New Roman"/>
          <w:sz w:val="24"/>
          <w:szCs w:val="24"/>
        </w:rPr>
        <w:t>Defendant underwent a fitness evaluation prior to trial, and Dr. Stanislaus concluded that defendant had borderline intellectual functioning. In her report, Dr. Stanislaus’s indicated that defendant’s ‘younger sister helps her with things if she cannot understand something.’ *** Based on the above reasoning, in our view, defendant’s intelligence and mental makeup weigh in favor of a finding of custodial interrogation.”</w:t>
      </w:r>
    </w:p>
    <w:p w14:paraId="0F287CD6" w14:textId="77777777" w:rsidR="00455B5B" w:rsidRPr="00455B5B" w:rsidRDefault="00455B5B" w:rsidP="00455B5B">
      <w:pPr>
        <w:pStyle w:val="NoSpacing"/>
        <w:rPr>
          <w:rFonts w:ascii="Times New Roman" w:hAnsi="Times New Roman"/>
          <w:b/>
          <w:bCs/>
          <w:sz w:val="24"/>
          <w:szCs w:val="24"/>
        </w:rPr>
      </w:pPr>
    </w:p>
    <w:p w14:paraId="1F49E839" w14:textId="7DA6E08B" w:rsidR="00455B5B" w:rsidRPr="00FE372C" w:rsidRDefault="00455B5B" w:rsidP="00455B5B">
      <w:pPr>
        <w:pStyle w:val="NoSpacing"/>
        <w:rPr>
          <w:rFonts w:ascii="Times New Roman" w:hAnsi="Times New Roman"/>
          <w:b/>
          <w:bCs/>
          <w:sz w:val="24"/>
          <w:szCs w:val="24"/>
        </w:rPr>
      </w:pPr>
      <w:r w:rsidRPr="00FE372C">
        <w:rPr>
          <w:rFonts w:ascii="Times New Roman" w:hAnsi="Times New Roman"/>
          <w:b/>
          <w:bCs/>
          <w:sz w:val="24"/>
          <w:szCs w:val="24"/>
        </w:rPr>
        <w:t xml:space="preserve">Legal Lesson Learned:  Fire Investigators and police, when conducting interview of a prime suspect, should carefully consider </w:t>
      </w:r>
      <w:r w:rsidR="00D3078F">
        <w:rPr>
          <w:rFonts w:ascii="Times New Roman" w:hAnsi="Times New Roman"/>
          <w:b/>
          <w:bCs/>
          <w:sz w:val="24"/>
          <w:szCs w:val="24"/>
        </w:rPr>
        <w:t xml:space="preserve">when to give </w:t>
      </w:r>
      <w:r w:rsidRPr="00FE372C">
        <w:rPr>
          <w:rFonts w:ascii="Times New Roman" w:hAnsi="Times New Roman"/>
          <w:b/>
          <w:bCs/>
          <w:sz w:val="24"/>
          <w:szCs w:val="24"/>
        </w:rPr>
        <w:t xml:space="preserve">a </w:t>
      </w:r>
      <w:r w:rsidRPr="00FE372C">
        <w:rPr>
          <w:rFonts w:ascii="Times New Roman" w:hAnsi="Times New Roman"/>
          <w:b/>
          <w:bCs/>
          <w:i/>
          <w:iCs/>
          <w:sz w:val="24"/>
          <w:szCs w:val="24"/>
        </w:rPr>
        <w:t xml:space="preserve">Miranda </w:t>
      </w:r>
      <w:r w:rsidRPr="00FE372C">
        <w:rPr>
          <w:rFonts w:ascii="Times New Roman" w:hAnsi="Times New Roman"/>
          <w:b/>
          <w:bCs/>
          <w:sz w:val="24"/>
          <w:szCs w:val="24"/>
        </w:rPr>
        <w:t xml:space="preserve">warning.  </w:t>
      </w:r>
    </w:p>
    <w:p w14:paraId="715E9B4F" w14:textId="77777777" w:rsidR="00455B5B" w:rsidRDefault="00455B5B" w:rsidP="00455B5B">
      <w:pPr>
        <w:pStyle w:val="NoSpacing"/>
        <w:rPr>
          <w:b/>
          <w:bCs/>
        </w:rPr>
      </w:pPr>
    </w:p>
    <w:p w14:paraId="55792646" w14:textId="77777777" w:rsidR="00455B5B" w:rsidRDefault="00455B5B" w:rsidP="00455B5B">
      <w:pPr>
        <w:pStyle w:val="NoSpacing"/>
        <w:rPr>
          <w:b/>
          <w:bCs/>
        </w:rPr>
      </w:pPr>
    </w:p>
    <w:p w14:paraId="0ED9D518" w14:textId="77777777" w:rsidR="001B6C81" w:rsidRDefault="00400F67" w:rsidP="00400F67">
      <w:pPr>
        <w:ind w:left="720"/>
        <w:rPr>
          <w:sz w:val="24"/>
          <w:szCs w:val="24"/>
        </w:rPr>
      </w:pPr>
      <w:r w:rsidRPr="00400F67">
        <w:rPr>
          <w:sz w:val="24"/>
          <w:szCs w:val="24"/>
        </w:rPr>
        <w:t>Note: See article</w:t>
      </w:r>
      <w:r w:rsidR="001B6C81">
        <w:rPr>
          <w:sz w:val="24"/>
          <w:szCs w:val="24"/>
        </w:rPr>
        <w:t>s on this case.</w:t>
      </w:r>
    </w:p>
    <w:p w14:paraId="47B62726" w14:textId="448806B2" w:rsidR="00400F67" w:rsidRPr="00400F67" w:rsidRDefault="00400F67" w:rsidP="00400F67">
      <w:pPr>
        <w:ind w:left="720"/>
        <w:rPr>
          <w:sz w:val="24"/>
          <w:szCs w:val="24"/>
        </w:rPr>
      </w:pPr>
      <w:r w:rsidRPr="00400F67">
        <w:rPr>
          <w:sz w:val="24"/>
          <w:szCs w:val="24"/>
        </w:rPr>
        <w:t xml:space="preserve">Oct. 11, 2018: </w:t>
      </w:r>
      <w:r w:rsidRPr="00400F67">
        <w:rPr>
          <w:rFonts w:ascii="Times New Roman" w:eastAsiaTheme="minorHAnsi" w:hAnsi="Times New Roman"/>
          <w:sz w:val="24"/>
          <w:szCs w:val="24"/>
        </w:rPr>
        <w:t xml:space="preserve">Christopher Woman Found Guilty of Setting Fire at Mt. Vernon Hotel </w:t>
      </w:r>
      <w:hyperlink r:id="rId110" w:history="1">
        <w:r w:rsidRPr="00400F67">
          <w:rPr>
            <w:rStyle w:val="Hyperlink"/>
            <w:sz w:val="24"/>
            <w:szCs w:val="24"/>
          </w:rPr>
          <w:t>https://www.wmix94.com/2018/10/11/christopher-woman-found-guilty-of-setting-fire-at-mt-vernon-hotel/</w:t>
        </w:r>
      </w:hyperlink>
      <w:r w:rsidRPr="00400F67">
        <w:rPr>
          <w:sz w:val="24"/>
          <w:szCs w:val="24"/>
        </w:rPr>
        <w:t xml:space="preserve"> </w:t>
      </w:r>
    </w:p>
    <w:p w14:paraId="3208B898" w14:textId="77777777" w:rsidR="00400F67" w:rsidRPr="008D4EE9" w:rsidRDefault="00400F67" w:rsidP="00400F67">
      <w:pPr>
        <w:spacing w:after="160"/>
        <w:ind w:left="720"/>
        <w:rPr>
          <w:rFonts w:ascii="Times New Roman" w:eastAsiaTheme="minorHAnsi" w:hAnsi="Times New Roman"/>
          <w:sz w:val="24"/>
          <w:szCs w:val="24"/>
        </w:rPr>
      </w:pPr>
      <w:r w:rsidRPr="00400F67">
        <w:rPr>
          <w:sz w:val="24"/>
          <w:szCs w:val="24"/>
        </w:rPr>
        <w:t xml:space="preserve">Jan. 12, 2016. </w:t>
      </w:r>
      <w:r w:rsidRPr="00400F67">
        <w:rPr>
          <w:rFonts w:ascii="Times New Roman" w:eastAsiaTheme="minorHAnsi" w:hAnsi="Times New Roman"/>
          <w:sz w:val="24"/>
          <w:szCs w:val="24"/>
        </w:rPr>
        <w:t>Christopher, IL woman arrested on arson charges</w:t>
      </w:r>
      <w:r w:rsidRPr="00400F67">
        <w:rPr>
          <w:sz w:val="24"/>
          <w:szCs w:val="24"/>
        </w:rPr>
        <w:t xml:space="preserve">. </w:t>
      </w:r>
      <w:hyperlink r:id="rId111" w:history="1">
        <w:r w:rsidRPr="00400F67">
          <w:rPr>
            <w:rStyle w:val="Hyperlink"/>
            <w:sz w:val="24"/>
            <w:szCs w:val="24"/>
          </w:rPr>
          <w:t>https://www.kfvs12.com/story/30947819/christopher-il-woman-arrested-on-arson-charges/</w:t>
        </w:r>
      </w:hyperlink>
      <w:r w:rsidRPr="008D4EE9">
        <w:rPr>
          <w:szCs w:val="24"/>
        </w:rPr>
        <w:t xml:space="preserve"> </w:t>
      </w:r>
    </w:p>
    <w:p w14:paraId="3C3F76BC" w14:textId="77777777" w:rsidR="00455B5B" w:rsidRDefault="00455B5B" w:rsidP="00B86628">
      <w:pPr>
        <w:pStyle w:val="NoSpacing"/>
        <w:rPr>
          <w:rFonts w:ascii="Arial Black" w:hAnsi="Arial Black"/>
          <w:sz w:val="24"/>
          <w:szCs w:val="24"/>
        </w:rPr>
      </w:pPr>
    </w:p>
    <w:p w14:paraId="415BE98F" w14:textId="77777777" w:rsidR="00455B5B" w:rsidRDefault="00455B5B" w:rsidP="00B86628">
      <w:pPr>
        <w:pStyle w:val="NoSpacing"/>
        <w:rPr>
          <w:rFonts w:ascii="Arial Black" w:hAnsi="Arial Black"/>
          <w:sz w:val="24"/>
          <w:szCs w:val="24"/>
        </w:rPr>
      </w:pPr>
    </w:p>
    <w:p w14:paraId="01F48A2F" w14:textId="69BAE123" w:rsidR="0011091B" w:rsidRDefault="00B33F53" w:rsidP="00B86628">
      <w:pPr>
        <w:pStyle w:val="NoSpacing"/>
        <w:rPr>
          <w:rFonts w:ascii="Arial Black" w:hAnsi="Arial Black"/>
          <w:sz w:val="24"/>
          <w:szCs w:val="24"/>
        </w:rPr>
      </w:pPr>
      <w:r>
        <w:rPr>
          <w:rFonts w:ascii="Arial Black" w:hAnsi="Arial Black"/>
          <w:sz w:val="24"/>
          <w:szCs w:val="24"/>
        </w:rPr>
        <w:t>1-158</w:t>
      </w:r>
    </w:p>
    <w:p w14:paraId="20D59B9F" w14:textId="77777777" w:rsidR="00B33F53" w:rsidRDefault="00B33F53" w:rsidP="00B86628">
      <w:pPr>
        <w:pStyle w:val="NoSpacing"/>
        <w:rPr>
          <w:rFonts w:ascii="Arial Black" w:hAnsi="Arial Black"/>
          <w:sz w:val="24"/>
          <w:szCs w:val="24"/>
        </w:rPr>
      </w:pPr>
    </w:p>
    <w:p w14:paraId="4DE34087" w14:textId="77777777" w:rsidR="00CE14C4" w:rsidRPr="00A71365" w:rsidRDefault="00CE14C4" w:rsidP="00CE14C4">
      <w:pPr>
        <w:pStyle w:val="NoSpacing"/>
        <w:rPr>
          <w:rFonts w:ascii="Arial Black" w:hAnsi="Arial Black"/>
          <w:sz w:val="28"/>
        </w:rPr>
      </w:pPr>
      <w:r w:rsidRPr="00A71365">
        <w:rPr>
          <w:rFonts w:ascii="Arial Black" w:hAnsi="Arial Black"/>
          <w:sz w:val="28"/>
        </w:rPr>
        <w:t>CA: FED</w:t>
      </w:r>
      <w:r>
        <w:rPr>
          <w:rFonts w:ascii="Arial Black" w:hAnsi="Arial Black"/>
          <w:sz w:val="28"/>
        </w:rPr>
        <w:t xml:space="preserve">ERAL GOV’T SUES </w:t>
      </w:r>
      <w:r w:rsidRPr="00A71365">
        <w:rPr>
          <w:rFonts w:ascii="Arial Black" w:hAnsi="Arial Black"/>
          <w:sz w:val="28"/>
        </w:rPr>
        <w:t>MANUF</w:t>
      </w:r>
      <w:r>
        <w:rPr>
          <w:rFonts w:ascii="Arial Black" w:hAnsi="Arial Black"/>
          <w:sz w:val="28"/>
        </w:rPr>
        <w:t xml:space="preserve">. OF </w:t>
      </w:r>
      <w:r w:rsidRPr="00A71365">
        <w:rPr>
          <w:rFonts w:ascii="Arial Black" w:hAnsi="Arial Black"/>
          <w:sz w:val="28"/>
        </w:rPr>
        <w:t>SMOKE BOMBS</w:t>
      </w:r>
      <w:r>
        <w:rPr>
          <w:rFonts w:ascii="Arial Black" w:hAnsi="Arial Black"/>
          <w:sz w:val="28"/>
        </w:rPr>
        <w:t xml:space="preserve"> – EXCESSIVE SPARKS</w:t>
      </w:r>
      <w:r w:rsidRPr="00A71365">
        <w:rPr>
          <w:rFonts w:ascii="Arial Black" w:hAnsi="Arial Black"/>
          <w:sz w:val="28"/>
        </w:rPr>
        <w:t xml:space="preserve"> –</w:t>
      </w:r>
      <w:r>
        <w:rPr>
          <w:rFonts w:ascii="Arial Black" w:hAnsi="Arial Black"/>
          <w:sz w:val="28"/>
        </w:rPr>
        <w:t xml:space="preserve"> </w:t>
      </w:r>
      <w:r w:rsidRPr="00A71365">
        <w:rPr>
          <w:rFonts w:ascii="Arial Black" w:hAnsi="Arial Black"/>
          <w:sz w:val="28"/>
        </w:rPr>
        <w:t>FOREST FIRE</w:t>
      </w:r>
      <w:r>
        <w:rPr>
          <w:rFonts w:ascii="Arial Black" w:hAnsi="Arial Black"/>
          <w:sz w:val="28"/>
        </w:rPr>
        <w:t xml:space="preserve"> / L</w:t>
      </w:r>
      <w:r w:rsidRPr="00A71365">
        <w:rPr>
          <w:rFonts w:ascii="Arial Black" w:hAnsi="Arial Black"/>
          <w:sz w:val="28"/>
        </w:rPr>
        <w:t>ODD</w:t>
      </w:r>
      <w:r>
        <w:rPr>
          <w:rFonts w:ascii="Arial Black" w:hAnsi="Arial Black"/>
          <w:sz w:val="28"/>
        </w:rPr>
        <w:t xml:space="preserve"> / </w:t>
      </w:r>
      <w:r w:rsidRPr="00A71365">
        <w:rPr>
          <w:rFonts w:ascii="Arial Black" w:hAnsi="Arial Black"/>
          <w:sz w:val="28"/>
        </w:rPr>
        <w:t xml:space="preserve">$41M </w:t>
      </w:r>
    </w:p>
    <w:p w14:paraId="222F6A9D" w14:textId="77777777" w:rsidR="00CE14C4" w:rsidRPr="00CE14C4" w:rsidRDefault="00CE14C4" w:rsidP="00CE14C4">
      <w:pPr>
        <w:pStyle w:val="NoSpacing"/>
        <w:rPr>
          <w:rFonts w:ascii="Times New Roman" w:hAnsi="Times New Roman"/>
          <w:sz w:val="24"/>
          <w:szCs w:val="24"/>
        </w:rPr>
      </w:pPr>
    </w:p>
    <w:p w14:paraId="1019CE46" w14:textId="77777777" w:rsidR="00CE14C4" w:rsidRPr="00CE14C4" w:rsidRDefault="00CE14C4" w:rsidP="00CE14C4">
      <w:pPr>
        <w:pStyle w:val="NoSpacing"/>
        <w:rPr>
          <w:rFonts w:ascii="Times New Roman" w:hAnsi="Times New Roman"/>
          <w:sz w:val="24"/>
          <w:szCs w:val="24"/>
        </w:rPr>
      </w:pPr>
      <w:r w:rsidRPr="00CE14C4">
        <w:rPr>
          <w:rFonts w:ascii="Times New Roman" w:hAnsi="Times New Roman"/>
          <w:sz w:val="24"/>
          <w:szCs w:val="24"/>
        </w:rPr>
        <w:t xml:space="preserve">On September 27, 2024, in </w:t>
      </w:r>
      <w:r w:rsidRPr="00CE14C4">
        <w:rPr>
          <w:rFonts w:ascii="Times New Roman" w:hAnsi="Times New Roman"/>
          <w:sz w:val="24"/>
          <w:szCs w:val="24"/>
          <w:u w:val="single"/>
        </w:rPr>
        <w:t>United States of America v. Wholesale Fireworks Corporation, et al</w:t>
      </w:r>
      <w:r w:rsidRPr="00CE14C4">
        <w:rPr>
          <w:rFonts w:ascii="Times New Roman" w:hAnsi="Times New Roman"/>
          <w:sz w:val="24"/>
          <w:szCs w:val="24"/>
        </w:rPr>
        <w:t xml:space="preserve">.,  United States District Court Judge Maame Ewusi-Mensah Frimpong,  U.S. District Court for Central District of California, denied Wholesale Firework Corporation’s (Hubard, Ohio) motion to dismiss; lawsuit to proceed against that corporation, as well as their distributor (American Fireworks Warehouse) and family that set off the two smoke bombs.  On Sept. 5, 2020, defendants Refugio and Angelina Jimenz set off two smoke bombs at a “gender reveal” party near the National Forest in San Bernadino; the fire destroyed 22,744 acres, damaged or destroyed 24 buildings, resulted in line-of-duty death of Charles Morton, and cost $41 million in fire suppression cost.  The Court wrote:  “[t] the United States alleges Wholesale Fireworks’ failure to properly design and manufacture the gender reveal smoke bombs resulted in the emission of excessive sparks, flames, and molten materials…. The FAC [First Amended Complaint] also alleges that Wholesale Fireworks failed to adequately provide labeling to warn of dangers or instruct on the safe use of the gender reveal smoke bombs….  Additionally, the gender reveal smoke bombs failed to bear the California State Fire Marshall Registration Seal, rendering them illegal in California….  Accordingly, the Court finds that the United States has plausibly alleged that Wholesale Fireworks breached the duty of care imposed by California and federal law.” </w:t>
      </w:r>
      <w:hyperlink r:id="rId112" w:history="1">
        <w:r w:rsidRPr="00CE14C4">
          <w:rPr>
            <w:rStyle w:val="Hyperlink"/>
            <w:rFonts w:ascii="Times New Roman" w:hAnsi="Times New Roman"/>
            <w:sz w:val="24"/>
            <w:szCs w:val="24"/>
          </w:rPr>
          <w:t>https://www.courthousenews.com/wp-content/uploads/2024/09/wholesale-fireworks-ruling.pdf</w:t>
        </w:r>
      </w:hyperlink>
      <w:r w:rsidRPr="00CE14C4">
        <w:rPr>
          <w:rFonts w:ascii="Times New Roman" w:hAnsi="Times New Roman"/>
          <w:sz w:val="24"/>
          <w:szCs w:val="24"/>
        </w:rPr>
        <w:t xml:space="preserve"> </w:t>
      </w:r>
    </w:p>
    <w:p w14:paraId="490B009C" w14:textId="77777777" w:rsidR="00CE14C4" w:rsidRPr="00CE14C4" w:rsidRDefault="00CE14C4" w:rsidP="00CE14C4">
      <w:pPr>
        <w:pStyle w:val="NoSpacing"/>
        <w:rPr>
          <w:rFonts w:ascii="Times New Roman" w:hAnsi="Times New Roman"/>
          <w:sz w:val="24"/>
          <w:szCs w:val="24"/>
        </w:rPr>
      </w:pPr>
    </w:p>
    <w:p w14:paraId="46234ED1" w14:textId="77777777" w:rsidR="00CE14C4" w:rsidRPr="00CE14C4" w:rsidRDefault="00CE14C4" w:rsidP="00CE14C4">
      <w:pPr>
        <w:pStyle w:val="NoSpacing"/>
        <w:rPr>
          <w:rFonts w:ascii="Times New Roman" w:hAnsi="Times New Roman"/>
          <w:sz w:val="24"/>
          <w:szCs w:val="24"/>
        </w:rPr>
      </w:pPr>
      <w:r w:rsidRPr="00CE14C4">
        <w:rPr>
          <w:rFonts w:ascii="Times New Roman" w:hAnsi="Times New Roman"/>
          <w:sz w:val="24"/>
          <w:szCs w:val="24"/>
        </w:rPr>
        <w:t>THE COURT HELD:</w:t>
      </w:r>
    </w:p>
    <w:p w14:paraId="53938237" w14:textId="77777777" w:rsidR="00CE14C4" w:rsidRPr="00CE14C4" w:rsidRDefault="00CE14C4" w:rsidP="00CE14C4">
      <w:pPr>
        <w:pStyle w:val="NoSpacing"/>
        <w:rPr>
          <w:rFonts w:ascii="Times New Roman" w:hAnsi="Times New Roman"/>
          <w:sz w:val="24"/>
          <w:szCs w:val="24"/>
        </w:rPr>
      </w:pPr>
    </w:p>
    <w:p w14:paraId="5CF74D19" w14:textId="77777777" w:rsidR="00CE14C4" w:rsidRDefault="00CE14C4" w:rsidP="00CE14C4">
      <w:pPr>
        <w:pStyle w:val="NoSpacing"/>
        <w:ind w:left="720"/>
        <w:rPr>
          <w:rFonts w:ascii="Times New Roman" w:hAnsi="Times New Roman"/>
          <w:sz w:val="24"/>
          <w:szCs w:val="24"/>
        </w:rPr>
      </w:pPr>
      <w:r w:rsidRPr="00CE14C4">
        <w:rPr>
          <w:rFonts w:ascii="Times New Roman" w:hAnsi="Times New Roman"/>
          <w:sz w:val="24"/>
          <w:szCs w:val="24"/>
        </w:rPr>
        <w:t xml:space="preserve">“T]he Court finds that it is plausible that Wholesale Fireworks allowed the fire to occur. If an entity knows or has reason to know of the risks that may result from the defective labeling or design of its product, yet fails to adequately provide such labeling, it follows that the entity consequently allowed for that danger to ensue. Wholesale Fireworks knew or had reason to know of the risks of fire that may result from the defective labeling or design of the gender </w:t>
      </w:r>
      <w:proofErr w:type="gramStart"/>
      <w:r w:rsidRPr="00CE14C4">
        <w:rPr>
          <w:rFonts w:ascii="Times New Roman" w:hAnsi="Times New Roman"/>
          <w:sz w:val="24"/>
          <w:szCs w:val="24"/>
        </w:rPr>
        <w:t>reveal</w:t>
      </w:r>
      <w:proofErr w:type="gramEnd"/>
      <w:r w:rsidRPr="00CE14C4">
        <w:rPr>
          <w:rFonts w:ascii="Times New Roman" w:hAnsi="Times New Roman"/>
          <w:sz w:val="24"/>
          <w:szCs w:val="24"/>
        </w:rPr>
        <w:t xml:space="preserve"> smoke bombs given </w:t>
      </w:r>
      <w:proofErr w:type="gramStart"/>
      <w:r w:rsidRPr="00CE14C4">
        <w:rPr>
          <w:rFonts w:ascii="Times New Roman" w:hAnsi="Times New Roman"/>
          <w:sz w:val="24"/>
          <w:szCs w:val="24"/>
        </w:rPr>
        <w:t>its</w:t>
      </w:r>
      <w:proofErr w:type="gramEnd"/>
      <w:r w:rsidRPr="00CE14C4">
        <w:rPr>
          <w:rFonts w:ascii="Times New Roman" w:hAnsi="Times New Roman"/>
          <w:sz w:val="24"/>
          <w:szCs w:val="24"/>
        </w:rPr>
        <w:t xml:space="preserve"> training in the industry. Wholesale Fireworks failed to adequately provide warnings </w:t>
      </w:r>
      <w:proofErr w:type="gramStart"/>
      <w:r w:rsidRPr="00CE14C4">
        <w:rPr>
          <w:rFonts w:ascii="Times New Roman" w:hAnsi="Times New Roman"/>
          <w:sz w:val="24"/>
          <w:szCs w:val="24"/>
        </w:rPr>
        <w:t>of</w:t>
      </w:r>
      <w:proofErr w:type="gramEnd"/>
      <w:r w:rsidRPr="00CE14C4">
        <w:rPr>
          <w:rFonts w:ascii="Times New Roman" w:hAnsi="Times New Roman"/>
          <w:sz w:val="24"/>
          <w:szCs w:val="24"/>
        </w:rPr>
        <w:t xml:space="preserve"> the risk of fire that may </w:t>
      </w:r>
      <w:proofErr w:type="gramStart"/>
      <w:r w:rsidRPr="00CE14C4">
        <w:rPr>
          <w:rFonts w:ascii="Times New Roman" w:hAnsi="Times New Roman"/>
          <w:sz w:val="24"/>
          <w:szCs w:val="24"/>
        </w:rPr>
        <w:t>ensue</w:t>
      </w:r>
      <w:proofErr w:type="gramEnd"/>
      <w:r w:rsidRPr="00CE14C4">
        <w:rPr>
          <w:rFonts w:ascii="Times New Roman" w:hAnsi="Times New Roman"/>
          <w:sz w:val="24"/>
          <w:szCs w:val="24"/>
        </w:rPr>
        <w:t xml:space="preserve"> from the misuse of its product, despite knowing or having reason to know of the risks of such danger. Further, this failure was in violation of the law. Therefore, Wholesale Fireworks, in essence, allowed the fire to occur.”</w:t>
      </w:r>
    </w:p>
    <w:p w14:paraId="41CAC3EA" w14:textId="77777777" w:rsidR="00BE0BB3" w:rsidRPr="00BE0BB3" w:rsidRDefault="00BE0BB3" w:rsidP="00BE0BB3">
      <w:pPr>
        <w:pStyle w:val="NoSpacing"/>
        <w:rPr>
          <w:rFonts w:ascii="Times New Roman" w:hAnsi="Times New Roman"/>
          <w:b/>
          <w:bCs/>
          <w:sz w:val="24"/>
          <w:szCs w:val="24"/>
        </w:rPr>
      </w:pPr>
      <w:r w:rsidRPr="00BE0BB3">
        <w:rPr>
          <w:rFonts w:ascii="Times New Roman" w:hAnsi="Times New Roman"/>
          <w:b/>
          <w:bCs/>
          <w:sz w:val="24"/>
          <w:szCs w:val="24"/>
        </w:rPr>
        <w:t>Legal Lesson Learned: The manufacturer of smoke bombs has a duty to warn users about the risks of excessive sparks, flames, and molten materials.</w:t>
      </w:r>
    </w:p>
    <w:p w14:paraId="6FF70DF1" w14:textId="77777777" w:rsidR="00BE0BB3" w:rsidRPr="00BE0BB3" w:rsidRDefault="00BE0BB3" w:rsidP="00BE0BB3">
      <w:pPr>
        <w:ind w:left="720"/>
        <w:rPr>
          <w:rFonts w:ascii="Times New Roman" w:hAnsi="Times New Roman"/>
          <w:sz w:val="24"/>
          <w:szCs w:val="24"/>
        </w:rPr>
      </w:pPr>
      <w:r w:rsidRPr="00BE0BB3">
        <w:rPr>
          <w:rFonts w:ascii="Times New Roman" w:hAnsi="Times New Roman"/>
          <w:sz w:val="24"/>
          <w:szCs w:val="24"/>
        </w:rPr>
        <w:t xml:space="preserve">Note: National Fallen Firefighter Foundation: “Charles Morton, squad boss on the Big Bear Interagency Hotshot Crew, died during interagency fire suppression activities on the El Dorado Fire in the San Bernardino National Forest in California on September 17, 2020. He had been a firefighter for 18 years, 14 of those with the U.S. Forest Service.” </w:t>
      </w:r>
      <w:hyperlink r:id="rId113" w:history="1">
        <w:r w:rsidRPr="00BE0BB3">
          <w:rPr>
            <w:rStyle w:val="Hyperlink"/>
            <w:rFonts w:ascii="Times New Roman" w:hAnsi="Times New Roman"/>
            <w:sz w:val="24"/>
            <w:szCs w:val="24"/>
          </w:rPr>
          <w:t>https://www.firehero.org/fallen-firefighter/charles-e-morton/</w:t>
        </w:r>
      </w:hyperlink>
      <w:r w:rsidRPr="00BE0BB3">
        <w:rPr>
          <w:rFonts w:ascii="Times New Roman" w:hAnsi="Times New Roman"/>
          <w:sz w:val="24"/>
          <w:szCs w:val="24"/>
        </w:rPr>
        <w:t xml:space="preserve"> </w:t>
      </w:r>
    </w:p>
    <w:p w14:paraId="4B6D7914" w14:textId="77777777" w:rsidR="00BE0BB3" w:rsidRPr="00CE14C4" w:rsidRDefault="00BE0BB3" w:rsidP="00CE14C4">
      <w:pPr>
        <w:pStyle w:val="NoSpacing"/>
        <w:ind w:left="720"/>
        <w:rPr>
          <w:rFonts w:ascii="Times New Roman" w:hAnsi="Times New Roman"/>
          <w:sz w:val="24"/>
          <w:szCs w:val="24"/>
        </w:rPr>
      </w:pPr>
    </w:p>
    <w:p w14:paraId="16559F1C" w14:textId="77777777" w:rsidR="00CE14C4" w:rsidRDefault="00CE14C4" w:rsidP="00CE14C4">
      <w:pPr>
        <w:pStyle w:val="NoSpacing"/>
        <w:ind w:left="720"/>
      </w:pPr>
    </w:p>
    <w:p w14:paraId="78626872" w14:textId="77777777" w:rsidR="00B33F53" w:rsidRDefault="00B33F53" w:rsidP="00B86628">
      <w:pPr>
        <w:pStyle w:val="NoSpacing"/>
        <w:rPr>
          <w:rFonts w:ascii="Arial Black" w:hAnsi="Arial Black"/>
          <w:sz w:val="24"/>
          <w:szCs w:val="24"/>
        </w:rPr>
      </w:pPr>
    </w:p>
    <w:p w14:paraId="67E8B875" w14:textId="0DCFCFC5" w:rsidR="0011091B" w:rsidRDefault="0011091B" w:rsidP="00B86628">
      <w:pPr>
        <w:pStyle w:val="NoSpacing"/>
        <w:rPr>
          <w:rFonts w:ascii="Arial Black" w:hAnsi="Arial Black"/>
          <w:sz w:val="24"/>
          <w:szCs w:val="24"/>
        </w:rPr>
      </w:pPr>
      <w:r>
        <w:rPr>
          <w:rFonts w:ascii="Arial Black" w:hAnsi="Arial Black"/>
          <w:sz w:val="24"/>
          <w:szCs w:val="24"/>
        </w:rPr>
        <w:t>1-157</w:t>
      </w:r>
    </w:p>
    <w:p w14:paraId="09C37B75" w14:textId="77777777" w:rsidR="0011091B" w:rsidRDefault="0011091B" w:rsidP="00B86628">
      <w:pPr>
        <w:pStyle w:val="NoSpacing"/>
        <w:rPr>
          <w:rFonts w:ascii="Arial Black" w:hAnsi="Arial Black"/>
          <w:sz w:val="24"/>
          <w:szCs w:val="24"/>
        </w:rPr>
      </w:pPr>
    </w:p>
    <w:p w14:paraId="6A397B91" w14:textId="77777777" w:rsidR="0011091B" w:rsidRPr="00287362" w:rsidRDefault="0011091B" w:rsidP="0011091B">
      <w:pPr>
        <w:pStyle w:val="NoSpacing"/>
        <w:rPr>
          <w:rFonts w:ascii="Arial Black" w:hAnsi="Arial Black"/>
          <w:sz w:val="28"/>
        </w:rPr>
      </w:pPr>
      <w:r>
        <w:rPr>
          <w:rFonts w:ascii="Arial Black" w:hAnsi="Arial Black"/>
          <w:sz w:val="28"/>
        </w:rPr>
        <w:t>NY: YONKRS FIRE INSPECTION FEES - LAWFUL - MULTI-FAMILY OWNERS MUST PAY UP TO $1,250 PER YEAR</w:t>
      </w:r>
    </w:p>
    <w:p w14:paraId="3A464BAF" w14:textId="77777777" w:rsidR="0011091B" w:rsidRDefault="0011091B" w:rsidP="0011091B">
      <w:pPr>
        <w:pStyle w:val="NoSpacing"/>
      </w:pPr>
    </w:p>
    <w:p w14:paraId="35D24288" w14:textId="77777777" w:rsidR="0011091B" w:rsidRPr="0011091B" w:rsidRDefault="0011091B" w:rsidP="0011091B">
      <w:pPr>
        <w:pStyle w:val="NoSpacing"/>
        <w:rPr>
          <w:rFonts w:ascii="Times New Roman" w:hAnsi="Times New Roman"/>
          <w:sz w:val="24"/>
          <w:szCs w:val="24"/>
        </w:rPr>
      </w:pPr>
      <w:r w:rsidRPr="0011091B">
        <w:rPr>
          <w:rFonts w:ascii="Times New Roman" w:hAnsi="Times New Roman"/>
          <w:sz w:val="24"/>
          <w:szCs w:val="24"/>
        </w:rPr>
        <w:t xml:space="preserve">On Sept. 18, 2024, in </w:t>
      </w:r>
      <w:r w:rsidRPr="0011091B">
        <w:rPr>
          <w:rFonts w:ascii="Times New Roman" w:hAnsi="Times New Roman"/>
          <w:sz w:val="24"/>
          <w:szCs w:val="24"/>
          <w:u w:val="single"/>
        </w:rPr>
        <w:t>WMC Realty Cop. and T.A.C. Realty Corp. v. City of Yonkers</w:t>
      </w:r>
      <w:r w:rsidRPr="0011091B">
        <w:rPr>
          <w:rFonts w:ascii="Times New Roman" w:hAnsi="Times New Roman"/>
          <w:sz w:val="24"/>
          <w:szCs w:val="24"/>
        </w:rPr>
        <w:t>, Judge William J. Giacomo, Justice of the West Chester County Supreme Court, granted the City’s motion for summary judgment. The Court wrote: “The record indicates that the total budget for the Yonkers Fire Department for Fiscal Year 2021 was $74,369,758</w:t>
      </w:r>
      <w:proofErr w:type="gramStart"/>
      <w:r w:rsidRPr="0011091B">
        <w:rPr>
          <w:rFonts w:ascii="Times New Roman" w:hAnsi="Times New Roman"/>
          <w:sz w:val="24"/>
          <w:szCs w:val="24"/>
        </w:rPr>
        <w:t>…..</w:t>
      </w:r>
      <w:proofErr w:type="gramEnd"/>
      <w:r w:rsidRPr="0011091B">
        <w:rPr>
          <w:rFonts w:ascii="Times New Roman" w:hAnsi="Times New Roman"/>
          <w:sz w:val="24"/>
          <w:szCs w:val="24"/>
        </w:rPr>
        <w:t xml:space="preserve"> the [Fire Inspection] Program cost approximately $5.8 million </w:t>
      </w:r>
      <w:proofErr w:type="gramStart"/>
      <w:r w:rsidRPr="0011091B">
        <w:rPr>
          <w:rFonts w:ascii="Times New Roman" w:hAnsi="Times New Roman"/>
          <w:sz w:val="24"/>
          <w:szCs w:val="24"/>
        </w:rPr>
        <w:t>and that</w:t>
      </w:r>
      <w:proofErr w:type="gramEnd"/>
      <w:r w:rsidRPr="0011091B">
        <w:rPr>
          <w:rFonts w:ascii="Times New Roman" w:hAnsi="Times New Roman"/>
          <w:sz w:val="24"/>
          <w:szCs w:val="24"/>
        </w:rPr>
        <w:t xml:space="preserve"> only $3.2 million in fees were collected. These mathematical figures were verified by an independent accountants' report. Thus, defendants have demonstrated that the Program fees collected far exceeded the cost of administering the Program. *** Accordingly, defendants established prima facie that the Program Fees imposed pursuant to Section 55-7 of the Yonkers Fire Code are a permissible fee rather than an unconstitutional tax and their motion for summary judgment is granted. In opposition, plaintiffs failed to raise a triable issue of fact </w:t>
      </w:r>
      <w:proofErr w:type="gramStart"/>
      <w:r w:rsidRPr="0011091B">
        <w:rPr>
          <w:rFonts w:ascii="Times New Roman" w:hAnsi="Times New Roman"/>
          <w:sz w:val="24"/>
          <w:szCs w:val="24"/>
        </w:rPr>
        <w:t>and also</w:t>
      </w:r>
      <w:proofErr w:type="gramEnd"/>
      <w:r w:rsidRPr="0011091B">
        <w:rPr>
          <w:rFonts w:ascii="Times New Roman" w:hAnsi="Times New Roman"/>
          <w:sz w:val="24"/>
          <w:szCs w:val="24"/>
        </w:rPr>
        <w:t xml:space="preserve"> fail to support their own motion for summary judgment.” </w:t>
      </w:r>
      <w:hyperlink r:id="rId114" w:history="1">
        <w:r w:rsidRPr="0011091B">
          <w:rPr>
            <w:rStyle w:val="Hyperlink"/>
            <w:rFonts w:ascii="Times New Roman" w:hAnsi="Times New Roman"/>
            <w:sz w:val="24"/>
            <w:szCs w:val="24"/>
          </w:rPr>
          <w:t>https://law.justia.com/cases/new-york/other-courts/2024/2024-ny-slip-op-51294-u.html</w:t>
        </w:r>
      </w:hyperlink>
      <w:r w:rsidRPr="0011091B">
        <w:rPr>
          <w:rFonts w:ascii="Times New Roman" w:hAnsi="Times New Roman"/>
          <w:sz w:val="24"/>
          <w:szCs w:val="24"/>
        </w:rPr>
        <w:t xml:space="preserve"> </w:t>
      </w:r>
    </w:p>
    <w:p w14:paraId="5E4F1998" w14:textId="77777777" w:rsidR="0011091B" w:rsidRPr="0011091B" w:rsidRDefault="0011091B" w:rsidP="0011091B">
      <w:pPr>
        <w:pStyle w:val="NoSpacing"/>
        <w:rPr>
          <w:rFonts w:ascii="Times New Roman" w:hAnsi="Times New Roman"/>
          <w:sz w:val="24"/>
          <w:szCs w:val="24"/>
        </w:rPr>
      </w:pPr>
    </w:p>
    <w:p w14:paraId="1B95D348" w14:textId="77777777" w:rsidR="0011091B" w:rsidRPr="0011091B" w:rsidRDefault="0011091B" w:rsidP="0011091B">
      <w:pPr>
        <w:pStyle w:val="NoSpacing"/>
        <w:rPr>
          <w:rFonts w:ascii="Times New Roman" w:hAnsi="Times New Roman"/>
          <w:sz w:val="24"/>
          <w:szCs w:val="24"/>
        </w:rPr>
      </w:pPr>
      <w:r w:rsidRPr="0011091B">
        <w:rPr>
          <w:rFonts w:ascii="Times New Roman" w:hAnsi="Times New Roman"/>
          <w:sz w:val="24"/>
          <w:szCs w:val="24"/>
        </w:rPr>
        <w:t>THE COURT HELD:</w:t>
      </w:r>
    </w:p>
    <w:p w14:paraId="5DD73CAF" w14:textId="77777777" w:rsidR="0011091B" w:rsidRPr="0011091B" w:rsidRDefault="0011091B" w:rsidP="0011091B">
      <w:pPr>
        <w:pStyle w:val="NoSpacing"/>
        <w:rPr>
          <w:rFonts w:ascii="Times New Roman" w:hAnsi="Times New Roman"/>
          <w:sz w:val="24"/>
          <w:szCs w:val="24"/>
        </w:rPr>
      </w:pPr>
    </w:p>
    <w:p w14:paraId="253FE303" w14:textId="77777777" w:rsidR="0011091B" w:rsidRPr="0011091B" w:rsidRDefault="0011091B" w:rsidP="0011091B">
      <w:pPr>
        <w:pStyle w:val="NoSpacing"/>
        <w:ind w:left="720"/>
        <w:rPr>
          <w:rFonts w:ascii="Times New Roman" w:hAnsi="Times New Roman"/>
          <w:sz w:val="24"/>
          <w:szCs w:val="24"/>
        </w:rPr>
      </w:pPr>
      <w:r w:rsidRPr="0011091B">
        <w:rPr>
          <w:rFonts w:ascii="Times New Roman" w:hAnsi="Times New Roman"/>
          <w:sz w:val="24"/>
          <w:szCs w:val="24"/>
        </w:rPr>
        <w:t xml:space="preserve">“On or about October 3, 2017, plaintiffs filed a class action complaint on their own behalf and on behalf of similarly situated plaintiffs, and a demand for declaratory judgment against defendants. The complaint alleges that the City of Yonkers created a ‘Yonkers Fire and Building Safety Inspection Program,’ </w:t>
      </w:r>
      <w:proofErr w:type="gramStart"/>
      <w:r w:rsidRPr="0011091B">
        <w:rPr>
          <w:rFonts w:ascii="Times New Roman" w:hAnsi="Times New Roman"/>
          <w:sz w:val="24"/>
          <w:szCs w:val="24"/>
        </w:rPr>
        <w:t>in order to</w:t>
      </w:r>
      <w:proofErr w:type="gramEnd"/>
      <w:r w:rsidRPr="0011091B">
        <w:rPr>
          <w:rFonts w:ascii="Times New Roman" w:hAnsi="Times New Roman"/>
          <w:sz w:val="24"/>
          <w:szCs w:val="24"/>
        </w:rPr>
        <w:t xml:space="preserve"> provide fire and safety inspections for all multi-family dwelling units within the </w:t>
      </w:r>
      <w:proofErr w:type="gramStart"/>
      <w:r w:rsidRPr="0011091B">
        <w:rPr>
          <w:rFonts w:ascii="Times New Roman" w:hAnsi="Times New Roman"/>
          <w:sz w:val="24"/>
          <w:szCs w:val="24"/>
        </w:rPr>
        <w:t>City</w:t>
      </w:r>
      <w:proofErr w:type="gramEnd"/>
      <w:r w:rsidRPr="0011091B">
        <w:rPr>
          <w:rFonts w:ascii="Times New Roman" w:hAnsi="Times New Roman"/>
          <w:sz w:val="24"/>
          <w:szCs w:val="24"/>
        </w:rPr>
        <w:t>. The Inspection Program was established pursuant to Article 18 of the Executive Law, entitled the New York State Uniform Fire Prevention and Building Code Act [*3](Uniform Act), as codified in Executive Law § 370 et seq. and the Yonkers Fire and Building Code (</w:t>
      </w:r>
      <w:r w:rsidRPr="0011091B">
        <w:rPr>
          <w:rFonts w:ascii="Times New Roman" w:hAnsi="Times New Roman"/>
          <w:i/>
          <w:iCs/>
          <w:sz w:val="24"/>
          <w:szCs w:val="24"/>
        </w:rPr>
        <w:t xml:space="preserve">see </w:t>
      </w:r>
      <w:r w:rsidRPr="0011091B">
        <w:rPr>
          <w:rFonts w:ascii="Times New Roman" w:hAnsi="Times New Roman"/>
          <w:sz w:val="24"/>
          <w:szCs w:val="24"/>
        </w:rPr>
        <w:t>Yonkers Fire and Building Code § 55-1 et seq.). Section 55-7 of the Yonkers Fire and Building Code, entitled Fees for Fire and Building Safety Inspection Program, sets forth the following:</w:t>
      </w:r>
    </w:p>
    <w:p w14:paraId="1EF4B0F9" w14:textId="77777777" w:rsidR="0011091B" w:rsidRPr="0011091B" w:rsidRDefault="0011091B" w:rsidP="0011091B">
      <w:pPr>
        <w:pStyle w:val="NoSpacing"/>
        <w:ind w:firstLine="720"/>
        <w:rPr>
          <w:rFonts w:ascii="Times New Roman" w:hAnsi="Times New Roman"/>
          <w:sz w:val="24"/>
          <w:szCs w:val="24"/>
        </w:rPr>
      </w:pPr>
    </w:p>
    <w:p w14:paraId="2C3613DB" w14:textId="77777777" w:rsidR="0011091B" w:rsidRPr="0011091B" w:rsidRDefault="0011091B" w:rsidP="0011091B">
      <w:pPr>
        <w:pStyle w:val="NoSpacing"/>
        <w:ind w:left="1440"/>
        <w:rPr>
          <w:rFonts w:ascii="Times New Roman" w:hAnsi="Times New Roman"/>
          <w:sz w:val="24"/>
          <w:szCs w:val="24"/>
        </w:rPr>
      </w:pPr>
      <w:r w:rsidRPr="0011091B">
        <w:rPr>
          <w:rFonts w:ascii="Times New Roman" w:hAnsi="Times New Roman"/>
          <w:sz w:val="24"/>
          <w:szCs w:val="24"/>
        </w:rPr>
        <w:t>‘A. In order to pay for the City of Yonkers Fire and Building Safety Inspection Program, pursuant to which authorized officers and employees of the City of Yonkers inspect residential and business and commercial properties to ensure compliance with applicable codes, including but not limited to the New York State Uniform Fire Prevention and Building Code, the Yonkers Fire and Building Code, the Yonkers Fire Prevention Code, the Multiple Residence Law and other applicable provisions of law, a schedule of fees for classes of occupancies inspected by such program is hereby established.’</w:t>
      </w:r>
    </w:p>
    <w:p w14:paraId="31A47268" w14:textId="77777777" w:rsidR="0011091B" w:rsidRPr="0011091B" w:rsidRDefault="0011091B" w:rsidP="0011091B">
      <w:pPr>
        <w:pStyle w:val="NoSpacing"/>
        <w:rPr>
          <w:rFonts w:ascii="Times New Roman" w:hAnsi="Times New Roman"/>
          <w:sz w:val="24"/>
          <w:szCs w:val="24"/>
        </w:rPr>
      </w:pPr>
      <w:r w:rsidRPr="0011091B">
        <w:rPr>
          <w:rFonts w:ascii="Times New Roman" w:hAnsi="Times New Roman"/>
          <w:sz w:val="24"/>
          <w:szCs w:val="24"/>
        </w:rPr>
        <w:tab/>
      </w:r>
    </w:p>
    <w:p w14:paraId="0CC5BBF4" w14:textId="77777777" w:rsidR="0011091B" w:rsidRPr="0011091B" w:rsidRDefault="0011091B" w:rsidP="0011091B">
      <w:pPr>
        <w:pStyle w:val="NoSpacing"/>
        <w:ind w:left="720" w:firstLine="720"/>
        <w:rPr>
          <w:rFonts w:ascii="Times New Roman" w:hAnsi="Times New Roman"/>
          <w:sz w:val="24"/>
          <w:szCs w:val="24"/>
        </w:rPr>
      </w:pPr>
      <w:r w:rsidRPr="0011091B">
        <w:rPr>
          <w:rFonts w:ascii="Times New Roman" w:hAnsi="Times New Roman"/>
          <w:sz w:val="24"/>
          <w:szCs w:val="24"/>
        </w:rPr>
        <w:t>***</w:t>
      </w:r>
    </w:p>
    <w:p w14:paraId="18C82DA6" w14:textId="77777777" w:rsidR="0011091B" w:rsidRPr="0011091B" w:rsidRDefault="0011091B" w:rsidP="0011091B">
      <w:pPr>
        <w:pStyle w:val="NoSpacing"/>
        <w:ind w:left="1440"/>
        <w:rPr>
          <w:rFonts w:ascii="Times New Roman" w:hAnsi="Times New Roman"/>
          <w:sz w:val="24"/>
          <w:szCs w:val="24"/>
        </w:rPr>
      </w:pPr>
      <w:r w:rsidRPr="0011091B">
        <w:rPr>
          <w:rFonts w:ascii="Times New Roman" w:hAnsi="Times New Roman"/>
          <w:sz w:val="24"/>
          <w:szCs w:val="24"/>
        </w:rPr>
        <w:t xml:space="preserve">Properties are required to be inspected at least once every 36 months and owners are expected to pay annual fees ranging from $250 to $1,250. The Program fees are paid by owners of real property other than </w:t>
      </w:r>
      <w:proofErr w:type="gramStart"/>
      <w:r w:rsidRPr="0011091B">
        <w:rPr>
          <w:rFonts w:ascii="Times New Roman" w:hAnsi="Times New Roman"/>
          <w:sz w:val="24"/>
          <w:szCs w:val="24"/>
        </w:rPr>
        <w:t>one and two family</w:t>
      </w:r>
      <w:proofErr w:type="gramEnd"/>
      <w:r w:rsidRPr="0011091B">
        <w:rPr>
          <w:rFonts w:ascii="Times New Roman" w:hAnsi="Times New Roman"/>
          <w:sz w:val="24"/>
          <w:szCs w:val="24"/>
        </w:rPr>
        <w:t xml:space="preserve"> dwellings and not-for-profit buildings. </w:t>
      </w:r>
    </w:p>
    <w:p w14:paraId="528C0103" w14:textId="77777777" w:rsidR="0011091B" w:rsidRPr="0011091B" w:rsidRDefault="0011091B" w:rsidP="0011091B">
      <w:pPr>
        <w:pStyle w:val="NoSpacing"/>
        <w:ind w:left="720"/>
        <w:rPr>
          <w:rFonts w:ascii="Times New Roman" w:hAnsi="Times New Roman"/>
          <w:sz w:val="24"/>
          <w:szCs w:val="24"/>
        </w:rPr>
      </w:pPr>
    </w:p>
    <w:p w14:paraId="600FA369" w14:textId="77777777" w:rsidR="0011091B" w:rsidRPr="0011091B" w:rsidRDefault="0011091B" w:rsidP="0011091B">
      <w:pPr>
        <w:pStyle w:val="NoSpacing"/>
        <w:ind w:left="720" w:firstLine="720"/>
        <w:rPr>
          <w:rFonts w:ascii="Times New Roman" w:hAnsi="Times New Roman"/>
          <w:sz w:val="24"/>
          <w:szCs w:val="24"/>
        </w:rPr>
      </w:pPr>
      <w:r w:rsidRPr="0011091B">
        <w:rPr>
          <w:rFonts w:ascii="Times New Roman" w:hAnsi="Times New Roman"/>
          <w:sz w:val="24"/>
          <w:szCs w:val="24"/>
        </w:rPr>
        <w:t>***</w:t>
      </w:r>
    </w:p>
    <w:p w14:paraId="52FCCC62" w14:textId="77777777" w:rsidR="0011091B" w:rsidRPr="0011091B" w:rsidRDefault="0011091B" w:rsidP="0011091B">
      <w:pPr>
        <w:pStyle w:val="NoSpacing"/>
        <w:ind w:left="1440"/>
        <w:rPr>
          <w:rFonts w:ascii="Times New Roman" w:hAnsi="Times New Roman"/>
          <w:sz w:val="24"/>
          <w:szCs w:val="24"/>
        </w:rPr>
      </w:pPr>
      <w:r w:rsidRPr="0011091B">
        <w:rPr>
          <w:rFonts w:ascii="Times New Roman" w:hAnsi="Times New Roman"/>
          <w:sz w:val="24"/>
          <w:szCs w:val="24"/>
        </w:rPr>
        <w:t>Finally, it is well established that "[l]</w:t>
      </w:r>
      <w:proofErr w:type="spellStart"/>
      <w:r w:rsidRPr="0011091B">
        <w:rPr>
          <w:rFonts w:ascii="Times New Roman" w:hAnsi="Times New Roman"/>
          <w:sz w:val="24"/>
          <w:szCs w:val="24"/>
        </w:rPr>
        <w:t>egislative</w:t>
      </w:r>
      <w:proofErr w:type="spellEnd"/>
      <w:r w:rsidRPr="0011091B">
        <w:rPr>
          <w:rFonts w:ascii="Times New Roman" w:hAnsi="Times New Roman"/>
          <w:sz w:val="24"/>
          <w:szCs w:val="24"/>
        </w:rPr>
        <w:t xml:space="preserve"> enactments enjoy a strong presumption of constitutionality. While the presumption is not irrefutable, parties challenging a duly </w:t>
      </w:r>
      <w:proofErr w:type="gramStart"/>
      <w:r w:rsidRPr="0011091B">
        <w:rPr>
          <w:rFonts w:ascii="Times New Roman" w:hAnsi="Times New Roman"/>
          <w:sz w:val="24"/>
          <w:szCs w:val="24"/>
        </w:rPr>
        <w:t>enacted [*8]</w:t>
      </w:r>
      <w:proofErr w:type="gramEnd"/>
      <w:r w:rsidRPr="0011091B">
        <w:rPr>
          <w:rFonts w:ascii="Times New Roman" w:hAnsi="Times New Roman"/>
          <w:sz w:val="24"/>
          <w:szCs w:val="24"/>
        </w:rPr>
        <w:t xml:space="preserve">statute face the initial burden of demonstrating the statute's invalidity "beyond a reasonable doubt'. </w:t>
      </w:r>
      <w:r w:rsidRPr="0011091B">
        <w:rPr>
          <w:rFonts w:ascii="Times New Roman" w:hAnsi="Times New Roman"/>
          <w:i/>
          <w:iCs/>
          <w:sz w:val="24"/>
          <w:szCs w:val="24"/>
        </w:rPr>
        <w:t>Lavalle v Hayden</w:t>
      </w:r>
      <w:r w:rsidRPr="0011091B">
        <w:rPr>
          <w:rFonts w:ascii="Times New Roman" w:hAnsi="Times New Roman"/>
          <w:sz w:val="24"/>
          <w:szCs w:val="24"/>
        </w:rPr>
        <w:t xml:space="preserve">, 98 NY2d 155, 161 (2002) (internal quotation marks and citations omitted).Plaintiffs also claim the statute is "invalid" because they allegedly never received an inspection. To the extent that plaintiffs could even maintain this argument separate from claiming a private cause of action, plaintiffs have not met their burden to demonstrate the statute's invalidity beyond a reasonable doubt. First, thousands of properties are subject to </w:t>
      </w:r>
      <w:proofErr w:type="gramStart"/>
      <w:r w:rsidRPr="0011091B">
        <w:rPr>
          <w:rFonts w:ascii="Times New Roman" w:hAnsi="Times New Roman"/>
          <w:sz w:val="24"/>
          <w:szCs w:val="24"/>
        </w:rPr>
        <w:t>inspection</w:t>
      </w:r>
      <w:proofErr w:type="gramEnd"/>
      <w:r w:rsidRPr="0011091B">
        <w:rPr>
          <w:rFonts w:ascii="Times New Roman" w:hAnsi="Times New Roman"/>
          <w:sz w:val="24"/>
          <w:szCs w:val="24"/>
        </w:rPr>
        <w:t xml:space="preserve"> and it is undisputed that there are some written records for inspections. As a result, the alleged failure to inspect one property would not render a statute unconstitutional. Next, the record indicates that plaintiffs' properties were visited and inspected. The owner of the properties, an absentee landlord, testified that he was unaware of any visits by the Fire Department and testified that his tenants do not usually tell him if the Fire Department has visited. Therefore, plaintiffs have failed to prove beyond a reasonable doubt that there were missed inspections. Although there does not appear to be a uniform way the different City Fire Departments document violations and inspections, a motion for summary judgment is not the proper way to challenge a lack of systemic protocols.”</w:t>
      </w:r>
    </w:p>
    <w:p w14:paraId="4739B241" w14:textId="77777777" w:rsidR="0011091B" w:rsidRDefault="0011091B" w:rsidP="0011091B">
      <w:pPr>
        <w:pStyle w:val="NoSpacing"/>
        <w:ind w:left="720"/>
      </w:pPr>
    </w:p>
    <w:p w14:paraId="389A94B7" w14:textId="77777777" w:rsidR="00B33F53" w:rsidRPr="00B33F53" w:rsidRDefault="00B33F53" w:rsidP="00B33F53">
      <w:pPr>
        <w:pStyle w:val="NoSpacing"/>
        <w:rPr>
          <w:rFonts w:ascii="Times New Roman" w:hAnsi="Times New Roman"/>
          <w:b/>
          <w:bCs/>
          <w:sz w:val="24"/>
          <w:szCs w:val="24"/>
        </w:rPr>
      </w:pPr>
      <w:r w:rsidRPr="00B33F53">
        <w:rPr>
          <w:rFonts w:ascii="Times New Roman" w:hAnsi="Times New Roman"/>
          <w:b/>
          <w:bCs/>
          <w:sz w:val="24"/>
          <w:szCs w:val="24"/>
        </w:rPr>
        <w:t xml:space="preserve">Legal Lesson Learned:  State law requiring payment of annual fire inspection fee is lawful. </w:t>
      </w:r>
    </w:p>
    <w:p w14:paraId="31858484" w14:textId="77777777" w:rsidR="0011091B" w:rsidRDefault="0011091B" w:rsidP="00B86628">
      <w:pPr>
        <w:pStyle w:val="NoSpacing"/>
        <w:rPr>
          <w:rFonts w:ascii="Arial Black" w:hAnsi="Arial Black"/>
          <w:sz w:val="24"/>
          <w:szCs w:val="24"/>
        </w:rPr>
      </w:pPr>
    </w:p>
    <w:p w14:paraId="2670C5EF" w14:textId="77777777" w:rsidR="0011091B" w:rsidRDefault="0011091B" w:rsidP="00B86628">
      <w:pPr>
        <w:pStyle w:val="NoSpacing"/>
        <w:rPr>
          <w:rFonts w:ascii="Arial Black" w:hAnsi="Arial Black"/>
          <w:sz w:val="24"/>
          <w:szCs w:val="24"/>
        </w:rPr>
      </w:pPr>
    </w:p>
    <w:p w14:paraId="1DC154D1" w14:textId="77777777" w:rsidR="0011091B" w:rsidRDefault="0011091B" w:rsidP="00B86628">
      <w:pPr>
        <w:pStyle w:val="NoSpacing"/>
        <w:rPr>
          <w:rFonts w:ascii="Arial Black" w:hAnsi="Arial Black"/>
          <w:sz w:val="24"/>
          <w:szCs w:val="24"/>
        </w:rPr>
      </w:pPr>
    </w:p>
    <w:p w14:paraId="76180A73" w14:textId="4F662C61" w:rsidR="00C443C1" w:rsidRDefault="00C443C1" w:rsidP="00B86628">
      <w:pPr>
        <w:pStyle w:val="NoSpacing"/>
        <w:rPr>
          <w:rFonts w:ascii="Arial Black" w:hAnsi="Arial Black"/>
          <w:sz w:val="24"/>
          <w:szCs w:val="24"/>
        </w:rPr>
      </w:pPr>
      <w:r>
        <w:rPr>
          <w:rFonts w:ascii="Arial Black" w:hAnsi="Arial Black"/>
          <w:sz w:val="24"/>
          <w:szCs w:val="24"/>
        </w:rPr>
        <w:t>1-156</w:t>
      </w:r>
    </w:p>
    <w:p w14:paraId="2995E35A" w14:textId="77777777" w:rsidR="00C443C1" w:rsidRDefault="00C443C1" w:rsidP="00B86628">
      <w:pPr>
        <w:pStyle w:val="NoSpacing"/>
        <w:rPr>
          <w:rFonts w:ascii="Arial Black" w:hAnsi="Arial Black"/>
          <w:sz w:val="24"/>
          <w:szCs w:val="24"/>
        </w:rPr>
      </w:pPr>
    </w:p>
    <w:p w14:paraId="2F229D67" w14:textId="0006342D" w:rsidR="005C3A2A" w:rsidRPr="00752E25" w:rsidRDefault="005C3A2A" w:rsidP="005C3A2A">
      <w:pPr>
        <w:pStyle w:val="NoSpacing"/>
        <w:rPr>
          <w:rFonts w:ascii="Arial Black" w:hAnsi="Arial Black"/>
          <w:sz w:val="28"/>
        </w:rPr>
      </w:pPr>
      <w:r w:rsidRPr="00752E25">
        <w:rPr>
          <w:rFonts w:ascii="Arial Black" w:hAnsi="Arial Black"/>
          <w:sz w:val="28"/>
        </w:rPr>
        <w:t xml:space="preserve">OH: MATTRESS FIRE – WOMAN SERVED 6 YRS OHIO PRISON - FD INVESTIGATOR: TWO FIRES – DEFENSE EXPERT: FALSE, </w:t>
      </w:r>
      <w:r w:rsidR="007D62C3" w:rsidRPr="00752E25">
        <w:rPr>
          <w:rFonts w:ascii="Arial Black" w:hAnsi="Arial Black"/>
          <w:sz w:val="28"/>
        </w:rPr>
        <w:t xml:space="preserve">ONLY </w:t>
      </w:r>
      <w:r w:rsidRPr="00752E25">
        <w:rPr>
          <w:rFonts w:ascii="Arial Black" w:hAnsi="Arial Black"/>
          <w:sz w:val="28"/>
        </w:rPr>
        <w:t>ONE FIRE</w:t>
      </w:r>
    </w:p>
    <w:p w14:paraId="5DFD41EC" w14:textId="77777777" w:rsidR="005C3A2A" w:rsidRDefault="005C3A2A" w:rsidP="005C3A2A">
      <w:pPr>
        <w:pStyle w:val="NoSpacing"/>
        <w:rPr>
          <w:szCs w:val="24"/>
        </w:rPr>
      </w:pPr>
    </w:p>
    <w:p w14:paraId="57D6DBD7" w14:textId="77777777" w:rsidR="005C3A2A" w:rsidRPr="005C3A2A" w:rsidRDefault="005C3A2A" w:rsidP="005C3A2A">
      <w:pPr>
        <w:pStyle w:val="NoSpacing"/>
        <w:rPr>
          <w:rFonts w:ascii="Times New Roman" w:hAnsi="Times New Roman"/>
          <w:sz w:val="24"/>
          <w:szCs w:val="24"/>
        </w:rPr>
      </w:pPr>
      <w:r w:rsidRPr="005C3A2A">
        <w:rPr>
          <w:rFonts w:ascii="Times New Roman" w:hAnsi="Times New Roman"/>
          <w:sz w:val="24"/>
          <w:szCs w:val="24"/>
        </w:rPr>
        <w:t xml:space="preserve">On August 26, 2024, in </w:t>
      </w:r>
      <w:r w:rsidRPr="005C3A2A">
        <w:rPr>
          <w:rFonts w:ascii="Times New Roman" w:hAnsi="Times New Roman"/>
          <w:sz w:val="24"/>
          <w:szCs w:val="24"/>
          <w:u w:val="single"/>
        </w:rPr>
        <w:t xml:space="preserve">Kayla Jean Ayers v. Ohio Department of Rehabilitation </w:t>
      </w:r>
      <w:proofErr w:type="gramStart"/>
      <w:r w:rsidRPr="005C3A2A">
        <w:rPr>
          <w:rFonts w:ascii="Times New Roman" w:hAnsi="Times New Roman"/>
          <w:sz w:val="24"/>
          <w:szCs w:val="24"/>
          <w:u w:val="single"/>
        </w:rPr>
        <w:t>And</w:t>
      </w:r>
      <w:proofErr w:type="gramEnd"/>
      <w:r w:rsidRPr="005C3A2A">
        <w:rPr>
          <w:rFonts w:ascii="Times New Roman" w:hAnsi="Times New Roman"/>
          <w:sz w:val="24"/>
          <w:szCs w:val="24"/>
          <w:u w:val="single"/>
        </w:rPr>
        <w:t xml:space="preserve"> Corrections</w:t>
      </w:r>
      <w:r w:rsidRPr="005C3A2A">
        <w:rPr>
          <w:rFonts w:ascii="Times New Roman" w:hAnsi="Times New Roman"/>
          <w:sz w:val="24"/>
          <w:szCs w:val="24"/>
        </w:rPr>
        <w:t xml:space="preserve">, the U.S. Court of Appeals for the Sixth Circuit (Cincinnati), held (3 to 0) that the former prisoner is entitled habeas corpus relief, so she no longer </w:t>
      </w:r>
      <w:proofErr w:type="gramStart"/>
      <w:r w:rsidRPr="005C3A2A">
        <w:rPr>
          <w:rFonts w:ascii="Times New Roman" w:hAnsi="Times New Roman"/>
          <w:sz w:val="24"/>
          <w:szCs w:val="24"/>
        </w:rPr>
        <w:t>has to</w:t>
      </w:r>
      <w:proofErr w:type="gramEnd"/>
      <w:r w:rsidRPr="005C3A2A">
        <w:rPr>
          <w:rFonts w:ascii="Times New Roman" w:hAnsi="Times New Roman"/>
          <w:sz w:val="24"/>
          <w:szCs w:val="24"/>
        </w:rPr>
        <w:t xml:space="preserve"> register annually as an arson offender; can possess a firearm.  Her court-appointed trial attorney was ineffective in not retaining an expert witness concerning the mattress fire in basement on Oct. 3, </w:t>
      </w:r>
      <w:proofErr w:type="gramStart"/>
      <w:r w:rsidRPr="005C3A2A">
        <w:rPr>
          <w:rFonts w:ascii="Times New Roman" w:hAnsi="Times New Roman"/>
          <w:sz w:val="24"/>
          <w:szCs w:val="24"/>
        </w:rPr>
        <w:t>2012</w:t>
      </w:r>
      <w:proofErr w:type="gramEnd"/>
      <w:r w:rsidRPr="005C3A2A">
        <w:rPr>
          <w:rFonts w:ascii="Times New Roman" w:hAnsi="Times New Roman"/>
          <w:sz w:val="24"/>
          <w:szCs w:val="24"/>
        </w:rPr>
        <w:t xml:space="preserve"> which Massillon FD extinguished.  While Ayers was still in prison, the Ohio Innocence Project reviewed the case and consulted with “renowned fire-inspection expert John Lentini (Lentini is one of the principal authors of NFPA 921).” He concluded in his July 29, </w:t>
      </w:r>
      <w:proofErr w:type="gramStart"/>
      <w:r w:rsidRPr="005C3A2A">
        <w:rPr>
          <w:rFonts w:ascii="Times New Roman" w:hAnsi="Times New Roman"/>
          <w:sz w:val="24"/>
          <w:szCs w:val="24"/>
        </w:rPr>
        <w:t>2019</w:t>
      </w:r>
      <w:proofErr w:type="gramEnd"/>
      <w:r w:rsidRPr="005C3A2A">
        <w:rPr>
          <w:rFonts w:ascii="Times New Roman" w:hAnsi="Times New Roman"/>
          <w:sz w:val="24"/>
          <w:szCs w:val="24"/>
        </w:rPr>
        <w:t xml:space="preserve"> report that there were not two separate fires on the mattress.  The Court wrote: “Lentini is one of the principal authors of NFPA 921, the manual that [Fire Inspector Reginald] Winters relied on in formulating his opinions. In his report, Lentini opined that ‘[t]here [was] no evidence that [two fires] were ‘simultaneously burning’ and that ‘[t]he damage [was] indistinguishable from damage caused by normal fire spread from a single point of origin,’ undermining the State’s theory that the fire had been started intentionally Lentini also questioned Winters’s qualifications to testify about the fire’s cause, stating that Winters’s methods were ‘unreliable, unscientific, and at odds with generally accepted fire investigation methodology.’ *** The district court clearly erred in finding that Lentini’s report did not establish the factual predicate for Ayers’s ineffective-assistance claim.” </w:t>
      </w:r>
      <w:hyperlink r:id="rId115" w:history="1">
        <w:r w:rsidRPr="005C3A2A">
          <w:rPr>
            <w:rStyle w:val="Hyperlink"/>
            <w:rFonts w:ascii="Times New Roman" w:hAnsi="Times New Roman"/>
            <w:sz w:val="24"/>
            <w:szCs w:val="24"/>
          </w:rPr>
          <w:t>https://www.opn.ca6.uscourts.gov/opinions.pdf/24a0196p-06.pdf</w:t>
        </w:r>
      </w:hyperlink>
      <w:r w:rsidRPr="005C3A2A">
        <w:rPr>
          <w:rFonts w:ascii="Times New Roman" w:hAnsi="Times New Roman"/>
          <w:sz w:val="24"/>
          <w:szCs w:val="24"/>
        </w:rPr>
        <w:t xml:space="preserve"> </w:t>
      </w:r>
    </w:p>
    <w:p w14:paraId="68BCB087" w14:textId="77777777" w:rsidR="005C3A2A" w:rsidRPr="005C3A2A" w:rsidRDefault="005C3A2A" w:rsidP="005C3A2A">
      <w:pPr>
        <w:pStyle w:val="NoSpacing"/>
        <w:rPr>
          <w:rFonts w:ascii="Times New Roman" w:hAnsi="Times New Roman"/>
          <w:sz w:val="24"/>
          <w:szCs w:val="24"/>
        </w:rPr>
      </w:pPr>
    </w:p>
    <w:p w14:paraId="29CD1AB0" w14:textId="77777777" w:rsidR="005C3A2A" w:rsidRPr="005C3A2A" w:rsidRDefault="005C3A2A" w:rsidP="005C3A2A">
      <w:pPr>
        <w:pStyle w:val="NoSpacing"/>
        <w:rPr>
          <w:rFonts w:ascii="Times New Roman" w:hAnsi="Times New Roman"/>
          <w:sz w:val="24"/>
          <w:szCs w:val="24"/>
        </w:rPr>
      </w:pPr>
      <w:r w:rsidRPr="005C3A2A">
        <w:rPr>
          <w:rFonts w:ascii="Times New Roman" w:hAnsi="Times New Roman"/>
          <w:sz w:val="24"/>
          <w:szCs w:val="24"/>
        </w:rPr>
        <w:t>THE COURT HELD:</w:t>
      </w:r>
    </w:p>
    <w:p w14:paraId="3C859E24" w14:textId="77777777" w:rsidR="005C3A2A" w:rsidRPr="005C3A2A" w:rsidRDefault="005C3A2A" w:rsidP="005C3A2A">
      <w:pPr>
        <w:pStyle w:val="NoSpacing"/>
        <w:rPr>
          <w:rFonts w:ascii="Times New Roman" w:hAnsi="Times New Roman"/>
          <w:sz w:val="24"/>
          <w:szCs w:val="24"/>
        </w:rPr>
      </w:pPr>
    </w:p>
    <w:p w14:paraId="6D109A80" w14:textId="77777777" w:rsidR="005C3A2A" w:rsidRPr="005C3A2A" w:rsidRDefault="005C3A2A" w:rsidP="005C3A2A">
      <w:pPr>
        <w:pStyle w:val="NoSpacing"/>
        <w:ind w:left="720"/>
        <w:rPr>
          <w:rFonts w:ascii="Times New Roman" w:hAnsi="Times New Roman"/>
          <w:sz w:val="24"/>
          <w:szCs w:val="24"/>
        </w:rPr>
      </w:pPr>
      <w:r w:rsidRPr="005C3A2A">
        <w:rPr>
          <w:rFonts w:ascii="Times New Roman" w:hAnsi="Times New Roman"/>
          <w:sz w:val="24"/>
          <w:szCs w:val="24"/>
        </w:rPr>
        <w:t>“Although Ayers was released from prison in 2019 and completed post-release control in 2022, she continues to suffer collateral consequences for her felony arson conviction. See, e.g., Ohio Rev. Code Ann. § 2909.15(D)(2) (requiring arson offenders to register annually with the state ‘until the offender’s death’); 18 U.S.C. § 922(g)(1) (prohibiting convicted felons from possessing firearms).</w:t>
      </w:r>
    </w:p>
    <w:p w14:paraId="31040F05" w14:textId="77777777" w:rsidR="005C3A2A" w:rsidRPr="005C3A2A" w:rsidRDefault="005C3A2A" w:rsidP="005C3A2A">
      <w:pPr>
        <w:pStyle w:val="NoSpacing"/>
        <w:ind w:left="720"/>
        <w:rPr>
          <w:rFonts w:ascii="Times New Roman" w:hAnsi="Times New Roman"/>
          <w:sz w:val="24"/>
          <w:szCs w:val="24"/>
        </w:rPr>
      </w:pPr>
    </w:p>
    <w:p w14:paraId="03C109AA" w14:textId="77777777" w:rsidR="005C3A2A" w:rsidRPr="005C3A2A" w:rsidRDefault="005C3A2A" w:rsidP="005C3A2A">
      <w:pPr>
        <w:pStyle w:val="NoSpacing"/>
        <w:ind w:left="720"/>
        <w:rPr>
          <w:rFonts w:ascii="Times New Roman" w:hAnsi="Times New Roman"/>
          <w:sz w:val="24"/>
          <w:szCs w:val="24"/>
        </w:rPr>
      </w:pPr>
      <w:r w:rsidRPr="005C3A2A">
        <w:rPr>
          <w:rFonts w:ascii="Times New Roman" w:hAnsi="Times New Roman"/>
          <w:sz w:val="24"/>
          <w:szCs w:val="24"/>
        </w:rPr>
        <w:t>***</w:t>
      </w:r>
    </w:p>
    <w:p w14:paraId="1F9C5FE1" w14:textId="77777777" w:rsidR="005C3A2A" w:rsidRPr="005C3A2A" w:rsidRDefault="005C3A2A" w:rsidP="005C3A2A">
      <w:pPr>
        <w:pStyle w:val="NoSpacing"/>
        <w:rPr>
          <w:rFonts w:ascii="Times New Roman" w:hAnsi="Times New Roman"/>
          <w:sz w:val="24"/>
          <w:szCs w:val="24"/>
        </w:rPr>
      </w:pPr>
    </w:p>
    <w:p w14:paraId="4D16F927" w14:textId="77777777" w:rsidR="005C3A2A" w:rsidRPr="005C3A2A" w:rsidRDefault="005C3A2A" w:rsidP="005C3A2A">
      <w:pPr>
        <w:pStyle w:val="NoSpacing"/>
        <w:ind w:left="720"/>
        <w:rPr>
          <w:rFonts w:ascii="Times New Roman" w:hAnsi="Times New Roman"/>
          <w:sz w:val="24"/>
          <w:szCs w:val="24"/>
        </w:rPr>
      </w:pPr>
      <w:r w:rsidRPr="005C3A2A">
        <w:rPr>
          <w:rFonts w:ascii="Times New Roman" w:hAnsi="Times New Roman"/>
          <w:sz w:val="24"/>
          <w:szCs w:val="24"/>
        </w:rPr>
        <w:t>And Lentini’s report posits that Winters was not qualified to testify about the fire’s cause and that his conclusion that the fire had two ignition points was not based on sound scientific methodology. Indeed, such evidence could have resulted in Ayers’s acquittal.”</w:t>
      </w:r>
    </w:p>
    <w:p w14:paraId="0F8C34C3" w14:textId="77777777" w:rsidR="005C3A2A" w:rsidRPr="005C3A2A" w:rsidRDefault="005C3A2A" w:rsidP="005C3A2A">
      <w:pPr>
        <w:pStyle w:val="NoSpacing"/>
        <w:ind w:left="720"/>
        <w:rPr>
          <w:rFonts w:ascii="Times New Roman" w:hAnsi="Times New Roman"/>
          <w:sz w:val="24"/>
          <w:szCs w:val="24"/>
        </w:rPr>
      </w:pPr>
    </w:p>
    <w:p w14:paraId="10D0CFDF" w14:textId="77777777" w:rsidR="005C3A2A" w:rsidRPr="005C3A2A" w:rsidRDefault="005C3A2A" w:rsidP="005C3A2A">
      <w:pPr>
        <w:pStyle w:val="NoSpacing"/>
        <w:rPr>
          <w:rFonts w:ascii="Times New Roman" w:hAnsi="Times New Roman"/>
          <w:b/>
          <w:bCs/>
          <w:sz w:val="24"/>
          <w:szCs w:val="24"/>
        </w:rPr>
      </w:pPr>
      <w:r w:rsidRPr="005C3A2A">
        <w:rPr>
          <w:rFonts w:ascii="Times New Roman" w:hAnsi="Times New Roman"/>
          <w:b/>
          <w:bCs/>
          <w:sz w:val="24"/>
          <w:szCs w:val="24"/>
        </w:rPr>
        <w:t xml:space="preserve">Legal Lesson Learned: Arson investigators must be qualified and base their testimony on scientific evidence. </w:t>
      </w:r>
    </w:p>
    <w:p w14:paraId="35C345E0" w14:textId="77777777" w:rsidR="005C3A2A" w:rsidRPr="005C3A2A" w:rsidRDefault="005C3A2A" w:rsidP="005C3A2A">
      <w:pPr>
        <w:pStyle w:val="NoSpacing"/>
        <w:rPr>
          <w:rFonts w:ascii="Times New Roman" w:hAnsi="Times New Roman"/>
          <w:sz w:val="24"/>
          <w:szCs w:val="24"/>
        </w:rPr>
      </w:pPr>
    </w:p>
    <w:p w14:paraId="36B88CEB" w14:textId="77777777" w:rsidR="000338D1" w:rsidRPr="00557963" w:rsidRDefault="000338D1" w:rsidP="000338D1">
      <w:pPr>
        <w:pStyle w:val="NoSpacing"/>
        <w:ind w:left="720"/>
        <w:rPr>
          <w:rFonts w:ascii="Times New Roman" w:hAnsi="Times New Roman"/>
          <w:sz w:val="24"/>
          <w:szCs w:val="24"/>
        </w:rPr>
      </w:pPr>
      <w:r w:rsidRPr="00557963">
        <w:rPr>
          <w:rFonts w:ascii="Times New Roman" w:hAnsi="Times New Roman"/>
          <w:sz w:val="24"/>
          <w:szCs w:val="24"/>
        </w:rPr>
        <w:t>Note: See articles on this case.</w:t>
      </w:r>
    </w:p>
    <w:p w14:paraId="6102DBC0" w14:textId="77777777" w:rsidR="000338D1" w:rsidRPr="00557963" w:rsidRDefault="000338D1" w:rsidP="000338D1">
      <w:pPr>
        <w:pStyle w:val="NoSpacing"/>
        <w:ind w:left="720"/>
        <w:rPr>
          <w:rFonts w:ascii="Times New Roman" w:hAnsi="Times New Roman"/>
          <w:sz w:val="24"/>
          <w:szCs w:val="24"/>
        </w:rPr>
      </w:pPr>
    </w:p>
    <w:p w14:paraId="45B5406C" w14:textId="77777777" w:rsidR="000338D1" w:rsidRDefault="000338D1" w:rsidP="000338D1">
      <w:pPr>
        <w:pStyle w:val="NoSpacing"/>
        <w:ind w:left="720"/>
        <w:rPr>
          <w:rFonts w:ascii="Times New Roman" w:hAnsi="Times New Roman"/>
          <w:sz w:val="24"/>
          <w:szCs w:val="24"/>
        </w:rPr>
      </w:pPr>
      <w:r w:rsidRPr="00557963">
        <w:rPr>
          <w:rFonts w:ascii="Times New Roman" w:hAnsi="Times New Roman"/>
          <w:sz w:val="24"/>
          <w:szCs w:val="24"/>
        </w:rPr>
        <w:t xml:space="preserve">Sept. 4, 2024: Biden Judge Writes Unanimous Opinion Letting Indigent Woman Challenge Her Conviction </w:t>
      </w:r>
      <w:proofErr w:type="gramStart"/>
      <w:r w:rsidRPr="00557963">
        <w:rPr>
          <w:rFonts w:ascii="Times New Roman" w:hAnsi="Times New Roman"/>
          <w:sz w:val="24"/>
          <w:szCs w:val="24"/>
        </w:rPr>
        <w:t>As</w:t>
      </w:r>
      <w:proofErr w:type="gramEnd"/>
      <w:r w:rsidRPr="00557963">
        <w:rPr>
          <w:rFonts w:ascii="Times New Roman" w:hAnsi="Times New Roman"/>
          <w:sz w:val="24"/>
          <w:szCs w:val="24"/>
        </w:rPr>
        <w:t xml:space="preserve"> Unfairly Based on Testimony from an Unqualified Expert. </w:t>
      </w:r>
    </w:p>
    <w:p w14:paraId="557549BF" w14:textId="77777777" w:rsidR="000338D1" w:rsidRDefault="000338D1" w:rsidP="000338D1">
      <w:pPr>
        <w:pStyle w:val="NoSpacing"/>
        <w:ind w:left="720"/>
        <w:rPr>
          <w:rFonts w:ascii="Times New Roman" w:hAnsi="Times New Roman"/>
          <w:sz w:val="24"/>
          <w:szCs w:val="24"/>
        </w:rPr>
      </w:pPr>
      <w:r>
        <w:rPr>
          <w:rFonts w:ascii="Times New Roman" w:hAnsi="Times New Roman"/>
          <w:sz w:val="24"/>
          <w:szCs w:val="24"/>
        </w:rPr>
        <w:t>“</w:t>
      </w:r>
      <w:r w:rsidRPr="00AE5532">
        <w:rPr>
          <w:rFonts w:ascii="Times New Roman" w:hAnsi="Times New Roman"/>
          <w:sz w:val="24"/>
          <w:szCs w:val="24"/>
        </w:rPr>
        <w:t>Judge Andre Mathis, who was nominated by President Biden to the Sixth Circuit court of appeals, wrote a unanimous opinion that reversed a lower court and allowed an indigent woman to proceed with her post-conviction claim that her trial counsel was constitutionally ineffective because he failed to claim that the fire inspector who provided critical testimony that led to her arson conviction was unqualified.</w:t>
      </w:r>
      <w:r>
        <w:rPr>
          <w:rFonts w:ascii="Times New Roman" w:hAnsi="Times New Roman"/>
          <w:sz w:val="24"/>
          <w:szCs w:val="24"/>
        </w:rPr>
        <w:t xml:space="preserve">” </w:t>
      </w:r>
    </w:p>
    <w:p w14:paraId="0F9B0E6A" w14:textId="77777777" w:rsidR="000338D1" w:rsidRPr="00557963" w:rsidRDefault="000338D1" w:rsidP="000338D1">
      <w:pPr>
        <w:pStyle w:val="NoSpacing"/>
        <w:ind w:left="720"/>
        <w:rPr>
          <w:rFonts w:ascii="Times New Roman" w:hAnsi="Times New Roman"/>
          <w:sz w:val="24"/>
          <w:szCs w:val="24"/>
        </w:rPr>
      </w:pPr>
      <w:hyperlink r:id="rId116" w:history="1">
        <w:r w:rsidRPr="00C56BB9">
          <w:rPr>
            <w:rStyle w:val="Hyperlink"/>
            <w:rFonts w:ascii="Times New Roman" w:hAnsi="Times New Roman"/>
            <w:sz w:val="24"/>
            <w:szCs w:val="24"/>
          </w:rPr>
          <w:t>https://www.peoplefor.org/biden-judge-writes-unanimous-opinion-letting-indigent-woman-challenge-her-conviction-unfairly-based</w:t>
        </w:r>
      </w:hyperlink>
      <w:r w:rsidRPr="00557963">
        <w:rPr>
          <w:rFonts w:ascii="Times New Roman" w:hAnsi="Times New Roman"/>
          <w:sz w:val="24"/>
          <w:szCs w:val="24"/>
        </w:rPr>
        <w:t xml:space="preserve"> </w:t>
      </w:r>
    </w:p>
    <w:p w14:paraId="4A84ACCF" w14:textId="77777777" w:rsidR="000338D1" w:rsidRPr="00557963" w:rsidRDefault="000338D1" w:rsidP="000338D1">
      <w:pPr>
        <w:pStyle w:val="NoSpacing"/>
        <w:ind w:left="720"/>
        <w:rPr>
          <w:rFonts w:ascii="Times New Roman" w:hAnsi="Times New Roman"/>
          <w:sz w:val="24"/>
          <w:szCs w:val="24"/>
        </w:rPr>
      </w:pPr>
    </w:p>
    <w:p w14:paraId="5EE652CB" w14:textId="77777777" w:rsidR="000338D1" w:rsidRPr="00557963" w:rsidRDefault="000338D1" w:rsidP="000338D1">
      <w:pPr>
        <w:pStyle w:val="NoSpacing"/>
        <w:ind w:left="720"/>
        <w:rPr>
          <w:rFonts w:ascii="Times New Roman" w:hAnsi="Times New Roman"/>
          <w:sz w:val="24"/>
          <w:szCs w:val="24"/>
        </w:rPr>
      </w:pPr>
    </w:p>
    <w:p w14:paraId="45032E88" w14:textId="77777777" w:rsidR="000338D1" w:rsidRPr="00557963" w:rsidRDefault="000338D1" w:rsidP="000338D1">
      <w:pPr>
        <w:pStyle w:val="NoSpacing"/>
        <w:ind w:left="720"/>
        <w:rPr>
          <w:rFonts w:ascii="Times New Roman" w:hAnsi="Times New Roman"/>
          <w:sz w:val="24"/>
          <w:szCs w:val="24"/>
        </w:rPr>
      </w:pPr>
      <w:r w:rsidRPr="00557963">
        <w:rPr>
          <w:rFonts w:ascii="Times New Roman" w:hAnsi="Times New Roman"/>
          <w:sz w:val="24"/>
          <w:szCs w:val="24"/>
        </w:rPr>
        <w:t xml:space="preserve">Jan. 29, 2013: Massillon woman gets 7 years for setting fire to her house. </w:t>
      </w:r>
      <w:hyperlink r:id="rId117" w:history="1">
        <w:r w:rsidRPr="00557963">
          <w:rPr>
            <w:rStyle w:val="Hyperlink"/>
            <w:rFonts w:ascii="Times New Roman" w:hAnsi="Times New Roman"/>
            <w:sz w:val="24"/>
            <w:szCs w:val="24"/>
          </w:rPr>
          <w:t>https://www.indeonline.com/story/news/2013/01/30/massillon-woman-gets-7-years/65001393007/</w:t>
        </w:r>
      </w:hyperlink>
      <w:r w:rsidRPr="00557963">
        <w:rPr>
          <w:rFonts w:ascii="Times New Roman" w:hAnsi="Times New Roman"/>
          <w:sz w:val="24"/>
          <w:szCs w:val="24"/>
        </w:rPr>
        <w:t xml:space="preserve"> </w:t>
      </w:r>
    </w:p>
    <w:p w14:paraId="261CE9C1" w14:textId="77777777" w:rsidR="000338D1" w:rsidRDefault="000338D1" w:rsidP="000338D1">
      <w:pPr>
        <w:pStyle w:val="NoSpacing"/>
        <w:rPr>
          <w:rFonts w:ascii="Arial Black" w:hAnsi="Arial Black"/>
          <w:sz w:val="28"/>
        </w:rPr>
      </w:pPr>
    </w:p>
    <w:p w14:paraId="1B5BE310" w14:textId="77777777" w:rsidR="005C3A2A" w:rsidRPr="005C3A2A" w:rsidRDefault="005C3A2A" w:rsidP="00B86628">
      <w:pPr>
        <w:pStyle w:val="NoSpacing"/>
        <w:rPr>
          <w:rFonts w:ascii="Times New Roman" w:hAnsi="Times New Roman"/>
          <w:sz w:val="24"/>
          <w:szCs w:val="24"/>
        </w:rPr>
      </w:pPr>
    </w:p>
    <w:p w14:paraId="5EDE8730" w14:textId="77777777" w:rsidR="00C443C1" w:rsidRPr="005C3A2A" w:rsidRDefault="00C443C1" w:rsidP="00B86628">
      <w:pPr>
        <w:pStyle w:val="NoSpacing"/>
        <w:rPr>
          <w:rFonts w:ascii="Times New Roman" w:hAnsi="Times New Roman"/>
          <w:sz w:val="24"/>
          <w:szCs w:val="24"/>
        </w:rPr>
      </w:pPr>
    </w:p>
    <w:p w14:paraId="6F411B77" w14:textId="77777777" w:rsidR="00C443C1" w:rsidRPr="005C3A2A" w:rsidRDefault="00C443C1" w:rsidP="00B86628">
      <w:pPr>
        <w:pStyle w:val="NoSpacing"/>
        <w:rPr>
          <w:rFonts w:ascii="Times New Roman" w:hAnsi="Times New Roman"/>
          <w:sz w:val="24"/>
          <w:szCs w:val="24"/>
        </w:rPr>
      </w:pPr>
    </w:p>
    <w:p w14:paraId="4F5C7340" w14:textId="19F536B9" w:rsidR="00765ABF" w:rsidRDefault="00765ABF" w:rsidP="00B86628">
      <w:pPr>
        <w:pStyle w:val="NoSpacing"/>
        <w:rPr>
          <w:rFonts w:ascii="Arial Black" w:hAnsi="Arial Black"/>
          <w:sz w:val="24"/>
          <w:szCs w:val="24"/>
        </w:rPr>
      </w:pPr>
      <w:r>
        <w:rPr>
          <w:rFonts w:ascii="Arial Black" w:hAnsi="Arial Black"/>
          <w:sz w:val="24"/>
          <w:szCs w:val="24"/>
        </w:rPr>
        <w:t>1-155</w:t>
      </w:r>
    </w:p>
    <w:p w14:paraId="052843EE" w14:textId="77777777" w:rsidR="00765ABF" w:rsidRDefault="00765ABF" w:rsidP="00B86628">
      <w:pPr>
        <w:pStyle w:val="NoSpacing"/>
        <w:rPr>
          <w:rFonts w:ascii="Arial Black" w:hAnsi="Arial Black"/>
          <w:sz w:val="24"/>
          <w:szCs w:val="24"/>
        </w:rPr>
      </w:pPr>
    </w:p>
    <w:p w14:paraId="0E1589D1" w14:textId="77777777" w:rsidR="00C443C1" w:rsidRPr="00C42244" w:rsidRDefault="00C443C1" w:rsidP="00C443C1">
      <w:pPr>
        <w:pStyle w:val="NoSpacing"/>
        <w:rPr>
          <w:rFonts w:ascii="Arial Black" w:hAnsi="Arial Black"/>
          <w:sz w:val="28"/>
        </w:rPr>
      </w:pPr>
      <w:r>
        <w:rPr>
          <w:rFonts w:ascii="Arial Black" w:hAnsi="Arial Black"/>
          <w:sz w:val="28"/>
        </w:rPr>
        <w:t>KY: TRAILER FIRE – 4-YR OLD KILLED – COLD CASE REVIEW – 3 CONVICTED 20 YRS LATER, COMPLICITY</w:t>
      </w:r>
    </w:p>
    <w:p w14:paraId="6B54C634" w14:textId="77777777" w:rsidR="00C443C1" w:rsidRDefault="00C443C1" w:rsidP="00C443C1">
      <w:pPr>
        <w:pStyle w:val="NoSpacing"/>
        <w:rPr>
          <w:szCs w:val="24"/>
        </w:rPr>
      </w:pPr>
    </w:p>
    <w:p w14:paraId="2E44AA55" w14:textId="77777777" w:rsidR="00C443C1" w:rsidRPr="00C443C1" w:rsidRDefault="00C443C1" w:rsidP="00C443C1">
      <w:pPr>
        <w:pStyle w:val="NoSpacing"/>
        <w:rPr>
          <w:rFonts w:ascii="Times New Roman" w:hAnsi="Times New Roman"/>
          <w:sz w:val="24"/>
          <w:szCs w:val="24"/>
        </w:rPr>
      </w:pPr>
      <w:r w:rsidRPr="00C443C1">
        <w:rPr>
          <w:rFonts w:ascii="Times New Roman" w:hAnsi="Times New Roman"/>
          <w:sz w:val="24"/>
          <w:szCs w:val="24"/>
        </w:rPr>
        <w:t xml:space="preserve">On Aug. 22, 2024, in </w:t>
      </w:r>
      <w:r w:rsidRPr="00C443C1">
        <w:rPr>
          <w:rFonts w:ascii="Times New Roman" w:hAnsi="Times New Roman"/>
          <w:sz w:val="24"/>
          <w:szCs w:val="24"/>
          <w:u w:val="single"/>
        </w:rPr>
        <w:t>Tony Lear v. Commonwealth of Kentucky, and Virginia Whitfield v. Commonwealth of Kentucky</w:t>
      </w:r>
      <w:r w:rsidRPr="00C443C1">
        <w:rPr>
          <w:rFonts w:ascii="Times New Roman" w:hAnsi="Times New Roman"/>
          <w:sz w:val="24"/>
          <w:szCs w:val="24"/>
        </w:rPr>
        <w:t xml:space="preserve">, the Supreme Court of Kentucky held (7 to 0; unpublished opinion) that jury properly convicted two defendants in </w:t>
      </w:r>
      <w:proofErr w:type="gramStart"/>
      <w:r w:rsidRPr="00C443C1">
        <w:rPr>
          <w:rFonts w:ascii="Times New Roman" w:hAnsi="Times New Roman"/>
          <w:sz w:val="24"/>
          <w:szCs w:val="24"/>
        </w:rPr>
        <w:t>January,</w:t>
      </w:r>
      <w:proofErr w:type="gramEnd"/>
      <w:r w:rsidRPr="00C443C1">
        <w:rPr>
          <w:rFonts w:ascii="Times New Roman" w:hAnsi="Times New Roman"/>
          <w:sz w:val="24"/>
          <w:szCs w:val="24"/>
        </w:rPr>
        <w:t xml:space="preserve"> 2023 for the September 2, </w:t>
      </w:r>
      <w:proofErr w:type="gramStart"/>
      <w:r w:rsidRPr="00C443C1">
        <w:rPr>
          <w:rFonts w:ascii="Times New Roman" w:hAnsi="Times New Roman"/>
          <w:sz w:val="24"/>
          <w:szCs w:val="24"/>
        </w:rPr>
        <w:t>1999</w:t>
      </w:r>
      <w:proofErr w:type="gramEnd"/>
      <w:r w:rsidRPr="00C443C1">
        <w:rPr>
          <w:rFonts w:ascii="Times New Roman" w:hAnsi="Times New Roman"/>
          <w:sz w:val="24"/>
          <w:szCs w:val="24"/>
        </w:rPr>
        <w:t xml:space="preserve"> trailer fire that killed </w:t>
      </w:r>
      <w:proofErr w:type="gramStart"/>
      <w:r w:rsidRPr="00C443C1">
        <w:rPr>
          <w:rFonts w:ascii="Times New Roman" w:hAnsi="Times New Roman"/>
          <w:sz w:val="24"/>
          <w:szCs w:val="24"/>
        </w:rPr>
        <w:t>4-year old</w:t>
      </w:r>
      <w:proofErr w:type="gramEnd"/>
      <w:r w:rsidRPr="00C443C1">
        <w:rPr>
          <w:rFonts w:ascii="Times New Roman" w:hAnsi="Times New Roman"/>
          <w:sz w:val="24"/>
          <w:szCs w:val="24"/>
        </w:rPr>
        <w:t xml:space="preserve"> Autumn Raymond. Lear, Whitfield and Bobby F. Napier [who owed back rent on the trailer], were all initially charged with murder, arson and first-degree assault, after a 2012 review of open cases by the Kentucky State Police resulting in new information. Napier pleaded guilty in 2019 to amended charges of second-degree arson, in exchange for a 10-year sentence and testified at the trial, He was already serving time on a variety of convictions, including burglary, theft and being a persistent felony offender.  The State was not required to prove who </w:t>
      </w:r>
      <w:proofErr w:type="gramStart"/>
      <w:r w:rsidRPr="00C443C1">
        <w:rPr>
          <w:rFonts w:ascii="Times New Roman" w:hAnsi="Times New Roman"/>
          <w:sz w:val="24"/>
          <w:szCs w:val="24"/>
        </w:rPr>
        <w:t>actually ignited</w:t>
      </w:r>
      <w:proofErr w:type="gramEnd"/>
      <w:r w:rsidRPr="00C443C1">
        <w:rPr>
          <w:rFonts w:ascii="Times New Roman" w:hAnsi="Times New Roman"/>
          <w:sz w:val="24"/>
          <w:szCs w:val="24"/>
        </w:rPr>
        <w:t xml:space="preserve"> the sheets with petroleum fluid around the dryer, since all three were “accomplices” to the crime.  The Court wrote: “After six days of trial, the jury returned a guilty verdict on complicity to murder, complicity to arson, and two counts of complicity to first-degree assault against the Appellants. Following the jury's recommendation, the trial court sentenced Whitfield and Lear respectively to 20 years. *** Although no evidence can directly point to an individual who started the fire, enough evidence was presented by the Commonwealth to show the Appellants aided, solicited, counseled, commanded, or engaged in a conspiracy with each other to burn down that trailer. The accomplice instructions mirror such evidence. The instructions provide the jury the ability to decide whether the defendant engaged with the other individuals to burn down the trailer.” </w:t>
      </w:r>
      <w:hyperlink r:id="rId118" w:history="1">
        <w:r w:rsidRPr="00C443C1">
          <w:rPr>
            <w:rStyle w:val="Hyperlink"/>
            <w:rFonts w:ascii="Times New Roman" w:hAnsi="Times New Roman"/>
            <w:sz w:val="24"/>
            <w:szCs w:val="24"/>
          </w:rPr>
          <w:t>https://casetext.com/case/lear-v-commonwealth-95</w:t>
        </w:r>
      </w:hyperlink>
      <w:r w:rsidRPr="00C443C1">
        <w:rPr>
          <w:rFonts w:ascii="Times New Roman" w:hAnsi="Times New Roman"/>
          <w:sz w:val="24"/>
          <w:szCs w:val="24"/>
        </w:rPr>
        <w:t xml:space="preserve"> </w:t>
      </w:r>
    </w:p>
    <w:p w14:paraId="1B475905" w14:textId="77777777" w:rsidR="00C443C1" w:rsidRPr="00C443C1" w:rsidRDefault="00C443C1" w:rsidP="00C443C1">
      <w:pPr>
        <w:pStyle w:val="NoSpacing"/>
        <w:rPr>
          <w:rFonts w:ascii="Times New Roman" w:hAnsi="Times New Roman"/>
          <w:sz w:val="24"/>
          <w:szCs w:val="24"/>
        </w:rPr>
      </w:pPr>
    </w:p>
    <w:p w14:paraId="1B2EDC00" w14:textId="77777777" w:rsidR="00C443C1" w:rsidRPr="00C443C1" w:rsidRDefault="00C443C1" w:rsidP="00C443C1">
      <w:pPr>
        <w:pStyle w:val="NoSpacing"/>
        <w:rPr>
          <w:rFonts w:ascii="Times New Roman" w:hAnsi="Times New Roman"/>
          <w:sz w:val="24"/>
          <w:szCs w:val="24"/>
        </w:rPr>
      </w:pPr>
      <w:r w:rsidRPr="00C443C1">
        <w:rPr>
          <w:rFonts w:ascii="Times New Roman" w:hAnsi="Times New Roman"/>
          <w:sz w:val="24"/>
          <w:szCs w:val="24"/>
        </w:rPr>
        <w:t>THE COURT HELD:</w:t>
      </w:r>
    </w:p>
    <w:p w14:paraId="6FBAB4E7" w14:textId="77777777" w:rsidR="00C443C1" w:rsidRPr="00C443C1" w:rsidRDefault="00C443C1" w:rsidP="00C443C1">
      <w:pPr>
        <w:pStyle w:val="NoSpacing"/>
        <w:rPr>
          <w:rFonts w:ascii="Times New Roman" w:hAnsi="Times New Roman"/>
          <w:sz w:val="24"/>
          <w:szCs w:val="24"/>
        </w:rPr>
      </w:pPr>
    </w:p>
    <w:p w14:paraId="68BAF801" w14:textId="77777777" w:rsidR="00C443C1" w:rsidRPr="00C443C1" w:rsidRDefault="00C443C1" w:rsidP="00C443C1">
      <w:pPr>
        <w:pStyle w:val="NoSpacing"/>
        <w:ind w:left="720"/>
        <w:rPr>
          <w:rFonts w:ascii="Times New Roman" w:hAnsi="Times New Roman"/>
          <w:sz w:val="24"/>
          <w:szCs w:val="24"/>
        </w:rPr>
      </w:pPr>
      <w:r w:rsidRPr="00C443C1">
        <w:rPr>
          <w:rFonts w:ascii="Times New Roman" w:hAnsi="Times New Roman"/>
          <w:sz w:val="24"/>
          <w:szCs w:val="24"/>
        </w:rPr>
        <w:t>“Here, the Commonwealth’s theory throughout trial was that Walton, Lear, and Whitfield all played a part in burning down the trailer. Testimony from several witnesses placed Whitfield and Lear in the room when Walton discussed burning down the trailer for insurance money. Whitfield moved boxes of clothing out of the trailer a few days before the fire with the help of Lear. Neighbors placed Lear at the trailer on the day of the fire, inspecting the dryer vent with Walton. Expert testimony supported the theory of an intentionally caused fire from items stuffed in and around the dryer.”</w:t>
      </w:r>
    </w:p>
    <w:p w14:paraId="67C92264" w14:textId="77777777" w:rsidR="00C443C1" w:rsidRPr="00C443C1" w:rsidRDefault="00C443C1" w:rsidP="00C443C1">
      <w:pPr>
        <w:pStyle w:val="NoSpacing"/>
        <w:ind w:left="720"/>
        <w:rPr>
          <w:rFonts w:ascii="Times New Roman" w:hAnsi="Times New Roman"/>
          <w:sz w:val="24"/>
          <w:szCs w:val="24"/>
        </w:rPr>
      </w:pPr>
    </w:p>
    <w:p w14:paraId="3A3B1337" w14:textId="77777777" w:rsidR="00C443C1" w:rsidRPr="00C443C1" w:rsidRDefault="00C443C1" w:rsidP="00C443C1">
      <w:pPr>
        <w:pStyle w:val="NoSpacing"/>
        <w:rPr>
          <w:rFonts w:ascii="Times New Roman" w:hAnsi="Times New Roman"/>
          <w:b/>
          <w:bCs/>
          <w:sz w:val="24"/>
          <w:szCs w:val="24"/>
        </w:rPr>
      </w:pPr>
      <w:r w:rsidRPr="00C443C1">
        <w:rPr>
          <w:rFonts w:ascii="Times New Roman" w:hAnsi="Times New Roman"/>
          <w:b/>
          <w:bCs/>
          <w:sz w:val="24"/>
          <w:szCs w:val="24"/>
        </w:rPr>
        <w:t xml:space="preserve">Legal Lesson Learned: When three conspire to commit arson, all three can be charged with murder from the fire. </w:t>
      </w:r>
    </w:p>
    <w:p w14:paraId="075CF1A3" w14:textId="77777777" w:rsidR="00C443C1" w:rsidRPr="00C443C1" w:rsidRDefault="00C443C1" w:rsidP="00C443C1">
      <w:pPr>
        <w:pStyle w:val="NoSpacing"/>
        <w:rPr>
          <w:rFonts w:ascii="Times New Roman" w:hAnsi="Times New Roman"/>
          <w:sz w:val="24"/>
          <w:szCs w:val="24"/>
        </w:rPr>
      </w:pPr>
    </w:p>
    <w:p w14:paraId="13AEA6BA" w14:textId="77777777" w:rsidR="00C443C1" w:rsidRPr="00C443C1" w:rsidRDefault="00C443C1" w:rsidP="00C443C1">
      <w:pPr>
        <w:pStyle w:val="NoSpacing"/>
        <w:ind w:left="720"/>
        <w:rPr>
          <w:rFonts w:ascii="Times New Roman" w:hAnsi="Times New Roman"/>
          <w:sz w:val="24"/>
          <w:szCs w:val="24"/>
        </w:rPr>
      </w:pPr>
      <w:r w:rsidRPr="00C443C1">
        <w:rPr>
          <w:rFonts w:ascii="Times New Roman" w:hAnsi="Times New Roman"/>
          <w:sz w:val="24"/>
          <w:szCs w:val="24"/>
        </w:rPr>
        <w:t xml:space="preserve">Note:  See Jan. 4, </w:t>
      </w:r>
      <w:proofErr w:type="gramStart"/>
      <w:r w:rsidRPr="00C443C1">
        <w:rPr>
          <w:rFonts w:ascii="Times New Roman" w:hAnsi="Times New Roman"/>
          <w:sz w:val="24"/>
          <w:szCs w:val="24"/>
        </w:rPr>
        <w:t>2023</w:t>
      </w:r>
      <w:proofErr w:type="gramEnd"/>
      <w:r w:rsidRPr="00C443C1">
        <w:rPr>
          <w:rFonts w:ascii="Times New Roman" w:hAnsi="Times New Roman"/>
          <w:sz w:val="24"/>
          <w:szCs w:val="24"/>
        </w:rPr>
        <w:t xml:space="preserve"> article, “Ohio County cold case ends with convictions.” </w:t>
      </w:r>
      <w:hyperlink r:id="rId119" w:history="1">
        <w:r w:rsidRPr="00C443C1">
          <w:rPr>
            <w:rStyle w:val="Hyperlink"/>
            <w:rFonts w:ascii="Times New Roman" w:hAnsi="Times New Roman"/>
            <w:sz w:val="24"/>
            <w:szCs w:val="24"/>
          </w:rPr>
          <w:t>https://www.yahoo.com/news/ohio-county-cold-case-ends-102300006.html</w:t>
        </w:r>
      </w:hyperlink>
      <w:r w:rsidRPr="00C443C1">
        <w:rPr>
          <w:rFonts w:ascii="Times New Roman" w:hAnsi="Times New Roman"/>
          <w:sz w:val="24"/>
          <w:szCs w:val="24"/>
        </w:rPr>
        <w:t xml:space="preserve"> </w:t>
      </w:r>
    </w:p>
    <w:p w14:paraId="2E3EDD00" w14:textId="77777777" w:rsidR="00C443C1" w:rsidRPr="00C443C1" w:rsidRDefault="00C443C1" w:rsidP="00C443C1">
      <w:pPr>
        <w:pStyle w:val="NoSpacing"/>
        <w:ind w:left="720"/>
        <w:rPr>
          <w:rFonts w:ascii="Times New Roman" w:hAnsi="Times New Roman"/>
          <w:sz w:val="24"/>
          <w:szCs w:val="24"/>
        </w:rPr>
      </w:pPr>
    </w:p>
    <w:p w14:paraId="3CB12204" w14:textId="77777777" w:rsidR="00C443C1" w:rsidRPr="00C443C1" w:rsidRDefault="00C443C1" w:rsidP="00C443C1">
      <w:pPr>
        <w:pStyle w:val="NoSpacing"/>
        <w:ind w:left="720"/>
        <w:rPr>
          <w:rFonts w:ascii="Times New Roman" w:hAnsi="Times New Roman"/>
          <w:sz w:val="24"/>
          <w:szCs w:val="24"/>
        </w:rPr>
      </w:pPr>
      <w:r w:rsidRPr="00C443C1">
        <w:rPr>
          <w:rFonts w:ascii="Times New Roman" w:hAnsi="Times New Roman"/>
          <w:sz w:val="24"/>
          <w:szCs w:val="24"/>
        </w:rPr>
        <w:t xml:space="preserve">Here is the “active inmate” photo of Tony Lear. </w:t>
      </w:r>
      <w:hyperlink r:id="rId120" w:history="1">
        <w:r w:rsidRPr="00C443C1">
          <w:rPr>
            <w:rStyle w:val="Hyperlink"/>
            <w:rFonts w:ascii="Times New Roman" w:hAnsi="Times New Roman"/>
            <w:sz w:val="24"/>
            <w:szCs w:val="24"/>
          </w:rPr>
          <w:t>http://kool.corrections.ky.gov/KOOL/Details/54918</w:t>
        </w:r>
      </w:hyperlink>
    </w:p>
    <w:p w14:paraId="7272C532" w14:textId="77777777" w:rsidR="00C443C1" w:rsidRPr="00C443C1" w:rsidRDefault="00C443C1" w:rsidP="00C443C1">
      <w:pPr>
        <w:pStyle w:val="NoSpacing"/>
        <w:ind w:left="720"/>
        <w:rPr>
          <w:rFonts w:ascii="Times New Roman" w:hAnsi="Times New Roman"/>
          <w:sz w:val="24"/>
          <w:szCs w:val="24"/>
        </w:rPr>
      </w:pPr>
      <w:r w:rsidRPr="00C443C1">
        <w:rPr>
          <w:rFonts w:ascii="Times New Roman" w:hAnsi="Times New Roman"/>
          <w:sz w:val="24"/>
          <w:szCs w:val="24"/>
        </w:rPr>
        <w:t>Photo of Virginia Whitfield:</w:t>
      </w:r>
    </w:p>
    <w:p w14:paraId="380415E3" w14:textId="77777777" w:rsidR="00C443C1" w:rsidRPr="00C443C1" w:rsidRDefault="00C443C1" w:rsidP="00C443C1">
      <w:pPr>
        <w:pStyle w:val="NoSpacing"/>
        <w:ind w:left="720"/>
        <w:rPr>
          <w:rFonts w:ascii="Times New Roman" w:hAnsi="Times New Roman"/>
          <w:sz w:val="24"/>
          <w:szCs w:val="24"/>
        </w:rPr>
      </w:pPr>
      <w:hyperlink r:id="rId121" w:history="1">
        <w:r w:rsidRPr="00C443C1">
          <w:rPr>
            <w:rStyle w:val="Hyperlink"/>
            <w:rFonts w:ascii="Times New Roman" w:hAnsi="Times New Roman"/>
            <w:sz w:val="24"/>
            <w:szCs w:val="24"/>
          </w:rPr>
          <w:t>http://kool.corrections.ky.gov/KOOL/Details/61717</w:t>
        </w:r>
      </w:hyperlink>
      <w:r w:rsidRPr="00C443C1">
        <w:rPr>
          <w:rFonts w:ascii="Times New Roman" w:hAnsi="Times New Roman"/>
          <w:sz w:val="24"/>
          <w:szCs w:val="24"/>
        </w:rPr>
        <w:t xml:space="preserve"> </w:t>
      </w:r>
    </w:p>
    <w:p w14:paraId="6E283B66" w14:textId="77777777" w:rsidR="00765ABF" w:rsidRPr="00C443C1" w:rsidRDefault="00765ABF" w:rsidP="00B86628">
      <w:pPr>
        <w:pStyle w:val="NoSpacing"/>
        <w:rPr>
          <w:rFonts w:ascii="Times New Roman" w:hAnsi="Times New Roman"/>
          <w:sz w:val="24"/>
          <w:szCs w:val="24"/>
        </w:rPr>
      </w:pPr>
    </w:p>
    <w:p w14:paraId="27DEB4F9" w14:textId="77777777" w:rsidR="00765ABF" w:rsidRDefault="00765ABF" w:rsidP="00B86628">
      <w:pPr>
        <w:pStyle w:val="NoSpacing"/>
        <w:rPr>
          <w:rFonts w:ascii="Arial Black" w:hAnsi="Arial Black"/>
          <w:sz w:val="24"/>
          <w:szCs w:val="24"/>
        </w:rPr>
      </w:pPr>
    </w:p>
    <w:p w14:paraId="5A25836B" w14:textId="28BE4EB8" w:rsidR="004B4DF6" w:rsidRDefault="004B4DF6" w:rsidP="00B86628">
      <w:pPr>
        <w:pStyle w:val="NoSpacing"/>
        <w:rPr>
          <w:rFonts w:ascii="Arial Black" w:hAnsi="Arial Black"/>
          <w:sz w:val="24"/>
          <w:szCs w:val="24"/>
        </w:rPr>
      </w:pPr>
      <w:r>
        <w:rPr>
          <w:rFonts w:ascii="Arial Black" w:hAnsi="Arial Black"/>
          <w:sz w:val="24"/>
          <w:szCs w:val="24"/>
        </w:rPr>
        <w:t>1-154</w:t>
      </w:r>
    </w:p>
    <w:p w14:paraId="522E4032" w14:textId="77777777" w:rsidR="004B4DF6" w:rsidRDefault="004B4DF6" w:rsidP="00B86628">
      <w:pPr>
        <w:pStyle w:val="NoSpacing"/>
        <w:rPr>
          <w:rFonts w:ascii="Arial Black" w:hAnsi="Arial Black"/>
          <w:sz w:val="24"/>
          <w:szCs w:val="24"/>
        </w:rPr>
      </w:pPr>
    </w:p>
    <w:p w14:paraId="42D8535E" w14:textId="77777777" w:rsidR="00765ABF" w:rsidRPr="00B544ED" w:rsidRDefault="00765ABF" w:rsidP="00765ABF">
      <w:pPr>
        <w:rPr>
          <w:rFonts w:ascii="Arial Black" w:hAnsi="Arial Black"/>
          <w:b/>
          <w:bCs/>
          <w:sz w:val="28"/>
        </w:rPr>
      </w:pPr>
      <w:r>
        <w:rPr>
          <w:rFonts w:ascii="Arial Black" w:hAnsi="Arial Black"/>
          <w:b/>
          <w:bCs/>
          <w:sz w:val="28"/>
        </w:rPr>
        <w:t xml:space="preserve">TX: MAN EVICTED – STARTED FIRE – SAW OWNER, TOLD INVESTIGATOR WILL “TRY AGAIN” – ADMISSIBLE </w:t>
      </w:r>
    </w:p>
    <w:p w14:paraId="000307B5" w14:textId="77777777" w:rsidR="00765ABF" w:rsidRPr="00765ABF" w:rsidRDefault="00765ABF" w:rsidP="00765ABF">
      <w:pPr>
        <w:pStyle w:val="NoSpacing"/>
        <w:rPr>
          <w:rFonts w:ascii="Times New Roman" w:hAnsi="Times New Roman"/>
          <w:sz w:val="24"/>
          <w:szCs w:val="24"/>
        </w:rPr>
      </w:pPr>
      <w:r w:rsidRPr="00765ABF">
        <w:rPr>
          <w:rFonts w:ascii="Times New Roman" w:hAnsi="Times New Roman"/>
          <w:sz w:val="24"/>
          <w:szCs w:val="24"/>
        </w:rPr>
        <w:t xml:space="preserve">On Aug. 22. 2024, in </w:t>
      </w:r>
      <w:proofErr w:type="spellStart"/>
      <w:r w:rsidRPr="00765ABF">
        <w:rPr>
          <w:rFonts w:ascii="Times New Roman" w:hAnsi="Times New Roman"/>
          <w:sz w:val="24"/>
          <w:szCs w:val="24"/>
          <w:u w:val="single"/>
        </w:rPr>
        <w:t>Hueathen</w:t>
      </w:r>
      <w:proofErr w:type="spellEnd"/>
      <w:r w:rsidRPr="00765ABF">
        <w:rPr>
          <w:rFonts w:ascii="Times New Roman" w:hAnsi="Times New Roman"/>
          <w:sz w:val="24"/>
          <w:szCs w:val="24"/>
          <w:u w:val="single"/>
        </w:rPr>
        <w:t xml:space="preserve"> Kirk Gardner v. The State of Texas</w:t>
      </w:r>
      <w:r w:rsidRPr="00765ABF">
        <w:rPr>
          <w:rFonts w:ascii="Times New Roman" w:hAnsi="Times New Roman"/>
          <w:sz w:val="24"/>
          <w:szCs w:val="24"/>
        </w:rPr>
        <w:t xml:space="preserve">, the Court of Appeals of Texas, Fourteenth District, held (3 to 0; unpublished decision) that the trial court properly denied the defendant’s motion to suppress his comments; the jury convicted him of the first-degree felony offense of arson of a habitation.  He was interviewed at the scene for about 15 minutes by Houston Fire Department Senior Arson Investigator Robert Haynes without a </w:t>
      </w:r>
      <w:r w:rsidRPr="00765ABF">
        <w:rPr>
          <w:rFonts w:ascii="Times New Roman" w:hAnsi="Times New Roman"/>
          <w:i/>
          <w:iCs/>
          <w:sz w:val="24"/>
          <w:szCs w:val="24"/>
        </w:rPr>
        <w:t xml:space="preserve">Miranda </w:t>
      </w:r>
      <w:r w:rsidRPr="00765ABF">
        <w:rPr>
          <w:rFonts w:ascii="Times New Roman" w:hAnsi="Times New Roman"/>
          <w:sz w:val="24"/>
          <w:szCs w:val="24"/>
        </w:rPr>
        <w:t xml:space="preserve">warning.  When he was told he was going to be arrested, and he saw the homeowner, he made the comments.  The Court wrote: “Haynes testified that ‘shortly’ after informing appellant that he was going to be charged with arson, appellant saw [homeowner] Hoang and made the statement about "trying again" when he gets out of jail. As the trial court noted, appellant's statement ‘was in response to the complainant coming to the scene, not questions asked at the scene. </w:t>
      </w:r>
      <w:r w:rsidRPr="00765ABF">
        <w:rPr>
          <w:rFonts w:ascii="Times New Roman" w:hAnsi="Times New Roman"/>
          <w:i/>
          <w:iCs/>
          <w:sz w:val="24"/>
          <w:szCs w:val="24"/>
        </w:rPr>
        <w:t>It was happening at the-near the time.</w:t>
      </w:r>
      <w:r w:rsidRPr="00765ABF">
        <w:rPr>
          <w:rFonts w:ascii="Times New Roman" w:hAnsi="Times New Roman"/>
          <w:sz w:val="24"/>
          <w:szCs w:val="24"/>
        </w:rPr>
        <w:t xml:space="preserve"> . . . [H]e just blurted it out when he saw the complainant coming.’ *** This response was not the result of a custodial investigation or in response to any questioning by Haynes. We therefore conclude that </w:t>
      </w:r>
      <w:r w:rsidRPr="00765ABF">
        <w:rPr>
          <w:rFonts w:ascii="Times New Roman" w:hAnsi="Times New Roman"/>
          <w:i/>
          <w:iCs/>
          <w:sz w:val="24"/>
          <w:szCs w:val="24"/>
        </w:rPr>
        <w:t>Miranda</w:t>
      </w:r>
      <w:r w:rsidRPr="00765ABF">
        <w:rPr>
          <w:rFonts w:ascii="Times New Roman" w:hAnsi="Times New Roman"/>
          <w:sz w:val="24"/>
          <w:szCs w:val="24"/>
        </w:rPr>
        <w:t xml:space="preserve"> does not require its exclusion. *** [T]here must be an "exciting" or "stimulating" event. The express statutory terms consider the stimulating event to include the offense itself or the arrest. </w:t>
      </w:r>
      <w:r w:rsidRPr="00765ABF">
        <w:rPr>
          <w:rFonts w:ascii="Times New Roman" w:hAnsi="Times New Roman"/>
          <w:i/>
          <w:iCs/>
          <w:sz w:val="24"/>
          <w:szCs w:val="24"/>
        </w:rPr>
        <w:t>See</w:t>
      </w:r>
      <w:r w:rsidRPr="00765ABF">
        <w:rPr>
          <w:rFonts w:ascii="Times New Roman" w:hAnsi="Times New Roman"/>
          <w:sz w:val="24"/>
          <w:szCs w:val="24"/>
        </w:rPr>
        <w:t xml:space="preserve"> Tex. Code Crim. Proc. Ann. art. 38.22, § 5. Here, the stimulating events consisted of appellant committing arson and then being informed that he was being arrested and charged with arson. We conclude that the first element is met.” </w:t>
      </w:r>
      <w:hyperlink r:id="rId122" w:history="1">
        <w:r w:rsidRPr="00765ABF">
          <w:rPr>
            <w:rStyle w:val="Hyperlink"/>
            <w:rFonts w:ascii="Times New Roman" w:hAnsi="Times New Roman"/>
            <w:sz w:val="24"/>
            <w:szCs w:val="24"/>
          </w:rPr>
          <w:t>https://cases.justia.com/texas/fourteenth-court-of-appeals/2024-14-23-00355-cr.pdf?ts=1724329963</w:t>
        </w:r>
      </w:hyperlink>
      <w:r w:rsidRPr="00765ABF">
        <w:rPr>
          <w:rFonts w:ascii="Times New Roman" w:hAnsi="Times New Roman"/>
          <w:sz w:val="24"/>
          <w:szCs w:val="24"/>
        </w:rPr>
        <w:t xml:space="preserve"> </w:t>
      </w:r>
    </w:p>
    <w:p w14:paraId="0F4B53F8" w14:textId="77777777" w:rsidR="00765ABF" w:rsidRPr="00765ABF" w:rsidRDefault="00765ABF" w:rsidP="00765ABF">
      <w:pPr>
        <w:pStyle w:val="NoSpacing"/>
        <w:rPr>
          <w:rFonts w:ascii="Times New Roman" w:hAnsi="Times New Roman"/>
          <w:sz w:val="24"/>
          <w:szCs w:val="24"/>
        </w:rPr>
      </w:pPr>
    </w:p>
    <w:p w14:paraId="57E100D3" w14:textId="77777777" w:rsidR="00765ABF" w:rsidRPr="00765ABF" w:rsidRDefault="00765ABF" w:rsidP="00765ABF">
      <w:pPr>
        <w:pStyle w:val="NoSpacing"/>
        <w:rPr>
          <w:rFonts w:ascii="Times New Roman" w:hAnsi="Times New Roman"/>
          <w:sz w:val="24"/>
          <w:szCs w:val="24"/>
        </w:rPr>
      </w:pPr>
      <w:r w:rsidRPr="00765ABF">
        <w:rPr>
          <w:rFonts w:ascii="Times New Roman" w:hAnsi="Times New Roman"/>
          <w:sz w:val="24"/>
          <w:szCs w:val="24"/>
        </w:rPr>
        <w:t xml:space="preserve">THE COURT HELD: </w:t>
      </w:r>
    </w:p>
    <w:p w14:paraId="6DE97B00" w14:textId="77777777" w:rsidR="00765ABF" w:rsidRPr="00765ABF" w:rsidRDefault="00765ABF" w:rsidP="00765ABF">
      <w:pPr>
        <w:pStyle w:val="NoSpacing"/>
        <w:rPr>
          <w:rFonts w:ascii="Times New Roman" w:hAnsi="Times New Roman"/>
          <w:i/>
          <w:iCs/>
          <w:sz w:val="24"/>
          <w:szCs w:val="24"/>
        </w:rPr>
      </w:pPr>
    </w:p>
    <w:p w14:paraId="31209727" w14:textId="77777777" w:rsidR="00765ABF" w:rsidRPr="00765ABF" w:rsidRDefault="00765ABF" w:rsidP="00765ABF">
      <w:pPr>
        <w:pStyle w:val="NoSpacing"/>
        <w:ind w:left="720"/>
        <w:rPr>
          <w:rFonts w:ascii="Times New Roman" w:hAnsi="Times New Roman"/>
          <w:sz w:val="24"/>
          <w:szCs w:val="24"/>
        </w:rPr>
      </w:pPr>
      <w:r w:rsidRPr="00765ABF">
        <w:rPr>
          <w:rFonts w:ascii="Times New Roman" w:hAnsi="Times New Roman"/>
          <w:sz w:val="24"/>
          <w:szCs w:val="24"/>
        </w:rPr>
        <w:t xml:space="preserve">“For the second element, the statement must be made sufficiently close in time to the stimulating event. Haynes testified that ‘shortly’ after informing appellant that he was going to be charged with arson, appellant saw Hoang and made the statement about ‘trying again’ when he </w:t>
      </w:r>
      <w:proofErr w:type="gramStart"/>
      <w:r w:rsidRPr="00765ABF">
        <w:rPr>
          <w:rFonts w:ascii="Times New Roman" w:hAnsi="Times New Roman"/>
          <w:sz w:val="24"/>
          <w:szCs w:val="24"/>
        </w:rPr>
        <w:t>gets</w:t>
      </w:r>
      <w:proofErr w:type="gramEnd"/>
      <w:r w:rsidRPr="00765ABF">
        <w:rPr>
          <w:rFonts w:ascii="Times New Roman" w:hAnsi="Times New Roman"/>
          <w:sz w:val="24"/>
          <w:szCs w:val="24"/>
        </w:rPr>
        <w:t xml:space="preserve"> out of jail. As the trial court noted, appellant's statement ‘was in response to the complainant coming to the scene, not questions asked at the scene. </w:t>
      </w:r>
      <w:r w:rsidRPr="00765ABF">
        <w:rPr>
          <w:rFonts w:ascii="Times New Roman" w:hAnsi="Times New Roman"/>
          <w:i/>
          <w:iCs/>
          <w:sz w:val="24"/>
          <w:szCs w:val="24"/>
        </w:rPr>
        <w:t>It was happening at the-near the time.</w:t>
      </w:r>
      <w:r w:rsidRPr="00765ABF">
        <w:rPr>
          <w:rFonts w:ascii="Times New Roman" w:hAnsi="Times New Roman"/>
          <w:sz w:val="24"/>
          <w:szCs w:val="24"/>
        </w:rPr>
        <w:t xml:space="preserve"> . . . [H]e just blurted it out when he saw the complainant coming.’ (emphasis added). With the statement occurring so shortly after being informed he was going to be arrested for arson, we hold that the second element is satisfied. </w:t>
      </w:r>
    </w:p>
    <w:p w14:paraId="4A53793A" w14:textId="77777777" w:rsidR="00765ABF" w:rsidRPr="00765ABF" w:rsidRDefault="00765ABF" w:rsidP="00765ABF">
      <w:pPr>
        <w:pStyle w:val="NoSpacing"/>
        <w:rPr>
          <w:rFonts w:ascii="Times New Roman" w:hAnsi="Times New Roman"/>
          <w:sz w:val="24"/>
          <w:szCs w:val="24"/>
        </w:rPr>
      </w:pPr>
    </w:p>
    <w:p w14:paraId="7F5E7989" w14:textId="77777777" w:rsidR="00765ABF" w:rsidRPr="00765ABF" w:rsidRDefault="00765ABF" w:rsidP="00765ABF">
      <w:pPr>
        <w:pStyle w:val="NoSpacing"/>
        <w:ind w:left="720"/>
        <w:rPr>
          <w:rFonts w:ascii="Times New Roman" w:hAnsi="Times New Roman"/>
          <w:sz w:val="24"/>
          <w:szCs w:val="24"/>
        </w:rPr>
      </w:pPr>
      <w:r w:rsidRPr="00765ABF">
        <w:rPr>
          <w:rFonts w:ascii="Times New Roman" w:hAnsi="Times New Roman"/>
          <w:sz w:val="24"/>
          <w:szCs w:val="24"/>
        </w:rPr>
        <w:t xml:space="preserve">Concerning the third element, appellant's unsolicited comment clearly related to both </w:t>
      </w:r>
      <w:proofErr w:type="gramStart"/>
      <w:r w:rsidRPr="00765ABF">
        <w:rPr>
          <w:rFonts w:ascii="Times New Roman" w:hAnsi="Times New Roman"/>
          <w:sz w:val="24"/>
          <w:szCs w:val="24"/>
        </w:rPr>
        <w:t>the arson</w:t>
      </w:r>
      <w:proofErr w:type="gramEnd"/>
      <w:r w:rsidRPr="00765ABF">
        <w:rPr>
          <w:rFonts w:ascii="Times New Roman" w:hAnsi="Times New Roman"/>
          <w:sz w:val="24"/>
          <w:szCs w:val="24"/>
        </w:rPr>
        <w:t xml:space="preserve"> and </w:t>
      </w:r>
      <w:proofErr w:type="gramStart"/>
      <w:r w:rsidRPr="00765ABF">
        <w:rPr>
          <w:rFonts w:ascii="Times New Roman" w:hAnsi="Times New Roman"/>
          <w:sz w:val="24"/>
          <w:szCs w:val="24"/>
        </w:rPr>
        <w:t>the arrest</w:t>
      </w:r>
      <w:proofErr w:type="gramEnd"/>
      <w:r w:rsidRPr="00765ABF">
        <w:rPr>
          <w:rFonts w:ascii="Times New Roman" w:hAnsi="Times New Roman"/>
          <w:sz w:val="24"/>
          <w:szCs w:val="24"/>
        </w:rPr>
        <w:t>. Appellant conveyed his intent to burn the house again if Hoang still owned the home after appellant was released from jail. We hold that the third element is satisfied.”</w:t>
      </w:r>
    </w:p>
    <w:p w14:paraId="66698A4F" w14:textId="77777777" w:rsidR="00765ABF" w:rsidRPr="00765ABF" w:rsidRDefault="00765ABF" w:rsidP="00765ABF">
      <w:pPr>
        <w:pStyle w:val="NoSpacing"/>
        <w:ind w:left="720"/>
        <w:rPr>
          <w:rFonts w:ascii="Times New Roman" w:hAnsi="Times New Roman"/>
          <w:sz w:val="24"/>
          <w:szCs w:val="24"/>
        </w:rPr>
      </w:pPr>
    </w:p>
    <w:p w14:paraId="5D9531D1" w14:textId="77777777" w:rsidR="00765ABF" w:rsidRPr="00765ABF" w:rsidRDefault="00765ABF" w:rsidP="00765ABF">
      <w:pPr>
        <w:pStyle w:val="NoSpacing"/>
        <w:rPr>
          <w:rFonts w:ascii="Times New Roman" w:hAnsi="Times New Roman"/>
          <w:b/>
          <w:bCs/>
          <w:sz w:val="24"/>
          <w:szCs w:val="24"/>
        </w:rPr>
      </w:pPr>
      <w:r w:rsidRPr="00765ABF">
        <w:rPr>
          <w:rFonts w:ascii="Times New Roman" w:hAnsi="Times New Roman"/>
          <w:b/>
          <w:bCs/>
          <w:sz w:val="24"/>
          <w:szCs w:val="24"/>
        </w:rPr>
        <w:t>Legal Lesson Learned:  Exciting or spontaneous comments by defendant admissible in evidence; sometimes called “res gestae.”</w:t>
      </w:r>
    </w:p>
    <w:p w14:paraId="3FA510F8" w14:textId="77777777" w:rsidR="00765ABF" w:rsidRPr="00765ABF" w:rsidRDefault="00765ABF" w:rsidP="00765ABF">
      <w:pPr>
        <w:pStyle w:val="NoSpacing"/>
        <w:rPr>
          <w:rFonts w:ascii="Times New Roman" w:hAnsi="Times New Roman"/>
          <w:b/>
          <w:bCs/>
          <w:sz w:val="24"/>
          <w:szCs w:val="24"/>
        </w:rPr>
      </w:pPr>
    </w:p>
    <w:p w14:paraId="3A88BF1A" w14:textId="77777777" w:rsidR="00765ABF" w:rsidRPr="00765ABF" w:rsidRDefault="00765ABF" w:rsidP="00765ABF">
      <w:pPr>
        <w:pStyle w:val="NoSpacing"/>
        <w:rPr>
          <w:rFonts w:ascii="Times New Roman" w:hAnsi="Times New Roman"/>
          <w:sz w:val="24"/>
          <w:szCs w:val="24"/>
        </w:rPr>
      </w:pPr>
      <w:r w:rsidRPr="00765ABF">
        <w:rPr>
          <w:rFonts w:ascii="Times New Roman" w:hAnsi="Times New Roman"/>
          <w:b/>
          <w:bCs/>
          <w:sz w:val="24"/>
          <w:szCs w:val="24"/>
        </w:rPr>
        <w:tab/>
      </w:r>
      <w:r w:rsidRPr="00765ABF">
        <w:rPr>
          <w:rFonts w:ascii="Times New Roman" w:hAnsi="Times New Roman"/>
          <w:sz w:val="24"/>
          <w:szCs w:val="24"/>
        </w:rPr>
        <w:t xml:space="preserve">Note: See definition of “res gestae.” </w:t>
      </w:r>
      <w:hyperlink r:id="rId123" w:history="1">
        <w:r w:rsidRPr="00765ABF">
          <w:rPr>
            <w:rStyle w:val="Hyperlink"/>
            <w:rFonts w:ascii="Times New Roman" w:hAnsi="Times New Roman"/>
            <w:sz w:val="24"/>
            <w:szCs w:val="24"/>
          </w:rPr>
          <w:t>https://www.law.cornell.edu/wex/res_gestae</w:t>
        </w:r>
      </w:hyperlink>
      <w:r w:rsidRPr="00765ABF">
        <w:rPr>
          <w:rFonts w:ascii="Times New Roman" w:hAnsi="Times New Roman"/>
          <w:sz w:val="24"/>
          <w:szCs w:val="24"/>
        </w:rPr>
        <w:t xml:space="preserve"> </w:t>
      </w:r>
    </w:p>
    <w:p w14:paraId="2B182D73" w14:textId="77777777" w:rsidR="00765ABF" w:rsidRPr="00765ABF" w:rsidRDefault="00765ABF" w:rsidP="00765ABF">
      <w:pPr>
        <w:pStyle w:val="NoSpacing"/>
        <w:rPr>
          <w:rFonts w:ascii="Times New Roman" w:hAnsi="Times New Roman"/>
          <w:sz w:val="24"/>
          <w:szCs w:val="24"/>
        </w:rPr>
      </w:pPr>
    </w:p>
    <w:p w14:paraId="599468EC" w14:textId="77777777" w:rsidR="00765ABF" w:rsidRPr="00765ABF" w:rsidRDefault="00765ABF" w:rsidP="00765ABF">
      <w:pPr>
        <w:pStyle w:val="NoSpacing"/>
        <w:ind w:left="720"/>
        <w:rPr>
          <w:rFonts w:ascii="Times New Roman" w:hAnsi="Times New Roman"/>
          <w:sz w:val="24"/>
          <w:szCs w:val="24"/>
        </w:rPr>
      </w:pPr>
      <w:r w:rsidRPr="00765ABF">
        <w:rPr>
          <w:rFonts w:ascii="Times New Roman" w:hAnsi="Times New Roman"/>
          <w:sz w:val="24"/>
          <w:szCs w:val="24"/>
        </w:rPr>
        <w:t xml:space="preserve">“Res gestae is a Latin term meaning “things done” or “things transacted.” It refers to the events or circumstances at issue, as well as other events that are contemporaneous with or related to them. Courts previously employed this term </w:t>
      </w:r>
      <w:proofErr w:type="gramStart"/>
      <w:r w:rsidRPr="00765ABF">
        <w:rPr>
          <w:rFonts w:ascii="Times New Roman" w:hAnsi="Times New Roman"/>
          <w:sz w:val="24"/>
          <w:szCs w:val="24"/>
        </w:rPr>
        <w:t>in order to</w:t>
      </w:r>
      <w:proofErr w:type="gramEnd"/>
      <w:r w:rsidRPr="00765ABF">
        <w:rPr>
          <w:rFonts w:ascii="Times New Roman" w:hAnsi="Times New Roman"/>
          <w:sz w:val="24"/>
          <w:szCs w:val="24"/>
        </w:rPr>
        <w:t xml:space="preserve"> </w:t>
      </w:r>
      <w:hyperlink r:id="rId124" w:history="1">
        <w:r w:rsidRPr="00765ABF">
          <w:rPr>
            <w:rStyle w:val="Hyperlink"/>
            <w:rFonts w:ascii="Times New Roman" w:hAnsi="Times New Roman"/>
            <w:sz w:val="24"/>
            <w:szCs w:val="24"/>
          </w:rPr>
          <w:t>admit</w:t>
        </w:r>
      </w:hyperlink>
      <w:r w:rsidRPr="00765ABF">
        <w:rPr>
          <w:rFonts w:ascii="Times New Roman" w:hAnsi="Times New Roman"/>
          <w:sz w:val="24"/>
          <w:szCs w:val="24"/>
        </w:rPr>
        <w:t xml:space="preserve"> otherwise </w:t>
      </w:r>
      <w:hyperlink r:id="rId125" w:history="1">
        <w:r w:rsidRPr="00765ABF">
          <w:rPr>
            <w:rStyle w:val="Hyperlink"/>
            <w:rFonts w:ascii="Times New Roman" w:hAnsi="Times New Roman"/>
            <w:sz w:val="24"/>
            <w:szCs w:val="24"/>
          </w:rPr>
          <w:t>inadmissible</w:t>
        </w:r>
      </w:hyperlink>
      <w:r w:rsidRPr="00765ABF">
        <w:rPr>
          <w:rFonts w:ascii="Times New Roman" w:hAnsi="Times New Roman"/>
          <w:sz w:val="24"/>
          <w:szCs w:val="24"/>
        </w:rPr>
        <w:t xml:space="preserve"> </w:t>
      </w:r>
      <w:hyperlink r:id="rId126" w:history="1">
        <w:r w:rsidRPr="00765ABF">
          <w:rPr>
            <w:rStyle w:val="Hyperlink"/>
            <w:rFonts w:ascii="Times New Roman" w:hAnsi="Times New Roman"/>
            <w:sz w:val="24"/>
            <w:szCs w:val="24"/>
          </w:rPr>
          <w:t>hearsay</w:t>
        </w:r>
      </w:hyperlink>
      <w:r w:rsidRPr="00765ABF">
        <w:rPr>
          <w:rFonts w:ascii="Times New Roman" w:hAnsi="Times New Roman"/>
          <w:sz w:val="24"/>
          <w:szCs w:val="24"/>
        </w:rPr>
        <w:t xml:space="preserve">. The term is not used much now. In </w:t>
      </w:r>
      <w:hyperlink r:id="rId127" w:history="1">
        <w:r w:rsidRPr="00765ABF">
          <w:rPr>
            <w:rStyle w:val="Hyperlink"/>
            <w:rFonts w:ascii="Times New Roman" w:hAnsi="Times New Roman"/>
            <w:sz w:val="24"/>
            <w:szCs w:val="24"/>
          </w:rPr>
          <w:t>evidence</w:t>
        </w:r>
      </w:hyperlink>
      <w:r w:rsidRPr="00765ABF">
        <w:rPr>
          <w:rFonts w:ascii="Times New Roman" w:hAnsi="Times New Roman"/>
          <w:sz w:val="24"/>
          <w:szCs w:val="24"/>
        </w:rPr>
        <w:t xml:space="preserve"> law, for example, the </w:t>
      </w:r>
      <w:hyperlink r:id="rId128" w:history="1">
        <w:r w:rsidRPr="00765ABF">
          <w:rPr>
            <w:rStyle w:val="Hyperlink"/>
            <w:rFonts w:ascii="Times New Roman" w:hAnsi="Times New Roman"/>
            <w:sz w:val="24"/>
            <w:szCs w:val="24"/>
          </w:rPr>
          <w:t>Federal Rules of Evidence</w:t>
        </w:r>
      </w:hyperlink>
      <w:r w:rsidRPr="00765ABF">
        <w:rPr>
          <w:rFonts w:ascii="Times New Roman" w:hAnsi="Times New Roman"/>
          <w:sz w:val="24"/>
          <w:szCs w:val="24"/>
        </w:rPr>
        <w:t xml:space="preserve">, </w:t>
      </w:r>
      <w:hyperlink r:id="rId129" w:history="1">
        <w:r w:rsidRPr="00765ABF">
          <w:rPr>
            <w:rStyle w:val="Hyperlink"/>
            <w:rFonts w:ascii="Times New Roman" w:hAnsi="Times New Roman"/>
            <w:sz w:val="24"/>
            <w:szCs w:val="24"/>
          </w:rPr>
          <w:t>Rules 803(1)[“present sense impression”], 803(2)[“excited utterance”], 803(3)[“declaration of existing physical condition”], and 803(4)[“declaration of past physical condition"]</w:t>
        </w:r>
      </w:hyperlink>
      <w:r w:rsidRPr="00765ABF">
        <w:rPr>
          <w:rFonts w:ascii="Times New Roman" w:hAnsi="Times New Roman"/>
          <w:sz w:val="24"/>
          <w:szCs w:val="24"/>
        </w:rPr>
        <w:t>, now specifically encompass and limit what was previously used as res gestae.”</w:t>
      </w:r>
    </w:p>
    <w:p w14:paraId="7F678EA5" w14:textId="77777777" w:rsidR="00765ABF" w:rsidRPr="00765ABF" w:rsidRDefault="00765ABF" w:rsidP="00B86628">
      <w:pPr>
        <w:pStyle w:val="NoSpacing"/>
        <w:rPr>
          <w:rFonts w:ascii="Times New Roman" w:hAnsi="Times New Roman"/>
          <w:sz w:val="24"/>
          <w:szCs w:val="24"/>
        </w:rPr>
      </w:pPr>
    </w:p>
    <w:p w14:paraId="77B8861E" w14:textId="77777777" w:rsidR="004B4DF6" w:rsidRPr="00765ABF" w:rsidRDefault="004B4DF6" w:rsidP="00B86628">
      <w:pPr>
        <w:pStyle w:val="NoSpacing"/>
        <w:rPr>
          <w:rFonts w:ascii="Times New Roman" w:hAnsi="Times New Roman"/>
          <w:sz w:val="24"/>
          <w:szCs w:val="24"/>
        </w:rPr>
      </w:pPr>
    </w:p>
    <w:p w14:paraId="3D5758BA" w14:textId="77777777" w:rsidR="004B4DF6" w:rsidRDefault="004B4DF6" w:rsidP="00B86628">
      <w:pPr>
        <w:pStyle w:val="NoSpacing"/>
        <w:rPr>
          <w:rFonts w:ascii="Arial Black" w:hAnsi="Arial Black"/>
          <w:sz w:val="24"/>
          <w:szCs w:val="24"/>
        </w:rPr>
      </w:pPr>
    </w:p>
    <w:p w14:paraId="3B63CAA8" w14:textId="3609B6EE" w:rsidR="004E46C8" w:rsidRPr="004B4DF6" w:rsidRDefault="00127024" w:rsidP="00B86628">
      <w:pPr>
        <w:pStyle w:val="NoSpacing"/>
        <w:rPr>
          <w:rFonts w:ascii="Arial Black" w:hAnsi="Arial Black"/>
          <w:sz w:val="24"/>
          <w:szCs w:val="24"/>
        </w:rPr>
      </w:pPr>
      <w:r w:rsidRPr="004B4DF6">
        <w:rPr>
          <w:rFonts w:ascii="Arial Black" w:hAnsi="Arial Black"/>
          <w:sz w:val="24"/>
          <w:szCs w:val="24"/>
        </w:rPr>
        <w:t>1-15</w:t>
      </w:r>
      <w:r w:rsidR="00A91BAB">
        <w:rPr>
          <w:rFonts w:ascii="Arial Black" w:hAnsi="Arial Black"/>
          <w:sz w:val="24"/>
          <w:szCs w:val="24"/>
        </w:rPr>
        <w:t>4</w:t>
      </w:r>
    </w:p>
    <w:p w14:paraId="1CB6E0FD" w14:textId="77777777" w:rsidR="004B4DF6" w:rsidRDefault="004B4DF6" w:rsidP="00B86628">
      <w:pPr>
        <w:pStyle w:val="NoSpacing"/>
        <w:rPr>
          <w:rFonts w:ascii="Arial Black" w:hAnsi="Arial Black"/>
          <w:sz w:val="24"/>
          <w:szCs w:val="24"/>
        </w:rPr>
      </w:pPr>
    </w:p>
    <w:p w14:paraId="1C2A4E66" w14:textId="77777777" w:rsidR="004B4DF6" w:rsidRPr="000533DB" w:rsidRDefault="004B4DF6" w:rsidP="004B4DF6">
      <w:pPr>
        <w:rPr>
          <w:rFonts w:ascii="Arial Black" w:hAnsi="Arial Black"/>
          <w:b/>
          <w:bCs/>
          <w:sz w:val="28"/>
        </w:rPr>
      </w:pPr>
      <w:r>
        <w:rPr>
          <w:rFonts w:ascii="Arial Black" w:hAnsi="Arial Black"/>
          <w:b/>
          <w:bCs/>
          <w:sz w:val="28"/>
        </w:rPr>
        <w:t>NY: E-BIKE FIRE – TENANT CHARGED BIKE ON 5</w:t>
      </w:r>
      <w:r w:rsidRPr="00AF70EC">
        <w:rPr>
          <w:rFonts w:ascii="Arial Black" w:hAnsi="Arial Black"/>
          <w:b/>
          <w:bCs/>
          <w:sz w:val="28"/>
          <w:vertAlign w:val="superscript"/>
        </w:rPr>
        <w:t>th</w:t>
      </w:r>
      <w:r>
        <w:rPr>
          <w:rFonts w:ascii="Arial Black" w:hAnsi="Arial Black"/>
          <w:b/>
          <w:bCs/>
          <w:sz w:val="28"/>
        </w:rPr>
        <w:t xml:space="preserve"> FLOOR APT - NOT BASEMENT STORAGE – $5,000 </w:t>
      </w:r>
    </w:p>
    <w:p w14:paraId="1E0E5ADA" w14:textId="77777777" w:rsidR="004B4DF6" w:rsidRPr="004B4DF6" w:rsidRDefault="004B4DF6" w:rsidP="004B4DF6">
      <w:pPr>
        <w:rPr>
          <w:rFonts w:ascii="Times New Roman" w:hAnsi="Times New Roman"/>
          <w:sz w:val="24"/>
          <w:szCs w:val="24"/>
        </w:rPr>
      </w:pPr>
      <w:r w:rsidRPr="004B4DF6">
        <w:rPr>
          <w:rFonts w:ascii="Times New Roman" w:hAnsi="Times New Roman"/>
          <w:sz w:val="24"/>
          <w:szCs w:val="24"/>
        </w:rPr>
        <w:t xml:space="preserve">On Aug. 19. 2024, in </w:t>
      </w:r>
      <w:r w:rsidRPr="004B4DF6">
        <w:rPr>
          <w:rFonts w:ascii="Times New Roman" w:hAnsi="Times New Roman"/>
          <w:sz w:val="24"/>
          <w:szCs w:val="24"/>
          <w:u w:val="single"/>
        </w:rPr>
        <w:t>Forest House, LLC v. Jamaris Santos</w:t>
      </w:r>
      <w:r w:rsidRPr="004B4DF6">
        <w:rPr>
          <w:rFonts w:ascii="Times New Roman" w:hAnsi="Times New Roman"/>
          <w:sz w:val="24"/>
          <w:szCs w:val="24"/>
        </w:rPr>
        <w:t>, City of New York, Civil Court, Bronx County, Judge Verena C. Powell held, after a bench trial, that the tenant was negligent in charging e-bike in her 5</w:t>
      </w:r>
      <w:r w:rsidRPr="004B4DF6">
        <w:rPr>
          <w:rFonts w:ascii="Times New Roman" w:hAnsi="Times New Roman"/>
          <w:sz w:val="24"/>
          <w:szCs w:val="24"/>
          <w:vertAlign w:val="superscript"/>
        </w:rPr>
        <w:t>th</w:t>
      </w:r>
      <w:r w:rsidRPr="004B4DF6">
        <w:rPr>
          <w:rFonts w:ascii="Times New Roman" w:hAnsi="Times New Roman"/>
          <w:sz w:val="24"/>
          <w:szCs w:val="24"/>
        </w:rPr>
        <w:t xml:space="preserve"> floor apartment, instead of the basement storage area, and must reimburse the building owner for the $5,000 deductible on their building insurance policy, plus attorney fees.  February 7, 2021, at approximately 1:20 a.m., the New York City Fire Department (FDNY) responded to a 911 fire call on the fifth floor of 770 East 166th Street, Bronx, New York 10456. The Court wrote: “Ms. Santos' testimony established that she was aware of and had access to the building's bike room but decided not to use it, instead storing and charging the device inside her apartment. As the Plaintiff's tenant, the defendant assumed the duty of exercising ordinary care to store the e-bike in an area designated for such items. The defendant's negligence is established by her storing the e-bike in a location other than one designated for its storage, and that, once engulfed in flames, was placed in the public hallway, impeding egress from the building.” </w:t>
      </w:r>
      <w:hyperlink r:id="rId130" w:history="1">
        <w:r w:rsidRPr="004B4DF6">
          <w:rPr>
            <w:rStyle w:val="Hyperlink"/>
            <w:rFonts w:ascii="Times New Roman" w:hAnsi="Times New Roman"/>
            <w:sz w:val="24"/>
            <w:szCs w:val="24"/>
          </w:rPr>
          <w:t>https://law.justia.com/cases/new-york/other-courts/2024/2024-ny-slip-op-51092-u.html</w:t>
        </w:r>
      </w:hyperlink>
      <w:r w:rsidRPr="004B4DF6">
        <w:rPr>
          <w:rFonts w:ascii="Times New Roman" w:hAnsi="Times New Roman"/>
          <w:sz w:val="24"/>
          <w:szCs w:val="24"/>
        </w:rPr>
        <w:t xml:space="preserve"> </w:t>
      </w:r>
    </w:p>
    <w:p w14:paraId="27C00EBA" w14:textId="77777777" w:rsidR="004B4DF6" w:rsidRPr="004B4DF6" w:rsidRDefault="004B4DF6" w:rsidP="004B4DF6">
      <w:pPr>
        <w:rPr>
          <w:rFonts w:ascii="Times New Roman" w:hAnsi="Times New Roman"/>
          <w:sz w:val="24"/>
          <w:szCs w:val="24"/>
        </w:rPr>
      </w:pPr>
      <w:r w:rsidRPr="004B4DF6">
        <w:rPr>
          <w:rFonts w:ascii="Times New Roman" w:hAnsi="Times New Roman"/>
          <w:sz w:val="24"/>
          <w:szCs w:val="24"/>
        </w:rPr>
        <w:t xml:space="preserve">THE COURT HELD:  </w:t>
      </w:r>
    </w:p>
    <w:p w14:paraId="0E01AB86" w14:textId="77777777" w:rsidR="004B4DF6" w:rsidRPr="004B4DF6" w:rsidRDefault="004B4DF6" w:rsidP="004B4DF6">
      <w:pPr>
        <w:ind w:left="720"/>
        <w:rPr>
          <w:rFonts w:ascii="Times New Roman" w:hAnsi="Times New Roman"/>
          <w:sz w:val="24"/>
          <w:szCs w:val="24"/>
        </w:rPr>
      </w:pPr>
      <w:r w:rsidRPr="004B4DF6">
        <w:rPr>
          <w:rFonts w:ascii="Times New Roman" w:hAnsi="Times New Roman"/>
          <w:sz w:val="24"/>
          <w:szCs w:val="24"/>
        </w:rPr>
        <w:t xml:space="preserve">“Fire Marshal Coyle testified that the cause of the fire was the disintegration of the electric wiring coating within the battery compartment of the e-bike. He reached this conclusion by speaking with Battalion Chief </w:t>
      </w:r>
      <w:proofErr w:type="spellStart"/>
      <w:r w:rsidRPr="004B4DF6">
        <w:rPr>
          <w:rFonts w:ascii="Times New Roman" w:hAnsi="Times New Roman"/>
          <w:sz w:val="24"/>
          <w:szCs w:val="24"/>
        </w:rPr>
        <w:t>McGenn</w:t>
      </w:r>
      <w:proofErr w:type="spellEnd"/>
      <w:r w:rsidRPr="004B4DF6">
        <w:rPr>
          <w:rFonts w:ascii="Times New Roman" w:hAnsi="Times New Roman"/>
          <w:sz w:val="24"/>
          <w:szCs w:val="24"/>
        </w:rPr>
        <w:t xml:space="preserve"> and Lieutenant Owens about the e-bike's condition when they reached the fire, interviewing Ms. Santos regarding her observations of the fire, examining a photograph of the charred e-bike, and noting smoke stains on the apartment wall about 3 feet above the floor. The picture of the e-bike shows that the area under the rider's seat sustained the most significant amount of damage, thus indicating where the fire ignited.  This Court credits Fire Marshall Coyle's expert testimony and finds that deterioration of the wiring insulation caused the battery to short circuit, igniting the e-bike battery case covering and the e-bike's seat, thereby causing the February 7, 2021, fire in Ms. Santos' apartment.”</w:t>
      </w:r>
    </w:p>
    <w:p w14:paraId="2F84B898" w14:textId="318B1D1E" w:rsidR="004B4DF6" w:rsidRPr="004B4DF6" w:rsidRDefault="004B4DF6" w:rsidP="005441DE">
      <w:pPr>
        <w:rPr>
          <w:rFonts w:ascii="Times New Roman" w:hAnsi="Times New Roman"/>
          <w:b/>
          <w:bCs/>
          <w:sz w:val="24"/>
          <w:szCs w:val="24"/>
        </w:rPr>
      </w:pPr>
      <w:r w:rsidRPr="004B4DF6">
        <w:rPr>
          <w:rFonts w:ascii="Times New Roman" w:hAnsi="Times New Roman"/>
          <w:b/>
          <w:bCs/>
          <w:sz w:val="24"/>
          <w:szCs w:val="24"/>
        </w:rPr>
        <w:t>Legal Lesson Learned: Do not charge e-</w:t>
      </w:r>
      <w:proofErr w:type="gramStart"/>
      <w:r w:rsidRPr="004B4DF6">
        <w:rPr>
          <w:rFonts w:ascii="Times New Roman" w:hAnsi="Times New Roman"/>
          <w:b/>
          <w:bCs/>
          <w:sz w:val="24"/>
          <w:szCs w:val="24"/>
        </w:rPr>
        <w:t>bike</w:t>
      </w:r>
      <w:proofErr w:type="gramEnd"/>
      <w:r w:rsidRPr="004B4DF6">
        <w:rPr>
          <w:rFonts w:ascii="Times New Roman" w:hAnsi="Times New Roman"/>
          <w:b/>
          <w:bCs/>
          <w:sz w:val="24"/>
          <w:szCs w:val="24"/>
        </w:rPr>
        <w:t xml:space="preserve"> in your apartment or home; tenants will be liable for damages. </w:t>
      </w:r>
    </w:p>
    <w:p w14:paraId="11AA5A1E" w14:textId="77777777" w:rsidR="004B4DF6" w:rsidRPr="004B4DF6" w:rsidRDefault="004B4DF6" w:rsidP="004B4DF6">
      <w:pPr>
        <w:rPr>
          <w:rFonts w:ascii="Times New Roman" w:hAnsi="Times New Roman"/>
          <w:szCs w:val="24"/>
        </w:rPr>
      </w:pPr>
    </w:p>
    <w:p w14:paraId="191FB5EA" w14:textId="77777777" w:rsidR="007C22F6" w:rsidRDefault="007C22F6" w:rsidP="007C22F6">
      <w:pPr>
        <w:pStyle w:val="NoSpacing"/>
        <w:rPr>
          <w:rFonts w:ascii="Arial Black" w:hAnsi="Arial Black"/>
          <w:sz w:val="24"/>
          <w:szCs w:val="24"/>
        </w:rPr>
      </w:pPr>
    </w:p>
    <w:p w14:paraId="2E8417F2" w14:textId="3F304553" w:rsidR="007C22F6" w:rsidRDefault="007C22F6" w:rsidP="007C22F6">
      <w:pPr>
        <w:pStyle w:val="NoSpacing"/>
        <w:rPr>
          <w:rFonts w:ascii="Arial Black" w:hAnsi="Arial Black"/>
          <w:sz w:val="24"/>
          <w:szCs w:val="24"/>
        </w:rPr>
      </w:pPr>
      <w:r>
        <w:rPr>
          <w:rFonts w:ascii="Arial Black" w:hAnsi="Arial Black"/>
          <w:sz w:val="24"/>
          <w:szCs w:val="24"/>
        </w:rPr>
        <w:t>1-15</w:t>
      </w:r>
      <w:r w:rsidR="00A91BAB">
        <w:rPr>
          <w:rFonts w:ascii="Arial Black" w:hAnsi="Arial Black"/>
          <w:sz w:val="24"/>
          <w:szCs w:val="24"/>
        </w:rPr>
        <w:t>3</w:t>
      </w:r>
    </w:p>
    <w:p w14:paraId="74332D37" w14:textId="77777777" w:rsidR="007C22F6" w:rsidRDefault="007C22F6" w:rsidP="007C22F6">
      <w:pPr>
        <w:pStyle w:val="NoSpacing"/>
        <w:rPr>
          <w:rFonts w:ascii="Arial Black" w:hAnsi="Arial Black"/>
          <w:sz w:val="28"/>
        </w:rPr>
      </w:pPr>
    </w:p>
    <w:p w14:paraId="7BA1D00E" w14:textId="78C9E3C0" w:rsidR="007C22F6" w:rsidRPr="00270EFD" w:rsidRDefault="007C22F6" w:rsidP="007C22F6">
      <w:pPr>
        <w:pStyle w:val="NoSpacing"/>
        <w:rPr>
          <w:rFonts w:ascii="Arial Black" w:hAnsi="Arial Black"/>
          <w:sz w:val="28"/>
        </w:rPr>
      </w:pPr>
      <w:r>
        <w:rPr>
          <w:rFonts w:ascii="Arial Black" w:hAnsi="Arial Black"/>
          <w:sz w:val="28"/>
        </w:rPr>
        <w:t xml:space="preserve">IL: ALARM SYSTEM ORDINANCE – COMMERCIAL ALARMS MUST GO DIRECT TO 911 CENTER – LAWFUL </w:t>
      </w:r>
    </w:p>
    <w:p w14:paraId="09B79B21" w14:textId="77777777" w:rsidR="007C22F6" w:rsidRDefault="007C22F6" w:rsidP="007C22F6">
      <w:pPr>
        <w:pStyle w:val="NoSpacing"/>
        <w:rPr>
          <w:szCs w:val="24"/>
        </w:rPr>
      </w:pPr>
    </w:p>
    <w:p w14:paraId="63C70625" w14:textId="77777777" w:rsidR="007C22F6" w:rsidRPr="007C22F6" w:rsidRDefault="007C22F6" w:rsidP="007C22F6">
      <w:pPr>
        <w:pStyle w:val="NoSpacing"/>
        <w:rPr>
          <w:rFonts w:ascii="Times New Roman" w:hAnsi="Times New Roman"/>
          <w:sz w:val="24"/>
          <w:szCs w:val="24"/>
        </w:rPr>
      </w:pPr>
      <w:r w:rsidRPr="007C22F6">
        <w:rPr>
          <w:rFonts w:ascii="Times New Roman" w:hAnsi="Times New Roman"/>
          <w:sz w:val="24"/>
          <w:szCs w:val="24"/>
        </w:rPr>
        <w:t xml:space="preserve">On Aug. 14, 2024, in </w:t>
      </w:r>
      <w:r w:rsidRPr="007C22F6">
        <w:rPr>
          <w:rFonts w:ascii="Times New Roman" w:hAnsi="Times New Roman"/>
          <w:sz w:val="24"/>
          <w:szCs w:val="24"/>
          <w:u w:val="single"/>
        </w:rPr>
        <w:t>Alarm Detection Services, Inc, et al. v. Village of Schaumburg</w:t>
      </w:r>
      <w:r w:rsidRPr="007C22F6">
        <w:rPr>
          <w:rFonts w:ascii="Times New Roman" w:hAnsi="Times New Roman"/>
          <w:sz w:val="24"/>
          <w:szCs w:val="24"/>
        </w:rPr>
        <w:t xml:space="preserve">, United States District Court Judge Joan H. </w:t>
      </w:r>
      <w:proofErr w:type="spellStart"/>
      <w:r w:rsidRPr="007C22F6">
        <w:rPr>
          <w:rFonts w:ascii="Times New Roman" w:hAnsi="Times New Roman"/>
          <w:sz w:val="24"/>
          <w:szCs w:val="24"/>
        </w:rPr>
        <w:t>Lefkow</w:t>
      </w:r>
      <w:proofErr w:type="spellEnd"/>
      <w:r w:rsidRPr="007C22F6">
        <w:rPr>
          <w:rFonts w:ascii="Times New Roman" w:hAnsi="Times New Roman"/>
          <w:sz w:val="24"/>
          <w:szCs w:val="24"/>
        </w:rPr>
        <w:t xml:space="preserve">, U.S. District Court for the Northern District of Illinois, Eastern Division, granted summary judgment to the Village, in lawsuit by four alarm companies that claimed they have lost 250 commercial clients because of the 2016 Ordinance that requires alarms to go direct to 911 Center (system managed by Tyco Company), instead of first to the alarm companies centers.  The Court wrote: “The Village has proffered abundant evidence, as set out above, to demonstrate that it was not motivated to injure Alarm Companies; rather, its motivation was to improve fire safety in the Village…. Unfortunately, Alarm Companies do not counter with data the Village’s evidence </w:t>
      </w:r>
      <w:proofErr w:type="gramStart"/>
      <w:r w:rsidRPr="007C22F6">
        <w:rPr>
          <w:rFonts w:ascii="Times New Roman" w:hAnsi="Times New Roman"/>
          <w:sz w:val="24"/>
          <w:szCs w:val="24"/>
        </w:rPr>
        <w:t>that,</w:t>
      </w:r>
      <w:proofErr w:type="gramEnd"/>
      <w:r w:rsidRPr="007C22F6">
        <w:rPr>
          <w:rFonts w:ascii="Times New Roman" w:hAnsi="Times New Roman"/>
          <w:sz w:val="24"/>
          <w:szCs w:val="24"/>
        </w:rPr>
        <w:t xml:space="preserve"> post passage, response times improved and out-of-service systems decreased. But even if they had, it would not undermine the evidence of the Village’s motivation at the time the Ordinance was passed….In light of the evidence that the Village pursued legitimate public safety goals in enacting the Ordinance and the paucity of evidence that it intended to induce Commercial Properties to discontinue contracting with Alarm Companies, the court concludes that no reasonable jury would find that the Village’s purpose was to induce property owners to cease doing business with Alarm Companies.” </w:t>
      </w:r>
      <w:hyperlink r:id="rId131" w:history="1">
        <w:r w:rsidRPr="007C22F6">
          <w:rPr>
            <w:rStyle w:val="Hyperlink"/>
            <w:rFonts w:ascii="Times New Roman" w:hAnsi="Times New Roman"/>
            <w:sz w:val="24"/>
            <w:szCs w:val="24"/>
          </w:rPr>
          <w:t>https://cases.justia.com/federal/district-courts/illinois/ilndce/1:2017cv02153/337913/236/0.pdf?ts=1723715563</w:t>
        </w:r>
      </w:hyperlink>
      <w:r w:rsidRPr="007C22F6">
        <w:rPr>
          <w:rFonts w:ascii="Times New Roman" w:hAnsi="Times New Roman"/>
          <w:sz w:val="24"/>
          <w:szCs w:val="24"/>
        </w:rPr>
        <w:t xml:space="preserve"> </w:t>
      </w:r>
    </w:p>
    <w:p w14:paraId="6543AC61" w14:textId="77777777" w:rsidR="007C22F6" w:rsidRPr="007C22F6" w:rsidRDefault="007C22F6" w:rsidP="007C22F6">
      <w:pPr>
        <w:pStyle w:val="NoSpacing"/>
        <w:rPr>
          <w:rFonts w:ascii="Times New Roman" w:hAnsi="Times New Roman"/>
          <w:sz w:val="24"/>
          <w:szCs w:val="24"/>
        </w:rPr>
      </w:pPr>
    </w:p>
    <w:p w14:paraId="7038F780" w14:textId="77777777" w:rsidR="007C22F6" w:rsidRPr="007C22F6" w:rsidRDefault="007C22F6" w:rsidP="007C22F6">
      <w:pPr>
        <w:pStyle w:val="NoSpacing"/>
        <w:rPr>
          <w:rFonts w:ascii="Times New Roman" w:hAnsi="Times New Roman"/>
          <w:sz w:val="24"/>
          <w:szCs w:val="24"/>
        </w:rPr>
      </w:pPr>
      <w:r w:rsidRPr="007C22F6">
        <w:rPr>
          <w:rFonts w:ascii="Times New Roman" w:hAnsi="Times New Roman"/>
          <w:sz w:val="24"/>
          <w:szCs w:val="24"/>
        </w:rPr>
        <w:t>THE COURT HELD:</w:t>
      </w:r>
    </w:p>
    <w:p w14:paraId="547BE9C7" w14:textId="77777777" w:rsidR="007C22F6" w:rsidRPr="007C22F6" w:rsidRDefault="007C22F6" w:rsidP="007C22F6">
      <w:pPr>
        <w:pStyle w:val="NoSpacing"/>
        <w:rPr>
          <w:rFonts w:ascii="Times New Roman" w:hAnsi="Times New Roman"/>
          <w:sz w:val="24"/>
          <w:szCs w:val="24"/>
        </w:rPr>
      </w:pPr>
    </w:p>
    <w:p w14:paraId="30C44FEF"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“Local fire codes, including those of the Village, require certain commercial and multi-family buildings to be protected by fire-alarm systems and typically require that those systems comply with national safety standards set forth in the National Fire Protection Association’s National Fire Alarm and Signaling Code (NFPA 72). Under NFPA 72, the installation and maintenance of fire-alarm systems are the responsibility of individual building owners. Owners of commercial and multi-family properties typically contract with private companies, such as Alarm Companies, to provide and maintain the required fire-alarm systems. Such systems generally have three components: (1) smoke and heat detectors that generate signals; (2) an alarm panel that receives signals from those detectors; and (3) a transmission device that sends signals to a monitoring facility. The signals transmitted by the detectors include alarm signals signifying smoke or fire, as well as ‘trouble’ or ‘supervisory’ signals which indicate whether the system is performing properly or is out of service.</w:t>
      </w:r>
    </w:p>
    <w:p w14:paraId="763B5917" w14:textId="77777777" w:rsidR="007C22F6" w:rsidRPr="007C22F6" w:rsidRDefault="007C22F6" w:rsidP="007C22F6">
      <w:pPr>
        <w:pStyle w:val="NoSpacing"/>
        <w:ind w:left="720"/>
        <w:rPr>
          <w:rFonts w:ascii="Times New Roman" w:hAnsi="Times New Roman"/>
          <w:sz w:val="24"/>
          <w:szCs w:val="24"/>
        </w:rPr>
      </w:pPr>
    </w:p>
    <w:p w14:paraId="5DD5BC51"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w:t>
      </w:r>
    </w:p>
    <w:p w14:paraId="6BA65E18" w14:textId="77777777" w:rsidR="007C22F6" w:rsidRPr="007C22F6" w:rsidRDefault="007C22F6" w:rsidP="007C22F6">
      <w:pPr>
        <w:pStyle w:val="NoSpacing"/>
        <w:rPr>
          <w:rFonts w:ascii="Times New Roman" w:hAnsi="Times New Roman"/>
          <w:sz w:val="24"/>
          <w:szCs w:val="24"/>
        </w:rPr>
      </w:pPr>
    </w:p>
    <w:p w14:paraId="6874A36C"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 xml:space="preserve">The court acknowledges that there is record evidence to support Alarm Companies’ contentions that the Ordinance had the effect of requiring Commercial Accounts to purchase or lease from Tyco at least some equipment necessary to connect to NWCDS. The Village itself seems to have suggested to businesses that Tyco transmitters may be required; after passage of the Ordinance, the Village sent a notice to property owners indicating that Tyco was ‘the authorized installer of </w:t>
      </w:r>
      <w:proofErr w:type="gramStart"/>
      <w:r w:rsidRPr="007C22F6">
        <w:rPr>
          <w:rFonts w:ascii="Times New Roman" w:hAnsi="Times New Roman"/>
          <w:sz w:val="24"/>
          <w:szCs w:val="24"/>
        </w:rPr>
        <w:t>the radio</w:t>
      </w:r>
      <w:proofErr w:type="gramEnd"/>
      <w:r w:rsidRPr="007C22F6">
        <w:rPr>
          <w:rFonts w:ascii="Times New Roman" w:hAnsi="Times New Roman"/>
          <w:sz w:val="24"/>
          <w:szCs w:val="24"/>
        </w:rPr>
        <w:t xml:space="preserve"> equipment</w:t>
      </w:r>
    </w:p>
    <w:p w14:paraId="5DAE44DE"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 xml:space="preserve">required for fire alarm systems monitored by NWCDS.’ </w:t>
      </w:r>
    </w:p>
    <w:p w14:paraId="0194E24D"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w:t>
      </w:r>
    </w:p>
    <w:p w14:paraId="47BA5BCB" w14:textId="77777777" w:rsidR="007C22F6" w:rsidRPr="007C22F6" w:rsidRDefault="007C22F6" w:rsidP="007C22F6">
      <w:pPr>
        <w:pStyle w:val="NoSpacing"/>
        <w:ind w:left="720"/>
        <w:rPr>
          <w:rFonts w:ascii="Times New Roman" w:hAnsi="Times New Roman"/>
          <w:sz w:val="24"/>
          <w:szCs w:val="24"/>
        </w:rPr>
      </w:pPr>
    </w:p>
    <w:p w14:paraId="536060F3" w14:textId="77777777" w:rsidR="007C22F6" w:rsidRPr="007C22F6" w:rsidRDefault="007C22F6" w:rsidP="007C22F6">
      <w:pPr>
        <w:pStyle w:val="NoSpacing"/>
        <w:ind w:left="720"/>
        <w:rPr>
          <w:rFonts w:ascii="Times New Roman" w:hAnsi="Times New Roman"/>
          <w:sz w:val="24"/>
          <w:szCs w:val="24"/>
        </w:rPr>
      </w:pPr>
      <w:r w:rsidRPr="007C22F6">
        <w:rPr>
          <w:rFonts w:ascii="Times New Roman" w:hAnsi="Times New Roman"/>
          <w:sz w:val="24"/>
          <w:szCs w:val="24"/>
        </w:rPr>
        <w:t xml:space="preserve">Alarm Companies argue that there is no genuine dispute of fact that the Ordinance caused many Commercial Accounts either to terminate or to refuse to renew their contracts, costing Alarm Companies hundreds of accounts in the Village. Alarm Companies’ argument, however, has no support in the evidentiary record. They fail to point to any evidence that any Commercial Account </w:t>
      </w:r>
      <w:proofErr w:type="gramStart"/>
      <w:r w:rsidRPr="007C22F6">
        <w:rPr>
          <w:rFonts w:ascii="Times New Roman" w:hAnsi="Times New Roman"/>
          <w:sz w:val="24"/>
          <w:szCs w:val="24"/>
        </w:rPr>
        <w:t>actually terminated</w:t>
      </w:r>
      <w:proofErr w:type="gramEnd"/>
      <w:r w:rsidRPr="007C22F6">
        <w:rPr>
          <w:rFonts w:ascii="Times New Roman" w:hAnsi="Times New Roman"/>
          <w:sz w:val="24"/>
          <w:szCs w:val="24"/>
        </w:rPr>
        <w:t xml:space="preserve"> early or otherwise breached a contract in response to the Ordinance.”</w:t>
      </w:r>
    </w:p>
    <w:p w14:paraId="3374264A" w14:textId="77777777" w:rsidR="007C22F6" w:rsidRPr="007C22F6" w:rsidRDefault="007C22F6" w:rsidP="007C22F6">
      <w:pPr>
        <w:pStyle w:val="NoSpacing"/>
        <w:rPr>
          <w:rFonts w:ascii="Times New Roman" w:hAnsi="Times New Roman"/>
          <w:sz w:val="24"/>
          <w:szCs w:val="24"/>
        </w:rPr>
      </w:pPr>
    </w:p>
    <w:p w14:paraId="63598C8E" w14:textId="77777777" w:rsidR="007C22F6" w:rsidRPr="007C22F6" w:rsidRDefault="007C22F6" w:rsidP="007C22F6">
      <w:pPr>
        <w:pStyle w:val="NoSpacing"/>
        <w:rPr>
          <w:rFonts w:ascii="Times New Roman" w:hAnsi="Times New Roman"/>
          <w:b/>
          <w:bCs/>
          <w:sz w:val="24"/>
          <w:szCs w:val="24"/>
        </w:rPr>
      </w:pPr>
      <w:r w:rsidRPr="007C22F6">
        <w:rPr>
          <w:rFonts w:ascii="Times New Roman" w:hAnsi="Times New Roman"/>
          <w:b/>
          <w:bCs/>
          <w:sz w:val="24"/>
          <w:szCs w:val="24"/>
        </w:rPr>
        <w:t>Legal Lesson Learned:  Village ordinance has proven effective in prompt notification to 911 Center of alarms, and notification to FD of problems with commercial property systems.</w:t>
      </w:r>
    </w:p>
    <w:p w14:paraId="5CAD26A1" w14:textId="77777777" w:rsidR="007C22F6" w:rsidRPr="007C22F6" w:rsidRDefault="007C22F6" w:rsidP="000B35FC">
      <w:pPr>
        <w:rPr>
          <w:rFonts w:ascii="Times New Roman" w:hAnsi="Times New Roman"/>
          <w:sz w:val="24"/>
          <w:szCs w:val="24"/>
        </w:rPr>
      </w:pPr>
    </w:p>
    <w:p w14:paraId="0A8E5FED" w14:textId="77777777" w:rsidR="00127024" w:rsidRDefault="00127024" w:rsidP="00B86628">
      <w:pPr>
        <w:pStyle w:val="NoSpacing"/>
        <w:rPr>
          <w:rFonts w:ascii="Arial Black" w:hAnsi="Arial Black"/>
          <w:sz w:val="24"/>
          <w:szCs w:val="24"/>
        </w:rPr>
      </w:pPr>
    </w:p>
    <w:p w14:paraId="0BBFC3B4" w14:textId="2012094C" w:rsidR="00316842" w:rsidRDefault="00316842" w:rsidP="00B86628">
      <w:pPr>
        <w:pStyle w:val="NoSpacing"/>
        <w:rPr>
          <w:rFonts w:ascii="Arial Black" w:hAnsi="Arial Black"/>
          <w:sz w:val="24"/>
          <w:szCs w:val="24"/>
        </w:rPr>
      </w:pPr>
      <w:r>
        <w:rPr>
          <w:rFonts w:ascii="Arial Black" w:hAnsi="Arial Black"/>
          <w:sz w:val="24"/>
          <w:szCs w:val="24"/>
        </w:rPr>
        <w:t>1-15</w:t>
      </w:r>
      <w:r w:rsidR="00A91BAB">
        <w:rPr>
          <w:rFonts w:ascii="Arial Black" w:hAnsi="Arial Black"/>
          <w:sz w:val="24"/>
          <w:szCs w:val="24"/>
        </w:rPr>
        <w:t>2</w:t>
      </w:r>
    </w:p>
    <w:p w14:paraId="730D1D82" w14:textId="77777777" w:rsidR="00FB79CF" w:rsidRDefault="00FB79CF" w:rsidP="00B86628">
      <w:pPr>
        <w:pStyle w:val="NoSpacing"/>
        <w:rPr>
          <w:rFonts w:ascii="Arial Black" w:hAnsi="Arial Black"/>
          <w:sz w:val="24"/>
          <w:szCs w:val="24"/>
        </w:rPr>
      </w:pPr>
    </w:p>
    <w:p w14:paraId="0E507D42" w14:textId="77777777" w:rsidR="00FB79CF" w:rsidRPr="00AB4CDC" w:rsidRDefault="00FB79CF" w:rsidP="00FB79CF">
      <w:pPr>
        <w:rPr>
          <w:rFonts w:ascii="Arial Black" w:hAnsi="Arial Black"/>
          <w:b/>
          <w:bCs/>
          <w:sz w:val="28"/>
          <w:szCs w:val="28"/>
        </w:rPr>
      </w:pPr>
      <w:r>
        <w:rPr>
          <w:rFonts w:ascii="Arial Black" w:hAnsi="Arial Black"/>
          <w:b/>
          <w:bCs/>
          <w:sz w:val="28"/>
          <w:szCs w:val="28"/>
        </w:rPr>
        <w:t>IN: ARSON INVEST. – MOTEL ROOM FIRE STARTED SHORTLY AFTER GIRLFRIEND LEFT - MJ ROACH DIDN’T START FIRE</w:t>
      </w:r>
    </w:p>
    <w:p w14:paraId="40E206BF" w14:textId="1A90DFE7" w:rsidR="00FB79CF" w:rsidRDefault="00FB79CF" w:rsidP="00FB79CF">
      <w:pPr>
        <w:rPr>
          <w:rFonts w:ascii="Times New Roman" w:hAnsi="Times New Roman"/>
          <w:sz w:val="24"/>
          <w:szCs w:val="24"/>
        </w:rPr>
      </w:pPr>
      <w:r w:rsidRPr="00CC749D">
        <w:rPr>
          <w:rFonts w:ascii="Times New Roman" w:hAnsi="Times New Roman"/>
          <w:sz w:val="24"/>
          <w:szCs w:val="24"/>
        </w:rPr>
        <w:t xml:space="preserve">On </w:t>
      </w:r>
      <w:r>
        <w:rPr>
          <w:rFonts w:ascii="Times New Roman" w:hAnsi="Times New Roman"/>
          <w:sz w:val="24"/>
          <w:szCs w:val="24"/>
        </w:rPr>
        <w:t xml:space="preserve">July 30, 2024, in </w:t>
      </w:r>
      <w:r w:rsidRPr="00152966">
        <w:rPr>
          <w:rFonts w:ascii="Times New Roman" w:hAnsi="Times New Roman"/>
          <w:sz w:val="24"/>
          <w:szCs w:val="24"/>
          <w:u w:val="single"/>
        </w:rPr>
        <w:t>Thomas F. Dunigan, II v. State of Indiana</w:t>
      </w:r>
      <w:r>
        <w:rPr>
          <w:rFonts w:ascii="Times New Roman" w:hAnsi="Times New Roman"/>
          <w:sz w:val="24"/>
          <w:szCs w:val="24"/>
        </w:rPr>
        <w:t>, the Indiana Court of Appeals held (5 to 0) that expert witness testimony was properly admitted, based on peer reviewed articles he read about taking at least 20 minutes for a lit cigarette left on bed to cause ignition.   Defendant was sentenced to 12 years after jury convicted him of arson; trial court did not abuse its discretion “</w:t>
      </w:r>
      <w:r w:rsidRPr="00371817">
        <w:rPr>
          <w:rFonts w:ascii="Times New Roman" w:hAnsi="Times New Roman"/>
          <w:sz w:val="24"/>
          <w:szCs w:val="24"/>
        </w:rPr>
        <w:t>when it permitted an expert witness to testify that the fire in his motel room was intentionally caused by a direct flame source and not accidentally caused by a smoldering marijuana cigarette.</w:t>
      </w:r>
      <w:r>
        <w:rPr>
          <w:rFonts w:ascii="Times New Roman" w:hAnsi="Times New Roman"/>
          <w:sz w:val="24"/>
          <w:szCs w:val="24"/>
        </w:rPr>
        <w:t xml:space="preserve">” </w:t>
      </w:r>
      <w:hyperlink r:id="rId132" w:history="1">
        <w:r w:rsidRPr="00D65D84">
          <w:rPr>
            <w:rStyle w:val="Hyperlink"/>
            <w:rFonts w:ascii="Times New Roman" w:hAnsi="Times New Roman"/>
            <w:sz w:val="24"/>
            <w:szCs w:val="24"/>
          </w:rPr>
          <w:t>https://caselaw.findlaw.com/court/in-court-of-appeals/116435959.html</w:t>
        </w:r>
      </w:hyperlink>
      <w:r>
        <w:rPr>
          <w:rFonts w:ascii="Times New Roman" w:hAnsi="Times New Roman"/>
          <w:sz w:val="24"/>
          <w:szCs w:val="24"/>
        </w:rPr>
        <w:t xml:space="preserve"> </w:t>
      </w:r>
    </w:p>
    <w:p w14:paraId="3A29A8F3" w14:textId="77777777" w:rsidR="00FB79CF" w:rsidRDefault="00FB79CF" w:rsidP="00FB79CF">
      <w:pPr>
        <w:rPr>
          <w:rFonts w:ascii="Times New Roman" w:hAnsi="Times New Roman"/>
          <w:sz w:val="24"/>
          <w:szCs w:val="24"/>
        </w:rPr>
      </w:pPr>
      <w:r>
        <w:rPr>
          <w:rFonts w:ascii="Times New Roman" w:hAnsi="Times New Roman"/>
          <w:sz w:val="24"/>
          <w:szCs w:val="24"/>
        </w:rPr>
        <w:t>THE COURT HELD:</w:t>
      </w:r>
    </w:p>
    <w:p w14:paraId="6B434AC4" w14:textId="77777777" w:rsidR="00FB79CF" w:rsidRDefault="00FB79CF" w:rsidP="00FB79CF">
      <w:pPr>
        <w:ind w:left="720"/>
        <w:rPr>
          <w:rFonts w:ascii="Times New Roman" w:hAnsi="Times New Roman"/>
          <w:sz w:val="24"/>
          <w:szCs w:val="24"/>
        </w:rPr>
      </w:pPr>
      <w:r w:rsidRPr="00744265">
        <w:rPr>
          <w:rFonts w:ascii="Times New Roman" w:hAnsi="Times New Roman"/>
          <w:sz w:val="24"/>
          <w:szCs w:val="24"/>
        </w:rPr>
        <w:t>“Under Evidence Rule 702(b), the trial court had discretion to conclude that Malon's reliance on those articles and studies was sufficient to show that his opinion was supported by reliable scientific principles.</w:t>
      </w:r>
    </w:p>
    <w:p w14:paraId="0F982EE7" w14:textId="77777777" w:rsidR="00FB79CF" w:rsidRDefault="00FB79CF" w:rsidP="00FB79CF">
      <w:pPr>
        <w:ind w:left="720"/>
        <w:rPr>
          <w:rFonts w:ascii="Times New Roman" w:hAnsi="Times New Roman"/>
          <w:sz w:val="24"/>
          <w:szCs w:val="24"/>
        </w:rPr>
      </w:pPr>
      <w:r>
        <w:rPr>
          <w:rFonts w:ascii="Times New Roman" w:hAnsi="Times New Roman"/>
          <w:sz w:val="24"/>
          <w:szCs w:val="24"/>
        </w:rPr>
        <w:t>***</w:t>
      </w:r>
    </w:p>
    <w:p w14:paraId="5C4C0465" w14:textId="77777777" w:rsidR="00FB79CF" w:rsidRDefault="00FB79CF" w:rsidP="00FB79CF">
      <w:pPr>
        <w:ind w:left="720"/>
        <w:rPr>
          <w:rFonts w:ascii="Times New Roman" w:hAnsi="Times New Roman"/>
          <w:sz w:val="24"/>
          <w:szCs w:val="24"/>
        </w:rPr>
      </w:pPr>
      <w:r w:rsidRPr="00FB7826">
        <w:rPr>
          <w:rFonts w:ascii="Times New Roman" w:hAnsi="Times New Roman"/>
          <w:sz w:val="24"/>
          <w:szCs w:val="24"/>
        </w:rPr>
        <w:t xml:space="preserve">Malon testified that, in concluding that the fire was intentionally set and not caused by a smoldering marijuana cigarette, he had relied on </w:t>
      </w:r>
      <w:r>
        <w:rPr>
          <w:rFonts w:ascii="Times New Roman" w:hAnsi="Times New Roman"/>
          <w:sz w:val="24"/>
          <w:szCs w:val="24"/>
        </w:rPr>
        <w:t>‘</w:t>
      </w:r>
      <w:r w:rsidRPr="00FB7826">
        <w:rPr>
          <w:rFonts w:ascii="Times New Roman" w:hAnsi="Times New Roman"/>
          <w:sz w:val="24"/>
          <w:szCs w:val="24"/>
        </w:rPr>
        <w:t>several peer[ ]reviewed articles and studies done through NIST[,] National ․ Association of Fire Investigators[, and] Underwriters Laboratory,</w:t>
      </w:r>
      <w:r>
        <w:rPr>
          <w:rFonts w:ascii="Times New Roman" w:hAnsi="Times New Roman"/>
          <w:sz w:val="24"/>
          <w:szCs w:val="24"/>
        </w:rPr>
        <w:t>’</w:t>
      </w:r>
      <w:r w:rsidRPr="00FB7826">
        <w:rPr>
          <w:rFonts w:ascii="Times New Roman" w:hAnsi="Times New Roman"/>
          <w:sz w:val="24"/>
          <w:szCs w:val="24"/>
        </w:rPr>
        <w:t xml:space="preserve"> including </w:t>
      </w:r>
      <w:r>
        <w:rPr>
          <w:rFonts w:ascii="Times New Roman" w:hAnsi="Times New Roman"/>
          <w:sz w:val="24"/>
          <w:szCs w:val="24"/>
        </w:rPr>
        <w:t>‘</w:t>
      </w:r>
      <w:r w:rsidRPr="00FB7826">
        <w:rPr>
          <w:rFonts w:ascii="Times New Roman" w:hAnsi="Times New Roman"/>
          <w:sz w:val="24"/>
          <w:szCs w:val="24"/>
        </w:rPr>
        <w:t>one study from 2014 done by the National Association of Fire Investigators</w:t>
      </w:r>
      <w:r>
        <w:rPr>
          <w:rFonts w:ascii="Times New Roman" w:hAnsi="Times New Roman"/>
          <w:sz w:val="24"/>
          <w:szCs w:val="24"/>
        </w:rPr>
        <w:t>’</w:t>
      </w:r>
      <w:r w:rsidRPr="00FB7826">
        <w:rPr>
          <w:rFonts w:ascii="Times New Roman" w:hAnsi="Times New Roman"/>
          <w:sz w:val="24"/>
          <w:szCs w:val="24"/>
        </w:rPr>
        <w:t xml:space="preserve"> specifically addressing </w:t>
      </w:r>
      <w:r>
        <w:rPr>
          <w:rFonts w:ascii="Times New Roman" w:hAnsi="Times New Roman"/>
          <w:sz w:val="24"/>
          <w:szCs w:val="24"/>
        </w:rPr>
        <w:t>‘</w:t>
      </w:r>
      <w:r w:rsidRPr="00FB7826">
        <w:rPr>
          <w:rFonts w:ascii="Times New Roman" w:hAnsi="Times New Roman"/>
          <w:sz w:val="24"/>
          <w:szCs w:val="24"/>
        </w:rPr>
        <w:t>the propensity for hand rolled marijuana cigarettes and tube rolled marijuana cigarettes to be self-extinguished.</w:t>
      </w:r>
      <w:r>
        <w:rPr>
          <w:rFonts w:ascii="Times New Roman" w:hAnsi="Times New Roman"/>
          <w:sz w:val="24"/>
          <w:szCs w:val="24"/>
        </w:rPr>
        <w:t xml:space="preserve">’… </w:t>
      </w:r>
      <w:r w:rsidRPr="00FB7826">
        <w:rPr>
          <w:rFonts w:ascii="Times New Roman" w:hAnsi="Times New Roman"/>
          <w:sz w:val="24"/>
          <w:szCs w:val="24"/>
        </w:rPr>
        <w:t xml:space="preserve"> Tr. Under Evidence Rule 702(b), the trial court had discretion to conclude that Malon's reliance on those articles and studies was sufficient to show that his opinion was supported by reliable scientific principles. </w:t>
      </w:r>
    </w:p>
    <w:p w14:paraId="6B518489" w14:textId="77777777" w:rsidR="00FB79CF" w:rsidRDefault="00FB79CF" w:rsidP="00FB79CF">
      <w:pPr>
        <w:ind w:left="720"/>
        <w:rPr>
          <w:rFonts w:ascii="Times New Roman" w:hAnsi="Times New Roman"/>
          <w:sz w:val="24"/>
          <w:szCs w:val="24"/>
        </w:rPr>
      </w:pPr>
      <w:r>
        <w:rPr>
          <w:rFonts w:ascii="Times New Roman" w:hAnsi="Times New Roman"/>
          <w:sz w:val="24"/>
          <w:szCs w:val="24"/>
        </w:rPr>
        <w:t>[He testified.]</w:t>
      </w:r>
    </w:p>
    <w:p w14:paraId="3156608D" w14:textId="77777777" w:rsidR="00FB79CF" w:rsidRPr="005260B5" w:rsidRDefault="00FB79CF" w:rsidP="00FB79CF">
      <w:pPr>
        <w:ind w:left="1440"/>
        <w:rPr>
          <w:rFonts w:ascii="Times New Roman" w:hAnsi="Times New Roman"/>
          <w:sz w:val="24"/>
          <w:szCs w:val="24"/>
        </w:rPr>
      </w:pPr>
      <w:r>
        <w:rPr>
          <w:rFonts w:ascii="Times New Roman" w:hAnsi="Times New Roman"/>
          <w:sz w:val="24"/>
          <w:szCs w:val="24"/>
        </w:rPr>
        <w:t>[S]</w:t>
      </w:r>
      <w:proofErr w:type="spellStart"/>
      <w:r w:rsidRPr="00265615">
        <w:rPr>
          <w:rFonts w:ascii="Times New Roman" w:hAnsi="Times New Roman"/>
          <w:sz w:val="24"/>
          <w:szCs w:val="24"/>
        </w:rPr>
        <w:t>tudies</w:t>
      </w:r>
      <w:proofErr w:type="spellEnd"/>
      <w:r w:rsidRPr="00265615">
        <w:rPr>
          <w:rFonts w:ascii="Times New Roman" w:hAnsi="Times New Roman"/>
          <w:sz w:val="24"/>
          <w:szCs w:val="24"/>
        </w:rPr>
        <w:t xml:space="preserve"> on smoldering fires indicate that the transition from a smoldering fire to an exothermic chemical reaction, which is where we see flaming fire, is twenty (20) minutes to several hours. Um, there was one </w:t>
      </w:r>
      <w:proofErr w:type="gramStart"/>
      <w:r w:rsidRPr="00265615">
        <w:rPr>
          <w:rFonts w:ascii="Times New Roman" w:hAnsi="Times New Roman"/>
          <w:sz w:val="24"/>
          <w:szCs w:val="24"/>
        </w:rPr>
        <w:t>particular peer</w:t>
      </w:r>
      <w:proofErr w:type="gramEnd"/>
      <w:r w:rsidRPr="00265615">
        <w:rPr>
          <w:rFonts w:ascii="Times New Roman" w:hAnsi="Times New Roman"/>
          <w:sz w:val="24"/>
          <w:szCs w:val="24"/>
        </w:rPr>
        <w:t xml:space="preserve"> reviewed article that stated twenty-two (22) minutes on average. But, um, according to other research, smoldering fire, making that transition is twenty (20) minutes to several hours.</w:t>
      </w:r>
      <w:r>
        <w:rPr>
          <w:rFonts w:ascii="Times New Roman" w:hAnsi="Times New Roman"/>
          <w:sz w:val="24"/>
          <w:szCs w:val="24"/>
        </w:rPr>
        <w:t>”</w:t>
      </w:r>
    </w:p>
    <w:p w14:paraId="72AC7CCC" w14:textId="27B58085" w:rsidR="00C32834" w:rsidRDefault="00C32834" w:rsidP="00C32834">
      <w:pPr>
        <w:rPr>
          <w:rFonts w:ascii="Times New Roman" w:hAnsi="Times New Roman"/>
          <w:b/>
          <w:bCs/>
          <w:sz w:val="24"/>
          <w:szCs w:val="24"/>
        </w:rPr>
      </w:pPr>
      <w:r w:rsidRPr="00FB7826">
        <w:rPr>
          <w:rFonts w:ascii="Times New Roman" w:hAnsi="Times New Roman"/>
          <w:b/>
          <w:bCs/>
          <w:sz w:val="24"/>
          <w:szCs w:val="24"/>
        </w:rPr>
        <w:t xml:space="preserve">Legal Lesson Learned: </w:t>
      </w:r>
      <w:r w:rsidR="00DA5BB7">
        <w:rPr>
          <w:rFonts w:ascii="Times New Roman" w:hAnsi="Times New Roman"/>
          <w:b/>
          <w:bCs/>
          <w:sz w:val="24"/>
          <w:szCs w:val="24"/>
        </w:rPr>
        <w:t>Expert</w:t>
      </w:r>
      <w:r w:rsidR="00C93B37">
        <w:rPr>
          <w:rFonts w:ascii="Times New Roman" w:hAnsi="Times New Roman"/>
          <w:b/>
          <w:bCs/>
          <w:sz w:val="24"/>
          <w:szCs w:val="24"/>
        </w:rPr>
        <w:t xml:space="preserve"> may offer opinion on cause of fire</w:t>
      </w:r>
      <w:r w:rsidR="003A0275">
        <w:rPr>
          <w:rFonts w:ascii="Times New Roman" w:hAnsi="Times New Roman"/>
          <w:b/>
          <w:bCs/>
          <w:sz w:val="24"/>
          <w:szCs w:val="24"/>
        </w:rPr>
        <w:t>.</w:t>
      </w:r>
      <w:r>
        <w:rPr>
          <w:rFonts w:ascii="Times New Roman" w:hAnsi="Times New Roman"/>
          <w:b/>
          <w:bCs/>
          <w:sz w:val="24"/>
          <w:szCs w:val="24"/>
        </w:rPr>
        <w:t xml:space="preserve"> </w:t>
      </w:r>
    </w:p>
    <w:p w14:paraId="5E3CA175" w14:textId="77777777" w:rsidR="00C32834" w:rsidRPr="002D4090" w:rsidRDefault="00C32834" w:rsidP="00C32834">
      <w:pPr>
        <w:rPr>
          <w:rFonts w:ascii="Times New Roman" w:hAnsi="Times New Roman"/>
          <w:sz w:val="24"/>
          <w:szCs w:val="24"/>
        </w:rPr>
      </w:pPr>
      <w:r w:rsidRPr="002D4090">
        <w:rPr>
          <w:rFonts w:ascii="Times New Roman" w:hAnsi="Times New Roman"/>
          <w:b/>
          <w:bCs/>
          <w:sz w:val="24"/>
          <w:szCs w:val="24"/>
        </w:rPr>
        <w:tab/>
      </w:r>
      <w:r w:rsidRPr="002D4090">
        <w:rPr>
          <w:rFonts w:ascii="Times New Roman" w:hAnsi="Times New Roman"/>
          <w:sz w:val="24"/>
          <w:szCs w:val="24"/>
        </w:rPr>
        <w:t>Note: Rule 702 provides:</w:t>
      </w:r>
    </w:p>
    <w:p w14:paraId="570AEF60" w14:textId="77777777" w:rsidR="00C32834" w:rsidRPr="002D4090" w:rsidRDefault="00C32834" w:rsidP="00C32834">
      <w:pPr>
        <w:ind w:left="720"/>
        <w:rPr>
          <w:rFonts w:ascii="Times New Roman" w:hAnsi="Times New Roman"/>
          <w:sz w:val="24"/>
          <w:szCs w:val="24"/>
        </w:rPr>
      </w:pPr>
      <w:r w:rsidRPr="002D4090">
        <w:rPr>
          <w:rFonts w:ascii="Times New Roman" w:hAnsi="Times New Roman"/>
          <w:sz w:val="24"/>
          <w:szCs w:val="24"/>
        </w:rPr>
        <w:t>A witness who is qualified as an expert by knowledge, skill, experience, training, or education may testify in the form of an opinion or otherwise if the proponent demonstrates to the court that it is more likely than not that:</w:t>
      </w:r>
    </w:p>
    <w:p w14:paraId="598E28F7" w14:textId="77777777" w:rsidR="00C32834" w:rsidRPr="002D4090" w:rsidRDefault="00C32834" w:rsidP="00C32834">
      <w:pPr>
        <w:ind w:left="720"/>
        <w:rPr>
          <w:rFonts w:ascii="Times New Roman" w:hAnsi="Times New Roman"/>
          <w:sz w:val="24"/>
          <w:szCs w:val="24"/>
        </w:rPr>
      </w:pPr>
      <w:r w:rsidRPr="002D4090">
        <w:rPr>
          <w:rFonts w:ascii="Times New Roman" w:hAnsi="Times New Roman"/>
          <w:b/>
          <w:bCs/>
          <w:sz w:val="24"/>
          <w:szCs w:val="24"/>
        </w:rPr>
        <w:t>(a)</w:t>
      </w:r>
      <w:r w:rsidRPr="002D4090">
        <w:rPr>
          <w:rFonts w:ascii="Times New Roman" w:hAnsi="Times New Roman"/>
          <w:sz w:val="24"/>
          <w:szCs w:val="24"/>
        </w:rPr>
        <w:t xml:space="preserve"> the expert’s scientific, technical, or other specialized knowledge will help the trier of fact to understand the evidence or to determine a fact in issue;</w:t>
      </w:r>
    </w:p>
    <w:p w14:paraId="3DC66592" w14:textId="77777777" w:rsidR="00C32834" w:rsidRPr="002D4090" w:rsidRDefault="00C32834" w:rsidP="00C32834">
      <w:pPr>
        <w:ind w:left="720"/>
        <w:rPr>
          <w:rFonts w:ascii="Times New Roman" w:hAnsi="Times New Roman"/>
          <w:sz w:val="24"/>
          <w:szCs w:val="24"/>
        </w:rPr>
      </w:pPr>
      <w:r w:rsidRPr="002D4090">
        <w:rPr>
          <w:rFonts w:ascii="Times New Roman" w:hAnsi="Times New Roman"/>
          <w:b/>
          <w:bCs/>
          <w:sz w:val="24"/>
          <w:szCs w:val="24"/>
        </w:rPr>
        <w:t>(b)</w:t>
      </w:r>
      <w:r w:rsidRPr="002D4090">
        <w:rPr>
          <w:rFonts w:ascii="Times New Roman" w:hAnsi="Times New Roman"/>
          <w:sz w:val="24"/>
          <w:szCs w:val="24"/>
        </w:rPr>
        <w:t xml:space="preserve"> the testimony is based on sufficient facts or data;</w:t>
      </w:r>
    </w:p>
    <w:p w14:paraId="7F3363B5" w14:textId="77777777" w:rsidR="00C32834" w:rsidRPr="002D4090" w:rsidRDefault="00C32834" w:rsidP="00C32834">
      <w:pPr>
        <w:ind w:firstLine="720"/>
        <w:rPr>
          <w:rFonts w:ascii="Times New Roman" w:hAnsi="Times New Roman"/>
          <w:sz w:val="24"/>
          <w:szCs w:val="24"/>
        </w:rPr>
      </w:pPr>
      <w:r w:rsidRPr="002D4090">
        <w:rPr>
          <w:rFonts w:ascii="Times New Roman" w:hAnsi="Times New Roman"/>
          <w:b/>
          <w:bCs/>
          <w:sz w:val="24"/>
          <w:szCs w:val="24"/>
        </w:rPr>
        <w:t>(c)</w:t>
      </w:r>
      <w:r w:rsidRPr="002D4090">
        <w:rPr>
          <w:rFonts w:ascii="Times New Roman" w:hAnsi="Times New Roman"/>
          <w:sz w:val="24"/>
          <w:szCs w:val="24"/>
        </w:rPr>
        <w:t xml:space="preserve"> the testimony is the product of reliable principles and methods; and</w:t>
      </w:r>
    </w:p>
    <w:p w14:paraId="71851681" w14:textId="77777777" w:rsidR="00C32834" w:rsidRPr="002D4090" w:rsidRDefault="00C32834" w:rsidP="00C32834">
      <w:pPr>
        <w:ind w:left="720"/>
        <w:rPr>
          <w:rFonts w:ascii="Times New Roman" w:hAnsi="Times New Roman"/>
          <w:sz w:val="24"/>
          <w:szCs w:val="24"/>
        </w:rPr>
      </w:pPr>
      <w:r w:rsidRPr="002D4090">
        <w:rPr>
          <w:rFonts w:ascii="Times New Roman" w:hAnsi="Times New Roman"/>
          <w:b/>
          <w:bCs/>
          <w:sz w:val="24"/>
          <w:szCs w:val="24"/>
        </w:rPr>
        <w:t>(d)</w:t>
      </w:r>
      <w:r w:rsidRPr="002D4090">
        <w:rPr>
          <w:rFonts w:ascii="Times New Roman" w:hAnsi="Times New Roman"/>
          <w:sz w:val="24"/>
          <w:szCs w:val="24"/>
        </w:rPr>
        <w:t xml:space="preserve"> the expert's opinion reflects a reliable application of the principles and methods to the facts of the case. </w:t>
      </w:r>
      <w:hyperlink r:id="rId133" w:history="1">
        <w:r w:rsidRPr="002D4090">
          <w:rPr>
            <w:rStyle w:val="Hyperlink"/>
            <w:rFonts w:ascii="Times New Roman" w:hAnsi="Times New Roman"/>
            <w:sz w:val="24"/>
            <w:szCs w:val="24"/>
          </w:rPr>
          <w:t>https://www.law.cornell.edu/rules/fre/rule_702</w:t>
        </w:r>
      </w:hyperlink>
      <w:r w:rsidRPr="002D4090">
        <w:rPr>
          <w:rFonts w:ascii="Times New Roman" w:hAnsi="Times New Roman"/>
          <w:sz w:val="24"/>
          <w:szCs w:val="24"/>
        </w:rPr>
        <w:t xml:space="preserve"> </w:t>
      </w:r>
    </w:p>
    <w:p w14:paraId="6E42A8BE" w14:textId="77777777" w:rsidR="00FB79CF" w:rsidRDefault="00FB79CF" w:rsidP="00B86628">
      <w:pPr>
        <w:pStyle w:val="NoSpacing"/>
        <w:rPr>
          <w:rFonts w:ascii="Arial Black" w:hAnsi="Arial Black"/>
          <w:sz w:val="24"/>
          <w:szCs w:val="24"/>
        </w:rPr>
      </w:pPr>
    </w:p>
    <w:p w14:paraId="28782CDC" w14:textId="62DF6EE9" w:rsidR="00316842" w:rsidRDefault="005178A4" w:rsidP="00B86628">
      <w:pPr>
        <w:pStyle w:val="NoSpacing"/>
        <w:rPr>
          <w:rFonts w:ascii="Arial Black" w:hAnsi="Arial Black"/>
          <w:sz w:val="24"/>
          <w:szCs w:val="24"/>
        </w:rPr>
      </w:pPr>
      <w:r>
        <w:rPr>
          <w:rFonts w:ascii="Arial Black" w:hAnsi="Arial Black"/>
          <w:sz w:val="24"/>
          <w:szCs w:val="24"/>
        </w:rPr>
        <w:t>1-151</w:t>
      </w:r>
    </w:p>
    <w:p w14:paraId="7D33C8D1" w14:textId="77777777" w:rsidR="005178A4" w:rsidRPr="00600BA8" w:rsidRDefault="005178A4" w:rsidP="005178A4">
      <w:pPr>
        <w:rPr>
          <w:rFonts w:ascii="Arial Black" w:hAnsi="Arial Black"/>
          <w:sz w:val="28"/>
        </w:rPr>
      </w:pPr>
      <w:r>
        <w:rPr>
          <w:rFonts w:ascii="Arial Black" w:hAnsi="Arial Black"/>
          <w:sz w:val="28"/>
        </w:rPr>
        <w:t xml:space="preserve">TN: FIREWORKS – CITY MGR / FIRE CHIEF - CANCELLED DUE TO P’s LAWSUIT – FRIVOLOUS CASES - Ps ATTY PAY $19,739 </w:t>
      </w:r>
    </w:p>
    <w:p w14:paraId="46AC0691" w14:textId="77777777" w:rsidR="005178A4" w:rsidRPr="005178A4" w:rsidRDefault="005178A4" w:rsidP="005178A4">
      <w:pPr>
        <w:pStyle w:val="NoSpacing"/>
        <w:rPr>
          <w:rFonts w:ascii="Times New Roman" w:hAnsi="Times New Roman"/>
          <w:sz w:val="24"/>
          <w:szCs w:val="24"/>
        </w:rPr>
      </w:pPr>
      <w:r w:rsidRPr="005178A4">
        <w:rPr>
          <w:rFonts w:ascii="Times New Roman" w:hAnsi="Times New Roman"/>
          <w:sz w:val="24"/>
          <w:szCs w:val="24"/>
        </w:rPr>
        <w:t xml:space="preserve">On July 25, 2024, in </w:t>
      </w:r>
      <w:r w:rsidRPr="005178A4">
        <w:rPr>
          <w:rFonts w:ascii="Times New Roman" w:hAnsi="Times New Roman"/>
          <w:sz w:val="24"/>
          <w:szCs w:val="24"/>
          <w:u w:val="single"/>
        </w:rPr>
        <w:t>Glenn Whiting v. City of Athens, Tennessee, et al.</w:t>
      </w:r>
      <w:r w:rsidRPr="005178A4">
        <w:rPr>
          <w:rFonts w:ascii="Times New Roman" w:hAnsi="Times New Roman"/>
          <w:sz w:val="24"/>
          <w:szCs w:val="24"/>
        </w:rPr>
        <w:t>, the U.S. Court of Appeals for the 6</w:t>
      </w:r>
      <w:r w:rsidRPr="005178A4">
        <w:rPr>
          <w:rFonts w:ascii="Times New Roman" w:hAnsi="Times New Roman"/>
          <w:sz w:val="24"/>
          <w:szCs w:val="24"/>
          <w:vertAlign w:val="superscript"/>
        </w:rPr>
        <w:t>th</w:t>
      </w:r>
      <w:r w:rsidRPr="005178A4">
        <w:rPr>
          <w:rFonts w:ascii="Times New Roman" w:hAnsi="Times New Roman"/>
          <w:sz w:val="24"/>
          <w:szCs w:val="24"/>
        </w:rPr>
        <w:t xml:space="preserve"> Circuit (Cincinnati) held (3 to 0; unpublished decision) that U.S. District Court properly granted the defense motion to dismiss the three lawsuits filed by resident.  The 6</w:t>
      </w:r>
      <w:r w:rsidRPr="005178A4">
        <w:rPr>
          <w:rFonts w:ascii="Times New Roman" w:hAnsi="Times New Roman"/>
          <w:sz w:val="24"/>
          <w:szCs w:val="24"/>
          <w:vertAlign w:val="superscript"/>
        </w:rPr>
        <w:t>th</w:t>
      </w:r>
      <w:r w:rsidRPr="005178A4">
        <w:rPr>
          <w:rFonts w:ascii="Times New Roman" w:hAnsi="Times New Roman"/>
          <w:sz w:val="24"/>
          <w:szCs w:val="24"/>
        </w:rPr>
        <w:t xml:space="preserve"> Circuit wrote: “The district court correctly determined that Keith’s conduct was not sufficiently severe to support Whiting’s retaliation claim. Whiting alleged that Keith informed local news organizations that Whiting’s lawsuit related to the fireworks show was the reason that the 2023 display was canceled. We have repeatedly held that statements made regarding publicly available information do not constitute adverse actions.”  </w:t>
      </w:r>
      <w:hyperlink r:id="rId134" w:history="1">
        <w:r w:rsidRPr="005178A4">
          <w:rPr>
            <w:rStyle w:val="Hyperlink"/>
            <w:rFonts w:ascii="Times New Roman" w:hAnsi="Times New Roman"/>
            <w:sz w:val="24"/>
            <w:szCs w:val="24"/>
          </w:rPr>
          <w:t>https://www.opn.ca6.uscourts.gov/opinions.pdf/24a0323n-06.pdf</w:t>
        </w:r>
      </w:hyperlink>
      <w:r w:rsidRPr="005178A4">
        <w:rPr>
          <w:rFonts w:ascii="Times New Roman" w:hAnsi="Times New Roman"/>
          <w:sz w:val="24"/>
          <w:szCs w:val="24"/>
        </w:rPr>
        <w:t xml:space="preserve"> </w:t>
      </w:r>
    </w:p>
    <w:p w14:paraId="5084C044" w14:textId="77777777" w:rsidR="005178A4" w:rsidRPr="005178A4" w:rsidRDefault="005178A4" w:rsidP="005178A4">
      <w:pPr>
        <w:pStyle w:val="NoSpacing"/>
        <w:rPr>
          <w:rFonts w:ascii="Times New Roman" w:hAnsi="Times New Roman"/>
          <w:sz w:val="24"/>
          <w:szCs w:val="24"/>
        </w:rPr>
      </w:pPr>
    </w:p>
    <w:p w14:paraId="0FD0D782"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On  September 24, 2024, the U.S. District Court judge in Knoxville then granted City’s motion for attorney fees and ordered resident’s attorney to personally pay $19,739.80 for filing frivolous lawsuits.  The Court wrote: “According to Plaintiff, ABC obtained this information on May 18, 2023, from Defendant Mike Keith, who served as interim City Manager at the time. (Id. at 1, 3–4.) Before speaking with ABC, Keith had met with Defendant Brandon Ainsworth, then the City Fire Chief, who allegedly ‘informed Keith that he did not want to . . . order [City] firefighters to provided [sic</w:t>
      </w:r>
      <w:proofErr w:type="gramStart"/>
      <w:r w:rsidRPr="005178A4">
        <w:rPr>
          <w:rFonts w:ascii="Times New Roman" w:hAnsi="Times New Roman"/>
          <w:sz w:val="24"/>
          <w:szCs w:val="24"/>
        </w:rPr>
        <w:t>] emergency</w:t>
      </w:r>
      <w:proofErr w:type="gramEnd"/>
      <w:r w:rsidRPr="005178A4">
        <w:rPr>
          <w:rFonts w:ascii="Times New Roman" w:hAnsi="Times New Roman"/>
          <w:sz w:val="24"/>
          <w:szCs w:val="24"/>
        </w:rPr>
        <w:t xml:space="preserve"> protection at the 2023 Independence Day event. (Id. at 2, 4.) Plaintiff’s suit over the Event included City firefighters as defendants.” </w:t>
      </w:r>
      <w:hyperlink r:id="rId135" w:history="1">
        <w:r w:rsidRPr="005178A4">
          <w:rPr>
            <w:rStyle w:val="Hyperlink"/>
            <w:rFonts w:ascii="Times New Roman" w:hAnsi="Times New Roman"/>
            <w:sz w:val="24"/>
            <w:szCs w:val="24"/>
          </w:rPr>
          <w:t>https://cases.justia.com/federal/district-courts/tennessee/tnedce/3:2023cv00220/110152/57/0.pdf?ts=1727268755</w:t>
        </w:r>
      </w:hyperlink>
    </w:p>
    <w:p w14:paraId="59E851CB" w14:textId="77777777" w:rsidR="005178A4" w:rsidRPr="005178A4" w:rsidRDefault="005178A4" w:rsidP="005178A4">
      <w:pPr>
        <w:pStyle w:val="NoSpacing"/>
        <w:rPr>
          <w:rFonts w:ascii="Times New Roman" w:hAnsi="Times New Roman"/>
          <w:sz w:val="24"/>
          <w:szCs w:val="24"/>
        </w:rPr>
      </w:pPr>
    </w:p>
    <w:p w14:paraId="4096C218" w14:textId="77777777" w:rsidR="005178A4" w:rsidRPr="005178A4" w:rsidRDefault="005178A4" w:rsidP="005178A4">
      <w:pPr>
        <w:pStyle w:val="NoSpacing"/>
        <w:rPr>
          <w:rFonts w:ascii="Times New Roman" w:hAnsi="Times New Roman"/>
          <w:sz w:val="24"/>
          <w:szCs w:val="24"/>
        </w:rPr>
      </w:pPr>
    </w:p>
    <w:p w14:paraId="72A0FB64" w14:textId="77777777" w:rsidR="005178A4" w:rsidRPr="005178A4" w:rsidRDefault="005178A4" w:rsidP="005178A4">
      <w:pPr>
        <w:pStyle w:val="NoSpacing"/>
        <w:rPr>
          <w:rFonts w:ascii="Times New Roman" w:hAnsi="Times New Roman"/>
          <w:sz w:val="24"/>
          <w:szCs w:val="24"/>
        </w:rPr>
      </w:pPr>
      <w:r w:rsidRPr="005178A4">
        <w:rPr>
          <w:rFonts w:ascii="Times New Roman" w:hAnsi="Times New Roman"/>
          <w:sz w:val="24"/>
          <w:szCs w:val="24"/>
        </w:rPr>
        <w:t>THE 6</w:t>
      </w:r>
      <w:r w:rsidRPr="005178A4">
        <w:rPr>
          <w:rFonts w:ascii="Times New Roman" w:hAnsi="Times New Roman"/>
          <w:sz w:val="24"/>
          <w:szCs w:val="24"/>
          <w:vertAlign w:val="superscript"/>
        </w:rPr>
        <w:t>th</w:t>
      </w:r>
      <w:r w:rsidRPr="005178A4">
        <w:rPr>
          <w:rFonts w:ascii="Times New Roman" w:hAnsi="Times New Roman"/>
          <w:sz w:val="24"/>
          <w:szCs w:val="24"/>
        </w:rPr>
        <w:t xml:space="preserve"> CIRCUIT HELD:</w:t>
      </w:r>
    </w:p>
    <w:p w14:paraId="24D92204" w14:textId="77777777" w:rsidR="005178A4" w:rsidRPr="005178A4" w:rsidRDefault="005178A4" w:rsidP="005178A4">
      <w:pPr>
        <w:pStyle w:val="NoSpacing"/>
        <w:rPr>
          <w:rFonts w:ascii="Times New Roman" w:hAnsi="Times New Roman"/>
          <w:sz w:val="24"/>
          <w:szCs w:val="24"/>
        </w:rPr>
      </w:pPr>
    </w:p>
    <w:p w14:paraId="38FAC281" w14:textId="77777777" w:rsidR="005178A4" w:rsidRPr="005178A4" w:rsidRDefault="005178A4" w:rsidP="005178A4">
      <w:pPr>
        <w:pStyle w:val="NoSpacing"/>
        <w:ind w:firstLine="720"/>
        <w:rPr>
          <w:rFonts w:ascii="Times New Roman" w:hAnsi="Times New Roman"/>
          <w:sz w:val="24"/>
          <w:szCs w:val="24"/>
        </w:rPr>
      </w:pPr>
      <w:r w:rsidRPr="005178A4">
        <w:rPr>
          <w:rFonts w:ascii="Times New Roman" w:hAnsi="Times New Roman"/>
          <w:sz w:val="24"/>
          <w:szCs w:val="24"/>
        </w:rPr>
        <w:t>“The allegations in this case are based on events occurring several months after Whiting</w:t>
      </w:r>
    </w:p>
    <w:p w14:paraId="07049A8B"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 xml:space="preserve">filed his initial lawsuit. In May 2023, local news organizations reported that the </w:t>
      </w:r>
      <w:proofErr w:type="gramStart"/>
      <w:r w:rsidRPr="005178A4">
        <w:rPr>
          <w:rFonts w:ascii="Times New Roman" w:hAnsi="Times New Roman"/>
          <w:sz w:val="24"/>
          <w:szCs w:val="24"/>
        </w:rPr>
        <w:t>City</w:t>
      </w:r>
      <w:proofErr w:type="gramEnd"/>
      <w:r w:rsidRPr="005178A4">
        <w:rPr>
          <w:rFonts w:ascii="Times New Roman" w:hAnsi="Times New Roman"/>
          <w:sz w:val="24"/>
          <w:szCs w:val="24"/>
        </w:rPr>
        <w:t xml:space="preserve"> planned to cancel its fireworks show because of ‘[a] man’s pending lawsuit against several city officials over what happened at last year’s event.’ Id., </w:t>
      </w:r>
      <w:proofErr w:type="spellStart"/>
      <w:r w:rsidRPr="005178A4">
        <w:rPr>
          <w:rFonts w:ascii="Times New Roman" w:hAnsi="Times New Roman"/>
          <w:sz w:val="24"/>
          <w:szCs w:val="24"/>
        </w:rPr>
        <w:t>PageID</w:t>
      </w:r>
      <w:proofErr w:type="spellEnd"/>
      <w:r w:rsidRPr="005178A4">
        <w:rPr>
          <w:rFonts w:ascii="Times New Roman" w:hAnsi="Times New Roman"/>
          <w:sz w:val="24"/>
          <w:szCs w:val="24"/>
        </w:rPr>
        <w:t xml:space="preserve"> 4. One news organization, ABC Channel 9, included a link to Whiting’s Complaint in the original action in its report. Keith was cited as the source of the information. After news of the litigation was publicized, Whiting claimed that members of the Athens community began pressuring him to drop the lawsuit. He claimed that he was contacted directly by </w:t>
      </w:r>
      <w:proofErr w:type="gramStart"/>
      <w:r w:rsidRPr="005178A4">
        <w:rPr>
          <w:rFonts w:ascii="Times New Roman" w:hAnsi="Times New Roman"/>
          <w:sz w:val="24"/>
          <w:szCs w:val="24"/>
        </w:rPr>
        <w:t>Athens</w:t>
      </w:r>
      <w:proofErr w:type="gramEnd"/>
      <w:r w:rsidRPr="005178A4">
        <w:rPr>
          <w:rFonts w:ascii="Times New Roman" w:hAnsi="Times New Roman"/>
          <w:sz w:val="24"/>
          <w:szCs w:val="24"/>
        </w:rPr>
        <w:t xml:space="preserve"> citizens and business owners, and that other community members posted on social media ‘blaming [him] for the cancellation and urging him to dismiss his cases.’ Id., </w:t>
      </w:r>
      <w:proofErr w:type="spellStart"/>
      <w:r w:rsidRPr="005178A4">
        <w:rPr>
          <w:rFonts w:ascii="Times New Roman" w:hAnsi="Times New Roman"/>
          <w:sz w:val="24"/>
          <w:szCs w:val="24"/>
        </w:rPr>
        <w:t>PageID</w:t>
      </w:r>
      <w:proofErr w:type="spellEnd"/>
      <w:r w:rsidRPr="005178A4">
        <w:rPr>
          <w:rFonts w:ascii="Times New Roman" w:hAnsi="Times New Roman"/>
          <w:sz w:val="24"/>
          <w:szCs w:val="24"/>
        </w:rPr>
        <w:t xml:space="preserve"> 4–5. He alleged that the public’s response to news of his lawsuits ‘impaired [his] reputation and standing in the community’ and caused him ‘personal humiliation.’ Id., </w:t>
      </w:r>
      <w:proofErr w:type="spellStart"/>
      <w:r w:rsidRPr="005178A4">
        <w:rPr>
          <w:rFonts w:ascii="Times New Roman" w:hAnsi="Times New Roman"/>
          <w:sz w:val="24"/>
          <w:szCs w:val="24"/>
        </w:rPr>
        <w:t>PageID</w:t>
      </w:r>
      <w:proofErr w:type="spellEnd"/>
      <w:r w:rsidRPr="005178A4">
        <w:rPr>
          <w:rFonts w:ascii="Times New Roman" w:hAnsi="Times New Roman"/>
          <w:sz w:val="24"/>
          <w:szCs w:val="24"/>
        </w:rPr>
        <w:t xml:space="preserve"> 19.</w:t>
      </w:r>
    </w:p>
    <w:p w14:paraId="56A98B81" w14:textId="77777777" w:rsidR="005178A4" w:rsidRPr="005178A4" w:rsidRDefault="005178A4" w:rsidP="005178A4">
      <w:pPr>
        <w:pStyle w:val="NoSpacing"/>
        <w:ind w:left="720"/>
        <w:rPr>
          <w:rFonts w:ascii="Times New Roman" w:hAnsi="Times New Roman"/>
          <w:sz w:val="24"/>
          <w:szCs w:val="24"/>
        </w:rPr>
      </w:pPr>
    </w:p>
    <w:p w14:paraId="4159B8DE"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w:t>
      </w:r>
    </w:p>
    <w:p w14:paraId="2A15F0CB" w14:textId="77777777" w:rsidR="005178A4" w:rsidRPr="005178A4" w:rsidRDefault="005178A4" w:rsidP="005178A4">
      <w:pPr>
        <w:pStyle w:val="NoSpacing"/>
        <w:ind w:left="720"/>
        <w:rPr>
          <w:rFonts w:ascii="Times New Roman" w:hAnsi="Times New Roman"/>
          <w:sz w:val="24"/>
          <w:szCs w:val="24"/>
        </w:rPr>
      </w:pPr>
    </w:p>
    <w:p w14:paraId="26C374EA"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Whiting filed a third lawsuit several weeks later (No. 3:23-CV-221), claiming that the City Mayor lied about settlement negotiations between Whiting and the City. The district court granted the defendants’ motion to dismiss all claims in Case No. 3:23-CV-221 in November 2023.</w:t>
      </w:r>
    </w:p>
    <w:p w14:paraId="3368EE54" w14:textId="77777777" w:rsidR="005178A4" w:rsidRPr="005178A4" w:rsidRDefault="005178A4" w:rsidP="005178A4">
      <w:pPr>
        <w:pStyle w:val="NoSpacing"/>
        <w:ind w:left="720"/>
        <w:rPr>
          <w:rFonts w:ascii="Times New Roman" w:hAnsi="Times New Roman"/>
          <w:sz w:val="24"/>
          <w:szCs w:val="24"/>
        </w:rPr>
      </w:pPr>
    </w:p>
    <w:p w14:paraId="5B8BE4A1"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w:t>
      </w:r>
    </w:p>
    <w:p w14:paraId="20CEE5B5" w14:textId="77777777" w:rsidR="005178A4" w:rsidRPr="005178A4" w:rsidRDefault="005178A4" w:rsidP="005178A4">
      <w:pPr>
        <w:pStyle w:val="NoSpacing"/>
        <w:rPr>
          <w:rFonts w:ascii="Times New Roman" w:hAnsi="Times New Roman"/>
          <w:sz w:val="24"/>
          <w:szCs w:val="24"/>
        </w:rPr>
      </w:pPr>
    </w:p>
    <w:p w14:paraId="3C4F15D7"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The court dismissed Whiting’s retaliation claim because he did not show that Keith’s statements to the media constituted an adverse action that would deter an average person from continuing to exercise his First Amendment rights.</w:t>
      </w:r>
    </w:p>
    <w:p w14:paraId="41059EB7" w14:textId="77777777" w:rsidR="005178A4" w:rsidRPr="005178A4" w:rsidRDefault="005178A4" w:rsidP="005178A4">
      <w:pPr>
        <w:pStyle w:val="NoSpacing"/>
        <w:ind w:left="720"/>
        <w:rPr>
          <w:rFonts w:ascii="Times New Roman" w:hAnsi="Times New Roman"/>
          <w:sz w:val="24"/>
          <w:szCs w:val="24"/>
        </w:rPr>
      </w:pPr>
    </w:p>
    <w:p w14:paraId="0FA6A282"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w:t>
      </w:r>
    </w:p>
    <w:p w14:paraId="06B50868" w14:textId="77777777" w:rsidR="005178A4" w:rsidRPr="005178A4" w:rsidRDefault="005178A4" w:rsidP="005178A4">
      <w:pPr>
        <w:pStyle w:val="NoSpacing"/>
        <w:rPr>
          <w:rFonts w:ascii="Times New Roman" w:hAnsi="Times New Roman"/>
          <w:sz w:val="24"/>
          <w:szCs w:val="24"/>
        </w:rPr>
      </w:pPr>
    </w:p>
    <w:p w14:paraId="6A103394" w14:textId="77777777" w:rsidR="005178A4" w:rsidRPr="005178A4" w:rsidRDefault="005178A4" w:rsidP="005178A4">
      <w:pPr>
        <w:pStyle w:val="NoSpacing"/>
        <w:ind w:firstLine="720"/>
        <w:rPr>
          <w:rFonts w:ascii="Times New Roman" w:hAnsi="Times New Roman"/>
          <w:sz w:val="24"/>
          <w:szCs w:val="24"/>
        </w:rPr>
      </w:pPr>
      <w:r w:rsidRPr="005178A4">
        <w:rPr>
          <w:rFonts w:ascii="Times New Roman" w:hAnsi="Times New Roman"/>
          <w:sz w:val="24"/>
          <w:szCs w:val="24"/>
        </w:rPr>
        <w:t>The district court correctly determined that Keith’s conduct was not sufficiently severe to</w:t>
      </w:r>
    </w:p>
    <w:p w14:paraId="0A979EA5" w14:textId="77777777" w:rsidR="005178A4" w:rsidRPr="005178A4" w:rsidRDefault="005178A4" w:rsidP="005178A4">
      <w:pPr>
        <w:pStyle w:val="NoSpacing"/>
        <w:ind w:left="720"/>
        <w:rPr>
          <w:rFonts w:ascii="Times New Roman" w:hAnsi="Times New Roman"/>
          <w:sz w:val="24"/>
          <w:szCs w:val="24"/>
        </w:rPr>
      </w:pPr>
      <w:r w:rsidRPr="005178A4">
        <w:rPr>
          <w:rFonts w:ascii="Times New Roman" w:hAnsi="Times New Roman"/>
          <w:sz w:val="24"/>
          <w:szCs w:val="24"/>
        </w:rPr>
        <w:t xml:space="preserve">support Whiting’s retaliation claim. Whiting alleged that Keith informed local news organizations that Whiting’s lawsuit related to the fireworks show was the reason that the 2023 display was canceled. We have repeatedly held that statements made regarding publicly available information do not constitute adverse actions. See, e.g., McComas v. Bd. of Educ., Rock Hill Loc. Sch. Dist., 422 F. </w:t>
      </w:r>
      <w:proofErr w:type="spellStart"/>
      <w:r w:rsidRPr="005178A4">
        <w:rPr>
          <w:rFonts w:ascii="Times New Roman" w:hAnsi="Times New Roman"/>
          <w:sz w:val="24"/>
          <w:szCs w:val="24"/>
        </w:rPr>
        <w:t>App’x</w:t>
      </w:r>
      <w:proofErr w:type="spellEnd"/>
      <w:r w:rsidRPr="005178A4">
        <w:rPr>
          <w:rFonts w:ascii="Times New Roman" w:hAnsi="Times New Roman"/>
          <w:sz w:val="24"/>
          <w:szCs w:val="24"/>
        </w:rPr>
        <w:t xml:space="preserve"> 462, 469 (6th Cir. 2011) (superintendent’s statement at School Board meeting regarding the plaintiff’s role in a fight at school was not an adverse action); </w:t>
      </w:r>
      <w:proofErr w:type="spellStart"/>
      <w:r w:rsidRPr="005178A4">
        <w:rPr>
          <w:rFonts w:ascii="Times New Roman" w:hAnsi="Times New Roman"/>
          <w:sz w:val="24"/>
          <w:szCs w:val="24"/>
        </w:rPr>
        <w:t>Mezibov</w:t>
      </w:r>
      <w:proofErr w:type="spellEnd"/>
      <w:r w:rsidRPr="005178A4">
        <w:rPr>
          <w:rFonts w:ascii="Times New Roman" w:hAnsi="Times New Roman"/>
          <w:sz w:val="24"/>
          <w:szCs w:val="24"/>
        </w:rPr>
        <w:t xml:space="preserve"> v. Allen, 411 F.3d 712, 722–23 (6th Cir. 2005) (prosecutor’s statements to local news media that the plaintiff “is a bad attorney, that he is inexperienced, and that he was putting his own interests before those of his client” are insufficiently adverse); Mattox v. City of Forest Park, 183 F.3d 515, 522–23 (6</w:t>
      </w:r>
      <w:r w:rsidRPr="005178A4">
        <w:rPr>
          <w:rFonts w:ascii="Times New Roman" w:hAnsi="Times New Roman"/>
          <w:sz w:val="24"/>
          <w:szCs w:val="24"/>
          <w:vertAlign w:val="superscript"/>
        </w:rPr>
        <w:t>th</w:t>
      </w:r>
      <w:r w:rsidRPr="005178A4">
        <w:rPr>
          <w:rFonts w:ascii="Times New Roman" w:hAnsi="Times New Roman"/>
          <w:sz w:val="24"/>
          <w:szCs w:val="24"/>
        </w:rPr>
        <w:t xml:space="preserve"> Cir. 1999) (publishing a report detailing plaintiffs’ efforts at investigating the City’s Fire Department, which included “revealing personal statements,” was not an adverse action).”</w:t>
      </w:r>
    </w:p>
    <w:p w14:paraId="3D3A35EE" w14:textId="77777777" w:rsidR="005178A4" w:rsidRDefault="005178A4" w:rsidP="00B86628">
      <w:pPr>
        <w:pStyle w:val="NoSpacing"/>
        <w:rPr>
          <w:rFonts w:ascii="Arial Black" w:hAnsi="Arial Black"/>
          <w:sz w:val="24"/>
          <w:szCs w:val="24"/>
        </w:rPr>
      </w:pPr>
    </w:p>
    <w:p w14:paraId="7C7947EF" w14:textId="77777777" w:rsidR="00A91BAB" w:rsidRPr="00502261" w:rsidRDefault="00A91BAB" w:rsidP="00A91BAB">
      <w:pPr>
        <w:pStyle w:val="NoSpacing"/>
        <w:rPr>
          <w:rFonts w:ascii="Times New Roman" w:hAnsi="Times New Roman"/>
          <w:b/>
          <w:bCs/>
          <w:sz w:val="24"/>
          <w:szCs w:val="24"/>
        </w:rPr>
      </w:pPr>
      <w:r w:rsidRPr="00502261">
        <w:rPr>
          <w:rFonts w:ascii="Times New Roman" w:hAnsi="Times New Roman"/>
          <w:b/>
          <w:bCs/>
          <w:sz w:val="24"/>
          <w:szCs w:val="24"/>
        </w:rPr>
        <w:t xml:space="preserve">Legal Lesson Learned: The City Manager can lawfully inform the Press why the fireworks were cancelled.  </w:t>
      </w:r>
    </w:p>
    <w:p w14:paraId="64FA96D5" w14:textId="77777777" w:rsidR="00A91BAB" w:rsidRPr="00502261" w:rsidRDefault="00A91BAB" w:rsidP="00B86628">
      <w:pPr>
        <w:pStyle w:val="NoSpacing"/>
        <w:rPr>
          <w:rFonts w:ascii="Times New Roman" w:hAnsi="Times New Roman"/>
          <w:sz w:val="24"/>
          <w:szCs w:val="24"/>
        </w:rPr>
      </w:pPr>
    </w:p>
    <w:p w14:paraId="1AD0E1D5" w14:textId="77777777" w:rsidR="00316842" w:rsidRDefault="00316842" w:rsidP="00B86628">
      <w:pPr>
        <w:pStyle w:val="NoSpacing"/>
        <w:rPr>
          <w:rFonts w:ascii="Arial Black" w:hAnsi="Arial Black"/>
          <w:sz w:val="24"/>
          <w:szCs w:val="24"/>
        </w:rPr>
      </w:pPr>
    </w:p>
    <w:p w14:paraId="2B2D8B97" w14:textId="77777777" w:rsidR="005178A4" w:rsidRDefault="005178A4" w:rsidP="00B86628">
      <w:pPr>
        <w:pStyle w:val="NoSpacing"/>
        <w:rPr>
          <w:rFonts w:ascii="Arial Black" w:hAnsi="Arial Black"/>
          <w:sz w:val="24"/>
          <w:szCs w:val="24"/>
        </w:rPr>
      </w:pPr>
    </w:p>
    <w:p w14:paraId="71664E6F" w14:textId="77777777" w:rsidR="005178A4" w:rsidRDefault="005178A4" w:rsidP="00B86628">
      <w:pPr>
        <w:pStyle w:val="NoSpacing"/>
        <w:rPr>
          <w:rFonts w:ascii="Arial Black" w:hAnsi="Arial Black"/>
          <w:sz w:val="24"/>
          <w:szCs w:val="24"/>
        </w:rPr>
      </w:pPr>
    </w:p>
    <w:p w14:paraId="1E4FFF6A" w14:textId="77777777" w:rsidR="005178A4" w:rsidRDefault="005178A4" w:rsidP="00B86628">
      <w:pPr>
        <w:pStyle w:val="NoSpacing"/>
        <w:rPr>
          <w:rFonts w:ascii="Arial Black" w:hAnsi="Arial Black"/>
          <w:sz w:val="24"/>
          <w:szCs w:val="24"/>
        </w:rPr>
      </w:pPr>
    </w:p>
    <w:p w14:paraId="22384F59" w14:textId="7CDBFB98" w:rsidR="004E46C8" w:rsidRDefault="004E46C8" w:rsidP="00B86628">
      <w:pPr>
        <w:pStyle w:val="NoSpacing"/>
        <w:rPr>
          <w:rFonts w:ascii="Arial Black" w:hAnsi="Arial Black"/>
          <w:sz w:val="24"/>
          <w:szCs w:val="24"/>
        </w:rPr>
      </w:pPr>
      <w:r>
        <w:rPr>
          <w:rFonts w:ascii="Arial Black" w:hAnsi="Arial Black"/>
          <w:sz w:val="24"/>
          <w:szCs w:val="24"/>
        </w:rPr>
        <w:t>1-150</w:t>
      </w:r>
    </w:p>
    <w:p w14:paraId="14D7BD6C" w14:textId="714010B3" w:rsidR="004E46C8" w:rsidRPr="00704A1E" w:rsidRDefault="004E46C8" w:rsidP="004E46C8">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VT: PROPERTY OWNER - 3 RVs – HOMELESS LIV</w:t>
      </w:r>
      <w:r w:rsidR="003016F0">
        <w:rPr>
          <w:rFonts w:ascii="Arial Black" w:hAnsi="Arial Black"/>
          <w:b/>
          <w:bCs/>
          <w:color w:val="454545"/>
          <w:sz w:val="28"/>
          <w:szCs w:val="28"/>
          <w:shd w:val="clear" w:color="auto" w:fill="FFFFFF"/>
        </w:rPr>
        <w:t>ING</w:t>
      </w:r>
      <w:r>
        <w:rPr>
          <w:rFonts w:ascii="Arial Black" w:hAnsi="Arial Black"/>
          <w:b/>
          <w:bCs/>
          <w:color w:val="454545"/>
          <w:sz w:val="28"/>
          <w:szCs w:val="28"/>
          <w:shd w:val="clear" w:color="auto" w:fill="FFFFFF"/>
        </w:rPr>
        <w:t xml:space="preserve"> THERE – VIOLATION OF HEALTH AND SAFETY CODE</w:t>
      </w:r>
    </w:p>
    <w:p w14:paraId="338A839E" w14:textId="51B19CF7" w:rsidR="004E46C8" w:rsidRPr="008F6524" w:rsidRDefault="004E46C8" w:rsidP="004E46C8">
      <w:pPr>
        <w:pStyle w:val="NormalWeb"/>
        <w:rPr>
          <w:color w:val="454545"/>
          <w:shd w:val="clear" w:color="auto" w:fill="FFFFFF"/>
        </w:rPr>
      </w:pPr>
      <w:r w:rsidRPr="008F6524">
        <w:rPr>
          <w:shd w:val="clear" w:color="auto" w:fill="FFFFFF"/>
        </w:rPr>
        <w:t xml:space="preserve">On July 12, 2024, </w:t>
      </w:r>
      <w:proofErr w:type="gramStart"/>
      <w:r w:rsidRPr="008F6524">
        <w:rPr>
          <w:color w:val="454545"/>
          <w:u w:val="single"/>
          <w:shd w:val="clear" w:color="auto" w:fill="FFFFFF"/>
        </w:rPr>
        <w:t>In</w:t>
      </w:r>
      <w:proofErr w:type="gramEnd"/>
      <w:r w:rsidRPr="008F6524">
        <w:rPr>
          <w:color w:val="454545"/>
          <w:u w:val="single"/>
          <w:shd w:val="clear" w:color="auto" w:fill="FFFFFF"/>
        </w:rPr>
        <w:t xml:space="preserve"> re Kurt </w:t>
      </w:r>
      <w:proofErr w:type="spellStart"/>
      <w:r w:rsidRPr="008F6524">
        <w:rPr>
          <w:color w:val="454545"/>
          <w:u w:val="single"/>
          <w:shd w:val="clear" w:color="auto" w:fill="FFFFFF"/>
        </w:rPr>
        <w:t>Daims</w:t>
      </w:r>
      <w:proofErr w:type="spellEnd"/>
      <w:r w:rsidRPr="008F6524">
        <w:rPr>
          <w:color w:val="454545"/>
          <w:u w:val="single"/>
          <w:shd w:val="clear" w:color="auto" w:fill="FFFFFF"/>
        </w:rPr>
        <w:t>/Brattleboro Common Sense</w:t>
      </w:r>
      <w:r w:rsidRPr="008F6524">
        <w:rPr>
          <w:b/>
          <w:bCs/>
          <w:color w:val="454545"/>
          <w:shd w:val="clear" w:color="auto" w:fill="FFFFFF"/>
        </w:rPr>
        <w:t xml:space="preserve">, </w:t>
      </w:r>
      <w:r w:rsidRPr="008F6524">
        <w:rPr>
          <w:color w:val="454545"/>
          <w:shd w:val="clear" w:color="auto" w:fill="FFFFFF"/>
        </w:rPr>
        <w:t xml:space="preserve">they Vermont Supreme Court held (3 to 0) that ordinance was lawful and applied to RVs, rejecting the property owner’s argument that RVs are not “regular residents.” The property owner was given </w:t>
      </w:r>
      <w:r w:rsidR="00CE10E8" w:rsidRPr="008F6524">
        <w:rPr>
          <w:color w:val="454545"/>
          <w:shd w:val="clear" w:color="auto" w:fill="FFFFFF"/>
        </w:rPr>
        <w:t>two-day</w:t>
      </w:r>
      <w:r w:rsidRPr="008F6524">
        <w:rPr>
          <w:color w:val="454545"/>
          <w:shd w:val="clear" w:color="auto" w:fill="FFFFFF"/>
        </w:rPr>
        <w:t xml:space="preserve"> hearing before the Vermont Board of Health, which upheld the eight code citations.  The Vermont Supreme Court agreed that code applied to RVs. “</w:t>
      </w:r>
      <w:r w:rsidRPr="008F6524">
        <w:rPr>
          <w:shd w:val="clear" w:color="auto" w:fill="FFFFFF"/>
        </w:rPr>
        <w:t xml:space="preserve">We agree with the Board that the RVs should be considered regular residences and that appellants must comply with the code here. The RVs were offered to community members as living units.” </w:t>
      </w:r>
      <w:hyperlink r:id="rId136" w:history="1">
        <w:r w:rsidRPr="008F6524">
          <w:rPr>
            <w:rStyle w:val="Hyperlink"/>
            <w:shd w:val="clear" w:color="auto" w:fill="FFFFFF"/>
          </w:rPr>
          <w:t>https://casetext.com/case/in-re-daims</w:t>
        </w:r>
      </w:hyperlink>
      <w:r w:rsidRPr="008F6524">
        <w:rPr>
          <w:shd w:val="clear" w:color="auto" w:fill="FFFFFF"/>
        </w:rPr>
        <w:t xml:space="preserve"> </w:t>
      </w:r>
    </w:p>
    <w:p w14:paraId="63E824C1" w14:textId="77777777" w:rsidR="004E46C8" w:rsidRDefault="004E46C8" w:rsidP="004E46C8">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5BD6F094" w14:textId="77777777" w:rsidR="004E46C8" w:rsidRDefault="004E46C8" w:rsidP="004E46C8">
      <w:pPr>
        <w:pStyle w:val="NoSpacing"/>
        <w:rPr>
          <w:rFonts w:ascii="Times New Roman" w:hAnsi="Times New Roman"/>
          <w:sz w:val="24"/>
          <w:szCs w:val="24"/>
          <w:shd w:val="clear" w:color="auto" w:fill="FFFFFF"/>
        </w:rPr>
      </w:pPr>
    </w:p>
    <w:p w14:paraId="5FD85041" w14:textId="77777777" w:rsidR="004E46C8" w:rsidRPr="00CB28D7" w:rsidRDefault="004E46C8" w:rsidP="004E46C8">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 xml:space="preserve">Appellants argue that the RVs should not be subject to the code because they are not a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regular residence.</w:t>
      </w:r>
      <w:r>
        <w:rPr>
          <w:rFonts w:ascii="Times New Roman" w:hAnsi="Times New Roman"/>
          <w:sz w:val="24"/>
          <w:szCs w:val="24"/>
          <w:shd w:val="clear" w:color="auto" w:fill="FFFFFF"/>
        </w:rPr>
        <w:t xml:space="preserve">’ </w:t>
      </w:r>
      <w:r w:rsidRPr="006F5AC1">
        <w:rPr>
          <w:rFonts w:ascii="Times New Roman" w:hAnsi="Times New Roman"/>
          <w:sz w:val="24"/>
          <w:szCs w:val="24"/>
          <w:shd w:val="clear" w:color="auto" w:fill="FFFFFF"/>
        </w:rPr>
        <w:t xml:space="preserve"> See RRHHS Code § 3.1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This Rental Housing Health and Safety Code shall apply to all rented dwellings, dwelling units, rooming houses, rooming units, and mobile home lots used as a regular residence.</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6F5AC1">
        <w:rPr>
          <w:rFonts w:ascii="Times New Roman" w:hAnsi="Times New Roman"/>
          <w:sz w:val="24"/>
          <w:szCs w:val="24"/>
          <w:shd w:val="clear" w:color="auto" w:fill="FFFFFF"/>
        </w:rPr>
        <w:t xml:space="preserve">We agree with the Board that the RVs should be considered regular residences and that appellants must comply with the code here. The RVs were offered to community members as living units. They fit within the definition of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rooming units.</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 xml:space="preserve"> See </w:t>
      </w:r>
      <w:r w:rsidRPr="006F5AC1">
        <w:rPr>
          <w:rFonts w:ascii="Times New Roman" w:hAnsi="Times New Roman"/>
          <w:i/>
          <w:iCs/>
          <w:sz w:val="24"/>
          <w:szCs w:val="24"/>
          <w:shd w:val="clear" w:color="auto" w:fill="FFFFFF"/>
        </w:rPr>
        <w:t>id</w:t>
      </w:r>
      <w:r w:rsidRPr="006F5AC1">
        <w:rPr>
          <w:rFonts w:ascii="Times New Roman" w:hAnsi="Times New Roman"/>
          <w:sz w:val="24"/>
          <w:szCs w:val="24"/>
          <w:shd w:val="clear" w:color="auto" w:fill="FFFFFF"/>
        </w:rPr>
        <w:t xml:space="preserve">. § 4.20 (defining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rooming unit</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 xml:space="preserve"> as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room or group of rooms let to an individual or household for use as living and sleeping, but not for cooking or eating purposes, whether or not, common cooking facilities are made available</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 xml:space="preserve">); </w:t>
      </w:r>
      <w:r w:rsidRPr="006F5AC1">
        <w:rPr>
          <w:rFonts w:ascii="Times New Roman" w:hAnsi="Times New Roman"/>
          <w:i/>
          <w:iCs/>
          <w:sz w:val="24"/>
          <w:szCs w:val="24"/>
          <w:shd w:val="clear" w:color="auto" w:fill="FFFFFF"/>
        </w:rPr>
        <w:t>id</w:t>
      </w:r>
      <w:r w:rsidRPr="006F5AC1">
        <w:rPr>
          <w:rFonts w:ascii="Times New Roman" w:hAnsi="Times New Roman"/>
          <w:sz w:val="24"/>
          <w:szCs w:val="24"/>
          <w:shd w:val="clear" w:color="auto" w:fill="FFFFFF"/>
        </w:rPr>
        <w:t xml:space="preserve">. § 4.19 (defining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rooming house</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 xml:space="preserve"> as </w:t>
      </w:r>
      <w:r>
        <w:rPr>
          <w:rFonts w:ascii="Times New Roman" w:hAnsi="Times New Roman"/>
          <w:sz w:val="24"/>
          <w:szCs w:val="24"/>
          <w:shd w:val="clear" w:color="auto" w:fill="FFFFFF"/>
        </w:rPr>
        <w:t>‘</w:t>
      </w:r>
      <w:r w:rsidRPr="006F5AC1">
        <w:rPr>
          <w:rFonts w:ascii="Times New Roman" w:hAnsi="Times New Roman"/>
          <w:sz w:val="24"/>
          <w:szCs w:val="24"/>
          <w:shd w:val="clear" w:color="auto" w:fill="FFFFFF"/>
        </w:rPr>
        <w:t>any dwelling or part thereof containing one or more rooming units and/or one or more dormitory rooms in which space is let by the owner or operator to one or more persons who are not immediate family members of the owner).</w:t>
      </w:r>
      <w:r>
        <w:rPr>
          <w:rFonts w:ascii="Times New Roman" w:hAnsi="Times New Roman"/>
          <w:sz w:val="24"/>
          <w:szCs w:val="24"/>
          <w:shd w:val="clear" w:color="auto" w:fill="FFFFFF"/>
        </w:rPr>
        <w:t>”</w:t>
      </w:r>
    </w:p>
    <w:p w14:paraId="3B851741" w14:textId="77777777" w:rsidR="00316842" w:rsidRDefault="00316842" w:rsidP="00316842">
      <w:pPr>
        <w:pStyle w:val="NoSpacing"/>
        <w:rPr>
          <w:rFonts w:ascii="Times New Roman" w:hAnsi="Times New Roman"/>
          <w:b/>
          <w:bCs/>
          <w:sz w:val="24"/>
          <w:szCs w:val="24"/>
          <w:shd w:val="clear" w:color="auto" w:fill="FFFFFF"/>
        </w:rPr>
      </w:pPr>
    </w:p>
    <w:p w14:paraId="2E89FB93" w14:textId="0B8BC083" w:rsidR="00316842" w:rsidRDefault="00316842" w:rsidP="00316842">
      <w:pPr>
        <w:pStyle w:val="NoSpacing"/>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Legal Lesson Learned: The property owner must comply with Health &amp; Safety Code. </w:t>
      </w:r>
    </w:p>
    <w:p w14:paraId="4BBF2CA0" w14:textId="77777777" w:rsidR="008F287B" w:rsidRDefault="008F287B" w:rsidP="00316842">
      <w:pPr>
        <w:pStyle w:val="NoSpacing"/>
        <w:rPr>
          <w:rFonts w:ascii="Times New Roman" w:hAnsi="Times New Roman"/>
          <w:b/>
          <w:bCs/>
          <w:sz w:val="24"/>
          <w:szCs w:val="24"/>
          <w:shd w:val="clear" w:color="auto" w:fill="FFFFFF"/>
        </w:rPr>
      </w:pPr>
    </w:p>
    <w:p w14:paraId="308C7055" w14:textId="77777777" w:rsidR="008F287B" w:rsidRDefault="008F287B" w:rsidP="008F287B">
      <w:pPr>
        <w:pStyle w:val="NormalWeb"/>
        <w:shd w:val="clear" w:color="auto" w:fill="FFFFFF"/>
        <w:spacing w:before="0" w:beforeAutospacing="0"/>
        <w:ind w:firstLine="720"/>
      </w:pPr>
      <w:r>
        <w:t xml:space="preserve">Note: See this article on the case. </w:t>
      </w:r>
    </w:p>
    <w:p w14:paraId="16BE2D18" w14:textId="77777777" w:rsidR="008F287B" w:rsidRPr="00F32EC7" w:rsidRDefault="008F287B" w:rsidP="008F287B">
      <w:pPr>
        <w:pStyle w:val="NormalWeb"/>
        <w:shd w:val="clear" w:color="auto" w:fill="FFFFFF"/>
        <w:spacing w:before="0"/>
        <w:ind w:left="720"/>
      </w:pPr>
      <w:r w:rsidRPr="00F32EC7">
        <w:t xml:space="preserve">July 23, 20243: Vermont Supreme Court rejects RV housing appeal in Brattleboro </w:t>
      </w:r>
      <w:hyperlink r:id="rId137" w:history="1">
        <w:r w:rsidRPr="00F32EC7">
          <w:rPr>
            <w:rStyle w:val="Hyperlink"/>
          </w:rPr>
          <w:t>https://www.reformer.com/local-news/vermont-supreme-court-rejects-rv-housing-appeal-in-brattleboro/article_1aa8b844-48f7-11ef-b1d5-5784c0449d3d.html</w:t>
        </w:r>
      </w:hyperlink>
      <w:r w:rsidRPr="00F32EC7">
        <w:t xml:space="preserve"> </w:t>
      </w:r>
    </w:p>
    <w:p w14:paraId="5FBC256D" w14:textId="77777777" w:rsidR="008F287B" w:rsidRPr="009C51DC" w:rsidRDefault="008F287B" w:rsidP="00316842">
      <w:pPr>
        <w:pStyle w:val="NoSpacing"/>
        <w:rPr>
          <w:rFonts w:ascii="Times New Roman" w:hAnsi="Times New Roman"/>
          <w:b/>
          <w:bCs/>
          <w:sz w:val="24"/>
          <w:szCs w:val="24"/>
          <w:shd w:val="clear" w:color="auto" w:fill="FFFFFF"/>
        </w:rPr>
      </w:pPr>
    </w:p>
    <w:p w14:paraId="59E08193" w14:textId="77777777" w:rsidR="004E46C8" w:rsidRDefault="004E46C8" w:rsidP="00B86628">
      <w:pPr>
        <w:pStyle w:val="NoSpacing"/>
        <w:rPr>
          <w:rFonts w:ascii="Arial Black" w:hAnsi="Arial Black"/>
          <w:sz w:val="24"/>
          <w:szCs w:val="24"/>
        </w:rPr>
      </w:pPr>
    </w:p>
    <w:p w14:paraId="34071149" w14:textId="77777777" w:rsidR="004E46C8" w:rsidRDefault="004E46C8" w:rsidP="00B86628">
      <w:pPr>
        <w:pStyle w:val="NoSpacing"/>
        <w:rPr>
          <w:rFonts w:ascii="Arial Black" w:hAnsi="Arial Black"/>
          <w:sz w:val="24"/>
          <w:szCs w:val="24"/>
        </w:rPr>
      </w:pPr>
    </w:p>
    <w:p w14:paraId="73C7002F" w14:textId="6548C6FF" w:rsidR="006A0C24" w:rsidRDefault="006A0C24" w:rsidP="00B86628">
      <w:pPr>
        <w:pStyle w:val="NoSpacing"/>
        <w:rPr>
          <w:rFonts w:ascii="Arial Black" w:hAnsi="Arial Black"/>
          <w:sz w:val="24"/>
          <w:szCs w:val="24"/>
        </w:rPr>
      </w:pPr>
      <w:r>
        <w:rPr>
          <w:rFonts w:ascii="Arial Black" w:hAnsi="Arial Black"/>
          <w:sz w:val="24"/>
          <w:szCs w:val="24"/>
        </w:rPr>
        <w:t>1-149</w:t>
      </w:r>
    </w:p>
    <w:p w14:paraId="2B17F572" w14:textId="77777777" w:rsidR="006A0C24" w:rsidRDefault="006A0C24" w:rsidP="00B86628">
      <w:pPr>
        <w:pStyle w:val="NoSpacing"/>
        <w:rPr>
          <w:rFonts w:ascii="Arial Black" w:hAnsi="Arial Black"/>
          <w:sz w:val="24"/>
          <w:szCs w:val="24"/>
        </w:rPr>
      </w:pPr>
    </w:p>
    <w:p w14:paraId="30431926" w14:textId="77777777" w:rsidR="002C7131" w:rsidRPr="00134702" w:rsidRDefault="002C7131" w:rsidP="002C7131">
      <w:pPr>
        <w:rPr>
          <w:rFonts w:ascii="Arial Black" w:hAnsi="Arial Black"/>
          <w:sz w:val="28"/>
          <w:szCs w:val="28"/>
        </w:rPr>
      </w:pPr>
      <w:r>
        <w:rPr>
          <w:rFonts w:ascii="Arial Black" w:hAnsi="Arial Black"/>
          <w:sz w:val="28"/>
          <w:szCs w:val="28"/>
        </w:rPr>
        <w:t>U.S. SUP. CT:  ARIZONA PRISONER DEATH SENTENCE REINSTATED – FED. HABEAS CORPUS DENIED</w:t>
      </w:r>
    </w:p>
    <w:p w14:paraId="19288EF7" w14:textId="77777777" w:rsidR="002C7131" w:rsidRDefault="002C7131" w:rsidP="002C7131">
      <w:pPr>
        <w:pStyle w:val="NoSpacing"/>
        <w:rPr>
          <w:rFonts w:ascii="Times New Roman" w:hAnsi="Times New Roman"/>
          <w:sz w:val="24"/>
          <w:szCs w:val="24"/>
        </w:rPr>
      </w:pPr>
      <w:r>
        <w:rPr>
          <w:rFonts w:ascii="Times New Roman" w:hAnsi="Times New Roman"/>
          <w:sz w:val="24"/>
          <w:szCs w:val="24"/>
        </w:rPr>
        <w:t xml:space="preserve">On May 30, 2024, in </w:t>
      </w:r>
      <w:r w:rsidRPr="00CB67D4">
        <w:rPr>
          <w:rFonts w:ascii="Times New Roman" w:hAnsi="Times New Roman"/>
          <w:sz w:val="24"/>
          <w:szCs w:val="24"/>
          <w:u w:val="single"/>
        </w:rPr>
        <w:t>Ryan Thornell, Director, Arizona Department of Corrections v. Danny Lee</w:t>
      </w:r>
      <w:r>
        <w:rPr>
          <w:rFonts w:ascii="Times New Roman" w:hAnsi="Times New Roman"/>
          <w:sz w:val="24"/>
          <w:szCs w:val="24"/>
        </w:rPr>
        <w:t>, the United States Supreme Court held (6 to 3) that the 3-judge panel of the U.S. Court of Appeals for 9</w:t>
      </w:r>
      <w:r w:rsidRPr="00A00284">
        <w:rPr>
          <w:rFonts w:ascii="Times New Roman" w:hAnsi="Times New Roman"/>
          <w:sz w:val="24"/>
          <w:szCs w:val="24"/>
          <w:vertAlign w:val="superscript"/>
        </w:rPr>
        <w:t>th</w:t>
      </w:r>
      <w:r>
        <w:rPr>
          <w:rFonts w:ascii="Times New Roman" w:hAnsi="Times New Roman"/>
          <w:sz w:val="24"/>
          <w:szCs w:val="24"/>
        </w:rPr>
        <w:t xml:space="preserve"> Circuit (San Francisco) incorrectly granted habeas corpus relief. The defendant stole guns from a home of a person with whom he was drinking to fund a trip to </w:t>
      </w:r>
      <w:proofErr w:type="gramStart"/>
      <w:r>
        <w:rPr>
          <w:rFonts w:ascii="Times New Roman" w:hAnsi="Times New Roman"/>
          <w:sz w:val="24"/>
          <w:szCs w:val="24"/>
        </w:rPr>
        <w:t>Las Vegas, and</w:t>
      </w:r>
      <w:proofErr w:type="gramEnd"/>
      <w:r>
        <w:rPr>
          <w:rFonts w:ascii="Times New Roman" w:hAnsi="Times New Roman"/>
          <w:sz w:val="24"/>
          <w:szCs w:val="24"/>
        </w:rPr>
        <w:t xml:space="preserve"> killed was a baseball bat three in the home, including 7-year-old girl. He was convicted by a jury in Arizona state court, and at sentencing hearing his defense counsel called as an expert witness a C</w:t>
      </w:r>
      <w:r w:rsidRPr="000C25FE">
        <w:rPr>
          <w:rFonts w:ascii="Times New Roman" w:hAnsi="Times New Roman"/>
          <w:sz w:val="24"/>
          <w:szCs w:val="24"/>
        </w:rPr>
        <w:t>ourt-appointed forensic</w:t>
      </w:r>
      <w:r>
        <w:rPr>
          <w:rFonts w:ascii="Times New Roman" w:hAnsi="Times New Roman"/>
          <w:sz w:val="24"/>
          <w:szCs w:val="24"/>
        </w:rPr>
        <w:t xml:space="preserve"> </w:t>
      </w:r>
      <w:r w:rsidRPr="000C25FE">
        <w:rPr>
          <w:rFonts w:ascii="Times New Roman" w:hAnsi="Times New Roman"/>
          <w:sz w:val="24"/>
          <w:szCs w:val="24"/>
        </w:rPr>
        <w:t>psychiatrist</w:t>
      </w:r>
      <w:r>
        <w:rPr>
          <w:rFonts w:ascii="Times New Roman" w:hAnsi="Times New Roman"/>
          <w:sz w:val="24"/>
          <w:szCs w:val="24"/>
        </w:rPr>
        <w:t xml:space="preserve"> who testified about the defendant’s troubled childhood.  The State judge sentenced him to death, affirmed on appeal by Arizona Supreme Court.  He then sought habeas corpus relied in Federal Court, and a U.S. District Court judge had held a hearing about the defendant’s terrible </w:t>
      </w:r>
      <w:proofErr w:type="gramStart"/>
      <w:r>
        <w:rPr>
          <w:rFonts w:ascii="Times New Roman" w:hAnsi="Times New Roman"/>
          <w:sz w:val="24"/>
          <w:szCs w:val="24"/>
        </w:rPr>
        <w:t>childhood, and</w:t>
      </w:r>
      <w:proofErr w:type="gramEnd"/>
      <w:r>
        <w:rPr>
          <w:rFonts w:ascii="Times New Roman" w:hAnsi="Times New Roman"/>
          <w:sz w:val="24"/>
          <w:szCs w:val="24"/>
        </w:rPr>
        <w:t xml:space="preserve"> then refused habeas corpus. The U.S. Supreme Court majority (Justice Samuel Alito wrote opinion): </w:t>
      </w:r>
    </w:p>
    <w:p w14:paraId="44014A22" w14:textId="77777777" w:rsidR="002C7131" w:rsidRDefault="002C7131" w:rsidP="002C7131">
      <w:pPr>
        <w:pStyle w:val="NoSpacing"/>
        <w:rPr>
          <w:rFonts w:ascii="Times New Roman" w:hAnsi="Times New Roman"/>
          <w:sz w:val="24"/>
          <w:szCs w:val="24"/>
        </w:rPr>
      </w:pPr>
    </w:p>
    <w:p w14:paraId="0085E13B" w14:textId="77777777" w:rsidR="002C7131" w:rsidRPr="00CB6CEF" w:rsidRDefault="002C7131" w:rsidP="002C7131">
      <w:pPr>
        <w:pStyle w:val="NoSpacing"/>
        <w:ind w:left="720"/>
        <w:rPr>
          <w:rFonts w:ascii="Times New Roman" w:hAnsi="Times New Roman"/>
          <w:sz w:val="24"/>
          <w:szCs w:val="24"/>
        </w:rPr>
      </w:pPr>
      <w:r>
        <w:rPr>
          <w:rFonts w:ascii="Times New Roman" w:hAnsi="Times New Roman"/>
          <w:sz w:val="24"/>
          <w:szCs w:val="24"/>
        </w:rPr>
        <w:t>“</w:t>
      </w:r>
      <w:r w:rsidRPr="00CB6CEF">
        <w:rPr>
          <w:rFonts w:ascii="Times New Roman" w:hAnsi="Times New Roman"/>
          <w:sz w:val="24"/>
          <w:szCs w:val="24"/>
        </w:rPr>
        <w:t>Jones also alleges significant childhood abuse. Brief for</w:t>
      </w:r>
      <w:r>
        <w:rPr>
          <w:rFonts w:ascii="Times New Roman" w:hAnsi="Times New Roman"/>
          <w:sz w:val="24"/>
          <w:szCs w:val="24"/>
        </w:rPr>
        <w:t xml:space="preserve"> </w:t>
      </w:r>
      <w:r w:rsidRPr="00CB6CEF">
        <w:rPr>
          <w:rFonts w:ascii="Times New Roman" w:hAnsi="Times New Roman"/>
          <w:sz w:val="24"/>
          <w:szCs w:val="24"/>
        </w:rPr>
        <w:t>Respondent 44. Again, however, Arizona courts had heard</w:t>
      </w:r>
      <w:r>
        <w:rPr>
          <w:rFonts w:ascii="Times New Roman" w:hAnsi="Times New Roman"/>
          <w:sz w:val="24"/>
          <w:szCs w:val="24"/>
        </w:rPr>
        <w:t xml:space="preserve"> </w:t>
      </w:r>
      <w:r w:rsidRPr="00CB6CEF">
        <w:rPr>
          <w:rFonts w:ascii="Times New Roman" w:hAnsi="Times New Roman"/>
          <w:sz w:val="24"/>
          <w:szCs w:val="24"/>
        </w:rPr>
        <w:t>much on this topic. They knew that Jones’s father abused</w:t>
      </w:r>
      <w:r>
        <w:rPr>
          <w:rFonts w:ascii="Times New Roman" w:hAnsi="Times New Roman"/>
          <w:sz w:val="24"/>
          <w:szCs w:val="24"/>
        </w:rPr>
        <w:t xml:space="preserve"> </w:t>
      </w:r>
      <w:r w:rsidRPr="00CB6CEF">
        <w:rPr>
          <w:rFonts w:ascii="Times New Roman" w:hAnsi="Times New Roman"/>
          <w:sz w:val="24"/>
          <w:szCs w:val="24"/>
        </w:rPr>
        <w:t xml:space="preserve">his pregnant mother, that his first stepfather beat </w:t>
      </w:r>
      <w:proofErr w:type="gramStart"/>
      <w:r w:rsidRPr="00CB6CEF">
        <w:rPr>
          <w:rFonts w:ascii="Times New Roman" w:hAnsi="Times New Roman"/>
          <w:sz w:val="24"/>
          <w:szCs w:val="24"/>
        </w:rPr>
        <w:t>both of</w:t>
      </w:r>
      <w:r>
        <w:rPr>
          <w:rFonts w:ascii="Times New Roman" w:hAnsi="Times New Roman"/>
          <w:sz w:val="24"/>
          <w:szCs w:val="24"/>
        </w:rPr>
        <w:t xml:space="preserve"> </w:t>
      </w:r>
      <w:r w:rsidRPr="00CB6CEF">
        <w:rPr>
          <w:rFonts w:ascii="Times New Roman" w:hAnsi="Times New Roman"/>
          <w:sz w:val="24"/>
          <w:szCs w:val="24"/>
        </w:rPr>
        <w:t>them</w:t>
      </w:r>
      <w:proofErr w:type="gramEnd"/>
      <w:r w:rsidRPr="00CB6CEF">
        <w:rPr>
          <w:rFonts w:ascii="Times New Roman" w:hAnsi="Times New Roman"/>
          <w:sz w:val="24"/>
          <w:szCs w:val="24"/>
        </w:rPr>
        <w:t>, and that his grandfather introduced him to drugs at</w:t>
      </w:r>
      <w:r>
        <w:rPr>
          <w:rFonts w:ascii="Times New Roman" w:hAnsi="Times New Roman"/>
          <w:sz w:val="24"/>
          <w:szCs w:val="24"/>
        </w:rPr>
        <w:t xml:space="preserve"> </w:t>
      </w:r>
      <w:r w:rsidRPr="00CB6CEF">
        <w:rPr>
          <w:rFonts w:ascii="Times New Roman" w:hAnsi="Times New Roman"/>
          <w:sz w:val="24"/>
          <w:szCs w:val="24"/>
        </w:rPr>
        <w:t>young age. And they received testimony that any period</w:t>
      </w:r>
      <w:r>
        <w:rPr>
          <w:rFonts w:ascii="Times New Roman" w:hAnsi="Times New Roman"/>
          <w:sz w:val="24"/>
          <w:szCs w:val="24"/>
        </w:rPr>
        <w:t xml:space="preserve"> </w:t>
      </w:r>
      <w:r w:rsidRPr="00CB6CEF">
        <w:rPr>
          <w:rFonts w:ascii="Times New Roman" w:hAnsi="Times New Roman"/>
          <w:sz w:val="24"/>
          <w:szCs w:val="24"/>
        </w:rPr>
        <w:t xml:space="preserve">of normalcy during Jones’s childhood was </w:t>
      </w:r>
      <w:r>
        <w:rPr>
          <w:rFonts w:ascii="Times New Roman" w:hAnsi="Times New Roman"/>
          <w:sz w:val="24"/>
          <w:szCs w:val="24"/>
        </w:rPr>
        <w:t>‘</w:t>
      </w:r>
      <w:r w:rsidRPr="00CB6CEF">
        <w:rPr>
          <w:rFonts w:ascii="Times New Roman" w:hAnsi="Times New Roman"/>
          <w:sz w:val="24"/>
          <w:szCs w:val="24"/>
        </w:rPr>
        <w:t>too late</w:t>
      </w:r>
      <w:r>
        <w:rPr>
          <w:rFonts w:ascii="Times New Roman" w:hAnsi="Times New Roman"/>
          <w:sz w:val="24"/>
          <w:szCs w:val="24"/>
        </w:rPr>
        <w:t>’</w:t>
      </w:r>
      <w:r w:rsidRPr="00CB6CEF">
        <w:rPr>
          <w:rFonts w:ascii="Times New Roman" w:hAnsi="Times New Roman"/>
          <w:sz w:val="24"/>
          <w:szCs w:val="24"/>
        </w:rPr>
        <w:t xml:space="preserve"> and </w:t>
      </w:r>
      <w:r>
        <w:rPr>
          <w:rFonts w:ascii="Times New Roman" w:hAnsi="Times New Roman"/>
          <w:sz w:val="24"/>
          <w:szCs w:val="24"/>
        </w:rPr>
        <w:t>‘</w:t>
      </w:r>
      <w:r w:rsidRPr="00CB6CEF">
        <w:rPr>
          <w:rFonts w:ascii="Times New Roman" w:hAnsi="Times New Roman"/>
          <w:sz w:val="24"/>
          <w:szCs w:val="24"/>
        </w:rPr>
        <w:t>not</w:t>
      </w:r>
      <w:r>
        <w:rPr>
          <w:rFonts w:ascii="Times New Roman" w:hAnsi="Times New Roman"/>
          <w:sz w:val="24"/>
          <w:szCs w:val="24"/>
        </w:rPr>
        <w:t xml:space="preserve"> </w:t>
      </w:r>
      <w:r w:rsidRPr="00CB6CEF">
        <w:rPr>
          <w:rFonts w:ascii="Times New Roman" w:hAnsi="Times New Roman"/>
          <w:sz w:val="24"/>
          <w:szCs w:val="24"/>
        </w:rPr>
        <w:t>strong enough to counter the earlier abuse.</w:t>
      </w:r>
      <w:r>
        <w:rPr>
          <w:rFonts w:ascii="Times New Roman" w:hAnsi="Times New Roman"/>
          <w:sz w:val="24"/>
          <w:szCs w:val="24"/>
        </w:rPr>
        <w:t xml:space="preserve">’ </w:t>
      </w:r>
      <w:r w:rsidRPr="00CB6CEF">
        <w:rPr>
          <w:rFonts w:ascii="Times New Roman" w:hAnsi="Times New Roman"/>
          <w:sz w:val="24"/>
          <w:szCs w:val="24"/>
        </w:rPr>
        <w:t xml:space="preserve"> 4 Record</w:t>
      </w:r>
      <w:r>
        <w:rPr>
          <w:rFonts w:ascii="Times New Roman" w:hAnsi="Times New Roman"/>
          <w:sz w:val="24"/>
          <w:szCs w:val="24"/>
        </w:rPr>
        <w:t xml:space="preserve"> </w:t>
      </w:r>
      <w:r w:rsidRPr="00CB6CEF">
        <w:rPr>
          <w:rFonts w:ascii="Times New Roman" w:hAnsi="Times New Roman"/>
          <w:sz w:val="24"/>
          <w:szCs w:val="24"/>
        </w:rPr>
        <w:t>1069–1070. They nevertheless concluded that this abuse</w:t>
      </w:r>
      <w:r>
        <w:rPr>
          <w:rFonts w:ascii="Times New Roman" w:hAnsi="Times New Roman"/>
          <w:sz w:val="24"/>
          <w:szCs w:val="24"/>
        </w:rPr>
        <w:t xml:space="preserve"> </w:t>
      </w:r>
      <w:r w:rsidRPr="00CB6CEF">
        <w:rPr>
          <w:rFonts w:ascii="Times New Roman" w:hAnsi="Times New Roman"/>
          <w:sz w:val="24"/>
          <w:szCs w:val="24"/>
        </w:rPr>
        <w:t>did not warrant leniency, primarily because it appeared unconnected to the murders. Jones, 185 Ariz., at 490–491, 917</w:t>
      </w:r>
      <w:r>
        <w:rPr>
          <w:rFonts w:ascii="Times New Roman" w:hAnsi="Times New Roman"/>
          <w:sz w:val="24"/>
          <w:szCs w:val="24"/>
        </w:rPr>
        <w:t xml:space="preserve"> </w:t>
      </w:r>
      <w:r w:rsidRPr="00CB6CEF">
        <w:rPr>
          <w:rFonts w:ascii="Times New Roman" w:hAnsi="Times New Roman"/>
          <w:sz w:val="24"/>
          <w:szCs w:val="24"/>
        </w:rPr>
        <w:t>P. 2d, at 219–220; 9 Record 2465.</w:t>
      </w:r>
      <w:r>
        <w:rPr>
          <w:rFonts w:ascii="Times New Roman" w:hAnsi="Times New Roman"/>
          <w:sz w:val="24"/>
          <w:szCs w:val="24"/>
        </w:rPr>
        <w:t xml:space="preserve"> </w:t>
      </w:r>
      <w:r w:rsidRPr="00CB6CEF">
        <w:rPr>
          <w:rFonts w:ascii="Times New Roman" w:hAnsi="Times New Roman"/>
          <w:sz w:val="24"/>
          <w:szCs w:val="24"/>
        </w:rPr>
        <w:t>In federal court, Jones added two new allegations. First,</w:t>
      </w:r>
      <w:r>
        <w:rPr>
          <w:rFonts w:ascii="Times New Roman" w:hAnsi="Times New Roman"/>
          <w:sz w:val="24"/>
          <w:szCs w:val="24"/>
        </w:rPr>
        <w:t xml:space="preserve"> </w:t>
      </w:r>
      <w:r w:rsidRPr="00CB6CEF">
        <w:rPr>
          <w:rFonts w:ascii="Times New Roman" w:hAnsi="Times New Roman"/>
          <w:sz w:val="24"/>
          <w:szCs w:val="24"/>
        </w:rPr>
        <w:t>he asserted that the grandfather who introduced him to alcohol also sexually abused him. Second, he claimed that his</w:t>
      </w:r>
    </w:p>
    <w:p w14:paraId="2B1E56F9" w14:textId="77777777" w:rsidR="002C7131" w:rsidRDefault="002C7131" w:rsidP="002C7131">
      <w:pPr>
        <w:pStyle w:val="NoSpacing"/>
        <w:ind w:left="720"/>
        <w:rPr>
          <w:rFonts w:ascii="Times New Roman" w:hAnsi="Times New Roman"/>
          <w:sz w:val="24"/>
          <w:szCs w:val="24"/>
        </w:rPr>
      </w:pPr>
      <w:r w:rsidRPr="00CB6CEF">
        <w:rPr>
          <w:rFonts w:ascii="Times New Roman" w:hAnsi="Times New Roman"/>
          <w:sz w:val="24"/>
          <w:szCs w:val="24"/>
        </w:rPr>
        <w:t>second stepfather, Randy, physically abused him. It is not</w:t>
      </w:r>
      <w:r>
        <w:rPr>
          <w:rFonts w:ascii="Times New Roman" w:hAnsi="Times New Roman"/>
          <w:sz w:val="24"/>
          <w:szCs w:val="24"/>
        </w:rPr>
        <w:t xml:space="preserve"> </w:t>
      </w:r>
      <w:r w:rsidRPr="00CB6CEF">
        <w:rPr>
          <w:rFonts w:ascii="Times New Roman" w:hAnsi="Times New Roman"/>
          <w:sz w:val="24"/>
          <w:szCs w:val="24"/>
        </w:rPr>
        <w:t>likely that these allegations would have moved the state</w:t>
      </w:r>
      <w:r>
        <w:rPr>
          <w:rFonts w:ascii="Times New Roman" w:hAnsi="Times New Roman"/>
          <w:sz w:val="24"/>
          <w:szCs w:val="24"/>
        </w:rPr>
        <w:t xml:space="preserve"> </w:t>
      </w:r>
      <w:r w:rsidRPr="00CB6CEF">
        <w:rPr>
          <w:rFonts w:ascii="Times New Roman" w:hAnsi="Times New Roman"/>
          <w:sz w:val="24"/>
          <w:szCs w:val="24"/>
        </w:rPr>
        <w:t>court either.</w:t>
      </w:r>
    </w:p>
    <w:p w14:paraId="45FB4D53" w14:textId="77777777" w:rsidR="002C7131" w:rsidRDefault="002C7131" w:rsidP="002C7131">
      <w:pPr>
        <w:pStyle w:val="NoSpacing"/>
        <w:rPr>
          <w:rFonts w:ascii="Times New Roman" w:hAnsi="Times New Roman"/>
          <w:sz w:val="24"/>
          <w:szCs w:val="24"/>
        </w:rPr>
      </w:pPr>
    </w:p>
    <w:p w14:paraId="54D23757" w14:textId="77777777" w:rsidR="002C7131" w:rsidRDefault="002C7131" w:rsidP="002C7131">
      <w:pPr>
        <w:pStyle w:val="NoSpacing"/>
        <w:rPr>
          <w:rFonts w:ascii="Times New Roman" w:hAnsi="Times New Roman"/>
          <w:sz w:val="24"/>
          <w:szCs w:val="24"/>
        </w:rPr>
      </w:pPr>
      <w:r>
        <w:rPr>
          <w:rFonts w:ascii="Times New Roman" w:hAnsi="Times New Roman"/>
          <w:sz w:val="24"/>
          <w:szCs w:val="24"/>
        </w:rPr>
        <w:tab/>
        <w:t>***</w:t>
      </w:r>
    </w:p>
    <w:p w14:paraId="1FA1E005" w14:textId="77777777" w:rsidR="002C7131" w:rsidRDefault="002C7131" w:rsidP="002C7131">
      <w:pPr>
        <w:pStyle w:val="NoSpacing"/>
        <w:ind w:left="720"/>
        <w:rPr>
          <w:rFonts w:ascii="Times New Roman" w:hAnsi="Times New Roman"/>
          <w:sz w:val="24"/>
          <w:szCs w:val="24"/>
        </w:rPr>
      </w:pPr>
    </w:p>
    <w:p w14:paraId="201BEA5F" w14:textId="77777777" w:rsidR="002C7131" w:rsidRPr="00476CC5" w:rsidRDefault="002C7131" w:rsidP="002C7131">
      <w:pPr>
        <w:pStyle w:val="NoSpacing"/>
        <w:ind w:left="720"/>
      </w:pPr>
      <w:r w:rsidRPr="0081449F">
        <w:rPr>
          <w:rFonts w:ascii="Times New Roman" w:hAnsi="Times New Roman"/>
          <w:sz w:val="24"/>
          <w:szCs w:val="24"/>
        </w:rPr>
        <w:t>When a capital defendant claims that he was prejudiced</w:t>
      </w:r>
      <w:r>
        <w:rPr>
          <w:rFonts w:ascii="Times New Roman" w:hAnsi="Times New Roman"/>
          <w:sz w:val="24"/>
          <w:szCs w:val="24"/>
        </w:rPr>
        <w:t xml:space="preserve"> </w:t>
      </w:r>
      <w:r w:rsidRPr="0081449F">
        <w:rPr>
          <w:rFonts w:ascii="Times New Roman" w:hAnsi="Times New Roman"/>
          <w:sz w:val="24"/>
          <w:szCs w:val="24"/>
        </w:rPr>
        <w:t>at sentencing because counsel failed to present available</w:t>
      </w:r>
      <w:r>
        <w:rPr>
          <w:rFonts w:ascii="Times New Roman" w:hAnsi="Times New Roman"/>
          <w:sz w:val="24"/>
          <w:szCs w:val="24"/>
        </w:rPr>
        <w:t xml:space="preserve"> </w:t>
      </w:r>
      <w:r w:rsidRPr="0081449F">
        <w:rPr>
          <w:rFonts w:ascii="Times New Roman" w:hAnsi="Times New Roman"/>
          <w:sz w:val="24"/>
          <w:szCs w:val="24"/>
        </w:rPr>
        <w:t>mitigating evidence, a court must decide whether it is reasonably likely that the additional evidence would have</w:t>
      </w:r>
      <w:r>
        <w:rPr>
          <w:rFonts w:ascii="Times New Roman" w:hAnsi="Times New Roman"/>
          <w:sz w:val="24"/>
          <w:szCs w:val="24"/>
        </w:rPr>
        <w:t xml:space="preserve"> </w:t>
      </w:r>
      <w:r w:rsidRPr="0081449F">
        <w:rPr>
          <w:rFonts w:ascii="Times New Roman" w:hAnsi="Times New Roman"/>
          <w:sz w:val="24"/>
          <w:szCs w:val="24"/>
        </w:rPr>
        <w:t>avoided a death sentence. This analysis requires an evaluation of the strength of all the evidence and a comparison</w:t>
      </w:r>
      <w:r>
        <w:rPr>
          <w:rFonts w:ascii="Times New Roman" w:hAnsi="Times New Roman"/>
          <w:sz w:val="24"/>
          <w:szCs w:val="24"/>
        </w:rPr>
        <w:t xml:space="preserve"> </w:t>
      </w:r>
      <w:r w:rsidRPr="0081449F">
        <w:rPr>
          <w:rFonts w:ascii="Times New Roman" w:hAnsi="Times New Roman"/>
          <w:sz w:val="24"/>
          <w:szCs w:val="24"/>
        </w:rPr>
        <w:t>of the weight of aggravating and mitigating factors. The</w:t>
      </w:r>
      <w:r>
        <w:rPr>
          <w:rFonts w:ascii="Times New Roman" w:hAnsi="Times New Roman"/>
          <w:sz w:val="24"/>
          <w:szCs w:val="24"/>
        </w:rPr>
        <w:t xml:space="preserve"> </w:t>
      </w:r>
      <w:r w:rsidRPr="0081449F">
        <w:rPr>
          <w:rFonts w:ascii="Times New Roman" w:hAnsi="Times New Roman"/>
          <w:sz w:val="24"/>
          <w:szCs w:val="24"/>
        </w:rPr>
        <w:t>Ninth Circuit did not heed that instruction; rather, it downplayed the serious aggravating factors present here and</w:t>
      </w:r>
      <w:r>
        <w:rPr>
          <w:rFonts w:ascii="Times New Roman" w:hAnsi="Times New Roman"/>
          <w:sz w:val="24"/>
          <w:szCs w:val="24"/>
        </w:rPr>
        <w:t xml:space="preserve"> </w:t>
      </w:r>
      <w:r w:rsidRPr="0081449F">
        <w:rPr>
          <w:rFonts w:ascii="Times New Roman" w:hAnsi="Times New Roman"/>
          <w:sz w:val="24"/>
          <w:szCs w:val="24"/>
        </w:rPr>
        <w:t>overstated the strength of mitigating evidence that differed</w:t>
      </w:r>
      <w:r>
        <w:rPr>
          <w:rFonts w:ascii="Times New Roman" w:hAnsi="Times New Roman"/>
          <w:sz w:val="24"/>
          <w:szCs w:val="24"/>
        </w:rPr>
        <w:t xml:space="preserve"> </w:t>
      </w:r>
      <w:r w:rsidRPr="0081449F">
        <w:rPr>
          <w:rFonts w:ascii="Times New Roman" w:hAnsi="Times New Roman"/>
          <w:sz w:val="24"/>
          <w:szCs w:val="24"/>
        </w:rPr>
        <w:t>very little from the evidence presented at sentencing</w:t>
      </w:r>
      <w:r>
        <w:rPr>
          <w:rFonts w:ascii="Times New Roman" w:hAnsi="Times New Roman"/>
          <w:sz w:val="24"/>
          <w:szCs w:val="24"/>
        </w:rPr>
        <w:t xml:space="preserve">. </w:t>
      </w:r>
      <w:r w:rsidRPr="00273EA8">
        <w:rPr>
          <w:rFonts w:ascii="Times New Roman" w:hAnsi="Times New Roman"/>
          <w:sz w:val="24"/>
          <w:szCs w:val="24"/>
        </w:rPr>
        <w:t>Had</w:t>
      </w:r>
      <w:r>
        <w:rPr>
          <w:rFonts w:ascii="Times New Roman" w:hAnsi="Times New Roman"/>
          <w:sz w:val="24"/>
          <w:szCs w:val="24"/>
        </w:rPr>
        <w:t xml:space="preserve"> </w:t>
      </w:r>
      <w:r w:rsidRPr="00273EA8">
        <w:rPr>
          <w:rFonts w:ascii="Times New Roman" w:hAnsi="Times New Roman"/>
          <w:sz w:val="24"/>
          <w:szCs w:val="24"/>
        </w:rPr>
        <w:t>the Ninth Circuit engaged in the analysis required by</w:t>
      </w:r>
      <w:r>
        <w:rPr>
          <w:rFonts w:ascii="Times New Roman" w:hAnsi="Times New Roman"/>
          <w:sz w:val="24"/>
          <w:szCs w:val="24"/>
        </w:rPr>
        <w:t xml:space="preserve"> </w:t>
      </w:r>
      <w:proofErr w:type="gramStart"/>
      <w:r w:rsidRPr="00164960">
        <w:rPr>
          <w:rFonts w:ascii="Times New Roman" w:hAnsi="Times New Roman"/>
          <w:sz w:val="24"/>
          <w:szCs w:val="24"/>
        </w:rPr>
        <w:t>Strickland,</w:t>
      </w:r>
      <w:proofErr w:type="gramEnd"/>
      <w:r w:rsidRPr="00164960">
        <w:rPr>
          <w:rFonts w:ascii="Times New Roman" w:hAnsi="Times New Roman"/>
          <w:sz w:val="24"/>
          <w:szCs w:val="24"/>
        </w:rPr>
        <w:t xml:space="preserve"> it would have had no choice but to affirm the</w:t>
      </w:r>
      <w:r>
        <w:rPr>
          <w:rFonts w:ascii="Times New Roman" w:hAnsi="Times New Roman"/>
          <w:sz w:val="24"/>
          <w:szCs w:val="24"/>
        </w:rPr>
        <w:t xml:space="preserve"> </w:t>
      </w:r>
      <w:r w:rsidRPr="00164960">
        <w:rPr>
          <w:rFonts w:ascii="Times New Roman" w:hAnsi="Times New Roman"/>
          <w:sz w:val="24"/>
          <w:szCs w:val="24"/>
        </w:rPr>
        <w:t>decision of the District Court denying habeas relief. We</w:t>
      </w:r>
      <w:r>
        <w:rPr>
          <w:rFonts w:ascii="Times New Roman" w:hAnsi="Times New Roman"/>
          <w:sz w:val="24"/>
          <w:szCs w:val="24"/>
        </w:rPr>
        <w:t xml:space="preserve"> </w:t>
      </w:r>
      <w:r w:rsidRPr="00164960">
        <w:rPr>
          <w:rFonts w:ascii="Times New Roman" w:hAnsi="Times New Roman"/>
          <w:sz w:val="24"/>
          <w:szCs w:val="24"/>
        </w:rPr>
        <w:t>therefore reverse the judgment of the Court of Appeals and</w:t>
      </w:r>
      <w:r>
        <w:rPr>
          <w:rFonts w:ascii="Times New Roman" w:hAnsi="Times New Roman"/>
          <w:sz w:val="24"/>
          <w:szCs w:val="24"/>
        </w:rPr>
        <w:t xml:space="preserve"> </w:t>
      </w:r>
      <w:r w:rsidRPr="00164960">
        <w:rPr>
          <w:rFonts w:ascii="Times New Roman" w:hAnsi="Times New Roman"/>
          <w:sz w:val="24"/>
          <w:szCs w:val="24"/>
        </w:rPr>
        <w:t>remand the case for further proceedings consistent with</w:t>
      </w:r>
      <w:r>
        <w:rPr>
          <w:rFonts w:ascii="Times New Roman" w:hAnsi="Times New Roman"/>
          <w:sz w:val="24"/>
          <w:szCs w:val="24"/>
        </w:rPr>
        <w:t xml:space="preserve"> </w:t>
      </w:r>
      <w:r w:rsidRPr="00164960">
        <w:rPr>
          <w:rFonts w:ascii="Times New Roman" w:hAnsi="Times New Roman"/>
          <w:sz w:val="24"/>
          <w:szCs w:val="24"/>
        </w:rPr>
        <w:t>this opinion.</w:t>
      </w:r>
      <w:r>
        <w:rPr>
          <w:rFonts w:ascii="Times New Roman" w:hAnsi="Times New Roman"/>
          <w:sz w:val="24"/>
          <w:szCs w:val="24"/>
        </w:rPr>
        <w:t xml:space="preserve">” </w:t>
      </w:r>
      <w:hyperlink r:id="rId138" w:history="1">
        <w:r w:rsidRPr="00DF21B2">
          <w:rPr>
            <w:rStyle w:val="Hyperlink"/>
            <w:rFonts w:ascii="Times New Roman" w:hAnsi="Times New Roman"/>
            <w:sz w:val="24"/>
            <w:szCs w:val="24"/>
          </w:rPr>
          <w:t>https://www.supremecourt.gov/opinions/23pdf/22-982_bq7d.pdf</w:t>
        </w:r>
      </w:hyperlink>
      <w:r>
        <w:t xml:space="preserve"> </w:t>
      </w:r>
    </w:p>
    <w:p w14:paraId="69FB0E15" w14:textId="77777777" w:rsidR="002C7131" w:rsidRDefault="002C7131" w:rsidP="002C7131">
      <w:pPr>
        <w:pStyle w:val="NoSpacing"/>
        <w:rPr>
          <w:rFonts w:ascii="Times New Roman" w:hAnsi="Times New Roman"/>
          <w:sz w:val="24"/>
          <w:szCs w:val="24"/>
        </w:rPr>
      </w:pPr>
    </w:p>
    <w:p w14:paraId="4065FD90" w14:textId="77777777" w:rsidR="007276B8" w:rsidRPr="00666E81" w:rsidRDefault="007276B8" w:rsidP="007276B8">
      <w:pPr>
        <w:spacing w:after="0" w:line="240" w:lineRule="auto"/>
        <w:rPr>
          <w:rFonts w:ascii="Times New Roman" w:eastAsia="Times New Roman" w:hAnsi="Times New Roman"/>
          <w:sz w:val="24"/>
          <w:szCs w:val="24"/>
        </w:rPr>
      </w:pPr>
      <w:r w:rsidRPr="003C56CA">
        <w:rPr>
          <w:rFonts w:ascii="Times New Roman" w:eastAsia="Times New Roman" w:hAnsi="Times New Roman"/>
          <w:sz w:val="24"/>
          <w:szCs w:val="24"/>
        </w:rPr>
        <w:t>DISSENT</w:t>
      </w:r>
      <w:r w:rsidRPr="00666E81">
        <w:rPr>
          <w:rFonts w:ascii="Times New Roman" w:eastAsia="Times New Roman" w:hAnsi="Times New Roman"/>
          <w:sz w:val="24"/>
          <w:szCs w:val="24"/>
        </w:rPr>
        <w:t xml:space="preserve"> [Opinion by Justice </w:t>
      </w:r>
      <w:r w:rsidRPr="00666E81">
        <w:rPr>
          <w:rFonts w:ascii="Times New Roman" w:hAnsi="Times New Roman"/>
          <w:sz w:val="24"/>
          <w:szCs w:val="24"/>
        </w:rPr>
        <w:t>Ketanji Onyika Brown Jackson]</w:t>
      </w:r>
      <w:r>
        <w:rPr>
          <w:rFonts w:ascii="Times New Roman" w:hAnsi="Times New Roman"/>
          <w:sz w:val="24"/>
          <w:szCs w:val="24"/>
        </w:rPr>
        <w:t>:</w:t>
      </w:r>
    </w:p>
    <w:p w14:paraId="23BD46D2" w14:textId="77777777" w:rsidR="007276B8" w:rsidRDefault="007276B8" w:rsidP="007276B8">
      <w:pPr>
        <w:spacing w:after="0" w:line="240" w:lineRule="auto"/>
        <w:rPr>
          <w:rFonts w:ascii="Times New Roman" w:eastAsia="Times New Roman" w:hAnsi="Times New Roman"/>
          <w:sz w:val="24"/>
          <w:szCs w:val="24"/>
        </w:rPr>
      </w:pPr>
    </w:p>
    <w:p w14:paraId="2F52A109" w14:textId="77777777" w:rsidR="007276B8" w:rsidRPr="00153EC8" w:rsidRDefault="007276B8" w:rsidP="007276B8">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311219">
        <w:rPr>
          <w:rFonts w:ascii="Times New Roman" w:eastAsia="Times New Roman" w:hAnsi="Times New Roman"/>
          <w:sz w:val="24"/>
          <w:szCs w:val="24"/>
        </w:rPr>
        <w:t>I agree with JUSTICE SOTOMAYOR that</w:t>
      </w:r>
      <w:r>
        <w:rPr>
          <w:rFonts w:ascii="Times New Roman" w:eastAsia="Times New Roman" w:hAnsi="Times New Roman"/>
          <w:sz w:val="24"/>
          <w:szCs w:val="24"/>
        </w:rPr>
        <w:t xml:space="preserve"> </w:t>
      </w:r>
      <w:r w:rsidRPr="00311219">
        <w:rPr>
          <w:rFonts w:ascii="Times New Roman" w:eastAsia="Times New Roman" w:hAnsi="Times New Roman"/>
          <w:sz w:val="24"/>
          <w:szCs w:val="24"/>
        </w:rPr>
        <w:t>we are not the right tribunal to parse the extensive factual</w:t>
      </w:r>
      <w:r>
        <w:rPr>
          <w:rFonts w:ascii="Times New Roman" w:eastAsia="Times New Roman" w:hAnsi="Times New Roman"/>
          <w:sz w:val="24"/>
          <w:szCs w:val="24"/>
        </w:rPr>
        <w:t xml:space="preserve"> </w:t>
      </w:r>
      <w:r w:rsidRPr="00311219">
        <w:rPr>
          <w:rFonts w:ascii="Times New Roman" w:eastAsia="Times New Roman" w:hAnsi="Times New Roman"/>
          <w:sz w:val="24"/>
          <w:szCs w:val="24"/>
        </w:rPr>
        <w:t>record in this case in the first instance. That is doubly true</w:t>
      </w:r>
      <w:r>
        <w:rPr>
          <w:rFonts w:ascii="Times New Roman" w:eastAsia="Times New Roman" w:hAnsi="Times New Roman"/>
          <w:sz w:val="24"/>
          <w:szCs w:val="24"/>
        </w:rPr>
        <w:t xml:space="preserve"> </w:t>
      </w:r>
      <w:r w:rsidRPr="00311219">
        <w:rPr>
          <w:rFonts w:ascii="Times New Roman" w:eastAsia="Times New Roman" w:hAnsi="Times New Roman"/>
          <w:sz w:val="24"/>
          <w:szCs w:val="24"/>
        </w:rPr>
        <w:t>where the Ninth Circuit committed no legal error in reviewing that record to begin with. I respectfully dissent</w:t>
      </w:r>
      <w:r>
        <w:rPr>
          <w:rFonts w:ascii="Times New Roman" w:eastAsia="Times New Roman" w:hAnsi="Times New Roman"/>
          <w:sz w:val="24"/>
          <w:szCs w:val="24"/>
        </w:rPr>
        <w:t>.”</w:t>
      </w:r>
    </w:p>
    <w:p w14:paraId="0FF89955" w14:textId="77777777" w:rsidR="007276B8" w:rsidRDefault="007276B8" w:rsidP="007276B8">
      <w:pPr>
        <w:pStyle w:val="NoSpacing"/>
        <w:rPr>
          <w:rFonts w:ascii="Times New Roman" w:hAnsi="Times New Roman"/>
          <w:sz w:val="24"/>
          <w:szCs w:val="24"/>
          <w:shd w:val="clear" w:color="auto" w:fill="FFFFFF"/>
        </w:rPr>
      </w:pPr>
    </w:p>
    <w:p w14:paraId="4F1F1B28" w14:textId="77777777" w:rsidR="007276B8" w:rsidRPr="005446DE" w:rsidRDefault="007276B8" w:rsidP="007276B8">
      <w:pPr>
        <w:pStyle w:val="NormalWeb"/>
        <w:spacing w:before="0" w:beforeAutospacing="0"/>
        <w:rPr>
          <w:b/>
          <w:bCs/>
          <w:color w:val="454545"/>
          <w:shd w:val="clear" w:color="auto" w:fill="FFFFFF"/>
        </w:rPr>
      </w:pPr>
      <w:r w:rsidRPr="005446DE">
        <w:rPr>
          <w:b/>
          <w:bCs/>
          <w:color w:val="454545"/>
          <w:shd w:val="clear" w:color="auto" w:fill="FFFFFF"/>
        </w:rPr>
        <w:t xml:space="preserve">Legal Lesson Learned: </w:t>
      </w:r>
      <w:r>
        <w:rPr>
          <w:b/>
          <w:bCs/>
          <w:color w:val="454545"/>
          <w:shd w:val="clear" w:color="auto" w:fill="FFFFFF"/>
        </w:rPr>
        <w:t xml:space="preserve">Hopefully this decision will lead to far fewer habeas corpus decisions by Federal courts of prisoners convicted in state court. </w:t>
      </w:r>
    </w:p>
    <w:p w14:paraId="3765BC2F" w14:textId="77777777" w:rsidR="006A0C24" w:rsidRDefault="006A0C24" w:rsidP="00B86628">
      <w:pPr>
        <w:pStyle w:val="NoSpacing"/>
        <w:rPr>
          <w:rFonts w:ascii="Arial Black" w:hAnsi="Arial Black"/>
          <w:sz w:val="24"/>
          <w:szCs w:val="24"/>
        </w:rPr>
      </w:pPr>
    </w:p>
    <w:p w14:paraId="3AF77ED2" w14:textId="77777777" w:rsidR="006A0C24" w:rsidRDefault="006A0C24" w:rsidP="00B86628">
      <w:pPr>
        <w:pStyle w:val="NoSpacing"/>
        <w:rPr>
          <w:rFonts w:ascii="Arial Black" w:hAnsi="Arial Black"/>
          <w:sz w:val="24"/>
          <w:szCs w:val="24"/>
        </w:rPr>
      </w:pPr>
    </w:p>
    <w:p w14:paraId="14565FAC" w14:textId="77777777" w:rsidR="006A0C24" w:rsidRDefault="006A0C24" w:rsidP="00B86628">
      <w:pPr>
        <w:pStyle w:val="NoSpacing"/>
        <w:rPr>
          <w:rFonts w:ascii="Arial Black" w:hAnsi="Arial Black"/>
          <w:sz w:val="24"/>
          <w:szCs w:val="24"/>
        </w:rPr>
      </w:pPr>
    </w:p>
    <w:p w14:paraId="3B6AB2D8" w14:textId="43C915CE" w:rsidR="00D91CD7" w:rsidRDefault="00D91CD7" w:rsidP="00B86628">
      <w:pPr>
        <w:pStyle w:val="NoSpacing"/>
        <w:rPr>
          <w:rFonts w:ascii="Arial Black" w:hAnsi="Arial Black"/>
          <w:sz w:val="24"/>
          <w:szCs w:val="24"/>
        </w:rPr>
      </w:pPr>
      <w:r>
        <w:rPr>
          <w:rFonts w:ascii="Arial Black" w:hAnsi="Arial Black"/>
          <w:sz w:val="24"/>
          <w:szCs w:val="24"/>
        </w:rPr>
        <w:t>1-148</w:t>
      </w:r>
    </w:p>
    <w:p w14:paraId="726F1FC2" w14:textId="77777777" w:rsidR="00D91CD7" w:rsidRDefault="00D91CD7" w:rsidP="00B86628">
      <w:pPr>
        <w:pStyle w:val="NoSpacing"/>
        <w:rPr>
          <w:rFonts w:ascii="Arial Black" w:hAnsi="Arial Black"/>
          <w:sz w:val="24"/>
          <w:szCs w:val="24"/>
        </w:rPr>
      </w:pPr>
    </w:p>
    <w:p w14:paraId="0DA13E11" w14:textId="79300BDB" w:rsidR="00D91CD7" w:rsidRPr="002D2487" w:rsidRDefault="00D91CD7" w:rsidP="00D91CD7">
      <w:pPr>
        <w:pStyle w:val="NormalWeb"/>
        <w:shd w:val="clear" w:color="auto" w:fill="FFFFFF"/>
        <w:spacing w:before="0" w:beforeAutospacing="0"/>
        <w:rPr>
          <w:rFonts w:ascii="Arial Black" w:hAnsi="Arial Black"/>
          <w:sz w:val="28"/>
          <w:szCs w:val="28"/>
        </w:rPr>
      </w:pPr>
      <w:r>
        <w:rPr>
          <w:rFonts w:ascii="Arial Black" w:hAnsi="Arial Black"/>
          <w:sz w:val="28"/>
          <w:szCs w:val="28"/>
        </w:rPr>
        <w:t>MI: CODE ENFORCEMENT – DRONE VIDEOTAPED SAVAGE YARD WITHOUT WARRANT – EXCLUS</w:t>
      </w:r>
      <w:r w:rsidR="00162E4F">
        <w:rPr>
          <w:rFonts w:ascii="Arial Black" w:hAnsi="Arial Black"/>
          <w:sz w:val="28"/>
          <w:szCs w:val="28"/>
        </w:rPr>
        <w:t xml:space="preserve">IONARY </w:t>
      </w:r>
      <w:r>
        <w:rPr>
          <w:rFonts w:ascii="Arial Black" w:hAnsi="Arial Black"/>
          <w:sz w:val="28"/>
          <w:szCs w:val="28"/>
        </w:rPr>
        <w:t>RULE NOT APPLY</w:t>
      </w:r>
    </w:p>
    <w:p w14:paraId="7DD6C3B3" w14:textId="77777777" w:rsidR="00D91CD7" w:rsidRDefault="00D91CD7" w:rsidP="00D91CD7">
      <w:pPr>
        <w:pStyle w:val="NormalWeb"/>
        <w:shd w:val="clear" w:color="auto" w:fill="FFFFFF"/>
        <w:spacing w:before="0" w:beforeAutospacing="0"/>
      </w:pPr>
      <w:r>
        <w:t xml:space="preserve">On May 3, 2024, in </w:t>
      </w:r>
      <w:r w:rsidRPr="001C2E85">
        <w:rPr>
          <w:u w:val="single"/>
        </w:rPr>
        <w:t>Long Lake Township v. Todd Maxon and Heather Maxon</w:t>
      </w:r>
      <w:r>
        <w:t xml:space="preserve">, the Supreme Court of Michigan held (7 to 0) that the video is admissible in zoning action.  The Court held: </w:t>
      </w:r>
    </w:p>
    <w:p w14:paraId="3AD446D7" w14:textId="74CE8E10" w:rsidR="00D91CD7" w:rsidRPr="00A97B04" w:rsidRDefault="00D91CD7" w:rsidP="00CD1833">
      <w:pPr>
        <w:pStyle w:val="NoSpacing"/>
        <w:ind w:left="720"/>
        <w:rPr>
          <w:rFonts w:ascii="Times New Roman" w:hAnsi="Times New Roman"/>
          <w:sz w:val="24"/>
          <w:szCs w:val="24"/>
        </w:rPr>
      </w:pPr>
      <w:r>
        <w:rPr>
          <w:rFonts w:ascii="Times New Roman" w:hAnsi="Times New Roman"/>
          <w:sz w:val="24"/>
          <w:szCs w:val="24"/>
        </w:rPr>
        <w:t>“</w:t>
      </w:r>
      <w:r w:rsidRPr="00A97B04">
        <w:rPr>
          <w:rFonts w:ascii="Times New Roman" w:hAnsi="Times New Roman"/>
          <w:sz w:val="24"/>
          <w:szCs w:val="24"/>
        </w:rPr>
        <w:t>We hold that the costs of applying the exclusionary rule in this case would outweigh</w:t>
      </w:r>
      <w:r w:rsidR="00CD1833">
        <w:rPr>
          <w:rFonts w:ascii="Times New Roman" w:hAnsi="Times New Roman"/>
          <w:sz w:val="24"/>
          <w:szCs w:val="24"/>
        </w:rPr>
        <w:t xml:space="preserve"> </w:t>
      </w:r>
      <w:r w:rsidRPr="00A97B04">
        <w:rPr>
          <w:rFonts w:ascii="Times New Roman" w:hAnsi="Times New Roman"/>
          <w:sz w:val="24"/>
          <w:szCs w:val="24"/>
        </w:rPr>
        <w:t>the benefits. Applying the exclusionary rule would prevent the Township from effectuating</w:t>
      </w:r>
      <w:r>
        <w:rPr>
          <w:rFonts w:ascii="Times New Roman" w:hAnsi="Times New Roman"/>
          <w:sz w:val="24"/>
          <w:szCs w:val="24"/>
        </w:rPr>
        <w:t xml:space="preserve"> </w:t>
      </w:r>
      <w:r w:rsidRPr="00A97B04">
        <w:rPr>
          <w:rFonts w:ascii="Times New Roman" w:hAnsi="Times New Roman"/>
          <w:sz w:val="24"/>
          <w:szCs w:val="24"/>
        </w:rPr>
        <w:t>its nuisance and zoning ordinances—a serious cost. It would do so for little benefit given</w:t>
      </w:r>
      <w:r>
        <w:rPr>
          <w:rFonts w:ascii="Times New Roman" w:hAnsi="Times New Roman"/>
          <w:sz w:val="24"/>
          <w:szCs w:val="24"/>
        </w:rPr>
        <w:t xml:space="preserve"> </w:t>
      </w:r>
      <w:r w:rsidRPr="00A97B04">
        <w:rPr>
          <w:rFonts w:ascii="Times New Roman" w:hAnsi="Times New Roman"/>
          <w:sz w:val="24"/>
          <w:szCs w:val="24"/>
        </w:rPr>
        <w:t>that exclusion of the photographs and video here would not deter future misconduct by law</w:t>
      </w:r>
      <w:r>
        <w:rPr>
          <w:rFonts w:ascii="Times New Roman" w:hAnsi="Times New Roman"/>
          <w:sz w:val="24"/>
          <w:szCs w:val="24"/>
        </w:rPr>
        <w:t xml:space="preserve"> </w:t>
      </w:r>
      <w:r w:rsidRPr="00A97B04">
        <w:rPr>
          <w:rFonts w:ascii="Times New Roman" w:hAnsi="Times New Roman"/>
          <w:sz w:val="24"/>
          <w:szCs w:val="24"/>
        </w:rPr>
        <w:t xml:space="preserve">enforcement officers or their adjuncts, proxies, or agents. We agree with the Court of Appeals’ conclusion </w:t>
      </w:r>
      <w:proofErr w:type="gramStart"/>
      <w:r w:rsidRPr="00A97B04">
        <w:rPr>
          <w:rFonts w:ascii="Times New Roman" w:hAnsi="Times New Roman"/>
          <w:sz w:val="24"/>
          <w:szCs w:val="24"/>
        </w:rPr>
        <w:t xml:space="preserve">that </w:t>
      </w:r>
      <w:r>
        <w:rPr>
          <w:rFonts w:ascii="Times New Roman" w:hAnsi="Times New Roman"/>
          <w:sz w:val="24"/>
          <w:szCs w:val="24"/>
        </w:rPr>
        <w:t>‘</w:t>
      </w:r>
      <w:r w:rsidRPr="00A97B04">
        <w:rPr>
          <w:rFonts w:ascii="Times New Roman" w:hAnsi="Times New Roman"/>
          <w:sz w:val="24"/>
          <w:szCs w:val="24"/>
        </w:rPr>
        <w:t>[t]he</w:t>
      </w:r>
      <w:proofErr w:type="gramEnd"/>
      <w:r w:rsidRPr="00A97B04">
        <w:rPr>
          <w:rFonts w:ascii="Times New Roman" w:hAnsi="Times New Roman"/>
          <w:sz w:val="24"/>
          <w:szCs w:val="24"/>
        </w:rPr>
        <w:t xml:space="preserve"> exclusionary rule was not intended to operate in this arena,</w:t>
      </w:r>
      <w:r>
        <w:rPr>
          <w:rFonts w:ascii="Times New Roman" w:hAnsi="Times New Roman"/>
          <w:sz w:val="24"/>
          <w:szCs w:val="24"/>
        </w:rPr>
        <w:t xml:space="preserve">’ </w:t>
      </w:r>
      <w:r w:rsidRPr="00A97B04">
        <w:rPr>
          <w:rFonts w:ascii="Times New Roman" w:hAnsi="Times New Roman"/>
          <w:sz w:val="24"/>
          <w:szCs w:val="24"/>
        </w:rPr>
        <w:t>and application of the rule in this case would serve no valuable function.</w:t>
      </w:r>
      <w:r>
        <w:rPr>
          <w:rFonts w:ascii="Times New Roman" w:hAnsi="Times New Roman"/>
          <w:sz w:val="24"/>
          <w:szCs w:val="24"/>
        </w:rPr>
        <w:t xml:space="preserve"> </w:t>
      </w:r>
      <w:r w:rsidRPr="00A97B04">
        <w:rPr>
          <w:rFonts w:ascii="Times New Roman" w:hAnsi="Times New Roman"/>
          <w:sz w:val="24"/>
          <w:szCs w:val="24"/>
        </w:rPr>
        <w:t>We therefore</w:t>
      </w:r>
      <w:r>
        <w:rPr>
          <w:rFonts w:ascii="Times New Roman" w:hAnsi="Times New Roman"/>
          <w:sz w:val="24"/>
          <w:szCs w:val="24"/>
        </w:rPr>
        <w:t xml:space="preserve"> </w:t>
      </w:r>
      <w:r w:rsidRPr="00A97B04">
        <w:rPr>
          <w:rFonts w:ascii="Times New Roman" w:hAnsi="Times New Roman"/>
          <w:sz w:val="24"/>
          <w:szCs w:val="24"/>
        </w:rPr>
        <w:t>affirm the judgment of the Court of Appeals and remand to the circuit court for further</w:t>
      </w:r>
      <w:r>
        <w:rPr>
          <w:rFonts w:ascii="Times New Roman" w:hAnsi="Times New Roman"/>
          <w:sz w:val="24"/>
          <w:szCs w:val="24"/>
        </w:rPr>
        <w:t xml:space="preserve"> </w:t>
      </w:r>
      <w:r w:rsidRPr="00A97B04">
        <w:rPr>
          <w:rFonts w:ascii="Times New Roman" w:hAnsi="Times New Roman"/>
          <w:sz w:val="24"/>
          <w:szCs w:val="24"/>
        </w:rPr>
        <w:t>proceedings.</w:t>
      </w:r>
      <w:r>
        <w:rPr>
          <w:rFonts w:ascii="Times New Roman" w:hAnsi="Times New Roman"/>
          <w:sz w:val="24"/>
          <w:szCs w:val="24"/>
        </w:rPr>
        <w:t xml:space="preserve">” </w:t>
      </w:r>
      <w:hyperlink r:id="rId139" w:history="1">
        <w:r w:rsidRPr="00A32FB7">
          <w:rPr>
            <w:rStyle w:val="Hyperlink"/>
            <w:rFonts w:ascii="Times New Roman" w:hAnsi="Times New Roman"/>
            <w:sz w:val="24"/>
            <w:szCs w:val="24"/>
          </w:rPr>
          <w:t>https://www.courts.michigan.gov/49940f/siteassets/case-documents/uploads/opinions/final/sct/164948_142_01.pdf</w:t>
        </w:r>
      </w:hyperlink>
      <w:r>
        <w:rPr>
          <w:rFonts w:ascii="Times New Roman" w:hAnsi="Times New Roman"/>
          <w:sz w:val="24"/>
          <w:szCs w:val="24"/>
        </w:rPr>
        <w:t xml:space="preserve"> </w:t>
      </w:r>
    </w:p>
    <w:p w14:paraId="5FBB60A6" w14:textId="77777777" w:rsidR="00BD2431" w:rsidRDefault="00BD2431" w:rsidP="006A0C24">
      <w:pPr>
        <w:pStyle w:val="NoSpacing"/>
        <w:rPr>
          <w:rFonts w:ascii="Times New Roman" w:hAnsi="Times New Roman"/>
          <w:b/>
          <w:bCs/>
          <w:sz w:val="24"/>
          <w:szCs w:val="24"/>
        </w:rPr>
      </w:pPr>
    </w:p>
    <w:p w14:paraId="7211ABA8" w14:textId="18A3D1FC" w:rsidR="006A0C24" w:rsidRPr="0026088F" w:rsidRDefault="006A0C24" w:rsidP="006A0C24">
      <w:pPr>
        <w:pStyle w:val="NoSpacing"/>
        <w:rPr>
          <w:rFonts w:ascii="Times New Roman" w:hAnsi="Times New Roman"/>
          <w:b/>
          <w:bCs/>
          <w:sz w:val="24"/>
          <w:szCs w:val="24"/>
        </w:rPr>
      </w:pPr>
      <w:r w:rsidRPr="0026088F">
        <w:rPr>
          <w:rFonts w:ascii="Times New Roman" w:hAnsi="Times New Roman"/>
          <w:b/>
          <w:bCs/>
          <w:sz w:val="24"/>
          <w:szCs w:val="24"/>
        </w:rPr>
        <w:t>Legal Lesson Learned:</w:t>
      </w:r>
      <w:r>
        <w:rPr>
          <w:rFonts w:ascii="Times New Roman" w:hAnsi="Times New Roman"/>
          <w:b/>
          <w:bCs/>
          <w:sz w:val="24"/>
          <w:szCs w:val="24"/>
        </w:rPr>
        <w:t xml:space="preserve"> To avoid motions to suppress, consider getting an administrative search warrant prior to using drone to videotape zoning violation. </w:t>
      </w:r>
      <w:r w:rsidR="002A2715">
        <w:rPr>
          <w:rFonts w:ascii="Times New Roman" w:hAnsi="Times New Roman"/>
          <w:b/>
          <w:bCs/>
          <w:sz w:val="24"/>
          <w:szCs w:val="24"/>
        </w:rPr>
        <w:t xml:space="preserve"> </w:t>
      </w:r>
    </w:p>
    <w:p w14:paraId="6D6C62A8" w14:textId="77777777" w:rsidR="006A0C24" w:rsidRDefault="006A0C24" w:rsidP="00B86628">
      <w:pPr>
        <w:pStyle w:val="NoSpacing"/>
        <w:rPr>
          <w:rFonts w:ascii="Arial Black" w:hAnsi="Arial Black"/>
          <w:sz w:val="24"/>
          <w:szCs w:val="24"/>
        </w:rPr>
      </w:pPr>
    </w:p>
    <w:p w14:paraId="1D579FC3" w14:textId="73C16C1B" w:rsidR="002422E0" w:rsidRDefault="002422E0" w:rsidP="002422E0">
      <w:pPr>
        <w:pStyle w:val="NoSpacing"/>
        <w:ind w:left="720"/>
        <w:rPr>
          <w:rFonts w:ascii="Times New Roman" w:hAnsi="Times New Roman"/>
          <w:sz w:val="24"/>
          <w:szCs w:val="24"/>
        </w:rPr>
      </w:pPr>
      <w:r>
        <w:rPr>
          <w:rFonts w:ascii="Times New Roman" w:hAnsi="Times New Roman"/>
          <w:sz w:val="24"/>
          <w:szCs w:val="24"/>
        </w:rPr>
        <w:t xml:space="preserve">Note:  See these articles on the case.  </w:t>
      </w:r>
    </w:p>
    <w:p w14:paraId="4598C6B1" w14:textId="77777777" w:rsidR="002422E0" w:rsidRDefault="002422E0" w:rsidP="002422E0">
      <w:pPr>
        <w:pStyle w:val="NoSpacing"/>
        <w:ind w:left="720"/>
        <w:rPr>
          <w:rFonts w:ascii="Times New Roman" w:hAnsi="Times New Roman"/>
          <w:sz w:val="24"/>
          <w:szCs w:val="24"/>
        </w:rPr>
      </w:pPr>
      <w:r w:rsidRPr="00F65379">
        <w:rPr>
          <w:rFonts w:ascii="Times New Roman" w:hAnsi="Times New Roman"/>
          <w:sz w:val="24"/>
          <w:szCs w:val="24"/>
        </w:rPr>
        <w:t xml:space="preserve">July 22, 2024: This Michigan Supreme Court Case Has the Potential to Guide Drone and Air Rights Law for the Nation. </w:t>
      </w:r>
      <w:hyperlink r:id="rId140" w:history="1">
        <w:r w:rsidRPr="00F65379">
          <w:rPr>
            <w:rStyle w:val="Hyperlink"/>
            <w:rFonts w:ascii="Times New Roman" w:hAnsi="Times New Roman"/>
            <w:sz w:val="24"/>
            <w:szCs w:val="24"/>
          </w:rPr>
          <w:t>https://natlawreview.com/article/michigan-supreme-court-case-has-potential-guide-drone-and-air-rights-law-nation</w:t>
        </w:r>
      </w:hyperlink>
      <w:r w:rsidRPr="00F65379">
        <w:rPr>
          <w:rFonts w:ascii="Times New Roman" w:hAnsi="Times New Roman"/>
          <w:sz w:val="24"/>
          <w:szCs w:val="24"/>
        </w:rPr>
        <w:t xml:space="preserve"> </w:t>
      </w:r>
    </w:p>
    <w:p w14:paraId="52B7E938" w14:textId="77777777" w:rsidR="00F841C3" w:rsidRDefault="00F841C3" w:rsidP="002422E0">
      <w:pPr>
        <w:pStyle w:val="NoSpacing"/>
        <w:ind w:left="720"/>
        <w:rPr>
          <w:rFonts w:ascii="Times New Roman" w:hAnsi="Times New Roman"/>
          <w:sz w:val="24"/>
          <w:szCs w:val="24"/>
        </w:rPr>
      </w:pPr>
    </w:p>
    <w:p w14:paraId="2099B73C" w14:textId="77777777" w:rsidR="00F841C3" w:rsidRPr="00DF31EA" w:rsidRDefault="00F841C3" w:rsidP="00F841C3">
      <w:pPr>
        <w:pStyle w:val="NoSpacing"/>
        <w:ind w:left="720"/>
        <w:rPr>
          <w:rFonts w:ascii="Times New Roman" w:hAnsi="Times New Roman"/>
          <w:sz w:val="24"/>
          <w:szCs w:val="24"/>
        </w:rPr>
      </w:pPr>
      <w:r w:rsidRPr="00DF31EA">
        <w:rPr>
          <w:rFonts w:ascii="Times New Roman" w:hAnsi="Times New Roman"/>
          <w:sz w:val="24"/>
          <w:szCs w:val="24"/>
        </w:rPr>
        <w:t xml:space="preserve">May 8. 2024: Michigan Supreme Court Allows Drone Surveillance Evidence in Civil Case </w:t>
      </w:r>
      <w:hyperlink r:id="rId141" w:history="1">
        <w:r w:rsidRPr="00DF31EA">
          <w:rPr>
            <w:rStyle w:val="Hyperlink"/>
            <w:rFonts w:ascii="Times New Roman" w:hAnsi="Times New Roman"/>
            <w:sz w:val="24"/>
            <w:szCs w:val="24"/>
          </w:rPr>
          <w:t>https://dronelife.com/2024/05/08/michigan-supreme-court-allows-drone-surveillance-evidence-in-civil-case/</w:t>
        </w:r>
      </w:hyperlink>
      <w:r w:rsidRPr="00DF31EA">
        <w:rPr>
          <w:rFonts w:ascii="Times New Roman" w:hAnsi="Times New Roman"/>
          <w:sz w:val="24"/>
          <w:szCs w:val="24"/>
        </w:rPr>
        <w:t xml:space="preserve"> </w:t>
      </w:r>
    </w:p>
    <w:p w14:paraId="27D7E5DA" w14:textId="77777777" w:rsidR="00F841C3" w:rsidRPr="00F65379" w:rsidRDefault="00F841C3" w:rsidP="002422E0">
      <w:pPr>
        <w:pStyle w:val="NoSpacing"/>
        <w:ind w:left="720"/>
        <w:rPr>
          <w:rFonts w:ascii="Times New Roman" w:hAnsi="Times New Roman"/>
          <w:sz w:val="24"/>
          <w:szCs w:val="24"/>
        </w:rPr>
      </w:pPr>
    </w:p>
    <w:p w14:paraId="110B5FC0" w14:textId="77777777" w:rsidR="002422E0" w:rsidRPr="00F65379" w:rsidRDefault="002422E0" w:rsidP="002422E0">
      <w:pPr>
        <w:pStyle w:val="NoSpacing"/>
        <w:ind w:left="720"/>
        <w:rPr>
          <w:rFonts w:ascii="Times New Roman" w:hAnsi="Times New Roman"/>
          <w:sz w:val="24"/>
          <w:szCs w:val="24"/>
        </w:rPr>
      </w:pPr>
    </w:p>
    <w:p w14:paraId="7C650E5B" w14:textId="77777777" w:rsidR="002422E0" w:rsidRPr="00F65379" w:rsidRDefault="002422E0" w:rsidP="002422E0">
      <w:pPr>
        <w:pStyle w:val="NoSpacing"/>
        <w:ind w:left="720"/>
        <w:rPr>
          <w:rFonts w:ascii="Times New Roman" w:hAnsi="Times New Roman"/>
          <w:sz w:val="24"/>
          <w:szCs w:val="24"/>
        </w:rPr>
      </w:pPr>
      <w:r w:rsidRPr="00F65379">
        <w:rPr>
          <w:rFonts w:ascii="Times New Roman" w:hAnsi="Times New Roman"/>
          <w:sz w:val="24"/>
          <w:szCs w:val="24"/>
        </w:rPr>
        <w:t xml:space="preserve">May 3, 2024: Michigan Supreme Court rules against </w:t>
      </w:r>
      <w:proofErr w:type="gramStart"/>
      <w:r w:rsidRPr="00F65379">
        <w:rPr>
          <w:rFonts w:ascii="Times New Roman" w:hAnsi="Times New Roman"/>
          <w:sz w:val="24"/>
          <w:szCs w:val="24"/>
        </w:rPr>
        <w:t>couple</w:t>
      </w:r>
      <w:proofErr w:type="gramEnd"/>
      <w:r w:rsidRPr="00F65379">
        <w:rPr>
          <w:rFonts w:ascii="Times New Roman" w:hAnsi="Times New Roman"/>
          <w:sz w:val="24"/>
          <w:szCs w:val="24"/>
        </w:rPr>
        <w:t xml:space="preserve"> in </w:t>
      </w:r>
      <w:proofErr w:type="gramStart"/>
      <w:r w:rsidRPr="00F65379">
        <w:rPr>
          <w:rFonts w:ascii="Times New Roman" w:hAnsi="Times New Roman"/>
          <w:sz w:val="24"/>
          <w:szCs w:val="24"/>
        </w:rPr>
        <w:t>dispute</w:t>
      </w:r>
      <w:proofErr w:type="gramEnd"/>
      <w:r w:rsidRPr="00F65379">
        <w:rPr>
          <w:rFonts w:ascii="Times New Roman" w:hAnsi="Times New Roman"/>
          <w:sz w:val="24"/>
          <w:szCs w:val="24"/>
        </w:rPr>
        <w:t xml:space="preserve"> over privacy and drone photos of land. </w:t>
      </w:r>
      <w:hyperlink r:id="rId142" w:history="1">
        <w:r w:rsidRPr="00F65379">
          <w:rPr>
            <w:rStyle w:val="Hyperlink"/>
            <w:rFonts w:ascii="Times New Roman" w:hAnsi="Times New Roman"/>
            <w:sz w:val="24"/>
            <w:szCs w:val="24"/>
          </w:rPr>
          <w:t>https://apnews.com/article/michigan-drone-photos-constitution-3c30154b6f1af1b234c1cc8f64945237</w:t>
        </w:r>
      </w:hyperlink>
      <w:r w:rsidRPr="00F65379">
        <w:rPr>
          <w:rFonts w:ascii="Times New Roman" w:hAnsi="Times New Roman"/>
          <w:sz w:val="24"/>
          <w:szCs w:val="24"/>
        </w:rPr>
        <w:t xml:space="preserve"> </w:t>
      </w:r>
    </w:p>
    <w:p w14:paraId="1F2B81F5" w14:textId="77777777" w:rsidR="002422E0" w:rsidRPr="00F65379" w:rsidRDefault="002422E0" w:rsidP="002422E0">
      <w:pPr>
        <w:pStyle w:val="NoSpacing"/>
        <w:ind w:left="720"/>
        <w:rPr>
          <w:rFonts w:ascii="Times New Roman" w:hAnsi="Times New Roman"/>
          <w:sz w:val="24"/>
          <w:szCs w:val="24"/>
        </w:rPr>
      </w:pPr>
    </w:p>
    <w:p w14:paraId="632549CD" w14:textId="77777777" w:rsidR="002422E0" w:rsidRPr="00F65379" w:rsidRDefault="002422E0" w:rsidP="002422E0">
      <w:pPr>
        <w:pStyle w:val="NoSpacing"/>
        <w:ind w:left="720"/>
        <w:rPr>
          <w:rFonts w:ascii="Times New Roman" w:hAnsi="Times New Roman"/>
          <w:sz w:val="24"/>
          <w:szCs w:val="24"/>
        </w:rPr>
      </w:pPr>
      <w:r w:rsidRPr="00F65379">
        <w:rPr>
          <w:rFonts w:ascii="Times New Roman" w:hAnsi="Times New Roman"/>
          <w:sz w:val="24"/>
          <w:szCs w:val="24"/>
        </w:rPr>
        <w:t xml:space="preserve">Nov. 15, 2023: Little-known Michigan court case could have massive constitutional effects across the nation. </w:t>
      </w:r>
      <w:hyperlink r:id="rId143" w:history="1">
        <w:r w:rsidRPr="00F65379">
          <w:rPr>
            <w:rStyle w:val="Hyperlink"/>
            <w:rFonts w:ascii="Times New Roman" w:hAnsi="Times New Roman"/>
            <w:sz w:val="24"/>
            <w:szCs w:val="24"/>
          </w:rPr>
          <w:t>https://www.washingtonexaminer.com/opinion/beltway-confidential/2771350/little-known-michigan-court-case-could-have-massive-constitutional-effects-across-the-nation/</w:t>
        </w:r>
      </w:hyperlink>
      <w:r w:rsidRPr="00F65379">
        <w:rPr>
          <w:rFonts w:ascii="Times New Roman" w:hAnsi="Times New Roman"/>
          <w:sz w:val="24"/>
          <w:szCs w:val="24"/>
        </w:rPr>
        <w:t xml:space="preserve"> </w:t>
      </w:r>
    </w:p>
    <w:p w14:paraId="288D2759" w14:textId="77777777" w:rsidR="002422E0" w:rsidRPr="00F65379" w:rsidRDefault="002422E0" w:rsidP="002422E0">
      <w:pPr>
        <w:pStyle w:val="NoSpacing"/>
        <w:ind w:left="720"/>
        <w:rPr>
          <w:rFonts w:ascii="Times New Roman" w:hAnsi="Times New Roman"/>
          <w:sz w:val="24"/>
          <w:szCs w:val="24"/>
        </w:rPr>
      </w:pPr>
    </w:p>
    <w:p w14:paraId="36EF81E9" w14:textId="77777777" w:rsidR="002422E0" w:rsidRDefault="002422E0" w:rsidP="00B86628">
      <w:pPr>
        <w:pStyle w:val="NoSpacing"/>
        <w:rPr>
          <w:rFonts w:ascii="Arial Black" w:hAnsi="Arial Black"/>
          <w:sz w:val="24"/>
          <w:szCs w:val="24"/>
        </w:rPr>
      </w:pPr>
    </w:p>
    <w:p w14:paraId="6814A441" w14:textId="77777777" w:rsidR="00D91CD7" w:rsidRDefault="00D91CD7" w:rsidP="00B86628">
      <w:pPr>
        <w:pStyle w:val="NoSpacing"/>
        <w:rPr>
          <w:rFonts w:ascii="Arial Black" w:hAnsi="Arial Black"/>
          <w:sz w:val="24"/>
          <w:szCs w:val="24"/>
        </w:rPr>
      </w:pPr>
    </w:p>
    <w:p w14:paraId="7B9B160C" w14:textId="075BCEAE" w:rsidR="00B86628" w:rsidRDefault="00B86628" w:rsidP="00B86628">
      <w:pPr>
        <w:pStyle w:val="NoSpacing"/>
        <w:rPr>
          <w:rFonts w:ascii="Arial Black" w:hAnsi="Arial Black"/>
          <w:sz w:val="24"/>
          <w:szCs w:val="24"/>
        </w:rPr>
      </w:pPr>
      <w:r>
        <w:rPr>
          <w:rFonts w:ascii="Arial Black" w:hAnsi="Arial Black"/>
          <w:sz w:val="24"/>
          <w:szCs w:val="24"/>
        </w:rPr>
        <w:t>1-147</w:t>
      </w:r>
    </w:p>
    <w:p w14:paraId="690FAA92" w14:textId="77777777" w:rsidR="00B86628" w:rsidRDefault="00B86628" w:rsidP="00F326E5">
      <w:pPr>
        <w:pStyle w:val="NoSpacing"/>
        <w:rPr>
          <w:rFonts w:ascii="Arial Black" w:hAnsi="Arial Black"/>
          <w:sz w:val="24"/>
          <w:szCs w:val="24"/>
        </w:rPr>
      </w:pPr>
    </w:p>
    <w:p w14:paraId="59174DED" w14:textId="77777777" w:rsidR="00B86628" w:rsidRPr="00227C43" w:rsidRDefault="00B86628" w:rsidP="00B86628">
      <w:pPr>
        <w:pStyle w:val="NormalWeb"/>
        <w:spacing w:before="0" w:beforeAutospacing="0"/>
        <w:rPr>
          <w:rFonts w:ascii="Arial Black" w:hAnsi="Arial Black"/>
          <w:sz w:val="28"/>
          <w:szCs w:val="28"/>
        </w:rPr>
      </w:pPr>
      <w:r>
        <w:rPr>
          <w:rFonts w:ascii="Arial Black" w:hAnsi="Arial Black"/>
          <w:sz w:val="28"/>
          <w:szCs w:val="28"/>
        </w:rPr>
        <w:t>OK: RV &amp; STRUCTURE FIRE – DUALING EXPERTS – ORIGIN IN RV’S REFRIGERATOR OR IN LOG PILE – BOTH QUALIFIED</w:t>
      </w:r>
    </w:p>
    <w:p w14:paraId="6E156625" w14:textId="77777777" w:rsidR="00B86628" w:rsidRDefault="00B86628" w:rsidP="00B86628">
      <w:pPr>
        <w:pStyle w:val="NormalWeb"/>
        <w:spacing w:before="0" w:beforeAutospacing="0"/>
      </w:pPr>
      <w:r>
        <w:t xml:space="preserve">On March 22, 2024, in </w:t>
      </w:r>
      <w:r w:rsidRPr="008B7C83">
        <w:rPr>
          <w:u w:val="single"/>
        </w:rPr>
        <w:t>Kevin W. Hoog and Rebecca Hoog v. Domestic Corporation</w:t>
      </w:r>
      <w:r>
        <w:t xml:space="preserve">, United States District Court Judge Jodi W. Dishan, U.S. District Court for Western District of Oklahoma, denied the plaintiffs’ motion to exclude the expert testimony of Walter Oliveaux, a certified fire and explosion expert, who will testify that the fire started in wood pile behind the structure, and not from the RV’s “gas absorption “ refrigerator. </w:t>
      </w:r>
    </w:p>
    <w:p w14:paraId="7D489C0E" w14:textId="7777777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5FC8C9B" w14:textId="77777777" w:rsidR="00B86628" w:rsidRDefault="00B86628" w:rsidP="00B86628">
      <w:pPr>
        <w:pStyle w:val="NormalWeb"/>
        <w:ind w:left="720"/>
      </w:pPr>
      <w:r>
        <w:t xml:space="preserve">“The admissibility of expert testimony is governed by Federal Rule of Evidence 702 and the Supreme Court's opinions in </w:t>
      </w:r>
      <w:r>
        <w:rPr>
          <w:rStyle w:val="Emphasis"/>
          <w:rFonts w:eastAsiaTheme="majorEastAsia"/>
        </w:rPr>
        <w:t>Daubert v. Merrell Dow Pharmaceuticals, Inc.</w:t>
      </w:r>
      <w:r>
        <w:t xml:space="preserve">, 509 U.S. 579 (1993) and </w:t>
      </w:r>
      <w:r>
        <w:rPr>
          <w:rStyle w:val="Emphasis"/>
          <w:rFonts w:eastAsiaTheme="majorEastAsia"/>
        </w:rPr>
        <w:t>Kumho Tire. S</w:t>
      </w:r>
      <w:r>
        <w:t xml:space="preserve">ee </w:t>
      </w:r>
      <w:r>
        <w:rPr>
          <w:rStyle w:val="Emphasis"/>
          <w:rFonts w:eastAsiaTheme="majorEastAsia"/>
        </w:rPr>
        <w:t>James River Ins. Co. v. Rapid Funding, LLC</w:t>
      </w:r>
      <w:r>
        <w:t>, 658 F.3d 1207, 1215 n.1 (10th Cir. 2011</w:t>
      </w:r>
      <w:proofErr w:type="gramStart"/>
      <w:r>
        <w:t>) (‘</w:t>
      </w:r>
      <w:proofErr w:type="gramEnd"/>
      <w:r>
        <w:t xml:space="preserve">If expert testimony is not reliable under </w:t>
      </w:r>
      <w:r>
        <w:rPr>
          <w:rStyle w:val="Emphasis"/>
          <w:rFonts w:eastAsiaTheme="majorEastAsia"/>
        </w:rPr>
        <w:t>Daubert/Kumho</w:t>
      </w:r>
      <w:r>
        <w:t xml:space="preserve">, it is not admissible under Rule 702.’). </w:t>
      </w:r>
    </w:p>
    <w:p w14:paraId="04AAF732" w14:textId="77777777" w:rsidR="00B86628" w:rsidRDefault="00B86628" w:rsidP="00B86628">
      <w:pPr>
        <w:pStyle w:val="NormalWeb"/>
        <w:ind w:left="720"/>
      </w:pPr>
      <w:r>
        <w:t>***</w:t>
      </w:r>
    </w:p>
    <w:p w14:paraId="2DD9E752" w14:textId="77777777" w:rsidR="00B86628" w:rsidRDefault="00B86628" w:rsidP="00B86628">
      <w:pPr>
        <w:pStyle w:val="NormalWeb"/>
        <w:ind w:left="720"/>
      </w:pPr>
      <w:r>
        <w:t xml:space="preserve">Mr. Oliveaux has been the Chief Investigator for SOS Investigations, Inc. for 30 years. In that role, he has investigated more than 1,000 fires, including RV fires where gas absorption refrigerators were present. He has provided expert consulting services in fire cause and origin investigations and accident reconstruction for three decades. Additionally, Mr. Oliveaux has served in several different capacities </w:t>
      </w:r>
      <w:proofErr w:type="gramStart"/>
      <w:r>
        <w:t>on</w:t>
      </w:r>
      <w:proofErr w:type="gramEnd"/>
      <w:r>
        <w:t xml:space="preserve"> the West Feliciana Fire Protection District from 1988 to the present, including as a firefighter, instructor, investigator, chief, assistant chief, and interim fire chief. As lead investigator for the department's fire investigations division, he led numerous arson and fire related death investigations. As such, the Court finds that his testimony will be helpful to the trier of fact, and he is qualified to proffer the opinions at issue.” </w:t>
      </w:r>
      <w:hyperlink r:id="rId144" w:history="1">
        <w:r w:rsidRPr="00525B4E">
          <w:rPr>
            <w:rStyle w:val="Hyperlink"/>
          </w:rPr>
          <w:t>https://public.fastcase.com/H1P9uiW3J20SFp%2BGCG%2BxLV1UD86YIpCG84PV7X%2BpnT1bSBvGb5%2F4r%2Bji24INAH28OEKlXyJ%2BAop5b2VZ9ytUlZZgkAmHpAE%2FiqsvJv8QoS0%3D?utm_medium=email&amp;_hsmi=226712652&amp;_hsenc=p2ANqtz--ZkRdN2zXdoxrl3owB4KoaH3odsucPmvtI49_VzIkvckm0OogBea4uvwy0e_nUnYms3ZfEOMqgWPnXMJBVQxzHG3rvjg&amp;utm_content=226712652&amp;utm_source=hs_email</w:t>
        </w:r>
      </w:hyperlink>
      <w:r>
        <w:t xml:space="preserve">  </w:t>
      </w:r>
    </w:p>
    <w:p w14:paraId="2E1E8B00" w14:textId="77777777" w:rsidR="00B86628" w:rsidRPr="003F297A" w:rsidRDefault="00B86628" w:rsidP="00B86628">
      <w:pPr>
        <w:pStyle w:val="NormalWeb"/>
        <w:rPr>
          <w:b/>
          <w:bCs/>
        </w:rPr>
      </w:pPr>
      <w:r>
        <w:rPr>
          <w:b/>
          <w:bCs/>
        </w:rPr>
        <w:t xml:space="preserve">Legal Lesson Learned:  Expert testimony on origin and cause by both plaintiff and defense is not unusual.  </w:t>
      </w:r>
    </w:p>
    <w:p w14:paraId="64C756AB" w14:textId="77777777" w:rsidR="00B86628" w:rsidRPr="00B86628" w:rsidRDefault="00B86628" w:rsidP="00B86628">
      <w:pPr>
        <w:pStyle w:val="Heading1"/>
        <w:ind w:left="720"/>
        <w:rPr>
          <w:b w:val="0"/>
          <w:bCs w:val="0"/>
          <w:sz w:val="24"/>
          <w:szCs w:val="24"/>
        </w:rPr>
      </w:pPr>
      <w:r w:rsidRPr="00B86628">
        <w:rPr>
          <w:b w:val="0"/>
          <w:bCs w:val="0"/>
          <w:sz w:val="24"/>
          <w:szCs w:val="24"/>
        </w:rPr>
        <w:t xml:space="preserve">Note: See Footnote 3: “Additionally, the Court notes that Edmond Fire Department Assistant Chief Mike Fitzgerald completed his investigation after his department extinguished the fire in the early morning hours of March 31, 2018. Due to the extreme fire damage sustained by the structure, Mr. Fitzgerald advised he was unable to determine </w:t>
      </w:r>
      <w:proofErr w:type="gramStart"/>
      <w:r w:rsidRPr="00B86628">
        <w:rPr>
          <w:b w:val="0"/>
          <w:bCs w:val="0"/>
          <w:sz w:val="24"/>
          <w:szCs w:val="24"/>
        </w:rPr>
        <w:t>an</w:t>
      </w:r>
      <w:proofErr w:type="gramEnd"/>
      <w:r w:rsidRPr="00B86628">
        <w:rPr>
          <w:b w:val="0"/>
          <w:bCs w:val="0"/>
          <w:sz w:val="24"/>
          <w:szCs w:val="24"/>
        </w:rPr>
        <w:t xml:space="preserve"> origin or cause of the fire, and the official cause of the fire was listed as ‘undetermined.’ However, he did indicate based on physical evidence and witness statements that in his opinion the area of origin was near or in the motor home or along the north wall by the electrical panel.”</w:t>
      </w:r>
    </w:p>
    <w:p w14:paraId="4E54BC88" w14:textId="77777777" w:rsidR="00B86628" w:rsidRPr="006E7129" w:rsidRDefault="00B86628" w:rsidP="00B86628">
      <w:pPr>
        <w:pStyle w:val="Heading1"/>
        <w:ind w:left="720"/>
        <w:rPr>
          <w:sz w:val="24"/>
          <w:szCs w:val="24"/>
        </w:rPr>
      </w:pPr>
      <w:r w:rsidRPr="006E7129">
        <w:rPr>
          <w:sz w:val="24"/>
          <w:szCs w:val="24"/>
        </w:rPr>
        <w:t xml:space="preserve">See article, “RV HVAC | How Absorption Refrigeration Works.” </w:t>
      </w:r>
      <w:hyperlink r:id="rId145" w:history="1">
        <w:r w:rsidRPr="00525B4E">
          <w:rPr>
            <w:rStyle w:val="Hyperlink"/>
            <w:sz w:val="24"/>
            <w:szCs w:val="24"/>
          </w:rPr>
          <w:t>https://haderhvac.com/blog/rv-hvac-absorption-refrigeration/</w:t>
        </w:r>
      </w:hyperlink>
      <w:r>
        <w:rPr>
          <w:sz w:val="24"/>
          <w:szCs w:val="24"/>
        </w:rPr>
        <w:t xml:space="preserve"> </w:t>
      </w:r>
    </w:p>
    <w:p w14:paraId="23D18227" w14:textId="77777777" w:rsidR="00B86628" w:rsidRDefault="00B86628" w:rsidP="00B86628">
      <w:pPr>
        <w:pStyle w:val="NormalWeb"/>
        <w:ind w:left="720"/>
      </w:pPr>
      <w:r>
        <w:t>“Absorption refrigeration units use heat to make cold through a process that is somewhat difficult to understand. However, understanding how the unit works can give owners a greater appreciation for and more knowledge about maintaining the device.</w:t>
      </w:r>
    </w:p>
    <w:p w14:paraId="377AD65B" w14:textId="77777777" w:rsidR="00B86628" w:rsidRDefault="00B86628" w:rsidP="00B86628">
      <w:pPr>
        <w:pStyle w:val="NormalWeb"/>
        <w:ind w:left="720"/>
      </w:pPr>
      <w:r>
        <w:t xml:space="preserve">Absorption refrigeration units have four main parts – the boiler, condenser, evaporators, and absorber. Inside the boiler, water and liquid ammonia are boiled by heat from an electrical coil or gas flame; the water separates from the ammonia and returns to the boiler while the ammonia travels up through the pipes to the condenser, where it becomes liquid again. After condensing into a liquid, hydrogen vapor is added to the ammonia in the low temperature evaporator, which </w:t>
      </w:r>
      <w:proofErr w:type="gramStart"/>
      <w:r>
        <w:t>is located in</w:t>
      </w:r>
      <w:proofErr w:type="gramEnd"/>
      <w:r>
        <w:t xml:space="preserve"> the freezer section of the refrigerator. At this point, heat from the freezer is absorbed by the liquid ammonia and hydrogen gas mixture in the pipes, then passed on to the exterior of the fridge. From the low temperature evaporator in the freezer, the ammonia and hydrogen travel through more pipes to the high-temperature evaporator, which cools the fridge section of the refrigerator, but not as much as the freezer. Once the ammonia has passed through both evaporators, it enters the absorber. In the absorber coils, it is separated from the gaseous hydrogen – which rises back into the evaporators – and mixed with water before returning to the boiler.”</w:t>
      </w:r>
    </w:p>
    <w:p w14:paraId="66238B7D" w14:textId="77777777" w:rsidR="00A4617E" w:rsidRDefault="00A4617E" w:rsidP="00B86628">
      <w:pPr>
        <w:pStyle w:val="NoSpacing"/>
        <w:rPr>
          <w:rFonts w:ascii="Arial Black" w:hAnsi="Arial Black"/>
          <w:sz w:val="24"/>
          <w:szCs w:val="24"/>
        </w:rPr>
      </w:pPr>
    </w:p>
    <w:p w14:paraId="2F92AA12" w14:textId="6B3B89D4" w:rsidR="00B86628" w:rsidRDefault="00B86628" w:rsidP="00B86628">
      <w:pPr>
        <w:pStyle w:val="NoSpacing"/>
        <w:rPr>
          <w:rFonts w:ascii="Arial Black" w:hAnsi="Arial Black"/>
          <w:sz w:val="24"/>
          <w:szCs w:val="24"/>
        </w:rPr>
      </w:pPr>
      <w:r>
        <w:rPr>
          <w:rFonts w:ascii="Arial Black" w:hAnsi="Arial Black"/>
          <w:sz w:val="24"/>
          <w:szCs w:val="24"/>
        </w:rPr>
        <w:t>1-146</w:t>
      </w:r>
    </w:p>
    <w:p w14:paraId="7E7E1FC5" w14:textId="77777777" w:rsidR="00B86628" w:rsidRDefault="00B86628" w:rsidP="00B86628">
      <w:pPr>
        <w:pStyle w:val="NormalWeb"/>
        <w:spacing w:before="0" w:beforeAutospacing="0"/>
      </w:pPr>
    </w:p>
    <w:p w14:paraId="2F6462E5" w14:textId="114841CA" w:rsidR="00B86628" w:rsidRPr="00073A85" w:rsidRDefault="00B86628" w:rsidP="00B86628">
      <w:pPr>
        <w:pStyle w:val="NoSpacing"/>
        <w:rPr>
          <w:rFonts w:ascii="Arial Black" w:hAnsi="Arial Black"/>
          <w:sz w:val="28"/>
          <w:szCs w:val="28"/>
        </w:rPr>
      </w:pPr>
      <w:r>
        <w:rPr>
          <w:rFonts w:ascii="Arial Black" w:hAnsi="Arial Black"/>
          <w:sz w:val="28"/>
          <w:szCs w:val="28"/>
        </w:rPr>
        <w:t xml:space="preserve">U.S. SUPREME CT: CITY MGR. PERSONAL FACEBOOK PAGE – OK </w:t>
      </w:r>
      <w:r w:rsidR="00DC68EE">
        <w:rPr>
          <w:rFonts w:ascii="Arial Black" w:hAnsi="Arial Black"/>
          <w:sz w:val="28"/>
          <w:szCs w:val="28"/>
        </w:rPr>
        <w:t xml:space="preserve">FOR MGR. </w:t>
      </w:r>
      <w:r>
        <w:rPr>
          <w:rFonts w:ascii="Arial Black" w:hAnsi="Arial Black"/>
          <w:sz w:val="28"/>
          <w:szCs w:val="28"/>
        </w:rPr>
        <w:t xml:space="preserve">TO BLOCK CITIZEN’S NEG. POSTS </w:t>
      </w:r>
      <w:r w:rsidR="008653A5">
        <w:rPr>
          <w:rFonts w:ascii="Arial Black" w:hAnsi="Arial Black"/>
          <w:sz w:val="28"/>
          <w:szCs w:val="28"/>
        </w:rPr>
        <w:t>SINCE PERSONAL PAGE</w:t>
      </w:r>
    </w:p>
    <w:p w14:paraId="3932C7CE" w14:textId="77777777" w:rsidR="00B86628" w:rsidRDefault="00B86628" w:rsidP="00B86628">
      <w:pPr>
        <w:pStyle w:val="NoSpacing"/>
        <w:rPr>
          <w:rFonts w:ascii="Times New Roman" w:hAnsi="Times New Roman"/>
          <w:sz w:val="24"/>
          <w:szCs w:val="24"/>
          <w:shd w:val="clear" w:color="auto" w:fill="FFFFFF"/>
        </w:rPr>
      </w:pPr>
    </w:p>
    <w:p w14:paraId="6C27F0CA" w14:textId="32067B65" w:rsidR="00B86628" w:rsidRDefault="00B86628" w:rsidP="00B86628">
      <w:pPr>
        <w:pStyle w:val="NoSpacing"/>
        <w:rPr>
          <w:rFonts w:ascii="Times New Roman" w:hAnsi="Times New Roman"/>
          <w:sz w:val="24"/>
          <w:szCs w:val="24"/>
          <w:shd w:val="clear" w:color="auto" w:fill="FFFFFF"/>
        </w:rPr>
      </w:pPr>
      <w:r w:rsidRPr="004C0299">
        <w:rPr>
          <w:rFonts w:ascii="Times New Roman" w:hAnsi="Times New Roman"/>
          <w:sz w:val="24"/>
          <w:szCs w:val="24"/>
          <w:shd w:val="clear" w:color="auto" w:fill="FFFFFF"/>
        </w:rPr>
        <w:t xml:space="preserve">On March 15, 2024, in </w:t>
      </w:r>
      <w:r w:rsidRPr="004C0299">
        <w:rPr>
          <w:rFonts w:ascii="Times New Roman" w:hAnsi="Times New Roman"/>
          <w:sz w:val="24"/>
          <w:szCs w:val="24"/>
          <w:u w:val="single"/>
          <w:shd w:val="clear" w:color="auto" w:fill="FFFFFF"/>
        </w:rPr>
        <w:t>Kevin Lindke v. James Freed</w:t>
      </w:r>
      <w:r w:rsidRPr="004C0299">
        <w:rPr>
          <w:rFonts w:ascii="Times New Roman" w:hAnsi="Times New Roman"/>
          <w:sz w:val="24"/>
          <w:szCs w:val="24"/>
          <w:shd w:val="clear" w:color="auto" w:fill="FFFFFF"/>
        </w:rPr>
        <w:t>, the United States Supreme Court held (9 to 0</w:t>
      </w:r>
      <w:r>
        <w:rPr>
          <w:rFonts w:ascii="Times New Roman" w:hAnsi="Times New Roman"/>
          <w:sz w:val="24"/>
          <w:szCs w:val="24"/>
          <w:shd w:val="clear" w:color="auto" w:fill="FFFFFF"/>
        </w:rPr>
        <w:t xml:space="preserve">; opinion </w:t>
      </w:r>
      <w:r w:rsidRPr="006B544B">
        <w:rPr>
          <w:rFonts w:ascii="Times New Roman" w:hAnsi="Times New Roman"/>
          <w:sz w:val="24"/>
          <w:szCs w:val="24"/>
          <w:shd w:val="clear" w:color="auto" w:fill="FFFFFF"/>
        </w:rPr>
        <w:t xml:space="preserve">by Justice </w:t>
      </w:r>
      <w:r w:rsidRPr="006B544B">
        <w:rPr>
          <w:rFonts w:ascii="Times New Roman" w:hAnsi="Times New Roman"/>
          <w:sz w:val="24"/>
          <w:szCs w:val="24"/>
        </w:rPr>
        <w:t>Amy Barrett</w:t>
      </w:r>
      <w:r w:rsidRPr="006B544B">
        <w:rPr>
          <w:rFonts w:ascii="Times New Roman" w:hAnsi="Times New Roman"/>
          <w:sz w:val="24"/>
          <w:szCs w:val="24"/>
          <w:shd w:val="clear" w:color="auto" w:fill="FFFFFF"/>
        </w:rPr>
        <w:t>)</w:t>
      </w:r>
      <w:r w:rsidRPr="004C0299">
        <w:rPr>
          <w:rFonts w:ascii="Times New Roman" w:hAnsi="Times New Roman"/>
          <w:sz w:val="24"/>
          <w:szCs w:val="24"/>
          <w:shd w:val="clear" w:color="auto" w:fill="FFFFFF"/>
        </w:rPr>
        <w:t xml:space="preserve"> that James Freed, </w:t>
      </w:r>
      <w:r>
        <w:rPr>
          <w:rFonts w:ascii="Times New Roman" w:hAnsi="Times New Roman"/>
          <w:sz w:val="24"/>
          <w:szCs w:val="24"/>
          <w:shd w:val="clear" w:color="auto" w:fill="FFFFFF"/>
        </w:rPr>
        <w:t xml:space="preserve">who has a personal FACEBOOK page with family photos, and in 2014 became </w:t>
      </w:r>
      <w:r w:rsidRPr="004C0299">
        <w:rPr>
          <w:rFonts w:ascii="Times New Roman" w:hAnsi="Times New Roman"/>
          <w:sz w:val="24"/>
          <w:szCs w:val="24"/>
          <w:shd w:val="clear" w:color="auto" w:fill="FFFFFF"/>
        </w:rPr>
        <w:t>City Manager of Port Huron, Michigan</w:t>
      </w:r>
      <w:r>
        <w:rPr>
          <w:rFonts w:ascii="Times New Roman" w:hAnsi="Times New Roman"/>
          <w:sz w:val="24"/>
          <w:szCs w:val="24"/>
          <w:shd w:val="clear" w:color="auto" w:fill="FFFFFF"/>
        </w:rPr>
        <w:t>, cannot be sued for blocking negative comments by a resident. The First Amendment lawsuit was dismissed by a U.S. District Court judge in Michigan, and the dismissal upheld by the U.S. Court of Appeals for 6</w:t>
      </w:r>
      <w:r w:rsidRPr="00364CE0">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(Cincinnati). </w:t>
      </w:r>
      <w:hyperlink r:id="rId146" w:history="1">
        <w:r w:rsidR="00CA3B7B" w:rsidRPr="007616D4">
          <w:rPr>
            <w:rStyle w:val="Hyperlink"/>
          </w:rPr>
          <w:t>https://www.supremecourt.gov/opinions/23pdf/22-324_09m1.pdf</w:t>
        </w:r>
      </w:hyperlink>
      <w:r w:rsidR="00CA3B7B">
        <w:rPr>
          <w:rStyle w:val="Hyperlink"/>
        </w:rPr>
        <w:t xml:space="preserve"> </w:t>
      </w:r>
    </w:p>
    <w:p w14:paraId="128AEECE" w14:textId="77777777" w:rsidR="009A27F2" w:rsidRDefault="009A27F2" w:rsidP="009A27F2">
      <w:pPr>
        <w:pStyle w:val="NoSpacing"/>
        <w:rPr>
          <w:rFonts w:ascii="Times New Roman" w:hAnsi="Times New Roman"/>
          <w:sz w:val="24"/>
          <w:szCs w:val="24"/>
          <w:shd w:val="clear" w:color="auto" w:fill="FFFFFF"/>
        </w:rPr>
      </w:pPr>
    </w:p>
    <w:p w14:paraId="3FFD1178" w14:textId="64971198"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A3074C9" w14:textId="77777777" w:rsidR="009A27F2" w:rsidRPr="004C0299" w:rsidRDefault="009A27F2" w:rsidP="00B86628">
      <w:pPr>
        <w:pStyle w:val="NoSpacing"/>
        <w:rPr>
          <w:rFonts w:ascii="Times New Roman" w:hAnsi="Times New Roman"/>
          <w:sz w:val="24"/>
          <w:szCs w:val="24"/>
        </w:rPr>
      </w:pPr>
    </w:p>
    <w:p w14:paraId="5DB8EC68" w14:textId="77777777" w:rsidR="00B86628" w:rsidRPr="00E55007" w:rsidRDefault="00B86628" w:rsidP="00B86628">
      <w:pPr>
        <w:pStyle w:val="NoSpacing"/>
        <w:ind w:left="720"/>
        <w:rPr>
          <w:rFonts w:ascii="Times New Roman" w:hAnsi="Times New Roman"/>
          <w:sz w:val="24"/>
          <w:szCs w:val="24"/>
        </w:rPr>
      </w:pPr>
      <w:r>
        <w:t>“</w:t>
      </w:r>
      <w:r w:rsidRPr="00E55007">
        <w:rPr>
          <w:rFonts w:ascii="Times New Roman" w:hAnsi="Times New Roman"/>
          <w:sz w:val="24"/>
          <w:szCs w:val="24"/>
        </w:rPr>
        <w:t>Freed did not relinquish his First Amendment</w:t>
      </w:r>
      <w:r>
        <w:rPr>
          <w:rFonts w:ascii="Times New Roman" w:hAnsi="Times New Roman"/>
          <w:sz w:val="24"/>
          <w:szCs w:val="24"/>
        </w:rPr>
        <w:t xml:space="preserve"> </w:t>
      </w:r>
      <w:r w:rsidRPr="00E55007">
        <w:rPr>
          <w:rFonts w:ascii="Times New Roman" w:hAnsi="Times New Roman"/>
          <w:sz w:val="24"/>
          <w:szCs w:val="24"/>
        </w:rPr>
        <w:t xml:space="preserve">rights when he became city manager. On the contrary, </w:t>
      </w:r>
      <w:r>
        <w:rPr>
          <w:rFonts w:ascii="Times New Roman" w:hAnsi="Times New Roman"/>
          <w:sz w:val="24"/>
          <w:szCs w:val="24"/>
        </w:rPr>
        <w:t>‘</w:t>
      </w:r>
      <w:r w:rsidRPr="00E55007">
        <w:rPr>
          <w:rFonts w:ascii="Times New Roman" w:hAnsi="Times New Roman"/>
          <w:sz w:val="24"/>
          <w:szCs w:val="24"/>
        </w:rPr>
        <w:t>the</w:t>
      </w:r>
      <w:r>
        <w:rPr>
          <w:rFonts w:ascii="Times New Roman" w:hAnsi="Times New Roman"/>
          <w:sz w:val="24"/>
          <w:szCs w:val="24"/>
        </w:rPr>
        <w:t xml:space="preserve"> </w:t>
      </w:r>
      <w:r w:rsidRPr="00E55007">
        <w:rPr>
          <w:rFonts w:ascii="Times New Roman" w:hAnsi="Times New Roman"/>
          <w:sz w:val="24"/>
          <w:szCs w:val="24"/>
        </w:rPr>
        <w:t>First Amendment protects a public employee’s right, in certain circumstances, to speak as a citizen addressing matters of public concern.</w:t>
      </w:r>
      <w:r>
        <w:rPr>
          <w:rFonts w:ascii="Times New Roman" w:hAnsi="Times New Roman"/>
          <w:sz w:val="24"/>
          <w:szCs w:val="24"/>
        </w:rPr>
        <w:t>’</w:t>
      </w:r>
      <w:r w:rsidRPr="00E55007">
        <w:rPr>
          <w:rFonts w:ascii="Times New Roman" w:hAnsi="Times New Roman"/>
          <w:sz w:val="24"/>
          <w:szCs w:val="24"/>
        </w:rPr>
        <w:t xml:space="preserve"> Garcetti v. Ceballos, 547 U. S. 410,</w:t>
      </w:r>
      <w:r>
        <w:rPr>
          <w:rFonts w:ascii="Times New Roman" w:hAnsi="Times New Roman"/>
          <w:sz w:val="24"/>
          <w:szCs w:val="24"/>
        </w:rPr>
        <w:t xml:space="preserve"> </w:t>
      </w:r>
      <w:r w:rsidRPr="00E55007">
        <w:rPr>
          <w:rFonts w:ascii="Times New Roman" w:hAnsi="Times New Roman"/>
          <w:sz w:val="24"/>
          <w:szCs w:val="24"/>
        </w:rPr>
        <w:t>417 (2006). This right includes the ability to speak about</w:t>
      </w:r>
    </w:p>
    <w:p w14:paraId="1A5242A0" w14:textId="77777777" w:rsidR="00B86628" w:rsidRPr="00E55007" w:rsidRDefault="00B86628" w:rsidP="00B86628">
      <w:pPr>
        <w:pStyle w:val="NoSpacing"/>
        <w:ind w:left="720"/>
        <w:rPr>
          <w:rFonts w:ascii="Times New Roman" w:hAnsi="Times New Roman"/>
          <w:sz w:val="24"/>
          <w:szCs w:val="24"/>
        </w:rPr>
      </w:pPr>
      <w:r>
        <w:rPr>
          <w:rFonts w:ascii="Times New Roman" w:hAnsi="Times New Roman"/>
          <w:sz w:val="24"/>
          <w:szCs w:val="24"/>
        </w:rPr>
        <w:t>‘</w:t>
      </w:r>
      <w:proofErr w:type="gramStart"/>
      <w:r w:rsidRPr="00E55007">
        <w:rPr>
          <w:rFonts w:ascii="Times New Roman" w:hAnsi="Times New Roman"/>
          <w:sz w:val="24"/>
          <w:szCs w:val="24"/>
        </w:rPr>
        <w:t>information</w:t>
      </w:r>
      <w:proofErr w:type="gramEnd"/>
      <w:r w:rsidRPr="00E55007">
        <w:rPr>
          <w:rFonts w:ascii="Times New Roman" w:hAnsi="Times New Roman"/>
          <w:sz w:val="24"/>
          <w:szCs w:val="24"/>
        </w:rPr>
        <w:t xml:space="preserve"> related to or learned through public employment,</w:t>
      </w:r>
      <w:r>
        <w:rPr>
          <w:rFonts w:ascii="Times New Roman" w:hAnsi="Times New Roman"/>
          <w:sz w:val="24"/>
          <w:szCs w:val="24"/>
        </w:rPr>
        <w:t>’</w:t>
      </w:r>
      <w:r w:rsidRPr="00E55007">
        <w:rPr>
          <w:rFonts w:ascii="Times New Roman" w:hAnsi="Times New Roman"/>
          <w:sz w:val="24"/>
          <w:szCs w:val="24"/>
        </w:rPr>
        <w:t xml:space="preserve"> so long as the speech is not </w:t>
      </w:r>
      <w:r>
        <w:rPr>
          <w:rFonts w:ascii="Times New Roman" w:hAnsi="Times New Roman"/>
          <w:sz w:val="24"/>
          <w:szCs w:val="24"/>
        </w:rPr>
        <w:t>‘</w:t>
      </w:r>
      <w:r w:rsidRPr="00E55007">
        <w:rPr>
          <w:rFonts w:ascii="Times New Roman" w:hAnsi="Times New Roman"/>
          <w:sz w:val="24"/>
          <w:szCs w:val="24"/>
        </w:rPr>
        <w:t>itself ordinarily within</w:t>
      </w:r>
      <w:r>
        <w:rPr>
          <w:rFonts w:ascii="Times New Roman" w:hAnsi="Times New Roman"/>
          <w:sz w:val="24"/>
          <w:szCs w:val="24"/>
        </w:rPr>
        <w:t xml:space="preserve"> </w:t>
      </w:r>
      <w:r w:rsidRPr="00E55007">
        <w:rPr>
          <w:rFonts w:ascii="Times New Roman" w:hAnsi="Times New Roman"/>
          <w:sz w:val="24"/>
          <w:szCs w:val="24"/>
        </w:rPr>
        <w:t>the scope of [the] employee’s duties.</w:t>
      </w:r>
      <w:r>
        <w:rPr>
          <w:rFonts w:ascii="Times New Roman" w:hAnsi="Times New Roman"/>
          <w:sz w:val="24"/>
          <w:szCs w:val="24"/>
        </w:rPr>
        <w:t>’</w:t>
      </w:r>
      <w:r w:rsidRPr="00E55007">
        <w:rPr>
          <w:rFonts w:ascii="Times New Roman" w:hAnsi="Times New Roman"/>
          <w:sz w:val="24"/>
          <w:szCs w:val="24"/>
        </w:rPr>
        <w:t xml:space="preserve"> Lane v. Franks, 573</w:t>
      </w:r>
    </w:p>
    <w:p w14:paraId="60D2BCBB" w14:textId="77777777" w:rsidR="00B86628" w:rsidRDefault="00B86628" w:rsidP="00B86628">
      <w:pPr>
        <w:pStyle w:val="NoSpacing"/>
        <w:ind w:firstLine="720"/>
        <w:rPr>
          <w:rFonts w:ascii="Times New Roman" w:hAnsi="Times New Roman"/>
          <w:sz w:val="24"/>
          <w:szCs w:val="24"/>
        </w:rPr>
      </w:pPr>
      <w:r w:rsidRPr="00E55007">
        <w:rPr>
          <w:rFonts w:ascii="Times New Roman" w:hAnsi="Times New Roman"/>
          <w:sz w:val="24"/>
          <w:szCs w:val="24"/>
        </w:rPr>
        <w:t>U. S. 228, 236, 240 (2014)</w:t>
      </w:r>
      <w:r>
        <w:rPr>
          <w:rFonts w:ascii="Times New Roman" w:hAnsi="Times New Roman"/>
          <w:sz w:val="24"/>
          <w:szCs w:val="24"/>
        </w:rPr>
        <w:t>.”</w:t>
      </w:r>
    </w:p>
    <w:p w14:paraId="0F9F2C27" w14:textId="77777777" w:rsidR="00B86628" w:rsidRDefault="00B86628" w:rsidP="00B86628">
      <w:pPr>
        <w:pStyle w:val="NoSpacing"/>
        <w:ind w:firstLine="720"/>
        <w:rPr>
          <w:rFonts w:ascii="Times New Roman" w:hAnsi="Times New Roman"/>
          <w:sz w:val="24"/>
          <w:szCs w:val="24"/>
        </w:rPr>
      </w:pPr>
    </w:p>
    <w:p w14:paraId="36EBE845" w14:textId="77777777" w:rsidR="00B86628" w:rsidRPr="007F37FA" w:rsidRDefault="00B86628" w:rsidP="00B86628">
      <w:pPr>
        <w:pStyle w:val="NoSpacing"/>
        <w:rPr>
          <w:rFonts w:ascii="Times New Roman" w:hAnsi="Times New Roman"/>
          <w:b/>
          <w:bCs/>
          <w:sz w:val="24"/>
          <w:szCs w:val="24"/>
        </w:rPr>
      </w:pPr>
      <w:r w:rsidRPr="007F37FA">
        <w:rPr>
          <w:rFonts w:ascii="Times New Roman" w:hAnsi="Times New Roman"/>
          <w:b/>
          <w:bCs/>
          <w:sz w:val="24"/>
          <w:szCs w:val="24"/>
        </w:rPr>
        <w:t xml:space="preserve">Legal Lesson Learned: When fire or EMS are posting on </w:t>
      </w:r>
      <w:proofErr w:type="gramStart"/>
      <w:r w:rsidRPr="007F37FA">
        <w:rPr>
          <w:rFonts w:ascii="Times New Roman" w:hAnsi="Times New Roman"/>
          <w:b/>
          <w:bCs/>
          <w:sz w:val="24"/>
          <w:szCs w:val="24"/>
        </w:rPr>
        <w:t>Social Media</w:t>
      </w:r>
      <w:proofErr w:type="gramEnd"/>
      <w:r w:rsidRPr="007F37FA">
        <w:rPr>
          <w:rFonts w:ascii="Times New Roman" w:hAnsi="Times New Roman"/>
          <w:b/>
          <w:bCs/>
          <w:sz w:val="24"/>
          <w:szCs w:val="24"/>
        </w:rPr>
        <w:t>, they must exercise extreme care to not discuss internal department issues.</w:t>
      </w:r>
    </w:p>
    <w:p w14:paraId="133A602F" w14:textId="77777777" w:rsidR="00B86628" w:rsidRDefault="00B86628" w:rsidP="00B86628">
      <w:pPr>
        <w:pStyle w:val="NoSpacing"/>
        <w:rPr>
          <w:rFonts w:ascii="Times New Roman" w:hAnsi="Times New Roman"/>
          <w:sz w:val="24"/>
          <w:szCs w:val="24"/>
        </w:rPr>
      </w:pPr>
    </w:p>
    <w:p w14:paraId="418898A1" w14:textId="77777777" w:rsidR="00B86628" w:rsidRDefault="00B86628" w:rsidP="00B86628">
      <w:pPr>
        <w:pStyle w:val="NoSpacing"/>
        <w:ind w:firstLine="720"/>
        <w:rPr>
          <w:rFonts w:ascii="Times New Roman" w:hAnsi="Times New Roman"/>
          <w:sz w:val="24"/>
          <w:szCs w:val="24"/>
        </w:rPr>
      </w:pPr>
      <w:r>
        <w:rPr>
          <w:rFonts w:ascii="Times New Roman" w:hAnsi="Times New Roman"/>
          <w:sz w:val="24"/>
          <w:szCs w:val="24"/>
        </w:rPr>
        <w:t xml:space="preserve">Note: </w:t>
      </w:r>
      <w:r w:rsidRPr="00AC5C49">
        <w:rPr>
          <w:rFonts w:ascii="Times New Roman" w:hAnsi="Times New Roman"/>
          <w:sz w:val="24"/>
          <w:szCs w:val="24"/>
        </w:rPr>
        <w:t xml:space="preserve">Justice </w:t>
      </w:r>
      <w:r>
        <w:rPr>
          <w:rFonts w:ascii="Times New Roman" w:hAnsi="Times New Roman"/>
          <w:sz w:val="24"/>
          <w:szCs w:val="24"/>
        </w:rPr>
        <w:t xml:space="preserve">Barrett offered this helpful suggestion in her opinion. </w:t>
      </w:r>
    </w:p>
    <w:p w14:paraId="3054431D" w14:textId="77777777" w:rsidR="00B86628" w:rsidRPr="00AC5C49" w:rsidRDefault="00B86628" w:rsidP="00B86628">
      <w:pPr>
        <w:pStyle w:val="NoSpacing"/>
        <w:ind w:left="1440"/>
        <w:rPr>
          <w:rFonts w:ascii="Times New Roman" w:hAnsi="Times New Roman"/>
          <w:sz w:val="24"/>
          <w:szCs w:val="24"/>
        </w:rPr>
      </w:pPr>
      <w:r>
        <w:rPr>
          <w:rFonts w:ascii="Times New Roman" w:hAnsi="Times New Roman"/>
          <w:sz w:val="24"/>
          <w:szCs w:val="24"/>
        </w:rPr>
        <w:t>“</w:t>
      </w:r>
      <w:r w:rsidRPr="00AC5C49">
        <w:rPr>
          <w:rFonts w:ascii="Times New Roman" w:hAnsi="Times New Roman"/>
          <w:sz w:val="24"/>
          <w:szCs w:val="24"/>
        </w:rPr>
        <w:t>Had Freed’s account</w:t>
      </w:r>
      <w:r>
        <w:rPr>
          <w:rFonts w:ascii="Times New Roman" w:hAnsi="Times New Roman"/>
          <w:sz w:val="24"/>
          <w:szCs w:val="24"/>
        </w:rPr>
        <w:t xml:space="preserve"> </w:t>
      </w:r>
      <w:r w:rsidRPr="00AC5C49">
        <w:rPr>
          <w:rFonts w:ascii="Times New Roman" w:hAnsi="Times New Roman"/>
          <w:sz w:val="24"/>
          <w:szCs w:val="24"/>
        </w:rPr>
        <w:t xml:space="preserve">carried a label (e.g., </w:t>
      </w:r>
      <w:r>
        <w:rPr>
          <w:rFonts w:ascii="Times New Roman" w:hAnsi="Times New Roman"/>
          <w:sz w:val="24"/>
          <w:szCs w:val="24"/>
        </w:rPr>
        <w:t>‘</w:t>
      </w:r>
      <w:r w:rsidRPr="00AC5C49">
        <w:rPr>
          <w:rFonts w:ascii="Times New Roman" w:hAnsi="Times New Roman"/>
          <w:sz w:val="24"/>
          <w:szCs w:val="24"/>
        </w:rPr>
        <w:t>this is the personal page of James R.</w:t>
      </w:r>
      <w:r>
        <w:rPr>
          <w:rFonts w:ascii="Times New Roman" w:hAnsi="Times New Roman"/>
          <w:sz w:val="24"/>
          <w:szCs w:val="24"/>
        </w:rPr>
        <w:t xml:space="preserve"> </w:t>
      </w:r>
      <w:r w:rsidRPr="00AC5C49">
        <w:rPr>
          <w:rFonts w:ascii="Times New Roman" w:hAnsi="Times New Roman"/>
          <w:sz w:val="24"/>
          <w:szCs w:val="24"/>
        </w:rPr>
        <w:t>Freed</w:t>
      </w:r>
      <w:r>
        <w:rPr>
          <w:rFonts w:ascii="Times New Roman" w:hAnsi="Times New Roman"/>
          <w:sz w:val="24"/>
          <w:szCs w:val="24"/>
        </w:rPr>
        <w:t>’</w:t>
      </w:r>
      <w:r w:rsidRPr="00AC5C49">
        <w:rPr>
          <w:rFonts w:ascii="Times New Roman" w:hAnsi="Times New Roman"/>
          <w:sz w:val="24"/>
          <w:szCs w:val="24"/>
        </w:rPr>
        <w:t xml:space="preserve">) or a disclaimer (e.g., </w:t>
      </w:r>
      <w:r>
        <w:rPr>
          <w:rFonts w:ascii="Times New Roman" w:hAnsi="Times New Roman"/>
          <w:sz w:val="24"/>
          <w:szCs w:val="24"/>
        </w:rPr>
        <w:t>‘</w:t>
      </w:r>
      <w:r w:rsidRPr="00AC5C49">
        <w:rPr>
          <w:rFonts w:ascii="Times New Roman" w:hAnsi="Times New Roman"/>
          <w:sz w:val="24"/>
          <w:szCs w:val="24"/>
        </w:rPr>
        <w:t>the views expressed are</w:t>
      </w:r>
      <w:r>
        <w:rPr>
          <w:rFonts w:ascii="Times New Roman" w:hAnsi="Times New Roman"/>
          <w:sz w:val="24"/>
          <w:szCs w:val="24"/>
        </w:rPr>
        <w:t xml:space="preserve"> </w:t>
      </w:r>
      <w:r w:rsidRPr="00AC5C49">
        <w:rPr>
          <w:rFonts w:ascii="Times New Roman" w:hAnsi="Times New Roman"/>
          <w:sz w:val="24"/>
          <w:szCs w:val="24"/>
        </w:rPr>
        <w:t>strictly my own</w:t>
      </w:r>
      <w:r>
        <w:rPr>
          <w:rFonts w:ascii="Times New Roman" w:hAnsi="Times New Roman"/>
          <w:sz w:val="24"/>
          <w:szCs w:val="24"/>
        </w:rPr>
        <w:t>’</w:t>
      </w:r>
      <w:r w:rsidRPr="00AC5C49">
        <w:rPr>
          <w:rFonts w:ascii="Times New Roman" w:hAnsi="Times New Roman"/>
          <w:sz w:val="24"/>
          <w:szCs w:val="24"/>
        </w:rPr>
        <w:t>), he would be entitled to a heavy (though</w:t>
      </w:r>
      <w:r>
        <w:rPr>
          <w:rFonts w:ascii="Times New Roman" w:hAnsi="Times New Roman"/>
          <w:sz w:val="24"/>
          <w:szCs w:val="24"/>
        </w:rPr>
        <w:t xml:space="preserve"> </w:t>
      </w:r>
      <w:r w:rsidRPr="00AC5C49">
        <w:rPr>
          <w:rFonts w:ascii="Times New Roman" w:hAnsi="Times New Roman"/>
          <w:sz w:val="24"/>
          <w:szCs w:val="24"/>
        </w:rPr>
        <w:t xml:space="preserve">not irrebuttable) presumption that </w:t>
      </w:r>
      <w:proofErr w:type="gramStart"/>
      <w:r w:rsidRPr="00AC5C49">
        <w:rPr>
          <w:rFonts w:ascii="Times New Roman" w:hAnsi="Times New Roman"/>
          <w:sz w:val="24"/>
          <w:szCs w:val="24"/>
        </w:rPr>
        <w:t>all of</w:t>
      </w:r>
      <w:proofErr w:type="gramEnd"/>
      <w:r w:rsidRPr="00AC5C49">
        <w:rPr>
          <w:rFonts w:ascii="Times New Roman" w:hAnsi="Times New Roman"/>
          <w:sz w:val="24"/>
          <w:szCs w:val="24"/>
        </w:rPr>
        <w:t xml:space="preserve"> the posts on his</w:t>
      </w:r>
      <w:r>
        <w:rPr>
          <w:rFonts w:ascii="Times New Roman" w:hAnsi="Times New Roman"/>
          <w:sz w:val="24"/>
          <w:szCs w:val="24"/>
        </w:rPr>
        <w:t xml:space="preserve"> </w:t>
      </w:r>
      <w:r w:rsidRPr="00AC5C49">
        <w:rPr>
          <w:rFonts w:ascii="Times New Roman" w:hAnsi="Times New Roman"/>
          <w:sz w:val="24"/>
          <w:szCs w:val="24"/>
        </w:rPr>
        <w:t>page were personal.</w:t>
      </w:r>
      <w:r>
        <w:rPr>
          <w:rFonts w:ascii="Times New Roman" w:hAnsi="Times New Roman"/>
          <w:sz w:val="24"/>
          <w:szCs w:val="24"/>
        </w:rPr>
        <w:t>”</w:t>
      </w:r>
    </w:p>
    <w:p w14:paraId="2B9F7538" w14:textId="77777777" w:rsidR="00B86628" w:rsidRDefault="00B86628" w:rsidP="00B86628">
      <w:pPr>
        <w:pStyle w:val="NormalWeb"/>
        <w:ind w:left="720"/>
      </w:pPr>
      <w:r>
        <w:t>The U.S. Supreme Court also decided a second case involving two school board members who used their FACEBOOK and TWITTER pages for official purposes. They were sued by parents who were blocked.  That case sent back to U.S. District Court in California.</w:t>
      </w:r>
      <w:r w:rsidRPr="00247024">
        <w:t xml:space="preserve"> </w:t>
      </w:r>
      <w:r w:rsidRPr="006472DD">
        <w:rPr>
          <w:u w:val="single"/>
        </w:rPr>
        <w:t xml:space="preserve">Michelle O’Connor-Ratcliff, et al. v. Christopher Garner, et </w:t>
      </w:r>
      <w:proofErr w:type="gramStart"/>
      <w:r w:rsidRPr="006472DD">
        <w:rPr>
          <w:u w:val="single"/>
        </w:rPr>
        <w:t>al</w:t>
      </w:r>
      <w:r>
        <w:t>,,</w:t>
      </w:r>
      <w:proofErr w:type="gramEnd"/>
      <w:r>
        <w:t xml:space="preserve"> </w:t>
      </w:r>
      <w:hyperlink r:id="rId147" w:history="1">
        <w:r w:rsidRPr="007616D4">
          <w:rPr>
            <w:rStyle w:val="Hyperlink"/>
          </w:rPr>
          <w:t>https://www.supremecourt.gov/opinions/23pdf/22-324_09m1.pdf</w:t>
        </w:r>
      </w:hyperlink>
      <w:r>
        <w:t xml:space="preserve">  </w:t>
      </w:r>
    </w:p>
    <w:p w14:paraId="1F60BC56" w14:textId="77777777" w:rsidR="00B86628" w:rsidRDefault="00B86628" w:rsidP="00B86628">
      <w:pPr>
        <w:pStyle w:val="NormalWeb"/>
        <w:ind w:left="720"/>
      </w:pPr>
    </w:p>
    <w:p w14:paraId="0583AF64" w14:textId="77777777" w:rsidR="00B86628" w:rsidRDefault="00B86628" w:rsidP="00F326E5">
      <w:pPr>
        <w:pStyle w:val="NoSpacing"/>
        <w:rPr>
          <w:rFonts w:ascii="Arial Black" w:hAnsi="Arial Black"/>
          <w:sz w:val="24"/>
          <w:szCs w:val="24"/>
        </w:rPr>
      </w:pPr>
    </w:p>
    <w:p w14:paraId="6AABBA4F" w14:textId="77777777" w:rsidR="00B86628" w:rsidRDefault="00B86628" w:rsidP="00F326E5">
      <w:pPr>
        <w:pStyle w:val="NoSpacing"/>
        <w:rPr>
          <w:rFonts w:ascii="Arial Black" w:hAnsi="Arial Black"/>
          <w:sz w:val="24"/>
          <w:szCs w:val="24"/>
        </w:rPr>
      </w:pPr>
    </w:p>
    <w:p w14:paraId="71523ECF" w14:textId="660F0E7D" w:rsidR="00991260" w:rsidRDefault="00991260" w:rsidP="00F326E5">
      <w:pPr>
        <w:pStyle w:val="NoSpacing"/>
        <w:rPr>
          <w:rFonts w:ascii="Arial Black" w:hAnsi="Arial Black"/>
          <w:sz w:val="24"/>
          <w:szCs w:val="24"/>
        </w:rPr>
      </w:pPr>
      <w:r>
        <w:rPr>
          <w:rFonts w:ascii="Arial Black" w:hAnsi="Arial Black"/>
          <w:sz w:val="24"/>
          <w:szCs w:val="24"/>
        </w:rPr>
        <w:t>1-145</w:t>
      </w:r>
    </w:p>
    <w:p w14:paraId="1DAF82AC" w14:textId="77777777" w:rsidR="00493015" w:rsidRDefault="00493015" w:rsidP="00F326E5">
      <w:pPr>
        <w:pStyle w:val="NoSpacing"/>
        <w:rPr>
          <w:rFonts w:ascii="Arial Black" w:hAnsi="Arial Black"/>
          <w:sz w:val="24"/>
          <w:szCs w:val="24"/>
        </w:rPr>
      </w:pPr>
    </w:p>
    <w:p w14:paraId="31391EAF" w14:textId="77777777" w:rsidR="00493015" w:rsidRDefault="00493015" w:rsidP="00493015">
      <w:pPr>
        <w:pStyle w:val="NoSpacing"/>
        <w:rPr>
          <w:rFonts w:ascii="Arial Black" w:hAnsi="Arial Black"/>
          <w:sz w:val="28"/>
          <w:szCs w:val="28"/>
        </w:rPr>
      </w:pPr>
      <w:r>
        <w:rPr>
          <w:rFonts w:ascii="Arial Black" w:hAnsi="Arial Black"/>
          <w:sz w:val="28"/>
          <w:szCs w:val="28"/>
        </w:rPr>
        <w:t>MI: FIREWORKS – CITATION / $150 FINE SET ASIDE – CITY CAN’T REQ. STORE GIVE OUT FLYER ON STATE / FED. LAWS</w:t>
      </w:r>
    </w:p>
    <w:p w14:paraId="775ADC90" w14:textId="77777777" w:rsidR="00493015" w:rsidRDefault="00493015" w:rsidP="00493015">
      <w:pPr>
        <w:pStyle w:val="NoSpacing"/>
        <w:rPr>
          <w:rFonts w:ascii="Arial Black" w:hAnsi="Arial Black"/>
          <w:sz w:val="28"/>
          <w:szCs w:val="28"/>
        </w:rPr>
      </w:pPr>
    </w:p>
    <w:p w14:paraId="73CC7AF8" w14:textId="77777777" w:rsidR="00493015" w:rsidRDefault="00493015" w:rsidP="00493015">
      <w:pPr>
        <w:pStyle w:val="NoSpacing"/>
        <w:rPr>
          <w:rFonts w:ascii="Times New Roman" w:hAnsi="Times New Roman"/>
          <w:sz w:val="24"/>
          <w:szCs w:val="24"/>
        </w:rPr>
      </w:pPr>
      <w:r>
        <w:rPr>
          <w:rFonts w:ascii="Times New Roman" w:hAnsi="Times New Roman"/>
          <w:sz w:val="24"/>
          <w:szCs w:val="24"/>
        </w:rPr>
        <w:t xml:space="preserve">On Feb. 15, 2024, </w:t>
      </w:r>
      <w:r w:rsidRPr="0001598C">
        <w:rPr>
          <w:rFonts w:ascii="Times New Roman" w:hAnsi="Times New Roman"/>
          <w:sz w:val="24"/>
          <w:szCs w:val="24"/>
          <w:u w:val="single"/>
        </w:rPr>
        <w:t>in People of the City of Sterling Heights v. Robert Bahke</w:t>
      </w:r>
      <w:r>
        <w:rPr>
          <w:rFonts w:ascii="Times New Roman" w:hAnsi="Times New Roman"/>
          <w:sz w:val="24"/>
          <w:szCs w:val="24"/>
        </w:rPr>
        <w:t xml:space="preserve">, the Court of Appeals of Michigan held (3 to 0) that the fireworks Safety Act preempts city ordinance because the ordinance directly with the state law; the Manager of Pro Fireworks store won this appeal after </w:t>
      </w:r>
      <w:proofErr w:type="spellStart"/>
      <w:r>
        <w:rPr>
          <w:rFonts w:ascii="Times New Roman" w:hAnsi="Times New Roman"/>
          <w:sz w:val="24"/>
          <w:szCs w:val="24"/>
        </w:rPr>
        <w:t>loosing</w:t>
      </w:r>
      <w:proofErr w:type="spellEnd"/>
      <w:r>
        <w:rPr>
          <w:rFonts w:ascii="Times New Roman" w:hAnsi="Times New Roman"/>
          <w:sz w:val="24"/>
          <w:szCs w:val="24"/>
        </w:rPr>
        <w:t xml:space="preserve"> before a City Magistrate, a District Court judge and a Circuit Court. </w:t>
      </w:r>
    </w:p>
    <w:p w14:paraId="7EE9D711" w14:textId="77777777" w:rsidR="009A27F2" w:rsidRDefault="009A27F2" w:rsidP="009A27F2">
      <w:pPr>
        <w:pStyle w:val="NoSpacing"/>
        <w:rPr>
          <w:rFonts w:ascii="Times New Roman" w:hAnsi="Times New Roman"/>
          <w:sz w:val="24"/>
          <w:szCs w:val="24"/>
          <w:shd w:val="clear" w:color="auto" w:fill="FFFFFF"/>
        </w:rPr>
      </w:pPr>
    </w:p>
    <w:p w14:paraId="477EC6CA" w14:textId="4D09756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498F8EF" w14:textId="77777777" w:rsidR="00493015" w:rsidRDefault="00493015" w:rsidP="00493015">
      <w:pPr>
        <w:pStyle w:val="NoSpacing"/>
        <w:rPr>
          <w:rFonts w:ascii="Times New Roman" w:hAnsi="Times New Roman"/>
          <w:sz w:val="24"/>
          <w:szCs w:val="24"/>
        </w:rPr>
      </w:pPr>
    </w:p>
    <w:p w14:paraId="2B92CF41" w14:textId="77777777" w:rsidR="00493015" w:rsidRPr="00B71C19" w:rsidRDefault="00493015" w:rsidP="00493015">
      <w:pPr>
        <w:pStyle w:val="NoSpacing"/>
        <w:ind w:left="720"/>
        <w:rPr>
          <w:rFonts w:ascii="Times New Roman" w:hAnsi="Times New Roman"/>
          <w:sz w:val="24"/>
          <w:szCs w:val="24"/>
        </w:rPr>
      </w:pPr>
      <w:r>
        <w:rPr>
          <w:rFonts w:ascii="Times New Roman" w:hAnsi="Times New Roman"/>
          <w:sz w:val="24"/>
          <w:szCs w:val="24"/>
        </w:rPr>
        <w:t>“</w:t>
      </w:r>
      <w:r w:rsidRPr="00B71C19">
        <w:rPr>
          <w:rFonts w:ascii="Times New Roman" w:hAnsi="Times New Roman"/>
          <w:sz w:val="24"/>
          <w:szCs w:val="24"/>
        </w:rPr>
        <w:t xml:space="preserve">Defendant argues that the Michigan Fireworks Safety Act (MFSA), MCL 28.457, preempts </w:t>
      </w:r>
      <w:proofErr w:type="gramStart"/>
      <w:r w:rsidRPr="00B71C19">
        <w:rPr>
          <w:rFonts w:ascii="Times New Roman" w:hAnsi="Times New Roman"/>
          <w:sz w:val="24"/>
          <w:szCs w:val="24"/>
        </w:rPr>
        <w:t>plaintiffs</w:t>
      </w:r>
      <w:proofErr w:type="gramEnd"/>
      <w:r w:rsidRPr="00B71C19">
        <w:rPr>
          <w:rFonts w:ascii="Times New Roman" w:hAnsi="Times New Roman"/>
          <w:sz w:val="24"/>
          <w:szCs w:val="24"/>
        </w:rPr>
        <w:t xml:space="preserve"> ordinance because the ordinance directly conflicts with the statute and because the field of fireworks sales was exclusively occupied by the state. We agree that the ordinance directly conflicts with the statute and is therefore preempted by state </w:t>
      </w:r>
      <w:proofErr w:type="gramStart"/>
      <w:r w:rsidRPr="00B71C19">
        <w:rPr>
          <w:rFonts w:ascii="Times New Roman" w:hAnsi="Times New Roman"/>
          <w:sz w:val="24"/>
          <w:szCs w:val="24"/>
        </w:rPr>
        <w:t>law.</w:t>
      </w:r>
      <w:r>
        <w:rPr>
          <w:rFonts w:ascii="Times New Roman" w:hAnsi="Times New Roman"/>
          <w:sz w:val="24"/>
          <w:szCs w:val="24"/>
        </w:rPr>
        <w:t>”</w:t>
      </w:r>
      <w:proofErr w:type="gramEnd"/>
      <w:r>
        <w:rPr>
          <w:rFonts w:ascii="Times New Roman" w:hAnsi="Times New Roman"/>
          <w:sz w:val="24"/>
          <w:szCs w:val="24"/>
        </w:rPr>
        <w:t xml:space="preserve"> </w:t>
      </w:r>
      <w:hyperlink r:id="rId148" w:history="1">
        <w:r w:rsidRPr="00644350">
          <w:rPr>
            <w:rStyle w:val="Hyperlink"/>
            <w:rFonts w:ascii="Times New Roman" w:hAnsi="Times New Roman"/>
            <w:sz w:val="24"/>
            <w:szCs w:val="24"/>
          </w:rPr>
          <w:t>https://cases.justia.com/michigan/court-of-appeals-published/2024-364264.pdf?ts=1708092018</w:t>
        </w:r>
      </w:hyperlink>
      <w:r>
        <w:rPr>
          <w:rFonts w:ascii="Times New Roman" w:hAnsi="Times New Roman"/>
          <w:sz w:val="24"/>
          <w:szCs w:val="24"/>
        </w:rPr>
        <w:t xml:space="preserve"> </w:t>
      </w:r>
    </w:p>
    <w:p w14:paraId="22FB8BC0" w14:textId="77777777" w:rsidR="00493015" w:rsidRPr="003A172A" w:rsidRDefault="00493015" w:rsidP="00493015">
      <w:pPr>
        <w:spacing w:after="100" w:line="240" w:lineRule="auto"/>
        <w:ind w:left="4320"/>
        <w:rPr>
          <w:rFonts w:ascii="Times New Roman" w:eastAsia="Times New Roman" w:hAnsi="Times New Roman"/>
          <w:sz w:val="24"/>
          <w:szCs w:val="24"/>
        </w:rPr>
      </w:pPr>
    </w:p>
    <w:p w14:paraId="272CFFF2" w14:textId="77777777" w:rsidR="00493015" w:rsidRPr="00941B8F" w:rsidRDefault="00493015" w:rsidP="00493015">
      <w:pPr>
        <w:pStyle w:val="NoSpacing"/>
        <w:ind w:left="720"/>
        <w:rPr>
          <w:rFonts w:ascii="Times New Roman" w:hAnsi="Times New Roman"/>
          <w:b/>
          <w:bCs/>
          <w:sz w:val="24"/>
          <w:szCs w:val="24"/>
        </w:rPr>
      </w:pPr>
      <w:r>
        <w:rPr>
          <w:rFonts w:ascii="Times New Roman" w:hAnsi="Times New Roman"/>
          <w:b/>
          <w:bCs/>
          <w:sz w:val="24"/>
          <w:szCs w:val="24"/>
        </w:rPr>
        <w:t xml:space="preserve">Legal Lesson Learned:  Cities and other municipalities may still have ordinances on hours when fireworks may be set off in that community. </w:t>
      </w:r>
    </w:p>
    <w:p w14:paraId="0463AD6D" w14:textId="77777777" w:rsidR="00493015" w:rsidRDefault="00493015" w:rsidP="00493015">
      <w:pPr>
        <w:pStyle w:val="NormalWeb"/>
      </w:pPr>
    </w:p>
    <w:p w14:paraId="106C9913" w14:textId="77777777" w:rsidR="00493015" w:rsidRDefault="00493015" w:rsidP="00F326E5">
      <w:pPr>
        <w:pStyle w:val="NoSpacing"/>
        <w:rPr>
          <w:rFonts w:ascii="Arial Black" w:hAnsi="Arial Black"/>
          <w:sz w:val="24"/>
          <w:szCs w:val="24"/>
        </w:rPr>
      </w:pPr>
    </w:p>
    <w:p w14:paraId="75C38513" w14:textId="77777777" w:rsidR="00991260" w:rsidRDefault="00991260" w:rsidP="00F326E5">
      <w:pPr>
        <w:pStyle w:val="NoSpacing"/>
        <w:rPr>
          <w:rFonts w:ascii="Arial Black" w:hAnsi="Arial Black"/>
          <w:sz w:val="24"/>
          <w:szCs w:val="24"/>
        </w:rPr>
      </w:pPr>
    </w:p>
    <w:p w14:paraId="2078751E" w14:textId="7B40888D" w:rsidR="007F1354" w:rsidRDefault="007F1354" w:rsidP="00F326E5">
      <w:pPr>
        <w:pStyle w:val="NoSpacing"/>
        <w:rPr>
          <w:rFonts w:ascii="Arial Black" w:hAnsi="Arial Black"/>
          <w:sz w:val="24"/>
          <w:szCs w:val="24"/>
        </w:rPr>
      </w:pPr>
      <w:r>
        <w:rPr>
          <w:rFonts w:ascii="Arial Black" w:hAnsi="Arial Black"/>
          <w:sz w:val="24"/>
          <w:szCs w:val="24"/>
        </w:rPr>
        <w:t>1-144</w:t>
      </w:r>
    </w:p>
    <w:p w14:paraId="6017C4A2" w14:textId="77777777" w:rsidR="003A1658" w:rsidRDefault="003A1658" w:rsidP="00F326E5">
      <w:pPr>
        <w:pStyle w:val="NoSpacing"/>
        <w:rPr>
          <w:rFonts w:ascii="Arial Black" w:hAnsi="Arial Black"/>
          <w:sz w:val="24"/>
          <w:szCs w:val="24"/>
        </w:rPr>
      </w:pPr>
    </w:p>
    <w:p w14:paraId="16E478D6" w14:textId="77777777" w:rsidR="003A1658" w:rsidRDefault="003A1658" w:rsidP="003A1658">
      <w:pPr>
        <w:pStyle w:val="NormalWeb"/>
        <w:rPr>
          <w:rFonts w:ascii="Arial Black" w:hAnsi="Arial Black"/>
          <w:sz w:val="28"/>
          <w:szCs w:val="28"/>
        </w:rPr>
      </w:pPr>
      <w:r>
        <w:rPr>
          <w:rFonts w:ascii="Arial Black" w:hAnsi="Arial Black"/>
          <w:sz w:val="28"/>
          <w:szCs w:val="28"/>
        </w:rPr>
        <w:t>IL:  HOUSE FIRE – CITY “EMERGENCY DEMOLISH ORDER” - FAILURE NOTIFY HOMEOWNER – LAWSUIT TO PROCEED</w:t>
      </w:r>
    </w:p>
    <w:p w14:paraId="55FC6635" w14:textId="77777777" w:rsidR="003A1658" w:rsidRDefault="003A1658" w:rsidP="003A1658">
      <w:pPr>
        <w:pStyle w:val="NormalWeb"/>
      </w:pPr>
      <w:r>
        <w:t xml:space="preserve">On Jan. 25, 2024, in </w:t>
      </w:r>
      <w:r w:rsidRPr="00F208D4">
        <w:rPr>
          <w:u w:val="single"/>
        </w:rPr>
        <w:t xml:space="preserve">Rosie Houston, et al. v. City of Houston, et </w:t>
      </w:r>
      <w:r>
        <w:rPr>
          <w:u w:val="single"/>
        </w:rPr>
        <w:t>a</w:t>
      </w:r>
      <w:r w:rsidRPr="00F208D4">
        <w:rPr>
          <w:u w:val="single"/>
        </w:rPr>
        <w:t>l</w:t>
      </w:r>
      <w:r>
        <w:t>., U.S. District Court Judge Jeremy C. Daniel, U.S. District Court for Northern District of Illinois (Eastern Division) denied the City’s motion to dismiss the lawsuit.</w:t>
      </w:r>
    </w:p>
    <w:p w14:paraId="77243181" w14:textId="7777777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EE9EF7F" w14:textId="77777777" w:rsidR="003A1658" w:rsidRDefault="003A1658" w:rsidP="003A1658">
      <w:pPr>
        <w:pStyle w:val="NormalWeb"/>
        <w:ind w:left="720"/>
      </w:pPr>
      <w:r>
        <w:t>“[P]</w:t>
      </w:r>
      <w:proofErr w:type="spellStart"/>
      <w:r>
        <w:t>laintiffs</w:t>
      </w:r>
      <w:proofErr w:type="spellEnd"/>
      <w:r>
        <w:t>' Fourth Amendment claim may therefore proceed against Defendants City of Chicago, Frydland, Herrera, and Ficco.</w:t>
      </w:r>
    </w:p>
    <w:p w14:paraId="7F95B8B8" w14:textId="77777777" w:rsidR="003A1658" w:rsidRDefault="003A1658" w:rsidP="003A1658">
      <w:pPr>
        <w:pStyle w:val="NoSpacing"/>
        <w:ind w:firstLine="720"/>
        <w:rPr>
          <w:rFonts w:ascii="Times New Roman" w:hAnsi="Times New Roman"/>
          <w:sz w:val="24"/>
          <w:szCs w:val="24"/>
        </w:rPr>
      </w:pPr>
      <w:r>
        <w:rPr>
          <w:rFonts w:ascii="Times New Roman" w:hAnsi="Times New Roman"/>
          <w:sz w:val="24"/>
          <w:szCs w:val="24"/>
        </w:rPr>
        <w:t>***</w:t>
      </w:r>
    </w:p>
    <w:p w14:paraId="2DDC6607" w14:textId="77777777" w:rsidR="003A1658" w:rsidRDefault="003A1658" w:rsidP="003A1658">
      <w:pPr>
        <w:pStyle w:val="NoSpacing"/>
        <w:ind w:firstLine="720"/>
        <w:rPr>
          <w:rFonts w:ascii="Times New Roman" w:hAnsi="Times New Roman"/>
          <w:sz w:val="24"/>
          <w:szCs w:val="24"/>
        </w:rPr>
      </w:pPr>
    </w:p>
    <w:p w14:paraId="7B42E5B1" w14:textId="77777777" w:rsidR="003A1658" w:rsidRPr="005B427D" w:rsidRDefault="003A1658" w:rsidP="003A1658">
      <w:pPr>
        <w:pStyle w:val="NoSpacing"/>
        <w:ind w:firstLine="720"/>
        <w:rPr>
          <w:rFonts w:ascii="Times New Roman" w:hAnsi="Times New Roman"/>
          <w:sz w:val="24"/>
          <w:szCs w:val="24"/>
        </w:rPr>
      </w:pPr>
      <w:r w:rsidRPr="005B427D">
        <w:rPr>
          <w:rFonts w:ascii="Times New Roman" w:hAnsi="Times New Roman"/>
          <w:sz w:val="24"/>
          <w:szCs w:val="24"/>
        </w:rPr>
        <w:t>The defendants’ argument is unavailing because it ignores allegations that the</w:t>
      </w:r>
    </w:p>
    <w:p w14:paraId="5072BE9F" w14:textId="77777777" w:rsidR="003A1658" w:rsidRPr="005B427D" w:rsidRDefault="003A1658" w:rsidP="003A1658">
      <w:pPr>
        <w:pStyle w:val="NoSpacing"/>
        <w:ind w:firstLine="720"/>
        <w:rPr>
          <w:rFonts w:ascii="Times New Roman" w:hAnsi="Times New Roman"/>
          <w:sz w:val="24"/>
          <w:szCs w:val="24"/>
        </w:rPr>
      </w:pPr>
      <w:r w:rsidRPr="005B427D">
        <w:rPr>
          <w:rFonts w:ascii="Times New Roman" w:hAnsi="Times New Roman"/>
          <w:sz w:val="24"/>
          <w:szCs w:val="24"/>
        </w:rPr>
        <w:t>demolition was not random or unpredictable at all, but an entirely predictable</w:t>
      </w:r>
    </w:p>
    <w:p w14:paraId="5D07B566" w14:textId="77777777" w:rsidR="003A1658" w:rsidRPr="005B427D" w:rsidRDefault="003A1658" w:rsidP="003A1658">
      <w:pPr>
        <w:pStyle w:val="NoSpacing"/>
        <w:ind w:firstLine="720"/>
        <w:rPr>
          <w:rFonts w:ascii="Times New Roman" w:hAnsi="Times New Roman"/>
          <w:sz w:val="24"/>
          <w:szCs w:val="24"/>
        </w:rPr>
      </w:pPr>
      <w:r w:rsidRPr="005B427D">
        <w:rPr>
          <w:rFonts w:ascii="Times New Roman" w:hAnsi="Times New Roman"/>
          <w:sz w:val="24"/>
          <w:szCs w:val="24"/>
        </w:rPr>
        <w:t>deprivation that occurred pursuant to state procedures. Specifically, the complaint</w:t>
      </w:r>
    </w:p>
    <w:p w14:paraId="0BC6E984" w14:textId="77777777" w:rsidR="003A1658" w:rsidRPr="005B427D" w:rsidRDefault="003A1658" w:rsidP="003A1658">
      <w:pPr>
        <w:pStyle w:val="NoSpacing"/>
        <w:ind w:left="720"/>
        <w:rPr>
          <w:rFonts w:ascii="Times New Roman" w:hAnsi="Times New Roman"/>
          <w:sz w:val="24"/>
          <w:szCs w:val="24"/>
        </w:rPr>
      </w:pPr>
      <w:r w:rsidRPr="005B427D">
        <w:rPr>
          <w:rFonts w:ascii="Times New Roman" w:hAnsi="Times New Roman"/>
          <w:sz w:val="24"/>
          <w:szCs w:val="24"/>
        </w:rPr>
        <w:t>states that Herrera, while acting under the color of law and within the scope of his</w:t>
      </w:r>
    </w:p>
    <w:p w14:paraId="68F93029" w14:textId="77777777" w:rsidR="003A1658" w:rsidRPr="005B427D" w:rsidRDefault="003A1658" w:rsidP="003A1658">
      <w:pPr>
        <w:pStyle w:val="NoSpacing"/>
        <w:ind w:firstLine="720"/>
        <w:rPr>
          <w:rFonts w:ascii="Times New Roman" w:hAnsi="Times New Roman"/>
          <w:sz w:val="24"/>
          <w:szCs w:val="24"/>
        </w:rPr>
      </w:pPr>
      <w:proofErr w:type="gramStart"/>
      <w:r w:rsidRPr="005B427D">
        <w:rPr>
          <w:rFonts w:ascii="Times New Roman" w:hAnsi="Times New Roman"/>
          <w:sz w:val="24"/>
          <w:szCs w:val="24"/>
        </w:rPr>
        <w:t xml:space="preserve">employment, </w:t>
      </w:r>
      <w:r>
        <w:rPr>
          <w:rFonts w:ascii="Times New Roman" w:hAnsi="Times New Roman"/>
          <w:sz w:val="24"/>
          <w:szCs w:val="24"/>
        </w:rPr>
        <w:t>‘</w:t>
      </w:r>
      <w:proofErr w:type="gramEnd"/>
      <w:r w:rsidRPr="005B427D">
        <w:rPr>
          <w:rFonts w:ascii="Times New Roman" w:hAnsi="Times New Roman"/>
          <w:sz w:val="24"/>
          <w:szCs w:val="24"/>
        </w:rPr>
        <w:t>caused a Permit for a Demolition Application to [be] issued to Delta</w:t>
      </w:r>
    </w:p>
    <w:p w14:paraId="3AB9927A" w14:textId="77777777" w:rsidR="003A1658" w:rsidRDefault="003A1658" w:rsidP="003A1658">
      <w:pPr>
        <w:pStyle w:val="NoSpacing"/>
        <w:ind w:left="720"/>
      </w:pPr>
      <w:r w:rsidRPr="005B427D">
        <w:rPr>
          <w:rFonts w:ascii="Times New Roman" w:hAnsi="Times New Roman"/>
          <w:sz w:val="24"/>
          <w:szCs w:val="24"/>
        </w:rPr>
        <w:t>Demolition.</w:t>
      </w:r>
      <w:r>
        <w:rPr>
          <w:rFonts w:ascii="Times New Roman" w:hAnsi="Times New Roman"/>
          <w:sz w:val="24"/>
          <w:szCs w:val="24"/>
        </w:rPr>
        <w:t xml:space="preserve">’ </w:t>
      </w:r>
      <w:r w:rsidRPr="005B427D">
        <w:rPr>
          <w:rFonts w:ascii="Times New Roman" w:hAnsi="Times New Roman"/>
          <w:sz w:val="24"/>
          <w:szCs w:val="24"/>
        </w:rPr>
        <w:t>The demolition permit was thereafter issued, and the</w:t>
      </w:r>
      <w:r>
        <w:rPr>
          <w:rFonts w:ascii="Times New Roman" w:hAnsi="Times New Roman"/>
          <w:sz w:val="24"/>
          <w:szCs w:val="24"/>
        </w:rPr>
        <w:t xml:space="preserve"> </w:t>
      </w:r>
      <w:r w:rsidRPr="005B427D">
        <w:rPr>
          <w:rFonts w:ascii="Times New Roman" w:hAnsi="Times New Roman"/>
          <w:sz w:val="24"/>
          <w:szCs w:val="24"/>
        </w:rPr>
        <w:t>defendants demolished the plaintiffs’ home. Further, the complaint</w:t>
      </w:r>
      <w:r>
        <w:rPr>
          <w:rFonts w:ascii="Times New Roman" w:hAnsi="Times New Roman"/>
          <w:sz w:val="24"/>
          <w:szCs w:val="24"/>
        </w:rPr>
        <w:t xml:space="preserve"> </w:t>
      </w:r>
      <w:r w:rsidRPr="005B427D">
        <w:rPr>
          <w:rFonts w:ascii="Times New Roman" w:hAnsi="Times New Roman"/>
          <w:sz w:val="24"/>
          <w:szCs w:val="24"/>
        </w:rPr>
        <w:t>explains that an emergency demolition permit may only properly occur after (1)</w:t>
      </w:r>
      <w:r>
        <w:rPr>
          <w:rFonts w:ascii="Times New Roman" w:hAnsi="Times New Roman"/>
          <w:sz w:val="24"/>
          <w:szCs w:val="24"/>
        </w:rPr>
        <w:t xml:space="preserve"> </w:t>
      </w:r>
      <w:r w:rsidRPr="005B427D">
        <w:rPr>
          <w:rFonts w:ascii="Times New Roman" w:hAnsi="Times New Roman"/>
          <w:sz w:val="24"/>
          <w:szCs w:val="24"/>
        </w:rPr>
        <w:t>seeking an affidavit from the owner authorizing the demolition; (2) alternatively,</w:t>
      </w:r>
      <w:r>
        <w:rPr>
          <w:rFonts w:ascii="Times New Roman" w:hAnsi="Times New Roman"/>
          <w:sz w:val="24"/>
          <w:szCs w:val="24"/>
        </w:rPr>
        <w:t xml:space="preserve"> </w:t>
      </w:r>
      <w:r w:rsidRPr="005B427D">
        <w:rPr>
          <w:rFonts w:ascii="Times New Roman" w:hAnsi="Times New Roman"/>
          <w:sz w:val="24"/>
          <w:szCs w:val="24"/>
        </w:rPr>
        <w:t>serving the owner with notice of the demolition via certified mail, and (3) posting a</w:t>
      </w:r>
      <w:r>
        <w:rPr>
          <w:rFonts w:ascii="Times New Roman" w:hAnsi="Times New Roman"/>
          <w:sz w:val="24"/>
          <w:szCs w:val="24"/>
        </w:rPr>
        <w:t xml:space="preserve"> </w:t>
      </w:r>
      <w:r w:rsidRPr="005B427D">
        <w:rPr>
          <w:rFonts w:ascii="Times New Roman" w:hAnsi="Times New Roman"/>
          <w:sz w:val="24"/>
          <w:szCs w:val="24"/>
        </w:rPr>
        <w:t>sign no smaller than two feet by three feet stating that the property will be</w:t>
      </w:r>
      <w:r>
        <w:rPr>
          <w:rFonts w:ascii="Times New Roman" w:hAnsi="Times New Roman"/>
          <w:sz w:val="24"/>
          <w:szCs w:val="24"/>
        </w:rPr>
        <w:t xml:space="preserve"> </w:t>
      </w:r>
      <w:r w:rsidRPr="005B427D">
        <w:rPr>
          <w:rFonts w:ascii="Times New Roman" w:hAnsi="Times New Roman"/>
          <w:sz w:val="24"/>
          <w:szCs w:val="24"/>
        </w:rPr>
        <w:t>demolished within three days, but alleges that it was the City’s routine practice not</w:t>
      </w:r>
      <w:r>
        <w:rPr>
          <w:rFonts w:ascii="Times New Roman" w:hAnsi="Times New Roman"/>
          <w:sz w:val="24"/>
          <w:szCs w:val="24"/>
        </w:rPr>
        <w:t xml:space="preserve"> </w:t>
      </w:r>
      <w:r w:rsidRPr="005B427D">
        <w:rPr>
          <w:rFonts w:ascii="Times New Roman" w:hAnsi="Times New Roman"/>
          <w:sz w:val="24"/>
          <w:szCs w:val="24"/>
        </w:rPr>
        <w:t>to follow these procedures.</w:t>
      </w:r>
      <w:r>
        <w:rPr>
          <w:rFonts w:ascii="Times New Roman" w:hAnsi="Times New Roman"/>
          <w:sz w:val="24"/>
          <w:szCs w:val="24"/>
        </w:rPr>
        <w:t xml:space="preserve">” </w:t>
      </w:r>
      <w:hyperlink r:id="rId149" w:history="1">
        <w:r w:rsidRPr="00D46FE0">
          <w:rPr>
            <w:rStyle w:val="Hyperlink"/>
          </w:rPr>
          <w:t>https://cases.justia.com/federal/district-courts/illinois/ilndce/1:2020cv06720/393181/97/0.pdf?ts=1706261425</w:t>
        </w:r>
      </w:hyperlink>
      <w:r>
        <w:t xml:space="preserve"> </w:t>
      </w:r>
    </w:p>
    <w:p w14:paraId="355EF4DC" w14:textId="77777777" w:rsidR="003A1658" w:rsidRDefault="003A1658" w:rsidP="00F326E5">
      <w:pPr>
        <w:pStyle w:val="NoSpacing"/>
        <w:rPr>
          <w:rFonts w:ascii="Arial Black" w:hAnsi="Arial Black"/>
          <w:sz w:val="24"/>
          <w:szCs w:val="24"/>
        </w:rPr>
      </w:pPr>
    </w:p>
    <w:p w14:paraId="4CFE3D62" w14:textId="77777777" w:rsidR="00A21A2D" w:rsidRPr="00AF656D" w:rsidRDefault="00A21A2D" w:rsidP="00A21A2D">
      <w:pPr>
        <w:pStyle w:val="NormalWeb"/>
        <w:rPr>
          <w:b/>
          <w:bCs/>
        </w:rPr>
      </w:pPr>
      <w:r w:rsidRPr="00AF656D">
        <w:rPr>
          <w:b/>
          <w:bCs/>
        </w:rPr>
        <w:t xml:space="preserve">Legal Lesson Learned: </w:t>
      </w:r>
      <w:r>
        <w:rPr>
          <w:b/>
          <w:bCs/>
        </w:rPr>
        <w:t xml:space="preserve"> In an emergency demolition, personally serve homeowner with demolition order whenever possible. </w:t>
      </w:r>
    </w:p>
    <w:p w14:paraId="078323BA" w14:textId="77777777" w:rsidR="00A21A2D" w:rsidRDefault="00A21A2D" w:rsidP="00F326E5">
      <w:pPr>
        <w:pStyle w:val="NoSpacing"/>
        <w:rPr>
          <w:rFonts w:ascii="Arial Black" w:hAnsi="Arial Black"/>
          <w:sz w:val="24"/>
          <w:szCs w:val="24"/>
        </w:rPr>
      </w:pPr>
    </w:p>
    <w:p w14:paraId="3631163F" w14:textId="77777777" w:rsidR="007F1354" w:rsidRDefault="007F1354" w:rsidP="00F326E5">
      <w:pPr>
        <w:pStyle w:val="NoSpacing"/>
        <w:rPr>
          <w:rFonts w:ascii="Arial Black" w:hAnsi="Arial Black"/>
          <w:sz w:val="24"/>
          <w:szCs w:val="24"/>
        </w:rPr>
      </w:pPr>
    </w:p>
    <w:p w14:paraId="72A194C9" w14:textId="77777777" w:rsidR="007F1354" w:rsidRDefault="007F1354" w:rsidP="00F326E5">
      <w:pPr>
        <w:pStyle w:val="NoSpacing"/>
        <w:rPr>
          <w:rFonts w:ascii="Arial Black" w:hAnsi="Arial Black"/>
          <w:sz w:val="24"/>
          <w:szCs w:val="24"/>
        </w:rPr>
      </w:pPr>
    </w:p>
    <w:p w14:paraId="6A05FDE0" w14:textId="142F38C5" w:rsidR="009B2B83" w:rsidRDefault="009B2B83" w:rsidP="00F326E5">
      <w:pPr>
        <w:pStyle w:val="NoSpacing"/>
        <w:rPr>
          <w:rFonts w:ascii="Arial Black" w:hAnsi="Arial Black"/>
          <w:sz w:val="24"/>
          <w:szCs w:val="24"/>
        </w:rPr>
      </w:pPr>
      <w:r>
        <w:rPr>
          <w:rFonts w:ascii="Arial Black" w:hAnsi="Arial Black"/>
          <w:sz w:val="24"/>
          <w:szCs w:val="24"/>
        </w:rPr>
        <w:t>1-143</w:t>
      </w:r>
    </w:p>
    <w:p w14:paraId="06372553" w14:textId="77777777" w:rsidR="00BF3437" w:rsidRPr="00666238" w:rsidRDefault="00BF3437" w:rsidP="00BF3437">
      <w:pPr>
        <w:pStyle w:val="Heading1"/>
        <w:rPr>
          <w:rFonts w:ascii="Arial Black" w:hAnsi="Arial Black"/>
          <w:sz w:val="28"/>
          <w:szCs w:val="28"/>
        </w:rPr>
      </w:pPr>
      <w:r>
        <w:rPr>
          <w:rFonts w:ascii="Arial Black" w:hAnsi="Arial Black"/>
          <w:sz w:val="28"/>
          <w:szCs w:val="28"/>
        </w:rPr>
        <w:t>WI: ARSON CONV. UPHELD – COMMENTS AT SCENE TO INCIDENT COMMANDER – FIRES IN TWO LOCATIONS</w:t>
      </w:r>
    </w:p>
    <w:p w14:paraId="0C9FA424" w14:textId="77777777" w:rsidR="00BF3437" w:rsidRDefault="00BF3437" w:rsidP="00BF3437">
      <w:pPr>
        <w:pStyle w:val="Heading1"/>
        <w:rPr>
          <w:b w:val="0"/>
          <w:bCs w:val="0"/>
          <w:sz w:val="24"/>
          <w:szCs w:val="24"/>
        </w:rPr>
      </w:pPr>
      <w:r>
        <w:rPr>
          <w:b w:val="0"/>
          <w:bCs w:val="0"/>
          <w:sz w:val="24"/>
          <w:szCs w:val="24"/>
        </w:rPr>
        <w:t xml:space="preserve">On Jan. 23, 2024, in </w:t>
      </w:r>
      <w:r w:rsidRPr="00510D50">
        <w:rPr>
          <w:b w:val="0"/>
          <w:bCs w:val="0"/>
          <w:sz w:val="24"/>
          <w:szCs w:val="24"/>
          <w:u w:val="single"/>
        </w:rPr>
        <w:t>State of Wisconsin v. James Farrar</w:t>
      </w:r>
      <w:r>
        <w:rPr>
          <w:b w:val="0"/>
          <w:bCs w:val="0"/>
          <w:sz w:val="24"/>
          <w:szCs w:val="24"/>
        </w:rPr>
        <w:t xml:space="preserve">, the Court of Appeals of Wisconsin held (3 to 0; unpublished opinion) there was sufficient evidence to support jury’s conviction of arson of a building of another.  The defendant was living in his father’s house (rental), father was in the hospital and would not allow the son to take over the lease.  There were two fires set – one in bedroom and another in the basement. </w:t>
      </w:r>
    </w:p>
    <w:p w14:paraId="4BCCB9AD" w14:textId="7777777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6368BB63" w14:textId="77777777" w:rsidR="00BF3437" w:rsidRDefault="00BF3437" w:rsidP="00BF3437">
      <w:pPr>
        <w:pStyle w:val="Heading1"/>
        <w:ind w:left="720"/>
        <w:rPr>
          <w:b w:val="0"/>
          <w:bCs w:val="0"/>
          <w:sz w:val="24"/>
          <w:szCs w:val="24"/>
        </w:rPr>
      </w:pPr>
      <w:r>
        <w:rPr>
          <w:b w:val="0"/>
          <w:bCs w:val="0"/>
          <w:sz w:val="24"/>
          <w:szCs w:val="24"/>
        </w:rPr>
        <w:t>“</w:t>
      </w:r>
      <w:r w:rsidRPr="00252AFA">
        <w:rPr>
          <w:b w:val="0"/>
          <w:bCs w:val="0"/>
          <w:sz w:val="24"/>
          <w:szCs w:val="24"/>
        </w:rPr>
        <w:t>The jury rejected the defense's theory that Farrar set the fire accidentally and found Farrar guilty of the arson charge. Farrar now appeals, challenging the sufficiency of the evidence to support his conviction.</w:t>
      </w:r>
    </w:p>
    <w:p w14:paraId="43E9BBA7" w14:textId="77777777" w:rsidR="00BF3437" w:rsidRDefault="00BF3437" w:rsidP="00BF3437">
      <w:pPr>
        <w:pStyle w:val="Heading1"/>
        <w:ind w:left="720"/>
        <w:rPr>
          <w:b w:val="0"/>
          <w:bCs w:val="0"/>
          <w:sz w:val="24"/>
          <w:szCs w:val="24"/>
        </w:rPr>
      </w:pPr>
      <w:r>
        <w:rPr>
          <w:b w:val="0"/>
          <w:bCs w:val="0"/>
          <w:sz w:val="24"/>
          <w:szCs w:val="24"/>
        </w:rPr>
        <w:t>***</w:t>
      </w:r>
    </w:p>
    <w:p w14:paraId="78D0C4B7" w14:textId="77777777" w:rsidR="00BF3437" w:rsidRDefault="00BF3437" w:rsidP="00BF3437">
      <w:pPr>
        <w:pStyle w:val="Heading1"/>
        <w:ind w:left="720"/>
        <w:rPr>
          <w:b w:val="0"/>
          <w:bCs w:val="0"/>
          <w:sz w:val="24"/>
          <w:szCs w:val="24"/>
        </w:rPr>
      </w:pPr>
      <w:r w:rsidRPr="007F290B">
        <w:rPr>
          <w:b w:val="0"/>
          <w:bCs w:val="0"/>
          <w:sz w:val="24"/>
          <w:szCs w:val="24"/>
        </w:rPr>
        <w:t>We disagree with Farrar's suggestion that an expression of intent was required for the jury to find that he intentionally set the fires at the residence. As explained above, the evidence introduced at trial, while circumstantial, was sufficient to support a reasonable inference that Farrar started the fires with the intent to damage the residence.</w:t>
      </w:r>
      <w:r>
        <w:rPr>
          <w:b w:val="0"/>
          <w:bCs w:val="0"/>
          <w:sz w:val="24"/>
          <w:szCs w:val="24"/>
        </w:rPr>
        <w:t xml:space="preserve">” </w:t>
      </w:r>
      <w:hyperlink r:id="rId150" w:history="1">
        <w:r w:rsidRPr="00624A20">
          <w:rPr>
            <w:rStyle w:val="Hyperlink"/>
            <w:b w:val="0"/>
            <w:bCs w:val="0"/>
            <w:sz w:val="24"/>
            <w:szCs w:val="24"/>
          </w:rPr>
          <w:t>https://caselaw.findlaw.com/court/wi-court-of-appeals/115735506.html</w:t>
        </w:r>
      </w:hyperlink>
      <w:r>
        <w:rPr>
          <w:b w:val="0"/>
          <w:bCs w:val="0"/>
          <w:sz w:val="24"/>
          <w:szCs w:val="24"/>
        </w:rPr>
        <w:t xml:space="preserve"> </w:t>
      </w:r>
    </w:p>
    <w:p w14:paraId="52BA343D" w14:textId="77777777" w:rsidR="007F1354" w:rsidRPr="004A3354" w:rsidRDefault="007F1354" w:rsidP="007F1354">
      <w:pPr>
        <w:pStyle w:val="NormalWeb"/>
        <w:rPr>
          <w:b/>
          <w:bCs/>
        </w:rPr>
      </w:pPr>
      <w:r w:rsidRPr="004A3354">
        <w:rPr>
          <w:b/>
          <w:bCs/>
        </w:rPr>
        <w:t>Legal Lesson Learned:</w:t>
      </w:r>
      <w:r>
        <w:rPr>
          <w:b/>
          <w:bCs/>
        </w:rPr>
        <w:t xml:space="preserve"> Document in your fire report the suspicious comments of the resident. </w:t>
      </w:r>
    </w:p>
    <w:p w14:paraId="79E5EFBF" w14:textId="78BE2E54" w:rsidR="009B2B83" w:rsidRPr="00021A20" w:rsidRDefault="00021A20" w:rsidP="00F326E5">
      <w:pPr>
        <w:pStyle w:val="NoSpacing"/>
        <w:rPr>
          <w:rFonts w:ascii="Times New Roman" w:hAnsi="Times New Roman"/>
          <w:sz w:val="24"/>
          <w:szCs w:val="24"/>
        </w:rPr>
      </w:pPr>
      <w:r>
        <w:rPr>
          <w:rFonts w:ascii="Arial Black" w:hAnsi="Arial Black"/>
          <w:sz w:val="24"/>
          <w:szCs w:val="24"/>
        </w:rPr>
        <w:tab/>
      </w:r>
      <w:r w:rsidRPr="00021A20">
        <w:rPr>
          <w:rFonts w:ascii="Times New Roman" w:hAnsi="Times New Roman"/>
          <w:sz w:val="24"/>
          <w:szCs w:val="24"/>
        </w:rPr>
        <w:t xml:space="preserve">Note: See article on this case. </w:t>
      </w:r>
    </w:p>
    <w:p w14:paraId="042CBE7C" w14:textId="77777777" w:rsidR="00021A20" w:rsidRPr="00585D67" w:rsidRDefault="00021A20" w:rsidP="00021A20">
      <w:pPr>
        <w:pStyle w:val="NormalWeb"/>
        <w:ind w:left="720"/>
      </w:pPr>
      <w:r w:rsidRPr="00585D67">
        <w:t xml:space="preserve">March 2, 2022: Wausau Man Sentenced </w:t>
      </w:r>
      <w:proofErr w:type="gramStart"/>
      <w:r w:rsidRPr="00585D67">
        <w:t>In</w:t>
      </w:r>
      <w:proofErr w:type="gramEnd"/>
      <w:r w:rsidRPr="00585D67">
        <w:t xml:space="preserve"> Arson Case </w:t>
      </w:r>
      <w:hyperlink r:id="rId151" w:history="1">
        <w:r w:rsidRPr="00585D67">
          <w:rPr>
            <w:rStyle w:val="Hyperlink"/>
          </w:rPr>
          <w:t>https://wsau.com/2022/03/02/wausau-man-sentenced-in-arson-case/</w:t>
        </w:r>
      </w:hyperlink>
      <w:r w:rsidRPr="00585D67">
        <w:t xml:space="preserve"> </w:t>
      </w:r>
    </w:p>
    <w:p w14:paraId="501C27F1" w14:textId="77777777" w:rsidR="009B2B83" w:rsidRDefault="009B2B83" w:rsidP="00F326E5">
      <w:pPr>
        <w:pStyle w:val="NoSpacing"/>
        <w:rPr>
          <w:rFonts w:ascii="Arial Black" w:hAnsi="Arial Black"/>
          <w:sz w:val="24"/>
          <w:szCs w:val="24"/>
        </w:rPr>
      </w:pPr>
    </w:p>
    <w:p w14:paraId="069DD437" w14:textId="77777777" w:rsidR="009B2B83" w:rsidRDefault="009B2B83" w:rsidP="00F326E5">
      <w:pPr>
        <w:pStyle w:val="NoSpacing"/>
        <w:rPr>
          <w:rFonts w:ascii="Arial Black" w:hAnsi="Arial Black"/>
          <w:sz w:val="24"/>
          <w:szCs w:val="24"/>
        </w:rPr>
      </w:pPr>
    </w:p>
    <w:p w14:paraId="4964BD00" w14:textId="6335161A" w:rsidR="00EC5DAB" w:rsidRDefault="00EC5DAB" w:rsidP="00F326E5">
      <w:pPr>
        <w:pStyle w:val="NoSpacing"/>
        <w:rPr>
          <w:rFonts w:ascii="Arial Black" w:hAnsi="Arial Black"/>
          <w:sz w:val="24"/>
          <w:szCs w:val="24"/>
        </w:rPr>
      </w:pPr>
      <w:r>
        <w:rPr>
          <w:rFonts w:ascii="Arial Black" w:hAnsi="Arial Black"/>
          <w:sz w:val="24"/>
          <w:szCs w:val="24"/>
        </w:rPr>
        <w:t>1-142</w:t>
      </w:r>
    </w:p>
    <w:p w14:paraId="17B11D01" w14:textId="77777777" w:rsidR="00307899" w:rsidRPr="007C1A20" w:rsidRDefault="00307899" w:rsidP="00307899">
      <w:pPr>
        <w:pStyle w:val="NormalWeb"/>
        <w:rPr>
          <w:rFonts w:ascii="Arial Black" w:hAnsi="Arial Black"/>
          <w:b/>
          <w:bCs/>
          <w:sz w:val="28"/>
          <w:szCs w:val="28"/>
        </w:rPr>
      </w:pPr>
      <w:r>
        <w:rPr>
          <w:rFonts w:ascii="Arial Black" w:hAnsi="Arial Black"/>
          <w:b/>
          <w:bCs/>
          <w:sz w:val="28"/>
          <w:szCs w:val="28"/>
        </w:rPr>
        <w:t>LA: ARSON – NEIGHBOR’S APT / GASOLINE – MOM HEARD 2</w:t>
      </w:r>
      <w:r w:rsidRPr="00583036">
        <w:rPr>
          <w:rFonts w:ascii="Arial Black" w:hAnsi="Arial Black"/>
          <w:b/>
          <w:bCs/>
          <w:sz w:val="28"/>
          <w:szCs w:val="28"/>
          <w:vertAlign w:val="superscript"/>
        </w:rPr>
        <w:t>ND</w:t>
      </w:r>
      <w:r>
        <w:rPr>
          <w:rFonts w:ascii="Arial Black" w:hAnsi="Arial Black"/>
          <w:b/>
          <w:bCs/>
          <w:sz w:val="28"/>
          <w:szCs w:val="28"/>
        </w:rPr>
        <w:t xml:space="preserve"> MAN TELL SON “YOU PUT TOO MUCH” - CONV. UPHELD</w:t>
      </w:r>
    </w:p>
    <w:p w14:paraId="00B26DB5" w14:textId="77777777" w:rsidR="00307899" w:rsidRDefault="00307899" w:rsidP="00307899">
      <w:pPr>
        <w:pStyle w:val="NormalWeb"/>
      </w:pPr>
      <w:r w:rsidRPr="001B26D3">
        <w:t xml:space="preserve">On Dec. 27, 2023, in </w:t>
      </w:r>
      <w:r w:rsidRPr="001B26D3">
        <w:rPr>
          <w:u w:val="single"/>
        </w:rPr>
        <w:t>State of Louisiana v. Terone R. Thomas</w:t>
      </w:r>
      <w:r w:rsidRPr="001B26D3">
        <w:t xml:space="preserve">, </w:t>
      </w:r>
      <w:r>
        <w:t xml:space="preserve">the Louisiana Fifth Circuit Court of Appeals held (3 to 0) that jury properly found defendant guilty, </w:t>
      </w:r>
      <w:proofErr w:type="gramStart"/>
      <w:r>
        <w:t>sentenced</w:t>
      </w:r>
      <w:proofErr w:type="gramEnd"/>
      <w:r>
        <w:t xml:space="preserve"> 5 years in prison, but judge’s restitution order $4,500 to neighbor requires evidence of the amount of the victim’s loss.  The Court wrote: “[Defendant’s  mother] testified that she heard the other man telling </w:t>
      </w:r>
      <w:proofErr w:type="gramStart"/>
      <w:r>
        <w:t>Defendant</w:t>
      </w:r>
      <w:proofErr w:type="gramEnd"/>
      <w:r>
        <w:t xml:space="preserve"> ‘You put too much’ or ‘You did too much.’ She did not hear Defendant say anything. She saw Defendant and the man get in ‘a little gray Mitsubishi, or whatever it was’ and leave the scene.” </w:t>
      </w:r>
      <w:hyperlink r:id="rId152" w:history="1">
        <w:r w:rsidRPr="00911235">
          <w:rPr>
            <w:rStyle w:val="Hyperlink"/>
          </w:rPr>
          <w:t>https://cases.justia.com/louisiana/fifth-circuit-court-of-appeal/2023-23-ka-234.pdf?ts=1703704652</w:t>
        </w:r>
      </w:hyperlink>
      <w:r>
        <w:t xml:space="preserve"> </w:t>
      </w:r>
    </w:p>
    <w:p w14:paraId="300DDEF2" w14:textId="77777777" w:rsidR="001257CC" w:rsidRDefault="001257CC" w:rsidP="001257CC">
      <w:pPr>
        <w:pStyle w:val="NormalWeb"/>
        <w:rPr>
          <w:b/>
          <w:bCs/>
        </w:rPr>
      </w:pPr>
      <w:r>
        <w:rPr>
          <w:b/>
          <w:bCs/>
        </w:rPr>
        <w:t xml:space="preserve">Legal Lesson Learned: Thorough investigation, clothing seized by consent, crime scene evidence collected with search warrant, expert testimony. </w:t>
      </w:r>
    </w:p>
    <w:p w14:paraId="4CD4B859" w14:textId="77777777" w:rsidR="00307899" w:rsidRDefault="00307899" w:rsidP="00F326E5">
      <w:pPr>
        <w:pStyle w:val="NoSpacing"/>
        <w:rPr>
          <w:rFonts w:ascii="Arial Black" w:hAnsi="Arial Black"/>
          <w:sz w:val="24"/>
          <w:szCs w:val="24"/>
        </w:rPr>
      </w:pPr>
    </w:p>
    <w:p w14:paraId="5BB1CCA0" w14:textId="77777777" w:rsidR="00EC5DAB" w:rsidRDefault="00EC5DAB" w:rsidP="00F326E5">
      <w:pPr>
        <w:pStyle w:val="NoSpacing"/>
        <w:rPr>
          <w:rFonts w:ascii="Arial Black" w:hAnsi="Arial Black"/>
          <w:sz w:val="24"/>
          <w:szCs w:val="24"/>
        </w:rPr>
      </w:pPr>
    </w:p>
    <w:p w14:paraId="6977D618" w14:textId="77777777" w:rsidR="00EC5DAB" w:rsidRDefault="00EC5DAB" w:rsidP="00F326E5">
      <w:pPr>
        <w:pStyle w:val="NoSpacing"/>
        <w:rPr>
          <w:rFonts w:ascii="Arial Black" w:hAnsi="Arial Black"/>
          <w:sz w:val="24"/>
          <w:szCs w:val="24"/>
        </w:rPr>
      </w:pPr>
    </w:p>
    <w:p w14:paraId="1FC7F42A" w14:textId="4F040D1C" w:rsidR="00C22EBB" w:rsidRDefault="00530943" w:rsidP="00F326E5">
      <w:pPr>
        <w:pStyle w:val="NoSpacing"/>
        <w:rPr>
          <w:rFonts w:ascii="Arial Black" w:hAnsi="Arial Black"/>
          <w:sz w:val="24"/>
          <w:szCs w:val="24"/>
        </w:rPr>
      </w:pPr>
      <w:r>
        <w:rPr>
          <w:rFonts w:ascii="Arial Black" w:hAnsi="Arial Black"/>
          <w:sz w:val="24"/>
          <w:szCs w:val="24"/>
        </w:rPr>
        <w:t>1-141</w:t>
      </w:r>
    </w:p>
    <w:p w14:paraId="6233123E" w14:textId="77777777" w:rsidR="00BC0D37" w:rsidRPr="00462C8F" w:rsidRDefault="00BC0D37" w:rsidP="00BC0D37">
      <w:pPr>
        <w:pStyle w:val="NormalWeb"/>
        <w:rPr>
          <w:rFonts w:ascii="Arial Black" w:hAnsi="Arial Black"/>
          <w:sz w:val="28"/>
          <w:szCs w:val="28"/>
        </w:rPr>
      </w:pPr>
      <w:r>
        <w:rPr>
          <w:rFonts w:ascii="Arial Black" w:hAnsi="Arial Black"/>
          <w:sz w:val="28"/>
          <w:szCs w:val="28"/>
        </w:rPr>
        <w:t>MA: ARSON CHURCH – PROBABLE CAUSE SEARCH WARRANT CAR OF CHURCH MEMBER – PORTIONS DELETED</w:t>
      </w:r>
    </w:p>
    <w:p w14:paraId="5C4FB747" w14:textId="77777777" w:rsidR="00BC0D37" w:rsidRDefault="00BC0D37" w:rsidP="00BC0D37">
      <w:pPr>
        <w:pStyle w:val="NormalWeb"/>
      </w:pPr>
      <w:r w:rsidRPr="002F76D0">
        <w:t xml:space="preserve">On Dec. 8, 2023, in </w:t>
      </w:r>
      <w:r w:rsidRPr="002F76D0">
        <w:rPr>
          <w:u w:val="single"/>
        </w:rPr>
        <w:t>Commonwealth v. Lys W. Vincent</w:t>
      </w:r>
      <w:r w:rsidRPr="002F76D0">
        <w:t xml:space="preserve">, the Appeals Court of Massachusetts held (3 to 0) that trial court </w:t>
      </w:r>
      <w:r>
        <w:t xml:space="preserve">motions judge </w:t>
      </w:r>
      <w:r w:rsidRPr="002F76D0">
        <w:t xml:space="preserve">properly found the affidavit to search the car was supported by probable cause.  The Court held: </w:t>
      </w:r>
      <w:r>
        <w:t xml:space="preserve">“The defendant argued in his motion that the warrant affidavit contained unlawfully obtained information. The motion judge agreed that portions of the affidavit were based on </w:t>
      </w:r>
      <w:proofErr w:type="gramStart"/>
      <w:r>
        <w:t>an unconstitutional</w:t>
      </w:r>
      <w:proofErr w:type="gramEnd"/>
      <w:r>
        <w:t xml:space="preserve"> search and interrogation but concluded that, even after the unlawful portions of the affidavit were excised, it still established probable cause for the search. Without the unlawfully obtained information, the affidavit established the following. *** </w:t>
      </w:r>
      <w:r w:rsidRPr="002F76D0">
        <w:t xml:space="preserve">The timing of the car's arrival and departure in relation to the time of the fire, the fact that the car was registered to a church member, and the footage of the driver apparently carrying into the building a bag that could have contained the accelerant, went well beyond mere presence and established a sufficient nexus between the car and the crime. Accordingly, there was probable cause to issue the search warrant, and the evidence found in the car -- including gasoline residue on the passenger-side carpet -- was properly admitted at </w:t>
      </w:r>
      <w:proofErr w:type="gramStart"/>
      <w:r w:rsidRPr="002F76D0">
        <w:t>trial.</w:t>
      </w:r>
      <w:r>
        <w:t>”</w:t>
      </w:r>
      <w:proofErr w:type="gramEnd"/>
      <w:r>
        <w:t xml:space="preserve"> </w:t>
      </w:r>
      <w:hyperlink r:id="rId153" w:history="1">
        <w:r w:rsidRPr="0014393E">
          <w:rPr>
            <w:rStyle w:val="Hyperlink"/>
          </w:rPr>
          <w:t>https://caselaw.findlaw.com/court/ma-court-of-appeals/115598993.html</w:t>
        </w:r>
      </w:hyperlink>
      <w:r>
        <w:t xml:space="preserve"> </w:t>
      </w:r>
    </w:p>
    <w:p w14:paraId="346A6D29" w14:textId="77777777" w:rsidR="00EC5DAB" w:rsidRPr="00B75293" w:rsidRDefault="00EC5DAB" w:rsidP="00EC5DAB">
      <w:pPr>
        <w:pStyle w:val="NormalWeb"/>
        <w:rPr>
          <w:b/>
          <w:bCs/>
        </w:rPr>
      </w:pPr>
      <w:r w:rsidRPr="00B75293">
        <w:rPr>
          <w:b/>
          <w:bCs/>
        </w:rPr>
        <w:t xml:space="preserve">Legal Lesson Learned: </w:t>
      </w:r>
      <w:r>
        <w:rPr>
          <w:b/>
          <w:bCs/>
        </w:rPr>
        <w:t xml:space="preserve">Search warrant of car will be upheld where church video showed suspicious activity. </w:t>
      </w:r>
    </w:p>
    <w:p w14:paraId="757F6C4B" w14:textId="77777777" w:rsidR="00EC5DAB" w:rsidRPr="002F76D0" w:rsidRDefault="00EC5DAB" w:rsidP="00BC0D37">
      <w:pPr>
        <w:pStyle w:val="NormalWeb"/>
      </w:pPr>
    </w:p>
    <w:p w14:paraId="12E58710" w14:textId="77777777" w:rsidR="00530943" w:rsidRDefault="00530943" w:rsidP="00F326E5">
      <w:pPr>
        <w:pStyle w:val="NoSpacing"/>
        <w:rPr>
          <w:rFonts w:ascii="Arial Black" w:hAnsi="Arial Black"/>
          <w:sz w:val="24"/>
          <w:szCs w:val="24"/>
        </w:rPr>
      </w:pPr>
    </w:p>
    <w:p w14:paraId="0DEEC889" w14:textId="77777777" w:rsidR="00530943" w:rsidRDefault="00530943" w:rsidP="00F326E5">
      <w:pPr>
        <w:pStyle w:val="NoSpacing"/>
        <w:rPr>
          <w:rFonts w:ascii="Arial Black" w:hAnsi="Arial Black"/>
          <w:sz w:val="24"/>
          <w:szCs w:val="24"/>
        </w:rPr>
      </w:pPr>
    </w:p>
    <w:p w14:paraId="59947C76" w14:textId="77777777" w:rsidR="00530943" w:rsidRDefault="00530943" w:rsidP="00F326E5">
      <w:pPr>
        <w:pStyle w:val="NoSpacing"/>
        <w:rPr>
          <w:rFonts w:ascii="Arial Black" w:hAnsi="Arial Black"/>
          <w:sz w:val="24"/>
          <w:szCs w:val="24"/>
        </w:rPr>
      </w:pPr>
    </w:p>
    <w:p w14:paraId="18F088E1" w14:textId="1C8FF41B" w:rsidR="00801D3A" w:rsidRDefault="00801D3A" w:rsidP="00F326E5">
      <w:pPr>
        <w:pStyle w:val="NoSpacing"/>
        <w:rPr>
          <w:rFonts w:ascii="Arial Black" w:hAnsi="Arial Black"/>
          <w:sz w:val="24"/>
          <w:szCs w:val="24"/>
        </w:rPr>
      </w:pPr>
      <w:r>
        <w:rPr>
          <w:rFonts w:ascii="Arial Black" w:hAnsi="Arial Black"/>
          <w:sz w:val="24"/>
          <w:szCs w:val="24"/>
        </w:rPr>
        <w:t>1-140</w:t>
      </w:r>
    </w:p>
    <w:p w14:paraId="260C252C" w14:textId="77777777" w:rsidR="00801D3A" w:rsidRPr="00025DFB" w:rsidRDefault="00801D3A" w:rsidP="00801D3A">
      <w:pPr>
        <w:pStyle w:val="NormalWeb"/>
        <w:rPr>
          <w:rFonts w:ascii="Arial Black" w:hAnsi="Arial Black"/>
          <w:sz w:val="28"/>
          <w:szCs w:val="28"/>
        </w:rPr>
      </w:pPr>
      <w:r>
        <w:rPr>
          <w:rFonts w:ascii="Arial Black" w:hAnsi="Arial Black"/>
          <w:sz w:val="28"/>
          <w:szCs w:val="28"/>
        </w:rPr>
        <w:t>OH: ARSON – PLEAD TO MISDEMEANOR - MAX VICTIM RESTITUTION IS $999.99 – MARSY’S LAW NOT APPLICABLE</w:t>
      </w:r>
    </w:p>
    <w:p w14:paraId="3AFAC9B9" w14:textId="77777777" w:rsidR="00801D3A" w:rsidRDefault="00801D3A" w:rsidP="00801D3A">
      <w:pPr>
        <w:pStyle w:val="NormalWeb"/>
      </w:pPr>
      <w:r>
        <w:t xml:space="preserve">On Dec. 4, 2023, in </w:t>
      </w:r>
      <w:r w:rsidRPr="003E3F3A">
        <w:rPr>
          <w:u w:val="single"/>
        </w:rPr>
        <w:t>State of Ohio v. Timothy A. Messer</w:t>
      </w:r>
      <w:r>
        <w:t>, the defendant entered plea deal with prosecutor; he was indicted for aggravated arson in violation of R.C. 2909.02(A)(2), a second-degree felony, but pled guilty to misdemeanor of arson in violation of Ohio Rev. Code 20909.03(A)(1); he was sentenced probation, and victim restitution in the amount of $15,315 (actual loss).  Court  of Appeals reduced restitution to $999.99 since misdemean statute is for property damage up to $1,000.  “The state agrees that a straightforward application of our prior precedent would mean that the trial court erred in awarding restitution in an amount more than $999.99. However, the state argues that Marsy's Law, a victim's rights amendment to the Ohio Constitution effective February 5, 2018, and its effect on restitution was not addressed by the court</w:t>
      </w:r>
      <w:r>
        <w:rPr>
          <w:rStyle w:val="Emphasis"/>
        </w:rPr>
        <w:t>.</w:t>
      </w:r>
      <w:r>
        <w:t xml:space="preserve"> The relevant provision of Marsy's Law gives a victim of a crime the right ‘to full and timely restitution from the person who committed the criminal offense or delinquent act against the victim.’ Article I, Section 10a(A)(7), Ohio Constitution. The state asks us to consider the impact of Marsy's Law on our previous precedent, which limited restitution by the offense. *** Nothing in Marsy's Law changes our analysis. Marsy's Law gives the victim the right ‘to full and timely restitution from the person who committed </w:t>
      </w:r>
      <w:r>
        <w:rPr>
          <w:rStyle w:val="Emphasis"/>
        </w:rPr>
        <w:t>the criminal offense</w:t>
      </w:r>
      <w:r>
        <w:t xml:space="preserve"> or delinquent act against the victim.’ (Emphasis added.) Article I, Section 10a(A)(7), Ohio Constitution. The criminal offense committed against the victim here was a first-degree misdemeanor arson offense. Thus, the victim is entitled to full and timely restitution for economic loss of any amount equal to or less than $999.99.”</w:t>
      </w:r>
      <w:r w:rsidRPr="00091FC5">
        <w:t xml:space="preserve"> </w:t>
      </w:r>
      <w:hyperlink r:id="rId154" w:history="1">
        <w:r w:rsidRPr="002D5A3E">
          <w:rPr>
            <w:rStyle w:val="Hyperlink"/>
          </w:rPr>
          <w:t>https://www.anylaw.com/case/state-v-messer/ohio-court-of-appeals/12-04-2023/hMqWTIwBqcoRgE-I70tV</w:t>
        </w:r>
      </w:hyperlink>
      <w:r>
        <w:t xml:space="preserve"> </w:t>
      </w:r>
    </w:p>
    <w:p w14:paraId="0B99FE29" w14:textId="77777777" w:rsidR="00530943" w:rsidRDefault="00530943" w:rsidP="00530943">
      <w:pPr>
        <w:pStyle w:val="NormalWeb"/>
        <w:rPr>
          <w:b/>
          <w:bCs/>
        </w:rPr>
      </w:pPr>
      <w:r w:rsidRPr="007C3E7E">
        <w:rPr>
          <w:b/>
          <w:bCs/>
        </w:rPr>
        <w:t xml:space="preserve">Legal Lesson Learned: </w:t>
      </w:r>
      <w:r>
        <w:rPr>
          <w:b/>
          <w:bCs/>
        </w:rPr>
        <w:t xml:space="preserve">When citizens of Ohio voted to amend state Constitution to add Marsy Law giving victims a right to restitution (effective 2018), it did not change other Revised Code provision limiting restitution amount. </w:t>
      </w:r>
    </w:p>
    <w:p w14:paraId="2DB82005" w14:textId="77777777" w:rsidR="00530943" w:rsidRPr="005349CB" w:rsidRDefault="00530943" w:rsidP="00530943">
      <w:pPr>
        <w:pStyle w:val="NormalWeb"/>
        <w:ind w:left="720"/>
      </w:pPr>
      <w:r w:rsidRPr="005349CB">
        <w:t xml:space="preserve">Note: See </w:t>
      </w:r>
      <w:r>
        <w:t xml:space="preserve">Ohio </w:t>
      </w:r>
      <w:r w:rsidRPr="005349CB">
        <w:t xml:space="preserve">Marcy’s Law restitution request form. </w:t>
      </w:r>
      <w:hyperlink r:id="rId155" w:history="1">
        <w:r w:rsidRPr="002D5A3E">
          <w:rPr>
            <w:rStyle w:val="Hyperlink"/>
          </w:rPr>
          <w:t>https://www.supremecourt.ohio.gov/forms/all-forms/crime-victims-marsys-law-rights/112</w:t>
        </w:r>
      </w:hyperlink>
      <w:r>
        <w:t xml:space="preserve"> </w:t>
      </w:r>
    </w:p>
    <w:p w14:paraId="2409C660" w14:textId="77777777" w:rsidR="00801D3A" w:rsidRDefault="00801D3A" w:rsidP="00F326E5">
      <w:pPr>
        <w:pStyle w:val="NoSpacing"/>
        <w:rPr>
          <w:rFonts w:ascii="Arial Black" w:hAnsi="Arial Black"/>
          <w:sz w:val="24"/>
          <w:szCs w:val="24"/>
        </w:rPr>
      </w:pPr>
    </w:p>
    <w:p w14:paraId="024A1D4F" w14:textId="77777777" w:rsidR="00801D3A" w:rsidRDefault="00801D3A" w:rsidP="00F326E5">
      <w:pPr>
        <w:pStyle w:val="NoSpacing"/>
        <w:rPr>
          <w:rFonts w:ascii="Arial Black" w:hAnsi="Arial Black"/>
          <w:sz w:val="24"/>
          <w:szCs w:val="24"/>
        </w:rPr>
      </w:pPr>
    </w:p>
    <w:p w14:paraId="3DB1BB6B" w14:textId="77777777" w:rsidR="00801D3A" w:rsidRDefault="00801D3A" w:rsidP="00F326E5">
      <w:pPr>
        <w:pStyle w:val="NoSpacing"/>
        <w:rPr>
          <w:rFonts w:ascii="Arial Black" w:hAnsi="Arial Black"/>
          <w:sz w:val="24"/>
          <w:szCs w:val="24"/>
        </w:rPr>
      </w:pPr>
    </w:p>
    <w:p w14:paraId="64B75782" w14:textId="705310A0" w:rsidR="00C22EBB" w:rsidRDefault="00C22EBB" w:rsidP="00F326E5">
      <w:pPr>
        <w:pStyle w:val="NoSpacing"/>
        <w:rPr>
          <w:rFonts w:ascii="Arial Black" w:hAnsi="Arial Black"/>
          <w:sz w:val="24"/>
          <w:szCs w:val="24"/>
        </w:rPr>
      </w:pPr>
      <w:r>
        <w:rPr>
          <w:rFonts w:ascii="Arial Black" w:hAnsi="Arial Black"/>
          <w:sz w:val="24"/>
          <w:szCs w:val="24"/>
        </w:rPr>
        <w:t>1-139</w:t>
      </w:r>
    </w:p>
    <w:p w14:paraId="2DD8E707" w14:textId="77777777" w:rsidR="00C22EBB" w:rsidRPr="00054283" w:rsidRDefault="00C22EBB" w:rsidP="00C22EBB">
      <w:pPr>
        <w:rPr>
          <w:rFonts w:ascii="Arial Black" w:hAnsi="Arial Black"/>
          <w:b/>
          <w:bCs/>
          <w:sz w:val="28"/>
          <w:szCs w:val="28"/>
        </w:rPr>
      </w:pPr>
      <w:r w:rsidRPr="00054283">
        <w:rPr>
          <w:rFonts w:ascii="Arial Black" w:hAnsi="Arial Black"/>
          <w:b/>
          <w:bCs/>
          <w:sz w:val="28"/>
          <w:szCs w:val="28"/>
        </w:rPr>
        <w:t>CO: ARSON – 5 KILLED IN HOME – SEARCH WARRANT</w:t>
      </w:r>
      <w:r>
        <w:rPr>
          <w:rFonts w:ascii="Arial Black" w:hAnsi="Arial Black"/>
          <w:b/>
          <w:bCs/>
          <w:sz w:val="28"/>
          <w:szCs w:val="28"/>
        </w:rPr>
        <w:t>S ON GOOGLE FOR</w:t>
      </w:r>
      <w:r w:rsidRPr="00054283">
        <w:rPr>
          <w:rFonts w:ascii="Arial Black" w:hAnsi="Arial Black"/>
          <w:b/>
          <w:bCs/>
          <w:sz w:val="28"/>
          <w:szCs w:val="28"/>
        </w:rPr>
        <w:t xml:space="preserve"> </w:t>
      </w:r>
      <w:r>
        <w:rPr>
          <w:rFonts w:ascii="Arial Black" w:hAnsi="Arial Black"/>
          <w:b/>
          <w:bCs/>
          <w:sz w:val="28"/>
          <w:szCs w:val="28"/>
        </w:rPr>
        <w:t>“REVERSE KEYWORD” - LOCATED ARSONIST</w:t>
      </w:r>
    </w:p>
    <w:p w14:paraId="7523D3C7" w14:textId="77777777" w:rsidR="00C22EBB" w:rsidRDefault="00C22EBB" w:rsidP="00C22EBB">
      <w:pPr>
        <w:pStyle w:val="p0"/>
        <w:ind w:firstLine="0"/>
        <w:rPr>
          <w:rFonts w:ascii="Times New Roman" w:hAnsi="Times New Roman" w:cs="Times New Roman"/>
          <w:sz w:val="24"/>
          <w:szCs w:val="24"/>
        </w:rPr>
      </w:pPr>
      <w:r w:rsidRPr="007127BF">
        <w:rPr>
          <w:rFonts w:ascii="Times New Roman" w:hAnsi="Times New Roman" w:cs="Times New Roman"/>
          <w:sz w:val="24"/>
          <w:szCs w:val="24"/>
        </w:rPr>
        <w:t>On Oct. 16, 2023</w:t>
      </w:r>
      <w:r>
        <w:rPr>
          <w:rFonts w:ascii="Times New Roman" w:hAnsi="Times New Roman" w:cs="Times New Roman"/>
          <w:sz w:val="24"/>
          <w:szCs w:val="24"/>
        </w:rPr>
        <w:t xml:space="preserve">, in </w:t>
      </w:r>
      <w:r w:rsidRPr="00AA30F9">
        <w:rPr>
          <w:rFonts w:ascii="Times New Roman" w:hAnsi="Times New Roman" w:cs="Times New Roman"/>
          <w:sz w:val="24"/>
          <w:szCs w:val="24"/>
          <w:u w:val="single"/>
        </w:rPr>
        <w:t>The People of the State of Colorado v. Gavin Seymour</w:t>
      </w:r>
      <w:r>
        <w:rPr>
          <w:rFonts w:ascii="Times New Roman" w:hAnsi="Times New Roman" w:cs="Times New Roman"/>
          <w:sz w:val="24"/>
          <w:szCs w:val="24"/>
        </w:rPr>
        <w:t xml:space="preserve">, the Supreme Court of Colorado, upheld (5 to 2) the use of evidence obtained in the “reverse keyword” search warrant that located information on the defendant’s Google account that shows he focused on the house. The majority decision agreed with the trial judge that the search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a massive Google data bank was executed in good faith under several court-ordered search warrants, and therefore evidence was admissible at trial.  </w:t>
      </w:r>
    </w:p>
    <w:p w14:paraId="29F4C290" w14:textId="7A806A22" w:rsidR="00C22EBB" w:rsidRDefault="00C22EBB" w:rsidP="00C22EBB">
      <w:pPr>
        <w:pStyle w:val="NoSpacing"/>
        <w:rPr>
          <w:rStyle w:val="Hyperlink"/>
          <w:rFonts w:ascii="Times New Roman" w:hAnsi="Times New Roman"/>
          <w:sz w:val="24"/>
          <w:szCs w:val="24"/>
        </w:rPr>
      </w:pPr>
      <w:hyperlink r:id="rId156" w:history="1">
        <w:r w:rsidRPr="00182321">
          <w:rPr>
            <w:rStyle w:val="Hyperlink"/>
            <w:rFonts w:ascii="Times New Roman" w:hAnsi="Times New Roman"/>
            <w:sz w:val="24"/>
            <w:szCs w:val="24"/>
          </w:rPr>
          <w:t>https://www.courts.state.co.us/userfiles/file/Court_Probation/Supreme_Court/Opinions/2023/23SA12.pdf?utm_source=substack&amp;utm_medium=email</w:t>
        </w:r>
      </w:hyperlink>
    </w:p>
    <w:p w14:paraId="061DE543" w14:textId="77777777" w:rsidR="00103226" w:rsidRDefault="00103226" w:rsidP="00C22EBB">
      <w:pPr>
        <w:pStyle w:val="NoSpacing"/>
        <w:rPr>
          <w:rStyle w:val="Hyperlink"/>
          <w:rFonts w:ascii="Times New Roman" w:hAnsi="Times New Roman"/>
          <w:sz w:val="24"/>
          <w:szCs w:val="24"/>
        </w:rPr>
      </w:pPr>
    </w:p>
    <w:p w14:paraId="70A685D9" w14:textId="77777777" w:rsidR="00103226" w:rsidRDefault="00103226" w:rsidP="00103226">
      <w:pPr>
        <w:rPr>
          <w:rFonts w:ascii="Times New Roman" w:hAnsi="Times New Roman"/>
          <w:b/>
          <w:bCs/>
          <w:sz w:val="24"/>
          <w:szCs w:val="24"/>
        </w:rPr>
      </w:pPr>
      <w:r w:rsidRPr="005F01DF">
        <w:rPr>
          <w:rFonts w:ascii="Times New Roman" w:hAnsi="Times New Roman"/>
          <w:b/>
          <w:bCs/>
          <w:sz w:val="24"/>
          <w:szCs w:val="24"/>
        </w:rPr>
        <w:t xml:space="preserve">Legal Lesson Learned: </w:t>
      </w:r>
      <w:r>
        <w:rPr>
          <w:rFonts w:ascii="Times New Roman" w:hAnsi="Times New Roman"/>
          <w:b/>
          <w:bCs/>
          <w:sz w:val="24"/>
          <w:szCs w:val="24"/>
        </w:rPr>
        <w:t xml:space="preserve"> New technology leads to arrest of arsonist; evidence collected in “good faith” by law enforcement using a search warrant is admissible in evidence. </w:t>
      </w:r>
    </w:p>
    <w:p w14:paraId="13B65E1E" w14:textId="77777777" w:rsidR="004A5E38" w:rsidRPr="00B52D6C" w:rsidRDefault="004A5E38" w:rsidP="004A5E38">
      <w:pPr>
        <w:pStyle w:val="NormalWeb"/>
        <w:ind w:firstLine="720"/>
      </w:pPr>
      <w:r w:rsidRPr="00B52D6C">
        <w:t xml:space="preserve">Note: See these </w:t>
      </w:r>
      <w:r>
        <w:t xml:space="preserve">articles / TV video </w:t>
      </w:r>
      <w:r w:rsidRPr="00B52D6C">
        <w:t>about the case.</w:t>
      </w:r>
    </w:p>
    <w:p w14:paraId="56456988" w14:textId="77777777" w:rsidR="004A5E38" w:rsidRPr="00B52D6C" w:rsidRDefault="004A5E38" w:rsidP="004A5E38">
      <w:pPr>
        <w:pStyle w:val="NormalWeb"/>
        <w:ind w:left="720"/>
      </w:pPr>
      <w:r w:rsidRPr="00B52D6C">
        <w:t xml:space="preserve">Oct. 16, 2023: Google data ruled admissible in Green Valley </w:t>
      </w:r>
      <w:proofErr w:type="gramStart"/>
      <w:r w:rsidRPr="00B52D6C">
        <w:t>Ranch arson</w:t>
      </w:r>
      <w:proofErr w:type="gramEnd"/>
      <w:r w:rsidRPr="00B52D6C">
        <w:t xml:space="preserve"> case [see TV video]. </w:t>
      </w:r>
      <w:hyperlink r:id="rId157" w:history="1">
        <w:r w:rsidRPr="00B52D6C">
          <w:rPr>
            <w:rStyle w:val="Hyperlink"/>
          </w:rPr>
          <w:t>https://www.9news.com/article/news/local/denver-arson-google-data-fatal-house-fire-colorado-supreme-court-ruling/73-aca77fb3-30d9-4bac-b46c-6d4b4402af16</w:t>
        </w:r>
      </w:hyperlink>
      <w:r w:rsidRPr="00B52D6C">
        <w:t xml:space="preserve"> </w:t>
      </w:r>
    </w:p>
    <w:p w14:paraId="3FEE6EEE" w14:textId="77777777" w:rsidR="004A5E38" w:rsidRPr="00B52D6C" w:rsidRDefault="004A5E38" w:rsidP="004A5E38">
      <w:pPr>
        <w:pStyle w:val="NormalWeb"/>
        <w:ind w:left="720"/>
      </w:pPr>
      <w:r w:rsidRPr="00B52D6C">
        <w:t xml:space="preserve"> Oct. 16, 2023: Colorado Supreme Court ruled in favor of reverse-keyword search Denver Police used to track arson suspects </w:t>
      </w:r>
      <w:hyperlink r:id="rId158" w:history="1">
        <w:r w:rsidRPr="00B52D6C">
          <w:rPr>
            <w:rStyle w:val="Hyperlink"/>
          </w:rPr>
          <w:t>https://www.denver7.com/news/local-news/colorado-supreme-court-ruled-in-favor-of-reverse-keyword-search-denver-police-used-to-track-arson-suspects</w:t>
        </w:r>
      </w:hyperlink>
      <w:r w:rsidRPr="00B52D6C">
        <w:t xml:space="preserve"> </w:t>
      </w:r>
    </w:p>
    <w:p w14:paraId="0DA7925C" w14:textId="77777777" w:rsidR="00103226" w:rsidRDefault="00103226" w:rsidP="00C22EBB">
      <w:pPr>
        <w:pStyle w:val="NoSpacing"/>
        <w:rPr>
          <w:rFonts w:ascii="Arial Black" w:hAnsi="Arial Black"/>
          <w:sz w:val="24"/>
          <w:szCs w:val="24"/>
        </w:rPr>
      </w:pPr>
    </w:p>
    <w:p w14:paraId="1ABFEC2B" w14:textId="77777777" w:rsidR="00C22EBB" w:rsidRDefault="00C22EBB" w:rsidP="00F326E5">
      <w:pPr>
        <w:pStyle w:val="NoSpacing"/>
        <w:rPr>
          <w:rFonts w:ascii="Arial Black" w:hAnsi="Arial Black"/>
          <w:sz w:val="24"/>
          <w:szCs w:val="24"/>
        </w:rPr>
      </w:pPr>
    </w:p>
    <w:p w14:paraId="6A255E31" w14:textId="68A4F10A" w:rsidR="00BB49C5" w:rsidRDefault="00BB49C5" w:rsidP="00F326E5">
      <w:pPr>
        <w:pStyle w:val="NoSpacing"/>
        <w:rPr>
          <w:rFonts w:ascii="Arial Black" w:hAnsi="Arial Black"/>
          <w:sz w:val="24"/>
          <w:szCs w:val="24"/>
        </w:rPr>
      </w:pPr>
      <w:r>
        <w:rPr>
          <w:rFonts w:ascii="Arial Black" w:hAnsi="Arial Black"/>
          <w:sz w:val="24"/>
          <w:szCs w:val="24"/>
        </w:rPr>
        <w:t>1-138</w:t>
      </w:r>
    </w:p>
    <w:p w14:paraId="767D7706" w14:textId="77777777" w:rsidR="00BB49C5" w:rsidRDefault="00BB49C5" w:rsidP="00BB49C5">
      <w:pPr>
        <w:pStyle w:val="NormalWeb"/>
        <w:rPr>
          <w:rFonts w:ascii="Arial Black" w:hAnsi="Arial Black"/>
          <w:b/>
          <w:bCs/>
          <w:sz w:val="28"/>
          <w:szCs w:val="28"/>
        </w:rPr>
      </w:pPr>
      <w:r>
        <w:rPr>
          <w:rFonts w:ascii="Arial Black" w:hAnsi="Arial Black"/>
          <w:b/>
          <w:bCs/>
          <w:sz w:val="28"/>
          <w:szCs w:val="28"/>
        </w:rPr>
        <w:t>CA: ARSON – DELUSIONAL DEFENDANT – FIRE INVESTIGATOR: FORCED ENTRY “CARDINAL SIGN” ARSON</w:t>
      </w:r>
    </w:p>
    <w:p w14:paraId="464C0D60" w14:textId="77777777" w:rsidR="00BB49C5" w:rsidRDefault="00BB49C5" w:rsidP="00BB49C5">
      <w:pPr>
        <w:pStyle w:val="paragraph"/>
      </w:pPr>
      <w:r>
        <w:t xml:space="preserve">On Oct. 24, 2023, in </w:t>
      </w:r>
      <w:r w:rsidRPr="00A924E6">
        <w:rPr>
          <w:u w:val="single"/>
        </w:rPr>
        <w:t>The People v. Donald James Hailey</w:t>
      </w:r>
      <w:r>
        <w:t xml:space="preserve">, the California Court of Appeals, Third District, Sacramento held (3 to 0; unpublished opinion) upheld the defendant’s conviction by a jury of arson (23 years in prison).   The defendant was “delusional” – but not insane.  The Court wrote: “It was ‘either fight or flight’ in defendant's mind. Fearing there was no time to flee into the house where he was staying because he would not be able to open both the </w:t>
      </w:r>
      <w:proofErr w:type="gramStart"/>
      <w:r>
        <w:t>locked metal</w:t>
      </w:r>
      <w:proofErr w:type="gramEnd"/>
      <w:r>
        <w:t xml:space="preserve"> "crash gate" that covered the front door and the front door itself, defendant ran across the street to Sheila F.'s house. He decided to run through Sheila F.'s house because he thought the people chasing him would not follow him inside. *** Here, the record </w:t>
      </w:r>
      <w:proofErr w:type="gramStart"/>
      <w:r>
        <w:t>indicates</w:t>
      </w:r>
      <w:proofErr w:type="gramEnd"/>
      <w:r>
        <w:t xml:space="preserve"> defendant may have been delusional on New Year's Day 2020 when he committed his crimes. But the record does not suggest defendant was unable at his May 2021 trial to consult with his lawyer with a reasonable degree of rational understanding. The suggestion of a discrete delusional episode 17 months prior to trial that led to a temporary not guilty by reason of insanity plea, without more, does not amount to substantial evidence of incompetence to stand trial.” </w:t>
      </w:r>
      <w:hyperlink r:id="rId159" w:history="1">
        <w:r w:rsidRPr="0097451D">
          <w:rPr>
            <w:rStyle w:val="Hyperlink"/>
          </w:rPr>
          <w:t>https://casetext.com/case/people-v-hailey-43</w:t>
        </w:r>
      </w:hyperlink>
      <w:r>
        <w:t xml:space="preserve"> </w:t>
      </w:r>
    </w:p>
    <w:p w14:paraId="6AFE1EE9" w14:textId="77777777" w:rsidR="00BB49C5" w:rsidRPr="004E6FE0" w:rsidRDefault="00BB49C5" w:rsidP="00BB49C5">
      <w:pPr>
        <w:pStyle w:val="paragraph"/>
        <w:rPr>
          <w:b/>
          <w:bCs/>
        </w:rPr>
      </w:pPr>
      <w:r w:rsidRPr="004E6FE0">
        <w:rPr>
          <w:b/>
          <w:bCs/>
        </w:rPr>
        <w:t>Legal Lesson Learned: The fire investigator was qualified as an expert</w:t>
      </w:r>
      <w:r>
        <w:rPr>
          <w:b/>
          <w:bCs/>
        </w:rPr>
        <w:t xml:space="preserve">. </w:t>
      </w:r>
    </w:p>
    <w:p w14:paraId="31F4AFF4" w14:textId="77777777" w:rsidR="00BB49C5" w:rsidRDefault="00BB49C5" w:rsidP="00BB49C5">
      <w:pPr>
        <w:pStyle w:val="paragraph"/>
        <w:ind w:left="720"/>
      </w:pPr>
      <w:r>
        <w:t xml:space="preserve">Note: “Defendant's expert witness was a fire investigator with the Sacramento Fire Department from 1991 to 1993. He testified the cause of the fire should have </w:t>
      </w:r>
      <w:proofErr w:type="gramStart"/>
      <w:r>
        <w:t>been ‘undetermined</w:t>
      </w:r>
      <w:proofErr w:type="gramEnd"/>
      <w:r>
        <w:t>,’ because the investigation was insufficient to rule out multiple causes of the fire, and he did not believe Sheila F.'s assertion she only smoked outside her home. The defense expert explained that a smoldering item (like a cigarette) could have ignited into an open flame by drafts of air that occurred when defendant broke down Sheila F.'s front door and/or when Sheila F. opened the sliding glass door in her bedroom.”</w:t>
      </w:r>
    </w:p>
    <w:p w14:paraId="3DC62B72" w14:textId="77777777" w:rsidR="00BB49C5" w:rsidRDefault="00BB49C5" w:rsidP="00F326E5">
      <w:pPr>
        <w:pStyle w:val="NoSpacing"/>
        <w:rPr>
          <w:rFonts w:ascii="Arial Black" w:hAnsi="Arial Black"/>
          <w:sz w:val="24"/>
          <w:szCs w:val="24"/>
        </w:rPr>
      </w:pPr>
    </w:p>
    <w:p w14:paraId="0260EA87" w14:textId="77777777" w:rsidR="00BB49C5" w:rsidRDefault="00BB49C5" w:rsidP="00F326E5">
      <w:pPr>
        <w:pStyle w:val="NoSpacing"/>
        <w:rPr>
          <w:rFonts w:ascii="Arial Black" w:hAnsi="Arial Black"/>
          <w:sz w:val="24"/>
          <w:szCs w:val="24"/>
        </w:rPr>
      </w:pPr>
    </w:p>
    <w:p w14:paraId="59EEB3DE" w14:textId="77777777" w:rsidR="00BB49C5" w:rsidRDefault="00BB49C5" w:rsidP="00F326E5">
      <w:pPr>
        <w:pStyle w:val="NoSpacing"/>
        <w:rPr>
          <w:rFonts w:ascii="Arial Black" w:hAnsi="Arial Black"/>
          <w:sz w:val="24"/>
          <w:szCs w:val="24"/>
        </w:rPr>
      </w:pPr>
    </w:p>
    <w:p w14:paraId="13C066FD" w14:textId="5B11EE45" w:rsidR="0056123D" w:rsidRDefault="0056123D" w:rsidP="00F326E5">
      <w:pPr>
        <w:pStyle w:val="NoSpacing"/>
        <w:rPr>
          <w:rFonts w:ascii="Arial Black" w:hAnsi="Arial Black"/>
          <w:sz w:val="24"/>
          <w:szCs w:val="24"/>
        </w:rPr>
      </w:pPr>
      <w:r>
        <w:rPr>
          <w:rFonts w:ascii="Arial Black" w:hAnsi="Arial Black"/>
          <w:sz w:val="24"/>
          <w:szCs w:val="24"/>
        </w:rPr>
        <w:t>1-137</w:t>
      </w:r>
    </w:p>
    <w:p w14:paraId="4DED4E29" w14:textId="77777777" w:rsidR="0056123D" w:rsidRDefault="0056123D" w:rsidP="00F326E5">
      <w:pPr>
        <w:pStyle w:val="NoSpacing"/>
        <w:rPr>
          <w:rFonts w:ascii="Arial Black" w:hAnsi="Arial Black"/>
          <w:sz w:val="24"/>
          <w:szCs w:val="24"/>
        </w:rPr>
      </w:pPr>
    </w:p>
    <w:p w14:paraId="4B74343D" w14:textId="77777777" w:rsidR="0056123D" w:rsidRPr="007A2CFD" w:rsidRDefault="0056123D" w:rsidP="0056123D">
      <w:pPr>
        <w:pStyle w:val="NoSpacing"/>
        <w:rPr>
          <w:rFonts w:ascii="Arial Black" w:hAnsi="Arial Black"/>
          <w:sz w:val="28"/>
          <w:szCs w:val="28"/>
        </w:rPr>
      </w:pPr>
      <w:r>
        <w:rPr>
          <w:rFonts w:ascii="Arial Black" w:hAnsi="Arial Black"/>
          <w:sz w:val="28"/>
          <w:szCs w:val="28"/>
        </w:rPr>
        <w:t xml:space="preserve">AR: BLDG FIRE – OWNER REFUSED TALK TO ARSON INVESTIGATORS – SEARCH WARRANTS – QUAL. IMMUNITY </w:t>
      </w:r>
    </w:p>
    <w:p w14:paraId="4404D9FB" w14:textId="77777777" w:rsidR="0056123D" w:rsidRDefault="0056123D" w:rsidP="0056123D">
      <w:pPr>
        <w:pStyle w:val="NoSpacing"/>
        <w:rPr>
          <w:rFonts w:ascii="Times New Roman" w:hAnsi="Times New Roman"/>
          <w:sz w:val="24"/>
          <w:szCs w:val="24"/>
        </w:rPr>
      </w:pPr>
    </w:p>
    <w:p w14:paraId="092B5983" w14:textId="77777777" w:rsidR="0056123D" w:rsidRDefault="0056123D" w:rsidP="0056123D">
      <w:pPr>
        <w:pStyle w:val="NoSpacing"/>
        <w:rPr>
          <w:rFonts w:ascii="Times New Roman" w:hAnsi="Times New Roman"/>
          <w:sz w:val="24"/>
          <w:szCs w:val="24"/>
        </w:rPr>
      </w:pPr>
      <w:r>
        <w:rPr>
          <w:rFonts w:ascii="Times New Roman" w:hAnsi="Times New Roman"/>
          <w:sz w:val="24"/>
          <w:szCs w:val="24"/>
        </w:rPr>
        <w:t xml:space="preserve">On Sept. 29, </w:t>
      </w:r>
      <w:proofErr w:type="gramStart"/>
      <w:r>
        <w:rPr>
          <w:rFonts w:ascii="Times New Roman" w:hAnsi="Times New Roman"/>
          <w:sz w:val="24"/>
          <w:szCs w:val="24"/>
        </w:rPr>
        <w:t>2023</w:t>
      </w:r>
      <w:proofErr w:type="gramEnd"/>
      <w:r>
        <w:rPr>
          <w:rFonts w:ascii="Times New Roman" w:hAnsi="Times New Roman"/>
          <w:sz w:val="24"/>
          <w:szCs w:val="24"/>
        </w:rPr>
        <w:t xml:space="preserve"> in </w:t>
      </w:r>
      <w:r w:rsidRPr="007A2CFD">
        <w:rPr>
          <w:rFonts w:ascii="Times New Roman" w:hAnsi="Times New Roman"/>
          <w:sz w:val="24"/>
          <w:szCs w:val="24"/>
          <w:u w:val="single"/>
        </w:rPr>
        <w:t>Greg Moore and Patricia More, et al. v. Sean Garnand, Detective, Dain Salisbury, Sergeant, et al</w:t>
      </w:r>
      <w:r>
        <w:rPr>
          <w:rFonts w:ascii="Times New Roman" w:hAnsi="Times New Roman"/>
          <w:sz w:val="24"/>
          <w:szCs w:val="24"/>
        </w:rPr>
        <w:t xml:space="preserve">., the U.S. Court of Appeals for Ninth Circuit (San Francisco) held (3 to 0) that trial court judge improperly denied the City of Tucson arson investigator’s motion to dismiss until completion of pre-trial discovery.  They enjoy qualified immunity since there is no clearly established law prohibiting arson investigators from launching full investigation when person refuses to talk after June 8, </w:t>
      </w:r>
      <w:proofErr w:type="gramStart"/>
      <w:r>
        <w:rPr>
          <w:rFonts w:ascii="Times New Roman" w:hAnsi="Times New Roman"/>
          <w:sz w:val="24"/>
          <w:szCs w:val="24"/>
        </w:rPr>
        <w:t>2017</w:t>
      </w:r>
      <w:proofErr w:type="gramEnd"/>
      <w:r>
        <w:rPr>
          <w:rFonts w:ascii="Times New Roman" w:hAnsi="Times New Roman"/>
          <w:sz w:val="24"/>
          <w:szCs w:val="24"/>
        </w:rPr>
        <w:t xml:space="preserve"> arson fire in a building he owned.  Investigators met at his office, and pursuant to search warrant seized his cell phone; they took him to jail where DNA was obtained. Five days later they executed a search </w:t>
      </w:r>
      <w:proofErr w:type="gramStart"/>
      <w:r>
        <w:rPr>
          <w:rFonts w:ascii="Times New Roman" w:hAnsi="Times New Roman"/>
          <w:sz w:val="24"/>
          <w:szCs w:val="24"/>
        </w:rPr>
        <w:t>warrant</w:t>
      </w:r>
      <w:proofErr w:type="gramEnd"/>
      <w:r>
        <w:rPr>
          <w:rFonts w:ascii="Times New Roman" w:hAnsi="Times New Roman"/>
          <w:sz w:val="24"/>
          <w:szCs w:val="24"/>
        </w:rPr>
        <w:t xml:space="preserve"> his office and home, and </w:t>
      </w:r>
      <w:proofErr w:type="gramStart"/>
      <w:r>
        <w:rPr>
          <w:rFonts w:ascii="Times New Roman" w:hAnsi="Times New Roman"/>
          <w:sz w:val="24"/>
          <w:szCs w:val="24"/>
        </w:rPr>
        <w:t>opening</w:t>
      </w:r>
      <w:proofErr w:type="gramEnd"/>
      <w:r>
        <w:rPr>
          <w:rFonts w:ascii="Times New Roman" w:hAnsi="Times New Roman"/>
          <w:sz w:val="24"/>
          <w:szCs w:val="24"/>
        </w:rPr>
        <w:t xml:space="preserve"> financial fraud investigation.  He was never charged with arson or other offenses.  </w:t>
      </w:r>
    </w:p>
    <w:p w14:paraId="5F15BC92" w14:textId="77777777" w:rsidR="0056123D" w:rsidRDefault="0056123D" w:rsidP="0056123D">
      <w:pPr>
        <w:pStyle w:val="NoSpacing"/>
        <w:rPr>
          <w:rFonts w:ascii="Times New Roman" w:hAnsi="Times New Roman"/>
          <w:sz w:val="24"/>
          <w:szCs w:val="24"/>
        </w:rPr>
      </w:pPr>
    </w:p>
    <w:p w14:paraId="5FF01FE7"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r w:rsidRPr="007A2CFD">
        <w:rPr>
          <w:rFonts w:ascii="Times New Roman" w:hAnsi="Times New Roman"/>
          <w:sz w:val="24"/>
          <w:szCs w:val="24"/>
        </w:rPr>
        <w:t>We have jurisdiction over the district court’s denial of</w:t>
      </w:r>
      <w:r>
        <w:rPr>
          <w:rFonts w:ascii="Times New Roman" w:hAnsi="Times New Roman"/>
          <w:sz w:val="24"/>
          <w:szCs w:val="24"/>
        </w:rPr>
        <w:t xml:space="preserve"> </w:t>
      </w:r>
      <w:r w:rsidRPr="007A2CFD">
        <w:rPr>
          <w:rFonts w:ascii="Times New Roman" w:hAnsi="Times New Roman"/>
          <w:sz w:val="24"/>
          <w:szCs w:val="24"/>
        </w:rPr>
        <w:t>qualified immunity as to Plaintiffs’ First Amendment claims</w:t>
      </w:r>
      <w:r>
        <w:rPr>
          <w:rFonts w:ascii="Times New Roman" w:hAnsi="Times New Roman"/>
          <w:sz w:val="24"/>
          <w:szCs w:val="24"/>
        </w:rPr>
        <w:t xml:space="preserve"> </w:t>
      </w:r>
      <w:r w:rsidRPr="007A2CFD">
        <w:rPr>
          <w:rFonts w:ascii="Times New Roman" w:hAnsi="Times New Roman"/>
          <w:sz w:val="24"/>
          <w:szCs w:val="24"/>
        </w:rPr>
        <w:t>because Defendants present a purely legal issue: whether,</w:t>
      </w:r>
      <w:r>
        <w:rPr>
          <w:rFonts w:ascii="Times New Roman" w:hAnsi="Times New Roman"/>
          <w:sz w:val="24"/>
          <w:szCs w:val="24"/>
        </w:rPr>
        <w:t xml:space="preserve"> </w:t>
      </w:r>
      <w:r w:rsidRPr="007A2CFD">
        <w:rPr>
          <w:rFonts w:ascii="Times New Roman" w:hAnsi="Times New Roman"/>
          <w:sz w:val="24"/>
          <w:szCs w:val="24"/>
        </w:rPr>
        <w:t>taking as true Plaintiffs’ version of the facts, it was clearly</w:t>
      </w:r>
      <w:r>
        <w:rPr>
          <w:rFonts w:ascii="Times New Roman" w:hAnsi="Times New Roman"/>
          <w:sz w:val="24"/>
          <w:szCs w:val="24"/>
        </w:rPr>
        <w:t xml:space="preserve"> </w:t>
      </w:r>
      <w:r w:rsidRPr="007A2CFD">
        <w:rPr>
          <w:rFonts w:ascii="Times New Roman" w:hAnsi="Times New Roman"/>
          <w:sz w:val="24"/>
          <w:szCs w:val="24"/>
        </w:rPr>
        <w:t>established that Defendants’ conduct violated Plaintiffs’</w:t>
      </w:r>
      <w:r>
        <w:rPr>
          <w:rFonts w:ascii="Times New Roman" w:hAnsi="Times New Roman"/>
          <w:sz w:val="24"/>
          <w:szCs w:val="24"/>
        </w:rPr>
        <w:t xml:space="preserve"> </w:t>
      </w:r>
      <w:r w:rsidRPr="007A2CFD">
        <w:rPr>
          <w:rFonts w:ascii="Times New Roman" w:hAnsi="Times New Roman"/>
          <w:sz w:val="24"/>
          <w:szCs w:val="24"/>
        </w:rPr>
        <w:t>First Amendment rights. Plaintiffs fail to show that</w:t>
      </w:r>
      <w:r>
        <w:rPr>
          <w:rFonts w:ascii="Times New Roman" w:hAnsi="Times New Roman"/>
          <w:sz w:val="24"/>
          <w:szCs w:val="24"/>
        </w:rPr>
        <w:t xml:space="preserve"> </w:t>
      </w:r>
      <w:r w:rsidRPr="007A2CFD">
        <w:rPr>
          <w:rFonts w:ascii="Times New Roman" w:hAnsi="Times New Roman"/>
          <w:sz w:val="24"/>
          <w:szCs w:val="24"/>
        </w:rPr>
        <w:t>Defendants’ conduct violated clearly established law. Thus,</w:t>
      </w:r>
      <w:r>
        <w:rPr>
          <w:rFonts w:ascii="Times New Roman" w:hAnsi="Times New Roman"/>
          <w:sz w:val="24"/>
          <w:szCs w:val="24"/>
        </w:rPr>
        <w:t xml:space="preserve"> </w:t>
      </w:r>
      <w:r w:rsidRPr="007A2CFD">
        <w:rPr>
          <w:rFonts w:ascii="Times New Roman" w:hAnsi="Times New Roman"/>
          <w:sz w:val="24"/>
          <w:szCs w:val="24"/>
        </w:rPr>
        <w:t>Defendants are entitled to qualified immunity on the First</w:t>
      </w:r>
      <w:r>
        <w:rPr>
          <w:rFonts w:ascii="Times New Roman" w:hAnsi="Times New Roman"/>
          <w:sz w:val="24"/>
          <w:szCs w:val="24"/>
        </w:rPr>
        <w:t xml:space="preserve"> </w:t>
      </w:r>
      <w:r w:rsidRPr="007A2CFD">
        <w:rPr>
          <w:rFonts w:ascii="Times New Roman" w:hAnsi="Times New Roman"/>
          <w:sz w:val="24"/>
          <w:szCs w:val="24"/>
        </w:rPr>
        <w:t>Amendment claims, and we reverse the district court’s denial of summary judgment as to the First Amendment</w:t>
      </w:r>
      <w:r>
        <w:rPr>
          <w:rFonts w:ascii="Times New Roman" w:hAnsi="Times New Roman"/>
          <w:sz w:val="24"/>
          <w:szCs w:val="24"/>
        </w:rPr>
        <w:t xml:space="preserve"> </w:t>
      </w:r>
      <w:r w:rsidRPr="007A2CFD">
        <w:rPr>
          <w:rFonts w:ascii="Times New Roman" w:hAnsi="Times New Roman"/>
          <w:sz w:val="24"/>
          <w:szCs w:val="24"/>
        </w:rPr>
        <w:t>claims</w:t>
      </w:r>
      <w:r>
        <w:rPr>
          <w:rFonts w:ascii="Times New Roman" w:hAnsi="Times New Roman"/>
          <w:sz w:val="24"/>
          <w:szCs w:val="24"/>
        </w:rPr>
        <w:t>.</w:t>
      </w:r>
    </w:p>
    <w:p w14:paraId="1A04CC38" w14:textId="77777777" w:rsidR="0056123D" w:rsidRDefault="0056123D" w:rsidP="0056123D">
      <w:pPr>
        <w:pStyle w:val="NoSpacing"/>
        <w:ind w:left="720"/>
        <w:rPr>
          <w:rFonts w:ascii="Times New Roman" w:hAnsi="Times New Roman"/>
          <w:sz w:val="24"/>
          <w:szCs w:val="24"/>
        </w:rPr>
      </w:pPr>
    </w:p>
    <w:p w14:paraId="451B3804"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4040C9B8" w14:textId="77777777" w:rsidR="0056123D" w:rsidRPr="005E396A" w:rsidRDefault="0056123D" w:rsidP="0056123D">
      <w:pPr>
        <w:pStyle w:val="NoSpacing"/>
        <w:ind w:left="720"/>
        <w:rPr>
          <w:rFonts w:ascii="Times New Roman" w:hAnsi="Times New Roman"/>
          <w:sz w:val="24"/>
          <w:szCs w:val="24"/>
        </w:rPr>
      </w:pPr>
      <w:r w:rsidRPr="005E396A">
        <w:rPr>
          <w:rFonts w:ascii="Times New Roman" w:hAnsi="Times New Roman"/>
          <w:sz w:val="24"/>
          <w:szCs w:val="24"/>
        </w:rPr>
        <w:t>We</w:t>
      </w:r>
      <w:r>
        <w:rPr>
          <w:rFonts w:ascii="Times New Roman" w:hAnsi="Times New Roman"/>
          <w:sz w:val="24"/>
          <w:szCs w:val="24"/>
        </w:rPr>
        <w:t xml:space="preserve"> </w:t>
      </w:r>
      <w:r w:rsidRPr="005E396A">
        <w:rPr>
          <w:rFonts w:ascii="Times New Roman" w:hAnsi="Times New Roman"/>
          <w:sz w:val="24"/>
          <w:szCs w:val="24"/>
        </w:rPr>
        <w:t xml:space="preserve">reasoned that jurisdiction was proper </w:t>
      </w:r>
      <w:proofErr w:type="gramStart"/>
      <w:r w:rsidRPr="005E396A">
        <w:rPr>
          <w:rFonts w:ascii="Times New Roman" w:hAnsi="Times New Roman"/>
          <w:sz w:val="24"/>
          <w:szCs w:val="24"/>
        </w:rPr>
        <w:t xml:space="preserve">because </w:t>
      </w:r>
      <w:r>
        <w:rPr>
          <w:rFonts w:ascii="Times New Roman" w:hAnsi="Times New Roman"/>
          <w:sz w:val="24"/>
          <w:szCs w:val="24"/>
        </w:rPr>
        <w:t>‘</w:t>
      </w:r>
      <w:r w:rsidRPr="005E396A">
        <w:rPr>
          <w:rFonts w:ascii="Times New Roman" w:hAnsi="Times New Roman"/>
          <w:sz w:val="24"/>
          <w:szCs w:val="24"/>
        </w:rPr>
        <w:t>[</w:t>
      </w:r>
      <w:proofErr w:type="gramEnd"/>
      <w:r w:rsidRPr="005E396A">
        <w:rPr>
          <w:rFonts w:ascii="Times New Roman" w:hAnsi="Times New Roman"/>
          <w:sz w:val="24"/>
          <w:szCs w:val="24"/>
        </w:rPr>
        <w:t>f]</w:t>
      </w:r>
      <w:proofErr w:type="spellStart"/>
      <w:r w:rsidRPr="005E396A">
        <w:rPr>
          <w:rFonts w:ascii="Times New Roman" w:hAnsi="Times New Roman"/>
          <w:sz w:val="24"/>
          <w:szCs w:val="24"/>
        </w:rPr>
        <w:t>orcing</w:t>
      </w:r>
      <w:proofErr w:type="spellEnd"/>
      <w:r w:rsidRPr="005E396A">
        <w:rPr>
          <w:rFonts w:ascii="Times New Roman" w:hAnsi="Times New Roman"/>
          <w:sz w:val="24"/>
          <w:szCs w:val="24"/>
        </w:rPr>
        <w:t xml:space="preserve"> the</w:t>
      </w:r>
      <w:r>
        <w:rPr>
          <w:rFonts w:ascii="Times New Roman" w:hAnsi="Times New Roman"/>
          <w:sz w:val="24"/>
          <w:szCs w:val="24"/>
        </w:rPr>
        <w:t xml:space="preserve"> </w:t>
      </w:r>
      <w:r w:rsidRPr="005E396A">
        <w:rPr>
          <w:rFonts w:ascii="Times New Roman" w:hAnsi="Times New Roman"/>
          <w:sz w:val="24"/>
          <w:szCs w:val="24"/>
        </w:rPr>
        <w:t>defendant officers to undergo discovery, without the</w:t>
      </w:r>
      <w:r>
        <w:rPr>
          <w:rFonts w:ascii="Times New Roman" w:hAnsi="Times New Roman"/>
          <w:sz w:val="24"/>
          <w:szCs w:val="24"/>
        </w:rPr>
        <w:t xml:space="preserve"> </w:t>
      </w:r>
      <w:r w:rsidRPr="005E396A">
        <w:rPr>
          <w:rFonts w:ascii="Times New Roman" w:hAnsi="Times New Roman"/>
          <w:sz w:val="24"/>
          <w:szCs w:val="24"/>
        </w:rPr>
        <w:t>immunity to the burdens of discovery the officers might</w:t>
      </w:r>
    </w:p>
    <w:p w14:paraId="57ED737C" w14:textId="4F322874" w:rsidR="0056123D" w:rsidRDefault="0056123D" w:rsidP="0056123D">
      <w:pPr>
        <w:pStyle w:val="NoSpacing"/>
        <w:ind w:left="720"/>
        <w:rPr>
          <w:rFonts w:ascii="Arial Black" w:hAnsi="Arial Black"/>
          <w:sz w:val="24"/>
          <w:szCs w:val="24"/>
        </w:rPr>
      </w:pPr>
      <w:r w:rsidRPr="005E396A">
        <w:rPr>
          <w:rFonts w:ascii="Times New Roman" w:hAnsi="Times New Roman"/>
          <w:sz w:val="24"/>
          <w:szCs w:val="24"/>
        </w:rPr>
        <w:t>possess.</w:t>
      </w:r>
      <w:r>
        <w:rPr>
          <w:rFonts w:ascii="Times New Roman" w:hAnsi="Times New Roman"/>
          <w:sz w:val="24"/>
          <w:szCs w:val="24"/>
        </w:rPr>
        <w:t>’</w:t>
      </w:r>
      <w:r w:rsidRPr="005E396A">
        <w:rPr>
          <w:rFonts w:ascii="Times New Roman" w:hAnsi="Times New Roman"/>
          <w:sz w:val="24"/>
          <w:szCs w:val="24"/>
        </w:rPr>
        <w:t xml:space="preserve"> Id.; see also Behrens v. Pelletier, 516 U.S. 299,</w:t>
      </w:r>
      <w:r>
        <w:rPr>
          <w:rFonts w:ascii="Times New Roman" w:hAnsi="Times New Roman"/>
          <w:sz w:val="24"/>
          <w:szCs w:val="24"/>
        </w:rPr>
        <w:t xml:space="preserve"> </w:t>
      </w:r>
      <w:r w:rsidRPr="005E396A">
        <w:rPr>
          <w:rFonts w:ascii="Times New Roman" w:hAnsi="Times New Roman"/>
          <w:sz w:val="24"/>
          <w:szCs w:val="24"/>
        </w:rPr>
        <w:t>308 (1996) (holding that qualified immunity gives</w:t>
      </w:r>
      <w:r>
        <w:rPr>
          <w:rFonts w:ascii="Times New Roman" w:hAnsi="Times New Roman"/>
          <w:sz w:val="24"/>
          <w:szCs w:val="24"/>
        </w:rPr>
        <w:t xml:space="preserve"> </w:t>
      </w:r>
      <w:r w:rsidRPr="005E396A">
        <w:rPr>
          <w:rFonts w:ascii="Times New Roman" w:hAnsi="Times New Roman"/>
          <w:sz w:val="24"/>
          <w:szCs w:val="24"/>
        </w:rPr>
        <w:t>government officials a right “not merely to avoid standing</w:t>
      </w:r>
      <w:r>
        <w:rPr>
          <w:rFonts w:ascii="Times New Roman" w:hAnsi="Times New Roman"/>
          <w:sz w:val="24"/>
          <w:szCs w:val="24"/>
        </w:rPr>
        <w:t xml:space="preserve"> </w:t>
      </w:r>
      <w:r w:rsidRPr="005E396A">
        <w:rPr>
          <w:rFonts w:ascii="Times New Roman" w:hAnsi="Times New Roman"/>
          <w:sz w:val="24"/>
          <w:szCs w:val="24"/>
        </w:rPr>
        <w:t>trial, but also to avoid the burdens of such pretrial matters as</w:t>
      </w:r>
      <w:r>
        <w:rPr>
          <w:rFonts w:ascii="Times New Roman" w:hAnsi="Times New Roman"/>
          <w:sz w:val="24"/>
          <w:szCs w:val="24"/>
        </w:rPr>
        <w:t xml:space="preserve"> </w:t>
      </w:r>
      <w:r w:rsidRPr="005E396A">
        <w:rPr>
          <w:rFonts w:ascii="Times New Roman" w:hAnsi="Times New Roman"/>
          <w:sz w:val="24"/>
          <w:szCs w:val="24"/>
        </w:rPr>
        <w:t>discovery” (internal quotation marks and emphasis omitted)</w:t>
      </w:r>
      <w:r>
        <w:rPr>
          <w:rFonts w:ascii="Times New Roman" w:hAnsi="Times New Roman"/>
          <w:sz w:val="24"/>
          <w:szCs w:val="24"/>
        </w:rPr>
        <w:t xml:space="preserve"> </w:t>
      </w:r>
      <w:r w:rsidRPr="005E396A">
        <w:rPr>
          <w:rFonts w:ascii="Times New Roman" w:hAnsi="Times New Roman"/>
          <w:sz w:val="24"/>
          <w:szCs w:val="24"/>
        </w:rPr>
        <w:t>(quoting Mitchell v. Forsyth, 472 U.S. 511, 526 (1985)));</w:t>
      </w:r>
      <w:r>
        <w:rPr>
          <w:rFonts w:ascii="Times New Roman" w:hAnsi="Times New Roman"/>
          <w:sz w:val="24"/>
          <w:szCs w:val="24"/>
        </w:rPr>
        <w:t xml:space="preserve"> </w:t>
      </w:r>
      <w:r w:rsidRPr="005E396A">
        <w:rPr>
          <w:rFonts w:ascii="Times New Roman" w:hAnsi="Times New Roman"/>
          <w:sz w:val="24"/>
          <w:szCs w:val="24"/>
        </w:rPr>
        <w:t>Moss v. U.S. Secret Serv., 572 F.3d 962, 973 (9th Cir. 2009)</w:t>
      </w:r>
      <w:r>
        <w:rPr>
          <w:rFonts w:ascii="Times New Roman" w:hAnsi="Times New Roman"/>
          <w:sz w:val="24"/>
          <w:szCs w:val="24"/>
        </w:rPr>
        <w:t xml:space="preserve">. </w:t>
      </w:r>
      <w:proofErr w:type="gramStart"/>
      <w:r w:rsidRPr="005E396A">
        <w:rPr>
          <w:rFonts w:ascii="Times New Roman" w:hAnsi="Times New Roman"/>
          <w:sz w:val="24"/>
          <w:szCs w:val="24"/>
        </w:rPr>
        <w:t>(</w:t>
      </w:r>
      <w:r>
        <w:rPr>
          <w:rFonts w:ascii="Times New Roman" w:hAnsi="Times New Roman"/>
          <w:sz w:val="24"/>
          <w:szCs w:val="24"/>
        </w:rPr>
        <w:t>‘</w:t>
      </w:r>
      <w:r w:rsidRPr="005E396A">
        <w:rPr>
          <w:rFonts w:ascii="Times New Roman" w:hAnsi="Times New Roman"/>
          <w:sz w:val="24"/>
          <w:szCs w:val="24"/>
        </w:rPr>
        <w:t>[</w:t>
      </w:r>
      <w:proofErr w:type="gramEnd"/>
      <w:r w:rsidRPr="005E396A">
        <w:rPr>
          <w:rFonts w:ascii="Times New Roman" w:hAnsi="Times New Roman"/>
          <w:sz w:val="24"/>
          <w:szCs w:val="24"/>
        </w:rPr>
        <w:t>A]</w:t>
      </w:r>
      <w:proofErr w:type="gramStart"/>
      <w:r w:rsidRPr="005E396A">
        <w:rPr>
          <w:rFonts w:ascii="Times New Roman" w:hAnsi="Times New Roman"/>
          <w:sz w:val="24"/>
          <w:szCs w:val="24"/>
        </w:rPr>
        <w:t>n order</w:t>
      </w:r>
      <w:proofErr w:type="gramEnd"/>
      <w:r w:rsidRPr="005E396A">
        <w:rPr>
          <w:rFonts w:ascii="Times New Roman" w:hAnsi="Times New Roman"/>
          <w:sz w:val="24"/>
          <w:szCs w:val="24"/>
        </w:rPr>
        <w:t xml:space="preserve"> clearing the way for burdensome pre-trial</w:t>
      </w:r>
      <w:r>
        <w:rPr>
          <w:rFonts w:ascii="Times New Roman" w:hAnsi="Times New Roman"/>
          <w:sz w:val="24"/>
          <w:szCs w:val="24"/>
        </w:rPr>
        <w:t xml:space="preserve"> </w:t>
      </w:r>
      <w:r w:rsidRPr="005E396A">
        <w:rPr>
          <w:rFonts w:ascii="Times New Roman" w:hAnsi="Times New Roman"/>
          <w:sz w:val="24"/>
          <w:szCs w:val="24"/>
        </w:rPr>
        <w:t>discovery obligations renders the denial of immunity</w:t>
      </w:r>
      <w:r>
        <w:rPr>
          <w:rFonts w:ascii="Times New Roman" w:hAnsi="Times New Roman"/>
          <w:sz w:val="24"/>
          <w:szCs w:val="24"/>
        </w:rPr>
        <w:t xml:space="preserve"> </w:t>
      </w:r>
      <w:r w:rsidRPr="005E396A">
        <w:rPr>
          <w:rFonts w:ascii="Times New Roman" w:hAnsi="Times New Roman"/>
          <w:sz w:val="24"/>
          <w:szCs w:val="24"/>
        </w:rPr>
        <w:t>effectively unreviewable on appeal from final judgment—</w:t>
      </w:r>
      <w:r>
        <w:rPr>
          <w:rFonts w:ascii="Times New Roman" w:hAnsi="Times New Roman"/>
          <w:sz w:val="24"/>
          <w:szCs w:val="24"/>
        </w:rPr>
        <w:t xml:space="preserve"> </w:t>
      </w:r>
      <w:r w:rsidRPr="005E396A">
        <w:rPr>
          <w:rFonts w:ascii="Times New Roman" w:hAnsi="Times New Roman"/>
          <w:sz w:val="24"/>
          <w:szCs w:val="24"/>
        </w:rPr>
        <w:t>immunity from suit is of no use at that late stage.</w:t>
      </w:r>
      <w:r>
        <w:rPr>
          <w:rFonts w:ascii="Times New Roman" w:hAnsi="Times New Roman"/>
          <w:sz w:val="24"/>
          <w:szCs w:val="24"/>
        </w:rPr>
        <w:t>’</w:t>
      </w:r>
      <w:proofErr w:type="gramStart"/>
      <w:r w:rsidRPr="005E396A">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w:t>
      </w:r>
      <w:hyperlink r:id="rId160" w:history="1">
        <w:r w:rsidRPr="00537EB6">
          <w:rPr>
            <w:rStyle w:val="Hyperlink"/>
            <w:rFonts w:ascii="Times New Roman" w:hAnsi="Times New Roman"/>
            <w:sz w:val="24"/>
            <w:szCs w:val="24"/>
          </w:rPr>
          <w:t>https://cases.justia.com/federal/appellate-courts/ca9/22-16236/22-16236-2023-09-29.pdf?ts=1696005037</w:t>
        </w:r>
      </w:hyperlink>
    </w:p>
    <w:p w14:paraId="27FC9D33" w14:textId="77777777" w:rsidR="0056123D" w:rsidRDefault="0056123D" w:rsidP="00F326E5">
      <w:pPr>
        <w:pStyle w:val="NoSpacing"/>
        <w:rPr>
          <w:rFonts w:ascii="Arial Black" w:hAnsi="Arial Black"/>
          <w:sz w:val="24"/>
          <w:szCs w:val="24"/>
        </w:rPr>
      </w:pPr>
    </w:p>
    <w:p w14:paraId="09AD3F0C" w14:textId="77777777" w:rsidR="0056123D" w:rsidRDefault="0056123D" w:rsidP="0056123D">
      <w:pPr>
        <w:pStyle w:val="NoSpacing"/>
        <w:rPr>
          <w:rFonts w:ascii="Times New Roman" w:hAnsi="Times New Roman"/>
          <w:sz w:val="24"/>
          <w:szCs w:val="24"/>
        </w:rPr>
      </w:pPr>
      <w:r w:rsidRPr="005E396A">
        <w:rPr>
          <w:rFonts w:ascii="Times New Roman" w:hAnsi="Times New Roman"/>
          <w:b/>
          <w:bCs/>
          <w:sz w:val="24"/>
          <w:szCs w:val="24"/>
        </w:rPr>
        <w:t xml:space="preserve">Legal Lesson Learned: </w:t>
      </w:r>
      <w:r>
        <w:rPr>
          <w:rFonts w:ascii="Times New Roman" w:hAnsi="Times New Roman"/>
          <w:b/>
          <w:bCs/>
          <w:sz w:val="24"/>
          <w:szCs w:val="24"/>
        </w:rPr>
        <w:t xml:space="preserve">The law provides qualified immunity for investigators who aggressively investigate; trial court should delay granting investigators’ motion to dismiss while pre-trial discovery proceeds. </w:t>
      </w:r>
    </w:p>
    <w:p w14:paraId="56586F92" w14:textId="77777777" w:rsidR="0056123D" w:rsidRPr="00B931CF" w:rsidRDefault="0056123D" w:rsidP="0056123D">
      <w:pPr>
        <w:pStyle w:val="NoSpacing"/>
        <w:rPr>
          <w:rFonts w:ascii="Times New Roman" w:hAnsi="Times New Roman"/>
          <w:sz w:val="24"/>
          <w:szCs w:val="24"/>
        </w:rPr>
      </w:pPr>
    </w:p>
    <w:p w14:paraId="14233318" w14:textId="77777777" w:rsidR="0056123D" w:rsidRDefault="0056123D" w:rsidP="00F326E5">
      <w:pPr>
        <w:pStyle w:val="NoSpacing"/>
        <w:rPr>
          <w:rFonts w:ascii="Arial Black" w:hAnsi="Arial Black"/>
          <w:sz w:val="24"/>
          <w:szCs w:val="24"/>
        </w:rPr>
      </w:pPr>
    </w:p>
    <w:p w14:paraId="362464BB" w14:textId="77777777" w:rsidR="0056123D" w:rsidRDefault="0056123D" w:rsidP="00F326E5">
      <w:pPr>
        <w:pStyle w:val="NoSpacing"/>
        <w:rPr>
          <w:rFonts w:ascii="Arial Black" w:hAnsi="Arial Black"/>
          <w:sz w:val="24"/>
          <w:szCs w:val="24"/>
        </w:rPr>
      </w:pPr>
    </w:p>
    <w:p w14:paraId="7F98CB55" w14:textId="256BDDB0" w:rsidR="0056123D" w:rsidRDefault="0056123D" w:rsidP="00F326E5">
      <w:pPr>
        <w:pStyle w:val="NoSpacing"/>
        <w:rPr>
          <w:rFonts w:ascii="Arial Black" w:hAnsi="Arial Black"/>
          <w:sz w:val="24"/>
          <w:szCs w:val="24"/>
        </w:rPr>
      </w:pPr>
      <w:r>
        <w:rPr>
          <w:rFonts w:ascii="Arial Black" w:hAnsi="Arial Black"/>
          <w:sz w:val="24"/>
          <w:szCs w:val="24"/>
        </w:rPr>
        <w:t>1-336</w:t>
      </w:r>
    </w:p>
    <w:p w14:paraId="16068A4A" w14:textId="77777777" w:rsidR="0056123D" w:rsidRPr="00903B6A" w:rsidRDefault="0056123D" w:rsidP="0056123D">
      <w:pPr>
        <w:pStyle w:val="NormalWeb"/>
        <w:rPr>
          <w:rFonts w:ascii="Arial Black" w:hAnsi="Arial Black"/>
          <w:b/>
          <w:bCs/>
          <w:sz w:val="28"/>
          <w:szCs w:val="28"/>
        </w:rPr>
      </w:pPr>
      <w:r>
        <w:rPr>
          <w:rFonts w:ascii="Arial Black" w:hAnsi="Arial Black"/>
          <w:b/>
          <w:bCs/>
          <w:sz w:val="28"/>
          <w:szCs w:val="28"/>
        </w:rPr>
        <w:t xml:space="preserve">CA: ARSON - NO DEFENSE HE STARTED FIRE TO CLEAR TICKS IN PARK – WILLFULL / MALICE PRESUMED </w:t>
      </w:r>
    </w:p>
    <w:p w14:paraId="13F3F3C8" w14:textId="77777777" w:rsidR="0056123D" w:rsidRDefault="0056123D" w:rsidP="0056123D">
      <w:pPr>
        <w:pStyle w:val="NormalWeb"/>
      </w:pPr>
      <w:r>
        <w:t xml:space="preserve">On Sept. 25, 2023, in </w:t>
      </w:r>
      <w:r w:rsidRPr="00040F47">
        <w:rPr>
          <w:u w:val="single"/>
        </w:rPr>
        <w:t>The People v. Souriya Danny Vongchanh</w:t>
      </w:r>
      <w:r>
        <w:t xml:space="preserve">, the California Court of Appeals, Third District, held (3 to 0; unpublished decision) that jury properly found him guilty of arson, and trial court judge properly imposed the added five years, for a total of 13 years in prison since second arson conviction in three years. </w:t>
      </w:r>
    </w:p>
    <w:p w14:paraId="10DBEA4B" w14:textId="77777777" w:rsidR="0056123D" w:rsidRDefault="0056123D" w:rsidP="0056123D">
      <w:pPr>
        <w:pStyle w:val="NormalWeb"/>
        <w:ind w:left="720"/>
      </w:pPr>
      <w:r>
        <w:t>“Defendant's arson conviction is based on the first fire he set on the levee between the park and the tennis courts. Defendant contends there is insufficient evidence that he acted intentionally and maliciously in setting the fire.</w:t>
      </w:r>
    </w:p>
    <w:p w14:paraId="5FB80048" w14:textId="77777777" w:rsidR="0056123D" w:rsidRPr="00A56E59" w:rsidRDefault="0056123D" w:rsidP="0056123D">
      <w:pPr>
        <w:pStyle w:val="NormalWeb"/>
        <w:ind w:left="720"/>
      </w:pPr>
      <w:r w:rsidRPr="00A56E59">
        <w:t>Section 451's requirement that the act be done willfully and maliciously ensures that the fire was deliberate and intentional rather than accidental or unintentional</w:t>
      </w:r>
      <w:r>
        <w:t xml:space="preserve">…. </w:t>
      </w:r>
      <w:r w:rsidRPr="00A56E59">
        <w:t>Due to the dangerous nature of such conduct, a general criminal intent to commit the act suffices to establish the requisite mental state</w:t>
      </w:r>
      <w:r>
        <w:t xml:space="preserve">…. </w:t>
      </w:r>
      <w:r w:rsidRPr="00A56E59">
        <w:t xml:space="preserve"> </w:t>
      </w:r>
    </w:p>
    <w:p w14:paraId="30EFBD79" w14:textId="77777777" w:rsidR="0056123D" w:rsidRDefault="0056123D" w:rsidP="0056123D">
      <w:pPr>
        <w:spacing w:before="100" w:beforeAutospacing="1" w:after="100" w:afterAutospacing="1" w:line="240" w:lineRule="auto"/>
        <w:ind w:left="720"/>
        <w:rPr>
          <w:rFonts w:ascii="Times New Roman" w:eastAsia="Times New Roman" w:hAnsi="Times New Roman"/>
          <w:sz w:val="24"/>
          <w:szCs w:val="24"/>
        </w:rPr>
      </w:pPr>
      <w:proofErr w:type="gramStart"/>
      <w:r w:rsidRPr="00A56E59">
        <w:rPr>
          <w:rFonts w:ascii="Times New Roman" w:eastAsia="Times New Roman" w:hAnsi="Times New Roman"/>
          <w:sz w:val="24"/>
          <w:szCs w:val="24"/>
        </w:rPr>
        <w:t>Defendant's</w:t>
      </w:r>
      <w:proofErr w:type="gramEnd"/>
      <w:r w:rsidRPr="00A56E59">
        <w:rPr>
          <w:rFonts w:ascii="Times New Roman" w:eastAsia="Times New Roman" w:hAnsi="Times New Roman"/>
          <w:sz w:val="24"/>
          <w:szCs w:val="24"/>
        </w:rPr>
        <w:t xml:space="preserve"> conduct satisfies this standard. He admitted lighting the fire to clear the white grass and rid the area of ticks or leeches. His act was intentional and was done without legal justification, therefore maliciousness is presumed or implied.</w:t>
      </w:r>
    </w:p>
    <w:p w14:paraId="78449356" w14:textId="77777777" w:rsidR="0056123D" w:rsidRDefault="0056123D" w:rsidP="0056123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p>
    <w:p w14:paraId="79D535E9" w14:textId="77777777" w:rsidR="0056123D" w:rsidRDefault="0056123D" w:rsidP="0056123D">
      <w:pPr>
        <w:pStyle w:val="NormalWeb"/>
        <w:ind w:left="720"/>
      </w:pPr>
      <w:r>
        <w:t>The trial court declined to strike the enhancement, finding that dismissal of the enhancement would endanger public safety. (§ 1385, subd. (c)(2).) The trial court stated: ‘I've considered the prior offense and current offense both involve setting fires unlawfully</w:t>
      </w:r>
      <w:proofErr w:type="gramStart"/>
      <w:r>
        <w:t>.</w:t>
      </w:r>
      <w:proofErr w:type="gramEnd"/>
      <w:r>
        <w:t xml:space="preserve"> Here the fire was set near the downtown Oroville area, near residences, and in a park area where the potential for danger, of which all of us in Butte County are acutely aware, is extremely high. And </w:t>
      </w:r>
      <w:proofErr w:type="gramStart"/>
      <w:r>
        <w:t>so</w:t>
      </w:r>
      <w:proofErr w:type="gramEnd"/>
      <w:r>
        <w:t xml:space="preserve"> I am finding that it would be a danger to public safety to strike that [section] 667 [subdivision] (a)(1) enhancement, and I'll decline to strike the enhancement under that section.’ </w:t>
      </w:r>
    </w:p>
    <w:p w14:paraId="1BDA1745" w14:textId="03822C9A" w:rsidR="0056123D" w:rsidRDefault="0056123D" w:rsidP="0056123D">
      <w:pPr>
        <w:pStyle w:val="NoSpacing"/>
        <w:ind w:left="720"/>
        <w:rPr>
          <w:rStyle w:val="Hyperlink"/>
          <w:rFonts w:ascii="Times New Roman" w:hAnsi="Times New Roman"/>
          <w:sz w:val="24"/>
          <w:szCs w:val="24"/>
        </w:rPr>
      </w:pPr>
      <w:r w:rsidRPr="00A56E59">
        <w:rPr>
          <w:rFonts w:ascii="Times New Roman" w:hAnsi="Times New Roman"/>
          <w:sz w:val="24"/>
          <w:szCs w:val="24"/>
        </w:rPr>
        <w:t xml:space="preserve">Contrary to defendant's argument, this was not an abuse of discretion, given that defendant was twice convicted of arson within a span of three years and the current arson offense was committed near a residential neighborhood.” </w:t>
      </w:r>
      <w:hyperlink r:id="rId161" w:history="1">
        <w:r w:rsidRPr="00A56E59">
          <w:rPr>
            <w:rStyle w:val="Hyperlink"/>
            <w:rFonts w:ascii="Times New Roman" w:hAnsi="Times New Roman"/>
            <w:sz w:val="24"/>
            <w:szCs w:val="24"/>
          </w:rPr>
          <w:t>https://public.fastcase.com/ppbqSQpNDaJE%2F8PlIk0b8ECWv6%2F0KW8eOOGtTNlYs%2F2eCExN%2BikZLxSyxw9X8iC%2F</w:t>
        </w:r>
      </w:hyperlink>
    </w:p>
    <w:p w14:paraId="2F9B5452" w14:textId="77777777" w:rsidR="0056123D" w:rsidRDefault="0056123D" w:rsidP="0056123D">
      <w:pPr>
        <w:pStyle w:val="NoSpacing"/>
        <w:ind w:left="720"/>
        <w:rPr>
          <w:rStyle w:val="Hyperlink"/>
          <w:rFonts w:ascii="Times New Roman" w:hAnsi="Times New Roman"/>
          <w:sz w:val="24"/>
          <w:szCs w:val="24"/>
        </w:rPr>
      </w:pPr>
    </w:p>
    <w:p w14:paraId="2FD97576" w14:textId="77777777" w:rsidR="0056123D" w:rsidRPr="00877A2C" w:rsidRDefault="0056123D" w:rsidP="0056123D">
      <w:pPr>
        <w:pStyle w:val="NormalWeb"/>
        <w:rPr>
          <w:b/>
          <w:bCs/>
        </w:rPr>
      </w:pPr>
      <w:r w:rsidRPr="00BD4B28">
        <w:rPr>
          <w:b/>
          <w:bCs/>
        </w:rPr>
        <w:t>Legal Lesson Learned</w:t>
      </w:r>
      <w:r w:rsidRPr="00877A2C">
        <w:rPr>
          <w:b/>
          <w:bCs/>
        </w:rPr>
        <w:t xml:space="preserve">: </w:t>
      </w:r>
      <w:r>
        <w:rPr>
          <w:b/>
          <w:bCs/>
        </w:rPr>
        <w:t xml:space="preserve">Intentionally setting a fire in a park is intentionally doing an act without justification, and “malice” is presumed. </w:t>
      </w:r>
    </w:p>
    <w:p w14:paraId="65891EA7" w14:textId="77777777" w:rsidR="0056123D" w:rsidRDefault="0056123D" w:rsidP="0056123D">
      <w:pPr>
        <w:pStyle w:val="NoSpacing"/>
        <w:ind w:left="720"/>
        <w:rPr>
          <w:rFonts w:ascii="Arial Black" w:hAnsi="Arial Black"/>
          <w:sz w:val="24"/>
          <w:szCs w:val="24"/>
        </w:rPr>
      </w:pPr>
    </w:p>
    <w:p w14:paraId="31C26C1B" w14:textId="77777777" w:rsidR="0056123D" w:rsidRDefault="0056123D" w:rsidP="0056123D">
      <w:pPr>
        <w:pStyle w:val="NoSpacing"/>
        <w:ind w:left="720"/>
        <w:rPr>
          <w:rFonts w:ascii="Arial Black" w:hAnsi="Arial Black"/>
          <w:sz w:val="24"/>
          <w:szCs w:val="24"/>
        </w:rPr>
      </w:pPr>
    </w:p>
    <w:p w14:paraId="1F9BA6A5" w14:textId="25D20242" w:rsidR="0056123D" w:rsidRDefault="0056123D" w:rsidP="0056123D">
      <w:pPr>
        <w:pStyle w:val="NoSpacing"/>
        <w:rPr>
          <w:rFonts w:ascii="Arial Black" w:hAnsi="Arial Black"/>
          <w:sz w:val="24"/>
          <w:szCs w:val="24"/>
        </w:rPr>
      </w:pPr>
      <w:r>
        <w:rPr>
          <w:rFonts w:ascii="Arial Black" w:hAnsi="Arial Black"/>
          <w:sz w:val="24"/>
          <w:szCs w:val="24"/>
        </w:rPr>
        <w:t>1-135</w:t>
      </w:r>
    </w:p>
    <w:p w14:paraId="1D0055A5" w14:textId="77777777" w:rsidR="0056123D" w:rsidRPr="00877A2C" w:rsidRDefault="0056123D" w:rsidP="0056123D">
      <w:pPr>
        <w:pStyle w:val="NormalWeb"/>
        <w:rPr>
          <w:rFonts w:ascii="Arial Black" w:hAnsi="Arial Black"/>
          <w:b/>
          <w:bCs/>
          <w:sz w:val="28"/>
          <w:szCs w:val="28"/>
        </w:rPr>
      </w:pPr>
      <w:r>
        <w:rPr>
          <w:rFonts w:ascii="Arial Black" w:hAnsi="Arial Black"/>
          <w:b/>
          <w:bCs/>
          <w:sz w:val="28"/>
          <w:szCs w:val="28"/>
        </w:rPr>
        <w:t xml:space="preserve">TN: OFF-DUTY FD CAPTAIN – OBSERVED DRUNK DRIVER CRASH - ALLOWED TO TESTIFY ON ZOOM / SICK COVID </w:t>
      </w:r>
    </w:p>
    <w:p w14:paraId="30E2669F" w14:textId="77777777" w:rsidR="0056123D" w:rsidRDefault="0056123D" w:rsidP="0056123D">
      <w:pPr>
        <w:pStyle w:val="NoSpacing"/>
        <w:rPr>
          <w:rFonts w:ascii="Times New Roman" w:hAnsi="Times New Roman"/>
          <w:sz w:val="24"/>
          <w:szCs w:val="24"/>
        </w:rPr>
      </w:pPr>
      <w:r>
        <w:rPr>
          <w:rFonts w:ascii="Times New Roman" w:hAnsi="Times New Roman"/>
          <w:sz w:val="24"/>
          <w:szCs w:val="24"/>
        </w:rPr>
        <w:t xml:space="preserve">On Sept. 25, 2023, in </w:t>
      </w:r>
      <w:r w:rsidRPr="00877A2C">
        <w:rPr>
          <w:rFonts w:ascii="Times New Roman" w:hAnsi="Times New Roman"/>
          <w:sz w:val="24"/>
          <w:szCs w:val="24"/>
          <w:u w:val="single"/>
        </w:rPr>
        <w:t>State of Tennessee v. William Michael Bowers</w:t>
      </w:r>
      <w:r>
        <w:rPr>
          <w:rFonts w:ascii="Times New Roman" w:hAnsi="Times New Roman"/>
          <w:sz w:val="24"/>
          <w:szCs w:val="24"/>
        </w:rPr>
        <w:t xml:space="preserve">, the Court of Criminal Appeals of Tennessee at Nashville, held (3 to 1) that the evidence was sufficient for the jury to convict the defendant of vehicular homicide by intoxication and driving under the influence; the trial court judge was authorized to allow fire department captain to testify via ZOOM.  </w:t>
      </w:r>
    </w:p>
    <w:p w14:paraId="7887A6C4" w14:textId="77777777" w:rsidR="0056123D" w:rsidRDefault="0056123D" w:rsidP="0056123D">
      <w:pPr>
        <w:pStyle w:val="NoSpacing"/>
        <w:rPr>
          <w:rFonts w:ascii="Times New Roman" w:hAnsi="Times New Roman"/>
          <w:sz w:val="24"/>
          <w:szCs w:val="24"/>
        </w:rPr>
      </w:pPr>
      <w:r w:rsidRPr="001B4670">
        <w:rPr>
          <w:rFonts w:ascii="Times New Roman" w:hAnsi="Times New Roman"/>
          <w:sz w:val="24"/>
          <w:szCs w:val="24"/>
        </w:rPr>
        <w:t xml:space="preserve">On August 21, 2020, </w:t>
      </w:r>
      <w:r>
        <w:rPr>
          <w:rFonts w:ascii="Times New Roman" w:hAnsi="Times New Roman"/>
          <w:sz w:val="24"/>
          <w:szCs w:val="24"/>
        </w:rPr>
        <w:t xml:space="preserve">Captain Phillip Marsh of Columbia Fire Department was off duty when he observed the defendant’s F-150 truck cross over </w:t>
      </w:r>
      <w:r w:rsidRPr="00E460C5">
        <w:rPr>
          <w:rFonts w:ascii="Times New Roman" w:hAnsi="Times New Roman"/>
          <w:sz w:val="24"/>
          <w:szCs w:val="24"/>
        </w:rPr>
        <w:t>from the oncoming lanes and strike the victim’s vehicle at her driver’s side door</w:t>
      </w:r>
      <w:r>
        <w:rPr>
          <w:rFonts w:ascii="Times New Roman" w:hAnsi="Times New Roman"/>
          <w:sz w:val="24"/>
          <w:szCs w:val="24"/>
        </w:rPr>
        <w:t xml:space="preserve">; the defendant’s air bags had deployed and he </w:t>
      </w:r>
      <w:r w:rsidRPr="00E460C5">
        <w:rPr>
          <w:rFonts w:ascii="Times New Roman" w:hAnsi="Times New Roman"/>
          <w:sz w:val="24"/>
          <w:szCs w:val="24"/>
        </w:rPr>
        <w:t>spoke rapidly</w:t>
      </w:r>
      <w:r>
        <w:rPr>
          <w:rFonts w:ascii="Times New Roman" w:hAnsi="Times New Roman"/>
          <w:sz w:val="24"/>
          <w:szCs w:val="24"/>
        </w:rPr>
        <w:t xml:space="preserve"> “</w:t>
      </w:r>
      <w:r w:rsidRPr="00E460C5">
        <w:rPr>
          <w:rFonts w:ascii="Times New Roman" w:hAnsi="Times New Roman"/>
          <w:sz w:val="24"/>
          <w:szCs w:val="24"/>
        </w:rPr>
        <w:t>but nothing [was] making any sense.</w:t>
      </w:r>
      <w:r>
        <w:rPr>
          <w:rFonts w:ascii="Times New Roman" w:hAnsi="Times New Roman"/>
          <w:sz w:val="24"/>
          <w:szCs w:val="24"/>
        </w:rPr>
        <w:t xml:space="preserve">” The Court refenced U.S. Supreme Court decision allowing testimony via closed-circuit TV. </w:t>
      </w:r>
    </w:p>
    <w:p w14:paraId="0715B893" w14:textId="77777777" w:rsidR="0056123D" w:rsidRDefault="0056123D" w:rsidP="0056123D">
      <w:pPr>
        <w:pStyle w:val="NoSpacing"/>
        <w:rPr>
          <w:rFonts w:ascii="Times New Roman" w:hAnsi="Times New Roman"/>
          <w:sz w:val="24"/>
          <w:szCs w:val="24"/>
        </w:rPr>
      </w:pPr>
    </w:p>
    <w:p w14:paraId="67568D2E" w14:textId="77777777" w:rsidR="0056123D" w:rsidRPr="00412D7B" w:rsidRDefault="0056123D" w:rsidP="0056123D">
      <w:pPr>
        <w:pStyle w:val="NoSpacing"/>
        <w:ind w:left="720"/>
        <w:rPr>
          <w:rFonts w:ascii="Times New Roman" w:hAnsi="Times New Roman"/>
          <w:sz w:val="24"/>
          <w:szCs w:val="24"/>
        </w:rPr>
      </w:pPr>
      <w:r>
        <w:rPr>
          <w:rFonts w:ascii="Times New Roman" w:hAnsi="Times New Roman"/>
          <w:sz w:val="24"/>
          <w:szCs w:val="24"/>
        </w:rPr>
        <w:t>“I</w:t>
      </w:r>
      <w:r w:rsidRPr="00412D7B">
        <w:rPr>
          <w:rFonts w:ascii="Times New Roman" w:hAnsi="Times New Roman"/>
          <w:sz w:val="24"/>
          <w:szCs w:val="24"/>
        </w:rPr>
        <w:t xml:space="preserve">n </w:t>
      </w:r>
      <w:r w:rsidRPr="00D41A7C">
        <w:rPr>
          <w:rFonts w:ascii="Times New Roman" w:hAnsi="Times New Roman"/>
          <w:i/>
          <w:iCs/>
          <w:sz w:val="24"/>
          <w:szCs w:val="24"/>
        </w:rPr>
        <w:t>Maryland v. Craig</w:t>
      </w:r>
      <w:r w:rsidRPr="00412D7B">
        <w:rPr>
          <w:rFonts w:ascii="Times New Roman" w:hAnsi="Times New Roman"/>
          <w:sz w:val="24"/>
          <w:szCs w:val="24"/>
        </w:rPr>
        <w:t>, however, the United States Supreme Court noted that it had</w:t>
      </w:r>
    </w:p>
    <w:p w14:paraId="7E731D3C" w14:textId="77777777" w:rsidR="0056123D" w:rsidRPr="00412D7B" w:rsidRDefault="0056123D" w:rsidP="0056123D">
      <w:pPr>
        <w:pStyle w:val="NoSpacing"/>
        <w:ind w:firstLine="720"/>
        <w:rPr>
          <w:rFonts w:ascii="Times New Roman" w:hAnsi="Times New Roman"/>
          <w:sz w:val="24"/>
          <w:szCs w:val="24"/>
        </w:rPr>
      </w:pPr>
      <w:r>
        <w:rPr>
          <w:rFonts w:ascii="Times New Roman" w:hAnsi="Times New Roman"/>
          <w:sz w:val="24"/>
          <w:szCs w:val="24"/>
        </w:rPr>
        <w:t>‘</w:t>
      </w:r>
      <w:proofErr w:type="gramStart"/>
      <w:r w:rsidRPr="00412D7B">
        <w:rPr>
          <w:rFonts w:ascii="Times New Roman" w:hAnsi="Times New Roman"/>
          <w:sz w:val="24"/>
          <w:szCs w:val="24"/>
        </w:rPr>
        <w:t>never</w:t>
      </w:r>
      <w:proofErr w:type="gramEnd"/>
      <w:r w:rsidRPr="00412D7B">
        <w:rPr>
          <w:rFonts w:ascii="Times New Roman" w:hAnsi="Times New Roman"/>
          <w:sz w:val="24"/>
          <w:szCs w:val="24"/>
        </w:rPr>
        <w:t xml:space="preserve"> held . . . that the Confrontation Clause guarantees criminal defendants the absolute</w:t>
      </w:r>
    </w:p>
    <w:p w14:paraId="21358CD9" w14:textId="77777777" w:rsidR="0056123D" w:rsidRPr="00412D7B" w:rsidRDefault="0056123D" w:rsidP="0056123D">
      <w:pPr>
        <w:pStyle w:val="NoSpacing"/>
        <w:ind w:left="720"/>
        <w:rPr>
          <w:rFonts w:ascii="Times New Roman" w:hAnsi="Times New Roman"/>
          <w:sz w:val="24"/>
          <w:szCs w:val="24"/>
        </w:rPr>
      </w:pPr>
      <w:r w:rsidRPr="00412D7B">
        <w:rPr>
          <w:rFonts w:ascii="Times New Roman" w:hAnsi="Times New Roman"/>
          <w:sz w:val="24"/>
          <w:szCs w:val="24"/>
        </w:rPr>
        <w:t>right to a face-to-face meeting with witnesses against them at trial.</w:t>
      </w:r>
      <w:r>
        <w:rPr>
          <w:rFonts w:ascii="Times New Roman" w:hAnsi="Times New Roman"/>
          <w:sz w:val="24"/>
          <w:szCs w:val="24"/>
        </w:rPr>
        <w:t xml:space="preserve">’ </w:t>
      </w:r>
      <w:r w:rsidRPr="00412D7B">
        <w:rPr>
          <w:rFonts w:ascii="Times New Roman" w:hAnsi="Times New Roman"/>
          <w:sz w:val="24"/>
          <w:szCs w:val="24"/>
        </w:rPr>
        <w:t>497 U.S. at 844</w:t>
      </w:r>
      <w:r>
        <w:rPr>
          <w:rFonts w:ascii="Times New Roman" w:hAnsi="Times New Roman"/>
          <w:sz w:val="24"/>
          <w:szCs w:val="24"/>
        </w:rPr>
        <w:t xml:space="preserve"> [1990] </w:t>
      </w:r>
      <w:r w:rsidRPr="00412D7B">
        <w:rPr>
          <w:rFonts w:ascii="Times New Roman" w:hAnsi="Times New Roman"/>
          <w:sz w:val="24"/>
          <w:szCs w:val="24"/>
        </w:rPr>
        <w:t xml:space="preserve">(emphasis in original). </w:t>
      </w:r>
      <w:r w:rsidRPr="00D41A7C">
        <w:rPr>
          <w:rFonts w:ascii="Times New Roman" w:hAnsi="Times New Roman"/>
          <w:i/>
          <w:iCs/>
          <w:sz w:val="24"/>
          <w:szCs w:val="24"/>
        </w:rPr>
        <w:t>Craig</w:t>
      </w:r>
      <w:r w:rsidRPr="00412D7B">
        <w:rPr>
          <w:rFonts w:ascii="Times New Roman" w:hAnsi="Times New Roman"/>
          <w:sz w:val="24"/>
          <w:szCs w:val="24"/>
        </w:rPr>
        <w:t xml:space="preserve"> involved a Confrontation Clause challenge to a Maryland</w:t>
      </w:r>
      <w:r>
        <w:rPr>
          <w:rFonts w:ascii="Times New Roman" w:hAnsi="Times New Roman"/>
          <w:sz w:val="24"/>
          <w:szCs w:val="24"/>
        </w:rPr>
        <w:t xml:space="preserve"> </w:t>
      </w:r>
      <w:r w:rsidRPr="00412D7B">
        <w:rPr>
          <w:rFonts w:ascii="Times New Roman" w:hAnsi="Times New Roman"/>
          <w:sz w:val="24"/>
          <w:szCs w:val="24"/>
        </w:rPr>
        <w:t xml:space="preserve">law that allowed a child sexual assault victim to testify via one-way, </w:t>
      </w:r>
      <w:proofErr w:type="gramStart"/>
      <w:r w:rsidRPr="00412D7B">
        <w:rPr>
          <w:rFonts w:ascii="Times New Roman" w:hAnsi="Times New Roman"/>
          <w:sz w:val="24"/>
          <w:szCs w:val="24"/>
        </w:rPr>
        <w:t>closed circuit</w:t>
      </w:r>
      <w:proofErr w:type="gramEnd"/>
      <w:r>
        <w:rPr>
          <w:rFonts w:ascii="Times New Roman" w:hAnsi="Times New Roman"/>
          <w:sz w:val="24"/>
          <w:szCs w:val="24"/>
        </w:rPr>
        <w:t xml:space="preserve"> </w:t>
      </w:r>
      <w:r w:rsidRPr="00412D7B">
        <w:rPr>
          <w:rFonts w:ascii="Times New Roman" w:hAnsi="Times New Roman"/>
          <w:sz w:val="24"/>
          <w:szCs w:val="24"/>
        </w:rPr>
        <w:t xml:space="preserve">television if the trial judge determined </w:t>
      </w:r>
      <w:r>
        <w:rPr>
          <w:rFonts w:ascii="Times New Roman" w:hAnsi="Times New Roman"/>
          <w:sz w:val="24"/>
          <w:szCs w:val="24"/>
        </w:rPr>
        <w:t>‘</w:t>
      </w:r>
      <w:r w:rsidRPr="00412D7B">
        <w:rPr>
          <w:rFonts w:ascii="Times New Roman" w:hAnsi="Times New Roman"/>
          <w:sz w:val="24"/>
          <w:szCs w:val="24"/>
        </w:rPr>
        <w:t>that testimony by the child victim in the courtroom</w:t>
      </w:r>
      <w:r>
        <w:rPr>
          <w:rFonts w:ascii="Times New Roman" w:hAnsi="Times New Roman"/>
          <w:sz w:val="24"/>
          <w:szCs w:val="24"/>
        </w:rPr>
        <w:t xml:space="preserve"> </w:t>
      </w:r>
      <w:r w:rsidRPr="00412D7B">
        <w:rPr>
          <w:rFonts w:ascii="Times New Roman" w:hAnsi="Times New Roman"/>
          <w:sz w:val="24"/>
          <w:szCs w:val="24"/>
        </w:rPr>
        <w:t>will result in the child suffering serious emotional distress such that the child cannot</w:t>
      </w:r>
      <w:r>
        <w:rPr>
          <w:rFonts w:ascii="Times New Roman" w:hAnsi="Times New Roman"/>
          <w:sz w:val="24"/>
          <w:szCs w:val="24"/>
        </w:rPr>
        <w:t xml:space="preserve"> </w:t>
      </w:r>
      <w:r w:rsidRPr="00412D7B">
        <w:rPr>
          <w:rFonts w:ascii="Times New Roman" w:hAnsi="Times New Roman"/>
          <w:sz w:val="24"/>
          <w:szCs w:val="24"/>
        </w:rPr>
        <w:t>reasonably communicate.</w:t>
      </w:r>
      <w:r>
        <w:rPr>
          <w:rFonts w:ascii="Times New Roman" w:hAnsi="Times New Roman"/>
          <w:sz w:val="24"/>
          <w:szCs w:val="24"/>
        </w:rPr>
        <w:t>’</w:t>
      </w:r>
      <w:r w:rsidRPr="00412D7B">
        <w:rPr>
          <w:rFonts w:ascii="Times New Roman" w:hAnsi="Times New Roman"/>
          <w:sz w:val="24"/>
          <w:szCs w:val="24"/>
        </w:rPr>
        <w:t xml:space="preserve"> Id. at 840-41 (quoting Md. </w:t>
      </w:r>
      <w:proofErr w:type="spellStart"/>
      <w:r w:rsidRPr="00412D7B">
        <w:rPr>
          <w:rFonts w:ascii="Times New Roman" w:hAnsi="Times New Roman"/>
          <w:sz w:val="24"/>
          <w:szCs w:val="24"/>
        </w:rPr>
        <w:t>Cts</w:t>
      </w:r>
      <w:proofErr w:type="spellEnd"/>
      <w:r w:rsidRPr="00412D7B">
        <w:rPr>
          <w:rFonts w:ascii="Times New Roman" w:hAnsi="Times New Roman"/>
          <w:sz w:val="24"/>
          <w:szCs w:val="24"/>
        </w:rPr>
        <w:t xml:space="preserve">. &amp; Jud. Proc. Code Ann. § 9-102(a)(1)(ii) (1989)). If this determination is made, </w:t>
      </w:r>
      <w:proofErr w:type="gramStart"/>
      <w:r w:rsidRPr="00412D7B">
        <w:rPr>
          <w:rFonts w:ascii="Times New Roman" w:hAnsi="Times New Roman"/>
          <w:sz w:val="24"/>
          <w:szCs w:val="24"/>
        </w:rPr>
        <w:t>the Maryland</w:t>
      </w:r>
      <w:proofErr w:type="gramEnd"/>
      <w:r w:rsidRPr="00412D7B">
        <w:rPr>
          <w:rFonts w:ascii="Times New Roman" w:hAnsi="Times New Roman"/>
          <w:sz w:val="24"/>
          <w:szCs w:val="24"/>
        </w:rPr>
        <w:t xml:space="preserve"> law </w:t>
      </w:r>
      <w:proofErr w:type="gramStart"/>
      <w:r w:rsidRPr="00412D7B">
        <w:rPr>
          <w:rFonts w:ascii="Times New Roman" w:hAnsi="Times New Roman"/>
          <w:sz w:val="24"/>
          <w:szCs w:val="24"/>
        </w:rPr>
        <w:t>allowed for</w:t>
      </w:r>
      <w:proofErr w:type="gramEnd"/>
      <w:r w:rsidRPr="00412D7B">
        <w:rPr>
          <w:rFonts w:ascii="Times New Roman" w:hAnsi="Times New Roman"/>
          <w:sz w:val="24"/>
          <w:szCs w:val="24"/>
        </w:rPr>
        <w:t xml:space="preserve"> the child</w:t>
      </w:r>
      <w:r>
        <w:rPr>
          <w:rFonts w:ascii="Times New Roman" w:hAnsi="Times New Roman"/>
          <w:sz w:val="24"/>
          <w:szCs w:val="24"/>
        </w:rPr>
        <w:t xml:space="preserve"> </w:t>
      </w:r>
      <w:r w:rsidRPr="00412D7B">
        <w:rPr>
          <w:rFonts w:ascii="Times New Roman" w:hAnsi="Times New Roman"/>
          <w:sz w:val="24"/>
          <w:szCs w:val="24"/>
        </w:rPr>
        <w:t xml:space="preserve">witness, prosecutor, and defense counsel to withdraw to a separate room </w:t>
      </w:r>
      <w:proofErr w:type="gramStart"/>
      <w:r w:rsidRPr="00412D7B">
        <w:rPr>
          <w:rFonts w:ascii="Times New Roman" w:hAnsi="Times New Roman"/>
          <w:sz w:val="24"/>
          <w:szCs w:val="24"/>
        </w:rPr>
        <w:t>where</w:t>
      </w:r>
      <w:proofErr w:type="gramEnd"/>
      <w:r w:rsidRPr="00412D7B">
        <w:rPr>
          <w:rFonts w:ascii="Times New Roman" w:hAnsi="Times New Roman"/>
          <w:sz w:val="24"/>
          <w:szCs w:val="24"/>
        </w:rPr>
        <w:t xml:space="preserve"> the</w:t>
      </w:r>
    </w:p>
    <w:p w14:paraId="1E6912A9" w14:textId="77777777" w:rsidR="0056123D" w:rsidRPr="00412D7B" w:rsidRDefault="0056123D" w:rsidP="0056123D">
      <w:pPr>
        <w:pStyle w:val="NoSpacing"/>
        <w:ind w:left="720"/>
        <w:rPr>
          <w:rFonts w:ascii="Times New Roman" w:hAnsi="Times New Roman"/>
          <w:sz w:val="24"/>
          <w:szCs w:val="24"/>
        </w:rPr>
      </w:pPr>
      <w:r w:rsidRPr="00412D7B">
        <w:rPr>
          <w:rFonts w:ascii="Times New Roman" w:hAnsi="Times New Roman"/>
          <w:sz w:val="24"/>
          <w:szCs w:val="24"/>
        </w:rPr>
        <w:t>examination of the child would be transmitted to the courtroom for display to the judge,</w:t>
      </w:r>
    </w:p>
    <w:p w14:paraId="3FFDAF37" w14:textId="77777777" w:rsidR="0056123D" w:rsidRPr="00412D7B" w:rsidRDefault="0056123D" w:rsidP="0056123D">
      <w:pPr>
        <w:pStyle w:val="NoSpacing"/>
        <w:ind w:left="720"/>
        <w:rPr>
          <w:rFonts w:ascii="Times New Roman" w:hAnsi="Times New Roman"/>
          <w:sz w:val="24"/>
          <w:szCs w:val="24"/>
        </w:rPr>
      </w:pPr>
      <w:r w:rsidRPr="00412D7B">
        <w:rPr>
          <w:rFonts w:ascii="Times New Roman" w:hAnsi="Times New Roman"/>
          <w:sz w:val="24"/>
          <w:szCs w:val="24"/>
        </w:rPr>
        <w:t>jury, and defendant. Id. at 841. During this time, the witness cannot see the Defendant.</w:t>
      </w:r>
    </w:p>
    <w:p w14:paraId="0237B850" w14:textId="77777777" w:rsidR="0056123D" w:rsidRDefault="0056123D" w:rsidP="0056123D">
      <w:pPr>
        <w:pStyle w:val="NoSpacing"/>
        <w:ind w:left="720"/>
        <w:rPr>
          <w:rFonts w:ascii="Times New Roman" w:hAnsi="Times New Roman"/>
          <w:sz w:val="24"/>
          <w:szCs w:val="24"/>
        </w:rPr>
      </w:pPr>
      <w:r w:rsidRPr="00412D7B">
        <w:rPr>
          <w:rFonts w:ascii="Times New Roman" w:hAnsi="Times New Roman"/>
          <w:sz w:val="24"/>
          <w:szCs w:val="24"/>
        </w:rPr>
        <w:t>Id.</w:t>
      </w:r>
    </w:p>
    <w:p w14:paraId="2EA674AF" w14:textId="77777777" w:rsidR="0056123D" w:rsidRDefault="0056123D" w:rsidP="0056123D">
      <w:pPr>
        <w:pStyle w:val="NoSpacing"/>
        <w:ind w:left="720"/>
        <w:rPr>
          <w:rFonts w:ascii="Times New Roman" w:hAnsi="Times New Roman"/>
          <w:sz w:val="24"/>
          <w:szCs w:val="24"/>
        </w:rPr>
      </w:pPr>
    </w:p>
    <w:p w14:paraId="42D72A14"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53761D34" w14:textId="77777777" w:rsidR="0056123D" w:rsidRDefault="0056123D" w:rsidP="0056123D">
      <w:pPr>
        <w:pStyle w:val="NoSpacing"/>
        <w:ind w:left="720"/>
        <w:rPr>
          <w:rFonts w:ascii="Times New Roman" w:hAnsi="Times New Roman"/>
          <w:sz w:val="24"/>
          <w:szCs w:val="24"/>
        </w:rPr>
      </w:pPr>
    </w:p>
    <w:p w14:paraId="754B28DB"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 xml:space="preserve">[Captain] </w:t>
      </w:r>
      <w:r w:rsidRPr="001B4670">
        <w:rPr>
          <w:rFonts w:ascii="Times New Roman" w:hAnsi="Times New Roman"/>
          <w:sz w:val="24"/>
          <w:szCs w:val="24"/>
        </w:rPr>
        <w:t>Mash</w:t>
      </w:r>
      <w:r>
        <w:rPr>
          <w:rFonts w:ascii="Times New Roman" w:hAnsi="Times New Roman"/>
          <w:sz w:val="24"/>
          <w:szCs w:val="24"/>
        </w:rPr>
        <w:t xml:space="preserve"> </w:t>
      </w:r>
      <w:r w:rsidRPr="001B4670">
        <w:rPr>
          <w:rFonts w:ascii="Times New Roman" w:hAnsi="Times New Roman"/>
          <w:sz w:val="24"/>
          <w:szCs w:val="24"/>
        </w:rPr>
        <w:t>was placed under oath and cross-examined by the Defendant, and the trial court ensured</w:t>
      </w:r>
      <w:r>
        <w:rPr>
          <w:rFonts w:ascii="Times New Roman" w:hAnsi="Times New Roman"/>
          <w:sz w:val="24"/>
          <w:szCs w:val="24"/>
        </w:rPr>
        <w:t xml:space="preserve"> </w:t>
      </w:r>
      <w:r w:rsidRPr="001B4670">
        <w:rPr>
          <w:rFonts w:ascii="Times New Roman" w:hAnsi="Times New Roman"/>
          <w:sz w:val="24"/>
          <w:szCs w:val="24"/>
        </w:rPr>
        <w:t>that, prior to his testimony, all jurors could see the screen displaying his image, thus</w:t>
      </w:r>
      <w:r>
        <w:rPr>
          <w:rFonts w:ascii="Times New Roman" w:hAnsi="Times New Roman"/>
          <w:sz w:val="24"/>
          <w:szCs w:val="24"/>
        </w:rPr>
        <w:t xml:space="preserve"> </w:t>
      </w:r>
      <w:r w:rsidRPr="001B4670">
        <w:rPr>
          <w:rFonts w:ascii="Times New Roman" w:hAnsi="Times New Roman"/>
          <w:sz w:val="24"/>
          <w:szCs w:val="24"/>
        </w:rPr>
        <w:t>allowing them to observe his demeanor while testifying. At the time of cross-examination,</w:t>
      </w:r>
      <w:r>
        <w:rPr>
          <w:rFonts w:ascii="Times New Roman" w:hAnsi="Times New Roman"/>
          <w:sz w:val="24"/>
          <w:szCs w:val="24"/>
        </w:rPr>
        <w:t xml:space="preserve"> </w:t>
      </w:r>
      <w:r w:rsidRPr="001B4670">
        <w:rPr>
          <w:rFonts w:ascii="Times New Roman" w:hAnsi="Times New Roman"/>
          <w:sz w:val="24"/>
          <w:szCs w:val="24"/>
        </w:rPr>
        <w:t>the Defendant possessed a prior written statement from Mr. Mash as well as a recording of</w:t>
      </w:r>
      <w:r>
        <w:rPr>
          <w:rFonts w:ascii="Times New Roman" w:hAnsi="Times New Roman"/>
          <w:sz w:val="24"/>
          <w:szCs w:val="24"/>
        </w:rPr>
        <w:t xml:space="preserve"> </w:t>
      </w:r>
      <w:r w:rsidRPr="001B4670">
        <w:rPr>
          <w:rFonts w:ascii="Times New Roman" w:hAnsi="Times New Roman"/>
          <w:sz w:val="24"/>
          <w:szCs w:val="24"/>
        </w:rPr>
        <w:t>his prior testimony at the preliminary hearing. The prosecutor had previously speculated</w:t>
      </w:r>
      <w:r>
        <w:rPr>
          <w:rFonts w:ascii="Times New Roman" w:hAnsi="Times New Roman"/>
          <w:sz w:val="24"/>
          <w:szCs w:val="24"/>
        </w:rPr>
        <w:t xml:space="preserve"> </w:t>
      </w:r>
      <w:r w:rsidRPr="001B4670">
        <w:rPr>
          <w:rFonts w:ascii="Times New Roman" w:hAnsi="Times New Roman"/>
          <w:sz w:val="24"/>
          <w:szCs w:val="24"/>
        </w:rPr>
        <w:t>that Mr. Mash would testify consistently with his prior statements in the case, and Mr.</w:t>
      </w:r>
      <w:r>
        <w:rPr>
          <w:rFonts w:ascii="Times New Roman" w:hAnsi="Times New Roman"/>
          <w:sz w:val="24"/>
          <w:szCs w:val="24"/>
        </w:rPr>
        <w:t xml:space="preserve"> </w:t>
      </w:r>
      <w:r w:rsidRPr="001B4670">
        <w:rPr>
          <w:rFonts w:ascii="Times New Roman" w:hAnsi="Times New Roman"/>
          <w:sz w:val="24"/>
          <w:szCs w:val="24"/>
        </w:rPr>
        <w:t>Mash explicitly stated during his cross-examination that he had so testified. While the</w:t>
      </w:r>
      <w:r>
        <w:rPr>
          <w:rFonts w:ascii="Times New Roman" w:hAnsi="Times New Roman"/>
          <w:sz w:val="24"/>
          <w:szCs w:val="24"/>
        </w:rPr>
        <w:t xml:space="preserve"> </w:t>
      </w:r>
      <w:r w:rsidRPr="001B4670">
        <w:rPr>
          <w:rFonts w:ascii="Times New Roman" w:hAnsi="Times New Roman"/>
          <w:sz w:val="24"/>
          <w:szCs w:val="24"/>
        </w:rPr>
        <w:t xml:space="preserve">attorneys in </w:t>
      </w:r>
      <w:r w:rsidRPr="00D41A7C">
        <w:rPr>
          <w:rFonts w:ascii="Times New Roman" w:hAnsi="Times New Roman"/>
          <w:i/>
          <w:iCs/>
          <w:sz w:val="24"/>
          <w:szCs w:val="24"/>
        </w:rPr>
        <w:t>Craig</w:t>
      </w:r>
      <w:r w:rsidRPr="001B4670">
        <w:rPr>
          <w:rFonts w:ascii="Times New Roman" w:hAnsi="Times New Roman"/>
          <w:sz w:val="24"/>
          <w:szCs w:val="24"/>
        </w:rPr>
        <w:t xml:space="preserve"> were in the same room as the testifying witness, id. at 841, the record</w:t>
      </w:r>
      <w:r>
        <w:rPr>
          <w:rFonts w:ascii="Times New Roman" w:hAnsi="Times New Roman"/>
          <w:sz w:val="24"/>
          <w:szCs w:val="24"/>
        </w:rPr>
        <w:t xml:space="preserve"> </w:t>
      </w:r>
      <w:r w:rsidRPr="001B4670">
        <w:rPr>
          <w:rFonts w:ascii="Times New Roman" w:hAnsi="Times New Roman"/>
          <w:sz w:val="24"/>
          <w:szCs w:val="24"/>
        </w:rPr>
        <w:t>here reflects that Mr. Mash was able to see the attorneys during questioning through use of</w:t>
      </w:r>
      <w:r>
        <w:rPr>
          <w:rFonts w:ascii="Times New Roman" w:hAnsi="Times New Roman"/>
          <w:sz w:val="24"/>
          <w:szCs w:val="24"/>
        </w:rPr>
        <w:t xml:space="preserve"> </w:t>
      </w:r>
      <w:r w:rsidRPr="001B4670">
        <w:rPr>
          <w:rFonts w:ascii="Times New Roman" w:hAnsi="Times New Roman"/>
          <w:sz w:val="24"/>
          <w:szCs w:val="24"/>
        </w:rPr>
        <w:t xml:space="preserve">the </w:t>
      </w:r>
      <w:r>
        <w:rPr>
          <w:rFonts w:ascii="Times New Roman" w:hAnsi="Times New Roman"/>
          <w:sz w:val="24"/>
          <w:szCs w:val="24"/>
        </w:rPr>
        <w:t>‘</w:t>
      </w:r>
      <w:r w:rsidRPr="001B4670">
        <w:rPr>
          <w:rFonts w:ascii="Times New Roman" w:hAnsi="Times New Roman"/>
          <w:sz w:val="24"/>
          <w:szCs w:val="24"/>
        </w:rPr>
        <w:t>Owl</w:t>
      </w:r>
      <w:r>
        <w:rPr>
          <w:rFonts w:ascii="Times New Roman" w:hAnsi="Times New Roman"/>
          <w:sz w:val="24"/>
          <w:szCs w:val="24"/>
        </w:rPr>
        <w:t>’</w:t>
      </w:r>
      <w:r w:rsidRPr="001B4670">
        <w:rPr>
          <w:rFonts w:ascii="Times New Roman" w:hAnsi="Times New Roman"/>
          <w:sz w:val="24"/>
          <w:szCs w:val="24"/>
        </w:rPr>
        <w:t xml:space="preserve"> device. Other than a </w:t>
      </w:r>
      <w:r>
        <w:rPr>
          <w:rFonts w:ascii="Times New Roman" w:hAnsi="Times New Roman"/>
          <w:sz w:val="24"/>
          <w:szCs w:val="24"/>
        </w:rPr>
        <w:t>‘</w:t>
      </w:r>
      <w:r w:rsidRPr="001B4670">
        <w:rPr>
          <w:rFonts w:ascii="Times New Roman" w:hAnsi="Times New Roman"/>
          <w:sz w:val="24"/>
          <w:szCs w:val="24"/>
        </w:rPr>
        <w:t>little delay</w:t>
      </w:r>
      <w:r>
        <w:rPr>
          <w:rFonts w:ascii="Times New Roman" w:hAnsi="Times New Roman"/>
          <w:sz w:val="24"/>
          <w:szCs w:val="24"/>
        </w:rPr>
        <w:t>’</w:t>
      </w:r>
      <w:r w:rsidRPr="001B4670">
        <w:rPr>
          <w:rFonts w:ascii="Times New Roman" w:hAnsi="Times New Roman"/>
          <w:sz w:val="24"/>
          <w:szCs w:val="24"/>
        </w:rPr>
        <w:t xml:space="preserve"> in the video transmission, it does not appear</w:t>
      </w:r>
      <w:r>
        <w:rPr>
          <w:rFonts w:ascii="Times New Roman" w:hAnsi="Times New Roman"/>
          <w:sz w:val="24"/>
          <w:szCs w:val="24"/>
        </w:rPr>
        <w:t xml:space="preserve"> </w:t>
      </w:r>
      <w:r w:rsidRPr="001B4670">
        <w:rPr>
          <w:rFonts w:ascii="Times New Roman" w:hAnsi="Times New Roman"/>
          <w:sz w:val="24"/>
          <w:szCs w:val="24"/>
        </w:rPr>
        <w:t>that defense counsel’s lack of physical presence during his questioning of Mr. Mash in any</w:t>
      </w:r>
      <w:r>
        <w:rPr>
          <w:rFonts w:ascii="Times New Roman" w:hAnsi="Times New Roman"/>
          <w:sz w:val="24"/>
          <w:szCs w:val="24"/>
        </w:rPr>
        <w:t xml:space="preserve"> </w:t>
      </w:r>
      <w:r w:rsidRPr="001B4670">
        <w:rPr>
          <w:rFonts w:ascii="Times New Roman" w:hAnsi="Times New Roman"/>
          <w:sz w:val="24"/>
          <w:szCs w:val="24"/>
        </w:rPr>
        <w:t>way hindered the effective cross-examination of the witness.</w:t>
      </w:r>
    </w:p>
    <w:p w14:paraId="5F6B5903" w14:textId="77777777" w:rsidR="0056123D" w:rsidRDefault="0056123D" w:rsidP="0056123D">
      <w:pPr>
        <w:pStyle w:val="NoSpacing"/>
        <w:ind w:left="720"/>
        <w:rPr>
          <w:rFonts w:ascii="Times New Roman" w:hAnsi="Times New Roman"/>
          <w:sz w:val="24"/>
          <w:szCs w:val="24"/>
        </w:rPr>
      </w:pPr>
    </w:p>
    <w:p w14:paraId="3442A0E2"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7B22BAF1" w14:textId="77777777" w:rsidR="0056123D" w:rsidRPr="001B4670" w:rsidRDefault="0056123D" w:rsidP="0056123D">
      <w:pPr>
        <w:pStyle w:val="NoSpacing"/>
        <w:ind w:left="720"/>
        <w:rPr>
          <w:rFonts w:ascii="Times New Roman" w:hAnsi="Times New Roman"/>
          <w:sz w:val="24"/>
          <w:szCs w:val="24"/>
        </w:rPr>
      </w:pPr>
      <w:r w:rsidRPr="001B4670">
        <w:rPr>
          <w:rFonts w:ascii="Times New Roman" w:hAnsi="Times New Roman"/>
          <w:sz w:val="24"/>
          <w:szCs w:val="24"/>
        </w:rPr>
        <w:t xml:space="preserve">As in </w:t>
      </w:r>
      <w:r w:rsidRPr="00D41A7C">
        <w:rPr>
          <w:rFonts w:ascii="Times New Roman" w:hAnsi="Times New Roman"/>
          <w:i/>
          <w:iCs/>
          <w:sz w:val="24"/>
          <w:szCs w:val="24"/>
        </w:rPr>
        <w:t>Craig,</w:t>
      </w:r>
      <w:r w:rsidRPr="001B4670">
        <w:rPr>
          <w:rFonts w:ascii="Times New Roman" w:hAnsi="Times New Roman"/>
          <w:sz w:val="24"/>
          <w:szCs w:val="24"/>
        </w:rPr>
        <w:t xml:space="preserve"> we conclude that the practice employed here </w:t>
      </w:r>
      <w:r>
        <w:rPr>
          <w:rFonts w:ascii="Times New Roman" w:hAnsi="Times New Roman"/>
          <w:sz w:val="24"/>
          <w:szCs w:val="24"/>
        </w:rPr>
        <w:t>‘</w:t>
      </w:r>
      <w:r w:rsidRPr="001B4670">
        <w:rPr>
          <w:rFonts w:ascii="Times New Roman" w:hAnsi="Times New Roman"/>
          <w:sz w:val="24"/>
          <w:szCs w:val="24"/>
        </w:rPr>
        <w:t>preserve[d] the essence</w:t>
      </w:r>
    </w:p>
    <w:p w14:paraId="7E6A9C45" w14:textId="77777777" w:rsidR="0056123D" w:rsidRPr="001B4670" w:rsidRDefault="0056123D" w:rsidP="0056123D">
      <w:pPr>
        <w:pStyle w:val="NoSpacing"/>
        <w:ind w:left="720"/>
        <w:rPr>
          <w:rFonts w:ascii="Times New Roman" w:hAnsi="Times New Roman"/>
          <w:sz w:val="24"/>
          <w:szCs w:val="24"/>
        </w:rPr>
      </w:pPr>
      <w:r w:rsidRPr="001B4670">
        <w:rPr>
          <w:rFonts w:ascii="Times New Roman" w:hAnsi="Times New Roman"/>
          <w:sz w:val="24"/>
          <w:szCs w:val="24"/>
        </w:rPr>
        <w:t>of effective confrontation[,]</w:t>
      </w:r>
      <w:r>
        <w:rPr>
          <w:rFonts w:ascii="Times New Roman" w:hAnsi="Times New Roman"/>
          <w:sz w:val="24"/>
          <w:szCs w:val="24"/>
        </w:rPr>
        <w:t xml:space="preserve">’ </w:t>
      </w:r>
      <w:r w:rsidRPr="001B4670">
        <w:rPr>
          <w:rFonts w:ascii="Times New Roman" w:hAnsi="Times New Roman"/>
          <w:sz w:val="24"/>
          <w:szCs w:val="24"/>
        </w:rPr>
        <w:t>id. at 857, and thus ensured the reliability of Mr. Mash’s</w:t>
      </w:r>
    </w:p>
    <w:p w14:paraId="5AF9F27C" w14:textId="77777777" w:rsidR="0056123D" w:rsidRPr="001B4670" w:rsidRDefault="0056123D" w:rsidP="0056123D">
      <w:pPr>
        <w:pStyle w:val="NoSpacing"/>
        <w:ind w:left="720"/>
        <w:rPr>
          <w:rFonts w:ascii="Times New Roman" w:hAnsi="Times New Roman"/>
          <w:sz w:val="24"/>
          <w:szCs w:val="24"/>
        </w:rPr>
      </w:pPr>
      <w:r w:rsidRPr="001B4670">
        <w:rPr>
          <w:rFonts w:ascii="Times New Roman" w:hAnsi="Times New Roman"/>
          <w:sz w:val="24"/>
          <w:szCs w:val="24"/>
        </w:rPr>
        <w:t xml:space="preserve">testimony. Both prongs of Craig </w:t>
      </w:r>
      <w:proofErr w:type="gramStart"/>
      <w:r w:rsidRPr="001B4670">
        <w:rPr>
          <w:rFonts w:ascii="Times New Roman" w:hAnsi="Times New Roman"/>
          <w:sz w:val="24"/>
          <w:szCs w:val="24"/>
        </w:rPr>
        <w:t>having</w:t>
      </w:r>
      <w:proofErr w:type="gramEnd"/>
      <w:r w:rsidRPr="001B4670">
        <w:rPr>
          <w:rFonts w:ascii="Times New Roman" w:hAnsi="Times New Roman"/>
          <w:sz w:val="24"/>
          <w:szCs w:val="24"/>
        </w:rPr>
        <w:t xml:space="preserve"> been satisfied, the Defendant is not entitled to</w:t>
      </w:r>
    </w:p>
    <w:p w14:paraId="61CFC16E" w14:textId="718D28F6" w:rsidR="0056123D" w:rsidRDefault="0056123D" w:rsidP="0056123D">
      <w:pPr>
        <w:pStyle w:val="NoSpacing"/>
        <w:ind w:left="720"/>
        <w:rPr>
          <w:rFonts w:ascii="Arial Black" w:hAnsi="Arial Black"/>
          <w:sz w:val="24"/>
          <w:szCs w:val="24"/>
        </w:rPr>
      </w:pPr>
      <w:r w:rsidRPr="001B4670">
        <w:rPr>
          <w:rFonts w:ascii="Times New Roman" w:hAnsi="Times New Roman"/>
          <w:sz w:val="24"/>
          <w:szCs w:val="24"/>
        </w:rPr>
        <w:t>relief pursuant to the Sixth Amendment.</w:t>
      </w:r>
      <w:r>
        <w:rPr>
          <w:rFonts w:ascii="Times New Roman" w:hAnsi="Times New Roman"/>
          <w:sz w:val="24"/>
          <w:szCs w:val="24"/>
        </w:rPr>
        <w:t xml:space="preserve">” </w:t>
      </w:r>
      <w:hyperlink r:id="rId162" w:history="1">
        <w:r w:rsidRPr="00FF56A3">
          <w:rPr>
            <w:rStyle w:val="Hyperlink"/>
            <w:rFonts w:ascii="Times New Roman" w:hAnsi="Times New Roman"/>
            <w:sz w:val="24"/>
            <w:szCs w:val="24"/>
          </w:rPr>
          <w:t>https://cases.justia.com/tennessee/court-of-criminal-appeals/2023-m2022-00949-cca-r3-cd.pdf?ts=1695676978</w:t>
        </w:r>
      </w:hyperlink>
    </w:p>
    <w:p w14:paraId="36E967D4" w14:textId="77777777" w:rsidR="0056123D" w:rsidRDefault="0056123D" w:rsidP="00F326E5">
      <w:pPr>
        <w:pStyle w:val="NoSpacing"/>
        <w:rPr>
          <w:rFonts w:ascii="Arial Black" w:hAnsi="Arial Black"/>
          <w:sz w:val="24"/>
          <w:szCs w:val="24"/>
        </w:rPr>
      </w:pPr>
    </w:p>
    <w:p w14:paraId="734B5399" w14:textId="77777777" w:rsidR="0056123D" w:rsidRPr="00E460C5" w:rsidRDefault="0056123D" w:rsidP="0056123D">
      <w:pPr>
        <w:pStyle w:val="NoSpacing"/>
        <w:rPr>
          <w:rFonts w:ascii="Times New Roman" w:hAnsi="Times New Roman"/>
          <w:b/>
          <w:bCs/>
          <w:sz w:val="24"/>
          <w:szCs w:val="24"/>
        </w:rPr>
      </w:pPr>
      <w:r w:rsidRPr="00E460C5">
        <w:rPr>
          <w:rFonts w:ascii="Times New Roman" w:hAnsi="Times New Roman"/>
          <w:b/>
          <w:bCs/>
          <w:sz w:val="24"/>
          <w:szCs w:val="24"/>
        </w:rPr>
        <w:t xml:space="preserve">Legal Lesson Learned: The Confrontation Clause of the Sixth Amendment provides that </w:t>
      </w:r>
    </w:p>
    <w:p w14:paraId="2BD312B0" w14:textId="77777777" w:rsidR="0056123D" w:rsidRDefault="0056123D" w:rsidP="0056123D">
      <w:pPr>
        <w:pStyle w:val="NoSpacing"/>
        <w:rPr>
          <w:rFonts w:ascii="Times New Roman" w:hAnsi="Times New Roman"/>
          <w:b/>
          <w:bCs/>
          <w:sz w:val="24"/>
          <w:szCs w:val="24"/>
        </w:rPr>
      </w:pPr>
      <w:r w:rsidRPr="00E460C5">
        <w:rPr>
          <w:rFonts w:ascii="Times New Roman" w:hAnsi="Times New Roman"/>
          <w:b/>
          <w:bCs/>
          <w:sz w:val="24"/>
          <w:szCs w:val="24"/>
        </w:rPr>
        <w:t xml:space="preserve"> “[</w:t>
      </w:r>
      <w:proofErr w:type="spellStart"/>
      <w:r w:rsidRPr="00E460C5">
        <w:rPr>
          <w:rFonts w:ascii="Times New Roman" w:hAnsi="Times New Roman"/>
          <w:b/>
          <w:bCs/>
          <w:sz w:val="24"/>
          <w:szCs w:val="24"/>
        </w:rPr>
        <w:t>i</w:t>
      </w:r>
      <w:proofErr w:type="spellEnd"/>
      <w:r w:rsidRPr="00E460C5">
        <w:rPr>
          <w:rFonts w:ascii="Times New Roman" w:hAnsi="Times New Roman"/>
          <w:b/>
          <w:bCs/>
          <w:sz w:val="24"/>
          <w:szCs w:val="24"/>
        </w:rPr>
        <w:t>]n all criminal prosecutions, the accused shall enjoy the right . . . to be confronted with the witnesses against him.”</w:t>
      </w:r>
      <w:r>
        <w:rPr>
          <w:rFonts w:ascii="Times New Roman" w:hAnsi="Times New Roman"/>
          <w:b/>
          <w:bCs/>
          <w:sz w:val="24"/>
          <w:szCs w:val="24"/>
        </w:rPr>
        <w:t xml:space="preserve"> That confrontation can be by ZOOM if witness is ill and contagious. </w:t>
      </w:r>
    </w:p>
    <w:p w14:paraId="5B80B863" w14:textId="77777777" w:rsidR="0056123D" w:rsidRDefault="0056123D" w:rsidP="0056123D">
      <w:pPr>
        <w:pStyle w:val="NoSpacing"/>
        <w:rPr>
          <w:rFonts w:ascii="Times New Roman" w:hAnsi="Times New Roman"/>
          <w:b/>
          <w:bCs/>
          <w:sz w:val="24"/>
          <w:szCs w:val="24"/>
        </w:rPr>
      </w:pPr>
    </w:p>
    <w:p w14:paraId="0C9FEE6A" w14:textId="77777777" w:rsidR="0056123D" w:rsidRDefault="0056123D" w:rsidP="00F326E5">
      <w:pPr>
        <w:pStyle w:val="NoSpacing"/>
        <w:rPr>
          <w:rFonts w:ascii="Arial Black" w:hAnsi="Arial Black"/>
          <w:sz w:val="24"/>
          <w:szCs w:val="24"/>
        </w:rPr>
      </w:pPr>
    </w:p>
    <w:p w14:paraId="3F54073B" w14:textId="77777777" w:rsidR="0056123D" w:rsidRDefault="0056123D" w:rsidP="00F326E5">
      <w:pPr>
        <w:pStyle w:val="NoSpacing"/>
        <w:rPr>
          <w:rFonts w:ascii="Arial Black" w:hAnsi="Arial Black"/>
          <w:sz w:val="24"/>
          <w:szCs w:val="24"/>
        </w:rPr>
      </w:pPr>
    </w:p>
    <w:p w14:paraId="7A3C385D" w14:textId="6E8A00F7" w:rsidR="0056123D" w:rsidRDefault="0056123D" w:rsidP="00F326E5">
      <w:pPr>
        <w:pStyle w:val="NoSpacing"/>
        <w:rPr>
          <w:rFonts w:ascii="Arial Black" w:hAnsi="Arial Black"/>
          <w:sz w:val="24"/>
          <w:szCs w:val="24"/>
        </w:rPr>
      </w:pPr>
      <w:r>
        <w:rPr>
          <w:rFonts w:ascii="Arial Black" w:hAnsi="Arial Black"/>
          <w:sz w:val="24"/>
          <w:szCs w:val="24"/>
        </w:rPr>
        <w:t>1-134</w:t>
      </w:r>
    </w:p>
    <w:p w14:paraId="0976A72C" w14:textId="77777777" w:rsidR="0056123D" w:rsidRDefault="0056123D" w:rsidP="00F326E5">
      <w:pPr>
        <w:pStyle w:val="NoSpacing"/>
        <w:rPr>
          <w:rFonts w:ascii="Arial Black" w:hAnsi="Arial Black"/>
          <w:sz w:val="24"/>
          <w:szCs w:val="24"/>
        </w:rPr>
      </w:pPr>
    </w:p>
    <w:p w14:paraId="33DBBF3D" w14:textId="77777777" w:rsidR="0056123D" w:rsidRDefault="0056123D" w:rsidP="0056123D">
      <w:pPr>
        <w:rPr>
          <w:rFonts w:ascii="Arial Black" w:hAnsi="Arial Black"/>
          <w:sz w:val="28"/>
          <w:szCs w:val="28"/>
        </w:rPr>
      </w:pPr>
      <w:r>
        <w:rPr>
          <w:rFonts w:ascii="Arial Black" w:hAnsi="Arial Black"/>
          <w:sz w:val="28"/>
          <w:szCs w:val="28"/>
        </w:rPr>
        <w:t xml:space="preserve">CA: HIKER - YOSEMITE PARK – GOV’T SHUTDOWN, PARK OPEN - DIED ICY RIVER – RECREATIONAL &amp; FED. IMMUNITY </w:t>
      </w:r>
    </w:p>
    <w:p w14:paraId="10444A4D" w14:textId="77777777" w:rsidR="0056123D" w:rsidRDefault="0056123D" w:rsidP="0056123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Sept. 22, 2023, in </w:t>
      </w:r>
      <w:r w:rsidRPr="0097540D">
        <w:rPr>
          <w:rFonts w:ascii="Times New Roman" w:hAnsi="Times New Roman"/>
          <w:sz w:val="24"/>
          <w:szCs w:val="24"/>
          <w:u w:val="single"/>
        </w:rPr>
        <w:t>Deborah Nickles v. United States of America</w:t>
      </w:r>
      <w:r>
        <w:rPr>
          <w:rFonts w:ascii="Times New Roman" w:hAnsi="Times New Roman"/>
          <w:sz w:val="24"/>
          <w:szCs w:val="24"/>
        </w:rPr>
        <w:t>, U.S. Magistrate Judge, U.S. District Court for Eastern District of California, issued a Report and Recommendation, recommending a U.S. District Court judge dismiss this lawsuit based on the California recreational immunity statute (statute written to encourage landowners to allow others to hike and other recreation on their property) and federal immunity for discretionary executive decisions (such as keeping Park open during funding shutdown).  During a government-wide shut down over Congressional funding dispute, on Christmas Day, Dec. 25, 2018, Joshua Conner and girlfriend walking dogs in Yosemite even though no dogs allowed; about 2:30 pm, he attempted to retrieve a dog, hit his head he fell into Merced River.  Search and rescue team was immediately dispatched, arrived on foot at 3:25 pm but could not revive him.  The plaintiff alleges that federal government is liable for Conner’s death because they failed to close the National Park.</w:t>
      </w:r>
    </w:p>
    <w:p w14:paraId="26E315DC" w14:textId="77777777" w:rsidR="0056123D" w:rsidRPr="0097540D" w:rsidRDefault="0056123D" w:rsidP="0056123D">
      <w:pPr>
        <w:spacing w:before="100" w:beforeAutospacing="1" w:after="100" w:afterAutospacing="1" w:line="240" w:lineRule="auto"/>
        <w:ind w:left="720" w:firstLine="60"/>
        <w:rPr>
          <w:rFonts w:ascii="Times New Roman" w:eastAsia="Times New Roman" w:hAnsi="Times New Roman"/>
          <w:sz w:val="24"/>
          <w:szCs w:val="24"/>
        </w:rPr>
      </w:pPr>
      <w:r>
        <w:rPr>
          <w:rFonts w:ascii="Times New Roman" w:hAnsi="Times New Roman"/>
          <w:sz w:val="24"/>
          <w:szCs w:val="24"/>
        </w:rPr>
        <w:t>“</w:t>
      </w:r>
      <w:r w:rsidRPr="00B361B9">
        <w:rPr>
          <w:rFonts w:ascii="Times New Roman" w:eastAsia="Times New Roman" w:hAnsi="Times New Roman"/>
          <w:sz w:val="24"/>
          <w:szCs w:val="24"/>
        </w:rPr>
        <w:t xml:space="preserve">The Court finds Defendant has sufficiently demonstrated that NPS </w:t>
      </w:r>
      <w:r>
        <w:rPr>
          <w:rFonts w:ascii="Times New Roman" w:eastAsia="Times New Roman" w:hAnsi="Times New Roman"/>
          <w:sz w:val="24"/>
          <w:szCs w:val="24"/>
        </w:rPr>
        <w:t xml:space="preserve">[National Park Service] </w:t>
      </w:r>
      <w:r w:rsidRPr="00B361B9">
        <w:rPr>
          <w:rFonts w:ascii="Times New Roman" w:eastAsia="Times New Roman" w:hAnsi="Times New Roman"/>
          <w:sz w:val="24"/>
          <w:szCs w:val="24"/>
        </w:rPr>
        <w:t>responded quickly and appropriately to Conner's emergency, sending medically trained law enforcement rangers to help him, and that the first responder team dispatched within minutes of receiving the 9-1-1 call</w:t>
      </w:r>
      <w:r>
        <w:rPr>
          <w:rFonts w:ascii="Times New Roman" w:eastAsia="Times New Roman" w:hAnsi="Times New Roman"/>
          <w:sz w:val="24"/>
          <w:szCs w:val="24"/>
        </w:rPr>
        <w:t xml:space="preserve">…. </w:t>
      </w:r>
      <w:r w:rsidRPr="00B361B9">
        <w:rPr>
          <w:rFonts w:ascii="Times New Roman" w:eastAsia="Times New Roman" w:hAnsi="Times New Roman"/>
          <w:sz w:val="24"/>
          <w:szCs w:val="24"/>
        </w:rPr>
        <w:t xml:space="preserve">Rangers hiked to Conner's location to render aid, working to resuscitate him. While Plaintiff alleges that Conner was deprived of the opportunity to be evacuated by the NPS </w:t>
      </w:r>
      <w:r>
        <w:rPr>
          <w:rFonts w:ascii="Times New Roman" w:eastAsia="Times New Roman" w:hAnsi="Times New Roman"/>
          <w:sz w:val="24"/>
          <w:szCs w:val="24"/>
        </w:rPr>
        <w:t>‘</w:t>
      </w:r>
      <w:r w:rsidRPr="00B361B9">
        <w:rPr>
          <w:rFonts w:ascii="Times New Roman" w:eastAsia="Times New Roman" w:hAnsi="Times New Roman"/>
          <w:sz w:val="24"/>
          <w:szCs w:val="24"/>
        </w:rPr>
        <w:t>exclusive use helicopter,</w:t>
      </w:r>
      <w:r>
        <w:rPr>
          <w:rFonts w:ascii="Times New Roman" w:eastAsia="Times New Roman" w:hAnsi="Times New Roman"/>
          <w:sz w:val="24"/>
          <w:szCs w:val="24"/>
        </w:rPr>
        <w:t>’</w:t>
      </w:r>
      <w:r w:rsidRPr="00B361B9">
        <w:rPr>
          <w:rFonts w:ascii="Times New Roman" w:eastAsia="Times New Roman" w:hAnsi="Times New Roman"/>
          <w:sz w:val="24"/>
          <w:szCs w:val="24"/>
        </w:rPr>
        <w:t xml:space="preserve"> Defendant has established such service does not operate in December, regardless of whether a federal shutdown occurs</w:t>
      </w:r>
      <w:r>
        <w:rPr>
          <w:rFonts w:ascii="Times New Roman" w:eastAsia="Times New Roman" w:hAnsi="Times New Roman"/>
          <w:sz w:val="24"/>
          <w:szCs w:val="24"/>
        </w:rPr>
        <w:t xml:space="preserve">. *** </w:t>
      </w:r>
      <w:r w:rsidRPr="0097540D">
        <w:rPr>
          <w:rFonts w:ascii="Times New Roman" w:hAnsi="Times New Roman"/>
          <w:sz w:val="24"/>
          <w:szCs w:val="24"/>
        </w:rPr>
        <w:t>Based on the above discussion pertaining to the FTCA and California's recreational immunity statute as applied to the facts here, the Court recommends the Defendant's Rule 12(b)(1) motion to dismiss for lack of jurisdiction be granted.</w:t>
      </w:r>
      <w:r>
        <w:rPr>
          <w:rFonts w:ascii="Times New Roman" w:hAnsi="Times New Roman"/>
          <w:sz w:val="24"/>
          <w:szCs w:val="24"/>
        </w:rPr>
        <w:t xml:space="preserve">” </w:t>
      </w:r>
      <w:hyperlink r:id="rId163" w:history="1">
        <w:r w:rsidRPr="00916560">
          <w:rPr>
            <w:rStyle w:val="Hyperlink"/>
            <w:rFonts w:ascii="Times New Roman" w:hAnsi="Times New Roman"/>
            <w:sz w:val="24"/>
            <w:szCs w:val="24"/>
          </w:rPr>
          <w:t>https://public.fastcase.com/ZZhmr5v9wN%2FXOe5IsQ%2FqDx2aoAq%2F1J3XMBw8WA8L1d7o8S2WtY%2BTDnBn3n2%2F0y8X6CyWkgilV2OmVPwbi%2FNntkvFVphnueZifNbADUBhdiU%3D?utm_medium=email&amp;_hsmi=226712652&amp;_hsenc=p2ANqtz--A7cSCsQiKnmkWIbrJV3BH1NDDsIsoOUsxX371tCp7kUULX-TDL4poIpgmi8VFxIZ6Go7w0Api1t7_UP6pxMUzbV5FWQ&amp;utm_content=226712652&amp;utm_source=hs_email</w:t>
        </w:r>
      </w:hyperlink>
      <w:r>
        <w:rPr>
          <w:rFonts w:ascii="Times New Roman" w:hAnsi="Times New Roman"/>
          <w:sz w:val="24"/>
          <w:szCs w:val="24"/>
        </w:rPr>
        <w:t xml:space="preserve"> </w:t>
      </w:r>
    </w:p>
    <w:p w14:paraId="0F949FB1" w14:textId="77777777" w:rsidR="0056123D" w:rsidRPr="000A2984" w:rsidRDefault="0056123D" w:rsidP="0056123D">
      <w:pPr>
        <w:pStyle w:val="NormalWeb"/>
        <w:rPr>
          <w:b/>
          <w:bCs/>
        </w:rPr>
      </w:pPr>
      <w:r w:rsidRPr="000A2984">
        <w:rPr>
          <w:rFonts w:eastAsiaTheme="minorHAnsi"/>
          <w:b/>
          <w:bCs/>
          <w:kern w:val="2"/>
          <w14:ligatures w14:val="standardContextual"/>
        </w:rPr>
        <w:t xml:space="preserve">Legal Lasson Learned: </w:t>
      </w:r>
      <w:r>
        <w:rPr>
          <w:rFonts w:eastAsiaTheme="minorHAnsi"/>
          <w:b/>
          <w:bCs/>
          <w:kern w:val="2"/>
          <w14:ligatures w14:val="standardContextual"/>
        </w:rPr>
        <w:t xml:space="preserve"> The California recreational immunity statute was enacted to encourage property owners to engage in hiking and other recreational activities. </w:t>
      </w:r>
    </w:p>
    <w:p w14:paraId="53BEF6C8" w14:textId="77777777" w:rsidR="0056123D" w:rsidRDefault="0056123D" w:rsidP="0056123D">
      <w:pPr>
        <w:pStyle w:val="NormalWeb"/>
        <w:ind w:left="720"/>
      </w:pPr>
      <w:r>
        <w:t xml:space="preserve">Note: The California statute provides that: “An owner of any estate or any other interest in real property, whether possessory or nonpossessory, owes no duty of care to keep the premises safe for entry or use by others for any recreational purpose or to give any warning of hazardous conditions, uses of, structures, or activities on those premises to persons entering for a recreational purpose, except as provided in this section.” Cal. Civ. Code § 846(a). California's recreational immunity statute “was enacted to encourage property owners to allow the general public to engage in recreational activities free of charge on privately owned property.” Hubbard v. Brown, 50 Cal.3d 189, 193 (1990) (citations omitted). </w:t>
      </w:r>
    </w:p>
    <w:p w14:paraId="79988309" w14:textId="77777777" w:rsidR="0056123D" w:rsidRDefault="0056123D" w:rsidP="00F326E5">
      <w:pPr>
        <w:pStyle w:val="NoSpacing"/>
        <w:rPr>
          <w:rFonts w:ascii="Arial Black" w:hAnsi="Arial Black"/>
          <w:sz w:val="24"/>
          <w:szCs w:val="24"/>
        </w:rPr>
      </w:pPr>
    </w:p>
    <w:p w14:paraId="6FEA70B3" w14:textId="028313BA" w:rsidR="0056123D" w:rsidRDefault="0056123D" w:rsidP="00F326E5">
      <w:pPr>
        <w:pStyle w:val="NoSpacing"/>
        <w:rPr>
          <w:rFonts w:ascii="Arial Black" w:hAnsi="Arial Black"/>
          <w:sz w:val="24"/>
          <w:szCs w:val="24"/>
        </w:rPr>
      </w:pPr>
      <w:r>
        <w:rPr>
          <w:rFonts w:ascii="Arial Black" w:hAnsi="Arial Black"/>
          <w:sz w:val="24"/>
          <w:szCs w:val="24"/>
        </w:rPr>
        <w:t>1-133</w:t>
      </w:r>
    </w:p>
    <w:p w14:paraId="2EE37A52" w14:textId="77777777" w:rsidR="0056123D" w:rsidRDefault="0056123D" w:rsidP="0056123D">
      <w:pPr>
        <w:pStyle w:val="NormalWeb"/>
        <w:rPr>
          <w:b/>
          <w:bCs/>
        </w:rPr>
      </w:pPr>
      <w:r>
        <w:rPr>
          <w:rFonts w:ascii="Arial Black" w:hAnsi="Arial Black"/>
          <w:b/>
          <w:bCs/>
          <w:sz w:val="28"/>
          <w:szCs w:val="28"/>
        </w:rPr>
        <w:t>CA: ARSON – BURNED DRY GRASS IN FIELD IN 2021 – JURY PROPERLY INFORMED 2014 INCIDENT PRIOR GRASS FIRE</w:t>
      </w:r>
    </w:p>
    <w:p w14:paraId="67D8630B" w14:textId="77777777" w:rsidR="0056123D" w:rsidRPr="006F2A68" w:rsidRDefault="0056123D" w:rsidP="0056123D">
      <w:pPr>
        <w:pStyle w:val="NormalWeb"/>
      </w:pPr>
      <w:r w:rsidRPr="006F2A68">
        <w:t xml:space="preserve">On Sept. 20, 2023, </w:t>
      </w:r>
      <w:r>
        <w:t xml:space="preserve">in </w:t>
      </w:r>
      <w:r w:rsidRPr="006F2A68">
        <w:rPr>
          <w:u w:val="single"/>
        </w:rPr>
        <w:t>The People v. Alejandro Marin</w:t>
      </w:r>
      <w:r>
        <w:t xml:space="preserve">, </w:t>
      </w:r>
      <w:r w:rsidRPr="006F2A68">
        <w:rPr>
          <w:b/>
          <w:bCs/>
        </w:rPr>
        <w:t xml:space="preserve"> </w:t>
      </w:r>
      <w:r w:rsidRPr="006F2A68">
        <w:t xml:space="preserve">the California Court of Appeals, First District, Fifth Division, </w:t>
      </w:r>
      <w:r>
        <w:t>held (3 to 0; unpublished decision) that defendant’s conviction of arson for lighting dry grass near a river trail in Napa was affirmed;  trial court properly allowed jury to learn of the prior incident [not charged] in 2014 where he lit a fire near base of tree and planned to sleep there.</w:t>
      </w:r>
    </w:p>
    <w:p w14:paraId="735C933B" w14:textId="77777777" w:rsidR="0056123D" w:rsidRDefault="0056123D" w:rsidP="0056123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“A</w:t>
      </w:r>
      <w:r w:rsidRPr="006F2A68">
        <w:rPr>
          <w:rFonts w:ascii="Times New Roman" w:eastAsia="Times New Roman" w:hAnsi="Times New Roman"/>
          <w:sz w:val="24"/>
          <w:szCs w:val="24"/>
        </w:rPr>
        <w:t xml:space="preserve">ppellant argues the 2014 incident had minimal probative value and was highly prejudicial. We find no abuse of discretion. First, the 2014 incident was probative of appellant's awareness of the substantial risk of causing a fire in a dry, grassy area, as relevant to the lesser included offense. The incident was also probative of whether appellant would be likely to be careless with a lit object such as a cigarette in a dry, grassy area, or whether any fire started by him was likely to be intentional. Appellant argues the 2014 incident was too dissimilar from the charged offense to be probative because he set the fire in 2014 to stay warm while he slept, while the charged event took place on a mild morning. </w:t>
      </w:r>
      <w:r>
        <w:rPr>
          <w:rFonts w:ascii="Times New Roman" w:eastAsia="Times New Roman" w:hAnsi="Times New Roman"/>
          <w:sz w:val="24"/>
          <w:szCs w:val="24"/>
        </w:rPr>
        <w:t>‘</w:t>
      </w:r>
      <w:r w:rsidRPr="006F2A68">
        <w:rPr>
          <w:rFonts w:ascii="Times New Roman" w:eastAsia="Times New Roman" w:hAnsi="Times New Roman"/>
          <w:sz w:val="24"/>
          <w:szCs w:val="24"/>
        </w:rPr>
        <w:t>In order to be relevant, the 'least degree of similarity (between the uncharged act and the charged offense) is required in order to prove intent.</w:t>
      </w:r>
      <w:r>
        <w:rPr>
          <w:rFonts w:ascii="Times New Roman" w:eastAsia="Times New Roman" w:hAnsi="Times New Roman"/>
          <w:sz w:val="24"/>
          <w:szCs w:val="24"/>
        </w:rPr>
        <w:t>’</w:t>
      </w:r>
      <w:r w:rsidRPr="006F2A68">
        <w:rPr>
          <w:rFonts w:ascii="Times New Roman" w:eastAsia="Times New Roman" w:hAnsi="Times New Roman"/>
          <w:sz w:val="24"/>
          <w:szCs w:val="24"/>
        </w:rPr>
        <w:t xml:space="preserve"> (</w:t>
      </w:r>
      <w:r w:rsidRPr="006F2A68">
        <w:rPr>
          <w:rFonts w:ascii="Times New Roman" w:eastAsia="Times New Roman" w:hAnsi="Times New Roman"/>
          <w:i/>
          <w:iCs/>
          <w:sz w:val="24"/>
          <w:szCs w:val="24"/>
        </w:rPr>
        <w:t>People v. Molano</w:t>
      </w:r>
      <w:r w:rsidRPr="006F2A68">
        <w:rPr>
          <w:rFonts w:ascii="Times New Roman" w:eastAsia="Times New Roman" w:hAnsi="Times New Roman"/>
          <w:sz w:val="24"/>
          <w:szCs w:val="24"/>
        </w:rPr>
        <w:t xml:space="preserve"> (2019) 7 Cal.5th 620, 665.) In both incidents, appellant started a fire in a dry, grassy area; this similarity is sufficient for purposes of intent. Appellant also contends the evidence was cumulative because it is common knowledge that lighting things on fire leads to fire. Given that appellant claimed he threw a lit cigarette in dry grass, evidence that appellant was aware of the dangers of lit objects near dry grass was relevant.</w:t>
      </w:r>
      <w:r>
        <w:rPr>
          <w:rFonts w:ascii="Times New Roman" w:eastAsia="Times New Roman" w:hAnsi="Times New Roman"/>
          <w:sz w:val="24"/>
          <w:szCs w:val="24"/>
        </w:rPr>
        <w:t xml:space="preserve">” </w:t>
      </w:r>
      <w:hyperlink r:id="rId164" w:history="1">
        <w:r w:rsidRPr="00633022">
          <w:rPr>
            <w:rStyle w:val="Hyperlink"/>
            <w:rFonts w:ascii="Times New Roman" w:eastAsia="Times New Roman" w:hAnsi="Times New Roman"/>
            <w:sz w:val="24"/>
            <w:szCs w:val="24"/>
          </w:rPr>
          <w:t>https://public.fastcase.com/ZZhmr5v9wN%2FXOe5IsQ%2FqD2fzv3LeHoflue5q9psYL7ORT%2BZZIoU2RVo8o6kc8WH7t7R2fWOBL%2B6EWJeWP%2BK6nygdTJbos59lEHeljv9w%2F%2Bc%3D?utm_medium=email&amp;_hsmi=226712652&amp;_hsenc=p2ANqtz-9_BwSf3Cp56T9vKm_WV06wXpWhxnLFIP0rTKtRtiI7Ej-XlIsGIA-Piz3XwrAq08q95_o9LD6MRwwtLQfaW73VBnYSKQ&amp;utm_content=226712652&amp;utm_source=hs_email</w:t>
        </w:r>
      </w:hyperlink>
      <w:r>
        <w:rPr>
          <w:rFonts w:ascii="Times New Roman" w:eastAsia="Times New Roman" w:hAnsi="Times New Roman"/>
          <w:sz w:val="24"/>
          <w:szCs w:val="24"/>
        </w:rPr>
        <w:t xml:space="preserve"> </w:t>
      </w:r>
    </w:p>
    <w:p w14:paraId="3FAA3B60" w14:textId="77777777" w:rsidR="0056123D" w:rsidRPr="00844AE1" w:rsidRDefault="0056123D" w:rsidP="0056123D">
      <w:pPr>
        <w:pStyle w:val="NormalWeb"/>
        <w:rPr>
          <w:b/>
          <w:bCs/>
        </w:rPr>
      </w:pPr>
      <w:r w:rsidRPr="00844AE1">
        <w:rPr>
          <w:b/>
          <w:bCs/>
        </w:rPr>
        <w:t xml:space="preserve">Legal Lesson Learned: </w:t>
      </w:r>
      <w:r>
        <w:rPr>
          <w:b/>
          <w:bCs/>
        </w:rPr>
        <w:t xml:space="preserve">Prior incident of starting fire in forest area showed he again acted willfully and recklessly. </w:t>
      </w:r>
    </w:p>
    <w:p w14:paraId="1A031D67" w14:textId="77777777" w:rsidR="0056123D" w:rsidRDefault="0056123D" w:rsidP="00F326E5">
      <w:pPr>
        <w:pStyle w:val="NoSpacing"/>
        <w:rPr>
          <w:rFonts w:ascii="Arial Black" w:hAnsi="Arial Black"/>
          <w:sz w:val="24"/>
          <w:szCs w:val="24"/>
        </w:rPr>
      </w:pPr>
    </w:p>
    <w:p w14:paraId="1277DD22" w14:textId="77777777" w:rsidR="0056123D" w:rsidRDefault="0056123D" w:rsidP="00F326E5">
      <w:pPr>
        <w:pStyle w:val="NoSpacing"/>
        <w:rPr>
          <w:rFonts w:ascii="Arial Black" w:hAnsi="Arial Black"/>
          <w:sz w:val="24"/>
          <w:szCs w:val="24"/>
        </w:rPr>
      </w:pPr>
    </w:p>
    <w:p w14:paraId="5FB118E9" w14:textId="77777777" w:rsidR="0056123D" w:rsidRDefault="0056123D" w:rsidP="00F326E5">
      <w:pPr>
        <w:pStyle w:val="NoSpacing"/>
        <w:rPr>
          <w:rFonts w:ascii="Arial Black" w:hAnsi="Arial Black"/>
          <w:sz w:val="24"/>
          <w:szCs w:val="24"/>
        </w:rPr>
      </w:pPr>
    </w:p>
    <w:p w14:paraId="5110CEAF" w14:textId="33410031" w:rsidR="009B0593" w:rsidRDefault="009B0593" w:rsidP="00F326E5">
      <w:pPr>
        <w:pStyle w:val="NoSpacing"/>
        <w:rPr>
          <w:rFonts w:ascii="Arial Black" w:hAnsi="Arial Black"/>
          <w:sz w:val="24"/>
          <w:szCs w:val="24"/>
        </w:rPr>
      </w:pPr>
      <w:r>
        <w:rPr>
          <w:rFonts w:ascii="Arial Black" w:hAnsi="Arial Black"/>
          <w:sz w:val="24"/>
          <w:szCs w:val="24"/>
        </w:rPr>
        <w:t>1-132</w:t>
      </w:r>
    </w:p>
    <w:p w14:paraId="67044F15" w14:textId="77777777" w:rsidR="009B0593" w:rsidRPr="002D0A5E" w:rsidRDefault="009B0593" w:rsidP="009B0593">
      <w:pPr>
        <w:pStyle w:val="NormalWeb"/>
        <w:rPr>
          <w:rFonts w:ascii="Arial Black" w:hAnsi="Arial Black"/>
          <w:b/>
          <w:bCs/>
          <w:sz w:val="28"/>
          <w:szCs w:val="28"/>
        </w:rPr>
      </w:pPr>
      <w:r>
        <w:rPr>
          <w:rFonts w:ascii="Arial Black" w:hAnsi="Arial Black"/>
          <w:b/>
          <w:bCs/>
          <w:sz w:val="28"/>
          <w:szCs w:val="28"/>
        </w:rPr>
        <w:t>AR: HOMELESS MAN CONV. – CAMPFIRE BURNED HALF ACRE - RANGER TESTIFY ORIGIN &amp; CAUSE - LAY WITNESS</w:t>
      </w:r>
    </w:p>
    <w:p w14:paraId="2B5ACA72" w14:textId="77777777" w:rsidR="009B0593" w:rsidRPr="00FB2002" w:rsidRDefault="009B0593" w:rsidP="009B0593">
      <w:pPr>
        <w:pStyle w:val="NormalWeb"/>
      </w:pPr>
      <w:r w:rsidRPr="00FB2002">
        <w:t xml:space="preserve">On Aug. 21, 2023, in </w:t>
      </w:r>
      <w:r w:rsidRPr="00FB2002">
        <w:rPr>
          <w:u w:val="single"/>
        </w:rPr>
        <w:t>United States of America v. Joseph Ronnie Weathington</w:t>
      </w:r>
      <w:r w:rsidRPr="00FB2002">
        <w:t>, Unites States District Court for District of Arizona, U.S. Magistrate Judge Camille D. Bibles, after a two-day bench trial [no jury] found the defendant guilty of not extinguishing his campfire, that led to the “Schoolhouse” wildland fire on July 4, 2022 in Coconino National Forest.  Prior to trial, defense counsel objected to the testimony of Fire Protection Specialist Andrew Hostad because the government didn’t identify or qualify him as an expert witness. The Magistrate held the Fire Protection Specialist, with 13 years’ experience, may testify about cause and origin as a lay witness under Rule 701, Opinion Testimony by Lay Witnesses, based on his observations at wildland fire.</w:t>
      </w:r>
    </w:p>
    <w:p w14:paraId="55154DE1" w14:textId="77777777" w:rsidR="009B0593" w:rsidRPr="00677985" w:rsidRDefault="009B0593" w:rsidP="009B0593">
      <w:pPr>
        <w:pStyle w:val="NormalWeb"/>
        <w:ind w:left="720"/>
      </w:pPr>
      <w:r>
        <w:t xml:space="preserve">“T]he </w:t>
      </w:r>
      <w:r w:rsidRPr="00677985">
        <w:t xml:space="preserve">Court concluded </w:t>
      </w:r>
      <w:proofErr w:type="spellStart"/>
      <w:r w:rsidRPr="00677985">
        <w:t>Hostad's</w:t>
      </w:r>
      <w:proofErr w:type="spellEnd"/>
      <w:r w:rsidRPr="00677985">
        <w:t xml:space="preserve"> testimony was admissible under Rule 701, provided a proper foundation for the testimony was established. The Court qualified this ruling with the provision that </w:t>
      </w:r>
      <w:proofErr w:type="spellStart"/>
      <w:r w:rsidRPr="00677985">
        <w:t>Hostad</w:t>
      </w:r>
      <w:proofErr w:type="spellEnd"/>
      <w:r w:rsidRPr="00677985">
        <w:t xml:space="preserve"> could not </w:t>
      </w:r>
      <w:proofErr w:type="gramStart"/>
      <w:r w:rsidRPr="00677985">
        <w:t>opine regarding</w:t>
      </w:r>
      <w:proofErr w:type="gramEnd"/>
      <w:r w:rsidRPr="00677985">
        <w:t xml:space="preserve"> the fire's origin or source based on speculation, hearsay, or redefining the obvious. The Court also concluded </w:t>
      </w:r>
      <w:proofErr w:type="spellStart"/>
      <w:r w:rsidRPr="00677985">
        <w:t>Hostad's</w:t>
      </w:r>
      <w:proofErr w:type="spellEnd"/>
      <w:r w:rsidRPr="00677985">
        <w:t xml:space="preserve"> testimony related to </w:t>
      </w:r>
      <w:proofErr w:type="gramStart"/>
      <w:r w:rsidRPr="00677985">
        <w:t>personally-observed</w:t>
      </w:r>
      <w:proofErr w:type="gramEnd"/>
      <w:r w:rsidRPr="00677985">
        <w:t xml:space="preserve"> facts and was not intended solely to implicate Defendant. Additionally, the Court determined </w:t>
      </w:r>
      <w:proofErr w:type="spellStart"/>
      <w:r w:rsidRPr="00677985">
        <w:t>Hostad's</w:t>
      </w:r>
      <w:proofErr w:type="spellEnd"/>
      <w:r w:rsidRPr="00677985">
        <w:t xml:space="preserve"> testimony was credible and reliable.</w:t>
      </w:r>
      <w:r>
        <w:t xml:space="preserve">” </w:t>
      </w:r>
      <w:hyperlink r:id="rId165" w:history="1">
        <w:r w:rsidRPr="00155841">
          <w:rPr>
            <w:rStyle w:val="Hyperlink"/>
            <w:rFonts w:eastAsiaTheme="majorEastAsia"/>
          </w:rPr>
          <w:t>https://casetext.com/case/united-states-v-weathington-3</w:t>
        </w:r>
      </w:hyperlink>
      <w:r>
        <w:t xml:space="preserve"> </w:t>
      </w:r>
    </w:p>
    <w:p w14:paraId="51F370F8" w14:textId="77777777" w:rsidR="009B0593" w:rsidRDefault="009B0593" w:rsidP="009B0593">
      <w:pPr>
        <w:pStyle w:val="NormalWeb"/>
        <w:rPr>
          <w:b/>
          <w:bCs/>
        </w:rPr>
      </w:pPr>
      <w:r>
        <w:rPr>
          <w:b/>
          <w:bCs/>
        </w:rPr>
        <w:t xml:space="preserve">Legal Lesson Learned: Fire investigators may offer their opinion on origin and cause based on their observations at the scene, as lay witness under Rule 70. </w:t>
      </w:r>
    </w:p>
    <w:p w14:paraId="0341B7C2" w14:textId="77777777" w:rsidR="009B0593" w:rsidRDefault="009B0593" w:rsidP="009B0593">
      <w:pPr>
        <w:pStyle w:val="Heading1"/>
        <w:ind w:firstLine="720"/>
        <w:rPr>
          <w:b w:val="0"/>
          <w:bCs w:val="0"/>
          <w:sz w:val="24"/>
          <w:szCs w:val="24"/>
        </w:rPr>
      </w:pPr>
      <w:r>
        <w:rPr>
          <w:b w:val="0"/>
          <w:bCs w:val="0"/>
          <w:sz w:val="24"/>
          <w:szCs w:val="24"/>
        </w:rPr>
        <w:t xml:space="preserve">Note:  </w:t>
      </w:r>
    </w:p>
    <w:p w14:paraId="0B3342E7" w14:textId="77777777" w:rsidR="009B0593" w:rsidRPr="00944FCC" w:rsidRDefault="009B0593" w:rsidP="009B0593">
      <w:pPr>
        <w:pStyle w:val="Heading1"/>
        <w:ind w:left="720"/>
        <w:rPr>
          <w:b w:val="0"/>
          <w:bCs w:val="0"/>
          <w:sz w:val="24"/>
          <w:szCs w:val="24"/>
        </w:rPr>
      </w:pPr>
      <w:r w:rsidRPr="0064709E">
        <w:rPr>
          <w:sz w:val="24"/>
          <w:szCs w:val="24"/>
        </w:rPr>
        <w:t>Rule 701. Opinion Testimony by Lay Witnesses</w:t>
      </w:r>
      <w:r>
        <w:rPr>
          <w:sz w:val="24"/>
          <w:szCs w:val="24"/>
        </w:rPr>
        <w:t xml:space="preserve">; </w:t>
      </w:r>
      <w:hyperlink r:id="rId166" w:history="1">
        <w:r w:rsidRPr="00BB1A19">
          <w:rPr>
            <w:rStyle w:val="Hyperlink"/>
            <w:rFonts w:eastAsiaTheme="majorEastAsia"/>
            <w:b w:val="0"/>
            <w:bCs w:val="0"/>
            <w:sz w:val="24"/>
            <w:szCs w:val="24"/>
          </w:rPr>
          <w:t>https://www.law.cornell.edu/rules/fre/rule_701</w:t>
        </w:r>
      </w:hyperlink>
      <w:r>
        <w:rPr>
          <w:b w:val="0"/>
          <w:bCs w:val="0"/>
          <w:sz w:val="24"/>
          <w:szCs w:val="24"/>
        </w:rPr>
        <w:t xml:space="preserve"> </w:t>
      </w:r>
    </w:p>
    <w:p w14:paraId="489A5EF4" w14:textId="77777777" w:rsidR="009B0593" w:rsidRDefault="009B0593" w:rsidP="009B0593">
      <w:pPr>
        <w:pStyle w:val="statutory-body"/>
        <w:ind w:left="720"/>
      </w:pPr>
      <w:r w:rsidRPr="00944FCC">
        <w:t>If a witness is not testifying as an expert, testimony in the form of an opinion is limited to one that is:</w:t>
      </w:r>
      <w:r>
        <w:t xml:space="preserve"> </w:t>
      </w:r>
      <w:r w:rsidRPr="00944FCC">
        <w:rPr>
          <w:rStyle w:val="Strong"/>
          <w:rFonts w:eastAsiaTheme="majorEastAsia"/>
        </w:rPr>
        <w:t>(a)</w:t>
      </w:r>
      <w:r w:rsidRPr="00944FCC">
        <w:t xml:space="preserve"> rationally based on the witness’s perception;</w:t>
      </w:r>
      <w:r>
        <w:t xml:space="preserve"> </w:t>
      </w:r>
      <w:r w:rsidRPr="00944FCC">
        <w:rPr>
          <w:rStyle w:val="Strong"/>
          <w:rFonts w:eastAsiaTheme="majorEastAsia"/>
        </w:rPr>
        <w:t>(b)</w:t>
      </w:r>
      <w:r w:rsidRPr="00944FCC">
        <w:t xml:space="preserve"> helpful to clearly understanding the witness’s testimony or to determining a fact in issue; and</w:t>
      </w:r>
      <w:r>
        <w:t xml:space="preserve"> </w:t>
      </w:r>
      <w:r w:rsidRPr="00944FCC">
        <w:rPr>
          <w:rStyle w:val="Strong"/>
          <w:rFonts w:eastAsiaTheme="majorEastAsia"/>
        </w:rPr>
        <w:t>(c)</w:t>
      </w:r>
      <w:r w:rsidRPr="00944FCC">
        <w:t xml:space="preserve"> not based on scientific, technical, or other specialized knowledge within the scope of </w:t>
      </w:r>
      <w:hyperlink r:id="rId167" w:history="1">
        <w:r w:rsidRPr="00944FCC">
          <w:rPr>
            <w:rStyle w:val="Hyperlink"/>
            <w:rFonts w:eastAsiaTheme="majorEastAsia"/>
          </w:rPr>
          <w:t>Rule 702</w:t>
        </w:r>
      </w:hyperlink>
      <w:r>
        <w:t>.</w:t>
      </w:r>
    </w:p>
    <w:p w14:paraId="6539889A" w14:textId="77777777" w:rsidR="009B0593" w:rsidRPr="0064709E" w:rsidRDefault="009B0593" w:rsidP="009B0593">
      <w:pPr>
        <w:pStyle w:val="Heading1"/>
        <w:ind w:left="720"/>
        <w:rPr>
          <w:sz w:val="24"/>
          <w:szCs w:val="24"/>
        </w:rPr>
      </w:pPr>
      <w:r w:rsidRPr="0064709E">
        <w:rPr>
          <w:sz w:val="24"/>
          <w:szCs w:val="24"/>
        </w:rPr>
        <w:t>Rule 702. Testimony by Expert Witnesses</w:t>
      </w:r>
      <w:r>
        <w:rPr>
          <w:sz w:val="24"/>
          <w:szCs w:val="24"/>
        </w:rPr>
        <w:t>;</w:t>
      </w:r>
      <w:r w:rsidRPr="0064709E">
        <w:t xml:space="preserve"> </w:t>
      </w:r>
      <w:hyperlink r:id="rId168" w:history="1">
        <w:r w:rsidRPr="0064709E">
          <w:rPr>
            <w:rStyle w:val="Hyperlink"/>
            <w:rFonts w:eastAsiaTheme="majorEastAsia"/>
            <w:b w:val="0"/>
            <w:bCs w:val="0"/>
            <w:sz w:val="24"/>
            <w:szCs w:val="24"/>
          </w:rPr>
          <w:t>https://www.law.cornell.edu/rules/fre/rule_702</w:t>
        </w:r>
      </w:hyperlink>
      <w:r w:rsidRPr="0064709E">
        <w:rPr>
          <w:b w:val="0"/>
          <w:bCs w:val="0"/>
          <w:sz w:val="24"/>
          <w:szCs w:val="24"/>
        </w:rPr>
        <w:t xml:space="preserve"> </w:t>
      </w:r>
    </w:p>
    <w:p w14:paraId="6B3A61EC" w14:textId="77777777" w:rsidR="009B0593" w:rsidRPr="0064709E" w:rsidRDefault="009B0593" w:rsidP="009B0593">
      <w:pPr>
        <w:pStyle w:val="statutory-body"/>
        <w:ind w:left="720"/>
      </w:pPr>
      <w:r w:rsidRPr="0064709E">
        <w:t xml:space="preserve">A witness who is qualified as an expert by knowledge, skill, experience, training, or education may testify in the form of an opinion or otherwise if: </w:t>
      </w:r>
      <w:r w:rsidRPr="0064709E">
        <w:rPr>
          <w:rStyle w:val="Strong"/>
          <w:rFonts w:eastAsiaTheme="majorEastAsia"/>
        </w:rPr>
        <w:t>(a)</w:t>
      </w:r>
      <w:r w:rsidRPr="0064709E">
        <w:t xml:space="preserve"> the expert’s scientific, technical, or other specialized knowledge will help the trier of fact to understand the evidence or to determine a fact in issue; </w:t>
      </w:r>
      <w:r w:rsidRPr="0064709E">
        <w:rPr>
          <w:rStyle w:val="Strong"/>
          <w:rFonts w:eastAsiaTheme="majorEastAsia"/>
        </w:rPr>
        <w:t>(b)</w:t>
      </w:r>
      <w:r w:rsidRPr="0064709E">
        <w:t xml:space="preserve"> the testimony is based on sufficient facts or data; </w:t>
      </w:r>
      <w:r w:rsidRPr="0064709E">
        <w:rPr>
          <w:rStyle w:val="Strong"/>
          <w:rFonts w:eastAsiaTheme="majorEastAsia"/>
        </w:rPr>
        <w:t>(c)</w:t>
      </w:r>
      <w:r w:rsidRPr="0064709E">
        <w:t xml:space="preserve"> the testimony is the product of reliable principles and methods; and </w:t>
      </w:r>
      <w:r w:rsidRPr="0064709E">
        <w:rPr>
          <w:rStyle w:val="Strong"/>
          <w:rFonts w:eastAsiaTheme="majorEastAsia"/>
        </w:rPr>
        <w:t>(d)</w:t>
      </w:r>
      <w:r w:rsidRPr="0064709E">
        <w:t xml:space="preserve"> the expert has reliably applied the principles and methods to the facts of the case.</w:t>
      </w:r>
    </w:p>
    <w:p w14:paraId="66D07ACF" w14:textId="77777777" w:rsidR="009B0593" w:rsidRDefault="009B0593" w:rsidP="00F326E5">
      <w:pPr>
        <w:pStyle w:val="NoSpacing"/>
        <w:rPr>
          <w:rFonts w:ascii="Arial Black" w:hAnsi="Arial Black"/>
          <w:sz w:val="24"/>
          <w:szCs w:val="24"/>
        </w:rPr>
      </w:pPr>
    </w:p>
    <w:p w14:paraId="0825B9A1" w14:textId="77777777" w:rsidR="009B0593" w:rsidRDefault="009B0593" w:rsidP="00F326E5">
      <w:pPr>
        <w:pStyle w:val="NoSpacing"/>
        <w:rPr>
          <w:rFonts w:ascii="Arial Black" w:hAnsi="Arial Black"/>
          <w:sz w:val="24"/>
          <w:szCs w:val="24"/>
        </w:rPr>
      </w:pPr>
    </w:p>
    <w:p w14:paraId="33D00C26" w14:textId="77777777" w:rsidR="009B0593" w:rsidRDefault="009B0593" w:rsidP="00F326E5">
      <w:pPr>
        <w:pStyle w:val="NoSpacing"/>
        <w:rPr>
          <w:rFonts w:ascii="Arial Black" w:hAnsi="Arial Black"/>
          <w:sz w:val="24"/>
          <w:szCs w:val="24"/>
        </w:rPr>
      </w:pPr>
    </w:p>
    <w:p w14:paraId="758C51B0" w14:textId="2A4F006D" w:rsidR="00411936" w:rsidRDefault="00411936" w:rsidP="00F326E5">
      <w:pPr>
        <w:pStyle w:val="NoSpacing"/>
        <w:rPr>
          <w:rFonts w:ascii="Arial Black" w:hAnsi="Arial Black"/>
          <w:sz w:val="24"/>
          <w:szCs w:val="24"/>
        </w:rPr>
      </w:pPr>
      <w:r>
        <w:rPr>
          <w:rFonts w:ascii="Arial Black" w:hAnsi="Arial Black"/>
          <w:sz w:val="24"/>
          <w:szCs w:val="24"/>
        </w:rPr>
        <w:t>1-131</w:t>
      </w:r>
    </w:p>
    <w:p w14:paraId="5DE6D9A7" w14:textId="77777777" w:rsidR="00411936" w:rsidRPr="00C13763" w:rsidRDefault="00411936" w:rsidP="00411936">
      <w:pPr>
        <w:pStyle w:val="NormalWeb"/>
        <w:rPr>
          <w:rFonts w:ascii="Arial Black" w:hAnsi="Arial Black"/>
          <w:sz w:val="28"/>
          <w:szCs w:val="28"/>
        </w:rPr>
      </w:pPr>
      <w:r>
        <w:rPr>
          <w:rFonts w:ascii="Arial Black" w:hAnsi="Arial Black"/>
          <w:sz w:val="28"/>
          <w:szCs w:val="28"/>
        </w:rPr>
        <w:t>CA: BURN BARRELL WAS WASHING MACHINE CYLINDER – REFUSED PUT OUT - $500 FINE UPHELD – PHOTOS HELPFUL</w:t>
      </w:r>
    </w:p>
    <w:p w14:paraId="7C38B8CD" w14:textId="77777777" w:rsidR="00411936" w:rsidRDefault="00411936" w:rsidP="00411936">
      <w:pPr>
        <w:pStyle w:val="NormalWeb"/>
      </w:pPr>
      <w:r>
        <w:t xml:space="preserve">On July 21, 2023, in </w:t>
      </w:r>
      <w:r w:rsidRPr="00C13763">
        <w:rPr>
          <w:u w:val="single"/>
        </w:rPr>
        <w:t>Chuck Dunn v. Kern County, et al.</w:t>
      </w:r>
      <w:r>
        <w:t xml:space="preserve">, the California Court of Appeals, Fifth District, held (3 to 0, unpublished opinion) held that the citation was proper.  Mr. Dunn refused on June 5, </w:t>
      </w:r>
      <w:proofErr w:type="gramStart"/>
      <w:r>
        <w:t>2017</w:t>
      </w:r>
      <w:proofErr w:type="gramEnd"/>
      <w:r>
        <w:t xml:space="preserve"> to put out the fire, in a washing machine cylinder, flames two to four feet above the cylinder, and it was in an area of California where there had recently been a devastating </w:t>
      </w:r>
      <w:proofErr w:type="gramStart"/>
      <w:r>
        <w:t>wildland fire</w:t>
      </w:r>
      <w:proofErr w:type="gramEnd"/>
      <w:r>
        <w:t xml:space="preserve">. He was not using the fire to cook food. Photos taken at the scene were reviewed in hearing before a Fire Captain, and then on appeal to Kern County Board of Supervisors on Dec. 5, 2017, and on appeal before Kern County Superior Court judge on February 15, 2022. </w:t>
      </w:r>
    </w:p>
    <w:p w14:paraId="27168836" w14:textId="77777777" w:rsidR="00411936" w:rsidRDefault="00411936" w:rsidP="00411936">
      <w:pPr>
        <w:pStyle w:val="NormalWeb"/>
      </w:pPr>
      <w:r>
        <w:t>The Court held:</w:t>
      </w:r>
    </w:p>
    <w:p w14:paraId="765960E3" w14:textId="26743D49" w:rsidR="00411936" w:rsidRPr="007035CA" w:rsidRDefault="00411936" w:rsidP="00411936">
      <w:pPr>
        <w:pStyle w:val="NoSpacing"/>
        <w:rPr>
          <w:rFonts w:ascii="Times New Roman" w:hAnsi="Times New Roman"/>
          <w:sz w:val="24"/>
          <w:szCs w:val="24"/>
        </w:rPr>
      </w:pPr>
      <w:r w:rsidRPr="007035CA">
        <w:rPr>
          <w:rFonts w:ascii="Times New Roman" w:hAnsi="Times New Roman"/>
          <w:sz w:val="24"/>
          <w:szCs w:val="24"/>
        </w:rPr>
        <w:t xml:space="preserve">“Clearly, the fire prevention officials were especially concerned because an apparently devastating fire had damaged the region in the recent past. Notwithstanding the factual disputes present in this case and recognizing firepits and outdoor barbecues are in common use, the concerns of the authorities regarding what they regarded as unsafe burning based on </w:t>
      </w:r>
      <w:proofErr w:type="gramStart"/>
      <w:r w:rsidRPr="007035CA">
        <w:rPr>
          <w:rFonts w:ascii="Times New Roman" w:hAnsi="Times New Roman"/>
          <w:sz w:val="24"/>
          <w:szCs w:val="24"/>
        </w:rPr>
        <w:t>particular conditions</w:t>
      </w:r>
      <w:proofErr w:type="gramEnd"/>
      <w:r w:rsidRPr="007035CA">
        <w:rPr>
          <w:rFonts w:ascii="Times New Roman" w:hAnsi="Times New Roman"/>
          <w:sz w:val="24"/>
          <w:szCs w:val="24"/>
        </w:rPr>
        <w:t xml:space="preserve"> are significant. The fact that </w:t>
      </w:r>
      <w:proofErr w:type="gramStart"/>
      <w:r w:rsidRPr="007035CA">
        <w:rPr>
          <w:rFonts w:ascii="Times New Roman" w:hAnsi="Times New Roman"/>
          <w:sz w:val="24"/>
          <w:szCs w:val="24"/>
        </w:rPr>
        <w:t>petitioner</w:t>
      </w:r>
      <w:proofErr w:type="gramEnd"/>
      <w:r w:rsidRPr="007035CA">
        <w:rPr>
          <w:rFonts w:ascii="Times New Roman" w:hAnsi="Times New Roman"/>
          <w:sz w:val="24"/>
          <w:szCs w:val="24"/>
        </w:rPr>
        <w:t xml:space="preserve"> refused requests to extinguish what officials regarded as an unsafe fire cannot be ignored. Taking all of this into consideration and following the dictates of the law that require courts review administrative decisions with deference, we conclude there was sufficient evidence to justify the citation. </w:t>
      </w:r>
      <w:proofErr w:type="gramStart"/>
      <w:r w:rsidRPr="007035CA">
        <w:rPr>
          <w:rFonts w:ascii="Times New Roman" w:hAnsi="Times New Roman"/>
          <w:sz w:val="24"/>
          <w:szCs w:val="24"/>
        </w:rPr>
        <w:t>For the reasons that</w:t>
      </w:r>
      <w:proofErr w:type="gramEnd"/>
      <w:r w:rsidRPr="007035CA">
        <w:rPr>
          <w:rFonts w:ascii="Times New Roman" w:hAnsi="Times New Roman"/>
          <w:sz w:val="24"/>
          <w:szCs w:val="24"/>
        </w:rPr>
        <w:t xml:space="preserve"> follow, we affirm the trial court's judgment.” </w:t>
      </w:r>
      <w:hyperlink r:id="rId169" w:history="1">
        <w:r w:rsidRPr="007035CA">
          <w:rPr>
            <w:rStyle w:val="Hyperlink"/>
            <w:rFonts w:ascii="Times New Roman" w:eastAsiaTheme="majorEastAsia" w:hAnsi="Times New Roman"/>
            <w:sz w:val="24"/>
            <w:szCs w:val="24"/>
          </w:rPr>
          <w:t>https://public.fastcase.com/ZZhmr5v9wN%2FXOe5IsQ%2FqD3QWuMgnFl%2B3o%2F4uUFiu6RUK1p7KFM%2BXOmaedKhzNCbabAKegQ7cA7QRQh6Aya7idRlRF78qeqCUoqW17wj1IUw%3D?utm_medium=email&amp;_hsmi=226712652&amp;_hsenc=p2ANqtz-87CRXhJMi7biUmbeSml1AgtAY_NVYdYjA00lD_OXsZo9fEN5Imr0EyPY0zfsM2_JyagzI4vAzpnYyJYIEoZ9qDDKxGPw&amp;utm_content=226712652&amp;utm_source=hs_email</w:t>
        </w:r>
      </w:hyperlink>
    </w:p>
    <w:p w14:paraId="236A8650" w14:textId="77777777" w:rsidR="00411936" w:rsidRDefault="00411936" w:rsidP="00F326E5">
      <w:pPr>
        <w:pStyle w:val="NoSpacing"/>
        <w:rPr>
          <w:rFonts w:ascii="Arial Black" w:hAnsi="Arial Black"/>
          <w:sz w:val="24"/>
          <w:szCs w:val="24"/>
        </w:rPr>
      </w:pPr>
    </w:p>
    <w:p w14:paraId="057AD691" w14:textId="77777777" w:rsidR="00411936" w:rsidRPr="00DD4297" w:rsidRDefault="00411936" w:rsidP="00411936">
      <w:pPr>
        <w:pStyle w:val="NormalWeb"/>
        <w:rPr>
          <w:b/>
          <w:bCs/>
        </w:rPr>
      </w:pPr>
      <w:r w:rsidRPr="00DD4297">
        <w:rPr>
          <w:b/>
          <w:bCs/>
        </w:rPr>
        <w:t xml:space="preserve">Legal Lesson Learned: </w:t>
      </w:r>
      <w:r>
        <w:rPr>
          <w:b/>
          <w:bCs/>
        </w:rPr>
        <w:t xml:space="preserve"> The photographs taken by firefighters supported the citation; Courts review administrative decisions with deference.  </w:t>
      </w:r>
    </w:p>
    <w:p w14:paraId="0BA23C1C" w14:textId="77777777" w:rsidR="00411936" w:rsidRDefault="00411936" w:rsidP="00F326E5">
      <w:pPr>
        <w:pStyle w:val="NoSpacing"/>
        <w:rPr>
          <w:rFonts w:ascii="Arial Black" w:hAnsi="Arial Black"/>
          <w:sz w:val="24"/>
          <w:szCs w:val="24"/>
        </w:rPr>
      </w:pPr>
    </w:p>
    <w:p w14:paraId="4E4B78A6" w14:textId="48AF6428" w:rsidR="00411936" w:rsidRDefault="00411936" w:rsidP="00F326E5">
      <w:pPr>
        <w:pStyle w:val="NoSpacing"/>
        <w:rPr>
          <w:rFonts w:ascii="Arial Black" w:hAnsi="Arial Black"/>
          <w:sz w:val="24"/>
          <w:szCs w:val="24"/>
        </w:rPr>
      </w:pPr>
      <w:r>
        <w:rPr>
          <w:rFonts w:ascii="Arial Black" w:hAnsi="Arial Black"/>
          <w:sz w:val="24"/>
          <w:szCs w:val="24"/>
        </w:rPr>
        <w:t>1-130</w:t>
      </w:r>
    </w:p>
    <w:p w14:paraId="7787A714" w14:textId="77777777" w:rsidR="00411936" w:rsidRPr="00487508" w:rsidRDefault="00411936" w:rsidP="00411936">
      <w:pPr>
        <w:pStyle w:val="NormalWeb"/>
        <w:rPr>
          <w:rFonts w:ascii="Arial Black" w:hAnsi="Arial Black"/>
          <w:sz w:val="28"/>
          <w:szCs w:val="28"/>
        </w:rPr>
      </w:pPr>
      <w:r>
        <w:rPr>
          <w:rFonts w:ascii="Arial Black" w:hAnsi="Arial Black"/>
          <w:sz w:val="28"/>
          <w:szCs w:val="28"/>
        </w:rPr>
        <w:t>NC: BURNING BRUSH – NAT. FOREST 70 ACRE FIRE – NEW TRIAL - MAY TELL JURY THOUGHT WAS ON FAMILY LAND</w:t>
      </w:r>
    </w:p>
    <w:p w14:paraId="2A219869" w14:textId="4D41D0FF" w:rsidR="00411936" w:rsidRDefault="00411936" w:rsidP="00411936">
      <w:pPr>
        <w:pStyle w:val="NormalWeb"/>
      </w:pPr>
      <w:r>
        <w:t xml:space="preserve">On July 15, 2023, in </w:t>
      </w:r>
      <w:r w:rsidRPr="004E7A09">
        <w:rPr>
          <w:u w:val="single"/>
        </w:rPr>
        <w:t>United States of America v. Casey Lee Evans, a/k/a James Casey Lee Evans</w:t>
      </w:r>
      <w:r>
        <w:t>, the 4</w:t>
      </w:r>
      <w:r w:rsidRPr="004E7A09">
        <w:rPr>
          <w:vertAlign w:val="superscript"/>
        </w:rPr>
        <w:t>th</w:t>
      </w:r>
      <w:r>
        <w:t xml:space="preserve"> Circuit Court of Appeals (Richmond, VA) held (3 to 0) that trial judge improperly excluded the defendant’s </w:t>
      </w:r>
      <w:r w:rsidR="00352DD8">
        <w:t xml:space="preserve">proffered </w:t>
      </w:r>
      <w:r>
        <w:t xml:space="preserve">testimony that he thought he was burning brush on April 3, 2020 on his family property.  The jury might have therefore found him not guilty since under federal statute the Government must prove he acted “willfully.” He was sentenced in 2022 to “time served” in federal custody, plus </w:t>
      </w:r>
      <w:r w:rsidRPr="00147114">
        <w:t>two years of supervised release</w:t>
      </w:r>
      <w:r>
        <w:t xml:space="preserve">. The conviction is reversed, and he is now entitled to a new trial. </w:t>
      </w:r>
    </w:p>
    <w:p w14:paraId="65E0CE95" w14:textId="77777777" w:rsidR="00411936" w:rsidRDefault="00411936" w:rsidP="00411936">
      <w:pPr>
        <w:pStyle w:val="NormalWeb"/>
      </w:pPr>
      <w:r>
        <w:t xml:space="preserve">The Court held: </w:t>
      </w:r>
    </w:p>
    <w:p w14:paraId="7C620D2E" w14:textId="77777777" w:rsidR="00411936" w:rsidRDefault="00411936" w:rsidP="00411936">
      <w:pPr>
        <w:pStyle w:val="NormalWeb"/>
        <w:tabs>
          <w:tab w:val="left" w:pos="1980"/>
        </w:tabs>
      </w:pPr>
      <w:r>
        <w:t>“To summarize, the Government does not have to prove that the defendant knew he was on federal land or intended to burn federal land to obtain a conviction under 18 U.S.C. § 1855. But the Government does have to prove that the defendant acted willfully, and a defendant may attempt to demonstrate an honest mistake of fact to negate the Government's proof on that score. *** Accordingly, we conclude that the district court made an error of law when it excluded Evans's proffered testimony on the ground that his ‘subjective belief’ about whether he was on his family's property when he set the fire was inadmissible for any purpose ‘because it's not relevant to the issues in this case.’ *** On this record, we cannot say the error was harmless. The excluded testimony was Evans's primary defense. If credited by the jury, the testimony would have squarely raised the issue of whether he made a factual mistake sufficient to cast a reasonable doubt on the willfulness of his actions in setting the fire. The jury, not this Court, must assess the credibility of the proffered testimony and weigh it against the Government's evidence to make that judgment…</w:t>
      </w:r>
      <w:r>
        <w:rPr>
          <w:vertAlign w:val="superscript"/>
        </w:rPr>
        <w:t xml:space="preserve">. </w:t>
      </w:r>
      <w:r>
        <w:t xml:space="preserve">For these reasons, we vacate Evans's conviction under 18 U.S.C. § 1855. We remand the case to the district court for further proceedings consistent with this opinion.” </w:t>
      </w:r>
      <w:hyperlink r:id="rId170" w:history="1">
        <w:r w:rsidRPr="00024274">
          <w:rPr>
            <w:rStyle w:val="Hyperlink"/>
            <w:rFonts w:eastAsiaTheme="majorEastAsia"/>
          </w:rPr>
          <w:t>https://www.ca4.uscourts.gov/opinions/224307.P.pdf</w:t>
        </w:r>
      </w:hyperlink>
      <w:r>
        <w:t xml:space="preserve"> </w:t>
      </w:r>
    </w:p>
    <w:p w14:paraId="282BA835" w14:textId="77777777" w:rsidR="00411936" w:rsidRPr="002506DD" w:rsidRDefault="00411936" w:rsidP="00411936">
      <w:pPr>
        <w:pStyle w:val="NormalWeb"/>
        <w:rPr>
          <w:b/>
          <w:bCs/>
        </w:rPr>
      </w:pPr>
      <w:r w:rsidRPr="002506DD">
        <w:rPr>
          <w:b/>
          <w:bCs/>
        </w:rPr>
        <w:t xml:space="preserve">Legal Lesson Learned: </w:t>
      </w:r>
      <w:r>
        <w:rPr>
          <w:b/>
          <w:bCs/>
        </w:rPr>
        <w:t xml:space="preserve">Defendant was entitled to tell jury he believed he was burning brush pile on family land.  Anticipating such a defense, it is very helpful to prosecutors if fire investigators have tape record their interviews, with subject’s permission. </w:t>
      </w:r>
    </w:p>
    <w:p w14:paraId="2DE0C96E" w14:textId="77777777" w:rsidR="00411936" w:rsidRPr="00887D21" w:rsidRDefault="00411936" w:rsidP="00411936">
      <w:pPr>
        <w:pStyle w:val="Heading1"/>
        <w:ind w:left="720"/>
        <w:rPr>
          <w:b w:val="0"/>
          <w:bCs w:val="0"/>
          <w:sz w:val="24"/>
          <w:szCs w:val="24"/>
        </w:rPr>
      </w:pPr>
      <w:r w:rsidRPr="00887D21">
        <w:rPr>
          <w:b w:val="0"/>
          <w:bCs w:val="0"/>
          <w:sz w:val="24"/>
          <w:szCs w:val="24"/>
        </w:rPr>
        <w:t xml:space="preserve">Note: See July 25, </w:t>
      </w:r>
      <w:proofErr w:type="gramStart"/>
      <w:r w:rsidRPr="00887D21">
        <w:rPr>
          <w:b w:val="0"/>
          <w:bCs w:val="0"/>
          <w:sz w:val="24"/>
          <w:szCs w:val="24"/>
        </w:rPr>
        <w:t>2023</w:t>
      </w:r>
      <w:proofErr w:type="gramEnd"/>
      <w:r w:rsidRPr="00887D21">
        <w:rPr>
          <w:b w:val="0"/>
          <w:bCs w:val="0"/>
          <w:sz w:val="24"/>
          <w:szCs w:val="24"/>
        </w:rPr>
        <w:t xml:space="preserve"> article, “Federal Appeals Court throws out conviction for burning of federal </w:t>
      </w:r>
      <w:proofErr w:type="gramStart"/>
      <w:r w:rsidRPr="00887D21">
        <w:rPr>
          <w:b w:val="0"/>
          <w:bCs w:val="0"/>
          <w:sz w:val="24"/>
          <w:szCs w:val="24"/>
        </w:rPr>
        <w:t>Nantahala forest</w:t>
      </w:r>
      <w:proofErr w:type="gramEnd"/>
      <w:r w:rsidRPr="00887D21">
        <w:rPr>
          <w:b w:val="0"/>
          <w:bCs w:val="0"/>
          <w:sz w:val="24"/>
          <w:szCs w:val="24"/>
        </w:rPr>
        <w:t xml:space="preserve">.” </w:t>
      </w:r>
      <w:hyperlink r:id="rId171" w:history="1">
        <w:r w:rsidRPr="00887D21">
          <w:rPr>
            <w:rStyle w:val="Hyperlink"/>
            <w:rFonts w:eastAsiaTheme="majorEastAsia"/>
            <w:b w:val="0"/>
            <w:bCs w:val="0"/>
            <w:sz w:val="24"/>
            <w:szCs w:val="24"/>
          </w:rPr>
          <w:t>https://www.carolinajournal.com/federal-appeals-court-throws-out-conviction-for-burning-of-federal-nantahala-forest/</w:t>
        </w:r>
      </w:hyperlink>
      <w:r w:rsidRPr="00887D21">
        <w:rPr>
          <w:b w:val="0"/>
          <w:bCs w:val="0"/>
          <w:sz w:val="24"/>
          <w:szCs w:val="24"/>
        </w:rPr>
        <w:t xml:space="preserve">  </w:t>
      </w:r>
    </w:p>
    <w:p w14:paraId="239C4213" w14:textId="77777777" w:rsidR="00411936" w:rsidRPr="00140F65" w:rsidRDefault="00411936" w:rsidP="00411936">
      <w:pPr>
        <w:pStyle w:val="Heading1"/>
        <w:ind w:left="720"/>
        <w:rPr>
          <w:b w:val="0"/>
          <w:bCs w:val="0"/>
          <w:sz w:val="24"/>
          <w:szCs w:val="24"/>
        </w:rPr>
      </w:pPr>
      <w:r w:rsidRPr="00140F65">
        <w:rPr>
          <w:b w:val="0"/>
          <w:bCs w:val="0"/>
          <w:sz w:val="24"/>
          <w:szCs w:val="24"/>
        </w:rPr>
        <w:t xml:space="preserve">See Jan. 6, </w:t>
      </w:r>
      <w:proofErr w:type="gramStart"/>
      <w:r w:rsidRPr="00140F65">
        <w:rPr>
          <w:b w:val="0"/>
          <w:bCs w:val="0"/>
          <w:sz w:val="24"/>
          <w:szCs w:val="24"/>
        </w:rPr>
        <w:t>2022</w:t>
      </w:r>
      <w:proofErr w:type="gramEnd"/>
      <w:r w:rsidRPr="00140F65">
        <w:rPr>
          <w:b w:val="0"/>
          <w:bCs w:val="0"/>
          <w:sz w:val="24"/>
          <w:szCs w:val="24"/>
        </w:rPr>
        <w:t xml:space="preserve"> </w:t>
      </w:r>
      <w:proofErr w:type="spellStart"/>
      <w:r w:rsidRPr="00140F65">
        <w:rPr>
          <w:b w:val="0"/>
          <w:bCs w:val="0"/>
          <w:sz w:val="24"/>
          <w:szCs w:val="24"/>
        </w:rPr>
        <w:t>DoJ</w:t>
      </w:r>
      <w:proofErr w:type="spellEnd"/>
      <w:r w:rsidRPr="00140F65">
        <w:rPr>
          <w:b w:val="0"/>
          <w:bCs w:val="0"/>
          <w:sz w:val="24"/>
          <w:szCs w:val="24"/>
        </w:rPr>
        <w:t xml:space="preserve"> Press Release</w:t>
      </w:r>
      <w:r>
        <w:rPr>
          <w:b w:val="0"/>
          <w:bCs w:val="0"/>
          <w:sz w:val="24"/>
          <w:szCs w:val="24"/>
        </w:rPr>
        <w:t>: “</w:t>
      </w:r>
      <w:r w:rsidRPr="00140F65">
        <w:rPr>
          <w:rStyle w:val="field-formatter--string"/>
          <w:b w:val="0"/>
          <w:bCs w:val="0"/>
          <w:sz w:val="24"/>
          <w:szCs w:val="24"/>
        </w:rPr>
        <w:t xml:space="preserve">Asheville Jury Convicts Franklin, N.C. Man </w:t>
      </w:r>
      <w:proofErr w:type="gramStart"/>
      <w:r w:rsidRPr="00140F65">
        <w:rPr>
          <w:rStyle w:val="field-formatter--string"/>
          <w:b w:val="0"/>
          <w:bCs w:val="0"/>
          <w:sz w:val="24"/>
          <w:szCs w:val="24"/>
        </w:rPr>
        <w:t>Of</w:t>
      </w:r>
      <w:proofErr w:type="gramEnd"/>
      <w:r w:rsidRPr="00140F65">
        <w:rPr>
          <w:rStyle w:val="field-formatter--string"/>
          <w:b w:val="0"/>
          <w:bCs w:val="0"/>
          <w:sz w:val="24"/>
          <w:szCs w:val="24"/>
        </w:rPr>
        <w:t xml:space="preserve"> Starting </w:t>
      </w:r>
      <w:proofErr w:type="gramStart"/>
      <w:r w:rsidRPr="00140F65">
        <w:rPr>
          <w:rStyle w:val="field-formatter--string"/>
          <w:b w:val="0"/>
          <w:bCs w:val="0"/>
          <w:sz w:val="24"/>
          <w:szCs w:val="24"/>
        </w:rPr>
        <w:t>A</w:t>
      </w:r>
      <w:proofErr w:type="gramEnd"/>
      <w:r w:rsidRPr="00140F65">
        <w:rPr>
          <w:rStyle w:val="field-formatter--string"/>
          <w:b w:val="0"/>
          <w:bCs w:val="0"/>
          <w:sz w:val="24"/>
          <w:szCs w:val="24"/>
        </w:rPr>
        <w:t xml:space="preserve"> Fire That Burned More Than 70 Acres </w:t>
      </w:r>
      <w:proofErr w:type="gramStart"/>
      <w:r w:rsidRPr="00140F65">
        <w:rPr>
          <w:rStyle w:val="field-formatter--string"/>
          <w:b w:val="0"/>
          <w:bCs w:val="0"/>
          <w:sz w:val="24"/>
          <w:szCs w:val="24"/>
        </w:rPr>
        <w:t>Of</w:t>
      </w:r>
      <w:proofErr w:type="gramEnd"/>
      <w:r w:rsidRPr="00140F65">
        <w:rPr>
          <w:rStyle w:val="field-formatter--string"/>
          <w:b w:val="0"/>
          <w:bCs w:val="0"/>
          <w:sz w:val="24"/>
          <w:szCs w:val="24"/>
        </w:rPr>
        <w:t xml:space="preserve"> Federal Land. </w:t>
      </w:r>
      <w:r w:rsidRPr="00140F65">
        <w:rPr>
          <w:b w:val="0"/>
          <w:bCs w:val="0"/>
          <w:sz w:val="24"/>
          <w:szCs w:val="24"/>
        </w:rPr>
        <w:t>Evans was convicted of willfully setting a fire on federal land, which carries a statutory maximum penalty of five years in prison and a $250,000 fine. Following the guilty verdict, Evans was remanded into federal custody. A sentencing date has not been set.</w:t>
      </w:r>
      <w:r>
        <w:rPr>
          <w:b w:val="0"/>
          <w:bCs w:val="0"/>
          <w:sz w:val="24"/>
          <w:szCs w:val="24"/>
        </w:rPr>
        <w:t xml:space="preserve">” </w:t>
      </w:r>
      <w:hyperlink r:id="rId172" w:history="1">
        <w:r w:rsidRPr="00140F65">
          <w:rPr>
            <w:rStyle w:val="Hyperlink"/>
            <w:rFonts w:eastAsiaTheme="majorEastAsia"/>
            <w:b w:val="0"/>
            <w:bCs w:val="0"/>
            <w:sz w:val="24"/>
            <w:szCs w:val="24"/>
          </w:rPr>
          <w:t>https://www.justice.gov/usao-wdnc/pr/asheville-jury-convicts-franklin-nc-man-starting-fire-burned-more-70-acres-federal-land</w:t>
        </w:r>
      </w:hyperlink>
      <w:r w:rsidRPr="00140F65">
        <w:rPr>
          <w:rStyle w:val="field-formatter--string"/>
          <w:b w:val="0"/>
          <w:bCs w:val="0"/>
          <w:sz w:val="24"/>
          <w:szCs w:val="24"/>
        </w:rPr>
        <w:t xml:space="preserve"> </w:t>
      </w:r>
    </w:p>
    <w:p w14:paraId="3C9FA6D3" w14:textId="77777777" w:rsidR="00411936" w:rsidRDefault="00411936" w:rsidP="00411936">
      <w:pPr>
        <w:pStyle w:val="NormalWeb"/>
      </w:pPr>
    </w:p>
    <w:p w14:paraId="23EBAA7D" w14:textId="77777777" w:rsidR="00411936" w:rsidRDefault="00411936" w:rsidP="00F326E5">
      <w:pPr>
        <w:pStyle w:val="NoSpacing"/>
        <w:rPr>
          <w:rFonts w:ascii="Arial Black" w:hAnsi="Arial Black"/>
          <w:sz w:val="24"/>
          <w:szCs w:val="24"/>
        </w:rPr>
      </w:pPr>
    </w:p>
    <w:p w14:paraId="7DF348E3" w14:textId="77777777" w:rsidR="00411936" w:rsidRDefault="00411936" w:rsidP="00F326E5">
      <w:pPr>
        <w:pStyle w:val="NoSpacing"/>
        <w:rPr>
          <w:rFonts w:ascii="Arial Black" w:hAnsi="Arial Black"/>
          <w:sz w:val="24"/>
          <w:szCs w:val="24"/>
        </w:rPr>
      </w:pPr>
    </w:p>
    <w:p w14:paraId="2FDB9867" w14:textId="77777777" w:rsidR="00411936" w:rsidRDefault="00411936" w:rsidP="00F326E5">
      <w:pPr>
        <w:pStyle w:val="NoSpacing"/>
        <w:rPr>
          <w:rFonts w:ascii="Arial Black" w:hAnsi="Arial Black"/>
          <w:sz w:val="24"/>
          <w:szCs w:val="24"/>
        </w:rPr>
      </w:pPr>
    </w:p>
    <w:p w14:paraId="4FE3B7F7" w14:textId="7940391A" w:rsidR="00411936" w:rsidRDefault="00411936" w:rsidP="00F326E5">
      <w:pPr>
        <w:pStyle w:val="NoSpacing"/>
        <w:rPr>
          <w:rFonts w:ascii="Arial Black" w:hAnsi="Arial Black"/>
          <w:sz w:val="24"/>
          <w:szCs w:val="24"/>
        </w:rPr>
      </w:pPr>
      <w:r>
        <w:rPr>
          <w:rFonts w:ascii="Arial Black" w:hAnsi="Arial Black"/>
          <w:sz w:val="24"/>
          <w:szCs w:val="24"/>
        </w:rPr>
        <w:t>1-129</w:t>
      </w:r>
    </w:p>
    <w:p w14:paraId="0A835ECB" w14:textId="77777777" w:rsidR="00411936" w:rsidRDefault="00411936" w:rsidP="00F326E5">
      <w:pPr>
        <w:pStyle w:val="NoSpacing"/>
        <w:rPr>
          <w:rFonts w:ascii="Arial Black" w:hAnsi="Arial Black"/>
          <w:sz w:val="24"/>
          <w:szCs w:val="24"/>
        </w:rPr>
      </w:pPr>
    </w:p>
    <w:p w14:paraId="66F54AF4" w14:textId="414D1F52" w:rsidR="00411936" w:rsidRPr="006C4D29" w:rsidRDefault="00411936" w:rsidP="00411936">
      <w:pPr>
        <w:pStyle w:val="NormalWeb"/>
        <w:rPr>
          <w:rFonts w:ascii="Arial Black" w:hAnsi="Arial Black"/>
          <w:b/>
          <w:bCs/>
          <w:sz w:val="28"/>
          <w:szCs w:val="28"/>
        </w:rPr>
      </w:pPr>
      <w:r>
        <w:rPr>
          <w:rFonts w:ascii="Arial Black" w:hAnsi="Arial Black"/>
          <w:b/>
          <w:bCs/>
          <w:sz w:val="28"/>
          <w:szCs w:val="28"/>
        </w:rPr>
        <w:t>OH: ARSON – CIRCUMSTANTIAL EVIDENCE SUFFIC</w:t>
      </w:r>
      <w:r w:rsidR="0045392E">
        <w:rPr>
          <w:rFonts w:ascii="Arial Black" w:hAnsi="Arial Black"/>
          <w:b/>
          <w:bCs/>
          <w:sz w:val="28"/>
          <w:szCs w:val="28"/>
        </w:rPr>
        <w:t>I</w:t>
      </w:r>
      <w:r>
        <w:rPr>
          <w:rFonts w:ascii="Arial Black" w:hAnsi="Arial Black"/>
          <w:b/>
          <w:bCs/>
          <w:sz w:val="28"/>
          <w:szCs w:val="28"/>
        </w:rPr>
        <w:t>ENT –</w:t>
      </w:r>
      <w:r w:rsidR="00B3611E">
        <w:rPr>
          <w:rFonts w:ascii="Arial Black" w:hAnsi="Arial Black"/>
          <w:b/>
          <w:bCs/>
          <w:sz w:val="28"/>
          <w:szCs w:val="28"/>
        </w:rPr>
        <w:t xml:space="preserve"> </w:t>
      </w:r>
      <w:r>
        <w:rPr>
          <w:rFonts w:ascii="Arial Black" w:hAnsi="Arial Black"/>
          <w:b/>
          <w:bCs/>
          <w:sz w:val="28"/>
          <w:szCs w:val="28"/>
        </w:rPr>
        <w:t>ARSON REGISTRY STATUTE – JUDGE CAN SET LENGTH</w:t>
      </w:r>
    </w:p>
    <w:p w14:paraId="6B497277" w14:textId="77777777" w:rsidR="00411936" w:rsidRPr="00551DA8" w:rsidRDefault="00411936" w:rsidP="00411936">
      <w:pPr>
        <w:pStyle w:val="NormalWeb"/>
      </w:pPr>
      <w:r w:rsidRPr="00551DA8">
        <w:t xml:space="preserve">On July 13, 2023, in </w:t>
      </w:r>
      <w:r w:rsidRPr="00551DA8">
        <w:rPr>
          <w:u w:val="single"/>
        </w:rPr>
        <w:t>State of Ohio v. Anthony D. Lochart</w:t>
      </w:r>
      <w:r w:rsidRPr="00551DA8">
        <w:t xml:space="preserve">, the Court of Appeals of Ohio, Fifth District, Richland, upheld the jury conviction </w:t>
      </w:r>
      <w:r>
        <w:t xml:space="preserve">on circumstantial evidence </w:t>
      </w:r>
      <w:r w:rsidRPr="00551DA8">
        <w:t xml:space="preserve">and </w:t>
      </w:r>
      <w:r>
        <w:t xml:space="preserve">the </w:t>
      </w:r>
      <w:r w:rsidRPr="00551DA8">
        <w:t xml:space="preserve">sentence of 8-12 years, </w:t>
      </w:r>
      <w:r>
        <w:t xml:space="preserve">but order that he been on </w:t>
      </w:r>
      <w:r w:rsidRPr="00551DA8">
        <w:t>lifetime arson registry</w:t>
      </w:r>
      <w:r>
        <w:t xml:space="preserve"> must be re-sentenced.  Judges must have discretion when imposing registration period; the </w:t>
      </w:r>
      <w:r w:rsidRPr="00551DA8">
        <w:t xml:space="preserve">Ohio statute </w:t>
      </w:r>
      <w:r>
        <w:t xml:space="preserve">to be unconstitutional breach of “separation of powers” because judges can only reduce the period of registration rom lifetime to </w:t>
      </w:r>
      <w:r w:rsidRPr="00551DA8">
        <w:t>not less than 10 year</w:t>
      </w:r>
      <w:r>
        <w:t xml:space="preserve">s only </w:t>
      </w:r>
      <w:r w:rsidRPr="00551DA8">
        <w:t xml:space="preserve">if the judge </w:t>
      </w:r>
      <w:r>
        <w:t>“r</w:t>
      </w:r>
      <w:r w:rsidRPr="00551DA8">
        <w:t>eceives a request from the prosecutor and the investigating law enforcement agency to consider limiting the arson offender's registration period.</w:t>
      </w:r>
      <w:r>
        <w:t>”</w:t>
      </w:r>
      <w:r w:rsidRPr="00551DA8">
        <w:t xml:space="preserve"> </w:t>
      </w:r>
    </w:p>
    <w:p w14:paraId="7BB93AC9" w14:textId="77777777" w:rsidR="00411936" w:rsidRDefault="00411936" w:rsidP="00411936">
      <w:pPr>
        <w:pStyle w:val="NormalWeb"/>
      </w:pPr>
      <w:r>
        <w:t xml:space="preserve">The Court held: </w:t>
      </w:r>
    </w:p>
    <w:p w14:paraId="0C111F18" w14:textId="77777777" w:rsidR="00411936" w:rsidRDefault="00411936" w:rsidP="00411936">
      <w:pPr>
        <w:pStyle w:val="NormalWeb"/>
      </w:pPr>
      <w:r>
        <w:t xml:space="preserve">“Although the evidence was circumstantial, it is well settled that the state may rely on circumstantial evidence to prove an essential element of an offense because ‘circumstantial evidence and direct evidence inherently possess the same probative value[.]’ </w:t>
      </w:r>
      <w:r>
        <w:rPr>
          <w:rStyle w:val="Emphasis"/>
        </w:rPr>
        <w:t>Jenks</w:t>
      </w:r>
      <w:r>
        <w:t xml:space="preserve">, 61 Ohio St.3d 259, 574 N.E.2d 492 at paragraph one of the </w:t>
      </w:r>
      <w:proofErr w:type="gramStart"/>
      <w:r>
        <w:t>syllabus</w:t>
      </w:r>
      <w:proofErr w:type="gramEnd"/>
      <w:r>
        <w:t xml:space="preserve">. Lockhart had both the opportunity and the means to set the </w:t>
      </w:r>
      <w:proofErr w:type="gramStart"/>
      <w:r>
        <w:t>fire</w:t>
      </w:r>
      <w:proofErr w:type="gramEnd"/>
      <w:r>
        <w:t xml:space="preserve"> and we find the jury did not lose its way in finding he did so.</w:t>
      </w:r>
    </w:p>
    <w:p w14:paraId="07E288C1" w14:textId="77777777" w:rsidR="00411936" w:rsidRDefault="00411936" w:rsidP="00411936">
      <w:pPr>
        <w:pStyle w:val="NormalWeb"/>
      </w:pPr>
      <w:r>
        <w:t>***</w:t>
      </w:r>
    </w:p>
    <w:p w14:paraId="18A50DF6" w14:textId="77777777" w:rsidR="00411936" w:rsidRDefault="00411936" w:rsidP="00411936">
      <w:pPr>
        <w:pStyle w:val="NormalWeb"/>
      </w:pPr>
      <w:r>
        <w:t xml:space="preserve">Lockhart on appeal argues the fire could have been started by three D batteries discovered in the closet after the fire. “However, fire Captain Bob Dean, a firefighter and investigator with 28 </w:t>
      </w:r>
      <w:proofErr w:type="spellStart"/>
      <w:r>
        <w:t>years experience</w:t>
      </w:r>
      <w:proofErr w:type="spellEnd"/>
      <w:r>
        <w:t xml:space="preserve"> and hundreds of fire investigations testified he discovered no circumstance which would lead him to conclude the fire started on its own. He observed melted clothing on the floor of the closet which fueled the fire.  Dean further testified that it was highly unlikely that three D batteries would start a fire and that he has never investigated a fire which was started by batteries.”  </w:t>
      </w:r>
    </w:p>
    <w:p w14:paraId="0F15528A" w14:textId="77777777" w:rsidR="00411936" w:rsidRDefault="00411936" w:rsidP="00411936">
      <w:pPr>
        <w:pStyle w:val="NormalWeb"/>
      </w:pPr>
      <w:r>
        <w:t>***</w:t>
      </w:r>
    </w:p>
    <w:p w14:paraId="400C2624" w14:textId="77777777" w:rsidR="00411936" w:rsidRDefault="00411936" w:rsidP="00411936">
      <w:pPr>
        <w:pStyle w:val="NormalWeb"/>
      </w:pPr>
      <w:r>
        <w:t>Returning to the issue at hand [</w:t>
      </w:r>
      <w:proofErr w:type="gramStart"/>
      <w:r>
        <w:t>period of time</w:t>
      </w:r>
      <w:proofErr w:type="gramEnd"/>
      <w:r>
        <w:t xml:space="preserve"> on arson registry], the Fourth District concluded that R.C. 2909.15(D)(2) violates the separation of powers. </w:t>
      </w:r>
      <w:r>
        <w:rPr>
          <w:rStyle w:val="Emphasis"/>
        </w:rPr>
        <w:t>State v. Dingus</w:t>
      </w:r>
      <w:r>
        <w:t xml:space="preserve">, 2017-Ohio-2619, 81 N.E.3d 513, ¶ 31 (4th Dist.). The court expressed its conclusion as </w:t>
      </w:r>
      <w:proofErr w:type="gramStart"/>
      <w:r>
        <w:t>this: ‘</w:t>
      </w:r>
      <w:proofErr w:type="gramEnd"/>
      <w:r>
        <w:t>By depriving the trial court of the ability to act without the request of the prosecutor and the investigating law enforcement agency, the trial court's independence is compromised. The prosecutor and the investigating law enforcement agency effectively decide which registration periods can be reviewed by the trial court; thus, the prosecutor and the investigating law enforcement agency have an "overruling influence" over the trial court….’ We agree with the Fourth District that this statute violates the separation of powers doctrine.”</w:t>
      </w:r>
    </w:p>
    <w:p w14:paraId="3D8308CC" w14:textId="2D1FFAC9" w:rsidR="00411936" w:rsidRDefault="00411936" w:rsidP="00411936">
      <w:pPr>
        <w:pStyle w:val="NoSpacing"/>
        <w:rPr>
          <w:rFonts w:ascii="Arial Black" w:hAnsi="Arial Black"/>
          <w:sz w:val="24"/>
          <w:szCs w:val="24"/>
        </w:rPr>
      </w:pPr>
      <w:hyperlink r:id="rId173" w:history="1">
        <w:r w:rsidRPr="0052585B">
          <w:rPr>
            <w:rStyle w:val="Hyperlink"/>
            <w:rFonts w:eastAsiaTheme="majorEastAsia"/>
          </w:rPr>
          <w:t>https://public.fastcase.com/ZZhmr5v9wN%2FXOe5IsQ%2FqD6Xx7tREqB5H6wemtf0NyhN8u4NUZnGSAantyLeysRAmLMoHIDaVROEStimemn37zFtbEUi2roRyzYg1DUQ2CNY%3D?utm_medium=email&amp;_hsmi=226712652&amp;_hsenc=p2ANqtz--Q_3moeDoiaeECqEOwyhE0ZXPhDkG4WMrF3I2hrcVk-DQ0PMStF7btAcv6bivJ44RNtnNn6LFTST6ermzb3easneInYg&amp;utm_content=226712652&amp;utm_source=hs_email</w:t>
        </w:r>
      </w:hyperlink>
    </w:p>
    <w:p w14:paraId="2A015DA9" w14:textId="77777777" w:rsidR="00411936" w:rsidRPr="00755D6D" w:rsidRDefault="00411936" w:rsidP="00411936">
      <w:pPr>
        <w:pStyle w:val="NormalWeb"/>
        <w:rPr>
          <w:b/>
          <w:bCs/>
        </w:rPr>
      </w:pPr>
      <w:r w:rsidRPr="00755D6D">
        <w:rPr>
          <w:b/>
          <w:bCs/>
        </w:rPr>
        <w:t xml:space="preserve">Legal Lesson Learned: </w:t>
      </w:r>
      <w:r>
        <w:rPr>
          <w:b/>
          <w:bCs/>
        </w:rPr>
        <w:t>The defendant was properly convicted on circumstantial evidence, including testimony of FD arson investigator with 28 years of experience.</w:t>
      </w:r>
    </w:p>
    <w:p w14:paraId="456F19A4" w14:textId="77777777" w:rsidR="00411936" w:rsidRDefault="00411936" w:rsidP="00F326E5">
      <w:pPr>
        <w:pStyle w:val="NoSpacing"/>
        <w:rPr>
          <w:rFonts w:ascii="Arial Black" w:hAnsi="Arial Black"/>
          <w:sz w:val="24"/>
          <w:szCs w:val="24"/>
        </w:rPr>
      </w:pPr>
    </w:p>
    <w:p w14:paraId="357F20F6" w14:textId="77777777" w:rsidR="00411936" w:rsidRDefault="00411936" w:rsidP="00F326E5">
      <w:pPr>
        <w:pStyle w:val="NoSpacing"/>
        <w:rPr>
          <w:rFonts w:ascii="Arial Black" w:hAnsi="Arial Black"/>
          <w:sz w:val="24"/>
          <w:szCs w:val="24"/>
        </w:rPr>
      </w:pPr>
    </w:p>
    <w:p w14:paraId="4C69CE06" w14:textId="52377B39" w:rsidR="00411936" w:rsidRDefault="00411936" w:rsidP="00F326E5">
      <w:pPr>
        <w:pStyle w:val="NoSpacing"/>
        <w:rPr>
          <w:rFonts w:ascii="Arial Black" w:hAnsi="Arial Black"/>
          <w:sz w:val="24"/>
          <w:szCs w:val="24"/>
        </w:rPr>
      </w:pPr>
      <w:r>
        <w:rPr>
          <w:rFonts w:ascii="Arial Black" w:hAnsi="Arial Black"/>
          <w:sz w:val="24"/>
          <w:szCs w:val="24"/>
        </w:rPr>
        <w:t>1-128</w:t>
      </w:r>
    </w:p>
    <w:p w14:paraId="12131675" w14:textId="77777777" w:rsidR="00411936" w:rsidRDefault="00411936" w:rsidP="00F326E5">
      <w:pPr>
        <w:pStyle w:val="NoSpacing"/>
        <w:rPr>
          <w:rFonts w:ascii="Arial Black" w:hAnsi="Arial Black"/>
          <w:sz w:val="24"/>
          <w:szCs w:val="24"/>
        </w:rPr>
      </w:pPr>
    </w:p>
    <w:p w14:paraId="4A24484D" w14:textId="77777777" w:rsidR="00411936" w:rsidRDefault="00411936" w:rsidP="00411936">
      <w:pPr>
        <w:rPr>
          <w:rFonts w:ascii="Arial Black" w:hAnsi="Arial Black"/>
          <w:sz w:val="28"/>
          <w:szCs w:val="28"/>
        </w:rPr>
      </w:pPr>
      <w:r>
        <w:rPr>
          <w:rFonts w:ascii="Arial Black" w:hAnsi="Arial Black"/>
          <w:sz w:val="28"/>
          <w:szCs w:val="28"/>
        </w:rPr>
        <w:t xml:space="preserve">MD:  PLAINTIFF’S EXPERT WITNESSES CAN TESTIFY - BATTERIES IN </w:t>
      </w:r>
      <w:proofErr w:type="spellStart"/>
      <w:r>
        <w:rPr>
          <w:rFonts w:ascii="Arial Black" w:hAnsi="Arial Black"/>
          <w:sz w:val="28"/>
          <w:szCs w:val="28"/>
        </w:rPr>
        <w:t>MacPro</w:t>
      </w:r>
      <w:proofErr w:type="spellEnd"/>
      <w:r>
        <w:rPr>
          <w:rFonts w:ascii="Arial Black" w:hAnsi="Arial Black"/>
          <w:sz w:val="28"/>
          <w:szCs w:val="28"/>
        </w:rPr>
        <w:t xml:space="preserve"> LAPTOP LED TO LARGE CONDO FIRE </w:t>
      </w:r>
    </w:p>
    <w:p w14:paraId="6CF68926" w14:textId="77777777" w:rsidR="00411936" w:rsidRDefault="00411936" w:rsidP="00411936">
      <w:pPr>
        <w:rPr>
          <w:rFonts w:ascii="Times New Roman" w:hAnsi="Times New Roman"/>
          <w:sz w:val="24"/>
          <w:szCs w:val="24"/>
        </w:rPr>
      </w:pPr>
      <w:r w:rsidRPr="001A2CEB">
        <w:rPr>
          <w:rFonts w:ascii="Times New Roman" w:hAnsi="Times New Roman"/>
          <w:sz w:val="24"/>
          <w:szCs w:val="24"/>
        </w:rPr>
        <w:t>On July</w:t>
      </w:r>
      <w:r>
        <w:rPr>
          <w:rFonts w:ascii="Times New Roman" w:hAnsi="Times New Roman"/>
          <w:sz w:val="24"/>
          <w:szCs w:val="24"/>
        </w:rPr>
        <w:t xml:space="preserve"> </w:t>
      </w:r>
      <w:r w:rsidRPr="001A2CEB">
        <w:rPr>
          <w:rFonts w:ascii="Times New Roman" w:hAnsi="Times New Roman"/>
          <w:sz w:val="24"/>
          <w:szCs w:val="24"/>
        </w:rPr>
        <w:t xml:space="preserve">7, 2023, in </w:t>
      </w:r>
      <w:r w:rsidRPr="001A2CEB">
        <w:rPr>
          <w:rFonts w:ascii="Times New Roman" w:hAnsi="Times New Roman"/>
          <w:sz w:val="24"/>
          <w:szCs w:val="24"/>
          <w:u w:val="single"/>
        </w:rPr>
        <w:t>Philadelphia Indemnity Insurance Company, et al. v, Apple, Inc.</w:t>
      </w:r>
      <w:r w:rsidRPr="001A2CEB">
        <w:rPr>
          <w:rFonts w:ascii="Times New Roman" w:hAnsi="Times New Roman"/>
          <w:sz w:val="24"/>
          <w:szCs w:val="24"/>
        </w:rPr>
        <w:t xml:space="preserve">, </w:t>
      </w:r>
      <w:r>
        <w:rPr>
          <w:rFonts w:ascii="Times New Roman" w:hAnsi="Times New Roman"/>
          <w:sz w:val="24"/>
          <w:szCs w:val="24"/>
        </w:rPr>
        <w:t xml:space="preserve">U.S. District Court Judge Stephanie A. Gallaher, U.S. District Court for the District of Maryland, held that plaintiff may use three expert witnesses at trial – a memory export, and two battery fire experts. On Nov. 24, 2017, shortly after midnight a fire broke out in the bedroom of Ms. Ross in Severn House Condominiums in Annapolis, Maryland, that </w:t>
      </w:r>
      <w:proofErr w:type="gramStart"/>
      <w:r>
        <w:rPr>
          <w:rFonts w:ascii="Times New Roman" w:hAnsi="Times New Roman"/>
          <w:sz w:val="24"/>
          <w:szCs w:val="24"/>
        </w:rPr>
        <w:t>damage to</w:t>
      </w:r>
      <w:proofErr w:type="gramEnd"/>
      <w:r>
        <w:rPr>
          <w:rFonts w:ascii="Times New Roman" w:hAnsi="Times New Roman"/>
          <w:sz w:val="24"/>
          <w:szCs w:val="24"/>
        </w:rPr>
        <w:t xml:space="preserve"> her unit and surrounding units.  She initially told FD that it might have been caused by her electric heating pad (12-18 inches under her back), </w:t>
      </w:r>
      <w:r w:rsidRPr="001342A3">
        <w:rPr>
          <w:rFonts w:ascii="Times New Roman" w:hAnsi="Times New Roman"/>
          <w:sz w:val="24"/>
          <w:szCs w:val="24"/>
        </w:rPr>
        <w:t>but six weeks after the incident, Ms. Ross reviewed the fire department's report and learned that some remnants of the MacBook had been found on the remains of her mattress…. At her deposition in 2021, she testified that after reviewing the fire department's report, she had many ‘flashbacks’ and ‘bad dreams’ that left her ‘increasingly convinced’ that the small flames she saw upon awakening were on the laptop at the foot of her bed.</w:t>
      </w:r>
      <w:r>
        <w:rPr>
          <w:rFonts w:ascii="Times New Roman" w:hAnsi="Times New Roman"/>
          <w:sz w:val="24"/>
          <w:szCs w:val="24"/>
        </w:rPr>
        <w:t xml:space="preserve"> A memory expert will be allowed to testify.  The laptop was recovered and examined – two battery experts will testify that batteries in the laptop likely caused the fire.  </w:t>
      </w:r>
    </w:p>
    <w:p w14:paraId="48F870CA" w14:textId="77777777" w:rsidR="00411936" w:rsidRDefault="00411936" w:rsidP="00411936">
      <w:pPr>
        <w:rPr>
          <w:rFonts w:ascii="Times New Roman" w:hAnsi="Times New Roman"/>
          <w:sz w:val="24"/>
          <w:szCs w:val="24"/>
        </w:rPr>
      </w:pPr>
      <w:r>
        <w:rPr>
          <w:rFonts w:ascii="Times New Roman" w:hAnsi="Times New Roman"/>
          <w:sz w:val="24"/>
          <w:szCs w:val="24"/>
        </w:rPr>
        <w:t>The Court held:</w:t>
      </w:r>
    </w:p>
    <w:p w14:paraId="7E0BC421" w14:textId="77777777" w:rsidR="00411936" w:rsidRDefault="00411936" w:rsidP="00411936">
      <w:pPr>
        <w:pStyle w:val="NormalWeb"/>
      </w:pPr>
      <w:r>
        <w:t>MEMORY EXPERT. “In this case, then, this Court will allow Dr. Weaver's proposed testimony to some extent. Specifically, he will be permitted to testify as to the process of encoding, particularly in a traumatic situation, memory reconstruction, suggestibility, and post-event information. An explanation of those general principles is relevant to the jury's consideration and weighing of Ms. Ross's testimony. Obviously, Dr. Weaver will not be permitted to opine on the ultimate issue of whether Ms. Ross's testimony is credible or incredible. But his inability to reach that issue does not mean his testimony about memory formation, retention, and alteration is irrelevant or useless to the jury… The evidence is helpful and will be permitted.”</w:t>
      </w:r>
    </w:p>
    <w:p w14:paraId="24702285" w14:textId="77777777" w:rsidR="00411936" w:rsidRPr="00A20D55" w:rsidRDefault="00411936" w:rsidP="00411936">
      <w:pPr>
        <w:rPr>
          <w:rFonts w:ascii="Times New Roman" w:hAnsi="Times New Roman"/>
          <w:sz w:val="24"/>
          <w:szCs w:val="24"/>
        </w:rPr>
      </w:pPr>
      <w:r w:rsidRPr="00A20D55">
        <w:rPr>
          <w:rFonts w:ascii="Times New Roman" w:hAnsi="Times New Roman"/>
          <w:sz w:val="24"/>
          <w:szCs w:val="24"/>
        </w:rPr>
        <w:t xml:space="preserve">BATTERY EXPERTS.  “Accordingly, Mr. Hoffmann will be permitted to testify that Ms. Ross's laptop was at a low state of charge, defined as less than fully charged, and that batteries at a low state of charge are less likely to produce enough energy to be a competent ignition source. He will not be permitted to testify more definitively that Ms. Ross's battery cell was at too low of a SoC to ignite the bedding material or cause the fire. </w:t>
      </w:r>
    </w:p>
    <w:p w14:paraId="7CE91DF5" w14:textId="77777777" w:rsidR="00411936" w:rsidRPr="00A20D55" w:rsidRDefault="00411936" w:rsidP="00411936">
      <w:pPr>
        <w:rPr>
          <w:rFonts w:ascii="Times New Roman" w:hAnsi="Times New Roman"/>
          <w:sz w:val="24"/>
          <w:szCs w:val="24"/>
        </w:rPr>
      </w:pPr>
      <w:r w:rsidRPr="00A20D55">
        <w:rPr>
          <w:rFonts w:ascii="Times New Roman" w:hAnsi="Times New Roman"/>
          <w:sz w:val="24"/>
          <w:szCs w:val="24"/>
        </w:rPr>
        <w:t xml:space="preserve">*** </w:t>
      </w:r>
    </w:p>
    <w:p w14:paraId="26634A40" w14:textId="162F3173" w:rsidR="00411936" w:rsidRDefault="00411936" w:rsidP="00411936">
      <w:pPr>
        <w:pStyle w:val="NoSpacing"/>
        <w:rPr>
          <w:rFonts w:ascii="Arial Black" w:hAnsi="Arial Black"/>
          <w:sz w:val="24"/>
          <w:szCs w:val="24"/>
        </w:rPr>
      </w:pPr>
      <w:r w:rsidRPr="00A20D55">
        <w:rPr>
          <w:rFonts w:ascii="Times New Roman" w:hAnsi="Times New Roman"/>
          <w:sz w:val="24"/>
          <w:szCs w:val="24"/>
        </w:rPr>
        <w:t xml:space="preserve">Michael Eskra is a battery expert retained by Plaintiffs. Apple does not challenge </w:t>
      </w:r>
      <w:proofErr w:type="gramStart"/>
      <w:r w:rsidRPr="00A20D55">
        <w:rPr>
          <w:rFonts w:ascii="Times New Roman" w:hAnsi="Times New Roman"/>
          <w:sz w:val="24"/>
          <w:szCs w:val="24"/>
        </w:rPr>
        <w:t>his</w:t>
      </w:r>
      <w:proofErr w:type="gramEnd"/>
      <w:r w:rsidRPr="00A20D55">
        <w:rPr>
          <w:rFonts w:ascii="Times New Roman" w:hAnsi="Times New Roman"/>
          <w:sz w:val="24"/>
          <w:szCs w:val="24"/>
        </w:rPr>
        <w:t xml:space="preserve"> expert qualifications. Instead, it contends that his methodology is unreliable because, in Apple's view, he simply looked at the CT scans of the battery cells to reach his conclusion. Because the fifth cell shows internal, localized damage to the electrode windings while the other four only have exterior damage, Mr. Eskra opines that the fifth cell shorted and caused the ignition… But because Plaintiffs are not relying on Mr. Eskra to establish conclusively the defect in the battery cell, his testimony is relevant and permissible.</w:t>
      </w:r>
      <w:r>
        <w:rPr>
          <w:rFonts w:ascii="Times New Roman" w:hAnsi="Times New Roman"/>
          <w:sz w:val="24"/>
          <w:szCs w:val="24"/>
        </w:rPr>
        <w:t xml:space="preserve">” </w:t>
      </w:r>
      <w:hyperlink r:id="rId174" w:history="1">
        <w:r w:rsidRPr="0052585B">
          <w:rPr>
            <w:rStyle w:val="Hyperlink"/>
            <w:rFonts w:ascii="Times New Roman" w:hAnsi="Times New Roman"/>
            <w:sz w:val="24"/>
            <w:szCs w:val="24"/>
          </w:rPr>
          <w:t>https://public.fastcase.com/ZZhmr5v9wN%2FXOe5IsQ%2FqD2w3LkpuglI3nASy1X40hEavWq5Hg6BXuOMAb4Q%2F0qYvRQrnGJSyHTBcFYNZH%2FPWinF4W28EQi7cn4B0%2Besltk8%3D?utm_medium=email&amp;_hsmi=226712652&amp;_hsenc=p2ANqtz--58Ne7SxJ1hr6i-F8FakyHT8npVqzhLBvm91HO15BtcmmyFpQh4X3iW-xWGAEBSVd3N4PHQcOA9a0ODtOxMPf5jkgwuw&amp;utm_content=226712652&amp;utm_source=hs_email</w:t>
        </w:r>
      </w:hyperlink>
    </w:p>
    <w:p w14:paraId="488F85A9" w14:textId="77777777" w:rsidR="00411936" w:rsidRDefault="00411936" w:rsidP="00F326E5">
      <w:pPr>
        <w:pStyle w:val="NoSpacing"/>
        <w:rPr>
          <w:rFonts w:ascii="Arial Black" w:hAnsi="Arial Black"/>
          <w:sz w:val="24"/>
          <w:szCs w:val="24"/>
        </w:rPr>
      </w:pPr>
    </w:p>
    <w:p w14:paraId="5AFE1841" w14:textId="77777777" w:rsidR="00411936" w:rsidRPr="001342A3" w:rsidRDefault="00411936" w:rsidP="00411936">
      <w:pPr>
        <w:pStyle w:val="NormalWeb"/>
        <w:rPr>
          <w:b/>
          <w:bCs/>
        </w:rPr>
      </w:pPr>
      <w:r w:rsidRPr="001342A3">
        <w:rPr>
          <w:b/>
          <w:bCs/>
        </w:rPr>
        <w:t xml:space="preserve">Legal Lesson Learned: The U.S. Supreme Court has held that trial court judges must ensure prior to trial that proposed expert testimony “both rests on a reliable foundation and is relevant to the task at hand.” </w:t>
      </w:r>
      <w:r w:rsidRPr="001342A3">
        <w:rPr>
          <w:rStyle w:val="Emphasis"/>
          <w:b/>
          <w:bCs/>
        </w:rPr>
        <w:t>Daubert v. Merrell Dow Pharm., Inc.</w:t>
      </w:r>
      <w:r w:rsidRPr="001342A3">
        <w:rPr>
          <w:b/>
          <w:bCs/>
        </w:rPr>
        <w:t>, 509 U.S. 579, 597 (1993).</w:t>
      </w:r>
      <w:r>
        <w:rPr>
          <w:b/>
          <w:bCs/>
        </w:rPr>
        <w:t xml:space="preserve"> </w:t>
      </w:r>
      <w:hyperlink r:id="rId175" w:history="1">
        <w:r w:rsidRPr="0052585B">
          <w:rPr>
            <w:rStyle w:val="Hyperlink"/>
            <w:rFonts w:eastAsiaTheme="majorEastAsia"/>
            <w:b/>
            <w:bCs/>
          </w:rPr>
          <w:t>https://www.loc.gov/item/usrep509579/</w:t>
        </w:r>
      </w:hyperlink>
      <w:r>
        <w:rPr>
          <w:b/>
          <w:bCs/>
        </w:rPr>
        <w:t xml:space="preserve"> </w:t>
      </w:r>
    </w:p>
    <w:p w14:paraId="4A7FE11C" w14:textId="77777777" w:rsidR="00411936" w:rsidRDefault="00411936" w:rsidP="00F326E5">
      <w:pPr>
        <w:pStyle w:val="NoSpacing"/>
        <w:rPr>
          <w:rFonts w:ascii="Arial Black" w:hAnsi="Arial Black"/>
          <w:sz w:val="24"/>
          <w:szCs w:val="24"/>
        </w:rPr>
      </w:pPr>
    </w:p>
    <w:p w14:paraId="3C916086" w14:textId="77777777" w:rsidR="00411936" w:rsidRDefault="00411936" w:rsidP="00F326E5">
      <w:pPr>
        <w:pStyle w:val="NoSpacing"/>
        <w:rPr>
          <w:rFonts w:ascii="Arial Black" w:hAnsi="Arial Black"/>
          <w:sz w:val="24"/>
          <w:szCs w:val="24"/>
        </w:rPr>
      </w:pPr>
    </w:p>
    <w:p w14:paraId="5AD45CF8" w14:textId="77777777" w:rsidR="00411936" w:rsidRDefault="00411936" w:rsidP="00F326E5">
      <w:pPr>
        <w:pStyle w:val="NoSpacing"/>
        <w:rPr>
          <w:rFonts w:ascii="Arial Black" w:hAnsi="Arial Black"/>
          <w:sz w:val="24"/>
          <w:szCs w:val="24"/>
        </w:rPr>
      </w:pPr>
    </w:p>
    <w:p w14:paraId="29FF4140" w14:textId="77777777" w:rsidR="00411936" w:rsidRDefault="00411936" w:rsidP="00F326E5">
      <w:pPr>
        <w:pStyle w:val="NoSpacing"/>
        <w:rPr>
          <w:rFonts w:ascii="Arial Black" w:hAnsi="Arial Black"/>
          <w:sz w:val="24"/>
          <w:szCs w:val="24"/>
        </w:rPr>
      </w:pPr>
    </w:p>
    <w:p w14:paraId="60332905" w14:textId="1FFF8E35" w:rsidR="00AB637D" w:rsidRDefault="00FE60DA" w:rsidP="00F326E5">
      <w:pPr>
        <w:pStyle w:val="NoSpacing"/>
        <w:rPr>
          <w:rFonts w:ascii="Arial Black" w:hAnsi="Arial Black"/>
          <w:sz w:val="24"/>
          <w:szCs w:val="24"/>
        </w:rPr>
      </w:pPr>
      <w:r>
        <w:rPr>
          <w:rFonts w:ascii="Arial Black" w:hAnsi="Arial Black"/>
          <w:sz w:val="24"/>
          <w:szCs w:val="24"/>
        </w:rPr>
        <w:t>1-127</w:t>
      </w:r>
    </w:p>
    <w:p w14:paraId="20CFB8DB" w14:textId="77777777" w:rsidR="00FE60DA" w:rsidRPr="00A37F68" w:rsidRDefault="00FE60DA" w:rsidP="00FE60DA">
      <w:pPr>
        <w:pStyle w:val="NormalWeb"/>
        <w:rPr>
          <w:rFonts w:ascii="Arial Black" w:hAnsi="Arial Black"/>
          <w:sz w:val="28"/>
          <w:szCs w:val="28"/>
        </w:rPr>
      </w:pPr>
      <w:r>
        <w:rPr>
          <w:rFonts w:ascii="Arial Black" w:hAnsi="Arial Black"/>
          <w:sz w:val="28"/>
          <w:szCs w:val="28"/>
        </w:rPr>
        <w:t>PA: ARSON – SET FIRE IN HOUSE WITH FOUR POLICE OFFICERS PRESENT – FOUR CONSECUTIVE JAIL TERMS</w:t>
      </w:r>
    </w:p>
    <w:p w14:paraId="5BF37B01" w14:textId="77777777" w:rsidR="00FE60DA" w:rsidRDefault="00FE60DA" w:rsidP="00FE60DA">
      <w:pPr>
        <w:pStyle w:val="NormalWeb"/>
      </w:pPr>
      <w:r w:rsidRPr="00A37F68">
        <w:t xml:space="preserve">On June 30, 2023, </w:t>
      </w:r>
      <w:r>
        <w:t xml:space="preserve">in </w:t>
      </w:r>
      <w:r w:rsidRPr="00A37F68">
        <w:rPr>
          <w:u w:val="single"/>
        </w:rPr>
        <w:t>Commonwealth of Pennsylvania v. Vincent Smith</w:t>
      </w:r>
      <w:r>
        <w:t xml:space="preserve">, the Superior Court of Pennsylvania held (9 to 0) that trial court properly imposed four terms of imprisonment (four to eight years each), after he pled </w:t>
      </w:r>
      <w:r w:rsidRPr="00A4543F">
        <w:t>guilty to two counts of voluntary manslaughter and four counts of arson endangering persons</w:t>
      </w:r>
      <w:r>
        <w:t xml:space="preserve">.  He endangered four police officers when lighting gasoline he previously poured in house, trying to commit suicide after killing two men.  </w:t>
      </w:r>
    </w:p>
    <w:p w14:paraId="26C2C036" w14:textId="77777777" w:rsidR="00FE60DA" w:rsidRPr="00D73B76" w:rsidRDefault="00FE60DA" w:rsidP="00FE60DA">
      <w:pPr>
        <w:pStyle w:val="NormalWeb"/>
      </w:pPr>
      <w:r>
        <w:t>The Court held: “</w:t>
      </w:r>
      <w:r w:rsidRPr="00D73B76">
        <w:t>In sum, we conclude that under the plain language and meaning of Subsection 3301(a)(1)(</w:t>
      </w:r>
      <w:proofErr w:type="spellStart"/>
      <w:r w:rsidRPr="00D73B76">
        <w:t>i</w:t>
      </w:r>
      <w:proofErr w:type="spellEnd"/>
      <w:r w:rsidRPr="00D73B76">
        <w:t xml:space="preserve">), within the arson endangering persons statute, the unit of prosecution is the intentional starting of a fire which recklessly places another person in danger of death or bodily injury. </w:t>
      </w:r>
      <w:r w:rsidRPr="00D73B76">
        <w:rPr>
          <w:i/>
          <w:iCs/>
        </w:rPr>
        <w:t>See</w:t>
      </w:r>
      <w:r w:rsidRPr="00D73B76">
        <w:t xml:space="preserve"> 18 </w:t>
      </w:r>
      <w:proofErr w:type="spellStart"/>
      <w:r w:rsidRPr="00D73B76">
        <w:t>Pa.C.S</w:t>
      </w:r>
      <w:proofErr w:type="spellEnd"/>
      <w:r w:rsidRPr="00D73B76">
        <w:t>. § 3301(a)(1)(</w:t>
      </w:r>
      <w:proofErr w:type="spellStart"/>
      <w:r w:rsidRPr="00D73B76">
        <w:t>i</w:t>
      </w:r>
      <w:proofErr w:type="spellEnd"/>
      <w:r w:rsidRPr="00D73B76">
        <w:t xml:space="preserve">). Accordingly, a defendant may be convicted of and sentenced separately on multiple counts if one act of arson causes more than one person to be in danger of death or bodily injury. Applying this holding to the case </w:t>
      </w:r>
      <w:r w:rsidRPr="00D73B76">
        <w:rPr>
          <w:i/>
          <w:iCs/>
        </w:rPr>
        <w:t>sub judice,</w:t>
      </w:r>
      <w:r w:rsidRPr="00D73B76">
        <w:t xml:space="preserve"> we affirm the separate sentences imposed on each of Appellant's four arson endangering persons convictions, and hold they are not illegal.</w:t>
      </w:r>
      <w:r>
        <w:t xml:space="preserve">”  </w:t>
      </w:r>
      <w:hyperlink r:id="rId176" w:history="1">
        <w:r w:rsidRPr="00812663">
          <w:rPr>
            <w:rStyle w:val="Hyperlink"/>
          </w:rPr>
          <w:t>https://casetext.com/case/commonwealth-v-smith-1490</w:t>
        </w:r>
      </w:hyperlink>
      <w:r>
        <w:t xml:space="preserve"> </w:t>
      </w:r>
    </w:p>
    <w:p w14:paraId="34AA63B7" w14:textId="77777777" w:rsidR="00FE60DA" w:rsidRPr="00D73B76" w:rsidRDefault="00FE60DA" w:rsidP="00FE60DA">
      <w:pPr>
        <w:pStyle w:val="NormalWeb"/>
        <w:rPr>
          <w:b/>
          <w:bCs/>
        </w:rPr>
      </w:pPr>
      <w:r>
        <w:rPr>
          <w:b/>
          <w:bCs/>
        </w:rPr>
        <w:t xml:space="preserve">Legal Lessons Learned:  The defendant endangered the lives of four policers; the Court properly imposed four separate prison terms. </w:t>
      </w:r>
    </w:p>
    <w:p w14:paraId="7FE21F17" w14:textId="0D6F4E98" w:rsidR="00FE60DA" w:rsidRDefault="00FE60DA" w:rsidP="00F326E5">
      <w:pPr>
        <w:pStyle w:val="NoSpacing"/>
        <w:rPr>
          <w:rFonts w:ascii="Arial Black" w:hAnsi="Arial Black"/>
          <w:sz w:val="24"/>
          <w:szCs w:val="24"/>
        </w:rPr>
      </w:pPr>
      <w:r>
        <w:rPr>
          <w:rFonts w:ascii="Arial Black" w:hAnsi="Arial Black"/>
          <w:sz w:val="24"/>
          <w:szCs w:val="24"/>
        </w:rPr>
        <w:t>1-126</w:t>
      </w:r>
    </w:p>
    <w:p w14:paraId="1ADF81C3" w14:textId="77777777" w:rsidR="00FE60DA" w:rsidRDefault="00FE60DA" w:rsidP="00F326E5">
      <w:pPr>
        <w:pStyle w:val="NoSpacing"/>
        <w:rPr>
          <w:rFonts w:ascii="Arial Black" w:hAnsi="Arial Black"/>
          <w:sz w:val="24"/>
          <w:szCs w:val="24"/>
        </w:rPr>
      </w:pPr>
    </w:p>
    <w:p w14:paraId="199D03FD" w14:textId="77777777" w:rsidR="00FE60DA" w:rsidRPr="00954CB5" w:rsidRDefault="00FE60DA" w:rsidP="00FE60D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NY: EMT POTENTIAL JUROR BURGLARY CASE – CAN’T SERVE IF ADMITS VIEWS PD “VERY FAVORABLE LIGHT” </w:t>
      </w:r>
    </w:p>
    <w:p w14:paraId="37AEB98F" w14:textId="77777777" w:rsidR="00FE60DA" w:rsidRDefault="00FE60DA" w:rsidP="00FE60DA">
      <w:pPr>
        <w:tabs>
          <w:tab w:val="left" w:pos="3582"/>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30, 2023, in </w:t>
      </w:r>
      <w:r w:rsidRPr="00954CB5">
        <w:rPr>
          <w:rFonts w:ascii="Times New Roman" w:hAnsi="Times New Roman"/>
          <w:sz w:val="24"/>
          <w:szCs w:val="24"/>
          <w:u w:val="single"/>
        </w:rPr>
        <w:t>The People Of The State Of New York v. Herbert Smith</w:t>
      </w:r>
      <w:r>
        <w:rPr>
          <w:rFonts w:ascii="Times New Roman" w:hAnsi="Times New Roman"/>
          <w:sz w:val="24"/>
          <w:szCs w:val="24"/>
        </w:rPr>
        <w:t xml:space="preserve">, the Supreme Court of New York, Fourth Division, held (5 to 0) that the burglary defendant is entitled to a new jury trial because two prospective jurors, including an EMT who during voir dire told defense counsel he saw police in “very positive light” were not automatically removed by the judge.  The defense attorney had to use two preparatory challenges to keep them off the jury.  </w:t>
      </w:r>
    </w:p>
    <w:p w14:paraId="451162B7" w14:textId="77777777" w:rsidR="00FE60DA" w:rsidRDefault="00FE60DA" w:rsidP="00FE60DA">
      <w:pPr>
        <w:tabs>
          <w:tab w:val="left" w:pos="3582"/>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The Court held: “</w:t>
      </w:r>
      <w:r w:rsidRPr="001449DC">
        <w:rPr>
          <w:rFonts w:ascii="Times New Roman" w:hAnsi="Times New Roman"/>
          <w:sz w:val="24"/>
          <w:szCs w:val="24"/>
        </w:rPr>
        <w:t xml:space="preserve">It is well established that, when a prospective juror makes a statement or statements that </w:t>
      </w:r>
      <w:r>
        <w:rPr>
          <w:rFonts w:ascii="Times New Roman" w:hAnsi="Times New Roman"/>
          <w:sz w:val="24"/>
          <w:szCs w:val="24"/>
        </w:rPr>
        <w:t>‘</w:t>
      </w:r>
      <w:r w:rsidRPr="001449DC">
        <w:rPr>
          <w:rFonts w:ascii="Times New Roman" w:hAnsi="Times New Roman"/>
          <w:sz w:val="24"/>
          <w:szCs w:val="24"/>
        </w:rPr>
        <w:t>cast serious doubt on their ability to render an impartial verdict</w:t>
      </w:r>
      <w:r>
        <w:rPr>
          <w:rFonts w:ascii="Times New Roman" w:hAnsi="Times New Roman"/>
          <w:sz w:val="24"/>
          <w:szCs w:val="24"/>
        </w:rPr>
        <w:t>’</w:t>
      </w:r>
      <w:r w:rsidRPr="001449DC">
        <w:rPr>
          <w:rFonts w:ascii="Times New Roman" w:hAnsi="Times New Roman"/>
          <w:sz w:val="24"/>
          <w:szCs w:val="24"/>
        </w:rPr>
        <w:t xml:space="preserve"> (</w:t>
      </w:r>
      <w:r w:rsidRPr="001449DC">
        <w:rPr>
          <w:rStyle w:val="Emphasis"/>
          <w:rFonts w:ascii="Times New Roman" w:hAnsi="Times New Roman"/>
          <w:sz w:val="24"/>
          <w:szCs w:val="24"/>
        </w:rPr>
        <w:t>People v Arnold</w:t>
      </w:r>
      <w:r w:rsidRPr="001449DC">
        <w:rPr>
          <w:rFonts w:ascii="Times New Roman" w:hAnsi="Times New Roman"/>
          <w:sz w:val="24"/>
          <w:szCs w:val="24"/>
        </w:rPr>
        <w:t xml:space="preserve">, 96 N.Y.2d 358, 363 [2001]), that prospective juror must be excused for cause unless they provide an </w:t>
      </w:r>
      <w:r>
        <w:rPr>
          <w:rFonts w:ascii="Times New Roman" w:hAnsi="Times New Roman"/>
          <w:sz w:val="24"/>
          <w:szCs w:val="24"/>
        </w:rPr>
        <w:t>‘</w:t>
      </w:r>
      <w:r w:rsidRPr="001449DC">
        <w:rPr>
          <w:rFonts w:ascii="Times New Roman" w:hAnsi="Times New Roman"/>
          <w:sz w:val="24"/>
          <w:szCs w:val="24"/>
        </w:rPr>
        <w:t>unequivocal assurance that they can set aside any bias and render an impartial verdict based on the evidence</w:t>
      </w:r>
      <w:r>
        <w:rPr>
          <w:rFonts w:ascii="Times New Roman" w:hAnsi="Times New Roman"/>
          <w:sz w:val="24"/>
          <w:szCs w:val="24"/>
        </w:rPr>
        <w:t>’</w:t>
      </w:r>
      <w:r w:rsidRPr="001449DC">
        <w:rPr>
          <w:rFonts w:ascii="Times New Roman" w:hAnsi="Times New Roman"/>
          <w:sz w:val="24"/>
          <w:szCs w:val="24"/>
        </w:rPr>
        <w:t xml:space="preserve"> (</w:t>
      </w:r>
      <w:r w:rsidRPr="001449DC">
        <w:rPr>
          <w:rStyle w:val="Emphasis"/>
          <w:rFonts w:ascii="Times New Roman" w:hAnsi="Times New Roman"/>
          <w:sz w:val="24"/>
          <w:szCs w:val="24"/>
        </w:rPr>
        <w:t>People v Johnson</w:t>
      </w:r>
      <w:r w:rsidRPr="001449DC">
        <w:rPr>
          <w:rFonts w:ascii="Times New Roman" w:hAnsi="Times New Roman"/>
          <w:sz w:val="24"/>
          <w:szCs w:val="24"/>
        </w:rPr>
        <w:t xml:space="preserve">, 94 N.Y.2d 600, 614 [2000]; </w:t>
      </w:r>
      <w:r w:rsidRPr="001449DC">
        <w:rPr>
          <w:rStyle w:val="Emphasis"/>
          <w:rFonts w:ascii="Times New Roman" w:hAnsi="Times New Roman"/>
          <w:sz w:val="24"/>
          <w:szCs w:val="24"/>
        </w:rPr>
        <w:t>see People v Nicholas</w:t>
      </w:r>
      <w:r w:rsidRPr="001449DC">
        <w:rPr>
          <w:rFonts w:ascii="Times New Roman" w:hAnsi="Times New Roman"/>
          <w:sz w:val="24"/>
          <w:szCs w:val="24"/>
        </w:rPr>
        <w:t xml:space="preserve">, 98 N.Y.2d 749, 750 [2002]; </w:t>
      </w:r>
      <w:r w:rsidRPr="001449DC">
        <w:rPr>
          <w:rStyle w:val="Emphasis"/>
          <w:rFonts w:ascii="Times New Roman" w:hAnsi="Times New Roman"/>
          <w:sz w:val="24"/>
          <w:szCs w:val="24"/>
        </w:rPr>
        <w:t>People v Chambers</w:t>
      </w:r>
      <w:r w:rsidRPr="001449DC">
        <w:rPr>
          <w:rFonts w:ascii="Times New Roman" w:hAnsi="Times New Roman"/>
          <w:sz w:val="24"/>
          <w:szCs w:val="24"/>
        </w:rPr>
        <w:t>, 97 N.Y.2d 417, 419 [2002]).</w:t>
      </w:r>
      <w:r>
        <w:rPr>
          <w:rFonts w:ascii="Times New Roman" w:hAnsi="Times New Roman"/>
          <w:sz w:val="24"/>
          <w:szCs w:val="24"/>
        </w:rPr>
        <w:t xml:space="preserve">” </w:t>
      </w:r>
      <w:hyperlink r:id="rId177" w:history="1">
        <w:r w:rsidRPr="00812663">
          <w:rPr>
            <w:rStyle w:val="Hyperlink"/>
            <w:sz w:val="24"/>
            <w:szCs w:val="24"/>
          </w:rPr>
          <w:t>https://casetext.com/case/people-v-smith-9160</w:t>
        </w:r>
      </w:hyperlink>
      <w:r>
        <w:rPr>
          <w:rFonts w:ascii="Times New Roman" w:hAnsi="Times New Roman"/>
          <w:sz w:val="24"/>
          <w:szCs w:val="24"/>
        </w:rPr>
        <w:t xml:space="preserve"> </w:t>
      </w:r>
    </w:p>
    <w:p w14:paraId="08DB923B" w14:textId="77777777" w:rsidR="00FE60DA" w:rsidRPr="001449DC" w:rsidRDefault="00FE60DA" w:rsidP="00FE60DA">
      <w:pPr>
        <w:spacing w:before="100" w:beforeAutospacing="1" w:after="100" w:afterAutospacing="1" w:line="240" w:lineRule="auto"/>
        <w:rPr>
          <w:rFonts w:ascii="Times New Roman" w:eastAsia="Times New Roman" w:hAnsi="Times New Roman"/>
          <w:b/>
          <w:bCs/>
          <w:sz w:val="24"/>
          <w:szCs w:val="24"/>
        </w:rPr>
      </w:pPr>
      <w:r w:rsidRPr="001449DC">
        <w:rPr>
          <w:rFonts w:ascii="Times New Roman" w:hAnsi="Times New Roman"/>
          <w:b/>
          <w:bCs/>
          <w:sz w:val="24"/>
          <w:szCs w:val="24"/>
        </w:rPr>
        <w:t xml:space="preserve">Legal Lesson Learned: </w:t>
      </w:r>
      <w:r>
        <w:rPr>
          <w:rFonts w:ascii="Times New Roman" w:hAnsi="Times New Roman"/>
          <w:b/>
          <w:bCs/>
          <w:sz w:val="24"/>
          <w:szCs w:val="24"/>
        </w:rPr>
        <w:t>EMS and firefighters can be jurors in criminal cases, but not if they tell Court they view police in a “very positive light.”</w:t>
      </w:r>
    </w:p>
    <w:p w14:paraId="1108CC94" w14:textId="77777777" w:rsidR="00FE60DA" w:rsidRDefault="00FE60DA" w:rsidP="00F326E5">
      <w:pPr>
        <w:pStyle w:val="NoSpacing"/>
        <w:rPr>
          <w:rFonts w:ascii="Arial Black" w:hAnsi="Arial Black"/>
          <w:sz w:val="24"/>
          <w:szCs w:val="24"/>
        </w:rPr>
      </w:pPr>
    </w:p>
    <w:p w14:paraId="78EC9D04" w14:textId="0E74EAEB" w:rsidR="00FE60DA" w:rsidRDefault="00FE60DA" w:rsidP="00F326E5">
      <w:pPr>
        <w:pStyle w:val="NoSpacing"/>
        <w:rPr>
          <w:rFonts w:ascii="Arial Black" w:hAnsi="Arial Black"/>
          <w:sz w:val="24"/>
          <w:szCs w:val="24"/>
        </w:rPr>
      </w:pPr>
      <w:r>
        <w:rPr>
          <w:rFonts w:ascii="Arial Black" w:hAnsi="Arial Black"/>
          <w:sz w:val="24"/>
          <w:szCs w:val="24"/>
        </w:rPr>
        <w:t>1-125</w:t>
      </w:r>
    </w:p>
    <w:p w14:paraId="5A928EE9" w14:textId="77777777" w:rsidR="00FE60DA" w:rsidRDefault="00FE60DA" w:rsidP="00F326E5">
      <w:pPr>
        <w:pStyle w:val="NoSpacing"/>
        <w:rPr>
          <w:rFonts w:ascii="Arial Black" w:hAnsi="Arial Black"/>
          <w:sz w:val="24"/>
          <w:szCs w:val="24"/>
        </w:rPr>
      </w:pPr>
    </w:p>
    <w:p w14:paraId="2A62469C" w14:textId="77777777" w:rsidR="00FE60DA" w:rsidRDefault="00FE60DA" w:rsidP="00FE60DA">
      <w:pPr>
        <w:pStyle w:val="NormalWeb"/>
        <w:jc w:val="both"/>
        <w:rPr>
          <w:rFonts w:ascii="Arial Black" w:hAnsi="Arial Black"/>
          <w:sz w:val="28"/>
          <w:szCs w:val="28"/>
        </w:rPr>
      </w:pPr>
      <w:r>
        <w:rPr>
          <w:rFonts w:ascii="Arial Black" w:hAnsi="Arial Black"/>
          <w:sz w:val="28"/>
          <w:szCs w:val="28"/>
        </w:rPr>
        <w:t xml:space="preserve">OH: CITY ORDERED VACANT BLDG DEMOLISHED – MAIL NOTICE OWNER RETURNED – DUE PROCESS CASE PROCEED </w:t>
      </w:r>
    </w:p>
    <w:p w14:paraId="173B8632" w14:textId="77777777" w:rsidR="00FE60DA"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15, 2023, in </w:t>
      </w:r>
      <w:r w:rsidRPr="00856DBC">
        <w:rPr>
          <w:rFonts w:ascii="Times New Roman" w:hAnsi="Times New Roman"/>
          <w:sz w:val="24"/>
          <w:szCs w:val="24"/>
          <w:u w:val="single"/>
        </w:rPr>
        <w:t>Two Bridges, LLC v. City of Youngstown, Ohio</w:t>
      </w:r>
      <w:r>
        <w:rPr>
          <w:rFonts w:ascii="Times New Roman" w:hAnsi="Times New Roman"/>
          <w:sz w:val="24"/>
          <w:szCs w:val="24"/>
        </w:rPr>
        <w:t>, the U.S. Court of Appeals for 6</w:t>
      </w:r>
      <w:r w:rsidRPr="00856DBC">
        <w:rPr>
          <w:rFonts w:ascii="Times New Roman" w:hAnsi="Times New Roman"/>
          <w:sz w:val="24"/>
          <w:szCs w:val="24"/>
          <w:vertAlign w:val="superscript"/>
        </w:rPr>
        <w:t>th</w:t>
      </w:r>
      <w:r>
        <w:rPr>
          <w:rFonts w:ascii="Times New Roman" w:hAnsi="Times New Roman"/>
          <w:sz w:val="24"/>
          <w:szCs w:val="24"/>
        </w:rPr>
        <w:t xml:space="preserve"> Circuit (Cincinnati), held (3 to 0; unpublished decision) that U.S. District Court Judge properly held the city’s immunity under Ohio law does not apply in a lawsuit under 42 U.S.C. 1983 for violation of due process rights of 14</w:t>
      </w:r>
      <w:r w:rsidRPr="004A01B0">
        <w:rPr>
          <w:rFonts w:ascii="Times New Roman" w:hAnsi="Times New Roman"/>
          <w:sz w:val="24"/>
          <w:szCs w:val="24"/>
          <w:vertAlign w:val="superscript"/>
        </w:rPr>
        <w:t>th</w:t>
      </w:r>
      <w:r>
        <w:rPr>
          <w:rFonts w:ascii="Times New Roman" w:hAnsi="Times New Roman"/>
          <w:sz w:val="24"/>
          <w:szCs w:val="24"/>
        </w:rPr>
        <w:t xml:space="preserve"> Amendment to U.S. Constitution. The city mailed several notices of planned demolition that were addressed to the property that had been vacant for four years (none delivered).  The city also mailed notices to two other businesses owned by Two Bridges; all returned undelivered. </w:t>
      </w:r>
    </w:p>
    <w:p w14:paraId="6197F67E" w14:textId="77777777" w:rsidR="00FE60DA" w:rsidRPr="004A01B0"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The Court held: </w:t>
      </w:r>
      <w:r w:rsidRPr="00A3158D">
        <w:rPr>
          <w:rFonts w:ascii="Times New Roman" w:hAnsi="Times New Roman"/>
          <w:sz w:val="24"/>
          <w:szCs w:val="24"/>
        </w:rPr>
        <w:t xml:space="preserve">“The district court denied the city's motion, finding that a state-law provision exempting federal claims from statutory immunity applies. Youngstown now brings this appeal. </w:t>
      </w:r>
      <w:proofErr w:type="gramStart"/>
      <w:r w:rsidRPr="00A3158D">
        <w:rPr>
          <w:rFonts w:ascii="Times New Roman" w:hAnsi="Times New Roman"/>
          <w:sz w:val="24"/>
          <w:szCs w:val="24"/>
        </w:rPr>
        <w:t>For the reasons that</w:t>
      </w:r>
      <w:proofErr w:type="gramEnd"/>
      <w:r w:rsidRPr="00A3158D">
        <w:rPr>
          <w:rFonts w:ascii="Times New Roman" w:hAnsi="Times New Roman"/>
          <w:sz w:val="24"/>
          <w:szCs w:val="24"/>
        </w:rPr>
        <w:t xml:space="preserve"> follow, we AFFIRM the judgment of the district court. *** </w:t>
      </w:r>
      <w:r w:rsidRPr="004A01B0">
        <w:rPr>
          <w:rFonts w:ascii="Times New Roman" w:hAnsi="Times New Roman"/>
          <w:sz w:val="24"/>
          <w:szCs w:val="24"/>
        </w:rPr>
        <w:t xml:space="preserve">In sum, whether a plaintiff can invoke the federal exception to statutory immunity depends on the substance of his claim. Properly pleaded due process claims under the federal Constitution are not transformed into tort actions simply because they are raised in the wake of a </w:t>
      </w:r>
      <w:proofErr w:type="gramStart"/>
      <w:r w:rsidRPr="004A01B0">
        <w:rPr>
          <w:rFonts w:ascii="Times New Roman" w:hAnsi="Times New Roman"/>
          <w:sz w:val="24"/>
          <w:szCs w:val="24"/>
        </w:rPr>
        <w:t>demolition.</w:t>
      </w:r>
      <w:r>
        <w:rPr>
          <w:rFonts w:ascii="Times New Roman" w:hAnsi="Times New Roman"/>
          <w:sz w:val="24"/>
          <w:szCs w:val="24"/>
        </w:rPr>
        <w:t>”</w:t>
      </w:r>
      <w:proofErr w:type="gramEnd"/>
      <w:r w:rsidRPr="004A01B0">
        <w:t xml:space="preserve"> </w:t>
      </w:r>
      <w:hyperlink r:id="rId178" w:history="1">
        <w:r w:rsidRPr="00812663">
          <w:rPr>
            <w:rStyle w:val="Hyperlink"/>
          </w:rPr>
          <w:t>https://casetext.com/case/two-bridges-llc-v-city-of-youngstown</w:t>
        </w:r>
      </w:hyperlink>
      <w:r>
        <w:t xml:space="preserve"> </w:t>
      </w:r>
    </w:p>
    <w:p w14:paraId="0DF0F6BE" w14:textId="77777777" w:rsidR="00FE60DA" w:rsidRPr="00A3158D" w:rsidRDefault="00FE60DA" w:rsidP="00FE60DA">
      <w:pPr>
        <w:spacing w:before="100" w:beforeAutospacing="1" w:after="100" w:afterAutospacing="1" w:line="240" w:lineRule="auto"/>
        <w:rPr>
          <w:rFonts w:ascii="Times New Roman" w:hAnsi="Times New Roman"/>
          <w:b/>
          <w:bCs/>
          <w:sz w:val="24"/>
          <w:szCs w:val="24"/>
        </w:rPr>
      </w:pPr>
      <w:r w:rsidRPr="00A3158D">
        <w:rPr>
          <w:rFonts w:ascii="Times New Roman" w:hAnsi="Times New Roman"/>
          <w:b/>
          <w:bCs/>
          <w:sz w:val="24"/>
          <w:szCs w:val="24"/>
        </w:rPr>
        <w:t>Legal Lesson Learned:</w:t>
      </w:r>
      <w:r>
        <w:rPr>
          <w:rFonts w:ascii="Times New Roman" w:hAnsi="Times New Roman"/>
          <w:b/>
          <w:bCs/>
          <w:sz w:val="24"/>
          <w:szCs w:val="24"/>
        </w:rPr>
        <w:t xml:space="preserve"> If notices of demolition are returned undelivered, pick up the phone and speak with the building owner. </w:t>
      </w:r>
    </w:p>
    <w:p w14:paraId="4852C527" w14:textId="77777777" w:rsidR="00FE60DA" w:rsidRDefault="00FE60DA" w:rsidP="00F326E5">
      <w:pPr>
        <w:pStyle w:val="NoSpacing"/>
        <w:rPr>
          <w:rFonts w:ascii="Arial Black" w:hAnsi="Arial Black"/>
          <w:sz w:val="24"/>
          <w:szCs w:val="24"/>
        </w:rPr>
      </w:pPr>
    </w:p>
    <w:p w14:paraId="38FE32E2" w14:textId="77777777" w:rsidR="00FE60DA" w:rsidRDefault="00FE60DA" w:rsidP="00F326E5">
      <w:pPr>
        <w:pStyle w:val="NoSpacing"/>
        <w:rPr>
          <w:rFonts w:ascii="Arial Black" w:hAnsi="Arial Black"/>
          <w:sz w:val="24"/>
          <w:szCs w:val="24"/>
        </w:rPr>
      </w:pPr>
    </w:p>
    <w:p w14:paraId="23B5C202" w14:textId="77777777" w:rsidR="00FE60DA" w:rsidRDefault="00FE60DA" w:rsidP="00F326E5">
      <w:pPr>
        <w:pStyle w:val="NoSpacing"/>
        <w:rPr>
          <w:rFonts w:ascii="Arial Black" w:hAnsi="Arial Black"/>
          <w:sz w:val="24"/>
          <w:szCs w:val="24"/>
        </w:rPr>
      </w:pPr>
    </w:p>
    <w:p w14:paraId="4097D758" w14:textId="0AF2E7DD" w:rsidR="00DC17BF" w:rsidRDefault="00DC17BF" w:rsidP="00F326E5">
      <w:pPr>
        <w:pStyle w:val="NoSpacing"/>
        <w:rPr>
          <w:rFonts w:ascii="Arial Black" w:hAnsi="Arial Black"/>
          <w:sz w:val="24"/>
          <w:szCs w:val="24"/>
        </w:rPr>
      </w:pPr>
      <w:r>
        <w:rPr>
          <w:rFonts w:ascii="Arial Black" w:hAnsi="Arial Black"/>
          <w:sz w:val="24"/>
          <w:szCs w:val="24"/>
        </w:rPr>
        <w:t>1-124</w:t>
      </w:r>
    </w:p>
    <w:p w14:paraId="52AD7C5D" w14:textId="77777777" w:rsidR="00DC17BF" w:rsidRDefault="00DC17BF" w:rsidP="00F326E5">
      <w:pPr>
        <w:pStyle w:val="NoSpacing"/>
        <w:rPr>
          <w:rFonts w:ascii="Arial Black" w:hAnsi="Arial Black"/>
          <w:sz w:val="24"/>
          <w:szCs w:val="24"/>
        </w:rPr>
      </w:pPr>
    </w:p>
    <w:p w14:paraId="7BF9B1E2" w14:textId="77777777" w:rsidR="00DC17BF" w:rsidRDefault="00DC17BF" w:rsidP="00DC17BF">
      <w:pPr>
        <w:pStyle w:val="NormalWeb"/>
        <w:rPr>
          <w:rFonts w:ascii="Arial Black" w:hAnsi="Arial Black"/>
          <w:sz w:val="28"/>
          <w:szCs w:val="28"/>
        </w:rPr>
      </w:pPr>
      <w:bookmarkStart w:id="1" w:name="_Hlk136857339"/>
      <w:r>
        <w:rPr>
          <w:rFonts w:ascii="Arial Black" w:hAnsi="Arial Black"/>
          <w:sz w:val="28"/>
          <w:szCs w:val="28"/>
        </w:rPr>
        <w:t>GA: FIRE CODE – ETHIOPIAN BAR SHUT DOWN – ALLEGES “RACIAL” ENFORCEMENT – CASE PROCEED COUNTY</w:t>
      </w:r>
    </w:p>
    <w:bookmarkEnd w:id="1"/>
    <w:p w14:paraId="352A2D8D" w14:textId="77777777" w:rsidR="00DC17BF" w:rsidRPr="00DC17BF" w:rsidRDefault="00DC17BF" w:rsidP="00DC17BF">
      <w:pPr>
        <w:pStyle w:val="NormalWeb"/>
      </w:pPr>
      <w:r w:rsidRPr="00DC17BF">
        <w:t xml:space="preserve">On June 1, 2023, </w:t>
      </w:r>
      <w:r w:rsidRPr="00DC17BF">
        <w:rPr>
          <w:u w:val="single"/>
        </w:rPr>
        <w:t>in Sheba Ethiopian Restaurant, Inc., d.ba. Queen of Sheba Ethiopian Restaurant v. Dekalb County, Georgia, et al</w:t>
      </w:r>
      <w:r w:rsidRPr="00DC17BF">
        <w:t xml:space="preserve">., the U.S. Court of Appeals for the Eleventh Circuit (Atlanta) held (3 to 0) that County officials cannot be sued, but case remanded for possible trial for race discrimination claim against the County. The Court described </w:t>
      </w:r>
      <w:proofErr w:type="gramStart"/>
      <w:r w:rsidRPr="00DC17BF">
        <w:t>citizen’s</w:t>
      </w:r>
      <w:proofErr w:type="gramEnd"/>
      <w:r w:rsidRPr="00DC17BF">
        <w:t xml:space="preserve"> complaints. </w:t>
      </w:r>
    </w:p>
    <w:p w14:paraId="7455004E" w14:textId="2E225D34" w:rsidR="00DC17BF" w:rsidRPr="00DC17BF" w:rsidRDefault="00DC17BF" w:rsidP="00DC17BF">
      <w:pPr>
        <w:pStyle w:val="NoSpacing"/>
        <w:rPr>
          <w:rStyle w:val="Hyperlink"/>
          <w:rFonts w:ascii="Times New Roman" w:eastAsiaTheme="majorEastAsia" w:hAnsi="Times New Roman"/>
          <w:sz w:val="24"/>
          <w:szCs w:val="24"/>
        </w:rPr>
      </w:pPr>
      <w:r w:rsidRPr="00DC17BF">
        <w:rPr>
          <w:rFonts w:ascii="Times New Roman" w:hAnsi="Times New Roman"/>
          <w:sz w:val="24"/>
          <w:szCs w:val="24"/>
        </w:rPr>
        <w:t xml:space="preserve">“By all accounts, Sheba's relationship with the county proceeded rather smoothly for seven or so years following these amendments. The relationship started to sour, however, in 2015, when Martha Gross-a private citizen who lived near Sheba and several other Ethiopian restaurants-‘spearheaded’ a campaign to ‘cripple’ the Ethiopian restaurant community. Gross spoke at the county's public meetings and posted on social media about "her desire to prohibit" certain Ethiopian restaurants and hookah bars ‘from operating during late hours . . . either by removing grandfather[ed] status’ or by ‘preventing the establishments from obtaining [special land use permits].’ *** In sum, we do not address whether corporations can-or cannot-state a race discrimination claim under section 1981. We hold only that there was no clearly established law in our circuit determining that officials </w:t>
      </w:r>
      <w:r w:rsidRPr="00DC17BF">
        <w:rPr>
          <w:rStyle w:val="Emphasis"/>
          <w:rFonts w:ascii="Times New Roman" w:hAnsi="Times New Roman"/>
          <w:sz w:val="24"/>
          <w:szCs w:val="24"/>
        </w:rPr>
        <w:t>are</w:t>
      </w:r>
      <w:r w:rsidRPr="00DC17BF">
        <w:rPr>
          <w:rFonts w:ascii="Times New Roman" w:hAnsi="Times New Roman"/>
          <w:sz w:val="24"/>
          <w:szCs w:val="24"/>
        </w:rPr>
        <w:t xml:space="preserve"> liable under section 1981 for discriminating against a corporation. In this absence, the officials in our case were entitled to qualified immunity.” </w:t>
      </w:r>
      <w:hyperlink r:id="rId179" w:history="1">
        <w:r w:rsidRPr="00DC17BF">
          <w:rPr>
            <w:rStyle w:val="Hyperlink"/>
            <w:rFonts w:ascii="Times New Roman" w:eastAsiaTheme="majorEastAsia" w:hAnsi="Times New Roman"/>
            <w:sz w:val="24"/>
            <w:szCs w:val="24"/>
          </w:rPr>
          <w:t>https://public.fastcase.com/ZZhmr5v9wN%2FXOe5IsQ%2FqDyh9W7agvNTeMPH8d1RJsPvP%2Fg5ZmquK03Jneavd35tblyNJzoowc3pRVBJlbMB8OXwMF7nsK7TpaO1eghvi3n8%3D?utm_medium=email&amp;_hsmi=226712652&amp;_hsenc=p2ANqtz-8CWkqPTOXpr4VKRSXFO6n4aimmH3FbbAM7Ve_pkSBcowoTJe6gCXxXh8Df-qrWOoYs_EV26aJQZp9WCJOKGH6IdbP0yQ&amp;utm_content=226712652&amp;utm_source=hs_email</w:t>
        </w:r>
      </w:hyperlink>
    </w:p>
    <w:p w14:paraId="3A34C603" w14:textId="77777777" w:rsidR="00DC17BF" w:rsidRPr="00DC17BF" w:rsidRDefault="00DC17BF" w:rsidP="00DC17BF">
      <w:pPr>
        <w:pStyle w:val="NoSpacing"/>
        <w:rPr>
          <w:rStyle w:val="Hyperlink"/>
          <w:rFonts w:ascii="Times New Roman" w:eastAsiaTheme="majorEastAsia" w:hAnsi="Times New Roman"/>
          <w:sz w:val="24"/>
          <w:szCs w:val="24"/>
        </w:rPr>
      </w:pPr>
    </w:p>
    <w:p w14:paraId="04C4E168" w14:textId="77777777" w:rsidR="00DC17BF" w:rsidRPr="00EA1F9B" w:rsidRDefault="00DC17BF" w:rsidP="00DC17BF">
      <w:pPr>
        <w:pStyle w:val="NormalWeb"/>
        <w:rPr>
          <w:b/>
          <w:bCs/>
        </w:rPr>
      </w:pPr>
      <w:r w:rsidRPr="00EA1F9B">
        <w:rPr>
          <w:b/>
          <w:bCs/>
        </w:rPr>
        <w:t>Legal Lesson Learned:</w:t>
      </w:r>
      <w:r>
        <w:rPr>
          <w:b/>
          <w:bCs/>
        </w:rPr>
        <w:t xml:space="preserve"> The lawsuit for race discrimination has been remanded to U.S. District Court for trial against the County. </w:t>
      </w:r>
    </w:p>
    <w:p w14:paraId="49134EDA" w14:textId="77777777" w:rsidR="00DC17BF" w:rsidRDefault="00DC17BF" w:rsidP="00DC17BF">
      <w:pPr>
        <w:pStyle w:val="NoSpacing"/>
        <w:rPr>
          <w:rFonts w:ascii="Arial Black" w:hAnsi="Arial Black"/>
          <w:sz w:val="24"/>
          <w:szCs w:val="24"/>
        </w:rPr>
      </w:pPr>
    </w:p>
    <w:p w14:paraId="74BBA089" w14:textId="03DF0F9C" w:rsidR="00DC17BF" w:rsidRDefault="00DC17BF" w:rsidP="00DC17BF">
      <w:pPr>
        <w:pStyle w:val="NoSpacing"/>
        <w:rPr>
          <w:rFonts w:ascii="Arial Black" w:hAnsi="Arial Black"/>
          <w:sz w:val="24"/>
          <w:szCs w:val="24"/>
        </w:rPr>
      </w:pPr>
      <w:r>
        <w:rPr>
          <w:rFonts w:ascii="Arial Black" w:hAnsi="Arial Black"/>
          <w:sz w:val="24"/>
          <w:szCs w:val="24"/>
        </w:rPr>
        <w:t>1-123</w:t>
      </w:r>
    </w:p>
    <w:p w14:paraId="73DC8D4C" w14:textId="77777777" w:rsidR="00DC17BF" w:rsidRDefault="00DC17BF" w:rsidP="00DC17BF">
      <w:pPr>
        <w:pStyle w:val="NoSpacing"/>
        <w:rPr>
          <w:rFonts w:ascii="Arial Black" w:hAnsi="Arial Black"/>
          <w:sz w:val="24"/>
          <w:szCs w:val="24"/>
        </w:rPr>
      </w:pPr>
    </w:p>
    <w:p w14:paraId="3F5C5A4B" w14:textId="77777777" w:rsidR="00DC17BF" w:rsidRDefault="00DC17BF" w:rsidP="00DC17BF">
      <w:pPr>
        <w:pStyle w:val="NormalWeb"/>
        <w:rPr>
          <w:rFonts w:ascii="Arial Black" w:hAnsi="Arial Black"/>
          <w:sz w:val="28"/>
          <w:szCs w:val="28"/>
        </w:rPr>
      </w:pPr>
      <w:bookmarkStart w:id="2" w:name="_Hlk136857512"/>
      <w:r>
        <w:rPr>
          <w:rFonts w:ascii="Arial Black" w:hAnsi="Arial Black"/>
          <w:sz w:val="28"/>
          <w:szCs w:val="28"/>
        </w:rPr>
        <w:t>DC: U.S. SUP. CT. – FALSE CLAIMS ACT – WHISTLEBLOWER CASES MADE EASIER - “SUBSTANTIAL RISK” FALSE PRICES</w:t>
      </w:r>
    </w:p>
    <w:bookmarkEnd w:id="2"/>
    <w:p w14:paraId="5500D11A" w14:textId="77777777" w:rsidR="00DC17BF" w:rsidRDefault="00DC17BF" w:rsidP="00DC17BF">
      <w:pPr>
        <w:pStyle w:val="NormalWeb"/>
        <w:rPr>
          <w:rStyle w:val="markedcontent"/>
        </w:rPr>
      </w:pPr>
      <w:r>
        <w:rPr>
          <w:rStyle w:val="markedcontent"/>
        </w:rPr>
        <w:t xml:space="preserve">On June 1, 2023, in </w:t>
      </w:r>
      <w:r w:rsidRPr="00A41C8A">
        <w:rPr>
          <w:rStyle w:val="markedcontent"/>
          <w:u w:val="single"/>
        </w:rPr>
        <w:t xml:space="preserve">United States ex. Rel. Schutte, et al. v. </w:t>
      </w:r>
      <w:proofErr w:type="spellStart"/>
      <w:r w:rsidRPr="00A41C8A">
        <w:rPr>
          <w:rStyle w:val="markedcontent"/>
          <w:u w:val="single"/>
        </w:rPr>
        <w:t>SuperValu</w:t>
      </w:r>
      <w:proofErr w:type="spellEnd"/>
      <w:r w:rsidRPr="00A41C8A">
        <w:rPr>
          <w:rStyle w:val="markedcontent"/>
          <w:u w:val="single"/>
        </w:rPr>
        <w:t>, Inc</w:t>
      </w:r>
      <w:r>
        <w:rPr>
          <w:rStyle w:val="markedcontent"/>
        </w:rPr>
        <w:t xml:space="preserve">. [and companion case of </w:t>
      </w:r>
      <w:r w:rsidRPr="00A41C8A">
        <w:rPr>
          <w:rStyle w:val="markedcontent"/>
          <w:u w:val="single"/>
        </w:rPr>
        <w:t>United State ex rel. Proctor v. Safeway, Inc.</w:t>
      </w:r>
      <w:r>
        <w:rPr>
          <w:rStyle w:val="markedcontent"/>
        </w:rPr>
        <w:t xml:space="preserve">], the U.S. Supreme Court held (9 to 0) in an opinion by Justice Clarence Thomas, that lawsuits by private individuals suing on behalf of U.S. Government against two retail drug store companies may proceed. The plaintiffs claim that companies false certified to Medicaid and Medicare that drug prices were the “usual and customary” price, but many of drugs were </w:t>
      </w:r>
      <w:proofErr w:type="gramStart"/>
      <w:r>
        <w:rPr>
          <w:rStyle w:val="markedcontent"/>
        </w:rPr>
        <w:t>actually sold</w:t>
      </w:r>
      <w:proofErr w:type="gramEnd"/>
      <w:r>
        <w:rPr>
          <w:rStyle w:val="markedcontent"/>
        </w:rPr>
        <w:t xml:space="preserve"> to cash customers at greatly discounted prices.   Whistleblower lawsuits may proceed if evidence pharmacies to “substantial risk” that drug prices to Federal government did not reflect customer discounts. Justice Thomas described this example. </w:t>
      </w:r>
    </w:p>
    <w:p w14:paraId="1B62B4D4" w14:textId="77777777" w:rsidR="00DC17BF" w:rsidRDefault="00DC17BF" w:rsidP="00DC17BF">
      <w:pPr>
        <w:pStyle w:val="NormalWeb"/>
        <w:ind w:left="720"/>
        <w:rPr>
          <w:b/>
          <w:bCs/>
        </w:rPr>
      </w:pPr>
      <w:r>
        <w:rPr>
          <w:rStyle w:val="markedcontent"/>
        </w:rPr>
        <w:t xml:space="preserve">“For example, petitioners have presented evidence that Safeway charged just $10 for 94% of its cash sales for a 90-day supply of a cholesterol drug between 2008 and 2012. Yet Safeway apparently reported prices as high as $108 as “usual and customary” during that time. And petitioners presented evidence that, at least at some times and for some drugs, </w:t>
      </w:r>
      <w:proofErr w:type="spellStart"/>
      <w:r>
        <w:rPr>
          <w:rStyle w:val="markedcontent"/>
        </w:rPr>
        <w:t>SuperValu</w:t>
      </w:r>
      <w:proofErr w:type="spellEnd"/>
      <w:r>
        <w:rPr>
          <w:rStyle w:val="markedcontent"/>
        </w:rPr>
        <w:t xml:space="preserve"> made more than 80% of its cash sales for prices less than what it disclosed as its “usual and customary” price…. For scienter, it is enough if respondents believed that their claims were not accurate.”</w:t>
      </w:r>
      <w:r w:rsidRPr="00AB1613">
        <w:t xml:space="preserve"> </w:t>
      </w:r>
      <w:hyperlink r:id="rId180" w:history="1">
        <w:r w:rsidRPr="009A7773">
          <w:rPr>
            <w:rStyle w:val="Hyperlink"/>
            <w:rFonts w:eastAsiaTheme="majorEastAsia"/>
          </w:rPr>
          <w:t>https://www.supremecourt.gov/opinions/22pdf/21-1326_6jfl.pdf</w:t>
        </w:r>
      </w:hyperlink>
      <w:r>
        <w:rPr>
          <w:rStyle w:val="markedcontent"/>
        </w:rPr>
        <w:t xml:space="preserve"> </w:t>
      </w:r>
    </w:p>
    <w:p w14:paraId="726EEC56" w14:textId="77777777" w:rsidR="00DC17BF" w:rsidRDefault="00DC17BF" w:rsidP="00DC17BF">
      <w:pPr>
        <w:pStyle w:val="NormalWeb"/>
        <w:rPr>
          <w:rStyle w:val="markedcontent"/>
          <w:b/>
          <w:bCs/>
        </w:rPr>
      </w:pPr>
      <w:r w:rsidRPr="00604354">
        <w:rPr>
          <w:rStyle w:val="markedcontent"/>
          <w:b/>
          <w:bCs/>
        </w:rPr>
        <w:t xml:space="preserve">Legal Lesson Learned: </w:t>
      </w:r>
      <w:r>
        <w:rPr>
          <w:rStyle w:val="markedcontent"/>
          <w:b/>
          <w:bCs/>
        </w:rPr>
        <w:t xml:space="preserve">This is a significant decision given the large number of Whistleblower lawsuits filed in the health care industry, including EMS billing cases. </w:t>
      </w:r>
    </w:p>
    <w:p w14:paraId="246D9C60" w14:textId="77777777" w:rsidR="00DC17BF" w:rsidRPr="00604354" w:rsidRDefault="00DC17BF" w:rsidP="00DC17BF">
      <w:pPr>
        <w:pStyle w:val="Heading1"/>
        <w:ind w:left="720"/>
        <w:rPr>
          <w:b w:val="0"/>
          <w:bCs w:val="0"/>
          <w:sz w:val="24"/>
          <w:szCs w:val="24"/>
        </w:rPr>
      </w:pPr>
      <w:r w:rsidRPr="00604354">
        <w:rPr>
          <w:rStyle w:val="markedcontent"/>
          <w:b w:val="0"/>
          <w:bCs w:val="0"/>
          <w:sz w:val="24"/>
          <w:szCs w:val="24"/>
        </w:rPr>
        <w:t xml:space="preserve">Note: </w:t>
      </w:r>
      <w:r>
        <w:rPr>
          <w:rStyle w:val="markedcontent"/>
          <w:b w:val="0"/>
          <w:bCs w:val="0"/>
          <w:sz w:val="24"/>
          <w:szCs w:val="24"/>
        </w:rPr>
        <w:t xml:space="preserve">See </w:t>
      </w:r>
      <w:r w:rsidRPr="00604354">
        <w:rPr>
          <w:rStyle w:val="markedcontent"/>
          <w:b w:val="0"/>
          <w:bCs w:val="0"/>
          <w:sz w:val="24"/>
          <w:szCs w:val="24"/>
        </w:rPr>
        <w:t>Feb. 7, 2023, the U.S. Department of Justice press release</w:t>
      </w:r>
      <w:r>
        <w:rPr>
          <w:rStyle w:val="markedcontent"/>
          <w:b w:val="0"/>
          <w:bCs w:val="0"/>
          <w:sz w:val="24"/>
          <w:szCs w:val="24"/>
        </w:rPr>
        <w:t>: “</w:t>
      </w:r>
      <w:r w:rsidRPr="00604354">
        <w:rPr>
          <w:b w:val="0"/>
          <w:bCs w:val="0"/>
          <w:sz w:val="24"/>
          <w:szCs w:val="24"/>
        </w:rPr>
        <w:t>False Claims Act Settlements and Judgments Exceed $2 Billion in Fiscal Year 2022</w:t>
      </w:r>
      <w:r>
        <w:rPr>
          <w:b w:val="0"/>
          <w:bCs w:val="0"/>
          <w:sz w:val="24"/>
          <w:szCs w:val="24"/>
        </w:rPr>
        <w:t xml:space="preserve">.  Second Highest Number of Settlements in History. </w:t>
      </w:r>
      <w:hyperlink r:id="rId181" w:history="1">
        <w:r w:rsidRPr="009A7773">
          <w:rPr>
            <w:rStyle w:val="Hyperlink"/>
            <w:rFonts w:eastAsiaTheme="majorEastAsia"/>
            <w:b w:val="0"/>
            <w:bCs w:val="0"/>
            <w:sz w:val="24"/>
            <w:szCs w:val="24"/>
          </w:rPr>
          <w:t>https://www.justice.gov/opa/pr/false-claims-act-settlements-and-judgments-exceed-2-billion-fiscal-year-2022</w:t>
        </w:r>
      </w:hyperlink>
      <w:r>
        <w:rPr>
          <w:b w:val="0"/>
          <w:bCs w:val="0"/>
          <w:sz w:val="24"/>
          <w:szCs w:val="24"/>
        </w:rPr>
        <w:t xml:space="preserve"> </w:t>
      </w:r>
    </w:p>
    <w:p w14:paraId="1C14CF8A" w14:textId="77777777" w:rsidR="00DC17BF" w:rsidRDefault="00DC17BF" w:rsidP="00DC17BF">
      <w:pPr>
        <w:pStyle w:val="NormalWeb"/>
        <w:ind w:left="1440"/>
      </w:pPr>
      <w:r>
        <w:t>“Of the more than $2.2 billion in False Claims Act settlements and judgments reported by the Department of Justice this past fiscal year, over $1.7 billion related to matters that involved the health care industry, including drug and medical device manufacturers, durable medical equipment, home health and managed care providers, hospitals, pharmacies, hospice organizations, and physicians. The amounts included in the $1.7 billion reflect recoveries arising only from federal losses, and, in many of these cases, the department was instrumental in recovering additional amounts for state Medicaid programs. The recoveries in fiscal year 2022 also reflected the department’s focus on new enforcement priorities, including fraud in pandemic relief programs and alleged violations of cybersecurity requirements in government contracts and grants.</w:t>
      </w:r>
    </w:p>
    <w:p w14:paraId="656AB19B" w14:textId="77777777" w:rsidR="00DC17BF" w:rsidRDefault="00DC17BF" w:rsidP="00DC17BF">
      <w:pPr>
        <w:pStyle w:val="NormalWeb"/>
        <w:ind w:left="1440"/>
      </w:pPr>
      <w:r>
        <w:t xml:space="preserve">In 1986, Congress strengthened the False Claims Act by increasing incentives for whistleblowers to file lawsuits alleging false claims on behalf of the government. </w:t>
      </w:r>
      <w:proofErr w:type="gramStart"/>
      <w:r>
        <w:t>These whistleblower</w:t>
      </w:r>
      <w:proofErr w:type="gramEnd"/>
      <w:r>
        <w:t>, or qui tam, actions comprise a significant percentage of the False Claims Act cases that are filed. Qui tam cases may be pursued by the government or the whistleblower, and this past year significant recoveries were obtained by both. When a qui tam action is successful, the whistleblower, also known as the relator, typically receives a portion of the recovery ranging between 15% and 30%. Whistleblowers filed 652 qui tam suits in fiscal year 2022, and this past year the department reported settlements and judgments exceeding $1.9 billion in these and earlier-filed suits.”</w:t>
      </w:r>
    </w:p>
    <w:p w14:paraId="492C644B" w14:textId="77777777" w:rsidR="00DC17BF" w:rsidRDefault="00DC17BF" w:rsidP="00DC17BF">
      <w:pPr>
        <w:pStyle w:val="NormalWeb"/>
      </w:pPr>
    </w:p>
    <w:p w14:paraId="0C3D1B9D" w14:textId="7A51DC60" w:rsidR="00DC17BF" w:rsidRDefault="00DC17BF" w:rsidP="00F326E5">
      <w:pPr>
        <w:pStyle w:val="NoSpacing"/>
        <w:rPr>
          <w:rFonts w:ascii="Arial Black" w:hAnsi="Arial Black"/>
          <w:sz w:val="24"/>
          <w:szCs w:val="24"/>
        </w:rPr>
      </w:pPr>
      <w:r>
        <w:rPr>
          <w:rFonts w:ascii="Arial Black" w:hAnsi="Arial Black"/>
          <w:sz w:val="24"/>
          <w:szCs w:val="24"/>
        </w:rPr>
        <w:t>1-122</w:t>
      </w:r>
    </w:p>
    <w:p w14:paraId="241B705B" w14:textId="77777777" w:rsidR="00DC17BF" w:rsidRDefault="00DC17BF" w:rsidP="00F326E5">
      <w:pPr>
        <w:pStyle w:val="NoSpacing"/>
        <w:rPr>
          <w:rFonts w:ascii="Arial Black" w:hAnsi="Arial Black"/>
          <w:sz w:val="24"/>
          <w:szCs w:val="24"/>
        </w:rPr>
      </w:pPr>
    </w:p>
    <w:p w14:paraId="4C414283" w14:textId="77777777" w:rsidR="00DC17BF" w:rsidRDefault="00DC17BF" w:rsidP="00DC17BF">
      <w:pPr>
        <w:pStyle w:val="NormalWeb"/>
        <w:rPr>
          <w:rFonts w:ascii="Arial Black" w:hAnsi="Arial Black"/>
          <w:sz w:val="28"/>
          <w:szCs w:val="28"/>
        </w:rPr>
      </w:pPr>
      <w:r>
        <w:rPr>
          <w:rFonts w:ascii="Arial Black" w:hAnsi="Arial Black"/>
          <w:sz w:val="28"/>
          <w:szCs w:val="28"/>
        </w:rPr>
        <w:t>DC:  U.S. SUP. CT. – HONEST SERVICES FRAUD CONV. REV – AID NY GOV. COMO PAID $35,000 – BUT LEFT STATE GOV’T</w:t>
      </w:r>
    </w:p>
    <w:p w14:paraId="7EA17E31" w14:textId="77777777" w:rsidR="00DC17BF" w:rsidRDefault="00DC17BF" w:rsidP="00DC17BF">
      <w:pPr>
        <w:pStyle w:val="NormalWeb"/>
      </w:pPr>
      <w:r>
        <w:t xml:space="preserve">On May 11, 2023, in </w:t>
      </w:r>
      <w:r w:rsidRPr="00192D79">
        <w:rPr>
          <w:u w:val="single"/>
        </w:rPr>
        <w:t>Joseph Percoco v. United States</w:t>
      </w:r>
      <w:r>
        <w:t xml:space="preserve">, the U.S. Supreme Court held (9 to 0) in opinion by Justice Samuel Alito that jury instructions were improper regarding </w:t>
      </w:r>
      <w:r>
        <w:rPr>
          <w:rStyle w:val="markedcontent"/>
        </w:rPr>
        <w:t xml:space="preserve">honest-services-fraud </w:t>
      </w:r>
      <w:r>
        <w:t xml:space="preserve">and reversed conviction since conduct occurred when not a </w:t>
      </w:r>
      <w:proofErr w:type="gramStart"/>
      <w:r>
        <w:t>State</w:t>
      </w:r>
      <w:proofErr w:type="gramEnd"/>
      <w:r>
        <w:t xml:space="preserve"> employee. During </w:t>
      </w:r>
      <w:proofErr w:type="gramStart"/>
      <w:r>
        <w:t>8-months</w:t>
      </w:r>
      <w:proofErr w:type="gramEnd"/>
      <w:r>
        <w:t xml:space="preserve"> when he left position of </w:t>
      </w:r>
      <w:r>
        <w:rPr>
          <w:rStyle w:val="markedcontent"/>
        </w:rPr>
        <w:t xml:space="preserve">Executive Deputy Secretary for Governor Como to run his campaign, he accepted $35,000 in two payments from a developer seeking to do  business with the State of New York. </w:t>
      </w:r>
    </w:p>
    <w:p w14:paraId="14731F81" w14:textId="77777777" w:rsidR="00DC17BF" w:rsidRDefault="00DC17BF" w:rsidP="00DC17BF">
      <w:pPr>
        <w:pStyle w:val="NormalWeb"/>
        <w:ind w:left="720"/>
      </w:pPr>
      <w:r>
        <w:t>“</w:t>
      </w:r>
      <w:r>
        <w:rPr>
          <w:rStyle w:val="markedcontent"/>
        </w:rPr>
        <w:t>Petitioner Joseph Percoco was charged with conspiring to commit honest-services wire</w:t>
      </w:r>
      <w:r>
        <w:br/>
      </w:r>
      <w:r>
        <w:rPr>
          <w:rStyle w:val="markedcontent"/>
        </w:rPr>
        <w:t xml:space="preserve">fraud during </w:t>
      </w:r>
      <w:proofErr w:type="gramStart"/>
      <w:r>
        <w:rPr>
          <w:rStyle w:val="markedcontent"/>
        </w:rPr>
        <w:t>a period of time</w:t>
      </w:r>
      <w:proofErr w:type="gramEnd"/>
      <w:r>
        <w:rPr>
          <w:rStyle w:val="markedcontent"/>
        </w:rPr>
        <w:t xml:space="preserve"> that included an eight-month interval between two stints as a top aide to the Governor of New York. Percoco was convicted of this offense based on</w:t>
      </w:r>
      <w:r>
        <w:br/>
      </w:r>
      <w:r>
        <w:rPr>
          <w:rStyle w:val="markedcontent"/>
        </w:rPr>
        <w:t xml:space="preserve">instructions that required the jury to determine whether he had a ‘special relationship’ with the government and had ‘dominated and controlled’ government business…. We conclude that this is not the proper test for determining whether a private person may be convicted of </w:t>
      </w:r>
      <w:proofErr w:type="gramStart"/>
      <w:r>
        <w:rPr>
          <w:rStyle w:val="markedcontent"/>
        </w:rPr>
        <w:t>honest-services</w:t>
      </w:r>
      <w:proofErr w:type="gramEnd"/>
      <w:r>
        <w:rPr>
          <w:rStyle w:val="markedcontent"/>
        </w:rPr>
        <w:t xml:space="preserve"> fraud, and we therefore reverse and remand for further </w:t>
      </w:r>
      <w:proofErr w:type="gramStart"/>
      <w:r>
        <w:rPr>
          <w:rStyle w:val="markedcontent"/>
        </w:rPr>
        <w:t>proceedings.”</w:t>
      </w:r>
      <w:proofErr w:type="gramEnd"/>
      <w:r w:rsidRPr="00192D79">
        <w:t xml:space="preserve"> </w:t>
      </w:r>
      <w:hyperlink r:id="rId182" w:history="1">
        <w:r w:rsidRPr="003B7F1C">
          <w:rPr>
            <w:rStyle w:val="Hyperlink"/>
            <w:rFonts w:eastAsiaTheme="majorEastAsia"/>
          </w:rPr>
          <w:t>https://www.supremecourt.gov/opinions/22pdf/21-1158_p8k0.pdf</w:t>
        </w:r>
      </w:hyperlink>
      <w:r>
        <w:rPr>
          <w:rStyle w:val="markedcontent"/>
        </w:rPr>
        <w:t xml:space="preserve"> </w:t>
      </w:r>
    </w:p>
    <w:p w14:paraId="4AF30ACC" w14:textId="77777777" w:rsidR="00DC17BF" w:rsidRDefault="00DC17BF" w:rsidP="00DC17BF">
      <w:pPr>
        <w:pStyle w:val="NormalWeb"/>
        <w:rPr>
          <w:rStyle w:val="markedcontent"/>
          <w:b/>
          <w:bCs/>
        </w:rPr>
      </w:pPr>
      <w:r w:rsidRPr="00604354">
        <w:rPr>
          <w:rStyle w:val="markedcontent"/>
          <w:b/>
          <w:bCs/>
        </w:rPr>
        <w:t xml:space="preserve">Legal Lesson Learned: </w:t>
      </w:r>
      <w:r>
        <w:rPr>
          <w:rStyle w:val="markedcontent"/>
          <w:b/>
          <w:bCs/>
        </w:rPr>
        <w:t xml:space="preserve">This is a significant decision given the large number of Whistleblower lawsuits filed in the health care industry, including EMS billing cases. </w:t>
      </w:r>
    </w:p>
    <w:p w14:paraId="68F21D88" w14:textId="77777777" w:rsidR="00DC17BF" w:rsidRPr="00604354" w:rsidRDefault="00DC17BF" w:rsidP="00DC17BF">
      <w:pPr>
        <w:pStyle w:val="Heading1"/>
        <w:ind w:left="720"/>
        <w:rPr>
          <w:b w:val="0"/>
          <w:bCs w:val="0"/>
          <w:sz w:val="24"/>
          <w:szCs w:val="24"/>
        </w:rPr>
      </w:pPr>
      <w:r w:rsidRPr="00604354">
        <w:rPr>
          <w:rStyle w:val="markedcontent"/>
          <w:b w:val="0"/>
          <w:bCs w:val="0"/>
          <w:sz w:val="24"/>
          <w:szCs w:val="24"/>
        </w:rPr>
        <w:t xml:space="preserve">Note: </w:t>
      </w:r>
      <w:r>
        <w:rPr>
          <w:rStyle w:val="markedcontent"/>
          <w:b w:val="0"/>
          <w:bCs w:val="0"/>
          <w:sz w:val="24"/>
          <w:szCs w:val="24"/>
        </w:rPr>
        <w:t xml:space="preserve">See </w:t>
      </w:r>
      <w:r w:rsidRPr="00604354">
        <w:rPr>
          <w:rStyle w:val="markedcontent"/>
          <w:b w:val="0"/>
          <w:bCs w:val="0"/>
          <w:sz w:val="24"/>
          <w:szCs w:val="24"/>
        </w:rPr>
        <w:t>Feb. 7, 2023, the U.S. Department of Justice press release</w:t>
      </w:r>
      <w:r>
        <w:rPr>
          <w:rStyle w:val="markedcontent"/>
          <w:b w:val="0"/>
          <w:bCs w:val="0"/>
          <w:sz w:val="24"/>
          <w:szCs w:val="24"/>
        </w:rPr>
        <w:t>: “</w:t>
      </w:r>
      <w:r w:rsidRPr="00604354">
        <w:rPr>
          <w:b w:val="0"/>
          <w:bCs w:val="0"/>
          <w:sz w:val="24"/>
          <w:szCs w:val="24"/>
        </w:rPr>
        <w:t>False Claims Act Settlements and Judgments Exceed $2 Billion in Fiscal Year 2022</w:t>
      </w:r>
      <w:r>
        <w:rPr>
          <w:b w:val="0"/>
          <w:bCs w:val="0"/>
          <w:sz w:val="24"/>
          <w:szCs w:val="24"/>
        </w:rPr>
        <w:t xml:space="preserve">.  Second Highest Number of Settlements in History. </w:t>
      </w:r>
      <w:hyperlink r:id="rId183" w:history="1">
        <w:r w:rsidRPr="009A7773">
          <w:rPr>
            <w:rStyle w:val="Hyperlink"/>
            <w:rFonts w:eastAsiaTheme="majorEastAsia"/>
            <w:b w:val="0"/>
            <w:bCs w:val="0"/>
            <w:sz w:val="24"/>
            <w:szCs w:val="24"/>
          </w:rPr>
          <w:t>https://www.justice.gov/opa/pr/false-claims-act-settlements-and-judgments-exceed-2-billion-fiscal-year-2022</w:t>
        </w:r>
      </w:hyperlink>
      <w:r>
        <w:rPr>
          <w:b w:val="0"/>
          <w:bCs w:val="0"/>
          <w:sz w:val="24"/>
          <w:szCs w:val="24"/>
        </w:rPr>
        <w:t xml:space="preserve"> </w:t>
      </w:r>
    </w:p>
    <w:p w14:paraId="2B63DA0D" w14:textId="77777777" w:rsidR="00DC17BF" w:rsidRDefault="00DC17BF" w:rsidP="00DC17BF">
      <w:pPr>
        <w:pStyle w:val="NormalWeb"/>
        <w:ind w:left="1440"/>
      </w:pPr>
      <w:r>
        <w:t>“Of the more than $2.2 billion in False Claims Act settlements and judgments reported by the Department of Justice this past fiscal year, over $1.7 billion related to matters that involved the health care industry, including drug and medical device manufacturers, durable medical equipment, home health and managed care providers, hospitals, pharmacies, hospice organizations, and physicians. The amounts included in the $1.7 billion reflect recoveries arising only from federal losses, and, in many of these cases, the department was instrumental in recovering additional amounts for state Medicaid programs. The recoveries in fiscal year 2022 also reflected the department’s focus on new enforcement priorities, including fraud in pandemic relief programs and alleged violations of cybersecurity requirements in government contracts and grants.</w:t>
      </w:r>
    </w:p>
    <w:p w14:paraId="30B0F0ED" w14:textId="77777777" w:rsidR="00DC17BF" w:rsidRDefault="00DC17BF" w:rsidP="00DC17BF">
      <w:pPr>
        <w:pStyle w:val="NormalWeb"/>
        <w:ind w:left="1440"/>
      </w:pPr>
      <w:r>
        <w:t xml:space="preserve">In 1986, Congress strengthened the False Claims Act by increasing incentives for whistleblowers to file lawsuits alleging false claims on behalf of the government. </w:t>
      </w:r>
      <w:proofErr w:type="gramStart"/>
      <w:r>
        <w:t>These whistleblower</w:t>
      </w:r>
      <w:proofErr w:type="gramEnd"/>
      <w:r>
        <w:t>, or qui tam, actions comprise a significant percentage of the False Claims Act cases that are filed. Qui tam cases may be pursued by the government or the whistleblower, and this past year significant recoveries were obtained by both. When a qui tam action is successful, the whistleblower, also known as the relator, typically receives a portion of the recovery ranging between 15% and 30%. Whistleblowers filed 652 qui tam suits in fiscal year 2022, and this past year the department reported settlements and judgments exceeding $1.9 billion in these and earlier-filed suits.”</w:t>
      </w:r>
    </w:p>
    <w:p w14:paraId="0F178386" w14:textId="77777777" w:rsidR="00DC17BF" w:rsidRDefault="00DC17BF" w:rsidP="00DC17BF">
      <w:pPr>
        <w:pStyle w:val="NormalWeb"/>
      </w:pPr>
    </w:p>
    <w:p w14:paraId="236C3784" w14:textId="5977A549" w:rsidR="00DC17BF" w:rsidRDefault="00DC17BF" w:rsidP="00F326E5">
      <w:pPr>
        <w:pStyle w:val="NoSpacing"/>
        <w:rPr>
          <w:rFonts w:ascii="Arial Black" w:hAnsi="Arial Black"/>
          <w:sz w:val="24"/>
          <w:szCs w:val="24"/>
        </w:rPr>
      </w:pPr>
      <w:r>
        <w:rPr>
          <w:rFonts w:ascii="Arial Black" w:hAnsi="Arial Black"/>
          <w:sz w:val="24"/>
          <w:szCs w:val="24"/>
        </w:rPr>
        <w:t>1-121</w:t>
      </w:r>
    </w:p>
    <w:p w14:paraId="2DD4F80C" w14:textId="77777777" w:rsidR="00DC17BF" w:rsidRDefault="00DC17BF" w:rsidP="00F326E5">
      <w:pPr>
        <w:pStyle w:val="NoSpacing"/>
        <w:rPr>
          <w:rFonts w:ascii="Arial Black" w:hAnsi="Arial Black"/>
          <w:sz w:val="24"/>
          <w:szCs w:val="24"/>
        </w:rPr>
      </w:pPr>
    </w:p>
    <w:p w14:paraId="617F5931" w14:textId="77777777" w:rsidR="00DC17BF" w:rsidRDefault="00DC17BF" w:rsidP="00DC17BF">
      <w:pPr>
        <w:pStyle w:val="NormalWeb"/>
        <w:rPr>
          <w:b/>
          <w:bCs/>
        </w:rPr>
      </w:pPr>
      <w:bookmarkStart w:id="3" w:name="_Hlk136857835"/>
      <w:r>
        <w:rPr>
          <w:rFonts w:ascii="Arial Black" w:hAnsi="Arial Black"/>
          <w:b/>
          <w:bCs/>
          <w:sz w:val="28"/>
          <w:szCs w:val="28"/>
        </w:rPr>
        <w:t xml:space="preserve">CA (5/1/2023): ARSON – CONV. UPHELD – CIRCUMSTANTIAL EVIDENCE - DEFENDANT SEEN AT 4 OF 5 FIRES ONE YEAR </w:t>
      </w:r>
    </w:p>
    <w:bookmarkEnd w:id="3"/>
    <w:p w14:paraId="6D8D9D0A" w14:textId="77777777" w:rsidR="00DC17BF" w:rsidRPr="00DC17BF" w:rsidRDefault="00DC17BF" w:rsidP="00DC17BF">
      <w:pPr>
        <w:pStyle w:val="NormalWeb"/>
      </w:pPr>
      <w:r w:rsidRPr="00FD7241">
        <w:t xml:space="preserve">On May 1, 2023, in </w:t>
      </w:r>
      <w:r w:rsidRPr="00FD7241">
        <w:rPr>
          <w:u w:val="single"/>
        </w:rPr>
        <w:t>The People v. Franklin Alan Goubert</w:t>
      </w:r>
      <w:r>
        <w:t xml:space="preserve">, the California Court of Appeals, Third District, Tehama </w:t>
      </w:r>
      <w:r w:rsidRPr="00DC17BF">
        <w:t xml:space="preserve">held (3 to 0; unpublished decision) that the trial court judge, in a bench trial (no jury) properly found defendant guilty of two counts of arson to property, and one count of arson of forest land. </w:t>
      </w:r>
    </w:p>
    <w:p w14:paraId="57FE02DE" w14:textId="6CCE8C94" w:rsidR="00DC17BF" w:rsidRPr="00DC17BF" w:rsidRDefault="00DC17BF" w:rsidP="00DC17BF">
      <w:pPr>
        <w:pStyle w:val="NoSpacing"/>
        <w:rPr>
          <w:rFonts w:ascii="Times New Roman" w:hAnsi="Times New Roman"/>
          <w:sz w:val="24"/>
          <w:szCs w:val="24"/>
        </w:rPr>
      </w:pPr>
      <w:r w:rsidRPr="00DC17BF">
        <w:rPr>
          <w:rFonts w:ascii="Times New Roman" w:hAnsi="Times New Roman"/>
          <w:sz w:val="24"/>
          <w:szCs w:val="24"/>
        </w:rPr>
        <w:t xml:space="preserve">“The trial court heard testimony that the fire department saw defendant at four out of the five suspicious fires, and that seeing someone at multiple fires is unusual. The fifth suspicious </w:t>
      </w:r>
      <w:proofErr w:type="gramStart"/>
      <w:r w:rsidRPr="00DC17BF">
        <w:rPr>
          <w:rFonts w:ascii="Times New Roman" w:hAnsi="Times New Roman"/>
          <w:sz w:val="24"/>
          <w:szCs w:val="24"/>
        </w:rPr>
        <w:t>fire further</w:t>
      </w:r>
      <w:proofErr w:type="gramEnd"/>
      <w:r w:rsidRPr="00DC17BF">
        <w:rPr>
          <w:rFonts w:ascii="Times New Roman" w:hAnsi="Times New Roman"/>
          <w:sz w:val="24"/>
          <w:szCs w:val="24"/>
        </w:rPr>
        <w:t xml:space="preserve"> occurred near the camp where defendant was living. The five fires occurred over a one-year span; the fires were relatively small; two occurred near a railroad; at least three occurred in the middle of the night; four were near homeless encampments; and all five fires involved the burning of vegetation. There was further testimony that three of the fires were deliberately set and were not accidental or unintentional. Based on defendant's unusual presence at the restaurant fire (and the other fires), and the similarities between the restaurant fire and the other fires, it is reasonable to infer someone started the restaurant fire, and it was defendant who did so. (See </w:t>
      </w:r>
      <w:r w:rsidRPr="00DC17BF">
        <w:rPr>
          <w:rStyle w:val="Emphasis"/>
          <w:rFonts w:ascii="Times New Roman" w:hAnsi="Times New Roman"/>
          <w:sz w:val="24"/>
          <w:szCs w:val="24"/>
        </w:rPr>
        <w:t>Andrews I</w:t>
      </w:r>
      <w:r w:rsidRPr="00DC17BF">
        <w:rPr>
          <w:rFonts w:ascii="Times New Roman" w:hAnsi="Times New Roman"/>
          <w:sz w:val="24"/>
          <w:szCs w:val="24"/>
        </w:rPr>
        <w:t xml:space="preserve">, </w:t>
      </w:r>
      <w:r w:rsidRPr="00DC17BF">
        <w:rPr>
          <w:rStyle w:val="Emphasis"/>
          <w:rFonts w:ascii="Times New Roman" w:hAnsi="Times New Roman"/>
          <w:sz w:val="24"/>
          <w:szCs w:val="24"/>
        </w:rPr>
        <w:t>supra</w:t>
      </w:r>
      <w:r w:rsidRPr="00DC17BF">
        <w:rPr>
          <w:rFonts w:ascii="Times New Roman" w:hAnsi="Times New Roman"/>
          <w:sz w:val="24"/>
          <w:szCs w:val="24"/>
        </w:rPr>
        <w:t>, 222 Cal.App.2d at pp. 245-246 [finding sufficient evidence to establish the corpus delicti of arson when "[f]our fires within the same neighborhood, close in point of date . . ., closer in point of time of day . . ., all started by an apparently similar method, cumulate[d] to give to [the] circumstantial proof much more than prima facie veracity"].) The circumstantial evidence in this case "</w:t>
      </w:r>
      <w:proofErr w:type="spellStart"/>
      <w:r w:rsidRPr="00DC17BF">
        <w:rPr>
          <w:rFonts w:ascii="Times New Roman" w:hAnsi="Times New Roman"/>
          <w:sz w:val="24"/>
          <w:szCs w:val="24"/>
        </w:rPr>
        <w:t>snapp</w:t>
      </w:r>
      <w:proofErr w:type="spellEnd"/>
      <w:r w:rsidRPr="00DC17BF">
        <w:rPr>
          <w:rFonts w:ascii="Times New Roman" w:hAnsi="Times New Roman"/>
          <w:sz w:val="24"/>
          <w:szCs w:val="24"/>
        </w:rPr>
        <w:t>[ed] the long arm of coincidence" and established the corpus delicti for the restaurant fire. (</w:t>
      </w:r>
      <w:r w:rsidRPr="00DC17BF">
        <w:rPr>
          <w:rStyle w:val="Emphasis"/>
          <w:rFonts w:ascii="Times New Roman" w:hAnsi="Times New Roman"/>
          <w:sz w:val="24"/>
          <w:szCs w:val="24"/>
        </w:rPr>
        <w:t>Andrews I</w:t>
      </w:r>
      <w:r w:rsidRPr="00DC17BF">
        <w:rPr>
          <w:rFonts w:ascii="Times New Roman" w:hAnsi="Times New Roman"/>
          <w:sz w:val="24"/>
          <w:szCs w:val="24"/>
        </w:rPr>
        <w:t xml:space="preserve">, </w:t>
      </w:r>
      <w:r w:rsidRPr="00DC17BF">
        <w:rPr>
          <w:rStyle w:val="Emphasis"/>
          <w:rFonts w:ascii="Times New Roman" w:hAnsi="Times New Roman"/>
          <w:sz w:val="24"/>
          <w:szCs w:val="24"/>
        </w:rPr>
        <w:t>supra</w:t>
      </w:r>
      <w:r w:rsidRPr="00DC17BF">
        <w:rPr>
          <w:rFonts w:ascii="Times New Roman" w:hAnsi="Times New Roman"/>
          <w:sz w:val="24"/>
          <w:szCs w:val="24"/>
        </w:rPr>
        <w:t xml:space="preserve">, 222 Cal.App.2d at p. 245.)” </w:t>
      </w:r>
      <w:hyperlink r:id="rId184" w:history="1">
        <w:r w:rsidRPr="00DC17BF">
          <w:rPr>
            <w:rStyle w:val="Hyperlink"/>
            <w:rFonts w:ascii="Times New Roman" w:eastAsiaTheme="majorEastAsia" w:hAnsi="Times New Roman"/>
            <w:sz w:val="24"/>
            <w:szCs w:val="24"/>
          </w:rPr>
          <w:t>https://public.fastcase.com/ZZhmr5v9wN%2FXOe5IsQ%2FqDwpaI7JNx0yucAfBBTCYhVf6eRN0F6j2PHZ4Bf4v9PLOEuaobgTYEa8%2BzQGGWxAHAgvFhF3yj4k41BJEkNmdniM%3D?utm_medium=email&amp;_hsmi=226712652&amp;_hsenc=p2ANqtz-_dwT49KfhNPpDq3N3VwSjkZTEUiwZEDoqDlulVdR_yzkAg6581Fi_9SACtWrDkZJ_u8Xp6dukkkP4Lu33go_UmHv0HyQ&amp;utm_content=226712652&amp;utm_source=hs_email</w:t>
        </w:r>
      </w:hyperlink>
    </w:p>
    <w:p w14:paraId="059BAD30" w14:textId="77777777" w:rsidR="00DC17BF" w:rsidRDefault="00DC17BF" w:rsidP="00F326E5">
      <w:pPr>
        <w:pStyle w:val="NoSpacing"/>
        <w:rPr>
          <w:rFonts w:ascii="Arial Black" w:hAnsi="Arial Black"/>
          <w:sz w:val="24"/>
          <w:szCs w:val="24"/>
        </w:rPr>
      </w:pPr>
    </w:p>
    <w:p w14:paraId="15B5368A" w14:textId="77777777" w:rsidR="00DC17BF" w:rsidRPr="00DF03D1" w:rsidRDefault="00DC17BF" w:rsidP="00DC17BF">
      <w:pPr>
        <w:pStyle w:val="NormalWeb"/>
        <w:rPr>
          <w:b/>
          <w:bCs/>
        </w:rPr>
      </w:pPr>
      <w:r w:rsidRPr="00DF03D1">
        <w:rPr>
          <w:b/>
          <w:bCs/>
        </w:rPr>
        <w:t>Legal Lesson Learned:</w:t>
      </w:r>
      <w:r>
        <w:rPr>
          <w:b/>
          <w:bCs/>
        </w:rPr>
        <w:t xml:space="preserve"> Observing </w:t>
      </w:r>
      <w:proofErr w:type="gramStart"/>
      <w:r>
        <w:rPr>
          <w:b/>
          <w:bCs/>
        </w:rPr>
        <w:t>defendant</w:t>
      </w:r>
      <w:proofErr w:type="gramEnd"/>
      <w:r>
        <w:rPr>
          <w:b/>
          <w:bCs/>
        </w:rPr>
        <w:t xml:space="preserve"> at multiple fires led to his convictions. </w:t>
      </w:r>
    </w:p>
    <w:p w14:paraId="6529F552" w14:textId="5E513569" w:rsidR="00DC17BF" w:rsidRDefault="00DC17BF" w:rsidP="00F326E5">
      <w:pPr>
        <w:pStyle w:val="NoSpacing"/>
        <w:rPr>
          <w:rFonts w:ascii="Arial Black" w:hAnsi="Arial Black"/>
          <w:sz w:val="24"/>
          <w:szCs w:val="24"/>
        </w:rPr>
      </w:pPr>
      <w:r>
        <w:rPr>
          <w:rFonts w:ascii="Arial Black" w:hAnsi="Arial Black"/>
          <w:sz w:val="24"/>
          <w:szCs w:val="24"/>
        </w:rPr>
        <w:t xml:space="preserve"> </w:t>
      </w:r>
    </w:p>
    <w:p w14:paraId="4FCDB951" w14:textId="77777777" w:rsidR="00DC17BF" w:rsidRDefault="00DC17BF" w:rsidP="00F326E5">
      <w:pPr>
        <w:pStyle w:val="NoSpacing"/>
        <w:rPr>
          <w:rFonts w:ascii="Arial Black" w:hAnsi="Arial Black"/>
          <w:sz w:val="24"/>
          <w:szCs w:val="24"/>
        </w:rPr>
      </w:pPr>
    </w:p>
    <w:p w14:paraId="384D3DF7" w14:textId="77777777" w:rsidR="00DC17BF" w:rsidRDefault="00DC17BF" w:rsidP="00F326E5">
      <w:pPr>
        <w:pStyle w:val="NoSpacing"/>
        <w:rPr>
          <w:rFonts w:ascii="Arial Black" w:hAnsi="Arial Black"/>
          <w:sz w:val="24"/>
          <w:szCs w:val="24"/>
        </w:rPr>
      </w:pPr>
    </w:p>
    <w:p w14:paraId="31CAF639" w14:textId="1F591580" w:rsidR="007A0E71" w:rsidRDefault="007A0E71" w:rsidP="00F326E5">
      <w:pPr>
        <w:pStyle w:val="NoSpacing"/>
        <w:rPr>
          <w:rFonts w:ascii="Arial Black" w:hAnsi="Arial Black"/>
          <w:sz w:val="24"/>
          <w:szCs w:val="24"/>
        </w:rPr>
      </w:pPr>
      <w:r>
        <w:rPr>
          <w:rFonts w:ascii="Arial Black" w:hAnsi="Arial Black"/>
          <w:sz w:val="24"/>
          <w:szCs w:val="24"/>
        </w:rPr>
        <w:t>1-120</w:t>
      </w:r>
    </w:p>
    <w:p w14:paraId="5F584F5E" w14:textId="77777777" w:rsidR="007A0E71" w:rsidRDefault="007A0E71" w:rsidP="00F326E5">
      <w:pPr>
        <w:pStyle w:val="NoSpacing"/>
        <w:rPr>
          <w:rFonts w:ascii="Arial Black" w:hAnsi="Arial Black"/>
          <w:sz w:val="24"/>
          <w:szCs w:val="24"/>
        </w:rPr>
      </w:pPr>
    </w:p>
    <w:p w14:paraId="5779B036" w14:textId="77777777" w:rsidR="007A0E71" w:rsidRPr="001F782C" w:rsidRDefault="007A0E71" w:rsidP="007A0E71">
      <w:pPr>
        <w:pStyle w:val="NormalWeb"/>
        <w:rPr>
          <w:rFonts w:ascii="Arial Black" w:hAnsi="Arial Black"/>
          <w:sz w:val="28"/>
          <w:szCs w:val="28"/>
        </w:rPr>
      </w:pPr>
      <w:r w:rsidRPr="001F782C">
        <w:rPr>
          <w:rFonts w:ascii="Arial Black" w:hAnsi="Arial Black"/>
          <w:sz w:val="28"/>
          <w:szCs w:val="28"/>
        </w:rPr>
        <w:t>CA (4/12/2023)</w:t>
      </w:r>
      <w:r>
        <w:rPr>
          <w:rFonts w:ascii="Arial Black" w:hAnsi="Arial Black"/>
          <w:sz w:val="28"/>
          <w:szCs w:val="28"/>
        </w:rPr>
        <w:t xml:space="preserve"> – SAFER GRANT – FRAUD – RECRUITING VOL. FF - 12 MONTHS PRISON, $1.2 MILLION RESTITUTION</w:t>
      </w:r>
    </w:p>
    <w:p w14:paraId="7269FBFA" w14:textId="77777777" w:rsidR="007A0E71" w:rsidRDefault="007A0E71" w:rsidP="007A0E71">
      <w:pPr>
        <w:pStyle w:val="NormalWeb"/>
      </w:pPr>
      <w:r w:rsidRPr="001F782C">
        <w:rPr>
          <w:u w:val="single"/>
        </w:rPr>
        <w:t>United States v. Samuel Thomas Lanier</w:t>
      </w:r>
      <w:r>
        <w:t xml:space="preserve">, U.S. District Court Chief Judge Kimberly J. Mueller. </w:t>
      </w:r>
      <w:hyperlink r:id="rId185" w:history="1">
        <w:r w:rsidRPr="00173A17">
          <w:rPr>
            <w:rStyle w:val="Hyperlink"/>
            <w:rFonts w:eastAsiaTheme="majorEastAsia"/>
          </w:rPr>
          <w:t>https://www.leagle.com/decision/infdco20230413c44</w:t>
        </w:r>
      </w:hyperlink>
    </w:p>
    <w:p w14:paraId="20F88F65" w14:textId="77777777" w:rsidR="007A0E71" w:rsidRPr="004D4F51" w:rsidRDefault="007A0E71" w:rsidP="007A0E71">
      <w:pPr>
        <w:pStyle w:val="NormalWeb"/>
        <w:rPr>
          <w:b/>
          <w:bCs/>
        </w:rPr>
      </w:pPr>
      <w:r w:rsidRPr="004D4F51">
        <w:rPr>
          <w:b/>
          <w:bCs/>
        </w:rPr>
        <w:t xml:space="preserve">Legal Lesson Learned: </w:t>
      </w:r>
      <w:r>
        <w:rPr>
          <w:b/>
          <w:bCs/>
        </w:rPr>
        <w:t>Fraudulent charges to Fed. Government can lead to prison time and restitution.</w:t>
      </w:r>
    </w:p>
    <w:p w14:paraId="7568FB32" w14:textId="7AA1DB4C" w:rsidR="007A0E71" w:rsidRDefault="007A0E71" w:rsidP="007A0E71">
      <w:pPr>
        <w:pStyle w:val="NoSpacing"/>
        <w:rPr>
          <w:rFonts w:ascii="Arial Black" w:hAnsi="Arial Black"/>
          <w:sz w:val="24"/>
          <w:szCs w:val="24"/>
        </w:rPr>
      </w:pPr>
      <w:r w:rsidRPr="004D4F51">
        <w:rPr>
          <w:sz w:val="24"/>
          <w:szCs w:val="24"/>
        </w:rPr>
        <w:t xml:space="preserve">Note: See </w:t>
      </w:r>
      <w:r>
        <w:rPr>
          <w:sz w:val="24"/>
          <w:szCs w:val="24"/>
        </w:rPr>
        <w:t xml:space="preserve">Oct. 17, </w:t>
      </w:r>
      <w:proofErr w:type="gramStart"/>
      <w:r>
        <w:rPr>
          <w:sz w:val="24"/>
          <w:szCs w:val="24"/>
        </w:rPr>
        <w:t>2022</w:t>
      </w:r>
      <w:proofErr w:type="gramEnd"/>
      <w:r>
        <w:rPr>
          <w:sz w:val="24"/>
          <w:szCs w:val="24"/>
        </w:rPr>
        <w:t xml:space="preserve"> Press Release – “</w:t>
      </w:r>
      <w:r w:rsidRPr="004D4F51">
        <w:rPr>
          <w:rStyle w:val="field-formatter--string"/>
          <w:sz w:val="24"/>
          <w:szCs w:val="24"/>
        </w:rPr>
        <w:t>Siskiyou County Man Sentenced to 1 Year in Prison for Major Fraud Against the United States for Taking FEMA Grant Funds</w:t>
      </w:r>
      <w:r>
        <w:rPr>
          <w:rStyle w:val="field-formatter--string"/>
          <w:sz w:val="24"/>
          <w:szCs w:val="24"/>
        </w:rPr>
        <w:t xml:space="preserve">.” </w:t>
      </w:r>
      <w:hyperlink r:id="rId186" w:history="1">
        <w:r w:rsidRPr="00173A17">
          <w:rPr>
            <w:rStyle w:val="Hyperlink"/>
            <w:rFonts w:eastAsiaTheme="majorEastAsia"/>
            <w:sz w:val="24"/>
            <w:szCs w:val="24"/>
          </w:rPr>
          <w:t>https://www.justice.gov/usao-edca/pr/siskiyou-county-man-sentenced-1-year-prison-major-fraud-against-united-states-taking</w:t>
        </w:r>
      </w:hyperlink>
    </w:p>
    <w:p w14:paraId="15206FEB" w14:textId="77777777" w:rsidR="007A0E71" w:rsidRDefault="007A0E71" w:rsidP="00F326E5">
      <w:pPr>
        <w:pStyle w:val="NoSpacing"/>
        <w:rPr>
          <w:rFonts w:ascii="Arial Black" w:hAnsi="Arial Black"/>
          <w:sz w:val="24"/>
          <w:szCs w:val="24"/>
        </w:rPr>
      </w:pPr>
    </w:p>
    <w:p w14:paraId="7B7C6D24" w14:textId="5254AA91" w:rsidR="003F788B" w:rsidRDefault="003F788B" w:rsidP="00F326E5">
      <w:pPr>
        <w:pStyle w:val="NoSpacing"/>
        <w:rPr>
          <w:rFonts w:ascii="Arial Black" w:hAnsi="Arial Black"/>
          <w:sz w:val="24"/>
          <w:szCs w:val="24"/>
        </w:rPr>
      </w:pPr>
      <w:r>
        <w:rPr>
          <w:rFonts w:ascii="Arial Black" w:hAnsi="Arial Black"/>
          <w:sz w:val="24"/>
          <w:szCs w:val="24"/>
        </w:rPr>
        <w:t>1-119</w:t>
      </w:r>
    </w:p>
    <w:p w14:paraId="7FFB5D97" w14:textId="77777777" w:rsidR="003F788B" w:rsidRDefault="003F788B" w:rsidP="003F788B">
      <w:pPr>
        <w:pStyle w:val="NormalWeb"/>
        <w:rPr>
          <w:rFonts w:ascii="Arial Black" w:hAnsi="Arial Black"/>
          <w:sz w:val="28"/>
          <w:szCs w:val="28"/>
        </w:rPr>
      </w:pPr>
      <w:r>
        <w:rPr>
          <w:rFonts w:ascii="Arial Black" w:hAnsi="Arial Black"/>
          <w:sz w:val="28"/>
          <w:szCs w:val="28"/>
        </w:rPr>
        <w:t>MI: FIRE MARSHAL DENIED QUALIFIED IMMUNITY, CHANGED RPT “INCENDIARY” – LODD - BLDG OWNER SUES</w:t>
      </w:r>
    </w:p>
    <w:p w14:paraId="6942614A" w14:textId="77777777" w:rsidR="003F788B" w:rsidRDefault="003F788B" w:rsidP="003F788B">
      <w:pPr>
        <w:pStyle w:val="NormalWeb"/>
      </w:pPr>
      <w:r>
        <w:t xml:space="preserve">On March 24, 2023, in </w:t>
      </w:r>
      <w:r>
        <w:rPr>
          <w:u w:val="single"/>
        </w:rPr>
        <w:t xml:space="preserve">George Marvaso, et al. v. Richard Sanchez, et </w:t>
      </w:r>
      <w:r>
        <w:t>al., U.S. District Court Judge Linda V. Parker, Eastern District of Michigan (Southern Division) held that the lawsuit by the owners of the restaurant and adjacent pool hall may proceed in lawsuit against the Fire Marshal and others for alleged violation of their federal constitutional rights under 4</w:t>
      </w:r>
      <w:r>
        <w:rPr>
          <w:vertAlign w:val="superscript"/>
        </w:rPr>
        <w:t>th</w:t>
      </w:r>
      <w:r>
        <w:t xml:space="preserve"> &amp; 14</w:t>
      </w:r>
      <w:r>
        <w:rPr>
          <w:vertAlign w:val="superscript"/>
        </w:rPr>
        <w:t>th</w:t>
      </w:r>
      <w:r>
        <w:t xml:space="preserve"> Amendment, when Fire Marshall changed his origin and cause report from “undetermined: (May 2013) to “incendiary” (Nov. 2013).   During the fire, there was a building collapse and firefighter Brian Woelke was trapped and died. See NIOSH FF Fatality Report: </w:t>
      </w:r>
      <w:hyperlink r:id="rId187" w:history="1">
        <w:r>
          <w:rPr>
            <w:rStyle w:val="Hyperlink"/>
          </w:rPr>
          <w:t>https://www.cdc.gov/niosh/fire/pdfs/face201314.pdf</w:t>
        </w:r>
      </w:hyperlink>
      <w:r>
        <w:t xml:space="preserve">.  In Aug. 2013, state OSHA issued citations for LODD and FD paid $3,500 in fines. </w:t>
      </w:r>
    </w:p>
    <w:p w14:paraId="329B4267" w14:textId="77777777" w:rsidR="003F788B" w:rsidRDefault="003F788B" w:rsidP="003F788B">
      <w:pPr>
        <w:pStyle w:val="NormalWeb"/>
        <w:ind w:left="720"/>
      </w:pPr>
      <w:r>
        <w:t xml:space="preserve">The Court denied the Fire Marshall’s motion to dismiss the case and referenced the plaintiffs’ allegations. “On or about mid-September 2013, Fire Marshal Adams met with Westland City Councilman Bill Johnson. While Adams previously told Councilman Johnson that the cause of the fire was electrical in nature, he now indicated that he was changing his conclusion to an incendiary cause even though he had no new evidence. When Councilman Johnson asked Fire Marshal Adams why he was changing his mind, Fire Marshal Adams answered: ‘Because a firefighter died, Bill.’”  Plaintiffs further alleged:  “In mid-November 2013, Fire Marshal Adams submitted an alleged false fire origin and cause report to the Michigan State Police (‘MSP’) and Wayne County Prosecutor's Office, which triggered an MSP homicide investigation resulting in the allegedly unlawful search warrants … being executed for Plaintiffs' homes, where records and personal property were seized. Fire Marshal Adams' announcement that the fire had an incendiary cause, and that the MSP would be opening a homicide investigation into Woelke's death was widely reported in the statewide news media.” </w:t>
      </w:r>
      <w:hyperlink r:id="rId188" w:history="1">
        <w:r>
          <w:rPr>
            <w:rStyle w:val="Hyperlink"/>
          </w:rPr>
          <w:t>https://public.fastcase.com/J%2FJP6pdidelsXxEE4k%2BLMh%2BxgKCWLadJ0%2BOScffwypyz9KPkH6WwjXpW3uRa%2FlRTPk79L8Q2wc49Eb83uFrfiOwpLA5%2BzEeF6Sl%2BnZohK7o%3D?utm_medium=email&amp;_hsmi=226712652&amp;_hsenc=p2ANqtz--JRFw_odmHYH-3piiElV-hEg_p30YKZr85DqTYsa6cCP0cQTh9qrySQOzbjYsHMVm2otLm7TlEchGQvTofiaLZzRru3Q&amp;utm_content=226712652&amp;utm_source=hs_email</w:t>
        </w:r>
      </w:hyperlink>
      <w:r>
        <w:t xml:space="preserve"> </w:t>
      </w:r>
    </w:p>
    <w:p w14:paraId="094F4030" w14:textId="77777777" w:rsidR="003F788B" w:rsidRDefault="003F788B" w:rsidP="003F788B">
      <w:pPr>
        <w:pStyle w:val="NormalWeb"/>
        <w:ind w:left="720" w:firstLine="60"/>
      </w:pPr>
      <w:r>
        <w:t>“</w:t>
      </w:r>
      <w:r>
        <w:rPr>
          <w:rStyle w:val="Emphasis"/>
        </w:rPr>
        <w:t>Qualified Immunity as to Alleged Constitutional Violations…</w:t>
      </w:r>
      <w:r>
        <w:t xml:space="preserve"> Plaintiffs have presented sufficient evidence that Fire Marshal Adams was aware that his action was unlawful, which occurred when he allegedly responded to Councilman Johnson with his reasoning for changing the report. A reasonable fireman, officer, or anyone with the requisite training, is aware that engaging in such conduct would be unlawful and at the very least, would likely amount to a termination of employment. As such, absent any evidence on the record to rebut that statement, Fire Marshal Adams is not entitled to the protections of qualified immunity.” </w:t>
      </w:r>
    </w:p>
    <w:p w14:paraId="405E31F3" w14:textId="77777777" w:rsidR="003F788B" w:rsidRDefault="003F788B" w:rsidP="003F788B">
      <w:pPr>
        <w:pStyle w:val="NormalWeb"/>
        <w:rPr>
          <w:b/>
          <w:bCs/>
        </w:rPr>
      </w:pPr>
      <w:r>
        <w:rPr>
          <w:b/>
          <w:bCs/>
        </w:rPr>
        <w:t xml:space="preserve">Legal Lesson Learned: The plaintiffs’ allegations are </w:t>
      </w:r>
      <w:proofErr w:type="gramStart"/>
      <w:r>
        <w:rPr>
          <w:b/>
          <w:bCs/>
        </w:rPr>
        <w:t>shocking, but</w:t>
      </w:r>
      <w:proofErr w:type="gramEnd"/>
      <w:r>
        <w:rPr>
          <w:b/>
          <w:bCs/>
        </w:rPr>
        <w:t xml:space="preserve"> have not been proven at trial.  The Fire Marshall may decide to </w:t>
      </w:r>
      <w:proofErr w:type="gramStart"/>
      <w:r>
        <w:rPr>
          <w:b/>
          <w:bCs/>
        </w:rPr>
        <w:t>take</w:t>
      </w:r>
      <w:proofErr w:type="gramEnd"/>
      <w:r>
        <w:rPr>
          <w:b/>
          <w:bCs/>
        </w:rPr>
        <w:t xml:space="preserve"> an immediate appeal to 6</w:t>
      </w:r>
      <w:r>
        <w:rPr>
          <w:b/>
          <w:bCs/>
          <w:vertAlign w:val="superscript"/>
        </w:rPr>
        <w:t>th</w:t>
      </w:r>
      <w:r>
        <w:rPr>
          <w:b/>
          <w:bCs/>
        </w:rPr>
        <w:t xml:space="preserve"> Circuit on denial of qualified immunity. </w:t>
      </w:r>
    </w:p>
    <w:p w14:paraId="78AF202C" w14:textId="77777777" w:rsidR="003F788B" w:rsidRDefault="003F788B" w:rsidP="003F788B">
      <w:pPr>
        <w:pStyle w:val="NormalWeb"/>
        <w:ind w:left="720"/>
      </w:pPr>
      <w:r>
        <w:t xml:space="preserve">Note: The Court dismissed from this lawsuit the Michigan State Police lieutenant who submitted a search warrant affidavit, that included following: </w:t>
      </w:r>
    </w:p>
    <w:p w14:paraId="71724393"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(1) multiple tips that the fire was intentionally set, </w:t>
      </w:r>
    </w:p>
    <w:p w14:paraId="47974787" w14:textId="77777777" w:rsidR="003F788B" w:rsidRDefault="003F788B" w:rsidP="003F788B">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(2) a vehicle in the parking lot of the business after hours on the night of the fire that matched a description of </w:t>
      </w:r>
      <w:proofErr w:type="spellStart"/>
      <w:r>
        <w:rPr>
          <w:rFonts w:ascii="Times New Roman" w:eastAsia="Times New Roman" w:hAnsi="Times New Roman"/>
          <w:sz w:val="24"/>
          <w:szCs w:val="24"/>
        </w:rPr>
        <w:t>Marvaso</w:t>
      </w:r>
      <w:proofErr w:type="spellEnd"/>
      <w:r>
        <w:rPr>
          <w:rFonts w:ascii="Times New Roman" w:eastAsia="Times New Roman" w:hAnsi="Times New Roman"/>
          <w:sz w:val="24"/>
          <w:szCs w:val="24"/>
        </w:rPr>
        <w:t xml:space="preserve">, Jr.'s car,  </w:t>
      </w:r>
    </w:p>
    <w:p w14:paraId="119FD9E4" w14:textId="77777777" w:rsidR="003F788B" w:rsidRDefault="003F788B" w:rsidP="003F788B">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(3) information from a </w:t>
      </w:r>
      <w:proofErr w:type="spellStart"/>
      <w:r>
        <w:rPr>
          <w:rFonts w:ascii="Times New Roman" w:eastAsia="Times New Roman" w:hAnsi="Times New Roman"/>
          <w:sz w:val="24"/>
          <w:szCs w:val="24"/>
        </w:rPr>
        <w:t>Marvaso</w:t>
      </w:r>
      <w:proofErr w:type="spellEnd"/>
      <w:r>
        <w:rPr>
          <w:rFonts w:ascii="Times New Roman" w:eastAsia="Times New Roman" w:hAnsi="Times New Roman"/>
          <w:sz w:val="24"/>
          <w:szCs w:val="24"/>
        </w:rPr>
        <w:t xml:space="preserve"> relative that </w:t>
      </w:r>
      <w:proofErr w:type="spellStart"/>
      <w:r>
        <w:rPr>
          <w:rFonts w:ascii="Times New Roman" w:eastAsia="Times New Roman" w:hAnsi="Times New Roman"/>
          <w:sz w:val="24"/>
          <w:szCs w:val="24"/>
        </w:rPr>
        <w:t>Marvaso</w:t>
      </w:r>
      <w:proofErr w:type="spellEnd"/>
      <w:r>
        <w:rPr>
          <w:rFonts w:ascii="Times New Roman" w:eastAsia="Times New Roman" w:hAnsi="Times New Roman"/>
          <w:sz w:val="24"/>
          <w:szCs w:val="24"/>
        </w:rPr>
        <w:t xml:space="preserve">, Sr. was distraught because the fire was an insurance job and no one was supposed to get hurt, </w:t>
      </w:r>
    </w:p>
    <w:p w14:paraId="3C76BD1F" w14:textId="77777777" w:rsidR="003F788B" w:rsidRDefault="003F788B" w:rsidP="003F788B">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(4) a recent fire cause and origin report from Westland determining that the fire was intentionally set, </w:t>
      </w:r>
    </w:p>
    <w:p w14:paraId="32421811"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(5) information that the entry doors were locked and not disturbed, </w:t>
      </w:r>
    </w:p>
    <w:p w14:paraId="2CA21ACB"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(6) the inference that no forced entry suggested an inside job, </w:t>
      </w:r>
    </w:p>
    <w:p w14:paraId="61EAB6AF"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(7) information about financial difficulties associated with the business, </w:t>
      </w:r>
    </w:p>
    <w:p w14:paraId="046F48B8"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(8) information that Plaintiffs removed items from the scene of the fire, </w:t>
      </w:r>
    </w:p>
    <w:p w14:paraId="3C4578F6" w14:textId="77777777" w:rsidR="003F788B" w:rsidRDefault="003F788B" w:rsidP="003F788B">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(9) information regarding business related items that may be located at Plaintiffs' residences and storage lockers, </w:t>
      </w:r>
    </w:p>
    <w:p w14:paraId="503E3F19"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(10) information about telephone numbers associated with the business, </w:t>
      </w:r>
    </w:p>
    <w:p w14:paraId="7F0771BA"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(11) information about the role of each Plaintiff in the business, and </w:t>
      </w:r>
    </w:p>
    <w:p w14:paraId="5BA2EFFE" w14:textId="77777777" w:rsidR="003F788B" w:rsidRDefault="003F788B" w:rsidP="003F788B">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(12) information that the insurance coverage was recently raised. </w:t>
      </w:r>
    </w:p>
    <w:p w14:paraId="46532D3D" w14:textId="23062BC0" w:rsidR="003F788B" w:rsidRDefault="003F788B" w:rsidP="00F326E5">
      <w:pPr>
        <w:pStyle w:val="NoSpacing"/>
        <w:rPr>
          <w:rFonts w:ascii="Arial Black" w:hAnsi="Arial Black"/>
          <w:sz w:val="24"/>
          <w:szCs w:val="24"/>
        </w:rPr>
      </w:pPr>
    </w:p>
    <w:p w14:paraId="1EDBFEF6" w14:textId="77777777" w:rsidR="003F788B" w:rsidRDefault="003F788B" w:rsidP="00F326E5">
      <w:pPr>
        <w:pStyle w:val="NoSpacing"/>
        <w:rPr>
          <w:rFonts w:ascii="Arial Black" w:hAnsi="Arial Black"/>
          <w:sz w:val="24"/>
          <w:szCs w:val="24"/>
        </w:rPr>
      </w:pPr>
    </w:p>
    <w:p w14:paraId="008C7A19" w14:textId="77777777" w:rsidR="003F788B" w:rsidRDefault="003F788B" w:rsidP="00F326E5">
      <w:pPr>
        <w:pStyle w:val="NoSpacing"/>
        <w:rPr>
          <w:rFonts w:ascii="Arial Black" w:hAnsi="Arial Black"/>
          <w:sz w:val="24"/>
          <w:szCs w:val="24"/>
        </w:rPr>
      </w:pPr>
    </w:p>
    <w:p w14:paraId="0D599D1F" w14:textId="77777777" w:rsidR="003F788B" w:rsidRDefault="003F788B" w:rsidP="00F326E5">
      <w:pPr>
        <w:pStyle w:val="NoSpacing"/>
        <w:rPr>
          <w:rFonts w:ascii="Arial Black" w:hAnsi="Arial Black"/>
          <w:sz w:val="24"/>
          <w:szCs w:val="24"/>
        </w:rPr>
      </w:pPr>
    </w:p>
    <w:p w14:paraId="4E3989D3" w14:textId="77777777" w:rsidR="003F788B" w:rsidRDefault="003F788B" w:rsidP="00F326E5">
      <w:pPr>
        <w:pStyle w:val="NoSpacing"/>
        <w:rPr>
          <w:rFonts w:ascii="Arial Black" w:hAnsi="Arial Black"/>
          <w:sz w:val="24"/>
          <w:szCs w:val="24"/>
        </w:rPr>
      </w:pPr>
    </w:p>
    <w:p w14:paraId="3EC93410" w14:textId="106930D5" w:rsidR="003F788B" w:rsidRDefault="003F788B" w:rsidP="00F326E5">
      <w:pPr>
        <w:pStyle w:val="NoSpacing"/>
        <w:rPr>
          <w:rFonts w:ascii="Arial Black" w:hAnsi="Arial Black"/>
          <w:sz w:val="24"/>
          <w:szCs w:val="24"/>
        </w:rPr>
      </w:pPr>
      <w:r>
        <w:rPr>
          <w:rFonts w:ascii="Arial Black" w:hAnsi="Arial Black"/>
          <w:sz w:val="24"/>
          <w:szCs w:val="24"/>
        </w:rPr>
        <w:t>1-118</w:t>
      </w:r>
    </w:p>
    <w:p w14:paraId="2E83124E" w14:textId="7561F347" w:rsidR="003F788B" w:rsidRDefault="003F788B" w:rsidP="00F326E5">
      <w:pPr>
        <w:pStyle w:val="NoSpacing"/>
        <w:rPr>
          <w:rFonts w:ascii="Arial Black" w:hAnsi="Arial Black"/>
          <w:sz w:val="24"/>
          <w:szCs w:val="24"/>
        </w:rPr>
      </w:pPr>
    </w:p>
    <w:p w14:paraId="3C8F0748" w14:textId="77777777" w:rsidR="003F788B" w:rsidRDefault="003F788B" w:rsidP="003F788B">
      <w:pPr>
        <w:pStyle w:val="NormalWeb"/>
        <w:rPr>
          <w:rFonts w:ascii="Arial Black" w:hAnsi="Arial Black"/>
          <w:b/>
          <w:bCs/>
          <w:sz w:val="28"/>
          <w:szCs w:val="28"/>
        </w:rPr>
      </w:pPr>
      <w:r>
        <w:rPr>
          <w:rFonts w:ascii="Arial Black" w:hAnsi="Arial Black"/>
          <w:b/>
          <w:bCs/>
          <w:sz w:val="28"/>
          <w:szCs w:val="28"/>
        </w:rPr>
        <w:t>KY: DRUG OVERDOSE – “GOOD SAMARITAN LAW” – DOES NOT PROTECT OVERDOSE VICTIM FOR TRAFFICKING</w:t>
      </w:r>
    </w:p>
    <w:p w14:paraId="56171F56" w14:textId="77777777" w:rsidR="003F788B" w:rsidRDefault="003F788B" w:rsidP="003F788B">
      <w:pPr>
        <w:pStyle w:val="NormalWeb"/>
      </w:pPr>
      <w:r>
        <w:t xml:space="preserve">On March 10, 2023, in </w:t>
      </w:r>
      <w:r>
        <w:rPr>
          <w:u w:val="single"/>
        </w:rPr>
        <w:t>Jordan Brown v. Commonwealth of Kentucky</w:t>
      </w:r>
      <w:r>
        <w:t xml:space="preserve">, the Court of Appeals of Kentucky held (3 to 0; unpublished decision) that trial court properly denied the defendant’s motion to dismiss. “On August 28, 2021, Brown overdosed at the home of Chandra Walker (‘Walker’). Walker called 911. Both law enforcement and emergency medical </w:t>
      </w:r>
      <w:proofErr w:type="gramStart"/>
      <w:r>
        <w:t>services (‘EMS’)</w:t>
      </w:r>
      <w:proofErr w:type="gramEnd"/>
      <w:r>
        <w:t xml:space="preserve"> responded to the call. EMS found Brown unresponsive, administered Narcan, and transported Brown to the hospital. Police searched Brown and his surroundings and discovered a loaded syringe, a scale, heroin, and an ounce of methamphetamine. As a result of this incident, Brown was indicted on one count of trafficking in controlled substances in the first degree. Thereafter, Brown filed a motion to dismiss, arguing KRS 218A.133 bars prosecution for trafficking. The trial court denied the motion. Brown then entered a conditional guilty </w:t>
      </w:r>
      <w:proofErr w:type="gramStart"/>
      <w:r>
        <w:t>plea</w:t>
      </w:r>
      <w:proofErr w:type="gramEnd"/>
      <w:r>
        <w:t xml:space="preserve"> and, upon entry of the final judgment, he was sentenced to seven years' imprisonment. This appeal followed.”</w:t>
      </w:r>
    </w:p>
    <w:p w14:paraId="5019F956" w14:textId="77777777" w:rsidR="003F788B" w:rsidRDefault="003F788B" w:rsidP="003F788B">
      <w:pPr>
        <w:pStyle w:val="NormalWeb"/>
        <w:ind w:left="720"/>
      </w:pPr>
      <w:r>
        <w:t xml:space="preserve">The Court held: “Prosecution for trafficking offenses is not prohibited by KRS 218A.133. It is fundamental to statutory construction that we first look "to the language of the statute, giving the words their plain and ordinary meaning." </w:t>
      </w:r>
      <w:r>
        <w:rPr>
          <w:rStyle w:val="Emphasis"/>
        </w:rPr>
        <w:t>Overstreet v. Kindred Nursing Centers Limited Partnership</w:t>
      </w:r>
      <w:r>
        <w:t xml:space="preserve">, 479 S.W.3d 69, 73 (Ky. 2015) (citation omitted). Where the language of the statute is unambiguous, we will not consider extrinsic evidence, including evidence of legislative intent. </w:t>
      </w:r>
      <w:r>
        <w:rPr>
          <w:rStyle w:val="Emphasis"/>
        </w:rPr>
        <w:t>Id</w:t>
      </w:r>
      <w:r>
        <w:t xml:space="preserve">. (citation omitted). KRS 218A.133 specifically prohibits charging or prosecuting an individual for criminal offenses related to </w:t>
      </w:r>
      <w:r>
        <w:rPr>
          <w:rStyle w:val="Strong"/>
        </w:rPr>
        <w:t>possession</w:t>
      </w:r>
      <w:r>
        <w:t xml:space="preserve"> of controlled substances and/or paraphernalia. The statute does not mention trafficking offenses. Trafficking offenses are distinct from possession charges. Trafficking is separately defined as ‘to manufacture, distribute, dispense, sell, transfer, or possess with intent to manufacture, distribute, dispense, or sell a controlled substance[.]’ KRS 218A.010(56). The General Assembly unambiguously chose only to prohibit charging or prosecuting for possession offenses but not for trafficking offenses.” </w:t>
      </w:r>
      <w:hyperlink r:id="rId189" w:history="1">
        <w:r>
          <w:rPr>
            <w:rStyle w:val="Hyperlink"/>
          </w:rPr>
          <w:t>https://law.justia.com/cases/kentucky/court-of-appeals/2023/2022-ca-0276-mr.html</w:t>
        </w:r>
      </w:hyperlink>
      <w:r>
        <w:t xml:space="preserve"> </w:t>
      </w:r>
    </w:p>
    <w:p w14:paraId="0F7F42F2" w14:textId="77777777" w:rsidR="003F788B" w:rsidRDefault="003F788B" w:rsidP="003F788B">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KRS 218A.133(2), “</w:t>
      </w:r>
      <w:r>
        <w:rPr>
          <w:rStyle w:val="markedcontent"/>
          <w:rFonts w:ascii="Times New Roman" w:hAnsi="Times New Roman"/>
          <w:sz w:val="24"/>
          <w:szCs w:val="24"/>
        </w:rPr>
        <w:t>Exemption from prosecution for possession of controlled substance or drug paraphernalia if seeking assistance with drug overdose.”</w:t>
      </w:r>
    </w:p>
    <w:p w14:paraId="2037E434"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A person shall not be charged with or prosecuted for a criminal offense prohibiting the possession of a controlled substance or the possession of drug paraphernalia if: </w:t>
      </w:r>
    </w:p>
    <w:p w14:paraId="1B3A71C4"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(a) In good faith, medical assistance with a drug overdose is sought from a public safety answering point, emergency medical services, a law enforcement officer, or a health practitioner because the person: </w:t>
      </w:r>
    </w:p>
    <w:p w14:paraId="2C2B1BA2" w14:textId="77777777" w:rsidR="003F788B" w:rsidRDefault="003F788B" w:rsidP="003F788B">
      <w:pPr>
        <w:spacing w:after="100" w:line="240" w:lineRule="auto"/>
        <w:ind w:left="2160"/>
        <w:rPr>
          <w:rFonts w:ascii="Times New Roman" w:eastAsia="Times New Roman" w:hAnsi="Times New Roman"/>
          <w:sz w:val="24"/>
          <w:szCs w:val="24"/>
        </w:rPr>
      </w:pPr>
      <w:r>
        <w:rPr>
          <w:rFonts w:ascii="Times New Roman" w:eastAsia="Times New Roman" w:hAnsi="Times New Roman"/>
          <w:sz w:val="24"/>
          <w:szCs w:val="24"/>
        </w:rPr>
        <w:t xml:space="preserve">1. Requests emergency medical assistance for himself or herself or another person; </w:t>
      </w:r>
    </w:p>
    <w:p w14:paraId="0CCFEEDF" w14:textId="77777777" w:rsidR="003F788B" w:rsidRDefault="003F788B" w:rsidP="003F788B">
      <w:pPr>
        <w:spacing w:after="100" w:line="240" w:lineRule="auto"/>
        <w:ind w:left="2160"/>
        <w:rPr>
          <w:rFonts w:ascii="Times New Roman" w:eastAsia="Times New Roman" w:hAnsi="Times New Roman"/>
          <w:sz w:val="24"/>
          <w:szCs w:val="24"/>
        </w:rPr>
      </w:pPr>
      <w:r>
        <w:rPr>
          <w:rFonts w:ascii="Times New Roman" w:eastAsia="Times New Roman" w:hAnsi="Times New Roman"/>
          <w:sz w:val="24"/>
          <w:szCs w:val="24"/>
        </w:rPr>
        <w:t xml:space="preserve">2. Acts in concert with another person who requests emergency medical assistance; or </w:t>
      </w:r>
    </w:p>
    <w:p w14:paraId="200B8C66" w14:textId="77777777" w:rsidR="003F788B" w:rsidRDefault="003F788B" w:rsidP="003F788B">
      <w:pPr>
        <w:spacing w:after="100" w:line="240" w:lineRule="auto"/>
        <w:ind w:left="2160"/>
        <w:rPr>
          <w:rFonts w:ascii="Times New Roman" w:eastAsia="Times New Roman" w:hAnsi="Times New Roman"/>
          <w:sz w:val="24"/>
          <w:szCs w:val="24"/>
        </w:rPr>
      </w:pPr>
      <w:r>
        <w:rPr>
          <w:rFonts w:ascii="Times New Roman" w:eastAsia="Times New Roman" w:hAnsi="Times New Roman"/>
          <w:sz w:val="24"/>
          <w:szCs w:val="24"/>
        </w:rPr>
        <w:t xml:space="preserve">3. Appears to </w:t>
      </w:r>
      <w:proofErr w:type="gramStart"/>
      <w:r>
        <w:rPr>
          <w:rFonts w:ascii="Times New Roman" w:eastAsia="Times New Roman" w:hAnsi="Times New Roman"/>
          <w:sz w:val="24"/>
          <w:szCs w:val="24"/>
        </w:rPr>
        <w:t>be in need of</w:t>
      </w:r>
      <w:proofErr w:type="gramEnd"/>
      <w:r>
        <w:rPr>
          <w:rFonts w:ascii="Times New Roman" w:eastAsia="Times New Roman" w:hAnsi="Times New Roman"/>
          <w:sz w:val="24"/>
          <w:szCs w:val="24"/>
        </w:rPr>
        <w:t xml:space="preserve"> emergency medical assistance and is the individual for whom the request was made; </w:t>
      </w:r>
    </w:p>
    <w:p w14:paraId="7615DF0C"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(b) The person remains with, or is, the individual who appears to be experiencing a drug overdose until the requested assistance is provided; and </w:t>
      </w:r>
    </w:p>
    <w:p w14:paraId="401ABFD4"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(c) The evidence for the charge or prosecution is obtained </w:t>
      </w:r>
      <w:proofErr w:type="gramStart"/>
      <w:r>
        <w:rPr>
          <w:rFonts w:ascii="Times New Roman" w:eastAsia="Times New Roman" w:hAnsi="Times New Roman"/>
          <w:sz w:val="24"/>
          <w:szCs w:val="24"/>
        </w:rPr>
        <w:t>as a result of</w:t>
      </w:r>
      <w:proofErr w:type="gramEnd"/>
      <w:r>
        <w:rPr>
          <w:rFonts w:ascii="Times New Roman" w:eastAsia="Times New Roman" w:hAnsi="Times New Roman"/>
          <w:sz w:val="24"/>
          <w:szCs w:val="24"/>
        </w:rPr>
        <w:t xml:space="preserve"> the drug overdose and the need for medical assistance. </w:t>
      </w:r>
      <w:hyperlink r:id="rId190" w:history="1">
        <w:r>
          <w:rPr>
            <w:rStyle w:val="Hyperlink"/>
            <w:sz w:val="24"/>
            <w:szCs w:val="24"/>
          </w:rPr>
          <w:t>https://apps.legislature.ky.gov/law/statutes/statute.aspx?id=44007</w:t>
        </w:r>
      </w:hyperlink>
      <w:r>
        <w:rPr>
          <w:rFonts w:ascii="Times New Roman" w:eastAsia="Times New Roman" w:hAnsi="Times New Roman"/>
          <w:sz w:val="24"/>
          <w:szCs w:val="24"/>
        </w:rPr>
        <w:t xml:space="preserve"> </w:t>
      </w:r>
    </w:p>
    <w:p w14:paraId="5D3DF437" w14:textId="77777777" w:rsidR="003F788B" w:rsidRDefault="003F788B" w:rsidP="003F788B">
      <w:pPr>
        <w:pStyle w:val="NormalWeb"/>
        <w:rPr>
          <w:b/>
          <w:bCs/>
        </w:rPr>
      </w:pPr>
      <w:r>
        <w:rPr>
          <w:b/>
          <w:bCs/>
        </w:rPr>
        <w:t xml:space="preserve">Legal Lesson Learned: Numerous states have enacted similar laws, to encourage drug users and their friends to call 911. </w:t>
      </w:r>
    </w:p>
    <w:p w14:paraId="2CCED7C5" w14:textId="77777777" w:rsidR="003F788B" w:rsidRDefault="003F788B" w:rsidP="003F788B">
      <w:pPr>
        <w:pStyle w:val="NormalWeb"/>
        <w:ind w:left="720"/>
      </w:pPr>
      <w:r>
        <w:t xml:space="preserve">Note: See Ohio Good Samaritan law, Ohio Rev. Code 2925.11, </w:t>
      </w:r>
      <w:hyperlink r:id="rId191" w:history="1">
        <w:r>
          <w:rPr>
            <w:rStyle w:val="Hyperlink"/>
          </w:rPr>
          <w:t>https://codes.ohio.gov/ohio-revised-code/section-2925.11</w:t>
        </w:r>
      </w:hyperlink>
    </w:p>
    <w:p w14:paraId="163868BA" w14:textId="77777777" w:rsidR="003F788B" w:rsidRDefault="003F788B" w:rsidP="003F788B">
      <w:pPr>
        <w:pStyle w:val="NormalWeb"/>
        <w:ind w:left="720"/>
      </w:pPr>
      <w:r>
        <w:t>“(viii): ‘Qualified individual’ means a person who is not on community control or post-release control and is a person acting in good faith who seeks or obtains medical assistance for another person who is experiencing a drug overdose, a person who experiences a drug overdose and who seeks medical assistance for that overdose, or a person who is the subject of another person seeking or obtaining medical assistance for that overdose as described in division (B)(2)(b) of this section.</w:t>
      </w:r>
    </w:p>
    <w:p w14:paraId="0D1657FA" w14:textId="77777777" w:rsidR="003F788B" w:rsidRDefault="003F788B" w:rsidP="003F788B">
      <w:pPr>
        <w:pStyle w:val="NormalWeb"/>
        <w:ind w:left="720"/>
      </w:pPr>
      <w:r>
        <w:t>***</w:t>
      </w:r>
    </w:p>
    <w:p w14:paraId="2D39D256" w14:textId="77777777" w:rsidR="003F788B" w:rsidRDefault="003F788B" w:rsidP="003F788B">
      <w:pPr>
        <w:pStyle w:val="NormalWeb"/>
        <w:ind w:left="720"/>
      </w:pPr>
      <w:r>
        <w:t xml:space="preserve">Subject to division (B)(2)(f) of this section, a qualified individual shall not be arrested, charged, prosecuted, convicted, or penalized pursuant to this chapter for a minor drug possession offense if </w:t>
      </w:r>
      <w:proofErr w:type="gramStart"/>
      <w:r>
        <w:t>all of</w:t>
      </w:r>
      <w:proofErr w:type="gramEnd"/>
      <w:r>
        <w:t xml:space="preserve"> the following apply:</w:t>
      </w:r>
    </w:p>
    <w:p w14:paraId="1E46EFC8" w14:textId="77777777" w:rsidR="003F788B" w:rsidRDefault="003F788B" w:rsidP="003F788B">
      <w:pPr>
        <w:pStyle w:val="NormalWeb"/>
        <w:ind w:left="720"/>
      </w:pPr>
      <w:r>
        <w:t>(</w:t>
      </w:r>
      <w:proofErr w:type="spellStart"/>
      <w:r>
        <w:t>i</w:t>
      </w:r>
      <w:proofErr w:type="spellEnd"/>
      <w:r>
        <w:t xml:space="preserve">) The evidence of the obtaining, possession, or use of the controlled substance or controlled substance analog that would be the basis of the offense was obtained </w:t>
      </w:r>
      <w:proofErr w:type="gramStart"/>
      <w:r>
        <w:t>as a result of</w:t>
      </w:r>
      <w:proofErr w:type="gramEnd"/>
      <w:r>
        <w:t xml:space="preserve"> the qualified individual seeking </w:t>
      </w:r>
      <w:proofErr w:type="gramStart"/>
      <w:r>
        <w:t>the medical</w:t>
      </w:r>
      <w:proofErr w:type="gramEnd"/>
      <w:r>
        <w:t xml:space="preserve"> assistance or experiencing an overdose and needing medical assistance.</w:t>
      </w:r>
    </w:p>
    <w:p w14:paraId="22698A86" w14:textId="77777777" w:rsidR="003F788B" w:rsidRDefault="003F788B" w:rsidP="003F788B">
      <w:pPr>
        <w:pStyle w:val="NormalWeb"/>
        <w:ind w:left="720"/>
      </w:pPr>
      <w:r>
        <w:t xml:space="preserve">(ii) Subject to division (B)(2)(g) of this section, within thirty days after seeking or obtaining </w:t>
      </w:r>
      <w:proofErr w:type="gramStart"/>
      <w:r>
        <w:t>the medical</w:t>
      </w:r>
      <w:proofErr w:type="gramEnd"/>
      <w:r>
        <w:t xml:space="preserve"> assistance, the qualified individual seeks and obtains a screening and receives a referral for treatment from a community addiction services provider or a properly credentialed addiction treatment professional.</w:t>
      </w:r>
    </w:p>
    <w:p w14:paraId="45F3F95E" w14:textId="77777777" w:rsidR="003F788B" w:rsidRDefault="003F788B" w:rsidP="003F788B">
      <w:pPr>
        <w:pStyle w:val="NormalWeb"/>
        <w:ind w:left="720"/>
      </w:pPr>
      <w:r>
        <w:t>(iii) Subject to division (B)(2)(g) of this section, the qualified individual who obtains a screening and receives a referral for treatment under division (B)(2)(b)(ii) of this section, upon the request of any prosecuting attorney, submits documentation to the prosecuting attorney that verifies that the qualified individual satisfied the requirements of that division. The documentation shall be limited to the date and time of the screening obtained and referral received.”</w:t>
      </w:r>
    </w:p>
    <w:p w14:paraId="49BEECCB" w14:textId="77777777" w:rsidR="003F788B" w:rsidRDefault="003F788B" w:rsidP="00F326E5">
      <w:pPr>
        <w:pStyle w:val="NoSpacing"/>
        <w:rPr>
          <w:rFonts w:ascii="Arial Black" w:hAnsi="Arial Black"/>
          <w:sz w:val="24"/>
          <w:szCs w:val="24"/>
        </w:rPr>
      </w:pPr>
    </w:p>
    <w:p w14:paraId="504DBD8F" w14:textId="77777777" w:rsidR="003F788B" w:rsidRDefault="003F788B" w:rsidP="00F326E5">
      <w:pPr>
        <w:pStyle w:val="NoSpacing"/>
        <w:rPr>
          <w:rFonts w:ascii="Arial Black" w:hAnsi="Arial Black"/>
          <w:sz w:val="24"/>
          <w:szCs w:val="24"/>
        </w:rPr>
      </w:pPr>
    </w:p>
    <w:p w14:paraId="044AA993" w14:textId="77777777" w:rsidR="003F788B" w:rsidRDefault="003F788B" w:rsidP="00F326E5">
      <w:pPr>
        <w:pStyle w:val="NoSpacing"/>
        <w:rPr>
          <w:rFonts w:ascii="Arial Black" w:hAnsi="Arial Black"/>
          <w:sz w:val="24"/>
          <w:szCs w:val="24"/>
        </w:rPr>
      </w:pPr>
    </w:p>
    <w:p w14:paraId="5707DBC6" w14:textId="516E01DF" w:rsidR="00AB637D" w:rsidRDefault="00AB637D" w:rsidP="00F326E5">
      <w:pPr>
        <w:pStyle w:val="NoSpacing"/>
        <w:rPr>
          <w:rFonts w:ascii="Arial Black" w:hAnsi="Arial Black"/>
          <w:sz w:val="24"/>
          <w:szCs w:val="24"/>
        </w:rPr>
      </w:pPr>
      <w:r>
        <w:rPr>
          <w:rFonts w:ascii="Arial Black" w:hAnsi="Arial Black"/>
          <w:sz w:val="24"/>
          <w:szCs w:val="24"/>
        </w:rPr>
        <w:t>1-117</w:t>
      </w:r>
    </w:p>
    <w:p w14:paraId="6F0883FE" w14:textId="34BC8D8D" w:rsidR="00AB637D" w:rsidRDefault="00AB637D" w:rsidP="00F326E5">
      <w:pPr>
        <w:pStyle w:val="NoSpacing"/>
        <w:rPr>
          <w:rFonts w:ascii="Arial Black" w:hAnsi="Arial Black"/>
          <w:sz w:val="24"/>
          <w:szCs w:val="24"/>
        </w:rPr>
      </w:pPr>
    </w:p>
    <w:p w14:paraId="5076DF5D" w14:textId="77777777" w:rsidR="00AB637D" w:rsidRPr="00D33471" w:rsidRDefault="00AB637D" w:rsidP="00AB637D">
      <w:pPr>
        <w:pStyle w:val="Heading2"/>
        <w:rPr>
          <w:rStyle w:val="markedcontent"/>
          <w:rFonts w:ascii="Times New Roman" w:hAnsi="Times New Roman"/>
          <w:b w:val="0"/>
          <w:bCs w:val="0"/>
          <w:i w:val="0"/>
          <w:iCs w:val="0"/>
          <w:sz w:val="24"/>
          <w:szCs w:val="24"/>
        </w:rPr>
      </w:pPr>
      <w:r w:rsidRPr="00D33471">
        <w:rPr>
          <w:rStyle w:val="markedcontent"/>
          <w:rFonts w:ascii="Arial Black" w:hAnsi="Arial Black"/>
          <w:i w:val="0"/>
          <w:iCs w:val="0"/>
        </w:rPr>
        <w:t xml:space="preserve">OH: TEACHERS CAN HAVE FIREARMS – WITH SCHOOL PERMISSION - 24 HRS TRAINING – REQUEST LIST </w:t>
      </w:r>
    </w:p>
    <w:p w14:paraId="3FE459D4" w14:textId="77777777" w:rsidR="00AB637D" w:rsidRDefault="00AB637D" w:rsidP="00AB637D">
      <w:pPr>
        <w:rPr>
          <w:rStyle w:val="markedcontent"/>
          <w:rFonts w:ascii="Times New Roman" w:hAnsi="Times New Roman"/>
          <w:sz w:val="24"/>
          <w:szCs w:val="24"/>
        </w:rPr>
      </w:pPr>
      <w:r w:rsidRPr="00FD23CA">
        <w:rPr>
          <w:rStyle w:val="markedcontent"/>
          <w:rFonts w:ascii="Times New Roman" w:hAnsi="Times New Roman"/>
          <w:sz w:val="24"/>
          <w:szCs w:val="24"/>
        </w:rPr>
        <w:t xml:space="preserve">Now that this new statute </w:t>
      </w:r>
      <w:r>
        <w:rPr>
          <w:rStyle w:val="markedcontent"/>
          <w:rFonts w:ascii="Times New Roman" w:hAnsi="Times New Roman"/>
          <w:sz w:val="24"/>
          <w:szCs w:val="24"/>
        </w:rPr>
        <w:t xml:space="preserve">became effective September 12. 2022, </w:t>
      </w:r>
      <w:r w:rsidRPr="00FD23CA">
        <w:rPr>
          <w:rStyle w:val="markedcontent"/>
          <w:rFonts w:ascii="Times New Roman" w:hAnsi="Times New Roman"/>
          <w:sz w:val="24"/>
          <w:szCs w:val="24"/>
        </w:rPr>
        <w:t xml:space="preserve">Ohio Fire &amp; EMS Departments, as well as police departments, should have a current </w:t>
      </w:r>
      <w:proofErr w:type="gramStart"/>
      <w:r w:rsidRPr="00FD23CA">
        <w:rPr>
          <w:rStyle w:val="markedcontent"/>
          <w:rFonts w:ascii="Times New Roman" w:hAnsi="Times New Roman"/>
          <w:sz w:val="24"/>
          <w:szCs w:val="24"/>
        </w:rPr>
        <w:t>list</w:t>
      </w:r>
      <w:proofErr w:type="gramEnd"/>
      <w:r w:rsidRPr="00FD23CA">
        <w:rPr>
          <w:rStyle w:val="markedcontent"/>
          <w:rFonts w:ascii="Times New Roman" w:hAnsi="Times New Roman"/>
          <w:sz w:val="24"/>
          <w:szCs w:val="24"/>
        </w:rPr>
        <w:t xml:space="preserve"> school employees who are authorized to carry firearms. </w:t>
      </w:r>
      <w:hyperlink r:id="rId192" w:history="1">
        <w:r w:rsidRPr="00FE41C2">
          <w:rPr>
            <w:rStyle w:val="Hyperlink"/>
            <w:rFonts w:ascii="Times New Roman" w:hAnsi="Times New Roman"/>
            <w:sz w:val="24"/>
            <w:szCs w:val="24"/>
          </w:rPr>
          <w:t>https://www.legislature.ohio.gov/legislation/134/hb99</w:t>
        </w:r>
      </w:hyperlink>
      <w:r>
        <w:rPr>
          <w:rStyle w:val="markedcontent"/>
          <w:rFonts w:ascii="Times New Roman" w:hAnsi="Times New Roman"/>
          <w:sz w:val="24"/>
          <w:szCs w:val="24"/>
        </w:rPr>
        <w:t xml:space="preserve"> </w:t>
      </w:r>
      <w:r w:rsidRPr="00FD23CA">
        <w:rPr>
          <w:rStyle w:val="markedcontent"/>
          <w:rFonts w:ascii="Times New Roman" w:hAnsi="Times New Roman"/>
          <w:sz w:val="24"/>
          <w:szCs w:val="24"/>
        </w:rPr>
        <w:t xml:space="preserve">  It would also be helpful to have their photographs and invite them to participate in Active Shooter drills.</w:t>
      </w:r>
      <w:r>
        <w:rPr>
          <w:rStyle w:val="markedcontent"/>
          <w:rFonts w:ascii="Times New Roman" w:hAnsi="Times New Roman"/>
          <w:sz w:val="24"/>
          <w:szCs w:val="24"/>
        </w:rPr>
        <w:t xml:space="preserve"> </w:t>
      </w:r>
      <w:r w:rsidRPr="007818B5">
        <w:rPr>
          <w:rFonts w:ascii="Times New Roman" w:hAnsi="Times New Roman"/>
          <w:sz w:val="24"/>
          <w:szCs w:val="24"/>
        </w:rPr>
        <w:t>On June 13, 2022, Governor Mike DeWine signed House Bill 99</w:t>
      </w:r>
      <w:r>
        <w:rPr>
          <w:rFonts w:ascii="Times New Roman" w:hAnsi="Times New Roman"/>
          <w:sz w:val="24"/>
          <w:szCs w:val="24"/>
        </w:rPr>
        <w:t xml:space="preserve">.  The statute requires 24 hours of training, overturning a decision of Ohio Supreme Court, which held that teachers must take same training as police officers – about 60 hours.  </w:t>
      </w:r>
      <w:r w:rsidRPr="007818B5">
        <w:rPr>
          <w:rStyle w:val="markedcontent"/>
          <w:rFonts w:ascii="Times New Roman" w:hAnsi="Times New Roman"/>
          <w:sz w:val="24"/>
          <w:szCs w:val="24"/>
        </w:rPr>
        <w:t>Gabbard et al. v. Madison Local School District Board of Education</w:t>
      </w:r>
      <w:r>
        <w:rPr>
          <w:rStyle w:val="markedcontent"/>
          <w:rFonts w:ascii="Times New Roman" w:hAnsi="Times New Roman"/>
          <w:sz w:val="24"/>
          <w:szCs w:val="24"/>
        </w:rPr>
        <w:t xml:space="preserve">. June 23, 2021; </w:t>
      </w:r>
      <w:hyperlink r:id="rId193" w:history="1">
        <w:r w:rsidRPr="006169C4">
          <w:rPr>
            <w:rStyle w:val="Hyperlink"/>
            <w:rFonts w:ascii="Times New Roman" w:hAnsi="Times New Roman"/>
            <w:sz w:val="24"/>
            <w:szCs w:val="24"/>
          </w:rPr>
          <w:t>https://www.supremecourt.ohio.gov/rod/docs/pdf/0/2021/2021-ohio-2067.pdf</w:t>
        </w:r>
      </w:hyperlink>
      <w:r>
        <w:rPr>
          <w:rStyle w:val="markedcontent"/>
          <w:rFonts w:ascii="Times New Roman" w:hAnsi="Times New Roman"/>
          <w:sz w:val="24"/>
          <w:szCs w:val="24"/>
        </w:rPr>
        <w:t xml:space="preserve"> </w:t>
      </w:r>
    </w:p>
    <w:p w14:paraId="365702D7" w14:textId="77777777" w:rsidR="00AB637D" w:rsidRPr="0095101F" w:rsidRDefault="00AB637D" w:rsidP="00AB637D">
      <w:pPr>
        <w:ind w:left="720"/>
        <w:rPr>
          <w:rStyle w:val="markedcontent"/>
          <w:rFonts w:ascii="Times New Roman" w:hAnsi="Times New Roman"/>
          <w:sz w:val="24"/>
          <w:szCs w:val="24"/>
        </w:rPr>
      </w:pPr>
      <w:r>
        <w:rPr>
          <w:rFonts w:ascii="Times New Roman" w:hAnsi="Times New Roman"/>
          <w:sz w:val="24"/>
          <w:szCs w:val="24"/>
        </w:rPr>
        <w:t>“</w:t>
      </w:r>
      <w:r w:rsidRPr="0095101F">
        <w:rPr>
          <w:rFonts w:ascii="Times New Roman" w:hAnsi="Times New Roman"/>
          <w:sz w:val="24"/>
          <w:szCs w:val="24"/>
        </w:rPr>
        <w:t>In April 2018, just over two years after a school shooting at Madison</w:t>
      </w:r>
      <w:r w:rsidRPr="0095101F">
        <w:rPr>
          <w:rFonts w:ascii="Times New Roman" w:hAnsi="Times New Roman"/>
          <w:sz w:val="24"/>
          <w:szCs w:val="24"/>
        </w:rPr>
        <w:br/>
        <w:t>Junior/Senior High School that resulted in injuries to four students, appellant</w:t>
      </w:r>
      <w:r w:rsidRPr="0095101F">
        <w:rPr>
          <w:rFonts w:ascii="Times New Roman" w:hAnsi="Times New Roman"/>
          <w:sz w:val="24"/>
          <w:szCs w:val="24"/>
        </w:rPr>
        <w:br/>
        <w:t>Madison Local School District Board of Education (</w:t>
      </w:r>
      <w:r>
        <w:rPr>
          <w:rFonts w:ascii="Times New Roman" w:hAnsi="Times New Roman"/>
          <w:sz w:val="24"/>
          <w:szCs w:val="24"/>
        </w:rPr>
        <w:t>‘</w:t>
      </w:r>
      <w:r w:rsidRPr="0095101F">
        <w:rPr>
          <w:rFonts w:ascii="Times New Roman" w:hAnsi="Times New Roman"/>
          <w:sz w:val="24"/>
          <w:szCs w:val="24"/>
        </w:rPr>
        <w:t>the board</w:t>
      </w:r>
      <w:r>
        <w:rPr>
          <w:rFonts w:ascii="Times New Roman" w:hAnsi="Times New Roman"/>
          <w:sz w:val="24"/>
          <w:szCs w:val="24"/>
        </w:rPr>
        <w:t>’</w:t>
      </w:r>
      <w:r w:rsidRPr="0095101F">
        <w:rPr>
          <w:rFonts w:ascii="Times New Roman" w:hAnsi="Times New Roman"/>
          <w:sz w:val="24"/>
          <w:szCs w:val="24"/>
        </w:rPr>
        <w:t>) passed a</w:t>
      </w:r>
      <w:r w:rsidRPr="0095101F">
        <w:rPr>
          <w:rFonts w:ascii="Times New Roman" w:hAnsi="Times New Roman"/>
          <w:sz w:val="24"/>
          <w:szCs w:val="24"/>
        </w:rPr>
        <w:br/>
        <w:t>resolution to authorize certain school-district employees to carry a deadly weapon</w:t>
      </w:r>
      <w:r w:rsidRPr="0095101F">
        <w:rPr>
          <w:rFonts w:ascii="Times New Roman" w:hAnsi="Times New Roman"/>
          <w:sz w:val="24"/>
          <w:szCs w:val="24"/>
        </w:rPr>
        <w:br/>
        <w:t xml:space="preserve">or dangerous ordnance on school property </w:t>
      </w:r>
      <w:r>
        <w:rPr>
          <w:rFonts w:ascii="Times New Roman" w:hAnsi="Times New Roman"/>
          <w:sz w:val="24"/>
          <w:szCs w:val="24"/>
        </w:rPr>
        <w:t>‘</w:t>
      </w:r>
      <w:r w:rsidRPr="0095101F">
        <w:rPr>
          <w:rFonts w:ascii="Times New Roman" w:hAnsi="Times New Roman"/>
          <w:sz w:val="24"/>
          <w:szCs w:val="24"/>
        </w:rPr>
        <w:t>for the welfare and safety of [its]</w:t>
      </w:r>
      <w:r w:rsidRPr="0095101F">
        <w:rPr>
          <w:rFonts w:ascii="Times New Roman" w:hAnsi="Times New Roman"/>
          <w:sz w:val="24"/>
          <w:szCs w:val="24"/>
        </w:rPr>
        <w:br/>
        <w:t>students.</w:t>
      </w:r>
      <w:r>
        <w:rPr>
          <w:rFonts w:ascii="Times New Roman" w:hAnsi="Times New Roman"/>
          <w:sz w:val="24"/>
          <w:szCs w:val="24"/>
        </w:rPr>
        <w:t>’</w:t>
      </w:r>
      <w:r w:rsidRPr="0095101F">
        <w:rPr>
          <w:rFonts w:ascii="Times New Roman" w:hAnsi="Times New Roman"/>
          <w:sz w:val="24"/>
          <w:szCs w:val="24"/>
        </w:rPr>
        <w:t xml:space="preserve"> This appeal asks us to determine whether that resolution complies with</w:t>
      </w:r>
      <w:r w:rsidRPr="0095101F">
        <w:rPr>
          <w:rFonts w:ascii="Times New Roman" w:hAnsi="Times New Roman"/>
          <w:sz w:val="24"/>
          <w:szCs w:val="24"/>
        </w:rPr>
        <w:br/>
        <w:t>Ohio law. We conclude that it does not.</w:t>
      </w:r>
    </w:p>
    <w:p w14:paraId="4314D05E" w14:textId="77777777" w:rsidR="00AB637D" w:rsidRDefault="00AB637D" w:rsidP="00AB637D">
      <w:pPr>
        <w:rPr>
          <w:rStyle w:val="markedcontent"/>
          <w:rFonts w:ascii="Times New Roman" w:hAnsi="Times New Roman"/>
          <w:sz w:val="24"/>
          <w:szCs w:val="24"/>
        </w:rPr>
      </w:pPr>
      <w:r w:rsidRPr="00720D0B">
        <w:rPr>
          <w:rFonts w:ascii="Times New Roman" w:hAnsi="Times New Roman"/>
          <w:sz w:val="24"/>
          <w:szCs w:val="24"/>
        </w:rPr>
        <w:t xml:space="preserve">House Bill 99 requires each school district or governing body to maintain a list of personnel who are trained and qualified to carry a firearm. However, the bill explicitly exempts this list from the definition of a public record. </w:t>
      </w:r>
      <w:hyperlink r:id="rId194" w:history="1">
        <w:r w:rsidRPr="00B71FA0">
          <w:rPr>
            <w:rStyle w:val="Hyperlink"/>
            <w:rFonts w:ascii="Times New Roman" w:hAnsi="Times New Roman"/>
            <w:sz w:val="24"/>
            <w:szCs w:val="24"/>
          </w:rPr>
          <w:t>https://www.legislature.ohio.gov/download?key=19460&amp;format=pdf</w:t>
        </w:r>
      </w:hyperlink>
      <w:r>
        <w:rPr>
          <w:rStyle w:val="markedcontent"/>
          <w:rFonts w:ascii="Times New Roman" w:hAnsi="Times New Roman"/>
          <w:sz w:val="24"/>
          <w:szCs w:val="24"/>
        </w:rPr>
        <w:t xml:space="preserve"> </w:t>
      </w:r>
    </w:p>
    <w:p w14:paraId="108A6CF5" w14:textId="77777777" w:rsidR="00AB637D" w:rsidRDefault="00AB637D" w:rsidP="00AB637D">
      <w:pPr>
        <w:rPr>
          <w:rFonts w:ascii="Times New Roman" w:hAnsi="Times New Roman"/>
          <w:b/>
          <w:bCs/>
          <w:sz w:val="24"/>
          <w:szCs w:val="24"/>
        </w:rPr>
      </w:pPr>
      <w:r w:rsidRPr="001362CF">
        <w:rPr>
          <w:rFonts w:ascii="Times New Roman" w:hAnsi="Times New Roman"/>
          <w:b/>
          <w:bCs/>
          <w:sz w:val="24"/>
          <w:szCs w:val="24"/>
        </w:rPr>
        <w:t xml:space="preserve">Legal Lesson Learned: </w:t>
      </w:r>
      <w:r>
        <w:rPr>
          <w:rFonts w:ascii="Times New Roman" w:hAnsi="Times New Roman"/>
          <w:b/>
          <w:bCs/>
          <w:sz w:val="24"/>
          <w:szCs w:val="24"/>
        </w:rPr>
        <w:t xml:space="preserve"> Fire and Police Departments should have current list of </w:t>
      </w:r>
      <w:proofErr w:type="gramStart"/>
      <w:r>
        <w:rPr>
          <w:rFonts w:ascii="Times New Roman" w:hAnsi="Times New Roman"/>
          <w:b/>
          <w:bCs/>
          <w:sz w:val="24"/>
          <w:szCs w:val="24"/>
        </w:rPr>
        <w:t>these armed</w:t>
      </w:r>
      <w:proofErr w:type="gramEnd"/>
      <w:r>
        <w:rPr>
          <w:rFonts w:ascii="Times New Roman" w:hAnsi="Times New Roman"/>
          <w:b/>
          <w:bCs/>
          <w:sz w:val="24"/>
          <w:szCs w:val="24"/>
        </w:rPr>
        <w:t xml:space="preserve"> personnel. </w:t>
      </w:r>
    </w:p>
    <w:p w14:paraId="2982BF6F" w14:textId="77777777" w:rsidR="00AB637D" w:rsidRPr="001362CF" w:rsidRDefault="00AB637D" w:rsidP="00AB637D">
      <w:pPr>
        <w:rPr>
          <w:rFonts w:ascii="Times New Roman" w:hAnsi="Times New Roman"/>
          <w:sz w:val="24"/>
          <w:szCs w:val="24"/>
        </w:rPr>
      </w:pPr>
      <w:r>
        <w:rPr>
          <w:rFonts w:ascii="Times New Roman" w:hAnsi="Times New Roman"/>
          <w:b/>
          <w:bCs/>
          <w:sz w:val="24"/>
          <w:szCs w:val="24"/>
        </w:rPr>
        <w:tab/>
      </w:r>
      <w:r w:rsidRPr="001362CF">
        <w:rPr>
          <w:rFonts w:ascii="Times New Roman" w:hAnsi="Times New Roman"/>
          <w:sz w:val="24"/>
          <w:szCs w:val="24"/>
        </w:rPr>
        <w:t xml:space="preserve">Note: </w:t>
      </w:r>
      <w:r>
        <w:rPr>
          <w:rFonts w:ascii="Times New Roman" w:hAnsi="Times New Roman"/>
          <w:sz w:val="24"/>
          <w:szCs w:val="24"/>
        </w:rPr>
        <w:t xml:space="preserve">See newspaper comments on the law.  </w:t>
      </w:r>
    </w:p>
    <w:p w14:paraId="17F6C34B" w14:textId="77777777" w:rsidR="00AB637D" w:rsidRPr="001362CF" w:rsidRDefault="00AB637D" w:rsidP="00AB637D">
      <w:pPr>
        <w:ind w:left="720"/>
        <w:rPr>
          <w:rFonts w:ascii="Times New Roman" w:hAnsi="Times New Roman"/>
          <w:sz w:val="24"/>
          <w:szCs w:val="24"/>
        </w:rPr>
      </w:pPr>
      <w:r>
        <w:rPr>
          <w:rFonts w:ascii="Times New Roman" w:hAnsi="Times New Roman"/>
          <w:sz w:val="24"/>
          <w:szCs w:val="24"/>
        </w:rPr>
        <w:t xml:space="preserve"> </w:t>
      </w:r>
      <w:r w:rsidRPr="001362CF">
        <w:rPr>
          <w:rFonts w:ascii="Times New Roman" w:hAnsi="Times New Roman"/>
          <w:sz w:val="24"/>
          <w:szCs w:val="24"/>
        </w:rPr>
        <w:t xml:space="preserve">“Ohio Gov. Mike DeWine </w:t>
      </w:r>
      <w:hyperlink r:id="rId195" w:history="1">
        <w:r w:rsidRPr="001362CF">
          <w:rPr>
            <w:rStyle w:val="Hyperlink"/>
            <w:rFonts w:ascii="Times New Roman" w:hAnsi="Times New Roman"/>
            <w:sz w:val="24"/>
            <w:szCs w:val="24"/>
          </w:rPr>
          <w:t>signed a bill</w:t>
        </w:r>
      </w:hyperlink>
      <w:r w:rsidRPr="001362CF">
        <w:rPr>
          <w:rFonts w:ascii="Times New Roman" w:hAnsi="Times New Roman"/>
          <w:sz w:val="24"/>
          <w:szCs w:val="24"/>
        </w:rPr>
        <w:t xml:space="preserve"> on Monday allowing teachers to carry guns in class after 24 hours of training, over opposition from teachers and a police group. Backers say the policy will make schools safer, but critics say that's not the case, citing experts' analysis. The new law dramatically reduces the amount of training a teacher must undergo before they can carry a gun in a school safety zone. Instead of more than 700 hours of training that's currently required, school staff who want to be armed would get training that "shall not exceed" 24 hours, </w:t>
      </w:r>
      <w:hyperlink r:id="rId196" w:history="1">
        <w:r w:rsidRPr="001362CF">
          <w:rPr>
            <w:rStyle w:val="Hyperlink"/>
            <w:rFonts w:ascii="Times New Roman" w:hAnsi="Times New Roman"/>
            <w:sz w:val="24"/>
            <w:szCs w:val="24"/>
          </w:rPr>
          <w:t>House Bill 99</w:t>
        </w:r>
      </w:hyperlink>
      <w:r w:rsidRPr="001362CF">
        <w:rPr>
          <w:rFonts w:ascii="Times New Roman" w:hAnsi="Times New Roman"/>
          <w:sz w:val="24"/>
          <w:szCs w:val="24"/>
        </w:rPr>
        <w:t xml:space="preserve"> states.”*** "No school has to do this. </w:t>
      </w:r>
      <w:proofErr w:type="gramStart"/>
      <w:r w:rsidRPr="001362CF">
        <w:rPr>
          <w:rFonts w:ascii="Times New Roman" w:hAnsi="Times New Roman"/>
          <w:sz w:val="24"/>
          <w:szCs w:val="24"/>
        </w:rPr>
        <w:t>This</w:t>
      </w:r>
      <w:proofErr w:type="gramEnd"/>
      <w:r w:rsidRPr="001362CF">
        <w:rPr>
          <w:rFonts w:ascii="Times New Roman" w:hAnsi="Times New Roman"/>
          <w:sz w:val="24"/>
          <w:szCs w:val="24"/>
        </w:rPr>
        <w:t xml:space="preserve"> is up to a local school board," DeWine said, adding that some schools might have security officers or other plans to deter or counter an active shooter scenario. "The best thing is to have a police officer in the schools," he said. "They can be plain clothes, but some schools may not be able to do that."  </w:t>
      </w:r>
      <w:hyperlink r:id="rId197" w:history="1">
        <w:r w:rsidRPr="001362CF">
          <w:rPr>
            <w:rStyle w:val="Hyperlink"/>
            <w:rFonts w:ascii="Times New Roman" w:hAnsi="Times New Roman"/>
            <w:sz w:val="24"/>
            <w:szCs w:val="24"/>
          </w:rPr>
          <w:t>https://www.npr.org/2022/06/13/1104570419/ohio-dewine-guns-teachers</w:t>
        </w:r>
      </w:hyperlink>
      <w:r w:rsidRPr="001362CF">
        <w:rPr>
          <w:rFonts w:ascii="Times New Roman" w:hAnsi="Times New Roman"/>
          <w:sz w:val="24"/>
          <w:szCs w:val="24"/>
        </w:rPr>
        <w:t xml:space="preserve"> </w:t>
      </w:r>
    </w:p>
    <w:p w14:paraId="408F31D0" w14:textId="77777777" w:rsidR="00AB637D" w:rsidRDefault="00AB637D" w:rsidP="00F326E5">
      <w:pPr>
        <w:pStyle w:val="NoSpacing"/>
        <w:rPr>
          <w:rFonts w:ascii="Arial Black" w:hAnsi="Arial Black"/>
          <w:sz w:val="24"/>
          <w:szCs w:val="24"/>
        </w:rPr>
      </w:pPr>
    </w:p>
    <w:p w14:paraId="4FD5BF81" w14:textId="77777777" w:rsidR="00AB637D" w:rsidRDefault="00AB637D" w:rsidP="00F326E5">
      <w:pPr>
        <w:pStyle w:val="NoSpacing"/>
        <w:rPr>
          <w:rFonts w:ascii="Arial Black" w:hAnsi="Arial Black"/>
          <w:sz w:val="24"/>
          <w:szCs w:val="24"/>
        </w:rPr>
      </w:pPr>
    </w:p>
    <w:p w14:paraId="3DC5554E" w14:textId="6387124B" w:rsidR="007959C9" w:rsidRDefault="007959C9" w:rsidP="00F326E5">
      <w:pPr>
        <w:pStyle w:val="NoSpacing"/>
        <w:rPr>
          <w:rFonts w:ascii="Arial Black" w:hAnsi="Arial Black"/>
          <w:sz w:val="24"/>
          <w:szCs w:val="24"/>
        </w:rPr>
      </w:pPr>
      <w:r>
        <w:rPr>
          <w:rFonts w:ascii="Arial Black" w:hAnsi="Arial Black"/>
          <w:sz w:val="24"/>
          <w:szCs w:val="24"/>
        </w:rPr>
        <w:t>1-116</w:t>
      </w:r>
    </w:p>
    <w:p w14:paraId="2E9EF346" w14:textId="22E78BB0" w:rsidR="007959C9" w:rsidRDefault="007959C9" w:rsidP="00F326E5">
      <w:pPr>
        <w:pStyle w:val="NoSpacing"/>
        <w:rPr>
          <w:rFonts w:ascii="Arial Black" w:hAnsi="Arial Black"/>
          <w:sz w:val="24"/>
          <w:szCs w:val="24"/>
        </w:rPr>
      </w:pPr>
    </w:p>
    <w:p w14:paraId="3ECB468D" w14:textId="77777777" w:rsidR="007959C9" w:rsidRPr="004F0DF1" w:rsidRDefault="007959C9" w:rsidP="007959C9">
      <w:pPr>
        <w:pStyle w:val="NormalWeb"/>
        <w:rPr>
          <w:rFonts w:ascii="Arial Black" w:hAnsi="Arial Black"/>
          <w:b/>
          <w:bCs/>
          <w:sz w:val="28"/>
          <w:szCs w:val="28"/>
        </w:rPr>
      </w:pPr>
      <w:r>
        <w:rPr>
          <w:rFonts w:ascii="Arial Black" w:hAnsi="Arial Black"/>
          <w:b/>
          <w:bCs/>
          <w:sz w:val="28"/>
          <w:szCs w:val="28"/>
        </w:rPr>
        <w:t>SC: PUBLIC HOUSING – 2 DEAD - BAD FURNACE, NO CO DETECTORS – CITY CAN BE SUED - “SHOCK CONSCIOUS”</w:t>
      </w:r>
    </w:p>
    <w:p w14:paraId="175E5908" w14:textId="77777777" w:rsidR="007959C9" w:rsidRDefault="007959C9" w:rsidP="007959C9">
      <w:pPr>
        <w:pStyle w:val="NormalWeb"/>
      </w:pPr>
      <w:r w:rsidRPr="00493053">
        <w:t xml:space="preserve">On </w:t>
      </w:r>
      <w:r>
        <w:t xml:space="preserve">Jan. 19, 2023, in </w:t>
      </w:r>
      <w:r w:rsidRPr="00493053">
        <w:rPr>
          <w:u w:val="single"/>
        </w:rPr>
        <w:t>Daniel Washington, Personal Representative of the Estate of Calvin Witherspoon v. Housing Authority of the City of Columbia</w:t>
      </w:r>
      <w:r>
        <w:t>, the U.S. Court of Appeals for the Fourth Circuit (Richmond, VA) held (3 to 0) that that the U.S. District Court judge should not have dismissed this lawsuit.  “In sum, at this early stage, Plaintiff has alleged sufficient facts to establish that the Housing Authority's policies and customs were the moving force behind the constitutional injury.”   The gas furnace was installed in 1990, had never regularly inspected, tested, or maintained, and build-up of debris caused the furnace's carbon monoxide venting to stop functioning leading to two deaths and hospitalizations in 2019. Carbon dioxide detectors were required by law to be in each unit, but none were in any of the 244 units. The Court held: “</w:t>
      </w:r>
      <w:r>
        <w:rPr>
          <w:rStyle w:val="markedcontent"/>
          <w:rFonts w:eastAsiaTheme="majorEastAsia"/>
        </w:rPr>
        <w:t>Plaintiff has alleged enough facts at this early stage to establish that the Housing Authority recognized the risk of carbon monoxide poisoning and acted inappropriately in light of that risk.”</w:t>
      </w:r>
      <w:r>
        <w:t xml:space="preserve"> </w:t>
      </w:r>
      <w:hyperlink r:id="rId198" w:history="1">
        <w:r w:rsidRPr="006E56EF">
          <w:rPr>
            <w:rStyle w:val="Hyperlink"/>
          </w:rPr>
          <w:t>https://law.justia.com/cases/federal/appellate-courts/ca4/21-2059/21-2059-2023-01-19.html</w:t>
        </w:r>
      </w:hyperlink>
      <w:r>
        <w:t xml:space="preserve"> </w:t>
      </w:r>
    </w:p>
    <w:p w14:paraId="198A382A" w14:textId="77777777" w:rsidR="007959C9" w:rsidRDefault="007959C9" w:rsidP="007959C9">
      <w:pPr>
        <w:pStyle w:val="NormalWeb"/>
        <w:ind w:left="720"/>
      </w:pPr>
      <w:r>
        <w:t xml:space="preserve">“The police and fire chiefs determined that Witherspoon's death was entirely preventable had the Housing Authority performed regular maintenance. Yet they found that the Housing Authority had performed no preventative maintenance on appliances at the complex, maintenance reports were inadequate or incomplete, and tenants who lived at the apartments believed that "if they complained, things would not be fixed…. The Housing Authority only had a single inspector for all 2,600 of its housing units. And ultimately, an inspection of the apartments revealed 869 code violations, ranging from missing carbon monoxide detectors and faulty smoke detectors to exposed wires and expired fire extinguishers. The fire chief found that several stoves were leaking natural gas, presenting a ‘severe risk for the community and its occupants.’ </w:t>
      </w:r>
    </w:p>
    <w:p w14:paraId="669955D5" w14:textId="77777777" w:rsidR="007959C9" w:rsidRDefault="007959C9" w:rsidP="007959C9">
      <w:pPr>
        <w:pStyle w:val="NormalWeb"/>
        <w:ind w:left="720"/>
      </w:pPr>
      <w:r>
        <w:t>***</w:t>
      </w:r>
    </w:p>
    <w:p w14:paraId="237EBD86" w14:textId="77777777" w:rsidR="007959C9" w:rsidRDefault="007959C9" w:rsidP="007959C9">
      <w:pPr>
        <w:pStyle w:val="NormalWeb"/>
        <w:ind w:left="720"/>
      </w:pPr>
      <w:r>
        <w:t xml:space="preserve">Additionally, the Housing Authority adopted a specific policy in 2017 to ensure that missing carbon monoxide detectors, which it considered to be "life-threatening conditions," were installed in </w:t>
      </w:r>
      <w:r>
        <w:rPr>
          <w:rStyle w:val="Emphasis"/>
        </w:rPr>
        <w:t>some</w:t>
      </w:r>
      <w:r>
        <w:t xml:space="preserve"> (privately owned) properties…. But two years later</w:t>
      </w:r>
      <w:proofErr w:type="gramStart"/>
      <w:r>
        <w:t>-and</w:t>
      </w:r>
      <w:proofErr w:type="gramEnd"/>
      <w:r>
        <w:t xml:space="preserve"> with time to reflect that such "life-threatening conditions" from carbon monoxide threatened </w:t>
      </w:r>
      <w:proofErr w:type="gramStart"/>
      <w:r>
        <w:rPr>
          <w:rStyle w:val="Emphasis"/>
        </w:rPr>
        <w:t>all</w:t>
      </w:r>
      <w:r>
        <w:t xml:space="preserve"> of</w:t>
      </w:r>
      <w:proofErr w:type="gramEnd"/>
      <w:r>
        <w:t xml:space="preserve"> its properties</w:t>
      </w:r>
      <w:proofErr w:type="gramStart"/>
      <w:r>
        <w:t>-the</w:t>
      </w:r>
      <w:proofErr w:type="gramEnd"/>
      <w:r>
        <w:t xml:space="preserve"> Housing Authority had chosen not to apply the same policy to its </w:t>
      </w:r>
      <w:r>
        <w:rPr>
          <w:rStyle w:val="Emphasis"/>
        </w:rPr>
        <w:t>own</w:t>
      </w:r>
      <w:r>
        <w:t xml:space="preserve"> housing. Thus, the facts alleged show there was ample time to deliberate and reflect on those choices. Accordingly, deliberate indifference is the correct standard to apply here.</w:t>
      </w:r>
    </w:p>
    <w:p w14:paraId="50397BCB" w14:textId="77777777" w:rsidR="007959C9" w:rsidRDefault="007959C9" w:rsidP="007959C9">
      <w:pPr>
        <w:pStyle w:val="NormalWeb"/>
        <w:ind w:left="720"/>
      </w:pPr>
      <w:r>
        <w:t>***</w:t>
      </w:r>
    </w:p>
    <w:p w14:paraId="484F0AD7" w14:textId="77777777" w:rsidR="007959C9" w:rsidRDefault="007959C9" w:rsidP="007959C9">
      <w:pPr>
        <w:pStyle w:val="NormalWeb"/>
        <w:ind w:left="720"/>
      </w:pPr>
      <w:r>
        <w:t>To prove a violation of substantive-due-process rights under the Fourteenth Amendment, a plaintiff must show that a defendant's behavior was ‘so egregious, so outrageous, that it may fairly be said to shock the contemporary conscience.’</w:t>
      </w:r>
    </w:p>
    <w:p w14:paraId="1B5FA9C2" w14:textId="77777777" w:rsidR="007959C9" w:rsidRPr="005F7E68" w:rsidRDefault="007959C9" w:rsidP="007959C9">
      <w:pPr>
        <w:pStyle w:val="NormalWeb"/>
        <w:rPr>
          <w:b/>
          <w:bCs/>
        </w:rPr>
      </w:pPr>
      <w:r w:rsidRPr="005F7E68">
        <w:rPr>
          <w:b/>
          <w:bCs/>
        </w:rPr>
        <w:t xml:space="preserve">Legal Lesson Learned: </w:t>
      </w:r>
      <w:r>
        <w:rPr>
          <w:b/>
          <w:bCs/>
        </w:rPr>
        <w:t xml:space="preserve">The facts alleged do “shock the conscious” and </w:t>
      </w:r>
      <w:r w:rsidRPr="005F7E68">
        <w:rPr>
          <w:b/>
          <w:bCs/>
        </w:rPr>
        <w:t xml:space="preserve">the case will now proceed to pre-trial discovery.   </w:t>
      </w:r>
    </w:p>
    <w:p w14:paraId="40002E2D" w14:textId="77777777" w:rsidR="007959C9" w:rsidRDefault="007959C9" w:rsidP="007959C9">
      <w:pPr>
        <w:pStyle w:val="NormalWeb"/>
        <w:jc w:val="center"/>
        <w:rPr>
          <w:b/>
          <w:bCs/>
        </w:rPr>
      </w:pPr>
      <w:r>
        <w:rPr>
          <w:b/>
          <w:bCs/>
        </w:rPr>
        <w:t xml:space="preserve"> </w:t>
      </w:r>
    </w:p>
    <w:p w14:paraId="64893EC7" w14:textId="65A72606" w:rsidR="007959C9" w:rsidRDefault="007959C9" w:rsidP="00F326E5">
      <w:pPr>
        <w:pStyle w:val="NoSpacing"/>
        <w:rPr>
          <w:rFonts w:ascii="Arial Black" w:hAnsi="Arial Black"/>
          <w:sz w:val="24"/>
          <w:szCs w:val="24"/>
        </w:rPr>
      </w:pPr>
      <w:r>
        <w:rPr>
          <w:rFonts w:ascii="Arial Black" w:hAnsi="Arial Black"/>
          <w:sz w:val="24"/>
          <w:szCs w:val="24"/>
        </w:rPr>
        <w:t>1-115</w:t>
      </w:r>
    </w:p>
    <w:p w14:paraId="586AB0DC" w14:textId="100FCB5B" w:rsidR="007959C9" w:rsidRDefault="007959C9" w:rsidP="00F326E5">
      <w:pPr>
        <w:pStyle w:val="NoSpacing"/>
        <w:rPr>
          <w:rFonts w:ascii="Arial Black" w:hAnsi="Arial Black"/>
          <w:sz w:val="24"/>
          <w:szCs w:val="24"/>
        </w:rPr>
      </w:pPr>
    </w:p>
    <w:p w14:paraId="16F297FD" w14:textId="77777777" w:rsidR="007959C9" w:rsidRDefault="007959C9" w:rsidP="007959C9">
      <w:pPr>
        <w:pStyle w:val="NormalWeb"/>
        <w:rPr>
          <w:rFonts w:ascii="Arial Black" w:hAnsi="Arial Black"/>
          <w:sz w:val="28"/>
          <w:szCs w:val="28"/>
        </w:rPr>
      </w:pPr>
      <w:r>
        <w:rPr>
          <w:rFonts w:ascii="Arial Black" w:hAnsi="Arial Black"/>
          <w:sz w:val="28"/>
          <w:szCs w:val="28"/>
        </w:rPr>
        <w:t>SC: SPRINKLERS NOT REQUIRED IN ATTICS OF CONDOS – FIRE CHIEF &amp; BLDG OFFICIAL APPROVED – NO CASE</w:t>
      </w:r>
    </w:p>
    <w:p w14:paraId="73BD765C" w14:textId="77777777" w:rsidR="007959C9" w:rsidRPr="00382792" w:rsidRDefault="007959C9" w:rsidP="007959C9">
      <w:pPr>
        <w:pStyle w:val="NormalWeb"/>
      </w:pPr>
      <w:r>
        <w:t xml:space="preserve">On Jan. 11, 2023, in </w:t>
      </w:r>
      <w:r w:rsidRPr="001D61ED">
        <w:rPr>
          <w:u w:val="single"/>
        </w:rPr>
        <w:t>Palmetto Pointe at Peas Island Condominium Property Owners Association, Inc., et al. v. Island Pointe, LLC, et al</w:t>
      </w:r>
      <w:r>
        <w:t xml:space="preserve">., the Court of Appeals of South Carolina held (3 to 0; unpublished opinion) that jury’s verdict for in favor of WC Services, Inc. (WCS) is upheld.  The  subcontractor that was responsible for supplying and installing fire sprinkler systems in </w:t>
      </w:r>
      <w:proofErr w:type="gramStart"/>
      <w:r>
        <w:t>all of</w:t>
      </w:r>
      <w:proofErr w:type="gramEnd"/>
      <w:r>
        <w:t xml:space="preserve"> the units, per Fire Chief’s advice, was not required to install sprinklers in the attic.  The Court held: “</w:t>
      </w:r>
      <w:r>
        <w:rPr>
          <w:rStyle w:val="markedcontent"/>
          <w:rFonts w:eastAsiaTheme="majorEastAsia"/>
        </w:rPr>
        <w:t xml:space="preserve">Claims against several defendants went to the jury. This appeal concerns the POA's [Property Owners Association] claims against WC Services, Inc. (WCS). WCS is the subcontractor that was responsible for supplying and installing fire sprinkler systems in </w:t>
      </w:r>
      <w:proofErr w:type="gramStart"/>
      <w:r>
        <w:rPr>
          <w:rStyle w:val="markedcontent"/>
          <w:rFonts w:eastAsiaTheme="majorEastAsia"/>
        </w:rPr>
        <w:t>all of</w:t>
      </w:r>
      <w:proofErr w:type="gramEnd"/>
      <w:r>
        <w:rPr>
          <w:rStyle w:val="markedcontent"/>
          <w:rFonts w:eastAsiaTheme="majorEastAsia"/>
        </w:rPr>
        <w:t xml:space="preserve"> the units. The</w:t>
      </w:r>
      <w:r>
        <w:br/>
      </w:r>
      <w:r>
        <w:rPr>
          <w:rStyle w:val="markedcontent"/>
          <w:rFonts w:eastAsiaTheme="majorEastAsia"/>
        </w:rPr>
        <w:t xml:space="preserve">POA's claims against WCS are the only ones that resulted in a defense verdict. We </w:t>
      </w:r>
      <w:r>
        <w:br/>
      </w:r>
      <w:r>
        <w:rPr>
          <w:rStyle w:val="markedcontent"/>
          <w:rFonts w:eastAsiaTheme="majorEastAsia"/>
        </w:rPr>
        <w:t xml:space="preserve">affirm. ***   There is a reasonable </w:t>
      </w:r>
      <w:proofErr w:type="gramStart"/>
      <w:r>
        <w:rPr>
          <w:rStyle w:val="markedcontent"/>
          <w:rFonts w:eastAsiaTheme="majorEastAsia"/>
        </w:rPr>
        <w:t>inference</w:t>
      </w:r>
      <w:proofErr w:type="gramEnd"/>
      <w:r>
        <w:rPr>
          <w:rStyle w:val="markedcontent"/>
          <w:rFonts w:eastAsiaTheme="majorEastAsia"/>
        </w:rPr>
        <w:t xml:space="preserve"> the developer was instructed that it did not need to</w:t>
      </w:r>
      <w:r>
        <w:br/>
      </w:r>
      <w:r>
        <w:rPr>
          <w:rStyle w:val="markedcontent"/>
          <w:rFonts w:eastAsiaTheme="majorEastAsia"/>
        </w:rPr>
        <w:t>include sprinklers in the attics. A key piece of evidence is a memo—the "Hall</w:t>
      </w:r>
      <w:r>
        <w:br/>
      </w:r>
      <w:r>
        <w:rPr>
          <w:rStyle w:val="markedcontent"/>
          <w:rFonts w:eastAsiaTheme="majorEastAsia"/>
        </w:rPr>
        <w:t>Letter"—memorializing a meeting between the developer, the fire chief, and a local</w:t>
      </w:r>
      <w:r>
        <w:br/>
      </w:r>
      <w:r>
        <w:rPr>
          <w:rStyle w:val="markedcontent"/>
          <w:rFonts w:eastAsiaTheme="majorEastAsia"/>
        </w:rPr>
        <w:t>building official. The letter begins by referencing Folly Beach's local sprinkler</w:t>
      </w:r>
      <w:r>
        <w:br/>
      </w:r>
      <w:r>
        <w:rPr>
          <w:rStyle w:val="markedcontent"/>
          <w:rFonts w:eastAsiaTheme="majorEastAsia"/>
        </w:rPr>
        <w:t>system requirements, but after that, the letter explains the development's sprinkler</w:t>
      </w:r>
      <w:r>
        <w:br/>
      </w:r>
      <w:r>
        <w:rPr>
          <w:rStyle w:val="markedcontent"/>
          <w:rFonts w:eastAsiaTheme="majorEastAsia"/>
        </w:rPr>
        <w:t>systems must comply with a national standard. That standard does not require attic</w:t>
      </w:r>
      <w:r>
        <w:br/>
      </w:r>
      <w:r>
        <w:rPr>
          <w:rStyle w:val="markedcontent"/>
          <w:rFonts w:eastAsiaTheme="majorEastAsia"/>
        </w:rPr>
        <w:t xml:space="preserve">sprinklers in this situation.” </w:t>
      </w:r>
      <w:hyperlink r:id="rId199" w:history="1">
        <w:r w:rsidRPr="006E56EF">
          <w:rPr>
            <w:rStyle w:val="Hyperlink"/>
          </w:rPr>
          <w:t>https://www.sccourts.org/opinions//unpublishedopinions/HTMLFiles/COA/2023-UP-014.pdf</w:t>
        </w:r>
      </w:hyperlink>
      <w:r>
        <w:t xml:space="preserve"> </w:t>
      </w:r>
    </w:p>
    <w:p w14:paraId="4672A321" w14:textId="77777777" w:rsidR="007959C9" w:rsidRDefault="007959C9" w:rsidP="007959C9">
      <w:pPr>
        <w:pStyle w:val="NormalWeb"/>
        <w:ind w:left="720"/>
      </w:pPr>
      <w:r>
        <w:t xml:space="preserve">“Then, the letter references two </w:t>
      </w:r>
      <w:proofErr w:type="gramStart"/>
      <w:r>
        <w:t>particular provisions</w:t>
      </w:r>
      <w:proofErr w:type="gramEnd"/>
      <w:r>
        <w:t xml:space="preserve"> (and only those two provisions) of the local sprinkler ordinance. We agree with WCS that it is possible to read the </w:t>
      </w:r>
      <w:proofErr w:type="gramStart"/>
      <w:r>
        <w:t>letter as</w:t>
      </w:r>
      <w:proofErr w:type="gramEnd"/>
      <w:r>
        <w:t xml:space="preserve"> informing the developer that the national standard applies and (by implication) that attic sprinklers are not required.</w:t>
      </w:r>
    </w:p>
    <w:p w14:paraId="36E8FEA2" w14:textId="77777777" w:rsidR="007959C9" w:rsidRDefault="007959C9" w:rsidP="007959C9">
      <w:pPr>
        <w:pStyle w:val="NormalWeb"/>
        <w:ind w:left="720"/>
      </w:pPr>
      <w:r>
        <w:t>***</w:t>
      </w:r>
    </w:p>
    <w:p w14:paraId="237D57EF" w14:textId="77777777" w:rsidR="007959C9" w:rsidRDefault="007959C9" w:rsidP="007959C9">
      <w:pPr>
        <w:pStyle w:val="NormalWeb"/>
        <w:ind w:left="720"/>
      </w:pPr>
      <w:r>
        <w:t>WCS's expert testified that changes to design plans regularly occur in the field and that a building official always ensures that the installed system conforms to the plans before approving the system. This expert said building officials must have permitted changes to the original design because the project successfully received the national standard certificate of material and testing, which is completed by the sprinkler subcontractor and either a representative of the owner or the building official after physically inspecting and pressure testing the installed system. We hold that a jury could reasonably infer that the final plans for the project differed from the plans that were placed into evidence at trial.”</w:t>
      </w:r>
    </w:p>
    <w:p w14:paraId="1AA31F74" w14:textId="77777777" w:rsidR="007959C9" w:rsidRPr="00CB1526" w:rsidRDefault="007959C9" w:rsidP="007959C9">
      <w:pPr>
        <w:pStyle w:val="NormalWeb"/>
        <w:rPr>
          <w:b/>
          <w:bCs/>
        </w:rPr>
      </w:pPr>
      <w:r w:rsidRPr="00CB1526">
        <w:rPr>
          <w:b/>
          <w:bCs/>
        </w:rPr>
        <w:t xml:space="preserve">Legal Lesson Learned: </w:t>
      </w:r>
      <w:r>
        <w:rPr>
          <w:b/>
          <w:bCs/>
        </w:rPr>
        <w:t xml:space="preserve">Code does not require sprinklers in attics. </w:t>
      </w:r>
    </w:p>
    <w:p w14:paraId="48F916F5" w14:textId="77777777" w:rsidR="007959C9" w:rsidRDefault="007959C9" w:rsidP="00F326E5">
      <w:pPr>
        <w:pStyle w:val="NoSpacing"/>
        <w:rPr>
          <w:rFonts w:ascii="Arial Black" w:hAnsi="Arial Black"/>
          <w:sz w:val="24"/>
          <w:szCs w:val="24"/>
        </w:rPr>
      </w:pPr>
    </w:p>
    <w:p w14:paraId="0B60A5C5" w14:textId="15C425C6" w:rsidR="007959C9" w:rsidRDefault="007959C9" w:rsidP="00F326E5">
      <w:pPr>
        <w:pStyle w:val="NoSpacing"/>
        <w:rPr>
          <w:rFonts w:ascii="Arial Black" w:hAnsi="Arial Black"/>
          <w:sz w:val="24"/>
          <w:szCs w:val="24"/>
        </w:rPr>
      </w:pPr>
    </w:p>
    <w:p w14:paraId="20E9E10B" w14:textId="62420A41" w:rsidR="007959C9" w:rsidRDefault="007959C9" w:rsidP="00F326E5">
      <w:pPr>
        <w:pStyle w:val="NoSpacing"/>
        <w:rPr>
          <w:rFonts w:ascii="Arial Black" w:hAnsi="Arial Black"/>
          <w:sz w:val="24"/>
          <w:szCs w:val="24"/>
        </w:rPr>
      </w:pPr>
      <w:r>
        <w:rPr>
          <w:rFonts w:ascii="Arial Black" w:hAnsi="Arial Black"/>
          <w:sz w:val="24"/>
          <w:szCs w:val="24"/>
        </w:rPr>
        <w:t>1-114</w:t>
      </w:r>
    </w:p>
    <w:p w14:paraId="33CE1C24" w14:textId="4A03A9AE" w:rsidR="007959C9" w:rsidRDefault="007959C9" w:rsidP="00F326E5">
      <w:pPr>
        <w:pStyle w:val="NoSpacing"/>
        <w:rPr>
          <w:rFonts w:ascii="Arial Black" w:hAnsi="Arial Black"/>
          <w:sz w:val="24"/>
          <w:szCs w:val="24"/>
        </w:rPr>
      </w:pPr>
    </w:p>
    <w:p w14:paraId="26A99289" w14:textId="77777777" w:rsidR="007959C9" w:rsidRPr="0091639C" w:rsidRDefault="007959C9" w:rsidP="007959C9">
      <w:pPr>
        <w:pStyle w:val="NormalWeb"/>
        <w:rPr>
          <w:rFonts w:ascii="Arial Black" w:hAnsi="Arial Black"/>
          <w:sz w:val="28"/>
          <w:szCs w:val="28"/>
        </w:rPr>
      </w:pPr>
      <w:r>
        <w:rPr>
          <w:rFonts w:ascii="Arial Black" w:hAnsi="Arial Black"/>
          <w:sz w:val="28"/>
          <w:szCs w:val="28"/>
        </w:rPr>
        <w:t xml:space="preserve">NY: ARSONIST – DENIED “COMPASSIONATE RELEASE” - 1994 LODD FDNY LT. – MUST REMAIN PRISON ALL 43 YRS </w:t>
      </w:r>
    </w:p>
    <w:p w14:paraId="52675594" w14:textId="77777777" w:rsidR="007959C9" w:rsidRDefault="007959C9" w:rsidP="007959C9">
      <w:pPr>
        <w:pStyle w:val="NormalWeb"/>
      </w:pPr>
      <w:r>
        <w:t xml:space="preserve">On Jan. 5, 2023, in </w:t>
      </w:r>
      <w:r w:rsidRPr="0073742E">
        <w:rPr>
          <w:u w:val="single"/>
        </w:rPr>
        <w:t>United States of America v. Alberto Raposo</w:t>
      </w:r>
      <w:r>
        <w:t xml:space="preserve">, U.S. District Court Judge John P. Cronan, U.S. District Court for Southern District of New York, denied the prisoner’s motion for compassionate release.  The defendant started eight (8) fires on June 5, </w:t>
      </w:r>
      <w:proofErr w:type="gramStart"/>
      <w:r>
        <w:t>1994</w:t>
      </w:r>
      <w:proofErr w:type="gramEnd"/>
      <w:r>
        <w:t xml:space="preserve"> in a building in Manhattan, after a dispute with the two men he lived with on the fifth floor.  FDNY responded and unfortunately Lt. Gorge Lener died in subcellar.  The Federal judge reviewed his terrible misconduct and denied him early release from prison.  The judge held: “In sum, granting early release in this case would fail to reflect the seriousness of Raposo's crime of setting a fire that caused the death of Lieutenant Lener, would not justly punish that offense, would fail to promote respect for the law, and would not achieve adequate deterrence for such conduct. Thus, the applicable section 3553(a) factors compel the conclusion that no reduction of the imposed sentence is warranted.”  </w:t>
      </w:r>
      <w:hyperlink r:id="rId200" w:history="1">
        <w:r w:rsidRPr="003E040E">
          <w:rPr>
            <w:rStyle w:val="Hyperlink"/>
          </w:rPr>
          <w:t>https://casetext.com/case/united-states-v-raposo-6</w:t>
        </w:r>
      </w:hyperlink>
      <w:r>
        <w:t xml:space="preserve"> </w:t>
      </w:r>
    </w:p>
    <w:p w14:paraId="614AF75D" w14:textId="77777777" w:rsidR="007959C9" w:rsidRDefault="007959C9" w:rsidP="007959C9">
      <w:pPr>
        <w:pStyle w:val="NormalWeb"/>
        <w:ind w:left="720"/>
      </w:pPr>
      <w:r>
        <w:t xml:space="preserve">“On the evening of June 5, after a dispute with Ruiz, Raposo set eight fires throughout various floors and the subcellar of 79-81 Worth Street….  Raposo waited until Ruiz and Delvalle were inside the building on the fifth floor before setting the fires…. Raposo set the first fire in the subcellar, proceeded to the fourth floor where he gathered his belongings and set more fires, and then set additional fires on the second floor, in the lobby, and outside the building…. Raposo also strategically poured oil on </w:t>
      </w:r>
      <w:proofErr w:type="gramStart"/>
      <w:r>
        <w:t>egresses</w:t>
      </w:r>
      <w:proofErr w:type="gramEnd"/>
      <w:r>
        <w:t xml:space="preserve"> including a stairwell leading to </w:t>
      </w:r>
      <w:proofErr w:type="gramStart"/>
      <w:r>
        <w:t>a fire escape and the</w:t>
      </w:r>
      <w:proofErr w:type="gramEnd"/>
      <w:r>
        <w:t xml:space="preserve"> fire escapes themselves, locked the doors with a mortise lock to which he held the only key, and removed wires to disable the building's fire alarm. </w:t>
      </w:r>
    </w:p>
    <w:p w14:paraId="14009A82" w14:textId="77777777" w:rsidR="007959C9" w:rsidRDefault="007959C9" w:rsidP="007959C9">
      <w:pPr>
        <w:pStyle w:val="NormalWeb"/>
        <w:ind w:left="720"/>
        <w:rPr>
          <w:rStyle w:val="Emphasis"/>
        </w:rPr>
      </w:pPr>
      <w:r>
        <w:t>***</w:t>
      </w:r>
    </w:p>
    <w:p w14:paraId="76341A08" w14:textId="77777777" w:rsidR="007959C9" w:rsidRDefault="007959C9" w:rsidP="007959C9">
      <w:pPr>
        <w:pStyle w:val="NormalWeb"/>
        <w:ind w:left="720"/>
      </w:pPr>
      <w:r>
        <w:t>[F]</w:t>
      </w:r>
      <w:proofErr w:type="spellStart"/>
      <w:r>
        <w:t>irefighters</w:t>
      </w:r>
      <w:proofErr w:type="spellEnd"/>
      <w:r>
        <w:t xml:space="preserve"> with FDNY Ladder Company #6, led by Lieutenant George Lener, fought the blaze in the subcellar of the building, navigating their way through water that had accumulated from the sprinkler system…. Lieutenant Lener remained alone in the subcellar after the tanks of the firefighters under his command ran dry…. Subsequently, other firefighters heard a distress call, and one eventually found Lieutenant Lener facedown and unconscious in a foot of water in the subcellar…. Lieutenant Lener was carried out by five firefighters and rushed to a hospital in an ambulance…. Tragically, Lieutenant Lener never regained consciousness, and, approximately forty-five days later, died of carbon monoxide poisoning endured in the subcellar.”</w:t>
      </w:r>
    </w:p>
    <w:p w14:paraId="47D79693" w14:textId="77777777" w:rsidR="007959C9" w:rsidRPr="00651625" w:rsidRDefault="007959C9" w:rsidP="007959C9">
      <w:pPr>
        <w:pStyle w:val="NormalWeb"/>
        <w:rPr>
          <w:rStyle w:val="Emphasis"/>
          <w:b/>
          <w:bCs/>
          <w:i w:val="0"/>
          <w:iCs w:val="0"/>
        </w:rPr>
      </w:pPr>
      <w:r w:rsidRPr="00651625">
        <w:rPr>
          <w:rStyle w:val="Emphasis"/>
          <w:b/>
          <w:bCs/>
          <w:i w:val="0"/>
          <w:iCs w:val="0"/>
        </w:rPr>
        <w:t xml:space="preserve">Legal Lesson Learned: An arsonist is legally responsible for injuries and deaths to others, including firefighters. </w:t>
      </w:r>
    </w:p>
    <w:p w14:paraId="34B84E02" w14:textId="77777777" w:rsidR="007959C9" w:rsidRPr="007959C9" w:rsidRDefault="007959C9" w:rsidP="007959C9">
      <w:pPr>
        <w:pStyle w:val="NormalWeb"/>
        <w:ind w:left="720"/>
        <w:rPr>
          <w:rStyle w:val="Emphasis"/>
          <w:i w:val="0"/>
          <w:iCs w:val="0"/>
        </w:rPr>
      </w:pPr>
      <w:r w:rsidRPr="007959C9">
        <w:rPr>
          <w:rStyle w:val="Emphasis"/>
          <w:i w:val="0"/>
          <w:iCs w:val="0"/>
        </w:rPr>
        <w:t xml:space="preserve">Note: He was first tried in state court – surprisingly a jury found him not guilty.  Fortunately, he was then charged with federal offense of committing arson of property used in interstate commerce and convicted. </w:t>
      </w:r>
    </w:p>
    <w:p w14:paraId="1D957CF1" w14:textId="77777777" w:rsidR="007959C9" w:rsidRDefault="007959C9" w:rsidP="007959C9">
      <w:pPr>
        <w:pStyle w:val="NormalWeb"/>
        <w:ind w:left="1440" w:firstLine="60"/>
      </w:pPr>
      <w:r>
        <w:t>“Raposo originally was charged in New York Supreme Court, New York County, with arson in the first degree, arson in the third degree, and murder in the second degree…. On July 1, 1996, a jury found Raposo not guilty of those state charges….  A federal investigation followed Raposo's state court acquittal, leading to his arrest on federal arson charges on March 5, 1998…. The Indictment, which was filed on March 4, 1998, charged Raposo with one count of committing arson of property used in interstate commerce, with death resulting, in violation of 18 U.S.C. § 844(</w:t>
      </w:r>
      <w:proofErr w:type="spellStart"/>
      <w:r>
        <w:t>i</w:t>
      </w:r>
      <w:proofErr w:type="spellEnd"/>
      <w:r>
        <w:t>)…. On February 9, 1999, Raposo was found guilty of that count by a jury…. The conviction carried a maximum term of imprisonment of life.”</w:t>
      </w:r>
    </w:p>
    <w:p w14:paraId="09914FA8" w14:textId="77777777" w:rsidR="007959C9" w:rsidRDefault="007959C9" w:rsidP="00F326E5">
      <w:pPr>
        <w:pStyle w:val="NoSpacing"/>
        <w:rPr>
          <w:rFonts w:ascii="Arial Black" w:hAnsi="Arial Black"/>
          <w:sz w:val="24"/>
          <w:szCs w:val="24"/>
        </w:rPr>
      </w:pPr>
    </w:p>
    <w:p w14:paraId="5D853915" w14:textId="77777777" w:rsidR="007959C9" w:rsidRDefault="007959C9" w:rsidP="00F326E5">
      <w:pPr>
        <w:pStyle w:val="NoSpacing"/>
        <w:rPr>
          <w:rFonts w:ascii="Arial Black" w:hAnsi="Arial Black"/>
          <w:sz w:val="24"/>
          <w:szCs w:val="24"/>
        </w:rPr>
      </w:pPr>
    </w:p>
    <w:p w14:paraId="20CA6202" w14:textId="77777777" w:rsidR="007959C9" w:rsidRDefault="007959C9" w:rsidP="00F326E5">
      <w:pPr>
        <w:pStyle w:val="NoSpacing"/>
        <w:rPr>
          <w:rFonts w:ascii="Arial Black" w:hAnsi="Arial Black"/>
          <w:sz w:val="24"/>
          <w:szCs w:val="24"/>
        </w:rPr>
      </w:pPr>
    </w:p>
    <w:p w14:paraId="4DD5B44A" w14:textId="5AEBBD4F" w:rsidR="006C79BE" w:rsidRDefault="006C79BE" w:rsidP="00F326E5">
      <w:pPr>
        <w:pStyle w:val="NoSpacing"/>
        <w:rPr>
          <w:rFonts w:ascii="Arial Black" w:hAnsi="Arial Black"/>
          <w:sz w:val="24"/>
          <w:szCs w:val="24"/>
        </w:rPr>
      </w:pPr>
      <w:r>
        <w:rPr>
          <w:rFonts w:ascii="Arial Black" w:hAnsi="Arial Black"/>
          <w:sz w:val="24"/>
          <w:szCs w:val="24"/>
        </w:rPr>
        <w:t>1-113</w:t>
      </w:r>
    </w:p>
    <w:p w14:paraId="0F4C4BAB" w14:textId="1DBEFAFF" w:rsidR="006C79BE" w:rsidRDefault="006C79BE" w:rsidP="00F326E5">
      <w:pPr>
        <w:pStyle w:val="NoSpacing"/>
        <w:rPr>
          <w:rFonts w:ascii="Arial Black" w:hAnsi="Arial Black"/>
          <w:sz w:val="24"/>
          <w:szCs w:val="24"/>
        </w:rPr>
      </w:pPr>
    </w:p>
    <w:p w14:paraId="6DC19452" w14:textId="77777777" w:rsidR="006C79BE" w:rsidRPr="00F91DD5" w:rsidRDefault="006C79BE" w:rsidP="006C79BE">
      <w:pPr>
        <w:pStyle w:val="NormalWeb"/>
        <w:rPr>
          <w:rFonts w:ascii="Arial Black" w:hAnsi="Arial Black"/>
          <w:sz w:val="28"/>
          <w:szCs w:val="28"/>
        </w:rPr>
      </w:pPr>
      <w:r>
        <w:rPr>
          <w:rFonts w:ascii="Arial Black" w:hAnsi="Arial Black"/>
          <w:sz w:val="28"/>
          <w:szCs w:val="28"/>
        </w:rPr>
        <w:t>NJ:  ARSON – PROSECUTOR FILES CONFIDENTIAL – CIVIL SUIT $4M LOSS BLDG - SECURITY FENCE ONLY 3 SIDES</w:t>
      </w:r>
    </w:p>
    <w:p w14:paraId="366407FF" w14:textId="77777777" w:rsidR="006C79BE" w:rsidRDefault="006C79BE" w:rsidP="006C79BE">
      <w:pPr>
        <w:rPr>
          <w:rFonts w:ascii="Times New Roman" w:hAnsi="Times New Roman"/>
          <w:sz w:val="24"/>
          <w:szCs w:val="24"/>
        </w:rPr>
      </w:pPr>
      <w:r w:rsidRPr="00EE4FE2">
        <w:rPr>
          <w:rFonts w:ascii="Times New Roman" w:hAnsi="Times New Roman"/>
          <w:sz w:val="24"/>
          <w:szCs w:val="24"/>
        </w:rPr>
        <w:t xml:space="preserve">On Dec. 7, 2022, in </w:t>
      </w:r>
      <w:r w:rsidRPr="00EE4FE2">
        <w:rPr>
          <w:rFonts w:ascii="Times New Roman" w:hAnsi="Times New Roman"/>
          <w:sz w:val="24"/>
          <w:szCs w:val="24"/>
          <w:u w:val="single"/>
        </w:rPr>
        <w:t>American Insurance Company, et al. v. Meridia Downtown Urban Renewal, et al. and Somerset County Prosecutor’s Office</w:t>
      </w:r>
      <w:r w:rsidRPr="00EE4FE2">
        <w:rPr>
          <w:rFonts w:ascii="Times New Roman" w:hAnsi="Times New Roman"/>
          <w:sz w:val="24"/>
          <w:szCs w:val="24"/>
        </w:rPr>
        <w:t xml:space="preserve">, the Superior Court of New Jersey, Appellate Division, held (3 to 0) that trial judge improperly ordered the Prosecutor’s Office to disclose documents prior to the trial of the indicted arsonist concerning the January 12, 2020 fire, including videos and witness statements.  The pending civil litigation by the insurance company concerning construction company’s failure to fence in the entire property does not outweigh the </w:t>
      </w:r>
      <w:proofErr w:type="gramStart"/>
      <w:r w:rsidRPr="00EE4FE2">
        <w:rPr>
          <w:rFonts w:ascii="Times New Roman" w:hAnsi="Times New Roman"/>
          <w:sz w:val="24"/>
          <w:szCs w:val="24"/>
        </w:rPr>
        <w:t>public interest</w:t>
      </w:r>
      <w:proofErr w:type="gramEnd"/>
      <w:r w:rsidRPr="00EE4FE2">
        <w:rPr>
          <w:rFonts w:ascii="Times New Roman" w:hAnsi="Times New Roman"/>
          <w:sz w:val="24"/>
          <w:szCs w:val="24"/>
        </w:rPr>
        <w:t xml:space="preserve"> protected by the strict confidentiality that attaches to the criminal investigative file of an ongoing criminal prosecution.</w:t>
      </w:r>
    </w:p>
    <w:p w14:paraId="3693A55E" w14:textId="45323073" w:rsidR="006C79BE" w:rsidRDefault="006C79BE" w:rsidP="006C79BE">
      <w:pPr>
        <w:ind w:left="720"/>
        <w:rPr>
          <w:rFonts w:ascii="Times New Roman" w:hAnsi="Times New Roman"/>
          <w:sz w:val="24"/>
          <w:szCs w:val="24"/>
        </w:rPr>
      </w:pPr>
      <w:r>
        <w:rPr>
          <w:rFonts w:ascii="Times New Roman" w:hAnsi="Times New Roman"/>
          <w:sz w:val="24"/>
          <w:szCs w:val="24"/>
        </w:rPr>
        <w:t xml:space="preserve"> “[W]</w:t>
      </w:r>
      <w:r w:rsidRPr="00EE4FE2">
        <w:rPr>
          <w:rFonts w:ascii="Times New Roman" w:hAnsi="Times New Roman"/>
          <w:sz w:val="24"/>
          <w:szCs w:val="24"/>
        </w:rPr>
        <w:t xml:space="preserve">e </w:t>
      </w:r>
      <w:proofErr w:type="gramStart"/>
      <w:r w:rsidRPr="00EE4FE2">
        <w:rPr>
          <w:rFonts w:ascii="Times New Roman" w:hAnsi="Times New Roman"/>
          <w:sz w:val="24"/>
          <w:szCs w:val="24"/>
        </w:rPr>
        <w:t>believe</w:t>
      </w:r>
      <w:proofErr w:type="gramEnd"/>
      <w:r w:rsidRPr="00EE4FE2">
        <w:rPr>
          <w:rFonts w:ascii="Times New Roman" w:hAnsi="Times New Roman"/>
          <w:sz w:val="24"/>
          <w:szCs w:val="24"/>
        </w:rPr>
        <w:t xml:space="preserve"> the judge mistakenly exercised his discretion by failing to judiciously and painstakingly balance the competing interests at stake. Compelling the production of the materials sought here risks compromising the vital public interest protected by the strict confidentiality that attaches to the criminal investigative file of an ongoing criminal prosecution.</w:t>
      </w:r>
      <w:r>
        <w:rPr>
          <w:rFonts w:ascii="Times New Roman" w:hAnsi="Times New Roman"/>
          <w:sz w:val="24"/>
          <w:szCs w:val="24"/>
        </w:rPr>
        <w:t xml:space="preserve">” </w:t>
      </w:r>
      <w:hyperlink r:id="rId201" w:history="1">
        <w:r w:rsidRPr="00622894">
          <w:rPr>
            <w:rStyle w:val="Hyperlink"/>
            <w:rFonts w:ascii="Times New Roman" w:hAnsi="Times New Roman"/>
            <w:sz w:val="24"/>
            <w:szCs w:val="24"/>
          </w:rPr>
          <w:t>https://law.justia.com/cases/new-jersey/appellate-division-published/2022/a-1868-21.html</w:t>
        </w:r>
      </w:hyperlink>
      <w:r>
        <w:rPr>
          <w:rFonts w:ascii="Times New Roman" w:hAnsi="Times New Roman"/>
          <w:sz w:val="24"/>
          <w:szCs w:val="24"/>
        </w:rPr>
        <w:t xml:space="preserve"> </w:t>
      </w:r>
    </w:p>
    <w:p w14:paraId="593BD7EC" w14:textId="77777777" w:rsidR="006C79BE" w:rsidRPr="00EE4FE2" w:rsidRDefault="006C79BE" w:rsidP="006C79BE">
      <w:pPr>
        <w:rPr>
          <w:rFonts w:ascii="Times New Roman" w:hAnsi="Times New Roman"/>
          <w:b/>
          <w:bCs/>
          <w:sz w:val="24"/>
          <w:szCs w:val="24"/>
        </w:rPr>
      </w:pPr>
      <w:r w:rsidRPr="00EE4FE2">
        <w:rPr>
          <w:rFonts w:ascii="Times New Roman" w:hAnsi="Times New Roman"/>
          <w:b/>
          <w:bCs/>
          <w:sz w:val="24"/>
          <w:szCs w:val="24"/>
        </w:rPr>
        <w:t>Legal Lesson Learned:</w:t>
      </w:r>
      <w:r>
        <w:rPr>
          <w:rFonts w:ascii="Times New Roman" w:hAnsi="Times New Roman"/>
          <w:b/>
          <w:bCs/>
          <w:sz w:val="24"/>
          <w:szCs w:val="24"/>
        </w:rPr>
        <w:t xml:space="preserve"> There is very strong public interest in protecting the confidentiality of Prosecutor’s evidence pending trial of the arsonist. </w:t>
      </w:r>
    </w:p>
    <w:p w14:paraId="67D74B3A" w14:textId="77777777" w:rsidR="006C79BE" w:rsidRDefault="006C79BE" w:rsidP="006C79BE">
      <w:pPr>
        <w:pStyle w:val="NormalWeb"/>
      </w:pPr>
    </w:p>
    <w:p w14:paraId="42AFCFBE" w14:textId="77777777" w:rsidR="006C79BE" w:rsidRDefault="006C79BE" w:rsidP="00F326E5">
      <w:pPr>
        <w:pStyle w:val="NoSpacing"/>
        <w:rPr>
          <w:rFonts w:ascii="Arial Black" w:hAnsi="Arial Black"/>
          <w:sz w:val="24"/>
          <w:szCs w:val="24"/>
        </w:rPr>
      </w:pPr>
    </w:p>
    <w:p w14:paraId="31C6D0BF" w14:textId="77777777" w:rsidR="006C79BE" w:rsidRDefault="006C79BE" w:rsidP="00F326E5">
      <w:pPr>
        <w:pStyle w:val="NoSpacing"/>
        <w:rPr>
          <w:rFonts w:ascii="Arial Black" w:hAnsi="Arial Black"/>
          <w:sz w:val="24"/>
          <w:szCs w:val="24"/>
        </w:rPr>
      </w:pPr>
    </w:p>
    <w:p w14:paraId="230981A3" w14:textId="1A72662F" w:rsidR="00E8117B" w:rsidRDefault="006C79BE" w:rsidP="00F326E5">
      <w:pPr>
        <w:pStyle w:val="NoSpacing"/>
        <w:rPr>
          <w:rFonts w:ascii="Arial Black" w:hAnsi="Arial Black"/>
          <w:sz w:val="24"/>
          <w:szCs w:val="24"/>
        </w:rPr>
      </w:pPr>
      <w:r>
        <w:rPr>
          <w:rFonts w:ascii="Arial Black" w:hAnsi="Arial Black"/>
          <w:sz w:val="24"/>
          <w:szCs w:val="24"/>
        </w:rPr>
        <w:t>1-112</w:t>
      </w:r>
    </w:p>
    <w:p w14:paraId="4B7E437B" w14:textId="77777777" w:rsidR="006C79BE" w:rsidRPr="008B3217" w:rsidRDefault="006C79BE" w:rsidP="006C79BE">
      <w:pPr>
        <w:pStyle w:val="NormalWeb"/>
        <w:rPr>
          <w:rFonts w:ascii="Arial Black" w:hAnsi="Arial Black"/>
          <w:sz w:val="28"/>
          <w:szCs w:val="28"/>
        </w:rPr>
      </w:pPr>
      <w:r>
        <w:rPr>
          <w:rFonts w:ascii="Arial Black" w:hAnsi="Arial Black"/>
          <w:sz w:val="28"/>
          <w:szCs w:val="28"/>
        </w:rPr>
        <w:t>NY: COVID VACCINATIONS – RELIGIOUS EXEMPTION - FDNY FF ORDERED REHIRED – “REASONABLE ACCOMMODATION”</w:t>
      </w:r>
    </w:p>
    <w:p w14:paraId="45EFB268" w14:textId="77777777" w:rsidR="006C79BE" w:rsidRDefault="006C79BE" w:rsidP="006C79BE">
      <w:pPr>
        <w:pStyle w:val="NormalWeb"/>
      </w:pPr>
      <w:r>
        <w:t xml:space="preserve">On Oct. 7, 2022, in </w:t>
      </w:r>
      <w:r w:rsidRPr="004304FB">
        <w:rPr>
          <w:u w:val="single"/>
        </w:rPr>
        <w:t>Timothy Rivicci v. New Yok City Fire Department and The City of New York</w:t>
      </w:r>
      <w:r>
        <w:t xml:space="preserve">, Judge Ralp J. Porzio, Supreme Court, Richmond County (unpublished decision), granted the firefighters petition for reinstatement to full duties at Engine 158, back pay, and attorney fees.  The judge noted in his very direct opinion, that FDNY has granted 20 requests for religious or medical </w:t>
      </w:r>
      <w:proofErr w:type="gramStart"/>
      <w:r>
        <w:t>accommodations</w:t>
      </w:r>
      <w:proofErr w:type="gramEnd"/>
      <w:r>
        <w:t xml:space="preserve">, and referenced the affidavits of Robert Banome and Stephen Fitzgerald, members of the FDNY who were granted reasonable accommodations of weekly testing and mask wearing. The FF has been on FDNY since 2016.  During COVIC-19 pandemic, Mayor Bill DeBtasio declared a state of emergency and required all NYC employees be vaccinated by Oct. 28, 2021.  The FF was placed on leave without pay on Nov. 1, </w:t>
      </w:r>
      <w:proofErr w:type="gramStart"/>
      <w:r>
        <w:t>2021</w:t>
      </w:r>
      <w:proofErr w:type="gramEnd"/>
      <w:r>
        <w:t xml:space="preserve"> for not showing proof of vaccination. On Nov. 5, </w:t>
      </w:r>
      <w:proofErr w:type="gramStart"/>
      <w:r>
        <w:t>2021</w:t>
      </w:r>
      <w:proofErr w:type="gramEnd"/>
      <w:r>
        <w:t xml:space="preserve"> he submitted a </w:t>
      </w:r>
      <w:proofErr w:type="gramStart"/>
      <w:r>
        <w:t>religious reasonable</w:t>
      </w:r>
      <w:proofErr w:type="gramEnd"/>
      <w:r>
        <w:t xml:space="preserve"> accommodation request to the FDNY Equal Employment Opportunity Office (EEO).  Without any dialog with the FF, the EEO denied the request; he appealed to the NY Reasonable Accommodations Appeals Panel, and without any dialog with FF denied his appeal, and he was fired March 14, 2022.</w:t>
      </w:r>
    </w:p>
    <w:p w14:paraId="179C08C4" w14:textId="77777777" w:rsidR="006C79BE" w:rsidRDefault="006C79BE" w:rsidP="006C79BE">
      <w:pPr>
        <w:pStyle w:val="NormalWeb"/>
        <w:ind w:left="720"/>
      </w:pPr>
      <w:r>
        <w:t xml:space="preserve">“The Court cannot help but question, why were those accommodations of testing and masking granted, while this Petitioner's request for an accommodation would cause an ‘undue burden’ to the Department. It makes no difference to this Court whether the accommodation was granted for a religious or medical reason. The record is bereft of any reasoning, rational or otherwise.” </w:t>
      </w:r>
      <w:hyperlink r:id="rId202" w:history="1">
        <w:r w:rsidRPr="00617AE0">
          <w:rPr>
            <w:rStyle w:val="Hyperlink"/>
            <w:rFonts w:eastAsiaTheme="majorEastAsia"/>
          </w:rPr>
          <w:t>https://public.fastcase.com/J%2FJP6pdidelsXxEE4k%2BLMrfSCCaRdL8TI%2B5ioBWNQnh0kDz1GreH4%2B0yNBfnZOTE%2BnPBmU0h571R%2FJckMZe26svndIwXzFkT32fWB37fhjw%3D?utm_medium=email&amp;_hsmi=226712652&amp;_hsenc=p2ANqtz--GP8ZQooCAhfBpKdL9gU4tnEMPEYSQuJhpHC1xgU_R2XIHvEgQGIZy-l9drIqZUjYHZhAeqsmTG1Ww2RK_6TGoVdhMHQ&amp;utm_content=226712652&amp;utm_source=hs_email</w:t>
        </w:r>
      </w:hyperlink>
      <w:r>
        <w:t xml:space="preserve"> </w:t>
      </w:r>
    </w:p>
    <w:p w14:paraId="5808F788" w14:textId="77777777" w:rsidR="006C79BE" w:rsidRPr="0086106F" w:rsidRDefault="006C79BE" w:rsidP="006C79BE">
      <w:pPr>
        <w:pStyle w:val="NormalWeb"/>
        <w:rPr>
          <w:b/>
          <w:bCs/>
        </w:rPr>
      </w:pPr>
      <w:r w:rsidRPr="0086106F">
        <w:rPr>
          <w:b/>
          <w:bCs/>
        </w:rPr>
        <w:t>Legal Lesson Learned:</w:t>
      </w:r>
      <w:r>
        <w:rPr>
          <w:b/>
          <w:bCs/>
        </w:rPr>
        <w:t xml:space="preserve"> </w:t>
      </w:r>
      <w:proofErr w:type="gramStart"/>
      <w:r>
        <w:rPr>
          <w:b/>
          <w:bCs/>
        </w:rPr>
        <w:t>Similar to</w:t>
      </w:r>
      <w:proofErr w:type="gramEnd"/>
      <w:r>
        <w:rPr>
          <w:b/>
          <w:bCs/>
        </w:rPr>
        <w:t xml:space="preserve"> ADA claims, employers need to dialog with requests for accommodation before declaring request is an “undue hardship.” </w:t>
      </w:r>
    </w:p>
    <w:p w14:paraId="60056EF3" w14:textId="77777777" w:rsidR="006C79BE" w:rsidRDefault="006C79BE" w:rsidP="00F326E5">
      <w:pPr>
        <w:pStyle w:val="NoSpacing"/>
        <w:rPr>
          <w:rFonts w:ascii="Arial Black" w:hAnsi="Arial Black"/>
          <w:sz w:val="24"/>
          <w:szCs w:val="24"/>
        </w:rPr>
      </w:pPr>
    </w:p>
    <w:p w14:paraId="4650C6AC" w14:textId="77777777" w:rsidR="006C79BE" w:rsidRDefault="006C79BE" w:rsidP="00F326E5">
      <w:pPr>
        <w:pStyle w:val="NoSpacing"/>
        <w:rPr>
          <w:rFonts w:ascii="Arial Black" w:hAnsi="Arial Black"/>
          <w:sz w:val="24"/>
          <w:szCs w:val="24"/>
        </w:rPr>
      </w:pPr>
    </w:p>
    <w:p w14:paraId="46A2EA81" w14:textId="77777777" w:rsidR="006C79BE" w:rsidRDefault="006C79BE" w:rsidP="00F326E5">
      <w:pPr>
        <w:pStyle w:val="NoSpacing"/>
        <w:rPr>
          <w:rFonts w:ascii="Arial Black" w:hAnsi="Arial Black"/>
          <w:sz w:val="24"/>
          <w:szCs w:val="24"/>
        </w:rPr>
      </w:pPr>
    </w:p>
    <w:p w14:paraId="36E3F9E3" w14:textId="23E2960B" w:rsidR="00AE32D3" w:rsidRDefault="00AE32D3" w:rsidP="00F326E5">
      <w:pPr>
        <w:pStyle w:val="NoSpacing"/>
        <w:rPr>
          <w:rFonts w:ascii="Arial Black" w:hAnsi="Arial Black"/>
          <w:sz w:val="24"/>
          <w:szCs w:val="24"/>
        </w:rPr>
      </w:pPr>
      <w:r>
        <w:rPr>
          <w:rFonts w:ascii="Arial Black" w:hAnsi="Arial Black"/>
          <w:sz w:val="24"/>
          <w:szCs w:val="24"/>
        </w:rPr>
        <w:t>1-111</w:t>
      </w:r>
    </w:p>
    <w:p w14:paraId="0F3F64BC" w14:textId="77777777" w:rsidR="00AE32D3" w:rsidRDefault="00AE32D3" w:rsidP="00AE32D3">
      <w:pPr>
        <w:pStyle w:val="NormalWeb"/>
        <w:rPr>
          <w:rFonts w:ascii="Arial Black" w:hAnsi="Arial Black"/>
          <w:b/>
          <w:bCs/>
          <w:sz w:val="28"/>
          <w:szCs w:val="28"/>
        </w:rPr>
      </w:pPr>
      <w:r>
        <w:rPr>
          <w:rFonts w:ascii="Arial Black" w:hAnsi="Arial Black"/>
          <w:b/>
          <w:bCs/>
          <w:sz w:val="28"/>
          <w:szCs w:val="28"/>
        </w:rPr>
        <w:t>PA: TWO FIRE CALLS APARTMENT BLDG – “SPARKING OVEN” – NO SEARCH WARRANT REQ. ENTER BASEMENT</w:t>
      </w:r>
    </w:p>
    <w:p w14:paraId="0E083BCB" w14:textId="77777777" w:rsidR="00AE32D3" w:rsidRDefault="00AE32D3" w:rsidP="00AE32D3">
      <w:pPr>
        <w:pStyle w:val="NormalWeb"/>
      </w:pPr>
      <w:r w:rsidRPr="00376BC8">
        <w:t>On N</w:t>
      </w:r>
      <w:r>
        <w:t xml:space="preserve">ov. 29, 2022, in </w:t>
      </w:r>
      <w:r w:rsidRPr="00376BC8">
        <w:rPr>
          <w:u w:val="single"/>
        </w:rPr>
        <w:t>George Cannarozzo v. Borough of West Hazelton, et al</w:t>
      </w:r>
      <w:r>
        <w:t xml:space="preserve">., the U.S. Court of Appeals, Third Circuit (Philadelphia) held (3 to 0) that the basement search did not require a search warrant since with a “sparking oven” there was reasonable belief of imminent emergency and need to enter the basement to shut off electricity. </w:t>
      </w:r>
    </w:p>
    <w:p w14:paraId="6CEAA46B" w14:textId="77777777" w:rsidR="00AE32D3" w:rsidRDefault="00AE32D3" w:rsidP="00AE32D3">
      <w:pPr>
        <w:pStyle w:val="NormalWeb"/>
        <w:ind w:left="720"/>
      </w:pPr>
      <w:r>
        <w:t xml:space="preserve">“Cannarozzo [owner </w:t>
      </w:r>
      <w:proofErr w:type="gramStart"/>
      <w:r>
        <w:t>5 unit</w:t>
      </w:r>
      <w:proofErr w:type="gramEnd"/>
      <w:r>
        <w:t xml:space="preserve"> apartment building} contends the record contains factual discrepancies about the actual dangers precipitating the search. But based on the undisputed facts, Panzarella [Code Enforcement Officer and Building Code Official for Borough] had an ‘objectively reasonable </w:t>
      </w:r>
      <w:proofErr w:type="spellStart"/>
      <w:r>
        <w:t>basis’</w:t>
      </w:r>
      <w:proofErr w:type="spellEnd"/>
      <w:r>
        <w:t xml:space="preserve"> for believing an imminent emergency existed which created a ‘compelling urgency to inspect’ the basement.”  </w:t>
      </w:r>
      <w:hyperlink r:id="rId203" w:history="1">
        <w:r w:rsidRPr="00E8516D">
          <w:rPr>
            <w:rStyle w:val="Hyperlink"/>
            <w:rFonts w:eastAsiaTheme="majorEastAsia"/>
          </w:rPr>
          <w:t>https://law.justia.com/cases/federal/appellate-courts/ca3/22-1079/22-1079-2022-11-29.html</w:t>
        </w:r>
      </w:hyperlink>
      <w:r>
        <w:t xml:space="preserve"> </w:t>
      </w:r>
    </w:p>
    <w:p w14:paraId="51E08B2D" w14:textId="77777777" w:rsidR="00AE32D3" w:rsidRPr="00FA6891" w:rsidRDefault="00AE32D3" w:rsidP="00AE32D3">
      <w:pPr>
        <w:pStyle w:val="NormalWeb"/>
        <w:rPr>
          <w:b/>
          <w:bCs/>
        </w:rPr>
      </w:pPr>
      <w:r w:rsidRPr="00FA6891">
        <w:rPr>
          <w:b/>
          <w:bCs/>
        </w:rPr>
        <w:t xml:space="preserve">Legal Lesson Learned: Fire and Fire Code officials may enter property without a search warrant when there </w:t>
      </w:r>
      <w:r>
        <w:rPr>
          <w:b/>
          <w:bCs/>
        </w:rPr>
        <w:t xml:space="preserve">is a reasonable belief of </w:t>
      </w:r>
      <w:r w:rsidRPr="00FA6891">
        <w:rPr>
          <w:b/>
          <w:bCs/>
        </w:rPr>
        <w:t xml:space="preserve">an imminent emergency. </w:t>
      </w:r>
    </w:p>
    <w:p w14:paraId="000D09D8" w14:textId="77777777" w:rsidR="00AE32D3" w:rsidRDefault="00AE32D3" w:rsidP="00F326E5">
      <w:pPr>
        <w:pStyle w:val="NoSpacing"/>
        <w:rPr>
          <w:rFonts w:ascii="Arial Black" w:hAnsi="Arial Black"/>
          <w:sz w:val="24"/>
          <w:szCs w:val="24"/>
        </w:rPr>
      </w:pPr>
    </w:p>
    <w:p w14:paraId="1E56EF7A" w14:textId="77777777" w:rsidR="00AE32D3" w:rsidRDefault="00AE32D3" w:rsidP="00F326E5">
      <w:pPr>
        <w:pStyle w:val="NoSpacing"/>
        <w:rPr>
          <w:rFonts w:ascii="Arial Black" w:hAnsi="Arial Black"/>
          <w:sz w:val="24"/>
          <w:szCs w:val="24"/>
        </w:rPr>
      </w:pPr>
    </w:p>
    <w:p w14:paraId="4C685C89" w14:textId="62F64F8E" w:rsidR="00AE32D3" w:rsidRDefault="00AE32D3" w:rsidP="00F326E5">
      <w:pPr>
        <w:pStyle w:val="NoSpacing"/>
        <w:rPr>
          <w:rFonts w:ascii="Arial Black" w:hAnsi="Arial Black"/>
          <w:sz w:val="24"/>
          <w:szCs w:val="24"/>
        </w:rPr>
      </w:pPr>
      <w:r>
        <w:rPr>
          <w:rFonts w:ascii="Arial Black" w:hAnsi="Arial Black"/>
          <w:sz w:val="24"/>
          <w:szCs w:val="24"/>
        </w:rPr>
        <w:t>1-110</w:t>
      </w:r>
    </w:p>
    <w:p w14:paraId="1B7D8934" w14:textId="77777777" w:rsidR="00AE32D3" w:rsidRDefault="00AE32D3" w:rsidP="00F326E5">
      <w:pPr>
        <w:pStyle w:val="NoSpacing"/>
        <w:rPr>
          <w:rFonts w:ascii="Arial Black" w:hAnsi="Arial Black"/>
          <w:sz w:val="24"/>
          <w:szCs w:val="24"/>
        </w:rPr>
      </w:pPr>
    </w:p>
    <w:p w14:paraId="1FA5538D" w14:textId="77777777" w:rsidR="00AE32D3" w:rsidRDefault="00AE32D3" w:rsidP="00F326E5">
      <w:pPr>
        <w:pStyle w:val="NoSpacing"/>
        <w:rPr>
          <w:rFonts w:ascii="Arial Black" w:hAnsi="Arial Black"/>
          <w:sz w:val="24"/>
          <w:szCs w:val="24"/>
        </w:rPr>
      </w:pPr>
    </w:p>
    <w:p w14:paraId="56B43EEA" w14:textId="77777777" w:rsidR="00AE32D3" w:rsidRPr="00A443BC" w:rsidRDefault="00AE32D3" w:rsidP="00AE32D3">
      <w:pPr>
        <w:pStyle w:val="NormalWeb"/>
        <w:rPr>
          <w:rFonts w:ascii="Arial Black" w:hAnsi="Arial Black"/>
          <w:sz w:val="28"/>
          <w:szCs w:val="28"/>
        </w:rPr>
      </w:pPr>
      <w:r>
        <w:rPr>
          <w:rFonts w:ascii="Arial Black" w:hAnsi="Arial Black"/>
          <w:sz w:val="28"/>
          <w:szCs w:val="28"/>
        </w:rPr>
        <w:t xml:space="preserve">KY: OVEN FIRE – EXPERT OPINIONS THAT INSTALLERS SHOULD ENCLOSED BASE – MAY TESTIFY, NFPA GUIDELINE </w:t>
      </w:r>
    </w:p>
    <w:p w14:paraId="5BDE757E" w14:textId="77777777" w:rsidR="00AE32D3" w:rsidRDefault="00AE32D3" w:rsidP="00AE32D3">
      <w:pPr>
        <w:pStyle w:val="NormalWeb"/>
      </w:pPr>
      <w:r>
        <w:t xml:space="preserve">On Nov. 18, 2022, in </w:t>
      </w:r>
      <w:r w:rsidRPr="00A443BC">
        <w:rPr>
          <w:u w:val="single"/>
        </w:rPr>
        <w:t>American National Property &amp; Casualty Company, et al. v. R&amp;N Enterprises, Inc, D/B/A B&amp;W TV and Appliance Company</w:t>
      </w:r>
      <w:r>
        <w:t xml:space="preserve">, the Court of Appeals of Kentucky held (3 to 0) that the trial court improperly excluded the testimony of the insurance company’s expert.  Installers replace old oven, which never had enclosed bottom, directly over </w:t>
      </w:r>
      <w:proofErr w:type="gramStart"/>
      <w:r>
        <w:t>pull</w:t>
      </w:r>
      <w:proofErr w:type="gramEnd"/>
      <w:r>
        <w:t xml:space="preserve"> out drawer with lots of cloths.  Trial judge excluded insurance company’s two experts because they didn’t use another oven to measure the heat under the bottom, per NFPA 921, as did Appliance company’s expert.  Court of Appeals disagreed – NFPA guidelines, not mandatory under Kentucky law.  </w:t>
      </w:r>
    </w:p>
    <w:p w14:paraId="004E3E7D" w14:textId="77777777" w:rsidR="00AE32D3" w:rsidRDefault="00AE32D3" w:rsidP="00AE32D3">
      <w:pPr>
        <w:pStyle w:val="NormalWeb"/>
        <w:ind w:left="720"/>
      </w:pPr>
      <w:r>
        <w:t xml:space="preserve">“Appellant argues that the circuit court erred in excluding the testimony of Appellant's experts and in denying its request for a </w:t>
      </w:r>
      <w:r>
        <w:rPr>
          <w:rStyle w:val="Emphasis"/>
        </w:rPr>
        <w:t>Daubert</w:t>
      </w:r>
      <w:r>
        <w:rPr>
          <w:vertAlign w:val="superscript"/>
        </w:rPr>
        <w:t xml:space="preserve"> </w:t>
      </w:r>
      <w:r>
        <w:t xml:space="preserve">hearing. After careful review, we conclude that the testimony was improperly excluded. Accordingly, we reverse and </w:t>
      </w:r>
      <w:proofErr w:type="gramStart"/>
      <w:r>
        <w:t>remand</w:t>
      </w:r>
      <w:proofErr w:type="gramEnd"/>
      <w:r>
        <w:t xml:space="preserve"> the judgment on appeal. </w:t>
      </w:r>
    </w:p>
    <w:p w14:paraId="54C00179" w14:textId="77777777" w:rsidR="00AE32D3" w:rsidRDefault="00AE32D3" w:rsidP="00AE32D3">
      <w:pPr>
        <w:pStyle w:val="NormalWeb"/>
        <w:ind w:left="720"/>
      </w:pPr>
      <w:r>
        <w:t>***</w:t>
      </w:r>
    </w:p>
    <w:p w14:paraId="65056469" w14:textId="77777777" w:rsidR="00AE32D3" w:rsidRDefault="00AE32D3" w:rsidP="00AE32D3">
      <w:pPr>
        <w:pStyle w:val="NormalWeb"/>
        <w:ind w:left="720"/>
      </w:pPr>
      <w:r>
        <w:t xml:space="preserve">Appellee asserts, and the circuit court so found, that the framework for evaluating the reliability of the scientific principles of fire investigation found  in NFPA 921 is controlling in the matter before us. Appellee, however, has not cited any case law or statutory law from this jurisdiction so holding. Rather, Appellee has relied on unpublished federal case law and other extra-jurisdictional case law, wherein courts looked to NFPA 921 for guidance in fire investigations. While the guidelines of the National Fire Protection Association provide insight into fire investigation, and though extra-jurisdictional case law can be informative, our research has not revealed any Kentucky case which applied NFPA standards to fire investigation or holds that NFPA standards are controlling. </w:t>
      </w:r>
    </w:p>
    <w:p w14:paraId="1AE9F620" w14:textId="77777777" w:rsidR="00AE32D3" w:rsidRDefault="00AE32D3" w:rsidP="00AE32D3">
      <w:pPr>
        <w:pStyle w:val="NormalWeb"/>
        <w:ind w:left="720"/>
      </w:pPr>
      <w:r>
        <w:t>***</w:t>
      </w:r>
    </w:p>
    <w:p w14:paraId="1C93E545" w14:textId="77777777" w:rsidR="00AE32D3" w:rsidRDefault="00AE32D3" w:rsidP="00AE32D3">
      <w:pPr>
        <w:pStyle w:val="NormalWeb"/>
        <w:ind w:left="720"/>
      </w:pPr>
      <w:r>
        <w:t xml:space="preserve">Burns and Hollis found, and Appellee so acknowledges, that the fire started on the east wall of the kitchen. They excluded the possibility of other ignition sources based on physical examination and interviews with the </w:t>
      </w:r>
      <w:proofErr w:type="spellStart"/>
      <w:r>
        <w:t>Colletts</w:t>
      </w:r>
      <w:proofErr w:type="spellEnd"/>
      <w:r>
        <w:t xml:space="preserve">. Additionally, they found charred cloth material on the bottom of the </w:t>
      </w:r>
      <w:proofErr w:type="gramStart"/>
      <w:r>
        <w:t>oven, and</w:t>
      </w:r>
      <w:proofErr w:type="gramEnd"/>
      <w:r>
        <w:t xml:space="preserve"> noted that combustible kitchen towels and other items were stored in the drawer directly under the oven. And finally, they found no evidence of </w:t>
      </w:r>
      <w:proofErr w:type="gramStart"/>
      <w:r>
        <w:t>a full</w:t>
      </w:r>
      <w:proofErr w:type="gramEnd"/>
      <w:r>
        <w:t xml:space="preserve"> enclosure under the oven, though they acknowledged that it could have been destroyed by the fire. In sum, we conclude that their opinions rise to the level of deductive reasoning or thought </w:t>
      </w:r>
      <w:proofErr w:type="gramStart"/>
      <w:r>
        <w:t>experiments, and</w:t>
      </w:r>
      <w:proofErr w:type="gramEnd"/>
      <w:r>
        <w:t xml:space="preserve"> are more than mere baseless </w:t>
      </w:r>
      <w:proofErr w:type="gramStart"/>
      <w:r>
        <w:t>speculation.”</w:t>
      </w:r>
      <w:proofErr w:type="gramEnd"/>
      <w:r>
        <w:t xml:space="preserve"> </w:t>
      </w:r>
      <w:hyperlink r:id="rId204" w:history="1">
        <w:r w:rsidRPr="00185BEB">
          <w:rPr>
            <w:rStyle w:val="Hyperlink"/>
            <w:rFonts w:eastAsiaTheme="majorEastAsia"/>
          </w:rPr>
          <w:t>https://law.justia.com/cases/kentucky/court-of-appeals/2022/2022-ca-0258-mr.html</w:t>
        </w:r>
      </w:hyperlink>
      <w:r>
        <w:t xml:space="preserve"> </w:t>
      </w:r>
    </w:p>
    <w:p w14:paraId="7278C4F3" w14:textId="77777777" w:rsidR="00AE32D3" w:rsidRPr="002B389C" w:rsidRDefault="00AE32D3" w:rsidP="00AE32D3">
      <w:pPr>
        <w:pStyle w:val="NormalWeb"/>
        <w:rPr>
          <w:b/>
          <w:bCs/>
        </w:rPr>
      </w:pPr>
      <w:r w:rsidRPr="002B389C">
        <w:rPr>
          <w:b/>
          <w:bCs/>
        </w:rPr>
        <w:t xml:space="preserve">Legal Lesson Learned: Expert witnesses </w:t>
      </w:r>
      <w:r>
        <w:rPr>
          <w:b/>
          <w:bCs/>
        </w:rPr>
        <w:t xml:space="preserve">met </w:t>
      </w:r>
      <w:r w:rsidRPr="002B389C">
        <w:rPr>
          <w:b/>
          <w:bCs/>
        </w:rPr>
        <w:t xml:space="preserve">the standards in </w:t>
      </w:r>
      <w:r w:rsidRPr="002B389C">
        <w:rPr>
          <w:rStyle w:val="Emphasis"/>
          <w:b/>
          <w:bCs/>
        </w:rPr>
        <w:t>Daubert v. Merrell Dow Pharmaceuticals Inc</w:t>
      </w:r>
      <w:r w:rsidRPr="002B389C">
        <w:rPr>
          <w:b/>
          <w:bCs/>
        </w:rPr>
        <w:t>, 509 U.S. 579 (1993)</w:t>
      </w:r>
      <w:r>
        <w:rPr>
          <w:b/>
          <w:bCs/>
        </w:rPr>
        <w:t xml:space="preserve"> – their testimony was both relevant and reliable.</w:t>
      </w:r>
    </w:p>
    <w:p w14:paraId="518B81DA" w14:textId="77777777" w:rsidR="00AE32D3" w:rsidRDefault="00AE32D3" w:rsidP="00F326E5">
      <w:pPr>
        <w:pStyle w:val="NoSpacing"/>
        <w:rPr>
          <w:rFonts w:ascii="Arial Black" w:hAnsi="Arial Black"/>
          <w:sz w:val="24"/>
          <w:szCs w:val="24"/>
        </w:rPr>
      </w:pPr>
    </w:p>
    <w:p w14:paraId="010C3A15" w14:textId="77777777" w:rsidR="00AE32D3" w:rsidRDefault="00AE32D3" w:rsidP="00F326E5">
      <w:pPr>
        <w:pStyle w:val="NoSpacing"/>
        <w:rPr>
          <w:rFonts w:ascii="Arial Black" w:hAnsi="Arial Black"/>
          <w:sz w:val="24"/>
          <w:szCs w:val="24"/>
        </w:rPr>
      </w:pPr>
    </w:p>
    <w:p w14:paraId="69463E8C" w14:textId="77777777" w:rsidR="00AE32D3" w:rsidRDefault="00AE32D3" w:rsidP="00F326E5">
      <w:pPr>
        <w:pStyle w:val="NoSpacing"/>
        <w:rPr>
          <w:rFonts w:ascii="Arial Black" w:hAnsi="Arial Black"/>
          <w:sz w:val="24"/>
          <w:szCs w:val="24"/>
        </w:rPr>
      </w:pPr>
    </w:p>
    <w:p w14:paraId="479EB419" w14:textId="77777777" w:rsidR="00AE32D3" w:rsidRDefault="00AE32D3" w:rsidP="00F326E5">
      <w:pPr>
        <w:pStyle w:val="NoSpacing"/>
        <w:rPr>
          <w:rFonts w:ascii="Arial Black" w:hAnsi="Arial Black"/>
          <w:sz w:val="24"/>
          <w:szCs w:val="24"/>
        </w:rPr>
      </w:pPr>
    </w:p>
    <w:p w14:paraId="7A93D52D" w14:textId="3DF03813" w:rsidR="00AE32D3" w:rsidRDefault="00AE32D3" w:rsidP="00F326E5">
      <w:pPr>
        <w:pStyle w:val="NoSpacing"/>
        <w:rPr>
          <w:rFonts w:ascii="Arial Black" w:hAnsi="Arial Black"/>
          <w:sz w:val="24"/>
          <w:szCs w:val="24"/>
        </w:rPr>
      </w:pPr>
      <w:r>
        <w:rPr>
          <w:rFonts w:ascii="Arial Black" w:hAnsi="Arial Black"/>
          <w:sz w:val="24"/>
          <w:szCs w:val="24"/>
        </w:rPr>
        <w:t>1-109</w:t>
      </w:r>
    </w:p>
    <w:p w14:paraId="43A4081E" w14:textId="06D8513A" w:rsidR="00AE32D3" w:rsidRDefault="00AE32D3" w:rsidP="00F326E5">
      <w:pPr>
        <w:pStyle w:val="NoSpacing"/>
        <w:rPr>
          <w:rFonts w:ascii="Arial Black" w:hAnsi="Arial Black"/>
          <w:sz w:val="24"/>
          <w:szCs w:val="24"/>
        </w:rPr>
      </w:pPr>
    </w:p>
    <w:p w14:paraId="33B0C7E2" w14:textId="1FF0EA37" w:rsidR="00AE32D3" w:rsidRDefault="00AE32D3" w:rsidP="00F326E5">
      <w:pPr>
        <w:pStyle w:val="NoSpacing"/>
        <w:rPr>
          <w:rFonts w:ascii="Arial Black" w:hAnsi="Arial Black"/>
          <w:sz w:val="24"/>
          <w:szCs w:val="24"/>
        </w:rPr>
      </w:pPr>
    </w:p>
    <w:p w14:paraId="1946492E" w14:textId="77777777" w:rsidR="00AE32D3" w:rsidRDefault="00AE32D3" w:rsidP="00AE32D3">
      <w:pPr>
        <w:pStyle w:val="NormalWeb"/>
        <w:rPr>
          <w:rFonts w:ascii="Arial Black" w:hAnsi="Arial Black"/>
          <w:b/>
          <w:bCs/>
          <w:sz w:val="28"/>
          <w:szCs w:val="28"/>
        </w:rPr>
      </w:pPr>
      <w:r>
        <w:rPr>
          <w:rFonts w:ascii="Arial Black" w:hAnsi="Arial Black"/>
          <w:b/>
          <w:bCs/>
          <w:sz w:val="28"/>
          <w:szCs w:val="28"/>
        </w:rPr>
        <w:t>PA: SPONTANEOUS COMPUSTION – DECK STAIN, OILY RAGS ICONTAINER – SHERWIN-WILLIAMS LABEL WARNINGS</w:t>
      </w:r>
    </w:p>
    <w:p w14:paraId="38722F78" w14:textId="77777777" w:rsidR="00AE32D3" w:rsidRDefault="00AE32D3" w:rsidP="00AE32D3">
      <w:pPr>
        <w:pStyle w:val="NormalWeb"/>
      </w:pPr>
      <w:r w:rsidRPr="00DB1450">
        <w:t xml:space="preserve">On </w:t>
      </w:r>
      <w:r>
        <w:t xml:space="preserve">Nov. 10, 2022, in </w:t>
      </w:r>
      <w:r w:rsidRPr="00DB1450">
        <w:rPr>
          <w:u w:val="single"/>
        </w:rPr>
        <w:t>Scott Mains v. The Sherwin-Williams Company, d/b/a The Thompson’s Company</w:t>
      </w:r>
      <w:r>
        <w:t xml:space="preserve">, U.S. District Court Judge John M. Gallagher, U.S. District Court for Eastern District of Pennsylvania, granted the defendant’s motion for summary judgment; the label warned of the risk of spontaneous combustion.  Rags were left in metal painting cans, contrary to warnings on the label; the homeowner had never read the warnings. </w:t>
      </w:r>
    </w:p>
    <w:p w14:paraId="0F93EC8F" w14:textId="77777777" w:rsidR="00AE32D3" w:rsidRDefault="00AE32D3" w:rsidP="00AE32D3">
      <w:pPr>
        <w:pStyle w:val="NormalWeb"/>
        <w:ind w:left="600"/>
      </w:pPr>
      <w:r>
        <w:t>“Defendant asserts Plaintiffs insufficiently prove causation concerning the fire cause and origin, as well as the inadequate warnings claim because Mr. Main failed to consult any warnings on the can. The Court again finds Defendant's causation argument persuasive.</w:t>
      </w:r>
    </w:p>
    <w:p w14:paraId="38E6D4E2" w14:textId="77777777" w:rsidR="00AE32D3" w:rsidRDefault="00AE32D3" w:rsidP="00AE32D3">
      <w:pPr>
        <w:pStyle w:val="NormalWeb"/>
        <w:ind w:left="600"/>
      </w:pPr>
      <w:r>
        <w:t>***</w:t>
      </w:r>
    </w:p>
    <w:p w14:paraId="0A81BF04" w14:textId="77777777" w:rsidR="00AE32D3" w:rsidRDefault="00AE32D3" w:rsidP="00AE32D3">
      <w:pPr>
        <w:pStyle w:val="NormalWeb"/>
        <w:ind w:left="600"/>
      </w:pPr>
      <w:r>
        <w:t xml:space="preserve">The front panel also provides the following instruction: ‘Before using, carefully read CAUTIONS on back panel.’  The label's back panel provide instructions for the product's application and disposal…. Specifically addressing the possibility of spontaneous combustion, the label's back panel provides: </w:t>
      </w:r>
    </w:p>
    <w:p w14:paraId="2E89B8EC" w14:textId="77777777" w:rsidR="00AE32D3" w:rsidRPr="00A3199D" w:rsidRDefault="00AE32D3" w:rsidP="00AE32D3">
      <w:pPr>
        <w:ind w:left="1320"/>
        <w:rPr>
          <w:rFonts w:ascii="Times New Roman" w:hAnsi="Times New Roman"/>
          <w:sz w:val="24"/>
          <w:szCs w:val="24"/>
        </w:rPr>
      </w:pPr>
      <w:r w:rsidRPr="00A3199D">
        <w:rPr>
          <w:rStyle w:val="Strong"/>
          <w:rFonts w:ascii="Times New Roman" w:hAnsi="Times New Roman"/>
          <w:sz w:val="24"/>
          <w:szCs w:val="24"/>
        </w:rPr>
        <w:t>DANGER: Rags, steel wool, other waste soaked with this product, and I sanding residue may spontaneously catch fire if improperly discarded. Immediately place rags, steel wool, other waste soaked with this product and sanding residue in a sealed, watered, metal container. Dispose of in accordance with local fire regulations.</w:t>
      </w:r>
      <w:r w:rsidRPr="00A3199D">
        <w:rPr>
          <w:rFonts w:ascii="Times New Roman" w:hAnsi="Times New Roman"/>
          <w:sz w:val="24"/>
          <w:szCs w:val="24"/>
        </w:rPr>
        <w:t xml:space="preserve"> </w:t>
      </w:r>
    </w:p>
    <w:p w14:paraId="7487FF9C" w14:textId="77777777" w:rsidR="00AE32D3" w:rsidRDefault="00AE32D3" w:rsidP="00AE32D3">
      <w:pPr>
        <w:pStyle w:val="NormalWeb"/>
        <w:ind w:left="600"/>
      </w:pPr>
      <w:r>
        <w:t>***</w:t>
      </w:r>
    </w:p>
    <w:p w14:paraId="2066079F" w14:textId="77777777" w:rsidR="00AE32D3" w:rsidRDefault="00AE32D3" w:rsidP="00AE32D3">
      <w:pPr>
        <w:pStyle w:val="NormalWeb"/>
        <w:ind w:left="600"/>
      </w:pPr>
      <w:r>
        <w:t xml:space="preserve">Plaintiffs ask the Court to find a product is defective because it spontaneously combusted after use. But … Plaintiffs in the instant matter must provide evidence showing a defect in the wood stain's design or manufacture caused the fire at issue. And Plaintiffs have not put forward sufficient expert or circumstantial evidence to prove the product at issue caused the fire, let alone that a </w:t>
      </w:r>
      <w:r>
        <w:rPr>
          <w:rStyle w:val="Emphasis"/>
        </w:rPr>
        <w:t>defect</w:t>
      </w:r>
      <w:r>
        <w:t xml:space="preserve"> of the product at issue caused the fire. Plaintiffs minimal evidence concerning defect and causation is fatal where the alleged defect relies on the product lighting on fire.”  </w:t>
      </w:r>
      <w:hyperlink r:id="rId205" w:history="1">
        <w:r w:rsidRPr="00E92B9F">
          <w:rPr>
            <w:rStyle w:val="Hyperlink"/>
            <w:rFonts w:eastAsiaTheme="majorEastAsia"/>
          </w:rPr>
          <w:t>https://public.fastcase.com/J%2FJP6pdidelsXxEE4k%2BLMrejai%2Bw5%2BeDXQox0zGA5TAAjpgBNhW%2BTu8BKpGDyiMDLNszr4O4A0HJdAcQDg8WWefj18tLbckuVQCC3%2F5jGpg%3D?utm_medium=email&amp;_hsmi=226712652&amp;_hsenc=p2ANqtz-8ZmJA9o4nlUCIURyhETyHKM8lkOE8xo-FU4HGJipx6Boh4nCnx77GsOdK5dPH9YVtR5YzBPx6JahAT-_oeRPGcO0F8pg&amp;utm_content=226712652&amp;utm_source=hs_email</w:t>
        </w:r>
      </w:hyperlink>
      <w:r>
        <w:t xml:space="preserve"> </w:t>
      </w:r>
    </w:p>
    <w:p w14:paraId="02A2E056" w14:textId="77777777" w:rsidR="00AE32D3" w:rsidRPr="00A3199D" w:rsidRDefault="00AE32D3" w:rsidP="00AE32D3">
      <w:pPr>
        <w:pStyle w:val="NormalWeb"/>
        <w:rPr>
          <w:b/>
          <w:bCs/>
        </w:rPr>
      </w:pPr>
      <w:r w:rsidRPr="00A3199D">
        <w:rPr>
          <w:b/>
          <w:bCs/>
        </w:rPr>
        <w:t>Legal Lesson Learned:</w:t>
      </w:r>
      <w:r>
        <w:rPr>
          <w:b/>
          <w:bCs/>
        </w:rPr>
        <w:t xml:space="preserve"> Read and follow the warning label on products you purchase. </w:t>
      </w:r>
    </w:p>
    <w:p w14:paraId="785613E6" w14:textId="77777777" w:rsidR="00AE32D3" w:rsidRDefault="00AE32D3" w:rsidP="00F326E5">
      <w:pPr>
        <w:pStyle w:val="NoSpacing"/>
        <w:rPr>
          <w:rFonts w:ascii="Arial Black" w:hAnsi="Arial Black"/>
          <w:sz w:val="24"/>
          <w:szCs w:val="24"/>
        </w:rPr>
      </w:pPr>
    </w:p>
    <w:p w14:paraId="295FDDCE" w14:textId="77777777" w:rsidR="00AE32D3" w:rsidRDefault="00AE32D3" w:rsidP="00F326E5">
      <w:pPr>
        <w:pStyle w:val="NoSpacing"/>
        <w:rPr>
          <w:rFonts w:ascii="Arial Black" w:hAnsi="Arial Black"/>
          <w:sz w:val="24"/>
          <w:szCs w:val="24"/>
        </w:rPr>
      </w:pPr>
    </w:p>
    <w:p w14:paraId="187EECCC" w14:textId="77777777" w:rsidR="00AE32D3" w:rsidRDefault="00AE32D3" w:rsidP="00F326E5">
      <w:pPr>
        <w:pStyle w:val="NoSpacing"/>
        <w:rPr>
          <w:rFonts w:ascii="Arial Black" w:hAnsi="Arial Black"/>
          <w:sz w:val="24"/>
          <w:szCs w:val="24"/>
        </w:rPr>
      </w:pPr>
    </w:p>
    <w:p w14:paraId="359F16D8" w14:textId="5DCCE520" w:rsidR="00804F3A" w:rsidRDefault="00804F3A" w:rsidP="00F326E5">
      <w:pPr>
        <w:pStyle w:val="NoSpacing"/>
        <w:rPr>
          <w:rFonts w:ascii="Arial Black" w:hAnsi="Arial Black"/>
          <w:sz w:val="24"/>
          <w:szCs w:val="24"/>
        </w:rPr>
      </w:pPr>
      <w:r>
        <w:rPr>
          <w:rFonts w:ascii="Arial Black" w:hAnsi="Arial Black"/>
          <w:sz w:val="24"/>
          <w:szCs w:val="24"/>
        </w:rPr>
        <w:t>1-108</w:t>
      </w:r>
    </w:p>
    <w:p w14:paraId="02F741F9" w14:textId="62AA9FE2" w:rsidR="00804F3A" w:rsidRDefault="00804F3A" w:rsidP="00F326E5">
      <w:pPr>
        <w:pStyle w:val="NoSpacing"/>
        <w:rPr>
          <w:rFonts w:ascii="Arial Black" w:hAnsi="Arial Black"/>
          <w:sz w:val="24"/>
          <w:szCs w:val="24"/>
        </w:rPr>
      </w:pPr>
    </w:p>
    <w:p w14:paraId="7C14A80E" w14:textId="77777777" w:rsidR="00804F3A" w:rsidRPr="007B73F7" w:rsidRDefault="00804F3A" w:rsidP="00804F3A">
      <w:pPr>
        <w:pStyle w:val="NormalWeb"/>
        <w:rPr>
          <w:rFonts w:ascii="Arial Black" w:hAnsi="Arial Black"/>
          <w:sz w:val="28"/>
          <w:szCs w:val="28"/>
        </w:rPr>
      </w:pPr>
      <w:r>
        <w:rPr>
          <w:rFonts w:ascii="Arial Black" w:hAnsi="Arial Black"/>
          <w:sz w:val="28"/>
          <w:szCs w:val="28"/>
        </w:rPr>
        <w:t>MA: FIRE CHIEF SELECTION PROCESS CHANGED TO ASSESSMENT CENTER – NO NEED BARGAIN WITH UNION</w:t>
      </w:r>
    </w:p>
    <w:p w14:paraId="3F802DBA" w14:textId="77777777" w:rsidR="00804F3A" w:rsidRDefault="00804F3A" w:rsidP="00804F3A">
      <w:pPr>
        <w:pStyle w:val="NormalWeb"/>
      </w:pPr>
      <w:r w:rsidRPr="00D32866">
        <w:t xml:space="preserve">On Oct. 27, </w:t>
      </w:r>
      <w:proofErr w:type="gramStart"/>
      <w:r w:rsidRPr="00D32866">
        <w:t>2022</w:t>
      </w:r>
      <w:proofErr w:type="gramEnd"/>
      <w:r w:rsidRPr="00D32866">
        <w:t xml:space="preserve"> in </w:t>
      </w:r>
      <w:r w:rsidRPr="00D32866">
        <w:rPr>
          <w:u w:val="single"/>
        </w:rPr>
        <w:t>City of Everett v. Commonwealth Employment Relations Board</w:t>
      </w:r>
      <w:r w:rsidRPr="00D32866">
        <w:t xml:space="preserve">, </w:t>
      </w:r>
      <w:r>
        <w:t xml:space="preserve">the Appeals Court of Massachusetts held (3 to 0), unpublished opinion, that the State Board incorrectly ordered the city to collectively bargain the changes in hiring Fire Chief. In Jan. 2019, after one year of informal dialog with the union, the City proceeded with Assessment Center process; only the seven Deputy Fire Chiefs were eligible to apply. </w:t>
      </w:r>
    </w:p>
    <w:p w14:paraId="3367102A" w14:textId="77777777" w:rsidR="00804F3A" w:rsidRPr="007B73F7" w:rsidRDefault="00804F3A" w:rsidP="00804F3A">
      <w:pPr>
        <w:spacing w:before="100" w:beforeAutospacing="1" w:after="100" w:afterAutospacing="1" w:line="240" w:lineRule="auto"/>
        <w:ind w:left="720"/>
      </w:pPr>
      <w:r>
        <w:rPr>
          <w:rFonts w:ascii="Times New Roman" w:eastAsia="Times New Roman" w:hAnsi="Times New Roman"/>
          <w:sz w:val="24"/>
          <w:szCs w:val="24"/>
        </w:rPr>
        <w:t>“</w:t>
      </w:r>
      <w:r w:rsidRPr="007B73F7">
        <w:rPr>
          <w:rFonts w:ascii="Times New Roman" w:eastAsia="Times New Roman" w:hAnsi="Times New Roman"/>
          <w:sz w:val="24"/>
          <w:szCs w:val="24"/>
        </w:rPr>
        <w:t xml:space="preserve">Under those circumstances, it is incorrect to say that the processes for selecting the fire chief impact the </w:t>
      </w:r>
      <w:r>
        <w:rPr>
          <w:rFonts w:ascii="Times New Roman" w:eastAsia="Times New Roman" w:hAnsi="Times New Roman"/>
          <w:sz w:val="24"/>
          <w:szCs w:val="24"/>
        </w:rPr>
        <w:t>‘</w:t>
      </w:r>
      <w:r w:rsidRPr="007B73F7">
        <w:rPr>
          <w:rFonts w:ascii="Times New Roman" w:eastAsia="Times New Roman" w:hAnsi="Times New Roman"/>
          <w:sz w:val="24"/>
          <w:szCs w:val="24"/>
        </w:rPr>
        <w:t>terms and conditions of employment</w:t>
      </w:r>
      <w:r>
        <w:rPr>
          <w:rFonts w:ascii="Times New Roman" w:eastAsia="Times New Roman" w:hAnsi="Times New Roman"/>
          <w:sz w:val="24"/>
          <w:szCs w:val="24"/>
        </w:rPr>
        <w:t>’</w:t>
      </w:r>
      <w:r w:rsidRPr="007B73F7">
        <w:rPr>
          <w:rFonts w:ascii="Times New Roman" w:eastAsia="Times New Roman" w:hAnsi="Times New Roman"/>
          <w:sz w:val="24"/>
          <w:szCs w:val="24"/>
        </w:rPr>
        <w:t xml:space="preserve"> of the deputy fire chiefs. The selection processes for </w:t>
      </w:r>
      <w:proofErr w:type="gramStart"/>
      <w:r w:rsidRPr="007B73F7">
        <w:rPr>
          <w:rFonts w:ascii="Times New Roman" w:eastAsia="Times New Roman" w:hAnsi="Times New Roman"/>
          <w:sz w:val="24"/>
          <w:szCs w:val="24"/>
        </w:rPr>
        <w:t>chief</w:t>
      </w:r>
      <w:proofErr w:type="gramEnd"/>
      <w:r w:rsidRPr="007B73F7">
        <w:rPr>
          <w:rFonts w:ascii="Times New Roman" w:eastAsia="Times New Roman" w:hAnsi="Times New Roman"/>
          <w:sz w:val="24"/>
          <w:szCs w:val="24"/>
        </w:rPr>
        <w:t xml:space="preserve"> do not change, alter, or impose upon the current jobs of the deputy chiefs or other bargaining unit employees. Rather, the selection process has to do with the deputies' efforts to </w:t>
      </w:r>
      <w:r w:rsidRPr="007B73F7">
        <w:rPr>
          <w:rFonts w:ascii="Times New Roman" w:eastAsia="Times New Roman" w:hAnsi="Times New Roman"/>
          <w:i/>
          <w:iCs/>
          <w:sz w:val="24"/>
          <w:szCs w:val="24"/>
        </w:rPr>
        <w:t>leave</w:t>
      </w:r>
      <w:r w:rsidRPr="007B73F7">
        <w:rPr>
          <w:rFonts w:ascii="Times New Roman" w:eastAsia="Times New Roman" w:hAnsi="Times New Roman"/>
          <w:sz w:val="24"/>
          <w:szCs w:val="24"/>
        </w:rPr>
        <w:t xml:space="preserve"> the bargaining unit and to become part of management, where they would occupy a supervisory </w:t>
      </w:r>
      <w:proofErr w:type="gramStart"/>
      <w:r w:rsidRPr="007B73F7">
        <w:rPr>
          <w:rFonts w:ascii="Times New Roman" w:eastAsia="Times New Roman" w:hAnsi="Times New Roman"/>
          <w:sz w:val="24"/>
          <w:szCs w:val="24"/>
        </w:rPr>
        <w:t>and in some ways</w:t>
      </w:r>
      <w:proofErr w:type="gramEnd"/>
      <w:r w:rsidRPr="007B73F7">
        <w:rPr>
          <w:rFonts w:ascii="Times New Roman" w:eastAsia="Times New Roman" w:hAnsi="Times New Roman"/>
          <w:sz w:val="24"/>
          <w:szCs w:val="24"/>
        </w:rPr>
        <w:t xml:space="preserve"> adverse position to the bargaining unit. As the chief officer, the city's fire chief, among his or her other duties, leads the department, acts under the direction of the mayor, works with employee organizations, responds to employee grievances, assists city officials in the collective bargaining process, and is a member of the city's management team. Cf. </w:t>
      </w:r>
      <w:r w:rsidRPr="007B73F7">
        <w:rPr>
          <w:rFonts w:ascii="Times New Roman" w:eastAsia="Times New Roman" w:hAnsi="Times New Roman"/>
          <w:i/>
          <w:iCs/>
          <w:sz w:val="24"/>
          <w:szCs w:val="24"/>
        </w:rPr>
        <w:t>Harrison v. Labor Relations Comm'n</w:t>
      </w:r>
      <w:r w:rsidRPr="007B73F7">
        <w:rPr>
          <w:rFonts w:ascii="Times New Roman" w:eastAsia="Times New Roman" w:hAnsi="Times New Roman"/>
          <w:sz w:val="24"/>
          <w:szCs w:val="24"/>
        </w:rPr>
        <w:t xml:space="preserve">, 363 Mass. 548, 553 (1973) (fire chiefs participate in development of department policy and implement it on behalf of management). The board's suggestion that bargaining is required because the fire chief position is part of the </w:t>
      </w:r>
      <w:r>
        <w:rPr>
          <w:rFonts w:ascii="Times New Roman" w:eastAsia="Times New Roman" w:hAnsi="Times New Roman"/>
          <w:sz w:val="24"/>
          <w:szCs w:val="24"/>
        </w:rPr>
        <w:t>‘</w:t>
      </w:r>
      <w:r w:rsidRPr="007B73F7">
        <w:rPr>
          <w:rFonts w:ascii="Times New Roman" w:eastAsia="Times New Roman" w:hAnsi="Times New Roman"/>
          <w:sz w:val="24"/>
          <w:szCs w:val="24"/>
        </w:rPr>
        <w:t>promotional ladder</w:t>
      </w:r>
      <w:r>
        <w:rPr>
          <w:rFonts w:ascii="Times New Roman" w:eastAsia="Times New Roman" w:hAnsi="Times New Roman"/>
          <w:sz w:val="24"/>
          <w:szCs w:val="24"/>
        </w:rPr>
        <w:t>’</w:t>
      </w:r>
      <w:r w:rsidRPr="007B73F7">
        <w:rPr>
          <w:rFonts w:ascii="Times New Roman" w:eastAsia="Times New Roman" w:hAnsi="Times New Roman"/>
          <w:sz w:val="24"/>
          <w:szCs w:val="24"/>
        </w:rPr>
        <w:t xml:space="preserve"> for deputy chiefs is accordingly inapt. The promotion the deputies seek here would have them cross over to a fundamentally different job.</w:t>
      </w:r>
      <w:r>
        <w:rPr>
          <w:rFonts w:ascii="Times New Roman" w:eastAsia="Times New Roman" w:hAnsi="Times New Roman"/>
          <w:sz w:val="24"/>
          <w:szCs w:val="24"/>
        </w:rPr>
        <w:t xml:space="preserve">” </w:t>
      </w:r>
      <w:hyperlink r:id="rId206" w:history="1">
        <w:r w:rsidRPr="00671E3F">
          <w:rPr>
            <w:rStyle w:val="Hyperlink"/>
          </w:rPr>
          <w:t>https://public.fastcase.com/J%2FJP6pdidelsXxEE4k%2BLMkioZ6zkCvVA2f7m8MUdZzFChRnZ9pflbw23TgjkZYaZMPShomsfddWFkLQb1Ctqwom4ggqunMxdJpiD327M8Vc%3D?utm_medium=email&amp;_hsmi=226712652&amp;_hsenc=p2ANqtz-90P1mb2f8SYEeO6UfPTx4asdEjFOhLhRS07BbmdC1-wrC8kVAiG6jT85m4y6VmZBAFGCFSBZmuZ2NfaZLtEQDLtFBeQ&amp;utm_content=226712652&amp;utm_source=hs_email</w:t>
        </w:r>
      </w:hyperlink>
      <w:r>
        <w:t xml:space="preserve"> </w:t>
      </w:r>
    </w:p>
    <w:p w14:paraId="1F0CB0C6" w14:textId="77777777" w:rsidR="00804F3A" w:rsidRPr="00D32866" w:rsidRDefault="00804F3A" w:rsidP="00804F3A">
      <w:pPr>
        <w:pStyle w:val="NormalWeb"/>
        <w:rPr>
          <w:b/>
          <w:bCs/>
        </w:rPr>
      </w:pPr>
      <w:r w:rsidRPr="00D32866">
        <w:rPr>
          <w:b/>
          <w:bCs/>
        </w:rPr>
        <w:t xml:space="preserve">Legal Lesson Learned: </w:t>
      </w:r>
      <w:r>
        <w:rPr>
          <w:b/>
          <w:bCs/>
        </w:rPr>
        <w:t xml:space="preserve">A change in the hiring process for Fire Chief did not impact terms and conditions of employment of union members. </w:t>
      </w:r>
    </w:p>
    <w:p w14:paraId="46C4844F" w14:textId="77777777" w:rsidR="00804F3A" w:rsidRDefault="00804F3A" w:rsidP="00F326E5">
      <w:pPr>
        <w:pStyle w:val="NoSpacing"/>
        <w:rPr>
          <w:rFonts w:ascii="Arial Black" w:hAnsi="Arial Black"/>
          <w:sz w:val="24"/>
          <w:szCs w:val="24"/>
        </w:rPr>
      </w:pPr>
    </w:p>
    <w:p w14:paraId="277DCC10" w14:textId="77777777" w:rsidR="00804F3A" w:rsidRDefault="00804F3A" w:rsidP="00F326E5">
      <w:pPr>
        <w:pStyle w:val="NoSpacing"/>
        <w:rPr>
          <w:rFonts w:ascii="Arial Black" w:hAnsi="Arial Black"/>
          <w:sz w:val="24"/>
          <w:szCs w:val="24"/>
        </w:rPr>
      </w:pPr>
    </w:p>
    <w:p w14:paraId="46C73A39" w14:textId="77777777" w:rsidR="00804F3A" w:rsidRDefault="00804F3A" w:rsidP="00F326E5">
      <w:pPr>
        <w:pStyle w:val="NoSpacing"/>
        <w:rPr>
          <w:rFonts w:ascii="Arial Black" w:hAnsi="Arial Black"/>
          <w:sz w:val="24"/>
          <w:szCs w:val="24"/>
        </w:rPr>
      </w:pPr>
    </w:p>
    <w:p w14:paraId="453EA59D" w14:textId="200A50B7" w:rsidR="00E8117B" w:rsidRDefault="00E8117B" w:rsidP="00F326E5">
      <w:pPr>
        <w:pStyle w:val="NoSpacing"/>
        <w:rPr>
          <w:rFonts w:ascii="Arial Black" w:hAnsi="Arial Black"/>
          <w:sz w:val="24"/>
          <w:szCs w:val="24"/>
        </w:rPr>
      </w:pPr>
      <w:r>
        <w:rPr>
          <w:rFonts w:ascii="Arial Black" w:hAnsi="Arial Black"/>
          <w:sz w:val="24"/>
          <w:szCs w:val="24"/>
        </w:rPr>
        <w:t>1-107</w:t>
      </w:r>
    </w:p>
    <w:p w14:paraId="5863698D" w14:textId="78D519FD" w:rsidR="00E8117B" w:rsidRDefault="00E8117B" w:rsidP="00F326E5">
      <w:pPr>
        <w:pStyle w:val="NoSpacing"/>
        <w:rPr>
          <w:rFonts w:ascii="Arial Black" w:hAnsi="Arial Black"/>
          <w:sz w:val="24"/>
          <w:szCs w:val="24"/>
        </w:rPr>
      </w:pPr>
    </w:p>
    <w:p w14:paraId="657F085E" w14:textId="77777777" w:rsidR="00E8117B" w:rsidRDefault="00E8117B" w:rsidP="00E8117B">
      <w:pPr>
        <w:pStyle w:val="NormalWeb"/>
        <w:rPr>
          <w:rFonts w:ascii="Arial Black" w:hAnsi="Arial Black"/>
          <w:b/>
          <w:bCs/>
          <w:sz w:val="28"/>
          <w:szCs w:val="28"/>
        </w:rPr>
      </w:pPr>
      <w:r>
        <w:rPr>
          <w:rFonts w:ascii="Arial Black" w:hAnsi="Arial Black"/>
          <w:b/>
          <w:bCs/>
          <w:sz w:val="28"/>
          <w:szCs w:val="28"/>
        </w:rPr>
        <w:t xml:space="preserve">MI: DRONE VIDEO OF JUNK YARD – NO ADMINISTRATIVE SEARCH WARRANT – MOTION TO SUPPRESS DENIED </w:t>
      </w:r>
    </w:p>
    <w:p w14:paraId="5570DB5C" w14:textId="77777777" w:rsidR="00E8117B" w:rsidRDefault="00E8117B" w:rsidP="00E8117B">
      <w:pPr>
        <w:pStyle w:val="NormalWeb"/>
      </w:pPr>
      <w:r>
        <w:t xml:space="preserve">On Sept. 15, 2022, in </w:t>
      </w:r>
      <w:r>
        <w:rPr>
          <w:u w:val="single"/>
        </w:rPr>
        <w:t>Long Lake Township v. Todd Maxon and Heather Maxon</w:t>
      </w:r>
      <w:r>
        <w:t xml:space="preserve">, the Court of Appeals of Michigan held (2 to1) that trial court judge properly denied the property owner’s motion to suppress aerial photographs taken by Long Lake Township using a drone without the </w:t>
      </w:r>
      <w:proofErr w:type="spellStart"/>
      <w:r>
        <w:t>Maxons</w:t>
      </w:r>
      <w:proofErr w:type="spellEnd"/>
      <w:r>
        <w:t xml:space="preserve">' permission, a warrant, or any other legal authorization.  </w:t>
      </w:r>
    </w:p>
    <w:p w14:paraId="659C30C3" w14:textId="77777777" w:rsidR="00E8117B" w:rsidRDefault="00E8117B" w:rsidP="00E8117B">
      <w:pPr>
        <w:pStyle w:val="NormalWeb"/>
        <w:ind w:left="720"/>
      </w:pPr>
      <w:r>
        <w:t xml:space="preserve">“The township relied on these photos to support a civil action against the </w:t>
      </w:r>
      <w:proofErr w:type="spellStart"/>
      <w:r>
        <w:t>Maxons</w:t>
      </w:r>
      <w:proofErr w:type="spellEnd"/>
      <w:r>
        <w:t xml:space="preserve"> for violating a zoning ordinance, creating a nuisance, and breaching a previous settlement agreement…. The exclusionary rule does not apply in this civil matter. Accordingly, even if the township violated the </w:t>
      </w:r>
      <w:proofErr w:type="spellStart"/>
      <w:r>
        <w:t>Maxons</w:t>
      </w:r>
      <w:proofErr w:type="spellEnd"/>
      <w:r>
        <w:t xml:space="preserve">' constitutional rights, suppression was not supported. We affirm the lower court's order.” </w:t>
      </w:r>
      <w:hyperlink r:id="rId207" w:history="1">
        <w:r>
          <w:rPr>
            <w:rStyle w:val="Hyperlink"/>
          </w:rPr>
          <w:t>https://caselaw.findlaw.com/mi-court-of-appeals/1912425.html</w:t>
        </w:r>
      </w:hyperlink>
      <w:r>
        <w:t xml:space="preserve"> </w:t>
      </w:r>
    </w:p>
    <w:p w14:paraId="406921BF" w14:textId="77777777" w:rsidR="00E8117B" w:rsidRDefault="00E8117B" w:rsidP="00E8117B">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use of drones to enforce nuisance ordinance is a hot topic. Avoid unnecessary litigation, get an administrative search warrant prior to flying drone over the nuisance property. </w:t>
      </w:r>
    </w:p>
    <w:p w14:paraId="225301F6" w14:textId="77777777" w:rsidR="00E8117B" w:rsidRDefault="00E8117B" w:rsidP="00F326E5">
      <w:pPr>
        <w:pStyle w:val="NoSpacing"/>
        <w:rPr>
          <w:rFonts w:ascii="Arial Black" w:hAnsi="Arial Black"/>
          <w:sz w:val="24"/>
          <w:szCs w:val="24"/>
        </w:rPr>
      </w:pPr>
    </w:p>
    <w:p w14:paraId="14D14521" w14:textId="77777777" w:rsidR="00E8117B" w:rsidRDefault="00E8117B" w:rsidP="00F326E5">
      <w:pPr>
        <w:pStyle w:val="NoSpacing"/>
        <w:rPr>
          <w:rFonts w:ascii="Arial Black" w:hAnsi="Arial Black"/>
          <w:sz w:val="24"/>
          <w:szCs w:val="24"/>
        </w:rPr>
      </w:pPr>
    </w:p>
    <w:p w14:paraId="3303EF4E" w14:textId="0F6445AA" w:rsidR="00D5141D" w:rsidRDefault="00D5141D" w:rsidP="00F326E5">
      <w:pPr>
        <w:pStyle w:val="NoSpacing"/>
        <w:rPr>
          <w:rFonts w:ascii="Arial Black" w:hAnsi="Arial Black"/>
          <w:sz w:val="24"/>
          <w:szCs w:val="24"/>
        </w:rPr>
      </w:pPr>
      <w:r>
        <w:rPr>
          <w:rFonts w:ascii="Arial Black" w:hAnsi="Arial Black"/>
          <w:sz w:val="24"/>
          <w:szCs w:val="24"/>
        </w:rPr>
        <w:t>1-106</w:t>
      </w:r>
    </w:p>
    <w:p w14:paraId="0CC5C889" w14:textId="1AAAF53B" w:rsidR="00D5141D" w:rsidRDefault="00D5141D" w:rsidP="00F326E5">
      <w:pPr>
        <w:pStyle w:val="NoSpacing"/>
        <w:rPr>
          <w:rFonts w:ascii="Arial Black" w:hAnsi="Arial Black"/>
          <w:sz w:val="24"/>
          <w:szCs w:val="24"/>
        </w:rPr>
      </w:pPr>
    </w:p>
    <w:p w14:paraId="18CAC21A" w14:textId="77777777" w:rsidR="00D5141D" w:rsidRPr="002441FA" w:rsidRDefault="00D5141D" w:rsidP="00D5141D">
      <w:pPr>
        <w:pStyle w:val="NormalWeb"/>
        <w:rPr>
          <w:rStyle w:val="markedcontent"/>
          <w:rFonts w:ascii="Arial Black" w:hAnsi="Arial Black"/>
          <w:sz w:val="28"/>
          <w:szCs w:val="28"/>
        </w:rPr>
      </w:pPr>
      <w:r>
        <w:rPr>
          <w:rStyle w:val="markedcontent"/>
          <w:rFonts w:ascii="Arial Black" w:hAnsi="Arial Black"/>
          <w:sz w:val="28"/>
          <w:szCs w:val="28"/>
        </w:rPr>
        <w:t xml:space="preserve">OH: STOPPED TRAINS BLOCKING AMBULANCES – HONDA PLANT MARYSVILLE – CAN’T ENFORCE, FED. STATUTE  </w:t>
      </w:r>
    </w:p>
    <w:p w14:paraId="3585147F" w14:textId="7BF32E82" w:rsidR="00D5141D" w:rsidRDefault="00D5141D" w:rsidP="00D5141D">
      <w:pPr>
        <w:pStyle w:val="NormalWeb"/>
        <w:rPr>
          <w:rStyle w:val="markedcontent"/>
        </w:rPr>
      </w:pPr>
      <w:r>
        <w:rPr>
          <w:rStyle w:val="markedcontent"/>
        </w:rPr>
        <w:t xml:space="preserve">On Aug. 17, 2022, in </w:t>
      </w:r>
      <w:r w:rsidRPr="003748FC">
        <w:rPr>
          <w:rStyle w:val="markedcontent"/>
          <w:u w:val="single"/>
        </w:rPr>
        <w:t>The State of Ohio v. CSX Transportation, Inc</w:t>
      </w:r>
      <w:r>
        <w:rPr>
          <w:rStyle w:val="markedcontent"/>
        </w:rPr>
        <w:t xml:space="preserve">., </w:t>
      </w:r>
      <w:r w:rsidRPr="005A3C5F">
        <w:rPr>
          <w:rStyle w:val="markedcontent"/>
        </w:rPr>
        <w:t>Slip Opinion No. 2022-Ohio-2832</w:t>
      </w:r>
      <w:r>
        <w:rPr>
          <w:rStyle w:val="markedcontent"/>
        </w:rPr>
        <w:t xml:space="preserve">, the Ohio Supreme Court held (5 to 2) that federal law prohibits enforcement of state statute imposing $1,000 fine.  </w:t>
      </w:r>
      <w:r w:rsidRPr="007242C6">
        <w:rPr>
          <w:rStyle w:val="markedcontent"/>
        </w:rPr>
        <w:t xml:space="preserve">In 2018, the state charged CSX </w:t>
      </w:r>
      <w:r>
        <w:rPr>
          <w:rStyle w:val="markedcontent"/>
        </w:rPr>
        <w:t xml:space="preserve">on five occasions </w:t>
      </w:r>
      <w:r w:rsidRPr="007242C6">
        <w:rPr>
          <w:rStyle w:val="markedcontent"/>
        </w:rPr>
        <w:t xml:space="preserve">with violating </w:t>
      </w:r>
      <w:r>
        <w:rPr>
          <w:rStyle w:val="markedcontent"/>
        </w:rPr>
        <w:t xml:space="preserve">Ohio </w:t>
      </w:r>
      <w:r w:rsidRPr="007242C6">
        <w:rPr>
          <w:rStyle w:val="markedcontent"/>
        </w:rPr>
        <w:t>R.C. 5589.21</w:t>
      </w:r>
      <w:r>
        <w:rPr>
          <w:rStyle w:val="markedcontent"/>
        </w:rPr>
        <w:t xml:space="preserve"> [maximum of five minutes blocking] for blocking roadways for 45 minutes to one hour near the Honda plant, but the trial court judge in Marysville Municipal Court dismissed the charges. The Court of Appeals reversed, and CSX appealed to Ohio Supreme Court which agreed with trial court. “</w:t>
      </w:r>
      <w:r w:rsidRPr="007242C6">
        <w:rPr>
          <w:rStyle w:val="markedcontent"/>
        </w:rPr>
        <w:t>We acknowledge the significant danger to the public that is created</w:t>
      </w:r>
      <w:r>
        <w:rPr>
          <w:rStyle w:val="markedcontent"/>
        </w:rPr>
        <w:t xml:space="preserve"> </w:t>
      </w:r>
      <w:r w:rsidRPr="007242C6">
        <w:rPr>
          <w:rStyle w:val="markedcontent"/>
        </w:rPr>
        <w:t>when stopped trains obstruct the movement of first responders across railroad</w:t>
      </w:r>
      <w:r>
        <w:rPr>
          <w:rStyle w:val="markedcontent"/>
        </w:rPr>
        <w:t xml:space="preserve"> </w:t>
      </w:r>
      <w:r w:rsidRPr="007242C6">
        <w:rPr>
          <w:rStyle w:val="markedcontent"/>
        </w:rPr>
        <w:t>tracks. However, the regulation of railroad transportation is a matter of federal law,</w:t>
      </w:r>
      <w:r>
        <w:rPr>
          <w:rStyle w:val="markedcontent"/>
        </w:rPr>
        <w:t xml:space="preserve"> </w:t>
      </w:r>
      <w:r w:rsidRPr="007242C6">
        <w:rPr>
          <w:rStyle w:val="markedcontent"/>
        </w:rPr>
        <w:t>and the federal government alone has the power to address the threat to public</w:t>
      </w:r>
      <w:r>
        <w:rPr>
          <w:rStyle w:val="markedcontent"/>
        </w:rPr>
        <w:t xml:space="preserve"> </w:t>
      </w:r>
      <w:r w:rsidRPr="007242C6">
        <w:rPr>
          <w:rStyle w:val="markedcontent"/>
        </w:rPr>
        <w:t>safety caused by blocked crossings. Because R.C. 5589.21 is preempted, it cannot</w:t>
      </w:r>
      <w:r>
        <w:rPr>
          <w:rStyle w:val="markedcontent"/>
        </w:rPr>
        <w:t xml:space="preserve"> </w:t>
      </w:r>
      <w:r w:rsidRPr="007242C6">
        <w:rPr>
          <w:rStyle w:val="markedcontent"/>
        </w:rPr>
        <w:t>be enforced against CSX. The trial court correctly dismissed the charges in this</w:t>
      </w:r>
      <w:r>
        <w:rPr>
          <w:rStyle w:val="markedcontent"/>
        </w:rPr>
        <w:t xml:space="preserve"> </w:t>
      </w:r>
      <w:r w:rsidRPr="007242C6">
        <w:rPr>
          <w:rStyle w:val="markedcontent"/>
        </w:rPr>
        <w:t>case.</w:t>
      </w:r>
      <w:r>
        <w:rPr>
          <w:rStyle w:val="markedcontent"/>
        </w:rPr>
        <w:t xml:space="preserve">” </w:t>
      </w:r>
      <w:hyperlink r:id="rId208" w:history="1">
        <w:r w:rsidRPr="00D270FB">
          <w:rPr>
            <w:rStyle w:val="Hyperlink"/>
            <w:rFonts w:eastAsiaTheme="majorEastAsia"/>
          </w:rPr>
          <w:t>https://www.supremecourt.ohio.gov/rod/docs/pdf/0/2022/2022-Ohio-2832.pdf</w:t>
        </w:r>
      </w:hyperlink>
      <w:r>
        <w:rPr>
          <w:rStyle w:val="markedcontent"/>
        </w:rPr>
        <w:t xml:space="preserve"> </w:t>
      </w:r>
    </w:p>
    <w:p w14:paraId="2DB8423F" w14:textId="77777777" w:rsidR="00D5141D" w:rsidRPr="00A516F8" w:rsidRDefault="00D5141D" w:rsidP="00D5141D">
      <w:pPr>
        <w:pStyle w:val="NormalWeb"/>
        <w:rPr>
          <w:b/>
          <w:bCs/>
        </w:rPr>
      </w:pPr>
      <w:r w:rsidRPr="00A516F8">
        <w:rPr>
          <w:b/>
          <w:bCs/>
        </w:rPr>
        <w:t xml:space="preserve">Legal Lesson Learned: </w:t>
      </w:r>
      <w:r>
        <w:rPr>
          <w:b/>
          <w:bCs/>
        </w:rPr>
        <w:t xml:space="preserve">This case illustrates the power of railroad lobbyists to influence Congress in passing a statute that preempts state laws. </w:t>
      </w:r>
    </w:p>
    <w:p w14:paraId="10D23C43" w14:textId="77777777" w:rsidR="00D5141D" w:rsidRPr="006A5641" w:rsidRDefault="00D5141D" w:rsidP="00D5141D">
      <w:pPr>
        <w:pStyle w:val="NormalWeb"/>
        <w:ind w:left="720"/>
      </w:pPr>
      <w:r>
        <w:t xml:space="preserve">Note:  See article - </w:t>
      </w:r>
      <w:r w:rsidRPr="006A5641">
        <w:t xml:space="preserve">Aug. 17, 2022: OH - No More Punishment </w:t>
      </w:r>
      <w:proofErr w:type="gramStart"/>
      <w:r w:rsidRPr="006A5641">
        <w:t>For</w:t>
      </w:r>
      <w:proofErr w:type="gramEnd"/>
      <w:r w:rsidRPr="006A5641">
        <w:t xml:space="preserve"> Trains Blocking Crossings </w:t>
      </w:r>
      <w:proofErr w:type="gramStart"/>
      <w:r w:rsidRPr="006A5641">
        <w:t>In</w:t>
      </w:r>
      <w:proofErr w:type="gramEnd"/>
      <w:r w:rsidRPr="006A5641">
        <w:t xml:space="preserve"> Ohio.</w:t>
      </w:r>
      <w:r>
        <w:t xml:space="preserve">” </w:t>
      </w:r>
      <w:hyperlink r:id="rId209" w:history="1">
        <w:r w:rsidRPr="006A5641">
          <w:rPr>
            <w:rStyle w:val="Hyperlink"/>
            <w:rFonts w:eastAsiaTheme="majorEastAsia"/>
          </w:rPr>
          <w:t>https://local12.com/news/local/blocked-railroad-crossings-ohio-supreme-court-ruling-no-more-fines-trains-safety-butler-county-lockland-emergencies-csx-transportation-anti-blocking-law-federal-railroad-administration-cincinnati-local-12-wkrc-tristate-ohio-kentucky-indiana-news</w:t>
        </w:r>
      </w:hyperlink>
      <w:r w:rsidRPr="006A5641">
        <w:t xml:space="preserve"> </w:t>
      </w:r>
    </w:p>
    <w:p w14:paraId="6C5E93DB" w14:textId="77777777" w:rsidR="00D5141D" w:rsidRPr="00214856" w:rsidRDefault="00D5141D" w:rsidP="00D5141D">
      <w:pPr>
        <w:pStyle w:val="Heading1"/>
        <w:ind w:left="720"/>
        <w:rPr>
          <w:b w:val="0"/>
          <w:bCs w:val="0"/>
          <w:sz w:val="24"/>
          <w:szCs w:val="24"/>
        </w:rPr>
      </w:pPr>
      <w:r w:rsidRPr="00214856">
        <w:rPr>
          <w:b w:val="0"/>
          <w:bCs w:val="0"/>
          <w:sz w:val="24"/>
          <w:szCs w:val="24"/>
        </w:rPr>
        <w:t xml:space="preserve">See also Ohio Revised Code: Section 5589.21 </w:t>
      </w:r>
      <w:r w:rsidRPr="00214856">
        <w:rPr>
          <w:rStyle w:val="codes-separator"/>
          <w:b w:val="0"/>
          <w:bCs w:val="0"/>
          <w:sz w:val="24"/>
          <w:szCs w:val="24"/>
        </w:rPr>
        <w:t>|</w:t>
      </w:r>
      <w:r w:rsidRPr="00214856">
        <w:rPr>
          <w:b w:val="0"/>
          <w:bCs w:val="0"/>
          <w:sz w:val="24"/>
          <w:szCs w:val="24"/>
        </w:rPr>
        <w:t xml:space="preserve"> Obstruction of roads by railroads. </w:t>
      </w:r>
      <w:hyperlink r:id="rId210" w:anchor=":~:text=(A)%20No%20railroad%20company%20shall,passing%20along%20or%20upon%20such" w:history="1">
        <w:r w:rsidRPr="00214856">
          <w:rPr>
            <w:rStyle w:val="Hyperlink"/>
            <w:rFonts w:eastAsiaTheme="majorEastAsia"/>
            <w:b w:val="0"/>
            <w:bCs w:val="0"/>
            <w:sz w:val="24"/>
            <w:szCs w:val="24"/>
          </w:rPr>
          <w:t>https://codes.ohio.gov/ohio-revised-code/section-5589.21#:~:text=(A)%20No%20railroad%20company%20shall,passing%20along%20or%20upon%20such</w:t>
        </w:r>
      </w:hyperlink>
      <w:r w:rsidRPr="00214856">
        <w:rPr>
          <w:b w:val="0"/>
          <w:bCs w:val="0"/>
          <w:sz w:val="24"/>
          <w:szCs w:val="24"/>
        </w:rPr>
        <w:t xml:space="preserve"> </w:t>
      </w:r>
    </w:p>
    <w:p w14:paraId="2B8E9A86" w14:textId="77777777" w:rsidR="00D5141D" w:rsidRDefault="00D5141D" w:rsidP="00F326E5">
      <w:pPr>
        <w:pStyle w:val="NoSpacing"/>
        <w:rPr>
          <w:rFonts w:ascii="Arial Black" w:hAnsi="Arial Black"/>
          <w:sz w:val="24"/>
          <w:szCs w:val="24"/>
        </w:rPr>
      </w:pPr>
    </w:p>
    <w:p w14:paraId="5E7373F9" w14:textId="77777777" w:rsidR="00D5141D" w:rsidRDefault="00D5141D" w:rsidP="00F326E5">
      <w:pPr>
        <w:pStyle w:val="NoSpacing"/>
        <w:rPr>
          <w:rFonts w:ascii="Arial Black" w:hAnsi="Arial Black"/>
          <w:sz w:val="24"/>
          <w:szCs w:val="24"/>
        </w:rPr>
      </w:pPr>
    </w:p>
    <w:p w14:paraId="24B16D64" w14:textId="77777777" w:rsidR="00D5141D" w:rsidRDefault="00D5141D" w:rsidP="00F326E5">
      <w:pPr>
        <w:pStyle w:val="NoSpacing"/>
        <w:rPr>
          <w:rFonts w:ascii="Arial Black" w:hAnsi="Arial Black"/>
          <w:sz w:val="24"/>
          <w:szCs w:val="24"/>
        </w:rPr>
      </w:pPr>
    </w:p>
    <w:p w14:paraId="08B8A70A" w14:textId="0E350FF2" w:rsidR="006D2C51" w:rsidRDefault="006D2C51" w:rsidP="00F326E5">
      <w:pPr>
        <w:pStyle w:val="NoSpacing"/>
        <w:rPr>
          <w:rFonts w:ascii="Arial Black" w:hAnsi="Arial Black"/>
          <w:sz w:val="24"/>
          <w:szCs w:val="24"/>
        </w:rPr>
      </w:pPr>
      <w:r>
        <w:rPr>
          <w:rFonts w:ascii="Arial Black" w:hAnsi="Arial Black"/>
          <w:sz w:val="24"/>
          <w:szCs w:val="24"/>
        </w:rPr>
        <w:t>1-105</w:t>
      </w:r>
    </w:p>
    <w:p w14:paraId="3347D185" w14:textId="3FF365A1" w:rsidR="006D2C51" w:rsidRDefault="006D2C51" w:rsidP="00F326E5">
      <w:pPr>
        <w:pStyle w:val="NoSpacing"/>
        <w:rPr>
          <w:rFonts w:ascii="Arial Black" w:hAnsi="Arial Black"/>
          <w:sz w:val="24"/>
          <w:szCs w:val="24"/>
        </w:rPr>
      </w:pPr>
    </w:p>
    <w:p w14:paraId="3746E794" w14:textId="1049C11B" w:rsidR="006D2C51" w:rsidRPr="00825136" w:rsidRDefault="006D2C51" w:rsidP="006D2C51">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PA: ARSON – TENANT 3 MONTHS BEHIND ON HIS RENT -</w:t>
      </w:r>
      <w:r w:rsidR="004432C8">
        <w:rPr>
          <w:rFonts w:ascii="Arial Black" w:eastAsia="Times New Roman" w:hAnsi="Arial Black"/>
          <w:sz w:val="28"/>
          <w:szCs w:val="28"/>
        </w:rPr>
        <w:t xml:space="preserve"> </w:t>
      </w:r>
      <w:r>
        <w:rPr>
          <w:rFonts w:ascii="Arial Black" w:eastAsia="Times New Roman" w:hAnsi="Arial Black"/>
          <w:sz w:val="28"/>
          <w:szCs w:val="28"/>
        </w:rPr>
        <w:t>EVICTED DAY OF FIRE IN HIS ROOM – CONV. UPHELD</w:t>
      </w:r>
    </w:p>
    <w:p w14:paraId="4D530659" w14:textId="77777777" w:rsidR="00A40065" w:rsidRDefault="006D2C51" w:rsidP="006D2C51">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July 5, 2022, in </w:t>
      </w:r>
      <w:r w:rsidRPr="00825136">
        <w:rPr>
          <w:rFonts w:ascii="Times New Roman" w:eastAsia="Times New Roman" w:hAnsi="Times New Roman"/>
          <w:sz w:val="24"/>
          <w:szCs w:val="24"/>
          <w:u w:val="single"/>
        </w:rPr>
        <w:t>Commonwealth of Pennsylvania v. Wesley Wise</w:t>
      </w:r>
      <w:r>
        <w:rPr>
          <w:rFonts w:ascii="Times New Roman" w:eastAsia="Times New Roman" w:hAnsi="Times New Roman"/>
          <w:sz w:val="24"/>
          <w:szCs w:val="24"/>
        </w:rPr>
        <w:t xml:space="preserve">, the Superior Court of Pennsylvania held (3 to 0) in non-precedential decision, that conviction by trial judge after a bench trial [no jury] is affirmed.  Circumstantial evidence is sufficient to </w:t>
      </w:r>
      <w:proofErr w:type="gramStart"/>
      <w:r>
        <w:rPr>
          <w:rFonts w:ascii="Times New Roman" w:eastAsia="Times New Roman" w:hAnsi="Times New Roman"/>
          <w:sz w:val="24"/>
          <w:szCs w:val="24"/>
        </w:rPr>
        <w:t>convict for</w:t>
      </w:r>
      <w:proofErr w:type="gramEnd"/>
      <w:r>
        <w:rPr>
          <w:rFonts w:ascii="Times New Roman" w:eastAsia="Times New Roman" w:hAnsi="Times New Roman"/>
          <w:sz w:val="24"/>
          <w:szCs w:val="24"/>
        </w:rPr>
        <w:t xml:space="preserve"> arson. “</w:t>
      </w:r>
      <w:r w:rsidRPr="00073F76">
        <w:rPr>
          <w:rFonts w:ascii="Times New Roman" w:hAnsi="Times New Roman"/>
          <w:sz w:val="24"/>
          <w:szCs w:val="24"/>
        </w:rPr>
        <w:t xml:space="preserve">Direct evidence is not required. </w:t>
      </w:r>
      <w:r>
        <w:rPr>
          <w:rFonts w:ascii="Times New Roman" w:hAnsi="Times New Roman"/>
          <w:sz w:val="24"/>
          <w:szCs w:val="24"/>
        </w:rPr>
        <w:t>‘</w:t>
      </w:r>
      <w:r w:rsidRPr="00073F76">
        <w:rPr>
          <w:rFonts w:ascii="Times New Roman" w:hAnsi="Times New Roman"/>
          <w:sz w:val="24"/>
          <w:szCs w:val="24"/>
        </w:rPr>
        <w:t>[P]roof of guilt especially in arson cases, may be established [through] circumstantial evidence.</w:t>
      </w:r>
      <w:r>
        <w:rPr>
          <w:rFonts w:ascii="Times New Roman" w:hAnsi="Times New Roman"/>
          <w:sz w:val="24"/>
          <w:szCs w:val="24"/>
        </w:rPr>
        <w:t>’</w:t>
      </w:r>
      <w:r w:rsidRPr="00073F76">
        <w:rPr>
          <w:rFonts w:ascii="Times New Roman" w:hAnsi="Times New Roman"/>
          <w:sz w:val="24"/>
          <w:szCs w:val="24"/>
        </w:rPr>
        <w:t xml:space="preserve"> </w:t>
      </w:r>
      <w:r w:rsidRPr="00073F76">
        <w:rPr>
          <w:rStyle w:val="Emphasis"/>
          <w:rFonts w:ascii="Times New Roman" w:hAnsi="Times New Roman"/>
          <w:sz w:val="24"/>
          <w:szCs w:val="24"/>
        </w:rPr>
        <w:t>Commonwealth v. Counterman</w:t>
      </w:r>
      <w:r w:rsidRPr="00073F76">
        <w:rPr>
          <w:rFonts w:ascii="Times New Roman" w:hAnsi="Times New Roman"/>
          <w:sz w:val="24"/>
          <w:szCs w:val="24"/>
        </w:rPr>
        <w:t>, 719 A.2d 284 (Pa. 1998) (</w:t>
      </w:r>
      <w:r w:rsidRPr="00073F76">
        <w:rPr>
          <w:rStyle w:val="Emphasis"/>
          <w:rFonts w:ascii="Times New Roman" w:hAnsi="Times New Roman"/>
          <w:sz w:val="24"/>
          <w:szCs w:val="24"/>
        </w:rPr>
        <w:t>quoting Commonwealth v. DiNicola</w:t>
      </w:r>
      <w:r w:rsidRPr="00073F76">
        <w:rPr>
          <w:rFonts w:ascii="Times New Roman" w:hAnsi="Times New Roman"/>
          <w:sz w:val="24"/>
          <w:szCs w:val="24"/>
        </w:rPr>
        <w:t xml:space="preserve">, 468 A.2d 1078, 1081 (Pa. 1983). </w:t>
      </w:r>
      <w:r>
        <w:rPr>
          <w:rFonts w:ascii="Times New Roman" w:hAnsi="Times New Roman"/>
          <w:sz w:val="24"/>
          <w:szCs w:val="24"/>
        </w:rPr>
        <w:t>‘</w:t>
      </w:r>
      <w:r w:rsidRPr="00073F76">
        <w:rPr>
          <w:rFonts w:ascii="Times New Roman" w:hAnsi="Times New Roman"/>
          <w:sz w:val="24"/>
          <w:szCs w:val="24"/>
        </w:rPr>
        <w:t>[A]</w:t>
      </w:r>
      <w:proofErr w:type="spellStart"/>
      <w:proofErr w:type="gramStart"/>
      <w:r w:rsidRPr="00073F76">
        <w:rPr>
          <w:rFonts w:ascii="Times New Roman" w:hAnsi="Times New Roman"/>
          <w:sz w:val="24"/>
          <w:szCs w:val="24"/>
        </w:rPr>
        <w:t>rson</w:t>
      </w:r>
      <w:proofErr w:type="spellEnd"/>
      <w:proofErr w:type="gramEnd"/>
      <w:r w:rsidRPr="00073F76">
        <w:rPr>
          <w:rFonts w:ascii="Times New Roman" w:hAnsi="Times New Roman"/>
          <w:sz w:val="24"/>
          <w:szCs w:val="24"/>
        </w:rPr>
        <w:t>, by its very nature, is rarely committed in the presence of others, and a refusal to convict on circumstantial evidence alone would be tantamount to an invitation to commit the crime.</w:t>
      </w:r>
      <w:r>
        <w:rPr>
          <w:rFonts w:ascii="Times New Roman" w:hAnsi="Times New Roman"/>
          <w:sz w:val="24"/>
          <w:szCs w:val="24"/>
        </w:rPr>
        <w:t>’</w:t>
      </w:r>
      <w:r w:rsidRPr="00073F76">
        <w:rPr>
          <w:rFonts w:ascii="Times New Roman" w:hAnsi="Times New Roman"/>
          <w:sz w:val="24"/>
          <w:szCs w:val="24"/>
        </w:rPr>
        <w:t xml:space="preserve"> </w:t>
      </w:r>
      <w:r w:rsidRPr="00073F76">
        <w:rPr>
          <w:rStyle w:val="Emphasis"/>
          <w:rFonts w:ascii="Times New Roman" w:hAnsi="Times New Roman"/>
          <w:sz w:val="24"/>
          <w:szCs w:val="24"/>
        </w:rPr>
        <w:t>Commonwealth v. Colon</w:t>
      </w:r>
      <w:r w:rsidRPr="00073F76">
        <w:rPr>
          <w:rFonts w:ascii="Times New Roman" w:hAnsi="Times New Roman"/>
          <w:sz w:val="24"/>
          <w:szCs w:val="24"/>
        </w:rPr>
        <w:t>, 399 A.2d 1068, 1073 (Pa. Super. 1979).</w:t>
      </w:r>
      <w:r>
        <w:rPr>
          <w:rFonts w:ascii="Times New Roman" w:hAnsi="Times New Roman"/>
          <w:sz w:val="24"/>
          <w:szCs w:val="24"/>
        </w:rPr>
        <w:t xml:space="preserve"> *** </w:t>
      </w:r>
      <w:r w:rsidRPr="0034236E">
        <w:rPr>
          <w:rFonts w:ascii="Times New Roman" w:hAnsi="Times New Roman"/>
          <w:sz w:val="24"/>
          <w:szCs w:val="24"/>
        </w:rPr>
        <w:t>Indisputably, an individual started the fire with an open flame in Wise's bedroom closet; no one except Wise had been in there. Wise, who was evicted as of the day of the fire, left the house carrying a bag; he was the only one who had a reason to start the fire. Not long after he left, the smoke alarm went off; this is evident despite the varying times reflected in the record. Ms. Owens and Mr. Bowe risked their lives and tried to extinguish the fire but had to evacuate, along with Ms. Owens' two young grandchildren. The trial court evidently did not believe Ms. Minnis' testimony that Wise was at her house since early on the day of the fire.</w:t>
      </w:r>
      <w:r>
        <w:rPr>
          <w:rFonts w:ascii="Times New Roman" w:hAnsi="Times New Roman"/>
          <w:sz w:val="24"/>
          <w:szCs w:val="24"/>
        </w:rPr>
        <w:t xml:space="preserve">” </w:t>
      </w:r>
      <w:hyperlink r:id="rId211" w:history="1">
        <w:r w:rsidRPr="00661DF4">
          <w:rPr>
            <w:rStyle w:val="Hyperlink"/>
            <w:rFonts w:ascii="Times New Roman" w:hAnsi="Times New Roman"/>
            <w:sz w:val="24"/>
            <w:szCs w:val="24"/>
          </w:rPr>
          <w:t>https://casetext.com/case/commonwealth-v-wise-36</w:t>
        </w:r>
      </w:hyperlink>
      <w:r>
        <w:rPr>
          <w:rFonts w:ascii="Times New Roman" w:hAnsi="Times New Roman"/>
          <w:sz w:val="24"/>
          <w:szCs w:val="24"/>
        </w:rPr>
        <w:t xml:space="preserve"> </w:t>
      </w:r>
    </w:p>
    <w:p w14:paraId="399D9ACA" w14:textId="75BF775C" w:rsidR="006D2C51" w:rsidRPr="000B73D4" w:rsidRDefault="006D2C51" w:rsidP="006D2C51">
      <w:pPr>
        <w:spacing w:before="100" w:beforeAutospacing="1" w:after="100" w:afterAutospacing="1" w:line="240" w:lineRule="auto"/>
        <w:rPr>
          <w:rFonts w:ascii="Times New Roman" w:eastAsia="Times New Roman" w:hAnsi="Times New Roman"/>
          <w:sz w:val="24"/>
          <w:szCs w:val="24"/>
        </w:rPr>
      </w:pPr>
      <w:r w:rsidRPr="00E97CB8">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Circumstantial evidence may lead to arson conviction.</w:t>
      </w:r>
      <w:r w:rsidRPr="00AD3CF7">
        <w:rPr>
          <w:rFonts w:ascii="Times New Roman" w:eastAsia="Times New Roman" w:hAnsi="Times New Roman"/>
          <w:sz w:val="24"/>
          <w:szCs w:val="24"/>
        </w:rPr>
        <w:t xml:space="preserve"> </w:t>
      </w:r>
      <w:r w:rsidRPr="000B73D4">
        <w:rPr>
          <w:rFonts w:ascii="Times New Roman" w:eastAsia="Times New Roman" w:hAnsi="Times New Roman"/>
          <w:sz w:val="24"/>
          <w:szCs w:val="24"/>
        </w:rPr>
        <w:t xml:space="preserve">    </w:t>
      </w:r>
    </w:p>
    <w:p w14:paraId="778EAB19" w14:textId="77777777" w:rsidR="006D2C51" w:rsidRDefault="006D2C51" w:rsidP="00F326E5">
      <w:pPr>
        <w:pStyle w:val="NoSpacing"/>
        <w:rPr>
          <w:rFonts w:ascii="Arial Black" w:hAnsi="Arial Black"/>
          <w:sz w:val="24"/>
          <w:szCs w:val="24"/>
        </w:rPr>
      </w:pPr>
    </w:p>
    <w:p w14:paraId="4F87B00D" w14:textId="77777777" w:rsidR="006D2C51" w:rsidRDefault="006D2C51" w:rsidP="00F326E5">
      <w:pPr>
        <w:pStyle w:val="NoSpacing"/>
        <w:rPr>
          <w:rFonts w:ascii="Arial Black" w:hAnsi="Arial Black"/>
          <w:sz w:val="24"/>
          <w:szCs w:val="24"/>
        </w:rPr>
      </w:pPr>
    </w:p>
    <w:p w14:paraId="42FE7CC0" w14:textId="2EECDA83" w:rsidR="0073564D" w:rsidRDefault="0073564D" w:rsidP="00F326E5">
      <w:pPr>
        <w:pStyle w:val="NoSpacing"/>
        <w:rPr>
          <w:rFonts w:ascii="Arial Black" w:hAnsi="Arial Black"/>
          <w:sz w:val="24"/>
          <w:szCs w:val="24"/>
        </w:rPr>
      </w:pPr>
      <w:r>
        <w:rPr>
          <w:rFonts w:ascii="Arial Black" w:hAnsi="Arial Black"/>
          <w:sz w:val="24"/>
          <w:szCs w:val="24"/>
        </w:rPr>
        <w:t>1-104</w:t>
      </w:r>
    </w:p>
    <w:p w14:paraId="624F6D16" w14:textId="1C18D2D7" w:rsidR="0073564D" w:rsidRDefault="0073564D" w:rsidP="00F326E5">
      <w:pPr>
        <w:pStyle w:val="NoSpacing"/>
        <w:rPr>
          <w:rFonts w:ascii="Arial Black" w:hAnsi="Arial Black"/>
          <w:sz w:val="24"/>
          <w:szCs w:val="24"/>
        </w:rPr>
      </w:pPr>
    </w:p>
    <w:p w14:paraId="0D27CCCF" w14:textId="77777777" w:rsidR="0073564D" w:rsidRDefault="0073564D" w:rsidP="0073564D">
      <w:pPr>
        <w:pStyle w:val="Heading1"/>
        <w:rPr>
          <w:rFonts w:ascii="Arial Black" w:hAnsi="Arial Black"/>
          <w:sz w:val="28"/>
          <w:szCs w:val="28"/>
        </w:rPr>
      </w:pPr>
      <w:r>
        <w:rPr>
          <w:rFonts w:ascii="Arial Black" w:hAnsi="Arial Black"/>
          <w:sz w:val="28"/>
          <w:szCs w:val="28"/>
        </w:rPr>
        <w:t>IL: ANNUAL TESTING FIRE ALARMS REQ. EACH 48 UNITS – CONDO ASSOC. MUST GET OWNERS TO ALLOW TESTER</w:t>
      </w:r>
    </w:p>
    <w:p w14:paraId="4AE8EC5A" w14:textId="77777777" w:rsidR="0073564D" w:rsidRDefault="0073564D" w:rsidP="0073564D">
      <w:pPr>
        <w:pStyle w:val="Heading1"/>
        <w:rPr>
          <w:b w:val="0"/>
          <w:bCs w:val="0"/>
          <w:sz w:val="24"/>
          <w:szCs w:val="24"/>
        </w:rPr>
      </w:pPr>
      <w:r>
        <w:rPr>
          <w:b w:val="0"/>
          <w:bCs w:val="0"/>
          <w:sz w:val="24"/>
          <w:szCs w:val="24"/>
        </w:rPr>
        <w:t xml:space="preserve">On June 21, 2022, in </w:t>
      </w:r>
      <w:r>
        <w:rPr>
          <w:b w:val="0"/>
          <w:bCs w:val="0"/>
          <w:sz w:val="24"/>
          <w:szCs w:val="24"/>
          <w:u w:val="single"/>
        </w:rPr>
        <w:t>The Village of Downers Grove v. Village Square III Condominium Association</w:t>
      </w:r>
      <w:r>
        <w:rPr>
          <w:b w:val="0"/>
          <w:bCs w:val="0"/>
          <w:sz w:val="24"/>
          <w:szCs w:val="24"/>
        </w:rPr>
        <w:t xml:space="preserve">, the Court of Appeals of Illinois, Second District, held (3 to 0), 2022 IL App (2d) 210098, that the trial court, after a bench trial [no jury] properly upheld the citations. The complex consists of three separate two-story buildings, two that contain 18 units and one that contains 12 units, for a total of 48 units. None of the units </w:t>
      </w:r>
      <w:proofErr w:type="gramStart"/>
      <w:r>
        <w:rPr>
          <w:b w:val="0"/>
          <w:bCs w:val="0"/>
          <w:sz w:val="24"/>
          <w:szCs w:val="24"/>
        </w:rPr>
        <w:t>shares</w:t>
      </w:r>
      <w:proofErr w:type="gramEnd"/>
      <w:r>
        <w:rPr>
          <w:b w:val="0"/>
          <w:bCs w:val="0"/>
          <w:sz w:val="24"/>
          <w:szCs w:val="24"/>
        </w:rPr>
        <w:t xml:space="preserve"> any common entrances/exits or hallways. Rather, each unit has its own separate entrance/exit at grade level.  The fire alarms can only be accessed by unit owner allowing in outside testing company. The trial judge “ultimately found it was required to assess a daily fine and imposed an aggregate fine of $23, 475, which consisted of $75 per day for each of the 313 days between December 21, 2017, and October 29, 2018.”  </w:t>
      </w:r>
      <w:hyperlink r:id="rId212" w:history="1">
        <w:r>
          <w:rPr>
            <w:rStyle w:val="Hyperlink"/>
            <w:sz w:val="24"/>
            <w:szCs w:val="24"/>
          </w:rPr>
          <w:t>https://casetext.com/case/the-vill-of-downers-grove-v-vill-square-iii-condo-assn</w:t>
        </w:r>
      </w:hyperlink>
      <w:r>
        <w:rPr>
          <w:b w:val="0"/>
          <w:bCs w:val="0"/>
          <w:sz w:val="24"/>
          <w:szCs w:val="24"/>
        </w:rPr>
        <w:t xml:space="preserve"> </w:t>
      </w:r>
    </w:p>
    <w:p w14:paraId="0FE86FFD" w14:textId="77777777" w:rsidR="009A0402" w:rsidRDefault="009A0402" w:rsidP="009A0402">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The Condo Association needs to educate unit </w:t>
      </w:r>
      <w:proofErr w:type="gramStart"/>
      <w:r>
        <w:rPr>
          <w:rFonts w:ascii="Times New Roman" w:hAnsi="Times New Roman"/>
          <w:b/>
          <w:bCs/>
          <w:sz w:val="24"/>
          <w:szCs w:val="24"/>
        </w:rPr>
        <w:t>owners, and</w:t>
      </w:r>
      <w:proofErr w:type="gramEnd"/>
      <w:r>
        <w:rPr>
          <w:rFonts w:ascii="Times New Roman" w:hAnsi="Times New Roman"/>
          <w:b/>
          <w:bCs/>
          <w:sz w:val="24"/>
          <w:szCs w:val="24"/>
        </w:rPr>
        <w:t xml:space="preserve"> adopt by laws that they must allow in the alarm testing company.   </w:t>
      </w:r>
    </w:p>
    <w:p w14:paraId="303DCFB1" w14:textId="77777777" w:rsidR="009A0402" w:rsidRDefault="009A0402" w:rsidP="00F326E5">
      <w:pPr>
        <w:pStyle w:val="NoSpacing"/>
        <w:rPr>
          <w:rFonts w:ascii="Arial Black" w:hAnsi="Arial Black"/>
          <w:sz w:val="24"/>
          <w:szCs w:val="24"/>
        </w:rPr>
      </w:pPr>
    </w:p>
    <w:p w14:paraId="2B083BEF" w14:textId="5D10BE65" w:rsidR="009579EB" w:rsidRPr="009579EB" w:rsidRDefault="009579EB" w:rsidP="00F326E5">
      <w:pPr>
        <w:pStyle w:val="NoSpacing"/>
        <w:rPr>
          <w:rFonts w:ascii="Arial Black" w:hAnsi="Arial Black"/>
          <w:sz w:val="24"/>
          <w:szCs w:val="24"/>
        </w:rPr>
      </w:pPr>
      <w:r w:rsidRPr="009579EB">
        <w:rPr>
          <w:rFonts w:ascii="Arial Black" w:hAnsi="Arial Black"/>
          <w:sz w:val="24"/>
          <w:szCs w:val="24"/>
        </w:rPr>
        <w:t>1-103</w:t>
      </w:r>
    </w:p>
    <w:p w14:paraId="0F000359" w14:textId="77777777" w:rsidR="009579EB" w:rsidRPr="00E93614" w:rsidRDefault="009579EB" w:rsidP="009579EB">
      <w:pPr>
        <w:spacing w:before="100" w:beforeAutospacing="1" w:after="100" w:afterAutospacing="1" w:line="240" w:lineRule="auto"/>
        <w:rPr>
          <w:rFonts w:ascii="Arial Black" w:eastAsia="Times New Roman" w:hAnsi="Arial Black"/>
          <w:sz w:val="28"/>
          <w:szCs w:val="28"/>
        </w:rPr>
      </w:pPr>
      <w:r>
        <w:rPr>
          <w:rFonts w:ascii="Arial Black" w:hAnsi="Arial Black"/>
          <w:b/>
          <w:sz w:val="28"/>
          <w:szCs w:val="28"/>
        </w:rPr>
        <w:t>AL: DEP. FIRE MARSHAL NO IMMUNITY – FALSELY TOLD PROS. DEF. ADMITTED BURN BARREL DESTROY EVIDENCE</w:t>
      </w:r>
    </w:p>
    <w:p w14:paraId="0E8D380A" w14:textId="29CC9FF9" w:rsidR="009579EB" w:rsidRDefault="009579EB" w:rsidP="009579EB">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May 27, 2022, in </w:t>
      </w:r>
      <w:r w:rsidRPr="00CD21F9">
        <w:rPr>
          <w:rFonts w:ascii="Times New Roman" w:eastAsia="Times New Roman" w:hAnsi="Times New Roman"/>
          <w:sz w:val="24"/>
          <w:szCs w:val="24"/>
          <w:u w:val="single"/>
        </w:rPr>
        <w:t xml:space="preserve">Ex </w:t>
      </w:r>
      <w:proofErr w:type="spellStart"/>
      <w:r w:rsidRPr="00CD21F9">
        <w:rPr>
          <w:rFonts w:ascii="Times New Roman" w:eastAsia="Times New Roman" w:hAnsi="Times New Roman"/>
          <w:sz w:val="24"/>
          <w:szCs w:val="24"/>
          <w:u w:val="single"/>
        </w:rPr>
        <w:t>parte</w:t>
      </w:r>
      <w:proofErr w:type="spellEnd"/>
      <w:r w:rsidRPr="00CD21F9">
        <w:rPr>
          <w:rFonts w:ascii="Times New Roman" w:eastAsia="Times New Roman" w:hAnsi="Times New Roman"/>
          <w:sz w:val="24"/>
          <w:szCs w:val="24"/>
          <w:u w:val="single"/>
        </w:rPr>
        <w:t xml:space="preserve"> Greg Pinkard</w:t>
      </w:r>
      <w:r>
        <w:rPr>
          <w:rFonts w:ascii="Times New Roman" w:eastAsia="Times New Roman" w:hAnsi="Times New Roman"/>
          <w:sz w:val="24"/>
          <w:szCs w:val="24"/>
          <w:u w:val="single"/>
        </w:rPr>
        <w:t xml:space="preserve"> (</w:t>
      </w:r>
      <w:r w:rsidRPr="00CD21F9">
        <w:rPr>
          <w:rFonts w:ascii="Times New Roman" w:eastAsia="Times New Roman" w:hAnsi="Times New Roman"/>
          <w:sz w:val="24"/>
          <w:szCs w:val="24"/>
          <w:u w:val="single"/>
        </w:rPr>
        <w:t>In re; Ronnie Taylor v. Allstate Property &amp; Casualty Insurance Company, et al.</w:t>
      </w:r>
      <w:r>
        <w:rPr>
          <w:rFonts w:ascii="Times New Roman" w:eastAsia="Times New Roman" w:hAnsi="Times New Roman"/>
          <w:sz w:val="24"/>
          <w:szCs w:val="24"/>
          <w:u w:val="single"/>
        </w:rPr>
        <w:t>)</w:t>
      </w:r>
      <w:r>
        <w:rPr>
          <w:rFonts w:ascii="Times New Roman" w:eastAsia="Times New Roman" w:hAnsi="Times New Roman"/>
          <w:sz w:val="24"/>
          <w:szCs w:val="24"/>
        </w:rPr>
        <w:t xml:space="preserve">, the Supreme Court of Alabama held (8 to 0) that State Deputy Fire Marshal Greg Pinkard’s is not entitled to governmental immunity, holding that the trial court judge properly held he can be personally sued for malicious prosecution and defamation for allegedly falsely reporting to District Attorney’s Office that the owner of a cabin [a volunteer FF] had admitted to placing </w:t>
      </w:r>
      <w:r w:rsidRPr="002A073B">
        <w:rPr>
          <w:rFonts w:ascii="Times New Roman" w:eastAsia="Times New Roman" w:hAnsi="Times New Roman"/>
          <w:sz w:val="24"/>
          <w:szCs w:val="24"/>
        </w:rPr>
        <w:t xml:space="preserve">a </w:t>
      </w:r>
      <w:r>
        <w:rPr>
          <w:rFonts w:ascii="Times New Roman" w:eastAsia="Times New Roman" w:hAnsi="Times New Roman"/>
          <w:sz w:val="24"/>
          <w:szCs w:val="24"/>
        </w:rPr>
        <w:t>55-gallon steel barrel “</w:t>
      </w:r>
      <w:r w:rsidRPr="002A073B">
        <w:rPr>
          <w:rFonts w:ascii="Times New Roman" w:hAnsi="Times New Roman"/>
          <w:sz w:val="24"/>
          <w:szCs w:val="24"/>
        </w:rPr>
        <w:t>onto the structure with extra fuel items to burn maintaining the fire and destroying evidence."</w:t>
      </w:r>
      <w:r>
        <w:rPr>
          <w:rFonts w:ascii="Times New Roman" w:hAnsi="Times New Roman"/>
          <w:sz w:val="24"/>
          <w:szCs w:val="24"/>
        </w:rPr>
        <w:t xml:space="preserve">  He was charged with arson and tampering with evidence; all charges later dropped.  Ronnie Taylor </w:t>
      </w:r>
      <w:proofErr w:type="gramStart"/>
      <w:r>
        <w:rPr>
          <w:rFonts w:ascii="Times New Roman" w:hAnsi="Times New Roman"/>
          <w:sz w:val="24"/>
          <w:szCs w:val="24"/>
        </w:rPr>
        <w:t>actually told</w:t>
      </w:r>
      <w:proofErr w:type="gramEnd"/>
      <w:r>
        <w:rPr>
          <w:rFonts w:ascii="Times New Roman" w:hAnsi="Times New Roman"/>
          <w:sz w:val="24"/>
          <w:szCs w:val="24"/>
        </w:rPr>
        <w:t xml:space="preserve"> the Deputy Fire Marshal that he only used the burn barrel after the fire to clean up remaining </w:t>
      </w:r>
      <w:proofErr w:type="gramStart"/>
      <w:r>
        <w:rPr>
          <w:rFonts w:ascii="Times New Roman" w:hAnsi="Times New Roman"/>
          <w:sz w:val="24"/>
          <w:szCs w:val="24"/>
        </w:rPr>
        <w:t>debris, and</w:t>
      </w:r>
      <w:proofErr w:type="gramEnd"/>
      <w:r>
        <w:rPr>
          <w:rFonts w:ascii="Times New Roman" w:hAnsi="Times New Roman"/>
          <w:sz w:val="24"/>
          <w:szCs w:val="24"/>
        </w:rPr>
        <w:t xml:space="preserve"> lawfully submitted an insurance claim of $40,000 for loss of his cabin, his tools and a 1996 Lincoln Town Car.  </w:t>
      </w:r>
      <w:r>
        <w:rPr>
          <w:rFonts w:ascii="Times New Roman" w:eastAsia="Times New Roman" w:hAnsi="Times New Roman"/>
          <w:sz w:val="24"/>
          <w:szCs w:val="24"/>
        </w:rPr>
        <w:t xml:space="preserve">The lawsuit for damages may now be decided by a civil jury. </w:t>
      </w:r>
      <w:hyperlink r:id="rId213" w:history="1">
        <w:r w:rsidRPr="00A10B90">
          <w:rPr>
            <w:rStyle w:val="Hyperlink"/>
            <w:rFonts w:ascii="Times New Roman" w:eastAsia="Times New Roman" w:hAnsi="Times New Roman"/>
            <w:sz w:val="24"/>
            <w:szCs w:val="24"/>
          </w:rPr>
          <w:t>https://acis.alabama.gov/displaydocs.cfm?no=1126944&amp;event=6CD0OUEMB</w:t>
        </w:r>
      </w:hyperlink>
      <w:r>
        <w:rPr>
          <w:rFonts w:ascii="Times New Roman" w:eastAsia="Times New Roman" w:hAnsi="Times New Roman"/>
          <w:sz w:val="24"/>
          <w:szCs w:val="24"/>
        </w:rPr>
        <w:t xml:space="preserve"> </w:t>
      </w:r>
    </w:p>
    <w:p w14:paraId="6E3560D8" w14:textId="77777777" w:rsidR="009579EB" w:rsidRDefault="009579EB" w:rsidP="009579EB">
      <w:pPr>
        <w:spacing w:before="100" w:beforeAutospacing="1" w:after="100" w:afterAutospacing="1" w:line="240" w:lineRule="auto"/>
        <w:rPr>
          <w:rFonts w:ascii="Times New Roman" w:eastAsia="Times New Roman" w:hAnsi="Times New Roman"/>
          <w:b/>
          <w:bCs/>
          <w:sz w:val="24"/>
          <w:szCs w:val="24"/>
        </w:rPr>
      </w:pPr>
      <w:r w:rsidRPr="007C62E3">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Arson investigators, in their reports to prosecutors, must use extreme care in describing the defendant’s admissions.  </w:t>
      </w:r>
    </w:p>
    <w:p w14:paraId="738B3CFD" w14:textId="77777777" w:rsidR="00CA1367" w:rsidRPr="00CA1367" w:rsidRDefault="00CA1367" w:rsidP="00CA1367">
      <w:pPr>
        <w:spacing w:before="100" w:beforeAutospacing="1" w:after="100" w:afterAutospacing="1" w:line="240" w:lineRule="auto"/>
        <w:ind w:left="720"/>
        <w:rPr>
          <w:rFonts w:eastAsia="Times New Roman"/>
          <w:sz w:val="24"/>
          <w:szCs w:val="24"/>
        </w:rPr>
      </w:pPr>
      <w:r w:rsidRPr="00CA1367">
        <w:rPr>
          <w:rFonts w:eastAsia="Times New Roman"/>
          <w:sz w:val="24"/>
          <w:szCs w:val="24"/>
        </w:rPr>
        <w:t xml:space="preserve">Note: See article on this case.  </w:t>
      </w:r>
    </w:p>
    <w:p w14:paraId="3FAFA9D3" w14:textId="77777777" w:rsidR="00CA1367" w:rsidRPr="00834159" w:rsidRDefault="00CA1367" w:rsidP="00CA1367">
      <w:pPr>
        <w:spacing w:before="100" w:beforeAutospacing="1" w:after="100" w:afterAutospacing="1" w:line="240" w:lineRule="auto"/>
        <w:ind w:left="720"/>
        <w:rPr>
          <w:rFonts w:ascii="Times New Roman" w:eastAsia="Times New Roman" w:hAnsi="Times New Roman"/>
          <w:sz w:val="24"/>
          <w:szCs w:val="24"/>
        </w:rPr>
      </w:pPr>
      <w:r w:rsidRPr="00CA1367">
        <w:rPr>
          <w:rFonts w:eastAsia="Times New Roman"/>
          <w:sz w:val="24"/>
          <w:szCs w:val="24"/>
        </w:rPr>
        <w:t xml:space="preserve">June 6, 2022. </w:t>
      </w:r>
      <w:r w:rsidRPr="00CA1367">
        <w:rPr>
          <w:rFonts w:ascii="Times New Roman" w:eastAsia="Times New Roman" w:hAnsi="Times New Roman"/>
          <w:sz w:val="24"/>
          <w:szCs w:val="24"/>
        </w:rPr>
        <w:t>State Immunity – State-Agent Immunity – Deputy Fire Marshal</w:t>
      </w:r>
      <w:r w:rsidRPr="00CA1367">
        <w:rPr>
          <w:rFonts w:eastAsia="Times New Roman"/>
          <w:sz w:val="24"/>
          <w:szCs w:val="24"/>
        </w:rPr>
        <w:t xml:space="preserve"> </w:t>
      </w:r>
      <w:hyperlink r:id="rId214" w:history="1">
        <w:r w:rsidRPr="00CA1367">
          <w:rPr>
            <w:rStyle w:val="Hyperlink"/>
            <w:rFonts w:eastAsia="Times New Roman"/>
            <w:sz w:val="24"/>
            <w:szCs w:val="24"/>
          </w:rPr>
          <w:t>https://www.cunninghambounds.com/blogs/2022/june/state-immunity-state-agent-immunity-deputy-fire-/</w:t>
        </w:r>
      </w:hyperlink>
      <w:r w:rsidRPr="00834159">
        <w:rPr>
          <w:rFonts w:eastAsia="Times New Roman"/>
          <w:szCs w:val="24"/>
        </w:rPr>
        <w:t xml:space="preserve"> </w:t>
      </w:r>
    </w:p>
    <w:p w14:paraId="2A21D000" w14:textId="77777777" w:rsidR="009579EB" w:rsidRDefault="009579EB" w:rsidP="009579EB">
      <w:pPr>
        <w:spacing w:before="100" w:beforeAutospacing="1" w:after="100" w:afterAutospacing="1" w:line="240" w:lineRule="auto"/>
        <w:rPr>
          <w:rFonts w:ascii="Times New Roman" w:eastAsia="Times New Roman" w:hAnsi="Times New Roman"/>
          <w:sz w:val="24"/>
          <w:szCs w:val="24"/>
        </w:rPr>
      </w:pPr>
    </w:p>
    <w:p w14:paraId="13AB87BF" w14:textId="368376BD" w:rsidR="009579EB" w:rsidRDefault="009579EB" w:rsidP="00F326E5">
      <w:pPr>
        <w:pStyle w:val="NoSpacing"/>
        <w:rPr>
          <w:rFonts w:ascii="Arial Black" w:hAnsi="Arial Black"/>
          <w:sz w:val="40"/>
          <w:szCs w:val="40"/>
        </w:rPr>
      </w:pPr>
    </w:p>
    <w:p w14:paraId="6C6F0E05" w14:textId="77777777" w:rsidR="009579EB" w:rsidRPr="007732FA" w:rsidRDefault="009579EB" w:rsidP="00F326E5">
      <w:pPr>
        <w:pStyle w:val="NoSpacing"/>
        <w:rPr>
          <w:rFonts w:ascii="Arial Black" w:hAnsi="Arial Black"/>
          <w:sz w:val="40"/>
          <w:szCs w:val="40"/>
        </w:rPr>
      </w:pPr>
    </w:p>
    <w:p w14:paraId="77877CDB" w14:textId="29643C46" w:rsidR="009579EB" w:rsidRDefault="009579EB" w:rsidP="002B1283">
      <w:pPr>
        <w:rPr>
          <w:rFonts w:ascii="Arial Black" w:hAnsi="Arial Black"/>
          <w:b/>
          <w:sz w:val="24"/>
          <w:szCs w:val="24"/>
        </w:rPr>
      </w:pPr>
      <w:r>
        <w:rPr>
          <w:rFonts w:ascii="Arial Black" w:hAnsi="Arial Black"/>
          <w:b/>
          <w:sz w:val="24"/>
          <w:szCs w:val="24"/>
        </w:rPr>
        <w:t>1-101</w:t>
      </w:r>
    </w:p>
    <w:p w14:paraId="7E5D28A0" w14:textId="77777777" w:rsidR="009579EB" w:rsidRPr="00222D33" w:rsidRDefault="009579EB" w:rsidP="009579EB">
      <w:pPr>
        <w:spacing w:before="100" w:beforeAutospacing="1" w:after="100" w:afterAutospacing="1" w:line="240" w:lineRule="auto"/>
        <w:rPr>
          <w:rFonts w:ascii="Arial Black" w:hAnsi="Arial Black"/>
          <w:sz w:val="28"/>
          <w:szCs w:val="28"/>
        </w:rPr>
      </w:pPr>
      <w:r>
        <w:rPr>
          <w:rFonts w:ascii="Arial Black" w:hAnsi="Arial Black"/>
          <w:sz w:val="28"/>
          <w:szCs w:val="28"/>
        </w:rPr>
        <w:t>AK: DEF. ENDANGERED FF – 60 MONTHS PRISON - TIMBER THEFT – FAILED REPORT FIRE HE STARTED NAT. FOREST</w:t>
      </w:r>
    </w:p>
    <w:p w14:paraId="56EC7FB4" w14:textId="77777777" w:rsidR="009579EB" w:rsidRDefault="009579EB" w:rsidP="009579E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May 27, 2022, in </w:t>
      </w:r>
      <w:r w:rsidRPr="00F138B9">
        <w:rPr>
          <w:rFonts w:ascii="Times New Roman" w:hAnsi="Times New Roman"/>
          <w:sz w:val="24"/>
          <w:szCs w:val="24"/>
          <w:u w:val="single"/>
        </w:rPr>
        <w:t>United States of America v. Jacob Edward Walls</w:t>
      </w:r>
      <w:r>
        <w:rPr>
          <w:rFonts w:ascii="Times New Roman" w:hAnsi="Times New Roman"/>
          <w:sz w:val="24"/>
          <w:szCs w:val="24"/>
        </w:rPr>
        <w:t xml:space="preserve">, the U.S. Court of Appeals for the Eight Circuit (St. Louis, Missouri) held (3 to 0) that trial court properly sentenced the defendant pursuant to the federal Sentencing Guidelines to the maximum of 60 months since he didn’t report the fire to cover up his illegal timber harvesting. </w:t>
      </w:r>
      <w:r w:rsidRPr="00D20A19">
        <w:rPr>
          <w:rFonts w:ascii="Times New Roman" w:hAnsi="Times New Roman"/>
          <w:sz w:val="24"/>
          <w:szCs w:val="24"/>
        </w:rPr>
        <w:t xml:space="preserve">Jacob Walls pleaded guilty to willfully setting fire to public lands, in violation of 18 U.S.C. § 1855. </w:t>
      </w:r>
      <w:r>
        <w:rPr>
          <w:rFonts w:ascii="Times New Roman" w:hAnsi="Times New Roman"/>
          <w:sz w:val="24"/>
          <w:szCs w:val="24"/>
        </w:rPr>
        <w:t>The fire started    when he “</w:t>
      </w:r>
      <w:r w:rsidRPr="00824081">
        <w:rPr>
          <w:rFonts w:ascii="Times New Roman" w:hAnsi="Times New Roman"/>
          <w:sz w:val="24"/>
          <w:szCs w:val="24"/>
        </w:rPr>
        <w:t xml:space="preserve">burn the debris using two different fires with accelerant from a </w:t>
      </w:r>
      <w:r>
        <w:rPr>
          <w:rFonts w:ascii="Times New Roman" w:hAnsi="Times New Roman"/>
          <w:sz w:val="24"/>
          <w:szCs w:val="24"/>
        </w:rPr>
        <w:t>‘</w:t>
      </w:r>
      <w:r w:rsidRPr="00824081">
        <w:rPr>
          <w:rFonts w:ascii="Times New Roman" w:hAnsi="Times New Roman"/>
          <w:sz w:val="24"/>
          <w:szCs w:val="24"/>
        </w:rPr>
        <w:t>Jerry Can.</w:t>
      </w:r>
      <w:r>
        <w:rPr>
          <w:rFonts w:ascii="Times New Roman" w:hAnsi="Times New Roman"/>
          <w:sz w:val="24"/>
          <w:szCs w:val="24"/>
        </w:rPr>
        <w:t xml:space="preserve">’” When the fire spread, he left the scene and did not report the spreading fire.  A resident notified Park Service, and firefighters working in difficult terrain after dark saved the neighbor’s home. </w:t>
      </w:r>
      <w:hyperlink r:id="rId215" w:history="1">
        <w:r w:rsidRPr="00A10B90">
          <w:rPr>
            <w:rStyle w:val="Hyperlink"/>
            <w:rFonts w:ascii="Times New Roman" w:hAnsi="Times New Roman"/>
            <w:sz w:val="24"/>
            <w:szCs w:val="24"/>
          </w:rPr>
          <w:t>https://ecf.ca8.uscourts.gov/opndir/22/05/212146P.pdf</w:t>
        </w:r>
      </w:hyperlink>
      <w:r>
        <w:rPr>
          <w:rFonts w:ascii="Times New Roman" w:hAnsi="Times New Roman"/>
          <w:sz w:val="24"/>
          <w:szCs w:val="24"/>
        </w:rPr>
        <w:t xml:space="preserve"> </w:t>
      </w:r>
    </w:p>
    <w:p w14:paraId="205F7B42" w14:textId="77777777" w:rsidR="009579EB" w:rsidRPr="00E93614" w:rsidRDefault="009579EB" w:rsidP="009579EB">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sentencing judge properly included the risk of firefighters when imposing the sentence. </w:t>
      </w:r>
    </w:p>
    <w:p w14:paraId="0A08482E" w14:textId="77777777" w:rsidR="009579EB" w:rsidRPr="00B82003" w:rsidRDefault="009579EB" w:rsidP="009579EB">
      <w:pPr>
        <w:spacing w:before="100" w:beforeAutospacing="1" w:after="100" w:afterAutospacing="1" w:line="240" w:lineRule="auto"/>
        <w:ind w:left="720"/>
        <w:rPr>
          <w:rFonts w:ascii="Times New Roman" w:hAnsi="Times New Roman"/>
          <w:bCs/>
          <w:sz w:val="24"/>
          <w:szCs w:val="24"/>
        </w:rPr>
      </w:pPr>
      <w:r w:rsidRPr="00B82003">
        <w:rPr>
          <w:rFonts w:ascii="Times New Roman" w:hAnsi="Times New Roman"/>
          <w:bCs/>
          <w:sz w:val="24"/>
          <w:szCs w:val="24"/>
        </w:rPr>
        <w:t>Note:</w:t>
      </w:r>
      <w:r w:rsidRPr="00B82003">
        <w:rPr>
          <w:rFonts w:ascii="Times New Roman" w:hAnsi="Times New Roman"/>
          <w:bCs/>
          <w:sz w:val="24"/>
          <w:szCs w:val="24"/>
        </w:rPr>
        <w:tab/>
        <w:t xml:space="preserve">Federal Sentencing Guidelines: </w:t>
      </w:r>
      <w:hyperlink r:id="rId216" w:history="1">
        <w:r w:rsidRPr="00B82003">
          <w:rPr>
            <w:rStyle w:val="Hyperlink"/>
            <w:rFonts w:ascii="Times New Roman" w:hAnsi="Times New Roman"/>
            <w:bCs/>
            <w:sz w:val="24"/>
            <w:szCs w:val="24"/>
          </w:rPr>
          <w:t>https://www.law.cornell.edu/wex/federal_sentencing_guidelines</w:t>
        </w:r>
      </w:hyperlink>
      <w:r w:rsidRPr="00B82003">
        <w:rPr>
          <w:rFonts w:ascii="Times New Roman" w:hAnsi="Times New Roman"/>
          <w:bCs/>
          <w:sz w:val="24"/>
          <w:szCs w:val="24"/>
        </w:rPr>
        <w:t xml:space="preserve"> </w:t>
      </w:r>
    </w:p>
    <w:p w14:paraId="7AC5BED6" w14:textId="77777777" w:rsidR="009579EB" w:rsidRPr="003A568B" w:rsidRDefault="009579EB" w:rsidP="009579EB">
      <w:pPr>
        <w:ind w:left="720"/>
        <w:rPr>
          <w:rFonts w:ascii="Times New Roman" w:hAnsi="Times New Roman"/>
          <w:sz w:val="24"/>
          <w:szCs w:val="24"/>
        </w:rPr>
      </w:pPr>
      <w:r>
        <w:rPr>
          <w:rFonts w:ascii="Times New Roman" w:hAnsi="Times New Roman"/>
          <w:sz w:val="24"/>
          <w:szCs w:val="24"/>
        </w:rPr>
        <w:t>“</w:t>
      </w:r>
      <w:r w:rsidRPr="003A568B">
        <w:rPr>
          <w:rFonts w:ascii="Times New Roman" w:hAnsi="Times New Roman"/>
          <w:sz w:val="24"/>
          <w:szCs w:val="24"/>
        </w:rPr>
        <w:t xml:space="preserve">The Federal Sentencing Guidelines are non-binding rules that set out a uniform sentencing policy for defendants convicted in the United States federal court system that became effective in 1987. The Guidelines provide for </w:t>
      </w:r>
      <w:r>
        <w:rPr>
          <w:rFonts w:ascii="Times New Roman" w:hAnsi="Times New Roman"/>
          <w:sz w:val="24"/>
          <w:szCs w:val="24"/>
        </w:rPr>
        <w:t>‘</w:t>
      </w:r>
      <w:r w:rsidRPr="003A568B">
        <w:rPr>
          <w:rFonts w:ascii="Times New Roman" w:hAnsi="Times New Roman"/>
          <w:sz w:val="24"/>
          <w:szCs w:val="24"/>
        </w:rPr>
        <w:t xml:space="preserve">very precise calibration of sentences, depending upon </w:t>
      </w:r>
      <w:proofErr w:type="gramStart"/>
      <w:r w:rsidRPr="003A568B">
        <w:rPr>
          <w:rFonts w:ascii="Times New Roman" w:hAnsi="Times New Roman"/>
          <w:sz w:val="24"/>
          <w:szCs w:val="24"/>
        </w:rPr>
        <w:t>a number of</w:t>
      </w:r>
      <w:proofErr w:type="gramEnd"/>
      <w:r w:rsidRPr="003A568B">
        <w:rPr>
          <w:rFonts w:ascii="Times New Roman" w:hAnsi="Times New Roman"/>
          <w:sz w:val="24"/>
          <w:szCs w:val="24"/>
        </w:rPr>
        <w:t xml:space="preserve"> factors. These factors relate both to the subjective guilt of the defendant and to the harm caused by his facts.</w:t>
      </w:r>
      <w:r>
        <w:rPr>
          <w:rFonts w:ascii="Times New Roman" w:hAnsi="Times New Roman"/>
          <w:sz w:val="24"/>
          <w:szCs w:val="24"/>
        </w:rPr>
        <w:t>’</w:t>
      </w:r>
      <w:r w:rsidRPr="003A568B">
        <w:rPr>
          <w:rFonts w:ascii="Times New Roman" w:hAnsi="Times New Roman"/>
          <w:sz w:val="24"/>
          <w:szCs w:val="24"/>
        </w:rPr>
        <w:t xml:space="preserve"> </w:t>
      </w:r>
      <w:hyperlink r:id="rId217" w:history="1">
        <w:r w:rsidRPr="003A568B">
          <w:rPr>
            <w:rStyle w:val="Hyperlink"/>
            <w:rFonts w:ascii="Times New Roman" w:hAnsi="Times New Roman"/>
            <w:i/>
            <w:iCs/>
            <w:sz w:val="24"/>
            <w:szCs w:val="24"/>
          </w:rPr>
          <w:t>Payne v. Tennessee</w:t>
        </w:r>
      </w:hyperlink>
      <w:r w:rsidRPr="003A568B">
        <w:rPr>
          <w:rFonts w:ascii="Times New Roman" w:hAnsi="Times New Roman"/>
          <w:sz w:val="24"/>
          <w:szCs w:val="24"/>
        </w:rPr>
        <w:t>, 501 U.S. 808, 820 (1991).</w:t>
      </w:r>
    </w:p>
    <w:p w14:paraId="0F370571" w14:textId="77777777" w:rsidR="009579EB" w:rsidRPr="003A568B" w:rsidRDefault="009579EB" w:rsidP="009579EB">
      <w:pPr>
        <w:ind w:left="720"/>
        <w:rPr>
          <w:rFonts w:ascii="Times New Roman" w:hAnsi="Times New Roman"/>
          <w:sz w:val="24"/>
          <w:szCs w:val="24"/>
        </w:rPr>
      </w:pPr>
      <w:r w:rsidRPr="003A568B">
        <w:rPr>
          <w:rFonts w:ascii="Times New Roman" w:hAnsi="Times New Roman"/>
          <w:sz w:val="24"/>
          <w:szCs w:val="24"/>
        </w:rPr>
        <w:t xml:space="preserve">The Guidelines are not mandatory, because they may result in a sentence based on facts not proven beyond a reasonable doubt to a jury, in violation of the Sixth Amendment. </w:t>
      </w:r>
      <w:hyperlink r:id="rId218" w:history="1">
        <w:r w:rsidRPr="003A568B">
          <w:rPr>
            <w:rStyle w:val="Emphasis"/>
            <w:rFonts w:ascii="Times New Roman" w:hAnsi="Times New Roman"/>
            <w:color w:val="0000FF"/>
            <w:sz w:val="24"/>
            <w:szCs w:val="24"/>
            <w:u w:val="single"/>
          </w:rPr>
          <w:t>United States v. Booker</w:t>
        </w:r>
        <w:r w:rsidRPr="003A568B">
          <w:rPr>
            <w:rStyle w:val="Hyperlink"/>
            <w:rFonts w:ascii="Times New Roman" w:hAnsi="Times New Roman"/>
            <w:sz w:val="24"/>
            <w:szCs w:val="24"/>
          </w:rPr>
          <w:t>, 543 U.S. 20 (2005)</w:t>
        </w:r>
      </w:hyperlink>
      <w:r w:rsidRPr="003A568B">
        <w:rPr>
          <w:rFonts w:ascii="Times New Roman" w:hAnsi="Times New Roman"/>
          <w:sz w:val="24"/>
          <w:szCs w:val="24"/>
        </w:rPr>
        <w:t>. However, judges must consider them when determining a criminal defendant's sentence. When a judge determines within his or her discretion to depart from the Guidelines, the judge must explain what factors warranted the increased or decreased sentence.</w:t>
      </w:r>
      <w:r>
        <w:rPr>
          <w:rFonts w:ascii="Times New Roman" w:hAnsi="Times New Roman"/>
          <w:sz w:val="24"/>
          <w:szCs w:val="24"/>
        </w:rPr>
        <w:t xml:space="preserve"> </w:t>
      </w:r>
      <w:r w:rsidRPr="003A568B">
        <w:rPr>
          <w:rFonts w:ascii="Times New Roman" w:hAnsi="Times New Roman"/>
          <w:sz w:val="24"/>
          <w:szCs w:val="24"/>
        </w:rPr>
        <w:t xml:space="preserve">When a Court of Appeals reviews a sentence imposed through a proper application the Guidelines, it may presume the sentence is reasonable. </w:t>
      </w:r>
      <w:hyperlink r:id="rId219" w:history="1">
        <w:r w:rsidRPr="003A568B">
          <w:rPr>
            <w:rStyle w:val="Hyperlink"/>
            <w:rFonts w:ascii="Times New Roman" w:hAnsi="Times New Roman"/>
            <w:i/>
            <w:iCs/>
            <w:sz w:val="24"/>
            <w:szCs w:val="24"/>
          </w:rPr>
          <w:t>Rita v. United States</w:t>
        </w:r>
      </w:hyperlink>
      <w:r w:rsidRPr="003A568B">
        <w:rPr>
          <w:rFonts w:ascii="Times New Roman" w:hAnsi="Times New Roman"/>
          <w:sz w:val="24"/>
          <w:szCs w:val="24"/>
        </w:rPr>
        <w:t xml:space="preserve">, 127 </w:t>
      </w:r>
      <w:proofErr w:type="spellStart"/>
      <w:r w:rsidRPr="003A568B">
        <w:rPr>
          <w:rFonts w:ascii="Times New Roman" w:hAnsi="Times New Roman"/>
          <w:sz w:val="24"/>
          <w:szCs w:val="24"/>
        </w:rPr>
        <w:t>S.Ct</w:t>
      </w:r>
      <w:proofErr w:type="spellEnd"/>
      <w:r w:rsidRPr="003A568B">
        <w:rPr>
          <w:rFonts w:ascii="Times New Roman" w:hAnsi="Times New Roman"/>
          <w:sz w:val="24"/>
          <w:szCs w:val="24"/>
        </w:rPr>
        <w:t>. 2456 (2007).</w:t>
      </w:r>
      <w:r>
        <w:rPr>
          <w:rFonts w:ascii="Times New Roman" w:hAnsi="Times New Roman"/>
          <w:sz w:val="24"/>
          <w:szCs w:val="24"/>
        </w:rPr>
        <w:t>”</w:t>
      </w:r>
    </w:p>
    <w:p w14:paraId="28ECF42E" w14:textId="77777777" w:rsidR="009579EB" w:rsidRDefault="009579EB" w:rsidP="002B1283">
      <w:pPr>
        <w:rPr>
          <w:rFonts w:ascii="Arial Black" w:hAnsi="Arial Black"/>
          <w:b/>
          <w:sz w:val="24"/>
          <w:szCs w:val="24"/>
        </w:rPr>
      </w:pPr>
    </w:p>
    <w:p w14:paraId="059A9A97" w14:textId="23CDCAE2" w:rsidR="00E97D63" w:rsidRDefault="00E97D63" w:rsidP="002B1283">
      <w:pPr>
        <w:rPr>
          <w:rFonts w:ascii="Arial Black" w:hAnsi="Arial Black"/>
          <w:b/>
          <w:sz w:val="24"/>
          <w:szCs w:val="24"/>
        </w:rPr>
      </w:pPr>
      <w:r>
        <w:rPr>
          <w:rFonts w:ascii="Arial Black" w:hAnsi="Arial Black"/>
          <w:b/>
          <w:sz w:val="24"/>
          <w:szCs w:val="24"/>
        </w:rPr>
        <w:t>1-100</w:t>
      </w:r>
    </w:p>
    <w:p w14:paraId="042BD835" w14:textId="77777777" w:rsidR="00E97D63" w:rsidRDefault="00E97D63" w:rsidP="00E97D63">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AGGRAVATED ARSON - OCCUPIED APARTMENTS - PLED GUILTY - 24 YEARS IN PRISON – SENTENCE UPHELD</w:t>
      </w:r>
    </w:p>
    <w:p w14:paraId="5AC37595" w14:textId="2CE8F02C" w:rsidR="00E97D63" w:rsidRDefault="00E97D63" w:rsidP="00E97D63">
      <w:pPr>
        <w:rPr>
          <w:rStyle w:val="Hyperlink"/>
          <w:rFonts w:ascii="Times New Roman" w:eastAsia="Times New Roman" w:hAnsi="Times New Roman"/>
          <w:sz w:val="24"/>
          <w:szCs w:val="24"/>
        </w:rPr>
      </w:pPr>
      <w:r w:rsidRPr="00C21EEF">
        <w:rPr>
          <w:rFonts w:ascii="Times New Roman" w:eastAsia="Times New Roman" w:hAnsi="Times New Roman"/>
          <w:sz w:val="24"/>
          <w:szCs w:val="24"/>
        </w:rPr>
        <w:t>On May 5, 2022</w:t>
      </w:r>
      <w:r>
        <w:rPr>
          <w:rFonts w:ascii="Times New Roman" w:eastAsia="Times New Roman" w:hAnsi="Times New Roman"/>
          <w:sz w:val="24"/>
          <w:szCs w:val="24"/>
        </w:rPr>
        <w:t>,</w:t>
      </w:r>
      <w:r w:rsidRPr="00C21EEF">
        <w:rPr>
          <w:rFonts w:ascii="Times New Roman" w:eastAsia="Times New Roman" w:hAnsi="Times New Roman"/>
          <w:sz w:val="24"/>
          <w:szCs w:val="24"/>
        </w:rPr>
        <w:t xml:space="preserve"> in </w:t>
      </w:r>
      <w:r w:rsidRPr="00C21EEF">
        <w:rPr>
          <w:rFonts w:ascii="Times New Roman" w:eastAsia="Times New Roman" w:hAnsi="Times New Roman"/>
          <w:sz w:val="24"/>
          <w:szCs w:val="24"/>
          <w:u w:val="single"/>
        </w:rPr>
        <w:t>The People of the State of Illinois v. Bryan T. Griffin</w:t>
      </w:r>
      <w:r>
        <w:rPr>
          <w:rFonts w:ascii="Times New Roman" w:eastAsia="Times New Roman" w:hAnsi="Times New Roman"/>
          <w:sz w:val="24"/>
          <w:szCs w:val="24"/>
        </w:rPr>
        <w:t xml:space="preserve">, the Court of Appeals of Illinois, Fourth Division, held (3 to 0) that the trial court judge properly rejected the defense suggested 12-year sentence and imposed 24 years which was within the sentencing range of 6 to 30 years (prosecutors recommended 30 years). The defendant set fire to a building where once was a tenant in apartments above Mother’s Bar. There were nine people in the building when the fire </w:t>
      </w:r>
      <w:proofErr w:type="gramStart"/>
      <w:r>
        <w:rPr>
          <w:rFonts w:ascii="Times New Roman" w:eastAsia="Times New Roman" w:hAnsi="Times New Roman"/>
          <w:sz w:val="24"/>
          <w:szCs w:val="24"/>
        </w:rPr>
        <w:t>was started</w:t>
      </w:r>
      <w:proofErr w:type="gramEnd"/>
      <w:r>
        <w:rPr>
          <w:rFonts w:ascii="Times New Roman" w:eastAsia="Times New Roman" w:hAnsi="Times New Roman"/>
          <w:sz w:val="24"/>
          <w:szCs w:val="24"/>
        </w:rPr>
        <w:t xml:space="preserve"> with gasoline, and the fire department had to rescue two from the roof. The trial court judge held a hearing prior to imposing the sentence, where numerous witnesses testified about the potential loss of life from the fire that destroyed the bar and the apartments above it.  </w:t>
      </w:r>
      <w:hyperlink r:id="rId220" w:history="1">
        <w:r w:rsidRPr="00B7678D">
          <w:rPr>
            <w:rStyle w:val="Hyperlink"/>
            <w:rFonts w:ascii="Times New Roman" w:eastAsia="Times New Roman" w:hAnsi="Times New Roman"/>
            <w:sz w:val="24"/>
            <w:szCs w:val="24"/>
          </w:rPr>
          <w:t>https://ilcourtsaudio.blob.core.windows.net/antilles-resources/resources/d420bdc6-9c63-45de-9274-2f897cb58b7d/People%20v.%20Griffin,%202022%20IL%20App%20(4th)%20210360-U.pdf</w:t>
        </w:r>
      </w:hyperlink>
    </w:p>
    <w:p w14:paraId="208CC806" w14:textId="77777777" w:rsidR="00E97D63" w:rsidRPr="00505C92" w:rsidRDefault="00E97D63" w:rsidP="00E97D63">
      <w:pPr>
        <w:spacing w:before="100" w:beforeAutospacing="1" w:after="100" w:afterAutospacing="1" w:line="240" w:lineRule="auto"/>
        <w:rPr>
          <w:rFonts w:ascii="Times New Roman" w:hAnsi="Times New Roman"/>
          <w:b/>
          <w:bCs/>
          <w:sz w:val="24"/>
          <w:szCs w:val="24"/>
        </w:rPr>
      </w:pPr>
      <w:r w:rsidRPr="00505C92">
        <w:rPr>
          <w:rFonts w:ascii="Times New Roman" w:hAnsi="Times New Roman"/>
          <w:b/>
          <w:bCs/>
          <w:sz w:val="24"/>
          <w:szCs w:val="24"/>
        </w:rPr>
        <w:t>Legal Lesson Learned:</w:t>
      </w:r>
      <w:r>
        <w:rPr>
          <w:rFonts w:ascii="Times New Roman" w:hAnsi="Times New Roman"/>
          <w:b/>
          <w:bCs/>
          <w:sz w:val="24"/>
          <w:szCs w:val="24"/>
        </w:rPr>
        <w:t xml:space="preserve">  The trial court properly considered the seriousness of the arsonist’s conduct in imposing the sentence. </w:t>
      </w:r>
    </w:p>
    <w:p w14:paraId="7F52A4E4" w14:textId="77777777" w:rsidR="00E97D63" w:rsidRDefault="00E97D63" w:rsidP="00E97D63">
      <w:pPr>
        <w:rPr>
          <w:rFonts w:ascii="Arial Black" w:hAnsi="Arial Black"/>
          <w:b/>
          <w:sz w:val="24"/>
          <w:szCs w:val="24"/>
        </w:rPr>
      </w:pPr>
    </w:p>
    <w:p w14:paraId="250BE199" w14:textId="77777777" w:rsidR="00E97D63" w:rsidRDefault="00E97D63" w:rsidP="002B1283">
      <w:pPr>
        <w:rPr>
          <w:rFonts w:ascii="Arial Black" w:hAnsi="Arial Black"/>
          <w:b/>
          <w:sz w:val="24"/>
          <w:szCs w:val="24"/>
        </w:rPr>
      </w:pPr>
    </w:p>
    <w:p w14:paraId="45EBE321" w14:textId="17294369" w:rsidR="00E97D63" w:rsidRDefault="00E97D63" w:rsidP="002B1283">
      <w:pPr>
        <w:rPr>
          <w:rFonts w:ascii="Arial Black" w:hAnsi="Arial Black"/>
          <w:b/>
          <w:sz w:val="24"/>
          <w:szCs w:val="24"/>
        </w:rPr>
      </w:pPr>
      <w:r>
        <w:rPr>
          <w:rFonts w:ascii="Arial Black" w:hAnsi="Arial Black"/>
          <w:b/>
          <w:sz w:val="24"/>
          <w:szCs w:val="24"/>
        </w:rPr>
        <w:t>1-99</w:t>
      </w:r>
    </w:p>
    <w:p w14:paraId="7FCA915D" w14:textId="77777777" w:rsidR="00E97D63" w:rsidRDefault="00E97D63" w:rsidP="00E97D63">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U.S. SUP. CT: BOSTON CITY HALL - FLAGPOLE - EMS WORKERS &amp; OTHERS – MUST ALLOW “CHRISTIAN” FLAG </w:t>
      </w:r>
    </w:p>
    <w:p w14:paraId="1937931A" w14:textId="77777777" w:rsidR="00E97D63" w:rsidRDefault="00E97D63" w:rsidP="00E97D63">
      <w:pPr>
        <w:spacing w:before="100" w:beforeAutospacing="1" w:after="100" w:afterAutospacing="1" w:line="240" w:lineRule="auto"/>
        <w:rPr>
          <w:rFonts w:ascii="Times New Roman" w:eastAsia="Times New Roman" w:hAnsi="Times New Roman"/>
          <w:sz w:val="24"/>
          <w:szCs w:val="24"/>
        </w:rPr>
      </w:pPr>
      <w:r w:rsidRPr="00175BB2">
        <w:rPr>
          <w:rFonts w:ascii="Times New Roman" w:eastAsia="Times New Roman" w:hAnsi="Times New Roman"/>
          <w:sz w:val="24"/>
          <w:szCs w:val="24"/>
        </w:rPr>
        <w:t xml:space="preserve">On </w:t>
      </w:r>
      <w:r>
        <w:rPr>
          <w:rFonts w:ascii="Times New Roman" w:eastAsia="Times New Roman" w:hAnsi="Times New Roman"/>
          <w:sz w:val="24"/>
          <w:szCs w:val="24"/>
        </w:rPr>
        <w:t xml:space="preserve">May 2, 2022, in </w:t>
      </w:r>
      <w:r w:rsidRPr="00175BB2">
        <w:rPr>
          <w:rFonts w:ascii="Times New Roman" w:eastAsia="Times New Roman" w:hAnsi="Times New Roman"/>
          <w:sz w:val="24"/>
          <w:szCs w:val="24"/>
          <w:u w:val="single"/>
        </w:rPr>
        <w:t>Shurtleff, et al. v. City of Boston</w:t>
      </w:r>
      <w:r>
        <w:rPr>
          <w:rFonts w:ascii="Times New Roman" w:eastAsia="Times New Roman" w:hAnsi="Times New Roman"/>
          <w:sz w:val="24"/>
          <w:szCs w:val="24"/>
        </w:rPr>
        <w:t xml:space="preserve">, the U.S. Supreme Court unanimously held (9 to 0) that the City of Boston has three flag poles at City Hall and has allowed the third pole to be used by wide variety of groups; refusal of a group to raise a “Christian flag” violated First Amendment’s Free Speech clause. </w:t>
      </w:r>
      <w:hyperlink r:id="rId221" w:history="1">
        <w:r w:rsidRPr="00C8589E">
          <w:rPr>
            <w:rStyle w:val="Hyperlink"/>
            <w:rFonts w:ascii="Times New Roman" w:eastAsia="Times New Roman" w:hAnsi="Times New Roman"/>
            <w:sz w:val="24"/>
            <w:szCs w:val="24"/>
          </w:rPr>
          <w:t>https://www.supremecourt.gov/opinions/21pdf/20-1800_7lho.pdf</w:t>
        </w:r>
      </w:hyperlink>
      <w:r>
        <w:rPr>
          <w:rFonts w:ascii="Times New Roman" w:eastAsia="Times New Roman" w:hAnsi="Times New Roman"/>
          <w:sz w:val="24"/>
          <w:szCs w:val="24"/>
        </w:rPr>
        <w:t xml:space="preserve"> </w:t>
      </w:r>
    </w:p>
    <w:p w14:paraId="26400BE2" w14:textId="77777777" w:rsidR="00E97D63" w:rsidRDefault="00E97D63" w:rsidP="00E97D63">
      <w:pPr>
        <w:spacing w:before="100" w:beforeAutospacing="1" w:after="100" w:afterAutospacing="1" w:line="240" w:lineRule="auto"/>
        <w:rPr>
          <w:rFonts w:ascii="Times New Roman" w:eastAsia="Times New Roman" w:hAnsi="Times New Roman"/>
          <w:b/>
          <w:bCs/>
          <w:sz w:val="24"/>
          <w:szCs w:val="24"/>
        </w:rPr>
      </w:pPr>
      <w:r w:rsidRPr="008B63AA">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Fire &amp; EMS Departments that have flag poles should adopt policy restricting use to official activities only.</w:t>
      </w:r>
    </w:p>
    <w:p w14:paraId="70025F4E" w14:textId="77777777" w:rsidR="00E97D63" w:rsidRDefault="00E97D63" w:rsidP="002B1283">
      <w:pPr>
        <w:rPr>
          <w:rFonts w:ascii="Arial Black" w:hAnsi="Arial Black"/>
          <w:b/>
          <w:sz w:val="24"/>
          <w:szCs w:val="24"/>
        </w:rPr>
      </w:pPr>
    </w:p>
    <w:p w14:paraId="0904F329" w14:textId="5A9061BC" w:rsidR="00E97D63" w:rsidRDefault="00E97D63" w:rsidP="002B1283">
      <w:pPr>
        <w:rPr>
          <w:rFonts w:ascii="Arial Black" w:hAnsi="Arial Black"/>
          <w:b/>
          <w:sz w:val="24"/>
          <w:szCs w:val="24"/>
        </w:rPr>
      </w:pPr>
      <w:r>
        <w:rPr>
          <w:rFonts w:ascii="Arial Black" w:hAnsi="Arial Black"/>
          <w:b/>
          <w:sz w:val="24"/>
          <w:szCs w:val="24"/>
        </w:rPr>
        <w:t>1-98</w:t>
      </w:r>
    </w:p>
    <w:p w14:paraId="19C5610F" w14:textId="77777777" w:rsidR="00E97D63" w:rsidRDefault="00E97D63" w:rsidP="00E97D63">
      <w:pPr>
        <w:spacing w:before="100" w:beforeAutospacing="1" w:after="100" w:afterAutospacing="1" w:line="240" w:lineRule="auto"/>
        <w:rPr>
          <w:rFonts w:ascii="Arial Black" w:hAnsi="Arial Black"/>
          <w:sz w:val="28"/>
          <w:szCs w:val="28"/>
        </w:rPr>
      </w:pPr>
      <w:r>
        <w:rPr>
          <w:rFonts w:ascii="Arial Black" w:hAnsi="Arial Black"/>
          <w:sz w:val="28"/>
          <w:szCs w:val="28"/>
        </w:rPr>
        <w:t>VA: HOMEOWNER CONV. ARSON UPHELD - FOUR SEPARATE FIRES – DEF. EXPERT NEVER TALKED FF WHO WERE THERE</w:t>
      </w:r>
    </w:p>
    <w:p w14:paraId="4BECB7C3" w14:textId="44293DC9" w:rsidR="00E97D63" w:rsidRDefault="00E97D63" w:rsidP="00E97D63">
      <w:pPr>
        <w:rPr>
          <w:rFonts w:ascii="Arial Black" w:hAnsi="Arial Black"/>
          <w:b/>
          <w:sz w:val="24"/>
          <w:szCs w:val="24"/>
        </w:rPr>
      </w:pPr>
      <w:r>
        <w:rPr>
          <w:rFonts w:ascii="Times New Roman" w:hAnsi="Times New Roman"/>
          <w:sz w:val="24"/>
          <w:szCs w:val="24"/>
        </w:rPr>
        <w:t xml:space="preserve">On April 26, 2022, in </w:t>
      </w:r>
      <w:r w:rsidRPr="00390AD2">
        <w:rPr>
          <w:rFonts w:ascii="Times New Roman" w:hAnsi="Times New Roman"/>
          <w:sz w:val="24"/>
          <w:szCs w:val="24"/>
          <w:u w:val="single"/>
        </w:rPr>
        <w:t>Maria Goodman v. Commonwealth of Virginia</w:t>
      </w:r>
      <w:r>
        <w:rPr>
          <w:rFonts w:ascii="Times New Roman" w:hAnsi="Times New Roman"/>
          <w:sz w:val="24"/>
          <w:szCs w:val="24"/>
        </w:rPr>
        <w:t xml:space="preserve">, the Court of Appeals of Virginia held (3 to 0) that the jury properly found the homeowner guilty of arson.  The defense expert </w:t>
      </w:r>
      <w:proofErr w:type="gramStart"/>
      <w:r>
        <w:rPr>
          <w:rFonts w:ascii="Times New Roman" w:hAnsi="Times New Roman"/>
          <w:sz w:val="24"/>
          <w:szCs w:val="24"/>
        </w:rPr>
        <w:t>speculated</w:t>
      </w:r>
      <w:proofErr w:type="gramEnd"/>
      <w:r>
        <w:rPr>
          <w:rFonts w:ascii="Times New Roman" w:hAnsi="Times New Roman"/>
          <w:sz w:val="24"/>
          <w:szCs w:val="24"/>
        </w:rPr>
        <w:t xml:space="preserve"> fire might have started in attic and then ignited for locations in </w:t>
      </w:r>
      <w:proofErr w:type="gramStart"/>
      <w:r>
        <w:rPr>
          <w:rFonts w:ascii="Times New Roman" w:hAnsi="Times New Roman"/>
          <w:sz w:val="24"/>
          <w:szCs w:val="24"/>
        </w:rPr>
        <w:t>house</w:t>
      </w:r>
      <w:proofErr w:type="gramEnd"/>
      <w:r>
        <w:rPr>
          <w:rFonts w:ascii="Times New Roman" w:hAnsi="Times New Roman"/>
          <w:sz w:val="24"/>
          <w:szCs w:val="24"/>
        </w:rPr>
        <w:t xml:space="preserve"> but the bedroom doors were shut and he never interviewed any of the firefighters. The jury recommended five </w:t>
      </w:r>
      <w:proofErr w:type="spellStart"/>
      <w:r>
        <w:rPr>
          <w:rFonts w:ascii="Times New Roman" w:hAnsi="Times New Roman"/>
          <w:sz w:val="24"/>
          <w:szCs w:val="24"/>
        </w:rPr>
        <w:t>years</w:t>
      </w:r>
      <w:proofErr w:type="spellEnd"/>
      <w:r>
        <w:rPr>
          <w:rFonts w:ascii="Times New Roman" w:hAnsi="Times New Roman"/>
          <w:sz w:val="24"/>
          <w:szCs w:val="24"/>
        </w:rPr>
        <w:t xml:space="preserve"> incarceration, but trial judge suspended four years. </w:t>
      </w:r>
      <w:hyperlink r:id="rId222" w:history="1">
        <w:r w:rsidRPr="00C8589E">
          <w:rPr>
            <w:rStyle w:val="Hyperlink"/>
            <w:rFonts w:ascii="Times New Roman" w:hAnsi="Times New Roman"/>
            <w:sz w:val="24"/>
            <w:szCs w:val="24"/>
          </w:rPr>
          <w:t>https://law.justia.com/cases/virginia/court-of-appeals-unpublished/2022/0509-21-2.html</w:t>
        </w:r>
      </w:hyperlink>
    </w:p>
    <w:p w14:paraId="09445627" w14:textId="77777777" w:rsidR="00E97D63" w:rsidRDefault="00E97D63" w:rsidP="00E97D63">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Defense expert testimony shown to be unreliable on cross examination. </w:t>
      </w:r>
    </w:p>
    <w:p w14:paraId="4807FD44" w14:textId="77777777" w:rsidR="00E97D63" w:rsidRDefault="00E97D63" w:rsidP="002B1283">
      <w:pPr>
        <w:rPr>
          <w:rFonts w:ascii="Arial Black" w:hAnsi="Arial Black"/>
          <w:b/>
          <w:sz w:val="24"/>
          <w:szCs w:val="24"/>
        </w:rPr>
      </w:pPr>
    </w:p>
    <w:p w14:paraId="08DFF939" w14:textId="1DF12AE9" w:rsidR="00E97D63" w:rsidRDefault="00E97D63" w:rsidP="002B1283">
      <w:pPr>
        <w:rPr>
          <w:rFonts w:ascii="Arial Black" w:hAnsi="Arial Black"/>
          <w:b/>
          <w:sz w:val="24"/>
          <w:szCs w:val="24"/>
        </w:rPr>
      </w:pPr>
      <w:r>
        <w:rPr>
          <w:rFonts w:ascii="Arial Black" w:hAnsi="Arial Black"/>
          <w:b/>
          <w:sz w:val="24"/>
          <w:szCs w:val="24"/>
        </w:rPr>
        <w:t>1-97</w:t>
      </w:r>
    </w:p>
    <w:p w14:paraId="0CA63E7F" w14:textId="77777777" w:rsidR="00E97D63" w:rsidRPr="00914550" w:rsidRDefault="00E97D63" w:rsidP="00E97D63">
      <w:pPr>
        <w:spacing w:before="100" w:beforeAutospacing="1" w:after="100" w:afterAutospacing="1" w:line="240" w:lineRule="auto"/>
        <w:rPr>
          <w:rFonts w:ascii="Arial Black" w:eastAsia="Times New Roman" w:hAnsi="Arial Black"/>
          <w:sz w:val="28"/>
          <w:szCs w:val="28"/>
        </w:rPr>
      </w:pPr>
      <w:r w:rsidRPr="00914550">
        <w:rPr>
          <w:rFonts w:ascii="Arial Black" w:eastAsia="Times New Roman" w:hAnsi="Arial Black"/>
          <w:sz w:val="28"/>
          <w:szCs w:val="28"/>
        </w:rPr>
        <w:t xml:space="preserve">TX: </w:t>
      </w:r>
      <w:r>
        <w:rPr>
          <w:rFonts w:ascii="Arial Black" w:eastAsia="Times New Roman" w:hAnsi="Arial Black"/>
          <w:sz w:val="28"/>
          <w:szCs w:val="28"/>
        </w:rPr>
        <w:t>NO INJURY MVA – INSURANCE CO. PHOTOS HELPFUL – HUSBAND KILLED TAKING PICTURES – CAN’T SUE CO.</w:t>
      </w:r>
    </w:p>
    <w:p w14:paraId="60B83386" w14:textId="77777777" w:rsidR="00E97D63" w:rsidRDefault="00E97D63" w:rsidP="00E97D6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April 22, 2022, in </w:t>
      </w:r>
      <w:r w:rsidRPr="00902188">
        <w:rPr>
          <w:rFonts w:ascii="Times New Roman" w:eastAsia="Times New Roman" w:hAnsi="Times New Roman"/>
          <w:sz w:val="24"/>
          <w:szCs w:val="24"/>
          <w:u w:val="single"/>
        </w:rPr>
        <w:t>Elephant Insurance Company, LLC v. Lorraine Kenyon, Individually and Executrix of Estate of Theodore Kenyon</w:t>
      </w:r>
      <w:r>
        <w:rPr>
          <w:rFonts w:ascii="Times New Roman" w:eastAsia="Times New Roman" w:hAnsi="Times New Roman"/>
          <w:sz w:val="24"/>
          <w:szCs w:val="24"/>
        </w:rPr>
        <w:t>, the Supreme Court of Texas held (3 to 0) that the Insurance Company did not breach a duty of care, and the trial court properly granted summary judgment to the company. Mrs. Kenyon lost control of her car on a rain-slick road, striking a guardrail. She called the Insurance Company’s call center in Virginia and was advised:</w:t>
      </w:r>
    </w:p>
    <w:p w14:paraId="159D8E06" w14:textId="77777777" w:rsidR="00E97D63" w:rsidRPr="00914550" w:rsidRDefault="00E97D63" w:rsidP="00E97D63">
      <w:pPr>
        <w:spacing w:before="100" w:beforeAutospacing="1" w:after="100" w:afterAutospacing="1" w:line="240" w:lineRule="auto"/>
        <w:rPr>
          <w:rFonts w:ascii="Times New Roman" w:eastAsia="Times New Roman" w:hAnsi="Times New Roman"/>
          <w:sz w:val="24"/>
          <w:szCs w:val="24"/>
        </w:rPr>
      </w:pPr>
      <w:r w:rsidRPr="00914550">
        <w:rPr>
          <w:rFonts w:ascii="Times New Roman" w:eastAsia="Times New Roman" w:hAnsi="Times New Roman"/>
          <w:sz w:val="24"/>
          <w:szCs w:val="24"/>
        </w:rPr>
        <w:t>         </w:t>
      </w:r>
      <w:r w:rsidRPr="00914550">
        <w:rPr>
          <w:rFonts w:ascii="Times New Roman" w:eastAsia="Times New Roman" w:hAnsi="Times New Roman"/>
          <w:i/>
          <w:iCs/>
          <w:sz w:val="24"/>
          <w:szCs w:val="24"/>
        </w:rPr>
        <w:t>Kenyon</w:t>
      </w:r>
      <w:r w:rsidRPr="00914550">
        <w:rPr>
          <w:rFonts w:ascii="Times New Roman" w:eastAsia="Times New Roman" w:hAnsi="Times New Roman"/>
          <w:sz w:val="24"/>
          <w:szCs w:val="24"/>
        </w:rPr>
        <w:t xml:space="preserve">: Do you want us to take pictures? </w:t>
      </w:r>
    </w:p>
    <w:p w14:paraId="585E36B3" w14:textId="77777777" w:rsidR="00E97D63" w:rsidRDefault="00E97D63" w:rsidP="00E97D63">
      <w:pPr>
        <w:spacing w:before="100" w:beforeAutospacing="1" w:after="100" w:afterAutospacing="1" w:line="240" w:lineRule="auto"/>
        <w:ind w:left="630"/>
        <w:rPr>
          <w:rFonts w:ascii="Times New Roman" w:eastAsia="Times New Roman" w:hAnsi="Times New Roman"/>
          <w:sz w:val="24"/>
          <w:szCs w:val="24"/>
        </w:rPr>
      </w:pPr>
      <w:r w:rsidRPr="00914550">
        <w:rPr>
          <w:rFonts w:ascii="Times New Roman" w:eastAsia="Times New Roman" w:hAnsi="Times New Roman"/>
          <w:i/>
          <w:iCs/>
          <w:sz w:val="24"/>
          <w:szCs w:val="24"/>
        </w:rPr>
        <w:t>Elephant</w:t>
      </w:r>
      <w:r w:rsidRPr="00914550">
        <w:rPr>
          <w:rFonts w:ascii="Times New Roman" w:eastAsia="Times New Roman" w:hAnsi="Times New Roman"/>
          <w:sz w:val="24"/>
          <w:szCs w:val="24"/>
        </w:rPr>
        <w:t xml:space="preserve">: Yes, ma'am. Go ahead and take pictures. And - And we always recommend that you get the police involved but it's up to you whether you call them or not. Is your vehicle </w:t>
      </w:r>
      <w:proofErr w:type="gramStart"/>
      <w:r w:rsidRPr="00914550">
        <w:rPr>
          <w:rFonts w:ascii="Times New Roman" w:eastAsia="Times New Roman" w:hAnsi="Times New Roman"/>
          <w:sz w:val="24"/>
          <w:szCs w:val="24"/>
        </w:rPr>
        <w:t>drivable</w:t>
      </w:r>
      <w:proofErr w:type="gramEnd"/>
      <w:r w:rsidRPr="00914550">
        <w:rPr>
          <w:rFonts w:ascii="Times New Roman" w:eastAsia="Times New Roman" w:hAnsi="Times New Roman"/>
          <w:sz w:val="24"/>
          <w:szCs w:val="24"/>
        </w:rPr>
        <w:t xml:space="preserve">? </w:t>
      </w:r>
    </w:p>
    <w:p w14:paraId="3165458C" w14:textId="77777777" w:rsidR="00E97D63" w:rsidRPr="00914550" w:rsidRDefault="00E97D63" w:rsidP="00E97D6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Her husband arrived at the scene and was taking photos when another motorist struck slid on the highway, struck and killed him. </w:t>
      </w:r>
      <w:hyperlink r:id="rId223" w:history="1">
        <w:r w:rsidRPr="00D45A3B">
          <w:rPr>
            <w:rStyle w:val="Hyperlink"/>
            <w:rFonts w:ascii="Times New Roman" w:eastAsia="Times New Roman" w:hAnsi="Times New Roman"/>
            <w:sz w:val="24"/>
            <w:szCs w:val="24"/>
          </w:rPr>
          <w:t>https://law.justia.com/cases/texas/supreme-court/2022/20-0366-0.html</w:t>
        </w:r>
      </w:hyperlink>
      <w:r>
        <w:rPr>
          <w:rFonts w:ascii="Times New Roman" w:eastAsia="Times New Roman" w:hAnsi="Times New Roman"/>
          <w:sz w:val="24"/>
          <w:szCs w:val="24"/>
        </w:rPr>
        <w:t xml:space="preserve"> </w:t>
      </w:r>
    </w:p>
    <w:p w14:paraId="7D60B29F" w14:textId="77777777" w:rsidR="00E97D63" w:rsidRPr="0050649F" w:rsidRDefault="00E97D63" w:rsidP="00E97D63">
      <w:pPr>
        <w:pStyle w:val="NormalWeb"/>
        <w:rPr>
          <w:b/>
          <w:bCs/>
        </w:rPr>
      </w:pPr>
      <w:r w:rsidRPr="0050649F">
        <w:rPr>
          <w:b/>
          <w:bCs/>
        </w:rPr>
        <w:t>Legal Lesson Learned:</w:t>
      </w:r>
      <w:r>
        <w:rPr>
          <w:b/>
          <w:bCs/>
        </w:rPr>
        <w:t xml:space="preserve">  Taking photos at MVA scene can be high risk not only for civilians but also for emergency responders; it’s a shame the driver didn’t call for a police officer to arrive and further protect the scene.  </w:t>
      </w:r>
    </w:p>
    <w:p w14:paraId="65872513" w14:textId="77777777" w:rsidR="00E97D63" w:rsidRDefault="00E97D63" w:rsidP="002B1283">
      <w:pPr>
        <w:rPr>
          <w:rFonts w:ascii="Arial Black" w:hAnsi="Arial Black"/>
          <w:b/>
          <w:sz w:val="24"/>
          <w:szCs w:val="24"/>
        </w:rPr>
      </w:pPr>
    </w:p>
    <w:p w14:paraId="3549C5BE" w14:textId="77777777" w:rsidR="00E97D63" w:rsidRDefault="00E97D63" w:rsidP="002B1283">
      <w:pPr>
        <w:rPr>
          <w:rFonts w:ascii="Arial Black" w:hAnsi="Arial Black"/>
          <w:b/>
          <w:sz w:val="24"/>
          <w:szCs w:val="24"/>
        </w:rPr>
      </w:pPr>
    </w:p>
    <w:p w14:paraId="5820F722" w14:textId="5AF92E07" w:rsidR="00E63B44" w:rsidRDefault="00E63B44" w:rsidP="002B1283">
      <w:pPr>
        <w:rPr>
          <w:rFonts w:ascii="Arial Black" w:hAnsi="Arial Black"/>
          <w:b/>
          <w:sz w:val="24"/>
          <w:szCs w:val="24"/>
        </w:rPr>
      </w:pPr>
      <w:r>
        <w:rPr>
          <w:rFonts w:ascii="Arial Black" w:hAnsi="Arial Black"/>
          <w:b/>
          <w:sz w:val="24"/>
          <w:szCs w:val="24"/>
        </w:rPr>
        <w:t>1-96</w:t>
      </w:r>
    </w:p>
    <w:p w14:paraId="2467B08A" w14:textId="107E004C" w:rsidR="00257457" w:rsidRDefault="00257457" w:rsidP="002B1283">
      <w:pPr>
        <w:rPr>
          <w:rFonts w:ascii="Arial Black" w:hAnsi="Arial Black"/>
          <w:b/>
          <w:sz w:val="24"/>
          <w:szCs w:val="24"/>
        </w:rPr>
      </w:pPr>
      <w:r>
        <w:rPr>
          <w:rFonts w:ascii="Arial Black" w:hAnsi="Arial Black"/>
          <w:b/>
          <w:sz w:val="24"/>
          <w:szCs w:val="24"/>
        </w:rPr>
        <w:t>IL – RESIDENTIAL PROPERTY – SPRINKLER ORDINANCE</w:t>
      </w:r>
      <w:r w:rsidR="00EE4546">
        <w:rPr>
          <w:rFonts w:ascii="Arial Black" w:hAnsi="Arial Black"/>
          <w:b/>
          <w:sz w:val="24"/>
          <w:szCs w:val="24"/>
        </w:rPr>
        <w:t xml:space="preserve"> UPHELD</w:t>
      </w:r>
    </w:p>
    <w:p w14:paraId="7CCE4B86" w14:textId="77777777" w:rsidR="00E63B44" w:rsidRDefault="00E63B44" w:rsidP="00E63B44">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March 17, 2022, in </w:t>
      </w:r>
      <w:r w:rsidRPr="00114240">
        <w:rPr>
          <w:rFonts w:ascii="Times New Roman" w:hAnsi="Times New Roman"/>
          <w:sz w:val="24"/>
          <w:szCs w:val="24"/>
          <w:u w:val="single"/>
        </w:rPr>
        <w:t>2095 Stonington, LLC v. Village of Hoffman Estates</w:t>
      </w:r>
      <w:r>
        <w:rPr>
          <w:rFonts w:ascii="Times New Roman" w:hAnsi="Times New Roman"/>
          <w:sz w:val="24"/>
          <w:szCs w:val="24"/>
        </w:rPr>
        <w:t xml:space="preserve">, the Court of Appeals of Illinois, First District (Fourth Division) held (3 to 0) that the trial court properly found that the ordinance is neither arbitrary or discriminatory, and the Plaintiff when acquiring the commercial property in 2016 (13 rental units, including manufacturing operations) had an obligation to comply with the 2002 Village ordinance, at cost of about $573,000 in a building worth $1.5 million.  </w:t>
      </w:r>
      <w:r w:rsidRPr="00BB5D93">
        <w:rPr>
          <w:rFonts w:ascii="Times New Roman" w:hAnsi="Times New Roman"/>
          <w:sz w:val="24"/>
          <w:szCs w:val="24"/>
        </w:rPr>
        <w:t>The trial court concluded that plaintiff failed to prove that residential properties and commercial properties are similarly situated for purposes of fire protection of the occupants and, therefore, plaintiff's equal protection claim failed.</w:t>
      </w:r>
      <w:r>
        <w:rPr>
          <w:rFonts w:ascii="Times New Roman" w:hAnsi="Times New Roman"/>
          <w:sz w:val="24"/>
          <w:szCs w:val="24"/>
        </w:rPr>
        <w:t xml:space="preserve"> </w:t>
      </w:r>
      <w:hyperlink r:id="rId224" w:history="1">
        <w:r w:rsidRPr="0083693C">
          <w:rPr>
            <w:rStyle w:val="Hyperlink"/>
            <w:rFonts w:ascii="Times New Roman" w:eastAsia="Times New Roman" w:hAnsi="Times New Roman"/>
            <w:sz w:val="24"/>
            <w:szCs w:val="24"/>
          </w:rPr>
          <w:t>https://casetext.com/case/2095-stonington-llc-v-vill-of-hoffman-estates</w:t>
        </w:r>
      </w:hyperlink>
      <w:r>
        <w:rPr>
          <w:rFonts w:ascii="Times New Roman" w:eastAsia="Times New Roman" w:hAnsi="Times New Roman"/>
          <w:sz w:val="24"/>
          <w:szCs w:val="24"/>
        </w:rPr>
        <w:t xml:space="preserve"> </w:t>
      </w:r>
    </w:p>
    <w:p w14:paraId="11345250" w14:textId="77777777" w:rsidR="00E63B44" w:rsidRPr="0064523F" w:rsidRDefault="00E63B44" w:rsidP="00E63B44">
      <w:pPr>
        <w:spacing w:before="100" w:beforeAutospacing="1" w:after="100" w:afterAutospacing="1" w:line="240" w:lineRule="auto"/>
        <w:ind w:left="720"/>
        <w:rPr>
          <w:rFonts w:ascii="Times New Roman" w:hAnsi="Times New Roman"/>
          <w:sz w:val="24"/>
          <w:szCs w:val="24"/>
        </w:rPr>
      </w:pPr>
      <w:r>
        <w:t>“</w:t>
      </w:r>
      <w:r w:rsidRPr="0064523F">
        <w:rPr>
          <w:rFonts w:ascii="Times New Roman" w:hAnsi="Times New Roman"/>
          <w:sz w:val="24"/>
          <w:szCs w:val="24"/>
        </w:rPr>
        <w:t>Plaintiff contends that it is both arbitrary and discriminatory as the ordinance makes irrational distinctions between commercial properties and multi-family dwellings. Specifically, plaintiff observes that while defendant amended the ordinance in 2002 to exclude multi-family dwellings based on cost, such an amendment was not considered for older commercial buildings. Furthermore, plaintiff argues that its particular property did not warrant the installation of an automatic sprinkler system because it is equipped with alternative fire prevention measures and his fire expert, Glenn, testified the construction and layout of the property made the property safer than most.</w:t>
      </w:r>
    </w:p>
    <w:p w14:paraId="1F4679A4" w14:textId="77777777" w:rsidR="00E63B44" w:rsidRPr="0064523F" w:rsidRDefault="00E63B44" w:rsidP="00E63B44">
      <w:pPr>
        <w:spacing w:before="100" w:beforeAutospacing="1" w:after="100" w:afterAutospacing="1" w:line="240" w:lineRule="auto"/>
        <w:ind w:left="720"/>
        <w:rPr>
          <w:rFonts w:ascii="Times New Roman" w:hAnsi="Times New Roman"/>
          <w:sz w:val="24"/>
          <w:szCs w:val="24"/>
        </w:rPr>
      </w:pPr>
      <w:r w:rsidRPr="0064523F">
        <w:rPr>
          <w:rFonts w:ascii="Times New Roman" w:hAnsi="Times New Roman"/>
          <w:sz w:val="24"/>
          <w:szCs w:val="24"/>
        </w:rPr>
        <w:t>***</w:t>
      </w:r>
    </w:p>
    <w:p w14:paraId="6DB5535B" w14:textId="77777777" w:rsidR="00E63B44" w:rsidRDefault="00E63B44" w:rsidP="00E63B44">
      <w:pPr>
        <w:spacing w:before="100" w:beforeAutospacing="1" w:after="100" w:afterAutospacing="1" w:line="240" w:lineRule="auto"/>
        <w:ind w:left="720"/>
        <w:rPr>
          <w:rFonts w:ascii="Times New Roman" w:eastAsia="Times New Roman" w:hAnsi="Times New Roman"/>
          <w:sz w:val="24"/>
          <w:szCs w:val="24"/>
        </w:rPr>
      </w:pPr>
      <w:r w:rsidRPr="00CD7D0E">
        <w:rPr>
          <w:rFonts w:ascii="Times New Roman" w:eastAsia="Times New Roman" w:hAnsi="Times New Roman"/>
          <w:sz w:val="24"/>
          <w:szCs w:val="24"/>
        </w:rPr>
        <w:t>While the property at issue is fitted with smoke detectors, a fire alarm system, manual pull stations, and a direct connection to the Hoffman Estates Fire Department, the evidence presented established that more can be done to protect the life and property of the occupants at the property; namely, retrofitting the property with an automatic sprinkler system. There was no dispute that were such a system installed it would benefit the public and offer more protection to the occupants than what is currently installed. The ordinance, as applied to plaintiff's property, is neither arbitrary nor discriminatory. Accordingly, we find that while the trial court did err in not applying the rational basis test, its ultimate finding was correct-the ordinance is not unconstitutional as applied to plaintiff.</w:t>
      </w:r>
      <w:r>
        <w:rPr>
          <w:rFonts w:ascii="Times New Roman" w:eastAsia="Times New Roman" w:hAnsi="Times New Roman"/>
          <w:sz w:val="24"/>
          <w:szCs w:val="24"/>
        </w:rPr>
        <w:t xml:space="preserve">” </w:t>
      </w:r>
      <w:hyperlink r:id="rId225" w:history="1">
        <w:r w:rsidRPr="0083693C">
          <w:rPr>
            <w:rStyle w:val="Hyperlink"/>
            <w:rFonts w:ascii="Times New Roman" w:eastAsia="Times New Roman" w:hAnsi="Times New Roman"/>
            <w:sz w:val="24"/>
            <w:szCs w:val="24"/>
          </w:rPr>
          <w:t>https://casetext.com/case/2095-stonington-llc-v-vill-of-hoffman-estates</w:t>
        </w:r>
      </w:hyperlink>
      <w:r>
        <w:rPr>
          <w:rFonts w:ascii="Times New Roman" w:eastAsia="Times New Roman" w:hAnsi="Times New Roman"/>
          <w:sz w:val="24"/>
          <w:szCs w:val="24"/>
        </w:rPr>
        <w:t xml:space="preserve"> </w:t>
      </w:r>
    </w:p>
    <w:p w14:paraId="59121ED6" w14:textId="77777777" w:rsidR="00E63B44" w:rsidRPr="002C3FE0" w:rsidRDefault="00E63B44" w:rsidP="00E63B44">
      <w:pPr>
        <w:spacing w:before="100" w:beforeAutospacing="1" w:after="100" w:afterAutospacing="1" w:line="240" w:lineRule="auto"/>
        <w:rPr>
          <w:rFonts w:ascii="Times New Roman" w:eastAsia="Times New Roman" w:hAnsi="Times New Roman"/>
          <w:b/>
          <w:bCs/>
          <w:sz w:val="24"/>
          <w:szCs w:val="24"/>
        </w:rPr>
      </w:pPr>
      <w:r w:rsidRPr="00091755">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Excellent decision, balancing the benefits of sprinklers versus costs. </w:t>
      </w:r>
    </w:p>
    <w:p w14:paraId="6ECCFF6C" w14:textId="77777777" w:rsidR="00E63B44" w:rsidRDefault="00E63B44" w:rsidP="002B1283">
      <w:pPr>
        <w:rPr>
          <w:rFonts w:ascii="Arial Black" w:hAnsi="Arial Black"/>
          <w:b/>
          <w:sz w:val="24"/>
          <w:szCs w:val="24"/>
        </w:rPr>
      </w:pPr>
    </w:p>
    <w:p w14:paraId="339A306A" w14:textId="03B5C180" w:rsidR="00A20CA7" w:rsidRDefault="00A20CA7" w:rsidP="002B1283">
      <w:pPr>
        <w:rPr>
          <w:rFonts w:ascii="Arial Black" w:hAnsi="Arial Black"/>
          <w:b/>
          <w:sz w:val="24"/>
          <w:szCs w:val="24"/>
        </w:rPr>
      </w:pPr>
      <w:r>
        <w:rPr>
          <w:rFonts w:ascii="Arial Black" w:hAnsi="Arial Black"/>
          <w:b/>
          <w:sz w:val="24"/>
          <w:szCs w:val="24"/>
        </w:rPr>
        <w:t>1-95</w:t>
      </w:r>
    </w:p>
    <w:p w14:paraId="5DF07700" w14:textId="77777777" w:rsidR="00A20CA7" w:rsidRDefault="00A20CA7" w:rsidP="00A20CA7">
      <w:pPr>
        <w:rPr>
          <w:rStyle w:val="markedcontent"/>
          <w:rFonts w:ascii="Arial Black" w:hAnsi="Arial Black"/>
          <w:sz w:val="28"/>
          <w:szCs w:val="28"/>
        </w:rPr>
      </w:pPr>
      <w:r>
        <w:rPr>
          <w:rStyle w:val="markedcontent"/>
          <w:rFonts w:ascii="Arial Black" w:hAnsi="Arial Black"/>
          <w:sz w:val="28"/>
          <w:szCs w:val="28"/>
        </w:rPr>
        <w:t>U.S. SUP. CT: COVID-19 - OSHA MANDATE SET ASIDE – CMS MANDATE FOR HEALTH WORKERS UPHELD</w:t>
      </w:r>
    </w:p>
    <w:p w14:paraId="6D123222" w14:textId="03B28E12" w:rsidR="00A20CA7" w:rsidRDefault="00A20CA7" w:rsidP="00A20CA7">
      <w:pPr>
        <w:rPr>
          <w:rFonts w:ascii="Times New Roman" w:hAnsi="Times New Roman"/>
          <w:sz w:val="24"/>
          <w:szCs w:val="24"/>
        </w:rPr>
      </w:pPr>
      <w:r>
        <w:rPr>
          <w:rFonts w:ascii="Times New Roman" w:hAnsi="Times New Roman"/>
          <w:sz w:val="24"/>
          <w:szCs w:val="24"/>
        </w:rPr>
        <w:t xml:space="preserve">On Jan. 13, 2022, in </w:t>
      </w:r>
      <w:r w:rsidRPr="00132CF6">
        <w:rPr>
          <w:rFonts w:ascii="Times New Roman" w:hAnsi="Times New Roman"/>
          <w:sz w:val="24"/>
          <w:szCs w:val="24"/>
          <w:u w:val="single"/>
        </w:rPr>
        <w:t>Biden v. Missouri</w:t>
      </w:r>
      <w:r>
        <w:rPr>
          <w:rFonts w:ascii="Times New Roman" w:hAnsi="Times New Roman"/>
          <w:sz w:val="24"/>
          <w:szCs w:val="24"/>
        </w:rPr>
        <w:t>, the U.S. Supreme Court (5 to 4) upheld the health worker</w:t>
      </w:r>
      <w:r w:rsidR="002E00D9">
        <w:rPr>
          <w:rFonts w:ascii="Times New Roman" w:hAnsi="Times New Roman"/>
          <w:sz w:val="24"/>
          <w:szCs w:val="24"/>
        </w:rPr>
        <w:t>’</w:t>
      </w:r>
      <w:r>
        <w:rPr>
          <w:rFonts w:ascii="Times New Roman" w:hAnsi="Times New Roman"/>
          <w:sz w:val="24"/>
          <w:szCs w:val="24"/>
        </w:rPr>
        <w:t xml:space="preserve">s mandate. </w:t>
      </w:r>
    </w:p>
    <w:p w14:paraId="6E1A3B35" w14:textId="00F62972" w:rsidR="00A20CA7" w:rsidRDefault="00A20CA7" w:rsidP="00A20CA7">
      <w:pPr>
        <w:ind w:left="720"/>
        <w:rPr>
          <w:rFonts w:ascii="Times New Roman" w:hAnsi="Times New Roman"/>
          <w:sz w:val="24"/>
          <w:szCs w:val="24"/>
        </w:rPr>
      </w:pPr>
      <w:r>
        <w:rPr>
          <w:rStyle w:val="markedcontent"/>
          <w:rFonts w:ascii="Times New Roman" w:hAnsi="Times New Roman"/>
          <w:sz w:val="24"/>
          <w:szCs w:val="24"/>
        </w:rPr>
        <w:t>“</w:t>
      </w:r>
      <w:r w:rsidRPr="00132CF6">
        <w:rPr>
          <w:rStyle w:val="markedcontent"/>
          <w:rFonts w:ascii="Times New Roman" w:hAnsi="Times New Roman"/>
          <w:sz w:val="24"/>
          <w:szCs w:val="24"/>
        </w:rPr>
        <w:t xml:space="preserve">The Secretary of Health and Human Services </w:t>
      </w:r>
      <w:proofErr w:type="gramStart"/>
      <w:r w:rsidRPr="00132CF6">
        <w:rPr>
          <w:rStyle w:val="markedcontent"/>
          <w:rFonts w:ascii="Times New Roman" w:hAnsi="Times New Roman"/>
          <w:sz w:val="24"/>
          <w:szCs w:val="24"/>
        </w:rPr>
        <w:t>administers</w:t>
      </w:r>
      <w:proofErr w:type="gramEnd"/>
      <w:r w:rsidRPr="00132CF6">
        <w:rPr>
          <w:rStyle w:val="markedcontent"/>
          <w:rFonts w:ascii="Times New Roman" w:hAnsi="Times New Roman"/>
          <w:sz w:val="24"/>
          <w:szCs w:val="24"/>
        </w:rPr>
        <w:t xml:space="preserve"> the Medicare and Medicaid programs, which provide</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 xml:space="preserve">health insurance for millions of elderly, disabled, and low-income Americans. In November 2021, the Secretary announced that, </w:t>
      </w:r>
      <w:proofErr w:type="gramStart"/>
      <w:r w:rsidRPr="00132CF6">
        <w:rPr>
          <w:rStyle w:val="markedcontent"/>
          <w:rFonts w:ascii="Times New Roman" w:hAnsi="Times New Roman"/>
          <w:sz w:val="24"/>
          <w:szCs w:val="24"/>
        </w:rPr>
        <w:t>in order to</w:t>
      </w:r>
      <w:proofErr w:type="gramEnd"/>
      <w:r w:rsidRPr="00132CF6">
        <w:rPr>
          <w:rStyle w:val="markedcontent"/>
          <w:rFonts w:ascii="Times New Roman" w:hAnsi="Times New Roman"/>
          <w:sz w:val="24"/>
          <w:szCs w:val="24"/>
        </w:rPr>
        <w:t xml:space="preserve"> receive Medicare and Medicaid</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funding, participating facilities must ensure that their</w:t>
      </w:r>
      <w:r w:rsidR="002E00D9">
        <w:rPr>
          <w:rStyle w:val="markedcontent"/>
          <w:rFonts w:ascii="Times New Roman" w:hAnsi="Times New Roman"/>
          <w:sz w:val="24"/>
          <w:szCs w:val="24"/>
        </w:rPr>
        <w:t xml:space="preserve"> </w:t>
      </w:r>
      <w:r w:rsidRPr="00132CF6">
        <w:rPr>
          <w:rStyle w:val="markedcontent"/>
          <w:rFonts w:ascii="Times New Roman" w:hAnsi="Times New Roman"/>
          <w:sz w:val="24"/>
          <w:szCs w:val="24"/>
        </w:rPr>
        <w:t>staff—unless exempt for medical or religious reasons—are</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vaccinated against COVID–19</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Two District Courts enjoined enforcement of the rule, and</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the Government now asks us to stay those injunctions.</w:t>
      </w:r>
      <w:r>
        <w:rPr>
          <w:rStyle w:val="markedcontent"/>
          <w:rFonts w:ascii="Times New Roman" w:hAnsi="Times New Roman"/>
          <w:sz w:val="24"/>
          <w:szCs w:val="24"/>
        </w:rPr>
        <w:t xml:space="preserve"> </w:t>
      </w:r>
      <w:r w:rsidRPr="00132CF6">
        <w:rPr>
          <w:rStyle w:val="markedcontent"/>
          <w:rFonts w:ascii="Times New Roman" w:hAnsi="Times New Roman"/>
          <w:sz w:val="24"/>
          <w:szCs w:val="24"/>
        </w:rPr>
        <w:t>Agreeing that it is entitled to such relief, we grant the applications.</w:t>
      </w:r>
      <w:r>
        <w:rPr>
          <w:rStyle w:val="markedcontent"/>
          <w:rFonts w:ascii="Times New Roman" w:hAnsi="Times New Roman"/>
          <w:sz w:val="24"/>
          <w:szCs w:val="24"/>
        </w:rPr>
        <w:t>”</w:t>
      </w:r>
      <w:r w:rsidRPr="00132CF6">
        <w:rPr>
          <w:rFonts w:ascii="Times New Roman" w:hAnsi="Times New Roman"/>
          <w:sz w:val="24"/>
          <w:szCs w:val="24"/>
        </w:rPr>
        <w:t xml:space="preserve">  </w:t>
      </w:r>
      <w:hyperlink r:id="rId226" w:history="1">
        <w:r w:rsidRPr="00A83547">
          <w:rPr>
            <w:rStyle w:val="Hyperlink"/>
            <w:rFonts w:ascii="Times New Roman" w:hAnsi="Times New Roman"/>
            <w:sz w:val="24"/>
            <w:szCs w:val="24"/>
          </w:rPr>
          <w:t>https://www.supremecourt.gov/opinions/21pdf/21a240_d18e.pdf</w:t>
        </w:r>
      </w:hyperlink>
      <w:r>
        <w:rPr>
          <w:rFonts w:ascii="Times New Roman" w:hAnsi="Times New Roman"/>
          <w:sz w:val="24"/>
          <w:szCs w:val="24"/>
        </w:rPr>
        <w:t xml:space="preserve"> </w:t>
      </w:r>
    </w:p>
    <w:p w14:paraId="7F5E6001" w14:textId="77777777" w:rsidR="00A20CA7" w:rsidRDefault="00A20CA7" w:rsidP="00A20CA7">
      <w:pPr>
        <w:ind w:left="720"/>
        <w:rPr>
          <w:rFonts w:ascii="Times New Roman" w:hAnsi="Times New Roman"/>
          <w:sz w:val="24"/>
          <w:szCs w:val="24"/>
        </w:rPr>
      </w:pPr>
    </w:p>
    <w:p w14:paraId="6295FB06" w14:textId="77777777" w:rsidR="00A20CA7" w:rsidRDefault="00A20CA7" w:rsidP="00A20CA7">
      <w:pPr>
        <w:rPr>
          <w:rFonts w:ascii="Times New Roman" w:hAnsi="Times New Roman"/>
          <w:sz w:val="24"/>
          <w:szCs w:val="24"/>
        </w:rPr>
      </w:pPr>
      <w:r>
        <w:rPr>
          <w:rFonts w:ascii="Times New Roman" w:hAnsi="Times New Roman"/>
          <w:sz w:val="24"/>
          <w:szCs w:val="24"/>
        </w:rPr>
        <w:t xml:space="preserve">On Jan. 13, 2022, in </w:t>
      </w:r>
      <w:r w:rsidRPr="007918CC">
        <w:rPr>
          <w:rFonts w:ascii="Times New Roman" w:hAnsi="Times New Roman"/>
          <w:sz w:val="24"/>
          <w:szCs w:val="24"/>
          <w:u w:val="single"/>
        </w:rPr>
        <w:t>National Federal of Independent Business, et al. v. U.S. Department of Labor (OSHA)</w:t>
      </w:r>
      <w:r>
        <w:rPr>
          <w:rFonts w:ascii="Times New Roman" w:hAnsi="Times New Roman"/>
          <w:sz w:val="24"/>
          <w:szCs w:val="24"/>
        </w:rPr>
        <w:t>, the U.S. Supreme Court (6 to 3) struck down the OSHA rule.</w:t>
      </w:r>
    </w:p>
    <w:p w14:paraId="2ECC0E57" w14:textId="77777777" w:rsidR="00A20CA7" w:rsidRPr="007918CC" w:rsidRDefault="00A20CA7" w:rsidP="00A20CA7">
      <w:pPr>
        <w:ind w:left="720"/>
        <w:rPr>
          <w:rFonts w:ascii="Times New Roman" w:hAnsi="Times New Roman"/>
          <w:sz w:val="24"/>
          <w:szCs w:val="24"/>
        </w:rPr>
      </w:pPr>
      <w:r>
        <w:rPr>
          <w:rFonts w:ascii="Times New Roman" w:hAnsi="Times New Roman"/>
          <w:sz w:val="24"/>
          <w:szCs w:val="24"/>
        </w:rPr>
        <w:t>“</w:t>
      </w:r>
      <w:r w:rsidRPr="007918CC">
        <w:rPr>
          <w:rStyle w:val="markedcontent"/>
          <w:rFonts w:ascii="Times New Roman" w:hAnsi="Times New Roman"/>
          <w:sz w:val="24"/>
          <w:szCs w:val="24"/>
        </w:rPr>
        <w:t>The Secretary of Labor, acting through the Occupational</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Safety and Health Administration, recently enacted a vaccine mandate for much of the Nation’s work force. The</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mandate, which employers must enforce, applies to roughly</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84 million workers, covering virtually all employers with at</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least 100 employees. It requires that covered workers receive a COVID–19 vaccine, and it pre-empts contrary state</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laws. The only exception is for workers who obtain a medical test each week at their own expense and on their own</w:t>
      </w:r>
      <w:r>
        <w:rPr>
          <w:rStyle w:val="markedcontent"/>
          <w:rFonts w:ascii="Times New Roman" w:hAnsi="Times New Roman"/>
          <w:sz w:val="24"/>
          <w:szCs w:val="24"/>
        </w:rPr>
        <w:t xml:space="preserve"> </w:t>
      </w:r>
      <w:proofErr w:type="gramStart"/>
      <w:r w:rsidRPr="007918CC">
        <w:rPr>
          <w:rStyle w:val="markedcontent"/>
          <w:rFonts w:ascii="Times New Roman" w:hAnsi="Times New Roman"/>
          <w:sz w:val="24"/>
          <w:szCs w:val="24"/>
        </w:rPr>
        <w:t>time, and</w:t>
      </w:r>
      <w:proofErr w:type="gramEnd"/>
      <w:r w:rsidRPr="007918CC">
        <w:rPr>
          <w:rStyle w:val="markedcontent"/>
          <w:rFonts w:ascii="Times New Roman" w:hAnsi="Times New Roman"/>
          <w:sz w:val="24"/>
          <w:szCs w:val="24"/>
        </w:rPr>
        <w:t xml:space="preserve"> also wear a mask each workday. OSHA has </w:t>
      </w:r>
      <w:proofErr w:type="gramStart"/>
      <w:r w:rsidRPr="007918CC">
        <w:rPr>
          <w:rStyle w:val="markedcontent"/>
          <w:rFonts w:ascii="Times New Roman" w:hAnsi="Times New Roman"/>
          <w:sz w:val="24"/>
          <w:szCs w:val="24"/>
        </w:rPr>
        <w:t>never</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before</w:t>
      </w:r>
      <w:proofErr w:type="gramEnd"/>
      <w:r w:rsidRPr="007918CC">
        <w:rPr>
          <w:rStyle w:val="markedcontent"/>
          <w:rFonts w:ascii="Times New Roman" w:hAnsi="Times New Roman"/>
          <w:sz w:val="24"/>
          <w:szCs w:val="24"/>
        </w:rPr>
        <w:t xml:space="preserve"> imposed such a mandate. Nor has Congress. Indeed,</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 xml:space="preserve">although Congress has enacted significant legislation addressing the COVID–19 pandemic, it has declined to enact any measure </w:t>
      </w:r>
      <w:proofErr w:type="gramStart"/>
      <w:r w:rsidRPr="007918CC">
        <w:rPr>
          <w:rStyle w:val="markedcontent"/>
          <w:rFonts w:ascii="Times New Roman" w:hAnsi="Times New Roman"/>
          <w:sz w:val="24"/>
          <w:szCs w:val="24"/>
        </w:rPr>
        <w:t>similar to</w:t>
      </w:r>
      <w:proofErr w:type="gramEnd"/>
      <w:r w:rsidRPr="007918CC">
        <w:rPr>
          <w:rStyle w:val="markedcontent"/>
          <w:rFonts w:ascii="Times New Roman" w:hAnsi="Times New Roman"/>
          <w:sz w:val="24"/>
          <w:szCs w:val="24"/>
        </w:rPr>
        <w:t xml:space="preserve"> what OSHA has promulgated here.</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Many States, businesses, and nonprofit organizations</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challenged OSHA’s rule in Courts of Appeals across the</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country. The Fifth Circuit initially entered a stay. But</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when the cases were consolidated before the Sixth Circuit,</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that court lifted the stay and allowed OSHA’s rule to take</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effect. Applicants now seek emergency relief from this</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Court, arguing that OSHA’s mandate exceeds its statutory</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authority and is otherwise unlawful. Agreeing that applicants are likely to prevail, we grant their applications and</w:t>
      </w:r>
      <w:r>
        <w:rPr>
          <w:rStyle w:val="markedcontent"/>
          <w:rFonts w:ascii="Times New Roman" w:hAnsi="Times New Roman"/>
          <w:sz w:val="24"/>
          <w:szCs w:val="24"/>
        </w:rPr>
        <w:t xml:space="preserve"> </w:t>
      </w:r>
      <w:r w:rsidRPr="007918CC">
        <w:rPr>
          <w:rStyle w:val="markedcontent"/>
          <w:rFonts w:ascii="Times New Roman" w:hAnsi="Times New Roman"/>
          <w:sz w:val="24"/>
          <w:szCs w:val="24"/>
        </w:rPr>
        <w:t>stay the rule.</w:t>
      </w:r>
      <w:r>
        <w:rPr>
          <w:rStyle w:val="markedcontent"/>
          <w:rFonts w:ascii="Times New Roman" w:hAnsi="Times New Roman"/>
          <w:sz w:val="24"/>
          <w:szCs w:val="24"/>
        </w:rPr>
        <w:t xml:space="preserve">” </w:t>
      </w:r>
      <w:hyperlink r:id="rId227" w:history="1">
        <w:r w:rsidRPr="00A83547">
          <w:rPr>
            <w:rStyle w:val="Hyperlink"/>
            <w:rFonts w:ascii="Times New Roman" w:hAnsi="Times New Roman"/>
            <w:sz w:val="24"/>
            <w:szCs w:val="24"/>
          </w:rPr>
          <w:t>https://www.supremecourt.gov/opinions/21pdf/21a244_hgci.pdf</w:t>
        </w:r>
      </w:hyperlink>
      <w:r>
        <w:rPr>
          <w:rStyle w:val="markedcontent"/>
          <w:rFonts w:ascii="Times New Roman" w:hAnsi="Times New Roman"/>
          <w:sz w:val="24"/>
          <w:szCs w:val="24"/>
        </w:rPr>
        <w:t xml:space="preserve"> </w:t>
      </w:r>
    </w:p>
    <w:p w14:paraId="654EEE6E" w14:textId="77777777" w:rsidR="00A20CA7" w:rsidRPr="00893B6D" w:rsidRDefault="00A20CA7" w:rsidP="00A20CA7">
      <w:pPr>
        <w:rPr>
          <w:b/>
          <w:bCs/>
        </w:rPr>
      </w:pPr>
      <w:r w:rsidRPr="00893B6D">
        <w:rPr>
          <w:rFonts w:ascii="Times New Roman" w:hAnsi="Times New Roman"/>
          <w:b/>
          <w:bCs/>
          <w:sz w:val="24"/>
          <w:szCs w:val="24"/>
        </w:rPr>
        <w:t xml:space="preserve">Legal Lesson Learned: In Biden v. Missouri, the health mandate was upheld when two conservative Justices, </w:t>
      </w:r>
      <w:r w:rsidRPr="00E644C2">
        <w:rPr>
          <w:rFonts w:ascii="Times New Roman" w:eastAsia="Times New Roman" w:hAnsi="Times New Roman"/>
          <w:b/>
          <w:bCs/>
          <w:sz w:val="24"/>
          <w:szCs w:val="24"/>
        </w:rPr>
        <w:t>Chief Justice John G. Roberts Jr. and Brett M. Kavanaugh—joined with the court’s three liberal justices to form the majority</w:t>
      </w:r>
      <w:r w:rsidRPr="00893B6D">
        <w:rPr>
          <w:rFonts w:ascii="Times New Roman" w:eastAsia="Times New Roman" w:hAnsi="Times New Roman"/>
          <w:b/>
          <w:bCs/>
          <w:sz w:val="24"/>
          <w:szCs w:val="24"/>
        </w:rPr>
        <w:t xml:space="preserve">. </w:t>
      </w:r>
    </w:p>
    <w:p w14:paraId="201DCF19" w14:textId="77777777" w:rsidR="00A20CA7" w:rsidRPr="00910F74" w:rsidRDefault="00A20CA7" w:rsidP="00A20CA7">
      <w:pPr>
        <w:ind w:left="720" w:firstLine="50"/>
        <w:rPr>
          <w:rFonts w:ascii="Times New Roman" w:hAnsi="Times New Roman"/>
          <w:sz w:val="24"/>
          <w:szCs w:val="24"/>
        </w:rPr>
      </w:pPr>
      <w:r w:rsidRPr="00910F74">
        <w:rPr>
          <w:rFonts w:ascii="Times New Roman" w:hAnsi="Times New Roman"/>
          <w:sz w:val="24"/>
          <w:szCs w:val="24"/>
        </w:rPr>
        <w:t>Note:</w:t>
      </w:r>
      <w:r w:rsidRPr="00910F74">
        <w:rPr>
          <w:rFonts w:ascii="Times New Roman" w:hAnsi="Times New Roman"/>
          <w:color w:val="333333"/>
          <w:sz w:val="24"/>
          <w:szCs w:val="24"/>
        </w:rPr>
        <w:t xml:space="preserve"> On Jan. 13, 2022, the IAFC published this analysis.  “Fire and EMS departments are not covered by the CMS rule. However, if a fire or EMS department is engaged in interfacility transport, it should discuss the CMS rule with the facilities for which it provides interfacility transport to see if the fire or EMS department must come into compliance.” </w:t>
      </w:r>
      <w:hyperlink r:id="rId228" w:history="1">
        <w:r w:rsidRPr="00910F74">
          <w:rPr>
            <w:rStyle w:val="Hyperlink"/>
            <w:rFonts w:ascii="Times New Roman" w:hAnsi="Times New Roman"/>
            <w:sz w:val="24"/>
            <w:szCs w:val="24"/>
          </w:rPr>
          <w:t>https://www.iafc.org/blogs/blog/iafc/2022/01/13/supreme-court-decision-on-vaccine-mandates-what-it-means-for-fire-departments</w:t>
        </w:r>
      </w:hyperlink>
      <w:r w:rsidRPr="00910F74">
        <w:rPr>
          <w:rFonts w:ascii="Times New Roman" w:hAnsi="Times New Roman"/>
          <w:color w:val="333333"/>
          <w:sz w:val="24"/>
          <w:szCs w:val="24"/>
        </w:rPr>
        <w:t xml:space="preserve"> </w:t>
      </w:r>
    </w:p>
    <w:p w14:paraId="1609BAC7" w14:textId="77777777" w:rsidR="00A20CA7" w:rsidRDefault="00A20CA7" w:rsidP="002B1283">
      <w:pPr>
        <w:rPr>
          <w:rFonts w:ascii="Arial Black" w:hAnsi="Arial Black"/>
          <w:b/>
          <w:sz w:val="24"/>
          <w:szCs w:val="24"/>
        </w:rPr>
      </w:pPr>
    </w:p>
    <w:p w14:paraId="5DD8F335" w14:textId="77777777" w:rsidR="00A20CA7" w:rsidRDefault="00A20CA7" w:rsidP="002B1283">
      <w:pPr>
        <w:rPr>
          <w:rFonts w:ascii="Arial Black" w:hAnsi="Arial Black"/>
          <w:b/>
          <w:sz w:val="24"/>
          <w:szCs w:val="24"/>
        </w:rPr>
      </w:pPr>
    </w:p>
    <w:p w14:paraId="7427FFDE" w14:textId="3D401100" w:rsidR="00A20CA7" w:rsidRDefault="00A20CA7" w:rsidP="002B1283">
      <w:pPr>
        <w:rPr>
          <w:rFonts w:ascii="Arial Black" w:hAnsi="Arial Black"/>
          <w:b/>
          <w:sz w:val="24"/>
          <w:szCs w:val="24"/>
        </w:rPr>
      </w:pPr>
      <w:r>
        <w:rPr>
          <w:rFonts w:ascii="Arial Black" w:hAnsi="Arial Black"/>
          <w:b/>
          <w:sz w:val="24"/>
          <w:szCs w:val="24"/>
        </w:rPr>
        <w:t>1-94</w:t>
      </w:r>
    </w:p>
    <w:p w14:paraId="346A8ADF" w14:textId="77777777" w:rsidR="00A20CA7" w:rsidRPr="00182702" w:rsidRDefault="00A20CA7" w:rsidP="00A20CA7">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OK: RAILROAD FINED FOR BLOCKING ROADWAYS MORE 10 MIN. - STATE LAW SET ASIDE – FEDERAL LAW CONTROLS</w:t>
      </w:r>
    </w:p>
    <w:p w14:paraId="765E6DBE" w14:textId="77777777" w:rsidR="00A20CA7" w:rsidRPr="0028115D" w:rsidRDefault="00A20CA7" w:rsidP="00A20CA7">
      <w:pPr>
        <w:spacing w:before="100" w:beforeAutospacing="1" w:after="100" w:afterAutospacing="1" w:line="240" w:lineRule="auto"/>
        <w:rPr>
          <w:rFonts w:ascii="Times New Roman" w:eastAsia="Times New Roman" w:hAnsi="Times New Roman"/>
          <w:sz w:val="24"/>
          <w:szCs w:val="24"/>
        </w:rPr>
      </w:pPr>
      <w:r w:rsidRPr="0028115D">
        <w:rPr>
          <w:rFonts w:ascii="Times New Roman" w:eastAsia="Times New Roman" w:hAnsi="Times New Roman"/>
          <w:sz w:val="24"/>
          <w:szCs w:val="24"/>
        </w:rPr>
        <w:t xml:space="preserve">On Jan. 10, 2022, in </w:t>
      </w:r>
      <w:r w:rsidRPr="0028115D">
        <w:rPr>
          <w:rFonts w:ascii="Times New Roman" w:eastAsia="Times New Roman" w:hAnsi="Times New Roman"/>
          <w:sz w:val="24"/>
          <w:szCs w:val="24"/>
          <w:u w:val="single"/>
        </w:rPr>
        <w:t>BNSF Railway Company v. Todd Hiett, Chairman of Oklahoma Corporation Commission, et al</w:t>
      </w:r>
      <w:r>
        <w:rPr>
          <w:rFonts w:ascii="Times New Roman" w:eastAsia="Times New Roman" w:hAnsi="Times New Roman"/>
          <w:sz w:val="24"/>
          <w:szCs w:val="24"/>
        </w:rPr>
        <w:t>., the U.S. Court of Appeals for 10</w:t>
      </w:r>
      <w:r w:rsidRPr="0028115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(Denver) held (3 to 0) that the trial court properly held that Federal law preempts the state from issuing citations to railroads for blocking highway.  The Court recognized why the state has safety concerns, but Federal law prevails. “</w:t>
      </w:r>
      <w:r w:rsidRPr="0000659D">
        <w:rPr>
          <w:rFonts w:ascii="Times New Roman" w:hAnsi="Times New Roman"/>
          <w:sz w:val="24"/>
          <w:szCs w:val="24"/>
        </w:rPr>
        <w:t xml:space="preserve">Defendants explain that blocked crossings in Oklahoma have </w:t>
      </w:r>
      <w:r>
        <w:rPr>
          <w:rFonts w:ascii="Times New Roman" w:hAnsi="Times New Roman"/>
          <w:sz w:val="24"/>
          <w:szCs w:val="24"/>
        </w:rPr>
        <w:t>‘</w:t>
      </w:r>
      <w:r w:rsidRPr="0000659D">
        <w:rPr>
          <w:rFonts w:ascii="Times New Roman" w:hAnsi="Times New Roman"/>
          <w:sz w:val="24"/>
          <w:szCs w:val="24"/>
        </w:rPr>
        <w:t>forced a paramedic . . . to jump between rail cars of a stopped train to reach a patient in time,</w:t>
      </w:r>
      <w:r>
        <w:rPr>
          <w:rFonts w:ascii="Times New Roman" w:hAnsi="Times New Roman"/>
          <w:sz w:val="24"/>
          <w:szCs w:val="24"/>
        </w:rPr>
        <w:t>’</w:t>
      </w:r>
      <w:r w:rsidRPr="0000659D">
        <w:rPr>
          <w:rFonts w:ascii="Times New Roman" w:hAnsi="Times New Roman"/>
          <w:sz w:val="24"/>
          <w:szCs w:val="24"/>
        </w:rPr>
        <w:t xml:space="preserve"> delayed firefighters and paramedics' response times generally, and caused Oklahomans to engage in risky behavior to avoid blocked crossings.</w:t>
      </w:r>
      <w:r>
        <w:rPr>
          <w:rFonts w:ascii="Times New Roman" w:hAnsi="Times New Roman"/>
          <w:sz w:val="24"/>
          <w:szCs w:val="24"/>
        </w:rPr>
        <w:t xml:space="preserve">”   </w:t>
      </w:r>
      <w:hyperlink r:id="rId229" w:history="1">
        <w:r w:rsidRPr="00A83547">
          <w:rPr>
            <w:rStyle w:val="Hyperlink"/>
            <w:rFonts w:ascii="Times New Roman" w:hAnsi="Times New Roman"/>
            <w:sz w:val="24"/>
            <w:szCs w:val="24"/>
          </w:rPr>
          <w:t>https://www.ca10.uscourts.gov/sites/ca10/files/opinions/010110630282.pdf</w:t>
        </w:r>
      </w:hyperlink>
      <w:r>
        <w:rPr>
          <w:rFonts w:ascii="Times New Roman" w:hAnsi="Times New Roman"/>
          <w:sz w:val="24"/>
          <w:szCs w:val="24"/>
        </w:rPr>
        <w:t xml:space="preserve"> </w:t>
      </w:r>
    </w:p>
    <w:p w14:paraId="13CDF0A0" w14:textId="77777777" w:rsidR="00A20CA7" w:rsidRPr="006B6814" w:rsidRDefault="00A20CA7" w:rsidP="00A20CA7">
      <w:pPr>
        <w:spacing w:before="100" w:beforeAutospacing="1" w:after="100" w:afterAutospacing="1" w:line="240" w:lineRule="auto"/>
        <w:rPr>
          <w:rFonts w:ascii="Times New Roman" w:hAnsi="Times New Roman"/>
          <w:b/>
          <w:bCs/>
          <w:sz w:val="24"/>
          <w:szCs w:val="24"/>
        </w:rPr>
      </w:pPr>
      <w:r w:rsidRPr="006B6814">
        <w:rPr>
          <w:rFonts w:ascii="Times New Roman" w:hAnsi="Times New Roman"/>
          <w:b/>
          <w:bCs/>
          <w:sz w:val="24"/>
          <w:szCs w:val="24"/>
        </w:rPr>
        <w:t>Legal Lesson Learned:</w:t>
      </w:r>
      <w:r>
        <w:rPr>
          <w:rFonts w:ascii="Times New Roman" w:hAnsi="Times New Roman"/>
          <w:b/>
          <w:bCs/>
          <w:sz w:val="24"/>
          <w:szCs w:val="24"/>
        </w:rPr>
        <w:t xml:space="preserve"> Congress has preempted railroad safety issues; unfortunately grade crossing issues continue to grow with </w:t>
      </w:r>
      <w:proofErr w:type="gramStart"/>
      <w:r>
        <w:rPr>
          <w:rFonts w:ascii="Times New Roman" w:hAnsi="Times New Roman"/>
          <w:b/>
          <w:bCs/>
          <w:sz w:val="24"/>
          <w:szCs w:val="24"/>
        </w:rPr>
        <w:t>longer and longer</w:t>
      </w:r>
      <w:proofErr w:type="gramEnd"/>
      <w:r>
        <w:rPr>
          <w:rFonts w:ascii="Times New Roman" w:hAnsi="Times New Roman"/>
          <w:b/>
          <w:bCs/>
          <w:sz w:val="24"/>
          <w:szCs w:val="24"/>
        </w:rPr>
        <w:t xml:space="preserve"> trains. </w:t>
      </w:r>
    </w:p>
    <w:p w14:paraId="5E94F07B" w14:textId="77777777" w:rsidR="00A20CA7" w:rsidRPr="006B6814" w:rsidRDefault="00A20CA7" w:rsidP="00A20CA7">
      <w:pPr>
        <w:spacing w:before="100" w:beforeAutospacing="1" w:after="100" w:afterAutospacing="1" w:line="240" w:lineRule="auto"/>
        <w:ind w:left="720"/>
        <w:rPr>
          <w:rFonts w:ascii="Times New Roman" w:hAnsi="Times New Roman"/>
          <w:sz w:val="24"/>
          <w:szCs w:val="24"/>
        </w:rPr>
      </w:pPr>
      <w:r w:rsidRPr="006B6814">
        <w:rPr>
          <w:rFonts w:ascii="Times New Roman" w:hAnsi="Times New Roman"/>
          <w:sz w:val="24"/>
          <w:szCs w:val="24"/>
        </w:rPr>
        <w:t xml:space="preserve">Note: </w:t>
      </w:r>
      <w:r>
        <w:rPr>
          <w:rFonts w:ascii="Times New Roman" w:hAnsi="Times New Roman"/>
          <w:sz w:val="24"/>
          <w:szCs w:val="24"/>
        </w:rPr>
        <w:t>See Association of American Railroads article, Sept. 2021, “</w:t>
      </w:r>
      <w:r w:rsidRPr="006B6814">
        <w:rPr>
          <w:rStyle w:val="markedcontent"/>
          <w:rFonts w:ascii="Times New Roman" w:hAnsi="Times New Roman"/>
          <w:sz w:val="24"/>
          <w:szCs w:val="24"/>
        </w:rPr>
        <w:t>How Railroads Collaborate</w:t>
      </w:r>
      <w:r>
        <w:rPr>
          <w:rFonts w:ascii="Times New Roman" w:hAnsi="Times New Roman"/>
          <w:sz w:val="24"/>
          <w:szCs w:val="24"/>
        </w:rPr>
        <w:t xml:space="preserve"> </w:t>
      </w:r>
      <w:proofErr w:type="spellStart"/>
      <w:proofErr w:type="gramStart"/>
      <w:r w:rsidRPr="006B6814">
        <w:rPr>
          <w:rStyle w:val="markedcontent"/>
          <w:rFonts w:ascii="Times New Roman" w:hAnsi="Times New Roman"/>
          <w:sz w:val="24"/>
          <w:szCs w:val="24"/>
        </w:rPr>
        <w:t>ith</w:t>
      </w:r>
      <w:proofErr w:type="spellEnd"/>
      <w:proofErr w:type="gramEnd"/>
      <w:r w:rsidRPr="006B6814">
        <w:rPr>
          <w:rStyle w:val="markedcontent"/>
          <w:rFonts w:ascii="Times New Roman" w:hAnsi="Times New Roman"/>
          <w:sz w:val="24"/>
          <w:szCs w:val="24"/>
        </w:rPr>
        <w:t xml:space="preserve"> Stakeholders to Reduce Grade Crossing Impacts</w:t>
      </w:r>
      <w:r>
        <w:rPr>
          <w:rStyle w:val="markedcontent"/>
          <w:rFonts w:ascii="Times New Roman" w:hAnsi="Times New Roman"/>
          <w:sz w:val="24"/>
          <w:szCs w:val="24"/>
        </w:rPr>
        <w:t>.” “</w:t>
      </w:r>
      <w:r w:rsidRPr="006B6814">
        <w:rPr>
          <w:rStyle w:val="markedcontent"/>
          <w:rFonts w:ascii="Times New Roman" w:hAnsi="Times New Roman"/>
          <w:sz w:val="24"/>
          <w:szCs w:val="24"/>
        </w:rPr>
        <w:t>With more than 200,000 grade crossings nationwide, railroads</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work closely with community leaders, government partners,</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first responders and the public to manage and mitigate the</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impact of rail crossings on communities. Each grade crossing</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is unique, and railroad operational teams deploy a range of</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strategies, depending on the circumstances, to keep rail and</w:t>
      </w:r>
      <w:r>
        <w:rPr>
          <w:rStyle w:val="markedcontent"/>
          <w:rFonts w:ascii="Times New Roman" w:hAnsi="Times New Roman"/>
          <w:sz w:val="24"/>
          <w:szCs w:val="24"/>
        </w:rPr>
        <w:t xml:space="preserve"> </w:t>
      </w:r>
      <w:r w:rsidRPr="006B6814">
        <w:rPr>
          <w:rStyle w:val="markedcontent"/>
          <w:rFonts w:ascii="Times New Roman" w:hAnsi="Times New Roman"/>
          <w:sz w:val="24"/>
          <w:szCs w:val="24"/>
        </w:rPr>
        <w:t xml:space="preserve">vehicle traffic safely moving through these </w:t>
      </w:r>
      <w:proofErr w:type="gramStart"/>
      <w:r w:rsidRPr="006B6814">
        <w:rPr>
          <w:rStyle w:val="markedcontent"/>
          <w:rFonts w:ascii="Times New Roman" w:hAnsi="Times New Roman"/>
          <w:sz w:val="24"/>
          <w:szCs w:val="24"/>
        </w:rPr>
        <w:t>intersections.</w:t>
      </w:r>
      <w:r>
        <w:rPr>
          <w:rStyle w:val="markedcontent"/>
          <w:rFonts w:ascii="Times New Roman" w:hAnsi="Times New Roman"/>
          <w:sz w:val="24"/>
          <w:szCs w:val="24"/>
        </w:rPr>
        <w:t>”</w:t>
      </w:r>
      <w:proofErr w:type="gramEnd"/>
      <w:r>
        <w:rPr>
          <w:rStyle w:val="markedcontent"/>
          <w:rFonts w:ascii="Times New Roman" w:hAnsi="Times New Roman"/>
          <w:sz w:val="24"/>
          <w:szCs w:val="24"/>
        </w:rPr>
        <w:t xml:space="preserve"> </w:t>
      </w:r>
      <w:hyperlink r:id="rId230" w:history="1">
        <w:r w:rsidRPr="00A83547">
          <w:rPr>
            <w:rStyle w:val="Hyperlink"/>
            <w:rFonts w:ascii="Times New Roman" w:hAnsi="Times New Roman"/>
            <w:sz w:val="24"/>
            <w:szCs w:val="24"/>
          </w:rPr>
          <w:t>https://www.aar.org/wp-content/uploads/2020/02/AAR-Occupied-Crossings-Fact-Sheet.pdf</w:t>
        </w:r>
      </w:hyperlink>
      <w:r>
        <w:rPr>
          <w:rStyle w:val="markedcontent"/>
          <w:rFonts w:ascii="Times New Roman" w:hAnsi="Times New Roman"/>
          <w:sz w:val="24"/>
          <w:szCs w:val="24"/>
        </w:rPr>
        <w:t xml:space="preserve"> </w:t>
      </w:r>
    </w:p>
    <w:p w14:paraId="7474804A" w14:textId="77777777" w:rsidR="00A20CA7" w:rsidRDefault="00A20CA7" w:rsidP="002B1283">
      <w:pPr>
        <w:rPr>
          <w:rFonts w:ascii="Arial Black" w:hAnsi="Arial Black"/>
          <w:b/>
          <w:sz w:val="24"/>
          <w:szCs w:val="24"/>
        </w:rPr>
      </w:pPr>
    </w:p>
    <w:p w14:paraId="560EB8BC" w14:textId="77777777" w:rsidR="00A20CA7" w:rsidRDefault="00A20CA7" w:rsidP="002B1283">
      <w:pPr>
        <w:rPr>
          <w:rFonts w:ascii="Arial Black" w:hAnsi="Arial Black"/>
          <w:b/>
          <w:sz w:val="24"/>
          <w:szCs w:val="24"/>
        </w:rPr>
      </w:pPr>
    </w:p>
    <w:p w14:paraId="0E7F78EF" w14:textId="3D8FF09E" w:rsidR="00E51408" w:rsidRDefault="00E51408" w:rsidP="002B1283">
      <w:pPr>
        <w:rPr>
          <w:rFonts w:ascii="Arial Black" w:hAnsi="Arial Black"/>
          <w:b/>
          <w:sz w:val="24"/>
          <w:szCs w:val="24"/>
        </w:rPr>
      </w:pPr>
      <w:r>
        <w:rPr>
          <w:rFonts w:ascii="Arial Black" w:hAnsi="Arial Black"/>
          <w:b/>
          <w:sz w:val="24"/>
          <w:szCs w:val="24"/>
        </w:rPr>
        <w:t>1-93</w:t>
      </w:r>
    </w:p>
    <w:p w14:paraId="0EB691BF" w14:textId="77777777" w:rsidR="00E51408" w:rsidRDefault="00E51408" w:rsidP="00E51408">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OH: WARRANTLESS ENTRY - CAUSE &amp; ORIGIN OF HOUSE FIRE - DRUGS PLAIN VIEW – ADMISSIBLE IN EVIDENCE </w:t>
      </w:r>
    </w:p>
    <w:p w14:paraId="0D020A0E" w14:textId="77777777" w:rsidR="00E51408" w:rsidRPr="003A0F54" w:rsidRDefault="00E51408" w:rsidP="00E51408">
      <w:pPr>
        <w:rPr>
          <w:rFonts w:ascii="Times New Roman" w:hAnsi="Times New Roman"/>
          <w:bCs/>
          <w:sz w:val="24"/>
          <w:szCs w:val="24"/>
        </w:rPr>
      </w:pPr>
      <w:bookmarkStart w:id="4" w:name="_Hlk91595193"/>
      <w:r w:rsidRPr="003A0F54">
        <w:rPr>
          <w:rFonts w:ascii="Times New Roman" w:hAnsi="Times New Roman"/>
          <w:bCs/>
          <w:sz w:val="24"/>
          <w:szCs w:val="24"/>
        </w:rPr>
        <w:t xml:space="preserve">On Dec. 27, 2021, in </w:t>
      </w:r>
      <w:r w:rsidRPr="003A0F54">
        <w:rPr>
          <w:rFonts w:ascii="Times New Roman" w:hAnsi="Times New Roman"/>
          <w:bCs/>
          <w:sz w:val="24"/>
          <w:szCs w:val="24"/>
          <w:u w:val="single"/>
        </w:rPr>
        <w:t>State of Ohio v. Nicole L. Holmes</w:t>
      </w:r>
      <w:r w:rsidRPr="003A0F54">
        <w:rPr>
          <w:rFonts w:ascii="Times New Roman" w:hAnsi="Times New Roman"/>
          <w:bCs/>
          <w:sz w:val="24"/>
          <w:szCs w:val="24"/>
        </w:rPr>
        <w:t xml:space="preserve">, the Court of Appeals for the Eleventh District (Ashtabula) held (3 to 0) that trial judge improperly granted the defendant’s motion to suppress evidence.  Fire Captain lawfully entered house during overhaul and observed drugs in plain view; warrantless entry during “exigent circumstances” as authorized by U.S. Supreme Court in </w:t>
      </w:r>
      <w:r w:rsidRPr="003A0F54">
        <w:rPr>
          <w:rFonts w:ascii="Times New Roman" w:hAnsi="Times New Roman"/>
          <w:sz w:val="24"/>
          <w:szCs w:val="24"/>
        </w:rPr>
        <w:t xml:space="preserve">Michigan v. Tyler, 436 U.S. 499, 506, 98 </w:t>
      </w:r>
      <w:proofErr w:type="spellStart"/>
      <w:r w:rsidRPr="003A0F54">
        <w:rPr>
          <w:rFonts w:ascii="Times New Roman" w:hAnsi="Times New Roman"/>
          <w:sz w:val="24"/>
          <w:szCs w:val="24"/>
        </w:rPr>
        <w:t>S.Ct</w:t>
      </w:r>
      <w:proofErr w:type="spellEnd"/>
      <w:r w:rsidRPr="003A0F54">
        <w:rPr>
          <w:rFonts w:ascii="Times New Roman" w:hAnsi="Times New Roman"/>
          <w:sz w:val="24"/>
          <w:szCs w:val="24"/>
        </w:rPr>
        <w:t xml:space="preserve">. 1942, 56 L.Ed.2d 486 (1978). </w:t>
      </w:r>
      <w:r w:rsidRPr="003A0F54">
        <w:rPr>
          <w:rFonts w:ascii="Times New Roman" w:hAnsi="Times New Roman"/>
          <w:bCs/>
          <w:sz w:val="24"/>
          <w:szCs w:val="24"/>
        </w:rPr>
        <w:t xml:space="preserve">Case remanded for defendant’s criminal trial - </w:t>
      </w:r>
      <w:r w:rsidRPr="003A0F54">
        <w:rPr>
          <w:rFonts w:ascii="Times New Roman" w:hAnsi="Times New Roman"/>
          <w:sz w:val="24"/>
          <w:szCs w:val="24"/>
        </w:rPr>
        <w:t xml:space="preserve">aggravated trafficking in drugs, aggravated possession of drugs, possessing criminal tools, illegal use or possession of drug paraphernalia, and endangering children. </w:t>
      </w:r>
      <w:r w:rsidRPr="003A0F54">
        <w:rPr>
          <w:rFonts w:ascii="Times New Roman" w:hAnsi="Times New Roman"/>
          <w:bCs/>
          <w:sz w:val="24"/>
          <w:szCs w:val="24"/>
        </w:rPr>
        <w:t xml:space="preserve"> </w:t>
      </w:r>
    </w:p>
    <w:p w14:paraId="2248815F" w14:textId="77777777" w:rsidR="00E51408" w:rsidRPr="003A0F54" w:rsidRDefault="00E51408" w:rsidP="00E51408">
      <w:pPr>
        <w:ind w:left="720"/>
        <w:rPr>
          <w:rFonts w:ascii="Times New Roman" w:hAnsi="Times New Roman"/>
          <w:bCs/>
          <w:sz w:val="24"/>
          <w:szCs w:val="24"/>
        </w:rPr>
      </w:pPr>
      <w:r w:rsidRPr="003A0F54">
        <w:rPr>
          <w:rFonts w:ascii="Times New Roman" w:hAnsi="Times New Roman"/>
          <w:bCs/>
          <w:sz w:val="24"/>
          <w:szCs w:val="24"/>
        </w:rPr>
        <w:t xml:space="preserve">“Here, applying these Fourth Amendment standards and exceptions, we conclude that Captain Chase was permitted to enter the residence without a warrant under the doctrine of exigent circumstances. During the initial entry, while investigating and before he had determined the cause and origin of the fire, Captain Chase discovered contraband in plain view. Due to limitations on his training with evidence collection, he acted appropriately in requesting assistance from the police department. Patrolman Perry was permitted to enter the residence and seize the contraband without a warrant </w:t>
      </w:r>
      <w:r w:rsidRPr="003A0F54">
        <w:rPr>
          <w:rFonts w:ascii="Times New Roman" w:hAnsi="Times New Roman"/>
          <w:bCs/>
          <w:i/>
          <w:iCs/>
          <w:sz w:val="24"/>
          <w:szCs w:val="24"/>
        </w:rPr>
        <w:t>only</w:t>
      </w:r>
      <w:r w:rsidRPr="003A0F54">
        <w:rPr>
          <w:rFonts w:ascii="Times New Roman" w:hAnsi="Times New Roman"/>
          <w:bCs/>
          <w:sz w:val="24"/>
          <w:szCs w:val="24"/>
        </w:rPr>
        <w:t xml:space="preserve"> because he "stepped into the shoes" of Captain Chase, who was still on the scene conducting his initial investigation. Patrolman Perry entered solely for the purpose of assisting Captain Chase; he collected only the items to which he was directed by Captain Chase; he did not search any other area of the residence; and he did not further intrude  on Hommes' privacy interests. Accordingly, the warrantless seizure did not violate Hommes' Fourth Amendment rights. *** The trial court erred in granting Hommes' motion to suppress, and the state's sole assignment of error has merit. The judgment of the Ashtabula County Court of Common Pleas is reversed, and this matter is </w:t>
      </w:r>
      <w:proofErr w:type="gramStart"/>
      <w:r w:rsidRPr="003A0F54">
        <w:rPr>
          <w:rFonts w:ascii="Times New Roman" w:hAnsi="Times New Roman"/>
          <w:bCs/>
          <w:sz w:val="24"/>
          <w:szCs w:val="24"/>
        </w:rPr>
        <w:t>remanded</w:t>
      </w:r>
      <w:proofErr w:type="gramEnd"/>
      <w:r w:rsidRPr="003A0F54">
        <w:rPr>
          <w:rFonts w:ascii="Times New Roman" w:hAnsi="Times New Roman"/>
          <w:bCs/>
          <w:sz w:val="24"/>
          <w:szCs w:val="24"/>
        </w:rPr>
        <w:t xml:space="preserve"> for further proceedings consistent with this </w:t>
      </w:r>
      <w:proofErr w:type="gramStart"/>
      <w:r w:rsidRPr="003A0F54">
        <w:rPr>
          <w:rFonts w:ascii="Times New Roman" w:hAnsi="Times New Roman"/>
          <w:bCs/>
          <w:sz w:val="24"/>
          <w:szCs w:val="24"/>
        </w:rPr>
        <w:t>opinion.”</w:t>
      </w:r>
      <w:proofErr w:type="gramEnd"/>
      <w:r w:rsidRPr="003A0F54">
        <w:rPr>
          <w:rFonts w:ascii="Times New Roman" w:hAnsi="Times New Roman"/>
          <w:bCs/>
          <w:sz w:val="24"/>
          <w:szCs w:val="24"/>
        </w:rPr>
        <w:t xml:space="preserve">  </w:t>
      </w:r>
      <w:hyperlink r:id="rId231" w:history="1">
        <w:r w:rsidRPr="004065C6">
          <w:rPr>
            <w:rStyle w:val="Hyperlink"/>
            <w:rFonts w:ascii="Times New Roman" w:hAnsi="Times New Roman"/>
            <w:bCs/>
            <w:sz w:val="24"/>
            <w:szCs w:val="24"/>
          </w:rPr>
          <w:t>https://www.supremecourt.ohio.gov/rod/docs/pdf/11/2021/2021-Ohio-4568.pdf</w:t>
        </w:r>
      </w:hyperlink>
      <w:r>
        <w:rPr>
          <w:rFonts w:ascii="Times New Roman" w:hAnsi="Times New Roman"/>
          <w:bCs/>
          <w:sz w:val="24"/>
          <w:szCs w:val="24"/>
        </w:rPr>
        <w:t xml:space="preserve"> </w:t>
      </w:r>
    </w:p>
    <w:bookmarkEnd w:id="4"/>
    <w:p w14:paraId="5472100B" w14:textId="77777777" w:rsidR="00E51408" w:rsidRPr="003A0F54" w:rsidRDefault="00E51408" w:rsidP="00E51408">
      <w:pPr>
        <w:spacing w:after="100" w:line="240" w:lineRule="auto"/>
        <w:rPr>
          <w:rFonts w:ascii="Times New Roman" w:eastAsia="Times New Roman" w:hAnsi="Times New Roman"/>
          <w:b/>
          <w:bCs/>
          <w:sz w:val="24"/>
          <w:szCs w:val="24"/>
        </w:rPr>
      </w:pPr>
      <w:r w:rsidRPr="003A0F54">
        <w:rPr>
          <w:rFonts w:ascii="Times New Roman" w:eastAsia="Times New Roman" w:hAnsi="Times New Roman"/>
          <w:b/>
          <w:bCs/>
          <w:sz w:val="24"/>
          <w:szCs w:val="24"/>
        </w:rPr>
        <w:t>Legal Lesson Learned: Wonderful decision; exce</w:t>
      </w:r>
      <w:r>
        <w:rPr>
          <w:rFonts w:ascii="Times New Roman" w:eastAsia="Times New Roman" w:hAnsi="Times New Roman"/>
          <w:b/>
          <w:bCs/>
          <w:sz w:val="24"/>
          <w:szCs w:val="24"/>
        </w:rPr>
        <w:t xml:space="preserve">llent </w:t>
      </w:r>
      <w:r w:rsidRPr="003A0F54">
        <w:rPr>
          <w:rFonts w:ascii="Times New Roman" w:eastAsia="Times New Roman" w:hAnsi="Times New Roman"/>
          <w:b/>
          <w:bCs/>
          <w:sz w:val="24"/>
          <w:szCs w:val="24"/>
        </w:rPr>
        <w:t xml:space="preserve">appeal by the Ohio Attorney General’s office. </w:t>
      </w:r>
    </w:p>
    <w:p w14:paraId="36DE492B" w14:textId="77777777" w:rsidR="00E51408" w:rsidRPr="003A0F54" w:rsidRDefault="00E51408" w:rsidP="00E51408">
      <w:pPr>
        <w:spacing w:before="100" w:beforeAutospacing="1" w:after="100" w:afterAutospacing="1" w:line="240" w:lineRule="auto"/>
        <w:ind w:left="720"/>
        <w:rPr>
          <w:rFonts w:ascii="Times New Roman" w:eastAsia="Times New Roman" w:hAnsi="Times New Roman"/>
          <w:sz w:val="24"/>
          <w:szCs w:val="24"/>
        </w:rPr>
      </w:pPr>
    </w:p>
    <w:p w14:paraId="2CC3A87B" w14:textId="4B4F2E95" w:rsidR="00E51408" w:rsidRDefault="00E51408" w:rsidP="002B1283">
      <w:pPr>
        <w:rPr>
          <w:rFonts w:ascii="Arial Black" w:hAnsi="Arial Black"/>
          <w:b/>
          <w:sz w:val="24"/>
          <w:szCs w:val="24"/>
        </w:rPr>
      </w:pPr>
      <w:r>
        <w:rPr>
          <w:rFonts w:ascii="Arial Black" w:hAnsi="Arial Black"/>
          <w:b/>
          <w:sz w:val="24"/>
          <w:szCs w:val="24"/>
        </w:rPr>
        <w:t>1-92</w:t>
      </w:r>
    </w:p>
    <w:p w14:paraId="1171601C" w14:textId="77777777" w:rsidR="00E51408" w:rsidRDefault="00E51408" w:rsidP="00E51408">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PA: FD ENTRY BASEMENT WITHOUT WARRANT - ELECTRIC STOVE, CIRCUIT BRAKERS BASEMENT – BLDG CONDEMNED</w:t>
      </w:r>
    </w:p>
    <w:p w14:paraId="4580C6B2" w14:textId="77777777" w:rsidR="00E51408" w:rsidRPr="003A0F54" w:rsidRDefault="00E51408" w:rsidP="00E51408">
      <w:pPr>
        <w:spacing w:before="100" w:beforeAutospacing="1" w:after="100" w:afterAutospacing="1" w:line="240" w:lineRule="auto"/>
        <w:rPr>
          <w:rFonts w:ascii="Times New Roman" w:eastAsia="Times New Roman" w:hAnsi="Times New Roman"/>
          <w:sz w:val="24"/>
          <w:szCs w:val="24"/>
        </w:rPr>
      </w:pPr>
      <w:r w:rsidRPr="003A0F54">
        <w:rPr>
          <w:rFonts w:ascii="Times New Roman" w:eastAsia="Times New Roman" w:hAnsi="Times New Roman"/>
          <w:sz w:val="24"/>
          <w:szCs w:val="24"/>
        </w:rPr>
        <w:t xml:space="preserve">On Dec. 13, 2021, in </w:t>
      </w:r>
      <w:r w:rsidRPr="003A0F54">
        <w:rPr>
          <w:rFonts w:ascii="Times New Roman" w:eastAsia="Times New Roman" w:hAnsi="Times New Roman"/>
          <w:sz w:val="24"/>
          <w:szCs w:val="24"/>
          <w:u w:val="single"/>
        </w:rPr>
        <w:t>George Cannarozzo v. Borough of West Hazleton and Diane Panzarella</w:t>
      </w:r>
      <w:r w:rsidRPr="003A0F54">
        <w:rPr>
          <w:rFonts w:ascii="Times New Roman" w:eastAsia="Times New Roman" w:hAnsi="Times New Roman"/>
          <w:sz w:val="24"/>
          <w:szCs w:val="24"/>
        </w:rPr>
        <w:t xml:space="preserve">, U.S. District Court Judge Robert D. Mariani granted summary judgment to the Borough and their code enforcement officer, Diane Panzarella. The fire department had been dispatched twice to the building; first for light smoke on first floor (cleared scene in 10 minutes) and twelve minutes later called back for electrical stove sparking.  They removed the stove, but circuit brakers were in locked basement; when in basement they observed “dangling” and “hanging” wires, some without coatings and corroded.   </w:t>
      </w:r>
      <w:r>
        <w:rPr>
          <w:rFonts w:ascii="Times New Roman" w:eastAsia="Times New Roman" w:hAnsi="Times New Roman"/>
          <w:sz w:val="24"/>
          <w:szCs w:val="24"/>
        </w:rPr>
        <w:t xml:space="preserve"> </w:t>
      </w:r>
    </w:p>
    <w:p w14:paraId="0907F5E7" w14:textId="7853812A" w:rsidR="00E51408" w:rsidRDefault="00E51408" w:rsidP="00E51408">
      <w:pPr>
        <w:rPr>
          <w:rFonts w:ascii="Arial Black" w:hAnsi="Arial Black"/>
          <w:b/>
          <w:sz w:val="24"/>
          <w:szCs w:val="24"/>
        </w:rPr>
      </w:pPr>
      <w:r w:rsidRPr="003A0F54">
        <w:rPr>
          <w:rFonts w:ascii="Times New Roman" w:eastAsia="Times New Roman" w:hAnsi="Times New Roman"/>
          <w:sz w:val="24"/>
          <w:szCs w:val="24"/>
        </w:rPr>
        <w:t xml:space="preserve">“This evidence shows that the fire crew's entry into the basement was related to the second incident in which the stove was removed from the apartment unit, whether it was to check for extension of the fire or to turn off the circuit breaker "to secure the electrical oven" as </w:t>
      </w:r>
      <w:proofErr w:type="spellStart"/>
      <w:r w:rsidRPr="003A0F54">
        <w:rPr>
          <w:rFonts w:ascii="Times New Roman" w:eastAsia="Times New Roman" w:hAnsi="Times New Roman"/>
          <w:sz w:val="24"/>
          <w:szCs w:val="24"/>
        </w:rPr>
        <w:t>Segaria</w:t>
      </w:r>
      <w:proofErr w:type="spellEnd"/>
      <w:r w:rsidRPr="003A0F54">
        <w:rPr>
          <w:rFonts w:ascii="Times New Roman" w:eastAsia="Times New Roman" w:hAnsi="Times New Roman"/>
          <w:sz w:val="24"/>
          <w:szCs w:val="24"/>
        </w:rPr>
        <w:t xml:space="preserve"> said would be a concern ([Deputy Fire Chief Robert] </w:t>
      </w:r>
      <w:proofErr w:type="spellStart"/>
      <w:r w:rsidRPr="003A0F54">
        <w:rPr>
          <w:rFonts w:ascii="Times New Roman" w:eastAsia="Times New Roman" w:hAnsi="Times New Roman"/>
          <w:sz w:val="24"/>
          <w:szCs w:val="24"/>
        </w:rPr>
        <w:t>Segaria</w:t>
      </w:r>
      <w:proofErr w:type="spellEnd"/>
      <w:r w:rsidRPr="003A0F54">
        <w:rPr>
          <w:rFonts w:ascii="Times New Roman" w:eastAsia="Times New Roman" w:hAnsi="Times New Roman"/>
          <w:sz w:val="24"/>
          <w:szCs w:val="24"/>
        </w:rPr>
        <w:t xml:space="preserve"> Dep. 36:24-37:1 (Doc. 73-2 at 18)). As such, the fire crew's entry into the basement can be considered an extension of their firefighting duties, i.e., remediation of a potential hazard related to the incident or checking for an extension of the fire into the basement. Activities to prevent a fire's recurrence are properly characterized as reasons for firefighters to remain in a building with no warrant and present no Fourth Amendment violation. </w:t>
      </w:r>
      <w:r w:rsidRPr="003A0F54">
        <w:rPr>
          <w:rFonts w:ascii="Times New Roman" w:eastAsia="Times New Roman" w:hAnsi="Times New Roman"/>
          <w:i/>
          <w:iCs/>
          <w:sz w:val="24"/>
          <w:szCs w:val="24"/>
        </w:rPr>
        <w:t>See [U.S. Supreme Court decision in Michigan v.] Tyler,</w:t>
      </w:r>
      <w:r w:rsidRPr="003A0F54">
        <w:rPr>
          <w:rFonts w:ascii="Times New Roman" w:eastAsia="Times New Roman" w:hAnsi="Times New Roman"/>
          <w:sz w:val="24"/>
          <w:szCs w:val="24"/>
        </w:rPr>
        <w:t xml:space="preserve"> 436 U.S. at 510.” </w:t>
      </w:r>
      <w:hyperlink r:id="rId232" w:history="1">
        <w:r w:rsidRPr="00EC5853">
          <w:rPr>
            <w:rStyle w:val="Hyperlink"/>
            <w:rFonts w:ascii="Times New Roman" w:hAnsi="Times New Roman"/>
            <w:sz w:val="24"/>
            <w:szCs w:val="24"/>
          </w:rPr>
          <w:t>https://public.fastcase.com/9SKwsfNqTc6OieYDhNMyM7D5VS5NTHGa%2BVbO5LbgTVCol88giq6gEwqG77t7xxlVdoZinV7rGr3Vonxjs0f%2FBj%2FzJq07gNCdlFI%2FOtwWHGw%3D</w:t>
        </w:r>
      </w:hyperlink>
    </w:p>
    <w:p w14:paraId="4BAA07D2" w14:textId="77777777" w:rsidR="00E51408" w:rsidRPr="003A0F54" w:rsidRDefault="00E51408" w:rsidP="00E51408">
      <w:pPr>
        <w:spacing w:before="100" w:beforeAutospacing="1" w:after="100" w:afterAutospacing="1" w:line="240" w:lineRule="auto"/>
        <w:rPr>
          <w:rFonts w:ascii="Times New Roman" w:eastAsia="Times New Roman" w:hAnsi="Times New Roman"/>
          <w:b/>
          <w:bCs/>
          <w:sz w:val="24"/>
          <w:szCs w:val="24"/>
        </w:rPr>
      </w:pPr>
      <w:r w:rsidRPr="003A0F54">
        <w:rPr>
          <w:rFonts w:ascii="Times New Roman" w:eastAsia="Times New Roman" w:hAnsi="Times New Roman"/>
          <w:b/>
          <w:bCs/>
          <w:sz w:val="24"/>
          <w:szCs w:val="24"/>
        </w:rPr>
        <w:t xml:space="preserve">Legal Lesson Learned: The warrantless entry was lawful, and the Code Enforcement Officer enjoys qualified immunity.  The facts in this case are so clear, it makes you </w:t>
      </w:r>
      <w:proofErr w:type="gramStart"/>
      <w:r w:rsidRPr="003A0F54">
        <w:rPr>
          <w:rFonts w:ascii="Times New Roman" w:eastAsia="Times New Roman" w:hAnsi="Times New Roman"/>
          <w:b/>
          <w:bCs/>
          <w:sz w:val="24"/>
          <w:szCs w:val="24"/>
        </w:rPr>
        <w:t>wonderful</w:t>
      </w:r>
      <w:proofErr w:type="gramEnd"/>
      <w:r w:rsidRPr="003A0F54">
        <w:rPr>
          <w:rFonts w:ascii="Times New Roman" w:eastAsia="Times New Roman" w:hAnsi="Times New Roman"/>
          <w:b/>
          <w:bCs/>
          <w:sz w:val="24"/>
          <w:szCs w:val="24"/>
        </w:rPr>
        <w:t xml:space="preserve"> why the lawsuit was ever filed. </w:t>
      </w:r>
    </w:p>
    <w:p w14:paraId="07F51776" w14:textId="77777777" w:rsidR="00E51408" w:rsidRDefault="00E51408" w:rsidP="002B1283">
      <w:pPr>
        <w:rPr>
          <w:rFonts w:ascii="Arial Black" w:hAnsi="Arial Black"/>
          <w:b/>
          <w:sz w:val="24"/>
          <w:szCs w:val="24"/>
        </w:rPr>
      </w:pPr>
    </w:p>
    <w:p w14:paraId="353F8143" w14:textId="69233D57" w:rsidR="00365F63" w:rsidRDefault="00365F63" w:rsidP="002B1283">
      <w:pPr>
        <w:rPr>
          <w:rFonts w:ascii="Arial Black" w:hAnsi="Arial Black"/>
          <w:b/>
          <w:sz w:val="24"/>
          <w:szCs w:val="24"/>
        </w:rPr>
      </w:pPr>
      <w:r>
        <w:rPr>
          <w:rFonts w:ascii="Arial Black" w:hAnsi="Arial Black"/>
          <w:b/>
          <w:sz w:val="24"/>
          <w:szCs w:val="24"/>
        </w:rPr>
        <w:t>1-91</w:t>
      </w:r>
    </w:p>
    <w:p w14:paraId="71183945" w14:textId="77777777" w:rsidR="00365F63" w:rsidRPr="004620EA" w:rsidRDefault="00365F63" w:rsidP="00365F63">
      <w:pPr>
        <w:spacing w:before="100" w:beforeAutospacing="1" w:after="100" w:afterAutospacing="1" w:line="240" w:lineRule="auto"/>
        <w:rPr>
          <w:rFonts w:ascii="Arial Black" w:hAnsi="Arial Black"/>
          <w:sz w:val="28"/>
          <w:szCs w:val="28"/>
        </w:rPr>
      </w:pPr>
      <w:r>
        <w:rPr>
          <w:rFonts w:ascii="Arial Black" w:hAnsi="Arial Black"/>
          <w:sz w:val="28"/>
          <w:szCs w:val="28"/>
        </w:rPr>
        <w:t>ME: HOUSE UNFIT OCCUPANCY – BOILER, OIL FLOOR, BARE WIRES – NO VIOL. FED. DUE PROCESS, HAD APPEAL RIGHTS</w:t>
      </w:r>
    </w:p>
    <w:p w14:paraId="495A03F4" w14:textId="77777777" w:rsidR="00365F63" w:rsidRDefault="00365F63" w:rsidP="00365F63">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18, 2021, in </w:t>
      </w:r>
      <w:r w:rsidRPr="00652AF8">
        <w:rPr>
          <w:rFonts w:ascii="Times New Roman" w:hAnsi="Times New Roman"/>
          <w:sz w:val="24"/>
          <w:szCs w:val="24"/>
          <w:u w:val="single"/>
        </w:rPr>
        <w:t>Joseph Jurkenas, et al. v. City of Brewer, et al</w:t>
      </w:r>
      <w:r>
        <w:rPr>
          <w:rFonts w:ascii="Times New Roman" w:hAnsi="Times New Roman"/>
          <w:sz w:val="24"/>
          <w:szCs w:val="24"/>
        </w:rPr>
        <w:t xml:space="preserve">., U.S. Magistrate Judge John C. Nivison, U.S. District Court, District of Maine, denied the homeowner’s motion for summary judgement, holding that their federal due process rights were not violated when there when the Fire Department ordered them out of the house because of the dangerous conditions, and the City later issued them a </w:t>
      </w:r>
      <w:r w:rsidRPr="00F22712">
        <w:rPr>
          <w:rFonts w:ascii="Times New Roman" w:hAnsi="Times New Roman"/>
          <w:sz w:val="24"/>
          <w:szCs w:val="24"/>
        </w:rPr>
        <w:t>Notice of Violation and Order of Corrective Action</w:t>
      </w:r>
      <w:r>
        <w:rPr>
          <w:rFonts w:ascii="Times New Roman" w:hAnsi="Times New Roman"/>
          <w:sz w:val="24"/>
          <w:szCs w:val="24"/>
        </w:rPr>
        <w:t xml:space="preserve"> on June 11, 2014. The Notice included their right to appeal to the Zoning Board of Appeals within 30 days; the City reject their late appeal (received July 22, 2014); and homeowners never challenged this in State court.  The City Council considered having building destroyed under State “dangerous building” law but tabled a hearing on Oct. 14, 2014, under their longstanding policy to use ongoing inspections to seek homeowner compliance. </w:t>
      </w:r>
    </w:p>
    <w:p w14:paraId="1D567319" w14:textId="77777777" w:rsidR="00365F63" w:rsidRDefault="00365F63" w:rsidP="00365F6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0B4DD9">
        <w:rPr>
          <w:rFonts w:ascii="Times New Roman" w:hAnsi="Times New Roman"/>
          <w:sz w:val="24"/>
          <w:szCs w:val="24"/>
        </w:rPr>
        <w:t xml:space="preserve">Even if Plaintiffs could ultimately convince a fact finder that there was no emergency that could justify the eviction, Plaintiffs have not shown there was inadequate post-deprivation process available for them to challenge the unfit for habitation determination because there was an administrative appeal and a cause of action in the state courts under Maine Rule of Civil Procedure 80B. </w:t>
      </w:r>
      <w:r>
        <w:rPr>
          <w:rFonts w:ascii="Times New Roman" w:hAnsi="Times New Roman"/>
          <w:sz w:val="24"/>
          <w:szCs w:val="24"/>
        </w:rPr>
        <w:t xml:space="preserve"> </w:t>
      </w:r>
    </w:p>
    <w:p w14:paraId="188A3630" w14:textId="77777777" w:rsidR="00365F63" w:rsidRDefault="00365F63" w:rsidP="00365F6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94D9A72" w14:textId="77777777" w:rsidR="00365F63" w:rsidRDefault="00365F63" w:rsidP="00365F63">
      <w:pPr>
        <w:spacing w:before="100" w:beforeAutospacing="1" w:after="100" w:afterAutospacing="1" w:line="240" w:lineRule="auto"/>
        <w:ind w:left="720"/>
      </w:pPr>
      <w:r w:rsidRPr="004620EA">
        <w:rPr>
          <w:rFonts w:ascii="Times New Roman" w:eastAsia="Times New Roman" w:hAnsi="Times New Roman"/>
          <w:sz w:val="24"/>
          <w:szCs w:val="24"/>
        </w:rPr>
        <w:t xml:space="preserve">Although Plaintiffs argue that they were not told of their right to appeal from the original unfit for habitation decision and dispute the grounds upon which the City denied their appeal, the failure to provide notice of the right to appeal </w:t>
      </w:r>
      <w:r>
        <w:rPr>
          <w:rFonts w:ascii="Times New Roman" w:eastAsia="Times New Roman" w:hAnsi="Times New Roman"/>
          <w:sz w:val="24"/>
          <w:szCs w:val="24"/>
        </w:rPr>
        <w:t>‘</w:t>
      </w:r>
      <w:r w:rsidRPr="004620EA">
        <w:rPr>
          <w:rFonts w:ascii="Times New Roman" w:eastAsia="Times New Roman" w:hAnsi="Times New Roman"/>
          <w:sz w:val="24"/>
          <w:szCs w:val="24"/>
        </w:rPr>
        <w:t>does not render the review remedy constitutionally inadequate</w:t>
      </w:r>
      <w:r>
        <w:rPr>
          <w:rFonts w:ascii="Times New Roman" w:eastAsia="Times New Roman" w:hAnsi="Times New Roman"/>
          <w:sz w:val="24"/>
          <w:szCs w:val="24"/>
        </w:rPr>
        <w:t>’</w:t>
      </w:r>
      <w:r w:rsidRPr="004620EA">
        <w:rPr>
          <w:rFonts w:ascii="Times New Roman" w:eastAsia="Times New Roman" w:hAnsi="Times New Roman"/>
          <w:sz w:val="24"/>
          <w:szCs w:val="24"/>
        </w:rPr>
        <w:t xml:space="preserve"> because </w:t>
      </w:r>
      <w:r>
        <w:rPr>
          <w:rFonts w:ascii="Times New Roman" w:eastAsia="Times New Roman" w:hAnsi="Times New Roman"/>
          <w:sz w:val="24"/>
          <w:szCs w:val="24"/>
        </w:rPr>
        <w:t>‘</w:t>
      </w:r>
      <w:r w:rsidRPr="004620EA">
        <w:rPr>
          <w:rFonts w:ascii="Times New Roman" w:eastAsia="Times New Roman" w:hAnsi="Times New Roman"/>
          <w:sz w:val="24"/>
          <w:szCs w:val="24"/>
        </w:rPr>
        <w:t>in most civil matters, citizens are expected to ask about the method to protest or appeal an initial administrative action (or to hire a lawyer)</w:t>
      </w:r>
      <w:r>
        <w:rPr>
          <w:rFonts w:ascii="Times New Roman" w:eastAsia="Times New Roman" w:hAnsi="Times New Roman"/>
          <w:sz w:val="24"/>
          <w:szCs w:val="24"/>
        </w:rPr>
        <w:t xml:space="preserve">’ </w:t>
      </w:r>
      <w:r w:rsidRPr="004620EA">
        <w:rPr>
          <w:rFonts w:ascii="Times New Roman" w:eastAsia="Times New Roman" w:hAnsi="Times New Roman"/>
          <w:sz w:val="24"/>
          <w:szCs w:val="24"/>
        </w:rPr>
        <w:t>and because Plaintiffs could have challenged the local decision on those grounds in state court</w:t>
      </w:r>
      <w:r>
        <w:rPr>
          <w:rFonts w:ascii="Times New Roman" w:eastAsia="Times New Roman" w:hAnsi="Times New Roman"/>
          <w:sz w:val="24"/>
          <w:szCs w:val="24"/>
        </w:rPr>
        <w:t>…</w:t>
      </w:r>
      <w:r w:rsidRPr="004620EA">
        <w:rPr>
          <w:rFonts w:ascii="Times New Roman" w:eastAsia="Times New Roman" w:hAnsi="Times New Roman"/>
          <w:sz w:val="24"/>
          <w:szCs w:val="24"/>
        </w:rPr>
        <w:t>. Plaintiffs have simply not demonstrated that as a matter of law there was no actual emergency nor have Plaintiffs demonstrated as a matter of law that they were due more process under the applicable legal authority.</w:t>
      </w:r>
    </w:p>
    <w:p w14:paraId="012AB413" w14:textId="77777777" w:rsidR="00365F63" w:rsidRDefault="00365F63" w:rsidP="00365F63">
      <w:pPr>
        <w:spacing w:before="100" w:beforeAutospacing="1" w:after="100" w:afterAutospacing="1" w:line="240" w:lineRule="auto"/>
        <w:ind w:left="720"/>
      </w:pPr>
      <w:r>
        <w:t>***</w:t>
      </w:r>
    </w:p>
    <w:p w14:paraId="4180465D" w14:textId="7638A9A2" w:rsidR="00365F63" w:rsidRDefault="00365F63" w:rsidP="00365F63">
      <w:pPr>
        <w:rPr>
          <w:rStyle w:val="Hyperlink"/>
          <w:rFonts w:ascii="Times New Roman" w:eastAsia="Times New Roman" w:hAnsi="Times New Roman"/>
          <w:sz w:val="24"/>
          <w:szCs w:val="24"/>
        </w:rPr>
      </w:pPr>
      <w:r w:rsidRPr="004620EA">
        <w:rPr>
          <w:rFonts w:ascii="Times New Roman" w:hAnsi="Times New Roman"/>
          <w:sz w:val="24"/>
          <w:szCs w:val="24"/>
        </w:rPr>
        <w:t>Accordingly, the Court informs Plaintiff that it will consider Defendants' request for summary judgment and that if Plaintiffs wish to respond to Defendants' request, Plaintiffs shall file their response on or before December 9, 2021.</w:t>
      </w:r>
      <w:r>
        <w:rPr>
          <w:rFonts w:ascii="Times New Roman" w:hAnsi="Times New Roman"/>
          <w:sz w:val="24"/>
          <w:szCs w:val="24"/>
        </w:rPr>
        <w:t xml:space="preserve">” </w:t>
      </w:r>
      <w:hyperlink r:id="rId233" w:history="1">
        <w:r w:rsidRPr="00A37CB0">
          <w:rPr>
            <w:rStyle w:val="Hyperlink"/>
            <w:rFonts w:ascii="Times New Roman" w:eastAsia="Times New Roman" w:hAnsi="Times New Roman"/>
            <w:sz w:val="24"/>
            <w:szCs w:val="24"/>
          </w:rPr>
          <w:t>https://public.fastcase.com/9SKwsfNqTc6OieYDhNMyM84JhiUntSQtUCBlgd6lzoL5y1g0gwdSndjfCHFHqJkk4vcRDuTZ3RRxLgM1%2Fyx%2BQdiK9wqe8J4wfwe4xg454y8%3D</w:t>
        </w:r>
      </w:hyperlink>
    </w:p>
    <w:p w14:paraId="3D37947D" w14:textId="77777777" w:rsidR="00365F63" w:rsidRPr="00917D62" w:rsidRDefault="00365F63" w:rsidP="00365F63">
      <w:pPr>
        <w:pStyle w:val="NormalWeb"/>
        <w:rPr>
          <w:b/>
          <w:bCs/>
        </w:rPr>
      </w:pPr>
      <w:r w:rsidRPr="00917D62">
        <w:rPr>
          <w:b/>
          <w:bCs/>
        </w:rPr>
        <w:t xml:space="preserve">Legal Lesson Learned: </w:t>
      </w:r>
      <w:r>
        <w:rPr>
          <w:b/>
          <w:bCs/>
        </w:rPr>
        <w:t xml:space="preserve"> The City properly gave homeowner opportunity to appeal to the Zoning Board of Appeals; there was no requirement that City hold a hearing since they decided not to destroy the home under State “dangerous buildings” statute. </w:t>
      </w:r>
    </w:p>
    <w:p w14:paraId="18484B2A" w14:textId="77777777" w:rsidR="00365F63" w:rsidRPr="00567B6A" w:rsidRDefault="00365F63" w:rsidP="00365F63">
      <w:pPr>
        <w:spacing w:before="100" w:beforeAutospacing="1" w:after="100" w:afterAutospacing="1" w:line="240" w:lineRule="auto"/>
        <w:ind w:left="720"/>
        <w:rPr>
          <w:rFonts w:ascii="Times New Roman" w:eastAsia="Times New Roman" w:hAnsi="Times New Roman"/>
          <w:sz w:val="24"/>
          <w:szCs w:val="24"/>
        </w:rPr>
      </w:pPr>
      <w:r w:rsidRPr="00567B6A">
        <w:rPr>
          <w:rFonts w:ascii="Times New Roman" w:eastAsia="Times New Roman" w:hAnsi="Times New Roman"/>
          <w:sz w:val="24"/>
          <w:szCs w:val="24"/>
        </w:rPr>
        <w:t>Note: See Maine “</w:t>
      </w:r>
      <w:r>
        <w:rPr>
          <w:rFonts w:ascii="Times New Roman" w:eastAsia="Times New Roman" w:hAnsi="Times New Roman"/>
          <w:sz w:val="24"/>
          <w:szCs w:val="24"/>
        </w:rPr>
        <w:t>d</w:t>
      </w:r>
      <w:r w:rsidRPr="00567B6A">
        <w:rPr>
          <w:rFonts w:ascii="Times New Roman" w:eastAsia="Times New Roman" w:hAnsi="Times New Roman"/>
          <w:sz w:val="24"/>
          <w:szCs w:val="24"/>
        </w:rPr>
        <w:t xml:space="preserve">angerous </w:t>
      </w:r>
      <w:r>
        <w:rPr>
          <w:rFonts w:ascii="Times New Roman" w:eastAsia="Times New Roman" w:hAnsi="Times New Roman"/>
          <w:sz w:val="24"/>
          <w:szCs w:val="24"/>
        </w:rPr>
        <w:t>b</w:t>
      </w:r>
      <w:r w:rsidRPr="00567B6A">
        <w:rPr>
          <w:rFonts w:ascii="Times New Roman" w:eastAsia="Times New Roman" w:hAnsi="Times New Roman"/>
          <w:sz w:val="24"/>
          <w:szCs w:val="24"/>
        </w:rPr>
        <w:t>uilding</w:t>
      </w:r>
      <w:r>
        <w:rPr>
          <w:rFonts w:ascii="Times New Roman" w:eastAsia="Times New Roman" w:hAnsi="Times New Roman"/>
          <w:sz w:val="24"/>
          <w:szCs w:val="24"/>
        </w:rPr>
        <w:t>s</w:t>
      </w:r>
      <w:r w:rsidRPr="00567B6A">
        <w:rPr>
          <w:rFonts w:ascii="Times New Roman" w:eastAsia="Times New Roman" w:hAnsi="Times New Roman"/>
          <w:sz w:val="24"/>
          <w:szCs w:val="24"/>
        </w:rPr>
        <w:t xml:space="preserve">” statute: </w:t>
      </w:r>
      <w:hyperlink r:id="rId234" w:history="1">
        <w:r w:rsidRPr="00567B6A">
          <w:rPr>
            <w:rStyle w:val="Hyperlink"/>
            <w:rFonts w:ascii="Times New Roman" w:eastAsia="Times New Roman" w:hAnsi="Times New Roman"/>
            <w:sz w:val="24"/>
            <w:szCs w:val="24"/>
          </w:rPr>
          <w:t>https://www.mainelegislature.org/legis/statutes/17/title17sec2851.html</w:t>
        </w:r>
      </w:hyperlink>
      <w:r w:rsidRPr="00567B6A">
        <w:rPr>
          <w:rFonts w:ascii="Times New Roman" w:eastAsia="Times New Roman" w:hAnsi="Times New Roman"/>
          <w:sz w:val="24"/>
          <w:szCs w:val="24"/>
        </w:rPr>
        <w:t xml:space="preserve"> </w:t>
      </w:r>
    </w:p>
    <w:p w14:paraId="2878563D" w14:textId="77777777" w:rsidR="00365F63" w:rsidRPr="00567B6A" w:rsidRDefault="00365F63" w:rsidP="00365F63">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r w:rsidRPr="00567B6A">
        <w:rPr>
          <w:rFonts w:ascii="Times New Roman" w:hAnsi="Times New Roman"/>
          <w:sz w:val="24"/>
          <w:szCs w:val="24"/>
        </w:rPr>
        <w:t xml:space="preserve">The municipal officers in the case of a municipality or the county commissioners in the case of the unorganized or </w:t>
      </w:r>
      <w:proofErr w:type="spellStart"/>
      <w:r w:rsidRPr="00567B6A">
        <w:rPr>
          <w:rFonts w:ascii="Times New Roman" w:hAnsi="Times New Roman"/>
          <w:sz w:val="24"/>
          <w:szCs w:val="24"/>
        </w:rPr>
        <w:t>deorganized</w:t>
      </w:r>
      <w:proofErr w:type="spellEnd"/>
      <w:r w:rsidRPr="00567B6A">
        <w:rPr>
          <w:rFonts w:ascii="Times New Roman" w:hAnsi="Times New Roman"/>
          <w:sz w:val="24"/>
          <w:szCs w:val="24"/>
        </w:rPr>
        <w:t xml:space="preserve"> areas in their county may after notice pursuant to </w:t>
      </w:r>
      <w:hyperlink r:id="rId235" w:history="1">
        <w:r w:rsidRPr="00567B6A">
          <w:rPr>
            <w:rStyle w:val="Hyperlink"/>
            <w:rFonts w:ascii="Times New Roman" w:hAnsi="Times New Roman"/>
            <w:sz w:val="24"/>
            <w:szCs w:val="24"/>
          </w:rPr>
          <w:t>section 2857</w:t>
        </w:r>
      </w:hyperlink>
      <w:r w:rsidRPr="00567B6A">
        <w:rPr>
          <w:rFonts w:ascii="Times New Roman" w:hAnsi="Times New Roman"/>
          <w:sz w:val="24"/>
          <w:szCs w:val="24"/>
        </w:rPr>
        <w:t xml:space="preserve"> and hearing adjudge a building to be a nuisance or dangerous, in accordance with </w:t>
      </w:r>
      <w:hyperlink r:id="rId236" w:history="1">
        <w:r w:rsidRPr="00567B6A">
          <w:rPr>
            <w:rStyle w:val="Hyperlink"/>
            <w:rFonts w:ascii="Times New Roman" w:hAnsi="Times New Roman"/>
            <w:sz w:val="24"/>
            <w:szCs w:val="24"/>
          </w:rPr>
          <w:t>subsection 2-A</w:t>
        </w:r>
      </w:hyperlink>
      <w:r w:rsidRPr="00567B6A">
        <w:rPr>
          <w:rFonts w:ascii="Times New Roman" w:hAnsi="Times New Roman"/>
          <w:sz w:val="24"/>
          <w:szCs w:val="24"/>
        </w:rPr>
        <w:t xml:space="preserve">, and may make and record an order, in accordance with </w:t>
      </w:r>
      <w:hyperlink r:id="rId237" w:history="1">
        <w:r w:rsidRPr="00567B6A">
          <w:rPr>
            <w:rStyle w:val="Hyperlink"/>
            <w:rFonts w:ascii="Times New Roman" w:hAnsi="Times New Roman"/>
            <w:sz w:val="24"/>
            <w:szCs w:val="24"/>
          </w:rPr>
          <w:t>subsection 3</w:t>
        </w:r>
      </w:hyperlink>
      <w:r w:rsidRPr="00567B6A">
        <w:rPr>
          <w:rFonts w:ascii="Times New Roman" w:hAnsi="Times New Roman"/>
          <w:sz w:val="24"/>
          <w:szCs w:val="24"/>
        </w:rPr>
        <w:t>, prescribing what disposal must be made of that building. The order may allow for delay of disposal if the owner or party in interest has demonstrated the ability and willingness to satisfactorily rehabilitate the building</w:t>
      </w:r>
      <w:r>
        <w:rPr>
          <w:rFonts w:ascii="Times New Roman" w:hAnsi="Times New Roman"/>
          <w:sz w:val="24"/>
          <w:szCs w:val="24"/>
        </w:rPr>
        <w:t>.”</w:t>
      </w:r>
    </w:p>
    <w:p w14:paraId="76D0A42F" w14:textId="77777777" w:rsidR="00365F63" w:rsidRDefault="00365F63" w:rsidP="00365F63">
      <w:pPr>
        <w:rPr>
          <w:rFonts w:ascii="Arial Black" w:hAnsi="Arial Black"/>
          <w:b/>
          <w:sz w:val="24"/>
          <w:szCs w:val="24"/>
        </w:rPr>
      </w:pPr>
    </w:p>
    <w:p w14:paraId="4453A18D" w14:textId="77777777" w:rsidR="00365F63" w:rsidRDefault="00365F63" w:rsidP="002B1283">
      <w:pPr>
        <w:rPr>
          <w:rFonts w:ascii="Arial Black" w:hAnsi="Arial Black"/>
          <w:b/>
          <w:sz w:val="24"/>
          <w:szCs w:val="24"/>
        </w:rPr>
      </w:pPr>
    </w:p>
    <w:p w14:paraId="7BDE9A22" w14:textId="604EA66E" w:rsidR="00D84F3A" w:rsidRDefault="00D84F3A" w:rsidP="002B1283">
      <w:pPr>
        <w:rPr>
          <w:rFonts w:ascii="Arial Black" w:hAnsi="Arial Black"/>
          <w:b/>
          <w:sz w:val="24"/>
          <w:szCs w:val="24"/>
        </w:rPr>
      </w:pPr>
      <w:r>
        <w:rPr>
          <w:rFonts w:ascii="Arial Black" w:hAnsi="Arial Black"/>
          <w:b/>
          <w:sz w:val="24"/>
          <w:szCs w:val="24"/>
        </w:rPr>
        <w:t>1-90</w:t>
      </w:r>
    </w:p>
    <w:p w14:paraId="16E692C6" w14:textId="6503E5BB" w:rsidR="00D84F3A" w:rsidRPr="00AA3338" w:rsidRDefault="00D84F3A" w:rsidP="00D84F3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 FALSE ALARM ORDINANCE – ILLEGAL “DOUBLE TAX” -</w:t>
      </w:r>
      <w:r w:rsidR="00E869E6">
        <w:rPr>
          <w:rFonts w:ascii="Arial Black" w:eastAsia="Times New Roman" w:hAnsi="Arial Black"/>
          <w:b/>
          <w:bCs/>
          <w:sz w:val="28"/>
          <w:szCs w:val="28"/>
        </w:rPr>
        <w:t xml:space="preserve"> </w:t>
      </w:r>
      <w:r>
        <w:rPr>
          <w:rFonts w:ascii="Arial Black" w:eastAsia="Times New Roman" w:hAnsi="Arial Black"/>
          <w:b/>
          <w:bCs/>
          <w:sz w:val="28"/>
          <w:szCs w:val="28"/>
        </w:rPr>
        <w:t xml:space="preserve">ALARM CO. $250 / YR – RESID. $50, BUS. $100 TWO YRS.  </w:t>
      </w:r>
    </w:p>
    <w:p w14:paraId="269980DC" w14:textId="77777777" w:rsidR="00D84F3A" w:rsidRDefault="00D84F3A" w:rsidP="00D84F3A">
      <w:pPr>
        <w:rPr>
          <w:rFonts w:ascii="Times New Roman" w:hAnsi="Times New Roman"/>
          <w:sz w:val="24"/>
          <w:szCs w:val="24"/>
        </w:rPr>
      </w:pPr>
      <w:r>
        <w:rPr>
          <w:rFonts w:ascii="Times New Roman" w:hAnsi="Times New Roman"/>
          <w:sz w:val="24"/>
          <w:szCs w:val="24"/>
        </w:rPr>
        <w:t xml:space="preserve">On Nov. 10, 2021, in </w:t>
      </w:r>
      <w:r w:rsidRPr="006F3656">
        <w:rPr>
          <w:rFonts w:ascii="Times New Roman" w:hAnsi="Times New Roman"/>
          <w:sz w:val="24"/>
          <w:szCs w:val="24"/>
          <w:u w:val="single"/>
        </w:rPr>
        <w:t>Andrew White, et al. v. City of Cincinnati</w:t>
      </w:r>
      <w:r>
        <w:rPr>
          <w:rFonts w:ascii="Times New Roman" w:hAnsi="Times New Roman"/>
          <w:sz w:val="24"/>
          <w:szCs w:val="24"/>
        </w:rPr>
        <w:t xml:space="preserve">, the Ohio Court of Appeals, First Appellate District (Hamilton County), held (3 to 0) in lawsuit brought by companies that install and maintain alarm systems, and users of alarm systems, that the current city ordinance is unconstitutional.  </w:t>
      </w:r>
      <w:r w:rsidRPr="005555E8">
        <w:rPr>
          <w:rFonts w:ascii="Times New Roman" w:hAnsi="Times New Roman"/>
          <w:sz w:val="24"/>
          <w:szCs w:val="24"/>
        </w:rPr>
        <w:t>Alarm businesses must pay a registration fee of $250 annually. If an alarm business fails to register, the city imposes a $1000 civil penalty for each request for a police response related to an alarm system by an unregistered alarm business or for each request by an alarm user for registration of an alarm system installed by an unregistered alarm business.</w:t>
      </w:r>
      <w:r>
        <w:rPr>
          <w:rFonts w:ascii="Times New Roman" w:hAnsi="Times New Roman"/>
          <w:sz w:val="24"/>
          <w:szCs w:val="24"/>
        </w:rPr>
        <w:t xml:space="preserve"> </w:t>
      </w:r>
      <w:r w:rsidRPr="005555E8">
        <w:rPr>
          <w:rFonts w:ascii="Times New Roman" w:hAnsi="Times New Roman"/>
          <w:sz w:val="24"/>
          <w:szCs w:val="24"/>
        </w:rPr>
        <w:t xml:space="preserve">Alarm users must also register with </w:t>
      </w:r>
      <w:r>
        <w:rPr>
          <w:rFonts w:ascii="Times New Roman" w:hAnsi="Times New Roman"/>
          <w:sz w:val="24"/>
          <w:szCs w:val="24"/>
        </w:rPr>
        <w:t xml:space="preserve">Police Department </w:t>
      </w:r>
      <w:r w:rsidRPr="005555E8">
        <w:rPr>
          <w:rFonts w:ascii="Times New Roman" w:hAnsi="Times New Roman"/>
          <w:sz w:val="24"/>
          <w:szCs w:val="24"/>
        </w:rPr>
        <w:t xml:space="preserve">before an alarm system is activated. Residential alarm users must pay $50 every two </w:t>
      </w:r>
      <w:proofErr w:type="gramStart"/>
      <w:r w:rsidRPr="005555E8">
        <w:rPr>
          <w:rFonts w:ascii="Times New Roman" w:hAnsi="Times New Roman"/>
          <w:sz w:val="24"/>
          <w:szCs w:val="24"/>
        </w:rPr>
        <w:t>years</w:t>
      </w:r>
      <w:proofErr w:type="gramEnd"/>
      <w:r w:rsidRPr="005555E8">
        <w:rPr>
          <w:rFonts w:ascii="Times New Roman" w:hAnsi="Times New Roman"/>
          <w:sz w:val="24"/>
          <w:szCs w:val="24"/>
        </w:rPr>
        <w:t xml:space="preserve"> and nonresidential alarm users must pay $100 every two years. The city imposes a $100 civil penalty on an alarm user for using an unregistered alarm system, but the penalties may be waived if the alarm user completes registration within 21 days of the first notice of a violation. All fees imposed on both alarm businesses and alarm users are non-refundable, nontransferable, and </w:t>
      </w:r>
      <w:proofErr w:type="gramStart"/>
      <w:r w:rsidRPr="005555E8">
        <w:rPr>
          <w:rFonts w:ascii="Times New Roman" w:hAnsi="Times New Roman"/>
          <w:sz w:val="24"/>
          <w:szCs w:val="24"/>
        </w:rPr>
        <w:t>location-specific</w:t>
      </w:r>
      <w:proofErr w:type="gramEnd"/>
      <w:r w:rsidRPr="005555E8">
        <w:rPr>
          <w:rFonts w:ascii="Times New Roman" w:hAnsi="Times New Roman"/>
          <w:sz w:val="24"/>
          <w:szCs w:val="24"/>
        </w:rPr>
        <w:t>.</w:t>
      </w:r>
    </w:p>
    <w:p w14:paraId="69F143F9" w14:textId="77777777" w:rsidR="00D84F3A" w:rsidRDefault="00D84F3A" w:rsidP="00D84F3A">
      <w:pPr>
        <w:pStyle w:val="NormalWeb"/>
        <w:ind w:left="720"/>
      </w:pPr>
      <w:r>
        <w:t>“[T]</w:t>
      </w:r>
      <w:r w:rsidRPr="00AA3338">
        <w:t xml:space="preserve">he city does not provide the alarm businesses or the alarm users with any services over and above what it already provides for taxpayers in general. Chapter 807 does not entitle alarm business and alarm users to any particular response from the city or give them the right to any particular response. The city has not given anything to them for which it can ask for the assessments in return. The assessments, particularly the registration fees, do not bear a reasonable relationship </w:t>
      </w:r>
      <w:proofErr w:type="gramStart"/>
      <w:r w:rsidRPr="00AA3338">
        <w:t>to</w:t>
      </w:r>
      <w:proofErr w:type="gramEnd"/>
      <w:r w:rsidRPr="00AA3338">
        <w:t xml:space="preserve"> protections, benefits or opportunities provided by the city to those paying the assessments.</w:t>
      </w:r>
    </w:p>
    <w:p w14:paraId="67C98F4E" w14:textId="77777777" w:rsidR="00D84F3A" w:rsidRPr="00AA3338" w:rsidRDefault="00D84F3A" w:rsidP="00D84F3A">
      <w:pPr>
        <w:pStyle w:val="NormalWeb"/>
        <w:ind w:left="720"/>
      </w:pPr>
      <w:r w:rsidRPr="00AA3338">
        <w:t>Based on this analysis, we hold that the assessments imposed by Cincinnati Municipal Code 807-1-A4 violate the Due Process Clauses of the Ohio and United States Constitutions. We do not hold that the city is prohibited from amending the current ordinance or passing another ordinance regulating alarm systems and false alarms. If it is so inclined, the city must do so in a manner that assures that the assessments constitute a fee rather than a tax.</w:t>
      </w:r>
      <w:r>
        <w:t xml:space="preserve">” </w:t>
      </w:r>
      <w:hyperlink r:id="rId238" w:history="1">
        <w:r w:rsidRPr="0064789D">
          <w:rPr>
            <w:rStyle w:val="Hyperlink"/>
          </w:rPr>
          <w:t>https://www.supremecourt.ohio.gov/rod/docs/pdf/1/2021/2021-Ohio-4003.pdf</w:t>
        </w:r>
      </w:hyperlink>
      <w:r>
        <w:t xml:space="preserve"> </w:t>
      </w:r>
    </w:p>
    <w:p w14:paraId="37E55BF3" w14:textId="77777777" w:rsidR="00365F63" w:rsidRPr="00A77CD4" w:rsidRDefault="00365F63" w:rsidP="00365F63">
      <w:pPr>
        <w:pStyle w:val="NormalWeb"/>
        <w:rPr>
          <w:b/>
          <w:bCs/>
        </w:rPr>
      </w:pPr>
      <w:r w:rsidRPr="00A77CD4">
        <w:rPr>
          <w:b/>
          <w:bCs/>
        </w:rPr>
        <w:t>Legal Lesson Learned:</w:t>
      </w:r>
      <w:r>
        <w:rPr>
          <w:b/>
          <w:bCs/>
        </w:rPr>
        <w:t xml:space="preserve">  The City may now adopt a new ordinance only setting fines for false alarms. </w:t>
      </w:r>
    </w:p>
    <w:p w14:paraId="750545A0" w14:textId="77777777" w:rsidR="00365F63" w:rsidRDefault="00365F63" w:rsidP="00365F63">
      <w:pPr>
        <w:pStyle w:val="NormalWeb"/>
        <w:ind w:left="720"/>
        <w:rPr>
          <w:rStyle w:val="post-title"/>
          <w:rFonts w:eastAsiaTheme="majorEastAsia"/>
        </w:rPr>
      </w:pPr>
      <w:r>
        <w:t>Note: See article on this case; Nov. 15, 2021: “</w:t>
      </w:r>
      <w:r>
        <w:rPr>
          <w:rStyle w:val="post-title"/>
          <w:rFonts w:eastAsiaTheme="majorEastAsia"/>
        </w:rPr>
        <w:t xml:space="preserve">Cincinnati burglar arm fee struck down. ‘A giant scam’ says lawyer.” </w:t>
      </w:r>
      <w:hyperlink r:id="rId239" w:history="1">
        <w:r w:rsidRPr="00AA5D51">
          <w:rPr>
            <w:rStyle w:val="Hyperlink"/>
            <w:rFonts w:eastAsiaTheme="majorEastAsia"/>
          </w:rPr>
          <w:t>https://ohiotimes.news/cincinnati-burglar-arm-fee-struck-down-a-giant-scam-says-lawyer/?doing_wp_cron=1637522583.8115420341491699218750</w:t>
        </w:r>
      </w:hyperlink>
      <w:r>
        <w:rPr>
          <w:rStyle w:val="post-title"/>
          <w:rFonts w:eastAsiaTheme="majorEastAsia"/>
        </w:rPr>
        <w:t xml:space="preserve"> </w:t>
      </w:r>
    </w:p>
    <w:p w14:paraId="26549BB7" w14:textId="77777777" w:rsidR="00D84F3A" w:rsidRDefault="00D84F3A" w:rsidP="002B1283">
      <w:pPr>
        <w:rPr>
          <w:rFonts w:ascii="Arial Black" w:hAnsi="Arial Black"/>
          <w:b/>
          <w:sz w:val="24"/>
          <w:szCs w:val="24"/>
        </w:rPr>
      </w:pPr>
    </w:p>
    <w:p w14:paraId="1D8774E3" w14:textId="77777777" w:rsidR="00D84F3A" w:rsidRDefault="00D84F3A" w:rsidP="002B1283">
      <w:pPr>
        <w:rPr>
          <w:rFonts w:ascii="Arial Black" w:hAnsi="Arial Black"/>
          <w:b/>
          <w:sz w:val="24"/>
          <w:szCs w:val="24"/>
        </w:rPr>
      </w:pPr>
    </w:p>
    <w:p w14:paraId="36815AAF" w14:textId="25CBFBCC" w:rsidR="00D84F3A" w:rsidRDefault="00D84F3A" w:rsidP="002B1283">
      <w:pPr>
        <w:rPr>
          <w:rFonts w:ascii="Arial Black" w:hAnsi="Arial Black"/>
          <w:b/>
          <w:sz w:val="24"/>
          <w:szCs w:val="24"/>
        </w:rPr>
      </w:pPr>
      <w:r>
        <w:rPr>
          <w:rFonts w:ascii="Arial Black" w:hAnsi="Arial Black"/>
          <w:b/>
          <w:sz w:val="24"/>
          <w:szCs w:val="24"/>
        </w:rPr>
        <w:t>1-89</w:t>
      </w:r>
    </w:p>
    <w:p w14:paraId="54AFBDC8" w14:textId="77777777" w:rsidR="00D84F3A" w:rsidRPr="00E22703" w:rsidRDefault="00D84F3A" w:rsidP="00D84F3A">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KY: EVIDENCE SUPPRESSED - WELLNESS CHECK - VOL. FF HEADFIRST INTO CAR - NOT “COMMUNITY CARETAKING”</w:t>
      </w:r>
    </w:p>
    <w:p w14:paraId="751089A7" w14:textId="77777777" w:rsidR="00D84F3A" w:rsidRPr="00B20BEC" w:rsidRDefault="00D84F3A" w:rsidP="00D84F3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2, 2021, in </w:t>
      </w:r>
      <w:r w:rsidRPr="00B20BEC">
        <w:rPr>
          <w:rFonts w:ascii="Times New Roman" w:hAnsi="Times New Roman"/>
          <w:sz w:val="24"/>
          <w:szCs w:val="24"/>
          <w:u w:val="single"/>
        </w:rPr>
        <w:t>United States of America v. Michael M. Fairrow, Jr</w:t>
      </w:r>
      <w:r>
        <w:rPr>
          <w:rFonts w:ascii="Times New Roman" w:hAnsi="Times New Roman"/>
          <w:sz w:val="24"/>
          <w:szCs w:val="24"/>
        </w:rPr>
        <w:t xml:space="preserve">,, U.S. District Court Senior Judge Joseph R. McKinley Jr., U.S. District Court for Western District of Kentucky (Owensboro Division) upheld defendant’s motion to suppress evidence seized in his car: </w:t>
      </w:r>
      <w:r w:rsidRPr="00B20BEC">
        <w:rPr>
          <w:rFonts w:ascii="Times New Roman" w:hAnsi="Times New Roman"/>
          <w:sz w:val="24"/>
          <w:szCs w:val="24"/>
        </w:rPr>
        <w:t xml:space="preserve">five bags of methamphetamine and a loaded nine-millimeter handgun in a backpack in the back seat. </w:t>
      </w:r>
      <w:r>
        <w:rPr>
          <w:rFonts w:ascii="Times New Roman" w:hAnsi="Times New Roman"/>
          <w:sz w:val="24"/>
          <w:szCs w:val="24"/>
        </w:rPr>
        <w:t xml:space="preserve">The Court rejected the government’s argument that volunteer firefighter Michael Wahl was lawfully trying to stop the car from leaving under the “Community Caretaking Doctrine.” </w:t>
      </w:r>
    </w:p>
    <w:p w14:paraId="167DD05E" w14:textId="77777777" w:rsidR="00D84F3A" w:rsidRDefault="00D84F3A" w:rsidP="00D84F3A">
      <w:pPr>
        <w:spacing w:before="100" w:beforeAutospacing="1" w:after="100" w:afterAutospacing="1" w:line="240" w:lineRule="auto"/>
        <w:ind w:left="720"/>
        <w:rPr>
          <w:rStyle w:val="Emphasis"/>
          <w:rFonts w:ascii="Times New Roman" w:hAnsi="Times New Roman"/>
          <w:sz w:val="24"/>
          <w:szCs w:val="24"/>
        </w:rPr>
      </w:pPr>
      <w:r>
        <w:rPr>
          <w:rFonts w:ascii="Times New Roman" w:hAnsi="Times New Roman"/>
          <w:sz w:val="24"/>
          <w:szCs w:val="24"/>
        </w:rPr>
        <w:t>“</w:t>
      </w:r>
      <w:r w:rsidRPr="005F7F88">
        <w:rPr>
          <w:rFonts w:ascii="Times New Roman" w:hAnsi="Times New Roman"/>
          <w:sz w:val="24"/>
          <w:szCs w:val="24"/>
        </w:rPr>
        <w:t>Basically, Wahl lacked facts about Fairrow's medical condition. He jumped through the window so he could figure out more. The Fourth Amendment flatly proscribes this shoot-</w:t>
      </w:r>
      <w:proofErr w:type="gramStart"/>
      <w:r w:rsidRPr="005F7F88">
        <w:rPr>
          <w:rFonts w:ascii="Times New Roman" w:hAnsi="Times New Roman"/>
          <w:sz w:val="24"/>
          <w:szCs w:val="24"/>
        </w:rPr>
        <w:t>first-ask</w:t>
      </w:r>
      <w:proofErr w:type="gramEnd"/>
      <w:r w:rsidRPr="005F7F88">
        <w:rPr>
          <w:rFonts w:ascii="Times New Roman" w:hAnsi="Times New Roman"/>
          <w:sz w:val="24"/>
          <w:szCs w:val="24"/>
        </w:rPr>
        <w:t xml:space="preserve">-questions-later approach. </w:t>
      </w:r>
    </w:p>
    <w:p w14:paraId="73AF73FF" w14:textId="77777777" w:rsidR="00D84F3A" w:rsidRPr="00BA25D8" w:rsidRDefault="00D84F3A" w:rsidP="00D84F3A">
      <w:pPr>
        <w:spacing w:before="100" w:beforeAutospacing="1" w:after="100" w:afterAutospacing="1" w:line="240" w:lineRule="auto"/>
        <w:ind w:left="720"/>
        <w:rPr>
          <w:rFonts w:ascii="Times New Roman" w:hAnsi="Times New Roman"/>
          <w:sz w:val="24"/>
          <w:szCs w:val="24"/>
        </w:rPr>
      </w:pPr>
      <w:r>
        <w:rPr>
          <w:rStyle w:val="Emphasis"/>
          <w:rFonts w:ascii="Times New Roman" w:hAnsi="Times New Roman"/>
          <w:sz w:val="24"/>
          <w:szCs w:val="24"/>
        </w:rPr>
        <w:t>***</w:t>
      </w:r>
    </w:p>
    <w:p w14:paraId="2D01F347" w14:textId="77777777" w:rsidR="00D84F3A" w:rsidRPr="00D81A8F" w:rsidRDefault="00D84F3A" w:rsidP="00D84F3A">
      <w:pPr>
        <w:spacing w:before="100" w:beforeAutospacing="1" w:after="100" w:afterAutospacing="1" w:line="240" w:lineRule="auto"/>
        <w:ind w:left="720"/>
        <w:rPr>
          <w:rFonts w:ascii="Times New Roman" w:hAnsi="Times New Roman"/>
          <w:sz w:val="24"/>
          <w:szCs w:val="24"/>
        </w:rPr>
      </w:pPr>
      <w:r w:rsidRPr="00D81A8F">
        <w:rPr>
          <w:rFonts w:ascii="Times New Roman" w:hAnsi="Times New Roman"/>
          <w:sz w:val="24"/>
          <w:szCs w:val="24"/>
        </w:rPr>
        <w:t xml:space="preserve">These facts render this case a far cry from </w:t>
      </w:r>
      <w:r w:rsidRPr="00D81A8F">
        <w:rPr>
          <w:rStyle w:val="Emphasis"/>
          <w:rFonts w:ascii="Times New Roman" w:hAnsi="Times New Roman"/>
          <w:sz w:val="24"/>
          <w:szCs w:val="24"/>
        </w:rPr>
        <w:t>United States v. Overton,</w:t>
      </w:r>
      <w:r w:rsidRPr="00D81A8F">
        <w:rPr>
          <w:rFonts w:ascii="Times New Roman" w:hAnsi="Times New Roman"/>
          <w:sz w:val="24"/>
          <w:szCs w:val="24"/>
        </w:rPr>
        <w:t xml:space="preserve"> the most relevant Sixth Circuit precedent. 600 </w:t>
      </w:r>
      <w:proofErr w:type="spellStart"/>
      <w:r w:rsidRPr="00D81A8F">
        <w:rPr>
          <w:rFonts w:ascii="Times New Roman" w:hAnsi="Times New Roman"/>
          <w:sz w:val="24"/>
          <w:szCs w:val="24"/>
        </w:rPr>
        <w:t>Fed.Appx</w:t>
      </w:r>
      <w:proofErr w:type="spellEnd"/>
      <w:r w:rsidRPr="00D81A8F">
        <w:rPr>
          <w:rFonts w:ascii="Times New Roman" w:hAnsi="Times New Roman"/>
          <w:sz w:val="24"/>
          <w:szCs w:val="24"/>
        </w:rPr>
        <w:t>. 303, 310 (6th Cir. 2014) ]</w:t>
      </w:r>
      <w:hyperlink r:id="rId240" w:history="1">
        <w:r w:rsidRPr="00D81A8F">
          <w:rPr>
            <w:rStyle w:val="Hyperlink"/>
            <w:rFonts w:ascii="Times New Roman" w:hAnsi="Times New Roman"/>
            <w:sz w:val="24"/>
            <w:szCs w:val="24"/>
          </w:rPr>
          <w:t>https://law.justia.com/cases/federal/appellate-courts/ca6/13-3274/13-3274-2014-03-13.html</w:t>
        </w:r>
      </w:hyperlink>
      <w:r w:rsidRPr="00D81A8F">
        <w:rPr>
          <w:rFonts w:ascii="Times New Roman" w:hAnsi="Times New Roman"/>
          <w:sz w:val="24"/>
          <w:szCs w:val="24"/>
        </w:rPr>
        <w:t xml:space="preserve">]. In Overton, the court held there was no unreasonable seizure when EMS personnel detained a man, who had been unconscious when they arrived on scene, for thirty seconds out of concern for his medical wellbeing. </w:t>
      </w:r>
      <w:r w:rsidRPr="00D81A8F">
        <w:rPr>
          <w:rStyle w:val="Emphasis"/>
          <w:rFonts w:ascii="Times New Roman" w:hAnsi="Times New Roman"/>
          <w:sz w:val="24"/>
          <w:szCs w:val="24"/>
        </w:rPr>
        <w:t>Id.</w:t>
      </w:r>
      <w:r w:rsidRPr="00D81A8F">
        <w:rPr>
          <w:rFonts w:ascii="Times New Roman" w:hAnsi="Times New Roman"/>
          <w:sz w:val="24"/>
          <w:szCs w:val="24"/>
        </w:rPr>
        <w:t xml:space="preserve"> at 310-311. The brief seizure to substantiate the man's claims that he was fine was reasonable in furtherance of their medical duties. </w:t>
      </w:r>
      <w:r w:rsidRPr="00D81A8F">
        <w:rPr>
          <w:rStyle w:val="Emphasis"/>
          <w:rFonts w:ascii="Times New Roman" w:hAnsi="Times New Roman"/>
          <w:sz w:val="24"/>
          <w:szCs w:val="24"/>
        </w:rPr>
        <w:t>Id.</w:t>
      </w:r>
      <w:r w:rsidRPr="00D81A8F">
        <w:rPr>
          <w:rFonts w:ascii="Times New Roman" w:hAnsi="Times New Roman"/>
          <w:sz w:val="24"/>
          <w:szCs w:val="24"/>
        </w:rPr>
        <w:t xml:space="preserve"> To analogize, a brief seizure here may have been reasonable if the firefighters found Fairrow unconscious, if Fairrow was slurring words, or if they had other specific concerns about Fairrow's medical capacity. But unlike the EMTs in Overton, the firefighters had no reason to question Fairrow's medical capacity. Fairrow was never unconscious, passed the medical screening, and repeatedly said he was fine, yet Wahl aggressively prevented his departure.” </w:t>
      </w:r>
      <w:hyperlink r:id="rId241" w:history="1">
        <w:r w:rsidRPr="00D81A8F">
          <w:rPr>
            <w:rStyle w:val="Hyperlink"/>
            <w:rFonts w:ascii="Times New Roman" w:hAnsi="Times New Roman"/>
            <w:sz w:val="24"/>
            <w:szCs w:val="24"/>
          </w:rPr>
          <w:t>https://www.leagle.com/decision/infdco20211108549</w:t>
        </w:r>
      </w:hyperlink>
      <w:r w:rsidRPr="00D81A8F">
        <w:rPr>
          <w:rFonts w:ascii="Times New Roman" w:hAnsi="Times New Roman"/>
          <w:sz w:val="24"/>
          <w:szCs w:val="24"/>
        </w:rPr>
        <w:t xml:space="preserve"> </w:t>
      </w:r>
    </w:p>
    <w:p w14:paraId="4A93D042" w14:textId="04F6CBF7" w:rsidR="00D84F3A" w:rsidRPr="005F7F88" w:rsidRDefault="00D84F3A" w:rsidP="00D84F3A">
      <w:pPr>
        <w:spacing w:before="100" w:beforeAutospacing="1" w:after="100" w:afterAutospacing="1" w:line="240" w:lineRule="auto"/>
        <w:rPr>
          <w:rFonts w:ascii="Times New Roman" w:eastAsia="Times New Roman" w:hAnsi="Times New Roman"/>
          <w:b/>
          <w:bCs/>
          <w:sz w:val="24"/>
          <w:szCs w:val="24"/>
        </w:rPr>
      </w:pPr>
      <w:bookmarkStart w:id="5" w:name="_Hlk89146577"/>
      <w:r w:rsidRPr="00FE5C3D">
        <w:rPr>
          <w:rFonts w:ascii="Times New Roman" w:hAnsi="Times New Roman"/>
          <w:b/>
          <w:bCs/>
          <w:sz w:val="24"/>
          <w:szCs w:val="24"/>
        </w:rPr>
        <w:t>Legal Lesson Learned: The “Community Caretaking Doctrine” has been widely applied when there is real danger</w:t>
      </w:r>
      <w:r>
        <w:rPr>
          <w:rFonts w:ascii="Times New Roman" w:hAnsi="Times New Roman"/>
          <w:b/>
          <w:bCs/>
          <w:sz w:val="24"/>
          <w:szCs w:val="24"/>
        </w:rPr>
        <w:t xml:space="preserve"> to</w:t>
      </w:r>
      <w:r w:rsidRPr="00FE5C3D">
        <w:rPr>
          <w:rFonts w:ascii="Times New Roman" w:hAnsi="Times New Roman"/>
          <w:b/>
          <w:bCs/>
          <w:sz w:val="24"/>
          <w:szCs w:val="24"/>
        </w:rPr>
        <w:t xml:space="preserve"> emergency responders</w:t>
      </w:r>
      <w:r>
        <w:rPr>
          <w:rFonts w:ascii="Times New Roman" w:hAnsi="Times New Roman"/>
          <w:b/>
          <w:bCs/>
          <w:sz w:val="24"/>
          <w:szCs w:val="24"/>
        </w:rPr>
        <w:t xml:space="preserve"> or to the public. If the volunteer firefighter had smelled strong odor of marijuana, Court may have not suppressed the evidence.  </w:t>
      </w:r>
      <w:r w:rsidRPr="00FE5C3D">
        <w:rPr>
          <w:rFonts w:ascii="Times New Roman" w:hAnsi="Times New Roman"/>
          <w:b/>
          <w:bCs/>
          <w:sz w:val="24"/>
          <w:szCs w:val="24"/>
        </w:rPr>
        <w:t xml:space="preserve"> </w:t>
      </w:r>
    </w:p>
    <w:bookmarkEnd w:id="5"/>
    <w:p w14:paraId="304EA8D5" w14:textId="77777777" w:rsidR="00D84F3A" w:rsidRDefault="00D84F3A" w:rsidP="002B1283">
      <w:pPr>
        <w:rPr>
          <w:rFonts w:ascii="Arial Black" w:hAnsi="Arial Black"/>
          <w:b/>
          <w:sz w:val="24"/>
          <w:szCs w:val="24"/>
        </w:rPr>
      </w:pPr>
    </w:p>
    <w:p w14:paraId="32F1E9E9" w14:textId="77777777" w:rsidR="00D84F3A" w:rsidRDefault="00D84F3A" w:rsidP="002B1283">
      <w:pPr>
        <w:rPr>
          <w:rFonts w:ascii="Arial Black" w:hAnsi="Arial Black"/>
          <w:b/>
          <w:sz w:val="24"/>
          <w:szCs w:val="24"/>
        </w:rPr>
      </w:pPr>
    </w:p>
    <w:p w14:paraId="525D6CE7" w14:textId="1B80B023" w:rsidR="00243A7F" w:rsidRDefault="00243A7F" w:rsidP="002B1283">
      <w:pPr>
        <w:rPr>
          <w:rFonts w:ascii="Arial Black" w:hAnsi="Arial Black"/>
          <w:b/>
          <w:sz w:val="24"/>
          <w:szCs w:val="24"/>
        </w:rPr>
      </w:pPr>
      <w:r>
        <w:rPr>
          <w:rFonts w:ascii="Arial Black" w:hAnsi="Arial Black"/>
          <w:b/>
          <w:sz w:val="24"/>
          <w:szCs w:val="24"/>
        </w:rPr>
        <w:t>1-88</w:t>
      </w:r>
    </w:p>
    <w:p w14:paraId="0BD96F53" w14:textId="77777777" w:rsidR="00243A7F" w:rsidRPr="004E6D58" w:rsidRDefault="00243A7F" w:rsidP="00243A7F">
      <w:pPr>
        <w:pStyle w:val="NormalWeb"/>
        <w:rPr>
          <w:rFonts w:ascii="Arial Black" w:hAnsi="Arial Black"/>
          <w:sz w:val="28"/>
          <w:szCs w:val="28"/>
        </w:rPr>
      </w:pPr>
      <w:r>
        <w:rPr>
          <w:rFonts w:ascii="Arial Black" w:hAnsi="Arial Black"/>
          <w:sz w:val="28"/>
          <w:szCs w:val="28"/>
        </w:rPr>
        <w:t>OH: WOMAN DIED IN HOUSE FIRE – IGNORED 13 WARNING LOW BATTERY FROM CABLE COMPANY – CASE DISMISSED</w:t>
      </w:r>
    </w:p>
    <w:p w14:paraId="2F9077AE" w14:textId="77777777" w:rsidR="00243A7F" w:rsidRDefault="00243A7F" w:rsidP="00243A7F">
      <w:pPr>
        <w:pStyle w:val="NormalWeb"/>
      </w:pPr>
      <w:r>
        <w:t xml:space="preserve">On Oct. 26, 2021, in </w:t>
      </w:r>
      <w:r w:rsidRPr="004E6D58">
        <w:rPr>
          <w:u w:val="single"/>
        </w:rPr>
        <w:t xml:space="preserve">Jeffrey Kahl v. </w:t>
      </w:r>
      <w:proofErr w:type="spellStart"/>
      <w:r w:rsidRPr="004E6D58">
        <w:rPr>
          <w:u w:val="single"/>
        </w:rPr>
        <w:t>Sectrum</w:t>
      </w:r>
      <w:proofErr w:type="spellEnd"/>
      <w:r w:rsidRPr="004E6D58">
        <w:rPr>
          <w:u w:val="single"/>
        </w:rPr>
        <w:t xml:space="preserve"> Security, LLC, doing business as Spectrum, et al</w:t>
      </w:r>
      <w:r>
        <w:t>., the U.S. Court of Appeals for the 6</w:t>
      </w:r>
      <w:r w:rsidRPr="004E6D58">
        <w:rPr>
          <w:vertAlign w:val="superscript"/>
        </w:rPr>
        <w:t>th</w:t>
      </w:r>
      <w:r>
        <w:t xml:space="preserve"> Circuit (Cincinnati) held (3 to 0) in unpublished decision that Federal District Court judge had properly dismissed the husband’s lawsuit. </w:t>
      </w:r>
    </w:p>
    <w:p w14:paraId="544C0E59" w14:textId="77777777" w:rsidR="00243A7F" w:rsidRPr="004E6D58" w:rsidRDefault="00243A7F" w:rsidP="00243A7F">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4E6D58">
        <w:rPr>
          <w:rFonts w:ascii="Times New Roman" w:eastAsia="Times New Roman" w:hAnsi="Times New Roman"/>
          <w:sz w:val="24"/>
          <w:szCs w:val="24"/>
        </w:rPr>
        <w:t>Under the unique facts of this case, a reasonable person must conclude that Heather's negligence in failing to heed the warnings provided by Spectrum about the low-battery signal outweighed any negligence by the defendants. At the outset, we emphasize that this is not a case where a fire-alarm company provided little or no warning about faulty equipment. Starting in June 2017, Spectrum repeatedly notified Heather of the smoke detector's dying battery, using different mediums to send duplicative alerts</w:t>
      </w:r>
      <w:r>
        <w:rPr>
          <w:rFonts w:ascii="Times New Roman" w:eastAsia="Times New Roman" w:hAnsi="Times New Roman"/>
          <w:sz w:val="24"/>
          <w:szCs w:val="24"/>
        </w:rPr>
        <w:t>….</w:t>
      </w:r>
      <w:r w:rsidRPr="004E6D58">
        <w:rPr>
          <w:rFonts w:ascii="Times New Roman" w:eastAsia="Times New Roman" w:hAnsi="Times New Roman"/>
          <w:sz w:val="24"/>
          <w:szCs w:val="24"/>
        </w:rPr>
        <w:t xml:space="preserve"> The company also provided a complimentary replacement battery to fix the problem</w:t>
      </w:r>
      <w:r>
        <w:rPr>
          <w:rFonts w:ascii="Times New Roman" w:eastAsia="Times New Roman" w:hAnsi="Times New Roman"/>
          <w:sz w:val="24"/>
          <w:szCs w:val="24"/>
        </w:rPr>
        <w:t>….</w:t>
      </w:r>
      <w:r w:rsidRPr="004E6D58">
        <w:rPr>
          <w:rFonts w:ascii="Times New Roman" w:eastAsia="Times New Roman" w:hAnsi="Times New Roman"/>
          <w:sz w:val="24"/>
          <w:szCs w:val="24"/>
        </w:rPr>
        <w:t xml:space="preserve"> When the issue persisted after Spectrum shipped the new battery to Heather, the company scheduled a maintenance appointment to have a technician examine the smoke detector</w:t>
      </w:r>
      <w:r>
        <w:rPr>
          <w:rFonts w:ascii="Times New Roman" w:eastAsia="Times New Roman" w:hAnsi="Times New Roman"/>
          <w:sz w:val="24"/>
          <w:szCs w:val="24"/>
        </w:rPr>
        <w:t xml:space="preserve">…. </w:t>
      </w:r>
      <w:r w:rsidRPr="004E6D58">
        <w:rPr>
          <w:rFonts w:ascii="Times New Roman" w:eastAsia="Times New Roman" w:hAnsi="Times New Roman"/>
          <w:sz w:val="24"/>
          <w:szCs w:val="24"/>
        </w:rPr>
        <w:t xml:space="preserve">Heather was certainly aware of the problem with the smoke detector as she cancelled that appointment the day it was scheduled to take place. </w:t>
      </w:r>
      <w:r>
        <w:rPr>
          <w:rFonts w:ascii="Times New Roman" w:eastAsia="Times New Roman" w:hAnsi="Times New Roman"/>
          <w:sz w:val="24"/>
          <w:szCs w:val="24"/>
        </w:rPr>
        <w:t xml:space="preserve">*** </w:t>
      </w:r>
      <w:r w:rsidRPr="004E6D58">
        <w:rPr>
          <w:rFonts w:ascii="Times New Roman" w:eastAsia="Times New Roman" w:hAnsi="Times New Roman"/>
          <w:sz w:val="24"/>
          <w:szCs w:val="24"/>
        </w:rPr>
        <w:t>It is true that the iControl panel in the Kahl residence registered a low-battery signal on September 14 and that the defendants did not alert Heather of that problem that day</w:t>
      </w:r>
      <w:r>
        <w:rPr>
          <w:rFonts w:ascii="Times New Roman" w:eastAsia="Times New Roman" w:hAnsi="Times New Roman"/>
          <w:sz w:val="24"/>
          <w:szCs w:val="24"/>
        </w:rPr>
        <w:t>…</w:t>
      </w:r>
      <w:r w:rsidRPr="004E6D58">
        <w:rPr>
          <w:rFonts w:ascii="Times New Roman" w:eastAsia="Times New Roman" w:hAnsi="Times New Roman"/>
          <w:sz w:val="24"/>
          <w:szCs w:val="24"/>
        </w:rPr>
        <w:t xml:space="preserve">. Crucially, however, Spectrum made five attempts </w:t>
      </w:r>
      <w:r w:rsidRPr="004E6D58">
        <w:rPr>
          <w:rFonts w:ascii="Times New Roman" w:eastAsia="Times New Roman" w:hAnsi="Times New Roman"/>
          <w:i/>
          <w:iCs/>
          <w:sz w:val="24"/>
          <w:szCs w:val="24"/>
        </w:rPr>
        <w:t>after</w:t>
      </w:r>
      <w:r w:rsidRPr="004E6D58">
        <w:rPr>
          <w:rFonts w:ascii="Times New Roman" w:eastAsia="Times New Roman" w:hAnsi="Times New Roman"/>
          <w:sz w:val="24"/>
          <w:szCs w:val="24"/>
        </w:rPr>
        <w:t xml:space="preserve"> September 14 to alert Heather to the issue, the last attempt coming approximately two weeks before the fire.</w:t>
      </w:r>
      <w:r>
        <w:rPr>
          <w:rFonts w:ascii="Times New Roman" w:eastAsia="Times New Roman" w:hAnsi="Times New Roman"/>
          <w:sz w:val="24"/>
          <w:szCs w:val="24"/>
        </w:rPr>
        <w:t xml:space="preserve"> *** </w:t>
      </w:r>
      <w:r w:rsidRPr="008F13A3">
        <w:rPr>
          <w:rFonts w:ascii="Times New Roman" w:eastAsia="Times New Roman" w:hAnsi="Times New Roman"/>
          <w:sz w:val="24"/>
          <w:szCs w:val="24"/>
        </w:rPr>
        <w:t xml:space="preserve">By the last notification on October 16, 2017, Spectrum had contacted Heather on thirteen different days about the smoke detector's low </w:t>
      </w:r>
      <w:proofErr w:type="gramStart"/>
      <w:r w:rsidRPr="008F13A3">
        <w:rPr>
          <w:rFonts w:ascii="Times New Roman" w:eastAsia="Times New Roman" w:hAnsi="Times New Roman"/>
          <w:sz w:val="24"/>
          <w:szCs w:val="24"/>
        </w:rPr>
        <w:t>battery.</w:t>
      </w:r>
      <w:r>
        <w:rPr>
          <w:rFonts w:ascii="Times New Roman" w:eastAsia="Times New Roman" w:hAnsi="Times New Roman"/>
          <w:sz w:val="24"/>
          <w:szCs w:val="24"/>
        </w:rPr>
        <w:t>”</w:t>
      </w:r>
      <w:proofErr w:type="gramEnd"/>
      <w:r w:rsidRPr="008F13A3">
        <w:rPr>
          <w:rFonts w:ascii="Times New Roman" w:eastAsia="Times New Roman" w:hAnsi="Times New Roman"/>
          <w:sz w:val="24"/>
          <w:szCs w:val="24"/>
        </w:rPr>
        <w:t xml:space="preserve"> </w:t>
      </w:r>
      <w:hyperlink r:id="rId242" w:history="1">
        <w:r w:rsidRPr="00AB11A6">
          <w:rPr>
            <w:rStyle w:val="Hyperlink"/>
            <w:sz w:val="24"/>
            <w:szCs w:val="24"/>
          </w:rPr>
          <w:t>https://www.opn.ca6.uscourts.gov/opinions.pdf/21a0484n-06.pdf</w:t>
        </w:r>
      </w:hyperlink>
      <w:r>
        <w:rPr>
          <w:rFonts w:ascii="Times New Roman" w:eastAsia="Times New Roman" w:hAnsi="Times New Roman"/>
          <w:sz w:val="24"/>
          <w:szCs w:val="24"/>
        </w:rPr>
        <w:t xml:space="preserve"> </w:t>
      </w:r>
    </w:p>
    <w:p w14:paraId="753DACBE" w14:textId="77777777" w:rsidR="00243A7F" w:rsidRPr="008F13A3" w:rsidRDefault="00243A7F" w:rsidP="00243A7F">
      <w:pPr>
        <w:spacing w:before="100" w:beforeAutospacing="1" w:after="100" w:afterAutospacing="1" w:line="240" w:lineRule="auto"/>
        <w:rPr>
          <w:rFonts w:ascii="Times New Roman" w:eastAsia="Times New Roman" w:hAnsi="Times New Roman"/>
          <w:b/>
          <w:bCs/>
          <w:sz w:val="24"/>
          <w:szCs w:val="24"/>
        </w:rPr>
      </w:pPr>
      <w:r w:rsidRPr="008F13A3">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Working smoke detectors save lives; cable </w:t>
      </w:r>
      <w:proofErr w:type="gramStart"/>
      <w:r>
        <w:rPr>
          <w:rFonts w:ascii="Times New Roman" w:eastAsia="Times New Roman" w:hAnsi="Times New Roman"/>
          <w:b/>
          <w:bCs/>
          <w:sz w:val="24"/>
          <w:szCs w:val="24"/>
        </w:rPr>
        <w:t>company</w:t>
      </w:r>
      <w:proofErr w:type="gramEnd"/>
      <w:r>
        <w:rPr>
          <w:rFonts w:ascii="Times New Roman" w:eastAsia="Times New Roman" w:hAnsi="Times New Roman"/>
          <w:b/>
          <w:bCs/>
          <w:sz w:val="24"/>
          <w:szCs w:val="24"/>
        </w:rPr>
        <w:t xml:space="preserve"> not liable when </w:t>
      </w:r>
      <w:proofErr w:type="gramStart"/>
      <w:r>
        <w:rPr>
          <w:rFonts w:ascii="Times New Roman" w:eastAsia="Times New Roman" w:hAnsi="Times New Roman"/>
          <w:b/>
          <w:bCs/>
          <w:sz w:val="24"/>
          <w:szCs w:val="24"/>
        </w:rPr>
        <w:t>customer ignores</w:t>
      </w:r>
      <w:proofErr w:type="gramEnd"/>
      <w:r>
        <w:rPr>
          <w:rFonts w:ascii="Times New Roman" w:eastAsia="Times New Roman" w:hAnsi="Times New Roman"/>
          <w:b/>
          <w:bCs/>
          <w:sz w:val="24"/>
          <w:szCs w:val="24"/>
        </w:rPr>
        <w:t xml:space="preserve"> 13 notifications of low </w:t>
      </w:r>
      <w:proofErr w:type="gramStart"/>
      <w:r>
        <w:rPr>
          <w:rFonts w:ascii="Times New Roman" w:eastAsia="Times New Roman" w:hAnsi="Times New Roman"/>
          <w:b/>
          <w:bCs/>
          <w:sz w:val="24"/>
          <w:szCs w:val="24"/>
        </w:rPr>
        <w:t>battery</w:t>
      </w:r>
      <w:proofErr w:type="gramEnd"/>
      <w:r>
        <w:rPr>
          <w:rFonts w:ascii="Times New Roman" w:eastAsia="Times New Roman" w:hAnsi="Times New Roman"/>
          <w:b/>
          <w:bCs/>
          <w:sz w:val="24"/>
          <w:szCs w:val="24"/>
        </w:rPr>
        <w:t xml:space="preserve">. </w:t>
      </w:r>
    </w:p>
    <w:p w14:paraId="0C8F577E" w14:textId="77777777" w:rsidR="00243A7F" w:rsidRDefault="00243A7F" w:rsidP="002B1283">
      <w:pPr>
        <w:rPr>
          <w:rFonts w:ascii="Arial Black" w:hAnsi="Arial Black"/>
          <w:b/>
          <w:sz w:val="24"/>
          <w:szCs w:val="24"/>
        </w:rPr>
      </w:pPr>
    </w:p>
    <w:p w14:paraId="574FA4E9" w14:textId="74328D23" w:rsidR="00243A7F" w:rsidRDefault="00243A7F" w:rsidP="002B1283">
      <w:pPr>
        <w:rPr>
          <w:rFonts w:ascii="Arial Black" w:hAnsi="Arial Black"/>
          <w:b/>
          <w:sz w:val="24"/>
          <w:szCs w:val="24"/>
        </w:rPr>
      </w:pPr>
      <w:r>
        <w:rPr>
          <w:rFonts w:ascii="Arial Black" w:hAnsi="Arial Black"/>
          <w:b/>
          <w:sz w:val="24"/>
          <w:szCs w:val="24"/>
        </w:rPr>
        <w:t>1-87</w:t>
      </w:r>
    </w:p>
    <w:p w14:paraId="696D3634" w14:textId="77777777" w:rsidR="00243A7F" w:rsidRPr="0029293F" w:rsidRDefault="00243A7F" w:rsidP="00243A7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GAS LEAK - DRUNK HOMEOWNER DROVE OVER HIS GAS METER – OFFICER PROB. CAUSE – NOT “SELF DRIVING” CAR</w:t>
      </w:r>
    </w:p>
    <w:p w14:paraId="1DC56174" w14:textId="77777777" w:rsidR="00243A7F" w:rsidRPr="0029293F" w:rsidRDefault="00243A7F" w:rsidP="00243A7F">
      <w:pPr>
        <w:spacing w:before="100" w:beforeAutospacing="1" w:after="100" w:afterAutospacing="1" w:line="240" w:lineRule="auto"/>
        <w:rPr>
          <w:rFonts w:ascii="Times New Roman" w:eastAsia="Times New Roman" w:hAnsi="Times New Roman"/>
          <w:sz w:val="24"/>
          <w:szCs w:val="24"/>
        </w:rPr>
      </w:pPr>
      <w:r w:rsidRPr="0029293F">
        <w:rPr>
          <w:rFonts w:ascii="Times New Roman" w:eastAsia="Times New Roman" w:hAnsi="Times New Roman"/>
          <w:sz w:val="24"/>
          <w:szCs w:val="24"/>
        </w:rPr>
        <w:t> </w:t>
      </w:r>
      <w:r>
        <w:rPr>
          <w:rFonts w:ascii="Times New Roman" w:eastAsia="Times New Roman" w:hAnsi="Times New Roman"/>
          <w:sz w:val="24"/>
          <w:szCs w:val="24"/>
        </w:rPr>
        <w:t xml:space="preserve">On Oct. 26, 2021, in </w:t>
      </w:r>
      <w:r w:rsidRPr="0029293F">
        <w:rPr>
          <w:rFonts w:ascii="Times New Roman" w:eastAsia="Times New Roman" w:hAnsi="Times New Roman"/>
          <w:sz w:val="24"/>
          <w:szCs w:val="24"/>
          <w:u w:val="single"/>
        </w:rPr>
        <w:t>Gregory A. Switzer v. The Village of Glassford, Illinois and Andrew Burgess</w:t>
      </w:r>
      <w:r>
        <w:rPr>
          <w:rFonts w:ascii="Times New Roman" w:eastAsia="Times New Roman" w:hAnsi="Times New Roman"/>
          <w:sz w:val="24"/>
          <w:szCs w:val="24"/>
        </w:rPr>
        <w:t>, U.S. District Court Judge James E. Shadid, Central District of Illinois, granted Officer Burgess’ motion for summary judgment since he had probable cause to arrest, even if charges later dropped. The judge comically commented on the homeowner’s claim that someone else must have been driving his vehicle.</w:t>
      </w:r>
    </w:p>
    <w:p w14:paraId="38385C95" w14:textId="77777777" w:rsidR="00243A7F" w:rsidRPr="007F2596" w:rsidRDefault="00243A7F" w:rsidP="00243A7F">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r w:rsidRPr="007F2596">
        <w:rPr>
          <w:rFonts w:ascii="Times New Roman" w:hAnsi="Times New Roman"/>
          <w:sz w:val="24"/>
          <w:szCs w:val="24"/>
        </w:rPr>
        <w:t xml:space="preserve">While that possibility becomes ever-so-slightly more possible with advances in self-driving technology, it does not yet exist. Notwithstanding the state courts' contrary conclusion, Justice Schmidt was </w:t>
      </w:r>
      <w:proofErr w:type="gramStart"/>
      <w:r w:rsidRPr="007F2596">
        <w:rPr>
          <w:rFonts w:ascii="Times New Roman" w:hAnsi="Times New Roman"/>
          <w:sz w:val="24"/>
          <w:szCs w:val="24"/>
        </w:rPr>
        <w:t>absolutely correct</w:t>
      </w:r>
      <w:proofErr w:type="gramEnd"/>
      <w:r w:rsidRPr="007F2596">
        <w:rPr>
          <w:rFonts w:ascii="Times New Roman" w:hAnsi="Times New Roman"/>
          <w:sz w:val="24"/>
          <w:szCs w:val="24"/>
        </w:rPr>
        <w:t>: Officer Burgess clearly had probable cause to arrest Switzer for the offense of driving under the influence. Accordingly, Defendants are entitled to summary judgment on each of Plaintiff's claims.</w:t>
      </w:r>
      <w:r>
        <w:rPr>
          <w:rFonts w:ascii="Times New Roman" w:hAnsi="Times New Roman"/>
          <w:sz w:val="24"/>
          <w:szCs w:val="24"/>
        </w:rPr>
        <w:t xml:space="preserve">” </w:t>
      </w:r>
      <w:hyperlink r:id="rId243" w:history="1">
        <w:r w:rsidRPr="007148A2">
          <w:rPr>
            <w:rStyle w:val="Hyperlink"/>
            <w:sz w:val="24"/>
            <w:szCs w:val="24"/>
          </w:rPr>
          <w:t>https://public.fastcase.com/9SKwsfNqTc6OieYDhNMyMxCncQbdnZBHHYClkb%2F5rq5vAcucBX21mkOLoZWomgOrkfyB0T1fu8X9VBZqJtLwyHdQaAVKSMi9mGC9zU6KrUc%3D</w:t>
        </w:r>
      </w:hyperlink>
      <w:r>
        <w:rPr>
          <w:rFonts w:ascii="Times New Roman" w:hAnsi="Times New Roman"/>
          <w:sz w:val="24"/>
          <w:szCs w:val="24"/>
        </w:rPr>
        <w:t xml:space="preserve"> </w:t>
      </w:r>
    </w:p>
    <w:p w14:paraId="13DD37C5" w14:textId="77777777" w:rsidR="00243A7F" w:rsidRPr="0029293F" w:rsidRDefault="00243A7F" w:rsidP="00243A7F">
      <w:pPr>
        <w:spacing w:before="100" w:beforeAutospacing="1" w:after="100" w:afterAutospacing="1" w:line="240" w:lineRule="auto"/>
        <w:rPr>
          <w:rFonts w:ascii="Times New Roman" w:eastAsia="Times New Roman" w:hAnsi="Times New Roman"/>
          <w:b/>
          <w:bCs/>
          <w:sz w:val="24"/>
          <w:szCs w:val="24"/>
        </w:rPr>
      </w:pPr>
      <w:r w:rsidRPr="007F2596">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Judges sometimes offer comical comments in their decision; reflects on the frivolous nature of the lawsuit. </w:t>
      </w:r>
    </w:p>
    <w:p w14:paraId="45347B8B" w14:textId="77777777" w:rsidR="00243A7F" w:rsidRDefault="00243A7F" w:rsidP="002B1283">
      <w:pPr>
        <w:rPr>
          <w:rFonts w:ascii="Arial Black" w:hAnsi="Arial Black"/>
          <w:b/>
          <w:sz w:val="24"/>
          <w:szCs w:val="24"/>
        </w:rPr>
      </w:pPr>
    </w:p>
    <w:p w14:paraId="4CFDBE78" w14:textId="205AD2A4" w:rsidR="00243A7F" w:rsidRDefault="00243A7F" w:rsidP="002B1283">
      <w:pPr>
        <w:rPr>
          <w:rFonts w:ascii="Arial Black" w:hAnsi="Arial Black"/>
          <w:b/>
          <w:sz w:val="24"/>
          <w:szCs w:val="24"/>
        </w:rPr>
      </w:pPr>
      <w:r>
        <w:rPr>
          <w:rFonts w:ascii="Arial Black" w:hAnsi="Arial Black"/>
          <w:b/>
          <w:sz w:val="24"/>
          <w:szCs w:val="24"/>
        </w:rPr>
        <w:t>1-86</w:t>
      </w:r>
    </w:p>
    <w:p w14:paraId="0EADFA80" w14:textId="77777777" w:rsidR="00243A7F" w:rsidRPr="009B4011" w:rsidRDefault="00243A7F" w:rsidP="00243A7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CA: HOMEOWNDER REFUSED SIGN CITATION - BURNING 3 CANS POOL – ARRESTED – LAWSUIT DISMISSED</w:t>
      </w:r>
    </w:p>
    <w:p w14:paraId="436FB3D3" w14:textId="77777777" w:rsidR="00243A7F" w:rsidRDefault="00243A7F" w:rsidP="00243A7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Oct. 25, 2021, in </w:t>
      </w:r>
      <w:r w:rsidRPr="009B4011">
        <w:rPr>
          <w:rFonts w:ascii="Times New Roman" w:hAnsi="Times New Roman"/>
          <w:sz w:val="24"/>
          <w:szCs w:val="24"/>
          <w:u w:val="single"/>
        </w:rPr>
        <w:t>James I. McMillan v. County of Shasta</w:t>
      </w:r>
      <w:r>
        <w:rPr>
          <w:rFonts w:ascii="Times New Roman" w:hAnsi="Times New Roman"/>
          <w:sz w:val="24"/>
          <w:szCs w:val="24"/>
        </w:rPr>
        <w:t xml:space="preserve">, U.S. District Court judge John A. Mendez, U.S. District Court for Eastern District of California, dismissed the lawsuit filed by the plaintiff (an attorney, representing himself) against the County, the Fire Chief and police officers. </w:t>
      </w:r>
    </w:p>
    <w:p w14:paraId="2F528FC1" w14:textId="1110A5B7" w:rsidR="00243A7F" w:rsidRDefault="00243A7F" w:rsidP="00243A7F">
      <w:pPr>
        <w:spacing w:before="100" w:beforeAutospacing="1" w:after="100" w:afterAutospacing="1" w:line="240" w:lineRule="auto"/>
        <w:ind w:left="720"/>
        <w:rPr>
          <w:rFonts w:ascii="Times New Roman" w:hAnsi="Times New Roman"/>
          <w:sz w:val="24"/>
          <w:szCs w:val="24"/>
        </w:rPr>
      </w:pPr>
      <w:r w:rsidRPr="009A1AFE">
        <w:rPr>
          <w:rFonts w:ascii="Times New Roman" w:hAnsi="Times New Roman"/>
          <w:sz w:val="24"/>
          <w:szCs w:val="24"/>
        </w:rPr>
        <w:t>“Fire Defendants move to dismiss all claims against Chief Lowe and the Anderson Fire Protection District, contending that none of the factual allegations involving Lowe or the Anderson firefighters provide a basis for liability</w:t>
      </w:r>
      <w:r>
        <w:rPr>
          <w:rFonts w:ascii="Times New Roman" w:hAnsi="Times New Roman"/>
          <w:sz w:val="24"/>
          <w:szCs w:val="24"/>
        </w:rPr>
        <w:t xml:space="preserve">…. </w:t>
      </w:r>
      <w:r w:rsidRPr="009A1AFE">
        <w:rPr>
          <w:rFonts w:ascii="Times New Roman" w:hAnsi="Times New Roman"/>
          <w:sz w:val="24"/>
          <w:szCs w:val="24"/>
        </w:rPr>
        <w:t>The Court agrees.</w:t>
      </w:r>
      <w:r>
        <w:rPr>
          <w:rFonts w:ascii="Times New Roman" w:hAnsi="Times New Roman"/>
          <w:sz w:val="24"/>
          <w:szCs w:val="24"/>
        </w:rPr>
        <w:t xml:space="preserve"> *** </w:t>
      </w:r>
      <w:r w:rsidRPr="009A1AFE">
        <w:rPr>
          <w:rFonts w:ascii="Times New Roman" w:hAnsi="Times New Roman"/>
          <w:sz w:val="24"/>
          <w:szCs w:val="24"/>
        </w:rPr>
        <w:t xml:space="preserve">Simply put, Plaintiff still has not </w:t>
      </w:r>
      <w:proofErr w:type="gramStart"/>
      <w:r w:rsidRPr="009A1AFE">
        <w:rPr>
          <w:rFonts w:ascii="Times New Roman" w:hAnsi="Times New Roman"/>
          <w:sz w:val="24"/>
          <w:szCs w:val="24"/>
        </w:rPr>
        <w:t>pled</w:t>
      </w:r>
      <w:proofErr w:type="gramEnd"/>
      <w:r w:rsidRPr="009A1AFE">
        <w:rPr>
          <w:rFonts w:ascii="Times New Roman" w:hAnsi="Times New Roman"/>
          <w:sz w:val="24"/>
          <w:szCs w:val="24"/>
        </w:rPr>
        <w:t xml:space="preserve"> any legally actionable conduct by the Fire Defendants.</w:t>
      </w:r>
      <w:r>
        <w:rPr>
          <w:rFonts w:ascii="Times New Roman" w:hAnsi="Times New Roman"/>
          <w:sz w:val="24"/>
          <w:szCs w:val="24"/>
        </w:rPr>
        <w:t xml:space="preserve"> *** </w:t>
      </w:r>
      <w:r w:rsidRPr="009A1AFE">
        <w:rPr>
          <w:rFonts w:ascii="Times New Roman" w:hAnsi="Times New Roman"/>
          <w:sz w:val="24"/>
          <w:szCs w:val="24"/>
        </w:rPr>
        <w:t xml:space="preserve">This analysis is not altered by Plaintiff's presentment of new evidence - evidence not alleged in the </w:t>
      </w:r>
      <w:proofErr w:type="gramStart"/>
      <w:r w:rsidRPr="009A1AFE">
        <w:rPr>
          <w:rFonts w:ascii="Times New Roman" w:hAnsi="Times New Roman"/>
          <w:sz w:val="24"/>
          <w:szCs w:val="24"/>
        </w:rPr>
        <w:t>TAC, but</w:t>
      </w:r>
      <w:proofErr w:type="gramEnd"/>
      <w:r w:rsidRPr="009A1AFE">
        <w:rPr>
          <w:rFonts w:ascii="Times New Roman" w:hAnsi="Times New Roman"/>
          <w:sz w:val="24"/>
          <w:szCs w:val="24"/>
        </w:rPr>
        <w:t xml:space="preserve"> rather presented in Plaintiff's request for judicial notice filed with his opposition brief - that his criminal conviction has been vacated</w:t>
      </w:r>
      <w:r>
        <w:rPr>
          <w:rFonts w:ascii="Times New Roman" w:hAnsi="Times New Roman"/>
          <w:sz w:val="24"/>
          <w:szCs w:val="24"/>
        </w:rPr>
        <w:t xml:space="preserve">…. </w:t>
      </w:r>
      <w:r w:rsidRPr="009A1AFE">
        <w:rPr>
          <w:rFonts w:ascii="Times New Roman" w:hAnsi="Times New Roman"/>
          <w:sz w:val="24"/>
          <w:szCs w:val="24"/>
        </w:rPr>
        <w:t xml:space="preserve">Even if Plaintiff were correct that this update in his state criminal case means the Heck bar no longer applies, </w:t>
      </w:r>
      <w:r w:rsidRPr="009A1AFE">
        <w:rPr>
          <w:rStyle w:val="Emphasis"/>
          <w:rFonts w:ascii="Times New Roman" w:hAnsi="Times New Roman"/>
          <w:sz w:val="24"/>
          <w:szCs w:val="24"/>
        </w:rPr>
        <w:t>see</w:t>
      </w:r>
      <w:r w:rsidRPr="009A1AFE">
        <w:rPr>
          <w:rFonts w:ascii="Times New Roman" w:hAnsi="Times New Roman"/>
          <w:sz w:val="24"/>
          <w:szCs w:val="24"/>
        </w:rPr>
        <w:t xml:space="preserve"> Prior Order at 8-12, the factual deficiencies with the TAC remain and warrant dismissal.</w:t>
      </w:r>
      <w:r>
        <w:rPr>
          <w:rFonts w:ascii="Times New Roman" w:hAnsi="Times New Roman"/>
          <w:sz w:val="24"/>
          <w:szCs w:val="24"/>
        </w:rPr>
        <w:t xml:space="preserve">” </w:t>
      </w:r>
      <w:hyperlink r:id="rId244" w:history="1">
        <w:r w:rsidRPr="009545D0">
          <w:rPr>
            <w:rStyle w:val="Hyperlink"/>
            <w:sz w:val="24"/>
            <w:szCs w:val="24"/>
          </w:rPr>
          <w:t>https://public.fastcase.com/9SKwsfNqTc6OieYDhNMyM6jgODeMvtNo11ZvDvT9dExI019FDNN4wp%2BIWQLSUMw%2BxfaNzZaXSMuB0brgu1SRuIg3s6kJiaNRSylEv%2FkVP98%3D</w:t>
        </w:r>
      </w:hyperlink>
      <w:r>
        <w:rPr>
          <w:rFonts w:ascii="Times New Roman" w:hAnsi="Times New Roman"/>
          <w:sz w:val="24"/>
          <w:szCs w:val="24"/>
        </w:rPr>
        <w:t xml:space="preserve"> </w:t>
      </w:r>
    </w:p>
    <w:p w14:paraId="39CE06D4" w14:textId="77777777" w:rsidR="00243A7F" w:rsidRDefault="00243A7F" w:rsidP="00243A7F">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Refusal to sign the citation was very unwise and led to the arrest. </w:t>
      </w:r>
    </w:p>
    <w:p w14:paraId="46B21B4C" w14:textId="77777777" w:rsidR="00243A7F" w:rsidRPr="009A1AFE" w:rsidRDefault="00243A7F" w:rsidP="00243A7F">
      <w:pPr>
        <w:spacing w:before="100" w:beforeAutospacing="1" w:after="100" w:afterAutospacing="1" w:line="240" w:lineRule="auto"/>
        <w:ind w:left="720"/>
        <w:rPr>
          <w:rFonts w:ascii="Times New Roman" w:hAnsi="Times New Roman"/>
          <w:sz w:val="24"/>
          <w:szCs w:val="24"/>
        </w:rPr>
      </w:pPr>
    </w:p>
    <w:p w14:paraId="2094FCAB" w14:textId="77777777" w:rsidR="00243A7F" w:rsidRDefault="00243A7F" w:rsidP="002B1283">
      <w:pPr>
        <w:rPr>
          <w:rFonts w:ascii="Arial Black" w:hAnsi="Arial Black"/>
          <w:b/>
          <w:sz w:val="24"/>
          <w:szCs w:val="24"/>
        </w:rPr>
      </w:pPr>
    </w:p>
    <w:p w14:paraId="14241ADA" w14:textId="77777777" w:rsidR="00243A7F" w:rsidRDefault="00243A7F" w:rsidP="002B1283">
      <w:pPr>
        <w:rPr>
          <w:rFonts w:ascii="Arial Black" w:hAnsi="Arial Black"/>
          <w:b/>
          <w:sz w:val="24"/>
          <w:szCs w:val="24"/>
        </w:rPr>
      </w:pPr>
    </w:p>
    <w:p w14:paraId="170BCF9B" w14:textId="3D80E027" w:rsidR="00BD1702" w:rsidRDefault="00BD1702" w:rsidP="002B1283">
      <w:pPr>
        <w:rPr>
          <w:rFonts w:ascii="Arial Black" w:hAnsi="Arial Black"/>
          <w:b/>
          <w:sz w:val="24"/>
          <w:szCs w:val="24"/>
        </w:rPr>
      </w:pPr>
      <w:r>
        <w:rPr>
          <w:rFonts w:ascii="Arial Black" w:hAnsi="Arial Black"/>
          <w:b/>
          <w:sz w:val="24"/>
          <w:szCs w:val="24"/>
        </w:rPr>
        <w:t>1-85</w:t>
      </w:r>
    </w:p>
    <w:p w14:paraId="1759DDFB" w14:textId="77777777" w:rsidR="00BD1702" w:rsidRPr="00E43AE5" w:rsidRDefault="00BD1702" w:rsidP="00BD1702">
      <w:pPr>
        <w:rPr>
          <w:rFonts w:ascii="Arial Black" w:eastAsia="Times New Roman" w:hAnsi="Arial Black"/>
          <w:b/>
          <w:bCs/>
          <w:sz w:val="28"/>
          <w:szCs w:val="28"/>
        </w:rPr>
      </w:pPr>
      <w:r w:rsidRPr="00E43AE5">
        <w:rPr>
          <w:rFonts w:ascii="Arial Black" w:eastAsia="Times New Roman" w:hAnsi="Arial Black"/>
          <w:b/>
          <w:bCs/>
          <w:sz w:val="28"/>
          <w:szCs w:val="28"/>
        </w:rPr>
        <w:t>NY: FDNY FIRE INSPECTOR – RIGHT TO “GO PUBLIC” ABOUT WHAT HE BEL</w:t>
      </w:r>
      <w:r>
        <w:rPr>
          <w:rFonts w:ascii="Arial Black" w:eastAsia="Times New Roman" w:hAnsi="Arial Black"/>
          <w:b/>
          <w:bCs/>
          <w:sz w:val="28"/>
          <w:szCs w:val="28"/>
        </w:rPr>
        <w:t>IEVES</w:t>
      </w:r>
      <w:r w:rsidRPr="00E43AE5">
        <w:rPr>
          <w:rFonts w:ascii="Arial Black" w:eastAsia="Times New Roman" w:hAnsi="Arial Black"/>
          <w:b/>
          <w:bCs/>
          <w:sz w:val="28"/>
          <w:szCs w:val="28"/>
        </w:rPr>
        <w:t xml:space="preserve"> IS FALSE REPORT - FF LODD / MOVIE FILMED – LAWSUIT REINSTATED</w:t>
      </w:r>
    </w:p>
    <w:p w14:paraId="6DA59BAE" w14:textId="77777777" w:rsidR="00BD1702" w:rsidRDefault="00BD1702" w:rsidP="00BD1702">
      <w:pPr>
        <w:rPr>
          <w:rFonts w:ascii="Times New Roman" w:eastAsia="Times New Roman" w:hAnsi="Times New Roman"/>
          <w:sz w:val="24"/>
          <w:szCs w:val="24"/>
        </w:rPr>
      </w:pPr>
      <w:r>
        <w:rPr>
          <w:rFonts w:ascii="Times New Roman" w:eastAsia="Times New Roman" w:hAnsi="Times New Roman"/>
          <w:sz w:val="24"/>
          <w:szCs w:val="24"/>
        </w:rPr>
        <w:t xml:space="preserve">On Oct. 6, 2021, in </w:t>
      </w:r>
      <w:r>
        <w:rPr>
          <w:rFonts w:ascii="Times New Roman" w:eastAsia="Times New Roman" w:hAnsi="Times New Roman"/>
          <w:sz w:val="24"/>
          <w:szCs w:val="24"/>
          <w:u w:val="single"/>
        </w:rPr>
        <w:t>Scott P. Specht v. The City of New York, Thomas Kane, and John David Lynn</w:t>
      </w:r>
      <w:r>
        <w:rPr>
          <w:rFonts w:ascii="Times New Roman" w:eastAsia="Times New Roman" w:hAnsi="Times New Roman"/>
          <w:sz w:val="24"/>
          <w:szCs w:val="24"/>
        </w:rPr>
        <w:t xml:space="preserve">, the U.S. Court of Appeals for Second Circuit (New Yok City), held (3 to 0) that the retired fire marshal’s lawsuit for First Amendment retaliation is reinstated. </w:t>
      </w:r>
    </w:p>
    <w:p w14:paraId="1C522B75" w14:textId="0B7E6F2E" w:rsidR="00BD1702" w:rsidRDefault="00BD1702" w:rsidP="00BD1702">
      <w:pPr>
        <w:rPr>
          <w:rStyle w:val="Hyperlink"/>
          <w:sz w:val="24"/>
          <w:szCs w:val="24"/>
        </w:rPr>
      </w:pPr>
      <w:r>
        <w:rPr>
          <w:rFonts w:ascii="Times New Roman" w:eastAsia="Times New Roman" w:hAnsi="Times New Roman"/>
          <w:sz w:val="24"/>
          <w:szCs w:val="24"/>
        </w:rPr>
        <w:t>“</w:t>
      </w:r>
      <w:r>
        <w:rPr>
          <w:rFonts w:ascii="Times New Roman" w:hAnsi="Times New Roman"/>
          <w:sz w:val="24"/>
          <w:szCs w:val="24"/>
        </w:rPr>
        <w:t xml:space="preserve">Appellant Scott P. Specht, employed as a New York City fire marshal, alleges that after he refused to file a false report concerning the circumstances of a fire he was investigating and publicly discussed misconduct on the part of his supervisors, he was the subject of retaliation. *** </w:t>
      </w:r>
      <w:r>
        <w:rPr>
          <w:rFonts w:ascii="Times New Roman" w:eastAsia="Times New Roman" w:hAnsi="Times New Roman"/>
          <w:sz w:val="24"/>
          <w:szCs w:val="24"/>
        </w:rPr>
        <w:t>“</w:t>
      </w:r>
      <w:r>
        <w:rPr>
          <w:rStyle w:val="markedcontent"/>
          <w:rFonts w:ascii="Times New Roman" w:hAnsi="Times New Roman"/>
          <w:sz w:val="24"/>
          <w:szCs w:val="24"/>
        </w:rPr>
        <w:t>He concluded that the movie crew had improperly installed high-intensity lighting and had drilled holes in the wall, floors, and ceilings of the basement of the brownstone and that this work had caused the fire. Specht alleges that about three weeks into his investigation, [Chief Fire Marshal Thomas] Kane and [Assistant Chief Fire Marshal John David]</w:t>
      </w:r>
      <w:r>
        <w:rPr>
          <w:rStyle w:val="markedcontent"/>
          <w:sz w:val="33"/>
          <w:szCs w:val="33"/>
        </w:rPr>
        <w:t xml:space="preserve"> </w:t>
      </w:r>
      <w:r>
        <w:rPr>
          <w:rStyle w:val="markedcontent"/>
          <w:rFonts w:ascii="Times New Roman" w:hAnsi="Times New Roman"/>
          <w:sz w:val="24"/>
          <w:szCs w:val="24"/>
        </w:rPr>
        <w:t xml:space="preserve">Lynn convened a meeting at FDNY headquarters where they demanded that he prematurely terminate his work and ordered him to file a final report concluding that a flue connected to the boiler caused the fire.”  </w:t>
      </w:r>
      <w:hyperlink r:id="rId245" w:anchor="xml=https://www.ca2.uscourts.gov/decisions/isysquery/024ad429-f3ca-4195-b401-1dbc5e6424a8/1/hilite/" w:history="1">
        <w:r>
          <w:rPr>
            <w:rStyle w:val="Hyperlink"/>
            <w:sz w:val="24"/>
            <w:szCs w:val="24"/>
          </w:rPr>
          <w:t>https://www.ca2.uscourts.gov/decisions/isysquery/024ad429-f3ca-4195-b401-1dbc5e6424a8/1/doc/20-4211_opn.pdf#xml=https://www.ca2.uscourts.gov/decisions/isysquery/024ad429-f3ca-4195-b401-1dbc5e6424a8/1/hilite/</w:t>
        </w:r>
      </w:hyperlink>
    </w:p>
    <w:p w14:paraId="06C13BB8" w14:textId="77777777" w:rsidR="00BD1702" w:rsidRDefault="00BD1702" w:rsidP="00BD1702">
      <w:pPr>
        <w:rPr>
          <w:rStyle w:val="markedcontent"/>
          <w:b/>
          <w:bCs/>
        </w:rPr>
      </w:pPr>
      <w:r>
        <w:rPr>
          <w:rStyle w:val="markedcontent"/>
          <w:rFonts w:ascii="Times New Roman" w:hAnsi="Times New Roman"/>
          <w:b/>
          <w:bCs/>
          <w:sz w:val="24"/>
          <w:szCs w:val="24"/>
        </w:rPr>
        <w:t xml:space="preserve">Legal Lesson Learned: Fire Inspectors are protected from retaliation under the First Amendment when their speech deals with a matter of “public concern.” </w:t>
      </w:r>
    </w:p>
    <w:p w14:paraId="3E1CBF36" w14:textId="77777777" w:rsidR="00BD1702" w:rsidRDefault="00BD1702" w:rsidP="00BD1702">
      <w:pPr>
        <w:ind w:left="720"/>
        <w:rPr>
          <w:rFonts w:eastAsia="Times New Roman"/>
        </w:rPr>
      </w:pPr>
      <w:r>
        <w:rPr>
          <w:rFonts w:ascii="Times New Roman" w:eastAsia="Times New Roman" w:hAnsi="Times New Roman"/>
          <w:sz w:val="24"/>
          <w:szCs w:val="24"/>
        </w:rPr>
        <w:t xml:space="preserve">Note: See this March 24, </w:t>
      </w:r>
      <w:proofErr w:type="gramStart"/>
      <w:r>
        <w:rPr>
          <w:rFonts w:ascii="Times New Roman" w:eastAsia="Times New Roman" w:hAnsi="Times New Roman"/>
          <w:sz w:val="24"/>
          <w:szCs w:val="24"/>
        </w:rPr>
        <w:t>2018</w:t>
      </w:r>
      <w:proofErr w:type="gramEnd"/>
      <w:r>
        <w:rPr>
          <w:rFonts w:ascii="Times New Roman" w:eastAsia="Times New Roman" w:hAnsi="Times New Roman"/>
          <w:sz w:val="24"/>
          <w:szCs w:val="24"/>
        </w:rPr>
        <w:t xml:space="preserve"> TV video on death of FDNY FF Michael Davidson: </w:t>
      </w:r>
      <w:hyperlink r:id="rId246" w:history="1">
        <w:r>
          <w:rPr>
            <w:rStyle w:val="Hyperlink"/>
            <w:sz w:val="24"/>
            <w:szCs w:val="24"/>
          </w:rPr>
          <w:t>https://abc7ny.com/new-york-city-harlem-fire-edward-norton/3249411/</w:t>
        </w:r>
      </w:hyperlink>
      <w:r>
        <w:rPr>
          <w:rFonts w:ascii="Times New Roman" w:eastAsia="Times New Roman" w:hAnsi="Times New Roman"/>
          <w:sz w:val="24"/>
          <w:szCs w:val="24"/>
        </w:rPr>
        <w:t xml:space="preserve">  </w:t>
      </w:r>
    </w:p>
    <w:p w14:paraId="0C7BDC5B" w14:textId="77777777" w:rsidR="00BD1702" w:rsidRDefault="00BD1702" w:rsidP="00BD1702">
      <w:pPr>
        <w:rPr>
          <w:rFonts w:ascii="Arial Black" w:hAnsi="Arial Black"/>
          <w:b/>
          <w:sz w:val="24"/>
          <w:szCs w:val="24"/>
        </w:rPr>
      </w:pPr>
    </w:p>
    <w:p w14:paraId="0D78D0F4" w14:textId="77777777" w:rsidR="00BD1702" w:rsidRDefault="00BD1702" w:rsidP="002B1283">
      <w:pPr>
        <w:rPr>
          <w:rFonts w:ascii="Arial Black" w:hAnsi="Arial Black"/>
          <w:b/>
          <w:sz w:val="24"/>
          <w:szCs w:val="24"/>
        </w:rPr>
      </w:pPr>
    </w:p>
    <w:p w14:paraId="48D6F6EB" w14:textId="3B2820A3" w:rsidR="00382F02" w:rsidRDefault="00382F02" w:rsidP="002B1283">
      <w:pPr>
        <w:rPr>
          <w:rFonts w:ascii="Arial Black" w:hAnsi="Arial Black"/>
          <w:b/>
          <w:sz w:val="24"/>
          <w:szCs w:val="24"/>
        </w:rPr>
      </w:pPr>
      <w:r>
        <w:rPr>
          <w:rFonts w:ascii="Arial Black" w:hAnsi="Arial Black"/>
          <w:b/>
          <w:sz w:val="24"/>
          <w:szCs w:val="24"/>
        </w:rPr>
        <w:t>1-84</w:t>
      </w:r>
    </w:p>
    <w:p w14:paraId="1E258EFB" w14:textId="77777777" w:rsidR="00382F02" w:rsidRDefault="00382F02" w:rsidP="00382F02">
      <w:pPr>
        <w:pStyle w:val="NoSpacing"/>
        <w:rPr>
          <w:rStyle w:val="markedcontent"/>
          <w:rFonts w:ascii="Arial Black" w:hAnsi="Arial Black"/>
          <w:sz w:val="28"/>
          <w:szCs w:val="28"/>
        </w:rPr>
      </w:pPr>
      <w:bookmarkStart w:id="6" w:name="_Hlk81842473"/>
      <w:r w:rsidRPr="006B6F95">
        <w:rPr>
          <w:rStyle w:val="markedcontent"/>
          <w:rFonts w:ascii="Arial Black" w:hAnsi="Arial Black"/>
          <w:sz w:val="28"/>
          <w:szCs w:val="28"/>
        </w:rPr>
        <w:t xml:space="preserve">U.S. </w:t>
      </w:r>
      <w:r>
        <w:rPr>
          <w:rStyle w:val="markedcontent"/>
          <w:rFonts w:ascii="Arial Black" w:hAnsi="Arial Black"/>
          <w:sz w:val="28"/>
          <w:szCs w:val="28"/>
        </w:rPr>
        <w:t>SUPREME COURT: COVID-19 – CDC NOT AUTHORIZED BY CONGRESS TO STOP TENANTS FROM BEING EVICTED</w:t>
      </w:r>
    </w:p>
    <w:bookmarkEnd w:id="6"/>
    <w:p w14:paraId="21EAED55" w14:textId="77777777" w:rsidR="00382F02" w:rsidRDefault="00382F02" w:rsidP="00382F02">
      <w:pPr>
        <w:pStyle w:val="NoSpacing"/>
        <w:rPr>
          <w:rStyle w:val="markedcontent"/>
          <w:rFonts w:ascii="Arial Black" w:hAnsi="Arial Black"/>
          <w:sz w:val="28"/>
          <w:szCs w:val="28"/>
        </w:rPr>
      </w:pPr>
    </w:p>
    <w:p w14:paraId="4C9F878E" w14:textId="1B963511" w:rsidR="00382F02" w:rsidRDefault="00382F02" w:rsidP="00382F02">
      <w:pPr>
        <w:pStyle w:val="NoSpacing"/>
        <w:rPr>
          <w:rStyle w:val="markedcontent"/>
          <w:rFonts w:ascii="Times New Roman" w:hAnsi="Times New Roman"/>
          <w:sz w:val="24"/>
          <w:szCs w:val="24"/>
        </w:rPr>
      </w:pPr>
      <w:r w:rsidRPr="00B61B0E">
        <w:rPr>
          <w:rStyle w:val="markedcontent"/>
          <w:rFonts w:ascii="Times New Roman" w:hAnsi="Times New Roman"/>
          <w:sz w:val="24"/>
          <w:szCs w:val="24"/>
        </w:rPr>
        <w:t xml:space="preserve">On Aug. 26, 2021, in </w:t>
      </w:r>
      <w:r w:rsidRPr="00B61B0E">
        <w:rPr>
          <w:rStyle w:val="markedcontent"/>
          <w:rFonts w:ascii="Times New Roman" w:hAnsi="Times New Roman"/>
          <w:sz w:val="24"/>
          <w:szCs w:val="24"/>
          <w:u w:val="single"/>
        </w:rPr>
        <w:t>Alabama Association of Realtors, et al. v. Department of Health and Human Services, et al</w:t>
      </w:r>
      <w:r w:rsidRPr="00B61B0E">
        <w:rPr>
          <w:rStyle w:val="markedcontent"/>
          <w:rFonts w:ascii="Times New Roman" w:hAnsi="Times New Roman"/>
          <w:sz w:val="24"/>
          <w:szCs w:val="24"/>
        </w:rPr>
        <w:t xml:space="preserve">., the U.S. Supreme Court held (6 to 3) in a Per </w:t>
      </w:r>
      <w:r w:rsidR="009344F3" w:rsidRPr="00B61B0E">
        <w:rPr>
          <w:rStyle w:val="markedcontent"/>
          <w:rFonts w:ascii="Times New Roman" w:hAnsi="Times New Roman"/>
          <w:sz w:val="24"/>
          <w:szCs w:val="24"/>
        </w:rPr>
        <w:t>Curium</w:t>
      </w:r>
      <w:r w:rsidRPr="00B61B0E">
        <w:rPr>
          <w:rStyle w:val="markedcontent"/>
          <w:rFonts w:ascii="Times New Roman" w:hAnsi="Times New Roman"/>
          <w:sz w:val="24"/>
          <w:szCs w:val="24"/>
        </w:rPr>
        <w:t xml:space="preserve"> opinion (not signed by a single Justice) that the Centers For Disease </w:t>
      </w:r>
      <w:r>
        <w:rPr>
          <w:rStyle w:val="markedcontent"/>
          <w:rFonts w:ascii="Times New Roman" w:hAnsi="Times New Roman"/>
          <w:sz w:val="24"/>
          <w:szCs w:val="24"/>
        </w:rPr>
        <w:t>C</w:t>
      </w:r>
      <w:r w:rsidRPr="00B61B0E">
        <w:rPr>
          <w:rStyle w:val="markedcontent"/>
          <w:rFonts w:ascii="Times New Roman" w:hAnsi="Times New Roman"/>
          <w:sz w:val="24"/>
          <w:szCs w:val="24"/>
        </w:rPr>
        <w:t xml:space="preserve">ontrol </w:t>
      </w:r>
      <w:r>
        <w:rPr>
          <w:rStyle w:val="markedcontent"/>
          <w:rFonts w:ascii="Times New Roman" w:hAnsi="Times New Roman"/>
          <w:sz w:val="24"/>
          <w:szCs w:val="24"/>
        </w:rPr>
        <w:t>under President Biden had no authority when it issued a memorandum to prohibit evictions from Aug. 3, 2021 to Oct. 3, 2021</w:t>
      </w:r>
      <w:r w:rsidR="00F8544A">
        <w:rPr>
          <w:rStyle w:val="markedcontent"/>
          <w:rFonts w:ascii="Times New Roman" w:hAnsi="Times New Roman"/>
          <w:sz w:val="24"/>
          <w:szCs w:val="24"/>
        </w:rPr>
        <w:t xml:space="preserve"> </w:t>
      </w:r>
      <w:r>
        <w:rPr>
          <w:rStyle w:val="markedcontent"/>
          <w:rFonts w:ascii="Times New Roman" w:hAnsi="Times New Roman"/>
          <w:sz w:val="24"/>
          <w:szCs w:val="24"/>
        </w:rPr>
        <w:t xml:space="preserve">in states with counties that had very high COVID-19 rates.  The CDC sought to </w:t>
      </w:r>
      <w:r w:rsidRPr="00B61B0E">
        <w:rPr>
          <w:rStyle w:val="markedcontent"/>
          <w:rFonts w:ascii="Times New Roman" w:hAnsi="Times New Roman"/>
          <w:sz w:val="24"/>
          <w:szCs w:val="24"/>
        </w:rPr>
        <w:t xml:space="preserve">extend the </w:t>
      </w:r>
      <w:r>
        <w:rPr>
          <w:rStyle w:val="markedcontent"/>
          <w:rFonts w:ascii="Times New Roman" w:hAnsi="Times New Roman"/>
          <w:sz w:val="24"/>
          <w:szCs w:val="24"/>
        </w:rPr>
        <w:t xml:space="preserve">2020 </w:t>
      </w:r>
      <w:r w:rsidRPr="00B61B0E">
        <w:rPr>
          <w:rStyle w:val="markedcontent"/>
          <w:rFonts w:ascii="Times New Roman" w:hAnsi="Times New Roman"/>
          <w:sz w:val="24"/>
          <w:szCs w:val="24"/>
        </w:rPr>
        <w:t>Congressional moratorium</w:t>
      </w:r>
      <w:r>
        <w:rPr>
          <w:rStyle w:val="markedcontent"/>
          <w:rFonts w:ascii="Times New Roman" w:hAnsi="Times New Roman"/>
          <w:sz w:val="24"/>
          <w:szCs w:val="24"/>
        </w:rPr>
        <w:t xml:space="preserve"> [issued during Trump Administration] which had expired in </w:t>
      </w:r>
      <w:proofErr w:type="gramStart"/>
      <w:r>
        <w:rPr>
          <w:rStyle w:val="markedcontent"/>
          <w:rFonts w:ascii="Times New Roman" w:hAnsi="Times New Roman"/>
          <w:sz w:val="24"/>
          <w:szCs w:val="24"/>
        </w:rPr>
        <w:t>July,</w:t>
      </w:r>
      <w:proofErr w:type="gramEnd"/>
      <w:r>
        <w:rPr>
          <w:rStyle w:val="markedcontent"/>
          <w:rFonts w:ascii="Times New Roman" w:hAnsi="Times New Roman"/>
          <w:sz w:val="24"/>
          <w:szCs w:val="24"/>
        </w:rPr>
        <w:t xml:space="preserve"> 2021, claiming the CDC had this power under the long-standing federal statute which gives CDC powers concerning fumigation, disinfection, sanitation, pest extermination, contaminated animals.  The plaintiff Associations represent landlords in Alabama and Georgia, and they sued in U.S. District Court in D.C. and federal judge issued an injunction to stop CDC moratorium; the U.S. sought a stay in the U.S. Supreme Court, which denied the stay. </w:t>
      </w:r>
    </w:p>
    <w:p w14:paraId="1F203CD6" w14:textId="77777777" w:rsidR="00382F02" w:rsidRDefault="00382F02" w:rsidP="00382F02">
      <w:pPr>
        <w:pStyle w:val="NoSpacing"/>
        <w:rPr>
          <w:rStyle w:val="markedcontent"/>
          <w:rFonts w:ascii="Times New Roman" w:hAnsi="Times New Roman"/>
          <w:sz w:val="24"/>
          <w:szCs w:val="24"/>
        </w:rPr>
      </w:pPr>
    </w:p>
    <w:p w14:paraId="32CAA6F3" w14:textId="77777777" w:rsidR="00382F02" w:rsidRDefault="00382F02" w:rsidP="00382F02">
      <w:pPr>
        <w:pStyle w:val="NoSpacing"/>
        <w:ind w:left="720"/>
        <w:rPr>
          <w:rStyle w:val="markedcontent"/>
          <w:rFonts w:ascii="Times New Roman" w:hAnsi="Times New Roman"/>
          <w:sz w:val="24"/>
          <w:szCs w:val="24"/>
        </w:rPr>
      </w:pPr>
      <w:r>
        <w:rPr>
          <w:rStyle w:val="markedcontent"/>
          <w:rFonts w:ascii="Times New Roman" w:hAnsi="Times New Roman"/>
          <w:sz w:val="24"/>
          <w:szCs w:val="24"/>
        </w:rPr>
        <w:t>“</w:t>
      </w:r>
      <w:r w:rsidRPr="008E03C4">
        <w:rPr>
          <w:rStyle w:val="markedcontent"/>
          <w:rFonts w:ascii="Times New Roman" w:hAnsi="Times New Roman"/>
          <w:sz w:val="24"/>
          <w:szCs w:val="24"/>
        </w:rPr>
        <w:t>In March 2020, Congress passed the Coronavirus Aid, Relief, and Economic Security Act to alleviate burdens caused</w:t>
      </w:r>
      <w:r>
        <w:rPr>
          <w:rStyle w:val="markedcontent"/>
          <w:rFonts w:ascii="Times New Roman" w:hAnsi="Times New Roman"/>
          <w:sz w:val="24"/>
          <w:szCs w:val="24"/>
        </w:rPr>
        <w:t xml:space="preserve"> </w:t>
      </w:r>
      <w:r w:rsidRPr="008E03C4">
        <w:rPr>
          <w:rStyle w:val="markedcontent"/>
          <w:rFonts w:ascii="Times New Roman" w:hAnsi="Times New Roman"/>
          <w:sz w:val="24"/>
          <w:szCs w:val="24"/>
        </w:rPr>
        <w:t>by the burgeoning COVID–19 pandemic. Pub. L. 116–136, 134 Stat. 281. Among other relief programs, the Act imposed a 120-day eviction moratorium for properties that</w:t>
      </w:r>
      <w:r>
        <w:rPr>
          <w:rStyle w:val="markedcontent"/>
          <w:rFonts w:ascii="Times New Roman" w:hAnsi="Times New Roman"/>
          <w:sz w:val="24"/>
          <w:szCs w:val="24"/>
        </w:rPr>
        <w:t xml:space="preserve"> </w:t>
      </w:r>
      <w:r w:rsidRPr="008E03C4">
        <w:rPr>
          <w:rStyle w:val="markedcontent"/>
          <w:rFonts w:ascii="Times New Roman" w:hAnsi="Times New Roman"/>
          <w:sz w:val="24"/>
          <w:szCs w:val="24"/>
        </w:rPr>
        <w:t>participated in federal assistance programs or were subject</w:t>
      </w:r>
      <w:r w:rsidRPr="008E03C4">
        <w:rPr>
          <w:rFonts w:ascii="Times New Roman" w:hAnsi="Times New Roman"/>
          <w:sz w:val="24"/>
          <w:szCs w:val="24"/>
        </w:rPr>
        <w:br/>
      </w:r>
      <w:r w:rsidRPr="008E03C4">
        <w:rPr>
          <w:rStyle w:val="markedcontent"/>
          <w:rFonts w:ascii="Times New Roman" w:hAnsi="Times New Roman"/>
          <w:sz w:val="24"/>
          <w:szCs w:val="24"/>
        </w:rPr>
        <w:t>to federally backed loans. §4024, id., at 492–494. When the eviction moratorium expired in July, Congress</w:t>
      </w:r>
      <w:r>
        <w:rPr>
          <w:rStyle w:val="markedcontent"/>
          <w:rFonts w:ascii="Times New Roman" w:hAnsi="Times New Roman"/>
          <w:sz w:val="24"/>
          <w:szCs w:val="24"/>
        </w:rPr>
        <w:t xml:space="preserve"> </w:t>
      </w:r>
      <w:r w:rsidRPr="008E03C4">
        <w:rPr>
          <w:rStyle w:val="markedcontent"/>
          <w:rFonts w:ascii="Times New Roman" w:hAnsi="Times New Roman"/>
          <w:sz w:val="24"/>
          <w:szCs w:val="24"/>
        </w:rPr>
        <w:t xml:space="preserve">did not renew it. </w:t>
      </w:r>
    </w:p>
    <w:p w14:paraId="23737D83" w14:textId="77777777" w:rsidR="00382F02" w:rsidRDefault="00382F02" w:rsidP="00382F02">
      <w:pPr>
        <w:pStyle w:val="NoSpacing"/>
        <w:ind w:left="720"/>
        <w:rPr>
          <w:rStyle w:val="markedcontent"/>
          <w:rFonts w:ascii="Times New Roman" w:hAnsi="Times New Roman"/>
          <w:sz w:val="24"/>
          <w:szCs w:val="24"/>
        </w:rPr>
      </w:pPr>
    </w:p>
    <w:p w14:paraId="20A2DE23" w14:textId="77777777" w:rsidR="00382F02" w:rsidRDefault="00382F02" w:rsidP="00382F02">
      <w:pPr>
        <w:pStyle w:val="NoSpacing"/>
        <w:ind w:left="720"/>
        <w:rPr>
          <w:rStyle w:val="markedcontent"/>
          <w:rFonts w:ascii="Times New Roman" w:hAnsi="Times New Roman"/>
          <w:sz w:val="24"/>
          <w:szCs w:val="24"/>
        </w:rPr>
      </w:pPr>
      <w:r w:rsidRPr="008E03C4">
        <w:rPr>
          <w:rStyle w:val="markedcontent"/>
          <w:rFonts w:ascii="Times New Roman" w:hAnsi="Times New Roman"/>
          <w:sz w:val="24"/>
          <w:szCs w:val="24"/>
        </w:rPr>
        <w:t xml:space="preserve">Concluding that further action was needed, the CDC decided to do what Congress had not. See 85 Fed. Reg. 55292 (2020). The new, administratively imposed moratorium went further than its statutory predecessor, covering all residential </w:t>
      </w:r>
      <w:proofErr w:type="gramStart"/>
      <w:r w:rsidRPr="008E03C4">
        <w:rPr>
          <w:rStyle w:val="markedcontent"/>
          <w:rFonts w:ascii="Times New Roman" w:hAnsi="Times New Roman"/>
          <w:sz w:val="24"/>
          <w:szCs w:val="24"/>
        </w:rPr>
        <w:t>properties</w:t>
      </w:r>
      <w:proofErr w:type="gramEnd"/>
      <w:r w:rsidRPr="008E03C4">
        <w:rPr>
          <w:rStyle w:val="markedcontent"/>
          <w:rFonts w:ascii="Times New Roman" w:hAnsi="Times New Roman"/>
          <w:sz w:val="24"/>
          <w:szCs w:val="24"/>
        </w:rPr>
        <w:t xml:space="preserve"> nationwide and imposing criminal penalties on violators. </w:t>
      </w:r>
    </w:p>
    <w:p w14:paraId="2330AC80" w14:textId="77777777" w:rsidR="00382F02" w:rsidRDefault="00382F02" w:rsidP="00382F02">
      <w:pPr>
        <w:pStyle w:val="NoSpacing"/>
        <w:ind w:left="720"/>
        <w:rPr>
          <w:rStyle w:val="markedcontent"/>
          <w:rFonts w:ascii="Times New Roman" w:hAnsi="Times New Roman"/>
          <w:sz w:val="24"/>
          <w:szCs w:val="24"/>
        </w:rPr>
      </w:pPr>
    </w:p>
    <w:p w14:paraId="1D565E6E" w14:textId="77777777" w:rsidR="00382F02" w:rsidRDefault="00382F02" w:rsidP="00382F02">
      <w:pPr>
        <w:pStyle w:val="NoSpacing"/>
        <w:ind w:left="720"/>
        <w:rPr>
          <w:rStyle w:val="markedcontent"/>
          <w:rFonts w:ascii="Times New Roman" w:hAnsi="Times New Roman"/>
          <w:sz w:val="24"/>
          <w:szCs w:val="24"/>
        </w:rPr>
      </w:pPr>
      <w:r>
        <w:rPr>
          <w:rStyle w:val="markedcontent"/>
          <w:rFonts w:ascii="Times New Roman" w:hAnsi="Times New Roman"/>
          <w:sz w:val="24"/>
          <w:szCs w:val="24"/>
        </w:rPr>
        <w:t>***</w:t>
      </w:r>
    </w:p>
    <w:p w14:paraId="157150B8" w14:textId="77777777" w:rsidR="00382F02" w:rsidRDefault="00382F02" w:rsidP="00382F02">
      <w:pPr>
        <w:pStyle w:val="NoSpacing"/>
        <w:rPr>
          <w:rStyle w:val="markedcontent"/>
          <w:rFonts w:ascii="Times New Roman" w:hAnsi="Times New Roman"/>
          <w:sz w:val="24"/>
          <w:szCs w:val="24"/>
        </w:rPr>
      </w:pPr>
    </w:p>
    <w:p w14:paraId="37326382" w14:textId="77777777" w:rsidR="00382F02" w:rsidRPr="00B14006" w:rsidRDefault="00382F02" w:rsidP="00382F02">
      <w:pPr>
        <w:pStyle w:val="NoSpacing"/>
        <w:ind w:left="720"/>
        <w:rPr>
          <w:rStyle w:val="markedcontent"/>
          <w:rFonts w:ascii="Times New Roman" w:hAnsi="Times New Roman"/>
          <w:sz w:val="24"/>
          <w:szCs w:val="24"/>
        </w:rPr>
      </w:pPr>
      <w:r w:rsidRPr="00B14006">
        <w:rPr>
          <w:rStyle w:val="markedcontent"/>
          <w:rFonts w:ascii="Times New Roman" w:hAnsi="Times New Roman"/>
          <w:sz w:val="24"/>
          <w:szCs w:val="24"/>
        </w:rPr>
        <w:t>If a federally imposed eviction moratorium is to continue,</w:t>
      </w:r>
      <w:r>
        <w:rPr>
          <w:rStyle w:val="markedcontent"/>
          <w:rFonts w:ascii="Times New Roman" w:hAnsi="Times New Roman"/>
          <w:sz w:val="24"/>
          <w:szCs w:val="24"/>
        </w:rPr>
        <w:t xml:space="preserve"> </w:t>
      </w:r>
      <w:r w:rsidRPr="00B14006">
        <w:rPr>
          <w:rStyle w:val="markedcontent"/>
          <w:rFonts w:ascii="Times New Roman" w:hAnsi="Times New Roman"/>
          <w:sz w:val="24"/>
          <w:szCs w:val="24"/>
        </w:rPr>
        <w:t>Congress must specifically authorize it.</w:t>
      </w:r>
      <w:r>
        <w:rPr>
          <w:rStyle w:val="markedcontent"/>
          <w:rFonts w:ascii="Times New Roman" w:hAnsi="Times New Roman"/>
          <w:sz w:val="24"/>
          <w:szCs w:val="24"/>
        </w:rPr>
        <w:t xml:space="preserve">”  </w:t>
      </w:r>
      <w:hyperlink r:id="rId247" w:history="1">
        <w:r w:rsidRPr="007D2E44">
          <w:rPr>
            <w:rStyle w:val="Hyperlink"/>
            <w:sz w:val="24"/>
            <w:szCs w:val="24"/>
          </w:rPr>
          <w:t>https://www.supremecourt.gov/opinions/20pdf/21a23_ap6c.pdf</w:t>
        </w:r>
      </w:hyperlink>
      <w:r>
        <w:rPr>
          <w:rStyle w:val="markedcontent"/>
          <w:rFonts w:ascii="Times New Roman" w:hAnsi="Times New Roman"/>
          <w:sz w:val="24"/>
          <w:szCs w:val="24"/>
        </w:rPr>
        <w:t xml:space="preserve"> </w:t>
      </w:r>
    </w:p>
    <w:p w14:paraId="7ECD0B4D" w14:textId="77777777" w:rsidR="00382F02" w:rsidRDefault="00382F02" w:rsidP="00382F02">
      <w:pPr>
        <w:pStyle w:val="NoSpacing"/>
        <w:rPr>
          <w:rStyle w:val="markedcontent"/>
          <w:rFonts w:ascii="Times New Roman" w:hAnsi="Times New Roman"/>
          <w:b/>
          <w:bCs/>
          <w:sz w:val="24"/>
          <w:szCs w:val="24"/>
        </w:rPr>
      </w:pPr>
    </w:p>
    <w:p w14:paraId="42FBFAE0" w14:textId="6BE301E8" w:rsidR="00382F02" w:rsidRDefault="00382F02" w:rsidP="00382F02">
      <w:pPr>
        <w:pStyle w:val="NoSpacing"/>
        <w:rPr>
          <w:rStyle w:val="markedcontent"/>
          <w:rFonts w:ascii="Times New Roman" w:hAnsi="Times New Roman"/>
          <w:b/>
          <w:bCs/>
          <w:sz w:val="24"/>
          <w:szCs w:val="24"/>
        </w:rPr>
      </w:pPr>
      <w:r w:rsidRPr="00C708A4">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 The Court’s majority are obviously conservative; Congress can now act to implement a moratorium if it so chooses. </w:t>
      </w:r>
    </w:p>
    <w:p w14:paraId="57D444A1" w14:textId="77777777" w:rsidR="00382F02" w:rsidRDefault="00382F02" w:rsidP="00382F02">
      <w:pPr>
        <w:pStyle w:val="NoSpacing"/>
        <w:rPr>
          <w:rStyle w:val="markedcontent"/>
          <w:rFonts w:ascii="Times New Roman" w:hAnsi="Times New Roman"/>
          <w:b/>
          <w:bCs/>
          <w:sz w:val="24"/>
          <w:szCs w:val="24"/>
        </w:rPr>
      </w:pPr>
    </w:p>
    <w:p w14:paraId="0559CBDA" w14:textId="77777777" w:rsidR="00382F02" w:rsidRDefault="00382F02" w:rsidP="00382F02">
      <w:pPr>
        <w:pStyle w:val="NoSpacing"/>
        <w:ind w:left="720"/>
        <w:rPr>
          <w:rStyle w:val="markedcontent"/>
          <w:rFonts w:ascii="Times New Roman" w:hAnsi="Times New Roman"/>
          <w:sz w:val="24"/>
          <w:szCs w:val="24"/>
        </w:rPr>
      </w:pPr>
      <w:r>
        <w:rPr>
          <w:rStyle w:val="markedcontent"/>
          <w:rFonts w:ascii="Times New Roman" w:hAnsi="Times New Roman"/>
          <w:sz w:val="24"/>
          <w:szCs w:val="24"/>
        </w:rPr>
        <w:t xml:space="preserve">Note:  Amicus Brief [twenty-two states and District of Columbia filed Amicus brief supporting the CDC memorandum.]  </w:t>
      </w:r>
    </w:p>
    <w:p w14:paraId="60EE2B3B" w14:textId="77777777" w:rsidR="00382F02" w:rsidRDefault="00382F02" w:rsidP="00382F02">
      <w:pPr>
        <w:pStyle w:val="NoSpacing"/>
        <w:rPr>
          <w:rStyle w:val="markedcontent"/>
          <w:rFonts w:ascii="Times New Roman" w:hAnsi="Times New Roman"/>
          <w:sz w:val="24"/>
          <w:szCs w:val="24"/>
        </w:rPr>
      </w:pPr>
    </w:p>
    <w:p w14:paraId="2BFD69C0" w14:textId="77777777" w:rsidR="00382F02" w:rsidRDefault="00382F02" w:rsidP="00382F02">
      <w:pPr>
        <w:pStyle w:val="NoSpacing"/>
        <w:ind w:left="720"/>
        <w:rPr>
          <w:rStyle w:val="markedcontent"/>
          <w:rFonts w:ascii="Times New Roman" w:hAnsi="Times New Roman"/>
          <w:sz w:val="24"/>
          <w:szCs w:val="24"/>
        </w:rPr>
      </w:pPr>
      <w:r>
        <w:rPr>
          <w:rStyle w:val="markedcontent"/>
          <w:rFonts w:ascii="Times New Roman" w:hAnsi="Times New Roman"/>
          <w:sz w:val="24"/>
          <w:szCs w:val="24"/>
        </w:rPr>
        <w:t>“</w:t>
      </w:r>
      <w:r w:rsidRPr="00B14006">
        <w:rPr>
          <w:rStyle w:val="markedcontent"/>
          <w:rFonts w:ascii="Times New Roman" w:hAnsi="Times New Roman"/>
          <w:sz w:val="24"/>
          <w:szCs w:val="24"/>
        </w:rPr>
        <w:t>Eviction protections have been key public health tools to slow the spread of the virus. They ensure individuals have a space to isolate, and they prevent vulnerable individuals from being forced out onto the street, into shelters, or into the homes of family or friends, potentially exposing themselves and others to the virus. Forty-four states—from Alabama to California and Hawaii to Montana—have implemented eviction protections of some sort during the pandemic.</w:t>
      </w:r>
      <w:r>
        <w:rPr>
          <w:rStyle w:val="markedcontent"/>
          <w:rFonts w:ascii="Times New Roman" w:hAnsi="Times New Roman"/>
          <w:sz w:val="24"/>
          <w:szCs w:val="24"/>
        </w:rPr>
        <w:t xml:space="preserve">” </w:t>
      </w:r>
      <w:hyperlink r:id="rId248" w:history="1">
        <w:r w:rsidRPr="007D2E44">
          <w:rPr>
            <w:rStyle w:val="Hyperlink"/>
            <w:sz w:val="24"/>
            <w:szCs w:val="24"/>
          </w:rPr>
          <w:t>https://www.supremecourt.gov/DocketPDF/20/20A169/181359/20210610165940894_20A169%20Amicus%20Mot.pdf</w:t>
        </w:r>
      </w:hyperlink>
      <w:r>
        <w:rPr>
          <w:rStyle w:val="markedcontent"/>
          <w:rFonts w:ascii="Times New Roman" w:hAnsi="Times New Roman"/>
          <w:sz w:val="24"/>
          <w:szCs w:val="24"/>
        </w:rPr>
        <w:t xml:space="preserve"> </w:t>
      </w:r>
    </w:p>
    <w:p w14:paraId="33CEB322" w14:textId="77777777" w:rsidR="00382F02" w:rsidRDefault="00382F02" w:rsidP="00382F02">
      <w:pPr>
        <w:pStyle w:val="NoSpacing"/>
        <w:ind w:left="720"/>
        <w:rPr>
          <w:rStyle w:val="markedcontent"/>
          <w:rFonts w:ascii="Times New Roman" w:hAnsi="Times New Roman"/>
          <w:sz w:val="24"/>
          <w:szCs w:val="24"/>
        </w:rPr>
      </w:pPr>
    </w:p>
    <w:p w14:paraId="1BBAE4AA" w14:textId="77777777" w:rsidR="00382F02" w:rsidRDefault="00382F02" w:rsidP="00382F02">
      <w:pPr>
        <w:pStyle w:val="articleparagraph"/>
        <w:ind w:left="720"/>
      </w:pPr>
      <w:r w:rsidRPr="00515C58">
        <w:rPr>
          <w:rStyle w:val="markedcontent"/>
        </w:rPr>
        <w:t>See article (Aug. 26, 2021): “</w:t>
      </w:r>
      <w:r w:rsidRPr="00515C58">
        <w:t xml:space="preserve">Supreme Court blocks Biden's COVID-19 eviction moratorium in a blow to renters.” </w:t>
      </w:r>
      <w:hyperlink r:id="rId249" w:history="1">
        <w:r w:rsidRPr="00515C58">
          <w:rPr>
            <w:rStyle w:val="Hyperlink"/>
          </w:rPr>
          <w:t>https://www.usatoday.com/story/news/politics/2021/08/27/supreme-court-blocks-president-bidens-covid-19-eviction-moratorium/8243599002/</w:t>
        </w:r>
      </w:hyperlink>
    </w:p>
    <w:p w14:paraId="0A37EA56" w14:textId="77777777" w:rsidR="00382F02" w:rsidRDefault="00382F02" w:rsidP="002B1283">
      <w:pPr>
        <w:rPr>
          <w:rFonts w:ascii="Arial Black" w:hAnsi="Arial Black"/>
          <w:b/>
          <w:sz w:val="24"/>
          <w:szCs w:val="24"/>
        </w:rPr>
      </w:pPr>
    </w:p>
    <w:p w14:paraId="0BE3A2E3" w14:textId="77777777" w:rsidR="00382F02" w:rsidRDefault="00382F02" w:rsidP="002B1283">
      <w:pPr>
        <w:rPr>
          <w:rFonts w:ascii="Arial Black" w:hAnsi="Arial Black"/>
          <w:b/>
          <w:sz w:val="24"/>
          <w:szCs w:val="24"/>
        </w:rPr>
      </w:pPr>
    </w:p>
    <w:p w14:paraId="159EF509" w14:textId="79CB6B63" w:rsidR="00382F02" w:rsidRDefault="00382F02" w:rsidP="002B1283">
      <w:pPr>
        <w:rPr>
          <w:rFonts w:ascii="Arial Black" w:hAnsi="Arial Black"/>
          <w:b/>
          <w:sz w:val="24"/>
          <w:szCs w:val="24"/>
        </w:rPr>
      </w:pPr>
      <w:r>
        <w:rPr>
          <w:rFonts w:ascii="Arial Black" w:hAnsi="Arial Black"/>
          <w:b/>
          <w:sz w:val="24"/>
          <w:szCs w:val="24"/>
        </w:rPr>
        <w:t>1-83</w:t>
      </w:r>
    </w:p>
    <w:p w14:paraId="1B388008" w14:textId="77777777" w:rsidR="00382F02" w:rsidRPr="00E900D2" w:rsidRDefault="00382F02" w:rsidP="00382F02">
      <w:pPr>
        <w:pStyle w:val="NoSpacing"/>
        <w:rPr>
          <w:rStyle w:val="markedcontent"/>
          <w:rFonts w:ascii="Arial Black" w:hAnsi="Arial Black"/>
          <w:sz w:val="28"/>
          <w:szCs w:val="28"/>
        </w:rPr>
      </w:pPr>
      <w:bookmarkStart w:id="7" w:name="_Hlk81840928"/>
      <w:r w:rsidRPr="00E900D2">
        <w:rPr>
          <w:rStyle w:val="markedcontent"/>
          <w:rFonts w:ascii="Arial Black" w:hAnsi="Arial Black"/>
          <w:sz w:val="28"/>
          <w:szCs w:val="28"/>
        </w:rPr>
        <w:t>U.S. SUPREME COURT</w:t>
      </w:r>
      <w:r>
        <w:rPr>
          <w:rStyle w:val="markedcontent"/>
          <w:rFonts w:ascii="Arial Black" w:hAnsi="Arial Black"/>
          <w:sz w:val="28"/>
          <w:szCs w:val="28"/>
        </w:rPr>
        <w:t>: DEPORTATIONS BACK TO MEXICO - TX, MO. WIN INJUNCTION, TRUMP POLICY RESTARTED</w:t>
      </w:r>
    </w:p>
    <w:bookmarkEnd w:id="7"/>
    <w:p w14:paraId="619460C3" w14:textId="77777777" w:rsidR="00382F02" w:rsidRDefault="00382F02" w:rsidP="00382F02">
      <w:pPr>
        <w:pStyle w:val="NoSpacing"/>
        <w:rPr>
          <w:rStyle w:val="markedcontent"/>
          <w:rFonts w:ascii="Courier New" w:hAnsi="Courier New" w:cs="Courier New"/>
          <w:sz w:val="25"/>
          <w:szCs w:val="25"/>
        </w:rPr>
      </w:pPr>
    </w:p>
    <w:p w14:paraId="1450F8FA" w14:textId="77777777" w:rsidR="00382F02" w:rsidRDefault="00382F02" w:rsidP="00382F02">
      <w:pPr>
        <w:pStyle w:val="NoSpacing"/>
        <w:rPr>
          <w:rStyle w:val="markedcontent"/>
          <w:rFonts w:ascii="Times New Roman" w:hAnsi="Times New Roman"/>
          <w:sz w:val="24"/>
          <w:szCs w:val="24"/>
        </w:rPr>
      </w:pPr>
      <w:r w:rsidRPr="00E900D2">
        <w:rPr>
          <w:rStyle w:val="markedcontent"/>
          <w:rFonts w:ascii="Times New Roman" w:hAnsi="Times New Roman"/>
          <w:sz w:val="24"/>
          <w:szCs w:val="24"/>
        </w:rPr>
        <w:t xml:space="preserve">On </w:t>
      </w:r>
      <w:r>
        <w:rPr>
          <w:rStyle w:val="markedcontent"/>
          <w:rFonts w:ascii="Times New Roman" w:hAnsi="Times New Roman"/>
          <w:sz w:val="24"/>
          <w:szCs w:val="24"/>
        </w:rPr>
        <w:t xml:space="preserve">Aug. 24, 2021, in </w:t>
      </w:r>
      <w:r w:rsidRPr="007029FC">
        <w:rPr>
          <w:rStyle w:val="markedcontent"/>
          <w:rFonts w:ascii="Times New Roman" w:hAnsi="Times New Roman"/>
          <w:sz w:val="24"/>
          <w:szCs w:val="24"/>
          <w:u w:val="single"/>
        </w:rPr>
        <w:t>Biden, President of U.S. v. Texas &amp; Missouri</w:t>
      </w:r>
      <w:r>
        <w:rPr>
          <w:rStyle w:val="markedcontent"/>
          <w:rFonts w:ascii="Times New Roman" w:hAnsi="Times New Roman"/>
          <w:sz w:val="24"/>
          <w:szCs w:val="24"/>
        </w:rPr>
        <w:t xml:space="preserve">, the U.S. Supreme Court denied the U.S. Government’s application to stay a nationwide injunction issued on Aug. 13, </w:t>
      </w:r>
      <w:proofErr w:type="gramStart"/>
      <w:r>
        <w:rPr>
          <w:rStyle w:val="markedcontent"/>
          <w:rFonts w:ascii="Times New Roman" w:hAnsi="Times New Roman"/>
          <w:sz w:val="24"/>
          <w:szCs w:val="24"/>
        </w:rPr>
        <w:t>2021</w:t>
      </w:r>
      <w:proofErr w:type="gramEnd"/>
      <w:r>
        <w:rPr>
          <w:rStyle w:val="markedcontent"/>
          <w:rFonts w:ascii="Times New Roman" w:hAnsi="Times New Roman"/>
          <w:sz w:val="24"/>
          <w:szCs w:val="24"/>
        </w:rPr>
        <w:t xml:space="preserve"> by Federal District Court Judge in Texas in a lawsuit filed by states of Texas and Missouri.  U.S. District Court Judge  Matthew J. Kacsmaryk, Northern District of Texas, held a one-day evidentiary hearing and found that President Biden’s </w:t>
      </w:r>
      <w:r w:rsidRPr="00054653">
        <w:rPr>
          <w:rStyle w:val="markedcontent"/>
          <w:rFonts w:ascii="Times New Roman" w:hAnsi="Times New Roman"/>
          <w:sz w:val="24"/>
          <w:szCs w:val="24"/>
        </w:rPr>
        <w:t>Secretary</w:t>
      </w:r>
      <w:r>
        <w:rPr>
          <w:rStyle w:val="markedcontent"/>
          <w:rFonts w:ascii="Times New Roman" w:hAnsi="Times New Roman"/>
          <w:sz w:val="24"/>
          <w:szCs w:val="24"/>
        </w:rPr>
        <w:t xml:space="preserve"> of Department of Homeland Security, in cancelling President Trump’s 2018 Migrant Protection Protocols [which had deported 68,000 aliens by Dec. 31, 2020] “</w:t>
      </w:r>
      <w:r w:rsidRPr="00054653">
        <w:rPr>
          <w:rStyle w:val="markedcontent"/>
          <w:rFonts w:ascii="Times New Roman" w:hAnsi="Times New Roman"/>
          <w:sz w:val="24"/>
          <w:szCs w:val="24"/>
        </w:rPr>
        <w:t xml:space="preserve">failed to consider the warnings by career DHS personnel that </w:t>
      </w:r>
      <w:r>
        <w:rPr>
          <w:rStyle w:val="markedcontent"/>
          <w:rFonts w:ascii="Times New Roman" w:hAnsi="Times New Roman"/>
          <w:sz w:val="24"/>
          <w:szCs w:val="24"/>
        </w:rPr>
        <w:t>‘</w:t>
      </w:r>
      <w:r w:rsidRPr="00054653">
        <w:rPr>
          <w:rStyle w:val="markedcontent"/>
          <w:rFonts w:ascii="Times New Roman" w:hAnsi="Times New Roman"/>
          <w:sz w:val="24"/>
          <w:szCs w:val="24"/>
        </w:rPr>
        <w:t>the suspension of the MPP</w:t>
      </w:r>
      <w:r>
        <w:rPr>
          <w:rStyle w:val="markedcontent"/>
          <w:rFonts w:ascii="Times New Roman" w:hAnsi="Times New Roman"/>
          <w:sz w:val="24"/>
          <w:szCs w:val="24"/>
        </w:rPr>
        <w:t xml:space="preserve"> </w:t>
      </w:r>
      <w:r w:rsidRPr="00054653">
        <w:rPr>
          <w:rStyle w:val="markedcontent"/>
          <w:rFonts w:ascii="Times New Roman" w:hAnsi="Times New Roman"/>
          <w:sz w:val="24"/>
          <w:szCs w:val="24"/>
        </w:rPr>
        <w:t xml:space="preserve"> along with other policies, would lead to a resurgence of illegal aliens attempting to illegally</w:t>
      </w:r>
      <w:r>
        <w:rPr>
          <w:rStyle w:val="markedcontent"/>
          <w:rFonts w:ascii="Times New Roman" w:hAnsi="Times New Roman"/>
          <w:sz w:val="24"/>
          <w:szCs w:val="24"/>
        </w:rPr>
        <w:t>’</w:t>
      </w:r>
      <w:r w:rsidRPr="00054653">
        <w:rPr>
          <w:rStyle w:val="markedcontent"/>
          <w:rFonts w:ascii="Times New Roman" w:hAnsi="Times New Roman"/>
          <w:sz w:val="24"/>
          <w:szCs w:val="24"/>
        </w:rPr>
        <w:t xml:space="preserve"> cross the border.</w:t>
      </w:r>
      <w:r>
        <w:rPr>
          <w:rStyle w:val="markedcontent"/>
          <w:rFonts w:ascii="Times New Roman" w:hAnsi="Times New Roman"/>
          <w:sz w:val="24"/>
          <w:szCs w:val="24"/>
        </w:rPr>
        <w:t xml:space="preserve">”  </w:t>
      </w:r>
      <w:hyperlink r:id="rId250" w:history="1">
        <w:r w:rsidRPr="007D2E44">
          <w:rPr>
            <w:rStyle w:val="Hyperlink"/>
            <w:sz w:val="24"/>
            <w:szCs w:val="24"/>
          </w:rPr>
          <w:t>https://storage.courtlistener.com/recap/gov.uscourts.txnd.346680/gov.uscourts.txnd.346680.94.0.pdf</w:t>
        </w:r>
      </w:hyperlink>
      <w:r>
        <w:rPr>
          <w:rStyle w:val="markedcontent"/>
          <w:rFonts w:ascii="Times New Roman" w:hAnsi="Times New Roman"/>
          <w:sz w:val="24"/>
          <w:szCs w:val="24"/>
        </w:rPr>
        <w:t xml:space="preserve"> </w:t>
      </w:r>
    </w:p>
    <w:p w14:paraId="032BF5D9" w14:textId="1282F4A8" w:rsidR="00382F02" w:rsidRDefault="00382F02" w:rsidP="002B1283">
      <w:pPr>
        <w:rPr>
          <w:rFonts w:ascii="Arial Black" w:hAnsi="Arial Black"/>
          <w:b/>
          <w:sz w:val="24"/>
          <w:szCs w:val="24"/>
        </w:rPr>
      </w:pPr>
    </w:p>
    <w:p w14:paraId="5A2C5FFE" w14:textId="77777777" w:rsidR="00382F02" w:rsidRDefault="00382F02" w:rsidP="00382F02">
      <w:pPr>
        <w:pStyle w:val="NoSpacing"/>
        <w:rPr>
          <w:rStyle w:val="markedcontent"/>
          <w:rFonts w:ascii="Times New Roman" w:hAnsi="Times New Roman"/>
          <w:b/>
          <w:bCs/>
          <w:sz w:val="24"/>
          <w:szCs w:val="24"/>
        </w:rPr>
      </w:pPr>
      <w:r w:rsidRPr="00DD6BC5">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A powerful win for the states of Texas and Missouri, and other states that are incurring costs from illegal aliens.  </w:t>
      </w:r>
    </w:p>
    <w:p w14:paraId="736B762D" w14:textId="77777777" w:rsidR="00382F02" w:rsidRDefault="00382F02" w:rsidP="00382F02">
      <w:pPr>
        <w:pStyle w:val="NoSpacing"/>
        <w:rPr>
          <w:rStyle w:val="markedcontent"/>
          <w:rFonts w:ascii="Times New Roman" w:hAnsi="Times New Roman"/>
          <w:b/>
          <w:bCs/>
          <w:sz w:val="24"/>
          <w:szCs w:val="24"/>
        </w:rPr>
      </w:pPr>
    </w:p>
    <w:p w14:paraId="7CA1938E" w14:textId="77777777" w:rsidR="00382F02" w:rsidRDefault="00382F02" w:rsidP="00382F02">
      <w:pPr>
        <w:pStyle w:val="NoSpacing"/>
        <w:ind w:left="720"/>
        <w:rPr>
          <w:rStyle w:val="markedcontent"/>
          <w:rFonts w:ascii="Times New Roman" w:hAnsi="Times New Roman"/>
          <w:sz w:val="24"/>
          <w:szCs w:val="24"/>
        </w:rPr>
      </w:pPr>
      <w:r w:rsidRPr="00DD6BC5">
        <w:rPr>
          <w:rStyle w:val="markedcontent"/>
          <w:rFonts w:ascii="Times New Roman" w:hAnsi="Times New Roman"/>
          <w:sz w:val="24"/>
          <w:szCs w:val="24"/>
        </w:rPr>
        <w:t xml:space="preserve">Note: The Administrative Procedures Act provides that “[t]he reviewing court shall . . . hold unlawful and set aside agency action, findings, and conclusions found to be . . . arbitrary, capricious, an abuse of discretion, or otherwise not in accordance with law.” 5 U.S.C. § 706(2)(A).  </w:t>
      </w:r>
    </w:p>
    <w:p w14:paraId="5DA6AE7D" w14:textId="77777777" w:rsidR="00382F02" w:rsidRDefault="00382F02" w:rsidP="00382F02">
      <w:pPr>
        <w:pStyle w:val="NoSpacing"/>
        <w:ind w:left="720"/>
        <w:rPr>
          <w:rStyle w:val="markedcontent"/>
          <w:sz w:val="24"/>
          <w:szCs w:val="24"/>
        </w:rPr>
      </w:pPr>
    </w:p>
    <w:p w14:paraId="5E80CDA5" w14:textId="77777777" w:rsidR="00382F02" w:rsidRDefault="00382F02" w:rsidP="00382F02">
      <w:pPr>
        <w:pStyle w:val="NoSpacing"/>
        <w:ind w:left="720"/>
        <w:rPr>
          <w:rStyle w:val="markedcontent"/>
          <w:rFonts w:ascii="Times New Roman" w:hAnsi="Times New Roman"/>
          <w:sz w:val="24"/>
          <w:szCs w:val="24"/>
        </w:rPr>
      </w:pPr>
      <w:r w:rsidRPr="00B17D11">
        <w:rPr>
          <w:rStyle w:val="markedcontent"/>
          <w:rFonts w:ascii="Times New Roman" w:hAnsi="Times New Roman"/>
          <w:sz w:val="24"/>
          <w:szCs w:val="24"/>
        </w:rPr>
        <w:t>See article: Aug. 25, 2021: “</w:t>
      </w:r>
      <w:r w:rsidRPr="00B17D11">
        <w:rPr>
          <w:rFonts w:ascii="Times New Roman" w:hAnsi="Times New Roman"/>
          <w:sz w:val="24"/>
          <w:szCs w:val="24"/>
        </w:rPr>
        <w:t>Supreme Court allows revival of Trump-era ‘Remain in Mexico’ asylum policy.”</w:t>
      </w:r>
      <w:r w:rsidRPr="00803923">
        <w:rPr>
          <w:sz w:val="24"/>
          <w:szCs w:val="24"/>
        </w:rPr>
        <w:t xml:space="preserve">  </w:t>
      </w:r>
      <w:hyperlink r:id="rId251" w:history="1">
        <w:r w:rsidRPr="00803923">
          <w:rPr>
            <w:rStyle w:val="Hyperlink"/>
            <w:sz w:val="24"/>
            <w:szCs w:val="24"/>
          </w:rPr>
          <w:t>https://indianexpress.com/article/world/supreme-court-allows-revival-of-trump-era-remain-in-mexico-asylum-policy-7469812/</w:t>
        </w:r>
      </w:hyperlink>
    </w:p>
    <w:p w14:paraId="44F08508" w14:textId="77777777" w:rsidR="00382F02" w:rsidRDefault="00382F02" w:rsidP="002B1283">
      <w:pPr>
        <w:rPr>
          <w:rFonts w:ascii="Arial Black" w:hAnsi="Arial Black"/>
          <w:b/>
          <w:sz w:val="24"/>
          <w:szCs w:val="24"/>
        </w:rPr>
      </w:pPr>
    </w:p>
    <w:p w14:paraId="25A3FF96" w14:textId="77777777" w:rsidR="00382F02" w:rsidRDefault="00382F02" w:rsidP="002B1283">
      <w:pPr>
        <w:rPr>
          <w:rFonts w:ascii="Arial Black" w:hAnsi="Arial Black"/>
          <w:b/>
          <w:sz w:val="24"/>
          <w:szCs w:val="24"/>
        </w:rPr>
      </w:pPr>
    </w:p>
    <w:p w14:paraId="379562E7" w14:textId="0E2B13D1" w:rsidR="00382F02" w:rsidRDefault="00382F02" w:rsidP="002B1283">
      <w:pPr>
        <w:rPr>
          <w:rFonts w:ascii="Arial Black" w:hAnsi="Arial Black"/>
          <w:b/>
          <w:sz w:val="24"/>
          <w:szCs w:val="24"/>
        </w:rPr>
      </w:pPr>
      <w:r>
        <w:rPr>
          <w:rFonts w:ascii="Arial Black" w:hAnsi="Arial Black"/>
          <w:b/>
          <w:sz w:val="24"/>
          <w:szCs w:val="24"/>
        </w:rPr>
        <w:t>1-82</w:t>
      </w:r>
    </w:p>
    <w:p w14:paraId="17C258E0" w14:textId="77777777" w:rsidR="00382F02" w:rsidRPr="00967053" w:rsidRDefault="00382F02" w:rsidP="00382F02">
      <w:pPr>
        <w:pStyle w:val="NormalWeb"/>
        <w:rPr>
          <w:rFonts w:ascii="Arial Black" w:hAnsi="Arial Black"/>
          <w:sz w:val="28"/>
          <w:szCs w:val="28"/>
        </w:rPr>
      </w:pPr>
      <w:bookmarkStart w:id="8" w:name="_Hlk81841064"/>
      <w:r>
        <w:rPr>
          <w:rFonts w:ascii="Arial Black" w:hAnsi="Arial Black"/>
          <w:sz w:val="28"/>
          <w:szCs w:val="28"/>
        </w:rPr>
        <w:t xml:space="preserve">OK: ARSON INVESTIGATORS OBTAINED ARREST WARRANT – NO LIABILITY WHEN FEDERAL ARSON CASE DROPPED </w:t>
      </w:r>
    </w:p>
    <w:bookmarkEnd w:id="8"/>
    <w:p w14:paraId="15D83E6D" w14:textId="77777777" w:rsidR="00382F02" w:rsidRDefault="00382F02" w:rsidP="00382F02">
      <w:pPr>
        <w:pStyle w:val="NormalWeb"/>
        <w:tabs>
          <w:tab w:val="left" w:pos="8070"/>
        </w:tabs>
      </w:pPr>
      <w:r>
        <w:t xml:space="preserve">On Aug. 10, 2021, in </w:t>
      </w:r>
      <w:r w:rsidRPr="00967053">
        <w:rPr>
          <w:u w:val="single"/>
        </w:rPr>
        <w:t>David Anthony Ciempa v. City of Del City, Oklahoma</w:t>
      </w:r>
      <w:r>
        <w:t>, the U.S. Court of Appeals for the 10</w:t>
      </w:r>
      <w:r w:rsidRPr="00967053">
        <w:rPr>
          <w:vertAlign w:val="superscript"/>
        </w:rPr>
        <w:t>th</w:t>
      </w:r>
      <w:r>
        <w:t xml:space="preserve"> Circuit (Denver, Colorado) held (3 to 0) that U.S. District Court properly dismissed the pro se [not represented by an attorney] lawsuit for “malicious prosecution” against Deputy Fire Chief Jeff Keester and police officer [Major] Zion Williams; an arrest warrant for arson had been obtained from a state judge based on probable cause, there were no false statements in warrant affidavit; the federal arson charges were dropped because of an uncooperative witness, not because arson defendant was innocent.  </w:t>
      </w:r>
    </w:p>
    <w:p w14:paraId="23DFA627" w14:textId="77777777" w:rsidR="00382F02" w:rsidRDefault="00382F02" w:rsidP="00382F02">
      <w:pPr>
        <w:pStyle w:val="NormalWeb"/>
        <w:ind w:left="720"/>
      </w:pPr>
      <w:r>
        <w:t xml:space="preserve">“In particular, the court said the criminal case was dismissed due to an uncooperative victim, not because Mr. Ciempa was </w:t>
      </w:r>
      <w:proofErr w:type="gramStart"/>
      <w:r>
        <w:t>actually innocent</w:t>
      </w:r>
      <w:proofErr w:type="gramEnd"/>
      <w:r>
        <w:t xml:space="preserve">. </w:t>
      </w:r>
      <w:r>
        <w:rPr>
          <w:rStyle w:val="Emphasis"/>
        </w:rPr>
        <w:t>See id.</w:t>
      </w:r>
      <w:r>
        <w:t xml:space="preserve"> at 802-03 (explaining that to qualify as a favorable termination, a dismissal must indicate the accused's innocence or at least be inconsistent with guilt). It also noted that the state judge had determined there was probable cause for the arrest and prosecution, and that Mr. Ciempa could not show the investigators procured the warrant by knowingly or recklessly relying on false information. </w:t>
      </w:r>
      <w:r>
        <w:rPr>
          <w:rStyle w:val="Emphasis"/>
        </w:rPr>
        <w:t>See Sanchez v. Hartley</w:t>
      </w:r>
      <w:r>
        <w:t xml:space="preserve">, 810 F.3d 750, 754 (10th Cir. 2016) (recognizing a plaintiff can establish a malicious prosecution constitutional violation by showing "officers . . . knowingly or recklessly </w:t>
      </w:r>
      <w:proofErr w:type="spellStart"/>
      <w:r>
        <w:t>rel</w:t>
      </w:r>
      <w:proofErr w:type="spellEnd"/>
      <w:r>
        <w:t>[</w:t>
      </w:r>
      <w:proofErr w:type="spellStart"/>
      <w:r>
        <w:t>ied</w:t>
      </w:r>
      <w:proofErr w:type="spellEnd"/>
      <w:r>
        <w:t>] on false information to institute legal process . . . result[</w:t>
      </w:r>
      <w:proofErr w:type="spellStart"/>
      <w:r>
        <w:t>ing</w:t>
      </w:r>
      <w:proofErr w:type="spellEnd"/>
      <w:r>
        <w:t xml:space="preserve">] in an unreasonable seizure"). It further concluded Mr. Ciempa could not establish malice, which requires "a substantial showing of deliberate falsehood or reckless disregard for truth," </w:t>
      </w:r>
      <w:r>
        <w:rPr>
          <w:rStyle w:val="Emphasis"/>
        </w:rPr>
        <w:t>Snell v. Tunnell</w:t>
      </w:r>
      <w:r>
        <w:t xml:space="preserve">, 920 F.2d 673, 698 (10th Cir. 1990). The court therefore granted summary judgment based on qualified immunity. Mr. Ciempa appealed the malicious prosecution ruling.” </w:t>
      </w:r>
      <w:hyperlink r:id="rId252" w:history="1">
        <w:r w:rsidRPr="00472D9E">
          <w:rPr>
            <w:rStyle w:val="Hyperlink"/>
          </w:rPr>
          <w:t>https://casetext.com/case/ciempa-v-city-of-del-city</w:t>
        </w:r>
      </w:hyperlink>
      <w:r>
        <w:t xml:space="preserve"> </w:t>
      </w:r>
    </w:p>
    <w:p w14:paraId="17707474" w14:textId="77777777" w:rsidR="00382F02" w:rsidRPr="005E5430" w:rsidRDefault="00382F02" w:rsidP="00382F02">
      <w:pPr>
        <w:rPr>
          <w:rFonts w:ascii="Times New Roman" w:hAnsi="Times New Roman"/>
          <w:b/>
          <w:bCs/>
          <w:sz w:val="24"/>
          <w:szCs w:val="24"/>
        </w:rPr>
      </w:pPr>
      <w:r w:rsidRPr="005E5430">
        <w:rPr>
          <w:rFonts w:ascii="Times New Roman" w:hAnsi="Times New Roman"/>
          <w:b/>
          <w:bCs/>
          <w:sz w:val="24"/>
          <w:szCs w:val="24"/>
        </w:rPr>
        <w:t>Legal Lesson Learned:</w:t>
      </w:r>
      <w:r>
        <w:rPr>
          <w:rFonts w:ascii="Times New Roman" w:hAnsi="Times New Roman"/>
          <w:b/>
          <w:bCs/>
          <w:sz w:val="24"/>
          <w:szCs w:val="24"/>
        </w:rPr>
        <w:t xml:space="preserve"> Arson investigators wisely obtained an arrest warrant based on probable cause.  </w:t>
      </w:r>
    </w:p>
    <w:p w14:paraId="21B0D404" w14:textId="77777777" w:rsidR="00382F02" w:rsidRDefault="00382F02" w:rsidP="002B1283">
      <w:pPr>
        <w:rPr>
          <w:rFonts w:ascii="Arial Black" w:hAnsi="Arial Black"/>
          <w:b/>
          <w:sz w:val="24"/>
          <w:szCs w:val="24"/>
        </w:rPr>
      </w:pPr>
    </w:p>
    <w:p w14:paraId="0F9F94B7" w14:textId="77777777" w:rsidR="00382F02" w:rsidRDefault="00382F02" w:rsidP="002B1283">
      <w:pPr>
        <w:rPr>
          <w:rFonts w:ascii="Arial Black" w:hAnsi="Arial Black"/>
          <w:b/>
          <w:sz w:val="24"/>
          <w:szCs w:val="24"/>
        </w:rPr>
      </w:pPr>
    </w:p>
    <w:p w14:paraId="01AE6D52" w14:textId="78FFFD26" w:rsidR="00382F02" w:rsidRDefault="00382F02" w:rsidP="002B1283">
      <w:pPr>
        <w:rPr>
          <w:rFonts w:ascii="Arial Black" w:hAnsi="Arial Black"/>
          <w:b/>
          <w:sz w:val="24"/>
          <w:szCs w:val="24"/>
        </w:rPr>
      </w:pPr>
      <w:r>
        <w:rPr>
          <w:rFonts w:ascii="Arial Black" w:hAnsi="Arial Black"/>
          <w:b/>
          <w:sz w:val="24"/>
          <w:szCs w:val="24"/>
        </w:rPr>
        <w:t>1-81</w:t>
      </w:r>
    </w:p>
    <w:p w14:paraId="0F1D3515" w14:textId="77777777" w:rsidR="00382F02" w:rsidRDefault="00382F02" w:rsidP="00382F02">
      <w:pPr>
        <w:pStyle w:val="NoSpacing"/>
        <w:rPr>
          <w:rStyle w:val="markedcontent"/>
          <w:rFonts w:ascii="Arial Black" w:hAnsi="Arial Black"/>
          <w:sz w:val="28"/>
          <w:szCs w:val="28"/>
        </w:rPr>
      </w:pPr>
      <w:bookmarkStart w:id="9" w:name="_Hlk81841159"/>
      <w:r>
        <w:rPr>
          <w:rStyle w:val="markedcontent"/>
          <w:rFonts w:ascii="Arial Black" w:hAnsi="Arial Black"/>
          <w:sz w:val="28"/>
          <w:szCs w:val="28"/>
        </w:rPr>
        <w:t xml:space="preserve">CA: FIRE MARSHAL FIRED – RETALIATION - JURY AWARDED HIM $4M – COURT: $1 MILLION &amp; $100,000 OR NEW TRIAL </w:t>
      </w:r>
    </w:p>
    <w:bookmarkEnd w:id="9"/>
    <w:p w14:paraId="6E8A1E86" w14:textId="77777777" w:rsidR="00382F02" w:rsidRDefault="00382F02" w:rsidP="00382F02">
      <w:pPr>
        <w:pStyle w:val="NoSpacing"/>
        <w:rPr>
          <w:rStyle w:val="markedcontent"/>
          <w:rFonts w:ascii="Arial Black" w:hAnsi="Arial Black"/>
          <w:sz w:val="28"/>
          <w:szCs w:val="28"/>
        </w:rPr>
      </w:pPr>
    </w:p>
    <w:p w14:paraId="43C1E7DA" w14:textId="77777777" w:rsidR="00382F02" w:rsidRDefault="00382F02" w:rsidP="00382F02">
      <w:pPr>
        <w:pStyle w:val="NoSpacing"/>
        <w:rPr>
          <w:rStyle w:val="markedcontent"/>
          <w:rFonts w:ascii="Times New Roman" w:hAnsi="Times New Roman"/>
          <w:sz w:val="24"/>
          <w:szCs w:val="24"/>
        </w:rPr>
      </w:pPr>
      <w:r w:rsidRPr="00D01726">
        <w:rPr>
          <w:rStyle w:val="markedcontent"/>
          <w:rFonts w:ascii="Times New Roman" w:hAnsi="Times New Roman"/>
          <w:sz w:val="24"/>
          <w:szCs w:val="24"/>
        </w:rPr>
        <w:t xml:space="preserve">On </w:t>
      </w:r>
      <w:r>
        <w:rPr>
          <w:rStyle w:val="markedcontent"/>
          <w:rFonts w:ascii="Times New Roman" w:hAnsi="Times New Roman"/>
          <w:sz w:val="24"/>
          <w:szCs w:val="24"/>
        </w:rPr>
        <w:t xml:space="preserve">July 1, 2021, in </w:t>
      </w:r>
      <w:r w:rsidRPr="00D01726">
        <w:rPr>
          <w:rStyle w:val="markedcontent"/>
          <w:rFonts w:ascii="Times New Roman" w:hAnsi="Times New Roman"/>
          <w:sz w:val="24"/>
          <w:szCs w:val="24"/>
          <w:u w:val="single"/>
        </w:rPr>
        <w:t>Jason Briley v. City of West Covina</w:t>
      </w:r>
      <w:r>
        <w:rPr>
          <w:rStyle w:val="markedcontent"/>
          <w:rFonts w:ascii="Times New Roman" w:hAnsi="Times New Roman"/>
          <w:sz w:val="24"/>
          <w:szCs w:val="24"/>
        </w:rPr>
        <w:t xml:space="preserve">, the Court of Appeal of the State of California, Second Appellate District (Division Four), held (3 to 0) that the jury verdict in favor of the former Fire Marshal for retaliation was affirmed; in June 2014 he complained that City Mgr. had approved building permit for a development before building plans passed fire inspection.  He was fired Sept. 2015 after city investigated him for using profanity in speaking to an employee at Victoria Secret after a fire </w:t>
      </w:r>
      <w:proofErr w:type="gramStart"/>
      <w:r>
        <w:rPr>
          <w:rStyle w:val="markedcontent"/>
          <w:rFonts w:ascii="Times New Roman" w:hAnsi="Times New Roman"/>
          <w:sz w:val="24"/>
          <w:szCs w:val="24"/>
        </w:rPr>
        <w:t>alarm, and</w:t>
      </w:r>
      <w:proofErr w:type="gramEnd"/>
      <w:r>
        <w:rPr>
          <w:rStyle w:val="markedcontent"/>
          <w:rFonts w:ascii="Times New Roman" w:hAnsi="Times New Roman"/>
          <w:sz w:val="24"/>
          <w:szCs w:val="24"/>
        </w:rPr>
        <w:t xml:space="preserve"> again using profanity talking to employees at a CrossFit gym.  On appeal, the city claimed he failed to exhaust his administrative remedy before filing lawsuit by not first appealing his firing to the City’s Human Relations Commission; but trial court judge, and the Court of Appeals held that this would have been a waste of time since the HR Commission merely makes a recommendation to the same City Manager that fired him.  However, Court of Appeals found $4 million jury verdict was excessive; several months after he was </w:t>
      </w:r>
      <w:proofErr w:type="gramStart"/>
      <w:r>
        <w:rPr>
          <w:rStyle w:val="markedcontent"/>
          <w:rFonts w:ascii="Times New Roman" w:hAnsi="Times New Roman"/>
          <w:sz w:val="24"/>
          <w:szCs w:val="24"/>
        </w:rPr>
        <w:t>fired</w:t>
      </w:r>
      <w:proofErr w:type="gramEnd"/>
      <w:r>
        <w:rPr>
          <w:rStyle w:val="markedcontent"/>
          <w:rFonts w:ascii="Times New Roman" w:hAnsi="Times New Roman"/>
          <w:sz w:val="24"/>
          <w:szCs w:val="24"/>
        </w:rPr>
        <w:t xml:space="preserve"> he was hired as Fire Marshall at City of Murrieta [resigned 10 months later] and testified he suffered little emotional damage.    </w:t>
      </w:r>
    </w:p>
    <w:p w14:paraId="00E862B4" w14:textId="77777777" w:rsidR="00382F02" w:rsidRDefault="00382F02" w:rsidP="00382F02">
      <w:pPr>
        <w:pStyle w:val="NoSpacing"/>
        <w:rPr>
          <w:rStyle w:val="markedcontent"/>
          <w:rFonts w:ascii="Times New Roman" w:hAnsi="Times New Roman"/>
          <w:sz w:val="24"/>
          <w:szCs w:val="24"/>
        </w:rPr>
      </w:pPr>
    </w:p>
    <w:p w14:paraId="6E1F31F5" w14:textId="77777777" w:rsidR="00382F02" w:rsidRDefault="00382F02" w:rsidP="00382F02">
      <w:pPr>
        <w:pStyle w:val="NoSpacing"/>
        <w:ind w:left="720"/>
        <w:rPr>
          <w:rFonts w:ascii="Times New Roman" w:hAnsi="Times New Roman"/>
          <w:sz w:val="24"/>
          <w:szCs w:val="24"/>
        </w:rPr>
      </w:pPr>
      <w:r>
        <w:rPr>
          <w:rStyle w:val="markedcontent"/>
          <w:rFonts w:ascii="Times New Roman" w:hAnsi="Times New Roman"/>
          <w:sz w:val="24"/>
          <w:szCs w:val="24"/>
        </w:rPr>
        <w:t>“</w:t>
      </w:r>
      <w:r w:rsidRPr="00A170C7">
        <w:rPr>
          <w:rFonts w:ascii="Times New Roman" w:hAnsi="Times New Roman"/>
          <w:sz w:val="24"/>
          <w:szCs w:val="24"/>
        </w:rPr>
        <w:t xml:space="preserve">On cross-examination, Briley confirmed he had experienced </w:t>
      </w:r>
      <w:r>
        <w:rPr>
          <w:rFonts w:ascii="Times New Roman" w:hAnsi="Times New Roman"/>
          <w:sz w:val="24"/>
          <w:szCs w:val="24"/>
        </w:rPr>
        <w:t>‘</w:t>
      </w:r>
      <w:r w:rsidRPr="00A170C7">
        <w:rPr>
          <w:rFonts w:ascii="Times New Roman" w:hAnsi="Times New Roman"/>
          <w:sz w:val="24"/>
          <w:szCs w:val="24"/>
        </w:rPr>
        <w:t>the gamut of emotions</w:t>
      </w:r>
      <w:r>
        <w:rPr>
          <w:rFonts w:ascii="Times New Roman" w:hAnsi="Times New Roman"/>
          <w:sz w:val="24"/>
          <w:szCs w:val="24"/>
        </w:rPr>
        <w:t>’</w:t>
      </w:r>
      <w:r w:rsidRPr="00A170C7">
        <w:rPr>
          <w:rFonts w:ascii="Times New Roman" w:hAnsi="Times New Roman"/>
          <w:sz w:val="24"/>
          <w:szCs w:val="24"/>
        </w:rPr>
        <w:t xml:space="preserve"> anyone would experience upon being terminated. He further revealed that he had seen a counselor once or </w:t>
      </w:r>
      <w:proofErr w:type="gramStart"/>
      <w:r w:rsidRPr="00A170C7">
        <w:rPr>
          <w:rFonts w:ascii="Times New Roman" w:hAnsi="Times New Roman"/>
          <w:sz w:val="24"/>
          <w:szCs w:val="24"/>
        </w:rPr>
        <w:t>twice, but</w:t>
      </w:r>
      <w:proofErr w:type="gramEnd"/>
      <w:r w:rsidRPr="00A170C7">
        <w:rPr>
          <w:rFonts w:ascii="Times New Roman" w:hAnsi="Times New Roman"/>
          <w:sz w:val="24"/>
          <w:szCs w:val="24"/>
        </w:rPr>
        <w:t xml:space="preserve"> reported no mental health issues. The City’s counsel noted that Briley had obtained a position as a fire marshal with the City of Murrieta </w:t>
      </w:r>
      <w:proofErr w:type="gramStart"/>
      <w:r w:rsidRPr="00A170C7">
        <w:rPr>
          <w:rFonts w:ascii="Times New Roman" w:hAnsi="Times New Roman"/>
          <w:sz w:val="24"/>
          <w:szCs w:val="24"/>
        </w:rPr>
        <w:t>subsequent to</w:t>
      </w:r>
      <w:proofErr w:type="gramEnd"/>
      <w:r w:rsidRPr="00A170C7">
        <w:rPr>
          <w:rFonts w:ascii="Times New Roman" w:hAnsi="Times New Roman"/>
          <w:sz w:val="24"/>
          <w:szCs w:val="24"/>
        </w:rPr>
        <w:t xml:space="preserve"> his termination and asked Briley if his decision to leave this position after about 10 months is what truly bothered him. In response, Briley admitted he had </w:t>
      </w:r>
      <w:r>
        <w:rPr>
          <w:rFonts w:ascii="Times New Roman" w:hAnsi="Times New Roman"/>
          <w:sz w:val="24"/>
          <w:szCs w:val="24"/>
        </w:rPr>
        <w:t>‘</w:t>
      </w:r>
      <w:r w:rsidRPr="00A170C7">
        <w:rPr>
          <w:rFonts w:ascii="Times New Roman" w:hAnsi="Times New Roman"/>
          <w:sz w:val="24"/>
          <w:szCs w:val="24"/>
        </w:rPr>
        <w:t>walked away</w:t>
      </w:r>
      <w:r>
        <w:rPr>
          <w:rFonts w:ascii="Times New Roman" w:hAnsi="Times New Roman"/>
          <w:sz w:val="24"/>
          <w:szCs w:val="24"/>
        </w:rPr>
        <w:t>’</w:t>
      </w:r>
      <w:r w:rsidRPr="00A170C7">
        <w:rPr>
          <w:rFonts w:ascii="Times New Roman" w:hAnsi="Times New Roman"/>
          <w:sz w:val="24"/>
          <w:szCs w:val="24"/>
        </w:rPr>
        <w:t xml:space="preserve"> from this fire-service </w:t>
      </w:r>
      <w:proofErr w:type="gramStart"/>
      <w:r w:rsidRPr="00A170C7">
        <w:rPr>
          <w:rFonts w:ascii="Times New Roman" w:hAnsi="Times New Roman"/>
          <w:sz w:val="24"/>
          <w:szCs w:val="24"/>
        </w:rPr>
        <w:t>position, but</w:t>
      </w:r>
      <w:proofErr w:type="gramEnd"/>
      <w:r w:rsidRPr="00A170C7">
        <w:rPr>
          <w:rFonts w:ascii="Times New Roman" w:hAnsi="Times New Roman"/>
          <w:sz w:val="24"/>
          <w:szCs w:val="24"/>
        </w:rPr>
        <w:t xml:space="preserve"> claimed that what bothered him were West Covina’s false allegations against him.</w:t>
      </w:r>
    </w:p>
    <w:p w14:paraId="3DCC8867" w14:textId="77777777" w:rsidR="00382F02" w:rsidRDefault="00382F02" w:rsidP="00382F02">
      <w:pPr>
        <w:pStyle w:val="NoSpacing"/>
        <w:ind w:left="720"/>
        <w:rPr>
          <w:rFonts w:ascii="Times New Roman" w:hAnsi="Times New Roman"/>
          <w:sz w:val="24"/>
          <w:szCs w:val="24"/>
        </w:rPr>
      </w:pPr>
    </w:p>
    <w:p w14:paraId="6A99BB4C" w14:textId="77777777" w:rsidR="00382F02" w:rsidRDefault="00382F02" w:rsidP="00382F02">
      <w:pPr>
        <w:pStyle w:val="NoSpacing"/>
        <w:ind w:left="720"/>
        <w:rPr>
          <w:rStyle w:val="markedcontent"/>
          <w:rFonts w:ascii="Times New Roman" w:hAnsi="Times New Roman"/>
          <w:sz w:val="24"/>
          <w:szCs w:val="24"/>
        </w:rPr>
      </w:pPr>
      <w:r>
        <w:rPr>
          <w:rFonts w:ascii="Times New Roman" w:hAnsi="Times New Roman"/>
          <w:sz w:val="24"/>
          <w:szCs w:val="24"/>
        </w:rPr>
        <w:t>***</w:t>
      </w:r>
    </w:p>
    <w:p w14:paraId="26B33152" w14:textId="77777777" w:rsidR="00382F02" w:rsidRDefault="00382F02" w:rsidP="00382F02">
      <w:pPr>
        <w:pStyle w:val="NoSpacing"/>
        <w:ind w:left="720"/>
        <w:rPr>
          <w:rStyle w:val="markedcontent"/>
          <w:rFonts w:ascii="Times New Roman" w:hAnsi="Times New Roman"/>
          <w:sz w:val="24"/>
          <w:szCs w:val="24"/>
        </w:rPr>
      </w:pPr>
    </w:p>
    <w:p w14:paraId="4377E10B" w14:textId="77777777" w:rsidR="00382F02" w:rsidRDefault="00382F02" w:rsidP="00382F02">
      <w:pPr>
        <w:pStyle w:val="NoSpacing"/>
        <w:ind w:left="720"/>
        <w:rPr>
          <w:rStyle w:val="markedcontent"/>
          <w:rFonts w:ascii="Times New Roman" w:hAnsi="Times New Roman"/>
          <w:sz w:val="24"/>
          <w:szCs w:val="24"/>
        </w:rPr>
      </w:pPr>
      <w:r w:rsidRPr="00C254BC">
        <w:rPr>
          <w:rStyle w:val="markedcontent"/>
          <w:rFonts w:ascii="Times New Roman" w:hAnsi="Times New Roman"/>
          <w:sz w:val="24"/>
          <w:szCs w:val="24"/>
        </w:rPr>
        <w:t xml:space="preserve">Based on our review of the record, and in our collective experience, the jury </w:t>
      </w:r>
      <w:r>
        <w:rPr>
          <w:rStyle w:val="markedcontent"/>
          <w:rFonts w:ascii="Times New Roman" w:hAnsi="Times New Roman"/>
          <w:sz w:val="24"/>
          <w:szCs w:val="24"/>
        </w:rPr>
        <w:t>[which awarded him $500,000 economic damages; $2 million past non-economic damages and $1.5 million in future non-economic damages]</w:t>
      </w:r>
      <w:r w:rsidRPr="00C254BC">
        <w:rPr>
          <w:rStyle w:val="markedcontent"/>
          <w:rFonts w:ascii="Times New Roman" w:hAnsi="Times New Roman"/>
          <w:sz w:val="24"/>
          <w:szCs w:val="24"/>
        </w:rPr>
        <w:t>,</w:t>
      </w:r>
      <w:r>
        <w:rPr>
          <w:rStyle w:val="markedcontent"/>
          <w:rFonts w:ascii="Times New Roman" w:hAnsi="Times New Roman"/>
          <w:sz w:val="24"/>
          <w:szCs w:val="24"/>
        </w:rPr>
        <w:t xml:space="preserve"> </w:t>
      </w:r>
      <w:r w:rsidRPr="00C254BC">
        <w:rPr>
          <w:rStyle w:val="markedcontent"/>
          <w:rFonts w:ascii="Times New Roman" w:hAnsi="Times New Roman"/>
          <w:sz w:val="24"/>
          <w:szCs w:val="24"/>
        </w:rPr>
        <w:t xml:space="preserve">could have awarded Briley no more than $1 million for past noneconomic damages reflecting the distress, financial uncertainty, and sleep-related issues he experienced in the aftermath of his termination. </w:t>
      </w:r>
      <w:proofErr w:type="gramStart"/>
      <w:r w:rsidRPr="00C254BC">
        <w:rPr>
          <w:rStyle w:val="markedcontent"/>
          <w:rFonts w:ascii="Times New Roman" w:hAnsi="Times New Roman"/>
          <w:sz w:val="24"/>
          <w:szCs w:val="24"/>
        </w:rPr>
        <w:t>We further</w:t>
      </w:r>
      <w:proofErr w:type="gramEnd"/>
      <w:r w:rsidRPr="00C254BC">
        <w:rPr>
          <w:rStyle w:val="markedcontent"/>
          <w:rFonts w:ascii="Times New Roman" w:hAnsi="Times New Roman"/>
          <w:sz w:val="24"/>
          <w:szCs w:val="24"/>
        </w:rPr>
        <w:t xml:space="preserve"> conclude the jury could have </w:t>
      </w:r>
      <w:proofErr w:type="gramStart"/>
      <w:r w:rsidRPr="00C254BC">
        <w:rPr>
          <w:rStyle w:val="markedcontent"/>
          <w:rFonts w:ascii="Times New Roman" w:hAnsi="Times New Roman"/>
          <w:sz w:val="24"/>
          <w:szCs w:val="24"/>
        </w:rPr>
        <w:t>awarded</w:t>
      </w:r>
      <w:proofErr w:type="gramEnd"/>
      <w:r w:rsidRPr="00C254BC">
        <w:rPr>
          <w:rStyle w:val="markedcontent"/>
          <w:rFonts w:ascii="Times New Roman" w:hAnsi="Times New Roman"/>
          <w:sz w:val="24"/>
          <w:szCs w:val="24"/>
        </w:rPr>
        <w:t xml:space="preserve"> no more than $100,000 for Briley’s future noneconomic damages, reflecting the largely diminished effects of his termination in the wake of the jury’s verdict. While these amounts remain high in relation to the evidence of Briley’s harm, we may not insert our own assessment for that of the jury; instead, we ask only what amount the jury could reasonably have awarded. (See Bigler-Engler, supra, 7 Cal.App.5th at 299.) Accordingly, we vacate the past and future noneconomic damages awards and </w:t>
      </w:r>
      <w:proofErr w:type="gramStart"/>
      <w:r w:rsidRPr="00C254BC">
        <w:rPr>
          <w:rStyle w:val="markedcontent"/>
          <w:rFonts w:ascii="Times New Roman" w:hAnsi="Times New Roman"/>
          <w:sz w:val="24"/>
          <w:szCs w:val="24"/>
        </w:rPr>
        <w:t>remand</w:t>
      </w:r>
      <w:proofErr w:type="gramEnd"/>
      <w:r w:rsidRPr="00C254BC">
        <w:rPr>
          <w:rStyle w:val="markedcontent"/>
          <w:rFonts w:ascii="Times New Roman" w:hAnsi="Times New Roman"/>
          <w:sz w:val="24"/>
          <w:szCs w:val="24"/>
        </w:rPr>
        <w:t xml:space="preserve"> for a new trial on those issues, unless Briley accepts a reduction of the awards to $1 million and $100,000, respectively. (See id., at 306.)</w:t>
      </w:r>
      <w:r>
        <w:rPr>
          <w:rStyle w:val="markedcontent"/>
          <w:rFonts w:ascii="Times New Roman" w:hAnsi="Times New Roman"/>
          <w:sz w:val="24"/>
          <w:szCs w:val="24"/>
        </w:rPr>
        <w:t xml:space="preserve">” </w:t>
      </w:r>
      <w:hyperlink r:id="rId253" w:history="1">
        <w:r w:rsidRPr="00C10414">
          <w:rPr>
            <w:rStyle w:val="Hyperlink"/>
            <w:sz w:val="24"/>
            <w:szCs w:val="24"/>
          </w:rPr>
          <w:t>https://cases.justia.com/california/court-of-appeal/2021-b295666.pdf?ts=1625180487</w:t>
        </w:r>
      </w:hyperlink>
      <w:r>
        <w:rPr>
          <w:rStyle w:val="markedcontent"/>
          <w:rFonts w:ascii="Times New Roman" w:hAnsi="Times New Roman"/>
          <w:sz w:val="24"/>
          <w:szCs w:val="24"/>
        </w:rPr>
        <w:t xml:space="preserve"> </w:t>
      </w:r>
    </w:p>
    <w:p w14:paraId="3D8E1736" w14:textId="4E8830E9" w:rsidR="00382F02" w:rsidRDefault="00382F02" w:rsidP="002B1283">
      <w:pPr>
        <w:rPr>
          <w:rFonts w:ascii="Arial Black" w:hAnsi="Arial Black"/>
          <w:b/>
          <w:sz w:val="24"/>
          <w:szCs w:val="24"/>
        </w:rPr>
      </w:pPr>
    </w:p>
    <w:p w14:paraId="1A6782C2" w14:textId="77777777" w:rsidR="00382F02" w:rsidRPr="002C56EC" w:rsidRDefault="00382F02" w:rsidP="00382F02">
      <w:pPr>
        <w:pStyle w:val="NoSpacing"/>
        <w:rPr>
          <w:rStyle w:val="markedcontent"/>
          <w:rFonts w:ascii="Times New Roman" w:hAnsi="Times New Roman"/>
          <w:b/>
          <w:bCs/>
          <w:sz w:val="24"/>
          <w:szCs w:val="24"/>
        </w:rPr>
      </w:pPr>
      <w:r w:rsidRPr="002C56EC">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Retaliation claims can result in very large jury verdicts. </w:t>
      </w:r>
    </w:p>
    <w:p w14:paraId="59C94BA3" w14:textId="77777777" w:rsidR="00382F02" w:rsidRDefault="00382F02" w:rsidP="002B1283">
      <w:pPr>
        <w:rPr>
          <w:rFonts w:ascii="Arial Black" w:hAnsi="Arial Black"/>
          <w:b/>
          <w:sz w:val="24"/>
          <w:szCs w:val="24"/>
        </w:rPr>
      </w:pPr>
    </w:p>
    <w:p w14:paraId="14002210" w14:textId="77777777" w:rsidR="00382F02" w:rsidRDefault="00382F02" w:rsidP="002B1283">
      <w:pPr>
        <w:rPr>
          <w:rFonts w:ascii="Arial Black" w:hAnsi="Arial Black"/>
          <w:b/>
          <w:sz w:val="24"/>
          <w:szCs w:val="24"/>
        </w:rPr>
      </w:pPr>
    </w:p>
    <w:p w14:paraId="4FFA695F" w14:textId="1BA4954B" w:rsidR="00A82898" w:rsidRDefault="00A82898" w:rsidP="002B1283">
      <w:pPr>
        <w:rPr>
          <w:rFonts w:ascii="Arial Black" w:hAnsi="Arial Black"/>
          <w:b/>
          <w:sz w:val="24"/>
          <w:szCs w:val="24"/>
        </w:rPr>
      </w:pPr>
      <w:r>
        <w:rPr>
          <w:rFonts w:ascii="Arial Black" w:hAnsi="Arial Black"/>
          <w:b/>
          <w:sz w:val="24"/>
          <w:szCs w:val="24"/>
        </w:rPr>
        <w:t>1-</w:t>
      </w:r>
      <w:r w:rsidR="00382F02">
        <w:rPr>
          <w:rFonts w:ascii="Arial Black" w:hAnsi="Arial Black"/>
          <w:b/>
          <w:sz w:val="24"/>
          <w:szCs w:val="24"/>
        </w:rPr>
        <w:t>80</w:t>
      </w:r>
    </w:p>
    <w:p w14:paraId="47C95009" w14:textId="77777777" w:rsidR="00A82898" w:rsidRPr="00C11FBB" w:rsidRDefault="00A82898" w:rsidP="00A82898">
      <w:pPr>
        <w:pStyle w:val="NormalWeb"/>
        <w:spacing w:before="0" w:beforeAutospacing="0" w:after="0" w:afterAutospacing="0" w:line="255" w:lineRule="atLeast"/>
        <w:rPr>
          <w:rFonts w:ascii="Arial Black" w:hAnsi="Arial Black"/>
          <w:sz w:val="28"/>
          <w:szCs w:val="28"/>
        </w:rPr>
      </w:pPr>
      <w:r>
        <w:rPr>
          <w:rFonts w:ascii="Arial Black" w:hAnsi="Arial Black"/>
          <w:sz w:val="28"/>
          <w:szCs w:val="28"/>
        </w:rPr>
        <w:t>PA: IMMUNITY / 5</w:t>
      </w:r>
      <w:r w:rsidRPr="000732DE">
        <w:rPr>
          <w:rFonts w:ascii="Arial Black" w:hAnsi="Arial Black"/>
          <w:sz w:val="28"/>
          <w:szCs w:val="28"/>
          <w:vertAlign w:val="superscript"/>
        </w:rPr>
        <w:t>th</w:t>
      </w:r>
      <w:r>
        <w:rPr>
          <w:rFonts w:ascii="Arial Black" w:hAnsi="Arial Black"/>
          <w:sz w:val="28"/>
          <w:szCs w:val="28"/>
        </w:rPr>
        <w:t xml:space="preserve"> AMENDMENT - BILL COSBY CONV. VACATED – DA’s UNCONDITIONAL PROMISE </w:t>
      </w:r>
    </w:p>
    <w:p w14:paraId="111054DF" w14:textId="77777777" w:rsidR="00A82898" w:rsidRDefault="00A82898" w:rsidP="00A82898">
      <w:pPr>
        <w:pStyle w:val="NormalWeb"/>
        <w:spacing w:before="0" w:beforeAutospacing="0" w:after="0" w:afterAutospacing="0" w:line="255" w:lineRule="atLeast"/>
      </w:pPr>
    </w:p>
    <w:p w14:paraId="3A949C32" w14:textId="77777777" w:rsidR="00A82898" w:rsidRDefault="00A82898" w:rsidP="00A82898">
      <w:pPr>
        <w:pStyle w:val="NormalWeb"/>
        <w:spacing w:before="0" w:beforeAutospacing="0" w:after="0" w:afterAutospacing="0" w:line="255" w:lineRule="atLeast"/>
      </w:pPr>
      <w:r>
        <w:t xml:space="preserve">On June 30, 2021, in </w:t>
      </w:r>
      <w:r w:rsidRPr="00C11FBB">
        <w:rPr>
          <w:u w:val="single"/>
        </w:rPr>
        <w:t>Commonwealth of Pennsylvania v. William Henry Cosby Jr.,</w:t>
      </w:r>
      <w:r>
        <w:t xml:space="preserve"> the Supreme Court of Pennsylvania, Middle District, held (4 to 3) that Cosby’s 5</w:t>
      </w:r>
      <w:r w:rsidRPr="002052D5">
        <w:rPr>
          <w:vertAlign w:val="superscript"/>
        </w:rPr>
        <w:t>th</w:t>
      </w:r>
      <w:r>
        <w:t xml:space="preserve"> Amendment rights were violated when the Montgomery County District Attorney made “an unconditional promise of non-prosecution.” Crosby was later indicted just prior to expiration of 12-year statute of limitations by new DA, who read Crosby’s 4 depositions in a civil lawsuit brought by female victim, where he testified about giving pills to other women, and the DA located 19 prior victims (going back 15 to 22 years).   </w:t>
      </w:r>
    </w:p>
    <w:p w14:paraId="7238F1F1" w14:textId="77777777" w:rsidR="00A82898" w:rsidRDefault="00A82898" w:rsidP="00A82898">
      <w:pPr>
        <w:pStyle w:val="NormalWeb"/>
        <w:spacing w:before="0" w:beforeAutospacing="0" w:after="0" w:afterAutospacing="0" w:line="255" w:lineRule="atLeast"/>
      </w:pPr>
    </w:p>
    <w:p w14:paraId="0DA6AB35" w14:textId="77777777" w:rsidR="00A82898" w:rsidRDefault="00A82898" w:rsidP="00A82898">
      <w:pPr>
        <w:pStyle w:val="NormalWeb"/>
        <w:spacing w:before="0" w:beforeAutospacing="0" w:after="0" w:afterAutospacing="0" w:line="255" w:lineRule="atLeast"/>
        <w:ind w:left="720"/>
      </w:pPr>
      <w:r>
        <w:t>“</w:t>
      </w:r>
      <w:r w:rsidRPr="009A1E55">
        <w:t>For the reasons detailed below, we hold that,</w:t>
      </w:r>
      <w:r>
        <w:t xml:space="preserve"> </w:t>
      </w:r>
      <w:r w:rsidRPr="009A1E55">
        <w:t>when a prosecutor makes</w:t>
      </w:r>
      <w:r>
        <w:t xml:space="preserve"> </w:t>
      </w:r>
      <w:r w:rsidRPr="009A1E55">
        <w:t>an unconditional promise</w:t>
      </w:r>
      <w:r>
        <w:t xml:space="preserve"> </w:t>
      </w:r>
      <w:r w:rsidRPr="009A1E55">
        <w:t>of non-prosecution, and when the defendant relies upon that guarantee</w:t>
      </w:r>
      <w:r>
        <w:t xml:space="preserve"> </w:t>
      </w:r>
      <w:r w:rsidRPr="009A1E55">
        <w:t>to the detriment of his constitutional right not to testify, the principle of fundamental fairness that undergirds</w:t>
      </w:r>
      <w:r>
        <w:t xml:space="preserve"> </w:t>
      </w:r>
      <w:r w:rsidRPr="009A1E55">
        <w:t>due process of law in</w:t>
      </w:r>
      <w:r>
        <w:t xml:space="preserve"> </w:t>
      </w:r>
      <w:r w:rsidRPr="009A1E55">
        <w:t xml:space="preserve">our criminal justice system demands that the promise be enforced. </w:t>
      </w:r>
    </w:p>
    <w:p w14:paraId="4E02BF15" w14:textId="77777777" w:rsidR="00A82898" w:rsidRDefault="00A82898" w:rsidP="00A82898">
      <w:pPr>
        <w:pStyle w:val="NormalWeb"/>
        <w:spacing w:before="0" w:beforeAutospacing="0" w:after="0" w:afterAutospacing="0" w:line="255" w:lineRule="atLeast"/>
      </w:pPr>
    </w:p>
    <w:p w14:paraId="5A69769F" w14:textId="77777777" w:rsidR="00A82898" w:rsidRDefault="00A82898" w:rsidP="00A82898">
      <w:pPr>
        <w:pStyle w:val="NormalWeb"/>
        <w:spacing w:before="0" w:beforeAutospacing="0" w:after="0" w:afterAutospacing="0" w:line="255" w:lineRule="atLeast"/>
        <w:ind w:firstLine="720"/>
      </w:pPr>
      <w:r>
        <w:t>***</w:t>
      </w:r>
    </w:p>
    <w:p w14:paraId="1AF8A47B" w14:textId="77777777" w:rsidR="00A82898" w:rsidRDefault="00A82898" w:rsidP="00A82898">
      <w:pPr>
        <w:pStyle w:val="NormalWeb"/>
        <w:spacing w:before="0" w:beforeAutospacing="0" w:after="0" w:afterAutospacing="0" w:line="255" w:lineRule="atLeast"/>
      </w:pPr>
    </w:p>
    <w:p w14:paraId="4FCAB9AE" w14:textId="77777777" w:rsidR="00A82898" w:rsidRDefault="00A82898" w:rsidP="00A82898">
      <w:pPr>
        <w:pStyle w:val="NormalWeb"/>
        <w:spacing w:before="0" w:beforeAutospacing="0" w:after="0" w:afterAutospacing="0" w:line="255" w:lineRule="atLeast"/>
        <w:ind w:left="720"/>
      </w:pPr>
      <w:r w:rsidRPr="00C11FBB">
        <w:rPr>
          <w:rStyle w:val="highlight"/>
        </w:rPr>
        <w:t>Cosby</w:t>
      </w:r>
      <w:r w:rsidRPr="00C11FBB">
        <w:t xml:space="preserve"> was forced to sit for four depositions. That he did not—and could not—choose to remain silent is apparent from the record. When </w:t>
      </w:r>
      <w:r w:rsidRPr="00C11FBB">
        <w:rPr>
          <w:rStyle w:val="highlight"/>
        </w:rPr>
        <w:t xml:space="preserve">Cosby </w:t>
      </w:r>
      <w:r w:rsidRPr="00C11FBB">
        <w:t xml:space="preserve">attempted to decline to answer certain questions about Constand, Constand’s attorneys obtained a ruling from the civil trial judge forcing </w:t>
      </w:r>
      <w:r w:rsidRPr="00C11FBB">
        <w:rPr>
          <w:rStyle w:val="highlight"/>
        </w:rPr>
        <w:t>Cosby</w:t>
      </w:r>
      <w:r w:rsidRPr="00C11FBB">
        <w:t xml:space="preserve"> to answer. Most significantly, </w:t>
      </w:r>
      <w:r w:rsidRPr="00C11FBB">
        <w:rPr>
          <w:rStyle w:val="highlight"/>
        </w:rPr>
        <w:t>Cosby</w:t>
      </w:r>
      <w:r w:rsidRPr="00C11FBB">
        <w:t xml:space="preserve">, having maintained his innocence in all matters and having been advised by </w:t>
      </w:r>
      <w:proofErr w:type="gramStart"/>
      <w:r w:rsidRPr="00C11FBB">
        <w:t>a number of</w:t>
      </w:r>
      <w:proofErr w:type="gramEnd"/>
      <w:r w:rsidRPr="00C11FBB">
        <w:t xml:space="preserve"> attorneys, provided critical evidence of his recurring history</w:t>
      </w:r>
      <w:r>
        <w:t xml:space="preserve"> </w:t>
      </w:r>
      <w:r w:rsidRPr="00C11FBB">
        <w:t>of supplying women with central nervous system depressants before engaging in (allegedly unwanted) sexual activity with them—the very assertion that undergirded Constand’s criminal complaint</w:t>
      </w:r>
      <w:r>
        <w:t>….</w:t>
      </w:r>
    </w:p>
    <w:p w14:paraId="2F422E7D" w14:textId="77777777" w:rsidR="00A82898" w:rsidRDefault="00A82898" w:rsidP="00A82898">
      <w:pPr>
        <w:pStyle w:val="NormalWeb"/>
        <w:spacing w:before="0" w:beforeAutospacing="0" w:after="0" w:afterAutospacing="0" w:line="255" w:lineRule="atLeast"/>
        <w:ind w:left="720"/>
      </w:pPr>
    </w:p>
    <w:p w14:paraId="18FE48EE" w14:textId="77777777" w:rsidR="00A82898" w:rsidRDefault="00A82898" w:rsidP="00A82898">
      <w:pPr>
        <w:pStyle w:val="NormalWeb"/>
        <w:spacing w:before="0" w:beforeAutospacing="0" w:after="0" w:afterAutospacing="0" w:line="255" w:lineRule="atLeast"/>
        <w:ind w:left="720"/>
      </w:pPr>
      <w:r>
        <w:t>***</w:t>
      </w:r>
    </w:p>
    <w:p w14:paraId="6E408BEE" w14:textId="77777777" w:rsidR="00A82898" w:rsidRDefault="00A82898" w:rsidP="00A82898">
      <w:pPr>
        <w:pStyle w:val="NormalWeb"/>
        <w:spacing w:before="0" w:beforeAutospacing="0" w:after="0" w:afterAutospacing="0" w:line="255" w:lineRule="atLeast"/>
        <w:ind w:left="720"/>
      </w:pPr>
    </w:p>
    <w:p w14:paraId="2107EAD9" w14:textId="3D450F84" w:rsidR="00A82898" w:rsidRDefault="00A82898" w:rsidP="00A82898">
      <w:pPr>
        <w:rPr>
          <w:rFonts w:ascii="Arial Black" w:hAnsi="Arial Black"/>
          <w:b/>
          <w:sz w:val="24"/>
          <w:szCs w:val="24"/>
        </w:rPr>
      </w:pPr>
      <w:r w:rsidRPr="00C11FBB">
        <w:t xml:space="preserve">For these reasons, </w:t>
      </w:r>
      <w:r w:rsidRPr="00C11FBB">
        <w:rPr>
          <w:rStyle w:val="highlight"/>
        </w:rPr>
        <w:t>Cosby</w:t>
      </w:r>
      <w:r w:rsidRPr="00C11FBB">
        <w:t>’s convictions and judgment of sentence are</w:t>
      </w:r>
      <w:r>
        <w:t xml:space="preserve"> </w:t>
      </w:r>
      <w:r w:rsidRPr="00C11FBB">
        <w:t>vacated, and he is discharged.</w:t>
      </w:r>
      <w:r>
        <w:t xml:space="preserve">” </w:t>
      </w:r>
      <w:hyperlink r:id="rId254" w:anchor="search=%22Cosby%20%27Supreme%2bCourt%27%22" w:history="1">
        <w:r w:rsidRPr="007B464E">
          <w:rPr>
            <w:rStyle w:val="Hyperlink"/>
          </w:rPr>
          <w:t>http://www.pacourts.us/assets/opinions/Supreme/out/j-100-2020mo%20-%20104821740139246918.pdf#search=%22Cosby%20%27Supreme%2bCourt%27%22</w:t>
        </w:r>
      </w:hyperlink>
    </w:p>
    <w:p w14:paraId="2A016F03" w14:textId="77777777" w:rsidR="00A82898" w:rsidRDefault="00A82898" w:rsidP="00A82898">
      <w:pPr>
        <w:pStyle w:val="NormalWeb"/>
        <w:spacing w:before="0" w:beforeAutospacing="0" w:after="0" w:afterAutospacing="0" w:line="255" w:lineRule="atLeast"/>
        <w:rPr>
          <w:rStyle w:val="markedcontent"/>
          <w:b/>
          <w:bCs/>
        </w:rPr>
      </w:pPr>
      <w:r w:rsidRPr="00DE31ED">
        <w:rPr>
          <w:rStyle w:val="markedcontent"/>
          <w:b/>
          <w:bCs/>
        </w:rPr>
        <w:t>Legal Lesson Learned:</w:t>
      </w:r>
      <w:r>
        <w:rPr>
          <w:rStyle w:val="markedcontent"/>
          <w:b/>
          <w:bCs/>
        </w:rPr>
        <w:t xml:space="preserve">  This is a very usual decision, finding that a DA’s Press Release and comments to defense counsel amounted to a “transactional immunity” agreement, binding other DAs during the 12-year statute of limitations.   In fire service, arson investigators seeking to obtain immunity for a key witness should consider asking Prosecutors to grant “use and derivative use” immunity, not “transactional immunity.”</w:t>
      </w:r>
    </w:p>
    <w:p w14:paraId="140C943E" w14:textId="77777777" w:rsidR="00A82898" w:rsidRDefault="00A82898" w:rsidP="00A82898">
      <w:pPr>
        <w:pStyle w:val="NormalWeb"/>
        <w:spacing w:before="0" w:beforeAutospacing="0" w:after="0" w:afterAutospacing="0" w:line="255" w:lineRule="atLeast"/>
        <w:rPr>
          <w:rStyle w:val="markedcontent"/>
          <w:b/>
          <w:bCs/>
        </w:rPr>
      </w:pPr>
    </w:p>
    <w:p w14:paraId="419FD34F" w14:textId="77777777" w:rsidR="00A82898" w:rsidRDefault="00A82898" w:rsidP="00A82898">
      <w:pPr>
        <w:pStyle w:val="NormalWeb"/>
        <w:spacing w:before="0" w:beforeAutospacing="0" w:after="0" w:afterAutospacing="0" w:line="255" w:lineRule="atLeast"/>
        <w:ind w:left="720"/>
      </w:pPr>
      <w:r>
        <w:t xml:space="preserve">“Use and derivative use immunity is more common (used by both state and federal prosecutors) and narrower than transactional immunity. It prevents the prosecution from using the witness's </w:t>
      </w:r>
      <w:proofErr w:type="gramStart"/>
      <w:r>
        <w:t>statements (‘</w:t>
      </w:r>
      <w:proofErr w:type="gramEnd"/>
      <w:r>
        <w:t xml:space="preserve">use’) or any evidence derived from those </w:t>
      </w:r>
      <w:proofErr w:type="gramStart"/>
      <w:r>
        <w:t>statements (‘</w:t>
      </w:r>
      <w:proofErr w:type="gramEnd"/>
      <w:r>
        <w:t>derivative use’) against the witness in a criminal prosecution. In theory, use and derivative use immunity provides as much protection as the witness not testifying.”</w:t>
      </w:r>
    </w:p>
    <w:p w14:paraId="2B7A4DCD" w14:textId="77777777" w:rsidR="00A82898" w:rsidRDefault="00A82898" w:rsidP="00A82898">
      <w:pPr>
        <w:pStyle w:val="NormalWeb"/>
        <w:spacing w:before="0" w:beforeAutospacing="0" w:after="0" w:afterAutospacing="0" w:line="255" w:lineRule="atLeast"/>
        <w:ind w:left="720"/>
      </w:pPr>
      <w:hyperlink r:id="rId255" w:history="1">
        <w:r w:rsidRPr="007B464E">
          <w:rPr>
            <w:rStyle w:val="Hyperlink"/>
          </w:rPr>
          <w:t>https://www.nolo.com/legal-encyclopedia/immunity-exchange-testimony.html</w:t>
        </w:r>
      </w:hyperlink>
      <w:r>
        <w:t xml:space="preserve"> </w:t>
      </w:r>
    </w:p>
    <w:p w14:paraId="0E076B9F" w14:textId="77777777" w:rsidR="00A82898" w:rsidRPr="00DE31ED" w:rsidRDefault="00A82898" w:rsidP="00A82898">
      <w:pPr>
        <w:pStyle w:val="NormalWeb"/>
        <w:spacing w:before="0" w:beforeAutospacing="0" w:after="0" w:afterAutospacing="0" w:line="255" w:lineRule="atLeast"/>
        <w:ind w:left="720"/>
        <w:rPr>
          <w:rStyle w:val="markedcontent"/>
          <w:b/>
          <w:bCs/>
        </w:rPr>
      </w:pPr>
    </w:p>
    <w:p w14:paraId="4DB86470" w14:textId="77777777" w:rsidR="00A82898" w:rsidRPr="007614C6" w:rsidRDefault="00A82898" w:rsidP="00A82898">
      <w:pPr>
        <w:ind w:left="720"/>
        <w:rPr>
          <w:rFonts w:ascii="Times New Roman" w:hAnsi="Times New Roman"/>
          <w:sz w:val="24"/>
          <w:szCs w:val="24"/>
        </w:rPr>
      </w:pPr>
      <w:r w:rsidRPr="002052D5">
        <w:rPr>
          <w:rStyle w:val="markedcontent"/>
          <w:rFonts w:ascii="Times New Roman" w:hAnsi="Times New Roman"/>
          <w:sz w:val="24"/>
          <w:szCs w:val="24"/>
        </w:rPr>
        <w:t xml:space="preserve">See June 30, </w:t>
      </w:r>
      <w:proofErr w:type="gramStart"/>
      <w:r w:rsidRPr="002052D5">
        <w:rPr>
          <w:rStyle w:val="markedcontent"/>
          <w:rFonts w:ascii="Times New Roman" w:hAnsi="Times New Roman"/>
          <w:sz w:val="24"/>
          <w:szCs w:val="24"/>
        </w:rPr>
        <w:t>2021</w:t>
      </w:r>
      <w:proofErr w:type="gramEnd"/>
      <w:r w:rsidRPr="002052D5">
        <w:rPr>
          <w:rStyle w:val="markedcontent"/>
          <w:rFonts w:ascii="Times New Roman" w:hAnsi="Times New Roman"/>
          <w:sz w:val="24"/>
          <w:szCs w:val="24"/>
        </w:rPr>
        <w:t xml:space="preserve"> article on the case: </w:t>
      </w:r>
      <w:r>
        <w:rPr>
          <w:rStyle w:val="markedcontent"/>
          <w:rFonts w:ascii="Times New Roman" w:hAnsi="Times New Roman"/>
          <w:sz w:val="24"/>
          <w:szCs w:val="24"/>
        </w:rPr>
        <w:t>“</w:t>
      </w:r>
      <w:r w:rsidRPr="002052D5">
        <w:rPr>
          <w:rFonts w:ascii="Times New Roman" w:hAnsi="Times New Roman"/>
          <w:sz w:val="24"/>
          <w:szCs w:val="24"/>
        </w:rPr>
        <w:t>All Your Questions About Bill Cosby’s Overturned Verdict, Answered</w:t>
      </w:r>
      <w:r>
        <w:rPr>
          <w:rFonts w:ascii="Times New Roman" w:hAnsi="Times New Roman"/>
          <w:sz w:val="24"/>
          <w:szCs w:val="24"/>
        </w:rPr>
        <w:t xml:space="preserve">.” </w:t>
      </w:r>
      <w:hyperlink r:id="rId256" w:history="1">
        <w:r w:rsidRPr="007614C6">
          <w:rPr>
            <w:rStyle w:val="Hyperlink"/>
            <w:sz w:val="24"/>
            <w:szCs w:val="24"/>
          </w:rPr>
          <w:t>https://www.vulture.com/article/bill-cosby-overturned-sexual-assault-conviction-explained.html</w:t>
        </w:r>
      </w:hyperlink>
      <w:r w:rsidRPr="007614C6">
        <w:rPr>
          <w:rFonts w:ascii="Times New Roman" w:hAnsi="Times New Roman"/>
          <w:sz w:val="24"/>
          <w:szCs w:val="24"/>
        </w:rPr>
        <w:t xml:space="preserve"> </w:t>
      </w:r>
    </w:p>
    <w:p w14:paraId="7BB878F7" w14:textId="706826DC" w:rsidR="00A82898" w:rsidRDefault="00382F02" w:rsidP="002B1283">
      <w:pPr>
        <w:rPr>
          <w:rFonts w:ascii="Arial Black" w:hAnsi="Arial Black"/>
          <w:b/>
          <w:sz w:val="24"/>
          <w:szCs w:val="24"/>
        </w:rPr>
      </w:pPr>
      <w:r>
        <w:rPr>
          <w:rFonts w:ascii="Arial Black" w:hAnsi="Arial Black"/>
          <w:b/>
          <w:sz w:val="24"/>
          <w:szCs w:val="24"/>
        </w:rPr>
        <w:t>1-79</w:t>
      </w:r>
    </w:p>
    <w:p w14:paraId="4C9F5FF7" w14:textId="77777777" w:rsidR="00382F02" w:rsidRDefault="00382F02" w:rsidP="00382F02">
      <w:pPr>
        <w:pStyle w:val="articleparagraph"/>
        <w:rPr>
          <w:rFonts w:ascii="Arial Black" w:hAnsi="Arial Black"/>
          <w:sz w:val="28"/>
          <w:szCs w:val="28"/>
        </w:rPr>
      </w:pPr>
      <w:bookmarkStart w:id="10" w:name="_Hlk81841241"/>
      <w:r>
        <w:rPr>
          <w:rFonts w:ascii="Arial Black" w:hAnsi="Arial Black"/>
          <w:sz w:val="28"/>
          <w:szCs w:val="28"/>
        </w:rPr>
        <w:t xml:space="preserve">U.S. SUPREME COURT: UNANIMOUS DECISION - SEARCH &amp; SEIZURE DRUNK DRIVER UPHELD – COMMUNITY SAFETY </w:t>
      </w:r>
    </w:p>
    <w:bookmarkEnd w:id="10"/>
    <w:p w14:paraId="1931539C" w14:textId="77777777" w:rsidR="00382F02" w:rsidRDefault="00382F02" w:rsidP="00382F02">
      <w:pPr>
        <w:pStyle w:val="articleparagraph"/>
      </w:pPr>
      <w:r>
        <w:t xml:space="preserve">On June 1, 2021, in </w:t>
      </w:r>
      <w:r w:rsidRPr="005E6136">
        <w:rPr>
          <w:u w:val="single"/>
        </w:rPr>
        <w:t>United States v. Cooley</w:t>
      </w:r>
      <w:r>
        <w:t xml:space="preserve">, the U.S. Supreme Court held (9 to 0) that the trial court judge improperly granted defense motion to suppress the meth found in the driver’s </w:t>
      </w:r>
      <w:proofErr w:type="gramStart"/>
      <w:r>
        <w:t>truck, and</w:t>
      </w:r>
      <w:proofErr w:type="gramEnd"/>
      <w:r>
        <w:t xml:space="preserve"> reversed the 3-judges on the 9</w:t>
      </w:r>
      <w:r w:rsidRPr="005E6136">
        <w:rPr>
          <w:vertAlign w:val="superscript"/>
        </w:rPr>
        <w:t>th</w:t>
      </w:r>
      <w:r>
        <w:t xml:space="preserve"> Circuit (San Francisco) that found the search illegal.  Justice Steven Breyer wrote the unanimous opinion of the court, which focused on the health and welfare of the Tribal police officer and the Indian reservation where the driver was pulled over. </w:t>
      </w:r>
    </w:p>
    <w:p w14:paraId="14614916" w14:textId="77777777" w:rsidR="00382F02" w:rsidRDefault="00382F02" w:rsidP="00382F02">
      <w:pPr>
        <w:ind w:left="720"/>
        <w:rPr>
          <w:rStyle w:val="markedcontent"/>
          <w:rFonts w:ascii="Times New Roman" w:hAnsi="Times New Roman"/>
          <w:sz w:val="24"/>
          <w:szCs w:val="24"/>
        </w:rPr>
      </w:pPr>
      <w:r>
        <w:rPr>
          <w:rStyle w:val="markedcontent"/>
          <w:rFonts w:ascii="Times New Roman" w:hAnsi="Times New Roman"/>
          <w:sz w:val="24"/>
          <w:szCs w:val="24"/>
        </w:rPr>
        <w:t>“</w:t>
      </w:r>
      <w:r w:rsidRPr="00512F9B">
        <w:rPr>
          <w:rStyle w:val="markedcontent"/>
          <w:rFonts w:ascii="Times New Roman" w:hAnsi="Times New Roman"/>
          <w:sz w:val="24"/>
          <w:szCs w:val="24"/>
        </w:rPr>
        <w:t xml:space="preserve">The second exception we have just quoted fits the present case, almost like a glove. The phrase speaks of the protection of the </w:t>
      </w:r>
      <w:r>
        <w:rPr>
          <w:rStyle w:val="markedcontent"/>
          <w:rFonts w:ascii="Times New Roman" w:hAnsi="Times New Roman"/>
          <w:sz w:val="24"/>
          <w:szCs w:val="24"/>
        </w:rPr>
        <w:t>‘</w:t>
      </w:r>
      <w:r w:rsidRPr="00512F9B">
        <w:rPr>
          <w:rStyle w:val="markedcontent"/>
          <w:rFonts w:ascii="Times New Roman" w:hAnsi="Times New Roman"/>
          <w:sz w:val="24"/>
          <w:szCs w:val="24"/>
        </w:rPr>
        <w:t>health or welfare of the tribe.</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To deny a tribal</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police officer authority to search and detain for a reasonable</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time any person he or she believes may commit or has committed a crime would make it difficult for tribes to protect</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themselves against ongoing threats. Such threats may be posed by, for instance, non-Indian drunk drivers, transporters of contraband, or other criminal offenders operating on</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 xml:space="preserve">roads within the boundaries of a tribal reservation. As the Washington Supreme Court has noted, </w:t>
      </w:r>
      <w:r>
        <w:rPr>
          <w:rStyle w:val="markedcontent"/>
          <w:rFonts w:ascii="Times New Roman" w:hAnsi="Times New Roman"/>
          <w:sz w:val="24"/>
          <w:szCs w:val="24"/>
        </w:rPr>
        <w:t>‘</w:t>
      </w:r>
      <w:r w:rsidRPr="00512F9B">
        <w:rPr>
          <w:rStyle w:val="markedcontent"/>
          <w:rFonts w:ascii="Times New Roman" w:hAnsi="Times New Roman"/>
          <w:sz w:val="24"/>
          <w:szCs w:val="24"/>
        </w:rPr>
        <w:t>[a]</w:t>
      </w:r>
      <w:proofErr w:type="spellStart"/>
      <w:r w:rsidRPr="00512F9B">
        <w:rPr>
          <w:rStyle w:val="markedcontent"/>
          <w:rFonts w:ascii="Times New Roman" w:hAnsi="Times New Roman"/>
          <w:sz w:val="24"/>
          <w:szCs w:val="24"/>
        </w:rPr>
        <w:t>llowing</w:t>
      </w:r>
      <w:proofErr w:type="spellEnd"/>
      <w:r w:rsidRPr="00512F9B">
        <w:rPr>
          <w:rStyle w:val="markedcontent"/>
          <w:rFonts w:ascii="Times New Roman" w:hAnsi="Times New Roman"/>
          <w:sz w:val="24"/>
          <w:szCs w:val="24"/>
        </w:rPr>
        <w:t xml:space="preserve"> a known</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drunk driver to get back in his or her car, careen off down</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the road, and possibly kill or injure Indians or non-Indians</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 xml:space="preserve">would certainly be detrimental to the health or welfare of </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 xml:space="preserve">the </w:t>
      </w:r>
      <w:proofErr w:type="spellStart"/>
      <w:r w:rsidRPr="00512F9B">
        <w:rPr>
          <w:rStyle w:val="markedcontent"/>
          <w:rFonts w:ascii="Times New Roman" w:hAnsi="Times New Roman"/>
          <w:sz w:val="24"/>
          <w:szCs w:val="24"/>
        </w:rPr>
        <w:t>Tribe.”</w:t>
      </w:r>
      <w:r>
        <w:rPr>
          <w:rStyle w:val="markedcontent"/>
          <w:rFonts w:ascii="Times New Roman" w:hAnsi="Times New Roman"/>
          <w:sz w:val="24"/>
          <w:szCs w:val="24"/>
        </w:rPr>
        <w:t>’</w:t>
      </w:r>
      <w:r w:rsidRPr="00512F9B">
        <w:rPr>
          <w:rStyle w:val="markedcontent"/>
          <w:rFonts w:ascii="Times New Roman" w:hAnsi="Times New Roman"/>
          <w:sz w:val="24"/>
          <w:szCs w:val="24"/>
        </w:rPr>
        <w:t>State</w:t>
      </w:r>
      <w:proofErr w:type="spellEnd"/>
      <w:r w:rsidRPr="00512F9B">
        <w:rPr>
          <w:rStyle w:val="markedcontent"/>
          <w:rFonts w:ascii="Times New Roman" w:hAnsi="Times New Roman"/>
          <w:sz w:val="24"/>
          <w:szCs w:val="24"/>
        </w:rPr>
        <w:t xml:space="preserve"> v. Schmuck, 121 Wash. 2d 373, 391, 850 P. 2d 1332, 1341, cert. denied, 510 U. S. 931 (1993).</w:t>
      </w:r>
    </w:p>
    <w:p w14:paraId="733D9A6B" w14:textId="77777777" w:rsidR="00382F02" w:rsidRDefault="00382F02" w:rsidP="00382F02">
      <w:pPr>
        <w:ind w:left="720"/>
        <w:rPr>
          <w:rStyle w:val="markedcontent"/>
          <w:rFonts w:ascii="Times New Roman" w:hAnsi="Times New Roman"/>
          <w:sz w:val="24"/>
          <w:szCs w:val="24"/>
        </w:rPr>
      </w:pPr>
      <w:r>
        <w:rPr>
          <w:rStyle w:val="markedcontent"/>
          <w:rFonts w:ascii="Times New Roman" w:hAnsi="Times New Roman"/>
          <w:sz w:val="24"/>
          <w:szCs w:val="24"/>
        </w:rPr>
        <w:t>***</w:t>
      </w:r>
    </w:p>
    <w:p w14:paraId="1D59FB60" w14:textId="77777777" w:rsidR="00382F02" w:rsidRDefault="00382F02" w:rsidP="00382F02">
      <w:pPr>
        <w:ind w:left="720"/>
        <w:rPr>
          <w:rStyle w:val="markedcontent"/>
          <w:rFonts w:ascii="Times New Roman" w:hAnsi="Times New Roman"/>
          <w:sz w:val="24"/>
          <w:szCs w:val="24"/>
        </w:rPr>
      </w:pPr>
      <w:r w:rsidRPr="00512F9B">
        <w:rPr>
          <w:rStyle w:val="markedcontent"/>
          <w:rFonts w:ascii="Times New Roman" w:hAnsi="Times New Roman"/>
          <w:sz w:val="24"/>
          <w:szCs w:val="24"/>
        </w:rPr>
        <w:t>Finally, we have doubts about the workability of the</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standards that the Ninth Circuit set out. Those standards require tribal officers first to determine whether a suspect</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 xml:space="preserve">is non-Indian and, if so, allow temporary detention only if the violation of law is </w:t>
      </w:r>
      <w:r>
        <w:rPr>
          <w:rStyle w:val="markedcontent"/>
          <w:rFonts w:ascii="Times New Roman" w:hAnsi="Times New Roman"/>
          <w:sz w:val="24"/>
          <w:szCs w:val="24"/>
        </w:rPr>
        <w:t>‘</w:t>
      </w:r>
      <w:r w:rsidRPr="00512F9B">
        <w:rPr>
          <w:rStyle w:val="markedcontent"/>
          <w:rFonts w:ascii="Times New Roman" w:hAnsi="Times New Roman"/>
          <w:sz w:val="24"/>
          <w:szCs w:val="24"/>
        </w:rPr>
        <w:t>apparent.</w:t>
      </w:r>
      <w:r>
        <w:rPr>
          <w:rStyle w:val="markedcontent"/>
          <w:rFonts w:ascii="Times New Roman" w:hAnsi="Times New Roman"/>
          <w:sz w:val="24"/>
          <w:szCs w:val="24"/>
        </w:rPr>
        <w:t>’</w:t>
      </w:r>
      <w:r w:rsidRPr="00512F9B">
        <w:rPr>
          <w:rStyle w:val="markedcontent"/>
          <w:rFonts w:ascii="Times New Roman" w:hAnsi="Times New Roman"/>
          <w:sz w:val="24"/>
          <w:szCs w:val="24"/>
        </w:rPr>
        <w:t xml:space="preserve"> 919 F. 3d, at 1142. The first requirement, even if limited to asking a single question, would produce an incentive to lie. The second requirement—that the violation of law be </w:t>
      </w:r>
      <w:r>
        <w:rPr>
          <w:rStyle w:val="markedcontent"/>
          <w:rFonts w:ascii="Times New Roman" w:hAnsi="Times New Roman"/>
          <w:sz w:val="24"/>
          <w:szCs w:val="24"/>
        </w:rPr>
        <w:t>‘</w:t>
      </w:r>
      <w:r w:rsidRPr="00512F9B">
        <w:rPr>
          <w:rStyle w:val="markedcontent"/>
          <w:rFonts w:ascii="Times New Roman" w:hAnsi="Times New Roman"/>
          <w:sz w:val="24"/>
          <w:szCs w:val="24"/>
        </w:rPr>
        <w:t>apparent</w:t>
      </w:r>
      <w:r>
        <w:rPr>
          <w:rStyle w:val="markedcontent"/>
          <w:rFonts w:ascii="Times New Roman" w:hAnsi="Times New Roman"/>
          <w:sz w:val="24"/>
          <w:szCs w:val="24"/>
        </w:rPr>
        <w:t>’</w:t>
      </w:r>
      <w:r w:rsidRPr="00512F9B">
        <w:rPr>
          <w:rStyle w:val="markedcontent"/>
          <w:rFonts w:ascii="Times New Roman" w:hAnsi="Times New Roman"/>
          <w:sz w:val="24"/>
          <w:szCs w:val="24"/>
        </w:rPr>
        <w:t>—introduces</w:t>
      </w:r>
      <w:r>
        <w:rPr>
          <w:rStyle w:val="markedcontent"/>
          <w:rFonts w:ascii="Times New Roman" w:hAnsi="Times New Roman"/>
          <w:sz w:val="24"/>
          <w:szCs w:val="24"/>
        </w:rPr>
        <w:t xml:space="preserve"> </w:t>
      </w:r>
      <w:r w:rsidRPr="00512F9B">
        <w:rPr>
          <w:rStyle w:val="markedcontent"/>
          <w:rFonts w:ascii="Times New Roman" w:hAnsi="Times New Roman"/>
          <w:sz w:val="24"/>
          <w:szCs w:val="24"/>
        </w:rPr>
        <w:t>a new standard into search and seizure law.</w:t>
      </w:r>
      <w:r>
        <w:rPr>
          <w:rStyle w:val="markedcontent"/>
          <w:rFonts w:ascii="Times New Roman" w:hAnsi="Times New Roman"/>
          <w:sz w:val="24"/>
          <w:szCs w:val="24"/>
        </w:rPr>
        <w:t xml:space="preserve"> </w:t>
      </w:r>
      <w:r w:rsidRPr="005E6136">
        <w:rPr>
          <w:rStyle w:val="markedcontent"/>
          <w:rFonts w:ascii="Times New Roman" w:hAnsi="Times New Roman"/>
          <w:sz w:val="24"/>
          <w:szCs w:val="24"/>
        </w:rPr>
        <w:t>Whether, or how, that standard would be met is not obvious.</w:t>
      </w:r>
      <w:r>
        <w:rPr>
          <w:rStyle w:val="markedcontent"/>
          <w:rFonts w:ascii="Times New Roman" w:hAnsi="Times New Roman"/>
          <w:sz w:val="24"/>
          <w:szCs w:val="24"/>
        </w:rPr>
        <w:t xml:space="preserve">” </w:t>
      </w:r>
      <w:hyperlink r:id="rId257" w:history="1">
        <w:r w:rsidRPr="00843DBD">
          <w:rPr>
            <w:rStyle w:val="Hyperlink"/>
            <w:sz w:val="24"/>
            <w:szCs w:val="24"/>
          </w:rPr>
          <w:t>https://www.supremecourt.gov/opinions/20pdf/19-1414_8m58.pdf</w:t>
        </w:r>
      </w:hyperlink>
      <w:r>
        <w:rPr>
          <w:rStyle w:val="markedcontent"/>
          <w:rFonts w:ascii="Times New Roman" w:hAnsi="Times New Roman"/>
          <w:sz w:val="24"/>
          <w:szCs w:val="24"/>
        </w:rPr>
        <w:t xml:space="preserve"> </w:t>
      </w:r>
    </w:p>
    <w:p w14:paraId="49633F0D" w14:textId="77777777" w:rsidR="00382F02" w:rsidRPr="001B07D0" w:rsidRDefault="00382F02" w:rsidP="00382F02">
      <w:pPr>
        <w:pStyle w:val="NoSpacing"/>
        <w:rPr>
          <w:rStyle w:val="markedcontent"/>
          <w:rFonts w:ascii="Times New Roman" w:hAnsi="Times New Roman"/>
          <w:b/>
          <w:bCs/>
          <w:sz w:val="24"/>
          <w:szCs w:val="24"/>
        </w:rPr>
      </w:pPr>
      <w:r w:rsidRPr="001B07D0">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Very helpful to have a unanimous opinion upholding a search and focused on the safety of the officer and the community he protects. </w:t>
      </w:r>
    </w:p>
    <w:p w14:paraId="66A7C0E1" w14:textId="77777777" w:rsidR="00382F02" w:rsidRDefault="00382F02" w:rsidP="002B1283">
      <w:pPr>
        <w:rPr>
          <w:rFonts w:ascii="Arial Black" w:hAnsi="Arial Black"/>
          <w:b/>
          <w:sz w:val="24"/>
          <w:szCs w:val="24"/>
        </w:rPr>
      </w:pPr>
    </w:p>
    <w:p w14:paraId="472A5B54" w14:textId="77777777" w:rsidR="00A82898" w:rsidRDefault="00A82898" w:rsidP="002B1283">
      <w:pPr>
        <w:rPr>
          <w:rFonts w:ascii="Arial Black" w:hAnsi="Arial Black"/>
          <w:b/>
          <w:sz w:val="24"/>
          <w:szCs w:val="24"/>
        </w:rPr>
      </w:pPr>
    </w:p>
    <w:p w14:paraId="4DD4B24A" w14:textId="6F05A8D1" w:rsidR="0077274E" w:rsidRDefault="0077274E" w:rsidP="002B1283">
      <w:pPr>
        <w:rPr>
          <w:rFonts w:ascii="Arial Black" w:hAnsi="Arial Black"/>
          <w:b/>
          <w:sz w:val="24"/>
          <w:szCs w:val="24"/>
        </w:rPr>
      </w:pPr>
      <w:r>
        <w:rPr>
          <w:rFonts w:ascii="Arial Black" w:hAnsi="Arial Black"/>
          <w:b/>
          <w:sz w:val="24"/>
          <w:szCs w:val="24"/>
        </w:rPr>
        <w:t>1-78</w:t>
      </w:r>
    </w:p>
    <w:p w14:paraId="22CE8643" w14:textId="77777777" w:rsidR="0077274E" w:rsidRPr="0069099B" w:rsidRDefault="0077274E" w:rsidP="0077274E">
      <w:pPr>
        <w:pStyle w:val="Heading1"/>
        <w:rPr>
          <w:rFonts w:ascii="Arial Black" w:hAnsi="Arial Black"/>
          <w:sz w:val="28"/>
          <w:szCs w:val="28"/>
        </w:rPr>
      </w:pPr>
      <w:r>
        <w:rPr>
          <w:rFonts w:ascii="Arial Black" w:hAnsi="Arial Black"/>
          <w:sz w:val="28"/>
          <w:szCs w:val="28"/>
        </w:rPr>
        <w:t>FL: FATAL MVA I-95 – PD SEIZED PHONE PERSON TAKING PHOTOS - $1,000 JURY VERDICT – IMMUNE FALSE ARREST</w:t>
      </w:r>
    </w:p>
    <w:p w14:paraId="68018703" w14:textId="77777777" w:rsidR="0077274E" w:rsidRPr="008C6D29" w:rsidRDefault="0077274E" w:rsidP="0077274E">
      <w:pPr>
        <w:pStyle w:val="NoSpacing"/>
        <w:rPr>
          <w:rFonts w:ascii="Times New Roman" w:hAnsi="Times New Roman"/>
          <w:sz w:val="24"/>
          <w:szCs w:val="24"/>
        </w:rPr>
      </w:pPr>
      <w:r>
        <w:rPr>
          <w:rFonts w:ascii="Times New Roman" w:hAnsi="Times New Roman"/>
          <w:sz w:val="24"/>
          <w:szCs w:val="24"/>
        </w:rPr>
        <w:t xml:space="preserve">On April 20, 2021 </w:t>
      </w:r>
      <w:r w:rsidRPr="0069099B">
        <w:rPr>
          <w:rFonts w:ascii="Times New Roman" w:hAnsi="Times New Roman"/>
          <w:sz w:val="24"/>
          <w:szCs w:val="24"/>
          <w:u w:val="single"/>
        </w:rPr>
        <w:t>in James P. Crocker v. Deputy Sheriff Steve E. Beatty, Martin County Sheriff’s Office, in his individual capacity</w:t>
      </w:r>
      <w:r>
        <w:rPr>
          <w:rFonts w:ascii="Times New Roman" w:hAnsi="Times New Roman"/>
          <w:sz w:val="24"/>
          <w:szCs w:val="24"/>
        </w:rPr>
        <w:t>, the U.S. Court of Appeals for the 11</w:t>
      </w:r>
      <w:r w:rsidRPr="0069099B">
        <w:rPr>
          <w:rFonts w:ascii="Times New Roman" w:hAnsi="Times New Roman"/>
          <w:sz w:val="24"/>
          <w:szCs w:val="24"/>
          <w:vertAlign w:val="superscript"/>
        </w:rPr>
        <w:t>th</w:t>
      </w:r>
      <w:r>
        <w:rPr>
          <w:rFonts w:ascii="Times New Roman" w:hAnsi="Times New Roman"/>
          <w:sz w:val="24"/>
          <w:szCs w:val="24"/>
        </w:rPr>
        <w:t xml:space="preserve"> Circuit (Atlanta, GA) held (2 to 1) that the police officer enjoys immunity from false arrest since he had parked his car on shoulder of I-95 (a “limited access” highway) and refused to leave the scene until his cell phone was returned.  The Court noted: “</w:t>
      </w:r>
      <w:r w:rsidRPr="008C6D29">
        <w:rPr>
          <w:rFonts w:ascii="Times New Roman" w:hAnsi="Times New Roman"/>
          <w:sz w:val="24"/>
          <w:szCs w:val="24"/>
        </w:rPr>
        <w:t>In his affidavit, Crocker</w:t>
      </w:r>
      <w:r>
        <w:rPr>
          <w:rFonts w:ascii="Times New Roman" w:hAnsi="Times New Roman"/>
          <w:sz w:val="24"/>
          <w:szCs w:val="24"/>
        </w:rPr>
        <w:t xml:space="preserve"> s</w:t>
      </w:r>
      <w:r w:rsidRPr="008C6D29">
        <w:rPr>
          <w:rFonts w:ascii="Times New Roman" w:hAnsi="Times New Roman"/>
          <w:sz w:val="24"/>
          <w:szCs w:val="24"/>
        </w:rPr>
        <w:t xml:space="preserve">aid that he stood in the median </w:t>
      </w:r>
      <w:r>
        <w:rPr>
          <w:rFonts w:ascii="Times New Roman" w:hAnsi="Times New Roman"/>
          <w:sz w:val="24"/>
          <w:szCs w:val="24"/>
        </w:rPr>
        <w:t>‘</w:t>
      </w:r>
      <w:r w:rsidRPr="008C6D29">
        <w:rPr>
          <w:rFonts w:ascii="Times New Roman" w:hAnsi="Times New Roman"/>
          <w:sz w:val="24"/>
          <w:szCs w:val="24"/>
        </w:rPr>
        <w:t>taking photographs and recording video . . . of the crashed vehicle, the first responders and the jaws of life.</w:t>
      </w:r>
      <w:r>
        <w:rPr>
          <w:rFonts w:ascii="Times New Roman" w:hAnsi="Times New Roman"/>
          <w:sz w:val="24"/>
          <w:szCs w:val="24"/>
        </w:rPr>
        <w:t>’</w:t>
      </w:r>
      <w:r w:rsidRPr="008C6D29">
        <w:rPr>
          <w:rFonts w:ascii="Times New Roman" w:hAnsi="Times New Roman"/>
          <w:sz w:val="24"/>
          <w:szCs w:val="24"/>
        </w:rPr>
        <w:t xml:space="preserve"> Asked in his deposition, </w:t>
      </w:r>
      <w:r>
        <w:rPr>
          <w:rFonts w:ascii="Times New Roman" w:hAnsi="Times New Roman"/>
          <w:sz w:val="24"/>
          <w:szCs w:val="24"/>
        </w:rPr>
        <w:t>‘</w:t>
      </w:r>
      <w:r w:rsidRPr="008C6D29">
        <w:rPr>
          <w:rFonts w:ascii="Times New Roman" w:hAnsi="Times New Roman"/>
          <w:sz w:val="24"/>
          <w:szCs w:val="24"/>
        </w:rPr>
        <w:t>What were you taking pictures of?</w:t>
      </w:r>
      <w:r>
        <w:rPr>
          <w:rFonts w:ascii="Times New Roman" w:hAnsi="Times New Roman"/>
          <w:sz w:val="24"/>
          <w:szCs w:val="24"/>
        </w:rPr>
        <w:t>’</w:t>
      </w:r>
      <w:r w:rsidRPr="008C6D29">
        <w:rPr>
          <w:rFonts w:ascii="Times New Roman" w:hAnsi="Times New Roman"/>
          <w:sz w:val="24"/>
          <w:szCs w:val="24"/>
        </w:rPr>
        <w:t xml:space="preserve"> Crocker replied, </w:t>
      </w:r>
      <w:r>
        <w:rPr>
          <w:rFonts w:ascii="Times New Roman" w:hAnsi="Times New Roman"/>
          <w:sz w:val="24"/>
          <w:szCs w:val="24"/>
        </w:rPr>
        <w:t>‘</w:t>
      </w:r>
      <w:r w:rsidRPr="008C6D29">
        <w:rPr>
          <w:rFonts w:ascii="Times New Roman" w:hAnsi="Times New Roman"/>
          <w:sz w:val="24"/>
          <w:szCs w:val="24"/>
        </w:rPr>
        <w:t>The overall scene, overturned vehicle, firemen.</w:t>
      </w:r>
      <w:r>
        <w:rPr>
          <w:rFonts w:ascii="Times New Roman" w:hAnsi="Times New Roman"/>
          <w:sz w:val="24"/>
          <w:szCs w:val="24"/>
        </w:rPr>
        <w:t xml:space="preserve">’ </w:t>
      </w:r>
      <w:r w:rsidRPr="008C6D29">
        <w:rPr>
          <w:rFonts w:ascii="Times New Roman" w:hAnsi="Times New Roman"/>
          <w:sz w:val="24"/>
          <w:szCs w:val="24"/>
        </w:rPr>
        <w:t xml:space="preserve">And when asked if he had </w:t>
      </w:r>
      <w:r>
        <w:rPr>
          <w:rFonts w:ascii="Times New Roman" w:hAnsi="Times New Roman"/>
          <w:sz w:val="24"/>
          <w:szCs w:val="24"/>
        </w:rPr>
        <w:t>‘</w:t>
      </w:r>
      <w:r w:rsidRPr="008C6D29">
        <w:rPr>
          <w:rFonts w:ascii="Times New Roman" w:hAnsi="Times New Roman"/>
          <w:sz w:val="24"/>
          <w:szCs w:val="24"/>
        </w:rPr>
        <w:t>a specific reason</w:t>
      </w:r>
      <w:r>
        <w:rPr>
          <w:rFonts w:ascii="Times New Roman" w:hAnsi="Times New Roman"/>
          <w:sz w:val="24"/>
          <w:szCs w:val="24"/>
        </w:rPr>
        <w:t>’</w:t>
      </w:r>
      <w:r w:rsidRPr="008C6D29">
        <w:rPr>
          <w:rFonts w:ascii="Times New Roman" w:hAnsi="Times New Roman"/>
          <w:sz w:val="24"/>
          <w:szCs w:val="24"/>
        </w:rPr>
        <w:t xml:space="preserve"> for taking pictures of the accident scene, Crocker said: </w:t>
      </w:r>
      <w:r>
        <w:rPr>
          <w:rFonts w:ascii="Times New Roman" w:hAnsi="Times New Roman"/>
          <w:sz w:val="24"/>
          <w:szCs w:val="24"/>
        </w:rPr>
        <w:t>‘</w:t>
      </w:r>
      <w:r w:rsidRPr="008C6D29">
        <w:rPr>
          <w:rFonts w:ascii="Times New Roman" w:hAnsi="Times New Roman"/>
          <w:sz w:val="24"/>
          <w:szCs w:val="24"/>
        </w:rPr>
        <w:t>I really didn’t have a clear and present agenda. I do remember seeing beer bottles laying there and I do remember photographing the beer bottles.</w:t>
      </w:r>
      <w:r>
        <w:rPr>
          <w:rFonts w:ascii="Times New Roman" w:hAnsi="Times New Roman"/>
          <w:sz w:val="24"/>
          <w:szCs w:val="24"/>
        </w:rPr>
        <w:t>’”</w:t>
      </w:r>
    </w:p>
    <w:p w14:paraId="1DA573A8" w14:textId="77777777" w:rsidR="0077274E" w:rsidRPr="008C6D29" w:rsidRDefault="0077274E" w:rsidP="0077274E">
      <w:pPr>
        <w:pStyle w:val="NoSpacing"/>
        <w:rPr>
          <w:rFonts w:ascii="Times New Roman" w:hAnsi="Times New Roman"/>
          <w:sz w:val="24"/>
          <w:szCs w:val="24"/>
        </w:rPr>
      </w:pPr>
    </w:p>
    <w:p w14:paraId="6F52A748" w14:textId="77777777" w:rsidR="0077274E" w:rsidRDefault="0077274E" w:rsidP="0077274E">
      <w:pPr>
        <w:pStyle w:val="NoSpacing"/>
        <w:ind w:left="720"/>
        <w:rPr>
          <w:rFonts w:ascii="Times New Roman" w:hAnsi="Times New Roman"/>
          <w:sz w:val="24"/>
          <w:szCs w:val="24"/>
        </w:rPr>
      </w:pPr>
      <w:r>
        <w:rPr>
          <w:rFonts w:ascii="Times New Roman" w:hAnsi="Times New Roman"/>
          <w:sz w:val="24"/>
          <w:szCs w:val="24"/>
        </w:rPr>
        <w:t xml:space="preserve">“[W]e </w:t>
      </w:r>
      <w:r w:rsidRPr="005C18FF">
        <w:rPr>
          <w:rFonts w:ascii="Times New Roman" w:hAnsi="Times New Roman"/>
          <w:sz w:val="24"/>
          <w:szCs w:val="24"/>
        </w:rPr>
        <w:t>hold (1) that Crocker’s First Amendment claim is barred by qualified immunity, (2) that his false-arrest claims fail because Beatty had probable cause to arrest him, and (3) that his excessive-force claim fails on the merits and, in any event, is barred by qualified immunity.</w:t>
      </w:r>
    </w:p>
    <w:p w14:paraId="50E85849" w14:textId="77777777" w:rsidR="0077274E" w:rsidRDefault="0077274E" w:rsidP="0077274E">
      <w:pPr>
        <w:pStyle w:val="NoSpacing"/>
        <w:ind w:left="720"/>
        <w:rPr>
          <w:rFonts w:ascii="Times New Roman" w:hAnsi="Times New Roman"/>
          <w:sz w:val="24"/>
          <w:szCs w:val="24"/>
        </w:rPr>
      </w:pPr>
    </w:p>
    <w:p w14:paraId="7C8FCE58" w14:textId="77777777" w:rsidR="0077274E" w:rsidRDefault="0077274E" w:rsidP="0077274E">
      <w:pPr>
        <w:pStyle w:val="NoSpacing"/>
        <w:ind w:left="720"/>
        <w:rPr>
          <w:rFonts w:ascii="Times New Roman" w:hAnsi="Times New Roman"/>
          <w:sz w:val="24"/>
          <w:szCs w:val="24"/>
        </w:rPr>
      </w:pPr>
      <w:r>
        <w:rPr>
          <w:rFonts w:ascii="Times New Roman" w:hAnsi="Times New Roman"/>
          <w:sz w:val="24"/>
          <w:szCs w:val="24"/>
        </w:rPr>
        <w:t>***</w:t>
      </w:r>
    </w:p>
    <w:p w14:paraId="33EC0067" w14:textId="77777777" w:rsidR="0077274E" w:rsidRDefault="0077274E" w:rsidP="0077274E">
      <w:pPr>
        <w:pStyle w:val="NoSpacing"/>
        <w:ind w:left="720"/>
        <w:rPr>
          <w:rFonts w:ascii="Times New Roman" w:hAnsi="Times New Roman"/>
          <w:sz w:val="24"/>
          <w:szCs w:val="24"/>
        </w:rPr>
      </w:pPr>
      <w:r w:rsidRPr="009771AF">
        <w:rPr>
          <w:rFonts w:ascii="Times New Roman" w:hAnsi="Times New Roman"/>
          <w:sz w:val="24"/>
          <w:szCs w:val="24"/>
        </w:rPr>
        <w:t>Because Crocker’s car was parked on the shoulder of I-95, a “limited access facility,” the district court held that Beatty had probable cause to arrest him. And although Crocker might initially have been covered by the Good Samaritan exception, the court held that he no longer qualified by the time he encountered Beatty, at which point he was standing 40–50 feet away from the crash scene and merely observing it. We agree with the district court that Officer Beatty had probable cause to arrest Crocker.</w:t>
      </w:r>
      <w:r>
        <w:rPr>
          <w:rFonts w:ascii="Times New Roman" w:hAnsi="Times New Roman"/>
          <w:sz w:val="24"/>
          <w:szCs w:val="24"/>
        </w:rPr>
        <w:t>”</w:t>
      </w:r>
    </w:p>
    <w:p w14:paraId="7FD841C3" w14:textId="77777777" w:rsidR="0077274E" w:rsidRDefault="0077274E" w:rsidP="0077274E">
      <w:pPr>
        <w:pStyle w:val="NoSpacing"/>
        <w:ind w:firstLine="720"/>
        <w:rPr>
          <w:rFonts w:ascii="Times New Roman" w:hAnsi="Times New Roman"/>
          <w:sz w:val="24"/>
          <w:szCs w:val="24"/>
        </w:rPr>
      </w:pPr>
      <w:hyperlink r:id="rId258" w:history="1">
        <w:r w:rsidRPr="00E10E69">
          <w:rPr>
            <w:rStyle w:val="Hyperlink"/>
            <w:sz w:val="24"/>
            <w:szCs w:val="24"/>
          </w:rPr>
          <w:t>https://media.ca11.uscourts.gov/opinions/pub/files/201814682.pdf</w:t>
        </w:r>
      </w:hyperlink>
      <w:r>
        <w:rPr>
          <w:rFonts w:ascii="Times New Roman" w:hAnsi="Times New Roman"/>
          <w:sz w:val="24"/>
          <w:szCs w:val="24"/>
        </w:rPr>
        <w:t xml:space="preserve"> </w:t>
      </w:r>
    </w:p>
    <w:p w14:paraId="2E919A05" w14:textId="6DF869D9" w:rsidR="0077274E" w:rsidRDefault="0077274E" w:rsidP="002B1283">
      <w:pPr>
        <w:rPr>
          <w:rFonts w:ascii="Arial Black" w:hAnsi="Arial Black"/>
          <w:b/>
          <w:sz w:val="24"/>
          <w:szCs w:val="24"/>
        </w:rPr>
      </w:pPr>
    </w:p>
    <w:p w14:paraId="4EEB03C7" w14:textId="77777777" w:rsidR="0077274E" w:rsidRDefault="0077274E" w:rsidP="0077274E">
      <w:pPr>
        <w:pStyle w:val="NoSpacing"/>
        <w:rPr>
          <w:rFonts w:ascii="Times New Roman" w:hAnsi="Times New Roman"/>
          <w:sz w:val="24"/>
          <w:szCs w:val="24"/>
        </w:rPr>
      </w:pPr>
      <w:r>
        <w:rPr>
          <w:rFonts w:ascii="Times New Roman" w:hAnsi="Times New Roman"/>
          <w:sz w:val="24"/>
          <w:szCs w:val="24"/>
        </w:rPr>
        <w:t>Note:  The officer is still liable, however, for jury verdict (Oct. 3, 2018) of $1000 compensatory damages for seizing the cell phone, which the 11</w:t>
      </w:r>
      <w:r w:rsidRPr="005C18FF">
        <w:rPr>
          <w:rFonts w:ascii="Times New Roman" w:hAnsi="Times New Roman"/>
          <w:sz w:val="24"/>
          <w:szCs w:val="24"/>
          <w:vertAlign w:val="superscript"/>
        </w:rPr>
        <w:t>th</w:t>
      </w:r>
      <w:r>
        <w:rPr>
          <w:rFonts w:ascii="Times New Roman" w:hAnsi="Times New Roman"/>
          <w:sz w:val="24"/>
          <w:szCs w:val="24"/>
        </w:rPr>
        <w:t xml:space="preserve"> Circuit in decision (April 2, 2018) held was a violation of 4</w:t>
      </w:r>
      <w:r w:rsidRPr="005C18FF">
        <w:rPr>
          <w:rFonts w:ascii="Times New Roman" w:hAnsi="Times New Roman"/>
          <w:sz w:val="24"/>
          <w:szCs w:val="24"/>
          <w:vertAlign w:val="superscript"/>
        </w:rPr>
        <w:t>th</w:t>
      </w:r>
      <w:r>
        <w:rPr>
          <w:rFonts w:ascii="Times New Roman" w:hAnsi="Times New Roman"/>
          <w:sz w:val="24"/>
          <w:szCs w:val="24"/>
        </w:rPr>
        <w:t xml:space="preserve"> Amendment.  </w:t>
      </w:r>
    </w:p>
    <w:p w14:paraId="28FCC621" w14:textId="77777777" w:rsidR="0077274E" w:rsidRDefault="0077274E" w:rsidP="0077274E">
      <w:pPr>
        <w:pStyle w:val="NoSpacing"/>
        <w:ind w:firstLine="720"/>
        <w:rPr>
          <w:rFonts w:ascii="Times New Roman" w:hAnsi="Times New Roman"/>
          <w:sz w:val="24"/>
          <w:szCs w:val="24"/>
        </w:rPr>
      </w:pPr>
    </w:p>
    <w:p w14:paraId="0449BBDB" w14:textId="77777777" w:rsidR="0077274E" w:rsidRPr="00A30885" w:rsidRDefault="0077274E" w:rsidP="0077274E">
      <w:pPr>
        <w:pStyle w:val="NoSpacing"/>
        <w:ind w:left="720" w:firstLine="60"/>
        <w:rPr>
          <w:rFonts w:ascii="Times New Roman" w:hAnsi="Times New Roman"/>
          <w:sz w:val="24"/>
          <w:szCs w:val="24"/>
        </w:rPr>
      </w:pPr>
      <w:r>
        <w:rPr>
          <w:rFonts w:ascii="Times New Roman" w:hAnsi="Times New Roman"/>
          <w:sz w:val="24"/>
          <w:szCs w:val="24"/>
        </w:rPr>
        <w:t>“</w:t>
      </w:r>
      <w:r w:rsidRPr="000C4BE8">
        <w:rPr>
          <w:rFonts w:ascii="Times New Roman" w:hAnsi="Times New Roman"/>
          <w:sz w:val="24"/>
          <w:szCs w:val="24"/>
        </w:rPr>
        <w:t xml:space="preserve">Crocker, however, </w:t>
      </w:r>
      <w:proofErr w:type="gramStart"/>
      <w:r w:rsidRPr="000C4BE8">
        <w:rPr>
          <w:rFonts w:ascii="Times New Roman" w:hAnsi="Times New Roman"/>
          <w:sz w:val="24"/>
          <w:szCs w:val="24"/>
        </w:rPr>
        <w:t>had no involvement</w:t>
      </w:r>
      <w:proofErr w:type="gramEnd"/>
      <w:r w:rsidRPr="000C4BE8">
        <w:rPr>
          <w:rFonts w:ascii="Times New Roman" w:hAnsi="Times New Roman"/>
          <w:sz w:val="24"/>
          <w:szCs w:val="24"/>
        </w:rPr>
        <w:t xml:space="preserve"> with the car accident that he had photographed. He was merely a curious passerby.</w:t>
      </w:r>
      <w:r>
        <w:rPr>
          <w:rFonts w:ascii="Times New Roman" w:hAnsi="Times New Roman"/>
          <w:sz w:val="24"/>
          <w:szCs w:val="24"/>
        </w:rPr>
        <w:t xml:space="preserve"> </w:t>
      </w:r>
      <w:r w:rsidRPr="00606988">
        <w:rPr>
          <w:rFonts w:ascii="Times New Roman" w:hAnsi="Times New Roman"/>
          <w:sz w:val="24"/>
          <w:szCs w:val="24"/>
        </w:rPr>
        <w:t xml:space="preserve">When Beatty approached Crocker and took his iPhone before speaking, there was no indication whatsoever that Crocker </w:t>
      </w:r>
      <w:proofErr w:type="gramStart"/>
      <w:r w:rsidRPr="00606988">
        <w:rPr>
          <w:rFonts w:ascii="Times New Roman" w:hAnsi="Times New Roman"/>
          <w:sz w:val="24"/>
          <w:szCs w:val="24"/>
        </w:rPr>
        <w:t>would have soon deleted</w:t>
      </w:r>
      <w:proofErr w:type="gramEnd"/>
      <w:r w:rsidRPr="00606988">
        <w:rPr>
          <w:rFonts w:ascii="Times New Roman" w:hAnsi="Times New Roman"/>
          <w:sz w:val="24"/>
          <w:szCs w:val="24"/>
        </w:rPr>
        <w:t xml:space="preserve"> the photographs and videos he had just taken the time to capture himself. We conclude that no reasonable law enforcement officer would have believed that the evidence on Crocker’s iPhone was at risk of imminent destruction at the time of the seizure</w:t>
      </w:r>
      <w:r>
        <w:rPr>
          <w:rFonts w:ascii="Times New Roman" w:hAnsi="Times New Roman"/>
          <w:sz w:val="24"/>
          <w:szCs w:val="24"/>
        </w:rPr>
        <w:t xml:space="preserve">…  </w:t>
      </w:r>
      <w:r w:rsidRPr="00606988">
        <w:rPr>
          <w:rFonts w:ascii="Times New Roman" w:hAnsi="Times New Roman"/>
          <w:sz w:val="24"/>
          <w:szCs w:val="24"/>
        </w:rPr>
        <w:t>Under these facts (viewed in the light most favorable to Crocker), we determine that Beatty violated Crocker’s Fourth Amendment rights when he seized the iPhone. We further determine that these rights were clearly established at the time of the seizure such that Beatty is not entitled to qualified immunity.</w:t>
      </w:r>
      <w:r>
        <w:rPr>
          <w:rFonts w:ascii="Times New Roman" w:hAnsi="Times New Roman"/>
          <w:sz w:val="24"/>
          <w:szCs w:val="24"/>
        </w:rPr>
        <w:t xml:space="preserve">” </w:t>
      </w:r>
      <w:hyperlink r:id="rId259" w:history="1">
        <w:r w:rsidRPr="00A30885">
          <w:rPr>
            <w:rStyle w:val="Hyperlink"/>
            <w:sz w:val="24"/>
            <w:szCs w:val="24"/>
          </w:rPr>
          <w:t>https://media.ca11.uscourts.gov/opinions/pub/files/201713526.pdf</w:t>
        </w:r>
      </w:hyperlink>
    </w:p>
    <w:p w14:paraId="6E019CD8" w14:textId="0C0D147D" w:rsidR="0077274E" w:rsidRDefault="0077274E" w:rsidP="002B1283">
      <w:pPr>
        <w:rPr>
          <w:rFonts w:ascii="Arial Black" w:hAnsi="Arial Black"/>
          <w:b/>
          <w:sz w:val="24"/>
          <w:szCs w:val="24"/>
        </w:rPr>
      </w:pPr>
    </w:p>
    <w:p w14:paraId="2BDF2A27" w14:textId="77777777" w:rsidR="0077274E" w:rsidRPr="00AE31BB" w:rsidRDefault="0077274E" w:rsidP="0077274E">
      <w:pPr>
        <w:pStyle w:val="NoSpacing"/>
        <w:rPr>
          <w:rFonts w:ascii="Times New Roman" w:hAnsi="Times New Roman"/>
          <w:b/>
          <w:bCs/>
          <w:sz w:val="24"/>
          <w:szCs w:val="24"/>
        </w:rPr>
      </w:pPr>
      <w:r w:rsidRPr="00AE31BB">
        <w:rPr>
          <w:rFonts w:ascii="Times New Roman" w:hAnsi="Times New Roman"/>
          <w:b/>
          <w:bCs/>
          <w:sz w:val="24"/>
          <w:szCs w:val="24"/>
        </w:rPr>
        <w:t>Legal Lesson Learned:</w:t>
      </w:r>
      <w:r>
        <w:rPr>
          <w:rFonts w:ascii="Times New Roman" w:hAnsi="Times New Roman"/>
          <w:b/>
          <w:bCs/>
          <w:sz w:val="24"/>
          <w:szCs w:val="24"/>
        </w:rPr>
        <w:t xml:space="preserve"> Seizing a by-standers cell phone is violation of 4</w:t>
      </w:r>
      <w:r w:rsidRPr="00AE31BB">
        <w:rPr>
          <w:rFonts w:ascii="Times New Roman" w:hAnsi="Times New Roman"/>
          <w:b/>
          <w:bCs/>
          <w:sz w:val="24"/>
          <w:szCs w:val="24"/>
          <w:vertAlign w:val="superscript"/>
        </w:rPr>
        <w:t>th</w:t>
      </w:r>
      <w:r>
        <w:rPr>
          <w:rFonts w:ascii="Times New Roman" w:hAnsi="Times New Roman"/>
          <w:b/>
          <w:bCs/>
          <w:sz w:val="24"/>
          <w:szCs w:val="24"/>
        </w:rPr>
        <w:t xml:space="preserve"> Amendment unless there is reasonable </w:t>
      </w:r>
      <w:proofErr w:type="gramStart"/>
      <w:r>
        <w:rPr>
          <w:rFonts w:ascii="Times New Roman" w:hAnsi="Times New Roman"/>
          <w:b/>
          <w:bCs/>
          <w:sz w:val="24"/>
          <w:szCs w:val="24"/>
        </w:rPr>
        <w:t>believe</w:t>
      </w:r>
      <w:proofErr w:type="gramEnd"/>
      <w:r>
        <w:rPr>
          <w:rFonts w:ascii="Times New Roman" w:hAnsi="Times New Roman"/>
          <w:b/>
          <w:bCs/>
          <w:sz w:val="24"/>
          <w:szCs w:val="24"/>
        </w:rPr>
        <w:t xml:space="preserve"> the cell phone photos or videos contain evidence of crime. </w:t>
      </w:r>
    </w:p>
    <w:p w14:paraId="2B60E985" w14:textId="77777777" w:rsidR="0077274E" w:rsidRPr="00A30885" w:rsidRDefault="0077274E" w:rsidP="0077274E">
      <w:pPr>
        <w:pStyle w:val="Heading1"/>
        <w:ind w:left="720"/>
        <w:rPr>
          <w:b w:val="0"/>
          <w:bCs w:val="0"/>
          <w:sz w:val="24"/>
          <w:szCs w:val="24"/>
        </w:rPr>
      </w:pPr>
      <w:r w:rsidRPr="00A30885">
        <w:rPr>
          <w:b w:val="0"/>
          <w:bCs w:val="0"/>
          <w:sz w:val="24"/>
          <w:szCs w:val="24"/>
        </w:rPr>
        <w:t>Note:  See 11th Circuit decision in Smith v. City of Cumming (May 30, 2020):</w:t>
      </w:r>
      <w:hyperlink r:id="rId260" w:history="1">
        <w:r w:rsidRPr="00A30885">
          <w:rPr>
            <w:rStyle w:val="Hyperlink"/>
            <w:sz w:val="24"/>
            <w:szCs w:val="24"/>
          </w:rPr>
          <w:t>https://casetext.com/case/smith-v-city-of-</w:t>
        </w:r>
        <w:proofErr w:type="spellStart"/>
        <w:r w:rsidRPr="00A30885">
          <w:rPr>
            <w:rStyle w:val="Hyperlink"/>
            <w:sz w:val="24"/>
            <w:szCs w:val="24"/>
          </w:rPr>
          <w:t>cumming</w:t>
        </w:r>
        <w:proofErr w:type="spellEnd"/>
      </w:hyperlink>
      <w:r w:rsidRPr="00A30885">
        <w:rPr>
          <w:b w:val="0"/>
          <w:bCs w:val="0"/>
          <w:sz w:val="24"/>
          <w:szCs w:val="24"/>
        </w:rPr>
        <w:t xml:space="preserve"> </w:t>
      </w:r>
    </w:p>
    <w:p w14:paraId="3FEB5481" w14:textId="77777777" w:rsidR="0077274E" w:rsidRPr="00D91F21" w:rsidRDefault="0077274E" w:rsidP="0077274E">
      <w:pPr>
        <w:pStyle w:val="NoSpacing"/>
        <w:ind w:left="720"/>
        <w:rPr>
          <w:rFonts w:ascii="Times New Roman" w:hAnsi="Times New Roman"/>
          <w:sz w:val="24"/>
          <w:szCs w:val="24"/>
        </w:rPr>
      </w:pPr>
      <w:r>
        <w:rPr>
          <w:rFonts w:ascii="Times New Roman" w:hAnsi="Times New Roman"/>
          <w:sz w:val="24"/>
          <w:szCs w:val="24"/>
        </w:rPr>
        <w:t>“</w:t>
      </w:r>
      <w:r w:rsidRPr="00D91F21">
        <w:rPr>
          <w:rFonts w:ascii="Times New Roman" w:hAnsi="Times New Roman"/>
          <w:sz w:val="24"/>
          <w:szCs w:val="24"/>
        </w:rPr>
        <w:t>As to the First Amendment claim under Section 1983, we agree with the Smiths that they had a First Amendment right, subject to reasonable time, manner and place restrictions, to photograph or videotape police conduct</w:t>
      </w:r>
      <w:r>
        <w:rPr>
          <w:rFonts w:ascii="Times New Roman" w:hAnsi="Times New Roman"/>
          <w:sz w:val="24"/>
          <w:szCs w:val="24"/>
        </w:rPr>
        <w:t xml:space="preserve">. </w:t>
      </w:r>
      <w:r w:rsidRPr="00D91F21">
        <w:rPr>
          <w:rFonts w:ascii="Times New Roman" w:hAnsi="Times New Roman"/>
          <w:sz w:val="24"/>
          <w:szCs w:val="24"/>
        </w:rPr>
        <w:t xml:space="preserve">The First Amendment protects the right to gather information about what public officials do on public property, and specifically, a right to record matters of public </w:t>
      </w:r>
      <w:proofErr w:type="gramStart"/>
      <w:r w:rsidRPr="00D91F21">
        <w:rPr>
          <w:rFonts w:ascii="Times New Roman" w:hAnsi="Times New Roman"/>
          <w:sz w:val="24"/>
          <w:szCs w:val="24"/>
        </w:rPr>
        <w:t>interest.</w:t>
      </w:r>
      <w:r>
        <w:rPr>
          <w:rFonts w:ascii="Times New Roman" w:hAnsi="Times New Roman"/>
          <w:sz w:val="24"/>
          <w:szCs w:val="24"/>
        </w:rPr>
        <w:t>”</w:t>
      </w:r>
      <w:proofErr w:type="gramEnd"/>
    </w:p>
    <w:p w14:paraId="4215B3C0" w14:textId="77777777" w:rsidR="0077274E" w:rsidRPr="00A30885" w:rsidRDefault="0077274E" w:rsidP="0077274E">
      <w:pPr>
        <w:pStyle w:val="Heading1"/>
        <w:ind w:left="720"/>
        <w:rPr>
          <w:b w:val="0"/>
          <w:bCs w:val="0"/>
          <w:sz w:val="24"/>
          <w:szCs w:val="24"/>
        </w:rPr>
      </w:pPr>
      <w:r w:rsidRPr="00A30885">
        <w:rPr>
          <w:b w:val="0"/>
          <w:bCs w:val="0"/>
          <w:sz w:val="24"/>
          <w:szCs w:val="24"/>
        </w:rPr>
        <w:t xml:space="preserve">See the Oct. 5, </w:t>
      </w:r>
      <w:proofErr w:type="gramStart"/>
      <w:r w:rsidRPr="00A30885">
        <w:rPr>
          <w:b w:val="0"/>
          <w:bCs w:val="0"/>
          <w:sz w:val="24"/>
          <w:szCs w:val="24"/>
        </w:rPr>
        <w:t>2018</w:t>
      </w:r>
      <w:proofErr w:type="gramEnd"/>
      <w:r w:rsidRPr="00A30885">
        <w:rPr>
          <w:b w:val="0"/>
          <w:bCs w:val="0"/>
          <w:sz w:val="24"/>
          <w:szCs w:val="24"/>
        </w:rPr>
        <w:t xml:space="preserve"> article, “Federal jury finds Martin sheriff's deputy made illegal seizure when taking crash bystander's phone.”</w:t>
      </w:r>
    </w:p>
    <w:p w14:paraId="559DB340" w14:textId="77777777" w:rsidR="0077274E" w:rsidRPr="0041276B" w:rsidRDefault="0077274E" w:rsidP="0077274E">
      <w:pPr>
        <w:ind w:left="720"/>
        <w:rPr>
          <w:rFonts w:ascii="Times New Roman" w:hAnsi="Times New Roman"/>
          <w:b/>
          <w:bCs/>
          <w:sz w:val="24"/>
          <w:szCs w:val="24"/>
        </w:rPr>
      </w:pPr>
      <w:r w:rsidRPr="00606988">
        <w:rPr>
          <w:rFonts w:ascii="Times New Roman" w:hAnsi="Times New Roman"/>
          <w:sz w:val="24"/>
          <w:szCs w:val="24"/>
        </w:rPr>
        <w:t xml:space="preserve">“The jury of six women and one man in U.S. District Court deliberated for only an hour Wednesday before deciding Deputy Steven Beatty, a 29-year veteran of the Martin County Sheriff’s Office, violated county resident James Crocker's civil rights when the deputy grabbed the traffic accident bystander's cellphone saying any photos taken are state’s evidence.”  </w:t>
      </w:r>
      <w:hyperlink r:id="rId261" w:history="1">
        <w:r w:rsidRPr="0041276B">
          <w:rPr>
            <w:rStyle w:val="Hyperlink"/>
            <w:rFonts w:ascii="Times New Roman" w:hAnsi="Times New Roman"/>
            <w:sz w:val="24"/>
            <w:szCs w:val="24"/>
          </w:rPr>
          <w:t>https://www.tcpalm.com/story/news/crime/st-lucie-county/2018/10/05/verdict-deputy-violated-martin-mans-civil-rights/1526605002/</w:t>
        </w:r>
      </w:hyperlink>
    </w:p>
    <w:p w14:paraId="6CD7BF9F" w14:textId="77777777" w:rsidR="0077274E" w:rsidRDefault="0077274E" w:rsidP="002B1283">
      <w:pPr>
        <w:rPr>
          <w:rFonts w:ascii="Arial Black" w:hAnsi="Arial Black"/>
          <w:b/>
          <w:sz w:val="24"/>
          <w:szCs w:val="24"/>
        </w:rPr>
      </w:pPr>
    </w:p>
    <w:p w14:paraId="71FB7BD7" w14:textId="77777777" w:rsidR="0077274E" w:rsidRDefault="0077274E" w:rsidP="002B1283">
      <w:pPr>
        <w:rPr>
          <w:rFonts w:ascii="Arial Black" w:hAnsi="Arial Black"/>
          <w:b/>
          <w:sz w:val="24"/>
          <w:szCs w:val="24"/>
        </w:rPr>
      </w:pPr>
    </w:p>
    <w:p w14:paraId="6B2D18B6" w14:textId="73C89B52" w:rsidR="000915C1" w:rsidRDefault="000915C1"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7</w:t>
      </w:r>
    </w:p>
    <w:p w14:paraId="526953FD" w14:textId="77777777" w:rsidR="000915C1" w:rsidRPr="00B4563E" w:rsidRDefault="000915C1" w:rsidP="000915C1">
      <w:pPr>
        <w:pStyle w:val="NoSpacing"/>
        <w:rPr>
          <w:rFonts w:ascii="Arial Black" w:hAnsi="Arial Black"/>
          <w:sz w:val="28"/>
          <w:szCs w:val="28"/>
        </w:rPr>
      </w:pPr>
      <w:r>
        <w:rPr>
          <w:rFonts w:ascii="Arial Black" w:hAnsi="Arial Black"/>
          <w:sz w:val="28"/>
          <w:szCs w:val="28"/>
        </w:rPr>
        <w:t>U.S. SUP. CT: WOMAN FLEEING POLICE IN CAR – 13 SHOTS BY PD – PLED “NO CONTEST” ASSAULT – CAN ALSO SUE PD</w:t>
      </w:r>
    </w:p>
    <w:p w14:paraId="2DC7F58A" w14:textId="77777777" w:rsidR="000915C1" w:rsidRDefault="000915C1" w:rsidP="000915C1">
      <w:pPr>
        <w:pStyle w:val="NoSpacing"/>
      </w:pPr>
    </w:p>
    <w:p w14:paraId="6B2386CC" w14:textId="77777777" w:rsidR="000915C1" w:rsidRDefault="000915C1" w:rsidP="000915C1">
      <w:pPr>
        <w:pStyle w:val="NoSpacing"/>
        <w:rPr>
          <w:rFonts w:ascii="Times New Roman" w:hAnsi="Times New Roman"/>
          <w:sz w:val="24"/>
          <w:szCs w:val="24"/>
        </w:rPr>
      </w:pPr>
      <w:r w:rsidRPr="00B4563E">
        <w:rPr>
          <w:rFonts w:ascii="Times New Roman" w:hAnsi="Times New Roman"/>
          <w:sz w:val="24"/>
          <w:szCs w:val="24"/>
        </w:rPr>
        <w:t xml:space="preserve">On March 25, 2021, </w:t>
      </w:r>
      <w:r w:rsidRPr="00B4563E">
        <w:rPr>
          <w:rFonts w:ascii="Times New Roman" w:hAnsi="Times New Roman"/>
          <w:sz w:val="24"/>
          <w:szCs w:val="24"/>
          <w:u w:val="single"/>
        </w:rPr>
        <w:t>Roxanne Torres v. Janice Madrid, et al</w:t>
      </w:r>
      <w:r>
        <w:rPr>
          <w:rFonts w:ascii="Times New Roman" w:hAnsi="Times New Roman"/>
          <w:sz w:val="24"/>
          <w:szCs w:val="24"/>
        </w:rPr>
        <w:t>., the U.S. Supreme Court (5 to 3) held that a female who fled from police in vehicle, after being shot in her left arm, who later pled no contest in state court to “assault on a police officer,” “aggravated fleeing from an officer,” and unlawful taking of a motor vehicle,” may still proceed with her lawsuit against federal court against the police officers for violation of 4</w:t>
      </w:r>
      <w:r w:rsidRPr="00CD32CB">
        <w:rPr>
          <w:rFonts w:ascii="Times New Roman" w:hAnsi="Times New Roman"/>
          <w:sz w:val="24"/>
          <w:szCs w:val="24"/>
          <w:vertAlign w:val="superscript"/>
        </w:rPr>
        <w:t>th</w:t>
      </w:r>
      <w:r>
        <w:rPr>
          <w:rFonts w:ascii="Times New Roman" w:hAnsi="Times New Roman"/>
          <w:sz w:val="24"/>
          <w:szCs w:val="24"/>
        </w:rPr>
        <w:t xml:space="preserve"> Amendment protection against unreasonable seizures.   </w:t>
      </w:r>
    </w:p>
    <w:p w14:paraId="4CF72DE1" w14:textId="77777777" w:rsidR="000915C1" w:rsidRDefault="000915C1" w:rsidP="000915C1">
      <w:pPr>
        <w:pStyle w:val="NoSpacing"/>
        <w:rPr>
          <w:rFonts w:ascii="Times New Roman" w:hAnsi="Times New Roman"/>
          <w:sz w:val="24"/>
          <w:szCs w:val="24"/>
        </w:rPr>
      </w:pPr>
    </w:p>
    <w:p w14:paraId="20A3B86D" w14:textId="1DB4DBD3" w:rsidR="000915C1" w:rsidRPr="000915C1" w:rsidRDefault="000915C1" w:rsidP="000915C1">
      <w:pPr>
        <w:pStyle w:val="NoSpacing"/>
        <w:ind w:left="720"/>
        <w:rPr>
          <w:rFonts w:ascii="Times New Roman" w:hAnsi="Times New Roman"/>
          <w:sz w:val="24"/>
          <w:szCs w:val="24"/>
        </w:rPr>
      </w:pPr>
      <w:bookmarkStart w:id="11" w:name="_Hlk68349465"/>
      <w:r>
        <w:rPr>
          <w:rFonts w:ascii="Times New Roman" w:hAnsi="Times New Roman"/>
          <w:sz w:val="24"/>
          <w:szCs w:val="24"/>
        </w:rPr>
        <w:t>MAJORITY: “</w:t>
      </w:r>
      <w:r w:rsidRPr="00B4563E">
        <w:rPr>
          <w:rFonts w:ascii="Times New Roman" w:hAnsi="Times New Roman"/>
          <w:sz w:val="24"/>
          <w:szCs w:val="24"/>
        </w:rPr>
        <w:t>The question in this case is whether a seizure occurs when an officer shoots someone who temporarily eludes capture after the shooting. The answer is yes: The application of physical force to the body of a person with intent to restrain is a seizure, even if</w:t>
      </w:r>
      <w:r>
        <w:rPr>
          <w:rFonts w:ascii="Times New Roman" w:hAnsi="Times New Roman"/>
          <w:sz w:val="24"/>
          <w:szCs w:val="24"/>
        </w:rPr>
        <w:t xml:space="preserve"> </w:t>
      </w:r>
      <w:r w:rsidRPr="00B4563E">
        <w:rPr>
          <w:rFonts w:ascii="Times New Roman" w:hAnsi="Times New Roman"/>
          <w:sz w:val="24"/>
          <w:szCs w:val="24"/>
        </w:rPr>
        <w:t xml:space="preserve">the force </w:t>
      </w:r>
      <w:proofErr w:type="gramStart"/>
      <w:r w:rsidRPr="00B4563E">
        <w:rPr>
          <w:rFonts w:ascii="Times New Roman" w:hAnsi="Times New Roman"/>
          <w:sz w:val="24"/>
          <w:szCs w:val="24"/>
        </w:rPr>
        <w:t>does not succeed</w:t>
      </w:r>
      <w:proofErr w:type="gramEnd"/>
      <w:r w:rsidRPr="00B4563E">
        <w:rPr>
          <w:rFonts w:ascii="Times New Roman" w:hAnsi="Times New Roman"/>
          <w:sz w:val="24"/>
          <w:szCs w:val="24"/>
        </w:rPr>
        <w:t xml:space="preserve"> in subduing the </w:t>
      </w:r>
      <w:proofErr w:type="gramStart"/>
      <w:r w:rsidRPr="00B4563E">
        <w:rPr>
          <w:rFonts w:ascii="Times New Roman" w:hAnsi="Times New Roman"/>
          <w:sz w:val="24"/>
          <w:szCs w:val="24"/>
        </w:rPr>
        <w:t>person.</w:t>
      </w:r>
      <w:r>
        <w:rPr>
          <w:rFonts w:ascii="Times New Roman" w:hAnsi="Times New Roman"/>
          <w:sz w:val="24"/>
          <w:szCs w:val="24"/>
        </w:rPr>
        <w:t>”</w:t>
      </w:r>
      <w:proofErr w:type="gramEnd"/>
      <w:r>
        <w:rPr>
          <w:rFonts w:ascii="Times New Roman" w:hAnsi="Times New Roman"/>
          <w:sz w:val="24"/>
          <w:szCs w:val="24"/>
        </w:rPr>
        <w:t xml:space="preserve"> </w:t>
      </w:r>
      <w:hyperlink r:id="rId262" w:history="1">
        <w:r w:rsidRPr="000915C1">
          <w:rPr>
            <w:rStyle w:val="Hyperlink"/>
            <w:rFonts w:ascii="Times New Roman" w:hAnsi="Times New Roman"/>
            <w:sz w:val="24"/>
            <w:szCs w:val="24"/>
          </w:rPr>
          <w:t>https://www.supremecourt.gov/opinions/20pdf/19-292_21p3.pdf</w:t>
        </w:r>
      </w:hyperlink>
      <w:r w:rsidRPr="000915C1">
        <w:rPr>
          <w:rFonts w:ascii="Times New Roman" w:hAnsi="Times New Roman"/>
          <w:sz w:val="24"/>
          <w:szCs w:val="24"/>
        </w:rPr>
        <w:t xml:space="preserve"> </w:t>
      </w:r>
    </w:p>
    <w:p w14:paraId="627A3A74" w14:textId="77777777" w:rsidR="000915C1" w:rsidRDefault="000915C1" w:rsidP="000915C1">
      <w:pPr>
        <w:pStyle w:val="NoSpacing"/>
        <w:ind w:left="720"/>
        <w:rPr>
          <w:rFonts w:ascii="Times New Roman" w:hAnsi="Times New Roman"/>
          <w:sz w:val="24"/>
          <w:szCs w:val="24"/>
        </w:rPr>
      </w:pPr>
    </w:p>
    <w:p w14:paraId="0621552D" w14:textId="7BFD1A21" w:rsidR="000915C1" w:rsidRDefault="000915C1" w:rsidP="000915C1">
      <w:pPr>
        <w:pStyle w:val="NoSpacing"/>
        <w:ind w:left="720"/>
        <w:rPr>
          <w:rFonts w:ascii="Times New Roman" w:eastAsia="Times New Roman" w:hAnsi="Times New Roman"/>
          <w:b/>
          <w:bCs/>
          <w:sz w:val="24"/>
          <w:szCs w:val="24"/>
        </w:rPr>
      </w:pPr>
      <w:r w:rsidRPr="00D225BD">
        <w:rPr>
          <w:rFonts w:ascii="Times New Roman" w:hAnsi="Times New Roman"/>
          <w:sz w:val="24"/>
          <w:szCs w:val="24"/>
        </w:rPr>
        <w:t xml:space="preserve">DISSENT: “A fleeing suspect briefly touched by pursuing officers may have a claim. But a suspect who evades a hail of bullets unscathed, or one who endures a series of flash-bang grenades untouched, is out of luck. That distinction is no less </w:t>
      </w:r>
      <w:r>
        <w:rPr>
          <w:rFonts w:ascii="Times New Roman" w:hAnsi="Times New Roman"/>
          <w:sz w:val="24"/>
          <w:szCs w:val="24"/>
        </w:rPr>
        <w:t>‘</w:t>
      </w:r>
      <w:r w:rsidRPr="00D225BD">
        <w:rPr>
          <w:rFonts w:ascii="Times New Roman" w:hAnsi="Times New Roman"/>
          <w:sz w:val="24"/>
          <w:szCs w:val="24"/>
        </w:rPr>
        <w:t>artificial</w:t>
      </w:r>
      <w:r>
        <w:rPr>
          <w:rFonts w:ascii="Times New Roman" w:hAnsi="Times New Roman"/>
          <w:sz w:val="24"/>
          <w:szCs w:val="24"/>
        </w:rPr>
        <w:t>’</w:t>
      </w:r>
      <w:r w:rsidRPr="00D225BD">
        <w:rPr>
          <w:rFonts w:ascii="Times New Roman" w:hAnsi="Times New Roman"/>
          <w:sz w:val="24"/>
          <w:szCs w:val="24"/>
        </w:rPr>
        <w:t xml:space="preserve"> than the one the law has recognized for centuries. And the majority’s new rule promises such scarce relief that it can hardly claim more sensitivity to </w:t>
      </w:r>
      <w:r>
        <w:rPr>
          <w:rFonts w:ascii="Times New Roman" w:hAnsi="Times New Roman"/>
          <w:sz w:val="24"/>
          <w:szCs w:val="24"/>
        </w:rPr>
        <w:t>‘</w:t>
      </w:r>
      <w:r w:rsidRPr="00D225BD">
        <w:rPr>
          <w:rFonts w:ascii="Times New Roman" w:hAnsi="Times New Roman"/>
          <w:sz w:val="24"/>
          <w:szCs w:val="24"/>
        </w:rPr>
        <w:t>personal security</w:t>
      </w:r>
      <w:r>
        <w:rPr>
          <w:rFonts w:ascii="Times New Roman" w:hAnsi="Times New Roman"/>
          <w:sz w:val="24"/>
          <w:szCs w:val="24"/>
        </w:rPr>
        <w:t xml:space="preserve">’ </w:t>
      </w:r>
      <w:r w:rsidRPr="00D225BD">
        <w:rPr>
          <w:rFonts w:ascii="Times New Roman" w:hAnsi="Times New Roman"/>
          <w:sz w:val="24"/>
          <w:szCs w:val="24"/>
        </w:rPr>
        <w:t xml:space="preserve">than the rule the Constitution has long </w:t>
      </w:r>
      <w:proofErr w:type="gramStart"/>
      <w:r w:rsidRPr="00D225BD">
        <w:rPr>
          <w:rFonts w:ascii="Times New Roman" w:hAnsi="Times New Roman"/>
          <w:sz w:val="24"/>
          <w:szCs w:val="24"/>
        </w:rPr>
        <w:t>enshrined.</w:t>
      </w:r>
      <w:r>
        <w:rPr>
          <w:rFonts w:ascii="Times New Roman" w:eastAsia="Times New Roman" w:hAnsi="Times New Roman"/>
          <w:b/>
          <w:bCs/>
          <w:sz w:val="24"/>
          <w:szCs w:val="24"/>
        </w:rPr>
        <w:t>”</w:t>
      </w:r>
      <w:proofErr w:type="gramEnd"/>
      <w:r>
        <w:rPr>
          <w:rFonts w:ascii="Times New Roman" w:eastAsia="Times New Roman" w:hAnsi="Times New Roman"/>
          <w:b/>
          <w:bCs/>
          <w:sz w:val="24"/>
          <w:szCs w:val="24"/>
        </w:rPr>
        <w:t xml:space="preserve"> </w:t>
      </w:r>
    </w:p>
    <w:p w14:paraId="37E06D08" w14:textId="4EE56772" w:rsidR="000915C1" w:rsidRDefault="000915C1" w:rsidP="000915C1">
      <w:pPr>
        <w:pStyle w:val="NoSpacing"/>
        <w:ind w:left="1440"/>
        <w:rPr>
          <w:rFonts w:ascii="Times New Roman" w:hAnsi="Times New Roman"/>
          <w:sz w:val="24"/>
          <w:szCs w:val="24"/>
        </w:rPr>
      </w:pPr>
    </w:p>
    <w:p w14:paraId="309DB84F" w14:textId="77777777" w:rsidR="000915C1" w:rsidRPr="00CA7A75" w:rsidRDefault="000915C1" w:rsidP="000915C1">
      <w:pPr>
        <w:spacing w:before="100" w:beforeAutospacing="1" w:after="100" w:afterAutospacing="1" w:line="240" w:lineRule="auto"/>
        <w:rPr>
          <w:rFonts w:ascii="Times New Roman" w:hAnsi="Times New Roman"/>
          <w:b/>
          <w:bCs/>
          <w:sz w:val="24"/>
          <w:szCs w:val="24"/>
        </w:rPr>
      </w:pPr>
      <w:r w:rsidRPr="00CA7A75">
        <w:rPr>
          <w:rFonts w:ascii="Times New Roman" w:hAnsi="Times New Roman"/>
          <w:b/>
          <w:bCs/>
          <w:sz w:val="24"/>
          <w:szCs w:val="24"/>
        </w:rPr>
        <w:t>Legal Lesson Learned:</w:t>
      </w:r>
      <w:r>
        <w:rPr>
          <w:rFonts w:ascii="Times New Roman" w:hAnsi="Times New Roman"/>
          <w:b/>
          <w:bCs/>
          <w:sz w:val="24"/>
          <w:szCs w:val="24"/>
        </w:rPr>
        <w:t xml:space="preserve"> The Majority decision certainly </w:t>
      </w:r>
      <w:proofErr w:type="gramStart"/>
      <w:r>
        <w:rPr>
          <w:rFonts w:ascii="Times New Roman" w:hAnsi="Times New Roman"/>
          <w:b/>
          <w:bCs/>
          <w:sz w:val="24"/>
          <w:szCs w:val="24"/>
        </w:rPr>
        <w:t>opens up</w:t>
      </w:r>
      <w:proofErr w:type="gramEnd"/>
      <w:r>
        <w:rPr>
          <w:rFonts w:ascii="Times New Roman" w:hAnsi="Times New Roman"/>
          <w:b/>
          <w:bCs/>
          <w:sz w:val="24"/>
          <w:szCs w:val="24"/>
        </w:rPr>
        <w:t xml:space="preserve"> Federal courts to more lawsuits for alleged violation of Constitutional rights, including plaintiffs who have pled guilty or no contest to assaulting the police officers they are now suing. </w:t>
      </w:r>
    </w:p>
    <w:p w14:paraId="2DB47E80" w14:textId="77777777" w:rsidR="000915C1" w:rsidRDefault="000915C1" w:rsidP="000915C1">
      <w:pPr>
        <w:pStyle w:val="Heading1"/>
        <w:ind w:left="720"/>
        <w:rPr>
          <w:b w:val="0"/>
          <w:bCs w:val="0"/>
          <w:sz w:val="24"/>
          <w:szCs w:val="24"/>
        </w:rPr>
      </w:pPr>
      <w:r w:rsidRPr="00D406C0">
        <w:rPr>
          <w:b w:val="0"/>
          <w:bCs w:val="0"/>
          <w:sz w:val="24"/>
          <w:szCs w:val="24"/>
        </w:rPr>
        <w:t xml:space="preserve">Note: Case </w:t>
      </w:r>
      <w:proofErr w:type="gramStart"/>
      <w:r w:rsidRPr="00D406C0">
        <w:rPr>
          <w:b w:val="0"/>
          <w:bCs w:val="0"/>
          <w:sz w:val="24"/>
          <w:szCs w:val="24"/>
        </w:rPr>
        <w:t>made</w:t>
      </w:r>
      <w:proofErr w:type="gramEnd"/>
      <w:r w:rsidRPr="00D406C0">
        <w:rPr>
          <w:b w:val="0"/>
          <w:bCs w:val="0"/>
          <w:sz w:val="24"/>
          <w:szCs w:val="24"/>
        </w:rPr>
        <w:t xml:space="preserve"> national news</w:t>
      </w:r>
      <w:r>
        <w:rPr>
          <w:b w:val="0"/>
          <w:bCs w:val="0"/>
          <w:sz w:val="24"/>
          <w:szCs w:val="24"/>
        </w:rPr>
        <w:t>.</w:t>
      </w:r>
    </w:p>
    <w:p w14:paraId="0065B923" w14:textId="77777777" w:rsidR="000915C1" w:rsidRPr="00840EF8" w:rsidRDefault="000915C1" w:rsidP="000915C1">
      <w:pPr>
        <w:pStyle w:val="NoSpacing"/>
        <w:ind w:left="720"/>
        <w:rPr>
          <w:rFonts w:ascii="Times New Roman" w:hAnsi="Times New Roman"/>
          <w:sz w:val="24"/>
          <w:szCs w:val="24"/>
        </w:rPr>
      </w:pPr>
      <w:r w:rsidRPr="00840EF8">
        <w:rPr>
          <w:rFonts w:ascii="Times New Roman" w:hAnsi="Times New Roman"/>
          <w:sz w:val="24"/>
          <w:szCs w:val="24"/>
        </w:rPr>
        <w:t xml:space="preserve">“Supreme Court Dips Gingerly </w:t>
      </w:r>
      <w:proofErr w:type="gramStart"/>
      <w:r w:rsidRPr="00840EF8">
        <w:rPr>
          <w:rFonts w:ascii="Times New Roman" w:hAnsi="Times New Roman"/>
          <w:sz w:val="24"/>
          <w:szCs w:val="24"/>
        </w:rPr>
        <w:t>Into</w:t>
      </w:r>
      <w:proofErr w:type="gramEnd"/>
      <w:r w:rsidRPr="00840EF8">
        <w:rPr>
          <w:rFonts w:ascii="Times New Roman" w:hAnsi="Times New Roman"/>
          <w:sz w:val="24"/>
          <w:szCs w:val="24"/>
        </w:rPr>
        <w:t xml:space="preserve"> Roiling Police Misconduct Waters.” (March 25, 2021) </w:t>
      </w:r>
      <w:hyperlink r:id="rId263" w:history="1">
        <w:r w:rsidRPr="00840EF8">
          <w:rPr>
            <w:rStyle w:val="Hyperlink"/>
            <w:sz w:val="24"/>
            <w:szCs w:val="24"/>
          </w:rPr>
          <w:t>https://www.npr.org/2021/03/25/981297231/supreme-court-dips-gingerly-into-roiling-police-misconduct-waters</w:t>
        </w:r>
      </w:hyperlink>
      <w:r w:rsidRPr="00840EF8">
        <w:rPr>
          <w:rFonts w:ascii="Times New Roman" w:hAnsi="Times New Roman"/>
          <w:sz w:val="24"/>
          <w:szCs w:val="24"/>
        </w:rPr>
        <w:t xml:space="preserve"> </w:t>
      </w:r>
    </w:p>
    <w:p w14:paraId="597C35E0" w14:textId="77777777" w:rsidR="000915C1" w:rsidRDefault="000915C1" w:rsidP="000915C1">
      <w:pPr>
        <w:pStyle w:val="NoSpacing"/>
        <w:ind w:left="720"/>
      </w:pPr>
    </w:p>
    <w:p w14:paraId="0D2BBB21" w14:textId="77777777" w:rsidR="000915C1" w:rsidRPr="00D406C0" w:rsidRDefault="000915C1" w:rsidP="000915C1">
      <w:pPr>
        <w:pStyle w:val="NoSpacing"/>
        <w:ind w:left="720"/>
        <w:rPr>
          <w:rFonts w:ascii="Times New Roman" w:hAnsi="Times New Roman"/>
          <w:sz w:val="24"/>
          <w:szCs w:val="24"/>
        </w:rPr>
      </w:pPr>
      <w:r w:rsidRPr="00D406C0">
        <w:rPr>
          <w:rFonts w:ascii="Times New Roman" w:hAnsi="Times New Roman"/>
          <w:sz w:val="24"/>
          <w:szCs w:val="24"/>
        </w:rPr>
        <w:t xml:space="preserve">“'Nothing subtle about a bullet': Supreme Court says police 'seizure' includes shots fired at fleeing suspect.” </w:t>
      </w:r>
      <w:r>
        <w:rPr>
          <w:rFonts w:ascii="Times New Roman" w:hAnsi="Times New Roman"/>
          <w:sz w:val="24"/>
          <w:szCs w:val="24"/>
        </w:rPr>
        <w:t xml:space="preserve">(March 25, 2021) </w:t>
      </w:r>
      <w:hyperlink r:id="rId264" w:history="1">
        <w:r w:rsidRPr="00D60E44">
          <w:rPr>
            <w:rStyle w:val="Hyperlink"/>
            <w:sz w:val="24"/>
            <w:szCs w:val="24"/>
          </w:rPr>
          <w:t>https://www.usatoday.com/story/news/politics/2021/03/25/supreme-court-police-seizure-includes-shots-fired-fleeing-suspect/6995659002/</w:t>
        </w:r>
      </w:hyperlink>
      <w:r w:rsidRPr="00D406C0">
        <w:rPr>
          <w:rFonts w:ascii="Times New Roman" w:hAnsi="Times New Roman"/>
          <w:sz w:val="24"/>
          <w:szCs w:val="24"/>
        </w:rPr>
        <w:t xml:space="preserve"> </w:t>
      </w:r>
    </w:p>
    <w:p w14:paraId="61B6A04D" w14:textId="77777777" w:rsidR="000915C1" w:rsidRPr="00D406C0" w:rsidRDefault="000915C1" w:rsidP="000915C1">
      <w:pPr>
        <w:pStyle w:val="Heading1"/>
        <w:ind w:left="720"/>
        <w:rPr>
          <w:b w:val="0"/>
          <w:bCs w:val="0"/>
          <w:sz w:val="24"/>
          <w:szCs w:val="24"/>
        </w:rPr>
      </w:pPr>
      <w:r w:rsidRPr="00D406C0">
        <w:rPr>
          <w:b w:val="0"/>
          <w:bCs w:val="0"/>
          <w:sz w:val="24"/>
          <w:szCs w:val="24"/>
        </w:rPr>
        <w:t xml:space="preserve"> “Supreme Court sides with New Mexico woman shot by police while fleeing.” </w:t>
      </w:r>
      <w:r>
        <w:rPr>
          <w:b w:val="0"/>
          <w:bCs w:val="0"/>
          <w:sz w:val="24"/>
          <w:szCs w:val="24"/>
        </w:rPr>
        <w:t xml:space="preserve">(March 25, 2021) </w:t>
      </w:r>
      <w:hyperlink r:id="rId265" w:history="1">
        <w:r w:rsidRPr="00D60E44">
          <w:rPr>
            <w:rStyle w:val="Hyperlink"/>
            <w:sz w:val="24"/>
            <w:szCs w:val="24"/>
          </w:rPr>
          <w:t>https://ktla.com/news/nationworld/supreme-court-sides-with-new-mexico-woman-shot-by-police-while-fleeing/</w:t>
        </w:r>
      </w:hyperlink>
      <w:r w:rsidRPr="00D406C0">
        <w:rPr>
          <w:b w:val="0"/>
          <w:bCs w:val="0"/>
          <w:sz w:val="24"/>
          <w:szCs w:val="24"/>
        </w:rPr>
        <w:t xml:space="preserve"> </w:t>
      </w:r>
    </w:p>
    <w:p w14:paraId="51BE60B2" w14:textId="77777777" w:rsidR="000915C1" w:rsidRDefault="000915C1" w:rsidP="000915C1">
      <w:pPr>
        <w:pStyle w:val="NoSpacing"/>
        <w:ind w:left="1440"/>
        <w:rPr>
          <w:rFonts w:ascii="Times New Roman" w:hAnsi="Times New Roman"/>
          <w:sz w:val="24"/>
          <w:szCs w:val="24"/>
        </w:rPr>
      </w:pPr>
    </w:p>
    <w:bookmarkEnd w:id="11"/>
    <w:p w14:paraId="527114F4" w14:textId="77777777" w:rsidR="000915C1" w:rsidRDefault="000915C1" w:rsidP="002B1283">
      <w:pPr>
        <w:rPr>
          <w:rFonts w:ascii="Arial Black" w:hAnsi="Arial Black"/>
          <w:b/>
          <w:sz w:val="24"/>
          <w:szCs w:val="24"/>
        </w:rPr>
      </w:pPr>
    </w:p>
    <w:p w14:paraId="065E246C" w14:textId="4DC824D8" w:rsidR="000915C1" w:rsidRDefault="000915C1"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6</w:t>
      </w:r>
    </w:p>
    <w:p w14:paraId="772298AE" w14:textId="77777777" w:rsidR="000915C1" w:rsidRPr="00AA0D4F" w:rsidRDefault="000915C1" w:rsidP="000915C1">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WI:  PROPERTY OWNER BURNING DEBRIS WITHOUT PERMIT - FOREST PROTECTION AREA – CITATION UPHELD </w:t>
      </w:r>
    </w:p>
    <w:p w14:paraId="05484C04" w14:textId="77777777" w:rsidR="000915C1" w:rsidRDefault="000915C1" w:rsidP="000915C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4, 2021, in </w:t>
      </w:r>
      <w:r w:rsidRPr="00CE7812">
        <w:rPr>
          <w:rFonts w:ascii="Times New Roman" w:eastAsia="Times New Roman" w:hAnsi="Times New Roman"/>
          <w:sz w:val="24"/>
          <w:szCs w:val="24"/>
          <w:u w:val="single"/>
        </w:rPr>
        <w:t>State of Wisconsin v. Greg D. Griswold</w:t>
      </w:r>
      <w:r>
        <w:rPr>
          <w:rFonts w:ascii="Times New Roman" w:eastAsia="Times New Roman" w:hAnsi="Times New Roman"/>
          <w:sz w:val="24"/>
          <w:szCs w:val="24"/>
        </w:rPr>
        <w:t xml:space="preserve">, the State of Wisconsin Court of Appeals (District IV) held [one judge decision] that the trial court properly concluded the property owner did not show he was burning debris from his house, that had been destroyed by fire, for the purpose of warmth.  The Appeals judge agreed with the trial judge – he was burning wood at 8 pm on May 4 not to keep warm; he was simply avoiding cost of taking debris to the dump.  </w:t>
      </w:r>
    </w:p>
    <w:p w14:paraId="4198F238" w14:textId="77777777" w:rsidR="000915C1" w:rsidRDefault="000915C1" w:rsidP="000915C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AA0D4F">
        <w:rPr>
          <w:rFonts w:ascii="Times New Roman" w:eastAsia="Times New Roman" w:hAnsi="Times New Roman"/>
          <w:sz w:val="24"/>
          <w:szCs w:val="24"/>
        </w:rPr>
        <w:t>Greg Griswold appeals pro se from a judgment of conviction of a civil forfeiture, which was entered after the circuit court found him</w:t>
      </w:r>
      <w:r>
        <w:rPr>
          <w:rFonts w:ascii="Times New Roman" w:eastAsia="Times New Roman" w:hAnsi="Times New Roman"/>
          <w:sz w:val="24"/>
          <w:szCs w:val="24"/>
        </w:rPr>
        <w:t xml:space="preserve"> </w:t>
      </w:r>
      <w:r w:rsidRPr="00AA0D4F">
        <w:rPr>
          <w:rFonts w:ascii="Times New Roman" w:eastAsia="Times New Roman" w:hAnsi="Times New Roman"/>
          <w:sz w:val="24"/>
          <w:szCs w:val="24"/>
        </w:rPr>
        <w:t>guilty of violating WIS. STAT. § 26.12(5)(b). That statute prohibits setting unpermitted fires in certain areas of the state, but it contains an exception for fires that are set "for warming the person." Griswold contends that his fire fits within this exception, but I conclude that the trial evidence is sufficient to sustain the court's finding that it did not. Accordingly, I affirm.</w:t>
      </w:r>
      <w:r>
        <w:rPr>
          <w:rFonts w:ascii="Times New Roman" w:eastAsia="Times New Roman" w:hAnsi="Times New Roman"/>
          <w:sz w:val="24"/>
          <w:szCs w:val="24"/>
        </w:rPr>
        <w:t xml:space="preserve">” </w:t>
      </w:r>
      <w:hyperlink r:id="rId266" w:history="1">
        <w:r w:rsidRPr="00B568EC">
          <w:rPr>
            <w:rStyle w:val="Hyperlink"/>
            <w:rFonts w:ascii="Times New Roman" w:eastAsia="Times New Roman" w:hAnsi="Times New Roman"/>
            <w:sz w:val="24"/>
            <w:szCs w:val="24"/>
          </w:rPr>
          <w:t>https://www.wicourts.gov/ca/opinion/DisplayDocument.pdf?content=pdf&amp;seqNo=342440</w:t>
        </w:r>
      </w:hyperlink>
      <w:r>
        <w:rPr>
          <w:rFonts w:ascii="Times New Roman" w:eastAsia="Times New Roman" w:hAnsi="Times New Roman"/>
          <w:sz w:val="24"/>
          <w:szCs w:val="24"/>
        </w:rPr>
        <w:t xml:space="preserve"> </w:t>
      </w:r>
    </w:p>
    <w:p w14:paraId="2AFBBB8F" w14:textId="77777777" w:rsidR="000915C1" w:rsidRPr="006D6C21" w:rsidRDefault="000915C1" w:rsidP="000915C1">
      <w:pPr>
        <w:spacing w:before="100" w:beforeAutospacing="1" w:after="100" w:afterAutospacing="1" w:line="240" w:lineRule="auto"/>
        <w:rPr>
          <w:rFonts w:ascii="Times New Roman" w:eastAsia="Times New Roman" w:hAnsi="Times New Roman"/>
          <w:b/>
          <w:bCs/>
          <w:sz w:val="24"/>
          <w:szCs w:val="24"/>
        </w:rPr>
      </w:pPr>
      <w:r w:rsidRPr="006D6C21">
        <w:rPr>
          <w:rFonts w:ascii="Times New Roman" w:hAnsi="Times New Roman"/>
          <w:b/>
          <w:bCs/>
          <w:sz w:val="24"/>
          <w:szCs w:val="24"/>
        </w:rPr>
        <w:t>Legal Lesson Learned:</w:t>
      </w:r>
      <w:r>
        <w:rPr>
          <w:rFonts w:ascii="Times New Roman" w:hAnsi="Times New Roman"/>
          <w:b/>
          <w:bCs/>
          <w:sz w:val="24"/>
          <w:szCs w:val="24"/>
        </w:rPr>
        <w:t xml:space="preserve"> Citation upheld; good work by the Fire Chief and the Department of Natural Resources. </w:t>
      </w:r>
    </w:p>
    <w:p w14:paraId="16572B41" w14:textId="79D07F7A" w:rsidR="000915C1" w:rsidRPr="00CE7812" w:rsidRDefault="000915C1" w:rsidP="000915C1">
      <w:pPr>
        <w:spacing w:before="100" w:beforeAutospacing="1" w:after="100" w:afterAutospacing="1" w:line="240" w:lineRule="auto"/>
        <w:ind w:left="720"/>
        <w:rPr>
          <w:rFonts w:ascii="Times New Roman" w:eastAsia="Times New Roman" w:hAnsi="Times New Roman"/>
          <w:sz w:val="24"/>
          <w:szCs w:val="24"/>
        </w:rPr>
      </w:pPr>
      <w:bookmarkStart w:id="12" w:name="_Hlk68349328"/>
      <w:r>
        <w:rPr>
          <w:rFonts w:ascii="Times New Roman" w:eastAsia="Times New Roman" w:hAnsi="Times New Roman"/>
          <w:sz w:val="24"/>
          <w:szCs w:val="24"/>
        </w:rPr>
        <w:t>Note: “</w:t>
      </w:r>
      <w:r w:rsidRPr="00CE7812">
        <w:rPr>
          <w:rFonts w:ascii="Times New Roman" w:hAnsi="Times New Roman"/>
          <w:sz w:val="24"/>
          <w:szCs w:val="24"/>
        </w:rPr>
        <w:t>There was also testimony that, even if Griswold had had a permit, the fire would have violated the statewide burn ban that was in effect at the time due to the COVID-19 pandemic. We address this testimony no further, since neither the citation that was issued nor the circuit court's judgment of conviction were based on any statewide burn ban. Both were based on a violation of WIS. STAT. § 26.12(5)(b).</w:t>
      </w:r>
      <w:r>
        <w:rPr>
          <w:rFonts w:ascii="Times New Roman" w:hAnsi="Times New Roman"/>
          <w:sz w:val="24"/>
          <w:szCs w:val="24"/>
        </w:rPr>
        <w:t xml:space="preserve">”  </w:t>
      </w:r>
      <w:hyperlink r:id="rId267" w:history="1">
        <w:r w:rsidRPr="00B568EC">
          <w:rPr>
            <w:rStyle w:val="Hyperlink"/>
            <w:rFonts w:ascii="Times New Roman" w:eastAsia="Times New Roman" w:hAnsi="Times New Roman"/>
            <w:sz w:val="24"/>
            <w:szCs w:val="24"/>
          </w:rPr>
          <w:t>https://www.wicourts.gov/ca/opinion/DisplayDocument.pdf?content=pdf&amp;seqNo=342440</w:t>
        </w:r>
      </w:hyperlink>
    </w:p>
    <w:bookmarkEnd w:id="12"/>
    <w:p w14:paraId="763F5812" w14:textId="77777777" w:rsidR="000915C1" w:rsidRDefault="000915C1" w:rsidP="002B1283">
      <w:pPr>
        <w:rPr>
          <w:rFonts w:ascii="Arial Black" w:hAnsi="Arial Black"/>
          <w:b/>
          <w:sz w:val="24"/>
          <w:szCs w:val="24"/>
        </w:rPr>
      </w:pPr>
    </w:p>
    <w:p w14:paraId="1AB63588" w14:textId="77777777" w:rsidR="000915C1" w:rsidRDefault="000915C1" w:rsidP="002B1283">
      <w:pPr>
        <w:rPr>
          <w:rFonts w:ascii="Arial Black" w:hAnsi="Arial Black"/>
          <w:b/>
          <w:sz w:val="24"/>
          <w:szCs w:val="24"/>
        </w:rPr>
      </w:pPr>
    </w:p>
    <w:p w14:paraId="2046FA60" w14:textId="26F89856" w:rsidR="00CD5950" w:rsidRDefault="00CD5950"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5</w:t>
      </w:r>
    </w:p>
    <w:p w14:paraId="306E032D" w14:textId="77777777" w:rsidR="00CD5950" w:rsidRPr="001D0C68" w:rsidRDefault="00CD5950" w:rsidP="00CD595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IA: CITY CODE OFFICER NOT PROTECTED 1</w:t>
      </w:r>
      <w:r w:rsidRPr="00EA2DE7">
        <w:rPr>
          <w:rFonts w:ascii="Arial Black" w:eastAsia="Times New Roman" w:hAnsi="Arial Black"/>
          <w:b/>
          <w:bCs/>
          <w:sz w:val="28"/>
          <w:szCs w:val="28"/>
          <w:vertAlign w:val="superscript"/>
        </w:rPr>
        <w:t>St</w:t>
      </w:r>
      <w:r>
        <w:rPr>
          <w:rFonts w:ascii="Arial Black" w:eastAsia="Times New Roman" w:hAnsi="Arial Black"/>
          <w:b/>
          <w:bCs/>
          <w:sz w:val="28"/>
          <w:szCs w:val="28"/>
        </w:rPr>
        <w:t xml:space="preserve"> AMENDMENT “FREEDOM OF SPEECH” – OFFICIAL DUTIES - FIRED   </w:t>
      </w:r>
    </w:p>
    <w:p w14:paraId="077CA167" w14:textId="77777777" w:rsidR="00CD5950" w:rsidRDefault="00CD5950" w:rsidP="00CD595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Feb. 24, 2021, in </w:t>
      </w:r>
      <w:r w:rsidRPr="0019521C">
        <w:rPr>
          <w:rFonts w:ascii="Times New Roman" w:eastAsia="Times New Roman" w:hAnsi="Times New Roman"/>
          <w:sz w:val="24"/>
          <w:szCs w:val="24"/>
          <w:u w:val="single"/>
        </w:rPr>
        <w:t>David R. Christensen v. City of Sergeant Bluff</w:t>
      </w:r>
      <w:r>
        <w:rPr>
          <w:rFonts w:ascii="Times New Roman" w:eastAsia="Times New Roman" w:hAnsi="Times New Roman"/>
          <w:sz w:val="24"/>
          <w:szCs w:val="24"/>
        </w:rPr>
        <w:t xml:space="preserve">, U.S. District Court Chief Judge Leonard T. Strand, U.S. District Court for the Northern District of Iowa (Western District), granted the city’s motion for summary judgment.   City was installing underground wiring to 220 duplex houses and agreed to not require any city permits. State Fire Marshall informed the city that all meter installations had to be approved by a state inspector, since plaintiff didn’t have electrical certification.   Plaintiff is not protected under First Amendment freedom of speech since his job duties include reporting possible code violations to state officials.  Case </w:t>
      </w:r>
      <w:proofErr w:type="gramStart"/>
      <w:r>
        <w:rPr>
          <w:rFonts w:ascii="Times New Roman" w:eastAsia="Times New Roman" w:hAnsi="Times New Roman"/>
          <w:sz w:val="24"/>
          <w:szCs w:val="24"/>
        </w:rPr>
        <w:t>remanded</w:t>
      </w:r>
      <w:proofErr w:type="gramEnd"/>
      <w:r>
        <w:rPr>
          <w:rFonts w:ascii="Times New Roman" w:eastAsia="Times New Roman" w:hAnsi="Times New Roman"/>
          <w:sz w:val="24"/>
          <w:szCs w:val="24"/>
        </w:rPr>
        <w:t xml:space="preserve"> to state court on his claims of violation of Iowa whistleblower and state code enforcement laws. </w:t>
      </w:r>
    </w:p>
    <w:p w14:paraId="5348ADE8" w14:textId="77777777" w:rsidR="00CD5950" w:rsidRPr="00710662" w:rsidRDefault="00CD5950" w:rsidP="00CD5950">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“[S]</w:t>
      </w:r>
      <w:r w:rsidRPr="00710662">
        <w:rPr>
          <w:rFonts w:ascii="Times New Roman" w:hAnsi="Times New Roman"/>
          <w:sz w:val="24"/>
          <w:szCs w:val="24"/>
        </w:rPr>
        <w:t xml:space="preserve">ee </w:t>
      </w:r>
      <w:r>
        <w:rPr>
          <w:rFonts w:ascii="Times New Roman" w:hAnsi="Times New Roman"/>
          <w:sz w:val="24"/>
          <w:szCs w:val="24"/>
        </w:rPr>
        <w:t xml:space="preserve">also </w:t>
      </w:r>
      <w:r w:rsidRPr="00710662">
        <w:rPr>
          <w:rFonts w:ascii="Times New Roman" w:hAnsi="Times New Roman"/>
          <w:sz w:val="24"/>
          <w:szCs w:val="24"/>
        </w:rPr>
        <w:t>Garcetti v. Ceballos, 547 U.S. 410, 421 (2006) "We hold that when public employees make statements pursuant to their official duties, the employees are not speaking as citizens for first Amendment purposes, and the Constitution does not insulate their communications from employer discipline."</w:t>
      </w:r>
    </w:p>
    <w:p w14:paraId="26446DAE" w14:textId="77777777" w:rsidR="00CD5950" w:rsidRPr="00BE4A1E" w:rsidRDefault="00CD5950" w:rsidP="00CD5950">
      <w:pPr>
        <w:spacing w:before="100" w:beforeAutospacing="1" w:after="100" w:afterAutospacing="1" w:line="240" w:lineRule="auto"/>
        <w:ind w:left="720"/>
        <w:rPr>
          <w:rFonts w:ascii="Times New Roman" w:eastAsia="Times New Roman" w:hAnsi="Times New Roman"/>
          <w:sz w:val="24"/>
          <w:szCs w:val="24"/>
        </w:rPr>
      </w:pPr>
      <w:r w:rsidRPr="00BE4A1E">
        <w:rPr>
          <w:rFonts w:ascii="Times New Roman" w:eastAsia="Times New Roman" w:hAnsi="Times New Roman"/>
          <w:sz w:val="24"/>
          <w:szCs w:val="24"/>
        </w:rPr>
        <w:t>***</w:t>
      </w:r>
    </w:p>
    <w:p w14:paraId="79A4556C" w14:textId="2A30823B" w:rsidR="00CD5950" w:rsidRDefault="00CD5950" w:rsidP="00CD5950">
      <w:pPr>
        <w:rPr>
          <w:rFonts w:ascii="Arial Black" w:hAnsi="Arial Black"/>
          <w:b/>
          <w:sz w:val="24"/>
          <w:szCs w:val="24"/>
        </w:rPr>
      </w:pPr>
      <w:r w:rsidRPr="00710662">
        <w:rPr>
          <w:rFonts w:ascii="Times New Roman" w:eastAsia="Times New Roman" w:hAnsi="Times New Roman"/>
          <w:sz w:val="24"/>
          <w:szCs w:val="24"/>
        </w:rPr>
        <w:t xml:space="preserve">Christensen's report of electrical violations to the regional state electrical inspector was also made pursuant to his position as the City Inspector/Code Enforcement Officer. </w:t>
      </w:r>
      <w:r w:rsidRPr="00710662">
        <w:rPr>
          <w:rFonts w:ascii="Times New Roman" w:eastAsia="Times New Roman" w:hAnsi="Times New Roman"/>
          <w:i/>
          <w:iCs/>
          <w:sz w:val="24"/>
          <w:szCs w:val="24"/>
        </w:rPr>
        <w:t>Compare McGee v</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Public Water Supply</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Dist</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No</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2 of Jefferson County</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Mo</w:t>
      </w:r>
      <w:r w:rsidRPr="00710662">
        <w:rPr>
          <w:rFonts w:ascii="Times New Roman" w:eastAsia="Times New Roman" w:hAnsi="Times New Roman"/>
          <w:sz w:val="24"/>
          <w:szCs w:val="24"/>
        </w:rPr>
        <w:t xml:space="preserve">., 471 F.3d 918, 921 (8th Cir. 2006) (concluding district manager of public water supply district who expressed concerns over the district's compliance with environmental regulations made the statements as part of his official duties); </w:t>
      </w:r>
      <w:r w:rsidRPr="00710662">
        <w:rPr>
          <w:rFonts w:ascii="Times New Roman" w:eastAsia="Times New Roman" w:hAnsi="Times New Roman"/>
          <w:i/>
          <w:iCs/>
          <w:sz w:val="24"/>
          <w:szCs w:val="24"/>
        </w:rPr>
        <w:t>Batz v</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City of Sebring</w:t>
      </w:r>
      <w:r w:rsidRPr="00710662">
        <w:rPr>
          <w:rFonts w:ascii="Times New Roman" w:eastAsia="Times New Roman" w:hAnsi="Times New Roman"/>
          <w:sz w:val="24"/>
          <w:szCs w:val="24"/>
        </w:rPr>
        <w:t xml:space="preserve">, 794 F. </w:t>
      </w:r>
      <w:proofErr w:type="spellStart"/>
      <w:r w:rsidRPr="00710662">
        <w:rPr>
          <w:rFonts w:ascii="Times New Roman" w:eastAsia="Times New Roman" w:hAnsi="Times New Roman"/>
          <w:sz w:val="24"/>
          <w:szCs w:val="24"/>
        </w:rPr>
        <w:t>App'x</w:t>
      </w:r>
      <w:proofErr w:type="spellEnd"/>
      <w:r w:rsidRPr="00710662">
        <w:rPr>
          <w:rFonts w:ascii="Times New Roman" w:eastAsia="Times New Roman" w:hAnsi="Times New Roman"/>
          <w:sz w:val="24"/>
          <w:szCs w:val="24"/>
        </w:rPr>
        <w:t xml:space="preserve"> 889, 898 (11th Cir. 2019) (concluding city fire chief spoke as an employee when he made complaints about various city officials undermining his efforts to enforce fire safety rules</w:t>
      </w:r>
      <w:r>
        <w:rPr>
          <w:rFonts w:ascii="Times New Roman" w:eastAsia="Times New Roman" w:hAnsi="Times New Roman"/>
          <w:sz w:val="24"/>
          <w:szCs w:val="24"/>
        </w:rPr>
        <w:t xml:space="preserve"> </w:t>
      </w:r>
      <w:r w:rsidRPr="00710662">
        <w:rPr>
          <w:rFonts w:ascii="Times New Roman" w:eastAsia="Times New Roman" w:hAnsi="Times New Roman"/>
          <w:sz w:val="24"/>
          <w:szCs w:val="24"/>
        </w:rPr>
        <w:t xml:space="preserve">at a historical building owned by persons with connections to the city council and administration); </w:t>
      </w:r>
      <w:r w:rsidRPr="00710662">
        <w:rPr>
          <w:rFonts w:ascii="Times New Roman" w:eastAsia="Times New Roman" w:hAnsi="Times New Roman"/>
          <w:i/>
          <w:iCs/>
          <w:sz w:val="24"/>
          <w:szCs w:val="24"/>
        </w:rPr>
        <w:t>Morris v</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Philadelphia Housing Authority</w:t>
      </w:r>
      <w:r w:rsidRPr="00710662">
        <w:rPr>
          <w:rFonts w:ascii="Times New Roman" w:eastAsia="Times New Roman" w:hAnsi="Times New Roman"/>
          <w:sz w:val="24"/>
          <w:szCs w:val="24"/>
        </w:rPr>
        <w:t xml:space="preserve">, 487 F. </w:t>
      </w:r>
      <w:proofErr w:type="spellStart"/>
      <w:r w:rsidRPr="00710662">
        <w:rPr>
          <w:rFonts w:ascii="Times New Roman" w:eastAsia="Times New Roman" w:hAnsi="Times New Roman"/>
          <w:sz w:val="24"/>
          <w:szCs w:val="24"/>
        </w:rPr>
        <w:t>App'x</w:t>
      </w:r>
      <w:proofErr w:type="spellEnd"/>
      <w:r w:rsidRPr="00710662">
        <w:rPr>
          <w:rFonts w:ascii="Times New Roman" w:eastAsia="Times New Roman" w:hAnsi="Times New Roman"/>
          <w:sz w:val="24"/>
          <w:szCs w:val="24"/>
        </w:rPr>
        <w:t xml:space="preserve"> 37, 40 (3d Cir. 2012) (concluding an executive assistant's complaints up the chain of command about legality of housing authority's actions fell within his job duties); </w:t>
      </w:r>
      <w:r w:rsidRPr="00710662">
        <w:rPr>
          <w:rFonts w:ascii="Times New Roman" w:eastAsia="Times New Roman" w:hAnsi="Times New Roman"/>
          <w:i/>
          <w:iCs/>
          <w:sz w:val="24"/>
          <w:szCs w:val="24"/>
        </w:rPr>
        <w:t>Lyons II</w:t>
      </w:r>
      <w:r w:rsidRPr="00710662">
        <w:rPr>
          <w:rFonts w:ascii="Times New Roman" w:eastAsia="Times New Roman" w:hAnsi="Times New Roman"/>
          <w:sz w:val="24"/>
          <w:szCs w:val="24"/>
        </w:rPr>
        <w:t xml:space="preserve">, 875 F.3d at 1175 (noting that court's analysis in </w:t>
      </w:r>
      <w:r w:rsidRPr="00710662">
        <w:rPr>
          <w:rFonts w:ascii="Times New Roman" w:eastAsia="Times New Roman" w:hAnsi="Times New Roman"/>
          <w:i/>
          <w:iCs/>
          <w:sz w:val="24"/>
          <w:szCs w:val="24"/>
        </w:rPr>
        <w:t>Kincade v</w:t>
      </w:r>
      <w:r w:rsidRPr="00710662">
        <w:rPr>
          <w:rFonts w:ascii="Times New Roman" w:eastAsia="Times New Roman" w:hAnsi="Times New Roman"/>
          <w:sz w:val="24"/>
          <w:szCs w:val="24"/>
        </w:rPr>
        <w:t xml:space="preserve">. </w:t>
      </w:r>
      <w:r w:rsidRPr="00710662">
        <w:rPr>
          <w:rFonts w:ascii="Times New Roman" w:eastAsia="Times New Roman" w:hAnsi="Times New Roman"/>
          <w:i/>
          <w:iCs/>
          <w:sz w:val="24"/>
          <w:szCs w:val="24"/>
        </w:rPr>
        <w:t>City of Blue Springs</w:t>
      </w:r>
      <w:r w:rsidRPr="00710662">
        <w:rPr>
          <w:rFonts w:ascii="Times New Roman" w:eastAsia="Times New Roman" w:hAnsi="Times New Roman"/>
          <w:sz w:val="24"/>
          <w:szCs w:val="24"/>
        </w:rPr>
        <w:t xml:space="preserve">, 64 F.3d 389 (8th Cir. 1995) that city engineer's complaints about a dam's funding and safety issues that were made pursuant to an assignment from his employer and in his capacity as city engineer and that were deemed protected would not suffice under </w:t>
      </w:r>
      <w:r w:rsidRPr="00710662">
        <w:rPr>
          <w:rFonts w:ascii="Times New Roman" w:eastAsia="Times New Roman" w:hAnsi="Times New Roman"/>
          <w:i/>
          <w:iCs/>
          <w:sz w:val="24"/>
          <w:szCs w:val="24"/>
        </w:rPr>
        <w:t>Garcetti</w:t>
      </w:r>
      <w:r w:rsidRPr="00710662">
        <w:rPr>
          <w:rFonts w:ascii="Times New Roman" w:eastAsia="Times New Roman" w:hAnsi="Times New Roman"/>
          <w:sz w:val="24"/>
          <w:szCs w:val="24"/>
        </w:rPr>
        <w:t>).</w:t>
      </w:r>
      <w:r>
        <w:rPr>
          <w:rFonts w:ascii="Times New Roman" w:eastAsia="Times New Roman" w:hAnsi="Times New Roman"/>
          <w:sz w:val="24"/>
          <w:szCs w:val="24"/>
        </w:rPr>
        <w:t xml:space="preserve">” </w:t>
      </w:r>
      <w:hyperlink r:id="rId268" w:history="1">
        <w:r w:rsidRPr="004C3F50">
          <w:rPr>
            <w:rStyle w:val="Hyperlink"/>
            <w:rFonts w:ascii="Times New Roman" w:eastAsia="Times New Roman" w:hAnsi="Times New Roman"/>
            <w:sz w:val="24"/>
            <w:szCs w:val="24"/>
          </w:rPr>
          <w:t>https://public.fastcase.com/Wl%2B2t%2BeVuI35%2FN70vAMFZnSQz8BzpEWSl4qvcEU%2FNgbENUBBcIuF0iEqrodjguq8</w:t>
        </w:r>
      </w:hyperlink>
    </w:p>
    <w:p w14:paraId="6580BB5A" w14:textId="77777777" w:rsidR="00CD5950" w:rsidRDefault="00CD5950" w:rsidP="00CD5950">
      <w:pPr>
        <w:spacing w:before="100" w:beforeAutospacing="1" w:after="100" w:afterAutospacing="1" w:line="240" w:lineRule="auto"/>
        <w:rPr>
          <w:rFonts w:ascii="Times New Roman" w:hAnsi="Times New Roman"/>
          <w:b/>
          <w:bCs/>
          <w:sz w:val="24"/>
          <w:szCs w:val="24"/>
        </w:rPr>
      </w:pPr>
      <w:r w:rsidRPr="00710662">
        <w:rPr>
          <w:rFonts w:ascii="Times New Roman" w:hAnsi="Times New Roman"/>
          <w:b/>
          <w:bCs/>
          <w:sz w:val="24"/>
          <w:szCs w:val="24"/>
        </w:rPr>
        <w:t>Legal Lessons Learned:</w:t>
      </w:r>
      <w:r>
        <w:rPr>
          <w:rFonts w:ascii="Times New Roman" w:hAnsi="Times New Roman"/>
          <w:b/>
          <w:bCs/>
          <w:sz w:val="24"/>
          <w:szCs w:val="24"/>
        </w:rPr>
        <w:t xml:space="preserve"> This case is now </w:t>
      </w:r>
      <w:proofErr w:type="gramStart"/>
      <w:r>
        <w:rPr>
          <w:rFonts w:ascii="Times New Roman" w:hAnsi="Times New Roman"/>
          <w:b/>
          <w:bCs/>
          <w:sz w:val="24"/>
          <w:szCs w:val="24"/>
        </w:rPr>
        <w:t>remanded</w:t>
      </w:r>
      <w:proofErr w:type="gramEnd"/>
      <w:r>
        <w:rPr>
          <w:rFonts w:ascii="Times New Roman" w:hAnsi="Times New Roman"/>
          <w:b/>
          <w:bCs/>
          <w:sz w:val="24"/>
          <w:szCs w:val="24"/>
        </w:rPr>
        <w:t xml:space="preserve"> to Iowa state court where plaintiff may seek to prove to a jury that the city violated State whistleblower laws and State code enforcement laws. </w:t>
      </w:r>
    </w:p>
    <w:p w14:paraId="16A053A0" w14:textId="77777777" w:rsidR="00CD5950" w:rsidRDefault="00CD5950" w:rsidP="00CD5950">
      <w:pPr>
        <w:pStyle w:val="NormalWeb"/>
        <w:ind w:left="720"/>
      </w:pPr>
      <w:r w:rsidRPr="00710662">
        <w:t xml:space="preserve">Note: </w:t>
      </w:r>
      <w:r>
        <w:t xml:space="preserve">The U.S. Supreme Court in </w:t>
      </w:r>
      <w:r>
        <w:rPr>
          <w:i/>
          <w:iCs/>
        </w:rPr>
        <w:t>Garcetti v</w:t>
      </w:r>
      <w:r>
        <w:t xml:space="preserve">. </w:t>
      </w:r>
      <w:r>
        <w:rPr>
          <w:i/>
          <w:iCs/>
        </w:rPr>
        <w:t>Ceballos</w:t>
      </w:r>
      <w:r>
        <w:t xml:space="preserve">, 547 U.S. 410, 421 (2006), greatly limited the ability of public employees to sue in Federal court for retaliation in violation of the First Amendment “freedom of speech.”  Ceballos was a LA County Supervising attorney, who was re-assigned after questioning the accuracy of Deputy Sheriff’s search warrant application and writing a memo documenting his concerns.  The U.S. Supreme Court held [5 to 4]: “Proper application of our precedents thus leads to the conclusion that the First Amendment does not prohibit managerial discipline based on an employee’s expressions made pursuant to official responsibilities. Because Ceballos’ memo falls into this category, his allegation of unconstitutional retaliation must fail.” </w:t>
      </w:r>
      <w:hyperlink r:id="rId269" w:history="1">
        <w:r w:rsidRPr="004C3F50">
          <w:rPr>
            <w:rStyle w:val="Hyperlink"/>
          </w:rPr>
          <w:t>https://supreme.justia.com/cases/federal/us/547/410/</w:t>
        </w:r>
      </w:hyperlink>
      <w:r>
        <w:t xml:space="preserve"> </w:t>
      </w:r>
    </w:p>
    <w:p w14:paraId="3E47ED72" w14:textId="25978566" w:rsidR="00CD5950" w:rsidRDefault="00CD5950" w:rsidP="002B1283">
      <w:pPr>
        <w:rPr>
          <w:rFonts w:ascii="Arial Black" w:hAnsi="Arial Black"/>
          <w:b/>
          <w:sz w:val="24"/>
          <w:szCs w:val="24"/>
        </w:rPr>
      </w:pPr>
    </w:p>
    <w:p w14:paraId="40E55BEB" w14:textId="7F243F8F" w:rsidR="00CD5950" w:rsidRDefault="00CD5950"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4</w:t>
      </w:r>
    </w:p>
    <w:p w14:paraId="62203C37" w14:textId="77777777" w:rsidR="00CD5950" w:rsidRDefault="00CD5950" w:rsidP="00CD5950">
      <w:r>
        <w:rPr>
          <w:rFonts w:ascii="Arial Black" w:hAnsi="Arial Black"/>
          <w:sz w:val="28"/>
          <w:szCs w:val="28"/>
        </w:rPr>
        <w:t>OH: OHIO ETHICS COMMISSION – HELPFUL NEW VIDEO – PUBLIC OFFICIALS &amp; GIFTS OF “SUBSTANTIAL VALUE”</w:t>
      </w:r>
    </w:p>
    <w:p w14:paraId="09B2E758" w14:textId="77777777" w:rsidR="00CD5950" w:rsidRDefault="00CD5950" w:rsidP="00CD5950">
      <w:pPr>
        <w:rPr>
          <w:rFonts w:ascii="Times New Roman" w:hAnsi="Times New Roman"/>
          <w:sz w:val="24"/>
          <w:szCs w:val="24"/>
        </w:rPr>
      </w:pPr>
      <w:r>
        <w:rPr>
          <w:rFonts w:ascii="Times New Roman" w:hAnsi="Times New Roman"/>
          <w:sz w:val="24"/>
          <w:szCs w:val="24"/>
        </w:rPr>
        <w:t xml:space="preserve">Feb. 22, 2021: </w:t>
      </w:r>
    </w:p>
    <w:p w14:paraId="2F61DAE2" w14:textId="77777777" w:rsidR="00CD5950" w:rsidRDefault="00CD5950" w:rsidP="00CD5950">
      <w:pPr>
        <w:rPr>
          <w:rStyle w:val="Hyperlink"/>
          <w:rFonts w:ascii="Times New Roman" w:hAnsi="Times New Roman"/>
          <w:sz w:val="24"/>
          <w:szCs w:val="24"/>
        </w:rPr>
      </w:pPr>
      <w:r>
        <w:rPr>
          <w:rFonts w:ascii="Times New Roman" w:hAnsi="Times New Roman"/>
          <w:sz w:val="24"/>
          <w:szCs w:val="24"/>
        </w:rPr>
        <w:t xml:space="preserve">See helpful new training video: </w:t>
      </w:r>
      <w:hyperlink r:id="rId270" w:history="1">
        <w:r w:rsidRPr="00EA374E">
          <w:rPr>
            <w:rStyle w:val="Hyperlink"/>
            <w:rFonts w:ascii="Times New Roman" w:hAnsi="Times New Roman"/>
            <w:sz w:val="24"/>
            <w:szCs w:val="24"/>
          </w:rPr>
          <w:t>https://ethics.ohio.gov/education/elearning/ecourses.html</w:t>
        </w:r>
      </w:hyperlink>
    </w:p>
    <w:p w14:paraId="5816E79E" w14:textId="77777777" w:rsidR="00CD5950" w:rsidRDefault="00CD5950" w:rsidP="00CD5950">
      <w:pPr>
        <w:rPr>
          <w:rFonts w:ascii="Times New Roman" w:hAnsi="Times New Roman"/>
          <w:sz w:val="24"/>
          <w:szCs w:val="24"/>
        </w:rPr>
      </w:pPr>
      <w:r>
        <w:rPr>
          <w:rFonts w:ascii="Times New Roman" w:hAnsi="Times New Roman"/>
          <w:sz w:val="24"/>
          <w:szCs w:val="24"/>
        </w:rPr>
        <w:t>See also: “</w:t>
      </w:r>
      <w:r w:rsidRPr="00D13E5D">
        <w:rPr>
          <w:rFonts w:ascii="Times New Roman" w:hAnsi="Times New Roman"/>
          <w:sz w:val="24"/>
          <w:szCs w:val="24"/>
        </w:rPr>
        <w:t xml:space="preserve">The first quarter edition of </w:t>
      </w:r>
      <w:hyperlink r:id="rId271" w:history="1">
        <w:r w:rsidRPr="00D13E5D">
          <w:rPr>
            <w:rStyle w:val="Hyperlink"/>
            <w:rFonts w:ascii="Times New Roman" w:hAnsi="Times New Roman"/>
            <w:sz w:val="24"/>
            <w:szCs w:val="24"/>
          </w:rPr>
          <w:t>The Voice of Ethics</w:t>
        </w:r>
      </w:hyperlink>
      <w:r w:rsidRPr="00D13E5D">
        <w:rPr>
          <w:rFonts w:ascii="Times New Roman" w:hAnsi="Times New Roman"/>
          <w:sz w:val="24"/>
          <w:szCs w:val="24"/>
        </w:rPr>
        <w:t xml:space="preserve"> has been issued!  I hope you enjoy it and as always, please feel free to contact me if I can be of any assistance.</w:t>
      </w:r>
      <w:r>
        <w:rPr>
          <w:rFonts w:ascii="Times New Roman" w:hAnsi="Times New Roman"/>
          <w:sz w:val="24"/>
          <w:szCs w:val="24"/>
        </w:rPr>
        <w:t>”</w:t>
      </w:r>
      <w:hyperlink r:id="rId272" w:history="1">
        <w:r w:rsidRPr="00BA411D">
          <w:rPr>
            <w:rStyle w:val="Hyperlink"/>
            <w:rFonts w:ascii="Times New Roman" w:hAnsi="Times New Roman"/>
            <w:sz w:val="24"/>
            <w:szCs w:val="24"/>
          </w:rPr>
          <w:t>https://ethics.ohio.gov/education/newsletters/VOE_21Q1.pdf</w:t>
        </w:r>
      </w:hyperlink>
      <w:r>
        <w:rPr>
          <w:rFonts w:ascii="Times New Roman" w:hAnsi="Times New Roman"/>
          <w:sz w:val="24"/>
          <w:szCs w:val="24"/>
        </w:rPr>
        <w:t xml:space="preserve"> </w:t>
      </w:r>
    </w:p>
    <w:p w14:paraId="01C0783C" w14:textId="77777777" w:rsidR="00CD5950" w:rsidRDefault="00CD5950" w:rsidP="00CD5950">
      <w:pPr>
        <w:rPr>
          <w:rFonts w:ascii="Times New Roman" w:hAnsi="Times New Roman"/>
          <w:sz w:val="24"/>
          <w:szCs w:val="24"/>
        </w:rPr>
      </w:pPr>
      <w:r>
        <w:rPr>
          <w:rFonts w:ascii="Times New Roman" w:hAnsi="Times New Roman"/>
          <w:sz w:val="24"/>
          <w:szCs w:val="24"/>
        </w:rPr>
        <w:t xml:space="preserve">Both kindly sent to me by: </w:t>
      </w:r>
    </w:p>
    <w:p w14:paraId="4FD1557C"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Susan Willeke</w:t>
      </w:r>
    </w:p>
    <w:p w14:paraId="2CC95F06"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Education &amp; Communications Administrator</w:t>
      </w:r>
    </w:p>
    <w:p w14:paraId="444F4604"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Ohio Ethics Commission</w:t>
      </w:r>
    </w:p>
    <w:p w14:paraId="303DE351"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William Green Building</w:t>
      </w:r>
    </w:p>
    <w:p w14:paraId="5146686D"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30 W. Spring St.</w:t>
      </w:r>
    </w:p>
    <w:p w14:paraId="1520FAD0"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Columbus, Ohio 43215</w:t>
      </w:r>
    </w:p>
    <w:p w14:paraId="2D42AF8B" w14:textId="77777777" w:rsidR="00CD5950" w:rsidRDefault="00CD5950" w:rsidP="00CD5950">
      <w:pPr>
        <w:pStyle w:val="NoSpacing"/>
        <w:ind w:firstLine="720"/>
        <w:rPr>
          <w:rFonts w:ascii="Times New Roman" w:hAnsi="Times New Roman"/>
          <w:sz w:val="24"/>
          <w:szCs w:val="24"/>
        </w:rPr>
      </w:pPr>
    </w:p>
    <w:p w14:paraId="725520E3" w14:textId="77777777" w:rsidR="00CD5950" w:rsidRDefault="00CD5950" w:rsidP="00CD5950">
      <w:pPr>
        <w:pStyle w:val="NoSpacing"/>
        <w:ind w:firstLine="720"/>
        <w:rPr>
          <w:rFonts w:ascii="Times New Roman" w:hAnsi="Times New Roman"/>
          <w:sz w:val="24"/>
          <w:szCs w:val="24"/>
        </w:rPr>
      </w:pPr>
    </w:p>
    <w:p w14:paraId="46DBA9E9" w14:textId="77777777" w:rsidR="00CD5950" w:rsidRPr="00EB1AAF" w:rsidRDefault="00CD5950" w:rsidP="00CD5950">
      <w:pPr>
        <w:pStyle w:val="NoSpacing"/>
        <w:ind w:firstLine="720"/>
        <w:rPr>
          <w:rFonts w:ascii="Times New Roman" w:hAnsi="Times New Roman"/>
          <w:sz w:val="24"/>
          <w:szCs w:val="24"/>
        </w:rPr>
      </w:pPr>
      <w:r w:rsidRPr="00EB1AAF">
        <w:rPr>
          <w:rFonts w:ascii="Times New Roman" w:hAnsi="Times New Roman"/>
          <w:sz w:val="24"/>
          <w:szCs w:val="24"/>
        </w:rPr>
        <w:t>(614) 466 – 7090</w:t>
      </w:r>
    </w:p>
    <w:p w14:paraId="74123CD0" w14:textId="77777777" w:rsidR="00CD5950" w:rsidRPr="00EB1AAF" w:rsidRDefault="00CD5950" w:rsidP="00CD5950">
      <w:pPr>
        <w:pStyle w:val="NoSpacing"/>
        <w:ind w:firstLine="720"/>
        <w:rPr>
          <w:rFonts w:ascii="Times New Roman" w:hAnsi="Times New Roman"/>
          <w:sz w:val="24"/>
          <w:szCs w:val="24"/>
        </w:rPr>
      </w:pPr>
      <w:hyperlink r:id="rId273" w:history="1">
        <w:r w:rsidRPr="00EA374E">
          <w:rPr>
            <w:rStyle w:val="Hyperlink"/>
            <w:rFonts w:ascii="Times New Roman" w:hAnsi="Times New Roman"/>
            <w:sz w:val="24"/>
            <w:szCs w:val="24"/>
          </w:rPr>
          <w:t>www.ethics.ohio.gov</w:t>
        </w:r>
      </w:hyperlink>
    </w:p>
    <w:p w14:paraId="7AB3EA59" w14:textId="77777777" w:rsidR="00CD5950" w:rsidRPr="00EB1AAF" w:rsidRDefault="00CD5950" w:rsidP="00CD5950">
      <w:pPr>
        <w:pStyle w:val="NoSpacing"/>
        <w:ind w:firstLine="720"/>
        <w:rPr>
          <w:rStyle w:val="Hyperlink"/>
          <w:rFonts w:ascii="Times New Roman" w:hAnsi="Times New Roman"/>
          <w:sz w:val="24"/>
          <w:szCs w:val="24"/>
        </w:rPr>
      </w:pPr>
      <w:hyperlink r:id="rId274" w:history="1">
        <w:r w:rsidRPr="00EA374E">
          <w:rPr>
            <w:rStyle w:val="Hyperlink"/>
            <w:rFonts w:ascii="Times New Roman" w:hAnsi="Times New Roman"/>
            <w:sz w:val="24"/>
            <w:szCs w:val="24"/>
          </w:rPr>
          <w:t>susan.willeke@ethics.ohio.gov</w:t>
        </w:r>
      </w:hyperlink>
    </w:p>
    <w:p w14:paraId="63326306" w14:textId="77777777" w:rsidR="00CD5950" w:rsidRPr="00EB1AAF" w:rsidRDefault="00CD5950" w:rsidP="00CD5950">
      <w:pPr>
        <w:pStyle w:val="NoSpacing"/>
        <w:rPr>
          <w:rStyle w:val="Hyperlink"/>
          <w:rFonts w:ascii="Times New Roman" w:hAnsi="Times New Roman"/>
          <w:sz w:val="24"/>
          <w:szCs w:val="24"/>
        </w:rPr>
      </w:pPr>
    </w:p>
    <w:p w14:paraId="1F0DBF6A" w14:textId="77777777" w:rsidR="00CD5950" w:rsidRPr="00716E29" w:rsidRDefault="00CD5950" w:rsidP="00CD5950">
      <w:pPr>
        <w:pStyle w:val="NoSpacing"/>
        <w:rPr>
          <w:rStyle w:val="Hyperlink"/>
          <w:rFonts w:ascii="Times New Roman" w:hAnsi="Times New Roman"/>
          <w:b/>
          <w:bCs/>
          <w:color w:val="auto"/>
          <w:sz w:val="24"/>
          <w:szCs w:val="24"/>
          <w:u w:val="none"/>
        </w:rPr>
      </w:pPr>
      <w:r w:rsidRPr="00716E29">
        <w:rPr>
          <w:rStyle w:val="Hyperlink"/>
          <w:rFonts w:ascii="Times New Roman" w:hAnsi="Times New Roman"/>
          <w:b/>
          <w:bCs/>
          <w:color w:val="auto"/>
          <w:sz w:val="24"/>
          <w:szCs w:val="24"/>
          <w:u w:val="none"/>
        </w:rPr>
        <w:t xml:space="preserve">Legal Lesson Learned: Golf outings, sports or theater tickets, vacations, jewelry have been items deemed items of “substantial value” by the Ohio Ethics Commission; when in doubt, consult with the Commission. </w:t>
      </w:r>
    </w:p>
    <w:p w14:paraId="6D74FE00" w14:textId="77777777" w:rsidR="00CD5950" w:rsidRDefault="00CD5950" w:rsidP="00CD5950">
      <w:pPr>
        <w:pStyle w:val="NoSpacing"/>
        <w:rPr>
          <w:rStyle w:val="Hyperlink"/>
          <w:rFonts w:ascii="Times New Roman" w:hAnsi="Times New Roman"/>
          <w:b/>
          <w:bCs/>
          <w:sz w:val="24"/>
          <w:szCs w:val="24"/>
        </w:rPr>
      </w:pPr>
    </w:p>
    <w:p w14:paraId="3C41448E" w14:textId="77777777" w:rsidR="00CD5950" w:rsidRDefault="00CD5950" w:rsidP="00CD5950">
      <w:pPr>
        <w:pStyle w:val="NoSpacing"/>
        <w:ind w:left="720"/>
        <w:rPr>
          <w:rFonts w:ascii="Times New Roman" w:hAnsi="Times New Roman"/>
          <w:sz w:val="24"/>
          <w:szCs w:val="24"/>
        </w:rPr>
      </w:pPr>
      <w:r w:rsidRPr="00167F7C">
        <w:rPr>
          <w:rStyle w:val="Hyperlink"/>
          <w:rFonts w:ascii="Times New Roman" w:hAnsi="Times New Roman"/>
          <w:sz w:val="24"/>
          <w:szCs w:val="24"/>
        </w:rPr>
        <w:t>Note: See Ohio Ethics Commission publication</w:t>
      </w:r>
      <w:r>
        <w:rPr>
          <w:rStyle w:val="Hyperlink"/>
          <w:rFonts w:ascii="Times New Roman" w:hAnsi="Times New Roman"/>
          <w:sz w:val="24"/>
          <w:szCs w:val="24"/>
        </w:rPr>
        <w:t>:</w:t>
      </w:r>
      <w:r w:rsidRPr="00167F7C">
        <w:rPr>
          <w:rStyle w:val="Hyperlink"/>
          <w:rFonts w:ascii="Times New Roman" w:hAnsi="Times New Roman"/>
          <w:sz w:val="24"/>
          <w:szCs w:val="24"/>
        </w:rPr>
        <w:t xml:space="preserve"> </w:t>
      </w:r>
      <w:r w:rsidRPr="00167F7C">
        <w:rPr>
          <w:rFonts w:ascii="Times New Roman" w:hAnsi="Times New Roman"/>
          <w:b/>
          <w:bCs/>
          <w:sz w:val="24"/>
          <w:szCs w:val="24"/>
        </w:rPr>
        <w:t>Gifts and the Ohio Ethics Law</w:t>
      </w:r>
      <w:r w:rsidRPr="00167F7C">
        <w:rPr>
          <w:rFonts w:ascii="Times New Roman" w:hAnsi="Times New Roman"/>
          <w:sz w:val="24"/>
          <w:szCs w:val="24"/>
        </w:rPr>
        <w:t xml:space="preserve">: </w:t>
      </w:r>
      <w:hyperlink r:id="rId275" w:history="1">
        <w:r w:rsidRPr="00EA374E">
          <w:rPr>
            <w:rStyle w:val="Hyperlink"/>
            <w:rFonts w:ascii="Times New Roman" w:hAnsi="Times New Roman"/>
            <w:sz w:val="24"/>
            <w:szCs w:val="24"/>
          </w:rPr>
          <w:t>https://www.ethics.ohio.gov/education/gifts.html</w:t>
        </w:r>
      </w:hyperlink>
      <w:r w:rsidRPr="00167F7C">
        <w:rPr>
          <w:rFonts w:ascii="Times New Roman" w:hAnsi="Times New Roman"/>
          <w:sz w:val="24"/>
          <w:szCs w:val="24"/>
        </w:rPr>
        <w:t xml:space="preserve"> </w:t>
      </w:r>
    </w:p>
    <w:p w14:paraId="2EEFCD7C" w14:textId="77777777" w:rsidR="00CD5950" w:rsidRDefault="00CD5950" w:rsidP="00CD5950">
      <w:pPr>
        <w:pStyle w:val="NoSpacing"/>
        <w:ind w:left="720"/>
        <w:rPr>
          <w:rFonts w:ascii="Times New Roman" w:hAnsi="Times New Roman"/>
          <w:sz w:val="24"/>
          <w:szCs w:val="24"/>
        </w:rPr>
      </w:pPr>
    </w:p>
    <w:p w14:paraId="40AAD5FA" w14:textId="77777777" w:rsidR="00CD5950" w:rsidRPr="00167F7C" w:rsidRDefault="00CD5950" w:rsidP="00CD5950">
      <w:pPr>
        <w:pStyle w:val="NoSpacing"/>
        <w:ind w:left="720"/>
        <w:rPr>
          <w:rFonts w:ascii="Times New Roman" w:hAnsi="Times New Roman"/>
          <w:sz w:val="24"/>
          <w:szCs w:val="24"/>
        </w:rPr>
      </w:pPr>
      <w:r>
        <w:rPr>
          <w:rFonts w:ascii="Times New Roman" w:hAnsi="Times New Roman"/>
          <w:sz w:val="24"/>
          <w:szCs w:val="24"/>
        </w:rPr>
        <w:t xml:space="preserve">See also Advisory Opinions on </w:t>
      </w:r>
      <w:r w:rsidRPr="00167F7C">
        <w:rPr>
          <w:rFonts w:ascii="Times New Roman" w:hAnsi="Times New Roman"/>
          <w:b/>
          <w:bCs/>
          <w:sz w:val="24"/>
          <w:szCs w:val="24"/>
        </w:rPr>
        <w:t>Conflict of Interest</w:t>
      </w:r>
      <w:r>
        <w:rPr>
          <w:rFonts w:ascii="Times New Roman" w:hAnsi="Times New Roman"/>
          <w:sz w:val="24"/>
          <w:szCs w:val="24"/>
        </w:rPr>
        <w:t xml:space="preserve">, and advisory opinions on </w:t>
      </w:r>
      <w:r w:rsidRPr="00167F7C">
        <w:rPr>
          <w:rFonts w:ascii="Times New Roman" w:hAnsi="Times New Roman"/>
          <w:b/>
          <w:bCs/>
          <w:sz w:val="24"/>
          <w:szCs w:val="24"/>
        </w:rPr>
        <w:t>Gifts:</w:t>
      </w:r>
      <w:r>
        <w:rPr>
          <w:rFonts w:ascii="Times New Roman" w:hAnsi="Times New Roman"/>
          <w:sz w:val="24"/>
          <w:szCs w:val="24"/>
        </w:rPr>
        <w:t xml:space="preserve"> </w:t>
      </w:r>
      <w:hyperlink r:id="rId276" w:anchor="Gifts" w:history="1">
        <w:r w:rsidRPr="00EA374E">
          <w:rPr>
            <w:rStyle w:val="Hyperlink"/>
            <w:rFonts w:ascii="Times New Roman" w:hAnsi="Times New Roman"/>
            <w:sz w:val="24"/>
            <w:szCs w:val="24"/>
          </w:rPr>
          <w:t>https://www.ethics.ohio.gov/advice/formaltopics.html#Gifts</w:t>
        </w:r>
      </w:hyperlink>
      <w:r>
        <w:rPr>
          <w:rFonts w:ascii="Times New Roman" w:hAnsi="Times New Roman"/>
          <w:sz w:val="24"/>
          <w:szCs w:val="24"/>
        </w:rPr>
        <w:t xml:space="preserve"> </w:t>
      </w:r>
    </w:p>
    <w:p w14:paraId="74DFC00B" w14:textId="77777777" w:rsidR="00CD5950" w:rsidRDefault="00CD5950" w:rsidP="00CD5950">
      <w:pPr>
        <w:pStyle w:val="Heading2"/>
        <w:ind w:left="720"/>
        <w:rPr>
          <w:rStyle w:val="Hyperlink"/>
          <w:rFonts w:ascii="Times New Roman" w:hAnsi="Times New Roman"/>
          <w:b w:val="0"/>
          <w:bCs w:val="0"/>
          <w:i w:val="0"/>
          <w:iCs w:val="0"/>
          <w:color w:val="auto"/>
          <w:sz w:val="24"/>
          <w:szCs w:val="24"/>
          <w:u w:val="none"/>
        </w:rPr>
      </w:pPr>
      <w:r w:rsidRPr="00716E29">
        <w:rPr>
          <w:rStyle w:val="Hyperlink"/>
          <w:rFonts w:ascii="Times New Roman" w:hAnsi="Times New Roman"/>
          <w:b w:val="0"/>
          <w:bCs w:val="0"/>
          <w:i w:val="0"/>
          <w:iCs w:val="0"/>
          <w:color w:val="auto"/>
          <w:sz w:val="24"/>
          <w:szCs w:val="24"/>
          <w:u w:val="none"/>
        </w:rPr>
        <w:t>Ohio Revised Code</w:t>
      </w:r>
      <w:r>
        <w:rPr>
          <w:rStyle w:val="Hyperlink"/>
          <w:rFonts w:ascii="Times New Roman" w:hAnsi="Times New Roman"/>
          <w:b w:val="0"/>
          <w:bCs w:val="0"/>
          <w:i w:val="0"/>
          <w:iCs w:val="0"/>
          <w:color w:val="auto"/>
          <w:sz w:val="24"/>
          <w:szCs w:val="24"/>
          <w:u w:val="none"/>
        </w:rPr>
        <w:t>:</w:t>
      </w:r>
    </w:p>
    <w:p w14:paraId="46D7593C" w14:textId="77777777" w:rsidR="00CD5950" w:rsidRPr="00716E29" w:rsidRDefault="00CD5950" w:rsidP="00CD5950">
      <w:pPr>
        <w:pStyle w:val="Heading2"/>
        <w:ind w:left="720"/>
        <w:rPr>
          <w:rStyle w:val="Hyperlink"/>
          <w:rFonts w:ascii="Times New Roman" w:hAnsi="Times New Roman"/>
          <w:b w:val="0"/>
          <w:bCs w:val="0"/>
          <w:i w:val="0"/>
          <w:iCs w:val="0"/>
          <w:sz w:val="24"/>
          <w:szCs w:val="24"/>
          <w:u w:val="none"/>
        </w:rPr>
      </w:pPr>
      <w:r w:rsidRPr="00716E29">
        <w:rPr>
          <w:rStyle w:val="Hyperlink"/>
          <w:rFonts w:ascii="Times New Roman" w:hAnsi="Times New Roman"/>
          <w:b w:val="0"/>
          <w:bCs w:val="0"/>
          <w:i w:val="0"/>
          <w:iCs w:val="0"/>
          <w:color w:val="auto"/>
          <w:sz w:val="24"/>
          <w:szCs w:val="24"/>
          <w:u w:val="none"/>
        </w:rPr>
        <w:t xml:space="preserve">102.01 Public officers – ethics definitions:  </w:t>
      </w:r>
      <w:hyperlink r:id="rId277" w:history="1">
        <w:r w:rsidRPr="002013DF">
          <w:rPr>
            <w:rStyle w:val="Hyperlink"/>
            <w:rFonts w:ascii="Times New Roman" w:hAnsi="Times New Roman"/>
            <w:b w:val="0"/>
            <w:bCs w:val="0"/>
            <w:i w:val="0"/>
            <w:iCs w:val="0"/>
            <w:sz w:val="24"/>
            <w:szCs w:val="24"/>
          </w:rPr>
          <w:t>http://codes.ohio.gov/orc/102.01</w:t>
        </w:r>
      </w:hyperlink>
      <w:r>
        <w:rPr>
          <w:rStyle w:val="Hyperlink"/>
          <w:rFonts w:ascii="Times New Roman" w:hAnsi="Times New Roman"/>
          <w:b w:val="0"/>
          <w:bCs w:val="0"/>
          <w:i w:val="0"/>
          <w:iCs w:val="0"/>
          <w:color w:val="auto"/>
          <w:sz w:val="24"/>
          <w:szCs w:val="24"/>
          <w:u w:val="none"/>
        </w:rPr>
        <w:t xml:space="preserve"> </w:t>
      </w:r>
    </w:p>
    <w:p w14:paraId="4E873AB9" w14:textId="77777777" w:rsidR="00CD5950" w:rsidRPr="00716E29" w:rsidRDefault="00CD5950" w:rsidP="00CD5950">
      <w:pPr>
        <w:pStyle w:val="Heading2"/>
        <w:ind w:left="720"/>
        <w:rPr>
          <w:rFonts w:ascii="Times New Roman" w:hAnsi="Times New Roman"/>
          <w:b w:val="0"/>
          <w:bCs w:val="0"/>
          <w:i w:val="0"/>
          <w:iCs w:val="0"/>
          <w:sz w:val="24"/>
          <w:szCs w:val="24"/>
        </w:rPr>
      </w:pPr>
      <w:r w:rsidRPr="00716E29">
        <w:rPr>
          <w:rFonts w:ascii="Times New Roman" w:hAnsi="Times New Roman"/>
          <w:b w:val="0"/>
          <w:bCs w:val="0"/>
          <w:i w:val="0"/>
          <w:iCs w:val="0"/>
          <w:sz w:val="24"/>
          <w:szCs w:val="24"/>
        </w:rPr>
        <w:t xml:space="preserve">2921.43 Soliciting or accepting improper compensation. </w:t>
      </w:r>
      <w:hyperlink r:id="rId278" w:history="1">
        <w:r w:rsidRPr="00716E29">
          <w:rPr>
            <w:rStyle w:val="Hyperlink"/>
            <w:rFonts w:ascii="Times New Roman" w:hAnsi="Times New Roman"/>
            <w:b w:val="0"/>
            <w:bCs w:val="0"/>
            <w:i w:val="0"/>
            <w:iCs w:val="0"/>
            <w:sz w:val="24"/>
            <w:szCs w:val="24"/>
          </w:rPr>
          <w:t>http://codes.ohio.gov/orc/2921.43</w:t>
        </w:r>
      </w:hyperlink>
      <w:r w:rsidRPr="00716E29">
        <w:rPr>
          <w:rFonts w:ascii="Times New Roman" w:hAnsi="Times New Roman"/>
          <w:b w:val="0"/>
          <w:bCs w:val="0"/>
          <w:i w:val="0"/>
          <w:iCs w:val="0"/>
          <w:sz w:val="24"/>
          <w:szCs w:val="24"/>
        </w:rPr>
        <w:t xml:space="preserve"> </w:t>
      </w:r>
    </w:p>
    <w:p w14:paraId="4871180E" w14:textId="541458E7" w:rsidR="00CD5950" w:rsidRDefault="00CD5950" w:rsidP="002B1283">
      <w:pPr>
        <w:rPr>
          <w:rFonts w:ascii="Arial Black" w:hAnsi="Arial Black"/>
          <w:b/>
          <w:sz w:val="24"/>
          <w:szCs w:val="24"/>
        </w:rPr>
      </w:pPr>
    </w:p>
    <w:p w14:paraId="2BA37E25" w14:textId="0CD43D28" w:rsidR="00CD5950" w:rsidRDefault="00CD5950"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3</w:t>
      </w:r>
    </w:p>
    <w:p w14:paraId="51570D31" w14:textId="77777777" w:rsidR="00CD5950" w:rsidRPr="00DF1EAD" w:rsidRDefault="00CD5950" w:rsidP="00CD5950">
      <w:pPr>
        <w:rPr>
          <w:rStyle w:val="num"/>
          <w:rFonts w:ascii="Arial Black" w:hAnsi="Arial Black"/>
          <w:sz w:val="28"/>
          <w:szCs w:val="28"/>
        </w:rPr>
      </w:pPr>
      <w:r>
        <w:rPr>
          <w:rStyle w:val="num"/>
          <w:rFonts w:ascii="Arial Black" w:hAnsi="Arial Black"/>
          <w:sz w:val="28"/>
          <w:szCs w:val="28"/>
        </w:rPr>
        <w:t>VA:  FED. FIREARMS LAW – MISD. DOMESTIC VIOLENCE CONV. - LIFETIME BAN – VOL. FF MUST GET EXPUNGED</w:t>
      </w:r>
    </w:p>
    <w:p w14:paraId="13A1E40D" w14:textId="77777777" w:rsidR="00CD5950" w:rsidRDefault="00CD5950" w:rsidP="00CD5950">
      <w:pPr>
        <w:pStyle w:val="Heading1"/>
        <w:rPr>
          <w:b w:val="0"/>
          <w:bCs w:val="0"/>
          <w:sz w:val="24"/>
          <w:szCs w:val="24"/>
        </w:rPr>
      </w:pPr>
      <w:r>
        <w:rPr>
          <w:b w:val="0"/>
          <w:bCs w:val="0"/>
          <w:sz w:val="24"/>
          <w:szCs w:val="24"/>
        </w:rPr>
        <w:t xml:space="preserve">On Feb. 22, 2021, in </w:t>
      </w:r>
      <w:r w:rsidRPr="00506AF4">
        <w:rPr>
          <w:b w:val="0"/>
          <w:bCs w:val="0"/>
          <w:sz w:val="24"/>
          <w:szCs w:val="24"/>
          <w:u w:val="single"/>
        </w:rPr>
        <w:t>Robert Timothy Harley v. Robert M. Wil</w:t>
      </w:r>
      <w:r>
        <w:rPr>
          <w:b w:val="0"/>
          <w:bCs w:val="0"/>
          <w:sz w:val="24"/>
          <w:szCs w:val="24"/>
          <w:u w:val="single"/>
        </w:rPr>
        <w:t>kin</w:t>
      </w:r>
      <w:r w:rsidRPr="00506AF4">
        <w:rPr>
          <w:b w:val="0"/>
          <w:bCs w:val="0"/>
          <w:sz w:val="24"/>
          <w:szCs w:val="24"/>
          <w:u w:val="single"/>
        </w:rPr>
        <w:t>son, Acting Attorney General of United States</w:t>
      </w:r>
      <w:r>
        <w:rPr>
          <w:b w:val="0"/>
          <w:bCs w:val="0"/>
          <w:sz w:val="24"/>
          <w:szCs w:val="24"/>
        </w:rPr>
        <w:t>, the U.S. Court of Appeals for the Fourth Circuit held (2 to 1) that federal courts have no authority to amend the life-time ban imposed by Congress in 1996 on possession of a firearm by anyone convicted of “</w:t>
      </w:r>
      <w:hyperlink r:id="rId279" w:history="1">
        <w:r w:rsidRPr="00041BD1">
          <w:rPr>
            <w:rStyle w:val="Hyperlink"/>
            <w:b w:val="0"/>
            <w:bCs w:val="0"/>
            <w:sz w:val="24"/>
            <w:szCs w:val="24"/>
          </w:rPr>
          <w:t>misdemeanor crime of domestic violence</w:t>
        </w:r>
      </w:hyperlink>
      <w:r>
        <w:rPr>
          <w:b w:val="0"/>
          <w:bCs w:val="0"/>
          <w:sz w:val="24"/>
          <w:szCs w:val="24"/>
        </w:rPr>
        <w:t xml:space="preserve">” (18 USC 922 (g)(9)). His only remedy is to seek expungement of the conviction in Virginia, or a pardon from the President. </w:t>
      </w:r>
    </w:p>
    <w:p w14:paraId="44B672A1" w14:textId="77777777" w:rsidR="00CD5950" w:rsidRDefault="00CD5950" w:rsidP="00CD5950">
      <w:pPr>
        <w:pStyle w:val="Heading1"/>
        <w:ind w:left="720"/>
        <w:rPr>
          <w:b w:val="0"/>
          <w:bCs w:val="0"/>
          <w:sz w:val="24"/>
          <w:szCs w:val="24"/>
        </w:rPr>
      </w:pPr>
      <w:r>
        <w:rPr>
          <w:b w:val="0"/>
          <w:bCs w:val="0"/>
          <w:sz w:val="24"/>
          <w:szCs w:val="24"/>
        </w:rPr>
        <w:t>“</w:t>
      </w:r>
      <w:r w:rsidRPr="00A555AB">
        <w:rPr>
          <w:b w:val="0"/>
          <w:bCs w:val="0"/>
          <w:sz w:val="24"/>
          <w:szCs w:val="24"/>
        </w:rPr>
        <w:t>Harley argues that the district court improperly conducted its as-applied analysis under the Second Amendment because the court failed to consider Harley's personal history following his conviction. He contends that his individual characteristics, namely, the long passage of time since his misdemeanor conviction and his exemplary life in the many years since his conviction, render Section 922(g)(9) unconstitutional as applied to him.</w:t>
      </w:r>
    </w:p>
    <w:p w14:paraId="26587543" w14:textId="77777777" w:rsidR="00CD5950" w:rsidRDefault="00CD5950" w:rsidP="00CD5950">
      <w:pPr>
        <w:pStyle w:val="Heading1"/>
        <w:ind w:firstLine="720"/>
        <w:rPr>
          <w:b w:val="0"/>
          <w:bCs w:val="0"/>
          <w:sz w:val="24"/>
          <w:szCs w:val="24"/>
        </w:rPr>
      </w:pPr>
      <w:r>
        <w:rPr>
          <w:b w:val="0"/>
          <w:bCs w:val="0"/>
          <w:sz w:val="24"/>
          <w:szCs w:val="24"/>
        </w:rPr>
        <w:t>***</w:t>
      </w:r>
    </w:p>
    <w:p w14:paraId="2A975EF6" w14:textId="77777777" w:rsidR="00CD5950" w:rsidRDefault="00CD5950" w:rsidP="00CD5950">
      <w:pPr>
        <w:pStyle w:val="Heading1"/>
        <w:ind w:left="720"/>
        <w:rPr>
          <w:b w:val="0"/>
          <w:bCs w:val="0"/>
          <w:sz w:val="24"/>
          <w:szCs w:val="24"/>
        </w:rPr>
      </w:pPr>
      <w:r w:rsidRPr="00DF1EAD">
        <w:rPr>
          <w:b w:val="0"/>
          <w:bCs w:val="0"/>
          <w:sz w:val="24"/>
          <w:szCs w:val="24"/>
        </w:rPr>
        <w:t>Harley's suggested approach is fundamentally flawed because it effectively would create an exception to the statute that does not exist. The statute imposes a flat prohibition, with no reference to individual circumstances occurring after the disqualifying conviction. Despite its power to do so, Congress did not provide a sunset clause or a good behavior exception to the statute.</w:t>
      </w:r>
      <w:r>
        <w:rPr>
          <w:b w:val="0"/>
          <w:bCs w:val="0"/>
          <w:sz w:val="24"/>
          <w:szCs w:val="24"/>
        </w:rPr>
        <w:t xml:space="preserve">” </w:t>
      </w:r>
      <w:hyperlink r:id="rId280" w:history="1">
        <w:r w:rsidRPr="00EA374E">
          <w:rPr>
            <w:rStyle w:val="Hyperlink"/>
            <w:b w:val="0"/>
            <w:bCs w:val="0"/>
            <w:sz w:val="24"/>
            <w:szCs w:val="24"/>
          </w:rPr>
          <w:t>https://www.ca4.uscourts.gov/opinions/191632.P.pdf</w:t>
        </w:r>
      </w:hyperlink>
      <w:r>
        <w:rPr>
          <w:b w:val="0"/>
          <w:bCs w:val="0"/>
          <w:sz w:val="24"/>
          <w:szCs w:val="24"/>
        </w:rPr>
        <w:t xml:space="preserve"> </w:t>
      </w:r>
    </w:p>
    <w:p w14:paraId="0C22D21F" w14:textId="77777777" w:rsidR="00CD5950" w:rsidRDefault="00CD5950" w:rsidP="00CD5950">
      <w:pPr>
        <w:pStyle w:val="NoSpacing"/>
        <w:rPr>
          <w:rFonts w:ascii="Times New Roman" w:hAnsi="Times New Roman"/>
          <w:sz w:val="24"/>
          <w:szCs w:val="24"/>
        </w:rPr>
      </w:pPr>
    </w:p>
    <w:p w14:paraId="66E8928F" w14:textId="77777777" w:rsidR="00CD5950" w:rsidRDefault="00CD5950" w:rsidP="00CD5950">
      <w:pPr>
        <w:pStyle w:val="NoSpacing"/>
        <w:rPr>
          <w:rFonts w:ascii="Times New Roman" w:hAnsi="Times New Roman"/>
          <w:sz w:val="24"/>
          <w:szCs w:val="24"/>
        </w:rPr>
      </w:pPr>
      <w:r w:rsidRPr="00041BD1">
        <w:rPr>
          <w:rFonts w:ascii="Times New Roman" w:hAnsi="Times New Roman"/>
          <w:b/>
          <w:bCs/>
          <w:sz w:val="24"/>
          <w:szCs w:val="24"/>
        </w:rPr>
        <w:t>Legal Lesson Learned:</w:t>
      </w:r>
      <w:r>
        <w:rPr>
          <w:rFonts w:ascii="Times New Roman" w:hAnsi="Times New Roman"/>
          <w:b/>
          <w:bCs/>
          <w:sz w:val="24"/>
          <w:szCs w:val="24"/>
        </w:rPr>
        <w:t xml:space="preserve">  Congress enacted this statute in 1996 in response to an increase in use of firearms in domestic violence cases.  </w:t>
      </w:r>
    </w:p>
    <w:p w14:paraId="034B5DB5" w14:textId="77777777" w:rsidR="00CD5950" w:rsidRDefault="00CD5950" w:rsidP="00CD5950">
      <w:pPr>
        <w:pStyle w:val="NoSpacing"/>
        <w:rPr>
          <w:rFonts w:ascii="Times New Roman" w:hAnsi="Times New Roman"/>
          <w:sz w:val="24"/>
          <w:szCs w:val="24"/>
        </w:rPr>
      </w:pPr>
    </w:p>
    <w:p w14:paraId="7D568F7D" w14:textId="77777777" w:rsidR="00CD5950" w:rsidRDefault="00CD5950" w:rsidP="00CD5950">
      <w:pPr>
        <w:pStyle w:val="NoSpacing"/>
        <w:ind w:left="720"/>
        <w:rPr>
          <w:rFonts w:ascii="Times New Roman" w:hAnsi="Times New Roman"/>
          <w:sz w:val="24"/>
          <w:szCs w:val="24"/>
        </w:rPr>
      </w:pPr>
      <w:r>
        <w:rPr>
          <w:rFonts w:ascii="Times New Roman" w:hAnsi="Times New Roman"/>
          <w:sz w:val="24"/>
          <w:szCs w:val="24"/>
        </w:rPr>
        <w:t xml:space="preserve">Note:   See these additional facts [from Dissenting Opinion by Circuit Judge Julius N. Richardson]  </w:t>
      </w:r>
    </w:p>
    <w:p w14:paraId="7CCBAB17" w14:textId="77777777" w:rsidR="00CD5950" w:rsidRDefault="00CD5950" w:rsidP="00CD5950">
      <w:pPr>
        <w:pStyle w:val="NoSpacing"/>
        <w:rPr>
          <w:rFonts w:ascii="Times New Roman" w:hAnsi="Times New Roman"/>
          <w:sz w:val="24"/>
          <w:szCs w:val="24"/>
        </w:rPr>
      </w:pPr>
    </w:p>
    <w:p w14:paraId="2C6F8BDD" w14:textId="77777777" w:rsidR="00CD5950" w:rsidRPr="00420C04" w:rsidRDefault="00CD5950" w:rsidP="00CD5950">
      <w:pPr>
        <w:pStyle w:val="NoSpacing"/>
        <w:ind w:left="1440"/>
        <w:rPr>
          <w:rFonts w:ascii="Times New Roman" w:eastAsia="Times New Roman" w:hAnsi="Times New Roman"/>
          <w:sz w:val="24"/>
          <w:szCs w:val="24"/>
        </w:rPr>
      </w:pPr>
      <w:r>
        <w:rPr>
          <w:rFonts w:ascii="Times New Roman" w:hAnsi="Times New Roman"/>
          <w:sz w:val="24"/>
          <w:szCs w:val="24"/>
        </w:rPr>
        <w:t>“</w:t>
      </w:r>
      <w:r w:rsidRPr="00420C04">
        <w:rPr>
          <w:rFonts w:ascii="Times New Roman" w:eastAsia="Times New Roman" w:hAnsi="Times New Roman"/>
          <w:sz w:val="24"/>
          <w:szCs w:val="24"/>
        </w:rPr>
        <w:t>Nearly thirty years ago, Harley paid a $75 fine after pleading guilty to a misdemeanor domestic assault charge under Virginia Code § 18.2-57.2. As Harley alleges,</w:t>
      </w:r>
      <w:r>
        <w:rPr>
          <w:rFonts w:ascii="Times New Roman" w:eastAsia="Times New Roman" w:hAnsi="Times New Roman"/>
          <w:sz w:val="24"/>
          <w:szCs w:val="24"/>
        </w:rPr>
        <w:t xml:space="preserve"> </w:t>
      </w:r>
      <w:r w:rsidRPr="00420C04">
        <w:rPr>
          <w:rFonts w:ascii="Times New Roman" w:eastAsia="Times New Roman" w:hAnsi="Times New Roman"/>
          <w:sz w:val="24"/>
          <w:szCs w:val="24"/>
        </w:rPr>
        <w:t xml:space="preserve">[t]he charge was based on a single, </w:t>
      </w:r>
      <w:proofErr w:type="gramStart"/>
      <w:r w:rsidRPr="00420C04">
        <w:rPr>
          <w:rFonts w:ascii="Times New Roman" w:eastAsia="Times New Roman" w:hAnsi="Times New Roman"/>
          <w:sz w:val="24"/>
          <w:szCs w:val="24"/>
        </w:rPr>
        <w:t>one off</w:t>
      </w:r>
      <w:proofErr w:type="gramEnd"/>
      <w:r w:rsidRPr="00420C04">
        <w:rPr>
          <w:rFonts w:ascii="Times New Roman" w:eastAsia="Times New Roman" w:hAnsi="Times New Roman"/>
          <w:sz w:val="24"/>
          <w:szCs w:val="24"/>
        </w:rPr>
        <w:t xml:space="preserve"> incident[:] Mr. Harley and his wife had an argument while she was inside a </w:t>
      </w:r>
      <w:proofErr w:type="gramStart"/>
      <w:r w:rsidRPr="00420C04">
        <w:rPr>
          <w:rFonts w:ascii="Times New Roman" w:eastAsia="Times New Roman" w:hAnsi="Times New Roman"/>
          <w:sz w:val="24"/>
          <w:szCs w:val="24"/>
        </w:rPr>
        <w:t>SUV</w:t>
      </w:r>
      <w:proofErr w:type="gramEnd"/>
      <w:r w:rsidRPr="00420C04">
        <w:rPr>
          <w:rFonts w:ascii="Times New Roman" w:eastAsia="Times New Roman" w:hAnsi="Times New Roman"/>
          <w:sz w:val="24"/>
          <w:szCs w:val="24"/>
        </w:rPr>
        <w:t xml:space="preserve"> and he was standing outside the vehicle. He stood on the running board and reached into the vehicle to turn it off, and she pushed him. He reached inside the vehicle to hold on and, in so doing, he grabbed her arm</w:t>
      </w:r>
      <w:r>
        <w:rPr>
          <w:rFonts w:ascii="Times New Roman" w:eastAsia="Times New Roman" w:hAnsi="Times New Roman"/>
          <w:sz w:val="24"/>
          <w:szCs w:val="24"/>
        </w:rPr>
        <w:t xml:space="preserve">…. </w:t>
      </w:r>
      <w:r w:rsidRPr="00420C04">
        <w:rPr>
          <w:rFonts w:ascii="Times New Roman" w:eastAsia="Times New Roman" w:hAnsi="Times New Roman"/>
          <w:sz w:val="24"/>
          <w:szCs w:val="24"/>
        </w:rPr>
        <w:t xml:space="preserve">During the incident, there </w:t>
      </w:r>
      <w:r>
        <w:rPr>
          <w:rFonts w:ascii="Times New Roman" w:eastAsia="Times New Roman" w:hAnsi="Times New Roman"/>
          <w:sz w:val="24"/>
          <w:szCs w:val="24"/>
        </w:rPr>
        <w:t>‘</w:t>
      </w:r>
      <w:r w:rsidRPr="00420C04">
        <w:rPr>
          <w:rFonts w:ascii="Times New Roman" w:eastAsia="Times New Roman" w:hAnsi="Times New Roman"/>
          <w:sz w:val="24"/>
          <w:szCs w:val="24"/>
        </w:rPr>
        <w:t>was no punching, slapping, hitting, or violence.</w:t>
      </w:r>
      <w:r>
        <w:rPr>
          <w:rFonts w:ascii="Times New Roman" w:eastAsia="Times New Roman" w:hAnsi="Times New Roman"/>
          <w:sz w:val="24"/>
          <w:szCs w:val="24"/>
        </w:rPr>
        <w:t>’</w:t>
      </w:r>
      <w:r w:rsidRPr="00420C04">
        <w:rPr>
          <w:rFonts w:ascii="Times New Roman" w:eastAsia="Times New Roman" w:hAnsi="Times New Roman"/>
          <w:sz w:val="24"/>
          <w:szCs w:val="24"/>
        </w:rPr>
        <w:t xml:space="preserve"> </w:t>
      </w:r>
      <w:r w:rsidRPr="00420C04">
        <w:rPr>
          <w:rFonts w:ascii="Times New Roman" w:eastAsia="Times New Roman" w:hAnsi="Times New Roman"/>
          <w:i/>
          <w:iCs/>
          <w:sz w:val="24"/>
          <w:szCs w:val="24"/>
        </w:rPr>
        <w:t>Id</w:t>
      </w:r>
      <w:r w:rsidRPr="00420C04">
        <w:rPr>
          <w:rFonts w:ascii="Times New Roman" w:eastAsia="Times New Roman" w:hAnsi="Times New Roman"/>
          <w:sz w:val="24"/>
          <w:szCs w:val="24"/>
        </w:rPr>
        <w:t xml:space="preserve">. While Harley and his wife later separated and divorced, they </w:t>
      </w:r>
      <w:r>
        <w:rPr>
          <w:rFonts w:ascii="Times New Roman" w:eastAsia="Times New Roman" w:hAnsi="Times New Roman"/>
          <w:sz w:val="24"/>
          <w:szCs w:val="24"/>
        </w:rPr>
        <w:t>‘</w:t>
      </w:r>
      <w:r w:rsidRPr="00420C04">
        <w:rPr>
          <w:rFonts w:ascii="Times New Roman" w:eastAsia="Times New Roman" w:hAnsi="Times New Roman"/>
          <w:sz w:val="24"/>
          <w:szCs w:val="24"/>
        </w:rPr>
        <w:t>remained on friendly and amicable terms working collaboratively to successfully raise their children.</w:t>
      </w:r>
      <w:r>
        <w:rPr>
          <w:rFonts w:ascii="Times New Roman" w:eastAsia="Times New Roman" w:hAnsi="Times New Roman"/>
          <w:sz w:val="24"/>
          <w:szCs w:val="24"/>
        </w:rPr>
        <w:t>’</w:t>
      </w:r>
      <w:r w:rsidRPr="00420C04">
        <w:rPr>
          <w:rFonts w:ascii="Times New Roman" w:eastAsia="Times New Roman" w:hAnsi="Times New Roman"/>
          <w:sz w:val="24"/>
          <w:szCs w:val="24"/>
        </w:rPr>
        <w:t xml:space="preserve"> </w:t>
      </w:r>
      <w:r w:rsidRPr="00420C04">
        <w:rPr>
          <w:rFonts w:ascii="Times New Roman" w:eastAsia="Times New Roman" w:hAnsi="Times New Roman"/>
          <w:i/>
          <w:iCs/>
          <w:sz w:val="24"/>
          <w:szCs w:val="24"/>
        </w:rPr>
        <w:t>Id</w:t>
      </w:r>
      <w:r w:rsidRPr="00420C04">
        <w:rPr>
          <w:rFonts w:ascii="Times New Roman" w:eastAsia="Times New Roman" w:hAnsi="Times New Roman"/>
          <w:sz w:val="24"/>
          <w:szCs w:val="24"/>
        </w:rPr>
        <w:t>. Harley provided an affidavit from his ex-wife supporting his version of the incident underlying his conviction. J.A. 23-24.</w:t>
      </w:r>
    </w:p>
    <w:p w14:paraId="4E557686" w14:textId="77777777" w:rsidR="00CD5950" w:rsidRDefault="00CD5950" w:rsidP="00CD5950">
      <w:pPr>
        <w:pStyle w:val="NoSpacing"/>
        <w:ind w:left="720" w:firstLine="720"/>
        <w:rPr>
          <w:rFonts w:ascii="Times New Roman" w:hAnsi="Times New Roman"/>
          <w:sz w:val="24"/>
          <w:szCs w:val="24"/>
        </w:rPr>
      </w:pPr>
    </w:p>
    <w:p w14:paraId="7E8E65DF" w14:textId="77777777" w:rsidR="00CD5950" w:rsidRDefault="00CD5950" w:rsidP="00CD5950">
      <w:pPr>
        <w:pStyle w:val="NoSpacing"/>
        <w:ind w:left="720" w:firstLine="720"/>
        <w:rPr>
          <w:rFonts w:ascii="Times New Roman" w:hAnsi="Times New Roman"/>
          <w:sz w:val="24"/>
          <w:szCs w:val="24"/>
        </w:rPr>
      </w:pPr>
    </w:p>
    <w:p w14:paraId="37E70D9B" w14:textId="77777777" w:rsidR="00CD5950" w:rsidRDefault="00CD5950" w:rsidP="00CD5950">
      <w:pPr>
        <w:pStyle w:val="NoSpacing"/>
        <w:ind w:left="720" w:firstLine="720"/>
        <w:rPr>
          <w:rFonts w:ascii="Times New Roman" w:hAnsi="Times New Roman"/>
          <w:sz w:val="24"/>
          <w:szCs w:val="24"/>
        </w:rPr>
      </w:pPr>
      <w:r>
        <w:rPr>
          <w:rFonts w:ascii="Times New Roman" w:hAnsi="Times New Roman"/>
          <w:sz w:val="24"/>
          <w:szCs w:val="24"/>
        </w:rPr>
        <w:t>***</w:t>
      </w:r>
    </w:p>
    <w:p w14:paraId="3601B4DF" w14:textId="77777777" w:rsidR="00CD5950" w:rsidRPr="00420C04" w:rsidRDefault="00CD5950" w:rsidP="00CD5950">
      <w:pPr>
        <w:pStyle w:val="NoSpacing"/>
        <w:ind w:left="1440"/>
        <w:rPr>
          <w:rFonts w:ascii="Times New Roman" w:hAnsi="Times New Roman"/>
          <w:sz w:val="24"/>
          <w:szCs w:val="24"/>
        </w:rPr>
      </w:pPr>
      <w:r w:rsidRPr="00420C04">
        <w:rPr>
          <w:rFonts w:ascii="Times New Roman" w:hAnsi="Times New Roman"/>
          <w:sz w:val="24"/>
          <w:szCs w:val="24"/>
        </w:rPr>
        <w:t xml:space="preserve">The government, citing a police report, suggests that Harley's actions were more serious and perhaps not a lone incident. </w:t>
      </w:r>
      <w:r w:rsidRPr="00420C04">
        <w:rPr>
          <w:rFonts w:ascii="Times New Roman" w:hAnsi="Times New Roman"/>
          <w:i/>
          <w:iCs/>
          <w:sz w:val="24"/>
          <w:szCs w:val="24"/>
        </w:rPr>
        <w:t>See</w:t>
      </w:r>
      <w:r w:rsidRPr="00420C04">
        <w:rPr>
          <w:rFonts w:ascii="Times New Roman" w:hAnsi="Times New Roman"/>
          <w:sz w:val="24"/>
          <w:szCs w:val="24"/>
        </w:rPr>
        <w:t xml:space="preserve"> Appellee Br. 3; J.A. 73. Maybe so. But the district court ignored the conduct underlying the conviction, believing it was not germane, and granted summary judgment for the government. In doing so, the court disregarded Harley's particular conviction.</w:t>
      </w:r>
    </w:p>
    <w:p w14:paraId="7A84A660" w14:textId="77777777" w:rsidR="00CD5950" w:rsidRDefault="00CD5950" w:rsidP="00CD5950">
      <w:pPr>
        <w:pStyle w:val="NoSpacing"/>
        <w:ind w:left="720"/>
        <w:rPr>
          <w:rFonts w:ascii="Times New Roman" w:hAnsi="Times New Roman"/>
          <w:sz w:val="24"/>
          <w:szCs w:val="24"/>
        </w:rPr>
      </w:pPr>
    </w:p>
    <w:p w14:paraId="4DEFA922" w14:textId="77777777" w:rsidR="00CD5950" w:rsidRDefault="00CD5950" w:rsidP="00CD5950">
      <w:pPr>
        <w:pStyle w:val="NoSpacing"/>
        <w:ind w:left="720" w:firstLine="720"/>
        <w:rPr>
          <w:rFonts w:ascii="Times New Roman" w:hAnsi="Times New Roman"/>
          <w:sz w:val="24"/>
          <w:szCs w:val="24"/>
        </w:rPr>
      </w:pPr>
      <w:r>
        <w:rPr>
          <w:rFonts w:ascii="Times New Roman" w:hAnsi="Times New Roman"/>
          <w:sz w:val="24"/>
          <w:szCs w:val="24"/>
        </w:rPr>
        <w:t>***</w:t>
      </w:r>
    </w:p>
    <w:p w14:paraId="7E386BB8" w14:textId="77777777" w:rsidR="00CD5950" w:rsidRDefault="00CD5950" w:rsidP="00CD5950">
      <w:pPr>
        <w:pStyle w:val="NoSpacing"/>
        <w:rPr>
          <w:rFonts w:ascii="Times New Roman" w:hAnsi="Times New Roman"/>
          <w:sz w:val="24"/>
          <w:szCs w:val="24"/>
        </w:rPr>
      </w:pPr>
    </w:p>
    <w:p w14:paraId="55896109" w14:textId="77777777" w:rsidR="00CD5950" w:rsidRPr="00420C04" w:rsidRDefault="00CD5950" w:rsidP="00CD5950">
      <w:pPr>
        <w:pStyle w:val="NoSpacing"/>
        <w:ind w:left="1440"/>
        <w:rPr>
          <w:rFonts w:ascii="Times New Roman" w:hAnsi="Times New Roman"/>
          <w:sz w:val="24"/>
          <w:szCs w:val="24"/>
        </w:rPr>
      </w:pPr>
      <w:r w:rsidRPr="00420C04">
        <w:rPr>
          <w:rFonts w:ascii="Times New Roman" w:hAnsi="Times New Roman"/>
          <w:sz w:val="24"/>
          <w:szCs w:val="24"/>
        </w:rPr>
        <w:t>Harley plausibly claims that § 922(g)(9) cannot be constitutionally applied to him as an individual with a nearly thirty-year-old misdemeanor conviction for recklessly causing an offensive touching. We should not categorically reject that claim. Accordingly, I respectfully dissent.</w:t>
      </w:r>
      <w:r>
        <w:rPr>
          <w:rFonts w:ascii="Times New Roman" w:hAnsi="Times New Roman"/>
          <w:sz w:val="24"/>
          <w:szCs w:val="24"/>
        </w:rPr>
        <w:t>”</w:t>
      </w:r>
    </w:p>
    <w:p w14:paraId="125C8564" w14:textId="77777777" w:rsidR="00CD5950" w:rsidRDefault="00CD5950" w:rsidP="00CD5950">
      <w:pPr>
        <w:pStyle w:val="NoSpacing"/>
        <w:ind w:left="720"/>
        <w:rPr>
          <w:rFonts w:ascii="Times New Roman" w:hAnsi="Times New Roman"/>
          <w:sz w:val="24"/>
          <w:szCs w:val="24"/>
        </w:rPr>
      </w:pPr>
    </w:p>
    <w:p w14:paraId="30F0AFD9" w14:textId="77777777" w:rsidR="00CD5950" w:rsidRDefault="00CD5950" w:rsidP="002B1283">
      <w:pPr>
        <w:rPr>
          <w:rFonts w:ascii="Arial Black" w:hAnsi="Arial Black"/>
          <w:b/>
          <w:sz w:val="24"/>
          <w:szCs w:val="24"/>
        </w:rPr>
      </w:pPr>
    </w:p>
    <w:p w14:paraId="3772B35A" w14:textId="77777777" w:rsidR="00CD5950" w:rsidRDefault="00CD5950" w:rsidP="002B1283">
      <w:pPr>
        <w:rPr>
          <w:rFonts w:ascii="Arial Black" w:hAnsi="Arial Black"/>
          <w:b/>
          <w:sz w:val="24"/>
          <w:szCs w:val="24"/>
        </w:rPr>
      </w:pPr>
    </w:p>
    <w:p w14:paraId="50C66CFE" w14:textId="43748C91" w:rsidR="00F90EE5" w:rsidRDefault="00F90EE5"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2</w:t>
      </w:r>
    </w:p>
    <w:p w14:paraId="6F934797" w14:textId="77777777" w:rsidR="00F90EE5" w:rsidRDefault="00F90EE5" w:rsidP="00F90EE5">
      <w:pPr>
        <w:rPr>
          <w:rFonts w:ascii="Arial Black" w:hAnsi="Arial Black"/>
          <w:sz w:val="28"/>
          <w:szCs w:val="28"/>
        </w:rPr>
      </w:pPr>
      <w:r>
        <w:rPr>
          <w:rFonts w:ascii="Arial Black" w:hAnsi="Arial Black"/>
          <w:sz w:val="28"/>
          <w:szCs w:val="28"/>
        </w:rPr>
        <w:t>WA: BURN BAN – SMALL FIRE – PD NEEDED WARRANT, “COMMUNITY CARETAKING” EXCEPTION DOESN’T APPY</w:t>
      </w:r>
    </w:p>
    <w:p w14:paraId="002E708F" w14:textId="77777777" w:rsidR="00F90EE5" w:rsidRDefault="00F90EE5" w:rsidP="00F90EE5">
      <w:pPr>
        <w:rPr>
          <w:rFonts w:ascii="Times New Roman" w:hAnsi="Times New Roman"/>
          <w:sz w:val="24"/>
          <w:szCs w:val="24"/>
        </w:rPr>
      </w:pPr>
      <w:r>
        <w:rPr>
          <w:rFonts w:ascii="Times New Roman" w:hAnsi="Times New Roman"/>
          <w:sz w:val="24"/>
          <w:szCs w:val="24"/>
        </w:rPr>
        <w:t xml:space="preserve">On Jan. 26, 2021, in </w:t>
      </w:r>
      <w:r w:rsidRPr="00E17590">
        <w:rPr>
          <w:rFonts w:ascii="Times New Roman" w:hAnsi="Times New Roman"/>
          <w:sz w:val="24"/>
          <w:szCs w:val="24"/>
          <w:u w:val="single"/>
        </w:rPr>
        <w:t xml:space="preserve">State of Washington v. Troy C. </w:t>
      </w:r>
      <w:proofErr w:type="spellStart"/>
      <w:r w:rsidRPr="00E17590">
        <w:rPr>
          <w:rFonts w:ascii="Times New Roman" w:hAnsi="Times New Roman"/>
          <w:sz w:val="24"/>
          <w:szCs w:val="24"/>
          <w:u w:val="single"/>
        </w:rPr>
        <w:t>Restvedt</w:t>
      </w:r>
      <w:proofErr w:type="spellEnd"/>
      <w:r>
        <w:rPr>
          <w:rFonts w:ascii="Times New Roman" w:hAnsi="Times New Roman"/>
          <w:sz w:val="24"/>
          <w:szCs w:val="24"/>
        </w:rPr>
        <w:t xml:space="preserve">, the Court of Appeals of the State of Washington (Division II) held (2 to 1; unpublished opinion) that </w:t>
      </w:r>
      <w:r w:rsidRPr="00E17590">
        <w:rPr>
          <w:rFonts w:ascii="Times New Roman" w:hAnsi="Times New Roman"/>
          <w:sz w:val="24"/>
          <w:szCs w:val="24"/>
        </w:rPr>
        <w:t xml:space="preserve">the trial court trial court </w:t>
      </w:r>
      <w:r>
        <w:rPr>
          <w:rFonts w:ascii="Times New Roman" w:hAnsi="Times New Roman"/>
          <w:sz w:val="24"/>
          <w:szCs w:val="24"/>
        </w:rPr>
        <w:t xml:space="preserve">improperly ruled </w:t>
      </w:r>
      <w:r w:rsidRPr="00E17590">
        <w:rPr>
          <w:rFonts w:ascii="Times New Roman" w:hAnsi="Times New Roman"/>
          <w:sz w:val="24"/>
          <w:szCs w:val="24"/>
        </w:rPr>
        <w:t>that the emergency aid function of the community caretaking exception applied to the officers' warrantless search</w:t>
      </w:r>
      <w:r>
        <w:rPr>
          <w:rFonts w:ascii="Times New Roman" w:hAnsi="Times New Roman"/>
          <w:sz w:val="24"/>
          <w:szCs w:val="24"/>
        </w:rPr>
        <w:t xml:space="preserve"> of the property and reversed the homeowners convictions for violating the no burn ordinance and resisting arrest.  The dissenting justice agreed with the trial court judge that no search warrant was required.</w:t>
      </w:r>
    </w:p>
    <w:p w14:paraId="10A0C571" w14:textId="77777777" w:rsidR="00F90EE5" w:rsidRPr="00D52F5A" w:rsidRDefault="00F90EE5" w:rsidP="00F90EE5">
      <w:pPr>
        <w:ind w:left="720"/>
        <w:rPr>
          <w:rFonts w:ascii="Times New Roman" w:hAnsi="Times New Roman"/>
          <w:sz w:val="24"/>
          <w:szCs w:val="24"/>
        </w:rPr>
      </w:pPr>
      <w:r>
        <w:rPr>
          <w:rFonts w:ascii="Times New Roman" w:hAnsi="Times New Roman"/>
          <w:sz w:val="24"/>
          <w:szCs w:val="24"/>
        </w:rPr>
        <w:t>“[T]he</w:t>
      </w:r>
      <w:r w:rsidRPr="00D52F5A">
        <w:rPr>
          <w:rFonts w:ascii="Times New Roman" w:hAnsi="Times New Roman"/>
          <w:sz w:val="24"/>
          <w:szCs w:val="24"/>
        </w:rPr>
        <w:t xml:space="preserve"> community caretaking exception is not the only exception to the warrant requirement. If officers were addressing a fire that was out of control, the exigent circumstances exception to the warrant requirement could have applied. </w:t>
      </w:r>
      <w:r w:rsidRPr="00D52F5A">
        <w:rPr>
          <w:rFonts w:ascii="Times New Roman" w:hAnsi="Times New Roman"/>
          <w:i/>
          <w:iCs/>
          <w:sz w:val="24"/>
          <w:szCs w:val="24"/>
        </w:rPr>
        <w:t>See State v</w:t>
      </w:r>
      <w:r w:rsidRPr="00D52F5A">
        <w:rPr>
          <w:rFonts w:ascii="Times New Roman" w:hAnsi="Times New Roman"/>
          <w:sz w:val="24"/>
          <w:szCs w:val="24"/>
        </w:rPr>
        <w:t xml:space="preserve">. </w:t>
      </w:r>
      <w:r w:rsidRPr="00D52F5A">
        <w:rPr>
          <w:rFonts w:ascii="Times New Roman" w:hAnsi="Times New Roman"/>
          <w:i/>
          <w:iCs/>
          <w:sz w:val="24"/>
          <w:szCs w:val="24"/>
        </w:rPr>
        <w:t>Rawley</w:t>
      </w:r>
      <w:r w:rsidRPr="00D52F5A">
        <w:rPr>
          <w:rFonts w:ascii="Times New Roman" w:hAnsi="Times New Roman"/>
          <w:sz w:val="24"/>
          <w:szCs w:val="24"/>
        </w:rPr>
        <w:t xml:space="preserve">, 13 </w:t>
      </w:r>
      <w:proofErr w:type="spellStart"/>
      <w:r w:rsidRPr="00D52F5A">
        <w:rPr>
          <w:rFonts w:ascii="Times New Roman" w:hAnsi="Times New Roman"/>
          <w:sz w:val="24"/>
          <w:szCs w:val="24"/>
        </w:rPr>
        <w:t>Wn</w:t>
      </w:r>
      <w:proofErr w:type="spellEnd"/>
      <w:r w:rsidRPr="00D52F5A">
        <w:rPr>
          <w:rFonts w:ascii="Times New Roman" w:hAnsi="Times New Roman"/>
          <w:sz w:val="24"/>
          <w:szCs w:val="24"/>
        </w:rPr>
        <w:t>. App. 2d 474, 479, 466 P.3d 784 (2020). But here there was no evidence of any exigent circumstances.</w:t>
      </w:r>
      <w:r>
        <w:rPr>
          <w:rFonts w:ascii="Times New Roman" w:hAnsi="Times New Roman"/>
          <w:sz w:val="24"/>
          <w:szCs w:val="24"/>
        </w:rPr>
        <w:t xml:space="preserve">” </w:t>
      </w:r>
      <w:hyperlink r:id="rId281" w:history="1">
        <w:r w:rsidRPr="00741B4E">
          <w:rPr>
            <w:rStyle w:val="Hyperlink"/>
            <w:rFonts w:ascii="Times New Roman" w:hAnsi="Times New Roman"/>
            <w:sz w:val="24"/>
            <w:szCs w:val="24"/>
          </w:rPr>
          <w:t>https://law.justia.com/cases/washington/court-of-appeals-division-ii/2021/53365-1.html</w:t>
        </w:r>
      </w:hyperlink>
      <w:r>
        <w:rPr>
          <w:rFonts w:ascii="Times New Roman" w:hAnsi="Times New Roman"/>
          <w:sz w:val="24"/>
          <w:szCs w:val="24"/>
        </w:rPr>
        <w:t xml:space="preserve"> </w:t>
      </w:r>
    </w:p>
    <w:p w14:paraId="126D9A86" w14:textId="77777777" w:rsidR="00F90EE5" w:rsidRDefault="00F90EE5" w:rsidP="00F90EE5">
      <w:pPr>
        <w:spacing w:after="100" w:line="240" w:lineRule="auto"/>
        <w:rPr>
          <w:rFonts w:ascii="Times New Roman" w:hAnsi="Times New Roman"/>
          <w:b/>
          <w:bCs/>
          <w:sz w:val="24"/>
          <w:szCs w:val="24"/>
        </w:rPr>
      </w:pPr>
      <w:r w:rsidRPr="00AF6A7E">
        <w:rPr>
          <w:rFonts w:ascii="Times New Roman" w:hAnsi="Times New Roman"/>
          <w:b/>
          <w:bCs/>
          <w:sz w:val="24"/>
          <w:szCs w:val="24"/>
        </w:rPr>
        <w:t xml:space="preserve">Legal Lesson Learned: </w:t>
      </w:r>
      <w:r>
        <w:rPr>
          <w:rFonts w:ascii="Times New Roman" w:hAnsi="Times New Roman"/>
          <w:b/>
          <w:bCs/>
          <w:sz w:val="24"/>
          <w:szCs w:val="24"/>
        </w:rPr>
        <w:t xml:space="preserve"> The dissenting judge agreed with the trial court that the police did not need a search warrant to enter the property. </w:t>
      </w:r>
      <w:r>
        <w:rPr>
          <w:rFonts w:ascii="Times New Roman" w:hAnsi="Times New Roman"/>
          <w:b/>
          <w:bCs/>
          <w:sz w:val="24"/>
          <w:szCs w:val="24"/>
        </w:rPr>
        <w:br/>
      </w:r>
    </w:p>
    <w:p w14:paraId="11CDB43D" w14:textId="77777777" w:rsidR="00F90EE5" w:rsidRDefault="00F90EE5" w:rsidP="00F90EE5">
      <w:pPr>
        <w:spacing w:after="100" w:line="240" w:lineRule="auto"/>
        <w:rPr>
          <w:rFonts w:ascii="Times New Roman" w:hAnsi="Times New Roman"/>
          <w:b/>
          <w:bCs/>
          <w:sz w:val="24"/>
          <w:szCs w:val="24"/>
        </w:rPr>
      </w:pPr>
      <w:r>
        <w:rPr>
          <w:rFonts w:ascii="Times New Roman" w:hAnsi="Times New Roman"/>
          <w:b/>
          <w:bCs/>
          <w:sz w:val="24"/>
          <w:szCs w:val="24"/>
        </w:rPr>
        <w:tab/>
      </w:r>
      <w:r w:rsidRPr="00AF6A7E">
        <w:rPr>
          <w:rFonts w:ascii="Times New Roman" w:hAnsi="Times New Roman"/>
          <w:sz w:val="24"/>
          <w:szCs w:val="24"/>
        </w:rPr>
        <w:t>Note: Dissenting Judge</w:t>
      </w:r>
      <w:r>
        <w:rPr>
          <w:rFonts w:ascii="Times New Roman" w:hAnsi="Times New Roman"/>
          <w:sz w:val="24"/>
          <w:szCs w:val="24"/>
        </w:rPr>
        <w:t>’s opinion</w:t>
      </w:r>
      <w:r w:rsidRPr="00AF6A7E">
        <w:rPr>
          <w:rFonts w:ascii="Times New Roman" w:hAnsi="Times New Roman"/>
          <w:sz w:val="24"/>
          <w:szCs w:val="24"/>
        </w:rPr>
        <w:t>:</w:t>
      </w:r>
      <w:r>
        <w:rPr>
          <w:rFonts w:ascii="Times New Roman" w:hAnsi="Times New Roman"/>
          <w:b/>
          <w:bCs/>
          <w:sz w:val="24"/>
          <w:szCs w:val="24"/>
        </w:rPr>
        <w:t xml:space="preserve"> </w:t>
      </w:r>
    </w:p>
    <w:p w14:paraId="1B884C6C" w14:textId="77777777" w:rsidR="00F90EE5" w:rsidRPr="00AF6A7E" w:rsidRDefault="00F90EE5" w:rsidP="00F90EE5">
      <w:pPr>
        <w:spacing w:after="100" w:line="240" w:lineRule="auto"/>
        <w:ind w:left="720"/>
        <w:rPr>
          <w:rFonts w:ascii="Times New Roman" w:hAnsi="Times New Roman"/>
          <w:b/>
          <w:bCs/>
          <w:sz w:val="24"/>
          <w:szCs w:val="24"/>
        </w:rPr>
      </w:pPr>
      <w:r>
        <w:rPr>
          <w:rFonts w:ascii="Times New Roman" w:hAnsi="Times New Roman"/>
          <w:b/>
          <w:bCs/>
          <w:sz w:val="24"/>
          <w:szCs w:val="24"/>
        </w:rPr>
        <w:t>“</w:t>
      </w:r>
      <w:r w:rsidRPr="00AF6A7E">
        <w:rPr>
          <w:rFonts w:ascii="Times New Roman" w:hAnsi="Times New Roman"/>
          <w:sz w:val="24"/>
          <w:szCs w:val="24"/>
        </w:rPr>
        <w:t xml:space="preserve">The trial court concluded that given what the officers knew when they arrived, that there was a burn ban because of severe fire danger, that </w:t>
      </w:r>
      <w:proofErr w:type="spellStart"/>
      <w:r w:rsidRPr="00AF6A7E">
        <w:rPr>
          <w:rFonts w:ascii="Times New Roman" w:hAnsi="Times New Roman"/>
          <w:sz w:val="24"/>
          <w:szCs w:val="24"/>
        </w:rPr>
        <w:t>Restvedt</w:t>
      </w:r>
      <w:proofErr w:type="spellEnd"/>
      <w:r w:rsidRPr="00AF6A7E">
        <w:rPr>
          <w:rFonts w:ascii="Times New Roman" w:hAnsi="Times New Roman"/>
          <w:sz w:val="24"/>
          <w:szCs w:val="24"/>
        </w:rPr>
        <w:t xml:space="preserve"> was ignoring a fire department demand that he not burn fires in his backyard, that the fire department had asked for police assistance, that there were large trees nearby, and that they smelled smoke as soon as they arrived, this warranted them walking on the gravel driveway toward the backyard. Once they were near the backyard, they saw the fire through hanging tarps. All of this warranted them entering the backyard because they had </w:t>
      </w:r>
      <w:r>
        <w:rPr>
          <w:rFonts w:ascii="Times New Roman" w:hAnsi="Times New Roman"/>
          <w:sz w:val="24"/>
          <w:szCs w:val="24"/>
        </w:rPr>
        <w:t>‘</w:t>
      </w:r>
      <w:r w:rsidRPr="00AF6A7E">
        <w:rPr>
          <w:rFonts w:ascii="Times New Roman" w:hAnsi="Times New Roman"/>
          <w:sz w:val="24"/>
          <w:szCs w:val="24"/>
        </w:rPr>
        <w:t>a legitimate emergency concern in ensuring the defendant's fire was out during a county-wide burn ban</w:t>
      </w:r>
      <w:r>
        <w:rPr>
          <w:rFonts w:ascii="Times New Roman" w:hAnsi="Times New Roman"/>
          <w:sz w:val="24"/>
          <w:szCs w:val="24"/>
        </w:rPr>
        <w:t>’</w:t>
      </w:r>
      <w:r w:rsidRPr="00AF6A7E">
        <w:rPr>
          <w:rFonts w:ascii="Times New Roman" w:hAnsi="Times New Roman"/>
          <w:sz w:val="24"/>
          <w:szCs w:val="24"/>
        </w:rPr>
        <w:t xml:space="preserve"> under the community caretaking exception to the warrant requirement.</w:t>
      </w:r>
      <w:r>
        <w:rPr>
          <w:rFonts w:ascii="Times New Roman" w:hAnsi="Times New Roman"/>
          <w:sz w:val="24"/>
          <w:szCs w:val="24"/>
        </w:rPr>
        <w:t>”</w:t>
      </w:r>
    </w:p>
    <w:p w14:paraId="56E890EB" w14:textId="77777777" w:rsidR="00F90EE5" w:rsidRDefault="00F90EE5" w:rsidP="00F90EE5">
      <w:pPr>
        <w:spacing w:after="100" w:line="240" w:lineRule="auto"/>
        <w:ind w:left="720"/>
        <w:rPr>
          <w:rFonts w:ascii="Times New Roman" w:hAnsi="Times New Roman"/>
          <w:sz w:val="24"/>
          <w:szCs w:val="24"/>
        </w:rPr>
      </w:pPr>
    </w:p>
    <w:p w14:paraId="773E9EC0" w14:textId="40DF3C82" w:rsidR="00F90EE5" w:rsidRDefault="00F90EE5"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1</w:t>
      </w:r>
    </w:p>
    <w:p w14:paraId="2C155BE7" w14:textId="77777777" w:rsidR="00F90EE5" w:rsidRPr="00E91447" w:rsidRDefault="00F90EE5" w:rsidP="00F90EE5">
      <w:pPr>
        <w:rPr>
          <w:rFonts w:ascii="Arial Black" w:hAnsi="Arial Black"/>
          <w:sz w:val="28"/>
          <w:szCs w:val="28"/>
        </w:rPr>
      </w:pPr>
      <w:r>
        <w:rPr>
          <w:rFonts w:ascii="Arial Black" w:hAnsi="Arial Black"/>
          <w:sz w:val="28"/>
          <w:szCs w:val="28"/>
        </w:rPr>
        <w:t>IOWA:  ARSON – MOTORCYCLE HELMET / GLOVES / SUIT SMELLED GAS – USE NYLON EVIDENCE BAGS IF AVAILABLE</w:t>
      </w:r>
    </w:p>
    <w:p w14:paraId="4A736B42" w14:textId="77777777" w:rsidR="00F90EE5" w:rsidRDefault="00F90EE5" w:rsidP="00F90EE5">
      <w:pPr>
        <w:rPr>
          <w:rFonts w:ascii="Times New Roman" w:hAnsi="Times New Roman"/>
          <w:sz w:val="24"/>
          <w:szCs w:val="24"/>
        </w:rPr>
      </w:pPr>
      <w:r w:rsidRPr="00E91447">
        <w:rPr>
          <w:rFonts w:ascii="Times New Roman" w:hAnsi="Times New Roman"/>
          <w:sz w:val="24"/>
          <w:szCs w:val="24"/>
        </w:rPr>
        <w:t xml:space="preserve">On Jan. 21, 2021, in </w:t>
      </w:r>
      <w:r w:rsidRPr="00E91447">
        <w:rPr>
          <w:rFonts w:ascii="Times New Roman" w:hAnsi="Times New Roman"/>
          <w:sz w:val="24"/>
          <w:szCs w:val="24"/>
          <w:u w:val="single"/>
        </w:rPr>
        <w:t>State of Iowa v. Patrick Ryan Thompson</w:t>
      </w:r>
      <w:r>
        <w:rPr>
          <w:rFonts w:ascii="Times New Roman" w:hAnsi="Times New Roman"/>
          <w:sz w:val="24"/>
          <w:szCs w:val="24"/>
        </w:rPr>
        <w:t>, the Court of Appeals of Iowa upheld (3 to 0) the jury conviction for murder and arson; while the smell of gasoline on the defendant’s motorcycle suit, helmet and gloves, when evidence reached the state crime lab “</w:t>
      </w:r>
      <w:r w:rsidRPr="00A1755E">
        <w:rPr>
          <w:rFonts w:ascii="Times New Roman" w:hAnsi="Times New Roman"/>
          <w:sz w:val="24"/>
          <w:szCs w:val="24"/>
        </w:rPr>
        <w:t>none of the items had traces of gasoline.</w:t>
      </w:r>
      <w:r>
        <w:rPr>
          <w:rFonts w:ascii="Times New Roman" w:hAnsi="Times New Roman"/>
          <w:sz w:val="24"/>
          <w:szCs w:val="24"/>
        </w:rPr>
        <w:t xml:space="preserve">”  The trial judge properly refused to give the jury instruction on “spoliation.”  </w:t>
      </w:r>
    </w:p>
    <w:p w14:paraId="48E6A19C" w14:textId="77777777" w:rsidR="00F90EE5" w:rsidRDefault="00F90EE5" w:rsidP="00F90EE5">
      <w:pPr>
        <w:ind w:left="720"/>
        <w:rPr>
          <w:rFonts w:ascii="Times New Roman" w:hAnsi="Times New Roman"/>
          <w:sz w:val="24"/>
          <w:szCs w:val="24"/>
        </w:rPr>
      </w:pPr>
      <w:r>
        <w:rPr>
          <w:rFonts w:ascii="Times New Roman" w:hAnsi="Times New Roman"/>
          <w:sz w:val="24"/>
          <w:szCs w:val="24"/>
        </w:rPr>
        <w:t>“</w:t>
      </w:r>
      <w:r w:rsidRPr="00A1755E">
        <w:rPr>
          <w:rFonts w:ascii="Times New Roman" w:hAnsi="Times New Roman"/>
          <w:sz w:val="24"/>
          <w:szCs w:val="24"/>
        </w:rPr>
        <w:t>The nylon bags are expensive, and departments do not always have them. In this case, while waiting for a warrant to collect the evidence, which took more than two hours, law enforcement officials attempted to locate a nylon bag and were unable to do so. The items were placed in a paper bag and then placed in the trunk of the collecting officer's car. When the paper bag was delivered to the lab for testing, it was placed in a nylon bag. Later, when the bag was opened, the smell of gasoline had dissipated.</w:t>
      </w:r>
    </w:p>
    <w:p w14:paraId="7B3572F8" w14:textId="77777777" w:rsidR="00F90EE5" w:rsidRPr="00A1755E" w:rsidRDefault="00F90EE5" w:rsidP="00F90EE5">
      <w:pPr>
        <w:ind w:left="720"/>
        <w:rPr>
          <w:rFonts w:ascii="Times New Roman" w:hAnsi="Times New Roman"/>
          <w:sz w:val="24"/>
          <w:szCs w:val="24"/>
        </w:rPr>
      </w:pPr>
      <w:r>
        <w:rPr>
          <w:rFonts w:ascii="Times New Roman" w:hAnsi="Times New Roman"/>
          <w:sz w:val="24"/>
          <w:szCs w:val="24"/>
        </w:rPr>
        <w:t>***</w:t>
      </w:r>
    </w:p>
    <w:p w14:paraId="4C88A0A9" w14:textId="77777777" w:rsidR="00F90EE5" w:rsidRDefault="00F90EE5" w:rsidP="00F90EE5">
      <w:pPr>
        <w:pStyle w:val="NoSpacing"/>
        <w:ind w:left="720"/>
        <w:rPr>
          <w:rFonts w:ascii="Times New Roman" w:hAnsi="Times New Roman"/>
          <w:sz w:val="24"/>
          <w:szCs w:val="24"/>
        </w:rPr>
      </w:pPr>
      <w:r w:rsidRPr="009D30DF">
        <w:rPr>
          <w:rFonts w:ascii="Times New Roman" w:hAnsi="Times New Roman"/>
          <w:sz w:val="24"/>
          <w:szCs w:val="24"/>
        </w:rPr>
        <w:t xml:space="preserve">Thompson has failed to show there was an intentional destruction of evidence to necessitate a spoliation instruction. </w:t>
      </w:r>
      <w:hyperlink r:id="rId282" w:history="1">
        <w:r w:rsidRPr="00574F77">
          <w:rPr>
            <w:rStyle w:val="Hyperlink"/>
            <w:rFonts w:ascii="Times New Roman" w:hAnsi="Times New Roman"/>
            <w:sz w:val="24"/>
            <w:szCs w:val="24"/>
          </w:rPr>
          <w:t>https://law.justia.com/cases/iowa/court-of-appeals/2021/18-1821.html</w:t>
        </w:r>
      </w:hyperlink>
      <w:r>
        <w:rPr>
          <w:rFonts w:ascii="Times New Roman" w:hAnsi="Times New Roman"/>
          <w:sz w:val="24"/>
          <w:szCs w:val="24"/>
        </w:rPr>
        <w:t xml:space="preserve"> </w:t>
      </w:r>
    </w:p>
    <w:p w14:paraId="14D4A274" w14:textId="77777777" w:rsidR="00F90EE5" w:rsidRPr="00AC3DB0" w:rsidRDefault="00F90EE5" w:rsidP="00F90EE5">
      <w:pPr>
        <w:spacing w:before="100" w:beforeAutospacing="1" w:after="100" w:afterAutospacing="1" w:line="240" w:lineRule="auto"/>
        <w:rPr>
          <w:rFonts w:ascii="Times New Roman" w:eastAsia="Times New Roman" w:hAnsi="Times New Roman"/>
          <w:b/>
          <w:bCs/>
          <w:sz w:val="24"/>
          <w:szCs w:val="24"/>
        </w:rPr>
      </w:pPr>
      <w:r w:rsidRPr="00AC3DB0">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 jury instruction on “spoliation” is only required under Iowa law when there has been an intentional act of destruction.   Other states may require when evidence is </w:t>
      </w:r>
      <w:proofErr w:type="gramStart"/>
      <w:r>
        <w:rPr>
          <w:rFonts w:ascii="Times New Roman" w:eastAsia="Times New Roman" w:hAnsi="Times New Roman"/>
          <w:b/>
          <w:bCs/>
          <w:sz w:val="24"/>
          <w:szCs w:val="24"/>
        </w:rPr>
        <w:t>loss</w:t>
      </w:r>
      <w:proofErr w:type="gramEnd"/>
      <w:r>
        <w:rPr>
          <w:rFonts w:ascii="Times New Roman" w:eastAsia="Times New Roman" w:hAnsi="Times New Roman"/>
          <w:b/>
          <w:bCs/>
          <w:sz w:val="24"/>
          <w:szCs w:val="24"/>
        </w:rPr>
        <w:t xml:space="preserve"> due to negligence.  </w:t>
      </w:r>
    </w:p>
    <w:p w14:paraId="6C9FC22E" w14:textId="7FA88298" w:rsidR="00F90EE5" w:rsidRDefault="00F90EE5" w:rsidP="00F90EE5">
      <w:pPr>
        <w:pStyle w:val="NormalWeb"/>
        <w:ind w:left="720"/>
      </w:pPr>
      <w:r>
        <w:t xml:space="preserve">Note: Under Iowa case law: </w:t>
      </w:r>
      <w:r w:rsidRPr="00AC3DB0">
        <w:t> </w:t>
      </w:r>
      <w:r>
        <w:t xml:space="preserve">"Spoliation involves more than destruction of evidence. Application of the concept requires an intentional act of destruction. Only intentional destruction supports the rationale of the rule that </w:t>
      </w:r>
      <w:proofErr w:type="gramStart"/>
      <w:r>
        <w:t>the destruction</w:t>
      </w:r>
      <w:proofErr w:type="gramEnd"/>
      <w:r>
        <w:t xml:space="preserve"> amounts to an admission by conduct of the weakness of one's case." </w:t>
      </w:r>
      <w:r>
        <w:rPr>
          <w:i/>
          <w:iCs/>
        </w:rPr>
        <w:t>State v</w:t>
      </w:r>
      <w:r>
        <w:t xml:space="preserve">. </w:t>
      </w:r>
      <w:r>
        <w:rPr>
          <w:i/>
          <w:iCs/>
        </w:rPr>
        <w:t>Langlet</w:t>
      </w:r>
      <w:r>
        <w:t>, 283 N.W.2d 330, 333 (Iowa 1979).</w:t>
      </w:r>
      <w:r w:rsidR="00F00958">
        <w:t xml:space="preserve"> </w:t>
      </w:r>
      <w:r>
        <w:t xml:space="preserve">See other states: </w:t>
      </w:r>
      <w:hyperlink r:id="rId283" w:history="1">
        <w:r w:rsidRPr="00574F77">
          <w:rPr>
            <w:rStyle w:val="Hyperlink"/>
          </w:rPr>
          <w:t>https://www.mwl-law.com/wp-content/uploads/2018/02/SPOLIATION-OF-EVIDENCE-CHART.pdf</w:t>
        </w:r>
      </w:hyperlink>
      <w:r>
        <w:t xml:space="preserve"> </w:t>
      </w:r>
    </w:p>
    <w:p w14:paraId="308843F2" w14:textId="77777777" w:rsidR="00F90EE5" w:rsidRDefault="00F90EE5" w:rsidP="00F90EE5">
      <w:pPr>
        <w:pStyle w:val="NoSpacing"/>
        <w:ind w:left="720"/>
        <w:rPr>
          <w:rFonts w:ascii="Times New Roman" w:hAnsi="Times New Roman"/>
          <w:sz w:val="24"/>
          <w:szCs w:val="24"/>
        </w:rPr>
      </w:pPr>
    </w:p>
    <w:p w14:paraId="35377878" w14:textId="77777777" w:rsidR="00F90EE5" w:rsidRDefault="00F90EE5" w:rsidP="002B1283">
      <w:pPr>
        <w:rPr>
          <w:rFonts w:ascii="Arial Black" w:hAnsi="Arial Black"/>
          <w:b/>
          <w:sz w:val="24"/>
          <w:szCs w:val="24"/>
        </w:rPr>
      </w:pPr>
    </w:p>
    <w:p w14:paraId="67B7150B" w14:textId="77777777" w:rsidR="00F90EE5" w:rsidRDefault="00F90EE5" w:rsidP="002B1283">
      <w:pPr>
        <w:rPr>
          <w:rFonts w:ascii="Arial Black" w:hAnsi="Arial Black"/>
          <w:b/>
          <w:sz w:val="24"/>
          <w:szCs w:val="24"/>
        </w:rPr>
      </w:pPr>
    </w:p>
    <w:p w14:paraId="1A365E1E" w14:textId="6D6A4DE1" w:rsidR="005E132A" w:rsidRDefault="005E132A" w:rsidP="002B1283">
      <w:pPr>
        <w:rPr>
          <w:rFonts w:ascii="Arial Black" w:hAnsi="Arial Black"/>
          <w:b/>
          <w:sz w:val="24"/>
          <w:szCs w:val="24"/>
        </w:rPr>
      </w:pPr>
      <w:r>
        <w:rPr>
          <w:rFonts w:ascii="Arial Black" w:hAnsi="Arial Black"/>
          <w:b/>
          <w:sz w:val="24"/>
          <w:szCs w:val="24"/>
        </w:rPr>
        <w:t>1-7</w:t>
      </w:r>
      <w:r w:rsidR="000F483A">
        <w:rPr>
          <w:rFonts w:ascii="Arial Black" w:hAnsi="Arial Black"/>
          <w:b/>
          <w:sz w:val="24"/>
          <w:szCs w:val="24"/>
        </w:rPr>
        <w:t>0</w:t>
      </w:r>
    </w:p>
    <w:p w14:paraId="7224EB54" w14:textId="77777777" w:rsidR="005E132A" w:rsidRDefault="005E132A" w:rsidP="005E132A">
      <w:pPr>
        <w:pStyle w:val="NoSpacing"/>
        <w:rPr>
          <w:rFonts w:ascii="Arial Black" w:hAnsi="Arial Black"/>
          <w:sz w:val="28"/>
          <w:szCs w:val="28"/>
        </w:rPr>
      </w:pPr>
      <w:bookmarkStart w:id="13" w:name="_Hlk66941108"/>
      <w:r>
        <w:rPr>
          <w:rFonts w:ascii="Arial Black" w:hAnsi="Arial Black"/>
          <w:sz w:val="28"/>
          <w:szCs w:val="28"/>
        </w:rPr>
        <w:t>IL: ARSON INVEST. (7 KILLED) - FIRE MARSHAL WAS EXPERT, FIRE REAR PORCH – NO ACCELERANT, BUT DEF. RECORDED</w:t>
      </w:r>
    </w:p>
    <w:p w14:paraId="0D64E5D6" w14:textId="77777777" w:rsidR="005E132A" w:rsidRDefault="005E132A" w:rsidP="005E132A">
      <w:pPr>
        <w:spacing w:before="100" w:beforeAutospacing="1" w:after="100" w:afterAutospacing="1" w:line="240" w:lineRule="auto"/>
        <w:rPr>
          <w:rFonts w:ascii="Times New Roman" w:hAnsi="Times New Roman"/>
          <w:sz w:val="24"/>
          <w:szCs w:val="24"/>
        </w:rPr>
      </w:pPr>
      <w:bookmarkStart w:id="14" w:name="_Hlk60572120"/>
      <w:r>
        <w:rPr>
          <w:rFonts w:ascii="Times New Roman" w:hAnsi="Times New Roman"/>
          <w:sz w:val="24"/>
          <w:szCs w:val="24"/>
        </w:rPr>
        <w:t xml:space="preserve">On Dec. 30, 2020, in </w:t>
      </w:r>
      <w:r>
        <w:rPr>
          <w:rFonts w:ascii="Times New Roman" w:hAnsi="Times New Roman"/>
          <w:sz w:val="24"/>
          <w:szCs w:val="24"/>
          <w:u w:val="single"/>
        </w:rPr>
        <w:t>The People of the State of Illinois v. Marion Andre Comier</w:t>
      </w:r>
      <w:r>
        <w:rPr>
          <w:rFonts w:ascii="Times New Roman" w:hAnsi="Times New Roman"/>
          <w:sz w:val="24"/>
          <w:szCs w:val="24"/>
        </w:rPr>
        <w:t xml:space="preserve">, the Appellate Court of Illinois, First Judicial District (Third Division), </w:t>
      </w:r>
      <w:r>
        <w:rPr>
          <w:rFonts w:ascii="Times New Roman" w:eastAsia="Times New Roman" w:hAnsi="Times New Roman"/>
          <w:sz w:val="24"/>
          <w:szCs w:val="24"/>
        </w:rPr>
        <w:t xml:space="preserve">2020 IL App (1st) 170500, </w:t>
      </w:r>
      <w:r>
        <w:rPr>
          <w:rFonts w:ascii="Times New Roman" w:hAnsi="Times New Roman"/>
          <w:sz w:val="24"/>
          <w:szCs w:val="24"/>
        </w:rPr>
        <w:t>held (3 to 1) that the defendant was properly convicted by jury of 7 murders and sentenced to life in prison [property owner</w:t>
      </w:r>
      <w:bookmarkEnd w:id="14"/>
      <w:r>
        <w:rPr>
          <w:rFonts w:ascii="Times New Roman" w:hAnsi="Times New Roman"/>
          <w:sz w:val="24"/>
          <w:szCs w:val="24"/>
        </w:rPr>
        <w:t xml:space="preserve">]. The Court held that the trial judge properly allowed the Fire Marshal to testify about his opinion on how the fire started, even if no accelerant was detected, since he </w:t>
      </w:r>
      <w:proofErr w:type="gramStart"/>
      <w:r>
        <w:rPr>
          <w:rFonts w:ascii="Times New Roman" w:hAnsi="Times New Roman"/>
          <w:sz w:val="24"/>
          <w:szCs w:val="24"/>
        </w:rPr>
        <w:t>knew</w:t>
      </w:r>
      <w:proofErr w:type="gramEnd"/>
      <w:r>
        <w:rPr>
          <w:rFonts w:ascii="Times New Roman" w:hAnsi="Times New Roman"/>
          <w:sz w:val="24"/>
          <w:szCs w:val="24"/>
        </w:rPr>
        <w:t xml:space="preserve"> the defendant had admitted starting the fire when defendant was recorded on a “wire” secretly warn by the girlfriend of the property owner.    </w:t>
      </w:r>
    </w:p>
    <w:bookmarkEnd w:id="13"/>
    <w:p w14:paraId="72D20101" w14:textId="77777777" w:rsidR="005E132A" w:rsidRDefault="005E132A" w:rsidP="005E132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“Kushner's testimony concerning the nature and sources of his training, his methodology, industry standards, and the evidence upon which he relied in this case provided sufficient evidence that the underlying facts, data, and opinions were reasonably relied upon by experts in his field. "The opposing party has the responsibility to challenge on cross-examination the sufficiency or reliability of the expert's opinion" (</w:t>
      </w:r>
      <w:r>
        <w:rPr>
          <w:rFonts w:ascii="Times New Roman" w:eastAsia="Times New Roman" w:hAnsi="Times New Roman"/>
          <w:i/>
          <w:iCs/>
          <w:sz w:val="24"/>
          <w:szCs w:val="24"/>
        </w:rPr>
        <w:t>id</w:t>
      </w:r>
      <w:r>
        <w:rPr>
          <w:rFonts w:ascii="Times New Roman" w:eastAsia="Times New Roman" w:hAnsi="Times New Roman"/>
          <w:sz w:val="24"/>
          <w:szCs w:val="24"/>
        </w:rPr>
        <w:t>.), which defendant did in this case. Accordingly, we conclude that there existed an adequate foundation for Kushner's expert opinion and the trial court did not abuse its discretion in admitting Kushner's testimony.</w:t>
      </w:r>
    </w:p>
    <w:p w14:paraId="7D7D8164" w14:textId="77777777" w:rsidR="005E132A" w:rsidRDefault="005E132A" w:rsidP="005E132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52D9C73F" w14:textId="77777777" w:rsidR="005E132A" w:rsidRDefault="005E132A" w:rsidP="005E132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Regarding the conflicting evidence as to industry standards concerning ‘negative corpus’ at the time of the fire and at the time of trial, defendant's expert admitted that the determination by the State's fire investigators that the fire started on the rear porch and that the specific area of origin was somewhere near the couch complied with NFPA 921 but testified that the conclusion that the ignition source was an open flame, that an ignitable liquid was used, and that the fire was incendiary (man-made) were not reached in compliance with industry standards because those opinions were based solely on the negative corpus approach, and it was not based on any physical evidence, in violation of NFPA 921 and the standards in the relevant scientific community. We note the trial court found Kushner did rely on ‘some physical evidence.’ </w:t>
      </w:r>
      <w:proofErr w:type="gramStart"/>
      <w:r>
        <w:rPr>
          <w:rFonts w:ascii="Times New Roman" w:eastAsia="Times New Roman" w:hAnsi="Times New Roman"/>
          <w:sz w:val="24"/>
          <w:szCs w:val="24"/>
        </w:rPr>
        <w:t>Regardless, ‘[a]</w:t>
      </w:r>
      <w:proofErr w:type="spellStart"/>
      <w:r>
        <w:rPr>
          <w:rFonts w:ascii="Times New Roman" w:eastAsia="Times New Roman" w:hAnsi="Times New Roman"/>
          <w:sz w:val="24"/>
          <w:szCs w:val="24"/>
        </w:rPr>
        <w:t>ny</w:t>
      </w:r>
      <w:proofErr w:type="spellEnd"/>
      <w:proofErr w:type="gramEnd"/>
      <w:r>
        <w:rPr>
          <w:rFonts w:ascii="Times New Roman" w:eastAsia="Times New Roman" w:hAnsi="Times New Roman"/>
          <w:sz w:val="24"/>
          <w:szCs w:val="24"/>
        </w:rPr>
        <w:t xml:space="preserve"> weakness in the basis of an expert's opinion goes to the weight of the testimony; it should not affect its admissibility if the facts, data, or opinions are reasonably relied upon by experts in the relevant field.’ </w:t>
      </w:r>
      <w:r>
        <w:rPr>
          <w:rFonts w:ascii="Times New Roman" w:eastAsia="Times New Roman" w:hAnsi="Times New Roman"/>
          <w:i/>
          <w:iCs/>
          <w:sz w:val="24"/>
          <w:szCs w:val="24"/>
        </w:rPr>
        <w:t>People v</w:t>
      </w:r>
      <w:r>
        <w:rPr>
          <w:rFonts w:ascii="Times New Roman" w:eastAsia="Times New Roman" w:hAnsi="Times New Roman"/>
          <w:sz w:val="24"/>
          <w:szCs w:val="24"/>
        </w:rPr>
        <w:t xml:space="preserve">. </w:t>
      </w:r>
      <w:r>
        <w:rPr>
          <w:rFonts w:ascii="Times New Roman" w:eastAsia="Times New Roman" w:hAnsi="Times New Roman"/>
          <w:i/>
          <w:iCs/>
          <w:sz w:val="24"/>
          <w:szCs w:val="24"/>
        </w:rPr>
        <w:t>Lind</w:t>
      </w:r>
      <w:r>
        <w:rPr>
          <w:rFonts w:ascii="Times New Roman" w:eastAsia="Times New Roman" w:hAnsi="Times New Roman"/>
          <w:sz w:val="24"/>
          <w:szCs w:val="24"/>
        </w:rPr>
        <w:t xml:space="preserve">, 307 Ill. App. 3d 727, 739 (1999).” </w:t>
      </w:r>
      <w:bookmarkStart w:id="15" w:name="_Hlk66941130"/>
      <w:r w:rsidR="00F00958">
        <w:fldChar w:fldCharType="begin"/>
      </w:r>
      <w:r w:rsidR="00F00958">
        <w:instrText xml:space="preserve"> HYPERLINK "https://courts.illinois.gov/Opinions/AppellateCourt/2020/1stDistrict/1170500.pdf" </w:instrText>
      </w:r>
      <w:r w:rsidR="00F00958">
        <w:fldChar w:fldCharType="separate"/>
      </w:r>
      <w:r>
        <w:rPr>
          <w:rStyle w:val="Hyperlink"/>
        </w:rPr>
        <w:t>https://courts.illinois.gov/Opinions/AppellateCourt/2020/1stDistrict/1170500.pdf</w:t>
      </w:r>
      <w:r w:rsidR="00F00958">
        <w:rPr>
          <w:rStyle w:val="Hyperlink"/>
        </w:rPr>
        <w:fldChar w:fldCharType="end"/>
      </w:r>
      <w:r>
        <w:rPr>
          <w:rFonts w:ascii="Times New Roman" w:eastAsia="Times New Roman" w:hAnsi="Times New Roman"/>
          <w:sz w:val="24"/>
          <w:szCs w:val="24"/>
        </w:rPr>
        <w:t xml:space="preserve"> </w:t>
      </w:r>
    </w:p>
    <w:p w14:paraId="1202CAAE" w14:textId="77777777" w:rsidR="005E132A" w:rsidRDefault="005E132A" w:rsidP="005E132A">
      <w:pPr>
        <w:pStyle w:val="NormalWeb"/>
        <w:rPr>
          <w:b/>
          <w:bCs/>
        </w:rPr>
      </w:pPr>
      <w:bookmarkStart w:id="16" w:name="_Hlk66941171"/>
      <w:bookmarkEnd w:id="15"/>
      <w:r>
        <w:rPr>
          <w:b/>
          <w:bCs/>
        </w:rPr>
        <w:t xml:space="preserve">Legal Lesson Learned: Fire Marshal did rely on some physical evidence, as well as the secretly taped confession of the defendant. </w:t>
      </w:r>
    </w:p>
    <w:p w14:paraId="10262F35" w14:textId="77777777" w:rsidR="005E132A" w:rsidRDefault="005E132A" w:rsidP="005E132A">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w:t>
      </w:r>
      <w:proofErr w:type="gramStart"/>
      <w:r>
        <w:rPr>
          <w:rFonts w:ascii="Times New Roman" w:eastAsia="Times New Roman" w:hAnsi="Times New Roman"/>
          <w:sz w:val="24"/>
          <w:szCs w:val="24"/>
        </w:rPr>
        <w:t>The girlfriend of the owner [Bonita Robertson],</w:t>
      </w:r>
      <w:proofErr w:type="gramEnd"/>
      <w:r>
        <w:rPr>
          <w:rFonts w:ascii="Times New Roman" w:eastAsia="Times New Roman" w:hAnsi="Times New Roman"/>
          <w:sz w:val="24"/>
          <w:szCs w:val="24"/>
        </w:rPr>
        <w:t xml:space="preserve"> wore a wire provided by police, and recorded following about why accelerant wasn’t detected by arson dog. </w:t>
      </w:r>
    </w:p>
    <w:bookmarkEnd w:id="16"/>
    <w:p w14:paraId="23EDCE5C" w14:textId="77777777" w:rsidR="005E132A" w:rsidRDefault="005E132A" w:rsidP="005E132A">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br/>
        <w:t>ROBERTSON: They said they didn't smell any accelerants like gas or any of that.</w:t>
      </w:r>
      <w:r>
        <w:rPr>
          <w:rFonts w:ascii="Times New Roman" w:eastAsia="Times New Roman" w:hAnsi="Times New Roman"/>
          <w:sz w:val="24"/>
          <w:szCs w:val="24"/>
        </w:rPr>
        <w:br/>
      </w:r>
      <w:r>
        <w:rPr>
          <w:rFonts w:ascii="Times New Roman" w:eastAsia="Times New Roman" w:hAnsi="Times New Roman"/>
          <w:sz w:val="24"/>
          <w:szCs w:val="24"/>
        </w:rPr>
        <w:br/>
        <w:t>DEFENDANT: And I, and I know, and I know why, I know why they didn't.</w:t>
      </w:r>
    </w:p>
    <w:p w14:paraId="75126B8C" w14:textId="77777777" w:rsidR="005E132A" w:rsidRDefault="005E132A" w:rsidP="005E132A">
      <w:pPr>
        <w:spacing w:after="100" w:line="240" w:lineRule="auto"/>
        <w:rPr>
          <w:rFonts w:ascii="Times New Roman" w:eastAsia="Times New Roman" w:hAnsi="Times New Roman"/>
          <w:sz w:val="24"/>
          <w:szCs w:val="24"/>
        </w:rPr>
      </w:pPr>
    </w:p>
    <w:p w14:paraId="5EB4C8AD" w14:textId="77777777" w:rsidR="005E132A" w:rsidRDefault="005E132A" w:rsidP="005E132A">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ROBERTSON: Why?</w:t>
      </w:r>
      <w:r>
        <w:rPr>
          <w:rFonts w:ascii="Times New Roman" w:eastAsia="Times New Roman" w:hAnsi="Times New Roman"/>
          <w:sz w:val="24"/>
          <w:szCs w:val="24"/>
        </w:rPr>
        <w:br/>
      </w:r>
      <w:r>
        <w:rPr>
          <w:rFonts w:ascii="Times New Roman" w:eastAsia="Times New Roman" w:hAnsi="Times New Roman"/>
          <w:sz w:val="24"/>
          <w:szCs w:val="24"/>
        </w:rPr>
        <w:br/>
        <w:t>***</w:t>
      </w:r>
      <w:r>
        <w:rPr>
          <w:rFonts w:ascii="Times New Roman" w:eastAsia="Times New Roman" w:hAnsi="Times New Roman"/>
          <w:sz w:val="24"/>
          <w:szCs w:val="24"/>
        </w:rPr>
        <w:br/>
      </w:r>
      <w:r>
        <w:rPr>
          <w:rFonts w:ascii="Times New Roman" w:eastAsia="Times New Roman" w:hAnsi="Times New Roman"/>
          <w:sz w:val="24"/>
          <w:szCs w:val="24"/>
        </w:rPr>
        <w:br/>
        <w:t xml:space="preserve">DEFENDANT: </w:t>
      </w:r>
      <w:proofErr w:type="gramStart"/>
      <w:r>
        <w:rPr>
          <w:rFonts w:ascii="Times New Roman" w:eastAsia="Times New Roman" w:hAnsi="Times New Roman"/>
          <w:sz w:val="24"/>
          <w:szCs w:val="24"/>
        </w:rPr>
        <w:t>Cause</w:t>
      </w:r>
      <w:proofErr w:type="gramEnd"/>
      <w:r>
        <w:rPr>
          <w:rFonts w:ascii="Times New Roman" w:eastAsia="Times New Roman" w:hAnsi="Times New Roman"/>
          <w:sz w:val="24"/>
          <w:szCs w:val="24"/>
        </w:rPr>
        <w:t xml:space="preserve"> I put oil with the gas. That's why.</w:t>
      </w:r>
    </w:p>
    <w:p w14:paraId="58838790" w14:textId="77777777" w:rsidR="005E132A" w:rsidRDefault="005E132A" w:rsidP="005E132A">
      <w:pPr>
        <w:spacing w:after="100" w:line="240" w:lineRule="auto"/>
        <w:ind w:left="720"/>
        <w:rPr>
          <w:rFonts w:ascii="Times New Roman" w:hAnsi="Times New Roman"/>
          <w:sz w:val="24"/>
          <w:szCs w:val="24"/>
        </w:rPr>
      </w:pPr>
      <w:r>
        <w:rPr>
          <w:rFonts w:ascii="Times New Roman" w:eastAsia="Times New Roman" w:hAnsi="Times New Roman"/>
          <w:sz w:val="24"/>
          <w:szCs w:val="24"/>
        </w:rPr>
        <w:t>***</w:t>
      </w:r>
    </w:p>
    <w:p w14:paraId="48F47CAC" w14:textId="77777777" w:rsidR="005E132A" w:rsidRDefault="005E132A" w:rsidP="005E132A">
      <w:pPr>
        <w:spacing w:after="100" w:line="240" w:lineRule="auto"/>
        <w:ind w:left="720"/>
        <w:rPr>
          <w:rFonts w:ascii="Times New Roman" w:hAnsi="Times New Roman"/>
          <w:sz w:val="24"/>
          <w:szCs w:val="24"/>
        </w:rPr>
      </w:pPr>
      <w:r>
        <w:rPr>
          <w:rFonts w:ascii="Times New Roman" w:hAnsi="Times New Roman"/>
          <w:sz w:val="24"/>
          <w:szCs w:val="24"/>
        </w:rPr>
        <w:t>ROBERTSON: So that the dogs couldn't pick it up?</w:t>
      </w:r>
      <w:r>
        <w:rPr>
          <w:rFonts w:ascii="Times New Roman" w:hAnsi="Times New Roman"/>
          <w:sz w:val="24"/>
          <w:szCs w:val="24"/>
        </w:rPr>
        <w:br/>
      </w:r>
      <w:r>
        <w:rPr>
          <w:rFonts w:ascii="Times New Roman" w:hAnsi="Times New Roman"/>
          <w:sz w:val="24"/>
          <w:szCs w:val="24"/>
        </w:rPr>
        <w:br/>
        <w:t xml:space="preserve">DEFENDANT: There you go, and, and it burnt too </w:t>
      </w:r>
      <w:proofErr w:type="gramStart"/>
      <w:r>
        <w:rPr>
          <w:rFonts w:ascii="Times New Roman" w:hAnsi="Times New Roman"/>
          <w:sz w:val="24"/>
          <w:szCs w:val="24"/>
        </w:rPr>
        <w:t>bad</w:t>
      </w:r>
      <w:proofErr w:type="gramEnd"/>
      <w:r>
        <w:rPr>
          <w:rFonts w:ascii="Times New Roman" w:hAnsi="Times New Roman"/>
          <w:sz w:val="24"/>
          <w:szCs w:val="24"/>
        </w:rPr>
        <w:t xml:space="preserve"> for them to find anything.</w:t>
      </w:r>
      <w:r>
        <w:rPr>
          <w:rFonts w:ascii="Times New Roman" w:hAnsi="Times New Roman"/>
          <w:sz w:val="24"/>
          <w:szCs w:val="24"/>
        </w:rPr>
        <w:br/>
      </w:r>
      <w:r>
        <w:rPr>
          <w:rFonts w:ascii="Times New Roman" w:hAnsi="Times New Roman"/>
          <w:sz w:val="24"/>
          <w:szCs w:val="24"/>
        </w:rPr>
        <w:br/>
        <w:t>ROBERTSON: But you started it on the back porch?</w:t>
      </w:r>
      <w:r>
        <w:rPr>
          <w:rFonts w:ascii="Times New Roman" w:hAnsi="Times New Roman"/>
          <w:sz w:val="24"/>
          <w:szCs w:val="24"/>
        </w:rPr>
        <w:br/>
      </w:r>
      <w:r>
        <w:rPr>
          <w:rFonts w:ascii="Times New Roman" w:hAnsi="Times New Roman"/>
          <w:sz w:val="24"/>
          <w:szCs w:val="24"/>
        </w:rPr>
        <w:br/>
        <w:t xml:space="preserve">DEFENDANT: And it went up, Bonita. I don't want to talk about this. *** Everybody just </w:t>
      </w:r>
      <w:proofErr w:type="gramStart"/>
      <w:r>
        <w:rPr>
          <w:rFonts w:ascii="Times New Roman" w:hAnsi="Times New Roman"/>
          <w:sz w:val="24"/>
          <w:szCs w:val="24"/>
        </w:rPr>
        <w:t>say</w:t>
      </w:r>
      <w:proofErr w:type="gramEnd"/>
      <w:r>
        <w:rPr>
          <w:rFonts w:ascii="Times New Roman" w:hAnsi="Times New Roman"/>
          <w:sz w:val="24"/>
          <w:szCs w:val="24"/>
        </w:rPr>
        <w:t xml:space="preserve"> they don't know, okay, just leave it like that. That's what you do. Don't worry, okay. They didn't find </w:t>
      </w:r>
      <w:proofErr w:type="gramStart"/>
      <w:r>
        <w:rPr>
          <w:rFonts w:ascii="Times New Roman" w:hAnsi="Times New Roman"/>
          <w:sz w:val="24"/>
          <w:szCs w:val="24"/>
        </w:rPr>
        <w:t>nothing</w:t>
      </w:r>
      <w:proofErr w:type="gramEnd"/>
      <w:r>
        <w:rPr>
          <w:rFonts w:ascii="Times New Roman" w:hAnsi="Times New Roman"/>
          <w:sz w:val="24"/>
          <w:szCs w:val="24"/>
        </w:rPr>
        <w:t xml:space="preserve"> and that's great. They think the electrical box did it.”</w:t>
      </w:r>
    </w:p>
    <w:p w14:paraId="665FB8C2" w14:textId="77777777" w:rsidR="005E132A" w:rsidRDefault="005E132A" w:rsidP="005E132A">
      <w:pPr>
        <w:rPr>
          <w:rFonts w:ascii="Times New Roman" w:hAnsi="Times New Roman"/>
          <w:sz w:val="24"/>
          <w:szCs w:val="24"/>
        </w:rPr>
      </w:pPr>
      <w:hyperlink r:id="rId284" w:history="1">
        <w:r>
          <w:rPr>
            <w:rStyle w:val="Hyperlink"/>
          </w:rPr>
          <w:t>https://public.fastcase.com/Wl%2B2t%2BeVuI35%2FN70vAMFZsWJ6AvEppVwuFRKTwz4M5aFuXQum0lUiq0Q02rKgFN1</w:t>
        </w:r>
      </w:hyperlink>
    </w:p>
    <w:p w14:paraId="6EACB191" w14:textId="77777777" w:rsidR="005E132A" w:rsidRDefault="005E132A" w:rsidP="002B1283">
      <w:pPr>
        <w:rPr>
          <w:rFonts w:ascii="Arial Black" w:hAnsi="Arial Black"/>
          <w:b/>
          <w:sz w:val="24"/>
          <w:szCs w:val="24"/>
        </w:rPr>
      </w:pPr>
    </w:p>
    <w:p w14:paraId="5BCA3F48" w14:textId="77777777" w:rsidR="005E132A" w:rsidRDefault="005E132A" w:rsidP="002B1283">
      <w:pPr>
        <w:rPr>
          <w:rFonts w:ascii="Arial Black" w:hAnsi="Arial Black"/>
          <w:b/>
          <w:sz w:val="24"/>
          <w:szCs w:val="24"/>
        </w:rPr>
      </w:pPr>
    </w:p>
    <w:p w14:paraId="68892771" w14:textId="7D31624C" w:rsidR="007D178F" w:rsidRDefault="007D178F" w:rsidP="002B1283">
      <w:pPr>
        <w:rPr>
          <w:rFonts w:ascii="Arial Black" w:hAnsi="Arial Black"/>
          <w:b/>
          <w:sz w:val="24"/>
          <w:szCs w:val="24"/>
        </w:rPr>
      </w:pPr>
      <w:r>
        <w:rPr>
          <w:rFonts w:ascii="Arial Black" w:hAnsi="Arial Black"/>
          <w:b/>
          <w:sz w:val="24"/>
          <w:szCs w:val="24"/>
        </w:rPr>
        <w:t>1-</w:t>
      </w:r>
      <w:r w:rsidR="000F483A">
        <w:rPr>
          <w:rFonts w:ascii="Arial Black" w:hAnsi="Arial Black"/>
          <w:b/>
          <w:sz w:val="24"/>
          <w:szCs w:val="24"/>
        </w:rPr>
        <w:t>69</w:t>
      </w:r>
    </w:p>
    <w:p w14:paraId="12408389" w14:textId="77777777" w:rsidR="007D178F" w:rsidRDefault="007D178F" w:rsidP="007D178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NY:  HOUSE FIRE - SPONTANEOUS COMBUSTION - OILY RAGS HARDWOOD FLOORS – CONFLICTING EXPERTS - CASE PROCEED</w:t>
      </w:r>
    </w:p>
    <w:p w14:paraId="5002E128" w14:textId="77777777" w:rsidR="007D178F" w:rsidRDefault="007D178F" w:rsidP="007D178F">
      <w:pPr>
        <w:rPr>
          <w:rFonts w:ascii="Times New Roman" w:hAnsi="Times New Roman"/>
          <w:sz w:val="24"/>
          <w:szCs w:val="24"/>
        </w:rPr>
      </w:pPr>
      <w:r w:rsidRPr="00ED36EF">
        <w:rPr>
          <w:rFonts w:ascii="Times New Roman" w:hAnsi="Times New Roman"/>
          <w:sz w:val="24"/>
          <w:szCs w:val="24"/>
        </w:rPr>
        <w:t xml:space="preserve">On Nov. 25, 2020, in </w:t>
      </w:r>
      <w:r w:rsidRPr="00ED36EF">
        <w:rPr>
          <w:rFonts w:ascii="Times New Roman" w:hAnsi="Times New Roman"/>
          <w:sz w:val="24"/>
          <w:szCs w:val="24"/>
          <w:u w:val="single"/>
        </w:rPr>
        <w:t>State Farm Fire &amp; Casualty Company, as Subrogee of Yolanda Clarke v. Real Wood Fabricating, LLC</w:t>
      </w:r>
      <w:r w:rsidRPr="00ED36EF">
        <w:rPr>
          <w:rFonts w:ascii="Times New Roman" w:hAnsi="Times New Roman"/>
          <w:sz w:val="24"/>
          <w:szCs w:val="24"/>
        </w:rPr>
        <w:t>, the Appellate Division of the Supreme Court of the State of New York, held (</w:t>
      </w:r>
      <w:r>
        <w:rPr>
          <w:rFonts w:ascii="Times New Roman" w:hAnsi="Times New Roman"/>
          <w:sz w:val="24"/>
          <w:szCs w:val="24"/>
        </w:rPr>
        <w:t>5</w:t>
      </w:r>
      <w:r w:rsidRPr="00ED36EF">
        <w:rPr>
          <w:rFonts w:ascii="Times New Roman" w:hAnsi="Times New Roman"/>
          <w:sz w:val="24"/>
          <w:szCs w:val="24"/>
        </w:rPr>
        <w:t xml:space="preserve"> to 0) that the trial court properly </w:t>
      </w:r>
      <w:r>
        <w:rPr>
          <w:rFonts w:ascii="Times New Roman" w:hAnsi="Times New Roman"/>
          <w:sz w:val="24"/>
          <w:szCs w:val="24"/>
        </w:rPr>
        <w:t xml:space="preserve">denied </w:t>
      </w:r>
      <w:r w:rsidRPr="00ED36EF">
        <w:rPr>
          <w:rFonts w:ascii="Times New Roman" w:hAnsi="Times New Roman"/>
          <w:sz w:val="24"/>
          <w:szCs w:val="24"/>
        </w:rPr>
        <w:t xml:space="preserve">summary judgment to the </w:t>
      </w:r>
      <w:r>
        <w:rPr>
          <w:rFonts w:ascii="Times New Roman" w:hAnsi="Times New Roman"/>
          <w:sz w:val="24"/>
          <w:szCs w:val="24"/>
        </w:rPr>
        <w:t xml:space="preserve">plaintiff </w:t>
      </w:r>
      <w:r w:rsidRPr="00ED36EF">
        <w:rPr>
          <w:rFonts w:ascii="Times New Roman" w:hAnsi="Times New Roman"/>
          <w:sz w:val="24"/>
          <w:szCs w:val="24"/>
        </w:rPr>
        <w:t>insurance compa</w:t>
      </w:r>
      <w:r>
        <w:rPr>
          <w:rFonts w:ascii="Times New Roman" w:hAnsi="Times New Roman"/>
          <w:sz w:val="24"/>
          <w:szCs w:val="24"/>
        </w:rPr>
        <w:t xml:space="preserve">ny </w:t>
      </w:r>
      <w:proofErr w:type="gramStart"/>
      <w:r>
        <w:rPr>
          <w:rFonts w:ascii="Times New Roman" w:hAnsi="Times New Roman"/>
          <w:sz w:val="24"/>
          <w:szCs w:val="24"/>
        </w:rPr>
        <w:t>and also</w:t>
      </w:r>
      <w:proofErr w:type="gramEnd"/>
      <w:r>
        <w:rPr>
          <w:rFonts w:ascii="Times New Roman" w:hAnsi="Times New Roman"/>
          <w:sz w:val="24"/>
          <w:szCs w:val="24"/>
        </w:rPr>
        <w:t xml:space="preserve"> to defendant </w:t>
      </w:r>
      <w:r w:rsidRPr="00ED36EF">
        <w:rPr>
          <w:rFonts w:ascii="Times New Roman" w:hAnsi="Times New Roman"/>
          <w:sz w:val="24"/>
          <w:szCs w:val="24"/>
        </w:rPr>
        <w:t>Real Wood Fabricating</w:t>
      </w:r>
      <w:r>
        <w:rPr>
          <w:rFonts w:ascii="Times New Roman" w:hAnsi="Times New Roman"/>
          <w:sz w:val="24"/>
          <w:szCs w:val="24"/>
        </w:rPr>
        <w:t xml:space="preserve">. </w:t>
      </w:r>
      <w:r w:rsidRPr="00ED36EF">
        <w:rPr>
          <w:rFonts w:ascii="Times New Roman" w:hAnsi="Times New Roman"/>
          <w:sz w:val="24"/>
          <w:szCs w:val="24"/>
        </w:rPr>
        <w:t xml:space="preserve"> </w:t>
      </w:r>
    </w:p>
    <w:p w14:paraId="198492D3" w14:textId="77777777" w:rsidR="007D178F" w:rsidRPr="003E7DDA" w:rsidRDefault="007D178F" w:rsidP="007D178F">
      <w:pPr>
        <w:ind w:left="720"/>
        <w:rPr>
          <w:rFonts w:ascii="Times New Roman" w:hAnsi="Times New Roman"/>
          <w:sz w:val="24"/>
          <w:szCs w:val="24"/>
        </w:rPr>
      </w:pPr>
      <w:r>
        <w:rPr>
          <w:rFonts w:ascii="Times New Roman" w:hAnsi="Times New Roman"/>
          <w:sz w:val="24"/>
          <w:szCs w:val="24"/>
        </w:rPr>
        <w:t>“</w:t>
      </w:r>
      <w:r w:rsidRPr="003E7DDA">
        <w:rPr>
          <w:rFonts w:ascii="Times New Roman" w:hAnsi="Times New Roman"/>
          <w:sz w:val="24"/>
          <w:szCs w:val="24"/>
        </w:rPr>
        <w:t xml:space="preserve">After paying Clarke over $389,000 for the property damage caused by the fire, plaintiff, as subrogee of Clarke, commenced this action against defendant, alleging that defendant negligently caused the fire by failing to remove combustible floor materials from the garage. Following joinder of issue, plaintiff moved for summary judgment on the complaint, relying on the opinions of Holter and Thomas and the deposition testimony of Clarke and McCarty. Defendant opposed the motion and cross-moved for summary judgment dismissing the complaint, submitting an affidavit of Jason Karasinski, president and owner of Fire Research &amp; Technology Inc., who was retained </w:t>
      </w:r>
      <w:r>
        <w:rPr>
          <w:rFonts w:ascii="Times New Roman" w:hAnsi="Times New Roman"/>
          <w:sz w:val="24"/>
          <w:szCs w:val="24"/>
        </w:rPr>
        <w:t>‘</w:t>
      </w:r>
      <w:r w:rsidRPr="003E7DDA">
        <w:rPr>
          <w:rFonts w:ascii="Times New Roman" w:hAnsi="Times New Roman"/>
          <w:sz w:val="24"/>
          <w:szCs w:val="24"/>
        </w:rPr>
        <w:t>to review the investigation of [the] fire.</w:t>
      </w:r>
      <w:r>
        <w:rPr>
          <w:rFonts w:ascii="Times New Roman" w:hAnsi="Times New Roman"/>
          <w:sz w:val="24"/>
          <w:szCs w:val="24"/>
        </w:rPr>
        <w:t>’</w:t>
      </w:r>
      <w:r w:rsidRPr="003E7DDA">
        <w:rPr>
          <w:rFonts w:ascii="Times New Roman" w:hAnsi="Times New Roman"/>
          <w:sz w:val="24"/>
          <w:szCs w:val="24"/>
        </w:rPr>
        <w:t xml:space="preserve"> Karasinski concluded that the reports prepared by Holter and Thomas were speculative and that their investigations failed to follow the standards promulgated by the National Fire Protection Association (hereinafter NFPA). Supreme Court denied both motions, finding that the conflicting expert opinions presented issues of fact and credibility as </w:t>
      </w:r>
      <w:proofErr w:type="gramStart"/>
      <w:r w:rsidRPr="003E7DDA">
        <w:rPr>
          <w:rFonts w:ascii="Times New Roman" w:hAnsi="Times New Roman"/>
          <w:sz w:val="24"/>
          <w:szCs w:val="24"/>
        </w:rPr>
        <w:t>to</w:t>
      </w:r>
      <w:proofErr w:type="gramEnd"/>
      <w:r w:rsidRPr="003E7DDA">
        <w:rPr>
          <w:rFonts w:ascii="Times New Roman" w:hAnsi="Times New Roman"/>
          <w:sz w:val="24"/>
          <w:szCs w:val="24"/>
        </w:rPr>
        <w:t xml:space="preserve"> causation. Defendant appeals and plaintiff cross-appeals.</w:t>
      </w:r>
    </w:p>
    <w:p w14:paraId="0E017396" w14:textId="77777777" w:rsidR="007D178F" w:rsidRPr="00865DC4" w:rsidRDefault="007D178F" w:rsidP="007D178F">
      <w:pPr>
        <w:ind w:left="720"/>
        <w:rPr>
          <w:rFonts w:ascii="Times New Roman" w:hAnsi="Times New Roman"/>
          <w:sz w:val="24"/>
          <w:szCs w:val="24"/>
        </w:rPr>
      </w:pPr>
      <w:r>
        <w:rPr>
          <w:rFonts w:ascii="Times New Roman" w:hAnsi="Times New Roman"/>
          <w:sz w:val="24"/>
          <w:szCs w:val="24"/>
        </w:rPr>
        <w:t>“</w:t>
      </w:r>
      <w:r w:rsidRPr="00865DC4">
        <w:rPr>
          <w:rFonts w:ascii="Times New Roman" w:hAnsi="Times New Roman"/>
          <w:sz w:val="24"/>
          <w:szCs w:val="24"/>
        </w:rPr>
        <w:t>We affirm. The record demonstrates that all three experts were duly qualified by their education, training and experience to conduct a fire scene investigation.</w:t>
      </w:r>
      <w:r>
        <w:rPr>
          <w:rFonts w:ascii="Times New Roman" w:hAnsi="Times New Roman"/>
          <w:sz w:val="24"/>
          <w:szCs w:val="24"/>
        </w:rPr>
        <w:t xml:space="preserve">”  </w:t>
      </w:r>
      <w:hyperlink r:id="rId285" w:history="1">
        <w:r w:rsidRPr="00695F3D">
          <w:rPr>
            <w:rStyle w:val="Hyperlink"/>
            <w:rFonts w:ascii="Times New Roman" w:hAnsi="Times New Roman"/>
            <w:sz w:val="24"/>
            <w:szCs w:val="24"/>
          </w:rPr>
          <w:t>http://decisions.courts.state.ny.us/ad3/Decisions/2020/530081.pdf</w:t>
        </w:r>
      </w:hyperlink>
      <w:r>
        <w:rPr>
          <w:rFonts w:ascii="Times New Roman" w:hAnsi="Times New Roman"/>
          <w:sz w:val="24"/>
          <w:szCs w:val="24"/>
        </w:rPr>
        <w:t xml:space="preserve"> </w:t>
      </w:r>
    </w:p>
    <w:p w14:paraId="03F612EB" w14:textId="77777777" w:rsidR="007D178F" w:rsidRDefault="007D178F" w:rsidP="002B1283">
      <w:pPr>
        <w:rPr>
          <w:rFonts w:ascii="Arial Black" w:hAnsi="Arial Black"/>
          <w:b/>
          <w:sz w:val="24"/>
          <w:szCs w:val="24"/>
        </w:rPr>
      </w:pPr>
    </w:p>
    <w:p w14:paraId="4FCC3C42" w14:textId="77777777" w:rsidR="007D178F" w:rsidRDefault="007D178F" w:rsidP="002B1283">
      <w:pPr>
        <w:rPr>
          <w:rFonts w:ascii="Arial Black" w:hAnsi="Arial Black"/>
          <w:b/>
          <w:sz w:val="24"/>
          <w:szCs w:val="24"/>
        </w:rPr>
      </w:pPr>
    </w:p>
    <w:p w14:paraId="483C2B5F" w14:textId="459531CA" w:rsidR="007D178F" w:rsidRDefault="007D178F" w:rsidP="002B1283">
      <w:pPr>
        <w:rPr>
          <w:rFonts w:ascii="Arial Black" w:hAnsi="Arial Black"/>
          <w:b/>
          <w:sz w:val="24"/>
          <w:szCs w:val="24"/>
        </w:rPr>
      </w:pPr>
      <w:r>
        <w:rPr>
          <w:rFonts w:ascii="Arial Black" w:hAnsi="Arial Black"/>
          <w:b/>
          <w:sz w:val="24"/>
          <w:szCs w:val="24"/>
        </w:rPr>
        <w:t>1-6</w:t>
      </w:r>
      <w:r w:rsidR="000F483A">
        <w:rPr>
          <w:rFonts w:ascii="Arial Black" w:hAnsi="Arial Black"/>
          <w:b/>
          <w:sz w:val="24"/>
          <w:szCs w:val="24"/>
        </w:rPr>
        <w:t>8</w:t>
      </w:r>
    </w:p>
    <w:p w14:paraId="3366AEC9" w14:textId="77777777" w:rsidR="007D178F" w:rsidRPr="00297C6C" w:rsidRDefault="007D178F" w:rsidP="007D178F">
      <w:pPr>
        <w:rPr>
          <w:rFonts w:ascii="Arial Black" w:hAnsi="Arial Black"/>
          <w:sz w:val="28"/>
          <w:szCs w:val="28"/>
        </w:rPr>
      </w:pPr>
      <w:r>
        <w:rPr>
          <w:rFonts w:ascii="Arial Black" w:hAnsi="Arial Black"/>
          <w:sz w:val="28"/>
          <w:szCs w:val="28"/>
        </w:rPr>
        <w:t>MA: SPRINKLER LAW – WHEN CITY ADOPTS STATE LAW, UNLICENSED “SOBER HOMES” – 6+ RESIDENTS MUST COMPLY</w:t>
      </w:r>
    </w:p>
    <w:p w14:paraId="054C17EF" w14:textId="77777777" w:rsidR="007D178F" w:rsidRDefault="007D178F" w:rsidP="007D178F">
      <w:pPr>
        <w:rPr>
          <w:rFonts w:ascii="Times New Roman" w:hAnsi="Times New Roman"/>
          <w:sz w:val="24"/>
          <w:szCs w:val="24"/>
        </w:rPr>
      </w:pPr>
      <w:r>
        <w:rPr>
          <w:rFonts w:ascii="Times New Roman" w:hAnsi="Times New Roman"/>
          <w:sz w:val="24"/>
          <w:szCs w:val="24"/>
        </w:rPr>
        <w:t xml:space="preserve">On Nov. 23, 2020, in </w:t>
      </w:r>
      <w:r w:rsidRPr="00297C6C">
        <w:rPr>
          <w:rFonts w:ascii="Times New Roman" w:hAnsi="Times New Roman"/>
          <w:sz w:val="24"/>
          <w:szCs w:val="24"/>
          <w:u w:val="single"/>
        </w:rPr>
        <w:t>Crossing Over, Inc. v. City of Fitchburg</w:t>
      </w:r>
      <w:r>
        <w:rPr>
          <w:rFonts w:ascii="Times New Roman" w:hAnsi="Times New Roman"/>
          <w:sz w:val="24"/>
          <w:szCs w:val="24"/>
        </w:rPr>
        <w:t xml:space="preserve">, the Appeals Court of Massachusetts upheld (3 to 0) the trial judge’s decision upholding Automatic Sprinkler Appeals Board, and the Fire Chief’s March 8, </w:t>
      </w:r>
      <w:proofErr w:type="gramStart"/>
      <w:r>
        <w:rPr>
          <w:rFonts w:ascii="Times New Roman" w:hAnsi="Times New Roman"/>
          <w:sz w:val="24"/>
          <w:szCs w:val="24"/>
        </w:rPr>
        <w:t>2017</w:t>
      </w:r>
      <w:proofErr w:type="gramEnd"/>
      <w:r>
        <w:rPr>
          <w:rFonts w:ascii="Times New Roman" w:hAnsi="Times New Roman"/>
          <w:sz w:val="24"/>
          <w:szCs w:val="24"/>
        </w:rPr>
        <w:t xml:space="preserve"> letter requiring sprinklers </w:t>
      </w:r>
      <w:proofErr w:type="gramStart"/>
      <w:r>
        <w:rPr>
          <w:rFonts w:ascii="Times New Roman" w:hAnsi="Times New Roman"/>
          <w:sz w:val="24"/>
          <w:szCs w:val="24"/>
        </w:rPr>
        <w:t>be</w:t>
      </w:r>
      <w:proofErr w:type="gramEnd"/>
      <w:r>
        <w:rPr>
          <w:rFonts w:ascii="Times New Roman" w:hAnsi="Times New Roman"/>
          <w:sz w:val="24"/>
          <w:szCs w:val="24"/>
        </w:rPr>
        <w:t xml:space="preserve"> installed since home has 8 residents.  Case remanded to trail judge concerning whether statute violates federal or state laws discriminating against disabled.</w:t>
      </w:r>
    </w:p>
    <w:p w14:paraId="533EE72B" w14:textId="77777777" w:rsidR="007D178F" w:rsidRDefault="007D178F" w:rsidP="007D178F">
      <w:pPr>
        <w:spacing w:before="100" w:beforeAutospacing="1" w:after="100" w:afterAutospacing="1" w:line="240" w:lineRule="auto"/>
        <w:ind w:left="720"/>
        <w:rPr>
          <w:rFonts w:ascii="Times New Roman" w:eastAsia="Times New Roman" w:hAnsi="Times New Roman"/>
          <w:sz w:val="24"/>
          <w:szCs w:val="24"/>
        </w:rPr>
      </w:pPr>
      <w:r>
        <w:t>“</w:t>
      </w:r>
      <w:r w:rsidRPr="00F4679A">
        <w:rPr>
          <w:rFonts w:ascii="Times New Roman" w:eastAsia="Times New Roman" w:hAnsi="Times New Roman"/>
          <w:sz w:val="24"/>
          <w:szCs w:val="24"/>
        </w:rPr>
        <w:t>Crossing Over notes that G. L. c. 148, § 26H, carves out from the obligation to install sprinklers "fraternity houses or dormitories, rest homes or group residences licensed or regulated by agencies of the commonwealth," and suggests that the carve-out means that the Legislature either intended to relieve group homes and lodging houses of the obligation to install sprinklers, or that different treatment should be afforded group homes. Lodging houses for the disabled, Crossing Over argues, should be treated in the same manner. The premise is incorrect. The distinction drawn between the lodging houses and other congregate living</w:t>
      </w:r>
      <w:r>
        <w:rPr>
          <w:rFonts w:ascii="Times New Roman" w:eastAsia="Times New Roman" w:hAnsi="Times New Roman"/>
          <w:sz w:val="24"/>
          <w:szCs w:val="24"/>
        </w:rPr>
        <w:t xml:space="preserve"> </w:t>
      </w:r>
      <w:r w:rsidRPr="00F4679A">
        <w:rPr>
          <w:rFonts w:ascii="Times New Roman" w:eastAsia="Times New Roman" w:hAnsi="Times New Roman"/>
          <w:sz w:val="24"/>
          <w:szCs w:val="24"/>
        </w:rPr>
        <w:t>arrangements in G. L. c. 148, § 26H, preserves the regulatory authority granted to State agencies and municipalities over licensed group homes, dormitories, or fraternities, but does not generally exempt them from fire safety regulation.</w:t>
      </w:r>
      <w:r>
        <w:rPr>
          <w:rFonts w:ascii="Times New Roman" w:eastAsia="Times New Roman" w:hAnsi="Times New Roman"/>
          <w:sz w:val="24"/>
          <w:szCs w:val="24"/>
        </w:rPr>
        <w:t xml:space="preserve">”  </w:t>
      </w:r>
      <w:hyperlink r:id="rId286" w:history="1">
        <w:r w:rsidRPr="005709A5">
          <w:rPr>
            <w:rStyle w:val="Hyperlink"/>
            <w:rFonts w:ascii="Times New Roman" w:hAnsi="Times New Roman"/>
            <w:sz w:val="24"/>
            <w:szCs w:val="24"/>
          </w:rPr>
          <w:t>https://law.justia.com/cases/massachusetts/court-of-appeals/2020/19-p-903.html</w:t>
        </w:r>
      </w:hyperlink>
      <w:r>
        <w:rPr>
          <w:rFonts w:ascii="Times New Roman" w:eastAsia="Times New Roman" w:hAnsi="Times New Roman"/>
          <w:sz w:val="24"/>
          <w:szCs w:val="24"/>
        </w:rPr>
        <w:t xml:space="preserve"> </w:t>
      </w:r>
    </w:p>
    <w:p w14:paraId="2F373111" w14:textId="77777777" w:rsidR="007D178F" w:rsidRPr="00FE5C5F" w:rsidRDefault="007D178F" w:rsidP="007D178F">
      <w:pPr>
        <w:spacing w:before="100" w:beforeAutospacing="1" w:after="100" w:afterAutospacing="1" w:line="240" w:lineRule="auto"/>
        <w:ind w:firstLine="720"/>
        <w:rPr>
          <w:rFonts w:ascii="Times New Roman" w:eastAsia="Times New Roman" w:hAnsi="Times New Roman"/>
          <w:sz w:val="24"/>
          <w:szCs w:val="24"/>
        </w:rPr>
      </w:pPr>
      <w:r w:rsidRPr="00FE5C5F">
        <w:rPr>
          <w:rFonts w:ascii="Times New Roman" w:eastAsia="Times New Roman" w:hAnsi="Times New Roman"/>
          <w:sz w:val="24"/>
          <w:szCs w:val="24"/>
        </w:rPr>
        <w:t>***</w:t>
      </w:r>
    </w:p>
    <w:p w14:paraId="736227D9" w14:textId="77777777" w:rsidR="007D178F" w:rsidRPr="00FE5C5F" w:rsidRDefault="007D178F" w:rsidP="007D178F">
      <w:pPr>
        <w:spacing w:before="100" w:beforeAutospacing="1" w:after="100" w:afterAutospacing="1" w:line="240" w:lineRule="auto"/>
        <w:ind w:left="720"/>
        <w:rPr>
          <w:rFonts w:ascii="Times New Roman" w:hAnsi="Times New Roman"/>
          <w:sz w:val="24"/>
          <w:szCs w:val="24"/>
        </w:rPr>
      </w:pPr>
      <w:r w:rsidRPr="00FE5C5F">
        <w:rPr>
          <w:rFonts w:ascii="Times New Roman" w:hAnsi="Times New Roman"/>
          <w:sz w:val="24"/>
          <w:szCs w:val="24"/>
        </w:rPr>
        <w:t xml:space="preserve">Sober homes, however, are not licensed by the Commonwealth. </w:t>
      </w:r>
      <w:proofErr w:type="gramStart"/>
      <w:r w:rsidRPr="00FE5C5F">
        <w:rPr>
          <w:rFonts w:ascii="Times New Roman" w:hAnsi="Times New Roman"/>
          <w:sz w:val="24"/>
          <w:szCs w:val="24"/>
        </w:rPr>
        <w:t>Instead</w:t>
      </w:r>
      <w:proofErr w:type="gramEnd"/>
      <w:r w:rsidRPr="00FE5C5F">
        <w:rPr>
          <w:rFonts w:ascii="Times New Roman" w:hAnsi="Times New Roman"/>
          <w:sz w:val="24"/>
          <w:szCs w:val="24"/>
        </w:rPr>
        <w:t xml:space="preserve"> they are subject to a voluntary State accreditation and training program, G. L. c. 17, § 18A, inserted by St. 2014, c. 165, § 37; accreditation is required if the sober home is to receive referrals from State agencies. G. L. c. 17, § 18A (</w:t>
      </w:r>
      <w:r w:rsidRPr="00FE5C5F">
        <w:rPr>
          <w:rFonts w:ascii="Times New Roman" w:hAnsi="Times New Roman"/>
          <w:sz w:val="24"/>
          <w:szCs w:val="24"/>
          <w:u w:val="single"/>
        </w:rPr>
        <w:t>h</w:t>
      </w:r>
      <w:r w:rsidRPr="00FE5C5F">
        <w:rPr>
          <w:rFonts w:ascii="Times New Roman" w:hAnsi="Times New Roman"/>
          <w:sz w:val="24"/>
          <w:szCs w:val="24"/>
        </w:rPr>
        <w:t xml:space="preserve">). Contrast G. L. c. 111, § 73 (providing fines for operation of rest home without license). General Laws c. 148, 26H, thus has the effect of extending the sprinkler statute to lodging houses that are sober homes; other statutes and regulations extend varying levels of fire safety standards to other congregate living </w:t>
      </w:r>
      <w:proofErr w:type="gramStart"/>
      <w:r w:rsidRPr="00FE5C5F">
        <w:rPr>
          <w:rFonts w:ascii="Times New Roman" w:hAnsi="Times New Roman"/>
          <w:sz w:val="24"/>
          <w:szCs w:val="24"/>
        </w:rPr>
        <w:t>arrangements.”</w:t>
      </w:r>
      <w:proofErr w:type="gramEnd"/>
      <w:r w:rsidRPr="00FE5C5F">
        <w:rPr>
          <w:rFonts w:ascii="Times New Roman" w:hAnsi="Times New Roman"/>
          <w:sz w:val="24"/>
          <w:szCs w:val="24"/>
        </w:rPr>
        <w:t xml:space="preserve"> </w:t>
      </w:r>
      <w:hyperlink r:id="rId287" w:history="1">
        <w:r w:rsidRPr="00FE5C5F">
          <w:rPr>
            <w:rStyle w:val="Hyperlink"/>
            <w:rFonts w:ascii="Times New Roman" w:hAnsi="Times New Roman"/>
            <w:sz w:val="24"/>
            <w:szCs w:val="24"/>
          </w:rPr>
          <w:t>https://public.fastcase.com/Wl%2B2t%2BeVuI35%2FN70vAMFZn5gKg3cdbP6IN7E7ywDm7QNgGMGGIVm2eo9gH1WNWLv</w:t>
        </w:r>
      </w:hyperlink>
      <w:r w:rsidRPr="00FE5C5F">
        <w:rPr>
          <w:rFonts w:ascii="Times New Roman" w:hAnsi="Times New Roman"/>
          <w:sz w:val="24"/>
          <w:szCs w:val="24"/>
        </w:rPr>
        <w:t xml:space="preserve"> </w:t>
      </w:r>
    </w:p>
    <w:p w14:paraId="6F120D4E" w14:textId="77777777" w:rsidR="007D178F" w:rsidRDefault="007D178F" w:rsidP="007D178F">
      <w:pPr>
        <w:pStyle w:val="NoSpacing"/>
        <w:tabs>
          <w:tab w:val="left" w:pos="3200"/>
        </w:tabs>
        <w:rPr>
          <w:rFonts w:ascii="Times New Roman" w:hAnsi="Times New Roman"/>
          <w:b/>
          <w:bCs/>
          <w:sz w:val="24"/>
          <w:szCs w:val="24"/>
        </w:rPr>
      </w:pPr>
      <w:r w:rsidRPr="00091FFE">
        <w:rPr>
          <w:rFonts w:ascii="Times New Roman" w:hAnsi="Times New Roman"/>
          <w:b/>
          <w:bCs/>
          <w:sz w:val="24"/>
          <w:szCs w:val="24"/>
        </w:rPr>
        <w:t>Legal Lesson Learned:</w:t>
      </w:r>
      <w:r>
        <w:rPr>
          <w:rFonts w:ascii="Times New Roman" w:hAnsi="Times New Roman"/>
          <w:b/>
          <w:bCs/>
          <w:sz w:val="24"/>
          <w:szCs w:val="24"/>
        </w:rPr>
        <w:t xml:space="preserve"> State sprinkler code can be enforced not only against state-licensed facilities, such as rest homes and group mental health facilities, but also to unlicensed “sober houses” voluntarily seeking State accreditation </w:t>
      </w:r>
      <w:proofErr w:type="gramStart"/>
      <w:r>
        <w:rPr>
          <w:rFonts w:ascii="Times New Roman" w:hAnsi="Times New Roman"/>
          <w:b/>
          <w:bCs/>
          <w:sz w:val="24"/>
          <w:szCs w:val="24"/>
        </w:rPr>
        <w:t>in order to</w:t>
      </w:r>
      <w:proofErr w:type="gramEnd"/>
      <w:r>
        <w:rPr>
          <w:rFonts w:ascii="Times New Roman" w:hAnsi="Times New Roman"/>
          <w:b/>
          <w:bCs/>
          <w:sz w:val="24"/>
          <w:szCs w:val="24"/>
        </w:rPr>
        <w:t xml:space="preserve"> receive patient referrals from State agencies. </w:t>
      </w:r>
    </w:p>
    <w:p w14:paraId="22956CD6" w14:textId="77777777" w:rsidR="007D178F" w:rsidRDefault="007D178F" w:rsidP="007D178F">
      <w:pPr>
        <w:pStyle w:val="NoSpacing"/>
        <w:tabs>
          <w:tab w:val="left" w:pos="3200"/>
        </w:tabs>
        <w:rPr>
          <w:rFonts w:ascii="Times New Roman" w:hAnsi="Times New Roman"/>
          <w:b/>
          <w:bCs/>
          <w:sz w:val="24"/>
          <w:szCs w:val="24"/>
        </w:rPr>
      </w:pPr>
    </w:p>
    <w:p w14:paraId="597D1F30" w14:textId="77777777" w:rsidR="007D178F" w:rsidRDefault="007D178F" w:rsidP="007D178F">
      <w:pPr>
        <w:pStyle w:val="NoSpacing"/>
        <w:tabs>
          <w:tab w:val="left" w:pos="3200"/>
        </w:tabs>
        <w:ind w:left="630"/>
      </w:pPr>
      <w:r>
        <w:rPr>
          <w:rFonts w:ascii="Times New Roman" w:hAnsi="Times New Roman"/>
          <w:sz w:val="24"/>
          <w:szCs w:val="24"/>
        </w:rPr>
        <w:t xml:space="preserve">Note:  The Court described how fire codes nationwide have expanded after tragic fires, including </w:t>
      </w:r>
      <w:r w:rsidRPr="00906A73">
        <w:rPr>
          <w:rFonts w:ascii="Times New Roman" w:hAnsi="Times New Roman"/>
          <w:sz w:val="24"/>
          <w:szCs w:val="24"/>
        </w:rPr>
        <w:t>the Triangle Shirtwaist Factory Fire in New York</w:t>
      </w:r>
      <w:r>
        <w:rPr>
          <w:rFonts w:ascii="Times New Roman" w:hAnsi="Times New Roman"/>
          <w:sz w:val="24"/>
          <w:szCs w:val="24"/>
        </w:rPr>
        <w:t xml:space="preserve"> (1911 – 146 died), and the </w:t>
      </w:r>
      <w:r w:rsidRPr="00906A73">
        <w:rPr>
          <w:rFonts w:ascii="Times New Roman" w:hAnsi="Times New Roman"/>
          <w:sz w:val="24"/>
          <w:szCs w:val="24"/>
        </w:rPr>
        <w:t>Cocoanut Grove nightclub fire in Boston</w:t>
      </w:r>
      <w:r>
        <w:rPr>
          <w:rFonts w:ascii="Times New Roman" w:hAnsi="Times New Roman"/>
          <w:sz w:val="24"/>
          <w:szCs w:val="24"/>
        </w:rPr>
        <w:t xml:space="preserve"> (1942 – 492 died).  [Footnote 5.]  Sprinkler codes in Massachusetts were also expanded after tragic fires. </w:t>
      </w:r>
    </w:p>
    <w:p w14:paraId="30225F49" w14:textId="77777777" w:rsidR="007D178F" w:rsidRDefault="007D178F" w:rsidP="007D178F">
      <w:pPr>
        <w:pStyle w:val="NormalWeb"/>
        <w:ind w:left="720"/>
      </w:pPr>
      <w:r>
        <w:t xml:space="preserve">“The Commonwealth's sprinkler laws reflect a patchwork of requirements enacted, seriatim, in response to various </w:t>
      </w:r>
      <w:proofErr w:type="spellStart"/>
      <w:r>
        <w:t>tragedies.</w:t>
      </w:r>
      <w:bookmarkStart w:id="17" w:name="fn5"/>
      <w:r>
        <w:rPr>
          <w:sz w:val="20"/>
          <w:szCs w:val="20"/>
          <w:vertAlign w:val="superscript"/>
        </w:rPr>
        <w:fldChar w:fldCharType="begin"/>
      </w:r>
      <w:r>
        <w:rPr>
          <w:sz w:val="20"/>
          <w:szCs w:val="20"/>
          <w:vertAlign w:val="superscript"/>
        </w:rPr>
        <w:instrText xml:space="preserve"> HYPERLINK "https://public.fastcase.com/" \l "fr5" </w:instrText>
      </w:r>
      <w:r>
        <w:rPr>
          <w:sz w:val="20"/>
          <w:szCs w:val="20"/>
          <w:vertAlign w:val="superscript"/>
        </w:rPr>
      </w:r>
      <w:r>
        <w:rPr>
          <w:sz w:val="20"/>
          <w:szCs w:val="20"/>
          <w:vertAlign w:val="superscript"/>
        </w:rPr>
        <w:fldChar w:fldCharType="separate"/>
      </w:r>
      <w:r w:rsidR="00814FB6">
        <w:rPr>
          <w:rStyle w:val="Hyperlink"/>
          <w:rFonts w:ascii="Calibri" w:eastAsia="Calibri" w:hAnsi="Calibri"/>
          <w:sz w:val="22"/>
          <w:szCs w:val="22"/>
        </w:rPr>
        <w:t>https</w:t>
      </w:r>
      <w:proofErr w:type="spellEnd"/>
      <w:r w:rsidR="00814FB6">
        <w:rPr>
          <w:rStyle w:val="Hyperlink"/>
          <w:rFonts w:ascii="Calibri" w:eastAsia="Calibri" w:hAnsi="Calibri"/>
          <w:sz w:val="22"/>
          <w:szCs w:val="22"/>
        </w:rPr>
        <w:t>://public.fastcase.com/ - fr5</w:t>
      </w:r>
      <w:r>
        <w:rPr>
          <w:sz w:val="20"/>
          <w:szCs w:val="20"/>
          <w:vertAlign w:val="superscript"/>
        </w:rPr>
        <w:fldChar w:fldCharType="end"/>
      </w:r>
      <w:bookmarkEnd w:id="17"/>
      <w:r>
        <w:rPr>
          <w:sz w:val="20"/>
          <w:szCs w:val="20"/>
          <w:vertAlign w:val="superscript"/>
        </w:rPr>
        <w:t xml:space="preserve"> </w:t>
      </w:r>
      <w:r>
        <w:t>‘[F]</w:t>
      </w:r>
      <w:proofErr w:type="spellStart"/>
      <w:r>
        <w:t>ollowing</w:t>
      </w:r>
      <w:proofErr w:type="spellEnd"/>
      <w:r>
        <w:t xml:space="preserve"> a fire in a luxury high rise hotel that killed nine firefighters,’ </w:t>
      </w:r>
      <w:proofErr w:type="spellStart"/>
      <w:r>
        <w:rPr>
          <w:u w:val="single"/>
        </w:rPr>
        <w:t>MacLaurin</w:t>
      </w:r>
      <w:proofErr w:type="spellEnd"/>
      <w:r>
        <w:t xml:space="preserve"> v. </w:t>
      </w:r>
      <w:r>
        <w:rPr>
          <w:u w:val="single"/>
        </w:rPr>
        <w:t>Holyoke</w:t>
      </w:r>
      <w:r>
        <w:t xml:space="preserve">, 475 Mass. 231, 245 n.33 (2016), "automatic sprinklers were first required in 1972, in new high rise buildings throughout the Commonwealth, for buildings built after March 1, 1974. See G. L. c. 148, § 26A; St. 1973, c. 395, § 1." </w:t>
      </w:r>
      <w:r>
        <w:rPr>
          <w:u w:val="single"/>
        </w:rPr>
        <w:t>Id</w:t>
      </w:r>
      <w:r>
        <w:t xml:space="preserve">. at 245. "In 1982, following a deadly fire in Fall River, the commercial sprinkler provision, applicable to new nonresidential buildings of more than 7,500 square feet, and existing such buildings when they underwent 'major alterations,' was adopted." </w:t>
      </w:r>
      <w:r>
        <w:rPr>
          <w:u w:val="single"/>
        </w:rPr>
        <w:t>Id</w:t>
      </w:r>
      <w:r>
        <w:t>., discussing G. L. c. 148, § 26G, inserted by St. 1982, c. 545, § 1. "[I]</w:t>
      </w:r>
      <w:proofErr w:type="gramStart"/>
      <w:r>
        <w:t>n 1986</w:t>
      </w:r>
      <w:proofErr w:type="gramEnd"/>
      <w:r>
        <w:t xml:space="preserve">, after a major fire in the Prudential Center in Boston, sprinklers were required in existing, and not just new, </w:t>
      </w:r>
      <w:proofErr w:type="gramStart"/>
      <w:r>
        <w:t>high rise</w:t>
      </w:r>
      <w:proofErr w:type="gramEnd"/>
      <w:r>
        <w:t xml:space="preserve"> buildings across the Commonwealth, G. L. c. 148, § 26A 1/2, with a ten-year phase-in period. St. 1986, c. 633, § 2." (Footnote omitted.) </w:t>
      </w:r>
      <w:proofErr w:type="spellStart"/>
      <w:r>
        <w:rPr>
          <w:u w:val="single"/>
        </w:rPr>
        <w:t>MacLaurin</w:t>
      </w:r>
      <w:proofErr w:type="spellEnd"/>
      <w:r>
        <w:t xml:space="preserve">, </w:t>
      </w:r>
      <w:r>
        <w:rPr>
          <w:u w:val="single"/>
        </w:rPr>
        <w:t>supra</w:t>
      </w:r>
      <w:r>
        <w:t>. The sprinkler requirement for lodging houses at issue in this case was enacted within two years of the 1984 Elliot Chambers rooming house fire, a fire in Beverly in which fifteen people died and fourteen more were injured. See G. L. c. 148, § 26H, inserted by St. 1986, c. 265; Ortega, 1984 Beverly Fire Etched into Memory of Witnesses, Boston Globe (July 4, 2014), https://www.bostonglobe.com/metro/2014/07/03/three-decades-later-beverly-rooming-house-fire-that-killed-leaves-legacy-loss-and-reform/PljEbDRo6WmiAs5L84MRNP/story.html [https://perma.cc/VXQ7-R5NF].”</w:t>
      </w:r>
    </w:p>
    <w:p w14:paraId="31AE4E1C" w14:textId="77777777" w:rsidR="007D178F" w:rsidRDefault="007D178F" w:rsidP="007D178F">
      <w:pPr>
        <w:pStyle w:val="NoSpacing"/>
        <w:tabs>
          <w:tab w:val="left" w:pos="3200"/>
        </w:tabs>
        <w:rPr>
          <w:rFonts w:ascii="Times New Roman" w:hAnsi="Times New Roman"/>
          <w:sz w:val="24"/>
          <w:szCs w:val="24"/>
        </w:rPr>
      </w:pPr>
      <w:r>
        <w:rPr>
          <w:rFonts w:ascii="Times New Roman" w:hAnsi="Times New Roman"/>
          <w:sz w:val="24"/>
          <w:szCs w:val="24"/>
        </w:rPr>
        <w:t xml:space="preserve"> </w:t>
      </w:r>
    </w:p>
    <w:p w14:paraId="06F752CE" w14:textId="77777777" w:rsidR="007D178F" w:rsidRDefault="007D178F" w:rsidP="007D178F">
      <w:pPr>
        <w:pStyle w:val="NoSpacing"/>
        <w:rPr>
          <w:rFonts w:ascii="Times New Roman" w:hAnsi="Times New Roman"/>
          <w:sz w:val="24"/>
          <w:szCs w:val="24"/>
        </w:rPr>
      </w:pPr>
    </w:p>
    <w:p w14:paraId="0D237155" w14:textId="77777777" w:rsidR="007D178F" w:rsidRDefault="007D178F" w:rsidP="002B1283">
      <w:pPr>
        <w:rPr>
          <w:rFonts w:ascii="Arial Black" w:hAnsi="Arial Black"/>
          <w:b/>
          <w:sz w:val="24"/>
          <w:szCs w:val="24"/>
        </w:rPr>
      </w:pPr>
    </w:p>
    <w:p w14:paraId="318E0B3B" w14:textId="77777777" w:rsidR="007D178F" w:rsidRDefault="007D178F" w:rsidP="002B1283">
      <w:pPr>
        <w:rPr>
          <w:rFonts w:ascii="Arial Black" w:hAnsi="Arial Black"/>
          <w:b/>
          <w:sz w:val="24"/>
          <w:szCs w:val="24"/>
        </w:rPr>
      </w:pPr>
    </w:p>
    <w:p w14:paraId="3BB07011" w14:textId="09CB6DEA" w:rsidR="00DD03E3" w:rsidRDefault="00DD03E3" w:rsidP="002B1283">
      <w:pPr>
        <w:rPr>
          <w:rFonts w:ascii="Arial Black" w:hAnsi="Arial Black"/>
          <w:b/>
          <w:sz w:val="24"/>
          <w:szCs w:val="24"/>
        </w:rPr>
      </w:pPr>
      <w:r>
        <w:rPr>
          <w:rFonts w:ascii="Arial Black" w:hAnsi="Arial Black"/>
          <w:b/>
          <w:sz w:val="24"/>
          <w:szCs w:val="24"/>
        </w:rPr>
        <w:t>1-6</w:t>
      </w:r>
      <w:r w:rsidR="000F483A">
        <w:rPr>
          <w:rFonts w:ascii="Arial Black" w:hAnsi="Arial Black"/>
          <w:b/>
          <w:sz w:val="24"/>
          <w:szCs w:val="24"/>
        </w:rPr>
        <w:t>7</w:t>
      </w:r>
    </w:p>
    <w:p w14:paraId="5CBC4D03" w14:textId="77777777" w:rsidR="00DD03E3" w:rsidRPr="000A4BA4" w:rsidRDefault="00DD03E3" w:rsidP="00DD03E3">
      <w:pPr>
        <w:spacing w:before="100" w:beforeAutospacing="1" w:after="100" w:afterAutospacing="1" w:line="240" w:lineRule="auto"/>
        <w:rPr>
          <w:rFonts w:ascii="Arial Black" w:eastAsia="Times New Roman" w:hAnsi="Arial Black"/>
          <w:b/>
          <w:bCs/>
          <w:sz w:val="28"/>
          <w:szCs w:val="28"/>
        </w:rPr>
      </w:pPr>
      <w:r w:rsidRPr="000A4BA4">
        <w:rPr>
          <w:rFonts w:ascii="Arial Black" w:eastAsia="Times New Roman" w:hAnsi="Arial Black"/>
          <w:b/>
          <w:bCs/>
          <w:sz w:val="28"/>
          <w:szCs w:val="28"/>
        </w:rPr>
        <w:t>CA:</w:t>
      </w:r>
      <w:r>
        <w:rPr>
          <w:rFonts w:ascii="Arial Black" w:eastAsia="Times New Roman" w:hAnsi="Arial Black"/>
          <w:b/>
          <w:bCs/>
          <w:sz w:val="28"/>
          <w:szCs w:val="28"/>
        </w:rPr>
        <w:t xml:space="preserve"> ARSON – EMPLOYEE FIRED COFFEE SHOP - SEARCH WARRANT UPHELD – U.S. SUP. CT’s “GOOD FAITH EXCEPTION” ALSO APPLIES</w:t>
      </w:r>
    </w:p>
    <w:p w14:paraId="3EE354FD" w14:textId="77777777" w:rsidR="00DD03E3" w:rsidRDefault="00DD03E3" w:rsidP="00DD03E3">
      <w:pPr>
        <w:spacing w:before="100" w:beforeAutospacing="1" w:after="100" w:afterAutospacing="1" w:line="240" w:lineRule="auto"/>
        <w:rPr>
          <w:rFonts w:ascii="Times New Roman" w:hAnsi="Times New Roman"/>
          <w:sz w:val="24"/>
          <w:szCs w:val="24"/>
        </w:rPr>
      </w:pPr>
      <w:r w:rsidRPr="000A4BA4">
        <w:rPr>
          <w:rFonts w:ascii="Times New Roman" w:hAnsi="Times New Roman"/>
          <w:sz w:val="24"/>
          <w:szCs w:val="24"/>
        </w:rPr>
        <w:t xml:space="preserve">On Oct. 13, 2020, in </w:t>
      </w:r>
      <w:r w:rsidRPr="000A4BA4">
        <w:rPr>
          <w:rFonts w:ascii="Times New Roman" w:hAnsi="Times New Roman"/>
          <w:sz w:val="24"/>
          <w:szCs w:val="24"/>
          <w:u w:val="single"/>
        </w:rPr>
        <w:t>The People v. Muhammad Khan</w:t>
      </w:r>
      <w:r w:rsidRPr="000A4BA4">
        <w:rPr>
          <w:rFonts w:ascii="Times New Roman" w:hAnsi="Times New Roman"/>
          <w:sz w:val="24"/>
          <w:szCs w:val="24"/>
        </w:rPr>
        <w:t xml:space="preserve">, </w:t>
      </w:r>
      <w:r>
        <w:rPr>
          <w:rFonts w:ascii="Times New Roman" w:hAnsi="Times New Roman"/>
          <w:sz w:val="24"/>
          <w:szCs w:val="24"/>
        </w:rPr>
        <w:t xml:space="preserve">the Court of Appeal of the State of California (Sixth Appellate District), held (3 to 0) unpublished decision, that the trial court judge had properly denied the defense motion to suppress evidence seized at defendant’s home.  Court also held that even if the search warrant was found to be technically deficient, the evidence was properly allowed into evidence based on  the U.S. Supreme Court’s “good faith exception” in United States v. Leon, 468 U.S. 89 (1984), </w:t>
      </w:r>
      <w:hyperlink r:id="rId288" w:history="1">
        <w:r w:rsidRPr="00457ADD">
          <w:rPr>
            <w:rStyle w:val="Hyperlink"/>
            <w:rFonts w:ascii="Times New Roman" w:hAnsi="Times New Roman"/>
            <w:sz w:val="24"/>
            <w:szCs w:val="24"/>
          </w:rPr>
          <w:t>https://supreme.justia.com/cases/federal/us/468/897/</w:t>
        </w:r>
      </w:hyperlink>
      <w:r>
        <w:rPr>
          <w:rFonts w:ascii="Times New Roman" w:hAnsi="Times New Roman"/>
          <w:sz w:val="24"/>
          <w:szCs w:val="24"/>
        </w:rPr>
        <w:t xml:space="preserve"> </w:t>
      </w:r>
    </w:p>
    <w:p w14:paraId="32405324" w14:textId="77777777" w:rsidR="00DD03E3" w:rsidRDefault="00DD03E3" w:rsidP="00DD03E3">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0A4BA4">
        <w:rPr>
          <w:rFonts w:ascii="Times New Roman" w:hAnsi="Times New Roman"/>
          <w:sz w:val="24"/>
          <w:szCs w:val="24"/>
        </w:rPr>
        <w:t>Even if a close question, we conclude that the issuing magistrate had a substantial basis for concluding that probable cause existed for issuance of the search warrant, i.e., there was a fair probability that evidence of the crime would be found in defendant's home.</w:t>
      </w:r>
      <w:r>
        <w:rPr>
          <w:rFonts w:ascii="Times New Roman" w:hAnsi="Times New Roman"/>
          <w:sz w:val="24"/>
          <w:szCs w:val="24"/>
        </w:rPr>
        <w:t xml:space="preserve"> </w:t>
      </w:r>
      <w:r w:rsidRPr="00F02ED3">
        <w:rPr>
          <w:rFonts w:ascii="Times New Roman" w:eastAsia="Times New Roman" w:hAnsi="Times New Roman"/>
          <w:sz w:val="24"/>
          <w:szCs w:val="24"/>
        </w:rPr>
        <w:t xml:space="preserve">In </w:t>
      </w:r>
      <w:r w:rsidRPr="00F02ED3">
        <w:rPr>
          <w:rFonts w:ascii="Times New Roman" w:eastAsia="Times New Roman" w:hAnsi="Times New Roman"/>
          <w:i/>
          <w:iCs/>
          <w:sz w:val="24"/>
          <w:szCs w:val="24"/>
        </w:rPr>
        <w:t>Leon</w:t>
      </w:r>
      <w:r w:rsidRPr="00F02ED3">
        <w:rPr>
          <w:rFonts w:ascii="Times New Roman" w:eastAsia="Times New Roman" w:hAnsi="Times New Roman"/>
          <w:sz w:val="24"/>
          <w:szCs w:val="24"/>
        </w:rPr>
        <w:t xml:space="preserve">, the United States Supreme Court recognized a good faith exception to the exclusionary rule where police conduct a search in </w:t>
      </w:r>
      <w:r>
        <w:rPr>
          <w:rFonts w:ascii="Times New Roman" w:eastAsia="Times New Roman" w:hAnsi="Times New Roman"/>
          <w:sz w:val="24"/>
          <w:szCs w:val="24"/>
        </w:rPr>
        <w:t>‘</w:t>
      </w:r>
      <w:r w:rsidRPr="00F02ED3">
        <w:rPr>
          <w:rFonts w:ascii="Times New Roman" w:eastAsia="Times New Roman" w:hAnsi="Times New Roman"/>
          <w:sz w:val="24"/>
          <w:szCs w:val="24"/>
        </w:rPr>
        <w:t>objectively reasonable reliance</w:t>
      </w:r>
      <w:r>
        <w:rPr>
          <w:rFonts w:ascii="Times New Roman" w:eastAsia="Times New Roman" w:hAnsi="Times New Roman"/>
          <w:sz w:val="24"/>
          <w:szCs w:val="24"/>
        </w:rPr>
        <w:t>’</w:t>
      </w:r>
      <w:r w:rsidRPr="00F02ED3">
        <w:rPr>
          <w:rFonts w:ascii="Times New Roman" w:eastAsia="Times New Roman" w:hAnsi="Times New Roman"/>
          <w:sz w:val="24"/>
          <w:szCs w:val="24"/>
        </w:rPr>
        <w:t xml:space="preserve"> on a warrant later held invalid. (</w:t>
      </w:r>
      <w:r w:rsidRPr="00F02ED3">
        <w:rPr>
          <w:rFonts w:ascii="Times New Roman" w:eastAsia="Times New Roman" w:hAnsi="Times New Roman"/>
          <w:i/>
          <w:iCs/>
          <w:sz w:val="24"/>
          <w:szCs w:val="24"/>
        </w:rPr>
        <w:t>Leon</w:t>
      </w:r>
      <w:r w:rsidRPr="00F02ED3">
        <w:rPr>
          <w:rFonts w:ascii="Times New Roman" w:eastAsia="Times New Roman" w:hAnsi="Times New Roman"/>
          <w:sz w:val="24"/>
          <w:szCs w:val="24"/>
        </w:rPr>
        <w:t xml:space="preserve">, </w:t>
      </w:r>
      <w:r w:rsidRPr="00F02ED3">
        <w:rPr>
          <w:rFonts w:ascii="Times New Roman" w:eastAsia="Times New Roman" w:hAnsi="Times New Roman"/>
          <w:i/>
          <w:iCs/>
          <w:sz w:val="24"/>
          <w:szCs w:val="24"/>
        </w:rPr>
        <w:t>supra</w:t>
      </w:r>
      <w:r w:rsidRPr="00F02ED3">
        <w:rPr>
          <w:rFonts w:ascii="Times New Roman" w:eastAsia="Times New Roman" w:hAnsi="Times New Roman"/>
          <w:sz w:val="24"/>
          <w:szCs w:val="24"/>
        </w:rPr>
        <w:t xml:space="preserve">, 468 U.S. at p. 922; see </w:t>
      </w:r>
      <w:r w:rsidRPr="00F02ED3">
        <w:rPr>
          <w:rFonts w:ascii="Times New Roman" w:eastAsia="Times New Roman" w:hAnsi="Times New Roman"/>
          <w:i/>
          <w:iCs/>
          <w:sz w:val="24"/>
          <w:szCs w:val="24"/>
        </w:rPr>
        <w:t>id</w:t>
      </w:r>
      <w:r w:rsidRPr="00F02ED3">
        <w:rPr>
          <w:rFonts w:ascii="Times New Roman" w:eastAsia="Times New Roman" w:hAnsi="Times New Roman"/>
          <w:sz w:val="24"/>
          <w:szCs w:val="24"/>
        </w:rPr>
        <w:t xml:space="preserve">. </w:t>
      </w:r>
      <w:proofErr w:type="gramStart"/>
      <w:r w:rsidRPr="00F02ED3">
        <w:rPr>
          <w:rFonts w:ascii="Times New Roman" w:eastAsia="Times New Roman" w:hAnsi="Times New Roman"/>
          <w:sz w:val="24"/>
          <w:szCs w:val="24"/>
        </w:rPr>
        <w:t>at p.</w:t>
      </w:r>
      <w:proofErr w:type="gramEnd"/>
      <w:r w:rsidRPr="00F02ED3">
        <w:rPr>
          <w:rFonts w:ascii="Times New Roman" w:eastAsia="Times New Roman" w:hAnsi="Times New Roman"/>
          <w:sz w:val="24"/>
          <w:szCs w:val="24"/>
        </w:rPr>
        <w:t xml:space="preserve"> 924 [the good-faith exception turns on objective reasonableness].) The court </w:t>
      </w:r>
      <w:proofErr w:type="gramStart"/>
      <w:r w:rsidRPr="00F02ED3">
        <w:rPr>
          <w:rFonts w:ascii="Times New Roman" w:eastAsia="Times New Roman" w:hAnsi="Times New Roman"/>
          <w:sz w:val="24"/>
          <w:szCs w:val="24"/>
        </w:rPr>
        <w:t xml:space="preserve">explained: </w:t>
      </w:r>
      <w:r>
        <w:rPr>
          <w:rFonts w:ascii="Times New Roman" w:eastAsia="Times New Roman" w:hAnsi="Times New Roman"/>
          <w:sz w:val="24"/>
          <w:szCs w:val="24"/>
        </w:rPr>
        <w:t>‘</w:t>
      </w:r>
      <w:proofErr w:type="gramEnd"/>
      <w:r w:rsidRPr="00F02ED3">
        <w:rPr>
          <w:rFonts w:ascii="Times New Roman" w:eastAsia="Times New Roman" w:hAnsi="Times New Roman"/>
          <w:sz w:val="24"/>
          <w:szCs w:val="24"/>
        </w:rPr>
        <w:t>It is the magistrate's responsibility to determine whether the officer's allegations establish probable cause and, if so, to issue a warrant comporting in form with the requirements of the Fourth Amendment. In the ordinary case, an officer cannot be expected to question</w:t>
      </w:r>
      <w:r>
        <w:rPr>
          <w:rFonts w:ascii="Times New Roman" w:eastAsia="Times New Roman" w:hAnsi="Times New Roman"/>
          <w:sz w:val="24"/>
          <w:szCs w:val="24"/>
        </w:rPr>
        <w:t xml:space="preserve"> </w:t>
      </w:r>
      <w:r w:rsidRPr="00F02ED3">
        <w:rPr>
          <w:rFonts w:ascii="Times New Roman" w:eastAsia="Times New Roman" w:hAnsi="Times New Roman"/>
          <w:sz w:val="24"/>
          <w:szCs w:val="24"/>
        </w:rPr>
        <w:t xml:space="preserve">the magistrate's probable-cause determination or his judgment that the form of the </w:t>
      </w:r>
      <w:proofErr w:type="gramStart"/>
      <w:r w:rsidRPr="00F02ED3">
        <w:rPr>
          <w:rFonts w:ascii="Times New Roman" w:eastAsia="Times New Roman" w:hAnsi="Times New Roman"/>
          <w:sz w:val="24"/>
          <w:szCs w:val="24"/>
        </w:rPr>
        <w:t>warrant</w:t>
      </w:r>
      <w:proofErr w:type="gramEnd"/>
      <w:r w:rsidRPr="00F02ED3">
        <w:rPr>
          <w:rFonts w:ascii="Times New Roman" w:eastAsia="Times New Roman" w:hAnsi="Times New Roman"/>
          <w:sz w:val="24"/>
          <w:szCs w:val="24"/>
        </w:rPr>
        <w:t xml:space="preserve"> is technically sufficient.</w:t>
      </w:r>
      <w:r>
        <w:rPr>
          <w:rFonts w:ascii="Times New Roman" w:eastAsia="Times New Roman" w:hAnsi="Times New Roman"/>
          <w:sz w:val="24"/>
          <w:szCs w:val="24"/>
        </w:rPr>
        <w:t>’</w:t>
      </w:r>
      <w:r w:rsidRPr="00F02ED3">
        <w:rPr>
          <w:rFonts w:ascii="Times New Roman" w:eastAsia="Times New Roman" w:hAnsi="Times New Roman"/>
          <w:sz w:val="24"/>
          <w:szCs w:val="24"/>
        </w:rPr>
        <w:t xml:space="preserve"> (</w:t>
      </w:r>
      <w:r w:rsidRPr="00F02ED3">
        <w:rPr>
          <w:rFonts w:ascii="Times New Roman" w:eastAsia="Times New Roman" w:hAnsi="Times New Roman"/>
          <w:i/>
          <w:iCs/>
          <w:sz w:val="24"/>
          <w:szCs w:val="24"/>
        </w:rPr>
        <w:t>Id</w:t>
      </w:r>
      <w:r w:rsidRPr="00F02ED3">
        <w:rPr>
          <w:rFonts w:ascii="Times New Roman" w:eastAsia="Times New Roman" w:hAnsi="Times New Roman"/>
          <w:sz w:val="24"/>
          <w:szCs w:val="24"/>
        </w:rPr>
        <w:t>. at p. 921.)</w:t>
      </w:r>
      <w:r>
        <w:rPr>
          <w:rFonts w:ascii="Times New Roman" w:eastAsia="Times New Roman" w:hAnsi="Times New Roman"/>
          <w:sz w:val="24"/>
          <w:szCs w:val="24"/>
        </w:rPr>
        <w:t xml:space="preserve"> </w:t>
      </w:r>
    </w:p>
    <w:p w14:paraId="68C24EC3" w14:textId="77777777" w:rsidR="00DD03E3" w:rsidRDefault="00DD03E3" w:rsidP="00DD03E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01548202" w14:textId="77777777" w:rsidR="00DD03E3" w:rsidRDefault="00DD03E3" w:rsidP="00DD03E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[SEARCH WARRANT AFFIDAVIT] </w:t>
      </w:r>
    </w:p>
    <w:p w14:paraId="220C412C" w14:textId="77777777" w:rsidR="00DD03E3" w:rsidRPr="00F02ED3" w:rsidRDefault="00DD03E3" w:rsidP="00DD03E3">
      <w:pPr>
        <w:spacing w:before="100" w:beforeAutospacing="1" w:after="100" w:afterAutospacing="1" w:line="240" w:lineRule="auto"/>
        <w:ind w:left="720"/>
        <w:rPr>
          <w:rFonts w:ascii="Times New Roman" w:eastAsia="Times New Roman" w:hAnsi="Times New Roman"/>
          <w:sz w:val="24"/>
          <w:szCs w:val="24"/>
        </w:rPr>
      </w:pPr>
      <w:r w:rsidRPr="001E6223">
        <w:rPr>
          <w:rFonts w:ascii="Times New Roman" w:hAnsi="Times New Roman"/>
          <w:sz w:val="24"/>
          <w:szCs w:val="24"/>
        </w:rPr>
        <w:t xml:space="preserve">Based on his experience that people often keep receipts from recent purchases, Detective Bulatao stated his belief that receipts from purchases of </w:t>
      </w:r>
      <w:r>
        <w:rPr>
          <w:rFonts w:ascii="Times New Roman" w:hAnsi="Times New Roman"/>
          <w:sz w:val="24"/>
          <w:szCs w:val="24"/>
        </w:rPr>
        <w:t>‘</w:t>
      </w:r>
      <w:r w:rsidRPr="001E6223">
        <w:rPr>
          <w:rFonts w:ascii="Times New Roman" w:hAnsi="Times New Roman"/>
          <w:sz w:val="24"/>
          <w:szCs w:val="24"/>
        </w:rPr>
        <w:t>items pertaining to [the] investigation (i.e. gas purchases, towels, canisters)</w:t>
      </w:r>
      <w:r>
        <w:rPr>
          <w:rFonts w:ascii="Times New Roman" w:hAnsi="Times New Roman"/>
          <w:sz w:val="24"/>
          <w:szCs w:val="24"/>
        </w:rPr>
        <w:t>’</w:t>
      </w:r>
      <w:r w:rsidRPr="001E6223">
        <w:rPr>
          <w:rFonts w:ascii="Times New Roman" w:hAnsi="Times New Roman"/>
          <w:sz w:val="24"/>
          <w:szCs w:val="24"/>
        </w:rPr>
        <w:t xml:space="preserve"> would be found in defendant’s residence. He also stated, based on his training and experience, that he knew that fire accelerant is </w:t>
      </w:r>
      <w:r>
        <w:rPr>
          <w:rFonts w:ascii="Times New Roman" w:hAnsi="Times New Roman"/>
          <w:sz w:val="24"/>
          <w:szCs w:val="24"/>
        </w:rPr>
        <w:t>‘</w:t>
      </w:r>
      <w:r w:rsidRPr="001E6223">
        <w:rPr>
          <w:rFonts w:ascii="Times New Roman" w:hAnsi="Times New Roman"/>
          <w:sz w:val="24"/>
          <w:szCs w:val="24"/>
        </w:rPr>
        <w:t>contained in canisters or other containers,</w:t>
      </w:r>
      <w:r>
        <w:rPr>
          <w:rFonts w:ascii="Times New Roman" w:hAnsi="Times New Roman"/>
          <w:sz w:val="24"/>
          <w:szCs w:val="24"/>
        </w:rPr>
        <w:t>’</w:t>
      </w:r>
      <w:r w:rsidRPr="001E6223">
        <w:rPr>
          <w:rFonts w:ascii="Times New Roman" w:hAnsi="Times New Roman"/>
          <w:sz w:val="24"/>
          <w:szCs w:val="24"/>
        </w:rPr>
        <w:t xml:space="preserve"> that </w:t>
      </w:r>
      <w:r>
        <w:rPr>
          <w:rFonts w:ascii="Times New Roman" w:hAnsi="Times New Roman"/>
          <w:sz w:val="24"/>
          <w:szCs w:val="24"/>
        </w:rPr>
        <w:t>‘</w:t>
      </w:r>
      <w:r w:rsidRPr="001E6223">
        <w:rPr>
          <w:rFonts w:ascii="Times New Roman" w:hAnsi="Times New Roman"/>
          <w:sz w:val="24"/>
          <w:szCs w:val="24"/>
        </w:rPr>
        <w:t>persons who use accelerants to soak rags, such as the blue towels in this case, may do so in the safety of their homes to avoid detection,</w:t>
      </w:r>
      <w:r>
        <w:rPr>
          <w:rFonts w:ascii="Times New Roman" w:hAnsi="Times New Roman"/>
          <w:sz w:val="24"/>
          <w:szCs w:val="24"/>
        </w:rPr>
        <w:t>’</w:t>
      </w:r>
      <w:r w:rsidRPr="001E6223">
        <w:rPr>
          <w:rFonts w:ascii="Times New Roman" w:hAnsi="Times New Roman"/>
          <w:sz w:val="24"/>
          <w:szCs w:val="24"/>
        </w:rPr>
        <w:t xml:space="preserve"> that </w:t>
      </w:r>
      <w:r>
        <w:rPr>
          <w:rFonts w:ascii="Times New Roman" w:hAnsi="Times New Roman"/>
          <w:sz w:val="24"/>
          <w:szCs w:val="24"/>
        </w:rPr>
        <w:t>‘</w:t>
      </w:r>
      <w:r w:rsidRPr="001E6223">
        <w:rPr>
          <w:rFonts w:ascii="Times New Roman" w:hAnsi="Times New Roman"/>
          <w:sz w:val="24"/>
          <w:szCs w:val="24"/>
        </w:rPr>
        <w:t>those canisters or other containers of accelerant may be found if a search is conducted,</w:t>
      </w:r>
      <w:r>
        <w:rPr>
          <w:rFonts w:ascii="Times New Roman" w:hAnsi="Times New Roman"/>
          <w:sz w:val="24"/>
          <w:szCs w:val="24"/>
        </w:rPr>
        <w:t>’</w:t>
      </w:r>
      <w:r w:rsidRPr="001E6223">
        <w:rPr>
          <w:rFonts w:ascii="Times New Roman" w:hAnsi="Times New Roman"/>
          <w:sz w:val="24"/>
          <w:szCs w:val="24"/>
        </w:rPr>
        <w:t xml:space="preserve"> and that </w:t>
      </w:r>
      <w:r>
        <w:rPr>
          <w:rFonts w:ascii="Times New Roman" w:hAnsi="Times New Roman"/>
          <w:sz w:val="24"/>
          <w:szCs w:val="24"/>
        </w:rPr>
        <w:t>‘</w:t>
      </w:r>
      <w:r w:rsidRPr="001E6223">
        <w:rPr>
          <w:rFonts w:ascii="Times New Roman" w:hAnsi="Times New Roman"/>
          <w:sz w:val="24"/>
          <w:szCs w:val="24"/>
        </w:rPr>
        <w:t>when a specific item is used in a crime—in this case, blue towels cut into rags</w:t>
      </w:r>
      <w:r>
        <w:rPr>
          <w:rFonts w:ascii="Times New Roman" w:hAnsi="Times New Roman"/>
          <w:sz w:val="24"/>
          <w:szCs w:val="24"/>
        </w:rPr>
        <w:t>’</w:t>
      </w:r>
      <w:r w:rsidRPr="001E6223">
        <w:rPr>
          <w:rFonts w:ascii="Times New Roman" w:hAnsi="Times New Roman"/>
          <w:sz w:val="24"/>
          <w:szCs w:val="24"/>
        </w:rPr>
        <w:t>—</w:t>
      </w:r>
      <w:r>
        <w:rPr>
          <w:rFonts w:ascii="Times New Roman" w:hAnsi="Times New Roman"/>
          <w:sz w:val="24"/>
          <w:szCs w:val="24"/>
        </w:rPr>
        <w:t>'</w:t>
      </w:r>
      <w:r w:rsidRPr="001E6223">
        <w:rPr>
          <w:rFonts w:ascii="Times New Roman" w:hAnsi="Times New Roman"/>
          <w:sz w:val="24"/>
          <w:szCs w:val="24"/>
        </w:rPr>
        <w:t>often more of the same type of items will be found in a person’s home.</w:t>
      </w:r>
      <w:r>
        <w:rPr>
          <w:rFonts w:ascii="Times New Roman" w:hAnsi="Times New Roman"/>
          <w:sz w:val="24"/>
          <w:szCs w:val="24"/>
        </w:rPr>
        <w:t>’</w:t>
      </w:r>
      <w:r w:rsidRPr="001E6223">
        <w:rPr>
          <w:rFonts w:ascii="Times New Roman" w:hAnsi="Times New Roman"/>
          <w:sz w:val="24"/>
          <w:szCs w:val="24"/>
        </w:rPr>
        <w:t xml:space="preserve"> The detective believed that </w:t>
      </w:r>
      <w:r>
        <w:rPr>
          <w:rFonts w:ascii="Times New Roman" w:hAnsi="Times New Roman"/>
          <w:sz w:val="24"/>
          <w:szCs w:val="24"/>
        </w:rPr>
        <w:t>‘</w:t>
      </w:r>
      <w:r w:rsidRPr="001E6223">
        <w:rPr>
          <w:rFonts w:ascii="Times New Roman" w:hAnsi="Times New Roman"/>
          <w:sz w:val="24"/>
          <w:szCs w:val="24"/>
        </w:rPr>
        <w:t>a certified canine</w:t>
      </w:r>
      <w:r>
        <w:rPr>
          <w:rFonts w:ascii="Times New Roman" w:hAnsi="Times New Roman"/>
          <w:sz w:val="24"/>
          <w:szCs w:val="24"/>
        </w:rPr>
        <w:t>’</w:t>
      </w:r>
      <w:r w:rsidRPr="001E6223">
        <w:rPr>
          <w:rFonts w:ascii="Times New Roman" w:hAnsi="Times New Roman"/>
          <w:sz w:val="24"/>
          <w:szCs w:val="24"/>
        </w:rPr>
        <w:t xml:space="preserve"> would provide </w:t>
      </w:r>
      <w:r>
        <w:rPr>
          <w:rFonts w:ascii="Times New Roman" w:hAnsi="Times New Roman"/>
          <w:sz w:val="24"/>
          <w:szCs w:val="24"/>
        </w:rPr>
        <w:t>‘</w:t>
      </w:r>
      <w:r w:rsidRPr="001E6223">
        <w:rPr>
          <w:rFonts w:ascii="Times New Roman" w:hAnsi="Times New Roman"/>
          <w:sz w:val="24"/>
          <w:szCs w:val="24"/>
        </w:rPr>
        <w:t>great assistance in locating the presence of accelerant.</w:t>
      </w:r>
      <w:r>
        <w:rPr>
          <w:rFonts w:ascii="Times New Roman" w:hAnsi="Times New Roman"/>
          <w:sz w:val="24"/>
          <w:szCs w:val="24"/>
        </w:rPr>
        <w:t>’</w:t>
      </w:r>
      <w:r w:rsidRPr="001E6223">
        <w:rPr>
          <w:rFonts w:ascii="Times New Roman" w:hAnsi="Times New Roman"/>
          <w:sz w:val="24"/>
          <w:szCs w:val="24"/>
        </w:rPr>
        <w:t xml:space="preserve"> The detective also knew, based on his training and/or experience, that </w:t>
      </w:r>
      <w:r>
        <w:rPr>
          <w:rFonts w:ascii="Times New Roman" w:hAnsi="Times New Roman"/>
          <w:sz w:val="24"/>
          <w:szCs w:val="24"/>
        </w:rPr>
        <w:t>‘</w:t>
      </w:r>
      <w:r w:rsidRPr="001E6223">
        <w:rPr>
          <w:rFonts w:ascii="Times New Roman" w:hAnsi="Times New Roman"/>
          <w:sz w:val="24"/>
          <w:szCs w:val="24"/>
        </w:rPr>
        <w:t>liquids [such] as a fire accelerant can often spill onto a person’s clothes,</w:t>
      </w:r>
      <w:r>
        <w:rPr>
          <w:rFonts w:ascii="Times New Roman" w:hAnsi="Times New Roman"/>
          <w:sz w:val="24"/>
          <w:szCs w:val="24"/>
        </w:rPr>
        <w:t>’</w:t>
      </w:r>
      <w:r w:rsidRPr="001E6223">
        <w:rPr>
          <w:rFonts w:ascii="Times New Roman" w:hAnsi="Times New Roman"/>
          <w:sz w:val="24"/>
          <w:szCs w:val="24"/>
        </w:rPr>
        <w:t xml:space="preserve"> that </w:t>
      </w:r>
      <w:r>
        <w:rPr>
          <w:rFonts w:ascii="Times New Roman" w:hAnsi="Times New Roman"/>
          <w:sz w:val="24"/>
          <w:szCs w:val="24"/>
        </w:rPr>
        <w:t>‘</w:t>
      </w:r>
      <w:r w:rsidRPr="001E6223">
        <w:rPr>
          <w:rFonts w:ascii="Times New Roman" w:hAnsi="Times New Roman"/>
          <w:sz w:val="24"/>
          <w:szCs w:val="24"/>
        </w:rPr>
        <w:t>dogs trained in accelerant detection can alert to the presence or non-presence of an accelerant,</w:t>
      </w:r>
      <w:r>
        <w:rPr>
          <w:rFonts w:ascii="Times New Roman" w:hAnsi="Times New Roman"/>
          <w:sz w:val="24"/>
          <w:szCs w:val="24"/>
        </w:rPr>
        <w:t>’</w:t>
      </w:r>
      <w:r w:rsidRPr="001E6223">
        <w:rPr>
          <w:rFonts w:ascii="Times New Roman" w:hAnsi="Times New Roman"/>
          <w:sz w:val="24"/>
          <w:szCs w:val="24"/>
        </w:rPr>
        <w:t xml:space="preserve"> and that </w:t>
      </w:r>
      <w:r>
        <w:rPr>
          <w:rFonts w:ascii="Times New Roman" w:hAnsi="Times New Roman"/>
          <w:sz w:val="24"/>
          <w:szCs w:val="24"/>
        </w:rPr>
        <w:t>‘</w:t>
      </w:r>
      <w:r w:rsidRPr="001E6223">
        <w:rPr>
          <w:rFonts w:ascii="Times New Roman" w:hAnsi="Times New Roman"/>
          <w:sz w:val="24"/>
          <w:szCs w:val="24"/>
        </w:rPr>
        <w:t>personal items of clothing will be found in a person’s residence.</w:t>
      </w:r>
      <w:r>
        <w:rPr>
          <w:rFonts w:ascii="Times New Roman" w:hAnsi="Times New Roman"/>
          <w:sz w:val="24"/>
          <w:szCs w:val="24"/>
        </w:rPr>
        <w:t>’”</w:t>
      </w:r>
      <w:hyperlink r:id="rId289" w:history="1">
        <w:r w:rsidRPr="00C93B62">
          <w:rPr>
            <w:rStyle w:val="Hyperlink"/>
            <w:rFonts w:ascii="Times New Roman" w:hAnsi="Times New Roman"/>
            <w:sz w:val="24"/>
            <w:szCs w:val="24"/>
          </w:rPr>
          <w:t>https://law.justia.com/cases/california/court-of-appeal/2019/h045524.html</w:t>
        </w:r>
      </w:hyperlink>
      <w:r>
        <w:rPr>
          <w:rFonts w:ascii="Times New Roman" w:hAnsi="Times New Roman"/>
          <w:sz w:val="24"/>
          <w:szCs w:val="24"/>
        </w:rPr>
        <w:t xml:space="preserve"> </w:t>
      </w:r>
    </w:p>
    <w:p w14:paraId="1FE00AC0" w14:textId="77777777" w:rsidR="00DD03E3" w:rsidRPr="007C664A" w:rsidRDefault="00DD03E3" w:rsidP="00DD03E3">
      <w:pPr>
        <w:spacing w:before="100" w:beforeAutospacing="1" w:after="100" w:afterAutospacing="1" w:line="240" w:lineRule="auto"/>
        <w:rPr>
          <w:rFonts w:ascii="Times New Roman" w:hAnsi="Times New Roman"/>
          <w:b/>
          <w:bCs/>
          <w:sz w:val="24"/>
          <w:szCs w:val="24"/>
        </w:rPr>
      </w:pPr>
      <w:r w:rsidRPr="007C664A">
        <w:rPr>
          <w:rFonts w:ascii="Times New Roman" w:hAnsi="Times New Roman"/>
          <w:b/>
          <w:bCs/>
          <w:sz w:val="24"/>
          <w:szCs w:val="24"/>
        </w:rPr>
        <w:t>Legal Lesson Learned:</w:t>
      </w:r>
      <w:r>
        <w:rPr>
          <w:rFonts w:ascii="Times New Roman" w:hAnsi="Times New Roman"/>
          <w:b/>
          <w:bCs/>
          <w:sz w:val="24"/>
          <w:szCs w:val="24"/>
        </w:rPr>
        <w:t xml:space="preserve"> U.S. Supreme Court’s “Good Faith Exception” helps ensure that evidence seized pursuant to a search warrant will be introduced in evidence at trial. </w:t>
      </w:r>
    </w:p>
    <w:p w14:paraId="65CBF67F" w14:textId="77777777" w:rsidR="00DD03E3" w:rsidRDefault="00DD03E3" w:rsidP="002B1283">
      <w:pPr>
        <w:rPr>
          <w:rFonts w:ascii="Arial Black" w:hAnsi="Arial Black"/>
          <w:b/>
          <w:sz w:val="24"/>
          <w:szCs w:val="24"/>
        </w:rPr>
      </w:pPr>
    </w:p>
    <w:p w14:paraId="668EC551" w14:textId="77777777" w:rsidR="00DD03E3" w:rsidRDefault="00DD03E3" w:rsidP="002B1283">
      <w:pPr>
        <w:rPr>
          <w:rFonts w:ascii="Arial Black" w:hAnsi="Arial Black"/>
          <w:b/>
          <w:sz w:val="24"/>
          <w:szCs w:val="24"/>
        </w:rPr>
      </w:pPr>
    </w:p>
    <w:p w14:paraId="7FC3CA93" w14:textId="3F1C7874" w:rsidR="00F824FE" w:rsidRDefault="00F824FE" w:rsidP="002B1283">
      <w:pPr>
        <w:rPr>
          <w:rFonts w:ascii="Arial Black" w:hAnsi="Arial Black"/>
          <w:b/>
          <w:sz w:val="24"/>
          <w:szCs w:val="24"/>
        </w:rPr>
      </w:pPr>
      <w:r>
        <w:rPr>
          <w:rFonts w:ascii="Arial Black" w:hAnsi="Arial Black"/>
          <w:b/>
          <w:sz w:val="24"/>
          <w:szCs w:val="24"/>
        </w:rPr>
        <w:t>1-6</w:t>
      </w:r>
      <w:r w:rsidR="000F483A">
        <w:rPr>
          <w:rFonts w:ascii="Arial Black" w:hAnsi="Arial Black"/>
          <w:b/>
          <w:sz w:val="24"/>
          <w:szCs w:val="24"/>
        </w:rPr>
        <w:t>6</w:t>
      </w:r>
    </w:p>
    <w:p w14:paraId="680E34FF" w14:textId="77777777" w:rsidR="00F824FE" w:rsidRPr="00AA2E64" w:rsidRDefault="00F824FE" w:rsidP="00F824FE">
      <w:pPr>
        <w:rPr>
          <w:rFonts w:ascii="Arial Black" w:hAnsi="Arial Black"/>
          <w:sz w:val="28"/>
          <w:szCs w:val="28"/>
        </w:rPr>
      </w:pPr>
      <w:r w:rsidRPr="00AA2E64">
        <w:rPr>
          <w:rFonts w:ascii="Arial Black" w:hAnsi="Arial Black"/>
          <w:sz w:val="28"/>
          <w:szCs w:val="28"/>
        </w:rPr>
        <w:t xml:space="preserve">TN: </w:t>
      </w:r>
      <w:r>
        <w:rPr>
          <w:rFonts w:ascii="Arial Black" w:hAnsi="Arial Black"/>
          <w:sz w:val="28"/>
          <w:szCs w:val="28"/>
        </w:rPr>
        <w:t>FIRE MARSHAL – OPPOSED CANDIDATE FOR ALDERMAN – CITY PHONE, ON DUTY – NO FED. 1</w:t>
      </w:r>
      <w:r w:rsidRPr="00911830">
        <w:rPr>
          <w:rFonts w:ascii="Arial Black" w:hAnsi="Arial Black"/>
          <w:sz w:val="28"/>
          <w:szCs w:val="28"/>
          <w:vertAlign w:val="superscript"/>
        </w:rPr>
        <w:t>st</w:t>
      </w:r>
      <w:r>
        <w:rPr>
          <w:rFonts w:ascii="Arial Black" w:hAnsi="Arial Black"/>
          <w:sz w:val="28"/>
          <w:szCs w:val="28"/>
        </w:rPr>
        <w:t xml:space="preserve"> AMEND VIOL., LAWSUIT DISMISSED</w:t>
      </w:r>
    </w:p>
    <w:p w14:paraId="041401D1" w14:textId="77777777" w:rsidR="00F824FE" w:rsidRDefault="00F824FE" w:rsidP="00F824FE">
      <w:pPr>
        <w:pStyle w:val="NormalWeb"/>
      </w:pPr>
      <w:r>
        <w:t xml:space="preserve">On Sept. 17, 2020, in </w:t>
      </w:r>
      <w:r w:rsidRPr="00AA2E64">
        <w:rPr>
          <w:u w:val="single"/>
        </w:rPr>
        <w:t>Chris Spencer v. City of Henderson, et al</w:t>
      </w:r>
      <w:r>
        <w:t xml:space="preserve">., U.S. District Court Judge Aleta A. Trauger, U.S. District Court for the Middle District of Tennessee (Nashville Division) granted the defendants’ motion to dismiss; a political activist who lost (by 359 votes) an election to become a </w:t>
      </w:r>
      <w:proofErr w:type="gramStart"/>
      <w:r>
        <w:t>city</w:t>
      </w:r>
      <w:proofErr w:type="gramEnd"/>
      <w:r>
        <w:t xml:space="preserve"> Alderman.  He had campaigned for “small government – anti-corruption” and sued Fire Marshal Paul Varble and City alleging Varble used city phones while on duty to oppose his candidacy. </w:t>
      </w:r>
    </w:p>
    <w:p w14:paraId="0E9666FA" w14:textId="77777777" w:rsidR="00F824FE" w:rsidRDefault="00F824FE" w:rsidP="00F824FE">
      <w:pPr>
        <w:pStyle w:val="NormalWeb"/>
        <w:ind w:left="720"/>
      </w:pPr>
      <w:r>
        <w:t xml:space="preserve">“Even though Varble is alleged to have engaged in this conduct during City time and using City resources, the court cannot find that this behavior would deter a person of ordinary firmness from continuing to campaign on his own behalf and to attempt to spread his own political message. An adverse campaign is the price of running for political office. The fact that Varble may have violated state law or a city ordinance while campaigning against Spencer does not make the conduct so adverse as to give rise to a First Amendment retaliation claim.” </w:t>
      </w:r>
      <w:hyperlink r:id="rId290" w:history="1">
        <w:r w:rsidRPr="00374F49">
          <w:rPr>
            <w:rStyle w:val="Hyperlink"/>
          </w:rPr>
          <w:t>https://public.fastcase.com/Wl%2B2t%2BeVuI35%2FN70vAMFZg2BMAXQvmThuD9oRUd4r3OTVcwOC01J7TzGKhK5Lojo</w:t>
        </w:r>
      </w:hyperlink>
      <w:r>
        <w:t xml:space="preserve"> </w:t>
      </w:r>
    </w:p>
    <w:p w14:paraId="799AF6F7" w14:textId="77777777" w:rsidR="00F824FE" w:rsidRDefault="00F824FE" w:rsidP="00F824FE">
      <w:pPr>
        <w:tabs>
          <w:tab w:val="left" w:pos="3360"/>
        </w:tabs>
        <w:rPr>
          <w:rFonts w:ascii="Times New Roman" w:hAnsi="Times New Roman"/>
          <w:b/>
          <w:bCs/>
          <w:sz w:val="24"/>
          <w:szCs w:val="24"/>
        </w:rPr>
      </w:pPr>
      <w:r w:rsidRPr="00C53C46">
        <w:rPr>
          <w:rFonts w:ascii="Times New Roman" w:hAnsi="Times New Roman"/>
          <w:b/>
          <w:bCs/>
          <w:sz w:val="24"/>
          <w:szCs w:val="24"/>
        </w:rPr>
        <w:t>Legal Lessons Learned</w:t>
      </w:r>
      <w:r>
        <w:rPr>
          <w:rFonts w:ascii="Times New Roman" w:hAnsi="Times New Roman"/>
          <w:b/>
          <w:bCs/>
          <w:sz w:val="24"/>
          <w:szCs w:val="24"/>
        </w:rPr>
        <w:t xml:space="preserve">: Fire &amp; EMS departments should have a policy concerning political activity on duty, and use of FD computers, cell phones or other property concerning political candidates. </w:t>
      </w:r>
    </w:p>
    <w:p w14:paraId="4901642E" w14:textId="77777777" w:rsidR="00F824FE" w:rsidRPr="00EA5852" w:rsidRDefault="00F824FE" w:rsidP="00F824FE">
      <w:pPr>
        <w:ind w:left="720"/>
        <w:rPr>
          <w:rFonts w:ascii="Times New Roman" w:hAnsi="Times New Roman"/>
          <w:sz w:val="24"/>
          <w:szCs w:val="24"/>
        </w:rPr>
      </w:pPr>
      <w:r w:rsidRPr="008D7ABD">
        <w:rPr>
          <w:rFonts w:ascii="Times New Roman" w:hAnsi="Times New Roman"/>
          <w:sz w:val="24"/>
          <w:szCs w:val="24"/>
        </w:rPr>
        <w:t>Note:</w:t>
      </w:r>
      <w:r w:rsidRPr="00156CE2">
        <w:rPr>
          <w:rFonts w:ascii="Times New Roman" w:hAnsi="Times New Roman"/>
          <w:b/>
          <w:bCs/>
          <w:sz w:val="24"/>
          <w:szCs w:val="24"/>
        </w:rPr>
        <w:t xml:space="preserve"> </w:t>
      </w:r>
      <w:r w:rsidRPr="005E6FCA">
        <w:rPr>
          <w:rFonts w:ascii="Times New Roman" w:hAnsi="Times New Roman"/>
          <w:sz w:val="24"/>
          <w:szCs w:val="24"/>
        </w:rPr>
        <w:t xml:space="preserve">Hamilton County Ohio requires </w:t>
      </w:r>
      <w:r>
        <w:rPr>
          <w:rFonts w:ascii="Times New Roman" w:hAnsi="Times New Roman"/>
          <w:sz w:val="24"/>
          <w:szCs w:val="24"/>
        </w:rPr>
        <w:t xml:space="preserve">employee </w:t>
      </w:r>
      <w:r w:rsidRPr="005E6FCA">
        <w:rPr>
          <w:rFonts w:ascii="Times New Roman" w:hAnsi="Times New Roman"/>
          <w:sz w:val="24"/>
          <w:szCs w:val="24"/>
        </w:rPr>
        <w:t>annual refresher training – see their Manual</w:t>
      </w:r>
      <w:r>
        <w:rPr>
          <w:rFonts w:ascii="Times New Roman" w:hAnsi="Times New Roman"/>
          <w:b/>
          <w:bCs/>
          <w:sz w:val="24"/>
          <w:szCs w:val="24"/>
        </w:rPr>
        <w:t xml:space="preserve">, </w:t>
      </w:r>
      <w:r w:rsidRPr="005E6FCA">
        <w:rPr>
          <w:rFonts w:ascii="Times New Roman" w:hAnsi="Times New Roman"/>
          <w:sz w:val="24"/>
          <w:szCs w:val="24"/>
        </w:rPr>
        <w:t xml:space="preserve">“Ethics </w:t>
      </w:r>
      <w:proofErr w:type="gramStart"/>
      <w:r w:rsidRPr="005E6FCA">
        <w:rPr>
          <w:rFonts w:ascii="Times New Roman" w:hAnsi="Times New Roman"/>
          <w:sz w:val="24"/>
          <w:szCs w:val="24"/>
        </w:rPr>
        <w:t>In</w:t>
      </w:r>
      <w:proofErr w:type="gramEnd"/>
      <w:r w:rsidRPr="005E6FCA">
        <w:rPr>
          <w:rFonts w:ascii="Times New Roman" w:hAnsi="Times New Roman"/>
          <w:sz w:val="24"/>
          <w:szCs w:val="24"/>
        </w:rPr>
        <w:t xml:space="preserve"> Government Guide</w:t>
      </w:r>
      <w:r>
        <w:rPr>
          <w:rFonts w:ascii="Times New Roman" w:hAnsi="Times New Roman"/>
          <w:sz w:val="24"/>
          <w:szCs w:val="24"/>
        </w:rPr>
        <w:t xml:space="preserve"> </w:t>
      </w:r>
      <w:proofErr w:type="gramStart"/>
      <w:r>
        <w:rPr>
          <w:rFonts w:ascii="Times New Roman" w:hAnsi="Times New Roman"/>
          <w:sz w:val="24"/>
          <w:szCs w:val="24"/>
        </w:rPr>
        <w:t>For</w:t>
      </w:r>
      <w:proofErr w:type="gramEnd"/>
      <w:r>
        <w:rPr>
          <w:rFonts w:ascii="Times New Roman" w:hAnsi="Times New Roman"/>
          <w:sz w:val="24"/>
          <w:szCs w:val="24"/>
        </w:rPr>
        <w:t xml:space="preserve"> Employees</w:t>
      </w:r>
      <w:r w:rsidRPr="005E6FCA">
        <w:rPr>
          <w:rFonts w:ascii="Times New Roman" w:hAnsi="Times New Roman"/>
          <w:sz w:val="24"/>
          <w:szCs w:val="24"/>
        </w:rPr>
        <w:t>”</w:t>
      </w:r>
      <w:r>
        <w:rPr>
          <w:rFonts w:ascii="Times New Roman" w:hAnsi="Times New Roman"/>
          <w:b/>
          <w:bCs/>
          <w:sz w:val="24"/>
          <w:szCs w:val="24"/>
        </w:rPr>
        <w:t xml:space="preserve">: </w:t>
      </w:r>
      <w:hyperlink r:id="rId291" w:history="1">
        <w:r w:rsidRPr="00443DB2">
          <w:rPr>
            <w:rStyle w:val="Hyperlink"/>
            <w:rFonts w:ascii="Times New Roman" w:hAnsi="Times New Roman"/>
            <w:sz w:val="24"/>
            <w:szCs w:val="24"/>
          </w:rPr>
          <w:t>https://www.hamiltoncountyohio.gov/UserFiles/Servers/Server_3788196/File/Government/Departments/Human%20Resources/Ethics%20in%20Government/HamiltonCountyEthicsBooklet.pdf</w:t>
        </w:r>
      </w:hyperlink>
      <w:r>
        <w:rPr>
          <w:rFonts w:ascii="Times New Roman" w:hAnsi="Times New Roman"/>
          <w:sz w:val="24"/>
          <w:szCs w:val="24"/>
        </w:rPr>
        <w:t xml:space="preserve"> </w:t>
      </w:r>
    </w:p>
    <w:p w14:paraId="556D1BB1" w14:textId="77777777" w:rsidR="00F824FE" w:rsidRPr="00EA5852" w:rsidRDefault="00F824FE" w:rsidP="00F824FE">
      <w:pPr>
        <w:ind w:left="720"/>
        <w:rPr>
          <w:rFonts w:ascii="Times New Roman" w:hAnsi="Times New Roman"/>
          <w:sz w:val="24"/>
          <w:szCs w:val="24"/>
        </w:rPr>
      </w:pPr>
      <w:r w:rsidRPr="005E6FCA">
        <w:rPr>
          <w:rFonts w:ascii="Times New Roman" w:hAnsi="Times New Roman"/>
          <w:sz w:val="24"/>
          <w:szCs w:val="24"/>
        </w:rPr>
        <w:t>Ohio Revised Code 2921.43(C)(2): 2921.43 Soliciting or accepting improper compensation</w:t>
      </w:r>
      <w:r>
        <w:rPr>
          <w:rFonts w:ascii="Times New Roman" w:hAnsi="Times New Roman"/>
          <w:sz w:val="24"/>
          <w:szCs w:val="24"/>
        </w:rPr>
        <w:t xml:space="preserve">: </w:t>
      </w:r>
      <w:hyperlink r:id="rId292" w:history="1">
        <w:r w:rsidRPr="00443DB2">
          <w:rPr>
            <w:rStyle w:val="Hyperlink"/>
            <w:rFonts w:ascii="Times New Roman" w:hAnsi="Times New Roman"/>
            <w:sz w:val="24"/>
            <w:szCs w:val="24"/>
          </w:rPr>
          <w:t>http://codes.ohio.gov/orc/2921.43</w:t>
        </w:r>
      </w:hyperlink>
      <w:r>
        <w:rPr>
          <w:rFonts w:ascii="Times New Roman" w:hAnsi="Times New Roman"/>
          <w:sz w:val="24"/>
          <w:szCs w:val="24"/>
        </w:rPr>
        <w:t xml:space="preserve">  [</w:t>
      </w:r>
      <w:r w:rsidRPr="00EA5852">
        <w:rPr>
          <w:rFonts w:ascii="Times New Roman" w:hAnsi="Times New Roman"/>
          <w:sz w:val="24"/>
          <w:szCs w:val="24"/>
        </w:rPr>
        <w:t>Note: RC 2921.43(C)(2) applies to ALL employees, both classified and unclassified</w:t>
      </w:r>
      <w:r>
        <w:rPr>
          <w:rFonts w:ascii="Times New Roman" w:hAnsi="Times New Roman"/>
          <w:sz w:val="24"/>
          <w:szCs w:val="24"/>
        </w:rPr>
        <w:t xml:space="preserve">.] </w:t>
      </w:r>
    </w:p>
    <w:p w14:paraId="55CC2D1E" w14:textId="77777777" w:rsidR="00F824FE" w:rsidRPr="005E6FCA" w:rsidRDefault="00F824FE" w:rsidP="00F824FE">
      <w:pPr>
        <w:spacing w:before="100" w:beforeAutospacing="1" w:after="100" w:afterAutospacing="1" w:line="240" w:lineRule="auto"/>
        <w:ind w:left="1440"/>
        <w:rPr>
          <w:rFonts w:ascii="Times New Roman" w:eastAsia="Times New Roman" w:hAnsi="Times New Roman"/>
          <w:sz w:val="24"/>
          <w:szCs w:val="24"/>
        </w:rPr>
      </w:pPr>
      <w:r w:rsidRPr="005E6FCA">
        <w:rPr>
          <w:rFonts w:ascii="Times New Roman" w:eastAsia="Times New Roman" w:hAnsi="Times New Roman"/>
          <w:sz w:val="24"/>
          <w:szCs w:val="24"/>
        </w:rPr>
        <w:t xml:space="preserve">(C) No person for the benefit of a political party, campaign committee, legislative campaign fund, political action committee, or political contributing entity shall coerce any contribution in consideration of either of the following: </w:t>
      </w:r>
    </w:p>
    <w:p w14:paraId="14EBAD3F" w14:textId="77777777" w:rsidR="00F824FE" w:rsidRPr="005E6FCA" w:rsidRDefault="00F824FE" w:rsidP="00F824FE">
      <w:pPr>
        <w:spacing w:before="100" w:beforeAutospacing="1" w:after="100" w:afterAutospacing="1" w:line="240" w:lineRule="auto"/>
        <w:ind w:left="1440"/>
        <w:rPr>
          <w:rFonts w:ascii="Times New Roman" w:eastAsia="Times New Roman" w:hAnsi="Times New Roman"/>
          <w:sz w:val="24"/>
          <w:szCs w:val="24"/>
        </w:rPr>
      </w:pPr>
      <w:r w:rsidRPr="005E6FCA">
        <w:rPr>
          <w:rFonts w:ascii="Times New Roman" w:eastAsia="Times New Roman" w:hAnsi="Times New Roman"/>
          <w:sz w:val="24"/>
          <w:szCs w:val="24"/>
        </w:rPr>
        <w:t xml:space="preserve">(1) Appointing or securing, maintaining, or renewing the appointment of any person to any public office, employment, or agency; </w:t>
      </w:r>
    </w:p>
    <w:p w14:paraId="3061F918" w14:textId="77777777" w:rsidR="00F824FE" w:rsidRPr="005E6FCA" w:rsidRDefault="00F824FE" w:rsidP="00F824FE">
      <w:pPr>
        <w:spacing w:before="100" w:beforeAutospacing="1" w:after="100" w:afterAutospacing="1" w:line="240" w:lineRule="auto"/>
        <w:ind w:left="1440"/>
        <w:rPr>
          <w:rFonts w:ascii="Times New Roman" w:eastAsia="Times New Roman" w:hAnsi="Times New Roman"/>
          <w:sz w:val="24"/>
          <w:szCs w:val="24"/>
        </w:rPr>
      </w:pPr>
      <w:r w:rsidRPr="005E6FCA">
        <w:rPr>
          <w:rFonts w:ascii="Times New Roman" w:eastAsia="Times New Roman" w:hAnsi="Times New Roman"/>
          <w:sz w:val="24"/>
          <w:szCs w:val="24"/>
        </w:rPr>
        <w:t xml:space="preserve">(2) Preferring, or maintaining the status of, any public employee with respect to compensation, duties, placement, location, promotion, or other material aspects of employment. </w:t>
      </w:r>
    </w:p>
    <w:p w14:paraId="399DD1D4" w14:textId="77777777" w:rsidR="00F824FE" w:rsidRPr="002D3CB4" w:rsidRDefault="00F824FE" w:rsidP="00F824FE">
      <w:pPr>
        <w:pStyle w:val="Heading2"/>
        <w:ind w:left="720"/>
        <w:rPr>
          <w:rFonts w:ascii="Times New Roman" w:hAnsi="Times New Roman"/>
          <w:b w:val="0"/>
          <w:bCs w:val="0"/>
          <w:i w:val="0"/>
          <w:iCs w:val="0"/>
          <w:sz w:val="24"/>
          <w:szCs w:val="24"/>
        </w:rPr>
      </w:pPr>
      <w:r w:rsidRPr="002D3CB4">
        <w:rPr>
          <w:rFonts w:ascii="Times New Roman" w:hAnsi="Times New Roman"/>
          <w:b w:val="0"/>
          <w:bCs w:val="0"/>
          <w:i w:val="0"/>
          <w:iCs w:val="0"/>
          <w:sz w:val="24"/>
          <w:szCs w:val="24"/>
        </w:rPr>
        <w:t xml:space="preserve">See also: 123:1-46-02 Political activity of employees in the classified service of the state. </w:t>
      </w:r>
      <w:hyperlink r:id="rId293" w:history="1">
        <w:r w:rsidRPr="002D3CB4">
          <w:rPr>
            <w:rStyle w:val="Hyperlink"/>
            <w:rFonts w:ascii="Times New Roman" w:hAnsi="Times New Roman"/>
            <w:b w:val="0"/>
            <w:bCs w:val="0"/>
            <w:i w:val="0"/>
            <w:iCs w:val="0"/>
            <w:sz w:val="24"/>
            <w:szCs w:val="24"/>
          </w:rPr>
          <w:t>http://codes.ohio.gov/oac/123:1-46-02</w:t>
        </w:r>
      </w:hyperlink>
      <w:r w:rsidRPr="002D3CB4">
        <w:rPr>
          <w:rFonts w:ascii="Times New Roman" w:hAnsi="Times New Roman"/>
          <w:b w:val="0"/>
          <w:bCs w:val="0"/>
          <w:i w:val="0"/>
          <w:iCs w:val="0"/>
          <w:sz w:val="24"/>
          <w:szCs w:val="24"/>
        </w:rPr>
        <w:t xml:space="preserve"> </w:t>
      </w:r>
    </w:p>
    <w:p w14:paraId="7687901F" w14:textId="77777777" w:rsidR="00F824FE" w:rsidRPr="008D7ABD" w:rsidRDefault="00F824FE" w:rsidP="00F824FE">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(C)</w:t>
      </w:r>
      <w:r w:rsidRPr="008D7ABD">
        <w:rPr>
          <w:rFonts w:ascii="Times New Roman" w:eastAsia="Times New Roman" w:hAnsi="Times New Roman"/>
          <w:sz w:val="24"/>
          <w:szCs w:val="24"/>
        </w:rPr>
        <w:t xml:space="preserve">(7) Campaigning by writing for publications, by distributing political material, or by writing or making speeches on behalf of a candidate for partisan elective office, when such activities are directed toward party success; </w:t>
      </w:r>
    </w:p>
    <w:p w14:paraId="49B0FADC" w14:textId="77777777" w:rsidR="00F824FE" w:rsidRDefault="00F824FE" w:rsidP="00F824FE">
      <w:pPr>
        <w:spacing w:before="100" w:beforeAutospacing="1" w:after="100" w:afterAutospacing="1" w:line="240" w:lineRule="auto"/>
        <w:ind w:left="1440"/>
        <w:rPr>
          <w:rFonts w:ascii="Times New Roman" w:eastAsia="Times New Roman" w:hAnsi="Times New Roman"/>
          <w:sz w:val="24"/>
          <w:szCs w:val="24"/>
        </w:rPr>
      </w:pPr>
      <w:r w:rsidRPr="008D7ABD">
        <w:rPr>
          <w:rFonts w:ascii="Times New Roman" w:eastAsia="Times New Roman" w:hAnsi="Times New Roman"/>
          <w:sz w:val="24"/>
          <w:szCs w:val="24"/>
        </w:rPr>
        <w:t>(8) Solicitation, either directly or indirectly, of any assessment, contribution or subscription, either monetary or in-kind, for any political party or political candidate</w:t>
      </w:r>
      <w:r>
        <w:rPr>
          <w:rFonts w:ascii="Times New Roman" w:eastAsia="Times New Roman" w:hAnsi="Times New Roman"/>
          <w:sz w:val="24"/>
          <w:szCs w:val="24"/>
        </w:rPr>
        <w:t>….</w:t>
      </w:r>
    </w:p>
    <w:p w14:paraId="25949EAB" w14:textId="77777777" w:rsidR="00F824FE" w:rsidRPr="00156CE2" w:rsidRDefault="00F824FE" w:rsidP="00F824FE">
      <w:pPr>
        <w:spacing w:before="100" w:beforeAutospacing="1" w:after="100" w:afterAutospacing="1" w:line="240" w:lineRule="auto"/>
        <w:ind w:left="1440"/>
        <w:rPr>
          <w:rFonts w:ascii="Times New Roman" w:hAnsi="Times New Roman"/>
          <w:sz w:val="24"/>
          <w:szCs w:val="24"/>
        </w:rPr>
      </w:pPr>
      <w:r w:rsidRPr="00156CE2">
        <w:rPr>
          <w:rFonts w:ascii="Times New Roman" w:hAnsi="Times New Roman"/>
          <w:sz w:val="24"/>
          <w:szCs w:val="24"/>
        </w:rPr>
        <w:t xml:space="preserve">(D) An employee in the classified service who engages in any of the activities listed in paragraphs (C)(1) to (C)(13) of this rule is subject to removal from his or her position in the classified </w:t>
      </w:r>
      <w:proofErr w:type="gramStart"/>
      <w:r w:rsidRPr="00156CE2">
        <w:rPr>
          <w:rFonts w:ascii="Times New Roman" w:hAnsi="Times New Roman"/>
          <w:sz w:val="24"/>
          <w:szCs w:val="24"/>
        </w:rPr>
        <w:t>service.</w:t>
      </w:r>
      <w:r>
        <w:rPr>
          <w:rFonts w:ascii="Times New Roman" w:hAnsi="Times New Roman"/>
          <w:sz w:val="24"/>
          <w:szCs w:val="24"/>
        </w:rPr>
        <w:t>”</w:t>
      </w:r>
      <w:proofErr w:type="gramEnd"/>
    </w:p>
    <w:p w14:paraId="602AE132" w14:textId="77777777" w:rsidR="00F824FE" w:rsidRDefault="00F824FE" w:rsidP="002B1283">
      <w:pPr>
        <w:rPr>
          <w:rFonts w:ascii="Arial Black" w:hAnsi="Arial Black"/>
          <w:b/>
          <w:sz w:val="24"/>
          <w:szCs w:val="24"/>
        </w:rPr>
      </w:pPr>
    </w:p>
    <w:p w14:paraId="3CEB6F3F" w14:textId="77777777" w:rsidR="00F824FE" w:rsidRDefault="00F824FE" w:rsidP="002B1283">
      <w:pPr>
        <w:rPr>
          <w:rFonts w:ascii="Arial Black" w:hAnsi="Arial Black"/>
          <w:b/>
          <w:sz w:val="24"/>
          <w:szCs w:val="24"/>
        </w:rPr>
      </w:pPr>
    </w:p>
    <w:p w14:paraId="629E6569" w14:textId="01A51BF9" w:rsidR="00C630E7" w:rsidRDefault="00C630E7" w:rsidP="002B1283">
      <w:pPr>
        <w:rPr>
          <w:rFonts w:ascii="Arial Black" w:hAnsi="Arial Black"/>
          <w:b/>
          <w:sz w:val="24"/>
          <w:szCs w:val="24"/>
        </w:rPr>
      </w:pPr>
      <w:r>
        <w:rPr>
          <w:rFonts w:ascii="Arial Black" w:hAnsi="Arial Black"/>
          <w:b/>
          <w:sz w:val="24"/>
          <w:szCs w:val="24"/>
        </w:rPr>
        <w:t>1-6</w:t>
      </w:r>
      <w:r w:rsidR="000F483A">
        <w:rPr>
          <w:rFonts w:ascii="Arial Black" w:hAnsi="Arial Black"/>
          <w:b/>
          <w:sz w:val="24"/>
          <w:szCs w:val="24"/>
        </w:rPr>
        <w:t>5</w:t>
      </w:r>
    </w:p>
    <w:p w14:paraId="0CFFD3A6" w14:textId="77777777" w:rsidR="00C630E7" w:rsidRDefault="00C630E7" w:rsidP="00C630E7">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GA: CONTROLLED BURN AT FORT STEWART – BURN LEFT PROPERTY, DAMAGED LOGGING EQUIPMENT – IMMUNITY</w:t>
      </w:r>
    </w:p>
    <w:p w14:paraId="4D673622" w14:textId="77777777" w:rsidR="00C630E7" w:rsidRDefault="00C630E7" w:rsidP="00C630E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August 24, 2020, in </w:t>
      </w:r>
      <w:r>
        <w:rPr>
          <w:rFonts w:ascii="Times New Roman" w:eastAsia="Times New Roman" w:hAnsi="Times New Roman"/>
          <w:sz w:val="24"/>
          <w:szCs w:val="24"/>
          <w:u w:val="single"/>
        </w:rPr>
        <w:t xml:space="preserve">Foster Logging, Inc. and </w:t>
      </w:r>
      <w:r>
        <w:rPr>
          <w:rFonts w:ascii="Times New Roman" w:hAnsi="Times New Roman"/>
          <w:sz w:val="24"/>
          <w:szCs w:val="24"/>
          <w:u w:val="single"/>
        </w:rPr>
        <w:t xml:space="preserve">American Guarantee &amp; Liability Insurance Company </w:t>
      </w:r>
      <w:r>
        <w:rPr>
          <w:rFonts w:ascii="Times New Roman" w:eastAsia="Times New Roman" w:hAnsi="Times New Roman"/>
          <w:sz w:val="24"/>
          <w:szCs w:val="24"/>
          <w:u w:val="single"/>
        </w:rPr>
        <w:t>v. United States of America</w:t>
      </w:r>
      <w:r>
        <w:rPr>
          <w:rFonts w:ascii="Times New Roman" w:eastAsia="Times New Roman" w:hAnsi="Times New Roman"/>
          <w:sz w:val="24"/>
          <w:szCs w:val="24"/>
        </w:rPr>
        <w:t xml:space="preserve">, the U.S. Court of Appeals for the Eleventh Circuit (Atlanta, GA) held (2 to 1) that U.S. District Court judge properly granted the U.S. Government’s motion to dismiss based on the “discretionary function”  exception to liability under the Federal Tort Claims Act, since the U.S. Forestry Branch exercised discretion on how it conducted and monitored the controlled burn at Fort Stewart – Hunter Army Airfield. </w:t>
      </w:r>
    </w:p>
    <w:p w14:paraId="78C73316" w14:textId="0B94A45A" w:rsidR="00C630E7" w:rsidRDefault="00C630E7" w:rsidP="00C630E7">
      <w:pPr>
        <w:rPr>
          <w:rFonts w:ascii="Arial Black" w:hAnsi="Arial Black"/>
          <w:b/>
          <w:sz w:val="24"/>
          <w:szCs w:val="24"/>
        </w:rPr>
      </w:pPr>
      <w:r>
        <w:rPr>
          <w:rFonts w:ascii="Times New Roman" w:hAnsi="Times New Roman"/>
          <w:sz w:val="24"/>
          <w:szCs w:val="24"/>
        </w:rPr>
        <w:t>“We assume, as we must at this stage, that U.S. Forestry Branch officials were negligent in their observation, monitoring, and maintenance during the controlled burn itself as alleged in the complaint. But that alleged conduct—the steps and measures taken to safely execute a controlled burn—by its nature, involves an exercise of discretion and considerations of social, economic, political, and public policy. *** The government's decisions about how to monitor and maintain a controlled burn are shielded from judicial second-guessing by the discretionary-function exception to the FTCA.”</w:t>
      </w:r>
      <w:r>
        <w:t xml:space="preserve"> </w:t>
      </w:r>
      <w:hyperlink r:id="rId294" w:history="1">
        <w:r>
          <w:rPr>
            <w:rStyle w:val="Hyperlink"/>
            <w:sz w:val="24"/>
            <w:szCs w:val="24"/>
          </w:rPr>
          <w:t>https://law.justia.com/cases/federal/appellate-courts/ca11/18-15033/18-15033-2020-08-24.html</w:t>
        </w:r>
      </w:hyperlink>
    </w:p>
    <w:p w14:paraId="5F9176DD" w14:textId="77777777" w:rsidR="00C630E7" w:rsidRDefault="00C630E7" w:rsidP="00C630E7">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Lessons Learned:  This case does raise the question of why someone wasn’t posted to make sure the “controlled burns” stayed on Ft. Stewart property. </w:t>
      </w:r>
    </w:p>
    <w:p w14:paraId="6DBAB68B" w14:textId="77777777" w:rsidR="00C630E7" w:rsidRDefault="00C630E7" w:rsidP="002B1283">
      <w:pPr>
        <w:rPr>
          <w:rFonts w:ascii="Arial Black" w:hAnsi="Arial Black"/>
          <w:b/>
          <w:sz w:val="24"/>
          <w:szCs w:val="24"/>
        </w:rPr>
      </w:pPr>
    </w:p>
    <w:p w14:paraId="24DEA73A" w14:textId="63228175" w:rsidR="00C630E7" w:rsidRDefault="00C630E7" w:rsidP="002B1283">
      <w:pPr>
        <w:rPr>
          <w:rFonts w:ascii="Arial Black" w:hAnsi="Arial Black"/>
          <w:b/>
          <w:sz w:val="24"/>
          <w:szCs w:val="24"/>
        </w:rPr>
      </w:pPr>
      <w:r>
        <w:rPr>
          <w:rFonts w:ascii="Arial Black" w:hAnsi="Arial Black"/>
          <w:b/>
          <w:sz w:val="24"/>
          <w:szCs w:val="24"/>
        </w:rPr>
        <w:t>1-64</w:t>
      </w:r>
    </w:p>
    <w:p w14:paraId="3E3DB57D" w14:textId="77777777" w:rsidR="00C630E7" w:rsidRDefault="00C630E7" w:rsidP="00C630E7">
      <w:pPr>
        <w:rPr>
          <w:rFonts w:asciiTheme="minorHAnsi" w:hAnsiTheme="minorHAnsi"/>
        </w:rPr>
      </w:pPr>
      <w:r>
        <w:rPr>
          <w:rFonts w:ascii="Arial Black" w:hAnsi="Arial Black"/>
          <w:sz w:val="28"/>
          <w:szCs w:val="28"/>
        </w:rPr>
        <w:t>CT: WAREHOUSE FIRE – 1500 BARRELS OILS – NO CODE INSPECTIONS 15 YRS, USED WATER NOT FOAM - IMMUNITY</w:t>
      </w:r>
    </w:p>
    <w:p w14:paraId="60684C5B" w14:textId="77777777" w:rsidR="00C630E7" w:rsidRDefault="00C630E7" w:rsidP="00C630E7">
      <w:pPr>
        <w:rPr>
          <w:rFonts w:ascii="Times New Roman" w:hAnsi="Times New Roman"/>
          <w:sz w:val="24"/>
          <w:szCs w:val="24"/>
        </w:rPr>
      </w:pPr>
      <w:r>
        <w:rPr>
          <w:rFonts w:ascii="Times New Roman" w:hAnsi="Times New Roman"/>
          <w:sz w:val="24"/>
          <w:szCs w:val="24"/>
        </w:rPr>
        <w:t xml:space="preserve">On Aug.18, 2020, in </w:t>
      </w:r>
      <w:r>
        <w:rPr>
          <w:rFonts w:ascii="Times New Roman" w:hAnsi="Times New Roman"/>
          <w:sz w:val="24"/>
          <w:szCs w:val="24"/>
          <w:u w:val="single"/>
        </w:rPr>
        <w:t>25 Grant Street, LLC v. City of Bridgeport, et al</w:t>
      </w:r>
      <w:r>
        <w:rPr>
          <w:rFonts w:ascii="Times New Roman" w:hAnsi="Times New Roman"/>
          <w:sz w:val="24"/>
          <w:szCs w:val="24"/>
        </w:rPr>
        <w:t>., the Court of Appeals of the State of Connecticut, held (3 to 0) held that the trial court properly granted summary judgment to the City, but on different grounds: that the June, 2018 complaint alleging city negligence in failing to find fire code violations was filed too late under statute of limitations.</w:t>
      </w:r>
    </w:p>
    <w:p w14:paraId="1C4637FF" w14:textId="77777777" w:rsidR="00C630E7" w:rsidRDefault="00C630E7" w:rsidP="00C630E7">
      <w:pPr>
        <w:ind w:left="720"/>
        <w:rPr>
          <w:rFonts w:ascii="Times New Roman" w:hAnsi="Times New Roman"/>
          <w:sz w:val="24"/>
          <w:szCs w:val="24"/>
        </w:rPr>
      </w:pPr>
      <w:r>
        <w:rPr>
          <w:rFonts w:ascii="Times New Roman" w:hAnsi="Times New Roman"/>
          <w:sz w:val="24"/>
          <w:szCs w:val="24"/>
        </w:rPr>
        <w:t xml:space="preserve">“In the present case, the plaintiff failed to provide the city with notice of its theory of liability concerning fire code violations in the warehouse in all iterations of the complaint preceding the proposed </w:t>
      </w:r>
      <w:proofErr w:type="gramStart"/>
      <w:r>
        <w:rPr>
          <w:rFonts w:ascii="Times New Roman" w:hAnsi="Times New Roman"/>
          <w:sz w:val="24"/>
          <w:szCs w:val="24"/>
        </w:rPr>
        <w:t>June,</w:t>
      </w:r>
      <w:proofErr w:type="gramEnd"/>
      <w:r>
        <w:rPr>
          <w:rFonts w:ascii="Times New Roman" w:hAnsi="Times New Roman"/>
          <w:sz w:val="24"/>
          <w:szCs w:val="24"/>
        </w:rPr>
        <w:t xml:space="preserve"> 2018 complaint. Thus, even if the plaintiff described this theory in its response to an interrogatory, this response alone is insufficient for it to relate back for purposes of compliance with the statute of limitations.” </w:t>
      </w:r>
      <w:hyperlink r:id="rId295" w:history="1">
        <w:r>
          <w:rPr>
            <w:rStyle w:val="Hyperlink"/>
            <w:sz w:val="24"/>
            <w:szCs w:val="24"/>
          </w:rPr>
          <w:t>https://casetext.com/case/25-grant-st-llc-v-city-of-bridgeport</w:t>
        </w:r>
      </w:hyperlink>
      <w:r>
        <w:rPr>
          <w:rFonts w:ascii="Times New Roman" w:hAnsi="Times New Roman"/>
          <w:sz w:val="24"/>
          <w:szCs w:val="24"/>
        </w:rPr>
        <w:t xml:space="preserve">  </w:t>
      </w:r>
    </w:p>
    <w:p w14:paraId="2F256AFB" w14:textId="77777777" w:rsidR="00C630E7" w:rsidRDefault="00C630E7" w:rsidP="00C630E7">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Legal Lessons Learned: Government mental immunity prevailed, but alleged failure to inspect a large warehouse in 15 years raises serious questions about the City’s code enforcement practices.</w:t>
      </w:r>
    </w:p>
    <w:p w14:paraId="4985EBE9" w14:textId="77777777" w:rsidR="00C630E7" w:rsidRDefault="00C630E7" w:rsidP="00C630E7">
      <w:pPr>
        <w:pStyle w:val="NormalWeb"/>
        <w:ind w:left="720"/>
      </w:pPr>
      <w:r>
        <w:t xml:space="preserve">Note: See the Supreme Court of Connecticut’s Dec. 26, </w:t>
      </w:r>
      <w:proofErr w:type="gramStart"/>
      <w:r>
        <w:t>2017</w:t>
      </w:r>
      <w:proofErr w:type="gramEnd"/>
      <w:r>
        <w:t xml:space="preserve"> decision establishing municipal liability for failure to conduct inspections: Williams v. Housing Authority of Bridgeport, 327 Ct. 338, 174 A.3d 137 (2017): </w:t>
      </w:r>
      <w:hyperlink r:id="rId296" w:history="1">
        <w:r>
          <w:rPr>
            <w:rStyle w:val="Hyperlink"/>
            <w:rFonts w:eastAsiaTheme="majorEastAsia"/>
          </w:rPr>
          <w:t>https://www.leagle.com/decision/inctco20171226041</w:t>
        </w:r>
      </w:hyperlink>
      <w:r>
        <w:t xml:space="preserve"> </w:t>
      </w:r>
    </w:p>
    <w:p w14:paraId="31B8237C" w14:textId="77777777" w:rsidR="00C630E7" w:rsidRDefault="00C630E7" w:rsidP="00C630E7">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“This certified appeal arises out of a tragic fire in which four residents of a Bridgeport public housing complex — Tiana N.A. Black and her three young children — lost their lives. </w:t>
      </w:r>
    </w:p>
    <w:p w14:paraId="00361DB9" w14:textId="77777777" w:rsidR="00C630E7" w:rsidRDefault="00C630E7" w:rsidP="00C630E7">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371EF53C" w14:textId="77777777" w:rsidR="00C630E7" w:rsidRDefault="00C630E7" w:rsidP="00C630E7">
      <w:pPr>
        <w:pStyle w:val="NormalWeb"/>
        <w:ind w:left="720"/>
      </w:pPr>
      <w:r>
        <w:t xml:space="preserve">“The Appellate Court reversed [trial court’s summary judgment for the city], concluding that a jury reasonably could find that the conduct of the municipal defendants demonstrated ‘a reckless disregard for </w:t>
      </w:r>
    </w:p>
    <w:p w14:paraId="39B2CD06" w14:textId="77777777" w:rsidR="00C630E7" w:rsidRDefault="00C630E7" w:rsidP="00C630E7">
      <w:pPr>
        <w:pStyle w:val="NormalWeb"/>
        <w:ind w:left="720"/>
      </w:pPr>
    </w:p>
    <w:p w14:paraId="1B703952" w14:textId="77777777" w:rsidR="00C630E7" w:rsidRDefault="00C630E7" w:rsidP="00C630E7">
      <w:pPr>
        <w:pStyle w:val="NormalWeb"/>
        <w:ind w:left="720"/>
      </w:pPr>
      <w:r>
        <w:t>health or safety under all the relevant circumstances’ and, therefore, that they were potentially liable pursuant to § 52-557n (b) (8).”</w:t>
      </w:r>
    </w:p>
    <w:p w14:paraId="1181DE66" w14:textId="77777777" w:rsidR="00C630E7" w:rsidRDefault="00C630E7" w:rsidP="002B1283">
      <w:pPr>
        <w:rPr>
          <w:rFonts w:ascii="Arial Black" w:hAnsi="Arial Black"/>
          <w:b/>
          <w:sz w:val="24"/>
          <w:szCs w:val="24"/>
        </w:rPr>
      </w:pPr>
    </w:p>
    <w:p w14:paraId="0D1A512E" w14:textId="77777777" w:rsidR="00C630E7" w:rsidRDefault="00C630E7" w:rsidP="002B1283">
      <w:pPr>
        <w:rPr>
          <w:rFonts w:ascii="Arial Black" w:hAnsi="Arial Black"/>
          <w:b/>
          <w:sz w:val="24"/>
          <w:szCs w:val="24"/>
        </w:rPr>
      </w:pPr>
    </w:p>
    <w:p w14:paraId="3D4DF684" w14:textId="0CC217DE" w:rsidR="00C630E7" w:rsidRDefault="00C630E7" w:rsidP="002B1283">
      <w:pPr>
        <w:rPr>
          <w:rFonts w:ascii="Arial Black" w:hAnsi="Arial Black"/>
          <w:b/>
          <w:sz w:val="24"/>
          <w:szCs w:val="24"/>
        </w:rPr>
      </w:pPr>
      <w:r>
        <w:rPr>
          <w:rFonts w:ascii="Arial Black" w:hAnsi="Arial Black"/>
          <w:b/>
          <w:sz w:val="24"/>
          <w:szCs w:val="24"/>
        </w:rPr>
        <w:t>1-63</w:t>
      </w:r>
    </w:p>
    <w:p w14:paraId="1EE2AABF" w14:textId="77777777" w:rsidR="00C630E7" w:rsidRDefault="00C630E7" w:rsidP="00C630E7">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RI: FIRE INVESTIGATIONS - ADJUSTERS, RESTORES CAN CONTACT OWNERS, BUT NOT VISIT SCENE 24 HRS</w:t>
      </w:r>
    </w:p>
    <w:p w14:paraId="78BD2A24" w14:textId="77777777" w:rsidR="00C630E7" w:rsidRDefault="00C630E7" w:rsidP="00C630E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 11, 2020, in </w:t>
      </w:r>
      <w:r>
        <w:rPr>
          <w:rFonts w:ascii="Times New Roman" w:eastAsia="Times New Roman" w:hAnsi="Times New Roman"/>
          <w:sz w:val="24"/>
          <w:szCs w:val="24"/>
          <w:u w:val="single"/>
        </w:rPr>
        <w:t>Ernest G. Pullano, PA, doing business as Pullano Public Adjusters, LLC, et al. v. Rhode Island Division of State Fire Marshal</w:t>
      </w:r>
      <w:r>
        <w:rPr>
          <w:rFonts w:ascii="Times New Roman" w:eastAsia="Times New Roman" w:hAnsi="Times New Roman"/>
          <w:sz w:val="24"/>
          <w:szCs w:val="24"/>
        </w:rPr>
        <w:t xml:space="preserve">, U.S. District Court Judge John J. McConnell, Jr.,  District of Rhode Island, granted the State’s motion to dismiss, based on the Judge’s narrow interpretation of the statute – does not prohibit e-mail or other off-premises contact with property owner.  </w:t>
      </w:r>
    </w:p>
    <w:p w14:paraId="0C068F3B" w14:textId="77777777" w:rsidR="00C630E7" w:rsidRDefault="00C630E7" w:rsidP="00C630E7">
      <w:pPr>
        <w:pStyle w:val="NormalWeb"/>
        <w:ind w:left="720"/>
      </w:pPr>
      <w:r>
        <w:t xml:space="preserve">“The Court is convinced that the second interpretation, using the ‘series-qualifier principle,’ is the correct interpretation and thus holds that R.I. Gen. Laws § 23-28.2-11 only prohibits solicitation </w:t>
      </w:r>
      <w:r>
        <w:rPr>
          <w:i/>
          <w:iCs/>
        </w:rPr>
        <w:t>on the premises</w:t>
      </w:r>
      <w:r>
        <w:t xml:space="preserve"> during an investigation. It does not prohibit other types of non-</w:t>
      </w:r>
      <w:proofErr w:type="gramStart"/>
      <w:r>
        <w:t>premises</w:t>
      </w:r>
      <w:proofErr w:type="gramEnd"/>
      <w:r>
        <w:t xml:space="preserve"> solicitations, like phone, email, or mail. And it does not prevent on-the-premise solicitations if the person is invited onto the property by the homeowner. This is the right interpretation because it offers the most logical reading of the plain language of the Statute, while following the State's interpretation of the Statute, and avoiding constitutional </w:t>
      </w:r>
      <w:proofErr w:type="gramStart"/>
      <w:r>
        <w:t>transgressions.”</w:t>
      </w:r>
      <w:proofErr w:type="gramEnd"/>
      <w:r>
        <w:t xml:space="preserve"> </w:t>
      </w:r>
      <w:hyperlink r:id="rId297" w:history="1">
        <w:r>
          <w:rPr>
            <w:rStyle w:val="Hyperlink"/>
            <w:rFonts w:eastAsiaTheme="majorEastAsia"/>
          </w:rPr>
          <w:t>https://public.fastcase.com/Wl%2B2t%2BeVuI35%2FN70vAMFZuQf%2BCvER%2BbrYG4WrLB4YIQfdBBmlMCsuqEI%2FSqG9cxo</w:t>
        </w:r>
      </w:hyperlink>
      <w:r>
        <w:t xml:space="preserve"> </w:t>
      </w:r>
    </w:p>
    <w:p w14:paraId="52AA44D6" w14:textId="77777777" w:rsidR="00C630E7" w:rsidRDefault="00C630E7" w:rsidP="00C630E7">
      <w:pPr>
        <w:pStyle w:val="NormalWeb"/>
        <w:rPr>
          <w:b/>
          <w:bCs/>
        </w:rPr>
      </w:pPr>
      <w:r>
        <w:rPr>
          <w:b/>
          <w:bCs/>
        </w:rPr>
        <w:t xml:space="preserve">Legal Lessons Learned:  The State may now either accept this interpretation of the </w:t>
      </w:r>
      <w:proofErr w:type="gramStart"/>
      <w:r>
        <w:rPr>
          <w:b/>
          <w:bCs/>
        </w:rPr>
        <w:t>statute, or</w:t>
      </w:r>
      <w:proofErr w:type="gramEnd"/>
      <w:r>
        <w:rPr>
          <w:b/>
          <w:bCs/>
        </w:rPr>
        <w:t xml:space="preserve"> seek to appeal the decision. </w:t>
      </w:r>
    </w:p>
    <w:p w14:paraId="691FAD5E" w14:textId="77777777" w:rsidR="00C630E7" w:rsidRDefault="00C630E7" w:rsidP="00C630E7">
      <w:pPr>
        <w:pStyle w:val="Heading1"/>
        <w:ind w:left="720"/>
        <w:rPr>
          <w:b w:val="0"/>
          <w:bCs w:val="0"/>
          <w:sz w:val="24"/>
          <w:szCs w:val="24"/>
        </w:rPr>
      </w:pPr>
      <w:r>
        <w:rPr>
          <w:b w:val="0"/>
          <w:bCs w:val="0"/>
          <w:sz w:val="24"/>
          <w:szCs w:val="24"/>
        </w:rPr>
        <w:t xml:space="preserve">Note: See Florida statutes on public adjusters – </w:t>
      </w:r>
      <w:proofErr w:type="gramStart"/>
      <w:r>
        <w:rPr>
          <w:b w:val="0"/>
          <w:bCs w:val="0"/>
          <w:sz w:val="24"/>
          <w:szCs w:val="24"/>
        </w:rPr>
        <w:t>48 hour</w:t>
      </w:r>
      <w:proofErr w:type="gramEnd"/>
      <w:r>
        <w:rPr>
          <w:b w:val="0"/>
          <w:bCs w:val="0"/>
          <w:sz w:val="24"/>
          <w:szCs w:val="24"/>
        </w:rPr>
        <w:t xml:space="preserve"> notice visit property: </w:t>
      </w:r>
      <w:hyperlink r:id="rId298" w:history="1">
        <w:r>
          <w:rPr>
            <w:rStyle w:val="Hyperlink"/>
            <w:rFonts w:eastAsiaTheme="majorEastAsia"/>
            <w:b w:val="0"/>
            <w:bCs w:val="0"/>
            <w:sz w:val="24"/>
            <w:szCs w:val="24"/>
          </w:rPr>
          <w:t>https://www.myfloridacfo.com/division/agents/Industry/News/PubAdjRegs.htm</w:t>
        </w:r>
      </w:hyperlink>
      <w:r>
        <w:rPr>
          <w:b w:val="0"/>
          <w:bCs w:val="0"/>
          <w:sz w:val="24"/>
          <w:szCs w:val="24"/>
        </w:rPr>
        <w:t xml:space="preserve"> </w:t>
      </w:r>
    </w:p>
    <w:p w14:paraId="7F4AD100" w14:textId="77777777" w:rsidR="00C630E7" w:rsidRDefault="00C630E7" w:rsidP="00C630E7">
      <w:pPr>
        <w:pStyle w:val="Heading1"/>
        <w:ind w:left="720"/>
        <w:rPr>
          <w:b w:val="0"/>
          <w:bCs w:val="0"/>
          <w:sz w:val="24"/>
          <w:szCs w:val="24"/>
        </w:rPr>
      </w:pPr>
      <w:r>
        <w:rPr>
          <w:b w:val="0"/>
          <w:bCs w:val="0"/>
          <w:sz w:val="24"/>
          <w:szCs w:val="24"/>
        </w:rPr>
        <w:t xml:space="preserve">“The law states that company adjusters, independent adjusters, attorneys, investigators, or others acting on behalf of the insurer must give the insured, claimant, public adjuster or legal representative of the insured at least 48 </w:t>
      </w:r>
      <w:proofErr w:type="spellStart"/>
      <w:r>
        <w:rPr>
          <w:b w:val="0"/>
          <w:bCs w:val="0"/>
          <w:sz w:val="24"/>
          <w:szCs w:val="24"/>
        </w:rPr>
        <w:t>hours notice</w:t>
      </w:r>
      <w:proofErr w:type="spellEnd"/>
      <w:r>
        <w:rPr>
          <w:b w:val="0"/>
          <w:bCs w:val="0"/>
          <w:sz w:val="24"/>
          <w:szCs w:val="24"/>
        </w:rPr>
        <w:t xml:space="preserve"> that they need access to the damaged property. The insured or claimant can waive this notice.”</w:t>
      </w:r>
    </w:p>
    <w:p w14:paraId="3E66E55B" w14:textId="77777777" w:rsidR="00C630E7" w:rsidRDefault="00C630E7" w:rsidP="002B1283">
      <w:pPr>
        <w:rPr>
          <w:rFonts w:ascii="Arial Black" w:hAnsi="Arial Black"/>
          <w:b/>
          <w:sz w:val="24"/>
          <w:szCs w:val="24"/>
        </w:rPr>
      </w:pPr>
    </w:p>
    <w:p w14:paraId="092A3BA3" w14:textId="77777777" w:rsidR="00C630E7" w:rsidRDefault="00C630E7" w:rsidP="002B1283">
      <w:pPr>
        <w:rPr>
          <w:rFonts w:ascii="Arial Black" w:hAnsi="Arial Black"/>
          <w:b/>
          <w:sz w:val="24"/>
          <w:szCs w:val="24"/>
        </w:rPr>
      </w:pPr>
    </w:p>
    <w:p w14:paraId="312ECA1F" w14:textId="72F70290" w:rsidR="00C630E7" w:rsidRDefault="00C630E7" w:rsidP="002B1283">
      <w:pPr>
        <w:rPr>
          <w:rFonts w:ascii="Arial Black" w:hAnsi="Arial Black"/>
          <w:b/>
          <w:sz w:val="24"/>
          <w:szCs w:val="24"/>
        </w:rPr>
      </w:pPr>
      <w:r>
        <w:rPr>
          <w:rFonts w:ascii="Arial Black" w:hAnsi="Arial Black"/>
          <w:b/>
          <w:sz w:val="24"/>
          <w:szCs w:val="24"/>
        </w:rPr>
        <w:t>1-62</w:t>
      </w:r>
    </w:p>
    <w:p w14:paraId="736DFB5A" w14:textId="77777777" w:rsidR="00C630E7" w:rsidRDefault="00C630E7" w:rsidP="00C630E7">
      <w:pPr>
        <w:spacing w:before="100" w:beforeAutospacing="1" w:after="100" w:afterAutospacing="1" w:line="240" w:lineRule="auto"/>
        <w:rPr>
          <w:rFonts w:ascii="Arial Black" w:hAnsi="Arial Black" w:cstheme="minorBidi"/>
          <w:sz w:val="28"/>
          <w:szCs w:val="28"/>
        </w:rPr>
      </w:pPr>
      <w:r>
        <w:rPr>
          <w:rFonts w:ascii="Arial Black" w:hAnsi="Arial Black"/>
          <w:sz w:val="28"/>
          <w:szCs w:val="28"/>
        </w:rPr>
        <w:t>MD: PG COUNTY FIRE CHIEF – BATTALION CHIEFS TO OUTRANK VOLUNTEER CO. CHIEF - AUTHORIZED</w:t>
      </w:r>
    </w:p>
    <w:p w14:paraId="5D509AAA" w14:textId="77777777" w:rsidR="00C630E7" w:rsidRDefault="00C630E7" w:rsidP="00C630E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4, 2020, in Prince George’s Volunteer Fire And Rescue Association, Inc. v. Prince George’s County, Maryland, the Court of Special Appeals of Maryland, held (3 to 0; unreported decision) that the County Fire Chief had the authority in 2016 to issue revised General Order 01-03 that elevated the rank of County Battalion Chiefs, over that of Chiefs of volunteer fire companies.   </w:t>
      </w:r>
    </w:p>
    <w:p w14:paraId="784A460B" w14:textId="77777777" w:rsidR="00C630E7" w:rsidRDefault="00C630E7" w:rsidP="00C630E7">
      <w:pPr>
        <w:spacing w:after="100" w:line="240" w:lineRule="auto"/>
        <w:ind w:left="720"/>
        <w:rPr>
          <w:rFonts w:ascii="Times New Roman" w:eastAsia="Times New Roman" w:hAnsi="Times New Roman"/>
          <w:sz w:val="24"/>
          <w:szCs w:val="24"/>
        </w:rPr>
      </w:pPr>
      <w:r>
        <w:rPr>
          <w:rFonts w:ascii="Times New Roman" w:hAnsi="Times New Roman"/>
          <w:sz w:val="24"/>
          <w:szCs w:val="24"/>
        </w:rPr>
        <w:t xml:space="preserve">“Ultimately, PGCVFRA failed to sufficiently allege that it suffered irreparable injury through the Fire Chief's revision of General Order 01-03 and its amendment of the chain of command. As noted in our discussion on PGCVFRA's governmental </w:t>
      </w:r>
      <w:proofErr w:type="gramStart"/>
      <w:r>
        <w:rPr>
          <w:rFonts w:ascii="Times New Roman" w:hAnsi="Times New Roman"/>
          <w:sz w:val="24"/>
          <w:szCs w:val="24"/>
        </w:rPr>
        <w:t>takings</w:t>
      </w:r>
      <w:proofErr w:type="gramEnd"/>
      <w:r>
        <w:rPr>
          <w:rFonts w:ascii="Times New Roman" w:hAnsi="Times New Roman"/>
          <w:sz w:val="24"/>
          <w:szCs w:val="24"/>
        </w:rPr>
        <w:t xml:space="preserve"> claim, PGCVFRA failed to establish any sort of injury. Its claims regarding potential injury are hypothetical, speculative, and depend on future—uncertain—conduct that PGCVFRA alleges the County may undertake. The speculative nature of these complaints is apparent, and these ‘mere allegations’ are insufficient to ground PGCVFRA's claim for permanent injunctive relief.” </w:t>
      </w:r>
      <w:hyperlink r:id="rId299" w:history="1">
        <w:r>
          <w:rPr>
            <w:rStyle w:val="Hyperlink"/>
            <w:sz w:val="24"/>
            <w:szCs w:val="24"/>
          </w:rPr>
          <w:t>https://www.courts.state.md.us/sites/default/files/unreported-opinions/0614s19.pdf</w:t>
        </w:r>
      </w:hyperlink>
      <w:r>
        <w:rPr>
          <w:rFonts w:ascii="Times New Roman" w:hAnsi="Times New Roman"/>
          <w:sz w:val="24"/>
          <w:szCs w:val="24"/>
        </w:rPr>
        <w:t xml:space="preserve"> </w:t>
      </w:r>
    </w:p>
    <w:p w14:paraId="2465D741" w14:textId="77777777" w:rsidR="00C630E7" w:rsidRDefault="00C630E7" w:rsidP="00C630E7">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The County Fire Chief has authority over firefighting and chain of command. </w:t>
      </w:r>
    </w:p>
    <w:p w14:paraId="76D5DBAF" w14:textId="77777777" w:rsidR="00C630E7" w:rsidRDefault="00C630E7" w:rsidP="00C630E7">
      <w:pPr>
        <w:spacing w:after="100" w:line="240" w:lineRule="auto"/>
        <w:ind w:left="720"/>
        <w:rPr>
          <w:rFonts w:ascii="Times New Roman" w:eastAsiaTheme="minorHAnsi" w:hAnsi="Times New Roman"/>
          <w:sz w:val="24"/>
          <w:szCs w:val="24"/>
        </w:rPr>
      </w:pPr>
      <w:r>
        <w:rPr>
          <w:rFonts w:ascii="Times New Roman" w:eastAsia="Times New Roman" w:hAnsi="Times New Roman"/>
          <w:sz w:val="24"/>
          <w:szCs w:val="24"/>
        </w:rPr>
        <w:t xml:space="preserve">Note:  </w:t>
      </w:r>
      <w:r>
        <w:rPr>
          <w:rFonts w:ascii="Times New Roman" w:hAnsi="Times New Roman"/>
          <w:sz w:val="24"/>
          <w:szCs w:val="24"/>
        </w:rPr>
        <w:t>Under revised General Order 01-03, the relevant portion of the chain of command reads as follows:</w:t>
      </w:r>
    </w:p>
    <w:p w14:paraId="0559C14A" w14:textId="77777777" w:rsidR="00C630E7" w:rsidRDefault="00C630E7" w:rsidP="00C630E7">
      <w:pPr>
        <w:ind w:left="1440"/>
        <w:rPr>
          <w:rFonts w:ascii="Times New Roman" w:hAnsi="Times New Roman"/>
          <w:sz w:val="24"/>
          <w:szCs w:val="24"/>
        </w:rPr>
      </w:pPr>
      <w:r>
        <w:rPr>
          <w:rFonts w:ascii="Times New Roman" w:hAnsi="Times New Roman"/>
          <w:sz w:val="24"/>
          <w:szCs w:val="24"/>
        </w:rPr>
        <w:t>1. County Fire Chief</w:t>
      </w:r>
      <w:r>
        <w:rPr>
          <w:rFonts w:ascii="Times New Roman" w:hAnsi="Times New Roman"/>
          <w:sz w:val="24"/>
          <w:szCs w:val="24"/>
        </w:rPr>
        <w:br/>
        <w:t>2. Chief Deputy</w:t>
      </w:r>
      <w:r>
        <w:rPr>
          <w:rFonts w:ascii="Times New Roman" w:hAnsi="Times New Roman"/>
          <w:sz w:val="24"/>
          <w:szCs w:val="24"/>
        </w:rPr>
        <w:br/>
        <w:t>3. Deputy Fire Chief</w:t>
      </w:r>
      <w:r>
        <w:rPr>
          <w:rFonts w:ascii="Times New Roman" w:hAnsi="Times New Roman"/>
          <w:sz w:val="24"/>
          <w:szCs w:val="24"/>
        </w:rPr>
        <w:br/>
        <w:t>4. Assistant Fire Chief, Career/Volunteer</w:t>
      </w:r>
      <w:r>
        <w:rPr>
          <w:rFonts w:ascii="Times New Roman" w:hAnsi="Times New Roman"/>
          <w:sz w:val="24"/>
          <w:szCs w:val="24"/>
        </w:rPr>
        <w:br/>
        <w:t>5. Battalion Chief, Career/Volunteer</w:t>
      </w:r>
      <w:r>
        <w:rPr>
          <w:rFonts w:ascii="Times New Roman" w:hAnsi="Times New Roman"/>
          <w:sz w:val="24"/>
          <w:szCs w:val="24"/>
        </w:rPr>
        <w:br/>
        <w:t xml:space="preserve">6. Volunteer Company Chief   </w:t>
      </w:r>
    </w:p>
    <w:p w14:paraId="5F58D8F9" w14:textId="77777777" w:rsidR="00C630E7" w:rsidRDefault="00C630E7" w:rsidP="00C630E7">
      <w:pPr>
        <w:ind w:left="720"/>
        <w:rPr>
          <w:rFonts w:ascii="Times New Roman" w:hAnsi="Times New Roman"/>
          <w:sz w:val="24"/>
          <w:szCs w:val="24"/>
        </w:rPr>
      </w:pPr>
      <w:r>
        <w:rPr>
          <w:rFonts w:ascii="Times New Roman" w:hAnsi="Times New Roman"/>
          <w:sz w:val="24"/>
          <w:szCs w:val="24"/>
        </w:rPr>
        <w:t xml:space="preserve">[Footnote 8 of the Court’s decision.] </w:t>
      </w:r>
      <w:hyperlink r:id="rId300" w:history="1">
        <w:r>
          <w:rPr>
            <w:rStyle w:val="Hyperlink"/>
            <w:sz w:val="24"/>
            <w:szCs w:val="24"/>
          </w:rPr>
          <w:t>https://www.courts.state.md.us/sites/default/files/unreported-opinions/0614s19.pdf</w:t>
        </w:r>
      </w:hyperlink>
      <w:r>
        <w:rPr>
          <w:rFonts w:ascii="Times New Roman" w:hAnsi="Times New Roman"/>
          <w:sz w:val="24"/>
          <w:szCs w:val="24"/>
        </w:rPr>
        <w:t xml:space="preserve"> </w:t>
      </w:r>
    </w:p>
    <w:p w14:paraId="6DEB3570" w14:textId="77777777" w:rsidR="00C630E7" w:rsidRDefault="00C630E7" w:rsidP="002B1283">
      <w:pPr>
        <w:rPr>
          <w:rFonts w:ascii="Arial Black" w:hAnsi="Arial Black"/>
          <w:b/>
          <w:sz w:val="24"/>
          <w:szCs w:val="24"/>
        </w:rPr>
      </w:pPr>
    </w:p>
    <w:p w14:paraId="65F3ED55" w14:textId="77777777" w:rsidR="00C630E7" w:rsidRDefault="00C630E7" w:rsidP="002B1283">
      <w:pPr>
        <w:rPr>
          <w:rFonts w:ascii="Arial Black" w:hAnsi="Arial Black"/>
          <w:b/>
          <w:sz w:val="24"/>
          <w:szCs w:val="24"/>
        </w:rPr>
      </w:pPr>
    </w:p>
    <w:p w14:paraId="16F88F35" w14:textId="6B0CD27D" w:rsidR="00A672EE" w:rsidRDefault="00A672EE" w:rsidP="002B1283">
      <w:pPr>
        <w:rPr>
          <w:rFonts w:ascii="Arial Black" w:hAnsi="Arial Black"/>
          <w:b/>
          <w:sz w:val="24"/>
          <w:szCs w:val="24"/>
        </w:rPr>
      </w:pPr>
      <w:r>
        <w:rPr>
          <w:rFonts w:ascii="Arial Black" w:hAnsi="Arial Black"/>
          <w:b/>
          <w:sz w:val="24"/>
          <w:szCs w:val="24"/>
        </w:rPr>
        <w:t>1-61</w:t>
      </w:r>
    </w:p>
    <w:p w14:paraId="6591CB4B" w14:textId="77777777" w:rsidR="00A672EE" w:rsidRDefault="00A672EE" w:rsidP="00A672EE">
      <w:pPr>
        <w:pStyle w:val="NoSpacing"/>
        <w:rPr>
          <w:rFonts w:ascii="Arial Black" w:hAnsi="Arial Black"/>
          <w:sz w:val="28"/>
          <w:szCs w:val="28"/>
        </w:rPr>
      </w:pPr>
      <w:r w:rsidRPr="007501C3">
        <w:rPr>
          <w:rFonts w:ascii="Arial Black" w:hAnsi="Arial Black"/>
          <w:sz w:val="28"/>
          <w:szCs w:val="28"/>
        </w:rPr>
        <w:t xml:space="preserve">NY: </w:t>
      </w:r>
      <w:r>
        <w:rPr>
          <w:rFonts w:ascii="Arial Black" w:hAnsi="Arial Black"/>
          <w:sz w:val="28"/>
          <w:szCs w:val="28"/>
        </w:rPr>
        <w:t>CA WOMAN SUPPORTS STRONG IMMIGATION – CAN SUE TV COMMENTATOR - FALSE TWEETS TO 1.24 MILLION</w:t>
      </w:r>
    </w:p>
    <w:p w14:paraId="2530EFF0" w14:textId="77777777" w:rsidR="00A672EE" w:rsidRDefault="00A672EE" w:rsidP="00A672EE">
      <w:pPr>
        <w:pStyle w:val="NoSpacing"/>
        <w:rPr>
          <w:rFonts w:ascii="Arial Black" w:hAnsi="Arial Black"/>
          <w:sz w:val="28"/>
          <w:szCs w:val="28"/>
        </w:rPr>
      </w:pPr>
      <w:r>
        <w:rPr>
          <w:rFonts w:ascii="Arial Black" w:hAnsi="Arial Black"/>
          <w:sz w:val="28"/>
          <w:szCs w:val="28"/>
        </w:rPr>
        <w:t xml:space="preserve"> </w:t>
      </w:r>
    </w:p>
    <w:p w14:paraId="61718F0B" w14:textId="77777777" w:rsidR="00A672EE" w:rsidRDefault="00A672EE" w:rsidP="00A672EE">
      <w:pPr>
        <w:pStyle w:val="NoSpacing"/>
        <w:rPr>
          <w:rFonts w:ascii="Times New Roman" w:hAnsi="Times New Roman"/>
          <w:sz w:val="24"/>
          <w:szCs w:val="24"/>
        </w:rPr>
      </w:pPr>
      <w:r w:rsidRPr="000C4CED">
        <w:rPr>
          <w:rFonts w:ascii="Times New Roman" w:hAnsi="Times New Roman"/>
          <w:sz w:val="24"/>
          <w:szCs w:val="24"/>
        </w:rPr>
        <w:t xml:space="preserve">On </w:t>
      </w:r>
      <w:r>
        <w:rPr>
          <w:rFonts w:ascii="Times New Roman" w:hAnsi="Times New Roman"/>
          <w:sz w:val="24"/>
          <w:szCs w:val="24"/>
        </w:rPr>
        <w:t xml:space="preserve">July 15, 2020, in </w:t>
      </w:r>
      <w:r w:rsidRPr="000C4CED">
        <w:rPr>
          <w:rFonts w:ascii="Times New Roman" w:hAnsi="Times New Roman"/>
          <w:sz w:val="24"/>
          <w:szCs w:val="24"/>
          <w:u w:val="single"/>
        </w:rPr>
        <w:t>Roslyn La Liberte v. Joy Reid</w:t>
      </w:r>
      <w:r>
        <w:rPr>
          <w:rFonts w:ascii="Times New Roman" w:hAnsi="Times New Roman"/>
          <w:sz w:val="24"/>
          <w:szCs w:val="24"/>
        </w:rPr>
        <w:t xml:space="preserve">, the U.S. Court of Appeals for Second Circuit (New York City) held that the defamation lawsuit will be reinstated; the defendant, Joy Reid, an MSNBC commentator, sent Tweet to 1.24 million followers, falsely alleging Ms. La Liberte threated 14-year-old Hispanic boy at a Simi Valley Council Meeting.  La Liberte received hate mail, including threats of mutilation and recommendations she </w:t>
      </w:r>
      <w:proofErr w:type="gramStart"/>
      <w:r>
        <w:rPr>
          <w:rFonts w:ascii="Times New Roman" w:hAnsi="Times New Roman"/>
          <w:sz w:val="24"/>
          <w:szCs w:val="24"/>
        </w:rPr>
        <w:t>commit</w:t>
      </w:r>
      <w:proofErr w:type="gramEnd"/>
      <w:r>
        <w:rPr>
          <w:rFonts w:ascii="Times New Roman" w:hAnsi="Times New Roman"/>
          <w:sz w:val="24"/>
          <w:szCs w:val="24"/>
        </w:rPr>
        <w:t xml:space="preserve"> suicide.  Court wrote: “</w:t>
      </w:r>
      <w:r w:rsidRPr="003E3B28">
        <w:rPr>
          <w:rFonts w:ascii="Times New Roman" w:hAnsi="Times New Roman"/>
          <w:sz w:val="24"/>
          <w:szCs w:val="24"/>
        </w:rPr>
        <w:t xml:space="preserve">In effect, Reid is arguing </w:t>
      </w:r>
      <w:r>
        <w:rPr>
          <w:rFonts w:ascii="Times New Roman" w:hAnsi="Times New Roman"/>
          <w:sz w:val="24"/>
          <w:szCs w:val="24"/>
        </w:rPr>
        <w:t xml:space="preserve">[in this Appeal] </w:t>
      </w:r>
      <w:r w:rsidRPr="003E3B28">
        <w:rPr>
          <w:rFonts w:ascii="Times New Roman" w:hAnsi="Times New Roman"/>
          <w:sz w:val="24"/>
          <w:szCs w:val="24"/>
        </w:rPr>
        <w:t>that a plaintiff can sue only the first defamer. If that were so, a post by an obscure social media user with few followers, blogging in the recesses of the internet, would allow everyone else to pile on without consequence. No one’s reputation would be worth a thing.</w:t>
      </w:r>
      <w:r>
        <w:rPr>
          <w:rFonts w:ascii="Times New Roman" w:hAnsi="Times New Roman"/>
          <w:sz w:val="24"/>
          <w:szCs w:val="24"/>
        </w:rPr>
        <w:t>”</w:t>
      </w:r>
    </w:p>
    <w:p w14:paraId="5C89966D" w14:textId="77777777" w:rsidR="00A672EE" w:rsidRDefault="00A672EE" w:rsidP="00A672EE">
      <w:pPr>
        <w:pStyle w:val="NoSpacing"/>
        <w:rPr>
          <w:rFonts w:ascii="Times New Roman" w:hAnsi="Times New Roman"/>
          <w:sz w:val="24"/>
          <w:szCs w:val="24"/>
        </w:rPr>
      </w:pPr>
      <w:hyperlink r:id="rId301" w:anchor="xml=https://www.ca2.uscourts.gov/decisions/isysquery/2a455a3a-04be-4845-88fb-6da61a7004cf/1/hilite/" w:history="1">
        <w:r w:rsidRPr="00C24307">
          <w:rPr>
            <w:rStyle w:val="Hyperlink"/>
            <w:rFonts w:ascii="Times New Roman" w:hAnsi="Times New Roman"/>
            <w:sz w:val="24"/>
            <w:szCs w:val="24"/>
          </w:rPr>
          <w:t>https://www.ca2.uscourts.gov/decisions/isysquery/2a455a3a-04be-4845-88fb-6da61a7004cf/1/doc/19-3574_opn.pdf#xml=https://www.ca2.uscourts.gov/decisions/isysquery/2a455a3a-04be-4845-88fb-6da61a7004cf/1/hilite/</w:t>
        </w:r>
      </w:hyperlink>
      <w:r>
        <w:rPr>
          <w:rFonts w:ascii="Times New Roman" w:hAnsi="Times New Roman"/>
          <w:sz w:val="24"/>
          <w:szCs w:val="24"/>
        </w:rPr>
        <w:t xml:space="preserve"> </w:t>
      </w:r>
    </w:p>
    <w:p w14:paraId="45017FD4" w14:textId="752A78F5" w:rsidR="00A672EE" w:rsidRDefault="00A672EE" w:rsidP="002B1283">
      <w:pPr>
        <w:rPr>
          <w:rFonts w:ascii="Arial Black" w:hAnsi="Arial Black"/>
          <w:b/>
          <w:sz w:val="24"/>
          <w:szCs w:val="24"/>
        </w:rPr>
      </w:pPr>
    </w:p>
    <w:p w14:paraId="3AC35E18" w14:textId="77777777" w:rsidR="006B2083" w:rsidRPr="00143120" w:rsidRDefault="006B2083" w:rsidP="006B2083">
      <w:pPr>
        <w:pStyle w:val="NoSpacing"/>
        <w:rPr>
          <w:rFonts w:ascii="Times New Roman" w:hAnsi="Times New Roman"/>
          <w:b/>
          <w:bCs/>
          <w:sz w:val="24"/>
          <w:szCs w:val="24"/>
        </w:rPr>
      </w:pPr>
      <w:r w:rsidRPr="00AE2F30">
        <w:rPr>
          <w:rFonts w:ascii="Times New Roman" w:hAnsi="Times New Roman"/>
          <w:b/>
          <w:bCs/>
        </w:rPr>
        <w:t xml:space="preserve">Legal Lessons Learned: </w:t>
      </w:r>
      <w:r>
        <w:rPr>
          <w:rFonts w:ascii="Times New Roman" w:hAnsi="Times New Roman"/>
          <w:b/>
          <w:bCs/>
        </w:rPr>
        <w:t xml:space="preserve"> Fortunately, the Court also held that plaintiff is not a “public official</w:t>
      </w:r>
      <w:proofErr w:type="gramStart"/>
      <w:r>
        <w:rPr>
          <w:rFonts w:ascii="Times New Roman" w:hAnsi="Times New Roman"/>
          <w:b/>
          <w:bCs/>
        </w:rPr>
        <w:t>”</w:t>
      </w:r>
      <w:proofErr w:type="gramEnd"/>
      <w:r>
        <w:rPr>
          <w:rFonts w:ascii="Times New Roman" w:hAnsi="Times New Roman"/>
          <w:b/>
          <w:bCs/>
        </w:rPr>
        <w:t xml:space="preserve"> and she does not need to prove defendant posted with actual “malice.” </w:t>
      </w:r>
    </w:p>
    <w:p w14:paraId="73FD8453" w14:textId="77777777" w:rsidR="006B2083" w:rsidRDefault="006B2083" w:rsidP="006B2083">
      <w:pPr>
        <w:pStyle w:val="NoSpacing"/>
        <w:rPr>
          <w:rFonts w:ascii="Times New Roman" w:hAnsi="Times New Roman"/>
          <w:b/>
          <w:bCs/>
        </w:rPr>
      </w:pPr>
    </w:p>
    <w:p w14:paraId="5FCA5A8A" w14:textId="77777777" w:rsidR="006B2083" w:rsidRDefault="006B2083" w:rsidP="006B2083">
      <w:pPr>
        <w:pStyle w:val="NoSpacing"/>
        <w:ind w:left="720"/>
        <w:rPr>
          <w:rFonts w:ascii="Times New Roman" w:hAnsi="Times New Roman"/>
          <w:sz w:val="24"/>
          <w:szCs w:val="24"/>
        </w:rPr>
      </w:pPr>
      <w:r w:rsidRPr="00AE2F30">
        <w:rPr>
          <w:rFonts w:ascii="Times New Roman" w:hAnsi="Times New Roman"/>
          <w:sz w:val="24"/>
          <w:szCs w:val="24"/>
        </w:rPr>
        <w:t xml:space="preserve">Note: </w:t>
      </w:r>
      <w:r>
        <w:rPr>
          <w:rFonts w:ascii="Times New Roman" w:hAnsi="Times New Roman"/>
          <w:sz w:val="24"/>
          <w:szCs w:val="24"/>
        </w:rPr>
        <w:t>The 2</w:t>
      </w:r>
      <w:r w:rsidRPr="00143120">
        <w:rPr>
          <w:rFonts w:ascii="Times New Roman" w:hAnsi="Times New Roman"/>
          <w:sz w:val="24"/>
          <w:szCs w:val="24"/>
          <w:vertAlign w:val="superscript"/>
        </w:rPr>
        <w:t>nd</w:t>
      </w:r>
      <w:r>
        <w:rPr>
          <w:rFonts w:ascii="Times New Roman" w:hAnsi="Times New Roman"/>
          <w:sz w:val="24"/>
          <w:szCs w:val="24"/>
        </w:rPr>
        <w:t xml:space="preserve"> Circuit held that Joy Reed was also not protected by California Anti-SLAPP statute, which helps protect news organizations, reporters, journalists, </w:t>
      </w:r>
      <w:proofErr w:type="gramStart"/>
      <w:r>
        <w:rPr>
          <w:rFonts w:ascii="Times New Roman" w:hAnsi="Times New Roman"/>
          <w:sz w:val="24"/>
          <w:szCs w:val="24"/>
        </w:rPr>
        <w:t>other</w:t>
      </w:r>
      <w:proofErr w:type="gramEnd"/>
      <w:r>
        <w:rPr>
          <w:rFonts w:ascii="Times New Roman" w:hAnsi="Times New Roman"/>
          <w:sz w:val="24"/>
          <w:szCs w:val="24"/>
        </w:rPr>
        <w:t xml:space="preserve"> from defamation lawsuits. </w:t>
      </w:r>
      <w:hyperlink r:id="rId302" w:history="1">
        <w:r w:rsidRPr="00AE2F30">
          <w:rPr>
            <w:rStyle w:val="Hyperlink"/>
            <w:rFonts w:ascii="Times New Roman" w:hAnsi="Times New Roman"/>
            <w:sz w:val="24"/>
            <w:szCs w:val="24"/>
          </w:rPr>
          <w:t>https://www.rcfp.org/resources/anti-slapp-laws/</w:t>
        </w:r>
      </w:hyperlink>
    </w:p>
    <w:p w14:paraId="710039AB" w14:textId="77777777" w:rsidR="006B2083" w:rsidRDefault="006B2083" w:rsidP="006B2083">
      <w:pPr>
        <w:pStyle w:val="NoSpacing"/>
        <w:ind w:left="720"/>
        <w:rPr>
          <w:rFonts w:ascii="Times New Roman" w:hAnsi="Times New Roman"/>
          <w:sz w:val="24"/>
          <w:szCs w:val="24"/>
        </w:rPr>
      </w:pPr>
      <w:r>
        <w:rPr>
          <w:rFonts w:ascii="Times New Roman" w:hAnsi="Times New Roman"/>
          <w:sz w:val="24"/>
          <w:szCs w:val="24"/>
        </w:rPr>
        <w:t>The 2</w:t>
      </w:r>
      <w:r w:rsidRPr="00143120">
        <w:rPr>
          <w:rFonts w:ascii="Times New Roman" w:hAnsi="Times New Roman"/>
          <w:sz w:val="24"/>
          <w:szCs w:val="24"/>
          <w:vertAlign w:val="superscript"/>
        </w:rPr>
        <w:t>nd</w:t>
      </w:r>
      <w:r>
        <w:rPr>
          <w:rFonts w:ascii="Times New Roman" w:hAnsi="Times New Roman"/>
          <w:sz w:val="24"/>
          <w:szCs w:val="24"/>
        </w:rPr>
        <w:t xml:space="preserve"> Circuit held: “</w:t>
      </w:r>
      <w:r w:rsidRPr="00AE2F30">
        <w:rPr>
          <w:rFonts w:ascii="Times New Roman" w:hAnsi="Times New Roman"/>
          <w:sz w:val="24"/>
          <w:szCs w:val="24"/>
        </w:rPr>
        <w:t xml:space="preserve">As a matter of first impression in this Circuit, we hold that California’s anti-SLAPP statute is inapplicable in federal court because it increases a plaintiff’s burden to overcome pretrial dismissal, and thus conflicts with Federal Rules of Civil Procedure 12 and 56.” </w:t>
      </w:r>
    </w:p>
    <w:p w14:paraId="30B157A6" w14:textId="77777777" w:rsidR="006B2083" w:rsidRDefault="006B2083" w:rsidP="006B2083">
      <w:pPr>
        <w:pStyle w:val="NoSpacing"/>
        <w:ind w:left="720"/>
        <w:rPr>
          <w:rFonts w:ascii="Times New Roman" w:hAnsi="Times New Roman"/>
          <w:sz w:val="24"/>
          <w:szCs w:val="24"/>
        </w:rPr>
      </w:pPr>
    </w:p>
    <w:p w14:paraId="796F37FA" w14:textId="1E7C3EF8" w:rsidR="006B2083" w:rsidRDefault="006B2083" w:rsidP="006B2083">
      <w:pPr>
        <w:rPr>
          <w:rFonts w:ascii="Arial Black" w:hAnsi="Arial Black"/>
          <w:b/>
          <w:sz w:val="24"/>
          <w:szCs w:val="24"/>
        </w:rPr>
      </w:pPr>
      <w:r>
        <w:rPr>
          <w:rFonts w:ascii="Times New Roman" w:hAnsi="Times New Roman"/>
          <w:sz w:val="24"/>
          <w:szCs w:val="24"/>
        </w:rPr>
        <w:t xml:space="preserve">Courts have held that </w:t>
      </w:r>
      <w:r w:rsidRPr="00143120">
        <w:rPr>
          <w:rFonts w:ascii="Times New Roman" w:hAnsi="Times New Roman"/>
          <w:sz w:val="24"/>
          <w:szCs w:val="24"/>
        </w:rPr>
        <w:t xml:space="preserve">Fire Chiefs </w:t>
      </w:r>
      <w:r>
        <w:rPr>
          <w:rFonts w:ascii="Times New Roman" w:hAnsi="Times New Roman"/>
          <w:sz w:val="24"/>
          <w:szCs w:val="24"/>
        </w:rPr>
        <w:t xml:space="preserve">are </w:t>
      </w:r>
      <w:r w:rsidRPr="00143120">
        <w:rPr>
          <w:rFonts w:ascii="Times New Roman" w:hAnsi="Times New Roman"/>
          <w:sz w:val="24"/>
          <w:szCs w:val="24"/>
        </w:rPr>
        <w:t xml:space="preserve">“public officials” and </w:t>
      </w:r>
      <w:r>
        <w:rPr>
          <w:rFonts w:ascii="Times New Roman" w:hAnsi="Times New Roman"/>
          <w:sz w:val="24"/>
          <w:szCs w:val="24"/>
        </w:rPr>
        <w:t xml:space="preserve">must prove actual malice in defamation lawsuits.  </w:t>
      </w:r>
      <w:hyperlink r:id="rId303" w:history="1">
        <w:r w:rsidRPr="00143120">
          <w:rPr>
            <w:rStyle w:val="Hyperlink"/>
            <w:rFonts w:ascii="Times New Roman" w:hAnsi="Times New Roman"/>
            <w:sz w:val="24"/>
            <w:szCs w:val="24"/>
          </w:rPr>
          <w:t>http://www.firelawblog.com/wp-content/uploads/sites/19/2011/02/becker_final_ruling1.pdf</w:t>
        </w:r>
      </w:hyperlink>
    </w:p>
    <w:p w14:paraId="407ED2CB" w14:textId="77777777" w:rsidR="00A672EE" w:rsidRDefault="00A672EE" w:rsidP="002B1283">
      <w:pPr>
        <w:rPr>
          <w:rFonts w:ascii="Arial Black" w:hAnsi="Arial Black"/>
          <w:b/>
          <w:sz w:val="24"/>
          <w:szCs w:val="24"/>
        </w:rPr>
      </w:pPr>
    </w:p>
    <w:p w14:paraId="08E6CB3F" w14:textId="589AAA29" w:rsidR="00A672EE" w:rsidRDefault="00A672EE" w:rsidP="002B1283">
      <w:pPr>
        <w:rPr>
          <w:rFonts w:ascii="Arial Black" w:hAnsi="Arial Black"/>
          <w:b/>
          <w:sz w:val="24"/>
          <w:szCs w:val="24"/>
        </w:rPr>
      </w:pPr>
      <w:r>
        <w:rPr>
          <w:rFonts w:ascii="Arial Black" w:hAnsi="Arial Black"/>
          <w:b/>
          <w:sz w:val="24"/>
          <w:szCs w:val="24"/>
        </w:rPr>
        <w:t>1-60</w:t>
      </w:r>
    </w:p>
    <w:p w14:paraId="2466E906" w14:textId="77777777" w:rsidR="00A672EE" w:rsidRPr="007F777C" w:rsidRDefault="00A672EE" w:rsidP="00A672EE">
      <w:pPr>
        <w:pStyle w:val="NoSpacing"/>
        <w:rPr>
          <w:rFonts w:ascii="Arial Black" w:hAnsi="Arial Black"/>
          <w:sz w:val="28"/>
          <w:szCs w:val="28"/>
        </w:rPr>
      </w:pPr>
      <w:bookmarkStart w:id="18" w:name="_Hlk69187086"/>
      <w:r w:rsidRPr="007F777C">
        <w:rPr>
          <w:rFonts w:ascii="Arial Black" w:hAnsi="Arial Black"/>
          <w:sz w:val="28"/>
          <w:szCs w:val="28"/>
        </w:rPr>
        <w:t>PA</w:t>
      </w:r>
      <w:r>
        <w:rPr>
          <w:rFonts w:ascii="Arial Black" w:hAnsi="Arial Black"/>
          <w:sz w:val="28"/>
          <w:szCs w:val="28"/>
        </w:rPr>
        <w:t>:  CHILD DIED NEIGHBOR’S SWIMMING POOL – INWARD GATES – CODE OFFICIAL WAS NOT EMPLOYEE – STILL HAS GOV’T IMMUNITY</w:t>
      </w:r>
    </w:p>
    <w:bookmarkEnd w:id="18"/>
    <w:p w14:paraId="1B0656DC" w14:textId="77777777" w:rsidR="00A672EE" w:rsidRDefault="00A672EE" w:rsidP="00A672EE">
      <w:pPr>
        <w:pStyle w:val="NoSpacing"/>
        <w:rPr>
          <w:rFonts w:ascii="Times New Roman" w:hAnsi="Times New Roman"/>
          <w:sz w:val="24"/>
          <w:szCs w:val="24"/>
        </w:rPr>
      </w:pPr>
    </w:p>
    <w:p w14:paraId="5D3EFAEE" w14:textId="77777777" w:rsidR="00A672EE" w:rsidRPr="0039329F" w:rsidRDefault="00A672EE" w:rsidP="00A672EE">
      <w:pPr>
        <w:pStyle w:val="NoSpacing"/>
        <w:rPr>
          <w:rFonts w:ascii="Times New Roman" w:hAnsi="Times New Roman"/>
          <w:sz w:val="24"/>
          <w:szCs w:val="24"/>
        </w:rPr>
      </w:pPr>
      <w:r>
        <w:rPr>
          <w:rFonts w:ascii="Times New Roman" w:hAnsi="Times New Roman"/>
          <w:sz w:val="24"/>
          <w:szCs w:val="24"/>
        </w:rPr>
        <w:t xml:space="preserve">On July 9, 2020, in </w:t>
      </w:r>
      <w:r w:rsidRPr="007F777C">
        <w:rPr>
          <w:rFonts w:ascii="Times New Roman" w:hAnsi="Times New Roman"/>
          <w:sz w:val="24"/>
          <w:szCs w:val="24"/>
          <w:u w:val="single"/>
        </w:rPr>
        <w:t>Anna Oakes</w:t>
      </w:r>
      <w:r>
        <w:rPr>
          <w:rFonts w:ascii="Times New Roman" w:hAnsi="Times New Roman"/>
          <w:sz w:val="24"/>
          <w:szCs w:val="24"/>
          <w:u w:val="single"/>
        </w:rPr>
        <w:t xml:space="preserve">, Administratrix of Estate of </w:t>
      </w:r>
      <w:proofErr w:type="spellStart"/>
      <w:r>
        <w:rPr>
          <w:rFonts w:ascii="Times New Roman" w:hAnsi="Times New Roman"/>
          <w:sz w:val="24"/>
          <w:szCs w:val="24"/>
          <w:u w:val="single"/>
        </w:rPr>
        <w:t>Pheylan</w:t>
      </w:r>
      <w:proofErr w:type="spellEnd"/>
      <w:r>
        <w:rPr>
          <w:rFonts w:ascii="Times New Roman" w:hAnsi="Times New Roman"/>
          <w:sz w:val="24"/>
          <w:szCs w:val="24"/>
          <w:u w:val="single"/>
        </w:rPr>
        <w:t xml:space="preserve"> Marine Cline </w:t>
      </w:r>
      <w:r w:rsidRPr="007F777C">
        <w:rPr>
          <w:rFonts w:ascii="Times New Roman" w:hAnsi="Times New Roman"/>
          <w:sz w:val="24"/>
          <w:szCs w:val="24"/>
          <w:u w:val="single"/>
        </w:rPr>
        <w:t xml:space="preserve"> v. Jeff Richardson and Richardson Inspection Services, LLC</w:t>
      </w:r>
      <w:r>
        <w:rPr>
          <w:rFonts w:ascii="Times New Roman" w:hAnsi="Times New Roman"/>
          <w:sz w:val="24"/>
          <w:szCs w:val="24"/>
        </w:rPr>
        <w:t>, the Commonwealth Court of Pennsylvania, held (3 to 0</w:t>
      </w:r>
      <w:proofErr w:type="gramStart"/>
      <w:r>
        <w:rPr>
          <w:rFonts w:ascii="Times New Roman" w:hAnsi="Times New Roman"/>
          <w:sz w:val="24"/>
          <w:szCs w:val="24"/>
        </w:rPr>
        <w:t>) in</w:t>
      </w:r>
      <w:proofErr w:type="gramEnd"/>
      <w:r>
        <w:rPr>
          <w:rFonts w:ascii="Times New Roman" w:hAnsi="Times New Roman"/>
          <w:sz w:val="24"/>
          <w:szCs w:val="24"/>
        </w:rPr>
        <w:t xml:space="preserve"> an unreported decision that the trial court properly granted summary judgment to the defendants, since Jeff Richardson enjoyed governmental immunity. The Court wrote: </w:t>
      </w:r>
      <w:r w:rsidRPr="0039329F">
        <w:rPr>
          <w:rFonts w:ascii="Times New Roman" w:hAnsi="Times New Roman"/>
          <w:sz w:val="24"/>
          <w:szCs w:val="24"/>
        </w:rPr>
        <w:t xml:space="preserve">For these reasons, we conclude that the trial court correctly determined that Richardson acted on behalf of the Township as an </w:t>
      </w:r>
      <w:r>
        <w:rPr>
          <w:rFonts w:ascii="Times New Roman" w:hAnsi="Times New Roman"/>
          <w:sz w:val="24"/>
          <w:szCs w:val="24"/>
        </w:rPr>
        <w:t>‘</w:t>
      </w:r>
      <w:r w:rsidRPr="0039329F">
        <w:rPr>
          <w:rFonts w:ascii="Times New Roman" w:hAnsi="Times New Roman"/>
          <w:sz w:val="24"/>
          <w:szCs w:val="24"/>
        </w:rPr>
        <w:t>employee</w:t>
      </w:r>
      <w:r>
        <w:rPr>
          <w:rFonts w:ascii="Times New Roman" w:hAnsi="Times New Roman"/>
          <w:sz w:val="24"/>
          <w:szCs w:val="24"/>
        </w:rPr>
        <w:t xml:space="preserve">’ </w:t>
      </w:r>
      <w:r w:rsidRPr="0039329F">
        <w:rPr>
          <w:rFonts w:ascii="Times New Roman" w:hAnsi="Times New Roman"/>
          <w:sz w:val="24"/>
          <w:szCs w:val="24"/>
        </w:rPr>
        <w:t>and</w:t>
      </w:r>
      <w:r>
        <w:rPr>
          <w:rFonts w:ascii="Times New Roman" w:hAnsi="Times New Roman"/>
          <w:sz w:val="24"/>
          <w:szCs w:val="24"/>
        </w:rPr>
        <w:t xml:space="preserve"> </w:t>
      </w:r>
      <w:r w:rsidRPr="0039329F">
        <w:rPr>
          <w:rFonts w:ascii="Times New Roman" w:hAnsi="Times New Roman"/>
          <w:sz w:val="24"/>
          <w:szCs w:val="24"/>
        </w:rPr>
        <w:t>as such</w:t>
      </w:r>
      <w:r>
        <w:rPr>
          <w:rFonts w:ascii="Times New Roman" w:hAnsi="Times New Roman"/>
          <w:sz w:val="24"/>
          <w:szCs w:val="24"/>
        </w:rPr>
        <w:t xml:space="preserve"> </w:t>
      </w:r>
      <w:r w:rsidRPr="0039329F">
        <w:rPr>
          <w:rFonts w:ascii="Times New Roman" w:hAnsi="Times New Roman"/>
          <w:sz w:val="24"/>
          <w:szCs w:val="24"/>
        </w:rPr>
        <w:t xml:space="preserve">is entitled to governmental immunity under the Tort Claims </w:t>
      </w:r>
      <w:proofErr w:type="gramStart"/>
      <w:r w:rsidRPr="0039329F">
        <w:rPr>
          <w:rFonts w:ascii="Times New Roman" w:hAnsi="Times New Roman"/>
          <w:sz w:val="24"/>
          <w:szCs w:val="24"/>
        </w:rPr>
        <w:t>Act.</w:t>
      </w:r>
      <w:r>
        <w:rPr>
          <w:rFonts w:ascii="Times New Roman" w:hAnsi="Times New Roman"/>
          <w:sz w:val="24"/>
          <w:szCs w:val="24"/>
        </w:rPr>
        <w:t>”</w:t>
      </w:r>
      <w:proofErr w:type="gramEnd"/>
      <w:r>
        <w:rPr>
          <w:rFonts w:ascii="Times New Roman" w:hAnsi="Times New Roman"/>
          <w:sz w:val="24"/>
          <w:szCs w:val="24"/>
        </w:rPr>
        <w:t xml:space="preserve"> </w:t>
      </w:r>
    </w:p>
    <w:bookmarkStart w:id="19" w:name="_Hlk69187129"/>
    <w:p w14:paraId="542D6177" w14:textId="77777777" w:rsidR="00A672EE" w:rsidRDefault="000F483A" w:rsidP="00A672EE">
      <w:pPr>
        <w:pStyle w:val="NoSpacing"/>
        <w:rPr>
          <w:rFonts w:ascii="Times New Roman" w:hAnsi="Times New Roman"/>
          <w:sz w:val="24"/>
          <w:szCs w:val="24"/>
        </w:rPr>
      </w:pPr>
      <w:r>
        <w:fldChar w:fldCharType="begin"/>
      </w:r>
      <w:r>
        <w:instrText xml:space="preserve"> HYPERLINK "http://www.pacourts.us/assets/opinions/Commonwealth/out/1368CD19_7-9-20.pdf?cb=1" </w:instrText>
      </w:r>
      <w:r>
        <w:fldChar w:fldCharType="separate"/>
      </w:r>
      <w:r w:rsidR="00A672EE" w:rsidRPr="000603D4">
        <w:rPr>
          <w:rStyle w:val="Hyperlink"/>
          <w:rFonts w:ascii="Times New Roman" w:hAnsi="Times New Roman"/>
          <w:sz w:val="24"/>
          <w:szCs w:val="24"/>
        </w:rPr>
        <w:t>http://www.pacourts.us/assets/opinions/Commonwealth/out/1368CD19_7-9-20.pdf?cb=1</w:t>
      </w:r>
      <w:r>
        <w:rPr>
          <w:rStyle w:val="Hyperlink"/>
          <w:rFonts w:ascii="Times New Roman" w:hAnsi="Times New Roman"/>
          <w:sz w:val="24"/>
          <w:szCs w:val="24"/>
        </w:rPr>
        <w:fldChar w:fldCharType="end"/>
      </w:r>
    </w:p>
    <w:bookmarkEnd w:id="19"/>
    <w:p w14:paraId="1CDADCEA" w14:textId="77777777" w:rsidR="006B2083" w:rsidRDefault="006B2083" w:rsidP="006B2083">
      <w:pPr>
        <w:pStyle w:val="NoSpacing"/>
        <w:rPr>
          <w:rFonts w:ascii="Times New Roman" w:hAnsi="Times New Roman"/>
          <w:b/>
          <w:bCs/>
          <w:sz w:val="24"/>
          <w:szCs w:val="24"/>
        </w:rPr>
      </w:pPr>
    </w:p>
    <w:p w14:paraId="72E697F3" w14:textId="6B89B468" w:rsidR="006B2083" w:rsidRPr="008C3F94" w:rsidRDefault="006B2083" w:rsidP="006B2083">
      <w:pPr>
        <w:pStyle w:val="NoSpacing"/>
        <w:rPr>
          <w:rFonts w:ascii="Times New Roman" w:hAnsi="Times New Roman"/>
          <w:b/>
          <w:bCs/>
          <w:sz w:val="24"/>
          <w:szCs w:val="24"/>
        </w:rPr>
      </w:pPr>
      <w:r w:rsidRPr="008C3F94">
        <w:rPr>
          <w:rFonts w:ascii="Times New Roman" w:hAnsi="Times New Roman"/>
          <w:b/>
          <w:bCs/>
          <w:sz w:val="24"/>
          <w:szCs w:val="24"/>
        </w:rPr>
        <w:t>Legal Lessons Learned:</w:t>
      </w:r>
      <w:r>
        <w:rPr>
          <w:rFonts w:ascii="Times New Roman" w:hAnsi="Times New Roman"/>
          <w:b/>
          <w:bCs/>
          <w:sz w:val="24"/>
          <w:szCs w:val="24"/>
        </w:rPr>
        <w:t xml:space="preserve"> Tragic death of </w:t>
      </w:r>
      <w:proofErr w:type="gramStart"/>
      <w:r>
        <w:rPr>
          <w:rFonts w:ascii="Times New Roman" w:hAnsi="Times New Roman"/>
          <w:b/>
          <w:bCs/>
          <w:sz w:val="24"/>
          <w:szCs w:val="24"/>
        </w:rPr>
        <w:t>20-month old</w:t>
      </w:r>
      <w:proofErr w:type="gramEnd"/>
      <w:r>
        <w:rPr>
          <w:rFonts w:ascii="Times New Roman" w:hAnsi="Times New Roman"/>
          <w:b/>
          <w:bCs/>
          <w:sz w:val="24"/>
          <w:szCs w:val="24"/>
        </w:rPr>
        <w:t>; what is the Code requirement in your community for gates protecting an above-ground swimming pool?</w:t>
      </w:r>
    </w:p>
    <w:p w14:paraId="4A7FD04D" w14:textId="77777777" w:rsidR="00A672EE" w:rsidRDefault="00A672EE" w:rsidP="002B1283">
      <w:pPr>
        <w:rPr>
          <w:rFonts w:ascii="Arial Black" w:hAnsi="Arial Black"/>
          <w:b/>
          <w:sz w:val="24"/>
          <w:szCs w:val="24"/>
        </w:rPr>
      </w:pPr>
    </w:p>
    <w:p w14:paraId="10E5C038" w14:textId="316E5E0B" w:rsidR="00A672EE" w:rsidRDefault="00A672EE" w:rsidP="002B1283">
      <w:pPr>
        <w:rPr>
          <w:rFonts w:ascii="Arial Black" w:hAnsi="Arial Black"/>
          <w:b/>
          <w:sz w:val="24"/>
          <w:szCs w:val="24"/>
        </w:rPr>
      </w:pPr>
      <w:r>
        <w:rPr>
          <w:rFonts w:ascii="Arial Black" w:hAnsi="Arial Black"/>
          <w:b/>
          <w:sz w:val="24"/>
          <w:szCs w:val="24"/>
        </w:rPr>
        <w:t>1-59</w:t>
      </w:r>
    </w:p>
    <w:p w14:paraId="0327F69E" w14:textId="77777777" w:rsidR="00A672EE" w:rsidRPr="007F708E" w:rsidRDefault="00A672EE" w:rsidP="00A672EE">
      <w:pPr>
        <w:pStyle w:val="NoSpacing"/>
        <w:rPr>
          <w:rFonts w:ascii="Arial Black" w:hAnsi="Arial Black"/>
          <w:sz w:val="28"/>
          <w:szCs w:val="28"/>
        </w:rPr>
      </w:pPr>
      <w:r w:rsidRPr="007F708E">
        <w:rPr>
          <w:rFonts w:ascii="Arial Black" w:hAnsi="Arial Black"/>
          <w:sz w:val="28"/>
          <w:szCs w:val="28"/>
        </w:rPr>
        <w:t>A</w:t>
      </w:r>
      <w:r>
        <w:rPr>
          <w:rFonts w:ascii="Arial Black" w:hAnsi="Arial Black"/>
          <w:sz w:val="28"/>
          <w:szCs w:val="28"/>
        </w:rPr>
        <w:t xml:space="preserve">R: ARSON OF APARTMENTS – FINANCIAL FRAUD INVEST –DEFENDANTS CAN’T DEPOSE TUCSON FD INSPECTOR </w:t>
      </w:r>
    </w:p>
    <w:p w14:paraId="2F2CB7D5" w14:textId="77777777" w:rsidR="00A672EE" w:rsidRDefault="00A672EE" w:rsidP="00A672EE">
      <w:pPr>
        <w:pStyle w:val="NoSpacing"/>
      </w:pPr>
    </w:p>
    <w:p w14:paraId="61953534" w14:textId="77777777" w:rsidR="00A672EE" w:rsidRDefault="00A672EE" w:rsidP="00A672EE">
      <w:pPr>
        <w:pStyle w:val="NoSpacing"/>
        <w:rPr>
          <w:rFonts w:ascii="Times New Roman" w:eastAsia="Times New Roman" w:hAnsi="Times New Roman"/>
          <w:sz w:val="24"/>
          <w:szCs w:val="24"/>
        </w:rPr>
      </w:pPr>
      <w:r w:rsidRPr="003747BE">
        <w:rPr>
          <w:rFonts w:ascii="Times New Roman" w:hAnsi="Times New Roman"/>
          <w:sz w:val="24"/>
          <w:szCs w:val="24"/>
        </w:rPr>
        <w:t xml:space="preserve">On </w:t>
      </w:r>
      <w:r>
        <w:rPr>
          <w:rFonts w:ascii="Times New Roman" w:hAnsi="Times New Roman"/>
          <w:sz w:val="24"/>
          <w:szCs w:val="24"/>
        </w:rPr>
        <w:t xml:space="preserve">June 30, 2020, in </w:t>
      </w:r>
      <w:r w:rsidRPr="003747BE">
        <w:rPr>
          <w:rFonts w:ascii="Times New Roman" w:hAnsi="Times New Roman"/>
          <w:sz w:val="24"/>
          <w:szCs w:val="24"/>
          <w:u w:val="single"/>
        </w:rPr>
        <w:t>Greg Moore &amp; Patricia Moore v. Sean Garland, et al</w:t>
      </w:r>
      <w:r>
        <w:rPr>
          <w:rFonts w:ascii="Times New Roman" w:hAnsi="Times New Roman"/>
          <w:sz w:val="24"/>
          <w:szCs w:val="24"/>
        </w:rPr>
        <w:t>., U.S. District Court Judge Rosemary Marquez, District of Arizona, upheld the decision of the U.S. Magistrate Judge that two defendants arrested and awaiting trial, cannot use a civil lawsuit under 42 USC 1983 to take the deposition of the Tucson FD arson investigator, even after they received his report, since there is an ongoing financial fraud investigation.  Likewise, they cannot subpoena police department records that had been provided to insurance company investigators, or PD documents shared with IRS investigators  The District Court Judge agreed with the U.S. Magistrate, and held: “</w:t>
      </w:r>
      <w:r w:rsidRPr="00E9284B">
        <w:rPr>
          <w:rFonts w:ascii="Times New Roman" w:eastAsia="Times New Roman" w:hAnsi="Times New Roman"/>
          <w:sz w:val="24"/>
          <w:szCs w:val="24"/>
        </w:rPr>
        <w:t xml:space="preserve">The </w:t>
      </w:r>
    </w:p>
    <w:p w14:paraId="34270008" w14:textId="77777777" w:rsidR="00A672EE" w:rsidRPr="00E9284B" w:rsidRDefault="00A672EE" w:rsidP="00A672EE">
      <w:pPr>
        <w:pStyle w:val="NoSpacing"/>
        <w:rPr>
          <w:rFonts w:ascii="Times New Roman" w:eastAsia="Times New Roman" w:hAnsi="Times New Roman"/>
          <w:sz w:val="24"/>
          <w:szCs w:val="24"/>
        </w:rPr>
      </w:pPr>
      <w:r>
        <w:rPr>
          <w:rFonts w:ascii="Times New Roman" w:eastAsia="Times New Roman" w:hAnsi="Times New Roman"/>
          <w:sz w:val="24"/>
          <w:szCs w:val="24"/>
        </w:rPr>
        <w:t xml:space="preserve">[Magistrate’s] </w:t>
      </w:r>
      <w:r w:rsidRPr="00E9284B">
        <w:rPr>
          <w:rFonts w:ascii="Times New Roman" w:eastAsia="Times New Roman" w:hAnsi="Times New Roman"/>
          <w:sz w:val="24"/>
          <w:szCs w:val="24"/>
        </w:rPr>
        <w:t xml:space="preserve">Order notes that the City previously disclosed to Plaintiffs TFD Inspector Loya's fifteen-page report on the </w:t>
      </w:r>
      <w:proofErr w:type="spellStart"/>
      <w:r w:rsidRPr="00E9284B">
        <w:rPr>
          <w:rFonts w:ascii="Times New Roman" w:eastAsia="Times New Roman" w:hAnsi="Times New Roman"/>
          <w:sz w:val="24"/>
          <w:szCs w:val="24"/>
        </w:rPr>
        <w:t>Forgeus</w:t>
      </w:r>
      <w:proofErr w:type="spellEnd"/>
      <w:r w:rsidRPr="00E9284B">
        <w:rPr>
          <w:rFonts w:ascii="Times New Roman" w:eastAsia="Times New Roman" w:hAnsi="Times New Roman"/>
          <w:sz w:val="24"/>
          <w:szCs w:val="24"/>
        </w:rPr>
        <w:t xml:space="preserve"> fire </w:t>
      </w:r>
      <w:r>
        <w:rPr>
          <w:rFonts w:ascii="Times New Roman" w:eastAsia="Times New Roman" w:hAnsi="Times New Roman"/>
          <w:sz w:val="24"/>
          <w:szCs w:val="24"/>
        </w:rPr>
        <w:t xml:space="preserve">… </w:t>
      </w:r>
      <w:r w:rsidRPr="00E9284B">
        <w:rPr>
          <w:rFonts w:ascii="Times New Roman" w:eastAsia="Times New Roman" w:hAnsi="Times New Roman"/>
          <w:sz w:val="24"/>
          <w:szCs w:val="24"/>
        </w:rPr>
        <w:t xml:space="preserve">and holds, contrary to Plaintiffs' arguments, that </w:t>
      </w:r>
      <w:r>
        <w:rPr>
          <w:rFonts w:ascii="Times New Roman" w:eastAsia="Times New Roman" w:hAnsi="Times New Roman"/>
          <w:sz w:val="24"/>
          <w:szCs w:val="24"/>
        </w:rPr>
        <w:t>‘</w:t>
      </w:r>
      <w:r w:rsidRPr="00E9284B">
        <w:rPr>
          <w:rFonts w:ascii="Times New Roman" w:eastAsia="Times New Roman" w:hAnsi="Times New Roman"/>
          <w:sz w:val="24"/>
          <w:szCs w:val="24"/>
        </w:rPr>
        <w:t>in the context of the law enforcement privilege, the 'release of a document only waives the privilege for the document or information specifically released, and not for related materials.</w:t>
      </w:r>
      <w:r>
        <w:rPr>
          <w:rFonts w:ascii="Times New Roman" w:eastAsia="Times New Roman" w:hAnsi="Times New Roman"/>
          <w:sz w:val="24"/>
          <w:szCs w:val="24"/>
        </w:rPr>
        <w:t>’”</w:t>
      </w:r>
      <w:r w:rsidRPr="00E9284B">
        <w:t xml:space="preserve"> </w:t>
      </w:r>
      <w:hyperlink r:id="rId304" w:history="1">
        <w:r w:rsidRPr="00DE6B93">
          <w:rPr>
            <w:rStyle w:val="Hyperlink"/>
            <w:rFonts w:ascii="Times New Roman" w:hAnsi="Times New Roman"/>
            <w:sz w:val="24"/>
            <w:szCs w:val="24"/>
          </w:rPr>
          <w:t>https://public.fastcase.com/Wl%2B2t%2BeVuI35%2FN70vAMFZsoxzsfdSpYQWUHzr4LGn9%2B%2B5efEeYPRxdC77jaiEbzw</w:t>
        </w:r>
      </w:hyperlink>
      <w:r>
        <w:rPr>
          <w:rFonts w:ascii="Times New Roman" w:eastAsia="Times New Roman" w:hAnsi="Times New Roman"/>
          <w:sz w:val="24"/>
          <w:szCs w:val="24"/>
        </w:rPr>
        <w:t xml:space="preserve"> </w:t>
      </w:r>
    </w:p>
    <w:p w14:paraId="4377A2B9" w14:textId="77777777" w:rsidR="006B2083" w:rsidRDefault="006B2083" w:rsidP="006B2083">
      <w:pPr>
        <w:pStyle w:val="NoSpacing"/>
        <w:rPr>
          <w:rFonts w:ascii="Times New Roman" w:hAnsi="Times New Roman"/>
          <w:b/>
          <w:bCs/>
          <w:sz w:val="24"/>
          <w:szCs w:val="24"/>
        </w:rPr>
      </w:pPr>
    </w:p>
    <w:p w14:paraId="74A04206" w14:textId="1498C2D8" w:rsidR="006B2083" w:rsidRDefault="006B2083" w:rsidP="006B2083">
      <w:pPr>
        <w:pStyle w:val="NoSpacing"/>
        <w:rPr>
          <w:rFonts w:ascii="Arial Black" w:eastAsia="Times New Roman" w:hAnsi="Arial Black"/>
          <w:sz w:val="28"/>
          <w:szCs w:val="28"/>
        </w:rPr>
      </w:pPr>
      <w:r w:rsidRPr="0043496E">
        <w:rPr>
          <w:rFonts w:ascii="Times New Roman" w:hAnsi="Times New Roman"/>
          <w:b/>
          <w:bCs/>
          <w:sz w:val="24"/>
          <w:szCs w:val="24"/>
        </w:rPr>
        <w:t>Legal Lesson Learned:</w:t>
      </w:r>
      <w:r>
        <w:rPr>
          <w:rFonts w:ascii="Times New Roman" w:hAnsi="Times New Roman"/>
          <w:b/>
          <w:bCs/>
          <w:sz w:val="24"/>
          <w:szCs w:val="24"/>
        </w:rPr>
        <w:t xml:space="preserve"> The “law enforcement investigatory privilege” prevents defendants awaiting trial to use a civil lawsuit to obtain ongoing investigation records.</w:t>
      </w:r>
    </w:p>
    <w:p w14:paraId="38E18840" w14:textId="77777777" w:rsidR="00A672EE" w:rsidRDefault="00A672EE" w:rsidP="002B1283">
      <w:pPr>
        <w:rPr>
          <w:rFonts w:ascii="Arial Black" w:hAnsi="Arial Black"/>
          <w:b/>
          <w:sz w:val="24"/>
          <w:szCs w:val="24"/>
        </w:rPr>
      </w:pPr>
    </w:p>
    <w:p w14:paraId="4232BBF3" w14:textId="590BE874" w:rsidR="0020758F" w:rsidRDefault="0020758F" w:rsidP="002B1283">
      <w:pPr>
        <w:rPr>
          <w:rFonts w:ascii="Arial Black" w:hAnsi="Arial Black"/>
          <w:b/>
          <w:sz w:val="24"/>
          <w:szCs w:val="24"/>
        </w:rPr>
      </w:pPr>
      <w:r>
        <w:rPr>
          <w:rFonts w:ascii="Arial Black" w:hAnsi="Arial Black"/>
          <w:b/>
          <w:sz w:val="24"/>
          <w:szCs w:val="24"/>
        </w:rPr>
        <w:t>1-58</w:t>
      </w:r>
    </w:p>
    <w:p w14:paraId="6187A136" w14:textId="77777777" w:rsidR="0020758F" w:rsidRDefault="0020758F" w:rsidP="0020758F">
      <w:pPr>
        <w:pStyle w:val="Heading1"/>
        <w:rPr>
          <w:rFonts w:ascii="Arial Black" w:hAnsi="Arial Black"/>
          <w:sz w:val="28"/>
          <w:szCs w:val="28"/>
        </w:rPr>
      </w:pPr>
      <w:r w:rsidRPr="00423A7B">
        <w:rPr>
          <w:rFonts w:ascii="Arial Black" w:hAnsi="Arial Black"/>
          <w:sz w:val="28"/>
          <w:szCs w:val="28"/>
        </w:rPr>
        <w:t xml:space="preserve">NY: </w:t>
      </w:r>
      <w:r>
        <w:rPr>
          <w:rFonts w:ascii="Arial Black" w:hAnsi="Arial Black"/>
          <w:sz w:val="28"/>
          <w:szCs w:val="28"/>
        </w:rPr>
        <w:t xml:space="preserve">QUALIFIED IMMUNITY – HOT TOPIC FOR CONGESS - NYPD USED TASER TWICE – $30,000 PUNITIVE DAMAGES </w:t>
      </w:r>
    </w:p>
    <w:p w14:paraId="2B4073C7" w14:textId="77777777" w:rsidR="0020758F" w:rsidRDefault="0020758F" w:rsidP="0020758F">
      <w:pPr>
        <w:pStyle w:val="Heading1"/>
        <w:rPr>
          <w:b w:val="0"/>
          <w:bCs w:val="0"/>
          <w:sz w:val="24"/>
          <w:szCs w:val="24"/>
        </w:rPr>
      </w:pPr>
      <w:r w:rsidRPr="0011766A">
        <w:rPr>
          <w:b w:val="0"/>
          <w:bCs w:val="0"/>
          <w:sz w:val="24"/>
          <w:szCs w:val="24"/>
        </w:rPr>
        <w:t xml:space="preserve">On June 26, 2020, in </w:t>
      </w:r>
      <w:r w:rsidRPr="0011766A">
        <w:rPr>
          <w:b w:val="0"/>
          <w:bCs w:val="0"/>
          <w:sz w:val="24"/>
          <w:szCs w:val="24"/>
          <w:u w:val="single"/>
        </w:rPr>
        <w:t>Matthew Jones v. Lieutenant Christopher Treubig</w:t>
      </w:r>
      <w:r>
        <w:rPr>
          <w:b w:val="0"/>
          <w:bCs w:val="0"/>
          <w:sz w:val="24"/>
          <w:szCs w:val="24"/>
        </w:rPr>
        <w:t xml:space="preserve">, the U.S. Court of Appeals for the Second Circuit [NYC], held 3 to 0, that the U. S. District Court improperly set aside the jury verdict since the Lieutenant’s conduct of using taser twice on a suspect held by other officers on the ground was a clear constitutional violation.  </w:t>
      </w:r>
      <w:r w:rsidRPr="008017E3">
        <w:rPr>
          <w:b w:val="0"/>
          <w:bCs w:val="0"/>
          <w:sz w:val="24"/>
          <w:szCs w:val="24"/>
        </w:rPr>
        <w:t>“In sum, upon a review of the relevant legal authority, we hold that it was clearly established as of April 2015 that a police officer cannot use significant force, such as a taser, against an individual who is no longer resisting or posing a threat to the officers or others.”</w:t>
      </w:r>
      <w:r>
        <w:rPr>
          <w:sz w:val="33"/>
          <w:szCs w:val="33"/>
        </w:rPr>
        <w:t xml:space="preserve"> </w:t>
      </w:r>
      <w:hyperlink r:id="rId305" w:anchor="xml=https://www.ca2.uscourts.gov/decisions/isysquery/93d429af-6bc3-4a16-b287-422f5179acac/1/hilite/" w:history="1">
        <w:r w:rsidRPr="00E3681F">
          <w:rPr>
            <w:rStyle w:val="Hyperlink"/>
            <w:sz w:val="24"/>
            <w:szCs w:val="24"/>
          </w:rPr>
          <w:t>https://www.ca2.uscourts.gov/decisions/isysquery/93d429af-6bc3-4a16-b287-422f5179acac/1/doc/18-3775_opn.pdf#xml=https://www.ca2.uscourts.gov/decisions/isysquery/93d429af-6bc3-4a16-b287-422f5179acac/1/hilite/</w:t>
        </w:r>
      </w:hyperlink>
      <w:r>
        <w:rPr>
          <w:b w:val="0"/>
          <w:bCs w:val="0"/>
          <w:sz w:val="24"/>
          <w:szCs w:val="24"/>
        </w:rPr>
        <w:t xml:space="preserve"> </w:t>
      </w:r>
    </w:p>
    <w:p w14:paraId="006CEC62" w14:textId="77777777" w:rsidR="0020758F" w:rsidRPr="008017E3" w:rsidRDefault="0020758F" w:rsidP="0020758F">
      <w:pPr>
        <w:pStyle w:val="NoSpacing"/>
        <w:rPr>
          <w:rFonts w:ascii="Times New Roman" w:hAnsi="Times New Roman"/>
          <w:b/>
          <w:bCs/>
          <w:sz w:val="24"/>
          <w:szCs w:val="24"/>
        </w:rPr>
      </w:pPr>
      <w:r w:rsidRPr="0039343F">
        <w:rPr>
          <w:rFonts w:ascii="Times New Roman" w:hAnsi="Times New Roman"/>
          <w:b/>
          <w:bCs/>
          <w:sz w:val="24"/>
          <w:szCs w:val="24"/>
        </w:rPr>
        <w:t>Legal Lessons Learned:</w:t>
      </w:r>
      <w:r w:rsidRPr="00601B27">
        <w:t xml:space="preserve"> </w:t>
      </w:r>
      <w:r>
        <w:t xml:space="preserve"> </w:t>
      </w:r>
      <w:r w:rsidRPr="0039343F">
        <w:rPr>
          <w:rFonts w:ascii="Times New Roman" w:hAnsi="Times New Roman"/>
          <w:b/>
          <w:bCs/>
          <w:sz w:val="24"/>
          <w:szCs w:val="24"/>
        </w:rPr>
        <w:t xml:space="preserve">The “qualified immunity” doctrine has protected not only police officers, but also fire &amp; EMS from personal liability, with many lawsuits being dismissed prior to trial.  </w:t>
      </w:r>
      <w:r>
        <w:rPr>
          <w:rFonts w:ascii="Times New Roman" w:hAnsi="Times New Roman"/>
          <w:b/>
          <w:bCs/>
          <w:sz w:val="24"/>
          <w:szCs w:val="24"/>
        </w:rPr>
        <w:t xml:space="preserve">In litigation in federal court, and in many states, if the trial judge denies the motion to dismiss, there normally can be an immediate appeal by the public employee and employer to the Court of Appeals [in this case a pre-trial motion was apparently not filed]. </w:t>
      </w:r>
    </w:p>
    <w:p w14:paraId="6DB52153" w14:textId="77777777" w:rsidR="0020758F" w:rsidRDefault="0020758F" w:rsidP="0020758F">
      <w:pPr>
        <w:pStyle w:val="NoSpacing"/>
        <w:rPr>
          <w:rFonts w:ascii="Times New Roman" w:hAnsi="Times New Roman"/>
          <w:b/>
          <w:bCs/>
          <w:sz w:val="24"/>
          <w:szCs w:val="24"/>
        </w:rPr>
      </w:pPr>
    </w:p>
    <w:p w14:paraId="11B612FA" w14:textId="7A68AA41" w:rsidR="0020758F" w:rsidRDefault="0020758F" w:rsidP="0020758F">
      <w:pPr>
        <w:rPr>
          <w:rStyle w:val="Hyperlink"/>
          <w:rFonts w:ascii="Times New Roman" w:hAnsi="Times New Roman"/>
          <w:sz w:val="24"/>
          <w:szCs w:val="24"/>
        </w:rPr>
      </w:pPr>
      <w:r w:rsidRPr="008017E3">
        <w:rPr>
          <w:rFonts w:ascii="Times New Roman" w:hAnsi="Times New Roman"/>
          <w:sz w:val="24"/>
          <w:szCs w:val="24"/>
        </w:rPr>
        <w:t xml:space="preserve">Note: Following the death of George Floyd in Minneapolis, Congress is current considering enacting several bills to either amend or virtually eliminate the qualified immunity doctrine.  See article, June 19, 2020, “Republican rift opens up </w:t>
      </w:r>
      <w:proofErr w:type="gramStart"/>
      <w:r w:rsidRPr="008017E3">
        <w:rPr>
          <w:rFonts w:ascii="Times New Roman" w:hAnsi="Times New Roman"/>
          <w:sz w:val="24"/>
          <w:szCs w:val="24"/>
        </w:rPr>
        <w:t>over qualified</w:t>
      </w:r>
      <w:proofErr w:type="gramEnd"/>
      <w:r w:rsidRPr="008017E3">
        <w:rPr>
          <w:rFonts w:ascii="Times New Roman" w:hAnsi="Times New Roman"/>
          <w:sz w:val="24"/>
          <w:szCs w:val="24"/>
        </w:rPr>
        <w:t xml:space="preserve"> immunity for police.” </w:t>
      </w:r>
      <w:hyperlink r:id="rId306" w:history="1">
        <w:r w:rsidRPr="00E3681F">
          <w:rPr>
            <w:rStyle w:val="Hyperlink"/>
            <w:rFonts w:ascii="Times New Roman" w:hAnsi="Times New Roman"/>
            <w:sz w:val="24"/>
            <w:szCs w:val="24"/>
          </w:rPr>
          <w:t>https://thehill.com/homenews/senate/503496-republican-rift-opens-up-over-qualified-immunity-for-police</w:t>
        </w:r>
      </w:hyperlink>
    </w:p>
    <w:p w14:paraId="1C588104" w14:textId="77777777" w:rsidR="0020758F" w:rsidRDefault="0020758F" w:rsidP="0020758F">
      <w:pPr>
        <w:rPr>
          <w:rFonts w:ascii="Arial Black" w:hAnsi="Arial Black"/>
          <w:b/>
          <w:sz w:val="24"/>
          <w:szCs w:val="24"/>
        </w:rPr>
      </w:pPr>
    </w:p>
    <w:p w14:paraId="6FD10F59" w14:textId="4583C317" w:rsidR="0020758F" w:rsidRDefault="0020758F" w:rsidP="002B1283">
      <w:pPr>
        <w:rPr>
          <w:rFonts w:ascii="Arial Black" w:hAnsi="Arial Black"/>
          <w:b/>
          <w:sz w:val="24"/>
          <w:szCs w:val="24"/>
        </w:rPr>
      </w:pPr>
      <w:r>
        <w:rPr>
          <w:rFonts w:ascii="Arial Black" w:hAnsi="Arial Black"/>
          <w:b/>
          <w:sz w:val="24"/>
          <w:szCs w:val="24"/>
        </w:rPr>
        <w:t>1-57</w:t>
      </w:r>
    </w:p>
    <w:p w14:paraId="1E5A20DB" w14:textId="77777777" w:rsidR="0020758F" w:rsidRDefault="0020758F" w:rsidP="0020758F">
      <w:pPr>
        <w:pStyle w:val="NoSpacing"/>
        <w:rPr>
          <w:rFonts w:ascii="Arial Black" w:hAnsi="Arial Black"/>
          <w:sz w:val="28"/>
          <w:szCs w:val="28"/>
        </w:rPr>
      </w:pPr>
      <w:r w:rsidRPr="00A4095D">
        <w:rPr>
          <w:rFonts w:ascii="Arial Black" w:hAnsi="Arial Black"/>
          <w:sz w:val="28"/>
          <w:szCs w:val="28"/>
        </w:rPr>
        <w:t xml:space="preserve">MI: </w:t>
      </w:r>
      <w:r>
        <w:rPr>
          <w:rFonts w:ascii="Arial Black" w:hAnsi="Arial Black"/>
          <w:sz w:val="28"/>
          <w:szCs w:val="28"/>
        </w:rPr>
        <w:t>QUALIFIED IMMUNITY – DENIED UNIV. OF MICH. FOOTBALL GAME - “DRUNK” FAN – PD EXCESSIVE FORCE</w:t>
      </w:r>
    </w:p>
    <w:p w14:paraId="02AB3A78" w14:textId="77777777" w:rsidR="0020758F" w:rsidRDefault="0020758F" w:rsidP="0020758F">
      <w:pPr>
        <w:pStyle w:val="NoSpacing"/>
        <w:rPr>
          <w:rFonts w:ascii="Arial Black" w:hAnsi="Arial Black"/>
          <w:sz w:val="28"/>
          <w:szCs w:val="28"/>
        </w:rPr>
      </w:pPr>
    </w:p>
    <w:p w14:paraId="7DEEB6F3" w14:textId="77777777" w:rsidR="0020758F" w:rsidRDefault="0020758F" w:rsidP="0020758F">
      <w:pPr>
        <w:pStyle w:val="NoSpacing"/>
        <w:rPr>
          <w:rFonts w:ascii="Times New Roman" w:hAnsi="Times New Roman"/>
          <w:sz w:val="24"/>
          <w:szCs w:val="24"/>
        </w:rPr>
      </w:pPr>
      <w:r w:rsidRPr="00055D56">
        <w:rPr>
          <w:rFonts w:ascii="Times New Roman" w:hAnsi="Times New Roman"/>
          <w:sz w:val="24"/>
          <w:szCs w:val="24"/>
        </w:rPr>
        <w:t>On</w:t>
      </w:r>
      <w:r>
        <w:rPr>
          <w:rFonts w:ascii="Times New Roman" w:hAnsi="Times New Roman"/>
          <w:sz w:val="24"/>
          <w:szCs w:val="24"/>
        </w:rPr>
        <w:t xml:space="preserve"> June 24, 2020, in </w:t>
      </w:r>
      <w:r w:rsidRPr="00055D56">
        <w:rPr>
          <w:rFonts w:ascii="Times New Roman" w:hAnsi="Times New Roman"/>
          <w:sz w:val="24"/>
          <w:szCs w:val="24"/>
          <w:u w:val="single"/>
        </w:rPr>
        <w:t>Bryan Richards v. County of Washtenaw, et al. &amp; Justin Berent</w:t>
      </w:r>
      <w:r>
        <w:rPr>
          <w:rFonts w:ascii="Times New Roman" w:hAnsi="Times New Roman"/>
          <w:sz w:val="24"/>
          <w:szCs w:val="24"/>
        </w:rPr>
        <w:t>, the U,S. Court of Appeals for the 6</w:t>
      </w:r>
      <w:r w:rsidRPr="00055D56">
        <w:rPr>
          <w:rFonts w:ascii="Times New Roman" w:hAnsi="Times New Roman"/>
          <w:sz w:val="24"/>
          <w:szCs w:val="24"/>
          <w:vertAlign w:val="superscript"/>
        </w:rPr>
        <w:t>th</w:t>
      </w:r>
      <w:r>
        <w:rPr>
          <w:rFonts w:ascii="Times New Roman" w:hAnsi="Times New Roman"/>
          <w:sz w:val="24"/>
          <w:szCs w:val="24"/>
        </w:rPr>
        <w:t xml:space="preserve"> Circuit (Cincinnati) held (3 to 0) that the arresting officers enjoy qualified immunity for their arresting the fan for assaulting the uniformed medic in football stadium’s medical office, but the lawsuit may proceed for excessive force.  The 6</w:t>
      </w:r>
      <w:r w:rsidRPr="00452277">
        <w:rPr>
          <w:rFonts w:ascii="Times New Roman" w:hAnsi="Times New Roman"/>
          <w:sz w:val="24"/>
          <w:szCs w:val="24"/>
          <w:vertAlign w:val="superscript"/>
        </w:rPr>
        <w:t>th</w:t>
      </w:r>
      <w:r>
        <w:rPr>
          <w:rFonts w:ascii="Times New Roman" w:hAnsi="Times New Roman"/>
          <w:sz w:val="24"/>
          <w:szCs w:val="24"/>
        </w:rPr>
        <w:t xml:space="preserve"> Circuit held: “</w:t>
      </w:r>
      <w:r w:rsidRPr="007D0BEC">
        <w:rPr>
          <w:rFonts w:ascii="Times New Roman" w:hAnsi="Times New Roman"/>
          <w:sz w:val="24"/>
          <w:szCs w:val="24"/>
        </w:rPr>
        <w:t>Richards</w:t>
      </w:r>
      <w:r>
        <w:rPr>
          <w:rFonts w:ascii="Times New Roman" w:hAnsi="Times New Roman"/>
          <w:sz w:val="24"/>
          <w:szCs w:val="24"/>
        </w:rPr>
        <w:t xml:space="preserve"> </w:t>
      </w:r>
      <w:r w:rsidRPr="007D0BEC">
        <w:rPr>
          <w:rFonts w:ascii="Times New Roman" w:hAnsi="Times New Roman"/>
          <w:sz w:val="24"/>
          <w:szCs w:val="24"/>
        </w:rPr>
        <w:t>says he was never told he was under arrest and there was not enough time</w:t>
      </w:r>
      <w:r>
        <w:rPr>
          <w:rFonts w:ascii="Times New Roman" w:hAnsi="Times New Roman"/>
          <w:sz w:val="24"/>
          <w:szCs w:val="24"/>
        </w:rPr>
        <w:t xml:space="preserve"> </w:t>
      </w:r>
      <w:r w:rsidRPr="007D0BEC">
        <w:rPr>
          <w:rFonts w:ascii="Times New Roman" w:hAnsi="Times New Roman"/>
          <w:sz w:val="24"/>
          <w:szCs w:val="24"/>
        </w:rPr>
        <w:t>for him</w:t>
      </w:r>
      <w:r>
        <w:rPr>
          <w:rFonts w:ascii="Times New Roman" w:hAnsi="Times New Roman"/>
          <w:sz w:val="24"/>
          <w:szCs w:val="24"/>
        </w:rPr>
        <w:t xml:space="preserve"> </w:t>
      </w:r>
      <w:r w:rsidRPr="007D0BEC">
        <w:rPr>
          <w:rFonts w:ascii="Times New Roman" w:hAnsi="Times New Roman"/>
          <w:sz w:val="24"/>
          <w:szCs w:val="24"/>
        </w:rPr>
        <w:t>to</w:t>
      </w:r>
      <w:r>
        <w:rPr>
          <w:rFonts w:ascii="Times New Roman" w:hAnsi="Times New Roman"/>
          <w:sz w:val="24"/>
          <w:szCs w:val="24"/>
        </w:rPr>
        <w:t xml:space="preserve"> </w:t>
      </w:r>
      <w:r w:rsidRPr="007D0BEC">
        <w:rPr>
          <w:rFonts w:ascii="Times New Roman" w:hAnsi="Times New Roman"/>
          <w:sz w:val="24"/>
          <w:szCs w:val="24"/>
        </w:rPr>
        <w:t>have</w:t>
      </w:r>
      <w:r>
        <w:rPr>
          <w:rFonts w:ascii="Times New Roman" w:hAnsi="Times New Roman"/>
          <w:sz w:val="24"/>
          <w:szCs w:val="24"/>
        </w:rPr>
        <w:t xml:space="preserve"> </w:t>
      </w:r>
      <w:r w:rsidRPr="007D0BEC">
        <w:rPr>
          <w:rFonts w:ascii="Times New Roman" w:hAnsi="Times New Roman"/>
          <w:sz w:val="24"/>
          <w:szCs w:val="24"/>
        </w:rPr>
        <w:t>resisted</w:t>
      </w:r>
      <w:r>
        <w:rPr>
          <w:rFonts w:ascii="Times New Roman" w:hAnsi="Times New Roman"/>
          <w:sz w:val="24"/>
          <w:szCs w:val="24"/>
        </w:rPr>
        <w:t xml:space="preserve"> </w:t>
      </w:r>
      <w:r w:rsidRPr="007D0BEC">
        <w:rPr>
          <w:rFonts w:ascii="Times New Roman" w:hAnsi="Times New Roman"/>
          <w:sz w:val="24"/>
          <w:szCs w:val="24"/>
        </w:rPr>
        <w:t>the officers</w:t>
      </w:r>
      <w:r>
        <w:rPr>
          <w:rFonts w:ascii="Times New Roman" w:hAnsi="Times New Roman"/>
          <w:sz w:val="24"/>
          <w:szCs w:val="24"/>
        </w:rPr>
        <w:t xml:space="preserve"> </w:t>
      </w:r>
      <w:r w:rsidRPr="007D0BEC">
        <w:rPr>
          <w:rFonts w:ascii="Times New Roman" w:hAnsi="Times New Roman"/>
          <w:sz w:val="24"/>
          <w:szCs w:val="24"/>
        </w:rPr>
        <w:t>as they</w:t>
      </w:r>
      <w:r>
        <w:rPr>
          <w:rFonts w:ascii="Times New Roman" w:hAnsi="Times New Roman"/>
          <w:sz w:val="24"/>
          <w:szCs w:val="24"/>
        </w:rPr>
        <w:t xml:space="preserve"> </w:t>
      </w:r>
      <w:r w:rsidRPr="007D0BEC">
        <w:rPr>
          <w:rFonts w:ascii="Times New Roman" w:hAnsi="Times New Roman"/>
          <w:sz w:val="24"/>
          <w:szCs w:val="24"/>
        </w:rPr>
        <w:t>immediately converged on him upon</w:t>
      </w:r>
      <w:r>
        <w:rPr>
          <w:rFonts w:ascii="Times New Roman" w:hAnsi="Times New Roman"/>
          <w:sz w:val="24"/>
          <w:szCs w:val="24"/>
        </w:rPr>
        <w:t xml:space="preserve"> </w:t>
      </w:r>
      <w:r w:rsidRPr="007D0BEC">
        <w:rPr>
          <w:rFonts w:ascii="Times New Roman" w:hAnsi="Times New Roman"/>
          <w:sz w:val="24"/>
          <w:szCs w:val="24"/>
        </w:rPr>
        <w:t xml:space="preserve">entering the medical area. Berent acknowledges that he did not order Richards to stop before moving in for the arrest; and while Berent stated that he told Richards to </w:t>
      </w:r>
      <w:r>
        <w:rPr>
          <w:rFonts w:ascii="Times New Roman" w:hAnsi="Times New Roman"/>
          <w:sz w:val="24"/>
          <w:szCs w:val="24"/>
        </w:rPr>
        <w:t>‘</w:t>
      </w:r>
      <w:r w:rsidRPr="007D0BEC">
        <w:rPr>
          <w:rFonts w:ascii="Times New Roman" w:hAnsi="Times New Roman"/>
          <w:sz w:val="24"/>
          <w:szCs w:val="24"/>
        </w:rPr>
        <w:t>stop resistin</w:t>
      </w:r>
      <w:r>
        <w:rPr>
          <w:rFonts w:ascii="Times New Roman" w:hAnsi="Times New Roman"/>
          <w:sz w:val="24"/>
          <w:szCs w:val="24"/>
        </w:rPr>
        <w:t>g’</w:t>
      </w:r>
      <w:r w:rsidRPr="007D0BEC">
        <w:rPr>
          <w:rFonts w:ascii="Times New Roman" w:hAnsi="Times New Roman"/>
          <w:sz w:val="24"/>
          <w:szCs w:val="24"/>
        </w:rPr>
        <w:t xml:space="preserve"> several times</w:t>
      </w:r>
      <w:r>
        <w:rPr>
          <w:rFonts w:ascii="Times New Roman" w:hAnsi="Times New Roman"/>
          <w:sz w:val="24"/>
          <w:szCs w:val="24"/>
        </w:rPr>
        <w:t xml:space="preserve"> </w:t>
      </w:r>
      <w:r w:rsidRPr="007D0BEC">
        <w:rPr>
          <w:rFonts w:ascii="Times New Roman" w:hAnsi="Times New Roman"/>
          <w:sz w:val="24"/>
          <w:szCs w:val="24"/>
        </w:rPr>
        <w:t>before the officers took Richards to the ground,</w:t>
      </w:r>
      <w:r>
        <w:rPr>
          <w:rFonts w:ascii="Times New Roman" w:hAnsi="Times New Roman"/>
          <w:sz w:val="24"/>
          <w:szCs w:val="24"/>
        </w:rPr>
        <w:t xml:space="preserve"> </w:t>
      </w:r>
      <w:r w:rsidRPr="007D0BEC">
        <w:rPr>
          <w:rFonts w:ascii="Times New Roman" w:hAnsi="Times New Roman"/>
          <w:sz w:val="24"/>
          <w:szCs w:val="24"/>
        </w:rPr>
        <w:t>Richards denies</w:t>
      </w:r>
      <w:r>
        <w:rPr>
          <w:rFonts w:ascii="Times New Roman" w:hAnsi="Times New Roman"/>
          <w:sz w:val="24"/>
          <w:szCs w:val="24"/>
        </w:rPr>
        <w:t xml:space="preserve"> </w:t>
      </w:r>
      <w:r w:rsidRPr="007D0BEC">
        <w:rPr>
          <w:rFonts w:ascii="Times New Roman" w:hAnsi="Times New Roman"/>
          <w:sz w:val="24"/>
          <w:szCs w:val="24"/>
        </w:rPr>
        <w:t>this fact. Richards further testified that, while he was on the ground, he could not comply with any</w:t>
      </w:r>
      <w:r>
        <w:rPr>
          <w:rFonts w:ascii="Times New Roman" w:hAnsi="Times New Roman"/>
          <w:sz w:val="24"/>
          <w:szCs w:val="24"/>
        </w:rPr>
        <w:t xml:space="preserve"> </w:t>
      </w:r>
      <w:r w:rsidRPr="007D0BEC">
        <w:rPr>
          <w:rFonts w:ascii="Times New Roman" w:hAnsi="Times New Roman"/>
          <w:sz w:val="24"/>
          <w:szCs w:val="24"/>
        </w:rPr>
        <w:t>commands to place his hands behind his back as his arms were pinned beneath him.</w:t>
      </w:r>
      <w:r>
        <w:rPr>
          <w:rFonts w:ascii="Times New Roman" w:hAnsi="Times New Roman"/>
          <w:sz w:val="24"/>
          <w:szCs w:val="24"/>
        </w:rPr>
        <w:t>”</w:t>
      </w:r>
    </w:p>
    <w:p w14:paraId="49ED92AC" w14:textId="77777777" w:rsidR="0020758F" w:rsidRPr="007D0BEC" w:rsidRDefault="0020758F" w:rsidP="0020758F">
      <w:pPr>
        <w:pStyle w:val="NoSpacing"/>
        <w:rPr>
          <w:rFonts w:ascii="Times New Roman" w:hAnsi="Times New Roman"/>
          <w:sz w:val="24"/>
          <w:szCs w:val="24"/>
        </w:rPr>
      </w:pPr>
      <w:hyperlink r:id="rId307" w:history="1">
        <w:r w:rsidRPr="0037669D">
          <w:rPr>
            <w:rStyle w:val="Hyperlink"/>
            <w:rFonts w:ascii="Times New Roman" w:hAnsi="Times New Roman"/>
            <w:sz w:val="24"/>
            <w:szCs w:val="24"/>
          </w:rPr>
          <w:t>https://www.opn.ca6.uscourts.gov/opinions.pdf/20a0374n-06.pdf</w:t>
        </w:r>
      </w:hyperlink>
      <w:r>
        <w:rPr>
          <w:rFonts w:ascii="Times New Roman" w:hAnsi="Times New Roman"/>
          <w:sz w:val="24"/>
          <w:szCs w:val="24"/>
        </w:rPr>
        <w:t xml:space="preserve"> </w:t>
      </w:r>
    </w:p>
    <w:p w14:paraId="71828512" w14:textId="77777777" w:rsidR="0020758F" w:rsidRDefault="0020758F" w:rsidP="0020758F">
      <w:pPr>
        <w:pStyle w:val="NoSpacing"/>
        <w:rPr>
          <w:rFonts w:ascii="Times New Roman" w:hAnsi="Times New Roman"/>
          <w:b/>
          <w:bCs/>
          <w:sz w:val="24"/>
          <w:szCs w:val="24"/>
        </w:rPr>
      </w:pPr>
    </w:p>
    <w:p w14:paraId="04789D8B" w14:textId="30D83553" w:rsidR="0020758F" w:rsidRPr="00355FF4" w:rsidRDefault="0020758F" w:rsidP="0020758F">
      <w:pPr>
        <w:pStyle w:val="NoSpacing"/>
        <w:rPr>
          <w:rFonts w:ascii="Times New Roman" w:hAnsi="Times New Roman"/>
          <w:b/>
          <w:bCs/>
          <w:sz w:val="24"/>
          <w:szCs w:val="24"/>
        </w:rPr>
      </w:pPr>
      <w:r w:rsidRPr="00355FF4">
        <w:rPr>
          <w:rFonts w:ascii="Times New Roman" w:hAnsi="Times New Roman"/>
          <w:b/>
          <w:bCs/>
          <w:sz w:val="24"/>
          <w:szCs w:val="24"/>
        </w:rPr>
        <w:t xml:space="preserve">Legal Lessons Learned: </w:t>
      </w:r>
      <w:r>
        <w:rPr>
          <w:rFonts w:ascii="Times New Roman" w:hAnsi="Times New Roman"/>
          <w:b/>
          <w:bCs/>
          <w:sz w:val="24"/>
          <w:szCs w:val="24"/>
        </w:rPr>
        <w:t xml:space="preserve"> Consider installing video cameras in the football stadium medical office. </w:t>
      </w:r>
    </w:p>
    <w:p w14:paraId="264D746F" w14:textId="77777777" w:rsidR="0020758F" w:rsidRDefault="0020758F" w:rsidP="002B1283">
      <w:pPr>
        <w:rPr>
          <w:rFonts w:ascii="Arial Black" w:hAnsi="Arial Black"/>
          <w:b/>
          <w:sz w:val="24"/>
          <w:szCs w:val="24"/>
        </w:rPr>
      </w:pPr>
    </w:p>
    <w:p w14:paraId="3CB11191" w14:textId="4246C4F7" w:rsidR="0020758F" w:rsidRDefault="0020758F" w:rsidP="002B1283">
      <w:pPr>
        <w:rPr>
          <w:rFonts w:ascii="Arial Black" w:hAnsi="Arial Black"/>
          <w:b/>
          <w:sz w:val="24"/>
          <w:szCs w:val="24"/>
        </w:rPr>
      </w:pPr>
      <w:r>
        <w:rPr>
          <w:rFonts w:ascii="Arial Black" w:hAnsi="Arial Black"/>
          <w:b/>
          <w:sz w:val="24"/>
          <w:szCs w:val="24"/>
        </w:rPr>
        <w:t>1-56</w:t>
      </w:r>
    </w:p>
    <w:p w14:paraId="1BDC48CD" w14:textId="77777777" w:rsidR="0020758F" w:rsidRPr="007C314B" w:rsidRDefault="0020758F" w:rsidP="0020758F">
      <w:pPr>
        <w:pStyle w:val="NoSpacing"/>
      </w:pPr>
      <w:r w:rsidRPr="007C314B">
        <w:rPr>
          <w:rFonts w:ascii="Arial Black" w:hAnsi="Arial Black"/>
          <w:b/>
          <w:bCs/>
          <w:sz w:val="28"/>
          <w:szCs w:val="28"/>
        </w:rPr>
        <w:t>O</w:t>
      </w:r>
      <w:r>
        <w:rPr>
          <w:rFonts w:ascii="Arial Black" w:hAnsi="Arial Black"/>
          <w:b/>
          <w:bCs/>
          <w:sz w:val="28"/>
          <w:szCs w:val="28"/>
        </w:rPr>
        <w:t xml:space="preserve">H: TWO ARSON INVEST. TESTIFIED CAUSE &amp; ORIGIN – STRONG CASE – TRIAL JUDGE ALLOWED TESTIFY WITHOUT FIRST BEING QUALIFIED AS “EXPERT WITNESSES” </w:t>
      </w:r>
      <w:r w:rsidRPr="007C314B">
        <w:t xml:space="preserve"> </w:t>
      </w:r>
    </w:p>
    <w:p w14:paraId="6CE1AAA6" w14:textId="77777777" w:rsidR="0020758F" w:rsidRDefault="0020758F" w:rsidP="0020758F">
      <w:pPr>
        <w:spacing w:before="100" w:beforeAutospacing="1" w:after="100" w:afterAutospacing="1" w:line="240" w:lineRule="auto"/>
        <w:rPr>
          <w:rFonts w:ascii="Times New Roman" w:hAnsi="Times New Roman"/>
          <w:sz w:val="24"/>
          <w:szCs w:val="24"/>
        </w:rPr>
      </w:pPr>
      <w:r w:rsidRPr="007C314B">
        <w:rPr>
          <w:rFonts w:ascii="Times New Roman" w:hAnsi="Times New Roman"/>
          <w:sz w:val="24"/>
          <w:szCs w:val="24"/>
        </w:rPr>
        <w:t xml:space="preserve">On </w:t>
      </w:r>
      <w:r>
        <w:rPr>
          <w:rFonts w:ascii="Times New Roman" w:hAnsi="Times New Roman"/>
          <w:sz w:val="24"/>
          <w:szCs w:val="24"/>
        </w:rPr>
        <w:t xml:space="preserve">June 3, 2020, in </w:t>
      </w:r>
      <w:r w:rsidRPr="007C314B">
        <w:rPr>
          <w:rFonts w:ascii="Times New Roman" w:hAnsi="Times New Roman"/>
          <w:sz w:val="24"/>
          <w:szCs w:val="24"/>
          <w:u w:val="single"/>
        </w:rPr>
        <w:t xml:space="preserve">State of Ohio v. </w:t>
      </w:r>
      <w:proofErr w:type="spellStart"/>
      <w:r w:rsidRPr="007C314B">
        <w:rPr>
          <w:rFonts w:ascii="Times New Roman" w:hAnsi="Times New Roman"/>
          <w:sz w:val="24"/>
          <w:szCs w:val="24"/>
          <w:u w:val="single"/>
        </w:rPr>
        <w:t>Jauvaughn</w:t>
      </w:r>
      <w:proofErr w:type="spellEnd"/>
      <w:r w:rsidRPr="007C314B">
        <w:rPr>
          <w:rFonts w:ascii="Times New Roman" w:hAnsi="Times New Roman"/>
          <w:sz w:val="24"/>
          <w:szCs w:val="24"/>
          <w:u w:val="single"/>
        </w:rPr>
        <w:t xml:space="preserve"> Penn</w:t>
      </w:r>
      <w:r>
        <w:rPr>
          <w:rFonts w:ascii="Times New Roman" w:hAnsi="Times New Roman"/>
          <w:sz w:val="24"/>
          <w:szCs w:val="24"/>
        </w:rPr>
        <w:t xml:space="preserve">, the Court of Appeals Ninth Judicial District (Summit County), 2020 Ohio 3158, held (2 to 1) that defendant’s jury conviction of aggravated arson and burglary was affirmed. </w:t>
      </w:r>
      <w:r w:rsidRPr="00DB083C">
        <w:rPr>
          <w:rFonts w:ascii="Times New Roman" w:hAnsi="Times New Roman"/>
          <w:sz w:val="24"/>
          <w:szCs w:val="24"/>
        </w:rPr>
        <w:t xml:space="preserve">The Court </w:t>
      </w:r>
      <w:r>
        <w:rPr>
          <w:rFonts w:ascii="Times New Roman" w:hAnsi="Times New Roman"/>
          <w:sz w:val="24"/>
          <w:szCs w:val="24"/>
        </w:rPr>
        <w:t xml:space="preserve">of Appeals (2 judge majority) </w:t>
      </w:r>
      <w:r w:rsidRPr="00DB083C">
        <w:rPr>
          <w:rFonts w:ascii="Times New Roman" w:hAnsi="Times New Roman"/>
          <w:sz w:val="24"/>
          <w:szCs w:val="24"/>
        </w:rPr>
        <w:t>focused on the strength of the evidence</w:t>
      </w:r>
      <w:r>
        <w:rPr>
          <w:rFonts w:ascii="Times New Roman" w:hAnsi="Times New Roman"/>
          <w:sz w:val="24"/>
          <w:szCs w:val="24"/>
        </w:rPr>
        <w:t xml:space="preserve"> against the defendant, and concluded trial judge did not abuse his discretion in allowing two Akron fire investigators to testify without being first qualified as experts. “[L]</w:t>
      </w:r>
      <w:r w:rsidRPr="00DB083C">
        <w:rPr>
          <w:rFonts w:ascii="Times New Roman" w:hAnsi="Times New Roman"/>
          <w:sz w:val="24"/>
          <w:szCs w:val="24"/>
        </w:rPr>
        <w:t xml:space="preserve">ay opinion testimony is admissible so long as it is </w:t>
      </w:r>
      <w:r>
        <w:rPr>
          <w:rFonts w:ascii="Times New Roman" w:hAnsi="Times New Roman"/>
          <w:sz w:val="24"/>
          <w:szCs w:val="24"/>
        </w:rPr>
        <w:t>‘</w:t>
      </w:r>
      <w:r w:rsidRPr="00DB083C">
        <w:rPr>
          <w:rFonts w:ascii="Times New Roman" w:hAnsi="Times New Roman"/>
          <w:sz w:val="24"/>
          <w:szCs w:val="24"/>
        </w:rPr>
        <w:t>rationally based on the perception of the witness</w:t>
      </w:r>
      <w:r>
        <w:rPr>
          <w:rFonts w:ascii="Times New Roman" w:hAnsi="Times New Roman"/>
          <w:sz w:val="24"/>
          <w:szCs w:val="24"/>
        </w:rPr>
        <w:t>’</w:t>
      </w:r>
      <w:r w:rsidRPr="00DB083C">
        <w:rPr>
          <w:rFonts w:ascii="Times New Roman" w:hAnsi="Times New Roman"/>
          <w:sz w:val="24"/>
          <w:szCs w:val="24"/>
        </w:rPr>
        <w:t xml:space="preserve"> and </w:t>
      </w:r>
      <w:r>
        <w:rPr>
          <w:rFonts w:ascii="Times New Roman" w:hAnsi="Times New Roman"/>
          <w:sz w:val="24"/>
          <w:szCs w:val="24"/>
        </w:rPr>
        <w:t>‘</w:t>
      </w:r>
      <w:r w:rsidRPr="00DB083C">
        <w:rPr>
          <w:rFonts w:ascii="Times New Roman" w:hAnsi="Times New Roman"/>
          <w:sz w:val="24"/>
          <w:szCs w:val="24"/>
        </w:rPr>
        <w:t>helpful to a clear understanding of [his] testimony or the determination of a fact in issue.</w:t>
      </w:r>
      <w:r>
        <w:rPr>
          <w:rFonts w:ascii="Times New Roman" w:hAnsi="Times New Roman"/>
          <w:sz w:val="24"/>
          <w:szCs w:val="24"/>
        </w:rPr>
        <w:t>’</w:t>
      </w:r>
      <w:r w:rsidRPr="00DB083C">
        <w:rPr>
          <w:rFonts w:ascii="Times New Roman" w:hAnsi="Times New Roman"/>
          <w:sz w:val="24"/>
          <w:szCs w:val="24"/>
        </w:rPr>
        <w:t xml:space="preserve"> </w:t>
      </w:r>
      <w:proofErr w:type="spellStart"/>
      <w:r w:rsidRPr="00DB083C">
        <w:rPr>
          <w:rFonts w:ascii="Times New Roman" w:hAnsi="Times New Roman"/>
          <w:sz w:val="24"/>
          <w:szCs w:val="24"/>
        </w:rPr>
        <w:t>Evid.R</w:t>
      </w:r>
      <w:proofErr w:type="spellEnd"/>
      <w:r w:rsidRPr="00DB083C">
        <w:rPr>
          <w:rFonts w:ascii="Times New Roman" w:hAnsi="Times New Roman"/>
          <w:sz w:val="24"/>
          <w:szCs w:val="24"/>
        </w:rPr>
        <w:t xml:space="preserve">. 701. This Court reviews for an abuse of discretion a trial court's decision to admit lay opinion testimony under </w:t>
      </w:r>
      <w:proofErr w:type="spellStart"/>
      <w:r w:rsidRPr="00DB083C">
        <w:rPr>
          <w:rFonts w:ascii="Times New Roman" w:hAnsi="Times New Roman"/>
          <w:sz w:val="24"/>
          <w:szCs w:val="24"/>
        </w:rPr>
        <w:t>Evid.R</w:t>
      </w:r>
      <w:proofErr w:type="spellEnd"/>
      <w:r w:rsidRPr="00DB083C">
        <w:rPr>
          <w:rFonts w:ascii="Times New Roman" w:hAnsi="Times New Roman"/>
          <w:sz w:val="24"/>
          <w:szCs w:val="24"/>
        </w:rPr>
        <w:t>. 701</w:t>
      </w:r>
      <w:r>
        <w:rPr>
          <w:rFonts w:ascii="Times New Roman" w:hAnsi="Times New Roman"/>
          <w:sz w:val="24"/>
          <w:szCs w:val="24"/>
        </w:rPr>
        <w:t>….</w:t>
      </w:r>
      <w:r w:rsidRPr="00DB083C">
        <w:rPr>
          <w:rFonts w:ascii="Times New Roman" w:hAnsi="Times New Roman"/>
          <w:sz w:val="24"/>
          <w:szCs w:val="24"/>
        </w:rPr>
        <w:t xml:space="preserve"> A trial court may be found to have abused its discretion if it rules in an unreasonable, arbitrary, or unconscionable manner. </w:t>
      </w:r>
      <w:r w:rsidRPr="00DB083C">
        <w:rPr>
          <w:rFonts w:ascii="Times New Roman" w:hAnsi="Times New Roman"/>
          <w:i/>
          <w:iCs/>
          <w:sz w:val="24"/>
          <w:szCs w:val="24"/>
        </w:rPr>
        <w:t>Blakemore</w:t>
      </w:r>
      <w:r w:rsidRPr="00DB083C">
        <w:rPr>
          <w:rFonts w:ascii="Times New Roman" w:hAnsi="Times New Roman"/>
          <w:sz w:val="24"/>
          <w:szCs w:val="24"/>
        </w:rPr>
        <w:t>, 5 Ohio St.3d at 219.</w:t>
      </w:r>
      <w:r>
        <w:rPr>
          <w:rFonts w:ascii="Times New Roman" w:hAnsi="Times New Roman"/>
          <w:sz w:val="24"/>
          <w:szCs w:val="24"/>
        </w:rPr>
        <w:t xml:space="preserve">” </w:t>
      </w:r>
      <w:hyperlink r:id="rId308" w:history="1">
        <w:r w:rsidRPr="00B131BD">
          <w:rPr>
            <w:rStyle w:val="Hyperlink"/>
            <w:rFonts w:ascii="Times New Roman" w:hAnsi="Times New Roman"/>
            <w:sz w:val="24"/>
            <w:szCs w:val="24"/>
          </w:rPr>
          <w:t>https://www.supremecourt.ohio.gov/rod/docs/pdf/9/2020/2020-Ohio-3158.pdf</w:t>
        </w:r>
      </w:hyperlink>
      <w:r>
        <w:rPr>
          <w:rFonts w:ascii="Times New Roman" w:hAnsi="Times New Roman"/>
          <w:sz w:val="24"/>
          <w:szCs w:val="24"/>
        </w:rPr>
        <w:t xml:space="preserve"> </w:t>
      </w:r>
    </w:p>
    <w:p w14:paraId="4B821104" w14:textId="77777777" w:rsidR="0020758F" w:rsidRPr="00955CF2" w:rsidRDefault="0020758F" w:rsidP="0020758F">
      <w:pPr>
        <w:spacing w:before="100" w:beforeAutospacing="1" w:after="100" w:afterAutospacing="1" w:line="240" w:lineRule="auto"/>
        <w:rPr>
          <w:rFonts w:ascii="Times New Roman" w:eastAsia="Times New Roman" w:hAnsi="Times New Roman"/>
          <w:b/>
          <w:bCs/>
          <w:sz w:val="24"/>
          <w:szCs w:val="24"/>
        </w:rPr>
      </w:pPr>
      <w:r w:rsidRPr="00955CF2">
        <w:rPr>
          <w:rFonts w:ascii="Times New Roman" w:eastAsia="Times New Roman" w:hAnsi="Times New Roman"/>
          <w:b/>
          <w:bCs/>
          <w:sz w:val="24"/>
          <w:szCs w:val="24"/>
        </w:rPr>
        <w:t xml:space="preserve">Legal Lessons Learned: </w:t>
      </w:r>
      <w:r>
        <w:rPr>
          <w:rFonts w:ascii="Times New Roman" w:eastAsia="Times New Roman" w:hAnsi="Times New Roman"/>
          <w:b/>
          <w:bCs/>
          <w:sz w:val="24"/>
          <w:szCs w:val="24"/>
        </w:rPr>
        <w:t xml:space="preserve"> Whenever possible, it is best for prosecutors to have the trial court qualify Arson investigators as expert witnesses and provide a written report to the defense prior to trial. </w:t>
      </w:r>
    </w:p>
    <w:p w14:paraId="57D3A5D6" w14:textId="77777777" w:rsidR="0020758F" w:rsidRDefault="0020758F" w:rsidP="0020758F">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ab/>
        <w:t xml:space="preserve">Note: One of three judges on the Court of Appeals wrote a partial dissenting opinion. </w:t>
      </w:r>
    </w:p>
    <w:p w14:paraId="6D8DE558" w14:textId="77777777" w:rsidR="0020758F" w:rsidRPr="00955CF2" w:rsidRDefault="0020758F" w:rsidP="0020758F">
      <w:pPr>
        <w:pStyle w:val="NoSpacing"/>
        <w:ind w:left="720"/>
        <w:rPr>
          <w:rFonts w:ascii="Times New Roman" w:hAnsi="Times New Roman"/>
          <w:sz w:val="24"/>
          <w:szCs w:val="24"/>
        </w:rPr>
      </w:pPr>
      <w:r>
        <w:rPr>
          <w:rFonts w:ascii="Times New Roman" w:hAnsi="Times New Roman"/>
          <w:sz w:val="24"/>
          <w:szCs w:val="24"/>
        </w:rPr>
        <w:t>“</w:t>
      </w:r>
      <w:r w:rsidRPr="00955CF2">
        <w:rPr>
          <w:rFonts w:ascii="Times New Roman" w:hAnsi="Times New Roman"/>
          <w:sz w:val="24"/>
          <w:szCs w:val="24"/>
        </w:rPr>
        <w:t xml:space="preserve">I respectfully dissent </w:t>
      </w:r>
      <w:proofErr w:type="gramStart"/>
      <w:r w:rsidRPr="00955CF2">
        <w:rPr>
          <w:rFonts w:ascii="Times New Roman" w:hAnsi="Times New Roman"/>
          <w:sz w:val="24"/>
          <w:szCs w:val="24"/>
        </w:rPr>
        <w:t>in regard to</w:t>
      </w:r>
      <w:proofErr w:type="gramEnd"/>
      <w:r w:rsidRPr="00955CF2">
        <w:rPr>
          <w:rFonts w:ascii="Times New Roman" w:hAnsi="Times New Roman"/>
          <w:sz w:val="24"/>
          <w:szCs w:val="24"/>
        </w:rPr>
        <w:t xml:space="preserve"> the majority’s resolution of the first assignment of error as I would conclude that the trial court abused its discretion when it permitted Mr. Hoch and Mr. </w:t>
      </w:r>
      <w:proofErr w:type="spellStart"/>
      <w:r w:rsidRPr="00955CF2">
        <w:rPr>
          <w:rFonts w:ascii="Times New Roman" w:hAnsi="Times New Roman"/>
          <w:sz w:val="24"/>
          <w:szCs w:val="24"/>
        </w:rPr>
        <w:t>D’Avello</w:t>
      </w:r>
      <w:proofErr w:type="spellEnd"/>
      <w:r w:rsidRPr="00955CF2">
        <w:rPr>
          <w:rFonts w:ascii="Times New Roman" w:hAnsi="Times New Roman"/>
          <w:sz w:val="24"/>
          <w:szCs w:val="24"/>
        </w:rPr>
        <w:t xml:space="preserve"> to give expert testimony at trial. *** Mr. Hoch and Mr. </w:t>
      </w:r>
      <w:proofErr w:type="spellStart"/>
      <w:r w:rsidRPr="00955CF2">
        <w:rPr>
          <w:rFonts w:ascii="Times New Roman" w:hAnsi="Times New Roman"/>
          <w:sz w:val="24"/>
          <w:szCs w:val="24"/>
        </w:rPr>
        <w:t>D’Avello</w:t>
      </w:r>
      <w:proofErr w:type="spellEnd"/>
      <w:r w:rsidRPr="00955CF2">
        <w:rPr>
          <w:rFonts w:ascii="Times New Roman" w:hAnsi="Times New Roman"/>
          <w:sz w:val="24"/>
          <w:szCs w:val="24"/>
        </w:rPr>
        <w:t xml:space="preserve"> expressed definitive opinions on the origin of the fire. These opinions were largely predicated on an understanding of charring levels and burn patterns on the walls. Testimony regarding the origin of a fire based on analysis of charring levels and burn patterns observed during a visual inspection frequently falls within the purview of expert testimony.</w:t>
      </w:r>
      <w:r>
        <w:rPr>
          <w:rFonts w:ascii="Times New Roman" w:hAnsi="Times New Roman"/>
          <w:sz w:val="24"/>
          <w:szCs w:val="24"/>
        </w:rPr>
        <w:t>”</w:t>
      </w:r>
    </w:p>
    <w:p w14:paraId="65237214" w14:textId="77777777" w:rsidR="0020758F" w:rsidRDefault="0020758F" w:rsidP="002B1283">
      <w:pPr>
        <w:rPr>
          <w:rFonts w:ascii="Arial Black" w:hAnsi="Arial Black"/>
          <w:b/>
          <w:sz w:val="24"/>
          <w:szCs w:val="24"/>
        </w:rPr>
      </w:pPr>
    </w:p>
    <w:p w14:paraId="25D1B26F" w14:textId="77777777" w:rsidR="0020758F" w:rsidRDefault="0020758F" w:rsidP="002B1283">
      <w:pPr>
        <w:rPr>
          <w:rFonts w:ascii="Arial Black" w:hAnsi="Arial Black"/>
          <w:b/>
          <w:sz w:val="24"/>
          <w:szCs w:val="24"/>
        </w:rPr>
      </w:pPr>
    </w:p>
    <w:p w14:paraId="0BE1BEB5" w14:textId="6FFBB167" w:rsidR="00D94DC4" w:rsidRDefault="00D94DC4" w:rsidP="002B1283">
      <w:pPr>
        <w:rPr>
          <w:rFonts w:ascii="Arial Black" w:hAnsi="Arial Black"/>
          <w:b/>
          <w:sz w:val="24"/>
          <w:szCs w:val="24"/>
        </w:rPr>
      </w:pPr>
      <w:r>
        <w:rPr>
          <w:rFonts w:ascii="Arial Black" w:hAnsi="Arial Black"/>
          <w:b/>
          <w:sz w:val="24"/>
          <w:szCs w:val="24"/>
        </w:rPr>
        <w:t>1-55</w:t>
      </w:r>
    </w:p>
    <w:p w14:paraId="1860BF59" w14:textId="77777777" w:rsidR="00D94DC4" w:rsidRPr="00AA035B" w:rsidRDefault="00D94DC4" w:rsidP="00D94DC4">
      <w:pPr>
        <w:spacing w:before="100" w:beforeAutospacing="1" w:after="100" w:afterAutospacing="1" w:line="240" w:lineRule="auto"/>
        <w:jc w:val="both"/>
        <w:rPr>
          <w:rFonts w:ascii="Arial Black" w:eastAsia="Times New Roman" w:hAnsi="Arial Black"/>
          <w:b/>
          <w:bCs/>
          <w:sz w:val="28"/>
          <w:szCs w:val="28"/>
        </w:rPr>
      </w:pPr>
      <w:r w:rsidRPr="00AA035B">
        <w:rPr>
          <w:rFonts w:ascii="Arial Black" w:eastAsia="Times New Roman" w:hAnsi="Arial Black"/>
          <w:b/>
          <w:bCs/>
          <w:sz w:val="28"/>
          <w:szCs w:val="28"/>
        </w:rPr>
        <w:t>NY:</w:t>
      </w:r>
      <w:r>
        <w:rPr>
          <w:rFonts w:ascii="Arial Black" w:eastAsia="Times New Roman" w:hAnsi="Arial Black"/>
          <w:b/>
          <w:bCs/>
          <w:sz w:val="28"/>
          <w:szCs w:val="28"/>
        </w:rPr>
        <w:t xml:space="preserve"> PHOTO OF KNEELING FDNY FIREFIGHTER DURING 911 RECOVERY – PROF. PHTOGRAPHER COPYRIGHTED PHOTO – COMPANY MUST PAY USE ON SWEATSHIRTS, TEE SHIRTS </w:t>
      </w:r>
    </w:p>
    <w:p w14:paraId="5F4C9799" w14:textId="529968FC" w:rsidR="00D94DC4" w:rsidRDefault="00D94DC4" w:rsidP="00D94DC4">
      <w:pPr>
        <w:rPr>
          <w:rFonts w:ascii="Arial Black" w:hAnsi="Arial Black"/>
          <w:b/>
          <w:sz w:val="24"/>
          <w:szCs w:val="24"/>
        </w:rPr>
      </w:pPr>
      <w:r w:rsidRPr="00A83726">
        <w:rPr>
          <w:rFonts w:ascii="Times New Roman" w:hAnsi="Times New Roman"/>
          <w:sz w:val="24"/>
          <w:szCs w:val="24"/>
        </w:rPr>
        <w:t xml:space="preserve">On May 28, 2020, in </w:t>
      </w:r>
      <w:r w:rsidRPr="00A83726">
        <w:rPr>
          <w:rFonts w:ascii="Times New Roman" w:hAnsi="Times New Roman"/>
          <w:sz w:val="24"/>
          <w:szCs w:val="24"/>
          <w:u w:val="single"/>
        </w:rPr>
        <w:t>Matthew McDermott v. NYFirestore.com, Inc</w:t>
      </w:r>
      <w:r w:rsidRPr="00A83726">
        <w:rPr>
          <w:rFonts w:ascii="Times New Roman" w:hAnsi="Times New Roman"/>
          <w:sz w:val="24"/>
          <w:szCs w:val="24"/>
        </w:rPr>
        <w:t>., U.S. District Court judge Alison J. Nathan</w:t>
      </w:r>
      <w:r>
        <w:rPr>
          <w:rFonts w:ascii="Times New Roman" w:hAnsi="Times New Roman"/>
          <w:sz w:val="24"/>
          <w:szCs w:val="24"/>
        </w:rPr>
        <w:t>, Southern District of New York,</w:t>
      </w:r>
      <w:r w:rsidRPr="00A83726">
        <w:rPr>
          <w:rFonts w:ascii="Times New Roman" w:hAnsi="Times New Roman"/>
          <w:sz w:val="24"/>
          <w:szCs w:val="24"/>
        </w:rPr>
        <w:t xml:space="preserve"> held that the plaintiff, a professional photographer, has </w:t>
      </w:r>
      <w:r>
        <w:rPr>
          <w:rFonts w:ascii="Times New Roman" w:hAnsi="Times New Roman"/>
          <w:sz w:val="24"/>
          <w:szCs w:val="24"/>
        </w:rPr>
        <w:t xml:space="preserve">provided the Court with the photograph’s Certificate of Registration, </w:t>
      </w:r>
      <w:r w:rsidRPr="00A83726">
        <w:rPr>
          <w:rFonts w:ascii="Times New Roman" w:hAnsi="Times New Roman"/>
          <w:sz w:val="24"/>
          <w:szCs w:val="24"/>
        </w:rPr>
        <w:t xml:space="preserve">and is granted a default judgment for liability against </w:t>
      </w:r>
      <w:proofErr w:type="spellStart"/>
      <w:r w:rsidRPr="00A83726">
        <w:rPr>
          <w:rFonts w:ascii="Times New Roman" w:hAnsi="Times New Roman"/>
          <w:sz w:val="24"/>
          <w:szCs w:val="24"/>
        </w:rPr>
        <w:t>NYFirestore</w:t>
      </w:r>
      <w:proofErr w:type="spellEnd"/>
      <w:r w:rsidRPr="00A83726">
        <w:rPr>
          <w:rFonts w:ascii="Times New Roman" w:hAnsi="Times New Roman"/>
          <w:sz w:val="24"/>
          <w:szCs w:val="24"/>
        </w:rPr>
        <w:t xml:space="preserve"> company for </w:t>
      </w:r>
      <w:r>
        <w:rPr>
          <w:rFonts w:ascii="Times New Roman" w:hAnsi="Times New Roman"/>
          <w:sz w:val="24"/>
          <w:szCs w:val="24"/>
        </w:rPr>
        <w:t xml:space="preserve">unauthorized use of </w:t>
      </w:r>
      <w:r w:rsidRPr="00A83726">
        <w:rPr>
          <w:rFonts w:ascii="Times New Roman" w:hAnsi="Times New Roman"/>
          <w:sz w:val="24"/>
          <w:szCs w:val="24"/>
        </w:rPr>
        <w:t xml:space="preserve">the photo on sweatshirts, tee shirts and throw blankets.   Plaintiff seeks $20,000 in actual damages; </w:t>
      </w:r>
      <w:r>
        <w:rPr>
          <w:rFonts w:ascii="Times New Roman" w:hAnsi="Times New Roman"/>
          <w:sz w:val="24"/>
          <w:szCs w:val="24"/>
        </w:rPr>
        <w:t xml:space="preserve">under the </w:t>
      </w:r>
      <w:r w:rsidRPr="00B0015B">
        <w:rPr>
          <w:rFonts w:ascii="Times New Roman" w:eastAsia="Times New Roman" w:hAnsi="Times New Roman"/>
          <w:sz w:val="24"/>
          <w:szCs w:val="24"/>
        </w:rPr>
        <w:t>Digital Millennium Copyright Act</w:t>
      </w:r>
      <w:r>
        <w:rPr>
          <w:rFonts w:ascii="Times New Roman" w:eastAsia="Times New Roman" w:hAnsi="Times New Roman"/>
          <w:sz w:val="24"/>
          <w:szCs w:val="24"/>
        </w:rPr>
        <w:t xml:space="preserve"> the photographer must now show he placed a digital watermark or other “</w:t>
      </w:r>
      <w:r w:rsidRPr="00B0015B">
        <w:rPr>
          <w:rFonts w:ascii="Times New Roman" w:eastAsia="Times New Roman" w:hAnsi="Times New Roman"/>
          <w:sz w:val="24"/>
          <w:szCs w:val="24"/>
        </w:rPr>
        <w:t>copyright management informatio</w:t>
      </w:r>
      <w:r>
        <w:rPr>
          <w:rFonts w:ascii="Times New Roman" w:eastAsia="Times New Roman" w:hAnsi="Times New Roman"/>
          <w:sz w:val="24"/>
          <w:szCs w:val="24"/>
        </w:rPr>
        <w:t xml:space="preserve">n” on the photo; </w:t>
      </w:r>
      <w:r w:rsidRPr="00A83726">
        <w:rPr>
          <w:rFonts w:ascii="Times New Roman" w:hAnsi="Times New Roman"/>
          <w:sz w:val="24"/>
          <w:szCs w:val="24"/>
        </w:rPr>
        <w:t>has 30 days to file motion for damages and attorney fees</w:t>
      </w:r>
      <w:r>
        <w:rPr>
          <w:rFonts w:ascii="Times New Roman" w:hAnsi="Times New Roman"/>
          <w:sz w:val="24"/>
          <w:szCs w:val="24"/>
        </w:rPr>
        <w:t>,</w:t>
      </w:r>
      <w:r w:rsidRPr="00A83726">
        <w:rPr>
          <w:rFonts w:ascii="Times New Roman" w:hAnsi="Times New Roman"/>
          <w:sz w:val="24"/>
          <w:szCs w:val="24"/>
        </w:rPr>
        <w:t xml:space="preserve"> with evidence of licensing fees he has charged </w:t>
      </w:r>
      <w:r>
        <w:rPr>
          <w:rFonts w:ascii="Times New Roman" w:hAnsi="Times New Roman"/>
          <w:sz w:val="24"/>
          <w:szCs w:val="24"/>
        </w:rPr>
        <w:t xml:space="preserve">others </w:t>
      </w:r>
      <w:r w:rsidRPr="00A83726">
        <w:rPr>
          <w:rFonts w:ascii="Times New Roman" w:hAnsi="Times New Roman"/>
          <w:sz w:val="24"/>
          <w:szCs w:val="24"/>
        </w:rPr>
        <w:t xml:space="preserve">for use of his photos. </w:t>
      </w:r>
      <w:hyperlink r:id="rId309" w:history="1">
        <w:r w:rsidRPr="00A83726">
          <w:rPr>
            <w:rStyle w:val="Hyperlink"/>
            <w:sz w:val="24"/>
            <w:szCs w:val="24"/>
          </w:rPr>
          <w:t>https://public.fastcase.com/Wl%2B2t%2BeVuI35%2FN70vAMFZgQb9URzc30c5cCnjaV%2BywxWbGQAvCbjQKWk6ixjSD1I</w:t>
        </w:r>
      </w:hyperlink>
    </w:p>
    <w:p w14:paraId="5B9F9095" w14:textId="77777777" w:rsidR="00D94DC4" w:rsidRDefault="00D94DC4" w:rsidP="00D94DC4">
      <w:pPr>
        <w:spacing w:after="100" w:line="240" w:lineRule="auto"/>
        <w:jc w:val="both"/>
        <w:rPr>
          <w:rFonts w:ascii="Times New Roman" w:hAnsi="Times New Roman"/>
          <w:b/>
          <w:bCs/>
          <w:sz w:val="24"/>
          <w:szCs w:val="24"/>
        </w:rPr>
      </w:pPr>
      <w:r w:rsidRPr="00B0015B">
        <w:rPr>
          <w:rFonts w:ascii="Times New Roman" w:hAnsi="Times New Roman"/>
          <w:b/>
          <w:bCs/>
          <w:sz w:val="24"/>
          <w:szCs w:val="24"/>
        </w:rPr>
        <w:t>Legal Lessons Learned:</w:t>
      </w:r>
      <w:r>
        <w:rPr>
          <w:rFonts w:ascii="Times New Roman" w:hAnsi="Times New Roman"/>
          <w:b/>
          <w:bCs/>
          <w:sz w:val="24"/>
          <w:szCs w:val="24"/>
        </w:rPr>
        <w:t xml:space="preserve"> </w:t>
      </w:r>
      <w:proofErr w:type="gramStart"/>
      <w:r>
        <w:rPr>
          <w:rFonts w:ascii="Times New Roman" w:hAnsi="Times New Roman"/>
          <w:b/>
          <w:bCs/>
          <w:sz w:val="24"/>
          <w:szCs w:val="24"/>
        </w:rPr>
        <w:t>In order to</w:t>
      </w:r>
      <w:proofErr w:type="gramEnd"/>
      <w:r>
        <w:rPr>
          <w:rFonts w:ascii="Times New Roman" w:hAnsi="Times New Roman"/>
          <w:b/>
          <w:bCs/>
          <w:sz w:val="24"/>
          <w:szCs w:val="24"/>
        </w:rPr>
        <w:t xml:space="preserve"> help protect copyrighted photos, add a copyright watermark pattern to the photo.  </w:t>
      </w:r>
    </w:p>
    <w:p w14:paraId="137A8850" w14:textId="77777777" w:rsidR="00D94DC4" w:rsidRDefault="00D94DC4" w:rsidP="00D94DC4">
      <w:pPr>
        <w:pStyle w:val="Heading1"/>
        <w:ind w:left="720"/>
        <w:jc w:val="both"/>
        <w:rPr>
          <w:b w:val="0"/>
          <w:bCs w:val="0"/>
          <w:sz w:val="24"/>
          <w:szCs w:val="24"/>
        </w:rPr>
      </w:pPr>
      <w:r w:rsidRPr="00B0015B">
        <w:rPr>
          <w:b w:val="0"/>
          <w:bCs w:val="0"/>
          <w:sz w:val="24"/>
          <w:szCs w:val="24"/>
        </w:rPr>
        <w:t xml:space="preserve">Note: See this article, “Add A Copyright Watermark Pattern </w:t>
      </w:r>
      <w:proofErr w:type="gramStart"/>
      <w:r w:rsidRPr="00B0015B">
        <w:rPr>
          <w:b w:val="0"/>
          <w:bCs w:val="0"/>
          <w:sz w:val="24"/>
          <w:szCs w:val="24"/>
        </w:rPr>
        <w:t>To</w:t>
      </w:r>
      <w:proofErr w:type="gramEnd"/>
      <w:r w:rsidRPr="00B0015B">
        <w:rPr>
          <w:b w:val="0"/>
          <w:bCs w:val="0"/>
          <w:sz w:val="24"/>
          <w:szCs w:val="24"/>
        </w:rPr>
        <w:t xml:space="preserve"> </w:t>
      </w:r>
      <w:proofErr w:type="gramStart"/>
      <w:r w:rsidRPr="00B0015B">
        <w:rPr>
          <w:b w:val="0"/>
          <w:bCs w:val="0"/>
          <w:sz w:val="24"/>
          <w:szCs w:val="24"/>
        </w:rPr>
        <w:t>A</w:t>
      </w:r>
      <w:proofErr w:type="gramEnd"/>
      <w:r w:rsidRPr="00B0015B">
        <w:rPr>
          <w:b w:val="0"/>
          <w:bCs w:val="0"/>
          <w:sz w:val="24"/>
          <w:szCs w:val="24"/>
        </w:rPr>
        <w:t xml:space="preserve"> Photo </w:t>
      </w:r>
      <w:proofErr w:type="gramStart"/>
      <w:r w:rsidRPr="00B0015B">
        <w:rPr>
          <w:b w:val="0"/>
          <w:bCs w:val="0"/>
          <w:sz w:val="24"/>
          <w:szCs w:val="24"/>
        </w:rPr>
        <w:t>With</w:t>
      </w:r>
      <w:proofErr w:type="gramEnd"/>
      <w:r w:rsidRPr="00B0015B">
        <w:rPr>
          <w:b w:val="0"/>
          <w:bCs w:val="0"/>
          <w:sz w:val="24"/>
          <w:szCs w:val="24"/>
        </w:rPr>
        <w:t xml:space="preserve"> Photoshop,” </w:t>
      </w:r>
      <w:hyperlink r:id="rId310" w:history="1">
        <w:r w:rsidRPr="00931365">
          <w:rPr>
            <w:rStyle w:val="Hyperlink"/>
            <w:sz w:val="24"/>
            <w:szCs w:val="24"/>
          </w:rPr>
          <w:t>https://www.photoshopessentials.com/photo-effects/copyright/</w:t>
        </w:r>
      </w:hyperlink>
      <w:r w:rsidRPr="00B0015B">
        <w:rPr>
          <w:b w:val="0"/>
          <w:bCs w:val="0"/>
          <w:sz w:val="24"/>
          <w:szCs w:val="24"/>
        </w:rPr>
        <w:t xml:space="preserve"> </w:t>
      </w:r>
    </w:p>
    <w:p w14:paraId="22EA6C85" w14:textId="77777777" w:rsidR="00D94DC4" w:rsidRDefault="00D94DC4" w:rsidP="002B1283">
      <w:pPr>
        <w:rPr>
          <w:rFonts w:ascii="Arial Black" w:hAnsi="Arial Black"/>
          <w:b/>
          <w:sz w:val="24"/>
          <w:szCs w:val="24"/>
        </w:rPr>
      </w:pPr>
    </w:p>
    <w:p w14:paraId="40B34CC8" w14:textId="6E5DE36B" w:rsidR="00D94DC4" w:rsidRDefault="00D94DC4" w:rsidP="002B1283">
      <w:pPr>
        <w:rPr>
          <w:rFonts w:ascii="Arial Black" w:hAnsi="Arial Black"/>
          <w:b/>
          <w:sz w:val="24"/>
          <w:szCs w:val="24"/>
        </w:rPr>
      </w:pPr>
      <w:r>
        <w:rPr>
          <w:rFonts w:ascii="Arial Black" w:hAnsi="Arial Black"/>
          <w:b/>
          <w:sz w:val="24"/>
          <w:szCs w:val="24"/>
        </w:rPr>
        <w:t>1-54</w:t>
      </w:r>
    </w:p>
    <w:p w14:paraId="662F2BA4" w14:textId="77777777" w:rsidR="00D94DC4" w:rsidRDefault="00D94DC4" w:rsidP="00D94DC4">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OR: FALSE 9-1-1 CALLS – FOUR CALLS, FEMALE DEF. CLAIMED ANOTHER FEMALE WAS REPEATEDLY STALKING HER – “SCREENSHOTS” GOOGLE MAPS PROVED SHE LIED</w:t>
      </w:r>
    </w:p>
    <w:p w14:paraId="3AAA2D50" w14:textId="77777777" w:rsidR="00D94DC4" w:rsidRDefault="00D94DC4" w:rsidP="00D94DC4">
      <w:pPr>
        <w:spacing w:after="0" w:line="240" w:lineRule="auto"/>
        <w:rPr>
          <w:rFonts w:ascii="Times New Roman" w:eastAsia="Times New Roman" w:hAnsi="Times New Roman"/>
          <w:sz w:val="27"/>
          <w:szCs w:val="27"/>
        </w:rPr>
      </w:pPr>
      <w:r w:rsidRPr="00B41A2A">
        <w:rPr>
          <w:rFonts w:ascii="Times New Roman" w:eastAsia="Times New Roman" w:hAnsi="Times New Roman"/>
          <w:sz w:val="24"/>
          <w:szCs w:val="24"/>
        </w:rPr>
        <w:t xml:space="preserve">On May 28, 2020, in </w:t>
      </w:r>
      <w:r w:rsidRPr="00B41A2A">
        <w:rPr>
          <w:rFonts w:ascii="Times New Roman" w:eastAsia="Times New Roman" w:hAnsi="Times New Roman"/>
          <w:sz w:val="24"/>
          <w:szCs w:val="24"/>
          <w:u w:val="single"/>
        </w:rPr>
        <w:t>State of Oregon v. H.D.E</w:t>
      </w:r>
      <w:r w:rsidRPr="00B41A2A">
        <w:rPr>
          <w:rFonts w:ascii="Times New Roman" w:eastAsia="Times New Roman" w:hAnsi="Times New Roman"/>
          <w:sz w:val="24"/>
          <w:szCs w:val="24"/>
        </w:rPr>
        <w:t xml:space="preserve">., 304 Or App 375, the Court of Appeals of the State of Oregon held (3 to 0) upheld her convictions, holding that trial judge properly allowed the screenshots into evidence, and State proved that claims by </w:t>
      </w:r>
      <w:proofErr w:type="gramStart"/>
      <w:r w:rsidRPr="00B41A2A">
        <w:rPr>
          <w:rFonts w:ascii="Times New Roman" w:eastAsia="Times New Roman" w:hAnsi="Times New Roman"/>
          <w:sz w:val="24"/>
          <w:szCs w:val="24"/>
        </w:rPr>
        <w:t>defendant</w:t>
      </w:r>
      <w:proofErr w:type="gramEnd"/>
      <w:r w:rsidRPr="00B41A2A">
        <w:rPr>
          <w:rFonts w:ascii="Times New Roman" w:eastAsia="Times New Roman" w:hAnsi="Times New Roman"/>
          <w:sz w:val="24"/>
          <w:szCs w:val="24"/>
        </w:rPr>
        <w:t xml:space="preserve"> that Ms. </w:t>
      </w:r>
      <w:proofErr w:type="gramStart"/>
      <w:r w:rsidRPr="00B41A2A">
        <w:rPr>
          <w:rFonts w:ascii="Times New Roman" w:eastAsia="Times New Roman" w:hAnsi="Times New Roman"/>
          <w:sz w:val="24"/>
          <w:szCs w:val="24"/>
        </w:rPr>
        <w:t>Garcia was</w:t>
      </w:r>
      <w:proofErr w:type="gramEnd"/>
      <w:r w:rsidRPr="00B41A2A">
        <w:rPr>
          <w:rFonts w:ascii="Times New Roman" w:eastAsia="Times New Roman" w:hAnsi="Times New Roman"/>
          <w:sz w:val="24"/>
          <w:szCs w:val="24"/>
        </w:rPr>
        <w:t xml:space="preserve"> stalking her were false.</w:t>
      </w:r>
      <w:r>
        <w:rPr>
          <w:rFonts w:ascii="On Times New Roman" w:eastAsia="Times New Roman" w:hAnsi="On Times New Roman"/>
          <w:sz w:val="24"/>
          <w:szCs w:val="24"/>
        </w:rPr>
        <w:t xml:space="preserve">  </w:t>
      </w:r>
      <w:hyperlink r:id="rId311" w:history="1">
        <w:r w:rsidRPr="003826A8">
          <w:rPr>
            <w:rStyle w:val="Hyperlink"/>
            <w:sz w:val="27"/>
            <w:szCs w:val="27"/>
          </w:rPr>
          <w:t>https://cdm17027.contentdm.oclc.org/digital/collection/p17027coll5/id/26716/rec/1</w:t>
        </w:r>
      </w:hyperlink>
      <w:r>
        <w:rPr>
          <w:rFonts w:ascii="Times New Roman" w:eastAsia="Times New Roman" w:hAnsi="Times New Roman"/>
          <w:sz w:val="27"/>
          <w:szCs w:val="27"/>
        </w:rPr>
        <w:t xml:space="preserve"> </w:t>
      </w:r>
    </w:p>
    <w:p w14:paraId="47AF9288" w14:textId="77777777" w:rsidR="00ED66A0" w:rsidRDefault="00ED66A0" w:rsidP="00D94DC4">
      <w:pPr>
        <w:spacing w:after="0" w:line="240" w:lineRule="auto"/>
        <w:jc w:val="both"/>
        <w:rPr>
          <w:rFonts w:ascii="Times New Roman" w:eastAsia="Times New Roman" w:hAnsi="Times New Roman"/>
          <w:b/>
          <w:bCs/>
          <w:sz w:val="24"/>
          <w:szCs w:val="24"/>
        </w:rPr>
      </w:pPr>
    </w:p>
    <w:p w14:paraId="18D8D20C" w14:textId="510BAB18" w:rsidR="00D94DC4" w:rsidRDefault="00D94DC4" w:rsidP="00D94DC4">
      <w:pPr>
        <w:spacing w:after="0" w:line="240" w:lineRule="auto"/>
        <w:jc w:val="both"/>
        <w:rPr>
          <w:rFonts w:ascii="Times New Roman" w:eastAsia="Times New Roman" w:hAnsi="Times New Roman"/>
          <w:b/>
          <w:bCs/>
          <w:sz w:val="24"/>
          <w:szCs w:val="24"/>
        </w:rPr>
      </w:pPr>
      <w:r w:rsidRPr="00585AB9">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New technology, such as cell phone screenshots, can be powerful proof in a trial. </w:t>
      </w:r>
    </w:p>
    <w:p w14:paraId="2A6B01C2" w14:textId="77777777" w:rsidR="00D94DC4" w:rsidRDefault="00D94DC4" w:rsidP="002B1283">
      <w:pPr>
        <w:rPr>
          <w:rFonts w:ascii="Arial Black" w:hAnsi="Arial Black"/>
          <w:b/>
          <w:sz w:val="24"/>
          <w:szCs w:val="24"/>
        </w:rPr>
      </w:pPr>
    </w:p>
    <w:p w14:paraId="3297C883" w14:textId="77777777" w:rsidR="00D94DC4" w:rsidRDefault="00D94DC4" w:rsidP="002B1283">
      <w:pPr>
        <w:rPr>
          <w:rFonts w:ascii="Arial Black" w:hAnsi="Arial Black"/>
          <w:b/>
          <w:sz w:val="24"/>
          <w:szCs w:val="24"/>
        </w:rPr>
      </w:pPr>
    </w:p>
    <w:p w14:paraId="4528C55A" w14:textId="77777777" w:rsidR="00D94DC4" w:rsidRDefault="00D94DC4" w:rsidP="002B1283">
      <w:pPr>
        <w:rPr>
          <w:rFonts w:ascii="Arial Black" w:hAnsi="Arial Black"/>
          <w:b/>
          <w:sz w:val="24"/>
          <w:szCs w:val="24"/>
        </w:rPr>
      </w:pPr>
    </w:p>
    <w:p w14:paraId="2A667339" w14:textId="03F4107A" w:rsidR="00D94DC4" w:rsidRDefault="00D94DC4" w:rsidP="002B1283">
      <w:pPr>
        <w:rPr>
          <w:rFonts w:ascii="Arial Black" w:hAnsi="Arial Black"/>
          <w:b/>
          <w:sz w:val="24"/>
          <w:szCs w:val="24"/>
        </w:rPr>
      </w:pPr>
      <w:r>
        <w:rPr>
          <w:rFonts w:ascii="Arial Black" w:hAnsi="Arial Black"/>
          <w:b/>
          <w:sz w:val="24"/>
          <w:szCs w:val="24"/>
        </w:rPr>
        <w:t>1-53</w:t>
      </w:r>
    </w:p>
    <w:p w14:paraId="14270DF9" w14:textId="77777777" w:rsidR="00D94DC4" w:rsidRDefault="00D94DC4" w:rsidP="00D94DC4">
      <w:pPr>
        <w:spacing w:before="100" w:beforeAutospacing="1" w:after="100" w:afterAutospacing="1" w:line="240" w:lineRule="auto"/>
        <w:jc w:val="both"/>
        <w:rPr>
          <w:rFonts w:ascii="Arial Black" w:eastAsia="Times New Roman" w:hAnsi="Arial Black"/>
          <w:b/>
          <w:bCs/>
          <w:sz w:val="28"/>
          <w:szCs w:val="28"/>
        </w:rPr>
      </w:pPr>
      <w:r w:rsidRPr="00FC7706">
        <w:rPr>
          <w:rFonts w:ascii="Arial Black" w:eastAsia="Times New Roman" w:hAnsi="Arial Black"/>
          <w:b/>
          <w:bCs/>
          <w:sz w:val="28"/>
          <w:szCs w:val="28"/>
        </w:rPr>
        <w:t xml:space="preserve">IA: </w:t>
      </w:r>
      <w:r>
        <w:rPr>
          <w:rFonts w:ascii="Arial Black" w:eastAsia="Times New Roman" w:hAnsi="Arial Black"/>
          <w:b/>
          <w:bCs/>
          <w:sz w:val="28"/>
          <w:szCs w:val="28"/>
        </w:rPr>
        <w:t>FF ARSONIST – SEARCH WARRANTS GPS TRACKER / CELL PHONE LOCATIONS – PLEA DEAL, COOPERATE, NO OTHER CHARGES - BUT INDICTED 4 MORE ARSONS, DISMISSED</w:t>
      </w:r>
    </w:p>
    <w:p w14:paraId="394FBFC8" w14:textId="77777777" w:rsidR="00D94DC4" w:rsidRDefault="00D94DC4" w:rsidP="00D94DC4">
      <w:pPr>
        <w:spacing w:before="100" w:beforeAutospacing="1" w:after="100" w:afterAutospacing="1" w:line="240" w:lineRule="auto"/>
        <w:rPr>
          <w:rFonts w:ascii="Times New Roman" w:hAnsi="Times New Roman"/>
          <w:sz w:val="24"/>
          <w:szCs w:val="24"/>
        </w:rPr>
      </w:pPr>
      <w:r w:rsidRPr="00F77985">
        <w:rPr>
          <w:rFonts w:ascii="Times New Roman" w:hAnsi="Times New Roman"/>
          <w:sz w:val="24"/>
          <w:szCs w:val="24"/>
        </w:rPr>
        <w:t xml:space="preserve">On May 15, 2020, in </w:t>
      </w:r>
      <w:r w:rsidRPr="00F77985">
        <w:rPr>
          <w:rFonts w:ascii="Times New Roman" w:hAnsi="Times New Roman"/>
          <w:sz w:val="24"/>
          <w:szCs w:val="24"/>
          <w:u w:val="single"/>
        </w:rPr>
        <w:t>State of Iowa v. Chance Ryan Beres</w:t>
      </w:r>
      <w:r>
        <w:rPr>
          <w:rFonts w:ascii="Times New Roman" w:hAnsi="Times New Roman"/>
          <w:sz w:val="24"/>
          <w:szCs w:val="24"/>
        </w:rPr>
        <w:t xml:space="preserve">, the Iowa Supreme Court held (7 to 0) that the State is bound by its plea </w:t>
      </w:r>
      <w:proofErr w:type="gramStart"/>
      <w:r>
        <w:rPr>
          <w:rFonts w:ascii="Times New Roman" w:hAnsi="Times New Roman"/>
          <w:sz w:val="24"/>
          <w:szCs w:val="24"/>
        </w:rPr>
        <w:t>agreement, and</w:t>
      </w:r>
      <w:proofErr w:type="gramEnd"/>
      <w:r>
        <w:rPr>
          <w:rFonts w:ascii="Times New Roman" w:hAnsi="Times New Roman"/>
          <w:sz w:val="24"/>
          <w:szCs w:val="24"/>
        </w:rPr>
        <w:t xml:space="preserve"> cannot bring four additional arson charges. </w:t>
      </w:r>
      <w:hyperlink r:id="rId312" w:history="1">
        <w:r w:rsidRPr="00250842">
          <w:rPr>
            <w:rStyle w:val="Hyperlink"/>
            <w:sz w:val="24"/>
            <w:szCs w:val="24"/>
          </w:rPr>
          <w:t>https://www.iowacourts.gov/courtcases/9747/embed/SupremeCourtOpinion</w:t>
        </w:r>
      </w:hyperlink>
      <w:r>
        <w:rPr>
          <w:rFonts w:ascii="Times New Roman" w:hAnsi="Times New Roman"/>
          <w:sz w:val="24"/>
          <w:szCs w:val="24"/>
        </w:rPr>
        <w:t xml:space="preserve"> </w:t>
      </w:r>
    </w:p>
    <w:p w14:paraId="78B1AED6" w14:textId="77777777" w:rsidR="00D94DC4" w:rsidRPr="00F77985" w:rsidRDefault="00D94DC4" w:rsidP="00D94DC4">
      <w:pPr>
        <w:spacing w:before="100" w:beforeAutospacing="1" w:after="100" w:afterAutospacing="1" w:line="240" w:lineRule="auto"/>
        <w:jc w:val="both"/>
        <w:rPr>
          <w:rFonts w:ascii="Times New Roman" w:hAnsi="Times New Roman"/>
          <w:b/>
          <w:bCs/>
          <w:sz w:val="24"/>
          <w:szCs w:val="24"/>
        </w:rPr>
      </w:pPr>
      <w:r w:rsidRPr="00F77985">
        <w:rPr>
          <w:rFonts w:ascii="Times New Roman" w:hAnsi="Times New Roman"/>
          <w:b/>
          <w:bCs/>
          <w:sz w:val="24"/>
          <w:szCs w:val="24"/>
        </w:rPr>
        <w:t>Legal Lessons Learned:</w:t>
      </w:r>
      <w:r>
        <w:rPr>
          <w:rFonts w:ascii="Times New Roman" w:hAnsi="Times New Roman"/>
          <w:b/>
          <w:bCs/>
          <w:sz w:val="24"/>
          <w:szCs w:val="24"/>
        </w:rPr>
        <w:t xml:space="preserve"> Prosecutors should not agree to a plea agreement until the defendant has been thoroughly interviewed, </w:t>
      </w:r>
      <w:proofErr w:type="gramStart"/>
      <w:r>
        <w:rPr>
          <w:rFonts w:ascii="Times New Roman" w:hAnsi="Times New Roman"/>
          <w:b/>
          <w:bCs/>
          <w:sz w:val="24"/>
          <w:szCs w:val="24"/>
        </w:rPr>
        <w:t>and also</w:t>
      </w:r>
      <w:proofErr w:type="gramEnd"/>
      <w:r>
        <w:rPr>
          <w:rFonts w:ascii="Times New Roman" w:hAnsi="Times New Roman"/>
          <w:b/>
          <w:bCs/>
          <w:sz w:val="24"/>
          <w:szCs w:val="24"/>
        </w:rPr>
        <w:t xml:space="preserve"> given a complete, written statement about all his arsons.</w:t>
      </w:r>
    </w:p>
    <w:p w14:paraId="59080C2D" w14:textId="77777777" w:rsidR="00D94DC4" w:rsidRDefault="00D94DC4" w:rsidP="002B1283">
      <w:pPr>
        <w:rPr>
          <w:rFonts w:ascii="Arial Black" w:hAnsi="Arial Black"/>
          <w:b/>
          <w:sz w:val="24"/>
          <w:szCs w:val="24"/>
        </w:rPr>
      </w:pPr>
    </w:p>
    <w:p w14:paraId="28F4E453" w14:textId="77777777" w:rsidR="00D94DC4" w:rsidRDefault="00D94DC4" w:rsidP="002B1283">
      <w:pPr>
        <w:rPr>
          <w:rFonts w:ascii="Arial Black" w:hAnsi="Arial Black"/>
          <w:b/>
          <w:sz w:val="24"/>
          <w:szCs w:val="24"/>
        </w:rPr>
      </w:pPr>
    </w:p>
    <w:p w14:paraId="5DE8CC03" w14:textId="24C80858" w:rsidR="00D94DC4" w:rsidRDefault="00D94DC4" w:rsidP="002B1283">
      <w:pPr>
        <w:rPr>
          <w:rFonts w:ascii="Arial Black" w:hAnsi="Arial Black"/>
          <w:b/>
          <w:sz w:val="24"/>
          <w:szCs w:val="24"/>
        </w:rPr>
      </w:pPr>
      <w:r>
        <w:rPr>
          <w:rFonts w:ascii="Arial Black" w:hAnsi="Arial Black"/>
          <w:b/>
          <w:sz w:val="24"/>
          <w:szCs w:val="24"/>
        </w:rPr>
        <w:t>1-52</w:t>
      </w:r>
    </w:p>
    <w:p w14:paraId="7223CCAC" w14:textId="77777777" w:rsidR="00D94DC4" w:rsidRPr="005B2EA2" w:rsidRDefault="00D94DC4" w:rsidP="00D94DC4">
      <w:pPr>
        <w:spacing w:before="100" w:beforeAutospacing="1" w:after="100" w:afterAutospacing="1" w:line="240" w:lineRule="auto"/>
        <w:rPr>
          <w:rFonts w:ascii="Arial Black" w:eastAsia="Times New Roman" w:hAnsi="Arial Black"/>
          <w:b/>
          <w:bCs/>
          <w:sz w:val="28"/>
          <w:szCs w:val="28"/>
        </w:rPr>
      </w:pPr>
      <w:bookmarkStart w:id="20" w:name="_Hlk69187208"/>
      <w:r w:rsidRPr="005B2EA2">
        <w:rPr>
          <w:rFonts w:ascii="Arial Black" w:eastAsia="Times New Roman" w:hAnsi="Arial Black"/>
          <w:b/>
          <w:bCs/>
          <w:sz w:val="28"/>
          <w:szCs w:val="28"/>
        </w:rPr>
        <w:t>KS:</w:t>
      </w:r>
      <w:r>
        <w:rPr>
          <w:rFonts w:ascii="Arial Black" w:eastAsia="Times New Roman" w:hAnsi="Arial Black"/>
          <w:b/>
          <w:bCs/>
          <w:sz w:val="28"/>
          <w:szCs w:val="28"/>
        </w:rPr>
        <w:t xml:space="preserve"> ARSON - 71-YR-OLD WOMAN, HOUSE FORECLOSURE – ARSON INVESTIGATOR INTERVIEWED HER 2-HOURS IN HOSPITAL – MIRANDA WARNING NOT REQUIRED, NOT IN CUSTODY</w:t>
      </w:r>
    </w:p>
    <w:bookmarkEnd w:id="20"/>
    <w:p w14:paraId="626FCB9B" w14:textId="77777777" w:rsidR="00D94DC4" w:rsidRDefault="00D94DC4" w:rsidP="00D94DC4">
      <w:pPr>
        <w:spacing w:before="100" w:beforeAutospacing="1" w:after="100" w:afterAutospacing="1" w:line="240" w:lineRule="auto"/>
        <w:rPr>
          <w:rFonts w:ascii="Times New Roman" w:hAnsi="Times New Roman"/>
          <w:sz w:val="24"/>
          <w:szCs w:val="24"/>
        </w:rPr>
      </w:pPr>
      <w:r w:rsidRPr="00F53109">
        <w:rPr>
          <w:rFonts w:ascii="Times New Roman" w:eastAsia="Times New Roman" w:hAnsi="Times New Roman"/>
          <w:sz w:val="24"/>
          <w:szCs w:val="24"/>
        </w:rPr>
        <w:t xml:space="preserve">On May 8, 2020, in </w:t>
      </w:r>
      <w:r w:rsidRPr="00F53109">
        <w:rPr>
          <w:rFonts w:ascii="Times New Roman" w:eastAsia="Times New Roman" w:hAnsi="Times New Roman"/>
          <w:sz w:val="24"/>
          <w:szCs w:val="24"/>
          <w:u w:val="single"/>
        </w:rPr>
        <w:t>State of Kansas v. Patricia E. Sinclair</w:t>
      </w:r>
      <w:r>
        <w:rPr>
          <w:rFonts w:ascii="Times New Roman" w:eastAsia="Times New Roman" w:hAnsi="Times New Roman"/>
          <w:sz w:val="24"/>
          <w:szCs w:val="24"/>
        </w:rPr>
        <w:t xml:space="preserve">, the Court of Appeals of State of Kansas, held (3 to 0) in unpublished opinion, that trial judge properly denied her motion to suppress the </w:t>
      </w:r>
      <w:proofErr w:type="gramStart"/>
      <w:r>
        <w:rPr>
          <w:rFonts w:ascii="Times New Roman" w:eastAsia="Times New Roman" w:hAnsi="Times New Roman"/>
          <w:sz w:val="24"/>
          <w:szCs w:val="24"/>
        </w:rPr>
        <w:t>tape recorded</w:t>
      </w:r>
      <w:proofErr w:type="gramEnd"/>
      <w:r>
        <w:rPr>
          <w:rFonts w:ascii="Times New Roman" w:eastAsia="Times New Roman" w:hAnsi="Times New Roman"/>
          <w:sz w:val="24"/>
          <w:szCs w:val="24"/>
        </w:rPr>
        <w:t xml:space="preserve"> interview.  “</w:t>
      </w:r>
      <w:r w:rsidRPr="00F53109">
        <w:rPr>
          <w:rFonts w:ascii="Times New Roman" w:hAnsi="Times New Roman"/>
          <w:sz w:val="24"/>
          <w:szCs w:val="24"/>
        </w:rPr>
        <w:t>Thus, looking at the totality of the circumstances, we find Sinclair's interview was not a custodial interrogation</w:t>
      </w:r>
      <w:r>
        <w:rPr>
          <w:rFonts w:ascii="Times New Roman" w:hAnsi="Times New Roman"/>
          <w:sz w:val="24"/>
          <w:szCs w:val="24"/>
        </w:rPr>
        <w:t xml:space="preserve">.”  </w:t>
      </w:r>
      <w:bookmarkStart w:id="21" w:name="_Hlk69187300"/>
      <w:r w:rsidR="000F483A">
        <w:fldChar w:fldCharType="begin"/>
      </w:r>
      <w:r w:rsidR="000F483A">
        <w:instrText xml:space="preserve"> HYPERLINK "https://www.courtlistener.com/pdf/2020/05/08/state_v._sinclair.pdf" </w:instrText>
      </w:r>
      <w:r w:rsidR="000F483A">
        <w:fldChar w:fldCharType="separate"/>
      </w:r>
      <w:r w:rsidRPr="00B56DB8">
        <w:rPr>
          <w:rStyle w:val="Hyperlink"/>
          <w:sz w:val="24"/>
          <w:szCs w:val="24"/>
        </w:rPr>
        <w:t>https://www.courtlistener.com/pdf/2020/05/08/state_v._sinclair.pdf</w:t>
      </w:r>
      <w:r w:rsidR="000F483A">
        <w:rPr>
          <w:rStyle w:val="Hyperlink"/>
          <w:sz w:val="24"/>
          <w:szCs w:val="24"/>
        </w:rPr>
        <w:fldChar w:fldCharType="end"/>
      </w:r>
      <w:r>
        <w:rPr>
          <w:rFonts w:ascii="Times New Roman" w:hAnsi="Times New Roman"/>
          <w:sz w:val="24"/>
          <w:szCs w:val="24"/>
        </w:rPr>
        <w:t xml:space="preserve"> </w:t>
      </w:r>
    </w:p>
    <w:bookmarkEnd w:id="21"/>
    <w:p w14:paraId="68F48E30" w14:textId="77777777" w:rsidR="00D94DC4" w:rsidRPr="006627F5" w:rsidRDefault="00D94DC4" w:rsidP="00D94DC4">
      <w:pPr>
        <w:spacing w:before="100" w:beforeAutospacing="1" w:after="100" w:afterAutospacing="1" w:line="240" w:lineRule="auto"/>
        <w:rPr>
          <w:rFonts w:ascii="Times New Roman" w:hAnsi="Times New Roman"/>
          <w:b/>
          <w:bCs/>
          <w:sz w:val="24"/>
          <w:szCs w:val="24"/>
        </w:rPr>
      </w:pPr>
      <w:r w:rsidRPr="006627F5">
        <w:rPr>
          <w:rFonts w:ascii="Times New Roman" w:hAnsi="Times New Roman"/>
          <w:b/>
          <w:bCs/>
          <w:sz w:val="24"/>
          <w:szCs w:val="24"/>
        </w:rPr>
        <w:t>Legal Lessons Learned:</w:t>
      </w:r>
      <w:r>
        <w:rPr>
          <w:rFonts w:ascii="Times New Roman" w:hAnsi="Times New Roman"/>
          <w:b/>
          <w:bCs/>
          <w:sz w:val="24"/>
          <w:szCs w:val="24"/>
        </w:rPr>
        <w:t xml:space="preserve"> Non-custodial interviews do not require a </w:t>
      </w:r>
      <w:r w:rsidRPr="006627F5">
        <w:rPr>
          <w:rFonts w:ascii="Times New Roman" w:hAnsi="Times New Roman"/>
          <w:b/>
          <w:bCs/>
          <w:i/>
          <w:iCs/>
          <w:sz w:val="24"/>
          <w:szCs w:val="24"/>
        </w:rPr>
        <w:t>Miranda</w:t>
      </w:r>
      <w:r>
        <w:rPr>
          <w:rFonts w:ascii="Times New Roman" w:hAnsi="Times New Roman"/>
          <w:b/>
          <w:bCs/>
          <w:sz w:val="24"/>
          <w:szCs w:val="24"/>
        </w:rPr>
        <w:t xml:space="preserve"> warning.  One technique is to start interview by informing person that it is an “investigative interview</w:t>
      </w:r>
      <w:proofErr w:type="gramStart"/>
      <w:r>
        <w:rPr>
          <w:rFonts w:ascii="Times New Roman" w:hAnsi="Times New Roman"/>
          <w:b/>
          <w:bCs/>
          <w:sz w:val="24"/>
          <w:szCs w:val="24"/>
        </w:rPr>
        <w:t>”</w:t>
      </w:r>
      <w:proofErr w:type="gramEnd"/>
      <w:r>
        <w:rPr>
          <w:rFonts w:ascii="Times New Roman" w:hAnsi="Times New Roman"/>
          <w:b/>
          <w:bCs/>
          <w:sz w:val="24"/>
          <w:szCs w:val="24"/>
        </w:rPr>
        <w:t xml:space="preserve"> and they are not in custody.</w:t>
      </w:r>
    </w:p>
    <w:p w14:paraId="374F6AA8" w14:textId="77777777" w:rsidR="00D94DC4" w:rsidRDefault="00D94DC4" w:rsidP="002B1283">
      <w:pPr>
        <w:rPr>
          <w:rFonts w:ascii="Arial Black" w:hAnsi="Arial Black"/>
          <w:b/>
          <w:sz w:val="24"/>
          <w:szCs w:val="24"/>
        </w:rPr>
      </w:pPr>
    </w:p>
    <w:p w14:paraId="424ABB80" w14:textId="77777777" w:rsidR="00D94DC4" w:rsidRDefault="00D94DC4" w:rsidP="002B1283">
      <w:pPr>
        <w:rPr>
          <w:rFonts w:ascii="Arial Black" w:hAnsi="Arial Black"/>
          <w:b/>
          <w:sz w:val="24"/>
          <w:szCs w:val="24"/>
        </w:rPr>
      </w:pPr>
    </w:p>
    <w:p w14:paraId="19000881" w14:textId="7CBB8E30" w:rsidR="00D94DC4" w:rsidRDefault="00D94DC4" w:rsidP="002B1283">
      <w:pPr>
        <w:rPr>
          <w:rFonts w:ascii="Arial Black" w:hAnsi="Arial Black"/>
          <w:b/>
          <w:sz w:val="24"/>
          <w:szCs w:val="24"/>
        </w:rPr>
      </w:pPr>
      <w:r>
        <w:rPr>
          <w:rFonts w:ascii="Arial Black" w:hAnsi="Arial Black"/>
          <w:b/>
          <w:sz w:val="24"/>
          <w:szCs w:val="24"/>
        </w:rPr>
        <w:t>1-51</w:t>
      </w:r>
    </w:p>
    <w:p w14:paraId="46DA5E2E" w14:textId="77777777" w:rsidR="00D94DC4" w:rsidRDefault="00D94DC4" w:rsidP="00D94DC4">
      <w:pPr>
        <w:spacing w:before="100" w:beforeAutospacing="1" w:after="100" w:afterAutospacing="1" w:line="240" w:lineRule="auto"/>
        <w:jc w:val="both"/>
        <w:rPr>
          <w:rFonts w:ascii="Arial Black" w:eastAsia="Times New Roman" w:hAnsi="Arial Black"/>
          <w:b/>
          <w:bCs/>
          <w:sz w:val="28"/>
          <w:szCs w:val="28"/>
        </w:rPr>
      </w:pPr>
      <w:r w:rsidRPr="002A7FBD">
        <w:rPr>
          <w:rFonts w:ascii="Arial Black" w:eastAsia="Times New Roman" w:hAnsi="Arial Black"/>
          <w:b/>
          <w:bCs/>
          <w:sz w:val="28"/>
          <w:szCs w:val="28"/>
        </w:rPr>
        <w:t>U.S.</w:t>
      </w:r>
      <w:r>
        <w:rPr>
          <w:rFonts w:ascii="Arial Black" w:eastAsia="Times New Roman" w:hAnsi="Arial Black"/>
          <w:b/>
          <w:bCs/>
          <w:sz w:val="28"/>
          <w:szCs w:val="28"/>
        </w:rPr>
        <w:t xml:space="preserve"> SUP. CT: NJ GOV STAFF SHUT DOWN LANES GW BRIDGE – POL. “BACKBACK” MAYOR FT. LEE – FED. CONVICTIONS </w:t>
      </w:r>
      <w:r w:rsidRPr="00D13D07">
        <w:rPr>
          <w:rFonts w:ascii="Arial Black" w:eastAsia="Times New Roman" w:hAnsi="Arial Black"/>
          <w:sz w:val="28"/>
          <w:szCs w:val="28"/>
        </w:rPr>
        <w:t>PROGRAM FRAUD</w:t>
      </w:r>
      <w:r>
        <w:rPr>
          <w:rFonts w:ascii="Arial Black" w:eastAsia="Times New Roman" w:hAnsi="Arial Black"/>
          <w:sz w:val="28"/>
          <w:szCs w:val="28"/>
        </w:rPr>
        <w:t xml:space="preserve"> &amp; </w:t>
      </w:r>
      <w:r w:rsidRPr="00D13D07">
        <w:rPr>
          <w:rFonts w:ascii="Arial Black" w:eastAsia="Times New Roman" w:hAnsi="Arial Black"/>
          <w:sz w:val="28"/>
          <w:szCs w:val="28"/>
        </w:rPr>
        <w:t>WIRE FRAUD</w:t>
      </w:r>
      <w:r>
        <w:rPr>
          <w:rFonts w:ascii="Arial Black" w:eastAsia="Times New Roman" w:hAnsi="Arial Black"/>
          <w:sz w:val="28"/>
          <w:szCs w:val="28"/>
        </w:rPr>
        <w:t xml:space="preserve"> REVERSED  </w:t>
      </w:r>
      <w:r>
        <w:rPr>
          <w:rFonts w:ascii="Arial Black" w:eastAsia="Times New Roman" w:hAnsi="Arial Black"/>
          <w:b/>
          <w:bCs/>
          <w:sz w:val="28"/>
          <w:szCs w:val="28"/>
        </w:rPr>
        <w:t xml:space="preserve"> </w:t>
      </w:r>
    </w:p>
    <w:p w14:paraId="425BEA2B" w14:textId="77777777" w:rsidR="00D94DC4" w:rsidRPr="009920B4" w:rsidRDefault="00D94DC4" w:rsidP="00D94DC4">
      <w:pPr>
        <w:spacing w:before="100" w:beforeAutospacing="1" w:after="100" w:afterAutospacing="1" w:line="240" w:lineRule="auto"/>
        <w:jc w:val="both"/>
        <w:rPr>
          <w:rFonts w:ascii="Times New Roman" w:eastAsia="Times New Roman" w:hAnsi="Times New Roman"/>
          <w:sz w:val="24"/>
          <w:szCs w:val="24"/>
        </w:rPr>
      </w:pPr>
      <w:r w:rsidRPr="009920B4">
        <w:rPr>
          <w:rFonts w:ascii="Times New Roman" w:eastAsia="Times New Roman" w:hAnsi="Times New Roman"/>
          <w:sz w:val="24"/>
          <w:szCs w:val="24"/>
        </w:rPr>
        <w:t xml:space="preserve">On May 7, 2020, in </w:t>
      </w:r>
      <w:r w:rsidRPr="009920B4">
        <w:rPr>
          <w:rFonts w:ascii="Times New Roman" w:eastAsia="Times New Roman" w:hAnsi="Times New Roman"/>
          <w:sz w:val="24"/>
          <w:szCs w:val="24"/>
          <w:u w:val="single"/>
        </w:rPr>
        <w:t>Bridget Anne Kelly v. United States, et al</w:t>
      </w:r>
      <w:r w:rsidRPr="009920B4">
        <w:rPr>
          <w:rFonts w:ascii="Times New Roman" w:eastAsia="Times New Roman" w:hAnsi="Times New Roman"/>
          <w:sz w:val="24"/>
          <w:szCs w:val="24"/>
        </w:rPr>
        <w:t>., the U.S. Supreme Court (9 to 0) held that convictions of Ms. Kelly</w:t>
      </w:r>
      <w:r>
        <w:rPr>
          <w:rFonts w:ascii="Times New Roman" w:eastAsia="Times New Roman" w:hAnsi="Times New Roman"/>
          <w:sz w:val="24"/>
          <w:szCs w:val="24"/>
        </w:rPr>
        <w:t xml:space="preserve">, Deputy Chief of Staff of New Jersey Governor Chris Christie, </w:t>
      </w:r>
      <w:r w:rsidRPr="009920B4">
        <w:rPr>
          <w:rFonts w:ascii="Times New Roman" w:eastAsia="Times New Roman" w:hAnsi="Times New Roman"/>
          <w:sz w:val="24"/>
          <w:szCs w:val="24"/>
        </w:rPr>
        <w:t xml:space="preserve">and </w:t>
      </w:r>
      <w:r w:rsidRPr="009920B4">
        <w:rPr>
          <w:rFonts w:ascii="Times New Roman" w:hAnsi="Times New Roman"/>
          <w:sz w:val="24"/>
          <w:szCs w:val="24"/>
        </w:rPr>
        <w:t>William Baroni</w:t>
      </w:r>
      <w:r>
        <w:rPr>
          <w:rFonts w:ascii="Times New Roman" w:hAnsi="Times New Roman"/>
          <w:sz w:val="24"/>
          <w:szCs w:val="24"/>
        </w:rPr>
        <w:t xml:space="preserve">, Deputy Executive Director of tri-state Port Authority, </w:t>
      </w:r>
      <w:r w:rsidRPr="009920B4">
        <w:rPr>
          <w:rFonts w:ascii="Times New Roman" w:hAnsi="Times New Roman"/>
          <w:sz w:val="24"/>
          <w:szCs w:val="24"/>
        </w:rPr>
        <w:t xml:space="preserve">were reversed.  </w:t>
      </w:r>
      <w:r>
        <w:rPr>
          <w:rFonts w:ascii="Times New Roman" w:hAnsi="Times New Roman"/>
          <w:sz w:val="24"/>
          <w:szCs w:val="24"/>
        </w:rPr>
        <w:t>Justice Elana Kagan, writing for unanimous Court, wrote: “</w:t>
      </w:r>
      <w:r w:rsidRPr="009920B4">
        <w:rPr>
          <w:rFonts w:ascii="Times New Roman" w:hAnsi="Times New Roman"/>
          <w:sz w:val="24"/>
          <w:szCs w:val="24"/>
        </w:rPr>
        <w:t>But not every corrupt act by state or local officials is a federal crime. Because the scheme here did not aim to obtain money or property, Baroni and Kelly could not</w:t>
      </w:r>
      <w:r>
        <w:rPr>
          <w:rFonts w:ascii="Times New Roman" w:hAnsi="Times New Roman"/>
          <w:sz w:val="24"/>
          <w:szCs w:val="24"/>
        </w:rPr>
        <w:t xml:space="preserve"> </w:t>
      </w:r>
      <w:r w:rsidRPr="009920B4">
        <w:rPr>
          <w:rFonts w:ascii="Times New Roman" w:hAnsi="Times New Roman"/>
          <w:sz w:val="24"/>
          <w:szCs w:val="24"/>
        </w:rPr>
        <w:t xml:space="preserve">have violated the federal-program fraud or wire fraud </w:t>
      </w:r>
      <w:proofErr w:type="gramStart"/>
      <w:r w:rsidRPr="009920B4">
        <w:rPr>
          <w:rFonts w:ascii="Times New Roman" w:hAnsi="Times New Roman"/>
          <w:sz w:val="24"/>
          <w:szCs w:val="24"/>
        </w:rPr>
        <w:t>laws.</w:t>
      </w:r>
      <w:r>
        <w:rPr>
          <w:rFonts w:ascii="Times New Roman" w:hAnsi="Times New Roman"/>
          <w:sz w:val="24"/>
          <w:szCs w:val="24"/>
        </w:rPr>
        <w:t>”</w:t>
      </w:r>
      <w:proofErr w:type="gramEnd"/>
      <w:r>
        <w:rPr>
          <w:rFonts w:ascii="Times New Roman" w:hAnsi="Times New Roman"/>
          <w:sz w:val="24"/>
          <w:szCs w:val="24"/>
        </w:rPr>
        <w:t xml:space="preserve"> </w:t>
      </w:r>
      <w:hyperlink r:id="rId313" w:history="1">
        <w:r w:rsidRPr="00502F08">
          <w:rPr>
            <w:rStyle w:val="Hyperlink"/>
            <w:sz w:val="24"/>
            <w:szCs w:val="24"/>
          </w:rPr>
          <w:t>https://www.supremecourt.gov/opinions/19pdf/18-1059_e2p3.pdf</w:t>
        </w:r>
      </w:hyperlink>
      <w:r w:rsidRPr="009920B4">
        <w:rPr>
          <w:rFonts w:ascii="Times New Roman" w:hAnsi="Times New Roman"/>
          <w:sz w:val="24"/>
          <w:szCs w:val="24"/>
        </w:rPr>
        <w:t xml:space="preserve"> </w:t>
      </w:r>
    </w:p>
    <w:p w14:paraId="478DB97C" w14:textId="77777777" w:rsidR="00D94DC4" w:rsidRPr="008A7C9E" w:rsidRDefault="00D94DC4" w:rsidP="00D94DC4">
      <w:pPr>
        <w:spacing w:before="100" w:beforeAutospacing="1" w:after="100" w:afterAutospacing="1" w:line="240" w:lineRule="auto"/>
        <w:jc w:val="both"/>
        <w:rPr>
          <w:rFonts w:ascii="Times New Roman" w:eastAsia="Times New Roman" w:hAnsi="Times New Roman"/>
          <w:b/>
          <w:bCs/>
          <w:sz w:val="24"/>
          <w:szCs w:val="24"/>
        </w:rPr>
      </w:pPr>
      <w:r w:rsidRPr="008A7C9E">
        <w:rPr>
          <w:rFonts w:ascii="Times New Roman" w:hAnsi="Times New Roman"/>
          <w:b/>
          <w:bCs/>
          <w:sz w:val="24"/>
          <w:szCs w:val="24"/>
        </w:rPr>
        <w:t>Legal Lessons Learned: Public corruption is a common issue; Fire &amp; EMS must be extremely careful in expending funds for only public purposes</w:t>
      </w:r>
      <w:r>
        <w:rPr>
          <w:rFonts w:ascii="Times New Roman" w:hAnsi="Times New Roman"/>
          <w:b/>
          <w:bCs/>
          <w:sz w:val="24"/>
          <w:szCs w:val="24"/>
        </w:rPr>
        <w:t xml:space="preserve"> [classic case of using fire engine to fill a politician’s pool can result in state criminal charges]. </w:t>
      </w:r>
    </w:p>
    <w:p w14:paraId="07F23BA6" w14:textId="77777777" w:rsidR="00D94DC4" w:rsidRDefault="00D94DC4" w:rsidP="002B1283">
      <w:pPr>
        <w:rPr>
          <w:rFonts w:ascii="Arial Black" w:hAnsi="Arial Black"/>
          <w:b/>
          <w:sz w:val="24"/>
          <w:szCs w:val="24"/>
        </w:rPr>
      </w:pPr>
    </w:p>
    <w:p w14:paraId="585EEE4F" w14:textId="77777777" w:rsidR="00D94DC4" w:rsidRDefault="00D94DC4" w:rsidP="002B1283">
      <w:pPr>
        <w:rPr>
          <w:rFonts w:ascii="Arial Black" w:hAnsi="Arial Black"/>
          <w:b/>
          <w:sz w:val="24"/>
          <w:szCs w:val="24"/>
        </w:rPr>
      </w:pPr>
    </w:p>
    <w:p w14:paraId="270B12B9" w14:textId="77777777" w:rsidR="00D94DC4" w:rsidRDefault="00D94DC4" w:rsidP="002B1283">
      <w:pPr>
        <w:rPr>
          <w:rFonts w:ascii="Arial Black" w:hAnsi="Arial Black"/>
          <w:b/>
          <w:sz w:val="24"/>
          <w:szCs w:val="24"/>
        </w:rPr>
      </w:pPr>
    </w:p>
    <w:p w14:paraId="179AF845" w14:textId="2DE2F4D1" w:rsidR="00A01ACA" w:rsidRDefault="00A01ACA" w:rsidP="002B1283">
      <w:pPr>
        <w:rPr>
          <w:rFonts w:ascii="Arial Black" w:hAnsi="Arial Black"/>
          <w:b/>
          <w:sz w:val="24"/>
          <w:szCs w:val="24"/>
        </w:rPr>
      </w:pPr>
      <w:r>
        <w:rPr>
          <w:rFonts w:ascii="Arial Black" w:hAnsi="Arial Black"/>
          <w:b/>
          <w:sz w:val="24"/>
          <w:szCs w:val="24"/>
        </w:rPr>
        <w:t>1-</w:t>
      </w:r>
      <w:r w:rsidR="00D94DC4">
        <w:rPr>
          <w:rFonts w:ascii="Arial Black" w:hAnsi="Arial Black"/>
          <w:b/>
          <w:sz w:val="24"/>
          <w:szCs w:val="24"/>
        </w:rPr>
        <w:t>50</w:t>
      </w:r>
    </w:p>
    <w:p w14:paraId="5CD7EC60" w14:textId="77777777" w:rsidR="00A01ACA" w:rsidRPr="00845EB0" w:rsidRDefault="00A01ACA" w:rsidP="00A01ACA">
      <w:pPr>
        <w:pStyle w:val="NoSpacing"/>
        <w:rPr>
          <w:rStyle w:val="citation"/>
          <w:rFonts w:ascii="Arial Black" w:hAnsi="Arial Black"/>
          <w:sz w:val="28"/>
          <w:szCs w:val="28"/>
        </w:rPr>
      </w:pPr>
      <w:r w:rsidRPr="001A0E1F">
        <w:rPr>
          <w:rStyle w:val="citation"/>
          <w:rFonts w:ascii="Arial Black" w:hAnsi="Arial Black"/>
          <w:sz w:val="28"/>
          <w:szCs w:val="28"/>
        </w:rPr>
        <w:t xml:space="preserve">FL: </w:t>
      </w:r>
      <w:r>
        <w:rPr>
          <w:rStyle w:val="citation"/>
          <w:rFonts w:ascii="Arial Black" w:hAnsi="Arial Black"/>
          <w:sz w:val="28"/>
          <w:szCs w:val="28"/>
        </w:rPr>
        <w:t xml:space="preserve">POLICE CANINES – BOTH ALERTED BODY ODOR IN CAR - MURDER CONVICTION UPHELD - </w:t>
      </w:r>
      <w:r w:rsidRPr="00845EB0">
        <w:rPr>
          <w:rStyle w:val="citation"/>
          <w:rFonts w:ascii="Arial Black" w:hAnsi="Arial Black"/>
          <w:i/>
          <w:iCs/>
          <w:sz w:val="28"/>
          <w:szCs w:val="28"/>
        </w:rPr>
        <w:t>DAUBERT</w:t>
      </w:r>
      <w:r>
        <w:rPr>
          <w:rStyle w:val="citation"/>
          <w:rFonts w:ascii="Arial Black" w:hAnsi="Arial Black"/>
          <w:i/>
          <w:iCs/>
          <w:sz w:val="28"/>
          <w:szCs w:val="28"/>
        </w:rPr>
        <w:t xml:space="preserve"> </w:t>
      </w:r>
      <w:r>
        <w:rPr>
          <w:rStyle w:val="citation"/>
          <w:rFonts w:ascii="Arial Black" w:hAnsi="Arial Black"/>
          <w:sz w:val="28"/>
          <w:szCs w:val="28"/>
        </w:rPr>
        <w:t xml:space="preserve">STANDARD </w:t>
      </w:r>
    </w:p>
    <w:p w14:paraId="45E88309" w14:textId="77777777" w:rsidR="006E2F85" w:rsidRDefault="006E2F85" w:rsidP="00A01ACA">
      <w:pPr>
        <w:tabs>
          <w:tab w:val="left" w:pos="5590"/>
        </w:tabs>
        <w:rPr>
          <w:rStyle w:val="citation"/>
          <w:rFonts w:ascii="Times New Roman" w:hAnsi="Times New Roman"/>
          <w:sz w:val="24"/>
          <w:szCs w:val="24"/>
        </w:rPr>
      </w:pPr>
    </w:p>
    <w:p w14:paraId="23A1618A" w14:textId="4DE0D8C3" w:rsidR="00A01ACA" w:rsidRDefault="00A01ACA" w:rsidP="00A01ACA">
      <w:pPr>
        <w:tabs>
          <w:tab w:val="left" w:pos="5590"/>
        </w:tabs>
        <w:rPr>
          <w:rStyle w:val="citation"/>
          <w:rFonts w:ascii="Times New Roman" w:hAnsi="Times New Roman"/>
          <w:sz w:val="24"/>
          <w:szCs w:val="24"/>
        </w:rPr>
      </w:pPr>
      <w:r w:rsidRPr="00002F10">
        <w:rPr>
          <w:rStyle w:val="citation"/>
          <w:rFonts w:ascii="Times New Roman" w:hAnsi="Times New Roman"/>
          <w:sz w:val="24"/>
          <w:szCs w:val="24"/>
        </w:rPr>
        <w:t xml:space="preserve">On April 22, 2020, in </w:t>
      </w:r>
      <w:r w:rsidRPr="00002F10">
        <w:rPr>
          <w:rStyle w:val="citation"/>
          <w:rFonts w:ascii="Times New Roman" w:hAnsi="Times New Roman"/>
          <w:sz w:val="24"/>
          <w:szCs w:val="24"/>
          <w:u w:val="single"/>
        </w:rPr>
        <w:t>Cid Torrez v. State of Florida</w:t>
      </w:r>
      <w:r w:rsidRPr="00002F10">
        <w:rPr>
          <w:rStyle w:val="citation"/>
          <w:rFonts w:ascii="Times New Roman" w:hAnsi="Times New Roman"/>
          <w:sz w:val="24"/>
          <w:szCs w:val="24"/>
        </w:rPr>
        <w:t xml:space="preserve">, </w:t>
      </w:r>
      <w:r>
        <w:rPr>
          <w:rStyle w:val="citation"/>
          <w:rFonts w:ascii="Times New Roman" w:hAnsi="Times New Roman"/>
          <w:sz w:val="24"/>
          <w:szCs w:val="24"/>
        </w:rPr>
        <w:t xml:space="preserve">the District Court of Appeal of the State of Florida (Fourth District), held (3 to 0) that the trial court properly allowed two police detectives and an expert witness to testify that the dogs alerted to human body odor in trunk of defendant’s vehicle. The defendant was convicted of </w:t>
      </w:r>
      <w:proofErr w:type="gramStart"/>
      <w:r>
        <w:rPr>
          <w:rStyle w:val="citation"/>
          <w:rFonts w:ascii="Times New Roman" w:hAnsi="Times New Roman"/>
          <w:sz w:val="24"/>
          <w:szCs w:val="24"/>
        </w:rPr>
        <w:t>murder of</w:t>
      </w:r>
      <w:proofErr w:type="gramEnd"/>
      <w:r>
        <w:rPr>
          <w:rStyle w:val="citation"/>
          <w:rFonts w:ascii="Times New Roman" w:hAnsi="Times New Roman"/>
          <w:sz w:val="24"/>
          <w:szCs w:val="24"/>
        </w:rPr>
        <w:t xml:space="preserve"> his wife, even though her body was never discovered.  The Court found canine evidence admissible under the </w:t>
      </w:r>
      <w:r w:rsidRPr="00832E13">
        <w:rPr>
          <w:rStyle w:val="citation"/>
          <w:rFonts w:ascii="Times New Roman" w:hAnsi="Times New Roman"/>
          <w:i/>
          <w:iCs/>
          <w:sz w:val="24"/>
          <w:szCs w:val="24"/>
        </w:rPr>
        <w:t>Daubert</w:t>
      </w:r>
      <w:r>
        <w:rPr>
          <w:rStyle w:val="citation"/>
          <w:rFonts w:ascii="Times New Roman" w:hAnsi="Times New Roman"/>
          <w:sz w:val="24"/>
          <w:szCs w:val="24"/>
        </w:rPr>
        <w:t xml:space="preserve"> standard [U.S. Supreme Court’s decision in </w:t>
      </w:r>
      <w:r w:rsidRPr="00832E13">
        <w:rPr>
          <w:rFonts w:ascii="Times New Roman" w:hAnsi="Times New Roman"/>
          <w:sz w:val="24"/>
          <w:szCs w:val="24"/>
        </w:rPr>
        <w:t>Daubert v. Merrell Dow Pharmaceuticals (92-102), 509 U.S. 579 (1993)</w:t>
      </w:r>
      <w:r>
        <w:rPr>
          <w:rFonts w:ascii="Times New Roman" w:hAnsi="Times New Roman"/>
          <w:sz w:val="24"/>
          <w:szCs w:val="24"/>
        </w:rPr>
        <w:t>]</w:t>
      </w:r>
      <w:r w:rsidRPr="00832E13">
        <w:rPr>
          <w:rFonts w:ascii="Times New Roman" w:hAnsi="Times New Roman"/>
          <w:sz w:val="24"/>
          <w:szCs w:val="24"/>
        </w:rPr>
        <w:t xml:space="preserve">. </w:t>
      </w:r>
      <w:bookmarkStart w:id="22" w:name="_Hlk39765274"/>
      <w:r>
        <w:rPr>
          <w:rStyle w:val="citation"/>
          <w:rFonts w:ascii="Times New Roman" w:hAnsi="Times New Roman"/>
          <w:sz w:val="24"/>
          <w:szCs w:val="24"/>
        </w:rPr>
        <w:t xml:space="preserve">Judge Mark W. Klingensmith, in his decision for the Court, cited Bob Dylan song: </w:t>
      </w:r>
    </w:p>
    <w:p w14:paraId="01279F70" w14:textId="77777777" w:rsidR="00A01ACA" w:rsidRDefault="00A01ACA" w:rsidP="00A01ACA">
      <w:pPr>
        <w:tabs>
          <w:tab w:val="left" w:pos="5590"/>
        </w:tabs>
        <w:ind w:left="720"/>
        <w:rPr>
          <w:rStyle w:val="citation"/>
          <w:rFonts w:ascii="Times New Roman" w:hAnsi="Times New Roman"/>
          <w:sz w:val="24"/>
          <w:szCs w:val="24"/>
        </w:rPr>
      </w:pPr>
      <w:r>
        <w:rPr>
          <w:rStyle w:val="citation"/>
          <w:rFonts w:ascii="Times New Roman" w:hAnsi="Times New Roman"/>
          <w:sz w:val="24"/>
          <w:szCs w:val="24"/>
        </w:rPr>
        <w:t xml:space="preserve"> </w:t>
      </w:r>
      <w:r w:rsidRPr="00002F10">
        <w:rPr>
          <w:rStyle w:val="citation"/>
          <w:rFonts w:ascii="Times New Roman" w:hAnsi="Times New Roman"/>
          <w:sz w:val="24"/>
          <w:szCs w:val="24"/>
        </w:rPr>
        <w:t>“</w:t>
      </w:r>
      <w:r w:rsidRPr="00002F10">
        <w:rPr>
          <w:rFonts w:ascii="Times New Roman" w:hAnsi="Times New Roman"/>
          <w:sz w:val="24"/>
          <w:szCs w:val="24"/>
        </w:rPr>
        <w:t xml:space="preserve">The evidence of the reliability of a dog’s alert is “readily understood by a jury.” … </w:t>
      </w:r>
      <w:r w:rsidRPr="00002F10">
        <w:rPr>
          <w:rStyle w:val="citation"/>
          <w:rFonts w:ascii="Times New Roman" w:hAnsi="Times New Roman"/>
          <w:sz w:val="24"/>
          <w:szCs w:val="24"/>
        </w:rPr>
        <w:t xml:space="preserve"> </w:t>
      </w:r>
      <w:r w:rsidRPr="00002F10">
        <w:rPr>
          <w:rFonts w:ascii="Times New Roman" w:hAnsi="Times New Roman"/>
          <w:sz w:val="24"/>
          <w:szCs w:val="24"/>
        </w:rPr>
        <w:t xml:space="preserve">Or as </w:t>
      </w:r>
      <w:r>
        <w:rPr>
          <w:rFonts w:ascii="Times New Roman" w:hAnsi="Times New Roman"/>
          <w:sz w:val="24"/>
          <w:szCs w:val="24"/>
        </w:rPr>
        <w:t xml:space="preserve">    </w:t>
      </w:r>
      <w:r w:rsidRPr="00002F10">
        <w:rPr>
          <w:rFonts w:ascii="Times New Roman" w:hAnsi="Times New Roman"/>
          <w:sz w:val="24"/>
          <w:szCs w:val="24"/>
        </w:rPr>
        <w:t>Bob Dylan once said, “you don’t need a weatherman to know which way the wind blows.” BOB DYLAN,</w:t>
      </w:r>
      <w:r>
        <w:rPr>
          <w:rFonts w:ascii="Times New Roman" w:hAnsi="Times New Roman"/>
          <w:sz w:val="24"/>
          <w:szCs w:val="24"/>
        </w:rPr>
        <w:t xml:space="preserve"> </w:t>
      </w:r>
      <w:r w:rsidRPr="00002F10">
        <w:rPr>
          <w:rFonts w:ascii="Times New Roman" w:hAnsi="Times New Roman"/>
          <w:sz w:val="24"/>
          <w:szCs w:val="24"/>
        </w:rPr>
        <w:t>Subterranean Homesick Blues, on BRINGING IT ALL BACK HOME (Columbia Records 1965).</w:t>
      </w:r>
      <w:r>
        <w:rPr>
          <w:rFonts w:ascii="Times New Roman" w:hAnsi="Times New Roman"/>
          <w:sz w:val="24"/>
          <w:szCs w:val="24"/>
        </w:rPr>
        <w:t xml:space="preserve">” </w:t>
      </w:r>
      <w:hyperlink r:id="rId314" w:history="1">
        <w:r w:rsidRPr="00643124">
          <w:rPr>
            <w:rStyle w:val="Hyperlink"/>
            <w:rFonts w:ascii="Times New Roman" w:hAnsi="Times New Roman"/>
            <w:sz w:val="24"/>
            <w:szCs w:val="24"/>
          </w:rPr>
          <w:t>https://www.courtlistener.com/opinion/4747432/cid-torrez-v-state-of-florida/</w:t>
        </w:r>
      </w:hyperlink>
      <w:r>
        <w:rPr>
          <w:rFonts w:ascii="Times New Roman" w:hAnsi="Times New Roman"/>
          <w:sz w:val="24"/>
          <w:szCs w:val="24"/>
        </w:rPr>
        <w:t xml:space="preserve"> </w:t>
      </w:r>
    </w:p>
    <w:bookmarkEnd w:id="22"/>
    <w:p w14:paraId="72731103"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
          <w:bCs/>
          <w:sz w:val="24"/>
          <w:szCs w:val="24"/>
        </w:rPr>
        <w:t xml:space="preserve">Legal Lessons Learned: The </w:t>
      </w:r>
      <w:r w:rsidRPr="00976742">
        <w:rPr>
          <w:rFonts w:ascii="Times New Roman" w:hAnsi="Times New Roman"/>
          <w:b/>
          <w:bCs/>
          <w:i/>
          <w:iCs/>
          <w:sz w:val="24"/>
          <w:szCs w:val="24"/>
        </w:rPr>
        <w:t xml:space="preserve">Daubert </w:t>
      </w:r>
      <w:r w:rsidRPr="00976742">
        <w:rPr>
          <w:rFonts w:ascii="Times New Roman" w:hAnsi="Times New Roman"/>
          <w:b/>
          <w:bCs/>
          <w:sz w:val="24"/>
          <w:szCs w:val="24"/>
        </w:rPr>
        <w:t xml:space="preserve">standard must be met for expert testimony, including testimony by canine handlers.  </w:t>
      </w:r>
    </w:p>
    <w:p w14:paraId="436092BB" w14:textId="77777777" w:rsidR="00A01ACA" w:rsidRPr="00976742" w:rsidRDefault="00A01ACA" w:rsidP="00A01ACA">
      <w:pPr>
        <w:pStyle w:val="NoSpacing"/>
        <w:rPr>
          <w:rFonts w:ascii="Times New Roman" w:hAnsi="Times New Roman"/>
          <w:b/>
          <w:bCs/>
          <w:sz w:val="24"/>
          <w:szCs w:val="24"/>
        </w:rPr>
      </w:pPr>
    </w:p>
    <w:p w14:paraId="6AE9E679"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 xml:space="preserve">Note: The U.S. Supreme Court decision in </w:t>
      </w:r>
      <w:r w:rsidRPr="00976742">
        <w:rPr>
          <w:rFonts w:ascii="Times New Roman" w:hAnsi="Times New Roman"/>
          <w:bCs/>
          <w:i/>
          <w:iCs/>
          <w:sz w:val="24"/>
          <w:szCs w:val="24"/>
        </w:rPr>
        <w:t>Daubert v. Merrell Dow Pharmaceuticals, Inc.</w:t>
      </w:r>
      <w:r w:rsidRPr="00976742">
        <w:rPr>
          <w:rFonts w:ascii="Times New Roman" w:hAnsi="Times New Roman"/>
          <w:bCs/>
          <w:sz w:val="24"/>
          <w:szCs w:val="24"/>
        </w:rPr>
        <w:t xml:space="preserve">, 509 U.S. 579 (1993), involved a lawsuit alleging that birth defects might have been caused by pregnant women taking Bendectin for anti-nausea.  The federal judge granted summary judgment to Merrell Dow, finding plaintiff’s expert testimony was not based on medical studies of humans, but based “upon ‘in vitro’ (test tube) and ‘in vivo’ (live) animal studies that found a link between Bendectin and malformations.”  </w:t>
      </w:r>
      <w:hyperlink r:id="rId315" w:history="1">
        <w:r w:rsidRPr="00976742">
          <w:rPr>
            <w:rStyle w:val="Hyperlink"/>
            <w:rFonts w:ascii="Times New Roman" w:hAnsi="Times New Roman"/>
            <w:b/>
            <w:sz w:val="24"/>
            <w:szCs w:val="24"/>
          </w:rPr>
          <w:t>https://www.law.cornell.edu/supct/html/92-102.ZO.html</w:t>
        </w:r>
      </w:hyperlink>
      <w:r w:rsidRPr="00976742">
        <w:rPr>
          <w:rFonts w:ascii="Times New Roman" w:hAnsi="Times New Roman"/>
          <w:bCs/>
          <w:sz w:val="24"/>
          <w:szCs w:val="24"/>
        </w:rPr>
        <w:t>.   The Supreme Court remanded the case, and directed the judge to decide if the plaintiffs’ experts met Rule 702 of the Federal Rules of Evidence, which provides (in part):</w:t>
      </w:r>
    </w:p>
    <w:p w14:paraId="2A3BA84B" w14:textId="77777777" w:rsidR="00A01ACA" w:rsidRPr="00976742" w:rsidRDefault="00A01ACA" w:rsidP="00A01ACA">
      <w:pPr>
        <w:pStyle w:val="NoSpacing"/>
        <w:ind w:left="1440"/>
        <w:rPr>
          <w:rFonts w:ascii="Times New Roman" w:eastAsia="Times New Roman" w:hAnsi="Times New Roman"/>
          <w:b/>
          <w:bCs/>
          <w:sz w:val="24"/>
          <w:szCs w:val="24"/>
        </w:rPr>
      </w:pPr>
    </w:p>
    <w:p w14:paraId="4DB4144C" w14:textId="77777777" w:rsidR="00A01ACA" w:rsidRPr="00976742" w:rsidRDefault="00A01ACA" w:rsidP="00A01ACA">
      <w:pPr>
        <w:pStyle w:val="NoSpacing"/>
        <w:ind w:left="1440"/>
        <w:rPr>
          <w:rFonts w:ascii="Times New Roman" w:hAnsi="Times New Roman"/>
          <w:b/>
          <w:bCs/>
          <w:sz w:val="24"/>
          <w:szCs w:val="24"/>
        </w:rPr>
      </w:pPr>
      <w:r>
        <w:rPr>
          <w:rFonts w:ascii="Times New Roman" w:eastAsia="Times New Roman" w:hAnsi="Times New Roman"/>
          <w:bCs/>
          <w:sz w:val="24"/>
          <w:szCs w:val="24"/>
        </w:rPr>
        <w:t>“</w:t>
      </w:r>
      <w:r w:rsidRPr="00976742">
        <w:rPr>
          <w:rFonts w:ascii="Times New Roman" w:eastAsia="Times New Roman" w:hAnsi="Times New Roman"/>
          <w:bCs/>
          <w:sz w:val="24"/>
          <w:szCs w:val="24"/>
        </w:rPr>
        <w:t>If scientific, technical, or other specialized knowledge will assist the trier of fact to understand the evidence or to determine a fact in issue, a witness qualified as an expert by knowledge, skill, experience, training, or education, may testify thereto in the form of an opinion or otherwise...</w:t>
      </w:r>
      <w:r>
        <w:rPr>
          <w:rFonts w:ascii="Times New Roman" w:eastAsia="Times New Roman" w:hAnsi="Times New Roman"/>
          <w:bCs/>
          <w:sz w:val="24"/>
          <w:szCs w:val="24"/>
        </w:rPr>
        <w:t>.”</w:t>
      </w:r>
      <w:r w:rsidRPr="00976742">
        <w:rPr>
          <w:rFonts w:ascii="Times New Roman" w:eastAsia="Times New Roman" w:hAnsi="Times New Roman"/>
          <w:bCs/>
          <w:sz w:val="24"/>
          <w:szCs w:val="24"/>
        </w:rPr>
        <w:t xml:space="preserve"> </w:t>
      </w:r>
    </w:p>
    <w:p w14:paraId="107B734A" w14:textId="77777777" w:rsidR="00A01ACA" w:rsidRPr="00976742" w:rsidRDefault="00A01ACA" w:rsidP="00A01ACA">
      <w:pPr>
        <w:pStyle w:val="NoSpacing"/>
        <w:ind w:left="720"/>
        <w:rPr>
          <w:rFonts w:ascii="Times New Roman" w:hAnsi="Times New Roman"/>
          <w:b/>
          <w:bCs/>
          <w:i/>
          <w:iCs/>
          <w:sz w:val="24"/>
          <w:szCs w:val="24"/>
        </w:rPr>
      </w:pPr>
    </w:p>
    <w:p w14:paraId="6B02A2E4"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 xml:space="preserve">The U.S. Supreme Court applied those standards in </w:t>
      </w:r>
      <w:r w:rsidRPr="00976742">
        <w:rPr>
          <w:rFonts w:ascii="Times New Roman" w:hAnsi="Times New Roman"/>
          <w:bCs/>
          <w:i/>
          <w:iCs/>
          <w:sz w:val="24"/>
          <w:szCs w:val="24"/>
        </w:rPr>
        <w:t>Kumho Tire Co. v. Carmichael</w:t>
      </w:r>
      <w:r w:rsidRPr="00976742">
        <w:rPr>
          <w:rFonts w:ascii="Times New Roman" w:hAnsi="Times New Roman"/>
          <w:bCs/>
          <w:sz w:val="24"/>
          <w:szCs w:val="24"/>
        </w:rPr>
        <w:t xml:space="preserve">, 526 U.S. 137 (1999), involving steel belted radial tire on a minivan, where passenger was killed.  The Court rejected the plaintiff’s tire expert: “Applying these standards, we determine that the District Court's decision in this case—not to admit certain expert testimony—was within its discretion and therefore lawful.” </w:t>
      </w:r>
      <w:hyperlink r:id="rId316" w:history="1">
        <w:r w:rsidRPr="00976742">
          <w:rPr>
            <w:rStyle w:val="Hyperlink"/>
            <w:rFonts w:ascii="Times New Roman" w:hAnsi="Times New Roman"/>
            <w:b/>
            <w:sz w:val="24"/>
            <w:szCs w:val="24"/>
          </w:rPr>
          <w:t>https://scholar.google.com/scholar_case?case=11404623739922196630&amp;q=Kumho+Tire+Co.+v.+Carmichael&amp;hl=en&amp;as_sdt=6,36&amp;as_vis=1</w:t>
        </w:r>
      </w:hyperlink>
      <w:r w:rsidRPr="00976742">
        <w:rPr>
          <w:rFonts w:ascii="Times New Roman" w:hAnsi="Times New Roman"/>
          <w:bCs/>
          <w:sz w:val="24"/>
          <w:szCs w:val="24"/>
        </w:rPr>
        <w:t xml:space="preserve"> </w:t>
      </w:r>
    </w:p>
    <w:p w14:paraId="259B960B" w14:textId="77777777" w:rsidR="00A01ACA" w:rsidRDefault="00A01ACA" w:rsidP="002B1283">
      <w:pPr>
        <w:rPr>
          <w:rFonts w:ascii="Arial Black" w:hAnsi="Arial Black"/>
          <w:b/>
          <w:sz w:val="24"/>
          <w:szCs w:val="24"/>
        </w:rPr>
      </w:pPr>
    </w:p>
    <w:p w14:paraId="56904DE0" w14:textId="64536183" w:rsidR="00A01ACA" w:rsidRDefault="00D94DC4" w:rsidP="002B1283">
      <w:pPr>
        <w:rPr>
          <w:rFonts w:ascii="Arial Black" w:hAnsi="Arial Black"/>
          <w:b/>
          <w:sz w:val="24"/>
          <w:szCs w:val="24"/>
        </w:rPr>
      </w:pPr>
      <w:r>
        <w:rPr>
          <w:rFonts w:ascii="Arial Black" w:hAnsi="Arial Black"/>
          <w:b/>
          <w:sz w:val="24"/>
          <w:szCs w:val="24"/>
        </w:rPr>
        <w:t>1-49</w:t>
      </w:r>
    </w:p>
    <w:p w14:paraId="7E0BE56D" w14:textId="77777777" w:rsidR="00D94DC4" w:rsidRPr="005F058B" w:rsidRDefault="00D94DC4" w:rsidP="00D94DC4">
      <w:pPr>
        <w:spacing w:before="100" w:beforeAutospacing="1" w:after="100" w:afterAutospacing="1" w:line="240" w:lineRule="auto"/>
        <w:rPr>
          <w:rFonts w:ascii="Arial Black" w:eastAsia="Times New Roman" w:hAnsi="Arial Black"/>
          <w:b/>
          <w:bCs/>
          <w:sz w:val="28"/>
          <w:szCs w:val="28"/>
        </w:rPr>
      </w:pPr>
      <w:bookmarkStart w:id="23" w:name="_Hlk69187401"/>
      <w:r w:rsidRPr="005F058B">
        <w:rPr>
          <w:rFonts w:ascii="Arial Black" w:eastAsia="Times New Roman" w:hAnsi="Arial Black"/>
          <w:b/>
          <w:bCs/>
          <w:sz w:val="28"/>
          <w:szCs w:val="28"/>
        </w:rPr>
        <w:t xml:space="preserve">MN: </w:t>
      </w:r>
      <w:r>
        <w:rPr>
          <w:rFonts w:ascii="Arial Black" w:eastAsia="Times New Roman" w:hAnsi="Arial Black"/>
          <w:b/>
          <w:bCs/>
          <w:sz w:val="28"/>
          <w:szCs w:val="28"/>
        </w:rPr>
        <w:t xml:space="preserve">ARSON – HOMEOWNER INTENTIONALLY SET FIRE - 41 MONTHS PRISON – TRIAL JUDGE REJECTED PROBATION - KILLED DOG, LIED INVESTIGATORS, INSURANCE FRAUD </w:t>
      </w:r>
    </w:p>
    <w:bookmarkEnd w:id="23"/>
    <w:p w14:paraId="296D9018" w14:textId="77777777" w:rsidR="00D94DC4" w:rsidRDefault="00D94DC4" w:rsidP="00D94DC4">
      <w:pPr>
        <w:spacing w:before="100" w:beforeAutospacing="1" w:after="100" w:afterAutospacing="1" w:line="240" w:lineRule="auto"/>
        <w:rPr>
          <w:rFonts w:ascii="Times New Roman" w:eastAsia="Times New Roman" w:hAnsi="Times New Roman"/>
          <w:sz w:val="24"/>
          <w:szCs w:val="24"/>
        </w:rPr>
      </w:pPr>
      <w:r w:rsidRPr="008067AC">
        <w:rPr>
          <w:rFonts w:ascii="Times New Roman" w:eastAsia="Times New Roman" w:hAnsi="Times New Roman"/>
          <w:sz w:val="24"/>
          <w:szCs w:val="24"/>
        </w:rPr>
        <w:t xml:space="preserve">On April 13, 2020, in </w:t>
      </w:r>
      <w:r w:rsidRPr="008067AC">
        <w:rPr>
          <w:rFonts w:ascii="Times New Roman" w:eastAsia="Times New Roman" w:hAnsi="Times New Roman"/>
          <w:sz w:val="24"/>
          <w:szCs w:val="24"/>
          <w:u w:val="single"/>
        </w:rPr>
        <w:t>State of Minnesota v. Jeffrey George Ackerson, Jr.</w:t>
      </w:r>
      <w:r>
        <w:rPr>
          <w:rFonts w:ascii="Times New Roman" w:eastAsia="Times New Roman" w:hAnsi="Times New Roman"/>
          <w:sz w:val="24"/>
          <w:szCs w:val="24"/>
        </w:rPr>
        <w:t xml:space="preserve">, the State of Minnesota Court of Appeals, held (3 to 0) that the trial judge did not abuse his discretion in refusing to impose a reduced sentence. </w:t>
      </w:r>
      <w:bookmarkStart w:id="24" w:name="_Hlk69187457"/>
      <w:r w:rsidR="000F483A">
        <w:fldChar w:fldCharType="begin"/>
      </w:r>
      <w:r w:rsidR="000F483A">
        <w:instrText xml:space="preserve"> HYPERLINK "https://mn.gov/law-library-stat/archive/ctapun/2020/OPa190562-041320.pdf" </w:instrText>
      </w:r>
      <w:r w:rsidR="000F483A">
        <w:fldChar w:fldCharType="separate"/>
      </w:r>
      <w:r w:rsidRPr="00C46C1D">
        <w:rPr>
          <w:rStyle w:val="Hyperlink"/>
          <w:sz w:val="24"/>
          <w:szCs w:val="24"/>
        </w:rPr>
        <w:t>https://mn.gov/law-library-stat/archive/ctapun/2020/OPa190562-041320.pdf</w:t>
      </w:r>
      <w:r w:rsidR="000F483A">
        <w:rPr>
          <w:rStyle w:val="Hyperlink"/>
          <w:sz w:val="24"/>
          <w:szCs w:val="24"/>
        </w:rPr>
        <w:fldChar w:fldCharType="end"/>
      </w:r>
      <w:r>
        <w:rPr>
          <w:rFonts w:ascii="Times New Roman" w:eastAsia="Times New Roman" w:hAnsi="Times New Roman"/>
          <w:sz w:val="24"/>
          <w:szCs w:val="24"/>
        </w:rPr>
        <w:t xml:space="preserve"> </w:t>
      </w:r>
    </w:p>
    <w:bookmarkEnd w:id="24"/>
    <w:p w14:paraId="355638C3" w14:textId="77777777" w:rsidR="00D94DC4" w:rsidRPr="008067AC" w:rsidRDefault="00D94DC4" w:rsidP="00D94DC4">
      <w:pPr>
        <w:spacing w:before="100" w:beforeAutospacing="1" w:after="100" w:afterAutospacing="1" w:line="240" w:lineRule="auto"/>
        <w:jc w:val="both"/>
        <w:rPr>
          <w:rFonts w:ascii="Times New Roman" w:hAnsi="Times New Roman"/>
          <w:b/>
          <w:bCs/>
          <w:sz w:val="24"/>
          <w:szCs w:val="24"/>
        </w:rPr>
      </w:pPr>
      <w:r w:rsidRPr="008067AC">
        <w:rPr>
          <w:rFonts w:ascii="Times New Roman" w:hAnsi="Times New Roman"/>
          <w:b/>
          <w:bCs/>
          <w:sz w:val="24"/>
          <w:szCs w:val="24"/>
        </w:rPr>
        <w:t xml:space="preserve">Legal Lessons Learned: </w:t>
      </w:r>
      <w:r>
        <w:rPr>
          <w:rFonts w:ascii="Times New Roman" w:hAnsi="Times New Roman"/>
          <w:b/>
          <w:bCs/>
          <w:sz w:val="24"/>
          <w:szCs w:val="24"/>
        </w:rPr>
        <w:t xml:space="preserve">Minnesota uses presumptive sentencing guidelines; the trial court wisely rejected the public defender office </w:t>
      </w:r>
      <w:r w:rsidRPr="00C01962">
        <w:rPr>
          <w:rFonts w:ascii="Times New Roman" w:hAnsi="Times New Roman"/>
          <w:b/>
          <w:bCs/>
          <w:sz w:val="24"/>
          <w:szCs w:val="24"/>
        </w:rPr>
        <w:t>“dispositional advisor”</w:t>
      </w:r>
      <w:r>
        <w:rPr>
          <w:rFonts w:ascii="Times New Roman" w:hAnsi="Times New Roman"/>
          <w:b/>
          <w:bCs/>
          <w:sz w:val="24"/>
          <w:szCs w:val="24"/>
        </w:rPr>
        <w:t xml:space="preserve"> recommendation of probation. </w:t>
      </w:r>
    </w:p>
    <w:p w14:paraId="6DD0CB15" w14:textId="77777777" w:rsidR="00D94DC4" w:rsidRDefault="00D94DC4" w:rsidP="002B1283">
      <w:pPr>
        <w:rPr>
          <w:rFonts w:ascii="Arial Black" w:hAnsi="Arial Black"/>
          <w:b/>
          <w:sz w:val="24"/>
          <w:szCs w:val="24"/>
        </w:rPr>
      </w:pPr>
    </w:p>
    <w:p w14:paraId="54214AD2" w14:textId="77777777" w:rsidR="00A01ACA" w:rsidRDefault="00A01ACA" w:rsidP="002B1283">
      <w:pPr>
        <w:rPr>
          <w:rFonts w:ascii="Arial Black" w:hAnsi="Arial Black"/>
          <w:b/>
          <w:sz w:val="24"/>
          <w:szCs w:val="24"/>
        </w:rPr>
      </w:pPr>
    </w:p>
    <w:p w14:paraId="0E4FF9CA" w14:textId="749AE805" w:rsidR="00A01ACA" w:rsidRDefault="00A01ACA" w:rsidP="002B1283">
      <w:pPr>
        <w:rPr>
          <w:rFonts w:ascii="Arial Black" w:hAnsi="Arial Black"/>
          <w:b/>
          <w:sz w:val="24"/>
          <w:szCs w:val="24"/>
        </w:rPr>
      </w:pPr>
      <w:r>
        <w:rPr>
          <w:rFonts w:ascii="Arial Black" w:hAnsi="Arial Black"/>
          <w:b/>
          <w:sz w:val="24"/>
          <w:szCs w:val="24"/>
        </w:rPr>
        <w:t>1-4</w:t>
      </w:r>
      <w:r w:rsidR="00334940">
        <w:rPr>
          <w:rFonts w:ascii="Arial Black" w:hAnsi="Arial Black"/>
          <w:b/>
          <w:sz w:val="24"/>
          <w:szCs w:val="24"/>
        </w:rPr>
        <w:t>8</w:t>
      </w:r>
    </w:p>
    <w:p w14:paraId="5CD55791" w14:textId="77777777" w:rsidR="00A01ACA" w:rsidRPr="00B6039F" w:rsidRDefault="00A01ACA" w:rsidP="00A01ACA">
      <w:pPr>
        <w:pStyle w:val="NoSpacing"/>
        <w:rPr>
          <w:rFonts w:ascii="Arial Black" w:hAnsi="Arial Black"/>
          <w:sz w:val="28"/>
          <w:szCs w:val="28"/>
        </w:rPr>
      </w:pPr>
      <w:bookmarkStart w:id="25" w:name="_Hlk41315198"/>
      <w:r w:rsidRPr="00B6039F">
        <w:rPr>
          <w:rFonts w:ascii="Arial Black" w:hAnsi="Arial Black"/>
          <w:sz w:val="28"/>
          <w:szCs w:val="28"/>
        </w:rPr>
        <w:t>U.S. SUP</w:t>
      </w:r>
      <w:r>
        <w:rPr>
          <w:rFonts w:ascii="Arial Black" w:hAnsi="Arial Black"/>
          <w:sz w:val="28"/>
          <w:szCs w:val="28"/>
        </w:rPr>
        <w:t xml:space="preserve">. CT:  CRIMINAL CONV. MUST BE </w:t>
      </w:r>
      <w:r w:rsidRPr="00B6039F">
        <w:rPr>
          <w:rFonts w:ascii="Arial Black" w:hAnsi="Arial Black"/>
          <w:sz w:val="28"/>
          <w:szCs w:val="28"/>
        </w:rPr>
        <w:t>UNANIMOUS</w:t>
      </w:r>
      <w:r>
        <w:rPr>
          <w:rFonts w:ascii="Arial Black" w:hAnsi="Arial Black"/>
          <w:sz w:val="28"/>
          <w:szCs w:val="28"/>
        </w:rPr>
        <w:t xml:space="preserve"> JURY – LOUISIANA, OREGON 10-2 UNCONSTITUTIONAL</w:t>
      </w:r>
    </w:p>
    <w:p w14:paraId="7F8D42D8" w14:textId="77777777" w:rsidR="00A01ACA" w:rsidRDefault="00A01ACA" w:rsidP="00A01ACA">
      <w:pPr>
        <w:pStyle w:val="NoSpacing"/>
        <w:rPr>
          <w:sz w:val="27"/>
          <w:szCs w:val="27"/>
        </w:rPr>
      </w:pPr>
    </w:p>
    <w:p w14:paraId="694A4B42"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Cs/>
          <w:sz w:val="24"/>
          <w:szCs w:val="24"/>
        </w:rPr>
        <w:t xml:space="preserve">On April 20, </w:t>
      </w:r>
      <w:proofErr w:type="gramStart"/>
      <w:r w:rsidRPr="00976742">
        <w:rPr>
          <w:rFonts w:ascii="Times New Roman" w:hAnsi="Times New Roman"/>
          <w:bCs/>
          <w:sz w:val="24"/>
          <w:szCs w:val="24"/>
        </w:rPr>
        <w:t>2020</w:t>
      </w:r>
      <w:proofErr w:type="gramEnd"/>
      <w:r w:rsidRPr="00976742">
        <w:rPr>
          <w:rFonts w:ascii="Times New Roman" w:hAnsi="Times New Roman"/>
          <w:bCs/>
          <w:sz w:val="24"/>
          <w:szCs w:val="24"/>
        </w:rPr>
        <w:t xml:space="preserve"> in </w:t>
      </w:r>
      <w:proofErr w:type="spellStart"/>
      <w:r w:rsidRPr="00976742">
        <w:rPr>
          <w:rFonts w:ascii="Times New Roman" w:hAnsi="Times New Roman"/>
          <w:bCs/>
          <w:sz w:val="24"/>
          <w:szCs w:val="24"/>
          <w:u w:val="single"/>
        </w:rPr>
        <w:t>Evangelisto</w:t>
      </w:r>
      <w:proofErr w:type="spellEnd"/>
      <w:r w:rsidRPr="00976742">
        <w:rPr>
          <w:rFonts w:ascii="Times New Roman" w:hAnsi="Times New Roman"/>
          <w:bCs/>
          <w:sz w:val="24"/>
          <w:szCs w:val="24"/>
          <w:u w:val="single"/>
        </w:rPr>
        <w:t xml:space="preserve"> Ramos v. Louisiana</w:t>
      </w:r>
      <w:r w:rsidRPr="00976742">
        <w:rPr>
          <w:rFonts w:ascii="Times New Roman" w:hAnsi="Times New Roman"/>
          <w:bCs/>
          <w:sz w:val="24"/>
          <w:szCs w:val="24"/>
        </w:rPr>
        <w:t xml:space="preserve">, the U.S. Supreme Court (6 to 3) set aside prior court precedent from 1972, overturned Ramos’s conviction for second-degree murder, and life imprisonment. Six Justices agreed on setting aside the conviction, but 4 of the 6 wrote concurring opinions outlining different legal reasoning. Louisiana and Oregon are the only states allowing convictions on less than unanimous verdicts (implemented in Louisiana in 1898 out of concern about African American jurors on jury; Oregon in 1930s implemented out of concern of KKK members getting on jury).  Louisiana in 2019 started requiring unanimous verdicts for crimes committed in 2019 or later.  Presumably they will re-try Ramos (an oil-supply boat worker, who admitted having consensual sex with </w:t>
      </w:r>
      <w:proofErr w:type="gramStart"/>
      <w:r w:rsidRPr="00976742">
        <w:rPr>
          <w:rFonts w:ascii="Times New Roman" w:hAnsi="Times New Roman"/>
          <w:bCs/>
          <w:sz w:val="24"/>
          <w:szCs w:val="24"/>
        </w:rPr>
        <w:t>43-year old</w:t>
      </w:r>
      <w:proofErr w:type="gramEnd"/>
      <w:r w:rsidRPr="00976742">
        <w:rPr>
          <w:rFonts w:ascii="Times New Roman" w:hAnsi="Times New Roman"/>
          <w:bCs/>
          <w:sz w:val="24"/>
          <w:szCs w:val="24"/>
        </w:rPr>
        <w:t xml:space="preserve"> </w:t>
      </w:r>
      <w:proofErr w:type="spellStart"/>
      <w:r w:rsidRPr="00976742">
        <w:rPr>
          <w:rFonts w:ascii="Times New Roman" w:hAnsi="Times New Roman"/>
          <w:bCs/>
          <w:sz w:val="24"/>
          <w:szCs w:val="24"/>
        </w:rPr>
        <w:t>Ternice</w:t>
      </w:r>
      <w:proofErr w:type="spellEnd"/>
      <w:r w:rsidRPr="00976742">
        <w:rPr>
          <w:rFonts w:ascii="Times New Roman" w:hAnsi="Times New Roman"/>
          <w:bCs/>
          <w:sz w:val="24"/>
          <w:szCs w:val="24"/>
        </w:rPr>
        <w:t xml:space="preserve"> Fedison the night before her body was stuffed into a garbage can).   </w:t>
      </w:r>
    </w:p>
    <w:p w14:paraId="6236074E" w14:textId="77777777" w:rsidR="00A01ACA" w:rsidRPr="00976742" w:rsidRDefault="00A01ACA" w:rsidP="00A01ACA">
      <w:pPr>
        <w:pStyle w:val="NoSpacing"/>
        <w:rPr>
          <w:rFonts w:ascii="Times New Roman" w:hAnsi="Times New Roman"/>
          <w:b/>
          <w:bCs/>
          <w:sz w:val="24"/>
          <w:szCs w:val="24"/>
        </w:rPr>
      </w:pPr>
    </w:p>
    <w:p w14:paraId="4DC31D7E" w14:textId="77777777" w:rsidR="00A01ACA" w:rsidRPr="00976742" w:rsidRDefault="00A01ACA" w:rsidP="00A01ACA">
      <w:pPr>
        <w:pStyle w:val="NoSpacing"/>
        <w:ind w:left="720"/>
        <w:rPr>
          <w:rFonts w:ascii="Times New Roman" w:hAnsi="Times New Roman"/>
          <w:b/>
          <w:bCs/>
          <w:sz w:val="24"/>
          <w:szCs w:val="24"/>
        </w:rPr>
      </w:pPr>
      <w:bookmarkStart w:id="26" w:name="_Hlk39765318"/>
      <w:r w:rsidRPr="00976742">
        <w:rPr>
          <w:rFonts w:ascii="Times New Roman" w:hAnsi="Times New Roman"/>
          <w:bCs/>
          <w:sz w:val="24"/>
          <w:szCs w:val="24"/>
        </w:rPr>
        <w:t xml:space="preserve">“On what ground would anyone </w:t>
      </w:r>
      <w:proofErr w:type="gramStart"/>
      <w:r w:rsidRPr="00976742">
        <w:rPr>
          <w:rFonts w:ascii="Times New Roman" w:hAnsi="Times New Roman"/>
          <w:bCs/>
          <w:sz w:val="24"/>
          <w:szCs w:val="24"/>
        </w:rPr>
        <w:t>have</w:t>
      </w:r>
      <w:proofErr w:type="gramEnd"/>
      <w:r w:rsidRPr="00976742">
        <w:rPr>
          <w:rFonts w:ascii="Times New Roman" w:hAnsi="Times New Roman"/>
          <w:bCs/>
          <w:sz w:val="24"/>
          <w:szCs w:val="24"/>
        </w:rPr>
        <w:t xml:space="preserve"> us leave Mr. Ramos in prison for the rest of his life? Not a single Member of this Court is prepared to say Louisiana secured his conviction constitutionally under the Sixth Amendment. No one </w:t>
      </w:r>
      <w:proofErr w:type="gramStart"/>
      <w:r w:rsidRPr="00976742">
        <w:rPr>
          <w:rFonts w:ascii="Times New Roman" w:hAnsi="Times New Roman"/>
          <w:bCs/>
          <w:sz w:val="24"/>
          <w:szCs w:val="24"/>
        </w:rPr>
        <w:t>be-fore</w:t>
      </w:r>
      <w:proofErr w:type="gramEnd"/>
      <w:r w:rsidRPr="00976742">
        <w:rPr>
          <w:rFonts w:ascii="Times New Roman" w:hAnsi="Times New Roman"/>
          <w:bCs/>
          <w:sz w:val="24"/>
          <w:szCs w:val="24"/>
        </w:rPr>
        <w:t xml:space="preserve"> us suggests that the error was harmless. Louisiana does not claim precedent commands an affirmance. In the end, the </w:t>
      </w:r>
      <w:proofErr w:type="gramStart"/>
      <w:r w:rsidRPr="00976742">
        <w:rPr>
          <w:rFonts w:ascii="Times New Roman" w:hAnsi="Times New Roman"/>
          <w:bCs/>
          <w:sz w:val="24"/>
          <w:szCs w:val="24"/>
        </w:rPr>
        <w:t>best</w:t>
      </w:r>
      <w:proofErr w:type="gramEnd"/>
      <w:r w:rsidRPr="00976742">
        <w:rPr>
          <w:rFonts w:ascii="Times New Roman" w:hAnsi="Times New Roman"/>
          <w:bCs/>
          <w:sz w:val="24"/>
          <w:szCs w:val="24"/>
        </w:rPr>
        <w:t xml:space="preserve"> anyone </w:t>
      </w:r>
      <w:proofErr w:type="gramStart"/>
      <w:r w:rsidRPr="00976742">
        <w:rPr>
          <w:rFonts w:ascii="Times New Roman" w:hAnsi="Times New Roman"/>
          <w:bCs/>
          <w:sz w:val="24"/>
          <w:szCs w:val="24"/>
        </w:rPr>
        <w:t>can</w:t>
      </w:r>
      <w:proofErr w:type="gramEnd"/>
      <w:r w:rsidRPr="00976742">
        <w:rPr>
          <w:rFonts w:ascii="Times New Roman" w:hAnsi="Times New Roman"/>
          <w:bCs/>
          <w:sz w:val="24"/>
          <w:szCs w:val="24"/>
        </w:rPr>
        <w:t xml:space="preserve"> seem to muster against Mr. Ramos is that, if we dared to admit in his case what we all know to be true about the Sixth Amendment, we might have to say the same in some others. But where is </w:t>
      </w:r>
      <w:proofErr w:type="gramStart"/>
      <w:r w:rsidRPr="00976742">
        <w:rPr>
          <w:rFonts w:ascii="Times New Roman" w:hAnsi="Times New Roman"/>
          <w:bCs/>
          <w:sz w:val="24"/>
          <w:szCs w:val="24"/>
        </w:rPr>
        <w:t>the justice</w:t>
      </w:r>
      <w:proofErr w:type="gramEnd"/>
      <w:r w:rsidRPr="00976742">
        <w:rPr>
          <w:rFonts w:ascii="Times New Roman" w:hAnsi="Times New Roman"/>
          <w:bCs/>
          <w:sz w:val="24"/>
          <w:szCs w:val="24"/>
        </w:rPr>
        <w:t xml:space="preserve"> in that? Every judge must learn to live with the fact he or she will make some mistakes; it comes with the territory. But it is something else entirely to perpetuate something we all know to be wrong only because we fear the consequences of being right. The judgment of the Court of Appeals is Reversed.” </w:t>
      </w:r>
      <w:hyperlink r:id="rId317" w:history="1">
        <w:r w:rsidRPr="00976742">
          <w:rPr>
            <w:rStyle w:val="Hyperlink"/>
            <w:rFonts w:ascii="Times New Roman" w:hAnsi="Times New Roman"/>
            <w:b/>
            <w:sz w:val="24"/>
            <w:szCs w:val="24"/>
          </w:rPr>
          <w:t>https://www.supremecourt.gov/opinions/19pdf/18-5924_n6io.pdf</w:t>
        </w:r>
      </w:hyperlink>
      <w:r w:rsidRPr="00976742">
        <w:rPr>
          <w:rFonts w:ascii="Times New Roman" w:hAnsi="Times New Roman"/>
          <w:bCs/>
          <w:sz w:val="24"/>
          <w:szCs w:val="24"/>
        </w:rPr>
        <w:t xml:space="preserve"> </w:t>
      </w:r>
    </w:p>
    <w:bookmarkEnd w:id="26"/>
    <w:p w14:paraId="7F74FADB" w14:textId="77777777" w:rsidR="00A01ACA" w:rsidRDefault="00A01ACA" w:rsidP="00A01ACA">
      <w:pPr>
        <w:pStyle w:val="NoSpacing"/>
        <w:rPr>
          <w:rFonts w:ascii="Times New Roman" w:hAnsi="Times New Roman"/>
          <w:b/>
          <w:bCs/>
          <w:sz w:val="24"/>
          <w:szCs w:val="24"/>
        </w:rPr>
      </w:pPr>
    </w:p>
    <w:p w14:paraId="6DFB1564" w14:textId="54709E47" w:rsidR="00A01ACA" w:rsidRPr="00976742" w:rsidRDefault="00A01ACA" w:rsidP="00A01ACA">
      <w:pPr>
        <w:pStyle w:val="NoSpacing"/>
        <w:rPr>
          <w:rFonts w:ascii="Times New Roman" w:hAnsi="Times New Roman"/>
          <w:b/>
          <w:bCs/>
          <w:sz w:val="24"/>
          <w:szCs w:val="24"/>
        </w:rPr>
      </w:pPr>
      <w:r w:rsidRPr="00976742">
        <w:rPr>
          <w:rFonts w:ascii="Times New Roman" w:hAnsi="Times New Roman"/>
          <w:b/>
          <w:bCs/>
          <w:sz w:val="24"/>
          <w:szCs w:val="24"/>
        </w:rPr>
        <w:t xml:space="preserve">Legal Lessons Learned:  Our Nation will now be uniform – unanimous jury verdicts will be required to convict (or to acquit). </w:t>
      </w:r>
    </w:p>
    <w:bookmarkEnd w:id="25"/>
    <w:p w14:paraId="41B593FD" w14:textId="77777777" w:rsidR="00A01ACA" w:rsidRDefault="00A01ACA" w:rsidP="002B1283">
      <w:pPr>
        <w:rPr>
          <w:rFonts w:ascii="Arial Black" w:hAnsi="Arial Black"/>
          <w:b/>
          <w:sz w:val="24"/>
          <w:szCs w:val="24"/>
        </w:rPr>
      </w:pPr>
    </w:p>
    <w:p w14:paraId="6A22381E" w14:textId="77777777" w:rsidR="00A01ACA" w:rsidRDefault="00A01ACA" w:rsidP="002B1283">
      <w:pPr>
        <w:rPr>
          <w:rFonts w:ascii="Arial Black" w:hAnsi="Arial Black"/>
          <w:b/>
          <w:sz w:val="24"/>
          <w:szCs w:val="24"/>
        </w:rPr>
      </w:pPr>
    </w:p>
    <w:p w14:paraId="6562A152" w14:textId="77777777" w:rsidR="00A01ACA" w:rsidRDefault="00A01ACA" w:rsidP="002B1283">
      <w:pPr>
        <w:rPr>
          <w:rFonts w:ascii="Arial Black" w:hAnsi="Arial Black"/>
          <w:b/>
          <w:sz w:val="24"/>
          <w:szCs w:val="24"/>
        </w:rPr>
      </w:pPr>
    </w:p>
    <w:p w14:paraId="24419917" w14:textId="6BCF8A7B" w:rsidR="00A01ACA" w:rsidRDefault="00A01ACA" w:rsidP="002B1283">
      <w:pPr>
        <w:rPr>
          <w:rFonts w:ascii="Arial Black" w:hAnsi="Arial Black"/>
          <w:b/>
          <w:sz w:val="24"/>
          <w:szCs w:val="24"/>
        </w:rPr>
      </w:pPr>
      <w:r>
        <w:rPr>
          <w:rFonts w:ascii="Arial Black" w:hAnsi="Arial Black"/>
          <w:b/>
          <w:sz w:val="24"/>
          <w:szCs w:val="24"/>
        </w:rPr>
        <w:t>1-4</w:t>
      </w:r>
      <w:r w:rsidR="00334940">
        <w:rPr>
          <w:rFonts w:ascii="Arial Black" w:hAnsi="Arial Black"/>
          <w:b/>
          <w:sz w:val="24"/>
          <w:szCs w:val="24"/>
        </w:rPr>
        <w:t>7</w:t>
      </w:r>
    </w:p>
    <w:p w14:paraId="17E45F19" w14:textId="77777777" w:rsidR="00A01ACA" w:rsidRPr="008D16D7" w:rsidRDefault="00A01ACA" w:rsidP="00A01ACA">
      <w:pPr>
        <w:pStyle w:val="NoSpacing"/>
        <w:rPr>
          <w:rFonts w:ascii="Arial Black" w:hAnsi="Arial Black"/>
          <w:sz w:val="28"/>
          <w:szCs w:val="28"/>
        </w:rPr>
      </w:pPr>
      <w:bookmarkStart w:id="27" w:name="_Hlk69187531"/>
      <w:r>
        <w:rPr>
          <w:rFonts w:ascii="Arial Black" w:hAnsi="Arial Black"/>
          <w:sz w:val="28"/>
          <w:szCs w:val="28"/>
        </w:rPr>
        <w:t>OH:  FIRE CODES - TWO FIRES AT RECYCLING CENTER – LARGE PILE OF CONSTRUCTION DEBRI - INJUNCTION</w:t>
      </w:r>
    </w:p>
    <w:bookmarkEnd w:id="27"/>
    <w:p w14:paraId="2F2112DB" w14:textId="77777777" w:rsidR="00A01ACA" w:rsidRDefault="00A01ACA" w:rsidP="00A01ACA">
      <w:pPr>
        <w:pStyle w:val="NoSpacing"/>
        <w:rPr>
          <w:b/>
          <w:bCs/>
          <w:sz w:val="24"/>
          <w:szCs w:val="24"/>
        </w:rPr>
      </w:pPr>
    </w:p>
    <w:p w14:paraId="22DD2E0F"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Cs/>
          <w:sz w:val="24"/>
          <w:szCs w:val="24"/>
        </w:rPr>
        <w:t xml:space="preserve">On </w:t>
      </w:r>
      <w:bookmarkStart w:id="28" w:name="_Hlk39822336"/>
      <w:r w:rsidRPr="00976742">
        <w:rPr>
          <w:rFonts w:ascii="Times New Roman" w:hAnsi="Times New Roman"/>
          <w:bCs/>
          <w:sz w:val="24"/>
          <w:szCs w:val="24"/>
        </w:rPr>
        <w:t xml:space="preserve">April 16, 2020, in </w:t>
      </w:r>
      <w:r w:rsidRPr="00976742">
        <w:rPr>
          <w:rFonts w:ascii="Times New Roman" w:hAnsi="Times New Roman"/>
          <w:bCs/>
          <w:sz w:val="24"/>
          <w:szCs w:val="24"/>
          <w:u w:val="single"/>
        </w:rPr>
        <w:t>State ex rel. Yost v. Baumann's Recycling Ctr., L.L.C.</w:t>
      </w:r>
      <w:r w:rsidRPr="00976742">
        <w:rPr>
          <w:rFonts w:ascii="Times New Roman" w:hAnsi="Times New Roman"/>
          <w:sz w:val="24"/>
          <w:szCs w:val="24"/>
        </w:rPr>
        <w:t xml:space="preserve">, </w:t>
      </w:r>
      <w:r w:rsidRPr="00976742">
        <w:rPr>
          <w:rFonts w:ascii="Times New Roman" w:hAnsi="Times New Roman"/>
          <w:bCs/>
          <w:sz w:val="24"/>
          <w:szCs w:val="24"/>
        </w:rPr>
        <w:t>2020-Ohio-1504</w:t>
      </w:r>
      <w:bookmarkEnd w:id="28"/>
      <w:r w:rsidRPr="00976742">
        <w:rPr>
          <w:rFonts w:ascii="Times New Roman" w:hAnsi="Times New Roman"/>
          <w:bCs/>
          <w:sz w:val="24"/>
          <w:szCs w:val="24"/>
        </w:rPr>
        <w:t xml:space="preserve">, the Ohio Court of Appeals for Eight Appellate District (Cuyahoga County), held (3 to 0) that the trial court properly issued an injunction.  On June 13, 2019, the trial court granted Ohio Attorney General’s lawsuit seeking an injunction, after a bench trial. </w:t>
      </w:r>
    </w:p>
    <w:p w14:paraId="1A3CA867" w14:textId="77777777" w:rsidR="00A01ACA" w:rsidRPr="00976742" w:rsidRDefault="00A01ACA" w:rsidP="00A01ACA">
      <w:pPr>
        <w:pStyle w:val="NoSpacing"/>
        <w:rPr>
          <w:rFonts w:ascii="Times New Roman" w:hAnsi="Times New Roman"/>
          <w:b/>
          <w:bCs/>
          <w:sz w:val="24"/>
          <w:szCs w:val="24"/>
        </w:rPr>
      </w:pPr>
    </w:p>
    <w:p w14:paraId="24153EAD" w14:textId="77777777" w:rsidR="00A01ACA" w:rsidRPr="00976742" w:rsidRDefault="00A01ACA" w:rsidP="00A01ACA">
      <w:pPr>
        <w:pStyle w:val="NoSpacing"/>
        <w:ind w:left="720"/>
        <w:rPr>
          <w:rFonts w:ascii="Times New Roman" w:hAnsi="Times New Roman"/>
          <w:b/>
          <w:bCs/>
          <w:sz w:val="24"/>
          <w:szCs w:val="24"/>
        </w:rPr>
      </w:pPr>
      <w:bookmarkStart w:id="29" w:name="_Hlk39765373"/>
      <w:r w:rsidRPr="00976742">
        <w:rPr>
          <w:rFonts w:ascii="Times New Roman" w:hAnsi="Times New Roman"/>
          <w:bCs/>
          <w:sz w:val="24"/>
          <w:szCs w:val="24"/>
        </w:rPr>
        <w:t>“Here, the evidence of record indicated that the disputed pile of C&amp;DD materials had not decreased in size since 2011. The judge properly found that this was not temporary. Further, the evidence demonstrated that the material was producing steam vents from active decomposition, so the court could properly conclude that the material was not ‘substantially unchanged’ or ‘retrievable.’ Therefore, the court did not err in rejecting BRC’s claim that it simply engaged in permissible storage in connection with its ‘processing’ of C&amp;DD within the facility exclusion from the requirements for C&amp;DD ‘disposal’ set forth in R.C. Chapter 3714.”</w:t>
      </w:r>
    </w:p>
    <w:bookmarkStart w:id="30" w:name="_Hlk39820985"/>
    <w:bookmarkStart w:id="31" w:name="_Hlk69187577"/>
    <w:p w14:paraId="5E1242B8" w14:textId="77777777" w:rsidR="00A01ACA" w:rsidRPr="00976742" w:rsidRDefault="00F2621E" w:rsidP="00A01ACA">
      <w:pPr>
        <w:pStyle w:val="NoSpacing"/>
        <w:ind w:left="720"/>
        <w:rPr>
          <w:rFonts w:ascii="Times New Roman" w:hAnsi="Times New Roman"/>
          <w:b/>
          <w:bCs/>
          <w:sz w:val="24"/>
          <w:szCs w:val="24"/>
        </w:rPr>
      </w:pPr>
      <w:r>
        <w:fldChar w:fldCharType="begin"/>
      </w:r>
      <w:r>
        <w:instrText xml:space="preserve"> HYPERLINK "https://www.supremecourt.ohio.gov/rod/docs/pdf/8/2020/2020-Ohio-1504.pdf" </w:instrText>
      </w:r>
      <w:r>
        <w:fldChar w:fldCharType="separate"/>
      </w:r>
      <w:r w:rsidR="00A01ACA" w:rsidRPr="00976742">
        <w:rPr>
          <w:rStyle w:val="Hyperlink"/>
          <w:rFonts w:ascii="Times New Roman" w:hAnsi="Times New Roman"/>
          <w:b/>
          <w:sz w:val="24"/>
          <w:szCs w:val="24"/>
        </w:rPr>
        <w:t>https://www.supremecourt.ohio.gov/rod/docs/pdf/8/2020/2020-Ohio-1504.pdf</w:t>
      </w:r>
      <w:r>
        <w:rPr>
          <w:rStyle w:val="Hyperlink"/>
          <w:rFonts w:ascii="Times New Roman" w:hAnsi="Times New Roman"/>
          <w:b/>
          <w:sz w:val="24"/>
          <w:szCs w:val="24"/>
        </w:rPr>
        <w:fldChar w:fldCharType="end"/>
      </w:r>
      <w:bookmarkEnd w:id="30"/>
      <w:r w:rsidR="00A01ACA" w:rsidRPr="00976742">
        <w:rPr>
          <w:rFonts w:ascii="Times New Roman" w:hAnsi="Times New Roman"/>
          <w:bCs/>
          <w:sz w:val="24"/>
          <w:szCs w:val="24"/>
        </w:rPr>
        <w:t xml:space="preserve"> </w:t>
      </w:r>
    </w:p>
    <w:bookmarkEnd w:id="29"/>
    <w:bookmarkEnd w:id="31"/>
    <w:p w14:paraId="7D967ECE" w14:textId="77777777" w:rsidR="00A01ACA" w:rsidRPr="00976742" w:rsidRDefault="00A01ACA" w:rsidP="00A01ACA">
      <w:pPr>
        <w:pStyle w:val="NoSpacing"/>
        <w:rPr>
          <w:rFonts w:ascii="Times New Roman" w:hAnsi="Times New Roman"/>
          <w:b/>
          <w:bCs/>
          <w:sz w:val="24"/>
          <w:szCs w:val="24"/>
        </w:rPr>
      </w:pPr>
    </w:p>
    <w:p w14:paraId="5F93B0E3"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
          <w:bCs/>
          <w:sz w:val="24"/>
          <w:szCs w:val="24"/>
        </w:rPr>
        <w:t xml:space="preserve">Legal Lessons Learned: The FD wisely called in the Ohio EPA, and when the owner did not promptly act to remove the fire hazard, the Ohio AG obtained an injunction.  </w:t>
      </w:r>
    </w:p>
    <w:p w14:paraId="3FF5F112" w14:textId="77777777" w:rsidR="00A01ACA" w:rsidRPr="00976742" w:rsidRDefault="00A01ACA" w:rsidP="00A01ACA">
      <w:pPr>
        <w:pStyle w:val="NoSpacing"/>
        <w:ind w:left="720"/>
        <w:rPr>
          <w:rFonts w:ascii="Times New Roman" w:hAnsi="Times New Roman"/>
          <w:b/>
          <w:bCs/>
          <w:sz w:val="24"/>
          <w:szCs w:val="24"/>
        </w:rPr>
      </w:pPr>
    </w:p>
    <w:p w14:paraId="592E1C00"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 xml:space="preserve">Note: See article, </w:t>
      </w:r>
      <w:bookmarkStart w:id="32" w:name="_Hlk39820886"/>
      <w:r w:rsidRPr="00976742">
        <w:rPr>
          <w:rFonts w:ascii="Times New Roman" w:hAnsi="Times New Roman"/>
          <w:bCs/>
          <w:sz w:val="24"/>
          <w:szCs w:val="24"/>
        </w:rPr>
        <w:t xml:space="preserve">Jan. 27, 2020: “Garfield Heights Recycling Center Held in Contempt of Court for Failing to Address Hazard,” </w:t>
      </w:r>
    </w:p>
    <w:p w14:paraId="58F50B62" w14:textId="77777777" w:rsidR="00A01ACA" w:rsidRPr="00976742" w:rsidRDefault="00A01ACA" w:rsidP="00A01ACA">
      <w:pPr>
        <w:pStyle w:val="NoSpacing"/>
        <w:ind w:left="720"/>
        <w:rPr>
          <w:rFonts w:ascii="Times New Roman" w:hAnsi="Times New Roman"/>
          <w:b/>
          <w:bCs/>
          <w:sz w:val="24"/>
          <w:szCs w:val="24"/>
        </w:rPr>
      </w:pPr>
      <w:hyperlink r:id="rId318" w:history="1">
        <w:r w:rsidRPr="00976742">
          <w:rPr>
            <w:rStyle w:val="Hyperlink"/>
            <w:rFonts w:ascii="Times New Roman" w:hAnsi="Times New Roman"/>
            <w:b/>
            <w:sz w:val="24"/>
            <w:szCs w:val="24"/>
          </w:rPr>
          <w:t>https://www.ohioattorneygeneral.gov/Media/News-Releases/January-2020/Garfield-Heights-Recycling-Center-Held-in-Contempt</w:t>
        </w:r>
      </w:hyperlink>
      <w:r w:rsidRPr="00976742">
        <w:rPr>
          <w:rFonts w:ascii="Times New Roman" w:hAnsi="Times New Roman"/>
          <w:bCs/>
          <w:sz w:val="24"/>
          <w:szCs w:val="24"/>
        </w:rPr>
        <w:t xml:space="preserve"> </w:t>
      </w:r>
    </w:p>
    <w:bookmarkEnd w:id="32"/>
    <w:p w14:paraId="429F2907" w14:textId="6EF5D0C6" w:rsidR="00A01ACA" w:rsidRDefault="00A01ACA" w:rsidP="002B1283">
      <w:pPr>
        <w:rPr>
          <w:rFonts w:ascii="Arial Black" w:hAnsi="Arial Black"/>
          <w:b/>
          <w:sz w:val="24"/>
          <w:szCs w:val="24"/>
        </w:rPr>
      </w:pPr>
    </w:p>
    <w:p w14:paraId="675736F6" w14:textId="77777777" w:rsidR="00A01ACA" w:rsidRDefault="00A01ACA" w:rsidP="002B1283">
      <w:pPr>
        <w:rPr>
          <w:rFonts w:ascii="Arial Black" w:hAnsi="Arial Black"/>
          <w:b/>
          <w:sz w:val="24"/>
          <w:szCs w:val="24"/>
        </w:rPr>
      </w:pPr>
    </w:p>
    <w:p w14:paraId="663FBE09" w14:textId="5398388A" w:rsidR="00A01ACA" w:rsidRDefault="00A01ACA" w:rsidP="002B1283">
      <w:pPr>
        <w:rPr>
          <w:rFonts w:ascii="Arial Black" w:hAnsi="Arial Black"/>
          <w:b/>
          <w:sz w:val="24"/>
          <w:szCs w:val="24"/>
        </w:rPr>
      </w:pPr>
      <w:r>
        <w:rPr>
          <w:rFonts w:ascii="Arial Black" w:hAnsi="Arial Black"/>
          <w:b/>
          <w:sz w:val="24"/>
          <w:szCs w:val="24"/>
        </w:rPr>
        <w:t>1-46</w:t>
      </w:r>
    </w:p>
    <w:p w14:paraId="05E033BC" w14:textId="77777777" w:rsidR="00A01ACA" w:rsidRDefault="00A01ACA" w:rsidP="00A01ACA">
      <w:pPr>
        <w:pStyle w:val="NoSpacing"/>
        <w:rPr>
          <w:rFonts w:ascii="Arial Black" w:hAnsi="Arial Black"/>
          <w:sz w:val="28"/>
          <w:szCs w:val="28"/>
        </w:rPr>
      </w:pPr>
      <w:r>
        <w:rPr>
          <w:rFonts w:ascii="Arial Black" w:hAnsi="Arial Black"/>
          <w:sz w:val="28"/>
          <w:szCs w:val="28"/>
        </w:rPr>
        <w:t>DC: JUROR’S PRE-TRIAL FACEBOOK POSTS - ANTI-TRUMP POSTS – CONVICTION UPHELD - NOT ABOUT DEFENDANT</w:t>
      </w:r>
    </w:p>
    <w:p w14:paraId="052D5851" w14:textId="77777777" w:rsidR="00A01ACA" w:rsidRDefault="00A01ACA" w:rsidP="00A01ACA">
      <w:pPr>
        <w:pStyle w:val="NoSpacing"/>
        <w:tabs>
          <w:tab w:val="left" w:pos="5860"/>
        </w:tabs>
        <w:rPr>
          <w:rFonts w:ascii="Arial Black" w:hAnsi="Arial Black"/>
          <w:sz w:val="28"/>
          <w:szCs w:val="28"/>
        </w:rPr>
      </w:pPr>
    </w:p>
    <w:p w14:paraId="37A1C490" w14:textId="77777777" w:rsidR="00A01ACA" w:rsidRPr="00976742" w:rsidRDefault="00A01ACA" w:rsidP="00A01ACA">
      <w:pPr>
        <w:pStyle w:val="NoSpacing"/>
        <w:tabs>
          <w:tab w:val="left" w:pos="5860"/>
        </w:tabs>
        <w:rPr>
          <w:rFonts w:ascii="Times New Roman" w:hAnsi="Times New Roman"/>
          <w:b/>
          <w:bCs/>
          <w:sz w:val="24"/>
          <w:szCs w:val="24"/>
        </w:rPr>
      </w:pPr>
      <w:r w:rsidRPr="00976742">
        <w:rPr>
          <w:rFonts w:ascii="Times New Roman" w:hAnsi="Times New Roman"/>
          <w:bCs/>
          <w:sz w:val="24"/>
          <w:szCs w:val="24"/>
        </w:rPr>
        <w:t xml:space="preserve">On April 16, 2020, in </w:t>
      </w:r>
      <w:r w:rsidRPr="00976742">
        <w:rPr>
          <w:rFonts w:ascii="Times New Roman" w:hAnsi="Times New Roman"/>
          <w:bCs/>
          <w:sz w:val="24"/>
          <w:szCs w:val="24"/>
          <w:u w:val="single"/>
        </w:rPr>
        <w:t>United States v. Roger Stone, Jr</w:t>
      </w:r>
      <w:r w:rsidRPr="00976742">
        <w:rPr>
          <w:rFonts w:ascii="Times New Roman" w:hAnsi="Times New Roman"/>
          <w:bCs/>
          <w:sz w:val="24"/>
          <w:szCs w:val="24"/>
        </w:rPr>
        <w:t xml:space="preserve">., U.S. District Court Judge Amy Berman Jackson denied the defense motion for new trial.   On the pre-trial Jury Questionnaire, the juror [she became foreperson of the jury] was asked about any social media posts the jury may have posted about the House of Representatives’ investigation of President Trump. The juror truthfully wrote: “I can’t remember if I did, but I may have shared an article on Facebook. Honestly not sure.” The Court denied the motion: “The motion is a tower of indignation, but at the end of the day, there is little of substance holding it up.” </w:t>
      </w:r>
    </w:p>
    <w:p w14:paraId="53FE9770" w14:textId="77777777" w:rsidR="00A01ACA" w:rsidRPr="00976742" w:rsidRDefault="00A01ACA" w:rsidP="00A01ACA">
      <w:pPr>
        <w:pStyle w:val="NoSpacing"/>
        <w:tabs>
          <w:tab w:val="left" w:pos="5860"/>
        </w:tabs>
        <w:ind w:left="720"/>
        <w:rPr>
          <w:rFonts w:ascii="Times New Roman" w:hAnsi="Times New Roman"/>
          <w:b/>
          <w:bCs/>
          <w:sz w:val="24"/>
          <w:szCs w:val="24"/>
        </w:rPr>
      </w:pPr>
    </w:p>
    <w:p w14:paraId="69047655" w14:textId="77777777" w:rsidR="00A01ACA" w:rsidRPr="00976742" w:rsidRDefault="00A01ACA" w:rsidP="00A01ACA">
      <w:pPr>
        <w:pStyle w:val="NoSpacing"/>
        <w:ind w:firstLine="630"/>
        <w:rPr>
          <w:rFonts w:ascii="Times New Roman" w:hAnsi="Times New Roman"/>
          <w:b/>
          <w:bCs/>
          <w:sz w:val="24"/>
          <w:szCs w:val="24"/>
        </w:rPr>
      </w:pPr>
      <w:r w:rsidRPr="00976742">
        <w:rPr>
          <w:rFonts w:ascii="Times New Roman" w:hAnsi="Times New Roman"/>
          <w:bCs/>
          <w:sz w:val="24"/>
          <w:szCs w:val="24"/>
        </w:rPr>
        <w:t>“The defendant has not shown that the juror lied; nor has he shown that the supposedly</w:t>
      </w:r>
    </w:p>
    <w:p w14:paraId="6B3C8221" w14:textId="77777777" w:rsidR="00A01ACA" w:rsidRPr="00976742" w:rsidRDefault="00A01ACA" w:rsidP="00A01ACA">
      <w:pPr>
        <w:pStyle w:val="NoSpacing"/>
        <w:ind w:left="630"/>
        <w:rPr>
          <w:rFonts w:ascii="Times New Roman" w:hAnsi="Times New Roman"/>
          <w:b/>
          <w:bCs/>
          <w:sz w:val="24"/>
          <w:szCs w:val="24"/>
        </w:rPr>
      </w:pPr>
      <w:r w:rsidRPr="00976742">
        <w:rPr>
          <w:rFonts w:ascii="Times New Roman" w:hAnsi="Times New Roman"/>
          <w:bCs/>
          <w:sz w:val="24"/>
          <w:szCs w:val="24"/>
        </w:rPr>
        <w:t xml:space="preserve">disqualifying evidence could not have been found through the exercise of due diligence at the time the jury was selected. Moreover, while the social media communications may suggest that the juror has strong opinions about certain people or issues, they do not reveal that she had an opinion about Roger Stone, which is the opinion that matters.” </w:t>
      </w:r>
      <w:hyperlink r:id="rId319" w:history="1">
        <w:r w:rsidRPr="00976742">
          <w:rPr>
            <w:rStyle w:val="Hyperlink"/>
            <w:rFonts w:ascii="Times New Roman" w:hAnsi="Times New Roman"/>
            <w:b/>
            <w:sz w:val="24"/>
            <w:szCs w:val="24"/>
          </w:rPr>
          <w:t>https://drive.google.com/file/d/1VWwIseEl7gdzhv6UxgyZNZeTX7Y_8-m_/view</w:t>
        </w:r>
      </w:hyperlink>
      <w:r w:rsidRPr="00976742">
        <w:rPr>
          <w:rFonts w:ascii="Times New Roman" w:hAnsi="Times New Roman"/>
          <w:bCs/>
          <w:sz w:val="24"/>
          <w:szCs w:val="24"/>
        </w:rPr>
        <w:t xml:space="preserve"> </w:t>
      </w:r>
    </w:p>
    <w:p w14:paraId="1D4B213C" w14:textId="77777777" w:rsidR="00A01ACA" w:rsidRDefault="00A01ACA" w:rsidP="00A01ACA">
      <w:pPr>
        <w:pStyle w:val="NoSpacing"/>
        <w:rPr>
          <w:rFonts w:ascii="Times New Roman" w:hAnsi="Times New Roman"/>
          <w:b/>
          <w:bCs/>
          <w:sz w:val="24"/>
          <w:szCs w:val="24"/>
        </w:rPr>
      </w:pPr>
    </w:p>
    <w:p w14:paraId="4B92375C" w14:textId="39E83BCE" w:rsidR="00A01ACA" w:rsidRPr="00976742" w:rsidRDefault="00A01ACA" w:rsidP="00A01ACA">
      <w:pPr>
        <w:pStyle w:val="NoSpacing"/>
        <w:rPr>
          <w:rFonts w:ascii="Times New Roman" w:hAnsi="Times New Roman"/>
          <w:b/>
          <w:bCs/>
          <w:sz w:val="24"/>
          <w:szCs w:val="24"/>
        </w:rPr>
      </w:pPr>
      <w:r w:rsidRPr="00976742">
        <w:rPr>
          <w:rFonts w:ascii="Times New Roman" w:hAnsi="Times New Roman"/>
          <w:b/>
          <w:bCs/>
          <w:sz w:val="24"/>
          <w:szCs w:val="24"/>
        </w:rPr>
        <w:t xml:space="preserve">Legal Lessons Learned:  Juror’s use of social media is not a basis for setting aside the verdict, unless the posts deal with the case on which they are serving.  </w:t>
      </w:r>
    </w:p>
    <w:p w14:paraId="4362A1DC" w14:textId="77777777" w:rsidR="00A01ACA" w:rsidRDefault="00A01ACA" w:rsidP="00A01ACA">
      <w:pPr>
        <w:pStyle w:val="NoSpacing"/>
        <w:ind w:left="720"/>
        <w:rPr>
          <w:b/>
          <w:bCs/>
          <w:sz w:val="24"/>
          <w:szCs w:val="24"/>
        </w:rPr>
      </w:pPr>
    </w:p>
    <w:p w14:paraId="147FCCCB" w14:textId="77777777" w:rsidR="00A01ACA" w:rsidRDefault="00A01ACA" w:rsidP="002B1283">
      <w:pPr>
        <w:rPr>
          <w:rFonts w:ascii="Arial Black" w:hAnsi="Arial Black"/>
          <w:b/>
          <w:sz w:val="24"/>
          <w:szCs w:val="24"/>
        </w:rPr>
      </w:pPr>
    </w:p>
    <w:p w14:paraId="25B3069C" w14:textId="77777777" w:rsidR="00A01ACA" w:rsidRDefault="00A01ACA" w:rsidP="002B1283">
      <w:pPr>
        <w:rPr>
          <w:rFonts w:ascii="Arial Black" w:hAnsi="Arial Black"/>
          <w:b/>
          <w:sz w:val="24"/>
          <w:szCs w:val="24"/>
        </w:rPr>
      </w:pPr>
    </w:p>
    <w:p w14:paraId="02450068" w14:textId="366A43AD" w:rsidR="00A01ACA" w:rsidRDefault="00A01ACA" w:rsidP="002B1283">
      <w:pPr>
        <w:rPr>
          <w:rFonts w:ascii="Arial Black" w:hAnsi="Arial Black"/>
          <w:b/>
          <w:sz w:val="24"/>
          <w:szCs w:val="24"/>
        </w:rPr>
      </w:pPr>
      <w:r>
        <w:rPr>
          <w:rFonts w:ascii="Arial Black" w:hAnsi="Arial Black"/>
          <w:b/>
          <w:sz w:val="24"/>
          <w:szCs w:val="24"/>
        </w:rPr>
        <w:t>1-45</w:t>
      </w:r>
    </w:p>
    <w:p w14:paraId="1341531D" w14:textId="77777777" w:rsidR="00A01ACA" w:rsidRPr="00496CBF" w:rsidRDefault="00A01ACA" w:rsidP="00A01ACA">
      <w:pPr>
        <w:pStyle w:val="NoSpacing"/>
        <w:rPr>
          <w:rFonts w:ascii="Arial Black" w:hAnsi="Arial Black"/>
          <w:sz w:val="28"/>
          <w:szCs w:val="28"/>
        </w:rPr>
      </w:pPr>
      <w:bookmarkStart w:id="33" w:name="_Hlk39749155"/>
      <w:r w:rsidRPr="00496CBF">
        <w:rPr>
          <w:rFonts w:ascii="Arial Black" w:hAnsi="Arial Black"/>
          <w:sz w:val="28"/>
          <w:szCs w:val="28"/>
        </w:rPr>
        <w:t xml:space="preserve">IA: </w:t>
      </w:r>
      <w:r>
        <w:rPr>
          <w:rFonts w:ascii="Arial Black" w:hAnsi="Arial Black"/>
          <w:sz w:val="28"/>
          <w:szCs w:val="28"/>
        </w:rPr>
        <w:t>FIRE INVESTIGATION - TOASTER FIRE – STATE FARM INSURANCE PROPERLY REFUSED PAY HOMEOWNER</w:t>
      </w:r>
    </w:p>
    <w:p w14:paraId="4C1E4764" w14:textId="77777777" w:rsidR="00A01ACA" w:rsidRDefault="00A01ACA" w:rsidP="00A01ACA">
      <w:pPr>
        <w:pStyle w:val="NoSpacing"/>
        <w:rPr>
          <w:b/>
          <w:bCs/>
          <w:sz w:val="24"/>
          <w:szCs w:val="24"/>
        </w:rPr>
      </w:pPr>
    </w:p>
    <w:p w14:paraId="40A5A896"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Cs/>
          <w:sz w:val="24"/>
          <w:szCs w:val="24"/>
        </w:rPr>
        <w:t xml:space="preserve">On April 6, 2020, in </w:t>
      </w:r>
      <w:r w:rsidRPr="00976742">
        <w:rPr>
          <w:rFonts w:ascii="Times New Roman" w:hAnsi="Times New Roman"/>
          <w:bCs/>
          <w:sz w:val="24"/>
          <w:szCs w:val="24"/>
          <w:u w:val="single"/>
        </w:rPr>
        <w:t>Bryan Jones and Sarah Jones v. State Farm And Casualty Company</w:t>
      </w:r>
      <w:r w:rsidRPr="00976742">
        <w:rPr>
          <w:rFonts w:ascii="Times New Roman" w:hAnsi="Times New Roman"/>
          <w:bCs/>
          <w:sz w:val="24"/>
          <w:szCs w:val="24"/>
        </w:rPr>
        <w:t>, U.S. District Court Judge Leonard T. Strand, Chief Judge, U.S. District Court for the Northern District of Iowa, Western Division, granted summary judgment to State Farm and dismissed the lawsuit.  The insurance company refused to pay for the fire damage when evidence showed that paper was put in the toaster, it was turned on and a roll of paper towels was left on top of the toaster.  Former co-workers of Sarah Jones also informed State Farm about suspicious comments.</w:t>
      </w:r>
    </w:p>
    <w:p w14:paraId="2E41537E" w14:textId="77777777" w:rsidR="00A01ACA" w:rsidRPr="00976742" w:rsidRDefault="00A01ACA" w:rsidP="00A01ACA">
      <w:pPr>
        <w:pStyle w:val="NoSpacing"/>
        <w:rPr>
          <w:rFonts w:ascii="Times New Roman" w:hAnsi="Times New Roman"/>
          <w:b/>
          <w:bCs/>
          <w:sz w:val="24"/>
          <w:szCs w:val="24"/>
        </w:rPr>
      </w:pPr>
    </w:p>
    <w:p w14:paraId="1B2CC9D0"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 xml:space="preserve">“In short, there is undisputed evidence that the fire started at the toaster, that a paper-like material was observed on top of the toaster after the fire and that the toaster was in the ‘on’ position. There is also unrebutted expert opinion evidence that a defect in the toaster, or in the home's electrical system, could not have caused the fire and that the fire could have been started by putting paper products in and on the toaster. On this record, and regardless of plaintiffs' denials, no reasonable jury could find that the fire was accidental. As such, and as a matter of law, State Farm did not breach the insurance contract by denying coverage for the loss that resulted from the fire.” </w:t>
      </w:r>
    </w:p>
    <w:p w14:paraId="3E9299E7" w14:textId="2046FD84" w:rsidR="00A01ACA" w:rsidRDefault="00A01ACA" w:rsidP="00A01ACA">
      <w:pPr>
        <w:rPr>
          <w:rFonts w:ascii="Arial Black" w:hAnsi="Arial Black"/>
          <w:b/>
          <w:sz w:val="24"/>
          <w:szCs w:val="24"/>
        </w:rPr>
      </w:pPr>
      <w:hyperlink r:id="rId320" w:history="1">
        <w:r w:rsidRPr="00976742">
          <w:rPr>
            <w:rStyle w:val="Hyperlink"/>
            <w:rFonts w:ascii="Times New Roman" w:hAnsi="Times New Roman"/>
            <w:b/>
            <w:sz w:val="24"/>
            <w:szCs w:val="24"/>
          </w:rPr>
          <w:t>https://public.fastcase.com/Wl%2B2t%2BeVuI35%2FN70vAMFZiMSkjeFjM9WB95jitKYLwuiXut%2FEoidjwwdPtdsEj9z</w:t>
        </w:r>
      </w:hyperlink>
    </w:p>
    <w:bookmarkEnd w:id="33"/>
    <w:p w14:paraId="7F114673" w14:textId="77777777" w:rsidR="00A01ACA" w:rsidRPr="00976742" w:rsidRDefault="00A01ACA" w:rsidP="00A01ACA">
      <w:pPr>
        <w:pStyle w:val="NoSpacing"/>
        <w:rPr>
          <w:rFonts w:ascii="Times New Roman" w:hAnsi="Times New Roman"/>
          <w:b/>
          <w:bCs/>
          <w:sz w:val="24"/>
          <w:szCs w:val="24"/>
        </w:rPr>
      </w:pPr>
      <w:r w:rsidRPr="00976742">
        <w:rPr>
          <w:rFonts w:ascii="Times New Roman" w:eastAsia="Times New Roman" w:hAnsi="Times New Roman"/>
          <w:b/>
          <w:bCs/>
          <w:sz w:val="24"/>
          <w:szCs w:val="24"/>
        </w:rPr>
        <w:t xml:space="preserve">Legal Lessons Learned:  Insurance companies wisely use experts to investigate suspicious claims. </w:t>
      </w:r>
      <w:r w:rsidRPr="00976742">
        <w:rPr>
          <w:rFonts w:ascii="Times New Roman" w:hAnsi="Times New Roman"/>
          <w:b/>
          <w:bCs/>
          <w:sz w:val="24"/>
          <w:szCs w:val="24"/>
        </w:rPr>
        <w:t xml:space="preserve">The U.S. District Court judge added this footnote at the end of his decision about prior arson conviction of Bryan Jones. </w:t>
      </w:r>
    </w:p>
    <w:p w14:paraId="54C8A1BD" w14:textId="77777777" w:rsidR="00A01ACA" w:rsidRPr="00976742" w:rsidRDefault="00A01ACA" w:rsidP="00A01ACA">
      <w:pPr>
        <w:pStyle w:val="NoSpacing"/>
        <w:rPr>
          <w:rFonts w:ascii="Times New Roman" w:hAnsi="Times New Roman"/>
          <w:b/>
          <w:bCs/>
          <w:sz w:val="24"/>
          <w:szCs w:val="24"/>
        </w:rPr>
      </w:pPr>
    </w:p>
    <w:p w14:paraId="2FF1A228"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Footnote 4: “Plaintiffs dispute the admissibility of certain other evidence State Farm discovered during its investigation. For example, plaintiffs were experiencing serious financial difficulties, Bryan has a prior arson conviction, Sarah had submitted a prior fire loss claim and Bryan had once reported a vehicle stolen but it was located a short distance away and had been set on fire….  It is not necessary to consider this evidence to conclude that plaintiffs have failed to meet their burden of producing evidence from which reasonable jurors could find that the fire was accidental or that they did not intentionally start the fire. As such, I need not resolve the admissibility issue. I do note that evidence of these additional facts would almost certainly be relevant, at minimum, for purposes of determining whether State Farm acted in bad faith in denying coverage, if that claim could otherwise proceed to trial.”</w:t>
      </w:r>
    </w:p>
    <w:p w14:paraId="6EAB909D" w14:textId="77777777" w:rsidR="00A01ACA" w:rsidRDefault="00A01ACA" w:rsidP="002B1283">
      <w:pPr>
        <w:rPr>
          <w:rFonts w:ascii="Arial Black" w:hAnsi="Arial Black"/>
          <w:b/>
          <w:sz w:val="24"/>
          <w:szCs w:val="24"/>
        </w:rPr>
      </w:pPr>
    </w:p>
    <w:p w14:paraId="602CDF22" w14:textId="62E91B05" w:rsidR="00A01ACA" w:rsidRDefault="00A01ACA" w:rsidP="002B1283">
      <w:pPr>
        <w:rPr>
          <w:rFonts w:ascii="Arial Black" w:hAnsi="Arial Black"/>
          <w:b/>
          <w:sz w:val="24"/>
          <w:szCs w:val="24"/>
        </w:rPr>
      </w:pPr>
      <w:r>
        <w:rPr>
          <w:rFonts w:ascii="Arial Black" w:hAnsi="Arial Black"/>
          <w:b/>
          <w:sz w:val="24"/>
          <w:szCs w:val="24"/>
        </w:rPr>
        <w:t>1-44</w:t>
      </w:r>
    </w:p>
    <w:p w14:paraId="77DBBD28" w14:textId="77777777" w:rsidR="00A01ACA" w:rsidRPr="00FE6BFF" w:rsidRDefault="00A01ACA" w:rsidP="00A01ACA">
      <w:pPr>
        <w:pStyle w:val="NoSpacing"/>
        <w:rPr>
          <w:rFonts w:ascii="Arial Black" w:hAnsi="Arial Black"/>
          <w:b/>
          <w:bCs/>
          <w:sz w:val="28"/>
          <w:szCs w:val="28"/>
        </w:rPr>
      </w:pPr>
      <w:bookmarkStart w:id="34" w:name="_Hlk39749233"/>
      <w:bookmarkStart w:id="35" w:name="_Hlk41315261"/>
      <w:r>
        <w:rPr>
          <w:rFonts w:ascii="Arial Black" w:hAnsi="Arial Black"/>
          <w:bCs/>
          <w:sz w:val="28"/>
          <w:szCs w:val="28"/>
        </w:rPr>
        <w:t xml:space="preserve">U.S. SUP. CT:  POLICE USED “COMMON SENSE” – DRIVER WITH REVOKED LICENSE - REASONABLE SUSPICION </w:t>
      </w:r>
    </w:p>
    <w:p w14:paraId="43F48CFC" w14:textId="77777777" w:rsidR="00A01ACA" w:rsidRDefault="00A01ACA" w:rsidP="00A01ACA">
      <w:pPr>
        <w:pStyle w:val="NoSpacing"/>
        <w:rPr>
          <w:b/>
          <w:bCs/>
          <w:sz w:val="24"/>
          <w:szCs w:val="24"/>
        </w:rPr>
      </w:pPr>
    </w:p>
    <w:p w14:paraId="17D1774A" w14:textId="3D84C8E7" w:rsidR="00A01ACA" w:rsidRPr="00976742" w:rsidRDefault="00A01ACA" w:rsidP="00A01ACA">
      <w:pPr>
        <w:pStyle w:val="NoSpacing"/>
        <w:rPr>
          <w:rFonts w:ascii="Times New Roman" w:hAnsi="Times New Roman"/>
          <w:b/>
          <w:sz w:val="24"/>
          <w:szCs w:val="24"/>
        </w:rPr>
      </w:pPr>
      <w:r w:rsidRPr="00976742">
        <w:rPr>
          <w:rFonts w:ascii="Times New Roman" w:hAnsi="Times New Roman"/>
          <w:sz w:val="24"/>
          <w:szCs w:val="24"/>
        </w:rPr>
        <w:t xml:space="preserve">On April 6, 2020, in </w:t>
      </w:r>
      <w:r w:rsidRPr="00976742">
        <w:rPr>
          <w:rFonts w:ascii="Times New Roman" w:hAnsi="Times New Roman"/>
          <w:sz w:val="24"/>
          <w:szCs w:val="24"/>
          <w:u w:val="single"/>
        </w:rPr>
        <w:t>Kansas v. Charles Glover, Jr</w:t>
      </w:r>
      <w:r w:rsidRPr="00976742">
        <w:rPr>
          <w:rFonts w:ascii="Times New Roman" w:hAnsi="Times New Roman"/>
          <w:sz w:val="24"/>
          <w:szCs w:val="24"/>
        </w:rPr>
        <w:t xml:space="preserve">., held (8 to 0) in an opinion by Justice Clarence Thomas that the Deputy Sheriff on patrol, who runs a license plate and learns owner of vehicle has revoked driver’s license, used his “common sense” and had “reasonable suspicion” to make a traffic stop of the male driver.   The trial judge had granted defense motion to suppress, which the Court of Appeals reversed. The Kansas Supreme Court, however, agreed with the trial judge, finding the Deputy Sheriff  did not have reasonable suspicion because his inference that Glover was behind the wheel amounted to “only a hunch.”  </w:t>
      </w:r>
      <w:proofErr w:type="gramStart"/>
      <w:r w:rsidRPr="00976742">
        <w:rPr>
          <w:rFonts w:ascii="Times New Roman" w:hAnsi="Times New Roman"/>
          <w:sz w:val="24"/>
          <w:szCs w:val="24"/>
        </w:rPr>
        <w:t>Fortunately</w:t>
      </w:r>
      <w:proofErr w:type="gramEnd"/>
      <w:r w:rsidRPr="00976742">
        <w:rPr>
          <w:rFonts w:ascii="Times New Roman" w:hAnsi="Times New Roman"/>
          <w:sz w:val="24"/>
          <w:szCs w:val="24"/>
        </w:rPr>
        <w:t xml:space="preserve"> the U.S. Supreme Court reversed the Kansas Supreme Court.</w:t>
      </w:r>
    </w:p>
    <w:bookmarkEnd w:id="34"/>
    <w:p w14:paraId="59DA2042" w14:textId="77777777" w:rsidR="00A01ACA" w:rsidRPr="00976742" w:rsidRDefault="00A01ACA" w:rsidP="00A01ACA">
      <w:pPr>
        <w:pStyle w:val="NoSpacing"/>
        <w:rPr>
          <w:rFonts w:ascii="Times New Roman" w:hAnsi="Times New Roman"/>
          <w:b/>
          <w:sz w:val="24"/>
          <w:szCs w:val="24"/>
        </w:rPr>
      </w:pPr>
    </w:p>
    <w:p w14:paraId="20145DAB" w14:textId="77777777" w:rsidR="00A01ACA" w:rsidRPr="00976742" w:rsidRDefault="00A01ACA" w:rsidP="00A01ACA">
      <w:pPr>
        <w:pStyle w:val="NoSpacing"/>
        <w:rPr>
          <w:rFonts w:ascii="Times New Roman" w:hAnsi="Times New Roman"/>
          <w:b/>
          <w:sz w:val="24"/>
          <w:szCs w:val="24"/>
        </w:rPr>
      </w:pPr>
      <w:r w:rsidRPr="00976742">
        <w:rPr>
          <w:rFonts w:ascii="Times New Roman" w:hAnsi="Times New Roman"/>
          <w:sz w:val="24"/>
          <w:szCs w:val="24"/>
        </w:rPr>
        <w:t xml:space="preserve">“Because it is a ‘less demanding’ standard, ‘reasonable suspicion can be established with information that is different in quantity or content than that required to establish probable cause.’ Alabama v. White, 496 U. S. 325, 330 (1990). The standard ‘depends on the factual and practical considerations of everyday life on which reasonable and prudent men, not legal technicians, act.’ Navarette, supra, at 402 (quoting Ornelas v. United States, 517 U. S. 690, 695 (1996) (emphasis added; internal quotation marks omitted)). Courts “cannot reasonably demand scientific certainty . . . where none exists.” Illinois v. Wardlow, 528 U. S. 119, 125 (2000). Rather, they must permit officers to make ‘commonsense judgments and inferences about human behavior.’ Ibid.”  </w:t>
      </w:r>
      <w:bookmarkStart w:id="36" w:name="_Hlk39749259"/>
      <w:r w:rsidR="00334940">
        <w:fldChar w:fldCharType="begin"/>
      </w:r>
      <w:r w:rsidR="00334940">
        <w:instrText xml:space="preserve"> HYPERLINK "https://www.supremecourt.gov/opinions/19pdf/18-556_e1pf.pdf" </w:instrText>
      </w:r>
      <w:r w:rsidR="00334940">
        <w:fldChar w:fldCharType="separate"/>
      </w:r>
      <w:r w:rsidRPr="00976742">
        <w:rPr>
          <w:rStyle w:val="Hyperlink"/>
          <w:rFonts w:ascii="Times New Roman" w:hAnsi="Times New Roman"/>
          <w:b/>
          <w:sz w:val="24"/>
          <w:szCs w:val="24"/>
        </w:rPr>
        <w:t>https://www.supremecourt.gov/opinions/19pdf/18-556_e1pf.pdf</w:t>
      </w:r>
      <w:r w:rsidR="00334940">
        <w:rPr>
          <w:rStyle w:val="Hyperlink"/>
          <w:rFonts w:ascii="Times New Roman" w:hAnsi="Times New Roman"/>
          <w:b/>
          <w:sz w:val="24"/>
          <w:szCs w:val="24"/>
        </w:rPr>
        <w:fldChar w:fldCharType="end"/>
      </w:r>
      <w:r w:rsidRPr="00976742">
        <w:rPr>
          <w:rFonts w:ascii="Times New Roman" w:hAnsi="Times New Roman"/>
          <w:sz w:val="24"/>
          <w:szCs w:val="24"/>
        </w:rPr>
        <w:t xml:space="preserve"> </w:t>
      </w:r>
    </w:p>
    <w:bookmarkEnd w:id="36"/>
    <w:p w14:paraId="2D786138" w14:textId="77777777" w:rsidR="00A01ACA" w:rsidRDefault="00A01ACA" w:rsidP="00A01ACA">
      <w:pPr>
        <w:pStyle w:val="NoSpacing"/>
        <w:rPr>
          <w:rFonts w:ascii="Times New Roman" w:hAnsi="Times New Roman"/>
          <w:b/>
          <w:sz w:val="24"/>
          <w:szCs w:val="24"/>
        </w:rPr>
      </w:pPr>
    </w:p>
    <w:p w14:paraId="30124E97" w14:textId="495DC5C1" w:rsidR="00A01ACA" w:rsidRPr="00976742" w:rsidRDefault="00A01ACA" w:rsidP="00A01ACA">
      <w:pPr>
        <w:pStyle w:val="NoSpacing"/>
        <w:rPr>
          <w:rFonts w:ascii="Times New Roman" w:hAnsi="Times New Roman"/>
          <w:b/>
          <w:sz w:val="24"/>
          <w:szCs w:val="24"/>
        </w:rPr>
      </w:pPr>
      <w:r w:rsidRPr="00976742">
        <w:rPr>
          <w:rFonts w:ascii="Times New Roman" w:hAnsi="Times New Roman"/>
          <w:b/>
          <w:sz w:val="24"/>
          <w:szCs w:val="24"/>
        </w:rPr>
        <w:t xml:space="preserve">Legal Lessons Learned:  Excellent “common sense” decision. </w:t>
      </w:r>
    </w:p>
    <w:p w14:paraId="7888B846" w14:textId="77777777" w:rsidR="00A01ACA" w:rsidRDefault="00A01ACA" w:rsidP="002B1283">
      <w:pPr>
        <w:rPr>
          <w:rFonts w:ascii="Arial Black" w:hAnsi="Arial Black"/>
          <w:b/>
          <w:sz w:val="24"/>
          <w:szCs w:val="24"/>
        </w:rPr>
      </w:pPr>
    </w:p>
    <w:bookmarkEnd w:id="35"/>
    <w:p w14:paraId="64B13BB6" w14:textId="77777777" w:rsidR="00A01ACA" w:rsidRDefault="00A01ACA" w:rsidP="002B1283">
      <w:pPr>
        <w:rPr>
          <w:rFonts w:ascii="Arial Black" w:hAnsi="Arial Black"/>
          <w:b/>
          <w:sz w:val="24"/>
          <w:szCs w:val="24"/>
        </w:rPr>
      </w:pPr>
    </w:p>
    <w:p w14:paraId="5FB81DC1" w14:textId="77777777" w:rsidR="00A01ACA" w:rsidRDefault="00A01ACA" w:rsidP="002B1283">
      <w:pPr>
        <w:rPr>
          <w:rFonts w:ascii="Arial Black" w:hAnsi="Arial Black"/>
          <w:b/>
          <w:sz w:val="24"/>
          <w:szCs w:val="24"/>
        </w:rPr>
      </w:pPr>
    </w:p>
    <w:p w14:paraId="62CA3ED8" w14:textId="7E4CB491" w:rsidR="00A01ACA" w:rsidRDefault="00A01ACA" w:rsidP="002B1283">
      <w:pPr>
        <w:rPr>
          <w:rFonts w:ascii="Arial Black" w:hAnsi="Arial Black"/>
          <w:b/>
          <w:sz w:val="24"/>
          <w:szCs w:val="24"/>
        </w:rPr>
      </w:pPr>
      <w:r>
        <w:rPr>
          <w:rFonts w:ascii="Arial Black" w:hAnsi="Arial Black"/>
          <w:b/>
          <w:sz w:val="24"/>
          <w:szCs w:val="24"/>
        </w:rPr>
        <w:t>1-43</w:t>
      </w:r>
    </w:p>
    <w:p w14:paraId="1CB8A4E4" w14:textId="77777777" w:rsidR="00A01ACA" w:rsidRPr="00295EFD" w:rsidRDefault="00A01ACA" w:rsidP="00A01ACA">
      <w:pPr>
        <w:pStyle w:val="NoSpacing"/>
        <w:rPr>
          <w:rFonts w:ascii="Arial Black" w:hAnsi="Arial Black"/>
          <w:sz w:val="28"/>
          <w:szCs w:val="28"/>
        </w:rPr>
      </w:pPr>
      <w:bookmarkStart w:id="37" w:name="_Hlk39749327"/>
      <w:r w:rsidRPr="00295EFD">
        <w:rPr>
          <w:rFonts w:ascii="Arial Black" w:hAnsi="Arial Black"/>
          <w:sz w:val="28"/>
          <w:szCs w:val="28"/>
        </w:rPr>
        <w:t xml:space="preserve">CA: </w:t>
      </w:r>
      <w:r>
        <w:rPr>
          <w:rFonts w:ascii="Arial Black" w:hAnsi="Arial Black"/>
          <w:sz w:val="28"/>
          <w:szCs w:val="28"/>
        </w:rPr>
        <w:t xml:space="preserve">FIRE INVESTIGATION - HOMEOWNER CONFESSED - PROS. DELAYED DISCOSURE OF LAB RECEIPTS – NO HARM </w:t>
      </w:r>
    </w:p>
    <w:p w14:paraId="729A7719" w14:textId="77777777" w:rsidR="00A01ACA" w:rsidRDefault="00A01ACA" w:rsidP="00A01ACA">
      <w:pPr>
        <w:pStyle w:val="NoSpacing"/>
        <w:rPr>
          <w:b/>
          <w:bCs/>
          <w:sz w:val="24"/>
          <w:szCs w:val="24"/>
        </w:rPr>
      </w:pPr>
    </w:p>
    <w:p w14:paraId="2AD7E3BC" w14:textId="77777777" w:rsidR="00A01ACA" w:rsidRPr="00976742" w:rsidRDefault="00A01ACA" w:rsidP="00A01ACA">
      <w:pPr>
        <w:pStyle w:val="NoSpacing"/>
        <w:rPr>
          <w:rFonts w:ascii="Times New Roman" w:hAnsi="Times New Roman"/>
          <w:b/>
          <w:bCs/>
          <w:sz w:val="24"/>
          <w:szCs w:val="24"/>
        </w:rPr>
      </w:pPr>
      <w:r w:rsidRPr="00976742">
        <w:rPr>
          <w:rFonts w:ascii="Times New Roman" w:hAnsi="Times New Roman"/>
          <w:bCs/>
          <w:sz w:val="24"/>
          <w:szCs w:val="24"/>
        </w:rPr>
        <w:t xml:space="preserve">On April 3, 2020, in </w:t>
      </w:r>
      <w:r w:rsidRPr="00976742">
        <w:rPr>
          <w:rFonts w:ascii="Times New Roman" w:hAnsi="Times New Roman"/>
          <w:bCs/>
          <w:sz w:val="24"/>
          <w:szCs w:val="24"/>
          <w:u w:val="single"/>
        </w:rPr>
        <w:t xml:space="preserve">The People v. Lincoln </w:t>
      </w:r>
      <w:proofErr w:type="spellStart"/>
      <w:r w:rsidRPr="00976742">
        <w:rPr>
          <w:rFonts w:ascii="Times New Roman" w:hAnsi="Times New Roman"/>
          <w:bCs/>
          <w:sz w:val="24"/>
          <w:szCs w:val="24"/>
          <w:u w:val="single"/>
        </w:rPr>
        <w:t>Testro</w:t>
      </w:r>
      <w:proofErr w:type="spellEnd"/>
      <w:r w:rsidRPr="00976742">
        <w:rPr>
          <w:rFonts w:ascii="Times New Roman" w:hAnsi="Times New Roman"/>
          <w:bCs/>
          <w:sz w:val="24"/>
          <w:szCs w:val="24"/>
          <w:u w:val="single"/>
        </w:rPr>
        <w:t xml:space="preserve"> Smith</w:t>
      </w:r>
      <w:r w:rsidRPr="00976742">
        <w:rPr>
          <w:rFonts w:ascii="Times New Roman" w:hAnsi="Times New Roman"/>
          <w:bCs/>
          <w:sz w:val="24"/>
          <w:szCs w:val="24"/>
        </w:rPr>
        <w:t xml:space="preserve">, the Court of Appeal of California (Second Appellate District / Division Five) held (3 to 0) in an unpublished decision, that trial court properly refused to instruct the jury about late disclosure of 75 pages of lab receipts, since the disclosure the night prior to the second (and last) day of trial was made prior to the LA County Sheriff’s senior criminalist’s testimony, did not cause any harm to the defense.   Defense already had his two page </w:t>
      </w:r>
      <w:proofErr w:type="gramStart"/>
      <w:r w:rsidRPr="00976742">
        <w:rPr>
          <w:rFonts w:ascii="Times New Roman" w:hAnsi="Times New Roman"/>
          <w:bCs/>
          <w:sz w:val="24"/>
          <w:szCs w:val="24"/>
        </w:rPr>
        <w:t>report, and</w:t>
      </w:r>
      <w:proofErr w:type="gramEnd"/>
      <w:r w:rsidRPr="00976742">
        <w:rPr>
          <w:rFonts w:ascii="Times New Roman" w:hAnsi="Times New Roman"/>
          <w:bCs/>
          <w:sz w:val="24"/>
          <w:szCs w:val="24"/>
        </w:rPr>
        <w:t xml:space="preserve"> did not request a continuance of the trial. </w:t>
      </w:r>
    </w:p>
    <w:bookmarkEnd w:id="37"/>
    <w:p w14:paraId="37485B45" w14:textId="77777777" w:rsidR="00A01ACA" w:rsidRPr="00976742" w:rsidRDefault="00A01ACA" w:rsidP="00A01ACA">
      <w:pPr>
        <w:pStyle w:val="NoSpacing"/>
        <w:rPr>
          <w:rFonts w:ascii="Times New Roman" w:hAnsi="Times New Roman"/>
          <w:b/>
          <w:bCs/>
          <w:sz w:val="24"/>
          <w:szCs w:val="24"/>
        </w:rPr>
      </w:pPr>
    </w:p>
    <w:p w14:paraId="6DE233D7" w14:textId="77777777" w:rsidR="00A01ACA" w:rsidRPr="00976742" w:rsidRDefault="00A01ACA" w:rsidP="00A01ACA">
      <w:pPr>
        <w:pStyle w:val="NoSpacing"/>
        <w:ind w:left="720"/>
        <w:rPr>
          <w:rFonts w:ascii="Times New Roman" w:hAnsi="Times New Roman"/>
          <w:b/>
          <w:bCs/>
          <w:sz w:val="24"/>
          <w:szCs w:val="24"/>
        </w:rPr>
      </w:pPr>
      <w:r w:rsidRPr="00976742">
        <w:rPr>
          <w:rFonts w:ascii="Times New Roman" w:hAnsi="Times New Roman"/>
          <w:bCs/>
          <w:sz w:val="24"/>
          <w:szCs w:val="24"/>
        </w:rPr>
        <w:t xml:space="preserve">“[T]he prosecution’s explanation for the discovery delay offered at trial did not reveal any willful misconduct. And most importantly, the defense was unable to articulate any concrete disadvantage </w:t>
      </w:r>
      <w:proofErr w:type="gramStart"/>
      <w:r w:rsidRPr="00976742">
        <w:rPr>
          <w:rFonts w:ascii="Times New Roman" w:hAnsi="Times New Roman"/>
          <w:bCs/>
          <w:sz w:val="24"/>
          <w:szCs w:val="24"/>
        </w:rPr>
        <w:t>occasioned</w:t>
      </w:r>
      <w:proofErr w:type="gramEnd"/>
      <w:r w:rsidRPr="00976742">
        <w:rPr>
          <w:rFonts w:ascii="Times New Roman" w:hAnsi="Times New Roman"/>
          <w:bCs/>
          <w:sz w:val="24"/>
          <w:szCs w:val="24"/>
        </w:rPr>
        <w:t xml:space="preserve"> by the production of the data and notes underlying West’s  [Michael West, a senior criminalist with the Los Angeles County Sheriff’s Department, two </w:t>
      </w:r>
      <w:proofErr w:type="gramStart"/>
      <w:r w:rsidRPr="00976742">
        <w:rPr>
          <w:rFonts w:ascii="Times New Roman" w:hAnsi="Times New Roman"/>
          <w:bCs/>
          <w:sz w:val="24"/>
          <w:szCs w:val="24"/>
        </w:rPr>
        <w:t>page</w:t>
      </w:r>
      <w:proofErr w:type="gramEnd"/>
      <w:r w:rsidRPr="00976742">
        <w:rPr>
          <w:rFonts w:ascii="Times New Roman" w:hAnsi="Times New Roman"/>
          <w:bCs/>
          <w:sz w:val="24"/>
          <w:szCs w:val="24"/>
        </w:rPr>
        <w:t xml:space="preserve">] summary report (which had been timely produced) before West </w:t>
      </w:r>
      <w:proofErr w:type="gramStart"/>
      <w:r w:rsidRPr="00976742">
        <w:rPr>
          <w:rFonts w:ascii="Times New Roman" w:hAnsi="Times New Roman"/>
          <w:bCs/>
          <w:sz w:val="24"/>
          <w:szCs w:val="24"/>
        </w:rPr>
        <w:t>testified.”</w:t>
      </w:r>
      <w:proofErr w:type="gramEnd"/>
      <w:r w:rsidRPr="00976742">
        <w:rPr>
          <w:rFonts w:ascii="Times New Roman" w:hAnsi="Times New Roman"/>
          <w:bCs/>
          <w:sz w:val="24"/>
          <w:szCs w:val="24"/>
        </w:rPr>
        <w:t xml:space="preserve"> </w:t>
      </w:r>
      <w:bookmarkStart w:id="38" w:name="_Hlk39749347"/>
      <w:r w:rsidR="00334940">
        <w:fldChar w:fldCharType="begin"/>
      </w:r>
      <w:r w:rsidR="00334940">
        <w:instrText xml:space="preserve"> HYPERLINK "https://www.courts.ca.gov/opinions/nonpub/B294627.PDF" </w:instrText>
      </w:r>
      <w:r w:rsidR="00334940">
        <w:fldChar w:fldCharType="separate"/>
      </w:r>
      <w:r w:rsidRPr="00976742">
        <w:rPr>
          <w:rStyle w:val="Hyperlink"/>
          <w:rFonts w:ascii="Times New Roman" w:hAnsi="Times New Roman"/>
          <w:b/>
          <w:sz w:val="24"/>
          <w:szCs w:val="24"/>
        </w:rPr>
        <w:t>https://www.courts.ca.gov/opinions/nonpub/B294627.PDF</w:t>
      </w:r>
      <w:r w:rsidR="00334940">
        <w:rPr>
          <w:rStyle w:val="Hyperlink"/>
          <w:rFonts w:ascii="Times New Roman" w:hAnsi="Times New Roman"/>
          <w:b/>
          <w:sz w:val="24"/>
          <w:szCs w:val="24"/>
        </w:rPr>
        <w:fldChar w:fldCharType="end"/>
      </w:r>
      <w:r w:rsidRPr="00976742">
        <w:rPr>
          <w:rFonts w:ascii="Times New Roman" w:hAnsi="Times New Roman"/>
          <w:bCs/>
          <w:sz w:val="24"/>
          <w:szCs w:val="24"/>
        </w:rPr>
        <w:t xml:space="preserve"> </w:t>
      </w:r>
    </w:p>
    <w:bookmarkEnd w:id="38"/>
    <w:p w14:paraId="51DFCA96" w14:textId="77777777" w:rsidR="00A01ACA" w:rsidRDefault="00A01ACA" w:rsidP="00A01ACA">
      <w:pPr>
        <w:pStyle w:val="NoSpacing"/>
        <w:rPr>
          <w:rFonts w:ascii="Times New Roman" w:hAnsi="Times New Roman"/>
          <w:b/>
          <w:bCs/>
          <w:sz w:val="24"/>
          <w:szCs w:val="24"/>
        </w:rPr>
      </w:pPr>
    </w:p>
    <w:p w14:paraId="017669B6" w14:textId="36C22A5C" w:rsidR="00A01ACA" w:rsidRPr="00976742" w:rsidRDefault="00A01ACA" w:rsidP="00A01ACA">
      <w:pPr>
        <w:pStyle w:val="NoSpacing"/>
        <w:rPr>
          <w:rFonts w:ascii="Times New Roman" w:hAnsi="Times New Roman"/>
          <w:b/>
          <w:bCs/>
          <w:sz w:val="24"/>
          <w:szCs w:val="24"/>
        </w:rPr>
      </w:pPr>
      <w:r w:rsidRPr="00976742">
        <w:rPr>
          <w:rFonts w:ascii="Times New Roman" w:hAnsi="Times New Roman"/>
          <w:b/>
          <w:bCs/>
          <w:sz w:val="24"/>
          <w:szCs w:val="24"/>
        </w:rPr>
        <w:t xml:space="preserve">Legal Lessons Learned: Defense counsel is entitled to expert reports, and lab receipts, prior to trial. In this case, was no continuance requested, and no harm. </w:t>
      </w:r>
    </w:p>
    <w:p w14:paraId="0E756384" w14:textId="77777777" w:rsidR="00A01ACA" w:rsidRDefault="00A01ACA" w:rsidP="002B1283">
      <w:pPr>
        <w:rPr>
          <w:rFonts w:ascii="Arial Black" w:hAnsi="Arial Black"/>
          <w:b/>
          <w:sz w:val="24"/>
          <w:szCs w:val="24"/>
        </w:rPr>
      </w:pPr>
    </w:p>
    <w:p w14:paraId="563B0DC8" w14:textId="77777777" w:rsidR="00A01ACA" w:rsidRDefault="00A01ACA" w:rsidP="002B1283">
      <w:pPr>
        <w:rPr>
          <w:rFonts w:ascii="Arial Black" w:hAnsi="Arial Black"/>
          <w:b/>
          <w:sz w:val="24"/>
          <w:szCs w:val="24"/>
        </w:rPr>
      </w:pPr>
    </w:p>
    <w:p w14:paraId="6648F8A8" w14:textId="03D9D132" w:rsidR="007540BD" w:rsidRDefault="007540BD" w:rsidP="002B1283">
      <w:pPr>
        <w:rPr>
          <w:rFonts w:ascii="Arial Black" w:hAnsi="Arial Black"/>
          <w:b/>
          <w:sz w:val="24"/>
          <w:szCs w:val="24"/>
        </w:rPr>
      </w:pPr>
      <w:r>
        <w:rPr>
          <w:rFonts w:ascii="Arial Black" w:hAnsi="Arial Black"/>
          <w:b/>
          <w:sz w:val="24"/>
          <w:szCs w:val="24"/>
        </w:rPr>
        <w:t>1-42</w:t>
      </w:r>
    </w:p>
    <w:p w14:paraId="7E025176" w14:textId="77777777" w:rsidR="007540BD" w:rsidRPr="008B3DEE" w:rsidRDefault="007540BD" w:rsidP="007540BD">
      <w:pPr>
        <w:pStyle w:val="NoSpacing"/>
        <w:rPr>
          <w:rFonts w:ascii="Arial Black" w:hAnsi="Arial Black"/>
          <w:b/>
          <w:bCs/>
          <w:sz w:val="28"/>
          <w:szCs w:val="28"/>
        </w:rPr>
      </w:pPr>
      <w:bookmarkStart w:id="39" w:name="_Hlk69187636"/>
      <w:bookmarkStart w:id="40" w:name="_Hlk39749408"/>
      <w:r w:rsidRPr="008B3DEE">
        <w:rPr>
          <w:rFonts w:ascii="Arial Black" w:hAnsi="Arial Black"/>
          <w:bCs/>
          <w:sz w:val="28"/>
          <w:szCs w:val="28"/>
        </w:rPr>
        <w:t xml:space="preserve">OH: </w:t>
      </w:r>
      <w:r>
        <w:rPr>
          <w:rFonts w:ascii="Arial Black" w:hAnsi="Arial Black"/>
          <w:bCs/>
          <w:sz w:val="28"/>
          <w:szCs w:val="28"/>
        </w:rPr>
        <w:t>42 VIOLATIONS OHIO FIRE CODE – 110 YR-OLD MINI-MALL, “THE ARCADE” - COURT UPHOLDS CITATIONS</w:t>
      </w:r>
    </w:p>
    <w:bookmarkEnd w:id="39"/>
    <w:p w14:paraId="39FC22F7" w14:textId="77777777" w:rsidR="007540BD" w:rsidRPr="00322F87" w:rsidRDefault="007540BD" w:rsidP="007540BD">
      <w:pPr>
        <w:pStyle w:val="NoSpacing"/>
        <w:rPr>
          <w:b/>
          <w:bCs/>
          <w:sz w:val="24"/>
          <w:szCs w:val="24"/>
        </w:rPr>
      </w:pPr>
      <w:r w:rsidRPr="00322F87">
        <w:rPr>
          <w:rStyle w:val="Strong"/>
          <w:sz w:val="24"/>
          <w:szCs w:val="24"/>
        </w:rPr>
        <w:t xml:space="preserve"> </w:t>
      </w:r>
    </w:p>
    <w:p w14:paraId="18D62464" w14:textId="5E1BDF02" w:rsidR="007540BD" w:rsidRPr="007C7258" w:rsidRDefault="007540BD" w:rsidP="007540BD">
      <w:pPr>
        <w:pStyle w:val="NoSpacing"/>
        <w:rPr>
          <w:rFonts w:ascii="Times New Roman" w:hAnsi="Times New Roman"/>
          <w:b/>
          <w:bCs/>
          <w:sz w:val="24"/>
          <w:szCs w:val="24"/>
        </w:rPr>
      </w:pPr>
      <w:r w:rsidRPr="007C7258">
        <w:rPr>
          <w:rFonts w:ascii="Times New Roman" w:hAnsi="Times New Roman"/>
          <w:bCs/>
          <w:sz w:val="24"/>
          <w:szCs w:val="24"/>
        </w:rPr>
        <w:t xml:space="preserve">On </w:t>
      </w:r>
      <w:bookmarkStart w:id="41" w:name="_Hlk39822442"/>
      <w:r w:rsidRPr="007C7258">
        <w:rPr>
          <w:rFonts w:ascii="Times New Roman" w:hAnsi="Times New Roman"/>
          <w:bCs/>
          <w:sz w:val="24"/>
          <w:szCs w:val="24"/>
        </w:rPr>
        <w:t>March 23, 20</w:t>
      </w:r>
      <w:r w:rsidR="00F2621E">
        <w:rPr>
          <w:rFonts w:ascii="Times New Roman" w:hAnsi="Times New Roman"/>
          <w:bCs/>
          <w:sz w:val="24"/>
          <w:szCs w:val="24"/>
        </w:rPr>
        <w:t>20</w:t>
      </w:r>
      <w:r w:rsidRPr="007C7258">
        <w:rPr>
          <w:rFonts w:ascii="Times New Roman" w:hAnsi="Times New Roman"/>
          <w:bCs/>
          <w:sz w:val="24"/>
          <w:szCs w:val="24"/>
        </w:rPr>
        <w:t xml:space="preserve">, in </w:t>
      </w:r>
      <w:r w:rsidRPr="007C7258">
        <w:rPr>
          <w:rFonts w:ascii="Times New Roman" w:hAnsi="Times New Roman"/>
          <w:bCs/>
          <w:sz w:val="24"/>
          <w:szCs w:val="24"/>
          <w:u w:val="single"/>
        </w:rPr>
        <w:t>Tom Cotton v. Patrick Connor, Fire Chief, City of Newark Fire Department</w:t>
      </w:r>
      <w:r w:rsidRPr="007C7258">
        <w:rPr>
          <w:rFonts w:ascii="Times New Roman" w:hAnsi="Times New Roman"/>
          <w:bCs/>
          <w:sz w:val="24"/>
          <w:szCs w:val="24"/>
        </w:rPr>
        <w:t>, the Court of Appeals for Licking County, Fifth Appellate District, 2020-Ohio-1129</w:t>
      </w:r>
      <w:bookmarkEnd w:id="41"/>
      <w:r w:rsidRPr="007C7258">
        <w:rPr>
          <w:rFonts w:ascii="Times New Roman" w:hAnsi="Times New Roman"/>
          <w:bCs/>
          <w:sz w:val="24"/>
          <w:szCs w:val="24"/>
        </w:rPr>
        <w:t>, held (3 to 0),  that the Ohio Board of Building Appeals, and a Common Pleas trial judge, properly denied the appeal of the building owner.  Citations included water flow alarm devices not functioning or disconnected; no fire extinguishers in common hallway; marked exit door with flush bolt locks; holes in fire-rated or resistant construction on floors, walls and ceilings.</w:t>
      </w:r>
    </w:p>
    <w:bookmarkEnd w:id="40"/>
    <w:p w14:paraId="6A3ECED1" w14:textId="77777777" w:rsidR="007540BD" w:rsidRPr="007C7258" w:rsidRDefault="007540BD" w:rsidP="007540BD">
      <w:pPr>
        <w:pStyle w:val="NoSpacing"/>
        <w:rPr>
          <w:rFonts w:ascii="Times New Roman" w:hAnsi="Times New Roman"/>
          <w:b/>
          <w:bCs/>
          <w:sz w:val="24"/>
          <w:szCs w:val="24"/>
        </w:rPr>
      </w:pPr>
    </w:p>
    <w:p w14:paraId="06911480"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“We concur with the trial court's decision. Between the first inspection date of August 3, 2017, and the first citation date of September 19, 2017, </w:t>
      </w:r>
      <w:proofErr w:type="gramStart"/>
      <w:r w:rsidRPr="007C7258">
        <w:rPr>
          <w:rFonts w:ascii="Times New Roman" w:hAnsi="Times New Roman"/>
          <w:bCs/>
          <w:sz w:val="24"/>
          <w:szCs w:val="24"/>
        </w:rPr>
        <w:t>appellant</w:t>
      </w:r>
      <w:proofErr w:type="gramEnd"/>
      <w:r w:rsidRPr="007C7258">
        <w:rPr>
          <w:rFonts w:ascii="Times New Roman" w:hAnsi="Times New Roman"/>
          <w:bCs/>
          <w:sz w:val="24"/>
          <w:szCs w:val="24"/>
        </w:rPr>
        <w:t xml:space="preserve"> had forty-seven days to correct the violations. As for the second citation, appellant had fifteen days to correct the violations from the last inspection date (March 26, 2018) to the issuance of the citation (April 10, 2018). According to the Timeline and Summary of the Inspections outline, appellee worked with appellant from July 2017 through April 2018 to correct the fire code deficiencies on the subject property. As of </w:t>
      </w:r>
      <w:proofErr w:type="gramStart"/>
      <w:r w:rsidRPr="007C7258">
        <w:rPr>
          <w:rFonts w:ascii="Times New Roman" w:hAnsi="Times New Roman"/>
          <w:bCs/>
          <w:sz w:val="24"/>
          <w:szCs w:val="24"/>
        </w:rPr>
        <w:t>the October</w:t>
      </w:r>
      <w:proofErr w:type="gramEnd"/>
      <w:r w:rsidRPr="007C7258">
        <w:rPr>
          <w:rFonts w:ascii="Times New Roman" w:hAnsi="Times New Roman"/>
          <w:bCs/>
          <w:sz w:val="24"/>
          <w:szCs w:val="24"/>
        </w:rPr>
        <w:t xml:space="preserve"> 30, </w:t>
      </w:r>
      <w:proofErr w:type="gramStart"/>
      <w:r w:rsidRPr="007C7258">
        <w:rPr>
          <w:rFonts w:ascii="Times New Roman" w:hAnsi="Times New Roman"/>
          <w:bCs/>
          <w:sz w:val="24"/>
          <w:szCs w:val="24"/>
        </w:rPr>
        <w:t>2018</w:t>
      </w:r>
      <w:proofErr w:type="gramEnd"/>
      <w:r w:rsidRPr="007C7258">
        <w:rPr>
          <w:rFonts w:ascii="Times New Roman" w:hAnsi="Times New Roman"/>
          <w:bCs/>
          <w:sz w:val="24"/>
          <w:szCs w:val="24"/>
        </w:rPr>
        <w:t xml:space="preserve"> hearing date, outstanding violations existed and some of the corrective measures were in question. We do not find testimony from a ‘representative from the Building Code Enforcement for the City of Newark’ was necessary. Appellant's Brief at 6. Upon review, we find a preponderance of reliable, probative, and substantial evidence to support the trial court's decision. The trial court did not abuse its discretion in affirming the decision of the board of building appeals.”   </w:t>
      </w:r>
      <w:bookmarkStart w:id="42" w:name="_Hlk39749430"/>
      <w:bookmarkStart w:id="43" w:name="_Hlk39821152"/>
      <w:r w:rsidR="00334940">
        <w:fldChar w:fldCharType="begin"/>
      </w:r>
      <w:r w:rsidR="00334940">
        <w:instrText xml:space="preserve"> HYPERLINK "https://www.supremecourt.ohio.gov/rod/docs/pdf/5/2020/2020-Ohio-1129.pdf" </w:instrText>
      </w:r>
      <w:r w:rsidR="00334940">
        <w:fldChar w:fldCharType="separate"/>
      </w:r>
      <w:r w:rsidRPr="007C7258">
        <w:rPr>
          <w:rStyle w:val="Hyperlink"/>
          <w:rFonts w:ascii="Times New Roman" w:hAnsi="Times New Roman"/>
          <w:b/>
          <w:sz w:val="24"/>
          <w:szCs w:val="24"/>
        </w:rPr>
        <w:t>https://www.supremecourt.ohio.gov/rod/docs/pdf/5/2020/2020-Ohio-1129.pdf</w:t>
      </w:r>
      <w:r w:rsidR="00334940">
        <w:rPr>
          <w:rStyle w:val="Hyperlink"/>
          <w:rFonts w:ascii="Times New Roman" w:hAnsi="Times New Roman"/>
          <w:b/>
          <w:sz w:val="24"/>
          <w:szCs w:val="24"/>
        </w:rPr>
        <w:fldChar w:fldCharType="end"/>
      </w:r>
      <w:bookmarkEnd w:id="42"/>
    </w:p>
    <w:bookmarkEnd w:id="43"/>
    <w:p w14:paraId="06CC2D8C" w14:textId="77777777" w:rsidR="007540BD" w:rsidRPr="007C7258" w:rsidRDefault="007540BD" w:rsidP="007540BD">
      <w:pPr>
        <w:pStyle w:val="NoSpacing"/>
        <w:ind w:left="720"/>
        <w:rPr>
          <w:rFonts w:ascii="Times New Roman" w:hAnsi="Times New Roman"/>
          <w:b/>
          <w:bCs/>
          <w:sz w:val="24"/>
          <w:szCs w:val="24"/>
        </w:rPr>
      </w:pPr>
    </w:p>
    <w:p w14:paraId="6E831AFF" w14:textId="77777777" w:rsidR="007540BD" w:rsidRPr="007C7258" w:rsidRDefault="007540BD" w:rsidP="007540BD">
      <w:pPr>
        <w:pStyle w:val="NoSpacing"/>
        <w:rPr>
          <w:rFonts w:ascii="Times New Roman" w:hAnsi="Times New Roman"/>
          <w:b/>
          <w:bCs/>
          <w:sz w:val="24"/>
          <w:szCs w:val="24"/>
        </w:rPr>
      </w:pPr>
      <w:r w:rsidRPr="007C7258">
        <w:rPr>
          <w:rFonts w:ascii="Times New Roman" w:hAnsi="Times New Roman"/>
          <w:b/>
          <w:bCs/>
          <w:sz w:val="24"/>
          <w:szCs w:val="24"/>
        </w:rPr>
        <w:t>Legal Lessons Learned: Well documented code violations</w:t>
      </w:r>
      <w:r>
        <w:rPr>
          <w:rFonts w:ascii="Times New Roman" w:hAnsi="Times New Roman"/>
          <w:b/>
          <w:bCs/>
          <w:sz w:val="24"/>
          <w:szCs w:val="24"/>
        </w:rPr>
        <w:t xml:space="preserve">. </w:t>
      </w:r>
      <w:r w:rsidRPr="007C7258">
        <w:rPr>
          <w:rFonts w:ascii="Times New Roman" w:hAnsi="Times New Roman"/>
          <w:b/>
          <w:bCs/>
          <w:sz w:val="24"/>
          <w:szCs w:val="24"/>
        </w:rPr>
        <w:t xml:space="preserve"> </w:t>
      </w:r>
    </w:p>
    <w:p w14:paraId="0B0FFFFA" w14:textId="5483B796" w:rsidR="007540BD" w:rsidRPr="007C7258" w:rsidRDefault="007540BD" w:rsidP="007540BD">
      <w:pPr>
        <w:pStyle w:val="p-text"/>
        <w:ind w:left="720"/>
        <w:rPr>
          <w:b/>
        </w:rPr>
      </w:pPr>
      <w:bookmarkStart w:id="44" w:name="_Hlk39821066"/>
      <w:r w:rsidRPr="007C7258">
        <w:rPr>
          <w:bCs/>
        </w:rPr>
        <w:t xml:space="preserve">See Oct. 14, </w:t>
      </w:r>
      <w:proofErr w:type="gramStart"/>
      <w:r w:rsidRPr="007C7258">
        <w:rPr>
          <w:bCs/>
        </w:rPr>
        <w:t>2019</w:t>
      </w:r>
      <w:proofErr w:type="gramEnd"/>
      <w:r w:rsidRPr="007C7258">
        <w:rPr>
          <w:bCs/>
        </w:rPr>
        <w:t xml:space="preserve"> article about this property: “Long saga of downtown Newark Arcade property may be near resolution.”  </w:t>
      </w:r>
      <w:bookmarkEnd w:id="44"/>
      <w:r w:rsidRPr="007C7258">
        <w:rPr>
          <w:bCs/>
        </w:rPr>
        <w:t>“</w:t>
      </w:r>
      <w:r w:rsidRPr="007C7258">
        <w:t xml:space="preserve">A year ago, the Ohio Board of Building Appeals upheld violations from April 10, 2018, and Sept. 19, 2017. For the April violations, the board issued Cotton a one-time penalty of $9,000, and an additional $9,000 per month if all violations were not remedied in 60 days.  For the 2017 violations, the board issued a one-time penalty of $6,700 and $6,700 per month if violations remained after 60 days. The 2018 violations included: water flow alarm devices not functioning or disconnected; no fire extinguishers in common hallway; marked exit door with flush bolt locks; holes in fire-rated or resistant construction on floors, walls and </w:t>
      </w:r>
      <w:proofErr w:type="gramStart"/>
      <w:r w:rsidRPr="007C7258">
        <w:t>ceilings.”</w:t>
      </w:r>
      <w:proofErr w:type="gramEnd"/>
      <w:r w:rsidRPr="007C7258">
        <w:t xml:space="preserve"> </w:t>
      </w:r>
      <w:bookmarkStart w:id="45" w:name="_Hlk39821109"/>
      <w:r w:rsidR="00F2621E">
        <w:fldChar w:fldCharType="begin"/>
      </w:r>
      <w:r w:rsidR="00F2621E">
        <w:instrText xml:space="preserve"> HYPERLINK "https://www.newarkadvocate.com/story/news/2019/10/14/downtown-newark-arcade-saga-may-nearing-some-resolution-not/3924621002/" </w:instrText>
      </w:r>
      <w:r w:rsidR="00F2621E">
        <w:fldChar w:fldCharType="separate"/>
      </w:r>
      <w:r w:rsidRPr="007C7258">
        <w:rPr>
          <w:rStyle w:val="Hyperlink"/>
        </w:rPr>
        <w:t>https://www.newarkadvocate.com/story/news/2019/10/14/downtown-newark-arcade-saga-may-nearing-some-resolution-not/3924621002/</w:t>
      </w:r>
      <w:r w:rsidR="00F2621E">
        <w:rPr>
          <w:rStyle w:val="Hyperlink"/>
        </w:rPr>
        <w:fldChar w:fldCharType="end"/>
      </w:r>
      <w:r w:rsidRPr="007C7258">
        <w:rPr>
          <w:b/>
        </w:rPr>
        <w:t xml:space="preserve"> </w:t>
      </w:r>
    </w:p>
    <w:bookmarkEnd w:id="45"/>
    <w:p w14:paraId="01E0050E" w14:textId="77777777" w:rsidR="007540BD" w:rsidRDefault="007540BD" w:rsidP="002B1283">
      <w:pPr>
        <w:rPr>
          <w:rFonts w:ascii="Arial Black" w:hAnsi="Arial Black"/>
          <w:b/>
          <w:sz w:val="24"/>
          <w:szCs w:val="24"/>
        </w:rPr>
      </w:pPr>
    </w:p>
    <w:p w14:paraId="47B2F3CD" w14:textId="31F0E723" w:rsidR="007540BD" w:rsidRDefault="007540BD" w:rsidP="002B1283">
      <w:pPr>
        <w:rPr>
          <w:rFonts w:ascii="Arial Black" w:hAnsi="Arial Black"/>
          <w:b/>
          <w:sz w:val="24"/>
          <w:szCs w:val="24"/>
        </w:rPr>
      </w:pPr>
      <w:r>
        <w:rPr>
          <w:rFonts w:ascii="Arial Black" w:hAnsi="Arial Black"/>
          <w:b/>
          <w:sz w:val="24"/>
          <w:szCs w:val="24"/>
        </w:rPr>
        <w:t>1-41</w:t>
      </w:r>
    </w:p>
    <w:p w14:paraId="239B976A" w14:textId="77777777" w:rsidR="007540BD" w:rsidRPr="00907DE2" w:rsidRDefault="007540BD" w:rsidP="007540BD">
      <w:pPr>
        <w:spacing w:before="100" w:beforeAutospacing="1" w:after="100" w:afterAutospacing="1" w:line="240" w:lineRule="auto"/>
        <w:rPr>
          <w:rFonts w:ascii="Arial Black" w:hAnsi="Arial Black"/>
          <w:sz w:val="28"/>
          <w:szCs w:val="28"/>
        </w:rPr>
      </w:pPr>
      <w:bookmarkStart w:id="46" w:name="_Hlk39817639"/>
      <w:r w:rsidRPr="00907DE2">
        <w:rPr>
          <w:rFonts w:ascii="Arial Black" w:hAnsi="Arial Black"/>
          <w:sz w:val="28"/>
          <w:szCs w:val="28"/>
        </w:rPr>
        <w:t xml:space="preserve">NY: </w:t>
      </w:r>
      <w:r>
        <w:rPr>
          <w:rFonts w:ascii="Arial Black" w:hAnsi="Arial Black"/>
          <w:sz w:val="28"/>
          <w:szCs w:val="28"/>
        </w:rPr>
        <w:t xml:space="preserve">ARSON – ADULT / 3 CHILDREN KILLED – CONVICTIONS – BUT CHARGES LATER DROPPED ONE MAN – ATF AGENTS HAVE IMMUNITY </w:t>
      </w:r>
    </w:p>
    <w:p w14:paraId="230C873D" w14:textId="77777777" w:rsidR="007540BD" w:rsidRDefault="007540BD" w:rsidP="007540BD">
      <w:pPr>
        <w:spacing w:before="100" w:beforeAutospacing="1" w:after="100" w:afterAutospacing="1" w:line="240" w:lineRule="auto"/>
        <w:rPr>
          <w:rFonts w:ascii="Times New Roman" w:hAnsi="Times New Roman"/>
          <w:sz w:val="24"/>
          <w:szCs w:val="24"/>
        </w:rPr>
      </w:pPr>
      <w:r w:rsidRPr="00907DE2">
        <w:rPr>
          <w:rFonts w:ascii="Times New Roman" w:hAnsi="Times New Roman"/>
          <w:sz w:val="24"/>
          <w:szCs w:val="24"/>
        </w:rPr>
        <w:t xml:space="preserve">On March 23, 2020, in </w:t>
      </w:r>
      <w:r w:rsidRPr="00907DE2">
        <w:rPr>
          <w:rFonts w:ascii="Times New Roman" w:hAnsi="Times New Roman"/>
          <w:sz w:val="24"/>
          <w:szCs w:val="24"/>
          <w:u w:val="single"/>
        </w:rPr>
        <w:t>Robert Butler v. Eric Hesch, et al</w:t>
      </w:r>
      <w:r>
        <w:rPr>
          <w:rFonts w:ascii="Times New Roman" w:hAnsi="Times New Roman"/>
          <w:sz w:val="24"/>
          <w:szCs w:val="24"/>
        </w:rPr>
        <w:t xml:space="preserve">., U.S. District Court Judge Mae A. D’Agostino, U.S. District Court for Northern District of New York, granted ATF agents’ motion to dismiss. </w:t>
      </w:r>
    </w:p>
    <w:p w14:paraId="32ACFECF"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“Plaintiff commenced this action on December 28, 2016, pursuant to 42 U.S.C. §§ 1983 and 1985, and </w:t>
      </w:r>
      <w:r w:rsidRPr="007C7258">
        <w:rPr>
          <w:rFonts w:ascii="Times New Roman" w:hAnsi="Times New Roman"/>
          <w:bCs/>
          <w:i/>
          <w:iCs/>
          <w:sz w:val="24"/>
          <w:szCs w:val="24"/>
        </w:rPr>
        <w:t>Bivens v</w:t>
      </w:r>
      <w:r w:rsidRPr="007C7258">
        <w:rPr>
          <w:rFonts w:ascii="Times New Roman" w:hAnsi="Times New Roman"/>
          <w:bCs/>
          <w:sz w:val="24"/>
          <w:szCs w:val="24"/>
        </w:rPr>
        <w:t xml:space="preserve">. </w:t>
      </w:r>
      <w:r w:rsidRPr="007C7258">
        <w:rPr>
          <w:rFonts w:ascii="Times New Roman" w:hAnsi="Times New Roman"/>
          <w:bCs/>
          <w:i/>
          <w:iCs/>
          <w:sz w:val="24"/>
          <w:szCs w:val="24"/>
        </w:rPr>
        <w:t>Six Unknown Named Agents of the Federal Bureau of Narcotics</w:t>
      </w:r>
      <w:r w:rsidRPr="007C7258">
        <w:rPr>
          <w:rFonts w:ascii="Times New Roman" w:hAnsi="Times New Roman"/>
          <w:bCs/>
          <w:sz w:val="24"/>
          <w:szCs w:val="24"/>
        </w:rPr>
        <w:t>, 403 U.S. 388 (1971), complaining of constitutional and civil rights violations stemming from Plaintiff's arrest and detention.</w:t>
      </w:r>
    </w:p>
    <w:p w14:paraId="31B82843" w14:textId="77777777" w:rsidR="007540BD" w:rsidRPr="007C7258" w:rsidRDefault="007540BD" w:rsidP="007540BD">
      <w:pPr>
        <w:pStyle w:val="NoSpacing"/>
        <w:ind w:left="720"/>
        <w:rPr>
          <w:rFonts w:ascii="Times New Roman" w:hAnsi="Times New Roman"/>
          <w:b/>
          <w:bCs/>
          <w:sz w:val="24"/>
          <w:szCs w:val="24"/>
        </w:rPr>
      </w:pPr>
    </w:p>
    <w:p w14:paraId="00ED5CBF"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w:t>
      </w:r>
    </w:p>
    <w:p w14:paraId="2D0BCD06" w14:textId="77777777" w:rsidR="007540BD" w:rsidRPr="007C7258" w:rsidRDefault="007540BD" w:rsidP="007540BD">
      <w:pPr>
        <w:pStyle w:val="NoSpacing"/>
        <w:ind w:left="720"/>
        <w:rPr>
          <w:rFonts w:ascii="Times New Roman" w:hAnsi="Times New Roman"/>
          <w:b/>
          <w:bCs/>
          <w:sz w:val="24"/>
          <w:szCs w:val="24"/>
        </w:rPr>
      </w:pPr>
    </w:p>
    <w:p w14:paraId="221891BC" w14:textId="38C53D84" w:rsidR="007540BD" w:rsidRDefault="007540BD" w:rsidP="007540BD">
      <w:pPr>
        <w:ind w:left="720"/>
        <w:rPr>
          <w:rFonts w:ascii="Arial Black" w:hAnsi="Arial Black"/>
          <w:b/>
          <w:sz w:val="24"/>
          <w:szCs w:val="24"/>
        </w:rPr>
      </w:pPr>
      <w:r w:rsidRPr="007C7258">
        <w:rPr>
          <w:rFonts w:ascii="Times New Roman" w:hAnsi="Times New Roman"/>
          <w:bCs/>
          <w:sz w:val="24"/>
          <w:szCs w:val="24"/>
        </w:rPr>
        <w:t xml:space="preserve">In short, Plaintiff's criminal case was fully managed by the federal prosecutors, who independently interviewed all relevant witnesses and then decided to bring charges against Plaintiff. There is no evidence that the ATF Defendants withheld relevant evidence from the prosecutors, or provided false evidence to them, as would be necessary to establish that the ATF Defendants were responsible for initiating or continuing the prosecution. As such, the ATF Defendants are entitled to summary judgment because Plaintiff failed to satisfy the first element of his malicious prosecution claim. </w:t>
      </w:r>
      <w:r w:rsidRPr="007C7258">
        <w:rPr>
          <w:rFonts w:ascii="Times New Roman" w:hAnsi="Times New Roman"/>
          <w:bCs/>
          <w:i/>
          <w:iCs/>
          <w:sz w:val="24"/>
          <w:szCs w:val="24"/>
        </w:rPr>
        <w:t>See Battisti v</w:t>
      </w:r>
      <w:r w:rsidRPr="007C7258">
        <w:rPr>
          <w:rFonts w:ascii="Times New Roman" w:hAnsi="Times New Roman"/>
          <w:bCs/>
          <w:sz w:val="24"/>
          <w:szCs w:val="24"/>
        </w:rPr>
        <w:t xml:space="preserve">. </w:t>
      </w:r>
      <w:r w:rsidRPr="007C7258">
        <w:rPr>
          <w:rFonts w:ascii="Times New Roman" w:hAnsi="Times New Roman"/>
          <w:bCs/>
          <w:i/>
          <w:iCs/>
          <w:sz w:val="24"/>
          <w:szCs w:val="24"/>
        </w:rPr>
        <w:t>Rice</w:t>
      </w:r>
      <w:r w:rsidRPr="007C7258">
        <w:rPr>
          <w:rFonts w:ascii="Times New Roman" w:hAnsi="Times New Roman"/>
          <w:bCs/>
          <w:sz w:val="24"/>
          <w:szCs w:val="24"/>
        </w:rPr>
        <w:t xml:space="preserve">, No. 10-cv-4139, 2017 WL 78891, *10 (E.D.N.Y. Jan. 9, 2017) (dismissing the plaintiff's malicious prosecution claim because "[t]here is no evidence that either officer importuned [the prosecutor] to prosecute Plaintiff or that either officer fabricated or withheld evidence from [the prosecutor]") (citation omitted); </w:t>
      </w:r>
      <w:r w:rsidRPr="007C7258">
        <w:rPr>
          <w:rFonts w:ascii="Times New Roman" w:hAnsi="Times New Roman"/>
          <w:bCs/>
          <w:i/>
          <w:iCs/>
          <w:sz w:val="24"/>
          <w:szCs w:val="24"/>
        </w:rPr>
        <w:t>Stukes v</w:t>
      </w:r>
      <w:r w:rsidRPr="007C7258">
        <w:rPr>
          <w:rFonts w:ascii="Times New Roman" w:hAnsi="Times New Roman"/>
          <w:bCs/>
          <w:sz w:val="24"/>
          <w:szCs w:val="24"/>
        </w:rPr>
        <w:t xml:space="preserve">. </w:t>
      </w:r>
      <w:r w:rsidRPr="007C7258">
        <w:rPr>
          <w:rFonts w:ascii="Times New Roman" w:hAnsi="Times New Roman"/>
          <w:bCs/>
          <w:i/>
          <w:iCs/>
          <w:sz w:val="24"/>
          <w:szCs w:val="24"/>
        </w:rPr>
        <w:t>City of New York</w:t>
      </w:r>
      <w:r w:rsidRPr="007C7258">
        <w:rPr>
          <w:rFonts w:ascii="Times New Roman" w:hAnsi="Times New Roman"/>
          <w:bCs/>
          <w:sz w:val="24"/>
          <w:szCs w:val="24"/>
        </w:rPr>
        <w:t xml:space="preserve">, No. 13-cv-6166, 2015 WL 1246542, *9 (E.D.N.Y. Mar. 17, 2015).” </w:t>
      </w:r>
      <w:hyperlink r:id="rId321" w:history="1">
        <w:r w:rsidRPr="007C7258">
          <w:rPr>
            <w:rStyle w:val="Hyperlink"/>
            <w:rFonts w:ascii="Times New Roman" w:hAnsi="Times New Roman"/>
            <w:b/>
            <w:sz w:val="24"/>
            <w:szCs w:val="24"/>
          </w:rPr>
          <w:t>https://public.fastcase.com/Wl%2B2t%2BeVuI35%2FN70vAMFZj1n7kcpr8halXGGcU2zGib4k7w6DLSXX7%2BQNj%2B4S4J7</w:t>
        </w:r>
      </w:hyperlink>
    </w:p>
    <w:bookmarkEnd w:id="46"/>
    <w:p w14:paraId="7F3A5218" w14:textId="77777777" w:rsidR="007540BD" w:rsidRPr="007C7258" w:rsidRDefault="007540BD" w:rsidP="007540BD">
      <w:pPr>
        <w:pStyle w:val="NoSpacing"/>
        <w:rPr>
          <w:rFonts w:ascii="Times New Roman" w:hAnsi="Times New Roman"/>
          <w:b/>
          <w:bCs/>
          <w:sz w:val="24"/>
          <w:szCs w:val="24"/>
        </w:rPr>
      </w:pPr>
      <w:r w:rsidRPr="007C7258">
        <w:rPr>
          <w:rFonts w:ascii="Times New Roman" w:hAnsi="Times New Roman"/>
          <w:b/>
          <w:bCs/>
          <w:sz w:val="24"/>
          <w:szCs w:val="24"/>
        </w:rPr>
        <w:t xml:space="preserve">Legal Lessons Learned:  </w:t>
      </w:r>
      <w:r>
        <w:rPr>
          <w:rFonts w:ascii="Times New Roman" w:hAnsi="Times New Roman"/>
          <w:b/>
          <w:bCs/>
          <w:sz w:val="24"/>
          <w:szCs w:val="24"/>
        </w:rPr>
        <w:t>ATF and other a</w:t>
      </w:r>
      <w:r w:rsidRPr="007C7258">
        <w:rPr>
          <w:rFonts w:ascii="Times New Roman" w:hAnsi="Times New Roman"/>
          <w:b/>
          <w:bCs/>
          <w:sz w:val="24"/>
          <w:szCs w:val="24"/>
        </w:rPr>
        <w:t xml:space="preserve">rson investigators enjoy qualified immunity; the fact that charges were later dropped </w:t>
      </w:r>
      <w:r>
        <w:rPr>
          <w:rFonts w:ascii="Times New Roman" w:hAnsi="Times New Roman"/>
          <w:b/>
          <w:bCs/>
          <w:sz w:val="24"/>
          <w:szCs w:val="24"/>
        </w:rPr>
        <w:t xml:space="preserve">by prosecutors </w:t>
      </w:r>
      <w:r w:rsidRPr="007C7258">
        <w:rPr>
          <w:rFonts w:ascii="Times New Roman" w:hAnsi="Times New Roman"/>
          <w:b/>
          <w:bCs/>
          <w:sz w:val="24"/>
          <w:szCs w:val="24"/>
        </w:rPr>
        <w:t xml:space="preserve">against a person does not give the individual a right to sue the investigators. </w:t>
      </w:r>
    </w:p>
    <w:p w14:paraId="7B6C5E59" w14:textId="77777777" w:rsidR="007540BD" w:rsidRPr="007C7258" w:rsidRDefault="007540BD" w:rsidP="007540BD">
      <w:pPr>
        <w:spacing w:before="100" w:beforeAutospacing="1" w:after="100" w:afterAutospacing="1" w:line="240" w:lineRule="auto"/>
        <w:rPr>
          <w:rFonts w:ascii="Times New Roman" w:eastAsia="Times New Roman" w:hAnsi="Times New Roman"/>
          <w:sz w:val="24"/>
          <w:szCs w:val="24"/>
        </w:rPr>
      </w:pPr>
    </w:p>
    <w:p w14:paraId="28555A2A" w14:textId="77777777" w:rsidR="007540BD" w:rsidRDefault="007540BD" w:rsidP="002B1283">
      <w:pPr>
        <w:rPr>
          <w:rFonts w:ascii="Arial Black" w:hAnsi="Arial Black"/>
          <w:b/>
          <w:sz w:val="24"/>
          <w:szCs w:val="24"/>
        </w:rPr>
      </w:pPr>
    </w:p>
    <w:p w14:paraId="1D32292B" w14:textId="77777777" w:rsidR="007540BD" w:rsidRDefault="007540BD" w:rsidP="002B1283">
      <w:pPr>
        <w:rPr>
          <w:rFonts w:ascii="Arial Black" w:hAnsi="Arial Black"/>
          <w:b/>
          <w:sz w:val="24"/>
          <w:szCs w:val="24"/>
        </w:rPr>
      </w:pPr>
    </w:p>
    <w:p w14:paraId="597A8EE6" w14:textId="6D70D898" w:rsidR="00663160" w:rsidRDefault="00663160" w:rsidP="002B1283">
      <w:pPr>
        <w:rPr>
          <w:rFonts w:ascii="Arial Black" w:hAnsi="Arial Black"/>
          <w:b/>
          <w:sz w:val="24"/>
          <w:szCs w:val="24"/>
        </w:rPr>
      </w:pPr>
      <w:r>
        <w:rPr>
          <w:rFonts w:ascii="Arial Black" w:hAnsi="Arial Black"/>
          <w:b/>
          <w:sz w:val="24"/>
          <w:szCs w:val="24"/>
        </w:rPr>
        <w:t>1-</w:t>
      </w:r>
      <w:r w:rsidR="00637A12">
        <w:rPr>
          <w:rFonts w:ascii="Arial Black" w:hAnsi="Arial Black"/>
          <w:b/>
          <w:sz w:val="24"/>
          <w:szCs w:val="24"/>
        </w:rPr>
        <w:t>40</w:t>
      </w:r>
    </w:p>
    <w:p w14:paraId="3208EC89" w14:textId="77777777" w:rsidR="00663160" w:rsidRPr="00615BC7" w:rsidRDefault="00663160" w:rsidP="00663160">
      <w:pPr>
        <w:spacing w:before="100" w:beforeAutospacing="1" w:after="100" w:afterAutospacing="1" w:line="240" w:lineRule="auto"/>
        <w:rPr>
          <w:rFonts w:ascii="Arial Black" w:eastAsia="Times New Roman" w:hAnsi="Arial Black"/>
          <w:b/>
          <w:bCs/>
          <w:sz w:val="28"/>
          <w:szCs w:val="28"/>
        </w:rPr>
      </w:pPr>
      <w:bookmarkStart w:id="47" w:name="_Hlk39749496"/>
      <w:bookmarkStart w:id="48" w:name="_Hlk41315334"/>
      <w:r w:rsidRPr="00615BC7">
        <w:rPr>
          <w:rFonts w:ascii="Arial Black" w:eastAsia="Times New Roman" w:hAnsi="Arial Black"/>
          <w:b/>
          <w:bCs/>
          <w:sz w:val="28"/>
          <w:szCs w:val="28"/>
        </w:rPr>
        <w:t xml:space="preserve">TX:  </w:t>
      </w:r>
      <w:r>
        <w:rPr>
          <w:rFonts w:ascii="Arial Black" w:eastAsia="Times New Roman" w:hAnsi="Arial Black"/>
          <w:b/>
          <w:bCs/>
          <w:sz w:val="28"/>
          <w:szCs w:val="28"/>
        </w:rPr>
        <w:t>GRANDMOTHER’S 911 CALLS DID NOT GO THROUGH – BABY DIED – T-MOBILE HAS IMMUNITY UNDER STATE LAW</w:t>
      </w:r>
    </w:p>
    <w:p w14:paraId="1B671B23" w14:textId="77777777" w:rsidR="00663160" w:rsidRPr="0049503A" w:rsidRDefault="00663160" w:rsidP="00663160">
      <w:pPr>
        <w:pStyle w:val="NoSpacing"/>
        <w:rPr>
          <w:rFonts w:ascii="Times New Roman" w:hAnsi="Times New Roman"/>
          <w:b/>
          <w:bCs/>
          <w:sz w:val="24"/>
          <w:szCs w:val="24"/>
        </w:rPr>
      </w:pPr>
      <w:r w:rsidRPr="0049503A">
        <w:rPr>
          <w:rFonts w:ascii="Times New Roman" w:hAnsi="Times New Roman"/>
          <w:bCs/>
          <w:sz w:val="24"/>
          <w:szCs w:val="24"/>
        </w:rPr>
        <w:t xml:space="preserve">On Feb. 27, 2020, in </w:t>
      </w:r>
      <w:r w:rsidRPr="0049503A">
        <w:rPr>
          <w:rFonts w:ascii="Times New Roman" w:hAnsi="Times New Roman"/>
          <w:bCs/>
          <w:sz w:val="24"/>
          <w:szCs w:val="24"/>
          <w:u w:val="single"/>
        </w:rPr>
        <w:t>Bridget Alex v. T-Mobile USA</w:t>
      </w:r>
      <w:r w:rsidRPr="0049503A">
        <w:rPr>
          <w:rFonts w:ascii="Times New Roman" w:hAnsi="Times New Roman"/>
          <w:bCs/>
          <w:sz w:val="24"/>
          <w:szCs w:val="24"/>
        </w:rPr>
        <w:t>, the U.S. Court of Appeals for 5</w:t>
      </w:r>
      <w:r w:rsidRPr="0049503A">
        <w:rPr>
          <w:rFonts w:ascii="Times New Roman" w:hAnsi="Times New Roman"/>
          <w:bCs/>
          <w:sz w:val="24"/>
          <w:szCs w:val="24"/>
          <w:vertAlign w:val="superscript"/>
        </w:rPr>
        <w:t>th</w:t>
      </w:r>
      <w:r w:rsidRPr="0049503A">
        <w:rPr>
          <w:rFonts w:ascii="Times New Roman" w:hAnsi="Times New Roman"/>
          <w:bCs/>
          <w:sz w:val="24"/>
          <w:szCs w:val="24"/>
        </w:rPr>
        <w:t xml:space="preserve"> Circuit (New Orleans) held (3 to 0)  that T-Mobile enjoys immunity under State statute. </w:t>
      </w:r>
    </w:p>
    <w:p w14:paraId="5D88DF9C" w14:textId="77777777" w:rsidR="00663160" w:rsidRPr="0049503A" w:rsidRDefault="00663160" w:rsidP="00663160">
      <w:pPr>
        <w:pStyle w:val="NoSpacing"/>
        <w:rPr>
          <w:rFonts w:ascii="Times New Roman" w:hAnsi="Times New Roman"/>
          <w:b/>
          <w:bCs/>
          <w:sz w:val="24"/>
          <w:szCs w:val="24"/>
        </w:rPr>
      </w:pPr>
    </w:p>
    <w:p w14:paraId="7552E761" w14:textId="210A0D85" w:rsidR="00663160" w:rsidRPr="0049503A" w:rsidRDefault="00663160" w:rsidP="00663160">
      <w:pPr>
        <w:pStyle w:val="NoSpacing"/>
        <w:ind w:left="720"/>
        <w:rPr>
          <w:rFonts w:ascii="Times New Roman" w:hAnsi="Times New Roman"/>
          <w:b/>
          <w:bCs/>
          <w:sz w:val="24"/>
          <w:szCs w:val="24"/>
        </w:rPr>
      </w:pPr>
      <w:r w:rsidRPr="0049503A">
        <w:rPr>
          <w:rFonts w:ascii="Times New Roman" w:hAnsi="Times New Roman"/>
          <w:bCs/>
          <w:sz w:val="24"/>
          <w:szCs w:val="24"/>
        </w:rPr>
        <w:t xml:space="preserve">“Seven-month-old Brandon Alex was injured after falling from a daybed. His babysitter dialed 9-1-1 three separate </w:t>
      </w:r>
      <w:proofErr w:type="gramStart"/>
      <w:r w:rsidRPr="0049503A">
        <w:rPr>
          <w:rFonts w:ascii="Times New Roman" w:hAnsi="Times New Roman"/>
          <w:bCs/>
          <w:sz w:val="24"/>
          <w:szCs w:val="24"/>
        </w:rPr>
        <w:t>times, and</w:t>
      </w:r>
      <w:proofErr w:type="gramEnd"/>
      <w:r w:rsidRPr="0049503A">
        <w:rPr>
          <w:rFonts w:ascii="Times New Roman" w:hAnsi="Times New Roman"/>
          <w:bCs/>
          <w:sz w:val="24"/>
          <w:szCs w:val="24"/>
        </w:rPr>
        <w:t xml:space="preserve"> stayed on an unconnected line for over thirty minutes. Unable to connect to a dispatcher, Brandon’s grandmother drove him to an emergency room over an hour after the first 9-1-1 call. Brandon was pronounced dead shortly after arriving at the hospital.</w:t>
      </w:r>
      <w:r w:rsidR="000B4D9F">
        <w:rPr>
          <w:rFonts w:ascii="Times New Roman" w:hAnsi="Times New Roman"/>
          <w:bCs/>
          <w:sz w:val="24"/>
          <w:szCs w:val="24"/>
        </w:rPr>
        <w:t xml:space="preserve"> *** </w:t>
      </w:r>
      <w:r w:rsidRPr="0049503A">
        <w:rPr>
          <w:rFonts w:ascii="Times New Roman" w:hAnsi="Times New Roman"/>
          <w:bCs/>
          <w:sz w:val="24"/>
          <w:szCs w:val="24"/>
        </w:rPr>
        <w:t xml:space="preserve">This court has already held that, under the Supreme Court of Texas’s decision in City of Dallas v. Sanchez, 494 S.W.3d 722 (Tex. 2016), Plaintiffs failed to allege proximate cause sufficient to overcome T-Mobile’s immunity…. Because T-Mobile and T-Systems are immune under Texas law, the district court did not err in dismissing Plaintiffs’ claims against them—we affirm. </w:t>
      </w:r>
    </w:p>
    <w:p w14:paraId="088374BE" w14:textId="77777777" w:rsidR="00663160" w:rsidRPr="0049503A" w:rsidRDefault="00663160" w:rsidP="00663160">
      <w:pPr>
        <w:pStyle w:val="NoSpacing"/>
        <w:ind w:left="720"/>
        <w:rPr>
          <w:rFonts w:ascii="Times New Roman" w:eastAsia="Times New Roman" w:hAnsi="Times New Roman"/>
          <w:b/>
          <w:bCs/>
          <w:sz w:val="24"/>
          <w:szCs w:val="24"/>
        </w:rPr>
      </w:pPr>
      <w:hyperlink r:id="rId322" w:history="1">
        <w:r w:rsidRPr="0049503A">
          <w:rPr>
            <w:rStyle w:val="Hyperlink"/>
            <w:rFonts w:ascii="Times New Roman" w:hAnsi="Times New Roman"/>
            <w:bCs/>
            <w:sz w:val="24"/>
            <w:szCs w:val="24"/>
          </w:rPr>
          <w:t>http://www.ca5.uscourts.gov/opinions/unpub/19/19-10878.0.pdf</w:t>
        </w:r>
      </w:hyperlink>
      <w:r w:rsidRPr="0049503A">
        <w:rPr>
          <w:rFonts w:ascii="Times New Roman" w:hAnsi="Times New Roman"/>
          <w:bCs/>
          <w:sz w:val="24"/>
          <w:szCs w:val="24"/>
        </w:rPr>
        <w:t xml:space="preserve"> </w:t>
      </w:r>
    </w:p>
    <w:bookmarkEnd w:id="47"/>
    <w:p w14:paraId="73EF83A1" w14:textId="77777777" w:rsidR="00663160" w:rsidRDefault="00663160" w:rsidP="00663160">
      <w:pPr>
        <w:pStyle w:val="NoSpacing"/>
        <w:rPr>
          <w:rFonts w:ascii="Times New Roman" w:hAnsi="Times New Roman"/>
          <w:b/>
          <w:bCs/>
          <w:sz w:val="24"/>
          <w:szCs w:val="24"/>
        </w:rPr>
      </w:pPr>
    </w:p>
    <w:p w14:paraId="606DEE07" w14:textId="74517482" w:rsidR="00663160" w:rsidRPr="0049503A" w:rsidRDefault="00663160" w:rsidP="00663160">
      <w:pPr>
        <w:pStyle w:val="NoSpacing"/>
        <w:rPr>
          <w:rFonts w:ascii="Times New Roman" w:hAnsi="Times New Roman"/>
          <w:b/>
          <w:bCs/>
          <w:sz w:val="24"/>
          <w:szCs w:val="24"/>
        </w:rPr>
      </w:pPr>
      <w:r w:rsidRPr="0049503A">
        <w:rPr>
          <w:rFonts w:ascii="Times New Roman" w:hAnsi="Times New Roman"/>
          <w:b/>
          <w:bCs/>
          <w:sz w:val="24"/>
          <w:szCs w:val="24"/>
        </w:rPr>
        <w:t xml:space="preserve">Legal Lessons Learned: State statutes often provide immunity to 911 equipment suppliers; this helps avoid suppliers charging municipal </w:t>
      </w:r>
      <w:proofErr w:type="gramStart"/>
      <w:r w:rsidRPr="0049503A">
        <w:rPr>
          <w:rFonts w:ascii="Times New Roman" w:hAnsi="Times New Roman"/>
          <w:b/>
          <w:bCs/>
          <w:sz w:val="24"/>
          <w:szCs w:val="24"/>
        </w:rPr>
        <w:t>governments will</w:t>
      </w:r>
      <w:proofErr w:type="gramEnd"/>
      <w:r w:rsidRPr="0049503A">
        <w:rPr>
          <w:rFonts w:ascii="Times New Roman" w:hAnsi="Times New Roman"/>
          <w:b/>
          <w:bCs/>
          <w:sz w:val="24"/>
          <w:szCs w:val="24"/>
        </w:rPr>
        <w:t xml:space="preserve"> large insurance costs. </w:t>
      </w:r>
    </w:p>
    <w:bookmarkEnd w:id="48"/>
    <w:p w14:paraId="3047154D" w14:textId="77777777" w:rsidR="00663160" w:rsidRDefault="00663160" w:rsidP="002B1283">
      <w:pPr>
        <w:rPr>
          <w:rFonts w:ascii="Arial Black" w:hAnsi="Arial Black"/>
          <w:b/>
          <w:sz w:val="24"/>
          <w:szCs w:val="24"/>
        </w:rPr>
      </w:pPr>
    </w:p>
    <w:p w14:paraId="2EB9C037" w14:textId="049FEAAF" w:rsidR="00663160" w:rsidRDefault="00663160"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9</w:t>
      </w:r>
    </w:p>
    <w:p w14:paraId="6E23A3A0" w14:textId="77777777" w:rsidR="00663160" w:rsidRPr="00562D96" w:rsidRDefault="00663160" w:rsidP="00663160">
      <w:pPr>
        <w:pStyle w:val="NoSpacing"/>
        <w:rPr>
          <w:rFonts w:ascii="Arial Black" w:hAnsi="Arial Black"/>
          <w:sz w:val="28"/>
          <w:szCs w:val="28"/>
        </w:rPr>
      </w:pPr>
      <w:bookmarkStart w:id="49" w:name="_Hlk39749579"/>
      <w:bookmarkStart w:id="50" w:name="_Hlk39817858"/>
      <w:r w:rsidRPr="00562D96">
        <w:rPr>
          <w:rFonts w:ascii="Arial Black" w:hAnsi="Arial Black"/>
          <w:sz w:val="28"/>
          <w:szCs w:val="28"/>
        </w:rPr>
        <w:t xml:space="preserve">MI: </w:t>
      </w:r>
      <w:r>
        <w:rPr>
          <w:rFonts w:ascii="Arial Black" w:hAnsi="Arial Black"/>
          <w:sz w:val="28"/>
          <w:szCs w:val="28"/>
        </w:rPr>
        <w:t>ARSON CASE TO BE RE-TRIED – ARSON INVESTIGATORS CHANGED OPINION – 2 POINTS OF ORIGIN TO 1 LOCATION</w:t>
      </w:r>
    </w:p>
    <w:p w14:paraId="68491680" w14:textId="77777777" w:rsidR="00663160" w:rsidRDefault="00663160" w:rsidP="00663160">
      <w:pPr>
        <w:pStyle w:val="NoSpacing"/>
        <w:rPr>
          <w:b/>
          <w:bCs/>
          <w:sz w:val="24"/>
          <w:szCs w:val="24"/>
        </w:rPr>
      </w:pPr>
    </w:p>
    <w:p w14:paraId="56F1238F" w14:textId="77777777" w:rsidR="00663160" w:rsidRPr="0049503A" w:rsidRDefault="00663160" w:rsidP="00663160">
      <w:pPr>
        <w:pStyle w:val="NoSpacing"/>
        <w:rPr>
          <w:rFonts w:ascii="Times New Roman" w:hAnsi="Times New Roman"/>
          <w:b/>
          <w:bCs/>
          <w:sz w:val="24"/>
          <w:szCs w:val="24"/>
        </w:rPr>
      </w:pPr>
      <w:r w:rsidRPr="0049503A">
        <w:rPr>
          <w:rFonts w:ascii="Times New Roman" w:hAnsi="Times New Roman"/>
          <w:bCs/>
          <w:sz w:val="24"/>
          <w:szCs w:val="24"/>
        </w:rPr>
        <w:t xml:space="preserve">On Feb. 25, 2020, in </w:t>
      </w:r>
      <w:r w:rsidRPr="0049503A">
        <w:rPr>
          <w:rFonts w:ascii="Times New Roman" w:hAnsi="Times New Roman"/>
          <w:bCs/>
          <w:sz w:val="24"/>
          <w:szCs w:val="24"/>
          <w:u w:val="single"/>
        </w:rPr>
        <w:t>People of the State of Michigan v. Joshua Mark Burger</w:t>
      </w:r>
      <w:r w:rsidRPr="0049503A">
        <w:rPr>
          <w:rFonts w:ascii="Times New Roman" w:hAnsi="Times New Roman"/>
          <w:bCs/>
          <w:sz w:val="24"/>
          <w:szCs w:val="24"/>
        </w:rPr>
        <w:t xml:space="preserve">, the Michigan Court of Appeals held (3 to 0) that the defendant must re-tried.   Two arson investigators also changed their opinion from two points or origin to </w:t>
      </w:r>
      <w:proofErr w:type="gramStart"/>
      <w:r w:rsidRPr="0049503A">
        <w:rPr>
          <w:rFonts w:ascii="Times New Roman" w:hAnsi="Times New Roman"/>
          <w:bCs/>
          <w:sz w:val="24"/>
          <w:szCs w:val="24"/>
        </w:rPr>
        <w:t>one, but</w:t>
      </w:r>
      <w:proofErr w:type="gramEnd"/>
      <w:r w:rsidRPr="0049503A">
        <w:rPr>
          <w:rFonts w:ascii="Times New Roman" w:hAnsi="Times New Roman"/>
          <w:bCs/>
          <w:sz w:val="24"/>
          <w:szCs w:val="24"/>
        </w:rPr>
        <w:t xml:space="preserve"> not disclosed to defense until first day of trial. Also, defendant owned a successful pawn shop, and the trial court improperly prohibited him from calling two witnesses who would testify his pawn shop was financially doing well – insurance adjustor, and the landlord.  </w:t>
      </w:r>
    </w:p>
    <w:p w14:paraId="7BEE16D6" w14:textId="77777777" w:rsidR="00663160" w:rsidRPr="0049503A" w:rsidRDefault="00663160" w:rsidP="00663160">
      <w:pPr>
        <w:pStyle w:val="NoSpacing"/>
        <w:rPr>
          <w:rFonts w:ascii="Times New Roman" w:hAnsi="Times New Roman"/>
          <w:b/>
          <w:bCs/>
          <w:sz w:val="24"/>
          <w:szCs w:val="24"/>
        </w:rPr>
      </w:pPr>
    </w:p>
    <w:bookmarkEnd w:id="49"/>
    <w:p w14:paraId="77EF138A" w14:textId="77777777" w:rsidR="00663160" w:rsidRPr="0049503A" w:rsidRDefault="00663160" w:rsidP="00663160">
      <w:pPr>
        <w:pStyle w:val="NoSpacing"/>
        <w:ind w:left="720"/>
        <w:rPr>
          <w:rFonts w:ascii="Times New Roman" w:hAnsi="Times New Roman"/>
          <w:b/>
          <w:bCs/>
          <w:sz w:val="24"/>
          <w:szCs w:val="24"/>
        </w:rPr>
      </w:pPr>
      <w:r w:rsidRPr="0049503A">
        <w:rPr>
          <w:rFonts w:ascii="Times New Roman" w:hAnsi="Times New Roman"/>
          <w:bCs/>
          <w:sz w:val="24"/>
          <w:szCs w:val="24"/>
        </w:rPr>
        <w:t xml:space="preserve">“Defendant’s primary theory of the case was spontaneous combustion of the rag soaked with linseed oil that he had been using to finish a guitar in the days leading up to the fire, as he argued in closing. *** </w:t>
      </w:r>
    </w:p>
    <w:p w14:paraId="29CD8274" w14:textId="77777777" w:rsidR="00663160" w:rsidRPr="0049503A" w:rsidRDefault="00663160" w:rsidP="00663160">
      <w:pPr>
        <w:pStyle w:val="NoSpacing"/>
        <w:ind w:left="720"/>
        <w:rPr>
          <w:rFonts w:ascii="Times New Roman" w:hAnsi="Times New Roman"/>
          <w:b/>
          <w:bCs/>
          <w:sz w:val="24"/>
          <w:szCs w:val="24"/>
        </w:rPr>
      </w:pPr>
      <w:r w:rsidRPr="0049503A">
        <w:rPr>
          <w:rFonts w:ascii="Times New Roman" w:hAnsi="Times New Roman"/>
          <w:bCs/>
          <w:sz w:val="24"/>
          <w:szCs w:val="24"/>
        </w:rPr>
        <w:t xml:space="preserve">It is undisputed in this case that defendant learned for the first time at trial that the fire chiefs had changed their opinion regarding the fire’s point of origin. In their original reports, which were disclosed to </w:t>
      </w:r>
      <w:proofErr w:type="gramStart"/>
      <w:r w:rsidRPr="0049503A">
        <w:rPr>
          <w:rFonts w:ascii="Times New Roman" w:hAnsi="Times New Roman"/>
          <w:bCs/>
          <w:sz w:val="24"/>
          <w:szCs w:val="24"/>
        </w:rPr>
        <w:t>defendant</w:t>
      </w:r>
      <w:proofErr w:type="gramEnd"/>
      <w:r w:rsidRPr="0049503A">
        <w:rPr>
          <w:rFonts w:ascii="Times New Roman" w:hAnsi="Times New Roman"/>
          <w:bCs/>
          <w:sz w:val="24"/>
          <w:szCs w:val="24"/>
        </w:rPr>
        <w:t>, both chiefs opined that the fire had two points of origin. However, the chiefs later altered their conclusions, indicating that indeed, the fire had a single point of origin. We conclude that this information was suppressed, as it was not disclosed until the beginning of trial, and that it was material to defendant’s case.”</w:t>
      </w:r>
    </w:p>
    <w:bookmarkStart w:id="51" w:name="_Hlk39749601"/>
    <w:p w14:paraId="4C127694" w14:textId="77777777" w:rsidR="00663160" w:rsidRPr="0049503A" w:rsidRDefault="00334940" w:rsidP="00663160">
      <w:pPr>
        <w:pStyle w:val="NoSpacing"/>
        <w:ind w:left="720"/>
        <w:rPr>
          <w:rFonts w:ascii="Times New Roman" w:hAnsi="Times New Roman"/>
          <w:b/>
          <w:bCs/>
          <w:sz w:val="24"/>
          <w:szCs w:val="24"/>
        </w:rPr>
      </w:pPr>
      <w:r>
        <w:fldChar w:fldCharType="begin"/>
      </w:r>
      <w:r>
        <w:instrText xml:space="preserve"> HYPERLINK "https://cases.justia.com/michigan/court-of-appeals-published/2020-343332.pdf?ts=1582725736" </w:instrText>
      </w:r>
      <w:r>
        <w:fldChar w:fldCharType="separate"/>
      </w:r>
      <w:r w:rsidR="00663160" w:rsidRPr="0049503A">
        <w:rPr>
          <w:rStyle w:val="Hyperlink"/>
          <w:rFonts w:ascii="Times New Roman" w:hAnsi="Times New Roman"/>
          <w:bCs/>
          <w:sz w:val="24"/>
          <w:szCs w:val="24"/>
        </w:rPr>
        <w:t>https://cases.justia.com/michigan/court-of-appeals-published/2020-343332.pdf?ts=1582725736</w:t>
      </w:r>
      <w:r>
        <w:rPr>
          <w:rStyle w:val="Hyperlink"/>
          <w:rFonts w:ascii="Times New Roman" w:hAnsi="Times New Roman"/>
          <w:bCs/>
          <w:sz w:val="24"/>
          <w:szCs w:val="24"/>
        </w:rPr>
        <w:fldChar w:fldCharType="end"/>
      </w:r>
      <w:r w:rsidR="00663160" w:rsidRPr="0049503A">
        <w:rPr>
          <w:rFonts w:ascii="Times New Roman" w:hAnsi="Times New Roman"/>
          <w:bCs/>
          <w:sz w:val="24"/>
          <w:szCs w:val="24"/>
        </w:rPr>
        <w:t xml:space="preserve"> </w:t>
      </w:r>
    </w:p>
    <w:bookmarkEnd w:id="50"/>
    <w:bookmarkEnd w:id="51"/>
    <w:p w14:paraId="762A0384" w14:textId="77777777" w:rsidR="00663160" w:rsidRDefault="00663160" w:rsidP="00663160">
      <w:pPr>
        <w:pStyle w:val="NoSpacing"/>
        <w:tabs>
          <w:tab w:val="left" w:pos="2970"/>
        </w:tabs>
        <w:rPr>
          <w:rFonts w:ascii="Times New Roman" w:hAnsi="Times New Roman"/>
          <w:b/>
          <w:bCs/>
          <w:sz w:val="24"/>
          <w:szCs w:val="24"/>
        </w:rPr>
      </w:pPr>
    </w:p>
    <w:p w14:paraId="5AF92333" w14:textId="22C83871" w:rsidR="00663160" w:rsidRPr="0049503A" w:rsidRDefault="00663160" w:rsidP="00663160">
      <w:pPr>
        <w:pStyle w:val="NoSpacing"/>
        <w:tabs>
          <w:tab w:val="left" w:pos="2970"/>
        </w:tabs>
        <w:rPr>
          <w:rFonts w:ascii="Times New Roman" w:hAnsi="Times New Roman"/>
          <w:b/>
          <w:bCs/>
          <w:sz w:val="24"/>
          <w:szCs w:val="24"/>
        </w:rPr>
      </w:pPr>
      <w:r w:rsidRPr="0049503A">
        <w:rPr>
          <w:rFonts w:ascii="Times New Roman" w:hAnsi="Times New Roman"/>
          <w:b/>
          <w:bCs/>
          <w:sz w:val="24"/>
          <w:szCs w:val="24"/>
        </w:rPr>
        <w:t xml:space="preserve">Legal Lessons Learned:  Prosecutors must disclose, prior to trial, when arson investigators change their findings from two points of origin to one point. </w:t>
      </w:r>
    </w:p>
    <w:p w14:paraId="7B5BEED1" w14:textId="77777777" w:rsidR="00663160" w:rsidRPr="0049503A" w:rsidRDefault="00663160" w:rsidP="00663160">
      <w:pPr>
        <w:pStyle w:val="NoSpacing"/>
        <w:rPr>
          <w:rFonts w:ascii="Times New Roman" w:hAnsi="Times New Roman"/>
          <w:b/>
          <w:bCs/>
          <w:sz w:val="24"/>
          <w:szCs w:val="24"/>
        </w:rPr>
      </w:pPr>
    </w:p>
    <w:p w14:paraId="55C127E0" w14:textId="77777777" w:rsidR="00663160" w:rsidRDefault="00663160" w:rsidP="002B1283">
      <w:pPr>
        <w:rPr>
          <w:rFonts w:ascii="Arial Black" w:hAnsi="Arial Black"/>
          <w:b/>
          <w:sz w:val="24"/>
          <w:szCs w:val="24"/>
        </w:rPr>
      </w:pPr>
    </w:p>
    <w:p w14:paraId="22FA65F1" w14:textId="77777777" w:rsidR="00663160" w:rsidRDefault="00663160" w:rsidP="002B1283">
      <w:pPr>
        <w:rPr>
          <w:rFonts w:ascii="Arial Black" w:hAnsi="Arial Black"/>
          <w:b/>
          <w:sz w:val="24"/>
          <w:szCs w:val="24"/>
        </w:rPr>
      </w:pPr>
    </w:p>
    <w:p w14:paraId="6B2A9EFE" w14:textId="77777777" w:rsidR="00663160" w:rsidRDefault="00663160" w:rsidP="002B1283">
      <w:pPr>
        <w:rPr>
          <w:rFonts w:ascii="Arial Black" w:hAnsi="Arial Black"/>
          <w:b/>
          <w:sz w:val="24"/>
          <w:szCs w:val="24"/>
        </w:rPr>
      </w:pPr>
    </w:p>
    <w:p w14:paraId="48F9AA74" w14:textId="41AFD911" w:rsidR="00C9355B" w:rsidRDefault="00C9355B"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8</w:t>
      </w:r>
    </w:p>
    <w:p w14:paraId="33EED068" w14:textId="77777777" w:rsidR="00C9355B" w:rsidRPr="00B51160" w:rsidRDefault="00C9355B" w:rsidP="00C9355B">
      <w:pPr>
        <w:pStyle w:val="Heading1"/>
        <w:rPr>
          <w:rFonts w:ascii="Arial Black" w:hAnsi="Arial Black"/>
          <w:sz w:val="28"/>
          <w:szCs w:val="28"/>
        </w:rPr>
      </w:pPr>
      <w:bookmarkStart w:id="52" w:name="_Hlk69187758"/>
      <w:bookmarkStart w:id="53" w:name="_Hlk39749674"/>
      <w:bookmarkStart w:id="54" w:name="_Hlk39817933"/>
      <w:r w:rsidRPr="00B51160">
        <w:rPr>
          <w:rFonts w:ascii="Arial Black" w:hAnsi="Arial Black"/>
          <w:sz w:val="28"/>
          <w:szCs w:val="28"/>
        </w:rPr>
        <w:t>CA:</w:t>
      </w:r>
      <w:r>
        <w:rPr>
          <w:rFonts w:ascii="Arial Black" w:hAnsi="Arial Black"/>
          <w:sz w:val="28"/>
          <w:szCs w:val="28"/>
        </w:rPr>
        <w:t xml:space="preserve"> HOUSE EXPLOSION – HASHISH OIL – AFTER FIRE OUT, HAZMAT CAPT. / PD LATER SEARCHED WITHOUT WARRANT </w:t>
      </w:r>
    </w:p>
    <w:bookmarkEnd w:id="52"/>
    <w:p w14:paraId="6BBE029D" w14:textId="77777777" w:rsidR="00C9355B" w:rsidRPr="00695030" w:rsidRDefault="00C9355B" w:rsidP="00C9355B">
      <w:pPr>
        <w:pStyle w:val="NoSpacing"/>
        <w:rPr>
          <w:rFonts w:ascii="Times New Roman" w:hAnsi="Times New Roman"/>
          <w:b/>
          <w:bCs/>
          <w:sz w:val="24"/>
          <w:szCs w:val="24"/>
        </w:rPr>
      </w:pPr>
      <w:r w:rsidRPr="00695030">
        <w:rPr>
          <w:rFonts w:ascii="Times New Roman" w:hAnsi="Times New Roman"/>
          <w:bCs/>
          <w:sz w:val="24"/>
          <w:szCs w:val="24"/>
        </w:rPr>
        <w:t xml:space="preserve">On Jan. 28, 2020, in </w:t>
      </w:r>
      <w:r w:rsidRPr="00695030">
        <w:rPr>
          <w:rFonts w:ascii="Times New Roman" w:hAnsi="Times New Roman"/>
          <w:bCs/>
          <w:sz w:val="24"/>
          <w:szCs w:val="24"/>
          <w:u w:val="single"/>
        </w:rPr>
        <w:t>United States of America v. Joseph Jay Spadafore</w:t>
      </w:r>
      <w:r w:rsidRPr="00695030">
        <w:rPr>
          <w:rFonts w:ascii="Times New Roman" w:hAnsi="Times New Roman"/>
          <w:bCs/>
          <w:sz w:val="24"/>
          <w:szCs w:val="24"/>
        </w:rPr>
        <w:t>, the U.S. Court of Appeals for the 9</w:t>
      </w:r>
      <w:r w:rsidRPr="00695030">
        <w:rPr>
          <w:rFonts w:ascii="Times New Roman" w:hAnsi="Times New Roman"/>
          <w:bCs/>
          <w:sz w:val="24"/>
          <w:szCs w:val="24"/>
          <w:vertAlign w:val="superscript"/>
        </w:rPr>
        <w:t>th</w:t>
      </w:r>
      <w:r w:rsidRPr="00695030">
        <w:rPr>
          <w:rFonts w:ascii="Times New Roman" w:hAnsi="Times New Roman"/>
          <w:bCs/>
          <w:sz w:val="24"/>
          <w:szCs w:val="24"/>
        </w:rPr>
        <w:t xml:space="preserve"> Circuit (San Francisco) held (3 to 0, unpublished decision) that trial judge properly denied his motion to suppress evidence; it was reasonable for a fire department Captain and police officers to conduct the later search the home without a search warrant, due to presence of hazardous and volatile materials.  </w:t>
      </w:r>
    </w:p>
    <w:bookmarkEnd w:id="53"/>
    <w:p w14:paraId="73774342" w14:textId="77777777" w:rsidR="00C9355B" w:rsidRPr="00695030" w:rsidRDefault="00C9355B" w:rsidP="00C9355B">
      <w:pPr>
        <w:pStyle w:val="NoSpacing"/>
        <w:rPr>
          <w:rFonts w:ascii="Times New Roman" w:hAnsi="Times New Roman"/>
          <w:b/>
          <w:bCs/>
          <w:sz w:val="24"/>
          <w:szCs w:val="24"/>
        </w:rPr>
      </w:pPr>
    </w:p>
    <w:p w14:paraId="415C2F7E"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“[E]</w:t>
      </w:r>
      <w:proofErr w:type="spellStart"/>
      <w:r w:rsidRPr="00695030">
        <w:rPr>
          <w:rFonts w:ascii="Times New Roman" w:hAnsi="Times New Roman"/>
          <w:bCs/>
          <w:sz w:val="24"/>
          <w:szCs w:val="24"/>
        </w:rPr>
        <w:t>xigent</w:t>
      </w:r>
      <w:proofErr w:type="spellEnd"/>
      <w:r w:rsidRPr="00695030">
        <w:rPr>
          <w:rFonts w:ascii="Times New Roman" w:hAnsi="Times New Roman"/>
          <w:bCs/>
          <w:sz w:val="24"/>
          <w:szCs w:val="24"/>
        </w:rPr>
        <w:t xml:space="preserve"> circumstances involving the explosion of volatile materials used for manufacturing hashish oil justified the search of the residence by fire department personnel and law enforcement officers. During the initial search for potential victims of the explosion, first responders observed ‘glassware, tubing, jars, and other equipment that resembled a drug lab.’ Later in the night, a fire captain with the ‘hazardous materials unit’ accompanied law enforcement officers, while wearing ‘air monitoring devices . . . in order to check the air quality and confirm the nature of the lab inside the home, particularly whether it involved hazardous materials that could pose a danger to life, property, or the environment.’ Although the fire had been extinguished, it was reasonable for fire department personnel and law enforcement officers to search the property due to the explosion and the presence of other hazardous and volatile materials.” </w:t>
      </w:r>
      <w:bookmarkStart w:id="55" w:name="_Hlk69187822"/>
      <w:bookmarkStart w:id="56" w:name="_Hlk39749691"/>
      <w:r w:rsidR="00334940">
        <w:fldChar w:fldCharType="begin"/>
      </w:r>
      <w:r w:rsidR="00334940">
        <w:instrText xml:space="preserve"> HYPERLINK "http://cdn.ca9.uscourts.gov/datastore/memoranda/2020/01/28/18-50189.pdf" </w:instrText>
      </w:r>
      <w:r w:rsidR="00334940">
        <w:fldChar w:fldCharType="separate"/>
      </w:r>
      <w:r w:rsidRPr="00695030">
        <w:rPr>
          <w:rStyle w:val="Hyperlink"/>
          <w:rFonts w:ascii="Times New Roman" w:hAnsi="Times New Roman"/>
          <w:b/>
          <w:sz w:val="24"/>
          <w:szCs w:val="24"/>
        </w:rPr>
        <w:t>http://cdn.ca9.uscourts.gov/datastore/memoranda/2020/01/28/18-50189.pdf</w:t>
      </w:r>
      <w:r w:rsidR="00334940">
        <w:rPr>
          <w:rStyle w:val="Hyperlink"/>
          <w:rFonts w:ascii="Times New Roman" w:hAnsi="Times New Roman"/>
          <w:b/>
          <w:sz w:val="24"/>
          <w:szCs w:val="24"/>
        </w:rPr>
        <w:fldChar w:fldCharType="end"/>
      </w:r>
      <w:r w:rsidRPr="00695030">
        <w:rPr>
          <w:rFonts w:ascii="Times New Roman" w:hAnsi="Times New Roman"/>
          <w:bCs/>
          <w:sz w:val="24"/>
          <w:szCs w:val="24"/>
        </w:rPr>
        <w:t xml:space="preserve"> </w:t>
      </w:r>
      <w:bookmarkEnd w:id="55"/>
    </w:p>
    <w:bookmarkEnd w:id="56"/>
    <w:p w14:paraId="2D46859A" w14:textId="77777777" w:rsidR="007A1E7A" w:rsidRDefault="007A1E7A" w:rsidP="00C9355B">
      <w:pPr>
        <w:pStyle w:val="NoSpacing"/>
        <w:rPr>
          <w:rFonts w:ascii="Times New Roman" w:hAnsi="Times New Roman"/>
          <w:b/>
          <w:bCs/>
          <w:sz w:val="24"/>
          <w:szCs w:val="24"/>
        </w:rPr>
      </w:pPr>
    </w:p>
    <w:bookmarkEnd w:id="54"/>
    <w:p w14:paraId="195C52EC" w14:textId="3B7C5E9D" w:rsidR="00C9355B" w:rsidRPr="00695030" w:rsidRDefault="00C9355B" w:rsidP="00C9355B">
      <w:pPr>
        <w:pStyle w:val="NoSpacing"/>
        <w:rPr>
          <w:rFonts w:ascii="Times New Roman" w:hAnsi="Times New Roman"/>
          <w:b/>
          <w:bCs/>
          <w:sz w:val="24"/>
          <w:szCs w:val="24"/>
        </w:rPr>
      </w:pPr>
      <w:r w:rsidRPr="00695030">
        <w:rPr>
          <w:rFonts w:ascii="Times New Roman" w:hAnsi="Times New Roman"/>
          <w:b/>
          <w:bCs/>
          <w:sz w:val="24"/>
          <w:szCs w:val="24"/>
        </w:rPr>
        <w:t xml:space="preserve">Legal Lessons Learned: Great decision; remember to keep a firefighter at the scene while waiting for HAZMAT, fire investigator, or other specialized resources to arrive. </w:t>
      </w:r>
    </w:p>
    <w:p w14:paraId="6ECC6FED" w14:textId="77777777" w:rsidR="00C9355B" w:rsidRDefault="00C9355B" w:rsidP="002B1283">
      <w:pPr>
        <w:rPr>
          <w:rFonts w:ascii="Arial Black" w:hAnsi="Arial Black"/>
          <w:b/>
          <w:sz w:val="24"/>
          <w:szCs w:val="24"/>
        </w:rPr>
      </w:pPr>
    </w:p>
    <w:p w14:paraId="66EE328D" w14:textId="77777777" w:rsidR="00C9355B" w:rsidRDefault="00C9355B" w:rsidP="002B1283">
      <w:pPr>
        <w:rPr>
          <w:rFonts w:ascii="Arial Black" w:hAnsi="Arial Black"/>
          <w:b/>
          <w:sz w:val="24"/>
          <w:szCs w:val="24"/>
        </w:rPr>
      </w:pPr>
    </w:p>
    <w:p w14:paraId="7EF421D0" w14:textId="77777777" w:rsidR="00C9355B" w:rsidRDefault="00C9355B" w:rsidP="002B1283">
      <w:pPr>
        <w:rPr>
          <w:rFonts w:ascii="Arial Black" w:hAnsi="Arial Black"/>
          <w:b/>
          <w:sz w:val="24"/>
          <w:szCs w:val="24"/>
        </w:rPr>
      </w:pPr>
    </w:p>
    <w:p w14:paraId="4AB217A3" w14:textId="5A96FFB4" w:rsidR="00980EAD" w:rsidRDefault="007C6FEF"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7</w:t>
      </w:r>
    </w:p>
    <w:p w14:paraId="7B07AE07" w14:textId="77777777" w:rsidR="007C6FEF" w:rsidRPr="007B1262" w:rsidRDefault="007C6FEF" w:rsidP="007C6FEF">
      <w:pPr>
        <w:spacing w:before="100" w:beforeAutospacing="1" w:after="100" w:afterAutospacing="1" w:line="240" w:lineRule="auto"/>
        <w:rPr>
          <w:rFonts w:ascii="Arial Black" w:hAnsi="Arial Black"/>
          <w:sz w:val="28"/>
          <w:szCs w:val="28"/>
        </w:rPr>
      </w:pPr>
      <w:r>
        <w:rPr>
          <w:rFonts w:ascii="Arial Black" w:hAnsi="Arial Black"/>
          <w:sz w:val="28"/>
          <w:szCs w:val="28"/>
        </w:rPr>
        <w:t>FL:</w:t>
      </w:r>
      <w:r w:rsidRPr="007B1262">
        <w:rPr>
          <w:rFonts w:ascii="Arial Black" w:hAnsi="Arial Black"/>
          <w:sz w:val="28"/>
          <w:szCs w:val="28"/>
        </w:rPr>
        <w:t xml:space="preserve"> </w:t>
      </w:r>
      <w:r>
        <w:rPr>
          <w:rFonts w:ascii="Arial Black" w:hAnsi="Arial Black"/>
          <w:sz w:val="28"/>
          <w:szCs w:val="28"/>
        </w:rPr>
        <w:t>FIRE CHIEF – CODE ENFORCEMENT / 100-YR OLD LODGE WAS CONDEMNED – FIRED – 1</w:t>
      </w:r>
      <w:r w:rsidRPr="002A643A">
        <w:rPr>
          <w:rFonts w:ascii="Arial Black" w:hAnsi="Arial Black"/>
          <w:sz w:val="28"/>
          <w:szCs w:val="28"/>
          <w:vertAlign w:val="superscript"/>
        </w:rPr>
        <w:t>st</w:t>
      </w:r>
      <w:r>
        <w:rPr>
          <w:rFonts w:ascii="Arial Black" w:hAnsi="Arial Black"/>
          <w:sz w:val="28"/>
          <w:szCs w:val="28"/>
        </w:rPr>
        <w:t xml:space="preserve"> AMENDMENT CASE DISMISSED</w:t>
      </w:r>
    </w:p>
    <w:p w14:paraId="70AC31BC" w14:textId="77777777" w:rsidR="007C6FEF" w:rsidRPr="00B47705" w:rsidRDefault="007C6FEF" w:rsidP="007C6FEF">
      <w:pPr>
        <w:spacing w:before="100" w:beforeAutospacing="1" w:after="100" w:afterAutospacing="1" w:line="240" w:lineRule="auto"/>
        <w:rPr>
          <w:rFonts w:ascii="Times New Roman" w:hAnsi="Times New Roman"/>
          <w:sz w:val="24"/>
          <w:szCs w:val="24"/>
        </w:rPr>
      </w:pPr>
      <w:r w:rsidRPr="00B47705">
        <w:rPr>
          <w:rFonts w:ascii="Times New Roman" w:hAnsi="Times New Roman"/>
          <w:sz w:val="24"/>
          <w:szCs w:val="24"/>
        </w:rPr>
        <w:t xml:space="preserve">On Dec. 12, 2019, in </w:t>
      </w:r>
      <w:r w:rsidRPr="00B47705">
        <w:rPr>
          <w:rFonts w:ascii="Times New Roman" w:hAnsi="Times New Roman"/>
          <w:sz w:val="24"/>
          <w:szCs w:val="24"/>
          <w:u w:val="single"/>
        </w:rPr>
        <w:t>Bradley Batz v. City of Sebring</w:t>
      </w:r>
      <w:r w:rsidRPr="00B47705">
        <w:rPr>
          <w:rFonts w:ascii="Times New Roman" w:hAnsi="Times New Roman"/>
          <w:sz w:val="24"/>
          <w:szCs w:val="24"/>
        </w:rPr>
        <w:t>, the U.S. Court of Appeals for the 11</w:t>
      </w:r>
      <w:r w:rsidRPr="00B47705">
        <w:rPr>
          <w:rFonts w:ascii="Times New Roman" w:hAnsi="Times New Roman"/>
          <w:sz w:val="24"/>
          <w:szCs w:val="24"/>
          <w:vertAlign w:val="superscript"/>
        </w:rPr>
        <w:t>th</w:t>
      </w:r>
      <w:r w:rsidRPr="00B47705">
        <w:rPr>
          <w:rFonts w:ascii="Times New Roman" w:hAnsi="Times New Roman"/>
          <w:sz w:val="24"/>
          <w:szCs w:val="24"/>
        </w:rPr>
        <w:t xml:space="preserve"> Circuit (Atlanta) held (3 to 0) that the U.S. District Court judge had properly dismissed his First Amendment lawsuit, despite his claims of retaliation for his lawful efforts to condemn a 100-year old Lodge, partially owned by a member of City Council.   </w:t>
      </w:r>
    </w:p>
    <w:p w14:paraId="18FCE86B" w14:textId="77777777" w:rsidR="007C6FEF" w:rsidRPr="007B1262" w:rsidRDefault="007C6FEF" w:rsidP="007C6FEF">
      <w:pPr>
        <w:pStyle w:val="NoSpacing"/>
        <w:ind w:left="720"/>
        <w:rPr>
          <w:rFonts w:ascii="Times New Roman" w:eastAsia="Times New Roman" w:hAnsi="Times New Roman"/>
          <w:b/>
          <w:bCs/>
          <w:sz w:val="24"/>
          <w:szCs w:val="24"/>
        </w:rPr>
      </w:pPr>
      <w:r>
        <w:rPr>
          <w:rFonts w:ascii="Times New Roman" w:hAnsi="Times New Roman"/>
          <w:sz w:val="24"/>
          <w:szCs w:val="24"/>
        </w:rPr>
        <w:t>“</w:t>
      </w:r>
      <w:r w:rsidRPr="007B1262">
        <w:rPr>
          <w:rFonts w:ascii="Times New Roman" w:hAnsi="Times New Roman"/>
          <w:sz w:val="24"/>
          <w:szCs w:val="24"/>
        </w:rPr>
        <w:t xml:space="preserve">In other words, one of Batz’s core responsibilities as the </w:t>
      </w:r>
      <w:proofErr w:type="gramStart"/>
      <w:r w:rsidRPr="007B1262">
        <w:rPr>
          <w:rFonts w:ascii="Times New Roman" w:hAnsi="Times New Roman"/>
          <w:sz w:val="24"/>
          <w:szCs w:val="24"/>
        </w:rPr>
        <w:t>City</w:t>
      </w:r>
      <w:proofErr w:type="gramEnd"/>
      <w:r w:rsidRPr="007B1262">
        <w:rPr>
          <w:rFonts w:ascii="Times New Roman" w:hAnsi="Times New Roman"/>
          <w:sz w:val="24"/>
          <w:szCs w:val="24"/>
        </w:rPr>
        <w:t xml:space="preserve"> employee responsible for enforcing the Safety Code was ensuring public safety. Thus, his continued assertion that his speech was motivated by a concern for public safety does not remove it from the realm of employment-related speech…. At the very least, he made no effort to communicate his safety concerns to the public or otherwise communicate with anyone outside other government officials…. Accordingly, we conclude Batz spoke in his role as a </w:t>
      </w:r>
      <w:proofErr w:type="gramStart"/>
      <w:r w:rsidRPr="007B1262">
        <w:rPr>
          <w:rFonts w:ascii="Times New Roman" w:hAnsi="Times New Roman"/>
          <w:sz w:val="24"/>
          <w:szCs w:val="24"/>
        </w:rPr>
        <w:t>City</w:t>
      </w:r>
      <w:proofErr w:type="gramEnd"/>
      <w:r w:rsidRPr="007B1262">
        <w:rPr>
          <w:rFonts w:ascii="Times New Roman" w:hAnsi="Times New Roman"/>
          <w:sz w:val="24"/>
          <w:szCs w:val="24"/>
        </w:rPr>
        <w:t xml:space="preserve"> employee when he expressed concerns about efforts to undermine and delay his enforcement efforts against the Lodge. His speech therefore was not protected by the First Amendment.</w:t>
      </w:r>
      <w:r>
        <w:rPr>
          <w:rFonts w:ascii="Times New Roman" w:hAnsi="Times New Roman"/>
          <w:sz w:val="24"/>
          <w:szCs w:val="24"/>
        </w:rPr>
        <w:t xml:space="preserve"> </w:t>
      </w:r>
      <w:hyperlink r:id="rId323" w:history="1">
        <w:r w:rsidRPr="00D24870">
          <w:rPr>
            <w:rStyle w:val="Hyperlink"/>
            <w:rFonts w:ascii="Times New Roman" w:hAnsi="Times New Roman"/>
            <w:sz w:val="24"/>
            <w:szCs w:val="24"/>
          </w:rPr>
          <w:t>https://cases.justia.com/federal/appellate-courts/ca11/19-11399/19-11399-2019-12-12.pdf?ts=1576184426</w:t>
        </w:r>
      </w:hyperlink>
      <w:r>
        <w:rPr>
          <w:rFonts w:ascii="Times New Roman" w:hAnsi="Times New Roman"/>
          <w:sz w:val="24"/>
          <w:szCs w:val="24"/>
        </w:rPr>
        <w:t xml:space="preserve"> </w:t>
      </w:r>
    </w:p>
    <w:p w14:paraId="01FAB458" w14:textId="05803340" w:rsidR="003464C5" w:rsidRDefault="003464C5" w:rsidP="002B1283">
      <w:pPr>
        <w:rPr>
          <w:rFonts w:ascii="Times New Roman" w:hAnsi="Times New Roman"/>
          <w:bCs/>
          <w:sz w:val="24"/>
          <w:szCs w:val="24"/>
        </w:rPr>
      </w:pPr>
    </w:p>
    <w:p w14:paraId="223ACA9C" w14:textId="39C517A8" w:rsidR="007A1E7A" w:rsidRDefault="007A1E7A" w:rsidP="002B1283">
      <w:pPr>
        <w:rPr>
          <w:rFonts w:ascii="Times New Roman" w:hAnsi="Times New Roman"/>
          <w:b/>
          <w:bCs/>
          <w:sz w:val="24"/>
          <w:szCs w:val="24"/>
        </w:rPr>
      </w:pPr>
      <w:r w:rsidRPr="007A1E7A">
        <w:rPr>
          <w:rFonts w:ascii="Times New Roman" w:hAnsi="Times New Roman"/>
          <w:b/>
          <w:bCs/>
          <w:sz w:val="24"/>
          <w:szCs w:val="24"/>
        </w:rPr>
        <w:t xml:space="preserve">Legal Lessons Learned: Fire Chiefs are other public employees have only limited First Amendment rights under the “balancing test.” The Court also dismissed his Florida Whistleblower claims because he did not submit a “written and signed complaint.” </w:t>
      </w:r>
    </w:p>
    <w:p w14:paraId="592965FD" w14:textId="77777777" w:rsidR="007A1E7A" w:rsidRPr="007A1E7A" w:rsidRDefault="007A1E7A" w:rsidP="002B1283">
      <w:pPr>
        <w:rPr>
          <w:rFonts w:ascii="Times New Roman" w:hAnsi="Times New Roman"/>
          <w:b/>
          <w:bCs/>
          <w:sz w:val="24"/>
          <w:szCs w:val="24"/>
        </w:rPr>
      </w:pPr>
    </w:p>
    <w:p w14:paraId="156DD20A" w14:textId="26031537" w:rsidR="007C6FEF" w:rsidRDefault="007C6FEF"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6</w:t>
      </w:r>
    </w:p>
    <w:p w14:paraId="0ADD3840" w14:textId="77777777" w:rsidR="007C6FEF" w:rsidRPr="00A2453E" w:rsidRDefault="007C6FEF" w:rsidP="007C6FEF">
      <w:pPr>
        <w:rPr>
          <w:rFonts w:ascii="Arial Black" w:hAnsi="Arial Black"/>
          <w:sz w:val="28"/>
          <w:szCs w:val="28"/>
        </w:rPr>
      </w:pPr>
      <w:bookmarkStart w:id="57" w:name="_Hlk29226241"/>
      <w:r w:rsidRPr="00A2453E">
        <w:rPr>
          <w:rFonts w:ascii="Arial Black" w:hAnsi="Arial Black"/>
          <w:sz w:val="28"/>
          <w:szCs w:val="28"/>
        </w:rPr>
        <w:t xml:space="preserve">VA: </w:t>
      </w:r>
      <w:r>
        <w:rPr>
          <w:rFonts w:ascii="Arial Black" w:hAnsi="Arial Black"/>
          <w:sz w:val="28"/>
          <w:szCs w:val="28"/>
        </w:rPr>
        <w:t xml:space="preserve"> HYDRANT NEAR HOUSE OUT OF SERVICE – 1000 FOOT LAY – PERSON DIED - GOVERNMENTAL IMMUNITY, CASE DISMISSED</w:t>
      </w:r>
    </w:p>
    <w:p w14:paraId="63C3AA5E" w14:textId="77777777" w:rsidR="007C6FEF" w:rsidRDefault="007C6FEF" w:rsidP="007C6FEF">
      <w:pPr>
        <w:rPr>
          <w:rFonts w:ascii="Times New Roman" w:hAnsi="Times New Roman"/>
          <w:sz w:val="24"/>
          <w:szCs w:val="24"/>
        </w:rPr>
      </w:pPr>
      <w:r>
        <w:rPr>
          <w:rFonts w:ascii="Times New Roman" w:hAnsi="Times New Roman"/>
          <w:sz w:val="24"/>
          <w:szCs w:val="24"/>
        </w:rPr>
        <w:t xml:space="preserve">On Dec. 12, 2019, in </w:t>
      </w:r>
      <w:r w:rsidRPr="003F4B77">
        <w:rPr>
          <w:rFonts w:ascii="Times New Roman" w:hAnsi="Times New Roman"/>
          <w:sz w:val="24"/>
          <w:szCs w:val="24"/>
          <w:u w:val="single"/>
        </w:rPr>
        <w:t>Sam Massenburg, Administrator of the Estate of Corey Demetrius Massenburg, Deceased v. City of Petersburg</w:t>
      </w:r>
      <w:r>
        <w:rPr>
          <w:rFonts w:ascii="Times New Roman" w:hAnsi="Times New Roman"/>
          <w:sz w:val="24"/>
          <w:szCs w:val="24"/>
        </w:rPr>
        <w:t xml:space="preserve">, the Supreme Court of Appeals of Virginia, held that the Circuit Court judge properly granted summary judgment to the City. </w:t>
      </w:r>
    </w:p>
    <w:p w14:paraId="47D6ADEA" w14:textId="6CF97968" w:rsidR="007C6FEF" w:rsidRDefault="007C6FEF" w:rsidP="007C6FEF">
      <w:pPr>
        <w:ind w:left="720"/>
        <w:rPr>
          <w:rFonts w:ascii="Times New Roman" w:hAnsi="Times New Roman"/>
          <w:sz w:val="24"/>
          <w:szCs w:val="24"/>
        </w:rPr>
      </w:pPr>
      <w:r>
        <w:rPr>
          <w:rFonts w:ascii="Times New Roman" w:hAnsi="Times New Roman"/>
          <w:sz w:val="24"/>
          <w:szCs w:val="24"/>
        </w:rPr>
        <w:t>“</w:t>
      </w:r>
      <w:r w:rsidRPr="003F4B77">
        <w:rPr>
          <w:rFonts w:ascii="Times New Roman" w:hAnsi="Times New Roman"/>
          <w:sz w:val="24"/>
          <w:szCs w:val="24"/>
        </w:rPr>
        <w:t xml:space="preserve">A fire hydrant, as the name suggests, exists to facilitate the firefighting function of the municipality that installed it. That function is quintessentially governmental. That fire hydrants can be put to other uses is inconsequential because the sole reason municipalities undertake the expense of installing fire hydrants is to promote their ability to respond to fire emergencies. </w:t>
      </w:r>
      <w:r>
        <w:rPr>
          <w:rFonts w:ascii="Times New Roman" w:hAnsi="Times New Roman"/>
          <w:sz w:val="24"/>
          <w:szCs w:val="24"/>
        </w:rPr>
        <w:t xml:space="preserve">*** </w:t>
      </w:r>
      <w:r w:rsidRPr="003F4B77">
        <w:rPr>
          <w:rFonts w:ascii="Times New Roman" w:hAnsi="Times New Roman"/>
          <w:sz w:val="24"/>
          <w:szCs w:val="24"/>
        </w:rPr>
        <w:t>The City’s provision and maintenance of fire hydrants is therefore an immune governmental function.</w:t>
      </w:r>
      <w:r>
        <w:rPr>
          <w:rFonts w:ascii="Times New Roman" w:hAnsi="Times New Roman"/>
          <w:sz w:val="24"/>
          <w:szCs w:val="24"/>
        </w:rPr>
        <w:t xml:space="preserve"> </w:t>
      </w:r>
      <w:bookmarkStart w:id="58" w:name="_Hlk29226264"/>
      <w:bookmarkEnd w:id="57"/>
      <w:r>
        <w:rPr>
          <w:rFonts w:asciiTheme="minorHAnsi" w:hAnsiTheme="minorHAnsi" w:cstheme="minorBidi"/>
        </w:rPr>
        <w:fldChar w:fldCharType="begin"/>
      </w:r>
      <w:r>
        <w:instrText xml:space="preserve"> HYPERLINK "https://cases.justia.com/virginia/supreme-court/2019-190071.pdf?ts=1576159671" </w:instrText>
      </w:r>
      <w:r>
        <w:rPr>
          <w:rFonts w:asciiTheme="minorHAnsi" w:hAnsiTheme="minorHAnsi" w:cstheme="minorBidi"/>
        </w:rPr>
      </w:r>
      <w:r>
        <w:rPr>
          <w:rFonts w:asciiTheme="minorHAnsi" w:hAnsiTheme="minorHAnsi" w:cstheme="minorBidi"/>
        </w:rPr>
        <w:fldChar w:fldCharType="separate"/>
      </w:r>
      <w:r w:rsidRPr="00BF6E5A">
        <w:rPr>
          <w:rStyle w:val="Hyperlink"/>
          <w:rFonts w:ascii="Times New Roman" w:hAnsi="Times New Roman"/>
          <w:sz w:val="24"/>
          <w:szCs w:val="24"/>
        </w:rPr>
        <w:t>https://cases.justia.com/virginia/supreme-court/2019-190071.pdf?ts=1576159671</w:t>
      </w:r>
      <w:r>
        <w:rPr>
          <w:rStyle w:val="Hyperlink"/>
          <w:rFonts w:ascii="Times New Roman" w:hAnsi="Times New Roman"/>
          <w:sz w:val="24"/>
          <w:szCs w:val="24"/>
        </w:rPr>
        <w:fldChar w:fldCharType="end"/>
      </w:r>
      <w:r>
        <w:rPr>
          <w:rFonts w:ascii="Times New Roman" w:hAnsi="Times New Roman"/>
          <w:sz w:val="24"/>
          <w:szCs w:val="24"/>
        </w:rPr>
        <w:t xml:space="preserve"> </w:t>
      </w:r>
      <w:bookmarkEnd w:id="58"/>
    </w:p>
    <w:p w14:paraId="772D0160" w14:textId="24A8FDA9" w:rsidR="006C7F17" w:rsidRPr="006C7F17" w:rsidRDefault="006C7F17" w:rsidP="006C7F17">
      <w:pPr>
        <w:rPr>
          <w:rFonts w:ascii="Times New Roman" w:hAnsi="Times New Roman"/>
          <w:b/>
          <w:bCs/>
          <w:sz w:val="24"/>
          <w:szCs w:val="24"/>
        </w:rPr>
      </w:pPr>
      <w:r w:rsidRPr="006C7F17">
        <w:rPr>
          <w:rFonts w:ascii="Times New Roman" w:hAnsi="Times New Roman"/>
          <w:b/>
          <w:bCs/>
          <w:sz w:val="24"/>
          <w:szCs w:val="24"/>
        </w:rPr>
        <w:t xml:space="preserve">Legal Lessons Learned: Governmental immunity is recognized in </w:t>
      </w:r>
      <w:proofErr w:type="gramStart"/>
      <w:r w:rsidRPr="006C7F17">
        <w:rPr>
          <w:rFonts w:ascii="Times New Roman" w:hAnsi="Times New Roman"/>
          <w:b/>
          <w:bCs/>
          <w:sz w:val="24"/>
          <w:szCs w:val="24"/>
        </w:rPr>
        <w:t>Virginia, and</w:t>
      </w:r>
      <w:proofErr w:type="gramEnd"/>
      <w:r w:rsidRPr="006C7F17">
        <w:rPr>
          <w:rFonts w:ascii="Times New Roman" w:hAnsi="Times New Roman"/>
          <w:b/>
          <w:bCs/>
          <w:sz w:val="24"/>
          <w:szCs w:val="24"/>
        </w:rPr>
        <w:t xml:space="preserve"> protects the city when performing services that are not provided by private companies.</w:t>
      </w:r>
    </w:p>
    <w:p w14:paraId="1EF2D9A6" w14:textId="77777777" w:rsidR="007C6FEF" w:rsidRDefault="007C6FEF" w:rsidP="002B1283">
      <w:pPr>
        <w:rPr>
          <w:rFonts w:ascii="Arial Black" w:hAnsi="Arial Black"/>
          <w:b/>
          <w:sz w:val="24"/>
          <w:szCs w:val="24"/>
        </w:rPr>
      </w:pPr>
    </w:p>
    <w:p w14:paraId="56C6B4D2" w14:textId="205A337C" w:rsidR="007C6FEF" w:rsidRDefault="007C6FEF"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5</w:t>
      </w:r>
    </w:p>
    <w:p w14:paraId="3EF82BA9" w14:textId="77777777" w:rsidR="007C6FEF" w:rsidRDefault="007C6FEF" w:rsidP="007C6FEF">
      <w:pPr>
        <w:pStyle w:val="NoSpacing"/>
        <w:rPr>
          <w:rFonts w:ascii="Arial Black" w:hAnsi="Arial Black"/>
          <w:sz w:val="28"/>
          <w:szCs w:val="28"/>
        </w:rPr>
      </w:pPr>
      <w:bookmarkStart w:id="59" w:name="_Hlk29226180"/>
      <w:r w:rsidRPr="00243657">
        <w:rPr>
          <w:rFonts w:ascii="Arial Black" w:hAnsi="Arial Black"/>
          <w:sz w:val="28"/>
          <w:szCs w:val="28"/>
        </w:rPr>
        <w:t>OH:</w:t>
      </w:r>
      <w:r>
        <w:rPr>
          <w:rFonts w:ascii="Arial Black" w:hAnsi="Arial Black"/>
          <w:sz w:val="28"/>
          <w:szCs w:val="28"/>
        </w:rPr>
        <w:t xml:space="preserve"> ARSON CONVICTION UPHELD – FIRE IN 3 LOCATIONS – FESH GASOLINE – DIRECT &amp; CIRCUMSTANTIAL EVIDENCE</w:t>
      </w:r>
    </w:p>
    <w:p w14:paraId="51AFC736" w14:textId="77777777" w:rsidR="007C6FEF" w:rsidRPr="00E73E17" w:rsidRDefault="007C6FEF" w:rsidP="007C6FEF">
      <w:pPr>
        <w:spacing w:before="100" w:beforeAutospacing="1" w:after="100" w:afterAutospacing="1" w:line="240" w:lineRule="auto"/>
        <w:rPr>
          <w:rFonts w:ascii="Times New Roman" w:eastAsia="Times New Roman" w:hAnsi="Times New Roman"/>
          <w:sz w:val="24"/>
          <w:szCs w:val="24"/>
        </w:rPr>
      </w:pPr>
      <w:r w:rsidRPr="00243657">
        <w:rPr>
          <w:rFonts w:ascii="Times New Roman" w:hAnsi="Times New Roman"/>
          <w:sz w:val="24"/>
          <w:szCs w:val="24"/>
        </w:rPr>
        <w:t>On</w:t>
      </w:r>
      <w:r>
        <w:rPr>
          <w:rFonts w:ascii="Times New Roman" w:hAnsi="Times New Roman"/>
          <w:sz w:val="24"/>
          <w:szCs w:val="24"/>
        </w:rPr>
        <w:t xml:space="preserve"> Dec. 12, 2019, in </w:t>
      </w:r>
      <w:r w:rsidRPr="00B47705">
        <w:rPr>
          <w:rFonts w:ascii="Times New Roman" w:hAnsi="Times New Roman"/>
          <w:sz w:val="24"/>
          <w:szCs w:val="24"/>
          <w:u w:val="single"/>
        </w:rPr>
        <w:t xml:space="preserve">State of Ohio v. Gina M. </w:t>
      </w:r>
      <w:proofErr w:type="spellStart"/>
      <w:r w:rsidRPr="00B47705">
        <w:rPr>
          <w:rFonts w:ascii="Times New Roman" w:hAnsi="Times New Roman"/>
          <w:sz w:val="24"/>
          <w:szCs w:val="24"/>
          <w:u w:val="single"/>
        </w:rPr>
        <w:t>Huler</w:t>
      </w:r>
      <w:proofErr w:type="spellEnd"/>
      <w:r>
        <w:rPr>
          <w:rFonts w:ascii="Times New Roman" w:hAnsi="Times New Roman"/>
          <w:sz w:val="24"/>
          <w:szCs w:val="24"/>
        </w:rPr>
        <w:t>, the Ohio Court of Appeals for the 8</w:t>
      </w:r>
      <w:r w:rsidRPr="00243657">
        <w:rPr>
          <w:rFonts w:ascii="Times New Roman" w:hAnsi="Times New Roman"/>
          <w:sz w:val="24"/>
          <w:szCs w:val="24"/>
          <w:vertAlign w:val="superscript"/>
        </w:rPr>
        <w:t>th</w:t>
      </w:r>
      <w:r>
        <w:rPr>
          <w:rFonts w:ascii="Times New Roman" w:hAnsi="Times New Roman"/>
          <w:sz w:val="24"/>
          <w:szCs w:val="24"/>
        </w:rPr>
        <w:t xml:space="preserve"> District (Cuyahoga County), held (3 to 0) </w:t>
      </w:r>
      <w:r>
        <w:rPr>
          <w:rFonts w:ascii="Times New Roman" w:eastAsia="Times New Roman" w:hAnsi="Times New Roman"/>
          <w:sz w:val="24"/>
          <w:szCs w:val="24"/>
        </w:rPr>
        <w:t xml:space="preserve">that there was sufficient direct and circumstantial evidence for the trial judge to find her guilty of aggravated arson. </w:t>
      </w:r>
    </w:p>
    <w:p w14:paraId="5F7A5422" w14:textId="77777777" w:rsidR="007C6FEF" w:rsidRPr="00E73E17" w:rsidRDefault="007C6FEF" w:rsidP="007C6FEF">
      <w:pPr>
        <w:pStyle w:val="NoSpacing"/>
        <w:ind w:left="720"/>
        <w:rPr>
          <w:rFonts w:ascii="Times New Roman" w:hAnsi="Times New Roman"/>
          <w:sz w:val="24"/>
          <w:szCs w:val="24"/>
        </w:rPr>
      </w:pPr>
      <w:r>
        <w:rPr>
          <w:rFonts w:ascii="Times New Roman" w:hAnsi="Times New Roman"/>
          <w:sz w:val="24"/>
          <w:szCs w:val="24"/>
        </w:rPr>
        <w:t>“[Jeff] K</w:t>
      </w:r>
      <w:r w:rsidRPr="00243657">
        <w:rPr>
          <w:rFonts w:ascii="Times New Roman" w:hAnsi="Times New Roman"/>
          <w:sz w:val="24"/>
          <w:szCs w:val="24"/>
        </w:rPr>
        <w:t>oehn</w:t>
      </w:r>
      <w:r>
        <w:rPr>
          <w:rFonts w:ascii="Times New Roman" w:hAnsi="Times New Roman"/>
          <w:sz w:val="24"/>
          <w:szCs w:val="24"/>
        </w:rPr>
        <w:t xml:space="preserve"> [Ohio Fire Marshal investigator] </w:t>
      </w:r>
      <w:r w:rsidRPr="00243657">
        <w:rPr>
          <w:rFonts w:ascii="Times New Roman" w:hAnsi="Times New Roman"/>
          <w:sz w:val="24"/>
          <w:szCs w:val="24"/>
        </w:rPr>
        <w:t xml:space="preserve">also determined that three separate fires were set in three separate locations in the house and a fourth was </w:t>
      </w:r>
      <w:proofErr w:type="gramStart"/>
      <w:r w:rsidRPr="00243657">
        <w:rPr>
          <w:rFonts w:ascii="Times New Roman" w:hAnsi="Times New Roman"/>
          <w:sz w:val="24"/>
          <w:szCs w:val="24"/>
        </w:rPr>
        <w:t>attempted, but</w:t>
      </w:r>
      <w:proofErr w:type="gramEnd"/>
      <w:r w:rsidRPr="00243657">
        <w:rPr>
          <w:rFonts w:ascii="Times New Roman" w:hAnsi="Times New Roman"/>
          <w:sz w:val="24"/>
          <w:szCs w:val="24"/>
        </w:rPr>
        <w:t xml:space="preserve"> failed to erupt. In support of his determination, Koehn discussed in detail three distinct fire patterns, which had no connection to each other and did not spread across the ceiling as a normal house fire would spread. A determination that there were three separate and distinct fires, with no connecting patterns, serves to eliminate the notion that sparks from the masonry work completed earlier that day could have gone down the chimney, into the house, and started the fire. </w:t>
      </w:r>
      <w:r>
        <w:rPr>
          <w:rFonts w:ascii="Times New Roman" w:hAnsi="Times New Roman"/>
          <w:sz w:val="24"/>
          <w:szCs w:val="24"/>
        </w:rPr>
        <w:t xml:space="preserve">*** </w:t>
      </w:r>
      <w:r w:rsidRPr="00243657">
        <w:rPr>
          <w:rFonts w:ascii="Times New Roman" w:hAnsi="Times New Roman"/>
          <w:sz w:val="24"/>
          <w:szCs w:val="24"/>
        </w:rPr>
        <w:t>The debris from the trash can on the stairs tested positive for acetone; debris from the attic tested positive for gasoline, and the plastic water bottle tested positive for gasoline. The forensic lab report also indicated the gasoline was fresh, not weathered or aged gasoline</w:t>
      </w:r>
      <w:r>
        <w:t xml:space="preserve">. *** </w:t>
      </w:r>
      <w:r w:rsidRPr="00E73E17">
        <w:rPr>
          <w:rFonts w:ascii="Times New Roman" w:hAnsi="Times New Roman"/>
          <w:sz w:val="24"/>
          <w:szCs w:val="24"/>
        </w:rPr>
        <w:t xml:space="preserve">Further, although the fire investigation determined that the cause of the fire was classified as incendiary and was intentionally set by Huler, we could arrive at the same conclusion using only circumstantial evidence. </w:t>
      </w:r>
      <w:r>
        <w:rPr>
          <w:rFonts w:ascii="Times New Roman" w:hAnsi="Times New Roman"/>
          <w:sz w:val="24"/>
          <w:szCs w:val="24"/>
        </w:rPr>
        <w:t>‘</w:t>
      </w:r>
      <w:r w:rsidRPr="00E73E17">
        <w:rPr>
          <w:rFonts w:ascii="Times New Roman" w:hAnsi="Times New Roman"/>
          <w:sz w:val="24"/>
          <w:szCs w:val="24"/>
        </w:rPr>
        <w:t>Circumstantial evidence and direct evidence inherently possess the same probative value.</w:t>
      </w:r>
      <w:r>
        <w:rPr>
          <w:rFonts w:ascii="Times New Roman" w:hAnsi="Times New Roman"/>
          <w:sz w:val="24"/>
          <w:szCs w:val="24"/>
        </w:rPr>
        <w:t>’</w:t>
      </w:r>
      <w:r w:rsidRPr="00E73E17">
        <w:rPr>
          <w:rFonts w:ascii="Times New Roman" w:hAnsi="Times New Roman"/>
          <w:sz w:val="24"/>
          <w:szCs w:val="24"/>
        </w:rPr>
        <w:t xml:space="preserve"> Jenks, 61 Ohio St.3d 259, 574 N.E.2d 492, at paragraph one of the </w:t>
      </w:r>
      <w:proofErr w:type="gramStart"/>
      <w:r w:rsidRPr="00E73E17">
        <w:rPr>
          <w:rFonts w:ascii="Times New Roman" w:hAnsi="Times New Roman"/>
          <w:sz w:val="24"/>
          <w:szCs w:val="24"/>
        </w:rPr>
        <w:t>syllabus</w:t>
      </w:r>
      <w:proofErr w:type="gramEnd"/>
      <w:r w:rsidRPr="00E73E17">
        <w:rPr>
          <w:rFonts w:ascii="Times New Roman" w:hAnsi="Times New Roman"/>
          <w:sz w:val="24"/>
          <w:szCs w:val="24"/>
        </w:rPr>
        <w:t>.</w:t>
      </w:r>
      <w:r>
        <w:rPr>
          <w:rFonts w:ascii="Times New Roman" w:hAnsi="Times New Roman"/>
          <w:sz w:val="24"/>
          <w:szCs w:val="24"/>
        </w:rPr>
        <w:t>”</w:t>
      </w:r>
    </w:p>
    <w:p w14:paraId="72FA7D4E" w14:textId="77777777" w:rsidR="007C6FEF" w:rsidRDefault="007C6FEF" w:rsidP="007C6FEF">
      <w:pPr>
        <w:pStyle w:val="NoSpacing"/>
        <w:ind w:left="720"/>
      </w:pPr>
      <w:hyperlink r:id="rId324" w:history="1">
        <w:r w:rsidRPr="00BF6E5A">
          <w:rPr>
            <w:rStyle w:val="Hyperlink"/>
          </w:rPr>
          <w:t>https://cases.justia.com/ohio/eighth-district-court-of-appeals/2019-108224.pdf?ts=1576167401</w:t>
        </w:r>
      </w:hyperlink>
      <w:r>
        <w:t xml:space="preserve"> </w:t>
      </w:r>
      <w:bookmarkEnd w:id="59"/>
    </w:p>
    <w:p w14:paraId="488D8B6E" w14:textId="0192DB9B" w:rsidR="003464C5" w:rsidRDefault="003464C5" w:rsidP="002B1283">
      <w:pPr>
        <w:rPr>
          <w:rFonts w:ascii="Arial Black" w:hAnsi="Arial Black"/>
          <w:b/>
          <w:sz w:val="24"/>
          <w:szCs w:val="24"/>
        </w:rPr>
      </w:pPr>
    </w:p>
    <w:p w14:paraId="79FF78CF" w14:textId="1B2BC6E0" w:rsidR="006C7F17" w:rsidRPr="006C7F17" w:rsidRDefault="006C7F17" w:rsidP="002B1283">
      <w:pPr>
        <w:rPr>
          <w:rFonts w:ascii="Times New Roman" w:hAnsi="Times New Roman"/>
          <w:b/>
          <w:bCs/>
          <w:sz w:val="24"/>
          <w:szCs w:val="24"/>
        </w:rPr>
      </w:pPr>
      <w:r w:rsidRPr="006C7F17">
        <w:rPr>
          <w:rFonts w:ascii="Times New Roman" w:hAnsi="Times New Roman"/>
          <w:b/>
          <w:bCs/>
          <w:sz w:val="24"/>
          <w:szCs w:val="24"/>
        </w:rPr>
        <w:t>Legal Lessons Learned: Expert testimony by State Fire Marshal investigator who “meticulously” eliminated other causes, and laboratory tests confirming gasoline, led to this conviction.</w:t>
      </w:r>
    </w:p>
    <w:p w14:paraId="61DEDD0F" w14:textId="77777777" w:rsidR="003464C5" w:rsidRDefault="003464C5" w:rsidP="002B1283">
      <w:pPr>
        <w:rPr>
          <w:rFonts w:ascii="Arial Black" w:hAnsi="Arial Black"/>
          <w:b/>
          <w:sz w:val="24"/>
          <w:szCs w:val="24"/>
        </w:rPr>
      </w:pPr>
    </w:p>
    <w:p w14:paraId="76B585C5" w14:textId="77777777" w:rsidR="003464C5" w:rsidRDefault="003464C5" w:rsidP="002B1283">
      <w:pPr>
        <w:rPr>
          <w:rFonts w:ascii="Arial Black" w:hAnsi="Arial Black"/>
          <w:b/>
          <w:sz w:val="24"/>
          <w:szCs w:val="24"/>
        </w:rPr>
      </w:pPr>
    </w:p>
    <w:p w14:paraId="3931366C" w14:textId="77777777" w:rsidR="003464C5" w:rsidRDefault="003464C5" w:rsidP="002B1283">
      <w:pPr>
        <w:rPr>
          <w:rFonts w:ascii="Arial Black" w:hAnsi="Arial Black"/>
          <w:b/>
          <w:sz w:val="24"/>
          <w:szCs w:val="24"/>
        </w:rPr>
      </w:pPr>
    </w:p>
    <w:p w14:paraId="493ACD09" w14:textId="2838F8A1" w:rsidR="00980EAD" w:rsidRDefault="00980EAD"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4</w:t>
      </w:r>
    </w:p>
    <w:p w14:paraId="10AA4EB5" w14:textId="77777777" w:rsidR="00980EAD" w:rsidRDefault="00980EAD" w:rsidP="00980EAD">
      <w:pPr>
        <w:pStyle w:val="NoSpacing"/>
        <w:rPr>
          <w:rFonts w:ascii="Arial Black" w:hAnsi="Arial Black"/>
          <w:sz w:val="28"/>
          <w:szCs w:val="28"/>
        </w:rPr>
      </w:pPr>
      <w:r>
        <w:rPr>
          <w:rFonts w:ascii="Arial Black" w:hAnsi="Arial Black"/>
          <w:sz w:val="28"/>
          <w:szCs w:val="28"/>
        </w:rPr>
        <w:t>WA: ARSON – DEFENSE EXPERT FAILED TO FOLLOW NFPA 921 – TESTIMONY PROPERLY LIMITED – SENTENCED TO LIFE IN PRISON</w:t>
      </w:r>
    </w:p>
    <w:p w14:paraId="709A3B5C" w14:textId="77777777" w:rsidR="00980EAD" w:rsidRDefault="00980EAD" w:rsidP="00980EAD">
      <w:pPr>
        <w:pStyle w:val="NoSpacing"/>
        <w:rPr>
          <w:rFonts w:ascii="Arial Black" w:hAnsi="Arial Black"/>
          <w:sz w:val="28"/>
          <w:szCs w:val="28"/>
        </w:rPr>
      </w:pPr>
    </w:p>
    <w:p w14:paraId="67E42ECE" w14:textId="77777777" w:rsidR="00980EAD" w:rsidRDefault="00980EAD" w:rsidP="00980EAD">
      <w:pPr>
        <w:pStyle w:val="NoSpacing"/>
        <w:rPr>
          <w:rFonts w:ascii="Times New Roman" w:hAnsi="Times New Roman"/>
          <w:sz w:val="24"/>
          <w:szCs w:val="24"/>
        </w:rPr>
      </w:pPr>
      <w:r>
        <w:rPr>
          <w:rFonts w:ascii="Times New Roman" w:hAnsi="Times New Roman"/>
          <w:sz w:val="24"/>
          <w:szCs w:val="24"/>
        </w:rPr>
        <w:t xml:space="preserve">On Dec. 5, 2019, in </w:t>
      </w:r>
      <w:r>
        <w:rPr>
          <w:rFonts w:ascii="Times New Roman" w:hAnsi="Times New Roman"/>
          <w:sz w:val="24"/>
          <w:szCs w:val="24"/>
          <w:u w:val="single"/>
        </w:rPr>
        <w:t>State of Washington v. Shelly Margaret Arndt</w:t>
      </w:r>
      <w:r>
        <w:rPr>
          <w:rFonts w:ascii="Times New Roman" w:hAnsi="Times New Roman"/>
          <w:sz w:val="24"/>
          <w:szCs w:val="24"/>
        </w:rPr>
        <w:t>, the Supreme Court of Washington (</w:t>
      </w:r>
      <w:proofErr w:type="spellStart"/>
      <w:r>
        <w:rPr>
          <w:rFonts w:ascii="Times New Roman" w:hAnsi="Times New Roman"/>
          <w:sz w:val="24"/>
          <w:szCs w:val="24"/>
        </w:rPr>
        <w:t>en</w:t>
      </w:r>
      <w:proofErr w:type="spellEnd"/>
      <w:r>
        <w:rPr>
          <w:rFonts w:ascii="Times New Roman" w:hAnsi="Times New Roman"/>
          <w:sz w:val="24"/>
          <w:szCs w:val="24"/>
        </w:rPr>
        <w:t xml:space="preserve"> banc – all 9 Justices hearing the case) held (8 to 1) that the trial court properly restricted the testimony of the defense expert,  Dale Mann (former State Patrol crime lab supervisor and certified arson investigator) for failure to conduct a cause and origin investigation under NFPA 921. </w:t>
      </w:r>
    </w:p>
    <w:p w14:paraId="37E494BD" w14:textId="77777777" w:rsidR="00980EAD" w:rsidRDefault="00980EAD" w:rsidP="00980EAD">
      <w:pPr>
        <w:pStyle w:val="NoSpacing"/>
        <w:rPr>
          <w:rFonts w:ascii="Arial Black" w:hAnsi="Arial Black" w:cstheme="minorBidi"/>
          <w:sz w:val="28"/>
          <w:szCs w:val="28"/>
        </w:rPr>
      </w:pPr>
    </w:p>
    <w:p w14:paraId="572AF2D2" w14:textId="77777777" w:rsidR="00980EAD" w:rsidRDefault="00980EAD" w:rsidP="00980EAD">
      <w:pPr>
        <w:pStyle w:val="NoSpacing"/>
        <w:ind w:left="720"/>
        <w:rPr>
          <w:rFonts w:ascii="Times New Roman" w:hAnsi="Times New Roman"/>
          <w:sz w:val="24"/>
          <w:szCs w:val="24"/>
        </w:rPr>
      </w:pPr>
      <w:r>
        <w:rPr>
          <w:rFonts w:ascii="Times New Roman" w:hAnsi="Times New Roman"/>
          <w:sz w:val="24"/>
          <w:szCs w:val="24"/>
        </w:rPr>
        <w:t xml:space="preserve">“After a </w:t>
      </w:r>
      <w:proofErr w:type="gramStart"/>
      <w:r>
        <w:rPr>
          <w:rFonts w:ascii="Times New Roman" w:hAnsi="Times New Roman"/>
          <w:sz w:val="24"/>
          <w:szCs w:val="24"/>
        </w:rPr>
        <w:t>three month</w:t>
      </w:r>
      <w:proofErr w:type="gramEnd"/>
      <w:r>
        <w:rPr>
          <w:rFonts w:ascii="Times New Roman" w:hAnsi="Times New Roman"/>
          <w:sz w:val="24"/>
          <w:szCs w:val="24"/>
        </w:rPr>
        <w:t xml:space="preserve"> trial, a jury found Arndt guilty [in death of her boyfriend] of all crimes as charged by the State. The trial court sentenced Arndt to life without the possibility of parole per RCW 10.95.030(1). CP at 475.</w:t>
      </w:r>
    </w:p>
    <w:p w14:paraId="25B24C2A" w14:textId="77777777" w:rsidR="00980EAD" w:rsidRDefault="00980EAD" w:rsidP="00980EAD">
      <w:pPr>
        <w:pStyle w:val="NoSpacing"/>
        <w:ind w:left="720"/>
        <w:rPr>
          <w:rFonts w:ascii="Times New Roman" w:hAnsi="Times New Roman"/>
          <w:sz w:val="24"/>
          <w:szCs w:val="24"/>
        </w:rPr>
      </w:pPr>
    </w:p>
    <w:p w14:paraId="4420B3FC" w14:textId="77777777" w:rsidR="00980EAD" w:rsidRDefault="00980EAD" w:rsidP="00980EAD">
      <w:pPr>
        <w:pStyle w:val="NoSpacing"/>
        <w:ind w:left="720"/>
        <w:rPr>
          <w:rFonts w:ascii="Times New Roman" w:hAnsi="Times New Roman"/>
          <w:sz w:val="24"/>
          <w:szCs w:val="24"/>
        </w:rPr>
      </w:pPr>
      <w:r>
        <w:rPr>
          <w:rFonts w:ascii="Times New Roman" w:hAnsi="Times New Roman"/>
          <w:sz w:val="24"/>
          <w:szCs w:val="24"/>
        </w:rPr>
        <w:t>***</w:t>
      </w:r>
    </w:p>
    <w:p w14:paraId="35A5A463" w14:textId="77777777" w:rsidR="00980EAD" w:rsidRDefault="00980EAD" w:rsidP="00980EAD">
      <w:pPr>
        <w:pStyle w:val="NoSpacing"/>
        <w:ind w:left="720"/>
        <w:rPr>
          <w:rFonts w:ascii="Times New Roman" w:hAnsi="Times New Roman"/>
          <w:sz w:val="24"/>
          <w:szCs w:val="24"/>
        </w:rPr>
      </w:pPr>
    </w:p>
    <w:p w14:paraId="2EA03BA3" w14:textId="77777777" w:rsidR="00980EAD" w:rsidRDefault="00980EAD" w:rsidP="00980EAD">
      <w:pPr>
        <w:pStyle w:val="NoSpacing"/>
        <w:ind w:left="720"/>
        <w:rPr>
          <w:rFonts w:ascii="Times New Roman" w:hAnsi="Times New Roman"/>
          <w:sz w:val="24"/>
          <w:szCs w:val="24"/>
        </w:rPr>
      </w:pPr>
      <w:r>
        <w:rPr>
          <w:rFonts w:ascii="Times New Roman" w:hAnsi="Times New Roman"/>
          <w:sz w:val="24"/>
          <w:szCs w:val="24"/>
        </w:rPr>
        <w:t xml:space="preserve">Arndt takes issue with the limitations the trial judge placed on Mann's testimony </w:t>
      </w:r>
      <w:proofErr w:type="gramStart"/>
      <w:r>
        <w:rPr>
          <w:rFonts w:ascii="Times New Roman" w:hAnsi="Times New Roman"/>
          <w:sz w:val="24"/>
          <w:szCs w:val="24"/>
        </w:rPr>
        <w:t>due to the fact that</w:t>
      </w:r>
      <w:proofErr w:type="gramEnd"/>
      <w:r>
        <w:rPr>
          <w:rFonts w:ascii="Times New Roman" w:hAnsi="Times New Roman"/>
          <w:sz w:val="24"/>
          <w:szCs w:val="24"/>
        </w:rPr>
        <w:t xml:space="preserve"> he had not personally conducted a complete origin and cause investigation of the scene…. In placing these limitations on Mann's testimony, the judge clearly stated that her rationale was based on Mann's failure to follow well established scientific methodology:</w:t>
      </w:r>
    </w:p>
    <w:p w14:paraId="541CB59A" w14:textId="77777777" w:rsidR="00980EAD" w:rsidRDefault="00980EAD" w:rsidP="00980EAD">
      <w:pPr>
        <w:pStyle w:val="NoSpacing"/>
        <w:ind w:left="720"/>
        <w:rPr>
          <w:rFonts w:ascii="Times New Roman" w:hAnsi="Times New Roman"/>
          <w:sz w:val="24"/>
          <w:szCs w:val="24"/>
        </w:rPr>
      </w:pPr>
    </w:p>
    <w:p w14:paraId="6C6FC988" w14:textId="77777777" w:rsidR="00980EAD" w:rsidRDefault="00980EAD" w:rsidP="00980EAD">
      <w:pPr>
        <w:pStyle w:val="NoSpacing"/>
        <w:ind w:left="720"/>
        <w:rPr>
          <w:rFonts w:ascii="Times New Roman" w:hAnsi="Times New Roman"/>
          <w:sz w:val="24"/>
          <w:szCs w:val="24"/>
        </w:rPr>
      </w:pPr>
      <w:r>
        <w:rPr>
          <w:rFonts w:ascii="Times New Roman" w:hAnsi="Times New Roman"/>
          <w:sz w:val="24"/>
          <w:szCs w:val="24"/>
        </w:rPr>
        <w:t xml:space="preserve">THE COURT: It is not a problem that he goes to the scene, as [the]defense argues, but it is a problem when he starts to test ….  If he were to do an origin and cause, he would need to follow the scientific method and eliminate various hypotheses. Instead </w:t>
      </w:r>
      <w:proofErr w:type="gramStart"/>
      <w:r>
        <w:rPr>
          <w:rFonts w:ascii="Times New Roman" w:hAnsi="Times New Roman"/>
          <w:sz w:val="24"/>
          <w:szCs w:val="24"/>
        </w:rPr>
        <w:t>by</w:t>
      </w:r>
      <w:proofErr w:type="gramEnd"/>
      <w:r>
        <w:rPr>
          <w:rFonts w:ascii="Times New Roman" w:hAnsi="Times New Roman"/>
          <w:sz w:val="24"/>
          <w:szCs w:val="24"/>
        </w:rPr>
        <w:t xml:space="preserve"> focusing on one area, which seems to be this foosball area, he's taking one hypothesis and testing it. And not eliminating, under the scientific method, the entire scene.</w:t>
      </w:r>
    </w:p>
    <w:p w14:paraId="17935886" w14:textId="77777777" w:rsidR="00980EAD" w:rsidRDefault="00980EAD" w:rsidP="00980EAD">
      <w:pPr>
        <w:pStyle w:val="NoSpacing"/>
        <w:ind w:left="720"/>
        <w:rPr>
          <w:rFonts w:ascii="Times New Roman" w:hAnsi="Times New Roman"/>
          <w:sz w:val="24"/>
          <w:szCs w:val="24"/>
        </w:rPr>
      </w:pPr>
      <w:hyperlink r:id="rId325" w:history="1">
        <w:r>
          <w:rPr>
            <w:rStyle w:val="Hyperlink"/>
            <w:rFonts w:ascii="Times New Roman" w:hAnsi="Times New Roman"/>
            <w:sz w:val="24"/>
            <w:szCs w:val="24"/>
          </w:rPr>
          <w:t>https://www.courts.wa.gov/opinions/pdf/953961.pdf</w:t>
        </w:r>
      </w:hyperlink>
      <w:r>
        <w:rPr>
          <w:rFonts w:ascii="Times New Roman" w:hAnsi="Times New Roman"/>
          <w:sz w:val="24"/>
          <w:szCs w:val="24"/>
        </w:rPr>
        <w:t xml:space="preserve"> </w:t>
      </w:r>
    </w:p>
    <w:p w14:paraId="6E28073B" w14:textId="4A0265C9" w:rsidR="00980EAD" w:rsidRDefault="00980EAD" w:rsidP="002B1283">
      <w:pPr>
        <w:rPr>
          <w:rFonts w:ascii="Arial Black" w:hAnsi="Arial Black"/>
          <w:b/>
          <w:sz w:val="24"/>
          <w:szCs w:val="24"/>
        </w:rPr>
      </w:pPr>
    </w:p>
    <w:p w14:paraId="14A1FEE4" w14:textId="77777777" w:rsidR="00980EAD" w:rsidRDefault="00980EAD" w:rsidP="00980EAD">
      <w:pPr>
        <w:pStyle w:val="NoSpacing"/>
        <w:rPr>
          <w:rFonts w:ascii="Times New Roman" w:hAnsi="Times New Roman"/>
          <w:sz w:val="24"/>
          <w:szCs w:val="24"/>
        </w:rPr>
      </w:pPr>
      <w:r>
        <w:rPr>
          <w:rFonts w:ascii="Times New Roman" w:hAnsi="Times New Roman"/>
          <w:b/>
          <w:bCs/>
          <w:sz w:val="24"/>
          <w:szCs w:val="24"/>
        </w:rPr>
        <w:t>Legal Lessons Learned:  The trial court properly restricted the testimony of the defense expert for failure to follow NFPA 921, Guide for Fire and Explosion Investigations (excellent guide for conducting cause &amp; origin investigations):</w:t>
      </w:r>
      <w:r>
        <w:rPr>
          <w:rFonts w:ascii="Times New Roman" w:hAnsi="Times New Roman"/>
          <w:sz w:val="24"/>
          <w:szCs w:val="24"/>
        </w:rPr>
        <w:t xml:space="preserve">  </w:t>
      </w:r>
      <w:hyperlink r:id="rId326" w:history="1">
        <w:r>
          <w:rPr>
            <w:rStyle w:val="Hyperlink"/>
            <w:rFonts w:ascii="Times New Roman" w:hAnsi="Times New Roman"/>
            <w:sz w:val="24"/>
            <w:szCs w:val="24"/>
          </w:rPr>
          <w:t>https://catalog.nfpa.org/NFPA-921-Guide-for-Fire-and-Explosion-Investigations-C472.aspx?order_src=C900&amp;gclid=EAIaIQobChMI3pOKsKem5gIVJIVaBR1UwAkCEAAYASAAEgLHSvD_BwE</w:t>
        </w:r>
      </w:hyperlink>
      <w:r>
        <w:rPr>
          <w:rFonts w:ascii="Times New Roman" w:hAnsi="Times New Roman"/>
          <w:sz w:val="24"/>
          <w:szCs w:val="24"/>
        </w:rPr>
        <w:t xml:space="preserve"> </w:t>
      </w:r>
    </w:p>
    <w:p w14:paraId="658648E5" w14:textId="77777777" w:rsidR="00980EAD" w:rsidRDefault="00980EAD" w:rsidP="002B1283">
      <w:pPr>
        <w:rPr>
          <w:rFonts w:ascii="Arial Black" w:hAnsi="Arial Black"/>
          <w:b/>
          <w:sz w:val="24"/>
          <w:szCs w:val="24"/>
        </w:rPr>
      </w:pPr>
    </w:p>
    <w:p w14:paraId="5C84FAC9" w14:textId="4DC9FA31" w:rsidR="00A06387" w:rsidRDefault="00A06387" w:rsidP="002B1283">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3</w:t>
      </w:r>
    </w:p>
    <w:p w14:paraId="6D61F3E4" w14:textId="55C3DD9F" w:rsidR="00A06387" w:rsidRPr="00706498" w:rsidRDefault="00A06387" w:rsidP="00A06387">
      <w:pPr>
        <w:rPr>
          <w:rFonts w:ascii="Arial Black" w:hAnsi="Arial Black"/>
          <w:sz w:val="28"/>
          <w:szCs w:val="28"/>
        </w:rPr>
      </w:pPr>
      <w:r w:rsidRPr="00706498">
        <w:rPr>
          <w:rFonts w:ascii="Arial Black" w:hAnsi="Arial Black"/>
          <w:sz w:val="28"/>
          <w:szCs w:val="28"/>
        </w:rPr>
        <w:t xml:space="preserve">IN: DRONE – WOMAN FINDS DRONE IN HER YARD – ONBOARD VIDEO SHOWS NEIGHBOR CARRYING DRUGS </w:t>
      </w:r>
      <w:r w:rsidR="007471AF">
        <w:rPr>
          <w:rFonts w:ascii="Arial Black" w:hAnsi="Arial Black"/>
          <w:sz w:val="28"/>
          <w:szCs w:val="28"/>
        </w:rPr>
        <w:t>[also filed, Chap. 4]</w:t>
      </w:r>
    </w:p>
    <w:p w14:paraId="61D656D4" w14:textId="77777777" w:rsidR="00A06387" w:rsidRPr="006C7F17" w:rsidRDefault="00A06387" w:rsidP="00A06387">
      <w:pPr>
        <w:pStyle w:val="NoSpacing"/>
        <w:rPr>
          <w:rFonts w:ascii="Times New Roman" w:hAnsi="Times New Roman"/>
          <w:b/>
          <w:bCs/>
          <w:sz w:val="24"/>
          <w:szCs w:val="24"/>
        </w:rPr>
      </w:pPr>
      <w:r w:rsidRPr="006C7F17">
        <w:rPr>
          <w:rFonts w:ascii="Times New Roman" w:hAnsi="Times New Roman"/>
          <w:bCs/>
          <w:sz w:val="24"/>
          <w:szCs w:val="24"/>
        </w:rPr>
        <w:t xml:space="preserve">On Oct. 24, 2019, in </w:t>
      </w:r>
      <w:r w:rsidRPr="006C7F17">
        <w:rPr>
          <w:rFonts w:ascii="Times New Roman" w:hAnsi="Times New Roman"/>
          <w:bCs/>
          <w:sz w:val="24"/>
          <w:szCs w:val="24"/>
          <w:u w:val="single"/>
        </w:rPr>
        <w:t>Galen Byers v. State of Indiana</w:t>
      </w:r>
      <w:r w:rsidRPr="006C7F17">
        <w:rPr>
          <w:rFonts w:ascii="Times New Roman" w:hAnsi="Times New Roman"/>
          <w:bCs/>
          <w:sz w:val="24"/>
          <w:szCs w:val="24"/>
        </w:rPr>
        <w:t xml:space="preserve">, Court of Appeals of Indiana held (3 to 0) that the search warrant was obtained timely, and the trial court properly denied the defendant’s motion to suppress.  Criminal </w:t>
      </w:r>
      <w:proofErr w:type="gramStart"/>
      <w:r w:rsidRPr="006C7F17">
        <w:rPr>
          <w:rFonts w:ascii="Times New Roman" w:hAnsi="Times New Roman"/>
          <w:bCs/>
          <w:sz w:val="24"/>
          <w:szCs w:val="24"/>
        </w:rPr>
        <w:t>case</w:t>
      </w:r>
      <w:proofErr w:type="gramEnd"/>
      <w:r w:rsidRPr="006C7F17">
        <w:rPr>
          <w:rFonts w:ascii="Times New Roman" w:hAnsi="Times New Roman"/>
          <w:bCs/>
          <w:sz w:val="24"/>
          <w:szCs w:val="24"/>
        </w:rPr>
        <w:t xml:space="preserve"> for </w:t>
      </w:r>
      <w:proofErr w:type="gramStart"/>
      <w:r w:rsidRPr="006C7F17">
        <w:rPr>
          <w:rFonts w:ascii="Times New Roman" w:hAnsi="Times New Roman"/>
          <w:bCs/>
          <w:sz w:val="24"/>
          <w:szCs w:val="24"/>
        </w:rPr>
        <w:t>dealing</w:t>
      </w:r>
      <w:proofErr w:type="gramEnd"/>
      <w:r w:rsidRPr="006C7F17">
        <w:rPr>
          <w:rFonts w:ascii="Times New Roman" w:hAnsi="Times New Roman"/>
          <w:bCs/>
          <w:sz w:val="24"/>
          <w:szCs w:val="24"/>
        </w:rPr>
        <w:t xml:space="preserve"> methamphetamine will now be tried, unless the defendant enters a guilty plea.  </w:t>
      </w:r>
    </w:p>
    <w:p w14:paraId="76CDFD85" w14:textId="77777777" w:rsidR="00A06387" w:rsidRPr="006C7F17" w:rsidRDefault="00A06387" w:rsidP="00A06387">
      <w:pPr>
        <w:pStyle w:val="NoSpacing"/>
        <w:rPr>
          <w:rFonts w:ascii="Times New Roman" w:hAnsi="Times New Roman"/>
          <w:b/>
          <w:bCs/>
          <w:sz w:val="24"/>
          <w:szCs w:val="24"/>
        </w:rPr>
      </w:pPr>
    </w:p>
    <w:p w14:paraId="5783D6D8" w14:textId="77777777" w:rsidR="00A06387" w:rsidRPr="006C7F17" w:rsidRDefault="00A06387" w:rsidP="00A06387">
      <w:pPr>
        <w:pStyle w:val="NoSpacing"/>
        <w:ind w:left="720"/>
        <w:rPr>
          <w:rFonts w:ascii="Times New Roman" w:hAnsi="Times New Roman"/>
          <w:b/>
          <w:bCs/>
          <w:sz w:val="24"/>
          <w:szCs w:val="24"/>
        </w:rPr>
      </w:pPr>
      <w:r w:rsidRPr="006C7F17">
        <w:rPr>
          <w:rFonts w:ascii="Times New Roman" w:hAnsi="Times New Roman"/>
          <w:bCs/>
          <w:sz w:val="24"/>
          <w:szCs w:val="24"/>
        </w:rPr>
        <w:t xml:space="preserve">“Moreover, while we look at the date of the video footage to determine whether probable cause existed, some lapse can also be accounted for here because [Marcie] </w:t>
      </w:r>
      <w:proofErr w:type="spellStart"/>
      <w:r w:rsidRPr="006C7F17">
        <w:rPr>
          <w:rFonts w:ascii="Times New Roman" w:hAnsi="Times New Roman"/>
          <w:bCs/>
          <w:sz w:val="24"/>
          <w:szCs w:val="24"/>
        </w:rPr>
        <w:t>Vormohr</w:t>
      </w:r>
      <w:proofErr w:type="spellEnd"/>
      <w:r w:rsidRPr="006C7F17">
        <w:rPr>
          <w:rFonts w:ascii="Times New Roman" w:hAnsi="Times New Roman"/>
          <w:bCs/>
          <w:sz w:val="24"/>
          <w:szCs w:val="24"/>
        </w:rPr>
        <w:t xml:space="preserve"> was in possession of the drone for likely at least one of those days. And, although we acknowledge that the woman in the video handled the alleged substances, the video also shows another individual—a man who </w:t>
      </w:r>
      <w:proofErr w:type="spellStart"/>
      <w:r w:rsidRPr="006C7F17">
        <w:rPr>
          <w:rFonts w:ascii="Times New Roman" w:hAnsi="Times New Roman"/>
          <w:bCs/>
          <w:sz w:val="24"/>
          <w:szCs w:val="24"/>
        </w:rPr>
        <w:t>Vormohr</w:t>
      </w:r>
      <w:proofErr w:type="spellEnd"/>
      <w:r w:rsidRPr="006C7F17">
        <w:rPr>
          <w:rFonts w:ascii="Times New Roman" w:hAnsi="Times New Roman"/>
          <w:bCs/>
          <w:sz w:val="24"/>
          <w:szCs w:val="24"/>
        </w:rPr>
        <w:t xml:space="preserve"> testified was Byers—handling the drone moments later in the same and subsequent video recordings. Based on the facts and circumstances before us, we cannot say that a four-day period between the activity and the finding of probable cause renders the warrant constitutionally stale.”</w:t>
      </w:r>
    </w:p>
    <w:p w14:paraId="77D5FC4D" w14:textId="77777777" w:rsidR="00A06387" w:rsidRPr="006C7F17" w:rsidRDefault="00A06387" w:rsidP="00A06387">
      <w:pPr>
        <w:pStyle w:val="NoSpacing"/>
        <w:ind w:left="720"/>
        <w:rPr>
          <w:rFonts w:ascii="Times New Roman" w:hAnsi="Times New Roman"/>
          <w:b/>
          <w:bCs/>
          <w:sz w:val="24"/>
          <w:szCs w:val="24"/>
        </w:rPr>
      </w:pPr>
      <w:hyperlink r:id="rId327" w:history="1">
        <w:r w:rsidRPr="006C7F17">
          <w:rPr>
            <w:rStyle w:val="Hyperlink"/>
            <w:rFonts w:ascii="Times New Roman" w:hAnsi="Times New Roman"/>
            <w:bCs/>
            <w:sz w:val="24"/>
            <w:szCs w:val="24"/>
          </w:rPr>
          <w:t>https://www.in.gov/judiciary/opinions/pdf/10241902eft.pdf</w:t>
        </w:r>
      </w:hyperlink>
      <w:r w:rsidRPr="006C7F17">
        <w:rPr>
          <w:rFonts w:ascii="Times New Roman" w:hAnsi="Times New Roman"/>
          <w:bCs/>
          <w:sz w:val="24"/>
          <w:szCs w:val="24"/>
        </w:rPr>
        <w:t xml:space="preserve"> </w:t>
      </w:r>
    </w:p>
    <w:p w14:paraId="429BAC24" w14:textId="77777777" w:rsidR="006C7F17" w:rsidRPr="006C7F17" w:rsidRDefault="006C7F17" w:rsidP="00A06387">
      <w:pPr>
        <w:pStyle w:val="NoSpacing"/>
        <w:rPr>
          <w:rFonts w:ascii="Times New Roman" w:hAnsi="Times New Roman"/>
          <w:b/>
          <w:bCs/>
          <w:sz w:val="24"/>
          <w:szCs w:val="24"/>
        </w:rPr>
      </w:pPr>
    </w:p>
    <w:p w14:paraId="544C4F7E" w14:textId="19B151CC" w:rsidR="00A06387" w:rsidRPr="006C7F17" w:rsidRDefault="00A06387" w:rsidP="00A06387">
      <w:pPr>
        <w:pStyle w:val="NoSpacing"/>
        <w:rPr>
          <w:rFonts w:ascii="Times New Roman" w:hAnsi="Times New Roman"/>
          <w:b/>
          <w:bCs/>
          <w:sz w:val="24"/>
          <w:szCs w:val="24"/>
        </w:rPr>
      </w:pPr>
      <w:r w:rsidRPr="006C7F17">
        <w:rPr>
          <w:rFonts w:ascii="Times New Roman" w:hAnsi="Times New Roman"/>
          <w:b/>
          <w:bCs/>
          <w:sz w:val="24"/>
          <w:szCs w:val="24"/>
        </w:rPr>
        <w:t xml:space="preserve">Legal Lessons Learned:  If you are a drug dealer, be cautious of drones with video cameras. </w:t>
      </w:r>
    </w:p>
    <w:p w14:paraId="7FB2F241" w14:textId="0F04A306" w:rsidR="00A67C57" w:rsidRDefault="00A67C57" w:rsidP="00A06387">
      <w:pPr>
        <w:pStyle w:val="NoSpacing"/>
        <w:rPr>
          <w:b/>
          <w:bCs/>
          <w:sz w:val="24"/>
          <w:szCs w:val="24"/>
        </w:rPr>
      </w:pPr>
    </w:p>
    <w:p w14:paraId="670D9A77" w14:textId="1313CE54" w:rsidR="00A67C57" w:rsidRDefault="00A67C57" w:rsidP="002B1283">
      <w:pPr>
        <w:rPr>
          <w:rFonts w:ascii="Arial Black" w:hAnsi="Arial Black"/>
          <w:b/>
          <w:sz w:val="24"/>
          <w:szCs w:val="24"/>
        </w:rPr>
      </w:pPr>
    </w:p>
    <w:p w14:paraId="11CDF6E0" w14:textId="43645BE2" w:rsidR="00A06387" w:rsidRDefault="00A06387" w:rsidP="00A06387">
      <w:pPr>
        <w:rPr>
          <w:rFonts w:ascii="Arial Black" w:hAnsi="Arial Black"/>
          <w:b/>
          <w:sz w:val="24"/>
          <w:szCs w:val="24"/>
        </w:rPr>
      </w:pPr>
      <w:r>
        <w:rPr>
          <w:rFonts w:ascii="Arial Black" w:hAnsi="Arial Black"/>
          <w:b/>
          <w:sz w:val="24"/>
          <w:szCs w:val="24"/>
        </w:rPr>
        <w:t>1-3</w:t>
      </w:r>
      <w:r w:rsidR="00637A12">
        <w:rPr>
          <w:rFonts w:ascii="Arial Black" w:hAnsi="Arial Black"/>
          <w:b/>
          <w:sz w:val="24"/>
          <w:szCs w:val="24"/>
        </w:rPr>
        <w:t>2</w:t>
      </w:r>
    </w:p>
    <w:p w14:paraId="525842C4" w14:textId="77777777" w:rsidR="00A06387" w:rsidRPr="00C60A81" w:rsidRDefault="00A06387" w:rsidP="00A06387">
      <w:pPr>
        <w:pStyle w:val="NoSpacing"/>
        <w:rPr>
          <w:rFonts w:ascii="Arial Black" w:hAnsi="Arial Black"/>
          <w:sz w:val="28"/>
          <w:szCs w:val="28"/>
        </w:rPr>
      </w:pPr>
      <w:r w:rsidRPr="00C60A81">
        <w:rPr>
          <w:rFonts w:ascii="Arial Black" w:hAnsi="Arial Black"/>
          <w:sz w:val="28"/>
          <w:szCs w:val="28"/>
        </w:rPr>
        <w:t xml:space="preserve">PA:  </w:t>
      </w:r>
      <w:r>
        <w:rPr>
          <w:rFonts w:ascii="Arial Black" w:hAnsi="Arial Black"/>
          <w:sz w:val="28"/>
          <w:szCs w:val="28"/>
        </w:rPr>
        <w:t xml:space="preserve">HOUSE FIRE - </w:t>
      </w:r>
      <w:r w:rsidRPr="00C60A81">
        <w:rPr>
          <w:rFonts w:ascii="Arial Black" w:hAnsi="Arial Black"/>
          <w:sz w:val="28"/>
          <w:szCs w:val="28"/>
        </w:rPr>
        <w:t xml:space="preserve">ARSON </w:t>
      </w:r>
      <w:r>
        <w:rPr>
          <w:rFonts w:ascii="Arial Black" w:hAnsi="Arial Black"/>
          <w:sz w:val="28"/>
          <w:szCs w:val="28"/>
        </w:rPr>
        <w:t xml:space="preserve">SUSPECTED, OWNER BEHIND MORTGAGE – </w:t>
      </w:r>
      <w:r w:rsidRPr="00C60A81">
        <w:rPr>
          <w:rFonts w:ascii="Arial Black" w:hAnsi="Arial Black"/>
          <w:sz w:val="28"/>
          <w:szCs w:val="28"/>
        </w:rPr>
        <w:t>INSUR</w:t>
      </w:r>
      <w:r>
        <w:rPr>
          <w:rFonts w:ascii="Arial Black" w:hAnsi="Arial Black"/>
          <w:sz w:val="28"/>
          <w:szCs w:val="28"/>
        </w:rPr>
        <w:t xml:space="preserve">. CO. PROPERLY DELAYED PAYMENT </w:t>
      </w:r>
    </w:p>
    <w:p w14:paraId="1F064AF2" w14:textId="77777777" w:rsidR="00A06387" w:rsidRDefault="00A06387" w:rsidP="00A06387">
      <w:pPr>
        <w:pStyle w:val="NoSpacing"/>
        <w:rPr>
          <w:rFonts w:ascii="PArial Black" w:hAnsi="PArial Black"/>
          <w:sz w:val="28"/>
          <w:szCs w:val="28"/>
        </w:rPr>
      </w:pPr>
    </w:p>
    <w:p w14:paraId="4F75F56A" w14:textId="77777777" w:rsidR="00A06387" w:rsidRPr="006C7F17" w:rsidRDefault="00A06387" w:rsidP="00A06387">
      <w:pPr>
        <w:pStyle w:val="NoSpacing"/>
        <w:rPr>
          <w:rFonts w:ascii="Times New Roman" w:hAnsi="Times New Roman"/>
          <w:b/>
          <w:bCs/>
          <w:sz w:val="24"/>
          <w:szCs w:val="24"/>
        </w:rPr>
      </w:pPr>
      <w:r w:rsidRPr="006C7F17">
        <w:rPr>
          <w:rFonts w:ascii="Times New Roman" w:hAnsi="Times New Roman"/>
          <w:bCs/>
          <w:sz w:val="24"/>
          <w:szCs w:val="24"/>
        </w:rPr>
        <w:t xml:space="preserve">On Oct. 21, 2019, in </w:t>
      </w:r>
      <w:r w:rsidRPr="006C7F17">
        <w:rPr>
          <w:rFonts w:ascii="Times New Roman" w:hAnsi="Times New Roman"/>
          <w:bCs/>
          <w:sz w:val="24"/>
          <w:szCs w:val="24"/>
          <w:u w:val="single"/>
        </w:rPr>
        <w:t xml:space="preserve">Darlene </w:t>
      </w:r>
      <w:proofErr w:type="spellStart"/>
      <w:r w:rsidRPr="006C7F17">
        <w:rPr>
          <w:rFonts w:ascii="Times New Roman" w:hAnsi="Times New Roman"/>
          <w:bCs/>
          <w:sz w:val="24"/>
          <w:szCs w:val="24"/>
          <w:u w:val="single"/>
        </w:rPr>
        <w:t>Merrone</w:t>
      </w:r>
      <w:proofErr w:type="spellEnd"/>
      <w:r w:rsidRPr="006C7F17">
        <w:rPr>
          <w:rFonts w:ascii="Times New Roman" w:hAnsi="Times New Roman"/>
          <w:bCs/>
          <w:sz w:val="24"/>
          <w:szCs w:val="24"/>
          <w:u w:val="single"/>
        </w:rPr>
        <w:t xml:space="preserve"> v. for Allstate Vehicle </w:t>
      </w:r>
      <w:proofErr w:type="gramStart"/>
      <w:r w:rsidRPr="006C7F17">
        <w:rPr>
          <w:rFonts w:ascii="Times New Roman" w:hAnsi="Times New Roman"/>
          <w:bCs/>
          <w:sz w:val="24"/>
          <w:szCs w:val="24"/>
          <w:u w:val="single"/>
        </w:rPr>
        <w:t>And</w:t>
      </w:r>
      <w:proofErr w:type="gramEnd"/>
      <w:r w:rsidRPr="006C7F17">
        <w:rPr>
          <w:rFonts w:ascii="Times New Roman" w:hAnsi="Times New Roman"/>
          <w:bCs/>
          <w:sz w:val="24"/>
          <w:szCs w:val="24"/>
          <w:u w:val="single"/>
        </w:rPr>
        <w:t xml:space="preserve"> Property Insurance Company</w:t>
      </w:r>
      <w:r w:rsidRPr="006C7F17">
        <w:rPr>
          <w:rFonts w:ascii="Times New Roman" w:hAnsi="Times New Roman"/>
          <w:bCs/>
          <w:sz w:val="24"/>
          <w:szCs w:val="24"/>
        </w:rPr>
        <w:t xml:space="preserve">, U.S. District Court Judge Kim R. Gibson, U.S. District Court for Western District of Pennsylvania, granted summary judgment for Allstate. </w:t>
      </w:r>
    </w:p>
    <w:p w14:paraId="7B54B2A1" w14:textId="77777777" w:rsidR="00A06387" w:rsidRPr="006C7F17" w:rsidRDefault="00A06387" w:rsidP="00A06387">
      <w:pPr>
        <w:pStyle w:val="NoSpacing"/>
        <w:rPr>
          <w:rFonts w:ascii="Times New Roman" w:hAnsi="Times New Roman"/>
          <w:b/>
          <w:bCs/>
          <w:sz w:val="24"/>
          <w:szCs w:val="24"/>
        </w:rPr>
      </w:pPr>
    </w:p>
    <w:p w14:paraId="7B55C37F" w14:textId="77777777" w:rsidR="00A06387" w:rsidRPr="006C7F17" w:rsidRDefault="00A06387" w:rsidP="00A06387">
      <w:pPr>
        <w:pStyle w:val="NoSpacing"/>
        <w:ind w:left="720"/>
        <w:rPr>
          <w:rFonts w:ascii="Times New Roman" w:hAnsi="Times New Roman"/>
          <w:b/>
          <w:bCs/>
          <w:sz w:val="24"/>
          <w:szCs w:val="24"/>
        </w:rPr>
      </w:pPr>
      <w:r w:rsidRPr="006C7F17">
        <w:rPr>
          <w:rFonts w:ascii="Times New Roman" w:hAnsi="Times New Roman"/>
          <w:bCs/>
          <w:sz w:val="24"/>
          <w:szCs w:val="24"/>
        </w:rPr>
        <w:t xml:space="preserve">“Because payment of the insurance proceeds negates any breach of contract action, Allstate has paid the policy limits on both the structure and ALE claims, and Plaintiff has not presented any evidence that Allstate has failed to compensate her for lost personal property, Plaintiff's claim must fail. Plaintiff argues that Allstate breached the insurance contract by failing to pay her claim once it was clear that Allstate could not prove arson. (ECF No. 28 at 9.) Allstate responds that it had a reasonable basis to investigate and delay payment. For the reasons discussed in depth above, Plaintiff has not shown that Allstate did not have a reasonable basis to investigate and delay payment, so this delay cannot form the basis of a breach of </w:t>
      </w:r>
      <w:proofErr w:type="gramStart"/>
      <w:r w:rsidRPr="006C7F17">
        <w:rPr>
          <w:rFonts w:ascii="Times New Roman" w:hAnsi="Times New Roman"/>
          <w:bCs/>
          <w:sz w:val="24"/>
          <w:szCs w:val="24"/>
        </w:rPr>
        <w:t>contract.”</w:t>
      </w:r>
      <w:proofErr w:type="gramEnd"/>
      <w:r w:rsidRPr="006C7F17">
        <w:rPr>
          <w:rFonts w:ascii="Times New Roman" w:hAnsi="Times New Roman"/>
          <w:bCs/>
          <w:sz w:val="24"/>
          <w:szCs w:val="24"/>
        </w:rPr>
        <w:t xml:space="preserve">  </w:t>
      </w:r>
    </w:p>
    <w:p w14:paraId="5E2BD35B" w14:textId="48987128" w:rsidR="00A06387" w:rsidRPr="006C7F17" w:rsidRDefault="006C7F17" w:rsidP="006C7F17">
      <w:pPr>
        <w:ind w:left="720"/>
        <w:rPr>
          <w:rFonts w:ascii="Times New Roman" w:hAnsi="Times New Roman"/>
          <w:b/>
          <w:sz w:val="24"/>
          <w:szCs w:val="24"/>
        </w:rPr>
      </w:pPr>
      <w:hyperlink r:id="rId328" w:history="1">
        <w:r w:rsidRPr="002F304C">
          <w:rPr>
            <w:rStyle w:val="Hyperlink"/>
            <w:rFonts w:ascii="Times New Roman" w:hAnsi="Times New Roman"/>
            <w:bCs/>
            <w:sz w:val="24"/>
            <w:szCs w:val="24"/>
          </w:rPr>
          <w:t>https://cases.justia.com/federal/district-courts/pennsylvania/pawdce/3:2018cv00193/249675/37/0.pdf?ts=1571736238</w:t>
        </w:r>
      </w:hyperlink>
    </w:p>
    <w:p w14:paraId="6BDBD660" w14:textId="77777777" w:rsidR="00A06387" w:rsidRPr="006C7F17" w:rsidRDefault="00A06387" w:rsidP="00A06387">
      <w:pPr>
        <w:pStyle w:val="NoSpacing"/>
        <w:rPr>
          <w:rFonts w:ascii="Times New Roman" w:hAnsi="Times New Roman"/>
          <w:b/>
          <w:bCs/>
          <w:sz w:val="24"/>
          <w:szCs w:val="24"/>
        </w:rPr>
      </w:pPr>
      <w:r w:rsidRPr="006C7F17">
        <w:rPr>
          <w:rFonts w:ascii="Times New Roman" w:hAnsi="Times New Roman"/>
          <w:b/>
          <w:bCs/>
          <w:sz w:val="24"/>
          <w:szCs w:val="24"/>
        </w:rPr>
        <w:t xml:space="preserve">Legal Lessons Learned: “Red flags” were certainly flying in this case.  </w:t>
      </w:r>
    </w:p>
    <w:p w14:paraId="35AD5C64" w14:textId="3CEF3DE9" w:rsidR="00A06387" w:rsidRDefault="00A06387" w:rsidP="002B1283">
      <w:pPr>
        <w:rPr>
          <w:rFonts w:ascii="Arial Black" w:hAnsi="Arial Black"/>
          <w:b/>
          <w:sz w:val="24"/>
          <w:szCs w:val="24"/>
        </w:rPr>
      </w:pPr>
    </w:p>
    <w:p w14:paraId="4126F2F4" w14:textId="77777777" w:rsidR="00A67C57" w:rsidRDefault="00A67C57" w:rsidP="002B1283">
      <w:pPr>
        <w:rPr>
          <w:rFonts w:ascii="Arial Black" w:hAnsi="Arial Black"/>
          <w:b/>
          <w:sz w:val="24"/>
          <w:szCs w:val="24"/>
        </w:rPr>
      </w:pPr>
    </w:p>
    <w:p w14:paraId="5ABB4BC7" w14:textId="77777777" w:rsidR="00A06387" w:rsidRDefault="00A06387" w:rsidP="002B1283">
      <w:pPr>
        <w:rPr>
          <w:rFonts w:ascii="Arial Black" w:hAnsi="Arial Black"/>
          <w:b/>
          <w:sz w:val="24"/>
          <w:szCs w:val="24"/>
        </w:rPr>
      </w:pPr>
    </w:p>
    <w:p w14:paraId="12296DC6" w14:textId="2C667427" w:rsidR="005A414F" w:rsidRDefault="005A414F" w:rsidP="002B1283">
      <w:pPr>
        <w:rPr>
          <w:rFonts w:ascii="Arial Black" w:hAnsi="Arial Black"/>
          <w:b/>
          <w:sz w:val="24"/>
          <w:szCs w:val="24"/>
        </w:rPr>
      </w:pPr>
      <w:r>
        <w:rPr>
          <w:rFonts w:ascii="Arial Black" w:hAnsi="Arial Black"/>
          <w:b/>
          <w:sz w:val="24"/>
          <w:szCs w:val="24"/>
        </w:rPr>
        <w:t>1-</w:t>
      </w:r>
      <w:r w:rsidR="00637A12">
        <w:rPr>
          <w:rFonts w:ascii="Arial Black" w:hAnsi="Arial Black"/>
          <w:b/>
          <w:sz w:val="24"/>
          <w:szCs w:val="24"/>
        </w:rPr>
        <w:t>31</w:t>
      </w:r>
    </w:p>
    <w:p w14:paraId="5E3ABD8C" w14:textId="77777777" w:rsidR="005A414F" w:rsidRDefault="005A414F" w:rsidP="005A414F">
      <w:pPr>
        <w:rPr>
          <w:rFonts w:ascii="Arial Black" w:hAnsi="Arial Black"/>
          <w:sz w:val="28"/>
          <w:szCs w:val="28"/>
        </w:rPr>
      </w:pPr>
      <w:r w:rsidRPr="007313FF">
        <w:rPr>
          <w:rFonts w:ascii="Arial Black" w:hAnsi="Arial Black"/>
          <w:sz w:val="28"/>
          <w:szCs w:val="28"/>
        </w:rPr>
        <w:t xml:space="preserve">CA: </w:t>
      </w:r>
      <w:r>
        <w:rPr>
          <w:rFonts w:ascii="Arial Black" w:hAnsi="Arial Black"/>
          <w:sz w:val="28"/>
          <w:szCs w:val="28"/>
        </w:rPr>
        <w:t xml:space="preserve"> ARSON - FF TESTIFIED AGAIN GIRLFRIEND – SHE ADMITTED ARSON CAR FIRE – HE WAS NOT ACCOMPLICE, NO JURY INSTRUCTION NEEDED</w:t>
      </w:r>
    </w:p>
    <w:p w14:paraId="75AF396B" w14:textId="170C65C2" w:rsidR="005A414F" w:rsidRDefault="005A414F" w:rsidP="005A414F">
      <w:pPr>
        <w:rPr>
          <w:rStyle w:val="Hyperlink"/>
          <w:rFonts w:ascii="Times New Roman" w:hAnsi="Times New Roman"/>
          <w:sz w:val="24"/>
          <w:szCs w:val="24"/>
        </w:rPr>
      </w:pPr>
      <w:r w:rsidRPr="005F65FF">
        <w:rPr>
          <w:rFonts w:ascii="Times New Roman" w:hAnsi="Times New Roman"/>
          <w:sz w:val="24"/>
          <w:szCs w:val="24"/>
        </w:rPr>
        <w:t>On</w:t>
      </w:r>
      <w:r>
        <w:rPr>
          <w:rFonts w:ascii="Times New Roman" w:hAnsi="Times New Roman"/>
          <w:sz w:val="24"/>
          <w:szCs w:val="24"/>
        </w:rPr>
        <w:t xml:space="preserve"> Aug. 29, 2019, in </w:t>
      </w:r>
      <w:r w:rsidRPr="00D929D6">
        <w:rPr>
          <w:rFonts w:ascii="Times New Roman" w:hAnsi="Times New Roman"/>
          <w:sz w:val="24"/>
          <w:szCs w:val="24"/>
          <w:u w:val="single"/>
        </w:rPr>
        <w:t>The People v. Crystal Lynn Rothgery</w:t>
      </w:r>
      <w:r w:rsidRPr="00D929D6">
        <w:rPr>
          <w:rFonts w:ascii="Times New Roman" w:hAnsi="Times New Roman"/>
          <w:sz w:val="24"/>
          <w:szCs w:val="24"/>
        </w:rPr>
        <w:t>, the</w:t>
      </w:r>
      <w:r>
        <w:rPr>
          <w:rFonts w:ascii="Times New Roman" w:hAnsi="Times New Roman"/>
          <w:sz w:val="24"/>
          <w:szCs w:val="24"/>
          <w:u w:val="single"/>
        </w:rPr>
        <w:t xml:space="preserve"> </w:t>
      </w:r>
      <w:r w:rsidRPr="005238A8">
        <w:rPr>
          <w:rFonts w:ascii="Times New Roman" w:hAnsi="Times New Roman"/>
          <w:sz w:val="24"/>
          <w:szCs w:val="24"/>
        </w:rPr>
        <w:t xml:space="preserve">Court of Appeal of State of California, Third Appellate District, </w:t>
      </w:r>
      <w:r>
        <w:rPr>
          <w:rFonts w:ascii="Times New Roman" w:hAnsi="Times New Roman"/>
          <w:sz w:val="24"/>
          <w:szCs w:val="24"/>
        </w:rPr>
        <w:t xml:space="preserve">in an unpublished opinion, denied (3 to 0) her appeal of jury conviction of arson.   The trial judge did not need to instructor jury about being suspicious of accomplice testimony since no evidence that her boyfriend [a “wilderness firefighter”] was involved in the car fire. </w:t>
      </w:r>
      <w:hyperlink r:id="rId329" w:history="1">
        <w:r w:rsidRPr="0075063D">
          <w:rPr>
            <w:rStyle w:val="Hyperlink"/>
            <w:rFonts w:ascii="Times New Roman" w:hAnsi="Times New Roman"/>
            <w:sz w:val="24"/>
            <w:szCs w:val="24"/>
          </w:rPr>
          <w:t>https://www.courts.ca.gov/opinions/nonpub/C087060.PDF</w:t>
        </w:r>
      </w:hyperlink>
    </w:p>
    <w:p w14:paraId="484410AA" w14:textId="77777777" w:rsidR="005A414F" w:rsidRDefault="005A414F" w:rsidP="005A414F">
      <w:pPr>
        <w:rPr>
          <w:rFonts w:ascii="Times New Roman" w:hAnsi="Times New Roman"/>
          <w:sz w:val="24"/>
          <w:szCs w:val="24"/>
        </w:rPr>
      </w:pPr>
      <w:r w:rsidRPr="00285E04">
        <w:rPr>
          <w:rFonts w:ascii="Times New Roman" w:hAnsi="Times New Roman"/>
          <w:sz w:val="24"/>
          <w:szCs w:val="24"/>
        </w:rPr>
        <w:t>The Court wrote:</w:t>
      </w:r>
    </w:p>
    <w:p w14:paraId="76402338" w14:textId="77777777" w:rsidR="005A414F" w:rsidRPr="007E4C13" w:rsidRDefault="005A414F" w:rsidP="005A414F">
      <w:pPr>
        <w:pStyle w:val="NoSpacing"/>
        <w:ind w:left="1440"/>
        <w:rPr>
          <w:rFonts w:ascii="Times New Roman" w:hAnsi="Times New Roman"/>
          <w:sz w:val="24"/>
          <w:szCs w:val="24"/>
        </w:rPr>
      </w:pPr>
      <w:r>
        <w:rPr>
          <w:rFonts w:ascii="Times New Roman" w:hAnsi="Times New Roman"/>
          <w:sz w:val="24"/>
          <w:szCs w:val="24"/>
        </w:rPr>
        <w:t>“</w:t>
      </w:r>
      <w:r w:rsidRPr="007E4C13">
        <w:rPr>
          <w:rFonts w:ascii="Times New Roman" w:hAnsi="Times New Roman"/>
          <w:sz w:val="24"/>
          <w:szCs w:val="24"/>
        </w:rPr>
        <w:t xml:space="preserve">Here, the trial court was not required to instruct the jury </w:t>
      </w:r>
      <w:proofErr w:type="spellStart"/>
      <w:r w:rsidRPr="007E4C13">
        <w:rPr>
          <w:rFonts w:ascii="Times New Roman" w:hAnsi="Times New Roman"/>
          <w:sz w:val="24"/>
          <w:szCs w:val="24"/>
        </w:rPr>
        <w:t>sua</w:t>
      </w:r>
      <w:proofErr w:type="spellEnd"/>
      <w:r w:rsidRPr="007E4C13">
        <w:rPr>
          <w:rFonts w:ascii="Times New Roman" w:hAnsi="Times New Roman"/>
          <w:sz w:val="24"/>
          <w:szCs w:val="24"/>
        </w:rPr>
        <w:t xml:space="preserve"> sponte on accomplice testimony because there was no evidence from which a reasonable jury could find Hoskey was an accomplice. To be an accomplice, one </w:t>
      </w:r>
      <w:proofErr w:type="gramStart"/>
      <w:r w:rsidRPr="007E4C13">
        <w:rPr>
          <w:rFonts w:ascii="Times New Roman" w:hAnsi="Times New Roman"/>
          <w:sz w:val="24"/>
          <w:szCs w:val="24"/>
        </w:rPr>
        <w:t>must,</w:t>
      </w:r>
      <w:r>
        <w:rPr>
          <w:rFonts w:ascii="Times New Roman" w:hAnsi="Times New Roman"/>
          <w:sz w:val="24"/>
          <w:szCs w:val="24"/>
        </w:rPr>
        <w:t xml:space="preserve"> </w:t>
      </w:r>
      <w:r w:rsidRPr="007E4C13">
        <w:rPr>
          <w:rFonts w:ascii="Times New Roman" w:hAnsi="Times New Roman"/>
          <w:sz w:val="24"/>
          <w:szCs w:val="24"/>
        </w:rPr>
        <w:t>‘</w:t>
      </w:r>
      <w:proofErr w:type="gramEnd"/>
      <w:r w:rsidRPr="007E4C13">
        <w:rPr>
          <w:rFonts w:ascii="Times New Roman" w:hAnsi="Times New Roman"/>
          <w:sz w:val="24"/>
          <w:szCs w:val="24"/>
        </w:rPr>
        <w:t>act with knowledge of the criminal purpose of the perpetrator and</w:t>
      </w:r>
      <w:r>
        <w:rPr>
          <w:rFonts w:ascii="Times New Roman" w:hAnsi="Times New Roman"/>
          <w:sz w:val="24"/>
          <w:szCs w:val="24"/>
        </w:rPr>
        <w:t xml:space="preserve"> </w:t>
      </w:r>
      <w:r w:rsidRPr="007E4C13">
        <w:rPr>
          <w:rFonts w:ascii="Times New Roman" w:hAnsi="Times New Roman"/>
          <w:sz w:val="24"/>
          <w:szCs w:val="24"/>
        </w:rPr>
        <w:t>with an intent or purpose either of committing, or of encouraging or facilitating commission of, the offense.’ (People v. Stankewitz (1990) 51 Cal.3d 72, 90-91.)</w:t>
      </w:r>
      <w:r>
        <w:rPr>
          <w:rFonts w:ascii="Times New Roman" w:hAnsi="Times New Roman"/>
          <w:sz w:val="24"/>
          <w:szCs w:val="24"/>
        </w:rPr>
        <w:t xml:space="preserve">  </w:t>
      </w:r>
      <w:r w:rsidRPr="007E4C13">
        <w:rPr>
          <w:rFonts w:ascii="Times New Roman" w:hAnsi="Times New Roman"/>
          <w:sz w:val="24"/>
          <w:szCs w:val="24"/>
        </w:rPr>
        <w:t>In arguing Hoskey was an accomplice, defendant cites no evidence to satisfy these elements.</w:t>
      </w:r>
      <w:r>
        <w:rPr>
          <w:rFonts w:ascii="Times New Roman" w:hAnsi="Times New Roman"/>
          <w:sz w:val="24"/>
          <w:szCs w:val="24"/>
        </w:rPr>
        <w:t>”</w:t>
      </w:r>
    </w:p>
    <w:p w14:paraId="51A88005" w14:textId="77777777" w:rsidR="005A414F" w:rsidRDefault="005A414F" w:rsidP="005A414F">
      <w:pPr>
        <w:rPr>
          <w:rStyle w:val="Hyperlink"/>
          <w:rFonts w:ascii="Times New Roman" w:hAnsi="Times New Roman"/>
          <w:sz w:val="24"/>
          <w:szCs w:val="24"/>
        </w:rPr>
      </w:pPr>
    </w:p>
    <w:p w14:paraId="204CC706" w14:textId="569889B0" w:rsidR="005A414F" w:rsidRDefault="005A414F" w:rsidP="005A414F">
      <w:pPr>
        <w:pStyle w:val="NoSpacing"/>
        <w:rPr>
          <w:rFonts w:ascii="Times New Roman" w:hAnsi="Times New Roman"/>
          <w:b/>
          <w:bCs/>
          <w:sz w:val="24"/>
          <w:szCs w:val="24"/>
        </w:rPr>
      </w:pPr>
      <w:r w:rsidRPr="00F524F6">
        <w:rPr>
          <w:rFonts w:ascii="Times New Roman" w:hAnsi="Times New Roman"/>
          <w:b/>
          <w:bCs/>
          <w:sz w:val="24"/>
          <w:szCs w:val="24"/>
        </w:rPr>
        <w:t xml:space="preserve">Legal Lessons Learned: </w:t>
      </w:r>
      <w:r>
        <w:rPr>
          <w:rFonts w:ascii="Times New Roman" w:hAnsi="Times New Roman"/>
          <w:b/>
          <w:bCs/>
          <w:sz w:val="24"/>
          <w:szCs w:val="24"/>
        </w:rPr>
        <w:t xml:space="preserve">No proof this “wilderness firefighter” was involved in his live-in girlfriend’s arson.  </w:t>
      </w:r>
    </w:p>
    <w:p w14:paraId="6DC9502B" w14:textId="77777777" w:rsidR="00E26EA8" w:rsidRDefault="00E26EA8" w:rsidP="005A414F">
      <w:pPr>
        <w:pStyle w:val="NoSpacing"/>
        <w:rPr>
          <w:rFonts w:ascii="Times New Roman" w:hAnsi="Times New Roman"/>
          <w:b/>
          <w:bCs/>
          <w:sz w:val="24"/>
          <w:szCs w:val="24"/>
        </w:rPr>
      </w:pPr>
    </w:p>
    <w:p w14:paraId="2A4D2958" w14:textId="77777777" w:rsidR="00715CF2" w:rsidRDefault="00715CF2" w:rsidP="002B1283">
      <w:pPr>
        <w:rPr>
          <w:rFonts w:ascii="Arial Black" w:hAnsi="Arial Black"/>
          <w:b/>
          <w:sz w:val="24"/>
          <w:szCs w:val="24"/>
        </w:rPr>
      </w:pPr>
    </w:p>
    <w:p w14:paraId="4EEE914F" w14:textId="0C8E98AD" w:rsidR="00791CA3" w:rsidRDefault="00791CA3" w:rsidP="002B1283">
      <w:pPr>
        <w:rPr>
          <w:rFonts w:ascii="Arial Black" w:hAnsi="Arial Black"/>
          <w:sz w:val="28"/>
          <w:szCs w:val="28"/>
        </w:rPr>
      </w:pPr>
      <w:r w:rsidRPr="00791CA3">
        <w:rPr>
          <w:rFonts w:ascii="Arial Black" w:hAnsi="Arial Black"/>
          <w:b/>
          <w:sz w:val="24"/>
          <w:szCs w:val="24"/>
        </w:rPr>
        <w:t>1-</w:t>
      </w:r>
      <w:r w:rsidR="00637A12">
        <w:rPr>
          <w:rFonts w:ascii="Arial Black" w:hAnsi="Arial Black"/>
          <w:b/>
          <w:sz w:val="24"/>
          <w:szCs w:val="24"/>
        </w:rPr>
        <w:t>30</w:t>
      </w:r>
    </w:p>
    <w:p w14:paraId="29D072AB" w14:textId="54FED2EC" w:rsidR="002B1283" w:rsidRDefault="002B1283" w:rsidP="002B1283">
      <w:pPr>
        <w:rPr>
          <w:rFonts w:ascii="Arial Black" w:hAnsi="Arial Black"/>
          <w:sz w:val="28"/>
          <w:szCs w:val="28"/>
        </w:rPr>
      </w:pPr>
      <w:r>
        <w:rPr>
          <w:rFonts w:ascii="Arial Black" w:hAnsi="Arial Black"/>
          <w:sz w:val="28"/>
          <w:szCs w:val="28"/>
        </w:rPr>
        <w:t>IL: COMMERCIAL BUILDING FIRE ALARMS MUST GO DIRECT TO 911 DISPATCH – ORDINANCE REQ. ONE PROVIDER UPHELD</w:t>
      </w:r>
    </w:p>
    <w:p w14:paraId="3CCBDA25" w14:textId="77777777" w:rsidR="002B1283" w:rsidRDefault="002B1283" w:rsidP="002B1283">
      <w:pPr>
        <w:rPr>
          <w:rFonts w:ascii="Times New Roman" w:hAnsi="Times New Roman"/>
          <w:sz w:val="24"/>
          <w:szCs w:val="24"/>
        </w:rPr>
      </w:pPr>
      <w:r w:rsidRPr="00C338B2">
        <w:rPr>
          <w:rFonts w:ascii="Times New Roman" w:hAnsi="Times New Roman"/>
          <w:sz w:val="24"/>
          <w:szCs w:val="24"/>
        </w:rPr>
        <w:t xml:space="preserve">On July 15, 2019, in </w:t>
      </w:r>
      <w:r w:rsidRPr="00C338B2">
        <w:rPr>
          <w:rFonts w:ascii="Times New Roman" w:hAnsi="Times New Roman"/>
          <w:sz w:val="24"/>
          <w:szCs w:val="24"/>
          <w:u w:val="single"/>
        </w:rPr>
        <w:t>Alarm Detection Systems, Inc. v. Orland Fire Protect District, et al</w:t>
      </w:r>
      <w:r w:rsidRPr="00C338B2">
        <w:rPr>
          <w:rFonts w:ascii="Times New Roman" w:hAnsi="Times New Roman"/>
          <w:sz w:val="24"/>
          <w:szCs w:val="24"/>
        </w:rPr>
        <w:t xml:space="preserve">, </w:t>
      </w:r>
      <w:r>
        <w:rPr>
          <w:rFonts w:ascii="Times New Roman" w:hAnsi="Times New Roman"/>
          <w:sz w:val="24"/>
          <w:szCs w:val="24"/>
        </w:rPr>
        <w:t>the U.S. Court of Appeals for 7</w:t>
      </w:r>
      <w:r w:rsidRPr="00C338B2">
        <w:rPr>
          <w:rFonts w:ascii="Times New Roman" w:hAnsi="Times New Roman"/>
          <w:sz w:val="24"/>
          <w:szCs w:val="24"/>
          <w:vertAlign w:val="superscript"/>
        </w:rPr>
        <w:t>th</w:t>
      </w:r>
      <w:r>
        <w:rPr>
          <w:rFonts w:ascii="Times New Roman" w:hAnsi="Times New Roman"/>
          <w:sz w:val="24"/>
          <w:szCs w:val="24"/>
        </w:rPr>
        <w:t xml:space="preserve"> Circuit held (3 to 0) that ordinances by several Villages were lawful and no violation of Sherman Antitrust Act. </w:t>
      </w:r>
    </w:p>
    <w:p w14:paraId="737C96FA" w14:textId="77777777" w:rsidR="002B1283"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100A56">
        <w:rPr>
          <w:rFonts w:ascii="Times New Roman" w:hAnsi="Times New Roman"/>
          <w:sz w:val="24"/>
          <w:szCs w:val="24"/>
        </w:rPr>
        <w:t>ADS worries that without introducing competition against Tyco the alarm-system market will stagnate; Tyco will have little reason to innovate and more flexibility to charge high prices. We are not unsympathetic to the point, in theory. But ADS had its chance at trial to demonstrate to the district court that its alternative methods can work in an RSS system, and it did not. And no one should lose sight of the fact that competition for the exclusive contract is competition.</w:t>
      </w:r>
      <w:r>
        <w:rPr>
          <w:rFonts w:ascii="Times New Roman" w:hAnsi="Times New Roman"/>
          <w:sz w:val="24"/>
          <w:szCs w:val="24"/>
        </w:rPr>
        <w:t>”</w:t>
      </w:r>
    </w:p>
    <w:p w14:paraId="0DB8F759" w14:textId="77777777" w:rsidR="002B1283" w:rsidRDefault="002B1283" w:rsidP="002B1283">
      <w:pPr>
        <w:ind w:left="720"/>
      </w:pPr>
      <w:hyperlink r:id="rId330" w:history="1">
        <w:r w:rsidRPr="00455844">
          <w:rPr>
            <w:rStyle w:val="Hyperlink"/>
          </w:rPr>
          <w:t>https://cases.justia.com/federal/appellate-courts/ca7/18-2926/18-2926-2019-07-15.pdf?ts=1563219019</w:t>
        </w:r>
      </w:hyperlink>
      <w:r>
        <w:t xml:space="preserve"> </w:t>
      </w:r>
    </w:p>
    <w:p w14:paraId="6EB00456" w14:textId="3BE822F9" w:rsidR="002B1283" w:rsidRDefault="002B1283" w:rsidP="002B1283">
      <w:pPr>
        <w:rPr>
          <w:rFonts w:ascii="Times New Roman" w:hAnsi="Times New Roman"/>
          <w:b/>
          <w:bCs/>
          <w:sz w:val="24"/>
          <w:szCs w:val="24"/>
        </w:rPr>
      </w:pPr>
      <w:r w:rsidRPr="00100A56">
        <w:rPr>
          <w:rFonts w:ascii="Times New Roman" w:hAnsi="Times New Roman"/>
          <w:b/>
          <w:bCs/>
          <w:sz w:val="24"/>
          <w:szCs w:val="24"/>
        </w:rPr>
        <w:t xml:space="preserve">Legal Lessons Learned: </w:t>
      </w:r>
      <w:r>
        <w:rPr>
          <w:rFonts w:ascii="Times New Roman" w:hAnsi="Times New Roman"/>
          <w:b/>
          <w:bCs/>
          <w:sz w:val="24"/>
          <w:szCs w:val="24"/>
        </w:rPr>
        <w:t xml:space="preserve"> The Court of Appeals upheld the findings of the U.S. District Court judge, who held a 6-day bench [non-jury] trial, and referenced NFPA 72 and the safety need for an exclusive fire-alarm provider.  </w:t>
      </w:r>
    </w:p>
    <w:p w14:paraId="0B7D4E64" w14:textId="149D5C28" w:rsidR="0097592D" w:rsidRPr="0097592D" w:rsidRDefault="0097592D" w:rsidP="002B1283">
      <w:pPr>
        <w:rPr>
          <w:rFonts w:ascii="Times New Roman" w:hAnsi="Times New Roman"/>
          <w:sz w:val="24"/>
          <w:szCs w:val="24"/>
        </w:rPr>
      </w:pPr>
    </w:p>
    <w:p w14:paraId="2A31529E" w14:textId="77777777" w:rsidR="00F326E5" w:rsidRDefault="00F326E5" w:rsidP="00F326E5">
      <w:pPr>
        <w:pStyle w:val="NoSpacing"/>
        <w:rPr>
          <w:rFonts w:ascii="Times New Roman" w:hAnsi="Times New Roman"/>
          <w:sz w:val="24"/>
          <w:szCs w:val="24"/>
        </w:rPr>
      </w:pPr>
    </w:p>
    <w:p w14:paraId="5AC1EE6D" w14:textId="48B9E2F1" w:rsidR="005A414F" w:rsidRDefault="005A414F" w:rsidP="00791CA3">
      <w:pPr>
        <w:rPr>
          <w:rFonts w:ascii="Arial Black" w:hAnsi="Arial Black"/>
          <w:b/>
          <w:sz w:val="24"/>
          <w:szCs w:val="24"/>
        </w:rPr>
      </w:pPr>
      <w:r>
        <w:rPr>
          <w:rFonts w:ascii="Arial Black" w:hAnsi="Arial Black"/>
          <w:b/>
          <w:sz w:val="24"/>
          <w:szCs w:val="24"/>
        </w:rPr>
        <w:t>1-2</w:t>
      </w:r>
      <w:r w:rsidR="00637A12">
        <w:rPr>
          <w:rFonts w:ascii="Arial Black" w:hAnsi="Arial Black"/>
          <w:b/>
          <w:sz w:val="24"/>
          <w:szCs w:val="24"/>
        </w:rPr>
        <w:t>9</w:t>
      </w:r>
    </w:p>
    <w:p w14:paraId="4D276FD2" w14:textId="77777777" w:rsidR="005A414F" w:rsidRPr="00A95E8D" w:rsidRDefault="005A414F" w:rsidP="005A414F">
      <w:pPr>
        <w:rPr>
          <w:rFonts w:ascii="Arial Black" w:hAnsi="Arial Black"/>
          <w:sz w:val="28"/>
          <w:szCs w:val="28"/>
        </w:rPr>
      </w:pPr>
      <w:r w:rsidRPr="00A95E8D">
        <w:rPr>
          <w:rFonts w:ascii="Arial Black" w:hAnsi="Arial Black"/>
          <w:sz w:val="28"/>
          <w:szCs w:val="28"/>
        </w:rPr>
        <w:t>U.S. SUP</w:t>
      </w:r>
      <w:r>
        <w:rPr>
          <w:rFonts w:ascii="Arial Black" w:hAnsi="Arial Black"/>
          <w:sz w:val="28"/>
          <w:szCs w:val="28"/>
        </w:rPr>
        <w:t>REME CT: DRUNK DRIVER UNCONSCIOUS – BLOOD DRAW WITHOUT SEARCH WARRANT PERMITTED - EXIGENT CIRCUMSTANCES</w:t>
      </w:r>
    </w:p>
    <w:p w14:paraId="7CF99BE9" w14:textId="77777777" w:rsidR="005A414F" w:rsidRDefault="005A414F" w:rsidP="005A414F">
      <w:pPr>
        <w:rPr>
          <w:rFonts w:ascii="Times New Roman" w:hAnsi="Times New Roman"/>
          <w:sz w:val="24"/>
          <w:szCs w:val="24"/>
        </w:rPr>
      </w:pPr>
      <w:r>
        <w:rPr>
          <w:rFonts w:ascii="Times New Roman" w:hAnsi="Times New Roman"/>
          <w:sz w:val="24"/>
          <w:szCs w:val="24"/>
        </w:rPr>
        <w:t xml:space="preserve">On June 27, 2019, in </w:t>
      </w:r>
      <w:r w:rsidRPr="000D023B">
        <w:rPr>
          <w:rFonts w:ascii="Times New Roman" w:hAnsi="Times New Roman"/>
          <w:sz w:val="24"/>
          <w:szCs w:val="24"/>
          <w:u w:val="single"/>
        </w:rPr>
        <w:t>Mitchell v. Wisconsin</w:t>
      </w:r>
      <w:r>
        <w:rPr>
          <w:rFonts w:ascii="Times New Roman" w:hAnsi="Times New Roman"/>
          <w:sz w:val="24"/>
          <w:szCs w:val="24"/>
        </w:rPr>
        <w:t xml:space="preserve">, the U.S. Supreme Court held (5 to 4), on the defendant’s appeal from decision of the Wisconsin Supreme Court, that when the driver is unconscious, and cannot be given a breath test, they may generally obtain a blood draw at a hospital without a search warrant under the “exigent circumstances” doctrine.  </w:t>
      </w:r>
      <w:hyperlink r:id="rId331" w:history="1">
        <w:r w:rsidRPr="00DD407F">
          <w:rPr>
            <w:rStyle w:val="Hyperlink"/>
            <w:rFonts w:ascii="Times New Roman" w:hAnsi="Times New Roman"/>
            <w:sz w:val="24"/>
            <w:szCs w:val="24"/>
          </w:rPr>
          <w:t>https://www.supremecourt.gov/opinions/18pdf/18-6210_2co3.pdf</w:t>
        </w:r>
      </w:hyperlink>
      <w:r>
        <w:rPr>
          <w:rFonts w:ascii="Times New Roman" w:hAnsi="Times New Roman"/>
          <w:sz w:val="24"/>
          <w:szCs w:val="24"/>
        </w:rPr>
        <w:t xml:space="preserve"> </w:t>
      </w:r>
    </w:p>
    <w:p w14:paraId="0EDF2492" w14:textId="77777777" w:rsidR="005A414F" w:rsidRPr="00230C85" w:rsidRDefault="005A414F" w:rsidP="005A414F">
      <w:pPr>
        <w:pStyle w:val="NoSpacing"/>
        <w:rPr>
          <w:rFonts w:ascii="Times New Roman" w:hAnsi="Times New Roman"/>
          <w:b/>
          <w:bCs/>
          <w:sz w:val="24"/>
          <w:szCs w:val="24"/>
        </w:rPr>
      </w:pPr>
      <w:r w:rsidRPr="00230C85">
        <w:rPr>
          <w:rFonts w:ascii="Times New Roman" w:hAnsi="Times New Roman"/>
          <w:b/>
          <w:bCs/>
          <w:sz w:val="24"/>
          <w:szCs w:val="24"/>
        </w:rPr>
        <w:t xml:space="preserve">Legal Lessons Learned: </w:t>
      </w:r>
      <w:r>
        <w:rPr>
          <w:rFonts w:ascii="Times New Roman" w:hAnsi="Times New Roman"/>
          <w:b/>
          <w:bCs/>
          <w:sz w:val="24"/>
          <w:szCs w:val="24"/>
        </w:rPr>
        <w:t xml:space="preserve">Very helpful majority decision, expanding the “exigent circumstances” doctrine, to allow police to rapidly obtain blood draws without a search warrant. </w:t>
      </w:r>
    </w:p>
    <w:p w14:paraId="7003CA67" w14:textId="77777777" w:rsidR="000D5056" w:rsidRDefault="000D5056" w:rsidP="005A414F">
      <w:pPr>
        <w:ind w:firstLine="720"/>
        <w:rPr>
          <w:rFonts w:ascii="Times New Roman" w:hAnsi="Times New Roman"/>
          <w:sz w:val="24"/>
          <w:szCs w:val="24"/>
        </w:rPr>
      </w:pPr>
    </w:p>
    <w:p w14:paraId="609A942C" w14:textId="502D2C28" w:rsidR="005A414F" w:rsidRDefault="005A414F" w:rsidP="005A414F">
      <w:pPr>
        <w:ind w:firstLine="720"/>
        <w:rPr>
          <w:rFonts w:ascii="Times New Roman" w:hAnsi="Times New Roman"/>
          <w:sz w:val="24"/>
          <w:szCs w:val="24"/>
        </w:rPr>
      </w:pPr>
      <w:r>
        <w:rPr>
          <w:rFonts w:ascii="Times New Roman" w:hAnsi="Times New Roman"/>
          <w:sz w:val="24"/>
          <w:szCs w:val="24"/>
        </w:rPr>
        <w:t xml:space="preserve">Justice Samuel Alito wrote the majority opinion: </w:t>
      </w:r>
    </w:p>
    <w:p w14:paraId="25335525" w14:textId="02D5DFF3" w:rsidR="005A414F" w:rsidRDefault="005A414F" w:rsidP="005A414F">
      <w:pPr>
        <w:ind w:left="1440"/>
        <w:rPr>
          <w:rFonts w:ascii="Times New Roman" w:hAnsi="Times New Roman"/>
          <w:sz w:val="24"/>
          <w:szCs w:val="24"/>
        </w:rPr>
      </w:pPr>
      <w:r>
        <w:rPr>
          <w:rFonts w:ascii="Times New Roman" w:hAnsi="Times New Roman"/>
          <w:sz w:val="24"/>
          <w:szCs w:val="24"/>
        </w:rPr>
        <w:t>“</w:t>
      </w:r>
      <w:r w:rsidRPr="00A95E8D">
        <w:rPr>
          <w:rFonts w:ascii="Times New Roman" w:hAnsi="Times New Roman"/>
          <w:sz w:val="24"/>
          <w:szCs w:val="24"/>
        </w:rPr>
        <w:t xml:space="preserve">Today, we consider what police officers may do in a narrow but important category of cases: those in which the driver is unconscious and therefore cannot be given a breath test. In such cases, we hold, the </w:t>
      </w:r>
      <w:proofErr w:type="gramStart"/>
      <w:r w:rsidRPr="00A95E8D">
        <w:rPr>
          <w:rFonts w:ascii="Times New Roman" w:hAnsi="Times New Roman"/>
          <w:sz w:val="24"/>
          <w:szCs w:val="24"/>
        </w:rPr>
        <w:t>exigent</w:t>
      </w:r>
      <w:r>
        <w:rPr>
          <w:rFonts w:ascii="Times New Roman" w:hAnsi="Times New Roman"/>
          <w:sz w:val="24"/>
          <w:szCs w:val="24"/>
        </w:rPr>
        <w:t>-</w:t>
      </w:r>
      <w:r w:rsidRPr="00A95E8D">
        <w:rPr>
          <w:rFonts w:ascii="Times New Roman" w:hAnsi="Times New Roman"/>
          <w:sz w:val="24"/>
          <w:szCs w:val="24"/>
        </w:rPr>
        <w:t>circumstances</w:t>
      </w:r>
      <w:proofErr w:type="gramEnd"/>
      <w:r w:rsidRPr="00A95E8D">
        <w:rPr>
          <w:rFonts w:ascii="Times New Roman" w:hAnsi="Times New Roman"/>
          <w:sz w:val="24"/>
          <w:szCs w:val="24"/>
        </w:rPr>
        <w:t xml:space="preserve"> rule almost always permits a blood test without a warrant. When a breath test is impossible, enforcement of the drunk-driving laws depends upon the administration of a blood test. And when a police officer</w:t>
      </w:r>
      <w:r>
        <w:rPr>
          <w:rFonts w:ascii="Times New Roman" w:hAnsi="Times New Roman"/>
          <w:sz w:val="24"/>
          <w:szCs w:val="24"/>
        </w:rPr>
        <w:t xml:space="preserve"> </w:t>
      </w:r>
      <w:r w:rsidRPr="00A95E8D">
        <w:rPr>
          <w:rFonts w:ascii="Times New Roman" w:hAnsi="Times New Roman"/>
          <w:sz w:val="24"/>
          <w:szCs w:val="24"/>
        </w:rPr>
        <w:t>encounters an unconscious driver, it is very likely that the driver would be taken to an emergency room and that his blood would be drawn for diagnostic purposes even if the police were not seeking BAC information. In addition, police officers most frequently come upon unconscious drivers when they report to the scene of an accident, and under those circumstances, the officers’ many responsibilities—such as attending to other injured drivers or passengers</w:t>
      </w:r>
      <w:r>
        <w:rPr>
          <w:rFonts w:ascii="Times New Roman" w:hAnsi="Times New Roman"/>
          <w:sz w:val="24"/>
          <w:szCs w:val="24"/>
        </w:rPr>
        <w:t xml:space="preserve"> </w:t>
      </w:r>
      <w:r w:rsidRPr="00A95E8D">
        <w:rPr>
          <w:rFonts w:ascii="Times New Roman" w:hAnsi="Times New Roman"/>
          <w:sz w:val="24"/>
          <w:szCs w:val="24"/>
        </w:rPr>
        <w:t>and preventing further accidents—may be incompatible with the procedures that would be required to obtain a warrant. Thus, when a driver is unconscious, the general rule is that a warrant is not needed.</w:t>
      </w:r>
      <w:r>
        <w:rPr>
          <w:rFonts w:ascii="Times New Roman" w:hAnsi="Times New Roman"/>
          <w:sz w:val="24"/>
          <w:szCs w:val="24"/>
        </w:rPr>
        <w:t>”</w:t>
      </w:r>
    </w:p>
    <w:p w14:paraId="28A37239" w14:textId="77777777" w:rsidR="00715CF2" w:rsidRDefault="00715CF2" w:rsidP="00791CA3">
      <w:pPr>
        <w:rPr>
          <w:rFonts w:ascii="Arial Black" w:hAnsi="Arial Black"/>
          <w:b/>
          <w:sz w:val="24"/>
          <w:szCs w:val="24"/>
        </w:rPr>
      </w:pPr>
    </w:p>
    <w:p w14:paraId="1763116F" w14:textId="5BD9E373" w:rsidR="00B22CD4" w:rsidRDefault="00791CA3" w:rsidP="00791CA3">
      <w:pPr>
        <w:rPr>
          <w:rFonts w:ascii="Times New Roman" w:hAnsi="Times New Roman"/>
          <w:sz w:val="24"/>
          <w:szCs w:val="24"/>
        </w:rPr>
      </w:pPr>
      <w:r w:rsidRPr="00791CA3">
        <w:rPr>
          <w:rFonts w:ascii="Arial Black" w:hAnsi="Arial Black"/>
          <w:b/>
          <w:sz w:val="24"/>
          <w:szCs w:val="24"/>
        </w:rPr>
        <w:t>1-</w:t>
      </w:r>
      <w:r>
        <w:rPr>
          <w:rFonts w:ascii="Arial Black" w:hAnsi="Arial Black"/>
          <w:b/>
          <w:sz w:val="24"/>
          <w:szCs w:val="24"/>
        </w:rPr>
        <w:t>2</w:t>
      </w:r>
      <w:r w:rsidR="00637A12">
        <w:rPr>
          <w:rFonts w:ascii="Arial Black" w:hAnsi="Arial Black"/>
          <w:b/>
          <w:sz w:val="24"/>
          <w:szCs w:val="24"/>
        </w:rPr>
        <w:t>8</w:t>
      </w:r>
    </w:p>
    <w:p w14:paraId="24111B64" w14:textId="39359B2E" w:rsidR="00B22CD4" w:rsidRPr="00B60691" w:rsidRDefault="00B22CD4" w:rsidP="00B22CD4">
      <w:pPr>
        <w:pStyle w:val="NoSpacing"/>
        <w:rPr>
          <w:rFonts w:ascii="Arial Black" w:hAnsi="Arial Black"/>
          <w:sz w:val="28"/>
          <w:szCs w:val="28"/>
        </w:rPr>
      </w:pPr>
      <w:bookmarkStart w:id="60" w:name="_Hlk10126418"/>
      <w:r>
        <w:rPr>
          <w:rFonts w:ascii="Arial Black" w:hAnsi="Arial Black"/>
          <w:sz w:val="28"/>
          <w:szCs w:val="28"/>
        </w:rPr>
        <w:t>IL: SUICIDE - U.S. SUP. CT. NOT TAKE APPEAL – SUICIDE BY ATTORNEY ON ANTI-DEPRESSANTS - FDA DID NOT APPROVE LABEL</w:t>
      </w:r>
    </w:p>
    <w:p w14:paraId="3F548AF1" w14:textId="77777777" w:rsidR="00B22CD4" w:rsidRPr="002F51DD" w:rsidRDefault="00B22CD4" w:rsidP="00B22CD4">
      <w:pPr>
        <w:pStyle w:val="Heading1"/>
        <w:rPr>
          <w:b w:val="0"/>
          <w:sz w:val="24"/>
          <w:szCs w:val="24"/>
        </w:rPr>
      </w:pPr>
      <w:r w:rsidRPr="002F51DD">
        <w:rPr>
          <w:b w:val="0"/>
          <w:sz w:val="24"/>
          <w:szCs w:val="24"/>
        </w:rPr>
        <w:t xml:space="preserve">On May 28, 2019, in </w:t>
      </w:r>
      <w:r w:rsidRPr="002F51DD">
        <w:rPr>
          <w:b w:val="0"/>
          <w:sz w:val="24"/>
          <w:szCs w:val="24"/>
          <w:u w:val="single"/>
        </w:rPr>
        <w:t>Wendy B. Dolin v. GlaxoSmith</w:t>
      </w:r>
      <w:r>
        <w:rPr>
          <w:b w:val="0"/>
          <w:sz w:val="24"/>
          <w:szCs w:val="24"/>
          <w:u w:val="single"/>
        </w:rPr>
        <w:t>K</w:t>
      </w:r>
      <w:r w:rsidRPr="002F51DD">
        <w:rPr>
          <w:b w:val="0"/>
          <w:sz w:val="24"/>
          <w:szCs w:val="24"/>
          <w:u w:val="single"/>
        </w:rPr>
        <w:t>line</w:t>
      </w:r>
      <w:r>
        <w:rPr>
          <w:b w:val="0"/>
          <w:sz w:val="24"/>
          <w:szCs w:val="24"/>
          <w:u w:val="single"/>
        </w:rPr>
        <w:t>, LLC</w:t>
      </w:r>
      <w:r w:rsidRPr="002F51DD">
        <w:rPr>
          <w:b w:val="0"/>
          <w:sz w:val="24"/>
          <w:szCs w:val="24"/>
        </w:rPr>
        <w:t xml:space="preserve">, the U.S. Supreme Court declined to hear the appeal of widow of </w:t>
      </w:r>
      <w:proofErr w:type="gramStart"/>
      <w:r w:rsidRPr="002F51DD">
        <w:rPr>
          <w:b w:val="0"/>
          <w:sz w:val="24"/>
          <w:szCs w:val="24"/>
        </w:rPr>
        <w:t>57-year old</w:t>
      </w:r>
      <w:proofErr w:type="gramEnd"/>
      <w:r w:rsidRPr="002F51DD">
        <w:rPr>
          <w:b w:val="0"/>
          <w:sz w:val="24"/>
          <w:szCs w:val="24"/>
        </w:rPr>
        <w:t xml:space="preserve"> attorney who committed suicide after taking Paxil.  Thereby leaving in place the decision of the U.S. Court of Appeals for the 7</w:t>
      </w:r>
      <w:r w:rsidRPr="002F51DD">
        <w:rPr>
          <w:b w:val="0"/>
          <w:sz w:val="24"/>
          <w:szCs w:val="24"/>
          <w:vertAlign w:val="superscript"/>
        </w:rPr>
        <w:t>th</w:t>
      </w:r>
      <w:r w:rsidRPr="002F51DD">
        <w:rPr>
          <w:b w:val="0"/>
          <w:sz w:val="24"/>
          <w:szCs w:val="24"/>
        </w:rPr>
        <w:t xml:space="preserve"> Circuit, which had set aside $3 million jury verdict for widow.  </w:t>
      </w:r>
      <w:hyperlink r:id="rId332" w:history="1">
        <w:r w:rsidRPr="002F51DD">
          <w:rPr>
            <w:rStyle w:val="Hyperlink"/>
            <w:b w:val="0"/>
            <w:sz w:val="24"/>
            <w:szCs w:val="24"/>
          </w:rPr>
          <w:t>https://www.supremecourt.gov/orders/courtorders/052819zor_2dq3.pdf</w:t>
        </w:r>
      </w:hyperlink>
      <w:r w:rsidRPr="002F51DD">
        <w:rPr>
          <w:b w:val="0"/>
          <w:sz w:val="24"/>
          <w:szCs w:val="24"/>
        </w:rPr>
        <w:t xml:space="preserve"> </w:t>
      </w:r>
    </w:p>
    <w:p w14:paraId="2963218F" w14:textId="77777777" w:rsidR="00B22CD4" w:rsidRPr="008E1A98" w:rsidRDefault="00B22CD4" w:rsidP="00B22CD4">
      <w:pPr>
        <w:pStyle w:val="NoSpacing"/>
        <w:rPr>
          <w:rFonts w:ascii="Times New Roman" w:hAnsi="Times New Roman"/>
          <w:sz w:val="24"/>
          <w:szCs w:val="24"/>
        </w:rPr>
      </w:pPr>
      <w:r w:rsidRPr="008E1A98">
        <w:rPr>
          <w:rFonts w:ascii="Times New Roman" w:hAnsi="Times New Roman"/>
          <w:sz w:val="24"/>
          <w:szCs w:val="24"/>
        </w:rPr>
        <w:t>On Aug. 22, 2018, the 7</w:t>
      </w:r>
      <w:r w:rsidRPr="008E1A98">
        <w:rPr>
          <w:rFonts w:ascii="Times New Roman" w:hAnsi="Times New Roman"/>
          <w:sz w:val="24"/>
          <w:szCs w:val="24"/>
          <w:vertAlign w:val="superscript"/>
        </w:rPr>
        <w:t>th</w:t>
      </w:r>
      <w:r w:rsidRPr="008E1A98">
        <w:rPr>
          <w:rFonts w:ascii="Times New Roman" w:hAnsi="Times New Roman"/>
          <w:sz w:val="24"/>
          <w:szCs w:val="24"/>
        </w:rPr>
        <w:t xml:space="preserve"> Circuit held that Food and Drug Administration refused to allow the manufacturer </w:t>
      </w:r>
      <w:r>
        <w:rPr>
          <w:rFonts w:ascii="Times New Roman" w:hAnsi="Times New Roman"/>
          <w:sz w:val="24"/>
          <w:szCs w:val="24"/>
        </w:rPr>
        <w:t xml:space="preserve">to added to Paxil label a warning that the drug may lead to increase in suicide of not only patients under 24, but also in older adults.  The FDA wanted the same, </w:t>
      </w:r>
      <w:r w:rsidRPr="008E1A98">
        <w:rPr>
          <w:rFonts w:ascii="Times New Roman" w:hAnsi="Times New Roman"/>
          <w:sz w:val="24"/>
          <w:szCs w:val="24"/>
        </w:rPr>
        <w:t>uniform warning on all anti-depressant drugs</w:t>
      </w:r>
      <w:r>
        <w:rPr>
          <w:rFonts w:ascii="Times New Roman" w:hAnsi="Times New Roman"/>
          <w:sz w:val="24"/>
          <w:szCs w:val="24"/>
        </w:rPr>
        <w:t xml:space="preserve">.  </w:t>
      </w:r>
      <w:r w:rsidRPr="008E1A98">
        <w:rPr>
          <w:rFonts w:ascii="Times New Roman" w:hAnsi="Times New Roman"/>
          <w:sz w:val="24"/>
          <w:szCs w:val="24"/>
        </w:rPr>
        <w:t xml:space="preserve"> </w:t>
      </w:r>
      <w:hyperlink r:id="rId333" w:history="1">
        <w:r w:rsidRPr="008E1A98">
          <w:rPr>
            <w:rStyle w:val="Hyperlink"/>
            <w:rFonts w:ascii="Times New Roman" w:hAnsi="Times New Roman"/>
            <w:sz w:val="24"/>
            <w:szCs w:val="24"/>
          </w:rPr>
          <w:t>https://law.justia.com/cases/federal/appellate-courts/ca7/17-3030/17-3030-2018-08-22.html</w:t>
        </w:r>
      </w:hyperlink>
      <w:r w:rsidRPr="008E1A98">
        <w:rPr>
          <w:rFonts w:ascii="Times New Roman" w:hAnsi="Times New Roman"/>
          <w:sz w:val="24"/>
          <w:szCs w:val="24"/>
        </w:rPr>
        <w:t xml:space="preserve"> </w:t>
      </w:r>
    </w:p>
    <w:p w14:paraId="5B0B34E7" w14:textId="77777777" w:rsidR="00B22CD4" w:rsidRPr="008E1A98" w:rsidRDefault="00B22CD4" w:rsidP="00B22CD4">
      <w:pPr>
        <w:pStyle w:val="NoSpacing"/>
        <w:rPr>
          <w:rFonts w:ascii="Times New Roman" w:hAnsi="Times New Roman"/>
          <w:sz w:val="24"/>
          <w:szCs w:val="24"/>
        </w:rPr>
      </w:pPr>
    </w:p>
    <w:p w14:paraId="57F96678" w14:textId="77777777" w:rsidR="00B22CD4" w:rsidRPr="008E1A98" w:rsidRDefault="00B22CD4" w:rsidP="00B22CD4">
      <w:pPr>
        <w:pStyle w:val="NoSpacing"/>
        <w:ind w:left="720"/>
        <w:rPr>
          <w:rFonts w:ascii="Times New Roman" w:hAnsi="Times New Roman"/>
          <w:sz w:val="24"/>
          <w:szCs w:val="24"/>
        </w:rPr>
      </w:pPr>
      <w:r w:rsidRPr="008E1A98">
        <w:rPr>
          <w:rFonts w:ascii="Times New Roman" w:hAnsi="Times New Roman"/>
          <w:sz w:val="24"/>
          <w:szCs w:val="24"/>
        </w:rPr>
        <w:t xml:space="preserve">“GSK asked the FDA for permission to modify the paroxetine label as plaintiff argues was needed. The FDA said no, repeatedly. Federal law thus preempted plaintiff’s Illinois‐law claim that GSK should have warned of a risk of adult suicidality on the paroxetine label in 2010. GSK added a similar warning in 2006, and the FDA ordered that GSK remove that label and replace it with a class‐wide SSRI warning in 2007.” </w:t>
      </w:r>
    </w:p>
    <w:bookmarkEnd w:id="60"/>
    <w:p w14:paraId="035FC5ED" w14:textId="77777777" w:rsidR="00B22CD4" w:rsidRDefault="00B22CD4" w:rsidP="00F326E5">
      <w:pPr>
        <w:pStyle w:val="NoSpacing"/>
        <w:rPr>
          <w:rFonts w:ascii="Times New Roman" w:hAnsi="Times New Roman"/>
          <w:sz w:val="24"/>
          <w:szCs w:val="24"/>
        </w:rPr>
      </w:pPr>
    </w:p>
    <w:p w14:paraId="5EE36E18" w14:textId="77777777" w:rsidR="00B22CD4" w:rsidRDefault="00B22CD4" w:rsidP="00B22CD4">
      <w:pPr>
        <w:pStyle w:val="NoSpacing"/>
        <w:rPr>
          <w:rFonts w:ascii="Times New Roman" w:hAnsi="Times New Roman"/>
          <w:b/>
          <w:sz w:val="24"/>
          <w:szCs w:val="24"/>
        </w:rPr>
      </w:pPr>
      <w:bookmarkStart w:id="61" w:name="_Hlk10126496"/>
      <w:r w:rsidRPr="00F26738">
        <w:rPr>
          <w:rFonts w:ascii="Times New Roman" w:hAnsi="Times New Roman"/>
          <w:b/>
          <w:sz w:val="24"/>
          <w:szCs w:val="24"/>
        </w:rPr>
        <w:t>Legal Lessons Learned:</w:t>
      </w:r>
      <w:r>
        <w:rPr>
          <w:rFonts w:ascii="Times New Roman" w:hAnsi="Times New Roman"/>
          <w:b/>
          <w:sz w:val="24"/>
          <w:szCs w:val="24"/>
        </w:rPr>
        <w:t xml:space="preserve">  FDs should have a drug-free workplace policy that requires disclosure of anti-depressant medication that could affect performance of their duties. </w:t>
      </w:r>
    </w:p>
    <w:p w14:paraId="560388DA" w14:textId="77777777" w:rsidR="00B22CD4" w:rsidRDefault="00B22CD4" w:rsidP="00B22CD4">
      <w:pPr>
        <w:pStyle w:val="NoSpacing"/>
        <w:rPr>
          <w:rFonts w:ascii="Times New Roman" w:hAnsi="Times New Roman"/>
          <w:b/>
          <w:sz w:val="24"/>
          <w:szCs w:val="24"/>
        </w:rPr>
      </w:pPr>
    </w:p>
    <w:p w14:paraId="60A5EFE1" w14:textId="77777777" w:rsidR="00B22CD4" w:rsidRPr="0082157F" w:rsidRDefault="00B22CD4" w:rsidP="00B22CD4">
      <w:pPr>
        <w:pStyle w:val="NoSpacing"/>
        <w:ind w:firstLine="720"/>
        <w:rPr>
          <w:rFonts w:ascii="Times New Roman" w:hAnsi="Times New Roman"/>
          <w:sz w:val="24"/>
          <w:szCs w:val="24"/>
        </w:rPr>
      </w:pPr>
      <w:r w:rsidRPr="0082157F">
        <w:rPr>
          <w:rFonts w:ascii="Times New Roman" w:hAnsi="Times New Roman"/>
          <w:sz w:val="24"/>
          <w:szCs w:val="24"/>
        </w:rPr>
        <w:t>See IAFC Position: Drug and Alcohol-Free Awareness, including:</w:t>
      </w:r>
    </w:p>
    <w:p w14:paraId="58F07F07" w14:textId="77777777" w:rsidR="00B22CD4" w:rsidRPr="0082157F" w:rsidRDefault="00B22CD4" w:rsidP="00B22CD4">
      <w:pPr>
        <w:pStyle w:val="NoSpacing"/>
        <w:rPr>
          <w:rFonts w:ascii="Times New Roman" w:hAnsi="Times New Roman"/>
          <w:b/>
          <w:sz w:val="24"/>
          <w:szCs w:val="24"/>
        </w:rPr>
      </w:pPr>
    </w:p>
    <w:p w14:paraId="1D4605CA" w14:textId="77777777" w:rsidR="00B22CD4" w:rsidRDefault="00B22CD4" w:rsidP="00B22CD4">
      <w:pPr>
        <w:pStyle w:val="NoSpacing"/>
        <w:ind w:left="720"/>
        <w:rPr>
          <w:rFonts w:ascii="Times New Roman" w:hAnsi="Times New Roman"/>
          <w:sz w:val="24"/>
          <w:szCs w:val="24"/>
        </w:rPr>
      </w:pPr>
      <w:r>
        <w:rPr>
          <w:rFonts w:ascii="Times New Roman" w:hAnsi="Times New Roman"/>
          <w:sz w:val="24"/>
          <w:szCs w:val="24"/>
        </w:rPr>
        <w:t>“</w:t>
      </w:r>
      <w:r w:rsidRPr="0082157F">
        <w:rPr>
          <w:rFonts w:ascii="Times New Roman" w:hAnsi="Times New Roman"/>
          <w:sz w:val="24"/>
          <w:szCs w:val="24"/>
        </w:rPr>
        <w:t xml:space="preserve">Any personnel using </w:t>
      </w:r>
      <w:proofErr w:type="gramStart"/>
      <w:r w:rsidRPr="0082157F">
        <w:rPr>
          <w:rFonts w:ascii="Times New Roman" w:hAnsi="Times New Roman"/>
          <w:sz w:val="24"/>
          <w:szCs w:val="24"/>
        </w:rPr>
        <w:t>over-the-counter</w:t>
      </w:r>
      <w:proofErr w:type="gramEnd"/>
      <w:r w:rsidRPr="0082157F">
        <w:rPr>
          <w:rFonts w:ascii="Times New Roman" w:hAnsi="Times New Roman"/>
          <w:sz w:val="24"/>
          <w:szCs w:val="24"/>
        </w:rPr>
        <w:t xml:space="preserve"> or prescription medications where potential side effects that may reasonably affect the performance of their duties have been identified by a healthcare provider or manufacturer’s packaging should report their use to their supervisor when they are functioning in a capacity responsible for emergency and non-emergency operations. Upon notification, supervisors should, in the case of prescription medications, direct personnel to obtain appropriate documentation from the prescribing healthcare provider attesting to the medication’s safety while performing the essential duties of the fire service position. In the case of over-the-counter medications, supervisors should contact the fire department physician or other health care provider to consult on the potential side effects. Personnel should refrain from engaging in such activities until the appropriate release is </w:t>
      </w:r>
      <w:proofErr w:type="gramStart"/>
      <w:r w:rsidRPr="0082157F">
        <w:rPr>
          <w:rFonts w:ascii="Times New Roman" w:hAnsi="Times New Roman"/>
          <w:sz w:val="24"/>
          <w:szCs w:val="24"/>
        </w:rPr>
        <w:t>obtained.</w:t>
      </w:r>
      <w:r>
        <w:rPr>
          <w:rFonts w:ascii="Times New Roman" w:hAnsi="Times New Roman"/>
          <w:sz w:val="24"/>
          <w:szCs w:val="24"/>
        </w:rPr>
        <w:t>”</w:t>
      </w:r>
      <w:proofErr w:type="gramEnd"/>
    </w:p>
    <w:p w14:paraId="2258CC7C" w14:textId="77777777" w:rsidR="00B22CD4" w:rsidRPr="0082157F" w:rsidRDefault="00B22CD4" w:rsidP="00B22CD4">
      <w:pPr>
        <w:pStyle w:val="NoSpacing"/>
        <w:ind w:left="720"/>
        <w:rPr>
          <w:rFonts w:ascii="Times New Roman" w:hAnsi="Times New Roman"/>
          <w:b/>
          <w:sz w:val="24"/>
          <w:szCs w:val="24"/>
        </w:rPr>
      </w:pPr>
      <w:hyperlink r:id="rId334" w:history="1">
        <w:r w:rsidRPr="0082157F">
          <w:rPr>
            <w:rStyle w:val="Hyperlink"/>
            <w:rFonts w:ascii="Times New Roman" w:hAnsi="Times New Roman"/>
            <w:sz w:val="24"/>
            <w:szCs w:val="24"/>
          </w:rPr>
          <w:t>https://www.iafc.org/topics-and-tools/resources/resource/iafc-position-drug-and-alcohol-free-awareness</w:t>
        </w:r>
      </w:hyperlink>
      <w:r w:rsidRPr="0082157F">
        <w:rPr>
          <w:rFonts w:ascii="Times New Roman" w:hAnsi="Times New Roman"/>
          <w:sz w:val="24"/>
          <w:szCs w:val="24"/>
        </w:rPr>
        <w:t xml:space="preserve"> </w:t>
      </w:r>
      <w:bookmarkEnd w:id="61"/>
    </w:p>
    <w:p w14:paraId="76DB7EF2" w14:textId="77777777" w:rsidR="00B22CD4" w:rsidRDefault="00B22CD4" w:rsidP="00F326E5">
      <w:pPr>
        <w:pStyle w:val="NoSpacing"/>
        <w:rPr>
          <w:rFonts w:ascii="Times New Roman" w:hAnsi="Times New Roman"/>
          <w:sz w:val="24"/>
          <w:szCs w:val="24"/>
        </w:rPr>
      </w:pPr>
    </w:p>
    <w:p w14:paraId="2B489FC9" w14:textId="1C85579B" w:rsidR="00B22CD4" w:rsidRDefault="00B22CD4" w:rsidP="00F326E5">
      <w:pPr>
        <w:pStyle w:val="NoSpacing"/>
        <w:rPr>
          <w:rFonts w:ascii="Times New Roman" w:hAnsi="Times New Roman"/>
          <w:sz w:val="24"/>
          <w:szCs w:val="24"/>
        </w:rPr>
      </w:pPr>
    </w:p>
    <w:p w14:paraId="49F22C3D" w14:textId="6A980B75" w:rsidR="00F4486C" w:rsidRDefault="00F4486C" w:rsidP="00F326E5">
      <w:pPr>
        <w:pStyle w:val="NoSpacing"/>
        <w:rPr>
          <w:rFonts w:ascii="Times New Roman" w:hAnsi="Times New Roman"/>
          <w:sz w:val="24"/>
          <w:szCs w:val="24"/>
        </w:rPr>
      </w:pPr>
    </w:p>
    <w:p w14:paraId="65FC6589" w14:textId="77777777" w:rsidR="00F4486C" w:rsidRDefault="00F4486C" w:rsidP="00F326E5">
      <w:pPr>
        <w:pStyle w:val="NoSpacing"/>
        <w:rPr>
          <w:rFonts w:ascii="Times New Roman" w:hAnsi="Times New Roman"/>
          <w:sz w:val="24"/>
          <w:szCs w:val="24"/>
        </w:rPr>
      </w:pPr>
    </w:p>
    <w:p w14:paraId="2575213C" w14:textId="58EC5B0D"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2</w:t>
      </w:r>
      <w:r w:rsidR="00637A12">
        <w:rPr>
          <w:rFonts w:ascii="Arial Black" w:hAnsi="Arial Black"/>
          <w:b/>
          <w:sz w:val="24"/>
          <w:szCs w:val="24"/>
        </w:rPr>
        <w:t>7</w:t>
      </w:r>
    </w:p>
    <w:p w14:paraId="071AA3F8" w14:textId="77777777" w:rsidR="00B22CD4" w:rsidRDefault="00B22CD4" w:rsidP="00F326E5">
      <w:pPr>
        <w:pStyle w:val="NoSpacing"/>
        <w:rPr>
          <w:rFonts w:ascii="Times New Roman" w:hAnsi="Times New Roman"/>
          <w:sz w:val="24"/>
          <w:szCs w:val="24"/>
        </w:rPr>
      </w:pPr>
    </w:p>
    <w:p w14:paraId="413B3DE8" w14:textId="588EF400" w:rsidR="00F326E5" w:rsidRDefault="00F326E5" w:rsidP="00F326E5">
      <w:pPr>
        <w:pStyle w:val="NoSpacing"/>
        <w:rPr>
          <w:rFonts w:ascii="Arial Black" w:hAnsi="Arial Black"/>
          <w:sz w:val="28"/>
          <w:szCs w:val="28"/>
        </w:rPr>
      </w:pPr>
      <w:r w:rsidRPr="00CE4550">
        <w:rPr>
          <w:rFonts w:ascii="Arial Black" w:hAnsi="Arial Black"/>
          <w:sz w:val="28"/>
          <w:szCs w:val="28"/>
        </w:rPr>
        <w:t xml:space="preserve">IL: </w:t>
      </w:r>
      <w:r>
        <w:rPr>
          <w:rFonts w:ascii="Arial Black" w:hAnsi="Arial Black"/>
          <w:sz w:val="28"/>
          <w:szCs w:val="28"/>
        </w:rPr>
        <w:t>BILLING FOR FD SERVICES – ORDINANCE LAWFUL TO BILL NON-RESIDENTS</w:t>
      </w:r>
    </w:p>
    <w:p w14:paraId="0B0A7BEE" w14:textId="77777777" w:rsidR="006C7F17" w:rsidRDefault="00F326E5" w:rsidP="00F326E5">
      <w:pPr>
        <w:pStyle w:val="NoSpacing"/>
        <w:rPr>
          <w:rFonts w:ascii="Times New Roman" w:hAnsi="Times New Roman"/>
          <w:sz w:val="24"/>
          <w:szCs w:val="24"/>
        </w:rPr>
      </w:pPr>
      <w:r w:rsidRPr="00015208">
        <w:rPr>
          <w:rFonts w:ascii="Times New Roman" w:hAnsi="Times New Roman"/>
          <w:sz w:val="24"/>
          <w:szCs w:val="24"/>
        </w:rPr>
        <w:t xml:space="preserve">On March 28, 2019, in </w:t>
      </w:r>
      <w:r w:rsidRPr="00015208">
        <w:rPr>
          <w:rFonts w:ascii="Times New Roman" w:hAnsi="Times New Roman"/>
          <w:sz w:val="24"/>
          <w:szCs w:val="24"/>
          <w:u w:val="single"/>
        </w:rPr>
        <w:t>The City of Effingham, Illinois v. Diss Truck &amp; Repair, LLC</w:t>
      </w:r>
      <w:r w:rsidRPr="00015208">
        <w:rPr>
          <w:rFonts w:ascii="Times New Roman" w:hAnsi="Times New Roman"/>
          <w:sz w:val="24"/>
          <w:szCs w:val="24"/>
        </w:rPr>
        <w:t xml:space="preserve">, the Appellate Court of Illinois - Fifth District, held (3 to 0), that the Fire Department may bill for these services for a non-resident. </w:t>
      </w:r>
    </w:p>
    <w:p w14:paraId="54BA1A75" w14:textId="77777777" w:rsidR="006C7F17" w:rsidRDefault="006C7F17" w:rsidP="00F326E5">
      <w:pPr>
        <w:pStyle w:val="NoSpacing"/>
        <w:rPr>
          <w:rFonts w:ascii="Times New Roman" w:hAnsi="Times New Roman"/>
          <w:sz w:val="24"/>
          <w:szCs w:val="24"/>
        </w:rPr>
      </w:pPr>
    </w:p>
    <w:p w14:paraId="18C2C433" w14:textId="2C41006D" w:rsidR="00F326E5" w:rsidRPr="00015208" w:rsidRDefault="00F326E5" w:rsidP="006C7F17">
      <w:pPr>
        <w:pStyle w:val="NoSpacing"/>
        <w:ind w:left="720"/>
        <w:rPr>
          <w:rFonts w:ascii="Times New Roman" w:hAnsi="Times New Roman"/>
          <w:b/>
          <w:sz w:val="24"/>
          <w:szCs w:val="24"/>
        </w:rPr>
      </w:pPr>
      <w:r w:rsidRPr="00015208">
        <w:rPr>
          <w:rFonts w:ascii="Times New Roman" w:hAnsi="Times New Roman"/>
          <w:sz w:val="24"/>
          <w:szCs w:val="24"/>
        </w:rPr>
        <w:t xml:space="preserve">“After reviewing the legislative history, both before and after the enactment of the statute, we conclude that the legislature’s intent in allowing a municipality to seek reimbursement for firefighting services provided to nonresidents was to eliminate the taxpayer’s burden for such services; the intent was to allocate the cost of the services to nonresidents so that the citizens of the municipality were not forced to bear the cost of services performed on behalf of those not paying taxes to the municipality.” </w:t>
      </w:r>
      <w:hyperlink r:id="rId335" w:history="1">
        <w:r w:rsidRPr="00015208">
          <w:rPr>
            <w:rStyle w:val="Hyperlink"/>
            <w:rFonts w:ascii="Times New Roman" w:hAnsi="Times New Roman"/>
            <w:sz w:val="24"/>
            <w:szCs w:val="24"/>
          </w:rPr>
          <w:t>https://cases.justia.com/illinois/court-of-appeals-fifth-appellate-district/2019-5-18-0064.pdf?ts=1553818548</w:t>
        </w:r>
      </w:hyperlink>
      <w:r w:rsidRPr="00015208">
        <w:rPr>
          <w:rFonts w:ascii="Times New Roman" w:hAnsi="Times New Roman"/>
          <w:b/>
          <w:sz w:val="24"/>
          <w:szCs w:val="24"/>
        </w:rPr>
        <w:t xml:space="preserve"> </w:t>
      </w:r>
    </w:p>
    <w:p w14:paraId="4895AA6D" w14:textId="77777777" w:rsidR="006C7F17" w:rsidRDefault="006C7F17" w:rsidP="00F326E5">
      <w:pPr>
        <w:pStyle w:val="NoSpacing"/>
        <w:rPr>
          <w:rFonts w:ascii="Times New Roman" w:hAnsi="Times New Roman"/>
          <w:b/>
          <w:sz w:val="24"/>
          <w:szCs w:val="24"/>
        </w:rPr>
      </w:pPr>
      <w:bookmarkStart w:id="62" w:name="_Hlk6656862"/>
    </w:p>
    <w:p w14:paraId="02EDA6FB" w14:textId="0295D193" w:rsidR="00F326E5" w:rsidRPr="00015208" w:rsidRDefault="00F326E5" w:rsidP="00F326E5">
      <w:pPr>
        <w:pStyle w:val="NoSpacing"/>
        <w:rPr>
          <w:rFonts w:ascii="Times New Roman" w:hAnsi="Times New Roman"/>
          <w:b/>
          <w:sz w:val="24"/>
          <w:szCs w:val="24"/>
        </w:rPr>
      </w:pPr>
      <w:r w:rsidRPr="00015208">
        <w:rPr>
          <w:rFonts w:ascii="Times New Roman" w:hAnsi="Times New Roman"/>
          <w:b/>
          <w:sz w:val="24"/>
          <w:szCs w:val="24"/>
        </w:rPr>
        <w:t xml:space="preserve">Legal Lessons Learned:  Soft billing of residents deemed lawful. </w:t>
      </w:r>
    </w:p>
    <w:bookmarkEnd w:id="62"/>
    <w:p w14:paraId="37411F91" w14:textId="77777777" w:rsidR="00D07E6E" w:rsidRPr="00015208" w:rsidRDefault="00D07E6E" w:rsidP="00F326E5">
      <w:pPr>
        <w:pStyle w:val="NoSpacing"/>
        <w:rPr>
          <w:rFonts w:ascii="Times New Roman" w:hAnsi="Times New Roman"/>
          <w:bCs/>
          <w:sz w:val="24"/>
          <w:szCs w:val="24"/>
        </w:rPr>
      </w:pPr>
    </w:p>
    <w:p w14:paraId="4650D12A" w14:textId="3D7B7B5F" w:rsidR="00791CA3" w:rsidRDefault="00791CA3" w:rsidP="00791CA3">
      <w:pPr>
        <w:rPr>
          <w:rFonts w:ascii="Arial Black" w:hAnsi="Arial Black"/>
          <w:b/>
          <w:sz w:val="24"/>
          <w:szCs w:val="24"/>
        </w:rPr>
      </w:pPr>
    </w:p>
    <w:p w14:paraId="4538AD60" w14:textId="77777777" w:rsidR="006C7F17" w:rsidRDefault="006C7F17" w:rsidP="00791CA3">
      <w:pPr>
        <w:rPr>
          <w:rFonts w:ascii="Arial Black" w:hAnsi="Arial Black"/>
          <w:b/>
          <w:sz w:val="24"/>
          <w:szCs w:val="24"/>
        </w:rPr>
      </w:pPr>
    </w:p>
    <w:p w14:paraId="1333F74C" w14:textId="151B39C1"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2</w:t>
      </w:r>
      <w:r w:rsidR="00637A12">
        <w:rPr>
          <w:rFonts w:ascii="Arial Black" w:hAnsi="Arial Black"/>
          <w:b/>
          <w:sz w:val="24"/>
          <w:szCs w:val="24"/>
        </w:rPr>
        <w:t>6</w:t>
      </w:r>
    </w:p>
    <w:p w14:paraId="69863D94" w14:textId="7F3377FE" w:rsidR="00B22CD4" w:rsidRDefault="00B22CD4" w:rsidP="00B22CD4">
      <w:pPr>
        <w:pStyle w:val="NoSpacing"/>
        <w:rPr>
          <w:rFonts w:ascii="Arial Black" w:hAnsi="Arial Black"/>
          <w:sz w:val="28"/>
          <w:szCs w:val="28"/>
        </w:rPr>
      </w:pPr>
      <w:proofErr w:type="spellStart"/>
      <w:r>
        <w:rPr>
          <w:rFonts w:ascii="Arial Black" w:hAnsi="Arial Black"/>
          <w:sz w:val="28"/>
          <w:szCs w:val="28"/>
        </w:rPr>
        <w:t>lA</w:t>
      </w:r>
      <w:proofErr w:type="spellEnd"/>
      <w:r>
        <w:rPr>
          <w:rFonts w:ascii="Arial Black" w:hAnsi="Arial Black"/>
          <w:sz w:val="28"/>
          <w:szCs w:val="28"/>
        </w:rPr>
        <w:t xml:space="preserve">:  STATE SUP. CT. UPHOLDS STATUTE - NO PAYROLL DEDUCT. OF UNION DUES – LIMITED COLLECTIVE BARG. LESS 30% PUB SAFETY </w:t>
      </w:r>
    </w:p>
    <w:p w14:paraId="24BDA04F" w14:textId="77777777" w:rsidR="00B22CD4" w:rsidRPr="00AD3B98" w:rsidRDefault="00B22CD4" w:rsidP="00B22CD4">
      <w:pPr>
        <w:pStyle w:val="NoSpacing"/>
        <w:rPr>
          <w:rFonts w:ascii="Times New Roman" w:hAnsi="Times New Roman"/>
          <w:sz w:val="24"/>
          <w:szCs w:val="24"/>
        </w:rPr>
      </w:pPr>
      <w:r w:rsidRPr="00AD3B98">
        <w:rPr>
          <w:rFonts w:ascii="Times New Roman" w:hAnsi="Times New Roman"/>
          <w:sz w:val="24"/>
          <w:szCs w:val="24"/>
        </w:rPr>
        <w:t xml:space="preserve">On May 17, 2019, in </w:t>
      </w:r>
      <w:r w:rsidRPr="00AD3B98">
        <w:rPr>
          <w:rFonts w:ascii="Times New Roman" w:hAnsi="Times New Roman"/>
          <w:sz w:val="24"/>
          <w:szCs w:val="24"/>
          <w:u w:val="single"/>
        </w:rPr>
        <w:t xml:space="preserve">AFSCME Iowa Council 61, et al. v. State of Iowa and Iowa </w:t>
      </w:r>
      <w:proofErr w:type="gramStart"/>
      <w:r w:rsidRPr="00AD3B98">
        <w:rPr>
          <w:rFonts w:ascii="Times New Roman" w:hAnsi="Times New Roman"/>
          <w:sz w:val="24"/>
          <w:szCs w:val="24"/>
          <w:u w:val="single"/>
        </w:rPr>
        <w:t>Public Employment</w:t>
      </w:r>
      <w:proofErr w:type="gramEnd"/>
      <w:r w:rsidRPr="00AD3B98">
        <w:rPr>
          <w:rFonts w:ascii="Times New Roman" w:hAnsi="Times New Roman"/>
          <w:sz w:val="24"/>
          <w:szCs w:val="24"/>
          <w:u w:val="single"/>
        </w:rPr>
        <w:t xml:space="preserve"> Relations Board</w:t>
      </w:r>
      <w:r w:rsidRPr="00AD3B98">
        <w:rPr>
          <w:rFonts w:ascii="Times New Roman" w:hAnsi="Times New Roman"/>
          <w:sz w:val="24"/>
          <w:szCs w:val="24"/>
        </w:rPr>
        <w:t>, the Iowa Supreme Court held (4 to 3)</w:t>
      </w:r>
      <w:r>
        <w:rPr>
          <w:rFonts w:ascii="Times New Roman" w:hAnsi="Times New Roman"/>
          <w:sz w:val="24"/>
          <w:szCs w:val="24"/>
        </w:rPr>
        <w:t xml:space="preserve"> </w:t>
      </w:r>
      <w:r w:rsidRPr="00AD3B98">
        <w:rPr>
          <w:rFonts w:ascii="Times New Roman" w:hAnsi="Times New Roman"/>
          <w:sz w:val="24"/>
          <w:szCs w:val="24"/>
        </w:rPr>
        <w:t>that the 2017 statute was constitutional.</w:t>
      </w:r>
    </w:p>
    <w:p w14:paraId="19BBAA2D" w14:textId="77777777" w:rsidR="00B22CD4" w:rsidRPr="00AD3B98" w:rsidRDefault="00B22CD4" w:rsidP="00B22CD4">
      <w:pPr>
        <w:pStyle w:val="NoSpacing"/>
        <w:rPr>
          <w:rFonts w:ascii="Times New Roman" w:hAnsi="Times New Roman"/>
        </w:rPr>
      </w:pPr>
    </w:p>
    <w:p w14:paraId="4F7C5205" w14:textId="77777777" w:rsidR="00B22CD4" w:rsidRPr="006C2CBF" w:rsidRDefault="00B22CD4" w:rsidP="00B22CD4">
      <w:pPr>
        <w:pStyle w:val="NoSpacing"/>
        <w:ind w:left="720"/>
        <w:rPr>
          <w:rFonts w:ascii="Times New Roman" w:hAnsi="Times New Roman"/>
          <w:b/>
          <w:sz w:val="24"/>
          <w:szCs w:val="24"/>
        </w:rPr>
      </w:pPr>
      <w:r w:rsidRPr="006C2CBF">
        <w:rPr>
          <w:rFonts w:ascii="Times New Roman" w:hAnsi="Times New Roman"/>
          <w:sz w:val="24"/>
          <w:szCs w:val="24"/>
        </w:rPr>
        <w:t xml:space="preserve">“Our role is to decide whether constitutional lines were crossed, not to sit as a </w:t>
      </w:r>
      <w:proofErr w:type="gramStart"/>
      <w:r w:rsidRPr="006C2CBF">
        <w:rPr>
          <w:rFonts w:ascii="Times New Roman" w:hAnsi="Times New Roman"/>
          <w:sz w:val="24"/>
          <w:szCs w:val="24"/>
        </w:rPr>
        <w:t>super</w:t>
      </w:r>
      <w:r>
        <w:rPr>
          <w:rFonts w:ascii="Times New Roman" w:hAnsi="Times New Roman"/>
          <w:sz w:val="24"/>
          <w:szCs w:val="24"/>
        </w:rPr>
        <w:t xml:space="preserve"> </w:t>
      </w:r>
      <w:r w:rsidRPr="006C2CBF">
        <w:rPr>
          <w:rFonts w:ascii="Times New Roman" w:hAnsi="Times New Roman"/>
          <w:sz w:val="24"/>
          <w:szCs w:val="24"/>
        </w:rPr>
        <w:t>legislature rethinking policy choices of the elected branches</w:t>
      </w:r>
      <w:proofErr w:type="gramEnd"/>
      <w:r w:rsidRPr="006C2CBF">
        <w:rPr>
          <w:rFonts w:ascii="Times New Roman" w:hAnsi="Times New Roman"/>
          <w:sz w:val="24"/>
          <w:szCs w:val="24"/>
        </w:rPr>
        <w:t>. We conclude the 2017 amendments withstand the constitutional challenges. The plaintiffs concede there is no constitutional right to public-sector collective bargaining or payroll deductions. The parties agree the equal protection claims are reviewed under the rational basis test. The legislature could reasonably conclude that the goal of keeping labor peace with unions comprised of at least thirty percent public safety employees, and the greater risks faced by emergency first responders, justified the classification. We hold the legislative classifications are not so overinclusive or underinclusive as to be unconstitutional under our highly deferential standard of review. We further hold the amendments do not violate constitutional rights of freedom of association. Public employees remain free to belong to the same unions. Accordingly, we affirm the district court's summary judgment.</w:t>
      </w:r>
      <w:r>
        <w:rPr>
          <w:rFonts w:ascii="Times New Roman" w:hAnsi="Times New Roman"/>
          <w:sz w:val="24"/>
          <w:szCs w:val="24"/>
        </w:rPr>
        <w:t>”</w:t>
      </w:r>
    </w:p>
    <w:p w14:paraId="6F636334" w14:textId="77777777" w:rsidR="00B22CD4" w:rsidRDefault="00B22CD4" w:rsidP="00B22CD4">
      <w:pPr>
        <w:pStyle w:val="NoSpacing"/>
        <w:rPr>
          <w:rFonts w:ascii="Times New Roman" w:hAnsi="Times New Roman"/>
          <w:sz w:val="24"/>
          <w:szCs w:val="24"/>
        </w:rPr>
      </w:pPr>
      <w:r>
        <w:rPr>
          <w:rFonts w:ascii="Times New Roman" w:hAnsi="Times New Roman"/>
          <w:sz w:val="24"/>
          <w:szCs w:val="24"/>
        </w:rPr>
        <w:tab/>
      </w:r>
      <w:hyperlink r:id="rId336" w:history="1">
        <w:r w:rsidRPr="001602A2">
          <w:rPr>
            <w:rStyle w:val="Hyperlink"/>
            <w:rFonts w:ascii="Times New Roman" w:hAnsi="Times New Roman"/>
            <w:sz w:val="24"/>
            <w:szCs w:val="24"/>
          </w:rPr>
          <w:t>https://www.leagle.com/decision/iniaco20190517282</w:t>
        </w:r>
      </w:hyperlink>
      <w:r>
        <w:rPr>
          <w:rFonts w:ascii="Times New Roman" w:hAnsi="Times New Roman"/>
          <w:sz w:val="24"/>
          <w:szCs w:val="24"/>
        </w:rPr>
        <w:t xml:space="preserve"> </w:t>
      </w:r>
    </w:p>
    <w:p w14:paraId="1862C2B6" w14:textId="334E9A67" w:rsidR="00B22CD4" w:rsidRDefault="00B22CD4" w:rsidP="00ED63B1">
      <w:pPr>
        <w:pStyle w:val="NoSpacing"/>
        <w:rPr>
          <w:sz w:val="24"/>
          <w:szCs w:val="24"/>
        </w:rPr>
      </w:pPr>
    </w:p>
    <w:p w14:paraId="114BC2BA" w14:textId="1B89CA5E" w:rsidR="00B22CD4" w:rsidRDefault="00B22CD4" w:rsidP="00B22CD4">
      <w:pPr>
        <w:pStyle w:val="NoSpacing"/>
        <w:rPr>
          <w:rFonts w:ascii="Times New Roman" w:hAnsi="Times New Roman"/>
          <w:b/>
          <w:sz w:val="24"/>
          <w:szCs w:val="24"/>
        </w:rPr>
      </w:pPr>
      <w:bookmarkStart w:id="63" w:name="_Hlk10126588"/>
      <w:r w:rsidRPr="00A14F0A">
        <w:rPr>
          <w:rFonts w:ascii="Times New Roman" w:hAnsi="Times New Roman"/>
          <w:b/>
          <w:sz w:val="24"/>
          <w:szCs w:val="24"/>
        </w:rPr>
        <w:t xml:space="preserve">Legal Lessons Learned: </w:t>
      </w:r>
      <w:r>
        <w:rPr>
          <w:rFonts w:ascii="Times New Roman" w:hAnsi="Times New Roman"/>
          <w:b/>
          <w:sz w:val="24"/>
          <w:szCs w:val="24"/>
        </w:rPr>
        <w:t xml:space="preserve">Collective bargaining for fire &amp; police has been addressed by many state legislatures.  </w:t>
      </w:r>
      <w:r w:rsidRPr="00A265CA">
        <w:rPr>
          <w:rFonts w:ascii="Times New Roman" w:hAnsi="Times New Roman"/>
          <w:b/>
          <w:sz w:val="24"/>
          <w:szCs w:val="24"/>
        </w:rPr>
        <w:t xml:space="preserve">The U.S. Supreme Court’s </w:t>
      </w:r>
      <w:r w:rsidRPr="00A265CA">
        <w:rPr>
          <w:rFonts w:ascii="Times New Roman" w:hAnsi="Times New Roman"/>
          <w:b/>
          <w:sz w:val="24"/>
          <w:szCs w:val="24"/>
          <w:u w:val="single"/>
        </w:rPr>
        <w:t>Janis</w:t>
      </w:r>
      <w:r w:rsidRPr="00A265CA">
        <w:rPr>
          <w:rFonts w:ascii="Times New Roman" w:hAnsi="Times New Roman"/>
          <w:b/>
          <w:sz w:val="24"/>
          <w:szCs w:val="24"/>
        </w:rPr>
        <w:t xml:space="preserve"> decision on June 27, 2018,</w:t>
      </w:r>
      <w:r>
        <w:rPr>
          <w:rFonts w:ascii="Times New Roman" w:hAnsi="Times New Roman"/>
          <w:b/>
          <w:sz w:val="24"/>
          <w:szCs w:val="24"/>
        </w:rPr>
        <w:t xml:space="preserve">  “</w:t>
      </w:r>
      <w:r w:rsidRPr="00A265CA">
        <w:rPr>
          <w:rFonts w:ascii="Times New Roman" w:hAnsi="Times New Roman"/>
          <w:b/>
          <w:sz w:val="24"/>
          <w:szCs w:val="24"/>
        </w:rPr>
        <w:t>States and public-sector unions may no longer extract agency fees from nonconsenting employees</w:t>
      </w:r>
      <w:r>
        <w:rPr>
          <w:rFonts w:ascii="Times New Roman" w:hAnsi="Times New Roman"/>
          <w:b/>
          <w:sz w:val="24"/>
          <w:szCs w:val="24"/>
        </w:rPr>
        <w:t xml:space="preserve">” - </w:t>
      </w:r>
      <w:r w:rsidRPr="00A265CA">
        <w:rPr>
          <w:rFonts w:ascii="Times New Roman" w:hAnsi="Times New Roman"/>
          <w:b/>
          <w:sz w:val="24"/>
          <w:szCs w:val="24"/>
        </w:rPr>
        <w:t>may lead other states to also limit employer deduction of union dues.</w:t>
      </w:r>
      <w:r>
        <w:rPr>
          <w:rFonts w:ascii="Times New Roman" w:hAnsi="Times New Roman"/>
          <w:b/>
          <w:sz w:val="24"/>
          <w:szCs w:val="24"/>
        </w:rPr>
        <w:t xml:space="preserve"> </w:t>
      </w:r>
      <w:bookmarkStart w:id="64" w:name="_Hlk39821565"/>
      <w:r w:rsidR="00F2621E">
        <w:fldChar w:fldCharType="begin"/>
      </w:r>
      <w:r w:rsidR="00F2621E">
        <w:instrText xml:space="preserve"> HYPERLINK "https://www.supremecourt.gov/opinions/17pdf/16-1466_2b3j.pdf" </w:instrText>
      </w:r>
      <w:r w:rsidR="00F2621E">
        <w:fldChar w:fldCharType="separate"/>
      </w:r>
      <w:r w:rsidRPr="001602A2">
        <w:rPr>
          <w:rStyle w:val="Hyperlink"/>
          <w:rFonts w:ascii="Times New Roman" w:hAnsi="Times New Roman"/>
          <w:b/>
          <w:sz w:val="24"/>
          <w:szCs w:val="24"/>
        </w:rPr>
        <w:t>https://www.supremecourt.gov/opinions/17pdf/16-1466_2b3j.pdf</w:t>
      </w:r>
      <w:r w:rsidR="00F2621E">
        <w:rPr>
          <w:rStyle w:val="Hyperlink"/>
          <w:rFonts w:ascii="Times New Roman" w:hAnsi="Times New Roman"/>
          <w:b/>
          <w:sz w:val="24"/>
          <w:szCs w:val="24"/>
        </w:rPr>
        <w:fldChar w:fldCharType="end"/>
      </w:r>
      <w:r>
        <w:rPr>
          <w:rFonts w:ascii="Times New Roman" w:hAnsi="Times New Roman"/>
          <w:b/>
          <w:sz w:val="24"/>
          <w:szCs w:val="24"/>
        </w:rPr>
        <w:t xml:space="preserve"> </w:t>
      </w:r>
      <w:bookmarkEnd w:id="64"/>
    </w:p>
    <w:p w14:paraId="227A24A7" w14:textId="77777777" w:rsidR="00B22CD4" w:rsidRDefault="00B22CD4" w:rsidP="00B22CD4">
      <w:pPr>
        <w:pStyle w:val="NoSpacing"/>
        <w:ind w:firstLine="720"/>
        <w:rPr>
          <w:rFonts w:ascii="Times New Roman" w:hAnsi="Times New Roman"/>
          <w:sz w:val="24"/>
          <w:szCs w:val="24"/>
        </w:rPr>
      </w:pPr>
    </w:p>
    <w:p w14:paraId="42DCCE4B" w14:textId="77777777" w:rsidR="00B22CD4" w:rsidRDefault="00B22CD4" w:rsidP="00B22CD4">
      <w:pPr>
        <w:pStyle w:val="NoSpacing"/>
        <w:ind w:firstLine="720"/>
        <w:rPr>
          <w:rFonts w:ascii="Times New Roman" w:hAnsi="Times New Roman"/>
          <w:sz w:val="24"/>
          <w:szCs w:val="24"/>
        </w:rPr>
      </w:pPr>
      <w:r>
        <w:rPr>
          <w:rFonts w:ascii="Times New Roman" w:hAnsi="Times New Roman"/>
          <w:sz w:val="24"/>
          <w:szCs w:val="24"/>
        </w:rPr>
        <w:t xml:space="preserve">See footnote 4 of the Majority’s decision: </w:t>
      </w:r>
    </w:p>
    <w:p w14:paraId="2BE2F2DB" w14:textId="77777777" w:rsidR="00B22CD4" w:rsidRPr="00A14F0A" w:rsidRDefault="00B22CD4" w:rsidP="00B22CD4">
      <w:pPr>
        <w:spacing w:after="0" w:line="240" w:lineRule="auto"/>
        <w:ind w:left="1440"/>
        <w:rPr>
          <w:rFonts w:ascii="Times New Roman" w:eastAsia="Times New Roman" w:hAnsi="Times New Roman"/>
          <w:sz w:val="24"/>
          <w:szCs w:val="24"/>
        </w:rPr>
      </w:pPr>
      <w:r w:rsidRPr="00A14F0A">
        <w:rPr>
          <w:rFonts w:ascii="Times New Roman" w:eastAsia="Times New Roman" w:hAnsi="Times New Roman"/>
          <w:sz w:val="24"/>
          <w:szCs w:val="24"/>
        </w:rPr>
        <w:t xml:space="preserve">As of 2018, twenty-eight states require collective bargaining. Eric J. Brunner &amp; Andrew Ju, </w:t>
      </w:r>
      <w:r w:rsidRPr="00A14F0A">
        <w:rPr>
          <w:rFonts w:ascii="Times New Roman" w:eastAsia="Times New Roman" w:hAnsi="Times New Roman"/>
          <w:i/>
          <w:iCs/>
          <w:sz w:val="24"/>
          <w:szCs w:val="24"/>
        </w:rPr>
        <w:t>State Collective Bargaining Laws and Public-Sector Pay,</w:t>
      </w:r>
      <w:r w:rsidRPr="00A14F0A">
        <w:rPr>
          <w:rFonts w:ascii="Times New Roman" w:eastAsia="Times New Roman" w:hAnsi="Times New Roman"/>
          <w:sz w:val="24"/>
          <w:szCs w:val="24"/>
        </w:rPr>
        <w:t xml:space="preserve"> 72 ILR Rev. 480, 487 (2019) [hereinafter Brunner &amp; Ju]. Fifteen states allow state employers to decide </w:t>
      </w:r>
      <w:proofErr w:type="gramStart"/>
      <w:r w:rsidRPr="00A14F0A">
        <w:rPr>
          <w:rFonts w:ascii="Times New Roman" w:eastAsia="Times New Roman" w:hAnsi="Times New Roman"/>
          <w:sz w:val="24"/>
          <w:szCs w:val="24"/>
        </w:rPr>
        <w:t>whether or not</w:t>
      </w:r>
      <w:proofErr w:type="gramEnd"/>
      <w:r w:rsidRPr="00A14F0A">
        <w:rPr>
          <w:rFonts w:ascii="Times New Roman" w:eastAsia="Times New Roman" w:hAnsi="Times New Roman"/>
          <w:sz w:val="24"/>
          <w:szCs w:val="24"/>
        </w:rPr>
        <w:t xml:space="preserve"> to collectively bargain. </w:t>
      </w:r>
      <w:r w:rsidRPr="00A14F0A">
        <w:rPr>
          <w:rFonts w:ascii="Times New Roman" w:eastAsia="Times New Roman" w:hAnsi="Times New Roman"/>
          <w:i/>
          <w:iCs/>
          <w:sz w:val="24"/>
          <w:szCs w:val="24"/>
        </w:rPr>
        <w:t>Id.</w:t>
      </w:r>
      <w:r w:rsidRPr="00A14F0A">
        <w:rPr>
          <w:rFonts w:ascii="Times New Roman" w:eastAsia="Times New Roman" w:hAnsi="Times New Roman"/>
          <w:sz w:val="24"/>
          <w:szCs w:val="24"/>
        </w:rPr>
        <w:t xml:space="preserve"> The range of topics public employees </w:t>
      </w:r>
      <w:proofErr w:type="gramStart"/>
      <w:r w:rsidRPr="00A14F0A">
        <w:rPr>
          <w:rFonts w:ascii="Times New Roman" w:eastAsia="Times New Roman" w:hAnsi="Times New Roman"/>
          <w:sz w:val="24"/>
          <w:szCs w:val="24"/>
        </w:rPr>
        <w:t>are able to</w:t>
      </w:r>
      <w:proofErr w:type="gramEnd"/>
      <w:r w:rsidRPr="00A14F0A">
        <w:rPr>
          <w:rFonts w:ascii="Times New Roman" w:eastAsia="Times New Roman" w:hAnsi="Times New Roman"/>
          <w:sz w:val="24"/>
          <w:szCs w:val="24"/>
        </w:rPr>
        <w:t xml:space="preserve"> bargain over varies from state to state, as does the employees' ability to compel arbitration in the event of an impasse. Raskin-Ortiz &amp; Martin at 4-10. Of the states that require or permit collective bargaining, Alabama, Delaware, Idaho, Kentucky, Oklahoma, Rhode Island, and Wyoming have separate bargaining rights for police officers and/or firefighters. </w:t>
      </w:r>
      <w:r w:rsidRPr="00A14F0A">
        <w:rPr>
          <w:rFonts w:ascii="Times New Roman" w:eastAsia="Times New Roman" w:hAnsi="Times New Roman"/>
          <w:i/>
          <w:iCs/>
          <w:sz w:val="24"/>
          <w:szCs w:val="24"/>
        </w:rPr>
        <w:t>Id.</w:t>
      </w:r>
      <w:r w:rsidRPr="00A14F0A">
        <w:rPr>
          <w:rFonts w:ascii="Times New Roman" w:eastAsia="Times New Roman" w:hAnsi="Times New Roman"/>
          <w:sz w:val="24"/>
          <w:szCs w:val="24"/>
        </w:rPr>
        <w:t xml:space="preserve"> Three states—North Carolina, South Carolina, and Virginia—prohibit collective bargaining for any public employees. Brunner &amp; Ju at 487. Arizona and Texas limit collective bargaining to police officers and firefighters, while Georgia limits collective bargaining rights to firefighters alone. </w:t>
      </w:r>
      <w:r w:rsidRPr="00A14F0A">
        <w:rPr>
          <w:rFonts w:ascii="Times New Roman" w:eastAsia="Times New Roman" w:hAnsi="Times New Roman"/>
          <w:i/>
          <w:iCs/>
          <w:sz w:val="24"/>
          <w:szCs w:val="24"/>
        </w:rPr>
        <w:t>Id.</w:t>
      </w:r>
    </w:p>
    <w:p w14:paraId="3C8B8CB5" w14:textId="0184A27D" w:rsidR="00B22CD4" w:rsidRPr="0082157F" w:rsidRDefault="00B22CD4" w:rsidP="00B22CD4">
      <w:pPr>
        <w:pStyle w:val="Heading2"/>
        <w:ind w:left="720"/>
        <w:rPr>
          <w:rFonts w:ascii="Times New Roman" w:hAnsi="Times New Roman"/>
          <w:b w:val="0"/>
          <w:i w:val="0"/>
          <w:sz w:val="24"/>
          <w:szCs w:val="24"/>
        </w:rPr>
      </w:pPr>
      <w:r w:rsidRPr="0082157F">
        <w:rPr>
          <w:rFonts w:ascii="Times New Roman" w:hAnsi="Times New Roman"/>
          <w:b w:val="0"/>
          <w:i w:val="0"/>
          <w:sz w:val="24"/>
          <w:szCs w:val="24"/>
        </w:rPr>
        <w:t xml:space="preserve">See also this </w:t>
      </w:r>
      <w:bookmarkStart w:id="65" w:name="_Hlk39821485"/>
      <w:r w:rsidR="00AF713A">
        <w:rPr>
          <w:rFonts w:ascii="Times New Roman" w:hAnsi="Times New Roman"/>
          <w:b w:val="0"/>
          <w:i w:val="0"/>
          <w:sz w:val="24"/>
          <w:szCs w:val="24"/>
        </w:rPr>
        <w:t xml:space="preserve">May 16, </w:t>
      </w:r>
      <w:proofErr w:type="gramStart"/>
      <w:r w:rsidR="00AF713A">
        <w:rPr>
          <w:rFonts w:ascii="Times New Roman" w:hAnsi="Times New Roman"/>
          <w:b w:val="0"/>
          <w:i w:val="0"/>
          <w:sz w:val="24"/>
          <w:szCs w:val="24"/>
        </w:rPr>
        <w:t>2019</w:t>
      </w:r>
      <w:proofErr w:type="gramEnd"/>
      <w:r w:rsidR="00AF713A">
        <w:rPr>
          <w:rFonts w:ascii="Times New Roman" w:hAnsi="Times New Roman"/>
          <w:b w:val="0"/>
          <w:i w:val="0"/>
          <w:sz w:val="24"/>
          <w:szCs w:val="24"/>
        </w:rPr>
        <w:t xml:space="preserve"> </w:t>
      </w:r>
      <w:r w:rsidRPr="0082157F">
        <w:rPr>
          <w:rFonts w:ascii="Times New Roman" w:hAnsi="Times New Roman"/>
          <w:b w:val="0"/>
          <w:i w:val="0"/>
          <w:sz w:val="24"/>
          <w:szCs w:val="24"/>
        </w:rPr>
        <w:t xml:space="preserve">article: “Union Dues Deductions – Tips for Public Employers” -  </w:t>
      </w:r>
      <w:hyperlink r:id="rId337" w:history="1">
        <w:r w:rsidRPr="005B46AA">
          <w:rPr>
            <w:rStyle w:val="Hyperlink"/>
            <w:rFonts w:ascii="Times New Roman" w:hAnsi="Times New Roman"/>
            <w:b w:val="0"/>
            <w:i w:val="0"/>
            <w:sz w:val="24"/>
            <w:szCs w:val="24"/>
          </w:rPr>
          <w:t>https://fisheldowney.com/union-dues-deductions-tips-public-employers/</w:t>
        </w:r>
      </w:hyperlink>
      <w:r w:rsidRPr="0082157F">
        <w:rPr>
          <w:rFonts w:ascii="Times New Roman" w:hAnsi="Times New Roman"/>
          <w:b w:val="0"/>
          <w:i w:val="0"/>
          <w:sz w:val="24"/>
          <w:szCs w:val="24"/>
        </w:rPr>
        <w:t xml:space="preserve"> </w:t>
      </w:r>
    </w:p>
    <w:bookmarkEnd w:id="63"/>
    <w:bookmarkEnd w:id="65"/>
    <w:p w14:paraId="77AD563B" w14:textId="413C9587" w:rsidR="00F4486C" w:rsidRDefault="00F4486C" w:rsidP="00F4486C">
      <w:pPr>
        <w:pStyle w:val="NoSpacing"/>
        <w:rPr>
          <w:rFonts w:ascii="Times New Roman" w:hAnsi="Times New Roman"/>
          <w:sz w:val="24"/>
          <w:szCs w:val="24"/>
        </w:rPr>
      </w:pPr>
    </w:p>
    <w:p w14:paraId="55B17074" w14:textId="78B94C34" w:rsidR="00791CA3" w:rsidRDefault="00791CA3" w:rsidP="00791CA3">
      <w:pPr>
        <w:rPr>
          <w:rFonts w:ascii="Arial Black" w:hAnsi="Arial Black"/>
          <w:b/>
          <w:sz w:val="24"/>
          <w:szCs w:val="24"/>
        </w:rPr>
      </w:pPr>
    </w:p>
    <w:p w14:paraId="7F6931DF" w14:textId="2D30854D"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2</w:t>
      </w:r>
      <w:r w:rsidR="00637A12">
        <w:rPr>
          <w:rFonts w:ascii="Arial Black" w:hAnsi="Arial Black"/>
          <w:b/>
          <w:sz w:val="24"/>
          <w:szCs w:val="24"/>
        </w:rPr>
        <w:t>5</w:t>
      </w:r>
    </w:p>
    <w:p w14:paraId="01F667B8" w14:textId="748F3CDD" w:rsidR="00B22CD4" w:rsidRPr="00A14F0A" w:rsidRDefault="00B22CD4" w:rsidP="00B22CD4">
      <w:pPr>
        <w:pStyle w:val="NoSpacing"/>
        <w:tabs>
          <w:tab w:val="left" w:pos="2280"/>
        </w:tabs>
        <w:rPr>
          <w:rFonts w:ascii="Arial Black" w:hAnsi="Arial Black"/>
          <w:sz w:val="28"/>
          <w:szCs w:val="28"/>
        </w:rPr>
      </w:pPr>
      <w:bookmarkStart w:id="66" w:name="_Hlk10126640"/>
      <w:r w:rsidRPr="00A14F0A">
        <w:rPr>
          <w:rFonts w:ascii="Arial Black" w:hAnsi="Arial Black"/>
          <w:sz w:val="28"/>
          <w:szCs w:val="28"/>
        </w:rPr>
        <w:t xml:space="preserve">TX: </w:t>
      </w:r>
      <w:r>
        <w:rPr>
          <w:rFonts w:ascii="Arial Black" w:hAnsi="Arial Black"/>
          <w:sz w:val="28"/>
          <w:szCs w:val="28"/>
        </w:rPr>
        <w:t>APARTMENT FIRE - DRUG PARAPHERNALIA IN “PLAIN VIEW” - PD CALLED IN, SEARCH WARRANT – METH CONVICTION UPHELD</w:t>
      </w:r>
    </w:p>
    <w:p w14:paraId="4277D341" w14:textId="77777777" w:rsidR="00B22CD4" w:rsidRDefault="00B22CD4" w:rsidP="00B22CD4">
      <w:pPr>
        <w:pStyle w:val="NoSpacing"/>
        <w:rPr>
          <w:rFonts w:ascii="Times New Roman" w:hAnsi="Times New Roman"/>
          <w:sz w:val="24"/>
          <w:szCs w:val="24"/>
        </w:rPr>
      </w:pPr>
      <w:r w:rsidRPr="00BA2225">
        <w:rPr>
          <w:rFonts w:ascii="Times New Roman" w:hAnsi="Times New Roman"/>
          <w:sz w:val="24"/>
          <w:szCs w:val="24"/>
        </w:rPr>
        <w:t xml:space="preserve">On May 16, 2019, in </w:t>
      </w:r>
      <w:r w:rsidRPr="00BA2225">
        <w:rPr>
          <w:rFonts w:ascii="Times New Roman" w:hAnsi="Times New Roman"/>
          <w:sz w:val="24"/>
          <w:szCs w:val="24"/>
          <w:u w:val="single"/>
        </w:rPr>
        <w:t>Casey Allen Martin v. State of Texas</w:t>
      </w:r>
      <w:r w:rsidRPr="00BA2225">
        <w:rPr>
          <w:rFonts w:ascii="Times New Roman" w:hAnsi="Times New Roman"/>
          <w:sz w:val="24"/>
          <w:szCs w:val="24"/>
        </w:rPr>
        <w:t>, the Court of Appeals of Texas, Second Appellate District (Fort Worth) held (3 to 0) the trial court properly denied the defendant’s motion to suppress the methamphetamine.</w:t>
      </w:r>
      <w:r>
        <w:rPr>
          <w:rFonts w:ascii="Times New Roman" w:hAnsi="Times New Roman"/>
          <w:sz w:val="24"/>
          <w:szCs w:val="24"/>
        </w:rPr>
        <w:t xml:space="preserve">  </w:t>
      </w:r>
    </w:p>
    <w:p w14:paraId="09F03D55" w14:textId="77777777" w:rsidR="00B22CD4" w:rsidRDefault="00B22CD4" w:rsidP="00B22CD4">
      <w:pPr>
        <w:pStyle w:val="NoSpacing"/>
        <w:rPr>
          <w:rFonts w:ascii="Times New Roman" w:hAnsi="Times New Roman"/>
          <w:sz w:val="24"/>
          <w:szCs w:val="24"/>
        </w:rPr>
      </w:pPr>
    </w:p>
    <w:p w14:paraId="606D9BC0" w14:textId="77777777" w:rsidR="00B22CD4" w:rsidRPr="00BA2225" w:rsidRDefault="00B22CD4" w:rsidP="00B22CD4">
      <w:pPr>
        <w:pStyle w:val="NoSpacing"/>
        <w:ind w:left="720"/>
        <w:rPr>
          <w:rFonts w:ascii="Times New Roman" w:hAnsi="Times New Roman"/>
          <w:sz w:val="24"/>
          <w:szCs w:val="24"/>
        </w:rPr>
      </w:pPr>
      <w:r>
        <w:rPr>
          <w:rFonts w:ascii="Times New Roman" w:hAnsi="Times New Roman"/>
          <w:sz w:val="24"/>
          <w:szCs w:val="24"/>
        </w:rPr>
        <w:t>“</w:t>
      </w:r>
      <w:r w:rsidRPr="00BA2225">
        <w:rPr>
          <w:rFonts w:ascii="Times New Roman" w:hAnsi="Times New Roman"/>
          <w:sz w:val="24"/>
          <w:szCs w:val="24"/>
        </w:rPr>
        <w:t>Fire broke out in appellant Casey Allen Martin’s apartment, and firefighters entered to battle the blaze. Firefighters saw drug paraphernalia inside, and they called police in to observe the scene. Officers then obtained a search warrant, which led to the discovery of the methamphetamine that was the basis for Martin’s conviction.</w:t>
      </w:r>
      <w:r>
        <w:rPr>
          <w:rFonts w:ascii="Times New Roman" w:hAnsi="Times New Roman"/>
          <w:sz w:val="24"/>
          <w:szCs w:val="24"/>
        </w:rPr>
        <w:t xml:space="preserve"> </w:t>
      </w:r>
      <w:r w:rsidRPr="00BA2225">
        <w:rPr>
          <w:rFonts w:ascii="Times New Roman" w:hAnsi="Times New Roman"/>
          <w:sz w:val="24"/>
          <w:szCs w:val="24"/>
        </w:rPr>
        <w:t>In one issue, Martin appeals the denial of his motion to suppress. Martin does not dispute that the fire permitted firefighters to enter the apartment. But he contends that the same exigent circumstances did not also authorize officers to enter and observe, in plain view, the same contraband that firefighters had already seen. Because we disagree, we affirm.</w:t>
      </w:r>
    </w:p>
    <w:p w14:paraId="67FD0597" w14:textId="3223F1B5" w:rsidR="00B22CD4" w:rsidRDefault="00B22CD4" w:rsidP="00B22CD4">
      <w:pPr>
        <w:pStyle w:val="NoSpacing"/>
        <w:ind w:left="720"/>
        <w:rPr>
          <w:rFonts w:ascii="Times New Roman" w:hAnsi="Times New Roman"/>
          <w:sz w:val="24"/>
          <w:szCs w:val="24"/>
        </w:rPr>
      </w:pPr>
      <w:hyperlink r:id="rId338" w:history="1">
        <w:r w:rsidRPr="00BA2225">
          <w:rPr>
            <w:rStyle w:val="Hyperlink"/>
            <w:rFonts w:ascii="Times New Roman" w:hAnsi="Times New Roman"/>
            <w:sz w:val="24"/>
            <w:szCs w:val="24"/>
          </w:rPr>
          <w:t>https://cases.justia.com/texas/second-court-of-appeals/2019-02-18-00333-cr.pdf?ts=1558106104</w:t>
        </w:r>
      </w:hyperlink>
      <w:r w:rsidRPr="00BA2225">
        <w:rPr>
          <w:rFonts w:ascii="Times New Roman" w:hAnsi="Times New Roman"/>
          <w:sz w:val="24"/>
          <w:szCs w:val="24"/>
        </w:rPr>
        <w:t xml:space="preserve"> </w:t>
      </w:r>
    </w:p>
    <w:p w14:paraId="27FC7F07" w14:textId="1CA1F3F4" w:rsidR="00B22CD4" w:rsidRDefault="00B22CD4" w:rsidP="00B22CD4">
      <w:pPr>
        <w:pStyle w:val="NoSpacing"/>
        <w:ind w:left="720"/>
        <w:rPr>
          <w:rFonts w:ascii="Times New Roman" w:hAnsi="Times New Roman"/>
          <w:sz w:val="24"/>
          <w:szCs w:val="24"/>
        </w:rPr>
      </w:pPr>
    </w:p>
    <w:p w14:paraId="296EF817" w14:textId="77777777" w:rsidR="00B22CD4" w:rsidRPr="00BA2225" w:rsidRDefault="00B22CD4" w:rsidP="00B22CD4">
      <w:pPr>
        <w:pStyle w:val="NoSpacing"/>
        <w:rPr>
          <w:rFonts w:ascii="Times New Roman" w:hAnsi="Times New Roman"/>
          <w:b/>
          <w:sz w:val="24"/>
          <w:szCs w:val="24"/>
        </w:rPr>
      </w:pPr>
      <w:bookmarkStart w:id="67" w:name="_Hlk10126666"/>
      <w:r w:rsidRPr="00BA2225">
        <w:rPr>
          <w:rFonts w:ascii="Times New Roman" w:hAnsi="Times New Roman"/>
          <w:b/>
          <w:sz w:val="24"/>
          <w:szCs w:val="24"/>
        </w:rPr>
        <w:t>Legal Lessons Learned:</w:t>
      </w:r>
      <w:r>
        <w:rPr>
          <w:rFonts w:ascii="Times New Roman" w:hAnsi="Times New Roman"/>
          <w:b/>
          <w:sz w:val="24"/>
          <w:szCs w:val="24"/>
        </w:rPr>
        <w:t xml:space="preserve"> The “Plain View Rule” is alive and well.  The police probably could have seized the meth and the firearm without a search </w:t>
      </w:r>
      <w:proofErr w:type="gramStart"/>
      <w:r>
        <w:rPr>
          <w:rFonts w:ascii="Times New Roman" w:hAnsi="Times New Roman"/>
          <w:b/>
          <w:sz w:val="24"/>
          <w:szCs w:val="24"/>
        </w:rPr>
        <w:t>warrant, but</w:t>
      </w:r>
      <w:proofErr w:type="gramEnd"/>
      <w:r>
        <w:rPr>
          <w:rFonts w:ascii="Times New Roman" w:hAnsi="Times New Roman"/>
          <w:b/>
          <w:sz w:val="24"/>
          <w:szCs w:val="24"/>
        </w:rPr>
        <w:t xml:space="preserve"> getting the warrant “virtually guaranteed” that a motion to suppress would be denied.</w:t>
      </w:r>
    </w:p>
    <w:bookmarkEnd w:id="67"/>
    <w:p w14:paraId="0C18AB44" w14:textId="77777777" w:rsidR="00B22CD4" w:rsidRPr="00BA2225" w:rsidRDefault="00B22CD4" w:rsidP="00B22CD4">
      <w:pPr>
        <w:pStyle w:val="NoSpacing"/>
        <w:ind w:left="720"/>
        <w:rPr>
          <w:rFonts w:ascii="Times New Roman" w:hAnsi="Times New Roman"/>
          <w:sz w:val="24"/>
          <w:szCs w:val="24"/>
        </w:rPr>
      </w:pPr>
    </w:p>
    <w:bookmarkEnd w:id="66"/>
    <w:p w14:paraId="3807C109" w14:textId="77777777" w:rsidR="006C7F17" w:rsidRDefault="006C7F17" w:rsidP="00791CA3">
      <w:pPr>
        <w:rPr>
          <w:rFonts w:ascii="Arial Black" w:hAnsi="Arial Black"/>
          <w:b/>
          <w:sz w:val="24"/>
          <w:szCs w:val="24"/>
        </w:rPr>
      </w:pPr>
    </w:p>
    <w:p w14:paraId="2AFFFACF" w14:textId="2BE51347" w:rsidR="00D07E6E" w:rsidRDefault="00D07E6E" w:rsidP="00791CA3">
      <w:pPr>
        <w:rPr>
          <w:rFonts w:ascii="Arial Black" w:hAnsi="Arial Black"/>
          <w:b/>
          <w:sz w:val="24"/>
          <w:szCs w:val="24"/>
        </w:rPr>
      </w:pPr>
      <w:r>
        <w:rPr>
          <w:rFonts w:ascii="Arial Black" w:hAnsi="Arial Black"/>
          <w:b/>
          <w:sz w:val="24"/>
          <w:szCs w:val="24"/>
        </w:rPr>
        <w:t>1-2</w:t>
      </w:r>
      <w:r w:rsidR="00637A12">
        <w:rPr>
          <w:rFonts w:ascii="Arial Black" w:hAnsi="Arial Black"/>
          <w:b/>
          <w:sz w:val="24"/>
          <w:szCs w:val="24"/>
        </w:rPr>
        <w:t>4</w:t>
      </w:r>
    </w:p>
    <w:p w14:paraId="4C26BCE1" w14:textId="77777777" w:rsidR="00D07E6E" w:rsidRPr="00D07E6E" w:rsidRDefault="00D07E6E" w:rsidP="00791CA3">
      <w:pPr>
        <w:rPr>
          <w:rFonts w:ascii="Arial Black" w:hAnsi="Arial Black" w:cs="Arial"/>
          <w:b/>
          <w:bCs/>
          <w:sz w:val="28"/>
          <w:szCs w:val="28"/>
        </w:rPr>
      </w:pPr>
      <w:r w:rsidRPr="00D07E6E">
        <w:rPr>
          <w:rFonts w:ascii="Arial Black" w:hAnsi="Arial Black" w:cs="Arial"/>
          <w:b/>
          <w:bCs/>
          <w:sz w:val="28"/>
          <w:szCs w:val="28"/>
        </w:rPr>
        <w:t xml:space="preserve">NY: 911 CALL - ELEVATOR SUDDENLY DROPPED WHILE FDNY AT SCENE – LAWSUIT DISMISSED, “SPECIAL DUTY” RULE </w:t>
      </w:r>
    </w:p>
    <w:p w14:paraId="74893CC1" w14:textId="77777777" w:rsidR="006C7F17" w:rsidRDefault="00D07E6E" w:rsidP="00791CA3">
      <w:pPr>
        <w:rPr>
          <w:rFonts w:ascii="Times New Roman" w:hAnsi="Times New Roman"/>
          <w:sz w:val="24"/>
          <w:szCs w:val="24"/>
        </w:rPr>
      </w:pPr>
      <w:r w:rsidRPr="00015208">
        <w:rPr>
          <w:rFonts w:ascii="Times New Roman" w:hAnsi="Times New Roman"/>
          <w:sz w:val="24"/>
          <w:szCs w:val="24"/>
        </w:rPr>
        <w:t>On April 24, 2019, in Daniel Ortiz v. City of New York, et al, the Supreme Court of New York, Appellate Division, Second Department, 2019 NY Slip Op 03062,</w:t>
      </w:r>
      <w:r w:rsidR="006C7F17">
        <w:rPr>
          <w:rFonts w:ascii="Times New Roman" w:hAnsi="Times New Roman"/>
          <w:sz w:val="24"/>
          <w:szCs w:val="24"/>
        </w:rPr>
        <w:t xml:space="preserve"> </w:t>
      </w:r>
      <w:r w:rsidRPr="00015208">
        <w:rPr>
          <w:rFonts w:ascii="Times New Roman" w:hAnsi="Times New Roman"/>
          <w:sz w:val="24"/>
          <w:szCs w:val="24"/>
        </w:rPr>
        <w:t>held (5 to 0) that the lawsuit was properly dismissed by Kings County judge.</w:t>
      </w:r>
    </w:p>
    <w:p w14:paraId="3FB174CF" w14:textId="21311F44" w:rsidR="00D07E6E" w:rsidRPr="00015208" w:rsidRDefault="00D07E6E" w:rsidP="006C7F17">
      <w:pPr>
        <w:ind w:left="720"/>
        <w:rPr>
          <w:rFonts w:ascii="Times New Roman" w:hAnsi="Times New Roman"/>
          <w:sz w:val="24"/>
          <w:szCs w:val="24"/>
        </w:rPr>
      </w:pPr>
      <w:r w:rsidRPr="00015208">
        <w:rPr>
          <w:rFonts w:ascii="Times New Roman" w:hAnsi="Times New Roman"/>
          <w:sz w:val="24"/>
          <w:szCs w:val="24"/>
        </w:rPr>
        <w:t xml:space="preserve">“Here, the City defendants were acting in a governmental capacity when the plaintiff was injured during the firefighters' rescue operation (see </w:t>
      </w:r>
      <w:proofErr w:type="spellStart"/>
      <w:r w:rsidRPr="00015208">
        <w:rPr>
          <w:rFonts w:ascii="Times New Roman" w:hAnsi="Times New Roman"/>
          <w:sz w:val="24"/>
          <w:szCs w:val="24"/>
        </w:rPr>
        <w:t>Kadymir</w:t>
      </w:r>
      <w:proofErr w:type="spellEnd"/>
      <w:r w:rsidRPr="00015208">
        <w:rPr>
          <w:rFonts w:ascii="Times New Roman" w:hAnsi="Times New Roman"/>
          <w:sz w:val="24"/>
          <w:szCs w:val="24"/>
        </w:rPr>
        <w:t xml:space="preserve"> v New York City Tr. Auth., 55 AD3d 549, 552). The inquiry then turns to whether the </w:t>
      </w:r>
      <w:proofErr w:type="gramStart"/>
      <w:r w:rsidRPr="00015208">
        <w:rPr>
          <w:rFonts w:ascii="Times New Roman" w:hAnsi="Times New Roman"/>
          <w:sz w:val="24"/>
          <w:szCs w:val="24"/>
        </w:rPr>
        <w:t>City</w:t>
      </w:r>
      <w:proofErr w:type="gramEnd"/>
      <w:r w:rsidRPr="00015208">
        <w:rPr>
          <w:rFonts w:ascii="Times New Roman" w:hAnsi="Times New Roman"/>
          <w:sz w:val="24"/>
          <w:szCs w:val="24"/>
        </w:rPr>
        <w:t xml:space="preserve"> defendants owed the plaintiff a special duty (see Applewhite v </w:t>
      </w:r>
      <w:proofErr w:type="spellStart"/>
      <w:r w:rsidRPr="00015208">
        <w:rPr>
          <w:rFonts w:ascii="Times New Roman" w:hAnsi="Times New Roman"/>
          <w:sz w:val="24"/>
          <w:szCs w:val="24"/>
        </w:rPr>
        <w:t>Accuhealth</w:t>
      </w:r>
      <w:proofErr w:type="spellEnd"/>
      <w:r w:rsidRPr="00015208">
        <w:rPr>
          <w:rFonts w:ascii="Times New Roman" w:hAnsi="Times New Roman"/>
          <w:sz w:val="24"/>
          <w:szCs w:val="24"/>
        </w:rPr>
        <w:t xml:space="preserve">, Inc., 21 NY3d at 426). Contrary to the plaintiff's contention that no special duty was required, a special duty was ‘an essential element of the negligence claim itself’ (id.). Because the plaintiff concedes that the City defendants owed him no special duty of care, ‘the analysis ends and liability may not be imputed to the’ City defendants (id.).” </w:t>
      </w:r>
      <w:hyperlink r:id="rId339" w:history="1">
        <w:r w:rsidRPr="00015208">
          <w:rPr>
            <w:rStyle w:val="Hyperlink"/>
            <w:rFonts w:ascii="Times New Roman" w:hAnsi="Times New Roman"/>
            <w:sz w:val="24"/>
            <w:szCs w:val="24"/>
          </w:rPr>
          <w:t>https://law.justia.com/cases/new-york/appellate-division-second-department/2019/2017-01910.html</w:t>
        </w:r>
      </w:hyperlink>
      <w:r w:rsidRPr="00015208">
        <w:rPr>
          <w:rFonts w:ascii="Times New Roman" w:hAnsi="Times New Roman"/>
          <w:sz w:val="24"/>
          <w:szCs w:val="24"/>
        </w:rPr>
        <w:t xml:space="preserve"> </w:t>
      </w:r>
    </w:p>
    <w:p w14:paraId="0073D181" w14:textId="5CFC4257" w:rsidR="00D07E6E" w:rsidRPr="00015208" w:rsidRDefault="00D07E6E" w:rsidP="00791CA3">
      <w:pPr>
        <w:rPr>
          <w:rFonts w:ascii="Times New Roman" w:hAnsi="Times New Roman"/>
          <w:b/>
          <w:bCs/>
          <w:sz w:val="24"/>
          <w:szCs w:val="24"/>
        </w:rPr>
      </w:pPr>
      <w:r w:rsidRPr="00015208">
        <w:rPr>
          <w:rFonts w:ascii="Times New Roman" w:hAnsi="Times New Roman"/>
          <w:b/>
          <w:bCs/>
          <w:sz w:val="24"/>
          <w:szCs w:val="24"/>
        </w:rPr>
        <w:t>Legal Lessons Learned: The “special duty rule” protects municipalities when performing a governmental function.</w:t>
      </w:r>
    </w:p>
    <w:p w14:paraId="0C38FD85" w14:textId="4C412579" w:rsidR="00D07E6E" w:rsidRPr="00015208" w:rsidRDefault="00D07E6E" w:rsidP="00791CA3">
      <w:pPr>
        <w:rPr>
          <w:rFonts w:ascii="Times New Roman" w:hAnsi="Times New Roman"/>
          <w:bCs/>
          <w:sz w:val="24"/>
          <w:szCs w:val="24"/>
        </w:rPr>
      </w:pPr>
    </w:p>
    <w:p w14:paraId="072F49C2" w14:textId="77777777" w:rsidR="00D07E6E" w:rsidRDefault="00D07E6E" w:rsidP="00791CA3">
      <w:pPr>
        <w:rPr>
          <w:rFonts w:ascii="Arial Black" w:hAnsi="Arial Black"/>
          <w:b/>
          <w:sz w:val="24"/>
          <w:szCs w:val="24"/>
        </w:rPr>
      </w:pPr>
    </w:p>
    <w:p w14:paraId="355C8987" w14:textId="6F919A94" w:rsidR="00C17A9D" w:rsidRDefault="00C17A9D" w:rsidP="00791CA3">
      <w:pPr>
        <w:rPr>
          <w:rFonts w:ascii="Arial Black" w:hAnsi="Arial Black"/>
          <w:b/>
          <w:sz w:val="24"/>
          <w:szCs w:val="24"/>
        </w:rPr>
      </w:pPr>
      <w:r>
        <w:rPr>
          <w:rFonts w:ascii="Arial Black" w:hAnsi="Arial Black"/>
          <w:b/>
          <w:sz w:val="24"/>
          <w:szCs w:val="24"/>
        </w:rPr>
        <w:t>1-2</w:t>
      </w:r>
      <w:r w:rsidR="00637A12">
        <w:rPr>
          <w:rFonts w:ascii="Arial Black" w:hAnsi="Arial Black"/>
          <w:b/>
          <w:sz w:val="24"/>
          <w:szCs w:val="24"/>
        </w:rPr>
        <w:t>3</w:t>
      </w:r>
    </w:p>
    <w:p w14:paraId="19ED4F76" w14:textId="77777777" w:rsidR="00015208" w:rsidRDefault="00C17A9D" w:rsidP="00791CA3">
      <w:pPr>
        <w:rPr>
          <w:rFonts w:ascii="Arial" w:hAnsi="Arial" w:cs="Arial"/>
          <w:sz w:val="35"/>
          <w:szCs w:val="35"/>
        </w:rPr>
      </w:pPr>
      <w:r w:rsidRPr="00C17A9D">
        <w:rPr>
          <w:rFonts w:ascii="Arial Black" w:hAnsi="Arial Black"/>
          <w:sz w:val="28"/>
          <w:szCs w:val="28"/>
        </w:rPr>
        <w:t>IL: BILLING FOR FD SEVICES – ORDINANCE LAWFUL TO BILL NON-RESIDENTS, INCLUDING EXTRICATING EMPLOYEE UNDER VEHICLE</w:t>
      </w:r>
      <w:r>
        <w:rPr>
          <w:rFonts w:ascii="Arial" w:hAnsi="Arial" w:cs="Arial"/>
          <w:sz w:val="35"/>
          <w:szCs w:val="35"/>
        </w:rPr>
        <w:t xml:space="preserve"> </w:t>
      </w:r>
    </w:p>
    <w:p w14:paraId="47FA66A7" w14:textId="77777777" w:rsidR="006C7F17" w:rsidRDefault="00C17A9D" w:rsidP="00791CA3">
      <w:pPr>
        <w:rPr>
          <w:rFonts w:ascii="Times New Roman" w:hAnsi="Times New Roman"/>
          <w:sz w:val="24"/>
          <w:szCs w:val="24"/>
        </w:rPr>
      </w:pPr>
      <w:r w:rsidRPr="00015208">
        <w:rPr>
          <w:rFonts w:ascii="Times New Roman" w:hAnsi="Times New Roman"/>
          <w:sz w:val="24"/>
          <w:szCs w:val="24"/>
        </w:rPr>
        <w:t xml:space="preserve">On March 28, 2019, in The City of Effingham, Illinois v. Diss Truck &amp; Repair, LLC, the Appellate Court of Illinois - Fifth District, held (3 to 0) that the Fire Department may bill for these services for a non-resident. </w:t>
      </w:r>
    </w:p>
    <w:p w14:paraId="5F7F2EDA" w14:textId="341FFB8F" w:rsidR="00C17A9D" w:rsidRPr="00015208" w:rsidRDefault="00C17A9D" w:rsidP="006C7F17">
      <w:pPr>
        <w:ind w:left="720"/>
        <w:rPr>
          <w:rFonts w:ascii="Times New Roman" w:hAnsi="Times New Roman"/>
          <w:b/>
          <w:sz w:val="24"/>
          <w:szCs w:val="24"/>
        </w:rPr>
      </w:pPr>
      <w:r w:rsidRPr="00015208">
        <w:rPr>
          <w:rFonts w:ascii="Times New Roman" w:hAnsi="Times New Roman"/>
          <w:sz w:val="24"/>
          <w:szCs w:val="24"/>
        </w:rPr>
        <w:t>“After reviewing the legislative history, both before and after the enactment of the statute, we conclude that the legislature’s intent in allowing a municipality to seek reimbursement for firefighting services provided to nonresidents was to eliminate the taxpayer’s burden for such services; the intent was to allocate the cost of the services to nonresidents so that the citizens of the municipality were not forced to bear the cost of services performed on behalf of those not paying taxes to the municipality.”</w:t>
      </w:r>
      <w:r w:rsidR="006C7F17">
        <w:rPr>
          <w:rFonts w:ascii="Times New Roman" w:hAnsi="Times New Roman"/>
          <w:sz w:val="24"/>
          <w:szCs w:val="24"/>
        </w:rPr>
        <w:t xml:space="preserve"> </w:t>
      </w:r>
      <w:hyperlink r:id="rId340" w:history="1">
        <w:r w:rsidR="006C7F17" w:rsidRPr="002F304C">
          <w:rPr>
            <w:rStyle w:val="Hyperlink"/>
            <w:rFonts w:ascii="Times New Roman" w:hAnsi="Times New Roman"/>
            <w:sz w:val="24"/>
            <w:szCs w:val="24"/>
          </w:rPr>
          <w:t>https://law.justia.com/cases/illinois/court-of-appeals-fifth-appellate-district/2019/5-18-0064.html</w:t>
        </w:r>
      </w:hyperlink>
      <w:r w:rsidR="006C7F17">
        <w:rPr>
          <w:rFonts w:ascii="Times New Roman" w:hAnsi="Times New Roman"/>
          <w:sz w:val="24"/>
          <w:szCs w:val="24"/>
        </w:rPr>
        <w:t xml:space="preserve"> </w:t>
      </w:r>
    </w:p>
    <w:p w14:paraId="4959EE6B" w14:textId="282598F9" w:rsidR="00C17A9D" w:rsidRPr="00015208" w:rsidRDefault="00C17A9D" w:rsidP="00791CA3">
      <w:pPr>
        <w:rPr>
          <w:rFonts w:ascii="Times New Roman" w:hAnsi="Times New Roman"/>
          <w:b/>
          <w:bCs/>
          <w:sz w:val="24"/>
          <w:szCs w:val="24"/>
        </w:rPr>
      </w:pPr>
      <w:r w:rsidRPr="00015208">
        <w:rPr>
          <w:rFonts w:ascii="Times New Roman" w:hAnsi="Times New Roman"/>
          <w:b/>
          <w:bCs/>
          <w:sz w:val="24"/>
          <w:szCs w:val="24"/>
        </w:rPr>
        <w:t>Legal Lessons Learned: Ordinances authorizing billing of non-residents for fire department services are becoming increasingly common.</w:t>
      </w:r>
    </w:p>
    <w:p w14:paraId="35D80C66" w14:textId="77777777" w:rsidR="00015208" w:rsidRDefault="00015208" w:rsidP="00791CA3">
      <w:pPr>
        <w:rPr>
          <w:rFonts w:ascii="Arial Black" w:hAnsi="Arial Black"/>
          <w:b/>
          <w:sz w:val="24"/>
          <w:szCs w:val="24"/>
        </w:rPr>
      </w:pPr>
    </w:p>
    <w:p w14:paraId="5BA77B5B" w14:textId="77777777" w:rsidR="00C17A9D" w:rsidRDefault="00C17A9D" w:rsidP="00791CA3">
      <w:pPr>
        <w:rPr>
          <w:rFonts w:ascii="Arial Black" w:hAnsi="Arial Black"/>
          <w:b/>
          <w:sz w:val="24"/>
          <w:szCs w:val="24"/>
        </w:rPr>
      </w:pPr>
    </w:p>
    <w:p w14:paraId="6AF48E99" w14:textId="15E9BF94" w:rsidR="00B22CD4" w:rsidRDefault="00791CA3" w:rsidP="00791CA3">
      <w:pPr>
        <w:rPr>
          <w:sz w:val="24"/>
          <w:szCs w:val="24"/>
        </w:rPr>
      </w:pPr>
      <w:r w:rsidRPr="00791CA3">
        <w:rPr>
          <w:rFonts w:ascii="Arial Black" w:hAnsi="Arial Black"/>
          <w:b/>
          <w:sz w:val="24"/>
          <w:szCs w:val="24"/>
        </w:rPr>
        <w:t>1-</w:t>
      </w:r>
      <w:r>
        <w:rPr>
          <w:rFonts w:ascii="Arial Black" w:hAnsi="Arial Black"/>
          <w:b/>
          <w:sz w:val="24"/>
          <w:szCs w:val="24"/>
        </w:rPr>
        <w:t>2</w:t>
      </w:r>
      <w:r w:rsidR="00637A12">
        <w:rPr>
          <w:rFonts w:ascii="Arial Black" w:hAnsi="Arial Black"/>
          <w:b/>
          <w:sz w:val="24"/>
          <w:szCs w:val="24"/>
        </w:rPr>
        <w:t>2</w:t>
      </w:r>
    </w:p>
    <w:p w14:paraId="48B44BFB" w14:textId="361ED236" w:rsidR="00ED63B1" w:rsidRDefault="00ED63B1" w:rsidP="00ED63B1">
      <w:pPr>
        <w:pStyle w:val="NoSpacing"/>
        <w:rPr>
          <w:rFonts w:ascii="Arial Black" w:hAnsi="Arial Black"/>
          <w:sz w:val="28"/>
          <w:szCs w:val="28"/>
        </w:rPr>
      </w:pPr>
      <w:r w:rsidRPr="004875B7">
        <w:rPr>
          <w:rFonts w:ascii="Arial Black" w:hAnsi="Arial Black"/>
          <w:sz w:val="28"/>
          <w:szCs w:val="28"/>
        </w:rPr>
        <w:t xml:space="preserve">CO:  ARSON - $3M </w:t>
      </w:r>
      <w:r>
        <w:rPr>
          <w:rFonts w:ascii="Arial Black" w:hAnsi="Arial Black"/>
          <w:sz w:val="28"/>
          <w:szCs w:val="28"/>
        </w:rPr>
        <w:t xml:space="preserve">LOSS TO HOTEL BEING BUILT– NO SECURITY </w:t>
      </w:r>
      <w:r w:rsidRPr="004875B7">
        <w:rPr>
          <w:rFonts w:ascii="Arial Black" w:hAnsi="Arial Black"/>
          <w:sz w:val="28"/>
          <w:szCs w:val="28"/>
        </w:rPr>
        <w:t>FENCE</w:t>
      </w:r>
      <w:r>
        <w:rPr>
          <w:rFonts w:ascii="Arial Black" w:hAnsi="Arial Black"/>
          <w:sz w:val="28"/>
          <w:szCs w:val="28"/>
        </w:rPr>
        <w:t xml:space="preserve">, NO INSURANCE </w:t>
      </w:r>
    </w:p>
    <w:p w14:paraId="5766A52A" w14:textId="77777777" w:rsidR="006C7F17" w:rsidRDefault="00ED63B1" w:rsidP="00ED63B1">
      <w:pPr>
        <w:pStyle w:val="NoSpacing"/>
        <w:rPr>
          <w:rFonts w:ascii="Times New Roman" w:hAnsi="Times New Roman"/>
          <w:sz w:val="24"/>
          <w:szCs w:val="24"/>
        </w:rPr>
      </w:pPr>
      <w:r w:rsidRPr="00015208">
        <w:rPr>
          <w:rFonts w:ascii="Times New Roman" w:hAnsi="Times New Roman"/>
          <w:sz w:val="24"/>
          <w:szCs w:val="24"/>
        </w:rPr>
        <w:t xml:space="preserve">On March 1, 2019, in </w:t>
      </w:r>
      <w:r w:rsidRPr="00015208">
        <w:rPr>
          <w:rFonts w:ascii="Times New Roman" w:hAnsi="Times New Roman"/>
          <w:sz w:val="24"/>
          <w:szCs w:val="24"/>
          <w:u w:val="single"/>
        </w:rPr>
        <w:t>Praetorian Insurance Company v. Axia Contracting, LLC and 255 Blackhawk Hospitality, LLP</w:t>
      </w:r>
      <w:r w:rsidRPr="00015208">
        <w:rPr>
          <w:rFonts w:ascii="Times New Roman" w:hAnsi="Times New Roman"/>
          <w:sz w:val="24"/>
          <w:szCs w:val="24"/>
        </w:rPr>
        <w:t xml:space="preserve">, U.S. District Court Judge William J. Martinez, District of Colorado, granted summary judgment to the insurance company. </w:t>
      </w:r>
    </w:p>
    <w:p w14:paraId="4AA0D21E" w14:textId="77777777" w:rsidR="006C7F17" w:rsidRDefault="006C7F17" w:rsidP="00ED63B1">
      <w:pPr>
        <w:pStyle w:val="NoSpacing"/>
        <w:rPr>
          <w:rFonts w:ascii="Times New Roman" w:hAnsi="Times New Roman"/>
          <w:sz w:val="24"/>
          <w:szCs w:val="24"/>
        </w:rPr>
      </w:pPr>
    </w:p>
    <w:p w14:paraId="47D3A58A" w14:textId="16A99A59" w:rsidR="00ED63B1" w:rsidRDefault="00ED63B1" w:rsidP="006C7F17">
      <w:pPr>
        <w:pStyle w:val="NoSpacing"/>
        <w:ind w:left="720"/>
        <w:rPr>
          <w:rFonts w:ascii="Times New Roman" w:eastAsia="Times New Roman" w:hAnsi="Times New Roman"/>
          <w:bCs/>
          <w:sz w:val="24"/>
          <w:szCs w:val="24"/>
        </w:rPr>
      </w:pPr>
      <w:r w:rsidRPr="00015208">
        <w:rPr>
          <w:rFonts w:ascii="Times New Roman" w:hAnsi="Times New Roman"/>
          <w:sz w:val="24"/>
          <w:szCs w:val="24"/>
        </w:rPr>
        <w:t xml:space="preserve">“On summary judgment, the parties seek clarity from this Court on whether, under the Policy, Defendants’ failure to maintain a protective device, a six-foot fence enclosing the entire job site, which was listed in an endorsement and schedule attached to the contract, relieves Praetorian of its obligation to pay for Defendants’ losses due to fire…. For the reasons discussed below, the Court will grant Praetorian’s Motion for Summary Judgment (‘the Motion’), direct entry of judgment, and terminate this case.” </w:t>
      </w:r>
      <w:hyperlink r:id="rId341" w:history="1">
        <w:r w:rsidRPr="00015208">
          <w:rPr>
            <w:rStyle w:val="Hyperlink"/>
            <w:rFonts w:ascii="Times New Roman" w:eastAsia="Times New Roman" w:hAnsi="Times New Roman"/>
            <w:sz w:val="24"/>
            <w:szCs w:val="24"/>
          </w:rPr>
          <w:t>https://cases.justia.com/federal/district-courts/colorado/codce/1:2017cv02034/173671/65/0.pdf?ts=1551517811</w:t>
        </w:r>
      </w:hyperlink>
      <w:r w:rsidRPr="00015208">
        <w:rPr>
          <w:rFonts w:ascii="Times New Roman" w:eastAsia="Times New Roman" w:hAnsi="Times New Roman"/>
          <w:bCs/>
          <w:sz w:val="24"/>
          <w:szCs w:val="24"/>
        </w:rPr>
        <w:t xml:space="preserve"> </w:t>
      </w:r>
    </w:p>
    <w:p w14:paraId="03930CD2" w14:textId="77777777" w:rsidR="006C7F17" w:rsidRPr="00015208" w:rsidRDefault="006C7F17" w:rsidP="006C7F17">
      <w:pPr>
        <w:pStyle w:val="NoSpacing"/>
        <w:ind w:left="720"/>
        <w:rPr>
          <w:rFonts w:ascii="Times New Roman" w:eastAsia="Times New Roman" w:hAnsi="Times New Roman"/>
          <w:bCs/>
          <w:sz w:val="24"/>
          <w:szCs w:val="24"/>
        </w:rPr>
      </w:pPr>
    </w:p>
    <w:p w14:paraId="1D82724E" w14:textId="77777777" w:rsidR="00ED63B1" w:rsidRPr="00015208" w:rsidRDefault="00ED63B1" w:rsidP="00ED63B1">
      <w:pPr>
        <w:pStyle w:val="NoSpacing"/>
        <w:rPr>
          <w:rFonts w:ascii="Times New Roman" w:hAnsi="Times New Roman"/>
          <w:b/>
          <w:sz w:val="24"/>
          <w:szCs w:val="24"/>
        </w:rPr>
      </w:pPr>
      <w:r w:rsidRPr="00015208">
        <w:rPr>
          <w:rFonts w:ascii="Times New Roman" w:hAnsi="Times New Roman"/>
          <w:b/>
          <w:sz w:val="24"/>
          <w:szCs w:val="24"/>
        </w:rPr>
        <w:t>Legal Lessons Learned:  FDs should encourage owners of large construction sites to enclose the site with fencing and nighttime lights.</w:t>
      </w:r>
    </w:p>
    <w:p w14:paraId="07F65D9E" w14:textId="77777777" w:rsidR="00FB71EA" w:rsidRPr="00015208" w:rsidRDefault="00FB71EA" w:rsidP="00ED63B1">
      <w:pPr>
        <w:pStyle w:val="NoSpacing"/>
        <w:rPr>
          <w:rFonts w:ascii="Times New Roman" w:hAnsi="Times New Roman"/>
          <w:bCs/>
          <w:sz w:val="24"/>
          <w:szCs w:val="24"/>
        </w:rPr>
      </w:pPr>
    </w:p>
    <w:p w14:paraId="05D957A7" w14:textId="77777777" w:rsidR="00F326E5" w:rsidRDefault="00F326E5" w:rsidP="00F326E5">
      <w:pPr>
        <w:pStyle w:val="NoSpacing"/>
        <w:rPr>
          <w:rFonts w:ascii="Times New Roman" w:eastAsia="Times New Roman" w:hAnsi="Times New Roman"/>
          <w:sz w:val="24"/>
          <w:szCs w:val="24"/>
        </w:rPr>
      </w:pPr>
    </w:p>
    <w:p w14:paraId="46AD8CDA" w14:textId="77777777" w:rsidR="00ED63B1" w:rsidRDefault="00ED63B1" w:rsidP="00F326E5">
      <w:pPr>
        <w:pStyle w:val="NoSpacing"/>
        <w:rPr>
          <w:rFonts w:ascii="Times New Roman" w:eastAsia="Times New Roman" w:hAnsi="Times New Roman"/>
          <w:sz w:val="24"/>
          <w:szCs w:val="24"/>
        </w:rPr>
      </w:pPr>
    </w:p>
    <w:p w14:paraId="75B027F1" w14:textId="42604589" w:rsidR="00ED63B1" w:rsidRDefault="00791CA3" w:rsidP="00791CA3">
      <w:pPr>
        <w:rPr>
          <w:rFonts w:ascii="Times New Roman" w:eastAsia="Times New Roman" w:hAnsi="Times New Roman"/>
          <w:sz w:val="24"/>
          <w:szCs w:val="24"/>
        </w:rPr>
      </w:pPr>
      <w:r w:rsidRPr="00791CA3">
        <w:rPr>
          <w:rFonts w:ascii="Arial Black" w:hAnsi="Arial Black"/>
          <w:b/>
          <w:sz w:val="24"/>
          <w:szCs w:val="24"/>
        </w:rPr>
        <w:t>1-</w:t>
      </w:r>
      <w:r w:rsidR="00637A12">
        <w:rPr>
          <w:rFonts w:ascii="Arial Black" w:hAnsi="Arial Black"/>
          <w:b/>
          <w:sz w:val="24"/>
          <w:szCs w:val="24"/>
        </w:rPr>
        <w:t>21</w:t>
      </w:r>
    </w:p>
    <w:p w14:paraId="7E0460AE" w14:textId="5773390F" w:rsidR="00F326E5" w:rsidRDefault="00F326E5" w:rsidP="00F326E5">
      <w:pPr>
        <w:pStyle w:val="NoSpacing"/>
        <w:rPr>
          <w:rFonts w:ascii="Times New Roman" w:hAnsi="Times New Roman"/>
          <w:sz w:val="24"/>
          <w:szCs w:val="24"/>
        </w:rPr>
      </w:pPr>
      <w:bookmarkStart w:id="68" w:name="_Hlk7339238"/>
      <w:r w:rsidRPr="000D5825">
        <w:rPr>
          <w:rFonts w:ascii="Arial Black" w:hAnsi="Arial Black"/>
          <w:b/>
          <w:sz w:val="28"/>
          <w:szCs w:val="28"/>
        </w:rPr>
        <w:t xml:space="preserve">MD:  GOVT IMMUNITY – COUNTY 911 </w:t>
      </w:r>
      <w:r>
        <w:rPr>
          <w:rFonts w:ascii="Arial Black" w:hAnsi="Arial Black"/>
          <w:b/>
          <w:sz w:val="28"/>
          <w:szCs w:val="28"/>
        </w:rPr>
        <w:t xml:space="preserve">SYSTEM </w:t>
      </w:r>
      <w:r w:rsidRPr="000D5825">
        <w:rPr>
          <w:rFonts w:ascii="Arial Black" w:hAnsi="Arial Black"/>
          <w:b/>
          <w:sz w:val="28"/>
          <w:szCs w:val="28"/>
        </w:rPr>
        <w:t>DOWN 3 HOURS</w:t>
      </w:r>
      <w:r>
        <w:rPr>
          <w:rFonts w:ascii="Arial Black" w:hAnsi="Arial Black"/>
          <w:b/>
          <w:sz w:val="28"/>
          <w:szCs w:val="28"/>
        </w:rPr>
        <w:t xml:space="preserve"> – RESIDENT DIED </w:t>
      </w:r>
      <w:r w:rsidRPr="000D5825">
        <w:rPr>
          <w:rFonts w:ascii="Arial Black" w:hAnsi="Arial Black"/>
          <w:b/>
          <w:sz w:val="28"/>
          <w:szCs w:val="28"/>
        </w:rPr>
        <w:t xml:space="preserve"> </w:t>
      </w:r>
      <w:r w:rsidRPr="000D5825">
        <w:rPr>
          <w:rFonts w:ascii="Times New Roman" w:hAnsi="Times New Roman"/>
          <w:sz w:val="24"/>
          <w:szCs w:val="24"/>
        </w:rPr>
        <w:t xml:space="preserve"> </w:t>
      </w:r>
    </w:p>
    <w:p w14:paraId="5B04FA95" w14:textId="77777777" w:rsidR="006C7F17" w:rsidRDefault="006C7F17" w:rsidP="00F326E5">
      <w:pPr>
        <w:pStyle w:val="NoSpacing"/>
        <w:rPr>
          <w:rFonts w:ascii="Times New Roman" w:hAnsi="Times New Roman"/>
          <w:sz w:val="24"/>
          <w:szCs w:val="24"/>
        </w:rPr>
      </w:pPr>
    </w:p>
    <w:p w14:paraId="58A32474" w14:textId="77777777" w:rsidR="006C7F17" w:rsidRDefault="00F326E5" w:rsidP="00F326E5">
      <w:pPr>
        <w:pStyle w:val="NoSpacing"/>
        <w:rPr>
          <w:rFonts w:ascii="Times New Roman" w:hAnsi="Times New Roman"/>
          <w:sz w:val="24"/>
          <w:szCs w:val="24"/>
        </w:rPr>
      </w:pPr>
      <w:r w:rsidRPr="000D5825">
        <w:rPr>
          <w:rFonts w:ascii="Times New Roman" w:hAnsi="Times New Roman"/>
          <w:sz w:val="24"/>
          <w:szCs w:val="24"/>
        </w:rPr>
        <w:t xml:space="preserve">On Feb. 22, 2019, in </w:t>
      </w:r>
      <w:r w:rsidRPr="000D5825">
        <w:rPr>
          <w:rFonts w:ascii="Times New Roman" w:hAnsi="Times New Roman"/>
          <w:sz w:val="24"/>
          <w:szCs w:val="24"/>
          <w:u w:val="single"/>
        </w:rPr>
        <w:t xml:space="preserve">Raul T. </w:t>
      </w:r>
      <w:proofErr w:type="spellStart"/>
      <w:r w:rsidRPr="000D5825">
        <w:rPr>
          <w:rFonts w:ascii="Times New Roman" w:hAnsi="Times New Roman"/>
          <w:sz w:val="24"/>
          <w:szCs w:val="24"/>
          <w:u w:val="single"/>
        </w:rPr>
        <w:t>Aristorenas</w:t>
      </w:r>
      <w:proofErr w:type="spellEnd"/>
      <w:r w:rsidRPr="000D5825">
        <w:rPr>
          <w:rFonts w:ascii="Times New Roman" w:hAnsi="Times New Roman"/>
          <w:sz w:val="24"/>
          <w:szCs w:val="24"/>
          <w:u w:val="single"/>
        </w:rPr>
        <w:t>, et al. v. Montgomery County, Maryland</w:t>
      </w:r>
      <w:r w:rsidRPr="000D5825">
        <w:rPr>
          <w:rFonts w:ascii="Times New Roman" w:hAnsi="Times New Roman"/>
          <w:sz w:val="24"/>
          <w:szCs w:val="24"/>
        </w:rPr>
        <w:t xml:space="preserve">, the Court of Appeals of Maryland, held (3 to 0) in unreported decision upheld the dismissal of the lawsuit by Circuit Court trial judge: </w:t>
      </w:r>
    </w:p>
    <w:p w14:paraId="5BB73285" w14:textId="77777777" w:rsidR="006C7F17" w:rsidRDefault="006C7F17" w:rsidP="00F326E5">
      <w:pPr>
        <w:pStyle w:val="NoSpacing"/>
        <w:rPr>
          <w:rFonts w:ascii="Times New Roman" w:hAnsi="Times New Roman"/>
          <w:sz w:val="24"/>
          <w:szCs w:val="24"/>
        </w:rPr>
      </w:pPr>
    </w:p>
    <w:p w14:paraId="056A9A0A" w14:textId="77777777" w:rsidR="006C7F17" w:rsidRPr="006C7F17" w:rsidRDefault="00F326E5" w:rsidP="006C7F17">
      <w:pPr>
        <w:pStyle w:val="NoSpacing"/>
        <w:ind w:left="720"/>
        <w:rPr>
          <w:rFonts w:ascii="Times New Roman" w:hAnsi="Times New Roman"/>
          <w:sz w:val="24"/>
          <w:szCs w:val="24"/>
        </w:rPr>
      </w:pPr>
      <w:r w:rsidRPr="006C7F17">
        <w:rPr>
          <w:rFonts w:ascii="Times New Roman" w:hAnsi="Times New Roman"/>
          <w:sz w:val="24"/>
          <w:szCs w:val="24"/>
        </w:rPr>
        <w:t>“The [trial] court concluded that the allegations did not state a claim for negligence—which underlies both the wrongful death and the survival claims—because the County is immune from suit and the individual defendants did not owe a duty to Mr. Somarriba or Marlon. We agree and affirm.”</w:t>
      </w:r>
    </w:p>
    <w:p w14:paraId="08FDEA33" w14:textId="76716B15" w:rsidR="00F326E5" w:rsidRPr="006C7F17" w:rsidRDefault="006C7F17" w:rsidP="006C7F17">
      <w:pPr>
        <w:pStyle w:val="NoSpacing"/>
        <w:ind w:left="720"/>
        <w:rPr>
          <w:rFonts w:ascii="Times New Roman" w:hAnsi="Times New Roman"/>
          <w:sz w:val="24"/>
          <w:szCs w:val="24"/>
        </w:rPr>
      </w:pPr>
      <w:hyperlink r:id="rId342" w:history="1">
        <w:r w:rsidRPr="006C7F17">
          <w:rPr>
            <w:rStyle w:val="Hyperlink"/>
            <w:rFonts w:ascii="Times New Roman" w:hAnsi="Times New Roman"/>
            <w:sz w:val="24"/>
            <w:szCs w:val="24"/>
          </w:rPr>
          <w:t>https://mdcourts.gov/sites/default/files/unreported-opinions/2279s17.pdf</w:t>
        </w:r>
      </w:hyperlink>
      <w:r w:rsidR="00F326E5" w:rsidRPr="006C7F17">
        <w:rPr>
          <w:rFonts w:ascii="Times New Roman" w:hAnsi="Times New Roman"/>
          <w:sz w:val="24"/>
          <w:szCs w:val="24"/>
        </w:rPr>
        <w:t xml:space="preserve"> </w:t>
      </w:r>
    </w:p>
    <w:p w14:paraId="43C66349" w14:textId="77777777" w:rsidR="006C7F17" w:rsidRDefault="006C7F17" w:rsidP="00F326E5">
      <w:pPr>
        <w:pStyle w:val="NoSpacing"/>
        <w:rPr>
          <w:rFonts w:ascii="Times New Roman" w:hAnsi="Times New Roman"/>
          <w:b/>
          <w:sz w:val="24"/>
          <w:szCs w:val="24"/>
        </w:rPr>
      </w:pPr>
    </w:p>
    <w:p w14:paraId="100E6B17" w14:textId="51D06BDA" w:rsidR="00F326E5" w:rsidRPr="000D5825" w:rsidRDefault="00F326E5" w:rsidP="00F326E5">
      <w:pPr>
        <w:pStyle w:val="NoSpacing"/>
        <w:rPr>
          <w:rFonts w:ascii="Times New Roman" w:hAnsi="Times New Roman"/>
          <w:b/>
          <w:sz w:val="24"/>
          <w:szCs w:val="24"/>
        </w:rPr>
      </w:pPr>
      <w:r w:rsidRPr="000D5825">
        <w:rPr>
          <w:rFonts w:ascii="Times New Roman" w:hAnsi="Times New Roman"/>
          <w:b/>
          <w:sz w:val="24"/>
          <w:szCs w:val="24"/>
        </w:rPr>
        <w:t xml:space="preserve">Legal Lessons Learned:  This is a tragic case – amazing there was no back up system, or ability to have another 911 Center pick up the calls. </w:t>
      </w:r>
    </w:p>
    <w:bookmarkEnd w:id="68"/>
    <w:p w14:paraId="3EEDA415" w14:textId="77777777" w:rsidR="006C7F17" w:rsidRDefault="006C7F17" w:rsidP="00791CA3">
      <w:pPr>
        <w:rPr>
          <w:rFonts w:ascii="Arial Black" w:hAnsi="Arial Black"/>
          <w:b/>
          <w:sz w:val="24"/>
          <w:szCs w:val="24"/>
        </w:rPr>
      </w:pPr>
    </w:p>
    <w:p w14:paraId="07668947" w14:textId="77777777" w:rsidR="006C7F17" w:rsidRDefault="006C7F17" w:rsidP="00791CA3">
      <w:pPr>
        <w:rPr>
          <w:rFonts w:ascii="Arial Black" w:hAnsi="Arial Black"/>
          <w:b/>
          <w:sz w:val="24"/>
          <w:szCs w:val="24"/>
        </w:rPr>
      </w:pPr>
    </w:p>
    <w:p w14:paraId="079033DB" w14:textId="5A48DD72" w:rsidR="00F326E5" w:rsidRDefault="00791CA3" w:rsidP="00791CA3">
      <w:pPr>
        <w:rPr>
          <w:sz w:val="24"/>
          <w:szCs w:val="24"/>
        </w:rPr>
      </w:pPr>
      <w:r w:rsidRPr="00791CA3">
        <w:rPr>
          <w:rFonts w:ascii="Arial Black" w:hAnsi="Arial Black"/>
          <w:b/>
          <w:sz w:val="24"/>
          <w:szCs w:val="24"/>
        </w:rPr>
        <w:t>1-</w:t>
      </w:r>
      <w:r w:rsidR="00637A12">
        <w:rPr>
          <w:rFonts w:ascii="Arial Black" w:hAnsi="Arial Black"/>
          <w:b/>
          <w:sz w:val="24"/>
          <w:szCs w:val="24"/>
        </w:rPr>
        <w:t>20</w:t>
      </w:r>
    </w:p>
    <w:p w14:paraId="422200A5" w14:textId="7A60CD50" w:rsidR="00F326E5" w:rsidRDefault="00F326E5" w:rsidP="00F326E5">
      <w:pPr>
        <w:pStyle w:val="NoSpacing"/>
        <w:rPr>
          <w:rFonts w:ascii="Arial Black" w:hAnsi="Arial Black"/>
          <w:sz w:val="28"/>
          <w:szCs w:val="28"/>
        </w:rPr>
      </w:pPr>
      <w:bookmarkStart w:id="69" w:name="_Hlk7339326"/>
      <w:r w:rsidRPr="006F4065">
        <w:rPr>
          <w:rFonts w:ascii="Arial Black" w:hAnsi="Arial Black"/>
          <w:sz w:val="28"/>
          <w:szCs w:val="28"/>
        </w:rPr>
        <w:t>U.S. SUPREME COURT:  EXECUTION</w:t>
      </w:r>
      <w:r>
        <w:rPr>
          <w:rFonts w:ascii="Arial Black" w:hAnsi="Arial Black"/>
          <w:sz w:val="28"/>
          <w:szCs w:val="28"/>
        </w:rPr>
        <w:t xml:space="preserve"> – INMATE NOT ENTITLED TO HAVE IMAM PRESENT IN DEATH CHAMBER </w:t>
      </w:r>
    </w:p>
    <w:p w14:paraId="0CAD3B26" w14:textId="77777777" w:rsidR="00637A12" w:rsidRDefault="00637A12" w:rsidP="00F326E5">
      <w:pPr>
        <w:rPr>
          <w:rFonts w:ascii="Times New Roman" w:hAnsi="Times New Roman"/>
          <w:sz w:val="24"/>
          <w:szCs w:val="24"/>
        </w:rPr>
      </w:pPr>
    </w:p>
    <w:p w14:paraId="2D7F9A9A" w14:textId="3FDFEDA9" w:rsidR="00F326E5" w:rsidRPr="00015208" w:rsidRDefault="00F326E5" w:rsidP="00F326E5">
      <w:pPr>
        <w:rPr>
          <w:rStyle w:val="Hyperlink"/>
          <w:rFonts w:ascii="Times New Roman" w:hAnsi="Times New Roman"/>
          <w:sz w:val="24"/>
          <w:szCs w:val="24"/>
        </w:rPr>
      </w:pPr>
      <w:r w:rsidRPr="00015208">
        <w:rPr>
          <w:rFonts w:ascii="Times New Roman" w:hAnsi="Times New Roman"/>
          <w:sz w:val="24"/>
          <w:szCs w:val="24"/>
        </w:rPr>
        <w:t xml:space="preserve">On Feb. 7, 2019, in </w:t>
      </w:r>
      <w:r w:rsidRPr="00015208">
        <w:rPr>
          <w:rFonts w:ascii="Times New Roman" w:hAnsi="Times New Roman"/>
          <w:sz w:val="24"/>
          <w:szCs w:val="24"/>
          <w:u w:val="single"/>
        </w:rPr>
        <w:t>Jefferson S. Dunn, Commissioner, Alabama Department of Corrections v. Dominique Hakim Marcelle Ray</w:t>
      </w:r>
      <w:r w:rsidRPr="00015208">
        <w:rPr>
          <w:rFonts w:ascii="Times New Roman" w:hAnsi="Times New Roman"/>
          <w:sz w:val="24"/>
          <w:szCs w:val="24"/>
        </w:rPr>
        <w:t xml:space="preserve">, </w:t>
      </w:r>
      <w:proofErr w:type="gramStart"/>
      <w:r w:rsidRPr="00015208">
        <w:rPr>
          <w:rFonts w:ascii="Times New Roman" w:hAnsi="Times New Roman"/>
          <w:sz w:val="24"/>
          <w:szCs w:val="24"/>
        </w:rPr>
        <w:t>the majority of</w:t>
      </w:r>
      <w:proofErr w:type="gramEnd"/>
      <w:r w:rsidRPr="00015208">
        <w:rPr>
          <w:rFonts w:ascii="Times New Roman" w:hAnsi="Times New Roman"/>
          <w:sz w:val="24"/>
          <w:szCs w:val="24"/>
        </w:rPr>
        <w:t xml:space="preserve"> Justices [5 to 4] overturned 11</w:t>
      </w:r>
      <w:r w:rsidRPr="00015208">
        <w:rPr>
          <w:rFonts w:ascii="Times New Roman" w:hAnsi="Times New Roman"/>
          <w:sz w:val="24"/>
          <w:szCs w:val="24"/>
          <w:vertAlign w:val="superscript"/>
        </w:rPr>
        <w:t>th</w:t>
      </w:r>
      <w:r w:rsidRPr="00015208">
        <w:rPr>
          <w:rFonts w:ascii="Times New Roman" w:hAnsi="Times New Roman"/>
          <w:sz w:val="24"/>
          <w:szCs w:val="24"/>
        </w:rPr>
        <w:t xml:space="preserve"> Circuit’s Feb. 6, </w:t>
      </w:r>
      <w:proofErr w:type="gramStart"/>
      <w:r w:rsidRPr="00015208">
        <w:rPr>
          <w:rFonts w:ascii="Times New Roman" w:hAnsi="Times New Roman"/>
          <w:sz w:val="24"/>
          <w:szCs w:val="24"/>
        </w:rPr>
        <w:t>2019</w:t>
      </w:r>
      <w:proofErr w:type="gramEnd"/>
      <w:r w:rsidRPr="00015208">
        <w:rPr>
          <w:rFonts w:ascii="Times New Roman" w:hAnsi="Times New Roman"/>
          <w:sz w:val="24"/>
          <w:szCs w:val="24"/>
        </w:rPr>
        <w:t xml:space="preserve"> stay of execution of Ray, who has raped and murdered a </w:t>
      </w:r>
      <w:proofErr w:type="gramStart"/>
      <w:r w:rsidRPr="00015208">
        <w:rPr>
          <w:rFonts w:ascii="Times New Roman" w:hAnsi="Times New Roman"/>
          <w:sz w:val="24"/>
          <w:szCs w:val="24"/>
        </w:rPr>
        <w:t>15-year old</w:t>
      </w:r>
      <w:proofErr w:type="gramEnd"/>
      <w:r w:rsidRPr="00015208">
        <w:rPr>
          <w:rFonts w:ascii="Times New Roman" w:hAnsi="Times New Roman"/>
          <w:sz w:val="24"/>
          <w:szCs w:val="24"/>
        </w:rPr>
        <w:t xml:space="preserve"> girl in 1995.   Ray had asked Alabama prison officials to allow an imam to be in the death chamber, but only correction employees are allowed, including a long employed Christian chaplain. [The State of Alabama then executed the prisoner on Feb. 7, at 10:12 pm.] </w:t>
      </w:r>
      <w:hyperlink r:id="rId343" w:history="1">
        <w:r w:rsidRPr="00015208">
          <w:rPr>
            <w:rStyle w:val="Hyperlink"/>
            <w:rFonts w:ascii="Times New Roman" w:hAnsi="Times New Roman"/>
            <w:sz w:val="24"/>
            <w:szCs w:val="24"/>
          </w:rPr>
          <w:t>https://www.supremecourt.gov/opinions/18pdf/18a815_3d9g.pdf</w:t>
        </w:r>
      </w:hyperlink>
    </w:p>
    <w:p w14:paraId="135AC590" w14:textId="77777777" w:rsidR="00F326E5" w:rsidRPr="00015208" w:rsidRDefault="00F326E5" w:rsidP="00F326E5">
      <w:pPr>
        <w:pStyle w:val="NoSpacing"/>
        <w:rPr>
          <w:rFonts w:ascii="Times New Roman" w:hAnsi="Times New Roman"/>
          <w:sz w:val="24"/>
          <w:szCs w:val="24"/>
        </w:rPr>
      </w:pPr>
      <w:r w:rsidRPr="00015208">
        <w:rPr>
          <w:rFonts w:ascii="Times New Roman" w:hAnsi="Times New Roman"/>
          <w:b/>
          <w:sz w:val="24"/>
          <w:szCs w:val="24"/>
        </w:rPr>
        <w:t>Legal Lessons Learned:  The Supreme Court’s five “conservative” Justices have made it clear that last minute stays of execution are not favored</w:t>
      </w:r>
      <w:r w:rsidRPr="00015208">
        <w:rPr>
          <w:rFonts w:ascii="Times New Roman" w:hAnsi="Times New Roman"/>
          <w:sz w:val="24"/>
          <w:szCs w:val="24"/>
        </w:rPr>
        <w:t xml:space="preserve">. </w:t>
      </w:r>
    </w:p>
    <w:p w14:paraId="25C5C679" w14:textId="77777777" w:rsidR="002B1283" w:rsidRDefault="002B1283" w:rsidP="00F326E5">
      <w:pPr>
        <w:pStyle w:val="NoSpacing"/>
        <w:ind w:left="720"/>
        <w:rPr>
          <w:sz w:val="24"/>
          <w:szCs w:val="24"/>
        </w:rPr>
      </w:pPr>
    </w:p>
    <w:p w14:paraId="3F17E0F5" w14:textId="6EB1603C" w:rsidR="00F326E5" w:rsidRPr="00015208" w:rsidRDefault="00F326E5" w:rsidP="00F326E5">
      <w:pPr>
        <w:pStyle w:val="NoSpacing"/>
        <w:ind w:left="720"/>
        <w:rPr>
          <w:rFonts w:ascii="Times New Roman" w:hAnsi="Times New Roman"/>
          <w:sz w:val="24"/>
          <w:szCs w:val="24"/>
        </w:rPr>
      </w:pPr>
      <w:r w:rsidRPr="00015208">
        <w:rPr>
          <w:rFonts w:ascii="Times New Roman" w:hAnsi="Times New Roman"/>
          <w:sz w:val="24"/>
          <w:szCs w:val="24"/>
        </w:rPr>
        <w:t xml:space="preserve">See Feb. 7, </w:t>
      </w:r>
      <w:proofErr w:type="gramStart"/>
      <w:r w:rsidRPr="00015208">
        <w:rPr>
          <w:rFonts w:ascii="Times New Roman" w:hAnsi="Times New Roman"/>
          <w:sz w:val="24"/>
          <w:szCs w:val="24"/>
        </w:rPr>
        <w:t>2018</w:t>
      </w:r>
      <w:proofErr w:type="gramEnd"/>
      <w:r w:rsidRPr="00015208">
        <w:rPr>
          <w:rFonts w:ascii="Times New Roman" w:hAnsi="Times New Roman"/>
          <w:sz w:val="24"/>
          <w:szCs w:val="24"/>
        </w:rPr>
        <w:t xml:space="preserve"> article, “Alabama Executes Muslim Inmate Who Wanted Imam Present.”   “Ray was convicted in 1999 after another man, Marcus Owden, confessed to his role in the crime and implicated Ray. </w:t>
      </w:r>
      <w:proofErr w:type="spellStart"/>
      <w:r w:rsidRPr="00015208">
        <w:rPr>
          <w:rFonts w:ascii="Times New Roman" w:hAnsi="Times New Roman"/>
          <w:sz w:val="24"/>
          <w:szCs w:val="24"/>
        </w:rPr>
        <w:t>Owden</w:t>
      </w:r>
      <w:proofErr w:type="spellEnd"/>
      <w:r w:rsidRPr="00015208">
        <w:rPr>
          <w:rFonts w:ascii="Times New Roman" w:hAnsi="Times New Roman"/>
          <w:sz w:val="24"/>
          <w:szCs w:val="24"/>
        </w:rPr>
        <w:t xml:space="preserve"> told police that they had picked the girl up for a night out on the town and then raped her. </w:t>
      </w:r>
      <w:proofErr w:type="spellStart"/>
      <w:r w:rsidRPr="00015208">
        <w:rPr>
          <w:rFonts w:ascii="Times New Roman" w:hAnsi="Times New Roman"/>
          <w:sz w:val="24"/>
          <w:szCs w:val="24"/>
        </w:rPr>
        <w:t>Owden</w:t>
      </w:r>
      <w:proofErr w:type="spellEnd"/>
      <w:r w:rsidRPr="00015208">
        <w:rPr>
          <w:rFonts w:ascii="Times New Roman" w:hAnsi="Times New Roman"/>
          <w:sz w:val="24"/>
          <w:szCs w:val="24"/>
        </w:rPr>
        <w:t xml:space="preserve"> said that Ray cut the girl’s throat. </w:t>
      </w:r>
      <w:proofErr w:type="spellStart"/>
      <w:r w:rsidRPr="00015208">
        <w:rPr>
          <w:rFonts w:ascii="Times New Roman" w:hAnsi="Times New Roman"/>
          <w:sz w:val="24"/>
          <w:szCs w:val="24"/>
        </w:rPr>
        <w:t>Owden</w:t>
      </w:r>
      <w:proofErr w:type="spellEnd"/>
      <w:r w:rsidRPr="00015208">
        <w:rPr>
          <w:rFonts w:ascii="Times New Roman" w:hAnsi="Times New Roman"/>
          <w:sz w:val="24"/>
          <w:szCs w:val="24"/>
        </w:rPr>
        <w:t xml:space="preserve"> pleaded guilty to murder, testified against Ray and is serving a life sentence without parole. A jury recommended the death penalty for Ray by an 11-1 vote.” </w:t>
      </w:r>
      <w:hyperlink r:id="rId344" w:history="1">
        <w:r w:rsidRPr="00015208">
          <w:rPr>
            <w:rStyle w:val="Hyperlink"/>
            <w:rFonts w:ascii="Times New Roman" w:hAnsi="Times New Roman"/>
            <w:sz w:val="24"/>
            <w:szCs w:val="24"/>
          </w:rPr>
          <w:t>https://www.apnews.com/50ced4152dc74df1975a925e4fa29038</w:t>
        </w:r>
      </w:hyperlink>
    </w:p>
    <w:p w14:paraId="121DFB90" w14:textId="77777777" w:rsidR="00F326E5" w:rsidRPr="00015208" w:rsidRDefault="00F326E5" w:rsidP="00F326E5">
      <w:pPr>
        <w:pStyle w:val="NoSpacing"/>
        <w:ind w:left="720"/>
        <w:rPr>
          <w:rStyle w:val="Hyperlink"/>
          <w:rFonts w:ascii="Times New Roman" w:hAnsi="Times New Roman"/>
          <w:sz w:val="24"/>
          <w:szCs w:val="24"/>
        </w:rPr>
      </w:pPr>
      <w:r w:rsidRPr="00015208">
        <w:rPr>
          <w:rFonts w:ascii="Times New Roman" w:hAnsi="Times New Roman"/>
          <w:sz w:val="24"/>
          <w:szCs w:val="24"/>
        </w:rPr>
        <w:t xml:space="preserve">See Feb. 8, </w:t>
      </w:r>
      <w:proofErr w:type="gramStart"/>
      <w:r w:rsidRPr="00015208">
        <w:rPr>
          <w:rFonts w:ascii="Times New Roman" w:hAnsi="Times New Roman"/>
          <w:sz w:val="24"/>
          <w:szCs w:val="24"/>
        </w:rPr>
        <w:t>2019</w:t>
      </w:r>
      <w:proofErr w:type="gramEnd"/>
      <w:r w:rsidRPr="00015208">
        <w:rPr>
          <w:rFonts w:ascii="Times New Roman" w:hAnsi="Times New Roman"/>
          <w:sz w:val="24"/>
          <w:szCs w:val="24"/>
        </w:rPr>
        <w:t xml:space="preserve"> Washington Post article: “Abortion, Death Penalty, Religion: Late-Night Rulings Show New Alliances </w:t>
      </w:r>
      <w:proofErr w:type="gramStart"/>
      <w:r w:rsidRPr="00015208">
        <w:rPr>
          <w:rFonts w:ascii="Times New Roman" w:hAnsi="Times New Roman"/>
          <w:sz w:val="24"/>
          <w:szCs w:val="24"/>
        </w:rPr>
        <w:t>At</w:t>
      </w:r>
      <w:proofErr w:type="gramEnd"/>
      <w:r w:rsidRPr="00015208">
        <w:rPr>
          <w:rFonts w:ascii="Times New Roman" w:hAnsi="Times New Roman"/>
          <w:sz w:val="24"/>
          <w:szCs w:val="24"/>
        </w:rPr>
        <w:t xml:space="preserve"> Supreme Court.”  </w:t>
      </w:r>
      <w:hyperlink r:id="rId345" w:history="1">
        <w:r w:rsidRPr="00015208">
          <w:rPr>
            <w:rStyle w:val="Hyperlink"/>
            <w:rFonts w:ascii="Times New Roman" w:hAnsi="Times New Roman"/>
            <w:sz w:val="24"/>
            <w:szCs w:val="24"/>
          </w:rPr>
          <w:t>https://www.washingtonpost.com/politics/courts_law/abortion-death-penalty-religion-late-night-rulings-show-new-alliances-at-supreme-court/2019/02/08/681cc252-2bb9-11e9-b011-d8500644dc98_story.html?utm_term=.6e954895539e&amp;wpisrc=nl_evening&amp;wpmm=1</w:t>
        </w:r>
      </w:hyperlink>
    </w:p>
    <w:p w14:paraId="23486DA6" w14:textId="77777777" w:rsidR="00F326E5" w:rsidRPr="00015208" w:rsidRDefault="00F326E5" w:rsidP="00F326E5">
      <w:pPr>
        <w:pStyle w:val="NoSpacing"/>
        <w:rPr>
          <w:rFonts w:ascii="Times New Roman" w:hAnsi="Times New Roman"/>
          <w:sz w:val="24"/>
          <w:szCs w:val="24"/>
        </w:rPr>
      </w:pPr>
    </w:p>
    <w:bookmarkEnd w:id="69"/>
    <w:p w14:paraId="00DEA165" w14:textId="77777777" w:rsidR="00536545" w:rsidRDefault="00536545" w:rsidP="00791CA3">
      <w:pPr>
        <w:rPr>
          <w:rFonts w:ascii="Arial Black" w:hAnsi="Arial Black"/>
          <w:b/>
          <w:sz w:val="24"/>
          <w:szCs w:val="24"/>
        </w:rPr>
      </w:pPr>
    </w:p>
    <w:p w14:paraId="0E947CD1" w14:textId="08C9C62B" w:rsidR="00F326E5" w:rsidRDefault="00791CA3" w:rsidP="00791CA3">
      <w:pPr>
        <w:rPr>
          <w:b/>
          <w:sz w:val="24"/>
          <w:szCs w:val="24"/>
        </w:rPr>
      </w:pPr>
      <w:r w:rsidRPr="00791CA3">
        <w:rPr>
          <w:rFonts w:ascii="Arial Black" w:hAnsi="Arial Black"/>
          <w:b/>
          <w:sz w:val="24"/>
          <w:szCs w:val="24"/>
        </w:rPr>
        <w:t>1-</w:t>
      </w:r>
      <w:r>
        <w:rPr>
          <w:rFonts w:ascii="Arial Black" w:hAnsi="Arial Black"/>
          <w:b/>
          <w:sz w:val="24"/>
          <w:szCs w:val="24"/>
        </w:rPr>
        <w:t>1</w:t>
      </w:r>
      <w:r w:rsidR="00637A12">
        <w:rPr>
          <w:rFonts w:ascii="Arial Black" w:hAnsi="Arial Black"/>
          <w:b/>
          <w:sz w:val="24"/>
          <w:szCs w:val="24"/>
        </w:rPr>
        <w:t>9</w:t>
      </w:r>
    </w:p>
    <w:p w14:paraId="718524CE" w14:textId="2F5BE05B" w:rsidR="00F326E5" w:rsidRDefault="00F326E5" w:rsidP="00F326E5">
      <w:pPr>
        <w:pStyle w:val="NoSpacing"/>
        <w:rPr>
          <w:rFonts w:ascii="Arial Black" w:hAnsi="Arial Black"/>
          <w:sz w:val="28"/>
          <w:szCs w:val="28"/>
        </w:rPr>
      </w:pPr>
      <w:bookmarkStart w:id="70" w:name="_Hlk7339379"/>
      <w:r w:rsidRPr="00C25785">
        <w:rPr>
          <w:rFonts w:ascii="Arial Black" w:hAnsi="Arial Black"/>
          <w:sz w:val="28"/>
          <w:szCs w:val="28"/>
        </w:rPr>
        <w:t xml:space="preserve">MA: </w:t>
      </w:r>
      <w:r>
        <w:rPr>
          <w:rFonts w:ascii="Arial Black" w:hAnsi="Arial Black"/>
          <w:sz w:val="28"/>
          <w:szCs w:val="28"/>
        </w:rPr>
        <w:t>SPRINKLERS - DRUG REHAB HOUSE WITH 8 PATIENTS – COURT UPHOLDS FIRE CODE</w:t>
      </w:r>
    </w:p>
    <w:p w14:paraId="1BE1EC99" w14:textId="77777777" w:rsidR="00F326E5" w:rsidRPr="00015208" w:rsidRDefault="00F326E5" w:rsidP="00F326E5">
      <w:pPr>
        <w:rPr>
          <w:rFonts w:ascii="Times New Roman" w:hAnsi="Times New Roman"/>
          <w:sz w:val="24"/>
          <w:szCs w:val="24"/>
        </w:rPr>
      </w:pPr>
      <w:r w:rsidRPr="00015208">
        <w:rPr>
          <w:rFonts w:ascii="Times New Roman" w:hAnsi="Times New Roman"/>
          <w:sz w:val="24"/>
          <w:szCs w:val="24"/>
        </w:rPr>
        <w:t xml:space="preserve">On Jan. 29, 2019, in </w:t>
      </w:r>
      <w:r w:rsidRPr="00015208">
        <w:rPr>
          <w:rFonts w:ascii="Times New Roman" w:hAnsi="Times New Roman"/>
          <w:sz w:val="24"/>
          <w:szCs w:val="24"/>
          <w:u w:val="single"/>
        </w:rPr>
        <w:t xml:space="preserve">Crossing Over, Inc, et al. v. City of </w:t>
      </w:r>
      <w:proofErr w:type="spellStart"/>
      <w:r w:rsidRPr="00015208">
        <w:rPr>
          <w:rFonts w:ascii="Times New Roman" w:hAnsi="Times New Roman"/>
          <w:sz w:val="24"/>
          <w:szCs w:val="24"/>
          <w:u w:val="single"/>
        </w:rPr>
        <w:t>Fitchberg</w:t>
      </w:r>
      <w:proofErr w:type="spellEnd"/>
      <w:r w:rsidRPr="00015208">
        <w:rPr>
          <w:rFonts w:ascii="Times New Roman" w:hAnsi="Times New Roman"/>
          <w:sz w:val="24"/>
          <w:szCs w:val="24"/>
        </w:rPr>
        <w:t xml:space="preserve">, Justice Rosemary Connelly, MA Superior Court upheld the July 14, </w:t>
      </w:r>
      <w:proofErr w:type="gramStart"/>
      <w:r w:rsidRPr="00015208">
        <w:rPr>
          <w:rFonts w:ascii="Times New Roman" w:hAnsi="Times New Roman"/>
          <w:sz w:val="24"/>
          <w:szCs w:val="24"/>
        </w:rPr>
        <w:t>2017</w:t>
      </w:r>
      <w:proofErr w:type="gramEnd"/>
      <w:r w:rsidRPr="00015208">
        <w:rPr>
          <w:rFonts w:ascii="Times New Roman" w:hAnsi="Times New Roman"/>
          <w:sz w:val="24"/>
          <w:szCs w:val="24"/>
        </w:rPr>
        <w:t xml:space="preserve"> decision of the “Automatic Sprinkler Appeals Board” which held:</w:t>
      </w:r>
    </w:p>
    <w:p w14:paraId="453E6380" w14:textId="5AE47AAE" w:rsidR="00F326E5" w:rsidRPr="00015208" w:rsidRDefault="006C7F17" w:rsidP="00F326E5">
      <w:pPr>
        <w:ind w:left="720"/>
        <w:rPr>
          <w:rFonts w:ascii="Times New Roman" w:hAnsi="Times New Roman"/>
          <w:b/>
          <w:sz w:val="24"/>
          <w:szCs w:val="24"/>
        </w:rPr>
      </w:pPr>
      <w:r>
        <w:rPr>
          <w:rFonts w:ascii="Times New Roman" w:hAnsi="Times New Roman"/>
          <w:sz w:val="24"/>
          <w:szCs w:val="24"/>
        </w:rPr>
        <w:t>“</w:t>
      </w:r>
      <w:r w:rsidR="00F326E5" w:rsidRPr="00015208">
        <w:rPr>
          <w:rFonts w:ascii="Times New Roman" w:hAnsi="Times New Roman"/>
          <w:sz w:val="24"/>
          <w:szCs w:val="24"/>
        </w:rPr>
        <w:t xml:space="preserve">Based upon the aforementioned findings and reasoning, the Board hereby upholds the Order of the Fitchburg Fire Department and requires the installation of an adequate system of sprinklers throughout all portions of the subject building used and/or occupied for boarding or lodging purposes….” </w:t>
      </w:r>
      <w:hyperlink r:id="rId346" w:history="1">
        <w:r w:rsidR="00F326E5" w:rsidRPr="00015208">
          <w:rPr>
            <w:rStyle w:val="Hyperlink"/>
            <w:rFonts w:ascii="Times New Roman" w:hAnsi="Times New Roman"/>
            <w:sz w:val="24"/>
            <w:szCs w:val="24"/>
          </w:rPr>
          <w:t>https://www.mass.gov/files/documents/2018/06/22/ASAB%2017-04%20%2044%20Mt.%20Vernon%20St.%2C%20Fitchburg.pdf?_ga=2.103697088.170248601.1551215432-2018690554.1551215432</w:t>
        </w:r>
      </w:hyperlink>
      <w:r w:rsidR="00F326E5" w:rsidRPr="00015208">
        <w:rPr>
          <w:rFonts w:ascii="Times New Roman" w:hAnsi="Times New Roman"/>
          <w:b/>
          <w:sz w:val="24"/>
          <w:szCs w:val="24"/>
        </w:rPr>
        <w:t xml:space="preserve"> </w:t>
      </w:r>
    </w:p>
    <w:p w14:paraId="057C0F01" w14:textId="77777777" w:rsidR="00F326E5" w:rsidRPr="00015208" w:rsidRDefault="00F326E5" w:rsidP="006C7F17">
      <w:pPr>
        <w:pStyle w:val="NoSpacing"/>
        <w:ind w:left="720"/>
        <w:rPr>
          <w:rStyle w:val="Hyperlink"/>
          <w:rFonts w:ascii="Times New Roman" w:hAnsi="Times New Roman"/>
          <w:bCs/>
          <w:sz w:val="24"/>
          <w:szCs w:val="24"/>
        </w:rPr>
      </w:pPr>
      <w:r w:rsidRPr="00015208">
        <w:rPr>
          <w:rFonts w:ascii="Times New Roman" w:hAnsi="Times New Roman"/>
          <w:sz w:val="24"/>
          <w:szCs w:val="24"/>
        </w:rPr>
        <w:t xml:space="preserve">Justice Connelly denied the property owner’s motion to reverse the Board, holding that the Board’s decision is legal, supported by the record, and the Board has not exceeded </w:t>
      </w:r>
      <w:proofErr w:type="spellStart"/>
      <w:proofErr w:type="gramStart"/>
      <w:r w:rsidRPr="00015208">
        <w:rPr>
          <w:rFonts w:ascii="Times New Roman" w:hAnsi="Times New Roman"/>
          <w:sz w:val="24"/>
          <w:szCs w:val="24"/>
        </w:rPr>
        <w:t>it</w:t>
      </w:r>
      <w:proofErr w:type="spellEnd"/>
      <w:proofErr w:type="gramEnd"/>
      <w:r w:rsidRPr="00015208">
        <w:rPr>
          <w:rFonts w:ascii="Times New Roman" w:hAnsi="Times New Roman"/>
          <w:sz w:val="24"/>
          <w:szCs w:val="24"/>
        </w:rPr>
        <w:t xml:space="preserve"> authority.  The court will give deference to the Board’s reasonable interpretation of its own statute.” </w:t>
      </w:r>
      <w:hyperlink r:id="rId347" w:history="1">
        <w:r w:rsidRPr="00015208">
          <w:rPr>
            <w:rStyle w:val="Hyperlink"/>
            <w:rFonts w:ascii="Times New Roman" w:hAnsi="Times New Roman"/>
            <w:sz w:val="24"/>
            <w:szCs w:val="24"/>
          </w:rPr>
          <w:t>https://d279m997dpfwgl.cloudfront.net/wp/2019/02/EPSON520.pdf</w:t>
        </w:r>
      </w:hyperlink>
    </w:p>
    <w:p w14:paraId="5077CBA9" w14:textId="77777777" w:rsidR="006C7F17" w:rsidRDefault="006C7F17" w:rsidP="00F326E5">
      <w:pPr>
        <w:pStyle w:val="NoSpacing"/>
        <w:rPr>
          <w:rFonts w:ascii="Times New Roman" w:hAnsi="Times New Roman"/>
          <w:b/>
          <w:sz w:val="24"/>
          <w:szCs w:val="24"/>
        </w:rPr>
      </w:pPr>
    </w:p>
    <w:p w14:paraId="03584341" w14:textId="0A433C95" w:rsidR="00F326E5" w:rsidRPr="00015208" w:rsidRDefault="00F326E5" w:rsidP="00F326E5">
      <w:pPr>
        <w:pStyle w:val="NoSpacing"/>
        <w:rPr>
          <w:rFonts w:ascii="Times New Roman" w:hAnsi="Times New Roman"/>
          <w:b/>
          <w:sz w:val="24"/>
          <w:szCs w:val="24"/>
        </w:rPr>
      </w:pPr>
      <w:r w:rsidRPr="00015208">
        <w:rPr>
          <w:rFonts w:ascii="Times New Roman" w:hAnsi="Times New Roman"/>
          <w:b/>
          <w:sz w:val="24"/>
          <w:szCs w:val="24"/>
        </w:rPr>
        <w:t xml:space="preserve">Legal Lessons Learned: Sprinkler ordinances save lives. </w:t>
      </w:r>
    </w:p>
    <w:p w14:paraId="64C176AE" w14:textId="61D989AA" w:rsidR="00FB71EA" w:rsidRDefault="00FB71EA" w:rsidP="00F326E5">
      <w:pPr>
        <w:rPr>
          <w:bCs/>
          <w:sz w:val="24"/>
          <w:szCs w:val="24"/>
        </w:rPr>
      </w:pPr>
    </w:p>
    <w:p w14:paraId="79229CA2" w14:textId="77777777" w:rsidR="00637A12" w:rsidRDefault="00637A12" w:rsidP="00F326E5">
      <w:pPr>
        <w:rPr>
          <w:rFonts w:ascii="Arial Black" w:hAnsi="Arial Black"/>
          <w:bCs/>
          <w:sz w:val="24"/>
          <w:szCs w:val="24"/>
        </w:rPr>
      </w:pPr>
    </w:p>
    <w:p w14:paraId="71831CF1" w14:textId="42595BC6" w:rsidR="00637A12" w:rsidRPr="00637A12" w:rsidRDefault="00637A12" w:rsidP="00F326E5">
      <w:pPr>
        <w:rPr>
          <w:rFonts w:ascii="Arial Black" w:hAnsi="Arial Black"/>
          <w:bCs/>
          <w:sz w:val="24"/>
          <w:szCs w:val="24"/>
        </w:rPr>
      </w:pPr>
      <w:r w:rsidRPr="00637A12">
        <w:rPr>
          <w:rFonts w:ascii="Arial Black" w:hAnsi="Arial Black"/>
          <w:bCs/>
          <w:sz w:val="24"/>
          <w:szCs w:val="24"/>
        </w:rPr>
        <w:t>1-18</w:t>
      </w:r>
    </w:p>
    <w:p w14:paraId="39A0482A" w14:textId="77777777" w:rsidR="006C7F17" w:rsidRDefault="006C7F17" w:rsidP="00F326E5">
      <w:pPr>
        <w:pStyle w:val="NoSpacing"/>
        <w:rPr>
          <w:rFonts w:ascii="Arial Black" w:hAnsi="Arial Black"/>
          <w:b/>
          <w:sz w:val="28"/>
          <w:szCs w:val="28"/>
        </w:rPr>
      </w:pPr>
      <w:bookmarkStart w:id="71" w:name="_Hlk7339428"/>
      <w:bookmarkEnd w:id="70"/>
    </w:p>
    <w:p w14:paraId="404CBBDD" w14:textId="1ECD00B1" w:rsidR="00F326E5" w:rsidRDefault="00F326E5" w:rsidP="00F326E5">
      <w:pPr>
        <w:pStyle w:val="NoSpacing"/>
        <w:rPr>
          <w:rFonts w:ascii="Arial Black" w:hAnsi="Arial Black"/>
          <w:b/>
          <w:sz w:val="28"/>
          <w:szCs w:val="28"/>
        </w:rPr>
      </w:pPr>
      <w:r>
        <w:rPr>
          <w:rFonts w:ascii="Arial Black" w:hAnsi="Arial Black"/>
          <w:b/>
          <w:sz w:val="28"/>
          <w:szCs w:val="28"/>
        </w:rPr>
        <w:t>PA: ARSON – DEFENDANT SMELLED OF GASOLINE, TRAINED ARSON DOG ALERTED</w:t>
      </w:r>
    </w:p>
    <w:p w14:paraId="5ACFF1EA" w14:textId="77777777" w:rsidR="00F326E5" w:rsidRPr="00015208" w:rsidRDefault="00F326E5" w:rsidP="00F326E5">
      <w:pPr>
        <w:pStyle w:val="NoSpacing"/>
        <w:rPr>
          <w:rStyle w:val="Hyperlink"/>
          <w:rFonts w:ascii="Times New Roman" w:hAnsi="Times New Roman"/>
          <w:sz w:val="24"/>
          <w:szCs w:val="24"/>
        </w:rPr>
      </w:pPr>
      <w:r w:rsidRPr="00015208">
        <w:rPr>
          <w:rFonts w:ascii="Times New Roman" w:hAnsi="Times New Roman"/>
          <w:sz w:val="24"/>
          <w:szCs w:val="24"/>
        </w:rPr>
        <w:t xml:space="preserve">On Jan. 11, 2019, in </w:t>
      </w:r>
      <w:r w:rsidRPr="00015208">
        <w:rPr>
          <w:rFonts w:ascii="Times New Roman" w:hAnsi="Times New Roman"/>
          <w:sz w:val="24"/>
          <w:szCs w:val="24"/>
          <w:u w:val="single"/>
        </w:rPr>
        <w:t>Commonwealth of Pennsylvania v. Jamat Ali Manzoor</w:t>
      </w:r>
      <w:r w:rsidRPr="00015208">
        <w:rPr>
          <w:rFonts w:ascii="Times New Roman" w:hAnsi="Times New Roman"/>
          <w:sz w:val="24"/>
          <w:szCs w:val="24"/>
        </w:rPr>
        <w:t xml:space="preserve">,  the Superior Court of PA (3 to 0) upheld the jury conviction on two counts of arson, and insurance fraud.  </w:t>
      </w:r>
      <w:hyperlink r:id="rId348" w:history="1">
        <w:r w:rsidRPr="00015208">
          <w:rPr>
            <w:rStyle w:val="Hyperlink"/>
            <w:rFonts w:ascii="Times New Roman" w:hAnsi="Times New Roman"/>
            <w:sz w:val="24"/>
            <w:szCs w:val="24"/>
          </w:rPr>
          <w:t>https://cases.justia.com/pennsylvania/superior-court/2019-1121-mda-2017.pdf?ts=1547235373</w:t>
        </w:r>
      </w:hyperlink>
    </w:p>
    <w:p w14:paraId="768075AC" w14:textId="77777777" w:rsidR="00F326E5" w:rsidRPr="00015208" w:rsidRDefault="00F326E5" w:rsidP="00F326E5">
      <w:pPr>
        <w:pStyle w:val="NoSpacing"/>
        <w:rPr>
          <w:rFonts w:ascii="Times New Roman" w:hAnsi="Times New Roman"/>
          <w:b/>
          <w:sz w:val="24"/>
          <w:szCs w:val="24"/>
        </w:rPr>
      </w:pPr>
      <w:r w:rsidRPr="00015208">
        <w:rPr>
          <w:rFonts w:ascii="Times New Roman" w:hAnsi="Times New Roman"/>
          <w:b/>
          <w:sz w:val="24"/>
          <w:szCs w:val="24"/>
        </w:rPr>
        <w:t xml:space="preserve">Legal Lessons Learned: Evidence of trained arson K-9 </w:t>
      </w:r>
      <w:proofErr w:type="gramStart"/>
      <w:r w:rsidRPr="00015208">
        <w:rPr>
          <w:rFonts w:ascii="Times New Roman" w:hAnsi="Times New Roman"/>
          <w:b/>
          <w:sz w:val="24"/>
          <w:szCs w:val="24"/>
        </w:rPr>
        <w:t>alerting for</w:t>
      </w:r>
      <w:proofErr w:type="gramEnd"/>
      <w:r w:rsidRPr="00015208">
        <w:rPr>
          <w:rFonts w:ascii="Times New Roman" w:hAnsi="Times New Roman"/>
          <w:b/>
          <w:sz w:val="24"/>
          <w:szCs w:val="24"/>
        </w:rPr>
        <w:t xml:space="preserve"> accelerants to admissible in arson trial. </w:t>
      </w:r>
    </w:p>
    <w:p w14:paraId="1804AFE1" w14:textId="77777777" w:rsidR="00015208" w:rsidRDefault="00015208" w:rsidP="00F326E5">
      <w:pPr>
        <w:pStyle w:val="NoSpacing"/>
        <w:rPr>
          <w:rFonts w:ascii="Times New Roman" w:hAnsi="Times New Roman"/>
          <w:b/>
          <w:sz w:val="24"/>
          <w:szCs w:val="24"/>
        </w:rPr>
      </w:pPr>
    </w:p>
    <w:p w14:paraId="392F3541" w14:textId="250DA877" w:rsidR="00F326E5" w:rsidRPr="00015208" w:rsidRDefault="00F326E5" w:rsidP="00F326E5">
      <w:pPr>
        <w:pStyle w:val="NoSpacing"/>
        <w:rPr>
          <w:rFonts w:ascii="Times New Roman" w:hAnsi="Times New Roman"/>
          <w:bCs/>
          <w:sz w:val="24"/>
          <w:szCs w:val="24"/>
        </w:rPr>
      </w:pPr>
      <w:r w:rsidRPr="00015208">
        <w:rPr>
          <w:rFonts w:ascii="Times New Roman" w:hAnsi="Times New Roman"/>
          <w:bCs/>
          <w:sz w:val="24"/>
          <w:szCs w:val="24"/>
        </w:rPr>
        <w:t xml:space="preserve">See my case analysis: </w:t>
      </w:r>
      <w:hyperlink r:id="rId349" w:history="1">
        <w:r w:rsidRPr="00015208">
          <w:rPr>
            <w:rStyle w:val="Hyperlink"/>
            <w:rFonts w:ascii="Times New Roman" w:hAnsi="Times New Roman"/>
            <w:bCs/>
            <w:sz w:val="24"/>
            <w:szCs w:val="24"/>
          </w:rPr>
          <w:t>https://ceas.uc.edu/content/dam/refresh/ceas-62/documents/academics/departments/aerospace-engineering-&amp;-engineering-mechanics/fire-science/1Jan.%202019%20Newsletter%20ADA%200.pdf</w:t>
        </w:r>
      </w:hyperlink>
      <w:r w:rsidRPr="00015208">
        <w:rPr>
          <w:rFonts w:ascii="Times New Roman" w:hAnsi="Times New Roman"/>
          <w:bCs/>
          <w:sz w:val="24"/>
          <w:szCs w:val="24"/>
        </w:rPr>
        <w:t xml:space="preserve"> </w:t>
      </w:r>
      <w:r w:rsidRPr="00015208">
        <w:rPr>
          <w:rFonts w:ascii="Times New Roman" w:hAnsi="Times New Roman"/>
          <w:bCs/>
          <w:sz w:val="24"/>
          <w:szCs w:val="24"/>
        </w:rPr>
        <w:tab/>
      </w:r>
    </w:p>
    <w:p w14:paraId="631ADC7F" w14:textId="77777777" w:rsidR="00F326E5" w:rsidRDefault="00F326E5" w:rsidP="00F326E5">
      <w:pPr>
        <w:pStyle w:val="NoSpacing"/>
        <w:rPr>
          <w:rFonts w:ascii="Times New Roman" w:hAnsi="Times New Roman"/>
          <w:sz w:val="24"/>
          <w:szCs w:val="24"/>
        </w:rPr>
      </w:pPr>
    </w:p>
    <w:bookmarkEnd w:id="71"/>
    <w:p w14:paraId="1889E4D5" w14:textId="77777777" w:rsidR="00F326E5" w:rsidRDefault="00F326E5" w:rsidP="00F326E5">
      <w:pPr>
        <w:pStyle w:val="NoSpacing"/>
        <w:rPr>
          <w:rFonts w:ascii="Times New Roman" w:hAnsi="Times New Roman"/>
          <w:sz w:val="24"/>
          <w:szCs w:val="24"/>
        </w:rPr>
      </w:pPr>
    </w:p>
    <w:p w14:paraId="7D1C7A0B" w14:textId="77777777" w:rsidR="00F326E5" w:rsidRDefault="00F326E5" w:rsidP="00F326E5">
      <w:pPr>
        <w:pStyle w:val="NoSpacing"/>
        <w:rPr>
          <w:sz w:val="24"/>
          <w:szCs w:val="24"/>
        </w:rPr>
      </w:pPr>
    </w:p>
    <w:p w14:paraId="488300D1" w14:textId="6A379CE0" w:rsidR="00F326E5" w:rsidRPr="00637A12" w:rsidRDefault="00637A12" w:rsidP="00F326E5">
      <w:pPr>
        <w:pStyle w:val="NoSpacing"/>
        <w:rPr>
          <w:rFonts w:ascii="Arial Black" w:hAnsi="Arial Black"/>
          <w:sz w:val="24"/>
          <w:szCs w:val="24"/>
        </w:rPr>
      </w:pPr>
      <w:r w:rsidRPr="00637A12">
        <w:rPr>
          <w:rFonts w:ascii="Arial Black" w:hAnsi="Arial Black"/>
          <w:sz w:val="24"/>
          <w:szCs w:val="24"/>
        </w:rPr>
        <w:t>1-17</w:t>
      </w:r>
    </w:p>
    <w:p w14:paraId="728A3735" w14:textId="77777777" w:rsidR="00637A12" w:rsidRDefault="00637A12" w:rsidP="00F326E5">
      <w:pPr>
        <w:pStyle w:val="NoSpacing"/>
        <w:rPr>
          <w:sz w:val="24"/>
          <w:szCs w:val="24"/>
        </w:rPr>
      </w:pPr>
    </w:p>
    <w:p w14:paraId="64C31F7A" w14:textId="05269BD3" w:rsidR="00F326E5" w:rsidRDefault="00F326E5" w:rsidP="00F326E5">
      <w:pPr>
        <w:pStyle w:val="NoSpacing"/>
        <w:rPr>
          <w:rFonts w:ascii="Arial Black" w:hAnsi="Arial Black"/>
          <w:b/>
          <w:sz w:val="28"/>
          <w:szCs w:val="28"/>
        </w:rPr>
      </w:pPr>
      <w:bookmarkStart w:id="72" w:name="_Hlk7339518"/>
      <w:r>
        <w:rPr>
          <w:rFonts w:ascii="Arial Black" w:hAnsi="Arial Black"/>
          <w:b/>
          <w:sz w:val="28"/>
          <w:szCs w:val="28"/>
        </w:rPr>
        <w:t>U.S. SUPREME COURT: QUALIFIED IMMUNITY FOR POLICE OFFICERS – DOMESTIC VIOLENCE ARREST</w:t>
      </w:r>
    </w:p>
    <w:p w14:paraId="44BE66DA" w14:textId="568B43A7" w:rsidR="00637A12" w:rsidRDefault="00F326E5" w:rsidP="00F326E5">
      <w:pPr>
        <w:rPr>
          <w:rFonts w:ascii="Times New Roman" w:hAnsi="Times New Roman"/>
          <w:sz w:val="24"/>
          <w:szCs w:val="24"/>
        </w:rPr>
      </w:pPr>
      <w:r w:rsidRPr="00015208">
        <w:rPr>
          <w:rFonts w:ascii="Times New Roman" w:hAnsi="Times New Roman"/>
          <w:sz w:val="24"/>
          <w:szCs w:val="24"/>
        </w:rPr>
        <w:t xml:space="preserve">On Jan. 7, 2019, in </w:t>
      </w:r>
      <w:r w:rsidRPr="00015208">
        <w:rPr>
          <w:rFonts w:ascii="Times New Roman" w:hAnsi="Times New Roman"/>
          <w:sz w:val="24"/>
          <w:szCs w:val="24"/>
          <w:u w:val="single"/>
        </w:rPr>
        <w:t>City of Escondido, California v. Mart Emmons</w:t>
      </w:r>
      <w:r w:rsidRPr="00015208">
        <w:rPr>
          <w:rFonts w:ascii="Times New Roman" w:hAnsi="Times New Roman"/>
          <w:sz w:val="24"/>
          <w:szCs w:val="24"/>
        </w:rPr>
        <w:t>, the U.S. Supreme Court (9 to 0), in a per curiam decision [not authored by a specific Justice], reversed the 9</w:t>
      </w:r>
      <w:r w:rsidRPr="00015208">
        <w:rPr>
          <w:rFonts w:ascii="Times New Roman" w:hAnsi="Times New Roman"/>
          <w:sz w:val="24"/>
          <w:szCs w:val="24"/>
          <w:vertAlign w:val="superscript"/>
        </w:rPr>
        <w:t>th</w:t>
      </w:r>
      <w:r w:rsidRPr="00015208">
        <w:rPr>
          <w:rFonts w:ascii="Times New Roman" w:hAnsi="Times New Roman"/>
          <w:sz w:val="24"/>
          <w:szCs w:val="24"/>
        </w:rPr>
        <w:t xml:space="preserve"> Circuit without the need to even hear oral argument.  The Court held: </w:t>
      </w:r>
    </w:p>
    <w:p w14:paraId="2C9B6516" w14:textId="59A25C5E" w:rsidR="00F326E5" w:rsidRPr="00015208" w:rsidRDefault="00F326E5" w:rsidP="00637A12">
      <w:pPr>
        <w:ind w:left="720"/>
        <w:rPr>
          <w:rFonts w:ascii="Times New Roman" w:eastAsia="Times New Roman" w:hAnsi="Times New Roman"/>
          <w:sz w:val="24"/>
          <w:szCs w:val="24"/>
        </w:rPr>
      </w:pPr>
      <w:r w:rsidRPr="00015208">
        <w:rPr>
          <w:rFonts w:ascii="Times New Roman" w:hAnsi="Times New Roman"/>
          <w:sz w:val="24"/>
          <w:szCs w:val="24"/>
        </w:rPr>
        <w:t>“</w:t>
      </w:r>
      <w:r w:rsidRPr="00015208">
        <w:rPr>
          <w:rFonts w:ascii="Times New Roman" w:eastAsia="Times New Roman" w:hAnsi="Times New Roman"/>
          <w:sz w:val="24"/>
          <w:szCs w:val="24"/>
        </w:rPr>
        <w:t xml:space="preserve">As to Officer Craig, the Ninth Circuit also erred. As we have explained many </w:t>
      </w:r>
      <w:proofErr w:type="gramStart"/>
      <w:r w:rsidRPr="00015208">
        <w:rPr>
          <w:rFonts w:ascii="Times New Roman" w:eastAsia="Times New Roman" w:hAnsi="Times New Roman"/>
          <w:sz w:val="24"/>
          <w:szCs w:val="24"/>
        </w:rPr>
        <w:t>times: ‘</w:t>
      </w:r>
      <w:proofErr w:type="gramEnd"/>
      <w:r w:rsidRPr="00015208">
        <w:rPr>
          <w:rFonts w:ascii="Times New Roman" w:eastAsia="Times New Roman" w:hAnsi="Times New Roman"/>
          <w:sz w:val="24"/>
          <w:szCs w:val="24"/>
        </w:rPr>
        <w:t>Qualified immunity attaches when an official’s conduct does not violate clearly established statutory or constitutional rights of which a reasonable person would have known.’ Kisela v. Hughes, 584 U. S. ___, ___ (2018) (per curiam). The Court of Appeals made no effort to explain how that case law prohibited Officer Craig’s actions in this case.”</w:t>
      </w:r>
      <w:r w:rsidRPr="00015208">
        <w:rPr>
          <w:rFonts w:ascii="Times New Roman" w:hAnsi="Times New Roman"/>
          <w:sz w:val="24"/>
          <w:szCs w:val="24"/>
        </w:rPr>
        <w:t xml:space="preserve"> </w:t>
      </w:r>
      <w:hyperlink r:id="rId350" w:history="1">
        <w:r w:rsidRPr="00015208">
          <w:rPr>
            <w:rStyle w:val="Hyperlink"/>
            <w:rFonts w:ascii="Times New Roman" w:hAnsi="Times New Roman"/>
            <w:sz w:val="24"/>
            <w:szCs w:val="24"/>
          </w:rPr>
          <w:t>https://www.supremecourt.gov/opinions/18pdf/17-1660_5ifl.pdf</w:t>
        </w:r>
      </w:hyperlink>
      <w:r w:rsidRPr="00015208">
        <w:rPr>
          <w:rFonts w:ascii="Times New Roman" w:eastAsia="Times New Roman" w:hAnsi="Times New Roman"/>
          <w:sz w:val="24"/>
          <w:szCs w:val="24"/>
        </w:rPr>
        <w:t xml:space="preserve"> </w:t>
      </w:r>
    </w:p>
    <w:p w14:paraId="6081C7B2" w14:textId="577C97D4" w:rsidR="00F326E5" w:rsidRPr="00015208" w:rsidRDefault="00F326E5" w:rsidP="00F326E5">
      <w:pPr>
        <w:rPr>
          <w:rFonts w:ascii="Times New Roman" w:eastAsia="Times New Roman" w:hAnsi="Times New Roman"/>
          <w:sz w:val="24"/>
          <w:szCs w:val="24"/>
        </w:rPr>
      </w:pPr>
      <w:r w:rsidRPr="00015208">
        <w:rPr>
          <w:rFonts w:ascii="Times New Roman" w:eastAsia="Times New Roman" w:hAnsi="Times New Roman"/>
          <w:b/>
          <w:sz w:val="24"/>
          <w:szCs w:val="24"/>
        </w:rPr>
        <w:t xml:space="preserve">Legal Lessons Learned:  Great decision on “qualified immunity” for emergency responders. </w:t>
      </w:r>
    </w:p>
    <w:p w14:paraId="65BCED32" w14:textId="0C276829" w:rsidR="00F326E5" w:rsidRPr="00015208" w:rsidRDefault="00F326E5" w:rsidP="00ED63B1">
      <w:pPr>
        <w:ind w:left="720"/>
        <w:rPr>
          <w:rFonts w:ascii="Times New Roman" w:eastAsia="Times New Roman" w:hAnsi="Times New Roman"/>
          <w:sz w:val="24"/>
          <w:szCs w:val="24"/>
        </w:rPr>
      </w:pPr>
      <w:r w:rsidRPr="00015208">
        <w:rPr>
          <w:rFonts w:ascii="Times New Roman" w:eastAsia="Times New Roman" w:hAnsi="Times New Roman"/>
          <w:sz w:val="24"/>
          <w:szCs w:val="24"/>
        </w:rPr>
        <w:t xml:space="preserve">See also Chap. 13:  Aug. 14, </w:t>
      </w:r>
      <w:proofErr w:type="gramStart"/>
      <w:r w:rsidRPr="00015208">
        <w:rPr>
          <w:rFonts w:ascii="Times New Roman" w:eastAsia="Times New Roman" w:hAnsi="Times New Roman"/>
          <w:sz w:val="24"/>
          <w:szCs w:val="24"/>
        </w:rPr>
        <w:t>2018</w:t>
      </w:r>
      <w:proofErr w:type="gramEnd"/>
      <w:r w:rsidRPr="00015208">
        <w:rPr>
          <w:rFonts w:ascii="Times New Roman" w:eastAsia="Times New Roman" w:hAnsi="Times New Roman"/>
          <w:sz w:val="24"/>
          <w:szCs w:val="24"/>
        </w:rPr>
        <w:t xml:space="preserve"> decision by 7</w:t>
      </w:r>
      <w:r w:rsidRPr="00015208">
        <w:rPr>
          <w:rFonts w:ascii="Times New Roman" w:eastAsia="Times New Roman" w:hAnsi="Times New Roman"/>
          <w:sz w:val="24"/>
          <w:szCs w:val="24"/>
          <w:vertAlign w:val="superscript"/>
        </w:rPr>
        <w:t>th</w:t>
      </w:r>
      <w:r w:rsidRPr="00015208">
        <w:rPr>
          <w:rFonts w:ascii="Times New Roman" w:eastAsia="Times New Roman" w:hAnsi="Times New Roman"/>
          <w:sz w:val="24"/>
          <w:szCs w:val="24"/>
        </w:rPr>
        <w:t xml:space="preserve"> Circuit in </w:t>
      </w:r>
      <w:r w:rsidRPr="00015208">
        <w:rPr>
          <w:rFonts w:ascii="Times New Roman" w:eastAsia="Times New Roman" w:hAnsi="Times New Roman"/>
          <w:sz w:val="24"/>
          <w:szCs w:val="24"/>
          <w:u w:val="single"/>
        </w:rPr>
        <w:t>Billie Thompson v. Lance Cope</w:t>
      </w:r>
      <w:r w:rsidRPr="00015208">
        <w:rPr>
          <w:rFonts w:ascii="Times New Roman" w:eastAsia="Times New Roman" w:hAnsi="Times New Roman"/>
          <w:sz w:val="24"/>
          <w:szCs w:val="24"/>
        </w:rPr>
        <w:t xml:space="preserve"> where Indianapolis police called EMS to help with </w:t>
      </w:r>
      <w:proofErr w:type="gramStart"/>
      <w:r w:rsidRPr="00015208">
        <w:rPr>
          <w:rFonts w:ascii="Times New Roman" w:eastAsia="Times New Roman" w:hAnsi="Times New Roman"/>
          <w:sz w:val="24"/>
          <w:szCs w:val="24"/>
        </w:rPr>
        <w:t>person</w:t>
      </w:r>
      <w:proofErr w:type="gramEnd"/>
      <w:r w:rsidRPr="00015208">
        <w:rPr>
          <w:rFonts w:ascii="Times New Roman" w:eastAsia="Times New Roman" w:hAnsi="Times New Roman"/>
          <w:sz w:val="24"/>
          <w:szCs w:val="24"/>
        </w:rPr>
        <w:t xml:space="preserve"> found naked, running in street, high on amphetamines, and combative.  EMS administered a sedative – </w:t>
      </w:r>
      <w:r w:rsidRPr="00015208">
        <w:rPr>
          <w:rFonts w:ascii="Times New Roman" w:hAnsi="Times New Roman"/>
          <w:sz w:val="24"/>
          <w:szCs w:val="24"/>
        </w:rPr>
        <w:t xml:space="preserve">Versed - </w:t>
      </w:r>
      <w:r w:rsidRPr="00015208">
        <w:rPr>
          <w:rFonts w:ascii="Times New Roman" w:eastAsia="Times New Roman" w:hAnsi="Times New Roman"/>
          <w:sz w:val="24"/>
          <w:szCs w:val="24"/>
        </w:rPr>
        <w:t xml:space="preserve">patient stopped </w:t>
      </w:r>
      <w:proofErr w:type="gramStart"/>
      <w:r w:rsidRPr="00015208">
        <w:rPr>
          <w:rFonts w:ascii="Times New Roman" w:eastAsia="Times New Roman" w:hAnsi="Times New Roman"/>
          <w:sz w:val="24"/>
          <w:szCs w:val="24"/>
        </w:rPr>
        <w:t>breathing, and</w:t>
      </w:r>
      <w:proofErr w:type="gramEnd"/>
      <w:r w:rsidRPr="00015208">
        <w:rPr>
          <w:rFonts w:ascii="Times New Roman" w:eastAsia="Times New Roman" w:hAnsi="Times New Roman"/>
          <w:sz w:val="24"/>
          <w:szCs w:val="24"/>
        </w:rPr>
        <w:t xml:space="preserve"> was revived; he ultimately died 8-days later.  The Court held (3 to 0), “The paramedic is entitled to qualified immunity on the excessive force claim. Case law did not (and does not) clearly establish that a paramedic can violate a patient-arrestee’s Fourth Amendment rights by exercising medical judgment to administer a sedative in a medical </w:t>
      </w:r>
      <w:proofErr w:type="gramStart"/>
      <w:r w:rsidRPr="00015208">
        <w:rPr>
          <w:rFonts w:ascii="Times New Roman" w:eastAsia="Times New Roman" w:hAnsi="Times New Roman"/>
          <w:sz w:val="24"/>
          <w:szCs w:val="24"/>
        </w:rPr>
        <w:t>emergency.”</w:t>
      </w:r>
      <w:proofErr w:type="gramEnd"/>
      <w:r w:rsidRPr="00015208">
        <w:rPr>
          <w:rFonts w:ascii="Times New Roman" w:eastAsia="Times New Roman" w:hAnsi="Times New Roman"/>
          <w:sz w:val="24"/>
          <w:szCs w:val="24"/>
        </w:rPr>
        <w:t xml:space="preserve"> </w:t>
      </w:r>
      <w:hyperlink r:id="rId351" w:history="1">
        <w:r w:rsidRPr="00015208">
          <w:rPr>
            <w:rStyle w:val="Hyperlink"/>
            <w:rFonts w:ascii="Times New Roman" w:hAnsi="Times New Roman"/>
            <w:sz w:val="24"/>
            <w:szCs w:val="24"/>
          </w:rPr>
          <w:t>https://cases.justia.com/federal/appellate-courts/ca7/17-3060/17-3060-2018-08-14.pdf?ts=1534262420</w:t>
        </w:r>
      </w:hyperlink>
      <w:r w:rsidRPr="00015208">
        <w:rPr>
          <w:rFonts w:ascii="Times New Roman" w:eastAsia="Times New Roman" w:hAnsi="Times New Roman"/>
          <w:sz w:val="24"/>
          <w:szCs w:val="24"/>
        </w:rPr>
        <w:t xml:space="preserve"> </w:t>
      </w:r>
    </w:p>
    <w:p w14:paraId="15417390" w14:textId="77777777" w:rsidR="00637A12" w:rsidRDefault="00637A12" w:rsidP="00791CA3">
      <w:pPr>
        <w:rPr>
          <w:rFonts w:ascii="Arial Black" w:hAnsi="Arial Black"/>
          <w:b/>
          <w:sz w:val="24"/>
          <w:szCs w:val="24"/>
        </w:rPr>
      </w:pPr>
      <w:bookmarkStart w:id="73" w:name="_Hlk7339594"/>
      <w:bookmarkEnd w:id="72"/>
    </w:p>
    <w:p w14:paraId="35BEB28B" w14:textId="3190A61D" w:rsidR="002B1283" w:rsidRDefault="00791CA3" w:rsidP="00791CA3">
      <w:pPr>
        <w:rPr>
          <w:rFonts w:ascii="Arial Black" w:hAnsi="Arial Black"/>
          <w:b/>
          <w:sz w:val="28"/>
          <w:szCs w:val="28"/>
        </w:rPr>
      </w:pPr>
      <w:r w:rsidRPr="00791CA3">
        <w:rPr>
          <w:rFonts w:ascii="Arial Black" w:hAnsi="Arial Black"/>
          <w:b/>
          <w:sz w:val="24"/>
          <w:szCs w:val="24"/>
        </w:rPr>
        <w:t>1-</w:t>
      </w:r>
      <w:r>
        <w:rPr>
          <w:rFonts w:ascii="Arial Black" w:hAnsi="Arial Black"/>
          <w:b/>
          <w:sz w:val="24"/>
          <w:szCs w:val="24"/>
        </w:rPr>
        <w:t>16</w:t>
      </w:r>
    </w:p>
    <w:p w14:paraId="76AFE2FC" w14:textId="41C8219F" w:rsidR="00F326E5" w:rsidRPr="007732FA" w:rsidRDefault="00F326E5" w:rsidP="00F326E5">
      <w:pPr>
        <w:pStyle w:val="NoSpacing"/>
        <w:rPr>
          <w:rFonts w:ascii="Arial Black" w:hAnsi="Arial Black"/>
          <w:b/>
          <w:sz w:val="28"/>
          <w:szCs w:val="28"/>
        </w:rPr>
      </w:pPr>
      <w:r w:rsidRPr="007732FA">
        <w:rPr>
          <w:rFonts w:ascii="Arial Black" w:hAnsi="Arial Black"/>
          <w:b/>
          <w:sz w:val="28"/>
          <w:szCs w:val="28"/>
        </w:rPr>
        <w:t>KY</w:t>
      </w:r>
      <w:r>
        <w:rPr>
          <w:rFonts w:ascii="Arial Black" w:hAnsi="Arial Black"/>
          <w:b/>
          <w:sz w:val="28"/>
          <w:szCs w:val="28"/>
        </w:rPr>
        <w:t xml:space="preserve">: </w:t>
      </w:r>
      <w:r w:rsidRPr="007732FA">
        <w:rPr>
          <w:rFonts w:ascii="Arial Black" w:hAnsi="Arial Black"/>
          <w:b/>
          <w:sz w:val="28"/>
          <w:szCs w:val="28"/>
        </w:rPr>
        <w:t>“R</w:t>
      </w:r>
      <w:r>
        <w:rPr>
          <w:rFonts w:ascii="Arial Black" w:hAnsi="Arial Black"/>
          <w:b/>
          <w:sz w:val="28"/>
          <w:szCs w:val="28"/>
        </w:rPr>
        <w:t xml:space="preserve">IGHT TO WORK” </w:t>
      </w:r>
      <w:r w:rsidRPr="007732FA">
        <w:rPr>
          <w:rFonts w:ascii="Arial Black" w:hAnsi="Arial Black"/>
          <w:b/>
          <w:sz w:val="28"/>
          <w:szCs w:val="28"/>
        </w:rPr>
        <w:t xml:space="preserve">STATUTE UPHELD; SIMILAR TO U.S. SUPREME COURT DECISION IN </w:t>
      </w:r>
      <w:r w:rsidRPr="007732FA">
        <w:rPr>
          <w:rFonts w:ascii="Arial Black" w:hAnsi="Arial Black"/>
          <w:b/>
          <w:i/>
          <w:sz w:val="28"/>
          <w:szCs w:val="28"/>
        </w:rPr>
        <w:t xml:space="preserve">Janis </w:t>
      </w:r>
    </w:p>
    <w:p w14:paraId="31DFDE5E" w14:textId="77777777" w:rsidR="00F17F7A" w:rsidRDefault="00F17F7A" w:rsidP="00F326E5">
      <w:pPr>
        <w:rPr>
          <w:rFonts w:ascii="Times New Roman" w:eastAsia="Times New Roman" w:hAnsi="Times New Roman"/>
          <w:sz w:val="24"/>
          <w:szCs w:val="24"/>
        </w:rPr>
      </w:pPr>
    </w:p>
    <w:p w14:paraId="483BC5F0" w14:textId="42542A19" w:rsidR="00637A12" w:rsidRDefault="00F326E5" w:rsidP="00F326E5">
      <w:pPr>
        <w:rPr>
          <w:rFonts w:ascii="Times New Roman" w:eastAsia="Times New Roman" w:hAnsi="Times New Roman"/>
          <w:sz w:val="24"/>
          <w:szCs w:val="24"/>
        </w:rPr>
      </w:pPr>
      <w:r w:rsidRPr="00013C4B">
        <w:rPr>
          <w:rFonts w:ascii="Times New Roman" w:eastAsia="Times New Roman" w:hAnsi="Times New Roman"/>
          <w:sz w:val="24"/>
          <w:szCs w:val="24"/>
        </w:rPr>
        <w:t xml:space="preserve">On Nov. 15, 2018, in </w:t>
      </w:r>
      <w:r w:rsidRPr="00013C4B">
        <w:rPr>
          <w:rFonts w:ascii="Times New Roman" w:eastAsia="Times New Roman" w:hAnsi="Times New Roman"/>
          <w:sz w:val="24"/>
          <w:szCs w:val="24"/>
          <w:u w:val="single"/>
        </w:rPr>
        <w:t xml:space="preserve">Fred Zuckerman, As Representative </w:t>
      </w:r>
      <w:proofErr w:type="gramStart"/>
      <w:r w:rsidRPr="00013C4B">
        <w:rPr>
          <w:rFonts w:ascii="Times New Roman" w:eastAsia="Times New Roman" w:hAnsi="Times New Roman"/>
          <w:sz w:val="24"/>
          <w:szCs w:val="24"/>
          <w:u w:val="single"/>
        </w:rPr>
        <w:t>Of</w:t>
      </w:r>
      <w:proofErr w:type="gramEnd"/>
      <w:r w:rsidRPr="00013C4B">
        <w:rPr>
          <w:rFonts w:ascii="Times New Roman" w:eastAsia="Times New Roman" w:hAnsi="Times New Roman"/>
          <w:sz w:val="24"/>
          <w:szCs w:val="24"/>
          <w:u w:val="single"/>
        </w:rPr>
        <w:t xml:space="preserve"> </w:t>
      </w:r>
      <w:proofErr w:type="gramStart"/>
      <w:r w:rsidRPr="00013C4B">
        <w:rPr>
          <w:rFonts w:ascii="Times New Roman" w:eastAsia="Times New Roman" w:hAnsi="Times New Roman"/>
          <w:sz w:val="24"/>
          <w:szCs w:val="24"/>
          <w:u w:val="single"/>
        </w:rPr>
        <w:t>The</w:t>
      </w:r>
      <w:proofErr w:type="gramEnd"/>
      <w:r w:rsidRPr="00013C4B">
        <w:rPr>
          <w:rFonts w:ascii="Times New Roman" w:eastAsia="Times New Roman" w:hAnsi="Times New Roman"/>
          <w:sz w:val="24"/>
          <w:szCs w:val="24"/>
          <w:u w:val="single"/>
        </w:rPr>
        <w:t xml:space="preserve"> General Drivers, Warehousemen </w:t>
      </w:r>
      <w:proofErr w:type="gramStart"/>
      <w:r w:rsidRPr="00013C4B">
        <w:rPr>
          <w:rFonts w:ascii="Times New Roman" w:eastAsia="Times New Roman" w:hAnsi="Times New Roman"/>
          <w:sz w:val="24"/>
          <w:szCs w:val="24"/>
          <w:u w:val="single"/>
        </w:rPr>
        <w:t>And</w:t>
      </w:r>
      <w:proofErr w:type="gramEnd"/>
      <w:r w:rsidRPr="00013C4B">
        <w:rPr>
          <w:rFonts w:ascii="Times New Roman" w:eastAsia="Times New Roman" w:hAnsi="Times New Roman"/>
          <w:sz w:val="24"/>
          <w:szCs w:val="24"/>
          <w:u w:val="single"/>
        </w:rPr>
        <w:t xml:space="preserve"> Helpers Local Union No. 89 v. Matthew G. Bevin, Governor</w:t>
      </w:r>
      <w:r w:rsidRPr="00013C4B">
        <w:rPr>
          <w:rFonts w:ascii="Times New Roman" w:eastAsia="Times New Roman" w:hAnsi="Times New Roman"/>
          <w:sz w:val="24"/>
          <w:szCs w:val="24"/>
        </w:rPr>
        <w:t xml:space="preserve">, the Kentucky Supreme Court (4 to 3) upheld the statute: </w:t>
      </w:r>
    </w:p>
    <w:p w14:paraId="54A3C40C" w14:textId="38255271" w:rsidR="00F326E5" w:rsidRPr="00013C4B" w:rsidRDefault="00F326E5" w:rsidP="00637A12">
      <w:pPr>
        <w:ind w:left="720"/>
        <w:rPr>
          <w:rFonts w:ascii="Times New Roman" w:eastAsia="Times New Roman" w:hAnsi="Times New Roman"/>
          <w:sz w:val="24"/>
          <w:szCs w:val="24"/>
        </w:rPr>
      </w:pPr>
      <w:r w:rsidRPr="00013C4B">
        <w:rPr>
          <w:rFonts w:ascii="Times New Roman" w:eastAsia="Times New Roman" w:hAnsi="Times New Roman"/>
          <w:sz w:val="24"/>
          <w:szCs w:val="24"/>
        </w:rPr>
        <w:t>“</w:t>
      </w:r>
      <w:proofErr w:type="gramStart"/>
      <w:r w:rsidRPr="00013C4B">
        <w:rPr>
          <w:rFonts w:ascii="Times New Roman" w:eastAsia="Times New Roman" w:hAnsi="Times New Roman"/>
          <w:sz w:val="24"/>
          <w:szCs w:val="24"/>
        </w:rPr>
        <w:t>we</w:t>
      </w:r>
      <w:proofErr w:type="gramEnd"/>
      <w:r w:rsidRPr="00013C4B">
        <w:rPr>
          <w:rFonts w:ascii="Times New Roman" w:eastAsia="Times New Roman" w:hAnsi="Times New Roman"/>
          <w:sz w:val="24"/>
          <w:szCs w:val="24"/>
        </w:rPr>
        <w:t xml:space="preserve"> hold that the Unions’ constitutional challenges to the Act are without merit. In this area of economic legislation, the legislature and the executive branch make the policy, not the courts.” </w:t>
      </w:r>
      <w:hyperlink r:id="rId352" w:history="1">
        <w:r w:rsidRPr="00013C4B">
          <w:rPr>
            <w:rStyle w:val="Hyperlink"/>
            <w:sz w:val="24"/>
            <w:szCs w:val="24"/>
          </w:rPr>
          <w:t>https://cases.justia.com/kentucky/supreme-court/2018-2018-sc-000097-tg.pdf?ts=1542294839</w:t>
        </w:r>
      </w:hyperlink>
      <w:r w:rsidRPr="00013C4B">
        <w:rPr>
          <w:rFonts w:ascii="Times New Roman" w:eastAsia="Times New Roman" w:hAnsi="Times New Roman"/>
          <w:sz w:val="24"/>
          <w:szCs w:val="24"/>
        </w:rPr>
        <w:t xml:space="preserve"> </w:t>
      </w:r>
    </w:p>
    <w:p w14:paraId="29A4ECC8" w14:textId="77777777" w:rsidR="00F326E5" w:rsidRDefault="00F326E5" w:rsidP="00F326E5">
      <w:pPr>
        <w:rPr>
          <w:rFonts w:ascii="Times New Roman" w:eastAsia="Times New Roman" w:hAnsi="Times New Roman"/>
          <w:sz w:val="24"/>
          <w:szCs w:val="24"/>
        </w:rPr>
      </w:pPr>
      <w:r w:rsidRPr="00013C4B">
        <w:rPr>
          <w:rFonts w:ascii="Times New Roman" w:eastAsia="Times New Roman" w:hAnsi="Times New Roman"/>
          <w:b/>
          <w:sz w:val="24"/>
          <w:szCs w:val="24"/>
        </w:rPr>
        <w:t xml:space="preserve">Legal Lessons Learned:  Fire &amp; EMS departments, not only in Kentucky, but in all states must now follow the U.S. Supreme Court’s decision, June 27, 2018, in </w:t>
      </w:r>
      <w:r w:rsidRPr="00013C4B">
        <w:rPr>
          <w:rFonts w:ascii="Times New Roman" w:eastAsia="Times New Roman" w:hAnsi="Times New Roman"/>
          <w:b/>
          <w:sz w:val="24"/>
          <w:szCs w:val="24"/>
          <w:u w:val="single"/>
        </w:rPr>
        <w:t>Janus v. American Federation of State, County, and Municipal Employees, Council 31</w:t>
      </w:r>
      <w:r w:rsidRPr="00013C4B">
        <w:rPr>
          <w:rFonts w:ascii="Times New Roman" w:eastAsia="Times New Roman" w:hAnsi="Times New Roman"/>
          <w:b/>
          <w:sz w:val="24"/>
          <w:szCs w:val="24"/>
        </w:rPr>
        <w:t>, which held (5 to 4), “Under Illinois law, public employees are forced to subsi</w:t>
      </w:r>
      <w:r w:rsidRPr="00013C4B">
        <w:rPr>
          <w:rFonts w:ascii="Times New Roman" w:eastAsia="Times New Roman" w:hAnsi="Times New Roman"/>
          <w:b/>
          <w:sz w:val="24"/>
          <w:szCs w:val="24"/>
        </w:rPr>
        <w:softHyphen/>
        <w:t>dize a union, even if they choose not to join and strongly object to the positions the union takes in collective bar</w:t>
      </w:r>
      <w:r w:rsidRPr="00013C4B">
        <w:rPr>
          <w:rFonts w:ascii="Times New Roman" w:eastAsia="Times New Roman" w:hAnsi="Times New Roman"/>
          <w:b/>
          <w:sz w:val="24"/>
          <w:szCs w:val="24"/>
        </w:rPr>
        <w:softHyphen/>
        <w:t xml:space="preserve"> gaining and related activities. We conclude that this arrangement violates the free speech rights of nonmem</w:t>
      </w:r>
      <w:r w:rsidRPr="00013C4B">
        <w:rPr>
          <w:rFonts w:ascii="Times New Roman" w:eastAsia="Times New Roman" w:hAnsi="Times New Roman"/>
          <w:b/>
          <w:sz w:val="24"/>
          <w:szCs w:val="24"/>
        </w:rPr>
        <w:softHyphen/>
        <w:t xml:space="preserve">bers by compelling them to subsidize private speech on matters of substantial public </w:t>
      </w:r>
      <w:proofErr w:type="gramStart"/>
      <w:r w:rsidRPr="00013C4B">
        <w:rPr>
          <w:rFonts w:ascii="Times New Roman" w:eastAsia="Times New Roman" w:hAnsi="Times New Roman"/>
          <w:b/>
          <w:sz w:val="24"/>
          <w:szCs w:val="24"/>
        </w:rPr>
        <w:t>concern.”</w:t>
      </w:r>
      <w:proofErr w:type="gramEnd"/>
      <w:r w:rsidRPr="00013C4B">
        <w:rPr>
          <w:rFonts w:ascii="Times New Roman" w:eastAsia="Times New Roman" w:hAnsi="Times New Roman"/>
          <w:sz w:val="24"/>
          <w:szCs w:val="24"/>
        </w:rPr>
        <w:t xml:space="preserve">   </w:t>
      </w:r>
      <w:hyperlink r:id="rId353" w:history="1">
        <w:r w:rsidRPr="00013C4B">
          <w:rPr>
            <w:rStyle w:val="Hyperlink"/>
            <w:sz w:val="24"/>
            <w:szCs w:val="24"/>
          </w:rPr>
          <w:t>https://www.supremecourt.gov/opinions/17pdf/16-1466_2b3j.pdf</w:t>
        </w:r>
      </w:hyperlink>
      <w:r w:rsidRPr="00013C4B">
        <w:rPr>
          <w:rFonts w:ascii="Times New Roman" w:eastAsia="Times New Roman" w:hAnsi="Times New Roman"/>
          <w:sz w:val="24"/>
          <w:szCs w:val="24"/>
        </w:rPr>
        <w:t xml:space="preserve"> </w:t>
      </w:r>
    </w:p>
    <w:p w14:paraId="5C9F1ACD" w14:textId="77777777" w:rsidR="00F326E5" w:rsidRPr="00013C4B" w:rsidRDefault="00F326E5" w:rsidP="00F326E5">
      <w:pPr>
        <w:ind w:firstLine="720"/>
        <w:rPr>
          <w:rFonts w:ascii="Times New Roman" w:eastAsia="Times New Roman" w:hAnsi="Times New Roman"/>
          <w:bCs/>
          <w:sz w:val="24"/>
          <w:szCs w:val="24"/>
        </w:rPr>
      </w:pPr>
      <w:r w:rsidRPr="00013C4B">
        <w:rPr>
          <w:rFonts w:ascii="Times New Roman" w:eastAsia="Times New Roman" w:hAnsi="Times New Roman"/>
          <w:sz w:val="24"/>
          <w:szCs w:val="24"/>
        </w:rPr>
        <w:t xml:space="preserve">See IAFF statement in response to the </w:t>
      </w:r>
      <w:r w:rsidRPr="00013C4B">
        <w:rPr>
          <w:rFonts w:ascii="Times New Roman" w:eastAsia="Times New Roman" w:hAnsi="Times New Roman"/>
          <w:i/>
          <w:sz w:val="24"/>
          <w:szCs w:val="24"/>
        </w:rPr>
        <w:t>Janus</w:t>
      </w:r>
      <w:r w:rsidRPr="00013C4B">
        <w:rPr>
          <w:rFonts w:ascii="Times New Roman" w:eastAsia="Times New Roman" w:hAnsi="Times New Roman"/>
          <w:sz w:val="24"/>
          <w:szCs w:val="24"/>
        </w:rPr>
        <w:t xml:space="preserve"> decision:  </w:t>
      </w:r>
    </w:p>
    <w:p w14:paraId="5ED408E1" w14:textId="77777777" w:rsidR="00F326E5" w:rsidRPr="00013C4B" w:rsidRDefault="00F326E5" w:rsidP="00F326E5">
      <w:pPr>
        <w:ind w:left="720"/>
        <w:rPr>
          <w:rFonts w:ascii="Times New Roman" w:eastAsia="Times New Roman" w:hAnsi="Times New Roman"/>
          <w:sz w:val="24"/>
          <w:szCs w:val="24"/>
        </w:rPr>
      </w:pPr>
      <w:r w:rsidRPr="00013C4B">
        <w:rPr>
          <w:rFonts w:ascii="Times New Roman" w:eastAsia="Times New Roman" w:hAnsi="Times New Roman"/>
          <w:bCs/>
          <w:sz w:val="24"/>
          <w:szCs w:val="24"/>
        </w:rPr>
        <w:t xml:space="preserve">General President Harold Schaitberger issued this statement on the Supreme Court 5-4 decision overruling decades of precedent in the case of </w:t>
      </w:r>
      <w:r w:rsidRPr="00013C4B">
        <w:rPr>
          <w:rFonts w:ascii="Times New Roman" w:eastAsia="Times New Roman" w:hAnsi="Times New Roman"/>
          <w:bCs/>
          <w:i/>
          <w:iCs/>
          <w:sz w:val="24"/>
          <w:szCs w:val="24"/>
        </w:rPr>
        <w:t>Janus v AFSCME Council 31</w:t>
      </w:r>
      <w:r w:rsidRPr="00013C4B">
        <w:rPr>
          <w:rFonts w:ascii="Times New Roman" w:eastAsia="Times New Roman" w:hAnsi="Times New Roman"/>
          <w:bCs/>
          <w:sz w:val="24"/>
          <w:szCs w:val="24"/>
        </w:rPr>
        <w:t xml:space="preserve">: </w:t>
      </w:r>
      <w:hyperlink r:id="rId354" w:anchor="contentid=68451" w:history="1">
        <w:r w:rsidRPr="00013C4B">
          <w:rPr>
            <w:rStyle w:val="Hyperlink"/>
            <w:sz w:val="24"/>
            <w:szCs w:val="24"/>
          </w:rPr>
          <w:t>http://client.prod.iaff.org/#contentid=68451</w:t>
        </w:r>
      </w:hyperlink>
      <w:r w:rsidRPr="00013C4B">
        <w:rPr>
          <w:rFonts w:ascii="Times New Roman" w:eastAsia="Times New Roman" w:hAnsi="Times New Roman"/>
          <w:bCs/>
          <w:sz w:val="24"/>
          <w:szCs w:val="24"/>
        </w:rPr>
        <w:t xml:space="preserve"> </w:t>
      </w:r>
    </w:p>
    <w:p w14:paraId="07659AD9" w14:textId="77777777" w:rsidR="00F326E5" w:rsidRPr="00013C4B" w:rsidRDefault="00F326E5" w:rsidP="00F326E5">
      <w:pPr>
        <w:spacing w:before="100" w:beforeAutospacing="1" w:after="100" w:afterAutospacing="1"/>
        <w:ind w:left="720"/>
        <w:rPr>
          <w:rFonts w:ascii="Times New Roman" w:eastAsia="Times New Roman" w:hAnsi="Times New Roman"/>
          <w:sz w:val="24"/>
          <w:szCs w:val="24"/>
        </w:rPr>
      </w:pPr>
      <w:r w:rsidRPr="00013C4B">
        <w:rPr>
          <w:rFonts w:ascii="Times New Roman" w:eastAsia="Times New Roman" w:hAnsi="Times New Roman"/>
          <w:sz w:val="24"/>
          <w:szCs w:val="24"/>
        </w:rPr>
        <w:t xml:space="preserve">Washington, DC – “The Janus v AFSCME Council 31 case was pushed by forces that want to take away the voices of fire fighters and the power of all public employee unions. The intent is to </w:t>
      </w:r>
      <w:proofErr w:type="gramStart"/>
      <w:r w:rsidRPr="00013C4B">
        <w:rPr>
          <w:rFonts w:ascii="Times New Roman" w:eastAsia="Times New Roman" w:hAnsi="Times New Roman"/>
          <w:sz w:val="24"/>
          <w:szCs w:val="24"/>
        </w:rPr>
        <w:t>handicap</w:t>
      </w:r>
      <w:proofErr w:type="gramEnd"/>
      <w:r w:rsidRPr="00013C4B">
        <w:rPr>
          <w:rFonts w:ascii="Times New Roman" w:eastAsia="Times New Roman" w:hAnsi="Times New Roman"/>
          <w:sz w:val="24"/>
          <w:szCs w:val="24"/>
        </w:rPr>
        <w:t xml:space="preserve"> unions in our ability to improve members' lives and to weaken the political power of public employees.</w:t>
      </w:r>
    </w:p>
    <w:p w14:paraId="5FF23B04" w14:textId="77777777" w:rsidR="00F326E5" w:rsidRPr="00013C4B" w:rsidRDefault="00F326E5" w:rsidP="00F326E5">
      <w:pPr>
        <w:spacing w:before="100" w:beforeAutospacing="1" w:after="100" w:afterAutospacing="1"/>
        <w:ind w:left="720"/>
        <w:rPr>
          <w:rFonts w:ascii="Times New Roman" w:eastAsia="Times New Roman" w:hAnsi="Times New Roman"/>
          <w:sz w:val="24"/>
          <w:szCs w:val="24"/>
        </w:rPr>
      </w:pPr>
      <w:r w:rsidRPr="00013C4B">
        <w:rPr>
          <w:rFonts w:ascii="Times New Roman" w:eastAsia="Times New Roman" w:hAnsi="Times New Roman"/>
          <w:sz w:val="24"/>
          <w:szCs w:val="24"/>
        </w:rPr>
        <w:t xml:space="preserve">“We know the potential negative impacts that could come from the Supreme Court’s decision in </w:t>
      </w:r>
      <w:proofErr w:type="gramStart"/>
      <w:r w:rsidRPr="00013C4B">
        <w:rPr>
          <w:rFonts w:ascii="Times New Roman" w:eastAsia="Times New Roman" w:hAnsi="Times New Roman"/>
          <w:i/>
          <w:iCs/>
          <w:sz w:val="24"/>
          <w:szCs w:val="24"/>
        </w:rPr>
        <w:t>Janus</w:t>
      </w:r>
      <w:r w:rsidRPr="00013C4B">
        <w:rPr>
          <w:rFonts w:ascii="Times New Roman" w:eastAsia="Times New Roman" w:hAnsi="Times New Roman"/>
          <w:sz w:val="24"/>
          <w:szCs w:val="24"/>
        </w:rPr>
        <w:t>,</w:t>
      </w:r>
      <w:proofErr w:type="gramEnd"/>
      <w:r w:rsidRPr="00013C4B">
        <w:rPr>
          <w:rFonts w:ascii="Times New Roman" w:eastAsia="Times New Roman" w:hAnsi="Times New Roman"/>
          <w:sz w:val="24"/>
          <w:szCs w:val="24"/>
        </w:rPr>
        <w:t xml:space="preserve"> however we are ready to take the best punch and deliver some blows ourselves to those that want to see fire fighters and their unions weakened.</w:t>
      </w:r>
    </w:p>
    <w:p w14:paraId="6ACEED87" w14:textId="77777777" w:rsidR="00F326E5" w:rsidRPr="00013C4B" w:rsidRDefault="00F326E5" w:rsidP="00F326E5">
      <w:pPr>
        <w:spacing w:before="100" w:beforeAutospacing="1" w:after="100" w:afterAutospacing="1"/>
        <w:ind w:left="720"/>
        <w:rPr>
          <w:rFonts w:ascii="Times New Roman" w:eastAsia="Times New Roman" w:hAnsi="Times New Roman"/>
          <w:sz w:val="24"/>
          <w:szCs w:val="24"/>
        </w:rPr>
      </w:pPr>
      <w:r w:rsidRPr="00013C4B">
        <w:rPr>
          <w:rFonts w:ascii="Times New Roman" w:eastAsia="Times New Roman" w:hAnsi="Times New Roman"/>
          <w:sz w:val="24"/>
          <w:szCs w:val="24"/>
        </w:rPr>
        <w:t xml:space="preserve">“While the Janus decision is another attack on organized labor, every attack can be turned into an opportunity, and we are determined not to let this decision hold us back from our important mission. The IAFF has operated successfully under </w:t>
      </w:r>
      <w:r w:rsidRPr="00013C4B">
        <w:rPr>
          <w:rFonts w:ascii="Times New Roman" w:eastAsia="Times New Roman" w:hAnsi="Times New Roman"/>
          <w:i/>
          <w:iCs/>
          <w:sz w:val="24"/>
          <w:szCs w:val="24"/>
        </w:rPr>
        <w:t>Janus</w:t>
      </w:r>
      <w:r w:rsidRPr="00013C4B">
        <w:rPr>
          <w:rFonts w:ascii="Times New Roman" w:eastAsia="Times New Roman" w:hAnsi="Times New Roman"/>
          <w:sz w:val="24"/>
          <w:szCs w:val="24"/>
        </w:rPr>
        <w:t>-like rules in right-to-work and non-collective bargaining states for decades. We have proven that you can have strong affiliates that deliver better pay, health care, retirement security, health and safety provisions and a voice in keeping their communities safe in these tough environments.</w:t>
      </w:r>
    </w:p>
    <w:p w14:paraId="1F7B5585" w14:textId="77777777" w:rsidR="00F326E5" w:rsidRPr="00013C4B" w:rsidRDefault="00F326E5" w:rsidP="00F326E5">
      <w:pPr>
        <w:spacing w:before="100" w:beforeAutospacing="1" w:after="100" w:afterAutospacing="1"/>
        <w:ind w:left="720"/>
        <w:rPr>
          <w:rFonts w:ascii="Times New Roman" w:eastAsia="Times New Roman" w:hAnsi="Times New Roman"/>
          <w:sz w:val="24"/>
          <w:szCs w:val="24"/>
        </w:rPr>
      </w:pPr>
      <w:r w:rsidRPr="00013C4B">
        <w:rPr>
          <w:rFonts w:ascii="Times New Roman" w:eastAsia="Times New Roman" w:hAnsi="Times New Roman"/>
          <w:sz w:val="24"/>
          <w:szCs w:val="24"/>
        </w:rPr>
        <w:t>“We represent more than 85 percent of all professional fire fighters and paramedics in the U.S. because we consistently demonstrate our value, through our strong affiliates, that being union fire fighters provides a significantly better standard of living and safer working environment than those who are not union. We believe that difference will become even more stark, and we are working to represent that small percentage of fire fighters who aren't in our union so that we can raise their standard of living and increase their ability to have a strong voice in public safety.</w:t>
      </w:r>
    </w:p>
    <w:p w14:paraId="598CA45C" w14:textId="77777777" w:rsidR="00F326E5" w:rsidRPr="00013C4B" w:rsidRDefault="00F326E5" w:rsidP="00F326E5">
      <w:pPr>
        <w:spacing w:before="100" w:beforeAutospacing="1" w:after="100" w:afterAutospacing="1"/>
        <w:ind w:left="720"/>
        <w:rPr>
          <w:rFonts w:ascii="Times New Roman" w:eastAsia="Times New Roman" w:hAnsi="Times New Roman"/>
          <w:sz w:val="24"/>
          <w:szCs w:val="24"/>
        </w:rPr>
      </w:pPr>
      <w:r w:rsidRPr="00013C4B">
        <w:rPr>
          <w:rFonts w:ascii="Times New Roman" w:eastAsia="Times New Roman" w:hAnsi="Times New Roman"/>
          <w:sz w:val="24"/>
          <w:szCs w:val="24"/>
        </w:rPr>
        <w:t xml:space="preserve">“This case was intended as a political push to eliminate the power of people who work to support their families and the power of their unions. But instead, the </w:t>
      </w:r>
      <w:r w:rsidRPr="00013C4B">
        <w:rPr>
          <w:rFonts w:ascii="Times New Roman" w:eastAsia="Times New Roman" w:hAnsi="Times New Roman"/>
          <w:i/>
          <w:iCs/>
          <w:sz w:val="24"/>
          <w:szCs w:val="24"/>
        </w:rPr>
        <w:t>Janus</w:t>
      </w:r>
      <w:r w:rsidRPr="00013C4B">
        <w:rPr>
          <w:rFonts w:ascii="Times New Roman" w:eastAsia="Times New Roman" w:hAnsi="Times New Roman"/>
          <w:sz w:val="24"/>
          <w:szCs w:val="24"/>
        </w:rPr>
        <w:t xml:space="preserve"> case is activating an army of union leaders to better engage their members.”</w:t>
      </w:r>
    </w:p>
    <w:bookmarkEnd w:id="73"/>
    <w:p w14:paraId="038A3D7C" w14:textId="77777777" w:rsidR="00F326E5" w:rsidRDefault="00F326E5" w:rsidP="00F326E5">
      <w:pPr>
        <w:pStyle w:val="NoSpacing"/>
        <w:rPr>
          <w:sz w:val="24"/>
          <w:szCs w:val="24"/>
        </w:rPr>
      </w:pPr>
    </w:p>
    <w:p w14:paraId="0AB6162E" w14:textId="77777777" w:rsidR="002B1283" w:rsidRDefault="002B1283" w:rsidP="00F326E5">
      <w:pPr>
        <w:pStyle w:val="NoSpacing"/>
        <w:rPr>
          <w:rFonts w:ascii="Arial Black" w:hAnsi="Arial Black"/>
          <w:b/>
          <w:sz w:val="28"/>
          <w:szCs w:val="28"/>
        </w:rPr>
      </w:pPr>
      <w:bookmarkStart w:id="74" w:name="_Hlk7339701"/>
    </w:p>
    <w:p w14:paraId="1B731B8D" w14:textId="77777777" w:rsidR="002B1283" w:rsidRDefault="002B1283" w:rsidP="00F326E5">
      <w:pPr>
        <w:pStyle w:val="NoSpacing"/>
        <w:rPr>
          <w:rFonts w:ascii="Arial Black" w:hAnsi="Arial Black"/>
          <w:b/>
          <w:sz w:val="28"/>
          <w:szCs w:val="28"/>
        </w:rPr>
      </w:pPr>
    </w:p>
    <w:p w14:paraId="2432A207" w14:textId="7002696A"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15</w:t>
      </w:r>
    </w:p>
    <w:p w14:paraId="309AE323" w14:textId="78D1E78A" w:rsidR="00F326E5" w:rsidRDefault="00F326E5" w:rsidP="00F326E5">
      <w:pPr>
        <w:pStyle w:val="NoSpacing"/>
        <w:rPr>
          <w:rFonts w:ascii="Arial Black" w:hAnsi="Arial Black"/>
          <w:b/>
          <w:sz w:val="24"/>
          <w:szCs w:val="24"/>
        </w:rPr>
      </w:pPr>
      <w:r w:rsidRPr="00BC5C14">
        <w:rPr>
          <w:rFonts w:ascii="Arial Black" w:hAnsi="Arial Black"/>
          <w:b/>
          <w:sz w:val="28"/>
          <w:szCs w:val="28"/>
        </w:rPr>
        <w:t>WI</w:t>
      </w:r>
      <w:r>
        <w:rPr>
          <w:rFonts w:ascii="Arial Black" w:hAnsi="Arial Black"/>
          <w:b/>
          <w:sz w:val="28"/>
          <w:szCs w:val="28"/>
        </w:rPr>
        <w:t xml:space="preserve">: </w:t>
      </w:r>
      <w:r w:rsidRPr="00BC5C14">
        <w:rPr>
          <w:rFonts w:ascii="Arial Black" w:hAnsi="Arial Black"/>
          <w:b/>
          <w:sz w:val="28"/>
          <w:szCs w:val="28"/>
        </w:rPr>
        <w:t>F</w:t>
      </w:r>
      <w:r>
        <w:rPr>
          <w:rFonts w:ascii="Arial Black" w:hAnsi="Arial Black"/>
          <w:b/>
          <w:sz w:val="28"/>
          <w:szCs w:val="28"/>
        </w:rPr>
        <w:t>OREST FIRE – INSURANCE COMPANY HAS LIMITED LIABILITY OF $500,000</w:t>
      </w:r>
    </w:p>
    <w:p w14:paraId="5E3F2990" w14:textId="77777777" w:rsidR="00637A12" w:rsidRDefault="00F326E5" w:rsidP="00F326E5">
      <w:pPr>
        <w:pStyle w:val="NoSpacing"/>
        <w:rPr>
          <w:rFonts w:ascii="Times New Roman" w:hAnsi="Times New Roman"/>
          <w:sz w:val="24"/>
          <w:szCs w:val="24"/>
        </w:rPr>
      </w:pPr>
      <w:r w:rsidRPr="00015208">
        <w:rPr>
          <w:rFonts w:ascii="Times New Roman" w:hAnsi="Times New Roman"/>
          <w:sz w:val="24"/>
          <w:szCs w:val="24"/>
        </w:rPr>
        <w:t xml:space="preserve">On Oct. 30, 2018, in </w:t>
      </w:r>
      <w:r w:rsidRPr="00015208">
        <w:rPr>
          <w:rFonts w:ascii="Times New Roman" w:hAnsi="Times New Roman"/>
          <w:sz w:val="24"/>
          <w:szCs w:val="24"/>
          <w:u w:val="single"/>
        </w:rPr>
        <w:t>SECURA Insurance, A Mutual Company v. Lyme St. Croix Forest Company, LLC, et al.</w:t>
      </w:r>
      <w:r w:rsidRPr="00015208">
        <w:rPr>
          <w:rFonts w:ascii="Times New Roman" w:hAnsi="Times New Roman"/>
          <w:sz w:val="24"/>
          <w:szCs w:val="24"/>
        </w:rPr>
        <w:t xml:space="preserve">, the Wisconsin Supreme Court reversed the trial court, and the Wisconsin Appeals Court, and held (7 to 0): </w:t>
      </w:r>
    </w:p>
    <w:p w14:paraId="4E9BE49C" w14:textId="77777777" w:rsidR="00637A12" w:rsidRDefault="00637A12" w:rsidP="00637A12">
      <w:pPr>
        <w:pStyle w:val="NoSpacing"/>
        <w:ind w:firstLine="720"/>
        <w:rPr>
          <w:rFonts w:ascii="Times New Roman" w:hAnsi="Times New Roman"/>
          <w:sz w:val="24"/>
          <w:szCs w:val="24"/>
        </w:rPr>
      </w:pPr>
    </w:p>
    <w:p w14:paraId="41089480" w14:textId="382A6CC7" w:rsidR="00F326E5" w:rsidRPr="00015208" w:rsidRDefault="00F326E5" w:rsidP="00637A12">
      <w:pPr>
        <w:pStyle w:val="NoSpacing"/>
        <w:ind w:left="720"/>
        <w:rPr>
          <w:rFonts w:ascii="Times New Roman" w:hAnsi="Times New Roman"/>
          <w:sz w:val="24"/>
          <w:szCs w:val="24"/>
        </w:rPr>
      </w:pPr>
      <w:r w:rsidRPr="00015208">
        <w:rPr>
          <w:rFonts w:ascii="Times New Roman" w:hAnsi="Times New Roman"/>
          <w:sz w:val="24"/>
          <w:szCs w:val="24"/>
        </w:rPr>
        <w:t>“Despite the fact that the fire crossed several property lines, Secura contends it was a single, uninterrupted cause of the alleged damages. *** We conclude that the fire at issue constitutes a single occurrence pursuant to the CGL [Commercial General Liability] policy. Consequently, the $500,000 per-occurrence limit for property damage applies.”</w:t>
      </w:r>
    </w:p>
    <w:p w14:paraId="0135C3BA" w14:textId="0360C5D9" w:rsidR="00F326E5" w:rsidRPr="00015208" w:rsidRDefault="00637A12" w:rsidP="00637A12">
      <w:pPr>
        <w:pStyle w:val="NoSpacing"/>
        <w:ind w:firstLine="720"/>
        <w:rPr>
          <w:rFonts w:ascii="Times New Roman" w:hAnsi="Times New Roman"/>
          <w:sz w:val="24"/>
          <w:szCs w:val="24"/>
        </w:rPr>
      </w:pPr>
      <w:hyperlink r:id="rId355" w:history="1">
        <w:r w:rsidRPr="002F304C">
          <w:rPr>
            <w:rStyle w:val="Hyperlink"/>
            <w:rFonts w:ascii="Times New Roman" w:hAnsi="Times New Roman"/>
            <w:sz w:val="24"/>
            <w:szCs w:val="24"/>
          </w:rPr>
          <w:t>https://www.wicourts.gov/sc/opinion/DisplayDocument.pdf?content=pdf&amp;seqNo=224718</w:t>
        </w:r>
      </w:hyperlink>
      <w:r w:rsidR="00F326E5" w:rsidRPr="00015208">
        <w:rPr>
          <w:rFonts w:ascii="Times New Roman" w:hAnsi="Times New Roman"/>
          <w:sz w:val="24"/>
          <w:szCs w:val="24"/>
        </w:rPr>
        <w:t xml:space="preserve"> </w:t>
      </w:r>
    </w:p>
    <w:p w14:paraId="43337987" w14:textId="77777777" w:rsidR="00637A12" w:rsidRDefault="00637A12" w:rsidP="00F326E5">
      <w:pPr>
        <w:rPr>
          <w:rFonts w:ascii="Times New Roman" w:eastAsia="Times New Roman" w:hAnsi="Times New Roman"/>
          <w:b/>
          <w:sz w:val="24"/>
          <w:szCs w:val="24"/>
        </w:rPr>
      </w:pPr>
    </w:p>
    <w:p w14:paraId="06A26627" w14:textId="3292C244" w:rsidR="00F326E5" w:rsidRPr="00015208" w:rsidRDefault="00F326E5" w:rsidP="00F326E5">
      <w:pPr>
        <w:rPr>
          <w:rFonts w:ascii="Times New Roman" w:eastAsia="Times New Roman" w:hAnsi="Times New Roman"/>
          <w:b/>
          <w:sz w:val="24"/>
          <w:szCs w:val="24"/>
        </w:rPr>
      </w:pPr>
      <w:r w:rsidRPr="00015208">
        <w:rPr>
          <w:rFonts w:ascii="Times New Roman" w:eastAsia="Times New Roman" w:hAnsi="Times New Roman"/>
          <w:b/>
          <w:sz w:val="24"/>
          <w:szCs w:val="24"/>
        </w:rPr>
        <w:t xml:space="preserve">Legal Lessons Learned: The logging equipment company, which paid for insurance against this type of loss, must feel that its insurance company has treated their customer like “manure.”  Insurance policies are often difficult to interpret.  Fire &amp; EMS departments should invite their liability insurance carrier(s) in for a discussion about what is covered and what is not covered. </w:t>
      </w:r>
    </w:p>
    <w:bookmarkEnd w:id="74"/>
    <w:p w14:paraId="684B357A" w14:textId="77777777" w:rsidR="00F326E5" w:rsidRPr="00DE6D89" w:rsidRDefault="00F326E5" w:rsidP="00F326E5">
      <w:pPr>
        <w:pStyle w:val="NoSpacing"/>
        <w:rPr>
          <w:b/>
          <w:sz w:val="24"/>
          <w:szCs w:val="24"/>
        </w:rPr>
      </w:pPr>
    </w:p>
    <w:p w14:paraId="6A686F15" w14:textId="77777777" w:rsidR="00637A12" w:rsidRDefault="00637A12" w:rsidP="00791CA3">
      <w:pPr>
        <w:rPr>
          <w:rFonts w:ascii="Arial Black" w:hAnsi="Arial Black"/>
          <w:b/>
          <w:sz w:val="24"/>
          <w:szCs w:val="24"/>
        </w:rPr>
      </w:pPr>
    </w:p>
    <w:p w14:paraId="7041406B" w14:textId="28CA0D2E"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14</w:t>
      </w:r>
    </w:p>
    <w:p w14:paraId="132A03EF" w14:textId="77777777" w:rsidR="00791CA3" w:rsidRDefault="00791CA3" w:rsidP="00F326E5">
      <w:pPr>
        <w:pStyle w:val="NoSpacing"/>
        <w:rPr>
          <w:sz w:val="24"/>
          <w:szCs w:val="24"/>
        </w:rPr>
      </w:pPr>
    </w:p>
    <w:p w14:paraId="0ABF84E5" w14:textId="29F4B1DD" w:rsidR="00F326E5" w:rsidRPr="00992A0C" w:rsidRDefault="00F326E5" w:rsidP="00F326E5">
      <w:pPr>
        <w:pStyle w:val="NoSpacing"/>
        <w:rPr>
          <w:rFonts w:ascii="Arial Black" w:hAnsi="Arial Black"/>
          <w:b/>
          <w:sz w:val="28"/>
          <w:szCs w:val="28"/>
        </w:rPr>
      </w:pPr>
      <w:bookmarkStart w:id="75" w:name="_Hlk7339777"/>
      <w:r w:rsidRPr="00992A0C">
        <w:rPr>
          <w:rFonts w:ascii="Arial Black" w:hAnsi="Arial Black"/>
          <w:b/>
          <w:sz w:val="28"/>
          <w:szCs w:val="28"/>
        </w:rPr>
        <w:t>OH</w:t>
      </w:r>
      <w:r>
        <w:rPr>
          <w:rFonts w:ascii="Arial Black" w:hAnsi="Arial Black"/>
          <w:b/>
          <w:sz w:val="28"/>
          <w:szCs w:val="28"/>
        </w:rPr>
        <w:t xml:space="preserve">: FIRE CODE VIOLATIONS - COURT MAY ORDER INSPECTION OF UNOCCUPIED BUILDING </w:t>
      </w:r>
    </w:p>
    <w:p w14:paraId="55FBF1BB" w14:textId="77777777" w:rsidR="00637A12" w:rsidRDefault="00F326E5" w:rsidP="00F326E5">
      <w:pPr>
        <w:rPr>
          <w:rFonts w:ascii="Times New Roman" w:eastAsia="Times New Roman" w:hAnsi="Times New Roman"/>
          <w:sz w:val="24"/>
          <w:szCs w:val="24"/>
        </w:rPr>
      </w:pPr>
      <w:r w:rsidRPr="00015208">
        <w:rPr>
          <w:rFonts w:ascii="Times New Roman" w:eastAsia="Times New Roman" w:hAnsi="Times New Roman"/>
          <w:sz w:val="24"/>
          <w:szCs w:val="24"/>
        </w:rPr>
        <w:t xml:space="preserve">On Oct. 11, 2018, in </w:t>
      </w:r>
      <w:r w:rsidRPr="00015208">
        <w:rPr>
          <w:rFonts w:ascii="Times New Roman" w:eastAsia="Times New Roman" w:hAnsi="Times New Roman"/>
          <w:sz w:val="24"/>
          <w:szCs w:val="24"/>
          <w:u w:val="single"/>
        </w:rPr>
        <w:t>City of Cleveland v. James Grunt, Jr.,</w:t>
      </w:r>
      <w:r w:rsidRPr="00015208">
        <w:rPr>
          <w:rFonts w:ascii="Times New Roman" w:eastAsia="Times New Roman" w:hAnsi="Times New Roman"/>
          <w:sz w:val="24"/>
          <w:szCs w:val="24"/>
        </w:rPr>
        <w:t xml:space="preserve"> the Ohio Court of Appeals for Cuyahoga County held (3 to 0) that a judge on the Cleveland Municipal Court – Housing Division had authority to allow warrantless inspections of the property to confirm that owner is complying with Cleveland Building Department requirements. </w:t>
      </w:r>
    </w:p>
    <w:p w14:paraId="705A094C" w14:textId="74AE18D7" w:rsidR="00F326E5" w:rsidRPr="00015208" w:rsidRDefault="00F326E5" w:rsidP="00637A12">
      <w:pPr>
        <w:ind w:left="720"/>
        <w:rPr>
          <w:rFonts w:ascii="Times New Roman" w:eastAsia="Times New Roman" w:hAnsi="Times New Roman"/>
          <w:sz w:val="24"/>
          <w:szCs w:val="24"/>
        </w:rPr>
      </w:pPr>
      <w:r w:rsidRPr="00015208">
        <w:rPr>
          <w:rFonts w:ascii="Times New Roman" w:eastAsia="Times New Roman" w:hAnsi="Times New Roman"/>
          <w:sz w:val="24"/>
          <w:szCs w:val="24"/>
        </w:rPr>
        <w:t xml:space="preserve">“[W]e </w:t>
      </w:r>
      <w:proofErr w:type="gramStart"/>
      <w:r w:rsidRPr="00015208">
        <w:rPr>
          <w:rFonts w:ascii="Times New Roman" w:eastAsia="Times New Roman" w:hAnsi="Times New Roman"/>
          <w:sz w:val="24"/>
          <w:szCs w:val="24"/>
        </w:rPr>
        <w:t>find</w:t>
      </w:r>
      <w:proofErr w:type="gramEnd"/>
      <w:r w:rsidRPr="00015208">
        <w:rPr>
          <w:rFonts w:ascii="Times New Roman" w:eastAsia="Times New Roman" w:hAnsi="Times New Roman"/>
          <w:sz w:val="24"/>
          <w:szCs w:val="24"/>
        </w:rPr>
        <w:t xml:space="preserve"> no cases in Ohio directly on point, i.e., discussing the constitutionality of ordering a property inspection as a condition of CCS. However, we find guidance in R.C. 2951.02, which authorizes warrantless searches during an offender’s misdemeanor CCS under certain </w:t>
      </w:r>
      <w:proofErr w:type="gramStart"/>
      <w:r w:rsidRPr="00015208">
        <w:rPr>
          <w:rFonts w:ascii="Times New Roman" w:eastAsia="Times New Roman" w:hAnsi="Times New Roman"/>
          <w:sz w:val="24"/>
          <w:szCs w:val="24"/>
        </w:rPr>
        <w:t>circumstances.”</w:t>
      </w:r>
      <w:proofErr w:type="gramEnd"/>
      <w:r w:rsidRPr="00015208">
        <w:rPr>
          <w:rFonts w:ascii="Times New Roman" w:eastAsia="Times New Roman" w:hAnsi="Times New Roman"/>
          <w:sz w:val="24"/>
          <w:szCs w:val="24"/>
        </w:rPr>
        <w:t xml:space="preserve"> </w:t>
      </w:r>
      <w:hyperlink r:id="rId356" w:history="1">
        <w:r w:rsidRPr="00015208">
          <w:rPr>
            <w:rStyle w:val="Hyperlink"/>
            <w:rFonts w:ascii="Times New Roman" w:hAnsi="Times New Roman"/>
            <w:sz w:val="24"/>
            <w:szCs w:val="24"/>
          </w:rPr>
          <w:t>https://www.supremecourt.ohio.gov/rod/docs/pdf/8/2018/2018-Ohio-4109.pdf</w:t>
        </w:r>
      </w:hyperlink>
      <w:r w:rsidRPr="00015208">
        <w:rPr>
          <w:rFonts w:ascii="Times New Roman" w:eastAsia="Times New Roman" w:hAnsi="Times New Roman"/>
          <w:sz w:val="24"/>
          <w:szCs w:val="24"/>
        </w:rPr>
        <w:t xml:space="preserve"> </w:t>
      </w:r>
    </w:p>
    <w:p w14:paraId="4923AD15" w14:textId="77777777" w:rsidR="00F326E5" w:rsidRPr="00015208" w:rsidRDefault="00F326E5" w:rsidP="00F326E5">
      <w:pPr>
        <w:rPr>
          <w:rFonts w:ascii="Times New Roman" w:eastAsia="Times New Roman" w:hAnsi="Times New Roman"/>
          <w:b/>
          <w:sz w:val="24"/>
          <w:szCs w:val="24"/>
        </w:rPr>
      </w:pPr>
      <w:r w:rsidRPr="00015208">
        <w:rPr>
          <w:rFonts w:ascii="Times New Roman" w:eastAsia="Times New Roman" w:hAnsi="Times New Roman"/>
          <w:b/>
          <w:sz w:val="24"/>
          <w:szCs w:val="24"/>
        </w:rPr>
        <w:t xml:space="preserve">Legal Lessons Learned:  This decision can be helpful precedence in Ohio for communities struggling with empty properties. </w:t>
      </w:r>
    </w:p>
    <w:bookmarkEnd w:id="75"/>
    <w:p w14:paraId="46CB0502" w14:textId="77777777" w:rsidR="00791CA3" w:rsidRDefault="00791CA3" w:rsidP="00791CA3">
      <w:pPr>
        <w:rPr>
          <w:rFonts w:ascii="Arial Black" w:hAnsi="Arial Black"/>
          <w:b/>
          <w:sz w:val="24"/>
          <w:szCs w:val="24"/>
        </w:rPr>
      </w:pPr>
    </w:p>
    <w:p w14:paraId="4443AB19" w14:textId="07B5069A"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1</w:t>
      </w:r>
      <w:r w:rsidRPr="00791CA3">
        <w:rPr>
          <w:rFonts w:ascii="Arial Black" w:hAnsi="Arial Black"/>
          <w:b/>
          <w:sz w:val="24"/>
          <w:szCs w:val="24"/>
        </w:rPr>
        <w:t>3</w:t>
      </w:r>
    </w:p>
    <w:p w14:paraId="2B328449" w14:textId="2B582342" w:rsidR="00F326E5" w:rsidRPr="001456E2" w:rsidRDefault="00F326E5" w:rsidP="00F326E5">
      <w:pPr>
        <w:pStyle w:val="NoSpacing"/>
        <w:rPr>
          <w:rFonts w:ascii="Arial Black" w:hAnsi="Arial Black"/>
          <w:sz w:val="28"/>
          <w:szCs w:val="28"/>
        </w:rPr>
      </w:pPr>
      <w:bookmarkStart w:id="76" w:name="_Hlk7339826"/>
      <w:r w:rsidRPr="001456E2">
        <w:rPr>
          <w:rFonts w:ascii="Arial Black" w:hAnsi="Arial Black"/>
          <w:sz w:val="28"/>
          <w:szCs w:val="28"/>
        </w:rPr>
        <w:t>OH: AUTOPSY REPORTS NOT PUBLIC RECORDS – ONGOING INVESTIGATION, BUT JOURNALISTS CAN READ</w:t>
      </w:r>
      <w:r w:rsidRPr="001456E2">
        <w:rPr>
          <w:sz w:val="28"/>
          <w:szCs w:val="28"/>
        </w:rPr>
        <w:t xml:space="preserve"> </w:t>
      </w:r>
    </w:p>
    <w:p w14:paraId="428EA072" w14:textId="77777777" w:rsidR="00637A12" w:rsidRDefault="00F326E5" w:rsidP="00F326E5">
      <w:pPr>
        <w:rPr>
          <w:rFonts w:ascii="Times New Roman" w:eastAsia="Times New Roman" w:hAnsi="Times New Roman"/>
          <w:sz w:val="24"/>
          <w:szCs w:val="24"/>
        </w:rPr>
      </w:pPr>
      <w:r w:rsidRPr="00015208">
        <w:rPr>
          <w:rFonts w:ascii="Times New Roman" w:eastAsia="Times New Roman" w:hAnsi="Times New Roman"/>
          <w:sz w:val="24"/>
          <w:szCs w:val="24"/>
        </w:rPr>
        <w:t xml:space="preserve">On Sept. 19, 2018, in </w:t>
      </w:r>
      <w:r w:rsidRPr="00015208">
        <w:rPr>
          <w:rFonts w:ascii="Times New Roman" w:eastAsia="Times New Roman" w:hAnsi="Times New Roman"/>
          <w:sz w:val="24"/>
          <w:szCs w:val="24"/>
          <w:u w:val="single"/>
        </w:rPr>
        <w:t>The State Ex Rel. Cincinnati Enquirer v. Pike County General Health District, et al.</w:t>
      </w:r>
      <w:r w:rsidRPr="00015208">
        <w:rPr>
          <w:rFonts w:ascii="Times New Roman" w:eastAsia="Times New Roman" w:hAnsi="Times New Roman"/>
          <w:sz w:val="24"/>
          <w:szCs w:val="24"/>
        </w:rPr>
        <w:t xml:space="preserve">, the Ohio Supreme Court held (5 to 0) that: </w:t>
      </w:r>
    </w:p>
    <w:p w14:paraId="4C09B704" w14:textId="34B5EE95" w:rsidR="00F326E5" w:rsidRPr="00015208" w:rsidRDefault="00F326E5" w:rsidP="00637A12">
      <w:pPr>
        <w:ind w:left="720"/>
        <w:rPr>
          <w:rFonts w:ascii="Times New Roman" w:eastAsia="Times New Roman" w:hAnsi="Times New Roman"/>
          <w:b/>
          <w:sz w:val="24"/>
          <w:szCs w:val="24"/>
        </w:rPr>
      </w:pPr>
      <w:r w:rsidRPr="00015208">
        <w:rPr>
          <w:rFonts w:ascii="Times New Roman" w:eastAsia="Times New Roman" w:hAnsi="Times New Roman"/>
          <w:sz w:val="24"/>
          <w:szCs w:val="24"/>
        </w:rPr>
        <w:t>“</w:t>
      </w:r>
      <w:proofErr w:type="gramStart"/>
      <w:r w:rsidRPr="00015208">
        <w:rPr>
          <w:rFonts w:ascii="Times New Roman" w:eastAsia="Times New Roman" w:hAnsi="Times New Roman"/>
          <w:sz w:val="24"/>
          <w:szCs w:val="24"/>
        </w:rPr>
        <w:t>the</w:t>
      </w:r>
      <w:proofErr w:type="gramEnd"/>
      <w:r w:rsidRPr="00015208">
        <w:rPr>
          <w:rFonts w:ascii="Times New Roman" w:eastAsia="Times New Roman" w:hAnsi="Times New Roman"/>
          <w:sz w:val="24"/>
          <w:szCs w:val="24"/>
        </w:rPr>
        <w:t xml:space="preserve"> function of R.C. 313.10(D) is to give journalists limited access to records that are not public records. If a journalist could review only autopsy reports that are public records, then he would have no greater access than the </w:t>
      </w:r>
      <w:proofErr w:type="gramStart"/>
      <w:r w:rsidRPr="00015208">
        <w:rPr>
          <w:rFonts w:ascii="Times New Roman" w:eastAsia="Times New Roman" w:hAnsi="Times New Roman"/>
          <w:sz w:val="24"/>
          <w:szCs w:val="24"/>
        </w:rPr>
        <w:t>general public</w:t>
      </w:r>
      <w:proofErr w:type="gramEnd"/>
      <w:r w:rsidRPr="00015208">
        <w:rPr>
          <w:rFonts w:ascii="Times New Roman" w:eastAsia="Times New Roman" w:hAnsi="Times New Roman"/>
          <w:sz w:val="24"/>
          <w:szCs w:val="24"/>
        </w:rPr>
        <w:t xml:space="preserve">, and R.C. 313.10(D) would be a dead letter.” </w:t>
      </w:r>
      <w:hyperlink r:id="rId357" w:history="1">
        <w:r w:rsidRPr="00015208">
          <w:rPr>
            <w:rStyle w:val="Hyperlink"/>
            <w:rFonts w:ascii="Times New Roman" w:hAnsi="Times New Roman"/>
            <w:sz w:val="24"/>
            <w:szCs w:val="24"/>
          </w:rPr>
          <w:t>https://www.supremecourt.ohio.gov/rod/docs/pdf/0/2018/2018-Ohio-3721.pdf</w:t>
        </w:r>
      </w:hyperlink>
      <w:r w:rsidRPr="00015208">
        <w:rPr>
          <w:rFonts w:ascii="Times New Roman" w:eastAsia="Times New Roman" w:hAnsi="Times New Roman"/>
          <w:b/>
          <w:sz w:val="24"/>
          <w:szCs w:val="24"/>
        </w:rPr>
        <w:t xml:space="preserve"> </w:t>
      </w:r>
    </w:p>
    <w:p w14:paraId="0E495C83" w14:textId="77777777" w:rsidR="00ED63B1" w:rsidRPr="00015208" w:rsidRDefault="00F326E5" w:rsidP="00F326E5">
      <w:pPr>
        <w:rPr>
          <w:rFonts w:ascii="Times New Roman" w:eastAsia="Times New Roman" w:hAnsi="Times New Roman"/>
          <w:b/>
          <w:sz w:val="24"/>
          <w:szCs w:val="24"/>
        </w:rPr>
      </w:pPr>
      <w:r w:rsidRPr="00015208">
        <w:rPr>
          <w:rFonts w:ascii="Times New Roman" w:eastAsia="Times New Roman" w:hAnsi="Times New Roman"/>
          <w:b/>
          <w:sz w:val="24"/>
          <w:szCs w:val="24"/>
        </w:rPr>
        <w:t xml:space="preserve">Legal Lessons Learned:  The Cincinnati Enquirer may next seek reimbursement of attorney fees.  Fire &amp; EMS departments, when requested to produce documents that may not be “public records” (for example, HIPAA-protected EMS run reports), should consult legal counsel before deciding whether to release the documents. </w:t>
      </w:r>
    </w:p>
    <w:bookmarkEnd w:id="76"/>
    <w:p w14:paraId="61B31F86" w14:textId="77777777" w:rsidR="00F326E5" w:rsidRPr="00015208" w:rsidRDefault="00F326E5" w:rsidP="00F326E5">
      <w:pPr>
        <w:pStyle w:val="NoSpacing"/>
        <w:ind w:left="720"/>
        <w:rPr>
          <w:rFonts w:ascii="Times New Roman" w:hAnsi="Times New Roman"/>
          <w:sz w:val="24"/>
          <w:szCs w:val="24"/>
        </w:rPr>
      </w:pPr>
      <w:r w:rsidRPr="00015208">
        <w:rPr>
          <w:rFonts w:ascii="Times New Roman" w:eastAsia="Times New Roman" w:hAnsi="Times New Roman"/>
          <w:sz w:val="24"/>
          <w:szCs w:val="24"/>
        </w:rPr>
        <w:t>Note: On Nov. 13, 2018, arrests were made: “</w:t>
      </w:r>
      <w:r w:rsidRPr="00015208">
        <w:rPr>
          <w:rFonts w:ascii="Times New Roman" w:hAnsi="Times New Roman"/>
          <w:sz w:val="24"/>
          <w:szCs w:val="24"/>
        </w:rPr>
        <w:t xml:space="preserve">Pike County: Wagner Family Arrested </w:t>
      </w:r>
      <w:proofErr w:type="gramStart"/>
      <w:r w:rsidRPr="00015208">
        <w:rPr>
          <w:rFonts w:ascii="Times New Roman" w:hAnsi="Times New Roman"/>
          <w:sz w:val="24"/>
          <w:szCs w:val="24"/>
        </w:rPr>
        <w:t>In</w:t>
      </w:r>
      <w:proofErr w:type="gramEnd"/>
      <w:r w:rsidRPr="00015208">
        <w:rPr>
          <w:rFonts w:ascii="Times New Roman" w:hAnsi="Times New Roman"/>
          <w:sz w:val="24"/>
          <w:szCs w:val="24"/>
        </w:rPr>
        <w:t xml:space="preserve"> </w:t>
      </w:r>
      <w:proofErr w:type="gramStart"/>
      <w:r w:rsidRPr="00015208">
        <w:rPr>
          <w:rFonts w:ascii="Times New Roman" w:hAnsi="Times New Roman"/>
          <w:sz w:val="24"/>
          <w:szCs w:val="24"/>
        </w:rPr>
        <w:t>The</w:t>
      </w:r>
      <w:proofErr w:type="gramEnd"/>
      <w:r w:rsidRPr="00015208">
        <w:rPr>
          <w:rFonts w:ascii="Times New Roman" w:hAnsi="Times New Roman"/>
          <w:sz w:val="24"/>
          <w:szCs w:val="24"/>
        </w:rPr>
        <w:t xml:space="preserve"> Rhoden Family Massacre…. Arrested and charged with murder and a slew of other charges were Angela Wagner, 48, her husband George ‘Billy’ Wagner, 47, and their two sons, George Wagner IV, 27, and Edward ‘Jake’ Wagner, 26.” </w:t>
      </w:r>
      <w:hyperlink r:id="rId358" w:history="1">
        <w:r w:rsidRPr="00015208">
          <w:rPr>
            <w:rStyle w:val="Hyperlink"/>
            <w:rFonts w:ascii="Times New Roman" w:hAnsi="Times New Roman"/>
            <w:sz w:val="24"/>
            <w:szCs w:val="24"/>
          </w:rPr>
          <w:t>https://www.cincinnati.com/story/news/crime/crime-and-courts/2018/11/13/pike-county-massacre-wagner-family-arrested-rhoden-family-homicides/1373456002/</w:t>
        </w:r>
      </w:hyperlink>
      <w:r w:rsidRPr="00015208">
        <w:rPr>
          <w:rFonts w:ascii="Times New Roman" w:hAnsi="Times New Roman"/>
          <w:sz w:val="24"/>
          <w:szCs w:val="24"/>
        </w:rPr>
        <w:t xml:space="preserve"> </w:t>
      </w:r>
    </w:p>
    <w:p w14:paraId="2FCD49A6" w14:textId="77777777" w:rsidR="00F326E5" w:rsidRPr="00015208" w:rsidRDefault="00F326E5" w:rsidP="00F326E5">
      <w:pPr>
        <w:pStyle w:val="NoSpacing"/>
        <w:rPr>
          <w:rFonts w:ascii="Times New Roman" w:hAnsi="Times New Roman"/>
          <w:b/>
          <w:sz w:val="24"/>
          <w:szCs w:val="24"/>
        </w:rPr>
      </w:pPr>
    </w:p>
    <w:p w14:paraId="7918B77A" w14:textId="77777777" w:rsidR="00791CA3" w:rsidRPr="00015208" w:rsidRDefault="00791CA3" w:rsidP="00791CA3">
      <w:pPr>
        <w:rPr>
          <w:rFonts w:ascii="Times New Roman" w:hAnsi="Times New Roman"/>
          <w:b/>
          <w:sz w:val="24"/>
          <w:szCs w:val="24"/>
        </w:rPr>
      </w:pPr>
      <w:bookmarkStart w:id="77" w:name="_Hlk7339892"/>
    </w:p>
    <w:p w14:paraId="7AC0E8AE" w14:textId="6A487761"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12</w:t>
      </w:r>
    </w:p>
    <w:p w14:paraId="718F2358" w14:textId="44D21E5D" w:rsidR="00F326E5" w:rsidRPr="00237787" w:rsidRDefault="00F326E5" w:rsidP="00F326E5">
      <w:pPr>
        <w:pStyle w:val="Heading1"/>
        <w:rPr>
          <w:sz w:val="24"/>
          <w:szCs w:val="24"/>
        </w:rPr>
      </w:pPr>
      <w:r w:rsidRPr="001456E2">
        <w:rPr>
          <w:rFonts w:ascii="Arial Black" w:hAnsi="Arial Black"/>
          <w:sz w:val="28"/>
          <w:szCs w:val="28"/>
        </w:rPr>
        <w:t>TX: FREE SPEECH - PD OFFICER LAWSUIT MAY PROCEED - FIRED ORGANIZING POLICE ASSOCIATION</w:t>
      </w:r>
      <w:r>
        <w:rPr>
          <w:rFonts w:ascii="Arial Black" w:hAnsi="Arial Black"/>
          <w:sz w:val="24"/>
          <w:szCs w:val="24"/>
        </w:rPr>
        <w:t xml:space="preserve"> </w:t>
      </w:r>
      <w:r w:rsidRPr="00237787">
        <w:rPr>
          <w:sz w:val="24"/>
          <w:szCs w:val="24"/>
        </w:rPr>
        <w:t>[also filed, Chap. 16]</w:t>
      </w:r>
    </w:p>
    <w:p w14:paraId="5EDF39B6" w14:textId="77777777" w:rsidR="00637A12" w:rsidRDefault="00F326E5" w:rsidP="00F326E5">
      <w:pPr>
        <w:rPr>
          <w:rFonts w:ascii="Times New Roman" w:hAnsi="Times New Roman"/>
          <w:sz w:val="24"/>
          <w:szCs w:val="24"/>
        </w:rPr>
      </w:pPr>
      <w:r w:rsidRPr="00015208">
        <w:rPr>
          <w:rFonts w:ascii="Times New Roman" w:hAnsi="Times New Roman"/>
          <w:sz w:val="24"/>
          <w:szCs w:val="24"/>
        </w:rPr>
        <w:t xml:space="preserve">On Aug. 31, 2018, in </w:t>
      </w:r>
      <w:r w:rsidRPr="00015208">
        <w:rPr>
          <w:rFonts w:ascii="Times New Roman" w:hAnsi="Times New Roman"/>
          <w:sz w:val="24"/>
          <w:szCs w:val="24"/>
          <w:u w:val="single"/>
        </w:rPr>
        <w:t>Marcus Mote v. Debra Walthall</w:t>
      </w:r>
      <w:r w:rsidRPr="00015208">
        <w:rPr>
          <w:rFonts w:ascii="Times New Roman" w:hAnsi="Times New Roman"/>
          <w:sz w:val="24"/>
          <w:szCs w:val="24"/>
        </w:rPr>
        <w:t>, the U.S. Court of Appeals for 5</w:t>
      </w:r>
      <w:r w:rsidRPr="00015208">
        <w:rPr>
          <w:rFonts w:ascii="Times New Roman" w:hAnsi="Times New Roman"/>
          <w:sz w:val="24"/>
          <w:szCs w:val="24"/>
          <w:vertAlign w:val="superscript"/>
        </w:rPr>
        <w:t>th</w:t>
      </w:r>
      <w:r w:rsidRPr="00015208">
        <w:rPr>
          <w:rFonts w:ascii="Times New Roman" w:hAnsi="Times New Roman"/>
          <w:sz w:val="24"/>
          <w:szCs w:val="24"/>
        </w:rPr>
        <w:t xml:space="preserve"> Circuit held (3 to 0) that Police Chief Debra Walthall is not entitled to qualified immunity, and Officer Mote’s lawsuit against her may proceed.  Officer Mote sought before he was fired to organize police officers with the City of </w:t>
      </w:r>
      <w:proofErr w:type="spellStart"/>
      <w:r w:rsidRPr="00015208">
        <w:rPr>
          <w:rFonts w:ascii="Times New Roman" w:hAnsi="Times New Roman"/>
          <w:sz w:val="24"/>
          <w:szCs w:val="24"/>
        </w:rPr>
        <w:t>Corith</w:t>
      </w:r>
      <w:proofErr w:type="spellEnd"/>
      <w:r w:rsidRPr="00015208">
        <w:rPr>
          <w:rFonts w:ascii="Times New Roman" w:hAnsi="Times New Roman"/>
          <w:sz w:val="24"/>
          <w:szCs w:val="24"/>
        </w:rPr>
        <w:t xml:space="preserve">, TX into a </w:t>
      </w:r>
    </w:p>
    <w:p w14:paraId="467AFC90" w14:textId="07FBB86F" w:rsidR="00F326E5" w:rsidRPr="00015208" w:rsidRDefault="00F326E5" w:rsidP="00637A12">
      <w:pPr>
        <w:ind w:left="720"/>
        <w:rPr>
          <w:rFonts w:ascii="Times New Roman" w:eastAsia="Times New Roman" w:hAnsi="Times New Roman"/>
          <w:sz w:val="24"/>
          <w:szCs w:val="24"/>
        </w:rPr>
      </w:pPr>
      <w:r w:rsidRPr="00015208">
        <w:rPr>
          <w:rFonts w:ascii="Times New Roman" w:hAnsi="Times New Roman"/>
          <w:sz w:val="24"/>
          <w:szCs w:val="24"/>
        </w:rPr>
        <w:t>“</w:t>
      </w:r>
      <w:proofErr w:type="spellStart"/>
      <w:r w:rsidRPr="00015208">
        <w:rPr>
          <w:rFonts w:ascii="Times New Roman" w:hAnsi="Times New Roman"/>
          <w:sz w:val="24"/>
          <w:szCs w:val="24"/>
        </w:rPr>
        <w:t>Corith</w:t>
      </w:r>
      <w:proofErr w:type="spellEnd"/>
      <w:r w:rsidRPr="00015208">
        <w:rPr>
          <w:rFonts w:ascii="Times New Roman" w:hAnsi="Times New Roman"/>
          <w:sz w:val="24"/>
          <w:szCs w:val="24"/>
        </w:rPr>
        <w:t xml:space="preserve"> Police Officers Association” [no collective bargaining rights under TX law], affiliated with the Texas Municipal Police Association.  The Court wrote, “</w:t>
      </w:r>
      <w:r w:rsidRPr="00015208">
        <w:rPr>
          <w:rFonts w:ascii="Times New Roman" w:eastAsia="Times New Roman" w:hAnsi="Times New Roman"/>
          <w:sz w:val="24"/>
          <w:szCs w:val="24"/>
        </w:rPr>
        <w:t>The First Amendment protects the right of all persons to associate together in groups to ‘</w:t>
      </w:r>
      <w:proofErr w:type="spellStart"/>
      <w:r w:rsidRPr="00015208">
        <w:rPr>
          <w:rFonts w:ascii="Times New Roman" w:eastAsia="Times New Roman" w:hAnsi="Times New Roman"/>
          <w:sz w:val="24"/>
          <w:szCs w:val="24"/>
        </w:rPr>
        <w:t>advanc</w:t>
      </w:r>
      <w:proofErr w:type="spellEnd"/>
      <w:r w:rsidRPr="00015208">
        <w:rPr>
          <w:rFonts w:ascii="Times New Roman" w:eastAsia="Times New Roman" w:hAnsi="Times New Roman"/>
          <w:sz w:val="24"/>
          <w:szCs w:val="24"/>
        </w:rPr>
        <w:t>[e] beliefs and ideas.’ Put another way, ‘the [F]</w:t>
      </w:r>
      <w:proofErr w:type="spellStart"/>
      <w:r w:rsidRPr="00015208">
        <w:rPr>
          <w:rFonts w:ascii="Times New Roman" w:eastAsia="Times New Roman" w:hAnsi="Times New Roman"/>
          <w:sz w:val="24"/>
          <w:szCs w:val="24"/>
        </w:rPr>
        <w:t>irst</w:t>
      </w:r>
      <w:proofErr w:type="spellEnd"/>
      <w:r w:rsidRPr="00015208">
        <w:rPr>
          <w:rFonts w:ascii="Times New Roman" w:eastAsia="Times New Roman" w:hAnsi="Times New Roman"/>
          <w:sz w:val="24"/>
          <w:szCs w:val="24"/>
        </w:rPr>
        <w:t xml:space="preserve"> [A]</w:t>
      </w:r>
      <w:proofErr w:type="spellStart"/>
      <w:r w:rsidRPr="00015208">
        <w:rPr>
          <w:rFonts w:ascii="Times New Roman" w:eastAsia="Times New Roman" w:hAnsi="Times New Roman"/>
          <w:sz w:val="24"/>
          <w:szCs w:val="24"/>
        </w:rPr>
        <w:t>mendment</w:t>
      </w:r>
      <w:proofErr w:type="spellEnd"/>
      <w:r w:rsidRPr="00015208">
        <w:rPr>
          <w:rFonts w:ascii="Times New Roman" w:eastAsia="Times New Roman" w:hAnsi="Times New Roman"/>
          <w:sz w:val="24"/>
          <w:szCs w:val="24"/>
        </w:rPr>
        <w:t xml:space="preserve"> protects the right of all persons to associate together in groups to further their lawful interests.’ When groups </w:t>
      </w:r>
      <w:proofErr w:type="gramStart"/>
      <w:r w:rsidRPr="00015208">
        <w:rPr>
          <w:rFonts w:ascii="Times New Roman" w:eastAsia="Times New Roman" w:hAnsi="Times New Roman"/>
          <w:sz w:val="24"/>
          <w:szCs w:val="24"/>
        </w:rPr>
        <w:t>gather together</w:t>
      </w:r>
      <w:proofErr w:type="gramEnd"/>
      <w:r w:rsidRPr="00015208">
        <w:rPr>
          <w:rFonts w:ascii="Times New Roman" w:eastAsia="Times New Roman" w:hAnsi="Times New Roman"/>
          <w:sz w:val="24"/>
          <w:szCs w:val="24"/>
        </w:rPr>
        <w:t xml:space="preserve"> for this </w:t>
      </w:r>
      <w:proofErr w:type="gramStart"/>
      <w:r w:rsidRPr="00015208">
        <w:rPr>
          <w:rFonts w:ascii="Times New Roman" w:eastAsia="Times New Roman" w:hAnsi="Times New Roman"/>
          <w:sz w:val="24"/>
          <w:szCs w:val="24"/>
        </w:rPr>
        <w:t>purpose, ‘</w:t>
      </w:r>
      <w:proofErr w:type="gramEnd"/>
      <w:r w:rsidRPr="00015208">
        <w:rPr>
          <w:rFonts w:ascii="Times New Roman" w:eastAsia="Times New Roman" w:hAnsi="Times New Roman"/>
          <w:sz w:val="24"/>
          <w:szCs w:val="24"/>
        </w:rPr>
        <w:t xml:space="preserve">it cannot be seriously doubted’ that they comprise associations protected by the First Amendment. *** </w:t>
      </w:r>
      <w:r w:rsidRPr="00015208">
        <w:rPr>
          <w:rFonts w:ascii="Times New Roman" w:hAnsi="Times New Roman"/>
          <w:sz w:val="24"/>
          <w:szCs w:val="24"/>
        </w:rPr>
        <w:t xml:space="preserve">We conclude that Mote’s right to speak </w:t>
      </w:r>
      <w:r w:rsidRPr="00015208">
        <w:rPr>
          <w:rFonts w:ascii="Times New Roman" w:eastAsia="Times New Roman" w:hAnsi="Times New Roman"/>
          <w:sz w:val="24"/>
          <w:szCs w:val="24"/>
        </w:rPr>
        <w:t xml:space="preserve">in furtherance of forming the CPOA was clearly established as an integral part of his association rights. *** We agree with the district court that Mote’s association and speech rights to engage in the activities he alleged were </w:t>
      </w:r>
      <w:proofErr w:type="spellStart"/>
      <w:r w:rsidRPr="00015208">
        <w:rPr>
          <w:rFonts w:ascii="Times New Roman" w:eastAsia="Times New Roman" w:hAnsi="Times New Roman"/>
          <w:sz w:val="24"/>
          <w:szCs w:val="24"/>
        </w:rPr>
        <w:t>cle</w:t>
      </w:r>
      <w:r w:rsidRPr="00015208">
        <w:rPr>
          <w:rFonts w:ascii="Times New Roman" w:hAnsi="Times New Roman"/>
          <w:sz w:val="24"/>
          <w:szCs w:val="24"/>
        </w:rPr>
        <w:t>O</w:t>
      </w:r>
      <w:r w:rsidRPr="00015208">
        <w:rPr>
          <w:rFonts w:ascii="Times New Roman" w:eastAsia="Times New Roman" w:hAnsi="Times New Roman"/>
          <w:sz w:val="24"/>
          <w:szCs w:val="24"/>
        </w:rPr>
        <w:t>arly</w:t>
      </w:r>
      <w:proofErr w:type="spellEnd"/>
      <w:r w:rsidRPr="00015208">
        <w:rPr>
          <w:rFonts w:ascii="Times New Roman" w:eastAsia="Times New Roman" w:hAnsi="Times New Roman"/>
          <w:sz w:val="24"/>
          <w:szCs w:val="24"/>
        </w:rPr>
        <w:t xml:space="preserve"> established. We therefore DISMISS the appeal.” </w:t>
      </w:r>
      <w:hyperlink r:id="rId359" w:history="1">
        <w:r w:rsidRPr="00015208">
          <w:rPr>
            <w:rStyle w:val="Hyperlink"/>
            <w:rFonts w:ascii="Times New Roman" w:hAnsi="Times New Roman"/>
            <w:sz w:val="24"/>
            <w:szCs w:val="24"/>
          </w:rPr>
          <w:t>https://cases.justia.com/federal/appellate-courts/ca5/17-40754/17-40754-2018-08-31.pdf?ts=1535736678</w:t>
        </w:r>
      </w:hyperlink>
      <w:r w:rsidRPr="00015208">
        <w:rPr>
          <w:rFonts w:ascii="Times New Roman" w:eastAsia="Times New Roman" w:hAnsi="Times New Roman"/>
          <w:sz w:val="24"/>
          <w:szCs w:val="24"/>
        </w:rPr>
        <w:t xml:space="preserve"> </w:t>
      </w:r>
    </w:p>
    <w:p w14:paraId="773803F7" w14:textId="77777777" w:rsidR="00F326E5" w:rsidRPr="00015208" w:rsidRDefault="00F326E5" w:rsidP="00F326E5">
      <w:pPr>
        <w:rPr>
          <w:rFonts w:ascii="Times New Roman" w:eastAsia="Times New Roman" w:hAnsi="Times New Roman"/>
          <w:b/>
          <w:sz w:val="24"/>
          <w:szCs w:val="24"/>
        </w:rPr>
      </w:pPr>
      <w:r w:rsidRPr="00015208">
        <w:rPr>
          <w:rFonts w:ascii="Times New Roman" w:eastAsia="Times New Roman" w:hAnsi="Times New Roman"/>
          <w:b/>
          <w:sz w:val="24"/>
          <w:szCs w:val="24"/>
        </w:rPr>
        <w:t xml:space="preserve">Legal Lessons Learned: Very strong opinion concerning free speech rights of public employees.  Fire &amp; EMS departments should adopt a “Social Media” policy that recognizes free speech </w:t>
      </w:r>
      <w:proofErr w:type="gramStart"/>
      <w:r w:rsidRPr="00015208">
        <w:rPr>
          <w:rFonts w:ascii="Times New Roman" w:eastAsia="Times New Roman" w:hAnsi="Times New Roman"/>
          <w:b/>
          <w:sz w:val="24"/>
          <w:szCs w:val="24"/>
        </w:rPr>
        <w:t>rights, but</w:t>
      </w:r>
      <w:proofErr w:type="gramEnd"/>
      <w:r w:rsidRPr="00015208">
        <w:rPr>
          <w:rFonts w:ascii="Times New Roman" w:eastAsia="Times New Roman" w:hAnsi="Times New Roman"/>
          <w:b/>
          <w:sz w:val="24"/>
          <w:szCs w:val="24"/>
        </w:rPr>
        <w:t xml:space="preserve"> also cautions members to not publicly discuss internal matters</w:t>
      </w:r>
      <w:r w:rsidRPr="00015208">
        <w:rPr>
          <w:rFonts w:ascii="Times New Roman" w:eastAsia="Times New Roman" w:hAnsi="Times New Roman"/>
          <w:sz w:val="24"/>
          <w:szCs w:val="24"/>
        </w:rPr>
        <w:t>.</w:t>
      </w:r>
    </w:p>
    <w:bookmarkEnd w:id="77"/>
    <w:p w14:paraId="3AFD0AE6" w14:textId="77777777" w:rsidR="00F326E5" w:rsidRPr="00015208" w:rsidRDefault="00F326E5" w:rsidP="00F326E5">
      <w:pPr>
        <w:pStyle w:val="NoSpacing"/>
        <w:rPr>
          <w:rFonts w:ascii="Times New Roman" w:hAnsi="Times New Roman"/>
          <w:b/>
          <w:sz w:val="24"/>
          <w:szCs w:val="24"/>
        </w:rPr>
      </w:pPr>
    </w:p>
    <w:p w14:paraId="1897F040" w14:textId="77777777" w:rsidR="00F326E5" w:rsidRPr="00015208" w:rsidRDefault="00F326E5" w:rsidP="00F326E5">
      <w:pPr>
        <w:pStyle w:val="NoSpacing"/>
        <w:rPr>
          <w:rFonts w:ascii="Times New Roman" w:hAnsi="Times New Roman"/>
          <w:sz w:val="24"/>
          <w:szCs w:val="24"/>
        </w:rPr>
      </w:pPr>
    </w:p>
    <w:p w14:paraId="2411D8D4" w14:textId="77777777" w:rsidR="00791CA3" w:rsidRDefault="00791CA3" w:rsidP="00F326E5">
      <w:pPr>
        <w:pStyle w:val="NoSpacing"/>
        <w:rPr>
          <w:rFonts w:ascii="Arial Black" w:hAnsi="Arial Black"/>
          <w:b/>
          <w:sz w:val="28"/>
          <w:szCs w:val="28"/>
        </w:rPr>
      </w:pPr>
      <w:bookmarkStart w:id="78" w:name="_Hlk7339942"/>
    </w:p>
    <w:p w14:paraId="1AA97805" w14:textId="6797C79F" w:rsidR="00791CA3" w:rsidRDefault="00791CA3" w:rsidP="00791CA3">
      <w:pPr>
        <w:rPr>
          <w:rFonts w:ascii="Arial Black" w:hAnsi="Arial Black"/>
          <w:b/>
          <w:sz w:val="28"/>
          <w:szCs w:val="28"/>
        </w:rPr>
      </w:pPr>
      <w:r w:rsidRPr="00791CA3">
        <w:rPr>
          <w:rFonts w:ascii="Arial Black" w:hAnsi="Arial Black"/>
          <w:b/>
          <w:sz w:val="24"/>
          <w:szCs w:val="24"/>
        </w:rPr>
        <w:t>1-</w:t>
      </w:r>
      <w:r>
        <w:rPr>
          <w:rFonts w:ascii="Arial Black" w:hAnsi="Arial Black"/>
          <w:b/>
          <w:sz w:val="24"/>
          <w:szCs w:val="24"/>
        </w:rPr>
        <w:t>11</w:t>
      </w:r>
    </w:p>
    <w:p w14:paraId="17E880CC" w14:textId="2D0457CF" w:rsidR="00F326E5" w:rsidRPr="0002048B" w:rsidRDefault="00F326E5" w:rsidP="00F326E5">
      <w:pPr>
        <w:pStyle w:val="NoSpacing"/>
        <w:rPr>
          <w:b/>
          <w:sz w:val="24"/>
          <w:szCs w:val="24"/>
        </w:rPr>
      </w:pPr>
      <w:r w:rsidRPr="00BF4082">
        <w:rPr>
          <w:rFonts w:ascii="Arial Black" w:hAnsi="Arial Black"/>
          <w:b/>
          <w:sz w:val="28"/>
          <w:szCs w:val="28"/>
        </w:rPr>
        <w:t>OH: DYING DECLARATION IN BACK OF AMBULANCE ADMISSIBLE IN MURDER TRIAL</w:t>
      </w:r>
      <w:r>
        <w:rPr>
          <w:rFonts w:ascii="Arial Black" w:hAnsi="Arial Black"/>
          <w:b/>
          <w:sz w:val="24"/>
          <w:szCs w:val="24"/>
        </w:rPr>
        <w:t xml:space="preserve"> </w:t>
      </w:r>
      <w:r w:rsidRPr="0002048B">
        <w:rPr>
          <w:b/>
          <w:sz w:val="24"/>
          <w:szCs w:val="24"/>
        </w:rPr>
        <w:t>[also filed Chap. 13]</w:t>
      </w:r>
    </w:p>
    <w:p w14:paraId="4DA1D8C4" w14:textId="77777777" w:rsidR="00F326E5" w:rsidRPr="00015208" w:rsidRDefault="00F326E5" w:rsidP="00F326E5">
      <w:pPr>
        <w:rPr>
          <w:rFonts w:ascii="Times New Roman" w:eastAsia="Times New Roman" w:hAnsi="Times New Roman"/>
          <w:sz w:val="24"/>
          <w:szCs w:val="24"/>
        </w:rPr>
      </w:pPr>
      <w:r w:rsidRPr="00015208">
        <w:rPr>
          <w:rFonts w:ascii="Times New Roman" w:hAnsi="Times New Roman"/>
          <w:sz w:val="24"/>
          <w:szCs w:val="24"/>
        </w:rPr>
        <w:t xml:space="preserve">On July 25, 2018, in </w:t>
      </w:r>
      <w:r w:rsidRPr="00015208">
        <w:rPr>
          <w:rFonts w:ascii="Times New Roman" w:eastAsia="Times New Roman" w:hAnsi="Times New Roman"/>
          <w:sz w:val="24"/>
          <w:szCs w:val="24"/>
          <w:u w:val="single"/>
        </w:rPr>
        <w:t>State v. Fred Taylor</w:t>
      </w:r>
      <w:r w:rsidRPr="00015208">
        <w:rPr>
          <w:rFonts w:ascii="Times New Roman" w:eastAsia="Times New Roman" w:hAnsi="Times New Roman"/>
          <w:sz w:val="24"/>
          <w:szCs w:val="24"/>
        </w:rPr>
        <w:t xml:space="preserve">, 2018-Ohio-2921, the Ohio Court of Appeals for Summit County, upheld (3 to 0) his conviction of felony murder of Javon Knaff.   </w:t>
      </w:r>
    </w:p>
    <w:p w14:paraId="580C51A8" w14:textId="5E629BB1" w:rsidR="00F326E5" w:rsidRPr="00015208" w:rsidRDefault="00F326E5" w:rsidP="00637A12">
      <w:pPr>
        <w:ind w:left="720"/>
        <w:rPr>
          <w:rFonts w:ascii="Times New Roman" w:eastAsia="Times New Roman" w:hAnsi="Times New Roman"/>
          <w:sz w:val="24"/>
          <w:szCs w:val="24"/>
        </w:rPr>
      </w:pPr>
      <w:r w:rsidRPr="00015208">
        <w:rPr>
          <w:rFonts w:ascii="Times New Roman" w:eastAsia="Times New Roman" w:hAnsi="Times New Roman"/>
          <w:sz w:val="24"/>
          <w:szCs w:val="24"/>
        </w:rPr>
        <w:t>“Mr. Knaff’s repeated statements concerning the fact that he was dying, coupled with the severity of his condition, demonstrate his awareness of his impending death at the time that he stated, ‘Fred shot [me].’ Consequently, this statement was admissible as a dying declaration.”</w:t>
      </w:r>
      <w:hyperlink r:id="rId360" w:history="1">
        <w:r w:rsidR="00637A12" w:rsidRPr="002F304C">
          <w:rPr>
            <w:rStyle w:val="Hyperlink"/>
            <w:rFonts w:ascii="Times New Roman" w:hAnsi="Times New Roman"/>
            <w:sz w:val="24"/>
            <w:szCs w:val="24"/>
          </w:rPr>
          <w:t>https://cases.justia.com/ohio/ninth-district-court-of-appeals/2018-28746.pdf?ts=1532525904</w:t>
        </w:r>
      </w:hyperlink>
      <w:r w:rsidRPr="00015208">
        <w:rPr>
          <w:rFonts w:ascii="Times New Roman" w:eastAsia="Times New Roman" w:hAnsi="Times New Roman"/>
          <w:sz w:val="24"/>
          <w:szCs w:val="24"/>
        </w:rPr>
        <w:t xml:space="preserve"> </w:t>
      </w:r>
    </w:p>
    <w:p w14:paraId="6BA57B70" w14:textId="77777777" w:rsidR="00F326E5" w:rsidRPr="00015208" w:rsidRDefault="00F326E5" w:rsidP="00F326E5">
      <w:pPr>
        <w:rPr>
          <w:rFonts w:ascii="Times New Roman" w:hAnsi="Times New Roman"/>
          <w:b/>
          <w:sz w:val="24"/>
          <w:szCs w:val="24"/>
        </w:rPr>
      </w:pPr>
      <w:r w:rsidRPr="00015208">
        <w:rPr>
          <w:rFonts w:ascii="Times New Roman" w:hAnsi="Times New Roman"/>
          <w:b/>
          <w:sz w:val="24"/>
          <w:szCs w:val="24"/>
        </w:rPr>
        <w:t xml:space="preserve">Legal Lessons Learned:  Document on your EMS run report the actual words spoken by the patient; a “dying declaration” is admissible in evidence.   Recording the words on your run report can help prosecution reach a plea agreement. </w:t>
      </w:r>
    </w:p>
    <w:p w14:paraId="0EB84B91" w14:textId="77777777" w:rsidR="00791CA3" w:rsidRPr="00015208" w:rsidRDefault="00791CA3" w:rsidP="00791CA3">
      <w:pPr>
        <w:rPr>
          <w:rFonts w:ascii="Times New Roman" w:hAnsi="Times New Roman"/>
          <w:b/>
          <w:sz w:val="24"/>
          <w:szCs w:val="24"/>
        </w:rPr>
      </w:pPr>
      <w:bookmarkStart w:id="79" w:name="_Hlk7340011"/>
      <w:bookmarkEnd w:id="78"/>
    </w:p>
    <w:p w14:paraId="0335F4AB" w14:textId="41DB221B"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10</w:t>
      </w:r>
    </w:p>
    <w:p w14:paraId="649C7EBA" w14:textId="4B89F9A6" w:rsidR="00D46F1E" w:rsidRDefault="00F326E5" w:rsidP="00D46F1E">
      <w:pPr>
        <w:rPr>
          <w:rFonts w:ascii="Arial Black" w:hAnsi="Arial Black"/>
          <w:sz w:val="28"/>
          <w:szCs w:val="28"/>
        </w:rPr>
      </w:pPr>
      <w:r w:rsidRPr="0002048B">
        <w:rPr>
          <w:rFonts w:ascii="Arial Black" w:hAnsi="Arial Black"/>
          <w:sz w:val="28"/>
          <w:szCs w:val="28"/>
        </w:rPr>
        <w:t>MI</w:t>
      </w:r>
      <w:r>
        <w:rPr>
          <w:rFonts w:ascii="Arial Black" w:hAnsi="Arial Black"/>
          <w:sz w:val="28"/>
          <w:szCs w:val="28"/>
        </w:rPr>
        <w:t xml:space="preserve">: </w:t>
      </w:r>
      <w:r w:rsidRPr="0002048B">
        <w:rPr>
          <w:rFonts w:ascii="Arial Black" w:hAnsi="Arial Black"/>
          <w:sz w:val="28"/>
          <w:szCs w:val="28"/>
        </w:rPr>
        <w:t>HOMEOWNER CONV. ARSON – NO “MIRANDA WARNING” REQUIRED</w:t>
      </w:r>
      <w:r>
        <w:rPr>
          <w:rFonts w:ascii="Arial Black" w:hAnsi="Arial Black"/>
          <w:sz w:val="28"/>
          <w:szCs w:val="28"/>
        </w:rPr>
        <w:t xml:space="preserve">, SPOKE TO PD INFORMANT </w:t>
      </w:r>
    </w:p>
    <w:p w14:paraId="74DA3B4E" w14:textId="35003921" w:rsidR="00F326E5" w:rsidRPr="00015208" w:rsidRDefault="00F326E5" w:rsidP="00D46F1E">
      <w:pPr>
        <w:rPr>
          <w:rFonts w:ascii="Times New Roman" w:hAnsi="Times New Roman"/>
          <w:b/>
          <w:sz w:val="24"/>
          <w:szCs w:val="24"/>
        </w:rPr>
      </w:pPr>
      <w:r w:rsidRPr="00015208">
        <w:rPr>
          <w:rFonts w:ascii="Times New Roman" w:hAnsi="Times New Roman"/>
          <w:sz w:val="24"/>
          <w:szCs w:val="24"/>
        </w:rPr>
        <w:t xml:space="preserve">On July 24, 2018, in </w:t>
      </w:r>
      <w:r w:rsidRPr="00015208">
        <w:rPr>
          <w:rFonts w:ascii="Times New Roman" w:hAnsi="Times New Roman"/>
          <w:sz w:val="24"/>
          <w:szCs w:val="24"/>
          <w:u w:val="single"/>
        </w:rPr>
        <w:t>Cynthia Marie Stewart-Matzen v. Shawn Brewer</w:t>
      </w:r>
      <w:r w:rsidRPr="00015208">
        <w:rPr>
          <w:rFonts w:ascii="Times New Roman" w:hAnsi="Times New Roman"/>
          <w:sz w:val="24"/>
          <w:szCs w:val="24"/>
        </w:rPr>
        <w:t xml:space="preserve"> [Deputy Warden, Michigan state prison], U.S. District Court judge David M. Lawson, Eastern District of Michigan, Case No. 15-13050 denied prisoner’s petition for </w:t>
      </w:r>
      <w:proofErr w:type="spellStart"/>
      <w:r w:rsidRPr="00015208">
        <w:rPr>
          <w:rFonts w:ascii="Times New Roman" w:hAnsi="Times New Roman"/>
          <w:sz w:val="24"/>
          <w:szCs w:val="24"/>
        </w:rPr>
        <w:t>write</w:t>
      </w:r>
      <w:proofErr w:type="spellEnd"/>
      <w:r w:rsidRPr="00015208">
        <w:rPr>
          <w:rFonts w:ascii="Times New Roman" w:hAnsi="Times New Roman"/>
          <w:sz w:val="24"/>
          <w:szCs w:val="24"/>
        </w:rPr>
        <w:t xml:space="preserve"> of habeas corpus: </w:t>
      </w:r>
    </w:p>
    <w:p w14:paraId="7AD6B447" w14:textId="1DC6A9A4" w:rsidR="00F326E5" w:rsidRPr="00015208" w:rsidRDefault="00F326E5" w:rsidP="00637A12">
      <w:pPr>
        <w:pStyle w:val="NoSpacing"/>
        <w:ind w:left="720"/>
        <w:rPr>
          <w:rFonts w:ascii="Times New Roman" w:hAnsi="Times New Roman"/>
          <w:sz w:val="24"/>
          <w:szCs w:val="24"/>
        </w:rPr>
      </w:pPr>
      <w:r w:rsidRPr="00015208">
        <w:rPr>
          <w:rFonts w:ascii="Times New Roman" w:hAnsi="Times New Roman"/>
          <w:sz w:val="24"/>
          <w:szCs w:val="24"/>
        </w:rPr>
        <w:t xml:space="preserve">“The petitioner was not entitled to Miranda warnings when she was questioned by an informant at a restaurant or when questioned by Detective Morey in connection with her unemployment benefits because she was not in “Miranda custody.” </w:t>
      </w:r>
    </w:p>
    <w:p w14:paraId="19CF0FF1" w14:textId="7E95BA0C" w:rsidR="00F326E5" w:rsidRPr="00015208" w:rsidRDefault="00637A12" w:rsidP="00637A12">
      <w:pPr>
        <w:pStyle w:val="NoSpacing"/>
        <w:ind w:left="720"/>
        <w:rPr>
          <w:rFonts w:ascii="Times New Roman" w:hAnsi="Times New Roman"/>
          <w:sz w:val="24"/>
          <w:szCs w:val="24"/>
        </w:rPr>
      </w:pPr>
      <w:hyperlink r:id="rId361" w:history="1">
        <w:r w:rsidRPr="002F304C">
          <w:rPr>
            <w:rStyle w:val="Hyperlink"/>
            <w:rFonts w:ascii="Times New Roman" w:hAnsi="Times New Roman"/>
            <w:sz w:val="24"/>
            <w:szCs w:val="24"/>
          </w:rPr>
          <w:t>https://cases.justia.com/federal/district-courts/michigan/miedce/2:2015cv13050/304138/9/0.pdf?ts=1532512098</w:t>
        </w:r>
      </w:hyperlink>
    </w:p>
    <w:p w14:paraId="57327A78" w14:textId="77777777" w:rsidR="00637A12" w:rsidRDefault="00637A12" w:rsidP="00F326E5">
      <w:pPr>
        <w:rPr>
          <w:rFonts w:ascii="Times New Roman" w:hAnsi="Times New Roman"/>
          <w:b/>
          <w:sz w:val="24"/>
          <w:szCs w:val="24"/>
        </w:rPr>
      </w:pPr>
    </w:p>
    <w:p w14:paraId="37A345AD" w14:textId="510F68C0" w:rsidR="00F326E5" w:rsidRPr="00015208" w:rsidRDefault="00F326E5" w:rsidP="00F326E5">
      <w:pPr>
        <w:rPr>
          <w:rFonts w:ascii="Times New Roman" w:hAnsi="Times New Roman"/>
          <w:b/>
          <w:sz w:val="24"/>
          <w:szCs w:val="24"/>
        </w:rPr>
      </w:pPr>
      <w:r w:rsidRPr="00015208">
        <w:rPr>
          <w:rFonts w:ascii="Times New Roman" w:hAnsi="Times New Roman"/>
          <w:b/>
          <w:sz w:val="24"/>
          <w:szCs w:val="24"/>
        </w:rPr>
        <w:t xml:space="preserve">Legal Lessons Learned: If suspect in arson case is not in custody, then Miranda warnings </w:t>
      </w:r>
      <w:proofErr w:type="gramStart"/>
      <w:r w:rsidRPr="00015208">
        <w:rPr>
          <w:rFonts w:ascii="Times New Roman" w:hAnsi="Times New Roman"/>
          <w:b/>
          <w:sz w:val="24"/>
          <w:szCs w:val="24"/>
        </w:rPr>
        <w:t>not</w:t>
      </w:r>
      <w:proofErr w:type="gramEnd"/>
      <w:r w:rsidRPr="00015208">
        <w:rPr>
          <w:rFonts w:ascii="Times New Roman" w:hAnsi="Times New Roman"/>
          <w:b/>
          <w:sz w:val="24"/>
          <w:szCs w:val="24"/>
        </w:rPr>
        <w:t xml:space="preserve"> required.</w:t>
      </w:r>
    </w:p>
    <w:bookmarkEnd w:id="79"/>
    <w:p w14:paraId="1685B2FE" w14:textId="77777777" w:rsidR="00791CA3" w:rsidRDefault="00791CA3" w:rsidP="00791CA3">
      <w:pPr>
        <w:rPr>
          <w:rFonts w:ascii="Arial Black" w:hAnsi="Arial Black"/>
          <w:b/>
          <w:sz w:val="24"/>
          <w:szCs w:val="24"/>
        </w:rPr>
      </w:pPr>
    </w:p>
    <w:p w14:paraId="51FA47C9" w14:textId="10D6ABB3"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9</w:t>
      </w:r>
    </w:p>
    <w:p w14:paraId="6C843AF6" w14:textId="073B3AE9" w:rsidR="00F326E5" w:rsidRPr="00BF4082" w:rsidRDefault="00F326E5" w:rsidP="00F326E5">
      <w:pPr>
        <w:pStyle w:val="NoSpacing"/>
        <w:rPr>
          <w:rFonts w:ascii="Arial Black" w:hAnsi="Arial Black"/>
          <w:b/>
          <w:sz w:val="28"/>
          <w:szCs w:val="28"/>
        </w:rPr>
      </w:pPr>
      <w:bookmarkStart w:id="80" w:name="_Hlk7340104"/>
      <w:r w:rsidRPr="00BF4082">
        <w:rPr>
          <w:rFonts w:ascii="Arial Black" w:hAnsi="Arial Black"/>
          <w:b/>
          <w:sz w:val="28"/>
          <w:szCs w:val="28"/>
        </w:rPr>
        <w:t xml:space="preserve">U.S. SUPREME COURT – UNION “FAIR SHARE” FEES </w:t>
      </w:r>
      <w:r>
        <w:rPr>
          <w:rFonts w:ascii="Arial Black" w:hAnsi="Arial Black"/>
          <w:b/>
          <w:sz w:val="28"/>
          <w:szCs w:val="28"/>
        </w:rPr>
        <w:t xml:space="preserve">– REQUIRES </w:t>
      </w:r>
      <w:r w:rsidRPr="00BF4082">
        <w:rPr>
          <w:rFonts w:ascii="Arial Black" w:hAnsi="Arial Black"/>
          <w:b/>
          <w:sz w:val="28"/>
          <w:szCs w:val="28"/>
        </w:rPr>
        <w:t xml:space="preserve">EMPLOYEE </w:t>
      </w:r>
      <w:r>
        <w:rPr>
          <w:rFonts w:ascii="Arial Black" w:hAnsi="Arial Black"/>
          <w:b/>
          <w:sz w:val="28"/>
          <w:szCs w:val="28"/>
        </w:rPr>
        <w:t xml:space="preserve">SPECIFIC </w:t>
      </w:r>
      <w:r w:rsidRPr="00BF4082">
        <w:rPr>
          <w:rFonts w:ascii="Arial Black" w:hAnsi="Arial Black"/>
          <w:b/>
          <w:sz w:val="28"/>
          <w:szCs w:val="28"/>
        </w:rPr>
        <w:t xml:space="preserve">CONSENT </w:t>
      </w:r>
    </w:p>
    <w:p w14:paraId="27D6EC33" w14:textId="77777777" w:rsidR="00F326E5" w:rsidRPr="00015208" w:rsidRDefault="00F326E5" w:rsidP="00F326E5">
      <w:pPr>
        <w:rPr>
          <w:rFonts w:ascii="Times New Roman" w:hAnsi="Times New Roman"/>
          <w:sz w:val="24"/>
          <w:szCs w:val="24"/>
        </w:rPr>
      </w:pPr>
      <w:r w:rsidRPr="00015208">
        <w:rPr>
          <w:rFonts w:ascii="Times New Roman" w:hAnsi="Times New Roman"/>
          <w:sz w:val="24"/>
          <w:szCs w:val="24"/>
        </w:rPr>
        <w:t xml:space="preserve">On June 27, 2018, in </w:t>
      </w:r>
      <w:r w:rsidRPr="00015208">
        <w:rPr>
          <w:rFonts w:ascii="Times New Roman" w:hAnsi="Times New Roman"/>
          <w:sz w:val="24"/>
          <w:szCs w:val="24"/>
          <w:u w:val="single"/>
        </w:rPr>
        <w:t>Janus v. American Federation of State, County, And Municipal Employee, Council 32, et al</w:t>
      </w:r>
      <w:r w:rsidRPr="00015208">
        <w:rPr>
          <w:rFonts w:ascii="Times New Roman" w:hAnsi="Times New Roman"/>
          <w:sz w:val="24"/>
          <w:szCs w:val="24"/>
        </w:rPr>
        <w:t xml:space="preserve">,  the U.S. Supreme Court (5 to 4) held in opinion by Justice </w:t>
      </w:r>
      <w:r w:rsidRPr="00015208">
        <w:rPr>
          <w:rFonts w:ascii="Times New Roman" w:eastAsia="Times New Roman" w:hAnsi="Times New Roman"/>
          <w:sz w:val="24"/>
          <w:szCs w:val="24"/>
        </w:rPr>
        <w:t xml:space="preserve">Alito: </w:t>
      </w:r>
      <w:r w:rsidRPr="00015208">
        <w:rPr>
          <w:rFonts w:ascii="Times New Roman" w:hAnsi="Times New Roman"/>
          <w:sz w:val="24"/>
          <w:szCs w:val="24"/>
        </w:rPr>
        <w:t xml:space="preserve"> </w:t>
      </w:r>
    </w:p>
    <w:p w14:paraId="7B302BAD" w14:textId="77777777" w:rsidR="00F326E5" w:rsidRPr="00015208" w:rsidRDefault="00F326E5" w:rsidP="00F326E5">
      <w:pPr>
        <w:ind w:left="720"/>
        <w:rPr>
          <w:rFonts w:ascii="Times New Roman" w:eastAsia="Times New Roman" w:hAnsi="Times New Roman"/>
          <w:b/>
          <w:sz w:val="24"/>
          <w:szCs w:val="24"/>
        </w:rPr>
      </w:pPr>
      <w:r w:rsidRPr="00015208">
        <w:rPr>
          <w:rFonts w:ascii="Times New Roman" w:hAnsi="Times New Roman"/>
          <w:sz w:val="24"/>
          <w:szCs w:val="24"/>
        </w:rPr>
        <w:t>“</w:t>
      </w:r>
      <w:r w:rsidRPr="00015208">
        <w:rPr>
          <w:rFonts w:ascii="Times New Roman" w:eastAsia="Times New Roman" w:hAnsi="Times New Roman"/>
          <w:sz w:val="24"/>
          <w:szCs w:val="24"/>
        </w:rPr>
        <w:t>Under Illinois law, public employees are forced to subsi</w:t>
      </w:r>
      <w:r w:rsidRPr="00015208">
        <w:rPr>
          <w:rFonts w:ascii="Times New Roman" w:eastAsia="Times New Roman" w:hAnsi="Times New Roman"/>
          <w:sz w:val="24"/>
          <w:szCs w:val="24"/>
        </w:rPr>
        <w:softHyphen/>
        <w:t>dize a union, even if they choose not to join and strongly object to the positions the union takes in collective bar</w:t>
      </w:r>
      <w:r w:rsidRPr="00015208">
        <w:rPr>
          <w:rFonts w:ascii="Times New Roman" w:eastAsia="Times New Roman" w:hAnsi="Times New Roman"/>
          <w:sz w:val="24"/>
          <w:szCs w:val="24"/>
        </w:rPr>
        <w:softHyphen/>
        <w:t>gaining and related activities. We conclude that this arrangement violates the free speech rights of nonmem</w:t>
      </w:r>
      <w:r w:rsidRPr="00015208">
        <w:rPr>
          <w:rFonts w:ascii="Times New Roman" w:eastAsia="Times New Roman" w:hAnsi="Times New Roman"/>
          <w:sz w:val="24"/>
          <w:szCs w:val="24"/>
        </w:rPr>
        <w:softHyphen/>
        <w:t>bers by compelling them to subsidize private speech on matters of substantial public concern.”</w:t>
      </w:r>
      <w:hyperlink r:id="rId362" w:history="1">
        <w:r w:rsidRPr="00015208">
          <w:rPr>
            <w:rStyle w:val="Hyperlink"/>
            <w:rFonts w:ascii="Times New Roman" w:hAnsi="Times New Roman"/>
            <w:sz w:val="24"/>
            <w:szCs w:val="24"/>
          </w:rPr>
          <w:t>https://www.supremecourt.gov/opinions/17pdf/16-1466_2b3j.pdf</w:t>
        </w:r>
      </w:hyperlink>
      <w:r w:rsidRPr="00015208">
        <w:rPr>
          <w:rFonts w:ascii="Times New Roman" w:eastAsia="Times New Roman" w:hAnsi="Times New Roman"/>
          <w:b/>
          <w:sz w:val="24"/>
          <w:szCs w:val="24"/>
        </w:rPr>
        <w:t xml:space="preserve"> </w:t>
      </w:r>
    </w:p>
    <w:p w14:paraId="0208932C" w14:textId="77777777" w:rsidR="00F326E5" w:rsidRPr="00FC2C52" w:rsidRDefault="00F326E5" w:rsidP="00F326E5">
      <w:pPr>
        <w:rPr>
          <w:sz w:val="24"/>
          <w:szCs w:val="24"/>
        </w:rPr>
      </w:pPr>
      <w:r w:rsidRPr="00015208">
        <w:rPr>
          <w:rFonts w:ascii="Times New Roman" w:hAnsi="Times New Roman"/>
          <w:b/>
          <w:sz w:val="24"/>
          <w:szCs w:val="24"/>
        </w:rPr>
        <w:t>Legal Lessons Learned:  Fire &amp; EMS Departments with unions need to dialog with their union officers about getting written authorization from each employee to deduct “fair share” or other union fees.</w:t>
      </w:r>
      <w:r w:rsidRPr="00015208">
        <w:rPr>
          <w:rFonts w:ascii="Times New Roman" w:hAnsi="Times New Roman"/>
          <w:sz w:val="24"/>
          <w:szCs w:val="24"/>
        </w:rPr>
        <w:t xml:space="preserve">  See also IAFF Statement: </w:t>
      </w:r>
      <w:hyperlink r:id="rId363" w:anchor="contentid=68451" w:history="1">
        <w:r w:rsidRPr="00015208">
          <w:rPr>
            <w:rStyle w:val="Hyperlink"/>
            <w:rFonts w:ascii="Times New Roman" w:hAnsi="Times New Roman"/>
            <w:sz w:val="24"/>
            <w:szCs w:val="24"/>
          </w:rPr>
          <w:t>https://client.prod.iaff.org/#contentid=68451</w:t>
        </w:r>
      </w:hyperlink>
      <w:r w:rsidRPr="00015208">
        <w:rPr>
          <w:rFonts w:ascii="Times New Roman" w:hAnsi="Times New Roman"/>
          <w:sz w:val="24"/>
          <w:szCs w:val="24"/>
        </w:rPr>
        <w:t xml:space="preserve">, and Blog: </w:t>
      </w:r>
      <w:hyperlink r:id="rId364" w:history="1">
        <w:r w:rsidRPr="00015208">
          <w:rPr>
            <w:rStyle w:val="Hyperlink"/>
            <w:rFonts w:ascii="Times New Roman" w:hAnsi="Times New Roman"/>
            <w:sz w:val="24"/>
            <w:szCs w:val="24"/>
          </w:rPr>
          <w:t>http://blog.iaff.org/post/2018/06/05/preparing-for-the-janus-v-afscme-council-31-supreme-court-ruling</w:t>
        </w:r>
      </w:hyperlink>
      <w:bookmarkEnd w:id="80"/>
      <w:r w:rsidRPr="00FC2C52">
        <w:rPr>
          <w:sz w:val="24"/>
          <w:szCs w:val="24"/>
        </w:rPr>
        <w:t xml:space="preserve"> </w:t>
      </w:r>
    </w:p>
    <w:p w14:paraId="1E02B443" w14:textId="77777777" w:rsidR="00F326E5" w:rsidRPr="00A56BFE" w:rsidRDefault="00F326E5" w:rsidP="00F326E5">
      <w:pPr>
        <w:pStyle w:val="NoSpacing"/>
        <w:ind w:firstLine="720"/>
        <w:rPr>
          <w:rFonts w:eastAsia="Times New Roman"/>
          <w:b/>
          <w:sz w:val="24"/>
          <w:szCs w:val="24"/>
        </w:rPr>
      </w:pPr>
    </w:p>
    <w:p w14:paraId="6EA447FC" w14:textId="2515D788" w:rsidR="00791CA3" w:rsidRPr="00791CA3" w:rsidRDefault="00791CA3" w:rsidP="00791CA3">
      <w:pPr>
        <w:rPr>
          <w:rFonts w:ascii="Arial Black" w:hAnsi="Arial Black"/>
          <w:b/>
          <w:sz w:val="24"/>
          <w:szCs w:val="24"/>
        </w:rPr>
      </w:pPr>
      <w:bookmarkStart w:id="81" w:name="_Hlk7340141"/>
      <w:r w:rsidRPr="00791CA3">
        <w:rPr>
          <w:rFonts w:ascii="Arial Black" w:hAnsi="Arial Black"/>
          <w:b/>
          <w:sz w:val="24"/>
          <w:szCs w:val="24"/>
        </w:rPr>
        <w:t>1-</w:t>
      </w:r>
      <w:r>
        <w:rPr>
          <w:rFonts w:ascii="Arial Black" w:hAnsi="Arial Black"/>
          <w:b/>
          <w:sz w:val="24"/>
          <w:szCs w:val="24"/>
        </w:rPr>
        <w:t>8</w:t>
      </w:r>
    </w:p>
    <w:p w14:paraId="68CA276F" w14:textId="34F546BB" w:rsidR="00F326E5" w:rsidRPr="00BF4082" w:rsidRDefault="00F326E5" w:rsidP="00F326E5">
      <w:pPr>
        <w:pStyle w:val="NormalWeb"/>
        <w:rPr>
          <w:rFonts w:ascii="Arial Black" w:hAnsi="Arial Black"/>
          <w:b/>
          <w:sz w:val="28"/>
          <w:szCs w:val="28"/>
        </w:rPr>
      </w:pPr>
      <w:r w:rsidRPr="00BF4082">
        <w:rPr>
          <w:rFonts w:ascii="Arial Black" w:hAnsi="Arial Black"/>
          <w:b/>
          <w:sz w:val="28"/>
          <w:szCs w:val="28"/>
        </w:rPr>
        <w:t>U.S. SUPREME COURT</w:t>
      </w:r>
      <w:r>
        <w:rPr>
          <w:rFonts w:ascii="Arial Black" w:hAnsi="Arial Black"/>
          <w:b/>
          <w:sz w:val="28"/>
          <w:szCs w:val="28"/>
        </w:rPr>
        <w:t xml:space="preserve">: </w:t>
      </w:r>
      <w:r w:rsidRPr="00BF4082">
        <w:rPr>
          <w:rFonts w:ascii="Arial Black" w:hAnsi="Arial Black"/>
          <w:b/>
          <w:sz w:val="28"/>
          <w:szCs w:val="28"/>
        </w:rPr>
        <w:t xml:space="preserve">SEARCH WARRANT REQUIRED FOR CELL TOWER DATA, UNLESS EMERGENCY </w:t>
      </w:r>
    </w:p>
    <w:p w14:paraId="2E57CDE7" w14:textId="77777777" w:rsidR="00F326E5" w:rsidRPr="00015208" w:rsidRDefault="00F326E5" w:rsidP="00F326E5">
      <w:pPr>
        <w:pStyle w:val="NormalWeb"/>
      </w:pPr>
      <w:r w:rsidRPr="00015208">
        <w:t xml:space="preserve">On June 22, 2018, in </w:t>
      </w:r>
      <w:r w:rsidRPr="00015208">
        <w:rPr>
          <w:u w:val="single"/>
        </w:rPr>
        <w:t>Carpenter v. United States</w:t>
      </w:r>
      <w:r w:rsidRPr="00015208">
        <w:t>, the U.S. Supreme Court (5 to 4), in opinion by Chief Justice Roberts, held that a search warrant is normally required to track a person’s cell phone location, but also recognized an emergency exception.</w:t>
      </w:r>
    </w:p>
    <w:p w14:paraId="7982E511" w14:textId="77777777" w:rsidR="00F326E5" w:rsidRPr="00015208" w:rsidRDefault="00F326E5" w:rsidP="00F326E5">
      <w:pPr>
        <w:ind w:left="720"/>
        <w:rPr>
          <w:rFonts w:ascii="Times New Roman" w:eastAsia="Times New Roman" w:hAnsi="Times New Roman"/>
          <w:sz w:val="24"/>
          <w:szCs w:val="24"/>
        </w:rPr>
      </w:pPr>
      <w:r w:rsidRPr="00015208">
        <w:rPr>
          <w:rFonts w:ascii="Times New Roman" w:eastAsia="Times New Roman" w:hAnsi="Times New Roman"/>
          <w:sz w:val="24"/>
          <w:szCs w:val="24"/>
        </w:rPr>
        <w:t>“Further, even though the Government will generally need a warrant to access CSLI [cell-site location information], case-specific exceptions may support a warrantless search of an individual’s cell-site records under certain circumstances. ‘One well-recognized exception applies when “the exigencies of the situation” make the needs of law enforcement so compelling that [a] warrantless search is objectively reasonable under the Fourth Amendment.’ Kentucky v. King, 563 U. S. 452, 460 (2011) (quoting Mincey v. Arizona, 437 U. S. 385, 394 (1978)). Such exigencies include the need to pursue a fleeing suspect, protect individuals who are threatened with imminent harm, or prevent the imminent destruction of evidence. 563 U. S., at 460, and n. 3. As a result, if law enforcement is confronted with an urgent situation, such fact-specific threats will likely justify the warrantless collection of CSLI.  Lower courts, for instance, have approved warrantless searches related to bomb threats, active shootings, and child abductions. Our decision today does not call into doubt warrantless access to CSLI in such circumstances. While police must get a warrant when collecting CSLI to assist in the mine-run criminal investigation, the rule we set forth does not limit their ability to respond to an ongoing emergency.”</w:t>
      </w:r>
    </w:p>
    <w:p w14:paraId="2D9AA853" w14:textId="77777777" w:rsidR="00F326E5" w:rsidRPr="00015208" w:rsidRDefault="00F326E5" w:rsidP="00F326E5">
      <w:pPr>
        <w:ind w:firstLine="720"/>
        <w:rPr>
          <w:rFonts w:ascii="Times New Roman" w:eastAsia="Times New Roman" w:hAnsi="Times New Roman"/>
          <w:sz w:val="24"/>
          <w:szCs w:val="24"/>
        </w:rPr>
      </w:pPr>
      <w:hyperlink r:id="rId365" w:history="1">
        <w:r w:rsidRPr="00015208">
          <w:rPr>
            <w:rStyle w:val="Hyperlink"/>
            <w:rFonts w:ascii="Times New Roman" w:hAnsi="Times New Roman"/>
            <w:sz w:val="24"/>
            <w:szCs w:val="24"/>
          </w:rPr>
          <w:t>https://www.supremecourt.gov/opinions/17pdf/16-402_h315.pdf</w:t>
        </w:r>
      </w:hyperlink>
      <w:r w:rsidRPr="00015208">
        <w:rPr>
          <w:rFonts w:ascii="Times New Roman" w:eastAsia="Times New Roman" w:hAnsi="Times New Roman"/>
          <w:sz w:val="24"/>
          <w:szCs w:val="24"/>
        </w:rPr>
        <w:t xml:space="preserve"> </w:t>
      </w:r>
    </w:p>
    <w:p w14:paraId="776437A2" w14:textId="77777777" w:rsidR="00354767" w:rsidRDefault="00F326E5" w:rsidP="00F326E5">
      <w:pPr>
        <w:ind w:left="720"/>
        <w:rPr>
          <w:rFonts w:ascii="Times New Roman" w:eastAsia="Times New Roman" w:hAnsi="Times New Roman"/>
          <w:b/>
          <w:sz w:val="24"/>
          <w:szCs w:val="24"/>
        </w:rPr>
      </w:pPr>
      <w:r w:rsidRPr="00015208">
        <w:rPr>
          <w:rFonts w:ascii="Times New Roman" w:eastAsia="Times New Roman" w:hAnsi="Times New Roman"/>
          <w:b/>
          <w:sz w:val="24"/>
          <w:szCs w:val="24"/>
        </w:rPr>
        <w:t>Legal Lessons Learned:  Fire &amp; EMS Departments in emergency situations – for example, when conducting search for a missing person who may be carrying a cell phone – may still coordinate with law enforcement and get cell tower information without a search warrant</w:t>
      </w:r>
    </w:p>
    <w:p w14:paraId="21384867" w14:textId="07A8E2DE" w:rsidR="00F326E5" w:rsidRPr="00015208" w:rsidRDefault="00F326E5" w:rsidP="00F326E5">
      <w:pPr>
        <w:ind w:left="720"/>
        <w:rPr>
          <w:rFonts w:ascii="Times New Roman" w:eastAsia="Times New Roman" w:hAnsi="Times New Roman"/>
          <w:sz w:val="24"/>
          <w:szCs w:val="24"/>
        </w:rPr>
      </w:pPr>
      <w:r w:rsidRPr="00015208">
        <w:rPr>
          <w:rFonts w:ascii="Times New Roman" w:eastAsia="Times New Roman" w:hAnsi="Times New Roman"/>
          <w:sz w:val="24"/>
          <w:szCs w:val="24"/>
        </w:rPr>
        <w:t>Note:  Justice Kennedy announced his retirement on June 27, 2018; he has been the “swing vote” in many 5 to 4 decisions.  Future cases involving access to electronic records will undoubtedly get to the U.S. Supreme Court.</w:t>
      </w:r>
    </w:p>
    <w:bookmarkEnd w:id="81"/>
    <w:p w14:paraId="4F13D79F" w14:textId="1033F972"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7</w:t>
      </w:r>
    </w:p>
    <w:p w14:paraId="52872B9B" w14:textId="5761C3D6" w:rsidR="00F326E5" w:rsidRPr="00F707DC" w:rsidRDefault="00F326E5" w:rsidP="00F326E5">
      <w:pPr>
        <w:rPr>
          <w:sz w:val="24"/>
          <w:szCs w:val="24"/>
        </w:rPr>
      </w:pPr>
      <w:bookmarkStart w:id="82" w:name="_Hlk7340196"/>
      <w:r w:rsidRPr="00F707DC">
        <w:rPr>
          <w:rFonts w:ascii="Arial Black" w:hAnsi="Arial Black"/>
          <w:sz w:val="28"/>
          <w:szCs w:val="28"/>
        </w:rPr>
        <w:t>PA:  DOT E</w:t>
      </w:r>
      <w:r>
        <w:rPr>
          <w:rFonts w:ascii="Arial Black" w:hAnsi="Arial Black"/>
          <w:sz w:val="28"/>
          <w:szCs w:val="28"/>
        </w:rPr>
        <w:t xml:space="preserve">MPLOYEE FIRED FOR </w:t>
      </w:r>
      <w:r w:rsidRPr="00F707DC">
        <w:rPr>
          <w:rFonts w:ascii="Arial Black" w:hAnsi="Arial Black"/>
          <w:sz w:val="28"/>
          <w:szCs w:val="28"/>
        </w:rPr>
        <w:t>FACEBOOK P</w:t>
      </w:r>
      <w:r>
        <w:rPr>
          <w:rFonts w:ascii="Arial Black" w:hAnsi="Arial Black"/>
          <w:sz w:val="28"/>
          <w:szCs w:val="28"/>
        </w:rPr>
        <w:t xml:space="preserve">OSTS ON BAD SCHOOL BUS DRIVERS – REINSTATED </w:t>
      </w:r>
      <w:r w:rsidRPr="00F707DC">
        <w:rPr>
          <w:sz w:val="24"/>
          <w:szCs w:val="24"/>
        </w:rPr>
        <w:t>[also filed, Chap. 16]</w:t>
      </w:r>
    </w:p>
    <w:p w14:paraId="1C8919E6" w14:textId="73F763FF" w:rsidR="00637A12" w:rsidRDefault="00F326E5" w:rsidP="00F326E5">
      <w:pPr>
        <w:pStyle w:val="NoSpacing"/>
        <w:rPr>
          <w:rFonts w:ascii="Times New Roman" w:hAnsi="Times New Roman"/>
          <w:sz w:val="24"/>
          <w:szCs w:val="24"/>
        </w:rPr>
      </w:pPr>
      <w:r w:rsidRPr="00015208">
        <w:rPr>
          <w:rFonts w:ascii="Times New Roman" w:hAnsi="Times New Roman"/>
          <w:sz w:val="24"/>
          <w:szCs w:val="24"/>
        </w:rPr>
        <w:t xml:space="preserve">On June 12, 2018, in </w:t>
      </w:r>
      <w:r w:rsidRPr="00015208">
        <w:rPr>
          <w:rFonts w:ascii="Times New Roman" w:hAnsi="Times New Roman"/>
          <w:sz w:val="24"/>
          <w:szCs w:val="24"/>
          <w:u w:val="single"/>
        </w:rPr>
        <w:t>Rachel L. Carr v. Commonwealth of Pennsylvania / Department of Transportation and Civil Service Commission</w:t>
      </w:r>
      <w:r w:rsidRPr="00015208">
        <w:rPr>
          <w:rFonts w:ascii="Times New Roman" w:hAnsi="Times New Roman"/>
          <w:sz w:val="24"/>
          <w:szCs w:val="24"/>
        </w:rPr>
        <w:t xml:space="preserve">, the Commonwealth Court of Pennsylvania held (3 to 0) that the employee’s FACEBOOK posts about local school bus drivers were “inappropriate” but were protected since it </w:t>
      </w:r>
    </w:p>
    <w:p w14:paraId="26A0C1D6" w14:textId="448424EB" w:rsidR="00F326E5" w:rsidRPr="00015208" w:rsidRDefault="00F326E5" w:rsidP="008D07C2">
      <w:pPr>
        <w:pStyle w:val="NoSpacing"/>
        <w:rPr>
          <w:rFonts w:ascii="Times New Roman" w:hAnsi="Times New Roman"/>
          <w:sz w:val="24"/>
          <w:szCs w:val="24"/>
        </w:rPr>
      </w:pPr>
      <w:r w:rsidRPr="00015208">
        <w:rPr>
          <w:rFonts w:ascii="Times New Roman" w:hAnsi="Times New Roman"/>
          <w:sz w:val="24"/>
          <w:szCs w:val="24"/>
        </w:rPr>
        <w:t>“</w:t>
      </w:r>
      <w:proofErr w:type="gramStart"/>
      <w:r w:rsidRPr="00015208">
        <w:rPr>
          <w:rFonts w:ascii="Times New Roman" w:hAnsi="Times New Roman"/>
          <w:sz w:val="24"/>
          <w:szCs w:val="24"/>
        </w:rPr>
        <w:t>touched</w:t>
      </w:r>
      <w:proofErr w:type="gramEnd"/>
      <w:r w:rsidRPr="00015208">
        <w:rPr>
          <w:rFonts w:ascii="Times New Roman" w:hAnsi="Times New Roman"/>
          <w:sz w:val="24"/>
          <w:szCs w:val="24"/>
        </w:rPr>
        <w:t xml:space="preserve"> on a matter of public concern.” The Court wrote: “After a thorough review of the record and a conscientious analysis of the factors articulated by the United States Supreme Court, we conclude that the Department’s generalized interest in the safety of the traveling public does not outweigh Carr’s specific interest in commenting on the safety of a particular bus driver. While Carr’s comments are undoubtedly inappropriate, such comments still receive protection under the First Amendment.”</w:t>
      </w:r>
    </w:p>
    <w:p w14:paraId="0038F122" w14:textId="54B662C1" w:rsidR="00F326E5" w:rsidRPr="00015208" w:rsidRDefault="00637A12" w:rsidP="008D07C2">
      <w:pPr>
        <w:pStyle w:val="NoSpacing"/>
        <w:rPr>
          <w:rFonts w:ascii="Times New Roman" w:hAnsi="Times New Roman"/>
          <w:sz w:val="24"/>
          <w:szCs w:val="24"/>
        </w:rPr>
      </w:pPr>
      <w:hyperlink r:id="rId366" w:history="1">
        <w:r w:rsidRPr="002F304C">
          <w:rPr>
            <w:rStyle w:val="Hyperlink"/>
            <w:rFonts w:ascii="Times New Roman" w:hAnsi="Times New Roman"/>
            <w:sz w:val="24"/>
            <w:szCs w:val="24"/>
          </w:rPr>
          <w:t>http://www.pacourts.us/assets/opinions/Commonwealth/out/380md17_6-12-18.pdf</w:t>
        </w:r>
      </w:hyperlink>
      <w:r w:rsidR="00F326E5" w:rsidRPr="00015208">
        <w:rPr>
          <w:rFonts w:ascii="Times New Roman" w:hAnsi="Times New Roman"/>
          <w:sz w:val="24"/>
          <w:szCs w:val="24"/>
        </w:rPr>
        <w:t xml:space="preserve"> </w:t>
      </w:r>
    </w:p>
    <w:p w14:paraId="22CC5D8D" w14:textId="77777777" w:rsidR="00637A12" w:rsidRDefault="00637A12" w:rsidP="00F326E5">
      <w:pPr>
        <w:pStyle w:val="NoSpacing"/>
        <w:rPr>
          <w:rFonts w:ascii="Times New Roman" w:hAnsi="Times New Roman"/>
          <w:b/>
          <w:sz w:val="24"/>
          <w:szCs w:val="24"/>
        </w:rPr>
      </w:pPr>
    </w:p>
    <w:p w14:paraId="23875648" w14:textId="74C41E53" w:rsidR="00F326E5" w:rsidRPr="00015208" w:rsidRDefault="00F326E5" w:rsidP="00F326E5">
      <w:pPr>
        <w:pStyle w:val="NoSpacing"/>
        <w:rPr>
          <w:rFonts w:ascii="Times New Roman" w:hAnsi="Times New Roman"/>
          <w:b/>
          <w:sz w:val="24"/>
          <w:szCs w:val="24"/>
        </w:rPr>
      </w:pPr>
      <w:r w:rsidRPr="00015208">
        <w:rPr>
          <w:rFonts w:ascii="Times New Roman" w:hAnsi="Times New Roman"/>
          <w:b/>
          <w:sz w:val="24"/>
          <w:szCs w:val="24"/>
        </w:rPr>
        <w:t xml:space="preserve">Legal Lessons Learned:  Fire &amp; EMS Departments should have a </w:t>
      </w:r>
      <w:proofErr w:type="gramStart"/>
      <w:r w:rsidRPr="00015208">
        <w:rPr>
          <w:rFonts w:ascii="Times New Roman" w:hAnsi="Times New Roman"/>
          <w:b/>
          <w:sz w:val="24"/>
          <w:szCs w:val="24"/>
        </w:rPr>
        <w:t>Social Media Policy</w:t>
      </w:r>
      <w:proofErr w:type="gramEnd"/>
      <w:r w:rsidRPr="00015208">
        <w:rPr>
          <w:rFonts w:ascii="Times New Roman" w:hAnsi="Times New Roman"/>
          <w:b/>
          <w:sz w:val="24"/>
          <w:szCs w:val="24"/>
        </w:rPr>
        <w:t xml:space="preserve"> that clearly advises personnel that their “Free Speech rights” are limited when discussing FD internal matters. </w:t>
      </w:r>
    </w:p>
    <w:bookmarkEnd w:id="82"/>
    <w:p w14:paraId="1A05D317" w14:textId="77777777" w:rsidR="00F326E5" w:rsidRPr="00A56BFE" w:rsidRDefault="00F326E5" w:rsidP="00F326E5">
      <w:pPr>
        <w:ind w:firstLine="720"/>
        <w:rPr>
          <w:rFonts w:eastAsia="Times New Roman"/>
          <w:b/>
          <w:sz w:val="24"/>
          <w:szCs w:val="24"/>
        </w:rPr>
      </w:pPr>
    </w:p>
    <w:p w14:paraId="13551EB3" w14:textId="77777777" w:rsidR="00637A12" w:rsidRDefault="00637A12" w:rsidP="00791CA3">
      <w:pPr>
        <w:rPr>
          <w:rFonts w:ascii="Arial Black" w:hAnsi="Arial Black"/>
          <w:b/>
          <w:sz w:val="24"/>
          <w:szCs w:val="24"/>
        </w:rPr>
      </w:pPr>
    </w:p>
    <w:p w14:paraId="40627F9E" w14:textId="77777777" w:rsidR="00637A12" w:rsidRDefault="00637A12" w:rsidP="00791CA3">
      <w:pPr>
        <w:rPr>
          <w:rFonts w:ascii="Arial Black" w:hAnsi="Arial Black"/>
          <w:b/>
          <w:sz w:val="24"/>
          <w:szCs w:val="24"/>
        </w:rPr>
      </w:pPr>
    </w:p>
    <w:p w14:paraId="52AAB86B" w14:textId="438780BC"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6</w:t>
      </w:r>
    </w:p>
    <w:p w14:paraId="7DF8D803" w14:textId="5CA2CE91" w:rsidR="00F326E5" w:rsidRDefault="00F326E5" w:rsidP="00F326E5">
      <w:pPr>
        <w:pStyle w:val="NoSpacing"/>
        <w:rPr>
          <w:rFonts w:ascii="Arial Black" w:hAnsi="Arial Black"/>
          <w:b/>
          <w:sz w:val="28"/>
          <w:szCs w:val="28"/>
        </w:rPr>
      </w:pPr>
      <w:bookmarkStart w:id="83" w:name="_Hlk7340230"/>
      <w:r w:rsidRPr="0002084E">
        <w:rPr>
          <w:rFonts w:ascii="Arial Black" w:hAnsi="Arial Black"/>
          <w:b/>
          <w:sz w:val="28"/>
          <w:szCs w:val="28"/>
        </w:rPr>
        <w:t>NY</w:t>
      </w:r>
      <w:r>
        <w:rPr>
          <w:rFonts w:ascii="Arial Black" w:hAnsi="Arial Black"/>
          <w:b/>
          <w:sz w:val="28"/>
          <w:szCs w:val="28"/>
        </w:rPr>
        <w:t>: NY</w:t>
      </w:r>
      <w:r w:rsidRPr="0002084E">
        <w:rPr>
          <w:rFonts w:ascii="Arial Black" w:hAnsi="Arial Black"/>
          <w:b/>
          <w:sz w:val="28"/>
          <w:szCs w:val="28"/>
        </w:rPr>
        <w:t>PD / FDNY TRDEMARKS – CITY SUING “COP SHOP”</w:t>
      </w:r>
    </w:p>
    <w:p w14:paraId="5AD30D1F" w14:textId="77777777" w:rsidR="00637A12" w:rsidRDefault="00637A12" w:rsidP="00F326E5">
      <w:pPr>
        <w:pStyle w:val="NoSpacing"/>
        <w:rPr>
          <w:rFonts w:ascii="Times New Roman" w:hAnsi="Times New Roman"/>
          <w:sz w:val="24"/>
          <w:szCs w:val="24"/>
        </w:rPr>
      </w:pPr>
    </w:p>
    <w:p w14:paraId="4E83F063" w14:textId="35BAD03A" w:rsidR="00F326E5" w:rsidRPr="00015208" w:rsidRDefault="00F326E5" w:rsidP="00F326E5">
      <w:pPr>
        <w:pStyle w:val="NoSpacing"/>
        <w:rPr>
          <w:rFonts w:ascii="Times New Roman" w:hAnsi="Times New Roman"/>
          <w:sz w:val="24"/>
          <w:szCs w:val="24"/>
        </w:rPr>
      </w:pPr>
      <w:r w:rsidRPr="00015208">
        <w:rPr>
          <w:rFonts w:ascii="Times New Roman" w:hAnsi="Times New Roman"/>
          <w:sz w:val="24"/>
          <w:szCs w:val="24"/>
        </w:rPr>
        <w:t xml:space="preserve">On June 7, 2018, in </w:t>
      </w:r>
      <w:r w:rsidRPr="00015208">
        <w:rPr>
          <w:rFonts w:ascii="Times New Roman" w:hAnsi="Times New Roman"/>
          <w:sz w:val="24"/>
          <w:szCs w:val="24"/>
          <w:u w:val="single"/>
        </w:rPr>
        <w:t>The City Of New York v. Blue Rage Inc, d/b/a THE COP SHOP, and Salvatore Piccolo &amp; Susan Piccolo</w:t>
      </w:r>
      <w:r w:rsidRPr="00015208">
        <w:rPr>
          <w:rFonts w:ascii="Times New Roman" w:hAnsi="Times New Roman"/>
          <w:sz w:val="24"/>
          <w:szCs w:val="24"/>
        </w:rPr>
        <w:t xml:space="preserve">, a United States Magistrate Judge in Central Islip, New York, held in a pre-trial dispute that the City does not need to disclose the profits it makes on its merchandise, or its contributions to non-profit organizations. </w:t>
      </w:r>
      <w:hyperlink r:id="rId367" w:history="1">
        <w:r w:rsidRPr="00015208">
          <w:rPr>
            <w:rStyle w:val="Hyperlink"/>
            <w:rFonts w:ascii="Times New Roman" w:hAnsi="Times New Roman"/>
            <w:sz w:val="24"/>
            <w:szCs w:val="24"/>
          </w:rPr>
          <w:t>https://cases.justia.com/federal/district-courts/new-york/nyedce/2:2017cv03480/402865/37/0.pdf?ts=1528277681</w:t>
        </w:r>
      </w:hyperlink>
      <w:r w:rsidRPr="00015208">
        <w:rPr>
          <w:rFonts w:ascii="Times New Roman" w:hAnsi="Times New Roman"/>
          <w:sz w:val="24"/>
          <w:szCs w:val="24"/>
        </w:rPr>
        <w:t xml:space="preserve"> </w:t>
      </w:r>
    </w:p>
    <w:p w14:paraId="6BBFBCCC" w14:textId="77777777" w:rsidR="00637A12" w:rsidRDefault="00637A12" w:rsidP="00F326E5">
      <w:pPr>
        <w:pStyle w:val="NoSpacing"/>
        <w:rPr>
          <w:rFonts w:ascii="Times New Roman" w:hAnsi="Times New Roman"/>
          <w:b/>
          <w:sz w:val="24"/>
          <w:szCs w:val="24"/>
        </w:rPr>
      </w:pPr>
    </w:p>
    <w:p w14:paraId="36A9E533" w14:textId="0B6639B0" w:rsidR="00F326E5" w:rsidRPr="00015208" w:rsidRDefault="00F326E5" w:rsidP="00F326E5">
      <w:pPr>
        <w:pStyle w:val="NoSpacing"/>
        <w:rPr>
          <w:rFonts w:ascii="Times New Roman" w:hAnsi="Times New Roman"/>
          <w:b/>
          <w:sz w:val="24"/>
          <w:szCs w:val="24"/>
        </w:rPr>
      </w:pPr>
      <w:r w:rsidRPr="00015208">
        <w:rPr>
          <w:rFonts w:ascii="Times New Roman" w:hAnsi="Times New Roman"/>
          <w:b/>
          <w:sz w:val="24"/>
          <w:szCs w:val="24"/>
        </w:rPr>
        <w:t xml:space="preserve">Legal Lessons Learned: Protect your trademarks. “Under trademark law, the </w:t>
      </w:r>
      <w:proofErr w:type="gramStart"/>
      <w:r w:rsidRPr="00015208">
        <w:rPr>
          <w:rFonts w:ascii="Times New Roman" w:hAnsi="Times New Roman"/>
          <w:b/>
          <w:sz w:val="24"/>
          <w:szCs w:val="24"/>
        </w:rPr>
        <w:t>amount</w:t>
      </w:r>
      <w:proofErr w:type="gramEnd"/>
      <w:r w:rsidRPr="00015208">
        <w:rPr>
          <w:rFonts w:ascii="Times New Roman" w:hAnsi="Times New Roman"/>
          <w:b/>
          <w:sz w:val="24"/>
          <w:szCs w:val="24"/>
        </w:rPr>
        <w:t xml:space="preserve"> of statutory damages can range from a low of $1,000 for innocent infringement to a high of $2,000,000 for willful infringement.” 15 U.S.C. § 1117(c).  </w:t>
      </w:r>
      <w:hyperlink r:id="rId368" w:history="1">
        <w:r w:rsidRPr="00015208">
          <w:rPr>
            <w:rStyle w:val="Hyperlink"/>
            <w:rFonts w:ascii="Times New Roman" w:hAnsi="Times New Roman"/>
            <w:sz w:val="24"/>
            <w:szCs w:val="24"/>
          </w:rPr>
          <w:t>http://buchanan-labs.com/statutory-damages-for-infringement-of-your-copyrights-and-trademarks/</w:t>
        </w:r>
      </w:hyperlink>
    </w:p>
    <w:bookmarkEnd w:id="83"/>
    <w:p w14:paraId="2ECAAA33" w14:textId="77777777" w:rsidR="00F326E5" w:rsidRDefault="00F326E5" w:rsidP="00F326E5">
      <w:pPr>
        <w:pStyle w:val="NoSpacing"/>
        <w:rPr>
          <w:rFonts w:ascii="Arial Black" w:hAnsi="Arial Black"/>
          <w:b/>
          <w:sz w:val="24"/>
          <w:szCs w:val="24"/>
        </w:rPr>
      </w:pPr>
    </w:p>
    <w:p w14:paraId="2FF023BF" w14:textId="2FFA0C00" w:rsidR="00F326E5" w:rsidRDefault="00F326E5" w:rsidP="00F326E5">
      <w:pPr>
        <w:rPr>
          <w:sz w:val="24"/>
          <w:szCs w:val="24"/>
        </w:rPr>
      </w:pPr>
    </w:p>
    <w:p w14:paraId="5CD0C33D" w14:textId="328FD352" w:rsidR="00791CA3" w:rsidRPr="00791CA3" w:rsidRDefault="00791CA3" w:rsidP="00791CA3">
      <w:pPr>
        <w:rPr>
          <w:rFonts w:ascii="Arial Black" w:hAnsi="Arial Black"/>
          <w:b/>
          <w:sz w:val="24"/>
          <w:szCs w:val="24"/>
        </w:rPr>
      </w:pPr>
      <w:bookmarkStart w:id="84" w:name="_Hlk7340267"/>
      <w:r w:rsidRPr="00791CA3">
        <w:rPr>
          <w:rFonts w:ascii="Arial Black" w:hAnsi="Arial Black"/>
          <w:b/>
          <w:sz w:val="24"/>
          <w:szCs w:val="24"/>
        </w:rPr>
        <w:t>1-</w:t>
      </w:r>
      <w:r>
        <w:rPr>
          <w:rFonts w:ascii="Arial Black" w:hAnsi="Arial Black"/>
          <w:b/>
          <w:sz w:val="24"/>
          <w:szCs w:val="24"/>
        </w:rPr>
        <w:t>5</w:t>
      </w:r>
    </w:p>
    <w:p w14:paraId="4ED0EB42" w14:textId="6CDB8B1B" w:rsidR="00D46F1E" w:rsidRDefault="00F326E5" w:rsidP="00F326E5">
      <w:pPr>
        <w:rPr>
          <w:rFonts w:ascii="Arial Black" w:hAnsi="Arial Black"/>
          <w:b/>
          <w:sz w:val="28"/>
          <w:szCs w:val="28"/>
        </w:rPr>
      </w:pPr>
      <w:r w:rsidRPr="003257B0">
        <w:rPr>
          <w:rFonts w:ascii="Arial Black" w:hAnsi="Arial Black"/>
          <w:b/>
          <w:sz w:val="28"/>
          <w:szCs w:val="28"/>
        </w:rPr>
        <w:t>OH</w:t>
      </w:r>
      <w:r>
        <w:rPr>
          <w:rFonts w:ascii="Arial Black" w:hAnsi="Arial Black"/>
          <w:b/>
          <w:sz w:val="28"/>
          <w:szCs w:val="28"/>
        </w:rPr>
        <w:t xml:space="preserve">: </w:t>
      </w:r>
      <w:r w:rsidRPr="003257B0">
        <w:rPr>
          <w:rFonts w:ascii="Arial Black" w:hAnsi="Arial Black"/>
          <w:b/>
          <w:sz w:val="28"/>
          <w:szCs w:val="28"/>
        </w:rPr>
        <w:t xml:space="preserve">FIRE LOSS INSURANCE – CLEVELAND MUST RETURN </w:t>
      </w:r>
      <w:r>
        <w:rPr>
          <w:rFonts w:ascii="Arial Black" w:hAnsi="Arial Black"/>
          <w:b/>
          <w:sz w:val="28"/>
          <w:szCs w:val="28"/>
        </w:rPr>
        <w:t xml:space="preserve">$175,000 DEPOSITED WITH CITY </w:t>
      </w:r>
    </w:p>
    <w:p w14:paraId="280C7A72" w14:textId="3B1925EE" w:rsidR="00F326E5" w:rsidRPr="00015208" w:rsidRDefault="00F326E5" w:rsidP="00F326E5">
      <w:pPr>
        <w:rPr>
          <w:rFonts w:ascii="Times New Roman" w:hAnsi="Times New Roman"/>
          <w:b/>
          <w:sz w:val="28"/>
          <w:szCs w:val="28"/>
        </w:rPr>
      </w:pPr>
      <w:r w:rsidRPr="00015208">
        <w:rPr>
          <w:rFonts w:ascii="Times New Roman" w:eastAsia="Times New Roman" w:hAnsi="Times New Roman"/>
          <w:sz w:val="24"/>
          <w:szCs w:val="24"/>
        </w:rPr>
        <w:t xml:space="preserve">On May 31, 2018, in </w:t>
      </w:r>
      <w:r w:rsidRPr="00015208">
        <w:rPr>
          <w:rFonts w:ascii="Times New Roman" w:eastAsia="Times New Roman" w:hAnsi="Times New Roman"/>
          <w:sz w:val="24"/>
          <w:szCs w:val="24"/>
          <w:u w:val="single"/>
        </w:rPr>
        <w:t>WRRS, L.L.C. v. City of Cleveland</w:t>
      </w:r>
      <w:r w:rsidRPr="00015208">
        <w:rPr>
          <w:rFonts w:ascii="Times New Roman" w:eastAsia="Times New Roman" w:hAnsi="Times New Roman"/>
          <w:sz w:val="24"/>
          <w:szCs w:val="24"/>
        </w:rPr>
        <w:t>, the Court of Appeals for 8</w:t>
      </w:r>
      <w:r w:rsidRPr="00015208">
        <w:rPr>
          <w:rFonts w:ascii="Times New Roman" w:eastAsia="Times New Roman" w:hAnsi="Times New Roman"/>
          <w:sz w:val="24"/>
          <w:szCs w:val="24"/>
          <w:vertAlign w:val="superscript"/>
        </w:rPr>
        <w:t>th</w:t>
      </w:r>
      <w:r w:rsidRPr="00015208">
        <w:rPr>
          <w:rFonts w:ascii="Times New Roman" w:eastAsia="Times New Roman" w:hAnsi="Times New Roman"/>
          <w:sz w:val="24"/>
          <w:szCs w:val="24"/>
        </w:rPr>
        <w:t xml:space="preserve"> Appellate District (County of Cuyahoga), 2018 Ohio 2129, held (3 to 0):</w:t>
      </w:r>
    </w:p>
    <w:p w14:paraId="01C23FFC" w14:textId="77777777" w:rsidR="00F326E5" w:rsidRPr="00015208" w:rsidRDefault="00F326E5" w:rsidP="00F326E5">
      <w:pPr>
        <w:pStyle w:val="NormalWeb"/>
        <w:ind w:left="720"/>
      </w:pPr>
      <w:r w:rsidRPr="00015208">
        <w:t xml:space="preserve">“The Board's 2012 decision, however, does preclude the </w:t>
      </w:r>
      <w:proofErr w:type="gramStart"/>
      <w:r w:rsidRPr="00015208">
        <w:t>City</w:t>
      </w:r>
      <w:proofErr w:type="gramEnd"/>
      <w:r w:rsidRPr="00015208">
        <w:t xml:space="preserve"> from continuing to withhold the $175,000 WRRS deposited with the </w:t>
      </w:r>
      <w:proofErr w:type="gramStart"/>
      <w:r w:rsidRPr="00015208">
        <w:t>City</w:t>
      </w:r>
      <w:proofErr w:type="gramEnd"/>
      <w:r w:rsidRPr="00015208">
        <w:t xml:space="preserve"> pursuant to Ohio's fire loss statute. In 2012, the Board </w:t>
      </w:r>
      <w:proofErr w:type="gramStart"/>
      <w:r w:rsidRPr="00015208">
        <w:t xml:space="preserve">[of </w:t>
      </w:r>
      <w:proofErr w:type="gramEnd"/>
      <w:r w:rsidRPr="00015208">
        <w:t xml:space="preserve">Building Standards] found the WRRS property to </w:t>
      </w:r>
      <w:proofErr w:type="gramStart"/>
      <w:r w:rsidRPr="00015208">
        <w:t>be in compliance</w:t>
      </w:r>
      <w:proofErr w:type="gramEnd"/>
      <w:r w:rsidRPr="00015208">
        <w:t xml:space="preserve"> after the fire. The City could have appealed from the 2012 </w:t>
      </w:r>
      <w:proofErr w:type="gramStart"/>
      <w:r w:rsidRPr="00015208">
        <w:t>decision,  but</w:t>
      </w:r>
      <w:proofErr w:type="gramEnd"/>
      <w:r w:rsidRPr="00015208">
        <w:t xml:space="preserve"> chose not to do so. Thus, the </w:t>
      </w:r>
      <w:proofErr w:type="gramStart"/>
      <w:r w:rsidRPr="00015208">
        <w:t>City</w:t>
      </w:r>
      <w:proofErr w:type="gramEnd"/>
      <w:r w:rsidRPr="00015208">
        <w:t xml:space="preserve"> is now precluded under res judicata from challenging the Board's 2012 decision. As a result, the </w:t>
      </w:r>
      <w:proofErr w:type="gramStart"/>
      <w:r w:rsidRPr="00015208">
        <w:t>City</w:t>
      </w:r>
      <w:proofErr w:type="gramEnd"/>
      <w:r w:rsidRPr="00015208">
        <w:t xml:space="preserve"> is ordered to return the $175,000 to WRRS.”</w:t>
      </w:r>
      <w:hyperlink r:id="rId369" w:history="1">
        <w:r w:rsidRPr="00015208">
          <w:rPr>
            <w:rStyle w:val="Hyperlink"/>
          </w:rPr>
          <w:t>https://cases.justia.com/ohio/eighth-district-court-of-appeals/2018-105661.pdf?ts=1528147387</w:t>
        </w:r>
      </w:hyperlink>
      <w:r w:rsidRPr="00015208">
        <w:t xml:space="preserve"> </w:t>
      </w:r>
    </w:p>
    <w:p w14:paraId="141D4E7D" w14:textId="77777777" w:rsidR="00F326E5" w:rsidRPr="00015208" w:rsidRDefault="00F326E5" w:rsidP="00F326E5">
      <w:pPr>
        <w:rPr>
          <w:rFonts w:ascii="Times New Roman" w:eastAsia="Times New Roman" w:hAnsi="Times New Roman"/>
          <w:b/>
          <w:sz w:val="24"/>
          <w:szCs w:val="24"/>
        </w:rPr>
      </w:pPr>
      <w:r w:rsidRPr="00015208">
        <w:rPr>
          <w:rFonts w:ascii="Times New Roman" w:eastAsia="Times New Roman" w:hAnsi="Times New Roman"/>
          <w:b/>
          <w:sz w:val="24"/>
          <w:szCs w:val="24"/>
        </w:rPr>
        <w:t xml:space="preserve">Legal Lessons Learned:  Under Ohio Revised Code 3929.86, “Fire loss claims,” for claims in excess of $5000, insurance companies must first deposit payment with political subdivision.” </w:t>
      </w:r>
    </w:p>
    <w:p w14:paraId="4358BDC5" w14:textId="77777777" w:rsidR="00F326E5" w:rsidRPr="00015208" w:rsidRDefault="00F326E5" w:rsidP="00F326E5">
      <w:pPr>
        <w:pStyle w:val="NormalWeb"/>
        <w:ind w:left="720"/>
      </w:pPr>
      <w:bookmarkStart w:id="85" w:name="3929.86(A)"/>
      <w:r w:rsidRPr="00015208">
        <w:t>“(A)</w:t>
      </w:r>
      <w:bookmarkEnd w:id="85"/>
      <w:r w:rsidRPr="00015208">
        <w:t xml:space="preserve"> No insurance company doing business in this state shall pay a claim of a named insured for fire damage to a structure located within a municipal corporation or township in this state where the amount recoverable for the fire loss to the structure under all policies exceeds five thousand dollars, unless the company is furnished with a certificate pursuant to division (B) of this section, and unless there is compliance with the procedures set forth in divisions (C) and (D) of this section.”</w:t>
      </w:r>
    </w:p>
    <w:p w14:paraId="48AFB97A" w14:textId="77777777" w:rsidR="00791CA3" w:rsidRDefault="00791CA3" w:rsidP="00F326E5">
      <w:pPr>
        <w:rPr>
          <w:rFonts w:ascii="Arial Black" w:hAnsi="Arial Black"/>
          <w:b/>
          <w:sz w:val="28"/>
          <w:szCs w:val="28"/>
        </w:rPr>
      </w:pPr>
      <w:bookmarkStart w:id="86" w:name="_Hlk7340314"/>
      <w:bookmarkEnd w:id="84"/>
    </w:p>
    <w:p w14:paraId="4EEEC114" w14:textId="07E9D0C0" w:rsidR="00791CA3" w:rsidRPr="00791CA3" w:rsidRDefault="00791CA3" w:rsidP="00791CA3">
      <w:pPr>
        <w:rPr>
          <w:rFonts w:ascii="Arial Black" w:hAnsi="Arial Black"/>
          <w:b/>
          <w:sz w:val="24"/>
          <w:szCs w:val="24"/>
        </w:rPr>
      </w:pPr>
      <w:r w:rsidRPr="00791CA3">
        <w:rPr>
          <w:rFonts w:ascii="Arial Black" w:hAnsi="Arial Black"/>
          <w:b/>
          <w:sz w:val="24"/>
          <w:szCs w:val="24"/>
        </w:rPr>
        <w:t>1-</w:t>
      </w:r>
      <w:r>
        <w:rPr>
          <w:rFonts w:ascii="Arial Black" w:hAnsi="Arial Black"/>
          <w:b/>
          <w:sz w:val="24"/>
          <w:szCs w:val="24"/>
        </w:rPr>
        <w:t>4</w:t>
      </w:r>
    </w:p>
    <w:p w14:paraId="2B90E6CA" w14:textId="4B582080" w:rsidR="00F326E5" w:rsidRDefault="00F326E5" w:rsidP="00F326E5">
      <w:pPr>
        <w:rPr>
          <w:rFonts w:ascii="Arial Black" w:hAnsi="Arial Black"/>
          <w:b/>
          <w:sz w:val="28"/>
          <w:szCs w:val="28"/>
        </w:rPr>
      </w:pPr>
      <w:r w:rsidRPr="00CB3546">
        <w:rPr>
          <w:rFonts w:ascii="Arial Black" w:hAnsi="Arial Black"/>
          <w:b/>
          <w:sz w:val="28"/>
          <w:szCs w:val="28"/>
        </w:rPr>
        <w:t>S</w:t>
      </w:r>
      <w:r>
        <w:rPr>
          <w:rFonts w:ascii="Arial Black" w:hAnsi="Arial Black"/>
          <w:b/>
          <w:sz w:val="28"/>
          <w:szCs w:val="28"/>
        </w:rPr>
        <w:t xml:space="preserve">C: </w:t>
      </w:r>
      <w:r w:rsidRPr="00CB3546">
        <w:rPr>
          <w:rFonts w:ascii="Arial Black" w:hAnsi="Arial Black"/>
          <w:b/>
          <w:sz w:val="28"/>
          <w:szCs w:val="28"/>
        </w:rPr>
        <w:t xml:space="preserve">ARSON INVESTIGATOR </w:t>
      </w:r>
      <w:r>
        <w:rPr>
          <w:rFonts w:ascii="Arial Black" w:hAnsi="Arial Black"/>
          <w:b/>
          <w:sz w:val="28"/>
          <w:szCs w:val="28"/>
        </w:rPr>
        <w:t>“</w:t>
      </w:r>
      <w:r w:rsidRPr="00CB3546">
        <w:rPr>
          <w:rFonts w:ascii="Arial Black" w:hAnsi="Arial Black"/>
          <w:b/>
          <w:sz w:val="28"/>
          <w:szCs w:val="28"/>
        </w:rPr>
        <w:t>EXPERT</w:t>
      </w:r>
      <w:r>
        <w:rPr>
          <w:rFonts w:ascii="Arial Black" w:hAnsi="Arial Black"/>
          <w:b/>
          <w:sz w:val="28"/>
          <w:szCs w:val="28"/>
        </w:rPr>
        <w:t xml:space="preserve">” – 1YEAR OF EXPERIENCE - </w:t>
      </w:r>
      <w:r w:rsidRPr="00CB3546">
        <w:rPr>
          <w:rFonts w:ascii="Arial Black" w:hAnsi="Arial Black"/>
          <w:b/>
          <w:sz w:val="28"/>
          <w:szCs w:val="28"/>
        </w:rPr>
        <w:t>ARSON DOG ALSO QUALIFIED</w:t>
      </w:r>
    </w:p>
    <w:p w14:paraId="70F2A534" w14:textId="2094E6C8" w:rsidR="00F326E5" w:rsidRPr="00015208" w:rsidRDefault="00F326E5" w:rsidP="00F326E5">
      <w:pPr>
        <w:rPr>
          <w:rStyle w:val="Hyperlink"/>
          <w:rFonts w:ascii="Times New Roman" w:hAnsi="Times New Roman"/>
          <w:sz w:val="24"/>
          <w:szCs w:val="24"/>
        </w:rPr>
      </w:pPr>
      <w:r w:rsidRPr="00015208">
        <w:rPr>
          <w:rFonts w:ascii="Times New Roman" w:hAnsi="Times New Roman"/>
          <w:sz w:val="24"/>
          <w:szCs w:val="24"/>
        </w:rPr>
        <w:t xml:space="preserve">On April 11, 2018, in </w:t>
      </w:r>
      <w:r w:rsidRPr="00015208">
        <w:rPr>
          <w:rFonts w:ascii="Times New Roman" w:hAnsi="Times New Roman"/>
          <w:sz w:val="24"/>
          <w:szCs w:val="24"/>
          <w:u w:val="single"/>
        </w:rPr>
        <w:t>The State v. Paula Reed Rose</w:t>
      </w:r>
      <w:r w:rsidRPr="00015208">
        <w:rPr>
          <w:rFonts w:ascii="Times New Roman" w:hAnsi="Times New Roman"/>
          <w:sz w:val="24"/>
          <w:szCs w:val="24"/>
        </w:rPr>
        <w:t xml:space="preserve">, the South Carolina Court of Appeals affirmed (3 to 0) the conviction of Ms. Rose of  third-degree arson, filing a false police report, burning personal property to defraud an insurer, and making a false insurance claim to obtain benefits for fire loss, for which the trial court sentenced her to a </w:t>
      </w:r>
      <w:r w:rsidR="00637A12">
        <w:rPr>
          <w:rFonts w:ascii="Times New Roman" w:hAnsi="Times New Roman"/>
          <w:sz w:val="24"/>
          <w:szCs w:val="24"/>
        </w:rPr>
        <w:t>“</w:t>
      </w:r>
      <w:r w:rsidRPr="00015208">
        <w:rPr>
          <w:rFonts w:ascii="Times New Roman" w:hAnsi="Times New Roman"/>
          <w:sz w:val="24"/>
          <w:szCs w:val="24"/>
        </w:rPr>
        <w:t xml:space="preserve">cumulative term of five years' home incarceration with five years' probation.” </w:t>
      </w:r>
      <w:hyperlink r:id="rId370" w:history="1">
        <w:r w:rsidRPr="00015208">
          <w:rPr>
            <w:rStyle w:val="Hyperlink"/>
            <w:rFonts w:ascii="Times New Roman" w:hAnsi="Times New Roman"/>
            <w:sz w:val="24"/>
            <w:szCs w:val="24"/>
          </w:rPr>
          <w:t>https://caselaw.findlaw.com/sc-court-of-appeals/1893632.html</w:t>
        </w:r>
      </w:hyperlink>
    </w:p>
    <w:p w14:paraId="27B8A338" w14:textId="2EA5FACE" w:rsidR="00F326E5" w:rsidRPr="00015208" w:rsidRDefault="00F326E5" w:rsidP="00F326E5">
      <w:pPr>
        <w:rPr>
          <w:rFonts w:ascii="Times New Roman" w:hAnsi="Times New Roman"/>
          <w:sz w:val="24"/>
          <w:szCs w:val="24"/>
        </w:rPr>
      </w:pPr>
      <w:r w:rsidRPr="00015208">
        <w:rPr>
          <w:rFonts w:ascii="Times New Roman" w:hAnsi="Times New Roman"/>
          <w:b/>
          <w:sz w:val="24"/>
          <w:szCs w:val="24"/>
        </w:rPr>
        <w:t>LEGAL LESSONS LEARNED:  There is no specific “time on the job” requirement to be qualified as an expert in origin and cause</w:t>
      </w:r>
      <w:r w:rsidRPr="00015208">
        <w:rPr>
          <w:rFonts w:ascii="Times New Roman" w:hAnsi="Times New Roman"/>
          <w:sz w:val="24"/>
          <w:szCs w:val="24"/>
        </w:rPr>
        <w:t xml:space="preserve">. </w:t>
      </w:r>
    </w:p>
    <w:p w14:paraId="30937DF0" w14:textId="77777777" w:rsidR="00791CA3" w:rsidRPr="00E456E9" w:rsidRDefault="00791CA3" w:rsidP="00F326E5">
      <w:pPr>
        <w:rPr>
          <w:sz w:val="24"/>
          <w:szCs w:val="24"/>
        </w:rPr>
      </w:pPr>
    </w:p>
    <w:bookmarkEnd w:id="86"/>
    <w:p w14:paraId="715A6166" w14:textId="7CF06D81" w:rsidR="00F326E5" w:rsidRPr="00791CA3" w:rsidRDefault="00791CA3" w:rsidP="00F326E5">
      <w:pPr>
        <w:rPr>
          <w:rFonts w:ascii="Arial Black" w:hAnsi="Arial Black"/>
          <w:b/>
          <w:sz w:val="24"/>
          <w:szCs w:val="24"/>
        </w:rPr>
      </w:pPr>
      <w:r w:rsidRPr="00791CA3">
        <w:rPr>
          <w:rFonts w:ascii="Arial Black" w:hAnsi="Arial Black"/>
          <w:b/>
          <w:sz w:val="24"/>
          <w:szCs w:val="24"/>
        </w:rPr>
        <w:t>1-3</w:t>
      </w:r>
    </w:p>
    <w:p w14:paraId="33577FE4" w14:textId="39E09107" w:rsidR="00F326E5" w:rsidRPr="0026507F" w:rsidRDefault="00F326E5" w:rsidP="00F326E5">
      <w:pPr>
        <w:rPr>
          <w:rFonts w:ascii="Times New Roman" w:hAnsi="Times New Roman"/>
          <w:b/>
          <w:color w:val="4A4A4A"/>
          <w:sz w:val="24"/>
          <w:szCs w:val="24"/>
          <w:lang w:val="en"/>
        </w:rPr>
      </w:pPr>
      <w:bookmarkStart w:id="87" w:name="_Hlk515041397"/>
      <w:bookmarkStart w:id="88" w:name="_Hlk6659978"/>
      <w:r w:rsidRPr="00B87096">
        <w:rPr>
          <w:rFonts w:ascii="Arial Black" w:hAnsi="Arial Black"/>
          <w:color w:val="4A4A4A"/>
          <w:sz w:val="28"/>
          <w:szCs w:val="28"/>
          <w:lang w:val="en"/>
        </w:rPr>
        <w:t>U.S. SUPREME COURT</w:t>
      </w:r>
      <w:r>
        <w:rPr>
          <w:rFonts w:ascii="Arial Black" w:hAnsi="Arial Black"/>
          <w:color w:val="4A4A4A"/>
          <w:sz w:val="28"/>
          <w:szCs w:val="28"/>
          <w:lang w:val="en"/>
        </w:rPr>
        <w:t xml:space="preserve">: LANDMARK DECISION ON </w:t>
      </w:r>
      <w:r w:rsidRPr="00B87096">
        <w:rPr>
          <w:rFonts w:ascii="Arial Black" w:hAnsi="Arial Black"/>
          <w:color w:val="4A4A4A"/>
          <w:sz w:val="28"/>
          <w:szCs w:val="28"/>
          <w:lang w:val="en"/>
        </w:rPr>
        <w:t>QUALIFIED IMMUNITY</w:t>
      </w:r>
      <w:r>
        <w:rPr>
          <w:rFonts w:ascii="Arial Black" w:hAnsi="Arial Black"/>
          <w:color w:val="4A4A4A"/>
          <w:sz w:val="28"/>
          <w:szCs w:val="28"/>
          <w:lang w:val="en"/>
        </w:rPr>
        <w:t xml:space="preserve"> – ONLY IF CLEAR CONSTIT. VIOL. </w:t>
      </w:r>
      <w:r>
        <w:rPr>
          <w:rFonts w:ascii="Times New Roman" w:hAnsi="Times New Roman"/>
          <w:color w:val="4A4A4A"/>
          <w:sz w:val="24"/>
          <w:szCs w:val="24"/>
          <w:lang w:val="en"/>
        </w:rPr>
        <w:t>[also filed, Chap. 2]</w:t>
      </w:r>
    </w:p>
    <w:bookmarkEnd w:id="87"/>
    <w:p w14:paraId="33750B5C" w14:textId="77777777" w:rsidR="00637A12" w:rsidRDefault="00F326E5" w:rsidP="00F326E5">
      <w:pPr>
        <w:pStyle w:val="NoSpacing"/>
        <w:rPr>
          <w:rFonts w:ascii="Times New Roman" w:hAnsi="Times New Roman"/>
          <w:sz w:val="24"/>
          <w:szCs w:val="24"/>
          <w:lang w:val="en"/>
        </w:rPr>
      </w:pPr>
      <w:r w:rsidRPr="00015208">
        <w:rPr>
          <w:rFonts w:ascii="Times New Roman" w:hAnsi="Times New Roman"/>
          <w:sz w:val="24"/>
          <w:szCs w:val="24"/>
          <w:lang w:val="en"/>
        </w:rPr>
        <w:t xml:space="preserve">On April 2, 2018, in </w:t>
      </w:r>
      <w:r w:rsidRPr="00015208">
        <w:rPr>
          <w:rFonts w:ascii="Times New Roman" w:hAnsi="Times New Roman"/>
          <w:sz w:val="24"/>
          <w:szCs w:val="24"/>
          <w:u w:val="single"/>
          <w:lang w:val="en"/>
        </w:rPr>
        <w:t>Andrew Kisela v. Amy Hughes</w:t>
      </w:r>
      <w:r w:rsidRPr="00015208">
        <w:rPr>
          <w:rFonts w:ascii="Times New Roman" w:hAnsi="Times New Roman"/>
          <w:sz w:val="24"/>
          <w:szCs w:val="24"/>
          <w:lang w:val="en"/>
        </w:rPr>
        <w:t>, the U.S. Supreme Court reversed the 9</w:t>
      </w:r>
      <w:r w:rsidRPr="00015208">
        <w:rPr>
          <w:rFonts w:ascii="Times New Roman" w:hAnsi="Times New Roman"/>
          <w:sz w:val="24"/>
          <w:szCs w:val="24"/>
          <w:vertAlign w:val="superscript"/>
          <w:lang w:val="en"/>
        </w:rPr>
        <w:t>th</w:t>
      </w:r>
      <w:r w:rsidRPr="00015208">
        <w:rPr>
          <w:rFonts w:ascii="Times New Roman" w:hAnsi="Times New Roman"/>
          <w:sz w:val="24"/>
          <w:szCs w:val="24"/>
          <w:lang w:val="en"/>
        </w:rPr>
        <w:t xml:space="preserve"> Circuit and held (7 to 2) the police officer who shot Amy Hughes should have been dismissed from the lawsuit: </w:t>
      </w:r>
    </w:p>
    <w:p w14:paraId="6A2376BB" w14:textId="77777777" w:rsidR="00637A12" w:rsidRDefault="00637A12" w:rsidP="00F326E5">
      <w:pPr>
        <w:pStyle w:val="NoSpacing"/>
        <w:rPr>
          <w:rFonts w:ascii="Times New Roman" w:hAnsi="Times New Roman"/>
          <w:sz w:val="24"/>
          <w:szCs w:val="24"/>
          <w:lang w:val="en"/>
        </w:rPr>
      </w:pPr>
    </w:p>
    <w:p w14:paraId="3ED20ECB" w14:textId="2C418F4E" w:rsidR="00F326E5" w:rsidRPr="00015208" w:rsidRDefault="00F326E5" w:rsidP="00637A12">
      <w:pPr>
        <w:pStyle w:val="NoSpacing"/>
        <w:ind w:left="720"/>
        <w:rPr>
          <w:rFonts w:ascii="Times New Roman" w:hAnsi="Times New Roman"/>
          <w:b/>
          <w:sz w:val="24"/>
          <w:szCs w:val="24"/>
        </w:rPr>
      </w:pPr>
      <w:r w:rsidRPr="00015208">
        <w:rPr>
          <w:rFonts w:ascii="Times New Roman" w:hAnsi="Times New Roman"/>
          <w:sz w:val="24"/>
          <w:szCs w:val="24"/>
          <w:lang w:val="en"/>
        </w:rPr>
        <w:t>“Here, the Court need not, and does not, decide whether Kisela violated the Fourth Amendment when he used deadly force against Hughes.  For even assuming a Fourth Amendment violation occurred—a proposition that is not at all evident—on these facts Kisela was at least entitled to qualified immunity. Qualified immunity attaches when an official’s conduct does not violate clearly established statutory or constitutional rights of which a reasonable person would have known.”</w:t>
      </w:r>
      <w:r w:rsidRPr="00015208">
        <w:rPr>
          <w:rFonts w:ascii="Times New Roman" w:hAnsi="Times New Roman"/>
          <w:b/>
          <w:sz w:val="24"/>
          <w:szCs w:val="24"/>
        </w:rPr>
        <w:t xml:space="preserve"> </w:t>
      </w:r>
    </w:p>
    <w:p w14:paraId="1B8E47BB" w14:textId="3463FD99" w:rsidR="00F326E5" w:rsidRPr="00015208" w:rsidRDefault="00637A12" w:rsidP="00637A12">
      <w:pPr>
        <w:pStyle w:val="NoSpacing"/>
        <w:ind w:firstLine="720"/>
        <w:rPr>
          <w:rStyle w:val="Hyperlink"/>
          <w:rFonts w:ascii="Times New Roman" w:hAnsi="Times New Roman"/>
          <w:sz w:val="24"/>
          <w:szCs w:val="24"/>
          <w:lang w:val="en"/>
        </w:rPr>
      </w:pPr>
      <w:hyperlink r:id="rId371" w:history="1">
        <w:r w:rsidRPr="002F304C">
          <w:rPr>
            <w:rStyle w:val="Hyperlink"/>
            <w:rFonts w:ascii="Times New Roman" w:hAnsi="Times New Roman"/>
            <w:sz w:val="24"/>
            <w:szCs w:val="24"/>
            <w:lang w:val="en"/>
          </w:rPr>
          <w:t>https://supreme.justia.com/cases/federal/us/584/17-467/</w:t>
        </w:r>
      </w:hyperlink>
      <w:r w:rsidR="00F326E5" w:rsidRPr="00015208">
        <w:rPr>
          <w:rStyle w:val="Hyperlink"/>
          <w:rFonts w:ascii="Times New Roman" w:hAnsi="Times New Roman"/>
          <w:sz w:val="24"/>
          <w:szCs w:val="24"/>
          <w:lang w:val="en"/>
        </w:rPr>
        <w:t xml:space="preserve"> </w:t>
      </w:r>
    </w:p>
    <w:p w14:paraId="7AA0F70E" w14:textId="77777777" w:rsidR="00637A12" w:rsidRDefault="00637A12" w:rsidP="00F326E5">
      <w:pPr>
        <w:rPr>
          <w:rFonts w:ascii="Times New Roman" w:hAnsi="Times New Roman"/>
          <w:b/>
          <w:sz w:val="24"/>
          <w:szCs w:val="24"/>
          <w:lang w:val="en"/>
        </w:rPr>
      </w:pPr>
    </w:p>
    <w:p w14:paraId="3C629D70" w14:textId="7B049A50" w:rsidR="00F326E5" w:rsidRPr="00015208" w:rsidRDefault="00F326E5" w:rsidP="00F326E5">
      <w:pPr>
        <w:rPr>
          <w:rFonts w:ascii="Times New Roman" w:hAnsi="Times New Roman"/>
          <w:b/>
          <w:sz w:val="24"/>
          <w:szCs w:val="24"/>
          <w:lang w:val="en"/>
        </w:rPr>
      </w:pPr>
      <w:r w:rsidRPr="00015208">
        <w:rPr>
          <w:rFonts w:ascii="Times New Roman" w:hAnsi="Times New Roman"/>
          <w:b/>
          <w:sz w:val="24"/>
          <w:szCs w:val="24"/>
          <w:lang w:val="en"/>
        </w:rPr>
        <w:t xml:space="preserve">Legal Lessons Learned:  Justices sent a message that qualified immunity protects police officers from personal liability unless conduct clearly unjustified.  </w:t>
      </w:r>
    </w:p>
    <w:p w14:paraId="2E3E969F" w14:textId="77777777" w:rsidR="00F326E5" w:rsidRPr="00015208" w:rsidRDefault="00F326E5" w:rsidP="00F326E5">
      <w:pPr>
        <w:ind w:left="720"/>
        <w:rPr>
          <w:rFonts w:ascii="Times New Roman" w:hAnsi="Times New Roman"/>
          <w:b/>
          <w:color w:val="4A4A4A"/>
          <w:sz w:val="24"/>
          <w:szCs w:val="24"/>
          <w:lang w:val="en"/>
        </w:rPr>
      </w:pPr>
      <w:r w:rsidRPr="00015208">
        <w:rPr>
          <w:rFonts w:ascii="Times New Roman" w:hAnsi="Times New Roman"/>
          <w:color w:val="4A4A4A"/>
          <w:sz w:val="24"/>
          <w:szCs w:val="24"/>
          <w:lang w:val="en"/>
        </w:rPr>
        <w:t>See New York Times article on this decision: “</w:t>
      </w:r>
      <w:r w:rsidRPr="00015208">
        <w:rPr>
          <w:rFonts w:ascii="Times New Roman" w:hAnsi="Times New Roman"/>
          <w:sz w:val="24"/>
          <w:szCs w:val="24"/>
          <w:lang w:val="en"/>
        </w:rPr>
        <w:t>The court’s decision was unsigned and issued without full briefing and oral argument, an indication that the majority found the case to be easy.”</w:t>
      </w:r>
      <w:r w:rsidRPr="00015208">
        <w:rPr>
          <w:rFonts w:ascii="Times New Roman" w:hAnsi="Times New Roman"/>
          <w:color w:val="4A4A4A"/>
          <w:sz w:val="24"/>
          <w:szCs w:val="24"/>
          <w:lang w:val="en"/>
        </w:rPr>
        <w:t xml:space="preserve"> </w:t>
      </w:r>
      <w:hyperlink r:id="rId372" w:history="1">
        <w:r w:rsidRPr="00015208">
          <w:rPr>
            <w:rStyle w:val="Hyperlink"/>
            <w:rFonts w:ascii="Times New Roman" w:hAnsi="Times New Roman"/>
            <w:sz w:val="24"/>
            <w:szCs w:val="24"/>
            <w:lang w:val="en"/>
          </w:rPr>
          <w:t>https://www.nytimes.com/2018/04/02/us/politics/supreme-court-rules-for-police-officer-in-excessive-force-case.html</w:t>
        </w:r>
      </w:hyperlink>
      <w:r w:rsidRPr="00015208">
        <w:rPr>
          <w:rFonts w:ascii="Times New Roman" w:hAnsi="Times New Roman"/>
          <w:b/>
          <w:color w:val="4A4A4A"/>
          <w:sz w:val="24"/>
          <w:szCs w:val="24"/>
          <w:lang w:val="en"/>
        </w:rPr>
        <w:t xml:space="preserve"> “</w:t>
      </w:r>
    </w:p>
    <w:bookmarkEnd w:id="88"/>
    <w:p w14:paraId="32252FCC" w14:textId="77777777" w:rsidR="00F326E5" w:rsidRPr="008F54C5" w:rsidRDefault="00F326E5" w:rsidP="00F326E5">
      <w:pPr>
        <w:pStyle w:val="NoSpacing"/>
        <w:rPr>
          <w:rFonts w:ascii="Arial Black" w:hAnsi="Arial Black"/>
          <w:b/>
          <w:sz w:val="24"/>
          <w:szCs w:val="24"/>
        </w:rPr>
      </w:pPr>
    </w:p>
    <w:p w14:paraId="57A77D60" w14:textId="0149C388" w:rsidR="00F326E5" w:rsidRPr="00791CA3" w:rsidRDefault="00791CA3" w:rsidP="00F326E5">
      <w:pPr>
        <w:pStyle w:val="NoSpacing"/>
        <w:rPr>
          <w:rFonts w:ascii="Arial Black" w:hAnsi="Arial Black"/>
          <w:sz w:val="24"/>
          <w:szCs w:val="24"/>
        </w:rPr>
      </w:pPr>
      <w:r w:rsidRPr="00791CA3">
        <w:rPr>
          <w:rFonts w:ascii="Arial Black" w:hAnsi="Arial Black"/>
          <w:sz w:val="24"/>
          <w:szCs w:val="24"/>
        </w:rPr>
        <w:t>1-2</w:t>
      </w:r>
    </w:p>
    <w:p w14:paraId="05DED64E" w14:textId="77777777" w:rsidR="00791CA3" w:rsidRDefault="00791CA3" w:rsidP="00F326E5">
      <w:pPr>
        <w:pStyle w:val="NoSpacing"/>
        <w:rPr>
          <w:sz w:val="24"/>
          <w:szCs w:val="24"/>
        </w:rPr>
      </w:pPr>
    </w:p>
    <w:p w14:paraId="4F81A4AA" w14:textId="77289840" w:rsidR="00F326E5" w:rsidRPr="009213BD" w:rsidRDefault="00F326E5" w:rsidP="00F326E5">
      <w:pPr>
        <w:pStyle w:val="NoSpacing"/>
        <w:rPr>
          <w:sz w:val="28"/>
          <w:szCs w:val="28"/>
        </w:rPr>
      </w:pPr>
      <w:bookmarkStart w:id="89" w:name="_Hlk7340402"/>
      <w:r>
        <w:rPr>
          <w:rFonts w:ascii="Arial Black" w:hAnsi="Arial Black"/>
          <w:sz w:val="28"/>
          <w:szCs w:val="28"/>
        </w:rPr>
        <w:t>TX: M</w:t>
      </w:r>
      <w:r w:rsidRPr="009213BD">
        <w:rPr>
          <w:rFonts w:ascii="Arial Black" w:hAnsi="Arial Black"/>
          <w:sz w:val="28"/>
          <w:szCs w:val="28"/>
        </w:rPr>
        <w:t>URDER TRIAL FOR KILLING A POLICE OFFICER –</w:t>
      </w:r>
      <w:r>
        <w:rPr>
          <w:rFonts w:ascii="Arial Black" w:hAnsi="Arial Black"/>
          <w:sz w:val="28"/>
          <w:szCs w:val="28"/>
        </w:rPr>
        <w:t xml:space="preserve"> POLICE MAY ATTEND TRIAL IN </w:t>
      </w:r>
      <w:r w:rsidRPr="009213BD">
        <w:rPr>
          <w:rFonts w:ascii="Arial Black" w:hAnsi="Arial Black"/>
          <w:sz w:val="28"/>
          <w:szCs w:val="28"/>
        </w:rPr>
        <w:t>UNIFORM</w:t>
      </w:r>
    </w:p>
    <w:p w14:paraId="13E003AF" w14:textId="77777777" w:rsidR="00637A12" w:rsidRDefault="00F326E5" w:rsidP="00F326E5">
      <w:pPr>
        <w:rPr>
          <w:rFonts w:ascii="Times New Roman" w:hAnsi="Times New Roman"/>
          <w:color w:val="4A4A4A"/>
          <w:sz w:val="24"/>
          <w:szCs w:val="24"/>
          <w:lang w:val="en"/>
        </w:rPr>
      </w:pPr>
      <w:r w:rsidRPr="00015208">
        <w:rPr>
          <w:rFonts w:ascii="Times New Roman" w:hAnsi="Times New Roman"/>
          <w:color w:val="4A4A4A"/>
          <w:sz w:val="24"/>
          <w:szCs w:val="24"/>
          <w:lang w:val="en"/>
        </w:rPr>
        <w:t xml:space="preserve">On March 27, 2018, in </w:t>
      </w:r>
      <w:r w:rsidRPr="00015208">
        <w:rPr>
          <w:rFonts w:ascii="Times New Roman" w:hAnsi="Times New Roman"/>
          <w:color w:val="4A4A4A"/>
          <w:sz w:val="24"/>
          <w:szCs w:val="24"/>
          <w:u w:val="single"/>
          <w:lang w:val="en"/>
        </w:rPr>
        <w:t xml:space="preserve">Shelton </w:t>
      </w:r>
      <w:proofErr w:type="spellStart"/>
      <w:r w:rsidRPr="00015208">
        <w:rPr>
          <w:rFonts w:ascii="Times New Roman" w:hAnsi="Times New Roman"/>
          <w:color w:val="4A4A4A"/>
          <w:sz w:val="24"/>
          <w:szCs w:val="24"/>
          <w:u w:val="single"/>
          <w:lang w:val="en"/>
        </w:rPr>
        <w:t>Denoria</w:t>
      </w:r>
      <w:proofErr w:type="spellEnd"/>
      <w:r w:rsidRPr="00015208">
        <w:rPr>
          <w:rFonts w:ascii="Times New Roman" w:hAnsi="Times New Roman"/>
          <w:color w:val="4A4A4A"/>
          <w:sz w:val="24"/>
          <w:szCs w:val="24"/>
          <w:u w:val="single"/>
          <w:lang w:val="en"/>
        </w:rPr>
        <w:t xml:space="preserve"> Jones v. Lorie Davis, Director, Texas Department of Criminal Justice</w:t>
      </w:r>
      <w:r w:rsidRPr="00015208">
        <w:rPr>
          <w:rFonts w:ascii="Times New Roman" w:hAnsi="Times New Roman"/>
          <w:color w:val="4A4A4A"/>
          <w:sz w:val="24"/>
          <w:szCs w:val="24"/>
          <w:lang w:val="en"/>
        </w:rPr>
        <w:t>, the U.S. Court of Appeals for 5</w:t>
      </w:r>
      <w:r w:rsidRPr="00015208">
        <w:rPr>
          <w:rFonts w:ascii="Times New Roman" w:hAnsi="Times New Roman"/>
          <w:color w:val="4A4A4A"/>
          <w:sz w:val="24"/>
          <w:szCs w:val="24"/>
          <w:vertAlign w:val="superscript"/>
          <w:lang w:val="en"/>
        </w:rPr>
        <w:t>th</w:t>
      </w:r>
      <w:r w:rsidRPr="00015208">
        <w:rPr>
          <w:rFonts w:ascii="Times New Roman" w:hAnsi="Times New Roman"/>
          <w:color w:val="4A4A4A"/>
          <w:sz w:val="24"/>
          <w:szCs w:val="24"/>
          <w:lang w:val="en"/>
        </w:rPr>
        <w:t xml:space="preserve"> Circuit, held (3 to 0) that the defendant was not deprived of a fair trial in state court: </w:t>
      </w:r>
    </w:p>
    <w:p w14:paraId="3B96F0F7" w14:textId="54B9FF0F" w:rsidR="00F326E5" w:rsidRPr="00015208" w:rsidRDefault="00F326E5" w:rsidP="00637A12">
      <w:pPr>
        <w:ind w:left="720"/>
        <w:rPr>
          <w:rFonts w:ascii="Times New Roman" w:hAnsi="Times New Roman"/>
          <w:color w:val="4A4A4A"/>
          <w:sz w:val="24"/>
          <w:szCs w:val="24"/>
          <w:lang w:val="en"/>
        </w:rPr>
      </w:pPr>
      <w:r w:rsidRPr="00015208">
        <w:rPr>
          <w:rFonts w:ascii="Times New Roman" w:hAnsi="Times New Roman"/>
          <w:color w:val="4A4A4A"/>
          <w:sz w:val="24"/>
          <w:szCs w:val="24"/>
          <w:lang w:val="en"/>
        </w:rPr>
        <w:t>“</w:t>
      </w:r>
      <w:proofErr w:type="gramStart"/>
      <w:r w:rsidRPr="00015208">
        <w:rPr>
          <w:rFonts w:ascii="Times New Roman" w:hAnsi="Times New Roman"/>
          <w:color w:val="4A4A4A"/>
          <w:sz w:val="24"/>
          <w:szCs w:val="24"/>
          <w:lang w:val="en"/>
        </w:rPr>
        <w:t>the</w:t>
      </w:r>
      <w:proofErr w:type="gramEnd"/>
      <w:r w:rsidRPr="00015208">
        <w:rPr>
          <w:rFonts w:ascii="Times New Roman" w:hAnsi="Times New Roman"/>
          <w:color w:val="4A4A4A"/>
          <w:sz w:val="24"/>
          <w:szCs w:val="24"/>
          <w:lang w:val="en"/>
        </w:rPr>
        <w:t xml:space="preserve"> record before us does not suggest the police presence intimidated the jury or disrupted the factfinding process in any way.” </w:t>
      </w:r>
      <w:hyperlink r:id="rId373" w:history="1">
        <w:r w:rsidRPr="00015208">
          <w:rPr>
            <w:rStyle w:val="Hyperlink"/>
            <w:rFonts w:ascii="Times New Roman" w:hAnsi="Times New Roman"/>
            <w:sz w:val="24"/>
            <w:szCs w:val="24"/>
            <w:lang w:val="en"/>
          </w:rPr>
          <w:t>file:///C:/Users/lawre/AppData/Local/Microsoft/Windows/INetCache/IE/XO250S7T/15-70040-CV0.pdf</w:t>
        </w:r>
      </w:hyperlink>
      <w:r w:rsidRPr="00015208">
        <w:rPr>
          <w:rFonts w:ascii="Times New Roman" w:hAnsi="Times New Roman"/>
          <w:color w:val="4A4A4A"/>
          <w:sz w:val="24"/>
          <w:szCs w:val="24"/>
          <w:lang w:val="en"/>
        </w:rPr>
        <w:t xml:space="preserve"> </w:t>
      </w:r>
    </w:p>
    <w:p w14:paraId="28A6FA17" w14:textId="77777777" w:rsidR="00F326E5" w:rsidRPr="00637A12" w:rsidRDefault="00F326E5" w:rsidP="00637A12">
      <w:pPr>
        <w:pStyle w:val="NoSpacing"/>
        <w:rPr>
          <w:rFonts w:ascii="Times New Roman" w:hAnsi="Times New Roman"/>
          <w:b/>
          <w:bCs/>
          <w:sz w:val="24"/>
          <w:szCs w:val="24"/>
          <w:lang w:val="en"/>
        </w:rPr>
      </w:pPr>
      <w:r w:rsidRPr="00637A12">
        <w:rPr>
          <w:rFonts w:ascii="Times New Roman" w:hAnsi="Times New Roman"/>
          <w:b/>
          <w:bCs/>
          <w:sz w:val="24"/>
          <w:szCs w:val="24"/>
          <w:lang w:val="en"/>
        </w:rPr>
        <w:t xml:space="preserve">LEGAL LESSONS LEARNED:  Helpful decision – no evidence of jury intimidation by having emergency responders in uniform, watching a jury trial.  Before showing up in uniform, please discuss with your Chief and the prosecutor, who may want to review with trial judge, prior to start of trial. </w:t>
      </w:r>
    </w:p>
    <w:bookmarkEnd w:id="89"/>
    <w:p w14:paraId="71B3B905" w14:textId="13F9FF68" w:rsidR="00791CA3" w:rsidRDefault="00791CA3" w:rsidP="00F326E5">
      <w:pPr>
        <w:rPr>
          <w:rFonts w:ascii="Arial Black" w:hAnsi="Arial Black"/>
          <w:sz w:val="24"/>
          <w:szCs w:val="24"/>
        </w:rPr>
      </w:pPr>
    </w:p>
    <w:p w14:paraId="78C80069" w14:textId="77777777" w:rsidR="00637A12" w:rsidRPr="00791CA3" w:rsidRDefault="00637A12" w:rsidP="00F326E5">
      <w:pPr>
        <w:rPr>
          <w:rFonts w:ascii="Arial Black" w:hAnsi="Arial Black"/>
          <w:sz w:val="24"/>
          <w:szCs w:val="24"/>
        </w:rPr>
      </w:pPr>
    </w:p>
    <w:p w14:paraId="28D50D56" w14:textId="26D5C357" w:rsidR="00F326E5" w:rsidRPr="00791CA3" w:rsidRDefault="00791CA3" w:rsidP="00F326E5">
      <w:pPr>
        <w:rPr>
          <w:rFonts w:ascii="Arial Black" w:hAnsi="Arial Black"/>
          <w:sz w:val="24"/>
          <w:szCs w:val="24"/>
        </w:rPr>
      </w:pPr>
      <w:r w:rsidRPr="00791CA3">
        <w:rPr>
          <w:rFonts w:ascii="Arial Black" w:hAnsi="Arial Black"/>
          <w:sz w:val="24"/>
          <w:szCs w:val="24"/>
        </w:rPr>
        <w:t>1-1</w:t>
      </w:r>
    </w:p>
    <w:p w14:paraId="106D72F0" w14:textId="6B65BFDD" w:rsidR="00F326E5" w:rsidRPr="00586D43" w:rsidRDefault="00F326E5" w:rsidP="00F326E5">
      <w:pPr>
        <w:pStyle w:val="NoSpacing"/>
        <w:rPr>
          <w:sz w:val="24"/>
          <w:szCs w:val="24"/>
        </w:rPr>
      </w:pPr>
      <w:bookmarkStart w:id="90" w:name="_Hlk7340446"/>
      <w:r w:rsidRPr="009213BD">
        <w:rPr>
          <w:rFonts w:ascii="Arial Black" w:hAnsi="Arial Black" w:cs="Arial"/>
          <w:sz w:val="28"/>
          <w:szCs w:val="28"/>
        </w:rPr>
        <w:t xml:space="preserve">IL: DEPUTY FIRE CHIEF FIRED </w:t>
      </w:r>
      <w:r>
        <w:rPr>
          <w:rFonts w:ascii="Arial Black" w:hAnsi="Arial Black" w:cs="Arial"/>
          <w:sz w:val="28"/>
          <w:szCs w:val="28"/>
        </w:rPr>
        <w:t xml:space="preserve">- </w:t>
      </w:r>
      <w:r w:rsidRPr="009213BD">
        <w:rPr>
          <w:rFonts w:ascii="Arial Black" w:hAnsi="Arial Black" w:cs="Arial"/>
          <w:sz w:val="28"/>
          <w:szCs w:val="28"/>
        </w:rPr>
        <w:t xml:space="preserve">WARNED ABOUT “POLITICAL COMMENTARY” ON FACEBOOK </w:t>
      </w:r>
      <w:r w:rsidRPr="00586D43">
        <w:rPr>
          <w:sz w:val="24"/>
          <w:szCs w:val="24"/>
        </w:rPr>
        <w:t>[also filed, Chap. 16]</w:t>
      </w:r>
    </w:p>
    <w:p w14:paraId="142B050B" w14:textId="77777777" w:rsidR="00637A12" w:rsidRDefault="00F326E5" w:rsidP="00F326E5">
      <w:pPr>
        <w:pStyle w:val="NoSpacing"/>
        <w:rPr>
          <w:rFonts w:ascii="Times New Roman" w:hAnsi="Times New Roman"/>
          <w:sz w:val="24"/>
          <w:szCs w:val="24"/>
        </w:rPr>
      </w:pPr>
      <w:r w:rsidRPr="00015208">
        <w:rPr>
          <w:rFonts w:ascii="Times New Roman" w:hAnsi="Times New Roman"/>
          <w:sz w:val="24"/>
          <w:szCs w:val="24"/>
        </w:rPr>
        <w:t xml:space="preserve">On Jan. 11, 2018, in Richard Banske v. City of Calumet City, U.S. District Court, Northern District of Illinois (Case No. 17C5263), Judge Harry D. </w:t>
      </w:r>
      <w:proofErr w:type="spellStart"/>
      <w:r w:rsidRPr="00015208">
        <w:rPr>
          <w:rFonts w:ascii="Times New Roman" w:hAnsi="Times New Roman"/>
          <w:sz w:val="24"/>
          <w:szCs w:val="24"/>
        </w:rPr>
        <w:t>Leinenweber</w:t>
      </w:r>
      <w:proofErr w:type="spellEnd"/>
      <w:r w:rsidRPr="00015208">
        <w:rPr>
          <w:rFonts w:ascii="Times New Roman" w:hAnsi="Times New Roman"/>
          <w:sz w:val="24"/>
          <w:szCs w:val="24"/>
        </w:rPr>
        <w:t xml:space="preserve"> granted City’s motion to dismiss. </w:t>
      </w:r>
    </w:p>
    <w:p w14:paraId="66957803" w14:textId="77777777" w:rsidR="00637A12" w:rsidRDefault="00637A12" w:rsidP="00F326E5">
      <w:pPr>
        <w:pStyle w:val="NoSpacing"/>
        <w:rPr>
          <w:rFonts w:ascii="Times New Roman" w:hAnsi="Times New Roman"/>
          <w:sz w:val="24"/>
          <w:szCs w:val="24"/>
        </w:rPr>
      </w:pPr>
    </w:p>
    <w:p w14:paraId="51DF1ABB" w14:textId="516D3BA1" w:rsidR="00F326E5" w:rsidRPr="00015208" w:rsidRDefault="00F326E5" w:rsidP="00637A12">
      <w:pPr>
        <w:pStyle w:val="NoSpacing"/>
        <w:ind w:left="720"/>
        <w:rPr>
          <w:rFonts w:ascii="Times New Roman" w:hAnsi="Times New Roman"/>
          <w:sz w:val="24"/>
          <w:szCs w:val="24"/>
        </w:rPr>
      </w:pPr>
      <w:r w:rsidRPr="00015208">
        <w:rPr>
          <w:rFonts w:ascii="Times New Roman" w:hAnsi="Times New Roman"/>
          <w:sz w:val="24"/>
          <w:szCs w:val="24"/>
        </w:rPr>
        <w:t xml:space="preserve">“[A] policymaking employee may be discharged ‘when that individual has engaged in speech on a matter of public concern in a manner that is critical of superiors or their stated </w:t>
      </w:r>
      <w:proofErr w:type="spellStart"/>
      <w:r w:rsidRPr="00015208">
        <w:rPr>
          <w:rFonts w:ascii="Times New Roman" w:hAnsi="Times New Roman"/>
          <w:sz w:val="24"/>
          <w:szCs w:val="24"/>
        </w:rPr>
        <w:t>policies.’Hagan</w:t>
      </w:r>
      <w:proofErr w:type="spellEnd"/>
      <w:r w:rsidRPr="00015208">
        <w:rPr>
          <w:rFonts w:ascii="Times New Roman" w:hAnsi="Times New Roman"/>
          <w:sz w:val="24"/>
          <w:szCs w:val="24"/>
        </w:rPr>
        <w:t xml:space="preserve">, 867 F.3d at 826 (quoting Kiddy-Brown v. Blagojevich, 408 F.3d 346, 358 (7th Cir. 2005)). *** Without well pled factual allegations, the Court is left to guess whether </w:t>
      </w:r>
      <w:proofErr w:type="spellStart"/>
      <w:r w:rsidRPr="00015208">
        <w:rPr>
          <w:rFonts w:ascii="Times New Roman" w:hAnsi="Times New Roman"/>
          <w:sz w:val="24"/>
          <w:szCs w:val="24"/>
        </w:rPr>
        <w:t>Banske's</w:t>
      </w:r>
      <w:proofErr w:type="spellEnd"/>
      <w:r w:rsidRPr="00015208">
        <w:rPr>
          <w:rFonts w:ascii="Times New Roman" w:hAnsi="Times New Roman"/>
          <w:sz w:val="24"/>
          <w:szCs w:val="24"/>
        </w:rPr>
        <w:t xml:space="preserve"> at-issue speech touches upon a subject of public concern. This the Court will not do. The Complaint fails to establish that </w:t>
      </w:r>
      <w:proofErr w:type="spellStart"/>
      <w:r w:rsidRPr="00015208">
        <w:rPr>
          <w:rFonts w:ascii="Times New Roman" w:hAnsi="Times New Roman"/>
          <w:sz w:val="24"/>
          <w:szCs w:val="24"/>
        </w:rPr>
        <w:t>Banske</w:t>
      </w:r>
      <w:proofErr w:type="spellEnd"/>
      <w:r w:rsidRPr="00015208">
        <w:rPr>
          <w:rFonts w:ascii="Times New Roman" w:hAnsi="Times New Roman"/>
          <w:sz w:val="24"/>
          <w:szCs w:val="24"/>
        </w:rPr>
        <w:t xml:space="preserve"> engaged in constitutionally protected speech, so it fails to state a claim upon which relief may be granted.” </w:t>
      </w:r>
    </w:p>
    <w:p w14:paraId="771164F4" w14:textId="32F50D58" w:rsidR="00F326E5" w:rsidRDefault="00637A12" w:rsidP="00637A12">
      <w:pPr>
        <w:pStyle w:val="NoSpacing"/>
        <w:ind w:firstLine="720"/>
        <w:rPr>
          <w:rFonts w:ascii="Times New Roman" w:hAnsi="Times New Roman"/>
          <w:sz w:val="24"/>
          <w:szCs w:val="24"/>
        </w:rPr>
      </w:pPr>
      <w:hyperlink r:id="rId374" w:history="1">
        <w:r w:rsidRPr="002F304C">
          <w:rPr>
            <w:rStyle w:val="Hyperlink"/>
            <w:rFonts w:ascii="Times New Roman" w:hAnsi="Times New Roman"/>
            <w:sz w:val="24"/>
            <w:szCs w:val="24"/>
          </w:rPr>
          <w:t>https://casetext.com/case/banske-v-city-of-calumet-city</w:t>
        </w:r>
      </w:hyperlink>
      <w:r w:rsidR="00F326E5" w:rsidRPr="00015208">
        <w:rPr>
          <w:rFonts w:ascii="Times New Roman" w:hAnsi="Times New Roman"/>
          <w:sz w:val="24"/>
          <w:szCs w:val="24"/>
        </w:rPr>
        <w:t xml:space="preserve"> </w:t>
      </w:r>
    </w:p>
    <w:p w14:paraId="7E0DB95D" w14:textId="77777777" w:rsidR="00637A12" w:rsidRPr="00015208" w:rsidRDefault="00637A12" w:rsidP="00637A12">
      <w:pPr>
        <w:pStyle w:val="NoSpacing"/>
        <w:ind w:firstLine="720"/>
        <w:rPr>
          <w:rFonts w:ascii="Times New Roman" w:hAnsi="Times New Roman"/>
          <w:sz w:val="24"/>
          <w:szCs w:val="24"/>
        </w:rPr>
      </w:pPr>
    </w:p>
    <w:p w14:paraId="715AC97E" w14:textId="77777777" w:rsidR="00F326E5" w:rsidRPr="00015208" w:rsidRDefault="00F326E5" w:rsidP="00F326E5">
      <w:pPr>
        <w:rPr>
          <w:rFonts w:ascii="Times New Roman" w:eastAsia="Times New Roman" w:hAnsi="Times New Roman"/>
          <w:sz w:val="24"/>
          <w:szCs w:val="24"/>
        </w:rPr>
      </w:pPr>
      <w:r w:rsidRPr="00015208">
        <w:rPr>
          <w:rFonts w:ascii="Times New Roman" w:eastAsia="Times New Roman" w:hAnsi="Times New Roman"/>
          <w:b/>
          <w:sz w:val="24"/>
          <w:szCs w:val="24"/>
        </w:rPr>
        <w:t>Legal Lessons Learned: Fire, EMS, police and other public employees have only limited First Amendment rights under the “balancing test” of U.S. Supreme Court’s decision in Pickering v. Board of Education, 391 U.S. 563 (1968).</w:t>
      </w:r>
    </w:p>
    <w:p w14:paraId="42F0D37F" w14:textId="77777777" w:rsidR="00F326E5" w:rsidRPr="00015208" w:rsidRDefault="00F326E5" w:rsidP="00F326E5">
      <w:pPr>
        <w:ind w:left="720"/>
        <w:rPr>
          <w:rFonts w:ascii="Times New Roman" w:hAnsi="Times New Roman"/>
          <w:sz w:val="24"/>
          <w:szCs w:val="24"/>
        </w:rPr>
      </w:pPr>
      <w:r w:rsidRPr="00015208">
        <w:rPr>
          <w:rFonts w:ascii="Times New Roman" w:eastAsia="Times New Roman" w:hAnsi="Times New Roman"/>
          <w:sz w:val="24"/>
          <w:szCs w:val="24"/>
        </w:rPr>
        <w:t xml:space="preserve">Pickering decision:  “Appellant Marvin L. Pickering, a teacher in Township High School District 205, Will County, Illinois, was dismissed from his position by the appellee Board of Education for sending a letter to a local newspaper in connection with a recently proposed tax increase that was critical of the way in which the Board and the district superintendent of schools had handled past proposals to raise new revenue for the schools. *** In sum, we hold that, in a case such as this, absent proof of false statements knowingly or recklessly made by him, a teacher's exercise of his right to speak on issues of public importance may not furnish the basis for his dismissal from public employment. *** Footnote 3: It is possible to conceive of some positions in public employment in which the need for confidentiality is so great that even completely correct public statements might furnish a permissible ground for dismissal.” </w:t>
      </w:r>
      <w:hyperlink r:id="rId375" w:history="1">
        <w:r w:rsidRPr="00015208">
          <w:rPr>
            <w:rStyle w:val="Hyperlink"/>
            <w:rFonts w:ascii="Times New Roman" w:hAnsi="Times New Roman"/>
            <w:sz w:val="24"/>
            <w:szCs w:val="24"/>
          </w:rPr>
          <w:t>https://supreme.justia.com/cases/federal/us/391/563/</w:t>
        </w:r>
      </w:hyperlink>
      <w:r w:rsidRPr="00015208">
        <w:rPr>
          <w:rFonts w:ascii="Times New Roman" w:eastAsia="Times New Roman" w:hAnsi="Times New Roman"/>
          <w:sz w:val="24"/>
          <w:szCs w:val="24"/>
        </w:rPr>
        <w:t xml:space="preserve"> </w:t>
      </w:r>
    </w:p>
    <w:p w14:paraId="2BEE7831" w14:textId="77777777" w:rsidR="00F326E5" w:rsidRDefault="00F326E5" w:rsidP="00F326E5">
      <w:pPr>
        <w:rPr>
          <w:rFonts w:ascii="Times New Roman" w:hAnsi="Times New Roman"/>
          <w:sz w:val="24"/>
          <w:szCs w:val="24"/>
        </w:rPr>
      </w:pPr>
    </w:p>
    <w:bookmarkEnd w:id="90"/>
    <w:p w14:paraId="7685CD75" w14:textId="77777777" w:rsidR="00F326E5" w:rsidRDefault="00F326E5" w:rsidP="00F326E5">
      <w:pPr>
        <w:rPr>
          <w:rFonts w:ascii="Arial Black" w:hAnsi="Arial Black"/>
          <w:sz w:val="40"/>
          <w:szCs w:val="40"/>
        </w:rPr>
      </w:pPr>
      <w:r>
        <w:rPr>
          <w:rFonts w:ascii="Arial Black" w:hAnsi="Arial Black"/>
          <w:sz w:val="40"/>
          <w:szCs w:val="40"/>
        </w:rPr>
        <w:br w:type="page"/>
      </w:r>
    </w:p>
    <w:p w14:paraId="062803A9" w14:textId="77777777" w:rsidR="00F326E5" w:rsidRDefault="00F326E5" w:rsidP="00F326E5">
      <w:pPr>
        <w:pStyle w:val="NoSpacing"/>
        <w:rPr>
          <w:rFonts w:ascii="Arial Black" w:hAnsi="Arial Black"/>
          <w:sz w:val="40"/>
          <w:szCs w:val="40"/>
        </w:rPr>
      </w:pPr>
    </w:p>
    <w:p w14:paraId="3F43366F" w14:textId="77777777" w:rsidR="008229A3" w:rsidRDefault="008229A3" w:rsidP="00F326E5">
      <w:pPr>
        <w:pStyle w:val="NoSpacing"/>
        <w:rPr>
          <w:rFonts w:ascii="Arial Black" w:hAnsi="Arial Black"/>
          <w:sz w:val="40"/>
          <w:szCs w:val="40"/>
        </w:rPr>
      </w:pPr>
    </w:p>
    <w:p w14:paraId="6933962B" w14:textId="77777777" w:rsidR="008229A3" w:rsidRDefault="008229A3" w:rsidP="00F326E5">
      <w:pPr>
        <w:pStyle w:val="NoSpacing"/>
        <w:rPr>
          <w:rFonts w:ascii="Arial Black" w:hAnsi="Arial Black"/>
          <w:sz w:val="40"/>
          <w:szCs w:val="40"/>
        </w:rPr>
      </w:pPr>
    </w:p>
    <w:p w14:paraId="6D470310" w14:textId="77777777" w:rsidR="008229A3" w:rsidRDefault="008229A3" w:rsidP="00F326E5">
      <w:pPr>
        <w:pStyle w:val="NoSpacing"/>
        <w:rPr>
          <w:rFonts w:ascii="Arial Black" w:hAnsi="Arial Black"/>
          <w:sz w:val="40"/>
          <w:szCs w:val="40"/>
        </w:rPr>
      </w:pPr>
    </w:p>
    <w:p w14:paraId="2E746334" w14:textId="77777777" w:rsidR="008229A3" w:rsidRDefault="008229A3" w:rsidP="00F326E5">
      <w:pPr>
        <w:pStyle w:val="NoSpacing"/>
        <w:rPr>
          <w:rFonts w:ascii="Arial Black" w:hAnsi="Arial Black"/>
          <w:sz w:val="40"/>
          <w:szCs w:val="40"/>
        </w:rPr>
      </w:pPr>
    </w:p>
    <w:p w14:paraId="4359DF0C" w14:textId="77777777" w:rsidR="008229A3" w:rsidRDefault="008229A3" w:rsidP="00F326E5">
      <w:pPr>
        <w:pStyle w:val="NoSpacing"/>
        <w:rPr>
          <w:rFonts w:ascii="Arial Black" w:hAnsi="Arial Black"/>
          <w:sz w:val="40"/>
          <w:szCs w:val="40"/>
        </w:rPr>
      </w:pPr>
    </w:p>
    <w:p w14:paraId="39EA27EE" w14:textId="77777777" w:rsidR="008229A3" w:rsidRDefault="008229A3" w:rsidP="00F326E5">
      <w:pPr>
        <w:pStyle w:val="NoSpacing"/>
        <w:rPr>
          <w:rFonts w:ascii="Arial Black" w:hAnsi="Arial Black"/>
          <w:sz w:val="40"/>
          <w:szCs w:val="40"/>
        </w:rPr>
      </w:pPr>
    </w:p>
    <w:p w14:paraId="1FDA0FD0" w14:textId="77777777" w:rsidR="008229A3" w:rsidRDefault="008229A3" w:rsidP="00F326E5">
      <w:pPr>
        <w:pStyle w:val="NoSpacing"/>
        <w:rPr>
          <w:rFonts w:ascii="Arial Black" w:hAnsi="Arial Black"/>
          <w:sz w:val="40"/>
          <w:szCs w:val="40"/>
        </w:rPr>
      </w:pPr>
    </w:p>
    <w:p w14:paraId="2D1EFE48" w14:textId="77777777" w:rsidR="008229A3" w:rsidRDefault="008229A3" w:rsidP="00F326E5">
      <w:pPr>
        <w:pStyle w:val="NoSpacing"/>
        <w:rPr>
          <w:rFonts w:ascii="Arial Black" w:hAnsi="Arial Black"/>
          <w:sz w:val="40"/>
          <w:szCs w:val="40"/>
        </w:rPr>
      </w:pPr>
    </w:p>
    <w:p w14:paraId="42BA7122" w14:textId="77777777" w:rsidR="008229A3" w:rsidRDefault="008229A3" w:rsidP="00F326E5">
      <w:pPr>
        <w:pStyle w:val="NoSpacing"/>
        <w:rPr>
          <w:rFonts w:ascii="Arial Black" w:hAnsi="Arial Black"/>
          <w:sz w:val="40"/>
          <w:szCs w:val="40"/>
        </w:rPr>
      </w:pPr>
    </w:p>
    <w:p w14:paraId="71DC3D69" w14:textId="77777777" w:rsidR="008229A3" w:rsidRDefault="008229A3" w:rsidP="00F326E5">
      <w:pPr>
        <w:pStyle w:val="NoSpacing"/>
        <w:rPr>
          <w:rFonts w:ascii="Arial Black" w:hAnsi="Arial Black"/>
          <w:sz w:val="40"/>
          <w:szCs w:val="40"/>
        </w:rPr>
      </w:pPr>
    </w:p>
    <w:p w14:paraId="3AC07525" w14:textId="77777777" w:rsidR="008229A3" w:rsidRDefault="008229A3" w:rsidP="00F326E5">
      <w:pPr>
        <w:pStyle w:val="NoSpacing"/>
        <w:rPr>
          <w:rFonts w:ascii="Arial Black" w:hAnsi="Arial Black"/>
          <w:sz w:val="40"/>
          <w:szCs w:val="40"/>
        </w:rPr>
      </w:pPr>
    </w:p>
    <w:p w14:paraId="2E60C868" w14:textId="77777777" w:rsidR="008229A3" w:rsidRDefault="008229A3" w:rsidP="00F326E5">
      <w:pPr>
        <w:pStyle w:val="NoSpacing"/>
        <w:rPr>
          <w:rFonts w:ascii="Arial Black" w:hAnsi="Arial Black"/>
          <w:sz w:val="40"/>
          <w:szCs w:val="40"/>
        </w:rPr>
      </w:pPr>
    </w:p>
    <w:p w14:paraId="417B6D3D" w14:textId="77777777" w:rsidR="008229A3" w:rsidRDefault="008229A3" w:rsidP="00F326E5">
      <w:pPr>
        <w:pStyle w:val="NoSpacing"/>
        <w:rPr>
          <w:rFonts w:ascii="Arial Black" w:hAnsi="Arial Black"/>
          <w:sz w:val="40"/>
          <w:szCs w:val="40"/>
        </w:rPr>
      </w:pPr>
    </w:p>
    <w:p w14:paraId="0FF4E5A3" w14:textId="77777777" w:rsidR="008229A3" w:rsidRDefault="008229A3" w:rsidP="00F326E5">
      <w:pPr>
        <w:pStyle w:val="NoSpacing"/>
        <w:rPr>
          <w:rFonts w:ascii="Arial Black" w:hAnsi="Arial Black"/>
          <w:sz w:val="40"/>
          <w:szCs w:val="40"/>
        </w:rPr>
      </w:pPr>
    </w:p>
    <w:p w14:paraId="2821B778" w14:textId="77777777" w:rsidR="008229A3" w:rsidRDefault="008229A3" w:rsidP="00F326E5">
      <w:pPr>
        <w:pStyle w:val="NoSpacing"/>
        <w:rPr>
          <w:rFonts w:ascii="Arial Black" w:hAnsi="Arial Black"/>
          <w:sz w:val="40"/>
          <w:szCs w:val="40"/>
        </w:rPr>
      </w:pPr>
    </w:p>
    <w:p w14:paraId="74C54F0F" w14:textId="77777777" w:rsidR="008229A3" w:rsidRDefault="008229A3" w:rsidP="00F326E5">
      <w:pPr>
        <w:pStyle w:val="NoSpacing"/>
        <w:rPr>
          <w:rFonts w:ascii="Arial Black" w:hAnsi="Arial Black"/>
          <w:sz w:val="40"/>
          <w:szCs w:val="40"/>
        </w:rPr>
      </w:pPr>
    </w:p>
    <w:p w14:paraId="7CE6323E" w14:textId="77777777" w:rsidR="008229A3" w:rsidRDefault="008229A3" w:rsidP="00F326E5">
      <w:pPr>
        <w:pStyle w:val="NoSpacing"/>
        <w:rPr>
          <w:rFonts w:ascii="Arial Black" w:hAnsi="Arial Black"/>
          <w:sz w:val="40"/>
          <w:szCs w:val="40"/>
        </w:rPr>
      </w:pPr>
    </w:p>
    <w:p w14:paraId="140CE813" w14:textId="77777777" w:rsidR="008229A3" w:rsidRDefault="008229A3" w:rsidP="00F326E5">
      <w:pPr>
        <w:pStyle w:val="NoSpacing"/>
        <w:rPr>
          <w:rFonts w:ascii="Arial Black" w:hAnsi="Arial Black"/>
          <w:sz w:val="40"/>
          <w:szCs w:val="40"/>
        </w:rPr>
      </w:pPr>
    </w:p>
    <w:p w14:paraId="1D99EBE7" w14:textId="77777777" w:rsidR="008229A3" w:rsidRDefault="008229A3" w:rsidP="00F326E5">
      <w:pPr>
        <w:pStyle w:val="NoSpacing"/>
        <w:rPr>
          <w:rFonts w:ascii="Arial Black" w:hAnsi="Arial Black"/>
          <w:sz w:val="40"/>
          <w:szCs w:val="40"/>
        </w:rPr>
      </w:pPr>
    </w:p>
    <w:p w14:paraId="37CD374D" w14:textId="77777777" w:rsidR="008229A3" w:rsidRDefault="008229A3" w:rsidP="00F326E5">
      <w:pPr>
        <w:pStyle w:val="NoSpacing"/>
        <w:rPr>
          <w:rFonts w:ascii="Arial Black" w:hAnsi="Arial Black"/>
          <w:sz w:val="40"/>
          <w:szCs w:val="40"/>
        </w:rPr>
      </w:pPr>
    </w:p>
    <w:p w14:paraId="6D413A0D" w14:textId="77777777" w:rsidR="008229A3" w:rsidRDefault="008229A3" w:rsidP="00F326E5">
      <w:pPr>
        <w:pStyle w:val="NoSpacing"/>
        <w:rPr>
          <w:rFonts w:ascii="Arial Black" w:hAnsi="Arial Black"/>
          <w:sz w:val="40"/>
          <w:szCs w:val="40"/>
        </w:rPr>
      </w:pPr>
    </w:p>
    <w:p w14:paraId="59E6D40F" w14:textId="77777777" w:rsidR="008229A3" w:rsidRDefault="008229A3" w:rsidP="00F326E5">
      <w:pPr>
        <w:pStyle w:val="NoSpacing"/>
        <w:rPr>
          <w:rFonts w:ascii="Arial Black" w:hAnsi="Arial Black"/>
          <w:sz w:val="40"/>
          <w:szCs w:val="40"/>
        </w:rPr>
      </w:pPr>
    </w:p>
    <w:p w14:paraId="5AB6E9CB" w14:textId="77777777" w:rsidR="008229A3" w:rsidRDefault="008229A3" w:rsidP="00F326E5">
      <w:pPr>
        <w:pStyle w:val="NoSpacing"/>
        <w:rPr>
          <w:rFonts w:ascii="Arial Black" w:hAnsi="Arial Black"/>
          <w:sz w:val="40"/>
          <w:szCs w:val="40"/>
        </w:rPr>
      </w:pPr>
    </w:p>
    <w:p w14:paraId="03DA6A37" w14:textId="77777777" w:rsidR="008229A3" w:rsidRDefault="008229A3" w:rsidP="00F326E5">
      <w:pPr>
        <w:pStyle w:val="NoSpacing"/>
        <w:rPr>
          <w:rFonts w:ascii="Arial Black" w:hAnsi="Arial Black"/>
          <w:sz w:val="40"/>
          <w:szCs w:val="40"/>
        </w:rPr>
      </w:pPr>
    </w:p>
    <w:p w14:paraId="6AF718E6" w14:textId="77777777" w:rsidR="008229A3" w:rsidRDefault="008229A3" w:rsidP="00F326E5">
      <w:pPr>
        <w:pStyle w:val="NoSpacing"/>
        <w:rPr>
          <w:rFonts w:ascii="Arial Black" w:hAnsi="Arial Black"/>
          <w:sz w:val="40"/>
          <w:szCs w:val="40"/>
        </w:rPr>
      </w:pPr>
    </w:p>
    <w:p w14:paraId="48210B23" w14:textId="6D297840" w:rsidR="00F326E5" w:rsidRDefault="00F326E5" w:rsidP="00F326E5">
      <w:pPr>
        <w:pStyle w:val="NoSpacing"/>
        <w:rPr>
          <w:rFonts w:ascii="Arial Black" w:hAnsi="Arial Black"/>
          <w:sz w:val="40"/>
          <w:szCs w:val="40"/>
        </w:rPr>
      </w:pPr>
      <w:r w:rsidRPr="007732FA">
        <w:rPr>
          <w:rFonts w:ascii="Arial Black" w:hAnsi="Arial Black"/>
          <w:sz w:val="40"/>
          <w:szCs w:val="40"/>
        </w:rPr>
        <w:t>Chap. 2</w:t>
      </w:r>
      <w:r w:rsidRPr="007732FA">
        <w:rPr>
          <w:rFonts w:ascii="Arial Black" w:hAnsi="Arial Black"/>
          <w:sz w:val="40"/>
          <w:szCs w:val="40"/>
        </w:rPr>
        <w:tab/>
        <w:t xml:space="preserve">Line </w:t>
      </w:r>
      <w:proofErr w:type="gramStart"/>
      <w:r w:rsidRPr="007732FA">
        <w:rPr>
          <w:rFonts w:ascii="Arial Black" w:hAnsi="Arial Black"/>
          <w:sz w:val="40"/>
          <w:szCs w:val="40"/>
        </w:rPr>
        <w:t>Of</w:t>
      </w:r>
      <w:proofErr w:type="gramEnd"/>
      <w:r w:rsidRPr="007732FA">
        <w:rPr>
          <w:rFonts w:ascii="Arial Black" w:hAnsi="Arial Black"/>
          <w:sz w:val="40"/>
          <w:szCs w:val="40"/>
        </w:rPr>
        <w:t xml:space="preserve"> Duty Death</w:t>
      </w:r>
      <w:r w:rsidR="00636395">
        <w:rPr>
          <w:rFonts w:ascii="Arial Black" w:hAnsi="Arial Black"/>
          <w:sz w:val="40"/>
          <w:szCs w:val="40"/>
        </w:rPr>
        <w:t xml:space="preserve"> / </w:t>
      </w:r>
      <w:r w:rsidRPr="007732FA">
        <w:rPr>
          <w:rFonts w:ascii="Arial Black" w:hAnsi="Arial Black"/>
          <w:sz w:val="40"/>
          <w:szCs w:val="40"/>
        </w:rPr>
        <w:t>Safety</w:t>
      </w:r>
    </w:p>
    <w:p w14:paraId="4E5DB655" w14:textId="0D554EF9" w:rsidR="00C342C1" w:rsidRDefault="00F326E5" w:rsidP="00853142">
      <w:pPr>
        <w:rPr>
          <w:rFonts w:ascii="Times New Roman" w:hAnsi="Times New Roman"/>
          <w:sz w:val="24"/>
          <w:szCs w:val="24"/>
        </w:rPr>
      </w:pPr>
      <w:r>
        <w:rPr>
          <w:rFonts w:ascii="Times New Roman" w:hAnsi="Times New Roman"/>
          <w:sz w:val="24"/>
          <w:szCs w:val="24"/>
        </w:rPr>
        <w:t xml:space="preserve"> </w:t>
      </w:r>
      <w:bookmarkStart w:id="91" w:name="_Hlk7340594"/>
    </w:p>
    <w:p w14:paraId="21426237" w14:textId="5499F1B4" w:rsidR="00B40D58" w:rsidRDefault="00B40D58" w:rsidP="00B40D58">
      <w:pPr>
        <w:rPr>
          <w:rFonts w:ascii="Arial Black" w:hAnsi="Arial Black"/>
          <w:b/>
          <w:sz w:val="28"/>
          <w:szCs w:val="28"/>
        </w:rPr>
      </w:pPr>
      <w:r>
        <w:rPr>
          <w:rFonts w:ascii="Arial Black" w:hAnsi="Arial Black"/>
          <w:sz w:val="24"/>
          <w:szCs w:val="24"/>
        </w:rPr>
        <w:t>2-11</w:t>
      </w:r>
      <w:r>
        <w:rPr>
          <w:rFonts w:ascii="Arial Black" w:hAnsi="Arial Black"/>
          <w:sz w:val="24"/>
          <w:szCs w:val="24"/>
        </w:rPr>
        <w:t>5</w:t>
      </w:r>
    </w:p>
    <w:p w14:paraId="556B8546" w14:textId="66C7FD04" w:rsidR="00B40D58" w:rsidRPr="00F562FA" w:rsidRDefault="00B40D58" w:rsidP="00B40D58">
      <w:pPr>
        <w:pStyle w:val="NoSpacing"/>
        <w:rPr>
          <w:rFonts w:ascii="Arial Black" w:hAnsi="Arial Black"/>
          <w:b/>
          <w:sz w:val="28"/>
          <w:szCs w:val="28"/>
        </w:rPr>
      </w:pPr>
      <w:r>
        <w:rPr>
          <w:rFonts w:ascii="Arial Black" w:hAnsi="Arial Black"/>
          <w:b/>
          <w:sz w:val="28"/>
          <w:szCs w:val="28"/>
        </w:rPr>
        <w:t xml:space="preserve">U.S. SUP. CT – ROUNDUP - EPA NO CANCER WARNING - IARC </w:t>
      </w:r>
    </w:p>
    <w:p w14:paraId="18E4A3ED" w14:textId="77777777" w:rsidR="00B40D58" w:rsidRDefault="00B40D58" w:rsidP="00B40D58">
      <w:pPr>
        <w:pStyle w:val="NoSpacing"/>
        <w:rPr>
          <w:bCs/>
        </w:rPr>
      </w:pPr>
    </w:p>
    <w:p w14:paraId="1671783E" w14:textId="77777777" w:rsidR="00B40D58" w:rsidRDefault="00B40D58" w:rsidP="00B40D58">
      <w:pPr>
        <w:pStyle w:val="NoSpacing"/>
      </w:pPr>
      <w:r w:rsidRPr="006F77FB">
        <w:t xml:space="preserve">On June 25, 2026, in </w:t>
      </w:r>
      <w:r w:rsidRPr="00F3323C">
        <w:rPr>
          <w:u w:val="single"/>
        </w:rPr>
        <w:t>Monsanto Co. v. John Durnell</w:t>
      </w:r>
      <w:r w:rsidRPr="006F77FB">
        <w:t xml:space="preserve">, </w:t>
      </w:r>
      <w:r>
        <w:t>the United States Supreme Court held (7 to 2), the Court in opinion by Justice Brett Kavanaugh, held that the “failure to warn” jury verdict must be set aside. Monsanto followed EPA requirements on its label, and EPA concluded there is no scientific consensus that Roundup causes cancer even after the International Agency for Research on Cancer in 2017 and 2019 classified glyphosate as a probable carcinogen.  The Court wrote: “EPA’s assessment of glyphosate is shared by many other regulatory bodies around the world that have likewise concluded that glyphosate is not carcinogenic, including regulators in Canada, Australia, Japan, and the European Union.”</w:t>
      </w:r>
    </w:p>
    <w:p w14:paraId="1A1E9E65" w14:textId="77777777" w:rsidR="00B40D58" w:rsidRPr="006F77FB" w:rsidRDefault="00B40D58" w:rsidP="00B40D58">
      <w:pPr>
        <w:pStyle w:val="NoSpacing"/>
        <w:rPr>
          <w:bCs/>
        </w:rPr>
      </w:pPr>
      <w:hyperlink r:id="rId376" w:history="1">
        <w:r w:rsidRPr="00AE0467">
          <w:rPr>
            <w:rStyle w:val="Hyperlink"/>
          </w:rPr>
          <w:t>https://www.supremecourt.gov/opinions/25pdf/24-1068_n7ip.pdf</w:t>
        </w:r>
      </w:hyperlink>
      <w:r>
        <w:t xml:space="preserve"> </w:t>
      </w:r>
    </w:p>
    <w:p w14:paraId="23AF4130" w14:textId="77777777" w:rsidR="00B40D58" w:rsidRPr="006F77FB" w:rsidRDefault="00B40D58" w:rsidP="00B40D58">
      <w:pPr>
        <w:pStyle w:val="NoSpacing"/>
        <w:rPr>
          <w:bCs/>
        </w:rPr>
      </w:pPr>
    </w:p>
    <w:p w14:paraId="1564A6A2" w14:textId="77777777" w:rsidR="00B40D58" w:rsidRPr="002B7C70" w:rsidRDefault="00B40D58" w:rsidP="00B40D58">
      <w:pPr>
        <w:pStyle w:val="NoSpacing"/>
        <w:rPr>
          <w:b/>
        </w:rPr>
      </w:pPr>
      <w:r w:rsidRPr="002B7C70">
        <w:rPr>
          <w:b/>
        </w:rPr>
        <w:t>FACTS:</w:t>
      </w:r>
    </w:p>
    <w:p w14:paraId="5159404F" w14:textId="77777777" w:rsidR="00B40D58" w:rsidRDefault="00B40D58" w:rsidP="00B40D58">
      <w:pPr>
        <w:pStyle w:val="NoSpacing"/>
      </w:pPr>
    </w:p>
    <w:p w14:paraId="6804FE06" w14:textId="77777777" w:rsidR="00B40D58" w:rsidRPr="002B7C70" w:rsidRDefault="00B40D58" w:rsidP="00B40D58">
      <w:pPr>
        <w:pStyle w:val="NoSpacing"/>
      </w:pPr>
      <w:r>
        <w:t>“</w:t>
      </w:r>
      <w:r w:rsidRPr="002B7C70">
        <w:t>In 2019, John Durnell sued Monsanto in Missouri state</w:t>
      </w:r>
      <w:r>
        <w:t xml:space="preserve"> </w:t>
      </w:r>
      <w:r w:rsidRPr="002B7C70">
        <w:t>court. Durnell alleged that he had used Monsanto’s</w:t>
      </w:r>
      <w:r>
        <w:t xml:space="preserve"> </w:t>
      </w:r>
      <w:r w:rsidRPr="002B7C70">
        <w:t>Roundup products for about 20 years and that they had</w:t>
      </w:r>
      <w:r>
        <w:t xml:space="preserve"> </w:t>
      </w:r>
      <w:r w:rsidRPr="002B7C70">
        <w:t>caused his non-Hodgkin’s lymphoma, a form of cancer. As</w:t>
      </w:r>
      <w:r>
        <w:t xml:space="preserve"> </w:t>
      </w:r>
      <w:r w:rsidRPr="002B7C70">
        <w:t>relevant here, Durnell brought a failure-to-warn tort claim,</w:t>
      </w:r>
    </w:p>
    <w:p w14:paraId="22921887" w14:textId="77777777" w:rsidR="00B40D58" w:rsidRDefault="00B40D58" w:rsidP="00B40D58">
      <w:pPr>
        <w:pStyle w:val="NoSpacing"/>
      </w:pPr>
      <w:r w:rsidRPr="002B7C70">
        <w:t>claiming that Monsanto should have included a cancer</w:t>
      </w:r>
      <w:r>
        <w:t xml:space="preserve"> </w:t>
      </w:r>
      <w:r w:rsidRPr="002B7C70">
        <w:t>warning on Roundup’s label. A jury agreed and awarded</w:t>
      </w:r>
      <w:r>
        <w:t xml:space="preserve"> </w:t>
      </w:r>
      <w:r w:rsidRPr="002B7C70">
        <w:t>Durnell more than $1 million on the failure-to-warn theory</w:t>
      </w:r>
      <w:r>
        <w:t xml:space="preserve">. </w:t>
      </w:r>
    </w:p>
    <w:p w14:paraId="59C3BF8B" w14:textId="77777777" w:rsidR="00B40D58" w:rsidRDefault="00B40D58" w:rsidP="00B40D58">
      <w:pPr>
        <w:pStyle w:val="NoSpacing"/>
      </w:pPr>
    </w:p>
    <w:p w14:paraId="459822CB" w14:textId="77777777" w:rsidR="00B40D58" w:rsidRDefault="00B40D58" w:rsidP="00B40D58">
      <w:pPr>
        <w:pStyle w:val="NoSpacing"/>
      </w:pPr>
      <w:r>
        <w:t>***</w:t>
      </w:r>
    </w:p>
    <w:p w14:paraId="787BA3C7" w14:textId="77777777" w:rsidR="00B40D58" w:rsidRDefault="00B40D58" w:rsidP="00B40D58">
      <w:pPr>
        <w:pStyle w:val="NoSpacing"/>
      </w:pPr>
      <w:r>
        <w:t>Footnote 4: Monsanto has phased out residential Roundup products that contain</w:t>
      </w:r>
    </w:p>
    <w:p w14:paraId="3A4707EC" w14:textId="77777777" w:rsidR="00B40D58" w:rsidRDefault="00B40D58" w:rsidP="00B40D58">
      <w:pPr>
        <w:pStyle w:val="NoSpacing"/>
      </w:pPr>
      <w:r>
        <w:t>glyphosate.”</w:t>
      </w:r>
    </w:p>
    <w:p w14:paraId="5207C1AC" w14:textId="77777777" w:rsidR="00B40D58" w:rsidRDefault="00B40D58" w:rsidP="00B40D58">
      <w:pPr>
        <w:pStyle w:val="NoSpacing"/>
      </w:pPr>
    </w:p>
    <w:p w14:paraId="0E9DD4A1" w14:textId="77777777" w:rsidR="00B40D58" w:rsidRDefault="00B40D58" w:rsidP="00B40D58">
      <w:pPr>
        <w:pStyle w:val="NoSpacing"/>
        <w:rPr>
          <w:b/>
          <w:bCs/>
        </w:rPr>
      </w:pPr>
      <w:r w:rsidRPr="00384753">
        <w:rPr>
          <w:b/>
        </w:rPr>
        <w:t>COURT HELD:</w:t>
      </w:r>
    </w:p>
    <w:p w14:paraId="57F2E29A" w14:textId="77777777" w:rsidR="00B40D58" w:rsidRDefault="00B40D58" w:rsidP="00B40D58">
      <w:pPr>
        <w:pStyle w:val="NoSpacing"/>
        <w:rPr>
          <w:b/>
          <w:bCs/>
        </w:rPr>
      </w:pPr>
    </w:p>
    <w:p w14:paraId="1BEC1E0A" w14:textId="77777777" w:rsidR="00B40D58" w:rsidRPr="001D30DE" w:rsidRDefault="00B40D58" w:rsidP="00B40D58">
      <w:pPr>
        <w:pStyle w:val="NoSpacing"/>
      </w:pPr>
      <w:r>
        <w:t>“</w:t>
      </w:r>
      <w:r w:rsidRPr="001D30DE">
        <w:t>But Durnell’s state tort claim would require Monsanto to</w:t>
      </w:r>
      <w:r>
        <w:t xml:space="preserve"> </w:t>
      </w:r>
      <w:r w:rsidRPr="001D30DE">
        <w:t>add a cancer warning to Roundup’s label even though</w:t>
      </w:r>
      <w:r>
        <w:t xml:space="preserve"> </w:t>
      </w:r>
      <w:r w:rsidRPr="001D30DE">
        <w:t>federal law requires Monsanto to use the EPA-approved</w:t>
      </w:r>
      <w:r>
        <w:t xml:space="preserve"> </w:t>
      </w:r>
      <w:r w:rsidRPr="001D30DE">
        <w:t>label without a cancer warning. Because Durnell’s state</w:t>
      </w:r>
      <w:r>
        <w:t xml:space="preserve"> </w:t>
      </w:r>
      <w:r w:rsidRPr="001D30DE">
        <w:t>tort claim would impose a pesticide labeling requirement</w:t>
      </w:r>
    </w:p>
    <w:p w14:paraId="4C493548" w14:textId="77777777" w:rsidR="00B40D58" w:rsidRPr="001D30DE" w:rsidRDefault="00B40D58" w:rsidP="00B40D58">
      <w:pPr>
        <w:pStyle w:val="NoSpacing"/>
      </w:pPr>
      <w:r>
        <w:t>‘</w:t>
      </w:r>
      <w:proofErr w:type="gramStart"/>
      <w:r w:rsidRPr="001D30DE">
        <w:t>in</w:t>
      </w:r>
      <w:proofErr w:type="gramEnd"/>
      <w:r w:rsidRPr="001D30DE">
        <w:t xml:space="preserve"> addition to or different from</w:t>
      </w:r>
      <w:r>
        <w:t xml:space="preserve">’ </w:t>
      </w:r>
      <w:r w:rsidRPr="001D30DE">
        <w:t>the label required by EPA,</w:t>
      </w:r>
      <w:r>
        <w:t xml:space="preserve"> </w:t>
      </w:r>
      <w:r w:rsidRPr="001D30DE">
        <w:t>FIFRA expressly preempts Durnell’s claim.</w:t>
      </w:r>
    </w:p>
    <w:p w14:paraId="2F8DE838" w14:textId="77777777" w:rsidR="00B40D58" w:rsidRDefault="00B40D58" w:rsidP="00B40D58">
      <w:pPr>
        <w:pStyle w:val="NoSpacing"/>
      </w:pPr>
    </w:p>
    <w:p w14:paraId="721276BF" w14:textId="77777777" w:rsidR="00B40D58" w:rsidRDefault="00B40D58" w:rsidP="00B40D58">
      <w:pPr>
        <w:pStyle w:val="NoSpacing"/>
      </w:pPr>
      <w:r>
        <w:t>***</w:t>
      </w:r>
    </w:p>
    <w:p w14:paraId="49626563" w14:textId="77777777" w:rsidR="00B40D58" w:rsidRDefault="00B40D58" w:rsidP="00B40D58">
      <w:pPr>
        <w:pStyle w:val="NoSpacing"/>
      </w:pPr>
      <w:r>
        <w:t>In 1991 and for the more than three decades since, EPA has repeatedly re-evaluated glyphosate and has repeatedly concluded that glyphosate is not likely to cause cancer…. In 2017 and 2019, after the International Agency for Research on Cancer classified glyphosate as a probable</w:t>
      </w:r>
    </w:p>
    <w:p w14:paraId="5ED8654C" w14:textId="77777777" w:rsidR="00B40D58" w:rsidRDefault="00B40D58" w:rsidP="00B40D58">
      <w:pPr>
        <w:pStyle w:val="NoSpacing"/>
      </w:pPr>
      <w:r>
        <w:t>carcinogen, EPA re-examined the issue but still adhered to its longstanding position on glyphosate…. EPA’s assessment of glyphosate is shared by many other regulatory bodies around the world that have likewise concluded that glyphosate is not carcinogenic, including regulators in Canada, Australia, Japan, and the European Union.”</w:t>
      </w:r>
    </w:p>
    <w:p w14:paraId="2EB308C0" w14:textId="77777777" w:rsidR="00B40D58" w:rsidRDefault="00B40D58" w:rsidP="00B40D58">
      <w:pPr>
        <w:pStyle w:val="NoSpacing"/>
      </w:pPr>
    </w:p>
    <w:p w14:paraId="2563760F" w14:textId="77777777" w:rsidR="00B40D58" w:rsidRDefault="00B40D58" w:rsidP="00B40D58">
      <w:pPr>
        <w:pStyle w:val="NoSpacing"/>
        <w:rPr>
          <w:b/>
          <w:bCs/>
        </w:rPr>
      </w:pPr>
      <w:r>
        <w:rPr>
          <w:b/>
        </w:rPr>
        <w:t xml:space="preserve">Legal lesson learned: Monsanto has successfully dodged not only this one jury verdict, but many similar cases. </w:t>
      </w:r>
    </w:p>
    <w:p w14:paraId="73B4DBC9" w14:textId="77777777" w:rsidR="00B40D58" w:rsidRDefault="00B40D58" w:rsidP="00B40D58">
      <w:pPr>
        <w:pStyle w:val="NoSpacing"/>
        <w:rPr>
          <w:b/>
          <w:bCs/>
        </w:rPr>
      </w:pPr>
    </w:p>
    <w:p w14:paraId="7C60B304" w14:textId="77777777" w:rsidR="00B40D58" w:rsidRPr="006823FA" w:rsidRDefault="00B40D58" w:rsidP="00B40D58">
      <w:pPr>
        <w:pStyle w:val="NoSpacing"/>
        <w:ind w:left="720"/>
      </w:pPr>
      <w:r w:rsidRPr="006823FA">
        <w:t xml:space="preserve">Note: The International Agency for Research on Cancer classification of cancer-causing materials is important in fire service.  For example, in Ohio and employer can challenge a firefighter’s workers comp claim. “(2) The presumption described in division (X)(1) of this section is rebuttable in any of the following situations: … (c) There is evidence that the firefighter was not exposed to an agent classified by the international agency for research on cancer as a group 1 or 2A carcinogen.” </w:t>
      </w:r>
      <w:hyperlink r:id="rId377" w:history="1">
        <w:r w:rsidRPr="006823FA">
          <w:rPr>
            <w:rStyle w:val="Hyperlink"/>
          </w:rPr>
          <w:t>https://codes.ohio.gov/ohio-revised-code/section-4123.68</w:t>
        </w:r>
      </w:hyperlink>
      <w:r w:rsidRPr="006823FA">
        <w:t xml:space="preserve"> </w:t>
      </w:r>
    </w:p>
    <w:p w14:paraId="24C08A2E" w14:textId="77777777" w:rsidR="00B40D58" w:rsidRPr="006823FA" w:rsidRDefault="00B40D58" w:rsidP="00B40D58">
      <w:pPr>
        <w:pStyle w:val="NoSpacing"/>
      </w:pPr>
    </w:p>
    <w:p w14:paraId="0981C594" w14:textId="77777777" w:rsidR="00B40D58" w:rsidRDefault="00B40D58" w:rsidP="00B40D58">
      <w:pPr>
        <w:ind w:left="720"/>
      </w:pPr>
      <w:r>
        <w:t xml:space="preserve">See the IARC Group 1 (carcinogenic to humans) and Group 2 A (probably carcinogenic to humans). </w:t>
      </w:r>
      <w:hyperlink r:id="rId378" w:history="1">
        <w:r w:rsidRPr="008A03D1">
          <w:rPr>
            <w:rStyle w:val="Hyperlink"/>
          </w:rPr>
          <w:t>https://monographs.iarc.who.int/agents-classified-by-the-iarc/</w:t>
        </w:r>
      </w:hyperlink>
    </w:p>
    <w:p w14:paraId="52858173" w14:textId="77777777" w:rsidR="00B40D58" w:rsidRDefault="00B40D58" w:rsidP="00B40D58">
      <w:pPr>
        <w:pStyle w:val="NoSpacing"/>
        <w:rPr>
          <w:rFonts w:ascii="Arial Black" w:hAnsi="Arial Black"/>
          <w:b/>
          <w:sz w:val="28"/>
          <w:szCs w:val="28"/>
        </w:rPr>
      </w:pPr>
    </w:p>
    <w:p w14:paraId="66C40BF1" w14:textId="77777777" w:rsidR="00B40D58" w:rsidRDefault="00B40D58" w:rsidP="00B40D58"/>
    <w:p w14:paraId="7E5373AD" w14:textId="53485602" w:rsidR="00B40D58" w:rsidRDefault="00B40D58" w:rsidP="00B40D58">
      <w:pPr>
        <w:rPr>
          <w:rFonts w:ascii="Arial Black" w:hAnsi="Arial Black"/>
          <w:sz w:val="28"/>
          <w:szCs w:val="28"/>
        </w:rPr>
      </w:pPr>
      <w:r>
        <w:rPr>
          <w:rFonts w:ascii="Arial Black" w:hAnsi="Arial Black"/>
          <w:sz w:val="24"/>
          <w:szCs w:val="24"/>
        </w:rPr>
        <w:t>2-11</w:t>
      </w:r>
      <w:r>
        <w:rPr>
          <w:rFonts w:ascii="Arial Black" w:hAnsi="Arial Black"/>
          <w:sz w:val="24"/>
          <w:szCs w:val="24"/>
        </w:rPr>
        <w:t>4</w:t>
      </w:r>
    </w:p>
    <w:p w14:paraId="28884D39" w14:textId="77777777" w:rsidR="00B40D58" w:rsidRPr="00343696" w:rsidRDefault="00B40D58" w:rsidP="00B40D58">
      <w:pPr>
        <w:rPr>
          <w:rFonts w:ascii="Arial Black" w:hAnsi="Arial Black"/>
          <w:b/>
          <w:sz w:val="28"/>
          <w:szCs w:val="28"/>
        </w:rPr>
      </w:pPr>
      <w:r>
        <w:rPr>
          <w:rFonts w:ascii="Arial Black" w:hAnsi="Arial Black"/>
          <w:b/>
          <w:sz w:val="28"/>
          <w:szCs w:val="28"/>
        </w:rPr>
        <w:t>TX: “PUBLIC SAFETY OFFICER RULE” – CAN’T SUE DRIVER</w:t>
      </w:r>
    </w:p>
    <w:p w14:paraId="10074E6A" w14:textId="77777777" w:rsidR="00B40D58" w:rsidRDefault="00B40D58" w:rsidP="00B40D58">
      <w:pPr>
        <w:pStyle w:val="NoSpacing"/>
        <w:tabs>
          <w:tab w:val="left" w:pos="2580"/>
        </w:tabs>
        <w:rPr>
          <w:bCs/>
        </w:rPr>
      </w:pPr>
      <w:r w:rsidRPr="00FC1E9E">
        <w:t xml:space="preserve">On June 18, 2026, </w:t>
      </w:r>
      <w:r>
        <w:t xml:space="preserve">in </w:t>
      </w:r>
      <w:r w:rsidRPr="001B2B07">
        <w:rPr>
          <w:u w:val="single"/>
        </w:rPr>
        <w:t xml:space="preserve">Richard Humphries v. </w:t>
      </w:r>
      <w:proofErr w:type="spellStart"/>
      <w:r w:rsidRPr="001B2B07">
        <w:rPr>
          <w:u w:val="single"/>
        </w:rPr>
        <w:t>TForce</w:t>
      </w:r>
      <w:proofErr w:type="spellEnd"/>
      <w:r w:rsidRPr="001B2B07">
        <w:rPr>
          <w:u w:val="single"/>
        </w:rPr>
        <w:t xml:space="preserve"> Freight, Inc.,</w:t>
      </w:r>
      <w:r>
        <w:rPr>
          <w:u w:val="single"/>
        </w:rPr>
        <w:t xml:space="preserve"> and Bhutta Hussein Javeed. </w:t>
      </w:r>
      <w:r>
        <w:t xml:space="preserve"> U.S. District Court Judge </w:t>
      </w:r>
      <w:proofErr w:type="spellStart"/>
      <w:r>
        <w:t>Matyhew</w:t>
      </w:r>
      <w:proofErr w:type="spellEnd"/>
      <w:r>
        <w:t xml:space="preserve"> J. Kacsmaryk, United States District Court for the Northern District of Texas, held that the truck company and its truck driver cannot be sued by the police officer, who was seriously injured while aiding the truck driver after an accident.  Federal judge is following the precedence of the Texas Supreme Court’s “public-safety officer’s rule.”  The Court wrote: “</w:t>
      </w:r>
      <w:r w:rsidRPr="004D7EFA">
        <w:t>First, the rule encourages those who need assistance from public-safety officers to call for it without fear of liability</w:t>
      </w:r>
      <w:r>
        <w:t>.”</w:t>
      </w:r>
    </w:p>
    <w:p w14:paraId="0357EFA9" w14:textId="77777777" w:rsidR="00B40D58" w:rsidRDefault="00B40D58" w:rsidP="00B40D58">
      <w:pPr>
        <w:rPr>
          <w:b/>
        </w:rPr>
      </w:pPr>
      <w:hyperlink r:id="rId379" w:history="1">
        <w:r w:rsidRPr="00014504">
          <w:rPr>
            <w:rStyle w:val="Hyperlink"/>
            <w:b/>
          </w:rPr>
          <w:t>https://www.casemine.com/judgement/us/6a36782a174bb89f9fdb2fa9</w:t>
        </w:r>
      </w:hyperlink>
      <w:r>
        <w:rPr>
          <w:b/>
        </w:rPr>
        <w:t xml:space="preserve"> </w:t>
      </w:r>
    </w:p>
    <w:p w14:paraId="5F91CDE1" w14:textId="77777777" w:rsidR="00B40D58" w:rsidRDefault="00B40D58" w:rsidP="00B40D58">
      <w:pPr>
        <w:rPr>
          <w:bCs/>
        </w:rPr>
      </w:pPr>
      <w:r w:rsidRPr="00AB37D4">
        <w:rPr>
          <w:b/>
        </w:rPr>
        <w:t>FACTS:</w:t>
      </w:r>
      <w:r>
        <w:t xml:space="preserve"> </w:t>
      </w:r>
    </w:p>
    <w:p w14:paraId="7794265F" w14:textId="77777777" w:rsidR="00B40D58" w:rsidRDefault="00B40D58" w:rsidP="00B40D58">
      <w:r>
        <w:t>“</w:t>
      </w:r>
      <w:r w:rsidRPr="00CB1BC0">
        <w:t xml:space="preserve">Defendant Bhutta Hussain Javed ("Javed") is an employee truck driver for Defendant </w:t>
      </w:r>
      <w:proofErr w:type="spellStart"/>
      <w:r w:rsidRPr="00CB1BC0">
        <w:t>TForce</w:t>
      </w:r>
      <w:proofErr w:type="spellEnd"/>
      <w:r w:rsidRPr="00CB1BC0">
        <w:t xml:space="preserve"> Freight Inc. ("</w:t>
      </w:r>
      <w:proofErr w:type="spellStart"/>
      <w:r w:rsidRPr="00CB1BC0">
        <w:t>TForce</w:t>
      </w:r>
      <w:proofErr w:type="spellEnd"/>
      <w:r w:rsidRPr="00CB1BC0">
        <w:t xml:space="preserve">"). On January 28, 2024, Javed was driving a tractor-trailer owned by </w:t>
      </w:r>
      <w:proofErr w:type="spellStart"/>
      <w:r w:rsidRPr="00CB1BC0">
        <w:t>TForce</w:t>
      </w:r>
      <w:proofErr w:type="spellEnd"/>
      <w:r w:rsidRPr="00CB1BC0">
        <w:t xml:space="preserve"> on I-40. The highway was covered in snow and ice, and Javed was allegedly</w:t>
      </w:r>
      <w:r>
        <w:t xml:space="preserve"> </w:t>
      </w:r>
      <w:r w:rsidRPr="004E100F">
        <w:t xml:space="preserve">driving too fast for the conditions. As a result, Javed's tractor-trailer </w:t>
      </w:r>
      <w:r>
        <w:t>‘</w:t>
      </w:r>
      <w:r w:rsidRPr="004E100F">
        <w:t>jackknifed</w:t>
      </w:r>
      <w:r>
        <w:t>’</w:t>
      </w:r>
      <w:r w:rsidRPr="004E100F">
        <w:t xml:space="preserve"> and slid into the center median, coming to a rest after striking the cable barrier. Plaintiff Richard Humphries </w:t>
      </w:r>
      <w:r>
        <w:t xml:space="preserve">… </w:t>
      </w:r>
      <w:r w:rsidRPr="004E100F">
        <w:t xml:space="preserve">is an Oldham County </w:t>
      </w:r>
      <w:proofErr w:type="spellStart"/>
      <w:r w:rsidRPr="004E100F">
        <w:t>Sheriffs</w:t>
      </w:r>
      <w:proofErr w:type="spellEnd"/>
      <w:r w:rsidRPr="004E100F">
        <w:t xml:space="preserve"> Deputy. At the time of Javed's crash, he was on duty responding to a call involving a separate crash. Humphries observed Javed's crash and stopped to render aid. Shortly thereafter, another tractor-trailer jackknifed and started sliding on the snowy and icy highway directly toward Humphries. While trying to avoid the second tractor-trailer, Humphries fell and suffered a significant head </w:t>
      </w:r>
      <w:proofErr w:type="gramStart"/>
      <w:r w:rsidRPr="004E100F">
        <w:t>injury.</w:t>
      </w:r>
      <w:r>
        <w:t>”</w:t>
      </w:r>
      <w:proofErr w:type="gramEnd"/>
    </w:p>
    <w:p w14:paraId="09911176" w14:textId="77777777" w:rsidR="00B40D58" w:rsidRDefault="00B40D58" w:rsidP="00B40D58">
      <w:r w:rsidRPr="00005E37">
        <w:rPr>
          <w:b/>
        </w:rPr>
        <w:t>COURT HELD:</w:t>
      </w:r>
      <w:r>
        <w:t xml:space="preserve"> </w:t>
      </w:r>
    </w:p>
    <w:p w14:paraId="1D579497" w14:textId="77777777" w:rsidR="00B40D58" w:rsidRDefault="00B40D58" w:rsidP="00B40D58">
      <w:r>
        <w:t>“</w:t>
      </w:r>
      <w:r w:rsidRPr="00E655C1">
        <w:t xml:space="preserve">But Texas has adopted a common law </w:t>
      </w:r>
      <w:r>
        <w:t>‘</w:t>
      </w:r>
      <w:r w:rsidRPr="00E655C1">
        <w:t>public-safety officer's rule.</w:t>
      </w:r>
      <w:r>
        <w:t>’</w:t>
      </w:r>
      <w:r w:rsidRPr="00E655C1">
        <w:t xml:space="preserve"> This rule precludes recovery for public- safety officers who suffer certain injuries while performing emergency activities. Because the public-safety officer's rule applies here, the Complaint fails to state a claim for which relief can be grante</w:t>
      </w:r>
      <w:r>
        <w:t>d.</w:t>
      </w:r>
    </w:p>
    <w:p w14:paraId="43EC2B96" w14:textId="77777777" w:rsidR="00B40D58" w:rsidRDefault="00B40D58" w:rsidP="00B40D58">
      <w:r>
        <w:t>***</w:t>
      </w:r>
    </w:p>
    <w:p w14:paraId="56510550" w14:textId="77777777" w:rsidR="00B40D58" w:rsidRPr="00934873" w:rsidRDefault="00B40D58" w:rsidP="00B40D58">
      <w:r w:rsidRPr="00934873">
        <w:t xml:space="preserve">The Texas Supreme Court recently adopted the </w:t>
      </w:r>
      <w:r>
        <w:t>‘</w:t>
      </w:r>
      <w:r w:rsidRPr="00934873">
        <w:t>public-safety officer's rule,</w:t>
      </w:r>
      <w:r>
        <w:t>’ … ‘</w:t>
      </w:r>
      <w:r w:rsidRPr="00934873">
        <w:t>which restricts the duties owed to responding officers.</w:t>
      </w:r>
      <w:r>
        <w:t>’</w:t>
      </w:r>
      <w:r w:rsidRPr="00934873">
        <w:t xml:space="preserve"> Seward v. Santander, 713 S.W.3d 341, 359 (Tex. 2025). Specifically, the Texas Supreme Court adopted the following rule:</w:t>
      </w:r>
    </w:p>
    <w:p w14:paraId="7D45B682" w14:textId="77777777" w:rsidR="00B40D58" w:rsidRPr="00934873" w:rsidRDefault="00B40D58" w:rsidP="00B40D58">
      <w:pPr>
        <w:ind w:left="720"/>
      </w:pPr>
      <w:r w:rsidRPr="00934873">
        <w:t>An actor who innocently or negligently creates a peril that occasions the presence of a public-safety officer owes no duty to that officer when the officer is injured by the very same peril that occasioned the officer's presence, and the officer is injured while (1) on duty, (2) acting within the scope of employment, and (3) engaged in the performance of emergency activities.</w:t>
      </w:r>
    </w:p>
    <w:p w14:paraId="7677A15E" w14:textId="77777777" w:rsidR="00B40D58" w:rsidRDefault="00B40D58" w:rsidP="00B40D58">
      <w:r w:rsidRPr="004D7EFA">
        <w:t xml:space="preserve">The court grounded the rule in public policy considerations, finding three policy arguments </w:t>
      </w:r>
      <w:r>
        <w:t>‘</w:t>
      </w:r>
      <w:r w:rsidRPr="004D7EFA">
        <w:t>especially compelling.</w:t>
      </w:r>
      <w:r>
        <w:t xml:space="preserve">’ … </w:t>
      </w:r>
      <w:r w:rsidRPr="004D7EFA">
        <w:t>First, the rule encourages those who need assistance from public-safety officers to call for it without fear of liability</w:t>
      </w:r>
      <w:r>
        <w:t xml:space="preserve">…. </w:t>
      </w:r>
      <w:r w:rsidRPr="004D7EFA">
        <w:t xml:space="preserve">Second, the rule minimizes the </w:t>
      </w:r>
      <w:r>
        <w:t>‘</w:t>
      </w:r>
      <w:r w:rsidRPr="004D7EFA">
        <w:t>specter of invidious discrimination'—that public-safety officers will be more eager to assist and risk injury when they are more likely to recover in a tort action</w:t>
      </w:r>
      <w:r>
        <w:t xml:space="preserve">…. </w:t>
      </w:r>
      <w:r w:rsidRPr="004D7EFA">
        <w:t>And third, the rule spreads the risk and cost of injuries to the public rather than solely to the individuals who require public-safety officer assistance.</w:t>
      </w:r>
      <w:r>
        <w:t>”</w:t>
      </w:r>
    </w:p>
    <w:p w14:paraId="667694FF" w14:textId="77777777" w:rsidR="00B40D58" w:rsidRDefault="00B40D58" w:rsidP="00B40D58">
      <w:pPr>
        <w:rPr>
          <w:b/>
          <w:bCs/>
        </w:rPr>
      </w:pPr>
      <w:r>
        <w:rPr>
          <w:b/>
        </w:rPr>
        <w:t xml:space="preserve">Legal lesson learned: About 18 states have abolished or significantly modified the “Public-Safety Officer Rule” or “Fireman’s Rule” to allow an injured police officer or firefighter to sue for damages; but not Texas. </w:t>
      </w:r>
    </w:p>
    <w:p w14:paraId="6E3EF298" w14:textId="77777777" w:rsidR="00B40D58" w:rsidRPr="00FC1E9E" w:rsidRDefault="00B40D58" w:rsidP="00B40D58">
      <w:pPr>
        <w:pStyle w:val="NoSpacing"/>
        <w:ind w:left="720"/>
        <w:rPr>
          <w:bCs/>
        </w:rPr>
      </w:pPr>
      <w:r>
        <w:t>Note: See this article. “</w:t>
      </w:r>
      <w:r w:rsidRPr="00A6014C">
        <w:t>Notably, a sizable minority of states (18) do not currently apply the Fireman’s Rule and have either explicitly</w:t>
      </w:r>
      <w:r>
        <w:t xml:space="preserve"> </w:t>
      </w:r>
      <w:r w:rsidRPr="00A6014C">
        <w:t>declined to adopt, rejected, limited, or failed to address it.</w:t>
      </w:r>
      <w:r>
        <w:t xml:space="preserve"> </w:t>
      </w:r>
      <w:r w:rsidRPr="00A6014C">
        <w:t>The remaining jurisdictions still invoke the Fireman’s Rule</w:t>
      </w:r>
      <w:r>
        <w:t xml:space="preserve"> </w:t>
      </w:r>
      <w:r w:rsidRPr="00A6014C">
        <w:t>as a bar to recovery for negligence in association with the cause of a fire. The reasoning behind this bar, however,</w:t>
      </w:r>
      <w:r>
        <w:t xml:space="preserve"> </w:t>
      </w:r>
      <w:r w:rsidRPr="00A6014C">
        <w:t>varies from jurisdiction to jurisdiction.</w:t>
      </w:r>
      <w:r>
        <w:t xml:space="preserve">” </w:t>
      </w:r>
      <w:hyperlink r:id="rId380" w:history="1">
        <w:r w:rsidRPr="00295025">
          <w:rPr>
            <w:rStyle w:val="Hyperlink"/>
          </w:rPr>
          <w:t>file:///C:/Users/lawre/Downloads/0182139.PDF</w:t>
        </w:r>
      </w:hyperlink>
      <w:r>
        <w:t xml:space="preserve"> </w:t>
      </w:r>
    </w:p>
    <w:p w14:paraId="7FEDAA00" w14:textId="77777777" w:rsidR="00B40D58" w:rsidRDefault="00B40D58" w:rsidP="00B40D58">
      <w:pPr>
        <w:rPr>
          <w:b/>
        </w:rPr>
      </w:pPr>
    </w:p>
    <w:p w14:paraId="614C7C7B" w14:textId="77777777" w:rsidR="00B40D58" w:rsidRDefault="00B40D58" w:rsidP="001B7551">
      <w:pPr>
        <w:rPr>
          <w:rFonts w:ascii="Arial Black" w:hAnsi="Arial Black"/>
          <w:sz w:val="24"/>
          <w:szCs w:val="24"/>
        </w:rPr>
      </w:pPr>
    </w:p>
    <w:p w14:paraId="7BA1E085" w14:textId="77777777" w:rsidR="00B40D58" w:rsidRDefault="00B40D58" w:rsidP="001B7551">
      <w:pPr>
        <w:rPr>
          <w:rFonts w:ascii="Arial Black" w:hAnsi="Arial Black"/>
          <w:sz w:val="24"/>
          <w:szCs w:val="24"/>
        </w:rPr>
      </w:pPr>
    </w:p>
    <w:p w14:paraId="0CE161B5" w14:textId="77777777" w:rsidR="00B40D58" w:rsidRDefault="00B40D58" w:rsidP="001B7551">
      <w:pPr>
        <w:rPr>
          <w:rFonts w:ascii="Arial Black" w:hAnsi="Arial Black"/>
          <w:sz w:val="24"/>
          <w:szCs w:val="24"/>
        </w:rPr>
      </w:pPr>
    </w:p>
    <w:p w14:paraId="4182E3D7" w14:textId="77777777" w:rsidR="00B40D58" w:rsidRDefault="00B40D58" w:rsidP="001B7551">
      <w:pPr>
        <w:rPr>
          <w:rFonts w:ascii="Arial Black" w:hAnsi="Arial Black"/>
          <w:sz w:val="24"/>
          <w:szCs w:val="24"/>
        </w:rPr>
      </w:pPr>
    </w:p>
    <w:p w14:paraId="00C15719" w14:textId="3D6E0A03" w:rsidR="001B7551" w:rsidRDefault="001B7551" w:rsidP="001B7551">
      <w:pPr>
        <w:rPr>
          <w:rFonts w:ascii="Arial Black" w:hAnsi="Arial Black"/>
          <w:sz w:val="28"/>
          <w:szCs w:val="28"/>
        </w:rPr>
      </w:pPr>
      <w:r>
        <w:rPr>
          <w:rFonts w:ascii="Arial Black" w:hAnsi="Arial Black"/>
          <w:sz w:val="24"/>
          <w:szCs w:val="24"/>
        </w:rPr>
        <w:t>2-113</w:t>
      </w:r>
    </w:p>
    <w:p w14:paraId="4E604E2B" w14:textId="77777777" w:rsidR="001B7551" w:rsidRPr="00965815" w:rsidRDefault="001B7551" w:rsidP="001B7551">
      <w:pPr>
        <w:pStyle w:val="NoSpacing"/>
        <w:rPr>
          <w:rFonts w:ascii="Arial Black" w:hAnsi="Arial Black"/>
          <w:sz w:val="28"/>
          <w:szCs w:val="28"/>
        </w:rPr>
      </w:pPr>
      <w:r>
        <w:rPr>
          <w:rFonts w:ascii="Arial Black" w:hAnsi="Arial Black"/>
          <w:sz w:val="28"/>
          <w:szCs w:val="28"/>
        </w:rPr>
        <w:t>OH: SPEEDING IN MVA AREA – KILLED FF – 15 YRS/LIFE</w:t>
      </w:r>
    </w:p>
    <w:p w14:paraId="5FA3A6B4" w14:textId="77777777" w:rsidR="001B7551" w:rsidRDefault="001B7551" w:rsidP="001B7551">
      <w:pPr>
        <w:pStyle w:val="NoSpacing"/>
      </w:pPr>
    </w:p>
    <w:p w14:paraId="243F347D" w14:textId="77777777" w:rsidR="001B7551" w:rsidRDefault="001B7551" w:rsidP="001B7551">
      <w:pPr>
        <w:pStyle w:val="NoSpacing"/>
      </w:pPr>
      <w:r>
        <w:t xml:space="preserve">On May 29, 2026, in </w:t>
      </w:r>
      <w:r w:rsidRPr="00B03864">
        <w:rPr>
          <w:u w:val="single"/>
        </w:rPr>
        <w:t>The State of Ohio v. Leander Bissell</w:t>
      </w:r>
      <w:r>
        <w:t xml:space="preserve">, the Supreme Court of Ohio held (7 to 0) that conviction for felony-murder after bench trial (no jury) is affirmed; the defendant must serve 15 years to life for the crimes of felonious assault, felony murder, involuntary manslaughter, aggravated vehicular homicide, failure to comply with an order or signal of a police officer, and failure to stop after an accident.  The Court reversed the Ohio Eight District Court of Appeals (Cuyahoga County) which held (2 to 1) there was insufficient evidence of driver’s intent to harm. On November 19, 2022, at approximately 8:15 p.m., Engine Company 22 of the City of Cleveland Division of Fire received an emergency dispatch for a vehicle crash on Interstate 90, a four-lane highway, near the exit of Martin Luther King Boulevard. One vehicle had flipped over onto its top on the left shoulder of the highway, blocking a part of the far-left high-speed lane. Firefighter </w:t>
      </w:r>
      <w:r w:rsidRPr="00A956B8">
        <w:t>Johnny Tetrick</w:t>
      </w:r>
      <w:r>
        <w:t xml:space="preserve"> was struck and killed, picking up debris from the highway, when the defendant sped by police cars at 49 mph, throwing Tetrick </w:t>
      </w:r>
      <w:r w:rsidRPr="00762BA4">
        <w:t xml:space="preserve">102.5 feet, </w:t>
      </w:r>
      <w:r>
        <w:t>and then fled the scene. THE COURT WROTE: The Eighth District’s reasoning is wrong. The Eighth District reasoned that criminal knowledge requires an offender’s ‘intention that a result will occur,’ id., but that is not so. ‘A person acts knowingly, regardless of purpose, when the person is aware that the person’s conduct will probably cause a certain result or will probably be of a certain nature.’ (Emphasis added.) R.C. 2901.22(B).</w:t>
      </w:r>
    </w:p>
    <w:p w14:paraId="27CD64DF" w14:textId="77777777" w:rsidR="001B7551" w:rsidRDefault="001B7551" w:rsidP="001B7551">
      <w:pPr>
        <w:pStyle w:val="NoSpacing"/>
      </w:pPr>
      <w:r>
        <w:t>Therefore, an offender’s purpose or intention to cause a result is not required when</w:t>
      </w:r>
    </w:p>
    <w:p w14:paraId="0DA3811A" w14:textId="77777777" w:rsidR="001B7551" w:rsidRDefault="001B7551" w:rsidP="001B7551">
      <w:pPr>
        <w:pStyle w:val="NoSpacing"/>
      </w:pPr>
      <w:r>
        <w:t xml:space="preserve">determining an offender’s </w:t>
      </w:r>
      <w:proofErr w:type="gramStart"/>
      <w:r>
        <w:t>knowledge, ‘</w:t>
      </w:r>
      <w:proofErr w:type="gramEnd"/>
      <w:r>
        <w:t>only an awareness of the probable</w:t>
      </w:r>
    </w:p>
    <w:p w14:paraId="549C7DDD" w14:textId="77777777" w:rsidR="001B7551" w:rsidRDefault="001B7551" w:rsidP="001B7551">
      <w:pPr>
        <w:rPr>
          <w:b/>
        </w:rPr>
      </w:pPr>
      <w:r>
        <w:t xml:space="preserve">consequences of one’s actions.’” </w:t>
      </w:r>
      <w:hyperlink r:id="rId381" w:history="1">
        <w:r w:rsidRPr="00BC462E">
          <w:rPr>
            <w:rStyle w:val="Hyperlink"/>
            <w:b/>
          </w:rPr>
          <w:t>https://www.supremecourt.ohio.gov/rod/docs/pdf/0/2026/2026-Ohio-1965.pdf</w:t>
        </w:r>
      </w:hyperlink>
      <w:r>
        <w:rPr>
          <w:b/>
        </w:rPr>
        <w:t xml:space="preserve"> </w:t>
      </w:r>
    </w:p>
    <w:p w14:paraId="129562B3" w14:textId="77777777" w:rsidR="001B7551" w:rsidRDefault="001B7551" w:rsidP="001B7551">
      <w:pPr>
        <w:pStyle w:val="NoSpacing"/>
      </w:pPr>
      <w:r>
        <w:t xml:space="preserve"> </w:t>
      </w:r>
    </w:p>
    <w:p w14:paraId="07F83796" w14:textId="77777777" w:rsidR="001B7551" w:rsidRDefault="001B7551" w:rsidP="001B7551">
      <w:pPr>
        <w:pStyle w:val="NoSpacing"/>
      </w:pPr>
      <w:r>
        <w:t xml:space="preserve">THE COURT HELD: </w:t>
      </w:r>
    </w:p>
    <w:p w14:paraId="58791EB4" w14:textId="77777777" w:rsidR="001B7551" w:rsidRDefault="001B7551" w:rsidP="001B7551">
      <w:pPr>
        <w:pStyle w:val="NoSpacing"/>
      </w:pPr>
    </w:p>
    <w:p w14:paraId="399BB57C" w14:textId="77777777" w:rsidR="001B7551" w:rsidRDefault="001B7551" w:rsidP="001B7551">
      <w:pPr>
        <w:pStyle w:val="NoSpacing"/>
        <w:ind w:firstLine="720"/>
      </w:pPr>
      <w:r>
        <w:t xml:space="preserve">“Judge </w:t>
      </w:r>
      <w:proofErr w:type="spellStart"/>
      <w:r>
        <w:t>Celebrezze</w:t>
      </w:r>
      <w:proofErr w:type="spellEnd"/>
      <w:r>
        <w:t xml:space="preserve"> [Court of Appeals] dissented from the majority opinion. According</w:t>
      </w:r>
    </w:p>
    <w:p w14:paraId="258E2493" w14:textId="77777777" w:rsidR="001B7551" w:rsidRDefault="001B7551" w:rsidP="001B7551">
      <w:pPr>
        <w:pStyle w:val="NoSpacing"/>
        <w:ind w:firstLine="720"/>
      </w:pPr>
      <w:r>
        <w:t>to Judge Celebrezze, Bissell’s conduct in speeding through an area of stopped</w:t>
      </w:r>
    </w:p>
    <w:p w14:paraId="591DDCAA" w14:textId="77777777" w:rsidR="001B7551" w:rsidRDefault="001B7551" w:rsidP="001B7551">
      <w:pPr>
        <w:pStyle w:val="NoSpacing"/>
        <w:ind w:firstLine="720"/>
      </w:pPr>
      <w:r>
        <w:t>traffic and a heavy first-</w:t>
      </w:r>
      <w:proofErr w:type="gramStart"/>
      <w:r>
        <w:t>responder presence</w:t>
      </w:r>
      <w:proofErr w:type="gramEnd"/>
      <w:r>
        <w:t xml:space="preserve"> established sufficient evidence that</w:t>
      </w:r>
    </w:p>
    <w:p w14:paraId="69A7479D" w14:textId="77777777" w:rsidR="001B7551" w:rsidRDefault="001B7551" w:rsidP="001B7551">
      <w:pPr>
        <w:pStyle w:val="NoSpacing"/>
        <w:ind w:firstLine="720"/>
      </w:pPr>
      <w:r>
        <w:t>Bissell acted knowingly when he hit Tetrick in the roadway because it was probable</w:t>
      </w:r>
    </w:p>
    <w:p w14:paraId="5173346A" w14:textId="77777777" w:rsidR="001B7551" w:rsidRDefault="001B7551" w:rsidP="001B7551">
      <w:pPr>
        <w:pStyle w:val="NoSpacing"/>
        <w:ind w:firstLine="720"/>
      </w:pPr>
      <w:r>
        <w:t>that Bissell’s conduct would cause physical harm…. (</w:t>
      </w:r>
      <w:proofErr w:type="spellStart"/>
      <w:r>
        <w:t>Celebrezze</w:t>
      </w:r>
      <w:proofErr w:type="spellEnd"/>
      <w:r>
        <w:t>, J.,</w:t>
      </w:r>
    </w:p>
    <w:p w14:paraId="4BAEB34E" w14:textId="77777777" w:rsidR="001B7551" w:rsidRDefault="001B7551" w:rsidP="001B7551">
      <w:pPr>
        <w:pStyle w:val="NoSpacing"/>
        <w:ind w:firstLine="720"/>
      </w:pPr>
      <w:r>
        <w:t xml:space="preserve">dissenting). With respect to the failure-to-comply charge, Judge </w:t>
      </w:r>
      <w:proofErr w:type="spellStart"/>
      <w:r>
        <w:t>Celebrezze</w:t>
      </w:r>
      <w:proofErr w:type="spellEnd"/>
    </w:p>
    <w:p w14:paraId="0821874A" w14:textId="77777777" w:rsidR="001B7551" w:rsidRDefault="001B7551" w:rsidP="001B7551">
      <w:pPr>
        <w:pStyle w:val="NoSpacing"/>
        <w:ind w:firstLine="720"/>
      </w:pPr>
      <w:r>
        <w:t>reasoned that the parked police vehicles with flashing lights on the highway served</w:t>
      </w:r>
    </w:p>
    <w:p w14:paraId="094FCE18" w14:textId="77777777" w:rsidR="001B7551" w:rsidRDefault="001B7551" w:rsidP="001B7551">
      <w:pPr>
        <w:pStyle w:val="NoSpacing"/>
        <w:ind w:firstLine="720"/>
      </w:pPr>
      <w:r>
        <w:t>as an order or direction from police officers…. (</w:t>
      </w:r>
      <w:proofErr w:type="spellStart"/>
      <w:r>
        <w:t>Celebrezze</w:t>
      </w:r>
      <w:proofErr w:type="spellEnd"/>
      <w:r>
        <w:t>, J., dissenting).</w:t>
      </w:r>
    </w:p>
    <w:p w14:paraId="55A228A3" w14:textId="77777777" w:rsidR="001B7551" w:rsidRDefault="001B7551" w:rsidP="001B7551">
      <w:pPr>
        <w:pStyle w:val="NoSpacing"/>
        <w:ind w:firstLine="720"/>
      </w:pPr>
    </w:p>
    <w:p w14:paraId="48FDDEB7" w14:textId="77777777" w:rsidR="001B7551" w:rsidRDefault="001B7551" w:rsidP="001B7551">
      <w:pPr>
        <w:pStyle w:val="NoSpacing"/>
        <w:ind w:firstLine="720"/>
      </w:pPr>
      <w:r>
        <w:t>***</w:t>
      </w:r>
    </w:p>
    <w:p w14:paraId="4E55E2BA" w14:textId="77777777" w:rsidR="001B7551" w:rsidRDefault="001B7551" w:rsidP="001B7551">
      <w:pPr>
        <w:pStyle w:val="NoSpacing"/>
        <w:ind w:firstLine="720"/>
      </w:pPr>
      <w:r>
        <w:t>Considering the evidence in this case in the light most favorable to</w:t>
      </w:r>
    </w:p>
    <w:p w14:paraId="4FE7E804" w14:textId="77777777" w:rsidR="001B7551" w:rsidRDefault="001B7551" w:rsidP="001B7551">
      <w:pPr>
        <w:pStyle w:val="NoSpacing"/>
        <w:ind w:firstLine="720"/>
      </w:pPr>
      <w:r>
        <w:t>the State, sufficient evidence exists to establish that Bissell was aware that his</w:t>
      </w:r>
    </w:p>
    <w:p w14:paraId="0EBCB141" w14:textId="77777777" w:rsidR="001B7551" w:rsidRDefault="001B7551" w:rsidP="001B7551">
      <w:pPr>
        <w:pStyle w:val="NoSpacing"/>
        <w:ind w:firstLine="720"/>
      </w:pPr>
      <w:r>
        <w:t>conduct would probably cause serious physical harm to a bystander or first</w:t>
      </w:r>
    </w:p>
    <w:p w14:paraId="77E8CF3F" w14:textId="77777777" w:rsidR="001B7551" w:rsidRDefault="001B7551" w:rsidP="001B7551">
      <w:pPr>
        <w:pStyle w:val="NoSpacing"/>
        <w:ind w:firstLine="720"/>
      </w:pPr>
      <w:r>
        <w:t>responder like Tetrick for purposes of Bissell’s felony-murder conviction.”</w:t>
      </w:r>
    </w:p>
    <w:p w14:paraId="39638C6A" w14:textId="77777777" w:rsidR="001B7551" w:rsidRDefault="001B7551" w:rsidP="001B7551">
      <w:pPr>
        <w:pStyle w:val="NoSpacing"/>
        <w:ind w:firstLine="720"/>
      </w:pPr>
    </w:p>
    <w:p w14:paraId="3B0E80F8" w14:textId="77777777" w:rsidR="001B7551" w:rsidRPr="00594AB3" w:rsidRDefault="001B7551" w:rsidP="001B7551">
      <w:pPr>
        <w:rPr>
          <w:b/>
          <w:bCs/>
        </w:rPr>
      </w:pPr>
      <w:r>
        <w:rPr>
          <w:b/>
        </w:rPr>
        <w:t xml:space="preserve">Legal lesson learned: Important decision; driver is held responsible for killing a firefighter at a busy accident scene. </w:t>
      </w:r>
    </w:p>
    <w:p w14:paraId="3676885B" w14:textId="77777777" w:rsidR="001B7551" w:rsidRDefault="001B7551" w:rsidP="001B7551">
      <w:pPr>
        <w:pStyle w:val="NoSpacing"/>
      </w:pPr>
    </w:p>
    <w:p w14:paraId="7C59D1DD" w14:textId="77777777" w:rsidR="001B7551" w:rsidRDefault="001B7551" w:rsidP="001B7551">
      <w:pPr>
        <w:pStyle w:val="NoSpacing"/>
      </w:pPr>
    </w:p>
    <w:p w14:paraId="1CD4FE14" w14:textId="77777777" w:rsidR="001B7551" w:rsidRDefault="001B7551" w:rsidP="001B7551">
      <w:pPr>
        <w:pStyle w:val="NoSpacing"/>
      </w:pPr>
    </w:p>
    <w:p w14:paraId="53BE5197" w14:textId="65978475" w:rsidR="001B7551" w:rsidRDefault="001B7551" w:rsidP="001B7551">
      <w:pPr>
        <w:rPr>
          <w:rFonts w:ascii="Arial Black" w:hAnsi="Arial Black"/>
          <w:sz w:val="28"/>
          <w:szCs w:val="28"/>
        </w:rPr>
      </w:pPr>
      <w:r>
        <w:rPr>
          <w:rFonts w:ascii="Arial Black" w:hAnsi="Arial Black"/>
          <w:sz w:val="24"/>
          <w:szCs w:val="24"/>
        </w:rPr>
        <w:t>2-112</w:t>
      </w:r>
    </w:p>
    <w:p w14:paraId="5CFB08BF" w14:textId="77777777" w:rsidR="001B7551" w:rsidRPr="00444200" w:rsidRDefault="001B7551" w:rsidP="001B7551">
      <w:pPr>
        <w:rPr>
          <w:rFonts w:ascii="Arial Black" w:hAnsi="Arial Black"/>
          <w:bCs/>
          <w:sz w:val="28"/>
          <w:szCs w:val="28"/>
        </w:rPr>
      </w:pPr>
      <w:r>
        <w:rPr>
          <w:rFonts w:ascii="Arial Black" w:hAnsi="Arial Black"/>
          <w:sz w:val="28"/>
          <w:szCs w:val="28"/>
        </w:rPr>
        <w:t xml:space="preserve">CA: DEF. SHOT &amp; KILLED CAPT – UNIFORMED FFs AT TRIAL </w:t>
      </w:r>
    </w:p>
    <w:p w14:paraId="258B63B3" w14:textId="77777777" w:rsidR="001B7551" w:rsidRDefault="001B7551" w:rsidP="001B7551">
      <w:pPr>
        <w:pStyle w:val="NoSpacing"/>
        <w:rPr>
          <w:bCs/>
        </w:rPr>
      </w:pPr>
      <w:r>
        <w:t xml:space="preserve">On May 29, 2026, in </w:t>
      </w:r>
      <w:r w:rsidRPr="004924E7">
        <w:rPr>
          <w:u w:val="single"/>
        </w:rPr>
        <w:t>The People v. Robert Alston Sommerville</w:t>
      </w:r>
      <w:r>
        <w:t xml:space="preserve">, the </w:t>
      </w:r>
      <w:r w:rsidRPr="004924E7">
        <w:t>California Court of Appeals, Third District, San Joaquin</w:t>
      </w:r>
      <w:r>
        <w:t xml:space="preserve"> held (3 to 0) the conviction was affirmed.  </w:t>
      </w:r>
      <w:r w:rsidRPr="0027757B">
        <w:t xml:space="preserve">Somerville was found guilty on Feb. 14, 2023, by a jury of the shooting death of 47-year-old Stockton Fire Capt. Vidal </w:t>
      </w:r>
      <w:r>
        <w:t>“</w:t>
      </w:r>
      <w:r w:rsidRPr="0027757B">
        <w:t>Max” Fortuna</w:t>
      </w:r>
      <w:r>
        <w:t xml:space="preserve">; he was sentenced </w:t>
      </w:r>
      <w:r w:rsidRPr="005D6C9B">
        <w:t>to 15 years to life in prison.</w:t>
      </w:r>
      <w:r>
        <w:t xml:space="preserve"> On January 31, 2022, at 4:45 am, </w:t>
      </w:r>
      <w:r w:rsidRPr="00000601">
        <w:t>a fire department dispatcher received</w:t>
      </w:r>
      <w:r>
        <w:t xml:space="preserve"> </w:t>
      </w:r>
      <w:r w:rsidRPr="00000601">
        <w:t>multiple calls regarding a fire near the Crosstown Freeway and Aurora Street in Stockton.</w:t>
      </w:r>
      <w:r>
        <w:t xml:space="preserve"> </w:t>
      </w:r>
      <w:r w:rsidRPr="00000601">
        <w:t>The dispatcher instructed Engine 2 to respond and described it as an outdoor fire. A few</w:t>
      </w:r>
      <w:r>
        <w:t xml:space="preserve"> </w:t>
      </w:r>
      <w:r w:rsidRPr="00000601">
        <w:t>minutes later, an alarm company called the dispatcher to report an audible alarm at a</w:t>
      </w:r>
      <w:r>
        <w:t xml:space="preserve"> </w:t>
      </w:r>
      <w:r w:rsidRPr="00000601">
        <w:t>commercial building at an address on South Aurora Street. The dispatcher then updated</w:t>
      </w:r>
      <w:r>
        <w:t xml:space="preserve"> </w:t>
      </w:r>
      <w:r w:rsidRPr="00000601">
        <w:t xml:space="preserve">Engine 2 </w:t>
      </w:r>
      <w:proofErr w:type="gramStart"/>
      <w:r w:rsidRPr="00000601">
        <w:t>on</w:t>
      </w:r>
      <w:proofErr w:type="gramEnd"/>
      <w:r w:rsidRPr="00000601">
        <w:t xml:space="preserve"> the building alarm and location.</w:t>
      </w:r>
      <w:r>
        <w:t xml:space="preserve"> </w:t>
      </w:r>
      <w:r w:rsidRPr="00B4394A">
        <w:t xml:space="preserve">Robert Somerville was living in </w:t>
      </w:r>
      <w:r>
        <w:t xml:space="preserve">his </w:t>
      </w:r>
      <w:r w:rsidRPr="00B4394A">
        <w:t>commercial building in Stockton</w:t>
      </w:r>
      <w:r>
        <w:t xml:space="preserve">; not </w:t>
      </w:r>
      <w:r w:rsidRPr="00B4394A">
        <w:t>realizing there was a fire outside and firefighters were trying to get in, defendant</w:t>
      </w:r>
      <w:r>
        <w:t xml:space="preserve"> </w:t>
      </w:r>
      <w:r w:rsidRPr="00B4394A">
        <w:t>grabbed his gun, announced he had a firearm, told the perceived intruders to move away,</w:t>
      </w:r>
      <w:r>
        <w:t xml:space="preserve"> </w:t>
      </w:r>
      <w:r w:rsidRPr="00B4394A">
        <w:t xml:space="preserve">and shot </w:t>
      </w:r>
      <w:r>
        <w:t>‘</w:t>
      </w:r>
      <w:r w:rsidRPr="00B4394A">
        <w:t>a couple rounds at the door.</w:t>
      </w:r>
      <w:r>
        <w:t xml:space="preserve">’ </w:t>
      </w:r>
      <w:r w:rsidRPr="00B4394A">
        <w:t xml:space="preserve"> Captain Max Fortuna (captain) was</w:t>
      </w:r>
      <w:r>
        <w:t xml:space="preserve"> </w:t>
      </w:r>
      <w:r w:rsidRPr="00B4394A">
        <w:t>struck and died.</w:t>
      </w:r>
      <w:r>
        <w:t xml:space="preserve">  THE COURT WROTE: “</w:t>
      </w:r>
      <w:r w:rsidRPr="00E4309D">
        <w:t>After the jury rendered its verdict, defendant filed a motion for new trial. Among</w:t>
      </w:r>
      <w:r>
        <w:t xml:space="preserve"> </w:t>
      </w:r>
      <w:r w:rsidRPr="00E4309D">
        <w:t>other things, he argued that the uniformed firefighter presence denied him a fair trial,</w:t>
      </w:r>
      <w:r>
        <w:t xml:space="preserve"> </w:t>
      </w:r>
      <w:r w:rsidRPr="00E4309D">
        <w:t xml:space="preserve">claiming there were over 25 uniformed firefighters in the courtroom at </w:t>
      </w:r>
      <w:proofErr w:type="gramStart"/>
      <w:r w:rsidRPr="00E4309D">
        <w:t>times</w:t>
      </w:r>
      <w:proofErr w:type="gramEnd"/>
      <w:r w:rsidRPr="00E4309D">
        <w:t xml:space="preserve"> and the</w:t>
      </w:r>
      <w:r>
        <w:t xml:space="preserve"> </w:t>
      </w:r>
      <w:r w:rsidRPr="00E4309D">
        <w:t xml:space="preserve">hallway was </w:t>
      </w:r>
      <w:r>
        <w:t>‘</w:t>
      </w:r>
      <w:r w:rsidRPr="00E4309D">
        <w:t>packed with clusters of firefighters in uniform</w:t>
      </w:r>
      <w:r>
        <w:t>’</w:t>
      </w:r>
      <w:r w:rsidRPr="00E4309D">
        <w:t xml:space="preserve"> in the morning and after</w:t>
      </w:r>
      <w:r>
        <w:t xml:space="preserve"> </w:t>
      </w:r>
      <w:r w:rsidRPr="00E4309D">
        <w:t xml:space="preserve">lunch. At the hearing on the motion, defendant also argued </w:t>
      </w:r>
      <w:proofErr w:type="gramStart"/>
      <w:r w:rsidRPr="00E4309D">
        <w:t xml:space="preserve">that </w:t>
      </w:r>
      <w:r>
        <w:t>‘</w:t>
      </w:r>
      <w:r w:rsidRPr="00E4309D">
        <w:t>[</w:t>
      </w:r>
      <w:proofErr w:type="gramEnd"/>
      <w:r w:rsidRPr="00E4309D">
        <w:t>E]</w:t>
      </w:r>
      <w:proofErr w:type="spellStart"/>
      <w:r w:rsidRPr="00E4309D">
        <w:t>ngine</w:t>
      </w:r>
      <w:proofErr w:type="spellEnd"/>
      <w:r w:rsidRPr="00E4309D">
        <w:t xml:space="preserve"> 2 [had] circled</w:t>
      </w:r>
      <w:r>
        <w:t xml:space="preserve"> </w:t>
      </w:r>
      <w:r w:rsidRPr="00E4309D">
        <w:t>this courthouse almost every day during the lunch hour.</w:t>
      </w:r>
      <w:r>
        <w:t xml:space="preserve">’ </w:t>
      </w:r>
      <w:r w:rsidRPr="00E4309D">
        <w:t>The court denied the motion, citing (1) its records on the number of uniformed</w:t>
      </w:r>
      <w:r>
        <w:t xml:space="preserve"> </w:t>
      </w:r>
      <w:r w:rsidRPr="00E4309D">
        <w:t>firefighters in the courtroom; (2) the fact that the jury went to the jury room rather than</w:t>
      </w:r>
      <w:r>
        <w:t xml:space="preserve"> </w:t>
      </w:r>
      <w:r w:rsidRPr="00E4309D">
        <w:t>the hallway during breaks; (3) the fact that it did not witness or become aware of any</w:t>
      </w:r>
      <w:r>
        <w:t xml:space="preserve"> </w:t>
      </w:r>
      <w:r w:rsidRPr="00E4309D">
        <w:t>intimidating conduct; (4) the fact that the jury never saw more uniformed firefighters than</w:t>
      </w:r>
      <w:r>
        <w:t xml:space="preserve"> </w:t>
      </w:r>
      <w:r w:rsidRPr="00E4309D">
        <w:t>civilians; (5) the right of firefighters to watch the trial just like any member of the public;</w:t>
      </w:r>
      <w:r>
        <w:t xml:space="preserve"> </w:t>
      </w:r>
      <w:r w:rsidRPr="00E4309D">
        <w:t>and (6) the jurors’ agreement during voir dire not be influenced by hearing a firefighter</w:t>
      </w:r>
      <w:r>
        <w:t xml:space="preserve"> </w:t>
      </w:r>
      <w:r w:rsidRPr="00E4309D">
        <w:t>case or having firefighters in the audience</w:t>
      </w:r>
      <w:r>
        <w:t xml:space="preserve">. *** </w:t>
      </w:r>
      <w:r w:rsidRPr="00DD512F">
        <w:t>Defendant contends the presence of uniformed firefighters in the courtroom and</w:t>
      </w:r>
      <w:r>
        <w:t xml:space="preserve"> </w:t>
      </w:r>
      <w:r w:rsidRPr="00DD512F">
        <w:t>the circling of Engine 2 during the lunch hour denied him a fair trial. In support, he cites</w:t>
      </w:r>
      <w:r>
        <w:t xml:space="preserve"> </w:t>
      </w:r>
      <w:r w:rsidRPr="00DD512F">
        <w:t>the number of firefighters in the hallway in the morning and at lunch and the many media</w:t>
      </w:r>
      <w:r>
        <w:t xml:space="preserve"> </w:t>
      </w:r>
      <w:r w:rsidRPr="00DD512F">
        <w:t xml:space="preserve">requests indicating the </w:t>
      </w:r>
      <w:r>
        <w:t>‘</w:t>
      </w:r>
      <w:r w:rsidRPr="00DD512F">
        <w:t>local community’s close and strong relationship with the</w:t>
      </w:r>
      <w:r>
        <w:t xml:space="preserve"> </w:t>
      </w:r>
      <w:r w:rsidRPr="00DD512F">
        <w:t>firefighters.</w:t>
      </w:r>
      <w:r>
        <w:t>’</w:t>
      </w:r>
      <w:r w:rsidRPr="00DD512F">
        <w:t xml:space="preserve"> We are not persuaded.</w:t>
      </w:r>
      <w:r>
        <w:t xml:space="preserve">*** </w:t>
      </w:r>
      <w:r w:rsidRPr="000E4EF6">
        <w:t>Here, the trial court acted within its discretion. At the beginning and end of trial,</w:t>
      </w:r>
      <w:r>
        <w:t xml:space="preserve"> </w:t>
      </w:r>
      <w:r w:rsidRPr="000E4EF6">
        <w:t>the court instructed the jury against letting bias influence its decision, and both parties</w:t>
      </w:r>
      <w:r>
        <w:t xml:space="preserve"> </w:t>
      </w:r>
      <w:r w:rsidRPr="000E4EF6">
        <w:t>reinforced that instruction in closing arguments. The court noted it never saw more</w:t>
      </w:r>
      <w:r>
        <w:t xml:space="preserve"> </w:t>
      </w:r>
      <w:r w:rsidRPr="000E4EF6">
        <w:t>uniformed firefighters than civilians in the courtroom, and that observation does not</w:t>
      </w:r>
      <w:r>
        <w:t xml:space="preserve"> </w:t>
      </w:r>
      <w:r w:rsidRPr="000E4EF6">
        <w:t>conflict with counsel’s statements on the record. And counsel never objected to</w:t>
      </w:r>
      <w:r>
        <w:t xml:space="preserve"> </w:t>
      </w:r>
      <w:r w:rsidRPr="000E4EF6">
        <w:t>firefighter presence in the hallways.</w:t>
      </w:r>
      <w:r>
        <w:t xml:space="preserve">” </w:t>
      </w:r>
    </w:p>
    <w:p w14:paraId="6F7C9B79" w14:textId="77777777" w:rsidR="001B7551" w:rsidRDefault="001B7551" w:rsidP="001B7551">
      <w:pPr>
        <w:pStyle w:val="NoSpacing"/>
        <w:rPr>
          <w:b/>
        </w:rPr>
      </w:pPr>
      <w:r w:rsidRPr="00DD512F">
        <w:t xml:space="preserve"> </w:t>
      </w:r>
      <w:hyperlink r:id="rId382" w:history="1">
        <w:r w:rsidRPr="00DD512F">
          <w:rPr>
            <w:rStyle w:val="Hyperlink"/>
          </w:rPr>
          <w:t>https://www4.courts.ca.gov/opinions/nonpub/C102004.PDF</w:t>
        </w:r>
      </w:hyperlink>
      <w:r>
        <w:rPr>
          <w:b/>
        </w:rPr>
        <w:t xml:space="preserve"> </w:t>
      </w:r>
    </w:p>
    <w:p w14:paraId="1A655BCF" w14:textId="77777777" w:rsidR="001B7551" w:rsidRDefault="001B7551" w:rsidP="001B7551">
      <w:pPr>
        <w:rPr>
          <w:bCs/>
        </w:rPr>
      </w:pPr>
      <w:r>
        <w:t xml:space="preserve"> </w:t>
      </w:r>
    </w:p>
    <w:p w14:paraId="3D7FC893" w14:textId="77777777" w:rsidR="001B7551" w:rsidRPr="00897771" w:rsidRDefault="001B7551" w:rsidP="001B7551">
      <w:pPr>
        <w:rPr>
          <w:bCs/>
        </w:rPr>
      </w:pPr>
      <w:r>
        <w:t xml:space="preserve">THE COURT HELD: </w:t>
      </w:r>
    </w:p>
    <w:p w14:paraId="6A3E87F7" w14:textId="77777777" w:rsidR="001B7551" w:rsidRPr="00000601" w:rsidRDefault="001B7551" w:rsidP="001B7551">
      <w:pPr>
        <w:pStyle w:val="NoSpacing"/>
        <w:ind w:firstLine="720"/>
      </w:pPr>
      <w:r>
        <w:t>“</w:t>
      </w:r>
      <w:r w:rsidRPr="00000601">
        <w:t>Engine 2 arrived carrying three firefighters – the driver, a probationary firefighter,</w:t>
      </w:r>
    </w:p>
    <w:p w14:paraId="7BF30364" w14:textId="77777777" w:rsidR="001B7551" w:rsidRPr="00000601" w:rsidRDefault="001B7551" w:rsidP="001B7551">
      <w:pPr>
        <w:pStyle w:val="NoSpacing"/>
        <w:ind w:firstLine="720"/>
      </w:pPr>
      <w:r w:rsidRPr="00000601">
        <w:t>and captain. After opening the outer property gate with a saw, probationary firefighter</w:t>
      </w:r>
    </w:p>
    <w:p w14:paraId="34D60C6A" w14:textId="77777777" w:rsidR="001B7551" w:rsidRPr="00000601" w:rsidRDefault="001B7551" w:rsidP="001B7551">
      <w:pPr>
        <w:pStyle w:val="NoSpacing"/>
        <w:ind w:firstLine="720"/>
      </w:pPr>
      <w:r w:rsidRPr="00000601">
        <w:t>started spraying the area. Captain told them they needed to get inside the building, so he</w:t>
      </w:r>
    </w:p>
    <w:p w14:paraId="12A7065E" w14:textId="77777777" w:rsidR="001B7551" w:rsidRPr="00000601" w:rsidRDefault="001B7551" w:rsidP="001B7551">
      <w:pPr>
        <w:pStyle w:val="NoSpacing"/>
        <w:ind w:firstLine="720"/>
      </w:pPr>
      <w:r w:rsidRPr="00000601">
        <w:t>and driver went to a roll-up door and started cutting into the padlocks with a saw and an</w:t>
      </w:r>
    </w:p>
    <w:p w14:paraId="2CABFF0B" w14:textId="77777777" w:rsidR="001B7551" w:rsidRDefault="001B7551" w:rsidP="001B7551">
      <w:pPr>
        <w:pStyle w:val="NoSpacing"/>
        <w:ind w:firstLine="720"/>
      </w:pPr>
      <w:r w:rsidRPr="00000601">
        <w:t>angle grinder.</w:t>
      </w:r>
    </w:p>
    <w:p w14:paraId="5D6419FE" w14:textId="77777777" w:rsidR="001B7551" w:rsidRDefault="001B7551" w:rsidP="001B7551">
      <w:pPr>
        <w:pStyle w:val="NoSpacing"/>
        <w:ind w:firstLine="720"/>
      </w:pPr>
    </w:p>
    <w:p w14:paraId="64460CAC" w14:textId="77777777" w:rsidR="001B7551" w:rsidRDefault="001B7551" w:rsidP="001B7551">
      <w:pPr>
        <w:pStyle w:val="NoSpacing"/>
        <w:ind w:firstLine="720"/>
      </w:pPr>
      <w:r>
        <w:t>Meanwhile, inside the building, defendant was asleep in his room. One of his</w:t>
      </w:r>
    </w:p>
    <w:p w14:paraId="6E6115CC" w14:textId="77777777" w:rsidR="001B7551" w:rsidRDefault="001B7551" w:rsidP="001B7551">
      <w:pPr>
        <w:pStyle w:val="NoSpacing"/>
        <w:ind w:firstLine="720"/>
      </w:pPr>
      <w:r>
        <w:t>employees (</w:t>
      </w:r>
      <w:proofErr w:type="gramStart"/>
      <w:r>
        <w:t>employee</w:t>
      </w:r>
      <w:proofErr w:type="gramEnd"/>
      <w:r>
        <w:t xml:space="preserve">) </w:t>
      </w:r>
      <w:proofErr w:type="gramStart"/>
      <w:r>
        <w:t>was</w:t>
      </w:r>
      <w:proofErr w:type="gramEnd"/>
      <w:r>
        <w:t xml:space="preserve"> also inside the building sleeping in a trailer. </w:t>
      </w:r>
      <w:proofErr w:type="gramStart"/>
      <w:r>
        <w:t>Defendant</w:t>
      </w:r>
      <w:proofErr w:type="gramEnd"/>
      <w:r>
        <w:t xml:space="preserve"> </w:t>
      </w:r>
      <w:proofErr w:type="gramStart"/>
      <w:r>
        <w:t>woke</w:t>
      </w:r>
      <w:proofErr w:type="gramEnd"/>
    </w:p>
    <w:p w14:paraId="1D8E21DB" w14:textId="77777777" w:rsidR="001B7551" w:rsidRDefault="001B7551" w:rsidP="001B7551">
      <w:pPr>
        <w:pStyle w:val="NoSpacing"/>
        <w:ind w:firstLine="720"/>
      </w:pPr>
      <w:r>
        <w:t>to the sound of cutting noises in the back of the building that made him think someone</w:t>
      </w:r>
    </w:p>
    <w:p w14:paraId="70B59404" w14:textId="77777777" w:rsidR="001B7551" w:rsidRDefault="001B7551" w:rsidP="001B7551">
      <w:pPr>
        <w:pStyle w:val="NoSpacing"/>
        <w:ind w:firstLine="720"/>
      </w:pPr>
      <w:r>
        <w:t>was trying to break in. He didn’t know there was a fire happening. He did smell smoke,</w:t>
      </w:r>
    </w:p>
    <w:p w14:paraId="00FC45E8" w14:textId="77777777" w:rsidR="001B7551" w:rsidRDefault="001B7551" w:rsidP="001B7551">
      <w:pPr>
        <w:pStyle w:val="NoSpacing"/>
        <w:ind w:firstLine="720"/>
      </w:pPr>
      <w:r>
        <w:t>but it smelled the ‘same way [as] when you’re cutting metal.’ He ‘went out there and</w:t>
      </w:r>
    </w:p>
    <w:p w14:paraId="691290D9" w14:textId="77777777" w:rsidR="001B7551" w:rsidRDefault="001B7551" w:rsidP="001B7551">
      <w:pPr>
        <w:pStyle w:val="NoSpacing"/>
        <w:ind w:firstLine="720"/>
      </w:pPr>
      <w:r>
        <w:t>said, ‘Move away from the building</w:t>
      </w:r>
      <w:proofErr w:type="gramStart"/>
      <w:r>
        <w:t>.</w:t>
      </w:r>
      <w:proofErr w:type="gramEnd"/>
      <w:r>
        <w:t xml:space="preserve"> I have a firearm.’  After ‘nobody said anything,’</w:t>
      </w:r>
    </w:p>
    <w:p w14:paraId="084BBE30" w14:textId="77777777" w:rsidR="001B7551" w:rsidRDefault="001B7551" w:rsidP="001B7551">
      <w:pPr>
        <w:pStyle w:val="NoSpacing"/>
        <w:ind w:firstLine="720"/>
      </w:pPr>
      <w:r>
        <w:t>he ‘squeezed a couple of rounds at the door,’ specifically ‘down in the corner’ because</w:t>
      </w:r>
    </w:p>
    <w:p w14:paraId="5CCBDED9" w14:textId="77777777" w:rsidR="001B7551" w:rsidRDefault="001B7551" w:rsidP="001B7551">
      <w:pPr>
        <w:pStyle w:val="NoSpacing"/>
        <w:ind w:firstLine="720"/>
      </w:pPr>
      <w:r>
        <w:t>he was ‘not trying to shoot anybody.’ He just wanted to ‘scare them off’ because he:</w:t>
      </w:r>
    </w:p>
    <w:p w14:paraId="14311981" w14:textId="77777777" w:rsidR="001B7551" w:rsidRDefault="001B7551" w:rsidP="001B7551">
      <w:pPr>
        <w:pStyle w:val="NoSpacing"/>
        <w:ind w:firstLine="720"/>
      </w:pPr>
      <w:r>
        <w:t>(1) had a ‘problem with people trying to break in,’ (2) had ‘a lot of valuable equipment</w:t>
      </w:r>
    </w:p>
    <w:p w14:paraId="3AAC2834" w14:textId="77777777" w:rsidR="001B7551" w:rsidRDefault="001B7551" w:rsidP="001B7551">
      <w:pPr>
        <w:pStyle w:val="NoSpacing"/>
        <w:ind w:firstLine="720"/>
      </w:pPr>
      <w:r>
        <w:t>in there,’ (3) had a ‘problem in the back trailer with homeless people,’ and (4) figured</w:t>
      </w:r>
    </w:p>
    <w:p w14:paraId="798F3186" w14:textId="77777777" w:rsidR="001B7551" w:rsidRDefault="001B7551" w:rsidP="001B7551">
      <w:pPr>
        <w:pStyle w:val="NoSpacing"/>
        <w:ind w:firstLine="720"/>
      </w:pPr>
      <w:r>
        <w:t>people brazen enough to break in had to be armed. He also had macular degeneration</w:t>
      </w:r>
    </w:p>
    <w:p w14:paraId="056BCB55" w14:textId="77777777" w:rsidR="001B7551" w:rsidRDefault="001B7551" w:rsidP="001B7551">
      <w:pPr>
        <w:pStyle w:val="NoSpacing"/>
        <w:ind w:firstLine="720"/>
      </w:pPr>
      <w:r>
        <w:t>and could not see well in the dark. At some point, he woke employee and told her to call</w:t>
      </w:r>
    </w:p>
    <w:p w14:paraId="136433DA" w14:textId="77777777" w:rsidR="001B7551" w:rsidRDefault="001B7551" w:rsidP="001B7551">
      <w:pPr>
        <w:pStyle w:val="NoSpacing"/>
        <w:ind w:firstLine="720"/>
      </w:pPr>
      <w:r>
        <w:t>for help, which she did by calling 911 twice. Employee later testified that defendant</w:t>
      </w:r>
    </w:p>
    <w:p w14:paraId="0625FFFA" w14:textId="77777777" w:rsidR="001B7551" w:rsidRDefault="001B7551" w:rsidP="001B7551">
      <w:pPr>
        <w:pStyle w:val="NoSpacing"/>
        <w:ind w:firstLine="720"/>
      </w:pPr>
      <w:r>
        <w:t>saved her life that day by waking her up.</w:t>
      </w:r>
    </w:p>
    <w:p w14:paraId="7AD9BBC2" w14:textId="77777777" w:rsidR="001B7551" w:rsidRDefault="001B7551" w:rsidP="001B7551">
      <w:pPr>
        <w:pStyle w:val="NoSpacing"/>
        <w:ind w:firstLine="720"/>
      </w:pPr>
    </w:p>
    <w:p w14:paraId="0E050C8C" w14:textId="77777777" w:rsidR="001B7551" w:rsidRDefault="001B7551" w:rsidP="001B7551">
      <w:pPr>
        <w:pStyle w:val="NoSpacing"/>
        <w:ind w:firstLine="720"/>
      </w:pPr>
      <w:r>
        <w:t>***</w:t>
      </w:r>
    </w:p>
    <w:p w14:paraId="72BF0F21" w14:textId="77777777" w:rsidR="001B7551" w:rsidRDefault="001B7551" w:rsidP="001B7551">
      <w:pPr>
        <w:pStyle w:val="NoSpacing"/>
        <w:ind w:left="720"/>
      </w:pPr>
      <w:r>
        <w:t xml:space="preserve">The court also avoided unnecessary juror exposure to spectators by returning jurors to the jury room during breaks. Even assuming the multiple media requests evidenced a “close and strong relationship” between the community and the firefighters, as defendant argues, we conclude the court properly exercised its discretion to guard against any improper influence or pressure without impairing the firefighters’ rights to attend the trial. For these reasons, we conclude the presence of uniformed firefighters at trial was not inherently prejudicial. And because </w:t>
      </w:r>
      <w:proofErr w:type="gramStart"/>
      <w:r>
        <w:t>defendant does</w:t>
      </w:r>
      <w:proofErr w:type="gramEnd"/>
      <w:r>
        <w:t xml:space="preserve"> not contend there was actual prejudice, we reject his fair trial claim.</w:t>
      </w:r>
    </w:p>
    <w:p w14:paraId="26B44EA4" w14:textId="77777777" w:rsidR="001B7551" w:rsidRDefault="001B7551" w:rsidP="001B7551">
      <w:pPr>
        <w:pStyle w:val="NoSpacing"/>
        <w:ind w:left="720"/>
      </w:pPr>
    </w:p>
    <w:p w14:paraId="6E39A18C" w14:textId="77777777" w:rsidR="001B7551" w:rsidRDefault="001B7551" w:rsidP="001B7551">
      <w:pPr>
        <w:pStyle w:val="NoSpacing"/>
        <w:ind w:left="720"/>
      </w:pPr>
      <w:r>
        <w:t>***</w:t>
      </w:r>
    </w:p>
    <w:p w14:paraId="33F76C00" w14:textId="77777777" w:rsidR="001B7551" w:rsidRDefault="001B7551" w:rsidP="001B7551">
      <w:pPr>
        <w:pStyle w:val="NoSpacing"/>
        <w:ind w:left="720"/>
      </w:pPr>
      <w:r>
        <w:t>Here, the trial court instructed the jury that defendant was not guilty of murder if,</w:t>
      </w:r>
    </w:p>
    <w:p w14:paraId="35F70475" w14:textId="77777777" w:rsidR="001B7551" w:rsidRDefault="001B7551" w:rsidP="001B7551">
      <w:pPr>
        <w:pStyle w:val="NoSpacing"/>
        <w:ind w:left="720"/>
      </w:pPr>
      <w:r>
        <w:t>among other requirements, he reasonably believed he was defending a home from</w:t>
      </w:r>
    </w:p>
    <w:p w14:paraId="6072C8C7" w14:textId="77777777" w:rsidR="001B7551" w:rsidRDefault="001B7551" w:rsidP="001B7551">
      <w:pPr>
        <w:pStyle w:val="NoSpacing"/>
        <w:ind w:left="720"/>
      </w:pPr>
      <w:r>
        <w:t>someone who intended or tried to commit a robbery ‘whose character and manner</w:t>
      </w:r>
    </w:p>
    <w:p w14:paraId="2E8D770D" w14:textId="77777777" w:rsidR="001B7551" w:rsidRDefault="001B7551" w:rsidP="001B7551">
      <w:pPr>
        <w:pStyle w:val="NoSpacing"/>
        <w:ind w:left="720"/>
      </w:pPr>
      <w:r>
        <w:t>reasonably created a fear of death or serious bodily harm’ or ‘violently or tumultuously</w:t>
      </w:r>
    </w:p>
    <w:p w14:paraId="041CF1C3" w14:textId="77777777" w:rsidR="001B7551" w:rsidRDefault="001B7551" w:rsidP="001B7551">
      <w:pPr>
        <w:pStyle w:val="NoSpacing"/>
        <w:ind w:left="720"/>
      </w:pPr>
      <w:r>
        <w:t>tried to enter that home intending to commit an act of violence against someone inside.’</w:t>
      </w:r>
    </w:p>
    <w:p w14:paraId="6573769E" w14:textId="77777777" w:rsidR="001B7551" w:rsidRDefault="001B7551" w:rsidP="001B7551">
      <w:pPr>
        <w:pStyle w:val="NoSpacing"/>
        <w:ind w:left="720"/>
      </w:pPr>
      <w:r>
        <w:t>This instruction accurately stated the law as applied to the facts.”</w:t>
      </w:r>
    </w:p>
    <w:p w14:paraId="199A6EC2" w14:textId="77777777" w:rsidR="001B7551" w:rsidRDefault="001B7551" w:rsidP="001B7551">
      <w:pPr>
        <w:pStyle w:val="NoSpacing"/>
        <w:ind w:left="720"/>
      </w:pPr>
    </w:p>
    <w:p w14:paraId="5497B668" w14:textId="77777777" w:rsidR="001B7551" w:rsidRPr="00B53984" w:rsidRDefault="001B7551" w:rsidP="001B7551">
      <w:pPr>
        <w:rPr>
          <w:b/>
          <w:bCs/>
        </w:rPr>
      </w:pPr>
      <w:r>
        <w:rPr>
          <w:b/>
        </w:rPr>
        <w:t xml:space="preserve">Legal lesson learned: The defendant received a fair trial, with uniformed firefighters in attendance. </w:t>
      </w:r>
    </w:p>
    <w:p w14:paraId="5B3D9AE2" w14:textId="77777777" w:rsidR="001B7551" w:rsidRPr="007213A9" w:rsidRDefault="001B7551" w:rsidP="001B7551">
      <w:pPr>
        <w:pStyle w:val="NoSpacing"/>
        <w:ind w:left="720"/>
      </w:pPr>
      <w:r w:rsidRPr="007213A9">
        <w:t xml:space="preserve">Note: See Aug. 22, </w:t>
      </w:r>
      <w:proofErr w:type="gramStart"/>
      <w:r w:rsidRPr="007213A9">
        <w:t>2024</w:t>
      </w:r>
      <w:proofErr w:type="gramEnd"/>
      <w:r w:rsidRPr="007213A9">
        <w:t xml:space="preserve"> article: </w:t>
      </w:r>
      <w:r>
        <w:t>“</w:t>
      </w:r>
      <w:r w:rsidRPr="007213A9">
        <w:t>Man given 15 years to life for fatally shooting fire captain in 2022.</w:t>
      </w:r>
      <w:r>
        <w:t>”</w:t>
      </w:r>
      <w:r w:rsidRPr="007213A9">
        <w:t xml:space="preserve"> </w:t>
      </w:r>
      <w:hyperlink r:id="rId383" w:history="1">
        <w:r w:rsidRPr="007213A9">
          <w:rPr>
            <w:rStyle w:val="Hyperlink"/>
          </w:rPr>
          <w:t>https://stocktonia.org/news/public-safety/2024/08/22/man-given-15-years-to-life-for-fatally-shooting-fire-captain-in-2022/</w:t>
        </w:r>
      </w:hyperlink>
      <w:r w:rsidRPr="007213A9">
        <w:t xml:space="preserve"> </w:t>
      </w:r>
    </w:p>
    <w:p w14:paraId="656BA78A" w14:textId="77777777" w:rsidR="001B7551" w:rsidRDefault="001B7551" w:rsidP="001B7551">
      <w:pPr>
        <w:pStyle w:val="NoSpacing"/>
        <w:rPr>
          <w:bCs/>
        </w:rPr>
      </w:pPr>
    </w:p>
    <w:p w14:paraId="6E07585C" w14:textId="77777777" w:rsidR="001B7551" w:rsidRDefault="001B7551" w:rsidP="001B7551">
      <w:pPr>
        <w:pStyle w:val="NoSpacing"/>
        <w:rPr>
          <w:bCs/>
        </w:rPr>
      </w:pPr>
    </w:p>
    <w:p w14:paraId="2AD5AB99" w14:textId="77777777" w:rsidR="001B7551" w:rsidRDefault="001B7551" w:rsidP="001B7551">
      <w:pPr>
        <w:pStyle w:val="NoSpacing"/>
        <w:rPr>
          <w:bCs/>
        </w:rPr>
      </w:pPr>
    </w:p>
    <w:p w14:paraId="6224CEE4" w14:textId="77777777" w:rsidR="001B7551" w:rsidRDefault="001B7551" w:rsidP="001B7551">
      <w:pPr>
        <w:pStyle w:val="NoSpacing"/>
        <w:rPr>
          <w:bCs/>
        </w:rPr>
      </w:pPr>
    </w:p>
    <w:p w14:paraId="3921F784" w14:textId="77777777" w:rsidR="001B7551" w:rsidRDefault="001B7551" w:rsidP="001B7551">
      <w:pPr>
        <w:pStyle w:val="NoSpacing"/>
        <w:rPr>
          <w:bCs/>
        </w:rPr>
      </w:pPr>
    </w:p>
    <w:p w14:paraId="67215200" w14:textId="77777777" w:rsidR="001B7551" w:rsidRDefault="001B7551" w:rsidP="001B7551">
      <w:pPr>
        <w:pStyle w:val="NoSpacing"/>
        <w:rPr>
          <w:bCs/>
        </w:rPr>
      </w:pPr>
    </w:p>
    <w:p w14:paraId="37C3A343" w14:textId="708FA99B" w:rsidR="001B7551" w:rsidRDefault="001B7551" w:rsidP="001B7551">
      <w:pPr>
        <w:rPr>
          <w:rFonts w:ascii="Arial Black" w:hAnsi="Arial Black"/>
          <w:sz w:val="28"/>
          <w:szCs w:val="28"/>
        </w:rPr>
      </w:pPr>
      <w:r>
        <w:rPr>
          <w:rFonts w:ascii="Arial Black" w:hAnsi="Arial Black"/>
          <w:sz w:val="24"/>
          <w:szCs w:val="24"/>
        </w:rPr>
        <w:t>2-111</w:t>
      </w:r>
    </w:p>
    <w:p w14:paraId="1B61B702" w14:textId="77777777" w:rsidR="001B7551" w:rsidRPr="009501FD" w:rsidRDefault="001B7551" w:rsidP="001B7551">
      <w:pPr>
        <w:pStyle w:val="NoSpacing"/>
        <w:rPr>
          <w:bCs/>
        </w:rPr>
      </w:pPr>
    </w:p>
    <w:p w14:paraId="0EB6865F" w14:textId="77777777" w:rsidR="001B7551" w:rsidRPr="00F81800" w:rsidRDefault="001B7551" w:rsidP="001B7551">
      <w:pPr>
        <w:pStyle w:val="NoSpacing"/>
        <w:rPr>
          <w:rFonts w:ascii="Arial Black" w:hAnsi="Arial Black"/>
          <w:sz w:val="28"/>
          <w:szCs w:val="28"/>
        </w:rPr>
      </w:pPr>
      <w:r>
        <w:rPr>
          <w:rFonts w:ascii="Arial Black" w:hAnsi="Arial Black"/>
          <w:sz w:val="28"/>
          <w:szCs w:val="28"/>
        </w:rPr>
        <w:t>MO: LODD PAYMENT - MUST FILE 1-YR – EVEN WC GRANTED</w:t>
      </w:r>
    </w:p>
    <w:p w14:paraId="0B4D984C" w14:textId="77777777" w:rsidR="001B7551" w:rsidRDefault="001B7551" w:rsidP="001B7551">
      <w:pPr>
        <w:pStyle w:val="NoSpacing"/>
      </w:pPr>
    </w:p>
    <w:p w14:paraId="3AD84E69" w14:textId="77777777" w:rsidR="001B7551" w:rsidRDefault="001B7551" w:rsidP="001B7551">
      <w:pPr>
        <w:pStyle w:val="NoSpacing"/>
        <w:rPr>
          <w:b/>
          <w:bCs/>
        </w:rPr>
      </w:pPr>
      <w:r>
        <w:t xml:space="preserve">On May 26, 2026, in </w:t>
      </w:r>
      <w:r w:rsidRPr="006D5499">
        <w:rPr>
          <w:u w:val="single"/>
        </w:rPr>
        <w:t>Patrick Brian Williams (Deceased), and Jennifer Williams v. City of Kansas City, et al</w:t>
      </w:r>
      <w:r>
        <w:t xml:space="preserve">., the </w:t>
      </w:r>
      <w:r w:rsidRPr="006D5499">
        <w:t>Court of Appeals of Missouri, Western District, Second Division</w:t>
      </w:r>
      <w:r>
        <w:t xml:space="preserve"> held (3 to 0) that the </w:t>
      </w:r>
      <w:r w:rsidRPr="00001213">
        <w:t>Labor and</w:t>
      </w:r>
      <w:r>
        <w:t xml:space="preserve"> </w:t>
      </w:r>
      <w:r w:rsidRPr="00001213">
        <w:t>Industrial Relations Commission</w:t>
      </w:r>
      <w:r>
        <w:t xml:space="preserve"> properly denied Line of Duty Death cash benefits (currently </w:t>
      </w:r>
      <w:r w:rsidRPr="00147F68">
        <w:t>$25,000</w:t>
      </w:r>
      <w:r>
        <w:t>; and up to $20,000 f</w:t>
      </w:r>
      <w:r w:rsidRPr="00147F68">
        <w:t>or funeral expenses</w:t>
      </w:r>
      <w:r>
        <w:t>)</w:t>
      </w:r>
      <w:r w:rsidRPr="00147F68">
        <w:t>,</w:t>
      </w:r>
      <w:r>
        <w:t xml:space="preserve"> since the claim was not filed within one year of his death.  </w:t>
      </w:r>
      <w:r w:rsidRPr="00BF7576">
        <w:t>Firefighter Williams served as a firefighter for the City of Kansas City,</w:t>
      </w:r>
      <w:r>
        <w:t xml:space="preserve"> </w:t>
      </w:r>
      <w:r w:rsidRPr="00BF7576">
        <w:t>Missouri, for 38 years. Due to his exposure to multiple workplace carcinogens, he</w:t>
      </w:r>
      <w:r>
        <w:t xml:space="preserve"> </w:t>
      </w:r>
      <w:r w:rsidRPr="00BF7576">
        <w:t>developed metastatic neuroendocrine carcinoma and multiple myeloma</w:t>
      </w:r>
      <w:r>
        <w:t xml:space="preserve">, and he died </w:t>
      </w:r>
      <w:r w:rsidRPr="00BF7576">
        <w:t>on February 23, 2018.</w:t>
      </w:r>
      <w:r>
        <w:t xml:space="preserve">  Mrs. Williams didn’t file LODD claim until September 25, 2023.  Prior to filing the LDC claim, she timely filed Worker’s Comp claim and on </w:t>
      </w:r>
      <w:r w:rsidRPr="00385676">
        <w:t>August 31, 2023, the ALJ issued an award of workers’</w:t>
      </w:r>
      <w:r>
        <w:t xml:space="preserve"> </w:t>
      </w:r>
      <w:r w:rsidRPr="00385676">
        <w:t>compensation benefits</w:t>
      </w:r>
      <w:r>
        <w:t>.  THE COURT WROTE: “Specifically, Williams argues the LDC Claim is a successive adjudication presenting the same facts and issues as those previously decided in her WC Award. She asserts the WC Award issued findings of fact and conclusions of law which were dispositive of the issues before the Commission in the LDC Claim, thus the Commission is bound by its findings in the WC Award.</w:t>
      </w:r>
      <w:r w:rsidRPr="002B19C9">
        <w:t xml:space="preserve"> </w:t>
      </w:r>
      <w:proofErr w:type="gramStart"/>
      <w:r>
        <w:t>The end result</w:t>
      </w:r>
      <w:proofErr w:type="gramEnd"/>
      <w:r>
        <w:t xml:space="preserve"> of her argument appears to be that the time limit in which to file an LDC claim is somehow tolled until the WC claim is resolved. On the other hand, Respondent argues that the law of the case doctrine is not implicated here because the doctrine only applies to subsequent proceedings in the same case, and Williams’s WC Claim and LDC Claim are two entirely separate matters. We agree with Respondent</w:t>
      </w:r>
      <w:r w:rsidRPr="00B701F9">
        <w:t xml:space="preserve">.”  </w:t>
      </w:r>
      <w:hyperlink r:id="rId384" w:history="1">
        <w:r w:rsidRPr="00B701F9">
          <w:rPr>
            <w:rStyle w:val="Hyperlink"/>
          </w:rPr>
          <w:t>https://cases.justia.com/missouri/court-of-appeals/2026-wd88291.pdf?ts=1779809421</w:t>
        </w:r>
      </w:hyperlink>
      <w:r>
        <w:rPr>
          <w:b/>
        </w:rPr>
        <w:t xml:space="preserve"> </w:t>
      </w:r>
    </w:p>
    <w:p w14:paraId="1744F1D5" w14:textId="77777777" w:rsidR="001B7551" w:rsidRDefault="001B7551" w:rsidP="001B7551">
      <w:pPr>
        <w:pStyle w:val="NoSpacing"/>
        <w:rPr>
          <w:b/>
          <w:bCs/>
        </w:rPr>
      </w:pPr>
    </w:p>
    <w:p w14:paraId="4AFE2A22" w14:textId="77777777" w:rsidR="001B7551" w:rsidRDefault="001B7551" w:rsidP="001B7551">
      <w:pPr>
        <w:pStyle w:val="NoSpacing"/>
      </w:pPr>
      <w:r>
        <w:t>THE COURT HELD:</w:t>
      </w:r>
    </w:p>
    <w:p w14:paraId="13A32535" w14:textId="77777777" w:rsidR="001B7551" w:rsidRDefault="001B7551" w:rsidP="001B7551">
      <w:pPr>
        <w:pStyle w:val="NoSpacing"/>
      </w:pPr>
    </w:p>
    <w:p w14:paraId="74D72756" w14:textId="77777777" w:rsidR="001B7551" w:rsidRDefault="001B7551" w:rsidP="001B7551">
      <w:pPr>
        <w:pStyle w:val="NoSpacing"/>
        <w:ind w:left="720"/>
      </w:pPr>
      <w:r>
        <w:t xml:space="preserve">“LDC claims and WC claims are also subject to different statutes of limitations, further evidencing their separate nature. Contrast section 287.243.3(1) (creating a one-year statute of limitations in which to file an LDC claim), with section 287.430 (creating a statute of limitations </w:t>
      </w:r>
      <w:r w:rsidRPr="001058BE">
        <w:t>ranging from one to three years for WC claims, depending on the circumstances).</w:t>
      </w:r>
    </w:p>
    <w:p w14:paraId="7D0CFA36" w14:textId="77777777" w:rsidR="001B7551" w:rsidRDefault="001B7551" w:rsidP="001B7551">
      <w:pPr>
        <w:pStyle w:val="NoSpacing"/>
        <w:ind w:left="720"/>
      </w:pPr>
    </w:p>
    <w:p w14:paraId="75E7E013" w14:textId="77777777" w:rsidR="001B7551" w:rsidRDefault="001B7551" w:rsidP="001B7551">
      <w:pPr>
        <w:pStyle w:val="NoSpacing"/>
        <w:ind w:left="720"/>
      </w:pPr>
      <w:r>
        <w:t>***</w:t>
      </w:r>
    </w:p>
    <w:p w14:paraId="5B8C3FD9" w14:textId="77777777" w:rsidR="001B7551" w:rsidRDefault="001B7551" w:rsidP="001B7551">
      <w:pPr>
        <w:pStyle w:val="NoSpacing"/>
        <w:ind w:left="720"/>
      </w:pPr>
    </w:p>
    <w:p w14:paraId="2E7A46EB" w14:textId="77777777" w:rsidR="001B7551" w:rsidRDefault="001B7551" w:rsidP="001B7551">
      <w:pPr>
        <w:pStyle w:val="NoSpacing"/>
        <w:ind w:left="720"/>
      </w:pPr>
      <w:r>
        <w:t xml:space="preserve">Williams’s point on appeal relating to the law of the case doctrine is denied as her WC Claim is wholly separate and distinct from her LDC Claim such that the </w:t>
      </w:r>
      <w:proofErr w:type="spellStart"/>
      <w:r w:rsidRPr="00286D94">
        <w:t>aw</w:t>
      </w:r>
      <w:proofErr w:type="spellEnd"/>
      <w:r w:rsidRPr="00286D94">
        <w:t xml:space="preserve"> of the case doctrine is not implicated</w:t>
      </w:r>
      <w:r>
        <w:t>.”</w:t>
      </w:r>
    </w:p>
    <w:p w14:paraId="23FF6C1B" w14:textId="77777777" w:rsidR="001B7551" w:rsidRDefault="001B7551" w:rsidP="001B7551">
      <w:pPr>
        <w:pStyle w:val="NoSpacing"/>
        <w:ind w:left="720"/>
      </w:pPr>
    </w:p>
    <w:p w14:paraId="18E30D45" w14:textId="77777777" w:rsidR="001B7551" w:rsidRPr="00286D94" w:rsidRDefault="001B7551" w:rsidP="001B7551">
      <w:pPr>
        <w:pStyle w:val="NoSpacing"/>
        <w:rPr>
          <w:b/>
          <w:bCs/>
        </w:rPr>
      </w:pPr>
      <w:r>
        <w:rPr>
          <w:b/>
        </w:rPr>
        <w:t xml:space="preserve">Legal lesson learned: Unfortunate that the state has two different statutes of limitations for a family of filing for work comp and line of duty death benefits. </w:t>
      </w:r>
    </w:p>
    <w:p w14:paraId="5980D227" w14:textId="77777777" w:rsidR="001B7551" w:rsidRDefault="001B7551" w:rsidP="001B7551">
      <w:pPr>
        <w:pStyle w:val="NoSpacing"/>
      </w:pPr>
    </w:p>
    <w:p w14:paraId="5CE1E527" w14:textId="77777777" w:rsidR="001B7551" w:rsidRDefault="001B7551" w:rsidP="00816870">
      <w:pPr>
        <w:rPr>
          <w:rFonts w:ascii="Arial Black" w:hAnsi="Arial Black"/>
          <w:sz w:val="24"/>
          <w:szCs w:val="24"/>
        </w:rPr>
      </w:pPr>
    </w:p>
    <w:p w14:paraId="4829F8F2" w14:textId="77777777" w:rsidR="001B7551" w:rsidRDefault="001B7551" w:rsidP="00816870">
      <w:pPr>
        <w:rPr>
          <w:rFonts w:ascii="Arial Black" w:hAnsi="Arial Black"/>
          <w:sz w:val="24"/>
          <w:szCs w:val="24"/>
        </w:rPr>
      </w:pPr>
    </w:p>
    <w:p w14:paraId="42958980" w14:textId="2E5CD55E" w:rsidR="00816870" w:rsidRDefault="00816870" w:rsidP="00816870">
      <w:pPr>
        <w:rPr>
          <w:rFonts w:ascii="Arial Black" w:hAnsi="Arial Black"/>
          <w:sz w:val="28"/>
          <w:szCs w:val="28"/>
        </w:rPr>
      </w:pPr>
      <w:r>
        <w:rPr>
          <w:rFonts w:ascii="Arial Black" w:hAnsi="Arial Black"/>
          <w:sz w:val="24"/>
          <w:szCs w:val="24"/>
        </w:rPr>
        <w:t>2-110</w:t>
      </w:r>
    </w:p>
    <w:p w14:paraId="55718CA1" w14:textId="03CF4BA4" w:rsidR="00997F6F" w:rsidRPr="00ED3EF8" w:rsidRDefault="00997F6F" w:rsidP="00997F6F">
      <w:pPr>
        <w:pStyle w:val="NoSpacing"/>
        <w:rPr>
          <w:rFonts w:ascii="Arial Black" w:hAnsi="Arial Black"/>
          <w:sz w:val="28"/>
          <w:szCs w:val="28"/>
        </w:rPr>
      </w:pPr>
      <w:r>
        <w:rPr>
          <w:rFonts w:ascii="Arial Black" w:hAnsi="Arial Black"/>
          <w:sz w:val="28"/>
          <w:szCs w:val="28"/>
        </w:rPr>
        <w:t>IL: CATASTROPHIC INJURY – ADDED BENEFITS REMOVED</w:t>
      </w:r>
    </w:p>
    <w:p w14:paraId="002CEB03" w14:textId="77777777" w:rsidR="00997F6F" w:rsidRDefault="00997F6F" w:rsidP="00997F6F">
      <w:pPr>
        <w:pStyle w:val="NoSpacing"/>
      </w:pPr>
    </w:p>
    <w:p w14:paraId="5640827E" w14:textId="77777777" w:rsidR="00997F6F" w:rsidRDefault="00997F6F" w:rsidP="00997F6F">
      <w:pPr>
        <w:pStyle w:val="NoSpacing"/>
      </w:pPr>
      <w:r>
        <w:t xml:space="preserve">On May 1, 2026, in </w:t>
      </w:r>
      <w:r w:rsidRPr="00B944BC">
        <w:rPr>
          <w:u w:val="single"/>
        </w:rPr>
        <w:t>Benjamin Carter v. Fox Lake Fire Protection District</w:t>
      </w:r>
      <w:r>
        <w:t xml:space="preserve">, the </w:t>
      </w:r>
      <w:r w:rsidRPr="00653FCF">
        <w:t>Court of Appeals of Illinois, Second District</w:t>
      </w:r>
      <w:r>
        <w:t xml:space="preserve"> held (3 to 0) that trial court properly held that while state’s </w:t>
      </w:r>
      <w:r w:rsidRPr="00CA16B0">
        <w:t>Public Safety Employee Benefits Act</w:t>
      </w:r>
      <w:r>
        <w:t xml:space="preserve"> required FD to pay premiums for health insurance for his lifetime, the FD can remove “supplemental benefits” offered to him (and all current firefighters) for past six years - vision, dental, and life insurance, and the HRA benefit [Health Reimbursement Arrangement plan] to help pay the high medical expense deductibles and co-pays under the Blue Cross / Blue Shield.  </w:t>
      </w:r>
      <w:hyperlink r:id="rId385" w:history="1">
        <w:r w:rsidRPr="00EF04F6">
          <w:rPr>
            <w:rStyle w:val="Hyperlink"/>
          </w:rPr>
          <w:t>https://ilcourtsaudio.blob.core.windows.net/antilles-resources/resources/865bbd6b-111a-42c0-93b7-0362e44b14c7/Carter%20v.%20Fox%20Lake%20Fire%20Protection%20District%202026%20IL%20App%20(2d)%20250374.pdf</w:t>
        </w:r>
      </w:hyperlink>
      <w:r>
        <w:t xml:space="preserve"> </w:t>
      </w:r>
    </w:p>
    <w:p w14:paraId="03DB02A8" w14:textId="77777777" w:rsidR="00997F6F" w:rsidRDefault="00997F6F" w:rsidP="00997F6F">
      <w:pPr>
        <w:pStyle w:val="NoSpacing"/>
      </w:pPr>
    </w:p>
    <w:p w14:paraId="04019198" w14:textId="77777777" w:rsidR="00997F6F" w:rsidRDefault="00997F6F" w:rsidP="00997F6F">
      <w:pPr>
        <w:pStyle w:val="NoSpacing"/>
      </w:pPr>
      <w:r>
        <w:t>THE COURT HELD:</w:t>
      </w:r>
    </w:p>
    <w:p w14:paraId="4B3B2E4A" w14:textId="77777777" w:rsidR="00997F6F" w:rsidRDefault="00997F6F" w:rsidP="00997F6F">
      <w:pPr>
        <w:pStyle w:val="NoSpacing"/>
      </w:pPr>
    </w:p>
    <w:p w14:paraId="386B9DF5" w14:textId="77777777" w:rsidR="00997F6F" w:rsidRDefault="00997F6F" w:rsidP="00997F6F">
      <w:pPr>
        <w:pStyle w:val="NoSpacing"/>
        <w:ind w:left="720"/>
      </w:pPr>
      <w:r>
        <w:t>“Carter was a firefighter with the District from March 16, 2012, until August 9, 2017. On</w:t>
      </w:r>
    </w:p>
    <w:p w14:paraId="13978803" w14:textId="77777777" w:rsidR="00997F6F" w:rsidRDefault="00997F6F" w:rsidP="00997F6F">
      <w:pPr>
        <w:pStyle w:val="NoSpacing"/>
        <w:ind w:left="720"/>
      </w:pPr>
      <w:r>
        <w:t xml:space="preserve">October 20, 2014, he suffered a catastrophic injury while responding to a motor vehicle crash. On August 9, 2017, Carter was awarded a duty-related disability pension. Further, under section 10 of </w:t>
      </w:r>
      <w:proofErr w:type="spellStart"/>
      <w:proofErr w:type="gramStart"/>
      <w:r>
        <w:t>he</w:t>
      </w:r>
      <w:proofErr w:type="spellEnd"/>
      <w:proofErr w:type="gramEnd"/>
      <w:r>
        <w:t xml:space="preserve"> Public Safety Employee Benefits Act (Benefits Act) (820 ILCS 320/10 (West 2016)), Carter became entitled to receive certain health insurance benefits for the remainder of his life at no cost.</w:t>
      </w:r>
    </w:p>
    <w:p w14:paraId="3749A3EC" w14:textId="77777777" w:rsidR="00997F6F" w:rsidRDefault="00997F6F" w:rsidP="00997F6F">
      <w:pPr>
        <w:pStyle w:val="NoSpacing"/>
        <w:ind w:left="720"/>
      </w:pPr>
    </w:p>
    <w:p w14:paraId="1F225D7E" w14:textId="77777777" w:rsidR="00997F6F" w:rsidRDefault="00997F6F" w:rsidP="00997F6F">
      <w:pPr>
        <w:pStyle w:val="NoSpacing"/>
        <w:ind w:left="720"/>
      </w:pPr>
      <w:r>
        <w:t xml:space="preserve">Since 2012, the </w:t>
      </w:r>
      <w:proofErr w:type="gramStart"/>
      <w:r>
        <w:t>District</w:t>
      </w:r>
      <w:proofErr w:type="gramEnd"/>
      <w:r>
        <w:t xml:space="preserve"> had provided all its employees with a high-deductible group health insurance plan through Blue Cross/Blue Shield. The </w:t>
      </w:r>
      <w:proofErr w:type="gramStart"/>
      <w:r>
        <w:t>District</w:t>
      </w:r>
      <w:proofErr w:type="gramEnd"/>
      <w:r>
        <w:t xml:space="preserve"> also provided all its active members with a Health Reimbursement Arrangement plan (HRA), through Employment Benefits Corporation (EBC), to help pay the high medical expense deductibles and co-pays under the Blue Cross/Blue Shield plan. The HRA benefit was provided in the form of a debit card funded by the </w:t>
      </w:r>
      <w:proofErr w:type="gramStart"/>
      <w:r>
        <w:t>District</w:t>
      </w:r>
      <w:proofErr w:type="gramEnd"/>
      <w:r>
        <w:t xml:space="preserve"> that employees could use to pay non-covered medical expenses.</w:t>
      </w:r>
    </w:p>
    <w:p w14:paraId="04696C90" w14:textId="77777777" w:rsidR="00997F6F" w:rsidRDefault="00997F6F" w:rsidP="00997F6F">
      <w:pPr>
        <w:pStyle w:val="NoSpacing"/>
        <w:ind w:left="720"/>
      </w:pPr>
    </w:p>
    <w:p w14:paraId="5B769638" w14:textId="77777777" w:rsidR="00997F6F" w:rsidRDefault="00997F6F" w:rsidP="00997F6F">
      <w:pPr>
        <w:pStyle w:val="NoSpacing"/>
        <w:ind w:left="720"/>
      </w:pPr>
      <w:r>
        <w:t>***</w:t>
      </w:r>
    </w:p>
    <w:p w14:paraId="6F6DCE3D" w14:textId="77777777" w:rsidR="00997F6F" w:rsidRDefault="00997F6F" w:rsidP="00997F6F">
      <w:pPr>
        <w:pStyle w:val="NoSpacing"/>
        <w:ind w:left="720"/>
      </w:pPr>
      <w:r>
        <w:t xml:space="preserve">From August 2017 through December 31, 2023, the District continued to provide the same benefits to Carter that it provided to its active employees. That is, the </w:t>
      </w:r>
      <w:proofErr w:type="gramStart"/>
      <w:r>
        <w:t>District</w:t>
      </w:r>
      <w:proofErr w:type="gramEnd"/>
      <w:r>
        <w:t xml:space="preserve"> paid the premium for Carter’s coverage in the Blue Cross/Blue Shield group health insurance plan and provided Carter with the HRA benefit. The </w:t>
      </w:r>
      <w:proofErr w:type="gramStart"/>
      <w:r>
        <w:t>District</w:t>
      </w:r>
      <w:proofErr w:type="gramEnd"/>
      <w:r>
        <w:t xml:space="preserve"> also provided Carter with vision, dental, and life insurance.</w:t>
      </w:r>
    </w:p>
    <w:p w14:paraId="628DE994" w14:textId="77777777" w:rsidR="00997F6F" w:rsidRDefault="00997F6F" w:rsidP="00997F6F">
      <w:pPr>
        <w:pStyle w:val="NoSpacing"/>
        <w:ind w:left="720"/>
      </w:pPr>
    </w:p>
    <w:p w14:paraId="7946B07F" w14:textId="77777777" w:rsidR="00997F6F" w:rsidRDefault="00997F6F" w:rsidP="00997F6F">
      <w:pPr>
        <w:pStyle w:val="NoSpacing"/>
        <w:ind w:left="720"/>
      </w:pPr>
      <w:r>
        <w:t>On September 28, 2023, the District notified Carter that it had determined that he was</w:t>
      </w:r>
    </w:p>
    <w:p w14:paraId="27EE0142" w14:textId="77777777" w:rsidR="00997F6F" w:rsidRDefault="00997F6F" w:rsidP="00997F6F">
      <w:pPr>
        <w:pStyle w:val="NoSpacing"/>
        <w:ind w:left="720"/>
      </w:pPr>
      <w:r>
        <w:t xml:space="preserve">receiving benefits beyond those he was entitled to receive under the Benefits Act. Specifically, the District informed Carter that he was not entitled to receive vision, dental, or life insurance or any HRA benefits. The </w:t>
      </w:r>
      <w:proofErr w:type="gramStart"/>
      <w:r>
        <w:t>District</w:t>
      </w:r>
      <w:proofErr w:type="gramEnd"/>
      <w:r>
        <w:t xml:space="preserve"> indicated that those benefits would cease on January 1, 2024.</w:t>
      </w:r>
    </w:p>
    <w:p w14:paraId="70B30409" w14:textId="77777777" w:rsidR="00997F6F" w:rsidRDefault="00997F6F" w:rsidP="00997F6F">
      <w:pPr>
        <w:pStyle w:val="NoSpacing"/>
        <w:ind w:left="720"/>
      </w:pPr>
    </w:p>
    <w:p w14:paraId="1EAEBCEA" w14:textId="77777777" w:rsidR="00997F6F" w:rsidRDefault="00997F6F" w:rsidP="00997F6F">
      <w:pPr>
        <w:pStyle w:val="NoSpacing"/>
        <w:ind w:left="720"/>
      </w:pPr>
      <w:r>
        <w:t>***</w:t>
      </w:r>
    </w:p>
    <w:p w14:paraId="3092295C" w14:textId="77777777" w:rsidR="00997F6F" w:rsidRDefault="00997F6F" w:rsidP="00997F6F">
      <w:pPr>
        <w:pStyle w:val="NoSpacing"/>
        <w:ind w:left="720"/>
      </w:pPr>
      <w:r>
        <w:t xml:space="preserve">The language of the Benefits Act is clear— the </w:t>
      </w:r>
      <w:proofErr w:type="gramStart"/>
      <w:r>
        <w:t>District</w:t>
      </w:r>
      <w:proofErr w:type="gramEnd"/>
      <w:r>
        <w:t xml:space="preserve"> must continue to provide its injured employees with health insurance coverage by paying the entire premium associated with its health insurance plan…. The Benefits Act also plainly states </w:t>
      </w:r>
      <w:proofErr w:type="gramStart"/>
      <w:r>
        <w:t>that ‘[t]</w:t>
      </w:r>
      <w:proofErr w:type="gramEnd"/>
      <w:r>
        <w:t xml:space="preserve">he term ‘health insurance plan’ does not include supplemental benefits that are not part of the basic group health insurance </w:t>
      </w:r>
      <w:proofErr w:type="gramStart"/>
      <w:r>
        <w:t>plan.’</w:t>
      </w:r>
      <w:proofErr w:type="gramEnd"/>
      <w:r>
        <w:t xml:space="preserve"> … There is no indication in the </w:t>
      </w:r>
      <w:proofErr w:type="gramStart"/>
      <w:r>
        <w:t>District’s</w:t>
      </w:r>
      <w:proofErr w:type="gramEnd"/>
      <w:r>
        <w:t xml:space="preserve"> health insurance plan that HRA benefits are part of this plan. Thus, HRA benefits are supplemental benefits that are not mandated by the Benefits Act.”</w:t>
      </w:r>
    </w:p>
    <w:p w14:paraId="72498BC8" w14:textId="77777777" w:rsidR="00997F6F" w:rsidRDefault="00997F6F" w:rsidP="00997F6F">
      <w:pPr>
        <w:pStyle w:val="NoSpacing"/>
        <w:ind w:left="720"/>
      </w:pPr>
    </w:p>
    <w:p w14:paraId="0A845DF0" w14:textId="77777777" w:rsidR="00997F6F" w:rsidRPr="00C46E56" w:rsidRDefault="00997F6F" w:rsidP="00997F6F">
      <w:pPr>
        <w:rPr>
          <w:b/>
          <w:bCs/>
        </w:rPr>
      </w:pPr>
      <w:r>
        <w:rPr>
          <w:b/>
        </w:rPr>
        <w:t xml:space="preserve">Legal lesson learned:  The statute needs to be amended; hard to understand why the Fire District removed benefits they were proving to an injured firefighter for six years.  </w:t>
      </w:r>
    </w:p>
    <w:p w14:paraId="1314716B" w14:textId="77777777" w:rsidR="00997F6F" w:rsidRDefault="00997F6F" w:rsidP="00997F6F">
      <w:pPr>
        <w:pStyle w:val="NoSpacing"/>
      </w:pPr>
      <w:r>
        <w:tab/>
        <w:t xml:space="preserve">Note: See benefits </w:t>
      </w:r>
    </w:p>
    <w:p w14:paraId="124FD650" w14:textId="77777777" w:rsidR="00997F6F" w:rsidRDefault="00997F6F" w:rsidP="00997F6F">
      <w:pPr>
        <w:pStyle w:val="NoSpacing"/>
      </w:pPr>
    </w:p>
    <w:p w14:paraId="1BDD76A2" w14:textId="77777777" w:rsidR="00997F6F" w:rsidRDefault="00997F6F" w:rsidP="00997F6F">
      <w:pPr>
        <w:pStyle w:val="NoSpacing"/>
        <w:ind w:firstLine="720"/>
      </w:pPr>
      <w:r>
        <w:t xml:space="preserve">Section 10(a) of </w:t>
      </w:r>
      <w:r w:rsidRPr="00CA16B0">
        <w:t>Public Safety Employee Benefits Act</w:t>
      </w:r>
      <w:r>
        <w:t>:</w:t>
      </w:r>
    </w:p>
    <w:p w14:paraId="1A1CE7D7" w14:textId="77777777" w:rsidR="00997F6F" w:rsidRDefault="00997F6F" w:rsidP="00997F6F">
      <w:pPr>
        <w:pStyle w:val="NoSpacing"/>
        <w:ind w:firstLine="720"/>
      </w:pPr>
      <w:r>
        <w:t xml:space="preserve">(a) An employer who employs </w:t>
      </w:r>
      <w:proofErr w:type="gramStart"/>
      <w:r>
        <w:t>a full</w:t>
      </w:r>
      <w:proofErr w:type="gramEnd"/>
      <w:r>
        <w:t>-time law enforcement, correctional or</w:t>
      </w:r>
    </w:p>
    <w:p w14:paraId="61F6E56A" w14:textId="77777777" w:rsidR="00997F6F" w:rsidRDefault="00997F6F" w:rsidP="00997F6F">
      <w:pPr>
        <w:pStyle w:val="NoSpacing"/>
        <w:ind w:firstLine="720"/>
      </w:pPr>
      <w:r>
        <w:t>correctional probation officer, or firefighter, who, on or after the effective date of this Act</w:t>
      </w:r>
    </w:p>
    <w:p w14:paraId="57CC0A31" w14:textId="77777777" w:rsidR="00997F6F" w:rsidRDefault="00997F6F" w:rsidP="00997F6F">
      <w:pPr>
        <w:pStyle w:val="NoSpacing"/>
        <w:ind w:firstLine="720"/>
      </w:pPr>
      <w:r>
        <w:t>suffers a catastrophic injury or is killed in the line of duty shall pay the entire premium of</w:t>
      </w:r>
    </w:p>
    <w:p w14:paraId="49AFEF37" w14:textId="77777777" w:rsidR="00997F6F" w:rsidRDefault="00997F6F" w:rsidP="00997F6F">
      <w:pPr>
        <w:pStyle w:val="NoSpacing"/>
        <w:ind w:firstLine="720"/>
      </w:pPr>
      <w:r>
        <w:t>the employer’s health insurance plan for the injured employee, the injured employee’s</w:t>
      </w:r>
    </w:p>
    <w:p w14:paraId="7D78DCA8" w14:textId="77777777" w:rsidR="00997F6F" w:rsidRDefault="00997F6F" w:rsidP="00997F6F">
      <w:pPr>
        <w:pStyle w:val="NoSpacing"/>
        <w:ind w:firstLine="720"/>
      </w:pPr>
      <w:r>
        <w:t>spouse, and for each dependent child of the injured employee until the child reaches the</w:t>
      </w:r>
    </w:p>
    <w:p w14:paraId="20B60468" w14:textId="77777777" w:rsidR="00997F6F" w:rsidRDefault="00997F6F" w:rsidP="00997F6F">
      <w:pPr>
        <w:pStyle w:val="NoSpacing"/>
        <w:ind w:firstLine="720"/>
      </w:pPr>
      <w:r>
        <w:t>age of majority or until the end of the calendar year in which the child reaches the age of</w:t>
      </w:r>
    </w:p>
    <w:p w14:paraId="01D3C880" w14:textId="77777777" w:rsidR="00997F6F" w:rsidRDefault="00997F6F" w:rsidP="00997F6F">
      <w:pPr>
        <w:pStyle w:val="NoSpacing"/>
        <w:ind w:left="720"/>
      </w:pPr>
      <w:r>
        <w:t xml:space="preserve">25 if the child continues to be dependent </w:t>
      </w:r>
      <w:proofErr w:type="gramStart"/>
      <w:r>
        <w:t>for</w:t>
      </w:r>
      <w:proofErr w:type="gramEnd"/>
      <w:r>
        <w:t xml:space="preserve"> support or the child is a full-time or part-time student and is dependent </w:t>
      </w:r>
      <w:proofErr w:type="gramStart"/>
      <w:r>
        <w:t>for</w:t>
      </w:r>
      <w:proofErr w:type="gramEnd"/>
      <w:r>
        <w:t xml:space="preserve"> support. The term “health insurance plan” does not include supplemental benefits that are not part of the basic group health insurance plan. If the injured employee subsequently dies, the employer shall continue to pay the entire health insurance premium for the surviving spouse until remarried and for the dependent children under the conditions established in this Section. (Emphases added.) 820 ILCS </w:t>
      </w:r>
      <w:r w:rsidRPr="008F024B">
        <w:t>320/10(a) (West 2016).</w:t>
      </w:r>
    </w:p>
    <w:p w14:paraId="34BF8B40" w14:textId="77777777" w:rsidR="00997F6F" w:rsidRDefault="00997F6F" w:rsidP="00997F6F">
      <w:pPr>
        <w:pStyle w:val="NoSpacing"/>
      </w:pPr>
    </w:p>
    <w:p w14:paraId="1E845C54" w14:textId="77777777" w:rsidR="00816870" w:rsidRDefault="00816870" w:rsidP="00816870">
      <w:pPr>
        <w:rPr>
          <w:rFonts w:ascii="Arial Black" w:hAnsi="Arial Black"/>
          <w:sz w:val="24"/>
          <w:szCs w:val="24"/>
        </w:rPr>
      </w:pPr>
    </w:p>
    <w:p w14:paraId="4401F132" w14:textId="78C451D5" w:rsidR="00816870" w:rsidRDefault="00816870" w:rsidP="00816870">
      <w:pPr>
        <w:rPr>
          <w:rFonts w:ascii="Arial Black" w:hAnsi="Arial Black"/>
          <w:sz w:val="24"/>
          <w:szCs w:val="24"/>
        </w:rPr>
      </w:pPr>
      <w:r>
        <w:rPr>
          <w:rFonts w:ascii="Arial Black" w:hAnsi="Arial Black"/>
          <w:sz w:val="24"/>
          <w:szCs w:val="24"/>
        </w:rPr>
        <w:t>2-109</w:t>
      </w:r>
    </w:p>
    <w:p w14:paraId="24261033" w14:textId="77777777" w:rsidR="006801BF" w:rsidRPr="00395AD6" w:rsidRDefault="006801BF" w:rsidP="006801BF">
      <w:pPr>
        <w:pStyle w:val="NoSpacing"/>
        <w:rPr>
          <w:rFonts w:ascii="Arial Black" w:hAnsi="Arial Black"/>
          <w:bCs/>
          <w:sz w:val="28"/>
          <w:szCs w:val="28"/>
        </w:rPr>
      </w:pPr>
      <w:r>
        <w:rPr>
          <w:rFonts w:ascii="Arial Black" w:hAnsi="Arial Black"/>
          <w:sz w:val="28"/>
          <w:szCs w:val="28"/>
        </w:rPr>
        <w:t>NY: LODD – NUSING HOME – PRIOR INSPECTIONS RPTS</w:t>
      </w:r>
    </w:p>
    <w:p w14:paraId="63483D6F" w14:textId="77777777" w:rsidR="006801BF" w:rsidRDefault="006801BF" w:rsidP="006801BF">
      <w:pPr>
        <w:pStyle w:val="NoSpacing"/>
        <w:rPr>
          <w:bCs/>
        </w:rPr>
      </w:pPr>
    </w:p>
    <w:p w14:paraId="6569B20D" w14:textId="77777777" w:rsidR="006801BF" w:rsidRDefault="006801BF" w:rsidP="006801BF">
      <w:pPr>
        <w:pStyle w:val="NoSpacing"/>
      </w:pPr>
      <w:r>
        <w:t xml:space="preserve">On April 22, 2026, in </w:t>
      </w:r>
      <w:proofErr w:type="spellStart"/>
      <w:r w:rsidRPr="00CB7B90">
        <w:rPr>
          <w:u w:val="single"/>
        </w:rPr>
        <w:t>Sabrail</w:t>
      </w:r>
      <w:proofErr w:type="spellEnd"/>
      <w:r w:rsidRPr="00CB7B90">
        <w:rPr>
          <w:u w:val="single"/>
        </w:rPr>
        <w:t xml:space="preserve"> Davenport, as Administrator of the Estate of Jared Calvin Lloyd v. Evergreen Court Home for Adults SP LLC, et al</w:t>
      </w:r>
      <w:r w:rsidRPr="002943E4">
        <w:t xml:space="preserve">., </w:t>
      </w:r>
      <w:r>
        <w:t xml:space="preserve">Judge </w:t>
      </w:r>
      <w:r w:rsidRPr="00220073">
        <w:t>John P. Collins, Jr.</w:t>
      </w:r>
      <w:r>
        <w:t xml:space="preserve">, </w:t>
      </w:r>
      <w:r w:rsidRPr="00AD4E97">
        <w:t>Supreme Court, Rockland County</w:t>
      </w:r>
      <w:r>
        <w:t xml:space="preserve">, quashed subpoenas by the firefighters’ family that seek a Wisconsin based  commercial insurance company’s post-fire claims files which include privileged information, but may issue a “narrowly tailed subpoena” concerning pre-loss inspection reports by the insurance company.  </w:t>
      </w:r>
      <w:r w:rsidRPr="00DB3494">
        <w:t> </w:t>
      </w:r>
      <w:r>
        <w:t>“</w:t>
      </w:r>
      <w:r w:rsidRPr="00DB3494">
        <w:t>A liability insurer's claim file, created in connection with its defense of third-party claims against its insured, is conditionally immune from disclosure as material prepared in anticipation of litigation.</w:t>
      </w:r>
      <w:r>
        <w:t xml:space="preserve">” Firefighter Jared Calvin Lloyd was killed on March 23, </w:t>
      </w:r>
      <w:proofErr w:type="gramStart"/>
      <w:r>
        <w:t>2021</w:t>
      </w:r>
      <w:proofErr w:type="gramEnd"/>
      <w:r>
        <w:t xml:space="preserve"> structure fire at </w:t>
      </w:r>
      <w:r w:rsidRPr="001C5294">
        <w:t>Evergreen Home for Adults</w:t>
      </w:r>
      <w:r>
        <w:t xml:space="preserve"> when a rabbi and his son used a blowtorch for a </w:t>
      </w:r>
      <w:r w:rsidRPr="00B62261">
        <w:t>pre-Passover cleaning process</w:t>
      </w:r>
      <w:r>
        <w:t xml:space="preserve">. </w:t>
      </w:r>
      <w:hyperlink r:id="rId386" w:history="1">
        <w:r w:rsidRPr="00ED3F08">
          <w:rPr>
            <w:rStyle w:val="Hyperlink"/>
          </w:rPr>
          <w:t>https://public.fastcase.com/Jhe1Qn%2BmJndQYQU6z%2FeNm1Wc0BhwXqbgUcnfM0G%2F8LGBWKhbC8yUkIyVwLGd8HWj?utm_medium=email&amp;_hsenc=p2ANqtz-85mlG7bjjwBnXQBs8DYGyySvCPBDEvbYyrF7EMhR5VCH2hTuoCLWnOKD3mejXOTkKYawSsNFXD_QLidauQN_0-kPfmHA&amp;_hsmi=226712652&amp;utm_content=226712652&amp;utm_source=hs_email</w:t>
        </w:r>
      </w:hyperlink>
      <w:r>
        <w:t xml:space="preserve"> </w:t>
      </w:r>
    </w:p>
    <w:p w14:paraId="22E077B0" w14:textId="77777777" w:rsidR="006801BF" w:rsidRDefault="006801BF" w:rsidP="006801BF">
      <w:pPr>
        <w:pStyle w:val="NoSpacing"/>
      </w:pPr>
    </w:p>
    <w:p w14:paraId="185C620C" w14:textId="77777777" w:rsidR="006801BF" w:rsidRDefault="006801BF" w:rsidP="006801BF">
      <w:pPr>
        <w:pStyle w:val="NoSpacing"/>
        <w:rPr>
          <w:bCs/>
        </w:rPr>
      </w:pPr>
      <w:r>
        <w:t xml:space="preserve">THE COURT HELD: </w:t>
      </w:r>
    </w:p>
    <w:p w14:paraId="2B2A284C" w14:textId="77777777" w:rsidR="006801BF" w:rsidRDefault="006801BF" w:rsidP="006801BF">
      <w:pPr>
        <w:pStyle w:val="NoSpacing"/>
        <w:rPr>
          <w:bCs/>
        </w:rPr>
      </w:pPr>
    </w:p>
    <w:p w14:paraId="0B58BF75" w14:textId="77777777" w:rsidR="006801BF" w:rsidRDefault="006801BF" w:rsidP="006801BF">
      <w:pPr>
        <w:pStyle w:val="NoSpacing"/>
        <w:ind w:left="720"/>
      </w:pPr>
      <w:r>
        <w:t xml:space="preserve">“[The Court held that family may now issue] “narrowly tailored subpoena … </w:t>
      </w:r>
      <w:r w:rsidRPr="00D83B5B">
        <w:t>seeking specifically: (</w:t>
      </w:r>
      <w:proofErr w:type="spellStart"/>
      <w:r w:rsidRPr="00D83B5B">
        <w:t>i</w:t>
      </w:r>
      <w:proofErr w:type="spellEnd"/>
      <w:r w:rsidRPr="00D83B5B">
        <w:t xml:space="preserve">) any pre-loss inspection reports, hazard assessment reports or written communications between Church Mutual </w:t>
      </w:r>
      <w:r>
        <w:t xml:space="preserve">[insurance company] </w:t>
      </w:r>
      <w:r w:rsidRPr="00D83B5B">
        <w:t>and the insured concerning the physical condition of the premises at 65 Lafayette Street, Spring Valley, New York, generated in connection with the underwriting or renewal of any policy covering those premises; and (ii) any written requirements or recommendations made by Church Mutual to the insured concerning fire safety, building conditions or hazard remediation at the premises.</w:t>
      </w:r>
    </w:p>
    <w:p w14:paraId="66B5A8CB" w14:textId="77777777" w:rsidR="006801BF" w:rsidRDefault="006801BF" w:rsidP="006801BF">
      <w:pPr>
        <w:pStyle w:val="NoSpacing"/>
        <w:ind w:left="720"/>
      </w:pPr>
    </w:p>
    <w:p w14:paraId="621963E9" w14:textId="77777777" w:rsidR="006801BF" w:rsidRDefault="006801BF" w:rsidP="006801BF">
      <w:pPr>
        <w:pStyle w:val="NoSpacing"/>
        <w:ind w:left="720"/>
      </w:pPr>
      <w:r>
        <w:t>***</w:t>
      </w:r>
    </w:p>
    <w:p w14:paraId="031ADEA1" w14:textId="77777777" w:rsidR="006801BF" w:rsidRDefault="006801BF" w:rsidP="006801BF">
      <w:pPr>
        <w:pStyle w:val="NoSpacing"/>
        <w:ind w:left="720"/>
      </w:pPr>
    </w:p>
    <w:p w14:paraId="38DB7911" w14:textId="77777777" w:rsidR="006801BF" w:rsidRDefault="006801BF" w:rsidP="006801BF">
      <w:pPr>
        <w:pStyle w:val="NoSpacing"/>
        <w:ind w:left="720"/>
      </w:pPr>
      <w:r w:rsidRPr="001C5294">
        <w:t>This is a wrongful death and conscious pain and suffering action arising from a catastrophic fire on March 22-23, 2021, at the Evergreen Court Home for Adults, located at 65 Lafayette Street, Village of Spring Valley, Rockland County. Plaintiff decedent, Jared Calvin Lloyd, was a volunteer firefighter with the Spring Valley Fire Department who was killed when he became trapped inside the burning building, which ultimately collapsed. A resident of Evergreen Home for Adults, Oliver Hueston, also perished in the fire. The premises were owned by defendant SPJJ LLC and operated by defendant Evergreen Court Home for Adults SP LLC. Church Mutual Insurance Company, S.I</w:t>
      </w:r>
      <w:proofErr w:type="gramStart"/>
      <w:r w:rsidRPr="001C5294">
        <w:t>. (</w:t>
      </w:r>
      <w:r>
        <w:t>‘</w:t>
      </w:r>
      <w:proofErr w:type="gramEnd"/>
      <w:r w:rsidRPr="001C5294">
        <w:t>Church Mutual</w:t>
      </w:r>
      <w:r>
        <w:t>’</w:t>
      </w:r>
      <w:r w:rsidRPr="001C5294">
        <w:t>) is a Wisconsin-based commercial insurer that issued liability and property insurance policies to the facility.</w:t>
      </w:r>
    </w:p>
    <w:p w14:paraId="56C04BF5" w14:textId="77777777" w:rsidR="006801BF" w:rsidRDefault="006801BF" w:rsidP="006801BF">
      <w:pPr>
        <w:pStyle w:val="NoSpacing"/>
      </w:pPr>
    </w:p>
    <w:p w14:paraId="2A2ECB20" w14:textId="77777777" w:rsidR="006801BF" w:rsidRDefault="006801BF" w:rsidP="006801BF">
      <w:pPr>
        <w:pStyle w:val="NoSpacing"/>
        <w:ind w:left="720"/>
      </w:pPr>
      <w:r w:rsidRPr="00BA6DCB">
        <w:t>The fire prompted investigations by at least five governmental agencies, including the New York State Department of Public Service (</w:t>
      </w:r>
      <w:r>
        <w:t>‘</w:t>
      </w:r>
      <w:r w:rsidRPr="00BA6DCB">
        <w:t>DPS</w:t>
      </w:r>
      <w:r>
        <w:t>’</w:t>
      </w:r>
      <w:r w:rsidRPr="00BA6DCB">
        <w:t>), the New York State Office of Fire Prevention and Control (</w:t>
      </w:r>
      <w:r>
        <w:t>‘</w:t>
      </w:r>
      <w:r w:rsidRPr="00BA6DCB">
        <w:t>OFPC</w:t>
      </w:r>
      <w:r>
        <w:t>’</w:t>
      </w:r>
      <w:r w:rsidRPr="00BA6DCB">
        <w:t>), the Rockland County Sheriff's Office, the Spring Valley Police Department, and the United States Bureau of Alcohol, Tobacco, Firearms and Explosives (</w:t>
      </w:r>
      <w:r>
        <w:t>‘</w:t>
      </w:r>
      <w:r w:rsidRPr="00BA6DCB">
        <w:t>ATF</w:t>
      </w:r>
      <w:r>
        <w:t>’</w:t>
      </w:r>
      <w:r w:rsidRPr="00BA6DCB">
        <w:t>). Criminal charges were brought against certain defendants and ultimately resolved by plea agreement.</w:t>
      </w:r>
    </w:p>
    <w:p w14:paraId="60334B49" w14:textId="77777777" w:rsidR="006801BF" w:rsidRDefault="006801BF" w:rsidP="006801BF">
      <w:pPr>
        <w:pStyle w:val="NoSpacing"/>
        <w:ind w:left="720"/>
      </w:pPr>
    </w:p>
    <w:p w14:paraId="2ADC265B" w14:textId="77777777" w:rsidR="006801BF" w:rsidRDefault="006801BF" w:rsidP="006801BF">
      <w:pPr>
        <w:pStyle w:val="NoSpacing"/>
        <w:ind w:left="720"/>
      </w:pPr>
      <w:r>
        <w:t>***</w:t>
      </w:r>
    </w:p>
    <w:p w14:paraId="5AB84E0B" w14:textId="77777777" w:rsidR="006801BF" w:rsidRDefault="006801BF" w:rsidP="006801BF">
      <w:pPr>
        <w:pStyle w:val="NoSpacing"/>
        <w:ind w:left="720"/>
      </w:pPr>
    </w:p>
    <w:p w14:paraId="6B96E5CB" w14:textId="77777777" w:rsidR="006801BF" w:rsidRDefault="006801BF" w:rsidP="006801BF">
      <w:pPr>
        <w:pStyle w:val="NoSpacing"/>
        <w:ind w:left="720"/>
      </w:pPr>
      <w:r w:rsidRPr="00E635C4">
        <w:t>Defense counsel documented that, in 3.7 hours of standard internet research, he was able to locate and download the complete 117-page DPS report, the 12-page OFPC report (originally submitted to the District Attorney with a non-disclosure request), and a 202-page criminal omnibus motion containing color photographs, a detailed kitchen blueprint, the complete 44 Control call detail report and a 19-page expert fire analysis report prepared by John Lentini of Scientific Fire Analysis, LLC. Five governmental agencies participated in the on-site investigation; the identities of whose investigators are specifically named in the record. With all criminal proceedings resolved, FOIL requests will yield the complete investigative record compiled by public agencies with unlimited access to the scene. Plaintiff has not rebutted this showing in any meaningful way.</w:t>
      </w:r>
      <w:r>
        <w:t>”</w:t>
      </w:r>
    </w:p>
    <w:p w14:paraId="16FA88DF" w14:textId="77777777" w:rsidR="006801BF" w:rsidRDefault="006801BF" w:rsidP="006801BF">
      <w:pPr>
        <w:pStyle w:val="NoSpacing"/>
        <w:ind w:left="720"/>
      </w:pPr>
    </w:p>
    <w:p w14:paraId="24618AAF" w14:textId="77777777" w:rsidR="006801BF" w:rsidRPr="00E635C4" w:rsidRDefault="006801BF" w:rsidP="006801BF">
      <w:pPr>
        <w:pStyle w:val="NoSpacing"/>
        <w:rPr>
          <w:b/>
          <w:bCs/>
        </w:rPr>
      </w:pPr>
      <w:r>
        <w:rPr>
          <w:b/>
        </w:rPr>
        <w:t xml:space="preserve">Legal lesson learned: Pre-trial discovery may include prior inspection reports about the building. </w:t>
      </w:r>
    </w:p>
    <w:p w14:paraId="4D1233D7" w14:textId="77777777" w:rsidR="006801BF" w:rsidRDefault="006801BF" w:rsidP="006801BF">
      <w:pPr>
        <w:pStyle w:val="NoSpacing"/>
        <w:rPr>
          <w:bCs/>
        </w:rPr>
      </w:pPr>
    </w:p>
    <w:p w14:paraId="4E5B97E5" w14:textId="77777777" w:rsidR="006801BF" w:rsidRDefault="006801BF" w:rsidP="006801BF">
      <w:pPr>
        <w:pStyle w:val="NoSpacing"/>
        <w:ind w:left="720"/>
        <w:rPr>
          <w:bCs/>
        </w:rPr>
      </w:pPr>
      <w:r>
        <w:t xml:space="preserve">Note: See TV report, five years after the fire. </w:t>
      </w:r>
      <w:hyperlink r:id="rId387" w:history="1">
        <w:r w:rsidRPr="00ED3F08">
          <w:rPr>
            <w:rStyle w:val="Hyperlink"/>
          </w:rPr>
          <w:t>https://www.newsbreak.com/news-12-2283883/4553774051867-today-is-the-fifth-anniversary-of-a-rockland-county-fire-that-killed-two-including-a-local-firefighter</w:t>
        </w:r>
      </w:hyperlink>
      <w:r>
        <w:t xml:space="preserve"> </w:t>
      </w:r>
    </w:p>
    <w:p w14:paraId="2ADF0F66" w14:textId="77777777" w:rsidR="006801BF" w:rsidRDefault="006801BF" w:rsidP="006801BF">
      <w:pPr>
        <w:pStyle w:val="NoSpacing"/>
        <w:ind w:left="720"/>
        <w:rPr>
          <w:bCs/>
        </w:rPr>
      </w:pPr>
    </w:p>
    <w:p w14:paraId="4A5E8269" w14:textId="77777777" w:rsidR="006801BF" w:rsidRPr="00004B01" w:rsidRDefault="006801BF" w:rsidP="006801BF">
      <w:pPr>
        <w:pStyle w:val="NoSpacing"/>
        <w:ind w:left="720"/>
        <w:rPr>
          <w:bCs/>
        </w:rPr>
      </w:pPr>
      <w:r>
        <w:t xml:space="preserve">July 1, 2021: </w:t>
      </w:r>
      <w:r w:rsidRPr="00004B01">
        <w:t xml:space="preserve">Massive blaze in adult care home which killed a resident and a firefighter 'was caused by rabbi and his son who used a BLOWTORCH in pre-Passover kitchen cleaning ritual.  </w:t>
      </w:r>
      <w:hyperlink r:id="rId388" w:history="1">
        <w:r w:rsidRPr="00004B01">
          <w:rPr>
            <w:rStyle w:val="Hyperlink"/>
          </w:rPr>
          <w:t>https://www.dailymail.com/news/article-9746389/Fatal-assisted-living-fire-linked-cleaning-ritual.html</w:t>
        </w:r>
      </w:hyperlink>
      <w:r w:rsidRPr="00004B01">
        <w:t xml:space="preserve"> </w:t>
      </w:r>
    </w:p>
    <w:p w14:paraId="26BDE57D" w14:textId="77777777" w:rsidR="006801BF" w:rsidRDefault="006801BF" w:rsidP="006801BF">
      <w:pPr>
        <w:pStyle w:val="NoSpacing"/>
        <w:ind w:left="720"/>
        <w:rPr>
          <w:bCs/>
        </w:rPr>
      </w:pPr>
    </w:p>
    <w:p w14:paraId="5E19C31A" w14:textId="77777777" w:rsidR="006801BF" w:rsidRPr="0033656E" w:rsidRDefault="006801BF" w:rsidP="006801BF">
      <w:pPr>
        <w:pStyle w:val="NoSpacing"/>
        <w:ind w:left="720"/>
        <w:rPr>
          <w:bCs/>
        </w:rPr>
      </w:pPr>
      <w:r w:rsidRPr="0033656E">
        <w:t xml:space="preserve">National Fallen Firefighters Foundation - Roll of Honor: </w:t>
      </w:r>
      <w:hyperlink r:id="rId389" w:history="1">
        <w:r w:rsidRPr="0033656E">
          <w:rPr>
            <w:rStyle w:val="Hyperlink"/>
          </w:rPr>
          <w:t>https://www.firehero.org/fallen-firefighter/jared-c-lloyd/</w:t>
        </w:r>
      </w:hyperlink>
      <w:r w:rsidRPr="0033656E">
        <w:t xml:space="preserve"> </w:t>
      </w:r>
    </w:p>
    <w:p w14:paraId="1D5E9C5B" w14:textId="77777777" w:rsidR="006801BF" w:rsidRDefault="006801BF" w:rsidP="006801BF">
      <w:pPr>
        <w:pStyle w:val="NoSpacing"/>
        <w:ind w:left="720"/>
        <w:rPr>
          <w:bCs/>
        </w:rPr>
      </w:pPr>
    </w:p>
    <w:p w14:paraId="16AA91FE" w14:textId="75629BB2" w:rsidR="00816870" w:rsidRDefault="00816870" w:rsidP="00816870">
      <w:pPr>
        <w:rPr>
          <w:rFonts w:ascii="Arial Black" w:hAnsi="Arial Black"/>
          <w:sz w:val="24"/>
          <w:szCs w:val="24"/>
        </w:rPr>
      </w:pPr>
      <w:r>
        <w:rPr>
          <w:rFonts w:ascii="Arial Black" w:hAnsi="Arial Black"/>
          <w:sz w:val="24"/>
          <w:szCs w:val="24"/>
        </w:rPr>
        <w:t>2-108</w:t>
      </w:r>
    </w:p>
    <w:p w14:paraId="3380FEDC" w14:textId="77777777" w:rsidR="00785DBA" w:rsidRDefault="00785DBA" w:rsidP="00785DBA">
      <w:pPr>
        <w:pStyle w:val="NoSpacing"/>
        <w:rPr>
          <w:rFonts w:ascii="Arial Black" w:hAnsi="Arial Black"/>
          <w:sz w:val="28"/>
          <w:szCs w:val="28"/>
        </w:rPr>
      </w:pPr>
      <w:r>
        <w:rPr>
          <w:rFonts w:ascii="Arial Black" w:hAnsi="Arial Black"/>
          <w:sz w:val="28"/>
          <w:szCs w:val="28"/>
        </w:rPr>
        <w:t>MO: THYROID CANCER / TURNOUT GEAR – STATE COURT</w:t>
      </w:r>
    </w:p>
    <w:p w14:paraId="76BDFE82" w14:textId="77777777" w:rsidR="00785DBA" w:rsidRDefault="00785DBA" w:rsidP="00785DBA">
      <w:pPr>
        <w:pStyle w:val="NoSpacing"/>
        <w:rPr>
          <w:rFonts w:ascii="Arial Black" w:hAnsi="Arial Black"/>
          <w:sz w:val="28"/>
          <w:szCs w:val="28"/>
        </w:rPr>
      </w:pPr>
    </w:p>
    <w:p w14:paraId="71D9C818" w14:textId="77777777" w:rsidR="00785DBA" w:rsidRDefault="00785DBA" w:rsidP="00785DBA">
      <w:pPr>
        <w:pStyle w:val="NoSpacing"/>
      </w:pPr>
      <w:r>
        <w:t xml:space="preserve">On April 7, 2026, in </w:t>
      </w:r>
      <w:r w:rsidRPr="00CF1C54">
        <w:rPr>
          <w:u w:val="single"/>
        </w:rPr>
        <w:t>Jason Crady and Nicole Crady v. 3M Company</w:t>
      </w:r>
      <w:r>
        <w:t xml:space="preserve">, U.S. District Court Judge John A Ross, United States District Court for Eastern District of Missouri, Eastern Division, granted the firefighter’s motion to return the case to state court. The plaintiff has been a firefighter since </w:t>
      </w:r>
      <w:r w:rsidRPr="00C94CAF">
        <w:t>2005</w:t>
      </w:r>
      <w:r>
        <w:t xml:space="preserve">, and in </w:t>
      </w:r>
      <w:r w:rsidRPr="00C94CAF">
        <w:t>March 2024, Crady was diagnosed with thyroid cancer.</w:t>
      </w:r>
      <w:r>
        <w:t xml:space="preserve">  He and his wife filed suit against 3M in state court, claiming his turn out gear caused his cancer (not  exposure to AFFF foam).  3M removed case to federal court so it could assert the “federal contractor defense” – that </w:t>
      </w:r>
      <w:r w:rsidRPr="00DB077F">
        <w:t>3M manufactured and sold to the U.S. military in accordance with the military's specifications (</w:t>
      </w:r>
      <w:r>
        <w:t>“</w:t>
      </w:r>
      <w:proofErr w:type="spellStart"/>
      <w:r w:rsidRPr="00DB077F">
        <w:t>MilSpec</w:t>
      </w:r>
      <w:proofErr w:type="spellEnd"/>
      <w:r w:rsidRPr="00DB077F">
        <w:t xml:space="preserve"> AFFF</w:t>
      </w:r>
      <w:r>
        <w:t>”).  The firefighter’s attorneys, to avoid that defense, wisely only sued 3M regarding turn out exposure, not AFFF foam exposure. The plaintiff’s deposition was taken in the federal case showing very limited exposure to foam:</w:t>
      </w:r>
    </w:p>
    <w:p w14:paraId="4ADE3F1F" w14:textId="77777777" w:rsidR="00785DBA" w:rsidRDefault="00785DBA" w:rsidP="00785DBA">
      <w:pPr>
        <w:pStyle w:val="NoSpacing"/>
      </w:pPr>
    </w:p>
    <w:p w14:paraId="4B287296" w14:textId="77777777" w:rsidR="00785DBA" w:rsidRDefault="00785DBA" w:rsidP="00785DBA">
      <w:pPr>
        <w:ind w:left="720"/>
      </w:pPr>
      <w:r>
        <w:t>“</w:t>
      </w:r>
      <w:r w:rsidRPr="00310C62">
        <w:t>Crady testified that in one instance during firefighting training, he was in a group that handled a hose used to discharge foam</w:t>
      </w:r>
      <w:r>
        <w:t xml:space="preserve">…. </w:t>
      </w:r>
      <w:r w:rsidRPr="00310C62">
        <w:t xml:space="preserve">He </w:t>
      </w:r>
      <w:r>
        <w:t>‘</w:t>
      </w:r>
      <w:r w:rsidRPr="00310C62">
        <w:t>was probably the fourth person on the hose</w:t>
      </w:r>
      <w:r>
        <w:t>’</w:t>
      </w:r>
      <w:r w:rsidRPr="00310C62">
        <w:t xml:space="preserve"> and approximately ten to twenty feet from the nozzle</w:t>
      </w:r>
      <w:r>
        <w:t xml:space="preserve">…. </w:t>
      </w:r>
      <w:r w:rsidRPr="00310C62">
        <w:t>He did not mix, load, wade in, or touch the foam during that training</w:t>
      </w:r>
      <w:r>
        <w:t xml:space="preserve">…. </w:t>
      </w:r>
      <w:r w:rsidRPr="00310C62">
        <w:t>At another training session, Crady learned how to load foam into a truck, but he did not personally load any foam or open any foam container</w:t>
      </w:r>
      <w:r>
        <w:t xml:space="preserve">…. </w:t>
      </w:r>
      <w:r w:rsidRPr="00310C62">
        <w:t>He confirmed that he never loaded foam himself</w:t>
      </w:r>
      <w:r>
        <w:t xml:space="preserve">…. </w:t>
      </w:r>
      <w:r w:rsidRPr="00310C62">
        <w:t xml:space="preserve"> Crady testified that he did not believe he had ever been exposed to foam</w:t>
      </w:r>
      <w:r>
        <w:t xml:space="preserve">…. </w:t>
      </w:r>
      <w:r w:rsidRPr="00310C62">
        <w:t xml:space="preserve">Plaintiffs state that Crady testified </w:t>
      </w:r>
      <w:r>
        <w:t>‘</w:t>
      </w:r>
      <w:r w:rsidRPr="00310C62">
        <w:t>no less than ten times he was not exposed to foam, and he didn't train anyone on the use of foam.</w:t>
      </w:r>
      <w:r>
        <w:t xml:space="preserve">’ </w:t>
      </w:r>
    </w:p>
    <w:p w14:paraId="69C0B4AA" w14:textId="77777777" w:rsidR="00785DBA" w:rsidRDefault="00785DBA" w:rsidP="00785DBA">
      <w:r>
        <w:t xml:space="preserve">The case is now returned to state court for pre-trial discovery. </w:t>
      </w:r>
      <w:hyperlink r:id="rId390" w:history="1">
        <w:r w:rsidRPr="00BB6E17">
          <w:rPr>
            <w:rStyle w:val="Hyperlink"/>
          </w:rPr>
          <w:t>https://public.fastcase.com/Jhe1Qn%2BmJndQYQU6z%2FeNm2HEaeCCWkcBCeUCujqGNVlbyw33GV3OIPoGmz91llGj?utm_medium=email&amp;_hsenc=p2ANqtz--_2koWPJH8aNw9hArqKJahBiDeDbHde9hJY14uLqxi48R0NPU4q8g0_WpBiId9hecTh5LabDNFfk8DSpNZX48Jer-K6w&amp;_hsmi=226712652&amp;utm_content=226712652&amp;utm_source=hs_email</w:t>
        </w:r>
      </w:hyperlink>
      <w:r>
        <w:t xml:space="preserve"> </w:t>
      </w:r>
    </w:p>
    <w:p w14:paraId="20DFC53C" w14:textId="77777777" w:rsidR="00785DBA" w:rsidRDefault="00785DBA" w:rsidP="00785DBA">
      <w:pPr>
        <w:pStyle w:val="NoSpacing"/>
      </w:pPr>
    </w:p>
    <w:p w14:paraId="439E62B7" w14:textId="77777777" w:rsidR="00785DBA" w:rsidRDefault="00785DBA" w:rsidP="00785DBA">
      <w:pPr>
        <w:pStyle w:val="NoSpacing"/>
      </w:pPr>
      <w:r>
        <w:t xml:space="preserve">THE COURT HELD: </w:t>
      </w:r>
    </w:p>
    <w:p w14:paraId="2E3DF11B" w14:textId="77777777" w:rsidR="00785DBA" w:rsidRDefault="00785DBA" w:rsidP="00785DBA">
      <w:pPr>
        <w:pStyle w:val="NoSpacing"/>
      </w:pPr>
    </w:p>
    <w:p w14:paraId="19575E7F" w14:textId="77777777" w:rsidR="00785DBA" w:rsidRDefault="00785DBA" w:rsidP="00785DBA">
      <w:pPr>
        <w:pStyle w:val="NoSpacing"/>
        <w:ind w:left="720"/>
      </w:pPr>
      <w:r>
        <w:t>“</w:t>
      </w:r>
      <w:r w:rsidRPr="00CF1490">
        <w:t xml:space="preserve">Based on the insufficiency of the facts in this </w:t>
      </w:r>
      <w:proofErr w:type="gramStart"/>
      <w:r w:rsidRPr="00CF1490">
        <w:t>particular case</w:t>
      </w:r>
      <w:proofErr w:type="gramEnd"/>
      <w:r w:rsidRPr="00CF1490">
        <w:t>, the Court finds that 3M has failed to establish a colorable federal defense</w:t>
      </w:r>
      <w:r>
        <w:t xml:space="preserve">….  </w:t>
      </w:r>
    </w:p>
    <w:p w14:paraId="47D0DEC4" w14:textId="77777777" w:rsidR="00785DBA" w:rsidRDefault="00785DBA" w:rsidP="00785DBA">
      <w:pPr>
        <w:pStyle w:val="NoSpacing"/>
      </w:pPr>
    </w:p>
    <w:p w14:paraId="32FEDA9F" w14:textId="77777777" w:rsidR="00785DBA" w:rsidRDefault="00785DBA" w:rsidP="00785DBA">
      <w:pPr>
        <w:pStyle w:val="NoSpacing"/>
        <w:ind w:left="720"/>
      </w:pPr>
      <w:r>
        <w:t>T</w:t>
      </w:r>
      <w:r w:rsidRPr="005677C0">
        <w:t xml:space="preserve">he Court finds that Plaintiffs' statement that they have effectively disclaimed AFFF exposure and their additional confirmations that they are not claiming AFFF exposure are sufficient to serve as an express disclaimer of the right to claim damages relating to, or arising out of, exposure to, or injuries suffered as a result of </w:t>
      </w:r>
      <w:proofErr w:type="spellStart"/>
      <w:r w:rsidRPr="005677C0">
        <w:t>MilSpec</w:t>
      </w:r>
      <w:proofErr w:type="spellEnd"/>
      <w:r w:rsidRPr="005677C0">
        <w:t xml:space="preserve"> AFFF.</w:t>
      </w:r>
    </w:p>
    <w:p w14:paraId="7615E24C" w14:textId="77777777" w:rsidR="00785DBA" w:rsidRDefault="00785DBA" w:rsidP="00785DBA">
      <w:pPr>
        <w:pStyle w:val="NoSpacing"/>
        <w:ind w:left="720"/>
      </w:pPr>
    </w:p>
    <w:p w14:paraId="409763F6" w14:textId="77777777" w:rsidR="00785DBA" w:rsidRDefault="00785DBA" w:rsidP="00785DBA">
      <w:pPr>
        <w:pStyle w:val="NoSpacing"/>
        <w:ind w:left="720"/>
      </w:pPr>
      <w:r>
        <w:t xml:space="preserve">***  </w:t>
      </w:r>
    </w:p>
    <w:p w14:paraId="0AE2B301" w14:textId="77777777" w:rsidR="00785DBA" w:rsidRDefault="00785DBA" w:rsidP="00785DBA">
      <w:pPr>
        <w:pStyle w:val="NoSpacing"/>
        <w:ind w:left="720"/>
      </w:pPr>
      <w:r w:rsidRPr="00DB077F">
        <w:t xml:space="preserve">On September 16, 2025, 3M filed a notice of removal in this Court pursuant to 28 U.S.C. § 1442, the federal officer removal statute. In its notice of removal, 3M alleges that the </w:t>
      </w:r>
      <w:proofErr w:type="gramStart"/>
      <w:r w:rsidRPr="00DB077F">
        <w:t>cancer</w:t>
      </w:r>
      <w:r>
        <w:t xml:space="preserve"> </w:t>
      </w:r>
      <w:r w:rsidRPr="00DB077F">
        <w:t>causing</w:t>
      </w:r>
      <w:proofErr w:type="gramEnd"/>
      <w:r w:rsidRPr="00DB077F">
        <w:t xml:space="preserve"> chemicals to which Crady was exposed consisted of per- and poly fluoroalkyl substances (</w:t>
      </w:r>
      <w:r>
        <w:t>‘</w:t>
      </w:r>
      <w:r w:rsidRPr="00DB077F">
        <w:t>PFAS</w:t>
      </w:r>
      <w:r>
        <w:t>’</w:t>
      </w:r>
      <w:r w:rsidRPr="00DB077F">
        <w:t>), which are contained in AFFF that 3M manufactured and sold to the U.S. military in accordance with the military's specifications (</w:t>
      </w:r>
      <w:r>
        <w:t>‘</w:t>
      </w:r>
      <w:proofErr w:type="spellStart"/>
      <w:r w:rsidRPr="00DB077F">
        <w:t>MilSpec</w:t>
      </w:r>
      <w:proofErr w:type="spellEnd"/>
      <w:r w:rsidRPr="00DB077F">
        <w:t xml:space="preserve"> AFFF</w:t>
      </w:r>
      <w:r>
        <w:t>’</w:t>
      </w:r>
      <w:r w:rsidRPr="00DB077F">
        <w:t>)</w:t>
      </w:r>
      <w:r>
        <w:t xml:space="preserve">. </w:t>
      </w:r>
    </w:p>
    <w:p w14:paraId="35F9F0A6" w14:textId="77777777" w:rsidR="00785DBA" w:rsidRDefault="00785DBA" w:rsidP="00785DBA">
      <w:pPr>
        <w:pStyle w:val="NoSpacing"/>
        <w:ind w:left="720"/>
      </w:pPr>
    </w:p>
    <w:p w14:paraId="5091EE7D" w14:textId="77777777" w:rsidR="00785DBA" w:rsidRDefault="00785DBA" w:rsidP="00785DBA">
      <w:pPr>
        <w:pStyle w:val="NoSpacing"/>
        <w:ind w:left="720"/>
      </w:pPr>
      <w:r>
        <w:t>***</w:t>
      </w:r>
    </w:p>
    <w:p w14:paraId="0977179E" w14:textId="77777777" w:rsidR="00785DBA" w:rsidRDefault="00785DBA" w:rsidP="00785DBA">
      <w:pPr>
        <w:pStyle w:val="NoSpacing"/>
        <w:ind w:left="720"/>
      </w:pPr>
    </w:p>
    <w:p w14:paraId="38D1B295" w14:textId="77777777" w:rsidR="00785DBA" w:rsidRDefault="00785DBA" w:rsidP="00785DBA">
      <w:pPr>
        <w:pStyle w:val="NoSpacing"/>
        <w:ind w:left="720"/>
      </w:pPr>
      <w:r w:rsidRPr="00D94D0A">
        <w:t xml:space="preserve">On September 26, 2025, 3M moved to stay all proceedings until the Judicial Panel on Multidistrict Litigation (the “JPML”) rendered a final decision on 3M's motion to transfer this action to the District of South Carolina for inclusion in the multidistrict litigation proceeding captioned </w:t>
      </w:r>
      <w:r w:rsidRPr="00D94D0A">
        <w:rPr>
          <w:i/>
          <w:iCs/>
        </w:rPr>
        <w:t>In re Aqueous Film-Forming Foams (AFFF) Products Liability Litigation</w:t>
      </w:r>
      <w:r w:rsidRPr="00D94D0A">
        <w:t xml:space="preserve"> (MDL No. 2873) (the </w:t>
      </w:r>
      <w:r>
        <w:t>‘</w:t>
      </w:r>
      <w:r w:rsidRPr="00D94D0A">
        <w:t>MDL</w:t>
      </w:r>
      <w:r>
        <w:t>’</w:t>
      </w:r>
      <w:r w:rsidRPr="00D94D0A">
        <w:t>)</w:t>
      </w:r>
      <w:r>
        <w:t xml:space="preserve">…. </w:t>
      </w:r>
      <w:r w:rsidRPr="00376CC0">
        <w:t>On December 11, 2025, the JPML denied 3M's motion to transfer.</w:t>
      </w:r>
    </w:p>
    <w:p w14:paraId="5FBCE215" w14:textId="77777777" w:rsidR="00785DBA" w:rsidRDefault="00785DBA" w:rsidP="00785DBA">
      <w:pPr>
        <w:pStyle w:val="NoSpacing"/>
        <w:ind w:left="720"/>
      </w:pPr>
    </w:p>
    <w:p w14:paraId="6C3A254E" w14:textId="77777777" w:rsidR="00785DBA" w:rsidRDefault="00785DBA" w:rsidP="00785DBA">
      <w:pPr>
        <w:pStyle w:val="NoSpacing"/>
        <w:ind w:left="720"/>
      </w:pPr>
      <w:r>
        <w:t>***</w:t>
      </w:r>
    </w:p>
    <w:p w14:paraId="0DB60DD6" w14:textId="77777777" w:rsidR="00785DBA" w:rsidRDefault="00785DBA" w:rsidP="00785DBA">
      <w:pPr>
        <w:pStyle w:val="NoSpacing"/>
        <w:ind w:left="720"/>
      </w:pPr>
      <w:r w:rsidRPr="0041479E">
        <w:t xml:space="preserve">3M maintains that Plaintiffs are attempting to use state law to attack design choices dictated by the military to impose tort liability on 3M for alleged injuries that were caused in whole or in part by 3M's compliance with military specifications. According to 3M, its status as a government contractor grants that the federal officer defense precludes such an attack. </w:t>
      </w:r>
      <w:r w:rsidRPr="0041479E">
        <w:rPr>
          <w:i/>
          <w:iCs/>
        </w:rPr>
        <w:t>See Boyle v. United Techs. Corp.,</w:t>
      </w:r>
      <w:r w:rsidRPr="0041479E">
        <w:t xml:space="preserve"> 487 U.S. 500, 509 (1988). 3M argues that this defense asserted by 3M and other </w:t>
      </w:r>
      <w:proofErr w:type="spellStart"/>
      <w:r w:rsidRPr="0041479E">
        <w:t>MilSpec</w:t>
      </w:r>
      <w:proofErr w:type="spellEnd"/>
      <w:r w:rsidRPr="0041479E">
        <w:t xml:space="preserve"> AFFF manufacturers presents genuine issues of fact for trial based on an extensive factual record in the MDL. </w:t>
      </w:r>
      <w:r w:rsidRPr="0041479E">
        <w:rPr>
          <w:i/>
          <w:iCs/>
        </w:rPr>
        <w:t xml:space="preserve">See In re AFFF Prods. </w:t>
      </w:r>
      <w:proofErr w:type="spellStart"/>
      <w:r w:rsidRPr="0041479E">
        <w:rPr>
          <w:i/>
          <w:iCs/>
        </w:rPr>
        <w:t>Liab</w:t>
      </w:r>
      <w:proofErr w:type="spellEnd"/>
      <w:r w:rsidRPr="0041479E">
        <w:rPr>
          <w:i/>
          <w:iCs/>
        </w:rPr>
        <w:t>. Litig.,</w:t>
      </w:r>
      <w:r w:rsidRPr="0041479E">
        <w:t xml:space="preserve"> 2:18-mn-02873, 2022 WL 4291357, at *12, 15 (D.S.C. Sept. 16, 2022). 3M submits that a defense that presents triable issues is colorable and that it has satisfied the remaining element required for federal jurisdiction.</w:t>
      </w:r>
      <w:r>
        <w:t>”</w:t>
      </w:r>
    </w:p>
    <w:p w14:paraId="1C3D7ED2" w14:textId="77777777" w:rsidR="00785DBA" w:rsidRDefault="00785DBA" w:rsidP="00785DBA">
      <w:pPr>
        <w:pStyle w:val="NoSpacing"/>
        <w:ind w:left="720"/>
      </w:pPr>
    </w:p>
    <w:p w14:paraId="7E36FAFA" w14:textId="77777777" w:rsidR="00785DBA" w:rsidRPr="00B47E84" w:rsidRDefault="00785DBA" w:rsidP="00785DBA">
      <w:pPr>
        <w:rPr>
          <w:b/>
          <w:bCs/>
        </w:rPr>
      </w:pPr>
      <w:r>
        <w:rPr>
          <w:b/>
        </w:rPr>
        <w:t xml:space="preserve">Legal lesson learned: The case is back to state court where pre-trial discovery will proceed. </w:t>
      </w:r>
    </w:p>
    <w:p w14:paraId="1E474DF8" w14:textId="77777777" w:rsidR="00785DBA" w:rsidRDefault="00785DBA" w:rsidP="00785DBA">
      <w:pPr>
        <w:pStyle w:val="NoSpacing"/>
        <w:ind w:left="720"/>
      </w:pPr>
      <w:r>
        <w:t xml:space="preserve">Note: Military contractor defense was addressed by U.S. Supreme Court in </w:t>
      </w:r>
      <w:r w:rsidRPr="0041479E">
        <w:rPr>
          <w:i/>
          <w:iCs/>
        </w:rPr>
        <w:t>Boyle v. United Techs. Corp.,</w:t>
      </w:r>
      <w:r w:rsidRPr="0041479E">
        <w:t xml:space="preserve"> 487 U.S. 500</w:t>
      </w:r>
      <w:r>
        <w:t xml:space="preserve"> </w:t>
      </w:r>
      <w:r w:rsidRPr="0041479E">
        <w:t>(1988)</w:t>
      </w:r>
      <w:r>
        <w:t xml:space="preserve">.  </w:t>
      </w:r>
      <w:r w:rsidRPr="00FB25AF">
        <w:t xml:space="preserve">Military equipment that meets prior requirements set by the federal government cannot have a design defect sufficient to hold its manufacturer liable. </w:t>
      </w:r>
      <w:hyperlink r:id="rId391" w:history="1">
        <w:r w:rsidRPr="00BB6E17">
          <w:rPr>
            <w:rStyle w:val="Hyperlink"/>
          </w:rPr>
          <w:t>https://supreme.justia.com/cases/federal/us/487/500/</w:t>
        </w:r>
      </w:hyperlink>
      <w:r>
        <w:t xml:space="preserve"> </w:t>
      </w:r>
    </w:p>
    <w:p w14:paraId="3086F464" w14:textId="77777777" w:rsidR="00785DBA" w:rsidRDefault="00785DBA" w:rsidP="00785DBA">
      <w:pPr>
        <w:pStyle w:val="NoSpacing"/>
        <w:ind w:left="720"/>
      </w:pPr>
    </w:p>
    <w:p w14:paraId="445A7D3D" w14:textId="77777777" w:rsidR="00785DBA" w:rsidRDefault="00785DBA" w:rsidP="00785DBA">
      <w:pPr>
        <w:pStyle w:val="NoSpacing"/>
        <w:ind w:left="1440"/>
      </w:pPr>
      <w:r>
        <w:t>“</w:t>
      </w:r>
      <w:r w:rsidRPr="00C7452C">
        <w:t>This case requires us to decide when a contractor providing military equipment to the Federal Government can be held liable under state tort law for injury caused by a design defect</w:t>
      </w:r>
      <w:r>
        <w:t xml:space="preserve">…. [Plaintiff’s] </w:t>
      </w:r>
      <w:r w:rsidRPr="001532A7">
        <w:t>broadest contention is that, in the absence of legislation specifically immunizing Government contractors from liability for design defects, there is no basis for judicial recognition of such a defense. We disagree.</w:t>
      </w:r>
    </w:p>
    <w:p w14:paraId="5E836FFD" w14:textId="77777777" w:rsidR="00785DBA" w:rsidRDefault="00785DBA" w:rsidP="00785DBA">
      <w:pPr>
        <w:pStyle w:val="NoSpacing"/>
        <w:ind w:left="1440"/>
      </w:pPr>
    </w:p>
    <w:p w14:paraId="736C2D26" w14:textId="77777777" w:rsidR="00785DBA" w:rsidRDefault="00785DBA" w:rsidP="00785DBA">
      <w:pPr>
        <w:pStyle w:val="NoSpacing"/>
        <w:ind w:left="1440"/>
      </w:pPr>
      <w:r>
        <w:t>***</w:t>
      </w:r>
    </w:p>
    <w:p w14:paraId="180D0EC2" w14:textId="77777777" w:rsidR="00785DBA" w:rsidRDefault="00785DBA" w:rsidP="00785DBA">
      <w:pPr>
        <w:pStyle w:val="NoSpacing"/>
        <w:ind w:left="1440"/>
      </w:pPr>
    </w:p>
    <w:p w14:paraId="47FBD702" w14:textId="77777777" w:rsidR="00785DBA" w:rsidRDefault="00785DBA" w:rsidP="00785DBA">
      <w:pPr>
        <w:pStyle w:val="NoSpacing"/>
        <w:ind w:left="1440"/>
      </w:pPr>
      <w:r w:rsidRPr="004465FA">
        <w:t xml:space="preserve">On April 27, 1983, David A. Boyle, a United States Marine helicopter copilot, was killed when the CH-53D helicopter in which he was flying crashed off the coast of Virginia Beach, Virginia, during a training exercise. Although Boyle survived the impact of the crash, he was unable to escape from the </w:t>
      </w:r>
      <w:proofErr w:type="gramStart"/>
      <w:r w:rsidRPr="004465FA">
        <w:t>helicopter, and</w:t>
      </w:r>
      <w:proofErr w:type="gramEnd"/>
      <w:r w:rsidRPr="004465FA">
        <w:t xml:space="preserve"> drowned</w:t>
      </w:r>
      <w:r>
        <w:t xml:space="preserve">…. </w:t>
      </w:r>
      <w:r w:rsidRPr="00514E02">
        <w:t>At trial</w:t>
      </w:r>
      <w:r>
        <w:t xml:space="preserve"> [in federal court]</w:t>
      </w:r>
      <w:r w:rsidRPr="00514E02">
        <w:t xml:space="preserve">, petitioner presented two theories of liability under Virginia tort law that were submitted to the jury. First, petitioner alleged that Sikorsky had defectively repaired a device called the servo in the helicopter's automatic flight control system, which allegedly malfunctioned and caused the crash. Second, petitioner alleged that Sikorsky had defectively designed the copilot's emergency escape system: the escape hatch opened out instead of in (and was therefore ineffective in a submerged craft because of water pressure), and access to the escape hatch handle was obstructed by other equipment. The jury returned a general verdict in favor of </w:t>
      </w:r>
      <w:proofErr w:type="gramStart"/>
      <w:r w:rsidRPr="00514E02">
        <w:t>petitioner, and</w:t>
      </w:r>
      <w:proofErr w:type="gramEnd"/>
      <w:r w:rsidRPr="00514E02">
        <w:t xml:space="preserve"> awarded him $725,000</w:t>
      </w:r>
      <w:r>
        <w:t xml:space="preserve">….  [U.S. Court of Appeals reversed; just as Federal Government cannot be sued for defective design, </w:t>
      </w:r>
      <w:r w:rsidRPr="007B4C6E">
        <w:t>Sikorsky</w:t>
      </w:r>
      <w:r>
        <w:t xml:space="preserve"> as military contractor is not liable.] </w:t>
      </w:r>
    </w:p>
    <w:p w14:paraId="237439DA" w14:textId="77777777" w:rsidR="00785DBA" w:rsidRDefault="00785DBA" w:rsidP="00785DBA">
      <w:pPr>
        <w:pStyle w:val="NoSpacing"/>
        <w:ind w:left="1440"/>
      </w:pPr>
    </w:p>
    <w:p w14:paraId="3CDC16AB" w14:textId="77777777" w:rsidR="00785DBA" w:rsidRDefault="00785DBA" w:rsidP="00785DBA">
      <w:pPr>
        <w:pStyle w:val="NoSpacing"/>
        <w:ind w:left="1440"/>
      </w:pPr>
    </w:p>
    <w:p w14:paraId="17135C41" w14:textId="40466002" w:rsidR="00816870" w:rsidRDefault="00816870" w:rsidP="00816870">
      <w:pPr>
        <w:rPr>
          <w:rFonts w:ascii="Arial Black" w:hAnsi="Arial Black"/>
          <w:sz w:val="24"/>
          <w:szCs w:val="24"/>
        </w:rPr>
      </w:pPr>
      <w:r>
        <w:rPr>
          <w:rFonts w:ascii="Arial Black" w:hAnsi="Arial Black"/>
          <w:sz w:val="24"/>
          <w:szCs w:val="24"/>
        </w:rPr>
        <w:t>2-107</w:t>
      </w:r>
    </w:p>
    <w:p w14:paraId="276FA9D6" w14:textId="77777777" w:rsidR="00816870" w:rsidRDefault="00816870" w:rsidP="00816870">
      <w:pPr>
        <w:pStyle w:val="NoSpacing"/>
      </w:pPr>
      <w:r>
        <w:rPr>
          <w:rFonts w:ascii="Arial Black" w:hAnsi="Arial Black"/>
          <w:sz w:val="28"/>
          <w:szCs w:val="28"/>
        </w:rPr>
        <w:t>NH: FIRE POLE – VISITOR “PHOTO” – IMMUNITY / AIR BASE</w:t>
      </w:r>
    </w:p>
    <w:p w14:paraId="01D330AA" w14:textId="77777777" w:rsidR="00816870" w:rsidRDefault="00816870" w:rsidP="00816870">
      <w:pPr>
        <w:pStyle w:val="NoSpacing"/>
      </w:pPr>
    </w:p>
    <w:p w14:paraId="1DFEACE5" w14:textId="77777777" w:rsidR="00816870" w:rsidRDefault="00816870" w:rsidP="00816870">
      <w:pPr>
        <w:pStyle w:val="NoSpacing"/>
      </w:pPr>
      <w:r>
        <w:t xml:space="preserve">On March 31, 2026, in </w:t>
      </w:r>
      <w:r w:rsidRPr="00852BDB">
        <w:rPr>
          <w:u w:val="single"/>
        </w:rPr>
        <w:t>Celena Nixon v. United States of America</w:t>
      </w:r>
      <w:r>
        <w:t xml:space="preserve">, U.S. District Court Judge </w:t>
      </w:r>
      <w:r w:rsidRPr="00100189">
        <w:t>Paul J. Barbadoro</w:t>
      </w:r>
      <w:r>
        <w:t xml:space="preserve">, United States District Court for the District of New Hampshire, held that a visitor at the fire station </w:t>
      </w:r>
      <w:r w:rsidRPr="009B4B39">
        <w:t>Pease Air</w:t>
      </w:r>
      <w:r>
        <w:t xml:space="preserve"> </w:t>
      </w:r>
      <w:r w:rsidRPr="009B4B39">
        <w:t>National Guard Base in Newington, New Hampshire</w:t>
      </w:r>
      <w:r>
        <w:t xml:space="preserve"> cannot sue the government for most of her claims under Federal Tort Claims Act, but further briefing on “failure to train invitees” claim.   </w:t>
      </w:r>
      <w:r w:rsidRPr="00FC696C">
        <w:t>On Easter Sunday in April 2022, the fire department invited the</w:t>
      </w:r>
      <w:r>
        <w:t xml:space="preserve"> </w:t>
      </w:r>
      <w:r w:rsidRPr="00FC696C">
        <w:t>families of its on-duty firefighters to visit the fire station for a holiday</w:t>
      </w:r>
      <w:r>
        <w:t xml:space="preserve"> </w:t>
      </w:r>
      <w:r w:rsidRPr="00FC696C">
        <w:t>gathering.</w:t>
      </w:r>
      <w:r>
        <w:t xml:space="preserve"> Plaintiff’s husband was on duty, and gave his wife, two sons and daughter a tour, including second floor; he and two boys then entered the gated pole and safely went down the pole. Mrs. Nixon asked her daughter to take her photo by pole – fell down the hole.  The Court describes what happened:</w:t>
      </w:r>
    </w:p>
    <w:p w14:paraId="4E3B9D71" w14:textId="77777777" w:rsidR="00816870" w:rsidRDefault="00816870" w:rsidP="00816870">
      <w:pPr>
        <w:pStyle w:val="NoSpacing"/>
      </w:pPr>
    </w:p>
    <w:p w14:paraId="6013D722" w14:textId="77777777" w:rsidR="00816870" w:rsidRDefault="00816870" w:rsidP="00816870">
      <w:pPr>
        <w:pStyle w:val="NoSpacing"/>
        <w:ind w:left="720"/>
      </w:pPr>
      <w:r>
        <w:t>“</w:t>
      </w:r>
      <w:r w:rsidRPr="00C3098E">
        <w:t xml:space="preserve">Upon entering the pole room, Nixon was struck by the pole’s </w:t>
      </w:r>
      <w:r>
        <w:t>‘</w:t>
      </w:r>
      <w:r w:rsidRPr="00C3098E">
        <w:t>timeless</w:t>
      </w:r>
      <w:r>
        <w:t>’ ‘</w:t>
      </w:r>
      <w:r w:rsidRPr="00C3098E">
        <w:t>beauty[y]</w:t>
      </w:r>
      <w:r>
        <w:t>’</w:t>
      </w:r>
      <w:r w:rsidRPr="00C3098E">
        <w:t xml:space="preserve"> and </w:t>
      </w:r>
      <w:r>
        <w:t>‘</w:t>
      </w:r>
      <w:r w:rsidRPr="00C3098E">
        <w:t>wanted [her] picture taken.</w:t>
      </w:r>
      <w:r>
        <w:t xml:space="preserve">’ … </w:t>
      </w:r>
      <w:r w:rsidRPr="00C3098E">
        <w:t>After handing her</w:t>
      </w:r>
      <w:r>
        <w:t xml:space="preserve"> </w:t>
      </w:r>
      <w:r w:rsidRPr="00C3098E">
        <w:t>phone to her daughter, she says that she walked over to the pole, where the</w:t>
      </w:r>
      <w:r>
        <w:t xml:space="preserve"> </w:t>
      </w:r>
      <w:r w:rsidRPr="00C3098E">
        <w:t>gate into its surrounding cage was open</w:t>
      </w:r>
      <w:r>
        <w:t xml:space="preserve">…. </w:t>
      </w:r>
      <w:r w:rsidRPr="00C3098E">
        <w:t>In her telling, she</w:t>
      </w:r>
      <w:r>
        <w:t xml:space="preserve"> </w:t>
      </w:r>
      <w:r w:rsidRPr="00C3098E">
        <w:t xml:space="preserve">stepped inside and placed her weight onto </w:t>
      </w:r>
      <w:r>
        <w:t>‘</w:t>
      </w:r>
      <w:r w:rsidRPr="00C3098E">
        <w:t>another platform</w:t>
      </w:r>
      <w:r>
        <w:t>’</w:t>
      </w:r>
      <w:r w:rsidRPr="00C3098E">
        <w:t xml:space="preserve"> (ostensibly the</w:t>
      </w:r>
      <w:r>
        <w:t xml:space="preserve"> </w:t>
      </w:r>
      <w:r w:rsidRPr="00C3098E">
        <w:t xml:space="preserve">hatch) that </w:t>
      </w:r>
      <w:r>
        <w:t>‘</w:t>
      </w:r>
      <w:r w:rsidRPr="00C3098E">
        <w:t>gave way.</w:t>
      </w:r>
      <w:r>
        <w:t xml:space="preserve">’ … </w:t>
      </w:r>
      <w:r w:rsidRPr="00C3098E">
        <w:t xml:space="preserve"> Because she </w:t>
      </w:r>
      <w:r>
        <w:t>‘</w:t>
      </w:r>
      <w:r w:rsidRPr="00C3098E">
        <w:t>wasn’t like hanging on</w:t>
      </w:r>
      <w:r>
        <w:t xml:space="preserve">’ </w:t>
      </w:r>
      <w:r w:rsidRPr="00C3098E">
        <w:t>as she tried to get a picture, she fell through the hatch to the ground and was</w:t>
      </w:r>
      <w:r>
        <w:t xml:space="preserve"> </w:t>
      </w:r>
      <w:r w:rsidRPr="00C3098E">
        <w:t>injured.</w:t>
      </w:r>
      <w:r>
        <w:t>”</w:t>
      </w:r>
    </w:p>
    <w:p w14:paraId="74312072" w14:textId="77777777" w:rsidR="00816870" w:rsidRDefault="00816870" w:rsidP="00816870">
      <w:pPr>
        <w:pStyle w:val="NoSpacing"/>
      </w:pPr>
      <w:hyperlink r:id="rId392" w:history="1">
        <w:r w:rsidRPr="00402DB2">
          <w:rPr>
            <w:rStyle w:val="Hyperlink"/>
          </w:rPr>
          <w:t>https://cases.justia.com/federal/district-courts/new-hampshire/nhdce/1:2024cv00213/63777/56/0.pdf?ts=1775080109</w:t>
        </w:r>
      </w:hyperlink>
      <w:r>
        <w:t xml:space="preserve"> </w:t>
      </w:r>
    </w:p>
    <w:p w14:paraId="1BB6A13D" w14:textId="77777777" w:rsidR="00816870" w:rsidRDefault="00816870" w:rsidP="00816870">
      <w:pPr>
        <w:pStyle w:val="NoSpacing"/>
      </w:pPr>
    </w:p>
    <w:p w14:paraId="48546352" w14:textId="77777777" w:rsidR="00816870" w:rsidRDefault="00816870" w:rsidP="00816870">
      <w:pPr>
        <w:pStyle w:val="NoSpacing"/>
      </w:pPr>
      <w:r>
        <w:t>THE COURT HELD:</w:t>
      </w:r>
    </w:p>
    <w:p w14:paraId="68732989" w14:textId="77777777" w:rsidR="00816870" w:rsidRDefault="00816870" w:rsidP="00816870">
      <w:pPr>
        <w:pStyle w:val="NoSpacing"/>
        <w:rPr>
          <w:bCs/>
        </w:rPr>
      </w:pPr>
    </w:p>
    <w:p w14:paraId="250D6A6D" w14:textId="77777777" w:rsidR="00816870" w:rsidRDefault="00816870" w:rsidP="00816870">
      <w:pPr>
        <w:pStyle w:val="NoSpacing"/>
        <w:ind w:left="720"/>
      </w:pPr>
      <w:r>
        <w:t>“Nixon filed this lawsuit against the United States in July 2024…. She asserted claims for negligence and premises liability based on the fire department’s failure to: ‘safely secure the premises for invitees’ (‘Theory 1’); ‘train invitees in the proper use”’ of the pole (‘Theory 2’); ‘restrict access to the pole and the pole room’  to individuals without such training (‘Theory 3’); ‘post signs warning invitees not to approach the pole’ (‘Theory 4’); ‘post signs’ warning that the floor plate ‘was not solid footing and would give upon</w:t>
      </w:r>
    </w:p>
    <w:p w14:paraId="0EB8A287" w14:textId="77777777" w:rsidR="00816870" w:rsidRDefault="00816870" w:rsidP="00816870">
      <w:pPr>
        <w:pStyle w:val="NoSpacing"/>
        <w:ind w:left="720"/>
      </w:pPr>
      <w:r>
        <w:t xml:space="preserve">placement of any weight’ (‘Theory 5’); ‘secure’ the hatch ‘such that it did not immediately allow individuals to fall through’ or remove it altogether (‘Theory 6’); and ‘install barriers to prevent’ someone from ‘approaching the pole’ and hatch beneath (‘Theory 7’)…. Nixon demanded damages for physical and mental suffering, medical treatment, and loss of earning capacity. </w:t>
      </w:r>
    </w:p>
    <w:p w14:paraId="5C3FE118" w14:textId="77777777" w:rsidR="00816870" w:rsidRDefault="00816870" w:rsidP="00816870">
      <w:pPr>
        <w:pStyle w:val="NoSpacing"/>
        <w:ind w:left="720"/>
      </w:pPr>
    </w:p>
    <w:p w14:paraId="19AB3D92" w14:textId="77777777" w:rsidR="00816870" w:rsidRDefault="00816870" w:rsidP="00816870">
      <w:pPr>
        <w:pStyle w:val="NoSpacing"/>
        <w:ind w:left="720"/>
      </w:pPr>
      <w:r>
        <w:t>***</w:t>
      </w:r>
    </w:p>
    <w:p w14:paraId="5965DA70" w14:textId="77777777" w:rsidR="00816870" w:rsidRDefault="00816870" w:rsidP="00816870">
      <w:pPr>
        <w:pStyle w:val="NoSpacing"/>
        <w:ind w:left="720"/>
      </w:pPr>
    </w:p>
    <w:p w14:paraId="3379D0B5" w14:textId="77777777" w:rsidR="00816870" w:rsidRDefault="00816870" w:rsidP="00816870">
      <w:pPr>
        <w:pStyle w:val="NoSpacing"/>
        <w:ind w:left="720"/>
      </w:pPr>
      <w:r>
        <w:t>Because Nixon’s failure-to-warn claims are inextricably reliant on the fire department’s alleged failure to communicate information, they are subject to the misrepresentation exception. And, because her remaining claims are barred by the discretionary-function exception, I lack jurisdiction over those claims as well.</w:t>
      </w:r>
    </w:p>
    <w:p w14:paraId="6348774F" w14:textId="77777777" w:rsidR="00816870" w:rsidRDefault="00816870" w:rsidP="00816870">
      <w:pPr>
        <w:pStyle w:val="NoSpacing"/>
        <w:ind w:left="720"/>
      </w:pPr>
    </w:p>
    <w:p w14:paraId="6E15FD72" w14:textId="77777777" w:rsidR="00816870" w:rsidRDefault="00816870" w:rsidP="00816870">
      <w:pPr>
        <w:pStyle w:val="NoSpacing"/>
        <w:ind w:left="720"/>
      </w:pPr>
      <w:r>
        <w:t>***</w:t>
      </w:r>
    </w:p>
    <w:p w14:paraId="5CA8DFE5" w14:textId="77777777" w:rsidR="00816870" w:rsidRDefault="00816870" w:rsidP="00816870">
      <w:pPr>
        <w:pStyle w:val="NoSpacing"/>
        <w:ind w:left="720"/>
      </w:pPr>
      <w:r>
        <w:t>Nixon asserts that the government is liable in part because it failed to ‘train invitees in the proper use’ of the fire pole (Theory 2)….Although it is likely that any claims based on this theory are also barred by the discretion-function exception, I do not presume as much, as the government has not challenged this theory of liability in its motion for</w:t>
      </w:r>
    </w:p>
    <w:p w14:paraId="55A23A2B" w14:textId="77777777" w:rsidR="00816870" w:rsidRDefault="00816870" w:rsidP="00816870">
      <w:pPr>
        <w:pStyle w:val="NoSpacing"/>
        <w:ind w:left="720"/>
      </w:pPr>
      <w:r>
        <w:t>summary judgment. And as applied to this theory, the government’s alternative arguments concerning the scope of the fire department’s duties, the foreseeability of danger posed by the fire pole, and Nixon’s comparative fault present triable disputes of material fact. I therefore deny the government’s motion for summary judgment as to Theory 2 without prejudice to any motion addressing this Court’s jurisdiction over those claims.”</w:t>
      </w:r>
    </w:p>
    <w:p w14:paraId="4B9E65A0" w14:textId="77777777" w:rsidR="00816870" w:rsidRDefault="00816870" w:rsidP="00816870">
      <w:pPr>
        <w:pStyle w:val="NoSpacing"/>
        <w:ind w:left="720"/>
      </w:pPr>
    </w:p>
    <w:p w14:paraId="16AD9B72" w14:textId="77777777" w:rsidR="00816870" w:rsidRDefault="00816870" w:rsidP="00816870">
      <w:r>
        <w:rPr>
          <w:b/>
        </w:rPr>
        <w:t xml:space="preserve">Legal lesson learned: During tours of station, tell all visitors to stay away from fire pole hole. </w:t>
      </w:r>
    </w:p>
    <w:p w14:paraId="1D31229B" w14:textId="77777777" w:rsidR="00816870" w:rsidRDefault="00816870" w:rsidP="00816870">
      <w:pPr>
        <w:pStyle w:val="NoSpacing"/>
        <w:ind w:left="720"/>
      </w:pPr>
      <w:r>
        <w:t xml:space="preserve">Note: Court commented on NFPA 1500: </w:t>
      </w:r>
    </w:p>
    <w:p w14:paraId="01096503" w14:textId="77777777" w:rsidR="00816870" w:rsidRDefault="00816870" w:rsidP="00816870">
      <w:pPr>
        <w:pStyle w:val="NoSpacing"/>
        <w:ind w:left="720" w:firstLine="720"/>
      </w:pPr>
      <w:r>
        <w:t xml:space="preserve"> “In relevant part, section 10.1.8 of the NFPA 1500 directs that:</w:t>
      </w:r>
    </w:p>
    <w:p w14:paraId="6074C941" w14:textId="77777777" w:rsidR="00816870" w:rsidRDefault="00816870" w:rsidP="00816870">
      <w:pPr>
        <w:pStyle w:val="NoSpacing"/>
        <w:ind w:left="720" w:firstLine="720"/>
      </w:pPr>
      <w:r>
        <w:t>Stations utilizing poles to provide rapid access to lower</w:t>
      </w:r>
    </w:p>
    <w:p w14:paraId="7B59A00C" w14:textId="77777777" w:rsidR="00816870" w:rsidRDefault="00816870" w:rsidP="00816870">
      <w:pPr>
        <w:pStyle w:val="NoSpacing"/>
        <w:ind w:left="720" w:firstLine="720"/>
      </w:pPr>
      <w:r>
        <w:t>floors shall ensure that the area around the pole hole</w:t>
      </w:r>
    </w:p>
    <w:p w14:paraId="385DE512" w14:textId="77777777" w:rsidR="00816870" w:rsidRDefault="00816870" w:rsidP="00816870">
      <w:pPr>
        <w:pStyle w:val="NoSpacing"/>
        <w:ind w:left="720" w:firstLine="720"/>
      </w:pPr>
      <w:r>
        <w:t>is secured by means of a cover, enclosure, or other</w:t>
      </w:r>
    </w:p>
    <w:p w14:paraId="0529AEFF" w14:textId="77777777" w:rsidR="00816870" w:rsidRDefault="00816870" w:rsidP="00816870">
      <w:pPr>
        <w:pStyle w:val="NoSpacing"/>
        <w:ind w:left="720" w:firstLine="720"/>
      </w:pPr>
      <w:r>
        <w:t>means to prevent someone from accidentally falling</w:t>
      </w:r>
    </w:p>
    <w:p w14:paraId="2B2B1CBE" w14:textId="77777777" w:rsidR="00816870" w:rsidRDefault="00816870" w:rsidP="00816870">
      <w:pPr>
        <w:pStyle w:val="NoSpacing"/>
        <w:ind w:left="1440"/>
      </w:pPr>
      <w:r>
        <w:t>though the pole hole.</w:t>
      </w:r>
    </w:p>
    <w:p w14:paraId="2FFA7007" w14:textId="77777777" w:rsidR="00816870" w:rsidRDefault="00816870" w:rsidP="00816870">
      <w:pPr>
        <w:pStyle w:val="NoSpacing"/>
        <w:ind w:left="1440"/>
      </w:pPr>
    </w:p>
    <w:p w14:paraId="35A88F91" w14:textId="77777777" w:rsidR="00816870" w:rsidRDefault="00816870" w:rsidP="00816870">
      <w:pPr>
        <w:pStyle w:val="NoSpacing"/>
        <w:ind w:left="1440"/>
      </w:pPr>
      <w:r>
        <w:t>***</w:t>
      </w:r>
    </w:p>
    <w:p w14:paraId="1E986B0B" w14:textId="77777777" w:rsidR="00816870" w:rsidRDefault="00816870" w:rsidP="00816870">
      <w:pPr>
        <w:pStyle w:val="NoSpacing"/>
        <w:ind w:left="1440"/>
      </w:pPr>
    </w:p>
    <w:p w14:paraId="584F55C5" w14:textId="77777777" w:rsidR="00816870" w:rsidRDefault="00816870" w:rsidP="00816870">
      <w:pPr>
        <w:pStyle w:val="NoSpacing"/>
        <w:ind w:left="1440"/>
      </w:pPr>
      <w:r>
        <w:t>Phrased disjunctively, this provision does not require the department to use a cover if it uses an enclosure, which is what it did in this case.”</w:t>
      </w:r>
    </w:p>
    <w:p w14:paraId="769A390F" w14:textId="77777777" w:rsidR="00816870" w:rsidRDefault="00816870" w:rsidP="00816870">
      <w:pPr>
        <w:pStyle w:val="NoSpacing"/>
        <w:rPr>
          <w:bCs/>
        </w:rPr>
      </w:pPr>
    </w:p>
    <w:p w14:paraId="194FDA20" w14:textId="77777777" w:rsidR="00816870" w:rsidRDefault="00816870" w:rsidP="00646EE3">
      <w:pPr>
        <w:rPr>
          <w:rFonts w:ascii="Arial Black" w:hAnsi="Arial Black"/>
          <w:sz w:val="24"/>
          <w:szCs w:val="24"/>
        </w:rPr>
      </w:pPr>
    </w:p>
    <w:p w14:paraId="5454D4B8" w14:textId="77777777" w:rsidR="00997F6F" w:rsidRDefault="00997F6F" w:rsidP="00646EE3">
      <w:pPr>
        <w:rPr>
          <w:rFonts w:ascii="Arial Black" w:hAnsi="Arial Black"/>
          <w:sz w:val="24"/>
          <w:szCs w:val="24"/>
        </w:rPr>
      </w:pPr>
    </w:p>
    <w:p w14:paraId="4BCC8CD0" w14:textId="1D2FF849" w:rsidR="00961DF4" w:rsidRDefault="00961DF4" w:rsidP="00646EE3">
      <w:pPr>
        <w:rPr>
          <w:rFonts w:ascii="Arial Black" w:hAnsi="Arial Black"/>
          <w:sz w:val="24"/>
          <w:szCs w:val="24"/>
        </w:rPr>
      </w:pPr>
      <w:r>
        <w:rPr>
          <w:rFonts w:ascii="Arial Black" w:hAnsi="Arial Black"/>
          <w:sz w:val="24"/>
          <w:szCs w:val="24"/>
        </w:rPr>
        <w:t>2-10</w:t>
      </w:r>
      <w:r w:rsidR="00F52698">
        <w:rPr>
          <w:rFonts w:ascii="Arial Black" w:hAnsi="Arial Black"/>
          <w:sz w:val="24"/>
          <w:szCs w:val="24"/>
        </w:rPr>
        <w:t>6</w:t>
      </w:r>
    </w:p>
    <w:p w14:paraId="591B0E79" w14:textId="77777777" w:rsidR="00916D00" w:rsidRDefault="00916D00" w:rsidP="00916D00">
      <w:pPr>
        <w:pStyle w:val="NoSpacing"/>
        <w:rPr>
          <w:rFonts w:ascii="Arial Black" w:hAnsi="Arial Black"/>
          <w:b/>
          <w:sz w:val="28"/>
          <w:szCs w:val="28"/>
        </w:rPr>
      </w:pPr>
      <w:r>
        <w:rPr>
          <w:rFonts w:ascii="Arial Black" w:hAnsi="Arial Black"/>
          <w:b/>
          <w:sz w:val="28"/>
          <w:szCs w:val="28"/>
        </w:rPr>
        <w:t>TX: DRUNK – HEAD ON AMBULANCE – 2 DEAD / 30 YRS</w:t>
      </w:r>
    </w:p>
    <w:p w14:paraId="7E070C79" w14:textId="77777777" w:rsidR="00916D00" w:rsidRDefault="00916D00" w:rsidP="00916D00">
      <w:pPr>
        <w:pStyle w:val="NoSpacing"/>
        <w:rPr>
          <w:rFonts w:ascii="Arial Black" w:hAnsi="Arial Black"/>
          <w:b/>
          <w:sz w:val="28"/>
          <w:szCs w:val="28"/>
        </w:rPr>
      </w:pPr>
    </w:p>
    <w:p w14:paraId="6F7679F6" w14:textId="77777777" w:rsidR="00916D00" w:rsidRDefault="00916D00" w:rsidP="00916D00">
      <w:pPr>
        <w:pStyle w:val="NoSpacing"/>
        <w:rPr>
          <w:bCs/>
        </w:rPr>
      </w:pPr>
      <w:r w:rsidRPr="00F90D69">
        <w:t xml:space="preserve">On March 19, 2026, in </w:t>
      </w:r>
      <w:r w:rsidRPr="00F90D69">
        <w:rPr>
          <w:u w:val="single"/>
        </w:rPr>
        <w:t>Mitchell Trevino v. The State of Texas</w:t>
      </w:r>
      <w:r w:rsidRPr="00F90D69">
        <w:t>,</w:t>
      </w:r>
      <w:r>
        <w:t xml:space="preserve"> the </w:t>
      </w:r>
      <w:r w:rsidRPr="00E31049">
        <w:t>Court of Appeals of Texas, Thirteenth District, Corpus Christi-Edinburg</w:t>
      </w:r>
      <w:r>
        <w:t xml:space="preserve"> held (3 to 0; unpublished opinion) that trial court judge properly rejected defendant’s offer to stipulate that he was intoxicated and two were killed (EMS driver and patient) and third seriously injured (EMT). The prosecution had every right to provide testimony, photographs, body-camera video of the horrible scene.  The jury assessed imprisonment of total 30 years.</w:t>
      </w:r>
    </w:p>
    <w:p w14:paraId="2F31C3E3" w14:textId="77777777" w:rsidR="00916D00" w:rsidRDefault="00916D00" w:rsidP="00916D00">
      <w:pPr>
        <w:pStyle w:val="NoSpacing"/>
        <w:rPr>
          <w:b/>
        </w:rPr>
      </w:pPr>
      <w:hyperlink r:id="rId393" w:history="1">
        <w:r w:rsidRPr="001F11D0">
          <w:rPr>
            <w:rStyle w:val="Hyperlink"/>
            <w:b/>
          </w:rPr>
          <w:t>https://cases.justia.com/texas/thirteenth-court-of-appeals/2026-13-24-00335-cr.pdf?ts=1773937817</w:t>
        </w:r>
      </w:hyperlink>
      <w:r>
        <w:rPr>
          <w:b/>
        </w:rPr>
        <w:t xml:space="preserve"> </w:t>
      </w:r>
    </w:p>
    <w:p w14:paraId="23349623" w14:textId="77777777" w:rsidR="00916D00" w:rsidRDefault="00916D00" w:rsidP="00916D00">
      <w:pPr>
        <w:pStyle w:val="NoSpacing"/>
        <w:rPr>
          <w:bCs/>
        </w:rPr>
      </w:pPr>
      <w:r>
        <w:t xml:space="preserve"> </w:t>
      </w:r>
    </w:p>
    <w:p w14:paraId="337078CF" w14:textId="77777777" w:rsidR="00916D00" w:rsidRPr="008F1BAC" w:rsidRDefault="00916D00" w:rsidP="00916D00">
      <w:pPr>
        <w:pStyle w:val="NoSpacing"/>
      </w:pPr>
      <w:r>
        <w:t>THE COURT HELD: “</w:t>
      </w:r>
      <w:r w:rsidRPr="008F1BAC">
        <w:t>In December 2018, Trevino collided with the rear of a vehicle traveling in front of</w:t>
      </w:r>
      <w:r>
        <w:t xml:space="preserve"> </w:t>
      </w:r>
      <w:r w:rsidRPr="008F1BAC">
        <w:t>him, crossed into an oncoming lane of traffic, and hit an ambulance head on. The</w:t>
      </w:r>
    </w:p>
    <w:p w14:paraId="7CD76A99" w14:textId="77777777" w:rsidR="00916D00" w:rsidRPr="008F1BAC" w:rsidRDefault="00916D00" w:rsidP="00916D00">
      <w:pPr>
        <w:pStyle w:val="NoSpacing"/>
      </w:pPr>
      <w:r w:rsidRPr="008F1BAC">
        <w:t>ambulance driver was killed, a patient was killed, and an emergency medical technician</w:t>
      </w:r>
    </w:p>
    <w:p w14:paraId="6F2161C5" w14:textId="77777777" w:rsidR="00916D00" w:rsidRPr="008F1BAC" w:rsidRDefault="00916D00" w:rsidP="00916D00">
      <w:pPr>
        <w:pStyle w:val="NoSpacing"/>
      </w:pPr>
      <w:r w:rsidRPr="008F1BAC">
        <w:t>(EMT) was injured. Prior to the commencement of trial, Trevino offered to stipulate that</w:t>
      </w:r>
    </w:p>
    <w:p w14:paraId="6EB0BBDF" w14:textId="77777777" w:rsidR="00916D00" w:rsidRPr="008F1BAC" w:rsidRDefault="00916D00" w:rsidP="00916D00">
      <w:pPr>
        <w:pStyle w:val="NoSpacing"/>
      </w:pPr>
      <w:proofErr w:type="gramStart"/>
      <w:r w:rsidRPr="008F1BAC">
        <w:t>he</w:t>
      </w:r>
      <w:proofErr w:type="gramEnd"/>
      <w:r w:rsidRPr="008F1BAC">
        <w:t xml:space="preserve"> was intoxicated, there were two fatalities, and one person suffered serious bodily</w:t>
      </w:r>
    </w:p>
    <w:p w14:paraId="0D245D37" w14:textId="77777777" w:rsidR="00916D00" w:rsidRDefault="00916D00" w:rsidP="00916D00">
      <w:pPr>
        <w:pStyle w:val="NoSpacing"/>
      </w:pPr>
      <w:r w:rsidRPr="008F1BAC">
        <w:t>injury. The State did not accept Trevino’s offer to stipulate in lieu of presenting evidence.</w:t>
      </w:r>
    </w:p>
    <w:p w14:paraId="4718BC8E" w14:textId="77777777" w:rsidR="00916D00" w:rsidRDefault="00916D00" w:rsidP="00916D00">
      <w:pPr>
        <w:pStyle w:val="NoSpacing"/>
      </w:pPr>
      <w:r>
        <w:t>***</w:t>
      </w:r>
    </w:p>
    <w:p w14:paraId="1B06688F" w14:textId="77777777" w:rsidR="00916D00" w:rsidRDefault="00916D00" w:rsidP="00916D00">
      <w:pPr>
        <w:pStyle w:val="NoSpacing"/>
      </w:pPr>
      <w:r>
        <w:t>Here, Trevino cannot ‘stipulate or admit his way out of the full evidentiary force of</w:t>
      </w:r>
    </w:p>
    <w:p w14:paraId="5FE5E8AD" w14:textId="77777777" w:rsidR="00916D00" w:rsidRDefault="00916D00" w:rsidP="00916D00">
      <w:pPr>
        <w:pStyle w:val="NoSpacing"/>
      </w:pPr>
      <w:r>
        <w:t>the case as the [state chose] chooses to present it.’ … While the State’s evidence is certainly necessary for definitionally proving the elements of an offense, that is not the only role of such evidence…. Evidence also plays a role in providing human jurors what stipulations cannot: narratives, complexity, ability to draw inferences, and connection to human experience.”</w:t>
      </w:r>
    </w:p>
    <w:p w14:paraId="121C0D91" w14:textId="77777777" w:rsidR="00916D00" w:rsidRDefault="00916D00" w:rsidP="00916D00">
      <w:pPr>
        <w:pStyle w:val="NoSpacing"/>
      </w:pPr>
    </w:p>
    <w:p w14:paraId="5941298C" w14:textId="77777777" w:rsidR="00916D00" w:rsidRPr="00FF0645" w:rsidRDefault="00916D00" w:rsidP="00916D00">
      <w:pPr>
        <w:pStyle w:val="NoSpacing"/>
        <w:rPr>
          <w:b/>
          <w:bCs/>
        </w:rPr>
      </w:pPr>
      <w:r w:rsidRPr="00FF0645">
        <w:rPr>
          <w:b/>
        </w:rPr>
        <w:t xml:space="preserve">Legal lesson learned: </w:t>
      </w:r>
      <w:r>
        <w:rPr>
          <w:b/>
        </w:rPr>
        <w:t xml:space="preserve">State was entitled to show the jury the terrible result of drunk driving. </w:t>
      </w:r>
    </w:p>
    <w:p w14:paraId="33E3D0B4" w14:textId="77777777" w:rsidR="00916D00" w:rsidRPr="00FF0645" w:rsidRDefault="00916D00" w:rsidP="00916D00">
      <w:pPr>
        <w:pStyle w:val="NoSpacing"/>
        <w:rPr>
          <w:b/>
          <w:bCs/>
        </w:rPr>
      </w:pPr>
    </w:p>
    <w:p w14:paraId="2A58A00C" w14:textId="77777777" w:rsidR="00916D00" w:rsidRDefault="00916D00" w:rsidP="00646EE3">
      <w:pPr>
        <w:rPr>
          <w:rFonts w:ascii="Arial Black" w:hAnsi="Arial Black"/>
          <w:sz w:val="24"/>
          <w:szCs w:val="24"/>
        </w:rPr>
      </w:pPr>
    </w:p>
    <w:p w14:paraId="7D834173" w14:textId="72679317" w:rsidR="00961DF4" w:rsidRDefault="00916D00" w:rsidP="00646EE3">
      <w:pPr>
        <w:rPr>
          <w:rFonts w:ascii="Arial Black" w:hAnsi="Arial Black"/>
          <w:sz w:val="24"/>
          <w:szCs w:val="24"/>
        </w:rPr>
      </w:pPr>
      <w:r>
        <w:rPr>
          <w:rFonts w:ascii="Arial Black" w:hAnsi="Arial Black"/>
          <w:sz w:val="24"/>
          <w:szCs w:val="24"/>
        </w:rPr>
        <w:t>2-10</w:t>
      </w:r>
      <w:r w:rsidR="00056D43">
        <w:rPr>
          <w:rFonts w:ascii="Arial Black" w:hAnsi="Arial Black"/>
          <w:sz w:val="24"/>
          <w:szCs w:val="24"/>
        </w:rPr>
        <w:t>5</w:t>
      </w:r>
    </w:p>
    <w:p w14:paraId="18670608" w14:textId="77777777" w:rsidR="00F52698" w:rsidRDefault="00F52698" w:rsidP="00F52698">
      <w:pPr>
        <w:pStyle w:val="NoSpacing"/>
        <w:rPr>
          <w:rFonts w:ascii="Arial Black" w:hAnsi="Arial Black"/>
          <w:b/>
          <w:sz w:val="28"/>
          <w:szCs w:val="28"/>
        </w:rPr>
      </w:pPr>
      <w:r>
        <w:rPr>
          <w:rFonts w:ascii="Arial Black" w:hAnsi="Arial Black"/>
          <w:b/>
          <w:sz w:val="28"/>
          <w:szCs w:val="28"/>
        </w:rPr>
        <w:t>PA: SPEEDING DRIVER – KILLED “FIRE POLICE” - 25 YRS</w:t>
      </w:r>
    </w:p>
    <w:p w14:paraId="435F1B6D" w14:textId="77777777" w:rsidR="00F52698" w:rsidRDefault="00F52698" w:rsidP="00F52698">
      <w:pPr>
        <w:pStyle w:val="NoSpacing"/>
        <w:rPr>
          <w:bCs/>
        </w:rPr>
      </w:pPr>
    </w:p>
    <w:p w14:paraId="32ABF91E" w14:textId="77777777" w:rsidR="00F52698" w:rsidRDefault="00F52698" w:rsidP="00F52698">
      <w:pPr>
        <w:pStyle w:val="NoSpacing"/>
      </w:pPr>
      <w:r w:rsidRPr="00434D0D">
        <w:t xml:space="preserve">On March 10, 2026, in </w:t>
      </w:r>
      <w:r w:rsidRPr="00434D0D">
        <w:rPr>
          <w:u w:val="single"/>
        </w:rPr>
        <w:t>Commonwealth of Pennsylvania v. Dawann Matrick Simmons</w:t>
      </w:r>
      <w:r w:rsidRPr="00434D0D">
        <w:t xml:space="preserve">, </w:t>
      </w:r>
      <w:r>
        <w:t xml:space="preserve">the </w:t>
      </w:r>
      <w:r w:rsidRPr="00295533">
        <w:t>Superior Court of Pennsylvania</w:t>
      </w:r>
      <w:r>
        <w:t xml:space="preserve"> held (3 to 0; non precedential) that the trial court judge properly rejected criminal defendant’s motion to set aside his guilty plea.  Court wrote: “His statement that he was unaware of the likelihood of the imposition of the maximum sentence may be true, but it is of no matter.”  On November 7, </w:t>
      </w:r>
      <w:proofErr w:type="gramStart"/>
      <w:r>
        <w:t>2024</w:t>
      </w:r>
      <w:proofErr w:type="gramEnd"/>
      <w:r>
        <w:t xml:space="preserve"> he pled no contest to first count - Count 1, Homicide by Vehicle, a Felony of the Third Degree; and guilty to 9 other counts, with trial court judge advising him of max sentence for each count, and total aggregate of 25 years and six months. On January 2, </w:t>
      </w:r>
      <w:proofErr w:type="gramStart"/>
      <w:r>
        <w:t>2025</w:t>
      </w:r>
      <w:proofErr w:type="gramEnd"/>
      <w:r>
        <w:t xml:space="preserve"> he was sentenced to an aggregate of 109 to 218 months’ incarceration.  </w:t>
      </w:r>
    </w:p>
    <w:p w14:paraId="0A80C98C" w14:textId="77777777" w:rsidR="00F52698" w:rsidRDefault="00F52698" w:rsidP="00F52698">
      <w:pPr>
        <w:pStyle w:val="NoSpacing"/>
      </w:pPr>
      <w:hyperlink r:id="rId394" w:history="1">
        <w:r w:rsidRPr="004D13CD">
          <w:rPr>
            <w:rStyle w:val="Hyperlink"/>
          </w:rPr>
          <w:t>https://www.pacourts.us/assets/opinions/Superior/out/J-S01044-26m%20-%20106707559350028927.pdf?cb=1</w:t>
        </w:r>
      </w:hyperlink>
      <w:r>
        <w:t xml:space="preserve"> </w:t>
      </w:r>
    </w:p>
    <w:p w14:paraId="09C0A494" w14:textId="77777777" w:rsidR="00F52698" w:rsidRDefault="00F52698" w:rsidP="00F52698">
      <w:pPr>
        <w:pStyle w:val="NoSpacing"/>
      </w:pPr>
    </w:p>
    <w:p w14:paraId="3E767564" w14:textId="77777777" w:rsidR="00F52698" w:rsidRDefault="00F52698" w:rsidP="00F52698">
      <w:pPr>
        <w:pStyle w:val="NoSpacing"/>
      </w:pPr>
      <w:r>
        <w:t xml:space="preserve">THE COURT HELD:  “On August 20, 2023, near the intersection of West Main Road and Brickyard Road in </w:t>
      </w:r>
      <w:proofErr w:type="gramStart"/>
      <w:r>
        <w:t>North East</w:t>
      </w:r>
      <w:proofErr w:type="gramEnd"/>
      <w:r>
        <w:t>, Pennsylvania, emergency personnel responded to a two-</w:t>
      </w:r>
    </w:p>
    <w:p w14:paraId="61825CEF" w14:textId="77777777" w:rsidR="00F52698" w:rsidRDefault="00F52698" w:rsidP="00F52698">
      <w:pPr>
        <w:pStyle w:val="NoSpacing"/>
      </w:pPr>
      <w:r>
        <w:t xml:space="preserve">vehicle crash…. Emergency personnel included the Fuller Hose Company of the </w:t>
      </w:r>
      <w:proofErr w:type="gramStart"/>
      <w:r>
        <w:t>North East</w:t>
      </w:r>
      <w:proofErr w:type="gramEnd"/>
    </w:p>
    <w:p w14:paraId="61343455" w14:textId="77777777" w:rsidR="00F52698" w:rsidRDefault="00F52698" w:rsidP="00F52698">
      <w:pPr>
        <w:pStyle w:val="NoSpacing"/>
      </w:pPr>
      <w:r>
        <w:t>Volunteer Fire Department and Pennsylvania State Troopers, relevantly including Fire Police Officer Shawn Giles…. Officer Giles was responsible for traffic control in the eastbound lane while firefighters and state troopers performed their investigation of the crash…. Officer Giles was wearing fluorescent clothing and holding fluorescent flags while conducting these</w:t>
      </w:r>
    </w:p>
    <w:p w14:paraId="2AC89638" w14:textId="77777777" w:rsidR="00F52698" w:rsidRDefault="00F52698" w:rsidP="00F52698">
      <w:pPr>
        <w:pStyle w:val="NoSpacing"/>
      </w:pPr>
      <w:r>
        <w:t>official duties…. At this time, Appellant was traveling in a silver Lexus at a high rate of</w:t>
      </w:r>
    </w:p>
    <w:p w14:paraId="6C37A70D" w14:textId="77777777" w:rsidR="00F52698" w:rsidRDefault="00F52698" w:rsidP="00F52698">
      <w:pPr>
        <w:pStyle w:val="NoSpacing"/>
      </w:pPr>
      <w:r>
        <w:t>speed in the left eastbound lane on State Route 20. Notably, Appellant, the driver and sole occupant of the Lexus, was driving with his license suspended by PennDOT…. Maintaining a high rate of speed, Appellant traveled into the right lane, then abruptly swerved back into the left lane to avoid colliding with a vehicle stopped by Officer Giles…. During this maneuver,</w:t>
      </w:r>
    </w:p>
    <w:p w14:paraId="2E108D38" w14:textId="77777777" w:rsidR="00F52698" w:rsidRDefault="00F52698" w:rsidP="00F52698">
      <w:pPr>
        <w:pStyle w:val="NoSpacing"/>
      </w:pPr>
      <w:r>
        <w:t xml:space="preserve">Appellant’s Lexus struck Officer Giles, causing his death </w:t>
      </w:r>
      <w:proofErr w:type="gramStart"/>
      <w:r>
        <w:t>as a result of</w:t>
      </w:r>
      <w:proofErr w:type="gramEnd"/>
      <w:r>
        <w:t xml:space="preserve"> blunt force trauma. </w:t>
      </w:r>
    </w:p>
    <w:p w14:paraId="4C065B9C" w14:textId="77777777" w:rsidR="00F52698" w:rsidRDefault="00F52698" w:rsidP="00F52698">
      <w:pPr>
        <w:pStyle w:val="NoSpacing"/>
      </w:pPr>
    </w:p>
    <w:p w14:paraId="2AF54757" w14:textId="77777777" w:rsidR="00F52698" w:rsidRDefault="00F52698" w:rsidP="00F52698">
      <w:pPr>
        <w:pStyle w:val="NoSpacing"/>
      </w:pPr>
      <w:r>
        <w:t>Through forensic calculation and investigation, Appellant’s vehicle was determined to have been traveling approximately 78 miles per hour (mph) immediately prior to the crash and approximately 58 mph when his vehicle impacted the victim. The posted speed limit was 55 mph, and the required speed limit in an emergency response area is 20 mph less than the posted</w:t>
      </w:r>
    </w:p>
    <w:p w14:paraId="1EBE9C04" w14:textId="77777777" w:rsidR="00F52698" w:rsidRDefault="00F52698" w:rsidP="00F52698">
      <w:pPr>
        <w:pStyle w:val="NoSpacing"/>
      </w:pPr>
      <w:r>
        <w:t>speed limit, thus resulting in a reduced speed limit of 35 mph.”</w:t>
      </w:r>
      <w:r>
        <w:br/>
      </w:r>
    </w:p>
    <w:p w14:paraId="1173FCE7" w14:textId="77777777" w:rsidR="00F52698" w:rsidRDefault="00F52698" w:rsidP="00F52698">
      <w:pPr>
        <w:pStyle w:val="NoSpacing"/>
        <w:rPr>
          <w:b/>
        </w:rPr>
      </w:pPr>
      <w:r w:rsidRPr="00857C9E">
        <w:rPr>
          <w:b/>
        </w:rPr>
        <w:t xml:space="preserve">Legal lesson learned: </w:t>
      </w:r>
      <w:r>
        <w:rPr>
          <w:b/>
        </w:rPr>
        <w:t xml:space="preserve">Trial court gave him the “max” – very appropriate for his misconduct. </w:t>
      </w:r>
    </w:p>
    <w:p w14:paraId="54D08383" w14:textId="77777777" w:rsidR="00056D43" w:rsidRDefault="00056D43" w:rsidP="00F52698">
      <w:pPr>
        <w:pStyle w:val="NoSpacing"/>
        <w:rPr>
          <w:b/>
        </w:rPr>
      </w:pPr>
    </w:p>
    <w:p w14:paraId="0DED33E3" w14:textId="77777777" w:rsidR="00056D43" w:rsidRDefault="00056D43" w:rsidP="00F52698">
      <w:pPr>
        <w:pStyle w:val="NoSpacing"/>
        <w:rPr>
          <w:b/>
        </w:rPr>
      </w:pPr>
    </w:p>
    <w:p w14:paraId="047C9DA2" w14:textId="7BF933BD" w:rsidR="00056D43" w:rsidRDefault="00056D43" w:rsidP="00F52698">
      <w:pPr>
        <w:pStyle w:val="NoSpacing"/>
        <w:rPr>
          <w:b/>
          <w:sz w:val="28"/>
          <w:szCs w:val="28"/>
        </w:rPr>
      </w:pPr>
      <w:r w:rsidRPr="00056D43">
        <w:rPr>
          <w:b/>
          <w:sz w:val="28"/>
          <w:szCs w:val="28"/>
        </w:rPr>
        <w:t>2-104</w:t>
      </w:r>
    </w:p>
    <w:p w14:paraId="0D178866" w14:textId="77777777" w:rsidR="00BE7AC1" w:rsidRDefault="00BE7AC1" w:rsidP="00F52698">
      <w:pPr>
        <w:pStyle w:val="NoSpacing"/>
        <w:rPr>
          <w:b/>
          <w:sz w:val="28"/>
          <w:szCs w:val="28"/>
        </w:rPr>
      </w:pPr>
    </w:p>
    <w:p w14:paraId="69FFCFDC" w14:textId="77777777" w:rsidR="00BE7AC1" w:rsidRPr="00847DEF" w:rsidRDefault="00BE7AC1" w:rsidP="00BE7AC1">
      <w:pPr>
        <w:pStyle w:val="NoSpacing"/>
        <w:rPr>
          <w:rFonts w:ascii="Arial Black" w:hAnsi="Arial Black"/>
          <w:sz w:val="28"/>
          <w:szCs w:val="28"/>
        </w:rPr>
      </w:pPr>
      <w:r>
        <w:rPr>
          <w:rFonts w:ascii="Arial Black" w:hAnsi="Arial Black"/>
          <w:sz w:val="28"/>
          <w:szCs w:val="28"/>
        </w:rPr>
        <w:t>TX: FD CAPTAIN / DISPATCHER – BEARD - NO OVERTIME</w:t>
      </w:r>
    </w:p>
    <w:p w14:paraId="15D60D02" w14:textId="77777777" w:rsidR="00BE7AC1" w:rsidRDefault="00BE7AC1" w:rsidP="00BE7AC1">
      <w:pPr>
        <w:pStyle w:val="NoSpacing"/>
      </w:pPr>
    </w:p>
    <w:p w14:paraId="4FBDB049" w14:textId="77777777" w:rsidR="00BE7AC1" w:rsidRDefault="00BE7AC1" w:rsidP="00BE7AC1">
      <w:pPr>
        <w:pStyle w:val="NoSpacing"/>
      </w:pPr>
      <w:r>
        <w:t xml:space="preserve">On March 6, 2026, in </w:t>
      </w:r>
      <w:r w:rsidRPr="00383B07">
        <w:rPr>
          <w:u w:val="single"/>
        </w:rPr>
        <w:t>Brandon E. O’Neal v. City of Houston, et al</w:t>
      </w:r>
      <w:r>
        <w:t xml:space="preserve">., U.S. District Court Judge </w:t>
      </w:r>
      <w:r w:rsidRPr="00925618">
        <w:t>Keith P. Ellison,</w:t>
      </w:r>
      <w:r>
        <w:t xml:space="preserve"> United States District Court for Southern District of Texas, Houston Division, denied the City’s motion for summary judgment concerning religious discrimination. The plaintiff, African American man and a devout non-denominational Christian is a </w:t>
      </w:r>
      <w:r w:rsidRPr="006A1E85">
        <w:t xml:space="preserve">Senior Communication Captain </w:t>
      </w:r>
      <w:r>
        <w:t xml:space="preserve">and dispatcher </w:t>
      </w:r>
      <w:r w:rsidRPr="006A1E85">
        <w:t xml:space="preserve">at the Houston Emergency Center </w:t>
      </w:r>
      <w:r>
        <w:t xml:space="preserve">where </w:t>
      </w:r>
      <w:r w:rsidRPr="00064791">
        <w:t>other City employees who work alongside Plaintiff</w:t>
      </w:r>
      <w:r>
        <w:t xml:space="preserve">, </w:t>
      </w:r>
      <w:r w:rsidRPr="00064791">
        <w:t>such as police officers, wear beards.</w:t>
      </w:r>
      <w:r>
        <w:t xml:space="preserve"> The Fire Department refuses to allow plaintiff to work overtime so long as he is in breach of the </w:t>
      </w:r>
      <w:proofErr w:type="gramStart"/>
      <w:r>
        <w:t>no beard</w:t>
      </w:r>
      <w:proofErr w:type="gramEnd"/>
      <w:r>
        <w:t xml:space="preserve"> policy. </w:t>
      </w:r>
      <w:hyperlink r:id="rId395" w:history="1">
        <w:r w:rsidRPr="00D74803">
          <w:rPr>
            <w:rStyle w:val="Hyperlink"/>
          </w:rPr>
          <w:t>https://public.fastcase.com/Jhe1Qn%2BmJndQYQU6z%2FeNm3W8hWyjy%2F1qvTK0bYKmSBd7FCE1skWJo447G5Oh2b2vHFVB1fMS7gUR6rAKwE%2FNSCY%2BUXiquDJL%2FDOTOozOi%2FE%3D?utm_medium=email&amp;_hsenc=p2ANqtz--CwMJ1WgahfFouwurH1AvRaq-FpGCK4j_ZGMvVW2VvGo-JzLehL1L025aP9c9K1EJ-bt_z2jfpLFjtfV3Ucq7sQ0mkPQ&amp;_hsmi=226712652&amp;utm_content=226712652&amp;utm_source=hs_email</w:t>
        </w:r>
      </w:hyperlink>
      <w:r>
        <w:t xml:space="preserve"> </w:t>
      </w:r>
    </w:p>
    <w:p w14:paraId="3B20C0F4" w14:textId="77777777" w:rsidR="00BE7AC1" w:rsidRDefault="00BE7AC1" w:rsidP="00BE7AC1">
      <w:pPr>
        <w:pStyle w:val="NoSpacing"/>
      </w:pPr>
    </w:p>
    <w:p w14:paraId="729721B6" w14:textId="77777777" w:rsidR="00BE7AC1" w:rsidRPr="00EC544D" w:rsidRDefault="00BE7AC1" w:rsidP="00BE7AC1">
      <w:pPr>
        <w:pStyle w:val="NoSpacing"/>
      </w:pPr>
      <w:r>
        <w:t>THE COURT HELD: “</w:t>
      </w:r>
      <w:r w:rsidRPr="00EC544D">
        <w:t>O'Neal is a nondenominational Christian. Since 2020, O'Neal has worn a beard. According to O'Neal, his Christian faith compels him to wear a beard, particularly during observance of the “Nazarite Vow.”</w:t>
      </w:r>
      <w:r>
        <w:t xml:space="preserve"> … </w:t>
      </w:r>
      <w:r w:rsidRPr="00EC544D">
        <w:t>(</w:t>
      </w:r>
      <w:r>
        <w:t>‘</w:t>
      </w:r>
      <w:r w:rsidRPr="00EC544D">
        <w:t xml:space="preserve">My religious belief is to have a beard as commanded and </w:t>
      </w:r>
    </w:p>
    <w:p w14:paraId="2AF5317D" w14:textId="77777777" w:rsidR="00BE7AC1" w:rsidRDefault="00BE7AC1" w:rsidP="00BE7AC1">
      <w:pPr>
        <w:pStyle w:val="NoSpacing"/>
      </w:pPr>
      <w:r w:rsidRPr="00EC544D">
        <w:t>required in the Holy Bible.</w:t>
      </w:r>
      <w:r>
        <w:t>’</w:t>
      </w:r>
      <w:r w:rsidRPr="00EC544D">
        <w:t xml:space="preserve">); </w:t>
      </w:r>
      <w:r>
        <w:t>…</w:t>
      </w:r>
      <w:r w:rsidRPr="00EC544D">
        <w:t>(</w:t>
      </w:r>
      <w:r>
        <w:t>‘</w:t>
      </w:r>
      <w:r w:rsidRPr="00EC544D">
        <w:t xml:space="preserve">When I observe the Nazarite Vow it requires no razor to touch my head and let the hair grow long.). </w:t>
      </w:r>
    </w:p>
    <w:p w14:paraId="1B785151" w14:textId="77777777" w:rsidR="00BE7AC1" w:rsidRDefault="00BE7AC1" w:rsidP="00BE7AC1">
      <w:pPr>
        <w:pStyle w:val="NoSpacing"/>
      </w:pPr>
    </w:p>
    <w:p w14:paraId="71D46026" w14:textId="77777777" w:rsidR="00BE7AC1" w:rsidRDefault="00BE7AC1" w:rsidP="00BE7AC1">
      <w:pPr>
        <w:pStyle w:val="NoSpacing"/>
      </w:pPr>
      <w:r>
        <w:t>***</w:t>
      </w:r>
    </w:p>
    <w:p w14:paraId="7B7975D5" w14:textId="77777777" w:rsidR="00BE7AC1" w:rsidRDefault="00BE7AC1" w:rsidP="00BE7AC1">
      <w:pPr>
        <w:pStyle w:val="NoSpacing"/>
      </w:pPr>
      <w:r w:rsidRPr="00064791">
        <w:t>The relevant question is therefore whether, as a matter of law, Defendant has shown that allowing O'Neal to wear a three inch long, one-and-a-half-inch thick beard presented an undue hardship. The Court concludes that it has not. Notably, Plaintiff does not work in an active firefighting setting and is not deployed in emergencies. Rather, he works in dispatch at the Houston Emergency Center (HEC), alongside many other City and non-City employees. He is not required to wear personal protective gear and has not even been issued such gear</w:t>
      </w:r>
      <w:r>
        <w:t xml:space="preserve">…. </w:t>
      </w:r>
      <w:r w:rsidRPr="00064791">
        <w:t>Chief West specifically stated in his deposition that safety concerns were not relevant to the denial of Plaintiff's request</w:t>
      </w:r>
      <w:r>
        <w:t>…. (</w:t>
      </w:r>
      <w:r w:rsidRPr="00064791">
        <w:t>Q: [D]id safety come into play in the decision to deny Captain O'Neil's request? A: Safety did not.”). Additionally, the Court took judicial notice of the fact that other City employees who work alongside Plaintiff at the HEC, such as police officers, wear beards</w:t>
      </w:r>
      <w:r>
        <w:t xml:space="preserve">…. </w:t>
      </w:r>
      <w:r w:rsidRPr="00064791">
        <w:t>Finally, the undue burden now asserted by Defendant in its summary judgment motion—</w:t>
      </w:r>
      <w:r>
        <w:t>'</w:t>
      </w:r>
      <w:r w:rsidRPr="00064791">
        <w:t>safety concerns related to O'Neal's ability to wear SCBA face piece and/or other safety equipment</w:t>
      </w:r>
      <w:r>
        <w:t>’</w:t>
      </w:r>
      <w:r w:rsidRPr="00064791">
        <w:t xml:space="preserve">—were never mentioned in the letters denying O'Neal's requests for accommodation. Thus, a jury could reasonably conclude that accommodating O'Neal's religious practice would not pose an undue hardship to the </w:t>
      </w:r>
      <w:proofErr w:type="gramStart"/>
      <w:r w:rsidRPr="00064791">
        <w:t>City</w:t>
      </w:r>
      <w:proofErr w:type="gramEnd"/>
      <w:r>
        <w:t>.”</w:t>
      </w:r>
    </w:p>
    <w:p w14:paraId="7DAA5919" w14:textId="77777777" w:rsidR="00BE7AC1" w:rsidRDefault="00BE7AC1" w:rsidP="00BE7AC1">
      <w:pPr>
        <w:pStyle w:val="NoSpacing"/>
      </w:pPr>
    </w:p>
    <w:p w14:paraId="0B290381" w14:textId="77777777" w:rsidR="00BE7AC1" w:rsidRPr="00735A39" w:rsidRDefault="00BE7AC1" w:rsidP="00BE7AC1">
      <w:pPr>
        <w:pStyle w:val="NoSpacing"/>
        <w:rPr>
          <w:b/>
          <w:bCs/>
        </w:rPr>
      </w:pPr>
      <w:r w:rsidRPr="00735A39">
        <w:rPr>
          <w:b/>
        </w:rPr>
        <w:t xml:space="preserve">Legal lesson learned: </w:t>
      </w:r>
      <w:r>
        <w:rPr>
          <w:b/>
        </w:rPr>
        <w:t xml:space="preserve">A jury will be asked to decide whether a firefighter / dispatcher must be clean-shaven. </w:t>
      </w:r>
    </w:p>
    <w:p w14:paraId="3F78233C" w14:textId="77777777" w:rsidR="00BE7AC1" w:rsidRPr="00735A39" w:rsidRDefault="00BE7AC1" w:rsidP="00BE7AC1">
      <w:pPr>
        <w:pStyle w:val="NoSpacing"/>
        <w:rPr>
          <w:b/>
          <w:bCs/>
        </w:rPr>
      </w:pPr>
    </w:p>
    <w:p w14:paraId="7EEC978D" w14:textId="77777777" w:rsidR="00BE7AC1" w:rsidRDefault="00BE7AC1" w:rsidP="00BE7AC1">
      <w:pPr>
        <w:pStyle w:val="NoSpacing"/>
        <w:rPr>
          <w:bCs/>
        </w:rPr>
      </w:pPr>
    </w:p>
    <w:p w14:paraId="3B2DE039" w14:textId="77777777" w:rsidR="00BE7AC1" w:rsidRPr="00056D43" w:rsidRDefault="00BE7AC1" w:rsidP="00F52698">
      <w:pPr>
        <w:pStyle w:val="NoSpacing"/>
        <w:rPr>
          <w:b/>
          <w:sz w:val="28"/>
          <w:szCs w:val="28"/>
        </w:rPr>
      </w:pPr>
    </w:p>
    <w:p w14:paraId="77EC5934" w14:textId="77777777" w:rsidR="00056D43" w:rsidRDefault="00056D43" w:rsidP="00F52698">
      <w:pPr>
        <w:pStyle w:val="NoSpacing"/>
        <w:rPr>
          <w:b/>
        </w:rPr>
      </w:pPr>
    </w:p>
    <w:p w14:paraId="149CAF54" w14:textId="77777777" w:rsidR="00056D43" w:rsidRPr="00857C9E" w:rsidRDefault="00056D43" w:rsidP="00F52698">
      <w:pPr>
        <w:pStyle w:val="NoSpacing"/>
        <w:rPr>
          <w:b/>
          <w:bCs/>
        </w:rPr>
      </w:pPr>
    </w:p>
    <w:p w14:paraId="29B9ED48" w14:textId="77777777" w:rsidR="00F52698" w:rsidRPr="00857C9E" w:rsidRDefault="00F52698" w:rsidP="00F52698">
      <w:pPr>
        <w:pStyle w:val="NoSpacing"/>
        <w:rPr>
          <w:b/>
          <w:bCs/>
        </w:rPr>
      </w:pPr>
    </w:p>
    <w:p w14:paraId="3038AB40" w14:textId="77777777" w:rsidR="00916D00" w:rsidRDefault="00916D00" w:rsidP="00646EE3">
      <w:pPr>
        <w:rPr>
          <w:rFonts w:ascii="Arial Black" w:hAnsi="Arial Black"/>
          <w:sz w:val="24"/>
          <w:szCs w:val="24"/>
        </w:rPr>
      </w:pPr>
    </w:p>
    <w:p w14:paraId="62B900F4" w14:textId="77777777" w:rsidR="00961DF4" w:rsidRDefault="00961DF4" w:rsidP="00646EE3">
      <w:pPr>
        <w:rPr>
          <w:rFonts w:ascii="Arial Black" w:hAnsi="Arial Black"/>
          <w:sz w:val="24"/>
          <w:szCs w:val="24"/>
        </w:rPr>
      </w:pPr>
    </w:p>
    <w:p w14:paraId="784B8DE9" w14:textId="2F72D097" w:rsidR="000A5A6C" w:rsidRDefault="000A5A6C" w:rsidP="00646EE3">
      <w:pPr>
        <w:rPr>
          <w:rFonts w:ascii="Arial Black" w:hAnsi="Arial Black"/>
          <w:sz w:val="24"/>
          <w:szCs w:val="24"/>
        </w:rPr>
      </w:pPr>
      <w:r>
        <w:rPr>
          <w:rFonts w:ascii="Arial Black" w:hAnsi="Arial Black"/>
          <w:sz w:val="24"/>
          <w:szCs w:val="24"/>
        </w:rPr>
        <w:t>2-10</w:t>
      </w:r>
      <w:r w:rsidR="00956699">
        <w:rPr>
          <w:rFonts w:ascii="Arial Black" w:hAnsi="Arial Black"/>
          <w:sz w:val="24"/>
          <w:szCs w:val="24"/>
        </w:rPr>
        <w:t>3</w:t>
      </w:r>
    </w:p>
    <w:p w14:paraId="1B991A90" w14:textId="77777777" w:rsidR="000A5A6C" w:rsidRPr="00086CAB" w:rsidRDefault="000A5A6C" w:rsidP="000A5A6C">
      <w:pPr>
        <w:pStyle w:val="NoSpacing"/>
        <w:rPr>
          <w:rFonts w:ascii="Arial Black" w:hAnsi="Arial Black"/>
          <w:sz w:val="28"/>
          <w:szCs w:val="28"/>
        </w:rPr>
      </w:pPr>
      <w:r>
        <w:rPr>
          <w:rFonts w:ascii="Arial Black" w:hAnsi="Arial Black"/>
          <w:sz w:val="28"/>
          <w:szCs w:val="28"/>
        </w:rPr>
        <w:t xml:space="preserve">MD: 3 LODDs – BLDG NOT MARKED / CAD – WK COMP ONLY </w:t>
      </w:r>
    </w:p>
    <w:p w14:paraId="5B9CBA63" w14:textId="77777777" w:rsidR="000A5A6C" w:rsidRDefault="000A5A6C" w:rsidP="000A5A6C">
      <w:pPr>
        <w:pStyle w:val="NoSpacing"/>
      </w:pPr>
    </w:p>
    <w:p w14:paraId="26A74B06" w14:textId="77777777" w:rsidR="000A5A6C" w:rsidRDefault="000A5A6C" w:rsidP="000A5A6C">
      <w:pPr>
        <w:pStyle w:val="NoSpacing"/>
      </w:pPr>
      <w:r>
        <w:t xml:space="preserve">On Feb. 20, 2026, in </w:t>
      </w:r>
      <w:r w:rsidRPr="00326D71">
        <w:rPr>
          <w:u w:val="single"/>
        </w:rPr>
        <w:t>Rachel Butrim, et al. v. Mayor and City Council of Baltimore</w:t>
      </w:r>
      <w:r>
        <w:t xml:space="preserve">,  U.S. District Court Judge </w:t>
      </w:r>
      <w:r w:rsidRPr="00326D71">
        <w:t>Matthew J. Maddox</w:t>
      </w:r>
      <w:r>
        <w:t xml:space="preserve">. United States District Court for the District of Maryland dismissed the lawsuit by the families of the three firefighters who died on January 24, </w:t>
      </w:r>
      <w:proofErr w:type="gramStart"/>
      <w:r>
        <w:t>2022</w:t>
      </w:r>
      <w:proofErr w:type="gramEnd"/>
      <w:r>
        <w:t xml:space="preserve"> in a condemned rowhome (no marking; not in CAD) since there was no proof of City’s </w:t>
      </w:r>
      <w:r w:rsidRPr="00086CAB">
        <w:t>“deliberate intent of the employer to injure or kill</w:t>
      </w:r>
      <w:r>
        <w:t>.</w:t>
      </w:r>
      <w:r w:rsidRPr="00086CAB">
        <w:t>”</w:t>
      </w:r>
      <w:r>
        <w:t xml:space="preserve">  Their sole remedy is worker’s comp. This is the second lawsuit filed by the families; first dismissed by Judge Maddox on </w:t>
      </w:r>
      <w:r w:rsidRPr="000626FA">
        <w:t xml:space="preserve">Dec. </w:t>
      </w:r>
      <w:r>
        <w:t>20</w:t>
      </w:r>
      <w:r w:rsidRPr="000626FA">
        <w:t>, 2024</w:t>
      </w:r>
      <w:r>
        <w:t>, and this case was filed in state court alleging “</w:t>
      </w:r>
      <w:r w:rsidRPr="00973E1E">
        <w:t>state-created danger</w:t>
      </w:r>
      <w:r>
        <w:t xml:space="preserve">” and then removed by City to federal court.  </w:t>
      </w:r>
      <w:hyperlink r:id="rId396" w:history="1">
        <w:r w:rsidRPr="00700767">
          <w:rPr>
            <w:rStyle w:val="Hyperlink"/>
          </w:rPr>
          <w:t>https://cases.justia.com/federal/district-courts/maryland/mddce/1:2025cv00796/578117/19/0.pdf?ts=1771692701</w:t>
        </w:r>
      </w:hyperlink>
      <w:r>
        <w:t xml:space="preserve"> </w:t>
      </w:r>
    </w:p>
    <w:p w14:paraId="7AF5DD99" w14:textId="77777777" w:rsidR="000A5A6C" w:rsidRDefault="000A5A6C" w:rsidP="000A5A6C">
      <w:pPr>
        <w:pStyle w:val="NoSpacing"/>
      </w:pPr>
    </w:p>
    <w:p w14:paraId="45432E2B" w14:textId="77777777" w:rsidR="000A5A6C" w:rsidRPr="00A539D8" w:rsidRDefault="000A5A6C" w:rsidP="000A5A6C">
      <w:pPr>
        <w:pStyle w:val="NoSpacing"/>
      </w:pPr>
      <w:r>
        <w:t>THE COURT HELD:  “</w:t>
      </w:r>
      <w:r w:rsidRPr="001B1356">
        <w:t>In the minutes before 6:00 a.m. on January 24, 2022, firefighters from the Third Battalion of the Baltimore City Fire Department (</w:t>
      </w:r>
      <w:r>
        <w:t>‘</w:t>
      </w:r>
      <w:r w:rsidRPr="001B1356">
        <w:t>BFD</w:t>
      </w:r>
      <w:r>
        <w:t>’</w:t>
      </w:r>
      <w:r w:rsidRPr="001B1356">
        <w:t xml:space="preserve">) responded to a fire at 205 South Stricker Street (the </w:t>
      </w:r>
      <w:r>
        <w:t>‘</w:t>
      </w:r>
      <w:r w:rsidRPr="001B1356">
        <w:t>Property</w:t>
      </w:r>
      <w:r>
        <w:t>’</w:t>
      </w:r>
      <w:r w:rsidRPr="001B1356">
        <w:t>), a condemned rowhome in the Mount Clare neighborhood of Baltimore, Maryland</w:t>
      </w:r>
      <w:r>
        <w:t xml:space="preserve">…. </w:t>
      </w:r>
      <w:r w:rsidRPr="001B1356">
        <w:t>Six firefighters were ordered to enter the structure, and the house collapsed moments later</w:t>
      </w:r>
      <w:r>
        <w:t xml:space="preserve">…. </w:t>
      </w:r>
      <w:r w:rsidRPr="001B1356">
        <w:t>There were no markings or placards placed outside the Property indicating that it was structurally compromised</w:t>
      </w:r>
      <w:r>
        <w:t xml:space="preserve">…. </w:t>
      </w:r>
      <w:r w:rsidRPr="001B1356">
        <w:t xml:space="preserve"> After the collapse, a rescue team removed two firefighters from the home; three of the others-Paul Butrim, Kelsey Sadler, and Kenneth Lacayo-died; and the sixth firefighter-John McMaster-sustained serious permanent injuries</w:t>
      </w:r>
      <w:r>
        <w:t>….</w:t>
      </w:r>
      <w:r w:rsidRPr="001B1356">
        <w:t xml:space="preserve"> (Paul Butrim, Kelsey Sadler, Kenneth Lacayo, and John McMaster are referred to herein as </w:t>
      </w:r>
      <w:r>
        <w:t>‘</w:t>
      </w:r>
      <w:r w:rsidRPr="001B1356">
        <w:t>Plaintiff Firefighters.</w:t>
      </w:r>
      <w:r>
        <w:t>’</w:t>
      </w:r>
      <w:r w:rsidRPr="001B1356">
        <w:t>)</w:t>
      </w:r>
      <w:r>
        <w:t xml:space="preserve">… </w:t>
      </w:r>
      <w:r w:rsidRPr="00F463A5">
        <w:t xml:space="preserve">In 2010, </w:t>
      </w:r>
      <w:r>
        <w:t>‘</w:t>
      </w:r>
      <w:r w:rsidRPr="00F463A5">
        <w:t>to comply with federal regulators and industry standards,</w:t>
      </w:r>
      <w:r>
        <w:t>’</w:t>
      </w:r>
      <w:r w:rsidRPr="00F463A5">
        <w:t xml:space="preserve"> as well as </w:t>
      </w:r>
      <w:r>
        <w:t>‘</w:t>
      </w:r>
      <w:r w:rsidRPr="00F463A5">
        <w:t>in response to the ‘serious known threats associated with unsafe vacant buildings,” the City implemented a program called Code X-Ray to ensure that firefighters would never be ordered into a structurally unsafe condemned property</w:t>
      </w:r>
      <w:r>
        <w:t xml:space="preserve">…. </w:t>
      </w:r>
      <w:r w:rsidRPr="00F463A5">
        <w:t xml:space="preserve">Under Code X-Ray, the </w:t>
      </w:r>
      <w:proofErr w:type="gramStart"/>
      <w:r w:rsidRPr="00F463A5">
        <w:t>City</w:t>
      </w:r>
      <w:proofErr w:type="gramEnd"/>
      <w:r w:rsidRPr="00F463A5">
        <w:t xml:space="preserve"> marked structurally compromised buildings with reflective placards or a painted red X, which warned firefighters not to enter</w:t>
      </w:r>
      <w:r>
        <w:t xml:space="preserve">…. </w:t>
      </w:r>
      <w:r w:rsidRPr="00F463A5">
        <w:t xml:space="preserve">A marking system like Code X-Ray was necessary for the City to secure and maintain grants for municipal services, as new federal funding was </w:t>
      </w:r>
      <w:r>
        <w:t>‘</w:t>
      </w:r>
      <w:r w:rsidRPr="00F463A5">
        <w:t>increasingly conditioned on adequate safety and mitigation strategies for vacant and condemned properties.</w:t>
      </w:r>
      <w:r>
        <w:t xml:space="preserve">’ … According to the Complaint, Plaintiff Firefighters would not have continued working for the </w:t>
      </w:r>
      <w:proofErr w:type="gramStart"/>
      <w:r>
        <w:t>City</w:t>
      </w:r>
      <w:proofErr w:type="gramEnd"/>
      <w:r>
        <w:t xml:space="preserve"> if they knew that it had lied about Code X-Ray’s discontinuation ‘because they valued their lives and families more than their municipal jobs.’ *** </w:t>
      </w:r>
      <w:r w:rsidRPr="00A539D8">
        <w:t xml:space="preserve">But even if all the foregoing acts attributed to the </w:t>
      </w:r>
      <w:proofErr w:type="gramStart"/>
      <w:r w:rsidRPr="00A539D8">
        <w:t>City</w:t>
      </w:r>
      <w:proofErr w:type="gramEnd"/>
      <w:r w:rsidRPr="00A539D8">
        <w:t xml:space="preserve"> constituted </w:t>
      </w:r>
      <w:r>
        <w:t>‘</w:t>
      </w:r>
      <w:r w:rsidRPr="00A539D8">
        <w:t>affirmative acts</w:t>
      </w:r>
      <w:r>
        <w:t xml:space="preserve">’ </w:t>
      </w:r>
      <w:r w:rsidRPr="00A539D8">
        <w:t>for purposes of a state-created danger claim, Plaintiffs do not allege any facts to support a reasonable inference that any City or BFD official, at any point, acted “</w:t>
      </w:r>
      <w:r w:rsidRPr="00A539D8">
        <w:rPr>
          <w:i/>
          <w:iCs/>
        </w:rPr>
        <w:t>with the purpose of</w:t>
      </w:r>
      <w:r w:rsidRPr="00A539D8">
        <w:t>” harming Plaintiff Firefighters.</w:t>
      </w:r>
      <w:r>
        <w:t xml:space="preserve">” </w:t>
      </w:r>
    </w:p>
    <w:p w14:paraId="3D4EFD90" w14:textId="77777777" w:rsidR="000A5A6C" w:rsidRPr="001B1356" w:rsidRDefault="000A5A6C" w:rsidP="000A5A6C">
      <w:pPr>
        <w:pStyle w:val="NoSpacing"/>
      </w:pPr>
    </w:p>
    <w:p w14:paraId="1A626444" w14:textId="77777777" w:rsidR="000A5A6C" w:rsidRPr="00F27D15" w:rsidRDefault="000A5A6C" w:rsidP="000A5A6C">
      <w:pPr>
        <w:pStyle w:val="NoSpacing"/>
        <w:rPr>
          <w:b/>
          <w:bCs/>
        </w:rPr>
      </w:pPr>
      <w:r>
        <w:rPr>
          <w:b/>
        </w:rPr>
        <w:t xml:space="preserve">Legal lesson learned: Tragic set of facts, but worker’s comp appears to be the only remedy of the families of the three firefighters killed in this abandoned rowhome. </w:t>
      </w:r>
    </w:p>
    <w:p w14:paraId="4BAD4E35" w14:textId="77777777" w:rsidR="000A5A6C" w:rsidRDefault="000A5A6C" w:rsidP="000A5A6C">
      <w:pPr>
        <w:pStyle w:val="NoSpacing"/>
      </w:pPr>
    </w:p>
    <w:p w14:paraId="35FBE551" w14:textId="529E285C" w:rsidR="000A5A6C" w:rsidRDefault="000A5A6C" w:rsidP="000A5A6C">
      <w:pPr>
        <w:rPr>
          <w:rFonts w:ascii="Arial Black" w:hAnsi="Arial Black"/>
          <w:sz w:val="24"/>
          <w:szCs w:val="24"/>
        </w:rPr>
      </w:pPr>
      <w:r>
        <w:t xml:space="preserve">Note: See the first case that was dismissed in 2024. </w:t>
      </w:r>
      <w:r w:rsidRPr="008A697E">
        <w:rPr>
          <w:i/>
          <w:iCs/>
        </w:rPr>
        <w:t>Butrim v. Mayor of Balt.</w:t>
      </w:r>
      <w:r w:rsidRPr="008A697E">
        <w:t xml:space="preserve"> (“</w:t>
      </w:r>
      <w:r w:rsidRPr="008A697E">
        <w:rPr>
          <w:i/>
          <w:iCs/>
        </w:rPr>
        <w:t>Butrim I</w:t>
      </w:r>
      <w:r w:rsidRPr="008A697E">
        <w:t>”),</w:t>
      </w:r>
      <w:r>
        <w:t xml:space="preserve"> </w:t>
      </w:r>
      <w:hyperlink r:id="rId397" w:history="1">
        <w:r w:rsidRPr="00700767">
          <w:rPr>
            <w:rStyle w:val="Hyperlink"/>
          </w:rPr>
          <w:t>https://cases.justia.com/federal/district-courts/maryland/mddce/1:2025cv00796/578117/19/0.pdf?ts=1771692701</w:t>
        </w:r>
      </w:hyperlink>
    </w:p>
    <w:p w14:paraId="057430E4" w14:textId="77777777" w:rsidR="000A5A6C" w:rsidRDefault="000A5A6C" w:rsidP="00646EE3">
      <w:pPr>
        <w:rPr>
          <w:rFonts w:ascii="Arial Black" w:hAnsi="Arial Black"/>
          <w:sz w:val="24"/>
          <w:szCs w:val="24"/>
        </w:rPr>
      </w:pPr>
    </w:p>
    <w:p w14:paraId="4FF3758D" w14:textId="34709832" w:rsidR="000A5A6C" w:rsidRDefault="005E79E8" w:rsidP="00646EE3">
      <w:pPr>
        <w:rPr>
          <w:rFonts w:ascii="Arial Black" w:hAnsi="Arial Black"/>
          <w:sz w:val="24"/>
          <w:szCs w:val="24"/>
        </w:rPr>
      </w:pPr>
      <w:r>
        <w:rPr>
          <w:rFonts w:ascii="Arial Black" w:hAnsi="Arial Black"/>
          <w:sz w:val="24"/>
          <w:szCs w:val="24"/>
        </w:rPr>
        <w:t>2-10</w:t>
      </w:r>
      <w:r w:rsidR="00956699">
        <w:rPr>
          <w:rFonts w:ascii="Arial Black" w:hAnsi="Arial Black"/>
          <w:sz w:val="24"/>
          <w:szCs w:val="24"/>
        </w:rPr>
        <w:t>2</w:t>
      </w:r>
    </w:p>
    <w:p w14:paraId="7A0E3919" w14:textId="77777777" w:rsidR="005E79E8" w:rsidRDefault="005E79E8" w:rsidP="005E79E8">
      <w:pPr>
        <w:pStyle w:val="NoSpacing"/>
        <w:rPr>
          <w:rFonts w:ascii="Arial Black" w:hAnsi="Arial Black"/>
          <w:bCs/>
          <w:sz w:val="28"/>
          <w:szCs w:val="28"/>
        </w:rPr>
      </w:pPr>
      <w:r>
        <w:rPr>
          <w:rFonts w:ascii="Arial Black" w:hAnsi="Arial Black"/>
          <w:sz w:val="28"/>
          <w:szCs w:val="28"/>
        </w:rPr>
        <w:t>GA: FF LOST FINGERS – CARGO TRAY MFR – PUNITIVE DAM.</w:t>
      </w:r>
    </w:p>
    <w:p w14:paraId="0EB16D3F" w14:textId="77777777" w:rsidR="005E79E8" w:rsidRDefault="005E79E8" w:rsidP="005E79E8">
      <w:pPr>
        <w:pStyle w:val="NoSpacing"/>
        <w:rPr>
          <w:bCs/>
        </w:rPr>
      </w:pPr>
    </w:p>
    <w:p w14:paraId="13A1BD57" w14:textId="77777777" w:rsidR="005E79E8" w:rsidRPr="00497602" w:rsidRDefault="005E79E8" w:rsidP="005E79E8">
      <w:pPr>
        <w:pStyle w:val="NoSpacing"/>
        <w:rPr>
          <w:bCs/>
        </w:rPr>
      </w:pPr>
      <w:r>
        <w:t xml:space="preserve">On February 12, 2026, in </w:t>
      </w:r>
      <w:r w:rsidRPr="00901190">
        <w:rPr>
          <w:u w:val="single"/>
        </w:rPr>
        <w:t xml:space="preserve">Joshua Tayor Chillous v. Kovatch Mobile Equipment Corporation and </w:t>
      </w:r>
      <w:proofErr w:type="spellStart"/>
      <w:r w:rsidRPr="00901190">
        <w:rPr>
          <w:u w:val="single"/>
        </w:rPr>
        <w:t>Onscene</w:t>
      </w:r>
      <w:proofErr w:type="spellEnd"/>
      <w:r w:rsidRPr="00901190">
        <w:rPr>
          <w:u w:val="single"/>
        </w:rPr>
        <w:t xml:space="preserve"> Solutions, LLC</w:t>
      </w:r>
      <w:r>
        <w:t xml:space="preserve">, U.S. District Court Judge Lisa Godbey Wood, </w:t>
      </w:r>
      <w:r w:rsidRPr="00497602">
        <w:t xml:space="preserve">United States District Court for </w:t>
      </w:r>
      <w:r>
        <w:t>S</w:t>
      </w:r>
      <w:r w:rsidRPr="00497602">
        <w:t>outhern District of Georgia, Brunswick Division</w:t>
      </w:r>
      <w:r>
        <w:t xml:space="preserve">, denied partial summary judgments by </w:t>
      </w:r>
      <w:proofErr w:type="spellStart"/>
      <w:r>
        <w:t>OnScene</w:t>
      </w:r>
      <w:proofErr w:type="spellEnd"/>
      <w:r>
        <w:t xml:space="preserve"> (sued for punitive damages; bolts were too short); and KME for negligence (3 fire engines needing repair in Norfolk, Groton, and Guam, but never inspected this engine).  The plaintiff, a civilian firefighter at Kings Bay Naval Base, had two fingers severed on June 16, </w:t>
      </w:r>
      <w:proofErr w:type="gramStart"/>
      <w:r>
        <w:t>2022</w:t>
      </w:r>
      <w:proofErr w:type="gramEnd"/>
      <w:r>
        <w:t xml:space="preserve"> when the cargo bay fell off the KME engine. </w:t>
      </w:r>
      <w:hyperlink r:id="rId398" w:history="1">
        <w:r w:rsidRPr="00C72C21">
          <w:rPr>
            <w:rStyle w:val="Hyperlink"/>
          </w:rPr>
          <w:t>https://cases.justia.com/federal/district-courts/georgia/gasdce/2:2024cv00049/96644/96/0.pdf?ts=1771001361</w:t>
        </w:r>
      </w:hyperlink>
      <w:r>
        <w:t xml:space="preserve"> </w:t>
      </w:r>
    </w:p>
    <w:p w14:paraId="4E5F865A" w14:textId="77777777" w:rsidR="005E79E8" w:rsidRDefault="005E79E8" w:rsidP="005E79E8">
      <w:pPr>
        <w:pStyle w:val="NoSpacing"/>
        <w:rPr>
          <w:bCs/>
        </w:rPr>
      </w:pPr>
    </w:p>
    <w:p w14:paraId="41B21A30" w14:textId="77777777" w:rsidR="005E79E8" w:rsidRDefault="005E79E8" w:rsidP="005E79E8">
      <w:pPr>
        <w:pStyle w:val="NoSpacing"/>
        <w:rPr>
          <w:bCs/>
        </w:rPr>
      </w:pPr>
      <w:r>
        <w:t>THE COURT HELD: “</w:t>
      </w:r>
      <w:r w:rsidRPr="008B2C56">
        <w:t>Plaintiff filed this personal injury action after he was injured by an allegedly defective sliding cargo tray attached to a firetruck located at Kings Bay Naval Base in St. Mary's, Georgia</w:t>
      </w:r>
      <w:r>
        <w:t>…</w:t>
      </w:r>
      <w:r w:rsidRPr="008B2C56">
        <w:t>. On June 16, 2022, Plaintiff, a civil firefighter employed by the Department of Defense, was attempting to access the cargo tray while gathering supplies for an emergency when the deployed tray fell to the ground, trapping his middle and ring finger and severing both fingers at the first joint</w:t>
      </w:r>
      <w:r>
        <w:t xml:space="preserve">…. </w:t>
      </w:r>
      <w:r w:rsidRPr="008B2C56">
        <w:t xml:space="preserve"> A Naval Safety Specialist, Dean Merrill, later investigated the incident and reported that the screws of the tray door had failed, the screws being too short for the screw hold</w:t>
      </w:r>
      <w:r>
        <w:t xml:space="preserve">…. </w:t>
      </w:r>
      <w:proofErr w:type="spellStart"/>
      <w:r w:rsidRPr="008B2C56">
        <w:t>OnScene</w:t>
      </w:r>
      <w:proofErr w:type="spellEnd"/>
      <w:r w:rsidRPr="008B2C56">
        <w:t xml:space="preserve"> designed and built the cargo tray, including the stopping mechanism</w:t>
      </w:r>
      <w:r>
        <w:t xml:space="preserve">…. </w:t>
      </w:r>
      <w:r w:rsidRPr="008B2C56">
        <w:t>The tray was then affixed to the firetruck by the truck's manufacturer, KME, who then sold the truck to the Department of the Navy (</w:t>
      </w:r>
      <w:r>
        <w:t>‘</w:t>
      </w:r>
      <w:r w:rsidRPr="008B2C56">
        <w:t>the Navy</w:t>
      </w:r>
      <w:r>
        <w:t>’</w:t>
      </w:r>
      <w:r w:rsidRPr="008B2C56">
        <w:t>)</w:t>
      </w:r>
      <w:r>
        <w:t xml:space="preserve">…. </w:t>
      </w:r>
      <w:r w:rsidRPr="000F01AB">
        <w:t xml:space="preserve">Plaintiff also points to deposition testimony provided by an </w:t>
      </w:r>
      <w:proofErr w:type="spellStart"/>
      <w:r w:rsidRPr="000F01AB">
        <w:t>OnScene</w:t>
      </w:r>
      <w:proofErr w:type="spellEnd"/>
      <w:r w:rsidRPr="000F01AB">
        <w:t xml:space="preserve"> representative that the cargo tray was approved by non-engineers, after alleged tests that did not include calculations of expected force exerted in the field, even though </w:t>
      </w:r>
      <w:proofErr w:type="spellStart"/>
      <w:r w:rsidRPr="000F01AB">
        <w:t>OnScene</w:t>
      </w:r>
      <w:proofErr w:type="spellEnd"/>
      <w:r w:rsidRPr="000F01AB">
        <w:t xml:space="preserve"> was aware of the danger of a defective cargo tray at the inception of the product</w:t>
      </w:r>
      <w:r>
        <w:t xml:space="preserve">…. </w:t>
      </w:r>
      <w:r w:rsidRPr="000F01AB">
        <w:t xml:space="preserve">Further, </w:t>
      </w:r>
      <w:proofErr w:type="spellStart"/>
      <w:r w:rsidRPr="000F01AB">
        <w:t>OnScene</w:t>
      </w:r>
      <w:proofErr w:type="spellEnd"/>
      <w:r w:rsidRPr="000F01AB">
        <w:t xml:space="preserve"> retained no documentation of the tests</w:t>
      </w:r>
      <w:r>
        <w:t>….  N</w:t>
      </w:r>
      <w:r w:rsidRPr="000F01AB">
        <w:t xml:space="preserve">or did </w:t>
      </w:r>
      <w:proofErr w:type="spellStart"/>
      <w:r w:rsidRPr="000F01AB">
        <w:t>OnScene</w:t>
      </w:r>
      <w:proofErr w:type="spellEnd"/>
      <w:r w:rsidRPr="000F01AB">
        <w:t xml:space="preserve"> retain any design drawings or documents identifying the defective units</w:t>
      </w:r>
      <w:r>
        <w:t xml:space="preserve">…. </w:t>
      </w:r>
      <w:proofErr w:type="spellStart"/>
      <w:r w:rsidRPr="00FA6BE6">
        <w:t>OnScene</w:t>
      </w:r>
      <w:proofErr w:type="spellEnd"/>
      <w:r w:rsidRPr="00FA6BE6">
        <w:t xml:space="preserve"> had identified three trucks with short hardware, Norfolk, Groton, and Guam, omitting the truck at Kings Bay</w:t>
      </w:r>
      <w:r>
        <w:t xml:space="preserve">. *** </w:t>
      </w:r>
      <w:r w:rsidRPr="002478EA">
        <w:t>From these facts, a reasonable jury could conclude that KME's failure to inspect the Kings Bay truck or identify the Kings Bay truck as having a defective cargo tray would foreseeably lead to Plaintiff's injury.</w:t>
      </w:r>
    </w:p>
    <w:p w14:paraId="68A38810" w14:textId="77777777" w:rsidR="005E79E8" w:rsidRDefault="005E79E8" w:rsidP="005E79E8">
      <w:pPr>
        <w:pStyle w:val="NoSpacing"/>
        <w:rPr>
          <w:bCs/>
        </w:rPr>
      </w:pPr>
    </w:p>
    <w:p w14:paraId="64A7CBD7" w14:textId="77777777" w:rsidR="005E79E8" w:rsidRPr="00BE1E86" w:rsidRDefault="005E79E8" w:rsidP="005E79E8">
      <w:pPr>
        <w:pStyle w:val="NoSpacing"/>
        <w:rPr>
          <w:b/>
        </w:rPr>
      </w:pPr>
      <w:r>
        <w:rPr>
          <w:b/>
        </w:rPr>
        <w:t xml:space="preserve">Legal lesson learned: The civilian firefighter may now proceed to trial and seek from a </w:t>
      </w:r>
      <w:proofErr w:type="gramStart"/>
      <w:r>
        <w:rPr>
          <w:b/>
        </w:rPr>
        <w:t>jury punitive damages</w:t>
      </w:r>
      <w:proofErr w:type="gramEnd"/>
      <w:r>
        <w:rPr>
          <w:b/>
        </w:rPr>
        <w:t xml:space="preserve"> against </w:t>
      </w:r>
      <w:proofErr w:type="spellStart"/>
      <w:r>
        <w:rPr>
          <w:b/>
        </w:rPr>
        <w:t>OnScene</w:t>
      </w:r>
      <w:proofErr w:type="spellEnd"/>
      <w:r>
        <w:rPr>
          <w:b/>
        </w:rPr>
        <w:t xml:space="preserve"> and ordinary damages against KME. </w:t>
      </w:r>
    </w:p>
    <w:p w14:paraId="1DE52020" w14:textId="77777777" w:rsidR="005E79E8" w:rsidRDefault="005E79E8" w:rsidP="00646EE3">
      <w:pPr>
        <w:rPr>
          <w:rFonts w:ascii="Arial Black" w:hAnsi="Arial Black"/>
          <w:sz w:val="24"/>
          <w:szCs w:val="24"/>
        </w:rPr>
      </w:pPr>
    </w:p>
    <w:p w14:paraId="4BF2F962" w14:textId="71A37097" w:rsidR="0082202A" w:rsidRDefault="00E90661" w:rsidP="00646EE3">
      <w:pPr>
        <w:rPr>
          <w:rFonts w:ascii="Arial Black" w:hAnsi="Arial Black"/>
          <w:sz w:val="24"/>
          <w:szCs w:val="24"/>
        </w:rPr>
      </w:pPr>
      <w:r>
        <w:rPr>
          <w:rFonts w:ascii="Arial Black" w:hAnsi="Arial Black"/>
          <w:sz w:val="24"/>
          <w:szCs w:val="24"/>
        </w:rPr>
        <w:t>2-</w:t>
      </w:r>
      <w:r w:rsidR="00016469">
        <w:rPr>
          <w:rFonts w:ascii="Arial Black" w:hAnsi="Arial Black"/>
          <w:sz w:val="24"/>
          <w:szCs w:val="24"/>
        </w:rPr>
        <w:t>10</w:t>
      </w:r>
      <w:r w:rsidR="00956699">
        <w:rPr>
          <w:rFonts w:ascii="Arial Black" w:hAnsi="Arial Black"/>
          <w:sz w:val="24"/>
          <w:szCs w:val="24"/>
        </w:rPr>
        <w:t>1</w:t>
      </w:r>
    </w:p>
    <w:p w14:paraId="51AAAB58" w14:textId="77777777" w:rsidR="00016469" w:rsidRPr="00D70545" w:rsidRDefault="00016469" w:rsidP="00016469">
      <w:pPr>
        <w:rPr>
          <w:rFonts w:ascii="Arial Black" w:hAnsi="Arial Black"/>
          <w:b/>
          <w:sz w:val="28"/>
          <w:szCs w:val="28"/>
        </w:rPr>
      </w:pPr>
      <w:r>
        <w:rPr>
          <w:rFonts w:ascii="Arial Black" w:hAnsi="Arial Black"/>
          <w:b/>
          <w:sz w:val="28"/>
          <w:szCs w:val="28"/>
        </w:rPr>
        <w:t xml:space="preserve">NY: FIRE CHIEF – BURNED BY SHOE INSOLE HEATER </w:t>
      </w:r>
    </w:p>
    <w:p w14:paraId="1B7C2C1B" w14:textId="77777777" w:rsidR="00016469" w:rsidRDefault="00016469" w:rsidP="00016469">
      <w:r>
        <w:t xml:space="preserve">On Jan. 22, 2026, in </w:t>
      </w:r>
      <w:r w:rsidRPr="00D86CB4">
        <w:rPr>
          <w:u w:val="single"/>
        </w:rPr>
        <w:t xml:space="preserve">Gregory George v, Shenzhen </w:t>
      </w:r>
      <w:proofErr w:type="spellStart"/>
      <w:r w:rsidRPr="00D86CB4">
        <w:rPr>
          <w:u w:val="single"/>
        </w:rPr>
        <w:t>Tejiali</w:t>
      </w:r>
      <w:proofErr w:type="spellEnd"/>
      <w:r w:rsidRPr="00D86CB4">
        <w:rPr>
          <w:u w:val="single"/>
        </w:rPr>
        <w:t xml:space="preserve"> Technology Co., LTB, d/b/a IHeat</w:t>
      </w:r>
      <w:r>
        <w:t>, U.S. Chief District Court Judge Brenda K. Sannes, United States District Court for Northern District of New York, granted the plaintiff’s m</w:t>
      </w:r>
      <w:r w:rsidRPr="00EB443B">
        <w:t xml:space="preserve">otion for </w:t>
      </w:r>
      <w:r>
        <w:t>d</w:t>
      </w:r>
      <w:r w:rsidRPr="00EB443B">
        <w:t xml:space="preserve">efault </w:t>
      </w:r>
      <w:r>
        <w:t>j</w:t>
      </w:r>
      <w:r w:rsidRPr="00EB443B">
        <w:t>udgmen</w:t>
      </w:r>
      <w:r>
        <w:t xml:space="preserve">t against the manufacturer of the </w:t>
      </w:r>
      <w:r w:rsidRPr="006C1CE4">
        <w:t>lithium battery-powered heated shoe insoles</w:t>
      </w:r>
      <w:r>
        <w:t xml:space="preserve">, located in </w:t>
      </w:r>
      <w:r w:rsidRPr="006C1CE4">
        <w:t>Shenzhen, Guangdong, People's Republic of China</w:t>
      </w:r>
      <w:r>
        <w:t xml:space="preserve">, which he bought through Amazon.  The manufacturer </w:t>
      </w:r>
      <w:r w:rsidRPr="009D675B">
        <w:t>has not answered the complaint or appeared in this action.</w:t>
      </w:r>
      <w:r>
        <w:t xml:space="preserve">  </w:t>
      </w:r>
      <w:hyperlink r:id="rId399" w:history="1">
        <w:r w:rsidRPr="004147E7">
          <w:rPr>
            <w:rStyle w:val="Hyperlink"/>
          </w:rPr>
          <w:t>https://cases.justia.com/federal/district-courts/new-york/nyndce/6:2024cv00956/144608/40/0.pdf?ts=1769171952</w:t>
        </w:r>
      </w:hyperlink>
      <w:r>
        <w:t xml:space="preserve"> </w:t>
      </w:r>
    </w:p>
    <w:p w14:paraId="05B4D92F" w14:textId="77777777" w:rsidR="00016469" w:rsidRDefault="00016469" w:rsidP="00016469">
      <w:r>
        <w:t>THE COURT HELD:</w:t>
      </w:r>
    </w:p>
    <w:p w14:paraId="05FC9D98" w14:textId="77777777" w:rsidR="00016469" w:rsidRDefault="00016469" w:rsidP="00016469">
      <w:pPr>
        <w:ind w:left="720"/>
      </w:pPr>
      <w:r>
        <w:t xml:space="preserve">“Gregory </w:t>
      </w:r>
      <w:r w:rsidRPr="00B008B4">
        <w:t xml:space="preserve">George turned the insoles on </w:t>
      </w:r>
      <w:r>
        <w:t>‘</w:t>
      </w:r>
      <w:r w:rsidRPr="00B008B4">
        <w:t>in accordance with the instructions, put them in his boots, put socks on his feet, and put his boots on.</w:t>
      </w:r>
      <w:r>
        <w:t>’…</w:t>
      </w:r>
      <w:r w:rsidRPr="00B008B4">
        <w:t>He set the insoles to the medium setting (which could heat to a temperature range of 122-131°F) and walked outside</w:t>
      </w:r>
      <w:r>
        <w:t xml:space="preserve">…. </w:t>
      </w:r>
      <w:r w:rsidRPr="00B008B4">
        <w:t xml:space="preserve"> Around five minutes </w:t>
      </w:r>
      <w:proofErr w:type="gramStart"/>
      <w:r w:rsidRPr="00B008B4">
        <w:t xml:space="preserve">later, </w:t>
      </w:r>
      <w:r>
        <w:t>‘</w:t>
      </w:r>
      <w:proofErr w:type="gramEnd"/>
      <w:r w:rsidRPr="00B008B4">
        <w:t>he felt an electric shock to his right foot and his right boot burst into flames.</w:t>
      </w:r>
      <w:r>
        <w:t xml:space="preserve">’ … </w:t>
      </w:r>
      <w:r w:rsidRPr="00B008B4">
        <w:t xml:space="preserve">It took him about 40 seconds to take the boot off. </w:t>
      </w:r>
      <w:r>
        <w:t>‘</w:t>
      </w:r>
      <w:r w:rsidRPr="00B008B4">
        <w:t>George's right foot was severely burned, the skin of his right foot was blackened and some had started to peel off, and he was in extreme pain.</w:t>
      </w:r>
      <w:r>
        <w:t>’ ,,,</w:t>
      </w:r>
      <w:r w:rsidRPr="00B008B4">
        <w:t xml:space="preserve"> He went to the hospital, </w:t>
      </w:r>
      <w:r>
        <w:t>w</w:t>
      </w:r>
      <w:r w:rsidRPr="00B008B4">
        <w:t xml:space="preserve">here he was diagnosed with </w:t>
      </w:r>
      <w:r>
        <w:t>‘</w:t>
      </w:r>
      <w:r w:rsidRPr="00B008B4">
        <w:t>second-degree burns, as well as full-thickness, or third-degree, burns covering 1.5% of his right foot.</w:t>
      </w:r>
      <w:r>
        <w:t xml:space="preserve">’ … </w:t>
      </w:r>
      <w:r w:rsidRPr="00B008B4">
        <w:t xml:space="preserve"> The affected skin was debrided, and he was referred to a burn center for further care</w:t>
      </w:r>
      <w:r>
        <w:t xml:space="preserve">…. </w:t>
      </w:r>
      <w:r w:rsidRPr="00B008B4">
        <w:t xml:space="preserve"> There, he received in-patient wound care for five days</w:t>
      </w:r>
      <w:r>
        <w:t xml:space="preserve">…. </w:t>
      </w:r>
      <w:r w:rsidRPr="00B008B4">
        <w:t xml:space="preserve"> He later returned to the burn center for </w:t>
      </w:r>
      <w:r>
        <w:t>‘</w:t>
      </w:r>
      <w:r w:rsidRPr="00B008B4">
        <w:t>skin grafting using donor skin from two locations on his right thigh to replace the skin that was burned on his right foot.</w:t>
      </w:r>
      <w:r>
        <w:t xml:space="preserve">’ … </w:t>
      </w:r>
      <w:r w:rsidRPr="00B008B4">
        <w:t>He remained</w:t>
      </w:r>
      <w:r>
        <w:t xml:space="preserve"> </w:t>
      </w:r>
      <w:r w:rsidRPr="00E9334F">
        <w:t>at the center for inpatient care for ten days</w:t>
      </w:r>
      <w:r>
        <w:t xml:space="preserve">….  </w:t>
      </w:r>
      <w:r w:rsidRPr="00B91A1F">
        <w:t xml:space="preserve">ORDERED that the Court will hold an evidentiary hearing on February 24, 2026, at 10:30 a.m. to determine damages in accordance with this </w:t>
      </w:r>
      <w:proofErr w:type="gramStart"/>
      <w:r w:rsidRPr="00B91A1F">
        <w:t>order</w:t>
      </w:r>
      <w:r>
        <w:t>.”</w:t>
      </w:r>
      <w:proofErr w:type="gramEnd"/>
      <w:r>
        <w:t xml:space="preserve"> </w:t>
      </w:r>
    </w:p>
    <w:p w14:paraId="47368891" w14:textId="77777777" w:rsidR="00016469" w:rsidRDefault="00016469" w:rsidP="00016469">
      <w:pPr>
        <w:rPr>
          <w:b/>
          <w:bCs/>
        </w:rPr>
      </w:pPr>
      <w:r>
        <w:rPr>
          <w:b/>
        </w:rPr>
        <w:t xml:space="preserve">Legal lesson learned: Be very caution </w:t>
      </w:r>
      <w:r w:rsidRPr="00E9334F">
        <w:rPr>
          <w:b/>
        </w:rPr>
        <w:t>of lithium battery-powered heated shoe insoles</w:t>
      </w:r>
      <w:r>
        <w:rPr>
          <w:b/>
        </w:rPr>
        <w:t xml:space="preserve">.  With a foreign manufacturer he may have great difficulty collecting any </w:t>
      </w:r>
      <w:proofErr w:type="gramStart"/>
      <w:r>
        <w:rPr>
          <w:b/>
        </w:rPr>
        <w:t>damages</w:t>
      </w:r>
      <w:proofErr w:type="gramEnd"/>
      <w:r>
        <w:rPr>
          <w:b/>
        </w:rPr>
        <w:t xml:space="preserve">.  </w:t>
      </w:r>
    </w:p>
    <w:p w14:paraId="1221ECEF" w14:textId="77777777" w:rsidR="00016469" w:rsidRDefault="00016469" w:rsidP="00016469">
      <w:pPr>
        <w:ind w:left="720"/>
      </w:pPr>
      <w:r w:rsidRPr="008C1EE8">
        <w:t xml:space="preserve">Note: Defendants Amazon </w:t>
      </w:r>
      <w:r>
        <w:t xml:space="preserve">and seller </w:t>
      </w:r>
      <w:r w:rsidRPr="008C1EE8">
        <w:t xml:space="preserve">Mirror </w:t>
      </w:r>
      <w:proofErr w:type="spellStart"/>
      <w:r w:rsidRPr="008C1EE8">
        <w:t>Eleanos</w:t>
      </w:r>
      <w:proofErr w:type="spellEnd"/>
      <w:r w:rsidRPr="008C1EE8">
        <w:t xml:space="preserve"> have been dismissed from this action.</w:t>
      </w:r>
      <w:r>
        <w:t xml:space="preserve"> </w:t>
      </w:r>
    </w:p>
    <w:p w14:paraId="164FCEBD" w14:textId="77777777" w:rsidR="00016469" w:rsidRDefault="00016469" w:rsidP="00646EE3">
      <w:pPr>
        <w:rPr>
          <w:rFonts w:ascii="Arial Black" w:hAnsi="Arial Black"/>
          <w:sz w:val="24"/>
          <w:szCs w:val="24"/>
        </w:rPr>
      </w:pPr>
    </w:p>
    <w:p w14:paraId="340BC053" w14:textId="7FA0FF65" w:rsidR="00016469" w:rsidRDefault="00F20BC1" w:rsidP="00646EE3">
      <w:pPr>
        <w:rPr>
          <w:rFonts w:ascii="Arial Black" w:hAnsi="Arial Black"/>
          <w:sz w:val="24"/>
          <w:szCs w:val="24"/>
        </w:rPr>
      </w:pPr>
      <w:r>
        <w:rPr>
          <w:rFonts w:ascii="Arial Black" w:hAnsi="Arial Black"/>
          <w:sz w:val="24"/>
          <w:szCs w:val="24"/>
        </w:rPr>
        <w:t>2-</w:t>
      </w:r>
      <w:r w:rsidR="00956699">
        <w:rPr>
          <w:rFonts w:ascii="Arial Black" w:hAnsi="Arial Black"/>
          <w:sz w:val="24"/>
          <w:szCs w:val="24"/>
        </w:rPr>
        <w:t>100</w:t>
      </w:r>
    </w:p>
    <w:p w14:paraId="33F3D7B5" w14:textId="77777777" w:rsidR="00F20BC1" w:rsidRPr="005D2602" w:rsidRDefault="00F20BC1" w:rsidP="00F20BC1">
      <w:pPr>
        <w:rPr>
          <w:rFonts w:ascii="Arial Black" w:hAnsi="Arial Black"/>
          <w:b/>
          <w:sz w:val="28"/>
          <w:szCs w:val="28"/>
        </w:rPr>
      </w:pPr>
      <w:r>
        <w:rPr>
          <w:rFonts w:ascii="Arial Black" w:hAnsi="Arial Black"/>
          <w:b/>
          <w:sz w:val="28"/>
          <w:szCs w:val="28"/>
        </w:rPr>
        <w:t>MN: PFAS CLASS ACTION – CASE REMAINS IN MONTANA</w:t>
      </w:r>
    </w:p>
    <w:p w14:paraId="2CA6F98C" w14:textId="77777777" w:rsidR="00F20BC1" w:rsidRDefault="00F20BC1" w:rsidP="00F20BC1">
      <w:pPr>
        <w:rPr>
          <w:bCs/>
        </w:rPr>
      </w:pPr>
      <w:r>
        <w:t xml:space="preserve">On January 12, 2026, in </w:t>
      </w:r>
      <w:r w:rsidRPr="00287078">
        <w:rPr>
          <w:u w:val="single"/>
        </w:rPr>
        <w:t>City and County of Butte-Silver Bow v. 3M Company, Dupont, et al</w:t>
      </w:r>
      <w:r>
        <w:t xml:space="preserve">., U.S. District Court Judge Brian Morris, United States District Court for the District of Montana, Butte Division, rejected Dupont’s additional argument that they cannot be sued in Montana. On January 6, </w:t>
      </w:r>
      <w:proofErr w:type="gramStart"/>
      <w:r>
        <w:t>2026</w:t>
      </w:r>
      <w:proofErr w:type="gramEnd"/>
      <w:r>
        <w:t xml:space="preserve"> the Court previously denied the defense motion to dismiss.  In this latest ruling,  the Court found that unlike a case dismissed in Massachusetts on December 30, 2025, Dupont and other defendants’ sales and marketing activities with Montana fire departments established the </w:t>
      </w:r>
      <w:r w:rsidRPr="00C347AF">
        <w:t>requisite</w:t>
      </w:r>
      <w:r>
        <w:t xml:space="preserve"> presence in Montana to proceed.  </w:t>
      </w:r>
      <w:hyperlink r:id="rId400" w:history="1">
        <w:r w:rsidRPr="003004D8">
          <w:rPr>
            <w:rStyle w:val="Hyperlink"/>
          </w:rPr>
          <w:t>https://cases.justia.com/federal/district-courts/montana/mtdce/2:2025cv00036/80451/160/0.pdf?ts=1768305911</w:t>
        </w:r>
      </w:hyperlink>
      <w:r>
        <w:t xml:space="preserve"> </w:t>
      </w:r>
    </w:p>
    <w:p w14:paraId="1CC02B94" w14:textId="77777777" w:rsidR="00F20BC1" w:rsidRDefault="00F20BC1" w:rsidP="00F20BC1">
      <w:pPr>
        <w:rPr>
          <w:bCs/>
        </w:rPr>
      </w:pPr>
      <w:r>
        <w:t>THE COURT HELD:</w:t>
      </w:r>
    </w:p>
    <w:p w14:paraId="13549DB1" w14:textId="77777777" w:rsidR="00F20BC1" w:rsidRPr="00D1073C" w:rsidRDefault="00F20BC1" w:rsidP="00F20BC1">
      <w:pPr>
        <w:pStyle w:val="NoSpacing"/>
        <w:ind w:left="720"/>
        <w:rPr>
          <w:bCs/>
        </w:rPr>
      </w:pPr>
      <w:r>
        <w:t>“</w:t>
      </w:r>
      <w:r w:rsidRPr="00DA50ED">
        <w:t>Plaintiff City and County of Butte Silver</w:t>
      </w:r>
      <w:r>
        <w:t xml:space="preserve"> </w:t>
      </w:r>
      <w:r w:rsidRPr="00DA50ED">
        <w:t>Bow (</w:t>
      </w:r>
      <w:r>
        <w:t>‘</w:t>
      </w:r>
      <w:r w:rsidRPr="00DA50ED">
        <w:t>Plaintiff</w:t>
      </w:r>
      <w:r>
        <w:t>’</w:t>
      </w:r>
      <w:r w:rsidRPr="00DA50ED">
        <w:t>) provided the Court with affidavits and other evidence that</w:t>
      </w:r>
      <w:r>
        <w:t xml:space="preserve"> </w:t>
      </w:r>
      <w:r w:rsidRPr="00D1073C">
        <w:t>Dupont purposefully has directed its conduct toward Montana. The Court found</w:t>
      </w:r>
      <w:r>
        <w:t xml:space="preserve"> </w:t>
      </w:r>
      <w:r w:rsidRPr="00D1073C">
        <w:t>relevant Dupont’s conduct of awarding Montana fire departments turnout gear sets</w:t>
      </w:r>
      <w:r>
        <w:t xml:space="preserve"> </w:t>
      </w:r>
      <w:r w:rsidRPr="00D1073C">
        <w:t>in an annual giveaway</w:t>
      </w:r>
      <w:r>
        <w:t xml:space="preserve">…. </w:t>
      </w:r>
      <w:r w:rsidRPr="00D1073C">
        <w:t>Plaintiff provided declarations that</w:t>
      </w:r>
      <w:r>
        <w:t xml:space="preserve"> </w:t>
      </w:r>
      <w:r w:rsidRPr="00D1073C">
        <w:t>Dupont, in collaboration with another Defendant, Globe, had shipped similar</w:t>
      </w:r>
    </w:p>
    <w:p w14:paraId="3032495F" w14:textId="77777777" w:rsidR="00F20BC1" w:rsidRPr="00D1073C" w:rsidRDefault="00F20BC1" w:rsidP="00F20BC1">
      <w:pPr>
        <w:pStyle w:val="NoSpacing"/>
        <w:ind w:left="720"/>
        <w:rPr>
          <w:bCs/>
        </w:rPr>
      </w:pPr>
      <w:r w:rsidRPr="00D1073C">
        <w:t>turnout gear at issue in this case to Montana fire departments as winners of the</w:t>
      </w:r>
    </w:p>
    <w:p w14:paraId="14359296" w14:textId="77777777" w:rsidR="00F20BC1" w:rsidRDefault="00F20BC1" w:rsidP="00F20BC1">
      <w:pPr>
        <w:pStyle w:val="NoSpacing"/>
        <w:ind w:left="720"/>
        <w:rPr>
          <w:bCs/>
        </w:rPr>
      </w:pPr>
      <w:r w:rsidRPr="00D1073C">
        <w:t>giveaway</w:t>
      </w:r>
      <w:r>
        <w:t xml:space="preserve">…. </w:t>
      </w:r>
      <w:r w:rsidRPr="00D1073C">
        <w:t>Plaintiff asserted that Defendants had encouraged the</w:t>
      </w:r>
      <w:r>
        <w:t xml:space="preserve"> </w:t>
      </w:r>
      <w:r w:rsidRPr="00D1073C">
        <w:t>Montana fire departments who received the Dupont/Globe turnout gear sets to</w:t>
      </w:r>
      <w:r>
        <w:t xml:space="preserve"> </w:t>
      </w:r>
      <w:r w:rsidRPr="00D1073C">
        <w:t>advertise the winnings and charitable acts of Dupont/Globe on social media</w:t>
      </w:r>
      <w:r>
        <w:t xml:space="preserve">…. </w:t>
      </w:r>
    </w:p>
    <w:p w14:paraId="66454C7F" w14:textId="77777777" w:rsidR="00F20BC1" w:rsidRDefault="00F20BC1" w:rsidP="00F20BC1">
      <w:pPr>
        <w:pStyle w:val="NoSpacing"/>
        <w:ind w:left="720"/>
        <w:rPr>
          <w:bCs/>
        </w:rPr>
      </w:pPr>
    </w:p>
    <w:p w14:paraId="0B949355" w14:textId="77777777" w:rsidR="00F20BC1" w:rsidRPr="00732221" w:rsidRDefault="00F20BC1" w:rsidP="00F20BC1">
      <w:pPr>
        <w:pStyle w:val="NoSpacing"/>
        <w:ind w:left="720"/>
        <w:rPr>
          <w:bCs/>
        </w:rPr>
      </w:pPr>
      <w:r w:rsidRPr="00732221">
        <w:t>Plaintiff further provided an affidavit by Diane Evankovich attesting that she</w:t>
      </w:r>
    </w:p>
    <w:p w14:paraId="5DE4ECA2" w14:textId="77777777" w:rsidR="00F20BC1" w:rsidRPr="00732221" w:rsidRDefault="00F20BC1" w:rsidP="00F20BC1">
      <w:pPr>
        <w:pStyle w:val="NoSpacing"/>
        <w:ind w:left="720"/>
        <w:rPr>
          <w:bCs/>
        </w:rPr>
      </w:pPr>
      <w:r w:rsidRPr="00732221">
        <w:t>had been made aware of these Dupont/Globe giveaways in Montana. (Doc. 132.)</w:t>
      </w:r>
    </w:p>
    <w:p w14:paraId="3256EB01" w14:textId="77777777" w:rsidR="00F20BC1" w:rsidRPr="00732221" w:rsidRDefault="00F20BC1" w:rsidP="00F20BC1">
      <w:pPr>
        <w:pStyle w:val="NoSpacing"/>
        <w:ind w:left="720"/>
        <w:rPr>
          <w:bCs/>
        </w:rPr>
      </w:pPr>
      <w:r w:rsidRPr="00732221">
        <w:t>The Court also found relevant Plaintiff’s assertion that Evankovich and Zach</w:t>
      </w:r>
    </w:p>
    <w:p w14:paraId="4B824B45" w14:textId="77777777" w:rsidR="00F20BC1" w:rsidRPr="00732221" w:rsidRDefault="00F20BC1" w:rsidP="00F20BC1">
      <w:pPr>
        <w:pStyle w:val="NoSpacing"/>
        <w:ind w:left="720"/>
        <w:rPr>
          <w:bCs/>
        </w:rPr>
      </w:pPr>
      <w:r w:rsidRPr="00732221">
        <w:t>Osborne, the Butte Silver Bow Fire Chief, attested that they were contacted about</w:t>
      </w:r>
    </w:p>
    <w:p w14:paraId="608E81F6" w14:textId="77777777" w:rsidR="00F20BC1" w:rsidRDefault="00F20BC1" w:rsidP="00F20BC1">
      <w:pPr>
        <w:pStyle w:val="NoSpacing"/>
        <w:ind w:left="720"/>
        <w:rPr>
          <w:bCs/>
        </w:rPr>
      </w:pPr>
      <w:r w:rsidRPr="00732221">
        <w:t>and marketed directly to purchase turnout gear containing Dupont’s PFAS.</w:t>
      </w:r>
      <w:r>
        <w:t>”</w:t>
      </w:r>
    </w:p>
    <w:p w14:paraId="561CA9C9" w14:textId="77777777" w:rsidR="00F20BC1" w:rsidRDefault="00F20BC1" w:rsidP="00F20BC1">
      <w:pPr>
        <w:pStyle w:val="NoSpacing"/>
        <w:ind w:left="720"/>
        <w:rPr>
          <w:bCs/>
        </w:rPr>
      </w:pPr>
    </w:p>
    <w:p w14:paraId="24AA61AF" w14:textId="77777777" w:rsidR="00F20BC1" w:rsidRDefault="00F20BC1" w:rsidP="00F20BC1">
      <w:pPr>
        <w:pStyle w:val="NoSpacing"/>
        <w:rPr>
          <w:b/>
        </w:rPr>
      </w:pPr>
      <w:r>
        <w:rPr>
          <w:b/>
        </w:rPr>
        <w:t xml:space="preserve">Legal lesson learned: Pre-trial discovery will now proceed in this class-action lawsuit. </w:t>
      </w:r>
    </w:p>
    <w:p w14:paraId="37722C00" w14:textId="77777777" w:rsidR="00F20BC1" w:rsidRDefault="00F20BC1" w:rsidP="00F20BC1">
      <w:pPr>
        <w:pStyle w:val="NoSpacing"/>
        <w:rPr>
          <w:b/>
        </w:rPr>
      </w:pPr>
    </w:p>
    <w:p w14:paraId="320EC308" w14:textId="77777777" w:rsidR="00F20BC1" w:rsidRDefault="00F20BC1" w:rsidP="00F20BC1">
      <w:pPr>
        <w:pStyle w:val="NoSpacing"/>
        <w:ind w:left="720"/>
        <w:rPr>
          <w:bCs/>
        </w:rPr>
      </w:pPr>
      <w:r>
        <w:t xml:space="preserve">Note:  </w:t>
      </w:r>
    </w:p>
    <w:p w14:paraId="7B5CEB3C" w14:textId="77777777" w:rsidR="00F20BC1" w:rsidRDefault="00F20BC1" w:rsidP="00F20BC1">
      <w:pPr>
        <w:pStyle w:val="NoSpacing"/>
        <w:ind w:left="720"/>
        <w:rPr>
          <w:bCs/>
        </w:rPr>
      </w:pPr>
    </w:p>
    <w:p w14:paraId="36B95B20" w14:textId="77777777" w:rsidR="00F20BC1" w:rsidRDefault="00F20BC1" w:rsidP="00F20BC1">
      <w:pPr>
        <w:pStyle w:val="NoSpacing"/>
        <w:ind w:left="720"/>
        <w:rPr>
          <w:bCs/>
        </w:rPr>
      </w:pPr>
      <w:r>
        <w:t xml:space="preserve">See Jan. 6, </w:t>
      </w:r>
      <w:proofErr w:type="gramStart"/>
      <w:r>
        <w:t>2025</w:t>
      </w:r>
      <w:proofErr w:type="gramEnd"/>
      <w:r>
        <w:t xml:space="preserve"> law firm press release:  </w:t>
      </w:r>
      <w:r w:rsidRPr="009D04CB">
        <w:t>Montana Court Denies Motions to Dismiss Class-Action Lawsuit Fighting PFAS in Firefighter Turnout</w:t>
      </w:r>
      <w:r>
        <w:t xml:space="preserve"> </w:t>
      </w:r>
      <w:r w:rsidRPr="009D04CB">
        <w:t>Gear</w:t>
      </w:r>
      <w:r>
        <w:t>.</w:t>
      </w:r>
    </w:p>
    <w:p w14:paraId="7FE9BE0D" w14:textId="77777777" w:rsidR="00F20BC1" w:rsidRDefault="00F20BC1" w:rsidP="00F20BC1">
      <w:pPr>
        <w:pStyle w:val="NoSpacing"/>
        <w:ind w:left="720"/>
        <w:rPr>
          <w:bCs/>
        </w:rPr>
      </w:pPr>
      <w:hyperlink r:id="rId401" w:history="1">
        <w:r w:rsidRPr="003004D8">
          <w:rPr>
            <w:rStyle w:val="Hyperlink"/>
          </w:rPr>
          <w:t>https://www.hbsslaw.com/press/pfas-firefighter-turnout-gear/montana-court-denies-motions-to-dismiss-class-action-lawsuit-fighting-pfas-in-firefighter-turnout-gear</w:t>
        </w:r>
      </w:hyperlink>
      <w:r>
        <w:t xml:space="preserve"> </w:t>
      </w:r>
    </w:p>
    <w:p w14:paraId="452CFA59" w14:textId="77777777" w:rsidR="00F20BC1" w:rsidRDefault="00F20BC1" w:rsidP="00F20BC1">
      <w:pPr>
        <w:ind w:left="720"/>
        <w:rPr>
          <w:bCs/>
        </w:rPr>
      </w:pPr>
      <w:r>
        <w:t>“</w:t>
      </w:r>
      <w:r w:rsidRPr="00105A76">
        <w:t xml:space="preserve">A Montana federal judge today denied motions to dismiss a class-action lawsuit brought by attorneys at law firms Hagens Berman, Heenan &amp; Cook and Bliven Law Firm to combat </w:t>
      </w:r>
      <w:hyperlink r:id="rId402" w:history="1">
        <w:r w:rsidRPr="00105A76">
          <w:rPr>
            <w:rStyle w:val="Hyperlink"/>
          </w:rPr>
          <w:t>toxic “forever chemicals” in firefighter turnout gear sold by DuPont/Chemours, 3M</w:t>
        </w:r>
      </w:hyperlink>
      <w:r w:rsidRPr="00105A76">
        <w:t xml:space="preserve"> and other major corporations. The firms represent the city and county of Butte-Silver Bow, Montana, to assist them and other municipalities in abating the costly premature gear replacements faced due to the rampant health risks of perfluoroalkyl and polyfluoroalkyl substances (PFAS).</w:t>
      </w:r>
      <w:r>
        <w:t xml:space="preserve"> *** </w:t>
      </w:r>
      <w:r w:rsidRPr="001C3C1C">
        <w:t xml:space="preserve">The court rejected the defendants’ argument that they were engaging in ordinary commercial activities, explaining that </w:t>
      </w:r>
      <w:r>
        <w:t>‘</w:t>
      </w:r>
      <w:r w:rsidRPr="001C3C1C">
        <w:t>Defendants could not have achieved their goals of selling PFAS and turnout gear containing PFAS if Defendants’ knowledge of the harms of PFAS had been exposed. These actions by Defendants, allegedly acting together to conceal the known dangers of PFAS, do not constitute merely normal or ordinary commercial relationships.</w:t>
      </w:r>
      <w:r>
        <w:t>’”</w:t>
      </w:r>
    </w:p>
    <w:p w14:paraId="698D0B76" w14:textId="77777777" w:rsidR="00F20BC1" w:rsidRDefault="00F20BC1" w:rsidP="00F20BC1">
      <w:pPr>
        <w:ind w:left="720"/>
        <w:rPr>
          <w:bCs/>
        </w:rPr>
      </w:pPr>
      <w:r>
        <w:t xml:space="preserve">See the April 4, 2025 law firm press release </w:t>
      </w:r>
      <w:r w:rsidRPr="00E84B6A">
        <w:t>Butte, Montana Files Class-Action Lawsuit Fighting PFAS in Firefighter Turnout Gear to Aid Those Facing Costly Replacements</w:t>
      </w:r>
      <w:r>
        <w:t>.</w:t>
      </w:r>
      <w:hyperlink r:id="rId403" w:history="1">
        <w:r w:rsidRPr="003004D8">
          <w:rPr>
            <w:rStyle w:val="Hyperlink"/>
          </w:rPr>
          <w:t>https://www.hbsslaw.com/press/pfas-firefighter-turnout-gear/butte-montana-files-class-action-lawsuit-fighting-pfas-in-firefighter-turnout-gear-to-aid-those-facing-costly-replacements</w:t>
        </w:r>
      </w:hyperlink>
      <w:r>
        <w:t xml:space="preserve"> </w:t>
      </w:r>
    </w:p>
    <w:p w14:paraId="62FD939E" w14:textId="77777777" w:rsidR="00F20BC1" w:rsidRPr="000C43B0" w:rsidRDefault="00F20BC1" w:rsidP="00F20BC1">
      <w:pPr>
        <w:ind w:left="720"/>
        <w:rPr>
          <w:bCs/>
        </w:rPr>
      </w:pPr>
    </w:p>
    <w:p w14:paraId="3B0E7038" w14:textId="351507DD" w:rsidR="00F20BC1" w:rsidRDefault="00F20BC1" w:rsidP="00F20BC1">
      <w:pPr>
        <w:rPr>
          <w:rFonts w:ascii="Arial Black" w:hAnsi="Arial Black"/>
          <w:sz w:val="24"/>
          <w:szCs w:val="24"/>
        </w:rPr>
      </w:pPr>
      <w:r w:rsidRPr="000C43B0">
        <w:t xml:space="preserve">See </w:t>
      </w:r>
      <w:r>
        <w:t xml:space="preserve">Jan. 9, </w:t>
      </w:r>
      <w:proofErr w:type="gramStart"/>
      <w:r>
        <w:t>2026</w:t>
      </w:r>
      <w:proofErr w:type="gramEnd"/>
      <w:r>
        <w:t xml:space="preserve"> </w:t>
      </w:r>
      <w:r w:rsidRPr="000C43B0">
        <w:t>case: UNIFORMED PROFESSIONAL FIRE FIGHTERS ASSOCIATION OF CONNECTICUT, et al. v. 3M, et al.</w:t>
      </w:r>
      <w:r>
        <w:t xml:space="preserve"> </w:t>
      </w:r>
      <w:hyperlink r:id="rId404" w:history="1">
        <w:r w:rsidRPr="002B4D2D">
          <w:rPr>
            <w:rStyle w:val="Hyperlink"/>
          </w:rPr>
          <w:t>https://www.casemine.com/judgement/us/6963a657827d4c0685d5653a</w:t>
        </w:r>
      </w:hyperlink>
    </w:p>
    <w:p w14:paraId="2B390073" w14:textId="77777777" w:rsidR="00956699" w:rsidRDefault="00956699" w:rsidP="00646EE3">
      <w:pPr>
        <w:rPr>
          <w:rFonts w:ascii="Arial Black" w:hAnsi="Arial Black"/>
          <w:sz w:val="24"/>
          <w:szCs w:val="24"/>
        </w:rPr>
      </w:pPr>
    </w:p>
    <w:p w14:paraId="7C57DC48" w14:textId="4A9AAF04" w:rsidR="00016469" w:rsidRDefault="00956699" w:rsidP="00646EE3">
      <w:pPr>
        <w:rPr>
          <w:rFonts w:ascii="Arial Black" w:hAnsi="Arial Black"/>
          <w:sz w:val="24"/>
          <w:szCs w:val="24"/>
        </w:rPr>
      </w:pPr>
      <w:r>
        <w:rPr>
          <w:rFonts w:ascii="Arial Black" w:hAnsi="Arial Black"/>
          <w:sz w:val="24"/>
          <w:szCs w:val="24"/>
        </w:rPr>
        <w:t>2-99</w:t>
      </w:r>
    </w:p>
    <w:p w14:paraId="08D06CDE" w14:textId="29660A02" w:rsidR="00956699" w:rsidRPr="00956699" w:rsidRDefault="00956699" w:rsidP="00956699">
      <w:pPr>
        <w:pStyle w:val="NoSpacing"/>
        <w:rPr>
          <w:rFonts w:ascii="Times New Roman" w:hAnsi="Times New Roman"/>
          <w:b/>
          <w:bCs/>
          <w:sz w:val="24"/>
          <w:szCs w:val="24"/>
        </w:rPr>
      </w:pPr>
      <w:r>
        <w:rPr>
          <w:rFonts w:ascii="Arial Black" w:hAnsi="Arial Black"/>
          <w:sz w:val="28"/>
          <w:szCs w:val="28"/>
        </w:rPr>
        <w:t>FL: “HALO LAW”  – 25 FEET NO APPROACH ZONE</w:t>
      </w:r>
      <w:r>
        <w:t xml:space="preserve">  </w:t>
      </w:r>
      <w:r w:rsidRPr="00E96FEA">
        <w:rPr>
          <w:rFonts w:ascii="Arial Black" w:hAnsi="Arial Black"/>
          <w:sz w:val="28"/>
          <w:szCs w:val="28"/>
        </w:rPr>
        <w:t xml:space="preserve">- </w:t>
      </w:r>
      <w:r>
        <w:rPr>
          <w:rFonts w:ascii="Arial Black" w:hAnsi="Arial Black"/>
          <w:sz w:val="28"/>
          <w:szCs w:val="28"/>
        </w:rPr>
        <w:t xml:space="preserve">Eff. </w:t>
      </w:r>
      <w:r w:rsidRPr="00E96FEA">
        <w:rPr>
          <w:rFonts w:ascii="Arial Black" w:hAnsi="Arial Black"/>
          <w:sz w:val="28"/>
          <w:szCs w:val="28"/>
        </w:rPr>
        <w:t>1/1/2025</w:t>
      </w:r>
      <w:r>
        <w:rPr>
          <w:rFonts w:ascii="Arial Black" w:hAnsi="Arial Black"/>
          <w:sz w:val="28"/>
          <w:szCs w:val="28"/>
        </w:rPr>
        <w:t xml:space="preserve">  </w:t>
      </w:r>
      <w:r w:rsidRPr="00956699">
        <w:rPr>
          <w:rFonts w:ascii="Times New Roman" w:hAnsi="Times New Roman"/>
          <w:b/>
          <w:bCs/>
          <w:sz w:val="24"/>
          <w:szCs w:val="24"/>
        </w:rPr>
        <w:t xml:space="preserve">[also filed, Chap. </w:t>
      </w:r>
      <w:r>
        <w:rPr>
          <w:rFonts w:ascii="Times New Roman" w:hAnsi="Times New Roman"/>
          <w:b/>
          <w:bCs/>
          <w:sz w:val="24"/>
          <w:szCs w:val="24"/>
        </w:rPr>
        <w:t>18</w:t>
      </w:r>
      <w:r w:rsidRPr="00956699">
        <w:rPr>
          <w:rFonts w:ascii="Times New Roman" w:hAnsi="Times New Roman"/>
          <w:b/>
          <w:bCs/>
          <w:sz w:val="24"/>
          <w:szCs w:val="24"/>
        </w:rPr>
        <w:t>]</w:t>
      </w:r>
    </w:p>
    <w:p w14:paraId="3EED2F7B" w14:textId="77777777" w:rsidR="00956699" w:rsidRDefault="00956699" w:rsidP="00956699">
      <w:pPr>
        <w:pStyle w:val="NoSpacing"/>
      </w:pPr>
    </w:p>
    <w:p w14:paraId="2C4354D1" w14:textId="77777777" w:rsidR="00956699" w:rsidRPr="009564B9" w:rsidRDefault="00956699" w:rsidP="00956699">
      <w:pPr>
        <w:pStyle w:val="NoSpacing"/>
        <w:rPr>
          <w:b/>
        </w:rPr>
      </w:pPr>
      <w:r>
        <w:t xml:space="preserve">On January 1, 2025, the new “Halo Law” became effective. On April 12, 2024, Governor Ron DeSantis </w:t>
      </w:r>
      <w:proofErr w:type="gramStart"/>
      <w:r>
        <w:t>signed into law</w:t>
      </w:r>
      <w:proofErr w:type="gramEnd"/>
      <w:r>
        <w:t xml:space="preserve"> the Halo Law, passed under House Bill 184, </w:t>
      </w:r>
      <w:r w:rsidRPr="009564B9">
        <w:t>Impeding, Threatening, or Harassing First Responders</w:t>
      </w:r>
      <w:r>
        <w:t xml:space="preserve">. </w:t>
      </w:r>
      <w:hyperlink r:id="rId405" w:history="1">
        <w:r w:rsidRPr="00734647">
          <w:rPr>
            <w:rStyle w:val="Hyperlink"/>
          </w:rPr>
          <w:t>https://www.flhouse.gov/Sections/Bills/billsdetail.aspx?BillId=78745</w:t>
        </w:r>
      </w:hyperlink>
      <w:r>
        <w:t xml:space="preserve"> </w:t>
      </w:r>
    </w:p>
    <w:p w14:paraId="2E19B0E4" w14:textId="77777777" w:rsidR="00956699" w:rsidRDefault="00956699" w:rsidP="00956699">
      <w:pPr>
        <w:pStyle w:val="NoSpacing"/>
      </w:pPr>
    </w:p>
    <w:p w14:paraId="2AA3E1F0" w14:textId="77777777" w:rsidR="00956699" w:rsidRDefault="00956699" w:rsidP="00956699">
      <w:pPr>
        <w:pStyle w:val="NoSpacing"/>
      </w:pPr>
      <w:r>
        <w:t xml:space="preserve">Read the statute: </w:t>
      </w:r>
      <w:hyperlink r:id="rId406" w:history="1">
        <w:r w:rsidRPr="00734647">
          <w:rPr>
            <w:rStyle w:val="Hyperlink"/>
          </w:rPr>
          <w:t>https://www.flhouse.gov/Sections/Documents/loaddoc.aspx?FileName=_s0184er.DOCX&amp;DocumentType=Bill&amp;BillNumber=184&amp;Session=2024</w:t>
        </w:r>
      </w:hyperlink>
      <w:r>
        <w:t xml:space="preserve"> </w:t>
      </w:r>
    </w:p>
    <w:p w14:paraId="6C1F761F" w14:textId="77777777" w:rsidR="00956699" w:rsidRDefault="00956699" w:rsidP="00956699">
      <w:pPr>
        <w:pStyle w:val="NoSpacing"/>
      </w:pPr>
      <w:r>
        <w:t>Section 1</w:t>
      </w:r>
    </w:p>
    <w:p w14:paraId="0E037D79" w14:textId="77777777" w:rsidR="00956699" w:rsidRDefault="00956699" w:rsidP="00956699">
      <w:pPr>
        <w:pStyle w:val="NoSpacing"/>
      </w:pPr>
      <w:r>
        <w:t>Approaching a first responder with specified intent after a warning</w:t>
      </w:r>
    </w:p>
    <w:p w14:paraId="36F14853" w14:textId="77777777" w:rsidR="00956699" w:rsidRDefault="00956699" w:rsidP="00956699">
      <w:pPr>
        <w:pStyle w:val="NoSpacing"/>
      </w:pPr>
      <w:r>
        <w:t>(1) As used in this section, the term:</w:t>
      </w:r>
    </w:p>
    <w:p w14:paraId="617068EC" w14:textId="77777777" w:rsidR="00956699" w:rsidRDefault="00956699" w:rsidP="00956699">
      <w:pPr>
        <w:pStyle w:val="NoSpacing"/>
      </w:pPr>
      <w:r>
        <w:t>(a) “First responder” includes a law enforcement officer as defined in s. 943.10(1), a correctional probation officer as defined in s. 943.10(3), a firefighter as defined in s784.07(1), and an emergency medical care provider as defined in s. 784.07(1)</w:t>
      </w:r>
    </w:p>
    <w:p w14:paraId="30761E98" w14:textId="77777777" w:rsidR="00956699" w:rsidRDefault="00956699" w:rsidP="00956699">
      <w:pPr>
        <w:pStyle w:val="NoSpacing"/>
      </w:pPr>
      <w:r>
        <w:t>(b) “Harass” means to willfully engage in a course of conduct directed at a first responder which intentionally causes substantial emotional distress in that first responder and serves no legitimate purpose.</w:t>
      </w:r>
    </w:p>
    <w:p w14:paraId="3E808689" w14:textId="77777777" w:rsidR="00956699" w:rsidRDefault="00956699" w:rsidP="00956699">
      <w:pPr>
        <w:pStyle w:val="NoSpacing"/>
      </w:pPr>
      <w:r>
        <w:t>(2)(a) It is unlawful for a person, after receiving a verbal warning not to approach from a person he or she knows or reasonably should know is a first responder, who is engaged in the lawful performance of a legal duty, to knowingly and willfully violate such warning and approach or remain within 25 feet of the first responder with the intent to:</w:t>
      </w:r>
    </w:p>
    <w:p w14:paraId="63B5FD06" w14:textId="77777777" w:rsidR="00956699" w:rsidRDefault="00956699" w:rsidP="00956699">
      <w:pPr>
        <w:pStyle w:val="NoSpacing"/>
      </w:pPr>
      <w:r>
        <w:t>1. Impede or interfere with the first responder’s ability to perform such duty;</w:t>
      </w:r>
    </w:p>
    <w:p w14:paraId="57B8C56A" w14:textId="77777777" w:rsidR="00956699" w:rsidRDefault="00956699" w:rsidP="00956699">
      <w:pPr>
        <w:pStyle w:val="NoSpacing"/>
      </w:pPr>
      <w:r>
        <w:t>2. Threaten the first responder with physical harm; or</w:t>
      </w:r>
    </w:p>
    <w:p w14:paraId="667A6579" w14:textId="77777777" w:rsidR="00956699" w:rsidRDefault="00956699" w:rsidP="00956699">
      <w:pPr>
        <w:pStyle w:val="NoSpacing"/>
      </w:pPr>
      <w:r>
        <w:t>3. Harass the first responder.</w:t>
      </w:r>
    </w:p>
    <w:p w14:paraId="0093B75D" w14:textId="77777777" w:rsidR="00956699" w:rsidRDefault="00956699" w:rsidP="00956699">
      <w:pPr>
        <w:pStyle w:val="NoSpacing"/>
      </w:pPr>
      <w:r>
        <w:t>(b) A person who violates this subsection commits a misdemeanor of the second degree, punishable as provided in s. 775.082 or s. 775.083.40</w:t>
      </w:r>
    </w:p>
    <w:p w14:paraId="3DEE2D8C" w14:textId="77777777" w:rsidR="00956699" w:rsidRDefault="00956699" w:rsidP="00956699">
      <w:pPr>
        <w:pStyle w:val="NoSpacing"/>
      </w:pPr>
      <w:r>
        <w:t>Section 2. This act shall take effect January 1, 2025.</w:t>
      </w:r>
    </w:p>
    <w:p w14:paraId="755627A1" w14:textId="77777777" w:rsidR="00956699" w:rsidRDefault="00956699" w:rsidP="00956699">
      <w:pPr>
        <w:pStyle w:val="NoSpacing"/>
      </w:pPr>
    </w:p>
    <w:p w14:paraId="053B33A4" w14:textId="77777777" w:rsidR="00956699" w:rsidRPr="00313F24" w:rsidRDefault="00956699" w:rsidP="00956699">
      <w:pPr>
        <w:pStyle w:val="NoSpacing"/>
        <w:rPr>
          <w:b/>
          <w:bCs/>
        </w:rPr>
      </w:pPr>
      <w:r>
        <w:rPr>
          <w:b/>
        </w:rPr>
        <w:t xml:space="preserve">Legal lesson learned: An excellent statute; hopefully similar laws will be enacted in many other </w:t>
      </w:r>
      <w:proofErr w:type="gramStart"/>
      <w:r>
        <w:rPr>
          <w:b/>
        </w:rPr>
        <w:t>state</w:t>
      </w:r>
      <w:proofErr w:type="gramEnd"/>
      <w:r>
        <w:rPr>
          <w:b/>
        </w:rPr>
        <w:t xml:space="preserve">. </w:t>
      </w:r>
    </w:p>
    <w:p w14:paraId="4B38E0A3" w14:textId="77777777" w:rsidR="00956699" w:rsidRDefault="00956699" w:rsidP="00956699">
      <w:pPr>
        <w:pStyle w:val="NoSpacing"/>
      </w:pPr>
    </w:p>
    <w:p w14:paraId="600EA0AF" w14:textId="77777777" w:rsidR="00956699" w:rsidRPr="00F642E3" w:rsidRDefault="00956699" w:rsidP="00956699">
      <w:pPr>
        <w:pStyle w:val="NoSpacing"/>
        <w:ind w:left="720"/>
        <w:rPr>
          <w:b/>
        </w:rPr>
      </w:pPr>
      <w:r>
        <w:t xml:space="preserve">Note: Jan. 28, 2026:  </w:t>
      </w:r>
      <w:r w:rsidRPr="00F642E3">
        <w:rPr>
          <w:b/>
        </w:rPr>
        <w:t>Man arrested under Florida's Halo Law</w:t>
      </w:r>
      <w:r>
        <w:rPr>
          <w:b/>
        </w:rPr>
        <w:t xml:space="preserve">. </w:t>
      </w:r>
      <w:hyperlink r:id="rId407" w:history="1">
        <w:r w:rsidRPr="00734647">
          <w:rPr>
            <w:rStyle w:val="Hyperlink"/>
            <w:b/>
          </w:rPr>
          <w:t>https://www.youtube.com/watch?v=US5dFGLzqQo</w:t>
        </w:r>
      </w:hyperlink>
      <w:r>
        <w:rPr>
          <w:b/>
        </w:rPr>
        <w:t xml:space="preserve"> </w:t>
      </w:r>
    </w:p>
    <w:p w14:paraId="2C3740C1" w14:textId="77777777" w:rsidR="00956699" w:rsidRPr="00210AB7" w:rsidRDefault="00956699" w:rsidP="00956699">
      <w:pPr>
        <w:pStyle w:val="NoSpacing"/>
        <w:ind w:firstLine="720"/>
        <w:rPr>
          <w:b/>
        </w:rPr>
      </w:pPr>
      <w:r w:rsidRPr="00210AB7">
        <w:rPr>
          <w:b/>
        </w:rPr>
        <w:t>What Is the Halo Law?</w:t>
      </w:r>
    </w:p>
    <w:p w14:paraId="5EBBE428" w14:textId="77777777" w:rsidR="00956699" w:rsidRPr="00210AB7" w:rsidRDefault="00956699" w:rsidP="00956699">
      <w:pPr>
        <w:pStyle w:val="NoSpacing"/>
        <w:ind w:left="720"/>
      </w:pPr>
      <w:r w:rsidRPr="00210AB7">
        <w:t xml:space="preserve">The Halo Law, passed under </w:t>
      </w:r>
      <w:r w:rsidRPr="00210AB7">
        <w:rPr>
          <w:b/>
        </w:rPr>
        <w:t>House Bill 184</w:t>
      </w:r>
      <w:r w:rsidRPr="00210AB7">
        <w:t xml:space="preserve">, was signed into law by Governor Ron DeSantis in April 2024. It establishes a </w:t>
      </w:r>
      <w:r w:rsidRPr="00210AB7">
        <w:rPr>
          <w:b/>
        </w:rPr>
        <w:t>25-foot no-approach zone</w:t>
      </w:r>
      <w:r w:rsidRPr="00210AB7">
        <w:t xml:space="preserve"> around first responders engaged in their official duties. If someone is verbally warned to stay back and continues to approach within this zone, they could face penalties, including fines and potential jail time.</w:t>
      </w:r>
    </w:p>
    <w:p w14:paraId="692CCDA3" w14:textId="77777777" w:rsidR="00956699" w:rsidRPr="00210AB7" w:rsidRDefault="00956699" w:rsidP="00956699">
      <w:pPr>
        <w:pStyle w:val="NoSpacing"/>
        <w:ind w:left="720"/>
      </w:pPr>
      <w:r w:rsidRPr="00210AB7">
        <w:t>Sheriff Grady Judd of Polk County has been a vocal advocate for the law, emphasizing that it does not restrict the public’s right to record first responders but aims to prevent interference or harassment while they work.</w:t>
      </w:r>
      <w:r>
        <w:t xml:space="preserve"> </w:t>
      </w:r>
      <w:hyperlink r:id="rId408" w:history="1">
        <w:r w:rsidRPr="00FF51FB">
          <w:rPr>
            <w:rStyle w:val="Hyperlink"/>
          </w:rPr>
          <w:t>https://www.muscalaw.com/blog/understanding-floridas-new-halo-law-and-its-impact-first-amendment-rights</w:t>
        </w:r>
      </w:hyperlink>
      <w:r>
        <w:t xml:space="preserve"> </w:t>
      </w:r>
    </w:p>
    <w:p w14:paraId="76D9D0C3" w14:textId="77777777" w:rsidR="00956699" w:rsidRDefault="00956699" w:rsidP="00956699">
      <w:pPr>
        <w:pStyle w:val="NoSpacing"/>
      </w:pPr>
    </w:p>
    <w:p w14:paraId="1D2AADEC" w14:textId="77777777" w:rsidR="00956699" w:rsidRDefault="00956699" w:rsidP="00956699">
      <w:pPr>
        <w:pStyle w:val="NoSpacing"/>
      </w:pPr>
    </w:p>
    <w:p w14:paraId="095EEB90" w14:textId="77777777" w:rsidR="00956699" w:rsidRDefault="00956699" w:rsidP="00956699">
      <w:pPr>
        <w:pStyle w:val="NoSpacing"/>
        <w:ind w:left="720"/>
        <w:rPr>
          <w:b/>
        </w:rPr>
      </w:pPr>
      <w:r>
        <w:t xml:space="preserve">See also: ACLU of Florida: </w:t>
      </w:r>
      <w:r w:rsidRPr="00F41534">
        <w:t>HB 75/SB 184 - Criminalizing Bystanders for Exercising First Amendment Rights</w:t>
      </w:r>
      <w:r>
        <w:t xml:space="preserve">. </w:t>
      </w:r>
      <w:r w:rsidRPr="00910752">
        <w:rPr>
          <w:b/>
        </w:rPr>
        <w:t xml:space="preserve"> </w:t>
      </w:r>
      <w:hyperlink r:id="rId409" w:history="1">
        <w:r w:rsidRPr="00FF51FB">
          <w:rPr>
            <w:rStyle w:val="Hyperlink"/>
            <w:b/>
          </w:rPr>
          <w:t>https://www.aclufl.org/legislation/hb-75sb-184-criminalizing-bystanders-exercising-first-amendment-rights/</w:t>
        </w:r>
      </w:hyperlink>
      <w:r>
        <w:rPr>
          <w:b/>
        </w:rPr>
        <w:t xml:space="preserve"> </w:t>
      </w:r>
    </w:p>
    <w:p w14:paraId="197FA8F7" w14:textId="77777777" w:rsidR="00956699" w:rsidRDefault="00956699" w:rsidP="00956699">
      <w:pPr>
        <w:pStyle w:val="NoSpacing"/>
        <w:rPr>
          <w:b/>
        </w:rPr>
      </w:pPr>
    </w:p>
    <w:p w14:paraId="5181C14E" w14:textId="77777777" w:rsidR="00956699" w:rsidRDefault="00956699" w:rsidP="00956699">
      <w:pPr>
        <w:pStyle w:val="NoSpacing"/>
      </w:pPr>
    </w:p>
    <w:p w14:paraId="01111E9F" w14:textId="77777777" w:rsidR="00956699" w:rsidRDefault="00956699" w:rsidP="00646EE3">
      <w:pPr>
        <w:rPr>
          <w:rFonts w:ascii="Arial Black" w:hAnsi="Arial Black"/>
          <w:sz w:val="24"/>
          <w:szCs w:val="24"/>
        </w:rPr>
      </w:pPr>
    </w:p>
    <w:p w14:paraId="55FD9BFD" w14:textId="452D4E55" w:rsidR="0082202A" w:rsidRDefault="00A84727" w:rsidP="00646EE3">
      <w:pPr>
        <w:rPr>
          <w:rFonts w:ascii="Arial Black" w:hAnsi="Arial Black"/>
          <w:sz w:val="24"/>
          <w:szCs w:val="24"/>
        </w:rPr>
      </w:pPr>
      <w:r>
        <w:rPr>
          <w:rFonts w:ascii="Arial Black" w:hAnsi="Arial Black"/>
          <w:sz w:val="24"/>
          <w:szCs w:val="24"/>
        </w:rPr>
        <w:t>2-</w:t>
      </w:r>
      <w:r w:rsidR="008963C8">
        <w:rPr>
          <w:rFonts w:ascii="Arial Black" w:hAnsi="Arial Black"/>
          <w:sz w:val="24"/>
          <w:szCs w:val="24"/>
        </w:rPr>
        <w:t>98</w:t>
      </w:r>
    </w:p>
    <w:p w14:paraId="70297D16" w14:textId="0F151088" w:rsidR="00A84727" w:rsidRPr="00AB2E2B" w:rsidRDefault="00A84727" w:rsidP="00A84727">
      <w:pPr>
        <w:rPr>
          <w:rFonts w:ascii="Arial Black" w:hAnsi="Arial Black"/>
          <w:bCs/>
          <w:sz w:val="28"/>
          <w:szCs w:val="28"/>
        </w:rPr>
      </w:pPr>
      <w:r>
        <w:rPr>
          <w:rFonts w:ascii="Arial Black" w:hAnsi="Arial Black"/>
          <w:sz w:val="28"/>
          <w:szCs w:val="28"/>
        </w:rPr>
        <w:t xml:space="preserve">CT: RUN </w:t>
      </w:r>
      <w:r w:rsidR="00A44AF2">
        <w:rPr>
          <w:rFonts w:ascii="Arial Black" w:hAnsi="Arial Black"/>
          <w:sz w:val="28"/>
          <w:szCs w:val="28"/>
        </w:rPr>
        <w:t xml:space="preserve">FOR </w:t>
      </w:r>
      <w:r>
        <w:rPr>
          <w:rFonts w:ascii="Arial Black" w:hAnsi="Arial Black"/>
          <w:sz w:val="28"/>
          <w:szCs w:val="28"/>
        </w:rPr>
        <w:t>SMOKE</w:t>
      </w:r>
      <w:r w:rsidR="00A44AF2">
        <w:rPr>
          <w:rFonts w:ascii="Arial Black" w:hAnsi="Arial Black"/>
          <w:sz w:val="28"/>
          <w:szCs w:val="28"/>
        </w:rPr>
        <w:t xml:space="preserve"> AREA</w:t>
      </w:r>
      <w:r>
        <w:rPr>
          <w:rFonts w:ascii="Arial Black" w:hAnsi="Arial Black"/>
          <w:sz w:val="28"/>
          <w:szCs w:val="28"/>
        </w:rPr>
        <w:t xml:space="preserve"> – THREAT TO SHOOT FF - 14 MONTHS </w:t>
      </w:r>
    </w:p>
    <w:p w14:paraId="02B0B01A" w14:textId="77777777" w:rsidR="00A84727" w:rsidRDefault="00A84727" w:rsidP="00A84727">
      <w:r>
        <w:t xml:space="preserve">On December 23, 2025, in </w:t>
      </w:r>
      <w:r w:rsidRPr="00CA0F9D">
        <w:rPr>
          <w:u w:val="single"/>
        </w:rPr>
        <w:t>State of Connecticut v. David Valle</w:t>
      </w:r>
      <w:r>
        <w:t xml:space="preserve">, the Court of Appeals of Connecticut held (3 to 0) that jury properly found homeowner guilty of one count of threatening in the second degree, and one count of interfering with an officer, and two counts of cruelty to animals. The defendant “got right into [Captain’s] face’’ and said that the shed was his smokehouse, that he was smoking a deer inside of it, and that he would ‘put a bullet in every one of [the firefighters’] heads if [they] didn’t get off his property.’ </w:t>
      </w:r>
      <w:hyperlink r:id="rId410" w:history="1">
        <w:r w:rsidRPr="003C581C">
          <w:rPr>
            <w:rStyle w:val="Hyperlink"/>
            <w:b/>
          </w:rPr>
          <w:t>https://cases.justia.com/connecticut/court-of-appeals/2025-ac46735.pdf?ts=1766582340</w:t>
        </w:r>
      </w:hyperlink>
    </w:p>
    <w:p w14:paraId="4F6099B4" w14:textId="77777777" w:rsidR="00A84727" w:rsidRDefault="00A84727" w:rsidP="00A84727">
      <w:r>
        <w:t>THE COURT HELD:</w:t>
      </w:r>
    </w:p>
    <w:p w14:paraId="47F57A70" w14:textId="77777777" w:rsidR="00A84727" w:rsidRPr="002E2696" w:rsidRDefault="00A84727" w:rsidP="00A84727">
      <w:pPr>
        <w:pStyle w:val="NoSpacing"/>
        <w:ind w:left="720"/>
      </w:pPr>
      <w:r>
        <w:t>“</w:t>
      </w:r>
      <w:r w:rsidRPr="002E2696">
        <w:t>On the evening of December 1, 2020, the Bridgeport Fire Department (fire department) was dispatched</w:t>
      </w:r>
      <w:r>
        <w:t xml:space="preserve"> </w:t>
      </w:r>
      <w:r w:rsidRPr="002E2696">
        <w:t>to the vicinity of Wayne Street following a report of</w:t>
      </w:r>
      <w:r>
        <w:t xml:space="preserve"> </w:t>
      </w:r>
      <w:r w:rsidRPr="002E2696">
        <w:t>smoke in the area. The responding firefighters noticed</w:t>
      </w:r>
      <w:r>
        <w:t xml:space="preserve"> </w:t>
      </w:r>
      <w:r w:rsidRPr="002E2696">
        <w:t>smoke coming from behind a stockade fence at 675</w:t>
      </w:r>
    </w:p>
    <w:p w14:paraId="2F6708AF" w14:textId="77777777" w:rsidR="00A84727" w:rsidRDefault="00A84727" w:rsidP="00A84727">
      <w:pPr>
        <w:pStyle w:val="NoSpacing"/>
        <w:ind w:left="720"/>
      </w:pPr>
      <w:r w:rsidRPr="002E2696">
        <w:t>Wayne Street. Scott Boris, then a captain with the fire</w:t>
      </w:r>
      <w:r>
        <w:t xml:space="preserve"> </w:t>
      </w:r>
      <w:r w:rsidRPr="002E2696">
        <w:t>department, entered the property to investigate and</w:t>
      </w:r>
      <w:r>
        <w:t xml:space="preserve"> </w:t>
      </w:r>
      <w:r w:rsidRPr="002E2696">
        <w:t xml:space="preserve">saw a three-sided </w:t>
      </w:r>
      <w:proofErr w:type="gramStart"/>
      <w:r w:rsidRPr="002E2696">
        <w:t>shed</w:t>
      </w:r>
      <w:r>
        <w:t xml:space="preserve"> </w:t>
      </w:r>
      <w:r w:rsidRPr="002E2696">
        <w:t>like</w:t>
      </w:r>
      <w:proofErr w:type="gramEnd"/>
      <w:r w:rsidRPr="002E2696">
        <w:t xml:space="preserve"> structure aflame with smoke</w:t>
      </w:r>
      <w:r>
        <w:t xml:space="preserve"> </w:t>
      </w:r>
      <w:r w:rsidRPr="002E2696">
        <w:t>billowing from the top. When Boris opened the gate to</w:t>
      </w:r>
      <w:r>
        <w:t xml:space="preserve"> </w:t>
      </w:r>
      <w:r w:rsidRPr="002E2696">
        <w:t xml:space="preserve">the fence, a ‘‘tiny and </w:t>
      </w:r>
      <w:proofErr w:type="gramStart"/>
      <w:r w:rsidRPr="002E2696">
        <w:t>frail,’</w:t>
      </w:r>
      <w:proofErr w:type="gramEnd"/>
      <w:r w:rsidRPr="002E2696">
        <w:t xml:space="preserve">’ ‘‘unhealthy </w:t>
      </w:r>
      <w:proofErr w:type="gramStart"/>
      <w:r w:rsidRPr="002E2696">
        <w:t>looking’’</w:t>
      </w:r>
      <w:proofErr w:type="gramEnd"/>
      <w:r w:rsidRPr="002E2696">
        <w:t xml:space="preserve"> dog,</w:t>
      </w:r>
      <w:r>
        <w:t xml:space="preserve"> </w:t>
      </w:r>
      <w:r w:rsidRPr="002E2696">
        <w:t>later identified as Sheeba, ran toward him. Boris also</w:t>
      </w:r>
      <w:r>
        <w:t xml:space="preserve"> </w:t>
      </w:r>
      <w:r w:rsidRPr="002E2696">
        <w:t>noticed a kennel behind the shed with another</w:t>
      </w:r>
      <w:r>
        <w:t xml:space="preserve"> </w:t>
      </w:r>
      <w:proofErr w:type="gramStart"/>
      <w:r w:rsidRPr="002E2696">
        <w:t>unhealthy looking</w:t>
      </w:r>
      <w:proofErr w:type="gramEnd"/>
      <w:r w:rsidRPr="002E2696">
        <w:t xml:space="preserve"> dog, later identified as Honey,</w:t>
      </w:r>
      <w:r>
        <w:t xml:space="preserve"> </w:t>
      </w:r>
      <w:r w:rsidRPr="002E2696">
        <w:t>locked inside.</w:t>
      </w:r>
      <w:r>
        <w:t xml:space="preserve"> </w:t>
      </w:r>
      <w:r w:rsidRPr="002E2696">
        <w:t>As the fire department was attempting to extinguish</w:t>
      </w:r>
      <w:r>
        <w:t xml:space="preserve"> </w:t>
      </w:r>
      <w:r w:rsidRPr="002E2696">
        <w:t>the fire, a man exited the residence and told Boris</w:t>
      </w:r>
      <w:r>
        <w:t xml:space="preserve"> </w:t>
      </w:r>
      <w:r w:rsidRPr="002E2696">
        <w:t>that he was burning wood and did not want the fire</w:t>
      </w:r>
      <w:r>
        <w:t xml:space="preserve"> </w:t>
      </w:r>
      <w:r w:rsidRPr="002E2696">
        <w:t>extinguished. Boris explained to the man that a Bridgeport city ordinance prohibited such fires and that the</w:t>
      </w:r>
      <w:r>
        <w:t xml:space="preserve"> </w:t>
      </w:r>
      <w:r w:rsidRPr="002E2696">
        <w:t>fire department was required to extinguish it. The man</w:t>
      </w:r>
      <w:r>
        <w:t xml:space="preserve"> </w:t>
      </w:r>
      <w:r w:rsidRPr="002E2696">
        <w:t xml:space="preserve">went back inside the </w:t>
      </w:r>
      <w:proofErr w:type="gramStart"/>
      <w:r w:rsidRPr="002E2696">
        <w:t>house</w:t>
      </w:r>
      <w:proofErr w:type="gramEnd"/>
      <w:r w:rsidRPr="002E2696">
        <w:t xml:space="preserve"> and Boris called the Bridgeport Police Department (police department) for assistance. A short time later, the same man came back</w:t>
      </w:r>
      <w:r>
        <w:t xml:space="preserve"> </w:t>
      </w:r>
      <w:r w:rsidRPr="002E2696">
        <w:t xml:space="preserve">outside </w:t>
      </w:r>
      <w:proofErr w:type="gramStart"/>
      <w:r w:rsidRPr="002E2696">
        <w:t>and,</w:t>
      </w:r>
      <w:proofErr w:type="gramEnd"/>
      <w:r w:rsidRPr="002E2696">
        <w:t xml:space="preserve"> now agitated and yelling, told Boris that</w:t>
      </w:r>
      <w:r>
        <w:t xml:space="preserve"> </w:t>
      </w:r>
      <w:r w:rsidRPr="002E2696">
        <w:t>the homeowner was on his way and wanted the fire</w:t>
      </w:r>
      <w:r>
        <w:t xml:space="preserve"> </w:t>
      </w:r>
      <w:r w:rsidRPr="002E2696">
        <w:t>department off the property.</w:t>
      </w:r>
    </w:p>
    <w:p w14:paraId="1EC4EDEE" w14:textId="77777777" w:rsidR="00A84727" w:rsidRDefault="00A84727" w:rsidP="00A84727">
      <w:pPr>
        <w:pStyle w:val="NoSpacing"/>
      </w:pPr>
    </w:p>
    <w:p w14:paraId="03E87A76" w14:textId="77777777" w:rsidR="00A84727" w:rsidRDefault="00A84727" w:rsidP="00A84727">
      <w:pPr>
        <w:pStyle w:val="NoSpacing"/>
        <w:ind w:left="720"/>
      </w:pPr>
      <w:r>
        <w:t xml:space="preserve">Shortly thereafter, the defendant drove at a high rate of speed toward the residence, slammed on his brakes, jumped out of the vehicle, and charged toward the firefighters. The </w:t>
      </w:r>
      <w:proofErr w:type="gramStart"/>
      <w:r>
        <w:t>defendant ‘’</w:t>
      </w:r>
      <w:proofErr w:type="gramEnd"/>
      <w:r>
        <w:t xml:space="preserve">got right into [Boris’] </w:t>
      </w:r>
      <w:proofErr w:type="gramStart"/>
      <w:r>
        <w:t>face’’’</w:t>
      </w:r>
      <w:proofErr w:type="gramEnd"/>
      <w:r>
        <w:t xml:space="preserve"> and said that the shed was his smokehouse, that he was smoking a deer inside of it, and that he would ‘put a bullet in every one of [the firefighters’] heads if [they] didn’t get off his property.’ The defendant also attempted to pull the hose away from the firefighters as they attempted to extinguish the fire. While the confrontation between the defendant and the firefighters was ongoing, the police arrived and detained the defendant. During the ensuing investigation, Hiram Velez, a fire inspector for the city of Bridgeport, found three deceased dogs inside the shed amidst a pile of burned trash and other debris. </w:t>
      </w:r>
    </w:p>
    <w:p w14:paraId="08AEC0C9" w14:textId="77777777" w:rsidR="00A84727" w:rsidRDefault="00A84727" w:rsidP="00A84727">
      <w:pPr>
        <w:pStyle w:val="NoSpacing"/>
        <w:ind w:left="720"/>
      </w:pPr>
    </w:p>
    <w:p w14:paraId="3326902C" w14:textId="77777777" w:rsidR="00A84727" w:rsidRDefault="00A84727" w:rsidP="00A84727">
      <w:pPr>
        <w:pStyle w:val="NoSpacing"/>
        <w:ind w:left="720"/>
      </w:pPr>
      <w:r>
        <w:t>***</w:t>
      </w:r>
    </w:p>
    <w:p w14:paraId="6975C7D1" w14:textId="77777777" w:rsidR="00A84727" w:rsidRDefault="00A84727" w:rsidP="00A84727">
      <w:pPr>
        <w:pStyle w:val="NoSpacing"/>
        <w:ind w:left="720"/>
      </w:pPr>
    </w:p>
    <w:p w14:paraId="667F82FA" w14:textId="77777777" w:rsidR="00A84727" w:rsidRDefault="00A84727" w:rsidP="00A84727">
      <w:pPr>
        <w:ind w:left="720"/>
        <w:rPr>
          <w:b/>
        </w:rPr>
      </w:pPr>
      <w:r w:rsidRPr="004B50B7">
        <w:t>On July 14, 2023, the court imposed a total</w:t>
      </w:r>
      <w:r>
        <w:t xml:space="preserve"> </w:t>
      </w:r>
      <w:r w:rsidRPr="004B50B7">
        <w:t>effective sentence of 1456 days of incarceration, execution suspended after fourteen months, followed by</w:t>
      </w:r>
      <w:r>
        <w:t xml:space="preserve"> </w:t>
      </w:r>
      <w:r w:rsidRPr="004B50B7">
        <w:t>three years of probation. This appeal followed.</w:t>
      </w:r>
      <w:r>
        <w:t xml:space="preserve">” </w:t>
      </w:r>
    </w:p>
    <w:p w14:paraId="44D099CB" w14:textId="77777777" w:rsidR="00A84727" w:rsidRDefault="00A84727" w:rsidP="00A84727">
      <w:pPr>
        <w:rPr>
          <w:b/>
        </w:rPr>
      </w:pPr>
      <w:r>
        <w:rPr>
          <w:b/>
        </w:rPr>
        <w:t xml:space="preserve">Legal lesson learned: FD Captain wisely called police when the resident became belligerent; when the owner of home threatened to </w:t>
      </w:r>
      <w:proofErr w:type="gramStart"/>
      <w:r>
        <w:rPr>
          <w:b/>
        </w:rPr>
        <w:t>shot</w:t>
      </w:r>
      <w:proofErr w:type="gramEnd"/>
      <w:r>
        <w:rPr>
          <w:b/>
        </w:rPr>
        <w:t xml:space="preserve"> firefighters, police were there to make a prompt arrest.  </w:t>
      </w:r>
    </w:p>
    <w:p w14:paraId="11A8ECF2" w14:textId="77777777" w:rsidR="00A84727" w:rsidRDefault="00A84727" w:rsidP="00A84727">
      <w:pPr>
        <w:ind w:left="720"/>
      </w:pPr>
      <w:r>
        <w:t xml:space="preserve">Note:  The trial court judge dismissed some counts at close of prosecution’s case.  “The defendant argued that it was undisputed that he was not on the property when the fire was discovered and that there was not sufficient evidence to support a finding beyond a reasonable doubt that he started the fire or that he had any connection to the three deceased dogs that were found in the shed.”  All the photos and other exhibits were provided to jury.  Defense failed to object to specific evidence being excluded. </w:t>
      </w:r>
    </w:p>
    <w:p w14:paraId="1896BE7B" w14:textId="77777777" w:rsidR="00A84727" w:rsidRDefault="00A84727" w:rsidP="00A84727">
      <w:pPr>
        <w:pStyle w:val="NoSpacing"/>
      </w:pPr>
    </w:p>
    <w:p w14:paraId="05808F3A" w14:textId="77777777" w:rsidR="00A84727" w:rsidRDefault="00A84727" w:rsidP="00646EE3">
      <w:pPr>
        <w:rPr>
          <w:rFonts w:ascii="Arial Black" w:hAnsi="Arial Black"/>
          <w:sz w:val="24"/>
          <w:szCs w:val="24"/>
        </w:rPr>
      </w:pPr>
    </w:p>
    <w:p w14:paraId="6A847CA2" w14:textId="77777777" w:rsidR="0082202A" w:rsidRDefault="0082202A" w:rsidP="00646EE3">
      <w:pPr>
        <w:rPr>
          <w:rFonts w:ascii="Arial Black" w:hAnsi="Arial Black"/>
          <w:sz w:val="24"/>
          <w:szCs w:val="24"/>
        </w:rPr>
      </w:pPr>
    </w:p>
    <w:p w14:paraId="70BF0A0D" w14:textId="7D561585" w:rsidR="00F039D1" w:rsidRDefault="00F039D1" w:rsidP="00646EE3">
      <w:pPr>
        <w:rPr>
          <w:rFonts w:ascii="Arial Black" w:hAnsi="Arial Black"/>
          <w:sz w:val="24"/>
          <w:szCs w:val="24"/>
        </w:rPr>
      </w:pPr>
      <w:r>
        <w:rPr>
          <w:rFonts w:ascii="Arial Black" w:hAnsi="Arial Black"/>
          <w:sz w:val="24"/>
          <w:szCs w:val="24"/>
        </w:rPr>
        <w:t>2-97</w:t>
      </w:r>
    </w:p>
    <w:p w14:paraId="739C4F01" w14:textId="77777777" w:rsidR="00F039D1" w:rsidRPr="00853198" w:rsidRDefault="00F039D1" w:rsidP="00F039D1">
      <w:pPr>
        <w:rPr>
          <w:rFonts w:ascii="Arial Black" w:hAnsi="Arial Black"/>
          <w:b/>
          <w:sz w:val="28"/>
          <w:szCs w:val="28"/>
        </w:rPr>
      </w:pPr>
      <w:r>
        <w:rPr>
          <w:rFonts w:ascii="Arial Black" w:hAnsi="Arial Black"/>
          <w:b/>
          <w:sz w:val="28"/>
          <w:szCs w:val="28"/>
        </w:rPr>
        <w:t>NY: ARSONIST –- 1994 LODD – MUST STAY PRISON 43 YRS</w:t>
      </w:r>
    </w:p>
    <w:p w14:paraId="4E8FD6CB" w14:textId="77777777" w:rsidR="00F039D1" w:rsidRDefault="00F039D1" w:rsidP="00F039D1">
      <w:pPr>
        <w:rPr>
          <w:b/>
        </w:rPr>
      </w:pPr>
      <w:r>
        <w:t xml:space="preserve">On November 25, 2025, in </w:t>
      </w:r>
      <w:r w:rsidRPr="00461D2E">
        <w:rPr>
          <w:u w:val="single"/>
        </w:rPr>
        <w:t>United States of America v. Alberto Raposo</w:t>
      </w:r>
      <w:r>
        <w:t>, U.S. District Court Judge John P. Cronan, United States District Court for the Southern District of New York, denied the prisoner’s third motion for sentence reduction; he must serve out his sentence of 524 months.   THE COURT WROTE: “</w:t>
      </w:r>
      <w:r w:rsidRPr="003133EB">
        <w:t>On June 5, 1994, Defendant Alberto Raposo set fire to a Manhattan building after a fight with his roommates. Waiting until his roommates were inside, Raposo ignited fires in front of the building's front door and in the subcellar, lobby, and second and fourth floors</w:t>
      </w:r>
      <w:r>
        <w:t xml:space="preserve">…. </w:t>
      </w:r>
      <w:r w:rsidRPr="003133EB">
        <w:t>He then poured oil on the stairs and on the fire escapes, locked the front door even though he had the only key, and removed wires to disable the building's fire alarm</w:t>
      </w:r>
      <w:r>
        <w:t xml:space="preserve">…. </w:t>
      </w:r>
      <w:r w:rsidRPr="003133EB">
        <w:t xml:space="preserve"> Miraculously, Raposo's roommates survived, but New York City Fire Department Lieutenant George Lener died from carbon monoxide poisoning after he bravely responded to the scene.</w:t>
      </w:r>
      <w:r>
        <w:t xml:space="preserve"> *** </w:t>
      </w:r>
      <w:r w:rsidRPr="00853198">
        <w:t>Because of Raposo's actions, a firefighter of fifteen years, a husband, and a father of three young children lost his life</w:t>
      </w:r>
      <w:r>
        <w:t xml:space="preserve">…. </w:t>
      </w:r>
      <w:r w:rsidRPr="00853198">
        <w:t>So although Raposo was young when he committed his crime</w:t>
      </w:r>
      <w:r>
        <w:t xml:space="preserve"> [age 22]</w:t>
      </w:r>
      <w:r w:rsidRPr="00853198">
        <w:t>, received a lengthy sentence for his offense, and appears to have made the most of his time in custody by engaging in rehabilitation efforts, the Court remains convinced that a sentence reduction is not warranted.</w:t>
      </w:r>
      <w:r>
        <w:t>”</w:t>
      </w:r>
      <w:r w:rsidRPr="007612B9">
        <w:t xml:space="preserve"> </w:t>
      </w:r>
      <w:hyperlink r:id="rId411" w:history="1">
        <w:r w:rsidRPr="00A550B3">
          <w:rPr>
            <w:rStyle w:val="Hyperlink"/>
            <w:b/>
          </w:rPr>
          <w:t>https://public.fastcase.com/jaEE2PXzRXmZ99jOLMt1ItgJpO3cenZHWG8%2BVkmKxH1HTTAbABiD6rHSJp3pZ1gN%2FmUtcGj1MYmfK4vUiVXj%2F7KJALcf9RQ89nZBN4g9WoM%3D?utm_medium=email&amp;_hsenc=p2ANqtz-8GKw_r7YMLn5ao1TZxs4WqNRhri-535W3eCNA3JduD9CnJg4Ez99C9vjqiY3t5lfrKsWh0EQkMPqhDg1IfFNoFLO22ZQ&amp;_hsmi=226712652&amp;utm_content=226712652&amp;utm_source=hs_email</w:t>
        </w:r>
      </w:hyperlink>
      <w:r>
        <w:rPr>
          <w:b/>
        </w:rPr>
        <w:t xml:space="preserve"> </w:t>
      </w:r>
    </w:p>
    <w:p w14:paraId="7F300647" w14:textId="77777777" w:rsidR="00F039D1" w:rsidRPr="00390FA3" w:rsidRDefault="00F039D1" w:rsidP="00F039D1">
      <w:pPr>
        <w:rPr>
          <w:bCs/>
        </w:rPr>
      </w:pPr>
      <w:r w:rsidRPr="00390FA3">
        <w:t>THE COURT HELD:</w:t>
      </w:r>
    </w:p>
    <w:p w14:paraId="706DDE81" w14:textId="77777777" w:rsidR="00F039D1" w:rsidRDefault="00F039D1" w:rsidP="00F039D1">
      <w:pPr>
        <w:ind w:left="720"/>
      </w:pPr>
      <w:r>
        <w:t>“</w:t>
      </w:r>
      <w:r w:rsidRPr="00CA78AD">
        <w:t>Following a jury trial, Raposo was found guilty on February 9, 1999, of committing arson of property used in interstate commerce, with death resulting</w:t>
      </w:r>
      <w:r>
        <w:t xml:space="preserve">…. </w:t>
      </w:r>
      <w:r w:rsidRPr="00CA78AD">
        <w:t xml:space="preserve"> On June 8, 1999, the Honorable Deborah A. Batts sentenced Raposo to 524 months of imprisonment followed by five years of supervised release</w:t>
      </w:r>
      <w:r>
        <w:t xml:space="preserve">…. </w:t>
      </w:r>
      <w:r w:rsidRPr="00CA78AD">
        <w:t xml:space="preserve">Raposo is currently incarcerated at the Federal Correctional Institution in Danbury, Connecticut, with a projected release date of June 13, </w:t>
      </w:r>
      <w:r>
        <w:t xml:space="preserve">[2033]. </w:t>
      </w:r>
      <w:r w:rsidRPr="00CA78AD">
        <w:rPr>
          <w:i/>
          <w:iCs/>
        </w:rPr>
        <w:t>See</w:t>
      </w:r>
      <w:r w:rsidRPr="00CA78AD">
        <w:t xml:space="preserve"> Federal Bureau of Prisons, Find an Inmate, https://www.bop.gov/inmateloc/ (last visited Nov. 24, 2025).</w:t>
      </w:r>
      <w:r>
        <w:t xml:space="preserve">” </w:t>
      </w:r>
    </w:p>
    <w:p w14:paraId="41FDFFDC" w14:textId="77777777" w:rsidR="00F039D1" w:rsidRPr="00734B1E" w:rsidRDefault="00F039D1" w:rsidP="00F039D1">
      <w:pPr>
        <w:rPr>
          <w:b/>
          <w:bCs/>
        </w:rPr>
      </w:pPr>
      <w:r w:rsidRPr="00734B1E">
        <w:rPr>
          <w:b/>
        </w:rPr>
        <w:t>Legal lesson learned:</w:t>
      </w:r>
      <w:r>
        <w:rPr>
          <w:b/>
        </w:rPr>
        <w:t xml:space="preserve"> Prisoner will serve full time for the death of a firefighter. </w:t>
      </w:r>
    </w:p>
    <w:p w14:paraId="6908045D" w14:textId="77777777" w:rsidR="00F039D1" w:rsidRDefault="00F039D1" w:rsidP="00646EE3">
      <w:pPr>
        <w:rPr>
          <w:rFonts w:ascii="Arial Black" w:hAnsi="Arial Black"/>
          <w:sz w:val="24"/>
          <w:szCs w:val="24"/>
        </w:rPr>
      </w:pPr>
    </w:p>
    <w:p w14:paraId="29B24A79" w14:textId="77777777" w:rsidR="00F039D1" w:rsidRDefault="00F039D1" w:rsidP="00646EE3">
      <w:pPr>
        <w:rPr>
          <w:rFonts w:ascii="Arial Black" w:hAnsi="Arial Black"/>
          <w:sz w:val="24"/>
          <w:szCs w:val="24"/>
        </w:rPr>
      </w:pPr>
    </w:p>
    <w:p w14:paraId="1FC8C9C1" w14:textId="77777777" w:rsidR="00F039D1" w:rsidRDefault="00F039D1" w:rsidP="00646EE3">
      <w:pPr>
        <w:rPr>
          <w:rFonts w:ascii="Arial Black" w:hAnsi="Arial Black"/>
          <w:sz w:val="24"/>
          <w:szCs w:val="24"/>
        </w:rPr>
      </w:pPr>
    </w:p>
    <w:p w14:paraId="56E61D23" w14:textId="37DFCD03" w:rsidR="001D5809" w:rsidRDefault="00161ED7" w:rsidP="00646EE3">
      <w:pPr>
        <w:rPr>
          <w:rFonts w:ascii="Arial Black" w:hAnsi="Arial Black"/>
          <w:sz w:val="24"/>
          <w:szCs w:val="24"/>
        </w:rPr>
      </w:pPr>
      <w:r>
        <w:rPr>
          <w:rFonts w:ascii="Arial Black" w:hAnsi="Arial Black"/>
          <w:sz w:val="24"/>
          <w:szCs w:val="24"/>
        </w:rPr>
        <w:t>2-9</w:t>
      </w:r>
      <w:r w:rsidR="0099399D">
        <w:rPr>
          <w:rFonts w:ascii="Arial Black" w:hAnsi="Arial Black"/>
          <w:sz w:val="24"/>
          <w:szCs w:val="24"/>
        </w:rPr>
        <w:t>6</w:t>
      </w:r>
    </w:p>
    <w:p w14:paraId="3171DC16" w14:textId="1D2D381C" w:rsidR="001D5809" w:rsidRPr="00FF5E77" w:rsidRDefault="001D5809" w:rsidP="001D5809">
      <w:pPr>
        <w:pStyle w:val="NoSpacing"/>
        <w:rPr>
          <w:rFonts w:ascii="Arial Black" w:hAnsi="Arial Black"/>
          <w:b/>
          <w:sz w:val="28"/>
          <w:szCs w:val="28"/>
        </w:rPr>
      </w:pPr>
      <w:r>
        <w:rPr>
          <w:rFonts w:ascii="Arial Black" w:hAnsi="Arial Black"/>
          <w:b/>
          <w:sz w:val="28"/>
          <w:szCs w:val="28"/>
        </w:rPr>
        <w:t xml:space="preserve">MN: </w:t>
      </w:r>
      <w:r w:rsidR="00120DAE">
        <w:rPr>
          <w:rFonts w:ascii="Arial Black" w:hAnsi="Arial Black"/>
          <w:b/>
          <w:sz w:val="28"/>
          <w:szCs w:val="28"/>
        </w:rPr>
        <w:t xml:space="preserve">OFF-DUTY FF </w:t>
      </w:r>
      <w:r>
        <w:rPr>
          <w:rFonts w:ascii="Arial Black" w:hAnsi="Arial Black"/>
          <w:b/>
          <w:sz w:val="28"/>
          <w:szCs w:val="28"/>
        </w:rPr>
        <w:t xml:space="preserve">- PUNCHED IN FACE – “ROAD RAGE”  </w:t>
      </w:r>
    </w:p>
    <w:p w14:paraId="7814F2CF" w14:textId="77777777" w:rsidR="001D5809" w:rsidRDefault="001D5809" w:rsidP="001D5809">
      <w:pPr>
        <w:pStyle w:val="NoSpacing"/>
        <w:rPr>
          <w:b/>
        </w:rPr>
      </w:pPr>
    </w:p>
    <w:p w14:paraId="56B3DF97" w14:textId="77777777" w:rsidR="001D5809" w:rsidRDefault="001D5809" w:rsidP="001D5809">
      <w:pPr>
        <w:pStyle w:val="NoSpacing"/>
        <w:rPr>
          <w:b/>
        </w:rPr>
      </w:pPr>
      <w:r w:rsidRPr="000C0FAB">
        <w:t xml:space="preserve">On October 21, 2025, in </w:t>
      </w:r>
      <w:r w:rsidRPr="00F2361B">
        <w:rPr>
          <w:u w:val="single"/>
        </w:rPr>
        <w:t>State of Montana v. Jeffrey W. Burrington</w:t>
      </w:r>
      <w:r>
        <w:t xml:space="preserve">, the Supreme Court of Montana held (5 to 0) that jury properly convicted the defendant of Aggravated Assault of Ryan Williams. The Trial Court judge sentenced him to seven years, but all suspended.  The firefighter (a smoke jumper) pulled over when the defendant was “tailgating” him and then was punched in the face – fractured </w:t>
      </w:r>
      <w:r w:rsidRPr="00B31A1C">
        <w:t>mandible</w:t>
      </w:r>
      <w:r>
        <w:t xml:space="preserve">.  The jury rejected the defense that Burrington was particularly fearful for being involved with two prior “road range” incidents -  his wife testified about 1987 incident (person pulled a gun on he and his wife); 2023 (a driver </w:t>
      </w:r>
      <w:r w:rsidRPr="007B0A97">
        <w:t>brandished a machete</w:t>
      </w:r>
      <w:r>
        <w:t xml:space="preserve"> at his wife).  The trial court would not allow prosecution to tell jury about third incident:  2017 (he pled guilty to disorderly conduct after he </w:t>
      </w:r>
      <w:r w:rsidRPr="008376FD">
        <w:t>punched one of the</w:t>
      </w:r>
      <w:r>
        <w:t xml:space="preserve"> </w:t>
      </w:r>
      <w:r w:rsidRPr="008376FD">
        <w:t>motorcyclists</w:t>
      </w:r>
      <w:r>
        <w:t xml:space="preserve"> where a group of bikers were </w:t>
      </w:r>
      <w:r w:rsidRPr="00490EEB">
        <w:t>“boxing in” his car</w:t>
      </w:r>
      <w:r>
        <w:t>)</w:t>
      </w:r>
      <w:r w:rsidRPr="00490EEB">
        <w:t>.</w:t>
      </w:r>
      <w:r>
        <w:t xml:space="preserve">  </w:t>
      </w:r>
      <w:hyperlink r:id="rId412" w:history="1">
        <w:r w:rsidRPr="00410A8E">
          <w:rPr>
            <w:rStyle w:val="Hyperlink"/>
            <w:b/>
          </w:rPr>
          <w:t>https://cases.justia.com/montana/supreme-court/2025-da-25-0100.pdf?ts=1761082851</w:t>
        </w:r>
      </w:hyperlink>
      <w:r>
        <w:rPr>
          <w:b/>
        </w:rPr>
        <w:t xml:space="preserve"> </w:t>
      </w:r>
    </w:p>
    <w:p w14:paraId="4D958F61" w14:textId="77777777" w:rsidR="001D5809" w:rsidRDefault="001D5809" w:rsidP="001D5809">
      <w:pPr>
        <w:pStyle w:val="NoSpacing"/>
        <w:rPr>
          <w:b/>
        </w:rPr>
      </w:pPr>
    </w:p>
    <w:p w14:paraId="7DAA48D0" w14:textId="77777777" w:rsidR="001D5809" w:rsidRDefault="001D5809" w:rsidP="001D5809">
      <w:pPr>
        <w:pStyle w:val="NoSpacing"/>
        <w:rPr>
          <w:bCs/>
        </w:rPr>
      </w:pPr>
      <w:r>
        <w:t>THE COURT HELD:</w:t>
      </w:r>
    </w:p>
    <w:p w14:paraId="08B845D5" w14:textId="77777777" w:rsidR="001D5809" w:rsidRDefault="001D5809" w:rsidP="001D5809">
      <w:pPr>
        <w:pStyle w:val="NoSpacing"/>
        <w:rPr>
          <w:bCs/>
        </w:rPr>
      </w:pPr>
    </w:p>
    <w:p w14:paraId="205BB002" w14:textId="77777777" w:rsidR="001D5809" w:rsidRPr="00F051AB" w:rsidRDefault="001D5809" w:rsidP="001D5809">
      <w:pPr>
        <w:pStyle w:val="NoSpacing"/>
        <w:ind w:firstLine="720"/>
        <w:rPr>
          <w:bCs/>
        </w:rPr>
      </w:pPr>
      <w:r>
        <w:t>“</w:t>
      </w:r>
      <w:r w:rsidRPr="00F051AB">
        <w:t>On July 22, 2023, Burrington was driving with his wife, Sally Burrington, when he</w:t>
      </w:r>
    </w:p>
    <w:p w14:paraId="787BF5F8" w14:textId="77777777" w:rsidR="001D5809" w:rsidRPr="00F051AB" w:rsidRDefault="001D5809" w:rsidP="001D5809">
      <w:pPr>
        <w:pStyle w:val="NoSpacing"/>
        <w:ind w:firstLine="720"/>
        <w:rPr>
          <w:bCs/>
        </w:rPr>
      </w:pPr>
      <w:r w:rsidRPr="00F051AB">
        <w:t xml:space="preserve">began </w:t>
      </w:r>
      <w:r>
        <w:t>‘</w:t>
      </w:r>
      <w:r w:rsidRPr="00F051AB">
        <w:t>tailgating</w:t>
      </w:r>
      <w:r>
        <w:t>’</w:t>
      </w:r>
      <w:r w:rsidRPr="00F051AB">
        <w:t xml:space="preserve"> Ryan Williams’s car. Williams pulled over, and the </w:t>
      </w:r>
      <w:proofErr w:type="spellStart"/>
      <w:r w:rsidRPr="00F051AB">
        <w:t>Burringtons</w:t>
      </w:r>
      <w:proofErr w:type="spellEnd"/>
    </w:p>
    <w:p w14:paraId="4698229B" w14:textId="77777777" w:rsidR="001D5809" w:rsidRPr="00F051AB" w:rsidRDefault="001D5809" w:rsidP="001D5809">
      <w:pPr>
        <w:pStyle w:val="NoSpacing"/>
        <w:ind w:firstLine="720"/>
        <w:rPr>
          <w:bCs/>
        </w:rPr>
      </w:pPr>
      <w:r w:rsidRPr="00F051AB">
        <w:t>stopped their vehicle behind him. Both parties stepped out of their vehicles. Williams</w:t>
      </w:r>
    </w:p>
    <w:p w14:paraId="5574635B" w14:textId="77777777" w:rsidR="001D5809" w:rsidRPr="00F051AB" w:rsidRDefault="001D5809" w:rsidP="001D5809">
      <w:pPr>
        <w:pStyle w:val="NoSpacing"/>
        <w:ind w:firstLine="720"/>
        <w:rPr>
          <w:bCs/>
        </w:rPr>
      </w:pPr>
      <w:r w:rsidRPr="00F051AB">
        <w:t xml:space="preserve">asked Burrington, </w:t>
      </w:r>
      <w:r>
        <w:t>‘</w:t>
      </w:r>
      <w:r w:rsidRPr="00F051AB">
        <w:t>What’s wrong?</w:t>
      </w:r>
      <w:r>
        <w:t>’</w:t>
      </w:r>
      <w:r w:rsidRPr="00F051AB">
        <w:t xml:space="preserve"> and Burrington became </w:t>
      </w:r>
      <w:r>
        <w:t>‘</w:t>
      </w:r>
      <w:r w:rsidRPr="00F051AB">
        <w:t>extremely belligerent.</w:t>
      </w:r>
      <w:r>
        <w:t>’</w:t>
      </w:r>
      <w:r w:rsidRPr="00F051AB">
        <w:t xml:space="preserve"> As</w:t>
      </w:r>
    </w:p>
    <w:p w14:paraId="6D148C19" w14:textId="77777777" w:rsidR="001D5809" w:rsidRPr="00F051AB" w:rsidRDefault="001D5809" w:rsidP="001D5809">
      <w:pPr>
        <w:pStyle w:val="NoSpacing"/>
        <w:ind w:firstLine="720"/>
        <w:rPr>
          <w:bCs/>
        </w:rPr>
      </w:pPr>
      <w:proofErr w:type="gramStart"/>
      <w:r w:rsidRPr="00F051AB">
        <w:t>the</w:t>
      </w:r>
      <w:proofErr w:type="gramEnd"/>
      <w:r w:rsidRPr="00F051AB">
        <w:t xml:space="preserve"> altercation escalated, Burrington began accusing Williams of being from Washington.</w:t>
      </w:r>
    </w:p>
    <w:p w14:paraId="484F8674" w14:textId="77777777" w:rsidR="001D5809" w:rsidRPr="00F051AB" w:rsidRDefault="001D5809" w:rsidP="001D5809">
      <w:pPr>
        <w:pStyle w:val="NoSpacing"/>
        <w:ind w:firstLine="720"/>
        <w:rPr>
          <w:bCs/>
        </w:rPr>
      </w:pPr>
      <w:r w:rsidRPr="00F051AB">
        <w:t>Burrington then punched Williams in the face, at which point Williams returned to his car</w:t>
      </w:r>
    </w:p>
    <w:p w14:paraId="2DE5F538" w14:textId="77777777" w:rsidR="001D5809" w:rsidRDefault="001D5809" w:rsidP="001D5809">
      <w:pPr>
        <w:pStyle w:val="NoSpacing"/>
        <w:ind w:left="720"/>
        <w:rPr>
          <w:bCs/>
        </w:rPr>
      </w:pPr>
      <w:r w:rsidRPr="00F051AB">
        <w:t xml:space="preserve">and the </w:t>
      </w:r>
      <w:proofErr w:type="spellStart"/>
      <w:r w:rsidRPr="00F051AB">
        <w:t>Burringtons</w:t>
      </w:r>
      <w:proofErr w:type="spellEnd"/>
      <w:r w:rsidRPr="00F051AB">
        <w:t xml:space="preserve"> left in their vehicle</w:t>
      </w:r>
      <w:r>
        <w:t xml:space="preserve">…. </w:t>
      </w:r>
      <w:r w:rsidRPr="000F227C">
        <w:t>The next day, after suffering significant pain and</w:t>
      </w:r>
      <w:r>
        <w:t xml:space="preserve"> </w:t>
      </w:r>
      <w:r w:rsidRPr="000F227C">
        <w:t>swelling, Williams left work and went to the hospital. He was diagnosed with a fractured</w:t>
      </w:r>
      <w:r>
        <w:t xml:space="preserve"> </w:t>
      </w:r>
      <w:r w:rsidRPr="000F227C">
        <w:t>mandible. He filed a police report after his medical diagnosis.</w:t>
      </w:r>
    </w:p>
    <w:p w14:paraId="69FD4074" w14:textId="77777777" w:rsidR="001D5809" w:rsidRDefault="001D5809" w:rsidP="001D5809">
      <w:pPr>
        <w:pStyle w:val="NoSpacing"/>
        <w:ind w:left="720"/>
        <w:rPr>
          <w:bCs/>
        </w:rPr>
      </w:pPr>
    </w:p>
    <w:p w14:paraId="339E9D8C" w14:textId="77777777" w:rsidR="001D5809" w:rsidRDefault="001D5809" w:rsidP="001D5809">
      <w:pPr>
        <w:pStyle w:val="NoSpacing"/>
        <w:ind w:left="720"/>
        <w:rPr>
          <w:bCs/>
        </w:rPr>
      </w:pPr>
      <w:r>
        <w:t>***</w:t>
      </w:r>
    </w:p>
    <w:p w14:paraId="670EE3EA" w14:textId="77777777" w:rsidR="001D5809" w:rsidRDefault="001D5809" w:rsidP="001D5809">
      <w:pPr>
        <w:pStyle w:val="NoSpacing"/>
        <w:ind w:left="720"/>
        <w:rPr>
          <w:bCs/>
        </w:rPr>
      </w:pPr>
      <w:r>
        <w:t>T</w:t>
      </w:r>
      <w:r w:rsidRPr="007B0A97">
        <w:t xml:space="preserve">o support the JUOF </w:t>
      </w:r>
      <w:r>
        <w:t>[</w:t>
      </w:r>
      <w:r w:rsidRPr="0011479A">
        <w:t>justifiable use of force</w:t>
      </w:r>
      <w:r>
        <w:t xml:space="preserve">] </w:t>
      </w:r>
      <w:r w:rsidRPr="007B0A97">
        <w:t>defense, Burrington introduced two incidents relating to road</w:t>
      </w:r>
      <w:r>
        <w:t xml:space="preserve"> </w:t>
      </w:r>
      <w:r w:rsidRPr="007B0A97">
        <w:t xml:space="preserve">rage. These incidents were meant to demonstrate </w:t>
      </w:r>
      <w:proofErr w:type="spellStart"/>
      <w:r w:rsidRPr="007B0A97">
        <w:t>Burringtons</w:t>
      </w:r>
      <w:proofErr w:type="spellEnd"/>
      <w:r w:rsidRPr="007B0A97">
        <w:t>’ fear during the event.</w:t>
      </w:r>
      <w:r>
        <w:t xml:space="preserve"> </w:t>
      </w:r>
      <w:r w:rsidRPr="007B0A97">
        <w:t>Burrington’s wife, Sally Burrington, testified first. She testified to both incidents. The</w:t>
      </w:r>
      <w:r>
        <w:t xml:space="preserve"> </w:t>
      </w:r>
      <w:r w:rsidRPr="007B0A97">
        <w:t>first incident, which occurred in 1987, involved both Burrington and his wife being</w:t>
      </w:r>
      <w:r>
        <w:t xml:space="preserve"> </w:t>
      </w:r>
      <w:r w:rsidRPr="007B0A97">
        <w:t xml:space="preserve">allegedly involved in a roadside incident where someone </w:t>
      </w:r>
      <w:r>
        <w:t>‘</w:t>
      </w:r>
      <w:r w:rsidRPr="007B0A97">
        <w:t>pulled a gun</w:t>
      </w:r>
      <w:r>
        <w:t xml:space="preserve">’ </w:t>
      </w:r>
      <w:r w:rsidRPr="007B0A97">
        <w:t>on them</w:t>
      </w:r>
      <w:r>
        <w:t xml:space="preserve">. </w:t>
      </w:r>
      <w:r w:rsidRPr="007B0A97">
        <w:t>The</w:t>
      </w:r>
      <w:r>
        <w:t xml:space="preserve"> </w:t>
      </w:r>
      <w:r w:rsidRPr="007B0A97">
        <w:t>second incident occurred in 2023, where another driver brandished a machete at Sally</w:t>
      </w:r>
      <w:r>
        <w:t xml:space="preserve">.   </w:t>
      </w:r>
      <w:r w:rsidRPr="007B0A97">
        <w:t>Burrington in a parking lot behind a gas station. Sally also testified about her husband’</w:t>
      </w:r>
      <w:r>
        <w:t xml:space="preserve">s </w:t>
      </w:r>
      <w:r w:rsidRPr="005753F3">
        <w:t>protective instincts towards his family</w:t>
      </w:r>
      <w:r>
        <w:t>.</w:t>
      </w:r>
    </w:p>
    <w:p w14:paraId="414A82F7" w14:textId="77777777" w:rsidR="001D5809" w:rsidRDefault="001D5809" w:rsidP="001D5809">
      <w:pPr>
        <w:pStyle w:val="NoSpacing"/>
        <w:ind w:left="720"/>
        <w:rPr>
          <w:bCs/>
        </w:rPr>
      </w:pPr>
    </w:p>
    <w:p w14:paraId="628F1A57" w14:textId="77777777" w:rsidR="001D5809" w:rsidRDefault="001D5809" w:rsidP="001D5809">
      <w:pPr>
        <w:pStyle w:val="NoSpacing"/>
        <w:ind w:left="720"/>
        <w:rPr>
          <w:bCs/>
        </w:rPr>
      </w:pPr>
      <w:r>
        <w:t>***</w:t>
      </w:r>
    </w:p>
    <w:p w14:paraId="26F268ED" w14:textId="77777777" w:rsidR="001D5809" w:rsidRDefault="001D5809" w:rsidP="001D5809">
      <w:pPr>
        <w:pStyle w:val="NoSpacing"/>
        <w:ind w:left="720"/>
        <w:rPr>
          <w:bCs/>
        </w:rPr>
      </w:pPr>
      <w:r w:rsidRPr="00C4196C">
        <w:t>Burrington also testified about the two prior incidents introduced in Sally’s</w:t>
      </w:r>
      <w:r>
        <w:t xml:space="preserve"> </w:t>
      </w:r>
      <w:r w:rsidRPr="00C4196C">
        <w:t>testimony. On cross-examination, the State inquired into more detail regarding these</w:t>
      </w:r>
      <w:r>
        <w:t xml:space="preserve"> </w:t>
      </w:r>
      <w:r w:rsidRPr="00C4196C">
        <w:t>events. As the State’s questioning moved from the 2023 incident to the 1987 incident,</w:t>
      </w:r>
      <w:r>
        <w:t xml:space="preserve"> </w:t>
      </w:r>
      <w:r w:rsidRPr="00C4196C">
        <w:t>Burrington’s attorney—anticipating the State was asking about the excluded 2017</w:t>
      </w:r>
      <w:r>
        <w:t xml:space="preserve"> </w:t>
      </w:r>
      <w:r w:rsidRPr="00C4196C">
        <w:t>incident</w:t>
      </w:r>
      <w:r>
        <w:t xml:space="preserve"> [where defendant assaulted a motorcyclist and pled guilty to disorderly conduct]</w:t>
      </w:r>
      <w:r w:rsidRPr="00C4196C">
        <w:t>—objected to the State’s question. The court explained defense counsel was</w:t>
      </w:r>
      <w:r>
        <w:t xml:space="preserve"> </w:t>
      </w:r>
      <w:r w:rsidRPr="00C4196C">
        <w:t xml:space="preserve">mistaken, stating </w:t>
      </w:r>
      <w:r>
        <w:t>‘</w:t>
      </w:r>
      <w:r w:rsidRPr="00C4196C">
        <w:t>He’s talking about Ms. Burrington’s previous road rage.</w:t>
      </w:r>
      <w:r>
        <w:t>’</w:t>
      </w:r>
      <w:r w:rsidRPr="00C4196C">
        <w:t xml:space="preserve"> Burrington</w:t>
      </w:r>
      <w:r>
        <w:t xml:space="preserve"> </w:t>
      </w:r>
      <w:r w:rsidRPr="00C4196C">
        <w:t xml:space="preserve">did not object to the court’s reference </w:t>
      </w:r>
      <w:proofErr w:type="gramStart"/>
      <w:r w:rsidRPr="00C4196C">
        <w:t>of</w:t>
      </w:r>
      <w:proofErr w:type="gramEnd"/>
      <w:r w:rsidRPr="00C4196C">
        <w:t xml:space="preserve"> the 1980’s incident as </w:t>
      </w:r>
      <w:r>
        <w:t>‘</w:t>
      </w:r>
      <w:r w:rsidRPr="00C4196C">
        <w:t>Ms. Burrington’s previous</w:t>
      </w:r>
      <w:r>
        <w:t xml:space="preserve"> </w:t>
      </w:r>
      <w:r w:rsidRPr="00C4196C">
        <w:t>road rage.</w:t>
      </w:r>
      <w:r>
        <w:t>’</w:t>
      </w:r>
    </w:p>
    <w:p w14:paraId="3CB02676" w14:textId="77777777" w:rsidR="001D5809" w:rsidRDefault="001D5809" w:rsidP="001D5809">
      <w:pPr>
        <w:pStyle w:val="NoSpacing"/>
        <w:ind w:left="720"/>
        <w:rPr>
          <w:bCs/>
        </w:rPr>
      </w:pPr>
    </w:p>
    <w:p w14:paraId="4CC058F4" w14:textId="77777777" w:rsidR="001D5809" w:rsidRDefault="001D5809" w:rsidP="001D5809">
      <w:pPr>
        <w:pStyle w:val="NoSpacing"/>
        <w:ind w:left="720"/>
        <w:rPr>
          <w:bCs/>
        </w:rPr>
      </w:pPr>
      <w:r>
        <w:t>***</w:t>
      </w:r>
    </w:p>
    <w:p w14:paraId="0A216B8D" w14:textId="77777777" w:rsidR="001D5809" w:rsidRDefault="001D5809" w:rsidP="001D5809">
      <w:pPr>
        <w:pStyle w:val="NoSpacing"/>
        <w:ind w:left="720"/>
        <w:rPr>
          <w:bCs/>
        </w:rPr>
      </w:pPr>
    </w:p>
    <w:p w14:paraId="3F27AAB5" w14:textId="77777777" w:rsidR="001D5809" w:rsidRPr="009A521B" w:rsidRDefault="001D5809" w:rsidP="001D5809">
      <w:pPr>
        <w:pStyle w:val="NoSpacing"/>
        <w:ind w:left="720"/>
        <w:rPr>
          <w:bCs/>
        </w:rPr>
      </w:pPr>
      <w:r w:rsidRPr="009A521B">
        <w:t>Ultimately, it was Burrington who introduced</w:t>
      </w:r>
      <w:r>
        <w:t xml:space="preserve"> </w:t>
      </w:r>
      <w:r w:rsidRPr="009A521B">
        <w:t xml:space="preserve">this evidence </w:t>
      </w:r>
      <w:r>
        <w:t xml:space="preserve">[prior “road rage” incidents] </w:t>
      </w:r>
      <w:r w:rsidRPr="009A521B">
        <w:t>in the first instance, opening the door for the State to challenge Burrington’s</w:t>
      </w:r>
    </w:p>
    <w:p w14:paraId="6FCCBB37" w14:textId="77777777" w:rsidR="001D5809" w:rsidRPr="009A521B" w:rsidRDefault="001D5809" w:rsidP="001D5809">
      <w:pPr>
        <w:pStyle w:val="NoSpacing"/>
        <w:ind w:firstLine="720"/>
        <w:rPr>
          <w:bCs/>
        </w:rPr>
      </w:pPr>
      <w:r w:rsidRPr="009A521B">
        <w:t>characterization of the events, and did not object to the State’s question or request other</w:t>
      </w:r>
    </w:p>
    <w:p w14:paraId="1C37288A" w14:textId="77777777" w:rsidR="001D5809" w:rsidRDefault="001D5809" w:rsidP="001D5809">
      <w:pPr>
        <w:pStyle w:val="NoSpacing"/>
        <w:ind w:left="720"/>
        <w:rPr>
          <w:bCs/>
        </w:rPr>
      </w:pPr>
      <w:r w:rsidRPr="009A521B">
        <w:t>acts jury instruction. The comment and the lack of other acts instructions did not implicate</w:t>
      </w:r>
      <w:r>
        <w:t xml:space="preserve"> </w:t>
      </w:r>
      <w:r w:rsidRPr="009A521B">
        <w:t>Burrington’s fundamental rights and failure to review it would not result in manifest</w:t>
      </w:r>
      <w:r>
        <w:t xml:space="preserve"> </w:t>
      </w:r>
      <w:r w:rsidRPr="009A521B">
        <w:t>injustice.</w:t>
      </w:r>
      <w:r>
        <w:t>”</w:t>
      </w:r>
    </w:p>
    <w:p w14:paraId="0B1AFDD8" w14:textId="77777777" w:rsidR="001D5809" w:rsidRDefault="001D5809" w:rsidP="001D5809">
      <w:pPr>
        <w:pStyle w:val="NoSpacing"/>
        <w:ind w:left="720"/>
        <w:rPr>
          <w:bCs/>
        </w:rPr>
      </w:pPr>
    </w:p>
    <w:p w14:paraId="2588F46D" w14:textId="2F2E1355" w:rsidR="001D5809" w:rsidRPr="0048238D" w:rsidRDefault="001D5809" w:rsidP="001D5809">
      <w:pPr>
        <w:pStyle w:val="NoSpacing"/>
        <w:rPr>
          <w:b/>
        </w:rPr>
      </w:pPr>
      <w:r>
        <w:rPr>
          <w:b/>
        </w:rPr>
        <w:t xml:space="preserve">Lesson learned: Unfortunate the “road rage” defendant received suspended sentence. </w:t>
      </w:r>
    </w:p>
    <w:p w14:paraId="1215D2D7" w14:textId="77777777" w:rsidR="001D5809" w:rsidRDefault="001D5809" w:rsidP="001D5809">
      <w:pPr>
        <w:tabs>
          <w:tab w:val="left" w:pos="264"/>
        </w:tabs>
      </w:pPr>
    </w:p>
    <w:p w14:paraId="60A85E46" w14:textId="0EE93AE0" w:rsidR="001D5809" w:rsidRDefault="00515316" w:rsidP="00646EE3">
      <w:pPr>
        <w:rPr>
          <w:rFonts w:ascii="Arial Black" w:hAnsi="Arial Black"/>
          <w:sz w:val="24"/>
          <w:szCs w:val="24"/>
        </w:rPr>
      </w:pPr>
      <w:r>
        <w:rPr>
          <w:rFonts w:ascii="Arial Black" w:hAnsi="Arial Black"/>
          <w:sz w:val="24"/>
          <w:szCs w:val="24"/>
        </w:rPr>
        <w:t>2-9</w:t>
      </w:r>
      <w:r w:rsidR="003D47D0">
        <w:rPr>
          <w:rFonts w:ascii="Arial Black" w:hAnsi="Arial Black"/>
          <w:sz w:val="24"/>
          <w:szCs w:val="24"/>
        </w:rPr>
        <w:t>5</w:t>
      </w:r>
    </w:p>
    <w:p w14:paraId="0D90FDC2" w14:textId="77777777" w:rsidR="00515316" w:rsidRDefault="00515316" w:rsidP="00515316">
      <w:pPr>
        <w:pStyle w:val="NoSpacing"/>
        <w:rPr>
          <w:rFonts w:ascii="Arial Black" w:hAnsi="Arial Black"/>
          <w:sz w:val="28"/>
          <w:szCs w:val="28"/>
        </w:rPr>
      </w:pPr>
      <w:r>
        <w:rPr>
          <w:rFonts w:ascii="Arial Black" w:hAnsi="Arial Black"/>
          <w:sz w:val="28"/>
          <w:szCs w:val="28"/>
        </w:rPr>
        <w:t xml:space="preserve">OH: MOBILE HOME FIRE – OWNER THREATENS FF – CONV </w:t>
      </w:r>
    </w:p>
    <w:p w14:paraId="0E63A537" w14:textId="77777777" w:rsidR="00515316" w:rsidRDefault="00515316" w:rsidP="00515316">
      <w:pPr>
        <w:pStyle w:val="NoSpacing"/>
        <w:rPr>
          <w:rFonts w:ascii="Arial Black" w:hAnsi="Arial Black"/>
          <w:sz w:val="28"/>
          <w:szCs w:val="28"/>
        </w:rPr>
      </w:pPr>
    </w:p>
    <w:p w14:paraId="1FC5E921" w14:textId="77777777" w:rsidR="00515316" w:rsidRPr="00742C8D" w:rsidRDefault="00515316" w:rsidP="00515316">
      <w:pPr>
        <w:pStyle w:val="NoSpacing"/>
        <w:rPr>
          <w:b/>
        </w:rPr>
      </w:pPr>
      <w:r>
        <w:t xml:space="preserve">On Oct. 20, 2025, in </w:t>
      </w:r>
      <w:r w:rsidRPr="00D12508">
        <w:rPr>
          <w:u w:val="single"/>
        </w:rPr>
        <w:t>State of Ohio v. Christopher W. Longnecker</w:t>
      </w:r>
      <w:r w:rsidRPr="00D12508">
        <w:t xml:space="preserve">, the Court of Appeals of Ohio, Twelfth District (Clermont County), </w:t>
      </w:r>
      <w:r>
        <w:t xml:space="preserve">held (3 to 0) conviction affirmed.   </w:t>
      </w:r>
      <w:r w:rsidRPr="00A62117">
        <w:t>On July 31, 2023, firefighters were dispatched to extinguish a fire at</w:t>
      </w:r>
      <w:r>
        <w:t xml:space="preserve"> defendant’s mobile home where his son was burned and two pet cats died.  </w:t>
      </w:r>
      <w:r w:rsidRPr="00A62117">
        <w:t>Longnecker arrived, became</w:t>
      </w:r>
      <w:r>
        <w:t xml:space="preserve"> </w:t>
      </w:r>
      <w:r w:rsidRPr="00A62117">
        <w:t>agitated, and threatened to "bash" volunteer firefighter Justin Pendergrass' "face in."</w:t>
      </w:r>
      <w:r>
        <w:t xml:space="preserve"> The jury returned guilty verdicts on all three counts;  trial court judge sentenced Longnecker to 180 days in jail and a $200 fine for aggravated menacing, and 30 days in jail and a $100 fine for misconduct at an emergency (to be served consecutively), plus court costs. On appeal the Court of Appeals held that prosecution had no duty to disclose the oral statements he made to </w:t>
      </w:r>
      <w:r w:rsidRPr="00A0476E">
        <w:t>fire investigation team leader, Christopher</w:t>
      </w:r>
      <w:r>
        <w:t xml:space="preserve"> </w:t>
      </w:r>
      <w:r w:rsidRPr="00A0476E">
        <w:t>Mullins</w:t>
      </w:r>
      <w:r>
        <w:t xml:space="preserve"> - that  “</w:t>
      </w:r>
      <w:r w:rsidRPr="00F1325D">
        <w:t>he was going into the house no matter what</w:t>
      </w:r>
      <w:r>
        <w:t xml:space="preserve">”-  since the statement were not recorded by Mullins or other investigators on a document or on video.   </w:t>
      </w:r>
      <w:hyperlink r:id="rId413" w:history="1">
        <w:r w:rsidRPr="006C2601">
          <w:rPr>
            <w:rStyle w:val="Hyperlink"/>
            <w:b/>
          </w:rPr>
          <w:t>https://www.supremecourt.ohio.gov/rod/docs/pdf/12/2025/2025-Ohio-4780.pdf</w:t>
        </w:r>
      </w:hyperlink>
      <w:r>
        <w:rPr>
          <w:b/>
        </w:rPr>
        <w:t xml:space="preserve"> </w:t>
      </w:r>
    </w:p>
    <w:p w14:paraId="068D48AB" w14:textId="77777777" w:rsidR="00515316" w:rsidRDefault="00515316" w:rsidP="00515316">
      <w:pPr>
        <w:pStyle w:val="NoSpacing"/>
      </w:pPr>
      <w:r>
        <w:t xml:space="preserve"> </w:t>
      </w:r>
    </w:p>
    <w:p w14:paraId="75298C01" w14:textId="77777777" w:rsidR="00515316" w:rsidRDefault="00515316" w:rsidP="00515316">
      <w:pPr>
        <w:pStyle w:val="NoSpacing"/>
      </w:pPr>
      <w:r>
        <w:t>THE COURT HELD:</w:t>
      </w:r>
    </w:p>
    <w:p w14:paraId="55ECF1EE" w14:textId="77777777" w:rsidR="00515316" w:rsidRDefault="00515316" w:rsidP="00515316">
      <w:pPr>
        <w:pStyle w:val="NoSpacing"/>
      </w:pPr>
    </w:p>
    <w:p w14:paraId="7E0A2321" w14:textId="77777777" w:rsidR="00515316" w:rsidRDefault="00515316" w:rsidP="00515316">
      <w:pPr>
        <w:pStyle w:val="NoSpacing"/>
        <w:ind w:left="720"/>
        <w:rPr>
          <w:bCs/>
        </w:rPr>
      </w:pPr>
      <w:r>
        <w:t>“</w:t>
      </w:r>
      <w:r w:rsidRPr="00A62117">
        <w:t>On July 31, 2023, firefighters from the Felicity-Franklin, Washington</w:t>
      </w:r>
      <w:r>
        <w:t xml:space="preserve"> </w:t>
      </w:r>
      <w:r w:rsidRPr="00A62117">
        <w:t>Township, and Bethel-Tate Fire Departments were dispatched to extinguish a fire at</w:t>
      </w:r>
      <w:r>
        <w:t xml:space="preserve"> </w:t>
      </w:r>
      <w:r w:rsidRPr="00A62117">
        <w:t>Christopher Longnecker's home in the Country View Mobile Home Park. Due to the fire,</w:t>
      </w:r>
      <w:r>
        <w:t xml:space="preserve"> </w:t>
      </w:r>
      <w:r w:rsidRPr="00A62117">
        <w:t>Longnecker's home was badly damaged, his son was burned, and his two pet cats died.</w:t>
      </w:r>
      <w:r>
        <w:t xml:space="preserve"> </w:t>
      </w:r>
      <w:r w:rsidRPr="00A62117">
        <w:t>While the firefighters were still working at the scene, Longnecker arrived, became</w:t>
      </w:r>
      <w:r>
        <w:t xml:space="preserve"> </w:t>
      </w:r>
      <w:r w:rsidRPr="00A62117">
        <w:t>agitated, and threatened to "bash" volunteer firefighter Justin Pendergrass' "face in."</w:t>
      </w:r>
    </w:p>
    <w:p w14:paraId="65F2A9DD" w14:textId="77777777" w:rsidR="00515316" w:rsidRDefault="00515316" w:rsidP="00515316">
      <w:pPr>
        <w:pStyle w:val="NoSpacing"/>
        <w:ind w:left="720"/>
        <w:rPr>
          <w:bCs/>
        </w:rPr>
      </w:pPr>
    </w:p>
    <w:p w14:paraId="296B6D4F" w14:textId="77777777" w:rsidR="00515316" w:rsidRDefault="00515316" w:rsidP="00515316">
      <w:pPr>
        <w:pStyle w:val="NoSpacing"/>
        <w:ind w:left="720"/>
      </w:pPr>
      <w:r>
        <w:t>***</w:t>
      </w:r>
    </w:p>
    <w:p w14:paraId="194D4A5D" w14:textId="77777777" w:rsidR="00515316" w:rsidRDefault="00515316" w:rsidP="00515316">
      <w:pPr>
        <w:pStyle w:val="NoSpacing"/>
        <w:ind w:left="720"/>
      </w:pPr>
      <w:r>
        <w:t>Clermont County fire investigation team leader, Christopher Mullins, spoke with Longnecker to obtain consent to search the home for the cause of the fire, but Longnecker refused. Mullins also warned Longnecker that he was not permitted to enter the home, as it was still too dangerous and might interfere with the fire investigation. While the fire investigation team waited to obtain a search warrant, Clermont County Sherrif's deputies followed Longnecker around the property to ensure he did not interfere with the firefighters. Longnecker then attempted to enter the home and was tackled and arrested by the deputies.</w:t>
      </w:r>
    </w:p>
    <w:p w14:paraId="452AA362" w14:textId="77777777" w:rsidR="00515316" w:rsidRDefault="00515316" w:rsidP="00515316">
      <w:pPr>
        <w:pStyle w:val="NoSpacing"/>
      </w:pPr>
    </w:p>
    <w:p w14:paraId="0FCAB907" w14:textId="77777777" w:rsidR="00515316" w:rsidRDefault="00515316" w:rsidP="00515316">
      <w:pPr>
        <w:pStyle w:val="NoSpacing"/>
        <w:ind w:left="720"/>
      </w:pPr>
      <w:r>
        <w:t xml:space="preserve">Longnecker was later indicted for misconduct at an emergency, aggravated menacing, and menacing; the case proceeded to jury trial on October 8, 2024. One of the central theories of Longnecker's defense was that none of the public officials at the scene that day specifically told him he could not enter his home. However, at trial, Fire Investigator Mullins testified that he told Longnecker he could not enter his home and Longnecker answered ‘that he was going into the house no matter what. It was his </w:t>
      </w:r>
      <w:r w:rsidRPr="00523DF2">
        <w:t>house.</w:t>
      </w:r>
      <w:r>
        <w:t>’</w:t>
      </w:r>
    </w:p>
    <w:p w14:paraId="6F28ED86" w14:textId="77777777" w:rsidR="00515316" w:rsidRDefault="00515316" w:rsidP="00515316">
      <w:pPr>
        <w:pStyle w:val="NoSpacing"/>
        <w:ind w:left="720"/>
      </w:pPr>
    </w:p>
    <w:p w14:paraId="102D1F6D" w14:textId="77777777" w:rsidR="00515316" w:rsidRPr="008C4A2B" w:rsidRDefault="00515316" w:rsidP="00515316">
      <w:pPr>
        <w:pStyle w:val="NoSpacing"/>
        <w:ind w:left="720"/>
      </w:pPr>
      <w:r>
        <w:t>***</w:t>
      </w:r>
    </w:p>
    <w:p w14:paraId="2E1B41E2" w14:textId="77777777" w:rsidR="00515316" w:rsidRDefault="00515316" w:rsidP="00515316">
      <w:pPr>
        <w:pStyle w:val="NoSpacing"/>
        <w:rPr>
          <w:b/>
        </w:rPr>
      </w:pPr>
    </w:p>
    <w:p w14:paraId="66BB5829" w14:textId="77777777" w:rsidR="00515316" w:rsidRDefault="00515316" w:rsidP="00515316">
      <w:pPr>
        <w:pStyle w:val="NoSpacing"/>
        <w:ind w:left="720"/>
      </w:pPr>
      <w:r w:rsidRPr="00536C39">
        <w:t>During the sidebar</w:t>
      </w:r>
      <w:r>
        <w:t xml:space="preserve"> </w:t>
      </w:r>
      <w:r w:rsidRPr="00536C39">
        <w:t>discussion, the State did not deny that it was aware Mullins was going to testify to</w:t>
      </w:r>
      <w:r>
        <w:t xml:space="preserve"> </w:t>
      </w:r>
      <w:r w:rsidRPr="00536C39">
        <w:t>Longnecker's statement and responded dismissively to the defense's apparent surprise:</w:t>
      </w:r>
    </w:p>
    <w:p w14:paraId="3C320DAA" w14:textId="77777777" w:rsidR="00515316" w:rsidRPr="00536C39" w:rsidRDefault="00515316" w:rsidP="00515316">
      <w:pPr>
        <w:pStyle w:val="NoSpacing"/>
        <w:ind w:left="720"/>
      </w:pPr>
    </w:p>
    <w:p w14:paraId="6742F465" w14:textId="77777777" w:rsidR="00515316" w:rsidRDefault="00515316" w:rsidP="00515316">
      <w:pPr>
        <w:pStyle w:val="NoSpacing"/>
        <w:ind w:left="1440"/>
      </w:pPr>
      <w:r>
        <w:t>‘</w:t>
      </w:r>
      <w:r w:rsidRPr="00536C39">
        <w:t>I can ask him if he told this man not to go in the property and the fact that they think it's</w:t>
      </w:r>
      <w:r>
        <w:t xml:space="preserve"> </w:t>
      </w:r>
      <w:r w:rsidRPr="00536C39">
        <w:t>prejudicial, it is. Maybe they should pick up the phone and call the witness and interview</w:t>
      </w:r>
      <w:r>
        <w:t xml:space="preserve"> </w:t>
      </w:r>
      <w:r w:rsidRPr="00536C39">
        <w:t>them. I don't have a report to give them. I disclosed the witness. I've done my job. I can</w:t>
      </w:r>
      <w:r>
        <w:t xml:space="preserve"> </w:t>
      </w:r>
      <w:r w:rsidRPr="00536C39">
        <w:t>ask the question.</w:t>
      </w:r>
      <w:r>
        <w:t>’</w:t>
      </w:r>
      <w:r w:rsidRPr="00536C39">
        <w:t xml:space="preserve"> </w:t>
      </w:r>
    </w:p>
    <w:p w14:paraId="0EA6A508" w14:textId="77777777" w:rsidR="00515316" w:rsidRDefault="00515316" w:rsidP="00515316">
      <w:pPr>
        <w:pStyle w:val="NoSpacing"/>
        <w:ind w:left="720"/>
      </w:pPr>
    </w:p>
    <w:p w14:paraId="2A15CB52" w14:textId="77777777" w:rsidR="00515316" w:rsidRPr="00536C39" w:rsidRDefault="00515316" w:rsidP="00515316">
      <w:pPr>
        <w:pStyle w:val="NoSpacing"/>
        <w:ind w:left="720"/>
      </w:pPr>
      <w:r w:rsidRPr="00536C39">
        <w:t>The trial court overruled Longnecker's objections and permitted the</w:t>
      </w:r>
      <w:r>
        <w:t xml:space="preserve"> </w:t>
      </w:r>
      <w:r w:rsidRPr="00536C39">
        <w:t>testimony. Longnecker's oral statement to Mullins was never recorded, summarized, or</w:t>
      </w:r>
    </w:p>
    <w:p w14:paraId="2125D119" w14:textId="77777777" w:rsidR="00515316" w:rsidRDefault="00515316" w:rsidP="00515316">
      <w:pPr>
        <w:pStyle w:val="NoSpacing"/>
        <w:ind w:firstLine="720"/>
      </w:pPr>
      <w:r w:rsidRPr="00536C39">
        <w:t>otherwise documented prior to Mullins' testimony at trial.</w:t>
      </w:r>
    </w:p>
    <w:p w14:paraId="42D36A6C" w14:textId="77777777" w:rsidR="00515316" w:rsidRDefault="00515316" w:rsidP="00515316">
      <w:pPr>
        <w:pStyle w:val="NoSpacing"/>
        <w:ind w:firstLine="720"/>
      </w:pPr>
    </w:p>
    <w:p w14:paraId="43A68FDE" w14:textId="77777777" w:rsidR="00515316" w:rsidRDefault="00515316" w:rsidP="00515316">
      <w:pPr>
        <w:pStyle w:val="NoSpacing"/>
        <w:ind w:firstLine="720"/>
      </w:pPr>
      <w:r>
        <w:t>***</w:t>
      </w:r>
    </w:p>
    <w:p w14:paraId="67EA214C" w14:textId="77777777" w:rsidR="00515316" w:rsidRDefault="00515316" w:rsidP="00515316">
      <w:pPr>
        <w:pStyle w:val="NoSpacing"/>
        <w:ind w:firstLine="720"/>
      </w:pPr>
      <w:r>
        <w:t>Under the plain text of the rule [</w:t>
      </w:r>
      <w:proofErr w:type="spellStart"/>
      <w:r w:rsidRPr="00063EF3">
        <w:t>Crim.R</w:t>
      </w:r>
      <w:proofErr w:type="spellEnd"/>
      <w:r w:rsidRPr="00063EF3">
        <w:t>. 16(B)</w:t>
      </w:r>
      <w:r>
        <w:t>] unrecorded oral statements to a law</w:t>
      </w:r>
    </w:p>
    <w:p w14:paraId="1C0C3ECC" w14:textId="77777777" w:rsidR="00515316" w:rsidRDefault="00515316" w:rsidP="00515316">
      <w:pPr>
        <w:pStyle w:val="NoSpacing"/>
        <w:ind w:firstLine="720"/>
      </w:pPr>
      <w:r>
        <w:t xml:space="preserve">enforcement </w:t>
      </w:r>
      <w:proofErr w:type="gramStart"/>
      <w:r>
        <w:t>officer</w:t>
      </w:r>
      <w:proofErr w:type="gramEnd"/>
      <w:r>
        <w:t>, that are not subsequently documented in a summary or report, are</w:t>
      </w:r>
    </w:p>
    <w:p w14:paraId="1CD1D7F3" w14:textId="77777777" w:rsidR="00515316" w:rsidRDefault="00515316" w:rsidP="00515316">
      <w:pPr>
        <w:pStyle w:val="NoSpacing"/>
        <w:ind w:left="720"/>
      </w:pPr>
      <w:r>
        <w:t>not subject to disclosure in discovery.  [Footnote 1.] Accordingly, we find the trial court did not abuse its discretion when it admitted Mullins' testimony regarding Longnecker's oral statement and did not abuse its discretion when it denied Longnecker's motion for a mistrial. Longnecker's sole assignment of error is overruled.</w:t>
      </w:r>
    </w:p>
    <w:p w14:paraId="395655D3" w14:textId="77777777" w:rsidR="00515316" w:rsidRDefault="00515316" w:rsidP="00515316">
      <w:pPr>
        <w:pStyle w:val="NoSpacing"/>
        <w:ind w:left="720"/>
      </w:pPr>
    </w:p>
    <w:p w14:paraId="4027639B" w14:textId="77777777" w:rsidR="00515316" w:rsidRDefault="00515316" w:rsidP="00515316">
      <w:pPr>
        <w:pStyle w:val="NoSpacing"/>
        <w:ind w:left="1440"/>
      </w:pPr>
      <w:r>
        <w:t xml:space="preserve">Footnote 1: Not every oral statement made by a defendant is always recorded or documented in a report by law enforcement. Therefore, the onus is now on defendants to remember their oral statements. There is concern that a law enforcement officer could specifically choose not to document certain oral statements to avoid disclosure and obtain a surprise advantage at trial.  Nevertheless, we are bound to apply the plain text of the rule without making our own additions or </w:t>
      </w:r>
      <w:proofErr w:type="gramStart"/>
      <w:r>
        <w:t>subtractions.”</w:t>
      </w:r>
      <w:proofErr w:type="gramEnd"/>
    </w:p>
    <w:p w14:paraId="422516FD" w14:textId="77777777" w:rsidR="00515316" w:rsidRDefault="00515316" w:rsidP="00515316">
      <w:pPr>
        <w:pStyle w:val="NoSpacing"/>
        <w:ind w:left="1440"/>
      </w:pPr>
    </w:p>
    <w:p w14:paraId="23EFAE0C" w14:textId="5732968E" w:rsidR="00515316" w:rsidRPr="00971AF7" w:rsidRDefault="00515316" w:rsidP="00515316">
      <w:pPr>
        <w:pStyle w:val="NoSpacing"/>
        <w:rPr>
          <w:b/>
          <w:bCs/>
        </w:rPr>
      </w:pPr>
      <w:r>
        <w:rPr>
          <w:b/>
        </w:rPr>
        <w:t xml:space="preserve">Lesson learned: Defendant sent to prison for threats to firefighters. </w:t>
      </w:r>
    </w:p>
    <w:p w14:paraId="37B09D58" w14:textId="77777777" w:rsidR="00515316" w:rsidRDefault="00515316" w:rsidP="00646EE3">
      <w:pPr>
        <w:rPr>
          <w:rFonts w:ascii="Arial Black" w:hAnsi="Arial Black"/>
          <w:sz w:val="24"/>
          <w:szCs w:val="24"/>
        </w:rPr>
      </w:pPr>
    </w:p>
    <w:p w14:paraId="40CDE6CD" w14:textId="77777777" w:rsidR="001D5809" w:rsidRDefault="001D5809" w:rsidP="00646EE3">
      <w:pPr>
        <w:rPr>
          <w:rFonts w:ascii="Arial Black" w:hAnsi="Arial Black"/>
          <w:sz w:val="24"/>
          <w:szCs w:val="24"/>
        </w:rPr>
      </w:pPr>
    </w:p>
    <w:p w14:paraId="71ED9943" w14:textId="4A8483A5" w:rsidR="001D5809" w:rsidRDefault="00D811D3" w:rsidP="00646EE3">
      <w:pPr>
        <w:rPr>
          <w:rFonts w:ascii="Arial Black" w:hAnsi="Arial Black"/>
          <w:sz w:val="24"/>
          <w:szCs w:val="24"/>
        </w:rPr>
      </w:pPr>
      <w:r>
        <w:rPr>
          <w:rFonts w:ascii="Arial Black" w:hAnsi="Arial Black"/>
          <w:sz w:val="24"/>
          <w:szCs w:val="24"/>
        </w:rPr>
        <w:t>2-9</w:t>
      </w:r>
      <w:r w:rsidR="003D47D0">
        <w:rPr>
          <w:rFonts w:ascii="Arial Black" w:hAnsi="Arial Black"/>
          <w:sz w:val="24"/>
          <w:szCs w:val="24"/>
        </w:rPr>
        <w:t>4</w:t>
      </w:r>
    </w:p>
    <w:p w14:paraId="1CE92539" w14:textId="77777777" w:rsidR="00D811D3" w:rsidRPr="00FE58E1" w:rsidRDefault="00D811D3" w:rsidP="00D811D3">
      <w:pPr>
        <w:spacing w:after="0"/>
        <w:rPr>
          <w:rFonts w:ascii="Arial Black" w:hAnsi="Arial Black"/>
          <w:sz w:val="28"/>
          <w:szCs w:val="28"/>
        </w:rPr>
      </w:pPr>
      <w:r>
        <w:rPr>
          <w:rFonts w:ascii="Arial Black" w:hAnsi="Arial Black"/>
          <w:sz w:val="28"/>
          <w:szCs w:val="28"/>
        </w:rPr>
        <w:t>NY: FDNY INJURED - CAN SUE CONST. CO FOR DEBRY</w:t>
      </w:r>
    </w:p>
    <w:p w14:paraId="3745B5DA" w14:textId="77777777" w:rsidR="00D811D3" w:rsidRDefault="00D811D3" w:rsidP="00D811D3">
      <w:pPr>
        <w:spacing w:after="0"/>
      </w:pPr>
    </w:p>
    <w:p w14:paraId="085E443D" w14:textId="77777777" w:rsidR="00D811D3" w:rsidRDefault="00D811D3" w:rsidP="00D811D3">
      <w:pPr>
        <w:spacing w:after="0"/>
      </w:pPr>
      <w:r>
        <w:t xml:space="preserve">On Oct. 19, 2025, in </w:t>
      </w:r>
      <w:r w:rsidRPr="003A5D65">
        <w:rPr>
          <w:u w:val="single"/>
        </w:rPr>
        <w:t>Christopher Martucci v. 500 W25th Owner, LLC, et al</w:t>
      </w:r>
      <w:r>
        <w:t xml:space="preserve">., Judge Leslie A. Stroth, </w:t>
      </w:r>
      <w:r w:rsidRPr="009D7660">
        <w:t>Supreme Court, New York County</w:t>
      </w:r>
      <w:r>
        <w:t xml:space="preserve"> (unpublished opinion), held that the firefighter may proceed with his lawsuit under the New York statute that amended the “Fireman’s Rule.”  The NY state statute allows firefighters to sue a property owner for damages for </w:t>
      </w:r>
      <w:r w:rsidRPr="002A64EB">
        <w:t>failing to comply with the requirements of any statutes, ordinances, rules, orders and requirements of the federal, state ... or [local] governments' 'directly or indirectly' causes the firefighter's injury or death during the discharge of his or her duties</w:t>
      </w:r>
      <w:r>
        <w:t>. The firefighter injured his leg and arm on March 12, 2018, when moving a construction worker on a stokes basket after the worker’s recovery from a 30–</w:t>
      </w:r>
      <w:proofErr w:type="gramStart"/>
      <w:r>
        <w:t>40 foot</w:t>
      </w:r>
      <w:proofErr w:type="gramEnd"/>
      <w:r>
        <w:t xml:space="preserve"> pit. The firefighter says he fell when walking on “material piles” and this violated </w:t>
      </w:r>
      <w:r w:rsidRPr="00C833B7">
        <w:t>Industrial Code § 23-2.1(a)(1)</w:t>
      </w:r>
      <w:r>
        <w:t xml:space="preserve"> which requires building materials cannot </w:t>
      </w:r>
      <w:r w:rsidRPr="00C833B7">
        <w:t xml:space="preserve">obstruct any </w:t>
      </w:r>
      <w:r>
        <w:t>“</w:t>
      </w:r>
      <w:r w:rsidRPr="00C833B7">
        <w:t>passageway, walkway, stairway or other thoroughfare.</w:t>
      </w:r>
      <w:r>
        <w:t xml:space="preserve">”  </w:t>
      </w:r>
      <w:hyperlink r:id="rId414" w:history="1">
        <w:r w:rsidRPr="00356365">
          <w:rPr>
            <w:rStyle w:val="Hyperlink"/>
          </w:rPr>
          <w:t>https://cases.justia.com/new-york/other-courts/2025-2025-ny-slip-op-33918-u.pdf?ts=1761341322</w:t>
        </w:r>
      </w:hyperlink>
      <w:r>
        <w:t xml:space="preserve"> </w:t>
      </w:r>
    </w:p>
    <w:p w14:paraId="236C9C0C" w14:textId="77777777" w:rsidR="00D811D3" w:rsidRDefault="00D811D3" w:rsidP="00D811D3">
      <w:pPr>
        <w:spacing w:after="0"/>
      </w:pPr>
    </w:p>
    <w:p w14:paraId="18AB4191" w14:textId="77777777" w:rsidR="00D811D3" w:rsidRDefault="00D811D3" w:rsidP="00D811D3">
      <w:pPr>
        <w:spacing w:after="0"/>
      </w:pPr>
      <w:r>
        <w:t>THE COURT HELD:</w:t>
      </w:r>
    </w:p>
    <w:p w14:paraId="7CFF1CE8" w14:textId="77777777" w:rsidR="00D811D3" w:rsidRPr="00C833B7" w:rsidRDefault="00D811D3" w:rsidP="00D811D3">
      <w:pPr>
        <w:spacing w:after="0"/>
      </w:pPr>
    </w:p>
    <w:p w14:paraId="6204EA30" w14:textId="77777777" w:rsidR="00D811D3" w:rsidRDefault="00D811D3" w:rsidP="00D811D3">
      <w:pPr>
        <w:spacing w:after="0"/>
        <w:ind w:left="720"/>
      </w:pPr>
      <w:r>
        <w:t>“</w:t>
      </w:r>
      <w:r w:rsidRPr="00BB1B7E">
        <w:t xml:space="preserve">The Court finds that an issue of material fact remains as to whether there were </w:t>
      </w:r>
      <w:r>
        <w:t>‘</w:t>
      </w:r>
      <w:r w:rsidRPr="00BB1B7E">
        <w:t>material piles</w:t>
      </w:r>
      <w:r>
        <w:t xml:space="preserve">’ </w:t>
      </w:r>
      <w:r w:rsidRPr="00BB1B7E">
        <w:t xml:space="preserve">on a </w:t>
      </w:r>
      <w:r>
        <w:t>‘</w:t>
      </w:r>
      <w:r w:rsidRPr="00BB1B7E">
        <w:t>passageway, walkway, stairway or thoroughfare.</w:t>
      </w:r>
      <w:r>
        <w:t>’</w:t>
      </w:r>
    </w:p>
    <w:p w14:paraId="719921A8" w14:textId="77777777" w:rsidR="00D811D3" w:rsidRDefault="00D811D3" w:rsidP="00D811D3">
      <w:pPr>
        <w:spacing w:after="0"/>
        <w:ind w:left="720"/>
      </w:pPr>
    </w:p>
    <w:p w14:paraId="1AAD0B4A" w14:textId="77777777" w:rsidR="00D811D3" w:rsidRDefault="00D811D3" w:rsidP="00D811D3">
      <w:pPr>
        <w:spacing w:after="0"/>
        <w:ind w:left="720"/>
      </w:pPr>
      <w:r>
        <w:t>***</w:t>
      </w:r>
    </w:p>
    <w:p w14:paraId="7B96E707" w14:textId="77777777" w:rsidR="00D811D3" w:rsidRDefault="00D811D3" w:rsidP="00D811D3">
      <w:pPr>
        <w:spacing w:after="0"/>
        <w:ind w:left="720"/>
      </w:pPr>
    </w:p>
    <w:p w14:paraId="6729ECE1" w14:textId="77777777" w:rsidR="00D811D3" w:rsidRDefault="00D811D3" w:rsidP="00D811D3">
      <w:pPr>
        <w:spacing w:after="0"/>
        <w:ind w:left="720"/>
      </w:pPr>
      <w:r w:rsidRPr="00176E60">
        <w:t>Plaintiff alleges that he responded to an accident on a construction site located at 500 W 25 Street, New York, NY on March 12, 2018. A construction worker had been injured at the bottom of a large excavation pit that was approximately 30-40 feet deep and Plaintiff was dispatched as part of the FDNY Special Operations Rescue Unit. After the injured worker was pulled up from the excavation pit, Plaintiff assisted in carrying him in a titanium basket from the perimeter of the pit, across the construction site, and to the ambulance. As Plaintiff was transporting the injured worker, Plaintiff alleges that he had to step over large amounts of debris and material, that he lost his footing, and that he felt a pop and shooting pain in his left leg and a strain in his arm.</w:t>
      </w:r>
    </w:p>
    <w:p w14:paraId="4E715EF6" w14:textId="77777777" w:rsidR="00D811D3" w:rsidRDefault="00D811D3" w:rsidP="00D811D3">
      <w:pPr>
        <w:spacing w:after="0"/>
        <w:ind w:left="720"/>
      </w:pPr>
    </w:p>
    <w:p w14:paraId="6E54DA6E" w14:textId="77777777" w:rsidR="00D811D3" w:rsidRDefault="00D811D3" w:rsidP="00D811D3">
      <w:pPr>
        <w:spacing w:after="0"/>
        <w:ind w:left="720"/>
      </w:pPr>
      <w:r>
        <w:t>***</w:t>
      </w:r>
    </w:p>
    <w:p w14:paraId="484CB0B6" w14:textId="77777777" w:rsidR="00D811D3" w:rsidRDefault="00D811D3" w:rsidP="00D811D3">
      <w:pPr>
        <w:spacing w:after="0"/>
        <w:ind w:left="720"/>
      </w:pPr>
      <w:r w:rsidRPr="002A64EB">
        <w:t xml:space="preserve">General Municipal Law § 205-a provides an exception to the common-law </w:t>
      </w:r>
      <w:r>
        <w:t>‘</w:t>
      </w:r>
      <w:r w:rsidRPr="002A64EB">
        <w:t>firefighter rule,</w:t>
      </w:r>
      <w:r>
        <w:t>’</w:t>
      </w:r>
      <w:r w:rsidRPr="002A64EB">
        <w:t xml:space="preserve"> </w:t>
      </w:r>
      <w:r w:rsidRPr="002A64EB">
        <w:rPr>
          <w:i/>
          <w:iCs/>
        </w:rPr>
        <w:t>(</w:t>
      </w:r>
      <w:proofErr w:type="spellStart"/>
      <w:r w:rsidRPr="002A64EB">
        <w:rPr>
          <w:i/>
          <w:iCs/>
        </w:rPr>
        <w:t>Galapo</w:t>
      </w:r>
      <w:proofErr w:type="spellEnd"/>
      <w:r w:rsidRPr="002A64EB">
        <w:rPr>
          <w:i/>
          <w:iCs/>
        </w:rPr>
        <w:t xml:space="preserve"> v City of New York,</w:t>
      </w:r>
      <w:r w:rsidRPr="002A64EB">
        <w:t xml:space="preserve"> 95 N.Y.2d 568, 573 [2000]). Under General Municipal Law § 205-a, a firefighter has a right of action where </w:t>
      </w:r>
      <w:r>
        <w:t>‘</w:t>
      </w:r>
      <w:r w:rsidRPr="002A64EB">
        <w:t xml:space="preserve">the negligence of any person ... in failing to comply with the requirements of any statutes, ordinances, rules, orders and requirements of the federal, state ... or [local] governments' 'directly or indirectly' causes the firefighter's injury or death during the discharge of his or her duties </w:t>
      </w:r>
      <w:r w:rsidRPr="002A64EB">
        <w:rPr>
          <w:i/>
          <w:iCs/>
        </w:rPr>
        <w:t>(Giuffrida v Citibank Corp.,</w:t>
      </w:r>
      <w:r w:rsidRPr="002A64EB">
        <w:t xml:space="preserve"> 100 N.Y.2d 72, 77 [2003]).</w:t>
      </w:r>
      <w:r w:rsidRPr="00107955">
        <w:t>"the negligence of any person ... in failing to comply with the requirements of any statutes, ordinances, rules, orders and requirements of the federal, state ... or [local] governments</w:t>
      </w:r>
      <w:r>
        <w:t xml:space="preserve"> </w:t>
      </w:r>
      <w:r w:rsidRPr="00107955">
        <w:t>directly or indirectly causes the firefighter's injury or death during the discharge of his or her duties</w:t>
      </w:r>
      <w:r>
        <w:t>.”</w:t>
      </w:r>
    </w:p>
    <w:p w14:paraId="41240E9C" w14:textId="77777777" w:rsidR="00D811D3" w:rsidRDefault="00D811D3" w:rsidP="00D811D3">
      <w:pPr>
        <w:spacing w:after="0"/>
        <w:ind w:left="720"/>
      </w:pPr>
      <w:r>
        <w:t>***</w:t>
      </w:r>
    </w:p>
    <w:p w14:paraId="1F513E02" w14:textId="77777777" w:rsidR="00D811D3" w:rsidRDefault="00D811D3" w:rsidP="00D811D3">
      <w:pPr>
        <w:spacing w:after="0"/>
        <w:ind w:left="720"/>
      </w:pPr>
      <w:r w:rsidRPr="006404C4">
        <w:t xml:space="preserve">Additionally, Defendants argue that debris is not considered </w:t>
      </w:r>
      <w:r>
        <w:t>‘</w:t>
      </w:r>
      <w:r w:rsidRPr="006404C4">
        <w:t>material piles</w:t>
      </w:r>
      <w:r>
        <w:t>’</w:t>
      </w:r>
      <w:r w:rsidRPr="006404C4">
        <w:t xml:space="preserve"> under Industrial Code § 23-2.1(a)(1). </w:t>
      </w:r>
    </w:p>
    <w:p w14:paraId="0AC48335" w14:textId="77777777" w:rsidR="00D811D3" w:rsidRDefault="00D811D3" w:rsidP="00D811D3">
      <w:pPr>
        <w:spacing w:after="0"/>
        <w:ind w:left="720"/>
      </w:pPr>
    </w:p>
    <w:p w14:paraId="2FEA4FBD" w14:textId="77777777" w:rsidR="00D811D3" w:rsidRDefault="00D811D3" w:rsidP="00D811D3">
      <w:pPr>
        <w:spacing w:after="0"/>
        <w:ind w:left="720"/>
      </w:pPr>
      <w:r w:rsidRPr="006404C4">
        <w:t xml:space="preserve">Conversely, Plaintiff asserts that his testimony clearly demonstrates that he was injured </w:t>
      </w:r>
      <w:proofErr w:type="gramStart"/>
      <w:r w:rsidRPr="006404C4">
        <w:t>as a result of</w:t>
      </w:r>
      <w:proofErr w:type="gramEnd"/>
      <w:r w:rsidRPr="006404C4">
        <w:t xml:space="preserve"> materials and debris. Specifically, Plaintiff stated </w:t>
      </w:r>
      <w:r>
        <w:t>‘</w:t>
      </w:r>
      <w:r w:rsidRPr="006404C4">
        <w:t>I had to climb over and step on concrete forms of all different shapes and sizes, buckets, cut pieces of plywood, bits of construction, concrete and the dirt that was hardened from you know, deep boot footprints and that's when the ground was just moving under me</w:t>
      </w:r>
      <w:r>
        <w:t>’</w:t>
      </w:r>
      <w:r w:rsidRPr="006404C4">
        <w:t xml:space="preserve"> (NYSCEF Doc. No. 188 at 65:3-11). Plaintiff further testified that he was in an area filled with debris and construction material</w:t>
      </w:r>
      <w:r>
        <w:t>….”</w:t>
      </w:r>
    </w:p>
    <w:p w14:paraId="4B01C413" w14:textId="77777777" w:rsidR="00D811D3" w:rsidRDefault="00D811D3" w:rsidP="00D811D3">
      <w:pPr>
        <w:spacing w:after="0"/>
        <w:ind w:left="720"/>
      </w:pPr>
    </w:p>
    <w:p w14:paraId="1DCBF282" w14:textId="742F4473" w:rsidR="00D811D3" w:rsidRPr="006404C4" w:rsidRDefault="00D811D3" w:rsidP="00D811D3">
      <w:pPr>
        <w:spacing w:after="0"/>
        <w:rPr>
          <w:b/>
          <w:bCs/>
        </w:rPr>
      </w:pPr>
      <w:r>
        <w:rPr>
          <w:b/>
        </w:rPr>
        <w:t>L</w:t>
      </w:r>
      <w:r w:rsidRPr="00CB20EE">
        <w:rPr>
          <w:b/>
        </w:rPr>
        <w:t xml:space="preserve">esson Learned:  </w:t>
      </w:r>
      <w:r>
        <w:rPr>
          <w:b/>
        </w:rPr>
        <w:t>The firefighter is covered by worker’s comp</w:t>
      </w:r>
      <w:r>
        <w:rPr>
          <w:b/>
          <w:bCs/>
        </w:rPr>
        <w:t>.</w:t>
      </w:r>
      <w:r>
        <w:rPr>
          <w:b/>
        </w:rPr>
        <w:t xml:space="preserve"> and may be able to obtain damages if he can prove a violation of the N.Y. Industrial Code. </w:t>
      </w:r>
    </w:p>
    <w:p w14:paraId="5F1EA07E" w14:textId="77777777" w:rsidR="00D811D3" w:rsidRDefault="00D811D3" w:rsidP="00646EE3">
      <w:pPr>
        <w:rPr>
          <w:rFonts w:ascii="Arial Black" w:hAnsi="Arial Black"/>
          <w:sz w:val="24"/>
          <w:szCs w:val="24"/>
        </w:rPr>
      </w:pPr>
    </w:p>
    <w:p w14:paraId="63645EE5" w14:textId="77777777" w:rsidR="001D5809" w:rsidRDefault="001D5809" w:rsidP="00646EE3">
      <w:pPr>
        <w:rPr>
          <w:rFonts w:ascii="Arial Black" w:hAnsi="Arial Black"/>
          <w:sz w:val="24"/>
          <w:szCs w:val="24"/>
        </w:rPr>
      </w:pPr>
    </w:p>
    <w:p w14:paraId="44166B6D" w14:textId="11864653" w:rsidR="001D5809" w:rsidRDefault="009B6C6E" w:rsidP="00646EE3">
      <w:pPr>
        <w:rPr>
          <w:rFonts w:ascii="Arial Black" w:hAnsi="Arial Black"/>
          <w:sz w:val="24"/>
          <w:szCs w:val="24"/>
        </w:rPr>
      </w:pPr>
      <w:r>
        <w:rPr>
          <w:rFonts w:ascii="Arial Black" w:hAnsi="Arial Black"/>
          <w:sz w:val="24"/>
          <w:szCs w:val="24"/>
        </w:rPr>
        <w:t>2-93</w:t>
      </w:r>
    </w:p>
    <w:p w14:paraId="4A29BA42" w14:textId="77777777" w:rsidR="009B6C6E" w:rsidRPr="003F3E92" w:rsidRDefault="009B6C6E" w:rsidP="009B6C6E">
      <w:pPr>
        <w:pStyle w:val="NoSpacing"/>
        <w:rPr>
          <w:rFonts w:ascii="Arial Black" w:hAnsi="Arial Black"/>
          <w:sz w:val="28"/>
          <w:szCs w:val="28"/>
        </w:rPr>
      </w:pPr>
      <w:r>
        <w:rPr>
          <w:rFonts w:ascii="Arial Black" w:hAnsi="Arial Black"/>
          <w:sz w:val="28"/>
          <w:szCs w:val="28"/>
        </w:rPr>
        <w:t xml:space="preserve">NY: FDNY – FIRE 2011 / CAN’T SUE LACK TRAINING ON TIC </w:t>
      </w:r>
    </w:p>
    <w:p w14:paraId="3DDB5F07" w14:textId="77777777" w:rsidR="009B6C6E" w:rsidRDefault="009B6C6E" w:rsidP="009B6C6E">
      <w:pPr>
        <w:pStyle w:val="NoSpacing"/>
      </w:pPr>
    </w:p>
    <w:p w14:paraId="23D95C59" w14:textId="77777777" w:rsidR="009B6C6E" w:rsidRDefault="009B6C6E" w:rsidP="009B6C6E">
      <w:pPr>
        <w:pStyle w:val="NoSpacing"/>
        <w:rPr>
          <w:b/>
        </w:rPr>
      </w:pPr>
      <w:r>
        <w:t xml:space="preserve">On Oct. 15, 2025, in </w:t>
      </w:r>
      <w:r w:rsidRPr="009D5624">
        <w:rPr>
          <w:u w:val="single"/>
        </w:rPr>
        <w:t>James Gersbeck v. Robert Wiedmann, Jr., et al., Haldane Rodgers, et al., defendants, City of New York, respondent</w:t>
      </w:r>
      <w:r>
        <w:t xml:space="preserve">, the </w:t>
      </w:r>
      <w:r w:rsidRPr="00684B09">
        <w:t>Supreme Court of New York, Second Department</w:t>
      </w:r>
      <w:r>
        <w:t xml:space="preserve"> held (5 to 0) that lawsuit was properly dismissed.  He was injured in a fire in December 2011. </w:t>
      </w:r>
      <w:r w:rsidRPr="002B7B2B">
        <w:t xml:space="preserve">In February 2013, the injured plaintiff and Catherine </w:t>
      </w:r>
      <w:proofErr w:type="gramStart"/>
      <w:r w:rsidRPr="002B7B2B">
        <w:t>Wiedmann,</w:t>
      </w:r>
      <w:proofErr w:type="gramEnd"/>
      <w:r w:rsidRPr="002B7B2B">
        <w:t xml:space="preserve"> commenced this action against the </w:t>
      </w:r>
      <w:proofErr w:type="gramStart"/>
      <w:r w:rsidRPr="002B7B2B">
        <w:t>City</w:t>
      </w:r>
      <w:proofErr w:type="gramEnd"/>
      <w:r>
        <w:t xml:space="preserve">.  </w:t>
      </w:r>
      <w:r w:rsidRPr="008C7C72">
        <w:t xml:space="preserve">In March 2012, </w:t>
      </w:r>
      <w:r>
        <w:t xml:space="preserve">he </w:t>
      </w:r>
      <w:r w:rsidRPr="008C7C72">
        <w:t xml:space="preserve">filed a notice of claim with the City of New York alleging that the </w:t>
      </w:r>
      <w:proofErr w:type="gramStart"/>
      <w:r w:rsidRPr="008C7C72">
        <w:t>City</w:t>
      </w:r>
      <w:proofErr w:type="gramEnd"/>
      <w:r w:rsidRPr="008C7C72">
        <w:t xml:space="preserve"> was negligent</w:t>
      </w:r>
      <w:r>
        <w:t xml:space="preserve"> in training on use of thermal imaging camera (TIC)</w:t>
      </w:r>
      <w:r w:rsidRPr="008C7C72">
        <w:t xml:space="preserve">. </w:t>
      </w:r>
      <w:r>
        <w:t xml:space="preserve"> </w:t>
      </w:r>
      <w:r w:rsidRPr="008C7C72">
        <w:t xml:space="preserve">A hearing was held, and an investigation by </w:t>
      </w:r>
      <w:proofErr w:type="gramStart"/>
      <w:r w:rsidRPr="008C7C72">
        <w:t>the FDNY</w:t>
      </w:r>
      <w:proofErr w:type="gramEnd"/>
      <w:r w:rsidRPr="008C7C72">
        <w:t xml:space="preserve"> was conducted.</w:t>
      </w:r>
      <w:r>
        <w:t xml:space="preserve">  His </w:t>
      </w:r>
      <w:r w:rsidRPr="00272AE0">
        <w:t>theory of liability that the defendant failed to properly follow an FDNY internal training bulletin regarding the use of thermal imaging cameras—</w:t>
      </w:r>
      <w:r>
        <w:t xml:space="preserve"> </w:t>
      </w:r>
      <w:r w:rsidRPr="00272AE0">
        <w:t>does not fall within the scope of General Municipal Law § 205-a</w:t>
      </w:r>
      <w:r>
        <w:t xml:space="preserve">.  </w:t>
      </w:r>
      <w:hyperlink r:id="rId415" w:history="1">
        <w:r w:rsidRPr="0024236A">
          <w:rPr>
            <w:rStyle w:val="Hyperlink"/>
            <w:b/>
          </w:rPr>
          <w:t>https://law.justia.com/cases/new-york/appellate-division-second-department/2025/2024-09583.html</w:t>
        </w:r>
      </w:hyperlink>
      <w:r>
        <w:rPr>
          <w:b/>
        </w:rPr>
        <w:t xml:space="preserve"> </w:t>
      </w:r>
    </w:p>
    <w:p w14:paraId="64B87CC6" w14:textId="77777777" w:rsidR="009B6C6E" w:rsidRDefault="009B6C6E" w:rsidP="009B6C6E">
      <w:pPr>
        <w:pStyle w:val="NoSpacing"/>
      </w:pPr>
      <w:r>
        <w:t xml:space="preserve"> </w:t>
      </w:r>
    </w:p>
    <w:p w14:paraId="1497ABD9" w14:textId="77777777" w:rsidR="009B6C6E" w:rsidRDefault="009B6C6E" w:rsidP="009B6C6E">
      <w:pPr>
        <w:pStyle w:val="NoSpacing"/>
      </w:pPr>
      <w:r>
        <w:t>THE COURT HELD:</w:t>
      </w:r>
    </w:p>
    <w:p w14:paraId="19A8573C" w14:textId="77777777" w:rsidR="009B6C6E" w:rsidRDefault="009B6C6E" w:rsidP="009B6C6E">
      <w:pPr>
        <w:pStyle w:val="NoSpacing"/>
      </w:pPr>
    </w:p>
    <w:p w14:paraId="6A276380" w14:textId="77777777" w:rsidR="009B6C6E" w:rsidRDefault="009B6C6E" w:rsidP="009B6C6E">
      <w:pPr>
        <w:pStyle w:val="NoSpacing"/>
        <w:ind w:left="720"/>
      </w:pPr>
      <w:r>
        <w:t>“</w:t>
      </w:r>
      <w:r w:rsidRPr="00287D80">
        <w:t xml:space="preserve">Contrary to the plaintiffs' contention, the court properly determined that their notice of claim was insufficient to enable the </w:t>
      </w:r>
      <w:proofErr w:type="gramStart"/>
      <w:r w:rsidRPr="00287D80">
        <w:t>City</w:t>
      </w:r>
      <w:proofErr w:type="gramEnd"/>
      <w:r w:rsidRPr="00287D80">
        <w:t xml:space="preserve"> to investigate, collect evidence, and evaluate the merits</w:t>
      </w:r>
      <w:r>
        <w:t xml:space="preserve"> </w:t>
      </w:r>
      <w:r w:rsidRPr="00287D80">
        <w:t>of the plaintiffs' allegations regarding negligent training in violation of General Municipal Law § 205-a.</w:t>
      </w:r>
    </w:p>
    <w:p w14:paraId="04210304" w14:textId="77777777" w:rsidR="009B6C6E" w:rsidRDefault="009B6C6E" w:rsidP="009B6C6E">
      <w:pPr>
        <w:pStyle w:val="NoSpacing"/>
        <w:ind w:left="720"/>
      </w:pPr>
    </w:p>
    <w:p w14:paraId="017D57F2" w14:textId="77777777" w:rsidR="009B6C6E" w:rsidRDefault="009B6C6E" w:rsidP="009B6C6E">
      <w:pPr>
        <w:pStyle w:val="NoSpacing"/>
        <w:ind w:left="720"/>
      </w:pPr>
      <w:r>
        <w:t>***</w:t>
      </w:r>
    </w:p>
    <w:p w14:paraId="40A387D3" w14:textId="77777777" w:rsidR="009B6C6E" w:rsidRDefault="009B6C6E" w:rsidP="009B6C6E">
      <w:pPr>
        <w:pStyle w:val="NoSpacing"/>
        <w:ind w:left="720"/>
      </w:pPr>
      <w:r w:rsidRPr="00E426EA">
        <w:t>Here, the plaintiffs' notice of claim failed to set forth any negligent training allegations that could later form the basis of their cause of action alleging a violation of General Municipal Law § 205-a.</w:t>
      </w:r>
    </w:p>
    <w:p w14:paraId="5C9E8A3C" w14:textId="77777777" w:rsidR="009B6C6E" w:rsidRDefault="009B6C6E" w:rsidP="009B6C6E">
      <w:pPr>
        <w:pStyle w:val="NoSpacing"/>
        <w:ind w:left="720"/>
      </w:pPr>
    </w:p>
    <w:p w14:paraId="492A0A45" w14:textId="77777777" w:rsidR="009B6C6E" w:rsidRDefault="009B6C6E" w:rsidP="009B6C6E">
      <w:pPr>
        <w:pStyle w:val="NoSpacing"/>
        <w:ind w:left="720"/>
      </w:pPr>
      <w:r>
        <w:t>***</w:t>
      </w:r>
    </w:p>
    <w:p w14:paraId="6CD8D72D" w14:textId="77777777" w:rsidR="009B6C6E" w:rsidRDefault="009B6C6E" w:rsidP="009B6C6E">
      <w:pPr>
        <w:pStyle w:val="NoSpacing"/>
        <w:ind w:left="720"/>
      </w:pPr>
      <w:r>
        <w:t>‘</w:t>
      </w:r>
      <w:r w:rsidRPr="008E352B">
        <w:t>General Municipal Law § 205-a establishes the right of an injured firefighter to recover against any party whose neglect or omission to comply with governmental requirements results directly or indirectly in the firefighter's injury</w:t>
      </w:r>
      <w:r>
        <w:t>’</w:t>
      </w:r>
      <w:r w:rsidRPr="008E352B">
        <w:t xml:space="preserve"> (</w:t>
      </w:r>
      <w:r w:rsidRPr="008E352B">
        <w:rPr>
          <w:i/>
          <w:iCs/>
        </w:rPr>
        <w:t>Annunziata v City of New York</w:t>
      </w:r>
      <w:r w:rsidRPr="008E352B">
        <w:t xml:space="preserve">, 175 AD3d 438, 442 [internal quotation marks omitted]; </w:t>
      </w:r>
      <w:r w:rsidRPr="008E352B">
        <w:rPr>
          <w:i/>
          <w:iCs/>
        </w:rPr>
        <w:t>see Shea v New York City Economic Dev. Corp.</w:t>
      </w:r>
      <w:r w:rsidRPr="008E352B">
        <w:t xml:space="preserve">, 161 AD3d 803, 805). </w:t>
      </w:r>
      <w:r>
        <w:t>‘</w:t>
      </w:r>
      <w:r w:rsidRPr="008E352B">
        <w:t>A plaintiff seeking recovery under General Municipal Law § 205-a must identify the statute or ordinance with which the defendant failed to comply, describe the manner in which the firefighter was injured, and set forth those facts from which it may be inferred that the defendant's negligence directly or indirectly caused the harm to the firefighter</w:t>
      </w:r>
      <w:r>
        <w:t>’</w:t>
      </w:r>
      <w:r w:rsidRPr="008E352B">
        <w:t xml:space="preserve"> (</w:t>
      </w:r>
      <w:r w:rsidRPr="008E352B">
        <w:rPr>
          <w:i/>
          <w:iCs/>
        </w:rPr>
        <w:t>Annunziata v City of New York</w:t>
      </w:r>
      <w:r w:rsidRPr="008E352B">
        <w:t xml:space="preserve">, 175 AD3d at 442 [alteration and internal quotation marks omitted]; </w:t>
      </w:r>
      <w:r w:rsidRPr="008E352B">
        <w:rPr>
          <w:i/>
          <w:iCs/>
        </w:rPr>
        <w:t>see Shea v New York City Economic Dev. Corp.</w:t>
      </w:r>
      <w:r w:rsidRPr="008E352B">
        <w:t>, 161 AD3d at 805).</w:t>
      </w:r>
      <w:r>
        <w:t>”</w:t>
      </w:r>
    </w:p>
    <w:p w14:paraId="55C3B895" w14:textId="77777777" w:rsidR="009B6C6E" w:rsidRDefault="009B6C6E" w:rsidP="009B6C6E">
      <w:pPr>
        <w:pStyle w:val="NoSpacing"/>
        <w:ind w:left="720"/>
      </w:pPr>
    </w:p>
    <w:p w14:paraId="508D00DF" w14:textId="631FD494" w:rsidR="009B6C6E" w:rsidRDefault="009B6C6E" w:rsidP="009B6C6E">
      <w:pPr>
        <w:pStyle w:val="NoSpacing"/>
        <w:rPr>
          <w:b/>
          <w:bCs/>
        </w:rPr>
      </w:pPr>
      <w:r>
        <w:rPr>
          <w:b/>
        </w:rPr>
        <w:t xml:space="preserve">Lesson learned:  The NY law allowing injured </w:t>
      </w:r>
      <w:proofErr w:type="gramStart"/>
      <w:r>
        <w:rPr>
          <w:b/>
        </w:rPr>
        <w:t>firefighter</w:t>
      </w:r>
      <w:proofErr w:type="gramEnd"/>
      <w:r>
        <w:rPr>
          <w:b/>
        </w:rPr>
        <w:t xml:space="preserve"> and police to sue third parties requires proof of violation of regulations. </w:t>
      </w:r>
    </w:p>
    <w:p w14:paraId="4C67558F" w14:textId="77777777" w:rsidR="009B6C6E" w:rsidRDefault="009B6C6E" w:rsidP="009B6C6E">
      <w:pPr>
        <w:pStyle w:val="NoSpacing"/>
        <w:rPr>
          <w:b/>
          <w:bCs/>
        </w:rPr>
      </w:pPr>
    </w:p>
    <w:p w14:paraId="334A3407" w14:textId="77777777" w:rsidR="009B6C6E" w:rsidRDefault="009B6C6E" w:rsidP="009B6C6E">
      <w:pPr>
        <w:pStyle w:val="NoSpacing"/>
        <w:ind w:left="720"/>
        <w:rPr>
          <w:bCs/>
        </w:rPr>
      </w:pPr>
      <w:r>
        <w:t xml:space="preserve">Note:  Read the statute: </w:t>
      </w:r>
      <w:r w:rsidRPr="00997FE5">
        <w:t>New York Consolidated Laws, General Municipal Law - GMU § 205-a. Additional right of action to certain injured or representatives of certain deceased firefighters</w:t>
      </w:r>
    </w:p>
    <w:p w14:paraId="40BACBA8" w14:textId="77777777" w:rsidR="009B6C6E" w:rsidRPr="00997FE5" w:rsidRDefault="009B6C6E" w:rsidP="009B6C6E">
      <w:pPr>
        <w:pStyle w:val="NoSpacing"/>
        <w:ind w:left="720"/>
        <w:rPr>
          <w:bCs/>
        </w:rPr>
      </w:pPr>
      <w:hyperlink r:id="rId416" w:history="1">
        <w:r w:rsidRPr="0024236A">
          <w:rPr>
            <w:rStyle w:val="Hyperlink"/>
          </w:rPr>
          <w:t>https://codes.findlaw.com/ny/general-municipal-law/gmu-sect-205-a/</w:t>
        </w:r>
      </w:hyperlink>
      <w:r>
        <w:t xml:space="preserve"> </w:t>
      </w:r>
    </w:p>
    <w:p w14:paraId="5923C113" w14:textId="77777777" w:rsidR="009B6C6E" w:rsidRDefault="009B6C6E" w:rsidP="009B6C6E">
      <w:pPr>
        <w:pStyle w:val="NoSpacing"/>
      </w:pPr>
    </w:p>
    <w:p w14:paraId="4BB2D5F6" w14:textId="77777777" w:rsidR="009B6C6E" w:rsidRPr="00E12E19" w:rsidRDefault="009B6C6E" w:rsidP="009B6C6E">
      <w:pPr>
        <w:pStyle w:val="NoSpacing"/>
        <w:ind w:left="720"/>
      </w:pPr>
      <w:r>
        <w:t>“</w:t>
      </w:r>
      <w:r w:rsidRPr="00E12E19">
        <w:t>In addition to any other right of action or recovery under any other provision of law, in the event any accident, causing injury, death or a disease which results in death, occurs directly or indirectly as a result of any neglect, omission, willful or culpable negligence of any person or persons in failing to comply with the requirements of any of the statutes, ordinances, rules, orders and requirements of the federal, state, county, village, town or city governments or of any and all their departments, divisions and bureaus, the person or persons guilty of said neglect, omission, willful or culpable negligence at the time of such injury or death shall be liable to pay any officer, member, agent or employee of any fire department injured, or whose life may be lost while in the discharge or performance at any time or place of any duty imposed by the fire commissioner, fire chief or other superior officer of the fire department, or to pay to the wife and children, or to pay to the parents, or to pay to the brothers and sisters, being the surviving heirs-at-law of any deceased person thus having lost his life, a sum of money, in case of injury to person, not less than ten thousand dollars, and in case of death not less than forty thousand dollars, such liability to be determined and such sums recovered in an action to be instituted by any person injured or the family or relatives of any person killed as aforesaid.</w:t>
      </w:r>
      <w:r>
        <w:t>”</w:t>
      </w:r>
    </w:p>
    <w:p w14:paraId="4E87C8A8" w14:textId="77777777" w:rsidR="009B6C6E" w:rsidRDefault="009B6C6E" w:rsidP="00646EE3">
      <w:pPr>
        <w:rPr>
          <w:rFonts w:ascii="Arial Black" w:hAnsi="Arial Black"/>
          <w:sz w:val="24"/>
          <w:szCs w:val="24"/>
        </w:rPr>
      </w:pPr>
    </w:p>
    <w:p w14:paraId="23027C93" w14:textId="77777777" w:rsidR="001D5809" w:rsidRDefault="001D5809" w:rsidP="00646EE3">
      <w:pPr>
        <w:rPr>
          <w:rFonts w:ascii="Arial Black" w:hAnsi="Arial Black"/>
          <w:sz w:val="24"/>
          <w:szCs w:val="24"/>
        </w:rPr>
      </w:pPr>
    </w:p>
    <w:p w14:paraId="68A35A19" w14:textId="2B2419E7" w:rsidR="000D2571" w:rsidRDefault="000D2571" w:rsidP="00646EE3">
      <w:pPr>
        <w:rPr>
          <w:rFonts w:ascii="Arial Black" w:hAnsi="Arial Black"/>
          <w:sz w:val="24"/>
          <w:szCs w:val="24"/>
        </w:rPr>
      </w:pPr>
      <w:r>
        <w:rPr>
          <w:rFonts w:ascii="Arial Black" w:hAnsi="Arial Black"/>
          <w:sz w:val="24"/>
          <w:szCs w:val="24"/>
        </w:rPr>
        <w:t>2-9</w:t>
      </w:r>
      <w:r w:rsidR="00393C3E">
        <w:rPr>
          <w:rFonts w:ascii="Arial Black" w:hAnsi="Arial Black"/>
          <w:sz w:val="24"/>
          <w:szCs w:val="24"/>
        </w:rPr>
        <w:t>2</w:t>
      </w:r>
    </w:p>
    <w:p w14:paraId="667789B7" w14:textId="5DB041DD" w:rsidR="000D2571" w:rsidRDefault="000D2571" w:rsidP="000D2571">
      <w:pPr>
        <w:rPr>
          <w:rFonts w:ascii="Arial Black" w:hAnsi="Arial Black"/>
          <w:b/>
          <w:sz w:val="28"/>
          <w:szCs w:val="28"/>
        </w:rPr>
      </w:pPr>
      <w:r>
        <w:rPr>
          <w:rFonts w:ascii="Arial Black" w:hAnsi="Arial Black"/>
          <w:b/>
          <w:sz w:val="28"/>
          <w:szCs w:val="28"/>
        </w:rPr>
        <w:t xml:space="preserve">NY: LODD - BDG INSPEC ARRESTED - FALSE STATE REPORTS </w:t>
      </w:r>
    </w:p>
    <w:p w14:paraId="12EB1391" w14:textId="77777777" w:rsidR="000D2571" w:rsidRDefault="000D2571" w:rsidP="000D2571">
      <w:pPr>
        <w:pStyle w:val="NoSpacing"/>
        <w:rPr>
          <w:bCs/>
        </w:rPr>
      </w:pPr>
      <w:r>
        <w:t xml:space="preserve">On September 2, 2025, in </w:t>
      </w:r>
      <w:r w:rsidRPr="00A91A31">
        <w:rPr>
          <w:u w:val="single"/>
        </w:rPr>
        <w:t>Raymond Canario v. The County of Rockland, et al</w:t>
      </w:r>
      <w:r>
        <w:t xml:space="preserve">., U.S. District Court Judge Kenneth M. Karas, United States District Court for the Southern District of New York, dismissed the false arrest lawsuit by the former Assistant Building Inspector, who was charged with submitting false reports to the state about building inspections in Spring Valley, NY.  He was arrested and indicted but at bench trial was found not guilty since no intent to defraud.    The investigation of building inspections was launched by District Attorney after the </w:t>
      </w:r>
      <w:r w:rsidRPr="00534AF1">
        <w:t xml:space="preserve">March 23, </w:t>
      </w:r>
      <w:proofErr w:type="gramStart"/>
      <w:r w:rsidRPr="00534AF1">
        <w:t>2021</w:t>
      </w:r>
      <w:proofErr w:type="gramEnd"/>
      <w:r>
        <w:t xml:space="preserve"> </w:t>
      </w:r>
      <w:r w:rsidRPr="00534AF1">
        <w:t xml:space="preserve">fire at the Evergreen Court Home for Adults, </w:t>
      </w:r>
      <w:r>
        <w:t xml:space="preserve">which killed </w:t>
      </w:r>
      <w:r w:rsidRPr="00534AF1">
        <w:t>a</w:t>
      </w:r>
      <w:r>
        <w:t xml:space="preserve"> </w:t>
      </w:r>
      <w:r w:rsidRPr="00534AF1">
        <w:t xml:space="preserve">firefighter </w:t>
      </w:r>
      <w:r>
        <w:t xml:space="preserve">(volunteer </w:t>
      </w:r>
      <w:r w:rsidRPr="003178B7">
        <w:t>Jared Lloyd</w:t>
      </w:r>
      <w:r>
        <w:rPr>
          <w:b/>
        </w:rPr>
        <w:t xml:space="preserve">) </w:t>
      </w:r>
      <w:r w:rsidRPr="00534AF1">
        <w:t>and a resident</w:t>
      </w:r>
      <w:r>
        <w:t>.  In September 2023, t</w:t>
      </w:r>
      <w:r w:rsidRPr="00BB5EAD">
        <w:t>wo rabbis, a father and son, were sentenced to probation following a plea deal</w:t>
      </w:r>
      <w:r>
        <w:t xml:space="preserve">; they had used a </w:t>
      </w:r>
      <w:r w:rsidRPr="00D01FB6">
        <w:t>blowtorch to clean the kitchen and utensils of traces of forbidden food before Passover.</w:t>
      </w:r>
    </w:p>
    <w:p w14:paraId="5F5A4C3C" w14:textId="77777777" w:rsidR="000D2571" w:rsidRDefault="000D2571" w:rsidP="000D2571">
      <w:pPr>
        <w:pStyle w:val="NoSpacing"/>
        <w:rPr>
          <w:bCs/>
        </w:rPr>
      </w:pPr>
    </w:p>
    <w:p w14:paraId="262B7A3B" w14:textId="77777777" w:rsidR="000D2571" w:rsidRDefault="000D2571" w:rsidP="000D2571">
      <w:pPr>
        <w:pStyle w:val="NoSpacing"/>
      </w:pPr>
      <w:r w:rsidRPr="002C4FA3">
        <w:rPr>
          <w:b/>
        </w:rPr>
        <w:t xml:space="preserve">THE COURT HELD: </w:t>
      </w:r>
      <w:r>
        <w:t>“</w:t>
      </w:r>
      <w:r w:rsidRPr="00AC5646">
        <w:t>Even drawing inferences in Plaintiff’s</w:t>
      </w:r>
      <w:r>
        <w:t xml:space="preserve"> </w:t>
      </w:r>
      <w:r w:rsidRPr="00AC5646">
        <w:t>favor, the totality of the circumstances supports the existence of probable cause to arrest Plaintiff</w:t>
      </w:r>
      <w:r>
        <w:t xml:space="preserve"> </w:t>
      </w:r>
      <w:r w:rsidRPr="00AC5646">
        <w:t>for offering a false instrument for filing in the first degree.</w:t>
      </w:r>
      <w:r>
        <w:t xml:space="preserve"> These discrepancies may reasonably be seen as false statements or false information, and there is no dispute that the New York Department of State is an entity covered by the statute…. Accordingly, because there was probable cause to arrest, the Court dismisses Plaintiff’s false arrest claims.”  </w:t>
      </w:r>
      <w:hyperlink r:id="rId417" w:history="1">
        <w:r w:rsidRPr="00FC5CC7">
          <w:rPr>
            <w:rStyle w:val="Hyperlink"/>
          </w:rPr>
          <w:t>https://cases.justia.com/federal/district-courts/new-york/nysdce/7:2024cv04470/623029/85/0.pdf?ts=1756903853</w:t>
        </w:r>
      </w:hyperlink>
      <w:r>
        <w:t xml:space="preserve"> </w:t>
      </w:r>
    </w:p>
    <w:p w14:paraId="6CFCFA81" w14:textId="77777777" w:rsidR="000D2571" w:rsidRDefault="000D2571" w:rsidP="000D2571">
      <w:pPr>
        <w:pStyle w:val="NoSpacing"/>
      </w:pPr>
    </w:p>
    <w:p w14:paraId="4023153C" w14:textId="77777777" w:rsidR="000D2571" w:rsidRDefault="000D2571" w:rsidP="000D2571">
      <w:pPr>
        <w:pStyle w:val="NoSpacing"/>
        <w:rPr>
          <w:b/>
          <w:bCs/>
        </w:rPr>
      </w:pPr>
      <w:r w:rsidRPr="00E4138B">
        <w:rPr>
          <w:b/>
        </w:rPr>
        <w:t xml:space="preserve">KEY FACTS: </w:t>
      </w:r>
    </w:p>
    <w:p w14:paraId="1CF267B4" w14:textId="77777777" w:rsidR="000D2571" w:rsidRDefault="000D2571" w:rsidP="000D2571">
      <w:pPr>
        <w:pStyle w:val="NoSpacing"/>
        <w:rPr>
          <w:b/>
          <w:bCs/>
        </w:rPr>
      </w:pPr>
    </w:p>
    <w:p w14:paraId="1A81341E" w14:textId="77777777" w:rsidR="000D2571" w:rsidRPr="00E4138B" w:rsidRDefault="000D2571" w:rsidP="000D2571">
      <w:pPr>
        <w:pStyle w:val="NoSpacing"/>
        <w:ind w:firstLine="720"/>
      </w:pPr>
      <w:r>
        <w:t>“</w:t>
      </w:r>
      <w:r w:rsidRPr="00E4138B">
        <w:t>In April 2019, Plaintiff was hired as Assistant Building Inspector by the mayor of Spring</w:t>
      </w:r>
    </w:p>
    <w:p w14:paraId="69B92090" w14:textId="77777777" w:rsidR="000D2571" w:rsidRPr="00E4138B" w:rsidRDefault="000D2571" w:rsidP="000D2571">
      <w:pPr>
        <w:pStyle w:val="NoSpacing"/>
        <w:ind w:firstLine="720"/>
      </w:pPr>
      <w:r w:rsidRPr="00E4138B">
        <w:t>Valley, New York</w:t>
      </w:r>
      <w:r>
        <w:t xml:space="preserve">…. </w:t>
      </w:r>
      <w:r w:rsidRPr="00E4138B">
        <w:t>19 N.Y.C.R.R. § 1203 requires that municipalities like</w:t>
      </w:r>
    </w:p>
    <w:p w14:paraId="7E2320F4" w14:textId="77777777" w:rsidR="000D2571" w:rsidRDefault="000D2571" w:rsidP="000D2571">
      <w:pPr>
        <w:pStyle w:val="NoSpacing"/>
        <w:ind w:left="720"/>
      </w:pPr>
      <w:r w:rsidRPr="00E4138B">
        <w:t xml:space="preserve">Spring Valley </w:t>
      </w:r>
      <w:r>
        <w:t>‘</w:t>
      </w:r>
      <w:r w:rsidRPr="00E4138B">
        <w:t xml:space="preserve">annually </w:t>
      </w:r>
      <w:proofErr w:type="gramStart"/>
      <w:r w:rsidRPr="00E4138B">
        <w:t>submit</w:t>
      </w:r>
      <w:proofErr w:type="gramEnd"/>
      <w:r w:rsidRPr="00E4138B">
        <w:t xml:space="preserve"> to the [New York] Secretary of State . . . a report of its activities</w:t>
      </w:r>
      <w:r>
        <w:t xml:space="preserve"> </w:t>
      </w:r>
      <w:proofErr w:type="gramStart"/>
      <w:r w:rsidRPr="00E4138B">
        <w:t>relative</w:t>
      </w:r>
      <w:proofErr w:type="gramEnd"/>
      <w:r w:rsidRPr="00E4138B">
        <w:t xml:space="preserve"> to administration and enforcement of the [New York State Uniform Fire Prevention and</w:t>
      </w:r>
      <w:r>
        <w:t xml:space="preserve"> </w:t>
      </w:r>
      <w:r w:rsidRPr="00E4138B">
        <w:t>Building Code and the New York State Energy Conservation Construction Code].</w:t>
      </w:r>
      <w:r>
        <w:t xml:space="preserve">’ … These reports are also called “1203 Reports.”… Plaintiff was assigned to file 1203 Reports…. Plaintiff, who had no prior experience as a building inspector, was supposed to report to the Building Inspector, a position that was vacant…. Plaintiff had difficulty completing the 1203 Reports, … and based his reporting ‘upon charts noting inspection status provided by the staff [and] not from personal visits and investigations,’ which Plaintiff “believe[ed] . . . accurately reflected . . . [building] inspections,’ </w:t>
      </w:r>
      <w:proofErr w:type="gramStart"/>
      <w:r>
        <w:t>…..</w:t>
      </w:r>
      <w:proofErr w:type="gramEnd"/>
      <w:r>
        <w:t xml:space="preserve"> Plaintiff characterized the information contained in the 1203 Reports that he submitted as ‘an estimate.’ </w:t>
      </w:r>
    </w:p>
    <w:p w14:paraId="24B43F62" w14:textId="77777777" w:rsidR="000D2571" w:rsidRDefault="000D2571" w:rsidP="000D2571">
      <w:pPr>
        <w:pStyle w:val="NoSpacing"/>
        <w:ind w:left="720"/>
      </w:pPr>
    </w:p>
    <w:p w14:paraId="31F04721" w14:textId="77777777" w:rsidR="000D2571" w:rsidRDefault="000D2571" w:rsidP="000D2571">
      <w:pPr>
        <w:pStyle w:val="NoSpacing"/>
        <w:ind w:left="720"/>
      </w:pPr>
      <w:r>
        <w:t>***</w:t>
      </w:r>
    </w:p>
    <w:p w14:paraId="69E57D20" w14:textId="77777777" w:rsidR="000D2571" w:rsidRDefault="000D2571" w:rsidP="000D2571">
      <w:pPr>
        <w:pStyle w:val="NoSpacing"/>
        <w:ind w:left="720"/>
      </w:pPr>
      <w:r>
        <w:t>The 1203 Reports list information including, for example, the number of building permits</w:t>
      </w:r>
    </w:p>
    <w:p w14:paraId="23FE210C" w14:textId="77777777" w:rsidR="000D2571" w:rsidRDefault="000D2571" w:rsidP="000D2571">
      <w:pPr>
        <w:pStyle w:val="NoSpacing"/>
        <w:ind w:left="720"/>
      </w:pPr>
      <w:r>
        <w:t xml:space="preserve">issued by building type, the number of buildings by type and how many of each were inspected in the last year, and the number of new constructions complete and percentage thereof that are at least 90% compliant…. </w:t>
      </w:r>
    </w:p>
    <w:p w14:paraId="67469CD4" w14:textId="77777777" w:rsidR="000D2571" w:rsidRDefault="000D2571" w:rsidP="000D2571">
      <w:pPr>
        <w:pStyle w:val="NoSpacing"/>
        <w:ind w:left="720"/>
      </w:pPr>
    </w:p>
    <w:p w14:paraId="1AFB5832" w14:textId="77777777" w:rsidR="000D2571" w:rsidRDefault="000D2571" w:rsidP="000D2571">
      <w:pPr>
        <w:pStyle w:val="NoSpacing"/>
        <w:ind w:left="720"/>
      </w:pPr>
      <w:r>
        <w:t>On March 23, 2021, a fire ignited at the Evergreen Court Home for Adults, killing a</w:t>
      </w:r>
    </w:p>
    <w:p w14:paraId="37732E36" w14:textId="77777777" w:rsidR="000D2571" w:rsidRDefault="000D2571" w:rsidP="000D2571">
      <w:pPr>
        <w:pStyle w:val="NoSpacing"/>
        <w:ind w:left="720"/>
      </w:pPr>
      <w:r>
        <w:t>firefighter and a resident…. The Spring Valley Police Department investigated the fire and concluded its investigation without making any arrests….Plaintiff alleges that, after the police department’s investigation concluded, the DA’s Office ‘took up the criminal investigation,’ at least partly because ‘[t]he local media was pressuring [District Attorney] Walsh to punish someone for the deadly fire.’</w:t>
      </w:r>
    </w:p>
    <w:p w14:paraId="58C0A25C" w14:textId="77777777" w:rsidR="000D2571" w:rsidRDefault="000D2571" w:rsidP="000D2571">
      <w:pPr>
        <w:pStyle w:val="NoSpacing"/>
        <w:ind w:left="720"/>
      </w:pPr>
    </w:p>
    <w:p w14:paraId="71218DF8" w14:textId="77777777" w:rsidR="000D2571" w:rsidRDefault="000D2571" w:rsidP="000D2571">
      <w:pPr>
        <w:pStyle w:val="NoSpacing"/>
        <w:ind w:left="720"/>
      </w:pPr>
      <w:r>
        <w:t>***</w:t>
      </w:r>
    </w:p>
    <w:p w14:paraId="2F50482C" w14:textId="77777777" w:rsidR="000D2571" w:rsidRDefault="000D2571" w:rsidP="000D2571">
      <w:pPr>
        <w:pStyle w:val="NoSpacing"/>
        <w:ind w:left="720"/>
      </w:pPr>
      <w:r>
        <w:t>On June 28, 2021, Chief Criminal Investigator Walker signed a felony complaint that</w:t>
      </w:r>
    </w:p>
    <w:p w14:paraId="35ED9B2C" w14:textId="77777777" w:rsidR="000D2571" w:rsidRDefault="000D2571" w:rsidP="000D2571">
      <w:pPr>
        <w:pStyle w:val="NoSpacing"/>
        <w:ind w:left="720"/>
      </w:pPr>
      <w:r>
        <w:t>charged Plaintiff with three counts of offering a false instrument for filing in the first degree and three counts of falsifying business records in the second degree…. On June 29, 2021, Plaintiff was arrested and given a desk appearance ticket…. Wayne Ballard, another building inspector, was also arrested.</w:t>
      </w:r>
    </w:p>
    <w:p w14:paraId="7766C2FE" w14:textId="77777777" w:rsidR="000D2571" w:rsidRDefault="000D2571" w:rsidP="000D2571">
      <w:pPr>
        <w:pStyle w:val="NoSpacing"/>
      </w:pPr>
    </w:p>
    <w:p w14:paraId="3C538C93" w14:textId="77777777" w:rsidR="000D2571" w:rsidRDefault="000D2571" w:rsidP="000D2571">
      <w:pPr>
        <w:pStyle w:val="NoSpacing"/>
      </w:pPr>
      <w:r>
        <w:tab/>
        <w:t xml:space="preserve">*** </w:t>
      </w:r>
    </w:p>
    <w:p w14:paraId="6C44B872" w14:textId="77777777" w:rsidR="000D2571" w:rsidRDefault="000D2571" w:rsidP="000D2571">
      <w:pPr>
        <w:pStyle w:val="NoSpacing"/>
      </w:pPr>
    </w:p>
    <w:p w14:paraId="2364CD79" w14:textId="77777777" w:rsidR="000D2571" w:rsidRDefault="000D2571" w:rsidP="000D2571">
      <w:pPr>
        <w:pStyle w:val="NoSpacing"/>
        <w:ind w:left="720"/>
      </w:pPr>
      <w:r>
        <w:t>A bench trial was held before Judge Russo in March 2023…. The exact duration of the trial is unclear. On March 14, 2023, Judge Russo dismissed Counts 1, 2, 3, 7, 8, and 9 for lack of evidence going to Plaintiff’s intent to defraud. (March 14 Trial Tr. at 467:13–25.) On March 17, 2023, Plaintiff was found not guilty on Counts 4, 5, and 6. (See March 17 Trial Tr. at 565:20–24.)”</w:t>
      </w:r>
    </w:p>
    <w:p w14:paraId="6D2B6FB3" w14:textId="77777777" w:rsidR="000D2571" w:rsidRPr="00E4138B" w:rsidRDefault="000D2571" w:rsidP="000D2571">
      <w:pPr>
        <w:pStyle w:val="NoSpacing"/>
        <w:ind w:left="720"/>
      </w:pPr>
    </w:p>
    <w:p w14:paraId="36691094" w14:textId="77777777" w:rsidR="000D2571" w:rsidRPr="0025206D" w:rsidRDefault="000D2571" w:rsidP="000D2571">
      <w:pPr>
        <w:pStyle w:val="NoSpacing"/>
        <w:rPr>
          <w:b/>
        </w:rPr>
      </w:pPr>
      <w:r>
        <w:rPr>
          <w:b/>
        </w:rPr>
        <w:t>Legal lesson learned: Building inspection reports must be accurate; submitting reports are “mere estimates” can lead to arrest and prosecution, and civil litigation.</w:t>
      </w:r>
    </w:p>
    <w:p w14:paraId="77ADBCA1" w14:textId="77777777" w:rsidR="000D2571" w:rsidRDefault="000D2571" w:rsidP="000D2571">
      <w:pPr>
        <w:pStyle w:val="NoSpacing"/>
        <w:rPr>
          <w:bCs/>
        </w:rPr>
      </w:pPr>
    </w:p>
    <w:p w14:paraId="5F2A5589" w14:textId="77777777" w:rsidR="000D2571" w:rsidRDefault="000D2571" w:rsidP="000D2571">
      <w:pPr>
        <w:pStyle w:val="NoSpacing"/>
        <w:ind w:left="720"/>
      </w:pPr>
      <w:r>
        <w:t xml:space="preserve">Note: See September 21, </w:t>
      </w:r>
      <w:proofErr w:type="gramStart"/>
      <w:r>
        <w:t>2023</w:t>
      </w:r>
      <w:proofErr w:type="gramEnd"/>
      <w:r>
        <w:t xml:space="preserve"> article and TV VIDEO, </w:t>
      </w:r>
      <w:r w:rsidRPr="007C1410">
        <w:t>“Father, son sentenced to probation in deadly Spring Valley fire that killed 2 people.</w:t>
      </w:r>
      <w:r>
        <w:t>”</w:t>
      </w:r>
    </w:p>
    <w:p w14:paraId="76205C15" w14:textId="77777777" w:rsidR="000D2571" w:rsidRPr="00F46264" w:rsidRDefault="000D2571" w:rsidP="000D2571">
      <w:pPr>
        <w:pStyle w:val="NoSpacing"/>
        <w:ind w:left="720"/>
        <w:rPr>
          <w:bCs/>
        </w:rPr>
      </w:pPr>
      <w:hyperlink r:id="rId418" w:history="1">
        <w:r w:rsidRPr="00F56611">
          <w:rPr>
            <w:rStyle w:val="Hyperlink"/>
          </w:rPr>
          <w:t>https://www.nbcnewyork.com/news/local/father-son-sentenced-to-probation-in-deadly-spring-valley-fire-that-killed-2/4696054/</w:t>
        </w:r>
      </w:hyperlink>
      <w:r>
        <w:t xml:space="preserve"> </w:t>
      </w:r>
    </w:p>
    <w:p w14:paraId="318C5A6C" w14:textId="77777777" w:rsidR="000D2571" w:rsidRDefault="000D2571" w:rsidP="00646EE3">
      <w:pPr>
        <w:rPr>
          <w:rFonts w:ascii="Arial Black" w:hAnsi="Arial Black"/>
          <w:sz w:val="24"/>
          <w:szCs w:val="24"/>
        </w:rPr>
      </w:pPr>
    </w:p>
    <w:p w14:paraId="4F724649" w14:textId="12578EE6" w:rsidR="000D2571" w:rsidRDefault="00393C3E" w:rsidP="00646EE3">
      <w:pPr>
        <w:rPr>
          <w:rFonts w:ascii="Arial Black" w:hAnsi="Arial Black"/>
          <w:sz w:val="24"/>
          <w:szCs w:val="24"/>
        </w:rPr>
      </w:pPr>
      <w:r>
        <w:rPr>
          <w:rFonts w:ascii="Arial Black" w:hAnsi="Arial Black"/>
          <w:sz w:val="24"/>
          <w:szCs w:val="24"/>
        </w:rPr>
        <w:t>2-91</w:t>
      </w:r>
    </w:p>
    <w:p w14:paraId="48AF307D" w14:textId="77777777" w:rsidR="00393C3E" w:rsidRPr="00A31DEF" w:rsidRDefault="00393C3E" w:rsidP="00393C3E">
      <w:pPr>
        <w:pStyle w:val="NoSpacing"/>
        <w:rPr>
          <w:rFonts w:ascii="Arial Black" w:hAnsi="Arial Black"/>
          <w:b/>
          <w:sz w:val="28"/>
          <w:szCs w:val="28"/>
        </w:rPr>
      </w:pPr>
      <w:r>
        <w:rPr>
          <w:rFonts w:ascii="Arial Black" w:hAnsi="Arial Black"/>
          <w:b/>
          <w:sz w:val="28"/>
          <w:szCs w:val="28"/>
        </w:rPr>
        <w:t>IN: POLICE “25-FT BUFFER ZONE” – CAN’T “INTERFERE”</w:t>
      </w:r>
    </w:p>
    <w:p w14:paraId="03E40002" w14:textId="77777777" w:rsidR="00393C3E" w:rsidRDefault="00393C3E" w:rsidP="00393C3E">
      <w:pPr>
        <w:pStyle w:val="NoSpacing"/>
        <w:rPr>
          <w:bCs/>
        </w:rPr>
      </w:pPr>
    </w:p>
    <w:p w14:paraId="5CE102F9" w14:textId="77777777" w:rsidR="00393C3E" w:rsidRDefault="00393C3E" w:rsidP="00393C3E">
      <w:pPr>
        <w:pStyle w:val="NoSpacing"/>
        <w:rPr>
          <w:bCs/>
        </w:rPr>
      </w:pPr>
      <w:r>
        <w:t xml:space="preserve">On August 5, 2025, in </w:t>
      </w:r>
      <w:r w:rsidRPr="00BC797C">
        <w:rPr>
          <w:u w:val="single"/>
        </w:rPr>
        <w:t xml:space="preserve">Reporters Committee </w:t>
      </w:r>
      <w:proofErr w:type="gramStart"/>
      <w:r w:rsidRPr="00BC797C">
        <w:rPr>
          <w:u w:val="single"/>
        </w:rPr>
        <w:t>For</w:t>
      </w:r>
      <w:proofErr w:type="gramEnd"/>
      <w:r w:rsidRPr="00BC797C">
        <w:rPr>
          <w:u w:val="single"/>
        </w:rPr>
        <w:t xml:space="preserve"> Freedom of The Press, et al. v. Todd R. Okita, Attorney General of Indiana, et al</w:t>
      </w:r>
      <w:r>
        <w:t>., the United States Court of Appeals for 7</w:t>
      </w:r>
      <w:r w:rsidRPr="00BC797C">
        <w:rPr>
          <w:vertAlign w:val="superscript"/>
        </w:rPr>
        <w:t>th</w:t>
      </w:r>
      <w:r>
        <w:t xml:space="preserve"> Circuit (Chicago) held (3 to 0) that U.S. District Court </w:t>
      </w:r>
      <w:r w:rsidRPr="002E3B7C">
        <w:t xml:space="preserve">Judge James R. Sweeney II </w:t>
      </w:r>
      <w:r>
        <w:t xml:space="preserve">properly issued a preliminary injunction to </w:t>
      </w:r>
      <w:r w:rsidRPr="00600E74">
        <w:t>enjoin enforcement of the buffer law.</w:t>
      </w:r>
      <w:r>
        <w:t xml:space="preserve">  I</w:t>
      </w:r>
      <w:r w:rsidRPr="009F7379">
        <w:t>ndiana’s</w:t>
      </w:r>
      <w:r>
        <w:t xml:space="preserve"> original</w:t>
      </w:r>
      <w:r w:rsidRPr="009F7379">
        <w:t xml:space="preserve"> “buffer law” </w:t>
      </w:r>
      <w:r>
        <w:t xml:space="preserve">effective July 1, 2023, </w:t>
      </w:r>
      <w:r w:rsidRPr="009F7379">
        <w:t>makes it a</w:t>
      </w:r>
      <w:r>
        <w:t xml:space="preserve"> </w:t>
      </w:r>
      <w:r w:rsidRPr="009F7379">
        <w:t>crime for a person to knowingly or intentionally approach</w:t>
      </w:r>
      <w:r>
        <w:t xml:space="preserve"> </w:t>
      </w:r>
      <w:r w:rsidRPr="009F7379">
        <w:t>within 25 feet of a law enforcement officer who is “lawfully</w:t>
      </w:r>
      <w:r>
        <w:t xml:space="preserve"> </w:t>
      </w:r>
      <w:r w:rsidRPr="009F7379">
        <w:t>engaged in the execution of the law enforcement officer’s duties after the law enforcement officer has ordered the person</w:t>
      </w:r>
      <w:r>
        <w:t xml:space="preserve"> </w:t>
      </w:r>
      <w:r w:rsidRPr="009F7379">
        <w:t>to stop approaching.” Indiana Code (I.C.) § 35-44.1-2-14.</w:t>
      </w:r>
      <w:r>
        <w:t xml:space="preserve"> Wisely, while this appeal was pending, Indiana has now enacted a new law, effective July 1, 2025, where police </w:t>
      </w:r>
      <w:r w:rsidRPr="00030AD6">
        <w:t>may only order an individual to stop approaching if he “reasonably believes that a person’s presence”</w:t>
      </w:r>
      <w:r>
        <w:t xml:space="preserve"> </w:t>
      </w:r>
      <w:r w:rsidRPr="00030AD6">
        <w:t>within 25 feet “will interfere with the performance” of his</w:t>
      </w:r>
      <w:r>
        <w:t xml:space="preserve"> </w:t>
      </w:r>
      <w:r w:rsidRPr="00030AD6">
        <w:t>“duties.”</w:t>
      </w:r>
      <w:r>
        <w:t xml:space="preserve"> </w:t>
      </w:r>
    </w:p>
    <w:p w14:paraId="3F3BF7C7" w14:textId="77777777" w:rsidR="00393C3E" w:rsidRDefault="00393C3E" w:rsidP="00393C3E">
      <w:pPr>
        <w:pStyle w:val="NoSpacing"/>
        <w:rPr>
          <w:bCs/>
        </w:rPr>
      </w:pPr>
    </w:p>
    <w:p w14:paraId="7A9D67A7" w14:textId="77777777" w:rsidR="00393C3E" w:rsidRDefault="00393C3E" w:rsidP="00393C3E">
      <w:pPr>
        <w:pStyle w:val="NoSpacing"/>
        <w:rPr>
          <w:bCs/>
        </w:rPr>
      </w:pPr>
      <w:r w:rsidRPr="007772CA">
        <w:rPr>
          <w:b/>
        </w:rPr>
        <w:t>THE COURT HELD:</w:t>
      </w:r>
      <w:r>
        <w:t xml:space="preserve"> “As the plaintiffs point out, the problem is more upstream: the [original 223 ] buffer law offers no ‘guidance to the officer deciding whether [a do-not-approach] order should issue’ in the first place…. Without such guidance, any on-duty officer can use the buffer law to subject any pedestrian to potential criminal liability by simply ordering them not to approach, even if the pedestrian is doing nothing more than taking a morning stroll or merely walking up to an officer to ask for directions…. As the Supreme Court explained 60 years ago, a law that effectively says ‘a person may stand on a public sidewalk in [a city] only at the whim of any police officer of that city’ is too vague to satisfy due process. Shuttlesworth v. City of Birmingham, 382 U.S. 87, 90 (1965). The buffer law does just that. The Fourteenth Amendment will not tolerate a law subjecting pedestrians to arrest merely because a police officer had a bad breakfast—no matter how bitter the coffee or how soggy the scrambled eggs.” </w:t>
      </w:r>
      <w:hyperlink r:id="rId419" w:history="1">
        <w:r w:rsidRPr="00FE3641">
          <w:rPr>
            <w:rStyle w:val="Hyperlink"/>
          </w:rPr>
          <w:t>https://www.rcfp.org/wp-content/uploads/2025/08/2025-08-05-RCFP-v.-Rokita-Seventh-Circuit-opinion.pdf</w:t>
        </w:r>
      </w:hyperlink>
    </w:p>
    <w:p w14:paraId="039E741F" w14:textId="77777777" w:rsidR="00393C3E" w:rsidRDefault="00393C3E" w:rsidP="00393C3E">
      <w:pPr>
        <w:rPr>
          <w:bCs/>
        </w:rPr>
      </w:pPr>
    </w:p>
    <w:p w14:paraId="70D985E0" w14:textId="77777777" w:rsidR="00393C3E" w:rsidRDefault="00393C3E" w:rsidP="00393C3E">
      <w:pPr>
        <w:rPr>
          <w:b/>
        </w:rPr>
      </w:pPr>
      <w:r w:rsidRPr="007772CA">
        <w:rPr>
          <w:b/>
        </w:rPr>
        <w:t xml:space="preserve">KEY FACTS: </w:t>
      </w:r>
    </w:p>
    <w:p w14:paraId="63F1E08D" w14:textId="77777777" w:rsidR="00393C3E" w:rsidRDefault="00393C3E" w:rsidP="00393C3E">
      <w:pPr>
        <w:pStyle w:val="NoSpacing"/>
        <w:ind w:left="720"/>
      </w:pPr>
      <w:r>
        <w:t>“I</w:t>
      </w:r>
      <w:r w:rsidRPr="0063384C">
        <w:t xml:space="preserve">ndiana’s </w:t>
      </w:r>
      <w:r>
        <w:t>‘</w:t>
      </w:r>
      <w:r w:rsidRPr="0063384C">
        <w:t>buffer law</w:t>
      </w:r>
      <w:r>
        <w:t>’ m</w:t>
      </w:r>
      <w:r w:rsidRPr="0063384C">
        <w:t>akes it a</w:t>
      </w:r>
      <w:r>
        <w:t xml:space="preserve"> </w:t>
      </w:r>
      <w:r w:rsidRPr="0063384C">
        <w:t>crime for a person to knowingly or intentionally approach</w:t>
      </w:r>
      <w:r>
        <w:t xml:space="preserve"> </w:t>
      </w:r>
      <w:r w:rsidRPr="0063384C">
        <w:t xml:space="preserve">within 25 feet of a law enforcement officer who is </w:t>
      </w:r>
      <w:r>
        <w:t>‘</w:t>
      </w:r>
      <w:r w:rsidRPr="0063384C">
        <w:t>lawfully</w:t>
      </w:r>
      <w:r>
        <w:t xml:space="preserve"> </w:t>
      </w:r>
      <w:r w:rsidRPr="0063384C">
        <w:t>engaged in the execution of the law enforcement officer’s duties after the law enforcement officer has ordered the person</w:t>
      </w:r>
      <w:r>
        <w:t xml:space="preserve"> </w:t>
      </w:r>
      <w:r w:rsidRPr="0063384C">
        <w:t>to stop approaching.</w:t>
      </w:r>
      <w:r>
        <w:t>’</w:t>
      </w:r>
      <w:r w:rsidRPr="0063384C">
        <w:t xml:space="preserve"> Indiana Code (I.C.) § 35-44.1-2-14</w:t>
      </w:r>
      <w:r>
        <w:t>.</w:t>
      </w:r>
    </w:p>
    <w:p w14:paraId="51407CEE" w14:textId="77777777" w:rsidR="00393C3E" w:rsidRDefault="00393C3E" w:rsidP="00393C3E">
      <w:pPr>
        <w:pStyle w:val="NoSpacing"/>
        <w:ind w:left="720"/>
      </w:pPr>
      <w:r>
        <w:t>The plaintiffs, who are various media and media-related organizations, argue that the buffer law is unconstitutionally vague under the Fourteenth Amendment’s Due Process</w:t>
      </w:r>
    </w:p>
    <w:p w14:paraId="32058C08" w14:textId="77777777" w:rsidR="00393C3E" w:rsidRDefault="00393C3E" w:rsidP="00393C3E">
      <w:pPr>
        <w:pStyle w:val="NoSpacing"/>
        <w:ind w:left="720"/>
      </w:pPr>
      <w:r>
        <w:t>Clause because it is susceptible to arbitrary or discriminatory enforcement by the police. The district court concluded that the plaintiffs were likely to succeed in their Fourteenth</w:t>
      </w:r>
    </w:p>
    <w:p w14:paraId="19D9D305" w14:textId="77777777" w:rsidR="00393C3E" w:rsidRPr="007772CA" w:rsidRDefault="00393C3E" w:rsidP="00393C3E">
      <w:pPr>
        <w:pStyle w:val="NoSpacing"/>
        <w:ind w:left="720"/>
      </w:pPr>
      <w:r>
        <w:t xml:space="preserve">Amendment </w:t>
      </w:r>
      <w:proofErr w:type="gramStart"/>
      <w:r>
        <w:t>challenge to</w:t>
      </w:r>
      <w:proofErr w:type="gramEnd"/>
      <w:r>
        <w:t xml:space="preserve"> the buffer law, so the court issued a preliminary injunction blocking its enforcement. For the reasons below, we affirm the district court’s decision to preliminarily enjoin enforcement of the buffer law.”</w:t>
      </w:r>
    </w:p>
    <w:p w14:paraId="54811E90" w14:textId="77777777" w:rsidR="00393C3E" w:rsidRDefault="00393C3E" w:rsidP="00393C3E">
      <w:pPr>
        <w:pStyle w:val="NoSpacing"/>
        <w:rPr>
          <w:b/>
          <w:bCs/>
        </w:rPr>
      </w:pPr>
    </w:p>
    <w:p w14:paraId="787E598B" w14:textId="77777777" w:rsidR="00393C3E" w:rsidRPr="00DD7B9E" w:rsidRDefault="00393C3E" w:rsidP="00393C3E">
      <w:pPr>
        <w:pStyle w:val="NoSpacing"/>
        <w:rPr>
          <w:b/>
          <w:bCs/>
        </w:rPr>
      </w:pPr>
      <w:r w:rsidRPr="00DD7B9E">
        <w:rPr>
          <w:b/>
        </w:rPr>
        <w:t xml:space="preserve">Legal lesson learned: </w:t>
      </w:r>
      <w:r>
        <w:rPr>
          <w:b/>
        </w:rPr>
        <w:t xml:space="preserve">Fire and EMS must allow press reasonable access to </w:t>
      </w:r>
      <w:proofErr w:type="gramStart"/>
      <w:r>
        <w:rPr>
          <w:b/>
        </w:rPr>
        <w:t>scenes, but</w:t>
      </w:r>
      <w:proofErr w:type="gramEnd"/>
      <w:r>
        <w:rPr>
          <w:b/>
        </w:rPr>
        <w:t xml:space="preserve"> can cover patients to protect their identity.  </w:t>
      </w:r>
    </w:p>
    <w:p w14:paraId="223E2488" w14:textId="77777777" w:rsidR="00393C3E" w:rsidRDefault="00393C3E" w:rsidP="00393C3E">
      <w:pPr>
        <w:pStyle w:val="NoSpacing"/>
      </w:pPr>
    </w:p>
    <w:p w14:paraId="450C32C6" w14:textId="77777777" w:rsidR="00393C3E" w:rsidRDefault="00393C3E" w:rsidP="00393C3E">
      <w:pPr>
        <w:ind w:left="720"/>
        <w:rPr>
          <w:bCs/>
        </w:rPr>
      </w:pPr>
      <w:r>
        <w:t xml:space="preserve">Note:  See August 6, </w:t>
      </w:r>
      <w:proofErr w:type="gramStart"/>
      <w:r>
        <w:t>2025</w:t>
      </w:r>
      <w:proofErr w:type="gramEnd"/>
      <w:r>
        <w:t xml:space="preserve"> article, </w:t>
      </w:r>
      <w:r w:rsidRPr="00B33217">
        <w:t>“7th Circuit: Indiana’s police ‘buffer zone’ law is unconstitutional.</w:t>
      </w:r>
      <w:r>
        <w:rPr>
          <w:b/>
        </w:rPr>
        <w:t xml:space="preserve">” </w:t>
      </w:r>
      <w:hyperlink r:id="rId420" w:history="1">
        <w:r w:rsidRPr="00D87E9E">
          <w:rPr>
            <w:rStyle w:val="Hyperlink"/>
          </w:rPr>
          <w:t>https://www.rcfp.org/indiana-buffer-zone-law-7th-circuit/</w:t>
        </w:r>
      </w:hyperlink>
      <w:r>
        <w:t xml:space="preserve"> </w:t>
      </w:r>
    </w:p>
    <w:p w14:paraId="2673EF47" w14:textId="0004A6B5" w:rsidR="00393C3E" w:rsidRDefault="00393C3E" w:rsidP="00393C3E">
      <w:pPr>
        <w:rPr>
          <w:rFonts w:ascii="Arial Black" w:hAnsi="Arial Black"/>
          <w:sz w:val="24"/>
          <w:szCs w:val="24"/>
        </w:rPr>
      </w:pPr>
      <w:r>
        <w:t xml:space="preserve">See also March 11, </w:t>
      </w:r>
      <w:proofErr w:type="gramStart"/>
      <w:r>
        <w:t>2025</w:t>
      </w:r>
      <w:proofErr w:type="gramEnd"/>
      <w:r>
        <w:t xml:space="preserve"> article, “</w:t>
      </w:r>
      <w:r w:rsidRPr="00723714">
        <w:t xml:space="preserve">Buffer zone’ clarification heads to </w:t>
      </w:r>
      <w:proofErr w:type="spellStart"/>
      <w:proofErr w:type="gramStart"/>
      <w:r w:rsidRPr="00723714">
        <w:t>governors</w:t>
      </w:r>
      <w:proofErr w:type="spellEnd"/>
      <w:proofErr w:type="gramEnd"/>
      <w:r w:rsidRPr="00723714">
        <w:t xml:space="preserve"> desk.”</w:t>
      </w:r>
      <w:hyperlink r:id="rId421" w:history="1">
        <w:r w:rsidRPr="00D87E9E">
          <w:rPr>
            <w:rStyle w:val="Hyperlink"/>
          </w:rPr>
          <w:t>https://indianacapitalchronicle.com/briefs/buffer-zone-clarification-heads-to-governors-desk/</w:t>
        </w:r>
      </w:hyperlink>
    </w:p>
    <w:p w14:paraId="7DE2DB41" w14:textId="77777777" w:rsidR="000D2571" w:rsidRDefault="000D2571" w:rsidP="00646EE3">
      <w:pPr>
        <w:rPr>
          <w:rFonts w:ascii="Arial Black" w:hAnsi="Arial Black"/>
          <w:sz w:val="24"/>
          <w:szCs w:val="24"/>
        </w:rPr>
      </w:pPr>
    </w:p>
    <w:p w14:paraId="2B88B869" w14:textId="5542C741" w:rsidR="00646EE3" w:rsidRDefault="00646EE3" w:rsidP="00646EE3">
      <w:pPr>
        <w:rPr>
          <w:rFonts w:ascii="Arial Black" w:hAnsi="Arial Black"/>
          <w:sz w:val="24"/>
          <w:szCs w:val="24"/>
        </w:rPr>
      </w:pPr>
      <w:r>
        <w:rPr>
          <w:rFonts w:ascii="Arial Black" w:hAnsi="Arial Black"/>
          <w:sz w:val="24"/>
          <w:szCs w:val="24"/>
        </w:rPr>
        <w:t>2-9</w:t>
      </w:r>
      <w:r w:rsidR="006528FB">
        <w:rPr>
          <w:rFonts w:ascii="Arial Black" w:hAnsi="Arial Black"/>
          <w:sz w:val="24"/>
          <w:szCs w:val="24"/>
        </w:rPr>
        <w:t>0</w:t>
      </w:r>
    </w:p>
    <w:p w14:paraId="0DF2E8EC" w14:textId="77777777" w:rsidR="007D33D8" w:rsidRDefault="007D33D8" w:rsidP="007D33D8">
      <w:pPr>
        <w:pStyle w:val="NoSpacing"/>
        <w:rPr>
          <w:rFonts w:ascii="Arial Black" w:hAnsi="Arial Black"/>
          <w:sz w:val="28"/>
          <w:szCs w:val="28"/>
        </w:rPr>
      </w:pPr>
      <w:r>
        <w:rPr>
          <w:rFonts w:ascii="Arial Black" w:hAnsi="Arial Black"/>
          <w:sz w:val="28"/>
          <w:szCs w:val="28"/>
        </w:rPr>
        <w:t>KY: TRAIN DERAIL. - CSX “LIED” / SULFOR DIOXIDE – FF SUE</w:t>
      </w:r>
    </w:p>
    <w:p w14:paraId="3ADE6A4B" w14:textId="77777777" w:rsidR="007D33D8" w:rsidRDefault="007D33D8" w:rsidP="007D33D8">
      <w:pPr>
        <w:pStyle w:val="NoSpacing"/>
        <w:rPr>
          <w:rFonts w:ascii="Arial Black" w:hAnsi="Arial Black"/>
          <w:sz w:val="28"/>
          <w:szCs w:val="28"/>
        </w:rPr>
      </w:pPr>
    </w:p>
    <w:p w14:paraId="5BCB0CE6" w14:textId="01A0A0CF" w:rsidR="007D33D8" w:rsidRPr="00911EB2" w:rsidRDefault="007D33D8" w:rsidP="007D33D8">
      <w:pPr>
        <w:rPr>
          <w:rFonts w:ascii="Times New Roman" w:hAnsi="Times New Roman"/>
          <w:sz w:val="24"/>
          <w:szCs w:val="24"/>
        </w:rPr>
      </w:pPr>
      <w:r w:rsidRPr="00911EB2">
        <w:rPr>
          <w:rFonts w:ascii="Times New Roman" w:hAnsi="Times New Roman"/>
          <w:sz w:val="24"/>
          <w:szCs w:val="24"/>
        </w:rPr>
        <w:t xml:space="preserve">On June 16, 2025, in </w:t>
      </w:r>
      <w:r w:rsidRPr="00911EB2">
        <w:rPr>
          <w:rFonts w:ascii="Times New Roman" w:hAnsi="Times New Roman"/>
          <w:sz w:val="24"/>
          <w:szCs w:val="24"/>
          <w:u w:val="single"/>
        </w:rPr>
        <w:t>Shannon Franklin, et al. v. CSX Transportation, Inc. et al</w:t>
      </w:r>
      <w:r w:rsidRPr="00911EB2">
        <w:rPr>
          <w:rFonts w:ascii="Times New Roman" w:hAnsi="Times New Roman"/>
          <w:sz w:val="24"/>
          <w:szCs w:val="24"/>
        </w:rPr>
        <w:t xml:space="preserve">., U.S. District Court Judge Gregory F. Van Tatenhove, United States District Court for Eastern District of Kentucky, Southern Division / London, held that the “Fireman’s Rule” does not prohibit firefighters suffering from respiratory issues from suing CSX for November 22, 2023 train derailment in Rockcastle County, Kentucky, but they must prove “willful and wanton misconduct” by CSX (lied about contents being “food grade” non-hazardous).  Other claims, such as negligence, and “medical monitoring” were dismissed.  THE COURT HELD:  Plaintiffs suggest that the Firefighter’s Rule is inapplicable in this case because they allege that CSX intentionally mislead responders by telling them the railroad cars ‘were carrying substances that were food grade.’ … They suggest that the Firefighter’s Rule applies only to negligent conduct and not harms ‘resulting from gross negligence, or reckless or intentional conduct.’… The Court agrees.” </w:t>
      </w:r>
      <w:hyperlink r:id="rId422" w:history="1">
        <w:r w:rsidRPr="00911EB2">
          <w:rPr>
            <w:rStyle w:val="Hyperlink"/>
            <w:rFonts w:ascii="Times New Roman" w:hAnsi="Times New Roman"/>
            <w:sz w:val="24"/>
            <w:szCs w:val="24"/>
          </w:rPr>
          <w:t>https://cases.justia.com/federal/district-courts/kentucky/kyedce/6:2024cv00173/106630/18/0.pdf?ts=1750154108</w:t>
        </w:r>
      </w:hyperlink>
    </w:p>
    <w:p w14:paraId="35038B9F" w14:textId="189182C1" w:rsidR="00911EB2" w:rsidRPr="00911EB2" w:rsidRDefault="00911EB2" w:rsidP="00911EB2">
      <w:pPr>
        <w:pStyle w:val="NoSpacing"/>
        <w:rPr>
          <w:rFonts w:ascii="Times New Roman" w:hAnsi="Times New Roman"/>
          <w:b/>
          <w:bCs/>
          <w:sz w:val="24"/>
          <w:szCs w:val="24"/>
        </w:rPr>
      </w:pPr>
      <w:r w:rsidRPr="00911EB2">
        <w:rPr>
          <w:rFonts w:ascii="Times New Roman" w:hAnsi="Times New Roman"/>
          <w:b/>
          <w:sz w:val="24"/>
          <w:szCs w:val="24"/>
        </w:rPr>
        <w:t>Legal lesson learned: When responding to a train enrollment, confirm contents no</w:t>
      </w:r>
      <w:r w:rsidR="0087760A">
        <w:rPr>
          <w:rFonts w:ascii="Times New Roman" w:hAnsi="Times New Roman"/>
          <w:b/>
          <w:sz w:val="24"/>
          <w:szCs w:val="24"/>
        </w:rPr>
        <w:t>t</w:t>
      </w:r>
      <w:r w:rsidRPr="00911EB2">
        <w:rPr>
          <w:rFonts w:ascii="Times New Roman" w:hAnsi="Times New Roman"/>
          <w:b/>
          <w:sz w:val="24"/>
          <w:szCs w:val="24"/>
        </w:rPr>
        <w:t xml:space="preserve"> only with train company but also by reading the hazardous material </w:t>
      </w:r>
      <w:r w:rsidR="004538AA">
        <w:rPr>
          <w:rFonts w:ascii="Times New Roman" w:hAnsi="Times New Roman"/>
          <w:b/>
          <w:sz w:val="24"/>
          <w:szCs w:val="24"/>
        </w:rPr>
        <w:t>placards</w:t>
      </w:r>
      <w:r w:rsidRPr="00911EB2">
        <w:rPr>
          <w:rFonts w:ascii="Times New Roman" w:hAnsi="Times New Roman"/>
          <w:b/>
          <w:sz w:val="24"/>
          <w:szCs w:val="24"/>
        </w:rPr>
        <w:t xml:space="preserve"> on the leaking train cars. </w:t>
      </w:r>
    </w:p>
    <w:p w14:paraId="6410313F" w14:textId="77777777" w:rsidR="00911EB2" w:rsidRPr="00911EB2" w:rsidRDefault="00911EB2" w:rsidP="00911EB2">
      <w:pPr>
        <w:pStyle w:val="NoSpacing"/>
        <w:rPr>
          <w:rFonts w:ascii="Times New Roman" w:hAnsi="Times New Roman"/>
          <w:sz w:val="24"/>
          <w:szCs w:val="24"/>
        </w:rPr>
      </w:pPr>
    </w:p>
    <w:p w14:paraId="3F927537" w14:textId="331B0DD8" w:rsidR="00C342C1" w:rsidRPr="00C342C1" w:rsidRDefault="00C342C1" w:rsidP="00C342C1">
      <w:pPr>
        <w:ind w:left="720"/>
        <w:rPr>
          <w:rFonts w:ascii="Times New Roman" w:hAnsi="Times New Roman"/>
          <w:bCs/>
          <w:sz w:val="24"/>
          <w:szCs w:val="24"/>
        </w:rPr>
      </w:pPr>
    </w:p>
    <w:p w14:paraId="09E144F9" w14:textId="283D180C" w:rsidR="009C21FE" w:rsidRDefault="009C21FE" w:rsidP="009C21FE">
      <w:pPr>
        <w:rPr>
          <w:rFonts w:ascii="Arial Black" w:hAnsi="Arial Black"/>
          <w:sz w:val="24"/>
          <w:szCs w:val="24"/>
        </w:rPr>
      </w:pPr>
      <w:r>
        <w:rPr>
          <w:rFonts w:ascii="Arial Black" w:hAnsi="Arial Black"/>
          <w:sz w:val="24"/>
          <w:szCs w:val="24"/>
        </w:rPr>
        <w:t>2-89</w:t>
      </w:r>
    </w:p>
    <w:p w14:paraId="730D33C6" w14:textId="77777777" w:rsidR="00767EBD" w:rsidRPr="00796314" w:rsidRDefault="00767EBD" w:rsidP="00767EBD">
      <w:pPr>
        <w:rPr>
          <w:rFonts w:ascii="Arial Black" w:hAnsi="Arial Black"/>
          <w:b/>
          <w:sz w:val="28"/>
          <w:szCs w:val="28"/>
        </w:rPr>
      </w:pPr>
      <w:r>
        <w:rPr>
          <w:rFonts w:ascii="Arial Black" w:hAnsi="Arial Black"/>
          <w:b/>
          <w:sz w:val="28"/>
          <w:szCs w:val="28"/>
        </w:rPr>
        <w:t xml:space="preserve">NJ: BEARD - AIR MASK TECH – WHEN DID NO FIREFIGHTING </w:t>
      </w:r>
    </w:p>
    <w:p w14:paraId="5C8825A5" w14:textId="77777777" w:rsidR="00767EBD" w:rsidRPr="005C77FB" w:rsidRDefault="00767EBD" w:rsidP="00767EBD">
      <w:pPr>
        <w:pStyle w:val="NoSpacing"/>
        <w:rPr>
          <w:rFonts w:ascii="Times New Roman" w:hAnsi="Times New Roman"/>
          <w:sz w:val="24"/>
          <w:szCs w:val="24"/>
        </w:rPr>
      </w:pPr>
      <w:r w:rsidRPr="005C77FB">
        <w:rPr>
          <w:rFonts w:ascii="Times New Roman" w:hAnsi="Times New Roman"/>
          <w:sz w:val="24"/>
          <w:szCs w:val="24"/>
        </w:rPr>
        <w:t xml:space="preserve">On May 30, 2025, in </w:t>
      </w:r>
      <w:r w:rsidRPr="005C77FB">
        <w:rPr>
          <w:rFonts w:ascii="Times New Roman" w:hAnsi="Times New Roman"/>
          <w:sz w:val="24"/>
          <w:szCs w:val="24"/>
          <w:u w:val="single"/>
        </w:rPr>
        <w:t>Alexander Smith v. City of Atlantic City, et al</w:t>
      </w:r>
      <w:r w:rsidRPr="005C77FB">
        <w:rPr>
          <w:rFonts w:ascii="Times New Roman" w:hAnsi="Times New Roman"/>
          <w:sz w:val="24"/>
          <w:szCs w:val="24"/>
        </w:rPr>
        <w:t xml:space="preserve">.,  the U.S. Court of Appeals for Third Circuit (Philadelphia), held (2 to 1) that a firefighter may proceed with his lawsuit for failure to accommodate his request to wear a beard for religious reasons, but not his claim of retaliation.  He last fought a fire in 2015 and then became FD’s full time Air Mask Technician – and duties included bringing the Air Truck to structure fires and changing out SCBAs.   He like other “administrative” firefighters were not required to take annual fit testing.  In Dec. 2018 he submitted an accommodation request to wear a beard for religious reasons; that was denied, he was ordered to no longer respond to structure fires and he filed this lawsuit.  In 2020, all “administrative” firefighters were required to pass annual fit testing.   On Aug. 4, 2020, Hurricane Isaias hit New Jersey and all off duty personnel.  He was assigned to Engine 23, but he refused to respond (turned out there were no structure fire, but numerous other runs);  the </w:t>
      </w:r>
      <w:proofErr w:type="gramStart"/>
      <w:r w:rsidRPr="005C77FB">
        <w:rPr>
          <w:rFonts w:ascii="Times New Roman" w:hAnsi="Times New Roman"/>
          <w:sz w:val="24"/>
          <w:szCs w:val="24"/>
        </w:rPr>
        <w:t>City</w:t>
      </w:r>
      <w:proofErr w:type="gramEnd"/>
      <w:r w:rsidRPr="005C77FB">
        <w:rPr>
          <w:rFonts w:ascii="Times New Roman" w:hAnsi="Times New Roman"/>
          <w:sz w:val="24"/>
          <w:szCs w:val="24"/>
        </w:rPr>
        <w:t xml:space="preserve"> charged Smith with insubordination and suspended him for forty days, including twenty without pay.   THE COURT HELD: “The City could remove Smith from fire suppression duty as it did before 2020 or reclassify him as a civilian who is not subject to the SCBA and grooming policies. It could, as a simple fix, at least try and fit test Smith with facial hair to see if his facial hair, at any length, would interfere with the SCBA to a point that creates the risk of air leakage that the </w:t>
      </w:r>
      <w:proofErr w:type="gramStart"/>
      <w:r w:rsidRPr="005C77FB">
        <w:rPr>
          <w:rFonts w:ascii="Times New Roman" w:hAnsi="Times New Roman"/>
          <w:sz w:val="24"/>
          <w:szCs w:val="24"/>
        </w:rPr>
        <w:t>City</w:t>
      </w:r>
      <w:proofErr w:type="gramEnd"/>
      <w:r w:rsidRPr="005C77FB">
        <w:rPr>
          <w:rFonts w:ascii="Times New Roman" w:hAnsi="Times New Roman"/>
          <w:sz w:val="24"/>
          <w:szCs w:val="24"/>
        </w:rPr>
        <w:t xml:space="preserve"> fears. See Potter v. District of Columbia, 382 F. Supp. 2d 35, 38 (D.D.C. 2005) (Muslim employee seeking exception passed fit test with beard). There </w:t>
      </w:r>
      <w:proofErr w:type="gramStart"/>
      <w:r w:rsidRPr="005C77FB">
        <w:rPr>
          <w:rFonts w:ascii="Times New Roman" w:hAnsi="Times New Roman"/>
          <w:sz w:val="24"/>
          <w:szCs w:val="24"/>
        </w:rPr>
        <w:t>are likely</w:t>
      </w:r>
      <w:proofErr w:type="gramEnd"/>
      <w:r w:rsidRPr="005C77FB">
        <w:rPr>
          <w:rFonts w:ascii="Times New Roman" w:hAnsi="Times New Roman"/>
          <w:sz w:val="24"/>
          <w:szCs w:val="24"/>
        </w:rPr>
        <w:t xml:space="preserve"> more solutions than these three, but ‘so long as the government can achieve its interests in a manner that does not burden religion, it must do so.’ Fulton, 593 U.S. at 541. Because the policy fails strict scrutiny, we will vacate the District Court’s judgment.”   </w:t>
      </w:r>
      <w:hyperlink r:id="rId423" w:history="1">
        <w:r w:rsidRPr="005C77FB">
          <w:rPr>
            <w:rStyle w:val="Hyperlink"/>
            <w:rFonts w:ascii="Times New Roman" w:hAnsi="Times New Roman"/>
            <w:sz w:val="24"/>
            <w:szCs w:val="24"/>
          </w:rPr>
          <w:t>https://cases.justia.com/federal/appellate-courts/ca3/23-3265/23-3265-2025-05-30.pdf?ts=1748624416</w:t>
        </w:r>
      </w:hyperlink>
      <w:r w:rsidRPr="005C77FB">
        <w:rPr>
          <w:rFonts w:ascii="Times New Roman" w:hAnsi="Times New Roman"/>
          <w:sz w:val="24"/>
          <w:szCs w:val="24"/>
        </w:rPr>
        <w:t xml:space="preserve"> </w:t>
      </w:r>
    </w:p>
    <w:p w14:paraId="45CB05D0" w14:textId="77777777" w:rsidR="005C77FB" w:rsidRPr="005C77FB" w:rsidRDefault="005C77FB" w:rsidP="005C77FB">
      <w:pPr>
        <w:pStyle w:val="NoSpacing"/>
        <w:rPr>
          <w:rFonts w:ascii="Times New Roman" w:hAnsi="Times New Roman"/>
          <w:b/>
          <w:sz w:val="24"/>
          <w:szCs w:val="24"/>
        </w:rPr>
      </w:pPr>
    </w:p>
    <w:p w14:paraId="77942307" w14:textId="44B7447B" w:rsidR="005C77FB" w:rsidRPr="005C77FB" w:rsidRDefault="005C77FB" w:rsidP="005C77FB">
      <w:pPr>
        <w:pStyle w:val="NoSpacing"/>
        <w:rPr>
          <w:rFonts w:ascii="Times New Roman" w:hAnsi="Times New Roman"/>
          <w:b/>
          <w:bCs/>
          <w:sz w:val="24"/>
          <w:szCs w:val="24"/>
        </w:rPr>
      </w:pPr>
      <w:r w:rsidRPr="005C77FB">
        <w:rPr>
          <w:rFonts w:ascii="Times New Roman" w:hAnsi="Times New Roman"/>
          <w:b/>
          <w:sz w:val="24"/>
          <w:szCs w:val="24"/>
        </w:rPr>
        <w:t>Legal lesson learned: This decision has limited precedent; most fire departments</w:t>
      </w:r>
      <w:r w:rsidRPr="005C77FB">
        <w:rPr>
          <w:rFonts w:ascii="Times New Roman" w:hAnsi="Times New Roman"/>
          <w:b/>
          <w:bCs/>
          <w:sz w:val="24"/>
          <w:szCs w:val="24"/>
        </w:rPr>
        <w:t xml:space="preserve"> require</w:t>
      </w:r>
      <w:r w:rsidRPr="005C77FB">
        <w:rPr>
          <w:rFonts w:ascii="Times New Roman" w:hAnsi="Times New Roman"/>
          <w:b/>
          <w:sz w:val="24"/>
          <w:szCs w:val="24"/>
        </w:rPr>
        <w:t xml:space="preserve"> annual fit testing for all firefighters.  </w:t>
      </w:r>
    </w:p>
    <w:p w14:paraId="0910A866" w14:textId="77777777" w:rsidR="005C77FB" w:rsidRPr="005C77FB" w:rsidRDefault="005C77FB" w:rsidP="005C77FB">
      <w:pPr>
        <w:pStyle w:val="NoSpacing"/>
        <w:rPr>
          <w:rFonts w:ascii="Times New Roman" w:hAnsi="Times New Roman"/>
          <w:b/>
          <w:bCs/>
          <w:sz w:val="24"/>
          <w:szCs w:val="24"/>
        </w:rPr>
      </w:pPr>
    </w:p>
    <w:p w14:paraId="5F191769" w14:textId="77777777" w:rsidR="005C77FB" w:rsidRPr="005C77FB" w:rsidRDefault="005C77FB" w:rsidP="005C77FB">
      <w:pPr>
        <w:ind w:left="720"/>
        <w:rPr>
          <w:rFonts w:ascii="Times New Roman" w:hAnsi="Times New Roman"/>
          <w:b/>
          <w:sz w:val="24"/>
          <w:szCs w:val="24"/>
        </w:rPr>
      </w:pPr>
      <w:r w:rsidRPr="005C77FB">
        <w:rPr>
          <w:rFonts w:ascii="Times New Roman" w:hAnsi="Times New Roman"/>
          <w:sz w:val="24"/>
          <w:szCs w:val="24"/>
        </w:rPr>
        <w:t xml:space="preserve">Note: See this article, “Jersey Shore firefighter wins court battle over growing beard on religious grounds.” </w:t>
      </w:r>
      <w:hyperlink r:id="rId424" w:history="1">
        <w:r w:rsidRPr="005C77FB">
          <w:rPr>
            <w:rStyle w:val="Hyperlink"/>
            <w:rFonts w:ascii="Times New Roman" w:hAnsi="Times New Roman"/>
            <w:sz w:val="24"/>
            <w:szCs w:val="24"/>
          </w:rPr>
          <w:t>https://www.nj.com/atlantic/2025/06/jersey-shore-firefighter-wins-court-battle-over-growing-beard-on-religious-grounds.html?mc_cid=2cb6755cd5&amp;mc_eid=cbaa4ade01</w:t>
        </w:r>
      </w:hyperlink>
    </w:p>
    <w:p w14:paraId="64C869EA" w14:textId="77777777" w:rsidR="005C77FB" w:rsidRDefault="005C77FB" w:rsidP="00767EBD">
      <w:pPr>
        <w:pStyle w:val="NoSpacing"/>
      </w:pPr>
    </w:p>
    <w:p w14:paraId="4CBA1C95" w14:textId="66424917" w:rsidR="00E04C78" w:rsidRDefault="00E04C78" w:rsidP="005D5A0C">
      <w:pPr>
        <w:rPr>
          <w:rFonts w:ascii="Arial Black" w:hAnsi="Arial Black"/>
          <w:sz w:val="24"/>
          <w:szCs w:val="24"/>
        </w:rPr>
      </w:pPr>
      <w:r>
        <w:rPr>
          <w:rFonts w:ascii="Arial Black" w:hAnsi="Arial Black"/>
          <w:sz w:val="24"/>
          <w:szCs w:val="24"/>
        </w:rPr>
        <w:t>2-88</w:t>
      </w:r>
    </w:p>
    <w:p w14:paraId="23E70DC1" w14:textId="77777777" w:rsidR="00E04C78" w:rsidRPr="006F2B87" w:rsidRDefault="00E04C78" w:rsidP="00E04C78">
      <w:pPr>
        <w:pStyle w:val="NoSpacing"/>
        <w:rPr>
          <w:rFonts w:ascii="Arial Black" w:hAnsi="Arial Black"/>
          <w:sz w:val="28"/>
          <w:szCs w:val="28"/>
        </w:rPr>
      </w:pPr>
      <w:r w:rsidRPr="006F2B87">
        <w:rPr>
          <w:rFonts w:ascii="Arial Black" w:hAnsi="Arial Black"/>
          <w:sz w:val="28"/>
          <w:szCs w:val="28"/>
        </w:rPr>
        <w:t xml:space="preserve">U.S. SUP. CT: PD </w:t>
      </w:r>
      <w:r>
        <w:rPr>
          <w:rFonts w:ascii="Arial Black" w:hAnsi="Arial Black"/>
          <w:sz w:val="28"/>
          <w:szCs w:val="28"/>
        </w:rPr>
        <w:t xml:space="preserve">SHOOTINGS - </w:t>
      </w:r>
      <w:r w:rsidRPr="006F2B87">
        <w:rPr>
          <w:rFonts w:ascii="Arial Black" w:hAnsi="Arial Black"/>
          <w:sz w:val="28"/>
          <w:szCs w:val="28"/>
        </w:rPr>
        <w:t xml:space="preserve">REVIEW TOTAL CIRCUM. </w:t>
      </w:r>
    </w:p>
    <w:p w14:paraId="72075FA1" w14:textId="77777777" w:rsidR="00E04C78" w:rsidRPr="006F2B87" w:rsidRDefault="00E04C78" w:rsidP="00E04C78">
      <w:pPr>
        <w:pStyle w:val="NoSpacing"/>
      </w:pPr>
    </w:p>
    <w:p w14:paraId="1FEC9E5F" w14:textId="77777777" w:rsidR="00E04C78" w:rsidRPr="00E04C78" w:rsidRDefault="00E04C78" w:rsidP="00E04C78">
      <w:pPr>
        <w:pStyle w:val="NoSpacing"/>
        <w:rPr>
          <w:rFonts w:ascii="Times New Roman" w:hAnsi="Times New Roman"/>
          <w:sz w:val="24"/>
          <w:szCs w:val="24"/>
        </w:rPr>
      </w:pPr>
      <w:r w:rsidRPr="00E04C78">
        <w:rPr>
          <w:rFonts w:ascii="Times New Roman" w:hAnsi="Times New Roman"/>
          <w:sz w:val="24"/>
          <w:szCs w:val="24"/>
        </w:rPr>
        <w:t xml:space="preserve">On May 15, 2025, in </w:t>
      </w:r>
      <w:r w:rsidRPr="00E04C78">
        <w:rPr>
          <w:rFonts w:ascii="Times New Roman" w:hAnsi="Times New Roman"/>
          <w:sz w:val="24"/>
          <w:szCs w:val="24"/>
          <w:u w:val="single"/>
        </w:rPr>
        <w:t>Janice Hughes Barnes, individually and as representative of the estate of Ashtian Barnes, deceased v. Roberto Felix, et al</w:t>
      </w:r>
      <w:r w:rsidRPr="00E04C78">
        <w:rPr>
          <w:rFonts w:ascii="Times New Roman" w:hAnsi="Times New Roman"/>
          <w:sz w:val="24"/>
          <w:szCs w:val="24"/>
        </w:rPr>
        <w:t>., the United States Supreme Court held (9 to 0) that lawsuit against officer is reinstated; trial court judge when deciding qualified immunity must review all the circumstances involving the incident, as in this case the officer jumped on door of stopped vehicle before the driver tried to speed away.  The Court rejected the 5</w:t>
      </w:r>
      <w:r w:rsidRPr="00E04C78">
        <w:rPr>
          <w:rFonts w:ascii="Times New Roman" w:hAnsi="Times New Roman"/>
          <w:sz w:val="24"/>
          <w:szCs w:val="24"/>
          <w:vertAlign w:val="superscript"/>
        </w:rPr>
        <w:t>th</w:t>
      </w:r>
      <w:r w:rsidRPr="00E04C78">
        <w:rPr>
          <w:rFonts w:ascii="Times New Roman" w:hAnsi="Times New Roman"/>
          <w:sz w:val="24"/>
          <w:szCs w:val="24"/>
        </w:rPr>
        <w:t xml:space="preserve"> Circuit precedent that in police shooting the trial court judge should only review the seconds involving the “moment-of-threat.”  </w:t>
      </w:r>
    </w:p>
    <w:p w14:paraId="53847827" w14:textId="77777777" w:rsidR="00E04C78" w:rsidRPr="00E04C78" w:rsidRDefault="00E04C78" w:rsidP="00E04C78">
      <w:pPr>
        <w:pStyle w:val="NoSpacing"/>
        <w:rPr>
          <w:rFonts w:ascii="Times New Roman" w:hAnsi="Times New Roman"/>
          <w:sz w:val="24"/>
          <w:szCs w:val="24"/>
        </w:rPr>
      </w:pPr>
    </w:p>
    <w:p w14:paraId="1C02619D" w14:textId="77777777" w:rsidR="00E04C78" w:rsidRPr="00E04C78" w:rsidRDefault="00E04C78" w:rsidP="00E04C78">
      <w:pPr>
        <w:pStyle w:val="NoSpacing"/>
        <w:rPr>
          <w:rFonts w:ascii="Times New Roman" w:hAnsi="Times New Roman"/>
          <w:sz w:val="24"/>
          <w:szCs w:val="24"/>
        </w:rPr>
      </w:pPr>
      <w:r w:rsidRPr="00E04C78">
        <w:rPr>
          <w:rFonts w:ascii="Times New Roman" w:hAnsi="Times New Roman"/>
          <w:sz w:val="24"/>
          <w:szCs w:val="24"/>
        </w:rPr>
        <w:t xml:space="preserve">Justice Elena Kagam wrote Court’s opinion: “On the afternoon of April 28, 2016, Roberto Felix, Jr., a law enforcement officer patrolling a highway outside Houston, received a radio alert about an automobile on the road with outstanding toll violations. Felix soon spotted the car, a Toyota Corolla, and turned on his emergency lights to initiate a traffic stop. The driver, Ashtian Barnes, pulled over to the highway’s shoulder…. With his right hand resting on his holster, Felix told Barnes to get out of the car. Barnes opened the door but did not </w:t>
      </w:r>
      <w:proofErr w:type="gramStart"/>
      <w:r w:rsidRPr="00E04C78">
        <w:rPr>
          <w:rFonts w:ascii="Times New Roman" w:hAnsi="Times New Roman"/>
          <w:sz w:val="24"/>
          <w:szCs w:val="24"/>
        </w:rPr>
        <w:t>exit</w:t>
      </w:r>
      <w:proofErr w:type="gramEnd"/>
      <w:r w:rsidRPr="00E04C78">
        <w:rPr>
          <w:rFonts w:ascii="Times New Roman" w:hAnsi="Times New Roman"/>
          <w:sz w:val="24"/>
          <w:szCs w:val="24"/>
        </w:rPr>
        <w:t xml:space="preserve">; instead, he turned the ignition back on. Felix unholstered his gun and, as the car began to move forward, jumped onto its doorsill. He twice shouted, ‘Don’t fucking move.’ And with no visibility into the car (because his head was above the roof), he fired two quick shots inside. Barnes was hit. but managed to stop the car. Felix then radioed for back-up. By the time it arrived, Barnes was dead. All told, about five seconds elapsed between when the car started moving and when it stopped. And within that period, two seconds passed between the moment Felix stepped on the doorsill and the moment he fired his first shot. *** The question here is whether that framework permits courts, in evaluating a police shooting (or other use of force), to apply the so-called moment-of-threat rule used in the courts below. Under that rule, a court looks only to the circumstances existing at the precise time an officer perceived the threat inducing him to shoot. Today, we reject that approach as improperly narrowing the requisite Fourth Amendment analysis. To assess whether an officer acted reasonably in using force, a court must consider all the relevant circumstances, including facts and events leading up to the climactic moment.” ***  [W]e return everything else to the courts below. It is for them now to consider the reasonableness of the shooting, using the lengthier timeframe we have prescribed.” </w:t>
      </w:r>
      <w:hyperlink r:id="rId425" w:history="1">
        <w:r w:rsidRPr="00E04C78">
          <w:rPr>
            <w:rStyle w:val="Hyperlink"/>
            <w:rFonts w:ascii="Times New Roman" w:hAnsi="Times New Roman"/>
            <w:sz w:val="24"/>
            <w:szCs w:val="24"/>
          </w:rPr>
          <w:t>https://www.supremecourt.gov/opinions/24pdf/23-1239_onjq.pdf</w:t>
        </w:r>
      </w:hyperlink>
      <w:r w:rsidRPr="00E04C78">
        <w:rPr>
          <w:rFonts w:ascii="Times New Roman" w:hAnsi="Times New Roman"/>
          <w:sz w:val="24"/>
          <w:szCs w:val="24"/>
        </w:rPr>
        <w:t xml:space="preserve"> </w:t>
      </w:r>
    </w:p>
    <w:p w14:paraId="4920B742" w14:textId="77777777" w:rsidR="0049084F" w:rsidRDefault="0049084F" w:rsidP="0049084F">
      <w:pPr>
        <w:pStyle w:val="NoSpacing"/>
        <w:rPr>
          <w:rFonts w:ascii="Times New Roman" w:hAnsi="Times New Roman"/>
          <w:b/>
          <w:sz w:val="24"/>
          <w:szCs w:val="24"/>
        </w:rPr>
      </w:pPr>
    </w:p>
    <w:p w14:paraId="37451D0C" w14:textId="69930B2D" w:rsidR="0049084F" w:rsidRPr="0049084F" w:rsidRDefault="0049084F" w:rsidP="0049084F">
      <w:pPr>
        <w:pStyle w:val="NoSpacing"/>
        <w:rPr>
          <w:rFonts w:ascii="Times New Roman" w:hAnsi="Times New Roman"/>
          <w:b/>
          <w:bCs/>
          <w:sz w:val="24"/>
          <w:szCs w:val="24"/>
        </w:rPr>
      </w:pPr>
      <w:r w:rsidRPr="0049084F">
        <w:rPr>
          <w:rFonts w:ascii="Times New Roman" w:hAnsi="Times New Roman"/>
          <w:b/>
          <w:sz w:val="24"/>
          <w:szCs w:val="24"/>
        </w:rPr>
        <w:t>Legal Lesson Learned: The unanimous decision will also be</w:t>
      </w:r>
      <w:r w:rsidRPr="0049084F">
        <w:rPr>
          <w:rFonts w:ascii="Times New Roman" w:hAnsi="Times New Roman"/>
          <w:b/>
          <w:bCs/>
          <w:sz w:val="24"/>
          <w:szCs w:val="24"/>
        </w:rPr>
        <w:t xml:space="preserve"> precedent </w:t>
      </w:r>
      <w:r w:rsidRPr="0049084F">
        <w:rPr>
          <w:rFonts w:ascii="Times New Roman" w:hAnsi="Times New Roman"/>
          <w:b/>
          <w:sz w:val="24"/>
          <w:szCs w:val="24"/>
        </w:rPr>
        <w:t xml:space="preserve">when reviewing </w:t>
      </w:r>
      <w:r w:rsidRPr="0049084F">
        <w:rPr>
          <w:rFonts w:ascii="Times New Roman" w:hAnsi="Times New Roman"/>
          <w:b/>
          <w:bCs/>
          <w:sz w:val="24"/>
          <w:szCs w:val="24"/>
        </w:rPr>
        <w:t xml:space="preserve">Fire &amp; </w:t>
      </w:r>
      <w:r w:rsidRPr="0049084F">
        <w:rPr>
          <w:rFonts w:ascii="Times New Roman" w:hAnsi="Times New Roman"/>
          <w:b/>
          <w:sz w:val="24"/>
          <w:szCs w:val="24"/>
        </w:rPr>
        <w:t>MS actions when facing possible harm</w:t>
      </w:r>
      <w:r w:rsidRPr="0049084F">
        <w:rPr>
          <w:rFonts w:ascii="Times New Roman" w:hAnsi="Times New Roman"/>
          <w:b/>
          <w:bCs/>
          <w:sz w:val="24"/>
          <w:szCs w:val="24"/>
        </w:rPr>
        <w:t>, s</w:t>
      </w:r>
      <w:r w:rsidRPr="0049084F">
        <w:rPr>
          <w:rFonts w:ascii="Times New Roman" w:hAnsi="Times New Roman"/>
          <w:b/>
          <w:sz w:val="24"/>
          <w:szCs w:val="24"/>
        </w:rPr>
        <w:t xml:space="preserve">uch as mental patient struggling </w:t>
      </w:r>
      <w:proofErr w:type="gramStart"/>
      <w:r w:rsidRPr="0049084F">
        <w:rPr>
          <w:rFonts w:ascii="Times New Roman" w:hAnsi="Times New Roman"/>
          <w:b/>
          <w:sz w:val="24"/>
          <w:szCs w:val="24"/>
        </w:rPr>
        <w:t>in back of</w:t>
      </w:r>
      <w:proofErr w:type="gramEnd"/>
      <w:r w:rsidRPr="0049084F">
        <w:rPr>
          <w:rFonts w:ascii="Times New Roman" w:hAnsi="Times New Roman"/>
          <w:b/>
          <w:sz w:val="24"/>
          <w:szCs w:val="24"/>
        </w:rPr>
        <w:t xml:space="preserve"> an ambulance</w:t>
      </w:r>
      <w:r w:rsidRPr="0049084F">
        <w:rPr>
          <w:rFonts w:ascii="Times New Roman" w:hAnsi="Times New Roman"/>
          <w:b/>
          <w:bCs/>
          <w:sz w:val="24"/>
          <w:szCs w:val="24"/>
        </w:rPr>
        <w:t xml:space="preserve">. </w:t>
      </w:r>
    </w:p>
    <w:p w14:paraId="71782994" w14:textId="77777777" w:rsidR="0049084F" w:rsidRPr="0049084F" w:rsidRDefault="0049084F" w:rsidP="0049084F">
      <w:pPr>
        <w:pStyle w:val="NoSpacing"/>
        <w:rPr>
          <w:rFonts w:ascii="Times New Roman" w:hAnsi="Times New Roman"/>
          <w:bCs/>
          <w:sz w:val="24"/>
          <w:szCs w:val="24"/>
        </w:rPr>
      </w:pPr>
    </w:p>
    <w:p w14:paraId="36FAC1B5" w14:textId="77777777" w:rsidR="00E04C78" w:rsidRPr="0049084F" w:rsidRDefault="00E04C78" w:rsidP="005D5A0C">
      <w:pPr>
        <w:rPr>
          <w:rFonts w:ascii="Times New Roman" w:hAnsi="Times New Roman"/>
          <w:sz w:val="24"/>
          <w:szCs w:val="24"/>
        </w:rPr>
      </w:pPr>
    </w:p>
    <w:p w14:paraId="3256B2E2" w14:textId="77777777" w:rsidR="00E04C78" w:rsidRDefault="00E04C78" w:rsidP="005D5A0C">
      <w:pPr>
        <w:rPr>
          <w:rFonts w:ascii="Arial Black" w:hAnsi="Arial Black"/>
          <w:sz w:val="24"/>
          <w:szCs w:val="24"/>
        </w:rPr>
      </w:pPr>
    </w:p>
    <w:p w14:paraId="116A7DF5" w14:textId="4CE618EA" w:rsidR="00883B5F" w:rsidRDefault="00883B5F" w:rsidP="005D5A0C">
      <w:pPr>
        <w:rPr>
          <w:rFonts w:ascii="Arial Black" w:hAnsi="Arial Black"/>
          <w:sz w:val="24"/>
          <w:szCs w:val="24"/>
        </w:rPr>
      </w:pPr>
      <w:r>
        <w:rPr>
          <w:rFonts w:ascii="Arial Black" w:hAnsi="Arial Black"/>
          <w:sz w:val="24"/>
          <w:szCs w:val="24"/>
        </w:rPr>
        <w:t>2-87</w:t>
      </w:r>
    </w:p>
    <w:p w14:paraId="329CEA14" w14:textId="77777777" w:rsidR="00E63984" w:rsidRPr="00830E6C" w:rsidRDefault="00E63984" w:rsidP="00E63984">
      <w:pPr>
        <w:rPr>
          <w:rFonts w:ascii="Arial Black" w:hAnsi="Arial Black"/>
          <w:b/>
          <w:sz w:val="28"/>
          <w:szCs w:val="28"/>
        </w:rPr>
      </w:pPr>
      <w:r>
        <w:rPr>
          <w:rFonts w:ascii="Arial Black" w:hAnsi="Arial Black"/>
          <w:b/>
          <w:sz w:val="28"/>
          <w:szCs w:val="28"/>
        </w:rPr>
        <w:t>AK: FF / OTHERS - FORMIC ACID - $75M JURY EXCESSIVE</w:t>
      </w:r>
    </w:p>
    <w:p w14:paraId="3288511F" w14:textId="48CCE21C" w:rsidR="00E63984" w:rsidRDefault="00E63984" w:rsidP="00E63984">
      <w:pPr>
        <w:rPr>
          <w:rFonts w:ascii="Times New Roman" w:hAnsi="Times New Roman"/>
          <w:sz w:val="24"/>
          <w:szCs w:val="24"/>
        </w:rPr>
      </w:pPr>
      <w:r w:rsidRPr="00E63984">
        <w:rPr>
          <w:rFonts w:ascii="Times New Roman" w:hAnsi="Times New Roman"/>
          <w:sz w:val="24"/>
          <w:szCs w:val="24"/>
        </w:rPr>
        <w:t xml:space="preserve">On April 30, 2025, in </w:t>
      </w:r>
      <w:r w:rsidRPr="00E63984">
        <w:rPr>
          <w:rFonts w:ascii="Times New Roman" w:hAnsi="Times New Roman"/>
          <w:sz w:val="24"/>
          <w:szCs w:val="24"/>
          <w:u w:val="single"/>
        </w:rPr>
        <w:t>Old Dominion Freight Line, Inc., and Aaron Marvel Foster v. Frank McMillion, Allen Jones, Carlton Pettus, Hunter Bokker, Bengi Bokker and Zack Billingsley</w:t>
      </w:r>
      <w:r w:rsidRPr="00E63984">
        <w:rPr>
          <w:rFonts w:ascii="Times New Roman" w:hAnsi="Times New Roman"/>
          <w:sz w:val="24"/>
          <w:szCs w:val="24"/>
        </w:rPr>
        <w:t xml:space="preserve">, the Court of Appeals of Arkansas, Division II held (3 to 0) that the jury’s combined award of $75 million for six plaintiffs was excessive and must be retried given the limited injuries suffered.  The six plaintiffs included two law enforcement officers, and a 4-person crew from a tow-truck company, including off-duty firefighter Carlton Pettus who was awarded $5 million. On April 20, </w:t>
      </w:r>
      <w:proofErr w:type="gramStart"/>
      <w:r w:rsidRPr="00E63984">
        <w:rPr>
          <w:rFonts w:ascii="Times New Roman" w:hAnsi="Times New Roman"/>
          <w:sz w:val="24"/>
          <w:szCs w:val="24"/>
        </w:rPr>
        <w:t>2018</w:t>
      </w:r>
      <w:proofErr w:type="gramEnd"/>
      <w:r w:rsidRPr="00E63984">
        <w:rPr>
          <w:rFonts w:ascii="Times New Roman" w:hAnsi="Times New Roman"/>
          <w:sz w:val="24"/>
          <w:szCs w:val="24"/>
        </w:rPr>
        <w:t xml:space="preserve"> a pick-up truck that ran head on into an Old Dominion semi carrying one barrel of formic acid weighing 565 pounds.  The semi-truck was on fire and the Old Dominion driver, Aaron Marvel Foster, falsely told responders that there were no hazardous materials on board.  There also was no HAZMAT placard displayed since the load was less than 1,000 pounds. The six plaintiffs all experienced at the scene difficulty breathing and had burning sensations in their noses, throats, and eyes, and various breathing difficulties thereafter. </w:t>
      </w:r>
      <w:hyperlink r:id="rId426" w:history="1">
        <w:r w:rsidRPr="00E63984">
          <w:rPr>
            <w:rStyle w:val="Hyperlink"/>
            <w:rFonts w:ascii="Times New Roman" w:hAnsi="Times New Roman"/>
            <w:sz w:val="24"/>
            <w:szCs w:val="24"/>
          </w:rPr>
          <w:t>https://cases.justia.com/arkansas/court-of-appeals/2025-cv-22-305.pdf?ts=1746026138</w:t>
        </w:r>
      </w:hyperlink>
    </w:p>
    <w:p w14:paraId="63EE9060" w14:textId="77777777" w:rsidR="006E3103" w:rsidRPr="006E3103" w:rsidRDefault="006E3103" w:rsidP="006E3103">
      <w:pPr>
        <w:pStyle w:val="NoSpacing"/>
        <w:rPr>
          <w:rFonts w:ascii="Times New Roman" w:hAnsi="Times New Roman"/>
          <w:b/>
          <w:sz w:val="24"/>
          <w:szCs w:val="24"/>
        </w:rPr>
      </w:pPr>
      <w:r w:rsidRPr="006E3103">
        <w:rPr>
          <w:rFonts w:ascii="Times New Roman" w:hAnsi="Times New Roman"/>
          <w:b/>
          <w:sz w:val="24"/>
          <w:szCs w:val="24"/>
        </w:rPr>
        <w:t xml:space="preserve">Legal Lesson Learned:  The jury with $75 million judgment “sent a message” to Old Dominion Company and their truck driver that they must disclose hazardous materials to responders. </w:t>
      </w:r>
    </w:p>
    <w:p w14:paraId="0E656C0B" w14:textId="77777777" w:rsidR="006E3103" w:rsidRPr="00E63984" w:rsidRDefault="006E3103" w:rsidP="00E63984">
      <w:pPr>
        <w:rPr>
          <w:rFonts w:ascii="Times New Roman" w:hAnsi="Times New Roman"/>
          <w:sz w:val="24"/>
          <w:szCs w:val="24"/>
        </w:rPr>
      </w:pPr>
    </w:p>
    <w:p w14:paraId="5E1E9997" w14:textId="77777777" w:rsidR="00883B5F" w:rsidRDefault="00883B5F" w:rsidP="005D5A0C">
      <w:pPr>
        <w:rPr>
          <w:rFonts w:ascii="Arial Black" w:hAnsi="Arial Black"/>
          <w:sz w:val="24"/>
          <w:szCs w:val="24"/>
        </w:rPr>
      </w:pPr>
    </w:p>
    <w:p w14:paraId="1C41F4F1" w14:textId="3D6EC8EA" w:rsidR="00A56D83" w:rsidRDefault="00A56D83" w:rsidP="005D5A0C">
      <w:pPr>
        <w:rPr>
          <w:rFonts w:ascii="Arial Black" w:hAnsi="Arial Black"/>
          <w:sz w:val="24"/>
          <w:szCs w:val="24"/>
        </w:rPr>
      </w:pPr>
      <w:r>
        <w:rPr>
          <w:rFonts w:ascii="Arial Black" w:hAnsi="Arial Black"/>
          <w:sz w:val="24"/>
          <w:szCs w:val="24"/>
        </w:rPr>
        <w:t>2-86</w:t>
      </w:r>
    </w:p>
    <w:p w14:paraId="069AC4B2" w14:textId="77777777" w:rsidR="00186708" w:rsidRPr="00C31E7C" w:rsidRDefault="00186708" w:rsidP="00186708">
      <w:pPr>
        <w:rPr>
          <w:rFonts w:ascii="Arial Black" w:hAnsi="Arial Black"/>
          <w:bCs/>
          <w:sz w:val="28"/>
          <w:szCs w:val="28"/>
        </w:rPr>
      </w:pPr>
      <w:r>
        <w:rPr>
          <w:rFonts w:ascii="Arial Black" w:hAnsi="Arial Black"/>
          <w:sz w:val="28"/>
          <w:szCs w:val="28"/>
        </w:rPr>
        <w:t>NY:  HEAD</w:t>
      </w:r>
      <w:r>
        <w:rPr>
          <w:rFonts w:ascii="Arial Black" w:hAnsi="Arial Black"/>
          <w:bCs/>
          <w:sz w:val="28"/>
          <w:szCs w:val="28"/>
        </w:rPr>
        <w:t xml:space="preserve"> INJURY</w:t>
      </w:r>
      <w:r>
        <w:rPr>
          <w:rFonts w:ascii="Arial Black" w:hAnsi="Arial Black"/>
          <w:sz w:val="28"/>
          <w:szCs w:val="28"/>
        </w:rPr>
        <w:t xml:space="preserve"> – ENGINE HIT BUMP – ROAD REPAIR CO.</w:t>
      </w:r>
    </w:p>
    <w:p w14:paraId="7A789EB4" w14:textId="77777777" w:rsidR="00186708" w:rsidRPr="00186708" w:rsidRDefault="00186708" w:rsidP="00186708">
      <w:pPr>
        <w:rPr>
          <w:rFonts w:ascii="Times New Roman" w:hAnsi="Times New Roman"/>
          <w:b/>
          <w:sz w:val="24"/>
          <w:szCs w:val="24"/>
        </w:rPr>
      </w:pPr>
      <w:r w:rsidRPr="00186708">
        <w:rPr>
          <w:rFonts w:ascii="Times New Roman" w:hAnsi="Times New Roman"/>
          <w:sz w:val="24"/>
          <w:szCs w:val="24"/>
        </w:rPr>
        <w:t xml:space="preserve">On April 23, 2025, in </w:t>
      </w:r>
      <w:r w:rsidRPr="00186708">
        <w:rPr>
          <w:rFonts w:ascii="Times New Roman" w:hAnsi="Times New Roman"/>
          <w:sz w:val="24"/>
          <w:szCs w:val="24"/>
          <w:u w:val="single"/>
        </w:rPr>
        <w:t>Vincent Inglese, et al. v. City of New York and Vall Industries, Inc</w:t>
      </w:r>
      <w:r w:rsidRPr="00186708">
        <w:rPr>
          <w:rFonts w:ascii="Times New Roman" w:hAnsi="Times New Roman"/>
          <w:sz w:val="24"/>
          <w:szCs w:val="24"/>
        </w:rPr>
        <w:t xml:space="preserve">., the Supreme Court of New York, Second Department held (4 to 0) that trial court properly held that the injured FF may sue Vall Industries for personal injury suffered when his head hit the ceiling as the fire truck went over the raised section of road that Vall Industries was hired to repair.  The “Fireman’s Rule” was </w:t>
      </w:r>
      <w:r w:rsidRPr="00186708">
        <w:rPr>
          <w:rFonts w:ascii="Times New Roman" w:hAnsi="Times New Roman"/>
          <w:bCs/>
          <w:sz w:val="24"/>
          <w:szCs w:val="24"/>
        </w:rPr>
        <w:t xml:space="preserve">modified </w:t>
      </w:r>
      <w:r w:rsidRPr="00186708">
        <w:rPr>
          <w:rFonts w:ascii="Times New Roman" w:hAnsi="Times New Roman"/>
          <w:sz w:val="24"/>
          <w:szCs w:val="24"/>
        </w:rPr>
        <w:t xml:space="preserve">in New York.  </w:t>
      </w:r>
      <w:hyperlink r:id="rId427" w:history="1">
        <w:r w:rsidRPr="00186708">
          <w:rPr>
            <w:rStyle w:val="Hyperlink"/>
            <w:rFonts w:ascii="Times New Roman" w:hAnsi="Times New Roman"/>
            <w:sz w:val="24"/>
            <w:szCs w:val="24"/>
          </w:rPr>
          <w:t>https://law.justia.com/cases/new-york/appellate-division-second-department/2025/2023-00001.html</w:t>
        </w:r>
      </w:hyperlink>
      <w:r w:rsidRPr="00186708">
        <w:rPr>
          <w:rFonts w:ascii="Times New Roman" w:hAnsi="Times New Roman"/>
          <w:sz w:val="24"/>
          <w:szCs w:val="24"/>
        </w:rPr>
        <w:t xml:space="preserve"> </w:t>
      </w:r>
    </w:p>
    <w:p w14:paraId="1C32B199" w14:textId="77777777" w:rsidR="00883B5F" w:rsidRPr="00883B5F" w:rsidRDefault="00883B5F" w:rsidP="00883B5F">
      <w:pPr>
        <w:rPr>
          <w:b/>
          <w:bCs/>
          <w:sz w:val="24"/>
          <w:szCs w:val="24"/>
        </w:rPr>
      </w:pPr>
      <w:r w:rsidRPr="00883B5F">
        <w:rPr>
          <w:b/>
          <w:sz w:val="24"/>
          <w:szCs w:val="24"/>
        </w:rPr>
        <w:t xml:space="preserve">Legal Lesson Learned: A road repair company can be sued by the firefighter for negligence. </w:t>
      </w:r>
    </w:p>
    <w:p w14:paraId="2993CA02" w14:textId="77777777" w:rsidR="00A56D83" w:rsidRDefault="00A56D83" w:rsidP="005D5A0C">
      <w:pPr>
        <w:rPr>
          <w:rFonts w:ascii="Arial Black" w:hAnsi="Arial Black"/>
          <w:sz w:val="24"/>
          <w:szCs w:val="24"/>
        </w:rPr>
      </w:pPr>
    </w:p>
    <w:p w14:paraId="7556E1F0" w14:textId="295E8151" w:rsidR="008B2721" w:rsidRDefault="00742E47" w:rsidP="005D5A0C">
      <w:pPr>
        <w:rPr>
          <w:rFonts w:ascii="Arial Black" w:hAnsi="Arial Black"/>
          <w:sz w:val="24"/>
          <w:szCs w:val="24"/>
        </w:rPr>
      </w:pPr>
      <w:r>
        <w:rPr>
          <w:rFonts w:ascii="Arial Black" w:hAnsi="Arial Black"/>
          <w:sz w:val="24"/>
          <w:szCs w:val="24"/>
        </w:rPr>
        <w:t>2-85</w:t>
      </w:r>
    </w:p>
    <w:p w14:paraId="59DF50D8" w14:textId="77777777" w:rsidR="0022097E" w:rsidRPr="001A6210" w:rsidRDefault="0022097E" w:rsidP="0022097E">
      <w:pPr>
        <w:pStyle w:val="NoSpacing"/>
        <w:rPr>
          <w:rFonts w:ascii="Arial Black" w:hAnsi="Arial Black"/>
          <w:sz w:val="28"/>
          <w:szCs w:val="28"/>
        </w:rPr>
      </w:pPr>
      <w:r>
        <w:rPr>
          <w:rFonts w:ascii="Arial Black" w:hAnsi="Arial Black"/>
          <w:sz w:val="28"/>
          <w:szCs w:val="28"/>
        </w:rPr>
        <w:t>OH: DRIVER STRUCK / KILLED FF –16-YRS-LIFE – RE-SENT.</w:t>
      </w:r>
    </w:p>
    <w:p w14:paraId="672D5737" w14:textId="77777777" w:rsidR="0022097E" w:rsidRDefault="0022097E" w:rsidP="0022097E">
      <w:pPr>
        <w:pStyle w:val="NoSpacing"/>
      </w:pPr>
    </w:p>
    <w:p w14:paraId="5177D6A2" w14:textId="77777777" w:rsidR="0022097E" w:rsidRPr="0022097E" w:rsidRDefault="0022097E" w:rsidP="0022097E">
      <w:pPr>
        <w:pStyle w:val="NoSpacing"/>
        <w:rPr>
          <w:rFonts w:ascii="Times New Roman" w:hAnsi="Times New Roman"/>
          <w:sz w:val="24"/>
          <w:szCs w:val="24"/>
        </w:rPr>
      </w:pPr>
      <w:r w:rsidRPr="0022097E">
        <w:rPr>
          <w:rFonts w:ascii="Times New Roman" w:hAnsi="Times New Roman"/>
          <w:sz w:val="24"/>
          <w:szCs w:val="24"/>
        </w:rPr>
        <w:t xml:space="preserve">On April 14, 2025, in </w:t>
      </w:r>
      <w:r w:rsidRPr="0022097E">
        <w:rPr>
          <w:rFonts w:ascii="Times New Roman" w:hAnsi="Times New Roman"/>
          <w:sz w:val="24"/>
          <w:szCs w:val="24"/>
          <w:u w:val="single"/>
        </w:rPr>
        <w:t>State of Ohio v. Leander Bissell</w:t>
      </w:r>
      <w:r w:rsidRPr="0022097E">
        <w:rPr>
          <w:rFonts w:ascii="Times New Roman" w:hAnsi="Times New Roman"/>
          <w:sz w:val="24"/>
          <w:szCs w:val="24"/>
        </w:rPr>
        <w:t xml:space="preserve">, the Ohio Supreme Court declined to hear the State’s appeal [requires at least 4 of 7 Justices] after Court of Appeals set aside his felony murder conviction for lesser charge of involuntary manslaughter.  Bissell will be resentenced; he  is currently serving 16 years to life. Bissell on Nov. 19, </w:t>
      </w:r>
      <w:proofErr w:type="gramStart"/>
      <w:r w:rsidRPr="0022097E">
        <w:rPr>
          <w:rFonts w:ascii="Times New Roman" w:hAnsi="Times New Roman"/>
          <w:sz w:val="24"/>
          <w:szCs w:val="24"/>
        </w:rPr>
        <w:t>2022</w:t>
      </w:r>
      <w:proofErr w:type="gramEnd"/>
      <w:r w:rsidRPr="0022097E">
        <w:rPr>
          <w:rFonts w:ascii="Times New Roman" w:hAnsi="Times New Roman"/>
          <w:sz w:val="24"/>
          <w:szCs w:val="24"/>
        </w:rPr>
        <w:t xml:space="preserve"> at accident scene on I-90, in Cleveland drove through at a speed between 45 and 60 m.p.h., hitting and killing firefighter [Johnny] Tetrick. The impact knocked firefighter Tetrick across three lanes of traffic into the berm on the right side of the highway. Bissell did not stop and fled the scene.  On Nov 7, 2024,  the Eighth District Court of Appeals [2 to 1] vacated Bissell’s felony-murder conviction, modified the verdict to a finding of guilt on the lesser included offense of involuntary manslaughter under R.C. 2903.04(A), and remanded the matter to the trial court for resentencing. </w:t>
      </w:r>
      <w:hyperlink r:id="rId428" w:history="1">
        <w:r w:rsidRPr="0022097E">
          <w:rPr>
            <w:rStyle w:val="Hyperlink"/>
            <w:rFonts w:ascii="Times New Roman" w:hAnsi="Times New Roman"/>
            <w:sz w:val="24"/>
            <w:szCs w:val="24"/>
          </w:rPr>
          <w:t>https://www.supremecourt.ohio.gov/rod/docs/pdf/8/2024/2024-Ohio-5317.pdf</w:t>
        </w:r>
      </w:hyperlink>
      <w:r w:rsidRPr="0022097E">
        <w:rPr>
          <w:rFonts w:ascii="Times New Roman" w:hAnsi="Times New Roman"/>
          <w:sz w:val="24"/>
          <w:szCs w:val="24"/>
        </w:rPr>
        <w:t xml:space="preserve"> . </w:t>
      </w:r>
    </w:p>
    <w:p w14:paraId="7D71F624" w14:textId="77777777" w:rsidR="0022097E" w:rsidRDefault="0022097E" w:rsidP="0022097E">
      <w:pPr>
        <w:pStyle w:val="NoSpacing"/>
      </w:pPr>
      <w:r w:rsidRPr="0022097E">
        <w:rPr>
          <w:rFonts w:ascii="Times New Roman" w:hAnsi="Times New Roman"/>
          <w:sz w:val="24"/>
          <w:szCs w:val="24"/>
        </w:rPr>
        <w:t xml:space="preserve">On April 14, 2025, only three Ohio Supreme Court Justices agreed to hear the State’s appeal;  Justice Jennifer Brunner wrote a dissenting opinion.  </w:t>
      </w:r>
      <w:hyperlink r:id="rId429" w:history="1">
        <w:r w:rsidRPr="0022097E">
          <w:rPr>
            <w:rStyle w:val="Hyperlink"/>
            <w:rFonts w:ascii="Times New Roman" w:hAnsi="Times New Roman"/>
            <w:sz w:val="24"/>
            <w:szCs w:val="24"/>
          </w:rPr>
          <w:t>https://www.supremecourt.ohio.gov/rod/docs/pdf/0/2025/2025-Ohio-1296.pdf</w:t>
        </w:r>
      </w:hyperlink>
      <w:r>
        <w:t xml:space="preserve"> </w:t>
      </w:r>
    </w:p>
    <w:p w14:paraId="375AF909" w14:textId="77777777" w:rsidR="00A56D83" w:rsidRDefault="00A56D83" w:rsidP="0022097E">
      <w:pPr>
        <w:pStyle w:val="NoSpacing"/>
      </w:pPr>
    </w:p>
    <w:p w14:paraId="19D73359" w14:textId="77777777" w:rsidR="00A56D83" w:rsidRPr="00A56D83" w:rsidRDefault="00A56D83" w:rsidP="00A56D83">
      <w:pPr>
        <w:pStyle w:val="NoSpacing"/>
        <w:rPr>
          <w:rFonts w:ascii="Times New Roman" w:hAnsi="Times New Roman"/>
          <w:b/>
          <w:bCs/>
          <w:sz w:val="24"/>
          <w:szCs w:val="24"/>
        </w:rPr>
      </w:pPr>
      <w:r w:rsidRPr="00A56D83">
        <w:rPr>
          <w:rFonts w:ascii="Times New Roman" w:hAnsi="Times New Roman"/>
          <w:b/>
          <w:sz w:val="24"/>
          <w:szCs w:val="24"/>
        </w:rPr>
        <w:t xml:space="preserve">Legal Lesson Learned:  Hopefully the defendant gets a substantial new sentence. </w:t>
      </w:r>
    </w:p>
    <w:p w14:paraId="6FD9A5C9" w14:textId="77777777" w:rsidR="00A56D83" w:rsidRDefault="00A56D83" w:rsidP="00A56D83">
      <w:pPr>
        <w:pStyle w:val="NoSpacing"/>
        <w:rPr>
          <w:sz w:val="20"/>
          <w:szCs w:val="20"/>
        </w:rPr>
      </w:pPr>
    </w:p>
    <w:p w14:paraId="73082097" w14:textId="77777777" w:rsidR="00A56D83" w:rsidRDefault="00A56D83" w:rsidP="0022097E">
      <w:pPr>
        <w:pStyle w:val="NoSpacing"/>
      </w:pPr>
    </w:p>
    <w:p w14:paraId="17FCB57F" w14:textId="77777777" w:rsidR="0022097E" w:rsidRDefault="0022097E" w:rsidP="0022097E">
      <w:pPr>
        <w:pStyle w:val="NoSpacing"/>
      </w:pPr>
    </w:p>
    <w:p w14:paraId="1324022F" w14:textId="77777777" w:rsidR="00742E47" w:rsidRDefault="00742E47" w:rsidP="005D5A0C">
      <w:pPr>
        <w:rPr>
          <w:rFonts w:ascii="Arial Black" w:hAnsi="Arial Black"/>
          <w:sz w:val="24"/>
          <w:szCs w:val="24"/>
        </w:rPr>
      </w:pPr>
    </w:p>
    <w:p w14:paraId="13628548" w14:textId="06140CC0" w:rsidR="008B2721" w:rsidRDefault="008B2721" w:rsidP="005D5A0C">
      <w:pPr>
        <w:rPr>
          <w:rFonts w:ascii="Arial Black" w:hAnsi="Arial Black"/>
          <w:sz w:val="24"/>
          <w:szCs w:val="24"/>
        </w:rPr>
      </w:pPr>
      <w:r>
        <w:rPr>
          <w:rFonts w:ascii="Arial Black" w:hAnsi="Arial Black"/>
          <w:sz w:val="24"/>
          <w:szCs w:val="24"/>
        </w:rPr>
        <w:t>2-84</w:t>
      </w:r>
    </w:p>
    <w:p w14:paraId="114383A1" w14:textId="77777777" w:rsidR="0057078B" w:rsidRDefault="0057078B" w:rsidP="0057078B">
      <w:pPr>
        <w:pStyle w:val="NoSpacing"/>
        <w:rPr>
          <w:rFonts w:ascii="Arial Black" w:hAnsi="Arial Black"/>
          <w:bCs/>
          <w:sz w:val="28"/>
          <w:szCs w:val="28"/>
        </w:rPr>
      </w:pPr>
      <w:r>
        <w:rPr>
          <w:rFonts w:ascii="Arial Black" w:hAnsi="Arial Black"/>
          <w:sz w:val="28"/>
          <w:szCs w:val="28"/>
        </w:rPr>
        <w:t>KY: CSX DERAIL – FF MAY SUE – FIREMAN’S RULE NOT BAR</w:t>
      </w:r>
    </w:p>
    <w:p w14:paraId="661D7501" w14:textId="77777777" w:rsidR="0057078B" w:rsidRPr="0029038E" w:rsidRDefault="0057078B" w:rsidP="0057078B">
      <w:pPr>
        <w:pStyle w:val="NoSpacing"/>
        <w:rPr>
          <w:rFonts w:ascii="Times New Roman" w:hAnsi="Times New Roman"/>
          <w:bCs/>
          <w:sz w:val="24"/>
          <w:szCs w:val="24"/>
        </w:rPr>
      </w:pPr>
    </w:p>
    <w:p w14:paraId="131E8613" w14:textId="77777777" w:rsidR="0057078B" w:rsidRPr="0029038E" w:rsidRDefault="0057078B" w:rsidP="0057078B">
      <w:pPr>
        <w:pStyle w:val="NoSpacing"/>
        <w:rPr>
          <w:rFonts w:ascii="Times New Roman" w:hAnsi="Times New Roman"/>
          <w:bCs/>
          <w:sz w:val="24"/>
          <w:szCs w:val="24"/>
        </w:rPr>
      </w:pPr>
      <w:r w:rsidRPr="0029038E">
        <w:rPr>
          <w:rFonts w:ascii="Times New Roman" w:hAnsi="Times New Roman"/>
          <w:sz w:val="24"/>
          <w:szCs w:val="24"/>
        </w:rPr>
        <w:t xml:space="preserve">On March 28, 2025, in </w:t>
      </w:r>
      <w:r w:rsidRPr="0029038E">
        <w:rPr>
          <w:rFonts w:ascii="Times New Roman" w:hAnsi="Times New Roman"/>
          <w:sz w:val="24"/>
          <w:szCs w:val="24"/>
          <w:u w:val="single"/>
        </w:rPr>
        <w:t>Lauren Webb, et al. v. CSX Transportation, Inc.,</w:t>
      </w:r>
      <w:r w:rsidRPr="0029038E">
        <w:rPr>
          <w:rFonts w:ascii="Times New Roman" w:hAnsi="Times New Roman"/>
          <w:sz w:val="24"/>
          <w:szCs w:val="24"/>
        </w:rPr>
        <w:t xml:space="preserve"> U.S. District Court Judge Robert E. Wier, United States District Court, E.D. Kentucky, Southern Division, London, held that lawsuit by three residents near the Nov. 22, 2023 derailment [hot bearing detectors didn’t alert train engineer] may proceed with pre-trial discovery, including Lauren Webb, “a local firefighter who assisted in the evacuation and spent ‘many hours’ at the crash site. She alleges her exposure to SO2 caused ‘sore throat, trouble breathing, headaches and a respiratory infection[,]’ as well as ‘ongoing pulmonary irritation and fear for the long-term consequences to her health’ given her status as an ‘immunocompromised individual.’” The Court rejected CSX argument that the KY Fireman’s Rule prohibits firefighter Webb from filing her claim for damages. </w:t>
      </w:r>
      <w:hyperlink r:id="rId430" w:history="1">
        <w:r w:rsidRPr="0029038E">
          <w:rPr>
            <w:rStyle w:val="Hyperlink"/>
            <w:rFonts w:ascii="Times New Roman" w:hAnsi="Times New Roman"/>
            <w:sz w:val="24"/>
            <w:szCs w:val="24"/>
          </w:rPr>
          <w:t>https://public.fastcase.com/jaEE2PXzRXmZ99jOLMt1IgoAeG7S%2FykfBuI6YcrwSiPTGWPBCOsZ9U9hhbKPvFCclEcN8%2BwauJ9ACloifFNsJP5SY607BhdVsV5o4yY4x1s%3D?utm_medium=email&amp;_hsenc=p2ANqtz-_cDTCyDUjf-GWGQHLWs90oLVQoI7WEBtlECxGBA_PvhPlM3MPPBeVtmuAidKContkLHE5q5E9gdRGYeBGS5gCqwJlBfg&amp;_hsmi=226712652&amp;utm_content=226712652&amp;utm_source=hs_email</w:t>
        </w:r>
      </w:hyperlink>
      <w:r w:rsidRPr="0029038E">
        <w:rPr>
          <w:rFonts w:ascii="Times New Roman" w:hAnsi="Times New Roman"/>
          <w:sz w:val="24"/>
          <w:szCs w:val="24"/>
        </w:rPr>
        <w:t xml:space="preserve">  </w:t>
      </w:r>
    </w:p>
    <w:p w14:paraId="150A5129" w14:textId="77777777" w:rsidR="0057078B" w:rsidRPr="0029038E" w:rsidRDefault="0057078B" w:rsidP="0057078B">
      <w:pPr>
        <w:pStyle w:val="NoSpacing"/>
        <w:rPr>
          <w:rFonts w:ascii="Times New Roman" w:hAnsi="Times New Roman"/>
          <w:bCs/>
          <w:sz w:val="24"/>
          <w:szCs w:val="24"/>
        </w:rPr>
      </w:pPr>
    </w:p>
    <w:p w14:paraId="0D215252" w14:textId="77777777" w:rsidR="0029038E" w:rsidRPr="0029038E" w:rsidRDefault="0029038E" w:rsidP="0029038E">
      <w:pPr>
        <w:pStyle w:val="NoSpacing"/>
        <w:rPr>
          <w:rFonts w:ascii="Times New Roman" w:hAnsi="Times New Roman"/>
          <w:b/>
          <w:sz w:val="24"/>
          <w:szCs w:val="24"/>
        </w:rPr>
      </w:pPr>
      <w:r w:rsidRPr="0029038E">
        <w:rPr>
          <w:rFonts w:ascii="Times New Roman" w:hAnsi="Times New Roman"/>
          <w:b/>
          <w:sz w:val="24"/>
          <w:szCs w:val="24"/>
        </w:rPr>
        <w:t xml:space="preserve">Legal Lesson Learned: The firefighter and her two neighbors may now proceed with pre-trial discovery.  </w:t>
      </w:r>
    </w:p>
    <w:p w14:paraId="525FC8EA" w14:textId="77777777" w:rsidR="0029038E" w:rsidRPr="0029038E" w:rsidRDefault="0029038E" w:rsidP="0029038E">
      <w:pPr>
        <w:pStyle w:val="NoSpacing"/>
        <w:rPr>
          <w:rFonts w:ascii="Times New Roman" w:hAnsi="Times New Roman"/>
          <w:b/>
          <w:sz w:val="24"/>
          <w:szCs w:val="24"/>
        </w:rPr>
      </w:pPr>
    </w:p>
    <w:p w14:paraId="3FAB8A88"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 xml:space="preserve">Note:  See April 25, </w:t>
      </w:r>
      <w:proofErr w:type="gramStart"/>
      <w:r w:rsidRPr="0029038E">
        <w:rPr>
          <w:rFonts w:ascii="Times New Roman" w:hAnsi="Times New Roman"/>
          <w:sz w:val="24"/>
          <w:szCs w:val="24"/>
        </w:rPr>
        <w:t>2024</w:t>
      </w:r>
      <w:proofErr w:type="gramEnd"/>
      <w:r w:rsidRPr="0029038E">
        <w:rPr>
          <w:rFonts w:ascii="Times New Roman" w:hAnsi="Times New Roman"/>
          <w:sz w:val="24"/>
          <w:szCs w:val="24"/>
        </w:rPr>
        <w:t xml:space="preserve"> lawsuit involving massive train derailment and failure of hot bearing detectors;  February 3, 2023, a 149-car Norfolk Southern train derailed in East Palestine, Ohio.  </w:t>
      </w:r>
      <w:hyperlink r:id="rId431" w:history="1">
        <w:r w:rsidRPr="0029038E">
          <w:rPr>
            <w:rStyle w:val="Hyperlink"/>
            <w:rFonts w:ascii="Times New Roman" w:hAnsi="Times New Roman"/>
            <w:sz w:val="24"/>
            <w:szCs w:val="24"/>
          </w:rPr>
          <w:t>https://www.ktmc.com/featured-case/norfolk-southern-corporation</w:t>
        </w:r>
      </w:hyperlink>
      <w:r w:rsidRPr="0029038E">
        <w:rPr>
          <w:rFonts w:ascii="Times New Roman" w:hAnsi="Times New Roman"/>
          <w:sz w:val="24"/>
          <w:szCs w:val="24"/>
        </w:rPr>
        <w:t xml:space="preserve"> </w:t>
      </w:r>
    </w:p>
    <w:p w14:paraId="32EE4EDC" w14:textId="77777777" w:rsidR="0029038E" w:rsidRPr="0029038E" w:rsidRDefault="0029038E" w:rsidP="0029038E">
      <w:pPr>
        <w:pStyle w:val="NoSpacing"/>
        <w:ind w:left="720"/>
        <w:rPr>
          <w:rFonts w:ascii="Times New Roman" w:hAnsi="Times New Roman"/>
          <w:sz w:val="24"/>
          <w:szCs w:val="24"/>
        </w:rPr>
      </w:pPr>
    </w:p>
    <w:p w14:paraId="7B542463"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“As Train 32N neared East Palestine, it passed an HBD registering a journal bearing on the 23rd car that was running 38°F above ambient temperature. Just ten miles later, the next HBD indicated that same bearing was running 65ºF hotter at 103°F above ambient</w:t>
      </w:r>
    </w:p>
    <w:p w14:paraId="6604DB54"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temperature – an increase of nearly 200%. The train’s crew was unaware of the 65°F temperature increase and was not told to stop. In fact, the single Norfolk Southern employee operating Norfolk Southern’s Wayside Detector Help Desk, which monitors HBD alerts for the Company’s entire rail system from a desk in Atlanta, was attending to three other alerts at the time and missed the alert on Train 32N. Twenty miles later, the train passed a third and final HBD, which recorded that the same journal bearing had</w:t>
      </w:r>
    </w:p>
    <w:p w14:paraId="635F1EF9"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reached a temperature of 253°F above ambient. Only at this point did the train crew</w:t>
      </w:r>
    </w:p>
    <w:p w14:paraId="53342127"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receive an alarm to slow the train to inspect the hot axle, but seconds later, the</w:t>
      </w:r>
    </w:p>
    <w:p w14:paraId="11E8C830"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automatic emergency brake initiated. When the train stopped, 38 cars had derailed,</w:t>
      </w:r>
    </w:p>
    <w:p w14:paraId="2A5485F2" w14:textId="77777777" w:rsidR="0029038E" w:rsidRPr="0029038E" w:rsidRDefault="0029038E" w:rsidP="0029038E">
      <w:pPr>
        <w:pStyle w:val="NoSpacing"/>
        <w:ind w:left="720"/>
        <w:rPr>
          <w:rFonts w:ascii="Times New Roman" w:hAnsi="Times New Roman"/>
          <w:sz w:val="24"/>
          <w:szCs w:val="24"/>
        </w:rPr>
      </w:pPr>
      <w:r w:rsidRPr="0029038E">
        <w:rPr>
          <w:rFonts w:ascii="Times New Roman" w:hAnsi="Times New Roman"/>
          <w:sz w:val="24"/>
          <w:szCs w:val="24"/>
        </w:rPr>
        <w:t>and the train, including cars containing vinyl chloride, was on fire.”</w:t>
      </w:r>
    </w:p>
    <w:p w14:paraId="27F800C5" w14:textId="77777777" w:rsidR="008B2721" w:rsidRDefault="008B2721" w:rsidP="005D5A0C">
      <w:pPr>
        <w:rPr>
          <w:rFonts w:ascii="Arial Black" w:hAnsi="Arial Black"/>
          <w:sz w:val="24"/>
          <w:szCs w:val="24"/>
        </w:rPr>
      </w:pPr>
    </w:p>
    <w:p w14:paraId="3A8CEA66" w14:textId="77777777" w:rsidR="008B2721" w:rsidRDefault="008B2721" w:rsidP="005D5A0C">
      <w:pPr>
        <w:rPr>
          <w:rFonts w:ascii="Arial Black" w:hAnsi="Arial Black"/>
          <w:sz w:val="24"/>
          <w:szCs w:val="24"/>
        </w:rPr>
      </w:pPr>
    </w:p>
    <w:p w14:paraId="652B0EC4" w14:textId="0E4FB8B1" w:rsidR="008B2721" w:rsidRDefault="008B2721" w:rsidP="005D5A0C">
      <w:pPr>
        <w:rPr>
          <w:rFonts w:ascii="Arial Black" w:hAnsi="Arial Black"/>
          <w:sz w:val="24"/>
          <w:szCs w:val="24"/>
        </w:rPr>
      </w:pPr>
      <w:r>
        <w:rPr>
          <w:rFonts w:ascii="Arial Black" w:hAnsi="Arial Black"/>
          <w:sz w:val="24"/>
          <w:szCs w:val="24"/>
        </w:rPr>
        <w:t>2-83</w:t>
      </w:r>
    </w:p>
    <w:p w14:paraId="1E21E502" w14:textId="77777777" w:rsidR="008B2721" w:rsidRPr="00CB1316" w:rsidRDefault="008B2721" w:rsidP="008B2721">
      <w:pPr>
        <w:pStyle w:val="NoSpacing"/>
        <w:rPr>
          <w:rFonts w:ascii="Arial Black" w:hAnsi="Arial Black"/>
          <w:bCs/>
          <w:sz w:val="28"/>
          <w:szCs w:val="28"/>
        </w:rPr>
      </w:pPr>
      <w:r>
        <w:rPr>
          <w:rFonts w:ascii="Arial Black" w:hAnsi="Arial Black"/>
          <w:sz w:val="28"/>
          <w:szCs w:val="28"/>
        </w:rPr>
        <w:t>VA: RECRUIT DIED – ANONYMOUS LETTER – HOSTILE WORK</w:t>
      </w:r>
    </w:p>
    <w:p w14:paraId="155B42BD" w14:textId="77777777" w:rsidR="008B2721" w:rsidRDefault="008B2721" w:rsidP="008B2721">
      <w:pPr>
        <w:pStyle w:val="NoSpacing"/>
        <w:rPr>
          <w:bCs/>
        </w:rPr>
      </w:pPr>
    </w:p>
    <w:p w14:paraId="691C0B4C" w14:textId="77777777" w:rsidR="008B2721" w:rsidRPr="008B2721" w:rsidRDefault="008B2721" w:rsidP="008B2721">
      <w:pPr>
        <w:pStyle w:val="NoSpacing"/>
        <w:rPr>
          <w:rFonts w:ascii="Times New Roman" w:hAnsi="Times New Roman"/>
          <w:bCs/>
          <w:sz w:val="24"/>
          <w:szCs w:val="24"/>
        </w:rPr>
      </w:pPr>
      <w:r w:rsidRPr="008B2721">
        <w:rPr>
          <w:rFonts w:ascii="Times New Roman" w:hAnsi="Times New Roman"/>
          <w:sz w:val="24"/>
          <w:szCs w:val="24"/>
        </w:rPr>
        <w:t xml:space="preserve">On March 25, 2025, in </w:t>
      </w:r>
      <w:r w:rsidRPr="008B2721">
        <w:rPr>
          <w:rFonts w:ascii="Times New Roman" w:hAnsi="Times New Roman"/>
          <w:sz w:val="24"/>
          <w:szCs w:val="24"/>
          <w:u w:val="single"/>
        </w:rPr>
        <w:t>Casey Blake v. Frederick County Fire and Rescue Dept. et al</w:t>
      </w:r>
      <w:r w:rsidRPr="008B2721">
        <w:rPr>
          <w:rFonts w:ascii="Times New Roman" w:hAnsi="Times New Roman"/>
          <w:sz w:val="24"/>
          <w:szCs w:val="24"/>
        </w:rPr>
        <w:t xml:space="preserve">,  U.S. District Court Judge Jasmine H. Yoon, U.S. District Court for the Western District of Virginia, Harrisonburg Division, held that the lawsuit filed by Casey Blake, administrative assistant to the former Fire Chief, who wrote an anonymous letter, may proceed with her hostile workplace lawsuit against the current Fire Chief, and the County Administrator.  Ms. Blake alleges retaliation when the Chief learned she had written an anonymous letter to the family of a recruit, Ian Strickler, who died on July 5, </w:t>
      </w:r>
      <w:proofErr w:type="gramStart"/>
      <w:r w:rsidRPr="008B2721">
        <w:rPr>
          <w:rFonts w:ascii="Times New Roman" w:hAnsi="Times New Roman"/>
          <w:sz w:val="24"/>
          <w:szCs w:val="24"/>
        </w:rPr>
        <w:t>2023</w:t>
      </w:r>
      <w:proofErr w:type="gramEnd"/>
      <w:r w:rsidRPr="008B2721">
        <w:rPr>
          <w:rFonts w:ascii="Times New Roman" w:hAnsi="Times New Roman"/>
          <w:sz w:val="24"/>
          <w:szCs w:val="24"/>
        </w:rPr>
        <w:t xml:space="preserve"> during physical training.  She encouraged them to hire an attorney and investigate the recruit training officer. “Strickler’s heart rate measured at over 200 beats-per-minute before he collapsed, and his body temperature was recorded at 104 degrees Fahrenheit.”  Ms. Blake’s own son, Nick Blake, had to drop out of recruit school on March 3, </w:t>
      </w:r>
      <w:proofErr w:type="gramStart"/>
      <w:r w:rsidRPr="008B2721">
        <w:rPr>
          <w:rFonts w:ascii="Times New Roman" w:hAnsi="Times New Roman"/>
          <w:sz w:val="24"/>
          <w:szCs w:val="24"/>
        </w:rPr>
        <w:t>2022</w:t>
      </w:r>
      <w:proofErr w:type="gramEnd"/>
      <w:r w:rsidRPr="008B2721">
        <w:rPr>
          <w:rFonts w:ascii="Times New Roman" w:hAnsi="Times New Roman"/>
          <w:sz w:val="24"/>
          <w:szCs w:val="24"/>
        </w:rPr>
        <w:t xml:space="preserve"> when he had medical emergency during recruit class run with same training officer in charge of Ian Strickler class. </w:t>
      </w:r>
    </w:p>
    <w:p w14:paraId="73EA5D1D" w14:textId="77777777" w:rsidR="008B2721" w:rsidRPr="008B2721" w:rsidRDefault="008B2721" w:rsidP="008B2721">
      <w:pPr>
        <w:pStyle w:val="NoSpacing"/>
        <w:rPr>
          <w:rFonts w:ascii="Times New Roman" w:hAnsi="Times New Roman"/>
          <w:bCs/>
          <w:sz w:val="24"/>
          <w:szCs w:val="24"/>
        </w:rPr>
      </w:pPr>
    </w:p>
    <w:p w14:paraId="01032111" w14:textId="77777777" w:rsidR="008B2721" w:rsidRPr="008B2721" w:rsidRDefault="008B2721" w:rsidP="008B2721">
      <w:pPr>
        <w:pStyle w:val="NoSpacing"/>
        <w:ind w:left="720"/>
        <w:rPr>
          <w:rFonts w:ascii="Times New Roman" w:hAnsi="Times New Roman"/>
          <w:bCs/>
          <w:sz w:val="24"/>
          <w:szCs w:val="24"/>
        </w:rPr>
      </w:pPr>
      <w:r w:rsidRPr="008B2721">
        <w:rPr>
          <w:rFonts w:ascii="Times New Roman" w:hAnsi="Times New Roman"/>
          <w:sz w:val="24"/>
          <w:szCs w:val="24"/>
        </w:rPr>
        <w:t xml:space="preserve">“In Count I, Blake asserts a claim for a declaratory judgment against [Fire Chief </w:t>
      </w:r>
      <w:proofErr w:type="spellStart"/>
      <w:r w:rsidRPr="008B2721">
        <w:rPr>
          <w:rFonts w:ascii="Times New Roman" w:hAnsi="Times New Roman"/>
          <w:sz w:val="24"/>
          <w:szCs w:val="24"/>
        </w:rPr>
        <w:t>tephen</w:t>
      </w:r>
      <w:proofErr w:type="spellEnd"/>
      <w:r w:rsidRPr="008B2721">
        <w:rPr>
          <w:rFonts w:ascii="Times New Roman" w:hAnsi="Times New Roman"/>
          <w:sz w:val="24"/>
          <w:szCs w:val="24"/>
        </w:rPr>
        <w:t>] Majchrzak and [County Administrator Michael] Bollhoefer…. Here, Blake’s allegations describe a real and substantial injury: a hostile workplace and damage to her reputation. In addition, Blake alleges that the controversy remains ongoing, as she claims that she continues to experience a hostile work environment, limited job responsibilities, and active monitoring by an administrator as she works from home…. Blake’s requested declaration would have a concrete remedial effect, as she continues to work from home in the same position. Accepting Blake’s allegations as true, the challenged retaliatory conduct by Defendants has not been rectified, thus is not past conduct, and a declaration regarding its constitutionality would not be advisory. As a result, Defendants’ argument on this issue fails.</w:t>
      </w:r>
    </w:p>
    <w:p w14:paraId="701842A5" w14:textId="77777777" w:rsidR="008B2721" w:rsidRPr="008B2721" w:rsidRDefault="008B2721" w:rsidP="008B2721">
      <w:pPr>
        <w:pStyle w:val="NoSpacing"/>
        <w:ind w:left="720"/>
        <w:rPr>
          <w:rFonts w:ascii="Times New Roman" w:hAnsi="Times New Roman"/>
          <w:bCs/>
          <w:sz w:val="24"/>
          <w:szCs w:val="24"/>
        </w:rPr>
      </w:pPr>
    </w:p>
    <w:p w14:paraId="6DC199FE" w14:textId="77777777" w:rsidR="008B2721" w:rsidRPr="008B2721" w:rsidRDefault="008B2721" w:rsidP="008B2721">
      <w:pPr>
        <w:pStyle w:val="NoSpacing"/>
        <w:ind w:left="720"/>
        <w:rPr>
          <w:rFonts w:ascii="Times New Roman" w:hAnsi="Times New Roman"/>
          <w:bCs/>
          <w:sz w:val="24"/>
          <w:szCs w:val="24"/>
        </w:rPr>
      </w:pPr>
      <w:r w:rsidRPr="008B2721">
        <w:rPr>
          <w:rFonts w:ascii="Times New Roman" w:hAnsi="Times New Roman"/>
          <w:sz w:val="24"/>
          <w:szCs w:val="24"/>
        </w:rPr>
        <w:t>***</w:t>
      </w:r>
    </w:p>
    <w:p w14:paraId="373D99CA" w14:textId="77777777" w:rsidR="008B2721" w:rsidRPr="008B2721" w:rsidRDefault="008B2721" w:rsidP="008B2721">
      <w:pPr>
        <w:pStyle w:val="NoSpacing"/>
        <w:rPr>
          <w:rFonts w:ascii="Times New Roman" w:hAnsi="Times New Roman"/>
          <w:bCs/>
          <w:sz w:val="24"/>
          <w:szCs w:val="24"/>
        </w:rPr>
      </w:pPr>
    </w:p>
    <w:p w14:paraId="51419F3E" w14:textId="77777777" w:rsidR="008B2721" w:rsidRPr="008B2721" w:rsidRDefault="008B2721" w:rsidP="008B2721">
      <w:pPr>
        <w:pStyle w:val="NoSpacing"/>
        <w:ind w:left="720"/>
        <w:rPr>
          <w:rFonts w:ascii="Times New Roman" w:hAnsi="Times New Roman"/>
          <w:bCs/>
          <w:sz w:val="24"/>
          <w:szCs w:val="24"/>
        </w:rPr>
      </w:pPr>
      <w:r w:rsidRPr="008B2721">
        <w:rPr>
          <w:rFonts w:ascii="Times New Roman" w:hAnsi="Times New Roman"/>
          <w:sz w:val="24"/>
          <w:szCs w:val="24"/>
        </w:rPr>
        <w:t>[Count II - First Amendment retaliation]  Blake responds by pointing to her allegations that Majchrzak limited Blake’s job duties and responsibilities, prevented her from attending staff meetings, and turned her co-workers against her by facilitating a hostile work environment…. Blake has sufficiently alleged retaliatory acts that are more than de minimis or trivial. … Blake alleged that Majchrzak purposefully excluded her from attending meetings by moving the meeting’s physical location and avoided her….  And Majchrzak took steps to reduce Blake’s job responsibilities by managing his own schedule…. Over time, Blake claims that she was deprived of many of her job duties. … As a result, the court will deny Defendants’ motions to dismiss Count II.”</w:t>
      </w:r>
    </w:p>
    <w:p w14:paraId="5D86E497" w14:textId="77777777" w:rsidR="008B2721" w:rsidRPr="008B2721" w:rsidRDefault="008B2721" w:rsidP="008B2721">
      <w:pPr>
        <w:pStyle w:val="NoSpacing"/>
        <w:ind w:left="720"/>
        <w:rPr>
          <w:rFonts w:ascii="Times New Roman" w:hAnsi="Times New Roman"/>
          <w:bCs/>
          <w:sz w:val="24"/>
          <w:szCs w:val="24"/>
        </w:rPr>
      </w:pPr>
      <w:r w:rsidRPr="008B2721">
        <w:rPr>
          <w:rFonts w:ascii="Times New Roman" w:hAnsi="Times New Roman"/>
          <w:sz w:val="24"/>
          <w:szCs w:val="24"/>
        </w:rPr>
        <w:t>***</w:t>
      </w:r>
    </w:p>
    <w:p w14:paraId="1AFC513F" w14:textId="77777777" w:rsidR="008B2721" w:rsidRPr="008B2721" w:rsidRDefault="008B2721" w:rsidP="008B2721">
      <w:pPr>
        <w:pStyle w:val="NoSpacing"/>
        <w:rPr>
          <w:rFonts w:ascii="Times New Roman" w:hAnsi="Times New Roman"/>
          <w:bCs/>
          <w:sz w:val="24"/>
          <w:szCs w:val="24"/>
        </w:rPr>
      </w:pPr>
    </w:p>
    <w:p w14:paraId="5CC58FF0" w14:textId="77777777" w:rsidR="008B2721" w:rsidRPr="008B2721" w:rsidRDefault="008B2721" w:rsidP="008B2721">
      <w:pPr>
        <w:pStyle w:val="NoSpacing"/>
        <w:ind w:left="720"/>
        <w:rPr>
          <w:rFonts w:ascii="Times New Roman" w:hAnsi="Times New Roman"/>
          <w:bCs/>
          <w:sz w:val="24"/>
          <w:szCs w:val="24"/>
        </w:rPr>
      </w:pPr>
      <w:r w:rsidRPr="008B2721">
        <w:rPr>
          <w:rFonts w:ascii="Times New Roman" w:hAnsi="Times New Roman"/>
          <w:sz w:val="24"/>
          <w:szCs w:val="24"/>
        </w:rPr>
        <w:t xml:space="preserve">[Court dismissed other claims, including Intentional Infliction of Emotional Distress claim.] The court finds that the alleged conduct from Majchrzak and Bollhoefer does not rise to the level of ‘outrageous and intolerable.’ Although unprofessional and indecorous, Defendants’ alleged efforts to ostracize her at work, limit her job responsibilities, and exclude her from meetings do not meet the high bar Virginia law requires.” </w:t>
      </w:r>
    </w:p>
    <w:p w14:paraId="222FD0EB" w14:textId="77777777" w:rsidR="008B2721" w:rsidRPr="008B2721" w:rsidRDefault="008B2721" w:rsidP="008B2721">
      <w:pPr>
        <w:pStyle w:val="NoSpacing"/>
        <w:ind w:left="720"/>
        <w:rPr>
          <w:rFonts w:ascii="Times New Roman" w:hAnsi="Times New Roman"/>
          <w:bCs/>
          <w:sz w:val="24"/>
          <w:szCs w:val="24"/>
        </w:rPr>
      </w:pPr>
    </w:p>
    <w:p w14:paraId="6BA52E9D" w14:textId="77777777" w:rsidR="00B404C3" w:rsidRPr="00B404C3" w:rsidRDefault="00B404C3" w:rsidP="00B404C3">
      <w:pPr>
        <w:pStyle w:val="NoSpacing"/>
        <w:rPr>
          <w:rFonts w:ascii="Times New Roman" w:hAnsi="Times New Roman"/>
          <w:b/>
          <w:sz w:val="24"/>
          <w:szCs w:val="24"/>
        </w:rPr>
      </w:pPr>
      <w:r w:rsidRPr="00B404C3">
        <w:rPr>
          <w:rFonts w:ascii="Times New Roman" w:hAnsi="Times New Roman"/>
          <w:b/>
          <w:sz w:val="24"/>
          <w:szCs w:val="24"/>
        </w:rPr>
        <w:t xml:space="preserve">Legal Lesson Learned: The case will now proceed to pre-trial discovery; carefully review your protocols on medical exams for recruits and their fitness testing. </w:t>
      </w:r>
    </w:p>
    <w:p w14:paraId="6C96C690" w14:textId="77777777" w:rsidR="008B2721" w:rsidRDefault="008B2721" w:rsidP="008B2721">
      <w:pPr>
        <w:pStyle w:val="NoSpacing"/>
        <w:ind w:left="720"/>
        <w:rPr>
          <w:bCs/>
        </w:rPr>
      </w:pPr>
    </w:p>
    <w:p w14:paraId="28E2C164" w14:textId="77777777" w:rsidR="008B2721" w:rsidRDefault="008B2721" w:rsidP="005D5A0C">
      <w:pPr>
        <w:rPr>
          <w:rFonts w:ascii="Arial Black" w:hAnsi="Arial Black"/>
          <w:sz w:val="24"/>
          <w:szCs w:val="24"/>
        </w:rPr>
      </w:pPr>
    </w:p>
    <w:p w14:paraId="69BCB69F" w14:textId="77777777" w:rsidR="008B2721" w:rsidRDefault="008B2721" w:rsidP="005D5A0C">
      <w:pPr>
        <w:rPr>
          <w:rFonts w:ascii="Arial Black" w:hAnsi="Arial Black"/>
          <w:sz w:val="24"/>
          <w:szCs w:val="24"/>
        </w:rPr>
      </w:pPr>
    </w:p>
    <w:p w14:paraId="6E9B4DA7" w14:textId="3FE25AA8" w:rsidR="00042223" w:rsidRDefault="00042223" w:rsidP="005D5A0C">
      <w:pPr>
        <w:rPr>
          <w:rFonts w:ascii="Arial Black" w:hAnsi="Arial Black"/>
          <w:sz w:val="24"/>
          <w:szCs w:val="24"/>
        </w:rPr>
      </w:pPr>
      <w:r>
        <w:rPr>
          <w:rFonts w:ascii="Arial Black" w:hAnsi="Arial Black"/>
          <w:sz w:val="24"/>
          <w:szCs w:val="24"/>
        </w:rPr>
        <w:t>2-82</w:t>
      </w:r>
    </w:p>
    <w:p w14:paraId="7436A6A9" w14:textId="77777777" w:rsidR="00042223" w:rsidRPr="000B7F2C" w:rsidRDefault="00042223" w:rsidP="00042223">
      <w:pPr>
        <w:rPr>
          <w:rFonts w:ascii="Arial Black" w:hAnsi="Arial Black"/>
          <w:b/>
          <w:sz w:val="28"/>
          <w:szCs w:val="28"/>
        </w:rPr>
      </w:pPr>
      <w:r w:rsidRPr="000B7F2C">
        <w:rPr>
          <w:rFonts w:ascii="Arial Black" w:hAnsi="Arial Black"/>
          <w:b/>
          <w:sz w:val="28"/>
          <w:szCs w:val="28"/>
        </w:rPr>
        <w:t>MS: LT MURDERED</w:t>
      </w:r>
      <w:r>
        <w:rPr>
          <w:rFonts w:ascii="Arial Black" w:hAnsi="Arial Black"/>
          <w:b/>
          <w:sz w:val="28"/>
          <w:szCs w:val="28"/>
        </w:rPr>
        <w:t xml:space="preserve"> - </w:t>
      </w:r>
      <w:r w:rsidRPr="000B7F2C">
        <w:rPr>
          <w:rFonts w:ascii="Arial Black" w:hAnsi="Arial Black"/>
          <w:b/>
          <w:sz w:val="28"/>
          <w:szCs w:val="28"/>
        </w:rPr>
        <w:t xml:space="preserve">HALF BROTHER – CONV. </w:t>
      </w:r>
      <w:r>
        <w:rPr>
          <w:rFonts w:ascii="Arial Black" w:hAnsi="Arial Black"/>
          <w:b/>
          <w:sz w:val="28"/>
          <w:szCs w:val="28"/>
        </w:rPr>
        <w:t>AFFIRMED</w:t>
      </w:r>
    </w:p>
    <w:p w14:paraId="6FA49322" w14:textId="77777777" w:rsidR="00042223" w:rsidRPr="00042223" w:rsidRDefault="00042223" w:rsidP="00042223">
      <w:pPr>
        <w:rPr>
          <w:rFonts w:ascii="Times New Roman" w:hAnsi="Times New Roman"/>
          <w:bCs/>
          <w:sz w:val="24"/>
          <w:szCs w:val="24"/>
        </w:rPr>
      </w:pPr>
      <w:r w:rsidRPr="00042223">
        <w:rPr>
          <w:rFonts w:ascii="Times New Roman" w:hAnsi="Times New Roman"/>
          <w:sz w:val="24"/>
          <w:szCs w:val="24"/>
        </w:rPr>
        <w:t xml:space="preserve">On Feb. 20, 2025, in </w:t>
      </w:r>
      <w:r w:rsidRPr="00042223">
        <w:rPr>
          <w:rFonts w:ascii="Times New Roman" w:hAnsi="Times New Roman"/>
          <w:sz w:val="24"/>
          <w:szCs w:val="24"/>
          <w:u w:val="single"/>
        </w:rPr>
        <w:t>Terrance Watts v. State of Mississippi</w:t>
      </w:r>
      <w:r w:rsidRPr="00042223">
        <w:rPr>
          <w:rFonts w:ascii="Times New Roman" w:hAnsi="Times New Roman"/>
          <w:sz w:val="24"/>
          <w:szCs w:val="24"/>
        </w:rPr>
        <w:t xml:space="preserve">, the Supreme Court of Mississippi held (3 to 0) that the defendants </w:t>
      </w:r>
      <w:proofErr w:type="gramStart"/>
      <w:r w:rsidRPr="00042223">
        <w:rPr>
          <w:rFonts w:ascii="Times New Roman" w:hAnsi="Times New Roman"/>
          <w:sz w:val="24"/>
          <w:szCs w:val="24"/>
        </w:rPr>
        <w:t>was</w:t>
      </w:r>
      <w:proofErr w:type="gramEnd"/>
      <w:r w:rsidRPr="00042223">
        <w:rPr>
          <w:rFonts w:ascii="Times New Roman" w:hAnsi="Times New Roman"/>
          <w:sz w:val="24"/>
          <w:szCs w:val="24"/>
        </w:rPr>
        <w:t xml:space="preserve"> properly convicted by a jury of first degree </w:t>
      </w:r>
      <w:proofErr w:type="gramStart"/>
      <w:r w:rsidRPr="00042223">
        <w:rPr>
          <w:rFonts w:ascii="Times New Roman" w:hAnsi="Times New Roman"/>
          <w:sz w:val="24"/>
          <w:szCs w:val="24"/>
        </w:rPr>
        <w:t>murder, and</w:t>
      </w:r>
      <w:proofErr w:type="gramEnd"/>
      <w:r w:rsidRPr="00042223">
        <w:rPr>
          <w:rFonts w:ascii="Times New Roman" w:hAnsi="Times New Roman"/>
          <w:sz w:val="24"/>
          <w:szCs w:val="24"/>
        </w:rPr>
        <w:t xml:space="preserve"> sentenced by the judge to life imprisonment. “Around 8:00 a.m., Watts turned himself in at the Flora Police Department. Watts agreed to be interviewed by McNeal. During the video and audio recording of the interview, Watts recounted that he had just met Williams after finding out they were </w:t>
      </w:r>
      <w:proofErr w:type="spellStart"/>
      <w:r w:rsidRPr="00042223">
        <w:rPr>
          <w:rFonts w:ascii="Times New Roman" w:hAnsi="Times New Roman"/>
          <w:sz w:val="24"/>
          <w:szCs w:val="24"/>
        </w:rPr>
        <w:t>half brothers</w:t>
      </w:r>
      <w:proofErr w:type="spellEnd"/>
      <w:r w:rsidRPr="00042223">
        <w:rPr>
          <w:rFonts w:ascii="Times New Roman" w:hAnsi="Times New Roman"/>
          <w:sz w:val="24"/>
          <w:szCs w:val="24"/>
        </w:rPr>
        <w:t xml:space="preserve">. Williams </w:t>
      </w:r>
      <w:proofErr w:type="gramStart"/>
      <w:r w:rsidRPr="00042223">
        <w:rPr>
          <w:rFonts w:ascii="Times New Roman" w:hAnsi="Times New Roman"/>
          <w:sz w:val="24"/>
          <w:szCs w:val="24"/>
        </w:rPr>
        <w:t>had met</w:t>
      </w:r>
      <w:proofErr w:type="gramEnd"/>
      <w:r w:rsidRPr="00042223">
        <w:rPr>
          <w:rFonts w:ascii="Times New Roman" w:hAnsi="Times New Roman"/>
          <w:sz w:val="24"/>
          <w:szCs w:val="24"/>
        </w:rPr>
        <w:t xml:space="preserve"> up with Watts on March 22, 2020, to get to know each </w:t>
      </w:r>
      <w:proofErr w:type="gramStart"/>
      <w:r w:rsidRPr="00042223">
        <w:rPr>
          <w:rFonts w:ascii="Times New Roman" w:hAnsi="Times New Roman"/>
          <w:sz w:val="24"/>
          <w:szCs w:val="24"/>
        </w:rPr>
        <w:t>other.”</w:t>
      </w:r>
      <w:proofErr w:type="gramEnd"/>
      <w:r w:rsidRPr="00042223">
        <w:rPr>
          <w:rFonts w:ascii="Times New Roman" w:hAnsi="Times New Roman"/>
          <w:sz w:val="24"/>
          <w:szCs w:val="24"/>
        </w:rPr>
        <w:t xml:space="preserve">  </w:t>
      </w:r>
      <w:hyperlink r:id="rId432" w:history="1">
        <w:r w:rsidRPr="00042223">
          <w:rPr>
            <w:rStyle w:val="Hyperlink"/>
            <w:rFonts w:ascii="Times New Roman" w:hAnsi="Times New Roman"/>
            <w:sz w:val="24"/>
            <w:szCs w:val="24"/>
          </w:rPr>
          <w:t>https://www.courts.ms.gov/images/Opinions/CO182132.pdf</w:t>
        </w:r>
      </w:hyperlink>
      <w:r w:rsidRPr="00042223">
        <w:rPr>
          <w:rFonts w:ascii="Times New Roman" w:hAnsi="Times New Roman"/>
          <w:sz w:val="24"/>
          <w:szCs w:val="24"/>
        </w:rPr>
        <w:t xml:space="preserve"> </w:t>
      </w:r>
    </w:p>
    <w:p w14:paraId="17AD755E" w14:textId="77777777" w:rsidR="00042223" w:rsidRPr="00042223" w:rsidRDefault="00042223" w:rsidP="00042223">
      <w:pPr>
        <w:rPr>
          <w:rFonts w:ascii="Times New Roman" w:hAnsi="Times New Roman"/>
          <w:bCs/>
          <w:sz w:val="24"/>
          <w:szCs w:val="24"/>
        </w:rPr>
      </w:pPr>
      <w:r w:rsidRPr="00042223">
        <w:rPr>
          <w:rFonts w:ascii="Times New Roman" w:hAnsi="Times New Roman"/>
          <w:sz w:val="24"/>
          <w:szCs w:val="24"/>
        </w:rPr>
        <w:t>The Court held:</w:t>
      </w:r>
    </w:p>
    <w:p w14:paraId="747C4DEB"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“Shortly after midnight on March 23, 2020, Crime Scene Investigator Andrew Harris</w:t>
      </w:r>
    </w:p>
    <w:p w14:paraId="5FC6281B"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of the Jackson Police Department (JPD) was dispatched to a shooting at a Marathon gas</w:t>
      </w:r>
    </w:p>
    <w:p w14:paraId="4FFD77D6"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station on Hanging Moss Road. Harris photographed the scene and collected evidence.</w:t>
      </w:r>
    </w:p>
    <w:p w14:paraId="49EB3963" w14:textId="77777777" w:rsidR="00042223" w:rsidRPr="00042223" w:rsidRDefault="00042223" w:rsidP="00042223">
      <w:pPr>
        <w:pStyle w:val="NoSpacing"/>
        <w:ind w:left="720"/>
        <w:rPr>
          <w:rFonts w:ascii="Times New Roman" w:hAnsi="Times New Roman"/>
          <w:bCs/>
          <w:sz w:val="24"/>
          <w:szCs w:val="24"/>
        </w:rPr>
      </w:pPr>
      <w:r w:rsidRPr="00042223">
        <w:rPr>
          <w:rFonts w:ascii="Times New Roman" w:hAnsi="Times New Roman"/>
          <w:sz w:val="24"/>
          <w:szCs w:val="24"/>
        </w:rPr>
        <w:t>Several of Harris’s photographs depicted a deceased male lying on the ground with a gunshot wound to his head.</w:t>
      </w:r>
    </w:p>
    <w:p w14:paraId="60057357" w14:textId="77777777" w:rsidR="00042223" w:rsidRPr="00042223" w:rsidRDefault="00042223" w:rsidP="00042223">
      <w:pPr>
        <w:pStyle w:val="NoSpacing"/>
        <w:rPr>
          <w:rFonts w:ascii="Times New Roman" w:hAnsi="Times New Roman"/>
          <w:bCs/>
          <w:sz w:val="24"/>
          <w:szCs w:val="24"/>
        </w:rPr>
      </w:pPr>
    </w:p>
    <w:p w14:paraId="4C26AB6B"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t>
      </w:r>
    </w:p>
    <w:p w14:paraId="028B0769"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Also dispatched to the Marathon was Kevin McNeal, who was a detective with JPD</w:t>
      </w:r>
    </w:p>
    <w:p w14:paraId="2AA7EAF6"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 xml:space="preserve">at the time. McNeal obtained the surveillance footage from the Marathon. These </w:t>
      </w:r>
      <w:proofErr w:type="gramStart"/>
      <w:r w:rsidRPr="00042223">
        <w:rPr>
          <w:rFonts w:ascii="Times New Roman" w:hAnsi="Times New Roman"/>
          <w:sz w:val="24"/>
          <w:szCs w:val="24"/>
        </w:rPr>
        <w:t>video</w:t>
      </w:r>
      <w:proofErr w:type="gramEnd"/>
    </w:p>
    <w:p w14:paraId="06EDB278"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recordings were played in front of the jury. McNeal also spoke with the firemen who</w:t>
      </w:r>
    </w:p>
    <w:p w14:paraId="67E45A91" w14:textId="77777777" w:rsidR="00042223" w:rsidRPr="00042223" w:rsidRDefault="00042223" w:rsidP="00042223">
      <w:pPr>
        <w:pStyle w:val="NoSpacing"/>
        <w:ind w:left="720"/>
        <w:rPr>
          <w:rFonts w:ascii="Times New Roman" w:hAnsi="Times New Roman"/>
          <w:bCs/>
          <w:sz w:val="24"/>
          <w:szCs w:val="24"/>
        </w:rPr>
      </w:pPr>
      <w:r w:rsidRPr="00042223">
        <w:rPr>
          <w:rFonts w:ascii="Times New Roman" w:hAnsi="Times New Roman"/>
          <w:sz w:val="24"/>
          <w:szCs w:val="24"/>
        </w:rPr>
        <w:t>responded to the shooting and was informed that Williams had visited Jackson Fire Station Number 20 on March 22, 2023, with a man named Terrance, later identified as Terrance Watts.</w:t>
      </w:r>
      <w:r w:rsidRPr="00042223">
        <w:rPr>
          <w:rFonts w:ascii="Times New Roman" w:hAnsi="Times New Roman"/>
          <w:sz w:val="24"/>
          <w:szCs w:val="24"/>
        </w:rPr>
        <w:tab/>
      </w:r>
    </w:p>
    <w:p w14:paraId="3E7356A0" w14:textId="77777777" w:rsidR="00042223" w:rsidRPr="00042223" w:rsidRDefault="00042223" w:rsidP="00042223">
      <w:pPr>
        <w:pStyle w:val="NoSpacing"/>
        <w:rPr>
          <w:rFonts w:ascii="Times New Roman" w:hAnsi="Times New Roman"/>
          <w:bCs/>
          <w:sz w:val="24"/>
          <w:szCs w:val="24"/>
        </w:rPr>
      </w:pPr>
    </w:p>
    <w:p w14:paraId="69CF0BD1"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t>
      </w:r>
    </w:p>
    <w:p w14:paraId="47054D02"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Michael Stinson was a fireman at JFD with Williams. He recounted seeing Williams</w:t>
      </w:r>
    </w:p>
    <w:p w14:paraId="316817C6"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 xml:space="preserve">twice on March 22, 2020. The first </w:t>
      </w:r>
      <w:proofErr w:type="gramStart"/>
      <w:r w:rsidRPr="00042223">
        <w:rPr>
          <w:rFonts w:ascii="Times New Roman" w:hAnsi="Times New Roman"/>
          <w:sz w:val="24"/>
          <w:szCs w:val="24"/>
        </w:rPr>
        <w:t>time when</w:t>
      </w:r>
      <w:proofErr w:type="gramEnd"/>
      <w:r w:rsidRPr="00042223">
        <w:rPr>
          <w:rFonts w:ascii="Times New Roman" w:hAnsi="Times New Roman"/>
          <w:sz w:val="24"/>
          <w:szCs w:val="24"/>
        </w:rPr>
        <w:t xml:space="preserve"> Williams brought Watts to Fire Station</w:t>
      </w:r>
    </w:p>
    <w:p w14:paraId="0164DCCD"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Number 20, Stinson recalled wrestling around with Williams and related that they would</w:t>
      </w:r>
    </w:p>
    <w:p w14:paraId="15775E18"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wrestle almost every shift. The second time Stinson saw Williams that day, Williams was</w:t>
      </w:r>
    </w:p>
    <w:p w14:paraId="1F618C59" w14:textId="77777777" w:rsidR="00042223" w:rsidRPr="00042223" w:rsidRDefault="00042223" w:rsidP="00042223">
      <w:pPr>
        <w:pStyle w:val="NoSpacing"/>
        <w:ind w:left="720"/>
        <w:rPr>
          <w:rFonts w:ascii="Times New Roman" w:hAnsi="Times New Roman"/>
          <w:bCs/>
          <w:sz w:val="24"/>
          <w:szCs w:val="24"/>
        </w:rPr>
      </w:pPr>
      <w:r w:rsidRPr="00042223">
        <w:rPr>
          <w:rFonts w:ascii="Times New Roman" w:hAnsi="Times New Roman"/>
          <w:sz w:val="24"/>
          <w:szCs w:val="24"/>
        </w:rPr>
        <w:t>deceased at the Marathon. Stinson was part of the rescue unit that responded to the shooting. Stinson identified the deceased body as Williams.</w:t>
      </w:r>
    </w:p>
    <w:p w14:paraId="7C51F833" w14:textId="77777777" w:rsidR="00042223" w:rsidRPr="00042223" w:rsidRDefault="00042223" w:rsidP="00042223">
      <w:pPr>
        <w:pStyle w:val="NoSpacing"/>
        <w:rPr>
          <w:rFonts w:ascii="Times New Roman" w:hAnsi="Times New Roman"/>
          <w:bCs/>
          <w:sz w:val="24"/>
          <w:szCs w:val="24"/>
        </w:rPr>
      </w:pPr>
    </w:p>
    <w:p w14:paraId="6FABB81E"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t>
      </w:r>
    </w:p>
    <w:p w14:paraId="29C35B99"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A reasonable juror could infer based on common sense and lived experience that</w:t>
      </w:r>
    </w:p>
    <w:p w14:paraId="469DCA6F"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Watts formed a plan to kill Williams when he retrieved Williams’s pistol from the center</w:t>
      </w:r>
    </w:p>
    <w:p w14:paraId="2E6BD39A"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console, pulled back the slide, and ejected one live round onto the floorboard. The jury</w:t>
      </w:r>
    </w:p>
    <w:p w14:paraId="79A17529"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reasonably could have found that Watts’s actions revealed that he, being previously</w:t>
      </w:r>
    </w:p>
    <w:p w14:paraId="4218AB44"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 xml:space="preserve">unfamiliar with Williams’s pistol, was unsure whether the </w:t>
      </w:r>
      <w:proofErr w:type="gramStart"/>
      <w:r w:rsidRPr="00042223">
        <w:rPr>
          <w:rFonts w:ascii="Times New Roman" w:hAnsi="Times New Roman"/>
          <w:sz w:val="24"/>
          <w:szCs w:val="24"/>
        </w:rPr>
        <w:t>hand gun</w:t>
      </w:r>
      <w:proofErr w:type="gramEnd"/>
      <w:r w:rsidRPr="00042223">
        <w:rPr>
          <w:rFonts w:ascii="Times New Roman" w:hAnsi="Times New Roman"/>
          <w:sz w:val="24"/>
          <w:szCs w:val="24"/>
        </w:rPr>
        <w:t xml:space="preserve"> had a bullet in the</w:t>
      </w:r>
    </w:p>
    <w:p w14:paraId="476F35D5"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chamber. The jury reasonably could have found that once Watts ejected the live round, he</w:t>
      </w:r>
    </w:p>
    <w:p w14:paraId="1070F5F6"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then had confirmation that the pistol was ready to fire. Accordingly, the jury reasonably</w:t>
      </w:r>
    </w:p>
    <w:p w14:paraId="5898A014" w14:textId="77777777" w:rsidR="00042223" w:rsidRPr="00042223" w:rsidRDefault="00042223" w:rsidP="00042223">
      <w:pPr>
        <w:pStyle w:val="NoSpacing"/>
        <w:ind w:left="720"/>
        <w:rPr>
          <w:rFonts w:ascii="Times New Roman" w:hAnsi="Times New Roman"/>
          <w:bCs/>
          <w:sz w:val="24"/>
          <w:szCs w:val="24"/>
        </w:rPr>
      </w:pPr>
      <w:r w:rsidRPr="00042223">
        <w:rPr>
          <w:rFonts w:ascii="Times New Roman" w:hAnsi="Times New Roman"/>
          <w:sz w:val="24"/>
          <w:szCs w:val="24"/>
        </w:rPr>
        <w:t xml:space="preserve">could have found that Watts was fully aware of what he was doing when he exited the Tahoe and intentionally shot Williams in the head. Viewing the evidence in the light most favorable to the prosecution, therefore, any rational juror could have found each element of </w:t>
      </w:r>
      <w:proofErr w:type="gramStart"/>
      <w:r w:rsidRPr="00042223">
        <w:rPr>
          <w:rFonts w:ascii="Times New Roman" w:hAnsi="Times New Roman"/>
          <w:sz w:val="24"/>
          <w:szCs w:val="24"/>
        </w:rPr>
        <w:t>first degree</w:t>
      </w:r>
      <w:proofErr w:type="gramEnd"/>
      <w:r w:rsidRPr="00042223">
        <w:rPr>
          <w:rFonts w:ascii="Times New Roman" w:hAnsi="Times New Roman"/>
          <w:sz w:val="24"/>
          <w:szCs w:val="24"/>
        </w:rPr>
        <w:t xml:space="preserve"> murder beyond a reasonable doubt.</w:t>
      </w:r>
    </w:p>
    <w:p w14:paraId="72420491" w14:textId="77777777" w:rsidR="00042223" w:rsidRPr="00042223" w:rsidRDefault="00042223" w:rsidP="00042223">
      <w:pPr>
        <w:pStyle w:val="NoSpacing"/>
        <w:rPr>
          <w:rFonts w:ascii="Times New Roman" w:hAnsi="Times New Roman"/>
          <w:bCs/>
          <w:sz w:val="24"/>
          <w:szCs w:val="24"/>
        </w:rPr>
      </w:pPr>
    </w:p>
    <w:p w14:paraId="69B61EB1"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w:t>
      </w:r>
    </w:p>
    <w:p w14:paraId="0AC45B6C" w14:textId="77777777" w:rsidR="00042223" w:rsidRPr="00042223" w:rsidRDefault="00042223" w:rsidP="00042223">
      <w:pPr>
        <w:pStyle w:val="NoSpacing"/>
        <w:ind w:firstLine="720"/>
        <w:rPr>
          <w:rFonts w:ascii="Times New Roman" w:hAnsi="Times New Roman"/>
          <w:bCs/>
          <w:sz w:val="24"/>
          <w:szCs w:val="24"/>
        </w:rPr>
      </w:pPr>
      <w:r w:rsidRPr="00042223">
        <w:rPr>
          <w:rFonts w:ascii="Times New Roman" w:hAnsi="Times New Roman"/>
          <w:sz w:val="24"/>
          <w:szCs w:val="24"/>
        </w:rPr>
        <w:t>Occurrences of fratricide are nearly as old as humanity itself. The factual details of</w:t>
      </w:r>
    </w:p>
    <w:p w14:paraId="29F40006" w14:textId="77777777" w:rsidR="00042223" w:rsidRPr="00042223" w:rsidRDefault="00042223" w:rsidP="00042223">
      <w:pPr>
        <w:pStyle w:val="NoSpacing"/>
        <w:ind w:left="720"/>
        <w:rPr>
          <w:rFonts w:ascii="Times New Roman" w:hAnsi="Times New Roman"/>
          <w:bCs/>
          <w:sz w:val="24"/>
          <w:szCs w:val="24"/>
        </w:rPr>
      </w:pPr>
      <w:r w:rsidRPr="00042223">
        <w:rPr>
          <w:rFonts w:ascii="Times New Roman" w:hAnsi="Times New Roman"/>
          <w:sz w:val="24"/>
          <w:szCs w:val="24"/>
        </w:rPr>
        <w:t xml:space="preserve">today’s case unfortunately </w:t>
      </w:r>
      <w:proofErr w:type="gramStart"/>
      <w:r w:rsidRPr="00042223">
        <w:rPr>
          <w:rFonts w:ascii="Times New Roman" w:hAnsi="Times New Roman"/>
          <w:sz w:val="24"/>
          <w:szCs w:val="24"/>
        </w:rPr>
        <w:t>add</w:t>
      </w:r>
      <w:proofErr w:type="gramEnd"/>
      <w:r w:rsidRPr="00042223">
        <w:rPr>
          <w:rFonts w:ascii="Times New Roman" w:hAnsi="Times New Roman"/>
          <w:sz w:val="24"/>
          <w:szCs w:val="24"/>
        </w:rPr>
        <w:t xml:space="preserve"> another example to this ancient litany. Finding no error, we affirm.”</w:t>
      </w:r>
    </w:p>
    <w:p w14:paraId="10B1AC17" w14:textId="77777777" w:rsidR="00042223" w:rsidRPr="00042223" w:rsidRDefault="00042223" w:rsidP="00042223">
      <w:pPr>
        <w:pStyle w:val="NoSpacing"/>
        <w:rPr>
          <w:rFonts w:ascii="Times New Roman" w:hAnsi="Times New Roman"/>
          <w:bCs/>
          <w:sz w:val="24"/>
          <w:szCs w:val="24"/>
        </w:rPr>
      </w:pPr>
    </w:p>
    <w:p w14:paraId="0B23B3E4" w14:textId="77777777" w:rsidR="00042223" w:rsidRPr="00042223" w:rsidRDefault="00042223" w:rsidP="00042223">
      <w:pPr>
        <w:pStyle w:val="NoSpacing"/>
        <w:rPr>
          <w:rFonts w:ascii="Times New Roman" w:hAnsi="Times New Roman"/>
          <w:b/>
          <w:sz w:val="24"/>
          <w:szCs w:val="24"/>
        </w:rPr>
      </w:pPr>
      <w:r w:rsidRPr="00042223">
        <w:rPr>
          <w:rFonts w:ascii="Times New Roman" w:hAnsi="Times New Roman"/>
          <w:b/>
          <w:sz w:val="24"/>
          <w:szCs w:val="24"/>
        </w:rPr>
        <w:t xml:space="preserve">Legal Lesson Learned: Responding to a shooting and finding body of fellow firefighter is particularly tragic. </w:t>
      </w:r>
    </w:p>
    <w:p w14:paraId="73B8FAE1" w14:textId="77777777" w:rsidR="00042223" w:rsidRPr="00042223" w:rsidRDefault="00042223" w:rsidP="00042223">
      <w:pPr>
        <w:pStyle w:val="NoSpacing"/>
        <w:rPr>
          <w:rFonts w:ascii="Times New Roman" w:hAnsi="Times New Roman"/>
          <w:bCs/>
          <w:sz w:val="24"/>
          <w:szCs w:val="24"/>
        </w:rPr>
      </w:pPr>
    </w:p>
    <w:p w14:paraId="1A7D8DC4" w14:textId="77777777" w:rsidR="00042223" w:rsidRPr="00042223" w:rsidRDefault="00042223" w:rsidP="00042223">
      <w:pPr>
        <w:ind w:left="720"/>
        <w:rPr>
          <w:rFonts w:ascii="Times New Roman" w:hAnsi="Times New Roman"/>
          <w:bCs/>
          <w:sz w:val="24"/>
          <w:szCs w:val="24"/>
        </w:rPr>
      </w:pPr>
      <w:r w:rsidRPr="00042223">
        <w:rPr>
          <w:rFonts w:ascii="Times New Roman" w:hAnsi="Times New Roman"/>
          <w:sz w:val="24"/>
          <w:szCs w:val="24"/>
        </w:rPr>
        <w:t xml:space="preserve">Note: See article / video on the case. Feb. 20, 2025. “Court upholds man’s conviction for killing Jackson firefighter.”  </w:t>
      </w:r>
      <w:hyperlink r:id="rId433" w:history="1">
        <w:r w:rsidRPr="00042223">
          <w:rPr>
            <w:rStyle w:val="Hyperlink"/>
            <w:rFonts w:ascii="Times New Roman" w:hAnsi="Times New Roman"/>
            <w:sz w:val="24"/>
            <w:szCs w:val="24"/>
          </w:rPr>
          <w:t>https://www.wjtv.com/news/local-news/court-upholds-mans-conviction-for-killing-jackson-firefighter/</w:t>
        </w:r>
      </w:hyperlink>
      <w:r w:rsidRPr="00042223">
        <w:rPr>
          <w:rFonts w:ascii="Times New Roman" w:hAnsi="Times New Roman"/>
          <w:sz w:val="24"/>
          <w:szCs w:val="24"/>
        </w:rPr>
        <w:t xml:space="preserve"> </w:t>
      </w:r>
    </w:p>
    <w:p w14:paraId="5DB44DC6" w14:textId="77777777" w:rsidR="00042223" w:rsidRPr="00042223" w:rsidRDefault="00042223" w:rsidP="00042223">
      <w:pPr>
        <w:ind w:left="720"/>
        <w:rPr>
          <w:rFonts w:ascii="Times New Roman" w:hAnsi="Times New Roman"/>
          <w:bCs/>
          <w:sz w:val="24"/>
          <w:szCs w:val="24"/>
        </w:rPr>
      </w:pPr>
      <w:r w:rsidRPr="00042223">
        <w:rPr>
          <w:rFonts w:ascii="Times New Roman" w:hAnsi="Times New Roman"/>
          <w:sz w:val="24"/>
          <w:szCs w:val="24"/>
        </w:rPr>
        <w:t xml:space="preserve">March 23, 2000: </w:t>
      </w:r>
      <w:hyperlink r:id="rId434" w:history="1">
        <w:r w:rsidRPr="00042223">
          <w:rPr>
            <w:rStyle w:val="Hyperlink"/>
            <w:rFonts w:ascii="Times New Roman" w:hAnsi="Times New Roman"/>
            <w:sz w:val="24"/>
            <w:szCs w:val="24"/>
          </w:rPr>
          <w:t>https://www.firerescue1.com/firefighter-death/articles/miss-fire-lieutenant-killed-in-gas-station-robbery-jMwIEdZ3rDnt54xe/</w:t>
        </w:r>
      </w:hyperlink>
      <w:r w:rsidRPr="00042223">
        <w:rPr>
          <w:rFonts w:ascii="Times New Roman" w:hAnsi="Times New Roman"/>
          <w:sz w:val="24"/>
          <w:szCs w:val="24"/>
        </w:rPr>
        <w:t xml:space="preserve"> </w:t>
      </w:r>
    </w:p>
    <w:p w14:paraId="6918A042" w14:textId="77777777" w:rsidR="00042223" w:rsidRPr="000B7F2C" w:rsidRDefault="00042223" w:rsidP="00042223"/>
    <w:p w14:paraId="11219453" w14:textId="56FF0351" w:rsidR="00BE6877" w:rsidRDefault="00BE6877" w:rsidP="005D5A0C">
      <w:pPr>
        <w:rPr>
          <w:rFonts w:ascii="Arial Black" w:hAnsi="Arial Black"/>
          <w:sz w:val="24"/>
          <w:szCs w:val="24"/>
        </w:rPr>
      </w:pPr>
      <w:r>
        <w:rPr>
          <w:rFonts w:ascii="Arial Black" w:hAnsi="Arial Black"/>
          <w:sz w:val="24"/>
          <w:szCs w:val="24"/>
        </w:rPr>
        <w:t>2-81</w:t>
      </w:r>
    </w:p>
    <w:p w14:paraId="0AD4A004" w14:textId="77777777" w:rsidR="00C35636" w:rsidRDefault="00C35636" w:rsidP="00C35636">
      <w:pPr>
        <w:pStyle w:val="NoSpacing"/>
        <w:rPr>
          <w:rFonts w:ascii="Arial Black" w:hAnsi="Arial Black"/>
          <w:bCs/>
          <w:sz w:val="28"/>
          <w:szCs w:val="28"/>
        </w:rPr>
      </w:pPr>
      <w:r>
        <w:rPr>
          <w:rFonts w:ascii="Arial Black" w:hAnsi="Arial Black"/>
          <w:sz w:val="28"/>
          <w:szCs w:val="28"/>
        </w:rPr>
        <w:t>PA: FLEEING DRIVER ALMOST HIT EMS – 5-10 YRS</w:t>
      </w:r>
    </w:p>
    <w:p w14:paraId="1A0B7732" w14:textId="77777777" w:rsidR="00C35636" w:rsidRDefault="00C35636" w:rsidP="00C35636">
      <w:pPr>
        <w:pStyle w:val="NoSpacing"/>
        <w:rPr>
          <w:bCs/>
        </w:rPr>
      </w:pPr>
    </w:p>
    <w:p w14:paraId="44E8866A" w14:textId="77777777" w:rsidR="00C35636" w:rsidRPr="00C35636" w:rsidRDefault="00C35636" w:rsidP="00C35636">
      <w:pPr>
        <w:pStyle w:val="NoSpacing"/>
        <w:rPr>
          <w:rFonts w:ascii="Times New Roman" w:hAnsi="Times New Roman"/>
          <w:bCs/>
          <w:sz w:val="24"/>
          <w:szCs w:val="24"/>
        </w:rPr>
      </w:pPr>
      <w:r w:rsidRPr="00C35636">
        <w:rPr>
          <w:rFonts w:ascii="Times New Roman" w:hAnsi="Times New Roman"/>
          <w:sz w:val="24"/>
          <w:szCs w:val="24"/>
        </w:rPr>
        <w:t xml:space="preserve">On Dec. 23, 2024, in </w:t>
      </w:r>
      <w:r w:rsidRPr="00C35636">
        <w:rPr>
          <w:rFonts w:ascii="Times New Roman" w:hAnsi="Times New Roman"/>
          <w:sz w:val="24"/>
          <w:szCs w:val="24"/>
          <w:u w:val="single"/>
        </w:rPr>
        <w:t>Commonwealth of Pennsylvania v. Marisa Nicole Liddington</w:t>
      </w:r>
      <w:r w:rsidRPr="00C35636">
        <w:rPr>
          <w:rFonts w:ascii="Times New Roman" w:hAnsi="Times New Roman"/>
          <w:sz w:val="24"/>
          <w:szCs w:val="24"/>
        </w:rPr>
        <w:t>, the Superior Court of Pennsylvania held (3 to 0; non-precedential decision) that the sentence of 5 – 10 years in prison was appropriate for aggravate assault on two EMS and for the DUI. The Court wrote:</w:t>
      </w:r>
    </w:p>
    <w:p w14:paraId="277974C4" w14:textId="77777777" w:rsidR="00C35636" w:rsidRPr="00C35636" w:rsidRDefault="00C35636" w:rsidP="00C35636">
      <w:pPr>
        <w:pStyle w:val="NoSpacing"/>
        <w:rPr>
          <w:rFonts w:ascii="Times New Roman" w:hAnsi="Times New Roman"/>
          <w:bCs/>
          <w:sz w:val="24"/>
          <w:szCs w:val="24"/>
        </w:rPr>
      </w:pPr>
    </w:p>
    <w:p w14:paraId="79813806" w14:textId="77777777" w:rsidR="00C35636" w:rsidRPr="00C35636" w:rsidRDefault="00C35636" w:rsidP="00C35636">
      <w:pPr>
        <w:pStyle w:val="NoSpacing"/>
        <w:ind w:left="720"/>
        <w:rPr>
          <w:rFonts w:ascii="Times New Roman" w:hAnsi="Times New Roman"/>
          <w:bCs/>
          <w:sz w:val="24"/>
          <w:szCs w:val="24"/>
        </w:rPr>
      </w:pPr>
      <w:r w:rsidRPr="00C35636">
        <w:rPr>
          <w:rFonts w:ascii="Times New Roman" w:hAnsi="Times New Roman"/>
          <w:sz w:val="24"/>
          <w:szCs w:val="24"/>
        </w:rPr>
        <w:t>““Marisa Nicole Liddington appeals from the judgment of sentence of five to twelve years of imprisonment imposed upon her convictions for driving under the influence (“DUI”) and four counts of aggravated assault. We affirm.</w:t>
      </w:r>
    </w:p>
    <w:p w14:paraId="6D4F408D" w14:textId="77777777" w:rsidR="00C35636" w:rsidRPr="00C35636" w:rsidRDefault="00C35636" w:rsidP="00C35636">
      <w:pPr>
        <w:pStyle w:val="NoSpacing"/>
        <w:rPr>
          <w:rFonts w:ascii="Times New Roman" w:hAnsi="Times New Roman"/>
          <w:b/>
          <w:sz w:val="24"/>
          <w:szCs w:val="24"/>
        </w:rPr>
      </w:pPr>
    </w:p>
    <w:p w14:paraId="146C6387" w14:textId="77777777" w:rsidR="00C35636" w:rsidRPr="00C35636" w:rsidRDefault="00C35636" w:rsidP="00C35636">
      <w:pPr>
        <w:pStyle w:val="NoSpacing"/>
        <w:ind w:left="720"/>
        <w:rPr>
          <w:rFonts w:ascii="Times New Roman" w:hAnsi="Times New Roman"/>
          <w:bCs/>
          <w:sz w:val="24"/>
          <w:szCs w:val="24"/>
        </w:rPr>
      </w:pPr>
      <w:r w:rsidRPr="00C35636">
        <w:rPr>
          <w:rFonts w:ascii="Times New Roman" w:hAnsi="Times New Roman"/>
          <w:sz w:val="24"/>
          <w:szCs w:val="24"/>
        </w:rPr>
        <w:t>***</w:t>
      </w:r>
    </w:p>
    <w:p w14:paraId="1D32E0BA" w14:textId="77777777" w:rsidR="00C35636" w:rsidRPr="00C35636" w:rsidRDefault="00C35636" w:rsidP="00C35636">
      <w:pPr>
        <w:pStyle w:val="NoSpacing"/>
        <w:ind w:left="720"/>
        <w:rPr>
          <w:rFonts w:ascii="Times New Roman" w:hAnsi="Times New Roman"/>
          <w:bCs/>
          <w:sz w:val="24"/>
          <w:szCs w:val="24"/>
        </w:rPr>
      </w:pPr>
      <w:r w:rsidRPr="00C35636">
        <w:rPr>
          <w:rFonts w:ascii="Times New Roman" w:hAnsi="Times New Roman"/>
          <w:sz w:val="24"/>
          <w:szCs w:val="24"/>
        </w:rPr>
        <w:t>We first assess whether the evidence demonstrated that Appellant attempted to cause serious bodily injury to [EMS] Messrs. Ebersole and Eppley and attempted by physical menace to put them in fear of serious bodily injury…. Appellant argues that, even when viewed in the light most favorable to the Commonwealth, the evidence in this case does not prove that she acted with the specific intent to harm or menace anyone. She posits that Mr. Ebersole placed himself in harm’s way by attempting to detain her, and that Mr. Eppley was hit by the car door when she backed up only because he reached to grab Mr. Ebersole…. Here, it appears that neither Appellant’s motivation nor her ultimate</w:t>
      </w:r>
    </w:p>
    <w:p w14:paraId="09389E6D" w14:textId="43E3F944" w:rsidR="00BE6877" w:rsidRPr="00C35636" w:rsidRDefault="00C35636" w:rsidP="00C35636">
      <w:pPr>
        <w:ind w:left="720"/>
        <w:rPr>
          <w:rFonts w:ascii="Times New Roman" w:hAnsi="Times New Roman"/>
          <w:sz w:val="24"/>
          <w:szCs w:val="24"/>
        </w:rPr>
      </w:pPr>
      <w:r w:rsidRPr="00C35636">
        <w:rPr>
          <w:rFonts w:ascii="Times New Roman" w:hAnsi="Times New Roman"/>
          <w:sz w:val="24"/>
          <w:szCs w:val="24"/>
        </w:rPr>
        <w:t xml:space="preserve">goal was to injure the first responders on scene in the Walmart parking lot. Rather, it seems plain that what she wanted was to get away before the police arrived. However, under the totality of the circumstances, the jury was within its rights to conclude that Appellant made the conscious decision to achieve her goal by any means necessary, including causing serious bodily injury to any of the first responders who were in her way.” </w:t>
      </w:r>
      <w:hyperlink r:id="rId435" w:history="1">
        <w:r w:rsidRPr="00C35636">
          <w:rPr>
            <w:rStyle w:val="Hyperlink"/>
            <w:rFonts w:ascii="Times New Roman" w:hAnsi="Times New Roman"/>
            <w:sz w:val="24"/>
            <w:szCs w:val="24"/>
          </w:rPr>
          <w:t>https://www.pacourts.us/assets/opinions/Superior/out/J-A11020-24m%20-%20106209941292398313.pdf?cb=1</w:t>
        </w:r>
      </w:hyperlink>
    </w:p>
    <w:p w14:paraId="697D8929" w14:textId="77777777" w:rsidR="00FE0B61" w:rsidRPr="00FE0B61" w:rsidRDefault="00FE0B61" w:rsidP="00FE0B61">
      <w:pPr>
        <w:pStyle w:val="NoSpacing"/>
        <w:rPr>
          <w:rFonts w:ascii="Times New Roman" w:hAnsi="Times New Roman"/>
          <w:bCs/>
          <w:sz w:val="24"/>
          <w:szCs w:val="24"/>
        </w:rPr>
      </w:pPr>
      <w:r w:rsidRPr="00FE0B61">
        <w:rPr>
          <w:rFonts w:ascii="Times New Roman" w:hAnsi="Times New Roman"/>
          <w:sz w:val="24"/>
          <w:szCs w:val="24"/>
        </w:rPr>
        <w:t>HOLDING:</w:t>
      </w:r>
    </w:p>
    <w:p w14:paraId="1003DAD1" w14:textId="77777777" w:rsidR="00FE0B61" w:rsidRPr="00FE0B61" w:rsidRDefault="00FE0B61" w:rsidP="00FE0B61">
      <w:pPr>
        <w:pStyle w:val="NoSpacing"/>
        <w:rPr>
          <w:rFonts w:ascii="Times New Roman" w:hAnsi="Times New Roman"/>
          <w:bCs/>
          <w:sz w:val="24"/>
          <w:szCs w:val="24"/>
        </w:rPr>
      </w:pPr>
    </w:p>
    <w:p w14:paraId="7EEE2D22" w14:textId="77777777" w:rsidR="00FE0B61" w:rsidRPr="00FE0B61" w:rsidRDefault="00FE0B61" w:rsidP="00FE0B61">
      <w:pPr>
        <w:pStyle w:val="NoSpacing"/>
        <w:ind w:left="720"/>
        <w:rPr>
          <w:rFonts w:ascii="Times New Roman" w:hAnsi="Times New Roman"/>
          <w:bCs/>
          <w:sz w:val="24"/>
          <w:szCs w:val="24"/>
        </w:rPr>
      </w:pPr>
      <w:r w:rsidRPr="00FE0B61">
        <w:rPr>
          <w:rFonts w:ascii="Times New Roman" w:hAnsi="Times New Roman"/>
          <w:b/>
          <w:sz w:val="24"/>
          <w:szCs w:val="24"/>
        </w:rPr>
        <w:t>“</w:t>
      </w:r>
      <w:r w:rsidRPr="00FE0B61">
        <w:rPr>
          <w:rFonts w:ascii="Times New Roman" w:hAnsi="Times New Roman"/>
          <w:sz w:val="24"/>
          <w:szCs w:val="24"/>
        </w:rPr>
        <w:t xml:space="preserve">Messrs. Ebersole and Eppley were not at the Walmart to shop, socialize, or engage in any other personal business. They were there, on duty, in response to an emergency call, and remained in that capacity for the duration of the encounter. Plainly, they were performing their duties at the time she nearly ran them over in her desire to avoid the consequences of her criminal </w:t>
      </w:r>
      <w:proofErr w:type="gramStart"/>
      <w:r w:rsidRPr="00FE0B61">
        <w:rPr>
          <w:rFonts w:ascii="Times New Roman" w:hAnsi="Times New Roman"/>
          <w:sz w:val="24"/>
          <w:szCs w:val="24"/>
        </w:rPr>
        <w:t>conduct.”</w:t>
      </w:r>
      <w:proofErr w:type="gramEnd"/>
    </w:p>
    <w:p w14:paraId="12466DD0" w14:textId="77777777" w:rsidR="00FE0B61" w:rsidRPr="00FE0B61" w:rsidRDefault="00FE0B61" w:rsidP="00FE0B61">
      <w:pPr>
        <w:pStyle w:val="NoSpacing"/>
        <w:ind w:left="720"/>
        <w:rPr>
          <w:rFonts w:ascii="Times New Roman" w:hAnsi="Times New Roman"/>
          <w:bCs/>
          <w:sz w:val="24"/>
          <w:szCs w:val="24"/>
        </w:rPr>
      </w:pPr>
    </w:p>
    <w:p w14:paraId="32EF6CCD" w14:textId="77777777" w:rsidR="00FE0B61" w:rsidRPr="00FE0B61" w:rsidRDefault="00FE0B61" w:rsidP="00FE0B61">
      <w:pPr>
        <w:pStyle w:val="NoSpacing"/>
        <w:rPr>
          <w:rFonts w:ascii="Times New Roman" w:hAnsi="Times New Roman"/>
          <w:b/>
          <w:sz w:val="24"/>
          <w:szCs w:val="24"/>
        </w:rPr>
      </w:pPr>
      <w:r w:rsidRPr="00FE0B61">
        <w:rPr>
          <w:rFonts w:ascii="Times New Roman" w:hAnsi="Times New Roman"/>
          <w:b/>
          <w:sz w:val="24"/>
          <w:szCs w:val="24"/>
        </w:rPr>
        <w:t>Legal Lesson Learned:  The sentence reflects the seriousness of the defendant’s conduct; she could have killed or serious injured the two EMS.</w:t>
      </w:r>
    </w:p>
    <w:p w14:paraId="262DBCB5" w14:textId="77777777" w:rsidR="00FE0B61" w:rsidRPr="00FE0B61" w:rsidRDefault="00FE0B61" w:rsidP="00FE0B61">
      <w:pPr>
        <w:pStyle w:val="NoSpacing"/>
        <w:rPr>
          <w:rFonts w:ascii="Times New Roman" w:hAnsi="Times New Roman"/>
          <w:b/>
          <w:sz w:val="24"/>
          <w:szCs w:val="24"/>
        </w:rPr>
      </w:pPr>
    </w:p>
    <w:p w14:paraId="5BB1B3C6" w14:textId="77777777" w:rsidR="00BE6877" w:rsidRPr="00FE0B61" w:rsidRDefault="00BE6877" w:rsidP="005D5A0C">
      <w:pPr>
        <w:rPr>
          <w:rFonts w:ascii="Times New Roman" w:hAnsi="Times New Roman"/>
          <w:sz w:val="24"/>
          <w:szCs w:val="24"/>
        </w:rPr>
      </w:pPr>
    </w:p>
    <w:p w14:paraId="098DCAA2" w14:textId="77777777" w:rsidR="00BE6877" w:rsidRDefault="00BE6877" w:rsidP="005D5A0C">
      <w:pPr>
        <w:rPr>
          <w:rFonts w:ascii="Arial Black" w:hAnsi="Arial Black"/>
          <w:sz w:val="24"/>
          <w:szCs w:val="24"/>
        </w:rPr>
      </w:pPr>
    </w:p>
    <w:p w14:paraId="153E61DB" w14:textId="4B4AA44C" w:rsidR="00F755DB" w:rsidRDefault="00F755DB" w:rsidP="005D5A0C">
      <w:pPr>
        <w:rPr>
          <w:rFonts w:ascii="Arial Black" w:hAnsi="Arial Black"/>
          <w:sz w:val="24"/>
          <w:szCs w:val="24"/>
        </w:rPr>
      </w:pPr>
      <w:r>
        <w:rPr>
          <w:rFonts w:ascii="Arial Black" w:hAnsi="Arial Black"/>
          <w:sz w:val="24"/>
          <w:szCs w:val="24"/>
        </w:rPr>
        <w:t>2-80</w:t>
      </w:r>
    </w:p>
    <w:p w14:paraId="2F1C945F" w14:textId="77777777" w:rsidR="007353DC" w:rsidRPr="00DE5D8F" w:rsidRDefault="007353DC" w:rsidP="007353DC">
      <w:pPr>
        <w:pStyle w:val="NoSpacing"/>
        <w:rPr>
          <w:rFonts w:ascii="Arial Black" w:hAnsi="Arial Black"/>
          <w:b/>
          <w:sz w:val="28"/>
          <w:szCs w:val="28"/>
        </w:rPr>
      </w:pPr>
      <w:r>
        <w:rPr>
          <w:rFonts w:ascii="Arial Black" w:hAnsi="Arial Black"/>
          <w:b/>
          <w:sz w:val="28"/>
          <w:szCs w:val="28"/>
        </w:rPr>
        <w:t xml:space="preserve">PA: 2 LODD – CONDEMNED BLDG – CITY DISMISSED </w:t>
      </w:r>
    </w:p>
    <w:p w14:paraId="7674CE5C" w14:textId="77777777" w:rsidR="007353DC" w:rsidRDefault="007353DC" w:rsidP="007353DC">
      <w:pPr>
        <w:pStyle w:val="NoSpacing"/>
        <w:rPr>
          <w:bCs/>
        </w:rPr>
      </w:pPr>
    </w:p>
    <w:p w14:paraId="73CDD307" w14:textId="77777777" w:rsidR="00DF7446" w:rsidRPr="00DF7446" w:rsidRDefault="00DF7446" w:rsidP="00DF7446">
      <w:pPr>
        <w:pStyle w:val="NoSpacing"/>
        <w:rPr>
          <w:rFonts w:ascii="Times New Roman" w:hAnsi="Times New Roman"/>
          <w:bCs/>
          <w:sz w:val="24"/>
          <w:szCs w:val="24"/>
        </w:rPr>
      </w:pPr>
      <w:r w:rsidRPr="00DF7446">
        <w:rPr>
          <w:rFonts w:ascii="Times New Roman" w:hAnsi="Times New Roman"/>
          <w:sz w:val="24"/>
          <w:szCs w:val="24"/>
        </w:rPr>
        <w:t xml:space="preserve">On Dec. 9, 2024, in </w:t>
      </w:r>
      <w:r w:rsidRPr="00DF7446">
        <w:rPr>
          <w:rFonts w:ascii="Times New Roman" w:hAnsi="Times New Roman"/>
          <w:sz w:val="24"/>
          <w:szCs w:val="24"/>
          <w:u w:val="single"/>
        </w:rPr>
        <w:t>Rachel Butrim, et al. v. Maor and City Council of Baltimore</w:t>
      </w:r>
      <w:r w:rsidRPr="00DF7446">
        <w:rPr>
          <w:rFonts w:ascii="Times New Roman" w:hAnsi="Times New Roman"/>
          <w:sz w:val="24"/>
          <w:szCs w:val="24"/>
        </w:rPr>
        <w:t xml:space="preserve">, United States District Court Judge Matthew J. Maddox, U.S. District Court for the District of Maryland, granted the city’s motion to dismiss.  Even though the building was condemned, and not marked to warn firefighters, there was no proof the city intended to harm the firefighters. </w:t>
      </w:r>
      <w:hyperlink r:id="rId436" w:history="1">
        <w:r w:rsidRPr="00DF7446">
          <w:rPr>
            <w:rStyle w:val="Hyperlink"/>
            <w:rFonts w:ascii="Times New Roman" w:hAnsi="Times New Roman"/>
            <w:sz w:val="24"/>
            <w:szCs w:val="24"/>
          </w:rPr>
          <w:t>https://storage.courtlistener.com/recap/gov.uscourts.mdd.559142/gov.uscourts.mdd.559142.21.0.pdf</w:t>
        </w:r>
      </w:hyperlink>
      <w:r w:rsidRPr="00DF7446">
        <w:rPr>
          <w:rFonts w:ascii="Times New Roman" w:hAnsi="Times New Roman"/>
          <w:sz w:val="24"/>
          <w:szCs w:val="24"/>
        </w:rPr>
        <w:t xml:space="preserve"> </w:t>
      </w:r>
    </w:p>
    <w:p w14:paraId="3F4389C0" w14:textId="3DBB8B9B" w:rsidR="00DF7446" w:rsidRPr="00DF7446" w:rsidRDefault="00DF7446" w:rsidP="007353DC">
      <w:pPr>
        <w:pStyle w:val="NoSpacing"/>
        <w:rPr>
          <w:rFonts w:ascii="Times New Roman" w:hAnsi="Times New Roman"/>
          <w:sz w:val="24"/>
          <w:szCs w:val="24"/>
        </w:rPr>
      </w:pPr>
    </w:p>
    <w:p w14:paraId="64BA5587" w14:textId="77777777" w:rsidR="00DF7446" w:rsidRDefault="00DF7446" w:rsidP="007353DC">
      <w:pPr>
        <w:pStyle w:val="NoSpacing"/>
        <w:rPr>
          <w:rFonts w:ascii="Times New Roman" w:hAnsi="Times New Roman"/>
          <w:sz w:val="24"/>
          <w:szCs w:val="24"/>
        </w:rPr>
      </w:pPr>
    </w:p>
    <w:p w14:paraId="7A1D950E" w14:textId="1D085BE6" w:rsidR="007353DC" w:rsidRPr="007353DC" w:rsidRDefault="007353DC" w:rsidP="007353DC">
      <w:pPr>
        <w:pStyle w:val="NoSpacing"/>
        <w:rPr>
          <w:rFonts w:ascii="Times New Roman" w:hAnsi="Times New Roman"/>
          <w:bCs/>
          <w:sz w:val="24"/>
          <w:szCs w:val="24"/>
        </w:rPr>
      </w:pPr>
      <w:r w:rsidRPr="007353DC">
        <w:rPr>
          <w:rFonts w:ascii="Times New Roman" w:hAnsi="Times New Roman"/>
          <w:sz w:val="24"/>
          <w:szCs w:val="24"/>
        </w:rPr>
        <w:t>The Court wrote:</w:t>
      </w:r>
    </w:p>
    <w:p w14:paraId="5BEC412E" w14:textId="77777777" w:rsidR="007353DC" w:rsidRPr="007353DC" w:rsidRDefault="007353DC" w:rsidP="007353DC">
      <w:pPr>
        <w:pStyle w:val="NoSpacing"/>
        <w:rPr>
          <w:rFonts w:ascii="Times New Roman" w:hAnsi="Times New Roman"/>
          <w:bCs/>
          <w:sz w:val="24"/>
          <w:szCs w:val="24"/>
        </w:rPr>
      </w:pPr>
    </w:p>
    <w:p w14:paraId="118D6EBC" w14:textId="77777777" w:rsidR="007353DC" w:rsidRPr="007353DC" w:rsidRDefault="007353DC" w:rsidP="007353DC">
      <w:pPr>
        <w:pStyle w:val="NoSpacing"/>
        <w:ind w:firstLine="720"/>
        <w:rPr>
          <w:rFonts w:ascii="Times New Roman" w:hAnsi="Times New Roman"/>
          <w:bCs/>
          <w:sz w:val="24"/>
          <w:szCs w:val="24"/>
        </w:rPr>
      </w:pPr>
      <w:r w:rsidRPr="007353DC">
        <w:rPr>
          <w:rFonts w:ascii="Times New Roman" w:hAnsi="Times New Roman"/>
          <w:sz w:val="24"/>
          <w:szCs w:val="24"/>
        </w:rPr>
        <w:t>“The Motion is fully briefed and ripe for disposition. No hearing is necessary.</w:t>
      </w:r>
    </w:p>
    <w:p w14:paraId="79DDE0C9" w14:textId="77777777" w:rsidR="007353DC" w:rsidRPr="007353DC" w:rsidRDefault="007353DC" w:rsidP="007353DC">
      <w:pPr>
        <w:pStyle w:val="NoSpacing"/>
        <w:ind w:firstLine="720"/>
        <w:rPr>
          <w:rFonts w:ascii="Times New Roman" w:hAnsi="Times New Roman"/>
          <w:bCs/>
          <w:sz w:val="24"/>
          <w:szCs w:val="24"/>
        </w:rPr>
      </w:pPr>
    </w:p>
    <w:p w14:paraId="50056B97" w14:textId="77777777" w:rsidR="007353DC" w:rsidRPr="007353DC" w:rsidRDefault="007353DC" w:rsidP="007353DC">
      <w:pPr>
        <w:pStyle w:val="NoSpacing"/>
        <w:ind w:firstLine="720"/>
        <w:rPr>
          <w:rFonts w:ascii="Times New Roman" w:hAnsi="Times New Roman"/>
          <w:bCs/>
          <w:sz w:val="24"/>
          <w:szCs w:val="24"/>
        </w:rPr>
      </w:pPr>
      <w:r w:rsidRPr="007353DC">
        <w:rPr>
          <w:rFonts w:ascii="Times New Roman" w:hAnsi="Times New Roman"/>
          <w:sz w:val="24"/>
          <w:szCs w:val="24"/>
        </w:rPr>
        <w:t>***</w:t>
      </w:r>
    </w:p>
    <w:p w14:paraId="7AFD6155" w14:textId="77777777" w:rsidR="007353DC" w:rsidRPr="007353DC" w:rsidRDefault="007353DC" w:rsidP="007353DC">
      <w:pPr>
        <w:pStyle w:val="NoSpacing"/>
        <w:rPr>
          <w:rFonts w:ascii="Times New Roman" w:hAnsi="Times New Roman"/>
          <w:bCs/>
          <w:sz w:val="24"/>
          <w:szCs w:val="24"/>
        </w:rPr>
      </w:pPr>
    </w:p>
    <w:p w14:paraId="415100C2" w14:textId="67070486" w:rsidR="007353DC" w:rsidRPr="007353DC" w:rsidRDefault="007353DC" w:rsidP="007353DC">
      <w:pPr>
        <w:pStyle w:val="NoSpacing"/>
        <w:ind w:left="720"/>
        <w:rPr>
          <w:rFonts w:ascii="Times New Roman" w:hAnsi="Times New Roman"/>
          <w:bCs/>
          <w:sz w:val="24"/>
          <w:szCs w:val="24"/>
        </w:rPr>
      </w:pPr>
      <w:r w:rsidRPr="007353DC">
        <w:rPr>
          <w:rFonts w:ascii="Times New Roman" w:hAnsi="Times New Roman"/>
          <w:sz w:val="24"/>
          <w:szCs w:val="24"/>
        </w:rPr>
        <w:t>Although Plaintiffs allege that the City acted ‘deliberately’ and ‘intended to harm</w:t>
      </w:r>
      <w:r>
        <w:rPr>
          <w:rFonts w:ascii="Times New Roman" w:hAnsi="Times New Roman"/>
          <w:sz w:val="24"/>
          <w:szCs w:val="24"/>
        </w:rPr>
        <w:t xml:space="preserve"> </w:t>
      </w:r>
      <w:r w:rsidRPr="007353DC">
        <w:rPr>
          <w:rFonts w:ascii="Times New Roman" w:hAnsi="Times New Roman"/>
          <w:sz w:val="24"/>
          <w:szCs w:val="24"/>
        </w:rPr>
        <w:t xml:space="preserve"> . . . through its egregious affirmative acts,’ … they fail to allege sufficient facts to support these conclusory and formulaic allegations. Plainly, Plaintiffs do not allege that</w:t>
      </w:r>
      <w:r>
        <w:rPr>
          <w:rFonts w:ascii="Times New Roman" w:hAnsi="Times New Roman"/>
          <w:sz w:val="24"/>
          <w:szCs w:val="24"/>
        </w:rPr>
        <w:t xml:space="preserve"> </w:t>
      </w:r>
      <w:r w:rsidRPr="007353DC">
        <w:rPr>
          <w:rFonts w:ascii="Times New Roman" w:hAnsi="Times New Roman"/>
          <w:sz w:val="24"/>
          <w:szCs w:val="24"/>
        </w:rPr>
        <w:t xml:space="preserve">the City sent Plaintiff Firefighters into the Property on January 24, 2022, with the intent to injure them. The only plausible purpose for sending Plaintiff Firefighters into the Property supported by the facts in the Complaint was to fight the fire that engulfed the building. The only facts offered that speak to the City’s motivations in failing to mark the Property as structurally compromised concern the City’s agreement with the Southwest Partnership, a nonprofit community organization. See </w:t>
      </w:r>
      <w:proofErr w:type="spellStart"/>
      <w:r w:rsidRPr="007353DC">
        <w:rPr>
          <w:rFonts w:ascii="Times New Roman" w:hAnsi="Times New Roman"/>
          <w:sz w:val="24"/>
          <w:szCs w:val="24"/>
        </w:rPr>
        <w:t>Compl</w:t>
      </w:r>
      <w:proofErr w:type="spellEnd"/>
      <w:r w:rsidRPr="007353DC">
        <w:rPr>
          <w:rFonts w:ascii="Times New Roman" w:hAnsi="Times New Roman"/>
          <w:sz w:val="24"/>
          <w:szCs w:val="24"/>
        </w:rPr>
        <w:t>. ¶¶ 63–68. Plaintiffs allege on information and belief that this agreement caused the City to avoid marking certain compromised properties because the markings would make them unattractive to potential investors. See id. ¶¶ 64–65, 68. Accepting these allegations as true—and accepting that they may describe wrongful or even egregious conduct by Defendant—the Court does not find that the allegations support a reasonable inference that Defendant acted with the</w:t>
      </w:r>
    </w:p>
    <w:p w14:paraId="7A5911DC" w14:textId="60FB76A9" w:rsidR="00AF7EA6" w:rsidRPr="007353DC" w:rsidRDefault="007353DC" w:rsidP="00037999">
      <w:pPr>
        <w:pStyle w:val="NoSpacing"/>
        <w:ind w:left="720"/>
        <w:rPr>
          <w:rFonts w:ascii="Times New Roman" w:hAnsi="Times New Roman"/>
          <w:sz w:val="24"/>
          <w:szCs w:val="24"/>
        </w:rPr>
      </w:pPr>
      <w:r w:rsidRPr="007353DC">
        <w:rPr>
          <w:rFonts w:ascii="Times New Roman" w:hAnsi="Times New Roman"/>
          <w:sz w:val="24"/>
          <w:szCs w:val="24"/>
        </w:rPr>
        <w:t xml:space="preserve">purpose of causing harm to Plaintiff Firefighters.” </w:t>
      </w:r>
    </w:p>
    <w:p w14:paraId="2A7C560F" w14:textId="77777777" w:rsidR="00037999" w:rsidRDefault="00037999" w:rsidP="00100878">
      <w:pPr>
        <w:pStyle w:val="NoSpacing"/>
        <w:rPr>
          <w:rFonts w:ascii="Times New Roman" w:hAnsi="Times New Roman"/>
          <w:sz w:val="24"/>
          <w:szCs w:val="24"/>
        </w:rPr>
      </w:pPr>
    </w:p>
    <w:p w14:paraId="2B0384C4" w14:textId="3A24A28A" w:rsidR="00100878" w:rsidRPr="00037999" w:rsidRDefault="00100878" w:rsidP="00100878">
      <w:pPr>
        <w:pStyle w:val="NoSpacing"/>
        <w:rPr>
          <w:rFonts w:ascii="Times New Roman" w:hAnsi="Times New Roman"/>
          <w:bCs/>
          <w:sz w:val="24"/>
          <w:szCs w:val="24"/>
        </w:rPr>
      </w:pPr>
      <w:r w:rsidRPr="00037999">
        <w:rPr>
          <w:rFonts w:ascii="Times New Roman" w:hAnsi="Times New Roman"/>
          <w:sz w:val="24"/>
          <w:szCs w:val="24"/>
        </w:rPr>
        <w:t xml:space="preserve">HOLDING: </w:t>
      </w:r>
    </w:p>
    <w:p w14:paraId="4109288C" w14:textId="77777777" w:rsidR="00100878" w:rsidRDefault="00100878" w:rsidP="00100878">
      <w:pPr>
        <w:pStyle w:val="NoSpacing"/>
        <w:ind w:firstLine="720"/>
        <w:rPr>
          <w:bCs/>
        </w:rPr>
      </w:pPr>
    </w:p>
    <w:p w14:paraId="1765586E"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 xml:space="preserve">“In Collins [Collins v. Harker Heights, Feb. 26, 1992; </w:t>
      </w:r>
      <w:hyperlink r:id="rId437" w:history="1">
        <w:r w:rsidRPr="00100878">
          <w:rPr>
            <w:rStyle w:val="Hyperlink"/>
            <w:rFonts w:ascii="Times New Roman" w:hAnsi="Times New Roman"/>
            <w:sz w:val="24"/>
            <w:szCs w:val="24"/>
          </w:rPr>
          <w:t>https://supreme.justia.com/cases/federal/us/503/115/</w:t>
        </w:r>
      </w:hyperlink>
      <w:r w:rsidRPr="00100878">
        <w:rPr>
          <w:rFonts w:ascii="Times New Roman" w:hAnsi="Times New Roman"/>
          <w:sz w:val="24"/>
          <w:szCs w:val="24"/>
        </w:rPr>
        <w:t xml:space="preserve"> ] , the Supreme Court affirmed dismissal of a § 1983 due process claim based on ‘the city’s </w:t>
      </w:r>
      <w:proofErr w:type="spellStart"/>
      <w:r w:rsidRPr="00100878">
        <w:rPr>
          <w:rFonts w:ascii="Times New Roman" w:hAnsi="Times New Roman"/>
          <w:sz w:val="24"/>
          <w:szCs w:val="24"/>
        </w:rPr>
        <w:t>customar</w:t>
      </w:r>
      <w:proofErr w:type="spellEnd"/>
      <w:r w:rsidRPr="00100878">
        <w:rPr>
          <w:rFonts w:ascii="Times New Roman" w:hAnsi="Times New Roman"/>
          <w:sz w:val="24"/>
          <w:szCs w:val="24"/>
        </w:rPr>
        <w:t>[y] fail[</w:t>
      </w:r>
      <w:proofErr w:type="spellStart"/>
      <w:r w:rsidRPr="00100878">
        <w:rPr>
          <w:rFonts w:ascii="Times New Roman" w:hAnsi="Times New Roman"/>
          <w:sz w:val="24"/>
          <w:szCs w:val="24"/>
        </w:rPr>
        <w:t>ure</w:t>
      </w:r>
      <w:proofErr w:type="spellEnd"/>
      <w:r w:rsidRPr="00100878">
        <w:rPr>
          <w:rFonts w:ascii="Times New Roman" w:hAnsi="Times New Roman"/>
          <w:sz w:val="24"/>
          <w:szCs w:val="24"/>
        </w:rPr>
        <w:t>] to train or warn its employees about known hazards in the workplace[,]” which was alleged to have resulted in the death of a municipal employee…. The Court rejected the proposition that “the governmental employer’s duty to provide its employees with a safe working environment is a substantive component of the Due Process Clause.”</w:t>
      </w:r>
    </w:p>
    <w:p w14:paraId="25FE3813" w14:textId="77777777" w:rsidR="00100878" w:rsidRPr="00100878" w:rsidRDefault="00100878" w:rsidP="00100878">
      <w:pPr>
        <w:pStyle w:val="NoSpacing"/>
        <w:ind w:left="720"/>
        <w:rPr>
          <w:rFonts w:ascii="Times New Roman" w:hAnsi="Times New Roman"/>
          <w:bCs/>
          <w:sz w:val="24"/>
          <w:szCs w:val="24"/>
        </w:rPr>
      </w:pPr>
    </w:p>
    <w:p w14:paraId="24B9E8A7"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w:t>
      </w:r>
    </w:p>
    <w:p w14:paraId="0B1F078B"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 xml:space="preserve">In </w:t>
      </w:r>
      <w:r w:rsidRPr="00100878">
        <w:rPr>
          <w:rFonts w:ascii="Times New Roman" w:hAnsi="Times New Roman"/>
          <w:i/>
          <w:iCs/>
          <w:sz w:val="24"/>
          <w:szCs w:val="24"/>
        </w:rPr>
        <w:t>Waybright v. Frederick Cnty.,</w:t>
      </w:r>
      <w:r w:rsidRPr="00100878">
        <w:rPr>
          <w:rFonts w:ascii="Times New Roman" w:hAnsi="Times New Roman"/>
          <w:sz w:val="24"/>
          <w:szCs w:val="24"/>
        </w:rPr>
        <w:t xml:space="preserve"> Md., [June 2, 2008; </w:t>
      </w:r>
      <w:hyperlink r:id="rId438" w:history="1">
        <w:r w:rsidRPr="00100878">
          <w:rPr>
            <w:rStyle w:val="Hyperlink"/>
            <w:rFonts w:ascii="Times New Roman" w:hAnsi="Times New Roman"/>
            <w:sz w:val="24"/>
            <w:szCs w:val="24"/>
          </w:rPr>
          <w:t>https://casetext.com/case/waybright-v-frederick-county-2</w:t>
        </w:r>
      </w:hyperlink>
      <w:r w:rsidRPr="00100878">
        <w:rPr>
          <w:rFonts w:ascii="Times New Roman" w:hAnsi="Times New Roman"/>
          <w:sz w:val="24"/>
          <w:szCs w:val="24"/>
        </w:rPr>
        <w:t xml:space="preserve"> ] the Fourth Circuit affirmed summary judgment in favor of the municipal defendants on the plaintiffs’ due process claim based upon a fire department</w:t>
      </w:r>
    </w:p>
    <w:p w14:paraId="40710DCD"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 xml:space="preserve">recruit’s accidental death following an intensive physical training session. 528 F.3d at 208. As relevant here, the Fourth Circuit rejected the plaintiffs’ contention that Waybright was in a ‘special relationship’ with his supervisor such that the government had ‘a duty to act on [Waybright’s] behalf and its failures to act [were] measured on a deliberate indifference standard[.]’  </w:t>
      </w:r>
    </w:p>
    <w:p w14:paraId="4C2B550D" w14:textId="77777777" w:rsidR="00100878" w:rsidRPr="00100878" w:rsidRDefault="00100878" w:rsidP="00100878">
      <w:pPr>
        <w:pStyle w:val="NoSpacing"/>
        <w:ind w:left="720"/>
        <w:rPr>
          <w:rFonts w:ascii="Times New Roman" w:hAnsi="Times New Roman"/>
          <w:bCs/>
          <w:sz w:val="24"/>
          <w:szCs w:val="24"/>
        </w:rPr>
      </w:pPr>
    </w:p>
    <w:p w14:paraId="356ABCEC"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w:t>
      </w:r>
    </w:p>
    <w:p w14:paraId="5ADE8479"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 xml:space="preserve">In </w:t>
      </w:r>
      <w:r w:rsidRPr="00100878">
        <w:rPr>
          <w:rFonts w:ascii="Times New Roman" w:hAnsi="Times New Roman"/>
          <w:i/>
          <w:iCs/>
          <w:sz w:val="24"/>
          <w:szCs w:val="24"/>
        </w:rPr>
        <w:t xml:space="preserve">Slaughter v. Mayor &amp; City Council of Baltimore </w:t>
      </w:r>
      <w:r w:rsidRPr="00100878">
        <w:rPr>
          <w:rFonts w:ascii="Times New Roman" w:hAnsi="Times New Roman"/>
          <w:sz w:val="24"/>
          <w:szCs w:val="24"/>
        </w:rPr>
        <w:t>[June 7, 2012</w:t>
      </w:r>
      <w:r w:rsidRPr="00100878">
        <w:rPr>
          <w:rFonts w:ascii="Times New Roman" w:hAnsi="Times New Roman"/>
          <w:i/>
          <w:iCs/>
          <w:sz w:val="24"/>
          <w:szCs w:val="24"/>
        </w:rPr>
        <w:t xml:space="preserve">; </w:t>
      </w:r>
      <w:hyperlink r:id="rId439" w:history="1">
        <w:r w:rsidRPr="00100878">
          <w:rPr>
            <w:rStyle w:val="Hyperlink"/>
            <w:rFonts w:ascii="Times New Roman" w:hAnsi="Times New Roman"/>
            <w:sz w:val="24"/>
            <w:szCs w:val="24"/>
          </w:rPr>
          <w:t>https://casetext.com/case/slaughter-v-mayor-city-council-of-balt</w:t>
        </w:r>
      </w:hyperlink>
      <w:r w:rsidRPr="00100878">
        <w:rPr>
          <w:rFonts w:ascii="Times New Roman" w:hAnsi="Times New Roman"/>
          <w:sz w:val="24"/>
          <w:szCs w:val="24"/>
        </w:rPr>
        <w:t xml:space="preserve"> ] a fire department recruit, Racheal Wilson, died during a ‘live burn’ training exercise…. The Fourth Circuit affirmed dismissal of the complaint for failure to state a claim … because they did not assert that the Fire Department intended to harm Wilson…. The Fourth Circuit</w:t>
      </w:r>
    </w:p>
    <w:p w14:paraId="258CEE86"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ultimately held, in the context of this case, that the fire department’s constitutional liability ‘turn[ed] on whether it intended to harm the new recruits.’</w:t>
      </w:r>
    </w:p>
    <w:p w14:paraId="2AA758FB" w14:textId="77777777" w:rsidR="00100878" w:rsidRPr="00100878" w:rsidRDefault="00100878" w:rsidP="00100878">
      <w:pPr>
        <w:pStyle w:val="NoSpacing"/>
        <w:ind w:left="720"/>
        <w:rPr>
          <w:rFonts w:ascii="Times New Roman" w:hAnsi="Times New Roman"/>
          <w:bCs/>
          <w:sz w:val="24"/>
          <w:szCs w:val="24"/>
        </w:rPr>
      </w:pPr>
    </w:p>
    <w:p w14:paraId="710D67E7"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w:t>
      </w:r>
    </w:p>
    <w:p w14:paraId="2A57F724"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 xml:space="preserve">Because Plaintiffs fail to allege a plausible constitutional violation, their </w:t>
      </w:r>
      <w:r w:rsidRPr="00100878">
        <w:rPr>
          <w:rFonts w:ascii="Times New Roman" w:hAnsi="Times New Roman"/>
          <w:i/>
          <w:iCs/>
          <w:sz w:val="24"/>
          <w:szCs w:val="24"/>
        </w:rPr>
        <w:t>Monell</w:t>
      </w:r>
      <w:r w:rsidRPr="00100878">
        <w:rPr>
          <w:rFonts w:ascii="Times New Roman" w:hAnsi="Times New Roman"/>
          <w:sz w:val="24"/>
          <w:szCs w:val="24"/>
        </w:rPr>
        <w:t xml:space="preserve"> claim</w:t>
      </w:r>
    </w:p>
    <w:p w14:paraId="0BB0DB0D" w14:textId="77777777"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cannot survive Defendant’s motion to dismiss.”</w:t>
      </w:r>
    </w:p>
    <w:p w14:paraId="1AD03354" w14:textId="77777777" w:rsidR="00100878" w:rsidRPr="00100878" w:rsidRDefault="00100878" w:rsidP="00100878">
      <w:pPr>
        <w:pStyle w:val="NoSpacing"/>
        <w:ind w:left="720"/>
        <w:rPr>
          <w:rFonts w:ascii="Times New Roman" w:hAnsi="Times New Roman"/>
          <w:bCs/>
          <w:sz w:val="24"/>
          <w:szCs w:val="24"/>
        </w:rPr>
      </w:pPr>
    </w:p>
    <w:p w14:paraId="404DDA6F" w14:textId="77777777" w:rsidR="00100878" w:rsidRPr="00100878" w:rsidRDefault="00100878" w:rsidP="00100878">
      <w:pPr>
        <w:pStyle w:val="NoSpacing"/>
        <w:rPr>
          <w:rFonts w:ascii="Times New Roman" w:hAnsi="Times New Roman"/>
          <w:b/>
          <w:sz w:val="24"/>
          <w:szCs w:val="24"/>
        </w:rPr>
      </w:pPr>
      <w:r w:rsidRPr="00100878">
        <w:rPr>
          <w:rFonts w:ascii="Times New Roman" w:hAnsi="Times New Roman"/>
          <w:b/>
          <w:sz w:val="24"/>
          <w:szCs w:val="24"/>
        </w:rPr>
        <w:t>Legal Lesson Learned: Tragic set of facts, but no city intent to injure was alleged.  Plaintiffs are expected to appeal to the 4</w:t>
      </w:r>
      <w:r w:rsidRPr="00100878">
        <w:rPr>
          <w:rFonts w:ascii="Times New Roman" w:hAnsi="Times New Roman"/>
          <w:b/>
          <w:sz w:val="24"/>
          <w:szCs w:val="24"/>
          <w:vertAlign w:val="superscript"/>
        </w:rPr>
        <w:t>th</w:t>
      </w:r>
      <w:r w:rsidRPr="00100878">
        <w:rPr>
          <w:rFonts w:ascii="Times New Roman" w:hAnsi="Times New Roman"/>
          <w:b/>
          <w:sz w:val="24"/>
          <w:szCs w:val="24"/>
        </w:rPr>
        <w:t xml:space="preserve"> Circuit.</w:t>
      </w:r>
    </w:p>
    <w:p w14:paraId="05C1A1A7" w14:textId="77777777" w:rsidR="00100878" w:rsidRPr="00100878" w:rsidRDefault="00100878" w:rsidP="00100878">
      <w:pPr>
        <w:pStyle w:val="NoSpacing"/>
        <w:rPr>
          <w:rFonts w:ascii="Times New Roman" w:hAnsi="Times New Roman"/>
          <w:b/>
          <w:sz w:val="24"/>
          <w:szCs w:val="24"/>
        </w:rPr>
      </w:pPr>
    </w:p>
    <w:p w14:paraId="70634886" w14:textId="78339C64" w:rsidR="00100878" w:rsidRPr="00100878" w:rsidRDefault="00100878" w:rsidP="00100878">
      <w:pPr>
        <w:pStyle w:val="NoSpacing"/>
        <w:ind w:left="720"/>
        <w:rPr>
          <w:rFonts w:ascii="Times New Roman" w:hAnsi="Times New Roman"/>
          <w:bCs/>
          <w:sz w:val="24"/>
          <w:szCs w:val="24"/>
        </w:rPr>
      </w:pPr>
      <w:r w:rsidRPr="00100878">
        <w:rPr>
          <w:rFonts w:ascii="Times New Roman" w:hAnsi="Times New Roman"/>
          <w:sz w:val="24"/>
          <w:szCs w:val="24"/>
        </w:rPr>
        <w:t>See Dec. 27</w:t>
      </w:r>
      <w:r w:rsidR="00BE6877">
        <w:rPr>
          <w:rFonts w:ascii="Times New Roman" w:hAnsi="Times New Roman"/>
          <w:sz w:val="24"/>
          <w:szCs w:val="24"/>
        </w:rPr>
        <w:t>,</w:t>
      </w:r>
      <w:r w:rsidRPr="00100878">
        <w:rPr>
          <w:rFonts w:ascii="Times New Roman" w:hAnsi="Times New Roman"/>
          <w:sz w:val="24"/>
          <w:szCs w:val="24"/>
        </w:rPr>
        <w:t xml:space="preserve"> </w:t>
      </w:r>
      <w:proofErr w:type="gramStart"/>
      <w:r w:rsidRPr="00100878">
        <w:rPr>
          <w:rFonts w:ascii="Times New Roman" w:hAnsi="Times New Roman"/>
          <w:sz w:val="24"/>
          <w:szCs w:val="24"/>
        </w:rPr>
        <w:t>2024</w:t>
      </w:r>
      <w:proofErr w:type="gramEnd"/>
      <w:r w:rsidRPr="00100878">
        <w:rPr>
          <w:rFonts w:ascii="Times New Roman" w:hAnsi="Times New Roman"/>
          <w:sz w:val="24"/>
          <w:szCs w:val="24"/>
        </w:rPr>
        <w:t xml:space="preserve"> article: “Judge tosses out lawsuit from families of Baltimore firefighters killed in blaze.” </w:t>
      </w:r>
    </w:p>
    <w:p w14:paraId="2BE23A1C" w14:textId="77777777" w:rsidR="00100878" w:rsidRPr="00100878" w:rsidRDefault="00100878" w:rsidP="00100878">
      <w:pPr>
        <w:pStyle w:val="NoSpacing"/>
        <w:ind w:left="720"/>
        <w:rPr>
          <w:rFonts w:ascii="Times New Roman" w:hAnsi="Times New Roman"/>
          <w:b/>
          <w:sz w:val="24"/>
          <w:szCs w:val="24"/>
        </w:rPr>
      </w:pPr>
      <w:hyperlink r:id="rId440" w:history="1">
        <w:r w:rsidRPr="00100878">
          <w:rPr>
            <w:rStyle w:val="Hyperlink"/>
            <w:rFonts w:ascii="Times New Roman" w:hAnsi="Times New Roman"/>
            <w:b/>
            <w:sz w:val="24"/>
            <w:szCs w:val="24"/>
          </w:rPr>
          <w:t>https://www.firerescue1.com/legal/judge-tosses-out-lawsuit-from-families-of-baltimore-firefighters-killed-in-2022-blaze?utm_source=delivra&amp;utm_medium=email&amp;utm_campaign=FR1-Daily-12-27-24&amp;utm_id=8279434&amp;dlv-emuid=fed355b8-46a2-4fa4-b55c-4d602dde33c4&amp;dlv-mlid=8279434</w:t>
        </w:r>
      </w:hyperlink>
      <w:r w:rsidRPr="00100878">
        <w:rPr>
          <w:rFonts w:ascii="Times New Roman" w:hAnsi="Times New Roman"/>
          <w:b/>
          <w:sz w:val="24"/>
          <w:szCs w:val="24"/>
        </w:rPr>
        <w:t xml:space="preserve"> </w:t>
      </w:r>
    </w:p>
    <w:p w14:paraId="5A705C76" w14:textId="77777777" w:rsidR="00F755DB" w:rsidRPr="00100878" w:rsidRDefault="00F755DB" w:rsidP="005D5A0C">
      <w:pPr>
        <w:rPr>
          <w:rFonts w:ascii="Times New Roman" w:hAnsi="Times New Roman"/>
          <w:sz w:val="24"/>
          <w:szCs w:val="24"/>
        </w:rPr>
      </w:pPr>
    </w:p>
    <w:p w14:paraId="19AD1D3F" w14:textId="77777777" w:rsidR="00F755DB" w:rsidRDefault="00F755DB" w:rsidP="005D5A0C">
      <w:pPr>
        <w:rPr>
          <w:rFonts w:ascii="Arial Black" w:hAnsi="Arial Black"/>
          <w:sz w:val="24"/>
          <w:szCs w:val="24"/>
        </w:rPr>
      </w:pPr>
    </w:p>
    <w:p w14:paraId="3CB4C5FA" w14:textId="239802B8" w:rsidR="00BC0732" w:rsidRDefault="00BC0732" w:rsidP="005D5A0C">
      <w:pPr>
        <w:rPr>
          <w:rFonts w:ascii="Arial Black" w:hAnsi="Arial Black"/>
          <w:sz w:val="24"/>
          <w:szCs w:val="24"/>
        </w:rPr>
      </w:pPr>
      <w:r>
        <w:rPr>
          <w:rFonts w:ascii="Arial Black" w:hAnsi="Arial Black"/>
          <w:sz w:val="24"/>
          <w:szCs w:val="24"/>
        </w:rPr>
        <w:t>2-7</w:t>
      </w:r>
      <w:r w:rsidR="006D1B8F">
        <w:rPr>
          <w:rFonts w:ascii="Arial Black" w:hAnsi="Arial Black"/>
          <w:sz w:val="24"/>
          <w:szCs w:val="24"/>
        </w:rPr>
        <w:t>9</w:t>
      </w:r>
    </w:p>
    <w:p w14:paraId="13364B28" w14:textId="77777777" w:rsidR="00BC0732" w:rsidRPr="00037999" w:rsidRDefault="00BC0732" w:rsidP="00BC0732">
      <w:pPr>
        <w:pStyle w:val="NoSpacing"/>
        <w:rPr>
          <w:rFonts w:ascii="Arial Black" w:hAnsi="Arial Black"/>
          <w:b/>
          <w:sz w:val="28"/>
          <w:szCs w:val="28"/>
        </w:rPr>
      </w:pPr>
      <w:r w:rsidRPr="00037999">
        <w:rPr>
          <w:rFonts w:ascii="Arial Black" w:hAnsi="Arial Black"/>
          <w:b/>
          <w:sz w:val="28"/>
          <w:szCs w:val="28"/>
        </w:rPr>
        <w:t>OH: FF KILLED AT MVA SCEEN – MOTORIST FAILED YIELD – MURDER LOWERED TO MANSLAUGHTER – PD NOT CONTROL</w:t>
      </w:r>
    </w:p>
    <w:p w14:paraId="24EDE64B" w14:textId="77777777" w:rsidR="00BC0732" w:rsidRPr="00253954" w:rsidRDefault="00BC0732" w:rsidP="00BC0732">
      <w:pPr>
        <w:pStyle w:val="NoSpacing"/>
        <w:ind w:firstLine="720"/>
        <w:rPr>
          <w:rFonts w:ascii="Times New Roman" w:hAnsi="Times New Roman"/>
          <w:b/>
          <w:sz w:val="24"/>
          <w:szCs w:val="24"/>
        </w:rPr>
      </w:pPr>
    </w:p>
    <w:p w14:paraId="55A89DE4" w14:textId="7CF01596" w:rsidR="00BC0732" w:rsidRPr="00253954" w:rsidRDefault="00BC0732" w:rsidP="00BC0732">
      <w:pPr>
        <w:pStyle w:val="NoSpacing"/>
        <w:rPr>
          <w:rFonts w:ascii="Times New Roman" w:hAnsi="Times New Roman"/>
          <w:bCs/>
          <w:sz w:val="24"/>
          <w:szCs w:val="24"/>
        </w:rPr>
      </w:pPr>
      <w:r w:rsidRPr="00253954">
        <w:rPr>
          <w:rFonts w:ascii="Times New Roman" w:hAnsi="Times New Roman"/>
          <w:sz w:val="24"/>
          <w:szCs w:val="24"/>
        </w:rPr>
        <w:t xml:space="preserve">On Nov. 7, 2024, in </w:t>
      </w:r>
      <w:r w:rsidRPr="00253954">
        <w:rPr>
          <w:rFonts w:ascii="Times New Roman" w:hAnsi="Times New Roman"/>
          <w:sz w:val="24"/>
          <w:szCs w:val="24"/>
          <w:u w:val="single"/>
        </w:rPr>
        <w:t>State of Ohio v. Leander Bissell</w:t>
      </w:r>
      <w:r w:rsidRPr="00253954">
        <w:rPr>
          <w:rFonts w:ascii="Times New Roman" w:hAnsi="Times New Roman"/>
          <w:sz w:val="24"/>
          <w:szCs w:val="24"/>
        </w:rPr>
        <w:t xml:space="preserve">, the Ohio Court of Appeals for Eight District, Cuyahoga County, held (2 to 1) that defendant’s conviction and life sentence under the felony-murder statute must be reversed to a lower involuntary manslaughter.  The Court wrote: “[A]s there was no testimony regarding an order or direction, and no officer testified that they were invested with the authority to direct traffic, there was insufficient evidence to support the conviction for failure to comply with the order or signal of a police officer. *** There is no doubt that Bissell caused the death of Firefighter Tetrick. Unlike the cases cited by the State, there is no evidence Bissell knowingly used his car as a weapon to cause serious physical </w:t>
      </w:r>
      <w:proofErr w:type="gramStart"/>
      <w:r w:rsidRPr="00253954">
        <w:rPr>
          <w:rFonts w:ascii="Times New Roman" w:hAnsi="Times New Roman"/>
          <w:sz w:val="24"/>
          <w:szCs w:val="24"/>
        </w:rPr>
        <w:t>harm.</w:t>
      </w:r>
      <w:r w:rsidR="00C34177">
        <w:rPr>
          <w:rFonts w:ascii="Times New Roman" w:hAnsi="Times New Roman"/>
          <w:sz w:val="24"/>
          <w:szCs w:val="24"/>
        </w:rPr>
        <w:t>”</w:t>
      </w:r>
      <w:proofErr w:type="gramEnd"/>
      <w:r w:rsidRPr="00253954">
        <w:rPr>
          <w:rFonts w:ascii="Times New Roman" w:hAnsi="Times New Roman"/>
          <w:sz w:val="24"/>
          <w:szCs w:val="24"/>
        </w:rPr>
        <w:t xml:space="preserve"> </w:t>
      </w:r>
      <w:hyperlink r:id="rId441" w:history="1">
        <w:r w:rsidRPr="00253954">
          <w:rPr>
            <w:rStyle w:val="Hyperlink"/>
            <w:rFonts w:ascii="Times New Roman" w:hAnsi="Times New Roman"/>
            <w:sz w:val="24"/>
            <w:szCs w:val="24"/>
          </w:rPr>
          <w:t>https://www.supremecourt.ohio.gov/rod/docs/pdf/8/2024/2024-Ohio-5317.pdf</w:t>
        </w:r>
      </w:hyperlink>
      <w:r w:rsidRPr="00253954">
        <w:rPr>
          <w:rFonts w:ascii="Times New Roman" w:hAnsi="Times New Roman"/>
          <w:sz w:val="24"/>
          <w:szCs w:val="24"/>
        </w:rPr>
        <w:t xml:space="preserve"> </w:t>
      </w:r>
    </w:p>
    <w:p w14:paraId="44DAD0D3" w14:textId="77777777" w:rsidR="00253954" w:rsidRPr="00253954" w:rsidRDefault="00253954" w:rsidP="00253954">
      <w:pPr>
        <w:pStyle w:val="NoSpacing"/>
        <w:rPr>
          <w:rFonts w:ascii="Times New Roman" w:hAnsi="Times New Roman"/>
          <w:b/>
          <w:sz w:val="24"/>
          <w:szCs w:val="24"/>
        </w:rPr>
      </w:pPr>
    </w:p>
    <w:p w14:paraId="5FAB38FD" w14:textId="2E71ABDC" w:rsidR="00253954" w:rsidRPr="00351E0A" w:rsidRDefault="00253954" w:rsidP="00253954">
      <w:pPr>
        <w:pStyle w:val="NoSpacing"/>
        <w:rPr>
          <w:rFonts w:ascii="Times New Roman" w:hAnsi="Times New Roman"/>
          <w:bCs/>
          <w:sz w:val="24"/>
          <w:szCs w:val="24"/>
        </w:rPr>
      </w:pPr>
      <w:r w:rsidRPr="00351E0A">
        <w:rPr>
          <w:rFonts w:ascii="Times New Roman" w:hAnsi="Times New Roman"/>
          <w:bCs/>
          <w:sz w:val="24"/>
          <w:szCs w:val="24"/>
        </w:rPr>
        <w:t>See Dissent</w:t>
      </w:r>
    </w:p>
    <w:p w14:paraId="5305C9EA" w14:textId="77777777" w:rsidR="00253954" w:rsidRPr="00253954" w:rsidRDefault="00253954" w:rsidP="00253954">
      <w:pPr>
        <w:pStyle w:val="NoSpacing"/>
        <w:rPr>
          <w:rFonts w:ascii="Times New Roman" w:hAnsi="Times New Roman"/>
          <w:b/>
          <w:sz w:val="24"/>
          <w:szCs w:val="24"/>
        </w:rPr>
      </w:pPr>
    </w:p>
    <w:p w14:paraId="0AE32BA3" w14:textId="46B619BA" w:rsidR="00253954" w:rsidRPr="00253954" w:rsidRDefault="00253954" w:rsidP="00253954">
      <w:pPr>
        <w:pStyle w:val="NoSpacing"/>
        <w:rPr>
          <w:rFonts w:ascii="Times New Roman" w:hAnsi="Times New Roman"/>
          <w:b/>
          <w:sz w:val="24"/>
          <w:szCs w:val="24"/>
        </w:rPr>
      </w:pPr>
      <w:r w:rsidRPr="00253954">
        <w:rPr>
          <w:rFonts w:ascii="Times New Roman" w:hAnsi="Times New Roman"/>
          <w:b/>
          <w:sz w:val="24"/>
          <w:szCs w:val="24"/>
        </w:rPr>
        <w:t xml:space="preserve">Legal Lesson Learned: High risk scene when firefighters are at MVA and traffic control not yet established; defendant will be resentenced. </w:t>
      </w:r>
    </w:p>
    <w:p w14:paraId="480DB7D3" w14:textId="77777777" w:rsidR="00253954" w:rsidRPr="00253954" w:rsidRDefault="00253954" w:rsidP="00253954">
      <w:pPr>
        <w:pStyle w:val="NoSpacing"/>
        <w:rPr>
          <w:rFonts w:ascii="Times New Roman" w:hAnsi="Times New Roman"/>
          <w:b/>
          <w:sz w:val="24"/>
          <w:szCs w:val="24"/>
        </w:rPr>
      </w:pPr>
    </w:p>
    <w:p w14:paraId="5151E88D" w14:textId="77777777" w:rsidR="00253954" w:rsidRPr="00253954" w:rsidRDefault="00253954" w:rsidP="00253954">
      <w:pPr>
        <w:pStyle w:val="NoSpacing"/>
        <w:ind w:left="720"/>
        <w:rPr>
          <w:rFonts w:ascii="Times New Roman" w:hAnsi="Times New Roman"/>
          <w:bCs/>
          <w:sz w:val="24"/>
          <w:szCs w:val="24"/>
        </w:rPr>
      </w:pPr>
      <w:r w:rsidRPr="00253954">
        <w:rPr>
          <w:rFonts w:ascii="Times New Roman" w:hAnsi="Times New Roman"/>
          <w:sz w:val="24"/>
          <w:szCs w:val="24"/>
        </w:rPr>
        <w:t xml:space="preserve">Note:  See YouTube of defendant’s original sentencing.  </w:t>
      </w:r>
      <w:hyperlink r:id="rId442" w:history="1">
        <w:r w:rsidRPr="00253954">
          <w:rPr>
            <w:rStyle w:val="Hyperlink"/>
            <w:rFonts w:ascii="Times New Roman" w:hAnsi="Times New Roman"/>
            <w:sz w:val="24"/>
            <w:szCs w:val="24"/>
          </w:rPr>
          <w:t>https://www.youtube.com/watch?v=Y-qURehCp-0</w:t>
        </w:r>
      </w:hyperlink>
      <w:r w:rsidRPr="00253954">
        <w:rPr>
          <w:rFonts w:ascii="Times New Roman" w:hAnsi="Times New Roman"/>
          <w:sz w:val="24"/>
          <w:szCs w:val="24"/>
        </w:rPr>
        <w:t xml:space="preserve"> </w:t>
      </w:r>
    </w:p>
    <w:p w14:paraId="4E534D54" w14:textId="77777777" w:rsidR="00253954" w:rsidRPr="00253954" w:rsidRDefault="00253954" w:rsidP="00253954">
      <w:pPr>
        <w:pStyle w:val="NoSpacing"/>
        <w:ind w:left="720"/>
        <w:rPr>
          <w:rFonts w:ascii="Times New Roman" w:hAnsi="Times New Roman"/>
          <w:bCs/>
          <w:sz w:val="24"/>
          <w:szCs w:val="24"/>
        </w:rPr>
      </w:pPr>
    </w:p>
    <w:p w14:paraId="6CCA5CC4" w14:textId="77777777" w:rsidR="00253954" w:rsidRPr="00253954" w:rsidRDefault="00253954" w:rsidP="00253954">
      <w:pPr>
        <w:pStyle w:val="NoSpacing"/>
        <w:ind w:left="720"/>
        <w:rPr>
          <w:rFonts w:ascii="Times New Roman" w:hAnsi="Times New Roman"/>
          <w:b/>
          <w:sz w:val="24"/>
          <w:szCs w:val="24"/>
        </w:rPr>
      </w:pPr>
      <w:r w:rsidRPr="00253954">
        <w:rPr>
          <w:rFonts w:ascii="Times New Roman" w:hAnsi="Times New Roman"/>
          <w:sz w:val="24"/>
          <w:szCs w:val="24"/>
        </w:rPr>
        <w:t>Leander Bissell apologizes at sentencing for hit-and-run death of Cleveland firefighter Tetrick.</w:t>
      </w:r>
      <w:r w:rsidRPr="00253954">
        <w:rPr>
          <w:rFonts w:ascii="Times New Roman" w:hAnsi="Times New Roman"/>
          <w:b/>
          <w:sz w:val="24"/>
          <w:szCs w:val="24"/>
        </w:rPr>
        <w:t xml:space="preserve"> </w:t>
      </w:r>
      <w:hyperlink r:id="rId443" w:history="1">
        <w:r w:rsidRPr="00253954">
          <w:rPr>
            <w:rStyle w:val="Hyperlink"/>
            <w:rFonts w:ascii="Times New Roman" w:hAnsi="Times New Roman"/>
            <w:b/>
            <w:sz w:val="24"/>
            <w:szCs w:val="24"/>
          </w:rPr>
          <w:t>https://www.youtube.com/watch?v=teM31tC2TMo</w:t>
        </w:r>
      </w:hyperlink>
      <w:r w:rsidRPr="00253954">
        <w:rPr>
          <w:rFonts w:ascii="Times New Roman" w:hAnsi="Times New Roman"/>
          <w:b/>
          <w:sz w:val="24"/>
          <w:szCs w:val="24"/>
        </w:rPr>
        <w:t xml:space="preserve"> </w:t>
      </w:r>
    </w:p>
    <w:p w14:paraId="2A55AF75" w14:textId="77777777" w:rsidR="00253954" w:rsidRPr="00253954" w:rsidRDefault="00253954" w:rsidP="00253954">
      <w:pPr>
        <w:pStyle w:val="NoSpacing"/>
        <w:rPr>
          <w:rFonts w:ascii="Times New Roman" w:hAnsi="Times New Roman"/>
          <w:bCs/>
          <w:sz w:val="24"/>
          <w:szCs w:val="24"/>
        </w:rPr>
      </w:pPr>
    </w:p>
    <w:p w14:paraId="56D84F68" w14:textId="77777777" w:rsidR="00351E0A" w:rsidRDefault="00351E0A" w:rsidP="005D5A0C">
      <w:pPr>
        <w:rPr>
          <w:rFonts w:ascii="Arial Black" w:hAnsi="Arial Black"/>
          <w:sz w:val="24"/>
          <w:szCs w:val="24"/>
        </w:rPr>
      </w:pPr>
    </w:p>
    <w:p w14:paraId="0B62A7F6" w14:textId="0E0E54CF" w:rsidR="00BC0732" w:rsidRDefault="006D1B8F" w:rsidP="005D5A0C">
      <w:pPr>
        <w:rPr>
          <w:rFonts w:ascii="Arial Black" w:hAnsi="Arial Black"/>
          <w:sz w:val="24"/>
          <w:szCs w:val="24"/>
        </w:rPr>
      </w:pPr>
      <w:r w:rsidRPr="006D1B8F">
        <w:rPr>
          <w:rFonts w:ascii="Arial Black" w:hAnsi="Arial Black"/>
          <w:sz w:val="24"/>
          <w:szCs w:val="24"/>
        </w:rPr>
        <w:t>2-78</w:t>
      </w:r>
    </w:p>
    <w:p w14:paraId="304CB382" w14:textId="77777777" w:rsidR="00277909" w:rsidRPr="00402FF4" w:rsidRDefault="00277909" w:rsidP="00277909">
      <w:pPr>
        <w:rPr>
          <w:rFonts w:ascii="Arial Black" w:hAnsi="Arial Black"/>
          <w:sz w:val="28"/>
          <w:szCs w:val="28"/>
        </w:rPr>
      </w:pPr>
      <w:r w:rsidRPr="00402FF4">
        <w:rPr>
          <w:rFonts w:ascii="Arial Black" w:hAnsi="Arial Black"/>
          <w:sz w:val="28"/>
          <w:szCs w:val="28"/>
        </w:rPr>
        <w:t>NY:</w:t>
      </w:r>
      <w:r>
        <w:rPr>
          <w:rFonts w:ascii="Arial Black" w:hAnsi="Arial Black"/>
          <w:sz w:val="28"/>
          <w:szCs w:val="28"/>
        </w:rPr>
        <w:t xml:space="preserve"> FDNY FF STROKE AFTER BLDG FIRE – CAN SUE OWNER BREACH CODE / BLDG NOT SECURED – NY FIREMAN’S RULE </w:t>
      </w:r>
    </w:p>
    <w:p w14:paraId="43338BC4" w14:textId="098F5ED7" w:rsidR="00277909" w:rsidRPr="00351E0A" w:rsidRDefault="00277909" w:rsidP="00277909">
      <w:pPr>
        <w:rPr>
          <w:rStyle w:val="Hyperlink"/>
          <w:rFonts w:ascii="Times New Roman" w:hAnsi="Times New Roman"/>
          <w:sz w:val="24"/>
          <w:szCs w:val="24"/>
        </w:rPr>
      </w:pPr>
      <w:r w:rsidRPr="00351E0A">
        <w:rPr>
          <w:rFonts w:ascii="Times New Roman" w:hAnsi="Times New Roman"/>
          <w:sz w:val="24"/>
          <w:szCs w:val="24"/>
        </w:rPr>
        <w:t xml:space="preserve">On Oct. 29, 2024, in </w:t>
      </w:r>
      <w:r w:rsidRPr="00351E0A">
        <w:rPr>
          <w:rFonts w:ascii="Times New Roman" w:hAnsi="Times New Roman"/>
          <w:sz w:val="24"/>
          <w:szCs w:val="24"/>
          <w:u w:val="single"/>
        </w:rPr>
        <w:t>David Pickford and Rosemarie Pickford v. Noel M. Deleon</w:t>
      </w:r>
      <w:r w:rsidRPr="00351E0A">
        <w:rPr>
          <w:rFonts w:ascii="Times New Roman" w:hAnsi="Times New Roman"/>
          <w:sz w:val="24"/>
          <w:szCs w:val="24"/>
        </w:rPr>
        <w:t xml:space="preserve">, Judge Richard Montelione, Supreme Court of the State of New York, County of Kings, Part 99, granted the plaintiffs’ motion for default judgment.  The Court wrote: “General Municipal Law§ 205-a(l) provides that a firefighter has a cause of action when he or she sustains an injury in the line of duty as a result of any neglect, omission, willful or culpable negligence of any person or persons in failing to comply with the requirements of any of the statutes, ordinances, rules, orders and requirements of the federal, state, county, village, town or city government.’” </w:t>
      </w:r>
      <w:hyperlink r:id="rId444" w:history="1">
        <w:r w:rsidRPr="00351E0A">
          <w:rPr>
            <w:rStyle w:val="Hyperlink"/>
            <w:rFonts w:ascii="Times New Roman" w:hAnsi="Times New Roman"/>
            <w:sz w:val="24"/>
            <w:szCs w:val="24"/>
          </w:rPr>
          <w:t>https://cases.justia.com/new-york/other-courts/2024-2024-ny-slip-op-33987-u.pdf?ts=1731644847</w:t>
        </w:r>
      </w:hyperlink>
    </w:p>
    <w:p w14:paraId="56D45E31" w14:textId="77777777" w:rsidR="00351E0A" w:rsidRPr="00351E0A" w:rsidRDefault="00351E0A" w:rsidP="00351E0A">
      <w:pPr>
        <w:pStyle w:val="NoSpacing"/>
        <w:rPr>
          <w:rFonts w:ascii="Times New Roman" w:hAnsi="Times New Roman"/>
          <w:b/>
          <w:bCs/>
          <w:sz w:val="24"/>
          <w:szCs w:val="24"/>
        </w:rPr>
      </w:pPr>
      <w:r w:rsidRPr="00351E0A">
        <w:rPr>
          <w:rFonts w:ascii="Times New Roman" w:hAnsi="Times New Roman"/>
          <w:b/>
          <w:sz w:val="24"/>
          <w:szCs w:val="24"/>
        </w:rPr>
        <w:t>Legal Lesson Learned:  The New York statute has modified the Fireman’s Rule to permit emergency responders to sue for damages for injury arising from code violations.</w:t>
      </w:r>
    </w:p>
    <w:p w14:paraId="2C2E58D7" w14:textId="77777777" w:rsidR="00351E0A" w:rsidRPr="00351E0A" w:rsidRDefault="00351E0A" w:rsidP="00351E0A">
      <w:pPr>
        <w:pStyle w:val="NoSpacing"/>
        <w:rPr>
          <w:rFonts w:ascii="Times New Roman" w:hAnsi="Times New Roman"/>
          <w:b/>
          <w:sz w:val="24"/>
          <w:szCs w:val="24"/>
        </w:rPr>
      </w:pPr>
    </w:p>
    <w:p w14:paraId="0912FE2F" w14:textId="77777777" w:rsidR="00351E0A" w:rsidRPr="00351E0A" w:rsidRDefault="00351E0A" w:rsidP="00351E0A">
      <w:pPr>
        <w:pStyle w:val="NoSpacing"/>
        <w:rPr>
          <w:rFonts w:ascii="Times New Roman" w:hAnsi="Times New Roman"/>
          <w:sz w:val="24"/>
          <w:szCs w:val="24"/>
        </w:rPr>
      </w:pPr>
      <w:r w:rsidRPr="00351E0A">
        <w:rPr>
          <w:rFonts w:ascii="Times New Roman" w:hAnsi="Times New Roman"/>
          <w:b/>
          <w:sz w:val="24"/>
          <w:szCs w:val="24"/>
        </w:rPr>
        <w:tab/>
      </w:r>
      <w:r w:rsidRPr="00351E0A">
        <w:rPr>
          <w:rFonts w:ascii="Times New Roman" w:hAnsi="Times New Roman"/>
          <w:sz w:val="24"/>
          <w:szCs w:val="24"/>
        </w:rPr>
        <w:t xml:space="preserve">Note: Some states have abolished the Fireman's Rule, including: </w:t>
      </w:r>
    </w:p>
    <w:p w14:paraId="38AE0EE4" w14:textId="77777777" w:rsidR="00351E0A" w:rsidRPr="00351E0A" w:rsidRDefault="00351E0A" w:rsidP="00351E0A">
      <w:pPr>
        <w:numPr>
          <w:ilvl w:val="0"/>
          <w:numId w:val="24"/>
        </w:numPr>
        <w:tabs>
          <w:tab w:val="left" w:pos="5280"/>
        </w:tabs>
        <w:spacing w:after="160" w:line="259" w:lineRule="auto"/>
        <w:rPr>
          <w:rFonts w:ascii="Times New Roman" w:hAnsi="Times New Roman"/>
          <w:sz w:val="24"/>
          <w:szCs w:val="24"/>
        </w:rPr>
      </w:pPr>
      <w:r w:rsidRPr="00351E0A">
        <w:rPr>
          <w:rFonts w:ascii="Times New Roman" w:hAnsi="Times New Roman"/>
          <w:b/>
          <w:sz w:val="24"/>
          <w:szCs w:val="24"/>
        </w:rPr>
        <w:t>New Jersey</w:t>
      </w:r>
      <w:r w:rsidRPr="00351E0A">
        <w:rPr>
          <w:rFonts w:ascii="Times New Roman" w:hAnsi="Times New Roman"/>
          <w:sz w:val="24"/>
          <w:szCs w:val="24"/>
        </w:rPr>
        <w:t xml:space="preserve">: In 2007, the New Jersey Supreme Court ruled that the Fireman's Rule was no longer in effect. Ruiz v. Mero, A28/29-06; </w:t>
      </w:r>
      <w:hyperlink r:id="rId445" w:history="1">
        <w:r w:rsidRPr="00351E0A">
          <w:rPr>
            <w:rStyle w:val="Hyperlink"/>
            <w:rFonts w:ascii="Times New Roman" w:hAnsi="Times New Roman"/>
            <w:sz w:val="24"/>
            <w:szCs w:val="24"/>
          </w:rPr>
          <w:t>https://grsl.com/firefighters-rule-struck-down-by-new-jersey-supreme-court/</w:t>
        </w:r>
      </w:hyperlink>
      <w:r w:rsidRPr="00351E0A">
        <w:rPr>
          <w:rFonts w:ascii="Times New Roman" w:hAnsi="Times New Roman"/>
          <w:sz w:val="24"/>
          <w:szCs w:val="24"/>
        </w:rPr>
        <w:t xml:space="preserve"> </w:t>
      </w:r>
    </w:p>
    <w:p w14:paraId="087E150D" w14:textId="77777777" w:rsidR="00351E0A" w:rsidRPr="00351E0A" w:rsidRDefault="00351E0A" w:rsidP="00351E0A">
      <w:pPr>
        <w:numPr>
          <w:ilvl w:val="0"/>
          <w:numId w:val="24"/>
        </w:numPr>
        <w:tabs>
          <w:tab w:val="left" w:pos="5280"/>
        </w:tabs>
        <w:spacing w:after="160" w:line="259" w:lineRule="auto"/>
        <w:rPr>
          <w:rFonts w:ascii="Times New Roman" w:hAnsi="Times New Roman"/>
          <w:sz w:val="24"/>
          <w:szCs w:val="24"/>
        </w:rPr>
      </w:pPr>
      <w:r w:rsidRPr="00351E0A">
        <w:rPr>
          <w:rFonts w:ascii="Times New Roman" w:hAnsi="Times New Roman"/>
          <w:b/>
          <w:sz w:val="24"/>
          <w:szCs w:val="24"/>
        </w:rPr>
        <w:t>Oregon</w:t>
      </w:r>
      <w:r w:rsidRPr="00351E0A">
        <w:rPr>
          <w:rFonts w:ascii="Times New Roman" w:hAnsi="Times New Roman"/>
          <w:sz w:val="24"/>
          <w:szCs w:val="24"/>
        </w:rPr>
        <w:t xml:space="preserve">: In 1984, the Oregon Supreme Court abolished the Fireman's Rule in the case Christensen v. Murphy, 296 Or. 610 (Or. 1984); </w:t>
      </w:r>
      <w:hyperlink r:id="rId446" w:history="1">
        <w:r w:rsidRPr="00351E0A">
          <w:rPr>
            <w:rStyle w:val="Hyperlink"/>
            <w:rFonts w:ascii="Times New Roman" w:hAnsi="Times New Roman"/>
            <w:sz w:val="24"/>
            <w:szCs w:val="24"/>
          </w:rPr>
          <w:t>https://casetext.com/case/christensen-v-murphy</w:t>
        </w:r>
      </w:hyperlink>
      <w:r w:rsidRPr="00351E0A">
        <w:rPr>
          <w:rFonts w:ascii="Times New Roman" w:hAnsi="Times New Roman"/>
          <w:sz w:val="24"/>
          <w:szCs w:val="24"/>
        </w:rPr>
        <w:t xml:space="preserve"> </w:t>
      </w:r>
    </w:p>
    <w:p w14:paraId="67FA4D7E" w14:textId="77777777" w:rsidR="00351E0A" w:rsidRPr="00351E0A" w:rsidRDefault="00351E0A" w:rsidP="00351E0A">
      <w:pPr>
        <w:numPr>
          <w:ilvl w:val="0"/>
          <w:numId w:val="24"/>
        </w:numPr>
        <w:tabs>
          <w:tab w:val="left" w:pos="5280"/>
        </w:tabs>
        <w:spacing w:after="160" w:line="259" w:lineRule="auto"/>
        <w:rPr>
          <w:rFonts w:ascii="Times New Roman" w:hAnsi="Times New Roman"/>
          <w:sz w:val="24"/>
          <w:szCs w:val="24"/>
        </w:rPr>
      </w:pPr>
      <w:r w:rsidRPr="00351E0A">
        <w:rPr>
          <w:rFonts w:ascii="Times New Roman" w:hAnsi="Times New Roman"/>
          <w:b/>
          <w:sz w:val="24"/>
          <w:szCs w:val="24"/>
        </w:rPr>
        <w:t>Florida</w:t>
      </w:r>
      <w:r w:rsidRPr="00351E0A">
        <w:rPr>
          <w:rFonts w:ascii="Times New Roman" w:hAnsi="Times New Roman"/>
          <w:sz w:val="24"/>
          <w:szCs w:val="24"/>
        </w:rPr>
        <w:t xml:space="preserve">: By statute, Florida in the 1990s abolished the Rule. </w:t>
      </w:r>
      <w:hyperlink r:id="rId447" w:history="1">
        <w:r w:rsidRPr="00351E0A">
          <w:rPr>
            <w:rStyle w:val="Hyperlink"/>
            <w:rFonts w:ascii="Times New Roman" w:hAnsi="Times New Roman"/>
            <w:sz w:val="24"/>
            <w:szCs w:val="24"/>
          </w:rPr>
          <w:t>https://codes.findlaw.com/fl/title-x-public-officers-employees-and-records/fl-st-sect-112-182/</w:t>
        </w:r>
      </w:hyperlink>
    </w:p>
    <w:p w14:paraId="087BB657" w14:textId="77777777" w:rsidR="00351E0A" w:rsidRPr="00351E0A" w:rsidRDefault="00351E0A" w:rsidP="00351E0A">
      <w:pPr>
        <w:pStyle w:val="ListParagraph"/>
        <w:numPr>
          <w:ilvl w:val="0"/>
          <w:numId w:val="24"/>
        </w:numPr>
        <w:spacing w:after="0" w:line="240" w:lineRule="auto"/>
        <w:rPr>
          <w:rFonts w:ascii="Times New Roman" w:eastAsia="Times New Roman" w:hAnsi="Times New Roman" w:cs="Times New Roman"/>
          <w:sz w:val="24"/>
          <w:szCs w:val="24"/>
        </w:rPr>
      </w:pPr>
      <w:r w:rsidRPr="00351E0A">
        <w:rPr>
          <w:rFonts w:ascii="Times New Roman" w:eastAsia="Times New Roman" w:hAnsi="Times New Roman" w:cs="Times New Roman"/>
          <w:b/>
          <w:sz w:val="24"/>
          <w:szCs w:val="24"/>
        </w:rPr>
        <w:t>Minnesota:</w:t>
      </w:r>
      <w:r w:rsidRPr="00351E0A">
        <w:rPr>
          <w:rFonts w:ascii="Times New Roman" w:eastAsia="Times New Roman" w:hAnsi="Times New Roman" w:cs="Times New Roman"/>
          <w:sz w:val="24"/>
          <w:szCs w:val="24"/>
        </w:rPr>
        <w:t xml:space="preserve">  </w:t>
      </w:r>
      <w:r w:rsidRPr="00351E0A">
        <w:rPr>
          <w:rFonts w:ascii="Times New Roman" w:eastAsia="Times New Roman" w:hAnsi="Times New Roman" w:cs="Times New Roman"/>
          <w:i/>
          <w:iCs/>
          <w:sz w:val="24"/>
          <w:szCs w:val="24"/>
        </w:rPr>
        <w:t>Armstrong v. Mailand,</w:t>
      </w:r>
      <w:r w:rsidRPr="00351E0A">
        <w:rPr>
          <w:rFonts w:ascii="Times New Roman" w:eastAsia="Times New Roman" w:hAnsi="Times New Roman" w:cs="Times New Roman"/>
          <w:sz w:val="24"/>
          <w:szCs w:val="24"/>
        </w:rPr>
        <w:t xml:space="preserve"> Feb. 9, 1979; Supreme Court of MN; </w:t>
      </w:r>
      <w:hyperlink r:id="rId448" w:history="1">
        <w:r w:rsidRPr="00351E0A">
          <w:rPr>
            <w:rStyle w:val="Hyperlink"/>
            <w:rFonts w:ascii="Times New Roman" w:eastAsia="Times New Roman" w:hAnsi="Times New Roman" w:cs="Times New Roman"/>
            <w:sz w:val="24"/>
            <w:szCs w:val="24"/>
          </w:rPr>
          <w:t>https://casetext.com/case/armstrong-v-mailand</w:t>
        </w:r>
      </w:hyperlink>
      <w:r w:rsidRPr="00351E0A">
        <w:rPr>
          <w:rFonts w:ascii="Times New Roman" w:eastAsia="Times New Roman" w:hAnsi="Times New Roman" w:cs="Times New Roman"/>
          <w:sz w:val="24"/>
          <w:szCs w:val="24"/>
        </w:rPr>
        <w:t xml:space="preserve"> </w:t>
      </w:r>
    </w:p>
    <w:p w14:paraId="0D0ED9BC" w14:textId="77777777" w:rsidR="00351E0A" w:rsidRPr="00351E0A" w:rsidRDefault="00351E0A" w:rsidP="00351E0A">
      <w:pPr>
        <w:spacing w:after="0" w:line="240" w:lineRule="auto"/>
        <w:rPr>
          <w:rFonts w:ascii="Times New Roman" w:eastAsia="Times New Roman" w:hAnsi="Times New Roman"/>
          <w:sz w:val="24"/>
          <w:szCs w:val="24"/>
        </w:rPr>
      </w:pPr>
    </w:p>
    <w:p w14:paraId="0DC3C8A2" w14:textId="77777777" w:rsidR="00351E0A" w:rsidRPr="00351E0A" w:rsidRDefault="00351E0A" w:rsidP="00351E0A">
      <w:pPr>
        <w:spacing w:after="0" w:line="240" w:lineRule="auto"/>
        <w:ind w:left="1080"/>
        <w:rPr>
          <w:rFonts w:ascii="Times New Roman" w:eastAsia="Times New Roman" w:hAnsi="Times New Roman"/>
          <w:sz w:val="24"/>
          <w:szCs w:val="24"/>
        </w:rPr>
      </w:pPr>
    </w:p>
    <w:p w14:paraId="2AF49F55" w14:textId="77777777" w:rsidR="00351E0A" w:rsidRPr="00351E0A" w:rsidRDefault="00351E0A" w:rsidP="00351E0A">
      <w:pPr>
        <w:numPr>
          <w:ilvl w:val="0"/>
          <w:numId w:val="24"/>
        </w:numPr>
        <w:tabs>
          <w:tab w:val="left" w:pos="5280"/>
        </w:tabs>
        <w:spacing w:after="160" w:line="259" w:lineRule="auto"/>
        <w:rPr>
          <w:rFonts w:ascii="Times New Roman" w:hAnsi="Times New Roman"/>
          <w:sz w:val="24"/>
          <w:szCs w:val="24"/>
        </w:rPr>
      </w:pPr>
      <w:r w:rsidRPr="00351E0A">
        <w:rPr>
          <w:rFonts w:ascii="Times New Roman" w:hAnsi="Times New Roman"/>
          <w:b/>
          <w:sz w:val="24"/>
          <w:szCs w:val="24"/>
        </w:rPr>
        <w:t>New York</w:t>
      </w:r>
      <w:r w:rsidRPr="00351E0A">
        <w:rPr>
          <w:rFonts w:ascii="Times New Roman" w:hAnsi="Times New Roman"/>
          <w:sz w:val="24"/>
          <w:szCs w:val="24"/>
        </w:rPr>
        <w:t xml:space="preserve">:  By statute, the </w:t>
      </w:r>
      <w:r w:rsidRPr="00351E0A">
        <w:rPr>
          <w:rFonts w:ascii="Times New Roman" w:hAnsi="Times New Roman"/>
          <w:sz w:val="24"/>
          <w:szCs w:val="24"/>
          <w:lang w:val="en"/>
        </w:rPr>
        <w:t xml:space="preserve">General Municipal Law § 205-a, permits firefighters to sue when they are injured as the result of a violation of a statute, rule, or regulation. </w:t>
      </w:r>
      <w:hyperlink r:id="rId449" w:history="1">
        <w:r w:rsidRPr="00351E0A">
          <w:rPr>
            <w:rStyle w:val="Hyperlink"/>
            <w:rFonts w:ascii="Times New Roman" w:hAnsi="Times New Roman"/>
            <w:sz w:val="24"/>
            <w:szCs w:val="24"/>
            <w:lang w:val="en"/>
          </w:rPr>
          <w:t>https://www.sullivangalleshaw.com/the-professional-rescuers-rule/</w:t>
        </w:r>
      </w:hyperlink>
      <w:r w:rsidRPr="00351E0A">
        <w:rPr>
          <w:rFonts w:ascii="Times New Roman" w:hAnsi="Times New Roman"/>
          <w:sz w:val="24"/>
          <w:szCs w:val="24"/>
          <w:lang w:val="en"/>
        </w:rPr>
        <w:t xml:space="preserve"> </w:t>
      </w:r>
    </w:p>
    <w:p w14:paraId="0591475D" w14:textId="77777777" w:rsidR="00351E0A" w:rsidRPr="00351E0A" w:rsidRDefault="00351E0A" w:rsidP="00351E0A">
      <w:pPr>
        <w:spacing w:after="0" w:line="240" w:lineRule="auto"/>
        <w:ind w:left="720" w:firstLine="720"/>
        <w:rPr>
          <w:rFonts w:ascii="Times New Roman" w:eastAsia="Times New Roman" w:hAnsi="Times New Roman"/>
          <w:sz w:val="24"/>
          <w:szCs w:val="24"/>
        </w:rPr>
      </w:pPr>
      <w:r w:rsidRPr="00351E0A">
        <w:rPr>
          <w:rFonts w:ascii="Times New Roman" w:eastAsia="Times New Roman" w:hAnsi="Times New Roman"/>
          <w:b/>
          <w:sz w:val="24"/>
          <w:szCs w:val="24"/>
        </w:rPr>
        <w:t>General Municipal Law § 205-a</w:t>
      </w:r>
      <w:r w:rsidRPr="00351E0A">
        <w:rPr>
          <w:rFonts w:ascii="Times New Roman" w:eastAsia="Times New Roman" w:hAnsi="Times New Roman"/>
          <w:sz w:val="24"/>
          <w:szCs w:val="24"/>
        </w:rPr>
        <w:t xml:space="preserve"> </w:t>
      </w:r>
    </w:p>
    <w:p w14:paraId="316B7934" w14:textId="77777777" w:rsidR="00351E0A" w:rsidRPr="00351E0A" w:rsidRDefault="00351E0A" w:rsidP="00351E0A">
      <w:pPr>
        <w:pStyle w:val="ListParagraph"/>
        <w:spacing w:after="0" w:line="240" w:lineRule="auto"/>
        <w:ind w:left="1440"/>
        <w:rPr>
          <w:rFonts w:ascii="Times New Roman" w:eastAsia="Times New Roman" w:hAnsi="Times New Roman" w:cs="Times New Roman"/>
          <w:sz w:val="24"/>
          <w:szCs w:val="24"/>
        </w:rPr>
      </w:pPr>
      <w:r w:rsidRPr="00351E0A">
        <w:rPr>
          <w:rFonts w:ascii="Times New Roman" w:eastAsia="Times New Roman" w:hAnsi="Times New Roman" w:cs="Times New Roman"/>
          <w:sz w:val="24"/>
          <w:szCs w:val="24"/>
        </w:rPr>
        <w:t>This law allows firefighters to sue the city for injuries caused by a violation of a rule, statute, or regulation. The law was enacted in 1935 to provide relief from the Fireman's Rule. </w:t>
      </w:r>
    </w:p>
    <w:p w14:paraId="03157F22" w14:textId="77777777" w:rsidR="00351E0A" w:rsidRPr="00351E0A" w:rsidRDefault="00351E0A" w:rsidP="00351E0A">
      <w:pPr>
        <w:spacing w:after="0" w:line="240" w:lineRule="auto"/>
        <w:rPr>
          <w:rFonts w:ascii="Times New Roman" w:eastAsia="Times New Roman" w:hAnsi="Times New Roman"/>
          <w:sz w:val="24"/>
          <w:szCs w:val="24"/>
        </w:rPr>
      </w:pPr>
      <w:r w:rsidRPr="00351E0A">
        <w:rPr>
          <w:rFonts w:ascii="Times New Roman" w:eastAsia="Times New Roman" w:hAnsi="Times New Roman"/>
          <w:sz w:val="24"/>
          <w:szCs w:val="24"/>
        </w:rPr>
        <w:t xml:space="preserve"> </w:t>
      </w:r>
      <w:r w:rsidRPr="00351E0A">
        <w:rPr>
          <w:rFonts w:ascii="Times New Roman" w:eastAsia="Times New Roman" w:hAnsi="Times New Roman"/>
          <w:sz w:val="24"/>
          <w:szCs w:val="24"/>
        </w:rPr>
        <w:tab/>
      </w:r>
      <w:r w:rsidRPr="00351E0A">
        <w:rPr>
          <w:rFonts w:ascii="Times New Roman" w:eastAsia="Times New Roman" w:hAnsi="Times New Roman"/>
          <w:sz w:val="24"/>
          <w:szCs w:val="24"/>
        </w:rPr>
        <w:tab/>
      </w:r>
      <w:r w:rsidRPr="00351E0A">
        <w:rPr>
          <w:rFonts w:ascii="Times New Roman" w:eastAsia="Times New Roman" w:hAnsi="Times New Roman"/>
          <w:b/>
          <w:sz w:val="24"/>
          <w:szCs w:val="24"/>
        </w:rPr>
        <w:t>General Obligations Law 11-106</w:t>
      </w:r>
      <w:r w:rsidRPr="00351E0A">
        <w:rPr>
          <w:rFonts w:ascii="Times New Roman" w:eastAsia="Times New Roman" w:hAnsi="Times New Roman"/>
          <w:sz w:val="24"/>
          <w:szCs w:val="24"/>
        </w:rPr>
        <w:t xml:space="preserve"> </w:t>
      </w:r>
    </w:p>
    <w:p w14:paraId="6ABAFA84" w14:textId="77777777" w:rsidR="00351E0A" w:rsidRPr="00351E0A" w:rsidRDefault="00351E0A" w:rsidP="00351E0A">
      <w:pPr>
        <w:pStyle w:val="ListParagraph"/>
        <w:spacing w:after="0" w:line="240" w:lineRule="auto"/>
        <w:ind w:left="1440"/>
        <w:rPr>
          <w:rFonts w:ascii="Times New Roman" w:eastAsia="Times New Roman" w:hAnsi="Times New Roman" w:cs="Times New Roman"/>
          <w:sz w:val="24"/>
          <w:szCs w:val="24"/>
        </w:rPr>
      </w:pPr>
      <w:r w:rsidRPr="00351E0A">
        <w:rPr>
          <w:rFonts w:ascii="Times New Roman" w:eastAsia="Times New Roman" w:hAnsi="Times New Roman" w:cs="Times New Roman"/>
          <w:sz w:val="24"/>
          <w:szCs w:val="24"/>
        </w:rPr>
        <w:t>This law was enacted in 1996 to ensure that the Fireman's Rule would no longer apply, except for suits against the firefighter's employer and co-workers. </w:t>
      </w:r>
    </w:p>
    <w:p w14:paraId="22297884" w14:textId="77777777" w:rsidR="00351E0A" w:rsidRPr="00351E0A" w:rsidRDefault="00351E0A" w:rsidP="00351E0A">
      <w:pPr>
        <w:spacing w:after="0" w:line="240" w:lineRule="auto"/>
        <w:ind w:left="720" w:firstLine="720"/>
        <w:rPr>
          <w:rFonts w:ascii="Times New Roman" w:eastAsia="Times New Roman" w:hAnsi="Times New Roman"/>
          <w:sz w:val="24"/>
          <w:szCs w:val="24"/>
        </w:rPr>
      </w:pPr>
      <w:r w:rsidRPr="00351E0A">
        <w:rPr>
          <w:rFonts w:ascii="Times New Roman" w:eastAsia="Times New Roman" w:hAnsi="Times New Roman"/>
          <w:b/>
          <w:sz w:val="24"/>
          <w:szCs w:val="24"/>
        </w:rPr>
        <w:t>General Municipal Law § 205-e</w:t>
      </w:r>
      <w:r w:rsidRPr="00351E0A">
        <w:rPr>
          <w:rFonts w:ascii="Times New Roman" w:eastAsia="Times New Roman" w:hAnsi="Times New Roman"/>
          <w:sz w:val="24"/>
          <w:szCs w:val="24"/>
        </w:rPr>
        <w:t xml:space="preserve"> </w:t>
      </w:r>
    </w:p>
    <w:p w14:paraId="2C013346" w14:textId="77777777" w:rsidR="00351E0A" w:rsidRPr="00351E0A" w:rsidRDefault="00351E0A" w:rsidP="00351E0A">
      <w:pPr>
        <w:pStyle w:val="ListParagraph"/>
        <w:spacing w:after="0" w:line="240" w:lineRule="auto"/>
        <w:ind w:left="1440"/>
        <w:rPr>
          <w:rFonts w:ascii="Times New Roman" w:eastAsia="Times New Roman" w:hAnsi="Times New Roman" w:cs="Times New Roman"/>
          <w:sz w:val="24"/>
          <w:szCs w:val="24"/>
        </w:rPr>
      </w:pPr>
      <w:r w:rsidRPr="00351E0A">
        <w:rPr>
          <w:rFonts w:ascii="Times New Roman" w:eastAsia="Times New Roman" w:hAnsi="Times New Roman" w:cs="Times New Roman"/>
          <w:sz w:val="24"/>
          <w:szCs w:val="24"/>
        </w:rPr>
        <w:t>This law gives police officers similar rights to those afforded to firefighters under General Municipal Law § 205-a</w:t>
      </w:r>
    </w:p>
    <w:p w14:paraId="4518DDAB" w14:textId="77777777" w:rsidR="00351E0A" w:rsidRDefault="00351E0A" w:rsidP="00351E0A">
      <w:pPr>
        <w:rPr>
          <w:bCs/>
          <w:sz w:val="20"/>
          <w:szCs w:val="20"/>
        </w:rPr>
      </w:pPr>
    </w:p>
    <w:p w14:paraId="7C9E0FE2" w14:textId="77777777" w:rsidR="00351E0A" w:rsidRPr="006D1B8F" w:rsidRDefault="00351E0A" w:rsidP="00277909">
      <w:pPr>
        <w:rPr>
          <w:rFonts w:ascii="Arial Black" w:hAnsi="Arial Black"/>
          <w:sz w:val="24"/>
          <w:szCs w:val="24"/>
        </w:rPr>
      </w:pPr>
    </w:p>
    <w:p w14:paraId="38FAC05D" w14:textId="77777777" w:rsidR="00BC0732" w:rsidRPr="00253954" w:rsidRDefault="00BC0732" w:rsidP="005D5A0C">
      <w:pPr>
        <w:rPr>
          <w:rFonts w:ascii="Times New Roman" w:hAnsi="Times New Roman"/>
          <w:sz w:val="24"/>
          <w:szCs w:val="24"/>
        </w:rPr>
      </w:pPr>
    </w:p>
    <w:p w14:paraId="2ACFF06A" w14:textId="62D24DAD" w:rsidR="005D5A0C" w:rsidRDefault="005D5A0C" w:rsidP="005D5A0C">
      <w:pPr>
        <w:rPr>
          <w:rFonts w:ascii="Arial Black" w:hAnsi="Arial Black"/>
          <w:sz w:val="24"/>
          <w:szCs w:val="24"/>
        </w:rPr>
      </w:pPr>
      <w:r>
        <w:rPr>
          <w:rFonts w:ascii="Arial Black" w:hAnsi="Arial Black"/>
          <w:sz w:val="24"/>
          <w:szCs w:val="24"/>
        </w:rPr>
        <w:t>2-7</w:t>
      </w:r>
      <w:r w:rsidR="00891E1D">
        <w:rPr>
          <w:rFonts w:ascii="Arial Black" w:hAnsi="Arial Black"/>
          <w:sz w:val="24"/>
          <w:szCs w:val="24"/>
        </w:rPr>
        <w:t>7</w:t>
      </w:r>
    </w:p>
    <w:p w14:paraId="01DD8DEF" w14:textId="77777777" w:rsidR="00DE4B6F" w:rsidRPr="00097DD5" w:rsidRDefault="00DE4B6F" w:rsidP="00DE4B6F">
      <w:pPr>
        <w:pStyle w:val="NoSpacing"/>
        <w:rPr>
          <w:rFonts w:ascii="Times New Roman" w:hAnsi="Times New Roman"/>
          <w:b/>
          <w:bCs/>
          <w:sz w:val="24"/>
          <w:szCs w:val="24"/>
        </w:rPr>
      </w:pPr>
      <w:r w:rsidRPr="00097DD5">
        <w:rPr>
          <w:rFonts w:ascii="Times New Roman" w:hAnsi="Times New Roman"/>
          <w:b/>
          <w:bCs/>
          <w:sz w:val="24"/>
          <w:szCs w:val="24"/>
        </w:rPr>
        <w:t>AR: TUCSON – UNCONSCIOUS BUS STOP – STRUCK FF IN FACE – SENTENCED MAX AGGRAVATED ASSAULT – 3.75 YRS</w:t>
      </w:r>
    </w:p>
    <w:p w14:paraId="2B9AB74F" w14:textId="77777777" w:rsidR="00DE4B6F" w:rsidRPr="00097DD5" w:rsidRDefault="00DE4B6F" w:rsidP="00DE4B6F">
      <w:pPr>
        <w:pStyle w:val="NoSpacing"/>
        <w:rPr>
          <w:rFonts w:ascii="Times New Roman" w:hAnsi="Times New Roman"/>
          <w:sz w:val="24"/>
          <w:szCs w:val="24"/>
        </w:rPr>
      </w:pPr>
    </w:p>
    <w:p w14:paraId="69770EFE" w14:textId="77777777" w:rsidR="00DE4B6F" w:rsidRPr="00097DD5" w:rsidRDefault="00DE4B6F" w:rsidP="00DE4B6F">
      <w:pPr>
        <w:pStyle w:val="NoSpacing"/>
        <w:rPr>
          <w:rFonts w:ascii="Times New Roman" w:hAnsi="Times New Roman"/>
          <w:sz w:val="24"/>
          <w:szCs w:val="24"/>
        </w:rPr>
      </w:pPr>
      <w:r w:rsidRPr="00097DD5">
        <w:rPr>
          <w:rFonts w:ascii="Times New Roman" w:hAnsi="Times New Roman"/>
          <w:sz w:val="24"/>
          <w:szCs w:val="24"/>
        </w:rPr>
        <w:t xml:space="preserve">On Oct. 30, 2024, in </w:t>
      </w:r>
      <w:r w:rsidRPr="00097DD5">
        <w:rPr>
          <w:rFonts w:ascii="Times New Roman" w:hAnsi="Times New Roman"/>
          <w:sz w:val="24"/>
          <w:szCs w:val="24"/>
          <w:u w:val="single"/>
        </w:rPr>
        <w:t>State of Arizona v. Adam F. Rivas</w:t>
      </w:r>
      <w:r w:rsidRPr="00097DD5">
        <w:rPr>
          <w:rFonts w:ascii="Times New Roman" w:hAnsi="Times New Roman"/>
          <w:sz w:val="24"/>
          <w:szCs w:val="24"/>
        </w:rPr>
        <w:t xml:space="preserve">, the Arizona Court of Appeals, Division Two held (3 to 0; not for publication decision): “Adam Rivas appeals from his conviction and sentence for aggravated assault, arguing the trial court erred when it considered a prohibited aggravating factor at sentencing. </w:t>
      </w:r>
      <w:proofErr w:type="gramStart"/>
      <w:r w:rsidRPr="00097DD5">
        <w:rPr>
          <w:rFonts w:ascii="Times New Roman" w:hAnsi="Times New Roman"/>
          <w:sz w:val="24"/>
          <w:szCs w:val="24"/>
        </w:rPr>
        <w:t>For the reasons that</w:t>
      </w:r>
      <w:proofErr w:type="gramEnd"/>
      <w:r w:rsidRPr="00097DD5">
        <w:rPr>
          <w:rFonts w:ascii="Times New Roman" w:hAnsi="Times New Roman"/>
          <w:sz w:val="24"/>
          <w:szCs w:val="24"/>
        </w:rPr>
        <w:t xml:space="preserve"> follow, we affirm.” </w:t>
      </w:r>
    </w:p>
    <w:p w14:paraId="17870715" w14:textId="77777777" w:rsidR="00DE4B6F" w:rsidRPr="00097DD5" w:rsidRDefault="00DE4B6F" w:rsidP="00DE4B6F">
      <w:pPr>
        <w:pStyle w:val="NoSpacing"/>
        <w:rPr>
          <w:rFonts w:ascii="Times New Roman" w:hAnsi="Times New Roman"/>
          <w:sz w:val="24"/>
          <w:szCs w:val="24"/>
        </w:rPr>
      </w:pPr>
      <w:hyperlink r:id="rId450" w:history="1">
        <w:r w:rsidRPr="00097DD5">
          <w:rPr>
            <w:rStyle w:val="Hyperlink"/>
            <w:rFonts w:ascii="Times New Roman" w:hAnsi="Times New Roman"/>
            <w:sz w:val="24"/>
            <w:szCs w:val="24"/>
          </w:rPr>
          <w:t>https://cases.justia.com/arizona/court-of-appeals-division-two-unpublished/2024-2-ca-cr-2024-0065.pdf?ts=1730333249</w:t>
        </w:r>
      </w:hyperlink>
      <w:r w:rsidRPr="00097DD5">
        <w:rPr>
          <w:rFonts w:ascii="Times New Roman" w:hAnsi="Times New Roman"/>
          <w:sz w:val="24"/>
          <w:szCs w:val="24"/>
        </w:rPr>
        <w:t xml:space="preserve"> </w:t>
      </w:r>
    </w:p>
    <w:p w14:paraId="22FCB9D7" w14:textId="77777777" w:rsidR="00097DD5" w:rsidRPr="00097DD5" w:rsidRDefault="00097DD5" w:rsidP="00097DD5">
      <w:pPr>
        <w:pStyle w:val="NoSpacing"/>
        <w:rPr>
          <w:rFonts w:ascii="Times New Roman" w:hAnsi="Times New Roman"/>
          <w:b/>
          <w:sz w:val="24"/>
          <w:szCs w:val="24"/>
        </w:rPr>
      </w:pPr>
    </w:p>
    <w:p w14:paraId="5643AABF" w14:textId="576D9BBE" w:rsidR="00097DD5" w:rsidRDefault="00097DD5" w:rsidP="00097DD5">
      <w:pPr>
        <w:pStyle w:val="NoSpacing"/>
        <w:rPr>
          <w:rFonts w:ascii="Times New Roman" w:hAnsi="Times New Roman"/>
          <w:b/>
          <w:sz w:val="24"/>
          <w:szCs w:val="24"/>
        </w:rPr>
      </w:pPr>
      <w:r w:rsidRPr="00097DD5">
        <w:rPr>
          <w:rFonts w:ascii="Times New Roman" w:hAnsi="Times New Roman"/>
          <w:b/>
          <w:sz w:val="24"/>
          <w:szCs w:val="24"/>
        </w:rPr>
        <w:t>Legal Lesson Learned: Trial court when imposing a sentence will consider aggravating facts, such as assaulting a firefighter.</w:t>
      </w:r>
    </w:p>
    <w:p w14:paraId="26EF2BF3" w14:textId="77777777" w:rsidR="00F97332" w:rsidRDefault="00F97332" w:rsidP="00097DD5">
      <w:pPr>
        <w:pStyle w:val="NoSpacing"/>
        <w:rPr>
          <w:rFonts w:ascii="Times New Roman" w:hAnsi="Times New Roman"/>
          <w:b/>
          <w:sz w:val="24"/>
          <w:szCs w:val="24"/>
        </w:rPr>
      </w:pPr>
    </w:p>
    <w:p w14:paraId="012FFA45" w14:textId="77777777" w:rsidR="00F97332" w:rsidRDefault="00F97332" w:rsidP="00097DD5">
      <w:pPr>
        <w:pStyle w:val="NoSpacing"/>
        <w:rPr>
          <w:rFonts w:ascii="Times New Roman" w:hAnsi="Times New Roman"/>
          <w:b/>
          <w:sz w:val="24"/>
          <w:szCs w:val="24"/>
        </w:rPr>
      </w:pPr>
    </w:p>
    <w:p w14:paraId="47309A73" w14:textId="3464B1E6" w:rsidR="005D5A0C" w:rsidRDefault="005D5A0C" w:rsidP="005D5A0C">
      <w:pPr>
        <w:rPr>
          <w:rFonts w:ascii="Arial Black" w:hAnsi="Arial Black"/>
          <w:sz w:val="24"/>
          <w:szCs w:val="24"/>
        </w:rPr>
      </w:pPr>
      <w:r>
        <w:rPr>
          <w:rFonts w:ascii="Arial Black" w:hAnsi="Arial Black"/>
          <w:sz w:val="24"/>
          <w:szCs w:val="24"/>
        </w:rPr>
        <w:t>2-7</w:t>
      </w:r>
      <w:r w:rsidR="00891E1D">
        <w:rPr>
          <w:rFonts w:ascii="Arial Black" w:hAnsi="Arial Black"/>
          <w:sz w:val="24"/>
          <w:szCs w:val="24"/>
        </w:rPr>
        <w:t>6</w:t>
      </w:r>
    </w:p>
    <w:p w14:paraId="3EC94BB4" w14:textId="77777777" w:rsidR="00F97332" w:rsidRDefault="00F97332" w:rsidP="00097DD5">
      <w:pPr>
        <w:pStyle w:val="NoSpacing"/>
        <w:rPr>
          <w:rFonts w:ascii="Times New Roman" w:hAnsi="Times New Roman"/>
          <w:b/>
          <w:sz w:val="24"/>
          <w:szCs w:val="24"/>
        </w:rPr>
      </w:pPr>
    </w:p>
    <w:p w14:paraId="5193593C" w14:textId="77777777" w:rsidR="005D5A0C" w:rsidRPr="0007510D" w:rsidRDefault="005D5A0C" w:rsidP="005D5A0C">
      <w:pPr>
        <w:rPr>
          <w:rFonts w:ascii="Times New Roman" w:hAnsi="Times New Roman"/>
          <w:b/>
          <w:sz w:val="24"/>
          <w:szCs w:val="24"/>
        </w:rPr>
      </w:pPr>
      <w:r w:rsidRPr="0007510D">
        <w:rPr>
          <w:rFonts w:ascii="Times New Roman" w:hAnsi="Times New Roman"/>
          <w:b/>
          <w:sz w:val="24"/>
          <w:szCs w:val="24"/>
        </w:rPr>
        <w:t xml:space="preserve">OH: COLUMBUS FD - FIRE POLE – RIDE-ALONG BREAKS LEG – IMMUNITY “NEG. TRAINING” BUT CASE PROCEED SAFETY </w:t>
      </w:r>
    </w:p>
    <w:p w14:paraId="1CD32692" w14:textId="77777777" w:rsidR="005D5A0C" w:rsidRPr="0007510D" w:rsidRDefault="005D5A0C" w:rsidP="005D5A0C">
      <w:pPr>
        <w:pStyle w:val="NoSpacing"/>
        <w:rPr>
          <w:rFonts w:ascii="Times New Roman" w:hAnsi="Times New Roman"/>
          <w:sz w:val="24"/>
          <w:szCs w:val="24"/>
        </w:rPr>
      </w:pPr>
      <w:r w:rsidRPr="0007510D">
        <w:rPr>
          <w:rFonts w:ascii="Times New Roman" w:hAnsi="Times New Roman"/>
          <w:sz w:val="24"/>
          <w:szCs w:val="24"/>
        </w:rPr>
        <w:t xml:space="preserve">On Oct. 29, 2024, in </w:t>
      </w:r>
      <w:r w:rsidRPr="0007510D">
        <w:rPr>
          <w:rFonts w:ascii="Times New Roman" w:hAnsi="Times New Roman"/>
          <w:sz w:val="24"/>
          <w:szCs w:val="24"/>
          <w:u w:val="single"/>
        </w:rPr>
        <w:t>Keri Howard, et al. v. City of Columbus</w:t>
      </w:r>
      <w:r w:rsidRPr="0007510D">
        <w:rPr>
          <w:rFonts w:ascii="Times New Roman" w:hAnsi="Times New Roman"/>
          <w:sz w:val="24"/>
          <w:szCs w:val="24"/>
        </w:rPr>
        <w:t xml:space="preserve">, the Court of Appeals of Ohio, Tenth Appellate District, held (3 to 0): “Defendant-appellant, City of Columbus (“City”), appeals from a January 23, 2024 decision and entry from the Franklin County Court of Common Pleas granting in part and denying in part its motion for judgment on the pleadings. </w:t>
      </w:r>
      <w:proofErr w:type="gramStart"/>
      <w:r w:rsidRPr="0007510D">
        <w:rPr>
          <w:rFonts w:ascii="Times New Roman" w:hAnsi="Times New Roman"/>
          <w:sz w:val="24"/>
          <w:szCs w:val="24"/>
        </w:rPr>
        <w:t>For the reasons that</w:t>
      </w:r>
      <w:proofErr w:type="gramEnd"/>
      <w:r w:rsidRPr="0007510D">
        <w:rPr>
          <w:rFonts w:ascii="Times New Roman" w:hAnsi="Times New Roman"/>
          <w:sz w:val="24"/>
          <w:szCs w:val="24"/>
        </w:rPr>
        <w:t xml:space="preserve"> follow, we reverse. *** In the City’s sole assignment of error, it argues that the trial court </w:t>
      </w:r>
      <w:proofErr w:type="gramStart"/>
      <w:r w:rsidRPr="0007510D">
        <w:rPr>
          <w:rFonts w:ascii="Times New Roman" w:hAnsi="Times New Roman"/>
          <w:sz w:val="24"/>
          <w:szCs w:val="24"/>
        </w:rPr>
        <w:t>erred by</w:t>
      </w:r>
      <w:proofErr w:type="gramEnd"/>
      <w:r w:rsidRPr="0007510D">
        <w:rPr>
          <w:rFonts w:ascii="Times New Roman" w:hAnsi="Times New Roman"/>
          <w:sz w:val="24"/>
          <w:szCs w:val="24"/>
        </w:rPr>
        <w:t xml:space="preserve"> denying its claim for immunity as to the appellees’ negligent training and supervision</w:t>
      </w:r>
    </w:p>
    <w:p w14:paraId="6B7B655C" w14:textId="77777777" w:rsidR="005D5A0C" w:rsidRPr="0007510D" w:rsidRDefault="005D5A0C" w:rsidP="005D5A0C">
      <w:pPr>
        <w:pStyle w:val="NoSpacing"/>
        <w:rPr>
          <w:rFonts w:ascii="Times New Roman" w:hAnsi="Times New Roman"/>
          <w:sz w:val="24"/>
          <w:szCs w:val="24"/>
        </w:rPr>
      </w:pPr>
      <w:r w:rsidRPr="0007510D">
        <w:rPr>
          <w:rFonts w:ascii="Times New Roman" w:hAnsi="Times New Roman"/>
          <w:sz w:val="24"/>
          <w:szCs w:val="24"/>
        </w:rPr>
        <w:t xml:space="preserve">theory of premises liability. *** The City’s sole assignment of error is sustained, and this matter is </w:t>
      </w:r>
      <w:proofErr w:type="gramStart"/>
      <w:r w:rsidRPr="0007510D">
        <w:rPr>
          <w:rFonts w:ascii="Times New Roman" w:hAnsi="Times New Roman"/>
          <w:sz w:val="24"/>
          <w:szCs w:val="24"/>
        </w:rPr>
        <w:t>remanded</w:t>
      </w:r>
      <w:proofErr w:type="gramEnd"/>
      <w:r w:rsidRPr="0007510D">
        <w:rPr>
          <w:rFonts w:ascii="Times New Roman" w:hAnsi="Times New Roman"/>
          <w:sz w:val="24"/>
          <w:szCs w:val="24"/>
        </w:rPr>
        <w:t xml:space="preserve"> for further proceedings as to the remaining causes of action [including (2) Defendants failed to warn [Mrs. Howard] not to go down the fire pole. 3) Defendants were negligent due to the absence of any warning or safety equipment appended to the fire pole or near it. 4) Defendant failed to train [Mrs. Howard] how to go down the fire pole].</w:t>
      </w:r>
    </w:p>
    <w:p w14:paraId="77EC6EB5" w14:textId="77777777" w:rsidR="005D5A0C" w:rsidRPr="0007510D" w:rsidRDefault="005D5A0C" w:rsidP="005D5A0C">
      <w:pPr>
        <w:pStyle w:val="NoSpacing"/>
        <w:rPr>
          <w:rFonts w:ascii="Times New Roman" w:hAnsi="Times New Roman"/>
          <w:sz w:val="24"/>
          <w:szCs w:val="24"/>
        </w:rPr>
      </w:pPr>
      <w:hyperlink r:id="rId451" w:history="1">
        <w:r w:rsidRPr="0007510D">
          <w:rPr>
            <w:rStyle w:val="Hyperlink"/>
            <w:rFonts w:ascii="Times New Roman" w:hAnsi="Times New Roman"/>
            <w:sz w:val="24"/>
            <w:szCs w:val="24"/>
          </w:rPr>
          <w:t>https://www.supremecourt.ohio.gov/rod/docs/pdf/10/2024/2024-Ohio-5181.pdf</w:t>
        </w:r>
      </w:hyperlink>
      <w:r w:rsidRPr="0007510D">
        <w:rPr>
          <w:rFonts w:ascii="Times New Roman" w:hAnsi="Times New Roman"/>
          <w:sz w:val="24"/>
          <w:szCs w:val="24"/>
        </w:rPr>
        <w:t xml:space="preserve"> </w:t>
      </w:r>
    </w:p>
    <w:p w14:paraId="4460125C" w14:textId="77777777" w:rsidR="005D5A0C" w:rsidRPr="0007510D" w:rsidRDefault="005D5A0C" w:rsidP="005D5A0C">
      <w:pPr>
        <w:pStyle w:val="NoSpacing"/>
        <w:rPr>
          <w:rFonts w:ascii="Times New Roman" w:hAnsi="Times New Roman"/>
          <w:b/>
          <w:sz w:val="24"/>
          <w:szCs w:val="24"/>
        </w:rPr>
      </w:pPr>
    </w:p>
    <w:p w14:paraId="34AD2FF6" w14:textId="77777777" w:rsidR="005D5A0C" w:rsidRPr="0007510D" w:rsidRDefault="005D5A0C" w:rsidP="005D5A0C">
      <w:pPr>
        <w:pStyle w:val="NoSpacing"/>
        <w:rPr>
          <w:rFonts w:ascii="Times New Roman" w:hAnsi="Times New Roman"/>
          <w:b/>
          <w:bCs/>
          <w:sz w:val="24"/>
          <w:szCs w:val="24"/>
        </w:rPr>
      </w:pPr>
      <w:r w:rsidRPr="0007510D">
        <w:rPr>
          <w:rFonts w:ascii="Times New Roman" w:hAnsi="Times New Roman"/>
          <w:b/>
          <w:sz w:val="24"/>
          <w:szCs w:val="24"/>
        </w:rPr>
        <w:t xml:space="preserve">egal Lesson Learned – Make sure “ride-along” </w:t>
      </w:r>
      <w:r w:rsidRPr="0007510D">
        <w:rPr>
          <w:rFonts w:ascii="Times New Roman" w:hAnsi="Times New Roman"/>
          <w:b/>
          <w:bCs/>
          <w:sz w:val="24"/>
          <w:szCs w:val="24"/>
        </w:rPr>
        <w:t xml:space="preserve">demonstrates </w:t>
      </w:r>
      <w:r w:rsidRPr="0007510D">
        <w:rPr>
          <w:rFonts w:ascii="Times New Roman" w:hAnsi="Times New Roman"/>
          <w:b/>
          <w:sz w:val="24"/>
          <w:szCs w:val="24"/>
        </w:rPr>
        <w:t xml:space="preserve">how to </w:t>
      </w:r>
      <w:r w:rsidRPr="0007510D">
        <w:rPr>
          <w:rFonts w:ascii="Times New Roman" w:hAnsi="Times New Roman"/>
          <w:b/>
          <w:bCs/>
          <w:sz w:val="24"/>
          <w:szCs w:val="24"/>
        </w:rPr>
        <w:t xml:space="preserve">safely </w:t>
      </w:r>
      <w:r w:rsidRPr="0007510D">
        <w:rPr>
          <w:rFonts w:ascii="Times New Roman" w:hAnsi="Times New Roman"/>
          <w:b/>
          <w:sz w:val="24"/>
          <w:szCs w:val="24"/>
        </w:rPr>
        <w:t>go down the fire pole or require</w:t>
      </w:r>
      <w:r w:rsidRPr="0007510D">
        <w:rPr>
          <w:rFonts w:ascii="Times New Roman" w:hAnsi="Times New Roman"/>
          <w:b/>
          <w:bCs/>
          <w:sz w:val="24"/>
          <w:szCs w:val="24"/>
        </w:rPr>
        <w:t xml:space="preserve"> </w:t>
      </w:r>
      <w:r w:rsidRPr="0007510D">
        <w:rPr>
          <w:rFonts w:ascii="Times New Roman" w:hAnsi="Times New Roman"/>
          <w:b/>
          <w:sz w:val="24"/>
          <w:szCs w:val="24"/>
        </w:rPr>
        <w:t xml:space="preserve">use </w:t>
      </w:r>
      <w:r w:rsidRPr="0007510D">
        <w:rPr>
          <w:rFonts w:ascii="Times New Roman" w:hAnsi="Times New Roman"/>
          <w:b/>
          <w:bCs/>
          <w:sz w:val="24"/>
          <w:szCs w:val="24"/>
        </w:rPr>
        <w:t>of the</w:t>
      </w:r>
      <w:r w:rsidRPr="0007510D">
        <w:rPr>
          <w:rFonts w:ascii="Times New Roman" w:hAnsi="Times New Roman"/>
          <w:b/>
          <w:sz w:val="24"/>
          <w:szCs w:val="24"/>
        </w:rPr>
        <w:t xml:space="preserve"> stairs.  </w:t>
      </w:r>
    </w:p>
    <w:p w14:paraId="7315B05A" w14:textId="77777777" w:rsidR="005D5A0C" w:rsidRDefault="005D5A0C" w:rsidP="005D5A0C">
      <w:pPr>
        <w:pStyle w:val="NoSpacing"/>
        <w:rPr>
          <w:rFonts w:asciiTheme="majorHAnsi" w:hAnsiTheme="majorHAnsi"/>
          <w:b/>
          <w:bCs/>
          <w:sz w:val="28"/>
        </w:rPr>
      </w:pPr>
    </w:p>
    <w:p w14:paraId="3ED008A4" w14:textId="77777777" w:rsidR="00F97332" w:rsidRPr="00097DD5" w:rsidRDefault="00F97332" w:rsidP="00097DD5">
      <w:pPr>
        <w:pStyle w:val="NoSpacing"/>
        <w:rPr>
          <w:rFonts w:ascii="Times New Roman" w:hAnsi="Times New Roman"/>
          <w:b/>
          <w:sz w:val="24"/>
          <w:szCs w:val="24"/>
        </w:rPr>
      </w:pPr>
    </w:p>
    <w:p w14:paraId="7CFA4D6E" w14:textId="77777777" w:rsidR="00097DD5" w:rsidRPr="00097DD5" w:rsidRDefault="00097DD5" w:rsidP="00097DD5">
      <w:pPr>
        <w:pStyle w:val="NoSpacing"/>
        <w:rPr>
          <w:rFonts w:ascii="Times New Roman" w:hAnsi="Times New Roman"/>
          <w:sz w:val="24"/>
          <w:szCs w:val="24"/>
        </w:rPr>
      </w:pPr>
    </w:p>
    <w:p w14:paraId="422EDACD" w14:textId="77777777" w:rsidR="00727472" w:rsidRPr="00097DD5" w:rsidRDefault="00727472" w:rsidP="00286F24">
      <w:pPr>
        <w:rPr>
          <w:rFonts w:ascii="Times New Roman" w:hAnsi="Times New Roman"/>
          <w:sz w:val="24"/>
          <w:szCs w:val="24"/>
        </w:rPr>
      </w:pPr>
    </w:p>
    <w:p w14:paraId="23AA95E0" w14:textId="1EFB9C98" w:rsidR="00727472" w:rsidRDefault="00727472"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5</w:t>
      </w:r>
    </w:p>
    <w:p w14:paraId="00F6BBC9" w14:textId="77777777" w:rsidR="008545A2" w:rsidRPr="000617DD" w:rsidRDefault="008545A2" w:rsidP="008545A2">
      <w:pPr>
        <w:pStyle w:val="NoSpacing"/>
        <w:rPr>
          <w:rFonts w:ascii="Times New Roman" w:hAnsi="Times New Roman"/>
          <w:b/>
          <w:bCs/>
          <w:sz w:val="24"/>
          <w:szCs w:val="24"/>
        </w:rPr>
      </w:pPr>
      <w:r w:rsidRPr="000617DD">
        <w:rPr>
          <w:rFonts w:ascii="Times New Roman" w:hAnsi="Times New Roman"/>
          <w:b/>
          <w:bCs/>
          <w:sz w:val="24"/>
          <w:szCs w:val="24"/>
        </w:rPr>
        <w:t>KY: “FIREMAN’S RULE” EXCEPTION - TROPPER I-71 INJURED BY 2 TRUCKERS SPEEDING – SUE COMPANIES DAMAGES</w:t>
      </w:r>
    </w:p>
    <w:p w14:paraId="6B144FC2" w14:textId="77777777" w:rsidR="00434296" w:rsidRPr="000617DD" w:rsidRDefault="00434296" w:rsidP="00434296">
      <w:pPr>
        <w:pStyle w:val="NoSpacing"/>
        <w:rPr>
          <w:b/>
          <w:bCs/>
          <w:sz w:val="24"/>
          <w:szCs w:val="24"/>
        </w:rPr>
      </w:pPr>
    </w:p>
    <w:p w14:paraId="0544A9A9" w14:textId="77777777" w:rsidR="00434296" w:rsidRPr="000617DD" w:rsidRDefault="00434296" w:rsidP="00434296">
      <w:pPr>
        <w:pStyle w:val="NoSpacing"/>
        <w:rPr>
          <w:rFonts w:ascii="Times New Roman" w:hAnsi="Times New Roman"/>
          <w:sz w:val="24"/>
          <w:szCs w:val="24"/>
        </w:rPr>
      </w:pPr>
      <w:r w:rsidRPr="000617DD">
        <w:rPr>
          <w:rFonts w:ascii="Times New Roman" w:hAnsi="Times New Roman"/>
          <w:sz w:val="24"/>
          <w:szCs w:val="24"/>
        </w:rPr>
        <w:t xml:space="preserve">On Oct. 24, 2024, in </w:t>
      </w:r>
      <w:r w:rsidRPr="000617DD">
        <w:rPr>
          <w:rFonts w:ascii="Times New Roman" w:hAnsi="Times New Roman"/>
          <w:sz w:val="24"/>
          <w:szCs w:val="24"/>
          <w:u w:val="single"/>
        </w:rPr>
        <w:t>Wooster Motor Ways, Inc.; James Baumhower; EC Delivery. LLC; Kentucky Farm Bureau Mutual Insurance ;and Teddy Seer v. Michael Gonterman; Jenna Gonterman; and Kentucky Self-Insured Auto Program Risk &amp; Insurance Services Division</w:t>
      </w:r>
      <w:r w:rsidRPr="000617DD">
        <w:rPr>
          <w:rFonts w:ascii="Times New Roman" w:hAnsi="Times New Roman"/>
          <w:sz w:val="24"/>
          <w:szCs w:val="24"/>
        </w:rPr>
        <w:t>, the Supreme Court of Kentucky held (7 to 0):  “The Firefighter’s Rule (‘the Rule’) is a ‘common law rule of long standing,’ judicially created as a ‘public policy’ exception to the liability for</w:t>
      </w:r>
    </w:p>
    <w:p w14:paraId="362D6654" w14:textId="77777777" w:rsidR="00434296" w:rsidRPr="000617DD" w:rsidRDefault="00434296" w:rsidP="00434296">
      <w:pPr>
        <w:pStyle w:val="NoSpacing"/>
        <w:rPr>
          <w:rFonts w:ascii="Times New Roman" w:hAnsi="Times New Roman"/>
          <w:sz w:val="24"/>
          <w:szCs w:val="24"/>
        </w:rPr>
      </w:pPr>
      <w:r w:rsidRPr="000617DD">
        <w:rPr>
          <w:rFonts w:ascii="Times New Roman" w:hAnsi="Times New Roman"/>
          <w:sz w:val="24"/>
          <w:szCs w:val="24"/>
        </w:rPr>
        <w:t>negligence which might otherwise exist.’ *** As applied here, a police officer is injured by the independent negligence of another while performing his duty as a public employee, the Rule will not act to bar suit against the negligent party.”</w:t>
      </w:r>
    </w:p>
    <w:p w14:paraId="35B05D25" w14:textId="06BB6542" w:rsidR="00434296" w:rsidRPr="000617DD" w:rsidRDefault="00434296" w:rsidP="00434296">
      <w:pPr>
        <w:rPr>
          <w:rFonts w:ascii="Times New Roman" w:hAnsi="Times New Roman"/>
          <w:sz w:val="24"/>
          <w:szCs w:val="24"/>
        </w:rPr>
      </w:pPr>
      <w:hyperlink r:id="rId452" w:history="1">
        <w:r w:rsidRPr="000617DD">
          <w:rPr>
            <w:rStyle w:val="Hyperlink"/>
            <w:rFonts w:ascii="Times New Roman" w:hAnsi="Times New Roman"/>
            <w:sz w:val="24"/>
            <w:szCs w:val="24"/>
          </w:rPr>
          <w:t>https://cases.justia.com/kentucky/supreme-court/2024-2023-sc-0062-dg.pdf?ts=1729778750</w:t>
        </w:r>
      </w:hyperlink>
    </w:p>
    <w:p w14:paraId="2B1EBEBB" w14:textId="77777777" w:rsidR="000617DD" w:rsidRPr="000617DD" w:rsidRDefault="000617DD" w:rsidP="000617DD">
      <w:pPr>
        <w:rPr>
          <w:rFonts w:ascii="Times New Roman" w:hAnsi="Times New Roman"/>
          <w:b/>
          <w:bCs/>
          <w:sz w:val="24"/>
          <w:szCs w:val="24"/>
        </w:rPr>
      </w:pPr>
      <w:r w:rsidRPr="000617DD">
        <w:rPr>
          <w:rFonts w:ascii="Times New Roman" w:hAnsi="Times New Roman"/>
          <w:b/>
          <w:sz w:val="24"/>
          <w:szCs w:val="24"/>
        </w:rPr>
        <w:t>Legal Lesson Learned: Excellent decision finding an exception to the Fireman’s Rule</w:t>
      </w:r>
      <w:r w:rsidRPr="000617DD">
        <w:rPr>
          <w:rFonts w:ascii="Times New Roman" w:hAnsi="Times New Roman"/>
          <w:b/>
          <w:bCs/>
          <w:sz w:val="24"/>
          <w:szCs w:val="24"/>
        </w:rPr>
        <w:t xml:space="preserve">; some states have abolished the Fireman’s Rule completely. </w:t>
      </w:r>
    </w:p>
    <w:p w14:paraId="5FA19E77" w14:textId="77777777" w:rsidR="0025049B" w:rsidRDefault="0025049B" w:rsidP="00286F24">
      <w:pPr>
        <w:rPr>
          <w:rFonts w:ascii="Arial Black" w:hAnsi="Arial Black"/>
          <w:sz w:val="24"/>
          <w:szCs w:val="24"/>
        </w:rPr>
      </w:pPr>
    </w:p>
    <w:p w14:paraId="35784B6E" w14:textId="77ED1449" w:rsidR="003C080C" w:rsidRDefault="003C080C"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4</w:t>
      </w:r>
    </w:p>
    <w:p w14:paraId="769C9414" w14:textId="77777777" w:rsidR="003C080C" w:rsidRPr="00A71365" w:rsidRDefault="003C080C" w:rsidP="003C080C">
      <w:pPr>
        <w:pStyle w:val="NoSpacing"/>
        <w:rPr>
          <w:rFonts w:ascii="Arial Black" w:hAnsi="Arial Black"/>
          <w:sz w:val="28"/>
        </w:rPr>
      </w:pPr>
      <w:r w:rsidRPr="00A71365">
        <w:rPr>
          <w:rFonts w:ascii="Arial Black" w:hAnsi="Arial Black"/>
          <w:sz w:val="28"/>
        </w:rPr>
        <w:t>CA: FED</w:t>
      </w:r>
      <w:r>
        <w:rPr>
          <w:rFonts w:ascii="Arial Black" w:hAnsi="Arial Black"/>
          <w:sz w:val="28"/>
        </w:rPr>
        <w:t xml:space="preserve">ERAL GOV’T SUES </w:t>
      </w:r>
      <w:r w:rsidRPr="00A71365">
        <w:rPr>
          <w:rFonts w:ascii="Arial Black" w:hAnsi="Arial Black"/>
          <w:sz w:val="28"/>
        </w:rPr>
        <w:t>MANUF</w:t>
      </w:r>
      <w:r>
        <w:rPr>
          <w:rFonts w:ascii="Arial Black" w:hAnsi="Arial Black"/>
          <w:sz w:val="28"/>
        </w:rPr>
        <w:t xml:space="preserve">. OF </w:t>
      </w:r>
      <w:r w:rsidRPr="00A71365">
        <w:rPr>
          <w:rFonts w:ascii="Arial Black" w:hAnsi="Arial Black"/>
          <w:sz w:val="28"/>
        </w:rPr>
        <w:t>SMOKE BOMBS</w:t>
      </w:r>
      <w:r>
        <w:rPr>
          <w:rFonts w:ascii="Arial Black" w:hAnsi="Arial Black"/>
          <w:sz w:val="28"/>
        </w:rPr>
        <w:t xml:space="preserve"> – EXCESSIVE SPARKS</w:t>
      </w:r>
      <w:r w:rsidRPr="00A71365">
        <w:rPr>
          <w:rFonts w:ascii="Arial Black" w:hAnsi="Arial Black"/>
          <w:sz w:val="28"/>
        </w:rPr>
        <w:t xml:space="preserve"> –</w:t>
      </w:r>
      <w:r>
        <w:rPr>
          <w:rFonts w:ascii="Arial Black" w:hAnsi="Arial Black"/>
          <w:sz w:val="28"/>
        </w:rPr>
        <w:t xml:space="preserve"> </w:t>
      </w:r>
      <w:r w:rsidRPr="00A71365">
        <w:rPr>
          <w:rFonts w:ascii="Arial Black" w:hAnsi="Arial Black"/>
          <w:sz w:val="28"/>
        </w:rPr>
        <w:t>FOREST FIRE</w:t>
      </w:r>
      <w:r>
        <w:rPr>
          <w:rFonts w:ascii="Arial Black" w:hAnsi="Arial Black"/>
          <w:sz w:val="28"/>
        </w:rPr>
        <w:t xml:space="preserve"> / L</w:t>
      </w:r>
      <w:r w:rsidRPr="00A71365">
        <w:rPr>
          <w:rFonts w:ascii="Arial Black" w:hAnsi="Arial Black"/>
          <w:sz w:val="28"/>
        </w:rPr>
        <w:t>ODD</w:t>
      </w:r>
      <w:r>
        <w:rPr>
          <w:rFonts w:ascii="Arial Black" w:hAnsi="Arial Black"/>
          <w:sz w:val="28"/>
        </w:rPr>
        <w:t xml:space="preserve"> / </w:t>
      </w:r>
      <w:r w:rsidRPr="00A71365">
        <w:rPr>
          <w:rFonts w:ascii="Arial Black" w:hAnsi="Arial Black"/>
          <w:sz w:val="28"/>
        </w:rPr>
        <w:t xml:space="preserve">$41M </w:t>
      </w:r>
    </w:p>
    <w:p w14:paraId="6FE9C962" w14:textId="77777777" w:rsidR="003C080C" w:rsidRPr="00CE14C4" w:rsidRDefault="003C080C" w:rsidP="003C080C">
      <w:pPr>
        <w:pStyle w:val="NoSpacing"/>
        <w:rPr>
          <w:rFonts w:ascii="Times New Roman" w:hAnsi="Times New Roman"/>
          <w:sz w:val="24"/>
          <w:szCs w:val="24"/>
        </w:rPr>
      </w:pPr>
    </w:p>
    <w:p w14:paraId="76DFBA32" w14:textId="77777777" w:rsidR="003C080C" w:rsidRPr="00CE14C4" w:rsidRDefault="003C080C" w:rsidP="003C080C">
      <w:pPr>
        <w:pStyle w:val="NoSpacing"/>
        <w:rPr>
          <w:rFonts w:ascii="Times New Roman" w:hAnsi="Times New Roman"/>
          <w:sz w:val="24"/>
          <w:szCs w:val="24"/>
        </w:rPr>
      </w:pPr>
      <w:r w:rsidRPr="00CE14C4">
        <w:rPr>
          <w:rFonts w:ascii="Times New Roman" w:hAnsi="Times New Roman"/>
          <w:sz w:val="24"/>
          <w:szCs w:val="24"/>
        </w:rPr>
        <w:t xml:space="preserve">On September 27, 2024, in </w:t>
      </w:r>
      <w:r w:rsidRPr="00CE14C4">
        <w:rPr>
          <w:rFonts w:ascii="Times New Roman" w:hAnsi="Times New Roman"/>
          <w:sz w:val="24"/>
          <w:szCs w:val="24"/>
          <w:u w:val="single"/>
        </w:rPr>
        <w:t>United States of America v. Wholesale Fireworks Corporation, et al</w:t>
      </w:r>
      <w:r w:rsidRPr="00CE14C4">
        <w:rPr>
          <w:rFonts w:ascii="Times New Roman" w:hAnsi="Times New Roman"/>
          <w:sz w:val="24"/>
          <w:szCs w:val="24"/>
        </w:rPr>
        <w:t xml:space="preserve">.,  United States District Court Judge Maame Ewusi-Mensah Frimpong,  U.S. District Court for Central District of California, denied Wholesale Firework Corporation’s (Hubard, Ohio) motion to dismiss; lawsuit to proceed against that corporation, as well as their distributor (American Fireworks Warehouse) and family that set off the two smoke bombs.  On Sept. 5, 2020, defendants Refugio and Angelina Jimenz set off two smoke bombs at a “gender reveal” party near the National Forest in San Bernadino; the fire destroyed 22,744 acres, damaged or destroyed 24 buildings, resulted in line-of-duty death of Charles Morton, and cost $41 million in fire suppression cost.  The Court wrote:  “[t] the United States alleges Wholesale Fireworks’ failure to properly design and manufacture the gender reveal smoke bombs resulted in the emission of excessive sparks, flames, and molten materials…. The FAC [First Amended Complaint] also alleges that Wholesale Fireworks failed to adequately provide labeling to warn of dangers or instruct on the safe use of the gender reveal smoke bombs….  Additionally, the gender reveal smoke bombs failed to bear the California State Fire Marshall Registration Seal, rendering them illegal in California….  Accordingly, the Court finds that the United States has plausibly alleged that Wholesale Fireworks breached the duty of care imposed by California and federal law.” </w:t>
      </w:r>
      <w:hyperlink r:id="rId453" w:history="1">
        <w:r w:rsidRPr="00CE14C4">
          <w:rPr>
            <w:rStyle w:val="Hyperlink"/>
            <w:rFonts w:ascii="Times New Roman" w:hAnsi="Times New Roman"/>
            <w:sz w:val="24"/>
            <w:szCs w:val="24"/>
          </w:rPr>
          <w:t>https://www.courthousenews.com/wp-content/uploads/2024/09/wholesale-fireworks-ruling.pdf</w:t>
        </w:r>
      </w:hyperlink>
      <w:r w:rsidRPr="00CE14C4">
        <w:rPr>
          <w:rFonts w:ascii="Times New Roman" w:hAnsi="Times New Roman"/>
          <w:sz w:val="24"/>
          <w:szCs w:val="24"/>
        </w:rPr>
        <w:t xml:space="preserve"> </w:t>
      </w:r>
    </w:p>
    <w:p w14:paraId="7FF70B45" w14:textId="77777777" w:rsidR="003C080C" w:rsidRPr="00CE14C4" w:rsidRDefault="003C080C" w:rsidP="003C080C">
      <w:pPr>
        <w:pStyle w:val="NoSpacing"/>
        <w:rPr>
          <w:rFonts w:ascii="Times New Roman" w:hAnsi="Times New Roman"/>
          <w:sz w:val="24"/>
          <w:szCs w:val="24"/>
        </w:rPr>
      </w:pPr>
    </w:p>
    <w:p w14:paraId="437840B1" w14:textId="77777777" w:rsidR="003C080C" w:rsidRPr="00CE14C4" w:rsidRDefault="003C080C" w:rsidP="003C080C">
      <w:pPr>
        <w:pStyle w:val="NoSpacing"/>
        <w:rPr>
          <w:rFonts w:ascii="Times New Roman" w:hAnsi="Times New Roman"/>
          <w:sz w:val="24"/>
          <w:szCs w:val="24"/>
        </w:rPr>
      </w:pPr>
      <w:r w:rsidRPr="00CE14C4">
        <w:rPr>
          <w:rFonts w:ascii="Times New Roman" w:hAnsi="Times New Roman"/>
          <w:sz w:val="24"/>
          <w:szCs w:val="24"/>
        </w:rPr>
        <w:t>THE COURT HELD:</w:t>
      </w:r>
    </w:p>
    <w:p w14:paraId="77568C0E" w14:textId="77777777" w:rsidR="003C080C" w:rsidRPr="00CE14C4" w:rsidRDefault="003C080C" w:rsidP="003C080C">
      <w:pPr>
        <w:pStyle w:val="NoSpacing"/>
        <w:rPr>
          <w:rFonts w:ascii="Times New Roman" w:hAnsi="Times New Roman"/>
          <w:sz w:val="24"/>
          <w:szCs w:val="24"/>
        </w:rPr>
      </w:pPr>
    </w:p>
    <w:p w14:paraId="4E47F969" w14:textId="77777777" w:rsidR="003C080C" w:rsidRDefault="003C080C" w:rsidP="003C080C">
      <w:pPr>
        <w:pStyle w:val="NoSpacing"/>
        <w:ind w:left="720"/>
        <w:rPr>
          <w:rFonts w:ascii="Times New Roman" w:hAnsi="Times New Roman"/>
          <w:sz w:val="24"/>
          <w:szCs w:val="24"/>
        </w:rPr>
      </w:pPr>
      <w:r w:rsidRPr="00CE14C4">
        <w:rPr>
          <w:rFonts w:ascii="Times New Roman" w:hAnsi="Times New Roman"/>
          <w:sz w:val="24"/>
          <w:szCs w:val="24"/>
        </w:rPr>
        <w:t xml:space="preserve">“T]he Court finds that it is plausible that Wholesale Fireworks allowed the fire to occur. If an entity knows or has reason to know of the risks that may result from the defective labeling or design of its product, yet fails to adequately provide such labeling, it follows that the entity consequently allowed for that danger to ensue. Wholesale Fireworks knew or had reason to know of the risks of fire that may result from the defective labeling or design of the gender </w:t>
      </w:r>
      <w:proofErr w:type="gramStart"/>
      <w:r w:rsidRPr="00CE14C4">
        <w:rPr>
          <w:rFonts w:ascii="Times New Roman" w:hAnsi="Times New Roman"/>
          <w:sz w:val="24"/>
          <w:szCs w:val="24"/>
        </w:rPr>
        <w:t>reveal</w:t>
      </w:r>
      <w:proofErr w:type="gramEnd"/>
      <w:r w:rsidRPr="00CE14C4">
        <w:rPr>
          <w:rFonts w:ascii="Times New Roman" w:hAnsi="Times New Roman"/>
          <w:sz w:val="24"/>
          <w:szCs w:val="24"/>
        </w:rPr>
        <w:t xml:space="preserve"> smoke bombs given </w:t>
      </w:r>
      <w:proofErr w:type="gramStart"/>
      <w:r w:rsidRPr="00CE14C4">
        <w:rPr>
          <w:rFonts w:ascii="Times New Roman" w:hAnsi="Times New Roman"/>
          <w:sz w:val="24"/>
          <w:szCs w:val="24"/>
        </w:rPr>
        <w:t>its</w:t>
      </w:r>
      <w:proofErr w:type="gramEnd"/>
      <w:r w:rsidRPr="00CE14C4">
        <w:rPr>
          <w:rFonts w:ascii="Times New Roman" w:hAnsi="Times New Roman"/>
          <w:sz w:val="24"/>
          <w:szCs w:val="24"/>
        </w:rPr>
        <w:t xml:space="preserve"> training in the industry. Wholesale Fireworks failed to adequately provide warnings </w:t>
      </w:r>
      <w:proofErr w:type="gramStart"/>
      <w:r w:rsidRPr="00CE14C4">
        <w:rPr>
          <w:rFonts w:ascii="Times New Roman" w:hAnsi="Times New Roman"/>
          <w:sz w:val="24"/>
          <w:szCs w:val="24"/>
        </w:rPr>
        <w:t>of</w:t>
      </w:r>
      <w:proofErr w:type="gramEnd"/>
      <w:r w:rsidRPr="00CE14C4">
        <w:rPr>
          <w:rFonts w:ascii="Times New Roman" w:hAnsi="Times New Roman"/>
          <w:sz w:val="24"/>
          <w:szCs w:val="24"/>
        </w:rPr>
        <w:t xml:space="preserve"> the risk of fire that may </w:t>
      </w:r>
      <w:proofErr w:type="gramStart"/>
      <w:r w:rsidRPr="00CE14C4">
        <w:rPr>
          <w:rFonts w:ascii="Times New Roman" w:hAnsi="Times New Roman"/>
          <w:sz w:val="24"/>
          <w:szCs w:val="24"/>
        </w:rPr>
        <w:t>ensue</w:t>
      </w:r>
      <w:proofErr w:type="gramEnd"/>
      <w:r w:rsidRPr="00CE14C4">
        <w:rPr>
          <w:rFonts w:ascii="Times New Roman" w:hAnsi="Times New Roman"/>
          <w:sz w:val="24"/>
          <w:szCs w:val="24"/>
        </w:rPr>
        <w:t xml:space="preserve"> from the misuse of its product, despite knowing or having reason to know of the risks of such danger. Further, this failure was in violation of the law. Therefore, Wholesale Fireworks, in essence, allowed the fire to occur.”</w:t>
      </w:r>
    </w:p>
    <w:p w14:paraId="3A380298" w14:textId="77777777" w:rsidR="003C080C" w:rsidRPr="00BE0BB3" w:rsidRDefault="003C080C" w:rsidP="003C080C">
      <w:pPr>
        <w:pStyle w:val="NoSpacing"/>
        <w:rPr>
          <w:rFonts w:ascii="Times New Roman" w:hAnsi="Times New Roman"/>
          <w:b/>
          <w:bCs/>
          <w:sz w:val="24"/>
          <w:szCs w:val="24"/>
        </w:rPr>
      </w:pPr>
      <w:r w:rsidRPr="00BE0BB3">
        <w:rPr>
          <w:rFonts w:ascii="Times New Roman" w:hAnsi="Times New Roman"/>
          <w:b/>
          <w:bCs/>
          <w:sz w:val="24"/>
          <w:szCs w:val="24"/>
        </w:rPr>
        <w:t>Legal Lesson Learned: The manufacturer of smoke bombs has a duty to warn users about the risks of excessive sparks, flames, and molten materials.</w:t>
      </w:r>
    </w:p>
    <w:p w14:paraId="60F5FA5A" w14:textId="77777777" w:rsidR="006D679A" w:rsidRDefault="006D679A" w:rsidP="003C080C">
      <w:pPr>
        <w:ind w:left="720"/>
        <w:rPr>
          <w:rFonts w:ascii="Times New Roman" w:hAnsi="Times New Roman"/>
          <w:sz w:val="24"/>
          <w:szCs w:val="24"/>
        </w:rPr>
      </w:pPr>
    </w:p>
    <w:p w14:paraId="11C845B5" w14:textId="5AD2B852" w:rsidR="003C080C" w:rsidRPr="00BE0BB3" w:rsidRDefault="003C080C" w:rsidP="003C080C">
      <w:pPr>
        <w:ind w:left="720"/>
        <w:rPr>
          <w:rFonts w:ascii="Times New Roman" w:hAnsi="Times New Roman"/>
          <w:sz w:val="24"/>
          <w:szCs w:val="24"/>
        </w:rPr>
      </w:pPr>
      <w:r w:rsidRPr="00BE0BB3">
        <w:rPr>
          <w:rFonts w:ascii="Times New Roman" w:hAnsi="Times New Roman"/>
          <w:sz w:val="24"/>
          <w:szCs w:val="24"/>
        </w:rPr>
        <w:t xml:space="preserve">Note: National Fallen Firefighter Foundation: “Charles Morton, squad boss on the Big Bear Interagency Hotshot Crew, died during interagency fire suppression activities on the El Dorado Fire in the San Bernardino National Forest in California on September 17, 2020. He had been a firefighter for 18 years, 14 of those with the U.S. Forest Service.” </w:t>
      </w:r>
      <w:hyperlink r:id="rId454" w:history="1">
        <w:r w:rsidRPr="00BE0BB3">
          <w:rPr>
            <w:rStyle w:val="Hyperlink"/>
            <w:rFonts w:ascii="Times New Roman" w:hAnsi="Times New Roman"/>
            <w:sz w:val="24"/>
            <w:szCs w:val="24"/>
          </w:rPr>
          <w:t>https://www.firehero.org/fallen-firefighter/charles-e-morton/</w:t>
        </w:r>
      </w:hyperlink>
      <w:r w:rsidRPr="00BE0BB3">
        <w:rPr>
          <w:rFonts w:ascii="Times New Roman" w:hAnsi="Times New Roman"/>
          <w:sz w:val="24"/>
          <w:szCs w:val="24"/>
        </w:rPr>
        <w:t xml:space="preserve"> </w:t>
      </w:r>
    </w:p>
    <w:p w14:paraId="4B26E4FB" w14:textId="77777777" w:rsidR="003C080C" w:rsidRPr="00CE14C4" w:rsidRDefault="003C080C" w:rsidP="003C080C">
      <w:pPr>
        <w:pStyle w:val="NoSpacing"/>
        <w:ind w:left="720"/>
        <w:rPr>
          <w:rFonts w:ascii="Times New Roman" w:hAnsi="Times New Roman"/>
          <w:sz w:val="24"/>
          <w:szCs w:val="24"/>
        </w:rPr>
      </w:pPr>
    </w:p>
    <w:p w14:paraId="2E2B3BD0" w14:textId="77777777" w:rsidR="003C080C" w:rsidRDefault="003C080C" w:rsidP="003C080C">
      <w:pPr>
        <w:pStyle w:val="NoSpacing"/>
        <w:ind w:left="720"/>
      </w:pPr>
    </w:p>
    <w:p w14:paraId="519FB2D6" w14:textId="144D49D1" w:rsidR="003C080C" w:rsidRDefault="00B34767"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3</w:t>
      </w:r>
    </w:p>
    <w:p w14:paraId="30DB49B2" w14:textId="77777777" w:rsidR="00B34767" w:rsidRDefault="00B34767" w:rsidP="00B34767">
      <w:pPr>
        <w:pStyle w:val="NoSpacing"/>
        <w:rPr>
          <w:rFonts w:ascii="Arial Black" w:hAnsi="Arial Black"/>
          <w:sz w:val="28"/>
        </w:rPr>
      </w:pPr>
      <w:r>
        <w:rPr>
          <w:rFonts w:ascii="Arial Black" w:hAnsi="Arial Black"/>
          <w:sz w:val="28"/>
        </w:rPr>
        <w:t>TX: PATIENT FIRES 2 SHOTS / THEN PULLS KNIFE ON EMS DURING TRANSPORT – SENTENCED LIFE IMPRISONMENT</w:t>
      </w:r>
    </w:p>
    <w:p w14:paraId="67A7050F" w14:textId="77777777" w:rsidR="00B34767" w:rsidRDefault="00B34767" w:rsidP="00B34767">
      <w:pPr>
        <w:pStyle w:val="NoSpacing"/>
        <w:rPr>
          <w:szCs w:val="24"/>
        </w:rPr>
      </w:pPr>
    </w:p>
    <w:p w14:paraId="0D79F0A9" w14:textId="77777777" w:rsidR="00B34767" w:rsidRPr="00B34767" w:rsidRDefault="00B34767" w:rsidP="00B34767">
      <w:pPr>
        <w:pStyle w:val="NoSpacing"/>
        <w:rPr>
          <w:rFonts w:ascii="Times New Roman" w:hAnsi="Times New Roman"/>
          <w:sz w:val="24"/>
          <w:szCs w:val="24"/>
        </w:rPr>
      </w:pPr>
      <w:r w:rsidRPr="00B34767">
        <w:rPr>
          <w:rFonts w:ascii="Times New Roman" w:hAnsi="Times New Roman"/>
          <w:sz w:val="24"/>
          <w:szCs w:val="24"/>
        </w:rPr>
        <w:t xml:space="preserve">On September 19, 2024, in </w:t>
      </w:r>
      <w:r w:rsidRPr="00B34767">
        <w:rPr>
          <w:rFonts w:ascii="Times New Roman" w:hAnsi="Times New Roman"/>
          <w:sz w:val="24"/>
          <w:szCs w:val="24"/>
          <w:u w:val="single"/>
        </w:rPr>
        <w:t>Michael McMillian v. The State of Texas</w:t>
      </w:r>
      <w:r w:rsidRPr="00B34767">
        <w:rPr>
          <w:rFonts w:ascii="Times New Roman" w:hAnsi="Times New Roman"/>
          <w:sz w:val="24"/>
          <w:szCs w:val="24"/>
        </w:rPr>
        <w:t>, the Court of Appeals of Texas, Eleventh District, held (3 to 0; unpublished decision) that jury properly convicted defendant of two separate offenses against same victim – aggravated assault with gun, and aggravated assault with knife against EMT Tahnee Marks.  The Court wrote: “The jury found Appellant guilty of all six counts and the trial court assessed punishment at confinement in the Institutional Division of the Texas Department of Criminal Justice for terms ranging from forty years to life—all to run concurrently. *** Here, Appellant was charged with,</w:t>
      </w:r>
    </w:p>
    <w:p w14:paraId="1A123F91" w14:textId="77777777" w:rsidR="00B34767" w:rsidRPr="00B34767" w:rsidRDefault="00B34767" w:rsidP="00B34767">
      <w:pPr>
        <w:pStyle w:val="NoSpacing"/>
        <w:rPr>
          <w:rFonts w:ascii="Times New Roman" w:hAnsi="Times New Roman"/>
          <w:sz w:val="24"/>
          <w:szCs w:val="24"/>
        </w:rPr>
      </w:pPr>
      <w:r w:rsidRPr="00B34767">
        <w:rPr>
          <w:rFonts w:ascii="Times New Roman" w:hAnsi="Times New Roman"/>
          <w:sz w:val="24"/>
          <w:szCs w:val="24"/>
        </w:rPr>
        <w:t xml:space="preserve">convicted </w:t>
      </w:r>
      <w:proofErr w:type="gramStart"/>
      <w:r w:rsidRPr="00B34767">
        <w:rPr>
          <w:rFonts w:ascii="Times New Roman" w:hAnsi="Times New Roman"/>
          <w:sz w:val="24"/>
          <w:szCs w:val="24"/>
        </w:rPr>
        <w:t>of, and</w:t>
      </w:r>
      <w:proofErr w:type="gramEnd"/>
      <w:r w:rsidRPr="00B34767">
        <w:rPr>
          <w:rFonts w:ascii="Times New Roman" w:hAnsi="Times New Roman"/>
          <w:sz w:val="24"/>
          <w:szCs w:val="24"/>
        </w:rPr>
        <w:t xml:space="preserve"> punished for two separate violations of a single statutory offense.</w:t>
      </w:r>
    </w:p>
    <w:p w14:paraId="491D4BAE" w14:textId="77777777" w:rsidR="00B34767" w:rsidRPr="00B34767" w:rsidRDefault="00B34767" w:rsidP="00B34767">
      <w:pPr>
        <w:pStyle w:val="NoSpacing"/>
        <w:rPr>
          <w:rFonts w:ascii="Times New Roman" w:hAnsi="Times New Roman"/>
          <w:sz w:val="24"/>
          <w:szCs w:val="24"/>
        </w:rPr>
      </w:pPr>
      <w:r w:rsidRPr="00B34767">
        <w:rPr>
          <w:rFonts w:ascii="Times New Roman" w:hAnsi="Times New Roman"/>
          <w:sz w:val="24"/>
          <w:szCs w:val="24"/>
        </w:rPr>
        <w:t xml:space="preserve">Therefore, the double jeopardy protections are not implicated here.” </w:t>
      </w:r>
      <w:hyperlink r:id="rId455" w:history="1">
        <w:r w:rsidRPr="00B34767">
          <w:rPr>
            <w:rStyle w:val="Hyperlink"/>
            <w:rFonts w:ascii="Times New Roman" w:hAnsi="Times New Roman"/>
            <w:sz w:val="24"/>
            <w:szCs w:val="24"/>
          </w:rPr>
          <w:t>https://cases.justia.com/texas/eleventh-court-of-appeals/2024-11-22-00155-cr.pdf?ts=1726749633</w:t>
        </w:r>
      </w:hyperlink>
      <w:r w:rsidRPr="00B34767">
        <w:rPr>
          <w:rFonts w:ascii="Times New Roman" w:hAnsi="Times New Roman"/>
          <w:sz w:val="24"/>
          <w:szCs w:val="24"/>
        </w:rPr>
        <w:t xml:space="preserve"> </w:t>
      </w:r>
    </w:p>
    <w:p w14:paraId="03ED4049" w14:textId="77777777" w:rsidR="00B34767" w:rsidRPr="00B34767" w:rsidRDefault="00B34767" w:rsidP="00B34767">
      <w:pPr>
        <w:pStyle w:val="NoSpacing"/>
        <w:rPr>
          <w:rFonts w:ascii="Times New Roman" w:hAnsi="Times New Roman"/>
          <w:sz w:val="24"/>
          <w:szCs w:val="24"/>
        </w:rPr>
      </w:pPr>
    </w:p>
    <w:p w14:paraId="3FC7DD7A" w14:textId="77777777" w:rsidR="00B34767" w:rsidRPr="00B34767" w:rsidRDefault="00B34767" w:rsidP="00B34767">
      <w:pPr>
        <w:pStyle w:val="NoSpacing"/>
        <w:rPr>
          <w:rFonts w:ascii="Times New Roman" w:hAnsi="Times New Roman"/>
          <w:sz w:val="24"/>
          <w:szCs w:val="24"/>
        </w:rPr>
      </w:pPr>
      <w:r w:rsidRPr="00B34767">
        <w:rPr>
          <w:rFonts w:ascii="Times New Roman" w:hAnsi="Times New Roman"/>
          <w:sz w:val="24"/>
          <w:szCs w:val="24"/>
        </w:rPr>
        <w:t>THE COURT HELD:</w:t>
      </w:r>
    </w:p>
    <w:p w14:paraId="71886A8F" w14:textId="77777777" w:rsidR="00B34767" w:rsidRPr="00B34767" w:rsidRDefault="00B34767" w:rsidP="00B34767">
      <w:pPr>
        <w:pStyle w:val="NoSpacing"/>
        <w:rPr>
          <w:rFonts w:ascii="Times New Roman" w:hAnsi="Times New Roman"/>
          <w:sz w:val="24"/>
          <w:szCs w:val="24"/>
        </w:rPr>
      </w:pPr>
    </w:p>
    <w:p w14:paraId="196CD69B"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“The testimony shows there was a separation—though short—between the first</w:t>
      </w:r>
    </w:p>
    <w:p w14:paraId="7F71A616"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time Appellant threatened Meeks with a gun, and the second time Appellant</w:t>
      </w:r>
    </w:p>
    <w:p w14:paraId="45FD9985"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threatened Meeks with a knife. Meeks described the time in which she was not in</w:t>
      </w:r>
    </w:p>
    <w:p w14:paraId="2CF76327"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the ambulance and was not in a direct struggle with Appellant. Meeks additionally</w:t>
      </w:r>
    </w:p>
    <w:p w14:paraId="29A38EDC"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was able to radio for help two times, once at the end of the first threat, and again</w:t>
      </w:r>
    </w:p>
    <w:p w14:paraId="02AC508A"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right before the second threat. Double jeopardy defines the “same offense” as</w:t>
      </w:r>
    </w:p>
    <w:p w14:paraId="279A5D9B"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 xml:space="preserve">identical criminal acts—not merely the same offense by name. See Ex </w:t>
      </w:r>
      <w:proofErr w:type="spellStart"/>
      <w:r w:rsidRPr="00B34767">
        <w:rPr>
          <w:rFonts w:ascii="Times New Roman" w:hAnsi="Times New Roman"/>
          <w:sz w:val="24"/>
          <w:szCs w:val="24"/>
        </w:rPr>
        <w:t>parte</w:t>
      </w:r>
      <w:proofErr w:type="spellEnd"/>
    </w:p>
    <w:p w14:paraId="6805C1E0"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Goodbread, 967 S.W.2d 859, 860 (Tex. Crim. App. 1998) (citing Luna v. State, 439</w:t>
      </w:r>
    </w:p>
    <w:p w14:paraId="3FEB928E" w14:textId="77777777" w:rsidR="00B34767" w:rsidRPr="00B34767" w:rsidRDefault="00B34767" w:rsidP="00B34767">
      <w:pPr>
        <w:pStyle w:val="NoSpacing"/>
        <w:ind w:firstLine="720"/>
        <w:rPr>
          <w:rFonts w:ascii="Times New Roman" w:hAnsi="Times New Roman"/>
          <w:sz w:val="24"/>
          <w:szCs w:val="24"/>
        </w:rPr>
      </w:pPr>
      <w:r w:rsidRPr="00B34767">
        <w:rPr>
          <w:rFonts w:ascii="Times New Roman" w:hAnsi="Times New Roman"/>
          <w:sz w:val="24"/>
          <w:szCs w:val="24"/>
        </w:rPr>
        <w:t>S.W.2d 854, 855 (Tex. Crim. App. 1973)).”</w:t>
      </w:r>
    </w:p>
    <w:p w14:paraId="4B6225CE" w14:textId="77777777" w:rsidR="00B34767" w:rsidRPr="00B34767" w:rsidRDefault="00B34767" w:rsidP="00B34767">
      <w:pPr>
        <w:pStyle w:val="NoSpacing"/>
        <w:ind w:firstLine="720"/>
        <w:rPr>
          <w:rFonts w:ascii="Times New Roman" w:hAnsi="Times New Roman"/>
          <w:sz w:val="24"/>
          <w:szCs w:val="24"/>
        </w:rPr>
      </w:pPr>
    </w:p>
    <w:p w14:paraId="5419B923" w14:textId="77777777" w:rsidR="00B34767" w:rsidRPr="00B34767" w:rsidRDefault="00B34767" w:rsidP="00B34767">
      <w:pPr>
        <w:pStyle w:val="NoSpacing"/>
        <w:ind w:left="720"/>
        <w:rPr>
          <w:rFonts w:ascii="Times New Roman" w:hAnsi="Times New Roman"/>
          <w:sz w:val="24"/>
          <w:szCs w:val="24"/>
        </w:rPr>
      </w:pPr>
    </w:p>
    <w:p w14:paraId="79E0593E" w14:textId="29179A1D" w:rsidR="00B34767" w:rsidRPr="00B34767" w:rsidRDefault="00B34767" w:rsidP="00B34767">
      <w:pPr>
        <w:pStyle w:val="NoSpacing"/>
        <w:rPr>
          <w:rFonts w:ascii="Times New Roman" w:hAnsi="Times New Roman"/>
          <w:b/>
          <w:bCs/>
          <w:sz w:val="24"/>
          <w:szCs w:val="24"/>
        </w:rPr>
      </w:pPr>
      <w:r w:rsidRPr="00B34767">
        <w:rPr>
          <w:rFonts w:ascii="Times New Roman" w:hAnsi="Times New Roman"/>
          <w:b/>
          <w:bCs/>
          <w:sz w:val="24"/>
          <w:szCs w:val="24"/>
        </w:rPr>
        <w:t xml:space="preserve">Legal Lesson Learned: No double jeopardy for two offenses against </w:t>
      </w:r>
      <w:r w:rsidR="00B276FE">
        <w:rPr>
          <w:rFonts w:ascii="Times New Roman" w:hAnsi="Times New Roman"/>
          <w:b/>
          <w:bCs/>
          <w:sz w:val="24"/>
          <w:szCs w:val="24"/>
        </w:rPr>
        <w:t xml:space="preserve">the </w:t>
      </w:r>
      <w:r w:rsidRPr="00B34767">
        <w:rPr>
          <w:rFonts w:ascii="Times New Roman" w:hAnsi="Times New Roman"/>
          <w:b/>
          <w:bCs/>
          <w:sz w:val="24"/>
          <w:szCs w:val="24"/>
        </w:rPr>
        <w:t>same victim.  EMS should check patient clothing for weapons prior to transport.</w:t>
      </w:r>
    </w:p>
    <w:p w14:paraId="2ECC9516" w14:textId="77777777" w:rsidR="00B34767" w:rsidRDefault="00B34767" w:rsidP="00B34767">
      <w:pPr>
        <w:pStyle w:val="NoSpacing"/>
      </w:pPr>
    </w:p>
    <w:p w14:paraId="798046AE" w14:textId="77777777" w:rsidR="00B34767" w:rsidRDefault="00B34767" w:rsidP="00B34767">
      <w:pPr>
        <w:pStyle w:val="NoSpacing"/>
      </w:pPr>
    </w:p>
    <w:p w14:paraId="6B36D020" w14:textId="77777777" w:rsidR="00B34767" w:rsidRDefault="00B34767" w:rsidP="00286F24">
      <w:pPr>
        <w:rPr>
          <w:rFonts w:ascii="Arial Black" w:hAnsi="Arial Black"/>
          <w:sz w:val="24"/>
          <w:szCs w:val="24"/>
        </w:rPr>
      </w:pPr>
    </w:p>
    <w:p w14:paraId="0F548D5F" w14:textId="77777777" w:rsidR="003C080C" w:rsidRDefault="003C080C" w:rsidP="00286F24">
      <w:pPr>
        <w:rPr>
          <w:rFonts w:ascii="Arial Black" w:hAnsi="Arial Black"/>
          <w:sz w:val="24"/>
          <w:szCs w:val="24"/>
        </w:rPr>
      </w:pPr>
    </w:p>
    <w:p w14:paraId="7AEAC9BB" w14:textId="2E2CB599" w:rsidR="005C3A2A" w:rsidRDefault="00E03026"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2</w:t>
      </w:r>
    </w:p>
    <w:p w14:paraId="630C1EA6" w14:textId="1A838424" w:rsidR="00671D64" w:rsidRDefault="00671D64" w:rsidP="00671D64">
      <w:pPr>
        <w:rPr>
          <w:rFonts w:ascii="Arial Black" w:hAnsi="Arial Black"/>
          <w:b/>
          <w:bCs/>
          <w:sz w:val="28"/>
        </w:rPr>
      </w:pPr>
      <w:r>
        <w:rPr>
          <w:rFonts w:ascii="Arial Black" w:hAnsi="Arial Black"/>
          <w:b/>
          <w:bCs/>
          <w:sz w:val="28"/>
        </w:rPr>
        <w:t xml:space="preserve">MI: FF KILLED RESTAURANT FIRE – SEARCH WARRANT OWNER’S PROPERTIES, NOT CHARGED – </w:t>
      </w:r>
      <w:r w:rsidR="00D50A15">
        <w:rPr>
          <w:rFonts w:ascii="Arial Black" w:hAnsi="Arial Black"/>
          <w:b/>
          <w:bCs/>
          <w:sz w:val="28"/>
        </w:rPr>
        <w:t>INVESTIGATOR</w:t>
      </w:r>
      <w:r>
        <w:rPr>
          <w:rFonts w:ascii="Arial Black" w:hAnsi="Arial Black"/>
          <w:b/>
          <w:bCs/>
          <w:sz w:val="28"/>
        </w:rPr>
        <w:t xml:space="preserve"> IMMUNITY</w:t>
      </w:r>
    </w:p>
    <w:p w14:paraId="6300B98B" w14:textId="77777777" w:rsidR="00671D64" w:rsidRPr="00671D64" w:rsidRDefault="00671D64" w:rsidP="00671D64">
      <w:pPr>
        <w:rPr>
          <w:rFonts w:ascii="Times New Roman" w:hAnsi="Times New Roman"/>
          <w:sz w:val="24"/>
          <w:szCs w:val="24"/>
        </w:rPr>
      </w:pPr>
      <w:r w:rsidRPr="00671D64">
        <w:rPr>
          <w:rFonts w:ascii="Times New Roman" w:hAnsi="Times New Roman"/>
          <w:sz w:val="24"/>
          <w:szCs w:val="24"/>
        </w:rPr>
        <w:t xml:space="preserve">On Aug. 23, 2024, in </w:t>
      </w:r>
      <w:r w:rsidRPr="00671D64">
        <w:rPr>
          <w:rFonts w:ascii="Times New Roman" w:hAnsi="Times New Roman"/>
          <w:sz w:val="24"/>
          <w:szCs w:val="24"/>
          <w:u w:val="single"/>
        </w:rPr>
        <w:t>George Marvaso, et al. v. Richard Sanchez</w:t>
      </w:r>
      <w:r w:rsidRPr="00671D64">
        <w:rPr>
          <w:rFonts w:ascii="Times New Roman" w:hAnsi="Times New Roman"/>
          <w:sz w:val="24"/>
          <w:szCs w:val="24"/>
        </w:rPr>
        <w:t>, the U.S. Court of Appeals for 6</w:t>
      </w:r>
      <w:r w:rsidRPr="00671D64">
        <w:rPr>
          <w:rFonts w:ascii="Times New Roman" w:hAnsi="Times New Roman"/>
          <w:sz w:val="24"/>
          <w:szCs w:val="24"/>
          <w:vertAlign w:val="superscript"/>
        </w:rPr>
        <w:t>th</w:t>
      </w:r>
      <w:r w:rsidRPr="00671D64">
        <w:rPr>
          <w:rFonts w:ascii="Times New Roman" w:hAnsi="Times New Roman"/>
          <w:sz w:val="24"/>
          <w:szCs w:val="24"/>
        </w:rPr>
        <w:t xml:space="preserve"> Circuit (Cincinnati) held (3 to 0; unpublished opinion) that Michigan State Patrol lieutenant Richard Sanchez was properly dismissed from lawsuit.  Firefighter Brian Woehlke died </w:t>
      </w:r>
      <w:proofErr w:type="gramStart"/>
      <w:r w:rsidRPr="00671D64">
        <w:rPr>
          <w:rFonts w:ascii="Times New Roman" w:hAnsi="Times New Roman"/>
          <w:sz w:val="24"/>
          <w:szCs w:val="24"/>
        </w:rPr>
        <w:t>in</w:t>
      </w:r>
      <w:proofErr w:type="gramEnd"/>
      <w:r w:rsidRPr="00671D64">
        <w:rPr>
          <w:rFonts w:ascii="Times New Roman" w:hAnsi="Times New Roman"/>
          <w:sz w:val="24"/>
          <w:szCs w:val="24"/>
        </w:rPr>
        <w:t xml:space="preserve"> May 8, </w:t>
      </w:r>
      <w:proofErr w:type="gramStart"/>
      <w:r w:rsidRPr="00671D64">
        <w:rPr>
          <w:rFonts w:ascii="Times New Roman" w:hAnsi="Times New Roman"/>
          <w:sz w:val="24"/>
          <w:szCs w:val="24"/>
        </w:rPr>
        <w:t>2013</w:t>
      </w:r>
      <w:proofErr w:type="gramEnd"/>
      <w:r w:rsidRPr="00671D64">
        <w:rPr>
          <w:rFonts w:ascii="Times New Roman" w:hAnsi="Times New Roman"/>
          <w:sz w:val="24"/>
          <w:szCs w:val="24"/>
        </w:rPr>
        <w:t xml:space="preserve"> fire at </w:t>
      </w:r>
      <w:proofErr w:type="spellStart"/>
      <w:r w:rsidRPr="00671D64">
        <w:rPr>
          <w:rFonts w:ascii="Times New Roman" w:hAnsi="Times New Roman"/>
          <w:sz w:val="24"/>
          <w:szCs w:val="24"/>
        </w:rPr>
        <w:t>Marvaso’s</w:t>
      </w:r>
      <w:proofErr w:type="spellEnd"/>
      <w:r w:rsidRPr="00671D64">
        <w:rPr>
          <w:rFonts w:ascii="Times New Roman" w:hAnsi="Times New Roman"/>
          <w:sz w:val="24"/>
          <w:szCs w:val="24"/>
        </w:rPr>
        <w:t xml:space="preserve"> Italian Grille in Westland, Michigan. The Court wrote: “According to Plaintiffs, Sanchez knowingly omitted key information and knowingly included false information in drafting the affidavits, which resulted in the execution of illegal search warrants that violated their Fourth Amendment rights. To support their argument, Plaintiffs list various factual omissions that they claim would have affected the magistrate judge’s ultimate probable cause determination. However, with or without </w:t>
      </w:r>
      <w:proofErr w:type="gramStart"/>
      <w:r w:rsidRPr="00671D64">
        <w:rPr>
          <w:rFonts w:ascii="Times New Roman" w:hAnsi="Times New Roman"/>
          <w:sz w:val="24"/>
          <w:szCs w:val="24"/>
        </w:rPr>
        <w:t>the consideration</w:t>
      </w:r>
      <w:proofErr w:type="gramEnd"/>
      <w:r w:rsidRPr="00671D64">
        <w:rPr>
          <w:rFonts w:ascii="Times New Roman" w:hAnsi="Times New Roman"/>
          <w:sz w:val="24"/>
          <w:szCs w:val="24"/>
        </w:rPr>
        <w:t xml:space="preserve"> of the additional facts that Plaintiffs proffer, there would have been probable cause to search their homes. Because no Fourth Amendment violation occurred, we agree with the district court’s determination that Sanchez is entitled to qualified immunity.” </w:t>
      </w:r>
      <w:hyperlink r:id="rId456" w:history="1">
        <w:r w:rsidRPr="00671D64">
          <w:rPr>
            <w:rStyle w:val="Hyperlink"/>
            <w:rFonts w:ascii="Times New Roman" w:hAnsi="Times New Roman"/>
            <w:sz w:val="24"/>
            <w:szCs w:val="24"/>
          </w:rPr>
          <w:t>https://www.opn.ca6.uscourts.gov/opinions.pdf/24a0367n-06.pdf</w:t>
        </w:r>
      </w:hyperlink>
      <w:r w:rsidRPr="00671D64">
        <w:rPr>
          <w:rFonts w:ascii="Times New Roman" w:hAnsi="Times New Roman"/>
          <w:sz w:val="24"/>
          <w:szCs w:val="24"/>
        </w:rPr>
        <w:t xml:space="preserve"> </w:t>
      </w:r>
    </w:p>
    <w:p w14:paraId="2DDAF146" w14:textId="77777777" w:rsidR="00671D64" w:rsidRPr="00671D64" w:rsidRDefault="00671D64" w:rsidP="00671D64">
      <w:pPr>
        <w:rPr>
          <w:rFonts w:ascii="Times New Roman" w:hAnsi="Times New Roman"/>
          <w:sz w:val="24"/>
          <w:szCs w:val="24"/>
        </w:rPr>
      </w:pPr>
      <w:r w:rsidRPr="00671D64">
        <w:rPr>
          <w:rFonts w:ascii="Times New Roman" w:hAnsi="Times New Roman"/>
          <w:sz w:val="24"/>
          <w:szCs w:val="24"/>
        </w:rPr>
        <w:t xml:space="preserve">[Note: State OSHA fined the FD $3,500; FF entered; evacuation ordered but only 2 came out. </w:t>
      </w:r>
      <w:hyperlink r:id="rId457" w:history="1">
        <w:r w:rsidRPr="00671D64">
          <w:rPr>
            <w:rStyle w:val="Hyperlink"/>
            <w:rFonts w:ascii="Times New Roman" w:hAnsi="Times New Roman"/>
            <w:sz w:val="24"/>
            <w:szCs w:val="24"/>
          </w:rPr>
          <w:t>https://www.osha.gov/ords/imis/establishment.inspection_detail?id=315378885</w:t>
        </w:r>
      </w:hyperlink>
      <w:r w:rsidRPr="00671D64">
        <w:rPr>
          <w:rFonts w:ascii="Times New Roman" w:hAnsi="Times New Roman"/>
          <w:sz w:val="24"/>
          <w:szCs w:val="24"/>
        </w:rPr>
        <w:t>.]</w:t>
      </w:r>
    </w:p>
    <w:p w14:paraId="4366D3DC" w14:textId="77777777" w:rsidR="00671D64" w:rsidRPr="00671D64" w:rsidRDefault="00671D64" w:rsidP="00671D64">
      <w:pPr>
        <w:pStyle w:val="NoSpacing"/>
        <w:rPr>
          <w:rFonts w:ascii="Times New Roman" w:hAnsi="Times New Roman"/>
          <w:sz w:val="24"/>
          <w:szCs w:val="24"/>
        </w:rPr>
      </w:pPr>
      <w:r w:rsidRPr="00671D64">
        <w:rPr>
          <w:rFonts w:ascii="Times New Roman" w:hAnsi="Times New Roman"/>
          <w:sz w:val="24"/>
          <w:szCs w:val="24"/>
        </w:rPr>
        <w:t xml:space="preserve"> </w:t>
      </w:r>
    </w:p>
    <w:p w14:paraId="5ADA790F" w14:textId="77777777" w:rsidR="00671D64" w:rsidRPr="00671D64" w:rsidRDefault="00671D64" w:rsidP="00671D64">
      <w:pPr>
        <w:pStyle w:val="NoSpacing"/>
        <w:rPr>
          <w:rFonts w:ascii="Times New Roman" w:hAnsi="Times New Roman"/>
          <w:sz w:val="24"/>
          <w:szCs w:val="24"/>
        </w:rPr>
      </w:pPr>
      <w:r w:rsidRPr="00671D64">
        <w:rPr>
          <w:rFonts w:ascii="Times New Roman" w:hAnsi="Times New Roman"/>
          <w:sz w:val="24"/>
          <w:szCs w:val="24"/>
        </w:rPr>
        <w:t>THE COURT HELD:</w:t>
      </w:r>
    </w:p>
    <w:p w14:paraId="0A6321FF" w14:textId="77777777" w:rsidR="00671D64" w:rsidRPr="00671D64" w:rsidRDefault="00671D64" w:rsidP="00671D64">
      <w:pPr>
        <w:pStyle w:val="NoSpacing"/>
        <w:rPr>
          <w:rFonts w:ascii="Times New Roman" w:hAnsi="Times New Roman"/>
          <w:sz w:val="24"/>
          <w:szCs w:val="24"/>
        </w:rPr>
      </w:pPr>
    </w:p>
    <w:p w14:paraId="181BFC8B" w14:textId="77777777" w:rsidR="00671D64" w:rsidRPr="00671D64" w:rsidRDefault="00671D64" w:rsidP="00671D64">
      <w:pPr>
        <w:pStyle w:val="NoSpacing"/>
        <w:ind w:left="720"/>
        <w:rPr>
          <w:rFonts w:ascii="Times New Roman" w:hAnsi="Times New Roman"/>
          <w:sz w:val="24"/>
          <w:szCs w:val="24"/>
        </w:rPr>
      </w:pPr>
      <w:r w:rsidRPr="00671D64">
        <w:rPr>
          <w:rFonts w:ascii="Times New Roman" w:hAnsi="Times New Roman"/>
          <w:sz w:val="24"/>
          <w:szCs w:val="24"/>
        </w:rPr>
        <w:t xml:space="preserve">“First, and perhaps most importantly, Plaintiffs argue that Sanchez withheld the </w:t>
      </w:r>
    </w:p>
    <w:p w14:paraId="04B43039" w14:textId="77777777" w:rsidR="00671D64" w:rsidRPr="00671D64" w:rsidRDefault="00671D64" w:rsidP="00671D64">
      <w:pPr>
        <w:pStyle w:val="NoSpacing"/>
        <w:ind w:left="720"/>
        <w:rPr>
          <w:rFonts w:ascii="Times New Roman" w:hAnsi="Times New Roman"/>
          <w:sz w:val="24"/>
          <w:szCs w:val="24"/>
        </w:rPr>
      </w:pPr>
      <w:r w:rsidRPr="00671D64">
        <w:rPr>
          <w:rFonts w:ascii="Times New Roman" w:hAnsi="Times New Roman"/>
          <w:sz w:val="24"/>
          <w:szCs w:val="24"/>
        </w:rPr>
        <w:t>reports of two other fire investigators that concluded that the fire classification was ‘undetermined,’ not ‘incendiary.’  Yet, in writing his search warrant affidavits, Sanchez solely mentioned the most recent fire investigation report, which concluded that the fire was incendiary. Although Sanchez certainly should have provided the magistrate judge with the full picture of the various investigations that had occurred, a status of ‘undetermined’ does not rule out arson. In other words, two reports that failed to arrive at any conclusion at all do not negate or contradict the third report that concluded the fire was likely incendiary. And, without any reports directly contradicting the report that concluded foul play caused the fire, this third report serves as essential evidence to the determination of probable cause, even considering the other two reports. Further, even if the magistrate had the two ‘undetermined’ reports, there was still likely enough evidence in the affidavit to clear the low bar of probable cause. Cf. Gerstein v. Pugh, 420 U.S. 103, 121(1975) (holding that the probable cause determination ‘does not require the fine resolution of conflicting evidence that a reasonable-doubt or even a preponderance standard demands’). Therefore, this omitted fact does not defeat the probable cause determination.”</w:t>
      </w:r>
    </w:p>
    <w:p w14:paraId="0FAAB860" w14:textId="77777777" w:rsidR="00671D64" w:rsidRPr="00671D64" w:rsidRDefault="00671D64" w:rsidP="00671D64">
      <w:pPr>
        <w:pStyle w:val="NoSpacing"/>
        <w:rPr>
          <w:rFonts w:ascii="Times New Roman" w:hAnsi="Times New Roman"/>
          <w:sz w:val="24"/>
          <w:szCs w:val="24"/>
        </w:rPr>
      </w:pPr>
    </w:p>
    <w:p w14:paraId="2C273E6A" w14:textId="77777777" w:rsidR="00671D64" w:rsidRDefault="00671D64" w:rsidP="00671D64">
      <w:pPr>
        <w:pStyle w:val="NoSpacing"/>
        <w:rPr>
          <w:rFonts w:ascii="Times New Roman" w:hAnsi="Times New Roman"/>
          <w:b/>
          <w:bCs/>
          <w:sz w:val="24"/>
          <w:szCs w:val="24"/>
        </w:rPr>
      </w:pPr>
      <w:r w:rsidRPr="00671D64">
        <w:rPr>
          <w:rFonts w:ascii="Times New Roman" w:hAnsi="Times New Roman"/>
          <w:b/>
          <w:bCs/>
          <w:sz w:val="24"/>
          <w:szCs w:val="24"/>
        </w:rPr>
        <w:t xml:space="preserve">Legal Lesson Learned: Arson investigators enjoy qualified immunity if search warrant was sufficient to show probable cause, even if some exculpatory information was not included. </w:t>
      </w:r>
    </w:p>
    <w:p w14:paraId="72819135" w14:textId="77777777" w:rsidR="008A1352" w:rsidRDefault="008A1352" w:rsidP="00671D64">
      <w:pPr>
        <w:pStyle w:val="NoSpacing"/>
        <w:rPr>
          <w:rFonts w:ascii="Times New Roman" w:hAnsi="Times New Roman"/>
          <w:b/>
          <w:bCs/>
          <w:sz w:val="24"/>
          <w:szCs w:val="24"/>
        </w:rPr>
      </w:pPr>
    </w:p>
    <w:p w14:paraId="44FCEAF4" w14:textId="77777777" w:rsidR="008A1352" w:rsidRPr="008A1352" w:rsidRDefault="008A1352" w:rsidP="008A1352">
      <w:pPr>
        <w:ind w:left="720"/>
        <w:rPr>
          <w:rFonts w:ascii="Times New Roman" w:hAnsi="Times New Roman"/>
          <w:sz w:val="24"/>
          <w:szCs w:val="24"/>
        </w:rPr>
      </w:pPr>
      <w:r w:rsidRPr="008A1352">
        <w:rPr>
          <w:rFonts w:ascii="Times New Roman" w:hAnsi="Times New Roman"/>
          <w:sz w:val="24"/>
          <w:szCs w:val="24"/>
        </w:rPr>
        <w:t xml:space="preserve">Note: </w:t>
      </w:r>
    </w:p>
    <w:p w14:paraId="35CE6BA8" w14:textId="77777777" w:rsidR="008A1352" w:rsidRPr="008A1352" w:rsidRDefault="008A1352" w:rsidP="008A1352">
      <w:pPr>
        <w:pStyle w:val="ListParagraph"/>
        <w:numPr>
          <w:ilvl w:val="0"/>
          <w:numId w:val="22"/>
        </w:numPr>
        <w:rPr>
          <w:rFonts w:ascii="Times New Roman" w:hAnsi="Times New Roman" w:cs="Times New Roman"/>
          <w:sz w:val="24"/>
          <w:szCs w:val="24"/>
        </w:rPr>
      </w:pPr>
      <w:r w:rsidRPr="008A1352">
        <w:rPr>
          <w:rFonts w:ascii="Times New Roman" w:hAnsi="Times New Roman" w:cs="Times New Roman"/>
          <w:sz w:val="24"/>
          <w:szCs w:val="24"/>
        </w:rPr>
        <w:t xml:space="preserve">See May 30, </w:t>
      </w:r>
      <w:proofErr w:type="gramStart"/>
      <w:r w:rsidRPr="008A1352">
        <w:rPr>
          <w:rFonts w:ascii="Times New Roman" w:hAnsi="Times New Roman" w:cs="Times New Roman"/>
          <w:sz w:val="24"/>
          <w:szCs w:val="24"/>
        </w:rPr>
        <w:t>2023</w:t>
      </w:r>
      <w:proofErr w:type="gramEnd"/>
      <w:r w:rsidRPr="008A1352">
        <w:rPr>
          <w:rFonts w:ascii="Times New Roman" w:hAnsi="Times New Roman" w:cs="Times New Roman"/>
          <w:sz w:val="24"/>
          <w:szCs w:val="24"/>
        </w:rPr>
        <w:t xml:space="preserve"> article - Westland firefighters remember Brian Woehlke's 'biggest smile' a decade after his death. </w:t>
      </w:r>
      <w:hyperlink r:id="rId458" w:history="1">
        <w:r w:rsidRPr="008A1352">
          <w:rPr>
            <w:rStyle w:val="Hyperlink"/>
            <w:rFonts w:ascii="Times New Roman" w:hAnsi="Times New Roman" w:cs="Times New Roman"/>
            <w:sz w:val="24"/>
            <w:szCs w:val="24"/>
          </w:rPr>
          <w:t>https://www.hometownlife.com/story/news/2023/05/27/westland-firefighters-brian-woehlke-arson-homicide-investigation/70244259007/</w:t>
        </w:r>
      </w:hyperlink>
      <w:r w:rsidRPr="008A1352">
        <w:rPr>
          <w:rFonts w:ascii="Times New Roman" w:hAnsi="Times New Roman" w:cs="Times New Roman"/>
          <w:sz w:val="24"/>
          <w:szCs w:val="24"/>
        </w:rPr>
        <w:t xml:space="preserve">   “Michigan State Police Lt. Mike Shaw said the case is still open and the agency is still actively seeking information. A National Institute of Occupational Safety and Health </w:t>
      </w:r>
      <w:hyperlink r:id="rId459" w:history="1">
        <w:r w:rsidRPr="008A1352">
          <w:rPr>
            <w:rStyle w:val="Hyperlink"/>
            <w:rFonts w:ascii="Times New Roman" w:hAnsi="Times New Roman" w:cs="Times New Roman"/>
            <w:sz w:val="24"/>
            <w:szCs w:val="24"/>
          </w:rPr>
          <w:t>report from 2016 concluded</w:t>
        </w:r>
      </w:hyperlink>
      <w:r w:rsidRPr="008A1352">
        <w:rPr>
          <w:rFonts w:ascii="Times New Roman" w:hAnsi="Times New Roman" w:cs="Times New Roman"/>
          <w:sz w:val="24"/>
          <w:szCs w:val="24"/>
        </w:rPr>
        <w:t xml:space="preserve"> staffing issues and below-industry standard equipment could have played roles in Woehlke's death.”</w:t>
      </w:r>
    </w:p>
    <w:p w14:paraId="4B04DDC7" w14:textId="77777777" w:rsidR="008A1352" w:rsidRPr="008A1352" w:rsidRDefault="008A1352" w:rsidP="008A1352">
      <w:pPr>
        <w:ind w:left="720"/>
        <w:rPr>
          <w:rFonts w:ascii="Times New Roman" w:hAnsi="Times New Roman"/>
          <w:sz w:val="24"/>
          <w:szCs w:val="24"/>
        </w:rPr>
      </w:pPr>
    </w:p>
    <w:p w14:paraId="14BCFBA7" w14:textId="77777777" w:rsidR="008A1352" w:rsidRPr="008A1352" w:rsidRDefault="008A1352" w:rsidP="008A1352">
      <w:pPr>
        <w:pStyle w:val="ListParagraph"/>
        <w:numPr>
          <w:ilvl w:val="0"/>
          <w:numId w:val="22"/>
        </w:numPr>
        <w:rPr>
          <w:rFonts w:ascii="Times New Roman" w:hAnsi="Times New Roman" w:cs="Times New Roman"/>
          <w:sz w:val="24"/>
          <w:szCs w:val="24"/>
        </w:rPr>
      </w:pPr>
      <w:r w:rsidRPr="008A1352">
        <w:rPr>
          <w:rFonts w:ascii="Times New Roman" w:hAnsi="Times New Roman" w:cs="Times New Roman"/>
          <w:sz w:val="24"/>
          <w:szCs w:val="24"/>
        </w:rPr>
        <w:t xml:space="preserve">April 15, </w:t>
      </w:r>
      <w:proofErr w:type="gramStart"/>
      <w:r w:rsidRPr="008A1352">
        <w:rPr>
          <w:rFonts w:ascii="Times New Roman" w:hAnsi="Times New Roman" w:cs="Times New Roman"/>
          <w:sz w:val="24"/>
          <w:szCs w:val="24"/>
        </w:rPr>
        <w:t>2016</w:t>
      </w:r>
      <w:proofErr w:type="gramEnd"/>
      <w:r w:rsidRPr="008A1352">
        <w:rPr>
          <w:rFonts w:ascii="Times New Roman" w:hAnsi="Times New Roman" w:cs="Times New Roman"/>
          <w:sz w:val="24"/>
          <w:szCs w:val="24"/>
        </w:rPr>
        <w:t xml:space="preserve"> article – “Federal agency releases report on fatal Westland fire.” </w:t>
      </w:r>
      <w:hyperlink r:id="rId460" w:history="1">
        <w:r w:rsidRPr="008A1352">
          <w:rPr>
            <w:rStyle w:val="Hyperlink"/>
            <w:rFonts w:ascii="Times New Roman" w:hAnsi="Times New Roman" w:cs="Times New Roman"/>
            <w:sz w:val="24"/>
            <w:szCs w:val="24"/>
          </w:rPr>
          <w:t>https://www.hometownlife.com/story/news/local/westland/2016/04/15/report-released-westland-firefighter-death/83087498/</w:t>
        </w:r>
      </w:hyperlink>
      <w:r w:rsidRPr="008A1352">
        <w:rPr>
          <w:rFonts w:ascii="Times New Roman" w:hAnsi="Times New Roman" w:cs="Times New Roman"/>
          <w:sz w:val="24"/>
          <w:szCs w:val="24"/>
        </w:rPr>
        <w:t xml:space="preserve">  “On Friday, the National Institute of Occupational Safety and Health, a division of the Centers for Disease Control, officially issued its 113-page report investigating the death of Brian Woehlke, who died in the line of duty May 8, 2013. The report provides a detailed account of what happened during the fatal fire, which has been ruled a case of arson and homicide. *** The hose team decided to exit the structure. As they were leaving, Woehlke became separated from the other two crew members. The incident commander saw the two members of the hose team and called over the radio for Woehlke, who responded, giving his location as being at the rear of the building.”</w:t>
      </w:r>
    </w:p>
    <w:p w14:paraId="310EFFC6" w14:textId="77777777" w:rsidR="008A1352" w:rsidRPr="008A1352" w:rsidRDefault="008A1352" w:rsidP="008A1352">
      <w:pPr>
        <w:ind w:left="720"/>
        <w:rPr>
          <w:rFonts w:ascii="Times New Roman" w:hAnsi="Times New Roman"/>
          <w:sz w:val="24"/>
          <w:szCs w:val="24"/>
        </w:rPr>
      </w:pPr>
    </w:p>
    <w:p w14:paraId="27771B0F" w14:textId="77777777" w:rsidR="008A1352" w:rsidRPr="008A1352" w:rsidRDefault="008A1352" w:rsidP="008A1352">
      <w:pPr>
        <w:pStyle w:val="ListParagraph"/>
        <w:numPr>
          <w:ilvl w:val="0"/>
          <w:numId w:val="22"/>
        </w:numPr>
        <w:rPr>
          <w:rFonts w:ascii="Times New Roman" w:hAnsi="Times New Roman" w:cs="Times New Roman"/>
          <w:sz w:val="24"/>
          <w:szCs w:val="24"/>
        </w:rPr>
      </w:pPr>
      <w:r w:rsidRPr="008A1352">
        <w:rPr>
          <w:rFonts w:ascii="Times New Roman" w:hAnsi="Times New Roman" w:cs="Times New Roman"/>
          <w:sz w:val="24"/>
          <w:szCs w:val="24"/>
        </w:rPr>
        <w:t xml:space="preserve">Read NIOSH April 15, </w:t>
      </w:r>
      <w:proofErr w:type="gramStart"/>
      <w:r w:rsidRPr="008A1352">
        <w:rPr>
          <w:rFonts w:ascii="Times New Roman" w:hAnsi="Times New Roman" w:cs="Times New Roman"/>
          <w:sz w:val="24"/>
          <w:szCs w:val="24"/>
        </w:rPr>
        <w:t>2016</w:t>
      </w:r>
      <w:proofErr w:type="gramEnd"/>
      <w:r w:rsidRPr="008A1352">
        <w:rPr>
          <w:rFonts w:ascii="Times New Roman" w:hAnsi="Times New Roman" w:cs="Times New Roman"/>
          <w:sz w:val="24"/>
          <w:szCs w:val="24"/>
        </w:rPr>
        <w:t xml:space="preserve"> report: </w:t>
      </w:r>
      <w:hyperlink r:id="rId461" w:history="1">
        <w:r w:rsidRPr="008A1352">
          <w:rPr>
            <w:rStyle w:val="Hyperlink"/>
            <w:rFonts w:ascii="Times New Roman" w:hAnsi="Times New Roman" w:cs="Times New Roman"/>
            <w:sz w:val="24"/>
            <w:szCs w:val="24"/>
          </w:rPr>
          <w:t>https://www.scribd.com/document/312245216/Career-Probationary-Firefighter-Runs-Out-of-Air-and-Dies-in-Commercial-Structure-Fire</w:t>
        </w:r>
      </w:hyperlink>
      <w:r w:rsidRPr="008A1352">
        <w:rPr>
          <w:rFonts w:ascii="Times New Roman" w:hAnsi="Times New Roman" w:cs="Times New Roman"/>
          <w:sz w:val="24"/>
          <w:szCs w:val="24"/>
        </w:rPr>
        <w:t xml:space="preserve"> </w:t>
      </w:r>
    </w:p>
    <w:p w14:paraId="1F55D6E8" w14:textId="77777777" w:rsidR="008A1352" w:rsidRPr="008A1352" w:rsidRDefault="008A1352" w:rsidP="008A1352">
      <w:pPr>
        <w:ind w:left="720"/>
        <w:rPr>
          <w:rFonts w:ascii="Times New Roman" w:hAnsi="Times New Roman"/>
          <w:sz w:val="24"/>
          <w:szCs w:val="24"/>
        </w:rPr>
      </w:pPr>
    </w:p>
    <w:p w14:paraId="3B224E8F" w14:textId="77777777" w:rsidR="008A1352" w:rsidRPr="008A1352" w:rsidRDefault="008A1352" w:rsidP="008A1352">
      <w:pPr>
        <w:pStyle w:val="ListParagraph"/>
        <w:numPr>
          <w:ilvl w:val="0"/>
          <w:numId w:val="22"/>
        </w:numPr>
        <w:rPr>
          <w:rFonts w:ascii="Times New Roman" w:hAnsi="Times New Roman" w:cs="Times New Roman"/>
          <w:sz w:val="24"/>
          <w:szCs w:val="24"/>
        </w:rPr>
      </w:pPr>
      <w:r w:rsidRPr="008A1352">
        <w:rPr>
          <w:rFonts w:ascii="Times New Roman" w:hAnsi="Times New Roman" w:cs="Times New Roman"/>
          <w:sz w:val="24"/>
          <w:szCs w:val="24"/>
        </w:rPr>
        <w:t xml:space="preserve">June 27, 2013: “Michigan OSHA investigation - $3,500 fine recommended.” Employee #1 was later found approximately six feet from an exit door at the rear of the building and had succumbed to smoke inhalation after running out of air. The hose had looped over itself when the team encountered a wall and moved to the right. It is unknown if this led to Employee #1 becoming disoriented and unable to follow the hose out of the structure.” </w:t>
      </w:r>
      <w:hyperlink r:id="rId462" w:history="1">
        <w:r w:rsidRPr="008A1352">
          <w:rPr>
            <w:rStyle w:val="Hyperlink"/>
            <w:rFonts w:ascii="Times New Roman" w:hAnsi="Times New Roman" w:cs="Times New Roman"/>
            <w:sz w:val="24"/>
            <w:szCs w:val="24"/>
          </w:rPr>
          <w:t>https://www.osha.gov/ords/imis/establishment.inspection_detail?id=315378885</w:t>
        </w:r>
      </w:hyperlink>
    </w:p>
    <w:p w14:paraId="4911A53D" w14:textId="77777777" w:rsidR="008A1352" w:rsidRPr="00671D64" w:rsidRDefault="008A1352" w:rsidP="00671D64">
      <w:pPr>
        <w:pStyle w:val="NoSpacing"/>
        <w:rPr>
          <w:rFonts w:ascii="Times New Roman" w:hAnsi="Times New Roman"/>
          <w:b/>
          <w:bCs/>
          <w:sz w:val="24"/>
          <w:szCs w:val="24"/>
        </w:rPr>
      </w:pPr>
    </w:p>
    <w:p w14:paraId="0EB87AA4" w14:textId="77777777" w:rsidR="00E03026" w:rsidRPr="00671D64" w:rsidRDefault="00E03026" w:rsidP="00286F24">
      <w:pPr>
        <w:rPr>
          <w:rFonts w:ascii="Times New Roman" w:hAnsi="Times New Roman"/>
          <w:sz w:val="24"/>
          <w:szCs w:val="24"/>
        </w:rPr>
      </w:pPr>
    </w:p>
    <w:p w14:paraId="5CBA3091" w14:textId="6F63A2DC" w:rsidR="005C3A2A" w:rsidRDefault="005C3A2A"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1</w:t>
      </w:r>
    </w:p>
    <w:p w14:paraId="691E0CCF" w14:textId="77777777" w:rsidR="004B7CDA" w:rsidRPr="00E179B9" w:rsidRDefault="004B7CDA" w:rsidP="004B7CDA">
      <w:pPr>
        <w:rPr>
          <w:rFonts w:ascii="Arial Black" w:hAnsi="Arial Black"/>
          <w:b/>
          <w:bCs/>
          <w:sz w:val="28"/>
        </w:rPr>
      </w:pPr>
      <w:r>
        <w:rPr>
          <w:rFonts w:ascii="Arial Black" w:hAnsi="Arial Black"/>
          <w:b/>
          <w:bCs/>
          <w:sz w:val="28"/>
        </w:rPr>
        <w:t>KY: EMPLOYEE HAND INJURED IN PRINTER – LOCKED FD, OSHA INSPECTED – COMPANY CONSENTED OSHA</w:t>
      </w:r>
    </w:p>
    <w:p w14:paraId="40DE54F7" w14:textId="77777777" w:rsidR="004B7CDA" w:rsidRPr="004B7CDA" w:rsidRDefault="004B7CDA" w:rsidP="004B7CDA">
      <w:pPr>
        <w:rPr>
          <w:rFonts w:ascii="Times New Roman" w:hAnsi="Times New Roman"/>
          <w:sz w:val="24"/>
          <w:szCs w:val="24"/>
        </w:rPr>
      </w:pPr>
      <w:r w:rsidRPr="004B7CDA">
        <w:rPr>
          <w:rFonts w:ascii="Times New Roman" w:hAnsi="Times New Roman"/>
          <w:sz w:val="24"/>
          <w:szCs w:val="24"/>
        </w:rPr>
        <w:t xml:space="preserve">On August 23, 2024, in </w:t>
      </w:r>
      <w:r w:rsidRPr="004B7CDA">
        <w:rPr>
          <w:rFonts w:ascii="Times New Roman" w:hAnsi="Times New Roman"/>
          <w:sz w:val="24"/>
          <w:szCs w:val="24"/>
          <w:u w:val="single"/>
        </w:rPr>
        <w:t xml:space="preserve">Harland Clarke Corp. v. Kentucky Safety </w:t>
      </w:r>
      <w:proofErr w:type="gramStart"/>
      <w:r w:rsidRPr="004B7CDA">
        <w:rPr>
          <w:rFonts w:ascii="Times New Roman" w:hAnsi="Times New Roman"/>
          <w:sz w:val="24"/>
          <w:szCs w:val="24"/>
          <w:u w:val="single"/>
        </w:rPr>
        <w:t>And</w:t>
      </w:r>
      <w:proofErr w:type="gramEnd"/>
      <w:r w:rsidRPr="004B7CDA">
        <w:rPr>
          <w:rFonts w:ascii="Times New Roman" w:hAnsi="Times New Roman"/>
          <w:sz w:val="24"/>
          <w:szCs w:val="24"/>
          <w:u w:val="single"/>
        </w:rPr>
        <w:t xml:space="preserve"> Health Commission</w:t>
      </w:r>
      <w:r w:rsidRPr="004B7CDA">
        <w:rPr>
          <w:rFonts w:ascii="Times New Roman" w:hAnsi="Times New Roman"/>
          <w:sz w:val="24"/>
          <w:szCs w:val="24"/>
        </w:rPr>
        <w:t xml:space="preserve">, the Kentucky Court of Appeals held (3 to 0; unpublished decision) that the company consented to the Kentucky OSHA [KOSH] inspection of the printer, and the FD policy of locking machinery causing an injury until KOSH inspection did not invalidate the consent. The Court wrote: “In this case, the evidence of record, including Harland’s own witnesses, supported the hearing officer’s finding that valid consent for the inspection was given. A Harland employee contacted the Cabinet to come to its facility. Moreover, Harland gave the KOSH officers access to the facility two separate times.” </w:t>
      </w:r>
      <w:hyperlink r:id="rId463" w:history="1">
        <w:r w:rsidRPr="004B7CDA">
          <w:rPr>
            <w:rStyle w:val="Hyperlink"/>
            <w:rFonts w:ascii="Times New Roman" w:hAnsi="Times New Roman"/>
            <w:sz w:val="24"/>
            <w:szCs w:val="24"/>
          </w:rPr>
          <w:t>https://cases.justia.com/kentucky/court-of-appeals/2024-2023-ca-0968-mr.pdf?ts=1724421865</w:t>
        </w:r>
      </w:hyperlink>
      <w:r w:rsidRPr="004B7CDA">
        <w:rPr>
          <w:rFonts w:ascii="Times New Roman" w:hAnsi="Times New Roman"/>
          <w:sz w:val="24"/>
          <w:szCs w:val="24"/>
        </w:rPr>
        <w:t xml:space="preserve"> </w:t>
      </w:r>
    </w:p>
    <w:p w14:paraId="2C6E538F" w14:textId="77777777" w:rsidR="004B7CDA" w:rsidRPr="004B7CDA" w:rsidRDefault="004B7CDA" w:rsidP="004B7CDA">
      <w:pPr>
        <w:rPr>
          <w:rFonts w:ascii="Times New Roman" w:hAnsi="Times New Roman"/>
          <w:sz w:val="24"/>
          <w:szCs w:val="24"/>
        </w:rPr>
      </w:pPr>
      <w:r w:rsidRPr="004B7CDA">
        <w:rPr>
          <w:rFonts w:ascii="Times New Roman" w:hAnsi="Times New Roman"/>
          <w:sz w:val="24"/>
          <w:szCs w:val="24"/>
        </w:rPr>
        <w:t xml:space="preserve">THE COURT HELD: </w:t>
      </w:r>
    </w:p>
    <w:p w14:paraId="1F8867E6" w14:textId="77777777" w:rsidR="004B7CDA" w:rsidRPr="004B7CDA" w:rsidRDefault="004B7CDA" w:rsidP="004B7CDA">
      <w:pPr>
        <w:ind w:left="720"/>
        <w:rPr>
          <w:rFonts w:ascii="Times New Roman" w:hAnsi="Times New Roman"/>
          <w:sz w:val="24"/>
          <w:szCs w:val="24"/>
        </w:rPr>
      </w:pPr>
      <w:r w:rsidRPr="004B7CDA">
        <w:rPr>
          <w:rFonts w:ascii="Times New Roman" w:hAnsi="Times New Roman"/>
          <w:sz w:val="24"/>
          <w:szCs w:val="24"/>
        </w:rPr>
        <w:t>“On appeal, Harland’s sole argument is that its consent to the KOSH inspection and on-premises investigation was not freely and voluntarily given. Rather, they allege it was coerced by the Fire Department’s actions in locking the printer so that it could not be used until Harland consented to KOSH’s inspection and investigation.  However, we agree with the circuit court, who stated the following:</w:t>
      </w:r>
    </w:p>
    <w:p w14:paraId="4F0698F4" w14:textId="77777777" w:rsidR="004B7CDA" w:rsidRPr="004B7CDA" w:rsidRDefault="004B7CDA" w:rsidP="004B7CDA">
      <w:pPr>
        <w:pStyle w:val="NoSpacing"/>
        <w:ind w:left="1440"/>
        <w:jc w:val="both"/>
        <w:rPr>
          <w:rFonts w:ascii="Times New Roman" w:hAnsi="Times New Roman"/>
          <w:sz w:val="24"/>
          <w:szCs w:val="24"/>
        </w:rPr>
      </w:pPr>
      <w:r w:rsidRPr="004B7CDA">
        <w:rPr>
          <w:rFonts w:ascii="Times New Roman" w:hAnsi="Times New Roman"/>
          <w:sz w:val="24"/>
          <w:szCs w:val="24"/>
        </w:rPr>
        <w:t xml:space="preserve">[Harland] spends </w:t>
      </w:r>
      <w:proofErr w:type="gramStart"/>
      <w:r w:rsidRPr="004B7CDA">
        <w:rPr>
          <w:rFonts w:ascii="Times New Roman" w:hAnsi="Times New Roman"/>
          <w:sz w:val="24"/>
          <w:szCs w:val="24"/>
        </w:rPr>
        <w:t>the majority of</w:t>
      </w:r>
      <w:proofErr w:type="gramEnd"/>
      <w:r w:rsidRPr="004B7CDA">
        <w:rPr>
          <w:rFonts w:ascii="Times New Roman" w:hAnsi="Times New Roman"/>
          <w:sz w:val="24"/>
          <w:szCs w:val="24"/>
        </w:rPr>
        <w:t xml:space="preserve"> its brief asserting that the Fire Department violated its constitutional rights, however, the Fire Department is not under the jurisdiction of the Cabinet and is not a party to this action. Although the Fire Department said it was their policy that the injury causing machine </w:t>
      </w:r>
      <w:proofErr w:type="gramStart"/>
      <w:r w:rsidRPr="004B7CDA">
        <w:rPr>
          <w:rFonts w:ascii="Times New Roman" w:hAnsi="Times New Roman"/>
          <w:sz w:val="24"/>
          <w:szCs w:val="24"/>
        </w:rPr>
        <w:t>be</w:t>
      </w:r>
      <w:proofErr w:type="gramEnd"/>
      <w:r w:rsidRPr="004B7CDA">
        <w:rPr>
          <w:rFonts w:ascii="Times New Roman" w:hAnsi="Times New Roman"/>
          <w:sz w:val="24"/>
          <w:szCs w:val="24"/>
        </w:rPr>
        <w:t xml:space="preserve"> locked up until KOSH] </w:t>
      </w:r>
      <w:proofErr w:type="gramStart"/>
      <w:r w:rsidRPr="004B7CDA">
        <w:rPr>
          <w:rFonts w:ascii="Times New Roman" w:hAnsi="Times New Roman"/>
          <w:sz w:val="24"/>
          <w:szCs w:val="24"/>
        </w:rPr>
        <w:t>conducted an investigation</w:t>
      </w:r>
      <w:proofErr w:type="gramEnd"/>
      <w:r w:rsidRPr="004B7CDA">
        <w:rPr>
          <w:rFonts w:ascii="Times New Roman" w:hAnsi="Times New Roman"/>
          <w:sz w:val="24"/>
          <w:szCs w:val="24"/>
        </w:rPr>
        <w:t>, that policy does not belong to the Cabinet who has the statutory authority to inspect and prosecute occupational violations. At the administrative hearing, the Director of [K]OSH Compliance testified that the Cabinet does not have any policy that would require the Fire Department to lock up a potentially unsafe machine. The Court understands [Harland’s] frustration with the Fire Department’s actions, however, any disagreement with the placement of a lock on the printer is between [Harland] and the Fire Department, a nonparty to this action with zero authority to inspect and prosecute occupational violations.</w:t>
      </w:r>
    </w:p>
    <w:p w14:paraId="4B269D89" w14:textId="77777777" w:rsidR="004B7CDA" w:rsidRPr="004B7CDA" w:rsidRDefault="004B7CDA" w:rsidP="004B7CDA">
      <w:pPr>
        <w:pStyle w:val="NoSpacing"/>
        <w:rPr>
          <w:rFonts w:ascii="Times New Roman" w:hAnsi="Times New Roman"/>
          <w:sz w:val="24"/>
          <w:szCs w:val="24"/>
        </w:rPr>
      </w:pPr>
    </w:p>
    <w:p w14:paraId="0FBCA1AB" w14:textId="6DCE0100" w:rsidR="004B7CDA" w:rsidRDefault="004B7CDA" w:rsidP="004B7CDA">
      <w:pPr>
        <w:pStyle w:val="NoSpacing"/>
        <w:ind w:left="720"/>
        <w:rPr>
          <w:rFonts w:ascii="Times New Roman" w:hAnsi="Times New Roman"/>
          <w:sz w:val="24"/>
          <w:szCs w:val="24"/>
        </w:rPr>
      </w:pPr>
      <w:r w:rsidRPr="004B7CDA">
        <w:rPr>
          <w:rFonts w:ascii="Times New Roman" w:hAnsi="Times New Roman"/>
          <w:sz w:val="24"/>
          <w:szCs w:val="24"/>
        </w:rPr>
        <w:t xml:space="preserve">In this case, the evidence of record, including Harland’s own witnesses, supported the hearing officer’s finding that valid consent for the inspection was given. A Harland employee contacted the Cabinet to come to its facility. Moreover, Harland gave the KOSH officers access to the facility two separate times. Harland – through Birkenfeld – gave the compliance officers verbal consent to conduct an inspection and never made an objection. Finally, another Harland employee, </w:t>
      </w:r>
      <w:proofErr w:type="spellStart"/>
      <w:r w:rsidRPr="004B7CDA">
        <w:rPr>
          <w:rFonts w:ascii="Times New Roman" w:hAnsi="Times New Roman"/>
          <w:sz w:val="24"/>
          <w:szCs w:val="24"/>
        </w:rPr>
        <w:t>Chetson</w:t>
      </w:r>
      <w:proofErr w:type="spellEnd"/>
      <w:r w:rsidRPr="004B7CDA">
        <w:rPr>
          <w:rFonts w:ascii="Times New Roman" w:hAnsi="Times New Roman"/>
          <w:sz w:val="24"/>
          <w:szCs w:val="24"/>
        </w:rPr>
        <w:t xml:space="preserve"> Hammonds, participated in the inspection and never made an </w:t>
      </w:r>
      <w:proofErr w:type="gramStart"/>
      <w:r w:rsidRPr="004B7CDA">
        <w:rPr>
          <w:rFonts w:ascii="Times New Roman" w:hAnsi="Times New Roman"/>
          <w:sz w:val="24"/>
          <w:szCs w:val="24"/>
        </w:rPr>
        <w:t>objection.”</w:t>
      </w:r>
      <w:proofErr w:type="gramEnd"/>
      <w:r>
        <w:rPr>
          <w:rFonts w:ascii="Times New Roman" w:hAnsi="Times New Roman"/>
          <w:sz w:val="24"/>
          <w:szCs w:val="24"/>
        </w:rPr>
        <w:t xml:space="preserve"> </w:t>
      </w:r>
    </w:p>
    <w:p w14:paraId="4390531B" w14:textId="77777777" w:rsidR="00E03026" w:rsidRPr="004B7CDA" w:rsidRDefault="00E03026" w:rsidP="004B7CDA">
      <w:pPr>
        <w:pStyle w:val="NoSpacing"/>
        <w:ind w:left="720"/>
        <w:rPr>
          <w:rFonts w:ascii="Times New Roman" w:hAnsi="Times New Roman"/>
          <w:sz w:val="24"/>
          <w:szCs w:val="24"/>
        </w:rPr>
      </w:pPr>
    </w:p>
    <w:p w14:paraId="5DDB40F6" w14:textId="07521E73" w:rsidR="004B7CDA" w:rsidRPr="004B7CDA" w:rsidRDefault="004B7CDA" w:rsidP="004B7CDA">
      <w:pPr>
        <w:pStyle w:val="NoSpacing"/>
        <w:rPr>
          <w:rFonts w:ascii="Times New Roman" w:hAnsi="Times New Roman"/>
          <w:b/>
          <w:bCs/>
          <w:sz w:val="24"/>
          <w:szCs w:val="24"/>
        </w:rPr>
      </w:pPr>
      <w:r>
        <w:rPr>
          <w:rFonts w:ascii="Times New Roman" w:hAnsi="Times New Roman"/>
          <w:b/>
          <w:bCs/>
          <w:sz w:val="24"/>
          <w:szCs w:val="24"/>
        </w:rPr>
        <w:t>L</w:t>
      </w:r>
      <w:r w:rsidRPr="004B7CDA">
        <w:rPr>
          <w:rFonts w:ascii="Times New Roman" w:hAnsi="Times New Roman"/>
          <w:b/>
          <w:bCs/>
          <w:sz w:val="24"/>
          <w:szCs w:val="24"/>
        </w:rPr>
        <w:t xml:space="preserve">egal Lesson Learned: Consent was given for the Kentucky OSHA inspection; interesting FD policy of locking machines causing injury until inspected by KY OSHA. </w:t>
      </w:r>
    </w:p>
    <w:p w14:paraId="30220144" w14:textId="77777777" w:rsidR="005C3A2A" w:rsidRDefault="005C3A2A" w:rsidP="00286F24">
      <w:pPr>
        <w:rPr>
          <w:rFonts w:ascii="Arial Black" w:hAnsi="Arial Black"/>
          <w:sz w:val="24"/>
          <w:szCs w:val="24"/>
        </w:rPr>
      </w:pPr>
    </w:p>
    <w:p w14:paraId="25BE5B39" w14:textId="14B4F0E8" w:rsidR="00277A51" w:rsidRDefault="00277A51" w:rsidP="00286F24">
      <w:pPr>
        <w:rPr>
          <w:rFonts w:ascii="Arial Black" w:hAnsi="Arial Black"/>
          <w:sz w:val="24"/>
          <w:szCs w:val="24"/>
        </w:rPr>
      </w:pPr>
      <w:r>
        <w:rPr>
          <w:rFonts w:ascii="Arial Black" w:hAnsi="Arial Black"/>
          <w:sz w:val="24"/>
          <w:szCs w:val="24"/>
        </w:rPr>
        <w:t>2-7</w:t>
      </w:r>
      <w:r w:rsidR="00891E1D">
        <w:rPr>
          <w:rFonts w:ascii="Arial Black" w:hAnsi="Arial Black"/>
          <w:sz w:val="24"/>
          <w:szCs w:val="24"/>
        </w:rPr>
        <w:t>0</w:t>
      </w:r>
    </w:p>
    <w:p w14:paraId="0651D9DA" w14:textId="22CE4D49" w:rsidR="00277A51" w:rsidRDefault="00277A51" w:rsidP="00277A51">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IN: CAPTAIN FELL DOWN STAIRWELL BDG FIRE – GAP IN WALL - “FIREMAN’S RULE” EXCEPTION IF </w:t>
      </w:r>
      <w:r w:rsidR="009B2200">
        <w:rPr>
          <w:rFonts w:ascii="Arial Black" w:hAnsi="Arial Black"/>
          <w:b/>
          <w:bCs/>
          <w:color w:val="454545"/>
          <w:sz w:val="28"/>
          <w:szCs w:val="28"/>
          <w:shd w:val="clear" w:color="auto" w:fill="FFFFFF"/>
        </w:rPr>
        <w:t xml:space="preserve">BREACH OF </w:t>
      </w:r>
      <w:r>
        <w:rPr>
          <w:rFonts w:ascii="Arial Black" w:hAnsi="Arial Black"/>
          <w:b/>
          <w:bCs/>
          <w:color w:val="454545"/>
          <w:sz w:val="28"/>
          <w:szCs w:val="28"/>
          <w:shd w:val="clear" w:color="auto" w:fill="FFFFFF"/>
        </w:rPr>
        <w:t>“DUTY TO WARN”</w:t>
      </w:r>
    </w:p>
    <w:p w14:paraId="0D1F3A58" w14:textId="78C1D4A7" w:rsidR="00277A51" w:rsidRPr="00114561" w:rsidRDefault="00277A51" w:rsidP="00277A51">
      <w:pPr>
        <w:pStyle w:val="NormalWeb"/>
        <w:rPr>
          <w:shd w:val="clear" w:color="auto" w:fill="FFFFFF"/>
        </w:rPr>
      </w:pPr>
      <w:r w:rsidRPr="00114561">
        <w:rPr>
          <w:color w:val="454545"/>
          <w:shd w:val="clear" w:color="auto" w:fill="FFFFFF"/>
        </w:rPr>
        <w:t xml:space="preserve">On July 2, 2024, in </w:t>
      </w:r>
      <w:r w:rsidRPr="00114561">
        <w:rPr>
          <w:color w:val="454545"/>
          <w:u w:val="single"/>
          <w:shd w:val="clear" w:color="auto" w:fill="FFFFFF"/>
        </w:rPr>
        <w:t xml:space="preserve">Richard Dolsen, Jr. v. </w:t>
      </w:r>
      <w:proofErr w:type="spellStart"/>
      <w:r w:rsidRPr="00114561">
        <w:rPr>
          <w:color w:val="454545"/>
          <w:u w:val="single"/>
          <w:shd w:val="clear" w:color="auto" w:fill="FFFFFF"/>
        </w:rPr>
        <w:t>VeoRide</w:t>
      </w:r>
      <w:proofErr w:type="spellEnd"/>
      <w:r w:rsidRPr="00114561">
        <w:rPr>
          <w:color w:val="454545"/>
          <w:u w:val="single"/>
          <w:shd w:val="clear" w:color="auto" w:fill="FFFFFF"/>
        </w:rPr>
        <w:t>. Inc. and Sweet Real Estate – City Center, LLC</w:t>
      </w:r>
      <w:r w:rsidRPr="00114561">
        <w:rPr>
          <w:color w:val="454545"/>
          <w:shd w:val="clear" w:color="auto" w:fill="FFFFFF"/>
        </w:rPr>
        <w:t xml:space="preserve">, the Supreme Court of Indiana held (3 to 0) that trial court should not have dismissed the </w:t>
      </w:r>
      <w:proofErr w:type="gramStart"/>
      <w:r w:rsidR="009B2200">
        <w:rPr>
          <w:color w:val="454545"/>
          <w:shd w:val="clear" w:color="auto" w:fill="FFFFFF"/>
        </w:rPr>
        <w:t>C</w:t>
      </w:r>
      <w:r w:rsidR="009B2200" w:rsidRPr="00114561">
        <w:rPr>
          <w:color w:val="454545"/>
          <w:shd w:val="clear" w:color="auto" w:fill="FFFFFF"/>
        </w:rPr>
        <w:t>aptain’s</w:t>
      </w:r>
      <w:proofErr w:type="gramEnd"/>
      <w:r w:rsidRPr="00114561">
        <w:rPr>
          <w:color w:val="454545"/>
          <w:shd w:val="clear" w:color="auto" w:fill="FFFFFF"/>
        </w:rPr>
        <w:t xml:space="preserve"> lawsuit, and case remanded for pre-trial discovery and trial.  He was injured in </w:t>
      </w:r>
      <w:r w:rsidR="009B2200" w:rsidRPr="00114561">
        <w:rPr>
          <w:color w:val="454545"/>
          <w:shd w:val="clear" w:color="auto" w:fill="FFFFFF"/>
        </w:rPr>
        <w:t>a warehouse</w:t>
      </w:r>
      <w:r w:rsidRPr="00114561">
        <w:rPr>
          <w:color w:val="454545"/>
          <w:shd w:val="clear" w:color="auto" w:fill="FFFFFF"/>
        </w:rPr>
        <w:t xml:space="preserve"> fire; the company rents electric scooters and electric bicycles that are powered by lithium batteries, and one of the batteries caught fire.  As the Captain </w:t>
      </w:r>
      <w:r w:rsidR="009B2200" w:rsidRPr="00114561">
        <w:rPr>
          <w:color w:val="454545"/>
          <w:shd w:val="clear" w:color="auto" w:fill="FFFFFF"/>
        </w:rPr>
        <w:t>conducted</w:t>
      </w:r>
      <w:r w:rsidRPr="00114561">
        <w:rPr>
          <w:color w:val="454545"/>
          <w:shd w:val="clear" w:color="auto" w:fill="FFFFFF"/>
        </w:rPr>
        <w:t xml:space="preserve"> </w:t>
      </w:r>
      <w:r w:rsidR="009B2200">
        <w:rPr>
          <w:color w:val="454545"/>
          <w:shd w:val="clear" w:color="auto" w:fill="FFFFFF"/>
        </w:rPr>
        <w:t xml:space="preserve">his </w:t>
      </w:r>
      <w:r w:rsidRPr="00114561">
        <w:rPr>
          <w:color w:val="454545"/>
          <w:shd w:val="clear" w:color="auto" w:fill="FFFFFF"/>
        </w:rPr>
        <w:t>primary search along a wall, it “</w:t>
      </w:r>
      <w:r w:rsidRPr="00114561">
        <w:rPr>
          <w:shd w:val="clear" w:color="auto" w:fill="FFFFFF"/>
        </w:rPr>
        <w:t xml:space="preserve">was composed of bare wooden studs, with a gap left by a missing stud. Dolsen ‘could not see the opening in the wall due to the lack of light and the presence of smoke.’ Id. Dolsen ‘fell to the bottom of the stairwell’ and was injured.” </w:t>
      </w:r>
      <w:hyperlink r:id="rId464" w:history="1">
        <w:r w:rsidRPr="00114561">
          <w:rPr>
            <w:rStyle w:val="Hyperlink"/>
            <w:shd w:val="clear" w:color="auto" w:fill="FFFFFF"/>
          </w:rPr>
          <w:t>https://cases.justia.com/indiana/court-of-appeals/2023-23a-ct-00945.pdf?ts=1698084643</w:t>
        </w:r>
      </w:hyperlink>
      <w:r w:rsidRPr="00114561">
        <w:rPr>
          <w:shd w:val="clear" w:color="auto" w:fill="FFFFFF"/>
        </w:rPr>
        <w:t xml:space="preserve"> </w:t>
      </w:r>
    </w:p>
    <w:p w14:paraId="020DF3A6" w14:textId="77777777" w:rsidR="00277A51" w:rsidRPr="00BC6AAE" w:rsidRDefault="00277A51" w:rsidP="00277A51">
      <w:pPr>
        <w:pStyle w:val="NoSpacing"/>
        <w:rPr>
          <w:rFonts w:ascii="Times New Roman" w:hAnsi="Times New Roman"/>
          <w:sz w:val="24"/>
          <w:szCs w:val="24"/>
          <w:shd w:val="clear" w:color="auto" w:fill="FFFFFF"/>
        </w:rPr>
      </w:pPr>
      <w:r w:rsidRPr="00BC6AAE">
        <w:rPr>
          <w:rFonts w:ascii="Times New Roman" w:hAnsi="Times New Roman"/>
          <w:sz w:val="24"/>
          <w:szCs w:val="24"/>
          <w:shd w:val="clear" w:color="auto" w:fill="FFFFFF"/>
        </w:rPr>
        <w:t xml:space="preserve">THE COURT HELD: </w:t>
      </w:r>
    </w:p>
    <w:p w14:paraId="6C48EB30" w14:textId="77777777" w:rsidR="00277A51" w:rsidRPr="00BC6AAE" w:rsidRDefault="00277A51" w:rsidP="00277A51">
      <w:pPr>
        <w:pStyle w:val="NoSpacing"/>
        <w:rPr>
          <w:rFonts w:ascii="Times New Roman" w:hAnsi="Times New Roman"/>
          <w:sz w:val="24"/>
          <w:szCs w:val="24"/>
          <w:shd w:val="clear" w:color="auto" w:fill="FFFFFF"/>
        </w:rPr>
      </w:pPr>
    </w:p>
    <w:p w14:paraId="44738002" w14:textId="77777777" w:rsidR="00277A51" w:rsidRDefault="00277A51" w:rsidP="00277A51">
      <w:pPr>
        <w:pStyle w:val="NoSpacing"/>
        <w:ind w:left="720"/>
        <w:rPr>
          <w:rFonts w:ascii="Times New Roman" w:hAnsi="Times New Roman"/>
          <w:sz w:val="24"/>
          <w:szCs w:val="24"/>
          <w:shd w:val="clear" w:color="auto" w:fill="FFFFFF"/>
        </w:rPr>
      </w:pPr>
      <w:r w:rsidRPr="00BC6AAE">
        <w:rPr>
          <w:rFonts w:ascii="Times New Roman" w:hAnsi="Times New Roman"/>
          <w:sz w:val="24"/>
          <w:szCs w:val="24"/>
          <w:shd w:val="clear" w:color="auto" w:fill="FFFFFF"/>
        </w:rPr>
        <w:t>“</w:t>
      </w:r>
      <w:r w:rsidRPr="00195E1E">
        <w:rPr>
          <w:rFonts w:ascii="Times New Roman" w:hAnsi="Times New Roman"/>
          <w:sz w:val="24"/>
          <w:szCs w:val="24"/>
          <w:shd w:val="clear" w:color="auto" w:fill="FFFFFF"/>
        </w:rPr>
        <w:t>Fort Wayne Fire Department Captain Richard Dolsen, Jr., was injured while</w:t>
      </w:r>
      <w:r>
        <w:rPr>
          <w:rFonts w:ascii="Times New Roman" w:hAnsi="Times New Roman"/>
          <w:sz w:val="24"/>
          <w:szCs w:val="24"/>
          <w:shd w:val="clear" w:color="auto" w:fill="FFFFFF"/>
        </w:rPr>
        <w:t xml:space="preserve"> </w:t>
      </w:r>
      <w:r w:rsidRPr="00195E1E">
        <w:rPr>
          <w:rFonts w:ascii="Times New Roman" w:hAnsi="Times New Roman"/>
          <w:sz w:val="24"/>
          <w:szCs w:val="24"/>
          <w:shd w:val="clear" w:color="auto" w:fill="FFFFFF"/>
        </w:rPr>
        <w:t xml:space="preserve">responding to a fire in a building leased by </w:t>
      </w:r>
      <w:proofErr w:type="spellStart"/>
      <w:r w:rsidRPr="00195E1E">
        <w:rPr>
          <w:rFonts w:ascii="Times New Roman" w:hAnsi="Times New Roman"/>
          <w:sz w:val="24"/>
          <w:szCs w:val="24"/>
          <w:shd w:val="clear" w:color="auto" w:fill="FFFFFF"/>
        </w:rPr>
        <w:t>VeoRide</w:t>
      </w:r>
      <w:proofErr w:type="spellEnd"/>
      <w:r w:rsidRPr="00195E1E">
        <w:rPr>
          <w:rFonts w:ascii="Times New Roman" w:hAnsi="Times New Roman"/>
          <w:sz w:val="24"/>
          <w:szCs w:val="24"/>
          <w:shd w:val="clear" w:color="auto" w:fill="FFFFFF"/>
        </w:rPr>
        <w:t xml:space="preserve">, Inc. Dolsen sued </w:t>
      </w:r>
      <w:proofErr w:type="spellStart"/>
      <w:r w:rsidRPr="00195E1E">
        <w:rPr>
          <w:rFonts w:ascii="Times New Roman" w:hAnsi="Times New Roman"/>
          <w:sz w:val="24"/>
          <w:szCs w:val="24"/>
          <w:shd w:val="clear" w:color="auto" w:fill="FFFFFF"/>
        </w:rPr>
        <w:t>VeoRide</w:t>
      </w:r>
      <w:proofErr w:type="spellEnd"/>
      <w:r>
        <w:rPr>
          <w:rFonts w:ascii="Times New Roman" w:hAnsi="Times New Roman"/>
          <w:sz w:val="24"/>
          <w:szCs w:val="24"/>
          <w:shd w:val="clear" w:color="auto" w:fill="FFFFFF"/>
        </w:rPr>
        <w:t xml:space="preserve"> </w:t>
      </w:r>
      <w:r w:rsidRPr="00195E1E">
        <w:rPr>
          <w:rFonts w:ascii="Times New Roman" w:hAnsi="Times New Roman"/>
          <w:sz w:val="24"/>
          <w:szCs w:val="24"/>
          <w:shd w:val="clear" w:color="auto" w:fill="FFFFFF"/>
        </w:rPr>
        <w:t xml:space="preserve">for negligence. </w:t>
      </w:r>
      <w:proofErr w:type="spellStart"/>
      <w:r w:rsidRPr="00195E1E">
        <w:rPr>
          <w:rFonts w:ascii="Times New Roman" w:hAnsi="Times New Roman"/>
          <w:sz w:val="24"/>
          <w:szCs w:val="24"/>
          <w:shd w:val="clear" w:color="auto" w:fill="FFFFFF"/>
        </w:rPr>
        <w:t>VeoRide</w:t>
      </w:r>
      <w:proofErr w:type="spellEnd"/>
      <w:r w:rsidRPr="00195E1E">
        <w:rPr>
          <w:rFonts w:ascii="Times New Roman" w:hAnsi="Times New Roman"/>
          <w:sz w:val="24"/>
          <w:szCs w:val="24"/>
          <w:shd w:val="clear" w:color="auto" w:fill="FFFFFF"/>
        </w:rPr>
        <w:t xml:space="preserve"> moved for summary judgment on the basis that</w:t>
      </w:r>
      <w:r>
        <w:rPr>
          <w:rFonts w:ascii="Times New Roman" w:hAnsi="Times New Roman"/>
          <w:sz w:val="24"/>
          <w:szCs w:val="24"/>
          <w:shd w:val="clear" w:color="auto" w:fill="FFFFFF"/>
        </w:rPr>
        <w:t xml:space="preserve"> </w:t>
      </w:r>
      <w:r w:rsidRPr="00195E1E">
        <w:rPr>
          <w:rFonts w:ascii="Times New Roman" w:hAnsi="Times New Roman"/>
          <w:sz w:val="24"/>
          <w:szCs w:val="24"/>
          <w:shd w:val="clear" w:color="auto" w:fill="FFFFFF"/>
        </w:rPr>
        <w:t>Dolsen’s claims were barred by Indiana’s firefighter’s rule,1 and the trial court</w:t>
      </w:r>
      <w:r>
        <w:rPr>
          <w:rFonts w:ascii="Times New Roman" w:hAnsi="Times New Roman"/>
          <w:sz w:val="24"/>
          <w:szCs w:val="24"/>
          <w:shd w:val="clear" w:color="auto" w:fill="FFFFFF"/>
        </w:rPr>
        <w:t xml:space="preserve"> </w:t>
      </w:r>
      <w:r w:rsidRPr="00195E1E">
        <w:rPr>
          <w:rFonts w:ascii="Times New Roman" w:hAnsi="Times New Roman"/>
          <w:sz w:val="24"/>
          <w:szCs w:val="24"/>
          <w:shd w:val="clear" w:color="auto" w:fill="FFFFFF"/>
        </w:rPr>
        <w:t>granted that motion. On appeal, Dolsen argues that the trial court erred. We</w:t>
      </w:r>
      <w:r>
        <w:rPr>
          <w:rFonts w:ascii="Times New Roman" w:hAnsi="Times New Roman"/>
          <w:sz w:val="24"/>
          <w:szCs w:val="24"/>
          <w:shd w:val="clear" w:color="auto" w:fill="FFFFFF"/>
        </w:rPr>
        <w:t xml:space="preserve"> </w:t>
      </w:r>
      <w:r w:rsidRPr="00195E1E">
        <w:rPr>
          <w:rFonts w:ascii="Times New Roman" w:hAnsi="Times New Roman"/>
          <w:sz w:val="24"/>
          <w:szCs w:val="24"/>
          <w:shd w:val="clear" w:color="auto" w:fill="FFFFFF"/>
        </w:rPr>
        <w:t>agree, so we reverse and remand for further proceedings.</w:t>
      </w:r>
    </w:p>
    <w:p w14:paraId="1E02A8F7" w14:textId="77777777" w:rsidR="00277A51" w:rsidRDefault="00277A51" w:rsidP="00277A51">
      <w:pPr>
        <w:pStyle w:val="NoSpacing"/>
        <w:ind w:left="720"/>
        <w:rPr>
          <w:rFonts w:ascii="Times New Roman" w:hAnsi="Times New Roman"/>
          <w:sz w:val="24"/>
          <w:szCs w:val="24"/>
          <w:shd w:val="clear" w:color="auto" w:fill="FFFFFF"/>
        </w:rPr>
      </w:pPr>
    </w:p>
    <w:p w14:paraId="6718D635" w14:textId="77777777" w:rsidR="00277A51" w:rsidRDefault="00277A51" w:rsidP="00277A51">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3EDE9E39" w14:textId="77777777" w:rsidR="00277A51" w:rsidRDefault="00277A51" w:rsidP="00277A51">
      <w:pPr>
        <w:pStyle w:val="NoSpacing"/>
        <w:ind w:left="720"/>
        <w:rPr>
          <w:rFonts w:ascii="Times New Roman" w:hAnsi="Times New Roman"/>
          <w:sz w:val="24"/>
          <w:szCs w:val="24"/>
          <w:shd w:val="clear" w:color="auto" w:fill="FFFFFF"/>
        </w:rPr>
      </w:pPr>
    </w:p>
    <w:p w14:paraId="7D68CAEB" w14:textId="77777777" w:rsidR="00277A51" w:rsidRPr="00BC6AAE" w:rsidRDefault="00277A51" w:rsidP="00277A51">
      <w:pPr>
        <w:pStyle w:val="NoSpacing"/>
        <w:ind w:left="720"/>
        <w:rPr>
          <w:rFonts w:ascii="Times New Roman" w:hAnsi="Times New Roman"/>
          <w:sz w:val="24"/>
          <w:szCs w:val="24"/>
          <w:shd w:val="clear" w:color="auto" w:fill="FFFFFF"/>
        </w:rPr>
      </w:pPr>
      <w:r w:rsidRPr="00BC6AAE">
        <w:rPr>
          <w:rFonts w:ascii="Times New Roman" w:hAnsi="Times New Roman"/>
          <w:sz w:val="24"/>
          <w:szCs w:val="24"/>
          <w:shd w:val="clear" w:color="auto" w:fill="FFFFFF"/>
        </w:rPr>
        <w:t xml:space="preserve">Based on the foregoing, we conclude that whether </w:t>
      </w:r>
      <w:proofErr w:type="spellStart"/>
      <w:r w:rsidRPr="00BC6AAE">
        <w:rPr>
          <w:rFonts w:ascii="Times New Roman" w:hAnsi="Times New Roman"/>
          <w:sz w:val="24"/>
          <w:szCs w:val="24"/>
          <w:shd w:val="clear" w:color="auto" w:fill="FFFFFF"/>
        </w:rPr>
        <w:t>VeoRide</w:t>
      </w:r>
      <w:proofErr w:type="spellEnd"/>
      <w:r w:rsidRPr="00BC6AAE">
        <w:rPr>
          <w:rFonts w:ascii="Times New Roman" w:hAnsi="Times New Roman"/>
          <w:sz w:val="24"/>
          <w:szCs w:val="24"/>
          <w:shd w:val="clear" w:color="auto" w:fill="FFFFFF"/>
        </w:rPr>
        <w:t xml:space="preserve"> owed Dolsen a duty to warn him of the gap in the wall next to the stairwell depends upon underlying facts that require resolution by the trier of fact, including whether </w:t>
      </w:r>
      <w:proofErr w:type="spellStart"/>
      <w:r w:rsidRPr="00BC6AAE">
        <w:rPr>
          <w:rFonts w:ascii="Times New Roman" w:hAnsi="Times New Roman"/>
          <w:sz w:val="24"/>
          <w:szCs w:val="24"/>
          <w:shd w:val="clear" w:color="auto" w:fill="FFFFFF"/>
        </w:rPr>
        <w:t>VeoRide</w:t>
      </w:r>
      <w:proofErr w:type="spellEnd"/>
      <w:r w:rsidRPr="00BC6AAE">
        <w:rPr>
          <w:rFonts w:ascii="Times New Roman" w:hAnsi="Times New Roman"/>
          <w:sz w:val="24"/>
          <w:szCs w:val="24"/>
          <w:shd w:val="clear" w:color="auto" w:fill="FFFFFF"/>
        </w:rPr>
        <w:t xml:space="preserve"> should have realized that the condition involved an unreasonable risk of causing physical harm to Dolsen (who did not know or have reason to know of the condition and the risk involved), whether </w:t>
      </w:r>
      <w:proofErr w:type="spellStart"/>
      <w:r w:rsidRPr="00BC6AAE">
        <w:rPr>
          <w:rFonts w:ascii="Times New Roman" w:hAnsi="Times New Roman"/>
          <w:sz w:val="24"/>
          <w:szCs w:val="24"/>
          <w:shd w:val="clear" w:color="auto" w:fill="FFFFFF"/>
        </w:rPr>
        <w:t>VeoRide</w:t>
      </w:r>
      <w:proofErr w:type="spellEnd"/>
      <w:r w:rsidRPr="00BC6AAE">
        <w:rPr>
          <w:rFonts w:ascii="Times New Roman" w:hAnsi="Times New Roman"/>
          <w:sz w:val="24"/>
          <w:szCs w:val="24"/>
          <w:shd w:val="clear" w:color="auto" w:fill="FFFFFF"/>
        </w:rPr>
        <w:t xml:space="preserve"> should have expected that Dolsen would not discover or realize the danger, and whether </w:t>
      </w:r>
      <w:proofErr w:type="spellStart"/>
      <w:r w:rsidRPr="00BC6AAE">
        <w:rPr>
          <w:rFonts w:ascii="Times New Roman" w:hAnsi="Times New Roman"/>
          <w:sz w:val="24"/>
          <w:szCs w:val="24"/>
          <w:shd w:val="clear" w:color="auto" w:fill="FFFFFF"/>
        </w:rPr>
        <w:t>VeoRide</w:t>
      </w:r>
      <w:proofErr w:type="spellEnd"/>
      <w:r w:rsidRPr="00BC6AAE">
        <w:rPr>
          <w:rFonts w:ascii="Times New Roman" w:hAnsi="Times New Roman"/>
          <w:sz w:val="24"/>
          <w:szCs w:val="24"/>
          <w:shd w:val="clear" w:color="auto" w:fill="FFFFFF"/>
        </w:rPr>
        <w:t xml:space="preserve"> had reason to expect that Dolsen would encounter the condition in the exercise of his license.</w:t>
      </w:r>
      <w:r w:rsidRPr="00BC6AAE">
        <w:rPr>
          <w:rFonts w:ascii="Times New Roman" w:hAnsi="Times New Roman"/>
          <w:sz w:val="24"/>
          <w:szCs w:val="24"/>
        </w:rPr>
        <w:t xml:space="preserve"> </w:t>
      </w:r>
      <w:r w:rsidRPr="00BC6AAE">
        <w:rPr>
          <w:rFonts w:ascii="Times New Roman" w:hAnsi="Times New Roman"/>
          <w:sz w:val="24"/>
          <w:szCs w:val="24"/>
          <w:shd w:val="clear" w:color="auto" w:fill="FFFFFF"/>
        </w:rPr>
        <w:t xml:space="preserve">Assuming arguendo that such a duty existed, we further conclude that genuine issues of material fact exist regarding whether </w:t>
      </w:r>
      <w:proofErr w:type="spellStart"/>
      <w:r w:rsidRPr="00BC6AAE">
        <w:rPr>
          <w:rFonts w:ascii="Times New Roman" w:hAnsi="Times New Roman"/>
          <w:sz w:val="24"/>
          <w:szCs w:val="24"/>
          <w:shd w:val="clear" w:color="auto" w:fill="FFFFFF"/>
        </w:rPr>
        <w:t>VeoRide’s</w:t>
      </w:r>
      <w:proofErr w:type="spellEnd"/>
      <w:r w:rsidRPr="00BC6AAE">
        <w:rPr>
          <w:rFonts w:ascii="Times New Roman" w:hAnsi="Times New Roman"/>
          <w:sz w:val="24"/>
          <w:szCs w:val="24"/>
          <w:shd w:val="clear" w:color="auto" w:fill="FFFFFF"/>
        </w:rPr>
        <w:t xml:space="preserve"> failure to warn Dolsen of the condition and the risk involved was a breach of that duty, that is, a failure to exercise reasonable care under the circumstances pursuant to Restatement Section 342(b); among the factors to be considered are whether </w:t>
      </w:r>
      <w:proofErr w:type="spellStart"/>
      <w:r w:rsidRPr="00BC6AAE">
        <w:rPr>
          <w:rFonts w:ascii="Times New Roman" w:hAnsi="Times New Roman"/>
          <w:sz w:val="24"/>
          <w:szCs w:val="24"/>
          <w:shd w:val="clear" w:color="auto" w:fill="FFFFFF"/>
        </w:rPr>
        <w:t>VeoRide</w:t>
      </w:r>
      <w:proofErr w:type="spellEnd"/>
      <w:r w:rsidRPr="00BC6AAE">
        <w:rPr>
          <w:rFonts w:ascii="Times New Roman" w:hAnsi="Times New Roman"/>
          <w:sz w:val="24"/>
          <w:szCs w:val="24"/>
          <w:shd w:val="clear" w:color="auto" w:fill="FFFFFF"/>
        </w:rPr>
        <w:t xml:space="preserve"> had a reasonable opportunity to alert fire department personnel. Additional issues of material fact exist regarding whether any breach of a duty to warn proximately caused Dolsen’s injuries and the extent to which Dolsen might have contributed to his injuries for purposes of the Comparative Fault Act. Consequently, we reverse the trial court’s entry of summary judgment in</w:t>
      </w:r>
    </w:p>
    <w:p w14:paraId="383D8DE3" w14:textId="77777777" w:rsidR="00277A51" w:rsidRDefault="00277A51" w:rsidP="00277A51">
      <w:pPr>
        <w:pStyle w:val="NoSpacing"/>
        <w:ind w:firstLine="720"/>
        <w:rPr>
          <w:rFonts w:ascii="Times New Roman" w:hAnsi="Times New Roman"/>
          <w:sz w:val="24"/>
          <w:szCs w:val="24"/>
          <w:shd w:val="clear" w:color="auto" w:fill="FFFFFF"/>
        </w:rPr>
      </w:pPr>
      <w:proofErr w:type="spellStart"/>
      <w:r w:rsidRPr="00BC6AAE">
        <w:rPr>
          <w:rFonts w:ascii="Times New Roman" w:hAnsi="Times New Roman"/>
          <w:sz w:val="24"/>
          <w:szCs w:val="24"/>
          <w:shd w:val="clear" w:color="auto" w:fill="FFFFFF"/>
        </w:rPr>
        <w:t>VeoRide’s</w:t>
      </w:r>
      <w:proofErr w:type="spellEnd"/>
      <w:r w:rsidRPr="00BC6AAE">
        <w:rPr>
          <w:rFonts w:ascii="Times New Roman" w:hAnsi="Times New Roman"/>
          <w:sz w:val="24"/>
          <w:szCs w:val="24"/>
          <w:shd w:val="clear" w:color="auto" w:fill="FFFFFF"/>
        </w:rPr>
        <w:t xml:space="preserve"> favor and </w:t>
      </w:r>
      <w:proofErr w:type="gramStart"/>
      <w:r w:rsidRPr="00BC6AAE">
        <w:rPr>
          <w:rFonts w:ascii="Times New Roman" w:hAnsi="Times New Roman"/>
          <w:sz w:val="24"/>
          <w:szCs w:val="24"/>
          <w:shd w:val="clear" w:color="auto" w:fill="FFFFFF"/>
        </w:rPr>
        <w:t>remand</w:t>
      </w:r>
      <w:proofErr w:type="gramEnd"/>
      <w:r w:rsidRPr="00BC6AAE">
        <w:rPr>
          <w:rFonts w:ascii="Times New Roman" w:hAnsi="Times New Roman"/>
          <w:sz w:val="24"/>
          <w:szCs w:val="24"/>
          <w:shd w:val="clear" w:color="auto" w:fill="FFFFFF"/>
        </w:rPr>
        <w:t xml:space="preserve"> for further </w:t>
      </w:r>
      <w:proofErr w:type="gramStart"/>
      <w:r w:rsidRPr="00BC6AAE">
        <w:rPr>
          <w:rFonts w:ascii="Times New Roman" w:hAnsi="Times New Roman"/>
          <w:sz w:val="24"/>
          <w:szCs w:val="24"/>
          <w:shd w:val="clear" w:color="auto" w:fill="FFFFFF"/>
        </w:rPr>
        <w:t>proceedings.”</w:t>
      </w:r>
      <w:proofErr w:type="gramEnd"/>
    </w:p>
    <w:p w14:paraId="143D14C1" w14:textId="77777777" w:rsidR="00277A51" w:rsidRDefault="00277A51" w:rsidP="00286F24">
      <w:pPr>
        <w:rPr>
          <w:rFonts w:ascii="Arial Black" w:hAnsi="Arial Black"/>
          <w:sz w:val="24"/>
          <w:szCs w:val="24"/>
        </w:rPr>
      </w:pPr>
    </w:p>
    <w:p w14:paraId="6F533D41" w14:textId="3A77974A" w:rsidR="00325688" w:rsidRPr="008757E3" w:rsidRDefault="00325688" w:rsidP="00325688">
      <w:pPr>
        <w:pStyle w:val="NoSpacing"/>
        <w:rPr>
          <w:rFonts w:ascii="Times New Roman" w:hAnsi="Times New Roman"/>
          <w:b/>
          <w:bCs/>
          <w:sz w:val="24"/>
          <w:szCs w:val="24"/>
          <w:shd w:val="clear" w:color="auto" w:fill="FFFFFF"/>
        </w:rPr>
      </w:pPr>
      <w:r w:rsidRPr="008757E3">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w:t>
      </w:r>
      <w:r w:rsidR="009B2323">
        <w:rPr>
          <w:rFonts w:ascii="Times New Roman" w:hAnsi="Times New Roman"/>
          <w:b/>
          <w:bCs/>
          <w:sz w:val="24"/>
          <w:szCs w:val="24"/>
          <w:shd w:val="clear" w:color="auto" w:fill="FFFFFF"/>
        </w:rPr>
        <w:t xml:space="preserve">If </w:t>
      </w:r>
      <w:r>
        <w:rPr>
          <w:rFonts w:ascii="Times New Roman" w:hAnsi="Times New Roman"/>
          <w:b/>
          <w:bCs/>
          <w:sz w:val="24"/>
          <w:szCs w:val="24"/>
          <w:shd w:val="clear" w:color="auto" w:fill="FFFFFF"/>
        </w:rPr>
        <w:t xml:space="preserve">trial court </w:t>
      </w:r>
      <w:r w:rsidR="00D20D16">
        <w:rPr>
          <w:rFonts w:ascii="Times New Roman" w:hAnsi="Times New Roman"/>
          <w:b/>
          <w:bCs/>
          <w:sz w:val="24"/>
          <w:szCs w:val="24"/>
          <w:shd w:val="clear" w:color="auto" w:fill="FFFFFF"/>
        </w:rPr>
        <w:t xml:space="preserve">determines the company had </w:t>
      </w:r>
      <w:r>
        <w:rPr>
          <w:rFonts w:ascii="Times New Roman" w:hAnsi="Times New Roman"/>
          <w:b/>
          <w:bCs/>
          <w:sz w:val="24"/>
          <w:szCs w:val="24"/>
          <w:shd w:val="clear" w:color="auto" w:fill="FFFFFF"/>
        </w:rPr>
        <w:t>a “duty to warn” the</w:t>
      </w:r>
      <w:r w:rsidR="00D20D16">
        <w:rPr>
          <w:rFonts w:ascii="Times New Roman" w:hAnsi="Times New Roman"/>
          <w:b/>
          <w:bCs/>
          <w:sz w:val="24"/>
          <w:szCs w:val="24"/>
          <w:shd w:val="clear" w:color="auto" w:fill="FFFFFF"/>
        </w:rPr>
        <w:t xml:space="preserve">n case may proceed to jury trial </w:t>
      </w:r>
      <w:r w:rsidR="00C76A59">
        <w:rPr>
          <w:rFonts w:ascii="Times New Roman" w:hAnsi="Times New Roman"/>
          <w:b/>
          <w:bCs/>
          <w:sz w:val="24"/>
          <w:szCs w:val="24"/>
          <w:shd w:val="clear" w:color="auto" w:fill="FFFFFF"/>
        </w:rPr>
        <w:t xml:space="preserve">for damages. </w:t>
      </w:r>
      <w:r>
        <w:rPr>
          <w:rFonts w:ascii="Times New Roman" w:hAnsi="Times New Roman"/>
          <w:b/>
          <w:bCs/>
          <w:sz w:val="24"/>
          <w:szCs w:val="24"/>
          <w:shd w:val="clear" w:color="auto" w:fill="FFFFFF"/>
        </w:rPr>
        <w:t xml:space="preserve">  </w:t>
      </w:r>
    </w:p>
    <w:p w14:paraId="60EFEC90" w14:textId="77777777" w:rsidR="00325688" w:rsidRDefault="00325688" w:rsidP="00286F24">
      <w:pPr>
        <w:rPr>
          <w:rFonts w:ascii="Arial Black" w:hAnsi="Arial Black"/>
          <w:sz w:val="24"/>
          <w:szCs w:val="24"/>
        </w:rPr>
      </w:pPr>
    </w:p>
    <w:p w14:paraId="2D7529C7" w14:textId="77777777" w:rsidR="00277A51" w:rsidRDefault="00277A51" w:rsidP="00286F24">
      <w:pPr>
        <w:rPr>
          <w:rFonts w:ascii="Arial Black" w:hAnsi="Arial Black"/>
          <w:sz w:val="24"/>
          <w:szCs w:val="24"/>
        </w:rPr>
      </w:pPr>
    </w:p>
    <w:p w14:paraId="1348FA76" w14:textId="77777777" w:rsidR="00277A51" w:rsidRDefault="00277A51" w:rsidP="00286F24">
      <w:pPr>
        <w:rPr>
          <w:rFonts w:ascii="Arial Black" w:hAnsi="Arial Black"/>
          <w:sz w:val="24"/>
          <w:szCs w:val="24"/>
        </w:rPr>
      </w:pPr>
    </w:p>
    <w:p w14:paraId="52DA5E9E" w14:textId="64467CF0" w:rsidR="008E2491" w:rsidRDefault="008E2491" w:rsidP="00286F24">
      <w:pPr>
        <w:rPr>
          <w:rFonts w:ascii="Arial Black" w:hAnsi="Arial Black"/>
          <w:sz w:val="24"/>
          <w:szCs w:val="24"/>
        </w:rPr>
      </w:pPr>
      <w:r>
        <w:rPr>
          <w:rFonts w:ascii="Arial Black" w:hAnsi="Arial Black"/>
          <w:sz w:val="24"/>
          <w:szCs w:val="24"/>
        </w:rPr>
        <w:t>2-</w:t>
      </w:r>
      <w:r w:rsidR="00891E1D">
        <w:rPr>
          <w:rFonts w:ascii="Arial Black" w:hAnsi="Arial Black"/>
          <w:sz w:val="24"/>
          <w:szCs w:val="24"/>
        </w:rPr>
        <w:t>69</w:t>
      </w:r>
    </w:p>
    <w:p w14:paraId="465D29B6" w14:textId="14B56FA8" w:rsidR="00474B94" w:rsidRPr="00DC4333" w:rsidRDefault="00474B94" w:rsidP="00474B94">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PA: FF KILLED - OTHERS INJURED - WOMAN DROVE JEEP </w:t>
      </w:r>
      <w:r w:rsidR="009D06F9">
        <w:rPr>
          <w:rFonts w:ascii="Arial Black" w:hAnsi="Arial Black"/>
          <w:b/>
          <w:bCs/>
          <w:color w:val="454545"/>
          <w:sz w:val="28"/>
          <w:szCs w:val="28"/>
          <w:shd w:val="clear" w:color="auto" w:fill="FFFFFF"/>
        </w:rPr>
        <w:t xml:space="preserve">WITH </w:t>
      </w:r>
      <w:r>
        <w:rPr>
          <w:rFonts w:ascii="Arial Black" w:hAnsi="Arial Black"/>
          <w:b/>
          <w:bCs/>
          <w:color w:val="454545"/>
          <w:sz w:val="28"/>
          <w:szCs w:val="28"/>
          <w:shd w:val="clear" w:color="auto" w:fill="FFFFFF"/>
        </w:rPr>
        <w:t>BAD BREAKS INTO ACCIDENT SCENE – 12-24 YRS PRISON</w:t>
      </w:r>
    </w:p>
    <w:p w14:paraId="43CCD9B3" w14:textId="77777777" w:rsidR="001603B7" w:rsidRDefault="00474B94" w:rsidP="001603B7">
      <w:pPr>
        <w:pStyle w:val="NormalWeb"/>
      </w:pPr>
      <w:r>
        <w:t xml:space="preserve">On May 17, 2024, in </w:t>
      </w:r>
      <w:r w:rsidRPr="008C4838">
        <w:rPr>
          <w:u w:val="single"/>
        </w:rPr>
        <w:t>Commonwealth of Pennsylvania v. Jacquelyn Walker</w:t>
      </w:r>
      <w:r>
        <w:t xml:space="preserve">, the Superior Court of Pennsylvania held (3 to 0) that the sentence was appropriate.  The accident scene on July 24, </w:t>
      </w:r>
      <w:proofErr w:type="gramStart"/>
      <w:r>
        <w:t>2021</w:t>
      </w:r>
      <w:proofErr w:type="gramEnd"/>
      <w:r>
        <w:t xml:space="preserve"> was westbound on I-76 at 3 am.  The defendant drove her 2004 Jeep Grand Cherokee over the rumble strips and into the right berm, and struck three members of the Belmont Hills Fire Department, killing firefighter Thomas Royds, </w:t>
      </w:r>
      <w:proofErr w:type="gramStart"/>
      <w:r>
        <w:t>and also</w:t>
      </w:r>
      <w:proofErr w:type="gramEnd"/>
      <w:r>
        <w:t xml:space="preserve"> striking a Trooper.  The Superior Court agreed with the Sentencing Judge who wrote: “Who protects those first responders who are willing to expose themselves to possible harm or death to protect us? </w:t>
      </w:r>
      <w:r>
        <w:rPr>
          <w:rStyle w:val="Emphasis"/>
          <w:rFonts w:eastAsiaTheme="majorEastAsia"/>
        </w:rPr>
        <w:t>Id</w:t>
      </w:r>
      <w:r>
        <w:t xml:space="preserve">. at 83. [T]hey should not have to be exposed to sustained reckless behavior amounting to malicious conduct almost certain to cause death or serious bodily injury such as the conduct of this defendant.’ </w:t>
      </w:r>
      <w:r>
        <w:rPr>
          <w:rStyle w:val="Emphasis"/>
          <w:rFonts w:eastAsiaTheme="majorEastAsia"/>
        </w:rPr>
        <w:t>Id</w:t>
      </w:r>
      <w:r>
        <w:t xml:space="preserve">. It answered its own question by concluding that ‘first responders can only be protected by the Court,’ and that it could only do so by imposing "appropriate punishment for this type of malice criminal conduct.’ </w:t>
      </w:r>
      <w:r>
        <w:rPr>
          <w:rStyle w:val="Emphasis"/>
          <w:rFonts w:eastAsiaTheme="majorEastAsia"/>
        </w:rPr>
        <w:t>Id</w:t>
      </w:r>
      <w:r>
        <w:t xml:space="preserve">. at 84.”  </w:t>
      </w:r>
      <w:hyperlink r:id="rId465" w:history="1">
        <w:r w:rsidR="001603B7" w:rsidRPr="00CE1BCF">
          <w:rPr>
            <w:rStyle w:val="Hyperlink"/>
          </w:rPr>
          <w:t>https://www.pacourts.us/assets/opinions/Superior/out/J-S40043-23m%20-%20105940494266483578.pdf?cb=1</w:t>
        </w:r>
      </w:hyperlink>
      <w:r w:rsidR="001603B7">
        <w:t xml:space="preserve"> </w:t>
      </w:r>
    </w:p>
    <w:p w14:paraId="7F160434" w14:textId="304A7E87" w:rsidR="00474B94" w:rsidRDefault="00CF7974" w:rsidP="00474B94">
      <w:pPr>
        <w:pStyle w:val="NormalWeb"/>
      </w:pPr>
      <w:r>
        <w:t xml:space="preserve">THE COURT HELD: </w:t>
      </w:r>
      <w:r w:rsidR="00474B94">
        <w:t xml:space="preserve"> </w:t>
      </w:r>
    </w:p>
    <w:p w14:paraId="0AAC3DF9" w14:textId="77777777" w:rsidR="00474B94" w:rsidRDefault="00474B94" w:rsidP="00474B94">
      <w:pPr>
        <w:pStyle w:val="NormalWeb"/>
        <w:ind w:left="720" w:firstLine="60"/>
      </w:pPr>
      <w:r>
        <w:t>“Appellant argues that the sentence imposed ‘amounted to the functional equivalent of a life sentence,’ because she is a 64-year-old disabled woman, and therefore was "at odds with the fundamental norms of the sentencing process.’</w:t>
      </w:r>
    </w:p>
    <w:p w14:paraId="0CD22F55" w14:textId="77777777" w:rsidR="00474B94" w:rsidRDefault="00474B94" w:rsidP="00474B94">
      <w:pPr>
        <w:pStyle w:val="NormalWeb"/>
        <w:ind w:left="720" w:firstLine="60"/>
      </w:pPr>
      <w:r>
        <w:t>***</w:t>
      </w:r>
    </w:p>
    <w:p w14:paraId="766E9A5B" w14:textId="77777777" w:rsidR="00474B94" w:rsidRDefault="00474B94" w:rsidP="00474B94">
      <w:pPr>
        <w:pStyle w:val="NormalWeb"/>
        <w:ind w:left="720"/>
      </w:pPr>
      <w:r>
        <w:t xml:space="preserve">We cannot say that the sentencing court abused its discretion by imposing an aggregate term of 12 to 24 years' imprisonment where Appellant admitted to acting with such recklessness that it amounted to legal malice and which resulted in the killing of one person, caused severe injuries to two others, and endangered several more, all of whom were first responders who had clearly marked the road with sufficient warnings. The three sentence terms that make up the aggregate sentence are all within the standard range, and each are for a different victim: murder in the third degree of Firefighter Thomas Royds; aggravated assault by vehicle of Firefighter Alex Fischer; and aggravated assault by vehicle of Firefighter Sam Sheffer. </w:t>
      </w:r>
    </w:p>
    <w:p w14:paraId="0C248408" w14:textId="34E4CD3F" w:rsidR="00474B94" w:rsidRDefault="00474B94" w:rsidP="00474B94">
      <w:pPr>
        <w:pStyle w:val="NormalWeb"/>
        <w:ind w:left="720"/>
      </w:pPr>
      <w:r>
        <w:t xml:space="preserve">Appellant's implicit argument is that the severity of the crime and admitted malice with which she caused death and serious injury could not warrant standard range sentence terms. As the sentencing court explained: The amount of pain and suffering that this defendant has caused is enormous. The terrible impact of her crime is certainly enduring. It's clearly apparent that the injuries could have been far worse; we have firefighters and the Trooper Burnett who escaped death or serious bodily injury just simply by inches that day. She acted recklessly and she acted with malice. She did not care about the rules of the road or the safety of others. She had no justification or excuse for her conduct.” </w:t>
      </w:r>
    </w:p>
    <w:p w14:paraId="2C969782" w14:textId="77777777" w:rsidR="00AD6C0A" w:rsidRPr="00E76DDF" w:rsidRDefault="00AD6C0A" w:rsidP="00AD6C0A">
      <w:pPr>
        <w:pStyle w:val="NormalWeb"/>
        <w:rPr>
          <w:b/>
          <w:bCs/>
        </w:rPr>
      </w:pPr>
      <w:r>
        <w:rPr>
          <w:b/>
          <w:bCs/>
        </w:rPr>
        <w:t xml:space="preserve">Legal Lesson Learned:  The sentence imposed was appropriate for pain inflicted. </w:t>
      </w:r>
    </w:p>
    <w:p w14:paraId="283F267A" w14:textId="77777777" w:rsidR="00AD6C0A" w:rsidRPr="00AD6C0A" w:rsidRDefault="00AD6C0A" w:rsidP="00AD6C0A">
      <w:pPr>
        <w:pStyle w:val="Heading1"/>
        <w:ind w:left="720"/>
        <w:rPr>
          <w:b w:val="0"/>
          <w:bCs w:val="0"/>
          <w:sz w:val="24"/>
          <w:szCs w:val="24"/>
        </w:rPr>
      </w:pPr>
      <w:r w:rsidRPr="00AD6C0A">
        <w:rPr>
          <w:b w:val="0"/>
          <w:bCs w:val="0"/>
          <w:sz w:val="24"/>
          <w:szCs w:val="24"/>
        </w:rPr>
        <w:t>Note: See National Fallen Firefighters Foundation article on FF Thomas E. Royds, better known as “</w:t>
      </w:r>
      <w:proofErr w:type="spellStart"/>
      <w:r w:rsidRPr="00AD6C0A">
        <w:rPr>
          <w:b w:val="0"/>
          <w:bCs w:val="0"/>
          <w:sz w:val="24"/>
          <w:szCs w:val="24"/>
        </w:rPr>
        <w:t>Roydsy</w:t>
      </w:r>
      <w:proofErr w:type="spellEnd"/>
      <w:r w:rsidRPr="00AD6C0A">
        <w:rPr>
          <w:b w:val="0"/>
          <w:bCs w:val="0"/>
          <w:sz w:val="24"/>
          <w:szCs w:val="24"/>
        </w:rPr>
        <w:t>.”</w:t>
      </w:r>
      <w:r w:rsidRPr="00F125FC">
        <w:t xml:space="preserve"> </w:t>
      </w:r>
      <w:hyperlink r:id="rId466" w:history="1">
        <w:r w:rsidRPr="00AD6C0A">
          <w:rPr>
            <w:rStyle w:val="Hyperlink"/>
            <w:b w:val="0"/>
            <w:bCs w:val="0"/>
            <w:sz w:val="24"/>
            <w:szCs w:val="24"/>
          </w:rPr>
          <w:t>https://www.firehero.org/fallen-firefighter/thomas-e-royds/</w:t>
        </w:r>
      </w:hyperlink>
      <w:r w:rsidRPr="00AD6C0A">
        <w:rPr>
          <w:b w:val="0"/>
          <w:bCs w:val="0"/>
          <w:sz w:val="24"/>
          <w:szCs w:val="24"/>
        </w:rPr>
        <w:t xml:space="preserve"> </w:t>
      </w:r>
    </w:p>
    <w:p w14:paraId="2F963009" w14:textId="77777777" w:rsidR="008E2491" w:rsidRDefault="008E2491" w:rsidP="00286F24">
      <w:pPr>
        <w:rPr>
          <w:rFonts w:ascii="Arial Black" w:hAnsi="Arial Black"/>
          <w:sz w:val="24"/>
          <w:szCs w:val="24"/>
        </w:rPr>
      </w:pPr>
    </w:p>
    <w:p w14:paraId="4B94DF71" w14:textId="77777777" w:rsidR="008E2491" w:rsidRDefault="008E2491" w:rsidP="00286F24">
      <w:pPr>
        <w:rPr>
          <w:rFonts w:ascii="Arial Black" w:hAnsi="Arial Black"/>
          <w:sz w:val="24"/>
          <w:szCs w:val="24"/>
        </w:rPr>
      </w:pPr>
    </w:p>
    <w:p w14:paraId="03648DED" w14:textId="77777777" w:rsidR="008E2491" w:rsidRDefault="008E2491" w:rsidP="00286F24">
      <w:pPr>
        <w:rPr>
          <w:rFonts w:ascii="Arial Black" w:hAnsi="Arial Black"/>
          <w:sz w:val="24"/>
          <w:szCs w:val="24"/>
        </w:rPr>
      </w:pPr>
    </w:p>
    <w:p w14:paraId="04A4600D" w14:textId="4DFC9DA1" w:rsidR="007276B8" w:rsidRDefault="007276B8" w:rsidP="00286F24">
      <w:pPr>
        <w:rPr>
          <w:rFonts w:ascii="Arial Black" w:hAnsi="Arial Black"/>
          <w:sz w:val="24"/>
          <w:szCs w:val="24"/>
        </w:rPr>
      </w:pPr>
      <w:r>
        <w:rPr>
          <w:rFonts w:ascii="Arial Black" w:hAnsi="Arial Black"/>
          <w:sz w:val="24"/>
          <w:szCs w:val="24"/>
        </w:rPr>
        <w:t>2-6</w:t>
      </w:r>
      <w:r w:rsidR="007C073D">
        <w:rPr>
          <w:rFonts w:ascii="Arial Black" w:hAnsi="Arial Black"/>
          <w:sz w:val="24"/>
          <w:szCs w:val="24"/>
        </w:rPr>
        <w:t>8</w:t>
      </w:r>
    </w:p>
    <w:p w14:paraId="739DB05B" w14:textId="77777777" w:rsidR="00C9473D" w:rsidRPr="00310BF3" w:rsidRDefault="00C9473D" w:rsidP="00C9473D">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NY: FDNY EMT INJURED UNEVEN CONCRETE FD – CAN’T SUE CITY NY “FIREMAN’S RULE” – ONLY WORKER COMP</w:t>
      </w:r>
    </w:p>
    <w:p w14:paraId="19FB3B66" w14:textId="77777777" w:rsidR="009F1660" w:rsidRPr="001D1878" w:rsidRDefault="00C9473D" w:rsidP="009F1660">
      <w:pPr>
        <w:spacing w:before="100" w:beforeAutospacing="1" w:after="100" w:afterAutospacing="1" w:line="240" w:lineRule="auto"/>
        <w:rPr>
          <w:rFonts w:ascii="Times New Roman" w:hAnsi="Times New Roman"/>
          <w:sz w:val="24"/>
          <w:szCs w:val="24"/>
        </w:rPr>
      </w:pPr>
      <w:r w:rsidRPr="00B93E70">
        <w:rPr>
          <w:rFonts w:ascii="Times New Roman" w:eastAsia="Times New Roman" w:hAnsi="Times New Roman"/>
          <w:sz w:val="24"/>
          <w:szCs w:val="24"/>
        </w:rPr>
        <w:t xml:space="preserve">On May 15, 2024, in </w:t>
      </w:r>
      <w:r w:rsidRPr="00B93E70">
        <w:rPr>
          <w:rFonts w:ascii="Times New Roman" w:eastAsia="Times New Roman" w:hAnsi="Times New Roman"/>
          <w:sz w:val="24"/>
          <w:szCs w:val="24"/>
          <w:u w:val="single"/>
        </w:rPr>
        <w:t>Maritza Sanchez v, The City of New York</w:t>
      </w:r>
      <w:r w:rsidRPr="00B93E70">
        <w:rPr>
          <w:rFonts w:ascii="Times New Roman" w:eastAsia="Times New Roman" w:hAnsi="Times New Roman"/>
          <w:sz w:val="24"/>
          <w:szCs w:val="24"/>
        </w:rPr>
        <w:t xml:space="preserve">, Judge </w:t>
      </w:r>
      <w:r w:rsidRPr="00B93E70">
        <w:rPr>
          <w:rFonts w:ascii="Times New Roman" w:hAnsi="Times New Roman"/>
          <w:sz w:val="24"/>
          <w:szCs w:val="24"/>
        </w:rPr>
        <w:t xml:space="preserve"> J. Machelle Sweeting, Supreme Court, New York County, granted the City’s motion to dismiss this lawsuit.  The EMT was injured on July 25, 2022, filed for workers’ comp</w:t>
      </w:r>
      <w:r>
        <w:rPr>
          <w:rFonts w:ascii="Times New Roman" w:hAnsi="Times New Roman"/>
          <w:sz w:val="24"/>
          <w:szCs w:val="24"/>
        </w:rPr>
        <w:t xml:space="preserve">ensation, </w:t>
      </w:r>
      <w:r w:rsidRPr="00B93E70">
        <w:rPr>
          <w:rFonts w:ascii="Times New Roman" w:hAnsi="Times New Roman"/>
          <w:sz w:val="24"/>
          <w:szCs w:val="24"/>
        </w:rPr>
        <w:t xml:space="preserve">and received approximately $8,767.85 in workers' compensation benefits and $8,767.85 in medical benefits.  </w:t>
      </w:r>
      <w:r>
        <w:rPr>
          <w:rFonts w:ascii="Times New Roman" w:hAnsi="Times New Roman"/>
          <w:sz w:val="24"/>
          <w:szCs w:val="24"/>
        </w:rPr>
        <w:t xml:space="preserve">While NY has amended the “fireman’s rule” to allow police and firefighters to sue third parties for injuries at premises cause by breach of statutes and safety codes, this does not allow lawsuits against their employer. </w:t>
      </w:r>
      <w:hyperlink r:id="rId467" w:history="1">
        <w:r w:rsidR="009F1660" w:rsidRPr="00220336">
          <w:rPr>
            <w:rStyle w:val="Hyperlink"/>
            <w:rFonts w:ascii="Times New Roman" w:eastAsia="Times New Roman" w:hAnsi="Times New Roman"/>
            <w:sz w:val="24"/>
            <w:szCs w:val="24"/>
          </w:rPr>
          <w:t>https://cases.justia.com/new-york/other-courts/2024-2024-ny-slip-op-31696-u.pdf?ts=1716238363</w:t>
        </w:r>
      </w:hyperlink>
      <w:r w:rsidR="009F1660">
        <w:rPr>
          <w:rFonts w:ascii="Times New Roman" w:eastAsia="Times New Roman" w:hAnsi="Times New Roman"/>
          <w:sz w:val="24"/>
          <w:szCs w:val="24"/>
        </w:rPr>
        <w:t xml:space="preserve"> </w:t>
      </w:r>
    </w:p>
    <w:p w14:paraId="69704630" w14:textId="49F28EF4" w:rsidR="00C9473D" w:rsidRPr="001D1878" w:rsidRDefault="009F1660" w:rsidP="001D1878">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w:t>
      </w:r>
      <w:r w:rsidR="001D1878">
        <w:rPr>
          <w:rFonts w:ascii="Times New Roman" w:hAnsi="Times New Roman"/>
          <w:sz w:val="24"/>
          <w:szCs w:val="24"/>
        </w:rPr>
        <w:t xml:space="preserve">THE COURT HELD: </w:t>
      </w:r>
      <w:r w:rsidR="00C9473D">
        <w:rPr>
          <w:rFonts w:ascii="Times New Roman" w:hAnsi="Times New Roman"/>
          <w:sz w:val="24"/>
          <w:szCs w:val="24"/>
        </w:rPr>
        <w:t xml:space="preserve"> </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 xml:space="preserve">More importantly, even if GML 205-e </w:t>
      </w:r>
      <w:r w:rsidR="00C9473D">
        <w:rPr>
          <w:rFonts w:ascii="Times New Roman" w:eastAsia="Times New Roman" w:hAnsi="Times New Roman"/>
          <w:sz w:val="24"/>
          <w:szCs w:val="24"/>
        </w:rPr>
        <w:t xml:space="preserve">[amending Fireman’s Rule’] </w:t>
      </w:r>
      <w:r w:rsidR="00C9473D" w:rsidRPr="00310BF3">
        <w:rPr>
          <w:rFonts w:ascii="Times New Roman" w:eastAsia="Times New Roman" w:hAnsi="Times New Roman"/>
          <w:sz w:val="24"/>
          <w:szCs w:val="24"/>
        </w:rPr>
        <w:t xml:space="preserve">were applicable here, the New York Court of Appeals has made clear that an employee who receives workers' compensation benefits cannot also seek to hold his employer liable under GML 205-e. </w:t>
      </w:r>
      <w:r w:rsidR="00C9473D" w:rsidRPr="00310BF3">
        <w:rPr>
          <w:rFonts w:ascii="Times New Roman" w:eastAsia="Times New Roman" w:hAnsi="Times New Roman"/>
          <w:i/>
          <w:iCs/>
          <w:sz w:val="24"/>
          <w:szCs w:val="24"/>
        </w:rPr>
        <w:t>See Matter of Diegelman v City of Buffalo</w:t>
      </w:r>
      <w:r w:rsidR="00C9473D" w:rsidRPr="00310BF3">
        <w:rPr>
          <w:rFonts w:ascii="Times New Roman" w:eastAsia="Times New Roman" w:hAnsi="Times New Roman"/>
          <w:sz w:val="24"/>
          <w:szCs w:val="24"/>
        </w:rPr>
        <w:t xml:space="preserve">, 28 N.Y.3d 231 (2016): </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 xml:space="preserve">It is well settled that workers' compensation benefits are generally the </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sole and exclusive remedy of an employee against his [or her] employer for injuries in the course of employment,</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 xml:space="preserve"> and that the receipt of such benefits </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precludes suits against an employer for injuries in the course of employment</w:t>
      </w:r>
      <w:r w:rsidR="00C9473D">
        <w:rPr>
          <w:rFonts w:ascii="Times New Roman" w:eastAsia="Times New Roman" w:hAnsi="Times New Roman"/>
          <w:sz w:val="24"/>
          <w:szCs w:val="24"/>
        </w:rPr>
        <w:t>’</w:t>
      </w:r>
      <w:r w:rsidR="00C9473D" w:rsidRPr="00310BF3">
        <w:rPr>
          <w:rFonts w:ascii="Times New Roman" w:eastAsia="Times New Roman" w:hAnsi="Times New Roman"/>
          <w:sz w:val="24"/>
          <w:szCs w:val="24"/>
        </w:rPr>
        <w:t xml:space="preserve"> </w:t>
      </w:r>
      <w:r w:rsidR="00C9473D" w:rsidRPr="00310BF3">
        <w:rPr>
          <w:rFonts w:ascii="Times New Roman" w:eastAsia="Times New Roman" w:hAnsi="Times New Roman"/>
          <w:i/>
          <w:iCs/>
          <w:sz w:val="24"/>
          <w:szCs w:val="24"/>
        </w:rPr>
        <w:t>(Weiner v. City of New York,</w:t>
      </w:r>
      <w:r w:rsidR="00C9473D" w:rsidRPr="00310BF3">
        <w:rPr>
          <w:rFonts w:ascii="Times New Roman" w:eastAsia="Times New Roman" w:hAnsi="Times New Roman"/>
          <w:sz w:val="24"/>
          <w:szCs w:val="24"/>
        </w:rPr>
        <w:t xml:space="preserve"> 19 N.Y.3d 852, 854, 947 N.Y.S.2d 404, 970 N.E.2d 427 [2012]).</w:t>
      </w:r>
      <w:r w:rsidR="00C9473D">
        <w:rPr>
          <w:rFonts w:ascii="Times New Roman" w:eastAsia="Times New Roman" w:hAnsi="Times New Roman"/>
          <w:sz w:val="24"/>
          <w:szCs w:val="24"/>
        </w:rPr>
        <w:t xml:space="preserve">” </w:t>
      </w:r>
    </w:p>
    <w:p w14:paraId="3089FE8E" w14:textId="77777777" w:rsidR="008E2491" w:rsidRDefault="008E2491" w:rsidP="008E2491">
      <w:pPr>
        <w:spacing w:after="100" w:line="240" w:lineRule="auto"/>
        <w:rPr>
          <w:rFonts w:ascii="Times New Roman" w:hAnsi="Times New Roman"/>
          <w:b/>
          <w:bCs/>
          <w:sz w:val="24"/>
          <w:szCs w:val="24"/>
        </w:rPr>
      </w:pPr>
      <w:r w:rsidRPr="00A06313">
        <w:rPr>
          <w:rFonts w:ascii="Times New Roman" w:hAnsi="Times New Roman"/>
          <w:b/>
          <w:bCs/>
          <w:sz w:val="24"/>
          <w:szCs w:val="24"/>
        </w:rPr>
        <w:t>Legal Lesson Learned:</w:t>
      </w:r>
      <w:r>
        <w:rPr>
          <w:rFonts w:ascii="Times New Roman" w:hAnsi="Times New Roman"/>
          <w:b/>
          <w:bCs/>
          <w:sz w:val="24"/>
          <w:szCs w:val="24"/>
        </w:rPr>
        <w:t xml:space="preserve"> EMT’s only remedy is worker’s comp.</w:t>
      </w:r>
    </w:p>
    <w:p w14:paraId="38F74DE0" w14:textId="77777777" w:rsidR="008E2491" w:rsidRDefault="008E2491" w:rsidP="008E2491">
      <w:pPr>
        <w:spacing w:after="100" w:line="240" w:lineRule="auto"/>
        <w:ind w:left="720"/>
        <w:rPr>
          <w:rFonts w:ascii="Times New Roman" w:hAnsi="Times New Roman"/>
          <w:sz w:val="24"/>
          <w:szCs w:val="24"/>
        </w:rPr>
      </w:pPr>
      <w:r w:rsidRPr="00A06313">
        <w:rPr>
          <w:rFonts w:ascii="Times New Roman" w:hAnsi="Times New Roman"/>
          <w:sz w:val="24"/>
          <w:szCs w:val="24"/>
        </w:rPr>
        <w:t xml:space="preserve">Note: </w:t>
      </w:r>
      <w:r>
        <w:rPr>
          <w:rFonts w:ascii="Times New Roman" w:hAnsi="Times New Roman"/>
          <w:sz w:val="24"/>
          <w:szCs w:val="24"/>
        </w:rPr>
        <w:t>Several states have abolished the “Fireman’s Rule” to allow fire and police to sue third parties for injuries at a premises. Ohio has not abolished the Fireman’s Rule.</w:t>
      </w:r>
    </w:p>
    <w:p w14:paraId="02735E60" w14:textId="77777777" w:rsidR="008E2491" w:rsidRDefault="008E2491" w:rsidP="008E2491">
      <w:pPr>
        <w:spacing w:after="100" w:line="240" w:lineRule="auto"/>
        <w:ind w:left="1440"/>
        <w:rPr>
          <w:rFonts w:ascii="Times New Roman" w:hAnsi="Times New Roman"/>
          <w:sz w:val="24"/>
          <w:szCs w:val="24"/>
        </w:rPr>
      </w:pPr>
      <w:r>
        <w:rPr>
          <w:rFonts w:ascii="Times New Roman" w:hAnsi="Times New Roman"/>
          <w:sz w:val="24"/>
          <w:szCs w:val="24"/>
        </w:rPr>
        <w:t xml:space="preserve">Florida: </w:t>
      </w:r>
      <w:hyperlink r:id="rId468" w:history="1">
        <w:r w:rsidRPr="00220336">
          <w:rPr>
            <w:rStyle w:val="Hyperlink"/>
            <w:rFonts w:ascii="Times New Roman" w:hAnsi="Times New Roman"/>
            <w:sz w:val="24"/>
            <w:szCs w:val="24"/>
          </w:rPr>
          <w:t>https://casetext.com/statute/florida-statutes/title-x-public-officers-employees-and-records/chapter-112-public-officers-and-employees-general-provisions/part-i-conditions-of-employment-retirement-travel-expenses/section-112182-firefighter-rule-abolished</w:t>
        </w:r>
      </w:hyperlink>
      <w:r>
        <w:rPr>
          <w:rFonts w:ascii="Times New Roman" w:hAnsi="Times New Roman"/>
          <w:sz w:val="24"/>
          <w:szCs w:val="24"/>
        </w:rPr>
        <w:t xml:space="preserve"> </w:t>
      </w:r>
    </w:p>
    <w:p w14:paraId="1EF82DBE" w14:textId="77777777" w:rsidR="008E2491" w:rsidRDefault="008E2491" w:rsidP="008E2491">
      <w:pPr>
        <w:spacing w:after="100" w:line="240" w:lineRule="auto"/>
        <w:ind w:left="720"/>
        <w:rPr>
          <w:rFonts w:ascii="Times New Roman" w:hAnsi="Times New Roman"/>
          <w:sz w:val="24"/>
          <w:szCs w:val="24"/>
        </w:rPr>
      </w:pPr>
    </w:p>
    <w:p w14:paraId="31FF9397" w14:textId="77777777" w:rsidR="008E2491" w:rsidRDefault="008E2491" w:rsidP="008E2491">
      <w:pPr>
        <w:spacing w:after="100" w:line="240" w:lineRule="auto"/>
        <w:ind w:left="720" w:firstLine="720"/>
        <w:rPr>
          <w:rFonts w:ascii="Times New Roman" w:hAnsi="Times New Roman"/>
          <w:sz w:val="24"/>
          <w:szCs w:val="24"/>
        </w:rPr>
      </w:pPr>
      <w:r>
        <w:rPr>
          <w:rFonts w:ascii="Times New Roman" w:hAnsi="Times New Roman"/>
          <w:sz w:val="24"/>
          <w:szCs w:val="24"/>
        </w:rPr>
        <w:t xml:space="preserve">Minnesota: </w:t>
      </w:r>
      <w:hyperlink r:id="rId469" w:history="1">
        <w:r w:rsidRPr="00220336">
          <w:rPr>
            <w:rStyle w:val="Hyperlink"/>
            <w:rFonts w:ascii="Times New Roman" w:hAnsi="Times New Roman"/>
            <w:sz w:val="24"/>
            <w:szCs w:val="24"/>
          </w:rPr>
          <w:t>https://www.revisor.mn.gov/statutes/cite/604.06</w:t>
        </w:r>
      </w:hyperlink>
      <w:r>
        <w:rPr>
          <w:rFonts w:ascii="Times New Roman" w:hAnsi="Times New Roman"/>
          <w:sz w:val="24"/>
          <w:szCs w:val="24"/>
        </w:rPr>
        <w:t xml:space="preserve"> </w:t>
      </w:r>
    </w:p>
    <w:p w14:paraId="34CDCFDD" w14:textId="77777777" w:rsidR="008E2491" w:rsidRPr="0032228A" w:rsidRDefault="008E2491" w:rsidP="008E2491">
      <w:pPr>
        <w:spacing w:after="100" w:line="240" w:lineRule="auto"/>
        <w:ind w:left="1440"/>
        <w:rPr>
          <w:rFonts w:ascii="Times New Roman" w:eastAsia="Times New Roman" w:hAnsi="Times New Roman"/>
          <w:sz w:val="24"/>
          <w:szCs w:val="24"/>
        </w:rPr>
      </w:pPr>
      <w:r>
        <w:rPr>
          <w:rFonts w:ascii="Times New Roman" w:hAnsi="Times New Roman"/>
          <w:sz w:val="24"/>
          <w:szCs w:val="24"/>
        </w:rPr>
        <w:t>New Jersey.  “</w:t>
      </w:r>
      <w:r w:rsidRPr="0032228A">
        <w:rPr>
          <w:rFonts w:ascii="Times New Roman" w:hAnsi="Times New Roman"/>
          <w:sz w:val="24"/>
          <w:szCs w:val="24"/>
        </w:rPr>
        <w:t>In a decision issued on March 13, 2007, the Supreme Court of New Jersey ruled that the common law doctrine prohibiting first responders from recovering damages from a property owner for a personal injury sustained while confronting an emergency on the owner’s premises, is no longer in effect.</w:t>
      </w:r>
      <w:r>
        <w:rPr>
          <w:rFonts w:ascii="Times New Roman" w:hAnsi="Times New Roman"/>
          <w:sz w:val="24"/>
          <w:szCs w:val="24"/>
        </w:rPr>
        <w:t xml:space="preserve">” </w:t>
      </w:r>
      <w:hyperlink r:id="rId470" w:history="1">
        <w:r w:rsidRPr="00220336">
          <w:rPr>
            <w:rStyle w:val="Hyperlink"/>
            <w:rFonts w:ascii="Times New Roman" w:hAnsi="Times New Roman"/>
            <w:sz w:val="24"/>
            <w:szCs w:val="24"/>
          </w:rPr>
          <w:t>https://www.pralaw.com/articles/the-supreme-court-of-new-jersey-rules-that-the-firefighters-rule-has-been-abolished</w:t>
        </w:r>
      </w:hyperlink>
      <w:r>
        <w:rPr>
          <w:rFonts w:ascii="Times New Roman" w:hAnsi="Times New Roman"/>
          <w:sz w:val="24"/>
          <w:szCs w:val="24"/>
        </w:rPr>
        <w:t xml:space="preserve"> </w:t>
      </w:r>
    </w:p>
    <w:p w14:paraId="56AC1A1D" w14:textId="77777777" w:rsidR="008E2491" w:rsidRDefault="008E2491" w:rsidP="008E249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Ohio has not abolished the Fireman’s Rule.</w:t>
      </w:r>
    </w:p>
    <w:p w14:paraId="2372B9A8" w14:textId="77777777" w:rsidR="008E2491" w:rsidRDefault="008E2491" w:rsidP="008E2491">
      <w:pPr>
        <w:pStyle w:val="NormalWeb"/>
        <w:ind w:left="720"/>
      </w:pPr>
      <w:r>
        <w:t>“</w:t>
      </w:r>
      <w:r w:rsidRPr="00BC1644">
        <w:t xml:space="preserve">In a victory for the rights of police officers and firefighters throughout the State of Ohio, on March 25, 2009, an unanimous Ohio Supreme Court refused to extend Ohio’s Fireman’s Rule to allow independent contractors to escape liability where an emergency responder (police officer, firefighter, etc.) is injured in the course of their employment as a result of a defective condition created by that contractor. In announcing its decision in the case of </w:t>
      </w:r>
      <w:proofErr w:type="spellStart"/>
      <w:r w:rsidRPr="00BC1644">
        <w:rPr>
          <w:i/>
          <w:iCs/>
        </w:rPr>
        <w:t>Torchik</w:t>
      </w:r>
      <w:proofErr w:type="spellEnd"/>
      <w:r w:rsidRPr="00BC1644">
        <w:rPr>
          <w:i/>
          <w:iCs/>
        </w:rPr>
        <w:t xml:space="preserve"> v. Boyce</w:t>
      </w:r>
      <w:r w:rsidRPr="00BC1644">
        <w:t xml:space="preserve">, the Court wrote that it </w:t>
      </w:r>
      <w:r>
        <w:t>‘</w:t>
      </w:r>
      <w:r w:rsidRPr="00BC1644">
        <w:t>ruled today that an independent contractor whose negligent work is alleged to have caused injury to a public safety officer is not covered by a common law ‘fireman’s rule’ that immunizes property owners from civil liability for injuries suffered by public safety officers who enter their property while on duty.</w:t>
      </w:r>
      <w:r>
        <w:t>’”</w:t>
      </w:r>
      <w:r w:rsidRPr="00F01FC6">
        <w:t xml:space="preserve"> </w:t>
      </w:r>
      <w:hyperlink r:id="rId471" w:history="1">
        <w:r w:rsidRPr="00220336">
          <w:rPr>
            <w:rStyle w:val="Hyperlink"/>
          </w:rPr>
          <w:t>https://livornoandarnett.com/ohios-firemans-rule/</w:t>
        </w:r>
      </w:hyperlink>
    </w:p>
    <w:p w14:paraId="554AC590" w14:textId="77777777" w:rsidR="008E2491" w:rsidRDefault="008E2491" w:rsidP="00C9473D">
      <w:pPr>
        <w:spacing w:before="100" w:beforeAutospacing="1" w:after="100" w:afterAutospacing="1" w:line="240" w:lineRule="auto"/>
        <w:ind w:left="720"/>
        <w:rPr>
          <w:rFonts w:ascii="Times New Roman" w:eastAsia="Times New Roman" w:hAnsi="Times New Roman"/>
          <w:sz w:val="24"/>
          <w:szCs w:val="24"/>
        </w:rPr>
      </w:pPr>
    </w:p>
    <w:p w14:paraId="6209AD80" w14:textId="77777777" w:rsidR="007276B8" w:rsidRDefault="007276B8" w:rsidP="00286F24">
      <w:pPr>
        <w:rPr>
          <w:rFonts w:ascii="Arial Black" w:hAnsi="Arial Black"/>
          <w:sz w:val="24"/>
          <w:szCs w:val="24"/>
        </w:rPr>
      </w:pPr>
    </w:p>
    <w:p w14:paraId="3CC35B26" w14:textId="77777777" w:rsidR="007276B8" w:rsidRDefault="007276B8" w:rsidP="00286F24">
      <w:pPr>
        <w:rPr>
          <w:rFonts w:ascii="Arial Black" w:hAnsi="Arial Black"/>
          <w:sz w:val="24"/>
          <w:szCs w:val="24"/>
        </w:rPr>
      </w:pPr>
    </w:p>
    <w:p w14:paraId="0DF52923" w14:textId="205F2041" w:rsidR="008C7F06" w:rsidRDefault="008C7F06" w:rsidP="00286F24">
      <w:pPr>
        <w:rPr>
          <w:rFonts w:ascii="Arial Black" w:hAnsi="Arial Black"/>
          <w:sz w:val="24"/>
          <w:szCs w:val="24"/>
        </w:rPr>
      </w:pPr>
      <w:r>
        <w:rPr>
          <w:rFonts w:ascii="Arial Black" w:hAnsi="Arial Black"/>
          <w:sz w:val="24"/>
          <w:szCs w:val="24"/>
        </w:rPr>
        <w:t>2-6</w:t>
      </w:r>
      <w:r w:rsidR="007C073D">
        <w:rPr>
          <w:rFonts w:ascii="Arial Black" w:hAnsi="Arial Black"/>
          <w:sz w:val="24"/>
          <w:szCs w:val="24"/>
        </w:rPr>
        <w:t>7</w:t>
      </w:r>
    </w:p>
    <w:p w14:paraId="667B89CE" w14:textId="77777777" w:rsidR="008C7F06" w:rsidRPr="005E58F4" w:rsidRDefault="008C7F06" w:rsidP="008C7F06">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IN: SCUFFLE WITH MENTAL AT FIRE STATION – TRIED ESCAPE PD CRUISER – HABITUAL OFFENDER – 26 YRS </w:t>
      </w:r>
    </w:p>
    <w:p w14:paraId="2C62A2D7" w14:textId="77777777" w:rsidR="008C7F06" w:rsidRDefault="008C7F06" w:rsidP="008C7F06">
      <w:pPr>
        <w:pStyle w:val="NormalWeb"/>
        <w:spacing w:before="0" w:beforeAutospacing="0"/>
        <w:rPr>
          <w:color w:val="454545"/>
          <w:shd w:val="clear" w:color="auto" w:fill="FFFFFF"/>
        </w:rPr>
      </w:pPr>
      <w:r>
        <w:rPr>
          <w:color w:val="454545"/>
          <w:shd w:val="clear" w:color="auto" w:fill="FFFFFF"/>
        </w:rPr>
        <w:t xml:space="preserve">On April 29, 2024, in </w:t>
      </w:r>
      <w:r w:rsidRPr="001F6456">
        <w:rPr>
          <w:color w:val="454545"/>
          <w:u w:val="single"/>
          <w:shd w:val="clear" w:color="auto" w:fill="FFFFFF"/>
        </w:rPr>
        <w:t>Warren A. Beals v. State of Indiana</w:t>
      </w:r>
      <w:r>
        <w:rPr>
          <w:color w:val="454545"/>
          <w:shd w:val="clear" w:color="auto" w:fill="FFFFFF"/>
        </w:rPr>
        <w:t xml:space="preserve">, the Court of Appeals of Indiana held (3 to 0) that the defendant was properly convicted by a jury and there is no basis for resentencing. On April 27, 2021, members of Marengo Volunteer FD heard yelling outside.  When defendant poked finger at Fire Chief (and reserve PD) </w:t>
      </w:r>
      <w:proofErr w:type="gramStart"/>
      <w:r>
        <w:rPr>
          <w:color w:val="454545"/>
          <w:shd w:val="clear" w:color="auto" w:fill="FFFFFF"/>
        </w:rPr>
        <w:t>tried</w:t>
      </w:r>
      <w:proofErr w:type="gramEnd"/>
      <w:r>
        <w:rPr>
          <w:color w:val="454545"/>
          <w:shd w:val="clear" w:color="auto" w:fill="FFFFFF"/>
        </w:rPr>
        <w:t xml:space="preserve"> to grab his service weapon, firefighters pushed him to floor.  When PD was transporting him to jail in front seat of patrol car without a cage, he tried to escape. </w:t>
      </w:r>
      <w:r>
        <w:t xml:space="preserve">The trial court sentenced Beals to six years for the Level 4 felony, attempted escape from PD causing bodily injury, plus a habitual offender sentencing enhancement of twenty years. </w:t>
      </w:r>
      <w:hyperlink r:id="rId472" w:history="1">
        <w:r w:rsidRPr="00A2355F">
          <w:rPr>
            <w:rStyle w:val="Hyperlink"/>
            <w:shd w:val="clear" w:color="auto" w:fill="FFFFFF"/>
          </w:rPr>
          <w:t>https://caselaw.findlaw.com/court/in-court-of-appeals/116108297.html</w:t>
        </w:r>
      </w:hyperlink>
      <w:r>
        <w:rPr>
          <w:color w:val="454545"/>
          <w:shd w:val="clear" w:color="auto" w:fill="FFFFFF"/>
        </w:rPr>
        <w:t xml:space="preserve"> </w:t>
      </w:r>
    </w:p>
    <w:p w14:paraId="5F0DE75F" w14:textId="77777777" w:rsidR="008C7F06" w:rsidRDefault="008C7F06" w:rsidP="008C7F06">
      <w:pPr>
        <w:pStyle w:val="NormalWeb"/>
        <w:spacing w:before="0" w:beforeAutospacing="0"/>
        <w:rPr>
          <w:color w:val="454545"/>
          <w:shd w:val="clear" w:color="auto" w:fill="FFFFFF"/>
        </w:rPr>
      </w:pPr>
      <w:r>
        <w:rPr>
          <w:color w:val="454545"/>
          <w:shd w:val="clear" w:color="auto" w:fill="FFFFFF"/>
        </w:rPr>
        <w:t>THE COURT HELD:</w:t>
      </w:r>
    </w:p>
    <w:p w14:paraId="33721C7A" w14:textId="77777777" w:rsidR="008C7F06" w:rsidRDefault="008C7F06" w:rsidP="008C7F06">
      <w:pPr>
        <w:pStyle w:val="NormalWeb"/>
        <w:spacing w:before="0" w:beforeAutospacing="0"/>
        <w:ind w:left="720"/>
      </w:pPr>
      <w:r>
        <w:t>“Police officers arrested Warren Beals after a scuffle at a fire station. On the way to jail, Beals opened the door to the police vehicle and attempted to get out, but the transporting officer restrained Beals until he could stop the car. A jury convicted Beals of Level 4 felony attempted escape causing bodily injury and Class A misdemeanor resisting law enforcement. The jury further determined Beals was a habitual offender.</w:t>
      </w:r>
    </w:p>
    <w:p w14:paraId="3BBB3C8D" w14:textId="77777777" w:rsidR="008C7F06" w:rsidRDefault="008C7F06" w:rsidP="008C7F06">
      <w:pPr>
        <w:pStyle w:val="NormalWeb"/>
        <w:spacing w:before="0" w:beforeAutospacing="0"/>
        <w:ind w:left="720"/>
      </w:pPr>
      <w:r>
        <w:t>***</w:t>
      </w:r>
      <w:r>
        <w:rPr>
          <w:color w:val="454545"/>
          <w:shd w:val="clear" w:color="auto" w:fill="FFFFFF"/>
        </w:rPr>
        <w:br/>
      </w:r>
      <w:r>
        <w:t xml:space="preserve">Beals </w:t>
      </w:r>
      <w:proofErr w:type="gramStart"/>
      <w:r>
        <w:t>was</w:t>
      </w:r>
      <w:proofErr w:type="gramEnd"/>
      <w:r>
        <w:t xml:space="preserve"> thirty-two years old at sentencing. He has three prior felony convictions: Class C battery resulting in serious bodily injury; Class D battery resulting in bodily injury to a law enforcement officer; and Class D intimidation. He has four prior misdemeanor convictions: Class A cruelty to an animal; Class B strangulation; Class B reckless driving; and Class B public intoxication. Beals </w:t>
      </w:r>
      <w:proofErr w:type="gramStart"/>
      <w:r>
        <w:t>has</w:t>
      </w:r>
      <w:proofErr w:type="gramEnd"/>
      <w:r>
        <w:t xml:space="preserve"> been placed on probation six times and </w:t>
      </w:r>
      <w:proofErr w:type="gramStart"/>
      <w:r>
        <w:t>has</w:t>
      </w:r>
      <w:proofErr w:type="gramEnd"/>
      <w:r>
        <w:t xml:space="preserve"> violated the terms of probation three times. His lengthy criminal history, including repeated acts of violence, speaks poorly of his character. And Beals' history of probation violations weighs against a lengthy term of probation here.</w:t>
      </w:r>
    </w:p>
    <w:p w14:paraId="190ECAF6" w14:textId="77777777" w:rsidR="008C7F06" w:rsidRDefault="008C7F06" w:rsidP="008C7F06">
      <w:pPr>
        <w:pStyle w:val="NormalWeb"/>
        <w:spacing w:before="0" w:beforeAutospacing="0"/>
        <w:ind w:left="720"/>
      </w:pPr>
      <w:r>
        <w:t>***</w:t>
      </w:r>
    </w:p>
    <w:p w14:paraId="678CFBC2" w14:textId="77777777" w:rsidR="008C7F06" w:rsidRDefault="008C7F06" w:rsidP="008C7F06">
      <w:pPr>
        <w:pStyle w:val="NormalWeb"/>
        <w:spacing w:before="0" w:beforeAutospacing="0"/>
        <w:ind w:left="720"/>
      </w:pPr>
      <w:r>
        <w:t>Based on the foregoing, we do not conclude that Beals was unable to control his behavior when he tried to get out of the vehicle and then tried to walk away. Considering Beals' history of mental illness in context with his extensive violent criminal record and the nature of the offenses, he has failed to persuade us that his sentence is an outlier needing revision.”</w:t>
      </w:r>
    </w:p>
    <w:p w14:paraId="7B47443A" w14:textId="77777777" w:rsidR="008C7F06" w:rsidRPr="001D73FB" w:rsidRDefault="008C7F06" w:rsidP="008C7F06">
      <w:pPr>
        <w:pStyle w:val="NormalWeb"/>
        <w:rPr>
          <w:b/>
          <w:bCs/>
        </w:rPr>
      </w:pPr>
      <w:r w:rsidRPr="001D73FB">
        <w:rPr>
          <w:b/>
          <w:bCs/>
        </w:rPr>
        <w:t>Legal Lesson Learned:</w:t>
      </w:r>
      <w:r>
        <w:rPr>
          <w:b/>
          <w:bCs/>
        </w:rPr>
        <w:t xml:space="preserve"> Habitual offender laws can substantially increase a defendant’s sentence. </w:t>
      </w:r>
    </w:p>
    <w:p w14:paraId="78116891" w14:textId="77777777" w:rsidR="008C7F06" w:rsidRDefault="008C7F06" w:rsidP="008C7F06">
      <w:pPr>
        <w:rPr>
          <w:rFonts w:ascii="Arial Black" w:hAnsi="Arial Black"/>
          <w:sz w:val="28"/>
          <w:szCs w:val="28"/>
        </w:rPr>
      </w:pPr>
    </w:p>
    <w:p w14:paraId="160C072A" w14:textId="77777777" w:rsidR="008C7F06" w:rsidRDefault="008C7F06" w:rsidP="00286F24">
      <w:pPr>
        <w:rPr>
          <w:rFonts w:ascii="Arial Black" w:hAnsi="Arial Black"/>
          <w:sz w:val="24"/>
          <w:szCs w:val="24"/>
        </w:rPr>
      </w:pPr>
    </w:p>
    <w:p w14:paraId="256CCE4E" w14:textId="77777777" w:rsidR="008C7F06" w:rsidRDefault="008C7F06" w:rsidP="00286F24">
      <w:pPr>
        <w:rPr>
          <w:rFonts w:ascii="Arial Black" w:hAnsi="Arial Black"/>
          <w:sz w:val="24"/>
          <w:szCs w:val="24"/>
        </w:rPr>
      </w:pPr>
    </w:p>
    <w:p w14:paraId="0E15BC69" w14:textId="21B7B23E" w:rsidR="00286F24" w:rsidRDefault="00286F24" w:rsidP="00286F24">
      <w:pPr>
        <w:rPr>
          <w:rFonts w:ascii="Arial Black" w:hAnsi="Arial Black"/>
          <w:sz w:val="24"/>
          <w:szCs w:val="24"/>
        </w:rPr>
      </w:pPr>
      <w:r>
        <w:rPr>
          <w:rFonts w:ascii="Arial Black" w:hAnsi="Arial Black"/>
          <w:sz w:val="24"/>
          <w:szCs w:val="24"/>
        </w:rPr>
        <w:t>2-6</w:t>
      </w:r>
      <w:r w:rsidR="007C073D">
        <w:rPr>
          <w:rFonts w:ascii="Arial Black" w:hAnsi="Arial Black"/>
          <w:sz w:val="24"/>
          <w:szCs w:val="24"/>
        </w:rPr>
        <w:t>6</w:t>
      </w:r>
    </w:p>
    <w:p w14:paraId="179C4A70" w14:textId="7BD3FCC6" w:rsidR="00286F24" w:rsidRPr="00A85425" w:rsidRDefault="00286F24" w:rsidP="00286F24">
      <w:pPr>
        <w:pStyle w:val="NoSpacing"/>
        <w:rPr>
          <w:rFonts w:ascii="Arial Black" w:hAnsi="Arial Black"/>
          <w:sz w:val="28"/>
          <w:szCs w:val="28"/>
        </w:rPr>
      </w:pPr>
      <w:r>
        <w:rPr>
          <w:rFonts w:ascii="Arial Black" w:hAnsi="Arial Black"/>
          <w:sz w:val="28"/>
          <w:szCs w:val="28"/>
        </w:rPr>
        <w:t>PA: PSYCH SEVERLY INJURED EMT - TRANSPORT FROM HOSP TO PSCH UNIT – NO PROOF HOSP MALPRACTICE</w:t>
      </w:r>
    </w:p>
    <w:p w14:paraId="61E07A56" w14:textId="16B89E9F" w:rsidR="00286F24" w:rsidRDefault="00286F24" w:rsidP="00286F24">
      <w:pPr>
        <w:pStyle w:val="NormalWeb"/>
      </w:pPr>
      <w:r>
        <w:t xml:space="preserve">On March 20, 2024, in </w:t>
      </w:r>
      <w:r w:rsidRPr="004B6EC2">
        <w:rPr>
          <w:u w:val="single"/>
        </w:rPr>
        <w:t>Cori Larsen v. Wayne Memorial Hospital and Paige Castelino, et al</w:t>
      </w:r>
      <w:r>
        <w:t xml:space="preserve">., the Superior Court of Pennsylvania, held (3 to 0) that the trial court judge properly granted defense motion for summary judgment; the EMT was severely injured by the minor patient during transport: </w:t>
      </w:r>
      <w:r w:rsidRPr="00486655">
        <w:t>detached retina, fractured teeth, concussion, and contusions of the knee and ribs</w:t>
      </w:r>
      <w:r>
        <w:t xml:space="preserve">, but the EMT failed to prove a breach of standard of care when hospital released the patient to a </w:t>
      </w:r>
      <w:r w:rsidRPr="00486655">
        <w:t>psychiatric facility</w:t>
      </w:r>
      <w:r>
        <w:t>. The EMT’s</w:t>
      </w:r>
      <w:r w:rsidRPr="00486655">
        <w:t xml:space="preserve"> </w:t>
      </w:r>
      <w:r>
        <w:t>expert witness affidavit was from an ER doctor, not an Internal Medicine / mental health physician.</w:t>
      </w:r>
    </w:p>
    <w:p w14:paraId="4B60F0E8" w14:textId="7777777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BC2124D" w14:textId="77777777" w:rsidR="00286F24" w:rsidRDefault="00286F24" w:rsidP="00286F24">
      <w:pPr>
        <w:pStyle w:val="NormalWeb"/>
        <w:ind w:left="720"/>
      </w:pPr>
      <w:r>
        <w:t xml:space="preserve">“On appeal, Larsen argues the trial court erred in granting Appellees' motion for summary judgment because (1) Appellees owed Larsen a duty, notwithstanding the fact that Larsen was not Appellees' patient, and (2) Larsen's liability expert was qualified to opine on breaches of the standard of care by Appellees.  Due to our disposition on the second issue, we need not reach the first issue - as even if we assume, arguendo, that Appellees owed Larsen a duty, we agree with the trial court that Larsen failed to meet her burden of producing a qualified expert to opine on a breach of the standard of care by Appellees. </w:t>
      </w:r>
    </w:p>
    <w:p w14:paraId="5F4504BD" w14:textId="77777777" w:rsidR="00286F24" w:rsidRPr="00A85425" w:rsidRDefault="00286F24" w:rsidP="00286F24">
      <w:pPr>
        <w:spacing w:before="100" w:beforeAutospacing="1" w:after="100" w:afterAutospacing="1" w:line="240" w:lineRule="auto"/>
        <w:rPr>
          <w:rFonts w:ascii="Times New Roman" w:eastAsia="Times New Roman" w:hAnsi="Times New Roman"/>
          <w:sz w:val="24"/>
          <w:szCs w:val="24"/>
        </w:rPr>
      </w:pPr>
      <w:r w:rsidRPr="00A85425">
        <w:rPr>
          <w:rFonts w:ascii="Times New Roman" w:eastAsia="Times New Roman" w:hAnsi="Times New Roman"/>
          <w:sz w:val="24"/>
          <w:szCs w:val="24"/>
        </w:rPr>
        <w:t xml:space="preserve">Dr. Kenneth Robinson authored a report in which he concluded "that Dr. Castelino and [WMH] failed to meet the standard of care, and that these failures caused the significant injuries sustained by [] Larsen." Brief in Support of Motion for Summary Judgment, 4/3/23, at Exhibit P. </w:t>
      </w:r>
    </w:p>
    <w:p w14:paraId="75D3AEBC" w14:textId="77777777" w:rsidR="00286F24" w:rsidRPr="00A85425" w:rsidRDefault="00286F24" w:rsidP="00286F24">
      <w:pPr>
        <w:spacing w:before="100" w:beforeAutospacing="1" w:after="100" w:afterAutospacing="1" w:line="240" w:lineRule="auto"/>
        <w:ind w:left="540"/>
        <w:rPr>
          <w:rFonts w:ascii="Times New Roman" w:eastAsia="Times New Roman" w:hAnsi="Times New Roman"/>
          <w:sz w:val="24"/>
          <w:szCs w:val="24"/>
        </w:rPr>
      </w:pPr>
      <w:r>
        <w:rPr>
          <w:rFonts w:ascii="Times New Roman" w:eastAsia="Times New Roman" w:hAnsi="Times New Roman"/>
          <w:sz w:val="24"/>
          <w:szCs w:val="24"/>
        </w:rPr>
        <w:t>“</w:t>
      </w:r>
      <w:r w:rsidRPr="00A85425">
        <w:rPr>
          <w:rFonts w:ascii="Times New Roman" w:eastAsia="Times New Roman" w:hAnsi="Times New Roman"/>
          <w:sz w:val="24"/>
          <w:szCs w:val="24"/>
        </w:rPr>
        <w:t xml:space="preserve">In its opinion, the trial court concluded Dr. Robinson is not qualified to render an opinion regarding the standard of care of Appellees, explaining as follows: </w:t>
      </w:r>
    </w:p>
    <w:p w14:paraId="54E34799" w14:textId="77777777" w:rsidR="00286F24" w:rsidRPr="00A85425" w:rsidRDefault="00286F24" w:rsidP="00286F24">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A85425">
        <w:rPr>
          <w:rFonts w:ascii="Times New Roman" w:eastAsia="Times New Roman" w:hAnsi="Times New Roman"/>
          <w:sz w:val="24"/>
          <w:szCs w:val="24"/>
        </w:rPr>
        <w:t xml:space="preserve">Dr. Robinson is board certified in emergency medicine while Dr. Castelino is board certified in internal medicine. Dr. Castelino, in her role as a specialist in internal medicine, treated T.D. and monitored her mental health over the course of T.D.'s multi-day commitment at WMH. Dr. Castelino is a hospitalist who coordinates the care of a patient during his or her stay. This is much different than the role of Dr. Robinson, chief of a hospital's department of emergency medicine. Further, Dr. Robinson states generally in the conclusion of his report that he has years of experience treating </w:t>
      </w:r>
      <w:r>
        <w:rPr>
          <w:rFonts w:ascii="Times New Roman" w:eastAsia="Times New Roman" w:hAnsi="Times New Roman"/>
          <w:sz w:val="24"/>
          <w:szCs w:val="24"/>
        </w:rPr>
        <w:t>‘</w:t>
      </w:r>
      <w:r w:rsidRPr="00A85425">
        <w:rPr>
          <w:rFonts w:ascii="Times New Roman" w:eastAsia="Times New Roman" w:hAnsi="Times New Roman"/>
          <w:sz w:val="24"/>
          <w:szCs w:val="24"/>
        </w:rPr>
        <w:t>a wide variety of patients</w:t>
      </w:r>
      <w:r>
        <w:rPr>
          <w:rFonts w:ascii="Times New Roman" w:eastAsia="Times New Roman" w:hAnsi="Times New Roman"/>
          <w:sz w:val="24"/>
          <w:szCs w:val="24"/>
        </w:rPr>
        <w:t>’</w:t>
      </w:r>
      <w:r w:rsidRPr="00A85425">
        <w:rPr>
          <w:rFonts w:ascii="Times New Roman" w:eastAsia="Times New Roman" w:hAnsi="Times New Roman"/>
          <w:sz w:val="24"/>
          <w:szCs w:val="24"/>
        </w:rPr>
        <w:t xml:space="preserve"> including </w:t>
      </w:r>
      <w:r>
        <w:rPr>
          <w:rFonts w:ascii="Times New Roman" w:eastAsia="Times New Roman" w:hAnsi="Times New Roman"/>
          <w:sz w:val="24"/>
          <w:szCs w:val="24"/>
        </w:rPr>
        <w:t>‘</w:t>
      </w:r>
      <w:r w:rsidRPr="00A85425">
        <w:rPr>
          <w:rFonts w:ascii="Times New Roman" w:eastAsia="Times New Roman" w:hAnsi="Times New Roman"/>
          <w:sz w:val="24"/>
          <w:szCs w:val="24"/>
        </w:rPr>
        <w:t>Behavioral Health patients.</w:t>
      </w:r>
      <w:r>
        <w:rPr>
          <w:rFonts w:ascii="Times New Roman" w:eastAsia="Times New Roman" w:hAnsi="Times New Roman"/>
          <w:sz w:val="24"/>
          <w:szCs w:val="24"/>
        </w:rPr>
        <w:t>’</w:t>
      </w:r>
      <w:r w:rsidRPr="00A85425">
        <w:rPr>
          <w:rFonts w:ascii="Times New Roman" w:eastAsia="Times New Roman" w:hAnsi="Times New Roman"/>
          <w:sz w:val="24"/>
          <w:szCs w:val="24"/>
        </w:rPr>
        <w:t xml:space="preserve"> However, his curriculum vitae, while replete with experience, certifications and acclaim in the areas of emergency medical services and trauma, is silent with regard to internal medicine and experience coordinating care of mental health patients</w:t>
      </w:r>
      <w:r>
        <w:rPr>
          <w:rFonts w:ascii="Times New Roman" w:eastAsia="Times New Roman" w:hAnsi="Times New Roman"/>
          <w:sz w:val="24"/>
          <w:szCs w:val="24"/>
        </w:rPr>
        <w:t xml:space="preserve">.” </w:t>
      </w:r>
      <w:hyperlink r:id="rId473" w:history="1">
        <w:r w:rsidRPr="0090046C">
          <w:rPr>
            <w:rStyle w:val="Hyperlink"/>
            <w:rFonts w:ascii="Times New Roman" w:eastAsia="Times New Roman" w:hAnsi="Times New Roman"/>
            <w:sz w:val="24"/>
            <w:szCs w:val="24"/>
          </w:rPr>
          <w:t>https://public.fastcase.com/H1P9uiW3J20SFp%2BGCG%2BxLbl0r%2FVDwzY9bFFJYqsh2zfJNVHn0JMcdFbkvIZSEaI0?utm_medium=email&amp;_hsmi=226712652&amp;_hsenc=p2ANqtz-8YA_f1AfCb15SVfFtIs0GBJg2UPhrOC0M_f0Fb9rbVagQyKLN71UFoiLhG6tJj5xQri87F989l3qtQXeXvmTCDhcNwWw&amp;utm_content=226712652&amp;utm_source=hs_email</w:t>
        </w:r>
      </w:hyperlink>
      <w:r>
        <w:rPr>
          <w:rFonts w:ascii="Times New Roman" w:eastAsia="Times New Roman" w:hAnsi="Times New Roman"/>
          <w:sz w:val="24"/>
          <w:szCs w:val="24"/>
        </w:rPr>
        <w:t xml:space="preserve"> </w:t>
      </w:r>
    </w:p>
    <w:p w14:paraId="5BCC5217" w14:textId="77777777" w:rsidR="00286F24" w:rsidRDefault="00286F24" w:rsidP="00286F24">
      <w:pPr>
        <w:pStyle w:val="NormalWeb"/>
      </w:pPr>
      <w:r w:rsidRPr="00E9331E">
        <w:rPr>
          <w:b/>
          <w:bCs/>
        </w:rPr>
        <w:t xml:space="preserve">Legal Lesson Learned:  The </w:t>
      </w:r>
      <w:r>
        <w:rPr>
          <w:b/>
          <w:bCs/>
        </w:rPr>
        <w:t xml:space="preserve">EMT </w:t>
      </w:r>
      <w:r w:rsidRPr="00E9331E">
        <w:rPr>
          <w:b/>
          <w:bCs/>
        </w:rPr>
        <w:t>failed to meet her burden of producing a qualified expert to opine on a breach of the standard of care</w:t>
      </w:r>
      <w:r>
        <w:rPr>
          <w:b/>
          <w:bCs/>
        </w:rPr>
        <w:t xml:space="preserve"> by hospital MD</w:t>
      </w:r>
      <w:r>
        <w:t xml:space="preserve">. </w:t>
      </w:r>
    </w:p>
    <w:p w14:paraId="48762F4C" w14:textId="77777777" w:rsidR="00286F24" w:rsidRDefault="00286F24" w:rsidP="00286F24">
      <w:pPr>
        <w:pStyle w:val="NormalWeb"/>
        <w:spacing w:before="0" w:beforeAutospacing="0"/>
      </w:pPr>
    </w:p>
    <w:p w14:paraId="79014282" w14:textId="77777777" w:rsidR="00286F24" w:rsidRDefault="00286F24" w:rsidP="00286F24">
      <w:pPr>
        <w:pStyle w:val="NormalWeb"/>
        <w:spacing w:before="0" w:beforeAutospacing="0"/>
      </w:pPr>
    </w:p>
    <w:p w14:paraId="40617581" w14:textId="53CCD726" w:rsidR="00286F24" w:rsidRPr="00760B23" w:rsidRDefault="00286F24" w:rsidP="00286F24">
      <w:pPr>
        <w:rPr>
          <w:rFonts w:ascii="Times New Roman" w:hAnsi="Times New Roman"/>
          <w:b/>
          <w:bCs/>
          <w:sz w:val="24"/>
          <w:szCs w:val="24"/>
        </w:rPr>
      </w:pPr>
      <w:r>
        <w:rPr>
          <w:rFonts w:ascii="Arial Black" w:hAnsi="Arial Black"/>
          <w:sz w:val="24"/>
          <w:szCs w:val="24"/>
        </w:rPr>
        <w:t>2-6</w:t>
      </w:r>
      <w:r w:rsidR="007C073D">
        <w:rPr>
          <w:rFonts w:ascii="Arial Black" w:hAnsi="Arial Black"/>
          <w:sz w:val="24"/>
          <w:szCs w:val="24"/>
        </w:rPr>
        <w:t>5</w:t>
      </w:r>
    </w:p>
    <w:p w14:paraId="75E5AE80" w14:textId="77777777" w:rsidR="00286F24" w:rsidRDefault="00286F24" w:rsidP="00286F24">
      <w:pPr>
        <w:pStyle w:val="NoSpacing"/>
        <w:jc w:val="center"/>
        <w:rPr>
          <w:rFonts w:ascii="Times New Roman" w:hAnsi="Times New Roman"/>
          <w:sz w:val="24"/>
          <w:szCs w:val="24"/>
          <w:shd w:val="clear" w:color="auto" w:fill="FFFFFF"/>
        </w:rPr>
      </w:pPr>
    </w:p>
    <w:p w14:paraId="218B069D" w14:textId="77777777" w:rsidR="00286F24" w:rsidRPr="005E4817" w:rsidRDefault="00286F24" w:rsidP="00286F24">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NJ: FF BACKGROUND CHECK – POOR DRIVING RECORD, FIRED FROM PD, DISORD. CONV – FF PROPERLY NOT HIRED </w:t>
      </w:r>
    </w:p>
    <w:p w14:paraId="6D898A87" w14:textId="77777777" w:rsidR="00286F24" w:rsidRDefault="00286F24" w:rsidP="00286F24">
      <w:pPr>
        <w:pStyle w:val="NoSpacing"/>
        <w:rPr>
          <w:rFonts w:ascii="Times New Roman" w:hAnsi="Times New Roman"/>
          <w:sz w:val="24"/>
          <w:szCs w:val="24"/>
        </w:rPr>
      </w:pPr>
      <w:r>
        <w:rPr>
          <w:rFonts w:ascii="Times New Roman" w:hAnsi="Times New Roman"/>
          <w:sz w:val="24"/>
          <w:szCs w:val="24"/>
        </w:rPr>
        <w:t xml:space="preserve">On March 19, 2024, </w:t>
      </w:r>
      <w:r w:rsidRPr="00AA0C7F">
        <w:rPr>
          <w:rFonts w:ascii="Times New Roman" w:hAnsi="Times New Roman"/>
          <w:sz w:val="24"/>
          <w:szCs w:val="24"/>
          <w:u w:val="single"/>
        </w:rPr>
        <w:t xml:space="preserve">In </w:t>
      </w:r>
      <w:r>
        <w:rPr>
          <w:rFonts w:ascii="Times New Roman" w:hAnsi="Times New Roman"/>
          <w:sz w:val="24"/>
          <w:szCs w:val="24"/>
          <w:u w:val="single"/>
        </w:rPr>
        <w:t>t</w:t>
      </w:r>
      <w:r w:rsidRPr="00AA0C7F">
        <w:rPr>
          <w:rFonts w:ascii="Times New Roman" w:hAnsi="Times New Roman"/>
          <w:sz w:val="24"/>
          <w:szCs w:val="24"/>
          <w:u w:val="single"/>
        </w:rPr>
        <w:t>he Matter of Albert Gonzales, Jr., Fire Fighter (M1844W), Jersey City</w:t>
      </w:r>
      <w:r>
        <w:rPr>
          <w:rFonts w:ascii="Times New Roman" w:hAnsi="Times New Roman"/>
          <w:sz w:val="24"/>
          <w:szCs w:val="24"/>
        </w:rPr>
        <w:t xml:space="preserve">, the Superior Court of New Jersey, Appellate Division, held (2 to 1) that the </w:t>
      </w:r>
      <w:r w:rsidRPr="00BA4882">
        <w:rPr>
          <w:rFonts w:ascii="Times New Roman" w:hAnsi="Times New Roman"/>
          <w:sz w:val="24"/>
          <w:szCs w:val="24"/>
        </w:rPr>
        <w:t>New Jersey Civil Service Commission</w:t>
      </w:r>
      <w:r>
        <w:rPr>
          <w:rFonts w:ascii="Times New Roman" w:hAnsi="Times New Roman"/>
          <w:sz w:val="24"/>
          <w:szCs w:val="24"/>
        </w:rPr>
        <w:t xml:space="preserve"> properly denied the applicant’s appeal.  </w:t>
      </w:r>
    </w:p>
    <w:p w14:paraId="483A3A0F" w14:textId="77777777" w:rsidR="009A27F2" w:rsidRDefault="009A27F2" w:rsidP="00286F24">
      <w:pPr>
        <w:pStyle w:val="NoSpacing"/>
        <w:rPr>
          <w:rFonts w:ascii="Times New Roman" w:hAnsi="Times New Roman"/>
          <w:sz w:val="24"/>
          <w:szCs w:val="24"/>
        </w:rPr>
      </w:pPr>
    </w:p>
    <w:p w14:paraId="58B6A9CF" w14:textId="77777777" w:rsidR="009A27F2" w:rsidRPr="004C0299" w:rsidRDefault="009A27F2" w:rsidP="009A27F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5094408C" w14:textId="77777777" w:rsidR="00286F24" w:rsidRDefault="00286F24" w:rsidP="00286F24">
      <w:pPr>
        <w:pStyle w:val="NoSpacing"/>
        <w:rPr>
          <w:rFonts w:ascii="Times New Roman" w:hAnsi="Times New Roman"/>
          <w:sz w:val="24"/>
          <w:szCs w:val="24"/>
        </w:rPr>
      </w:pPr>
    </w:p>
    <w:p w14:paraId="627D1D17" w14:textId="77777777" w:rsidR="00286F24" w:rsidRDefault="00286F24" w:rsidP="00286F24">
      <w:pPr>
        <w:pStyle w:val="NoSpacing"/>
        <w:ind w:left="720"/>
        <w:rPr>
          <w:rFonts w:ascii="Times New Roman" w:hAnsi="Times New Roman"/>
          <w:sz w:val="24"/>
          <w:szCs w:val="24"/>
        </w:rPr>
      </w:pPr>
      <w:r>
        <w:rPr>
          <w:rFonts w:ascii="Times New Roman" w:hAnsi="Times New Roman"/>
          <w:sz w:val="24"/>
          <w:szCs w:val="24"/>
        </w:rPr>
        <w:t>“</w:t>
      </w:r>
      <w:r w:rsidRPr="005E4817">
        <w:rPr>
          <w:rFonts w:ascii="Times New Roman" w:hAnsi="Times New Roman"/>
          <w:sz w:val="24"/>
          <w:szCs w:val="24"/>
        </w:rPr>
        <w:t xml:space="preserve">Appellant appeals from the February 7, 2022, Final Administrative Action (Final Action) of the Civil Service Commission (CSC) denying his motion for reconsideration and upholding his removal from the Jersey City firefighter eligibility list. Appellant was removed from the eligibility list after the review of his background report revealed he was terminated as a police officer from the Jersey City Police Department (JCPD) in 2009 and from another job in 2017. In addition, the report listed arrests in 2009 and 2010. He was convicted of a disorderly </w:t>
      </w:r>
      <w:proofErr w:type="gramStart"/>
      <w:r w:rsidRPr="005E4817">
        <w:rPr>
          <w:rFonts w:ascii="Times New Roman" w:hAnsi="Times New Roman"/>
          <w:sz w:val="24"/>
          <w:szCs w:val="24"/>
        </w:rPr>
        <w:t>persons</w:t>
      </w:r>
      <w:proofErr w:type="gramEnd"/>
      <w:r w:rsidRPr="005E4817">
        <w:rPr>
          <w:rFonts w:ascii="Times New Roman" w:hAnsi="Times New Roman"/>
          <w:sz w:val="24"/>
          <w:szCs w:val="24"/>
        </w:rPr>
        <w:t xml:space="preserve"> offense in 2010 and his driving record showed a history of motor vehicle violations and accidents.</w:t>
      </w:r>
    </w:p>
    <w:p w14:paraId="74D1DA36" w14:textId="77777777" w:rsidR="00286F24" w:rsidRDefault="00286F24" w:rsidP="00286F24">
      <w:pPr>
        <w:pStyle w:val="NoSpacing"/>
        <w:ind w:left="720"/>
        <w:rPr>
          <w:rFonts w:ascii="Times New Roman" w:hAnsi="Times New Roman"/>
          <w:sz w:val="24"/>
          <w:szCs w:val="24"/>
        </w:rPr>
      </w:pPr>
    </w:p>
    <w:p w14:paraId="31AD482C" w14:textId="77777777" w:rsidR="00286F24" w:rsidRDefault="00286F24" w:rsidP="00286F24">
      <w:pPr>
        <w:pStyle w:val="NoSpacing"/>
        <w:ind w:left="720"/>
        <w:rPr>
          <w:rFonts w:ascii="Times New Roman" w:hAnsi="Times New Roman"/>
          <w:sz w:val="24"/>
          <w:szCs w:val="24"/>
        </w:rPr>
      </w:pPr>
      <w:r>
        <w:rPr>
          <w:rFonts w:ascii="Times New Roman" w:hAnsi="Times New Roman"/>
          <w:sz w:val="24"/>
          <w:szCs w:val="24"/>
        </w:rPr>
        <w:t>***</w:t>
      </w:r>
    </w:p>
    <w:p w14:paraId="5FB691E1" w14:textId="77777777" w:rsidR="00286F24" w:rsidRDefault="00286F24" w:rsidP="00286F24">
      <w:pPr>
        <w:pStyle w:val="NoSpacing"/>
        <w:ind w:left="720"/>
        <w:rPr>
          <w:rFonts w:ascii="Times New Roman" w:hAnsi="Times New Roman"/>
          <w:sz w:val="24"/>
          <w:szCs w:val="24"/>
        </w:rPr>
      </w:pPr>
    </w:p>
    <w:p w14:paraId="7A075308" w14:textId="77777777" w:rsidR="00286F24" w:rsidRDefault="00286F24" w:rsidP="00286F24">
      <w:pPr>
        <w:pStyle w:val="NoSpacing"/>
        <w:ind w:left="720"/>
      </w:pPr>
      <w:r w:rsidRPr="00240555">
        <w:rPr>
          <w:rFonts w:ascii="Times New Roman" w:hAnsi="Times New Roman"/>
          <w:sz w:val="24"/>
          <w:szCs w:val="24"/>
        </w:rPr>
        <w:t xml:space="preserve">Appellant's disciplinary adjudications and his disorderly persons conviction all involved instances of dishonesty and deceit-traits not tolerated in </w:t>
      </w:r>
      <w:proofErr w:type="gramStart"/>
      <w:r w:rsidRPr="00240555">
        <w:rPr>
          <w:rFonts w:ascii="Times New Roman" w:hAnsi="Times New Roman"/>
          <w:sz w:val="24"/>
          <w:szCs w:val="24"/>
        </w:rPr>
        <w:t>a position</w:t>
      </w:r>
      <w:proofErr w:type="gramEnd"/>
      <w:r w:rsidRPr="00240555">
        <w:rPr>
          <w:rFonts w:ascii="Times New Roman" w:hAnsi="Times New Roman"/>
          <w:sz w:val="24"/>
          <w:szCs w:val="24"/>
        </w:rPr>
        <w:t xml:space="preserve"> of public service and of a firefighter. In such a visible position, the public must have the utmost confidence and trust in a firefighter and expects the candidate to have an impeccable character. Quite simply, a firefighter candidate must show respect for the law and the rules.</w:t>
      </w:r>
      <w:r>
        <w:rPr>
          <w:rFonts w:ascii="Times New Roman" w:hAnsi="Times New Roman"/>
          <w:sz w:val="24"/>
          <w:szCs w:val="24"/>
        </w:rPr>
        <w:t xml:space="preserve">” </w:t>
      </w:r>
      <w:hyperlink r:id="rId474" w:history="1">
        <w:r w:rsidRPr="007E4CA8">
          <w:rPr>
            <w:rStyle w:val="Hyperlink"/>
          </w:rPr>
          <w:t>https://public.fastcase.com/H1P9uiW3J20SFp%2BGCG%2BxLYPdFYBU6rXmSQ%2By5I06IYNauAow%2BFD183wwpB9seHw0huG9jZnFzDNjvlfgYqLRMXl7VVMzVdIElYOfNiWEhG4%3D?utm_medium=email&amp;_hsmi=226712652&amp;_hsenc=p2ANqtz-9dIeusfdAjuYcHWZc-tZCt-VYwNMyt2XrZBQ64qnpV1yAnhv8veUFYKRs_yaW_VBF9gsQcut_JaRzapEXH-rHIPbxEPQ&amp;utm_content=226712652&amp;utm_source=hs_email</w:t>
        </w:r>
      </w:hyperlink>
      <w:r>
        <w:t xml:space="preserve"> </w:t>
      </w:r>
    </w:p>
    <w:p w14:paraId="06094223" w14:textId="77777777" w:rsidR="00286F24" w:rsidRDefault="00286F24" w:rsidP="00286F24">
      <w:pPr>
        <w:pStyle w:val="NoSpacing"/>
        <w:ind w:left="720"/>
        <w:rPr>
          <w:rFonts w:ascii="Times New Roman" w:hAnsi="Times New Roman"/>
          <w:sz w:val="24"/>
          <w:szCs w:val="24"/>
        </w:rPr>
      </w:pPr>
    </w:p>
    <w:p w14:paraId="6AF5A688" w14:textId="77777777" w:rsidR="00286F24" w:rsidRPr="002E778E" w:rsidRDefault="00286F24" w:rsidP="00286F24">
      <w:pPr>
        <w:pStyle w:val="NormalWeb"/>
        <w:rPr>
          <w:b/>
          <w:bCs/>
        </w:rPr>
      </w:pPr>
      <w:r>
        <w:rPr>
          <w:b/>
          <w:bCs/>
        </w:rPr>
        <w:t>Legal Lesson Learned: Thorough background checks are essential in hiring fire &amp; EMS.</w:t>
      </w:r>
    </w:p>
    <w:p w14:paraId="6D02AE55" w14:textId="77777777" w:rsidR="00286F24" w:rsidRDefault="00286F24" w:rsidP="00286F24">
      <w:pPr>
        <w:pStyle w:val="NormalWeb"/>
        <w:ind w:left="720"/>
      </w:pPr>
    </w:p>
    <w:p w14:paraId="548CDD85" w14:textId="1660C901" w:rsidR="005B2CD1" w:rsidRDefault="005B2CD1" w:rsidP="00853142">
      <w:pPr>
        <w:rPr>
          <w:rFonts w:ascii="Arial Black" w:hAnsi="Arial Black"/>
          <w:sz w:val="24"/>
          <w:szCs w:val="24"/>
        </w:rPr>
      </w:pPr>
      <w:r>
        <w:rPr>
          <w:rFonts w:ascii="Arial Black" w:hAnsi="Arial Black"/>
          <w:sz w:val="24"/>
          <w:szCs w:val="24"/>
        </w:rPr>
        <w:t>2-6</w:t>
      </w:r>
      <w:r w:rsidR="007C073D">
        <w:rPr>
          <w:rFonts w:ascii="Arial Black" w:hAnsi="Arial Black"/>
          <w:sz w:val="24"/>
          <w:szCs w:val="24"/>
        </w:rPr>
        <w:t>4</w:t>
      </w:r>
    </w:p>
    <w:p w14:paraId="1829B3C5" w14:textId="77777777" w:rsidR="005B2CD1" w:rsidRDefault="005B2CD1" w:rsidP="005B2CD1">
      <w:pPr>
        <w:pStyle w:val="NormalWeb"/>
        <w:rPr>
          <w:rFonts w:ascii="Arial Black" w:hAnsi="Arial Black"/>
          <w:sz w:val="28"/>
          <w:szCs w:val="28"/>
        </w:rPr>
      </w:pPr>
      <w:r>
        <w:rPr>
          <w:rFonts w:ascii="Arial Black" w:hAnsi="Arial Black"/>
          <w:sz w:val="28"/>
          <w:szCs w:val="28"/>
        </w:rPr>
        <w:t>WI:  FF INJURED KNEE CARRYING CHILD DOWN STEPS – BOTTOM RISER WAS 10-11” / MAX IS 8” - CASE PROCEED</w:t>
      </w:r>
    </w:p>
    <w:p w14:paraId="12E25B65" w14:textId="77777777" w:rsidR="005B2CD1" w:rsidRDefault="005B2CD1" w:rsidP="005B2CD1">
      <w:pPr>
        <w:pStyle w:val="NormalWeb"/>
      </w:pPr>
      <w:r>
        <w:t xml:space="preserve">On Feb. 22, 2024, in </w:t>
      </w:r>
      <w:r w:rsidRPr="00202B6D">
        <w:rPr>
          <w:u w:val="single"/>
        </w:rPr>
        <w:t>Bradley J. Herring and Kerry L. Hering, et. al. v. Rural Mutual Insurance Company and Edward Bruenig</w:t>
      </w:r>
      <w:r>
        <w:t xml:space="preserve">, the Court of Appeals of Wisconsin (District IV) held (3 to 0; unpublished opinion) that trial court mistakenly granted summary judgment to the building owner and his insurance company; the bottom step had apparently settled over time to 10-11 inches, and the Wisconsin statute barring lawsuits 7 years after a building was installed with unknown “structural defect” did not apply to steps or sidewalk settling. </w:t>
      </w:r>
    </w:p>
    <w:p w14:paraId="68312931"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6C5AEE9A" w14:textId="77777777" w:rsidR="005B2CD1" w:rsidRDefault="005B2CD1" w:rsidP="005B2CD1">
      <w:pPr>
        <w:pStyle w:val="NormalWeb"/>
        <w:ind w:left="720"/>
      </w:pPr>
      <w:r>
        <w:t xml:space="preserve">“The </w:t>
      </w:r>
      <w:proofErr w:type="spellStart"/>
      <w:r>
        <w:t>Herings</w:t>
      </w:r>
      <w:proofErr w:type="spellEnd"/>
      <w:r>
        <w:t xml:space="preserve"> sued </w:t>
      </w:r>
      <w:proofErr w:type="spellStart"/>
      <w:r>
        <w:t>Bruenig</w:t>
      </w:r>
      <w:proofErr w:type="spellEnd"/>
      <w:r>
        <w:t xml:space="preserve"> for injuries that Hering sustained while descending the front steps of a private residence owned by </w:t>
      </w:r>
      <w:proofErr w:type="spellStart"/>
      <w:r>
        <w:t>Bruenig</w:t>
      </w:r>
      <w:proofErr w:type="spellEnd"/>
      <w:r>
        <w:t xml:space="preserve">. The court dismissed the </w:t>
      </w:r>
      <w:proofErr w:type="spellStart"/>
      <w:r>
        <w:t>Herings</w:t>
      </w:r>
      <w:proofErr w:type="spellEnd"/>
      <w:r>
        <w:t>' claims because it concluded that the claims were time barred by the statute of repose, WIS. STAT. § 893.89 (2021-22).</w:t>
      </w:r>
      <w:r>
        <w:rPr>
          <w:vertAlign w:val="superscript"/>
        </w:rPr>
        <w:t>[</w:t>
      </w:r>
      <w:hyperlink r:id="rId475" w:anchor="ftn.FN2" w:history="1">
        <w:r>
          <w:rPr>
            <w:rStyle w:val="Hyperlink"/>
            <w:vertAlign w:val="superscript"/>
          </w:rPr>
          <w:t>2</w:t>
        </w:r>
      </w:hyperlink>
      <w:r>
        <w:rPr>
          <w:vertAlign w:val="superscript"/>
        </w:rPr>
        <w:t>]</w:t>
      </w:r>
      <w:r>
        <w:t xml:space="preserve"> The </w:t>
      </w:r>
      <w:proofErr w:type="spellStart"/>
      <w:r>
        <w:t>Herings</w:t>
      </w:r>
      <w:proofErr w:type="spellEnd"/>
      <w:r>
        <w:t xml:space="preserve"> argue that the court erred because </w:t>
      </w:r>
      <w:proofErr w:type="spellStart"/>
      <w:r>
        <w:t>Bruenig</w:t>
      </w:r>
      <w:proofErr w:type="spellEnd"/>
      <w:r>
        <w:t xml:space="preserve"> failed to show on summary judgment that Hering's injuries were caused by a "deficiency or defect in the design ... [or] construction of [an] improvement to real property," as required to invoke the statute of repose. </w:t>
      </w:r>
      <w:r>
        <w:rPr>
          <w:rStyle w:val="Emphasis"/>
        </w:rPr>
        <w:t>See</w:t>
      </w:r>
      <w:r>
        <w:t xml:space="preserve"> § 893.89(2). We agree. Accordingly, we reverse the circuit court's summary judgment order.</w:t>
      </w:r>
    </w:p>
    <w:p w14:paraId="77806DD2" w14:textId="77777777" w:rsidR="005B2CD1" w:rsidRDefault="005B2CD1" w:rsidP="005B2CD1">
      <w:pPr>
        <w:pStyle w:val="NormalWeb"/>
        <w:ind w:left="720"/>
      </w:pPr>
      <w:r>
        <w:t>***</w:t>
      </w:r>
    </w:p>
    <w:p w14:paraId="15021671" w14:textId="77777777" w:rsidR="005B2CD1" w:rsidRDefault="005B2CD1" w:rsidP="005B2CD1">
      <w:pPr>
        <w:pStyle w:val="NormalWeb"/>
        <w:ind w:left="720"/>
      </w:pPr>
      <w:proofErr w:type="spellStart"/>
      <w:r>
        <w:t>Bruenig</w:t>
      </w:r>
      <w:proofErr w:type="spellEnd"/>
      <w:r>
        <w:t xml:space="preserve"> moved for summary judgment, arguing that the </w:t>
      </w:r>
      <w:proofErr w:type="spellStart"/>
      <w:r>
        <w:t>Herings</w:t>
      </w:r>
      <w:proofErr w:type="spellEnd"/>
      <w:r>
        <w:t xml:space="preserve">' claims are time barred by the statute of repose, WIS. STAT. § 893.89, because they were brought more than seven years after the walkway and steps were substantially completed and because any injuries that Hering sustained would have been caused by a structural defect of the steps or walkway. The circuit court granted </w:t>
      </w:r>
      <w:proofErr w:type="spellStart"/>
      <w:r>
        <w:t>Bruenig's</w:t>
      </w:r>
      <w:proofErr w:type="spellEnd"/>
      <w:r>
        <w:t xml:space="preserve"> motion. The court did so based on three facts that it characterized as undisputed: that the walkway was constructed in 1999, that the walkway ‘existed through 2019 with no changes,’ and that ‘the condition of the height of the risers of the steps and changes to a cement stoop step[] over time would be a settling, which would go to the construction of the steps at the time.’” </w:t>
      </w:r>
      <w:hyperlink r:id="rId476" w:history="1">
        <w:r w:rsidRPr="00E15FC9">
          <w:rPr>
            <w:rStyle w:val="Hyperlink"/>
          </w:rPr>
          <w:t>https://casetext.com/case/hering-v-rural-mut-ins-co</w:t>
        </w:r>
      </w:hyperlink>
      <w:r>
        <w:t xml:space="preserve"> </w:t>
      </w:r>
    </w:p>
    <w:p w14:paraId="77AF1A55" w14:textId="77777777" w:rsidR="005B2CD1" w:rsidRDefault="005B2CD1" w:rsidP="005B2CD1">
      <w:pPr>
        <w:pStyle w:val="NormalWeb"/>
        <w:rPr>
          <w:b/>
          <w:bCs/>
        </w:rPr>
      </w:pPr>
      <w:r w:rsidRPr="003F00DC">
        <w:rPr>
          <w:b/>
          <w:bCs/>
        </w:rPr>
        <w:t>Legal Lesson Learned:</w:t>
      </w:r>
      <w:r>
        <w:rPr>
          <w:b/>
          <w:bCs/>
        </w:rPr>
        <w:t xml:space="preserve"> If the firefighter wins damages, then his City of Watertown Fire Department will be entitled to reimbursement for </w:t>
      </w:r>
      <w:proofErr w:type="gramStart"/>
      <w:r>
        <w:rPr>
          <w:b/>
          <w:bCs/>
        </w:rPr>
        <w:t>workers</w:t>
      </w:r>
      <w:proofErr w:type="gramEnd"/>
      <w:r>
        <w:rPr>
          <w:b/>
          <w:bCs/>
        </w:rPr>
        <w:t xml:space="preserve"> comp payments.</w:t>
      </w:r>
    </w:p>
    <w:p w14:paraId="13921F20" w14:textId="77777777" w:rsidR="005B2CD1" w:rsidRDefault="005B2CD1" w:rsidP="005B2CD1">
      <w:pPr>
        <w:pStyle w:val="NormalWeb"/>
        <w:ind w:left="720"/>
      </w:pPr>
      <w:r w:rsidRPr="00DB67C5">
        <w:t xml:space="preserve">Note: In many states the “Fireman’s Rule” would prohibit a firefighter for suing homeowner for on duty injuries. </w:t>
      </w:r>
    </w:p>
    <w:p w14:paraId="67C0C5FF" w14:textId="77777777" w:rsidR="005B2CD1" w:rsidRDefault="005B2CD1" w:rsidP="005B2CD1">
      <w:pPr>
        <w:pStyle w:val="NormalWeb"/>
        <w:ind w:left="720"/>
      </w:pPr>
      <w:r>
        <w:t xml:space="preserve">The Wisconsin Supreme Court in 1989 held that Fireman’s Rule normally prohibits firefighters from suing a homeowner for </w:t>
      </w:r>
      <w:proofErr w:type="gramStart"/>
      <w:r>
        <w:t>damages</w:t>
      </w:r>
      <w:proofErr w:type="gramEnd"/>
      <w:r>
        <w:t xml:space="preserve"> unless they created a hidden hazard; such as </w:t>
      </w:r>
      <w:proofErr w:type="gramStart"/>
      <w:r>
        <w:t>storying</w:t>
      </w:r>
      <w:proofErr w:type="gramEnd"/>
      <w:r>
        <w:t xml:space="preserve"> gasoline in basement. “Thus, this court has decided as a matter of policy that, were the landowner's or occupier's negligence is in starting a fire or in failing to curtail its spread, there is no liability to a firefighter.”</w:t>
      </w:r>
      <w:r w:rsidRPr="00335ED9">
        <w:t xml:space="preserve"> </w:t>
      </w:r>
      <w:r>
        <w:t xml:space="preserve">Wright v. Coleman, </w:t>
      </w:r>
      <w:hyperlink r:id="rId477" w:history="1">
        <w:r w:rsidRPr="00E15FC9">
          <w:rPr>
            <w:rStyle w:val="Hyperlink"/>
          </w:rPr>
          <w:t>https://law.justia.com/cases/wisconsin/supreme-court/1989/87-1094-9.html</w:t>
        </w:r>
      </w:hyperlink>
      <w:r>
        <w:t xml:space="preserve"> </w:t>
      </w:r>
    </w:p>
    <w:p w14:paraId="6978AA64" w14:textId="77777777" w:rsidR="005B2CD1" w:rsidRDefault="005B2CD1" w:rsidP="005B2CD1">
      <w:pPr>
        <w:pStyle w:val="NormalWeb"/>
        <w:ind w:left="1440"/>
      </w:pPr>
      <w:r>
        <w:t xml:space="preserve">“Bud Wright, the plaintiff and petitioner before this court, was employed as </w:t>
      </w:r>
      <w:proofErr w:type="gramStart"/>
      <w:r>
        <w:t>a</w:t>
      </w:r>
      <w:proofErr w:type="gramEnd"/>
      <w:r>
        <w:t xml:space="preserve"> </w:t>
      </w:r>
      <w:proofErr w:type="spellStart"/>
      <w:r>
        <w:t>irefighter</w:t>
      </w:r>
      <w:proofErr w:type="spellEnd"/>
      <w:r>
        <w:t xml:space="preserve"> by the city of Brookfield when, on January 8, 1983, at about three o'clock in the morning, he, with his fire company, responded to a report of a fire on the property of Thomas Coleman. The first officer at the scene was a police officer, who ordered Coleman, the landowner, into the house and away from the detached garage, where the fire was blazing. After Wright arrived at the scene, he was attempting to bring a hose line up to the garage when he fell on ‘glare ice’ on the driveway. There were assertions at trial that this ice was the result of Coleman's son using a garden hose late in the preceding afternoon to wash a car. There was some evidence that, on the </w:t>
      </w:r>
      <w:proofErr w:type="gramStart"/>
      <w:r>
        <w:t>particular evening</w:t>
      </w:r>
      <w:proofErr w:type="gramEnd"/>
      <w:r>
        <w:t>, there was no ice anywhere else in the city of Brookfield only this artificially created icy area. It is asserted that Wright so severely injured his knee that he was obliged to retire as a firefighter.”</w:t>
      </w:r>
    </w:p>
    <w:p w14:paraId="715824E6" w14:textId="77777777" w:rsidR="005B2CD1" w:rsidRDefault="005B2CD1" w:rsidP="00853142">
      <w:pPr>
        <w:rPr>
          <w:rFonts w:ascii="Arial Black" w:hAnsi="Arial Black"/>
          <w:sz w:val="24"/>
          <w:szCs w:val="24"/>
        </w:rPr>
      </w:pPr>
    </w:p>
    <w:p w14:paraId="20B242A3" w14:textId="614B2688" w:rsidR="002C34C9" w:rsidRDefault="002C34C9" w:rsidP="00853142">
      <w:pPr>
        <w:rPr>
          <w:rFonts w:ascii="Arial Black" w:hAnsi="Arial Black"/>
          <w:sz w:val="24"/>
          <w:szCs w:val="24"/>
        </w:rPr>
      </w:pPr>
      <w:r>
        <w:rPr>
          <w:rFonts w:ascii="Arial Black" w:hAnsi="Arial Black"/>
          <w:sz w:val="24"/>
          <w:szCs w:val="24"/>
        </w:rPr>
        <w:t>2-6</w:t>
      </w:r>
      <w:r w:rsidR="007C073D">
        <w:rPr>
          <w:rFonts w:ascii="Arial Black" w:hAnsi="Arial Black"/>
          <w:sz w:val="24"/>
          <w:szCs w:val="24"/>
        </w:rPr>
        <w:t>3</w:t>
      </w:r>
    </w:p>
    <w:p w14:paraId="24639D17" w14:textId="65A6BCD4" w:rsidR="00625F79" w:rsidRDefault="00625F79" w:rsidP="00625F79">
      <w:pPr>
        <w:pStyle w:val="NormalWeb"/>
        <w:rPr>
          <w:rFonts w:ascii="Arial Black" w:hAnsi="Arial Black"/>
          <w:sz w:val="28"/>
          <w:szCs w:val="28"/>
        </w:rPr>
      </w:pPr>
      <w:r>
        <w:rPr>
          <w:rFonts w:ascii="Arial Black" w:hAnsi="Arial Black"/>
          <w:sz w:val="28"/>
          <w:szCs w:val="28"/>
        </w:rPr>
        <w:t xml:space="preserve">NY: VOLUNTEER FF - INJURED FELL </w:t>
      </w:r>
      <w:r w:rsidR="009F1D79">
        <w:rPr>
          <w:rFonts w:ascii="Arial Black" w:hAnsi="Arial Black"/>
          <w:sz w:val="28"/>
          <w:szCs w:val="28"/>
        </w:rPr>
        <w:t xml:space="preserve">OFF </w:t>
      </w:r>
      <w:r>
        <w:rPr>
          <w:rFonts w:ascii="Arial Black" w:hAnsi="Arial Black"/>
          <w:sz w:val="28"/>
          <w:szCs w:val="28"/>
        </w:rPr>
        <w:t xml:space="preserve">BACK </w:t>
      </w:r>
      <w:r w:rsidR="009F1D79">
        <w:rPr>
          <w:rFonts w:ascii="Arial Black" w:hAnsi="Arial Black"/>
          <w:sz w:val="28"/>
          <w:szCs w:val="28"/>
        </w:rPr>
        <w:t xml:space="preserve">OF </w:t>
      </w:r>
      <w:r>
        <w:rPr>
          <w:rFonts w:ascii="Arial Black" w:hAnsi="Arial Black"/>
          <w:sz w:val="28"/>
          <w:szCs w:val="28"/>
        </w:rPr>
        <w:t xml:space="preserve">FIRE ENGINE – CANNOT SUE DRILL TEAM, FD OR </w:t>
      </w:r>
      <w:r w:rsidR="009F1D79">
        <w:rPr>
          <w:rFonts w:ascii="Arial Black" w:hAnsi="Arial Black"/>
          <w:sz w:val="28"/>
          <w:szCs w:val="28"/>
        </w:rPr>
        <w:t xml:space="preserve">VOL. FF </w:t>
      </w:r>
      <w:r>
        <w:rPr>
          <w:rFonts w:ascii="Arial Black" w:hAnsi="Arial Black"/>
          <w:sz w:val="28"/>
          <w:szCs w:val="28"/>
        </w:rPr>
        <w:t>DRIVER</w:t>
      </w:r>
    </w:p>
    <w:p w14:paraId="4C07661E" w14:textId="77777777" w:rsidR="00614665" w:rsidRPr="00614665" w:rsidRDefault="00625F79" w:rsidP="00614665">
      <w:pPr>
        <w:rPr>
          <w:rFonts w:ascii="Times New Roman" w:hAnsi="Times New Roman"/>
          <w:sz w:val="24"/>
          <w:szCs w:val="24"/>
        </w:rPr>
      </w:pPr>
      <w:r w:rsidRPr="00614665">
        <w:rPr>
          <w:rFonts w:ascii="Times New Roman" w:hAnsi="Times New Roman"/>
          <w:sz w:val="24"/>
          <w:szCs w:val="24"/>
        </w:rPr>
        <w:t xml:space="preserve">On Jan. 17, 2024, in </w:t>
      </w:r>
      <w:r w:rsidRPr="00614665">
        <w:rPr>
          <w:rFonts w:ascii="Times New Roman" w:hAnsi="Times New Roman"/>
          <w:sz w:val="24"/>
          <w:szCs w:val="24"/>
          <w:u w:val="single"/>
        </w:rPr>
        <w:t xml:space="preserve">William A. Knipper v. Drill Team of </w:t>
      </w:r>
      <w:proofErr w:type="spellStart"/>
      <w:r w:rsidRPr="00614665">
        <w:rPr>
          <w:rFonts w:ascii="Times New Roman" w:hAnsi="Times New Roman"/>
          <w:sz w:val="24"/>
          <w:szCs w:val="24"/>
          <w:u w:val="single"/>
        </w:rPr>
        <w:t>Lindenhust</w:t>
      </w:r>
      <w:proofErr w:type="spellEnd"/>
      <w:r w:rsidRPr="00614665">
        <w:rPr>
          <w:rFonts w:ascii="Times New Roman" w:hAnsi="Times New Roman"/>
          <w:sz w:val="24"/>
          <w:szCs w:val="24"/>
          <w:u w:val="single"/>
        </w:rPr>
        <w:t xml:space="preserve"> Fire Department, Inc, et al.</w:t>
      </w:r>
      <w:r w:rsidRPr="00614665">
        <w:rPr>
          <w:rFonts w:ascii="Times New Roman" w:hAnsi="Times New Roman"/>
          <w:sz w:val="24"/>
          <w:szCs w:val="24"/>
        </w:rPr>
        <w:t xml:space="preserve">, the Superior Court of New York held (4 to 0) that the trial court properly dismissed the lawsuit against the Drill Team, the Fire Department and the volunteer firefighter who drove the fire engine. The injured firefighter already applied for is workers comp, and under the state Volunteer Firefighters’ Benefit Law he cannot sue for damages. </w:t>
      </w:r>
      <w:hyperlink r:id="rId478" w:history="1">
        <w:r w:rsidR="00614665" w:rsidRPr="00614665">
          <w:rPr>
            <w:rStyle w:val="Hyperlink"/>
            <w:rFonts w:ascii="Times New Roman" w:hAnsi="Times New Roman"/>
            <w:sz w:val="24"/>
            <w:szCs w:val="24"/>
          </w:rPr>
          <w:t>https://casetext.com/case/knipper-v-drill-team-of-lindenhurst-fire-dept</w:t>
        </w:r>
      </w:hyperlink>
    </w:p>
    <w:p w14:paraId="6ACC8E58"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1A2AFF10" w14:textId="77777777" w:rsidR="00625F79" w:rsidRDefault="00625F79" w:rsidP="00625F79">
      <w:pPr>
        <w:pStyle w:val="NormalWeb"/>
        <w:ind w:left="720"/>
      </w:pPr>
      <w:r>
        <w:t>“</w:t>
      </w:r>
      <w:hyperlink r:id="rId479" w:history="1">
        <w:r w:rsidRPr="00616D93">
          <w:rPr>
            <w:rStyle w:val="Hyperlink"/>
          </w:rPr>
          <w:t>Section 19 of the Volunteer Firefighters' Benefit Law</w:t>
        </w:r>
      </w:hyperlink>
      <w:r w:rsidRPr="00616D93">
        <w:t xml:space="preserve"> provides, in pertinent part, that </w:t>
      </w:r>
      <w:r>
        <w:t>‘</w:t>
      </w:r>
      <w:r w:rsidRPr="00616D93">
        <w:t>[t]he benefits provided by this chapter shall be the exclusive</w:t>
      </w:r>
      <w:r>
        <w:t xml:space="preserve"> remedy of a volunteer firefighter" for injuries sustained "in line of duty... as against... any person or agency acting under governmental or statutory authority in furtherance of the duties or activities in relation to which any such injury resulted.’ Thus, where a volunteer firefighter sustains an injury in the line of duty, the injured firefighter is barred from seeking recovery against either a fire company with which he or she had an employer/employee relationship … or fellow firefighters acting "in furtherance of their duties and activities" (</w:t>
      </w:r>
      <w:r>
        <w:rPr>
          <w:i/>
          <w:iCs/>
        </w:rPr>
        <w:t xml:space="preserve">Maines v </w:t>
      </w:r>
      <w:proofErr w:type="spellStart"/>
      <w:r>
        <w:rPr>
          <w:i/>
          <w:iCs/>
        </w:rPr>
        <w:t>Cronomer</w:t>
      </w:r>
      <w:proofErr w:type="spellEnd"/>
      <w:r>
        <w:rPr>
          <w:i/>
          <w:iCs/>
        </w:rPr>
        <w:t xml:space="preserve"> Val. Fire Dept.</w:t>
      </w:r>
      <w:r>
        <w:t xml:space="preserve">, </w:t>
      </w:r>
      <w:hyperlink r:id="rId480" w:anchor="p546" w:history="1">
        <w:r>
          <w:rPr>
            <w:rStyle w:val="Hyperlink"/>
          </w:rPr>
          <w:t>50 N.Y.2d 535, 546</w:t>
        </w:r>
      </w:hyperlink>
      <w:r>
        <w:t xml:space="preserve"> [internal quotation marks omitted]).</w:t>
      </w:r>
    </w:p>
    <w:p w14:paraId="7E87DB28" w14:textId="77777777" w:rsidR="00625F79" w:rsidRDefault="00625F79" w:rsidP="00625F79">
      <w:pPr>
        <w:pStyle w:val="NormalWeb"/>
        <w:ind w:left="720"/>
      </w:pPr>
      <w:r>
        <w:t>***</w:t>
      </w:r>
    </w:p>
    <w:p w14:paraId="27DD1F30" w14:textId="3CEF7F46" w:rsidR="002C34C9" w:rsidRPr="00625F79" w:rsidRDefault="00625F79" w:rsidP="00625F79">
      <w:pPr>
        <w:ind w:left="720"/>
        <w:rPr>
          <w:rFonts w:ascii="Times New Roman" w:hAnsi="Times New Roman"/>
          <w:sz w:val="24"/>
          <w:szCs w:val="24"/>
        </w:rPr>
      </w:pPr>
      <w:r w:rsidRPr="00625F79">
        <w:rPr>
          <w:rFonts w:ascii="Times New Roman" w:hAnsi="Times New Roman"/>
          <w:sz w:val="24"/>
          <w:szCs w:val="24"/>
        </w:rPr>
        <w:t>Here, the Lindenhurst defendants submitted, and Weckerle referenced, evidence showing that the plaintiff applied for and was awarded workers' compensation benefits based upon a determination that he was injured in the line of duty. Moreover, viewing the plaintiff's allegations in the light most favorable to him, the plaintiff failed to allege that Weckerle was not acting in furtherance of his duties and activities as a volunteer firefighter at the time of the accident by preparing for a competitive tournament (</w:t>
      </w:r>
      <w:r w:rsidRPr="00625F79">
        <w:rPr>
          <w:rFonts w:ascii="Times New Roman" w:hAnsi="Times New Roman"/>
          <w:i/>
          <w:iCs/>
          <w:sz w:val="24"/>
          <w:szCs w:val="24"/>
        </w:rPr>
        <w:t>see</w:t>
      </w:r>
      <w:r w:rsidRPr="00625F79">
        <w:rPr>
          <w:rFonts w:ascii="Times New Roman" w:hAnsi="Times New Roman"/>
          <w:sz w:val="24"/>
          <w:szCs w:val="24"/>
        </w:rPr>
        <w:t xml:space="preserve"> </w:t>
      </w:r>
      <w:hyperlink r:id="rId481" w:history="1">
        <w:r w:rsidRPr="00625F79">
          <w:rPr>
            <w:rStyle w:val="Hyperlink"/>
            <w:rFonts w:ascii="Times New Roman" w:hAnsi="Times New Roman"/>
            <w:sz w:val="24"/>
            <w:szCs w:val="24"/>
          </w:rPr>
          <w:t>Volunteer Firefighters' Benefit Law § 5</w:t>
        </w:r>
      </w:hyperlink>
      <w:r w:rsidRPr="00625F79">
        <w:rPr>
          <w:rFonts w:ascii="Times New Roman" w:hAnsi="Times New Roman"/>
          <w:sz w:val="24"/>
          <w:szCs w:val="24"/>
        </w:rPr>
        <w:t>[1][</w:t>
      </w:r>
      <w:proofErr w:type="spellStart"/>
      <w:r w:rsidRPr="00625F79">
        <w:rPr>
          <w:rFonts w:ascii="Times New Roman" w:hAnsi="Times New Roman"/>
          <w:sz w:val="24"/>
          <w:szCs w:val="24"/>
        </w:rPr>
        <w:t>i</w:t>
      </w:r>
      <w:proofErr w:type="spellEnd"/>
      <w:r w:rsidRPr="00625F79">
        <w:rPr>
          <w:rFonts w:ascii="Times New Roman" w:hAnsi="Times New Roman"/>
          <w:sz w:val="24"/>
          <w:szCs w:val="24"/>
        </w:rPr>
        <w:t xml:space="preserve">]). Thus, the Lindenhurst defendants and Weckerle demonstrated that the plaintiff did not have a cause of action against them because the plaintiff's claims against them were barred by the exclusivity provisions of </w:t>
      </w:r>
      <w:hyperlink r:id="rId482" w:history="1">
        <w:r w:rsidRPr="00625F79">
          <w:rPr>
            <w:rStyle w:val="Hyperlink"/>
            <w:rFonts w:ascii="Times New Roman" w:hAnsi="Times New Roman"/>
            <w:sz w:val="24"/>
            <w:szCs w:val="24"/>
          </w:rPr>
          <w:t>Volunteer Firefighters' Benefit Law § 19</w:t>
        </w:r>
      </w:hyperlink>
      <w:r w:rsidRPr="00625F79">
        <w:rPr>
          <w:rFonts w:ascii="Times New Roman" w:hAnsi="Times New Roman"/>
          <w:sz w:val="24"/>
          <w:szCs w:val="24"/>
        </w:rPr>
        <w:t xml:space="preserve"> (</w:t>
      </w:r>
      <w:r w:rsidRPr="00625F79">
        <w:rPr>
          <w:rFonts w:ascii="Times New Roman" w:hAnsi="Times New Roman"/>
          <w:i/>
          <w:iCs/>
          <w:sz w:val="24"/>
          <w:szCs w:val="24"/>
        </w:rPr>
        <w:t>see Brady v Village of Malverne</w:t>
      </w:r>
      <w:r w:rsidRPr="00625F79">
        <w:rPr>
          <w:rFonts w:ascii="Times New Roman" w:hAnsi="Times New Roman"/>
          <w:sz w:val="24"/>
          <w:szCs w:val="24"/>
        </w:rPr>
        <w:t xml:space="preserve">, </w:t>
      </w:r>
      <w:hyperlink r:id="rId483" w:anchor="p693" w:history="1">
        <w:r w:rsidRPr="00625F79">
          <w:rPr>
            <w:rStyle w:val="Hyperlink"/>
            <w:rFonts w:ascii="Times New Roman" w:hAnsi="Times New Roman"/>
            <w:sz w:val="24"/>
            <w:szCs w:val="24"/>
          </w:rPr>
          <w:t>76 A.D.3d 691, 693</w:t>
        </w:r>
      </w:hyperlink>
      <w:r w:rsidRPr="00625F79">
        <w:rPr>
          <w:rFonts w:ascii="Times New Roman" w:hAnsi="Times New Roman"/>
          <w:sz w:val="24"/>
          <w:szCs w:val="24"/>
        </w:rPr>
        <w:t xml:space="preserve">; </w:t>
      </w:r>
      <w:proofErr w:type="spellStart"/>
      <w:r w:rsidRPr="00625F79">
        <w:rPr>
          <w:rFonts w:ascii="Times New Roman" w:hAnsi="Times New Roman"/>
          <w:i/>
          <w:iCs/>
          <w:sz w:val="24"/>
          <w:szCs w:val="24"/>
        </w:rPr>
        <w:t>Theodoreu</w:t>
      </w:r>
      <w:proofErr w:type="spellEnd"/>
      <w:r w:rsidRPr="00625F79">
        <w:rPr>
          <w:rFonts w:ascii="Times New Roman" w:hAnsi="Times New Roman"/>
          <w:i/>
          <w:iCs/>
          <w:sz w:val="24"/>
          <w:szCs w:val="24"/>
        </w:rPr>
        <w:t xml:space="preserve"> v Chester Fire Dist.</w:t>
      </w:r>
      <w:r w:rsidRPr="00625F79">
        <w:rPr>
          <w:rFonts w:ascii="Times New Roman" w:hAnsi="Times New Roman"/>
          <w:sz w:val="24"/>
          <w:szCs w:val="24"/>
        </w:rPr>
        <w:t xml:space="preserve">, </w:t>
      </w:r>
      <w:hyperlink r:id="rId484" w:anchor="p500" w:history="1">
        <w:r w:rsidRPr="00625F79">
          <w:rPr>
            <w:rStyle w:val="Hyperlink"/>
            <w:rFonts w:ascii="Times New Roman" w:hAnsi="Times New Roman"/>
            <w:sz w:val="24"/>
            <w:szCs w:val="24"/>
          </w:rPr>
          <w:t>12 A.D.3d at 500</w:t>
        </w:r>
      </w:hyperlink>
      <w:r w:rsidRPr="00625F79">
        <w:rPr>
          <w:rFonts w:ascii="Times New Roman" w:hAnsi="Times New Roman"/>
          <w:sz w:val="24"/>
          <w:szCs w:val="24"/>
        </w:rPr>
        <w:t xml:space="preserve">; </w:t>
      </w:r>
      <w:r w:rsidRPr="00625F79">
        <w:rPr>
          <w:rFonts w:ascii="Times New Roman" w:hAnsi="Times New Roman"/>
          <w:i/>
          <w:iCs/>
          <w:sz w:val="24"/>
          <w:szCs w:val="24"/>
        </w:rPr>
        <w:t>Malone v Jacobs</w:t>
      </w:r>
      <w:r w:rsidRPr="00625F79">
        <w:rPr>
          <w:rFonts w:ascii="Times New Roman" w:hAnsi="Times New Roman"/>
          <w:sz w:val="24"/>
          <w:szCs w:val="24"/>
        </w:rPr>
        <w:t xml:space="preserve">, </w:t>
      </w:r>
      <w:hyperlink r:id="rId485" w:anchor="p928" w:history="1">
        <w:r w:rsidRPr="00625F79">
          <w:rPr>
            <w:rStyle w:val="Hyperlink"/>
            <w:rFonts w:ascii="Times New Roman" w:hAnsi="Times New Roman"/>
            <w:sz w:val="24"/>
            <w:szCs w:val="24"/>
          </w:rPr>
          <w:t>88 A.D.2d at 928</w:t>
        </w:r>
      </w:hyperlink>
      <w:r w:rsidRPr="00625F79">
        <w:rPr>
          <w:rFonts w:ascii="Times New Roman" w:hAnsi="Times New Roman"/>
          <w:sz w:val="24"/>
          <w:szCs w:val="24"/>
        </w:rPr>
        <w:t xml:space="preserve">). Accordingly, the Supreme Court properly granted the motions of the Lindenhurst defendants and Weckerle pursuant to </w:t>
      </w:r>
      <w:hyperlink r:id="rId486" w:history="1">
        <w:r w:rsidRPr="00625F79">
          <w:rPr>
            <w:rStyle w:val="Hyperlink"/>
            <w:rFonts w:ascii="Times New Roman" w:hAnsi="Times New Roman"/>
            <w:sz w:val="24"/>
            <w:szCs w:val="24"/>
          </w:rPr>
          <w:t>CPLR 3211(a)(7)</w:t>
        </w:r>
      </w:hyperlink>
      <w:r w:rsidRPr="00625F79">
        <w:rPr>
          <w:rFonts w:ascii="Times New Roman" w:hAnsi="Times New Roman"/>
          <w:sz w:val="24"/>
          <w:szCs w:val="24"/>
        </w:rPr>
        <w:t xml:space="preserve"> to dismiss the amended complaint insofar as asserted against each of </w:t>
      </w:r>
      <w:proofErr w:type="gramStart"/>
      <w:r w:rsidRPr="00625F79">
        <w:rPr>
          <w:rFonts w:ascii="Times New Roman" w:hAnsi="Times New Roman"/>
          <w:sz w:val="24"/>
          <w:szCs w:val="24"/>
        </w:rPr>
        <w:t>them.”</w:t>
      </w:r>
      <w:proofErr w:type="gramEnd"/>
      <w:r w:rsidRPr="00625F79">
        <w:rPr>
          <w:rFonts w:ascii="Times New Roman" w:hAnsi="Times New Roman"/>
          <w:sz w:val="24"/>
          <w:szCs w:val="24"/>
        </w:rPr>
        <w:t xml:space="preserve"> </w:t>
      </w:r>
      <w:hyperlink r:id="rId487" w:history="1">
        <w:r w:rsidRPr="00625F79">
          <w:rPr>
            <w:rStyle w:val="Hyperlink"/>
            <w:rFonts w:ascii="Times New Roman" w:hAnsi="Times New Roman"/>
            <w:sz w:val="24"/>
            <w:szCs w:val="24"/>
          </w:rPr>
          <w:t>https://casetext.com/case/knipper-v-drill-team-of-lindenhurst-fire-dept</w:t>
        </w:r>
      </w:hyperlink>
    </w:p>
    <w:p w14:paraId="4E028C7C" w14:textId="67E416AF" w:rsidR="001B3B5F" w:rsidRPr="00187D4E" w:rsidRDefault="001B3B5F" w:rsidP="001B3B5F">
      <w:pPr>
        <w:pStyle w:val="NormalWeb"/>
        <w:rPr>
          <w:b/>
          <w:bCs/>
        </w:rPr>
      </w:pPr>
      <w:r w:rsidRPr="00187D4E">
        <w:rPr>
          <w:b/>
          <w:bCs/>
        </w:rPr>
        <w:t>Legal Lesson Learned:</w:t>
      </w:r>
      <w:r>
        <w:rPr>
          <w:b/>
          <w:bCs/>
        </w:rPr>
        <w:t xml:space="preserve"> Volunteer firefighter injured in line of duty </w:t>
      </w:r>
      <w:r w:rsidR="00EE2DFE">
        <w:rPr>
          <w:b/>
          <w:bCs/>
        </w:rPr>
        <w:t xml:space="preserve">is </w:t>
      </w:r>
      <w:r>
        <w:rPr>
          <w:b/>
          <w:bCs/>
        </w:rPr>
        <w:t>covered by worker’s comp</w:t>
      </w:r>
      <w:r w:rsidR="00EE2DFE">
        <w:rPr>
          <w:b/>
          <w:bCs/>
        </w:rPr>
        <w:t xml:space="preserve">; cannot sue </w:t>
      </w:r>
      <w:r w:rsidR="009504C8">
        <w:rPr>
          <w:b/>
          <w:bCs/>
        </w:rPr>
        <w:t xml:space="preserve">for damages. </w:t>
      </w:r>
      <w:r>
        <w:rPr>
          <w:b/>
          <w:bCs/>
        </w:rPr>
        <w:t xml:space="preserve"> </w:t>
      </w:r>
    </w:p>
    <w:p w14:paraId="04214FC8" w14:textId="378EC4AA" w:rsidR="002C34C9" w:rsidRDefault="001B3B5F" w:rsidP="00853142">
      <w:pPr>
        <w:rPr>
          <w:rFonts w:ascii="Arial Black" w:hAnsi="Arial Black"/>
          <w:sz w:val="24"/>
          <w:szCs w:val="24"/>
        </w:rPr>
      </w:pPr>
      <w:r>
        <w:rPr>
          <w:rFonts w:ascii="Arial Black" w:hAnsi="Arial Black"/>
          <w:sz w:val="24"/>
          <w:szCs w:val="24"/>
        </w:rPr>
        <w:t xml:space="preserve"> </w:t>
      </w:r>
    </w:p>
    <w:p w14:paraId="138F044E" w14:textId="77777777" w:rsidR="002C34C9" w:rsidRDefault="002C34C9" w:rsidP="00853142">
      <w:pPr>
        <w:rPr>
          <w:rFonts w:ascii="Arial Black" w:hAnsi="Arial Black"/>
          <w:sz w:val="24"/>
          <w:szCs w:val="24"/>
        </w:rPr>
      </w:pPr>
    </w:p>
    <w:p w14:paraId="4AC80DC2" w14:textId="1EABE174" w:rsidR="00A21A2D" w:rsidRDefault="00A21A2D" w:rsidP="00853142">
      <w:pPr>
        <w:rPr>
          <w:rFonts w:ascii="Arial Black" w:hAnsi="Arial Black"/>
          <w:sz w:val="24"/>
          <w:szCs w:val="24"/>
        </w:rPr>
      </w:pPr>
      <w:r>
        <w:rPr>
          <w:rFonts w:ascii="Arial Black" w:hAnsi="Arial Black"/>
          <w:sz w:val="24"/>
          <w:szCs w:val="24"/>
        </w:rPr>
        <w:t>2-6</w:t>
      </w:r>
      <w:r w:rsidR="00BB73D4">
        <w:rPr>
          <w:rFonts w:ascii="Arial Black" w:hAnsi="Arial Black"/>
          <w:sz w:val="24"/>
          <w:szCs w:val="24"/>
        </w:rPr>
        <w:t>2</w:t>
      </w:r>
    </w:p>
    <w:p w14:paraId="0AB9BC36" w14:textId="77777777" w:rsidR="003312BD" w:rsidRDefault="003312BD" w:rsidP="003312BD">
      <w:pPr>
        <w:pStyle w:val="NormalWeb"/>
        <w:rPr>
          <w:rFonts w:ascii="Arial Black" w:hAnsi="Arial Black"/>
          <w:b/>
          <w:bCs/>
          <w:sz w:val="28"/>
          <w:szCs w:val="28"/>
        </w:rPr>
      </w:pPr>
      <w:r>
        <w:rPr>
          <w:rFonts w:ascii="Arial Black" w:hAnsi="Arial Black"/>
          <w:b/>
          <w:bCs/>
          <w:sz w:val="28"/>
          <w:szCs w:val="28"/>
        </w:rPr>
        <w:t>MO: VOLUNTEER FF LODD – WIFE AWARDED ONLY MIN. OF $40 / WEEK – REVERSED - COMPARE WAGES OF CAREER FF</w:t>
      </w:r>
    </w:p>
    <w:p w14:paraId="12760CC2" w14:textId="77777777" w:rsidR="003312BD" w:rsidRDefault="003312BD" w:rsidP="003312BD">
      <w:pPr>
        <w:pStyle w:val="NormalWeb"/>
      </w:pPr>
      <w:r>
        <w:t xml:space="preserve">On Jan. 10, 2024, in </w:t>
      </w:r>
      <w:r w:rsidRPr="007A32A0">
        <w:rPr>
          <w:u w:val="single"/>
        </w:rPr>
        <w:t>Dependent of Russell Hayes, Deceased, Susan Hayes v. City of Eldorado Springs,</w:t>
      </w:r>
      <w:r>
        <w:t xml:space="preserve"> the Court of Appeals of Missouri, Southern District, held (3 to 0) that Labor and Industrial Commission” is reversed, and must conduct a new hearing before an Administrative Law Judge to determine if duties on a volunteer FF are “similar” to those of a career FF; if they are similar then award a monthly amount consistent with the “usual wage” of a career FF. </w:t>
      </w:r>
    </w:p>
    <w:p w14:paraId="55D4173D" w14:textId="77777777" w:rsidR="003312BD" w:rsidRDefault="003312BD" w:rsidP="003312BD">
      <w:pPr>
        <w:pStyle w:val="NormalWeb"/>
        <w:ind w:left="720"/>
        <w:rPr>
          <w:b/>
          <w:bCs/>
        </w:rPr>
      </w:pPr>
      <w:r>
        <w:t xml:space="preserve">“Having found that Wife presented evidence of the ‘usual wage’ of firefighters, the Commission did not then compare the services provided by such firefighters to the services provided by Husband as a volunteer firefighter to determine whether those services are ‘similar’ as is required by section 287.250.1(6). Rather, the Commission misapplied the law in suggesting that Wife was misguided in asserting ‘that the services rendered by a full-time career firefighter and by a rural volunteer firefighter are similar’ and in ruling that ‘[t]his [Commission] cannot assume facts not in evidence’ as the record reveals that such evidence was produced by Wife.” </w:t>
      </w:r>
      <w:hyperlink r:id="rId488" w:history="1">
        <w:r w:rsidRPr="00092358">
          <w:rPr>
            <w:rStyle w:val="Hyperlink"/>
          </w:rPr>
          <w:t>https://casetext.com/case/dependent-of-hayes-v-city-of-eldorado-springs</w:t>
        </w:r>
      </w:hyperlink>
      <w:r>
        <w:t xml:space="preserve"> </w:t>
      </w:r>
    </w:p>
    <w:p w14:paraId="528956A7" w14:textId="77777777" w:rsidR="002C34C9" w:rsidRDefault="002C34C9" w:rsidP="002C34C9">
      <w:pPr>
        <w:rPr>
          <w:rFonts w:ascii="Times New Roman" w:hAnsi="Times New Roman"/>
          <w:b/>
          <w:bCs/>
          <w:sz w:val="24"/>
          <w:szCs w:val="24"/>
        </w:rPr>
      </w:pPr>
      <w:r w:rsidRPr="00452E49">
        <w:rPr>
          <w:rFonts w:ascii="Times New Roman" w:hAnsi="Times New Roman"/>
          <w:b/>
          <w:bCs/>
          <w:sz w:val="24"/>
          <w:szCs w:val="24"/>
        </w:rPr>
        <w:t xml:space="preserve">Legal Lesson Learned: </w:t>
      </w:r>
      <w:r>
        <w:rPr>
          <w:rFonts w:ascii="Times New Roman" w:hAnsi="Times New Roman"/>
          <w:b/>
          <w:bCs/>
          <w:sz w:val="24"/>
          <w:szCs w:val="24"/>
        </w:rPr>
        <w:t xml:space="preserve">A very positive decision for volunteer firefighters. </w:t>
      </w:r>
    </w:p>
    <w:p w14:paraId="79CE1B05" w14:textId="77777777" w:rsidR="002C34C9" w:rsidRDefault="002C34C9" w:rsidP="002C34C9">
      <w:pPr>
        <w:ind w:left="720"/>
        <w:rPr>
          <w:rFonts w:ascii="Times New Roman" w:hAnsi="Times New Roman"/>
          <w:sz w:val="24"/>
          <w:szCs w:val="24"/>
        </w:rPr>
      </w:pPr>
      <w:r w:rsidRPr="00EB23DB">
        <w:rPr>
          <w:rFonts w:ascii="Times New Roman" w:hAnsi="Times New Roman"/>
          <w:sz w:val="24"/>
          <w:szCs w:val="24"/>
        </w:rPr>
        <w:t xml:space="preserve">Note:  See USA Fire Administration report on death of Firefighter Russell “Russ” H. Hayes. </w:t>
      </w:r>
      <w:hyperlink r:id="rId489" w:history="1">
        <w:r w:rsidRPr="00092358">
          <w:rPr>
            <w:rStyle w:val="Hyperlink"/>
            <w:rFonts w:ascii="Times New Roman" w:hAnsi="Times New Roman"/>
            <w:sz w:val="24"/>
            <w:szCs w:val="24"/>
          </w:rPr>
          <w:t>https://apps.usfa.fema.gov/firefighter-fatalities/fatalityData/detail?fatalityId=4784</w:t>
        </w:r>
      </w:hyperlink>
      <w:r>
        <w:rPr>
          <w:rFonts w:ascii="Times New Roman" w:hAnsi="Times New Roman"/>
          <w:sz w:val="24"/>
          <w:szCs w:val="24"/>
        </w:rPr>
        <w:t xml:space="preserve"> </w:t>
      </w:r>
    </w:p>
    <w:p w14:paraId="72EF88F2" w14:textId="77777777" w:rsidR="002C34C9" w:rsidRDefault="002C34C9" w:rsidP="002C34C9">
      <w:pPr>
        <w:ind w:left="720"/>
        <w:rPr>
          <w:rFonts w:ascii="Times New Roman" w:hAnsi="Times New Roman"/>
          <w:sz w:val="24"/>
          <w:szCs w:val="24"/>
        </w:rPr>
      </w:pPr>
      <w:r w:rsidRPr="00EB23DB">
        <w:rPr>
          <w:rFonts w:ascii="Times New Roman" w:hAnsi="Times New Roman"/>
          <w:sz w:val="24"/>
          <w:szCs w:val="24"/>
        </w:rPr>
        <w:t xml:space="preserve">“On October 3, </w:t>
      </w:r>
      <w:proofErr w:type="gramStart"/>
      <w:r w:rsidRPr="00EB23DB">
        <w:rPr>
          <w:rFonts w:ascii="Times New Roman" w:hAnsi="Times New Roman"/>
          <w:sz w:val="24"/>
          <w:szCs w:val="24"/>
        </w:rPr>
        <w:t>2018</w:t>
      </w:r>
      <w:proofErr w:type="gramEnd"/>
      <w:r w:rsidRPr="00EB23DB">
        <w:rPr>
          <w:rFonts w:ascii="Times New Roman" w:hAnsi="Times New Roman"/>
          <w:sz w:val="24"/>
          <w:szCs w:val="24"/>
        </w:rPr>
        <w:t xml:space="preserve"> at approximately 0855hrs, Firefighter Hayes was driving an engine apparatus along a local highway on the way to a pump test.  Witnesses indicated that they observed the right front tire go </w:t>
      </w:r>
      <w:proofErr w:type="gramStart"/>
      <w:r w:rsidRPr="00EB23DB">
        <w:rPr>
          <w:rFonts w:ascii="Times New Roman" w:hAnsi="Times New Roman"/>
          <w:sz w:val="24"/>
          <w:szCs w:val="24"/>
        </w:rPr>
        <w:t>off of</w:t>
      </w:r>
      <w:proofErr w:type="gramEnd"/>
      <w:r w:rsidRPr="00EB23DB">
        <w:rPr>
          <w:rFonts w:ascii="Times New Roman" w:hAnsi="Times New Roman"/>
          <w:sz w:val="24"/>
          <w:szCs w:val="24"/>
        </w:rPr>
        <w:t xml:space="preserve"> the roadway.  Firefighter Hayes overcorrected as he brought the apparatus back onto the roadway, thereby causing it to travel to the opposite ditch and overturn.  Firefighter Hayes was ejected from the vehicle. He was treated on the scene by local EMS personnel and then flown by medical helicopter to a regional hospital.   Firefighter Hayes was admitted to the hospital and died from his injuries the following day.”</w:t>
      </w:r>
    </w:p>
    <w:p w14:paraId="6A65AF1C" w14:textId="77777777" w:rsidR="002C34C9" w:rsidRPr="00EB23DB" w:rsidRDefault="002C34C9" w:rsidP="002C34C9">
      <w:pPr>
        <w:ind w:left="720"/>
        <w:rPr>
          <w:rFonts w:ascii="Times New Roman" w:hAnsi="Times New Roman"/>
          <w:sz w:val="24"/>
          <w:szCs w:val="24"/>
        </w:rPr>
      </w:pPr>
      <w:r>
        <w:rPr>
          <w:rFonts w:ascii="Times New Roman" w:hAnsi="Times New Roman"/>
          <w:sz w:val="24"/>
          <w:szCs w:val="24"/>
        </w:rPr>
        <w:t xml:space="preserve">See also: </w:t>
      </w:r>
      <w:hyperlink r:id="rId490" w:history="1">
        <w:r w:rsidRPr="00092358">
          <w:rPr>
            <w:rStyle w:val="Hyperlink"/>
            <w:rFonts w:ascii="Times New Roman" w:hAnsi="Times New Roman"/>
            <w:sz w:val="24"/>
            <w:szCs w:val="24"/>
          </w:rPr>
          <w:t>https://www.firehero.org/fallen-firefighter/russell-h-hayes/</w:t>
        </w:r>
      </w:hyperlink>
      <w:r>
        <w:rPr>
          <w:rFonts w:ascii="Times New Roman" w:hAnsi="Times New Roman"/>
          <w:sz w:val="24"/>
          <w:szCs w:val="24"/>
        </w:rPr>
        <w:t xml:space="preserve"> </w:t>
      </w:r>
    </w:p>
    <w:p w14:paraId="59FBC779" w14:textId="77777777" w:rsidR="002C34C9" w:rsidRPr="00013DF2" w:rsidRDefault="002C34C9" w:rsidP="002C34C9">
      <w:pPr>
        <w:pStyle w:val="NoSpacing"/>
        <w:ind w:left="720"/>
        <w:rPr>
          <w:rFonts w:ascii="Times New Roman" w:hAnsi="Times New Roman"/>
          <w:sz w:val="24"/>
          <w:szCs w:val="24"/>
        </w:rPr>
      </w:pPr>
      <w:r w:rsidRPr="00013DF2">
        <w:rPr>
          <w:rFonts w:ascii="Times New Roman" w:hAnsi="Times New Roman"/>
          <w:sz w:val="24"/>
          <w:szCs w:val="24"/>
        </w:rPr>
        <w:t xml:space="preserve">See article on this case. “Volunteer firefighter’s widow wins chance for higher benefits.” (Jan. 18, 2024). </w:t>
      </w:r>
    </w:p>
    <w:p w14:paraId="2B2041ED" w14:textId="77777777" w:rsidR="002C34C9" w:rsidRPr="00013DF2" w:rsidRDefault="002C34C9" w:rsidP="002C34C9">
      <w:pPr>
        <w:pStyle w:val="NoSpacing"/>
        <w:ind w:left="720"/>
        <w:rPr>
          <w:rFonts w:ascii="Times New Roman" w:hAnsi="Times New Roman"/>
          <w:sz w:val="24"/>
          <w:szCs w:val="24"/>
        </w:rPr>
      </w:pPr>
      <w:hyperlink r:id="rId491" w:history="1">
        <w:r w:rsidRPr="00092358">
          <w:rPr>
            <w:rStyle w:val="Hyperlink"/>
            <w:rFonts w:ascii="Times New Roman" w:hAnsi="Times New Roman"/>
            <w:sz w:val="24"/>
            <w:szCs w:val="24"/>
          </w:rPr>
          <w:t>https://molawyersmedia.com/2024/01/18/volunteer-firefighters-widow-wins-chance-for-higher-benefits/</w:t>
        </w:r>
      </w:hyperlink>
      <w:r w:rsidRPr="00013DF2">
        <w:rPr>
          <w:rFonts w:ascii="Times New Roman" w:hAnsi="Times New Roman"/>
          <w:sz w:val="24"/>
          <w:szCs w:val="24"/>
        </w:rPr>
        <w:t xml:space="preserve"> </w:t>
      </w:r>
    </w:p>
    <w:p w14:paraId="4FC768ED" w14:textId="77777777" w:rsidR="00A21A2D" w:rsidRDefault="00A21A2D" w:rsidP="00853142">
      <w:pPr>
        <w:rPr>
          <w:rFonts w:ascii="Arial Black" w:hAnsi="Arial Black"/>
          <w:sz w:val="24"/>
          <w:szCs w:val="24"/>
        </w:rPr>
      </w:pPr>
    </w:p>
    <w:p w14:paraId="1CE37A1F" w14:textId="77777777" w:rsidR="00A21A2D" w:rsidRDefault="00A21A2D" w:rsidP="00853142">
      <w:pPr>
        <w:rPr>
          <w:rFonts w:ascii="Arial Black" w:hAnsi="Arial Black"/>
          <w:sz w:val="24"/>
          <w:szCs w:val="24"/>
        </w:rPr>
      </w:pPr>
    </w:p>
    <w:p w14:paraId="73DAAEFB" w14:textId="75811B02" w:rsidR="000B6343" w:rsidRDefault="000B6343" w:rsidP="00853142">
      <w:pPr>
        <w:rPr>
          <w:rFonts w:ascii="Arial Black" w:hAnsi="Arial Black"/>
          <w:sz w:val="24"/>
          <w:szCs w:val="24"/>
        </w:rPr>
      </w:pPr>
      <w:r>
        <w:rPr>
          <w:rFonts w:ascii="Arial Black" w:hAnsi="Arial Black"/>
          <w:sz w:val="24"/>
          <w:szCs w:val="24"/>
        </w:rPr>
        <w:t>2-6</w:t>
      </w:r>
      <w:r w:rsidR="00BB73D4">
        <w:rPr>
          <w:rFonts w:ascii="Arial Black" w:hAnsi="Arial Black"/>
          <w:sz w:val="24"/>
          <w:szCs w:val="24"/>
        </w:rPr>
        <w:t>1</w:t>
      </w:r>
    </w:p>
    <w:p w14:paraId="5282ABDF" w14:textId="77777777" w:rsidR="009C4318" w:rsidRPr="00DC23A0" w:rsidRDefault="009C4318" w:rsidP="009C4318">
      <w:pPr>
        <w:pStyle w:val="NormalWeb"/>
        <w:rPr>
          <w:rFonts w:ascii="Arial Black" w:hAnsi="Arial Black"/>
          <w:sz w:val="28"/>
          <w:szCs w:val="28"/>
        </w:rPr>
      </w:pPr>
      <w:r>
        <w:rPr>
          <w:rFonts w:ascii="Arial Black" w:hAnsi="Arial Black"/>
          <w:sz w:val="28"/>
          <w:szCs w:val="28"/>
        </w:rPr>
        <w:t xml:space="preserve">CA: FIREHOSE - FF SERIOUSLY INJURED – CITY MUNI BUS DROVE OVER HOSE – CAN’T SUE CITY OR BUS DRIVER </w:t>
      </w:r>
    </w:p>
    <w:p w14:paraId="7A085F5A" w14:textId="77777777" w:rsidR="009C4318" w:rsidRDefault="009C4318" w:rsidP="009C4318">
      <w:pPr>
        <w:pStyle w:val="NormalWeb"/>
      </w:pPr>
      <w:r>
        <w:t xml:space="preserve">On Dec. 12, 2023, in </w:t>
      </w:r>
      <w:r w:rsidRPr="0097494F">
        <w:rPr>
          <w:u w:val="single"/>
        </w:rPr>
        <w:t>Matthew Vann v. City and County of San Franciso, et al.</w:t>
      </w:r>
      <w:r>
        <w:t xml:space="preserve">, the California Court of Appeals, First District, Second Division, held (3 to 0) that trial court properly dismissed the </w:t>
      </w:r>
      <w:proofErr w:type="gramStart"/>
      <w:r>
        <w:t>firefighters</w:t>
      </w:r>
      <w:proofErr w:type="gramEnd"/>
      <w:r>
        <w:t xml:space="preserve"> lawsuit against the city.  The Court wrote: “Here, in contrast, we are dealing with the Workers' Compensation Act, which must be liberally construed in favor of awarding workers' compensation benefits. (§ 3202; </w:t>
      </w:r>
      <w:r>
        <w:rPr>
          <w:rStyle w:val="Emphasis"/>
        </w:rPr>
        <w:t xml:space="preserve">King v. </w:t>
      </w:r>
      <w:proofErr w:type="spellStart"/>
      <w:r>
        <w:rPr>
          <w:rStyle w:val="Emphasis"/>
        </w:rPr>
        <w:t>CompPartners</w:t>
      </w:r>
      <w:proofErr w:type="spellEnd"/>
      <w:r>
        <w:rPr>
          <w:rStyle w:val="Emphasis"/>
        </w:rPr>
        <w:t>, Inc</w:t>
      </w:r>
      <w:r>
        <w:t xml:space="preserve">., </w:t>
      </w:r>
      <w:r>
        <w:rPr>
          <w:rStyle w:val="Emphasis"/>
        </w:rPr>
        <w:t>supra</w:t>
      </w:r>
      <w:r>
        <w:t xml:space="preserve">, 5 Cal.5th at p. 1051.) Application of these </w:t>
      </w:r>
      <w:proofErr w:type="gramStart"/>
      <w:r>
        <w:t>principles</w:t>
      </w:r>
      <w:proofErr w:type="gramEnd"/>
      <w:r>
        <w:t xml:space="preserve"> cuts against concluding that SFMTA [San Francisco Municipal Transportation Agency] and SFFD [San Francisco Fire Department] are distinct entities, and therefore that Yu and appellant have separate employers. To do so would have the effect of circumventing the workers' compensation exclusivity rule, which prevents employees from bringing actions against fellow employees acting in the scope of employment, such that the fellow employees' negligence could be imputed to their employers.” </w:t>
      </w:r>
      <w:hyperlink r:id="rId492" w:history="1">
        <w:r w:rsidRPr="001075D9">
          <w:rPr>
            <w:rStyle w:val="Hyperlink"/>
          </w:rPr>
          <w:t>https://casetext.com/case/vann-v-city-of-san-francisco</w:t>
        </w:r>
      </w:hyperlink>
      <w:r>
        <w:t xml:space="preserve"> </w:t>
      </w:r>
    </w:p>
    <w:p w14:paraId="7F9A64BD" w14:textId="77777777" w:rsidR="00063E80" w:rsidRPr="002D0030" w:rsidRDefault="00063E80" w:rsidP="00063E80">
      <w:pPr>
        <w:pStyle w:val="NormalWeb"/>
        <w:rPr>
          <w:b/>
          <w:bCs/>
        </w:rPr>
      </w:pPr>
      <w:r w:rsidRPr="002D0030">
        <w:rPr>
          <w:b/>
          <w:bCs/>
        </w:rPr>
        <w:t xml:space="preserve">Legal Lesson Learned: </w:t>
      </w:r>
      <w:r>
        <w:rPr>
          <w:b/>
          <w:bCs/>
        </w:rPr>
        <w:t xml:space="preserve">Both the FD and the bus department are part of the same city; cannot sue the City or the bus driver; only remedy for injured </w:t>
      </w:r>
      <w:proofErr w:type="gramStart"/>
      <w:r>
        <w:rPr>
          <w:b/>
          <w:bCs/>
        </w:rPr>
        <w:t>firefighter</w:t>
      </w:r>
      <w:proofErr w:type="gramEnd"/>
      <w:r>
        <w:rPr>
          <w:b/>
          <w:bCs/>
        </w:rPr>
        <w:t xml:space="preserve"> is workers comp. </w:t>
      </w:r>
    </w:p>
    <w:p w14:paraId="47AA9B25" w14:textId="77777777" w:rsidR="000B6343" w:rsidRDefault="000B6343" w:rsidP="00853142">
      <w:pPr>
        <w:rPr>
          <w:rFonts w:ascii="Arial Black" w:hAnsi="Arial Black"/>
          <w:sz w:val="24"/>
          <w:szCs w:val="24"/>
        </w:rPr>
      </w:pPr>
    </w:p>
    <w:p w14:paraId="7B1C81E0" w14:textId="11890DB2" w:rsidR="001257CC" w:rsidRDefault="00044FB1" w:rsidP="00853142">
      <w:pPr>
        <w:rPr>
          <w:rFonts w:ascii="Arial Black" w:hAnsi="Arial Black"/>
          <w:sz w:val="24"/>
          <w:szCs w:val="24"/>
        </w:rPr>
      </w:pPr>
      <w:r>
        <w:rPr>
          <w:rFonts w:ascii="Arial Black" w:hAnsi="Arial Black"/>
          <w:sz w:val="24"/>
          <w:szCs w:val="24"/>
        </w:rPr>
        <w:t>2-6</w:t>
      </w:r>
      <w:r w:rsidR="00BB73D4">
        <w:rPr>
          <w:rFonts w:ascii="Arial Black" w:hAnsi="Arial Black"/>
          <w:sz w:val="24"/>
          <w:szCs w:val="24"/>
        </w:rPr>
        <w:t>0</w:t>
      </w:r>
    </w:p>
    <w:p w14:paraId="137ACF5F" w14:textId="77777777" w:rsidR="006728B9" w:rsidRDefault="006728B9" w:rsidP="006728B9">
      <w:pPr>
        <w:pStyle w:val="Heading1"/>
        <w:rPr>
          <w:rFonts w:ascii="Arial Black" w:hAnsi="Arial Black"/>
          <w:b w:val="0"/>
          <w:bCs w:val="0"/>
          <w:sz w:val="28"/>
          <w:szCs w:val="28"/>
        </w:rPr>
      </w:pPr>
      <w:r>
        <w:rPr>
          <w:rFonts w:ascii="Arial Black" w:hAnsi="Arial Black"/>
          <w:b w:val="0"/>
          <w:bCs w:val="0"/>
          <w:sz w:val="28"/>
          <w:szCs w:val="28"/>
        </w:rPr>
        <w:t>CA: BLOCKING ENGINE - MOTORIST RAN INTO ENGINE AT MVA - 2 FF HURT - FF GET NEW JURY TRIAL FOR DAMAGES</w:t>
      </w:r>
    </w:p>
    <w:p w14:paraId="69723006" w14:textId="77777777" w:rsidR="006728B9" w:rsidRPr="00BC37ED" w:rsidRDefault="006728B9" w:rsidP="006728B9">
      <w:pPr>
        <w:pStyle w:val="Heading1"/>
        <w:rPr>
          <w:b w:val="0"/>
          <w:bCs w:val="0"/>
          <w:sz w:val="24"/>
          <w:szCs w:val="24"/>
        </w:rPr>
      </w:pPr>
      <w:r>
        <w:rPr>
          <w:b w:val="0"/>
          <w:bCs w:val="0"/>
          <w:sz w:val="24"/>
          <w:szCs w:val="24"/>
        </w:rPr>
        <w:t xml:space="preserve">On Nov. 29, 2023, in </w:t>
      </w:r>
      <w:r w:rsidRPr="004901CF">
        <w:rPr>
          <w:b w:val="0"/>
          <w:bCs w:val="0"/>
          <w:sz w:val="24"/>
          <w:szCs w:val="24"/>
          <w:u w:val="single"/>
        </w:rPr>
        <w:t>Michael Rattary and Stephen Rogness v. Brian Favro</w:t>
      </w:r>
      <w:r>
        <w:rPr>
          <w:b w:val="0"/>
          <w:bCs w:val="0"/>
          <w:sz w:val="24"/>
          <w:szCs w:val="24"/>
        </w:rPr>
        <w:t xml:space="preserve">, the </w:t>
      </w:r>
      <w:r w:rsidRPr="00E60013">
        <w:rPr>
          <w:b w:val="0"/>
          <w:bCs w:val="0"/>
          <w:sz w:val="24"/>
          <w:szCs w:val="24"/>
        </w:rPr>
        <w:t>California Court of Appeals, First District, Fourth Division</w:t>
      </w:r>
      <w:r>
        <w:rPr>
          <w:b w:val="0"/>
          <w:bCs w:val="0"/>
          <w:sz w:val="24"/>
          <w:szCs w:val="24"/>
        </w:rPr>
        <w:t xml:space="preserve">, held (3 to 0) that the two firefighters are entitled to a new civil jury trial since the attorney for Favro told jury in closing argument an improper standard on liability (jury voted against awarding damages to </w:t>
      </w:r>
      <w:proofErr w:type="spellStart"/>
      <w:r>
        <w:rPr>
          <w:b w:val="0"/>
          <w:bCs w:val="0"/>
          <w:sz w:val="24"/>
          <w:szCs w:val="24"/>
        </w:rPr>
        <w:t>Rattery</w:t>
      </w:r>
      <w:proofErr w:type="spellEnd"/>
      <w:r>
        <w:rPr>
          <w:b w:val="0"/>
          <w:bCs w:val="0"/>
          <w:sz w:val="24"/>
          <w:szCs w:val="24"/>
        </w:rPr>
        <w:t xml:space="preserve">  10-2, and against Rogness 12-0).  Their initial lawsuit was dismissed by trial court judge based on Fireman’s Rule; but Court of Appeals reversed and ordered case to be tried on motorist’s duty of ordinary care when </w:t>
      </w:r>
      <w:proofErr w:type="gramStart"/>
      <w:r>
        <w:rPr>
          <w:b w:val="0"/>
          <w:bCs w:val="0"/>
          <w:sz w:val="24"/>
          <w:szCs w:val="24"/>
        </w:rPr>
        <w:t>approach</w:t>
      </w:r>
      <w:proofErr w:type="gramEnd"/>
      <w:r>
        <w:rPr>
          <w:b w:val="0"/>
          <w:bCs w:val="0"/>
          <w:sz w:val="24"/>
          <w:szCs w:val="24"/>
        </w:rPr>
        <w:t xml:space="preserve"> accident scene. Now the Court of Appeals orders a new trial, because Favro’s attorney in closing argument told jury FFs can only get damages if “</w:t>
      </w:r>
      <w:r w:rsidRPr="00BC37ED">
        <w:rPr>
          <w:b w:val="0"/>
          <w:bCs w:val="0"/>
          <w:sz w:val="24"/>
          <w:szCs w:val="24"/>
        </w:rPr>
        <w:t xml:space="preserve">faced from the person they are suing was </w:t>
      </w:r>
      <w:r w:rsidRPr="00BC37ED">
        <w:rPr>
          <w:b w:val="0"/>
          <w:bCs w:val="0"/>
          <w:i/>
          <w:iCs/>
          <w:sz w:val="24"/>
          <w:szCs w:val="24"/>
        </w:rPr>
        <w:t>beyond the risk that's inherent to their job</w:t>
      </w:r>
      <w:r w:rsidRPr="00BC37ED">
        <w:rPr>
          <w:b w:val="0"/>
          <w:bCs w:val="0"/>
          <w:sz w:val="24"/>
          <w:szCs w:val="24"/>
        </w:rPr>
        <w:t>." (Italics added.)</w:t>
      </w:r>
      <w:r>
        <w:rPr>
          <w:b w:val="0"/>
          <w:bCs w:val="0"/>
          <w:sz w:val="24"/>
          <w:szCs w:val="24"/>
        </w:rPr>
        <w:t xml:space="preserve"> The Court of Appeals reverses, writing: </w:t>
      </w:r>
    </w:p>
    <w:p w14:paraId="5CA93F14" w14:textId="77777777" w:rsidR="006728B9" w:rsidRPr="000C74F9" w:rsidRDefault="006728B9" w:rsidP="006728B9">
      <w:pPr>
        <w:pStyle w:val="Heading1"/>
        <w:ind w:left="720"/>
        <w:rPr>
          <w:b w:val="0"/>
          <w:bCs w:val="0"/>
          <w:sz w:val="24"/>
          <w:szCs w:val="24"/>
        </w:rPr>
      </w:pPr>
      <w:hyperlink r:id="rId493" w:history="1">
        <w:r w:rsidRPr="00876603">
          <w:rPr>
            <w:rStyle w:val="Hyperlink"/>
            <w:b w:val="0"/>
            <w:bCs w:val="0"/>
            <w:sz w:val="24"/>
            <w:szCs w:val="24"/>
          </w:rPr>
          <w:t>Section 1714.9</w:t>
        </w:r>
      </w:hyperlink>
      <w:r w:rsidRPr="00876603">
        <w:rPr>
          <w:b w:val="0"/>
          <w:bCs w:val="0"/>
          <w:sz w:val="24"/>
          <w:szCs w:val="24"/>
        </w:rPr>
        <w:t>, subdivision (a)(1) concerns liability to a firefighter for tortious "conduct . . . occur[ring] after the person knows or should have known of the presence of the . . . firefighter." (</w:t>
      </w:r>
      <w:hyperlink r:id="rId494" w:history="1">
        <w:r w:rsidRPr="00876603">
          <w:rPr>
            <w:rStyle w:val="Hyperlink"/>
            <w:b w:val="0"/>
            <w:bCs w:val="0"/>
            <w:sz w:val="24"/>
            <w:szCs w:val="24"/>
          </w:rPr>
          <w:t>§ 1714.9, subd. (a)(1)</w:t>
        </w:r>
      </w:hyperlink>
      <w:r w:rsidRPr="00876603">
        <w:rPr>
          <w:b w:val="0"/>
          <w:bCs w:val="0"/>
          <w:sz w:val="24"/>
          <w:szCs w:val="24"/>
        </w:rPr>
        <w:t>.)</w:t>
      </w:r>
      <w:r>
        <w:rPr>
          <w:b w:val="0"/>
          <w:bCs w:val="0"/>
          <w:sz w:val="24"/>
          <w:szCs w:val="24"/>
        </w:rPr>
        <w:t xml:space="preserve"> </w:t>
      </w:r>
      <w:r w:rsidRPr="000C74F9">
        <w:rPr>
          <w:b w:val="0"/>
          <w:bCs w:val="0"/>
          <w:sz w:val="24"/>
          <w:szCs w:val="24"/>
        </w:rPr>
        <w:t xml:space="preserve">… </w:t>
      </w:r>
      <w:r w:rsidRPr="00D46FA3">
        <w:rPr>
          <w:b w:val="0"/>
          <w:bCs w:val="0"/>
          <w:sz w:val="24"/>
          <w:szCs w:val="24"/>
        </w:rPr>
        <w:t xml:space="preserve">"Although most of the cases analyzing the effect of </w:t>
      </w:r>
      <w:hyperlink r:id="rId495" w:history="1">
        <w:r w:rsidRPr="00D46FA3">
          <w:rPr>
            <w:rStyle w:val="Hyperlink"/>
            <w:b w:val="0"/>
            <w:bCs w:val="0"/>
            <w:sz w:val="24"/>
            <w:szCs w:val="24"/>
          </w:rPr>
          <w:t>section 1714.9</w:t>
        </w:r>
      </w:hyperlink>
      <w:r w:rsidRPr="00D46FA3">
        <w:rPr>
          <w:b w:val="0"/>
          <w:bCs w:val="0"/>
          <w:sz w:val="24"/>
          <w:szCs w:val="24"/>
        </w:rPr>
        <w:t xml:space="preserve"> treat it as stating an exception to the firefighter's rule (e.g. </w:t>
      </w:r>
      <w:r w:rsidRPr="00D46FA3">
        <w:rPr>
          <w:b w:val="0"/>
          <w:bCs w:val="0"/>
          <w:i/>
          <w:iCs/>
          <w:sz w:val="24"/>
          <w:szCs w:val="24"/>
        </w:rPr>
        <w:t>Gibb v. Stetson</w:t>
      </w:r>
      <w:r w:rsidRPr="00D46FA3">
        <w:rPr>
          <w:b w:val="0"/>
          <w:bCs w:val="0"/>
          <w:sz w:val="24"/>
          <w:szCs w:val="24"/>
        </w:rPr>
        <w:t xml:space="preserve"> [(1988)] </w:t>
      </w:r>
      <w:hyperlink r:id="rId496" w:anchor="p1014" w:history="1">
        <w:r w:rsidRPr="00D46FA3">
          <w:rPr>
            <w:rStyle w:val="Hyperlink"/>
            <w:b w:val="0"/>
            <w:bCs w:val="0"/>
            <w:sz w:val="24"/>
            <w:szCs w:val="24"/>
          </w:rPr>
          <w:t>199 Cal.App.3d 1008, 1014-1015</w:t>
        </w:r>
      </w:hyperlink>
      <w:r w:rsidRPr="00D46FA3">
        <w:rPr>
          <w:b w:val="0"/>
          <w:bCs w:val="0"/>
          <w:sz w:val="24"/>
          <w:szCs w:val="24"/>
        </w:rPr>
        <w:t xml:space="preserve">), </w:t>
      </w:r>
      <w:proofErr w:type="spellStart"/>
      <w:r w:rsidRPr="00D46FA3">
        <w:rPr>
          <w:b w:val="0"/>
          <w:bCs w:val="0"/>
          <w:sz w:val="24"/>
          <w:szCs w:val="24"/>
        </w:rPr>
        <w:t>thethe</w:t>
      </w:r>
      <w:proofErr w:type="spellEnd"/>
      <w:r w:rsidRPr="00D46FA3">
        <w:rPr>
          <w:b w:val="0"/>
          <w:bCs w:val="0"/>
          <w:sz w:val="24"/>
          <w:szCs w:val="24"/>
        </w:rPr>
        <w:t xml:space="preserve"> Supreme Court has more accurately described</w:t>
      </w:r>
      <w:r w:rsidRPr="000C74F9">
        <w:rPr>
          <w:b w:val="0"/>
          <w:bCs w:val="0"/>
          <w:sz w:val="24"/>
          <w:szCs w:val="24"/>
        </w:rPr>
        <w:t xml:space="preserve"> the effect of the statute as reimposing 'a duty of ordinary care (see [Civ. Code,] </w:t>
      </w:r>
      <w:hyperlink r:id="rId497" w:history="1">
        <w:r w:rsidRPr="000C74F9">
          <w:rPr>
            <w:rStyle w:val="Hyperlink"/>
            <w:b w:val="0"/>
            <w:bCs w:val="0"/>
            <w:sz w:val="24"/>
            <w:szCs w:val="24"/>
          </w:rPr>
          <w:t>§ 1714</w:t>
        </w:r>
      </w:hyperlink>
      <w:r w:rsidRPr="000C74F9">
        <w:rPr>
          <w:b w:val="0"/>
          <w:bCs w:val="0"/>
          <w:sz w:val="24"/>
          <w:szCs w:val="24"/>
        </w:rPr>
        <w:t>), which would otherwise be abrogated by the firefighter's rule.'" (</w:t>
      </w:r>
      <w:r w:rsidRPr="000C74F9">
        <w:rPr>
          <w:b w:val="0"/>
          <w:bCs w:val="0"/>
          <w:i/>
          <w:iCs/>
          <w:sz w:val="24"/>
          <w:szCs w:val="24"/>
        </w:rPr>
        <w:t>Boon v. Rivera</w:t>
      </w:r>
      <w:r w:rsidRPr="000C74F9">
        <w:rPr>
          <w:b w:val="0"/>
          <w:bCs w:val="0"/>
          <w:sz w:val="24"/>
          <w:szCs w:val="24"/>
        </w:rPr>
        <w:t xml:space="preserve"> (2000) </w:t>
      </w:r>
      <w:hyperlink r:id="rId498" w:anchor="p1330" w:history="1">
        <w:r w:rsidRPr="000C74F9">
          <w:rPr>
            <w:rStyle w:val="Hyperlink"/>
            <w:b w:val="0"/>
            <w:bCs w:val="0"/>
            <w:sz w:val="24"/>
            <w:szCs w:val="24"/>
          </w:rPr>
          <w:t>80 Cal.App.4th 1322, 1330-31</w:t>
        </w:r>
      </w:hyperlink>
      <w:r w:rsidRPr="000C74F9">
        <w:rPr>
          <w:b w:val="0"/>
          <w:bCs w:val="0"/>
          <w:sz w:val="24"/>
          <w:szCs w:val="24"/>
        </w:rPr>
        <w:t xml:space="preserve">, quoting </w:t>
      </w:r>
      <w:r w:rsidRPr="000C74F9">
        <w:rPr>
          <w:b w:val="0"/>
          <w:bCs w:val="0"/>
          <w:i/>
          <w:iCs/>
          <w:sz w:val="24"/>
          <w:szCs w:val="24"/>
        </w:rPr>
        <w:t>Calatayud v. State of California</w:t>
      </w:r>
      <w:r w:rsidRPr="000C74F9">
        <w:rPr>
          <w:b w:val="0"/>
          <w:bCs w:val="0"/>
          <w:sz w:val="24"/>
          <w:szCs w:val="24"/>
        </w:rPr>
        <w:t xml:space="preserve"> (1998) </w:t>
      </w:r>
      <w:hyperlink r:id="rId499" w:anchor="p1068" w:history="1">
        <w:r w:rsidRPr="000C74F9">
          <w:rPr>
            <w:rStyle w:val="Hyperlink"/>
            <w:b w:val="0"/>
            <w:bCs w:val="0"/>
            <w:sz w:val="24"/>
            <w:szCs w:val="24"/>
          </w:rPr>
          <w:t>18 Cal.4th 1057, 1068</w:t>
        </w:r>
      </w:hyperlink>
      <w:r w:rsidRPr="000C74F9">
        <w:rPr>
          <w:b w:val="0"/>
          <w:bCs w:val="0"/>
          <w:sz w:val="24"/>
          <w:szCs w:val="24"/>
        </w:rPr>
        <w:t>.)</w:t>
      </w:r>
    </w:p>
    <w:p w14:paraId="6CD0A834" w14:textId="77777777" w:rsidR="000B6343" w:rsidRPr="003470F7" w:rsidRDefault="000B6343" w:rsidP="000B6343">
      <w:pPr>
        <w:pStyle w:val="Heading1"/>
        <w:rPr>
          <w:sz w:val="24"/>
          <w:szCs w:val="24"/>
        </w:rPr>
      </w:pPr>
      <w:r w:rsidRPr="003470F7">
        <w:rPr>
          <w:sz w:val="24"/>
          <w:szCs w:val="24"/>
        </w:rPr>
        <w:t xml:space="preserve">Legal Lesson Learned: </w:t>
      </w:r>
      <w:r>
        <w:rPr>
          <w:sz w:val="24"/>
          <w:szCs w:val="24"/>
        </w:rPr>
        <w:t xml:space="preserve">The firefighters now get a “second chance” at convincing a jury that they are entitled to damages. </w:t>
      </w:r>
    </w:p>
    <w:p w14:paraId="0DF6AEAE" w14:textId="77777777" w:rsidR="00044FB1" w:rsidRDefault="00044FB1" w:rsidP="00853142">
      <w:pPr>
        <w:rPr>
          <w:rFonts w:ascii="Arial Black" w:hAnsi="Arial Black"/>
          <w:sz w:val="24"/>
          <w:szCs w:val="24"/>
        </w:rPr>
      </w:pPr>
    </w:p>
    <w:p w14:paraId="54D67C1B" w14:textId="194B736A" w:rsidR="001257CC" w:rsidRDefault="001257CC" w:rsidP="00853142">
      <w:pPr>
        <w:rPr>
          <w:rFonts w:ascii="Arial Black" w:hAnsi="Arial Black"/>
          <w:sz w:val="24"/>
          <w:szCs w:val="24"/>
        </w:rPr>
      </w:pPr>
      <w:r>
        <w:rPr>
          <w:rFonts w:ascii="Arial Black" w:hAnsi="Arial Black"/>
          <w:sz w:val="24"/>
          <w:szCs w:val="24"/>
        </w:rPr>
        <w:t>2-</w:t>
      </w:r>
      <w:r w:rsidR="00BB73D4">
        <w:rPr>
          <w:rFonts w:ascii="Arial Black" w:hAnsi="Arial Black"/>
          <w:sz w:val="24"/>
          <w:szCs w:val="24"/>
        </w:rPr>
        <w:t>59</w:t>
      </w:r>
    </w:p>
    <w:p w14:paraId="7F3401D7" w14:textId="77777777" w:rsidR="00E761A8" w:rsidRPr="00583360" w:rsidRDefault="00E761A8" w:rsidP="00E761A8">
      <w:pPr>
        <w:pStyle w:val="NormalWeb"/>
        <w:rPr>
          <w:rFonts w:ascii="Arial Black" w:hAnsi="Arial Black"/>
          <w:sz w:val="28"/>
          <w:szCs w:val="28"/>
        </w:rPr>
      </w:pPr>
      <w:r>
        <w:rPr>
          <w:rFonts w:ascii="Arial Black" w:hAnsi="Arial Black"/>
          <w:sz w:val="28"/>
          <w:szCs w:val="28"/>
        </w:rPr>
        <w:t>NJ: BEARDS - BLACK FF GROWING 3-INCH BEARD - ALSO MINISTER – ORDERED NOT RESPOND FIRES – NO CASE</w:t>
      </w:r>
    </w:p>
    <w:p w14:paraId="3C1B5260" w14:textId="09379490" w:rsidR="00E761A8" w:rsidRDefault="00E761A8" w:rsidP="00E761A8">
      <w:pPr>
        <w:rPr>
          <w:rStyle w:val="Hyperlink"/>
          <w:rFonts w:ascii="Times New Roman" w:hAnsi="Times New Roman"/>
          <w:sz w:val="24"/>
          <w:szCs w:val="24"/>
        </w:rPr>
      </w:pPr>
      <w:r w:rsidRPr="00E761A8">
        <w:rPr>
          <w:rFonts w:ascii="Times New Roman" w:hAnsi="Times New Roman"/>
          <w:sz w:val="24"/>
          <w:szCs w:val="24"/>
        </w:rPr>
        <w:t xml:space="preserve">On Nov. 29, 2023, in </w:t>
      </w:r>
      <w:r w:rsidRPr="00E761A8">
        <w:rPr>
          <w:rFonts w:ascii="Times New Roman" w:hAnsi="Times New Roman"/>
          <w:sz w:val="24"/>
          <w:szCs w:val="24"/>
          <w:u w:val="single"/>
        </w:rPr>
        <w:t>Alexander Smith v. City pf Atlantic City, et al</w:t>
      </w:r>
      <w:r w:rsidRPr="00E761A8">
        <w:rPr>
          <w:rFonts w:ascii="Times New Roman" w:hAnsi="Times New Roman"/>
          <w:sz w:val="24"/>
          <w:szCs w:val="24"/>
        </w:rPr>
        <w:t xml:space="preserve">., U.S. District Court Judge Chritine P. O’Hearn, U.S. District Court for District of New Jersey, granted City’s motion for summary judgment.  The Court held:  “ Defendants submit that the grooming policy advances the government's legitimate objectives of (1) firefighter safety and (2) following state and federal regulations which prohibit facial hair. (ECF No. 115-29 at 13-14). Safety is a well-recognized legitimate government objective. </w:t>
      </w:r>
      <w:r w:rsidRPr="00E761A8">
        <w:rPr>
          <w:rStyle w:val="Emphasis"/>
          <w:rFonts w:ascii="Times New Roman" w:hAnsi="Times New Roman"/>
          <w:sz w:val="24"/>
          <w:szCs w:val="24"/>
        </w:rPr>
        <w:t>Fraternal Ord.</w:t>
      </w:r>
      <w:r w:rsidRPr="00E761A8">
        <w:rPr>
          <w:rFonts w:ascii="Times New Roman" w:hAnsi="Times New Roman"/>
          <w:sz w:val="24"/>
          <w:szCs w:val="24"/>
        </w:rPr>
        <w:t xml:space="preserve">, 170 F.3d at 366. And a fire department's ability to comply with state and federal regulations is certainly a legitimate government objective. </w:t>
      </w:r>
      <w:r w:rsidRPr="00E761A8">
        <w:rPr>
          <w:rStyle w:val="Emphasis"/>
          <w:rFonts w:ascii="Times New Roman" w:hAnsi="Times New Roman"/>
          <w:sz w:val="24"/>
          <w:szCs w:val="24"/>
        </w:rPr>
        <w:t>See e.g.</w:t>
      </w:r>
      <w:r w:rsidRPr="00E761A8">
        <w:rPr>
          <w:rFonts w:ascii="Times New Roman" w:hAnsi="Times New Roman"/>
          <w:sz w:val="24"/>
          <w:szCs w:val="24"/>
        </w:rPr>
        <w:t xml:space="preserve">, </w:t>
      </w:r>
      <w:r w:rsidRPr="00E761A8">
        <w:rPr>
          <w:rStyle w:val="Emphasis"/>
          <w:rFonts w:ascii="Times New Roman" w:hAnsi="Times New Roman"/>
          <w:sz w:val="24"/>
          <w:szCs w:val="24"/>
        </w:rPr>
        <w:t>Hamilton</w:t>
      </w:r>
      <w:r w:rsidRPr="00E761A8">
        <w:rPr>
          <w:rFonts w:ascii="Times New Roman" w:hAnsi="Times New Roman"/>
          <w:sz w:val="24"/>
          <w:szCs w:val="24"/>
        </w:rPr>
        <w:t xml:space="preserve">, 563 F.Supp.3d at 60. The grooming policy is rationally related to these objectives. First, and most obviously, the policy ensures that the ACFD complies with various state and federal regulations that prohibit devices like SCBAs to be worn by those with facial hair. </w:t>
      </w:r>
      <w:r w:rsidRPr="00E761A8">
        <w:rPr>
          <w:rStyle w:val="Emphasis"/>
          <w:rFonts w:ascii="Times New Roman" w:hAnsi="Times New Roman"/>
          <w:sz w:val="24"/>
          <w:szCs w:val="24"/>
        </w:rPr>
        <w:t>See</w:t>
      </w:r>
      <w:r w:rsidRPr="00E761A8">
        <w:rPr>
          <w:rFonts w:ascii="Times New Roman" w:hAnsi="Times New Roman"/>
          <w:sz w:val="24"/>
          <w:szCs w:val="24"/>
        </w:rPr>
        <w:t xml:space="preserve">, </w:t>
      </w:r>
      <w:r w:rsidRPr="00E761A8">
        <w:rPr>
          <w:rStyle w:val="Emphasis"/>
          <w:rFonts w:ascii="Times New Roman" w:hAnsi="Times New Roman"/>
          <w:sz w:val="24"/>
          <w:szCs w:val="24"/>
        </w:rPr>
        <w:t>e.g.</w:t>
      </w:r>
      <w:r w:rsidRPr="00E761A8">
        <w:rPr>
          <w:rFonts w:ascii="Times New Roman" w:hAnsi="Times New Roman"/>
          <w:sz w:val="24"/>
          <w:szCs w:val="24"/>
        </w:rPr>
        <w:t>, 20 C.F.R. § 1910.134(g). Second, there is no dispute that PEOSH and OSHA find that an ill-fitting SCBA creates a safety risk not only to the firefighter wearing it, but also to fellow firefighters who may be tasked with rescuing those with an ill-fitted mask. Firefighter safety is put at risk when anything inhibits the seal of an SCBA, including facial hair. This is contemplated in the text of the policy which provides that ‘[f]</w:t>
      </w:r>
      <w:proofErr w:type="spellStart"/>
      <w:r w:rsidRPr="00E761A8">
        <w:rPr>
          <w:rFonts w:ascii="Times New Roman" w:hAnsi="Times New Roman"/>
          <w:sz w:val="24"/>
          <w:szCs w:val="24"/>
        </w:rPr>
        <w:t>acial</w:t>
      </w:r>
      <w:proofErr w:type="spellEnd"/>
      <w:r w:rsidRPr="00E761A8">
        <w:rPr>
          <w:rFonts w:ascii="Times New Roman" w:hAnsi="Times New Roman"/>
          <w:sz w:val="24"/>
          <w:szCs w:val="24"/>
        </w:rPr>
        <w:t xml:space="preserve"> hair of any type shall not interfere with the seal of SCBA face piece.’” </w:t>
      </w:r>
      <w:hyperlink r:id="rId500" w:history="1">
        <w:r w:rsidRPr="00E761A8">
          <w:rPr>
            <w:rStyle w:val="Hyperlink"/>
            <w:rFonts w:ascii="Times New Roman" w:hAnsi="Times New Roman"/>
            <w:sz w:val="24"/>
            <w:szCs w:val="24"/>
          </w:rPr>
          <w:t>https://www.anylaw.com/case/smith-v-city-of-atlantic-city-et-al/d-new-jersey/11-28-2023/WMlWRYwBqcoRgE-ICuER</w:t>
        </w:r>
      </w:hyperlink>
    </w:p>
    <w:p w14:paraId="03010CF1" w14:textId="5A5A32DF" w:rsidR="00044FB1" w:rsidRPr="00044FB1" w:rsidRDefault="00044FB1" w:rsidP="00E761A8">
      <w:pPr>
        <w:rPr>
          <w:rFonts w:ascii="Times New Roman" w:hAnsi="Times New Roman"/>
          <w:sz w:val="24"/>
          <w:szCs w:val="24"/>
        </w:rPr>
      </w:pPr>
      <w:r w:rsidRPr="00044FB1">
        <w:rPr>
          <w:rFonts w:ascii="Times New Roman" w:hAnsi="Times New Roman"/>
          <w:b/>
          <w:bCs/>
          <w:sz w:val="24"/>
          <w:szCs w:val="24"/>
        </w:rPr>
        <w:t>Legal Lesson Learned: FF must comply with OSHA standards on facial hair.</w:t>
      </w:r>
    </w:p>
    <w:p w14:paraId="6CD857DC" w14:textId="77777777" w:rsidR="001257CC" w:rsidRDefault="001257CC" w:rsidP="00853142">
      <w:pPr>
        <w:rPr>
          <w:rFonts w:ascii="Arial Black" w:hAnsi="Arial Black"/>
          <w:sz w:val="24"/>
          <w:szCs w:val="24"/>
        </w:rPr>
      </w:pPr>
    </w:p>
    <w:p w14:paraId="2EEE3822" w14:textId="68C9A93B" w:rsidR="00BB49C5" w:rsidRDefault="00BB49C5" w:rsidP="00853142">
      <w:pPr>
        <w:rPr>
          <w:rFonts w:ascii="Arial Black" w:hAnsi="Arial Black"/>
          <w:sz w:val="24"/>
          <w:szCs w:val="24"/>
        </w:rPr>
      </w:pPr>
      <w:r>
        <w:rPr>
          <w:rFonts w:ascii="Arial Black" w:hAnsi="Arial Black"/>
          <w:sz w:val="24"/>
          <w:szCs w:val="24"/>
        </w:rPr>
        <w:t>2-5</w:t>
      </w:r>
      <w:r w:rsidR="00BB73D4">
        <w:rPr>
          <w:rFonts w:ascii="Arial Black" w:hAnsi="Arial Black"/>
          <w:sz w:val="24"/>
          <w:szCs w:val="24"/>
        </w:rPr>
        <w:t>8</w:t>
      </w:r>
    </w:p>
    <w:p w14:paraId="620160D4" w14:textId="77777777" w:rsidR="00BB49C5" w:rsidRPr="00525651" w:rsidRDefault="00BB49C5" w:rsidP="00BB49C5">
      <w:pPr>
        <w:pStyle w:val="paragraph"/>
        <w:rPr>
          <w:rFonts w:ascii="Arial Black" w:hAnsi="Arial Black"/>
          <w:sz w:val="28"/>
          <w:szCs w:val="28"/>
        </w:rPr>
      </w:pPr>
      <w:r>
        <w:rPr>
          <w:rFonts w:ascii="Arial Black" w:hAnsi="Arial Black"/>
          <w:sz w:val="28"/>
          <w:szCs w:val="28"/>
        </w:rPr>
        <w:t xml:space="preserve">OH: SMOKE IN APARTMENT – RESIDENT TACKLED LT. &amp; DREW GUN – LT. TESTIFIED DEF. SENTENCING - 6 MONTHS </w:t>
      </w:r>
    </w:p>
    <w:p w14:paraId="69EC93AF" w14:textId="77777777" w:rsidR="00BB49C5" w:rsidRPr="00E17731" w:rsidRDefault="00BB49C5" w:rsidP="00BB49C5">
      <w:pPr>
        <w:pStyle w:val="paragraph"/>
      </w:pPr>
      <w:r>
        <w:t xml:space="preserve">On Oct. 26, 2023, in </w:t>
      </w:r>
      <w:r w:rsidRPr="00525651">
        <w:rPr>
          <w:u w:val="single"/>
        </w:rPr>
        <w:t>State of Ohio v. Victor Hatcher</w:t>
      </w:r>
      <w:r>
        <w:t xml:space="preserve">, the Court of Appeals of Ohio, Eight District, Cuyahoga County, held (3 to 0) that the </w:t>
      </w:r>
      <w:proofErr w:type="gramStart"/>
      <w:r>
        <w:t>six month</w:t>
      </w:r>
      <w:proofErr w:type="gramEnd"/>
      <w:r>
        <w:t xml:space="preserve"> jail sentence was appropriate for assaulting the Lieutenant of the Cleveland Fire Department, and then pulling a gun on firefighters in front of the building. In a plea bargain, he plead guilty to attempted assault, a felony of the fifth degree.  Court described the incident: “While the firefighters were investigating, appellant approached the firefighters and became angry, demanding that they leave. Lt. Todd O’Neill was the last to leave, and as he did so, appellant tackled him to the ground. Two other firefighters had to pull appellant </w:t>
      </w:r>
      <w:proofErr w:type="gramStart"/>
      <w:r>
        <w:t>off of</w:t>
      </w:r>
      <w:proofErr w:type="gramEnd"/>
      <w:r>
        <w:t xml:space="preserve"> O’Neill. Once the firefighters were outside, appellant went to his vehicle and retrieved a firearm. He waved the firearm at the firefighters and yelled at them. The battalion chief ordered the firefighters back to their rigs and called the police, who subsequently arrested appellant.” </w:t>
      </w:r>
      <w:hyperlink r:id="rId501" w:history="1">
        <w:r w:rsidRPr="0097451D">
          <w:rPr>
            <w:rStyle w:val="Hyperlink"/>
            <w:rFonts w:eastAsiaTheme="majorEastAsia"/>
          </w:rPr>
          <w:t>https://www.supremecourt.ohio.gov/rod/docs/pdf/8/2023/2023-Ohio-3884.pdf</w:t>
        </w:r>
      </w:hyperlink>
      <w:r>
        <w:t xml:space="preserve"> </w:t>
      </w:r>
      <w:r w:rsidRPr="00525651">
        <w:t xml:space="preserve"> </w:t>
      </w:r>
      <w:r>
        <w:t xml:space="preserve"> </w:t>
      </w:r>
      <w:r w:rsidRPr="00E17731">
        <w:t xml:space="preserve"> </w:t>
      </w:r>
    </w:p>
    <w:p w14:paraId="0B096F1A" w14:textId="77777777" w:rsidR="00BB49C5" w:rsidRPr="00E17731" w:rsidRDefault="00BB49C5" w:rsidP="00BB49C5">
      <w:pPr>
        <w:rPr>
          <w:rFonts w:ascii="Times New Roman" w:hAnsi="Times New Roman"/>
          <w:b/>
          <w:bCs/>
          <w:sz w:val="24"/>
          <w:szCs w:val="24"/>
        </w:rPr>
      </w:pPr>
      <w:r w:rsidRPr="00E17731">
        <w:rPr>
          <w:rFonts w:ascii="Times New Roman" w:hAnsi="Times New Roman"/>
          <w:b/>
          <w:bCs/>
          <w:sz w:val="24"/>
          <w:szCs w:val="24"/>
        </w:rPr>
        <w:t>Legal Lesson Learned:</w:t>
      </w:r>
      <w:r>
        <w:rPr>
          <w:rFonts w:ascii="Times New Roman" w:hAnsi="Times New Roman"/>
          <w:b/>
          <w:bCs/>
          <w:sz w:val="24"/>
          <w:szCs w:val="24"/>
        </w:rPr>
        <w:t xml:space="preserve"> Excellent to have Lieutenant testify at sentencing hearing. </w:t>
      </w:r>
    </w:p>
    <w:p w14:paraId="2F0336DF" w14:textId="5451D265" w:rsidR="00BB49C5" w:rsidRPr="00E17731" w:rsidRDefault="00BB49C5" w:rsidP="00BB49C5">
      <w:pPr>
        <w:pStyle w:val="paragraph"/>
      </w:pPr>
      <w:r>
        <w:t xml:space="preserve"> </w:t>
      </w:r>
      <w:r w:rsidRPr="00525651">
        <w:t xml:space="preserve"> </w:t>
      </w:r>
      <w:r>
        <w:t xml:space="preserve"> </w:t>
      </w:r>
      <w:r w:rsidRPr="00E17731">
        <w:t xml:space="preserve"> </w:t>
      </w:r>
    </w:p>
    <w:p w14:paraId="4263D095" w14:textId="77777777" w:rsidR="00BB49C5" w:rsidRDefault="00BB49C5" w:rsidP="00853142">
      <w:pPr>
        <w:rPr>
          <w:rFonts w:ascii="Arial Black" w:hAnsi="Arial Black"/>
          <w:sz w:val="24"/>
          <w:szCs w:val="24"/>
        </w:rPr>
      </w:pPr>
    </w:p>
    <w:p w14:paraId="1B06AA0D" w14:textId="77777777" w:rsidR="00BB49C5" w:rsidRDefault="00BB49C5" w:rsidP="00853142">
      <w:pPr>
        <w:rPr>
          <w:rFonts w:ascii="Arial Black" w:hAnsi="Arial Black"/>
          <w:sz w:val="24"/>
          <w:szCs w:val="24"/>
        </w:rPr>
      </w:pPr>
    </w:p>
    <w:p w14:paraId="2985DEB8" w14:textId="4A9E8FFF" w:rsidR="0056123D" w:rsidRDefault="0056123D" w:rsidP="00853142">
      <w:pPr>
        <w:rPr>
          <w:rFonts w:ascii="Arial Black" w:hAnsi="Arial Black"/>
          <w:sz w:val="24"/>
          <w:szCs w:val="24"/>
        </w:rPr>
      </w:pPr>
      <w:r>
        <w:rPr>
          <w:rFonts w:ascii="Arial Black" w:hAnsi="Arial Black"/>
          <w:sz w:val="24"/>
          <w:szCs w:val="24"/>
        </w:rPr>
        <w:t>2-5</w:t>
      </w:r>
      <w:r w:rsidR="00BB73D4">
        <w:rPr>
          <w:rFonts w:ascii="Arial Black" w:hAnsi="Arial Black"/>
          <w:sz w:val="24"/>
          <w:szCs w:val="24"/>
        </w:rPr>
        <w:t>7</w:t>
      </w:r>
    </w:p>
    <w:p w14:paraId="236F745B" w14:textId="77777777" w:rsidR="0056123D" w:rsidRPr="009932E6" w:rsidRDefault="0056123D" w:rsidP="0056123D">
      <w:pPr>
        <w:pStyle w:val="NoSpacing"/>
        <w:rPr>
          <w:rFonts w:ascii="Arial Black" w:hAnsi="Arial Black"/>
          <w:sz w:val="28"/>
          <w:szCs w:val="28"/>
        </w:rPr>
      </w:pPr>
      <w:r>
        <w:rPr>
          <w:rFonts w:ascii="Arial Black" w:hAnsi="Arial Black"/>
          <w:sz w:val="28"/>
          <w:szCs w:val="28"/>
        </w:rPr>
        <w:t>CA: FOREST FIRE – BULLDOZER OPERATOR KILLED, TWO INJURED – EMPLOYED BY CONTRACTOR - CAN’T SUE STATE</w:t>
      </w:r>
    </w:p>
    <w:p w14:paraId="05CF9F7A" w14:textId="77777777" w:rsidR="0056123D" w:rsidRDefault="0056123D" w:rsidP="0056123D">
      <w:pPr>
        <w:pStyle w:val="NoSpacing"/>
        <w:rPr>
          <w:rFonts w:ascii="Times New Roman" w:hAnsi="Times New Roman"/>
          <w:sz w:val="24"/>
          <w:szCs w:val="24"/>
        </w:rPr>
      </w:pPr>
    </w:p>
    <w:p w14:paraId="0925CBB0" w14:textId="77777777" w:rsidR="0056123D" w:rsidRDefault="0056123D" w:rsidP="0056123D">
      <w:pPr>
        <w:pStyle w:val="NoSpacing"/>
        <w:rPr>
          <w:rFonts w:ascii="Times New Roman" w:hAnsi="Times New Roman"/>
          <w:sz w:val="24"/>
          <w:szCs w:val="24"/>
        </w:rPr>
      </w:pPr>
      <w:r>
        <w:rPr>
          <w:rFonts w:ascii="Times New Roman" w:hAnsi="Times New Roman"/>
          <w:sz w:val="24"/>
          <w:szCs w:val="24"/>
        </w:rPr>
        <w:t xml:space="preserve">On Sept. 27, 2023, in </w:t>
      </w:r>
      <w:r w:rsidRPr="00E350E5">
        <w:rPr>
          <w:rFonts w:ascii="Times New Roman" w:hAnsi="Times New Roman"/>
          <w:sz w:val="24"/>
          <w:szCs w:val="24"/>
          <w:u w:val="single"/>
        </w:rPr>
        <w:t>Connie Vandorien, et al. v. Department of Transportation</w:t>
      </w:r>
      <w:r>
        <w:rPr>
          <w:rFonts w:ascii="Times New Roman" w:hAnsi="Times New Roman"/>
          <w:sz w:val="24"/>
          <w:szCs w:val="24"/>
        </w:rPr>
        <w:t>, the Court of Appeal of State of California, Third Appellate District (Shasta), held (3 to 0; unpublished decision) that family of the deceased bulldoze operator (Don Smith) and two injured bulldoze operators (D</w:t>
      </w:r>
      <w:r w:rsidRPr="00E350E5">
        <w:rPr>
          <w:rFonts w:ascii="Times New Roman" w:hAnsi="Times New Roman"/>
          <w:sz w:val="24"/>
          <w:szCs w:val="24"/>
        </w:rPr>
        <w:t>onald Andrews and Terry Cumming</w:t>
      </w:r>
      <w:r>
        <w:rPr>
          <w:rFonts w:ascii="Times New Roman" w:hAnsi="Times New Roman"/>
          <w:sz w:val="24"/>
          <w:szCs w:val="24"/>
        </w:rPr>
        <w:t xml:space="preserve">s) cannot sue California Department of Forestry And Fire Protection (CalFire) or Department of Transportation (Cal Tran) for failure to assess the fire risk in 2018 “Carr Fire” and failure to adequately maintain vegetation near State Route 299. </w:t>
      </w:r>
    </w:p>
    <w:p w14:paraId="0A03D38A" w14:textId="77777777" w:rsidR="0056123D" w:rsidRPr="009932E6" w:rsidRDefault="0056123D" w:rsidP="0056123D">
      <w:pPr>
        <w:pStyle w:val="NoSpacing"/>
        <w:ind w:firstLine="720"/>
        <w:rPr>
          <w:rFonts w:ascii="Times New Roman" w:hAnsi="Times New Roman"/>
          <w:sz w:val="24"/>
          <w:szCs w:val="24"/>
        </w:rPr>
      </w:pPr>
      <w:r>
        <w:rPr>
          <w:rFonts w:ascii="Times New Roman" w:hAnsi="Times New Roman"/>
          <w:sz w:val="24"/>
          <w:szCs w:val="24"/>
        </w:rPr>
        <w:t>“</w:t>
      </w:r>
      <w:proofErr w:type="spellStart"/>
      <w:r w:rsidRPr="009932E6">
        <w:rPr>
          <w:rFonts w:ascii="Times New Roman" w:hAnsi="Times New Roman"/>
          <w:sz w:val="24"/>
          <w:szCs w:val="24"/>
        </w:rPr>
        <w:t>CalTrans</w:t>
      </w:r>
      <w:proofErr w:type="spellEnd"/>
      <w:r w:rsidRPr="009932E6">
        <w:rPr>
          <w:rFonts w:ascii="Times New Roman" w:hAnsi="Times New Roman"/>
          <w:sz w:val="24"/>
          <w:szCs w:val="24"/>
        </w:rPr>
        <w:t xml:space="preserve"> successfully demurred to the SAC and the heirs’ wrongful death claim</w:t>
      </w:r>
    </w:p>
    <w:p w14:paraId="4FD71C3D" w14:textId="77777777" w:rsidR="0056123D" w:rsidRPr="009932E6" w:rsidRDefault="0056123D" w:rsidP="0056123D">
      <w:pPr>
        <w:pStyle w:val="NoSpacing"/>
        <w:ind w:firstLine="720"/>
        <w:rPr>
          <w:rFonts w:ascii="Times New Roman" w:hAnsi="Times New Roman"/>
          <w:sz w:val="24"/>
          <w:szCs w:val="24"/>
        </w:rPr>
      </w:pPr>
      <w:r w:rsidRPr="009932E6">
        <w:rPr>
          <w:rFonts w:ascii="Times New Roman" w:hAnsi="Times New Roman"/>
          <w:sz w:val="24"/>
          <w:szCs w:val="24"/>
        </w:rPr>
        <w:t>on the basis that it was not liable under our Supreme Court’s holding in Privette v.</w:t>
      </w:r>
    </w:p>
    <w:p w14:paraId="0A633877" w14:textId="77777777" w:rsidR="0056123D" w:rsidRPr="009932E6" w:rsidRDefault="0056123D" w:rsidP="0056123D">
      <w:pPr>
        <w:pStyle w:val="NoSpacing"/>
        <w:ind w:firstLine="720"/>
        <w:rPr>
          <w:rFonts w:ascii="Times New Roman" w:hAnsi="Times New Roman"/>
          <w:sz w:val="24"/>
          <w:szCs w:val="24"/>
        </w:rPr>
      </w:pPr>
      <w:r w:rsidRPr="009932E6">
        <w:rPr>
          <w:rFonts w:ascii="Times New Roman" w:hAnsi="Times New Roman"/>
          <w:sz w:val="24"/>
          <w:szCs w:val="24"/>
        </w:rPr>
        <w:t>Superior Court (1993) 5 Cal.4th 689 (Privette) and its progeny, which generally prohibit</w:t>
      </w:r>
    </w:p>
    <w:p w14:paraId="1B79DAB7" w14:textId="77777777" w:rsidR="0056123D" w:rsidRPr="009932E6" w:rsidRDefault="0056123D" w:rsidP="0056123D">
      <w:pPr>
        <w:pStyle w:val="NoSpacing"/>
        <w:ind w:firstLine="720"/>
        <w:rPr>
          <w:rFonts w:ascii="Times New Roman" w:hAnsi="Times New Roman"/>
          <w:sz w:val="24"/>
          <w:szCs w:val="24"/>
        </w:rPr>
      </w:pPr>
      <w:r w:rsidRPr="009932E6">
        <w:rPr>
          <w:rFonts w:ascii="Times New Roman" w:hAnsi="Times New Roman"/>
          <w:sz w:val="24"/>
          <w:szCs w:val="24"/>
        </w:rPr>
        <w:t>an independent contractor or its employees from suing the hirer of the contractor for</w:t>
      </w:r>
    </w:p>
    <w:p w14:paraId="2CC85BC6" w14:textId="77777777" w:rsidR="0056123D" w:rsidRPr="009932E6" w:rsidRDefault="0056123D" w:rsidP="0056123D">
      <w:pPr>
        <w:pStyle w:val="NoSpacing"/>
        <w:ind w:firstLine="720"/>
        <w:rPr>
          <w:rFonts w:ascii="Times New Roman" w:hAnsi="Times New Roman"/>
          <w:sz w:val="24"/>
          <w:szCs w:val="24"/>
        </w:rPr>
      </w:pPr>
      <w:r w:rsidRPr="009932E6">
        <w:rPr>
          <w:rFonts w:ascii="Times New Roman" w:hAnsi="Times New Roman"/>
          <w:sz w:val="24"/>
          <w:szCs w:val="24"/>
        </w:rPr>
        <w:t>workplace injuries except where the hirer has negligently exercised retained control or</w:t>
      </w:r>
    </w:p>
    <w:p w14:paraId="1D7584BD" w14:textId="77777777" w:rsidR="0056123D" w:rsidRDefault="0056123D" w:rsidP="0056123D">
      <w:pPr>
        <w:pStyle w:val="NoSpacing"/>
        <w:ind w:left="720"/>
        <w:rPr>
          <w:rFonts w:ascii="Times New Roman" w:hAnsi="Times New Roman"/>
          <w:sz w:val="24"/>
          <w:szCs w:val="24"/>
        </w:rPr>
      </w:pPr>
      <w:r w:rsidRPr="009932E6">
        <w:rPr>
          <w:rFonts w:ascii="Times New Roman" w:hAnsi="Times New Roman"/>
          <w:sz w:val="24"/>
          <w:szCs w:val="24"/>
        </w:rPr>
        <w:t>concealed a preexisting hazard.</w:t>
      </w:r>
      <w:r>
        <w:rPr>
          <w:rFonts w:ascii="Times New Roman" w:hAnsi="Times New Roman"/>
          <w:sz w:val="24"/>
          <w:szCs w:val="24"/>
        </w:rPr>
        <w:t xml:space="preserve">”  </w:t>
      </w:r>
      <w:hyperlink r:id="rId502" w:history="1">
        <w:r w:rsidRPr="00537EB6">
          <w:rPr>
            <w:rStyle w:val="Hyperlink"/>
            <w:rFonts w:ascii="Times New Roman" w:hAnsi="Times New Roman"/>
            <w:sz w:val="24"/>
            <w:szCs w:val="24"/>
          </w:rPr>
          <w:t>https://www.courts.ca.gov/opinions/nonpub/C096220.PDF</w:t>
        </w:r>
      </w:hyperlink>
      <w:r>
        <w:rPr>
          <w:rFonts w:ascii="Times New Roman" w:hAnsi="Times New Roman"/>
          <w:sz w:val="24"/>
          <w:szCs w:val="24"/>
        </w:rPr>
        <w:t xml:space="preserve"> </w:t>
      </w:r>
    </w:p>
    <w:p w14:paraId="713BBEF4" w14:textId="77777777" w:rsidR="0056123D" w:rsidRDefault="0056123D" w:rsidP="0056123D">
      <w:pPr>
        <w:pStyle w:val="NoSpacing"/>
        <w:rPr>
          <w:rFonts w:ascii="Times New Roman" w:hAnsi="Times New Roman"/>
          <w:b/>
          <w:bCs/>
          <w:sz w:val="24"/>
          <w:szCs w:val="24"/>
        </w:rPr>
      </w:pPr>
    </w:p>
    <w:p w14:paraId="568A8A30" w14:textId="604FD218" w:rsidR="0056123D" w:rsidRPr="0059137D" w:rsidRDefault="0056123D" w:rsidP="0056123D">
      <w:pPr>
        <w:pStyle w:val="NoSpacing"/>
        <w:rPr>
          <w:rFonts w:ascii="Times New Roman" w:hAnsi="Times New Roman"/>
          <w:b/>
          <w:bCs/>
          <w:sz w:val="24"/>
          <w:szCs w:val="24"/>
        </w:rPr>
      </w:pPr>
      <w:r w:rsidRPr="0059137D">
        <w:rPr>
          <w:rFonts w:ascii="Times New Roman" w:hAnsi="Times New Roman"/>
          <w:b/>
          <w:bCs/>
          <w:sz w:val="24"/>
          <w:szCs w:val="24"/>
        </w:rPr>
        <w:t>Legal Lesson Learned:</w:t>
      </w:r>
      <w:r>
        <w:rPr>
          <w:rFonts w:ascii="Times New Roman" w:hAnsi="Times New Roman"/>
          <w:b/>
          <w:bCs/>
          <w:sz w:val="24"/>
          <w:szCs w:val="24"/>
        </w:rPr>
        <w:t xml:space="preserve"> The bulldoze operators were employees to the independent contractor; their remedy is worker’s comp through their employer. </w:t>
      </w:r>
    </w:p>
    <w:p w14:paraId="1BE42B68" w14:textId="77777777" w:rsidR="0056123D" w:rsidRDefault="0056123D" w:rsidP="0056123D">
      <w:pPr>
        <w:pStyle w:val="NoSpacing"/>
        <w:rPr>
          <w:rFonts w:ascii="Times New Roman" w:hAnsi="Times New Roman"/>
          <w:sz w:val="24"/>
          <w:szCs w:val="24"/>
        </w:rPr>
      </w:pPr>
    </w:p>
    <w:p w14:paraId="1C848859" w14:textId="77777777" w:rsidR="0056123D" w:rsidRDefault="0056123D" w:rsidP="00853142">
      <w:pPr>
        <w:rPr>
          <w:rFonts w:ascii="Arial Black" w:hAnsi="Arial Black"/>
          <w:sz w:val="24"/>
          <w:szCs w:val="24"/>
        </w:rPr>
      </w:pPr>
    </w:p>
    <w:p w14:paraId="76679C0E" w14:textId="75666C9F" w:rsidR="00FE60DA" w:rsidRDefault="00FE60DA" w:rsidP="00853142">
      <w:pPr>
        <w:rPr>
          <w:rFonts w:ascii="Arial Black" w:hAnsi="Arial Black"/>
          <w:sz w:val="24"/>
          <w:szCs w:val="24"/>
        </w:rPr>
      </w:pPr>
      <w:r>
        <w:rPr>
          <w:rFonts w:ascii="Arial Black" w:hAnsi="Arial Black"/>
          <w:sz w:val="24"/>
          <w:szCs w:val="24"/>
        </w:rPr>
        <w:t>2-5</w:t>
      </w:r>
      <w:r w:rsidR="00BB73D4">
        <w:rPr>
          <w:rFonts w:ascii="Arial Black" w:hAnsi="Arial Black"/>
          <w:sz w:val="24"/>
          <w:szCs w:val="24"/>
        </w:rPr>
        <w:t>6</w:t>
      </w:r>
    </w:p>
    <w:p w14:paraId="301CE9F2" w14:textId="77777777" w:rsidR="00FE60DA" w:rsidRPr="009C2567" w:rsidRDefault="00FE60DA" w:rsidP="00FE60DA">
      <w:pPr>
        <w:spacing w:before="100" w:beforeAutospacing="1" w:after="100" w:afterAutospacing="1" w:line="240" w:lineRule="auto"/>
        <w:rPr>
          <w:rFonts w:ascii="Arial Black" w:hAnsi="Arial Black"/>
          <w:sz w:val="28"/>
          <w:szCs w:val="28"/>
        </w:rPr>
      </w:pPr>
      <w:r>
        <w:rPr>
          <w:rFonts w:ascii="Arial Black" w:hAnsi="Arial Black"/>
          <w:sz w:val="28"/>
          <w:szCs w:val="28"/>
        </w:rPr>
        <w:t>NY:  1992 ARSON CLOTHING STORE - LODD OF FDNY LT. –BLDG OWNER 36 YRS PRISON - DENIED HOME DETENTION</w:t>
      </w:r>
    </w:p>
    <w:p w14:paraId="6047AD8C" w14:textId="77777777" w:rsidR="00FE60DA" w:rsidRDefault="00FE60DA" w:rsidP="00FE60DA">
      <w:pPr>
        <w:spacing w:before="100" w:beforeAutospacing="1" w:after="100" w:afterAutospacing="1" w:line="240" w:lineRule="auto"/>
        <w:rPr>
          <w:rFonts w:ascii="Times New Roman" w:hAnsi="Times New Roman"/>
          <w:sz w:val="24"/>
          <w:szCs w:val="24"/>
        </w:rPr>
      </w:pPr>
      <w:r w:rsidRPr="007C560E">
        <w:rPr>
          <w:rFonts w:ascii="Times New Roman" w:eastAsia="Times New Roman" w:hAnsi="Times New Roman"/>
          <w:sz w:val="24"/>
          <w:szCs w:val="24"/>
        </w:rPr>
        <w:t xml:space="preserve">On June 30, 2023, in </w:t>
      </w:r>
      <w:r w:rsidRPr="007C560E">
        <w:rPr>
          <w:rFonts w:ascii="Times New Roman" w:eastAsia="Times New Roman" w:hAnsi="Times New Roman"/>
          <w:sz w:val="24"/>
          <w:szCs w:val="24"/>
          <w:u w:val="single"/>
        </w:rPr>
        <w:t>Jack Ferranti v. Warden Allenwood LSCI</w:t>
      </w:r>
      <w:r w:rsidRPr="007C560E">
        <w:rPr>
          <w:rFonts w:ascii="Times New Roman" w:eastAsia="Times New Roman" w:hAnsi="Times New Roman"/>
          <w:sz w:val="24"/>
          <w:szCs w:val="24"/>
        </w:rPr>
        <w:t xml:space="preserve">, the U.S. Court of Appeals for Third Circuit (Philadelphia) held (3 to 0) that U.S. Bureau of Prisons, and U.S. District Court properly denied his request to serve the remainder of his sentence at home under the </w:t>
      </w:r>
      <w:r w:rsidRPr="007C560E">
        <w:rPr>
          <w:rFonts w:ascii="Times New Roman" w:hAnsi="Times New Roman"/>
          <w:sz w:val="24"/>
          <w:szCs w:val="24"/>
        </w:rPr>
        <w:t xml:space="preserve">Elderly Offender Home Detention Program (EOHDP), a pilot program expanded as part of the 2018 First Step Act signed into law by President Trump. The Feb. 24, 1992, fire, in a three-story brick building with stores on the ground floor, sent smoke-choked tenants into the street and killed Lieut. Thomas A. Williams, 52, a 30-year veteran of the department and the father of two college-age daughters. Lieutenant Williams either fell or was blown out of a second-story window after a buildup of smoke and gases. He was </w:t>
      </w:r>
      <w:proofErr w:type="gramStart"/>
      <w:r w:rsidRPr="007C560E">
        <w:rPr>
          <w:rFonts w:ascii="Times New Roman" w:hAnsi="Times New Roman"/>
          <w:sz w:val="24"/>
          <w:szCs w:val="24"/>
        </w:rPr>
        <w:t>sentenced</w:t>
      </w:r>
      <w:proofErr w:type="gramEnd"/>
      <w:r w:rsidRPr="007C560E">
        <w:rPr>
          <w:rFonts w:ascii="Times New Roman" w:hAnsi="Times New Roman"/>
          <w:sz w:val="24"/>
          <w:szCs w:val="24"/>
        </w:rPr>
        <w:t xml:space="preserve"> 435 months' </w:t>
      </w:r>
      <w:r>
        <w:rPr>
          <w:rFonts w:ascii="Times New Roman" w:hAnsi="Times New Roman"/>
          <w:sz w:val="24"/>
          <w:szCs w:val="24"/>
        </w:rPr>
        <w:t xml:space="preserve">(36 years) </w:t>
      </w:r>
      <w:r w:rsidRPr="007C560E">
        <w:rPr>
          <w:rFonts w:ascii="Times New Roman" w:hAnsi="Times New Roman"/>
          <w:sz w:val="24"/>
          <w:szCs w:val="24"/>
        </w:rPr>
        <w:t>imprisonment</w:t>
      </w:r>
      <w:r>
        <w:rPr>
          <w:rFonts w:ascii="Times New Roman" w:hAnsi="Times New Roman"/>
          <w:sz w:val="24"/>
          <w:szCs w:val="24"/>
        </w:rPr>
        <w:t xml:space="preserve"> and </w:t>
      </w:r>
      <w:r w:rsidRPr="007C560E">
        <w:rPr>
          <w:rFonts w:ascii="Times New Roman" w:hAnsi="Times New Roman"/>
          <w:sz w:val="24"/>
          <w:szCs w:val="24"/>
        </w:rPr>
        <w:t xml:space="preserve">with </w:t>
      </w:r>
      <w:proofErr w:type="gramStart"/>
      <w:r w:rsidRPr="007C560E">
        <w:rPr>
          <w:rFonts w:ascii="Times New Roman" w:hAnsi="Times New Roman"/>
          <w:sz w:val="24"/>
          <w:szCs w:val="24"/>
        </w:rPr>
        <w:t>good time</w:t>
      </w:r>
      <w:proofErr w:type="gramEnd"/>
      <w:r w:rsidRPr="007C560E">
        <w:rPr>
          <w:rFonts w:ascii="Times New Roman" w:hAnsi="Times New Roman"/>
          <w:sz w:val="24"/>
          <w:szCs w:val="24"/>
        </w:rPr>
        <w:t xml:space="preserve"> credits, the Bureau of Prisons (BOP) expects he will be released from prison in April 2026.</w:t>
      </w:r>
      <w:r>
        <w:rPr>
          <w:rFonts w:ascii="Times New Roman" w:hAnsi="Times New Roman"/>
          <w:sz w:val="24"/>
          <w:szCs w:val="24"/>
        </w:rPr>
        <w:t xml:space="preserve"> </w:t>
      </w:r>
    </w:p>
    <w:p w14:paraId="38D9BC63" w14:textId="77777777" w:rsidR="00FE60DA" w:rsidRPr="009C2567" w:rsidRDefault="00FE60DA" w:rsidP="00FE60DA">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The 3</w:t>
      </w:r>
      <w:r w:rsidRPr="009C2567">
        <w:rPr>
          <w:rFonts w:ascii="Times New Roman" w:hAnsi="Times New Roman"/>
          <w:sz w:val="24"/>
          <w:szCs w:val="24"/>
          <w:vertAlign w:val="superscript"/>
        </w:rPr>
        <w:t>rd</w:t>
      </w:r>
      <w:r>
        <w:rPr>
          <w:rFonts w:ascii="Times New Roman" w:hAnsi="Times New Roman"/>
          <w:sz w:val="24"/>
          <w:szCs w:val="24"/>
        </w:rPr>
        <w:t xml:space="preserve"> Circuit held: “</w:t>
      </w:r>
      <w:r>
        <w:rPr>
          <w:rFonts w:ascii="Times New Roman" w:eastAsia="Times New Roman" w:hAnsi="Times New Roman"/>
          <w:sz w:val="24"/>
          <w:szCs w:val="24"/>
        </w:rPr>
        <w:t>[T]</w:t>
      </w:r>
      <w:r w:rsidRPr="009C2567">
        <w:rPr>
          <w:rFonts w:ascii="Times New Roman" w:eastAsia="Times New Roman" w:hAnsi="Times New Roman"/>
          <w:sz w:val="24"/>
          <w:szCs w:val="24"/>
        </w:rPr>
        <w:t>he BOP did not err by concluding that Ferranti's history of violence-comprised of the underlying conduct for his convictions as well as disciplinary infractions in prison-disqualified him from participating in the EOHDP. For the foregoing reasons, we will affirm the District Court's orders denying relief.</w:t>
      </w:r>
      <w:r>
        <w:rPr>
          <w:rFonts w:ascii="Times New Roman" w:eastAsia="Times New Roman" w:hAnsi="Times New Roman"/>
          <w:sz w:val="24"/>
          <w:szCs w:val="24"/>
        </w:rPr>
        <w:t xml:space="preserve">” </w:t>
      </w:r>
      <w:hyperlink r:id="rId503" w:history="1">
        <w:r w:rsidRPr="00812663">
          <w:rPr>
            <w:rStyle w:val="Hyperlink"/>
            <w:sz w:val="24"/>
            <w:szCs w:val="24"/>
          </w:rPr>
          <w:t>https://law.justia.com/cases/federal/appellate-courts/ca3/22-1892/22-1892-2023-06-30.html</w:t>
        </w:r>
      </w:hyperlink>
      <w:r>
        <w:rPr>
          <w:rFonts w:ascii="Times New Roman" w:eastAsia="Times New Roman" w:hAnsi="Times New Roman"/>
          <w:sz w:val="24"/>
          <w:szCs w:val="24"/>
        </w:rPr>
        <w:t xml:space="preserve"> </w:t>
      </w:r>
    </w:p>
    <w:p w14:paraId="17541C2E" w14:textId="77777777" w:rsidR="00FE60DA" w:rsidRPr="007C560E" w:rsidRDefault="00FE60DA" w:rsidP="00FE60DA">
      <w:pPr>
        <w:pStyle w:val="NormalWeb"/>
        <w:rPr>
          <w:b/>
          <w:bCs/>
        </w:rPr>
      </w:pPr>
      <w:r w:rsidRPr="007C560E">
        <w:rPr>
          <w:b/>
          <w:bCs/>
        </w:rPr>
        <w:t>Legal Lesson Learned: Arsonists</w:t>
      </w:r>
      <w:r>
        <w:rPr>
          <w:b/>
          <w:bCs/>
        </w:rPr>
        <w:t>, and other violent offenders,</w:t>
      </w:r>
      <w:r w:rsidRPr="007C560E">
        <w:rPr>
          <w:b/>
          <w:bCs/>
        </w:rPr>
        <w:t xml:space="preserve"> are not qualified for Elderly Offender Home Detention Program</w:t>
      </w:r>
      <w:r>
        <w:rPr>
          <w:b/>
          <w:bCs/>
        </w:rPr>
        <w:t xml:space="preserve"> (age 60 or older)</w:t>
      </w:r>
      <w:r w:rsidRPr="007C560E">
        <w:rPr>
          <w:b/>
          <w:bCs/>
        </w:rPr>
        <w:t xml:space="preserve">. </w:t>
      </w:r>
    </w:p>
    <w:p w14:paraId="10C9BBCC" w14:textId="77777777" w:rsidR="00FE60DA" w:rsidRDefault="00FE60DA" w:rsidP="00FE60DA">
      <w:pPr>
        <w:pStyle w:val="NormalWeb"/>
        <w:ind w:left="720"/>
      </w:pPr>
      <w:r w:rsidRPr="007C560E">
        <w:t xml:space="preserve">Note:  See Aug. 16, </w:t>
      </w:r>
      <w:proofErr w:type="gramStart"/>
      <w:r w:rsidRPr="007C560E">
        <w:t>1995</w:t>
      </w:r>
      <w:proofErr w:type="gramEnd"/>
      <w:r w:rsidRPr="007C560E">
        <w:t xml:space="preserve"> </w:t>
      </w:r>
      <w:r>
        <w:t xml:space="preserve">New York Times </w:t>
      </w:r>
      <w:r w:rsidRPr="007C560E">
        <w:t>article, “Storeowner Guilty of Arson Where Fireman Died.”</w:t>
      </w:r>
      <w:r>
        <w:t xml:space="preserve"> </w:t>
      </w:r>
      <w:hyperlink r:id="rId504" w:history="1">
        <w:r w:rsidRPr="00AA56D8">
          <w:rPr>
            <w:rStyle w:val="Hyperlink"/>
          </w:rPr>
          <w:t>https://www.nytimes.com/1995/08/16/nyregion/storeowner-guilty-of-arson-where-fireman-died.html</w:t>
        </w:r>
      </w:hyperlink>
      <w:r>
        <w:t xml:space="preserve"> </w:t>
      </w:r>
    </w:p>
    <w:p w14:paraId="26364599" w14:textId="77777777" w:rsidR="00FE60DA" w:rsidRDefault="00FE60DA" w:rsidP="00FE60DA">
      <w:pPr>
        <w:pStyle w:val="css-at9mc1"/>
        <w:ind w:left="720"/>
      </w:pPr>
      <w:r>
        <w:t xml:space="preserve">“The owner of a Queens clothing store was convicted of arson by a </w:t>
      </w:r>
      <w:proofErr w:type="gramStart"/>
      <w:r>
        <w:t>Federal</w:t>
      </w:r>
      <w:proofErr w:type="gramEnd"/>
      <w:r>
        <w:t xml:space="preserve"> court jury in Brooklyn yesterday in a fire that killed a highly decorated firefighter. The storeowner, Jack Ferranti, 42, of Manhattan, could receive life in prison. Mr. Ferranti's brother, Mario, 37, was convicted of arson conspiracy, and could receive five years in prison. The sentencing by Judge Jack B. Weinstein will not be scheduled until after the trial of Thomas Tocco, 29, a third defendant, whose case was severed from the Ferranti trial, officials said. Mr. Tocco's trial is scheduled to begin on Monday…. The indictment, unsealed in February, three years after the Feb. 24, 1992, fire, charged that shortly before the blaze, Jack Ferranti had moved a large amount of merchandise from the store, Today's Styles, at 66-45 Grand Avenue in Maspeth, and that after the fire he falsely claimed the goods had been destroyed, for a loss of $100,000. During the investigation, Mr. Ferranti withdrew the insurance claim. Besides the arson charge, Mr. Ferranti was found guilty of 16 counts of mail fraud in connection with the insurance claims and one count of witness tampering. The fire, in a three-story brick building with stores on the ground floor, sent smoke-choked tenants into the street and killed Lieut. Thomas A. Williams, 52, a 30-year veteran of the department and the father of two college-age daughters. Lieutenant Williams either fell or was blown out of a second-story window after a buildup of smoke and gases.”</w:t>
      </w:r>
    </w:p>
    <w:p w14:paraId="087FF66A" w14:textId="7238ED89" w:rsidR="00FE60DA" w:rsidRDefault="00FE60DA" w:rsidP="00853142">
      <w:pPr>
        <w:rPr>
          <w:rFonts w:ascii="Arial Black" w:hAnsi="Arial Black"/>
          <w:sz w:val="24"/>
          <w:szCs w:val="24"/>
        </w:rPr>
      </w:pPr>
      <w:r>
        <w:rPr>
          <w:rFonts w:ascii="Arial Black" w:hAnsi="Arial Black"/>
          <w:sz w:val="24"/>
          <w:szCs w:val="24"/>
        </w:rPr>
        <w:t>2-5</w:t>
      </w:r>
      <w:r w:rsidR="00BB73D4">
        <w:rPr>
          <w:rFonts w:ascii="Arial Black" w:hAnsi="Arial Black"/>
          <w:sz w:val="24"/>
          <w:szCs w:val="24"/>
        </w:rPr>
        <w:t>5</w:t>
      </w:r>
    </w:p>
    <w:p w14:paraId="6175D787" w14:textId="77777777" w:rsidR="00FE60DA" w:rsidRPr="00171981" w:rsidRDefault="00FE60DA" w:rsidP="00FE60DA">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PA: KIDNEY CANCER – STATE LAW PROPERLY EXTENDS COVERAGE TO CHEMICALS LATER PLACED IN “GROUP 1” </w:t>
      </w:r>
    </w:p>
    <w:p w14:paraId="00DA3C06" w14:textId="77777777" w:rsidR="00FE60DA"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21, 2023, in </w:t>
      </w:r>
      <w:r w:rsidRPr="005949A3">
        <w:rPr>
          <w:rFonts w:ascii="Times New Roman" w:hAnsi="Times New Roman"/>
          <w:sz w:val="24"/>
          <w:szCs w:val="24"/>
          <w:u w:val="single"/>
        </w:rPr>
        <w:t>City of Philadelphia v. Joseph Healey (Workers’ Compensation Appeal Board)</w:t>
      </w:r>
      <w:r>
        <w:rPr>
          <w:rFonts w:ascii="Times New Roman" w:hAnsi="Times New Roman"/>
          <w:sz w:val="24"/>
          <w:szCs w:val="24"/>
        </w:rPr>
        <w:t xml:space="preserve">, the Commonwealth Court of Pennsylvania held (7 to 0) that the firefighter was properly granted workers comp for his kidney cancer, rejecting the City’s argument that the state’s 2011 statute improperly allows additional substances like </w:t>
      </w:r>
      <w:r w:rsidRPr="00DB7D8B">
        <w:rPr>
          <w:rFonts w:ascii="Times New Roman" w:hAnsi="Times New Roman"/>
          <w:sz w:val="24"/>
          <w:szCs w:val="24"/>
        </w:rPr>
        <w:t>trichlorethylene</w:t>
      </w:r>
      <w:r>
        <w:t xml:space="preserve"> (</w:t>
      </w:r>
      <w:r>
        <w:rPr>
          <w:rFonts w:ascii="Times New Roman" w:hAnsi="Times New Roman"/>
          <w:sz w:val="24"/>
          <w:szCs w:val="24"/>
        </w:rPr>
        <w:t xml:space="preserve">TCE is </w:t>
      </w:r>
      <w:r w:rsidRPr="00DB7D8B">
        <w:rPr>
          <w:rFonts w:ascii="Times New Roman" w:hAnsi="Times New Roman"/>
          <w:sz w:val="24"/>
          <w:szCs w:val="24"/>
        </w:rPr>
        <w:t>industrial solvent for degreasing metal parts)</w:t>
      </w:r>
      <w:r>
        <w:rPr>
          <w:rFonts w:ascii="Times New Roman" w:hAnsi="Times New Roman"/>
          <w:sz w:val="24"/>
          <w:szCs w:val="24"/>
        </w:rPr>
        <w:t xml:space="preserve"> to be added to Group 1 list by the </w:t>
      </w:r>
      <w:r w:rsidRPr="005949A3">
        <w:rPr>
          <w:rFonts w:ascii="Times New Roman" w:hAnsi="Times New Roman"/>
          <w:sz w:val="24"/>
          <w:szCs w:val="24"/>
        </w:rPr>
        <w:t>International Agency for Research on Cancer</w:t>
      </w:r>
      <w:r>
        <w:rPr>
          <w:rFonts w:ascii="Times New Roman" w:hAnsi="Times New Roman"/>
          <w:sz w:val="24"/>
          <w:szCs w:val="24"/>
        </w:rPr>
        <w:t xml:space="preserve">. In 2011, TCE was listed as a Group 2a substance (“probably carcinogenic to humans”). </w:t>
      </w:r>
    </w:p>
    <w:p w14:paraId="4F3D6DD2" w14:textId="77777777" w:rsidR="00FE60DA" w:rsidRPr="0003518A"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The Court held: “E</w:t>
      </w:r>
      <w:r w:rsidRPr="005949A3">
        <w:rPr>
          <w:rFonts w:ascii="Times New Roman" w:hAnsi="Times New Roman"/>
          <w:sz w:val="24"/>
          <w:szCs w:val="24"/>
        </w:rPr>
        <w:t xml:space="preserve">mployer argues that the WCJ erred by relying on Claimant's TCE exposure to grant the Claim Petition under Section 108(r) of the Act. Specifically, Employer contends that interpreting Section 108(r) of the Act to include TCE as a Group 1 carcinogen </w:t>
      </w:r>
      <w:r w:rsidRPr="005949A3">
        <w:rPr>
          <w:rStyle w:val="Emphasis"/>
          <w:rFonts w:ascii="Times New Roman" w:hAnsi="Times New Roman"/>
          <w:sz w:val="24"/>
          <w:szCs w:val="24"/>
        </w:rPr>
        <w:t>after</w:t>
      </w:r>
      <w:r w:rsidRPr="005949A3">
        <w:rPr>
          <w:rFonts w:ascii="Times New Roman" w:hAnsi="Times New Roman"/>
          <w:sz w:val="24"/>
          <w:szCs w:val="24"/>
        </w:rPr>
        <w:t xml:space="preserve"> Act 46 became law on July 7, 2011, makes Section 108(r) of the Act reliant on the IARC's ever-changing Group 1 carcinogen list and, thus, the General Assembly unconstitutionally delegated its lawmaking authority to the IARC.</w:t>
      </w:r>
      <w:r>
        <w:rPr>
          <w:rFonts w:ascii="Times New Roman" w:hAnsi="Times New Roman"/>
          <w:sz w:val="24"/>
          <w:szCs w:val="24"/>
        </w:rPr>
        <w:t xml:space="preserve"> *** [Footnote 11. </w:t>
      </w:r>
      <w:r w:rsidRPr="00DB7D8B">
        <w:rPr>
          <w:rFonts w:ascii="Times New Roman" w:hAnsi="Times New Roman"/>
          <w:sz w:val="24"/>
          <w:szCs w:val="24"/>
        </w:rPr>
        <w:t xml:space="preserve">In addition, well-settled delegation standards and case law specify that the General Assembly has the authority </w:t>
      </w:r>
      <w:r>
        <w:rPr>
          <w:rFonts w:ascii="Times New Roman" w:hAnsi="Times New Roman"/>
          <w:sz w:val="24"/>
          <w:szCs w:val="24"/>
        </w:rPr>
        <w:t>‘</w:t>
      </w:r>
      <w:r w:rsidRPr="00DB7D8B">
        <w:rPr>
          <w:rFonts w:ascii="Times New Roman" w:hAnsi="Times New Roman"/>
          <w:sz w:val="24"/>
          <w:szCs w:val="24"/>
        </w:rPr>
        <w:t>to delegate to [the IARC], its execution and administrative authority over Pennsylvania's [occupational disease classifications], . . . as long as: (1) basic policy choices are still made by the General Assembly; and (2) the legislation contains adequate standards to guide and restrain the exercise of those functions.</w:t>
      </w:r>
      <w:r>
        <w:rPr>
          <w:rFonts w:ascii="Times New Roman" w:hAnsi="Times New Roman"/>
          <w:sz w:val="24"/>
          <w:szCs w:val="24"/>
        </w:rPr>
        <w:t>’</w:t>
      </w:r>
      <w:r w:rsidRPr="00DB7D8B">
        <w:rPr>
          <w:rFonts w:ascii="Times New Roman" w:hAnsi="Times New Roman"/>
          <w:sz w:val="24"/>
          <w:szCs w:val="24"/>
        </w:rPr>
        <w:t xml:space="preserve"> </w:t>
      </w:r>
      <w:r w:rsidRPr="00DB7D8B">
        <w:rPr>
          <w:rStyle w:val="Emphasis"/>
          <w:rFonts w:ascii="Times New Roman" w:hAnsi="Times New Roman"/>
          <w:sz w:val="24"/>
          <w:szCs w:val="24"/>
        </w:rPr>
        <w:t xml:space="preserve">Pa. Builders </w:t>
      </w:r>
      <w:proofErr w:type="spellStart"/>
      <w:r w:rsidRPr="00DB7D8B">
        <w:rPr>
          <w:rStyle w:val="Emphasis"/>
          <w:rFonts w:ascii="Times New Roman" w:hAnsi="Times New Roman"/>
          <w:sz w:val="24"/>
          <w:szCs w:val="24"/>
        </w:rPr>
        <w:t>Ass'n</w:t>
      </w:r>
      <w:proofErr w:type="spellEnd"/>
      <w:r w:rsidRPr="00DB7D8B">
        <w:rPr>
          <w:rStyle w:val="Emphasis"/>
          <w:rFonts w:ascii="Times New Roman" w:hAnsi="Times New Roman"/>
          <w:sz w:val="24"/>
          <w:szCs w:val="24"/>
        </w:rPr>
        <w:t xml:space="preserve"> v. </w:t>
      </w:r>
      <w:proofErr w:type="spellStart"/>
      <w:r w:rsidRPr="00DB7D8B">
        <w:rPr>
          <w:rStyle w:val="Emphasis"/>
          <w:rFonts w:ascii="Times New Roman" w:hAnsi="Times New Roman"/>
          <w:sz w:val="24"/>
          <w:szCs w:val="24"/>
        </w:rPr>
        <w:t>Dep't</w:t>
      </w:r>
      <w:proofErr w:type="spellEnd"/>
      <w:r w:rsidRPr="00DB7D8B">
        <w:rPr>
          <w:rStyle w:val="Emphasis"/>
          <w:rFonts w:ascii="Times New Roman" w:hAnsi="Times New Roman"/>
          <w:sz w:val="24"/>
          <w:szCs w:val="24"/>
        </w:rPr>
        <w:t xml:space="preserve"> of Lab. &amp; Indus.</w:t>
      </w:r>
      <w:r w:rsidRPr="00DB7D8B">
        <w:rPr>
          <w:rFonts w:ascii="Times New Roman" w:hAnsi="Times New Roman"/>
          <w:sz w:val="24"/>
          <w:szCs w:val="24"/>
        </w:rPr>
        <w:t xml:space="preserve">, 4 A.3d 215, 224 (Pa. </w:t>
      </w:r>
      <w:proofErr w:type="spellStart"/>
      <w:r w:rsidRPr="00DB7D8B">
        <w:rPr>
          <w:rFonts w:ascii="Times New Roman" w:hAnsi="Times New Roman"/>
          <w:sz w:val="24"/>
          <w:szCs w:val="24"/>
        </w:rPr>
        <w:t>Cmwlth</w:t>
      </w:r>
      <w:proofErr w:type="spellEnd"/>
      <w:r w:rsidRPr="00DB7D8B">
        <w:rPr>
          <w:rFonts w:ascii="Times New Roman" w:hAnsi="Times New Roman"/>
          <w:sz w:val="24"/>
          <w:szCs w:val="24"/>
        </w:rPr>
        <w:t xml:space="preserve">. 2010); </w:t>
      </w:r>
      <w:r w:rsidRPr="00DB7D8B">
        <w:rPr>
          <w:rStyle w:val="Emphasis"/>
          <w:rFonts w:ascii="Times New Roman" w:hAnsi="Times New Roman"/>
          <w:sz w:val="24"/>
          <w:szCs w:val="24"/>
        </w:rPr>
        <w:t>see also Protz</w:t>
      </w:r>
      <w:r w:rsidRPr="00DB7D8B">
        <w:rPr>
          <w:rFonts w:ascii="Times New Roman" w:hAnsi="Times New Roman"/>
          <w:sz w:val="24"/>
          <w:szCs w:val="24"/>
        </w:rPr>
        <w:t>.</w:t>
      </w:r>
      <w:r>
        <w:rPr>
          <w:rFonts w:ascii="Times New Roman" w:hAnsi="Times New Roman"/>
          <w:sz w:val="24"/>
          <w:szCs w:val="24"/>
        </w:rPr>
        <w:t>”</w:t>
      </w:r>
      <w:r w:rsidRPr="00DB7D8B">
        <w:t xml:space="preserve"> </w:t>
      </w:r>
      <w:hyperlink r:id="rId505" w:history="1">
        <w:r w:rsidRPr="0003518A">
          <w:rPr>
            <w:rStyle w:val="Hyperlink"/>
            <w:sz w:val="24"/>
            <w:szCs w:val="24"/>
          </w:rPr>
          <w:t>https://casetext.com/case/city-of-philadelphia-v-healey</w:t>
        </w:r>
      </w:hyperlink>
      <w:r w:rsidRPr="0003518A">
        <w:rPr>
          <w:rFonts w:ascii="Times New Roman" w:hAnsi="Times New Roman"/>
          <w:sz w:val="24"/>
          <w:szCs w:val="24"/>
        </w:rPr>
        <w:t xml:space="preserve"> </w:t>
      </w:r>
    </w:p>
    <w:p w14:paraId="7775C6CC" w14:textId="77777777" w:rsidR="00FE60DA" w:rsidRPr="00726ADA" w:rsidRDefault="00FE60DA" w:rsidP="00FE60DA">
      <w:pPr>
        <w:spacing w:before="100" w:beforeAutospacing="1" w:after="100" w:afterAutospacing="1" w:line="240" w:lineRule="auto"/>
        <w:rPr>
          <w:rFonts w:ascii="Times New Roman" w:hAnsi="Times New Roman"/>
          <w:b/>
          <w:bCs/>
          <w:sz w:val="24"/>
          <w:szCs w:val="24"/>
        </w:rPr>
      </w:pPr>
      <w:r w:rsidRPr="00726ADA">
        <w:rPr>
          <w:rFonts w:ascii="Times New Roman" w:hAnsi="Times New Roman"/>
          <w:b/>
          <w:bCs/>
          <w:sz w:val="24"/>
          <w:szCs w:val="24"/>
        </w:rPr>
        <w:t xml:space="preserve">Legal Lesson Learned: </w:t>
      </w:r>
      <w:r>
        <w:rPr>
          <w:rFonts w:ascii="Times New Roman" w:hAnsi="Times New Roman"/>
          <w:b/>
          <w:bCs/>
          <w:sz w:val="24"/>
          <w:szCs w:val="24"/>
        </w:rPr>
        <w:t xml:space="preserve">It’s amazing what “weak” arguments employer’s workers comp. representatives sometimes make to avoid liability. </w:t>
      </w:r>
    </w:p>
    <w:p w14:paraId="1462041B" w14:textId="77777777" w:rsidR="00FE60DA" w:rsidRPr="00FE60DA" w:rsidRDefault="00FE60DA" w:rsidP="00853142">
      <w:pPr>
        <w:rPr>
          <w:rFonts w:ascii="Arial Black" w:hAnsi="Arial Black"/>
          <w:b/>
          <w:bCs/>
          <w:sz w:val="24"/>
          <w:szCs w:val="24"/>
        </w:rPr>
      </w:pPr>
    </w:p>
    <w:p w14:paraId="0465755D" w14:textId="77777777" w:rsidR="00FE60DA" w:rsidRDefault="00FE60DA" w:rsidP="00853142">
      <w:pPr>
        <w:rPr>
          <w:rFonts w:ascii="Arial Black" w:hAnsi="Arial Black"/>
          <w:sz w:val="24"/>
          <w:szCs w:val="24"/>
        </w:rPr>
      </w:pPr>
    </w:p>
    <w:p w14:paraId="0E7E6A53" w14:textId="77777777" w:rsidR="00FE60DA" w:rsidRDefault="00FE60DA" w:rsidP="00853142">
      <w:pPr>
        <w:rPr>
          <w:rFonts w:ascii="Arial Black" w:hAnsi="Arial Black"/>
          <w:sz w:val="24"/>
          <w:szCs w:val="24"/>
        </w:rPr>
      </w:pPr>
    </w:p>
    <w:p w14:paraId="119A4B9B" w14:textId="3FC4B487" w:rsidR="00DC17BF" w:rsidRPr="00DC17BF" w:rsidRDefault="00DC17BF" w:rsidP="00853142">
      <w:pPr>
        <w:rPr>
          <w:rFonts w:ascii="Arial Black" w:hAnsi="Arial Black"/>
          <w:sz w:val="24"/>
          <w:szCs w:val="24"/>
        </w:rPr>
      </w:pPr>
      <w:r w:rsidRPr="00DC17BF">
        <w:rPr>
          <w:rFonts w:ascii="Arial Black" w:hAnsi="Arial Black"/>
          <w:sz w:val="24"/>
          <w:szCs w:val="24"/>
        </w:rPr>
        <w:t>2-5</w:t>
      </w:r>
      <w:r w:rsidR="00BB73D4">
        <w:rPr>
          <w:rFonts w:ascii="Arial Black" w:hAnsi="Arial Black"/>
          <w:sz w:val="24"/>
          <w:szCs w:val="24"/>
        </w:rPr>
        <w:t>4</w:t>
      </w:r>
    </w:p>
    <w:p w14:paraId="58CC1446" w14:textId="77777777" w:rsidR="00DC17BF" w:rsidRPr="007B16B3" w:rsidRDefault="00DC17BF" w:rsidP="00DC17BF">
      <w:pPr>
        <w:pStyle w:val="NormalWeb"/>
        <w:rPr>
          <w:rFonts w:ascii="Arial Black" w:hAnsi="Arial Black"/>
          <w:b/>
          <w:bCs/>
          <w:sz w:val="28"/>
          <w:szCs w:val="28"/>
        </w:rPr>
      </w:pPr>
      <w:bookmarkStart w:id="92" w:name="_Hlk136858036"/>
      <w:r>
        <w:rPr>
          <w:rFonts w:ascii="Arial Black" w:hAnsi="Arial Black"/>
          <w:b/>
          <w:bCs/>
          <w:sz w:val="28"/>
          <w:szCs w:val="28"/>
        </w:rPr>
        <w:t>IL: FF CANCER - LINE-OF-DUTY DISABILTY PENSION WITH HEALTH INSURANCE - EVEN OFF-DUTY JOBS EXPOSURES</w:t>
      </w:r>
    </w:p>
    <w:bookmarkEnd w:id="92"/>
    <w:p w14:paraId="28329D85" w14:textId="77777777" w:rsidR="00DC17BF" w:rsidRPr="00DC17BF" w:rsidRDefault="00DC17BF" w:rsidP="00DC17BF">
      <w:pPr>
        <w:pStyle w:val="NormalWeb"/>
      </w:pPr>
      <w:r w:rsidRPr="00DC17BF">
        <w:t xml:space="preserve">On May 22, 2023, in </w:t>
      </w:r>
      <w:r w:rsidRPr="00DC17BF">
        <w:rPr>
          <w:u w:val="single"/>
        </w:rPr>
        <w:t xml:space="preserve">James </w:t>
      </w:r>
      <w:proofErr w:type="spellStart"/>
      <w:r w:rsidRPr="00DC17BF">
        <w:rPr>
          <w:u w:val="single"/>
        </w:rPr>
        <w:t>Ivetic</w:t>
      </w:r>
      <w:proofErr w:type="spellEnd"/>
      <w:r w:rsidRPr="00DC17BF">
        <w:rPr>
          <w:u w:val="single"/>
        </w:rPr>
        <w:t xml:space="preserve"> et al. v. The Bensenville Fire Protection District No. 2</w:t>
      </w:r>
      <w:r w:rsidRPr="00DC17BF">
        <w:t xml:space="preserve">, the Court of Appeals of Illinois, First District, First Division, held (3 to 0) that the firefighter and his wife were entitled to health insurance premium benefits.  The Court wrote: </w:t>
      </w:r>
    </w:p>
    <w:p w14:paraId="1E7E4B07" w14:textId="38D1B3DC" w:rsidR="00DC17BF" w:rsidRDefault="00DC17BF" w:rsidP="00DC17BF">
      <w:pPr>
        <w:pStyle w:val="NoSpacing"/>
        <w:rPr>
          <w:rStyle w:val="Hyperlink"/>
          <w:rFonts w:ascii="Times New Roman" w:eastAsiaTheme="majorEastAsia" w:hAnsi="Times New Roman"/>
          <w:sz w:val="24"/>
          <w:szCs w:val="24"/>
        </w:rPr>
      </w:pPr>
      <w:r w:rsidRPr="00DC17BF">
        <w:rPr>
          <w:rFonts w:ascii="Times New Roman" w:hAnsi="Times New Roman"/>
          <w:sz w:val="24"/>
          <w:szCs w:val="24"/>
        </w:rPr>
        <w:t xml:space="preserve">“The Pension Board held a hearing on James' pension application beginning on September 18, 2015. The evidence showed that James worked at a restaurant and a grocery store prior to becoming a firefighter. Additionally, during his career as a firefighter, James worked </w:t>
      </w:r>
      <w:proofErr w:type="gramStart"/>
      <w:r w:rsidRPr="00DC17BF">
        <w:rPr>
          <w:rFonts w:ascii="Times New Roman" w:hAnsi="Times New Roman"/>
          <w:sz w:val="24"/>
          <w:szCs w:val="24"/>
        </w:rPr>
        <w:t>a number of</w:t>
      </w:r>
      <w:proofErr w:type="gramEnd"/>
      <w:r w:rsidRPr="00DC17BF">
        <w:rPr>
          <w:rFonts w:ascii="Times New Roman" w:hAnsi="Times New Roman"/>
          <w:sz w:val="24"/>
          <w:szCs w:val="24"/>
        </w:rPr>
        <w:t xml:space="preserve"> part-time jobs, including being taxi and truck drivers and remodeling homes. James admitted that he was likely exposed to some chemicals from his part-time jobs, like oil-based paints and wallpaper removing chemicals. *** Here, the District essentially argues that James cannot satisfy the emergency prong of section 10 because there was no evidence of a direct cause of his cancer. Stated differently, </w:t>
      </w:r>
      <w:proofErr w:type="gramStart"/>
      <w:r w:rsidRPr="00DC17BF">
        <w:rPr>
          <w:rFonts w:ascii="Times New Roman" w:hAnsi="Times New Roman"/>
          <w:sz w:val="24"/>
          <w:szCs w:val="24"/>
        </w:rPr>
        <w:t>in order to</w:t>
      </w:r>
      <w:proofErr w:type="gramEnd"/>
      <w:r w:rsidRPr="00DC17BF">
        <w:rPr>
          <w:rFonts w:ascii="Times New Roman" w:hAnsi="Times New Roman"/>
          <w:sz w:val="24"/>
          <w:szCs w:val="24"/>
        </w:rPr>
        <w:t xml:space="preserve"> recover benefits under the Act, James had to prove that his injury was received during an emergency response and that it was the sole cause of his cancer. This argument, however, ignores </w:t>
      </w:r>
      <w:proofErr w:type="gramStart"/>
      <w:r w:rsidRPr="00DC17BF">
        <w:rPr>
          <w:rFonts w:ascii="Times New Roman" w:hAnsi="Times New Roman"/>
          <w:sz w:val="24"/>
          <w:szCs w:val="24"/>
        </w:rPr>
        <w:t xml:space="preserve">that ‘[a]n </w:t>
      </w:r>
      <w:proofErr w:type="gramEnd"/>
      <w:r w:rsidRPr="00DC17BF">
        <w:rPr>
          <w:rFonts w:ascii="Times New Roman" w:hAnsi="Times New Roman"/>
          <w:sz w:val="24"/>
          <w:szCs w:val="24"/>
        </w:rPr>
        <w:t xml:space="preserve">injury may have more than one proximate cause.’ (Internal quotation marks omitted.) </w:t>
      </w:r>
      <w:r w:rsidRPr="00DC17BF">
        <w:rPr>
          <w:rStyle w:val="Emphasis"/>
          <w:rFonts w:ascii="Times New Roman" w:hAnsi="Times New Roman"/>
          <w:sz w:val="24"/>
          <w:szCs w:val="24"/>
        </w:rPr>
        <w:t>Richter v. Village of Oak Brook</w:t>
      </w:r>
      <w:r w:rsidRPr="00DC17BF">
        <w:rPr>
          <w:rFonts w:ascii="Times New Roman" w:hAnsi="Times New Roman"/>
          <w:sz w:val="24"/>
          <w:szCs w:val="24"/>
        </w:rPr>
        <w:t xml:space="preserve">, 2011 IL App (2d) 100114, ¶ 21. Under Illinois law, proximate cause is defined as a cause that, in the natural or ordinary course of events, produced the plaintiff's injury, but a cause need not be the only, last, or nearest cause; rather, the combination of multiple causes may result in the injury.” </w:t>
      </w:r>
      <w:hyperlink r:id="rId506" w:history="1">
        <w:r w:rsidRPr="00DC17BF">
          <w:rPr>
            <w:rStyle w:val="Hyperlink"/>
            <w:rFonts w:ascii="Times New Roman" w:eastAsiaTheme="majorEastAsia" w:hAnsi="Times New Roman"/>
            <w:sz w:val="24"/>
            <w:szCs w:val="24"/>
          </w:rPr>
          <w:t>https://public.fastcase.com/ZZhmr5v9wN%2FXOe5IsQ%2FqDy4piE023A%2FvmSBZ1OCyQDEvBrcypTxVYbDuh3sY1MRUTGEZ3quKqv94bkTO%2F3v9wUJnk5dj4IB3vpOq4w%2BY%2Blk%3D?utm_medium=email&amp;_hsmi=226712652&amp;_hsenc=p2ANqtz-8dDlTMCBDdR7Y6gBwCrwIFOUd7uQb6M2Q9eK5s_ERy0q0NLXHPkcRz9CocUT1WV-MgV98KLfaLWIoQPZBtf1lJjMQcjw&amp;utm_content=226712652&amp;utm_source=hs_email</w:t>
        </w:r>
      </w:hyperlink>
    </w:p>
    <w:p w14:paraId="04E691BD" w14:textId="77777777" w:rsidR="00DC17BF" w:rsidRDefault="00DC17BF" w:rsidP="00DC17BF">
      <w:pPr>
        <w:pStyle w:val="NoSpacing"/>
        <w:rPr>
          <w:rStyle w:val="Hyperlink"/>
          <w:rFonts w:ascii="Times New Roman" w:eastAsiaTheme="majorEastAsia" w:hAnsi="Times New Roman"/>
          <w:sz w:val="24"/>
          <w:szCs w:val="24"/>
        </w:rPr>
      </w:pPr>
    </w:p>
    <w:p w14:paraId="6BFCE5CF" w14:textId="77777777" w:rsidR="00DC17BF" w:rsidRPr="00287115" w:rsidRDefault="00DC17BF" w:rsidP="00DC17BF">
      <w:pPr>
        <w:pStyle w:val="NormalWeb"/>
        <w:rPr>
          <w:b/>
          <w:bCs/>
        </w:rPr>
      </w:pPr>
      <w:r w:rsidRPr="00287115">
        <w:rPr>
          <w:b/>
          <w:bCs/>
        </w:rPr>
        <w:t xml:space="preserve">Legal Lesson Learned: Under Illinois statute, and case law, there is no requirement that </w:t>
      </w:r>
      <w:proofErr w:type="gramStart"/>
      <w:r w:rsidRPr="00287115">
        <w:rPr>
          <w:b/>
          <w:bCs/>
        </w:rPr>
        <w:t>firefighter</w:t>
      </w:r>
      <w:proofErr w:type="gramEnd"/>
      <w:r w:rsidRPr="00287115">
        <w:rPr>
          <w:b/>
          <w:bCs/>
        </w:rPr>
        <w:t xml:space="preserve"> prove a specific emergency run was the cause of cancer. </w:t>
      </w:r>
    </w:p>
    <w:p w14:paraId="6A0C1134" w14:textId="77777777" w:rsidR="00DC17BF" w:rsidRPr="00DC17BF" w:rsidRDefault="00DC17BF" w:rsidP="00DC17BF">
      <w:pPr>
        <w:pStyle w:val="NoSpacing"/>
        <w:rPr>
          <w:rFonts w:ascii="Times New Roman" w:hAnsi="Times New Roman"/>
          <w:sz w:val="24"/>
          <w:szCs w:val="24"/>
        </w:rPr>
      </w:pPr>
    </w:p>
    <w:p w14:paraId="20756D90" w14:textId="77777777" w:rsidR="00DC17BF" w:rsidRDefault="00DC17BF" w:rsidP="00EF1133">
      <w:pPr>
        <w:pStyle w:val="NoSpacing"/>
        <w:rPr>
          <w:rFonts w:ascii="Arial Black" w:hAnsi="Arial Black"/>
          <w:sz w:val="24"/>
          <w:szCs w:val="24"/>
        </w:rPr>
      </w:pPr>
    </w:p>
    <w:p w14:paraId="69AEBD4D" w14:textId="41BFFDA8" w:rsidR="007A0E71" w:rsidRDefault="007A0E71" w:rsidP="00EF1133">
      <w:pPr>
        <w:pStyle w:val="NoSpacing"/>
        <w:rPr>
          <w:rFonts w:ascii="Arial Black" w:hAnsi="Arial Black"/>
          <w:sz w:val="24"/>
          <w:szCs w:val="24"/>
        </w:rPr>
      </w:pPr>
      <w:r>
        <w:rPr>
          <w:rFonts w:ascii="Arial Black" w:hAnsi="Arial Black"/>
          <w:sz w:val="24"/>
          <w:szCs w:val="24"/>
        </w:rPr>
        <w:t>2-5</w:t>
      </w:r>
      <w:r w:rsidR="00BB73D4">
        <w:rPr>
          <w:rFonts w:ascii="Arial Black" w:hAnsi="Arial Black"/>
          <w:sz w:val="24"/>
          <w:szCs w:val="24"/>
        </w:rPr>
        <w:t>3</w:t>
      </w:r>
    </w:p>
    <w:p w14:paraId="2035D518" w14:textId="77777777" w:rsidR="007A0E71" w:rsidRPr="00B8618D" w:rsidRDefault="007A0E71" w:rsidP="007A0E71">
      <w:pPr>
        <w:pStyle w:val="NormalWeb"/>
        <w:rPr>
          <w:rFonts w:ascii="Arial Black" w:hAnsi="Arial Black"/>
          <w:sz w:val="28"/>
          <w:szCs w:val="28"/>
        </w:rPr>
      </w:pPr>
      <w:r>
        <w:rPr>
          <w:rFonts w:ascii="Arial Black" w:hAnsi="Arial Black"/>
          <w:sz w:val="28"/>
          <w:szCs w:val="28"/>
        </w:rPr>
        <w:t>WV (4/10.2023) – VOL. FF WATERTAKER LOST CONTROL – DIED – WIFE DEATH BENEFITS – CARDIAC NOT PROVEN</w:t>
      </w:r>
    </w:p>
    <w:p w14:paraId="4C3CCC4A" w14:textId="77777777" w:rsidR="007A0E71" w:rsidRPr="008D3008" w:rsidRDefault="007A0E71" w:rsidP="007A0E71">
      <w:pPr>
        <w:pStyle w:val="NormalWeb"/>
      </w:pPr>
      <w:r w:rsidRPr="008D3008">
        <w:rPr>
          <w:u w:val="single"/>
        </w:rPr>
        <w:t>Clover-Roane Volunteer Fire Department v. Sarah Horwich, dependent of Mark Horwich</w:t>
      </w:r>
      <w:r w:rsidRPr="008D3008">
        <w:t>, Intermediate Court of Appeals of West Virginia</w:t>
      </w:r>
      <w:r>
        <w:t xml:space="preserve">. </w:t>
      </w:r>
      <w:hyperlink r:id="rId507" w:history="1">
        <w:r w:rsidRPr="003E63F4">
          <w:rPr>
            <w:rStyle w:val="Hyperlink"/>
            <w:rFonts w:eastAsiaTheme="majorEastAsia"/>
          </w:rPr>
          <w:t>http://courtswv.gov/Intermediate-Court/memo-decisions/Spring2023/22-ICA-216%20md.pdf</w:t>
        </w:r>
      </w:hyperlink>
      <w:r>
        <w:t xml:space="preserve"> </w:t>
      </w:r>
    </w:p>
    <w:p w14:paraId="2BE20572" w14:textId="77777777" w:rsidR="007A0E71" w:rsidRPr="00B8618D" w:rsidRDefault="007A0E71" w:rsidP="007A0E71">
      <w:pPr>
        <w:pStyle w:val="NormalWeb"/>
        <w:rPr>
          <w:b/>
          <w:bCs/>
        </w:rPr>
      </w:pPr>
      <w:r w:rsidRPr="00B8618D">
        <w:rPr>
          <w:b/>
          <w:bCs/>
        </w:rPr>
        <w:t xml:space="preserve">Legal Lesson Learned: Courts will not overturn Workers Comp Board unless decision is clearly wrong. </w:t>
      </w:r>
    </w:p>
    <w:p w14:paraId="6C07B3BC" w14:textId="18F7ADE6" w:rsidR="007A0E71" w:rsidRDefault="007A0E71" w:rsidP="007A0E71">
      <w:pPr>
        <w:pStyle w:val="NoSpacing"/>
        <w:rPr>
          <w:rFonts w:ascii="Arial Black" w:hAnsi="Arial Black"/>
          <w:sz w:val="24"/>
          <w:szCs w:val="24"/>
        </w:rPr>
      </w:pPr>
      <w:r w:rsidRPr="00941D1F">
        <w:rPr>
          <w:sz w:val="24"/>
          <w:szCs w:val="24"/>
        </w:rPr>
        <w:t xml:space="preserve">Note: See Jan. 13, </w:t>
      </w:r>
      <w:proofErr w:type="gramStart"/>
      <w:r w:rsidRPr="00941D1F">
        <w:rPr>
          <w:sz w:val="24"/>
          <w:szCs w:val="24"/>
        </w:rPr>
        <w:t>2020</w:t>
      </w:r>
      <w:proofErr w:type="gramEnd"/>
      <w:r w:rsidRPr="00941D1F">
        <w:rPr>
          <w:sz w:val="24"/>
          <w:szCs w:val="24"/>
        </w:rPr>
        <w:t xml:space="preserve"> article, </w:t>
      </w:r>
      <w:r>
        <w:rPr>
          <w:sz w:val="24"/>
          <w:szCs w:val="24"/>
        </w:rPr>
        <w:t>“</w:t>
      </w:r>
      <w:r w:rsidRPr="00941D1F">
        <w:rPr>
          <w:sz w:val="24"/>
          <w:szCs w:val="24"/>
        </w:rPr>
        <w:t>West Virginia firefighter killed in crash while responding to fire.</w:t>
      </w:r>
      <w:r>
        <w:rPr>
          <w:sz w:val="24"/>
          <w:szCs w:val="24"/>
        </w:rPr>
        <w:t xml:space="preserve">” </w:t>
      </w:r>
      <w:hyperlink r:id="rId508" w:history="1">
        <w:r w:rsidRPr="00297A44">
          <w:rPr>
            <w:rStyle w:val="Hyperlink"/>
            <w:sz w:val="24"/>
            <w:szCs w:val="24"/>
          </w:rPr>
          <w:t>https://www.whsv.com/content/news/West-Virginia-firefighter-killed-in-crash-while-responding-to-fire-566946181.html</w:t>
        </w:r>
      </w:hyperlink>
    </w:p>
    <w:p w14:paraId="1488CA4B" w14:textId="77777777" w:rsidR="007A0E71" w:rsidRDefault="007A0E71" w:rsidP="00EF1133">
      <w:pPr>
        <w:pStyle w:val="NoSpacing"/>
        <w:rPr>
          <w:rFonts w:ascii="Arial Black" w:hAnsi="Arial Black"/>
          <w:sz w:val="24"/>
          <w:szCs w:val="24"/>
        </w:rPr>
      </w:pPr>
    </w:p>
    <w:p w14:paraId="129D718C" w14:textId="4081601C" w:rsidR="007959C9" w:rsidRDefault="00AB637D" w:rsidP="00EF1133">
      <w:pPr>
        <w:pStyle w:val="NoSpacing"/>
        <w:rPr>
          <w:rFonts w:ascii="Arial Black" w:hAnsi="Arial Black"/>
          <w:sz w:val="24"/>
          <w:szCs w:val="24"/>
        </w:rPr>
      </w:pPr>
      <w:r>
        <w:rPr>
          <w:rFonts w:ascii="Arial Black" w:hAnsi="Arial Black"/>
          <w:sz w:val="24"/>
          <w:szCs w:val="24"/>
        </w:rPr>
        <w:t>2-5</w:t>
      </w:r>
      <w:r w:rsidR="00BB73D4">
        <w:rPr>
          <w:rFonts w:ascii="Arial Black" w:hAnsi="Arial Black"/>
          <w:sz w:val="24"/>
          <w:szCs w:val="24"/>
        </w:rPr>
        <w:t>2</w:t>
      </w:r>
    </w:p>
    <w:p w14:paraId="23D2A18D" w14:textId="7C25644F" w:rsidR="00AB637D" w:rsidRDefault="00AB637D" w:rsidP="00EF1133">
      <w:pPr>
        <w:pStyle w:val="NoSpacing"/>
        <w:rPr>
          <w:rFonts w:ascii="Arial Black" w:hAnsi="Arial Black"/>
          <w:sz w:val="24"/>
          <w:szCs w:val="24"/>
        </w:rPr>
      </w:pPr>
    </w:p>
    <w:p w14:paraId="503A737E" w14:textId="77777777" w:rsidR="00AB637D" w:rsidRPr="00144FC9" w:rsidRDefault="00AB637D" w:rsidP="00AB637D">
      <w:pPr>
        <w:pStyle w:val="Heading1"/>
        <w:rPr>
          <w:rFonts w:ascii="Arial Black" w:hAnsi="Arial Black"/>
          <w:sz w:val="28"/>
          <w:szCs w:val="28"/>
        </w:rPr>
      </w:pPr>
      <w:r>
        <w:rPr>
          <w:rFonts w:ascii="Arial Black" w:hAnsi="Arial Black"/>
          <w:sz w:val="28"/>
          <w:szCs w:val="28"/>
        </w:rPr>
        <w:t>FL: JACKSONVILLE FD - NO BEARD RULE UPHELD – OSHA REQUIREMENT - BLACK FIREFIGHTERS CASE DISMISSED</w:t>
      </w:r>
    </w:p>
    <w:p w14:paraId="6D6D9185" w14:textId="77777777" w:rsidR="00AB637D" w:rsidRDefault="00AB637D" w:rsidP="00AB637D">
      <w:pPr>
        <w:pStyle w:val="Heading1"/>
        <w:rPr>
          <w:b w:val="0"/>
          <w:bCs w:val="0"/>
          <w:sz w:val="24"/>
          <w:szCs w:val="24"/>
        </w:rPr>
      </w:pPr>
      <w:r>
        <w:rPr>
          <w:b w:val="0"/>
          <w:bCs w:val="0"/>
          <w:sz w:val="24"/>
          <w:szCs w:val="24"/>
        </w:rPr>
        <w:t xml:space="preserve">On Jan. 13, 2023, in </w:t>
      </w:r>
      <w:r w:rsidRPr="00144FC9">
        <w:rPr>
          <w:b w:val="0"/>
          <w:bCs w:val="0"/>
          <w:sz w:val="24"/>
          <w:szCs w:val="24"/>
          <w:u w:val="single"/>
        </w:rPr>
        <w:t>Terrance Jones v. City of Jacksonville</w:t>
      </w:r>
      <w:r>
        <w:rPr>
          <w:b w:val="0"/>
          <w:bCs w:val="0"/>
          <w:sz w:val="24"/>
          <w:szCs w:val="24"/>
        </w:rPr>
        <w:t xml:space="preserve">, U.S. District Court Judge Harvey E. Schlesinger granted summary judgment to the City of Jacksonville.  The judge wrote: “Title VII does not require employers to depart from binding federal regulations…. Binding federal {OSHA] regulations present a complete defense…. The OSHA regulation in question strictly prohibits any facial hair between the mask and the wearer’s face. Thus, any proposed alternative involving even a scant amount of facial hair would not be an available </w:t>
      </w:r>
      <w:proofErr w:type="gramStart"/>
      <w:r>
        <w:rPr>
          <w:b w:val="0"/>
          <w:bCs w:val="0"/>
          <w:sz w:val="24"/>
          <w:szCs w:val="24"/>
        </w:rPr>
        <w:t>alternative.”</w:t>
      </w:r>
      <w:proofErr w:type="gramEnd"/>
      <w:r>
        <w:rPr>
          <w:b w:val="0"/>
          <w:bCs w:val="0"/>
          <w:sz w:val="24"/>
          <w:szCs w:val="24"/>
        </w:rPr>
        <w:t xml:space="preserve"> </w:t>
      </w:r>
      <w:hyperlink r:id="rId509" w:history="1">
        <w:r w:rsidRPr="00CE4DCE">
          <w:rPr>
            <w:rStyle w:val="Hyperlink"/>
            <w:rFonts w:eastAsiaTheme="majorEastAsia"/>
            <w:b w:val="0"/>
            <w:bCs w:val="0"/>
            <w:sz w:val="24"/>
            <w:szCs w:val="24"/>
          </w:rPr>
          <w:t>https://www.documentcloud.org/documents/23589006-firefighter-suit-terrance-jones-et-al-v-coj-order-finalizing-case011323</w:t>
        </w:r>
      </w:hyperlink>
      <w:r>
        <w:rPr>
          <w:b w:val="0"/>
          <w:bCs w:val="0"/>
          <w:sz w:val="24"/>
          <w:szCs w:val="24"/>
        </w:rPr>
        <w:t xml:space="preserve"> </w:t>
      </w:r>
    </w:p>
    <w:p w14:paraId="1F7498F9" w14:textId="77777777" w:rsidR="00AB637D" w:rsidRPr="005B4DF7" w:rsidRDefault="00AB637D" w:rsidP="00AB637D">
      <w:pPr>
        <w:pStyle w:val="NormalWeb"/>
      </w:pPr>
      <w:r w:rsidRPr="005B4DF7">
        <w:t xml:space="preserve">See Jan. 31, </w:t>
      </w:r>
      <w:proofErr w:type="gramStart"/>
      <w:r w:rsidRPr="005B4DF7">
        <w:t>2023</w:t>
      </w:r>
      <w:proofErr w:type="gramEnd"/>
      <w:r w:rsidRPr="005B4DF7">
        <w:t xml:space="preserve"> newspaper description of case. “Black firefighters who sued Jacksonville for requiring them to shave lost case.” </w:t>
      </w:r>
      <w:hyperlink r:id="rId510" w:history="1">
        <w:r w:rsidRPr="005B4DF7">
          <w:rPr>
            <w:rStyle w:val="Hyperlink"/>
            <w:rFonts w:eastAsiaTheme="majorEastAsia"/>
          </w:rPr>
          <w:t>https://www.firstcoastnews.com/article/news/local/judge-jacksonville-has-mechanism-to-deviate-from-rule-making-black-firefighters-shave/77-7e962b25-bfed-4f9c-817e-ba6883a1f94b</w:t>
        </w:r>
      </w:hyperlink>
      <w:r w:rsidRPr="005B4DF7">
        <w:t xml:space="preserve"> </w:t>
      </w:r>
    </w:p>
    <w:p w14:paraId="571D5376" w14:textId="77777777" w:rsidR="00AB637D" w:rsidRDefault="00AB637D" w:rsidP="00AB637D">
      <w:pPr>
        <w:pStyle w:val="NormalWeb"/>
        <w:ind w:left="720"/>
      </w:pPr>
      <w:r w:rsidRPr="005B4DF7">
        <w:t>“The firefighters went to court in 2020 arguing the fire department was wrongly burdening Black firefighters by requiring them to be cleanshaven even if they had a condition called </w:t>
      </w:r>
      <w:hyperlink r:id="rId511" w:history="1">
        <w:r w:rsidRPr="005B4DF7">
          <w:rPr>
            <w:rStyle w:val="Hyperlink"/>
            <w:rFonts w:eastAsiaTheme="majorEastAsia"/>
          </w:rPr>
          <w:t>pseudofolliculitis barbae</w:t>
        </w:r>
      </w:hyperlink>
      <w:r w:rsidRPr="005B4DF7">
        <w:t xml:space="preserve">, or PFB, which can involve ingrown hairs, irritated skin and scarring.*** “At issue is whether the city discriminated against plaintiffs when it required firefighters with PFB, which primarily affects African American men, to be cleanshaven,” U.S. Senior District Judge </w:t>
      </w:r>
      <w:hyperlink r:id="rId512" w:history="1">
        <w:r w:rsidRPr="005B4DF7">
          <w:rPr>
            <w:rStyle w:val="Hyperlink"/>
            <w:rFonts w:eastAsiaTheme="majorEastAsia"/>
          </w:rPr>
          <w:t>Harvey Schlesinger</w:t>
        </w:r>
      </w:hyperlink>
      <w:r w:rsidRPr="005B4DF7">
        <w:t xml:space="preserve"> wrote this month in </w:t>
      </w:r>
      <w:hyperlink r:id="rId513" w:history="1">
        <w:r w:rsidRPr="005B4DF7">
          <w:rPr>
            <w:rStyle w:val="Hyperlink"/>
            <w:rFonts w:eastAsiaTheme="majorEastAsia"/>
          </w:rPr>
          <w:t>an order</w:t>
        </w:r>
      </w:hyperlink>
      <w:r w:rsidRPr="005B4DF7">
        <w:t xml:space="preserve"> that ends the case. Thirty firefighters initially sued, saying they should be allowed to have close-trimmed beards that would be enough to avoid skin inflammation but wouldn’t harm the fit of oxygen masks their jobs require in emergency settings. *** The firefighters had argued the trimmed-bear standard they wanted counted as a “reasonable accommodation” for PFB under the Americans with Disabilities Act, but the ask “is not reasonable within the meaning of the ADA because it is specifically prohibited by a by a binding regulation,” Schlesinger concluded. “The federal regulations do not allow for individual consideration of facial hair,” the judge wrote. “…[I]t prohibits all facial hair. There is no mechanism for the city to deviate.” The city followed the exact accommodation the firefighters were seeking back in </w:t>
      </w:r>
      <w:proofErr w:type="gramStart"/>
      <w:r w:rsidRPr="005B4DF7">
        <w:t>2015, but</w:t>
      </w:r>
      <w:proofErr w:type="gramEnd"/>
      <w:r w:rsidRPr="005B4DF7">
        <w:t xml:space="preserve"> had </w:t>
      </w:r>
      <w:hyperlink r:id="rId514" w:history="1">
        <w:r w:rsidRPr="005B4DF7">
          <w:rPr>
            <w:rStyle w:val="Hyperlink"/>
            <w:rFonts w:eastAsiaTheme="majorEastAsia"/>
          </w:rPr>
          <w:t>backtracked in 2016</w:t>
        </w:r>
      </w:hyperlink>
      <w:r w:rsidRPr="005B4DF7">
        <w:t xml:space="preserve"> after city lawyers said that concession was improper. That had left the firefighters frustrated and confused, leading to attorneys in Jacksonville becoming part of a lengthening list of cities nationwide where rules on firefighter hair were decided by litigation.</w:t>
      </w:r>
      <w:r>
        <w:t>”</w:t>
      </w:r>
    </w:p>
    <w:p w14:paraId="1B17A8E4" w14:textId="77777777" w:rsidR="00AB637D" w:rsidRPr="00CA4868" w:rsidRDefault="00AB637D" w:rsidP="00AB637D">
      <w:pPr>
        <w:pStyle w:val="Heading1"/>
        <w:rPr>
          <w:sz w:val="24"/>
          <w:szCs w:val="24"/>
        </w:rPr>
      </w:pPr>
      <w:r>
        <w:rPr>
          <w:sz w:val="24"/>
          <w:szCs w:val="24"/>
        </w:rPr>
        <w:t xml:space="preserve">Legal Lesson Learned: Fire Departments must follow OSHA regulation. </w:t>
      </w:r>
    </w:p>
    <w:p w14:paraId="41861758" w14:textId="77777777" w:rsidR="00AB637D" w:rsidRDefault="00AB637D" w:rsidP="00EF1133">
      <w:pPr>
        <w:pStyle w:val="NoSpacing"/>
        <w:rPr>
          <w:rFonts w:ascii="Arial Black" w:hAnsi="Arial Black"/>
          <w:sz w:val="24"/>
          <w:szCs w:val="24"/>
        </w:rPr>
      </w:pPr>
    </w:p>
    <w:p w14:paraId="3C32912F" w14:textId="7AF880FA" w:rsidR="00AB637D" w:rsidRDefault="00AB637D" w:rsidP="00EF1133">
      <w:pPr>
        <w:pStyle w:val="NoSpacing"/>
        <w:rPr>
          <w:rFonts w:ascii="Arial Black" w:hAnsi="Arial Black"/>
          <w:sz w:val="24"/>
          <w:szCs w:val="24"/>
        </w:rPr>
      </w:pPr>
    </w:p>
    <w:p w14:paraId="2A78ECE9" w14:textId="77777777" w:rsidR="00AB637D" w:rsidRDefault="00AB637D" w:rsidP="00EF1133">
      <w:pPr>
        <w:pStyle w:val="NoSpacing"/>
        <w:rPr>
          <w:rFonts w:ascii="Arial Black" w:hAnsi="Arial Black"/>
          <w:sz w:val="24"/>
          <w:szCs w:val="24"/>
        </w:rPr>
      </w:pPr>
    </w:p>
    <w:p w14:paraId="1FCCFD10" w14:textId="4BBB8392" w:rsidR="007959C9" w:rsidRDefault="007959C9" w:rsidP="00EF1133">
      <w:pPr>
        <w:pStyle w:val="NoSpacing"/>
        <w:rPr>
          <w:rFonts w:ascii="Arial Black" w:hAnsi="Arial Black"/>
          <w:sz w:val="24"/>
          <w:szCs w:val="24"/>
        </w:rPr>
      </w:pPr>
      <w:r>
        <w:rPr>
          <w:rFonts w:ascii="Arial Black" w:hAnsi="Arial Black"/>
          <w:sz w:val="24"/>
          <w:szCs w:val="24"/>
        </w:rPr>
        <w:t>2-5</w:t>
      </w:r>
      <w:r w:rsidR="00BB73D4">
        <w:rPr>
          <w:rFonts w:ascii="Arial Black" w:hAnsi="Arial Black"/>
          <w:sz w:val="24"/>
          <w:szCs w:val="24"/>
        </w:rPr>
        <w:t>1</w:t>
      </w:r>
    </w:p>
    <w:p w14:paraId="3AE49DA7" w14:textId="77777777" w:rsidR="007959C9" w:rsidRPr="001D5000" w:rsidRDefault="007959C9" w:rsidP="007959C9">
      <w:pPr>
        <w:pStyle w:val="NormalWeb"/>
        <w:rPr>
          <w:rFonts w:ascii="Arial Black" w:hAnsi="Arial Black"/>
          <w:sz w:val="28"/>
          <w:szCs w:val="28"/>
        </w:rPr>
      </w:pPr>
      <w:r>
        <w:rPr>
          <w:rFonts w:ascii="Arial Black" w:hAnsi="Arial Black"/>
          <w:sz w:val="28"/>
          <w:szCs w:val="28"/>
        </w:rPr>
        <w:t>NJ: VOL. FF CLAIMED STRUCK BY CAR – INDICTED FOR INSURANCE FRAUD, NOT GUILTY – BOROUGH IMMUNITY</w:t>
      </w:r>
    </w:p>
    <w:p w14:paraId="6F80F1AC" w14:textId="77777777" w:rsidR="007959C9" w:rsidRDefault="007959C9" w:rsidP="007959C9">
      <w:pPr>
        <w:pStyle w:val="NormalWeb"/>
      </w:pPr>
      <w:r>
        <w:t xml:space="preserve">On Jan. 25, 2023, in </w:t>
      </w:r>
      <w:r w:rsidRPr="009C24E8">
        <w:rPr>
          <w:u w:val="single"/>
        </w:rPr>
        <w:t>Joseph Fehl v. Borough of Allington, et al</w:t>
      </w:r>
      <w:r>
        <w:t xml:space="preserve">., the U.S. Court of Appeals for the Third Circuit (Philadelphia), held (3 to 0) that U.S. District Court properly granted summary judgment to the Borough, its former business administrator, and Police Captain who investigated the claim.  “Drawing all reasonable inferences in Fehl's favor, we see no error in the District Court's analysis. The facts known to Kudlacik at the time of Fehl's arrest provided a sufficient basis to doubt Fehl's credibility and to believe he committed the </w:t>
      </w:r>
      <w:proofErr w:type="gramStart"/>
      <w:r>
        <w:t>charged crimes</w:t>
      </w:r>
      <w:proofErr w:type="gramEnd"/>
      <w:r>
        <w:t xml:space="preserve">. Contrast, for instance, Fehl's statement in his benefits application that he was struck by a car, with the absence of any corroborating physical evidence. Or take Fehl's claim that he suffered nerve damage from the accident-an injury that, according to a responding EMS lieutenant, conflicts with the extent and type of physical harm a victim would typically suffer in a hit-and-run. And Fehl changed his story, first claiming that a vehicle hit him, then conceding that he might have merely tripped and fallen. These facts are sufficient to find probable cause.” </w:t>
      </w:r>
      <w:hyperlink r:id="rId515" w:history="1">
        <w:r w:rsidRPr="001F75F8">
          <w:rPr>
            <w:rStyle w:val="Hyperlink"/>
          </w:rPr>
          <w:t>https://law.justia.com/cases/federal/appellate-courts/ca3/21-3019/21-3019-2023-01-25.html</w:t>
        </w:r>
      </w:hyperlink>
      <w:r>
        <w:t xml:space="preserve"> </w:t>
      </w:r>
    </w:p>
    <w:p w14:paraId="40C443CD" w14:textId="77777777" w:rsidR="007959C9" w:rsidRDefault="007959C9" w:rsidP="007959C9">
      <w:pPr>
        <w:pStyle w:val="NormalWeb"/>
        <w:ind w:left="720"/>
      </w:pPr>
      <w:r>
        <w:t xml:space="preserve">“Fehl served as a volunteer EMT and firefighter for the Borough of Wallington. He filed for worker's compensation, claiming he was "hit by [a] car" during an emergency response. App. 123. Kudlacik </w:t>
      </w:r>
      <w:proofErr w:type="gramStart"/>
      <w:r>
        <w:t>conducted an investigation</w:t>
      </w:r>
      <w:proofErr w:type="gramEnd"/>
      <w:r>
        <w:t xml:space="preserve"> that raised questions about Fehl's story, as it found no physical evidence, no indication of serious injury, and no vehicle matching the description Fehl provided. Nor did video from the scene show any vehicles in the area where the accident allegedly occurred. As a result, Fehl was indicted for criminal insurance fraud and tampering with public records. Following trial, a jury acquitted him of those charges. </w:t>
      </w:r>
    </w:p>
    <w:p w14:paraId="4469F41A" w14:textId="77777777" w:rsidR="007959C9" w:rsidRDefault="007959C9" w:rsidP="007959C9">
      <w:pPr>
        <w:pStyle w:val="NormalWeb"/>
        <w:ind w:left="720"/>
        <w:rPr>
          <w:vertAlign w:val="superscript"/>
        </w:rPr>
      </w:pPr>
      <w:r>
        <w:t>Based on the acquittal, Fehl sued Baginski, Kudlacik, the Borough, and the Bergen County Prosecutor's Office, asserting several claims arising from his arrest and prosecution.</w:t>
      </w:r>
      <w:r>
        <w:rPr>
          <w:vertAlign w:val="superscript"/>
        </w:rPr>
        <w:t xml:space="preserve"> </w:t>
      </w:r>
      <w:r>
        <w:t>The District Court granted the Defendants' motions for summary judgment, concluding their acts were supported by probable cause. Finding no error, we will affirm.</w:t>
      </w:r>
    </w:p>
    <w:p w14:paraId="2FC6611D" w14:textId="77777777" w:rsidR="007959C9" w:rsidRDefault="007959C9" w:rsidP="007959C9">
      <w:pPr>
        <w:pStyle w:val="NormalWeb"/>
        <w:ind w:left="720"/>
        <w:rPr>
          <w:vertAlign w:val="superscript"/>
        </w:rPr>
      </w:pPr>
      <w:r>
        <w:rPr>
          <w:vertAlign w:val="superscript"/>
        </w:rPr>
        <w:t>***</w:t>
      </w:r>
    </w:p>
    <w:p w14:paraId="68885CF1" w14:textId="77777777" w:rsidR="007959C9" w:rsidRDefault="007959C9" w:rsidP="007959C9">
      <w:pPr>
        <w:pStyle w:val="NormalWeb"/>
        <w:ind w:left="720"/>
      </w:pPr>
      <w:r>
        <w:t xml:space="preserve">Guilt in a criminal case must be proven beyond a reasonable doubt, a standard enforced by the rules of evidence. </w:t>
      </w:r>
      <w:r>
        <w:rPr>
          <w:rStyle w:val="Emphasis"/>
        </w:rPr>
        <w:t>Brinegar</w:t>
      </w:r>
      <w:r>
        <w:t xml:space="preserve">, 338 U.S. at 174. But probable cause imposes no such burden on the Government-rather, it demands that police officers find merely a "fair probability" that a crime was committed. </w:t>
      </w:r>
      <w:r>
        <w:rPr>
          <w:rStyle w:val="Emphasis"/>
        </w:rPr>
        <w:t>Dempsey</w:t>
      </w:r>
      <w:r>
        <w:t>, 834 F.3d at 467. That standard was satisfied at the time of Fehl's arrest, and the jury's verdict does not alter that finding.”</w:t>
      </w:r>
    </w:p>
    <w:p w14:paraId="5262675C" w14:textId="77777777" w:rsidR="007959C9" w:rsidRPr="009C24E8" w:rsidRDefault="007959C9" w:rsidP="007959C9">
      <w:pPr>
        <w:pStyle w:val="NormalWeb"/>
        <w:rPr>
          <w:b/>
          <w:bCs/>
        </w:rPr>
      </w:pPr>
      <w:r w:rsidRPr="009C24E8">
        <w:rPr>
          <w:b/>
          <w:bCs/>
        </w:rPr>
        <w:t>Legal Lesson Learned:</w:t>
      </w:r>
      <w:r>
        <w:rPr>
          <w:b/>
          <w:bCs/>
        </w:rPr>
        <w:t xml:space="preserve"> </w:t>
      </w:r>
      <w:proofErr w:type="gramStart"/>
      <w:r>
        <w:rPr>
          <w:b/>
          <w:bCs/>
        </w:rPr>
        <w:t>Workers</w:t>
      </w:r>
      <w:proofErr w:type="gramEnd"/>
      <w:r>
        <w:rPr>
          <w:b/>
          <w:bCs/>
        </w:rPr>
        <w:t xml:space="preserve"> comp claim, unsupported by physical or other evidence, can lead to indictment. </w:t>
      </w:r>
    </w:p>
    <w:p w14:paraId="3FD93D6A" w14:textId="0C15D3E4" w:rsidR="007959C9" w:rsidRDefault="007959C9" w:rsidP="00EF1133">
      <w:pPr>
        <w:pStyle w:val="NoSpacing"/>
        <w:rPr>
          <w:rFonts w:ascii="Arial Black" w:hAnsi="Arial Black"/>
          <w:sz w:val="24"/>
          <w:szCs w:val="24"/>
        </w:rPr>
      </w:pPr>
    </w:p>
    <w:p w14:paraId="7B6165A9" w14:textId="0A384A40" w:rsidR="007959C9" w:rsidRDefault="00A24839" w:rsidP="00EF1133">
      <w:pPr>
        <w:pStyle w:val="NoSpacing"/>
        <w:rPr>
          <w:rFonts w:ascii="Arial Black" w:hAnsi="Arial Black"/>
          <w:sz w:val="24"/>
          <w:szCs w:val="24"/>
        </w:rPr>
      </w:pPr>
      <w:r>
        <w:rPr>
          <w:rFonts w:ascii="Arial Black" w:hAnsi="Arial Black"/>
          <w:sz w:val="24"/>
          <w:szCs w:val="24"/>
        </w:rPr>
        <w:t>2-50</w:t>
      </w:r>
    </w:p>
    <w:p w14:paraId="7D2C3E35" w14:textId="77777777" w:rsidR="0029560A" w:rsidRDefault="0029560A" w:rsidP="0029560A">
      <w:pPr>
        <w:pStyle w:val="NormalWeb"/>
      </w:pPr>
      <w:r>
        <w:rPr>
          <w:rFonts w:ascii="Arial Black" w:hAnsi="Arial Black"/>
          <w:sz w:val="28"/>
          <w:szCs w:val="28"/>
        </w:rPr>
        <w:t>NJ: CAPT. INJURED - HOSE COUPLING OFF HYDRANT – PROBIE ERROR - CAN’T SUE, NO “SHOCK THE CONSCIOUS”</w:t>
      </w:r>
    </w:p>
    <w:p w14:paraId="255B8193" w14:textId="77777777" w:rsidR="0029560A" w:rsidRDefault="0029560A" w:rsidP="0029560A">
      <w:pPr>
        <w:pStyle w:val="NormalWeb"/>
      </w:pPr>
      <w:r>
        <w:t xml:space="preserve">On Jan. 9, 2023, in </w:t>
      </w:r>
      <w:r w:rsidRPr="002851C1">
        <w:rPr>
          <w:u w:val="single"/>
        </w:rPr>
        <w:t>Robert Eckert v. City of Camden</w:t>
      </w:r>
      <w:r>
        <w:t xml:space="preserve">, the Superior Court of New Jersey, Appellate Division, held (3 to 0) that trial court judge properly held that the </w:t>
      </w:r>
      <w:proofErr w:type="gramStart"/>
      <w:r>
        <w:t>Captain’s</w:t>
      </w:r>
      <w:proofErr w:type="gramEnd"/>
      <w:r>
        <w:t xml:space="preserve"> sole remedy is workers comp.  In </w:t>
      </w:r>
      <w:proofErr w:type="gramStart"/>
      <w:r>
        <w:t>May,</w:t>
      </w:r>
      <w:proofErr w:type="gramEnd"/>
      <w:r>
        <w:t xml:space="preserve"> 2017, FD hired 33 probationary FF, and assigned two to each engine company, instead of usual practice of only one.  On Jan. 31, 2018, at a fire scene the </w:t>
      </w:r>
      <w:proofErr w:type="gramStart"/>
      <w:r>
        <w:t>Captain</w:t>
      </w:r>
      <w:proofErr w:type="gramEnd"/>
      <w:r>
        <w:t xml:space="preserve"> was injured when a probationary FF apparently did not properly secure hose to a hydrant and coupling struck him in the head. The Court held: “Plaintiff here contends that it is sufficient to sustain a cause of action under the ‘state-created danger’ doctrine if the state actor acts with ‘willful disregard’ for the safety of another, even if that conduct or inaction does not ‘shock the conscience.’ We reject that argument.” </w:t>
      </w:r>
      <w:hyperlink r:id="rId516" w:history="1">
        <w:r w:rsidRPr="001F75F8">
          <w:rPr>
            <w:rStyle w:val="Hyperlink"/>
          </w:rPr>
          <w:t>https://www.njcourts.gov/sites/default/files/court-opinions/2023/a2431-20.pdf</w:t>
        </w:r>
      </w:hyperlink>
      <w:r>
        <w:t xml:space="preserve"> </w:t>
      </w:r>
    </w:p>
    <w:p w14:paraId="4286A3DE" w14:textId="77777777" w:rsidR="0029560A" w:rsidRDefault="0029560A" w:rsidP="0029560A">
      <w:pPr>
        <w:pStyle w:val="NormalWeb"/>
        <w:ind w:left="720"/>
      </w:pPr>
      <w:r>
        <w:t xml:space="preserve">“On January 31, 2018, plaintiff Robert Eckert, a captain in the City of Camden's Fire Department (Department), was injured responding to a fire along with two "probationary firefighters," </w:t>
      </w:r>
      <w:proofErr w:type="spellStart"/>
      <w:r>
        <w:t>Achabe</w:t>
      </w:r>
      <w:proofErr w:type="spellEnd"/>
      <w:r>
        <w:t xml:space="preserve"> Quinones and Jose A. Berrios, both recently transferred to plaintiff's fire company. Quinones and Berrios were two of thirty-three probationary firefighters hired in May 2017. In July, the Chief of the Department, Michael Harper, assigned two probationary firefighters to each of eight companies, including plaintiff's company.</w:t>
      </w:r>
    </w:p>
    <w:p w14:paraId="42494FB8" w14:textId="77777777" w:rsidR="0029560A" w:rsidRDefault="0029560A" w:rsidP="0029560A">
      <w:pPr>
        <w:pStyle w:val="NormalWeb"/>
        <w:ind w:left="720"/>
      </w:pPr>
      <w:r>
        <w:t>***</w:t>
      </w:r>
    </w:p>
    <w:p w14:paraId="1184180B" w14:textId="77777777" w:rsidR="0029560A" w:rsidRDefault="0029560A" w:rsidP="0029560A">
      <w:pPr>
        <w:pStyle w:val="NormalWeb"/>
        <w:ind w:left="720"/>
      </w:pPr>
      <w:r>
        <w:t xml:space="preserve">The president of the fire officers' union and captains other than plaintiff complained to Chief Harper about assigning more than one probationary firefighter to a company. Edward Glassman, a Deputy Chief of the Department who retired in 2020, certified that he was aware of </w:t>
      </w:r>
      <w:proofErr w:type="spellStart"/>
      <w:r>
        <w:t>Gforer's</w:t>
      </w:r>
      <w:proofErr w:type="spellEnd"/>
      <w:r>
        <w:t xml:space="preserve"> memorandum [17 years ago, Joseph Gforer, then Deputy Chief of Operations memo wrote that FD make every effort to only assign only one </w:t>
      </w:r>
      <w:proofErr w:type="spellStart"/>
      <w:r>
        <w:t>probie</w:t>
      </w:r>
      <w:proofErr w:type="spellEnd"/>
      <w:r>
        <w:t xml:space="preserve"> per engine company], and Chief Harper knew that captains and other officers in the Department were concerned that assigning two probationary firefighters to a company jeopardized the safety of other firefighters and the public. Glassman also asserted that probationary firefighters did not receive adequate training on ‘Camden-type hydrants.’</w:t>
      </w:r>
    </w:p>
    <w:p w14:paraId="139B1B71" w14:textId="77777777" w:rsidR="0029560A" w:rsidRDefault="0029560A" w:rsidP="0029560A">
      <w:pPr>
        <w:pStyle w:val="NormalWeb"/>
        <w:ind w:left="720"/>
      </w:pPr>
      <w:r>
        <w:t>***</w:t>
      </w:r>
    </w:p>
    <w:p w14:paraId="40786F6E" w14:textId="77777777" w:rsidR="0029560A" w:rsidRDefault="0029560A" w:rsidP="0029560A">
      <w:pPr>
        <w:pStyle w:val="NormalWeb"/>
        <w:ind w:left="720"/>
      </w:pPr>
      <w:r>
        <w:t>{P]</w:t>
      </w:r>
      <w:proofErr w:type="spellStart"/>
      <w:r>
        <w:t>laintiff</w:t>
      </w:r>
      <w:proofErr w:type="spellEnd"/>
      <w:r>
        <w:t xml:space="preserve"> fails to meet the second prong of </w:t>
      </w:r>
      <w:r>
        <w:rPr>
          <w:rStyle w:val="Emphasis"/>
        </w:rPr>
        <w:t>Gormley</w:t>
      </w:r>
      <w:r>
        <w:t xml:space="preserve">'s test because no reasonable factfinder could conclude that when Camden assigned two probationary firefighters to plaintiff's company, it acted with a degree of culpability that shocked the conscience. Conscience-shocking conduct occurs if the state actor intentionally caused unjustifiable harm and never occurs if the harm arose from negligence. </w:t>
      </w:r>
      <w:r>
        <w:rPr>
          <w:rStyle w:val="Emphasis"/>
        </w:rPr>
        <w:t>Id.</w:t>
      </w:r>
      <w:r>
        <w:t xml:space="preserve"> at 102 (citing </w:t>
      </w:r>
      <w:r>
        <w:rPr>
          <w:rStyle w:val="Emphasis"/>
        </w:rPr>
        <w:t>Lewis</w:t>
      </w:r>
      <w:r>
        <w:t>, 523 U.S. at 849). ‘[W]</w:t>
      </w:r>
      <w:proofErr w:type="spellStart"/>
      <w:r>
        <w:t>hether</w:t>
      </w:r>
      <w:proofErr w:type="spellEnd"/>
      <w:r>
        <w:t xml:space="preserve"> conduct is conscience-shocking is a fact-sensitive analysis’ which depends on ‘whether the officials' conduct is egregious in light of the particular circumstances.’ </w:t>
      </w:r>
      <w:r>
        <w:rPr>
          <w:rStyle w:val="Emphasis"/>
        </w:rPr>
        <w:t>Id.</w:t>
      </w:r>
      <w:r>
        <w:t xml:space="preserve"> at 103 (citing </w:t>
      </w:r>
      <w:r>
        <w:rPr>
          <w:rStyle w:val="Emphasis"/>
        </w:rPr>
        <w:t>Lewis</w:t>
      </w:r>
      <w:r>
        <w:t>, 523 U.S. at 850).”</w:t>
      </w:r>
    </w:p>
    <w:p w14:paraId="67579D55" w14:textId="77777777" w:rsidR="0029560A" w:rsidRPr="00755BF1" w:rsidRDefault="0029560A" w:rsidP="0029560A">
      <w:pPr>
        <w:pStyle w:val="NormalWeb"/>
        <w:rPr>
          <w:b/>
          <w:bCs/>
        </w:rPr>
      </w:pPr>
      <w:r w:rsidRPr="00755BF1">
        <w:rPr>
          <w:b/>
          <w:bCs/>
        </w:rPr>
        <w:t>Legal Lesson Learned:</w:t>
      </w:r>
      <w:r>
        <w:rPr>
          <w:b/>
          <w:bCs/>
        </w:rPr>
        <w:t xml:space="preserve"> In vast majority of firefighter injuries, workers comp is only remedy.</w:t>
      </w:r>
    </w:p>
    <w:p w14:paraId="491AE289" w14:textId="77777777" w:rsidR="007959C9" w:rsidRDefault="007959C9" w:rsidP="00EF1133">
      <w:pPr>
        <w:pStyle w:val="NoSpacing"/>
        <w:rPr>
          <w:rFonts w:ascii="Arial Black" w:hAnsi="Arial Black"/>
          <w:sz w:val="24"/>
          <w:szCs w:val="24"/>
        </w:rPr>
      </w:pPr>
    </w:p>
    <w:p w14:paraId="15440494" w14:textId="77777777" w:rsidR="0029560A" w:rsidRDefault="0029560A" w:rsidP="00EF1133">
      <w:pPr>
        <w:pStyle w:val="NoSpacing"/>
        <w:rPr>
          <w:rFonts w:ascii="Arial Black" w:hAnsi="Arial Black"/>
          <w:sz w:val="24"/>
          <w:szCs w:val="24"/>
        </w:rPr>
      </w:pPr>
    </w:p>
    <w:p w14:paraId="0A29B5B3" w14:textId="77777777" w:rsidR="0029560A" w:rsidRDefault="0029560A" w:rsidP="00EF1133">
      <w:pPr>
        <w:pStyle w:val="NoSpacing"/>
        <w:rPr>
          <w:rFonts w:ascii="Arial Black" w:hAnsi="Arial Black"/>
          <w:sz w:val="24"/>
          <w:szCs w:val="24"/>
        </w:rPr>
      </w:pPr>
    </w:p>
    <w:p w14:paraId="53EB7F7A" w14:textId="6D705996" w:rsidR="00AE32D3" w:rsidRDefault="006C79BE" w:rsidP="00EF1133">
      <w:pPr>
        <w:pStyle w:val="NoSpacing"/>
        <w:rPr>
          <w:rFonts w:ascii="Arial Black" w:hAnsi="Arial Black"/>
          <w:sz w:val="24"/>
          <w:szCs w:val="24"/>
        </w:rPr>
      </w:pPr>
      <w:r>
        <w:rPr>
          <w:rFonts w:ascii="Arial Black" w:hAnsi="Arial Black"/>
          <w:sz w:val="24"/>
          <w:szCs w:val="24"/>
        </w:rPr>
        <w:t>2-49</w:t>
      </w:r>
    </w:p>
    <w:p w14:paraId="45C3D55B" w14:textId="04DCE518" w:rsidR="006C79BE" w:rsidRDefault="006C79BE" w:rsidP="00EF1133">
      <w:pPr>
        <w:pStyle w:val="NoSpacing"/>
        <w:rPr>
          <w:rFonts w:ascii="Arial Black" w:hAnsi="Arial Black"/>
          <w:sz w:val="24"/>
          <w:szCs w:val="24"/>
        </w:rPr>
      </w:pPr>
    </w:p>
    <w:p w14:paraId="576933F7" w14:textId="77777777" w:rsidR="006C79BE" w:rsidRDefault="006C79BE" w:rsidP="006C79BE">
      <w:pPr>
        <w:pStyle w:val="NormalWeb"/>
        <w:rPr>
          <w:rFonts w:ascii="Arial Black" w:hAnsi="Arial Black"/>
          <w:b/>
          <w:bCs/>
          <w:sz w:val="28"/>
          <w:szCs w:val="28"/>
        </w:rPr>
      </w:pPr>
      <w:r>
        <w:rPr>
          <w:rFonts w:ascii="Arial Black" w:hAnsi="Arial Black"/>
          <w:b/>
          <w:bCs/>
          <w:sz w:val="28"/>
          <w:szCs w:val="28"/>
        </w:rPr>
        <w:t>NY: “FIREMAN’S RULE” MODIFIED BY STATUTE – INJURED FDNY FF MAY SUE RESTAURANT IF CODE VIOLATION</w:t>
      </w:r>
    </w:p>
    <w:p w14:paraId="79FB6E88" w14:textId="77777777" w:rsidR="006C79BE" w:rsidRDefault="006C79BE" w:rsidP="006C79BE">
      <w:pPr>
        <w:pStyle w:val="NormalWeb"/>
      </w:pPr>
      <w:r w:rsidRPr="00C40446">
        <w:t xml:space="preserve">On Dec. 1, 2022, </w:t>
      </w:r>
      <w:r>
        <w:t xml:space="preserve">in </w:t>
      </w:r>
      <w:r w:rsidRPr="00C40446">
        <w:rPr>
          <w:u w:val="single"/>
        </w:rPr>
        <w:t>Frank Ruggiero &amp; Amy Ruggiero v. 357-359 Sixth Avenue Associates, LLC, et al</w:t>
      </w:r>
      <w:r>
        <w:t xml:space="preserve">., Judge Paul A. Goetz, Supreme Court, New York County, in unpublished decision, denied the restaurant’s motion for summary judgement.  On Jan. 11, 2019, the firefighter responded to a fire above the hood from the wood stove; the firefighter went to the second floor to check for extensions and injured his </w:t>
      </w:r>
      <w:proofErr w:type="gramStart"/>
      <w:r>
        <w:t>back</w:t>
      </w:r>
      <w:proofErr w:type="gramEnd"/>
      <w:r>
        <w:t xml:space="preserve"> moving the couch in the </w:t>
      </w:r>
      <w:proofErr w:type="gramStart"/>
      <w:r>
        <w:t>second floor</w:t>
      </w:r>
      <w:proofErr w:type="gramEnd"/>
      <w:r>
        <w:t xml:space="preserve"> storage area with a low ceiling.  NY statute allows fire and police to sue if code violation directly or indirectly caused injuries.</w:t>
      </w:r>
    </w:p>
    <w:p w14:paraId="3DCC5583" w14:textId="77777777" w:rsidR="006C79BE" w:rsidRDefault="006C79BE" w:rsidP="006C79BE">
      <w:pPr>
        <w:pStyle w:val="NormalWeb"/>
        <w:ind w:left="720"/>
      </w:pPr>
      <w:r>
        <w:t xml:space="preserve">“[I]t is undisputed that the only reason plaintiff was at the premises and allegedly lifting the couch was to check for the presence of fire in the floorboards, a fire which allegedly resulted from defendant Llama San's violations of the fire code and negligence. Thus, </w:t>
      </w:r>
      <w:proofErr w:type="spellStart"/>
      <w:r>
        <w:t>plaintiffs</w:t>
      </w:r>
      <w:proofErr w:type="spellEnd"/>
      <w:r>
        <w:t xml:space="preserve"> </w:t>
      </w:r>
      <w:proofErr w:type="gramStart"/>
      <w:r>
        <w:t>claims</w:t>
      </w:r>
      <w:proofErr w:type="gramEnd"/>
      <w:r>
        <w:t xml:space="preserve"> for common law negligence and under the more liberal causation standard under General Municipal Law Section 205-a cannot be </w:t>
      </w:r>
      <w:proofErr w:type="gramStart"/>
      <w:r>
        <w:t>dismissed.’’</w:t>
      </w:r>
      <w:proofErr w:type="gramEnd"/>
      <w:r>
        <w:t xml:space="preserve"> </w:t>
      </w:r>
      <w:hyperlink r:id="rId517" w:history="1">
        <w:r w:rsidRPr="006335C7">
          <w:rPr>
            <w:rStyle w:val="Hyperlink"/>
            <w:rFonts w:eastAsiaTheme="majorEastAsia"/>
          </w:rPr>
          <w:t>https://law.justia.com/cases/new-york/other-courts/2022/2022-ny-slip-op-34279-u.html</w:t>
        </w:r>
      </w:hyperlink>
      <w:r>
        <w:t xml:space="preserve">  </w:t>
      </w:r>
    </w:p>
    <w:p w14:paraId="6D44FD47" w14:textId="77777777" w:rsidR="006C79BE" w:rsidRPr="00923166" w:rsidRDefault="006C79BE" w:rsidP="006C79BE">
      <w:pPr>
        <w:pStyle w:val="NoSpacing"/>
        <w:rPr>
          <w:rFonts w:ascii="Times New Roman" w:hAnsi="Times New Roman"/>
          <w:b/>
          <w:bCs/>
          <w:sz w:val="24"/>
          <w:szCs w:val="24"/>
        </w:rPr>
      </w:pPr>
      <w:r w:rsidRPr="00923166">
        <w:rPr>
          <w:rFonts w:ascii="Times New Roman" w:hAnsi="Times New Roman"/>
          <w:b/>
          <w:bCs/>
          <w:sz w:val="24"/>
          <w:szCs w:val="24"/>
        </w:rPr>
        <w:t>Legal Lessons Learned:</w:t>
      </w:r>
      <w:r>
        <w:rPr>
          <w:rFonts w:ascii="Times New Roman" w:hAnsi="Times New Roman"/>
          <w:b/>
          <w:bCs/>
          <w:sz w:val="24"/>
          <w:szCs w:val="24"/>
        </w:rPr>
        <w:t xml:space="preserve"> Some states like Florida have completely abolished the Fireman’s Rule, while other states like Ohio have not modified or abolished it. </w:t>
      </w:r>
    </w:p>
    <w:p w14:paraId="294D85D0" w14:textId="1E1349F7" w:rsidR="006C79BE" w:rsidRDefault="006C79BE" w:rsidP="00EF1133">
      <w:pPr>
        <w:pStyle w:val="NoSpacing"/>
        <w:rPr>
          <w:rFonts w:ascii="Arial Black" w:hAnsi="Arial Black"/>
          <w:sz w:val="24"/>
          <w:szCs w:val="24"/>
        </w:rPr>
      </w:pPr>
    </w:p>
    <w:p w14:paraId="6509548E" w14:textId="77777777" w:rsidR="006C79BE" w:rsidRDefault="006C79BE" w:rsidP="00EF1133">
      <w:pPr>
        <w:pStyle w:val="NoSpacing"/>
        <w:rPr>
          <w:rFonts w:ascii="Arial Black" w:hAnsi="Arial Black"/>
          <w:sz w:val="24"/>
          <w:szCs w:val="24"/>
        </w:rPr>
      </w:pPr>
    </w:p>
    <w:p w14:paraId="17B03534" w14:textId="77777777" w:rsidR="00AE32D3" w:rsidRDefault="00AE32D3" w:rsidP="00EF1133">
      <w:pPr>
        <w:pStyle w:val="NoSpacing"/>
        <w:rPr>
          <w:rFonts w:ascii="Arial Black" w:hAnsi="Arial Black"/>
          <w:sz w:val="24"/>
          <w:szCs w:val="24"/>
        </w:rPr>
      </w:pPr>
    </w:p>
    <w:p w14:paraId="3BF41A32" w14:textId="45A275E8" w:rsidR="00AE32D3" w:rsidRDefault="00AE32D3" w:rsidP="00EF1133">
      <w:pPr>
        <w:pStyle w:val="NoSpacing"/>
        <w:rPr>
          <w:rFonts w:ascii="Arial Black" w:hAnsi="Arial Black"/>
          <w:sz w:val="24"/>
          <w:szCs w:val="24"/>
        </w:rPr>
      </w:pPr>
      <w:r>
        <w:rPr>
          <w:rFonts w:ascii="Arial Black" w:hAnsi="Arial Black"/>
          <w:sz w:val="24"/>
          <w:szCs w:val="24"/>
        </w:rPr>
        <w:t>2-48</w:t>
      </w:r>
    </w:p>
    <w:p w14:paraId="660E1923" w14:textId="77777777" w:rsidR="00AE32D3" w:rsidRDefault="00AE32D3" w:rsidP="00EF1133">
      <w:pPr>
        <w:pStyle w:val="NoSpacing"/>
        <w:rPr>
          <w:rFonts w:ascii="Arial Black" w:hAnsi="Arial Black"/>
          <w:sz w:val="24"/>
          <w:szCs w:val="24"/>
        </w:rPr>
      </w:pPr>
    </w:p>
    <w:p w14:paraId="38B3B30D" w14:textId="77777777" w:rsidR="00AE32D3" w:rsidRPr="001E1C4B" w:rsidRDefault="00AE32D3" w:rsidP="00AE32D3">
      <w:pPr>
        <w:pStyle w:val="NormalWeb"/>
        <w:rPr>
          <w:rFonts w:ascii="Arial Black" w:hAnsi="Arial Black"/>
          <w:b/>
          <w:bCs/>
          <w:sz w:val="28"/>
          <w:szCs w:val="28"/>
        </w:rPr>
      </w:pPr>
      <w:r>
        <w:rPr>
          <w:rFonts w:ascii="Arial Black" w:hAnsi="Arial Black"/>
          <w:b/>
          <w:bCs/>
          <w:sz w:val="28"/>
          <w:szCs w:val="28"/>
        </w:rPr>
        <w:t xml:space="preserve">DE: LINE-OF-DUTY DEATH – DEATH BENEFITS TO CHILDREN – FATHER’S BREACH FIDUCIARY DUTY – HE OWES $366,412   </w:t>
      </w:r>
    </w:p>
    <w:p w14:paraId="60E8C313" w14:textId="77777777" w:rsidR="00AE32D3" w:rsidRDefault="00AE32D3" w:rsidP="00AE32D3">
      <w:pPr>
        <w:pStyle w:val="NormalWeb"/>
      </w:pPr>
      <w:r>
        <w:t xml:space="preserve">On Nov. 28, 2022, in </w:t>
      </w:r>
      <w:r w:rsidRPr="001E1C4B">
        <w:rPr>
          <w:u w:val="single"/>
        </w:rPr>
        <w:t xml:space="preserve">Senior Partner, Inc. As Trustee </w:t>
      </w:r>
      <w:proofErr w:type="gramStart"/>
      <w:r w:rsidRPr="001E1C4B">
        <w:rPr>
          <w:u w:val="single"/>
        </w:rPr>
        <w:t>Of</w:t>
      </w:r>
      <w:proofErr w:type="gramEnd"/>
      <w:r w:rsidRPr="001E1C4B">
        <w:rPr>
          <w:u w:val="single"/>
        </w:rPr>
        <w:t xml:space="preserve"> </w:t>
      </w:r>
      <w:proofErr w:type="gramStart"/>
      <w:r w:rsidRPr="001E1C4B">
        <w:rPr>
          <w:u w:val="single"/>
        </w:rPr>
        <w:t>The</w:t>
      </w:r>
      <w:proofErr w:type="gramEnd"/>
      <w:r w:rsidRPr="001E1C4B">
        <w:rPr>
          <w:u w:val="single"/>
        </w:rPr>
        <w:t xml:space="preserve"> Ardythe Hope Children’s Hospital v. David L. Lee</w:t>
      </w:r>
      <w:r>
        <w:t xml:space="preserve">, Selena E. Molina, Master in Chancery, Court of Chancery of Delaware, issued a Final Report in this “breach of fiduciary duty action” against father of three daughters of  Ardythe Hope.  She was a senior firefighter with the City of Wilmington, who was injured in the line of duty on September 24, 2016. She succumbed to her injuries December 1, 2016, leaving behind three (3) daughters: Aryelle Hope, Alexis D. Lee, and </w:t>
      </w:r>
      <w:proofErr w:type="spellStart"/>
      <w:r>
        <w:t>Ardavia</w:t>
      </w:r>
      <w:proofErr w:type="spellEnd"/>
      <w:r>
        <w:t xml:space="preserve"> D. Lee.  See article, Dec. 1, 2026: “Third firefighter dies from Canby Park blaze.” “Ardythe Hope, seriously injured in the Canby Park rowhome blaze that killed two colleagues in September, has died. </w:t>
      </w:r>
      <w:hyperlink r:id="rId518" w:history="1">
        <w:r>
          <w:rPr>
            <w:rStyle w:val="Hyperlink"/>
            <w:rFonts w:eastAsiaTheme="majorEastAsia"/>
          </w:rPr>
          <w:t>Hope</w:t>
        </w:r>
      </w:hyperlink>
      <w:r>
        <w:t xml:space="preserve"> was injured after entering the </w:t>
      </w:r>
      <w:proofErr w:type="gramStart"/>
      <w:r>
        <w:t>rowhome</w:t>
      </w:r>
      <w:proofErr w:type="gramEnd"/>
      <w:r>
        <w:t xml:space="preserve"> </w:t>
      </w:r>
      <w:proofErr w:type="gramStart"/>
      <w:r>
        <w:t>in an attempt to</w:t>
      </w:r>
      <w:proofErr w:type="gramEnd"/>
      <w:r>
        <w:t xml:space="preserve"> save another firefighter when the floor gave way. Burned over more than 70 percent of her body, she had been at Crozer-Chester Medical Center in critical condition since the fire.” </w:t>
      </w:r>
      <w:hyperlink r:id="rId519" w:history="1">
        <w:r w:rsidRPr="00AF231E">
          <w:rPr>
            <w:rStyle w:val="Hyperlink"/>
            <w:rFonts w:eastAsiaTheme="majorEastAsia"/>
          </w:rPr>
          <w:t>https://www.delawareonline.com/story/news/local/2016/12/01/ardythe-hope-firefighter-injured-canby-park-blaze-dies/94758432/</w:t>
        </w:r>
      </w:hyperlink>
      <w:r>
        <w:t xml:space="preserve"> </w:t>
      </w:r>
    </w:p>
    <w:p w14:paraId="2E1ED9A3" w14:textId="77777777" w:rsidR="00AE32D3" w:rsidRDefault="00AE32D3" w:rsidP="00AE32D3">
      <w:pPr>
        <w:pStyle w:val="NormalWeb"/>
        <w:ind w:left="720"/>
      </w:pPr>
      <w:r>
        <w:t xml:space="preserve">“Based on the above findings, judgment should be entered against the Defendant in the total amount of $366,412.34, representing $46,653.23 in missing income, $331,401.82 in unsupported expenditures, and $2,750.00 for attorneys' fees, minus a credit of $14,392.71. Pre-judgment and post-judgment interest should be added to this judgment, compounded quarterly. I find the Defendant should be required to make monthly payments on the judgment and accept the Defendant's proposal for a 360-month period as unopposed. </w:t>
      </w:r>
    </w:p>
    <w:p w14:paraId="70900845" w14:textId="77777777" w:rsidR="00AE32D3" w:rsidRDefault="00AE32D3" w:rsidP="00AE32D3">
      <w:pPr>
        <w:pStyle w:val="NormalWeb"/>
        <w:ind w:left="720"/>
      </w:pPr>
      <w:r>
        <w:t>***</w:t>
      </w:r>
    </w:p>
    <w:p w14:paraId="52919DD3" w14:textId="609A38E6" w:rsidR="00AE32D3" w:rsidRPr="00AE32D3" w:rsidRDefault="00AE32D3" w:rsidP="00AE32D3">
      <w:pPr>
        <w:pStyle w:val="NoSpacing"/>
        <w:ind w:left="720"/>
        <w:rPr>
          <w:rFonts w:ascii="Times New Roman" w:hAnsi="Times New Roman"/>
          <w:sz w:val="24"/>
          <w:szCs w:val="24"/>
        </w:rPr>
      </w:pPr>
      <w:r w:rsidRPr="00AE32D3">
        <w:rPr>
          <w:rFonts w:ascii="Times New Roman" w:hAnsi="Times New Roman"/>
          <w:sz w:val="24"/>
          <w:szCs w:val="24"/>
        </w:rPr>
        <w:t xml:space="preserve">[Regarding new house he purchased with their LODD benefits] I recommend the Defendant be ordered to convey the Property to the Trust and vacate the Property within one year of this report becoming an order of the Court.” </w:t>
      </w:r>
      <w:hyperlink r:id="rId520" w:history="1">
        <w:r w:rsidRPr="00AE32D3">
          <w:rPr>
            <w:rStyle w:val="Hyperlink"/>
            <w:rFonts w:ascii="Times New Roman" w:eastAsiaTheme="majorEastAsia" w:hAnsi="Times New Roman"/>
            <w:sz w:val="24"/>
            <w:szCs w:val="24"/>
          </w:rPr>
          <w:t>https://law.justia.com/cases/delaware/court-of-chancery/2022/c-a-no-2020-0226-sem.html</w:t>
        </w:r>
      </w:hyperlink>
    </w:p>
    <w:p w14:paraId="0C6B8F6A" w14:textId="77777777" w:rsidR="00AE32D3" w:rsidRDefault="00AE32D3" w:rsidP="00EF1133">
      <w:pPr>
        <w:pStyle w:val="NoSpacing"/>
        <w:rPr>
          <w:rFonts w:ascii="Arial Black" w:hAnsi="Arial Black"/>
          <w:sz w:val="24"/>
          <w:szCs w:val="24"/>
        </w:rPr>
      </w:pPr>
    </w:p>
    <w:p w14:paraId="350B0A03" w14:textId="77777777" w:rsidR="00AE32D3" w:rsidRPr="0067736B" w:rsidRDefault="00AE32D3" w:rsidP="00AE32D3">
      <w:pPr>
        <w:pStyle w:val="NormalWeb"/>
        <w:rPr>
          <w:b/>
          <w:bCs/>
        </w:rPr>
      </w:pPr>
      <w:r w:rsidRPr="0067736B">
        <w:rPr>
          <w:b/>
          <w:bCs/>
        </w:rPr>
        <w:t>Legal Lesson Learned:</w:t>
      </w:r>
      <w:r>
        <w:rPr>
          <w:b/>
          <w:bCs/>
        </w:rPr>
        <w:t xml:space="preserve"> The father breached </w:t>
      </w:r>
      <w:proofErr w:type="spellStart"/>
      <w:r>
        <w:rPr>
          <w:b/>
          <w:bCs/>
        </w:rPr>
        <w:t>is</w:t>
      </w:r>
      <w:proofErr w:type="spellEnd"/>
      <w:r>
        <w:rPr>
          <w:b/>
          <w:bCs/>
        </w:rPr>
        <w:t xml:space="preserve"> fiduciary duty as original Trustee of the funds. </w:t>
      </w:r>
    </w:p>
    <w:p w14:paraId="038BE8F0" w14:textId="77777777" w:rsidR="00AE32D3" w:rsidRDefault="00AE32D3" w:rsidP="00AE32D3">
      <w:pPr>
        <w:pStyle w:val="NormalWeb"/>
      </w:pPr>
      <w:r>
        <w:tab/>
        <w:t xml:space="preserve">Note: The Master in Chancery shared this comment. </w:t>
      </w:r>
    </w:p>
    <w:p w14:paraId="2973FC7B" w14:textId="77777777" w:rsidR="00AE32D3" w:rsidRPr="0067736B" w:rsidRDefault="00AE32D3" w:rsidP="00AE32D3">
      <w:pPr>
        <w:pStyle w:val="NormalWeb"/>
        <w:ind w:left="720"/>
      </w:pPr>
      <w:r>
        <w:t>[Footnote 5.] “</w:t>
      </w:r>
      <w:r w:rsidRPr="0067736B">
        <w:t xml:space="preserve">I would be remiss not to acknowledge the triumphs and successes of the Beneficiaries. When this matter was heard, the Beneficiaries were both in college, with Alexis on a full volleyball scholarship at Maryland Eastern Shore and </w:t>
      </w:r>
      <w:proofErr w:type="spellStart"/>
      <w:r w:rsidRPr="0067736B">
        <w:t>Ardavia</w:t>
      </w:r>
      <w:proofErr w:type="spellEnd"/>
      <w:r w:rsidRPr="0067736B">
        <w:t xml:space="preserve"> studying political science and pre-law at Delaware State University</w:t>
      </w:r>
      <w:r>
        <w:t xml:space="preserve">…. </w:t>
      </w:r>
      <w:r w:rsidRPr="0067736B">
        <w:t>Their perseverance, drive, and determination in the face of tragedy is inspiring</w:t>
      </w:r>
      <w:r>
        <w:t xml:space="preserve"> … </w:t>
      </w:r>
      <w:r w:rsidRPr="0067736B">
        <w:t xml:space="preserve">(explaining that not only is Alexis on a volleyball scholarship but that she was All-State in basketball and track and field, and that </w:t>
      </w:r>
      <w:proofErr w:type="spellStart"/>
      <w:r w:rsidRPr="0067736B">
        <w:t>Ardavia</w:t>
      </w:r>
      <w:proofErr w:type="spellEnd"/>
      <w:r w:rsidRPr="0067736B">
        <w:t xml:space="preserve"> was Delaware's Boys and Girls Club Youth of the Year and awarded a Sallie Mae scholarship).</w:t>
      </w:r>
      <w:r>
        <w:t>”</w:t>
      </w:r>
    </w:p>
    <w:p w14:paraId="240B34AE" w14:textId="715DA75B" w:rsidR="00AE32D3" w:rsidRDefault="00AE32D3" w:rsidP="00EF1133">
      <w:pPr>
        <w:pStyle w:val="NoSpacing"/>
        <w:rPr>
          <w:rFonts w:ascii="Arial Black" w:hAnsi="Arial Black"/>
          <w:sz w:val="24"/>
          <w:szCs w:val="24"/>
        </w:rPr>
      </w:pPr>
      <w:r>
        <w:rPr>
          <w:rFonts w:ascii="Arial Black" w:hAnsi="Arial Black"/>
          <w:sz w:val="24"/>
          <w:szCs w:val="24"/>
        </w:rPr>
        <w:t>2-47</w:t>
      </w:r>
    </w:p>
    <w:p w14:paraId="30EA49EB" w14:textId="27227997" w:rsidR="00AE32D3" w:rsidRDefault="00AE32D3" w:rsidP="00EF1133">
      <w:pPr>
        <w:pStyle w:val="NoSpacing"/>
        <w:rPr>
          <w:rFonts w:ascii="Arial Black" w:hAnsi="Arial Black"/>
          <w:sz w:val="24"/>
          <w:szCs w:val="24"/>
        </w:rPr>
      </w:pPr>
    </w:p>
    <w:p w14:paraId="025DF895" w14:textId="77777777" w:rsidR="00AE32D3" w:rsidRDefault="00AE32D3" w:rsidP="00AE32D3">
      <w:pPr>
        <w:pStyle w:val="NormalWeb"/>
        <w:rPr>
          <w:rFonts w:ascii="Arial Black" w:hAnsi="Arial Black"/>
          <w:sz w:val="28"/>
          <w:szCs w:val="28"/>
        </w:rPr>
      </w:pPr>
      <w:r>
        <w:rPr>
          <w:rFonts w:ascii="Arial Black" w:hAnsi="Arial Black"/>
          <w:sz w:val="28"/>
          <w:szCs w:val="28"/>
        </w:rPr>
        <w:t>TX: FF FELL THROUGH 3½ FOOT OPENING IN OVERPASS CATWALK – FELL 20+ FEET – DOT CONTRACTOR IMMUNITY</w:t>
      </w:r>
    </w:p>
    <w:p w14:paraId="6A162885" w14:textId="77777777" w:rsidR="00AE32D3" w:rsidRDefault="00AE32D3" w:rsidP="00AE32D3">
      <w:pPr>
        <w:pStyle w:val="NormalWeb"/>
      </w:pPr>
      <w:r>
        <w:t xml:space="preserve">On Nov. 18, 2022, in </w:t>
      </w:r>
      <w:r w:rsidRPr="009D04E6">
        <w:rPr>
          <w:u w:val="single"/>
        </w:rPr>
        <w:t>A.S. Horner, Inc. v. Rafael Navarrette</w:t>
      </w:r>
      <w:r>
        <w:t xml:space="preserve">, the Court of Appeals of Texas, Eight District, El Paso, held (3 to 0)that the trial court improperly denied the construction company’s motion for summary judgment; under Texas statute, a contractor who performs work pursuant to the Texas DOT contract is immune from liability; court rules this applies both during the construction phase and afterwards.  </w:t>
      </w:r>
    </w:p>
    <w:p w14:paraId="6F1D5F97" w14:textId="77777777" w:rsidR="00AE32D3" w:rsidRDefault="00AE32D3" w:rsidP="00AE32D3">
      <w:pPr>
        <w:pStyle w:val="NormalWeb"/>
        <w:ind w:left="720"/>
      </w:pPr>
      <w:r>
        <w:t>“At the time of the incident that is a basis of the suit, Navarrette was on duty responding to a multi-vehicle crash that occurred in the middle of the night on a Loop 375 overpass. Navarrette's suit alleged that, ‘[w]</w:t>
      </w:r>
      <w:proofErr w:type="spellStart"/>
      <w:r>
        <w:t>hile</w:t>
      </w:r>
      <w:proofErr w:type="spellEnd"/>
      <w:r>
        <w:t xml:space="preserve"> between the barricades, on a defectively designed and installed cement catwalk without restraining railings he fell 20 to 30 feet through [a] 3 1/2 or 4 feet opening.’ Horner constructed the overpass from which Navarrette fell. Navarrette asserted claims against Horner pursuant to premises liability based on a dangerous condition on the road or property, and alternatively, based on theories of negligence.  </w:t>
      </w:r>
    </w:p>
    <w:p w14:paraId="54E91C90" w14:textId="77777777" w:rsidR="00AE32D3" w:rsidRDefault="00AE32D3" w:rsidP="00AE32D3">
      <w:pPr>
        <w:pStyle w:val="NormalWeb"/>
        <w:ind w:left="720"/>
      </w:pPr>
      <w:r>
        <w:t>***</w:t>
      </w:r>
    </w:p>
    <w:p w14:paraId="0DF9B222" w14:textId="77777777" w:rsidR="00AE32D3" w:rsidRDefault="00AE32D3" w:rsidP="00AE32D3">
      <w:pPr>
        <w:pStyle w:val="NormalWeb"/>
        <w:ind w:left="720"/>
        <w:rPr>
          <w:rStyle w:val="Hyperlink"/>
          <w:rFonts w:eastAsiaTheme="majorEastAsia"/>
        </w:rPr>
      </w:pPr>
      <w:r>
        <w:t xml:space="preserve">Because TxDOT designed this project and required Horner to perform its work pursuant to contract terms, and because Navarrette did not challenge or otherwise dispute that Horner's work complied with those terms, we determine that section 97.002's conditional pre-requisite was met. </w:t>
      </w:r>
      <w:hyperlink r:id="rId521" w:history="1">
        <w:r w:rsidRPr="00335B71">
          <w:rPr>
            <w:rStyle w:val="Hyperlink"/>
            <w:rFonts w:eastAsiaTheme="majorEastAsia"/>
          </w:rPr>
          <w:t>https://casetext.com/case/as-horner-inc-v-navarrette-4</w:t>
        </w:r>
      </w:hyperlink>
    </w:p>
    <w:p w14:paraId="2962AFC6" w14:textId="77777777" w:rsidR="00AE32D3" w:rsidRDefault="00AE32D3" w:rsidP="00AE32D3">
      <w:pPr>
        <w:pStyle w:val="NormalWeb"/>
        <w:rPr>
          <w:b/>
          <w:bCs/>
        </w:rPr>
      </w:pPr>
      <w:r w:rsidRPr="00A3198D">
        <w:rPr>
          <w:b/>
          <w:bCs/>
        </w:rPr>
        <w:t>Legal Lesson Learned:</w:t>
      </w:r>
      <w:r>
        <w:rPr>
          <w:b/>
          <w:bCs/>
        </w:rPr>
        <w:t xml:space="preserve">  The Texas statute provides immunity to contracts who follow DOT contract requirements. </w:t>
      </w:r>
    </w:p>
    <w:p w14:paraId="49FE13E6" w14:textId="77777777" w:rsidR="00AE32D3" w:rsidRDefault="00AE32D3" w:rsidP="00AE32D3">
      <w:pPr>
        <w:pStyle w:val="Heading1"/>
        <w:ind w:left="720"/>
        <w:rPr>
          <w:b w:val="0"/>
          <w:bCs w:val="0"/>
          <w:sz w:val="24"/>
          <w:szCs w:val="24"/>
        </w:rPr>
      </w:pPr>
      <w:r w:rsidRPr="00876015">
        <w:rPr>
          <w:b w:val="0"/>
          <w:bCs w:val="0"/>
          <w:sz w:val="24"/>
          <w:szCs w:val="24"/>
        </w:rPr>
        <w:t xml:space="preserve">Note: See June 4, </w:t>
      </w:r>
      <w:proofErr w:type="gramStart"/>
      <w:r w:rsidRPr="00876015">
        <w:rPr>
          <w:b w:val="0"/>
          <w:bCs w:val="0"/>
          <w:sz w:val="24"/>
          <w:szCs w:val="24"/>
        </w:rPr>
        <w:t>2014</w:t>
      </w:r>
      <w:proofErr w:type="gramEnd"/>
      <w:r w:rsidRPr="00876015">
        <w:rPr>
          <w:b w:val="0"/>
          <w:bCs w:val="0"/>
          <w:sz w:val="24"/>
          <w:szCs w:val="24"/>
        </w:rPr>
        <w:t xml:space="preserve"> article: Texas firefighter plunges 20 feet off overpass at crash scene; The lieutenant fell through an opening in the overpass and suffered fractures to his face. </w:t>
      </w:r>
      <w:hyperlink r:id="rId522" w:history="1">
        <w:r w:rsidRPr="00335B71">
          <w:rPr>
            <w:rStyle w:val="Hyperlink"/>
            <w:rFonts w:eastAsiaTheme="majorEastAsia"/>
            <w:b w:val="0"/>
            <w:bCs w:val="0"/>
            <w:sz w:val="24"/>
            <w:szCs w:val="24"/>
          </w:rPr>
          <w:t>https://www.firerescue1.com/fire-ems/articles/texas-firefighter-plunges-20-feet-off-overpass-at-crash-scene-lBARe4alhxd9zIr4/</w:t>
        </w:r>
      </w:hyperlink>
      <w:r>
        <w:rPr>
          <w:b w:val="0"/>
          <w:bCs w:val="0"/>
          <w:sz w:val="24"/>
          <w:szCs w:val="24"/>
        </w:rPr>
        <w:t xml:space="preserve"> </w:t>
      </w:r>
    </w:p>
    <w:p w14:paraId="709F58B0" w14:textId="4B762CFC" w:rsidR="00AE32D3" w:rsidRPr="00AE32D3" w:rsidRDefault="00AE32D3" w:rsidP="00AE32D3">
      <w:pPr>
        <w:pStyle w:val="NoSpacing"/>
        <w:ind w:left="720"/>
        <w:rPr>
          <w:rFonts w:ascii="Times New Roman" w:hAnsi="Times New Roman"/>
          <w:sz w:val="24"/>
          <w:szCs w:val="24"/>
        </w:rPr>
      </w:pPr>
      <w:r w:rsidRPr="00AE32D3">
        <w:rPr>
          <w:rFonts w:ascii="Times New Roman" w:hAnsi="Times New Roman"/>
          <w:sz w:val="24"/>
          <w:szCs w:val="24"/>
        </w:rPr>
        <w:t xml:space="preserve">See also: June 3, 2014: El Paso (TX) Firefighter Injured in Fall at MVA Scene. </w:t>
      </w:r>
      <w:hyperlink r:id="rId523" w:anchor="gref" w:history="1">
        <w:r w:rsidRPr="00E01337">
          <w:rPr>
            <w:rStyle w:val="Hyperlink"/>
            <w:rFonts w:ascii="Times New Roman" w:eastAsiaTheme="majorEastAsia" w:hAnsi="Times New Roman"/>
            <w:sz w:val="24"/>
            <w:szCs w:val="24"/>
          </w:rPr>
          <w:t>https://www.fireengineering.com/firefighting/el-paso-tx-firefighter-injured-while-rendering-care/#gref</w:t>
        </w:r>
      </w:hyperlink>
    </w:p>
    <w:p w14:paraId="187D6BDA" w14:textId="77777777" w:rsidR="00AE32D3" w:rsidRPr="00AE32D3" w:rsidRDefault="00AE32D3" w:rsidP="00EF1133">
      <w:pPr>
        <w:pStyle w:val="NoSpacing"/>
        <w:rPr>
          <w:rFonts w:ascii="Times New Roman" w:hAnsi="Times New Roman"/>
          <w:sz w:val="24"/>
          <w:szCs w:val="24"/>
        </w:rPr>
      </w:pPr>
    </w:p>
    <w:p w14:paraId="612CDD34" w14:textId="77777777" w:rsidR="00AE32D3" w:rsidRDefault="00AE32D3" w:rsidP="00EF1133">
      <w:pPr>
        <w:pStyle w:val="NoSpacing"/>
        <w:rPr>
          <w:rFonts w:ascii="Arial Black" w:hAnsi="Arial Black"/>
          <w:sz w:val="24"/>
          <w:szCs w:val="24"/>
        </w:rPr>
      </w:pPr>
    </w:p>
    <w:p w14:paraId="11CB1FD4" w14:textId="1E9F5281" w:rsidR="00804F3A" w:rsidRDefault="00804F3A" w:rsidP="00EF1133">
      <w:pPr>
        <w:pStyle w:val="NoSpacing"/>
        <w:rPr>
          <w:rFonts w:ascii="Arial Black" w:hAnsi="Arial Black"/>
          <w:sz w:val="24"/>
          <w:szCs w:val="24"/>
        </w:rPr>
      </w:pPr>
      <w:r>
        <w:rPr>
          <w:rFonts w:ascii="Arial Black" w:hAnsi="Arial Black"/>
          <w:sz w:val="24"/>
          <w:szCs w:val="24"/>
        </w:rPr>
        <w:t>2-46</w:t>
      </w:r>
    </w:p>
    <w:p w14:paraId="6CF2E265" w14:textId="77777777" w:rsidR="00804F3A" w:rsidRPr="00486C28" w:rsidRDefault="00804F3A" w:rsidP="00804F3A">
      <w:pPr>
        <w:pStyle w:val="NormalWeb"/>
        <w:rPr>
          <w:rFonts w:ascii="Arial Black" w:hAnsi="Arial Black"/>
          <w:b/>
          <w:bCs/>
          <w:sz w:val="28"/>
          <w:szCs w:val="28"/>
        </w:rPr>
      </w:pPr>
      <w:r w:rsidRPr="00486C28">
        <w:rPr>
          <w:rFonts w:ascii="Arial Black" w:hAnsi="Arial Black"/>
          <w:b/>
          <w:bCs/>
          <w:sz w:val="28"/>
          <w:szCs w:val="28"/>
        </w:rPr>
        <w:t xml:space="preserve">LA: </w:t>
      </w:r>
      <w:r>
        <w:rPr>
          <w:rFonts w:ascii="Arial Black" w:hAnsi="Arial Black"/>
          <w:b/>
          <w:bCs/>
          <w:sz w:val="28"/>
          <w:szCs w:val="28"/>
        </w:rPr>
        <w:t>RAILROAD BLOCKED ROAD – CARDIAC PATIENT – NEW HELICOPTER PICKUP, 8 MINUTES – DIED – NO LIAB. FOR RR</w:t>
      </w:r>
    </w:p>
    <w:p w14:paraId="3CE43986" w14:textId="77777777" w:rsidR="00804F3A" w:rsidRDefault="00804F3A" w:rsidP="00804F3A">
      <w:pPr>
        <w:pStyle w:val="NormalWeb"/>
      </w:pPr>
      <w:r>
        <w:t xml:space="preserve">On Oct. 20, 2022, in </w:t>
      </w:r>
      <w:r w:rsidRPr="00486C28">
        <w:rPr>
          <w:u w:val="single"/>
        </w:rPr>
        <w:t>Brenda R. Blalock v. Union Pacific Railroad Company</w:t>
      </w:r>
      <w:r>
        <w:t xml:space="preserve">, U.S. Court of Appeals for Fifth Circuit (New Orleans), the Court held (3 to 0) that trial court properly granted summary judgment to the railroad, since they were not aware of emergency transport until after the ambulance driver decided to take another route. </w:t>
      </w:r>
    </w:p>
    <w:p w14:paraId="1A7F94D6" w14:textId="77777777" w:rsidR="00804F3A" w:rsidRPr="00C40187" w:rsidRDefault="00804F3A" w:rsidP="00804F3A">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“[T]</w:t>
      </w:r>
      <w:r w:rsidRPr="00AC0E66">
        <w:rPr>
          <w:rFonts w:ascii="Times New Roman" w:eastAsia="Times New Roman" w:hAnsi="Times New Roman"/>
          <w:sz w:val="24"/>
          <w:szCs w:val="24"/>
        </w:rPr>
        <w:t xml:space="preserve">here is insufficient evidence to support Brenda's claims that Union Pacific caused a delay in Leo receiving medical care. The timespan from the </w:t>
      </w:r>
      <w:proofErr w:type="spellStart"/>
      <w:r w:rsidRPr="00AC0E66">
        <w:rPr>
          <w:rFonts w:ascii="Times New Roman" w:eastAsia="Times New Roman" w:hAnsi="Times New Roman"/>
          <w:sz w:val="24"/>
          <w:szCs w:val="24"/>
        </w:rPr>
        <w:t>Blalocks</w:t>
      </w:r>
      <w:proofErr w:type="spellEnd"/>
      <w:r w:rsidRPr="00AC0E66">
        <w:rPr>
          <w:rFonts w:ascii="Times New Roman" w:eastAsia="Times New Roman" w:hAnsi="Times New Roman"/>
          <w:sz w:val="24"/>
          <w:szCs w:val="24"/>
        </w:rPr>
        <w:t xml:space="preserve">' home to the new rerouted landing zone was approximately eight minutes. Evidence shows that when the ambulance approached the railroad crossing and noticed it was blocked, paramedics immediately rerouted to Alexandria where the new landing zone and destination hospital were located. The paramedic testified that she did not </w:t>
      </w:r>
      <w:r>
        <w:rPr>
          <w:rFonts w:ascii="Times New Roman" w:eastAsia="Times New Roman" w:hAnsi="Times New Roman"/>
          <w:sz w:val="24"/>
          <w:szCs w:val="24"/>
        </w:rPr>
        <w:t>‘</w:t>
      </w:r>
      <w:r w:rsidRPr="00AC0E66">
        <w:rPr>
          <w:rFonts w:ascii="Times New Roman" w:eastAsia="Times New Roman" w:hAnsi="Times New Roman"/>
          <w:sz w:val="24"/>
          <w:szCs w:val="24"/>
        </w:rPr>
        <w:t xml:space="preserve">even </w:t>
      </w:r>
      <w:proofErr w:type="gramStart"/>
      <w:r w:rsidRPr="00AC0E66">
        <w:rPr>
          <w:rFonts w:ascii="Times New Roman" w:eastAsia="Times New Roman" w:hAnsi="Times New Roman"/>
          <w:sz w:val="24"/>
          <w:szCs w:val="24"/>
        </w:rPr>
        <w:t>waste like</w:t>
      </w:r>
      <w:proofErr w:type="gramEnd"/>
      <w:r w:rsidRPr="00AC0E66">
        <w:rPr>
          <w:rFonts w:ascii="Times New Roman" w:eastAsia="Times New Roman" w:hAnsi="Times New Roman"/>
          <w:sz w:val="24"/>
          <w:szCs w:val="24"/>
        </w:rPr>
        <w:t xml:space="preserve"> 30 </w:t>
      </w:r>
      <w:proofErr w:type="gramStart"/>
      <w:r w:rsidRPr="00AC0E66">
        <w:rPr>
          <w:rFonts w:ascii="Times New Roman" w:eastAsia="Times New Roman" w:hAnsi="Times New Roman"/>
          <w:sz w:val="24"/>
          <w:szCs w:val="24"/>
        </w:rPr>
        <w:t>seconds</w:t>
      </w:r>
      <w:r>
        <w:rPr>
          <w:rFonts w:ascii="Times New Roman" w:eastAsia="Times New Roman" w:hAnsi="Times New Roman"/>
          <w:sz w:val="24"/>
          <w:szCs w:val="24"/>
        </w:rPr>
        <w:t>’</w:t>
      </w:r>
      <w:proofErr w:type="gramEnd"/>
      <w:r w:rsidRPr="00AC0E66">
        <w:rPr>
          <w:rFonts w:ascii="Times New Roman" w:eastAsia="Times New Roman" w:hAnsi="Times New Roman"/>
          <w:sz w:val="24"/>
          <w:szCs w:val="24"/>
        </w:rPr>
        <w:t xml:space="preserve"> and when asked did they </w:t>
      </w:r>
      <w:proofErr w:type="gramStart"/>
      <w:r w:rsidRPr="00AC0E66">
        <w:rPr>
          <w:rFonts w:ascii="Times New Roman" w:eastAsia="Times New Roman" w:hAnsi="Times New Roman"/>
          <w:sz w:val="24"/>
          <w:szCs w:val="24"/>
        </w:rPr>
        <w:t>wait</w:t>
      </w:r>
      <w:proofErr w:type="gramEnd"/>
      <w:r w:rsidRPr="00AC0E66">
        <w:rPr>
          <w:rFonts w:ascii="Times New Roman" w:eastAsia="Times New Roman" w:hAnsi="Times New Roman"/>
          <w:sz w:val="24"/>
          <w:szCs w:val="24"/>
        </w:rPr>
        <w:t xml:space="preserve"> at the track, she responded</w:t>
      </w:r>
      <w:r>
        <w:rPr>
          <w:rFonts w:ascii="Times New Roman" w:eastAsia="Times New Roman" w:hAnsi="Times New Roman"/>
          <w:sz w:val="24"/>
          <w:szCs w:val="24"/>
        </w:rPr>
        <w:t xml:space="preserve"> ‘</w:t>
      </w:r>
      <w:r w:rsidRPr="00AC0E66">
        <w:rPr>
          <w:rFonts w:ascii="Times New Roman" w:eastAsia="Times New Roman" w:hAnsi="Times New Roman"/>
          <w:sz w:val="24"/>
          <w:szCs w:val="24"/>
        </w:rPr>
        <w:t>[w]e didn't.</w:t>
      </w:r>
      <w:r>
        <w:rPr>
          <w:rFonts w:ascii="Times New Roman" w:eastAsia="Times New Roman" w:hAnsi="Times New Roman"/>
          <w:sz w:val="24"/>
          <w:szCs w:val="24"/>
        </w:rPr>
        <w:t>’</w:t>
      </w:r>
      <w:r w:rsidRPr="00AC0E66">
        <w:rPr>
          <w:rFonts w:ascii="Times New Roman" w:eastAsia="Times New Roman" w:hAnsi="Times New Roman"/>
          <w:sz w:val="24"/>
          <w:szCs w:val="24"/>
        </w:rPr>
        <w:t xml:space="preserve"> The evidence also shows that Union Pacific was not notified about the emergency vehicle until </w:t>
      </w:r>
      <w:r w:rsidRPr="00AC0E66">
        <w:rPr>
          <w:rFonts w:ascii="Times New Roman" w:eastAsia="Times New Roman" w:hAnsi="Times New Roman"/>
          <w:i/>
          <w:iCs/>
          <w:sz w:val="24"/>
          <w:szCs w:val="24"/>
        </w:rPr>
        <w:t>after</w:t>
      </w:r>
      <w:r w:rsidRPr="00AC0E66">
        <w:rPr>
          <w:rFonts w:ascii="Times New Roman" w:eastAsia="Times New Roman" w:hAnsi="Times New Roman"/>
          <w:sz w:val="24"/>
          <w:szCs w:val="24"/>
        </w:rPr>
        <w:t xml:space="preserve"> the ambulance had already </w:t>
      </w:r>
      <w:proofErr w:type="gramStart"/>
      <w:r w:rsidRPr="00AC0E66">
        <w:rPr>
          <w:rFonts w:ascii="Times New Roman" w:eastAsia="Times New Roman" w:hAnsi="Times New Roman"/>
          <w:sz w:val="24"/>
          <w:szCs w:val="24"/>
        </w:rPr>
        <w:t>rerouted</w:t>
      </w:r>
      <w:proofErr w:type="gramEnd"/>
      <w:r w:rsidRPr="00AC0E66">
        <w:rPr>
          <w:rFonts w:ascii="Times New Roman" w:eastAsia="Times New Roman" w:hAnsi="Times New Roman"/>
          <w:sz w:val="24"/>
          <w:szCs w:val="24"/>
        </w:rPr>
        <w:t xml:space="preserve">. Therefore, at the time the ambulance needed to cross the railroad tracks, Union Pacific was not aware of Leo's emergency. And even if it were, it </w:t>
      </w:r>
      <w:r>
        <w:rPr>
          <w:rFonts w:ascii="Times New Roman" w:eastAsia="Times New Roman" w:hAnsi="Times New Roman"/>
          <w:sz w:val="24"/>
          <w:szCs w:val="24"/>
        </w:rPr>
        <w:t>‘</w:t>
      </w:r>
      <w:r w:rsidRPr="00AC0E66">
        <w:rPr>
          <w:rFonts w:ascii="Times New Roman" w:eastAsia="Times New Roman" w:hAnsi="Times New Roman"/>
          <w:sz w:val="24"/>
          <w:szCs w:val="24"/>
        </w:rPr>
        <w:t>would have been impossible</w:t>
      </w:r>
      <w:r>
        <w:rPr>
          <w:rFonts w:ascii="Times New Roman" w:eastAsia="Times New Roman" w:hAnsi="Times New Roman"/>
          <w:sz w:val="24"/>
          <w:szCs w:val="24"/>
        </w:rPr>
        <w:t>’</w:t>
      </w:r>
      <w:r w:rsidRPr="00AC0E66">
        <w:rPr>
          <w:rFonts w:ascii="Times New Roman" w:eastAsia="Times New Roman" w:hAnsi="Times New Roman"/>
          <w:sz w:val="24"/>
          <w:szCs w:val="24"/>
        </w:rPr>
        <w:t xml:space="preserve"> for the train to break within the </w:t>
      </w:r>
      <w:r>
        <w:rPr>
          <w:rFonts w:ascii="Times New Roman" w:eastAsia="Times New Roman" w:hAnsi="Times New Roman"/>
          <w:sz w:val="24"/>
          <w:szCs w:val="24"/>
        </w:rPr>
        <w:t>‘</w:t>
      </w:r>
      <w:r w:rsidRPr="00AC0E66">
        <w:rPr>
          <w:rFonts w:ascii="Times New Roman" w:eastAsia="Times New Roman" w:hAnsi="Times New Roman"/>
          <w:sz w:val="24"/>
          <w:szCs w:val="24"/>
        </w:rPr>
        <w:t>seconds</w:t>
      </w:r>
      <w:r>
        <w:rPr>
          <w:rFonts w:ascii="Times New Roman" w:eastAsia="Times New Roman" w:hAnsi="Times New Roman"/>
          <w:sz w:val="24"/>
          <w:szCs w:val="24"/>
        </w:rPr>
        <w:t>’</w:t>
      </w:r>
      <w:r w:rsidRPr="00AC0E66">
        <w:rPr>
          <w:rFonts w:ascii="Times New Roman" w:eastAsia="Times New Roman" w:hAnsi="Times New Roman"/>
          <w:sz w:val="24"/>
          <w:szCs w:val="24"/>
        </w:rPr>
        <w:t xml:space="preserve"> the paramedics were at the crossing. In the absence of sufficient evidence to the contrary, we conclude that Brenda has failed to show a genuine issue of material fact as to </w:t>
      </w:r>
      <w:r w:rsidRPr="00C40187">
        <w:rPr>
          <w:rFonts w:ascii="Times New Roman" w:eastAsia="Times New Roman" w:hAnsi="Times New Roman"/>
          <w:sz w:val="24"/>
          <w:szCs w:val="24"/>
        </w:rPr>
        <w:t>causation.”</w:t>
      </w:r>
      <w:hyperlink r:id="rId524" w:history="1">
        <w:r w:rsidRPr="00C40187">
          <w:rPr>
            <w:rStyle w:val="Hyperlink"/>
            <w:rFonts w:ascii="Times New Roman" w:hAnsi="Times New Roman"/>
            <w:sz w:val="24"/>
            <w:szCs w:val="24"/>
          </w:rPr>
          <w:t>http://www.ca5.uscourts.gov/opinions/unpub/22/22-30100.0.pdf</w:t>
        </w:r>
      </w:hyperlink>
      <w:r w:rsidRPr="00C40187">
        <w:rPr>
          <w:rFonts w:ascii="Times New Roman" w:hAnsi="Times New Roman"/>
          <w:sz w:val="24"/>
          <w:szCs w:val="24"/>
        </w:rPr>
        <w:t xml:space="preserve"> </w:t>
      </w:r>
    </w:p>
    <w:p w14:paraId="0367F1DE" w14:textId="77777777" w:rsidR="00804F3A" w:rsidRPr="00AC0E66" w:rsidRDefault="00804F3A" w:rsidP="00804F3A">
      <w:pPr>
        <w:spacing w:before="100" w:beforeAutospacing="1" w:after="100" w:afterAutospacing="1" w:line="240" w:lineRule="auto"/>
        <w:rPr>
          <w:rFonts w:ascii="Times New Roman" w:eastAsia="Times New Roman" w:hAnsi="Times New Roman"/>
          <w:b/>
          <w:bCs/>
          <w:sz w:val="24"/>
          <w:szCs w:val="24"/>
        </w:rPr>
      </w:pPr>
      <w:r w:rsidRPr="00AC0E66">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Establish protocol for EMS transports when railroad blocking route. </w:t>
      </w:r>
    </w:p>
    <w:p w14:paraId="45B67AC9" w14:textId="77777777" w:rsidR="00804F3A" w:rsidRDefault="00804F3A" w:rsidP="00804F3A">
      <w:pPr>
        <w:pStyle w:val="NormalWeb"/>
        <w:ind w:left="720"/>
      </w:pPr>
      <w:r>
        <w:t>Note:  See this article (Fall 2021):</w:t>
      </w:r>
    </w:p>
    <w:p w14:paraId="04914026" w14:textId="77777777" w:rsidR="00804F3A" w:rsidRPr="002A3E85" w:rsidRDefault="00804F3A" w:rsidP="00804F3A">
      <w:pPr>
        <w:pStyle w:val="NoSpacing"/>
        <w:ind w:firstLine="720"/>
        <w:rPr>
          <w:rFonts w:ascii="Times New Roman" w:hAnsi="Times New Roman"/>
          <w:sz w:val="28"/>
          <w:szCs w:val="28"/>
        </w:rPr>
      </w:pPr>
      <w:r w:rsidRPr="002A3E85">
        <w:rPr>
          <w:rFonts w:ascii="Times New Roman" w:hAnsi="Times New Roman"/>
          <w:sz w:val="28"/>
          <w:szCs w:val="28"/>
        </w:rPr>
        <w:t>Don’t Let Railroads Become Roadblocks</w:t>
      </w:r>
    </w:p>
    <w:p w14:paraId="53569E16" w14:textId="77777777" w:rsidR="00804F3A" w:rsidRPr="00AC0E66" w:rsidRDefault="00804F3A" w:rsidP="00804F3A">
      <w:pPr>
        <w:pStyle w:val="NoSpacing"/>
        <w:ind w:left="720"/>
        <w:rPr>
          <w:rFonts w:ascii="Times New Roman" w:hAnsi="Times New Roman"/>
          <w:i/>
          <w:iCs/>
          <w:sz w:val="24"/>
          <w:szCs w:val="24"/>
        </w:rPr>
      </w:pPr>
      <w:r w:rsidRPr="00AC0E66">
        <w:rPr>
          <w:rFonts w:ascii="Times New Roman" w:hAnsi="Times New Roman"/>
          <w:i/>
          <w:iCs/>
          <w:sz w:val="24"/>
          <w:szCs w:val="24"/>
        </w:rPr>
        <w:t>Take advantage of resources available to help EMS and other first responders avoid delays caused by railroads and respond safely to incidents on or near railroad crossings.</w:t>
      </w:r>
    </w:p>
    <w:p w14:paraId="3CFB993E" w14:textId="77777777" w:rsidR="00804F3A" w:rsidRDefault="00804F3A" w:rsidP="00804F3A">
      <w:pPr>
        <w:pStyle w:val="NoSpacing"/>
        <w:ind w:firstLine="720"/>
      </w:pPr>
      <w:hyperlink r:id="rId525" w:history="1">
        <w:r w:rsidRPr="00A7079D">
          <w:rPr>
            <w:rStyle w:val="Hyperlink"/>
            <w:rFonts w:ascii="Times New Roman" w:hAnsi="Times New Roman"/>
          </w:rPr>
          <w:t>https://www.ems.gov/newsletter/fall2021/dont_let_railroads_become_roadblocks.html</w:t>
        </w:r>
      </w:hyperlink>
      <w:r>
        <w:t xml:space="preserve"> </w:t>
      </w:r>
    </w:p>
    <w:p w14:paraId="1B32C4E7" w14:textId="77777777" w:rsidR="00804F3A" w:rsidRDefault="00804F3A" w:rsidP="00804F3A">
      <w:pPr>
        <w:pStyle w:val="NormalWeb"/>
        <w:ind w:left="720"/>
      </w:pPr>
      <w:r>
        <w:t xml:space="preserve">“Fortunately, resources exist to help first responders facing these circumstances. According to Michail </w:t>
      </w:r>
      <w:proofErr w:type="spellStart"/>
      <w:r>
        <w:t>Grizkewitsch</w:t>
      </w:r>
      <w:proofErr w:type="spellEnd"/>
      <w:r>
        <w:t xml:space="preserve"> with the Federal Railroad Administration’s Office of Railroad Safety, one of the first things responders can do is look for a blue </w:t>
      </w:r>
      <w:proofErr w:type="gramStart"/>
      <w:r>
        <w:t>Emergency Notification</w:t>
      </w:r>
      <w:proofErr w:type="gramEnd"/>
      <w:r>
        <w:t xml:space="preserve"> System sign with two sets of numbers on it. One is the phone number that will connect them directly to the railroad dispatcher overseeing that specific track. The other number is a unique Department of Transportation identifier for that crossing, so you can quickly let the dispatcher know where you are.”</w:t>
      </w:r>
    </w:p>
    <w:p w14:paraId="23B4DF9A" w14:textId="77777777" w:rsidR="00804F3A" w:rsidRDefault="00804F3A" w:rsidP="00EF1133">
      <w:pPr>
        <w:pStyle w:val="NoSpacing"/>
        <w:rPr>
          <w:rFonts w:ascii="Arial Black" w:hAnsi="Arial Black"/>
          <w:sz w:val="24"/>
          <w:szCs w:val="24"/>
        </w:rPr>
      </w:pPr>
    </w:p>
    <w:p w14:paraId="0585D65C" w14:textId="77777777" w:rsidR="00804F3A" w:rsidRDefault="00804F3A" w:rsidP="00EF1133">
      <w:pPr>
        <w:pStyle w:val="NoSpacing"/>
        <w:rPr>
          <w:rFonts w:ascii="Arial Black" w:hAnsi="Arial Black"/>
          <w:sz w:val="24"/>
          <w:szCs w:val="24"/>
        </w:rPr>
      </w:pPr>
    </w:p>
    <w:p w14:paraId="30EA7F7F" w14:textId="77777777" w:rsidR="00804F3A" w:rsidRDefault="00804F3A" w:rsidP="00EF1133">
      <w:pPr>
        <w:pStyle w:val="NoSpacing"/>
        <w:rPr>
          <w:rFonts w:ascii="Arial Black" w:hAnsi="Arial Black"/>
          <w:sz w:val="24"/>
          <w:szCs w:val="24"/>
        </w:rPr>
      </w:pPr>
    </w:p>
    <w:p w14:paraId="5F18F400" w14:textId="7A7D386C" w:rsidR="00E8117B" w:rsidRDefault="00E8117B" w:rsidP="00EF1133">
      <w:pPr>
        <w:pStyle w:val="NoSpacing"/>
        <w:rPr>
          <w:rFonts w:ascii="Arial Black" w:hAnsi="Arial Black"/>
          <w:sz w:val="24"/>
          <w:szCs w:val="24"/>
        </w:rPr>
      </w:pPr>
      <w:r>
        <w:rPr>
          <w:rFonts w:ascii="Arial Black" w:hAnsi="Arial Black"/>
          <w:sz w:val="24"/>
          <w:szCs w:val="24"/>
        </w:rPr>
        <w:t>2-45</w:t>
      </w:r>
    </w:p>
    <w:p w14:paraId="368A07F0" w14:textId="685F4EB0" w:rsidR="00E8117B" w:rsidRDefault="00E8117B" w:rsidP="00EF1133">
      <w:pPr>
        <w:pStyle w:val="NoSpacing"/>
        <w:rPr>
          <w:rFonts w:ascii="Arial Black" w:hAnsi="Arial Black"/>
          <w:sz w:val="24"/>
          <w:szCs w:val="24"/>
        </w:rPr>
      </w:pPr>
    </w:p>
    <w:p w14:paraId="4EE858D5" w14:textId="77777777" w:rsidR="00E8117B" w:rsidRDefault="00E8117B" w:rsidP="00E8117B">
      <w:pPr>
        <w:pStyle w:val="NormalWeb"/>
        <w:rPr>
          <w:rFonts w:ascii="Arial Black" w:hAnsi="Arial Black"/>
          <w:sz w:val="28"/>
          <w:szCs w:val="28"/>
        </w:rPr>
      </w:pPr>
      <w:r>
        <w:rPr>
          <w:rFonts w:ascii="Arial Black" w:hAnsi="Arial Black"/>
          <w:sz w:val="28"/>
          <w:szCs w:val="28"/>
        </w:rPr>
        <w:t xml:space="preserve">OH: LODD – ARSON DEFENDANT’S APPEAL DENIED – PROVIDED SIX WITNESS STATEMENTS BEFORE TRIAL </w:t>
      </w:r>
    </w:p>
    <w:p w14:paraId="42A4BBA5" w14:textId="77777777" w:rsidR="00E8117B" w:rsidRDefault="00E8117B" w:rsidP="00E8117B">
      <w:pPr>
        <w:pStyle w:val="NormalWeb"/>
      </w:pPr>
      <w:r>
        <w:t xml:space="preserve">On Sept. 19, 2022, in </w:t>
      </w:r>
      <w:r>
        <w:rPr>
          <w:u w:val="single"/>
        </w:rPr>
        <w:t>State of Ohio v. William R. Tucker</w:t>
      </w:r>
      <w:r>
        <w:t xml:space="preserve">, the Court of Appeals of Ohio, Twelfth District (Butler County) held (3 to 0) that trial court did not err in denying Tucker's untimely postconviction relief petition.  </w:t>
      </w:r>
    </w:p>
    <w:p w14:paraId="44BF81BB" w14:textId="77777777" w:rsidR="00E8117B" w:rsidRDefault="00E8117B" w:rsidP="00E8117B">
      <w:pPr>
        <w:pStyle w:val="NormalWeb"/>
        <w:ind w:left="720"/>
      </w:pPr>
      <w:r>
        <w:t xml:space="preserve">“After reviewing the record, we find Tucker's assertions are without merit. Tucker does not demonstrate that he was unavoidably prevented from discovering the facts necessary for his claim of relief. Instead, the record shows that the six witness statements were initially provided to Tucker and his attorney during discovery. On January 21, 2017, nearly ten months before trial, the State answered Tucker's request for discovery. Included in the response were items numbered 138, 140, 141, 147, 156, and 157, representing the witness statements of Sebastian, Hartford, Hatfield, Haynes, McAdams, and McDonald, respectively.” </w:t>
      </w:r>
      <w:hyperlink r:id="rId526" w:history="1">
        <w:r>
          <w:rPr>
            <w:rStyle w:val="Hyperlink"/>
          </w:rPr>
          <w:t>https://law.justia.com/cases/ohio/twelfth-district-court-of-appeals/2022/ca2022-02-020.html</w:t>
        </w:r>
      </w:hyperlink>
      <w:r>
        <w:t xml:space="preserve"> </w:t>
      </w:r>
    </w:p>
    <w:p w14:paraId="374A83A4" w14:textId="77777777" w:rsidR="00E8117B" w:rsidRDefault="00E8117B" w:rsidP="00E8117B">
      <w:pPr>
        <w:pStyle w:val="NormalWeb"/>
        <w:rPr>
          <w:b/>
          <w:bCs/>
        </w:rPr>
      </w:pPr>
      <w:r>
        <w:rPr>
          <w:b/>
          <w:bCs/>
        </w:rPr>
        <w:t xml:space="preserve">Legal Lesson Learned: Defendant must remain in prison - </w:t>
      </w:r>
      <w:r>
        <w:rPr>
          <w:rFonts w:eastAsiaTheme="minorHAnsi"/>
          <w:b/>
          <w:bCs/>
        </w:rPr>
        <w:t xml:space="preserve">15 years to life.   </w:t>
      </w:r>
    </w:p>
    <w:p w14:paraId="2B5AA13D" w14:textId="77777777" w:rsidR="00E8117B" w:rsidRDefault="00E8117B" w:rsidP="00EF1133">
      <w:pPr>
        <w:pStyle w:val="NoSpacing"/>
        <w:rPr>
          <w:rFonts w:ascii="Arial Black" w:hAnsi="Arial Black"/>
          <w:sz w:val="24"/>
          <w:szCs w:val="24"/>
        </w:rPr>
      </w:pPr>
    </w:p>
    <w:p w14:paraId="79454FBA" w14:textId="77777777" w:rsidR="00E8117B" w:rsidRDefault="00E8117B" w:rsidP="00EF1133">
      <w:pPr>
        <w:pStyle w:val="NoSpacing"/>
        <w:rPr>
          <w:rFonts w:ascii="Arial Black" w:hAnsi="Arial Black"/>
          <w:sz w:val="24"/>
          <w:szCs w:val="24"/>
        </w:rPr>
      </w:pPr>
    </w:p>
    <w:p w14:paraId="5C183C0E" w14:textId="77777777" w:rsidR="00E8117B" w:rsidRDefault="00E8117B" w:rsidP="00EF1133">
      <w:pPr>
        <w:pStyle w:val="NoSpacing"/>
        <w:rPr>
          <w:rFonts w:ascii="Arial Black" w:hAnsi="Arial Black"/>
          <w:sz w:val="24"/>
          <w:szCs w:val="24"/>
        </w:rPr>
      </w:pPr>
    </w:p>
    <w:p w14:paraId="04A3A2F3" w14:textId="73108702" w:rsidR="009A0402" w:rsidRDefault="009A0402" w:rsidP="00EF1133">
      <w:pPr>
        <w:pStyle w:val="NoSpacing"/>
        <w:rPr>
          <w:rFonts w:ascii="Arial Black" w:hAnsi="Arial Black"/>
          <w:sz w:val="24"/>
          <w:szCs w:val="24"/>
        </w:rPr>
      </w:pPr>
      <w:r>
        <w:rPr>
          <w:rFonts w:ascii="Arial Black" w:hAnsi="Arial Black"/>
          <w:sz w:val="24"/>
          <w:szCs w:val="24"/>
        </w:rPr>
        <w:t>2-44</w:t>
      </w:r>
    </w:p>
    <w:p w14:paraId="1D196A05" w14:textId="77777777" w:rsidR="009A0402" w:rsidRDefault="009A0402" w:rsidP="009A0402">
      <w:pPr>
        <w:spacing w:before="100" w:beforeAutospacing="1" w:after="100" w:afterAutospacing="1" w:line="240" w:lineRule="auto"/>
        <w:rPr>
          <w:rFonts w:ascii="Arial Black" w:hAnsi="Arial Black"/>
          <w:sz w:val="28"/>
          <w:szCs w:val="28"/>
        </w:rPr>
      </w:pPr>
      <w:r>
        <w:rPr>
          <w:rFonts w:ascii="Arial Black" w:hAnsi="Arial Black"/>
          <w:sz w:val="28"/>
          <w:szCs w:val="28"/>
        </w:rPr>
        <w:t>U.S. SUP. COURT:  FIREARMS – STATE OF NEW YORK “PROPER-CAUSE” REQUIREMENT UNCONSTITUTIONAL</w:t>
      </w:r>
    </w:p>
    <w:p w14:paraId="73050240" w14:textId="77777777" w:rsidR="009A0402" w:rsidRDefault="009A0402" w:rsidP="009A040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23, 2022, in </w:t>
      </w:r>
      <w:r>
        <w:rPr>
          <w:rFonts w:ascii="Times New Roman" w:hAnsi="Times New Roman"/>
          <w:sz w:val="24"/>
          <w:szCs w:val="24"/>
          <w:u w:val="single"/>
        </w:rPr>
        <w:t>New York State Rifle &amp; Pistol Association, et al. v. Bruen, Superintendent of New York State Police</w:t>
      </w:r>
      <w:r>
        <w:rPr>
          <w:rFonts w:ascii="Times New Roman" w:hAnsi="Times New Roman"/>
          <w:sz w:val="24"/>
          <w:szCs w:val="24"/>
        </w:rPr>
        <w:t xml:space="preserve">, the U.S. Supreme Court held (6 to 3) that the State’s requirement that residents must show a “proper-cause” to be able to carry a firearm violates their Second Amendment right to bear arms in public for self-defense. Brandon Koch, </w:t>
      </w:r>
      <w:r>
        <w:rPr>
          <w:rStyle w:val="markedcontent"/>
          <w:rFonts w:ascii="Times New Roman" w:hAnsi="Times New Roman"/>
          <w:sz w:val="24"/>
          <w:szCs w:val="24"/>
        </w:rPr>
        <w:t>Rensselaer County</w:t>
      </w:r>
      <w:r>
        <w:rPr>
          <w:rFonts w:ascii="Times New Roman" w:hAnsi="Times New Roman"/>
          <w:sz w:val="24"/>
          <w:szCs w:val="24"/>
        </w:rPr>
        <w:t xml:space="preserve"> and Robert Nash, </w:t>
      </w:r>
      <w:r>
        <w:rPr>
          <w:rStyle w:val="markedcontent"/>
          <w:rFonts w:ascii="Times New Roman" w:hAnsi="Times New Roman"/>
          <w:sz w:val="24"/>
          <w:szCs w:val="24"/>
        </w:rPr>
        <w:t>Averill Park,</w:t>
      </w:r>
      <w:r>
        <w:rPr>
          <w:rFonts w:ascii="Times New Roman" w:hAnsi="Times New Roman"/>
          <w:sz w:val="24"/>
          <w:szCs w:val="24"/>
        </w:rPr>
        <w:t xml:space="preserve"> are both members of the New York Rifle &amp; Pistol Association and were denied licenses to carry a firearm in public since they didn’t show any “special danger” and could only receive restricted licenses for only hunting and target practice. </w:t>
      </w:r>
      <w:hyperlink r:id="rId527" w:history="1">
        <w:r>
          <w:rPr>
            <w:rStyle w:val="Hyperlink"/>
            <w:sz w:val="24"/>
            <w:szCs w:val="24"/>
          </w:rPr>
          <w:t>https://www.supremecourt.gov/opinions/21pdf/20-843_7j80.pdf</w:t>
        </w:r>
      </w:hyperlink>
      <w:r>
        <w:rPr>
          <w:rFonts w:ascii="Times New Roman" w:hAnsi="Times New Roman"/>
          <w:sz w:val="24"/>
          <w:szCs w:val="24"/>
        </w:rPr>
        <w:t xml:space="preserve"> </w:t>
      </w:r>
    </w:p>
    <w:p w14:paraId="24BF93C5" w14:textId="77777777" w:rsidR="009A0402" w:rsidRDefault="009A0402" w:rsidP="009A0402">
      <w:pPr>
        <w:spacing w:before="100" w:beforeAutospacing="1" w:after="100" w:afterAutospacing="1" w:line="240" w:lineRule="auto"/>
        <w:rPr>
          <w:rFonts w:eastAsia="Times New Roman"/>
          <w:b/>
          <w:bCs/>
        </w:rPr>
      </w:pPr>
      <w:r>
        <w:rPr>
          <w:rFonts w:ascii="Times New Roman" w:eastAsia="Times New Roman" w:hAnsi="Times New Roman"/>
          <w:b/>
          <w:bCs/>
          <w:sz w:val="24"/>
          <w:szCs w:val="24"/>
        </w:rPr>
        <w:t xml:space="preserve">Legal Lesson Learned:  Fire &amp; EMS Department can post signs and issue policies prohibiting any firearms in their buildings, or apparatus, including by emergency responders. </w:t>
      </w:r>
    </w:p>
    <w:p w14:paraId="6494AA3B" w14:textId="77777777" w:rsidR="009A0402" w:rsidRDefault="009A0402" w:rsidP="009A0402">
      <w:pPr>
        <w:pStyle w:val="Heading1"/>
        <w:ind w:left="720"/>
        <w:rPr>
          <w:b w:val="0"/>
          <w:bCs w:val="0"/>
          <w:sz w:val="24"/>
          <w:szCs w:val="24"/>
        </w:rPr>
      </w:pPr>
      <w:r>
        <w:rPr>
          <w:b w:val="0"/>
          <w:bCs w:val="0"/>
          <w:sz w:val="24"/>
          <w:szCs w:val="24"/>
        </w:rPr>
        <w:t xml:space="preserve">Note this article: “What the Supreme Court’s Gun Ruling Means for New York” (June 24, 2022); </w:t>
      </w:r>
      <w:hyperlink r:id="rId528" w:history="1">
        <w:r>
          <w:rPr>
            <w:rStyle w:val="Hyperlink"/>
            <w:sz w:val="24"/>
            <w:szCs w:val="24"/>
          </w:rPr>
          <w:t>https://www.newyorker.com/news/our-local-correspondents/what-the-supreme-courts-gun-ruling-means-for-new-york</w:t>
        </w:r>
      </w:hyperlink>
      <w:r>
        <w:rPr>
          <w:b w:val="0"/>
          <w:bCs w:val="0"/>
          <w:sz w:val="24"/>
          <w:szCs w:val="24"/>
        </w:rPr>
        <w:t xml:space="preserve"> .  Within minutes of the ruling’s release, Governor Kathy Hochul, who called the ruling “shocking” and “frightful in its scope,” announced that she would call a special session of the state legislature, likely in the next few weeks, to respond. Just a few days ago, Hochul signed a package of new gun-control laws—including raising the minimum age for buying an AR-15-type rifle from eighteen to twenty-one—in response to the </w:t>
      </w:r>
      <w:hyperlink r:id="rId529" w:history="1">
        <w:r>
          <w:rPr>
            <w:rStyle w:val="Hyperlink"/>
            <w:sz w:val="24"/>
            <w:szCs w:val="24"/>
          </w:rPr>
          <w:t>racist mass shooting in Buffalo</w:t>
        </w:r>
      </w:hyperlink>
      <w:r>
        <w:rPr>
          <w:b w:val="0"/>
          <w:bCs w:val="0"/>
          <w:sz w:val="24"/>
          <w:szCs w:val="24"/>
        </w:rPr>
        <w:t xml:space="preserve">. New York has been one of the few states able to pass robust gun-control measures in response to mass shootings in recent years, and now its lawmakers will be tasked with coming up with a replacement for the Sullivan Act. This will likely include declaring public spaces such as schools and hospitals “sensitive spaces” where guns are barred, even for those with permits. Much of the focus in the debate will surely be on New York City, which saw a spike in shootings last year, and where arguments about crime and violence have lately been dominating the city’s interior monologue. When asked, on Thursday, whether New York City’s subways would qualify as ‘sensitive spaces,’ Hochul replied, ‘In my opinion, they </w:t>
      </w:r>
      <w:proofErr w:type="gramStart"/>
      <w:r>
        <w:rPr>
          <w:b w:val="0"/>
          <w:bCs w:val="0"/>
          <w:sz w:val="24"/>
          <w:szCs w:val="24"/>
        </w:rPr>
        <w:t>are.’”</w:t>
      </w:r>
      <w:proofErr w:type="gramEnd"/>
    </w:p>
    <w:p w14:paraId="593D3B51" w14:textId="77777777" w:rsidR="009A0402" w:rsidRDefault="009A0402" w:rsidP="00EF1133">
      <w:pPr>
        <w:pStyle w:val="NoSpacing"/>
        <w:rPr>
          <w:rFonts w:ascii="Arial Black" w:hAnsi="Arial Black"/>
          <w:sz w:val="24"/>
          <w:szCs w:val="24"/>
        </w:rPr>
      </w:pPr>
    </w:p>
    <w:p w14:paraId="150D93B0" w14:textId="77777777" w:rsidR="009A0402" w:rsidRDefault="009A0402" w:rsidP="00EF1133">
      <w:pPr>
        <w:pStyle w:val="NoSpacing"/>
        <w:rPr>
          <w:rFonts w:ascii="Arial Black" w:hAnsi="Arial Black"/>
          <w:sz w:val="24"/>
          <w:szCs w:val="24"/>
        </w:rPr>
      </w:pPr>
    </w:p>
    <w:p w14:paraId="16C65A2A" w14:textId="14AEE82C" w:rsidR="00E97D63" w:rsidRDefault="003F4E70" w:rsidP="00EF1133">
      <w:pPr>
        <w:pStyle w:val="NoSpacing"/>
        <w:rPr>
          <w:rFonts w:ascii="Arial Black" w:hAnsi="Arial Black"/>
          <w:sz w:val="24"/>
          <w:szCs w:val="24"/>
        </w:rPr>
      </w:pPr>
      <w:r>
        <w:rPr>
          <w:rFonts w:ascii="Arial Black" w:hAnsi="Arial Black"/>
          <w:sz w:val="24"/>
          <w:szCs w:val="24"/>
        </w:rPr>
        <w:t>2-43</w:t>
      </w:r>
    </w:p>
    <w:p w14:paraId="051F219D" w14:textId="77777777" w:rsidR="003F4E70" w:rsidRPr="00CD3B6F" w:rsidRDefault="003F4E70" w:rsidP="003F4E70">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IN: FF DIED CANCER – 4 DAYS PRIOR HE MARRIED FEMALE FF – $1.6M PENSION - SON LOSES ATTEMPT TO ANNUL </w:t>
      </w:r>
    </w:p>
    <w:p w14:paraId="77544263" w14:textId="16594154" w:rsidR="003F4E70" w:rsidRDefault="003F4E70" w:rsidP="003F4E70">
      <w:pPr>
        <w:pStyle w:val="NoSpacing"/>
        <w:rPr>
          <w:rFonts w:ascii="Arial Black" w:hAnsi="Arial Black"/>
          <w:sz w:val="24"/>
          <w:szCs w:val="24"/>
        </w:rPr>
      </w:pPr>
      <w:r>
        <w:rPr>
          <w:rFonts w:ascii="Times New Roman" w:hAnsi="Times New Roman"/>
          <w:sz w:val="24"/>
          <w:szCs w:val="24"/>
        </w:rPr>
        <w:t xml:space="preserve">On April 18, 2002, in </w:t>
      </w:r>
      <w:r w:rsidRPr="000C6632">
        <w:rPr>
          <w:rFonts w:ascii="Times New Roman" w:hAnsi="Times New Roman"/>
          <w:sz w:val="24"/>
          <w:szCs w:val="24"/>
          <w:u w:val="single"/>
        </w:rPr>
        <w:t>The Estate of Michael David Estridge, Sr. v. Lana Ann Taylor</w:t>
      </w:r>
      <w:r>
        <w:rPr>
          <w:rFonts w:ascii="Times New Roman" w:hAnsi="Times New Roman"/>
          <w:sz w:val="24"/>
          <w:szCs w:val="24"/>
        </w:rPr>
        <w:t>, the Court of Appeals of Indiana held (3 to 0) that the trial court judge, after a two-</w:t>
      </w:r>
      <w:proofErr w:type="gramStart"/>
      <w:r>
        <w:rPr>
          <w:rFonts w:ascii="Times New Roman" w:hAnsi="Times New Roman"/>
          <w:sz w:val="24"/>
          <w:szCs w:val="24"/>
        </w:rPr>
        <w:t>day bench</w:t>
      </w:r>
      <w:proofErr w:type="gramEnd"/>
      <w:r>
        <w:rPr>
          <w:rFonts w:ascii="Times New Roman" w:hAnsi="Times New Roman"/>
          <w:sz w:val="24"/>
          <w:szCs w:val="24"/>
        </w:rPr>
        <w:t xml:space="preserve"> trial, properly denied the petition to annul the marriage. </w:t>
      </w:r>
      <w:r w:rsidRPr="00642716">
        <w:rPr>
          <w:rFonts w:ascii="Times New Roman" w:eastAsia="Times New Roman" w:hAnsi="Times New Roman"/>
          <w:sz w:val="24"/>
          <w:szCs w:val="24"/>
        </w:rPr>
        <w:t xml:space="preserve">Estridge and Taylor, both firefighters and EMT/paramedics, first met in 2011 while employed at the same fire station. Estridge was diagnosed with cancer in 2015, and Taylor was informed of this diagnosis together with other co-workers and mutual friends. In the fall of 2016, Estridge and Taylor started dating and near the end of that year, Estridge first broached the subject of marriage. In the beginning of 2017, the relationship became sexual and toward the end of the year, Estridge proposed to </w:t>
      </w:r>
      <w:proofErr w:type="gramStart"/>
      <w:r w:rsidRPr="00642716">
        <w:rPr>
          <w:rFonts w:ascii="Times New Roman" w:eastAsia="Times New Roman" w:hAnsi="Times New Roman"/>
          <w:sz w:val="24"/>
          <w:szCs w:val="24"/>
        </w:rPr>
        <w:t>Taylor</w:t>
      </w:r>
      <w:proofErr w:type="gramEnd"/>
      <w:r w:rsidRPr="00642716">
        <w:rPr>
          <w:rFonts w:ascii="Times New Roman" w:eastAsia="Times New Roman" w:hAnsi="Times New Roman"/>
          <w:sz w:val="24"/>
          <w:szCs w:val="24"/>
        </w:rPr>
        <w:t xml:space="preserve"> but she was hesitant to commit. After another marriage proposal in early 2018, Taylor agreed and accepted Estridge's ring.</w:t>
      </w:r>
      <w:r>
        <w:rPr>
          <w:rFonts w:ascii="Times New Roman" w:eastAsia="Times New Roman" w:hAnsi="Times New Roman"/>
          <w:sz w:val="24"/>
          <w:szCs w:val="24"/>
        </w:rPr>
        <w:t xml:space="preserve"> </w:t>
      </w:r>
      <w:r>
        <w:rPr>
          <w:rFonts w:ascii="Times New Roman" w:hAnsi="Times New Roman"/>
          <w:sz w:val="24"/>
          <w:szCs w:val="24"/>
        </w:rPr>
        <w:t xml:space="preserve">They were married on May 2, </w:t>
      </w:r>
      <w:proofErr w:type="gramStart"/>
      <w:r>
        <w:rPr>
          <w:rFonts w:ascii="Times New Roman" w:hAnsi="Times New Roman"/>
          <w:sz w:val="24"/>
          <w:szCs w:val="24"/>
        </w:rPr>
        <w:t>2019</w:t>
      </w:r>
      <w:proofErr w:type="gramEnd"/>
      <w:r>
        <w:rPr>
          <w:rFonts w:ascii="Times New Roman" w:hAnsi="Times New Roman"/>
          <w:sz w:val="24"/>
          <w:szCs w:val="24"/>
        </w:rPr>
        <w:t xml:space="preserve"> in a courthouse, videotaped with fellow firefighters attending, without informing the firefighter’s children because they might object (36-year-age difference), and he died four days </w:t>
      </w:r>
      <w:proofErr w:type="gramStart"/>
      <w:r>
        <w:rPr>
          <w:rFonts w:ascii="Times New Roman" w:hAnsi="Times New Roman"/>
          <w:sz w:val="24"/>
          <w:szCs w:val="24"/>
        </w:rPr>
        <w:t>later on</w:t>
      </w:r>
      <w:proofErr w:type="gramEnd"/>
      <w:r>
        <w:rPr>
          <w:rFonts w:ascii="Times New Roman" w:hAnsi="Times New Roman"/>
          <w:sz w:val="24"/>
          <w:szCs w:val="24"/>
        </w:rPr>
        <w:t xml:space="preserve"> May 6, 2019.  The trial judge noted that </w:t>
      </w:r>
      <w:r w:rsidRPr="004518B5">
        <w:rPr>
          <w:rFonts w:ascii="Times New Roman" w:eastAsia="Times New Roman" w:hAnsi="Times New Roman"/>
          <w:sz w:val="24"/>
          <w:szCs w:val="24"/>
        </w:rPr>
        <w:t xml:space="preserve">Estridge had always intended Taylor to have his firefighter's pension, because, if he died unmarried, it would go </w:t>
      </w:r>
      <w:r>
        <w:rPr>
          <w:rFonts w:ascii="Times New Roman" w:eastAsia="Times New Roman" w:hAnsi="Times New Roman"/>
          <w:sz w:val="24"/>
          <w:szCs w:val="24"/>
        </w:rPr>
        <w:t>‘</w:t>
      </w:r>
      <w:r w:rsidRPr="004518B5">
        <w:rPr>
          <w:rFonts w:ascii="Times New Roman" w:eastAsia="Times New Roman" w:hAnsi="Times New Roman"/>
          <w:sz w:val="24"/>
          <w:szCs w:val="24"/>
        </w:rPr>
        <w:t>back into the till</w:t>
      </w:r>
      <w:r>
        <w:rPr>
          <w:rFonts w:ascii="Times New Roman" w:eastAsia="Times New Roman" w:hAnsi="Times New Roman"/>
          <w:sz w:val="24"/>
          <w:szCs w:val="24"/>
        </w:rPr>
        <w:t>’</w:t>
      </w:r>
      <w:r w:rsidRPr="004518B5">
        <w:rPr>
          <w:rFonts w:ascii="Times New Roman" w:eastAsia="Times New Roman" w:hAnsi="Times New Roman"/>
          <w:sz w:val="24"/>
          <w:szCs w:val="24"/>
        </w:rPr>
        <w:t xml:space="preserve"> and he </w:t>
      </w:r>
      <w:r>
        <w:rPr>
          <w:rFonts w:ascii="Times New Roman" w:eastAsia="Times New Roman" w:hAnsi="Times New Roman"/>
          <w:sz w:val="24"/>
          <w:szCs w:val="24"/>
        </w:rPr>
        <w:t>‘</w:t>
      </w:r>
      <w:r w:rsidRPr="004518B5">
        <w:rPr>
          <w:rFonts w:ascii="Times New Roman" w:eastAsia="Times New Roman" w:hAnsi="Times New Roman"/>
          <w:sz w:val="24"/>
          <w:szCs w:val="24"/>
        </w:rPr>
        <w:t>didn't want to work that long for nothing[, ]</w:t>
      </w:r>
      <w:r>
        <w:rPr>
          <w:rFonts w:ascii="Times New Roman" w:eastAsia="Times New Roman" w:hAnsi="Times New Roman"/>
          <w:sz w:val="24"/>
          <w:szCs w:val="24"/>
        </w:rPr>
        <w:t>’</w:t>
      </w:r>
      <w:r w:rsidRPr="004518B5">
        <w:rPr>
          <w:rFonts w:ascii="Times New Roman" w:eastAsia="Times New Roman" w:hAnsi="Times New Roman"/>
          <w:sz w:val="24"/>
          <w:szCs w:val="24"/>
        </w:rPr>
        <w:t xml:space="preserve"> so Estridge also signed a pension benefits beneficiary designation, listing Taylor as his spousal beneficiary. (Transcript Vol. II, p. 234). </w:t>
      </w:r>
      <w:r>
        <w:rPr>
          <w:rFonts w:ascii="Times New Roman" w:eastAsia="Times New Roman" w:hAnsi="Times New Roman"/>
          <w:sz w:val="24"/>
          <w:szCs w:val="24"/>
        </w:rPr>
        <w:t xml:space="preserve"> </w:t>
      </w:r>
      <w:r>
        <w:rPr>
          <w:rFonts w:ascii="Times New Roman" w:hAnsi="Times New Roman"/>
          <w:sz w:val="24"/>
          <w:szCs w:val="24"/>
        </w:rPr>
        <w:t xml:space="preserve">She will now receive $2,711.34 per month, or approximately $1,6 million over her lifetime.  </w:t>
      </w:r>
      <w:r w:rsidRPr="00642716">
        <w:rPr>
          <w:rFonts w:ascii="Times New Roman" w:hAnsi="Times New Roman"/>
          <w:sz w:val="24"/>
          <w:szCs w:val="24"/>
        </w:rPr>
        <w:t xml:space="preserve">In the absence of </w:t>
      </w:r>
      <w:proofErr w:type="gramStart"/>
      <w:r w:rsidRPr="00642716">
        <w:rPr>
          <w:rFonts w:ascii="Times New Roman" w:hAnsi="Times New Roman"/>
          <w:sz w:val="24"/>
          <w:szCs w:val="24"/>
        </w:rPr>
        <w:t>the marriage</w:t>
      </w:r>
      <w:proofErr w:type="gramEnd"/>
      <w:r w:rsidRPr="00642716">
        <w:rPr>
          <w:rFonts w:ascii="Times New Roman" w:hAnsi="Times New Roman"/>
          <w:sz w:val="24"/>
          <w:szCs w:val="24"/>
        </w:rPr>
        <w:t xml:space="preserve">, Estridge's estate would have received </w:t>
      </w:r>
      <w:r>
        <w:rPr>
          <w:rFonts w:ascii="Times New Roman" w:hAnsi="Times New Roman"/>
          <w:sz w:val="24"/>
          <w:szCs w:val="24"/>
        </w:rPr>
        <w:t xml:space="preserve">only </w:t>
      </w:r>
      <w:r w:rsidRPr="00642716">
        <w:rPr>
          <w:rFonts w:ascii="Times New Roman" w:hAnsi="Times New Roman"/>
          <w:sz w:val="24"/>
          <w:szCs w:val="24"/>
        </w:rPr>
        <w:t>the value of his contributions to the pension plan, which would have amounted to approximately $170, 000.</w:t>
      </w:r>
      <w:r>
        <w:rPr>
          <w:rFonts w:ascii="Times New Roman" w:hAnsi="Times New Roman"/>
          <w:sz w:val="24"/>
          <w:szCs w:val="24"/>
        </w:rPr>
        <w:t xml:space="preserve"> </w:t>
      </w:r>
      <w:hyperlink r:id="rId530" w:history="1">
        <w:r w:rsidRPr="00E9684A">
          <w:rPr>
            <w:rStyle w:val="Hyperlink"/>
            <w:rFonts w:ascii="Times New Roman" w:hAnsi="Times New Roman"/>
            <w:sz w:val="24"/>
            <w:szCs w:val="24"/>
          </w:rPr>
          <w:t>https://law.justia.com/cases/indiana/court-of-appeals/2022/21a-dn-01379.html</w:t>
        </w:r>
      </w:hyperlink>
    </w:p>
    <w:p w14:paraId="72A61B46" w14:textId="0C4836C1" w:rsidR="003F4E70" w:rsidRDefault="003F4E70" w:rsidP="00EF1133">
      <w:pPr>
        <w:pStyle w:val="NoSpacing"/>
        <w:rPr>
          <w:rFonts w:ascii="Arial Black" w:hAnsi="Arial Black"/>
          <w:sz w:val="24"/>
          <w:szCs w:val="24"/>
        </w:rPr>
      </w:pPr>
    </w:p>
    <w:p w14:paraId="572E2EDF" w14:textId="77777777" w:rsidR="003F4E70" w:rsidRDefault="003F4E70" w:rsidP="003F4E70">
      <w:pPr>
        <w:spacing w:after="100" w:line="240" w:lineRule="auto"/>
        <w:rPr>
          <w:rFonts w:ascii="Times New Roman" w:hAnsi="Times New Roman"/>
          <w:b/>
          <w:bCs/>
          <w:sz w:val="24"/>
          <w:szCs w:val="24"/>
        </w:rPr>
      </w:pPr>
      <w:r w:rsidRPr="00642716">
        <w:rPr>
          <w:rFonts w:ascii="Times New Roman" w:hAnsi="Times New Roman"/>
          <w:b/>
          <w:bCs/>
          <w:sz w:val="24"/>
          <w:szCs w:val="24"/>
        </w:rPr>
        <w:t>Legal Lesson Learned:</w:t>
      </w:r>
      <w:r>
        <w:rPr>
          <w:rFonts w:ascii="Times New Roman" w:hAnsi="Times New Roman"/>
          <w:b/>
          <w:bCs/>
          <w:sz w:val="24"/>
          <w:szCs w:val="24"/>
        </w:rPr>
        <w:t xml:space="preserve"> They wisely videotaped the wedding. </w:t>
      </w:r>
    </w:p>
    <w:p w14:paraId="0A7F5EC1" w14:textId="5362BF12" w:rsidR="003F4E70" w:rsidRDefault="003F4E70" w:rsidP="00EF1133">
      <w:pPr>
        <w:pStyle w:val="NoSpacing"/>
        <w:rPr>
          <w:rFonts w:ascii="Arial Black" w:hAnsi="Arial Black"/>
          <w:sz w:val="24"/>
          <w:szCs w:val="24"/>
        </w:rPr>
      </w:pPr>
    </w:p>
    <w:p w14:paraId="0E48EEC8" w14:textId="71FECDE8" w:rsidR="003F4E70" w:rsidRDefault="003F4E70" w:rsidP="00EF1133">
      <w:pPr>
        <w:pStyle w:val="NoSpacing"/>
        <w:rPr>
          <w:rFonts w:ascii="Arial Black" w:hAnsi="Arial Black"/>
          <w:sz w:val="24"/>
          <w:szCs w:val="24"/>
        </w:rPr>
      </w:pPr>
    </w:p>
    <w:p w14:paraId="3A1777CC" w14:textId="42708B8B" w:rsidR="00E97D63" w:rsidRDefault="00E97D63" w:rsidP="00EF1133">
      <w:pPr>
        <w:pStyle w:val="NoSpacing"/>
        <w:rPr>
          <w:rFonts w:ascii="Arial Black" w:hAnsi="Arial Black"/>
          <w:sz w:val="24"/>
          <w:szCs w:val="24"/>
        </w:rPr>
      </w:pPr>
      <w:r>
        <w:rPr>
          <w:rFonts w:ascii="Arial Black" w:hAnsi="Arial Black"/>
          <w:sz w:val="24"/>
          <w:szCs w:val="24"/>
        </w:rPr>
        <w:t>2-42</w:t>
      </w:r>
    </w:p>
    <w:p w14:paraId="529F3E56" w14:textId="77777777" w:rsidR="00E97D63" w:rsidRPr="00FF6BD3" w:rsidRDefault="00E97D63" w:rsidP="00E97D63">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NM: BORDER PATROL RECRUIT DIED – TIMED RUN  / WARM /  ALTITUDE – SICLE CELL - DEATH BENEFITS NEW REVIEW</w:t>
      </w:r>
    </w:p>
    <w:p w14:paraId="42275D75" w14:textId="77777777" w:rsidR="00E97D63" w:rsidRPr="00EE0394" w:rsidRDefault="00E97D63" w:rsidP="00E97D63">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sz w:val="24"/>
          <w:szCs w:val="24"/>
        </w:rPr>
        <w:t xml:space="preserve">On April 15, 2022, in </w:t>
      </w:r>
      <w:r w:rsidRPr="00EE0394">
        <w:rPr>
          <w:rFonts w:ascii="Times New Roman" w:eastAsia="Times New Roman" w:hAnsi="Times New Roman"/>
          <w:sz w:val="24"/>
          <w:szCs w:val="24"/>
          <w:u w:val="single"/>
        </w:rPr>
        <w:t>Lisa Afolayan, Widow of Nathaniel Afolayan v. U.S. Department of Justice</w:t>
      </w:r>
      <w:r>
        <w:rPr>
          <w:rFonts w:ascii="Times New Roman" w:eastAsia="Times New Roman" w:hAnsi="Times New Roman"/>
          <w:sz w:val="24"/>
          <w:szCs w:val="24"/>
        </w:rPr>
        <w:t xml:space="preserve">, the U.S. Court of Appeals for Federal Circuit (D.C.), held (3 to 0) that the denial of death benefits is vacated, and case remanded for further review.  The recruit died after a </w:t>
      </w:r>
      <w:r w:rsidRPr="00EE0394">
        <w:rPr>
          <w:rFonts w:ascii="Times New Roman" w:hAnsi="Times New Roman"/>
          <w:sz w:val="24"/>
          <w:szCs w:val="24"/>
        </w:rPr>
        <w:t xml:space="preserve">one-and-a-half mile run </w:t>
      </w:r>
      <w:r>
        <w:rPr>
          <w:rFonts w:ascii="Times New Roman" w:hAnsi="Times New Roman"/>
          <w:sz w:val="24"/>
          <w:szCs w:val="24"/>
        </w:rPr>
        <w:t xml:space="preserve">on April 30, 2019, </w:t>
      </w:r>
      <w:r w:rsidRPr="00EE0394">
        <w:rPr>
          <w:rFonts w:ascii="Times New Roman" w:hAnsi="Times New Roman"/>
          <w:sz w:val="24"/>
          <w:szCs w:val="24"/>
        </w:rPr>
        <w:t>to be completed in thirteen minutes or less</w:t>
      </w:r>
      <w:r>
        <w:rPr>
          <w:rFonts w:ascii="Times New Roman" w:hAnsi="Times New Roman"/>
          <w:sz w:val="24"/>
          <w:szCs w:val="24"/>
        </w:rPr>
        <w:t xml:space="preserve">; </w:t>
      </w:r>
      <w:r w:rsidRPr="00EE0394">
        <w:rPr>
          <w:rFonts w:ascii="Times New Roman" w:hAnsi="Times New Roman"/>
          <w:sz w:val="24"/>
          <w:szCs w:val="24"/>
        </w:rPr>
        <w:t>at approximately 3, 400 feet above sea level, with the temperature at approximately 88 degrees Fahrenheit and relative humidity between six and seven percent.</w:t>
      </w:r>
      <w:r>
        <w:rPr>
          <w:rFonts w:ascii="Times New Roman" w:hAnsi="Times New Roman"/>
          <w:sz w:val="24"/>
          <w:szCs w:val="24"/>
        </w:rPr>
        <w:t xml:space="preserve">  The death certificate listed “Heath Illness” as cause of death. </w:t>
      </w:r>
      <w:r>
        <w:rPr>
          <w:rFonts w:ascii="Times New Roman" w:eastAsia="Times New Roman" w:hAnsi="Times New Roman"/>
          <w:sz w:val="24"/>
          <w:szCs w:val="24"/>
        </w:rPr>
        <w:t xml:space="preserve">The Court found that the </w:t>
      </w:r>
      <w:proofErr w:type="spellStart"/>
      <w:r>
        <w:rPr>
          <w:rFonts w:ascii="Times New Roman" w:eastAsia="Times New Roman" w:hAnsi="Times New Roman"/>
          <w:sz w:val="24"/>
          <w:szCs w:val="24"/>
        </w:rPr>
        <w:t>DoJ</w:t>
      </w:r>
      <w:proofErr w:type="spellEnd"/>
      <w:r>
        <w:rPr>
          <w:rFonts w:ascii="Times New Roman" w:eastAsia="Times New Roman" w:hAnsi="Times New Roman"/>
          <w:sz w:val="24"/>
          <w:szCs w:val="24"/>
        </w:rPr>
        <w:t xml:space="preserve"> Bureau of Justice Assistance </w:t>
      </w:r>
      <w:r w:rsidRPr="00EE0394">
        <w:rPr>
          <w:rFonts w:ascii="Times New Roman" w:hAnsi="Times New Roman"/>
          <w:sz w:val="24"/>
          <w:szCs w:val="24"/>
        </w:rPr>
        <w:t xml:space="preserve">failed to determine whether the climatic conditions surrounding Agent Afolayan's death were a "direct and proximate cause" of his injuries, and if climatic conditions were a cause, whether Agent Afolayan's sickle cell trait could properly be considered in evaluating alternate causation. </w:t>
      </w:r>
      <w:hyperlink r:id="rId531" w:history="1">
        <w:r w:rsidRPr="00451CC8">
          <w:rPr>
            <w:rStyle w:val="Hyperlink"/>
            <w:rFonts w:ascii="Times New Roman" w:hAnsi="Times New Roman"/>
            <w:sz w:val="24"/>
            <w:szCs w:val="24"/>
          </w:rPr>
          <w:t>https://cafc.uscourts.gov/opinions-orders/21-1452.OPINION.4-15-2022_1936831.pdf</w:t>
        </w:r>
      </w:hyperlink>
      <w:r>
        <w:rPr>
          <w:rFonts w:ascii="Times New Roman" w:hAnsi="Times New Roman"/>
          <w:sz w:val="24"/>
          <w:szCs w:val="24"/>
        </w:rPr>
        <w:t xml:space="preserve"> </w:t>
      </w:r>
    </w:p>
    <w:p w14:paraId="05F98EEB" w14:textId="77777777" w:rsidR="003F4E70" w:rsidRPr="00CA3047" w:rsidRDefault="003F4E70" w:rsidP="003F4E70">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Climate conditions can qualify as a “direct and proximate cause” of death. </w:t>
      </w:r>
    </w:p>
    <w:p w14:paraId="6301AEE4" w14:textId="77777777" w:rsidR="00E97D63" w:rsidRDefault="00E97D63" w:rsidP="00EF1133">
      <w:pPr>
        <w:pStyle w:val="NoSpacing"/>
        <w:rPr>
          <w:rFonts w:ascii="Arial Black" w:hAnsi="Arial Black"/>
          <w:sz w:val="24"/>
          <w:szCs w:val="24"/>
        </w:rPr>
      </w:pPr>
    </w:p>
    <w:p w14:paraId="2500BFDD" w14:textId="77777777" w:rsidR="00E97D63" w:rsidRDefault="00E97D63" w:rsidP="00EF1133">
      <w:pPr>
        <w:pStyle w:val="NoSpacing"/>
        <w:rPr>
          <w:rFonts w:ascii="Arial Black" w:hAnsi="Arial Black"/>
          <w:sz w:val="24"/>
          <w:szCs w:val="24"/>
        </w:rPr>
      </w:pPr>
    </w:p>
    <w:p w14:paraId="66EEC629" w14:textId="77777777" w:rsidR="00E97D63" w:rsidRDefault="00E97D63" w:rsidP="00EF1133">
      <w:pPr>
        <w:pStyle w:val="NoSpacing"/>
        <w:rPr>
          <w:rFonts w:ascii="Arial Black" w:hAnsi="Arial Black"/>
          <w:sz w:val="24"/>
          <w:szCs w:val="24"/>
        </w:rPr>
      </w:pPr>
    </w:p>
    <w:p w14:paraId="645A88D2" w14:textId="28CD4C24" w:rsidR="00A20CA7" w:rsidRDefault="00A20CA7" w:rsidP="00EF1133">
      <w:pPr>
        <w:pStyle w:val="NoSpacing"/>
        <w:rPr>
          <w:rFonts w:ascii="Arial Black" w:hAnsi="Arial Black"/>
          <w:sz w:val="24"/>
          <w:szCs w:val="24"/>
        </w:rPr>
      </w:pPr>
      <w:r>
        <w:rPr>
          <w:rFonts w:ascii="Arial Black" w:hAnsi="Arial Black"/>
          <w:sz w:val="24"/>
          <w:szCs w:val="24"/>
        </w:rPr>
        <w:t>2-4</w:t>
      </w:r>
      <w:r w:rsidR="00680939">
        <w:rPr>
          <w:rFonts w:ascii="Arial Black" w:hAnsi="Arial Black"/>
          <w:sz w:val="24"/>
          <w:szCs w:val="24"/>
        </w:rPr>
        <w:t>1</w:t>
      </w:r>
    </w:p>
    <w:p w14:paraId="2594A18E" w14:textId="77777777" w:rsidR="00A20CA7" w:rsidRPr="00D42366" w:rsidRDefault="00A20CA7" w:rsidP="00A20CA7">
      <w:pPr>
        <w:spacing w:before="100" w:beforeAutospacing="1" w:after="100" w:afterAutospacing="1" w:line="240" w:lineRule="auto"/>
        <w:jc w:val="both"/>
        <w:rPr>
          <w:rFonts w:ascii="Arial Black" w:eastAsia="Times New Roman" w:hAnsi="Arial Black"/>
          <w:sz w:val="28"/>
          <w:szCs w:val="28"/>
        </w:rPr>
      </w:pPr>
      <w:r>
        <w:rPr>
          <w:rFonts w:ascii="Arial Black" w:eastAsia="Times New Roman" w:hAnsi="Arial Black"/>
          <w:b/>
          <w:bCs/>
          <w:sz w:val="28"/>
          <w:szCs w:val="28"/>
        </w:rPr>
        <w:t xml:space="preserve">LA: FF BLADDER CANCER – CLAIMS EXPOSURE AFFF FOAM - 2,000 CASES (50% FF) </w:t>
      </w:r>
      <w:r>
        <w:rPr>
          <w:rFonts w:ascii="Arial Black" w:eastAsia="Times New Roman" w:hAnsi="Arial Black"/>
          <w:sz w:val="28"/>
          <w:szCs w:val="28"/>
        </w:rPr>
        <w:t xml:space="preserve">WTH FED. JUDGE IN </w:t>
      </w:r>
      <w:r w:rsidRPr="00D42366">
        <w:rPr>
          <w:rFonts w:ascii="Arial Black" w:eastAsia="Times New Roman" w:hAnsi="Arial Black"/>
          <w:sz w:val="28"/>
          <w:szCs w:val="28"/>
        </w:rPr>
        <w:t>SOUTH CAROLINA</w:t>
      </w:r>
    </w:p>
    <w:p w14:paraId="28782E4A" w14:textId="490503B1" w:rsidR="00A20CA7" w:rsidRDefault="00A20CA7" w:rsidP="00A20CA7">
      <w:pPr>
        <w:pStyle w:val="NoSpacing"/>
        <w:rPr>
          <w:rStyle w:val="Hyperlink"/>
          <w:rFonts w:ascii="Times New Roman" w:hAnsi="Times New Roman"/>
          <w:sz w:val="24"/>
          <w:szCs w:val="24"/>
        </w:rPr>
      </w:pPr>
      <w:r w:rsidRPr="00D42366">
        <w:rPr>
          <w:rFonts w:ascii="Times New Roman" w:eastAsia="Times New Roman" w:hAnsi="Times New Roman"/>
          <w:sz w:val="24"/>
          <w:szCs w:val="24"/>
        </w:rPr>
        <w:t xml:space="preserve">On </w:t>
      </w:r>
      <w:r>
        <w:rPr>
          <w:rFonts w:ascii="Times New Roman" w:eastAsia="Times New Roman" w:hAnsi="Times New Roman"/>
          <w:sz w:val="24"/>
          <w:szCs w:val="24"/>
        </w:rPr>
        <w:t xml:space="preserve">Jan. 27, 2022, in </w:t>
      </w:r>
      <w:r w:rsidRPr="00D42366">
        <w:rPr>
          <w:rFonts w:ascii="Times New Roman" w:eastAsia="Times New Roman" w:hAnsi="Times New Roman"/>
          <w:sz w:val="24"/>
          <w:szCs w:val="24"/>
          <w:u w:val="single"/>
        </w:rPr>
        <w:t xml:space="preserve">David G. Tibbetts v. 3M Company, </w:t>
      </w:r>
      <w:r w:rsidRPr="00AE059C">
        <w:rPr>
          <w:rFonts w:ascii="Times New Roman" w:hAnsi="Times New Roman"/>
          <w:sz w:val="24"/>
          <w:szCs w:val="24"/>
        </w:rPr>
        <w:t xml:space="preserve">Tyco Fire Products LP and </w:t>
      </w:r>
      <w:proofErr w:type="spellStart"/>
      <w:r w:rsidRPr="00AE059C">
        <w:rPr>
          <w:rFonts w:ascii="Times New Roman" w:hAnsi="Times New Roman"/>
          <w:sz w:val="24"/>
          <w:szCs w:val="24"/>
        </w:rPr>
        <w:t>Chemguard</w:t>
      </w:r>
      <w:proofErr w:type="spellEnd"/>
      <w:r w:rsidRPr="00AE059C">
        <w:rPr>
          <w:rFonts w:ascii="Times New Roman" w:hAnsi="Times New Roman"/>
          <w:sz w:val="24"/>
          <w:szCs w:val="24"/>
        </w:rPr>
        <w:t>, Inc</w:t>
      </w:r>
      <w:r>
        <w:t xml:space="preserve">., </w:t>
      </w:r>
      <w:r>
        <w:rPr>
          <w:rFonts w:ascii="Times New Roman" w:eastAsia="Times New Roman" w:hAnsi="Times New Roman"/>
          <w:sz w:val="24"/>
          <w:szCs w:val="24"/>
        </w:rPr>
        <w:t xml:space="preserve">Chief U.S. District Court Judge Nannette Brown, U.S. District Court, Eastern District of Louisiana, granted defense motion to stay all discovery in this case so the Judicial Panel on </w:t>
      </w:r>
      <w:r w:rsidRPr="00AE059C">
        <w:rPr>
          <w:rFonts w:ascii="Times New Roman" w:eastAsia="Times New Roman" w:hAnsi="Times New Roman"/>
          <w:sz w:val="24"/>
          <w:szCs w:val="24"/>
        </w:rPr>
        <w:t xml:space="preserve">Multidistrict Litigation </w:t>
      </w:r>
      <w:r w:rsidRPr="00AE059C">
        <w:rPr>
          <w:rFonts w:ascii="Times New Roman" w:hAnsi="Times New Roman"/>
          <w:sz w:val="24"/>
          <w:szCs w:val="24"/>
        </w:rPr>
        <w:t xml:space="preserve">can decide </w:t>
      </w:r>
      <w:r>
        <w:rPr>
          <w:rFonts w:ascii="Times New Roman" w:hAnsi="Times New Roman"/>
          <w:sz w:val="24"/>
          <w:szCs w:val="24"/>
        </w:rPr>
        <w:t xml:space="preserve">to transfer it to </w:t>
      </w:r>
      <w:r w:rsidRPr="00843A24">
        <w:rPr>
          <w:rFonts w:ascii="Times New Roman" w:hAnsi="Times New Roman"/>
          <w:sz w:val="24"/>
          <w:szCs w:val="24"/>
        </w:rPr>
        <w:t>Judge Richard M. Gergel</w:t>
      </w:r>
      <w:r>
        <w:rPr>
          <w:rFonts w:ascii="Times New Roman" w:hAnsi="Times New Roman"/>
          <w:sz w:val="24"/>
          <w:szCs w:val="24"/>
        </w:rPr>
        <w:t xml:space="preserve">, </w:t>
      </w:r>
      <w:r w:rsidRPr="00843A24">
        <w:rPr>
          <w:rFonts w:ascii="Times New Roman" w:hAnsi="Times New Roman"/>
          <w:sz w:val="24"/>
          <w:szCs w:val="24"/>
        </w:rPr>
        <w:t>U</w:t>
      </w:r>
      <w:r>
        <w:rPr>
          <w:rFonts w:ascii="Times New Roman" w:hAnsi="Times New Roman"/>
          <w:sz w:val="24"/>
          <w:szCs w:val="24"/>
        </w:rPr>
        <w:t xml:space="preserve">.S. District Court in South Carolina, who has been presiding over similar cases since 2018 (now over 2,000 lawsuits, with more than half are firefighters with cancer).   </w:t>
      </w:r>
      <w:hyperlink r:id="rId532" w:history="1">
        <w:r w:rsidRPr="00AC2C12">
          <w:rPr>
            <w:rStyle w:val="Hyperlink"/>
            <w:rFonts w:ascii="Times New Roman" w:hAnsi="Times New Roman"/>
            <w:sz w:val="24"/>
            <w:szCs w:val="24"/>
          </w:rPr>
          <w:t>https://public.fastcase.com/9SKwsfNqTc6OieYDhNMyM9xc2pxP%2FDu9FaHS39uIywoNWZfMpeo5x%2FagXmZgtb6udFSKN2SMusDFZQbDcDfWSogmOURw4QaQEmhtdPNd1MI%3D</w:t>
        </w:r>
      </w:hyperlink>
    </w:p>
    <w:p w14:paraId="606B738B" w14:textId="153C77F6" w:rsidR="00A20CA7" w:rsidRDefault="00A20CA7" w:rsidP="00A20CA7">
      <w:pPr>
        <w:pStyle w:val="NoSpacing"/>
        <w:rPr>
          <w:rStyle w:val="Hyperlink"/>
          <w:rFonts w:ascii="Times New Roman" w:hAnsi="Times New Roman"/>
          <w:sz w:val="24"/>
          <w:szCs w:val="24"/>
        </w:rPr>
      </w:pPr>
    </w:p>
    <w:p w14:paraId="71B7A591" w14:textId="6A9810B9" w:rsidR="00A20CA7" w:rsidRDefault="00A20CA7" w:rsidP="00A20CA7">
      <w:pPr>
        <w:spacing w:before="100" w:beforeAutospacing="1" w:after="100" w:afterAutospacing="1" w:line="240" w:lineRule="auto"/>
        <w:rPr>
          <w:rFonts w:ascii="Times New Roman" w:hAnsi="Times New Roman"/>
          <w:b/>
          <w:bCs/>
          <w:sz w:val="24"/>
          <w:szCs w:val="24"/>
        </w:rPr>
      </w:pPr>
      <w:r w:rsidRPr="00843A24">
        <w:rPr>
          <w:rFonts w:ascii="Times New Roman" w:hAnsi="Times New Roman"/>
          <w:b/>
          <w:bCs/>
          <w:sz w:val="24"/>
          <w:szCs w:val="24"/>
        </w:rPr>
        <w:t xml:space="preserve">Legal Lesson Learned: </w:t>
      </w:r>
      <w:r>
        <w:rPr>
          <w:rFonts w:ascii="Times New Roman" w:hAnsi="Times New Roman"/>
          <w:b/>
          <w:bCs/>
          <w:sz w:val="24"/>
          <w:szCs w:val="24"/>
        </w:rPr>
        <w:t xml:space="preserve">AFFF should not be used at your FD. </w:t>
      </w:r>
    </w:p>
    <w:p w14:paraId="66C66DD5" w14:textId="65708268" w:rsidR="00680939" w:rsidRDefault="00680939" w:rsidP="00A20CA7">
      <w:pPr>
        <w:spacing w:before="100" w:beforeAutospacing="1" w:after="100" w:afterAutospacing="1" w:line="240" w:lineRule="auto"/>
        <w:rPr>
          <w:rFonts w:ascii="Times New Roman" w:hAnsi="Times New Roman"/>
          <w:b/>
          <w:bCs/>
          <w:sz w:val="24"/>
          <w:szCs w:val="24"/>
        </w:rPr>
      </w:pPr>
    </w:p>
    <w:p w14:paraId="2847BD8E" w14:textId="7C82A379" w:rsidR="00680939" w:rsidRDefault="00680939" w:rsidP="00A20CA7">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2-40 [also filed Chap. 17]</w:t>
      </w:r>
    </w:p>
    <w:p w14:paraId="4B7019A4" w14:textId="77777777" w:rsidR="00680939" w:rsidRPr="000007E3" w:rsidRDefault="00680939" w:rsidP="0068093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NY: CBA – 5 FF MINIMUM MANNING – CHIEF CANNOT UNILATERALLY CHANGE – ARBITRATION TO PROCEED</w:t>
      </w:r>
    </w:p>
    <w:p w14:paraId="26948AA9" w14:textId="77777777" w:rsidR="00680939" w:rsidRDefault="00680939" w:rsidP="00680939">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Jan. 13, 2022, </w:t>
      </w:r>
      <w:r w:rsidRPr="00DA4E6C">
        <w:rPr>
          <w:rFonts w:ascii="Times New Roman" w:eastAsia="Times New Roman" w:hAnsi="Times New Roman"/>
          <w:sz w:val="24"/>
          <w:szCs w:val="24"/>
          <w:u w:val="single"/>
        </w:rPr>
        <w:t xml:space="preserve">In the Matter of the Arbitration Between </w:t>
      </w:r>
      <w:proofErr w:type="gramStart"/>
      <w:r w:rsidRPr="00DA4E6C">
        <w:rPr>
          <w:rFonts w:ascii="Times New Roman" w:eastAsia="Times New Roman" w:hAnsi="Times New Roman"/>
          <w:sz w:val="24"/>
          <w:szCs w:val="24"/>
          <w:u w:val="single"/>
        </w:rPr>
        <w:t>The</w:t>
      </w:r>
      <w:proofErr w:type="gramEnd"/>
      <w:r w:rsidRPr="00DA4E6C">
        <w:rPr>
          <w:rFonts w:ascii="Times New Roman" w:eastAsia="Times New Roman" w:hAnsi="Times New Roman"/>
          <w:sz w:val="24"/>
          <w:szCs w:val="24"/>
          <w:u w:val="single"/>
        </w:rPr>
        <w:t xml:space="preserve"> City of Ogdensburg and IAFF Local 1792</w:t>
      </w:r>
      <w:r>
        <w:rPr>
          <w:rFonts w:ascii="Times New Roman" w:eastAsia="Times New Roman" w:hAnsi="Times New Roman"/>
          <w:sz w:val="24"/>
          <w:szCs w:val="24"/>
        </w:rPr>
        <w:t xml:space="preserve">, the Superior Court of New York (Third Department), held (5 to 0) that the trial court improperly granted the City’s </w:t>
      </w:r>
      <w:proofErr w:type="gramStart"/>
      <w:r>
        <w:rPr>
          <w:rFonts w:ascii="Times New Roman" w:eastAsia="Times New Roman" w:hAnsi="Times New Roman"/>
          <w:sz w:val="24"/>
          <w:szCs w:val="24"/>
        </w:rPr>
        <w:t>motion to</w:t>
      </w:r>
      <w:proofErr w:type="gramEnd"/>
      <w:r>
        <w:rPr>
          <w:rFonts w:ascii="Times New Roman" w:eastAsia="Times New Roman" w:hAnsi="Times New Roman"/>
          <w:sz w:val="24"/>
          <w:szCs w:val="24"/>
        </w:rPr>
        <w:t xml:space="preserve"> </w:t>
      </w:r>
      <w:r w:rsidRPr="00DA4E6C">
        <w:rPr>
          <w:rFonts w:ascii="Times New Roman" w:hAnsi="Times New Roman"/>
          <w:sz w:val="24"/>
          <w:szCs w:val="24"/>
        </w:rPr>
        <w:t>permanently stay arbitration between the parties.</w:t>
      </w:r>
      <w:r>
        <w:rPr>
          <w:rFonts w:ascii="Times New Roman" w:hAnsi="Times New Roman"/>
          <w:sz w:val="24"/>
          <w:szCs w:val="24"/>
        </w:rPr>
        <w:t xml:space="preserve">  The CBA provides for arbitration, and “</w:t>
      </w:r>
      <w:r w:rsidRPr="00BA6C00">
        <w:rPr>
          <w:rFonts w:ascii="Times New Roman" w:hAnsi="Times New Roman"/>
          <w:sz w:val="24"/>
          <w:szCs w:val="24"/>
        </w:rPr>
        <w:t>having adequate personnel on hand would be essential to ensure firefighter safety as well as success in fighting the fires.</w:t>
      </w:r>
      <w:r>
        <w:rPr>
          <w:rFonts w:ascii="Times New Roman" w:hAnsi="Times New Roman"/>
          <w:sz w:val="24"/>
          <w:szCs w:val="24"/>
        </w:rPr>
        <w:t xml:space="preserve">” </w:t>
      </w:r>
      <w:hyperlink r:id="rId533" w:history="1">
        <w:r w:rsidRPr="00A83547">
          <w:rPr>
            <w:rStyle w:val="Hyperlink"/>
            <w:rFonts w:ascii="Times New Roman" w:hAnsi="Times New Roman"/>
            <w:sz w:val="24"/>
            <w:szCs w:val="24"/>
          </w:rPr>
          <w:t>https://casetext.com/case/in-re-arbitration-between-city-of-ogdensburg</w:t>
        </w:r>
      </w:hyperlink>
      <w:r>
        <w:rPr>
          <w:rFonts w:ascii="Times New Roman" w:hAnsi="Times New Roman"/>
          <w:sz w:val="24"/>
          <w:szCs w:val="24"/>
        </w:rPr>
        <w:t xml:space="preserve"> </w:t>
      </w:r>
    </w:p>
    <w:p w14:paraId="2B984652" w14:textId="77777777" w:rsidR="00680939" w:rsidRDefault="00680939" w:rsidP="00680939">
      <w:pPr>
        <w:spacing w:before="100" w:beforeAutospacing="1" w:after="100" w:afterAutospacing="1" w:line="240" w:lineRule="auto"/>
      </w:pPr>
      <w:r>
        <w:rPr>
          <w:rFonts w:ascii="Times New Roman" w:eastAsia="Times New Roman" w:hAnsi="Times New Roman"/>
          <w:b/>
          <w:bCs/>
          <w:sz w:val="24"/>
          <w:szCs w:val="24"/>
        </w:rPr>
        <w:t xml:space="preserve">Legal Lesson Learned:  If CBA includes provision on minimum manning per shift, it cannot be unilaterally changed. </w:t>
      </w:r>
    </w:p>
    <w:p w14:paraId="1C1E24A2" w14:textId="77777777" w:rsidR="00680939" w:rsidRPr="00843A24" w:rsidRDefault="00680939" w:rsidP="00A20CA7">
      <w:pPr>
        <w:spacing w:before="100" w:beforeAutospacing="1" w:after="100" w:afterAutospacing="1" w:line="240" w:lineRule="auto"/>
        <w:rPr>
          <w:rFonts w:ascii="Times New Roman" w:hAnsi="Times New Roman"/>
          <w:b/>
          <w:bCs/>
          <w:sz w:val="24"/>
          <w:szCs w:val="24"/>
        </w:rPr>
      </w:pPr>
    </w:p>
    <w:p w14:paraId="4BD2D163" w14:textId="5BCBAE04" w:rsidR="00A20CA7" w:rsidRDefault="00A20CA7" w:rsidP="00A20CA7">
      <w:pPr>
        <w:pStyle w:val="NoSpacing"/>
        <w:rPr>
          <w:rFonts w:ascii="Arial Black" w:hAnsi="Arial Black"/>
          <w:sz w:val="24"/>
          <w:szCs w:val="24"/>
        </w:rPr>
      </w:pPr>
    </w:p>
    <w:p w14:paraId="2FDFC8B0" w14:textId="0B184564" w:rsidR="00A20CA7" w:rsidRDefault="00A20CA7" w:rsidP="00A20CA7">
      <w:pPr>
        <w:pStyle w:val="NoSpacing"/>
        <w:rPr>
          <w:rFonts w:ascii="Arial Black" w:hAnsi="Arial Black"/>
          <w:sz w:val="24"/>
          <w:szCs w:val="24"/>
        </w:rPr>
      </w:pPr>
      <w:r>
        <w:rPr>
          <w:rFonts w:ascii="Arial Black" w:hAnsi="Arial Black"/>
          <w:sz w:val="24"/>
          <w:szCs w:val="24"/>
        </w:rPr>
        <w:t>2-39</w:t>
      </w:r>
    </w:p>
    <w:p w14:paraId="0A52E03C" w14:textId="77777777" w:rsidR="00A20CA7" w:rsidRPr="00233069" w:rsidRDefault="00A20CA7" w:rsidP="00A20CA7">
      <w:pPr>
        <w:pStyle w:val="NormalWeb"/>
        <w:rPr>
          <w:rFonts w:ascii="Arial Black" w:hAnsi="Arial Black"/>
          <w:b/>
          <w:bCs/>
          <w:sz w:val="28"/>
          <w:szCs w:val="28"/>
        </w:rPr>
      </w:pPr>
      <w:r>
        <w:rPr>
          <w:rFonts w:ascii="Arial Black" w:hAnsi="Arial Black"/>
          <w:b/>
          <w:bCs/>
          <w:sz w:val="28"/>
          <w:szCs w:val="28"/>
        </w:rPr>
        <w:t xml:space="preserve">MD: FIREFIGHTER’S RULE – DEPUTY SHERRIF CAN’T SUE MOTORIST WHO STRUCK HER MOVING CAR AT ACCIDENT </w:t>
      </w:r>
    </w:p>
    <w:p w14:paraId="28711EFC" w14:textId="77777777" w:rsidR="00A20CA7" w:rsidRPr="006B4314" w:rsidRDefault="00A20CA7" w:rsidP="00A20CA7">
      <w:pPr>
        <w:rPr>
          <w:rFonts w:ascii="Times New Roman" w:hAnsi="Times New Roman"/>
          <w:sz w:val="24"/>
          <w:szCs w:val="24"/>
        </w:rPr>
      </w:pPr>
      <w:r w:rsidRPr="006B4314">
        <w:rPr>
          <w:rFonts w:ascii="Times New Roman" w:hAnsi="Times New Roman"/>
          <w:sz w:val="24"/>
          <w:szCs w:val="24"/>
        </w:rPr>
        <w:t xml:space="preserve">On Jan. 4, 2022, in </w:t>
      </w:r>
      <w:r w:rsidRPr="006B4314">
        <w:rPr>
          <w:rFonts w:ascii="Times New Roman" w:hAnsi="Times New Roman"/>
          <w:sz w:val="24"/>
          <w:szCs w:val="24"/>
          <w:u w:val="single"/>
        </w:rPr>
        <w:t xml:space="preserve">Kassondra Topper v. John C. Thomas, As Special Administrator of the estate of </w:t>
      </w:r>
      <w:proofErr w:type="spellStart"/>
      <w:r w:rsidRPr="006B4314">
        <w:rPr>
          <w:rFonts w:ascii="Times New Roman" w:hAnsi="Times New Roman"/>
          <w:sz w:val="24"/>
          <w:szCs w:val="24"/>
          <w:u w:val="single"/>
        </w:rPr>
        <w:t>Lynwod</w:t>
      </w:r>
      <w:proofErr w:type="spellEnd"/>
      <w:r w:rsidRPr="006B4314">
        <w:rPr>
          <w:rFonts w:ascii="Times New Roman" w:hAnsi="Times New Roman"/>
          <w:sz w:val="24"/>
          <w:szCs w:val="24"/>
          <w:u w:val="single"/>
        </w:rPr>
        <w:t xml:space="preserve"> Samuel Stride</w:t>
      </w:r>
      <w:r w:rsidRPr="006B4314">
        <w:rPr>
          <w:rFonts w:ascii="Times New Roman" w:hAnsi="Times New Roman"/>
          <w:sz w:val="24"/>
          <w:szCs w:val="24"/>
        </w:rPr>
        <w:t xml:space="preserve">, the Court of Special Appeals of Maryland, held (3 to 0) that a Deputy Sheriff is barred by the Fireman’s Rule from suing a motorist (or his estate, since he is now deceased) who ran into her for damages sustained while she was performing her normal duties. “The possibility of injury from the movement of the vehicle involved in the initial accident away from the lanes of travel was reasonably foreseeable as part of Deputy Topper's occupational risk in investigating a motor vehicle collision.” </w:t>
      </w:r>
      <w:hyperlink r:id="rId534" w:history="1">
        <w:r w:rsidRPr="006B4314">
          <w:rPr>
            <w:rStyle w:val="Hyperlink"/>
            <w:rFonts w:ascii="Times New Roman" w:hAnsi="Times New Roman"/>
            <w:sz w:val="24"/>
            <w:szCs w:val="24"/>
          </w:rPr>
          <w:t>https://casetext.com/case/topper-v-thomas</w:t>
        </w:r>
      </w:hyperlink>
      <w:r w:rsidRPr="006B4314">
        <w:rPr>
          <w:rFonts w:ascii="Times New Roman" w:hAnsi="Times New Roman"/>
          <w:sz w:val="24"/>
          <w:szCs w:val="24"/>
        </w:rPr>
        <w:t xml:space="preserve"> </w:t>
      </w:r>
    </w:p>
    <w:p w14:paraId="5F4FBC4C" w14:textId="77777777" w:rsidR="00A20CA7" w:rsidRPr="00DB3B03" w:rsidRDefault="00A20CA7" w:rsidP="00A20CA7">
      <w:pPr>
        <w:pStyle w:val="NormalWeb"/>
        <w:rPr>
          <w:b/>
          <w:bCs/>
        </w:rPr>
      </w:pPr>
      <w:r w:rsidRPr="00DB3B03">
        <w:rPr>
          <w:b/>
          <w:bCs/>
        </w:rPr>
        <w:t>Legal Lesson Learned:</w:t>
      </w:r>
      <w:r>
        <w:rPr>
          <w:b/>
          <w:bCs/>
        </w:rPr>
        <w:t xml:space="preserve"> The Fireman’s Rule is still effective in MD, OH and many other states.  It </w:t>
      </w:r>
      <w:proofErr w:type="gramStart"/>
      <w:r>
        <w:rPr>
          <w:b/>
          <w:bCs/>
        </w:rPr>
        <w:t>has been</w:t>
      </w:r>
      <w:proofErr w:type="gramEnd"/>
      <w:r>
        <w:rPr>
          <w:b/>
          <w:bCs/>
        </w:rPr>
        <w:t xml:space="preserve"> abolished in FL and narrowed in NY. </w:t>
      </w:r>
    </w:p>
    <w:p w14:paraId="1743424A" w14:textId="77777777" w:rsidR="00A20CA7" w:rsidRDefault="00A20CA7" w:rsidP="00A20CA7">
      <w:pPr>
        <w:pStyle w:val="NoSpacing"/>
        <w:rPr>
          <w:rFonts w:ascii="Arial Black" w:hAnsi="Arial Black"/>
          <w:sz w:val="24"/>
          <w:szCs w:val="24"/>
        </w:rPr>
      </w:pPr>
    </w:p>
    <w:p w14:paraId="66491E95" w14:textId="77777777" w:rsidR="00A20CA7" w:rsidRDefault="00A20CA7" w:rsidP="00EF1133">
      <w:pPr>
        <w:pStyle w:val="NoSpacing"/>
        <w:rPr>
          <w:rFonts w:ascii="Arial Black" w:hAnsi="Arial Black"/>
          <w:sz w:val="24"/>
          <w:szCs w:val="24"/>
        </w:rPr>
      </w:pPr>
    </w:p>
    <w:p w14:paraId="22EDEC2A" w14:textId="21FC4754" w:rsidR="00954D68" w:rsidRDefault="00954D68" w:rsidP="00EF1133">
      <w:pPr>
        <w:pStyle w:val="NoSpacing"/>
        <w:rPr>
          <w:rFonts w:ascii="Arial Black" w:hAnsi="Arial Black"/>
          <w:sz w:val="24"/>
          <w:szCs w:val="24"/>
        </w:rPr>
      </w:pPr>
      <w:r>
        <w:rPr>
          <w:rFonts w:ascii="Arial Black" w:hAnsi="Arial Black"/>
          <w:sz w:val="24"/>
          <w:szCs w:val="24"/>
        </w:rPr>
        <w:t>2-38</w:t>
      </w:r>
    </w:p>
    <w:p w14:paraId="50ABCA28" w14:textId="77777777" w:rsidR="00954D68" w:rsidRDefault="00954D68" w:rsidP="00954D68">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NY: POST 9/11 – SINUS/ BREATH - FDNY MEDIC TRAPPED NORTH TOWER - FINALLY GETS 100% DISABILITY </w:t>
      </w:r>
    </w:p>
    <w:p w14:paraId="69773AF8" w14:textId="77777777" w:rsidR="00954D68" w:rsidRPr="0099025C" w:rsidRDefault="00954D68" w:rsidP="00954D68">
      <w:pPr>
        <w:rPr>
          <w:rFonts w:ascii="Times New Roman" w:hAnsi="Times New Roman"/>
          <w:sz w:val="24"/>
          <w:szCs w:val="24"/>
        </w:rPr>
      </w:pPr>
      <w:r w:rsidRPr="0099025C">
        <w:rPr>
          <w:rFonts w:ascii="Times New Roman" w:hAnsi="Times New Roman"/>
          <w:sz w:val="24"/>
          <w:szCs w:val="24"/>
        </w:rPr>
        <w:t xml:space="preserve">On Dec. 13, 2021, </w:t>
      </w:r>
      <w:r w:rsidRPr="0099025C">
        <w:rPr>
          <w:rFonts w:ascii="Times New Roman" w:hAnsi="Times New Roman"/>
          <w:sz w:val="24"/>
          <w:szCs w:val="24"/>
          <w:u w:val="single"/>
        </w:rPr>
        <w:t>In the Matter of the Application of Gary Smiley v. Melanie Winnery, as the Executive Director of the New York City Employee’s Retirement System</w:t>
      </w:r>
      <w:r w:rsidRPr="0099025C">
        <w:rPr>
          <w:rFonts w:ascii="Times New Roman" w:hAnsi="Times New Roman"/>
          <w:sz w:val="24"/>
          <w:szCs w:val="24"/>
        </w:rPr>
        <w:t xml:space="preserve">, Justice Loren Bailey-Schiffman, Supreme Court (Kings County) held (unpublished decision) held that the firefighter is entitled to full “Performance of Duty” (POD) disability benefits since he is no longer able to perform duties of a paramedic. The Workers’ Compensation Board in 2013 </w:t>
      </w:r>
      <w:proofErr w:type="gramStart"/>
      <w:r w:rsidRPr="0099025C">
        <w:rPr>
          <w:rFonts w:ascii="Times New Roman" w:hAnsi="Times New Roman"/>
          <w:sz w:val="24"/>
          <w:szCs w:val="24"/>
        </w:rPr>
        <w:t>had only awarded</w:t>
      </w:r>
      <w:proofErr w:type="gramEnd"/>
      <w:r w:rsidRPr="0099025C">
        <w:rPr>
          <w:rFonts w:ascii="Times New Roman" w:hAnsi="Times New Roman"/>
          <w:sz w:val="24"/>
          <w:szCs w:val="24"/>
        </w:rPr>
        <w:t xml:space="preserve"> him a 45% partial disability for reactive airway disease, eye irritation, shortness of breath, sinusitis &amp; PTSD.</w:t>
      </w:r>
    </w:p>
    <w:p w14:paraId="6FC416CE" w14:textId="1E1E1F27" w:rsidR="00954D68" w:rsidRDefault="00954D68" w:rsidP="00954D68">
      <w:pPr>
        <w:pStyle w:val="NoSpacing"/>
        <w:ind w:left="720"/>
        <w:rPr>
          <w:rFonts w:ascii="Arial Black" w:hAnsi="Arial Black"/>
          <w:sz w:val="24"/>
          <w:szCs w:val="24"/>
        </w:rPr>
      </w:pPr>
      <w:r w:rsidRPr="0099025C">
        <w:rPr>
          <w:rFonts w:ascii="Times New Roman" w:eastAsia="Times New Roman" w:hAnsi="Times New Roman"/>
          <w:sz w:val="24"/>
          <w:szCs w:val="24"/>
        </w:rPr>
        <w:t>“</w:t>
      </w:r>
      <w:r w:rsidRPr="0099025C">
        <w:rPr>
          <w:rFonts w:ascii="Times New Roman" w:hAnsi="Times New Roman"/>
          <w:sz w:val="24"/>
          <w:szCs w:val="24"/>
        </w:rPr>
        <w:t xml:space="preserve">The Board repeatedly found that Petitioner has no functional impairment despite confirmed reports that he cannot be exposed to smoke or other irritants, often has to lie down for hours at a time due to headaches and dizziness and is required to administer no less than three to four sinus rinses per day as well as two or three inhalers and possibly the nebulizer. Clearly, the standard as set forth above has not been met…. </w:t>
      </w:r>
      <w:r w:rsidRPr="0099025C">
        <w:rPr>
          <w:rFonts w:ascii="Times New Roman" w:eastAsia="Times New Roman" w:hAnsi="Times New Roman"/>
          <w:sz w:val="24"/>
          <w:szCs w:val="24"/>
        </w:rPr>
        <w:t xml:space="preserve">The reports upon which Respondents' denials are based fail to set forth any facts supporting the conclusion that Petitioner does not have a functional impairment. No less than four doctors confirmed Petitioner's </w:t>
      </w:r>
      <w:proofErr w:type="gramStart"/>
      <w:r w:rsidRPr="0099025C">
        <w:rPr>
          <w:rFonts w:ascii="Times New Roman" w:eastAsia="Times New Roman" w:hAnsi="Times New Roman"/>
          <w:sz w:val="24"/>
          <w:szCs w:val="24"/>
        </w:rPr>
        <w:t>debilitating severe</w:t>
      </w:r>
      <w:proofErr w:type="gramEnd"/>
      <w:r w:rsidRPr="0099025C">
        <w:rPr>
          <w:rFonts w:ascii="Times New Roman" w:eastAsia="Times New Roman" w:hAnsi="Times New Roman"/>
          <w:sz w:val="24"/>
          <w:szCs w:val="24"/>
        </w:rPr>
        <w:t xml:space="preserve"> and debilitating sinusitis accompanied by headaches and dizziness. Moreover, Dr. Shohet, Dr. Lin, Dr. Crane and all treating doctors have opined that Mr. Smiley cannot perform the duties of a paramedic. No reason is given why these opinions are ignored.” </w:t>
      </w:r>
      <w:hyperlink r:id="rId535" w:history="1">
        <w:r w:rsidRPr="00EC5853">
          <w:rPr>
            <w:rStyle w:val="Hyperlink"/>
            <w:rFonts w:ascii="Times New Roman" w:eastAsia="Times New Roman" w:hAnsi="Times New Roman"/>
            <w:sz w:val="24"/>
            <w:szCs w:val="24"/>
          </w:rPr>
          <w:t>https://public.fastcase.com/9SKwsfNqTc6OieYDhNMyM3GFxg7E14LGt6irGiW6D0AdOSai6WztEAqO8TQbOt2UAfcs%2Ff2iM4MWcxpFzO0W88e5H95ADB2MkHVFfrY4yKc%3D</w:t>
        </w:r>
      </w:hyperlink>
    </w:p>
    <w:p w14:paraId="2C40145E" w14:textId="77777777" w:rsidR="00954D68" w:rsidRDefault="00954D68" w:rsidP="00EF1133">
      <w:pPr>
        <w:pStyle w:val="NoSpacing"/>
        <w:rPr>
          <w:rFonts w:ascii="Arial Black" w:hAnsi="Arial Black"/>
          <w:sz w:val="24"/>
          <w:szCs w:val="24"/>
        </w:rPr>
      </w:pPr>
    </w:p>
    <w:p w14:paraId="15F530DA" w14:textId="77777777" w:rsidR="00954D68" w:rsidRPr="0099025C" w:rsidRDefault="00954D68" w:rsidP="00954D68">
      <w:pPr>
        <w:spacing w:before="100" w:beforeAutospacing="1" w:after="100" w:afterAutospacing="1" w:line="240" w:lineRule="auto"/>
        <w:rPr>
          <w:rFonts w:ascii="Times New Roman" w:hAnsi="Times New Roman"/>
          <w:b/>
          <w:bCs/>
          <w:sz w:val="24"/>
          <w:szCs w:val="24"/>
        </w:rPr>
      </w:pPr>
      <w:r w:rsidRPr="0099025C">
        <w:rPr>
          <w:rFonts w:ascii="Times New Roman" w:hAnsi="Times New Roman"/>
          <w:b/>
          <w:bCs/>
          <w:sz w:val="24"/>
          <w:szCs w:val="24"/>
        </w:rPr>
        <w:t xml:space="preserve">Legal Lesson Learned:  Helpful opinion; the Medical Board cannot “cherry pick” the evidence on disability. </w:t>
      </w:r>
    </w:p>
    <w:p w14:paraId="0AB8AF96" w14:textId="77777777" w:rsidR="00954D68" w:rsidRDefault="00954D68" w:rsidP="00EF1133">
      <w:pPr>
        <w:pStyle w:val="NoSpacing"/>
        <w:rPr>
          <w:rFonts w:ascii="Arial Black" w:hAnsi="Arial Black"/>
          <w:sz w:val="24"/>
          <w:szCs w:val="24"/>
        </w:rPr>
      </w:pPr>
    </w:p>
    <w:p w14:paraId="0731A0DF" w14:textId="77777777" w:rsidR="00954D68" w:rsidRDefault="00954D68" w:rsidP="00EF1133">
      <w:pPr>
        <w:pStyle w:val="NoSpacing"/>
        <w:rPr>
          <w:rFonts w:ascii="Arial Black" w:hAnsi="Arial Black"/>
          <w:sz w:val="24"/>
          <w:szCs w:val="24"/>
        </w:rPr>
      </w:pPr>
    </w:p>
    <w:p w14:paraId="384872EB" w14:textId="6A34D08D" w:rsidR="00365F63" w:rsidRDefault="00365F63" w:rsidP="00EF1133">
      <w:pPr>
        <w:pStyle w:val="NoSpacing"/>
        <w:rPr>
          <w:rFonts w:ascii="Arial Black" w:hAnsi="Arial Black"/>
          <w:sz w:val="24"/>
          <w:szCs w:val="24"/>
        </w:rPr>
      </w:pPr>
      <w:r>
        <w:rPr>
          <w:rFonts w:ascii="Arial Black" w:hAnsi="Arial Black"/>
          <w:sz w:val="24"/>
          <w:szCs w:val="24"/>
        </w:rPr>
        <w:t>2-37</w:t>
      </w:r>
    </w:p>
    <w:p w14:paraId="1BB1AB65" w14:textId="77777777" w:rsidR="00365F63" w:rsidRDefault="00365F63" w:rsidP="00365F63">
      <w:pPr>
        <w:pStyle w:val="NormalWeb"/>
        <w:rPr>
          <w:rFonts w:ascii="Arial Black" w:hAnsi="Arial Black"/>
          <w:sz w:val="28"/>
          <w:szCs w:val="28"/>
        </w:rPr>
      </w:pPr>
      <w:r>
        <w:rPr>
          <w:rFonts w:ascii="Arial Black" w:hAnsi="Arial Black"/>
          <w:sz w:val="28"/>
          <w:szCs w:val="28"/>
        </w:rPr>
        <w:t>KS: FIREFIGHTER HEARING LOSS – ENTITLED TO WORKER’S COMP FOR SIRENS – OTHER LOUD NOISES IN HIS CAREER</w:t>
      </w:r>
    </w:p>
    <w:p w14:paraId="0A08F2FF" w14:textId="77777777" w:rsidR="00365F63" w:rsidRDefault="00365F63" w:rsidP="00365F63">
      <w:pPr>
        <w:pStyle w:val="NormalWeb"/>
      </w:pPr>
      <w:r>
        <w:t xml:space="preserve">On Nov. 19, 2021, in </w:t>
      </w:r>
      <w:r w:rsidRPr="003E0CE5">
        <w:rPr>
          <w:u w:val="single"/>
        </w:rPr>
        <w:t>Patrick O’Neal v. City of Hutchinson</w:t>
      </w:r>
      <w:r>
        <w:t xml:space="preserve">, the Court of Appeals of Kansas, held (3 to 0) (not designated for publication) that the firefighter was entitled to worker’s comp for permanent hearing loss and tinnitus due to repetitive exposure to loud noises during his career. While his initial claim was for a single event with air horn activation inside a fire station (Feb. 23, 2009) was denied, he is entitled to medical coverage for repetitive exposure during his 1994 – 2017 career. </w:t>
      </w:r>
    </w:p>
    <w:p w14:paraId="145EE80C" w14:textId="77777777" w:rsidR="00365F63" w:rsidRDefault="00365F63" w:rsidP="00365F63">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3E0CE5">
        <w:rPr>
          <w:rFonts w:ascii="Times New Roman" w:hAnsi="Times New Roman"/>
          <w:sz w:val="24"/>
          <w:szCs w:val="24"/>
        </w:rPr>
        <w:t xml:space="preserve">The </w:t>
      </w:r>
      <w:proofErr w:type="gramStart"/>
      <w:r w:rsidRPr="003E0CE5">
        <w:rPr>
          <w:rFonts w:ascii="Times New Roman" w:hAnsi="Times New Roman"/>
          <w:sz w:val="24"/>
          <w:szCs w:val="24"/>
        </w:rPr>
        <w:t>City</w:t>
      </w:r>
      <w:proofErr w:type="gramEnd"/>
      <w:r w:rsidRPr="003E0CE5">
        <w:rPr>
          <w:rFonts w:ascii="Times New Roman" w:hAnsi="Times New Roman"/>
          <w:sz w:val="24"/>
          <w:szCs w:val="24"/>
        </w:rPr>
        <w:t xml:space="preserve"> has not met its burden to show the Board erred in granting a compensation award to O'Neal. The City's own expert from the single accident claim provided evidence in support of O'Neal's repetitive injury claim. The evidence is sufficient for a reasonable person to find it supported the Board's compensation award.</w:t>
      </w:r>
    </w:p>
    <w:p w14:paraId="17F8CBCF" w14:textId="77777777" w:rsidR="00365F63" w:rsidRPr="003E0CE5" w:rsidRDefault="00365F63" w:rsidP="00365F63">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p>
    <w:p w14:paraId="3EAF878F" w14:textId="77777777" w:rsidR="00365F63" w:rsidRDefault="00365F63" w:rsidP="00365F6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T</w:t>
      </w:r>
      <w:r w:rsidRPr="006863C2">
        <w:rPr>
          <w:rFonts w:ascii="Times New Roman" w:hAnsi="Times New Roman"/>
          <w:sz w:val="24"/>
          <w:szCs w:val="24"/>
        </w:rPr>
        <w:t xml:space="preserve">he City's required hearing exams showed in 2002 that O'Neal sustained hearing loss. Given that it required its firefighters to undergo hearing tests every other year until age 40 and then every year thereafter, the </w:t>
      </w:r>
      <w:proofErr w:type="gramStart"/>
      <w:r w:rsidRPr="006863C2">
        <w:rPr>
          <w:rFonts w:ascii="Times New Roman" w:hAnsi="Times New Roman"/>
          <w:sz w:val="24"/>
          <w:szCs w:val="24"/>
        </w:rPr>
        <w:t>City</w:t>
      </w:r>
      <w:proofErr w:type="gramEnd"/>
      <w:r w:rsidRPr="006863C2">
        <w:rPr>
          <w:rFonts w:ascii="Times New Roman" w:hAnsi="Times New Roman"/>
          <w:sz w:val="24"/>
          <w:szCs w:val="24"/>
        </w:rPr>
        <w:t xml:space="preserve"> was aware firefighters were at risk for hearing loss from their jobs. O'Neal's 2002 audiogram showed he was sustaining hearing loss, and no alternative explanation was given, except for occasionally using firearms. Dr. Epp testified that at the time of the 2002 test, </w:t>
      </w:r>
      <w:proofErr w:type="gramStart"/>
      <w:r w:rsidRPr="006863C2">
        <w:rPr>
          <w:rFonts w:ascii="Times New Roman" w:hAnsi="Times New Roman"/>
          <w:sz w:val="24"/>
          <w:szCs w:val="24"/>
        </w:rPr>
        <w:t>O'Neal</w:t>
      </w:r>
      <w:proofErr w:type="gramEnd"/>
      <w:r w:rsidRPr="006863C2">
        <w:rPr>
          <w:rFonts w:ascii="Times New Roman" w:hAnsi="Times New Roman"/>
          <w:sz w:val="24"/>
          <w:szCs w:val="24"/>
        </w:rPr>
        <w:t xml:space="preserve"> more likely than </w:t>
      </w:r>
      <w:proofErr w:type="gramStart"/>
      <w:r w:rsidRPr="006863C2">
        <w:rPr>
          <w:rFonts w:ascii="Times New Roman" w:hAnsi="Times New Roman"/>
          <w:sz w:val="24"/>
          <w:szCs w:val="24"/>
        </w:rPr>
        <w:t>not</w:t>
      </w:r>
      <w:proofErr w:type="gramEnd"/>
      <w:r w:rsidRPr="006863C2">
        <w:rPr>
          <w:rFonts w:ascii="Times New Roman" w:hAnsi="Times New Roman"/>
          <w:sz w:val="24"/>
          <w:szCs w:val="24"/>
        </w:rPr>
        <w:t xml:space="preserve"> had sustained hearing loss from his job, which was stabilizing at the time of the test.</w:t>
      </w:r>
    </w:p>
    <w:p w14:paraId="6EF05E1A" w14:textId="77777777" w:rsidR="00365F63" w:rsidRPr="006863C2" w:rsidRDefault="00365F63" w:rsidP="00365F63">
      <w:pPr>
        <w:spacing w:before="100" w:beforeAutospacing="1" w:after="100" w:afterAutospacing="1" w:line="240" w:lineRule="auto"/>
        <w:ind w:left="720"/>
        <w:rPr>
          <w:rFonts w:ascii="Times New Roman" w:eastAsia="Times New Roman" w:hAnsi="Times New Roman"/>
        </w:rPr>
      </w:pPr>
      <w:r w:rsidRPr="006863C2">
        <w:rPr>
          <w:rFonts w:ascii="Times New Roman" w:hAnsi="Times New Roman"/>
        </w:rPr>
        <w:t xml:space="preserve">The </w:t>
      </w:r>
      <w:proofErr w:type="gramStart"/>
      <w:r w:rsidRPr="006863C2">
        <w:rPr>
          <w:rFonts w:ascii="Times New Roman" w:hAnsi="Times New Roman"/>
        </w:rPr>
        <w:t>City</w:t>
      </w:r>
      <w:proofErr w:type="gramEnd"/>
      <w:r w:rsidRPr="006863C2">
        <w:rPr>
          <w:rFonts w:ascii="Times New Roman" w:hAnsi="Times New Roman"/>
        </w:rPr>
        <w:t xml:space="preserve"> was on notice, even before the date of the injury, that O'Neal had suffered hearing loss due to repetitive trauma from his work.</w:t>
      </w:r>
      <w:r>
        <w:rPr>
          <w:rFonts w:ascii="Times New Roman" w:hAnsi="Times New Roman"/>
        </w:rPr>
        <w:t xml:space="preserve">” </w:t>
      </w:r>
      <w:hyperlink r:id="rId536" w:history="1">
        <w:r w:rsidRPr="007C6FB3">
          <w:rPr>
            <w:rStyle w:val="Hyperlink"/>
            <w:rFonts w:ascii="Times New Roman" w:hAnsi="Times New Roman"/>
          </w:rPr>
          <w:t>https://casetext.com/case/oneal-v-city-of-hutchinson</w:t>
        </w:r>
      </w:hyperlink>
      <w:r>
        <w:rPr>
          <w:rFonts w:ascii="Times New Roman" w:hAnsi="Times New Roman"/>
        </w:rPr>
        <w:t xml:space="preserve"> </w:t>
      </w:r>
    </w:p>
    <w:p w14:paraId="53516FF7" w14:textId="77777777" w:rsidR="00365F63" w:rsidRPr="0022156A" w:rsidRDefault="00365F63" w:rsidP="00365F63">
      <w:pPr>
        <w:spacing w:before="100" w:beforeAutospacing="1" w:after="100" w:afterAutospacing="1" w:line="240" w:lineRule="auto"/>
        <w:rPr>
          <w:rFonts w:ascii="Times New Roman" w:hAnsi="Times New Roman"/>
          <w:b/>
          <w:bCs/>
          <w:sz w:val="24"/>
          <w:szCs w:val="24"/>
        </w:rPr>
      </w:pPr>
      <w:r w:rsidRPr="0022156A">
        <w:rPr>
          <w:rFonts w:ascii="Times New Roman" w:hAnsi="Times New Roman"/>
          <w:b/>
          <w:bCs/>
          <w:sz w:val="24"/>
          <w:szCs w:val="24"/>
        </w:rPr>
        <w:t>Legal Lesson Learned:</w:t>
      </w:r>
      <w:r>
        <w:rPr>
          <w:rFonts w:ascii="Times New Roman" w:hAnsi="Times New Roman"/>
          <w:b/>
          <w:bCs/>
          <w:sz w:val="24"/>
          <w:szCs w:val="24"/>
        </w:rPr>
        <w:t xml:space="preserve"> Kansas workers comp statutes, like many states, </w:t>
      </w:r>
      <w:proofErr w:type="gramStart"/>
      <w:r>
        <w:rPr>
          <w:rFonts w:ascii="Times New Roman" w:hAnsi="Times New Roman"/>
          <w:b/>
          <w:bCs/>
          <w:sz w:val="24"/>
          <w:szCs w:val="24"/>
        </w:rPr>
        <w:t>provides</w:t>
      </w:r>
      <w:proofErr w:type="gramEnd"/>
      <w:r>
        <w:rPr>
          <w:rFonts w:ascii="Times New Roman" w:hAnsi="Times New Roman"/>
          <w:b/>
          <w:bCs/>
          <w:sz w:val="24"/>
          <w:szCs w:val="24"/>
        </w:rPr>
        <w:t xml:space="preserve"> medical coverage for hearing loss arising from the job.  </w:t>
      </w:r>
    </w:p>
    <w:p w14:paraId="15438586" w14:textId="77777777" w:rsidR="00365F63" w:rsidRDefault="00365F63" w:rsidP="00EF1133">
      <w:pPr>
        <w:pStyle w:val="NoSpacing"/>
        <w:rPr>
          <w:rFonts w:ascii="Arial Black" w:hAnsi="Arial Black"/>
          <w:sz w:val="24"/>
          <w:szCs w:val="24"/>
        </w:rPr>
      </w:pPr>
    </w:p>
    <w:p w14:paraId="5A308BDF" w14:textId="77777777" w:rsidR="00365F63" w:rsidRDefault="00365F63" w:rsidP="00EF1133">
      <w:pPr>
        <w:pStyle w:val="NoSpacing"/>
        <w:rPr>
          <w:rFonts w:ascii="Arial Black" w:hAnsi="Arial Black"/>
          <w:sz w:val="24"/>
          <w:szCs w:val="24"/>
        </w:rPr>
      </w:pPr>
    </w:p>
    <w:p w14:paraId="3A947F93" w14:textId="4E6D8267" w:rsidR="00243A7F" w:rsidRDefault="00243A7F" w:rsidP="00EF1133">
      <w:pPr>
        <w:pStyle w:val="NoSpacing"/>
        <w:rPr>
          <w:rFonts w:ascii="Arial Black" w:hAnsi="Arial Black"/>
          <w:sz w:val="24"/>
          <w:szCs w:val="24"/>
        </w:rPr>
      </w:pPr>
      <w:r>
        <w:rPr>
          <w:rFonts w:ascii="Arial Black" w:hAnsi="Arial Black"/>
          <w:sz w:val="24"/>
          <w:szCs w:val="24"/>
        </w:rPr>
        <w:t>2-36</w:t>
      </w:r>
    </w:p>
    <w:p w14:paraId="2F6C55B7" w14:textId="77777777" w:rsidR="00243A7F" w:rsidRPr="008F74AA" w:rsidRDefault="00243A7F" w:rsidP="00243A7F">
      <w:pPr>
        <w:pStyle w:val="Heading1"/>
        <w:rPr>
          <w:rFonts w:ascii="Arial Black" w:hAnsi="Arial Black"/>
          <w:b w:val="0"/>
          <w:bCs w:val="0"/>
          <w:sz w:val="28"/>
          <w:szCs w:val="28"/>
        </w:rPr>
      </w:pPr>
      <w:r>
        <w:rPr>
          <w:rFonts w:ascii="Arial Black" w:hAnsi="Arial Black"/>
          <w:b w:val="0"/>
          <w:bCs w:val="0"/>
          <w:sz w:val="28"/>
          <w:szCs w:val="28"/>
        </w:rPr>
        <w:t>SC: CHARLESTON – COVID-19 VACCINATIONS MANDATED FOR POLICE AND FIRE – PRELIMINARY INJUNCTION DENIED</w:t>
      </w:r>
    </w:p>
    <w:p w14:paraId="6A2123A5" w14:textId="77777777" w:rsidR="00243A7F" w:rsidRDefault="00243A7F" w:rsidP="00243A7F">
      <w:pPr>
        <w:pStyle w:val="Heading1"/>
        <w:rPr>
          <w:b w:val="0"/>
          <w:bCs w:val="0"/>
          <w:sz w:val="24"/>
          <w:szCs w:val="24"/>
        </w:rPr>
      </w:pPr>
      <w:r>
        <w:rPr>
          <w:b w:val="0"/>
          <w:bCs w:val="0"/>
          <w:sz w:val="24"/>
          <w:szCs w:val="24"/>
        </w:rPr>
        <w:t xml:space="preserve">On Oct. 21, 2021, in three combined cases, </w:t>
      </w:r>
      <w:r w:rsidRPr="008F74AA">
        <w:rPr>
          <w:b w:val="0"/>
          <w:bCs w:val="0"/>
          <w:sz w:val="24"/>
          <w:szCs w:val="24"/>
          <w:u w:val="single"/>
        </w:rPr>
        <w:t>Sean Bauer, et al. v. City of North Charleston; Aaron Gdovicak, et al. v. City of Charleston; Ashleigh Tucker v. St. John Fire District</w:t>
      </w:r>
      <w:r>
        <w:rPr>
          <w:b w:val="0"/>
          <w:bCs w:val="0"/>
          <w:sz w:val="24"/>
          <w:szCs w:val="24"/>
        </w:rPr>
        <w:t xml:space="preserve">, U.S. District Court Judge David C. Norton, U.S. District Court for District of South Caroline (Charleston Division) denied request to issue a preliminary injunction against employers’ vaccination mandates, citing 1905 U.S. Supreme Court decision requiring small pox vaccinations.  </w:t>
      </w:r>
    </w:p>
    <w:p w14:paraId="14616CCD" w14:textId="77777777" w:rsidR="00243A7F" w:rsidRDefault="00243A7F" w:rsidP="00243A7F">
      <w:pPr>
        <w:pStyle w:val="Heading1"/>
        <w:ind w:left="720"/>
        <w:rPr>
          <w:b w:val="0"/>
          <w:bCs w:val="0"/>
          <w:sz w:val="24"/>
          <w:szCs w:val="24"/>
        </w:rPr>
      </w:pPr>
      <w:r>
        <w:rPr>
          <w:b w:val="0"/>
          <w:bCs w:val="0"/>
          <w:sz w:val="24"/>
          <w:szCs w:val="24"/>
        </w:rPr>
        <w:t>“</w:t>
      </w:r>
      <w:r w:rsidRPr="008F74AA">
        <w:rPr>
          <w:b w:val="0"/>
          <w:bCs w:val="0"/>
          <w:sz w:val="24"/>
          <w:szCs w:val="24"/>
        </w:rPr>
        <w:t>While plaintiffs may remain unvaccinated at their own risk, the balance of equities and public interest do not require defendants to allow plaintiffs to spread that risk in their workplace and, by extension, into the communities they serve. Reasonable minds may disagree on the public health consequences of the Policies.</w:t>
      </w:r>
    </w:p>
    <w:p w14:paraId="7897B19C" w14:textId="77777777" w:rsidR="00243A7F" w:rsidRPr="008F74AA" w:rsidRDefault="00243A7F" w:rsidP="00243A7F">
      <w:pPr>
        <w:pStyle w:val="Heading1"/>
        <w:ind w:firstLine="720"/>
        <w:rPr>
          <w:b w:val="0"/>
          <w:bCs w:val="0"/>
          <w:sz w:val="24"/>
          <w:szCs w:val="24"/>
        </w:rPr>
      </w:pPr>
      <w:r>
        <w:rPr>
          <w:b w:val="0"/>
          <w:bCs w:val="0"/>
          <w:sz w:val="24"/>
          <w:szCs w:val="24"/>
        </w:rPr>
        <w:t>***</w:t>
      </w:r>
    </w:p>
    <w:p w14:paraId="6E85B643" w14:textId="77777777" w:rsidR="00243A7F" w:rsidRDefault="00243A7F" w:rsidP="00243A7F">
      <w:pPr>
        <w:pStyle w:val="NormalWeb"/>
        <w:ind w:left="720"/>
      </w:pPr>
      <w:r>
        <w:t xml:space="preserve">Notably, the Supreme Court has expressly rejected the idea of a fundamental right to refuse vaccination. In </w:t>
      </w:r>
      <w:r>
        <w:rPr>
          <w:rStyle w:val="Emphasis"/>
        </w:rPr>
        <w:t>Jacobson v. Massachusetts</w:t>
      </w:r>
      <w:r>
        <w:t xml:space="preserve">, 197 U.S. 11, 26–27 (1905), the Supreme Court upheld a state law allowing cities and towns to implement vaccine mandates </w:t>
      </w:r>
      <w:proofErr w:type="gramStart"/>
      <w:r>
        <w:t>in order to</w:t>
      </w:r>
      <w:proofErr w:type="gramEnd"/>
      <w:r>
        <w:t xml:space="preserve"> contain smallpox outbreaks. In so holding, the Supreme Court rejected an argument that liberty interests under the Fourteenth Amendment inevitably prevail in these circumstances. Specifically, the Supreme Court stated, ‘We are unwilling to hold it to be an element in the liberty secured by the Constitution of the United States that one person, or a minority of persons, residing in any community and enjoying the benefits of its local government, should have the power thus to dominate the majority when supported in their action by the authority of the state.’</w:t>
      </w:r>
    </w:p>
    <w:p w14:paraId="1AAE2DA4" w14:textId="77777777" w:rsidR="00243A7F" w:rsidRDefault="00243A7F" w:rsidP="00243A7F">
      <w:pPr>
        <w:pStyle w:val="Heading1"/>
        <w:ind w:left="720"/>
        <w:rPr>
          <w:b w:val="0"/>
          <w:bCs w:val="0"/>
          <w:sz w:val="24"/>
          <w:szCs w:val="24"/>
        </w:rPr>
      </w:pPr>
      <w:r>
        <w:rPr>
          <w:b w:val="0"/>
          <w:bCs w:val="0"/>
          <w:sz w:val="24"/>
          <w:szCs w:val="24"/>
        </w:rPr>
        <w:t>***</w:t>
      </w:r>
    </w:p>
    <w:p w14:paraId="2719A573" w14:textId="77777777" w:rsidR="00243A7F" w:rsidRPr="008F74AA" w:rsidRDefault="00243A7F" w:rsidP="00243A7F">
      <w:pPr>
        <w:pStyle w:val="Heading1"/>
        <w:ind w:left="720"/>
        <w:rPr>
          <w:b w:val="0"/>
          <w:bCs w:val="0"/>
          <w:sz w:val="24"/>
          <w:szCs w:val="24"/>
        </w:rPr>
      </w:pPr>
      <w:proofErr w:type="gramStart"/>
      <w:r w:rsidRPr="008F74AA">
        <w:rPr>
          <w:b w:val="0"/>
          <w:bCs w:val="0"/>
          <w:sz w:val="24"/>
          <w:szCs w:val="24"/>
        </w:rPr>
        <w:t>In light of</w:t>
      </w:r>
      <w:proofErr w:type="gramEnd"/>
      <w:r w:rsidRPr="008F74AA">
        <w:rPr>
          <w:b w:val="0"/>
          <w:bCs w:val="0"/>
          <w:sz w:val="24"/>
          <w:szCs w:val="24"/>
        </w:rPr>
        <w:t xml:space="preserve"> plaintiffs’ failure to show that their claims are likely to be meritorious, the balance of hardships that weighs in defendants’ favor, and the strong public interest that weighs against enjoining the Policies, the court finds that a preliminary injunction is not appropriate in this case. In denying plaintiffs’ motions, this court is not impugning either the integrity or the sincere nature of plaintiffs’ beliefs. However, it is not the court’s role to determine and impose the employer policies that best strike the balance of the competing interests of a pandemic that has plagued not just this state or country, but the world, for almost two years. Irrespective of politics, the court has evaluated and analyzed the law and the legal arguments raised by both sides. Unfortunately for plaintiffs, they have not stated a viable legal theory in support of an injunction, as each of the factors required to be considered, individually and collectively, weigh against the grant of injunctive relief.</w:t>
      </w:r>
      <w:r>
        <w:rPr>
          <w:b w:val="0"/>
          <w:bCs w:val="0"/>
          <w:sz w:val="24"/>
          <w:szCs w:val="24"/>
        </w:rPr>
        <w:t xml:space="preserve">” </w:t>
      </w:r>
      <w:hyperlink r:id="rId537" w:history="1">
        <w:r w:rsidRPr="00BD2840">
          <w:rPr>
            <w:rStyle w:val="Hyperlink"/>
            <w:sz w:val="24"/>
            <w:szCs w:val="24"/>
          </w:rPr>
          <w:t>https://public.fastcase.com/9SKwsfNqTc6OieYDhNMyMw%2FXypC%2BGCgzOI8YVtEGVa9n7jEOxoaSK8egV%2FDY7vKxD%2FnkzijiMqV0cvRDHM3YNZxTynpkQChMaJvb9tBM2DY%3D</w:t>
        </w:r>
      </w:hyperlink>
      <w:r>
        <w:rPr>
          <w:b w:val="0"/>
          <w:bCs w:val="0"/>
          <w:sz w:val="24"/>
          <w:szCs w:val="24"/>
        </w:rPr>
        <w:t xml:space="preserve"> </w:t>
      </w:r>
    </w:p>
    <w:p w14:paraId="5532DEAC" w14:textId="77777777" w:rsidR="00243A7F" w:rsidRPr="009F2E1C" w:rsidRDefault="00243A7F" w:rsidP="00243A7F">
      <w:pPr>
        <w:pStyle w:val="Heading1"/>
        <w:rPr>
          <w:sz w:val="24"/>
          <w:szCs w:val="24"/>
        </w:rPr>
      </w:pPr>
      <w:r w:rsidRPr="009F2E1C">
        <w:rPr>
          <w:sz w:val="24"/>
          <w:szCs w:val="24"/>
        </w:rPr>
        <w:t>Legal Lesson Learned:</w:t>
      </w:r>
      <w:r>
        <w:rPr>
          <w:sz w:val="24"/>
          <w:szCs w:val="24"/>
        </w:rPr>
        <w:t xml:space="preserve"> The Court issued a very detailed decision, examining and rejecting numerous Constitutional arguments by the plaintiffs. </w:t>
      </w:r>
    </w:p>
    <w:p w14:paraId="1B954DBE" w14:textId="77777777" w:rsidR="00243A7F" w:rsidRPr="00310A49" w:rsidRDefault="00243A7F" w:rsidP="00243A7F">
      <w:pPr>
        <w:pStyle w:val="Heading1"/>
        <w:ind w:left="720"/>
        <w:rPr>
          <w:rStyle w:val="Strong"/>
          <w:rFonts w:eastAsiaTheme="majorEastAsia"/>
          <w:b/>
          <w:bCs/>
          <w:sz w:val="24"/>
          <w:szCs w:val="24"/>
        </w:rPr>
      </w:pPr>
      <w:r w:rsidRPr="00BA6F47">
        <w:rPr>
          <w:rStyle w:val="Strong"/>
          <w:rFonts w:eastAsiaTheme="majorEastAsia"/>
          <w:sz w:val="24"/>
          <w:szCs w:val="24"/>
        </w:rPr>
        <w:t xml:space="preserve">Note: </w:t>
      </w:r>
      <w:r>
        <w:rPr>
          <w:rStyle w:val="Strong"/>
          <w:rFonts w:eastAsiaTheme="majorEastAsia"/>
          <w:sz w:val="24"/>
          <w:szCs w:val="24"/>
        </w:rPr>
        <w:t xml:space="preserve">See Oct. 19, 2021 decision in </w:t>
      </w:r>
      <w:r w:rsidRPr="00310A49">
        <w:rPr>
          <w:b w:val="0"/>
          <w:bCs w:val="0"/>
          <w:sz w:val="24"/>
          <w:szCs w:val="24"/>
          <w:u w:val="single"/>
        </w:rPr>
        <w:t>JANE DOES 1-6, et al. v. Janet T. Mills, Governor of State of Maine</w:t>
      </w:r>
      <w:r w:rsidRPr="00310A49">
        <w:rPr>
          <w:b w:val="0"/>
          <w:bCs w:val="0"/>
          <w:sz w:val="24"/>
          <w:szCs w:val="24"/>
        </w:rPr>
        <w:t xml:space="preserve">, </w:t>
      </w:r>
      <w:r>
        <w:rPr>
          <w:b w:val="0"/>
          <w:bCs w:val="0"/>
          <w:sz w:val="24"/>
          <w:szCs w:val="24"/>
        </w:rPr>
        <w:t>where U.S. Court of Appeals for First Circuit (Boston) held (3 to 0) that Federal District Court Judge properly denied preliminary injunction for s</w:t>
      </w:r>
      <w:r w:rsidRPr="00310A49">
        <w:rPr>
          <w:b w:val="0"/>
          <w:bCs w:val="0"/>
          <w:sz w:val="24"/>
          <w:szCs w:val="24"/>
        </w:rPr>
        <w:t>everal Maine healthcare workers (and a healthcare provider who runs his own practice)</w:t>
      </w:r>
      <w:r>
        <w:rPr>
          <w:b w:val="0"/>
          <w:bCs w:val="0"/>
          <w:sz w:val="24"/>
          <w:szCs w:val="24"/>
        </w:rPr>
        <w:t xml:space="preserve">. </w:t>
      </w:r>
      <w:hyperlink r:id="rId538" w:history="1">
        <w:r w:rsidRPr="00764F47">
          <w:rPr>
            <w:rStyle w:val="Hyperlink"/>
            <w:sz w:val="24"/>
            <w:szCs w:val="24"/>
          </w:rPr>
          <w:t>http://media.ca1.uscourts.gov/pdf.opinions/21-1826P-01A.pdf</w:t>
        </w:r>
      </w:hyperlink>
      <w:r>
        <w:rPr>
          <w:b w:val="0"/>
          <w:bCs w:val="0"/>
          <w:sz w:val="24"/>
          <w:szCs w:val="24"/>
        </w:rPr>
        <w:t xml:space="preserve"> </w:t>
      </w:r>
    </w:p>
    <w:p w14:paraId="49D44305" w14:textId="77777777" w:rsidR="00243A7F" w:rsidRDefault="00243A7F" w:rsidP="00243A7F">
      <w:pPr>
        <w:pStyle w:val="Heading1"/>
        <w:ind w:left="720"/>
        <w:rPr>
          <w:b w:val="0"/>
          <w:bCs w:val="0"/>
          <w:sz w:val="24"/>
          <w:szCs w:val="24"/>
        </w:rPr>
      </w:pPr>
      <w:r>
        <w:rPr>
          <w:b w:val="0"/>
          <w:bCs w:val="0"/>
          <w:sz w:val="24"/>
          <w:szCs w:val="24"/>
        </w:rPr>
        <w:t xml:space="preserve">See Oct. 18, 2021 decision – </w:t>
      </w:r>
      <w:r w:rsidRPr="00B46DFE">
        <w:rPr>
          <w:b w:val="0"/>
          <w:bCs w:val="0"/>
          <w:sz w:val="24"/>
          <w:szCs w:val="24"/>
          <w:u w:val="single"/>
        </w:rPr>
        <w:t>Malcolm Johnson</w:t>
      </w:r>
      <w:r>
        <w:rPr>
          <w:b w:val="0"/>
          <w:bCs w:val="0"/>
          <w:sz w:val="24"/>
          <w:szCs w:val="24"/>
          <w:u w:val="single"/>
        </w:rPr>
        <w:t>, et al.</w:t>
      </w:r>
      <w:r w:rsidRPr="00B46DFE">
        <w:rPr>
          <w:b w:val="0"/>
          <w:bCs w:val="0"/>
          <w:sz w:val="24"/>
          <w:szCs w:val="24"/>
          <w:u w:val="single"/>
        </w:rPr>
        <w:t xml:space="preserve"> v. Brown</w:t>
      </w:r>
      <w:r>
        <w:rPr>
          <w:b w:val="0"/>
          <w:bCs w:val="0"/>
          <w:sz w:val="24"/>
          <w:szCs w:val="24"/>
        </w:rPr>
        <w:t xml:space="preserve">, where U.S. District Court Judge </w:t>
      </w:r>
      <w:r w:rsidRPr="00B46DFE">
        <w:rPr>
          <w:b w:val="0"/>
          <w:bCs w:val="0"/>
          <w:sz w:val="24"/>
          <w:szCs w:val="24"/>
        </w:rPr>
        <w:t>Michael H. Simon</w:t>
      </w:r>
      <w:r>
        <w:rPr>
          <w:b w:val="0"/>
          <w:bCs w:val="0"/>
          <w:sz w:val="24"/>
          <w:szCs w:val="24"/>
        </w:rPr>
        <w:t xml:space="preserve">, U.S. District Court, Oregon, denied temporary restraining order for </w:t>
      </w:r>
      <w:r w:rsidRPr="00B46DFE">
        <w:rPr>
          <w:b w:val="0"/>
          <w:bCs w:val="0"/>
          <w:sz w:val="24"/>
          <w:szCs w:val="24"/>
        </w:rPr>
        <w:t>42 individuals who are healthcare providers, healthcare staff, teachers, school staff, a school volunteer, and a State agency employee</w:t>
      </w:r>
      <w:r>
        <w:rPr>
          <w:b w:val="0"/>
          <w:bCs w:val="0"/>
          <w:sz w:val="24"/>
          <w:szCs w:val="24"/>
        </w:rPr>
        <w:t xml:space="preserve">.  , </w:t>
      </w:r>
      <w:hyperlink r:id="rId539" w:history="1">
        <w:r w:rsidRPr="00764F47">
          <w:rPr>
            <w:rStyle w:val="Hyperlink"/>
            <w:sz w:val="24"/>
            <w:szCs w:val="24"/>
          </w:rPr>
          <w:t>https://public.fastcase.com/9SKwsfNqTc6OieYDhNMyM3Zf%2BPwzrkIbdAwXmhTtl8LsaOGFJIHcsZBv5iyM%2B426E1WD6poza6PbNV5FFspTPxqJQS%2BqrXpJYGMVjXOs9qA%3D</w:t>
        </w:r>
      </w:hyperlink>
      <w:r>
        <w:rPr>
          <w:b w:val="0"/>
          <w:bCs w:val="0"/>
          <w:sz w:val="24"/>
          <w:szCs w:val="24"/>
        </w:rPr>
        <w:t xml:space="preserve"> </w:t>
      </w:r>
    </w:p>
    <w:p w14:paraId="6F1BFE37" w14:textId="77777777" w:rsidR="00243A7F" w:rsidRDefault="00243A7F" w:rsidP="00243A7F">
      <w:pPr>
        <w:pStyle w:val="Heading1"/>
        <w:ind w:left="720"/>
        <w:rPr>
          <w:b w:val="0"/>
          <w:bCs w:val="0"/>
          <w:sz w:val="24"/>
          <w:szCs w:val="24"/>
        </w:rPr>
      </w:pPr>
      <w:r w:rsidRPr="00BA6F47">
        <w:rPr>
          <w:b w:val="0"/>
          <w:bCs w:val="0"/>
          <w:sz w:val="24"/>
          <w:szCs w:val="24"/>
        </w:rPr>
        <w:t xml:space="preserve">See also Aug. 12, </w:t>
      </w:r>
      <w:proofErr w:type="gramStart"/>
      <w:r w:rsidRPr="00BA6F47">
        <w:rPr>
          <w:b w:val="0"/>
          <w:bCs w:val="0"/>
          <w:sz w:val="24"/>
          <w:szCs w:val="24"/>
        </w:rPr>
        <w:t>2021</w:t>
      </w:r>
      <w:proofErr w:type="gramEnd"/>
      <w:r w:rsidRPr="00BA6F47">
        <w:rPr>
          <w:b w:val="0"/>
          <w:bCs w:val="0"/>
          <w:sz w:val="24"/>
          <w:szCs w:val="24"/>
        </w:rPr>
        <w:t xml:space="preserve"> article, “Supreme Court won’t stop Indiana University’s COVID vaccination requirement.” </w:t>
      </w:r>
      <w:hyperlink r:id="rId540" w:history="1">
        <w:r w:rsidRPr="00BD2840">
          <w:rPr>
            <w:rStyle w:val="Hyperlink"/>
            <w:sz w:val="24"/>
            <w:szCs w:val="24"/>
          </w:rPr>
          <w:t>https://www.14news.com/2021/08/12/supreme-court-wont-stop-indiana-universitys-covid-vaccination-requirement/</w:t>
        </w:r>
      </w:hyperlink>
      <w:r>
        <w:rPr>
          <w:b w:val="0"/>
          <w:bCs w:val="0"/>
          <w:sz w:val="24"/>
          <w:szCs w:val="24"/>
        </w:rPr>
        <w:t xml:space="preserve"> “</w:t>
      </w:r>
      <w:r w:rsidRPr="00BA6F47">
        <w:rPr>
          <w:b w:val="0"/>
          <w:bCs w:val="0"/>
          <w:sz w:val="24"/>
          <w:szCs w:val="24"/>
        </w:rPr>
        <w:t>INDIANAPOLIS, Ind. (WFIE) - NBC News reports the Supreme Court refused to block Indiana University’s vaccination requirement, ruling in the first COVID vaccine case to reach the high court on Thursday.</w:t>
      </w:r>
      <w:r>
        <w:rPr>
          <w:b w:val="0"/>
          <w:bCs w:val="0"/>
          <w:sz w:val="24"/>
          <w:szCs w:val="24"/>
        </w:rPr>
        <w:t>”</w:t>
      </w:r>
    </w:p>
    <w:p w14:paraId="1FF4774C" w14:textId="77777777" w:rsidR="00243A7F" w:rsidRDefault="00243A7F" w:rsidP="00243A7F">
      <w:pPr>
        <w:pStyle w:val="Heading1"/>
        <w:ind w:left="720"/>
        <w:rPr>
          <w:b w:val="0"/>
          <w:bCs w:val="0"/>
          <w:sz w:val="24"/>
          <w:szCs w:val="24"/>
        </w:rPr>
      </w:pPr>
      <w:r>
        <w:rPr>
          <w:b w:val="0"/>
          <w:bCs w:val="0"/>
          <w:sz w:val="24"/>
          <w:szCs w:val="24"/>
        </w:rPr>
        <w:t xml:space="preserve">See July 19, </w:t>
      </w:r>
      <w:proofErr w:type="gramStart"/>
      <w:r>
        <w:rPr>
          <w:b w:val="0"/>
          <w:bCs w:val="0"/>
          <w:sz w:val="24"/>
          <w:szCs w:val="24"/>
        </w:rPr>
        <w:t>2021</w:t>
      </w:r>
      <w:proofErr w:type="gramEnd"/>
      <w:r>
        <w:rPr>
          <w:b w:val="0"/>
          <w:bCs w:val="0"/>
          <w:sz w:val="24"/>
          <w:szCs w:val="24"/>
        </w:rPr>
        <w:t xml:space="preserve"> article: </w:t>
      </w:r>
      <w:r w:rsidRPr="00BA6F47">
        <w:rPr>
          <w:rStyle w:val="Strong"/>
          <w:rFonts w:eastAsiaTheme="majorEastAsia"/>
          <w:sz w:val="24"/>
          <w:szCs w:val="24"/>
        </w:rPr>
        <w:t>“</w:t>
      </w:r>
      <w:r w:rsidRPr="00BA6F47">
        <w:rPr>
          <w:b w:val="0"/>
          <w:bCs w:val="0"/>
          <w:sz w:val="24"/>
          <w:szCs w:val="24"/>
        </w:rPr>
        <w:t xml:space="preserve">IU wins court case, can proceed with COVID-19 vaccine requirement.” </w:t>
      </w:r>
      <w:hyperlink r:id="rId541" w:history="1">
        <w:r w:rsidRPr="00BD2840">
          <w:rPr>
            <w:rStyle w:val="Hyperlink"/>
            <w:sz w:val="24"/>
            <w:szCs w:val="24"/>
          </w:rPr>
          <w:t>https://www.953mnc.com/2021/07/19/iu-wins-court-case-can-proceed-with-covid-19-vaccine-requirement/</w:t>
        </w:r>
      </w:hyperlink>
      <w:r>
        <w:rPr>
          <w:b w:val="0"/>
          <w:bCs w:val="0"/>
          <w:sz w:val="24"/>
          <w:szCs w:val="24"/>
        </w:rPr>
        <w:t xml:space="preserve"> “</w:t>
      </w:r>
      <w:r w:rsidRPr="00BA6F47">
        <w:rPr>
          <w:b w:val="0"/>
          <w:bCs w:val="0"/>
          <w:sz w:val="24"/>
          <w:szCs w:val="24"/>
        </w:rPr>
        <w:t>Indiana University has won a court case that could have stopped them from requiring the coronavirus vaccine. The U.S. District Court for the Northern District of Indiana in South Bend issued a ruling overnight that denies an injunction south by at least eight IU students</w:t>
      </w:r>
      <w:r>
        <w:rPr>
          <w:b w:val="0"/>
          <w:bCs w:val="0"/>
          <w:sz w:val="24"/>
          <w:szCs w:val="24"/>
        </w:rPr>
        <w:t>.”</w:t>
      </w:r>
    </w:p>
    <w:p w14:paraId="2B066563" w14:textId="77777777" w:rsidR="00243A7F" w:rsidRDefault="00243A7F" w:rsidP="00EF1133">
      <w:pPr>
        <w:pStyle w:val="NoSpacing"/>
        <w:rPr>
          <w:rFonts w:ascii="Arial Black" w:hAnsi="Arial Black"/>
          <w:sz w:val="24"/>
          <w:szCs w:val="24"/>
        </w:rPr>
      </w:pPr>
    </w:p>
    <w:p w14:paraId="053D934E" w14:textId="77777777" w:rsidR="00243A7F" w:rsidRDefault="00243A7F" w:rsidP="00EF1133">
      <w:pPr>
        <w:pStyle w:val="NoSpacing"/>
        <w:rPr>
          <w:rFonts w:ascii="Arial Black" w:hAnsi="Arial Black"/>
          <w:sz w:val="24"/>
          <w:szCs w:val="24"/>
        </w:rPr>
      </w:pPr>
    </w:p>
    <w:p w14:paraId="4F20FBAF" w14:textId="77777777" w:rsidR="00243A7F" w:rsidRDefault="00243A7F" w:rsidP="00EF1133">
      <w:pPr>
        <w:pStyle w:val="NoSpacing"/>
        <w:rPr>
          <w:rFonts w:ascii="Arial Black" w:hAnsi="Arial Black"/>
          <w:sz w:val="24"/>
          <w:szCs w:val="24"/>
        </w:rPr>
      </w:pPr>
    </w:p>
    <w:p w14:paraId="50EA4138" w14:textId="2648BA54" w:rsidR="00BD1702" w:rsidRDefault="00BD1702" w:rsidP="00EF1133">
      <w:pPr>
        <w:pStyle w:val="NoSpacing"/>
        <w:rPr>
          <w:rFonts w:ascii="Arial Black" w:hAnsi="Arial Black"/>
          <w:sz w:val="24"/>
          <w:szCs w:val="24"/>
        </w:rPr>
      </w:pPr>
      <w:r>
        <w:rPr>
          <w:rFonts w:ascii="Arial Black" w:hAnsi="Arial Black"/>
          <w:sz w:val="24"/>
          <w:szCs w:val="24"/>
        </w:rPr>
        <w:t>2-35</w:t>
      </w:r>
    </w:p>
    <w:p w14:paraId="66397097" w14:textId="77777777" w:rsidR="00BD1702" w:rsidRDefault="00BD1702" w:rsidP="00BD170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WI: AIR CARE HELICOPTER CRASH – ALL KILLED – PILOT MAY HAVE FALLEN ASLEEP – LAWSUIT MAY PROCEED</w:t>
      </w:r>
    </w:p>
    <w:p w14:paraId="44A13EA0" w14:textId="77777777" w:rsidR="00BD1702" w:rsidRDefault="00BD1702" w:rsidP="00BD170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8, 2021, in </w:t>
      </w:r>
      <w:r>
        <w:rPr>
          <w:rFonts w:ascii="Times New Roman" w:eastAsia="Times New Roman" w:hAnsi="Times New Roman"/>
          <w:sz w:val="24"/>
          <w:szCs w:val="24"/>
          <w:u w:val="single"/>
        </w:rPr>
        <w:t xml:space="preserve">Lindsey Ward, Personal </w:t>
      </w:r>
      <w:proofErr w:type="spellStart"/>
      <w:r>
        <w:rPr>
          <w:rFonts w:ascii="Times New Roman" w:eastAsia="Times New Roman" w:hAnsi="Times New Roman"/>
          <w:sz w:val="24"/>
          <w:szCs w:val="24"/>
          <w:u w:val="single"/>
        </w:rPr>
        <w:t>Pepresentative</w:t>
      </w:r>
      <w:proofErr w:type="spellEnd"/>
      <w:r>
        <w:rPr>
          <w:rFonts w:ascii="Times New Roman" w:eastAsia="Times New Roman" w:hAnsi="Times New Roman"/>
          <w:sz w:val="24"/>
          <w:szCs w:val="24"/>
          <w:u w:val="single"/>
        </w:rPr>
        <w:t xml:space="preserve"> of Estate of Klint Mitchell, et al. v. Air Methods Corporation, et al.</w:t>
      </w:r>
      <w:r>
        <w:rPr>
          <w:rFonts w:ascii="Times New Roman" w:eastAsia="Times New Roman" w:hAnsi="Times New Roman"/>
          <w:sz w:val="24"/>
          <w:szCs w:val="24"/>
        </w:rPr>
        <w:t xml:space="preserve">, U.S. District Court Judge William M. Conley, Western District of Wisconsin, denied the defense motion to dismiss, holding that there is evidence of pilot fatigue.  </w:t>
      </w:r>
    </w:p>
    <w:p w14:paraId="78EC5DEF" w14:textId="77777777" w:rsidR="00BD1702" w:rsidRDefault="00BD1702" w:rsidP="00BD170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Pr>
          <w:rFonts w:ascii="Times New Roman" w:hAnsi="Times New Roman"/>
          <w:sz w:val="24"/>
          <w:szCs w:val="24"/>
        </w:rPr>
        <w:t xml:space="preserve">Plaintiffs allege that Air Methods knew, or should have known, that Caruso would be too fatigued to transport patients and the medical team safely, and it should now be held liable for Mr. Mitchell's death…. Accordingly, plaintiff's claim for wrongful death based on defendant's alleged negligent entrustment states a claim and will not be dismissed at the pleading stage either.” </w:t>
      </w:r>
      <w:hyperlink r:id="rId542" w:history="1">
        <w:r>
          <w:rPr>
            <w:rStyle w:val="Hyperlink"/>
            <w:sz w:val="24"/>
            <w:szCs w:val="24"/>
          </w:rPr>
          <w:t>https://public.fastcase.com/9SKwsfNqTc6OieYDhNMyM3m3eL%2Bu4x8bx%2FFPqQ706C1Bfi57%2Fsm8VTkLX0Q5d2JY3Hl0cE%2BCK3yDi%2BV1afLDAxYamaVWukse%2F0EpEJzWMdw%3D</w:t>
        </w:r>
      </w:hyperlink>
      <w:r>
        <w:rPr>
          <w:rFonts w:ascii="Times New Roman" w:hAnsi="Times New Roman"/>
          <w:sz w:val="24"/>
          <w:szCs w:val="24"/>
        </w:rPr>
        <w:t xml:space="preserve"> </w:t>
      </w:r>
    </w:p>
    <w:p w14:paraId="216F22CD" w14:textId="77777777" w:rsidR="00BD1702" w:rsidRDefault="00BD1702" w:rsidP="00BD170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 Learned: Fatigue can be a serious factor, not only for pilots, but also fire &amp; EMS personnel. </w:t>
      </w:r>
    </w:p>
    <w:p w14:paraId="50A50CA8" w14:textId="77777777" w:rsidR="00BD1702" w:rsidRDefault="00BD1702" w:rsidP="00EF1133">
      <w:pPr>
        <w:pStyle w:val="NoSpacing"/>
        <w:rPr>
          <w:rFonts w:ascii="Arial Black" w:hAnsi="Arial Black"/>
          <w:sz w:val="24"/>
          <w:szCs w:val="24"/>
        </w:rPr>
      </w:pPr>
    </w:p>
    <w:p w14:paraId="158CC1D9" w14:textId="77777777" w:rsidR="00BD1702" w:rsidRDefault="00BD1702" w:rsidP="00EF1133">
      <w:pPr>
        <w:pStyle w:val="NoSpacing"/>
        <w:rPr>
          <w:rFonts w:ascii="Arial Black" w:hAnsi="Arial Black"/>
          <w:sz w:val="24"/>
          <w:szCs w:val="24"/>
        </w:rPr>
      </w:pPr>
    </w:p>
    <w:p w14:paraId="3A43AE8F" w14:textId="45D4F376" w:rsidR="005217D5" w:rsidRDefault="005217D5" w:rsidP="00EF1133">
      <w:pPr>
        <w:pStyle w:val="NoSpacing"/>
        <w:rPr>
          <w:rFonts w:ascii="Arial Black" w:hAnsi="Arial Black"/>
          <w:sz w:val="24"/>
          <w:szCs w:val="24"/>
        </w:rPr>
      </w:pPr>
      <w:r>
        <w:rPr>
          <w:rFonts w:ascii="Arial Black" w:hAnsi="Arial Black"/>
          <w:sz w:val="24"/>
          <w:szCs w:val="24"/>
        </w:rPr>
        <w:t>2-34</w:t>
      </w:r>
    </w:p>
    <w:p w14:paraId="30B4EAA8" w14:textId="279AF8FD" w:rsidR="005217D5" w:rsidRDefault="005217D5" w:rsidP="00EF1133">
      <w:pPr>
        <w:pStyle w:val="NoSpacing"/>
        <w:rPr>
          <w:rFonts w:ascii="Arial Black" w:hAnsi="Arial Black"/>
          <w:sz w:val="24"/>
          <w:szCs w:val="24"/>
        </w:rPr>
      </w:pPr>
    </w:p>
    <w:p w14:paraId="0B2C7626" w14:textId="77777777" w:rsidR="005217D5" w:rsidRPr="00A05016" w:rsidRDefault="005217D5" w:rsidP="005217D5">
      <w:pPr>
        <w:spacing w:before="100" w:beforeAutospacing="1" w:after="100" w:afterAutospacing="1" w:line="240" w:lineRule="auto"/>
        <w:rPr>
          <w:rFonts w:ascii="Arial Black" w:hAnsi="Arial Black"/>
          <w:sz w:val="28"/>
          <w:szCs w:val="28"/>
        </w:rPr>
      </w:pPr>
      <w:r w:rsidRPr="00A05016">
        <w:rPr>
          <w:rFonts w:ascii="Arial Black" w:hAnsi="Arial Black"/>
          <w:sz w:val="28"/>
          <w:szCs w:val="28"/>
        </w:rPr>
        <w:t>MO</w:t>
      </w:r>
      <w:r>
        <w:rPr>
          <w:rFonts w:ascii="Arial Black" w:hAnsi="Arial Black"/>
          <w:sz w:val="28"/>
          <w:szCs w:val="28"/>
        </w:rPr>
        <w:t xml:space="preserve">: FF INJURED BY FALLING BRICKS – PTSD - BUT NOT TOTALLY &amp; PERMANENTLY DISABLED </w:t>
      </w:r>
    </w:p>
    <w:p w14:paraId="43BD350B" w14:textId="77777777" w:rsidR="005217D5" w:rsidRPr="002E654B" w:rsidRDefault="005217D5" w:rsidP="005217D5">
      <w:pPr>
        <w:spacing w:before="100" w:beforeAutospacing="1" w:after="100" w:afterAutospacing="1" w:line="240" w:lineRule="auto"/>
        <w:rPr>
          <w:rFonts w:ascii="Times New Roman" w:hAnsi="Times New Roman"/>
          <w:sz w:val="24"/>
          <w:szCs w:val="24"/>
        </w:rPr>
      </w:pPr>
      <w:r w:rsidRPr="0040016A">
        <w:rPr>
          <w:rFonts w:ascii="Times New Roman" w:hAnsi="Times New Roman"/>
          <w:sz w:val="24"/>
          <w:szCs w:val="24"/>
        </w:rPr>
        <w:t xml:space="preserve">On July 20, 2021, in </w:t>
      </w:r>
      <w:r w:rsidRPr="0040016A">
        <w:rPr>
          <w:rFonts w:ascii="Times New Roman" w:hAnsi="Times New Roman"/>
          <w:sz w:val="24"/>
          <w:szCs w:val="24"/>
          <w:u w:val="single"/>
        </w:rPr>
        <w:t>Michael Taylor v. The Board of Trustees of the Firefighters’ Retirement Plan of St. Louis</w:t>
      </w:r>
      <w:r w:rsidRPr="0040016A">
        <w:rPr>
          <w:rFonts w:ascii="Times New Roman" w:hAnsi="Times New Roman"/>
          <w:sz w:val="24"/>
          <w:szCs w:val="24"/>
        </w:rPr>
        <w:t xml:space="preserve">, </w:t>
      </w:r>
      <w:r>
        <w:rPr>
          <w:rFonts w:ascii="Times New Roman" w:hAnsi="Times New Roman"/>
          <w:sz w:val="24"/>
          <w:szCs w:val="24"/>
        </w:rPr>
        <w:t xml:space="preserve">the Missouri Court of Appeals (Eastern District – Division Four) held (3 to 0) that the Retirement Board correctly denied his claim for total and permanent disability benefits (25% of his average final compensation), with one doctor describing “symptom magnification.”  </w:t>
      </w:r>
      <w:r w:rsidRPr="0040016A">
        <w:rPr>
          <w:rFonts w:ascii="Times New Roman" w:hAnsi="Times New Roman"/>
          <w:sz w:val="24"/>
          <w:szCs w:val="24"/>
        </w:rPr>
        <w:t>Taylor testified he was working as a stationary engineer trainee for the City of St. Louis at a water purification facility and that his PTSD symptoms were not preventing him from performing that job</w:t>
      </w:r>
      <w:r>
        <w:rPr>
          <w:rFonts w:ascii="Times New Roman" w:hAnsi="Times New Roman"/>
          <w:sz w:val="24"/>
          <w:szCs w:val="24"/>
        </w:rPr>
        <w:t xml:space="preserve">. The Board found </w:t>
      </w:r>
      <w:proofErr w:type="gramStart"/>
      <w:r>
        <w:rPr>
          <w:rFonts w:ascii="Times New Roman" w:hAnsi="Times New Roman"/>
          <w:sz w:val="24"/>
          <w:szCs w:val="24"/>
        </w:rPr>
        <w:t xml:space="preserve">the </w:t>
      </w:r>
      <w:r w:rsidRPr="002E654B">
        <w:rPr>
          <w:rFonts w:ascii="Times New Roman" w:hAnsi="Times New Roman"/>
          <w:sz w:val="24"/>
          <w:szCs w:val="24"/>
        </w:rPr>
        <w:t>Taylor's</w:t>
      </w:r>
      <w:proofErr w:type="gramEnd"/>
      <w:r w:rsidRPr="002E654B">
        <w:rPr>
          <w:rFonts w:ascii="Times New Roman" w:hAnsi="Times New Roman"/>
          <w:sz w:val="24"/>
          <w:szCs w:val="24"/>
        </w:rPr>
        <w:t xml:space="preserve"> failure to return to work </w:t>
      </w:r>
      <w:r>
        <w:rPr>
          <w:rFonts w:ascii="Times New Roman" w:hAnsi="Times New Roman"/>
          <w:sz w:val="24"/>
          <w:szCs w:val="24"/>
        </w:rPr>
        <w:t xml:space="preserve">as a firefighter </w:t>
      </w:r>
      <w:r w:rsidRPr="002E654B">
        <w:rPr>
          <w:rFonts w:ascii="Times New Roman" w:hAnsi="Times New Roman"/>
          <w:sz w:val="24"/>
          <w:szCs w:val="24"/>
        </w:rPr>
        <w:t>was caused by his "unwillingness to return to work</w:t>
      </w:r>
      <w:r>
        <w:rPr>
          <w:rFonts w:ascii="Times New Roman" w:hAnsi="Times New Roman"/>
          <w:sz w:val="24"/>
          <w:szCs w:val="24"/>
        </w:rPr>
        <w:t>.</w:t>
      </w:r>
      <w:r w:rsidRPr="002E654B">
        <w:rPr>
          <w:rFonts w:ascii="Times New Roman" w:hAnsi="Times New Roman"/>
          <w:sz w:val="24"/>
          <w:szCs w:val="24"/>
        </w:rPr>
        <w:t>"</w:t>
      </w:r>
      <w:r>
        <w:rPr>
          <w:rFonts w:ascii="Times New Roman" w:hAnsi="Times New Roman"/>
          <w:sz w:val="24"/>
          <w:szCs w:val="24"/>
        </w:rPr>
        <w:t xml:space="preserve"> </w:t>
      </w:r>
    </w:p>
    <w:p w14:paraId="4CA8CB66"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40016A">
        <w:rPr>
          <w:rFonts w:ascii="Times New Roman" w:hAnsi="Times New Roman"/>
          <w:sz w:val="24"/>
          <w:szCs w:val="24"/>
        </w:rPr>
        <w:t xml:space="preserve">Taylor's argument is premised on the erroneous belief that the Board interpreted the </w:t>
      </w:r>
      <w:r>
        <w:rPr>
          <w:rFonts w:ascii="Times New Roman" w:hAnsi="Times New Roman"/>
          <w:sz w:val="24"/>
          <w:szCs w:val="24"/>
        </w:rPr>
        <w:t>‘</w:t>
      </w:r>
      <w:r w:rsidRPr="0040016A">
        <w:rPr>
          <w:rFonts w:ascii="Times New Roman" w:hAnsi="Times New Roman"/>
          <w:sz w:val="24"/>
          <w:szCs w:val="24"/>
        </w:rPr>
        <w:t>resulting from bodily injury</w:t>
      </w:r>
      <w:r>
        <w:rPr>
          <w:rFonts w:ascii="Times New Roman" w:hAnsi="Times New Roman"/>
          <w:sz w:val="24"/>
          <w:szCs w:val="24"/>
        </w:rPr>
        <w:t>’</w:t>
      </w:r>
      <w:r w:rsidRPr="0040016A">
        <w:rPr>
          <w:rFonts w:ascii="Times New Roman" w:hAnsi="Times New Roman"/>
          <w:sz w:val="24"/>
          <w:szCs w:val="24"/>
        </w:rPr>
        <w:t xml:space="preserve"> requirement contained in section 4.19.070(B)(2) to exclude mental disabilities. Contrary to Taylor's assertion, the Board did not deny his claim on that basis; it instead found he failed to carry his burden of proof to establish three of the requirements of section 4.19.070(b)(2)—specifically, that (1) he incurred a total and permanent disability, (2) his health condition </w:t>
      </w:r>
      <w:r>
        <w:rPr>
          <w:rFonts w:ascii="Times New Roman" w:hAnsi="Times New Roman"/>
          <w:sz w:val="24"/>
          <w:szCs w:val="24"/>
        </w:rPr>
        <w:t>‘</w:t>
      </w:r>
      <w:r w:rsidRPr="0040016A">
        <w:rPr>
          <w:rFonts w:ascii="Times New Roman" w:hAnsi="Times New Roman"/>
          <w:sz w:val="24"/>
          <w:szCs w:val="24"/>
        </w:rPr>
        <w:t>resulted from bodily injury,</w:t>
      </w:r>
      <w:r>
        <w:rPr>
          <w:rFonts w:ascii="Times New Roman" w:hAnsi="Times New Roman"/>
          <w:sz w:val="24"/>
          <w:szCs w:val="24"/>
        </w:rPr>
        <w:t>’</w:t>
      </w:r>
      <w:r w:rsidRPr="0040016A">
        <w:rPr>
          <w:rFonts w:ascii="Times New Roman" w:hAnsi="Times New Roman"/>
          <w:sz w:val="24"/>
          <w:szCs w:val="24"/>
        </w:rPr>
        <w:t xml:space="preserve"> and (3) his health condition rendered him totally and permanently disabled from working as a firefighter.</w:t>
      </w:r>
      <w:r>
        <w:rPr>
          <w:rFonts w:ascii="Times New Roman" w:hAnsi="Times New Roman"/>
          <w:sz w:val="24"/>
          <w:szCs w:val="24"/>
        </w:rPr>
        <w:t xml:space="preserve">” </w:t>
      </w:r>
      <w:hyperlink r:id="rId543" w:history="1">
        <w:r w:rsidRPr="004A379F">
          <w:rPr>
            <w:rStyle w:val="Hyperlink"/>
            <w:sz w:val="24"/>
            <w:szCs w:val="24"/>
          </w:rPr>
          <w:t>https://casetext.com/case/taylor-v-bd-of-trs-of-firefighters-ret-plan-of-st-louis</w:t>
        </w:r>
      </w:hyperlink>
      <w:r>
        <w:rPr>
          <w:rFonts w:ascii="Times New Roman" w:hAnsi="Times New Roman"/>
          <w:sz w:val="24"/>
          <w:szCs w:val="24"/>
        </w:rPr>
        <w:t xml:space="preserve"> </w:t>
      </w:r>
    </w:p>
    <w:p w14:paraId="6F863CCC" w14:textId="77777777" w:rsidR="005217D5" w:rsidRPr="002E654B" w:rsidRDefault="005217D5" w:rsidP="005217D5">
      <w:pPr>
        <w:spacing w:before="100" w:beforeAutospacing="1" w:after="100" w:afterAutospacing="1" w:line="240" w:lineRule="auto"/>
        <w:rPr>
          <w:rFonts w:ascii="Times New Roman" w:eastAsia="Times New Roman" w:hAnsi="Times New Roman"/>
          <w:b/>
          <w:bCs/>
          <w:sz w:val="24"/>
          <w:szCs w:val="24"/>
        </w:rPr>
      </w:pPr>
      <w:r w:rsidRPr="002E654B">
        <w:rPr>
          <w:rFonts w:ascii="Times New Roman" w:hAnsi="Times New Roman"/>
          <w:b/>
          <w:bCs/>
          <w:sz w:val="24"/>
          <w:szCs w:val="24"/>
        </w:rPr>
        <w:t>Legal Lesson Learned:</w:t>
      </w:r>
      <w:r>
        <w:rPr>
          <w:rFonts w:ascii="Times New Roman" w:hAnsi="Times New Roman"/>
          <w:b/>
          <w:bCs/>
          <w:sz w:val="24"/>
          <w:szCs w:val="24"/>
        </w:rPr>
        <w:t xml:space="preserve">  The firefighter failed to prove his suffered from “total and permanent” disability resulting from the </w:t>
      </w:r>
      <w:proofErr w:type="gramStart"/>
      <w:r>
        <w:rPr>
          <w:rFonts w:ascii="Times New Roman" w:hAnsi="Times New Roman"/>
          <w:b/>
          <w:bCs/>
          <w:sz w:val="24"/>
          <w:szCs w:val="24"/>
        </w:rPr>
        <w:t>on duty</w:t>
      </w:r>
      <w:proofErr w:type="gramEnd"/>
      <w:r>
        <w:rPr>
          <w:rFonts w:ascii="Times New Roman" w:hAnsi="Times New Roman"/>
          <w:b/>
          <w:bCs/>
          <w:sz w:val="24"/>
          <w:szCs w:val="24"/>
        </w:rPr>
        <w:t xml:space="preserve"> injury.</w:t>
      </w:r>
    </w:p>
    <w:p w14:paraId="7F4EC019" w14:textId="77777777" w:rsidR="005217D5" w:rsidRDefault="005217D5" w:rsidP="00EF1133">
      <w:pPr>
        <w:pStyle w:val="NoSpacing"/>
        <w:rPr>
          <w:rFonts w:ascii="Arial Black" w:hAnsi="Arial Black"/>
          <w:sz w:val="24"/>
          <w:szCs w:val="24"/>
        </w:rPr>
      </w:pPr>
    </w:p>
    <w:p w14:paraId="1466AFB5" w14:textId="77777777" w:rsidR="005217D5" w:rsidRDefault="005217D5" w:rsidP="00EF1133">
      <w:pPr>
        <w:pStyle w:val="NoSpacing"/>
        <w:rPr>
          <w:rFonts w:ascii="Arial Black" w:hAnsi="Arial Black"/>
          <w:sz w:val="24"/>
          <w:szCs w:val="24"/>
        </w:rPr>
      </w:pPr>
    </w:p>
    <w:p w14:paraId="469D9803" w14:textId="77777777" w:rsidR="005217D5" w:rsidRDefault="005217D5" w:rsidP="00EF1133">
      <w:pPr>
        <w:pStyle w:val="NoSpacing"/>
        <w:rPr>
          <w:rFonts w:ascii="Arial Black" w:hAnsi="Arial Black"/>
          <w:sz w:val="24"/>
          <w:szCs w:val="24"/>
        </w:rPr>
      </w:pPr>
    </w:p>
    <w:p w14:paraId="05EAD169" w14:textId="426F65B5" w:rsidR="0077274E" w:rsidRDefault="00A82898" w:rsidP="00EF1133">
      <w:pPr>
        <w:pStyle w:val="NoSpacing"/>
        <w:rPr>
          <w:rFonts w:ascii="Arial Black" w:hAnsi="Arial Black"/>
          <w:sz w:val="24"/>
          <w:szCs w:val="24"/>
        </w:rPr>
      </w:pPr>
      <w:r>
        <w:rPr>
          <w:rFonts w:ascii="Arial Black" w:hAnsi="Arial Black"/>
          <w:sz w:val="24"/>
          <w:szCs w:val="24"/>
        </w:rPr>
        <w:t>2-33</w:t>
      </w:r>
    </w:p>
    <w:p w14:paraId="00E27B2B" w14:textId="77777777" w:rsidR="00A82898" w:rsidRPr="000C40ED" w:rsidRDefault="00A82898" w:rsidP="00A82898">
      <w:pPr>
        <w:pStyle w:val="Heading1"/>
        <w:rPr>
          <w:rFonts w:ascii="Arial Black" w:hAnsi="Arial Black"/>
          <w:sz w:val="28"/>
          <w:szCs w:val="28"/>
        </w:rPr>
      </w:pPr>
      <w:r>
        <w:rPr>
          <w:rFonts w:ascii="Arial Black" w:hAnsi="Arial Black"/>
          <w:sz w:val="28"/>
          <w:szCs w:val="28"/>
        </w:rPr>
        <w:t>OH: SCHOOL TEACHERS CARRY FIREARMS - MUST TAKE 25-HOURS TRAINING REQUIRED FOR SECURITY GUARDS</w:t>
      </w:r>
    </w:p>
    <w:p w14:paraId="79B0221D" w14:textId="0318763E" w:rsidR="00C52D60" w:rsidRDefault="00C52D60" w:rsidP="00C52D60">
      <w:pPr>
        <w:pStyle w:val="Heading1"/>
        <w:rPr>
          <w:b w:val="0"/>
          <w:bCs w:val="0"/>
          <w:sz w:val="24"/>
          <w:szCs w:val="24"/>
        </w:rPr>
      </w:pPr>
      <w:r>
        <w:rPr>
          <w:b w:val="0"/>
          <w:bCs w:val="0"/>
          <w:sz w:val="24"/>
          <w:szCs w:val="24"/>
        </w:rPr>
        <w:t xml:space="preserve">On June 23, 2021, in </w:t>
      </w:r>
      <w:r>
        <w:rPr>
          <w:b w:val="0"/>
          <w:bCs w:val="0"/>
          <w:sz w:val="24"/>
          <w:szCs w:val="24"/>
          <w:u w:val="single"/>
        </w:rPr>
        <w:t>Erin Gabbard et al. v. Madison Local School District Board of Education</w:t>
      </w:r>
      <w:r>
        <w:rPr>
          <w:b w:val="0"/>
          <w:bCs w:val="0"/>
          <w:sz w:val="24"/>
          <w:szCs w:val="24"/>
        </w:rPr>
        <w:t xml:space="preserve">, the Ohio Supreme Court held (4 to 3) that the School Board cannot authorize 10 teachers to carry concealed firearms while on duty unless they first comply with Ohio Peace Officer Training Commission (OPATC) training requirements for armed security officers: 700 hours, instead of 24-hours, at an approved OPOTC training facility.  </w:t>
      </w:r>
    </w:p>
    <w:p w14:paraId="7172B3CA" w14:textId="3795677E" w:rsidR="00A82898" w:rsidRDefault="00A82898" w:rsidP="00A82898">
      <w:pPr>
        <w:pStyle w:val="Heading1"/>
        <w:ind w:left="720"/>
        <w:rPr>
          <w:b w:val="0"/>
          <w:bCs w:val="0"/>
          <w:sz w:val="24"/>
          <w:szCs w:val="24"/>
        </w:rPr>
      </w:pPr>
      <w:r>
        <w:rPr>
          <w:b w:val="0"/>
          <w:bCs w:val="0"/>
          <w:sz w:val="24"/>
          <w:szCs w:val="24"/>
        </w:rPr>
        <w:t>“</w:t>
      </w:r>
      <w:r w:rsidRPr="000C40ED">
        <w:rPr>
          <w:b w:val="0"/>
          <w:bCs w:val="0"/>
          <w:sz w:val="24"/>
          <w:szCs w:val="24"/>
        </w:rPr>
        <w:t>A person might be hired as a teacher, but when that person agrees to go armed while teaching, his or her duties expand to encompass additional duties akin to those normally performed by special police officers and security guards.</w:t>
      </w:r>
    </w:p>
    <w:p w14:paraId="58684F3E" w14:textId="77777777" w:rsidR="00A82898" w:rsidRDefault="00A82898" w:rsidP="00A82898">
      <w:pPr>
        <w:pStyle w:val="Heading1"/>
        <w:ind w:firstLine="720"/>
        <w:rPr>
          <w:b w:val="0"/>
          <w:bCs w:val="0"/>
          <w:sz w:val="24"/>
          <w:szCs w:val="24"/>
        </w:rPr>
      </w:pPr>
      <w:r>
        <w:rPr>
          <w:b w:val="0"/>
          <w:bCs w:val="0"/>
          <w:sz w:val="24"/>
          <w:szCs w:val="24"/>
        </w:rPr>
        <w:t>***</w:t>
      </w:r>
    </w:p>
    <w:p w14:paraId="34B4F3B0" w14:textId="77777777" w:rsidR="00A82898" w:rsidRDefault="00A82898" w:rsidP="00A82898">
      <w:pPr>
        <w:pStyle w:val="Heading1"/>
        <w:ind w:left="720"/>
        <w:rPr>
          <w:b w:val="0"/>
          <w:bCs w:val="0"/>
          <w:sz w:val="24"/>
          <w:szCs w:val="24"/>
        </w:rPr>
      </w:pPr>
      <w:r w:rsidRPr="000C40ED">
        <w:rPr>
          <w:b w:val="0"/>
          <w:bCs w:val="0"/>
          <w:sz w:val="24"/>
          <w:szCs w:val="24"/>
        </w:rPr>
        <w:t>We conclude that R.C. 2923.122(D)(1)(a) does not clearly constitute a legislative grant of power for school boards to authorize their employees to go armed so long as the employees undergo whatever training a board might deem advisable.</w:t>
      </w:r>
    </w:p>
    <w:p w14:paraId="1CF56B93" w14:textId="77777777" w:rsidR="00A82898" w:rsidRDefault="00A82898" w:rsidP="00A82898">
      <w:pPr>
        <w:pStyle w:val="Heading1"/>
        <w:ind w:firstLine="720"/>
        <w:rPr>
          <w:b w:val="0"/>
          <w:bCs w:val="0"/>
          <w:sz w:val="24"/>
          <w:szCs w:val="24"/>
        </w:rPr>
      </w:pPr>
      <w:r>
        <w:rPr>
          <w:b w:val="0"/>
          <w:bCs w:val="0"/>
          <w:sz w:val="24"/>
          <w:szCs w:val="24"/>
        </w:rPr>
        <w:t>***</w:t>
      </w:r>
    </w:p>
    <w:p w14:paraId="0E2CA891" w14:textId="77777777" w:rsidR="00A82898" w:rsidRDefault="00A82898" w:rsidP="00A82898">
      <w:pPr>
        <w:pStyle w:val="Heading1"/>
        <w:ind w:left="720"/>
        <w:rPr>
          <w:b w:val="0"/>
          <w:bCs w:val="0"/>
          <w:sz w:val="24"/>
          <w:szCs w:val="24"/>
        </w:rPr>
      </w:pPr>
      <w:r w:rsidRPr="000C40ED">
        <w:rPr>
          <w:b w:val="0"/>
          <w:bCs w:val="0"/>
          <w:sz w:val="24"/>
          <w:szCs w:val="24"/>
        </w:rPr>
        <w:t xml:space="preserve">Unlike other state legislatures that have responded to more recent calls to arm teachers and other school staff by enacting legislation that is specifically tailored to that issue, see, e.g., </w:t>
      </w:r>
      <w:proofErr w:type="spellStart"/>
      <w:r w:rsidRPr="000C40ED">
        <w:rPr>
          <w:b w:val="0"/>
          <w:bCs w:val="0"/>
          <w:sz w:val="24"/>
          <w:szCs w:val="24"/>
        </w:rPr>
        <w:t>Kan.Stat.Ann</w:t>
      </w:r>
      <w:proofErr w:type="spellEnd"/>
      <w:r w:rsidRPr="000C40ED">
        <w:rPr>
          <w:b w:val="0"/>
          <w:bCs w:val="0"/>
          <w:sz w:val="24"/>
          <w:szCs w:val="24"/>
        </w:rPr>
        <w:t xml:space="preserve">. 75-7c10(d)(1), </w:t>
      </w:r>
      <w:proofErr w:type="spellStart"/>
      <w:r w:rsidRPr="000C40ED">
        <w:rPr>
          <w:b w:val="0"/>
          <w:bCs w:val="0"/>
          <w:sz w:val="24"/>
          <w:szCs w:val="24"/>
        </w:rPr>
        <w:t>S.D.Codified</w:t>
      </w:r>
      <w:proofErr w:type="spellEnd"/>
      <w:r w:rsidRPr="000C40ED">
        <w:rPr>
          <w:b w:val="0"/>
          <w:bCs w:val="0"/>
          <w:sz w:val="24"/>
          <w:szCs w:val="24"/>
        </w:rPr>
        <w:t xml:space="preserve"> Laws 13-64-1, </w:t>
      </w:r>
      <w:proofErr w:type="spellStart"/>
      <w:r w:rsidRPr="000C40ED">
        <w:rPr>
          <w:b w:val="0"/>
          <w:bCs w:val="0"/>
          <w:sz w:val="24"/>
          <w:szCs w:val="24"/>
        </w:rPr>
        <w:t>Tenn.Code</w:t>
      </w:r>
      <w:proofErr w:type="spellEnd"/>
      <w:r w:rsidRPr="000C40ED">
        <w:rPr>
          <w:b w:val="0"/>
          <w:bCs w:val="0"/>
          <w:sz w:val="24"/>
          <w:szCs w:val="24"/>
        </w:rPr>
        <w:t xml:space="preserve"> Ann. 49-6-815, and </w:t>
      </w:r>
      <w:proofErr w:type="spellStart"/>
      <w:r w:rsidRPr="000C40ED">
        <w:rPr>
          <w:b w:val="0"/>
          <w:bCs w:val="0"/>
          <w:sz w:val="24"/>
          <w:szCs w:val="24"/>
        </w:rPr>
        <w:t>Tex.Educ.Code</w:t>
      </w:r>
      <w:proofErr w:type="spellEnd"/>
      <w:r w:rsidRPr="000C40ED">
        <w:rPr>
          <w:b w:val="0"/>
          <w:bCs w:val="0"/>
          <w:sz w:val="24"/>
          <w:szCs w:val="24"/>
        </w:rPr>
        <w:t xml:space="preserve"> Ann. 37.0811, the General Assembly has not done so.</w:t>
      </w:r>
      <w:r>
        <w:rPr>
          <w:b w:val="0"/>
          <w:bCs w:val="0"/>
          <w:sz w:val="24"/>
          <w:szCs w:val="24"/>
        </w:rPr>
        <w:t xml:space="preserve">  3.</w:t>
      </w:r>
    </w:p>
    <w:p w14:paraId="624B850F" w14:textId="77777777" w:rsidR="00A82898" w:rsidRPr="003D5D8C" w:rsidRDefault="00A82898" w:rsidP="00A82898">
      <w:pPr>
        <w:pStyle w:val="Heading1"/>
        <w:ind w:left="1440"/>
        <w:rPr>
          <w:b w:val="0"/>
          <w:bCs w:val="0"/>
          <w:sz w:val="24"/>
          <w:szCs w:val="24"/>
        </w:rPr>
      </w:pPr>
      <w:r w:rsidRPr="00DA092A">
        <w:rPr>
          <w:b w:val="0"/>
          <w:bCs w:val="0"/>
          <w:sz w:val="24"/>
          <w:szCs w:val="24"/>
        </w:rPr>
        <w:t xml:space="preserve">Footnote 3. There is currently pending in the General Assembly a bill that would exclude from R.C. 109.78(D)’s training-or-experience requirement teachers and other school employees whom a school board authorizes to carry a firearm while on duty. See 2021 H.B. No. 99. As introduced, the bill states an express intention to overrule the Twelfth District Court of Appeals’ decision below in this case.  </w:t>
      </w:r>
      <w:hyperlink r:id="rId544" w:history="1">
        <w:r w:rsidRPr="003D5D8C">
          <w:rPr>
            <w:rStyle w:val="Hyperlink"/>
            <w:sz w:val="24"/>
            <w:szCs w:val="24"/>
          </w:rPr>
          <w:t>https://www.supremecourt.ohio.gov/rod/docs/pdf/0/2021/2021-Ohio-2067.pdf</w:t>
        </w:r>
      </w:hyperlink>
      <w:r w:rsidRPr="003D5D8C">
        <w:rPr>
          <w:b w:val="0"/>
          <w:bCs w:val="0"/>
          <w:sz w:val="24"/>
          <w:szCs w:val="24"/>
        </w:rPr>
        <w:t xml:space="preserve"> </w:t>
      </w:r>
    </w:p>
    <w:p w14:paraId="063C8E1C" w14:textId="77777777" w:rsidR="00A82898" w:rsidRDefault="00A82898" w:rsidP="00A82898">
      <w:pPr>
        <w:pStyle w:val="Heading1"/>
        <w:rPr>
          <w:sz w:val="24"/>
          <w:szCs w:val="24"/>
        </w:rPr>
      </w:pPr>
      <w:r w:rsidRPr="008A7D9D">
        <w:rPr>
          <w:sz w:val="24"/>
          <w:szCs w:val="24"/>
        </w:rPr>
        <w:t xml:space="preserve">Legal Lesson Learned: </w:t>
      </w:r>
      <w:r>
        <w:rPr>
          <w:sz w:val="24"/>
          <w:szCs w:val="24"/>
        </w:rPr>
        <w:t xml:space="preserve">Fire &amp; EMS departments should issue a policy on </w:t>
      </w:r>
      <w:proofErr w:type="gramStart"/>
      <w:r>
        <w:rPr>
          <w:sz w:val="24"/>
          <w:szCs w:val="24"/>
        </w:rPr>
        <w:t>whether on</w:t>
      </w:r>
      <w:proofErr w:type="gramEnd"/>
      <w:r>
        <w:rPr>
          <w:sz w:val="24"/>
          <w:szCs w:val="24"/>
        </w:rPr>
        <w:t xml:space="preserve"> duty personnel may possess firearms, and minimum training required. </w:t>
      </w:r>
    </w:p>
    <w:p w14:paraId="5C246CBC" w14:textId="77777777" w:rsidR="00A82898" w:rsidRPr="00B14793" w:rsidRDefault="00A82898" w:rsidP="00A82898">
      <w:pPr>
        <w:pStyle w:val="NoSpacing"/>
        <w:ind w:left="720"/>
        <w:rPr>
          <w:rFonts w:ascii="Times New Roman" w:hAnsi="Times New Roman"/>
          <w:sz w:val="24"/>
          <w:szCs w:val="24"/>
        </w:rPr>
      </w:pPr>
      <w:r w:rsidRPr="00DA092A">
        <w:rPr>
          <w:rFonts w:ascii="Times New Roman" w:hAnsi="Times New Roman"/>
          <w:sz w:val="24"/>
          <w:szCs w:val="24"/>
        </w:rPr>
        <w:t xml:space="preserve">See this </w:t>
      </w:r>
      <w:r>
        <w:rPr>
          <w:rFonts w:ascii="Times New Roman" w:hAnsi="Times New Roman"/>
          <w:sz w:val="24"/>
          <w:szCs w:val="24"/>
        </w:rPr>
        <w:t xml:space="preserve">Dec. 1, </w:t>
      </w:r>
      <w:proofErr w:type="gramStart"/>
      <w:r>
        <w:rPr>
          <w:rFonts w:ascii="Times New Roman" w:hAnsi="Times New Roman"/>
          <w:sz w:val="24"/>
          <w:szCs w:val="24"/>
        </w:rPr>
        <w:t>2019</w:t>
      </w:r>
      <w:proofErr w:type="gramEnd"/>
      <w:r>
        <w:rPr>
          <w:rFonts w:ascii="Times New Roman" w:hAnsi="Times New Roman"/>
          <w:sz w:val="24"/>
          <w:szCs w:val="24"/>
        </w:rPr>
        <w:t xml:space="preserve"> </w:t>
      </w:r>
      <w:r w:rsidRPr="00DA092A">
        <w:rPr>
          <w:rFonts w:ascii="Times New Roman" w:hAnsi="Times New Roman"/>
          <w:sz w:val="24"/>
          <w:szCs w:val="24"/>
        </w:rPr>
        <w:t>article: “Fire Law: Should Firefighters Be Armed?” Curt Varone explains the challenges of the decision to allow members of a fire department to carry a firearm while on duty.</w:t>
      </w:r>
      <w:r>
        <w:rPr>
          <w:rFonts w:ascii="Times New Roman" w:hAnsi="Times New Roman"/>
          <w:sz w:val="24"/>
          <w:szCs w:val="24"/>
        </w:rPr>
        <w:t xml:space="preserve"> </w:t>
      </w:r>
      <w:hyperlink r:id="rId545" w:history="1">
        <w:r w:rsidRPr="00B14793">
          <w:rPr>
            <w:rStyle w:val="Hyperlink"/>
            <w:sz w:val="24"/>
            <w:szCs w:val="24"/>
          </w:rPr>
          <w:t>https://www.firehouse.com/operations-training/article/21112973/fire-law-should-firefighters-be-armed</w:t>
        </w:r>
      </w:hyperlink>
      <w:r w:rsidRPr="00B14793">
        <w:rPr>
          <w:rFonts w:ascii="Times New Roman" w:hAnsi="Times New Roman"/>
          <w:sz w:val="24"/>
          <w:szCs w:val="24"/>
        </w:rPr>
        <w:t xml:space="preserve"> </w:t>
      </w:r>
    </w:p>
    <w:p w14:paraId="7C6C5AB6" w14:textId="77777777" w:rsidR="00A82898" w:rsidRDefault="00A82898" w:rsidP="00A82898">
      <w:pPr>
        <w:pStyle w:val="NormalWeb"/>
        <w:spacing w:before="0" w:beforeAutospacing="0" w:after="0" w:afterAutospacing="0" w:line="255" w:lineRule="atLeast"/>
        <w:rPr>
          <w:rStyle w:val="markedcontent"/>
        </w:rPr>
      </w:pPr>
    </w:p>
    <w:p w14:paraId="482D9514" w14:textId="77777777" w:rsidR="00A82898" w:rsidRDefault="00A82898" w:rsidP="00EF1133">
      <w:pPr>
        <w:pStyle w:val="NoSpacing"/>
        <w:rPr>
          <w:rFonts w:ascii="Arial Black" w:hAnsi="Arial Black"/>
          <w:sz w:val="24"/>
          <w:szCs w:val="24"/>
        </w:rPr>
      </w:pPr>
    </w:p>
    <w:p w14:paraId="48B9A522" w14:textId="77777777" w:rsidR="00A82898" w:rsidRDefault="00A82898" w:rsidP="00EF1133">
      <w:pPr>
        <w:pStyle w:val="NoSpacing"/>
        <w:rPr>
          <w:rFonts w:ascii="Arial Black" w:hAnsi="Arial Black"/>
          <w:sz w:val="24"/>
          <w:szCs w:val="24"/>
        </w:rPr>
      </w:pPr>
    </w:p>
    <w:p w14:paraId="1E72C7DE" w14:textId="17BD001A" w:rsidR="0077274E" w:rsidRDefault="0077274E" w:rsidP="00EF1133">
      <w:pPr>
        <w:pStyle w:val="NoSpacing"/>
        <w:rPr>
          <w:rFonts w:ascii="Arial Black" w:hAnsi="Arial Black"/>
          <w:sz w:val="24"/>
          <w:szCs w:val="24"/>
        </w:rPr>
      </w:pPr>
      <w:r>
        <w:rPr>
          <w:rFonts w:ascii="Arial Black" w:hAnsi="Arial Black"/>
          <w:sz w:val="24"/>
          <w:szCs w:val="24"/>
        </w:rPr>
        <w:t>2-32</w:t>
      </w:r>
    </w:p>
    <w:p w14:paraId="5002D415" w14:textId="77777777" w:rsidR="0077274E" w:rsidRDefault="0077274E" w:rsidP="0077274E">
      <w:pPr>
        <w:pStyle w:val="gntarbp"/>
        <w:rPr>
          <w:rFonts w:ascii="Arial Black" w:hAnsi="Arial Black"/>
          <w:sz w:val="28"/>
          <w:szCs w:val="28"/>
        </w:rPr>
      </w:pPr>
      <w:r>
        <w:rPr>
          <w:rFonts w:ascii="Arial Black" w:hAnsi="Arial Black"/>
          <w:sz w:val="28"/>
          <w:szCs w:val="28"/>
        </w:rPr>
        <w:t>PA: ARSON CONV. SET ASIDE (3 FF LODD 1995) – ATF PAID REWARDS 2 WIT – NEW FED. CASE, NOT DOUBLE JEOPARDY</w:t>
      </w:r>
    </w:p>
    <w:p w14:paraId="178F06FE" w14:textId="77777777" w:rsidR="0077274E" w:rsidRPr="00E44388" w:rsidRDefault="0077274E" w:rsidP="0077274E">
      <w:pPr>
        <w:rPr>
          <w:rFonts w:ascii="Times New Roman" w:hAnsi="Times New Roman"/>
          <w:sz w:val="24"/>
          <w:szCs w:val="24"/>
        </w:rPr>
      </w:pPr>
      <w:r w:rsidRPr="00E44388">
        <w:rPr>
          <w:rFonts w:ascii="Times New Roman" w:hAnsi="Times New Roman"/>
          <w:sz w:val="24"/>
          <w:szCs w:val="24"/>
        </w:rPr>
        <w:t xml:space="preserve">On April 13, 2021, in </w:t>
      </w:r>
      <w:r w:rsidRPr="00E44388">
        <w:rPr>
          <w:rFonts w:ascii="Times New Roman" w:hAnsi="Times New Roman"/>
          <w:sz w:val="24"/>
          <w:szCs w:val="24"/>
          <w:u w:val="single"/>
        </w:rPr>
        <w:t>United States of America v. Gregory Brown, Jr</w:t>
      </w:r>
      <w:r w:rsidRPr="00E44388">
        <w:rPr>
          <w:rFonts w:ascii="Times New Roman" w:hAnsi="Times New Roman"/>
          <w:sz w:val="24"/>
          <w:szCs w:val="24"/>
        </w:rPr>
        <w:t xml:space="preserve">., the U.S. Court of Appeals for Third Circuit (Philadelphia) held 3-0 that the defendant, serving a life sentence for starting fire in his mother’s apartment </w:t>
      </w:r>
      <w:r>
        <w:rPr>
          <w:rFonts w:ascii="Times New Roman" w:hAnsi="Times New Roman"/>
          <w:sz w:val="24"/>
          <w:szCs w:val="24"/>
        </w:rPr>
        <w:t xml:space="preserve">on Feb. 14, </w:t>
      </w:r>
      <w:proofErr w:type="gramStart"/>
      <w:r>
        <w:rPr>
          <w:rFonts w:ascii="Times New Roman" w:hAnsi="Times New Roman"/>
          <w:sz w:val="24"/>
          <w:szCs w:val="24"/>
        </w:rPr>
        <w:t>1995</w:t>
      </w:r>
      <w:proofErr w:type="gramEnd"/>
      <w:r>
        <w:rPr>
          <w:rFonts w:ascii="Times New Roman" w:hAnsi="Times New Roman"/>
          <w:sz w:val="24"/>
          <w:szCs w:val="24"/>
        </w:rPr>
        <w:t xml:space="preserve"> </w:t>
      </w:r>
      <w:r w:rsidRPr="00E44388">
        <w:rPr>
          <w:rFonts w:ascii="Times New Roman" w:hAnsi="Times New Roman"/>
          <w:sz w:val="24"/>
          <w:szCs w:val="24"/>
        </w:rPr>
        <w:t>to collect renters</w:t>
      </w:r>
      <w:r>
        <w:rPr>
          <w:rFonts w:ascii="Times New Roman" w:hAnsi="Times New Roman"/>
          <w:sz w:val="24"/>
          <w:szCs w:val="24"/>
        </w:rPr>
        <w:t>’</w:t>
      </w:r>
      <w:r w:rsidRPr="00E44388">
        <w:rPr>
          <w:rFonts w:ascii="Times New Roman" w:hAnsi="Times New Roman"/>
          <w:sz w:val="24"/>
          <w:szCs w:val="24"/>
        </w:rPr>
        <w:t xml:space="preserve"> insurance can be re-tried</w:t>
      </w:r>
      <w:r>
        <w:rPr>
          <w:rFonts w:ascii="Times New Roman" w:hAnsi="Times New Roman"/>
          <w:sz w:val="24"/>
          <w:szCs w:val="24"/>
        </w:rPr>
        <w:t xml:space="preserve">, this time in Federal court.  Three firefighters were killed when a staircase collapsed. The state convictions were set aside 20 years after the convictions, when it was discovered that two witnesses were paid rewards by the ATF </w:t>
      </w:r>
      <w:proofErr w:type="spellStart"/>
      <w:r>
        <w:rPr>
          <w:rFonts w:ascii="Times New Roman" w:hAnsi="Times New Roman"/>
          <w:sz w:val="24"/>
          <w:szCs w:val="24"/>
        </w:rPr>
        <w:t>post trial</w:t>
      </w:r>
      <w:proofErr w:type="spellEnd"/>
      <w:r>
        <w:rPr>
          <w:rFonts w:ascii="Times New Roman" w:hAnsi="Times New Roman"/>
          <w:sz w:val="24"/>
          <w:szCs w:val="24"/>
        </w:rPr>
        <w:t xml:space="preserve"> ($10,000 and $5,000) even though they testified that no rewards were expected.  </w:t>
      </w:r>
      <w:r w:rsidRPr="00E44388">
        <w:rPr>
          <w:rFonts w:ascii="Times New Roman" w:hAnsi="Times New Roman"/>
          <w:sz w:val="24"/>
          <w:szCs w:val="24"/>
        </w:rPr>
        <w:t>This time he was indicted in Federal court destruction of property by fire resulting in death under 18 U.S.C. §844(</w:t>
      </w:r>
      <w:proofErr w:type="spellStart"/>
      <w:r w:rsidRPr="00E44388">
        <w:rPr>
          <w:rFonts w:ascii="Times New Roman" w:hAnsi="Times New Roman"/>
          <w:sz w:val="24"/>
          <w:szCs w:val="24"/>
        </w:rPr>
        <w:t>i</w:t>
      </w:r>
      <w:proofErr w:type="spellEnd"/>
      <w:r w:rsidRPr="00E44388">
        <w:rPr>
          <w:rFonts w:ascii="Times New Roman" w:hAnsi="Times New Roman"/>
          <w:sz w:val="24"/>
          <w:szCs w:val="24"/>
        </w:rPr>
        <w:t>).</w:t>
      </w:r>
      <w:r>
        <w:rPr>
          <w:rFonts w:ascii="Times New Roman" w:hAnsi="Times New Roman"/>
          <w:sz w:val="24"/>
          <w:szCs w:val="24"/>
        </w:rPr>
        <w:t xml:space="preserve"> </w:t>
      </w:r>
    </w:p>
    <w:p w14:paraId="650C09A6" w14:textId="77777777" w:rsidR="0077274E" w:rsidRPr="00A30885" w:rsidRDefault="0077274E" w:rsidP="0077274E">
      <w:pPr>
        <w:pStyle w:val="Heading1"/>
        <w:ind w:left="1440"/>
        <w:rPr>
          <w:b w:val="0"/>
          <w:bCs w:val="0"/>
          <w:sz w:val="24"/>
          <w:szCs w:val="24"/>
        </w:rPr>
      </w:pPr>
      <w:r w:rsidRPr="00A30885">
        <w:rPr>
          <w:b w:val="0"/>
          <w:bCs w:val="0"/>
          <w:sz w:val="24"/>
          <w:szCs w:val="24"/>
        </w:rPr>
        <w:t>“[R]</w:t>
      </w:r>
      <w:proofErr w:type="spellStart"/>
      <w:r w:rsidRPr="00A30885">
        <w:rPr>
          <w:b w:val="0"/>
          <w:bCs w:val="0"/>
          <w:sz w:val="24"/>
          <w:szCs w:val="24"/>
        </w:rPr>
        <w:t>etrying</w:t>
      </w:r>
      <w:proofErr w:type="spellEnd"/>
      <w:r w:rsidRPr="00A30885">
        <w:rPr>
          <w:b w:val="0"/>
          <w:bCs w:val="0"/>
          <w:sz w:val="24"/>
          <w:szCs w:val="24"/>
        </w:rPr>
        <w:t xml:space="preserve"> a defendant because the conviction was reversed for trial error is not a second jeopardy. Regardless of whether it proceeds in state or federal court, Brown’s second prosecution does not violate the Double Jeopardy Clause. The District Court did not err in denying Brown’s motion to dismiss the indictment and his motion to compel discovery on the dual-sovereignty issue, so we will affirm.</w:t>
      </w:r>
    </w:p>
    <w:p w14:paraId="19DB1B2B" w14:textId="77777777" w:rsidR="0077274E" w:rsidRDefault="0077274E" w:rsidP="0077274E">
      <w:r>
        <w:tab/>
      </w:r>
      <w:r>
        <w:tab/>
        <w:t>***</w:t>
      </w:r>
    </w:p>
    <w:p w14:paraId="05AE0FC0" w14:textId="77777777" w:rsidR="0077274E" w:rsidRPr="00E44388" w:rsidRDefault="0077274E" w:rsidP="0077274E">
      <w:pPr>
        <w:ind w:left="1440"/>
        <w:rPr>
          <w:rFonts w:ascii="Times New Roman" w:hAnsi="Times New Roman"/>
          <w:sz w:val="24"/>
          <w:szCs w:val="24"/>
        </w:rPr>
      </w:pPr>
      <w:r w:rsidRPr="00E12A9E">
        <w:rPr>
          <w:rFonts w:ascii="Times New Roman" w:hAnsi="Times New Roman"/>
          <w:sz w:val="24"/>
          <w:szCs w:val="24"/>
        </w:rPr>
        <w:t>The Double Jeopardy Clause says</w:t>
      </w:r>
      <w:r>
        <w:rPr>
          <w:rFonts w:ascii="Times New Roman" w:hAnsi="Times New Roman"/>
          <w:sz w:val="24"/>
          <w:szCs w:val="24"/>
        </w:rPr>
        <w:t xml:space="preserve"> </w:t>
      </w:r>
      <w:r w:rsidRPr="00E12A9E">
        <w:rPr>
          <w:rFonts w:ascii="Times New Roman" w:hAnsi="Times New Roman"/>
          <w:sz w:val="24"/>
          <w:szCs w:val="24"/>
        </w:rPr>
        <w:t>that no person</w:t>
      </w:r>
      <w:r>
        <w:rPr>
          <w:rFonts w:ascii="Times New Roman" w:hAnsi="Times New Roman"/>
          <w:sz w:val="24"/>
          <w:szCs w:val="24"/>
        </w:rPr>
        <w:t xml:space="preserve"> </w:t>
      </w:r>
      <w:r w:rsidRPr="00E12A9E">
        <w:rPr>
          <w:rFonts w:ascii="Times New Roman" w:hAnsi="Times New Roman"/>
          <w:sz w:val="24"/>
          <w:szCs w:val="24"/>
        </w:rPr>
        <w:t xml:space="preserve">shall </w:t>
      </w:r>
      <w:r>
        <w:rPr>
          <w:rFonts w:ascii="Times New Roman" w:hAnsi="Times New Roman"/>
          <w:sz w:val="24"/>
          <w:szCs w:val="24"/>
        </w:rPr>
        <w:t>‘</w:t>
      </w:r>
      <w:r w:rsidRPr="00E12A9E">
        <w:rPr>
          <w:rFonts w:ascii="Times New Roman" w:hAnsi="Times New Roman"/>
          <w:sz w:val="24"/>
          <w:szCs w:val="24"/>
        </w:rPr>
        <w:t xml:space="preserve">be subject </w:t>
      </w:r>
      <w:proofErr w:type="gramStart"/>
      <w:r w:rsidRPr="00E12A9E">
        <w:rPr>
          <w:rFonts w:ascii="Times New Roman" w:hAnsi="Times New Roman"/>
          <w:sz w:val="24"/>
          <w:szCs w:val="24"/>
        </w:rPr>
        <w:t>for</w:t>
      </w:r>
      <w:proofErr w:type="gramEnd"/>
      <w:r w:rsidRPr="00E12A9E">
        <w:rPr>
          <w:rFonts w:ascii="Times New Roman" w:hAnsi="Times New Roman"/>
          <w:sz w:val="24"/>
          <w:szCs w:val="24"/>
        </w:rPr>
        <w:t xml:space="preserve"> the same offence to be twice put in jeopardy of life or limb.</w:t>
      </w:r>
      <w:r>
        <w:rPr>
          <w:rFonts w:ascii="Times New Roman" w:hAnsi="Times New Roman"/>
          <w:sz w:val="24"/>
          <w:szCs w:val="24"/>
        </w:rPr>
        <w:t xml:space="preserve">’ </w:t>
      </w:r>
      <w:r w:rsidRPr="00E12A9E">
        <w:rPr>
          <w:rFonts w:ascii="Times New Roman" w:hAnsi="Times New Roman"/>
          <w:sz w:val="24"/>
          <w:szCs w:val="24"/>
        </w:rPr>
        <w:t xml:space="preserve">U.S. Const. </w:t>
      </w:r>
      <w:proofErr w:type="gramStart"/>
      <w:r w:rsidRPr="00E12A9E">
        <w:rPr>
          <w:rFonts w:ascii="Times New Roman" w:hAnsi="Times New Roman"/>
          <w:sz w:val="24"/>
          <w:szCs w:val="24"/>
        </w:rPr>
        <w:t>amend</w:t>
      </w:r>
      <w:proofErr w:type="gramEnd"/>
      <w:r w:rsidRPr="00E12A9E">
        <w:rPr>
          <w:rFonts w:ascii="Times New Roman" w:hAnsi="Times New Roman"/>
          <w:sz w:val="24"/>
          <w:szCs w:val="24"/>
        </w:rPr>
        <w:t>. V. But the clause’s prohibition against a second prosecution for the same offense is not absolute. Two examples are relevant here. First,</w:t>
      </w:r>
      <w:r>
        <w:rPr>
          <w:rFonts w:ascii="Times New Roman" w:hAnsi="Times New Roman"/>
          <w:sz w:val="24"/>
          <w:szCs w:val="24"/>
        </w:rPr>
        <w:t xml:space="preserve"> </w:t>
      </w:r>
      <w:r w:rsidRPr="00E12A9E">
        <w:rPr>
          <w:rFonts w:ascii="Times New Roman" w:hAnsi="Times New Roman"/>
          <w:sz w:val="24"/>
          <w:szCs w:val="24"/>
        </w:rPr>
        <w:t xml:space="preserve">under the trial-error rule, the Double Jeopardy Clause </w:t>
      </w:r>
      <w:r>
        <w:rPr>
          <w:rFonts w:ascii="Times New Roman" w:hAnsi="Times New Roman"/>
          <w:sz w:val="24"/>
          <w:szCs w:val="24"/>
        </w:rPr>
        <w:t>‘</w:t>
      </w:r>
      <w:r w:rsidRPr="00E12A9E">
        <w:rPr>
          <w:rFonts w:ascii="Times New Roman" w:hAnsi="Times New Roman"/>
          <w:sz w:val="24"/>
          <w:szCs w:val="24"/>
        </w:rPr>
        <w:t xml:space="preserve">does not prevent the government from retrying a defendant who succeeds in getting his first conviction set aside, through direct appeal or collateral attack, because of some error in the proceedings leading to </w:t>
      </w:r>
      <w:proofErr w:type="gramStart"/>
      <w:r w:rsidRPr="00E12A9E">
        <w:rPr>
          <w:rFonts w:ascii="Times New Roman" w:hAnsi="Times New Roman"/>
          <w:sz w:val="24"/>
          <w:szCs w:val="24"/>
        </w:rPr>
        <w:t>conviction.</w:t>
      </w:r>
      <w:r>
        <w:rPr>
          <w:rFonts w:ascii="Times New Roman" w:hAnsi="Times New Roman"/>
          <w:sz w:val="24"/>
          <w:szCs w:val="24"/>
        </w:rPr>
        <w:t>’</w:t>
      </w:r>
      <w:proofErr w:type="gramEnd"/>
      <w:r w:rsidRPr="00E12A9E">
        <w:rPr>
          <w:rFonts w:ascii="Times New Roman" w:hAnsi="Times New Roman"/>
          <w:sz w:val="24"/>
          <w:szCs w:val="24"/>
        </w:rPr>
        <w:t xml:space="preserve"> Lockhart v. Nelson, 488 U.S. 33, 38 (1988). Second,</w:t>
      </w:r>
      <w:r>
        <w:rPr>
          <w:rFonts w:ascii="Times New Roman" w:hAnsi="Times New Roman"/>
          <w:sz w:val="24"/>
          <w:szCs w:val="24"/>
        </w:rPr>
        <w:t xml:space="preserve"> </w:t>
      </w:r>
      <w:r w:rsidRPr="00E12A9E">
        <w:rPr>
          <w:rFonts w:ascii="Times New Roman" w:hAnsi="Times New Roman"/>
          <w:sz w:val="24"/>
          <w:szCs w:val="24"/>
        </w:rPr>
        <w:t>the dual-sovereignty principle allows a federal indictment for the same conduct</w:t>
      </w:r>
      <w:r>
        <w:rPr>
          <w:rFonts w:ascii="Times New Roman" w:hAnsi="Times New Roman"/>
          <w:sz w:val="24"/>
          <w:szCs w:val="24"/>
        </w:rPr>
        <w:t xml:space="preserve"> </w:t>
      </w:r>
      <w:r w:rsidRPr="00E12A9E">
        <w:rPr>
          <w:rFonts w:ascii="Times New Roman" w:hAnsi="Times New Roman"/>
          <w:sz w:val="24"/>
          <w:szCs w:val="24"/>
        </w:rPr>
        <w:t xml:space="preserve">punished under state law—and vice versa—because the two prosecutions, under different sovereigns, are not </w:t>
      </w:r>
      <w:r>
        <w:rPr>
          <w:rFonts w:ascii="Times New Roman" w:hAnsi="Times New Roman"/>
          <w:sz w:val="24"/>
          <w:szCs w:val="24"/>
        </w:rPr>
        <w:t>‘</w:t>
      </w:r>
      <w:r w:rsidRPr="00E12A9E">
        <w:rPr>
          <w:rFonts w:ascii="Times New Roman" w:hAnsi="Times New Roman"/>
          <w:sz w:val="24"/>
          <w:szCs w:val="24"/>
        </w:rPr>
        <w:t>for the same offence.</w:t>
      </w:r>
      <w:r>
        <w:rPr>
          <w:rFonts w:ascii="Times New Roman" w:hAnsi="Times New Roman"/>
          <w:sz w:val="24"/>
          <w:szCs w:val="24"/>
        </w:rPr>
        <w:t>’</w:t>
      </w:r>
      <w:r w:rsidRPr="00E12A9E">
        <w:rPr>
          <w:rFonts w:ascii="Times New Roman" w:hAnsi="Times New Roman"/>
          <w:sz w:val="24"/>
          <w:szCs w:val="24"/>
        </w:rPr>
        <w:t xml:space="preserve"> U.S. Const. </w:t>
      </w:r>
      <w:proofErr w:type="gramStart"/>
      <w:r w:rsidRPr="00E12A9E">
        <w:rPr>
          <w:rFonts w:ascii="Times New Roman" w:hAnsi="Times New Roman"/>
          <w:sz w:val="24"/>
          <w:szCs w:val="24"/>
        </w:rPr>
        <w:t>amend</w:t>
      </w:r>
      <w:proofErr w:type="gramEnd"/>
      <w:r w:rsidRPr="00E12A9E">
        <w:rPr>
          <w:rFonts w:ascii="Times New Roman" w:hAnsi="Times New Roman"/>
          <w:sz w:val="24"/>
          <w:szCs w:val="24"/>
        </w:rPr>
        <w:t>. V; Gamble, 139 S. Ct. at1965–66.</w:t>
      </w:r>
      <w:r>
        <w:rPr>
          <w:rFonts w:ascii="Times New Roman" w:hAnsi="Times New Roman"/>
          <w:sz w:val="24"/>
          <w:szCs w:val="24"/>
        </w:rPr>
        <w:t xml:space="preserve">”  </w:t>
      </w:r>
      <w:hyperlink r:id="rId546" w:history="1">
        <w:r w:rsidRPr="0041276B">
          <w:rPr>
            <w:rStyle w:val="Hyperlink"/>
            <w:rFonts w:ascii="Times New Roman" w:hAnsi="Times New Roman"/>
            <w:sz w:val="24"/>
            <w:szCs w:val="24"/>
          </w:rPr>
          <w:t>https://www2.ca3.uscourts.gov/opinarch/201734p.pdf</w:t>
        </w:r>
      </w:hyperlink>
      <w:r w:rsidRPr="00E44388">
        <w:rPr>
          <w:rFonts w:ascii="Times New Roman" w:hAnsi="Times New Roman"/>
          <w:sz w:val="24"/>
          <w:szCs w:val="24"/>
        </w:rPr>
        <w:t xml:space="preserve"> </w:t>
      </w:r>
    </w:p>
    <w:p w14:paraId="04481FBF" w14:textId="77777777" w:rsidR="0077274E" w:rsidRPr="003346FA" w:rsidRDefault="0077274E" w:rsidP="0077274E">
      <w:pPr>
        <w:rPr>
          <w:rFonts w:ascii="Times New Roman" w:hAnsi="Times New Roman"/>
          <w:b/>
          <w:bCs/>
          <w:sz w:val="24"/>
          <w:szCs w:val="24"/>
        </w:rPr>
      </w:pPr>
      <w:r w:rsidRPr="003346FA">
        <w:rPr>
          <w:rFonts w:ascii="Times New Roman" w:hAnsi="Times New Roman"/>
          <w:b/>
          <w:bCs/>
          <w:sz w:val="24"/>
          <w:szCs w:val="24"/>
        </w:rPr>
        <w:t>Legal Lesson Learned:</w:t>
      </w:r>
      <w:r>
        <w:rPr>
          <w:rFonts w:ascii="Times New Roman" w:hAnsi="Times New Roman"/>
          <w:b/>
          <w:bCs/>
          <w:sz w:val="24"/>
          <w:szCs w:val="24"/>
        </w:rPr>
        <w:t xml:space="preserve">  Double jeopardy does not apply to second charges in Federal court, after state charges were set aside. When ATF or other agency offers a reward for information on an arson, the Prosecution must disclose to defense counsel at trial whether any witnesses will be paid the reward.   </w:t>
      </w:r>
    </w:p>
    <w:p w14:paraId="5DF688D3" w14:textId="77777777" w:rsidR="0077274E" w:rsidRDefault="0077274E" w:rsidP="0077274E">
      <w:pPr>
        <w:ind w:left="720" w:firstLine="720"/>
        <w:rPr>
          <w:rFonts w:ascii="Times New Roman" w:hAnsi="Times New Roman"/>
          <w:sz w:val="24"/>
          <w:szCs w:val="24"/>
        </w:rPr>
      </w:pPr>
      <w:r>
        <w:rPr>
          <w:rFonts w:ascii="Times New Roman" w:hAnsi="Times New Roman"/>
          <w:sz w:val="24"/>
          <w:szCs w:val="24"/>
        </w:rPr>
        <w:t xml:space="preserve">Note: See article on the case: </w:t>
      </w:r>
    </w:p>
    <w:p w14:paraId="55EBE775" w14:textId="77777777" w:rsidR="0077274E" w:rsidRPr="0077274E" w:rsidRDefault="0077274E" w:rsidP="0077274E">
      <w:pPr>
        <w:pStyle w:val="Heading1"/>
        <w:ind w:left="1440"/>
        <w:rPr>
          <w:b w:val="0"/>
          <w:bCs w:val="0"/>
          <w:sz w:val="24"/>
          <w:szCs w:val="24"/>
        </w:rPr>
      </w:pPr>
      <w:r w:rsidRPr="000D6C61">
        <w:rPr>
          <w:b w:val="0"/>
          <w:bCs w:val="0"/>
          <w:sz w:val="24"/>
          <w:szCs w:val="24"/>
        </w:rPr>
        <w:t xml:space="preserve">“Court rules Pa. man can be re-tried for allegedly setting blaze that killed 3 firefighters. The man's previous convictions for the deaths of three Pittsburgh firefighters were overturned 20 years into his prison sentences.” (April 15, 2021): </w:t>
      </w:r>
      <w:hyperlink r:id="rId547" w:history="1">
        <w:r w:rsidRPr="0077274E">
          <w:rPr>
            <w:rStyle w:val="Hyperlink"/>
            <w:b w:val="0"/>
            <w:bCs w:val="0"/>
            <w:sz w:val="24"/>
            <w:szCs w:val="24"/>
          </w:rPr>
          <w:t>https://www.firerescue1.com/arson-investigation/articles/court-rules-pa-man-can-be-re-tried-for-allegedly-setting-blaze-that-killed-3-firefighters-lLEkejoGfuP6GGk9/?utm_source=FireRescue1+Daily&amp;utm_campaign=f787a554cb-EMAIL_CAMPAIGN_2021_04_15_07_27&amp;utm_medium=email&amp;utm_term=0_758bdbeffe-f787a554cb-41607823</w:t>
        </w:r>
      </w:hyperlink>
      <w:r w:rsidRPr="0077274E">
        <w:rPr>
          <w:b w:val="0"/>
          <w:bCs w:val="0"/>
          <w:sz w:val="24"/>
          <w:szCs w:val="24"/>
        </w:rPr>
        <w:t xml:space="preserve"> </w:t>
      </w:r>
    </w:p>
    <w:p w14:paraId="561B676B" w14:textId="77777777" w:rsidR="0077274E" w:rsidRPr="00A94994" w:rsidRDefault="0077274E" w:rsidP="0077274E">
      <w:pPr>
        <w:ind w:left="720"/>
        <w:rPr>
          <w:rFonts w:ascii="Times New Roman" w:hAnsi="Times New Roman"/>
          <w:sz w:val="24"/>
          <w:szCs w:val="24"/>
        </w:rPr>
      </w:pPr>
    </w:p>
    <w:p w14:paraId="007CD4F8" w14:textId="77777777" w:rsidR="0077274E" w:rsidRDefault="0077274E" w:rsidP="00EF1133">
      <w:pPr>
        <w:pStyle w:val="NoSpacing"/>
        <w:rPr>
          <w:rFonts w:ascii="Arial Black" w:hAnsi="Arial Black"/>
          <w:sz w:val="24"/>
          <w:szCs w:val="24"/>
        </w:rPr>
      </w:pPr>
    </w:p>
    <w:p w14:paraId="6BD771B5" w14:textId="77777777" w:rsidR="0077274E" w:rsidRDefault="0077274E" w:rsidP="00EF1133">
      <w:pPr>
        <w:pStyle w:val="NoSpacing"/>
        <w:rPr>
          <w:rFonts w:ascii="Arial Black" w:hAnsi="Arial Black"/>
          <w:sz w:val="24"/>
          <w:szCs w:val="24"/>
        </w:rPr>
      </w:pPr>
    </w:p>
    <w:p w14:paraId="2C421661" w14:textId="346A44A0" w:rsidR="00CD5950" w:rsidRDefault="00CD5950" w:rsidP="00EF1133">
      <w:pPr>
        <w:pStyle w:val="NoSpacing"/>
        <w:rPr>
          <w:rFonts w:ascii="Arial Black" w:hAnsi="Arial Black"/>
          <w:sz w:val="24"/>
          <w:szCs w:val="24"/>
        </w:rPr>
      </w:pPr>
      <w:r>
        <w:rPr>
          <w:rFonts w:ascii="Arial Black" w:hAnsi="Arial Black"/>
          <w:sz w:val="24"/>
          <w:szCs w:val="24"/>
        </w:rPr>
        <w:t>2-31</w:t>
      </w:r>
    </w:p>
    <w:p w14:paraId="514DA587" w14:textId="2AD41E3C" w:rsidR="00CD5950" w:rsidRDefault="00CD5950" w:rsidP="00EF1133">
      <w:pPr>
        <w:pStyle w:val="NoSpacing"/>
        <w:rPr>
          <w:rFonts w:ascii="Arial Black" w:hAnsi="Arial Black"/>
          <w:sz w:val="24"/>
          <w:szCs w:val="24"/>
        </w:rPr>
      </w:pPr>
    </w:p>
    <w:p w14:paraId="4BA773C9" w14:textId="77777777" w:rsidR="00CD5950" w:rsidRPr="001C50BB" w:rsidRDefault="00CD5950" w:rsidP="00CD5950">
      <w:pPr>
        <w:pStyle w:val="NoSpacing"/>
        <w:rPr>
          <w:rFonts w:ascii="Arial Black" w:hAnsi="Arial Black"/>
          <w:sz w:val="28"/>
          <w:szCs w:val="28"/>
        </w:rPr>
      </w:pPr>
      <w:r>
        <w:rPr>
          <w:rFonts w:ascii="Arial Black" w:hAnsi="Arial Black"/>
          <w:sz w:val="28"/>
          <w:szCs w:val="28"/>
        </w:rPr>
        <w:t>OH: FIRE CHIEF ALMOST HIT - THIRD-DEGEE FELONY - DRIVER SLEEPING AT GAS STATION SPEAD AWAY FROM DEPUTY SHERIFF</w:t>
      </w:r>
    </w:p>
    <w:p w14:paraId="7211BAE9" w14:textId="77777777" w:rsidR="00CD5950" w:rsidRDefault="00CD5950" w:rsidP="00CD5950">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Feb. 22, 2021, in </w:t>
      </w:r>
      <w:r w:rsidRPr="001C50BB">
        <w:rPr>
          <w:rFonts w:ascii="Times New Roman" w:hAnsi="Times New Roman"/>
          <w:sz w:val="24"/>
          <w:szCs w:val="24"/>
          <w:u w:val="single"/>
        </w:rPr>
        <w:t>State of Ohio v. David A. Zitney</w:t>
      </w:r>
      <w:r>
        <w:rPr>
          <w:rFonts w:ascii="Times New Roman" w:hAnsi="Times New Roman"/>
          <w:sz w:val="24"/>
          <w:szCs w:val="24"/>
        </w:rPr>
        <w:t xml:space="preserve">, the Court of Appeals for Twelfth Appellate District (Clinton County), </w:t>
      </w:r>
      <w:r w:rsidRPr="003E75FA">
        <w:rPr>
          <w:rFonts w:ascii="Times New Roman" w:eastAsia="Times New Roman" w:hAnsi="Times New Roman"/>
          <w:color w:val="000000" w:themeColor="text1"/>
          <w:sz w:val="24"/>
          <w:szCs w:val="24"/>
        </w:rPr>
        <w:t xml:space="preserve">2021 Ohio </w:t>
      </w:r>
      <w:r w:rsidRPr="003E75FA">
        <w:rPr>
          <w:rFonts w:ascii="Times New Roman" w:eastAsia="Times New Roman" w:hAnsi="Times New Roman"/>
          <w:sz w:val="24"/>
          <w:szCs w:val="24"/>
        </w:rPr>
        <w:t>466</w:t>
      </w:r>
      <w:r>
        <w:rPr>
          <w:rFonts w:ascii="Times New Roman" w:eastAsia="Times New Roman" w:hAnsi="Times New Roman"/>
          <w:sz w:val="24"/>
          <w:szCs w:val="24"/>
        </w:rPr>
        <w:t xml:space="preserve">, </w:t>
      </w:r>
      <w:r>
        <w:rPr>
          <w:rFonts w:ascii="Times New Roman" w:hAnsi="Times New Roman"/>
          <w:sz w:val="24"/>
          <w:szCs w:val="24"/>
        </w:rPr>
        <w:t xml:space="preserve">held (3 to 0) that the drivers’ conduct, failing to comply with officer’s order or signal, and speeding away from the gas station caused a “substantial risk of serious physical harm to others” and was therefore a third-degree felony.  The jury conviction was affirmed; the defendant must serve 3-year sentence. </w:t>
      </w:r>
    </w:p>
    <w:p w14:paraId="2D3C7521" w14:textId="77777777" w:rsidR="00CD5950" w:rsidRPr="00E31E01" w:rsidRDefault="00CD5950" w:rsidP="00CD5950">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“T</w:t>
      </w:r>
      <w:r w:rsidRPr="00E31E01">
        <w:rPr>
          <w:rFonts w:ascii="Times New Roman" w:eastAsia="Times New Roman" w:hAnsi="Times New Roman"/>
          <w:sz w:val="24"/>
          <w:szCs w:val="24"/>
        </w:rPr>
        <w:t xml:space="preserve">estimony from Deputy Abbitt and Fugate </w:t>
      </w:r>
      <w:r>
        <w:rPr>
          <w:rFonts w:ascii="Times New Roman" w:eastAsia="Times New Roman" w:hAnsi="Times New Roman"/>
          <w:sz w:val="24"/>
          <w:szCs w:val="24"/>
        </w:rPr>
        <w:t xml:space="preserve">[Don Fugate, Fire Chief, Massie Township] </w:t>
      </w:r>
      <w:r w:rsidRPr="00E31E01">
        <w:rPr>
          <w:rFonts w:ascii="Times New Roman" w:eastAsia="Times New Roman" w:hAnsi="Times New Roman"/>
          <w:sz w:val="24"/>
          <w:szCs w:val="24"/>
        </w:rPr>
        <w:t xml:space="preserve">demonstrated that appellant's actions on October 19, </w:t>
      </w:r>
      <w:proofErr w:type="gramStart"/>
      <w:r w:rsidRPr="00E31E01">
        <w:rPr>
          <w:rFonts w:ascii="Times New Roman" w:eastAsia="Times New Roman" w:hAnsi="Times New Roman"/>
          <w:sz w:val="24"/>
          <w:szCs w:val="24"/>
        </w:rPr>
        <w:t>2019</w:t>
      </w:r>
      <w:proofErr w:type="gramEnd"/>
      <w:r w:rsidRPr="00E31E01">
        <w:rPr>
          <w:rFonts w:ascii="Times New Roman" w:eastAsia="Times New Roman" w:hAnsi="Times New Roman"/>
          <w:sz w:val="24"/>
          <w:szCs w:val="24"/>
        </w:rPr>
        <w:t xml:space="preserve"> created a strong possibility of serious physical harm to those individuals present at the Shell gas station and to those motorists traveling along State Route 73 when appellant fled from the gas station. Appellant drove through and exited the parking lot of a commercial establishment where other individuals were present at an excessive rate of speed. </w:t>
      </w:r>
      <w:proofErr w:type="gramStart"/>
      <w:r w:rsidRPr="00E31E01">
        <w:rPr>
          <w:rFonts w:ascii="Times New Roman" w:eastAsia="Times New Roman" w:hAnsi="Times New Roman"/>
          <w:sz w:val="24"/>
          <w:szCs w:val="24"/>
        </w:rPr>
        <w:t>Appellant</w:t>
      </w:r>
      <w:proofErr w:type="gramEnd"/>
      <w:r w:rsidRPr="00E31E01">
        <w:rPr>
          <w:rFonts w:ascii="Times New Roman" w:eastAsia="Times New Roman" w:hAnsi="Times New Roman"/>
          <w:sz w:val="24"/>
          <w:szCs w:val="24"/>
        </w:rPr>
        <w:t xml:space="preserve"> did not </w:t>
      </w:r>
      <w:proofErr w:type="spellStart"/>
      <w:r w:rsidRPr="00E31E01">
        <w:rPr>
          <w:rFonts w:ascii="Times New Roman" w:eastAsia="Times New Roman" w:hAnsi="Times New Roman"/>
          <w:sz w:val="24"/>
          <w:szCs w:val="24"/>
        </w:rPr>
        <w:t>brake</w:t>
      </w:r>
      <w:proofErr w:type="spellEnd"/>
      <w:r w:rsidRPr="00E31E01">
        <w:rPr>
          <w:rFonts w:ascii="Times New Roman" w:eastAsia="Times New Roman" w:hAnsi="Times New Roman"/>
          <w:sz w:val="24"/>
          <w:szCs w:val="24"/>
        </w:rPr>
        <w:t xml:space="preserve"> before entering the roadway and proceeded to drive at a high rate of speed, sometimes on the</w:t>
      </w:r>
      <w:r>
        <w:rPr>
          <w:rFonts w:ascii="Times New Roman" w:eastAsia="Times New Roman" w:hAnsi="Times New Roman"/>
          <w:sz w:val="24"/>
          <w:szCs w:val="24"/>
        </w:rPr>
        <w:t xml:space="preserve"> </w:t>
      </w:r>
      <w:r w:rsidRPr="00E31E01">
        <w:rPr>
          <w:rFonts w:ascii="Times New Roman" w:eastAsia="Times New Roman" w:hAnsi="Times New Roman"/>
          <w:sz w:val="24"/>
          <w:szCs w:val="24"/>
        </w:rPr>
        <w:t xml:space="preserve">wrong side of the road against traffic. As Fugate explained, the area where </w:t>
      </w:r>
      <w:proofErr w:type="gramStart"/>
      <w:r w:rsidRPr="00E31E01">
        <w:rPr>
          <w:rFonts w:ascii="Times New Roman" w:eastAsia="Times New Roman" w:hAnsi="Times New Roman"/>
          <w:sz w:val="24"/>
          <w:szCs w:val="24"/>
        </w:rPr>
        <w:t>appellant</w:t>
      </w:r>
      <w:proofErr w:type="gramEnd"/>
      <w:r w:rsidRPr="00E31E01">
        <w:rPr>
          <w:rFonts w:ascii="Times New Roman" w:eastAsia="Times New Roman" w:hAnsi="Times New Roman"/>
          <w:sz w:val="24"/>
          <w:szCs w:val="24"/>
        </w:rPr>
        <w:t xml:space="preserve"> entered the highway was a </w:t>
      </w:r>
      <w:r>
        <w:rPr>
          <w:rFonts w:ascii="Times New Roman" w:eastAsia="Times New Roman" w:hAnsi="Times New Roman"/>
          <w:sz w:val="24"/>
          <w:szCs w:val="24"/>
        </w:rPr>
        <w:t>‘</w:t>
      </w:r>
      <w:r w:rsidRPr="00E31E01">
        <w:rPr>
          <w:rFonts w:ascii="Times New Roman" w:eastAsia="Times New Roman" w:hAnsi="Times New Roman"/>
          <w:sz w:val="24"/>
          <w:szCs w:val="24"/>
        </w:rPr>
        <w:t>high traffic area</w:t>
      </w:r>
      <w:r>
        <w:rPr>
          <w:rFonts w:ascii="Times New Roman" w:eastAsia="Times New Roman" w:hAnsi="Times New Roman"/>
          <w:sz w:val="24"/>
          <w:szCs w:val="24"/>
        </w:rPr>
        <w:t>’</w:t>
      </w:r>
      <w:r w:rsidRPr="00E31E01">
        <w:rPr>
          <w:rFonts w:ascii="Times New Roman" w:eastAsia="Times New Roman" w:hAnsi="Times New Roman"/>
          <w:sz w:val="24"/>
          <w:szCs w:val="24"/>
        </w:rPr>
        <w:t xml:space="preserve"> and the roadway where </w:t>
      </w:r>
      <w:proofErr w:type="gramStart"/>
      <w:r w:rsidRPr="00E31E01">
        <w:rPr>
          <w:rFonts w:ascii="Times New Roman" w:eastAsia="Times New Roman" w:hAnsi="Times New Roman"/>
          <w:sz w:val="24"/>
          <w:szCs w:val="24"/>
        </w:rPr>
        <w:t>appellant</w:t>
      </w:r>
      <w:proofErr w:type="gramEnd"/>
      <w:r w:rsidRPr="00E31E01">
        <w:rPr>
          <w:rFonts w:ascii="Times New Roman" w:eastAsia="Times New Roman" w:hAnsi="Times New Roman"/>
          <w:sz w:val="24"/>
          <w:szCs w:val="24"/>
        </w:rPr>
        <w:t xml:space="preserve"> drove in the incorrect lane was curvy and hilly. In fact, the bridge appellant drove on had an inclining peak, which made it difficult to see if traffic was approaching on the other side of the bridge. Indeed, as Deputy Abbitt explained, traffic was observed traveling in both directions on State Route 73 during her pursuit of appellant. Appellant was driving at such a rapid speed that the deputy was unable to catch up to appellant, despite traveling more than 100 m.p.h.</w:t>
      </w:r>
      <w:r>
        <w:rPr>
          <w:rFonts w:ascii="Times New Roman" w:eastAsia="Times New Roman" w:hAnsi="Times New Roman"/>
          <w:sz w:val="24"/>
          <w:szCs w:val="24"/>
        </w:rPr>
        <w:t xml:space="preserve">”   </w:t>
      </w:r>
      <w:hyperlink r:id="rId548" w:history="1">
        <w:r w:rsidRPr="00EA374E">
          <w:rPr>
            <w:rStyle w:val="Hyperlink"/>
            <w:rFonts w:ascii="Times New Roman" w:eastAsia="Times New Roman" w:hAnsi="Times New Roman"/>
            <w:sz w:val="24"/>
            <w:szCs w:val="24"/>
          </w:rPr>
          <w:t>https://casetext.com/case/state-v-zitney-1</w:t>
        </w:r>
      </w:hyperlink>
      <w:r>
        <w:rPr>
          <w:rFonts w:ascii="Times New Roman" w:eastAsia="Times New Roman" w:hAnsi="Times New Roman"/>
          <w:sz w:val="24"/>
          <w:szCs w:val="24"/>
        </w:rPr>
        <w:t xml:space="preserve"> </w:t>
      </w:r>
    </w:p>
    <w:p w14:paraId="2698B6BF" w14:textId="77777777" w:rsidR="00CD5950" w:rsidRDefault="00CD5950" w:rsidP="00EF1133">
      <w:pPr>
        <w:pStyle w:val="NoSpacing"/>
        <w:rPr>
          <w:rFonts w:ascii="Arial Black" w:hAnsi="Arial Black"/>
          <w:sz w:val="24"/>
          <w:szCs w:val="24"/>
        </w:rPr>
      </w:pPr>
    </w:p>
    <w:p w14:paraId="78F5AC83" w14:textId="77777777" w:rsidR="00CD5950" w:rsidRDefault="00CD5950" w:rsidP="00EF1133">
      <w:pPr>
        <w:pStyle w:val="NoSpacing"/>
        <w:rPr>
          <w:rFonts w:ascii="Arial Black" w:hAnsi="Arial Black"/>
          <w:sz w:val="24"/>
          <w:szCs w:val="24"/>
        </w:rPr>
      </w:pPr>
    </w:p>
    <w:p w14:paraId="79B2132A" w14:textId="77777777" w:rsidR="00CD5950" w:rsidRDefault="00CD5950" w:rsidP="00EF1133">
      <w:pPr>
        <w:pStyle w:val="NoSpacing"/>
        <w:rPr>
          <w:rFonts w:ascii="Arial Black" w:hAnsi="Arial Black"/>
          <w:sz w:val="24"/>
          <w:szCs w:val="24"/>
        </w:rPr>
      </w:pPr>
    </w:p>
    <w:p w14:paraId="30B1E84B" w14:textId="03E81674" w:rsidR="00F90EE5" w:rsidRDefault="00F90EE5" w:rsidP="00EF1133">
      <w:pPr>
        <w:pStyle w:val="NoSpacing"/>
        <w:rPr>
          <w:rFonts w:ascii="Arial Black" w:hAnsi="Arial Black"/>
          <w:sz w:val="24"/>
          <w:szCs w:val="24"/>
        </w:rPr>
      </w:pPr>
      <w:r>
        <w:rPr>
          <w:rFonts w:ascii="Arial Black" w:hAnsi="Arial Black"/>
          <w:sz w:val="24"/>
          <w:szCs w:val="24"/>
        </w:rPr>
        <w:t>2-30</w:t>
      </w:r>
    </w:p>
    <w:p w14:paraId="4EF4A26E" w14:textId="1A082B15" w:rsidR="00F90EE5" w:rsidRDefault="00F90EE5" w:rsidP="00EF1133">
      <w:pPr>
        <w:pStyle w:val="NoSpacing"/>
        <w:rPr>
          <w:rFonts w:ascii="Arial Black" w:hAnsi="Arial Black"/>
          <w:sz w:val="24"/>
          <w:szCs w:val="24"/>
        </w:rPr>
      </w:pPr>
    </w:p>
    <w:p w14:paraId="592B5EB8" w14:textId="77777777" w:rsidR="00F90EE5" w:rsidRPr="00C90287" w:rsidRDefault="00F90EE5" w:rsidP="00F90EE5">
      <w:pPr>
        <w:pStyle w:val="NoSpacing"/>
        <w:rPr>
          <w:rFonts w:ascii="Arial Black" w:hAnsi="Arial Black"/>
          <w:sz w:val="28"/>
          <w:szCs w:val="28"/>
        </w:rPr>
      </w:pPr>
      <w:r>
        <w:rPr>
          <w:rFonts w:ascii="Arial Black" w:hAnsi="Arial Black"/>
          <w:sz w:val="28"/>
          <w:szCs w:val="28"/>
        </w:rPr>
        <w:t>MI: ENGINE PROTECTING MVA SITE – CIVILIAN DRIVER, TEXTING - RAN INTO ENGINE - 10-30 YEARS, DEATH OF PASSENGER</w:t>
      </w:r>
    </w:p>
    <w:p w14:paraId="6FDD95D4" w14:textId="77777777" w:rsidR="00F90EE5" w:rsidRDefault="00F90EE5" w:rsidP="00F90EE5">
      <w:pPr>
        <w:pStyle w:val="NoSpacing"/>
      </w:pPr>
    </w:p>
    <w:p w14:paraId="22C9CFD1" w14:textId="77777777" w:rsidR="00F90EE5" w:rsidRPr="002B73D2" w:rsidRDefault="00F90EE5" w:rsidP="00F90EE5">
      <w:pPr>
        <w:pStyle w:val="NoSpacing"/>
        <w:rPr>
          <w:rFonts w:ascii="Times New Roman" w:hAnsi="Times New Roman"/>
          <w:sz w:val="24"/>
          <w:szCs w:val="24"/>
        </w:rPr>
      </w:pPr>
      <w:r>
        <w:rPr>
          <w:rFonts w:ascii="Times New Roman" w:hAnsi="Times New Roman"/>
          <w:sz w:val="24"/>
          <w:szCs w:val="24"/>
        </w:rPr>
        <w:t xml:space="preserve">On Jan. 14, 2021, in </w:t>
      </w:r>
      <w:r w:rsidRPr="002B73D2">
        <w:rPr>
          <w:rFonts w:ascii="Times New Roman" w:hAnsi="Times New Roman"/>
          <w:sz w:val="24"/>
          <w:szCs w:val="24"/>
          <w:u w:val="single"/>
        </w:rPr>
        <w:t>People of the State of Michigan v. Charles Edward Horn</w:t>
      </w:r>
      <w:r>
        <w:rPr>
          <w:rFonts w:ascii="Times New Roman" w:hAnsi="Times New Roman"/>
          <w:sz w:val="24"/>
          <w:szCs w:val="24"/>
        </w:rPr>
        <w:t xml:space="preserve">, the State of Michigan Court of Appeals, held (3 to 0; unpublished opinion) that the jury properly convicted the driver of </w:t>
      </w:r>
      <w:r w:rsidRPr="002B73D2">
        <w:rPr>
          <w:rFonts w:ascii="Times New Roman" w:hAnsi="Times New Roman"/>
          <w:sz w:val="24"/>
          <w:szCs w:val="24"/>
        </w:rPr>
        <w:t xml:space="preserve">reckless driving causing death </w:t>
      </w:r>
      <w:r>
        <w:rPr>
          <w:rFonts w:ascii="Times New Roman" w:hAnsi="Times New Roman"/>
          <w:sz w:val="24"/>
          <w:szCs w:val="24"/>
        </w:rPr>
        <w:t xml:space="preserve">(back seat passenger) </w:t>
      </w:r>
      <w:r w:rsidRPr="002B73D2">
        <w:rPr>
          <w:rFonts w:ascii="Times New Roman" w:hAnsi="Times New Roman"/>
          <w:sz w:val="24"/>
          <w:szCs w:val="24"/>
        </w:rPr>
        <w:t>and reckless driving causing impairment of a bodily function</w:t>
      </w:r>
      <w:r>
        <w:rPr>
          <w:rFonts w:ascii="Times New Roman" w:hAnsi="Times New Roman"/>
          <w:sz w:val="24"/>
          <w:szCs w:val="24"/>
        </w:rPr>
        <w:t xml:space="preserve"> (defendant’s daughter)</w:t>
      </w:r>
      <w:r w:rsidRPr="002B73D2">
        <w:rPr>
          <w:rFonts w:ascii="Times New Roman" w:hAnsi="Times New Roman"/>
          <w:sz w:val="24"/>
          <w:szCs w:val="24"/>
        </w:rPr>
        <w:t>.</w:t>
      </w:r>
      <w:r>
        <w:rPr>
          <w:rFonts w:ascii="Times New Roman" w:hAnsi="Times New Roman"/>
          <w:sz w:val="24"/>
          <w:szCs w:val="24"/>
        </w:rPr>
        <w:t xml:space="preserve">  The driver was texting his daughter’s former boyfriend, telling him to stay away from her, when he ran into the back of the engine. </w:t>
      </w:r>
    </w:p>
    <w:p w14:paraId="33364AAF" w14:textId="77777777" w:rsidR="00F90EE5" w:rsidRPr="002B73D2" w:rsidRDefault="00F90EE5" w:rsidP="00F90EE5">
      <w:pPr>
        <w:pStyle w:val="NoSpacing"/>
        <w:rPr>
          <w:rFonts w:ascii="Times New Roman" w:hAnsi="Times New Roman"/>
          <w:sz w:val="24"/>
          <w:szCs w:val="24"/>
        </w:rPr>
      </w:pPr>
    </w:p>
    <w:p w14:paraId="44DBF989" w14:textId="77777777" w:rsidR="00F90EE5" w:rsidRPr="002B73D2" w:rsidRDefault="00F90EE5" w:rsidP="00F90EE5">
      <w:pPr>
        <w:pStyle w:val="NoSpacing"/>
        <w:ind w:left="720"/>
        <w:rPr>
          <w:rFonts w:ascii="Times New Roman" w:hAnsi="Times New Roman"/>
          <w:sz w:val="24"/>
          <w:szCs w:val="24"/>
        </w:rPr>
      </w:pPr>
      <w:r>
        <w:rPr>
          <w:rFonts w:ascii="Times New Roman" w:hAnsi="Times New Roman"/>
          <w:sz w:val="24"/>
          <w:szCs w:val="24"/>
        </w:rPr>
        <w:t>“</w:t>
      </w:r>
      <w:r w:rsidRPr="002B73D2">
        <w:rPr>
          <w:rFonts w:ascii="Times New Roman" w:hAnsi="Times New Roman"/>
          <w:sz w:val="24"/>
          <w:szCs w:val="24"/>
        </w:rPr>
        <w:t xml:space="preserve">Phone records showed that defendant's cell phone sent a text message at 11:01:34 p.m. The crash was called in at 11:02:08 p.m. The jury heard uncontested evidence that the average perception or response time is between 1.5 and 1.6 seconds and that defendant—assuming that he was proceeding at the speed limit—had 34 seconds from the time he entered onto the highway until the scene of the crash approximately .6 miles down the highway from the on-ramp, which was more than enough time to bring the vehicle to a complete stop or to change lanes. The fire truck was bright yellow, parked in a standard technique to assure the safety of emergency responders, and had its emergency lights flashing, as did at least one other emergency response vehicle. The roadway was straight, and there was good visibility that night. Despite this, there was no evidence suggesting that defendant ever perceived the fire engine or that he attempted to brake or change lanes to avoid a collision. Given this evidence, the jury could fairly conclude that the defendant was operating the vehicle </w:t>
      </w:r>
      <w:r>
        <w:rPr>
          <w:rFonts w:ascii="Times New Roman" w:hAnsi="Times New Roman"/>
          <w:sz w:val="24"/>
          <w:szCs w:val="24"/>
        </w:rPr>
        <w:t>‘</w:t>
      </w:r>
      <w:r w:rsidRPr="002B73D2">
        <w:rPr>
          <w:rFonts w:ascii="Times New Roman" w:hAnsi="Times New Roman"/>
          <w:sz w:val="24"/>
          <w:szCs w:val="24"/>
        </w:rPr>
        <w:t>with wanton disregard of the potential consequences, i.e., death and serious injury.</w:t>
      </w:r>
      <w:r>
        <w:rPr>
          <w:rFonts w:ascii="Times New Roman" w:hAnsi="Times New Roman"/>
          <w:sz w:val="24"/>
          <w:szCs w:val="24"/>
        </w:rPr>
        <w:t xml:space="preserve">’” </w:t>
      </w:r>
      <w:hyperlink r:id="rId549" w:history="1">
        <w:r w:rsidRPr="00AA6AFA">
          <w:rPr>
            <w:rStyle w:val="Hyperlink"/>
            <w:rFonts w:ascii="Times New Roman" w:hAnsi="Times New Roman"/>
            <w:sz w:val="24"/>
            <w:szCs w:val="24"/>
          </w:rPr>
          <w:t>https://law.justia.com/cases/michigan/court-of-appeals-unpublished/2021/350129.html</w:t>
        </w:r>
      </w:hyperlink>
      <w:r>
        <w:rPr>
          <w:rFonts w:ascii="Times New Roman" w:hAnsi="Times New Roman"/>
          <w:sz w:val="24"/>
          <w:szCs w:val="24"/>
        </w:rPr>
        <w:t xml:space="preserve"> </w:t>
      </w:r>
    </w:p>
    <w:p w14:paraId="064127D6" w14:textId="77777777" w:rsidR="00F90EE5" w:rsidRDefault="00F90EE5" w:rsidP="00F90EE5">
      <w:pPr>
        <w:spacing w:before="100" w:beforeAutospacing="1" w:after="100" w:afterAutospacing="1" w:line="240" w:lineRule="auto"/>
        <w:rPr>
          <w:rFonts w:ascii="Times New Roman" w:hAnsi="Times New Roman"/>
          <w:b/>
          <w:bCs/>
          <w:sz w:val="24"/>
          <w:szCs w:val="24"/>
        </w:rPr>
      </w:pPr>
      <w:r w:rsidRPr="00E86EB6">
        <w:rPr>
          <w:rFonts w:ascii="Times New Roman" w:hAnsi="Times New Roman"/>
          <w:b/>
          <w:bCs/>
          <w:sz w:val="24"/>
          <w:szCs w:val="24"/>
        </w:rPr>
        <w:t>Legal Lesson Learned:</w:t>
      </w:r>
      <w:r>
        <w:rPr>
          <w:rFonts w:ascii="Times New Roman" w:hAnsi="Times New Roman"/>
          <w:b/>
          <w:bCs/>
          <w:sz w:val="24"/>
          <w:szCs w:val="24"/>
        </w:rPr>
        <w:t xml:space="preserve"> Texting while driving can have deadly consequences.</w:t>
      </w:r>
    </w:p>
    <w:p w14:paraId="6B3C6024" w14:textId="77777777" w:rsidR="00F90EE5" w:rsidRDefault="00F90EE5" w:rsidP="00EF1133">
      <w:pPr>
        <w:pStyle w:val="NoSpacing"/>
        <w:rPr>
          <w:rFonts w:ascii="Arial Black" w:hAnsi="Arial Black"/>
          <w:sz w:val="24"/>
          <w:szCs w:val="24"/>
        </w:rPr>
      </w:pPr>
    </w:p>
    <w:p w14:paraId="2DE4B232" w14:textId="64259423" w:rsidR="00F90EE5" w:rsidRDefault="00F90EE5" w:rsidP="00EF1133">
      <w:pPr>
        <w:pStyle w:val="NoSpacing"/>
        <w:rPr>
          <w:rFonts w:ascii="Arial Black" w:hAnsi="Arial Black"/>
          <w:sz w:val="24"/>
          <w:szCs w:val="24"/>
        </w:rPr>
      </w:pPr>
      <w:r>
        <w:rPr>
          <w:rFonts w:ascii="Arial Black" w:hAnsi="Arial Black"/>
          <w:sz w:val="24"/>
          <w:szCs w:val="24"/>
        </w:rPr>
        <w:t>2-29</w:t>
      </w:r>
    </w:p>
    <w:p w14:paraId="10B0E553" w14:textId="6D5A5620" w:rsidR="00F90EE5" w:rsidRDefault="00F90EE5" w:rsidP="00EF1133">
      <w:pPr>
        <w:pStyle w:val="NoSpacing"/>
        <w:rPr>
          <w:rFonts w:ascii="Arial Black" w:hAnsi="Arial Black"/>
          <w:sz w:val="24"/>
          <w:szCs w:val="24"/>
        </w:rPr>
      </w:pPr>
    </w:p>
    <w:p w14:paraId="48DB223F" w14:textId="77777777" w:rsidR="00F90EE5" w:rsidRPr="00067B64" w:rsidRDefault="00F90EE5" w:rsidP="00F90EE5">
      <w:pPr>
        <w:spacing w:before="100" w:beforeAutospacing="1" w:after="100" w:afterAutospacing="1" w:line="240" w:lineRule="auto"/>
        <w:rPr>
          <w:rFonts w:ascii="Arial Black" w:eastAsia="Times New Roman" w:hAnsi="Arial Black"/>
          <w:sz w:val="28"/>
          <w:szCs w:val="28"/>
        </w:rPr>
      </w:pPr>
      <w:bookmarkStart w:id="93" w:name="_Hlk66941295"/>
      <w:r>
        <w:rPr>
          <w:rFonts w:ascii="Arial Black" w:eastAsia="Times New Roman" w:hAnsi="Arial Black"/>
          <w:sz w:val="28"/>
          <w:szCs w:val="28"/>
        </w:rPr>
        <w:t>DE: FIRE STATION “ROLLING BROWN OUTS” – 3 LODDs – FED. LAWSUIT DISMISSED – RISK DEATH INHERENT IN JOB</w:t>
      </w:r>
    </w:p>
    <w:p w14:paraId="19BDAE8B" w14:textId="77777777" w:rsidR="00F90EE5" w:rsidRDefault="00F90EE5" w:rsidP="00F90EE5">
      <w:pPr>
        <w:pStyle w:val="NormalWeb"/>
      </w:pPr>
      <w:r>
        <w:t xml:space="preserve">On Jan. 6, 2021, in </w:t>
      </w:r>
      <w:r w:rsidRPr="00067B64">
        <w:rPr>
          <w:u w:val="single"/>
        </w:rPr>
        <w:t>Firefighter Brad Speakman, et al. v. Dennis P. Williams, et al</w:t>
      </w:r>
      <w:r>
        <w:t xml:space="preserve">., the U.S. Court </w:t>
      </w:r>
      <w:r w:rsidRPr="00067B64">
        <w:t>of Appeals for the 3</w:t>
      </w:r>
      <w:r w:rsidRPr="00067B64">
        <w:rPr>
          <w:vertAlign w:val="superscript"/>
        </w:rPr>
        <w:t>rd</w:t>
      </w:r>
      <w:r w:rsidRPr="00067B64">
        <w:t xml:space="preserve"> Circuit, held (3 to 0</w:t>
      </w:r>
      <w:r>
        <w:t>; non precedential</w:t>
      </w:r>
      <w:r w:rsidRPr="00067B64">
        <w:t>) that the U.S. District Court judge properly granted defense motion to dismiss the lawsuit brought by the estates and survivors of the three deceased firefighters</w:t>
      </w:r>
      <w:r>
        <w:t>: L</w:t>
      </w:r>
      <w:r w:rsidRPr="00067B64">
        <w:t>ieutenant Christopher Leach, Senior Firefighter Jerry Fickes, and Senior Firefighter Ardythe Hop</w:t>
      </w:r>
      <w:r>
        <w:t>e, and the t</w:t>
      </w:r>
      <w:r w:rsidRPr="00067B64">
        <w:t>hree injured firefighters</w:t>
      </w:r>
      <w:r>
        <w:t>: F</w:t>
      </w:r>
      <w:r w:rsidRPr="00067B64">
        <w:t>irefighter Brad Speakman, Senior Firefighter Terrance Tate, and Lieutenant John Cawthray</w:t>
      </w:r>
      <w:r>
        <w:t>.  The five defendants were</w:t>
      </w:r>
      <w:r w:rsidRPr="00067B64">
        <w:t>: (1) Dennis P. Williams (who served as Mayor of Wilmington from 2013 to 2017); (2) James M. Baker (Williams's predecessor, who was Mayor from 2001 to 2013); (3) Anthony S. Goode (WFD Chief of Fire from 2013 until</w:t>
      </w:r>
      <w:r>
        <w:t xml:space="preserve"> </w:t>
      </w:r>
      <w:r w:rsidRPr="00067B64">
        <w:t>2017); (4) William Patrick, Jr. (Chief of Fire from 2007 until 2013); and (5) the City of Wilmington.</w:t>
      </w:r>
    </w:p>
    <w:bookmarkEnd w:id="93"/>
    <w:p w14:paraId="3DA6F393" w14:textId="51A2912E" w:rsidR="00F90EE5" w:rsidRDefault="00F90EE5" w:rsidP="007F3C7D">
      <w:pPr>
        <w:spacing w:before="100" w:beforeAutospacing="1" w:after="100" w:afterAutospacing="1" w:line="240" w:lineRule="auto"/>
        <w:ind w:left="720"/>
        <w:rPr>
          <w:rStyle w:val="Hyperlink"/>
          <w:rFonts w:ascii="Times New Roman" w:hAnsi="Times New Roman"/>
          <w:sz w:val="24"/>
          <w:szCs w:val="24"/>
        </w:rPr>
      </w:pPr>
      <w:r>
        <w:rPr>
          <w:rFonts w:ascii="Times New Roman" w:eastAsia="Times New Roman" w:hAnsi="Times New Roman"/>
          <w:sz w:val="24"/>
          <w:szCs w:val="24"/>
        </w:rPr>
        <w:t>“</w:t>
      </w:r>
      <w:r w:rsidRPr="005005A2">
        <w:rPr>
          <w:rFonts w:ascii="Times New Roman" w:eastAsia="Times New Roman" w:hAnsi="Times New Roman"/>
          <w:sz w:val="24"/>
          <w:szCs w:val="24"/>
        </w:rPr>
        <w:t xml:space="preserve">Applying </w:t>
      </w:r>
      <w:r w:rsidRPr="005005A2">
        <w:rPr>
          <w:rFonts w:ascii="Times New Roman" w:eastAsia="Times New Roman" w:hAnsi="Times New Roman"/>
          <w:sz w:val="24"/>
          <w:szCs w:val="24"/>
          <w:u w:val="single"/>
        </w:rPr>
        <w:t>Collins</w:t>
      </w:r>
      <w:r w:rsidRPr="005005A2">
        <w:rPr>
          <w:rFonts w:ascii="Times New Roman" w:eastAsia="Times New Roman" w:hAnsi="Times New Roman"/>
          <w:sz w:val="24"/>
          <w:szCs w:val="24"/>
        </w:rPr>
        <w:t xml:space="preserve">, </w:t>
      </w:r>
      <w:r>
        <w:rPr>
          <w:rFonts w:ascii="Times New Roman" w:eastAsia="Times New Roman" w:hAnsi="Times New Roman"/>
          <w:sz w:val="24"/>
          <w:szCs w:val="24"/>
        </w:rPr>
        <w:t xml:space="preserve">[U.S. Supreme Court decision in </w:t>
      </w:r>
      <w:r w:rsidRPr="00A6382B">
        <w:rPr>
          <w:rFonts w:ascii="Times New Roman" w:eastAsia="Times New Roman" w:hAnsi="Times New Roman"/>
          <w:sz w:val="24"/>
          <w:szCs w:val="24"/>
          <w:u w:val="single"/>
        </w:rPr>
        <w:t>Collins v. Harker Heights</w:t>
      </w:r>
      <w:r>
        <w:rPr>
          <w:rFonts w:ascii="Times New Roman" w:eastAsia="Times New Roman" w:hAnsi="Times New Roman"/>
          <w:sz w:val="24"/>
          <w:szCs w:val="24"/>
          <w:u w:val="single"/>
        </w:rPr>
        <w:t>, 503 US 115</w:t>
      </w:r>
      <w:r>
        <w:rPr>
          <w:rFonts w:ascii="Times New Roman" w:eastAsia="Times New Roman" w:hAnsi="Times New Roman"/>
          <w:sz w:val="24"/>
          <w:szCs w:val="24"/>
        </w:rPr>
        <w:t xml:space="preserve"> (1992) where sanitation worker died by fumes in manhole, and Court held that lawsuit by spouse alleging violation of U.S. Constitution, Due Process Clause was properly dismissed]  </w:t>
      </w:r>
      <w:r w:rsidRPr="005005A2">
        <w:rPr>
          <w:rFonts w:ascii="Times New Roman" w:eastAsia="Times New Roman" w:hAnsi="Times New Roman"/>
          <w:sz w:val="24"/>
          <w:szCs w:val="24"/>
        </w:rPr>
        <w:t xml:space="preserve">we have concluded that, while the Due Process Clause does not guarantee public employees certain minimal levels of safety and security, </w:t>
      </w:r>
      <w:r>
        <w:rPr>
          <w:rFonts w:ascii="Times New Roman" w:eastAsia="Times New Roman" w:hAnsi="Times New Roman"/>
          <w:sz w:val="24"/>
          <w:szCs w:val="24"/>
        </w:rPr>
        <w:t>‘</w:t>
      </w:r>
      <w:r w:rsidRPr="005005A2">
        <w:rPr>
          <w:rFonts w:ascii="Times New Roman" w:eastAsia="Times New Roman" w:hAnsi="Times New Roman"/>
          <w:sz w:val="24"/>
          <w:szCs w:val="24"/>
        </w:rPr>
        <w:t>a government employee may bring a substantive due process claim against his employer if the state compelled the employee to be exposed to a risk of harm not inherent in the workplace.</w:t>
      </w:r>
      <w:r>
        <w:rPr>
          <w:rFonts w:ascii="Times New Roman" w:eastAsia="Times New Roman" w:hAnsi="Times New Roman"/>
          <w:sz w:val="24"/>
          <w:szCs w:val="24"/>
        </w:rPr>
        <w:t>’</w:t>
      </w:r>
      <w:r w:rsidRPr="005005A2">
        <w:rPr>
          <w:rFonts w:ascii="Times New Roman" w:eastAsia="Times New Roman" w:hAnsi="Times New Roman"/>
          <w:sz w:val="24"/>
          <w:szCs w:val="24"/>
        </w:rPr>
        <w:t xml:space="preserve"> </w:t>
      </w:r>
      <w:r w:rsidRPr="005005A2">
        <w:rPr>
          <w:rFonts w:ascii="Times New Roman" w:eastAsia="Times New Roman" w:hAnsi="Times New Roman"/>
          <w:sz w:val="24"/>
          <w:szCs w:val="24"/>
          <w:u w:val="single"/>
        </w:rPr>
        <w:t>Kedra</w:t>
      </w:r>
      <w:r w:rsidRPr="005005A2">
        <w:rPr>
          <w:rFonts w:ascii="Times New Roman" w:eastAsia="Times New Roman" w:hAnsi="Times New Roman"/>
          <w:sz w:val="24"/>
          <w:szCs w:val="24"/>
        </w:rPr>
        <w:t xml:space="preserve">, 876 F.3d at 436 n.6 (citing </w:t>
      </w:r>
      <w:r w:rsidRPr="005005A2">
        <w:rPr>
          <w:rFonts w:ascii="Times New Roman" w:eastAsia="Times New Roman" w:hAnsi="Times New Roman"/>
          <w:sz w:val="24"/>
          <w:szCs w:val="24"/>
          <w:u w:val="single"/>
        </w:rPr>
        <w:t>Kaucher</w:t>
      </w:r>
      <w:r w:rsidRPr="005005A2">
        <w:rPr>
          <w:rFonts w:ascii="Times New Roman" w:eastAsia="Times New Roman" w:hAnsi="Times New Roman"/>
          <w:sz w:val="24"/>
          <w:szCs w:val="24"/>
        </w:rPr>
        <w:t xml:space="preserve">, 455 F.3d at 430-31; </w:t>
      </w:r>
      <w:r w:rsidRPr="005005A2">
        <w:rPr>
          <w:rFonts w:ascii="Times New Roman" w:eastAsia="Times New Roman" w:hAnsi="Times New Roman"/>
          <w:sz w:val="24"/>
          <w:szCs w:val="24"/>
          <w:u w:val="single"/>
        </w:rPr>
        <w:t>Eddy v. V.I. Water &amp; Power Auth.</w:t>
      </w:r>
      <w:r w:rsidRPr="005005A2">
        <w:rPr>
          <w:rFonts w:ascii="Times New Roman" w:eastAsia="Times New Roman" w:hAnsi="Times New Roman"/>
          <w:sz w:val="24"/>
          <w:szCs w:val="24"/>
        </w:rPr>
        <w:t xml:space="preserve">, 256 F.3d 204, 212-13 (3d Cir. </w:t>
      </w:r>
      <w:proofErr w:type="gramStart"/>
      <w:r w:rsidRPr="005005A2">
        <w:rPr>
          <w:rFonts w:ascii="Times New Roman" w:eastAsia="Times New Roman" w:hAnsi="Times New Roman"/>
          <w:sz w:val="24"/>
          <w:szCs w:val="24"/>
        </w:rPr>
        <w:t>2001))</w:t>
      </w:r>
      <w:proofErr w:type="gramEnd"/>
      <w:r w:rsidRPr="005005A2">
        <w:rPr>
          <w:rFonts w:ascii="Times New Roman" w:eastAsia="Times New Roman" w:hAnsi="Times New Roman"/>
          <w:sz w:val="24"/>
          <w:szCs w:val="24"/>
        </w:rPr>
        <w:t>. Weagree with the District Court</w:t>
      </w:r>
      <w:r>
        <w:rPr>
          <w:rFonts w:ascii="Times New Roman" w:eastAsia="Times New Roman" w:hAnsi="Times New Roman"/>
          <w:sz w:val="24"/>
          <w:szCs w:val="24"/>
        </w:rPr>
        <w:t xml:space="preserve"> </w:t>
      </w:r>
      <w:r w:rsidRPr="005005A2">
        <w:rPr>
          <w:rFonts w:ascii="Times New Roman" w:eastAsia="Times New Roman" w:hAnsi="Times New Roman"/>
          <w:sz w:val="24"/>
          <w:szCs w:val="24"/>
        </w:rPr>
        <w:t xml:space="preserve">that the risk of injury or death is </w:t>
      </w:r>
      <w:r w:rsidRPr="00A6382B">
        <w:rPr>
          <w:rFonts w:ascii="Times New Roman" w:eastAsia="Times New Roman" w:hAnsi="Times New Roman"/>
          <w:sz w:val="24"/>
          <w:szCs w:val="24"/>
        </w:rPr>
        <w:t xml:space="preserve">inherent to a firefighter's job and that any increase in risk on account of either the "rolling bypass" policy, the alleged understaffing, or any other alleged misconduct on the part of Defendants did not alter the fundamental nature of this inherent risk. </w:t>
      </w:r>
      <w:r w:rsidRPr="00A6382B">
        <w:rPr>
          <w:rFonts w:ascii="Times New Roman" w:hAnsi="Times New Roman"/>
          <w:sz w:val="24"/>
          <w:szCs w:val="24"/>
          <w:u w:val="single"/>
        </w:rPr>
        <w:t>See, e.g.</w:t>
      </w:r>
      <w:r w:rsidRPr="00A6382B">
        <w:rPr>
          <w:rFonts w:ascii="Times New Roman" w:hAnsi="Times New Roman"/>
          <w:sz w:val="24"/>
          <w:szCs w:val="24"/>
        </w:rPr>
        <w:t xml:space="preserve">, </w:t>
      </w:r>
      <w:r w:rsidRPr="00A6382B">
        <w:rPr>
          <w:rFonts w:ascii="Times New Roman" w:hAnsi="Times New Roman"/>
          <w:sz w:val="24"/>
          <w:szCs w:val="24"/>
          <w:u w:val="single"/>
        </w:rPr>
        <w:t>Estate of Phillips v. D.C.</w:t>
      </w:r>
      <w:r w:rsidRPr="00A6382B">
        <w:rPr>
          <w:rFonts w:ascii="Times New Roman" w:hAnsi="Times New Roman"/>
          <w:sz w:val="24"/>
          <w:szCs w:val="24"/>
        </w:rPr>
        <w:t>, 455 F.3d 397, 407 (D.C. Cir. 2006) (</w:t>
      </w:r>
      <w:r>
        <w:rPr>
          <w:rFonts w:ascii="Times New Roman" w:hAnsi="Times New Roman"/>
          <w:sz w:val="24"/>
          <w:szCs w:val="24"/>
        </w:rPr>
        <w:t>‘</w:t>
      </w:r>
      <w:r w:rsidRPr="00A6382B">
        <w:rPr>
          <w:rFonts w:ascii="Times New Roman" w:hAnsi="Times New Roman"/>
          <w:sz w:val="24"/>
          <w:szCs w:val="24"/>
        </w:rPr>
        <w:t>[The Fire Chief's] deliberate indifference may have increased the Firefighters' exposure to risk, but the risk itself—injury or death suffered in a fire—is inherent in their profession.</w:t>
      </w:r>
      <w:r>
        <w:rPr>
          <w:rFonts w:ascii="Times New Roman" w:hAnsi="Times New Roman"/>
          <w:sz w:val="24"/>
          <w:szCs w:val="24"/>
        </w:rPr>
        <w:t>’</w:t>
      </w:r>
      <w:r w:rsidRPr="00A6382B">
        <w:rPr>
          <w:rFonts w:ascii="Times New Roman" w:hAnsi="Times New Roman"/>
          <w:sz w:val="24"/>
          <w:szCs w:val="24"/>
        </w:rPr>
        <w:t>)</w:t>
      </w:r>
      <w:r>
        <w:rPr>
          <w:rFonts w:ascii="Times New Roman" w:hAnsi="Times New Roman"/>
          <w:sz w:val="24"/>
          <w:szCs w:val="24"/>
        </w:rPr>
        <w:t xml:space="preserve">” </w:t>
      </w:r>
      <w:bookmarkStart w:id="94" w:name="_Hlk66941320"/>
      <w:r w:rsidR="00F00958">
        <w:fldChar w:fldCharType="begin"/>
      </w:r>
      <w:r w:rsidR="00F00958">
        <w:instrText xml:space="preserve"> HYPERLINK "https://www2.ca3.uscourts.gov/opinarch/201468np.pdf" </w:instrText>
      </w:r>
      <w:r w:rsidR="00F00958">
        <w:fldChar w:fldCharType="separate"/>
      </w:r>
      <w:r w:rsidRPr="00CE47CA">
        <w:rPr>
          <w:rStyle w:val="Hyperlink"/>
          <w:rFonts w:ascii="Times New Roman" w:hAnsi="Times New Roman"/>
          <w:sz w:val="24"/>
          <w:szCs w:val="24"/>
        </w:rPr>
        <w:t>https://www2.ca3.uscourts.gov/opinarch/201468np.pdf</w:t>
      </w:r>
      <w:r w:rsidR="00F00958">
        <w:rPr>
          <w:rStyle w:val="Hyperlink"/>
          <w:rFonts w:ascii="Times New Roman" w:hAnsi="Times New Roman"/>
          <w:sz w:val="24"/>
          <w:szCs w:val="24"/>
        </w:rPr>
        <w:fldChar w:fldCharType="end"/>
      </w:r>
    </w:p>
    <w:p w14:paraId="28567487" w14:textId="77777777" w:rsidR="007F3C7D" w:rsidRDefault="007F3C7D" w:rsidP="007F3C7D">
      <w:pPr>
        <w:spacing w:before="100" w:beforeAutospacing="1" w:after="100" w:afterAutospacing="1" w:line="240" w:lineRule="auto"/>
        <w:rPr>
          <w:rFonts w:ascii="Times New Roman" w:eastAsia="Times New Roman" w:hAnsi="Times New Roman"/>
          <w:b/>
          <w:bCs/>
          <w:sz w:val="24"/>
          <w:szCs w:val="24"/>
        </w:rPr>
      </w:pPr>
      <w:r w:rsidRPr="00D07A64">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Station brown outs are most unfortunate, but Federal courts will not interfere with local government decisions on budgets and allocations of resources.</w:t>
      </w:r>
    </w:p>
    <w:p w14:paraId="17C12255" w14:textId="77777777" w:rsidR="007F3C7D" w:rsidRDefault="007F3C7D" w:rsidP="007F3C7D">
      <w:pPr>
        <w:spacing w:before="100" w:beforeAutospacing="1" w:after="100" w:afterAutospacing="1" w:line="240" w:lineRule="auto"/>
        <w:ind w:left="720"/>
        <w:rPr>
          <w:rFonts w:ascii="Times New Roman" w:eastAsia="Times New Roman" w:hAnsi="Times New Roman"/>
          <w:sz w:val="24"/>
          <w:szCs w:val="24"/>
        </w:rPr>
      </w:pPr>
      <w:bookmarkStart w:id="95" w:name="_Hlk66941356"/>
      <w:bookmarkEnd w:id="94"/>
      <w:r w:rsidRPr="00D07A64">
        <w:rPr>
          <w:rFonts w:ascii="Times New Roman" w:eastAsia="Times New Roman" w:hAnsi="Times New Roman"/>
          <w:sz w:val="24"/>
          <w:szCs w:val="24"/>
        </w:rPr>
        <w:t xml:space="preserve">Note: </w:t>
      </w:r>
      <w:r>
        <w:rPr>
          <w:rFonts w:ascii="Times New Roman" w:eastAsia="Times New Roman" w:hAnsi="Times New Roman"/>
          <w:sz w:val="24"/>
          <w:szCs w:val="24"/>
        </w:rPr>
        <w:t xml:space="preserve">Jan. 8, 2021: Oakland, CA has recently announced plans for browning out stations. </w:t>
      </w:r>
      <w:hyperlink r:id="rId550" w:history="1">
        <w:r w:rsidRPr="00CE47CA">
          <w:rPr>
            <w:rStyle w:val="Hyperlink"/>
            <w:rFonts w:ascii="Times New Roman" w:eastAsia="Times New Roman" w:hAnsi="Times New Roman"/>
            <w:sz w:val="24"/>
            <w:szCs w:val="24"/>
          </w:rPr>
          <w:t>https://www.radio.com/kcbsradio/news/local/oakland-fire-stations-may-close-due-to-budget-deficit</w:t>
        </w:r>
      </w:hyperlink>
      <w:r>
        <w:rPr>
          <w:rFonts w:ascii="Times New Roman" w:eastAsia="Times New Roman" w:hAnsi="Times New Roman"/>
          <w:sz w:val="24"/>
          <w:szCs w:val="24"/>
        </w:rPr>
        <w:t xml:space="preserve"> </w:t>
      </w:r>
    </w:p>
    <w:p w14:paraId="674ECEB3" w14:textId="77777777" w:rsidR="007F3C7D" w:rsidRPr="00DA1A89" w:rsidRDefault="007F3C7D" w:rsidP="007F3C7D">
      <w:pPr>
        <w:pStyle w:val="NoSpacing"/>
        <w:ind w:left="720"/>
        <w:rPr>
          <w:rFonts w:ascii="Times New Roman" w:hAnsi="Times New Roman"/>
          <w:sz w:val="24"/>
          <w:szCs w:val="24"/>
        </w:rPr>
      </w:pPr>
      <w:r w:rsidRPr="00DA1A89">
        <w:rPr>
          <w:rFonts w:ascii="Times New Roman" w:hAnsi="Times New Roman"/>
          <w:sz w:val="24"/>
          <w:szCs w:val="24"/>
        </w:rPr>
        <w:t xml:space="preserve">On Dec. 16, 2019: Woman Gets 30 Years in Arson That Killed 3 Delaware Firefighters: </w:t>
      </w:r>
      <w:hyperlink r:id="rId551" w:history="1">
        <w:r w:rsidRPr="00CE47CA">
          <w:rPr>
            <w:rStyle w:val="Hyperlink"/>
            <w:rFonts w:ascii="Times New Roman" w:hAnsi="Times New Roman"/>
            <w:sz w:val="24"/>
            <w:szCs w:val="24"/>
          </w:rPr>
          <w:t>https://www.nbcphiladelphia.com/news/local/woman-gets-30-years-in-arson-that-killed-3-delaware-firefighters/2260369/</w:t>
        </w:r>
      </w:hyperlink>
      <w:r w:rsidRPr="00DA1A89">
        <w:rPr>
          <w:rFonts w:ascii="Times New Roman" w:hAnsi="Times New Roman"/>
          <w:sz w:val="24"/>
          <w:szCs w:val="24"/>
        </w:rPr>
        <w:t xml:space="preserve"> </w:t>
      </w:r>
    </w:p>
    <w:bookmarkEnd w:id="95"/>
    <w:p w14:paraId="67364734" w14:textId="77777777" w:rsidR="007F3C7D" w:rsidRDefault="007F3C7D" w:rsidP="007F3C7D">
      <w:pPr>
        <w:spacing w:before="100" w:beforeAutospacing="1" w:after="100" w:afterAutospacing="1" w:line="240" w:lineRule="auto"/>
        <w:ind w:left="720"/>
        <w:rPr>
          <w:rFonts w:ascii="Arial Black" w:hAnsi="Arial Black"/>
          <w:sz w:val="24"/>
          <w:szCs w:val="24"/>
        </w:rPr>
      </w:pPr>
    </w:p>
    <w:p w14:paraId="253B495F" w14:textId="77777777" w:rsidR="00F90EE5" w:rsidRDefault="00F90EE5" w:rsidP="00EF1133">
      <w:pPr>
        <w:pStyle w:val="NoSpacing"/>
        <w:rPr>
          <w:rFonts w:ascii="Arial Black" w:hAnsi="Arial Black"/>
          <w:sz w:val="24"/>
          <w:szCs w:val="24"/>
        </w:rPr>
      </w:pPr>
    </w:p>
    <w:p w14:paraId="1558366A" w14:textId="39950706" w:rsidR="007D178F" w:rsidRDefault="007D178F" w:rsidP="00EF1133">
      <w:pPr>
        <w:pStyle w:val="NoSpacing"/>
        <w:rPr>
          <w:rFonts w:ascii="Arial Black" w:hAnsi="Arial Black"/>
          <w:sz w:val="24"/>
          <w:szCs w:val="24"/>
        </w:rPr>
      </w:pPr>
      <w:r>
        <w:rPr>
          <w:rFonts w:ascii="Arial Black" w:hAnsi="Arial Black"/>
          <w:sz w:val="24"/>
          <w:szCs w:val="24"/>
        </w:rPr>
        <w:t>2-28</w:t>
      </w:r>
    </w:p>
    <w:p w14:paraId="6DC0DCD1" w14:textId="1AE42EFF" w:rsidR="007D178F" w:rsidRDefault="007D178F" w:rsidP="00EF1133">
      <w:pPr>
        <w:pStyle w:val="NoSpacing"/>
        <w:rPr>
          <w:rFonts w:ascii="Arial Black" w:hAnsi="Arial Black"/>
          <w:sz w:val="24"/>
          <w:szCs w:val="24"/>
        </w:rPr>
      </w:pPr>
    </w:p>
    <w:p w14:paraId="70FA03BD" w14:textId="77777777" w:rsidR="007D178F" w:rsidRPr="007E35C0" w:rsidRDefault="007D178F" w:rsidP="007D178F">
      <w:pPr>
        <w:pStyle w:val="NoSpacing"/>
        <w:rPr>
          <w:rFonts w:ascii="Arial Black" w:hAnsi="Arial Black"/>
          <w:sz w:val="28"/>
          <w:szCs w:val="28"/>
        </w:rPr>
      </w:pPr>
      <w:r>
        <w:rPr>
          <w:rFonts w:ascii="Arial Black" w:hAnsi="Arial Black"/>
          <w:sz w:val="28"/>
          <w:szCs w:val="28"/>
        </w:rPr>
        <w:t xml:space="preserve">MI:  DEPUTY CHIEF OBTAINED PROTECTIVE ORDER – CIVILIAN NO LONGER ALLOWED 2 STATIONS - MUST FEEL THREATENED  </w:t>
      </w:r>
    </w:p>
    <w:p w14:paraId="426E5B2D" w14:textId="77777777" w:rsidR="007D178F" w:rsidRDefault="007D178F" w:rsidP="007D178F">
      <w:pPr>
        <w:pStyle w:val="NoSpacing"/>
        <w:rPr>
          <w:rFonts w:ascii="Times New Roman" w:hAnsi="Times New Roman"/>
          <w:sz w:val="24"/>
          <w:szCs w:val="24"/>
        </w:rPr>
      </w:pPr>
    </w:p>
    <w:p w14:paraId="1EACAE62" w14:textId="77777777" w:rsidR="007D178F" w:rsidRDefault="007D178F" w:rsidP="007D178F">
      <w:pPr>
        <w:pStyle w:val="NoSpacing"/>
        <w:rPr>
          <w:rFonts w:ascii="Times New Roman" w:hAnsi="Times New Roman"/>
          <w:sz w:val="24"/>
          <w:szCs w:val="24"/>
        </w:rPr>
      </w:pPr>
      <w:r>
        <w:rPr>
          <w:rFonts w:ascii="Times New Roman" w:hAnsi="Times New Roman"/>
          <w:sz w:val="24"/>
          <w:szCs w:val="24"/>
        </w:rPr>
        <w:t xml:space="preserve">On Nov. 19, 2020, in </w:t>
      </w:r>
      <w:r w:rsidRPr="00721349">
        <w:rPr>
          <w:rFonts w:ascii="Times New Roman" w:hAnsi="Times New Roman"/>
          <w:sz w:val="24"/>
          <w:szCs w:val="24"/>
          <w:u w:val="single"/>
        </w:rPr>
        <w:t>RS, Petitioner v. AH, Respondent</w:t>
      </w:r>
      <w:r w:rsidRPr="00721349">
        <w:rPr>
          <w:rFonts w:ascii="Times New Roman" w:hAnsi="Times New Roman"/>
          <w:sz w:val="24"/>
          <w:szCs w:val="24"/>
        </w:rPr>
        <w:t xml:space="preserve">, </w:t>
      </w:r>
      <w:r>
        <w:rPr>
          <w:rFonts w:ascii="Times New Roman" w:hAnsi="Times New Roman"/>
          <w:sz w:val="24"/>
          <w:szCs w:val="24"/>
        </w:rPr>
        <w:t xml:space="preserve">the State of Michigan Court of Appeals held (3 to 0) that the trial court should not have issued a Personal Protective Order for stalking against the civilian (1-year; expired July 18, 2020) because the Deputy Chief testified that he did not feel emotional distress, just wanted it the harassment stopped.   </w:t>
      </w:r>
    </w:p>
    <w:p w14:paraId="61AAA1B1" w14:textId="77777777" w:rsidR="007D178F" w:rsidRDefault="007D178F" w:rsidP="007D178F">
      <w:pPr>
        <w:pStyle w:val="NoSpacing"/>
        <w:rPr>
          <w:rFonts w:ascii="Times New Roman" w:hAnsi="Times New Roman"/>
          <w:sz w:val="24"/>
          <w:szCs w:val="24"/>
        </w:rPr>
      </w:pPr>
    </w:p>
    <w:p w14:paraId="6A09F710" w14:textId="77777777" w:rsidR="007D178F" w:rsidRDefault="007D178F" w:rsidP="007D178F">
      <w:pPr>
        <w:pStyle w:val="NoSpacing"/>
        <w:ind w:left="720"/>
        <w:rPr>
          <w:rFonts w:ascii="Times New Roman" w:hAnsi="Times New Roman"/>
          <w:sz w:val="24"/>
          <w:szCs w:val="24"/>
        </w:rPr>
      </w:pPr>
      <w:r>
        <w:rPr>
          <w:rFonts w:ascii="Times New Roman" w:hAnsi="Times New Roman"/>
          <w:sz w:val="24"/>
          <w:szCs w:val="24"/>
        </w:rPr>
        <w:t>“</w:t>
      </w:r>
      <w:r w:rsidRPr="00721349">
        <w:rPr>
          <w:rFonts w:ascii="Times New Roman" w:hAnsi="Times New Roman"/>
          <w:sz w:val="24"/>
          <w:szCs w:val="24"/>
        </w:rPr>
        <w:t xml:space="preserve">In light of the record, we conclude that petitioner failed to meet his burden of proof for obtaining the PPO. Specifically, </w:t>
      </w:r>
      <w:proofErr w:type="gramStart"/>
      <w:r w:rsidRPr="00721349">
        <w:rPr>
          <w:rFonts w:ascii="Times New Roman" w:hAnsi="Times New Roman"/>
          <w:sz w:val="24"/>
          <w:szCs w:val="24"/>
        </w:rPr>
        <w:t>in order to</w:t>
      </w:r>
      <w:proofErr w:type="gramEnd"/>
      <w:r w:rsidRPr="00721349">
        <w:rPr>
          <w:rFonts w:ascii="Times New Roman" w:hAnsi="Times New Roman"/>
          <w:sz w:val="24"/>
          <w:szCs w:val="24"/>
        </w:rPr>
        <w:t xml:space="preserve"> </w:t>
      </w:r>
      <w:proofErr w:type="gramStart"/>
      <w:r w:rsidRPr="00721349">
        <w:rPr>
          <w:rFonts w:ascii="Times New Roman" w:hAnsi="Times New Roman"/>
          <w:sz w:val="24"/>
          <w:szCs w:val="24"/>
        </w:rPr>
        <w:t>demonstrating</w:t>
      </w:r>
      <w:proofErr w:type="gramEnd"/>
      <w:r w:rsidRPr="00721349">
        <w:rPr>
          <w:rFonts w:ascii="Times New Roman" w:hAnsi="Times New Roman"/>
          <w:sz w:val="24"/>
          <w:szCs w:val="24"/>
        </w:rPr>
        <w:t xml:space="preserve"> stalking, MCL 750.411h(1)(d), petitioner had to show harassment that included </w:t>
      </w:r>
      <w:r>
        <w:rPr>
          <w:rFonts w:ascii="Times New Roman" w:hAnsi="Times New Roman"/>
          <w:sz w:val="24"/>
          <w:szCs w:val="24"/>
        </w:rPr>
        <w:t>‘</w:t>
      </w:r>
      <w:r w:rsidRPr="00721349">
        <w:rPr>
          <w:rFonts w:ascii="Times New Roman" w:hAnsi="Times New Roman"/>
          <w:sz w:val="24"/>
          <w:szCs w:val="24"/>
        </w:rPr>
        <w:t xml:space="preserve">repeated or continuing unconsented contact that would cause a reasonable individual to suffer emotional distress and that actually causes the victim emotional </w:t>
      </w:r>
      <w:proofErr w:type="gramStart"/>
      <w:r w:rsidRPr="00721349">
        <w:rPr>
          <w:rFonts w:ascii="Times New Roman" w:hAnsi="Times New Roman"/>
          <w:sz w:val="24"/>
          <w:szCs w:val="24"/>
        </w:rPr>
        <w:t>distress.</w:t>
      </w:r>
      <w:r>
        <w:rPr>
          <w:rFonts w:ascii="Times New Roman" w:hAnsi="Times New Roman"/>
          <w:sz w:val="24"/>
          <w:szCs w:val="24"/>
        </w:rPr>
        <w:t>’</w:t>
      </w:r>
      <w:proofErr w:type="gramEnd"/>
      <w:r w:rsidRPr="00721349">
        <w:rPr>
          <w:rFonts w:ascii="Times New Roman" w:hAnsi="Times New Roman"/>
          <w:sz w:val="24"/>
          <w:szCs w:val="24"/>
        </w:rPr>
        <w:t xml:space="preserve"> MCL 750.411h(1)(c). The stalking must </w:t>
      </w:r>
      <w:proofErr w:type="gramStart"/>
      <w:r w:rsidRPr="00721349">
        <w:rPr>
          <w:rFonts w:ascii="Times New Roman" w:hAnsi="Times New Roman"/>
          <w:sz w:val="24"/>
          <w:szCs w:val="24"/>
        </w:rPr>
        <w:t>actually cause</w:t>
      </w:r>
      <w:proofErr w:type="gramEnd"/>
      <w:r w:rsidRPr="00721349">
        <w:rPr>
          <w:rFonts w:ascii="Times New Roman" w:hAnsi="Times New Roman"/>
          <w:sz w:val="24"/>
          <w:szCs w:val="24"/>
        </w:rPr>
        <w:t xml:space="preserve"> the individual to feel terrorized, frightened, intimidated, threatened, harassed, or molested. MCL 750.411h(1)(d). However, when petitioner was questioned on cross-examination regarding how </w:t>
      </w:r>
      <w:proofErr w:type="gramStart"/>
      <w:r w:rsidRPr="00721349">
        <w:rPr>
          <w:rFonts w:ascii="Times New Roman" w:hAnsi="Times New Roman"/>
          <w:sz w:val="24"/>
          <w:szCs w:val="24"/>
        </w:rPr>
        <w:t>the Facebook</w:t>
      </w:r>
      <w:proofErr w:type="gramEnd"/>
      <w:r w:rsidRPr="00721349">
        <w:rPr>
          <w:rFonts w:ascii="Times New Roman" w:hAnsi="Times New Roman"/>
          <w:sz w:val="24"/>
          <w:szCs w:val="24"/>
        </w:rPr>
        <w:t xml:space="preserve"> written and video posts impacted him, he testified, </w:t>
      </w:r>
      <w:r>
        <w:rPr>
          <w:rFonts w:ascii="Times New Roman" w:hAnsi="Times New Roman"/>
          <w:sz w:val="24"/>
          <w:szCs w:val="24"/>
        </w:rPr>
        <w:t>‘</w:t>
      </w:r>
      <w:r w:rsidRPr="00721349">
        <w:rPr>
          <w:rFonts w:ascii="Times New Roman" w:hAnsi="Times New Roman"/>
          <w:sz w:val="24"/>
          <w:szCs w:val="24"/>
        </w:rPr>
        <w:t xml:space="preserve">I didn't give it much thought at all, I just know that this is very odd, and this is very concerning to me that he's posting anything about me, and </w:t>
      </w:r>
    </w:p>
    <w:p w14:paraId="1B581301" w14:textId="77777777" w:rsidR="007D178F" w:rsidRDefault="007D178F" w:rsidP="007D178F">
      <w:pPr>
        <w:pStyle w:val="NoSpacing"/>
        <w:ind w:left="720"/>
        <w:rPr>
          <w:rFonts w:ascii="Times New Roman" w:hAnsi="Times New Roman"/>
          <w:sz w:val="24"/>
          <w:szCs w:val="24"/>
        </w:rPr>
      </w:pPr>
      <w:r w:rsidRPr="00721349">
        <w:rPr>
          <w:rFonts w:ascii="Times New Roman" w:hAnsi="Times New Roman"/>
          <w:sz w:val="24"/>
          <w:szCs w:val="24"/>
        </w:rPr>
        <w:t>driving down my street." More importantly, when petitioner was expressly asked whether respondent harassed and threatened him, he replied, "No, I claimed exactly what I stated her[e].</w:t>
      </w:r>
      <w:r>
        <w:rPr>
          <w:rFonts w:ascii="Times New Roman" w:hAnsi="Times New Roman"/>
          <w:sz w:val="24"/>
          <w:szCs w:val="24"/>
        </w:rPr>
        <w:t>’”</w:t>
      </w:r>
      <w:r w:rsidRPr="00721349">
        <w:t xml:space="preserve"> </w:t>
      </w:r>
      <w:hyperlink r:id="rId552" w:history="1">
        <w:r w:rsidRPr="002F20C3">
          <w:rPr>
            <w:rStyle w:val="Hyperlink"/>
            <w:rFonts w:ascii="Times New Roman" w:hAnsi="Times New Roman"/>
            <w:sz w:val="24"/>
            <w:szCs w:val="24"/>
          </w:rPr>
          <w:t>https://www.leagle.com/decision/inmico20201120334</w:t>
        </w:r>
      </w:hyperlink>
      <w:r>
        <w:rPr>
          <w:rFonts w:ascii="Times New Roman" w:hAnsi="Times New Roman"/>
          <w:sz w:val="24"/>
          <w:szCs w:val="24"/>
        </w:rPr>
        <w:t xml:space="preserve"> </w:t>
      </w:r>
    </w:p>
    <w:p w14:paraId="1CDDE050" w14:textId="77777777" w:rsidR="007D178F" w:rsidRDefault="007D178F" w:rsidP="007D178F">
      <w:pPr>
        <w:pStyle w:val="NoSpacing"/>
        <w:ind w:left="720"/>
        <w:rPr>
          <w:rFonts w:ascii="Times New Roman" w:hAnsi="Times New Roman"/>
          <w:sz w:val="24"/>
          <w:szCs w:val="24"/>
        </w:rPr>
      </w:pPr>
    </w:p>
    <w:p w14:paraId="06F31377" w14:textId="77777777" w:rsidR="007D178F" w:rsidRDefault="007D178F" w:rsidP="007D178F">
      <w:pPr>
        <w:pStyle w:val="NoSpacing"/>
        <w:rPr>
          <w:rFonts w:ascii="Times New Roman" w:hAnsi="Times New Roman"/>
          <w:sz w:val="24"/>
          <w:szCs w:val="24"/>
        </w:rPr>
      </w:pPr>
    </w:p>
    <w:p w14:paraId="4D0EF4D0" w14:textId="77777777" w:rsidR="007D178F" w:rsidRPr="0096139A" w:rsidRDefault="007D178F" w:rsidP="007D178F">
      <w:pPr>
        <w:pStyle w:val="NoSpacing"/>
        <w:rPr>
          <w:rFonts w:ascii="Times New Roman" w:hAnsi="Times New Roman"/>
          <w:b/>
          <w:bCs/>
          <w:sz w:val="24"/>
          <w:szCs w:val="24"/>
        </w:rPr>
      </w:pPr>
      <w:r w:rsidRPr="0096139A">
        <w:rPr>
          <w:rFonts w:ascii="Times New Roman" w:hAnsi="Times New Roman"/>
          <w:b/>
          <w:bCs/>
          <w:sz w:val="24"/>
          <w:szCs w:val="24"/>
        </w:rPr>
        <w:t xml:space="preserve">Legal Lesson Learned: </w:t>
      </w:r>
      <w:r>
        <w:rPr>
          <w:rFonts w:ascii="Times New Roman" w:hAnsi="Times New Roman"/>
          <w:b/>
          <w:bCs/>
          <w:sz w:val="24"/>
          <w:szCs w:val="24"/>
        </w:rPr>
        <w:t xml:space="preserve"> The Deputy Chief could have also asked County Prosecutor to bring criminal charges against the stalker under the Michigan “cyber stalking” statute. </w:t>
      </w:r>
    </w:p>
    <w:p w14:paraId="51D2AC66" w14:textId="77777777" w:rsidR="007D178F" w:rsidRPr="00D0410F" w:rsidRDefault="007D178F" w:rsidP="007D178F">
      <w:pPr>
        <w:spacing w:after="100" w:line="240" w:lineRule="auto"/>
        <w:ind w:left="720"/>
        <w:rPr>
          <w:rFonts w:ascii="Times New Roman" w:hAnsi="Times New Roman"/>
          <w:sz w:val="24"/>
          <w:szCs w:val="24"/>
        </w:rPr>
      </w:pPr>
    </w:p>
    <w:p w14:paraId="1A2CA0EB" w14:textId="77777777" w:rsidR="007D178F" w:rsidRPr="007668F4" w:rsidRDefault="007D178F" w:rsidP="007D178F">
      <w:pPr>
        <w:spacing w:after="100" w:line="240" w:lineRule="auto"/>
        <w:ind w:left="720"/>
        <w:rPr>
          <w:rFonts w:ascii="Times New Roman" w:hAnsi="Times New Roman"/>
          <w:sz w:val="24"/>
          <w:szCs w:val="24"/>
        </w:rPr>
      </w:pPr>
      <w:r w:rsidRPr="007668F4">
        <w:rPr>
          <w:rFonts w:ascii="Times New Roman" w:eastAsia="Times New Roman" w:hAnsi="Times New Roman"/>
          <w:sz w:val="24"/>
          <w:szCs w:val="24"/>
        </w:rPr>
        <w:t xml:space="preserve">Michigan </w:t>
      </w:r>
      <w:r w:rsidRPr="007668F4">
        <w:rPr>
          <w:rFonts w:ascii="Times New Roman" w:hAnsi="Times New Roman"/>
          <w:sz w:val="24"/>
          <w:szCs w:val="24"/>
        </w:rPr>
        <w:t xml:space="preserve">750.411h:  Stalking; definitions; violation as misdemeanor; penalties; probation; conditions; evidence of continued conduct as rebuttable presumption; additional penalties. </w:t>
      </w:r>
    </w:p>
    <w:p w14:paraId="3D26255F" w14:textId="77777777" w:rsidR="007D178F" w:rsidRPr="0096139A" w:rsidRDefault="007D178F" w:rsidP="007D178F">
      <w:pPr>
        <w:spacing w:after="100" w:line="240" w:lineRule="auto"/>
        <w:ind w:left="720"/>
        <w:rPr>
          <w:rFonts w:ascii="Times New Roman" w:eastAsia="Times New Roman" w:hAnsi="Times New Roman"/>
          <w:sz w:val="24"/>
          <w:szCs w:val="24"/>
        </w:rPr>
      </w:pPr>
      <w:r w:rsidRPr="0096139A">
        <w:rPr>
          <w:rFonts w:ascii="Times New Roman" w:hAnsi="Times New Roman"/>
          <w:b/>
          <w:bCs/>
          <w:sz w:val="24"/>
          <w:szCs w:val="24"/>
        </w:rPr>
        <w:t xml:space="preserve"> </w:t>
      </w:r>
      <w:r w:rsidRPr="0096139A">
        <w:rPr>
          <w:rFonts w:ascii="Times New Roman" w:eastAsia="Times New Roman" w:hAnsi="Times New Roman"/>
          <w:sz w:val="24"/>
          <w:szCs w:val="24"/>
        </w:rPr>
        <w:t>(2) An individual who engages in stalking is guilty of a crime as follows:</w:t>
      </w:r>
    </w:p>
    <w:p w14:paraId="7B748AB8" w14:textId="77777777" w:rsidR="007D178F" w:rsidRPr="0096139A" w:rsidRDefault="007D178F" w:rsidP="007D178F">
      <w:pPr>
        <w:spacing w:after="0" w:line="240" w:lineRule="auto"/>
        <w:ind w:left="720"/>
        <w:rPr>
          <w:rFonts w:ascii="Times New Roman" w:eastAsia="Times New Roman" w:hAnsi="Times New Roman"/>
          <w:sz w:val="24"/>
          <w:szCs w:val="24"/>
        </w:rPr>
      </w:pPr>
      <w:r w:rsidRPr="0096139A">
        <w:rPr>
          <w:rFonts w:ascii="Times New Roman" w:eastAsia="Times New Roman" w:hAnsi="Times New Roman"/>
          <w:sz w:val="24"/>
          <w:szCs w:val="24"/>
        </w:rPr>
        <w:t>(a) Except as provided in subdivision (b), a misdemeanor punishable by imprisonment for not more than 1 year or a fine of not more than $1,000.00, or both.</w:t>
      </w:r>
    </w:p>
    <w:p w14:paraId="40FAB38C" w14:textId="77777777" w:rsidR="007D178F" w:rsidRPr="0096139A" w:rsidRDefault="007D178F" w:rsidP="007D178F">
      <w:pPr>
        <w:spacing w:after="0" w:line="240" w:lineRule="auto"/>
        <w:ind w:left="720"/>
        <w:rPr>
          <w:rFonts w:ascii="Times New Roman" w:eastAsia="Times New Roman" w:hAnsi="Times New Roman"/>
          <w:sz w:val="24"/>
          <w:szCs w:val="24"/>
        </w:rPr>
      </w:pPr>
      <w:r w:rsidRPr="0096139A">
        <w:rPr>
          <w:rFonts w:ascii="Times New Roman" w:eastAsia="Times New Roman" w:hAnsi="Times New Roman"/>
          <w:sz w:val="24"/>
          <w:szCs w:val="24"/>
        </w:rPr>
        <w:t xml:space="preserve">(b) If the victim was less than 18 years of age at any time during the individual's course of conduct and the individual is 5 or more years older than the victim, a felony punishable by imprisonment for not more than 5 years or a fine of not more than $10,000.00, or both. </w:t>
      </w:r>
    </w:p>
    <w:p w14:paraId="6CC6E1B1" w14:textId="77777777" w:rsidR="007D178F" w:rsidRPr="0096139A" w:rsidRDefault="007D178F" w:rsidP="007D178F">
      <w:pPr>
        <w:spacing w:after="0" w:line="240" w:lineRule="auto"/>
        <w:ind w:left="720" w:firstLine="120"/>
        <w:rPr>
          <w:rFonts w:ascii="Times New Roman" w:eastAsia="Times New Roman" w:hAnsi="Times New Roman"/>
          <w:sz w:val="24"/>
          <w:szCs w:val="24"/>
        </w:rPr>
      </w:pPr>
      <w:r w:rsidRPr="0096139A">
        <w:rPr>
          <w:rFonts w:ascii="Times New Roman" w:eastAsia="Times New Roman" w:hAnsi="Times New Roman"/>
          <w:sz w:val="24"/>
          <w:szCs w:val="24"/>
        </w:rPr>
        <w:t>(3) The court may place an individual convicted of violating this section on probation for a term of not more than 5 years. If a term of probation is ordered, the court may, in addition to any other lawful condition of probation, order the defendant to do any of the following:</w:t>
      </w:r>
    </w:p>
    <w:p w14:paraId="24CD295B" w14:textId="77777777" w:rsidR="007D178F" w:rsidRPr="0096139A" w:rsidRDefault="007D178F" w:rsidP="007D178F">
      <w:pPr>
        <w:spacing w:after="0" w:line="240" w:lineRule="auto"/>
        <w:rPr>
          <w:rFonts w:ascii="Times New Roman" w:eastAsia="Times New Roman" w:hAnsi="Times New Roman"/>
          <w:sz w:val="24"/>
          <w:szCs w:val="24"/>
        </w:rPr>
      </w:pPr>
      <w:r w:rsidRPr="0096139A">
        <w:rPr>
          <w:rFonts w:ascii="Times New Roman" w:eastAsia="Times New Roman" w:hAnsi="Times New Roman"/>
          <w:sz w:val="24"/>
          <w:szCs w:val="24"/>
        </w:rPr>
        <w:t>  </w:t>
      </w:r>
      <w:r>
        <w:rPr>
          <w:rFonts w:ascii="Times New Roman" w:eastAsia="Times New Roman" w:hAnsi="Times New Roman"/>
          <w:sz w:val="24"/>
          <w:szCs w:val="24"/>
        </w:rPr>
        <w:tab/>
      </w:r>
      <w:r w:rsidRPr="0096139A">
        <w:rPr>
          <w:rFonts w:ascii="Times New Roman" w:eastAsia="Times New Roman" w:hAnsi="Times New Roman"/>
          <w:sz w:val="24"/>
          <w:szCs w:val="24"/>
        </w:rPr>
        <w:t>(a) Refrain from stalking any individual during the term of probation.</w:t>
      </w:r>
    </w:p>
    <w:p w14:paraId="6DB84AD1" w14:textId="77777777" w:rsidR="007D178F" w:rsidRPr="0096139A" w:rsidRDefault="007D178F" w:rsidP="007D178F">
      <w:pPr>
        <w:spacing w:after="0" w:line="240" w:lineRule="auto"/>
        <w:rPr>
          <w:rFonts w:ascii="Times New Roman" w:eastAsia="Times New Roman" w:hAnsi="Times New Roman"/>
          <w:sz w:val="24"/>
          <w:szCs w:val="24"/>
        </w:rPr>
      </w:pPr>
      <w:r w:rsidRPr="0096139A">
        <w:rPr>
          <w:rFonts w:ascii="Times New Roman" w:eastAsia="Times New Roman" w:hAnsi="Times New Roman"/>
          <w:sz w:val="24"/>
          <w:szCs w:val="24"/>
        </w:rPr>
        <w:t> </w:t>
      </w:r>
      <w:r>
        <w:rPr>
          <w:rFonts w:ascii="Times New Roman" w:eastAsia="Times New Roman" w:hAnsi="Times New Roman"/>
          <w:sz w:val="24"/>
          <w:szCs w:val="24"/>
        </w:rPr>
        <w:tab/>
      </w:r>
      <w:r w:rsidRPr="0096139A">
        <w:rPr>
          <w:rFonts w:ascii="Times New Roman" w:eastAsia="Times New Roman" w:hAnsi="Times New Roman"/>
          <w:sz w:val="24"/>
          <w:szCs w:val="24"/>
        </w:rPr>
        <w:t> (b) Refrain from having any contact with the victim of the offense.</w:t>
      </w:r>
    </w:p>
    <w:p w14:paraId="521B2E0F" w14:textId="77777777" w:rsidR="007D178F" w:rsidRDefault="007D178F" w:rsidP="007D178F">
      <w:pPr>
        <w:spacing w:after="0" w:line="240" w:lineRule="auto"/>
        <w:ind w:left="720"/>
        <w:rPr>
          <w:rFonts w:ascii="Times New Roman" w:hAnsi="Times New Roman"/>
          <w:sz w:val="24"/>
          <w:szCs w:val="24"/>
        </w:rPr>
      </w:pPr>
      <w:r w:rsidRPr="0096139A">
        <w:rPr>
          <w:rFonts w:ascii="Times New Roman" w:eastAsia="Times New Roman" w:hAnsi="Times New Roman"/>
          <w:sz w:val="24"/>
          <w:szCs w:val="24"/>
        </w:rPr>
        <w:t xml:space="preserve"> (c) Be evaluated to determine the need for psychiatric, psychological, or social counseling and </w:t>
      </w:r>
      <w:proofErr w:type="gramStart"/>
      <w:r w:rsidRPr="0096139A">
        <w:rPr>
          <w:rFonts w:ascii="Times New Roman" w:eastAsia="Times New Roman" w:hAnsi="Times New Roman"/>
          <w:sz w:val="24"/>
          <w:szCs w:val="24"/>
        </w:rPr>
        <w:t>if,</w:t>
      </w:r>
      <w:proofErr w:type="gramEnd"/>
      <w:r w:rsidRPr="0096139A">
        <w:rPr>
          <w:rFonts w:ascii="Times New Roman" w:eastAsia="Times New Roman" w:hAnsi="Times New Roman"/>
          <w:sz w:val="24"/>
          <w:szCs w:val="24"/>
        </w:rPr>
        <w:t xml:space="preserve"> determined appropriate by the court, to receive psychiatric, psychological, or social counseling at his or her own expense.</w:t>
      </w:r>
    </w:p>
    <w:p w14:paraId="77C2D248" w14:textId="77777777" w:rsidR="007D178F" w:rsidRPr="007E35C0" w:rsidRDefault="007D178F" w:rsidP="007D178F">
      <w:pPr>
        <w:spacing w:after="100" w:line="240" w:lineRule="auto"/>
        <w:ind w:left="720"/>
        <w:rPr>
          <w:rFonts w:ascii="Times New Roman" w:eastAsia="Times New Roman" w:hAnsi="Times New Roman"/>
          <w:sz w:val="24"/>
          <w:szCs w:val="24"/>
        </w:rPr>
      </w:pPr>
      <w:hyperlink r:id="rId553" w:history="1">
        <w:r w:rsidRPr="002F20C3">
          <w:rPr>
            <w:rStyle w:val="Hyperlink"/>
            <w:rFonts w:ascii="Times New Roman" w:hAnsi="Times New Roman"/>
            <w:sz w:val="24"/>
            <w:szCs w:val="24"/>
          </w:rPr>
          <w:t>http://www.legislature.mi.gov/(S(dodu2xg2ouu1vonwqhxqy4i2))/mileg.aspx?page=getObject&amp;objectName=mcl-750-411h</w:t>
        </w:r>
      </w:hyperlink>
      <w:r w:rsidRPr="0096139A">
        <w:rPr>
          <w:rFonts w:ascii="Times New Roman" w:hAnsi="Times New Roman"/>
          <w:sz w:val="24"/>
          <w:szCs w:val="24"/>
        </w:rPr>
        <w:t xml:space="preserve"> </w:t>
      </w:r>
    </w:p>
    <w:p w14:paraId="3EEBA3DC" w14:textId="77777777" w:rsidR="007D178F" w:rsidRDefault="007D178F" w:rsidP="00EF1133">
      <w:pPr>
        <w:pStyle w:val="NoSpacing"/>
        <w:rPr>
          <w:rFonts w:ascii="Arial Black" w:hAnsi="Arial Black"/>
          <w:sz w:val="24"/>
          <w:szCs w:val="24"/>
        </w:rPr>
      </w:pPr>
    </w:p>
    <w:p w14:paraId="5D7482FF" w14:textId="77777777" w:rsidR="007D178F" w:rsidRDefault="007D178F" w:rsidP="00EF1133">
      <w:pPr>
        <w:pStyle w:val="NoSpacing"/>
        <w:rPr>
          <w:rFonts w:ascii="Arial Black" w:hAnsi="Arial Black"/>
          <w:sz w:val="24"/>
          <w:szCs w:val="24"/>
        </w:rPr>
      </w:pPr>
    </w:p>
    <w:p w14:paraId="7870C316" w14:textId="77777777" w:rsidR="007D178F" w:rsidRDefault="007D178F" w:rsidP="00EF1133">
      <w:pPr>
        <w:pStyle w:val="NoSpacing"/>
        <w:rPr>
          <w:rFonts w:ascii="Arial Black" w:hAnsi="Arial Black"/>
          <w:sz w:val="24"/>
          <w:szCs w:val="24"/>
        </w:rPr>
      </w:pPr>
    </w:p>
    <w:p w14:paraId="53DC91C8" w14:textId="59D26B71" w:rsidR="00F824FE" w:rsidRDefault="00F824FE" w:rsidP="00EF1133">
      <w:pPr>
        <w:pStyle w:val="NoSpacing"/>
        <w:rPr>
          <w:rFonts w:ascii="Arial Black" w:hAnsi="Arial Black"/>
          <w:sz w:val="24"/>
          <w:szCs w:val="24"/>
        </w:rPr>
      </w:pPr>
      <w:r>
        <w:rPr>
          <w:rFonts w:ascii="Arial Black" w:hAnsi="Arial Black"/>
          <w:sz w:val="24"/>
          <w:szCs w:val="24"/>
        </w:rPr>
        <w:t>2-37</w:t>
      </w:r>
    </w:p>
    <w:p w14:paraId="491ABD84" w14:textId="21E55F67" w:rsidR="00F824FE" w:rsidRDefault="00F824FE" w:rsidP="00EF1133">
      <w:pPr>
        <w:pStyle w:val="NoSpacing"/>
        <w:rPr>
          <w:rFonts w:ascii="Arial Black" w:hAnsi="Arial Black"/>
          <w:sz w:val="24"/>
          <w:szCs w:val="24"/>
        </w:rPr>
      </w:pPr>
    </w:p>
    <w:p w14:paraId="789F5D7D" w14:textId="77777777" w:rsidR="00F824FE" w:rsidRPr="0077130A" w:rsidRDefault="00F824FE" w:rsidP="00F824FE">
      <w:pPr>
        <w:spacing w:before="100" w:beforeAutospacing="1" w:after="100" w:afterAutospacing="1" w:line="240" w:lineRule="auto"/>
        <w:rPr>
          <w:rFonts w:ascii="Arial Black" w:eastAsia="Times New Roman" w:hAnsi="Arial Black"/>
          <w:sz w:val="28"/>
          <w:szCs w:val="28"/>
        </w:rPr>
      </w:pPr>
      <w:r w:rsidRPr="0077130A">
        <w:rPr>
          <w:rFonts w:ascii="Arial Black" w:eastAsia="Times New Roman" w:hAnsi="Arial Black"/>
          <w:sz w:val="28"/>
          <w:szCs w:val="28"/>
        </w:rPr>
        <w:t>PA:</w:t>
      </w:r>
      <w:r>
        <w:rPr>
          <w:rFonts w:ascii="Arial Black" w:eastAsia="Times New Roman" w:hAnsi="Arial Black"/>
          <w:sz w:val="28"/>
          <w:szCs w:val="28"/>
        </w:rPr>
        <w:t xml:space="preserve">  DISPATCHER TOLD MOTHER STAY 3</w:t>
      </w:r>
      <w:r w:rsidRPr="007A7322">
        <w:rPr>
          <w:rFonts w:ascii="Arial Black" w:eastAsia="Times New Roman" w:hAnsi="Arial Black"/>
          <w:sz w:val="28"/>
          <w:szCs w:val="28"/>
          <w:vertAlign w:val="superscript"/>
        </w:rPr>
        <w:t>rd</w:t>
      </w:r>
      <w:r>
        <w:rPr>
          <w:rFonts w:ascii="Arial Black" w:eastAsia="Times New Roman" w:hAnsi="Arial Black"/>
          <w:sz w:val="28"/>
          <w:szCs w:val="28"/>
        </w:rPr>
        <w:t xml:space="preserve"> FLOOR APARTMENT – 3 DEAD FIRE – NO “STATE CREATED DANGER,” LAWSUIT DISMISSED</w:t>
      </w:r>
    </w:p>
    <w:p w14:paraId="14D26DD6" w14:textId="77777777" w:rsidR="00F824FE" w:rsidRDefault="00F824FE" w:rsidP="00F824F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Sept. 22, 2020, in </w:t>
      </w:r>
      <w:r w:rsidRPr="0077130A">
        <w:rPr>
          <w:rFonts w:ascii="Times New Roman" w:eastAsia="Times New Roman" w:hAnsi="Times New Roman"/>
          <w:sz w:val="24"/>
          <w:szCs w:val="24"/>
          <w:u w:val="single"/>
        </w:rPr>
        <w:t>Tamika Johnson, Administratrix of Estates of Alita Johnson, Horace McCouellem and Haashim Johnson v. City of Philadelphia</w:t>
      </w:r>
      <w:r>
        <w:rPr>
          <w:rFonts w:ascii="Times New Roman" w:eastAsia="Times New Roman" w:hAnsi="Times New Roman"/>
          <w:sz w:val="24"/>
          <w:szCs w:val="24"/>
        </w:rPr>
        <w:t xml:space="preserve">, the U.S. Court of Appeals for the Third District (Philadelphia) held (3 to 0) that the trial court properly granted the City’s motion to dismiss.  Recognizing the tragic consequences of the error by the Dispatcher, there was no prior history of similar mistaken advice by dispatchers for 911 callers to remain in the apartment;  no violation of the “State Created Danger” theory of municipal liability – no violation of “shock the conscience” test.  </w:t>
      </w:r>
    </w:p>
    <w:p w14:paraId="67CC7418" w14:textId="77777777" w:rsidR="00F824FE" w:rsidRDefault="00F824FE" w:rsidP="00F824FE">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77130A">
        <w:rPr>
          <w:rFonts w:ascii="Times New Roman" w:hAnsi="Times New Roman"/>
          <w:sz w:val="24"/>
          <w:szCs w:val="24"/>
        </w:rPr>
        <w:t>The District Court held that, as alleged, neither the Dispatcher nor the Operator was liable for the Johnson Family's harm. Because the Dispatcher did not act affirmatively, and because the Operator's behavior did not shock the conscience, we agree.</w:t>
      </w:r>
    </w:p>
    <w:p w14:paraId="298EB641" w14:textId="77777777" w:rsidR="00F824FE" w:rsidRPr="0077130A" w:rsidRDefault="00F824FE" w:rsidP="00F824FE">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p>
    <w:p w14:paraId="62F2A6EA" w14:textId="77777777" w:rsidR="00F824FE" w:rsidRDefault="00F824FE" w:rsidP="00F824FE">
      <w:pPr>
        <w:spacing w:before="100" w:beforeAutospacing="1" w:after="100" w:afterAutospacing="1" w:line="240" w:lineRule="auto"/>
        <w:ind w:left="720"/>
        <w:rPr>
          <w:rFonts w:ascii="Times New Roman" w:hAnsi="Times New Roman"/>
          <w:sz w:val="24"/>
          <w:szCs w:val="24"/>
        </w:rPr>
      </w:pPr>
      <w:r w:rsidRPr="0077130A">
        <w:rPr>
          <w:rFonts w:ascii="Times New Roman" w:hAnsi="Times New Roman"/>
          <w:sz w:val="24"/>
          <w:szCs w:val="24"/>
        </w:rPr>
        <w:t xml:space="preserve">Appellant alleges that the Operator violated the Johnson Family's constitutional rights by </w:t>
      </w:r>
      <w:r>
        <w:rPr>
          <w:rFonts w:ascii="Times New Roman" w:hAnsi="Times New Roman"/>
          <w:sz w:val="24"/>
          <w:szCs w:val="24"/>
        </w:rPr>
        <w:t>‘</w:t>
      </w:r>
      <w:r w:rsidRPr="0077130A">
        <w:rPr>
          <w:rFonts w:ascii="Times New Roman" w:hAnsi="Times New Roman"/>
          <w:sz w:val="24"/>
          <w:szCs w:val="24"/>
        </w:rPr>
        <w:t>directing them to close themselves inside the burning building's 3rd floor rear room, assuring them that [f]</w:t>
      </w:r>
      <w:proofErr w:type="spellStart"/>
      <w:r w:rsidRPr="0077130A">
        <w:rPr>
          <w:rFonts w:ascii="Times New Roman" w:hAnsi="Times New Roman"/>
          <w:sz w:val="24"/>
          <w:szCs w:val="24"/>
        </w:rPr>
        <w:t>irefighters</w:t>
      </w:r>
      <w:proofErr w:type="spellEnd"/>
      <w:r w:rsidRPr="0077130A">
        <w:rPr>
          <w:rFonts w:ascii="Times New Roman" w:hAnsi="Times New Roman"/>
          <w:sz w:val="24"/>
          <w:szCs w:val="24"/>
        </w:rPr>
        <w:t xml:space="preserve"> were coming to their rescue, but then failing inexplicably to inform the [f]</w:t>
      </w:r>
      <w:proofErr w:type="spellStart"/>
      <w:r w:rsidRPr="0077130A">
        <w:rPr>
          <w:rFonts w:ascii="Times New Roman" w:hAnsi="Times New Roman"/>
          <w:sz w:val="24"/>
          <w:szCs w:val="24"/>
        </w:rPr>
        <w:t>irefighters</w:t>
      </w:r>
      <w:proofErr w:type="spellEnd"/>
      <w:r w:rsidRPr="0077130A">
        <w:rPr>
          <w:rFonts w:ascii="Times New Roman" w:hAnsi="Times New Roman"/>
          <w:sz w:val="24"/>
          <w:szCs w:val="24"/>
        </w:rPr>
        <w:t xml:space="preserve"> of [their] existence, location, or need of rescue.</w:t>
      </w:r>
      <w:r>
        <w:rPr>
          <w:rFonts w:ascii="Times New Roman" w:hAnsi="Times New Roman"/>
          <w:sz w:val="24"/>
          <w:szCs w:val="24"/>
        </w:rPr>
        <w:t xml:space="preserve">’ …. </w:t>
      </w:r>
      <w:r w:rsidRPr="0077130A">
        <w:rPr>
          <w:rFonts w:ascii="Times New Roman" w:hAnsi="Times New Roman"/>
          <w:sz w:val="24"/>
          <w:szCs w:val="24"/>
        </w:rPr>
        <w:t xml:space="preserve">The District Court held that those allegations do not </w:t>
      </w:r>
      <w:r>
        <w:rPr>
          <w:rFonts w:ascii="Times New Roman" w:hAnsi="Times New Roman"/>
          <w:sz w:val="24"/>
          <w:szCs w:val="24"/>
        </w:rPr>
        <w:t>‘</w:t>
      </w:r>
      <w:r w:rsidRPr="0077130A">
        <w:rPr>
          <w:rFonts w:ascii="Times New Roman" w:hAnsi="Times New Roman"/>
          <w:sz w:val="24"/>
          <w:szCs w:val="24"/>
        </w:rPr>
        <w:t>shock the conscience,</w:t>
      </w:r>
      <w:r>
        <w:rPr>
          <w:rFonts w:ascii="Times New Roman" w:hAnsi="Times New Roman"/>
          <w:sz w:val="24"/>
          <w:szCs w:val="24"/>
        </w:rPr>
        <w:t>’</w:t>
      </w:r>
      <w:r w:rsidRPr="0077130A">
        <w:rPr>
          <w:rFonts w:ascii="Times New Roman" w:hAnsi="Times New Roman"/>
          <w:sz w:val="24"/>
          <w:szCs w:val="24"/>
        </w:rPr>
        <w:t xml:space="preserve"> as that phrase is defined in our precedent. We agree.</w:t>
      </w:r>
    </w:p>
    <w:p w14:paraId="11FA4DE8" w14:textId="77777777" w:rsidR="00F824FE" w:rsidRPr="0077130A" w:rsidRDefault="00F824FE" w:rsidP="00F824F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A8B6A2A" w14:textId="77777777" w:rsidR="00F824FE" w:rsidRPr="0077130A" w:rsidRDefault="00F824FE" w:rsidP="00F824FE">
      <w:pPr>
        <w:spacing w:before="100" w:beforeAutospacing="1" w:after="100" w:afterAutospacing="1" w:line="240" w:lineRule="auto"/>
        <w:ind w:left="720"/>
        <w:rPr>
          <w:rFonts w:ascii="Times New Roman" w:hAnsi="Times New Roman"/>
          <w:sz w:val="24"/>
          <w:szCs w:val="24"/>
        </w:rPr>
      </w:pPr>
      <w:r w:rsidRPr="0077130A">
        <w:rPr>
          <w:rFonts w:ascii="Times New Roman" w:hAnsi="Times New Roman"/>
          <w:sz w:val="24"/>
          <w:szCs w:val="24"/>
        </w:rPr>
        <w:t xml:space="preserve">Finally, Appellant alleges that the </w:t>
      </w:r>
      <w:proofErr w:type="gramStart"/>
      <w:r w:rsidRPr="0077130A">
        <w:rPr>
          <w:rFonts w:ascii="Times New Roman" w:hAnsi="Times New Roman"/>
          <w:sz w:val="24"/>
          <w:szCs w:val="24"/>
        </w:rPr>
        <w:t>City</w:t>
      </w:r>
      <w:proofErr w:type="gramEnd"/>
      <w:r w:rsidRPr="0077130A">
        <w:rPr>
          <w:rFonts w:ascii="Times New Roman" w:hAnsi="Times New Roman"/>
          <w:sz w:val="24"/>
          <w:szCs w:val="24"/>
        </w:rPr>
        <w:t xml:space="preserve"> simply ignored the history of problems at the Johnson Family's residence, by failing to fix the building's fire hazards and failing to stop the building owners' practices. The District Court held that the </w:t>
      </w:r>
      <w:proofErr w:type="gramStart"/>
      <w:r w:rsidRPr="0077130A">
        <w:rPr>
          <w:rFonts w:ascii="Times New Roman" w:hAnsi="Times New Roman"/>
          <w:sz w:val="24"/>
          <w:szCs w:val="24"/>
        </w:rPr>
        <w:t>City</w:t>
      </w:r>
      <w:proofErr w:type="gramEnd"/>
      <w:r w:rsidRPr="0077130A">
        <w:rPr>
          <w:rFonts w:ascii="Times New Roman" w:hAnsi="Times New Roman"/>
          <w:sz w:val="24"/>
          <w:szCs w:val="24"/>
        </w:rPr>
        <w:t xml:space="preserve"> was immune from these negligence claims because it had insufficient control over the building. Under the relevant Commonwealth law, we agree.</w:t>
      </w:r>
      <w:r>
        <w:rPr>
          <w:rFonts w:ascii="Times New Roman" w:hAnsi="Times New Roman"/>
          <w:sz w:val="24"/>
          <w:szCs w:val="24"/>
        </w:rPr>
        <w:t xml:space="preserve">”  </w:t>
      </w:r>
      <w:hyperlink r:id="rId554" w:history="1">
        <w:r w:rsidRPr="002F1E28">
          <w:rPr>
            <w:rStyle w:val="Hyperlink"/>
            <w:rFonts w:ascii="Times New Roman" w:hAnsi="Times New Roman"/>
            <w:sz w:val="24"/>
            <w:szCs w:val="24"/>
          </w:rPr>
          <w:t>https://www2.ca3.uscourts.gov/opinarch/192938p.pdf</w:t>
        </w:r>
      </w:hyperlink>
      <w:r>
        <w:rPr>
          <w:rFonts w:ascii="Times New Roman" w:hAnsi="Times New Roman"/>
          <w:sz w:val="24"/>
          <w:szCs w:val="24"/>
        </w:rPr>
        <w:t xml:space="preserve"> </w:t>
      </w:r>
    </w:p>
    <w:p w14:paraId="789B4DA9" w14:textId="77777777" w:rsidR="00F824FE" w:rsidRPr="00D00E0A" w:rsidRDefault="00F824FE" w:rsidP="00F824FE">
      <w:pPr>
        <w:pStyle w:val="NormalWeb"/>
        <w:rPr>
          <w:b/>
          <w:bCs/>
        </w:rPr>
      </w:pPr>
      <w:r w:rsidRPr="00D00E0A">
        <w:rPr>
          <w:b/>
          <w:bCs/>
        </w:rPr>
        <w:t>Legal Lessons Learned:</w:t>
      </w:r>
      <w:r>
        <w:rPr>
          <w:b/>
          <w:bCs/>
        </w:rPr>
        <w:t xml:space="preserve">  Tragic set of facts; hopefully Dispatchers throughout the Nation have learned from this event.  </w:t>
      </w:r>
    </w:p>
    <w:p w14:paraId="7789B2DA" w14:textId="77777777" w:rsidR="00F824FE" w:rsidRDefault="00F824FE" w:rsidP="00EF1133">
      <w:pPr>
        <w:pStyle w:val="NoSpacing"/>
        <w:rPr>
          <w:rFonts w:ascii="Arial Black" w:hAnsi="Arial Black"/>
          <w:sz w:val="24"/>
          <w:szCs w:val="24"/>
        </w:rPr>
      </w:pPr>
    </w:p>
    <w:p w14:paraId="31B08CD9" w14:textId="77777777" w:rsidR="00F824FE" w:rsidRDefault="00F824FE" w:rsidP="00EF1133">
      <w:pPr>
        <w:pStyle w:val="NoSpacing"/>
        <w:rPr>
          <w:rFonts w:ascii="Arial Black" w:hAnsi="Arial Black"/>
          <w:sz w:val="24"/>
          <w:szCs w:val="24"/>
        </w:rPr>
      </w:pPr>
    </w:p>
    <w:p w14:paraId="2AC5C659" w14:textId="4FD17634" w:rsidR="00A672EE" w:rsidRDefault="00A672EE" w:rsidP="00EF1133">
      <w:pPr>
        <w:pStyle w:val="NoSpacing"/>
        <w:rPr>
          <w:rFonts w:ascii="Arial Black" w:hAnsi="Arial Black"/>
          <w:sz w:val="24"/>
          <w:szCs w:val="24"/>
        </w:rPr>
      </w:pPr>
      <w:r>
        <w:rPr>
          <w:rFonts w:ascii="Arial Black" w:hAnsi="Arial Black"/>
          <w:sz w:val="24"/>
          <w:szCs w:val="24"/>
        </w:rPr>
        <w:t>2-36</w:t>
      </w:r>
    </w:p>
    <w:p w14:paraId="53C5ACC0" w14:textId="61811F55" w:rsidR="00A672EE" w:rsidRDefault="00A672EE" w:rsidP="00EF1133">
      <w:pPr>
        <w:pStyle w:val="NoSpacing"/>
        <w:rPr>
          <w:rFonts w:ascii="Arial Black" w:hAnsi="Arial Black"/>
          <w:sz w:val="24"/>
          <w:szCs w:val="24"/>
        </w:rPr>
      </w:pPr>
    </w:p>
    <w:p w14:paraId="47FB5FF7" w14:textId="77777777" w:rsidR="00A672EE" w:rsidRDefault="00A672EE" w:rsidP="00A672EE">
      <w:pPr>
        <w:pStyle w:val="NoSpacing"/>
        <w:rPr>
          <w:rFonts w:ascii="Arial Black" w:hAnsi="Arial Black"/>
          <w:sz w:val="28"/>
          <w:szCs w:val="28"/>
        </w:rPr>
      </w:pPr>
      <w:r w:rsidRPr="00F34028">
        <w:rPr>
          <w:rFonts w:ascii="Arial Black" w:hAnsi="Arial Black"/>
          <w:sz w:val="28"/>
          <w:szCs w:val="28"/>
        </w:rPr>
        <w:t>KY:</w:t>
      </w:r>
      <w:r>
        <w:rPr>
          <w:rFonts w:ascii="Arial Black" w:hAnsi="Arial Black"/>
          <w:sz w:val="28"/>
          <w:szCs w:val="28"/>
        </w:rPr>
        <w:t xml:space="preserve"> ARSON – INSURANCE FRAUD – CONVICTED ARSON WITH DEATH – </w:t>
      </w:r>
    </w:p>
    <w:p w14:paraId="119D67B1" w14:textId="77777777" w:rsidR="00A672EE" w:rsidRPr="00F34028" w:rsidRDefault="00A672EE" w:rsidP="00A672EE">
      <w:pPr>
        <w:pStyle w:val="NoSpacing"/>
        <w:rPr>
          <w:rFonts w:ascii="Arial Black" w:hAnsi="Arial Black"/>
          <w:sz w:val="28"/>
          <w:szCs w:val="28"/>
        </w:rPr>
      </w:pPr>
      <w:r>
        <w:rPr>
          <w:rFonts w:ascii="Arial Black" w:hAnsi="Arial Black"/>
          <w:sz w:val="28"/>
          <w:szCs w:val="28"/>
        </w:rPr>
        <w:t>FF LODD AT SCENE, FF HAD MEDICAL HISTORY - CONV. UPHELD</w:t>
      </w:r>
    </w:p>
    <w:p w14:paraId="5E9FA66C" w14:textId="77777777" w:rsidR="00A672EE" w:rsidRDefault="00A672EE" w:rsidP="00A672EE">
      <w:pPr>
        <w:pStyle w:val="NoSpacing"/>
        <w:rPr>
          <w:rFonts w:ascii="On Times New Roman" w:hAnsi="On Times New Roman"/>
          <w:sz w:val="24"/>
          <w:szCs w:val="24"/>
        </w:rPr>
      </w:pPr>
    </w:p>
    <w:p w14:paraId="2DC0751F" w14:textId="331A721A" w:rsidR="00A672EE" w:rsidRDefault="00A672EE" w:rsidP="00A672EE">
      <w:pPr>
        <w:pStyle w:val="NoSpacing"/>
        <w:rPr>
          <w:rFonts w:ascii="Times New Roman" w:hAnsi="Times New Roman"/>
          <w:sz w:val="24"/>
          <w:szCs w:val="24"/>
        </w:rPr>
      </w:pPr>
      <w:r w:rsidRPr="00B47E18">
        <w:rPr>
          <w:rFonts w:ascii="Times New Roman" w:hAnsi="Times New Roman"/>
          <w:sz w:val="24"/>
          <w:szCs w:val="24"/>
        </w:rPr>
        <w:t xml:space="preserve">On July 7, 2020, in </w:t>
      </w:r>
      <w:r w:rsidRPr="00B47E18">
        <w:rPr>
          <w:rFonts w:ascii="Times New Roman" w:hAnsi="Times New Roman"/>
          <w:sz w:val="24"/>
          <w:szCs w:val="24"/>
          <w:u w:val="single"/>
        </w:rPr>
        <w:t>United States of America v. Steve Allen Pritchard</w:t>
      </w:r>
      <w:r w:rsidRPr="00B47E18">
        <w:rPr>
          <w:rFonts w:ascii="Times New Roman" w:hAnsi="Times New Roman"/>
          <w:sz w:val="24"/>
          <w:szCs w:val="24"/>
        </w:rPr>
        <w:t>, the U.S. Court of Appeals for Sixth Circuit (Cincinnati) affirmed (3 to 0) the conviction</w:t>
      </w:r>
      <w:r w:rsidR="00CB0898">
        <w:rPr>
          <w:rFonts w:ascii="Times New Roman" w:hAnsi="Times New Roman"/>
          <w:sz w:val="24"/>
          <w:szCs w:val="24"/>
        </w:rPr>
        <w:t xml:space="preserve"> for violation of the federal arson statute, </w:t>
      </w:r>
      <w:r w:rsidR="00CB0898" w:rsidRPr="00CB0898">
        <w:rPr>
          <w:rFonts w:ascii="Times New Roman" w:hAnsi="Times New Roman"/>
          <w:sz w:val="24"/>
          <w:szCs w:val="24"/>
        </w:rPr>
        <w:t>18 U.S.C. § 844(</w:t>
      </w:r>
      <w:proofErr w:type="spellStart"/>
      <w:r w:rsidR="00CB0898" w:rsidRPr="00CB0898">
        <w:rPr>
          <w:rFonts w:ascii="Times New Roman" w:hAnsi="Times New Roman"/>
          <w:sz w:val="24"/>
          <w:szCs w:val="24"/>
        </w:rPr>
        <w:t>i</w:t>
      </w:r>
      <w:proofErr w:type="spellEnd"/>
      <w:r w:rsidR="00CB0898" w:rsidRPr="00CB0898">
        <w:rPr>
          <w:rFonts w:ascii="Times New Roman" w:hAnsi="Times New Roman"/>
          <w:sz w:val="24"/>
          <w:szCs w:val="24"/>
        </w:rPr>
        <w:t>)</w:t>
      </w:r>
      <w:r w:rsidR="00CB0898">
        <w:rPr>
          <w:rFonts w:ascii="Times New Roman" w:hAnsi="Times New Roman"/>
          <w:sz w:val="24"/>
          <w:szCs w:val="24"/>
        </w:rPr>
        <w:t xml:space="preserve">, </w:t>
      </w:r>
      <w:r w:rsidRPr="00B47E18">
        <w:rPr>
          <w:rFonts w:ascii="Times New Roman" w:hAnsi="Times New Roman"/>
          <w:sz w:val="24"/>
          <w:szCs w:val="24"/>
        </w:rPr>
        <w:t xml:space="preserve"> and his enhanced sentence of 360 months in prison.  Court wrote: “Even though Pritchard offered evidence that Sparks’s pre-existing medical condition led to his death, the jury found an unbroken chain of causation between the fire</w:t>
      </w:r>
      <w:r w:rsidR="00CB0898">
        <w:rPr>
          <w:rFonts w:ascii="Times New Roman" w:hAnsi="Times New Roman"/>
          <w:sz w:val="24"/>
          <w:szCs w:val="24"/>
        </w:rPr>
        <w:t xml:space="preserve"> </w:t>
      </w:r>
      <w:r w:rsidRPr="00B47E18">
        <w:rPr>
          <w:rFonts w:ascii="Times New Roman" w:hAnsi="Times New Roman"/>
          <w:sz w:val="24"/>
          <w:szCs w:val="24"/>
        </w:rPr>
        <w:t xml:space="preserve">and Sparks’s heart attack. Just as we did not disturb a jury’s finding that the patient’s “actions as an addict cannot be said to break the chain of proximate causation[,]” we do not disturb the jury’s conclusion that Sparks’s medical ailments did not sever the causal link between the fire and his death.” </w:t>
      </w:r>
      <w:hyperlink r:id="rId555" w:history="1">
        <w:r w:rsidRPr="00B47E18">
          <w:rPr>
            <w:rStyle w:val="Hyperlink"/>
            <w:rFonts w:ascii="Times New Roman" w:hAnsi="Times New Roman"/>
            <w:sz w:val="24"/>
            <w:szCs w:val="24"/>
          </w:rPr>
          <w:t>https://www.opn.ca6.uscourts.gov/opinions.pdf/20a0203p-06.pdf</w:t>
        </w:r>
      </w:hyperlink>
      <w:r w:rsidRPr="00B47E18">
        <w:rPr>
          <w:rFonts w:ascii="Times New Roman" w:hAnsi="Times New Roman"/>
          <w:sz w:val="24"/>
          <w:szCs w:val="24"/>
        </w:rPr>
        <w:t xml:space="preserve"> </w:t>
      </w:r>
    </w:p>
    <w:p w14:paraId="036ED4FC" w14:textId="4DED77E0" w:rsidR="00CB0898" w:rsidRDefault="00CB0898" w:rsidP="00A672EE">
      <w:pPr>
        <w:pStyle w:val="NoSpacing"/>
        <w:rPr>
          <w:rFonts w:ascii="Times New Roman" w:hAnsi="Times New Roman"/>
          <w:sz w:val="24"/>
          <w:szCs w:val="24"/>
        </w:rPr>
      </w:pPr>
    </w:p>
    <w:p w14:paraId="2A1CAC49" w14:textId="068BCE1D" w:rsidR="00CB0898" w:rsidRPr="00CB0898" w:rsidRDefault="00CB0898" w:rsidP="00A672EE">
      <w:pPr>
        <w:pStyle w:val="NoSpacing"/>
        <w:rPr>
          <w:rFonts w:ascii="Times New Roman" w:hAnsi="Times New Roman"/>
          <w:b/>
          <w:bCs/>
          <w:sz w:val="24"/>
          <w:szCs w:val="24"/>
        </w:rPr>
      </w:pPr>
      <w:r w:rsidRPr="00CB0898">
        <w:rPr>
          <w:rFonts w:ascii="Times New Roman" w:hAnsi="Times New Roman"/>
          <w:b/>
          <w:bCs/>
          <w:sz w:val="24"/>
          <w:szCs w:val="24"/>
        </w:rPr>
        <w:t>Legal Lesson Learned: Firefighter who is killed at scene of arson, the defendant can be convicted of violation of federal arson statute</w:t>
      </w:r>
      <w:r>
        <w:rPr>
          <w:rFonts w:ascii="Times New Roman" w:hAnsi="Times New Roman"/>
          <w:b/>
          <w:bCs/>
          <w:sz w:val="24"/>
          <w:szCs w:val="24"/>
        </w:rPr>
        <w:t xml:space="preserve"> with enhanced sentence. </w:t>
      </w:r>
    </w:p>
    <w:p w14:paraId="319BFB10" w14:textId="77777777" w:rsidR="00A672EE" w:rsidRDefault="00A672EE" w:rsidP="00EF1133">
      <w:pPr>
        <w:pStyle w:val="NoSpacing"/>
        <w:rPr>
          <w:rFonts w:ascii="Arial Black" w:hAnsi="Arial Black"/>
          <w:sz w:val="24"/>
          <w:szCs w:val="24"/>
        </w:rPr>
      </w:pPr>
    </w:p>
    <w:p w14:paraId="296F6CAF" w14:textId="77777777" w:rsidR="00A672EE" w:rsidRDefault="00A672EE" w:rsidP="00EF1133">
      <w:pPr>
        <w:pStyle w:val="NoSpacing"/>
        <w:rPr>
          <w:rFonts w:ascii="Arial Black" w:hAnsi="Arial Black"/>
          <w:sz w:val="24"/>
          <w:szCs w:val="24"/>
        </w:rPr>
      </w:pPr>
    </w:p>
    <w:p w14:paraId="21927583" w14:textId="77777777" w:rsidR="00A672EE" w:rsidRDefault="00A672EE" w:rsidP="00EF1133">
      <w:pPr>
        <w:pStyle w:val="NoSpacing"/>
        <w:rPr>
          <w:rFonts w:ascii="Arial Black" w:hAnsi="Arial Black"/>
          <w:sz w:val="24"/>
          <w:szCs w:val="24"/>
        </w:rPr>
      </w:pPr>
    </w:p>
    <w:p w14:paraId="4B0D8321" w14:textId="32A93CE9" w:rsidR="0020758F" w:rsidRDefault="0020758F" w:rsidP="00EF1133">
      <w:pPr>
        <w:pStyle w:val="NoSpacing"/>
        <w:rPr>
          <w:rFonts w:ascii="Arial Black" w:hAnsi="Arial Black"/>
          <w:sz w:val="24"/>
          <w:szCs w:val="24"/>
        </w:rPr>
      </w:pPr>
      <w:r>
        <w:rPr>
          <w:rFonts w:ascii="Arial Black" w:hAnsi="Arial Black"/>
          <w:sz w:val="24"/>
          <w:szCs w:val="24"/>
        </w:rPr>
        <w:t>2-35</w:t>
      </w:r>
    </w:p>
    <w:p w14:paraId="53FB6FE1" w14:textId="6FFFF4C2" w:rsidR="0020758F" w:rsidRDefault="0020758F" w:rsidP="00EF1133">
      <w:pPr>
        <w:pStyle w:val="NoSpacing"/>
        <w:rPr>
          <w:rFonts w:ascii="Arial Black" w:hAnsi="Arial Black"/>
          <w:sz w:val="24"/>
          <w:szCs w:val="24"/>
        </w:rPr>
      </w:pPr>
    </w:p>
    <w:p w14:paraId="2B55A19D" w14:textId="77777777" w:rsidR="0020758F" w:rsidRDefault="0020758F" w:rsidP="0020758F">
      <w:pPr>
        <w:pStyle w:val="NoSpacing"/>
        <w:rPr>
          <w:rFonts w:ascii="Arial Black" w:hAnsi="Arial Black"/>
          <w:sz w:val="28"/>
          <w:szCs w:val="28"/>
        </w:rPr>
      </w:pPr>
      <w:r w:rsidRPr="005C4230">
        <w:rPr>
          <w:rFonts w:ascii="Arial Black" w:hAnsi="Arial Black"/>
          <w:sz w:val="28"/>
          <w:szCs w:val="28"/>
        </w:rPr>
        <w:t xml:space="preserve">NY: </w:t>
      </w:r>
      <w:r>
        <w:rPr>
          <w:rFonts w:ascii="Arial Black" w:hAnsi="Arial Black"/>
          <w:sz w:val="28"/>
          <w:szCs w:val="28"/>
        </w:rPr>
        <w:t>FIREMAN’S RULE – PD INJURED, FRONT EDGE STEP BROKE – OWNER DEFAULT, CAN’T SUE MORTGAGE CO.</w:t>
      </w:r>
    </w:p>
    <w:p w14:paraId="0D1405AE" w14:textId="77777777" w:rsidR="00F00958" w:rsidRDefault="00F00958" w:rsidP="0020758F">
      <w:pPr>
        <w:pStyle w:val="NoSpacing"/>
        <w:rPr>
          <w:rFonts w:ascii="Arial Black" w:hAnsi="Arial Black"/>
          <w:sz w:val="28"/>
          <w:szCs w:val="28"/>
        </w:rPr>
      </w:pPr>
    </w:p>
    <w:p w14:paraId="06985639" w14:textId="211DBE23" w:rsidR="0020758F" w:rsidRDefault="0020758F" w:rsidP="0020758F">
      <w:pPr>
        <w:pStyle w:val="NoSpacing"/>
        <w:rPr>
          <w:rFonts w:ascii="Times New Roman" w:eastAsia="Times New Roman" w:hAnsi="Times New Roman"/>
          <w:sz w:val="24"/>
          <w:szCs w:val="24"/>
        </w:rPr>
      </w:pPr>
      <w:r w:rsidRPr="00A05E71">
        <w:rPr>
          <w:rFonts w:ascii="Times New Roman" w:hAnsi="Times New Roman"/>
          <w:sz w:val="24"/>
          <w:szCs w:val="24"/>
        </w:rPr>
        <w:t xml:space="preserve">On June 10, 2020, in </w:t>
      </w:r>
      <w:r w:rsidRPr="00A05E71">
        <w:rPr>
          <w:rFonts w:ascii="Times New Roman" w:hAnsi="Times New Roman"/>
          <w:sz w:val="24"/>
          <w:szCs w:val="24"/>
          <w:u w:val="single"/>
        </w:rPr>
        <w:t>Joseph B. Maher v. Wells Fargo Financial New York, Inc., et al</w:t>
      </w:r>
      <w:r w:rsidRPr="00A05E71">
        <w:rPr>
          <w:rFonts w:ascii="Times New Roman" w:hAnsi="Times New Roman"/>
          <w:sz w:val="24"/>
          <w:szCs w:val="24"/>
        </w:rPr>
        <w:t>., 2020 NY Slip Op 03219</w:t>
      </w:r>
      <w:r>
        <w:rPr>
          <w:rFonts w:ascii="Times New Roman" w:hAnsi="Times New Roman"/>
          <w:sz w:val="24"/>
          <w:szCs w:val="24"/>
        </w:rPr>
        <w:t xml:space="preserve">, </w:t>
      </w:r>
      <w:r w:rsidRPr="00855687">
        <w:rPr>
          <w:rFonts w:ascii="Times New Roman" w:hAnsi="Times New Roman"/>
          <w:sz w:val="24"/>
          <w:szCs w:val="24"/>
        </w:rPr>
        <w:t>the Supreme Court of New York, Appellate Division (Second Judicial Department) held (5 to 0) that the trial court had properly granted summary judgment to the defendant mortgage company and its subs that maintained the property, since they</w:t>
      </w:r>
      <w:r>
        <w:rPr>
          <w:rFonts w:ascii="Times New Roman" w:hAnsi="Times New Roman"/>
          <w:sz w:val="24"/>
          <w:szCs w:val="24"/>
        </w:rPr>
        <w:t xml:space="preserve"> owed no duty of care to the police officer</w:t>
      </w:r>
      <w:r w:rsidRPr="00855687">
        <w:rPr>
          <w:rFonts w:ascii="Times New Roman" w:hAnsi="Times New Roman"/>
          <w:sz w:val="24"/>
          <w:szCs w:val="24"/>
        </w:rPr>
        <w:t xml:space="preserve">.  The Court held: </w:t>
      </w:r>
      <w:r>
        <w:rPr>
          <w:rFonts w:ascii="Times New Roman" w:hAnsi="Times New Roman"/>
          <w:sz w:val="24"/>
          <w:szCs w:val="24"/>
        </w:rPr>
        <w:t>“</w:t>
      </w:r>
      <w:r w:rsidRPr="00855687">
        <w:rPr>
          <w:rFonts w:ascii="Times New Roman" w:hAnsi="Times New Roman"/>
          <w:sz w:val="24"/>
          <w:szCs w:val="24"/>
        </w:rPr>
        <w:t xml:space="preserve">On May 26, 2011, the plaintiff, a police officer, was in the process of executing a parole arrest warrant, which required him to enter certain property in Hempstead (hereinafter the property). The plaintiff allegedly was injured when, while walking down a flight of stairs, the front edge of one step broke and he fell down the remaining stairs. At the time of the incident, the defendant Charles White owned the </w:t>
      </w:r>
      <w:proofErr w:type="gramStart"/>
      <w:r w:rsidRPr="00855687">
        <w:rPr>
          <w:rFonts w:ascii="Times New Roman" w:hAnsi="Times New Roman"/>
          <w:sz w:val="24"/>
          <w:szCs w:val="24"/>
        </w:rPr>
        <w:t>property, but</w:t>
      </w:r>
      <w:proofErr w:type="gramEnd"/>
      <w:r w:rsidRPr="00855687">
        <w:rPr>
          <w:rFonts w:ascii="Times New Roman" w:hAnsi="Times New Roman"/>
          <w:sz w:val="24"/>
          <w:szCs w:val="24"/>
        </w:rPr>
        <w:t xml:space="preserve"> had defaulted on his mortgage loan payments in April 2011</w:t>
      </w:r>
      <w:r>
        <w:rPr>
          <w:rFonts w:ascii="Times New Roman" w:eastAsia="Times New Roman" w:hAnsi="Times New Roman"/>
          <w:b/>
          <w:bCs/>
          <w:sz w:val="24"/>
          <w:szCs w:val="24"/>
        </w:rPr>
        <w:t xml:space="preserve">. ***  </w:t>
      </w:r>
      <w:r w:rsidRPr="005C4230">
        <w:rPr>
          <w:rFonts w:ascii="Times New Roman" w:eastAsia="Times New Roman" w:hAnsi="Times New Roman"/>
          <w:sz w:val="24"/>
          <w:szCs w:val="24"/>
        </w:rPr>
        <w:t xml:space="preserve">The </w:t>
      </w:r>
      <w:r>
        <w:rPr>
          <w:rFonts w:ascii="Times New Roman" w:eastAsia="Times New Roman" w:hAnsi="Times New Roman"/>
          <w:sz w:val="24"/>
          <w:szCs w:val="24"/>
        </w:rPr>
        <w:t>‘</w:t>
      </w:r>
      <w:r w:rsidRPr="005C4230">
        <w:rPr>
          <w:rFonts w:ascii="Times New Roman" w:eastAsia="Times New Roman" w:hAnsi="Times New Roman"/>
          <w:sz w:val="24"/>
          <w:szCs w:val="24"/>
        </w:rPr>
        <w:t>firefighter's rule,</w:t>
      </w:r>
      <w:r>
        <w:rPr>
          <w:rFonts w:ascii="Times New Roman" w:eastAsia="Times New Roman" w:hAnsi="Times New Roman"/>
          <w:sz w:val="24"/>
          <w:szCs w:val="24"/>
        </w:rPr>
        <w:t>’</w:t>
      </w:r>
      <w:r w:rsidRPr="005C4230">
        <w:rPr>
          <w:rFonts w:ascii="Times New Roman" w:eastAsia="Times New Roman" w:hAnsi="Times New Roman"/>
          <w:sz w:val="24"/>
          <w:szCs w:val="24"/>
        </w:rPr>
        <w:t xml:space="preserve"> which </w:t>
      </w:r>
      <w:r>
        <w:rPr>
          <w:rFonts w:ascii="Times New Roman" w:eastAsia="Times New Roman" w:hAnsi="Times New Roman"/>
          <w:sz w:val="24"/>
          <w:szCs w:val="24"/>
        </w:rPr>
        <w:t>‘</w:t>
      </w:r>
      <w:r w:rsidRPr="005C4230">
        <w:rPr>
          <w:rFonts w:ascii="Times New Roman" w:eastAsia="Times New Roman" w:hAnsi="Times New Roman"/>
          <w:sz w:val="24"/>
          <w:szCs w:val="24"/>
        </w:rPr>
        <w:t>bars recovery in negligence for injuries sustained by a firefighter [or a police officer] in the line of duty</w:t>
      </w:r>
      <w:r>
        <w:rPr>
          <w:rFonts w:ascii="Times New Roman" w:eastAsia="Times New Roman" w:hAnsi="Times New Roman"/>
          <w:sz w:val="24"/>
          <w:szCs w:val="24"/>
        </w:rPr>
        <w:t>’</w:t>
      </w:r>
      <w:r w:rsidRPr="005C4230">
        <w:rPr>
          <w:rFonts w:ascii="Times New Roman" w:eastAsia="Times New Roman" w:hAnsi="Times New Roman"/>
          <w:sz w:val="24"/>
          <w:szCs w:val="24"/>
        </w:rPr>
        <w:t xml:space="preserve"> (Giuffrida v Citibank Corp., 100 NY2d 72, 76), was abolished by General Obligations Law § 11-106, except as to actions against municipal employers and fellow police officers</w:t>
      </w:r>
      <w:r>
        <w:rPr>
          <w:rFonts w:ascii="Times New Roman" w:eastAsia="Times New Roman" w:hAnsi="Times New Roman"/>
          <w:sz w:val="24"/>
          <w:szCs w:val="24"/>
        </w:rPr>
        <w:t>….</w:t>
      </w:r>
      <w:r w:rsidRPr="005C4230">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5C4230">
        <w:rPr>
          <w:rFonts w:ascii="Times New Roman" w:eastAsia="Times New Roman" w:hAnsi="Times New Roman"/>
          <w:sz w:val="24"/>
          <w:szCs w:val="24"/>
        </w:rPr>
        <w:t xml:space="preserve">Here, the defendants established their prima facie entitlement to judgment as a matter of law dismissing the negligence cause of action </w:t>
      </w:r>
    </w:p>
    <w:p w14:paraId="1D306ACD" w14:textId="77777777" w:rsidR="0020758F" w:rsidRDefault="0020758F" w:rsidP="0020758F">
      <w:pPr>
        <w:pStyle w:val="NoSpacing"/>
        <w:rPr>
          <w:rFonts w:ascii="Times New Roman" w:eastAsia="Times New Roman" w:hAnsi="Times New Roman"/>
          <w:sz w:val="24"/>
          <w:szCs w:val="24"/>
        </w:rPr>
      </w:pPr>
      <w:r w:rsidRPr="005C4230">
        <w:rPr>
          <w:rFonts w:ascii="Times New Roman" w:eastAsia="Times New Roman" w:hAnsi="Times New Roman"/>
          <w:sz w:val="24"/>
          <w:szCs w:val="24"/>
        </w:rPr>
        <w:t xml:space="preserve">insofar as asserted against each of them by demonstrating that they did not own or control the subject premises, or assume any duty to the plaintiff, which might serve as a predicate for liability (see Pollard v Credit Suisse First </w:t>
      </w:r>
    </w:p>
    <w:p w14:paraId="495DB781" w14:textId="38B6CE39" w:rsidR="0020758F" w:rsidRDefault="0020758F" w:rsidP="0020758F">
      <w:pPr>
        <w:pStyle w:val="NoSpacing"/>
        <w:rPr>
          <w:rStyle w:val="Hyperlink"/>
          <w:rFonts w:ascii="Times New Roman" w:hAnsi="Times New Roman"/>
          <w:sz w:val="24"/>
          <w:szCs w:val="24"/>
        </w:rPr>
      </w:pPr>
      <w:r w:rsidRPr="005C4230">
        <w:rPr>
          <w:rFonts w:ascii="Times New Roman" w:eastAsia="Times New Roman" w:hAnsi="Times New Roman"/>
          <w:sz w:val="24"/>
          <w:szCs w:val="24"/>
        </w:rPr>
        <w:t>Boston Mtge. Capital, LLC, 66 AD3d at 863</w:t>
      </w:r>
      <w:r>
        <w:rPr>
          <w:rFonts w:ascii="Times New Roman" w:eastAsia="Times New Roman" w:hAnsi="Times New Roman"/>
          <w:sz w:val="24"/>
          <w:szCs w:val="24"/>
        </w:rPr>
        <w:t xml:space="preserve">).”  </w:t>
      </w:r>
      <w:hyperlink r:id="rId556" w:history="1">
        <w:r w:rsidRPr="008A2EB4">
          <w:rPr>
            <w:rStyle w:val="Hyperlink"/>
            <w:rFonts w:ascii="Times New Roman" w:hAnsi="Times New Roman"/>
            <w:sz w:val="24"/>
            <w:szCs w:val="24"/>
          </w:rPr>
          <w:t>https://law.justia.com/cases/new-york/appellate-division-second-department/2020/2016-13412.html</w:t>
        </w:r>
      </w:hyperlink>
    </w:p>
    <w:p w14:paraId="58123526" w14:textId="4D8DE7D8" w:rsidR="0020758F" w:rsidRDefault="0020758F" w:rsidP="0020758F">
      <w:pPr>
        <w:pStyle w:val="NoSpacing"/>
        <w:rPr>
          <w:rStyle w:val="Hyperlink"/>
          <w:rFonts w:ascii="Times New Roman" w:hAnsi="Times New Roman"/>
          <w:sz w:val="24"/>
          <w:szCs w:val="24"/>
        </w:rPr>
      </w:pPr>
    </w:p>
    <w:p w14:paraId="076E5BFD" w14:textId="77777777" w:rsidR="0020758F" w:rsidRDefault="0020758F" w:rsidP="0020758F">
      <w:pPr>
        <w:spacing w:before="100" w:beforeAutospacing="1" w:after="100" w:afterAutospacing="1" w:line="240" w:lineRule="auto"/>
        <w:rPr>
          <w:rFonts w:ascii="Times New Roman" w:hAnsi="Times New Roman"/>
          <w:b/>
          <w:bCs/>
          <w:sz w:val="24"/>
          <w:szCs w:val="24"/>
        </w:rPr>
      </w:pPr>
      <w:r w:rsidRPr="00855687">
        <w:rPr>
          <w:rFonts w:ascii="Times New Roman" w:hAnsi="Times New Roman"/>
          <w:b/>
          <w:bCs/>
          <w:sz w:val="24"/>
          <w:szCs w:val="24"/>
        </w:rPr>
        <w:t>Legal Lessons Learned:</w:t>
      </w:r>
      <w:r>
        <w:rPr>
          <w:rFonts w:ascii="Times New Roman" w:hAnsi="Times New Roman"/>
          <w:b/>
          <w:bCs/>
          <w:sz w:val="24"/>
          <w:szCs w:val="24"/>
        </w:rPr>
        <w:t xml:space="preserve"> The Fireman’s Rule has been abolished in New York; also abolished in Florida.  </w:t>
      </w:r>
    </w:p>
    <w:p w14:paraId="2FCBA738" w14:textId="77777777" w:rsidR="0020758F" w:rsidRDefault="0020758F" w:rsidP="0020758F">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Note:  New York </w:t>
      </w:r>
      <w:r w:rsidRPr="005C4230">
        <w:rPr>
          <w:rFonts w:ascii="Times New Roman" w:eastAsia="Times New Roman" w:hAnsi="Times New Roman"/>
          <w:sz w:val="24"/>
          <w:szCs w:val="24"/>
        </w:rPr>
        <w:t>General Obligations Law § 11-106</w:t>
      </w:r>
      <w:r>
        <w:rPr>
          <w:rFonts w:ascii="Times New Roman" w:eastAsia="Times New Roman" w:hAnsi="Times New Roman"/>
          <w:sz w:val="24"/>
          <w:szCs w:val="24"/>
        </w:rPr>
        <w:t xml:space="preserve"> provides in part:</w:t>
      </w:r>
    </w:p>
    <w:p w14:paraId="32DACC90" w14:textId="77777777" w:rsidR="0020758F" w:rsidRDefault="0020758F" w:rsidP="0020758F">
      <w:pPr>
        <w:pStyle w:val="NoSpacing"/>
        <w:ind w:left="720" w:hanging="720"/>
        <w:rPr>
          <w:rFonts w:ascii="Times New Roman" w:hAnsi="Times New Roman"/>
          <w:sz w:val="24"/>
          <w:szCs w:val="24"/>
        </w:rPr>
      </w:pPr>
      <w:r>
        <w:t> </w:t>
      </w:r>
      <w:r>
        <w:tab/>
        <w:t>“</w:t>
      </w:r>
      <w:r w:rsidRPr="00855687">
        <w:rPr>
          <w:rFonts w:ascii="Times New Roman" w:hAnsi="Times New Roman"/>
          <w:sz w:val="24"/>
          <w:szCs w:val="24"/>
        </w:rPr>
        <w:t>In addition to any other right of action or recovery otherwise available under law, whenever any police officer or firefighter suffers any injury, disease or death while in the lawful discharge of his official duties and that injury, disease or death is proximately caused by the neglect, willful omission, or intentional, willful or culpable conduct of any person or entity, other than that police officer's or firefighter's employer or co-employee, the police officer or firefighter suffering that injury or disease, or, in the case of death, a representative of that police officer or firefighter may seek recovery and damages from the person or entity whose neglect, willful omission, or intentional, willful or culpable conduct resulted in that injury, disease or death</w:t>
      </w:r>
      <w:r>
        <w:rPr>
          <w:rFonts w:ascii="Times New Roman" w:hAnsi="Times New Roman"/>
          <w:sz w:val="24"/>
          <w:szCs w:val="24"/>
        </w:rPr>
        <w:t xml:space="preserve">.” </w:t>
      </w:r>
      <w:hyperlink r:id="rId557" w:history="1">
        <w:r w:rsidRPr="008A2EB4">
          <w:rPr>
            <w:rStyle w:val="Hyperlink"/>
            <w:rFonts w:ascii="Times New Roman" w:hAnsi="Times New Roman"/>
            <w:sz w:val="24"/>
            <w:szCs w:val="24"/>
          </w:rPr>
          <w:t>https://codes.findlaw.com/ny/general-obligations-law/gob-sect-11-106.html</w:t>
        </w:r>
      </w:hyperlink>
      <w:r>
        <w:rPr>
          <w:rFonts w:ascii="Times New Roman" w:hAnsi="Times New Roman"/>
          <w:sz w:val="24"/>
          <w:szCs w:val="24"/>
        </w:rPr>
        <w:t xml:space="preserve">  </w:t>
      </w:r>
    </w:p>
    <w:p w14:paraId="0EE67327" w14:textId="77777777" w:rsidR="0020758F" w:rsidRDefault="0020758F" w:rsidP="0020758F">
      <w:pPr>
        <w:pStyle w:val="NoSpacing"/>
        <w:ind w:left="720" w:hanging="720"/>
        <w:rPr>
          <w:rFonts w:ascii="Times New Roman" w:hAnsi="Times New Roman"/>
          <w:sz w:val="24"/>
          <w:szCs w:val="24"/>
        </w:rPr>
      </w:pPr>
    </w:p>
    <w:p w14:paraId="39DC538B" w14:textId="77777777" w:rsidR="0020758F" w:rsidRDefault="0020758F" w:rsidP="0020758F">
      <w:pPr>
        <w:pStyle w:val="NoSpacing"/>
        <w:ind w:left="720" w:hanging="720"/>
        <w:rPr>
          <w:rFonts w:ascii="Times New Roman" w:hAnsi="Times New Roman"/>
          <w:sz w:val="24"/>
          <w:szCs w:val="24"/>
        </w:rPr>
      </w:pPr>
      <w:r>
        <w:rPr>
          <w:rFonts w:ascii="Times New Roman" w:hAnsi="Times New Roman"/>
          <w:sz w:val="24"/>
          <w:szCs w:val="24"/>
        </w:rPr>
        <w:tab/>
      </w:r>
    </w:p>
    <w:p w14:paraId="547DD40F" w14:textId="77777777" w:rsidR="0020758F" w:rsidRDefault="0020758F" w:rsidP="0020758F">
      <w:pPr>
        <w:pStyle w:val="NoSpacing"/>
        <w:ind w:left="720" w:hanging="720"/>
        <w:rPr>
          <w:rFonts w:ascii="Times New Roman" w:hAnsi="Times New Roman"/>
          <w:sz w:val="24"/>
          <w:szCs w:val="24"/>
        </w:rPr>
      </w:pPr>
      <w:r>
        <w:rPr>
          <w:rFonts w:ascii="Times New Roman" w:hAnsi="Times New Roman"/>
          <w:sz w:val="24"/>
          <w:szCs w:val="24"/>
        </w:rPr>
        <w:tab/>
        <w:t>Florida (2019)</w:t>
      </w:r>
    </w:p>
    <w:p w14:paraId="7A3D381C" w14:textId="77777777" w:rsidR="0020758F" w:rsidRPr="00A05E71" w:rsidRDefault="0020758F" w:rsidP="0020758F">
      <w:pPr>
        <w:spacing w:after="0" w:line="240" w:lineRule="auto"/>
        <w:ind w:firstLine="720"/>
        <w:rPr>
          <w:rFonts w:ascii="Verdana" w:eastAsia="Times New Roman" w:hAnsi="Verdana"/>
          <w:sz w:val="20"/>
          <w:szCs w:val="20"/>
        </w:rPr>
      </w:pPr>
      <w:r w:rsidRPr="00A05E71">
        <w:rPr>
          <w:rFonts w:ascii="Verdana" w:eastAsia="Times New Roman" w:hAnsi="Verdana"/>
          <w:sz w:val="20"/>
          <w:szCs w:val="20"/>
        </w:rPr>
        <w:t>112.182</w:t>
      </w:r>
      <w:r w:rsidRPr="00A05E71">
        <w:rPr>
          <w:rFonts w:ascii="Verdana" w:eastAsia="Times New Roman" w:hAnsi="Verdana"/>
          <w:sz w:val="20"/>
          <w:szCs w:val="20"/>
        </w:rPr>
        <w:t> </w:t>
      </w:r>
      <w:r w:rsidRPr="00A05E71">
        <w:rPr>
          <w:rFonts w:ascii="Verdana" w:eastAsia="Times New Roman" w:hAnsi="Verdana"/>
          <w:sz w:val="20"/>
          <w:szCs w:val="20"/>
        </w:rPr>
        <w:t>“Firefighter rule” abolished.—</w:t>
      </w:r>
    </w:p>
    <w:p w14:paraId="199E8342" w14:textId="77777777" w:rsidR="0020758F" w:rsidRPr="00A05E71" w:rsidRDefault="0020758F" w:rsidP="0020758F">
      <w:pPr>
        <w:spacing w:after="0" w:line="240" w:lineRule="auto"/>
        <w:ind w:left="720"/>
        <w:rPr>
          <w:rFonts w:ascii="Times New Roman" w:eastAsia="Times New Roman" w:hAnsi="Times New Roman"/>
          <w:sz w:val="24"/>
          <w:szCs w:val="24"/>
        </w:rPr>
      </w:pPr>
      <w:r w:rsidRPr="00A05E71">
        <w:rPr>
          <w:rFonts w:ascii="Verdana" w:eastAsia="Times New Roman" w:hAnsi="Verdana"/>
          <w:sz w:val="20"/>
          <w:szCs w:val="20"/>
        </w:rPr>
        <w:t>(1)</w:t>
      </w:r>
      <w:r w:rsidRPr="00A05E71">
        <w:rPr>
          <w:rFonts w:ascii="Verdana" w:eastAsia="Times New Roman" w:hAnsi="Verdana"/>
          <w:sz w:val="20"/>
          <w:szCs w:val="20"/>
        </w:rPr>
        <w:t> </w:t>
      </w:r>
      <w:r w:rsidRPr="00A05E71">
        <w:rPr>
          <w:rFonts w:ascii="Verdana" w:eastAsia="Times New Roman" w:hAnsi="Verdana"/>
          <w:sz w:val="20"/>
          <w:szCs w:val="20"/>
        </w:rPr>
        <w:t>A firefighter or properly identified law enforcement officer who lawfully enters upon the premises of another in the discharge of his or her duty occupies the status of an invitee. The common-law rule that such a firefighter or law enforcement officer occupies the status of a licensee is hereby abolished.</w:t>
      </w:r>
    </w:p>
    <w:p w14:paraId="711E42D5" w14:textId="77777777" w:rsidR="0020758F" w:rsidRPr="00A05E71" w:rsidRDefault="0020758F" w:rsidP="0020758F">
      <w:pPr>
        <w:spacing w:after="0" w:line="240" w:lineRule="auto"/>
        <w:ind w:left="720"/>
        <w:rPr>
          <w:rFonts w:ascii="Verdana" w:eastAsia="Times New Roman" w:hAnsi="Verdana"/>
          <w:sz w:val="20"/>
          <w:szCs w:val="20"/>
        </w:rPr>
      </w:pPr>
      <w:r w:rsidRPr="00A05E71">
        <w:rPr>
          <w:rFonts w:ascii="Verdana" w:eastAsia="Times New Roman" w:hAnsi="Verdana"/>
          <w:sz w:val="20"/>
          <w:szCs w:val="20"/>
        </w:rPr>
        <w:t>(2)</w:t>
      </w:r>
      <w:r w:rsidRPr="00A05E71">
        <w:rPr>
          <w:rFonts w:ascii="Verdana" w:eastAsia="Times New Roman" w:hAnsi="Verdana"/>
          <w:sz w:val="20"/>
          <w:szCs w:val="20"/>
        </w:rPr>
        <w:t> </w:t>
      </w:r>
      <w:r w:rsidRPr="00A05E71">
        <w:rPr>
          <w:rFonts w:ascii="Verdana" w:eastAsia="Times New Roman" w:hAnsi="Verdana"/>
          <w:sz w:val="20"/>
          <w:szCs w:val="20"/>
        </w:rPr>
        <w:t xml:space="preserve">It is not the intent of this section to increase or diminish the duty of care owed by property owners to </w:t>
      </w:r>
      <w:proofErr w:type="gramStart"/>
      <w:r w:rsidRPr="00A05E71">
        <w:rPr>
          <w:rFonts w:ascii="Verdana" w:eastAsia="Times New Roman" w:hAnsi="Verdana"/>
          <w:sz w:val="20"/>
          <w:szCs w:val="20"/>
        </w:rPr>
        <w:t>invitees</w:t>
      </w:r>
      <w:proofErr w:type="gramEnd"/>
      <w:r w:rsidRPr="00A05E71">
        <w:rPr>
          <w:rFonts w:ascii="Verdana" w:eastAsia="Times New Roman" w:hAnsi="Verdana"/>
          <w:sz w:val="20"/>
          <w:szCs w:val="20"/>
        </w:rPr>
        <w:t>. Property owners shall be liable to invitees pursuant to this section only when the property owner negligently fails to maintain the premises in a reasonably safe condition or negligently fails to correct a dangerous condition of which the property owner either knew or should have known by the use of reasonable care or negligently fails to warn the invitee of a dangerous condition about which the property owner had, or should have had, knowledge greater than that of the invitee.</w:t>
      </w:r>
    </w:p>
    <w:p w14:paraId="30F6C6A3" w14:textId="77777777" w:rsidR="0020758F" w:rsidRDefault="0020758F" w:rsidP="0020758F">
      <w:pPr>
        <w:spacing w:after="0" w:line="240" w:lineRule="auto"/>
        <w:ind w:firstLine="720"/>
        <w:rPr>
          <w:rFonts w:ascii="Verdana" w:eastAsia="Times New Roman" w:hAnsi="Verdana"/>
          <w:sz w:val="20"/>
          <w:szCs w:val="20"/>
        </w:rPr>
      </w:pPr>
      <w:r w:rsidRPr="00A05E71">
        <w:rPr>
          <w:rFonts w:ascii="Verdana" w:eastAsia="Times New Roman" w:hAnsi="Verdana"/>
          <w:sz w:val="20"/>
          <w:szCs w:val="20"/>
        </w:rPr>
        <w:t xml:space="preserve">History.—s. 1, </w:t>
      </w:r>
      <w:proofErr w:type="spellStart"/>
      <w:r w:rsidRPr="00A05E71">
        <w:rPr>
          <w:rFonts w:ascii="Verdana" w:eastAsia="Times New Roman" w:hAnsi="Verdana"/>
          <w:sz w:val="20"/>
          <w:szCs w:val="20"/>
        </w:rPr>
        <w:t>ch.</w:t>
      </w:r>
      <w:proofErr w:type="spellEnd"/>
      <w:r w:rsidRPr="00A05E71">
        <w:rPr>
          <w:rFonts w:ascii="Verdana" w:eastAsia="Times New Roman" w:hAnsi="Verdana"/>
          <w:sz w:val="20"/>
          <w:szCs w:val="20"/>
        </w:rPr>
        <w:t xml:space="preserve"> 90-308; s. 693, </w:t>
      </w:r>
      <w:proofErr w:type="spellStart"/>
      <w:r w:rsidRPr="00A05E71">
        <w:rPr>
          <w:rFonts w:ascii="Verdana" w:eastAsia="Times New Roman" w:hAnsi="Verdana"/>
          <w:sz w:val="20"/>
          <w:szCs w:val="20"/>
        </w:rPr>
        <w:t>ch.</w:t>
      </w:r>
      <w:proofErr w:type="spellEnd"/>
      <w:r w:rsidRPr="00A05E71">
        <w:rPr>
          <w:rFonts w:ascii="Verdana" w:eastAsia="Times New Roman" w:hAnsi="Verdana"/>
          <w:sz w:val="20"/>
          <w:szCs w:val="20"/>
        </w:rPr>
        <w:t xml:space="preserve"> 95-147.</w:t>
      </w:r>
    </w:p>
    <w:p w14:paraId="062F2C5E" w14:textId="77777777" w:rsidR="0020758F" w:rsidRPr="00A05E71" w:rsidRDefault="0020758F" w:rsidP="0020758F">
      <w:pPr>
        <w:spacing w:after="0" w:line="240" w:lineRule="auto"/>
        <w:ind w:left="720"/>
        <w:rPr>
          <w:rFonts w:ascii="Verdana" w:eastAsia="Times New Roman" w:hAnsi="Verdana"/>
          <w:sz w:val="20"/>
          <w:szCs w:val="20"/>
        </w:rPr>
      </w:pPr>
      <w:hyperlink r:id="rId558" w:history="1">
        <w:r w:rsidRPr="008A2EB4">
          <w:rPr>
            <w:rStyle w:val="Hyperlink"/>
            <w:rFonts w:ascii="Verdana" w:hAnsi="Verdana"/>
            <w:sz w:val="20"/>
            <w:szCs w:val="20"/>
          </w:rPr>
          <w:t>http://www.leg.state.fl.us/statutes/index.cfm?App_mode=Display_Statute&amp;Search_String=&amp;URL=0100-0199/0112/Sections/0112.182.html</w:t>
        </w:r>
      </w:hyperlink>
      <w:r>
        <w:rPr>
          <w:rFonts w:ascii="Verdana" w:eastAsia="Times New Roman" w:hAnsi="Verdana"/>
          <w:sz w:val="20"/>
          <w:szCs w:val="20"/>
        </w:rPr>
        <w:t xml:space="preserve"> </w:t>
      </w:r>
    </w:p>
    <w:p w14:paraId="580418AB" w14:textId="77777777" w:rsidR="0020758F" w:rsidRDefault="0020758F" w:rsidP="0020758F">
      <w:pPr>
        <w:pStyle w:val="NoSpacing"/>
        <w:rPr>
          <w:rFonts w:ascii="Arial Black" w:hAnsi="Arial Black"/>
          <w:sz w:val="24"/>
          <w:szCs w:val="24"/>
        </w:rPr>
      </w:pPr>
    </w:p>
    <w:p w14:paraId="3C260D83" w14:textId="77777777" w:rsidR="0020758F" w:rsidRDefault="0020758F" w:rsidP="00EF1133">
      <w:pPr>
        <w:pStyle w:val="NoSpacing"/>
        <w:rPr>
          <w:rFonts w:ascii="Arial Black" w:hAnsi="Arial Black"/>
          <w:sz w:val="24"/>
          <w:szCs w:val="24"/>
        </w:rPr>
      </w:pPr>
    </w:p>
    <w:p w14:paraId="39402962" w14:textId="606C7735" w:rsidR="00D94DC4" w:rsidRDefault="00D94DC4" w:rsidP="00EF1133">
      <w:pPr>
        <w:pStyle w:val="NoSpacing"/>
        <w:rPr>
          <w:rFonts w:ascii="Arial Black" w:hAnsi="Arial Black"/>
          <w:sz w:val="24"/>
          <w:szCs w:val="24"/>
        </w:rPr>
      </w:pPr>
      <w:r>
        <w:rPr>
          <w:rFonts w:ascii="Arial Black" w:hAnsi="Arial Black"/>
          <w:sz w:val="24"/>
          <w:szCs w:val="24"/>
        </w:rPr>
        <w:t>2-34</w:t>
      </w:r>
    </w:p>
    <w:p w14:paraId="0080B655" w14:textId="77777777" w:rsidR="00D94DC4" w:rsidRPr="00B205E3" w:rsidRDefault="00D94DC4" w:rsidP="00D94DC4">
      <w:pPr>
        <w:spacing w:before="100" w:beforeAutospacing="1" w:after="100" w:afterAutospacing="1" w:line="240" w:lineRule="auto"/>
        <w:jc w:val="both"/>
        <w:rPr>
          <w:rFonts w:ascii="Arial Black" w:eastAsia="Times New Roman" w:hAnsi="Arial Black"/>
          <w:b/>
          <w:bCs/>
          <w:sz w:val="28"/>
          <w:szCs w:val="28"/>
        </w:rPr>
      </w:pPr>
      <w:r w:rsidRPr="00B205E3">
        <w:rPr>
          <w:rFonts w:ascii="Arial Black" w:eastAsia="Times New Roman" w:hAnsi="Arial Black"/>
          <w:b/>
          <w:bCs/>
          <w:sz w:val="28"/>
          <w:szCs w:val="28"/>
        </w:rPr>
        <w:t>MD</w:t>
      </w:r>
      <w:r>
        <w:rPr>
          <w:rFonts w:ascii="Arial Black" w:eastAsia="Times New Roman" w:hAnsi="Arial Black"/>
          <w:b/>
          <w:bCs/>
          <w:sz w:val="28"/>
          <w:szCs w:val="28"/>
        </w:rPr>
        <w:t xml:space="preserve">:  WIFE OF DECEASED FF ENTITLED TO DEATH BENEFITS – 2-YRS PRIOR HE SETTLED WORKERS COMP FOR HEART DISEASE / HYPERTENSION – WIFE DID NOT WAIVE RIGHTS </w:t>
      </w:r>
    </w:p>
    <w:p w14:paraId="64DF9027" w14:textId="77777777" w:rsidR="00D94DC4" w:rsidRDefault="00D94DC4" w:rsidP="00D94DC4">
      <w:pPr>
        <w:spacing w:before="100" w:beforeAutospacing="1" w:after="100" w:afterAutospacing="1" w:line="240" w:lineRule="auto"/>
        <w:rPr>
          <w:rFonts w:ascii="Times New Roman" w:hAnsi="Times New Roman"/>
          <w:sz w:val="24"/>
          <w:szCs w:val="24"/>
        </w:rPr>
      </w:pPr>
      <w:r w:rsidRPr="00B205E3">
        <w:rPr>
          <w:rFonts w:ascii="Times New Roman" w:hAnsi="Times New Roman"/>
          <w:sz w:val="24"/>
          <w:szCs w:val="24"/>
        </w:rPr>
        <w:t xml:space="preserve">On </w:t>
      </w:r>
      <w:r>
        <w:rPr>
          <w:rFonts w:ascii="Times New Roman" w:hAnsi="Times New Roman"/>
          <w:sz w:val="24"/>
          <w:szCs w:val="24"/>
        </w:rPr>
        <w:t xml:space="preserve">May 26, 2020, </w:t>
      </w:r>
      <w:r w:rsidRPr="00B205E3">
        <w:rPr>
          <w:rFonts w:ascii="Times New Roman" w:hAnsi="Times New Roman"/>
          <w:sz w:val="24"/>
          <w:szCs w:val="24"/>
          <w:u w:val="single"/>
        </w:rPr>
        <w:t xml:space="preserve">In </w:t>
      </w:r>
      <w:proofErr w:type="gramStart"/>
      <w:r w:rsidRPr="00B205E3">
        <w:rPr>
          <w:rFonts w:ascii="Times New Roman" w:hAnsi="Times New Roman"/>
          <w:sz w:val="24"/>
          <w:szCs w:val="24"/>
          <w:u w:val="single"/>
        </w:rPr>
        <w:t>The</w:t>
      </w:r>
      <w:proofErr w:type="gramEnd"/>
      <w:r w:rsidRPr="00B205E3">
        <w:rPr>
          <w:rFonts w:ascii="Times New Roman" w:hAnsi="Times New Roman"/>
          <w:sz w:val="24"/>
          <w:szCs w:val="24"/>
          <w:u w:val="single"/>
        </w:rPr>
        <w:t xml:space="preserve"> Matter </w:t>
      </w:r>
      <w:proofErr w:type="gramStart"/>
      <w:r w:rsidRPr="00B205E3">
        <w:rPr>
          <w:rFonts w:ascii="Times New Roman" w:hAnsi="Times New Roman"/>
          <w:sz w:val="24"/>
          <w:szCs w:val="24"/>
          <w:u w:val="single"/>
        </w:rPr>
        <w:t>Of</w:t>
      </w:r>
      <w:proofErr w:type="gramEnd"/>
      <w:r w:rsidRPr="00B205E3">
        <w:rPr>
          <w:rFonts w:ascii="Times New Roman" w:hAnsi="Times New Roman"/>
          <w:sz w:val="24"/>
          <w:szCs w:val="24"/>
          <w:u w:val="single"/>
        </w:rPr>
        <w:t xml:space="preserve"> Bernard L. Collins</w:t>
      </w:r>
      <w:r>
        <w:rPr>
          <w:rFonts w:ascii="Times New Roman" w:hAnsi="Times New Roman"/>
          <w:sz w:val="24"/>
          <w:szCs w:val="24"/>
        </w:rPr>
        <w:t xml:space="preserve">, the Court of Appeals of Maryland held (7 to 0) that Mrs. Collins was not a party to the settlement between Mr. Collins and the workers comp insurance companies for the fire department, and the settlement did not extinguish her future claim for death benefits. </w:t>
      </w:r>
      <w:hyperlink r:id="rId559" w:history="1">
        <w:r w:rsidRPr="00082B39">
          <w:rPr>
            <w:rStyle w:val="Hyperlink"/>
            <w:sz w:val="24"/>
            <w:szCs w:val="24"/>
          </w:rPr>
          <w:t>https://mdcourts.gov/data/opinions/coa/2020/49a19.pdf</w:t>
        </w:r>
      </w:hyperlink>
      <w:r>
        <w:rPr>
          <w:rFonts w:ascii="Times New Roman" w:hAnsi="Times New Roman"/>
          <w:sz w:val="24"/>
          <w:szCs w:val="24"/>
        </w:rPr>
        <w:t xml:space="preserve"> </w:t>
      </w:r>
    </w:p>
    <w:p w14:paraId="752D5DDB" w14:textId="77777777" w:rsidR="00D94DC4" w:rsidRPr="009F4A71" w:rsidRDefault="00D94DC4" w:rsidP="00D94DC4">
      <w:pPr>
        <w:spacing w:before="100" w:beforeAutospacing="1" w:after="100" w:afterAutospacing="1" w:line="240" w:lineRule="auto"/>
        <w:jc w:val="both"/>
        <w:rPr>
          <w:rFonts w:ascii="Times New Roman" w:hAnsi="Times New Roman"/>
          <w:b/>
          <w:bCs/>
          <w:sz w:val="24"/>
          <w:szCs w:val="24"/>
        </w:rPr>
      </w:pPr>
      <w:r w:rsidRPr="009F4A71">
        <w:rPr>
          <w:rFonts w:ascii="Times New Roman" w:hAnsi="Times New Roman"/>
          <w:b/>
          <w:bCs/>
          <w:sz w:val="24"/>
          <w:szCs w:val="24"/>
        </w:rPr>
        <w:t>Legal Lessons Learned:</w:t>
      </w:r>
      <w:r>
        <w:rPr>
          <w:rFonts w:ascii="Times New Roman" w:hAnsi="Times New Roman"/>
          <w:b/>
          <w:bCs/>
          <w:sz w:val="24"/>
          <w:szCs w:val="24"/>
        </w:rPr>
        <w:t xml:space="preserve"> If the insurance companies wish to negotiate a “global settlement” with an employee, that also includes waiver of future death benefits for employee’s spouse, then invite the spouse to participate in settlement discussions and sign the settlement agreement. </w:t>
      </w:r>
    </w:p>
    <w:p w14:paraId="1D60A8AA" w14:textId="77777777" w:rsidR="00D94DC4" w:rsidRDefault="00D94DC4" w:rsidP="00EF1133">
      <w:pPr>
        <w:pStyle w:val="NoSpacing"/>
        <w:rPr>
          <w:rFonts w:ascii="Arial Black" w:hAnsi="Arial Black"/>
          <w:sz w:val="24"/>
          <w:szCs w:val="24"/>
        </w:rPr>
      </w:pPr>
    </w:p>
    <w:p w14:paraId="741F4AF3" w14:textId="77777777" w:rsidR="00D94DC4" w:rsidRDefault="00D94DC4" w:rsidP="00EF1133">
      <w:pPr>
        <w:pStyle w:val="NoSpacing"/>
        <w:rPr>
          <w:rFonts w:ascii="Arial Black" w:hAnsi="Arial Black"/>
          <w:sz w:val="24"/>
          <w:szCs w:val="24"/>
        </w:rPr>
      </w:pPr>
    </w:p>
    <w:p w14:paraId="4F3E0E34" w14:textId="77777777" w:rsidR="00D94DC4" w:rsidRDefault="00D94DC4" w:rsidP="00EF1133">
      <w:pPr>
        <w:pStyle w:val="NoSpacing"/>
        <w:rPr>
          <w:rFonts w:ascii="Arial Black" w:hAnsi="Arial Black"/>
          <w:sz w:val="24"/>
          <w:szCs w:val="24"/>
        </w:rPr>
      </w:pPr>
    </w:p>
    <w:p w14:paraId="7E1A9211" w14:textId="77777777" w:rsidR="00D94DC4" w:rsidRDefault="00D94DC4" w:rsidP="00EF1133">
      <w:pPr>
        <w:pStyle w:val="NoSpacing"/>
        <w:rPr>
          <w:rFonts w:ascii="Arial Black" w:hAnsi="Arial Black"/>
          <w:sz w:val="24"/>
          <w:szCs w:val="24"/>
        </w:rPr>
      </w:pPr>
    </w:p>
    <w:p w14:paraId="12AB5088" w14:textId="1AB3C85F" w:rsidR="00D94DC4" w:rsidRDefault="00D94DC4" w:rsidP="00EF1133">
      <w:pPr>
        <w:pStyle w:val="NoSpacing"/>
        <w:rPr>
          <w:rFonts w:ascii="Arial Black" w:hAnsi="Arial Black"/>
          <w:sz w:val="24"/>
          <w:szCs w:val="24"/>
        </w:rPr>
      </w:pPr>
      <w:r>
        <w:rPr>
          <w:rFonts w:ascii="Arial Black" w:hAnsi="Arial Black"/>
          <w:sz w:val="24"/>
          <w:szCs w:val="24"/>
        </w:rPr>
        <w:t>2-33</w:t>
      </w:r>
    </w:p>
    <w:p w14:paraId="18512926" w14:textId="7CA45332" w:rsidR="00D94DC4" w:rsidRDefault="00D94DC4" w:rsidP="00EF1133">
      <w:pPr>
        <w:pStyle w:val="NoSpacing"/>
        <w:rPr>
          <w:rFonts w:ascii="Arial Black" w:hAnsi="Arial Black"/>
          <w:sz w:val="24"/>
          <w:szCs w:val="24"/>
        </w:rPr>
      </w:pPr>
    </w:p>
    <w:p w14:paraId="2C627248" w14:textId="77777777" w:rsidR="00D94DC4" w:rsidRPr="002F309C" w:rsidRDefault="00D94DC4" w:rsidP="00D94DC4">
      <w:pPr>
        <w:spacing w:before="100" w:beforeAutospacing="1" w:after="100" w:afterAutospacing="1" w:line="240" w:lineRule="auto"/>
        <w:jc w:val="both"/>
        <w:rPr>
          <w:rFonts w:ascii="Arial Black" w:eastAsia="Times New Roman" w:hAnsi="Arial Black"/>
          <w:b/>
          <w:bCs/>
          <w:sz w:val="28"/>
          <w:szCs w:val="28"/>
        </w:rPr>
      </w:pPr>
      <w:r w:rsidRPr="002F309C">
        <w:rPr>
          <w:rFonts w:ascii="Arial Black" w:eastAsia="Times New Roman" w:hAnsi="Arial Black"/>
          <w:b/>
          <w:bCs/>
          <w:sz w:val="28"/>
          <w:szCs w:val="28"/>
        </w:rPr>
        <w:t>UT:</w:t>
      </w:r>
      <w:r>
        <w:rPr>
          <w:rFonts w:ascii="Arial Black" w:eastAsia="Times New Roman" w:hAnsi="Arial Black"/>
          <w:b/>
          <w:bCs/>
          <w:sz w:val="28"/>
          <w:szCs w:val="28"/>
        </w:rPr>
        <w:t xml:space="preserve"> STATE SUPREME COURT ALLOWS FF TO SUE TREE COMPANY FOR INJURIES – “PROFESSIONAL RESCUER RULE” MODIFIED FOR GROSS NEGLIGENCE BY BUSINESS</w:t>
      </w:r>
    </w:p>
    <w:p w14:paraId="57C703BB" w14:textId="77777777" w:rsidR="00D94DC4" w:rsidRDefault="00D94DC4" w:rsidP="00D94DC4">
      <w:pPr>
        <w:spacing w:before="100" w:beforeAutospacing="1" w:after="100" w:afterAutospacing="1" w:line="240" w:lineRule="auto"/>
        <w:rPr>
          <w:rFonts w:ascii="Times New Roman" w:eastAsia="Times New Roman" w:hAnsi="Times New Roman"/>
          <w:sz w:val="24"/>
          <w:szCs w:val="24"/>
        </w:rPr>
      </w:pPr>
      <w:r w:rsidRPr="00732CA5">
        <w:rPr>
          <w:rFonts w:ascii="Times New Roman" w:eastAsia="Times New Roman" w:hAnsi="Times New Roman"/>
          <w:sz w:val="24"/>
          <w:szCs w:val="24"/>
        </w:rPr>
        <w:t xml:space="preserve">On May 20, 2020, in </w:t>
      </w:r>
      <w:r w:rsidRPr="00732CA5">
        <w:rPr>
          <w:rFonts w:ascii="Times New Roman" w:eastAsia="Times New Roman" w:hAnsi="Times New Roman"/>
          <w:sz w:val="24"/>
          <w:szCs w:val="24"/>
          <w:u w:val="single"/>
        </w:rPr>
        <w:t>David Scott Ipsen v. Diamond Tree Experts, Inc</w:t>
      </w:r>
      <w:r>
        <w:rPr>
          <w:rFonts w:ascii="Times New Roman" w:eastAsia="Times New Roman" w:hAnsi="Times New Roman"/>
          <w:sz w:val="24"/>
          <w:szCs w:val="24"/>
        </w:rPr>
        <w:t xml:space="preserve">., the Utah Supreme Court held (3 to 2) that the injured firefighter may pursue his lawsuit for damages from injuries at a mulch fire.  </w:t>
      </w:r>
      <w:hyperlink r:id="rId560" w:history="1">
        <w:r w:rsidRPr="00E26203">
          <w:rPr>
            <w:rStyle w:val="Hyperlink"/>
            <w:sz w:val="24"/>
            <w:szCs w:val="24"/>
          </w:rPr>
          <w:t>https://www.utcourts.gov/opinions/supopin/Ipsen%20v.%20Diamond%20Tree%20Experts20200520_20181052_30.pdf</w:t>
        </w:r>
      </w:hyperlink>
      <w:r>
        <w:rPr>
          <w:rFonts w:ascii="Times New Roman" w:eastAsia="Times New Roman" w:hAnsi="Times New Roman"/>
          <w:sz w:val="24"/>
          <w:szCs w:val="24"/>
        </w:rPr>
        <w:t xml:space="preserve"> </w:t>
      </w:r>
    </w:p>
    <w:p w14:paraId="7BC51353" w14:textId="77777777" w:rsidR="00D94DC4" w:rsidRDefault="00D94DC4" w:rsidP="00D94DC4">
      <w:pPr>
        <w:spacing w:before="100" w:beforeAutospacing="1" w:after="100" w:afterAutospacing="1" w:line="240" w:lineRule="auto"/>
        <w:jc w:val="both"/>
        <w:rPr>
          <w:rFonts w:ascii="Times New Roman" w:hAnsi="Times New Roman"/>
          <w:b/>
          <w:bCs/>
          <w:sz w:val="24"/>
          <w:szCs w:val="24"/>
        </w:rPr>
      </w:pPr>
      <w:r w:rsidRPr="00732CA5">
        <w:rPr>
          <w:rFonts w:ascii="Times New Roman" w:hAnsi="Times New Roman"/>
          <w:b/>
          <w:bCs/>
          <w:sz w:val="24"/>
          <w:szCs w:val="24"/>
        </w:rPr>
        <w:t>Legal Lessons Learned:</w:t>
      </w:r>
      <w:r>
        <w:rPr>
          <w:rFonts w:ascii="Times New Roman" w:hAnsi="Times New Roman"/>
          <w:b/>
          <w:bCs/>
          <w:sz w:val="24"/>
          <w:szCs w:val="24"/>
        </w:rPr>
        <w:t xml:space="preserve"> A significant decision on behalf of all Utah emergency responders. </w:t>
      </w:r>
    </w:p>
    <w:p w14:paraId="47188E70" w14:textId="77777777" w:rsidR="00D94DC4" w:rsidRDefault="00D94DC4" w:rsidP="00EF1133">
      <w:pPr>
        <w:pStyle w:val="NoSpacing"/>
        <w:rPr>
          <w:rFonts w:ascii="Arial Black" w:hAnsi="Arial Black"/>
          <w:sz w:val="24"/>
          <w:szCs w:val="24"/>
        </w:rPr>
      </w:pPr>
    </w:p>
    <w:p w14:paraId="312A2A5F" w14:textId="77777777" w:rsidR="00D94DC4" w:rsidRDefault="00D94DC4" w:rsidP="00EF1133">
      <w:pPr>
        <w:pStyle w:val="NoSpacing"/>
        <w:rPr>
          <w:rFonts w:ascii="Arial Black" w:hAnsi="Arial Black"/>
          <w:sz w:val="24"/>
          <w:szCs w:val="24"/>
        </w:rPr>
      </w:pPr>
    </w:p>
    <w:p w14:paraId="074189AD" w14:textId="77777777" w:rsidR="00D94DC4" w:rsidRDefault="00D94DC4" w:rsidP="00EF1133">
      <w:pPr>
        <w:pStyle w:val="NoSpacing"/>
        <w:rPr>
          <w:rFonts w:ascii="Arial Black" w:hAnsi="Arial Black"/>
          <w:sz w:val="24"/>
          <w:szCs w:val="24"/>
        </w:rPr>
      </w:pPr>
    </w:p>
    <w:p w14:paraId="0A3C4C89" w14:textId="39A843E5" w:rsidR="00D94DC4" w:rsidRDefault="00D94DC4" w:rsidP="00EF1133">
      <w:pPr>
        <w:pStyle w:val="NoSpacing"/>
        <w:rPr>
          <w:rFonts w:ascii="Arial Black" w:hAnsi="Arial Black"/>
          <w:sz w:val="24"/>
          <w:szCs w:val="24"/>
        </w:rPr>
      </w:pPr>
      <w:r>
        <w:rPr>
          <w:rFonts w:ascii="Arial Black" w:hAnsi="Arial Black"/>
          <w:sz w:val="24"/>
          <w:szCs w:val="24"/>
        </w:rPr>
        <w:t>2-32</w:t>
      </w:r>
    </w:p>
    <w:p w14:paraId="47FC753C" w14:textId="77777777" w:rsidR="00D94DC4" w:rsidRPr="001C57D1" w:rsidRDefault="00D94DC4" w:rsidP="00D94DC4">
      <w:pPr>
        <w:spacing w:before="100" w:beforeAutospacing="1" w:after="100" w:afterAutospacing="1" w:line="240" w:lineRule="auto"/>
        <w:jc w:val="both"/>
        <w:rPr>
          <w:rFonts w:ascii="Arial Black" w:eastAsia="Times New Roman" w:hAnsi="Arial Black"/>
          <w:b/>
          <w:bCs/>
          <w:sz w:val="28"/>
          <w:szCs w:val="28"/>
        </w:rPr>
      </w:pPr>
      <w:r w:rsidRPr="001C57D1">
        <w:rPr>
          <w:rFonts w:ascii="Arial Black" w:eastAsia="Times New Roman" w:hAnsi="Arial Black"/>
          <w:b/>
          <w:bCs/>
          <w:sz w:val="28"/>
          <w:szCs w:val="28"/>
        </w:rPr>
        <w:t xml:space="preserve">CA: </w:t>
      </w:r>
      <w:r>
        <w:rPr>
          <w:rFonts w:ascii="Arial Black" w:eastAsia="Times New Roman" w:hAnsi="Arial Black"/>
          <w:b/>
          <w:bCs/>
          <w:sz w:val="28"/>
          <w:szCs w:val="28"/>
        </w:rPr>
        <w:t>LODD – AIR TANKER MISTAKENLY DROPPED RETARDENT 100 FEET ABOVE FF – DOUGLAS FIR TREE KILLED FF – WIFE CANNOT SUE STATE OR TANKER CO – GOV’T IMMUNITY</w:t>
      </w:r>
    </w:p>
    <w:p w14:paraId="7D2322D6" w14:textId="554B6F3A" w:rsidR="00D94DC4" w:rsidRDefault="00D94DC4" w:rsidP="00D94DC4">
      <w:pPr>
        <w:pStyle w:val="NoSpacing"/>
        <w:rPr>
          <w:rFonts w:ascii="Arial Black" w:hAnsi="Arial Black"/>
          <w:sz w:val="24"/>
          <w:szCs w:val="24"/>
        </w:rPr>
      </w:pPr>
      <w:r w:rsidRPr="002B61F4">
        <w:rPr>
          <w:rFonts w:ascii="Times New Roman" w:eastAsia="Times New Roman" w:hAnsi="Times New Roman"/>
          <w:sz w:val="24"/>
          <w:szCs w:val="24"/>
        </w:rPr>
        <w:t>On May 19, 2020, in</w:t>
      </w:r>
      <w:r>
        <w:rPr>
          <w:rFonts w:ascii="Times New Roman" w:eastAsia="Times New Roman" w:hAnsi="Times New Roman"/>
          <w:sz w:val="24"/>
          <w:szCs w:val="24"/>
        </w:rPr>
        <w:t xml:space="preserve"> </w:t>
      </w:r>
      <w:r w:rsidRPr="002B61F4">
        <w:rPr>
          <w:rFonts w:ascii="Times New Roman" w:eastAsia="Times New Roman" w:hAnsi="Times New Roman"/>
          <w:sz w:val="24"/>
          <w:szCs w:val="24"/>
          <w:u w:val="single"/>
        </w:rPr>
        <w:t xml:space="preserve">Heather Burchett v. State of California Department of Forestry </w:t>
      </w:r>
      <w:proofErr w:type="gramStart"/>
      <w:r w:rsidRPr="002B61F4">
        <w:rPr>
          <w:rFonts w:ascii="Times New Roman" w:eastAsia="Times New Roman" w:hAnsi="Times New Roman"/>
          <w:sz w:val="24"/>
          <w:szCs w:val="24"/>
          <w:u w:val="single"/>
        </w:rPr>
        <w:t>And</w:t>
      </w:r>
      <w:proofErr w:type="gramEnd"/>
      <w:r w:rsidRPr="002B61F4">
        <w:rPr>
          <w:rFonts w:ascii="Times New Roman" w:eastAsia="Times New Roman" w:hAnsi="Times New Roman"/>
          <w:sz w:val="24"/>
          <w:szCs w:val="24"/>
          <w:u w:val="single"/>
        </w:rPr>
        <w:t xml:space="preserve"> Fire Protection, et al.</w:t>
      </w:r>
      <w:r>
        <w:rPr>
          <w:rFonts w:ascii="Times New Roman" w:eastAsia="Times New Roman" w:hAnsi="Times New Roman"/>
          <w:sz w:val="24"/>
          <w:szCs w:val="24"/>
        </w:rPr>
        <w:t xml:space="preserve">, U.S. District Court Judge Morrison C. England, Jr., Eastern District of California, granted motion to dismiss by CalFire and by Global Super Tanker Service, LLC.  </w:t>
      </w:r>
      <w:hyperlink r:id="rId561" w:history="1">
        <w:r w:rsidRPr="00E74BA3">
          <w:rPr>
            <w:rStyle w:val="Hyperlink"/>
            <w:rFonts w:ascii="Times New Roman" w:eastAsia="Times New Roman" w:hAnsi="Times New Roman"/>
            <w:sz w:val="24"/>
            <w:szCs w:val="24"/>
          </w:rPr>
          <w:t>https://www.leagle.com/decision/infdco20200526m70</w:t>
        </w:r>
      </w:hyperlink>
    </w:p>
    <w:p w14:paraId="2538CC1D" w14:textId="77777777" w:rsidR="00D94DC4" w:rsidRDefault="00D94DC4" w:rsidP="00D94DC4">
      <w:pPr>
        <w:spacing w:before="100" w:beforeAutospacing="1" w:after="100" w:afterAutospacing="1" w:line="240" w:lineRule="auto"/>
        <w:jc w:val="both"/>
        <w:rPr>
          <w:rFonts w:ascii="Times New Roman" w:eastAsia="Times New Roman" w:hAnsi="Times New Roman"/>
          <w:b/>
          <w:bCs/>
          <w:sz w:val="24"/>
          <w:szCs w:val="24"/>
        </w:rPr>
      </w:pPr>
      <w:r w:rsidRPr="00424A1E">
        <w:rPr>
          <w:rFonts w:ascii="Times New Roman" w:eastAsia="Times New Roman" w:hAnsi="Times New Roman"/>
          <w:b/>
          <w:bCs/>
          <w:sz w:val="24"/>
          <w:szCs w:val="24"/>
        </w:rPr>
        <w:t xml:space="preserve">Legal Lessons Learned: </w:t>
      </w:r>
      <w:r>
        <w:rPr>
          <w:rFonts w:ascii="Times New Roman" w:eastAsia="Times New Roman" w:hAnsi="Times New Roman"/>
          <w:b/>
          <w:bCs/>
          <w:sz w:val="24"/>
          <w:szCs w:val="24"/>
        </w:rPr>
        <w:t xml:space="preserve">What a tragic loss of life. </w:t>
      </w:r>
      <w:r w:rsidRPr="00424A1E">
        <w:rPr>
          <w:rFonts w:ascii="Times New Roman" w:eastAsia="Times New Roman" w:hAnsi="Times New Roman"/>
          <w:b/>
          <w:bCs/>
          <w:sz w:val="24"/>
          <w:szCs w:val="24"/>
        </w:rPr>
        <w:t xml:space="preserve">Government and qualified immunity are important legal protections for both government employees, and private companies rendering emergency services under contract with government. </w:t>
      </w:r>
    </w:p>
    <w:p w14:paraId="0EFB4BD4" w14:textId="77777777" w:rsidR="00D94DC4" w:rsidRPr="00AA6F39" w:rsidRDefault="00D94DC4" w:rsidP="00D94DC4">
      <w:pPr>
        <w:pStyle w:val="Heading1"/>
        <w:ind w:left="720"/>
        <w:jc w:val="both"/>
        <w:rPr>
          <w:b w:val="0"/>
          <w:bCs w:val="0"/>
          <w:sz w:val="24"/>
          <w:szCs w:val="24"/>
        </w:rPr>
      </w:pPr>
      <w:r w:rsidRPr="00424A1E">
        <w:rPr>
          <w:b w:val="0"/>
          <w:bCs w:val="0"/>
          <w:sz w:val="24"/>
          <w:szCs w:val="24"/>
        </w:rPr>
        <w:t xml:space="preserve">Note: See Sept. 11, </w:t>
      </w:r>
      <w:proofErr w:type="gramStart"/>
      <w:r w:rsidRPr="00424A1E">
        <w:rPr>
          <w:b w:val="0"/>
          <w:bCs w:val="0"/>
          <w:sz w:val="24"/>
          <w:szCs w:val="24"/>
        </w:rPr>
        <w:t>2019</w:t>
      </w:r>
      <w:proofErr w:type="gramEnd"/>
      <w:r w:rsidRPr="00424A1E">
        <w:rPr>
          <w:b w:val="0"/>
          <w:bCs w:val="0"/>
          <w:sz w:val="24"/>
          <w:szCs w:val="24"/>
        </w:rPr>
        <w:t xml:space="preserve"> article: “Family of fallen Draper firefighter suing California for wrongful death,”</w:t>
      </w:r>
      <w:r>
        <w:rPr>
          <w:b w:val="0"/>
          <w:bCs w:val="0"/>
          <w:sz w:val="24"/>
          <w:szCs w:val="24"/>
        </w:rPr>
        <w:t xml:space="preserve"> </w:t>
      </w:r>
      <w:hyperlink r:id="rId562" w:history="1">
        <w:r w:rsidRPr="00AA6F39">
          <w:rPr>
            <w:rStyle w:val="Hyperlink"/>
            <w:b w:val="0"/>
            <w:bCs w:val="0"/>
            <w:sz w:val="24"/>
            <w:szCs w:val="24"/>
          </w:rPr>
          <w:t>https://fox13now.com/2019/09/11/family-of-fallen-draper-firefighter-suing-state-of-california-for-wrongful-death/</w:t>
        </w:r>
      </w:hyperlink>
      <w:r w:rsidRPr="00AA6F39">
        <w:rPr>
          <w:b w:val="0"/>
          <w:bCs w:val="0"/>
          <w:sz w:val="24"/>
          <w:szCs w:val="24"/>
        </w:rPr>
        <w:t xml:space="preserve"> </w:t>
      </w:r>
    </w:p>
    <w:p w14:paraId="4C430ABF" w14:textId="77777777" w:rsidR="00D94DC4" w:rsidRDefault="00D94DC4" w:rsidP="00EF1133">
      <w:pPr>
        <w:pStyle w:val="NoSpacing"/>
        <w:rPr>
          <w:rFonts w:ascii="Arial Black" w:hAnsi="Arial Black"/>
          <w:sz w:val="24"/>
          <w:szCs w:val="24"/>
        </w:rPr>
      </w:pPr>
    </w:p>
    <w:p w14:paraId="73EDEB16" w14:textId="77777777" w:rsidR="00D94DC4" w:rsidRDefault="00D94DC4" w:rsidP="00EF1133">
      <w:pPr>
        <w:pStyle w:val="NoSpacing"/>
        <w:rPr>
          <w:rFonts w:ascii="Arial Black" w:hAnsi="Arial Black"/>
          <w:sz w:val="24"/>
          <w:szCs w:val="24"/>
        </w:rPr>
      </w:pPr>
    </w:p>
    <w:p w14:paraId="26E8575A" w14:textId="43000C8A" w:rsidR="00D94DC4" w:rsidRDefault="00D94DC4" w:rsidP="00EF1133">
      <w:pPr>
        <w:pStyle w:val="NoSpacing"/>
        <w:rPr>
          <w:rFonts w:ascii="Arial Black" w:hAnsi="Arial Black"/>
          <w:sz w:val="24"/>
          <w:szCs w:val="24"/>
        </w:rPr>
      </w:pPr>
      <w:r>
        <w:rPr>
          <w:rFonts w:ascii="Arial Black" w:hAnsi="Arial Black"/>
          <w:sz w:val="24"/>
          <w:szCs w:val="24"/>
        </w:rPr>
        <w:t>2-31</w:t>
      </w:r>
    </w:p>
    <w:p w14:paraId="4908EBC2" w14:textId="7649605E" w:rsidR="00D94DC4" w:rsidRDefault="00D94DC4" w:rsidP="00EF1133">
      <w:pPr>
        <w:pStyle w:val="NoSpacing"/>
        <w:rPr>
          <w:rFonts w:ascii="Arial Black" w:hAnsi="Arial Black"/>
          <w:sz w:val="24"/>
          <w:szCs w:val="24"/>
        </w:rPr>
      </w:pPr>
    </w:p>
    <w:p w14:paraId="23B4B7D3" w14:textId="27FD28B4" w:rsidR="00D94DC4" w:rsidRDefault="00D94DC4" w:rsidP="00D94DC4">
      <w:pPr>
        <w:spacing w:before="100" w:beforeAutospacing="1" w:after="100" w:afterAutospacing="1" w:line="240" w:lineRule="auto"/>
        <w:rPr>
          <w:rFonts w:ascii="Arial Black" w:eastAsia="Times New Roman" w:hAnsi="Arial Black"/>
          <w:b/>
          <w:bCs/>
          <w:sz w:val="28"/>
          <w:szCs w:val="28"/>
        </w:rPr>
      </w:pPr>
      <w:bookmarkStart w:id="96" w:name="_Hlk66941515"/>
      <w:r w:rsidRPr="006B1CC1">
        <w:rPr>
          <w:rFonts w:ascii="Arial Black" w:eastAsia="Times New Roman" w:hAnsi="Arial Black"/>
          <w:b/>
          <w:bCs/>
          <w:sz w:val="28"/>
          <w:szCs w:val="28"/>
        </w:rPr>
        <w:t>OK:</w:t>
      </w:r>
      <w:r>
        <w:rPr>
          <w:rFonts w:ascii="Arial Black" w:eastAsia="Times New Roman" w:hAnsi="Arial Black"/>
          <w:b/>
          <w:bCs/>
          <w:sz w:val="28"/>
          <w:szCs w:val="28"/>
        </w:rPr>
        <w:t xml:space="preserve"> FF LODD – FF SUCKED INTO </w:t>
      </w:r>
      <w:proofErr w:type="gramStart"/>
      <w:r>
        <w:rPr>
          <w:rFonts w:ascii="Arial Black" w:eastAsia="Times New Roman" w:hAnsi="Arial Black"/>
          <w:b/>
          <w:bCs/>
          <w:sz w:val="28"/>
          <w:szCs w:val="28"/>
        </w:rPr>
        <w:t>DRAIN PIPE</w:t>
      </w:r>
      <w:proofErr w:type="gramEnd"/>
      <w:r>
        <w:rPr>
          <w:rFonts w:ascii="Arial Black" w:eastAsia="Times New Roman" w:hAnsi="Arial Black"/>
          <w:b/>
          <w:bCs/>
          <w:sz w:val="28"/>
          <w:szCs w:val="28"/>
        </w:rPr>
        <w:t xml:space="preserve"> / NO SAFETY GATE – WORKERS COMP IS WIDOW’S SOLE REMEDY – AMAZING THAT SECOND FF ALSO SUCKED INO PIPE BUT SURVIVED</w:t>
      </w:r>
    </w:p>
    <w:p w14:paraId="16F64622" w14:textId="456D1998" w:rsidR="00D94DC4" w:rsidRPr="006B1CC1" w:rsidRDefault="00D94DC4" w:rsidP="00D94DC4">
      <w:pPr>
        <w:spacing w:before="100" w:beforeAutospacing="1" w:after="100" w:afterAutospacing="1" w:line="240" w:lineRule="auto"/>
        <w:rPr>
          <w:rFonts w:ascii="Times New Roman" w:eastAsia="Times New Roman" w:hAnsi="Times New Roman"/>
          <w:sz w:val="24"/>
          <w:szCs w:val="24"/>
        </w:rPr>
      </w:pPr>
      <w:r w:rsidRPr="006B1CC1">
        <w:rPr>
          <w:rFonts w:ascii="Times New Roman" w:eastAsia="Times New Roman" w:hAnsi="Times New Roman"/>
          <w:sz w:val="24"/>
          <w:szCs w:val="24"/>
        </w:rPr>
        <w:t xml:space="preserve">On May 5, 2020, in </w:t>
      </w:r>
      <w:r w:rsidRPr="006B1CC1">
        <w:rPr>
          <w:rFonts w:ascii="Times New Roman" w:eastAsia="Times New Roman" w:hAnsi="Times New Roman"/>
          <w:sz w:val="24"/>
          <w:szCs w:val="24"/>
          <w:u w:val="single"/>
        </w:rPr>
        <w:t>Shelli Farley v. City of Claremore</w:t>
      </w:r>
      <w:r>
        <w:rPr>
          <w:rFonts w:ascii="Times New Roman" w:eastAsia="Times New Roman" w:hAnsi="Times New Roman"/>
          <w:sz w:val="24"/>
          <w:szCs w:val="24"/>
        </w:rPr>
        <w:t xml:space="preserve">, </w:t>
      </w:r>
      <w:r w:rsidRPr="006C380A">
        <w:rPr>
          <w:rFonts w:ascii="Times New Roman" w:eastAsia="Times New Roman" w:hAnsi="Times New Roman"/>
          <w:sz w:val="24"/>
          <w:szCs w:val="24"/>
        </w:rPr>
        <w:t>2020 OK 30</w:t>
      </w:r>
      <w:r>
        <w:rPr>
          <w:rFonts w:ascii="Times New Roman" w:eastAsia="Times New Roman" w:hAnsi="Times New Roman"/>
          <w:sz w:val="24"/>
          <w:szCs w:val="24"/>
        </w:rPr>
        <w:t xml:space="preserve">, the Oklahoma Supreme Court held (8 to 1) that the surviving spouse’s lawsuit for negligence and intentional tort was properly dismissed by the trial court.  </w:t>
      </w:r>
      <w:r w:rsidRPr="00350EDC">
        <w:rPr>
          <w:rFonts w:ascii="Times New Roman" w:eastAsia="Times New Roman" w:hAnsi="Times New Roman"/>
          <w:sz w:val="24"/>
          <w:szCs w:val="24"/>
        </w:rPr>
        <w:t>“T</w:t>
      </w:r>
      <w:r w:rsidRPr="00350EDC">
        <w:rPr>
          <w:rFonts w:ascii="Times New Roman" w:hAnsi="Times New Roman"/>
          <w:sz w:val="24"/>
          <w:szCs w:val="24"/>
        </w:rPr>
        <w:t>he wrongful death injury was adjudicated and compensated by a successful workers' compensation claim after the death of the decedent. This successful adjudication demonstrates the decedent's injury was exclusively before the Commission and not cognizable as a District Court claim at the time of dec</w:t>
      </w:r>
      <w:r>
        <w:rPr>
          <w:rFonts w:ascii="Times New Roman" w:hAnsi="Times New Roman"/>
          <w:sz w:val="24"/>
          <w:szCs w:val="24"/>
        </w:rPr>
        <w:t>e</w:t>
      </w:r>
      <w:r w:rsidRPr="00350EDC">
        <w:rPr>
          <w:rFonts w:ascii="Times New Roman" w:hAnsi="Times New Roman"/>
          <w:sz w:val="24"/>
          <w:szCs w:val="24"/>
        </w:rPr>
        <w:t>dent's death.”</w:t>
      </w:r>
      <w:r>
        <w:rPr>
          <w:rFonts w:ascii="Times New Roman" w:hAnsi="Times New Roman"/>
          <w:sz w:val="24"/>
          <w:szCs w:val="24"/>
        </w:rPr>
        <w:t xml:space="preserve"> </w:t>
      </w:r>
      <w:hyperlink r:id="rId563" w:history="1">
        <w:r w:rsidRPr="008C168C">
          <w:rPr>
            <w:rStyle w:val="Hyperlink"/>
            <w:sz w:val="24"/>
            <w:szCs w:val="24"/>
          </w:rPr>
          <w:t>https://www.oscn.net/applications/oscn/deliverdocument.asp?citeid=486529</w:t>
        </w:r>
      </w:hyperlink>
      <w:r>
        <w:rPr>
          <w:rFonts w:ascii="Times New Roman" w:eastAsia="Times New Roman" w:hAnsi="Times New Roman"/>
          <w:sz w:val="24"/>
          <w:szCs w:val="24"/>
        </w:rPr>
        <w:t xml:space="preserve"> </w:t>
      </w:r>
    </w:p>
    <w:p w14:paraId="28BA5CE4" w14:textId="77777777" w:rsidR="00D94DC4" w:rsidRPr="006C380A" w:rsidRDefault="00D94DC4" w:rsidP="00D94DC4">
      <w:pPr>
        <w:spacing w:before="100" w:beforeAutospacing="1" w:after="100" w:afterAutospacing="1" w:line="240" w:lineRule="auto"/>
        <w:jc w:val="both"/>
        <w:rPr>
          <w:rFonts w:ascii="Times New Roman" w:hAnsi="Times New Roman"/>
          <w:b/>
          <w:bCs/>
          <w:sz w:val="24"/>
          <w:szCs w:val="24"/>
        </w:rPr>
      </w:pPr>
      <w:r w:rsidRPr="006C380A">
        <w:rPr>
          <w:rFonts w:ascii="Times New Roman" w:hAnsi="Times New Roman"/>
          <w:b/>
          <w:bCs/>
          <w:sz w:val="24"/>
          <w:szCs w:val="24"/>
        </w:rPr>
        <w:t>Legal Lessons Learned:</w:t>
      </w:r>
      <w:r>
        <w:rPr>
          <w:rFonts w:ascii="Times New Roman" w:hAnsi="Times New Roman"/>
          <w:b/>
          <w:bCs/>
          <w:sz w:val="24"/>
          <w:szCs w:val="24"/>
        </w:rPr>
        <w:t xml:space="preserve"> Tragic loss of life, but workers comp is sole remedy. </w:t>
      </w:r>
    </w:p>
    <w:p w14:paraId="7802EFC1" w14:textId="108A528D" w:rsidR="00D94DC4" w:rsidRPr="00D94DC4" w:rsidRDefault="00D94DC4" w:rsidP="00D94DC4">
      <w:pPr>
        <w:pStyle w:val="NoSpacing"/>
        <w:ind w:left="720"/>
        <w:rPr>
          <w:rFonts w:ascii="Times New Roman" w:hAnsi="Times New Roman"/>
          <w:sz w:val="24"/>
          <w:szCs w:val="24"/>
        </w:rPr>
      </w:pPr>
      <w:r w:rsidRPr="00D94DC4">
        <w:rPr>
          <w:rFonts w:ascii="Times New Roman" w:hAnsi="Times New Roman"/>
          <w:sz w:val="24"/>
          <w:szCs w:val="24"/>
        </w:rPr>
        <w:t xml:space="preserve">Note: See this May 28, </w:t>
      </w:r>
      <w:proofErr w:type="gramStart"/>
      <w:r w:rsidRPr="00D94DC4">
        <w:rPr>
          <w:rFonts w:ascii="Times New Roman" w:hAnsi="Times New Roman"/>
          <w:sz w:val="24"/>
          <w:szCs w:val="24"/>
        </w:rPr>
        <w:t>2015</w:t>
      </w:r>
      <w:proofErr w:type="gramEnd"/>
      <w:r w:rsidRPr="00D94DC4">
        <w:rPr>
          <w:rFonts w:ascii="Times New Roman" w:hAnsi="Times New Roman"/>
          <w:sz w:val="24"/>
          <w:szCs w:val="24"/>
        </w:rPr>
        <w:t xml:space="preserve"> article, “Firefighter's death highlights municipal storm </w:t>
      </w:r>
      <w:proofErr w:type="gramStart"/>
      <w:r w:rsidRPr="00D94DC4">
        <w:rPr>
          <w:rFonts w:ascii="Times New Roman" w:hAnsi="Times New Roman"/>
          <w:sz w:val="24"/>
          <w:szCs w:val="24"/>
        </w:rPr>
        <w:t>drain</w:t>
      </w:r>
      <w:proofErr w:type="gramEnd"/>
      <w:r w:rsidRPr="00D94DC4">
        <w:rPr>
          <w:rFonts w:ascii="Times New Roman" w:hAnsi="Times New Roman"/>
          <w:sz w:val="24"/>
          <w:szCs w:val="24"/>
        </w:rPr>
        <w:t xml:space="preserve"> dangers.” CLAREMORE, Okla. — “The drowning of an Oklahoma firefighter and a Texas teenager in storms that swept through those states highlight the persistent dangers posed by storm drains that help protect neighborhoods during flash flooding but can suck in unsuspecting residents and rescue workers.” </w:t>
      </w:r>
      <w:hyperlink r:id="rId564" w:history="1">
        <w:r w:rsidRPr="00D94DC4">
          <w:rPr>
            <w:rStyle w:val="Hyperlink"/>
            <w:rFonts w:ascii="Times New Roman" w:hAnsi="Times New Roman"/>
            <w:sz w:val="24"/>
            <w:szCs w:val="24"/>
          </w:rPr>
          <w:t>https://www.firerescue1.com/firefighter-training/articles/firefighters-death-highlights-municipal-storm-drain-dangers-VaH0e7nB3CMWpKRS/</w:t>
        </w:r>
      </w:hyperlink>
    </w:p>
    <w:p w14:paraId="5926B190" w14:textId="77777777" w:rsidR="00D94DC4" w:rsidRPr="00D94DC4" w:rsidRDefault="00D94DC4" w:rsidP="00EF1133">
      <w:pPr>
        <w:pStyle w:val="NoSpacing"/>
        <w:rPr>
          <w:rFonts w:ascii="Times New Roman" w:hAnsi="Times New Roman"/>
          <w:sz w:val="24"/>
          <w:szCs w:val="24"/>
        </w:rPr>
      </w:pPr>
    </w:p>
    <w:p w14:paraId="334409D7" w14:textId="77777777" w:rsidR="00D94DC4" w:rsidRDefault="00D94DC4" w:rsidP="00EF1133">
      <w:pPr>
        <w:pStyle w:val="NoSpacing"/>
        <w:rPr>
          <w:rFonts w:ascii="Arial Black" w:hAnsi="Arial Black"/>
          <w:sz w:val="24"/>
          <w:szCs w:val="24"/>
        </w:rPr>
      </w:pPr>
    </w:p>
    <w:bookmarkEnd w:id="96"/>
    <w:p w14:paraId="5629E78A" w14:textId="3C76C3D8" w:rsidR="005F0E6D" w:rsidRDefault="005F0E6D" w:rsidP="00EF1133">
      <w:pPr>
        <w:pStyle w:val="NoSpacing"/>
        <w:rPr>
          <w:rFonts w:ascii="Arial Black" w:hAnsi="Arial Black"/>
          <w:sz w:val="24"/>
          <w:szCs w:val="24"/>
        </w:rPr>
      </w:pPr>
      <w:r>
        <w:rPr>
          <w:rFonts w:ascii="Arial Black" w:hAnsi="Arial Black"/>
          <w:sz w:val="24"/>
          <w:szCs w:val="24"/>
        </w:rPr>
        <w:t>2-30</w:t>
      </w:r>
    </w:p>
    <w:p w14:paraId="0EEB77F1" w14:textId="7A652234" w:rsidR="005F0E6D" w:rsidRDefault="005F0E6D" w:rsidP="00EF1133">
      <w:pPr>
        <w:pStyle w:val="NoSpacing"/>
        <w:rPr>
          <w:rFonts w:ascii="Arial Black" w:hAnsi="Arial Black"/>
          <w:sz w:val="24"/>
          <w:szCs w:val="24"/>
        </w:rPr>
      </w:pPr>
    </w:p>
    <w:p w14:paraId="26AF9928" w14:textId="77777777" w:rsidR="005F0E6D" w:rsidRDefault="005F0E6D" w:rsidP="005F0E6D">
      <w:pPr>
        <w:pStyle w:val="NoSpacing"/>
        <w:rPr>
          <w:rFonts w:ascii="Arial Black" w:hAnsi="Arial Black"/>
          <w:b/>
          <w:bCs/>
          <w:sz w:val="28"/>
          <w:szCs w:val="28"/>
        </w:rPr>
      </w:pPr>
      <w:r w:rsidRPr="00017D6B">
        <w:rPr>
          <w:rFonts w:ascii="Arial Black" w:hAnsi="Arial Black"/>
          <w:bCs/>
          <w:sz w:val="28"/>
          <w:szCs w:val="28"/>
        </w:rPr>
        <w:t xml:space="preserve">MI: </w:t>
      </w:r>
      <w:r>
        <w:rPr>
          <w:rFonts w:ascii="Arial Black" w:hAnsi="Arial Black"/>
          <w:bCs/>
          <w:sz w:val="28"/>
          <w:szCs w:val="28"/>
        </w:rPr>
        <w:t xml:space="preserve"> FF LODD – VACANT HOUSE FILE – MURDER CONV UPHELD - DEF. PAID EMPLOYEE BURN HOUSE, INSURANCE</w:t>
      </w:r>
    </w:p>
    <w:p w14:paraId="39936B7F" w14:textId="77777777" w:rsidR="005F0E6D" w:rsidRDefault="005F0E6D" w:rsidP="005F0E6D">
      <w:pPr>
        <w:pStyle w:val="NoSpacing"/>
        <w:rPr>
          <w:b/>
          <w:bCs/>
          <w:sz w:val="24"/>
          <w:szCs w:val="24"/>
        </w:rPr>
      </w:pPr>
    </w:p>
    <w:p w14:paraId="678FCA6A" w14:textId="77777777" w:rsidR="005F0E6D" w:rsidRPr="00976742" w:rsidRDefault="005F0E6D" w:rsidP="005F0E6D">
      <w:pPr>
        <w:pStyle w:val="NoSpacing"/>
        <w:rPr>
          <w:rFonts w:ascii="Times New Roman" w:hAnsi="Times New Roman"/>
          <w:b/>
          <w:bCs/>
          <w:sz w:val="24"/>
          <w:szCs w:val="24"/>
        </w:rPr>
      </w:pPr>
      <w:r w:rsidRPr="00976742">
        <w:rPr>
          <w:rFonts w:ascii="Times New Roman" w:hAnsi="Times New Roman"/>
          <w:bCs/>
          <w:sz w:val="24"/>
          <w:szCs w:val="24"/>
        </w:rPr>
        <w:t xml:space="preserve">On April 16, 2020, in </w:t>
      </w:r>
      <w:r w:rsidRPr="00976742">
        <w:rPr>
          <w:rFonts w:ascii="Times New Roman" w:hAnsi="Times New Roman"/>
          <w:bCs/>
          <w:sz w:val="24"/>
          <w:szCs w:val="24"/>
          <w:u w:val="single"/>
        </w:rPr>
        <w:t>People of State of Michigan v. Mario Willis</w:t>
      </w:r>
      <w:r w:rsidRPr="00976742">
        <w:rPr>
          <w:rFonts w:ascii="Times New Roman" w:hAnsi="Times New Roman"/>
          <w:bCs/>
          <w:sz w:val="24"/>
          <w:szCs w:val="24"/>
        </w:rPr>
        <w:t xml:space="preserve">, the State of Michigan Court of Appeals, in an unpublished opinion, held (3 to 0) that after jury convicted defendant of second-degree murder in death of Detroit Firefighter Walter Harris and arson. The defendant paid an employee to set fire to a home owned by defendant’s girlfriend. The house had been damaged in a previous fire, and defendant’s girlfriend had received insurance proceeds to repair the damage.  Court of Appeals </w:t>
      </w:r>
      <w:proofErr w:type="gramStart"/>
      <w:r w:rsidRPr="00976742">
        <w:rPr>
          <w:rFonts w:ascii="Times New Roman" w:hAnsi="Times New Roman"/>
          <w:bCs/>
          <w:sz w:val="24"/>
          <w:szCs w:val="24"/>
        </w:rPr>
        <w:t>remanded case for</w:t>
      </w:r>
      <w:proofErr w:type="gramEnd"/>
      <w:r w:rsidRPr="00976742">
        <w:rPr>
          <w:rFonts w:ascii="Times New Roman" w:hAnsi="Times New Roman"/>
          <w:bCs/>
          <w:sz w:val="24"/>
          <w:szCs w:val="24"/>
        </w:rPr>
        <w:t xml:space="preserve"> </w:t>
      </w:r>
      <w:proofErr w:type="gramStart"/>
      <w:r w:rsidRPr="00976742">
        <w:rPr>
          <w:rFonts w:ascii="Times New Roman" w:hAnsi="Times New Roman"/>
          <w:bCs/>
          <w:sz w:val="24"/>
          <w:szCs w:val="24"/>
        </w:rPr>
        <w:t>resentencing</w:t>
      </w:r>
      <w:proofErr w:type="gramEnd"/>
      <w:r w:rsidRPr="00976742">
        <w:rPr>
          <w:rFonts w:ascii="Times New Roman" w:hAnsi="Times New Roman"/>
          <w:bCs/>
          <w:sz w:val="24"/>
          <w:szCs w:val="24"/>
        </w:rPr>
        <w:t xml:space="preserve">, so trial judge can explain why he imposed an enhanced minimum sentence. The original sentence was “500 to 750 months for the second-degree murder conviction and 10 to 20 years for the arson of a dwelling-house conviction.”   </w:t>
      </w:r>
    </w:p>
    <w:p w14:paraId="12553833" w14:textId="77777777" w:rsidR="005F0E6D" w:rsidRPr="00976742" w:rsidRDefault="005F0E6D" w:rsidP="005F0E6D">
      <w:pPr>
        <w:pStyle w:val="NoSpacing"/>
        <w:rPr>
          <w:rFonts w:ascii="Times New Roman" w:hAnsi="Times New Roman"/>
          <w:b/>
          <w:bCs/>
          <w:sz w:val="24"/>
          <w:szCs w:val="24"/>
        </w:rPr>
      </w:pPr>
    </w:p>
    <w:p w14:paraId="6A59C162" w14:textId="77777777" w:rsidR="005F0E6D" w:rsidRPr="00976742" w:rsidRDefault="005F0E6D" w:rsidP="005F0E6D">
      <w:pPr>
        <w:pStyle w:val="NoSpacing"/>
        <w:ind w:left="720"/>
        <w:rPr>
          <w:rFonts w:ascii="Times New Roman" w:hAnsi="Times New Roman"/>
          <w:b/>
          <w:bCs/>
          <w:sz w:val="24"/>
          <w:szCs w:val="24"/>
        </w:rPr>
      </w:pPr>
      <w:bookmarkStart w:id="97" w:name="_Hlk39765464"/>
      <w:r w:rsidRPr="00976742">
        <w:rPr>
          <w:rFonts w:ascii="Times New Roman" w:hAnsi="Times New Roman"/>
          <w:bCs/>
          <w:sz w:val="24"/>
          <w:szCs w:val="24"/>
        </w:rPr>
        <w:t>“[J]</w:t>
      </w:r>
      <w:proofErr w:type="spellStart"/>
      <w:r w:rsidRPr="00976742">
        <w:rPr>
          <w:rFonts w:ascii="Times New Roman" w:hAnsi="Times New Roman"/>
          <w:bCs/>
          <w:sz w:val="24"/>
          <w:szCs w:val="24"/>
        </w:rPr>
        <w:t>ust</w:t>
      </w:r>
      <w:proofErr w:type="spellEnd"/>
      <w:r w:rsidRPr="00976742">
        <w:rPr>
          <w:rFonts w:ascii="Times New Roman" w:hAnsi="Times New Roman"/>
          <w:bCs/>
          <w:sz w:val="24"/>
          <w:szCs w:val="24"/>
        </w:rPr>
        <w:t xml:space="preserve"> as we are not persuaded that defendant must have wielded an instrumentality personally, we are also not persuaded that its intentionally harmful use must only be directly and immediately against a person. The jury convicted defendant of second-degree murder based on his involvement in burning the house. The jury therefore implicitly found that </w:t>
      </w:r>
      <w:proofErr w:type="gramStart"/>
      <w:r w:rsidRPr="00976742">
        <w:rPr>
          <w:rFonts w:ascii="Times New Roman" w:hAnsi="Times New Roman"/>
          <w:bCs/>
          <w:sz w:val="24"/>
          <w:szCs w:val="24"/>
        </w:rPr>
        <w:t>defendant</w:t>
      </w:r>
      <w:proofErr w:type="gramEnd"/>
      <w:r w:rsidRPr="00976742">
        <w:rPr>
          <w:rFonts w:ascii="Times New Roman" w:hAnsi="Times New Roman"/>
          <w:bCs/>
          <w:sz w:val="24"/>
          <w:szCs w:val="24"/>
        </w:rPr>
        <w:t xml:space="preserve"> did use the gasoline as an offensive instrumentality against a person, even if that use against a person was indirect and achieved by way of destroying property. Furthermore, as noted, the victim, a firefighter, was not an unforeseeable hapless bystander and did not choose to encounter the danger; rather, the victim entered the burning structure specifically because his duties required him to do so. Thus, under the circumstances, we find harmless the trial court’s failure to make an express factual finding as to defendant’s intent in using the gasoline. We therefore reject </w:t>
      </w:r>
      <w:proofErr w:type="gramStart"/>
      <w:r w:rsidRPr="00976742">
        <w:rPr>
          <w:rFonts w:ascii="Times New Roman" w:hAnsi="Times New Roman"/>
          <w:bCs/>
          <w:sz w:val="24"/>
          <w:szCs w:val="24"/>
        </w:rPr>
        <w:t>defendant’s</w:t>
      </w:r>
      <w:proofErr w:type="gramEnd"/>
      <w:r w:rsidRPr="00976742">
        <w:rPr>
          <w:rFonts w:ascii="Times New Roman" w:hAnsi="Times New Roman"/>
          <w:bCs/>
          <w:sz w:val="24"/>
          <w:szCs w:val="24"/>
        </w:rPr>
        <w:t xml:space="preserve"> argument that </w:t>
      </w:r>
      <w:proofErr w:type="gramStart"/>
      <w:r w:rsidRPr="00976742">
        <w:rPr>
          <w:rFonts w:ascii="Times New Roman" w:hAnsi="Times New Roman"/>
          <w:bCs/>
          <w:sz w:val="24"/>
          <w:szCs w:val="24"/>
        </w:rPr>
        <w:t>the gasoline</w:t>
      </w:r>
      <w:proofErr w:type="gramEnd"/>
      <w:r w:rsidRPr="00976742">
        <w:rPr>
          <w:rFonts w:ascii="Times New Roman" w:hAnsi="Times New Roman"/>
          <w:bCs/>
          <w:sz w:val="24"/>
          <w:szCs w:val="24"/>
        </w:rPr>
        <w:t xml:space="preserve"> was not a ‘weapon’ for purposes of OV 1.</w:t>
      </w:r>
    </w:p>
    <w:p w14:paraId="105CCA09" w14:textId="77777777" w:rsidR="005F0E6D" w:rsidRPr="00976742" w:rsidRDefault="005F0E6D" w:rsidP="005F0E6D">
      <w:pPr>
        <w:pStyle w:val="NoSpacing"/>
        <w:ind w:left="720"/>
        <w:rPr>
          <w:rFonts w:ascii="Times New Roman" w:hAnsi="Times New Roman"/>
          <w:b/>
          <w:bCs/>
          <w:sz w:val="24"/>
          <w:szCs w:val="24"/>
        </w:rPr>
      </w:pPr>
      <w:hyperlink r:id="rId565" w:history="1">
        <w:r w:rsidRPr="00976742">
          <w:rPr>
            <w:rStyle w:val="Hyperlink"/>
            <w:rFonts w:ascii="Times New Roman" w:hAnsi="Times New Roman"/>
            <w:b/>
            <w:sz w:val="24"/>
            <w:szCs w:val="24"/>
          </w:rPr>
          <w:t>http://publicdocs.courts.mi.gov/OPINIONS/FINAL/COA/20200416_C346057_26_346057OPNORDER.PDF</w:t>
        </w:r>
      </w:hyperlink>
      <w:bookmarkEnd w:id="97"/>
      <w:r w:rsidRPr="00976742">
        <w:rPr>
          <w:rFonts w:ascii="Times New Roman" w:hAnsi="Times New Roman"/>
          <w:bCs/>
          <w:sz w:val="24"/>
          <w:szCs w:val="24"/>
        </w:rPr>
        <w:t xml:space="preserve"> </w:t>
      </w:r>
    </w:p>
    <w:p w14:paraId="14DE13F0" w14:textId="2DFF443A" w:rsidR="005F0E6D" w:rsidRDefault="005F0E6D" w:rsidP="00EF1133">
      <w:pPr>
        <w:pStyle w:val="NoSpacing"/>
        <w:rPr>
          <w:rFonts w:ascii="Arial Black" w:hAnsi="Arial Black"/>
          <w:sz w:val="24"/>
          <w:szCs w:val="24"/>
        </w:rPr>
      </w:pPr>
    </w:p>
    <w:p w14:paraId="7050A2A5" w14:textId="77777777" w:rsidR="005F0E6D" w:rsidRPr="00976742" w:rsidRDefault="005F0E6D" w:rsidP="005F0E6D">
      <w:pPr>
        <w:pStyle w:val="NoSpacing"/>
        <w:rPr>
          <w:rFonts w:ascii="Times New Roman" w:hAnsi="Times New Roman"/>
          <w:b/>
          <w:bCs/>
          <w:sz w:val="24"/>
          <w:szCs w:val="24"/>
        </w:rPr>
      </w:pPr>
      <w:r w:rsidRPr="00976742">
        <w:rPr>
          <w:rFonts w:ascii="Times New Roman" w:hAnsi="Times New Roman"/>
          <w:b/>
          <w:bCs/>
          <w:sz w:val="24"/>
          <w:szCs w:val="24"/>
        </w:rPr>
        <w:t xml:space="preserve">Legal Lessons Learned: When the defendant hired his employee to </w:t>
      </w:r>
      <w:proofErr w:type="gramStart"/>
      <w:r w:rsidRPr="00976742">
        <w:rPr>
          <w:rFonts w:ascii="Times New Roman" w:hAnsi="Times New Roman"/>
          <w:b/>
          <w:bCs/>
          <w:sz w:val="24"/>
          <w:szCs w:val="24"/>
        </w:rPr>
        <w:t>burn of</w:t>
      </w:r>
      <w:proofErr w:type="gramEnd"/>
      <w:r w:rsidRPr="00976742">
        <w:rPr>
          <w:rFonts w:ascii="Times New Roman" w:hAnsi="Times New Roman"/>
          <w:b/>
          <w:bCs/>
          <w:sz w:val="24"/>
          <w:szCs w:val="24"/>
        </w:rPr>
        <w:t xml:space="preserve"> structure, both the employer and the employee can be convicted of murder and arson.   </w:t>
      </w:r>
    </w:p>
    <w:p w14:paraId="607C8E26" w14:textId="77777777" w:rsidR="005F0E6D" w:rsidRPr="00976742" w:rsidRDefault="005F0E6D" w:rsidP="005F0E6D">
      <w:pPr>
        <w:pStyle w:val="NoSpacing"/>
        <w:ind w:firstLine="720"/>
        <w:rPr>
          <w:rFonts w:ascii="Times New Roman" w:hAnsi="Times New Roman"/>
          <w:b/>
          <w:bCs/>
          <w:sz w:val="24"/>
          <w:szCs w:val="24"/>
        </w:rPr>
      </w:pPr>
    </w:p>
    <w:p w14:paraId="25662B89" w14:textId="77777777" w:rsidR="005F0E6D" w:rsidRPr="00976742" w:rsidRDefault="005F0E6D" w:rsidP="005F0E6D">
      <w:pPr>
        <w:pStyle w:val="NoSpacing"/>
        <w:ind w:left="720"/>
        <w:rPr>
          <w:rFonts w:ascii="Times New Roman" w:hAnsi="Times New Roman"/>
          <w:b/>
          <w:bCs/>
          <w:sz w:val="24"/>
          <w:szCs w:val="24"/>
        </w:rPr>
      </w:pPr>
      <w:bookmarkStart w:id="98" w:name="_Hlk39821671"/>
      <w:r w:rsidRPr="00976742">
        <w:rPr>
          <w:rFonts w:ascii="Times New Roman" w:hAnsi="Times New Roman"/>
          <w:bCs/>
          <w:sz w:val="24"/>
          <w:szCs w:val="24"/>
        </w:rPr>
        <w:t xml:space="preserve">Note: Read NIOSH Fire Fighter Fatality Investigation Report, F2008-37 Date Released: January 31, 2010: </w:t>
      </w:r>
      <w:r>
        <w:rPr>
          <w:rFonts w:ascii="Times New Roman" w:hAnsi="Times New Roman"/>
          <w:bCs/>
          <w:sz w:val="24"/>
          <w:szCs w:val="24"/>
        </w:rPr>
        <w:t>“</w:t>
      </w:r>
      <w:r w:rsidRPr="00976742">
        <w:rPr>
          <w:rFonts w:ascii="Times New Roman" w:hAnsi="Times New Roman"/>
          <w:bCs/>
          <w:sz w:val="24"/>
          <w:szCs w:val="24"/>
        </w:rPr>
        <w:t>On November 15, 2008, a 38-year-old male fire fighter (the victim) died after being crushed by a roof collapse in a vacant/abandoned building</w:t>
      </w:r>
      <w:r>
        <w:rPr>
          <w:rFonts w:ascii="Times New Roman" w:hAnsi="Times New Roman"/>
          <w:bCs/>
          <w:sz w:val="24"/>
          <w:szCs w:val="24"/>
        </w:rPr>
        <w:t xml:space="preserve">.” </w:t>
      </w:r>
      <w:hyperlink r:id="rId566" w:history="1">
        <w:r w:rsidRPr="00976742">
          <w:rPr>
            <w:rStyle w:val="Hyperlink"/>
            <w:rFonts w:ascii="Times New Roman" w:hAnsi="Times New Roman"/>
            <w:b/>
            <w:sz w:val="24"/>
            <w:szCs w:val="24"/>
          </w:rPr>
          <w:t>https://www.cdc.gov/niosh/fire/reports/face200837.html</w:t>
        </w:r>
      </w:hyperlink>
      <w:bookmarkEnd w:id="98"/>
      <w:r w:rsidRPr="00976742">
        <w:rPr>
          <w:rFonts w:ascii="Times New Roman" w:hAnsi="Times New Roman"/>
          <w:bCs/>
          <w:sz w:val="24"/>
          <w:szCs w:val="24"/>
        </w:rPr>
        <w:t xml:space="preserve"> </w:t>
      </w:r>
    </w:p>
    <w:p w14:paraId="34E92C2E" w14:textId="77777777" w:rsidR="005F0E6D" w:rsidRDefault="005F0E6D" w:rsidP="00EF1133">
      <w:pPr>
        <w:pStyle w:val="NoSpacing"/>
        <w:rPr>
          <w:rFonts w:ascii="Arial Black" w:hAnsi="Arial Black"/>
          <w:sz w:val="24"/>
          <w:szCs w:val="24"/>
        </w:rPr>
      </w:pPr>
    </w:p>
    <w:p w14:paraId="631D269F" w14:textId="77777777" w:rsidR="005F0E6D" w:rsidRDefault="005F0E6D" w:rsidP="00EF1133">
      <w:pPr>
        <w:pStyle w:val="NoSpacing"/>
        <w:rPr>
          <w:rFonts w:ascii="Arial Black" w:hAnsi="Arial Black"/>
          <w:sz w:val="24"/>
          <w:szCs w:val="24"/>
        </w:rPr>
      </w:pPr>
    </w:p>
    <w:p w14:paraId="1EE3DD45" w14:textId="77777777" w:rsidR="005F0E6D" w:rsidRDefault="005F0E6D" w:rsidP="00EF1133">
      <w:pPr>
        <w:pStyle w:val="NoSpacing"/>
        <w:rPr>
          <w:rFonts w:ascii="Arial Black" w:hAnsi="Arial Black"/>
          <w:sz w:val="24"/>
          <w:szCs w:val="24"/>
        </w:rPr>
      </w:pPr>
    </w:p>
    <w:p w14:paraId="514EFD1F" w14:textId="705F9BAB" w:rsidR="00663160" w:rsidRDefault="00663160" w:rsidP="00EF1133">
      <w:pPr>
        <w:pStyle w:val="NoSpacing"/>
        <w:rPr>
          <w:rFonts w:ascii="Arial Black" w:hAnsi="Arial Black"/>
          <w:sz w:val="24"/>
          <w:szCs w:val="24"/>
        </w:rPr>
      </w:pPr>
      <w:r>
        <w:rPr>
          <w:rFonts w:ascii="Arial Black" w:hAnsi="Arial Black"/>
          <w:sz w:val="24"/>
          <w:szCs w:val="24"/>
        </w:rPr>
        <w:t>2-29</w:t>
      </w:r>
    </w:p>
    <w:p w14:paraId="7EF02A7C" w14:textId="77777777" w:rsidR="00663160" w:rsidRDefault="00663160" w:rsidP="00663160">
      <w:pPr>
        <w:spacing w:before="100" w:beforeAutospacing="1" w:after="100" w:afterAutospacing="1" w:line="240" w:lineRule="auto"/>
        <w:rPr>
          <w:rFonts w:ascii="Arial Black" w:hAnsi="Arial Black"/>
          <w:sz w:val="28"/>
          <w:szCs w:val="28"/>
        </w:rPr>
      </w:pPr>
      <w:r w:rsidRPr="00E77377">
        <w:rPr>
          <w:rFonts w:ascii="Arial Black" w:hAnsi="Arial Black"/>
          <w:sz w:val="28"/>
          <w:szCs w:val="28"/>
        </w:rPr>
        <w:t xml:space="preserve">OH: </w:t>
      </w:r>
      <w:r>
        <w:rPr>
          <w:rFonts w:ascii="Arial Black" w:hAnsi="Arial Black"/>
          <w:sz w:val="28"/>
          <w:szCs w:val="28"/>
        </w:rPr>
        <w:t>FF INJURED KNEE STEPPING DOWN FROM ENGINE –– STEP WAS MORE 24 INCHES OFF GROUND - VSSR PENALTY</w:t>
      </w:r>
    </w:p>
    <w:p w14:paraId="5E9AC737" w14:textId="77777777" w:rsidR="00663160" w:rsidRDefault="00663160" w:rsidP="00663160">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Feb. 11, 2020, in </w:t>
      </w:r>
      <w:r w:rsidRPr="00E77377">
        <w:rPr>
          <w:rFonts w:ascii="Times New Roman" w:eastAsia="Times New Roman" w:hAnsi="Times New Roman"/>
          <w:sz w:val="24"/>
          <w:szCs w:val="24"/>
          <w:u w:val="single"/>
        </w:rPr>
        <w:t>The State ex rel. Madison Fire District v. Industrial Commission of Ohio</w:t>
      </w:r>
      <w:r>
        <w:rPr>
          <w:rFonts w:ascii="Times New Roman" w:eastAsia="Times New Roman" w:hAnsi="Times New Roman"/>
          <w:sz w:val="24"/>
          <w:szCs w:val="24"/>
        </w:rPr>
        <w:t xml:space="preserve">, 2020 Ohio 463, the Ohio Court of Appeals for Tenth Appellate District, held (3 to 0) that firefighter </w:t>
      </w:r>
      <w:r w:rsidRPr="00E77377">
        <w:rPr>
          <w:rFonts w:ascii="Times New Roman" w:hAnsi="Times New Roman"/>
          <w:sz w:val="24"/>
          <w:szCs w:val="24"/>
        </w:rPr>
        <w:t>Joseph P. Purcell</w:t>
      </w:r>
      <w:r>
        <w:rPr>
          <w:rFonts w:ascii="Times New Roman" w:hAnsi="Times New Roman"/>
          <w:sz w:val="24"/>
          <w:szCs w:val="24"/>
        </w:rPr>
        <w:t xml:space="preserve">, who injured his right knee stepping out of the cab of a 1995 Spartan Darley, was properly awarded his VSSR [violation of  specific safety regulation] claim; 15% to 50% of workers comp. award. </w:t>
      </w:r>
    </w:p>
    <w:p w14:paraId="6F84D8F8" w14:textId="2A311130" w:rsidR="00663160" w:rsidRDefault="00663160" w:rsidP="00DB482B">
      <w:pPr>
        <w:pStyle w:val="NoSpacing"/>
        <w:ind w:left="720"/>
        <w:rPr>
          <w:rStyle w:val="Hyperlink"/>
          <w:rFonts w:ascii="Times New Roman" w:hAnsi="Times New Roman"/>
          <w:sz w:val="24"/>
          <w:szCs w:val="24"/>
        </w:rPr>
      </w:pPr>
      <w:bookmarkStart w:id="99" w:name="_Hlk39765521"/>
      <w:r>
        <w:rPr>
          <w:rFonts w:ascii="Times New Roman" w:hAnsi="Times New Roman"/>
          <w:sz w:val="24"/>
          <w:szCs w:val="24"/>
        </w:rPr>
        <w:t>“</w:t>
      </w:r>
      <w:r w:rsidRPr="00020A40">
        <w:rPr>
          <w:rFonts w:ascii="Times New Roman" w:hAnsi="Times New Roman"/>
          <w:sz w:val="24"/>
          <w:szCs w:val="24"/>
        </w:rPr>
        <w:t>In 2009, the department commissioned a master plan evaluation by an independent third party to do a study of every aspect of the fire department. As a part of that study, the fire engines in use by the department at that time were evaluated. Engine 2124 was a part of that evaluation. The evaluation report states that the department should consider installing steps into cab for safety to engine 2124</w:t>
      </w:r>
      <w:r>
        <w:rPr>
          <w:rFonts w:ascii="Times New Roman" w:hAnsi="Times New Roman"/>
          <w:sz w:val="24"/>
          <w:szCs w:val="24"/>
        </w:rPr>
        <w:t xml:space="preserve"> [1995 Spartan Darley].”  </w:t>
      </w:r>
      <w:hyperlink r:id="rId567" w:history="1">
        <w:r w:rsidRPr="002D2C0F">
          <w:rPr>
            <w:rStyle w:val="Hyperlink"/>
            <w:rFonts w:ascii="Times New Roman" w:hAnsi="Times New Roman"/>
            <w:sz w:val="24"/>
            <w:szCs w:val="24"/>
          </w:rPr>
          <w:t>https://www.courtlistener.com/pdf/2020/02/11/state_ex_rel._madison_fire_dist._v._indus._comm..pdf</w:t>
        </w:r>
      </w:hyperlink>
    </w:p>
    <w:p w14:paraId="15B1B7F1" w14:textId="78EEF9AC" w:rsidR="00663160" w:rsidRDefault="00663160" w:rsidP="00663160">
      <w:pPr>
        <w:spacing w:before="100" w:beforeAutospacing="1" w:after="100" w:afterAutospacing="1" w:line="240" w:lineRule="auto"/>
        <w:rPr>
          <w:rFonts w:ascii="Times New Roman" w:hAnsi="Times New Roman"/>
          <w:b/>
          <w:bCs/>
          <w:sz w:val="24"/>
          <w:szCs w:val="24"/>
        </w:rPr>
      </w:pPr>
      <w:bookmarkStart w:id="100" w:name="_Hlk40508742"/>
      <w:bookmarkEnd w:id="99"/>
      <w:r w:rsidRPr="00020A40">
        <w:rPr>
          <w:rFonts w:ascii="Times New Roman" w:hAnsi="Times New Roman"/>
          <w:b/>
          <w:bCs/>
          <w:sz w:val="24"/>
          <w:szCs w:val="24"/>
        </w:rPr>
        <w:t>Legal Lessons Learned:</w:t>
      </w:r>
      <w:r>
        <w:rPr>
          <w:rFonts w:ascii="Times New Roman" w:hAnsi="Times New Roman"/>
          <w:b/>
          <w:bCs/>
          <w:sz w:val="24"/>
          <w:szCs w:val="24"/>
        </w:rPr>
        <w:t xml:space="preserve"> </w:t>
      </w:r>
      <w:r w:rsidR="009B50E8">
        <w:rPr>
          <w:rFonts w:ascii="Times New Roman" w:hAnsi="Times New Roman"/>
          <w:b/>
          <w:bCs/>
          <w:sz w:val="24"/>
          <w:szCs w:val="24"/>
        </w:rPr>
        <w:t xml:space="preserve">Ohio </w:t>
      </w:r>
      <w:r>
        <w:rPr>
          <w:rFonts w:ascii="Times New Roman" w:hAnsi="Times New Roman"/>
          <w:b/>
          <w:bCs/>
          <w:sz w:val="24"/>
          <w:szCs w:val="24"/>
        </w:rPr>
        <w:t xml:space="preserve">FDs should review the Ohio Administrative Code regulation on fire apparatus, including the height of steps. </w:t>
      </w:r>
      <w:hyperlink r:id="rId568" w:history="1">
        <w:r w:rsidRPr="002D2C0F">
          <w:rPr>
            <w:rStyle w:val="Hyperlink"/>
            <w:rFonts w:ascii="Times New Roman" w:hAnsi="Times New Roman"/>
            <w:b/>
            <w:bCs/>
            <w:sz w:val="24"/>
            <w:szCs w:val="24"/>
          </w:rPr>
          <w:t>http://codes.ohio.gov/oac/4123:1-21-04v1</w:t>
        </w:r>
      </w:hyperlink>
      <w:r>
        <w:rPr>
          <w:rFonts w:ascii="Times New Roman" w:hAnsi="Times New Roman"/>
          <w:b/>
          <w:bCs/>
          <w:sz w:val="24"/>
          <w:szCs w:val="24"/>
        </w:rPr>
        <w:t xml:space="preserve"> .   VSSR penalties can range from 15 to 50% of the maximum allowable weekly compensation rate </w:t>
      </w:r>
      <w:proofErr w:type="gramStart"/>
      <w:r>
        <w:rPr>
          <w:rFonts w:ascii="Times New Roman" w:hAnsi="Times New Roman"/>
          <w:b/>
          <w:bCs/>
          <w:sz w:val="24"/>
          <w:szCs w:val="24"/>
        </w:rPr>
        <w:t>granted</w:t>
      </w:r>
      <w:proofErr w:type="gramEnd"/>
      <w:r>
        <w:rPr>
          <w:rFonts w:ascii="Times New Roman" w:hAnsi="Times New Roman"/>
          <w:b/>
          <w:bCs/>
          <w:sz w:val="24"/>
          <w:szCs w:val="24"/>
        </w:rPr>
        <w:t xml:space="preserve"> the injured worker. </w:t>
      </w:r>
      <w:hyperlink r:id="rId569" w:history="1">
        <w:r w:rsidRPr="002D2C0F">
          <w:rPr>
            <w:rStyle w:val="Hyperlink"/>
            <w:rFonts w:ascii="Times New Roman" w:hAnsi="Times New Roman"/>
            <w:b/>
            <w:bCs/>
            <w:sz w:val="24"/>
            <w:szCs w:val="24"/>
          </w:rPr>
          <w:t>https://www.bwc.ohio.gov/downloads/blankpdf/sviu.pdf</w:t>
        </w:r>
      </w:hyperlink>
      <w:r>
        <w:rPr>
          <w:rFonts w:ascii="Times New Roman" w:hAnsi="Times New Roman"/>
          <w:b/>
          <w:bCs/>
          <w:sz w:val="24"/>
          <w:szCs w:val="24"/>
        </w:rPr>
        <w:t xml:space="preserve"> </w:t>
      </w:r>
    </w:p>
    <w:bookmarkEnd w:id="100"/>
    <w:p w14:paraId="010AC845" w14:textId="77777777" w:rsidR="00663160" w:rsidRDefault="00663160" w:rsidP="00663160">
      <w:pPr>
        <w:pStyle w:val="NoSpacing"/>
        <w:rPr>
          <w:rFonts w:ascii="Arial Black" w:hAnsi="Arial Black"/>
          <w:sz w:val="24"/>
          <w:szCs w:val="24"/>
        </w:rPr>
      </w:pPr>
    </w:p>
    <w:p w14:paraId="7244B3F0" w14:textId="77777777" w:rsidR="00663160" w:rsidRDefault="00663160" w:rsidP="00EF1133">
      <w:pPr>
        <w:pStyle w:val="NoSpacing"/>
        <w:rPr>
          <w:rFonts w:ascii="Arial Black" w:hAnsi="Arial Black"/>
          <w:sz w:val="24"/>
          <w:szCs w:val="24"/>
        </w:rPr>
      </w:pPr>
    </w:p>
    <w:p w14:paraId="39882377" w14:textId="77777777" w:rsidR="00663160" w:rsidRDefault="00663160" w:rsidP="00EF1133">
      <w:pPr>
        <w:pStyle w:val="NoSpacing"/>
        <w:rPr>
          <w:rFonts w:ascii="Arial Black" w:hAnsi="Arial Black"/>
          <w:sz w:val="24"/>
          <w:szCs w:val="24"/>
        </w:rPr>
      </w:pPr>
    </w:p>
    <w:p w14:paraId="0EB37AE2" w14:textId="50B7E2E4" w:rsidR="00663160" w:rsidRDefault="00663160" w:rsidP="00EF1133">
      <w:pPr>
        <w:pStyle w:val="NoSpacing"/>
        <w:rPr>
          <w:rFonts w:ascii="Arial Black" w:hAnsi="Arial Black"/>
          <w:sz w:val="24"/>
          <w:szCs w:val="24"/>
        </w:rPr>
      </w:pPr>
      <w:r>
        <w:rPr>
          <w:rFonts w:ascii="Arial Black" w:hAnsi="Arial Black"/>
          <w:sz w:val="24"/>
          <w:szCs w:val="24"/>
        </w:rPr>
        <w:t>2-28</w:t>
      </w:r>
    </w:p>
    <w:p w14:paraId="01FCAE85" w14:textId="55BFE594" w:rsidR="00663160" w:rsidRDefault="00663160" w:rsidP="00EF1133">
      <w:pPr>
        <w:pStyle w:val="NoSpacing"/>
        <w:rPr>
          <w:rFonts w:ascii="Arial Black" w:hAnsi="Arial Black"/>
          <w:sz w:val="24"/>
          <w:szCs w:val="24"/>
        </w:rPr>
      </w:pPr>
    </w:p>
    <w:p w14:paraId="05D70D26" w14:textId="77777777" w:rsidR="00663160" w:rsidRPr="007635E7" w:rsidRDefault="00663160" w:rsidP="00663160">
      <w:pPr>
        <w:pStyle w:val="NoSpacing"/>
        <w:rPr>
          <w:rFonts w:ascii="Arial Black" w:hAnsi="Arial Black"/>
          <w:sz w:val="28"/>
          <w:szCs w:val="28"/>
        </w:rPr>
      </w:pPr>
      <w:r w:rsidRPr="007635E7">
        <w:rPr>
          <w:rFonts w:ascii="Arial Black" w:hAnsi="Arial Black"/>
          <w:sz w:val="28"/>
          <w:szCs w:val="28"/>
        </w:rPr>
        <w:t xml:space="preserve">DE: </w:t>
      </w:r>
      <w:r>
        <w:rPr>
          <w:rFonts w:ascii="Arial Black" w:hAnsi="Arial Black"/>
          <w:sz w:val="28"/>
          <w:szCs w:val="28"/>
        </w:rPr>
        <w:t xml:space="preserve">ROLLING BLACKOUTS – THREE FF KILLED, THREE INJURED – NOT VIOLATION OF FED CONSTIT. RIGHTS </w:t>
      </w:r>
    </w:p>
    <w:p w14:paraId="2620282C" w14:textId="77777777" w:rsidR="00663160" w:rsidRPr="00465FB3" w:rsidRDefault="00663160" w:rsidP="00663160">
      <w:pPr>
        <w:spacing w:before="100" w:beforeAutospacing="1" w:after="100" w:afterAutospacing="1" w:line="240" w:lineRule="auto"/>
        <w:rPr>
          <w:rFonts w:ascii="Times New Roman" w:hAnsi="Times New Roman"/>
          <w:sz w:val="24"/>
          <w:szCs w:val="24"/>
        </w:rPr>
      </w:pPr>
      <w:r w:rsidRPr="00465FB3">
        <w:rPr>
          <w:rFonts w:ascii="Times New Roman" w:hAnsi="Times New Roman"/>
          <w:sz w:val="24"/>
          <w:szCs w:val="24"/>
        </w:rPr>
        <w:t xml:space="preserve">On </w:t>
      </w:r>
      <w:bookmarkStart w:id="101" w:name="_Hlk39822645"/>
      <w:r w:rsidRPr="00465FB3">
        <w:rPr>
          <w:rFonts w:ascii="Times New Roman" w:hAnsi="Times New Roman"/>
          <w:sz w:val="24"/>
          <w:szCs w:val="24"/>
        </w:rPr>
        <w:t xml:space="preserve">Jan. 9, 2020, in </w:t>
      </w:r>
      <w:r w:rsidRPr="00465FB3">
        <w:rPr>
          <w:rFonts w:ascii="Times New Roman" w:hAnsi="Times New Roman"/>
          <w:sz w:val="24"/>
          <w:szCs w:val="24"/>
          <w:u w:val="single"/>
        </w:rPr>
        <w:t>Firefighter Brad Speakman, et al. v. Dennis P. Williams, City of Wilmington, et al</w:t>
      </w:r>
      <w:bookmarkEnd w:id="101"/>
      <w:r w:rsidRPr="00465FB3">
        <w:rPr>
          <w:rFonts w:ascii="Times New Roman" w:hAnsi="Times New Roman"/>
          <w:sz w:val="24"/>
          <w:szCs w:val="24"/>
        </w:rPr>
        <w:t xml:space="preserve">, U.S. District Court Judge Maryellen Noreika dismissed the lawsuit by the families of the firefighters killed on Sept. 24, 2016.  The Court held that the “rolling bypass” practices may be a basis for a tort lawsuit in state court, the practice is not a violation of the substantive rights guaranteed by the Fourteenth Amendment to the U.S. Constitution. </w:t>
      </w:r>
    </w:p>
    <w:p w14:paraId="3AB1F0C2" w14:textId="77777777" w:rsidR="00663160" w:rsidRPr="00465FB3" w:rsidRDefault="00663160" w:rsidP="00663160">
      <w:pPr>
        <w:pStyle w:val="NoSpacing"/>
        <w:ind w:left="720"/>
        <w:rPr>
          <w:rFonts w:ascii="Times New Roman" w:hAnsi="Times New Roman"/>
          <w:b/>
          <w:bCs/>
          <w:sz w:val="24"/>
          <w:szCs w:val="24"/>
        </w:rPr>
      </w:pPr>
      <w:bookmarkStart w:id="102" w:name="_Hlk39765552"/>
      <w:r w:rsidRPr="00465FB3">
        <w:rPr>
          <w:rFonts w:ascii="Times New Roman" w:eastAsia="Times New Roman" w:hAnsi="Times New Roman"/>
          <w:bCs/>
          <w:sz w:val="24"/>
          <w:szCs w:val="24"/>
        </w:rPr>
        <w:t>“</w:t>
      </w:r>
      <w:r w:rsidRPr="00465FB3">
        <w:rPr>
          <w:rFonts w:ascii="Times New Roman" w:hAnsi="Times New Roman"/>
          <w:bCs/>
          <w:sz w:val="24"/>
          <w:szCs w:val="24"/>
        </w:rPr>
        <w:t xml:space="preserve">This case, like </w:t>
      </w:r>
      <w:r w:rsidRPr="00465FB3">
        <w:rPr>
          <w:rFonts w:ascii="Times New Roman" w:hAnsi="Times New Roman"/>
          <w:bCs/>
          <w:i/>
          <w:iCs/>
          <w:sz w:val="24"/>
          <w:szCs w:val="24"/>
        </w:rPr>
        <w:t>Estate of Phillips</w:t>
      </w:r>
      <w:r w:rsidRPr="00465FB3">
        <w:rPr>
          <w:rFonts w:ascii="Times New Roman" w:hAnsi="Times New Roman"/>
          <w:bCs/>
          <w:sz w:val="24"/>
          <w:szCs w:val="24"/>
        </w:rPr>
        <w:t xml:space="preserve">, Estate of Phillips, [Washington, D.C. line of duty deaths in] Estate of Phillips v. D.C., 455 F.3d 397 (D.C. Cir. 2006)], involves a tragedy. Lieutenant Christopher Leach, Senior Firefighter Jerry Fickes, and Senior Firefighter Ardythe Hope died, and Firefighter Brad Speakman, Senior Firefighter Terrance Tate, and Lieutenant John Cawthray suffered severe injuries. But as the </w:t>
      </w:r>
      <w:r w:rsidRPr="00465FB3">
        <w:rPr>
          <w:rFonts w:ascii="Times New Roman" w:hAnsi="Times New Roman"/>
          <w:bCs/>
          <w:i/>
          <w:iCs/>
          <w:sz w:val="24"/>
          <w:szCs w:val="24"/>
        </w:rPr>
        <w:t>Estate of Phillips</w:t>
      </w:r>
      <w:r w:rsidRPr="00465FB3">
        <w:rPr>
          <w:rFonts w:ascii="Times New Roman" w:hAnsi="Times New Roman"/>
          <w:bCs/>
          <w:sz w:val="24"/>
          <w:szCs w:val="24"/>
        </w:rPr>
        <w:t xml:space="preserve"> court recognized, the Constitution does not provide a basis to address all injuries…. The Court has no doubt that, as Plaintiffs argue … a relationship exists between shift staffing and firefighter safety. For the reasons articulated, however, that relationship alone does not transform Present Defendants' conduct into substantive due process violations [of the 14</w:t>
      </w:r>
      <w:r w:rsidRPr="00465FB3">
        <w:rPr>
          <w:rFonts w:ascii="Times New Roman" w:hAnsi="Times New Roman"/>
          <w:bCs/>
          <w:sz w:val="24"/>
          <w:szCs w:val="24"/>
          <w:vertAlign w:val="superscript"/>
        </w:rPr>
        <w:t>Th</w:t>
      </w:r>
      <w:r w:rsidRPr="00465FB3">
        <w:rPr>
          <w:rFonts w:ascii="Times New Roman" w:hAnsi="Times New Roman"/>
          <w:bCs/>
          <w:sz w:val="24"/>
          <w:szCs w:val="24"/>
        </w:rPr>
        <w:t xml:space="preserve"> Amendment of U.S. Constitution]….</w:t>
      </w:r>
      <w:r w:rsidRPr="00465FB3">
        <w:rPr>
          <w:rFonts w:ascii="Times New Roman" w:hAnsi="Times New Roman"/>
          <w:sz w:val="24"/>
          <w:szCs w:val="24"/>
        </w:rPr>
        <w:t xml:space="preserve"> </w:t>
      </w:r>
      <w:r w:rsidRPr="00465FB3">
        <w:rPr>
          <w:rFonts w:ascii="Times New Roman" w:hAnsi="Times New Roman"/>
          <w:bCs/>
          <w:sz w:val="24"/>
          <w:szCs w:val="24"/>
        </w:rPr>
        <w:t xml:space="preserve">In other words, like the firefighters in </w:t>
      </w:r>
      <w:r w:rsidRPr="00465FB3">
        <w:rPr>
          <w:rFonts w:ascii="Times New Roman" w:hAnsi="Times New Roman"/>
          <w:bCs/>
          <w:i/>
          <w:iCs/>
          <w:sz w:val="24"/>
          <w:szCs w:val="24"/>
        </w:rPr>
        <w:t>Estate of Phillips</w:t>
      </w:r>
      <w:r w:rsidRPr="00465FB3">
        <w:rPr>
          <w:rFonts w:ascii="Times New Roman" w:hAnsi="Times New Roman"/>
          <w:bCs/>
          <w:sz w:val="24"/>
          <w:szCs w:val="24"/>
        </w:rPr>
        <w:t xml:space="preserve">, Plaintiffs allege that Present Defendants (along with others) exposed Firefighter Plaintiffs to ‘additional risks of injury unknown to [them] when they joined’ the WFD. 455 F.3d at 407. Yet, as explained, such increased risk is not enough to establish a substantive due process violation where the underlying risk is inherent in the injured parties' profession and is not so extremely elevated that employees will almost certainly and immediately be injured if they carry out their work.”  </w:t>
      </w:r>
      <w:bookmarkStart w:id="103" w:name="_Hlk39821887"/>
      <w:r w:rsidR="00F2621E">
        <w:fldChar w:fldCharType="begin"/>
      </w:r>
      <w:r w:rsidR="00F2621E">
        <w:instrText xml:space="preserve"> HYPERLINK "https://www.ded.uscourts.gov/sites/ded/files/opinions/18-1252_1.pdf" </w:instrText>
      </w:r>
      <w:r w:rsidR="00F2621E">
        <w:fldChar w:fldCharType="separate"/>
      </w:r>
      <w:r w:rsidRPr="00465FB3">
        <w:rPr>
          <w:rStyle w:val="Hyperlink"/>
          <w:rFonts w:ascii="Times New Roman" w:hAnsi="Times New Roman"/>
          <w:bCs/>
          <w:sz w:val="24"/>
          <w:szCs w:val="24"/>
        </w:rPr>
        <w:t>https://www.ded.uscourts.gov/sites/ded/files/opinions/18-1252_1.pdf</w:t>
      </w:r>
      <w:r w:rsidR="00F2621E">
        <w:rPr>
          <w:rStyle w:val="Hyperlink"/>
          <w:rFonts w:ascii="Times New Roman" w:hAnsi="Times New Roman"/>
          <w:bCs/>
          <w:sz w:val="24"/>
          <w:szCs w:val="24"/>
        </w:rPr>
        <w:fldChar w:fldCharType="end"/>
      </w:r>
      <w:r w:rsidRPr="00465FB3">
        <w:rPr>
          <w:rFonts w:ascii="Times New Roman" w:hAnsi="Times New Roman"/>
          <w:bCs/>
          <w:sz w:val="24"/>
          <w:szCs w:val="24"/>
        </w:rPr>
        <w:t xml:space="preserve"> </w:t>
      </w:r>
      <w:bookmarkEnd w:id="103"/>
    </w:p>
    <w:bookmarkEnd w:id="102"/>
    <w:p w14:paraId="3DD740A0" w14:textId="70FF5D4F" w:rsidR="00663160" w:rsidRDefault="00663160" w:rsidP="00EF1133">
      <w:pPr>
        <w:pStyle w:val="NoSpacing"/>
        <w:rPr>
          <w:rFonts w:ascii="Arial Black" w:hAnsi="Arial Black"/>
          <w:sz w:val="24"/>
          <w:szCs w:val="24"/>
        </w:rPr>
      </w:pPr>
    </w:p>
    <w:p w14:paraId="07D6649F" w14:textId="4641FB73" w:rsidR="009B50E8" w:rsidRDefault="00663160" w:rsidP="00663160">
      <w:pPr>
        <w:pStyle w:val="NoSpacing"/>
        <w:rPr>
          <w:rFonts w:ascii="Times New Roman" w:hAnsi="Times New Roman"/>
          <w:b/>
          <w:bCs/>
          <w:sz w:val="24"/>
          <w:szCs w:val="24"/>
        </w:rPr>
      </w:pPr>
      <w:bookmarkStart w:id="104" w:name="_Hlk40508991"/>
      <w:r w:rsidRPr="00465FB3">
        <w:rPr>
          <w:rFonts w:ascii="Times New Roman" w:hAnsi="Times New Roman"/>
          <w:b/>
          <w:bCs/>
          <w:sz w:val="24"/>
          <w:szCs w:val="24"/>
        </w:rPr>
        <w:t xml:space="preserve">Legal Lessons Learned: </w:t>
      </w:r>
      <w:proofErr w:type="gramStart"/>
      <w:r w:rsidRPr="00465FB3">
        <w:rPr>
          <w:rFonts w:ascii="Times New Roman" w:hAnsi="Times New Roman"/>
          <w:b/>
          <w:bCs/>
          <w:sz w:val="24"/>
          <w:szCs w:val="24"/>
        </w:rPr>
        <w:t>Similar</w:t>
      </w:r>
      <w:r w:rsidR="009B50E8">
        <w:rPr>
          <w:rFonts w:ascii="Times New Roman" w:hAnsi="Times New Roman"/>
          <w:b/>
          <w:bCs/>
          <w:sz w:val="24"/>
          <w:szCs w:val="24"/>
        </w:rPr>
        <w:t xml:space="preserve"> </w:t>
      </w:r>
      <w:r w:rsidRPr="00465FB3">
        <w:rPr>
          <w:rFonts w:ascii="Times New Roman" w:hAnsi="Times New Roman"/>
          <w:b/>
          <w:bCs/>
          <w:sz w:val="24"/>
          <w:szCs w:val="24"/>
        </w:rPr>
        <w:t>to</w:t>
      </w:r>
      <w:proofErr w:type="gramEnd"/>
      <w:r w:rsidRPr="00465FB3">
        <w:rPr>
          <w:rFonts w:ascii="Times New Roman" w:hAnsi="Times New Roman"/>
          <w:b/>
          <w:bCs/>
          <w:sz w:val="24"/>
          <w:szCs w:val="24"/>
        </w:rPr>
        <w:t xml:space="preserve"> the Washington, D.C. line-of-duty-death case in </w:t>
      </w:r>
      <w:r w:rsidRPr="00465FB3">
        <w:rPr>
          <w:rFonts w:ascii="Times New Roman" w:hAnsi="Times New Roman"/>
          <w:b/>
          <w:bCs/>
          <w:sz w:val="24"/>
          <w:szCs w:val="24"/>
          <w:u w:val="single"/>
        </w:rPr>
        <w:t>Estate of Phillips</w:t>
      </w:r>
      <w:r w:rsidRPr="00465FB3">
        <w:rPr>
          <w:rFonts w:ascii="Times New Roman" w:hAnsi="Times New Roman"/>
          <w:b/>
          <w:bCs/>
          <w:sz w:val="24"/>
          <w:szCs w:val="24"/>
        </w:rPr>
        <w:t xml:space="preserve">, </w:t>
      </w:r>
      <w:r w:rsidR="009B50E8">
        <w:rPr>
          <w:rFonts w:ascii="Times New Roman" w:hAnsi="Times New Roman"/>
          <w:b/>
          <w:bCs/>
          <w:sz w:val="24"/>
          <w:szCs w:val="24"/>
        </w:rPr>
        <w:t xml:space="preserve"> </w:t>
      </w:r>
      <w:hyperlink r:id="rId570" w:history="1">
        <w:r w:rsidR="009B50E8" w:rsidRPr="00176D13">
          <w:rPr>
            <w:rStyle w:val="Hyperlink"/>
            <w:rFonts w:ascii="Times New Roman" w:hAnsi="Times New Roman"/>
            <w:b/>
            <w:bCs/>
            <w:sz w:val="24"/>
            <w:szCs w:val="24"/>
          </w:rPr>
          <w:t>https://caselaw.findlaw.com/us-dc-circuit/1363158.html</w:t>
        </w:r>
      </w:hyperlink>
      <w:r w:rsidR="009B50E8">
        <w:rPr>
          <w:rFonts w:ascii="Times New Roman" w:hAnsi="Times New Roman"/>
          <w:b/>
          <w:bCs/>
          <w:sz w:val="24"/>
          <w:szCs w:val="24"/>
        </w:rPr>
        <w:t xml:space="preserve"> </w:t>
      </w:r>
      <w:r w:rsidR="00D735D6">
        <w:rPr>
          <w:rFonts w:ascii="Times New Roman" w:hAnsi="Times New Roman"/>
          <w:b/>
          <w:bCs/>
          <w:sz w:val="24"/>
          <w:szCs w:val="24"/>
        </w:rPr>
        <w:t xml:space="preserve">(2006), </w:t>
      </w:r>
    </w:p>
    <w:p w14:paraId="44000B3D" w14:textId="1D19F4F0" w:rsidR="00663160" w:rsidRPr="00465FB3" w:rsidRDefault="00663160" w:rsidP="00663160">
      <w:pPr>
        <w:pStyle w:val="NoSpacing"/>
        <w:rPr>
          <w:rFonts w:ascii="Times New Roman" w:hAnsi="Times New Roman"/>
          <w:b/>
          <w:bCs/>
          <w:sz w:val="24"/>
          <w:szCs w:val="24"/>
        </w:rPr>
      </w:pPr>
      <w:proofErr w:type="gramStart"/>
      <w:r w:rsidRPr="00465FB3">
        <w:rPr>
          <w:rFonts w:ascii="Times New Roman" w:hAnsi="Times New Roman"/>
          <w:b/>
          <w:bCs/>
          <w:sz w:val="24"/>
          <w:szCs w:val="24"/>
        </w:rPr>
        <w:t>this</w:t>
      </w:r>
      <w:proofErr w:type="gramEnd"/>
      <w:r w:rsidRPr="00465FB3">
        <w:rPr>
          <w:rFonts w:ascii="Times New Roman" w:hAnsi="Times New Roman"/>
          <w:b/>
          <w:bCs/>
          <w:sz w:val="24"/>
          <w:szCs w:val="24"/>
        </w:rPr>
        <w:t xml:space="preserve"> lawsuit in Federal court has been dismissed prior to trial.  </w:t>
      </w:r>
    </w:p>
    <w:bookmarkEnd w:id="104"/>
    <w:p w14:paraId="50BBECE4" w14:textId="77777777" w:rsidR="00663160" w:rsidRPr="00465FB3" w:rsidRDefault="00663160" w:rsidP="00663160">
      <w:pPr>
        <w:pStyle w:val="NoSpacing"/>
        <w:rPr>
          <w:b/>
          <w:bCs/>
        </w:rPr>
      </w:pPr>
      <w:r w:rsidRPr="00465FB3">
        <w:rPr>
          <w:rFonts w:ascii="Times New Roman" w:hAnsi="Times New Roman"/>
          <w:b/>
          <w:bCs/>
          <w:sz w:val="24"/>
          <w:szCs w:val="24"/>
        </w:rPr>
        <w:t xml:space="preserve">Note: </w:t>
      </w:r>
      <w:bookmarkStart w:id="105" w:name="_Hlk39821714"/>
      <w:r w:rsidRPr="00465FB3">
        <w:rPr>
          <w:rFonts w:ascii="Times New Roman" w:hAnsi="Times New Roman"/>
          <w:b/>
          <w:bCs/>
          <w:sz w:val="24"/>
          <w:szCs w:val="24"/>
        </w:rPr>
        <w:t xml:space="preserve">“Woman gets </w:t>
      </w:r>
      <w:proofErr w:type="gramStart"/>
      <w:r w:rsidRPr="00465FB3">
        <w:rPr>
          <w:rFonts w:ascii="Times New Roman" w:hAnsi="Times New Roman"/>
          <w:b/>
          <w:bCs/>
          <w:sz w:val="24"/>
          <w:szCs w:val="24"/>
        </w:rPr>
        <w:t>30 year</w:t>
      </w:r>
      <w:proofErr w:type="gramEnd"/>
      <w:r w:rsidRPr="00465FB3">
        <w:rPr>
          <w:rFonts w:ascii="Times New Roman" w:hAnsi="Times New Roman"/>
          <w:b/>
          <w:bCs/>
          <w:sz w:val="24"/>
          <w:szCs w:val="24"/>
        </w:rPr>
        <w:t xml:space="preserve"> sentence in arson that killed 3 Wilmington firefighters,” (Dec. 13, 2019) </w:t>
      </w:r>
      <w:hyperlink r:id="rId571" w:history="1">
        <w:r w:rsidRPr="00465FB3">
          <w:rPr>
            <w:rStyle w:val="Hyperlink"/>
            <w:rFonts w:ascii="Times New Roman" w:hAnsi="Times New Roman"/>
            <w:b/>
            <w:bCs/>
            <w:sz w:val="24"/>
            <w:szCs w:val="24"/>
          </w:rPr>
          <w:t>https://www.fox29.com/news/woman-gets-30-year-sentence-in-arson-that-killed-3-wilmington-firefighters</w:t>
        </w:r>
      </w:hyperlink>
      <w:bookmarkEnd w:id="105"/>
      <w:r w:rsidRPr="00465FB3">
        <w:rPr>
          <w:b/>
          <w:bCs/>
        </w:rPr>
        <w:t xml:space="preserve"> </w:t>
      </w:r>
    </w:p>
    <w:p w14:paraId="547BB67A" w14:textId="77777777" w:rsidR="00663160" w:rsidRPr="0007452B" w:rsidRDefault="00663160" w:rsidP="00663160">
      <w:pPr>
        <w:pStyle w:val="NoSpacing"/>
        <w:rPr>
          <w:sz w:val="24"/>
          <w:szCs w:val="24"/>
        </w:rPr>
      </w:pPr>
    </w:p>
    <w:p w14:paraId="0FAB91AB" w14:textId="77777777" w:rsidR="00663160" w:rsidRDefault="00663160" w:rsidP="00EF1133">
      <w:pPr>
        <w:pStyle w:val="NoSpacing"/>
        <w:rPr>
          <w:rFonts w:ascii="Arial Black" w:hAnsi="Arial Black"/>
          <w:sz w:val="24"/>
          <w:szCs w:val="24"/>
        </w:rPr>
      </w:pPr>
    </w:p>
    <w:p w14:paraId="7809057E" w14:textId="77777777" w:rsidR="00663160" w:rsidRDefault="00663160" w:rsidP="00EF1133">
      <w:pPr>
        <w:pStyle w:val="NoSpacing"/>
        <w:rPr>
          <w:rFonts w:ascii="Arial Black" w:hAnsi="Arial Black"/>
          <w:sz w:val="24"/>
          <w:szCs w:val="24"/>
        </w:rPr>
      </w:pPr>
    </w:p>
    <w:p w14:paraId="5377580D" w14:textId="77777777" w:rsidR="00663160" w:rsidRDefault="00663160" w:rsidP="00EF1133">
      <w:pPr>
        <w:pStyle w:val="NoSpacing"/>
        <w:rPr>
          <w:rFonts w:ascii="Arial Black" w:hAnsi="Arial Black"/>
          <w:sz w:val="24"/>
          <w:szCs w:val="24"/>
        </w:rPr>
      </w:pPr>
    </w:p>
    <w:p w14:paraId="2EA9FFBE" w14:textId="0D24AFC2" w:rsidR="00C9355B" w:rsidRDefault="00C9355B" w:rsidP="00EF1133">
      <w:pPr>
        <w:pStyle w:val="NoSpacing"/>
        <w:rPr>
          <w:rFonts w:ascii="Arial Black" w:hAnsi="Arial Black"/>
          <w:sz w:val="24"/>
          <w:szCs w:val="24"/>
        </w:rPr>
      </w:pPr>
      <w:r>
        <w:rPr>
          <w:rFonts w:ascii="Arial Black" w:hAnsi="Arial Black"/>
          <w:sz w:val="24"/>
          <w:szCs w:val="24"/>
        </w:rPr>
        <w:t>2-27</w:t>
      </w:r>
    </w:p>
    <w:p w14:paraId="5C6FE893" w14:textId="77777777" w:rsidR="00C9355B" w:rsidRDefault="00C9355B" w:rsidP="00C9355B">
      <w:pPr>
        <w:spacing w:before="100" w:beforeAutospacing="1" w:after="100" w:afterAutospacing="1"/>
        <w:rPr>
          <w:rFonts w:ascii="Arial Black" w:eastAsia="Times New Roman" w:hAnsi="Arial Black"/>
          <w:bCs/>
          <w:sz w:val="28"/>
          <w:szCs w:val="28"/>
        </w:rPr>
      </w:pPr>
      <w:r w:rsidRPr="005E0291">
        <w:rPr>
          <w:rFonts w:ascii="Arial Black" w:eastAsia="Times New Roman" w:hAnsi="Arial Black"/>
          <w:bCs/>
          <w:sz w:val="28"/>
          <w:szCs w:val="28"/>
        </w:rPr>
        <w:t xml:space="preserve">NY: </w:t>
      </w:r>
      <w:r>
        <w:rPr>
          <w:rFonts w:ascii="Arial Black" w:eastAsia="Times New Roman" w:hAnsi="Arial Black"/>
          <w:bCs/>
          <w:sz w:val="28"/>
          <w:szCs w:val="28"/>
        </w:rPr>
        <w:t xml:space="preserve"> FF SOLICITING FUNDS - HOMEOWNER AT DOOR WTH FIREARM – ARRESTED – MALICIOUS PROS. CASE DISMISSED </w:t>
      </w:r>
    </w:p>
    <w:p w14:paraId="4C3A3587" w14:textId="77777777" w:rsidR="00C9355B" w:rsidRPr="00695030" w:rsidRDefault="00C9355B" w:rsidP="00C9355B">
      <w:pPr>
        <w:spacing w:before="100" w:beforeAutospacing="1" w:after="100" w:afterAutospacing="1"/>
        <w:rPr>
          <w:rFonts w:ascii="Times New Roman" w:eastAsia="Times New Roman" w:hAnsi="Times New Roman"/>
          <w:b/>
          <w:sz w:val="24"/>
          <w:szCs w:val="24"/>
        </w:rPr>
      </w:pPr>
      <w:r w:rsidRPr="00695030">
        <w:rPr>
          <w:rFonts w:ascii="Times New Roman" w:eastAsia="Times New Roman" w:hAnsi="Times New Roman"/>
          <w:sz w:val="24"/>
          <w:szCs w:val="24"/>
        </w:rPr>
        <w:t xml:space="preserve">On </w:t>
      </w:r>
      <w:bookmarkStart w:id="106" w:name="_Hlk39822249"/>
      <w:r w:rsidRPr="00695030">
        <w:rPr>
          <w:rFonts w:ascii="Times New Roman" w:eastAsia="Times New Roman" w:hAnsi="Times New Roman"/>
          <w:sz w:val="24"/>
          <w:szCs w:val="24"/>
        </w:rPr>
        <w:t xml:space="preserve">Jan. 28, 2020, in </w:t>
      </w:r>
      <w:r w:rsidRPr="00695030">
        <w:rPr>
          <w:rFonts w:ascii="Times New Roman" w:eastAsia="Times New Roman" w:hAnsi="Times New Roman"/>
          <w:sz w:val="24"/>
          <w:szCs w:val="24"/>
          <w:u w:val="single"/>
        </w:rPr>
        <w:t xml:space="preserve">Carl T. </w:t>
      </w:r>
      <w:proofErr w:type="spellStart"/>
      <w:r w:rsidRPr="00695030">
        <w:rPr>
          <w:rFonts w:ascii="Times New Roman" w:eastAsia="Times New Roman" w:hAnsi="Times New Roman"/>
          <w:sz w:val="24"/>
          <w:szCs w:val="24"/>
          <w:u w:val="single"/>
        </w:rPr>
        <w:t>Semencic</w:t>
      </w:r>
      <w:proofErr w:type="spellEnd"/>
      <w:r w:rsidRPr="00695030">
        <w:rPr>
          <w:rFonts w:ascii="Times New Roman" w:eastAsia="Times New Roman" w:hAnsi="Times New Roman"/>
          <w:sz w:val="24"/>
          <w:szCs w:val="24"/>
          <w:u w:val="single"/>
        </w:rPr>
        <w:t xml:space="preserve"> v. The County of Nassau, et al</w:t>
      </w:r>
      <w:bookmarkEnd w:id="106"/>
      <w:r w:rsidRPr="00695030">
        <w:rPr>
          <w:rFonts w:ascii="Times New Roman" w:eastAsia="Times New Roman" w:hAnsi="Times New Roman"/>
          <w:sz w:val="24"/>
          <w:szCs w:val="24"/>
        </w:rPr>
        <w:t xml:space="preserve">., U.S. District Court Judge Sandra J. Feuerstein granted defense motion for summary judgment, and dismissed lawsuit by the homeowner arrested for menacing the firefighters.  </w:t>
      </w:r>
    </w:p>
    <w:p w14:paraId="1BB0DD49" w14:textId="70246BFC" w:rsidR="00C9355B" w:rsidRPr="00965872" w:rsidRDefault="00C9355B" w:rsidP="00965872">
      <w:pPr>
        <w:pStyle w:val="NoSpacing"/>
        <w:ind w:left="720"/>
        <w:rPr>
          <w:rFonts w:ascii="Times New Roman" w:hAnsi="Times New Roman"/>
          <w:sz w:val="24"/>
          <w:szCs w:val="24"/>
        </w:rPr>
      </w:pPr>
      <w:r w:rsidRPr="00965872">
        <w:rPr>
          <w:rFonts w:ascii="Times New Roman" w:hAnsi="Times New Roman"/>
          <w:sz w:val="24"/>
          <w:szCs w:val="24"/>
        </w:rPr>
        <w:t xml:space="preserve">“There are no factual allegations to plausibly suggest that Defendants lacked reasonable cause to believe that </w:t>
      </w:r>
      <w:proofErr w:type="spellStart"/>
      <w:r w:rsidRPr="00965872">
        <w:rPr>
          <w:rFonts w:ascii="Times New Roman" w:hAnsi="Times New Roman"/>
          <w:sz w:val="24"/>
          <w:szCs w:val="24"/>
        </w:rPr>
        <w:t>Semencic</w:t>
      </w:r>
      <w:proofErr w:type="spellEnd"/>
      <w:r w:rsidRPr="00965872">
        <w:rPr>
          <w:rFonts w:ascii="Times New Roman" w:hAnsi="Times New Roman"/>
          <w:sz w:val="24"/>
          <w:szCs w:val="24"/>
        </w:rPr>
        <w:t xml:space="preserve"> had menaced Maloney with a weapon in violation of New York law. Plaintiff was charged by information with menacing in the second degree, which provides that ‘[a] person is guilty of menacing in the second degree when. . . He or she intentionally places or attempts to place another person in reasonable fear of physical injury, serious physical injury or death by displaying a deadly weapon, dangerous instrument or what appears to be a pistol, revolver, rifle, shotgun, machine gun or other firearm. . …’  N.Y. PENAL LAW § 120.14. </w:t>
      </w:r>
      <w:proofErr w:type="spellStart"/>
      <w:r w:rsidRPr="00965872">
        <w:rPr>
          <w:rFonts w:ascii="Times New Roman" w:hAnsi="Times New Roman"/>
          <w:sz w:val="24"/>
          <w:szCs w:val="24"/>
        </w:rPr>
        <w:t>Semencic's</w:t>
      </w:r>
      <w:proofErr w:type="spellEnd"/>
      <w:r w:rsidRPr="00965872">
        <w:rPr>
          <w:rFonts w:ascii="Times New Roman" w:hAnsi="Times New Roman"/>
          <w:sz w:val="24"/>
          <w:szCs w:val="24"/>
        </w:rPr>
        <w:t xml:space="preserve"> own version of the events, in which he concedes his display of the gun, coupled with [firefighter] Maloney's assertion in his statement that he was ‘in fear of his life,’ essentially establishes a menacing charge.  ***  </w:t>
      </w:r>
      <w:r w:rsidRPr="00965872">
        <w:rPr>
          <w:rFonts w:ascii="Times New Roman" w:hAnsi="Times New Roman"/>
          <w:bCs/>
          <w:sz w:val="24"/>
          <w:szCs w:val="24"/>
        </w:rPr>
        <w:t>[P]</w:t>
      </w:r>
      <w:proofErr w:type="spellStart"/>
      <w:r w:rsidRPr="00965872">
        <w:rPr>
          <w:rFonts w:ascii="Times New Roman" w:hAnsi="Times New Roman"/>
          <w:bCs/>
          <w:sz w:val="24"/>
          <w:szCs w:val="24"/>
        </w:rPr>
        <w:t>ointing</w:t>
      </w:r>
      <w:proofErr w:type="spellEnd"/>
      <w:r w:rsidRPr="00965872">
        <w:rPr>
          <w:rFonts w:ascii="Times New Roman" w:hAnsi="Times New Roman"/>
          <w:bCs/>
          <w:sz w:val="24"/>
          <w:szCs w:val="24"/>
        </w:rPr>
        <w:t xml:space="preserve"> a gun at and tapping that gun against a 'Do Not Knock No Peddlers' sign and saying 'Go Away' can</w:t>
      </w:r>
      <w:r w:rsidRPr="00965872">
        <w:rPr>
          <w:rFonts w:ascii="Times New Roman" w:hAnsi="Times New Roman"/>
          <w:sz w:val="24"/>
          <w:szCs w:val="24"/>
        </w:rPr>
        <w:t xml:space="preserve">, </w:t>
      </w:r>
      <w:r w:rsidRPr="00965872">
        <w:rPr>
          <w:rFonts w:ascii="Times New Roman" w:hAnsi="Times New Roman"/>
          <w:bCs/>
          <w:sz w:val="24"/>
          <w:szCs w:val="24"/>
        </w:rPr>
        <w:t>given what guns are designed to do</w:t>
      </w:r>
      <w:r w:rsidRPr="00965872">
        <w:rPr>
          <w:rFonts w:ascii="Times New Roman" w:hAnsi="Times New Roman"/>
          <w:sz w:val="24"/>
          <w:szCs w:val="24"/>
        </w:rPr>
        <w:t xml:space="preserve">, </w:t>
      </w:r>
      <w:r w:rsidRPr="00965872">
        <w:rPr>
          <w:rFonts w:ascii="Times New Roman" w:hAnsi="Times New Roman"/>
          <w:bCs/>
          <w:sz w:val="24"/>
          <w:szCs w:val="24"/>
        </w:rPr>
        <w:t xml:space="preserve">be perceived as an attempt to instill the requisite fear that injury will ensue if the sign and the command are not obeyed. [Emphasis by Judge Feuerstein.]” </w:t>
      </w:r>
      <w:bookmarkStart w:id="107" w:name="_Hlk39822186"/>
      <w:r w:rsidR="00F2621E">
        <w:fldChar w:fldCharType="begin"/>
      </w:r>
      <w:r w:rsidR="00F2621E">
        <w:instrText xml:space="preserve"> HYPERLINK "https://public.fastcase.com/Wl%2B2t%2BeVuI35%2FN70vAMFZnOfSxLvAGpuUD2VM9emafhy4fr43G9Vd6d9h%2FUBoSxo" </w:instrText>
      </w:r>
      <w:r w:rsidR="00F2621E">
        <w:fldChar w:fldCharType="separate"/>
      </w:r>
      <w:r w:rsidRPr="00965872">
        <w:rPr>
          <w:rStyle w:val="Hyperlink"/>
          <w:rFonts w:ascii="Times New Roman" w:hAnsi="Times New Roman"/>
          <w:b/>
          <w:sz w:val="24"/>
          <w:szCs w:val="24"/>
        </w:rPr>
        <w:t>https://public.fastcase.com/Wl%2B2t%2BeVuI35%2FN70vAMFZnOfSxLvAGpuUD2VM9emafhy4fr43G9Vd6d9h%2FUBoSxo</w:t>
      </w:r>
      <w:r w:rsidR="00F2621E">
        <w:rPr>
          <w:rStyle w:val="Hyperlink"/>
          <w:rFonts w:ascii="Times New Roman" w:hAnsi="Times New Roman"/>
          <w:b/>
          <w:sz w:val="24"/>
          <w:szCs w:val="24"/>
        </w:rPr>
        <w:fldChar w:fldCharType="end"/>
      </w:r>
    </w:p>
    <w:bookmarkEnd w:id="107"/>
    <w:p w14:paraId="1834C4B4" w14:textId="77777777" w:rsidR="00C9355B" w:rsidRPr="00503E8F" w:rsidRDefault="00C9355B" w:rsidP="00C9355B">
      <w:pPr>
        <w:pStyle w:val="NormalWeb"/>
        <w:rPr>
          <w:bCs/>
        </w:rPr>
      </w:pPr>
      <w:r w:rsidRPr="00695030">
        <w:rPr>
          <w:b/>
        </w:rPr>
        <w:t xml:space="preserve">Legal Lessons Learned:  Suggestion – conduct “door to door” solicitations in pairs, in uniform, and be extremely caution where the homeowner has posted Do Not Knock or similar signs.  </w:t>
      </w:r>
      <w:r>
        <w:rPr>
          <w:bCs/>
        </w:rPr>
        <w:t xml:space="preserve">See article on the arrest, </w:t>
      </w:r>
      <w:bookmarkStart w:id="108" w:name="_Hlk39822065"/>
      <w:r>
        <w:rPr>
          <w:bCs/>
        </w:rPr>
        <w:t xml:space="preserve">“West Hempstead man menaced fire volunteer with gun, police say” (July 20, 2016):  </w:t>
      </w:r>
      <w:hyperlink r:id="rId572" w:history="1">
        <w:r w:rsidRPr="0063481C">
          <w:rPr>
            <w:rStyle w:val="Hyperlink"/>
          </w:rPr>
          <w:t>https://www.newsday.com/long-island/crime/west-hempstead-man-menaced-fire-volunteer-with-gun-police-say-1.12068135</w:t>
        </w:r>
      </w:hyperlink>
      <w:bookmarkEnd w:id="108"/>
      <w:r>
        <w:rPr>
          <w:bCs/>
        </w:rPr>
        <w:t xml:space="preserve"> </w:t>
      </w:r>
    </w:p>
    <w:p w14:paraId="2C2C5FD7" w14:textId="3D658942" w:rsidR="00C9355B" w:rsidRDefault="00C9355B" w:rsidP="00EF1133">
      <w:pPr>
        <w:pStyle w:val="NoSpacing"/>
        <w:rPr>
          <w:rFonts w:ascii="Arial Black" w:hAnsi="Arial Black"/>
          <w:sz w:val="24"/>
          <w:szCs w:val="24"/>
        </w:rPr>
      </w:pPr>
    </w:p>
    <w:p w14:paraId="7B4F6DC2" w14:textId="042AFCC8" w:rsidR="00C9355B" w:rsidRDefault="00C9355B" w:rsidP="00EF1133">
      <w:pPr>
        <w:pStyle w:val="NoSpacing"/>
        <w:rPr>
          <w:rFonts w:ascii="Arial Black" w:hAnsi="Arial Black"/>
          <w:sz w:val="24"/>
          <w:szCs w:val="24"/>
        </w:rPr>
      </w:pPr>
      <w:r>
        <w:rPr>
          <w:rFonts w:ascii="Arial Black" w:hAnsi="Arial Black"/>
          <w:sz w:val="24"/>
          <w:szCs w:val="24"/>
        </w:rPr>
        <w:t>2-26</w:t>
      </w:r>
    </w:p>
    <w:p w14:paraId="181DDE5E" w14:textId="4CE88308" w:rsidR="00C9355B" w:rsidRDefault="00C9355B" w:rsidP="00EF1133">
      <w:pPr>
        <w:pStyle w:val="NoSpacing"/>
        <w:rPr>
          <w:rFonts w:ascii="Arial Black" w:hAnsi="Arial Black"/>
          <w:sz w:val="24"/>
          <w:szCs w:val="24"/>
        </w:rPr>
      </w:pPr>
    </w:p>
    <w:p w14:paraId="67BAB4E4" w14:textId="77777777" w:rsidR="00C9355B" w:rsidRDefault="00C9355B" w:rsidP="00C9355B">
      <w:pPr>
        <w:pStyle w:val="NoSpacing"/>
        <w:rPr>
          <w:rFonts w:ascii="Arial Black" w:hAnsi="Arial Black"/>
          <w:b/>
          <w:bCs/>
          <w:sz w:val="28"/>
          <w:szCs w:val="28"/>
        </w:rPr>
      </w:pPr>
      <w:r w:rsidRPr="00F90324">
        <w:rPr>
          <w:rFonts w:ascii="Arial Black" w:hAnsi="Arial Black"/>
          <w:bCs/>
          <w:sz w:val="28"/>
          <w:szCs w:val="28"/>
        </w:rPr>
        <w:t xml:space="preserve">LA: </w:t>
      </w:r>
      <w:r>
        <w:rPr>
          <w:rFonts w:ascii="Arial Black" w:hAnsi="Arial Black"/>
          <w:bCs/>
          <w:sz w:val="28"/>
          <w:szCs w:val="28"/>
        </w:rPr>
        <w:t>OFFICER INJURED - “BLACK LIVES” PROTEST – SUING PROTEST LEADER – TOUGH CASE TO WIN / FIREMAN’S RULE</w:t>
      </w:r>
    </w:p>
    <w:p w14:paraId="00BA7CE7" w14:textId="77777777" w:rsidR="00C9355B" w:rsidRDefault="00C9355B" w:rsidP="00C9355B">
      <w:pPr>
        <w:pStyle w:val="NoSpacing"/>
        <w:rPr>
          <w:b/>
          <w:bCs/>
          <w:sz w:val="24"/>
          <w:szCs w:val="24"/>
        </w:rPr>
      </w:pPr>
    </w:p>
    <w:p w14:paraId="0D5656E1" w14:textId="77777777" w:rsidR="00C9355B" w:rsidRDefault="00C9355B" w:rsidP="00C9355B">
      <w:pPr>
        <w:pStyle w:val="NoSpacing"/>
        <w:rPr>
          <w:rFonts w:ascii="Times New Roman" w:hAnsi="Times New Roman"/>
          <w:bCs/>
          <w:sz w:val="24"/>
          <w:szCs w:val="24"/>
        </w:rPr>
      </w:pPr>
      <w:r w:rsidRPr="00695030">
        <w:rPr>
          <w:rFonts w:ascii="Times New Roman" w:hAnsi="Times New Roman"/>
          <w:bCs/>
          <w:sz w:val="24"/>
          <w:szCs w:val="24"/>
        </w:rPr>
        <w:t xml:space="preserve">On Jan. 28, 2020, in </w:t>
      </w:r>
      <w:r w:rsidRPr="00695030">
        <w:rPr>
          <w:rFonts w:ascii="Times New Roman" w:hAnsi="Times New Roman"/>
          <w:bCs/>
          <w:sz w:val="24"/>
          <w:szCs w:val="24"/>
          <w:u w:val="single"/>
        </w:rPr>
        <w:t>Officer John Doe v. Deray McKesson; Black Lives Matter</w:t>
      </w:r>
      <w:r w:rsidRPr="00695030">
        <w:rPr>
          <w:rFonts w:ascii="Times New Roman" w:hAnsi="Times New Roman"/>
          <w:bCs/>
          <w:sz w:val="24"/>
          <w:szCs w:val="24"/>
        </w:rPr>
        <w:t>, the U.S. Court of Appeals for 5</w:t>
      </w:r>
      <w:r w:rsidRPr="00695030">
        <w:rPr>
          <w:rFonts w:ascii="Times New Roman" w:hAnsi="Times New Roman"/>
          <w:bCs/>
          <w:sz w:val="24"/>
          <w:szCs w:val="24"/>
          <w:vertAlign w:val="superscript"/>
        </w:rPr>
        <w:t>th</w:t>
      </w:r>
      <w:r w:rsidRPr="00695030">
        <w:rPr>
          <w:rFonts w:ascii="Times New Roman" w:hAnsi="Times New Roman"/>
          <w:bCs/>
          <w:sz w:val="24"/>
          <w:szCs w:val="24"/>
        </w:rPr>
        <w:t xml:space="preserve"> Circuit (New Orleans), declined to hear the appeal </w:t>
      </w:r>
      <w:proofErr w:type="spellStart"/>
      <w:r w:rsidRPr="00695030">
        <w:rPr>
          <w:rFonts w:ascii="Times New Roman" w:hAnsi="Times New Roman"/>
          <w:bCs/>
          <w:sz w:val="24"/>
          <w:szCs w:val="24"/>
        </w:rPr>
        <w:t>en</w:t>
      </w:r>
      <w:proofErr w:type="spellEnd"/>
      <w:r w:rsidRPr="00695030">
        <w:rPr>
          <w:rFonts w:ascii="Times New Roman" w:hAnsi="Times New Roman"/>
          <w:bCs/>
          <w:sz w:val="24"/>
          <w:szCs w:val="24"/>
        </w:rPr>
        <w:t xml:space="preserve"> banc (by all 16 Circuit Court judges (on a tie vote of 8 to 8).   Dec. 16, </w:t>
      </w:r>
      <w:proofErr w:type="gramStart"/>
      <w:r w:rsidRPr="00695030">
        <w:rPr>
          <w:rFonts w:ascii="Times New Roman" w:hAnsi="Times New Roman"/>
          <w:bCs/>
          <w:sz w:val="24"/>
          <w:szCs w:val="24"/>
        </w:rPr>
        <w:t>2019</w:t>
      </w:r>
      <w:proofErr w:type="gramEnd"/>
      <w:r w:rsidRPr="00695030">
        <w:rPr>
          <w:rFonts w:ascii="Times New Roman" w:hAnsi="Times New Roman"/>
          <w:bCs/>
          <w:sz w:val="24"/>
          <w:szCs w:val="24"/>
        </w:rPr>
        <w:t xml:space="preserve"> decision by 3-judge panel held (2 to 1) that the police officer’s lawsuit against the protest organizer, </w:t>
      </w:r>
    </w:p>
    <w:p w14:paraId="444FA89E" w14:textId="77777777" w:rsidR="00C9355B" w:rsidRDefault="00C9355B" w:rsidP="00C9355B">
      <w:pPr>
        <w:pStyle w:val="NoSpacing"/>
        <w:rPr>
          <w:rFonts w:ascii="Times New Roman" w:hAnsi="Times New Roman"/>
          <w:bCs/>
          <w:sz w:val="24"/>
          <w:szCs w:val="24"/>
        </w:rPr>
      </w:pPr>
    </w:p>
    <w:p w14:paraId="3F048130" w14:textId="77777777" w:rsidR="00C9355B" w:rsidRPr="00695030" w:rsidRDefault="00C9355B" w:rsidP="00C9355B">
      <w:pPr>
        <w:pStyle w:val="NoSpacing"/>
        <w:rPr>
          <w:rFonts w:ascii="Times New Roman" w:hAnsi="Times New Roman"/>
          <w:b/>
          <w:bCs/>
          <w:sz w:val="24"/>
          <w:szCs w:val="24"/>
        </w:rPr>
      </w:pPr>
      <w:proofErr w:type="gramStart"/>
      <w:r w:rsidRPr="00695030">
        <w:rPr>
          <w:rFonts w:ascii="Times New Roman" w:hAnsi="Times New Roman"/>
          <w:bCs/>
          <w:sz w:val="24"/>
          <w:szCs w:val="24"/>
        </w:rPr>
        <w:t>Deray McKesson,</w:t>
      </w:r>
      <w:proofErr w:type="gramEnd"/>
      <w:r w:rsidRPr="00695030">
        <w:rPr>
          <w:rFonts w:ascii="Times New Roman" w:hAnsi="Times New Roman"/>
          <w:bCs/>
          <w:sz w:val="24"/>
          <w:szCs w:val="24"/>
        </w:rPr>
        <w:t xml:space="preserve"> would be reinstated and </w:t>
      </w:r>
      <w:proofErr w:type="gramStart"/>
      <w:r w:rsidRPr="00695030">
        <w:rPr>
          <w:rFonts w:ascii="Times New Roman" w:hAnsi="Times New Roman"/>
          <w:bCs/>
          <w:sz w:val="24"/>
          <w:szCs w:val="24"/>
        </w:rPr>
        <w:t>remanded</w:t>
      </w:r>
      <w:proofErr w:type="gramEnd"/>
      <w:r w:rsidRPr="00695030">
        <w:rPr>
          <w:rFonts w:ascii="Times New Roman" w:hAnsi="Times New Roman"/>
          <w:bCs/>
          <w:sz w:val="24"/>
          <w:szCs w:val="24"/>
        </w:rPr>
        <w:t xml:space="preserve"> to trial judge.  In the Dec. 16, </w:t>
      </w:r>
      <w:proofErr w:type="gramStart"/>
      <w:r w:rsidRPr="00695030">
        <w:rPr>
          <w:rFonts w:ascii="Times New Roman" w:hAnsi="Times New Roman"/>
          <w:bCs/>
          <w:sz w:val="24"/>
          <w:szCs w:val="24"/>
        </w:rPr>
        <w:t>2020</w:t>
      </w:r>
      <w:proofErr w:type="gramEnd"/>
      <w:r w:rsidRPr="00695030">
        <w:rPr>
          <w:rFonts w:ascii="Times New Roman" w:hAnsi="Times New Roman"/>
          <w:bCs/>
          <w:sz w:val="24"/>
          <w:szCs w:val="24"/>
        </w:rPr>
        <w:t xml:space="preserve"> decision, Circuit Judge E. Grady Loll wrote:   </w:t>
      </w:r>
    </w:p>
    <w:p w14:paraId="2ADCF10B" w14:textId="77777777" w:rsidR="00C9355B" w:rsidRPr="00695030" w:rsidRDefault="00C9355B" w:rsidP="00C9355B">
      <w:pPr>
        <w:pStyle w:val="NoSpacing"/>
        <w:rPr>
          <w:rFonts w:ascii="Times New Roman" w:hAnsi="Times New Roman"/>
          <w:b/>
          <w:bCs/>
          <w:sz w:val="24"/>
          <w:szCs w:val="24"/>
        </w:rPr>
      </w:pPr>
    </w:p>
    <w:p w14:paraId="79180E55" w14:textId="77777777" w:rsidR="00C9355B" w:rsidRPr="00695030" w:rsidRDefault="00C9355B" w:rsidP="00C9355B">
      <w:pPr>
        <w:pStyle w:val="NoSpacing"/>
        <w:ind w:left="720"/>
        <w:rPr>
          <w:rFonts w:ascii="Times New Roman" w:eastAsia="Times New Roman" w:hAnsi="Times New Roman"/>
          <w:b/>
          <w:bCs/>
          <w:sz w:val="24"/>
          <w:szCs w:val="24"/>
        </w:rPr>
      </w:pPr>
      <w:r w:rsidRPr="00695030">
        <w:rPr>
          <w:rFonts w:ascii="Times New Roman" w:eastAsia="Times New Roman" w:hAnsi="Times New Roman"/>
          <w:bCs/>
          <w:sz w:val="24"/>
          <w:szCs w:val="24"/>
        </w:rPr>
        <w:t>“</w:t>
      </w:r>
      <w:r w:rsidRPr="00695030">
        <w:rPr>
          <w:rFonts w:ascii="Times New Roman" w:hAnsi="Times New Roman"/>
          <w:bCs/>
          <w:sz w:val="24"/>
          <w:szCs w:val="24"/>
        </w:rPr>
        <w:t xml:space="preserve">We first note that this case comes before us from a dismissal on the pleadings alone. In this context, we find that Officer Doe has plausibly alleged that Mckesson breached his duty of reasonable care </w:t>
      </w:r>
      <w:proofErr w:type="gramStart"/>
      <w:r w:rsidRPr="00695030">
        <w:rPr>
          <w:rFonts w:ascii="Times New Roman" w:hAnsi="Times New Roman"/>
          <w:bCs/>
          <w:sz w:val="24"/>
          <w:szCs w:val="24"/>
        </w:rPr>
        <w:t>in the course of</w:t>
      </w:r>
      <w:proofErr w:type="gramEnd"/>
      <w:r w:rsidRPr="00695030">
        <w:rPr>
          <w:rFonts w:ascii="Times New Roman" w:hAnsi="Times New Roman"/>
          <w:bCs/>
          <w:sz w:val="24"/>
          <w:szCs w:val="24"/>
        </w:rPr>
        <w:t xml:space="preserve"> organizing and leading the Baton Rouge demonstration. The complaint alleges that Mckesson planned to block a public highway as part of the protest. And the complaint specifically alleges that Mckesson </w:t>
      </w:r>
      <w:proofErr w:type="gramStart"/>
      <w:r w:rsidRPr="00695030">
        <w:rPr>
          <w:rFonts w:ascii="Times New Roman" w:hAnsi="Times New Roman"/>
          <w:bCs/>
          <w:sz w:val="24"/>
          <w:szCs w:val="24"/>
        </w:rPr>
        <w:t>was in charge of</w:t>
      </w:r>
      <w:proofErr w:type="gramEnd"/>
      <w:r w:rsidRPr="00695030">
        <w:rPr>
          <w:rFonts w:ascii="Times New Roman" w:hAnsi="Times New Roman"/>
          <w:bCs/>
          <w:sz w:val="24"/>
          <w:szCs w:val="24"/>
        </w:rPr>
        <w:t xml:space="preserve"> the protests and was seen and heard giving orders throughout the day and night of the protests. Blocking a public highway is a criminal act under Louisiana law. See La. Rev. Stat. Ann. § 14:97. Indeed, the complaint alleges that Mckesson himself was arrested during the demonstration. It was patently foreseeable that the Baton Rouge police would be required to respond to the demonstration by clearing the highway and, when necessary, making arrests. Given the intentional lawlessness of this aspect of the demonstration, Mckesson should have known that leading the demonstrators onto a busy highway was likely to provoke a confrontation between police and the mass of demonstrators, yet he ignored the foreseeable danger to officers, bystanders, and demonstrators, and notwithstanding, did so anyway.”  </w:t>
      </w:r>
      <w:hyperlink r:id="rId573" w:history="1">
        <w:r w:rsidRPr="00695030">
          <w:rPr>
            <w:rStyle w:val="Hyperlink"/>
            <w:rFonts w:ascii="Times New Roman" w:hAnsi="Times New Roman"/>
            <w:b/>
            <w:sz w:val="24"/>
            <w:szCs w:val="24"/>
          </w:rPr>
          <w:t>http://www.ca5.uscourts.gov/opinions/pub/17/17-30864-CV1.pdf</w:t>
        </w:r>
      </w:hyperlink>
      <w:r w:rsidRPr="00695030">
        <w:rPr>
          <w:rFonts w:ascii="Times New Roman" w:hAnsi="Times New Roman"/>
          <w:bCs/>
          <w:sz w:val="24"/>
          <w:szCs w:val="24"/>
        </w:rPr>
        <w:t xml:space="preserve"> </w:t>
      </w:r>
    </w:p>
    <w:p w14:paraId="070AF6AA" w14:textId="77777777" w:rsidR="00C9355B" w:rsidRDefault="00C9355B" w:rsidP="00C9355B">
      <w:pPr>
        <w:pStyle w:val="NoSpacing"/>
        <w:rPr>
          <w:rFonts w:ascii="Times New Roman" w:hAnsi="Times New Roman"/>
          <w:b/>
          <w:bCs/>
          <w:sz w:val="24"/>
          <w:szCs w:val="24"/>
        </w:rPr>
      </w:pPr>
    </w:p>
    <w:p w14:paraId="1ED0DB47" w14:textId="6417FB27" w:rsidR="00C9355B" w:rsidRPr="00695030" w:rsidRDefault="00C9355B" w:rsidP="00C9355B">
      <w:pPr>
        <w:pStyle w:val="NoSpacing"/>
        <w:rPr>
          <w:rFonts w:ascii="Times New Roman" w:hAnsi="Times New Roman"/>
          <w:sz w:val="24"/>
          <w:szCs w:val="24"/>
        </w:rPr>
      </w:pPr>
      <w:r w:rsidRPr="00695030">
        <w:rPr>
          <w:rFonts w:ascii="Times New Roman" w:hAnsi="Times New Roman"/>
          <w:b/>
          <w:bCs/>
          <w:sz w:val="24"/>
          <w:szCs w:val="24"/>
        </w:rPr>
        <w:t>Legal Lessons Learned:  On remand, the police officer has an “uphill battle” to overcome the Professional Rescuer Doctrine [also known as the Fireman’s Rule].</w:t>
      </w:r>
      <w:r w:rsidRPr="00695030">
        <w:rPr>
          <w:rFonts w:ascii="Times New Roman" w:hAnsi="Times New Roman"/>
          <w:sz w:val="24"/>
          <w:szCs w:val="24"/>
        </w:rPr>
        <w:t xml:space="preserve">   See dissent by Circuit Judge James C. Ho, in the Jan. 28, </w:t>
      </w:r>
      <w:proofErr w:type="gramStart"/>
      <w:r w:rsidRPr="00695030">
        <w:rPr>
          <w:rFonts w:ascii="Times New Roman" w:hAnsi="Times New Roman"/>
          <w:sz w:val="24"/>
          <w:szCs w:val="24"/>
        </w:rPr>
        <w:t>2020</w:t>
      </w:r>
      <w:proofErr w:type="gramEnd"/>
      <w:r w:rsidRPr="00695030">
        <w:rPr>
          <w:rFonts w:ascii="Times New Roman" w:hAnsi="Times New Roman"/>
          <w:sz w:val="24"/>
          <w:szCs w:val="24"/>
        </w:rPr>
        <w:t xml:space="preserve"> decision of 5</w:t>
      </w:r>
      <w:r w:rsidRPr="00695030">
        <w:rPr>
          <w:rFonts w:ascii="Times New Roman" w:hAnsi="Times New Roman"/>
          <w:sz w:val="24"/>
          <w:szCs w:val="24"/>
          <w:vertAlign w:val="superscript"/>
        </w:rPr>
        <w:t>th</w:t>
      </w:r>
      <w:r w:rsidRPr="00695030">
        <w:rPr>
          <w:rFonts w:ascii="Times New Roman" w:hAnsi="Times New Roman"/>
          <w:sz w:val="24"/>
          <w:szCs w:val="24"/>
        </w:rPr>
        <w:t xml:space="preserve"> Circuit (on tie vote of 8 to 8) to not rehear the case </w:t>
      </w:r>
      <w:proofErr w:type="spellStart"/>
      <w:r w:rsidRPr="00695030">
        <w:rPr>
          <w:rFonts w:ascii="Times New Roman" w:hAnsi="Times New Roman"/>
          <w:sz w:val="24"/>
          <w:szCs w:val="24"/>
        </w:rPr>
        <w:t>en</w:t>
      </w:r>
      <w:proofErr w:type="spellEnd"/>
      <w:r w:rsidRPr="00695030">
        <w:rPr>
          <w:rFonts w:ascii="Times New Roman" w:hAnsi="Times New Roman"/>
          <w:sz w:val="24"/>
          <w:szCs w:val="24"/>
        </w:rPr>
        <w:t xml:space="preserve"> banc. </w:t>
      </w:r>
    </w:p>
    <w:p w14:paraId="4D78FC86" w14:textId="77777777" w:rsidR="00C9355B" w:rsidRPr="00695030" w:rsidRDefault="00C9355B" w:rsidP="00C9355B">
      <w:pPr>
        <w:pStyle w:val="NoSpacing"/>
        <w:ind w:left="720"/>
        <w:rPr>
          <w:rFonts w:ascii="Times New Roman" w:hAnsi="Times New Roman"/>
          <w:b/>
          <w:bCs/>
          <w:sz w:val="24"/>
          <w:szCs w:val="24"/>
        </w:rPr>
      </w:pPr>
    </w:p>
    <w:p w14:paraId="357C7054"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 xml:space="preserve">“Police officers and firefighters dedicate their lives to protecting others, often putting themselves in harm’s way. These are difficult and dangerous jobs, and citizens owe a debt of gratitude to those who are willing and able to perform them. What’s more, police officers and firefighters assume the risk that they may </w:t>
      </w:r>
      <w:proofErr w:type="spellStart"/>
      <w:r w:rsidRPr="00695030">
        <w:rPr>
          <w:rFonts w:ascii="Times New Roman" w:hAnsi="Times New Roman"/>
          <w:bCs/>
          <w:sz w:val="24"/>
          <w:szCs w:val="24"/>
        </w:rPr>
        <w:t>bissent</w:t>
      </w:r>
      <w:proofErr w:type="spellEnd"/>
      <w:r w:rsidRPr="00695030">
        <w:rPr>
          <w:rFonts w:ascii="Times New Roman" w:hAnsi="Times New Roman"/>
          <w:bCs/>
          <w:sz w:val="24"/>
          <w:szCs w:val="24"/>
        </w:rPr>
        <w:t xml:space="preserve"> e injured in the line of duty. </w:t>
      </w:r>
      <w:proofErr w:type="gramStart"/>
      <w:r w:rsidRPr="00695030">
        <w:rPr>
          <w:rFonts w:ascii="Times New Roman" w:hAnsi="Times New Roman"/>
          <w:bCs/>
          <w:sz w:val="24"/>
          <w:szCs w:val="24"/>
        </w:rPr>
        <w:t>So</w:t>
      </w:r>
      <w:proofErr w:type="gramEnd"/>
      <w:r w:rsidRPr="00695030">
        <w:rPr>
          <w:rFonts w:ascii="Times New Roman" w:hAnsi="Times New Roman"/>
          <w:bCs/>
          <w:sz w:val="24"/>
          <w:szCs w:val="24"/>
        </w:rPr>
        <w:t xml:space="preserve"> they are not allowed to recover damages from those responsible for their injuries, under a common law rule known as the professional rescuer doctrine.</w:t>
      </w:r>
    </w:p>
    <w:p w14:paraId="01EE2395" w14:textId="77777777" w:rsidR="00C9355B" w:rsidRPr="00695030" w:rsidRDefault="00C9355B" w:rsidP="00C9355B">
      <w:pPr>
        <w:pStyle w:val="NoSpacing"/>
        <w:ind w:left="720"/>
        <w:rPr>
          <w:rFonts w:ascii="Times New Roman" w:hAnsi="Times New Roman"/>
          <w:b/>
          <w:bCs/>
          <w:sz w:val="24"/>
          <w:szCs w:val="24"/>
        </w:rPr>
      </w:pPr>
    </w:p>
    <w:p w14:paraId="27D7AF2C"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w:t>
      </w:r>
    </w:p>
    <w:p w14:paraId="1867ECA0" w14:textId="77777777" w:rsidR="00C9355B" w:rsidRPr="00695030" w:rsidRDefault="00C9355B" w:rsidP="00C9355B">
      <w:pPr>
        <w:pStyle w:val="NoSpacing"/>
        <w:ind w:left="720"/>
        <w:rPr>
          <w:rFonts w:ascii="Times New Roman" w:eastAsia="Times New Roman" w:hAnsi="Times New Roman"/>
          <w:b/>
          <w:sz w:val="24"/>
          <w:szCs w:val="24"/>
        </w:rPr>
      </w:pPr>
      <w:r w:rsidRPr="00695030">
        <w:rPr>
          <w:rFonts w:ascii="Times New Roman" w:hAnsi="Times New Roman"/>
          <w:bCs/>
          <w:sz w:val="24"/>
          <w:szCs w:val="24"/>
        </w:rPr>
        <w:t xml:space="preserve">Civil disobedience enjoys a rich tradition in our nation’s history. But there is a difference between civil disobedience—and civil disobedience without consequence…  Citizens may protest. But by protesting, the </w:t>
      </w:r>
      <w:proofErr w:type="gramStart"/>
      <w:r w:rsidRPr="00695030">
        <w:rPr>
          <w:rFonts w:ascii="Times New Roman" w:hAnsi="Times New Roman"/>
          <w:bCs/>
          <w:sz w:val="24"/>
          <w:szCs w:val="24"/>
        </w:rPr>
        <w:t>citizen does</w:t>
      </w:r>
      <w:proofErr w:type="gramEnd"/>
      <w:r w:rsidRPr="00695030">
        <w:rPr>
          <w:rFonts w:ascii="Times New Roman" w:hAnsi="Times New Roman"/>
          <w:bCs/>
          <w:sz w:val="24"/>
          <w:szCs w:val="24"/>
        </w:rPr>
        <w:t xml:space="preserve"> not suddenly gain immunity to violate traffic rules or other laws that the rest of us are required to follow. The First Amendment protects protest, not trespass. That said, this lawsuit should not proceed for an entirely different reason—the professional rescuer doctrine. I trust the district court will faithfully apply that doctrine </w:t>
      </w:r>
      <w:proofErr w:type="gramStart"/>
      <w:r w:rsidRPr="00695030">
        <w:rPr>
          <w:rFonts w:ascii="Times New Roman" w:hAnsi="Times New Roman"/>
          <w:bCs/>
          <w:sz w:val="24"/>
          <w:szCs w:val="24"/>
        </w:rPr>
        <w:t>if and when</w:t>
      </w:r>
      <w:proofErr w:type="gramEnd"/>
      <w:r w:rsidRPr="00695030">
        <w:rPr>
          <w:rFonts w:ascii="Times New Roman" w:hAnsi="Times New Roman"/>
          <w:bCs/>
          <w:sz w:val="24"/>
          <w:szCs w:val="24"/>
        </w:rPr>
        <w:t xml:space="preserve"> Mckesson invokes it, and dismiss the suit on remand, just as it did before.” </w:t>
      </w:r>
      <w:r w:rsidRPr="00695030">
        <w:rPr>
          <w:rFonts w:ascii="Times New Roman" w:eastAsia="Times New Roman" w:hAnsi="Times New Roman"/>
          <w:bCs/>
          <w:sz w:val="24"/>
          <w:szCs w:val="24"/>
        </w:rPr>
        <w:t xml:space="preserve"> </w:t>
      </w:r>
      <w:hyperlink r:id="rId574" w:history="1">
        <w:r w:rsidRPr="00695030">
          <w:rPr>
            <w:rStyle w:val="Hyperlink"/>
            <w:rFonts w:ascii="Times New Roman" w:hAnsi="Times New Roman"/>
            <w:b/>
            <w:sz w:val="24"/>
            <w:szCs w:val="24"/>
          </w:rPr>
          <w:t>http://www.ca5.uscourts.gov/opinions/pub/17/17-30864-CV2.pdf</w:t>
        </w:r>
      </w:hyperlink>
      <w:r w:rsidRPr="00695030">
        <w:rPr>
          <w:rFonts w:ascii="Times New Roman" w:eastAsia="Times New Roman" w:hAnsi="Times New Roman"/>
          <w:sz w:val="24"/>
          <w:szCs w:val="24"/>
        </w:rPr>
        <w:t xml:space="preserve"> </w:t>
      </w:r>
    </w:p>
    <w:p w14:paraId="65ED8519" w14:textId="77777777" w:rsidR="00C9355B" w:rsidRPr="00695030" w:rsidRDefault="00C9355B" w:rsidP="00C9355B">
      <w:pPr>
        <w:spacing w:before="100" w:beforeAutospacing="1" w:after="100" w:afterAutospacing="1"/>
        <w:ind w:left="720"/>
        <w:rPr>
          <w:rFonts w:ascii="Times New Roman" w:eastAsia="Times New Roman" w:hAnsi="Times New Roman"/>
          <w:b/>
          <w:bCs/>
          <w:sz w:val="24"/>
          <w:szCs w:val="24"/>
        </w:rPr>
      </w:pPr>
      <w:r w:rsidRPr="00695030">
        <w:rPr>
          <w:rFonts w:ascii="Times New Roman" w:eastAsia="Times New Roman" w:hAnsi="Times New Roman"/>
          <w:bCs/>
          <w:sz w:val="24"/>
          <w:szCs w:val="24"/>
        </w:rPr>
        <w:t xml:space="preserve">See also the ALCU’s petition requesting U.S. Supreme Court to hear the case:  </w:t>
      </w:r>
      <w:hyperlink r:id="rId575" w:history="1">
        <w:r w:rsidRPr="00695030">
          <w:rPr>
            <w:rStyle w:val="Hyperlink"/>
            <w:rFonts w:ascii="Times New Roman" w:hAnsi="Times New Roman"/>
            <w:b/>
            <w:sz w:val="24"/>
            <w:szCs w:val="24"/>
          </w:rPr>
          <w:t>https://www.aclu.org/sites/default/files/field_document/mckesson_v_doe_cert_petn_and_appendix.pdf</w:t>
        </w:r>
      </w:hyperlink>
      <w:r w:rsidRPr="00695030">
        <w:rPr>
          <w:rFonts w:ascii="Times New Roman" w:eastAsia="Times New Roman" w:hAnsi="Times New Roman"/>
          <w:bCs/>
          <w:sz w:val="24"/>
          <w:szCs w:val="24"/>
        </w:rPr>
        <w:t xml:space="preserve"> </w:t>
      </w:r>
    </w:p>
    <w:p w14:paraId="0EF79D4E" w14:textId="4C5A732E" w:rsidR="00C9355B" w:rsidRDefault="00C9355B" w:rsidP="00EF1133">
      <w:pPr>
        <w:pStyle w:val="NoSpacing"/>
        <w:rPr>
          <w:rFonts w:ascii="Arial Black" w:hAnsi="Arial Black"/>
          <w:sz w:val="24"/>
          <w:szCs w:val="24"/>
        </w:rPr>
      </w:pPr>
    </w:p>
    <w:p w14:paraId="45018E3E" w14:textId="0C7943D2" w:rsidR="00C9355B" w:rsidRDefault="00C9355B" w:rsidP="00EF1133">
      <w:pPr>
        <w:pStyle w:val="NoSpacing"/>
        <w:rPr>
          <w:rFonts w:ascii="Arial Black" w:hAnsi="Arial Black"/>
          <w:sz w:val="24"/>
          <w:szCs w:val="24"/>
        </w:rPr>
      </w:pPr>
      <w:r>
        <w:rPr>
          <w:rFonts w:ascii="Arial Black" w:hAnsi="Arial Black"/>
          <w:sz w:val="24"/>
          <w:szCs w:val="24"/>
        </w:rPr>
        <w:t>2-25</w:t>
      </w:r>
    </w:p>
    <w:p w14:paraId="773CEC28" w14:textId="77777777" w:rsidR="00C9355B" w:rsidRPr="00231496" w:rsidRDefault="00C9355B" w:rsidP="00C9355B">
      <w:pPr>
        <w:spacing w:before="100" w:beforeAutospacing="1" w:after="100" w:afterAutospacing="1"/>
        <w:rPr>
          <w:rFonts w:ascii="Arial Black" w:eastAsia="Times New Roman" w:hAnsi="Arial Black"/>
          <w:b/>
          <w:bCs/>
          <w:sz w:val="28"/>
          <w:szCs w:val="28"/>
        </w:rPr>
      </w:pPr>
      <w:bookmarkStart w:id="109" w:name="_Hlk39818125"/>
      <w:r w:rsidRPr="00231496">
        <w:rPr>
          <w:rFonts w:ascii="Arial Black" w:eastAsia="Times New Roman" w:hAnsi="Arial Black"/>
          <w:bCs/>
          <w:sz w:val="28"/>
          <w:szCs w:val="28"/>
        </w:rPr>
        <w:t xml:space="preserve">TX: </w:t>
      </w:r>
      <w:r>
        <w:rPr>
          <w:rFonts w:ascii="Arial Black" w:eastAsia="Times New Roman" w:hAnsi="Arial Black"/>
          <w:bCs/>
          <w:sz w:val="28"/>
          <w:szCs w:val="28"/>
        </w:rPr>
        <w:t xml:space="preserve">FF / BAPTIST MINISTER – OBJECTED TO TETANUS VACCINATION – DECLINED INSPECTOR JOB - FIRED </w:t>
      </w:r>
    </w:p>
    <w:p w14:paraId="6DEC8938" w14:textId="010A3488" w:rsidR="00C9355B" w:rsidRPr="00695030" w:rsidRDefault="00C9355B" w:rsidP="00C9355B">
      <w:pPr>
        <w:pStyle w:val="NoSpacing"/>
        <w:rPr>
          <w:rFonts w:ascii="Times New Roman" w:hAnsi="Times New Roman"/>
          <w:b/>
          <w:bCs/>
          <w:sz w:val="24"/>
          <w:szCs w:val="24"/>
        </w:rPr>
      </w:pPr>
      <w:r w:rsidRPr="00695030">
        <w:rPr>
          <w:rFonts w:ascii="Times New Roman" w:hAnsi="Times New Roman"/>
          <w:bCs/>
          <w:sz w:val="24"/>
          <w:szCs w:val="24"/>
        </w:rPr>
        <w:t xml:space="preserve">On Jan. 9, 2020, in </w:t>
      </w:r>
      <w:r w:rsidRPr="00695030">
        <w:rPr>
          <w:rFonts w:ascii="Times New Roman" w:hAnsi="Times New Roman"/>
          <w:bCs/>
          <w:sz w:val="24"/>
          <w:szCs w:val="24"/>
          <w:u w:val="single"/>
        </w:rPr>
        <w:t>Brett Horvath v. City of Leander, Texas</w:t>
      </w:r>
      <w:r w:rsidRPr="00695030">
        <w:rPr>
          <w:rFonts w:ascii="Times New Roman" w:hAnsi="Times New Roman"/>
          <w:bCs/>
          <w:sz w:val="24"/>
          <w:szCs w:val="24"/>
        </w:rPr>
        <w:t>, the U.S. Court of Appeals for the 5</w:t>
      </w:r>
      <w:r w:rsidRPr="00695030">
        <w:rPr>
          <w:rFonts w:ascii="Times New Roman" w:hAnsi="Times New Roman"/>
          <w:bCs/>
          <w:sz w:val="24"/>
          <w:szCs w:val="24"/>
          <w:vertAlign w:val="superscript"/>
        </w:rPr>
        <w:t>th</w:t>
      </w:r>
      <w:r w:rsidRPr="00695030">
        <w:rPr>
          <w:rFonts w:ascii="Times New Roman" w:hAnsi="Times New Roman"/>
          <w:bCs/>
          <w:sz w:val="24"/>
          <w:szCs w:val="24"/>
        </w:rPr>
        <w:t xml:space="preserve"> Circuit (New Orleans), held (3 to 0) that U.S. District Court properly granted the city’s motion for summary judgment.  The firefighter was offered transfer from </w:t>
      </w:r>
      <w:proofErr w:type="gramStart"/>
      <w:r w:rsidRPr="00695030">
        <w:rPr>
          <w:rFonts w:ascii="Times New Roman" w:hAnsi="Times New Roman"/>
          <w:bCs/>
          <w:sz w:val="24"/>
          <w:szCs w:val="24"/>
        </w:rPr>
        <w:t>24/48</w:t>
      </w:r>
      <w:r>
        <w:rPr>
          <w:rFonts w:ascii="Times New Roman" w:hAnsi="Times New Roman"/>
          <w:bCs/>
          <w:sz w:val="24"/>
          <w:szCs w:val="24"/>
        </w:rPr>
        <w:t xml:space="preserve"> </w:t>
      </w:r>
      <w:r w:rsidRPr="00695030">
        <w:rPr>
          <w:rFonts w:ascii="Times New Roman" w:hAnsi="Times New Roman"/>
          <w:bCs/>
          <w:sz w:val="24"/>
          <w:szCs w:val="24"/>
        </w:rPr>
        <w:t>hour</w:t>
      </w:r>
      <w:proofErr w:type="gramEnd"/>
      <w:r w:rsidRPr="00695030">
        <w:rPr>
          <w:rFonts w:ascii="Times New Roman" w:hAnsi="Times New Roman"/>
          <w:bCs/>
          <w:sz w:val="24"/>
          <w:szCs w:val="24"/>
        </w:rPr>
        <w:t xml:space="preserve"> driver / pump operator, to 40-hour code enforcement position; he rejected this since he ran construction company while off duty.  </w:t>
      </w:r>
    </w:p>
    <w:p w14:paraId="26590ECC" w14:textId="77777777" w:rsidR="00C9355B" w:rsidRPr="00695030" w:rsidRDefault="00C9355B" w:rsidP="00C9355B">
      <w:pPr>
        <w:pStyle w:val="NoSpacing"/>
        <w:rPr>
          <w:rFonts w:ascii="Times New Roman" w:hAnsi="Times New Roman"/>
          <w:b/>
          <w:bCs/>
          <w:sz w:val="24"/>
          <w:szCs w:val="24"/>
        </w:rPr>
      </w:pPr>
    </w:p>
    <w:p w14:paraId="41997FDA"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sz w:val="24"/>
          <w:szCs w:val="24"/>
        </w:rPr>
        <w:t xml:space="preserve">“In 2016, the Fire Department began requiring TDAP [Tetanus, Diphtheria, Pertussis Vaccine] vaccinations, to which Horvath objected on religious grounds. He was given a choice between two accommodations: transfer to a code enforcement job that did not require a vaccination, or wear a respirator mask during his shifts, keep a log of his temperature, and submit to additional medical testing. </w:t>
      </w:r>
      <w:r w:rsidRPr="00695030">
        <w:rPr>
          <w:rFonts w:ascii="Times New Roman" w:hAnsi="Times New Roman"/>
          <w:bCs/>
          <w:sz w:val="24"/>
          <w:szCs w:val="24"/>
        </w:rPr>
        <w:t xml:space="preserve">He did not accept either accommodation </w:t>
      </w:r>
      <w:proofErr w:type="gramStart"/>
      <w:r w:rsidRPr="00695030">
        <w:rPr>
          <w:rFonts w:ascii="Times New Roman" w:hAnsi="Times New Roman"/>
          <w:bCs/>
          <w:sz w:val="24"/>
          <w:szCs w:val="24"/>
        </w:rPr>
        <w:t>and</w:t>
      </w:r>
      <w:proofErr w:type="gramEnd"/>
      <w:r w:rsidRPr="00695030">
        <w:rPr>
          <w:rFonts w:ascii="Times New Roman" w:hAnsi="Times New Roman"/>
          <w:bCs/>
          <w:sz w:val="24"/>
          <w:szCs w:val="24"/>
        </w:rPr>
        <w:t xml:space="preserve"> was fired by Fire Chief Bill Gardner for insubordination.</w:t>
      </w:r>
    </w:p>
    <w:p w14:paraId="38CA9C92" w14:textId="77777777" w:rsidR="00C9355B" w:rsidRPr="00695030" w:rsidRDefault="00C9355B" w:rsidP="00C9355B">
      <w:pPr>
        <w:pStyle w:val="NoSpacing"/>
        <w:ind w:left="720"/>
        <w:rPr>
          <w:rFonts w:ascii="Times New Roman" w:hAnsi="Times New Roman"/>
          <w:b/>
          <w:bCs/>
          <w:sz w:val="24"/>
          <w:szCs w:val="24"/>
        </w:rPr>
      </w:pPr>
    </w:p>
    <w:p w14:paraId="4FE566BA"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w:t>
      </w:r>
    </w:p>
    <w:p w14:paraId="2EA2D7AC"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 xml:space="preserve">The City argues that its legitimate, non-discriminatory reason for Horvath’s termination was his defiance of a direct order by failing to select an accommodation to the TDAP vaccine policy. The district court found that ‘Horvath was terminated not for engaging in protected activity by opposing a discriminatory practice in a letter, but for failing to comply with a directive that conflicted with his religious beliefs.’ We agree.” </w:t>
      </w:r>
      <w:hyperlink r:id="rId576" w:history="1">
        <w:r w:rsidRPr="00695030">
          <w:rPr>
            <w:rStyle w:val="Hyperlink"/>
            <w:rFonts w:ascii="Times New Roman" w:hAnsi="Times New Roman"/>
            <w:b/>
            <w:sz w:val="24"/>
            <w:szCs w:val="24"/>
          </w:rPr>
          <w:t>http://www.ca5.uscourts.gov/opinions/pub/18/18-51011-CV0.pdf</w:t>
        </w:r>
      </w:hyperlink>
      <w:r w:rsidRPr="00695030">
        <w:rPr>
          <w:rFonts w:ascii="Times New Roman" w:hAnsi="Times New Roman"/>
          <w:bCs/>
          <w:sz w:val="24"/>
          <w:szCs w:val="24"/>
        </w:rPr>
        <w:t xml:space="preserve"> </w:t>
      </w:r>
    </w:p>
    <w:p w14:paraId="496AE991" w14:textId="77777777" w:rsidR="00C9355B" w:rsidRDefault="00C9355B" w:rsidP="00C9355B">
      <w:pPr>
        <w:pStyle w:val="NoSpacing"/>
        <w:rPr>
          <w:rFonts w:ascii="Times New Roman" w:hAnsi="Times New Roman"/>
          <w:b/>
          <w:bCs/>
          <w:sz w:val="24"/>
          <w:szCs w:val="24"/>
        </w:rPr>
      </w:pPr>
    </w:p>
    <w:bookmarkEnd w:id="109"/>
    <w:p w14:paraId="6EE26596" w14:textId="7E6024A6" w:rsidR="00C9355B" w:rsidRPr="00695030" w:rsidRDefault="00C9355B" w:rsidP="00C9355B">
      <w:pPr>
        <w:pStyle w:val="NoSpacing"/>
        <w:rPr>
          <w:rFonts w:ascii="Times New Roman" w:hAnsi="Times New Roman"/>
          <w:b/>
          <w:bCs/>
          <w:sz w:val="24"/>
          <w:szCs w:val="24"/>
        </w:rPr>
      </w:pPr>
      <w:r w:rsidRPr="00695030">
        <w:rPr>
          <w:rFonts w:ascii="Times New Roman" w:hAnsi="Times New Roman"/>
          <w:b/>
          <w:bCs/>
          <w:sz w:val="24"/>
          <w:szCs w:val="24"/>
        </w:rPr>
        <w:t xml:space="preserve">Legal Lessons Learned: The FD offered </w:t>
      </w:r>
      <w:proofErr w:type="gramStart"/>
      <w:r w:rsidRPr="00695030">
        <w:rPr>
          <w:rFonts w:ascii="Times New Roman" w:hAnsi="Times New Roman"/>
          <w:b/>
          <w:bCs/>
          <w:sz w:val="24"/>
          <w:szCs w:val="24"/>
        </w:rPr>
        <w:t>a reasonable</w:t>
      </w:r>
      <w:proofErr w:type="gramEnd"/>
      <w:r w:rsidRPr="00695030">
        <w:rPr>
          <w:rFonts w:ascii="Times New Roman" w:hAnsi="Times New Roman"/>
          <w:b/>
          <w:bCs/>
          <w:sz w:val="24"/>
          <w:szCs w:val="24"/>
        </w:rPr>
        <w:t xml:space="preserve"> accommodation. </w:t>
      </w:r>
    </w:p>
    <w:p w14:paraId="232B8E15" w14:textId="77777777" w:rsidR="00C9355B" w:rsidRDefault="00C9355B" w:rsidP="00EF1133">
      <w:pPr>
        <w:pStyle w:val="NoSpacing"/>
        <w:rPr>
          <w:rFonts w:ascii="Arial Black" w:hAnsi="Arial Black"/>
          <w:sz w:val="24"/>
          <w:szCs w:val="24"/>
        </w:rPr>
      </w:pPr>
    </w:p>
    <w:p w14:paraId="7E7B54C4" w14:textId="77777777" w:rsidR="00C9355B" w:rsidRDefault="00C9355B" w:rsidP="00EF1133">
      <w:pPr>
        <w:pStyle w:val="NoSpacing"/>
        <w:rPr>
          <w:rFonts w:ascii="Arial Black" w:hAnsi="Arial Black"/>
          <w:sz w:val="24"/>
          <w:szCs w:val="24"/>
        </w:rPr>
      </w:pPr>
    </w:p>
    <w:p w14:paraId="47FC28E7" w14:textId="7F9FC087" w:rsidR="00980EAD" w:rsidRDefault="00980EAD" w:rsidP="00EF1133">
      <w:pPr>
        <w:pStyle w:val="NoSpacing"/>
        <w:rPr>
          <w:rFonts w:ascii="Arial Black" w:hAnsi="Arial Black"/>
          <w:sz w:val="24"/>
          <w:szCs w:val="24"/>
        </w:rPr>
      </w:pPr>
      <w:r>
        <w:rPr>
          <w:rFonts w:ascii="Arial Black" w:hAnsi="Arial Black"/>
          <w:sz w:val="24"/>
          <w:szCs w:val="24"/>
        </w:rPr>
        <w:t>2-24</w:t>
      </w:r>
    </w:p>
    <w:p w14:paraId="67A3FDBA" w14:textId="1949C687" w:rsidR="00980EAD" w:rsidRDefault="00980EAD" w:rsidP="00EF1133">
      <w:pPr>
        <w:pStyle w:val="NoSpacing"/>
        <w:rPr>
          <w:rFonts w:ascii="Arial Black" w:hAnsi="Arial Black"/>
          <w:sz w:val="24"/>
          <w:szCs w:val="24"/>
        </w:rPr>
      </w:pPr>
    </w:p>
    <w:p w14:paraId="6776F59D" w14:textId="77777777" w:rsidR="00980EAD" w:rsidRDefault="00980EAD" w:rsidP="00980EAD">
      <w:pPr>
        <w:pStyle w:val="NoSpacing"/>
        <w:rPr>
          <w:rFonts w:ascii="Arial Black" w:hAnsi="Arial Black" w:cstheme="minorBidi"/>
          <w:sz w:val="28"/>
          <w:szCs w:val="28"/>
        </w:rPr>
      </w:pPr>
      <w:r>
        <w:rPr>
          <w:rFonts w:ascii="Arial Black" w:hAnsi="Arial Black"/>
          <w:sz w:val="28"/>
          <w:szCs w:val="28"/>
        </w:rPr>
        <w:t>NY:  FF WORKED WTC – HEART ATTACK / DROWNING – 7-YR APPEAL - MEDICAL BOARD “BAD FAITH”, NO SANCTIONS</w:t>
      </w:r>
    </w:p>
    <w:p w14:paraId="59B97162" w14:textId="77777777" w:rsidR="00980EAD" w:rsidRDefault="00980EAD" w:rsidP="00980EAD">
      <w:pPr>
        <w:pStyle w:val="NoSpacing"/>
        <w:rPr>
          <w:rFonts w:ascii="Arial Black" w:hAnsi="Arial Black"/>
          <w:sz w:val="28"/>
          <w:szCs w:val="28"/>
        </w:rPr>
      </w:pPr>
    </w:p>
    <w:p w14:paraId="3A3FA547" w14:textId="77777777" w:rsidR="00980EAD" w:rsidRDefault="00980EAD" w:rsidP="00980EAD">
      <w:pPr>
        <w:pStyle w:val="NoSpacing"/>
        <w:rPr>
          <w:rFonts w:ascii="Times New Roman" w:hAnsi="Times New Roman"/>
          <w:sz w:val="24"/>
          <w:szCs w:val="24"/>
        </w:rPr>
      </w:pPr>
      <w:r>
        <w:rPr>
          <w:rFonts w:ascii="Times New Roman" w:hAnsi="Times New Roman"/>
          <w:sz w:val="24"/>
          <w:szCs w:val="24"/>
        </w:rPr>
        <w:t xml:space="preserve">On Dec. 4, 2019, in </w:t>
      </w:r>
      <w:r>
        <w:rPr>
          <w:rFonts w:ascii="Times New Roman" w:hAnsi="Times New Roman"/>
          <w:sz w:val="24"/>
          <w:szCs w:val="24"/>
          <w:u w:val="single"/>
        </w:rPr>
        <w:t>Fernandez v. Nigro</w:t>
      </w:r>
      <w:r>
        <w:rPr>
          <w:rFonts w:ascii="Times New Roman" w:hAnsi="Times New Roman"/>
          <w:sz w:val="24"/>
          <w:szCs w:val="24"/>
        </w:rPr>
        <w:t xml:space="preserve">, the Supreme Court of New York / Appellate Division (Second Judicial Department), 2019 NY Slip Opinion 8672, held (3 to 0) that trial judge did not have authority to impose additional sanctions against the Fire Department for “bad faith” in denying benefits for seven years. </w:t>
      </w:r>
    </w:p>
    <w:p w14:paraId="36B4651E" w14:textId="77777777" w:rsidR="00980EAD" w:rsidRDefault="00980EAD" w:rsidP="00980EAD">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“The conduct at issue did not constitute conduct in the proceeding before the court and, therefore, sanctions were not authorized by 22 NYCRR 130-1.1. Further, an award of costs or the imposition of sanctions may be made only after a reasonable opportunity to be heard (see 22 NYCRR 130-1.1[d]). The Supreme Court's </w:t>
      </w:r>
      <w:proofErr w:type="spellStart"/>
      <w:r>
        <w:rPr>
          <w:rFonts w:ascii="Times New Roman" w:eastAsia="Times New Roman" w:hAnsi="Times New Roman"/>
          <w:sz w:val="24"/>
          <w:szCs w:val="24"/>
        </w:rPr>
        <w:t>sua</w:t>
      </w:r>
      <w:proofErr w:type="spellEnd"/>
      <w:r>
        <w:rPr>
          <w:rFonts w:ascii="Times New Roman" w:eastAsia="Times New Roman" w:hAnsi="Times New Roman"/>
          <w:sz w:val="24"/>
          <w:szCs w:val="24"/>
        </w:rPr>
        <w:t xml:space="preserve"> sponte determination to impose sanctions here was made without notice to the parties….Accordingly, the Supreme Court was without authority to impose sanctions, and the order must be reversed insofar as appealed from.” </w:t>
      </w:r>
      <w:hyperlink r:id="rId577" w:history="1">
        <w:r>
          <w:rPr>
            <w:rStyle w:val="Hyperlink"/>
            <w:rFonts w:ascii="Times New Roman" w:eastAsia="Times New Roman" w:hAnsi="Times New Roman"/>
            <w:sz w:val="24"/>
            <w:szCs w:val="24"/>
          </w:rPr>
          <w:t>https://law.justia.com/cases/new-york/appellate-division-second-department/2019/2016-10855.html</w:t>
        </w:r>
      </w:hyperlink>
      <w:r>
        <w:rPr>
          <w:rFonts w:ascii="Times New Roman" w:eastAsia="Times New Roman" w:hAnsi="Times New Roman"/>
          <w:sz w:val="24"/>
          <w:szCs w:val="24"/>
        </w:rPr>
        <w:t xml:space="preserve"> </w:t>
      </w:r>
    </w:p>
    <w:p w14:paraId="7F1C7BF4" w14:textId="77777777" w:rsidR="00980EAD" w:rsidRDefault="00980EAD" w:rsidP="00980EAD">
      <w:pPr>
        <w:pStyle w:val="NoSpacing"/>
        <w:rPr>
          <w:rFonts w:ascii="Times New Roman" w:hAnsi="Times New Roman"/>
          <w:sz w:val="24"/>
          <w:szCs w:val="24"/>
        </w:rPr>
      </w:pPr>
      <w:r>
        <w:rPr>
          <w:rFonts w:ascii="Times New Roman" w:hAnsi="Times New Roman"/>
          <w:b/>
          <w:bCs/>
          <w:sz w:val="24"/>
          <w:szCs w:val="24"/>
        </w:rPr>
        <w:t xml:space="preserve">Legal Lessons Learned: It is unfortunate the NY statute does not allow sanctions, when the trial judge finds that the family of the deceased firefighter was “plainly entitled under the relevant law” to accidental death benefits.   The pension is increased from one-half his salary (taxable) to three-quarters of his salary (tax-free), retroactive to August 23, 2007. </w:t>
      </w:r>
      <w:r>
        <w:rPr>
          <w:rFonts w:ascii="Times New Roman" w:hAnsi="Times New Roman"/>
          <w:sz w:val="24"/>
          <w:szCs w:val="24"/>
        </w:rPr>
        <w:t xml:space="preserve"> </w:t>
      </w:r>
    </w:p>
    <w:p w14:paraId="3E51E97B" w14:textId="02CC2B04" w:rsidR="00980EAD" w:rsidRDefault="00980EAD" w:rsidP="00EF1133">
      <w:pPr>
        <w:pStyle w:val="NoSpacing"/>
        <w:rPr>
          <w:rFonts w:ascii="Arial Black" w:hAnsi="Arial Black"/>
          <w:sz w:val="24"/>
          <w:szCs w:val="24"/>
        </w:rPr>
      </w:pPr>
    </w:p>
    <w:p w14:paraId="01F6E5C8" w14:textId="77777777" w:rsidR="00965872" w:rsidRDefault="00965872" w:rsidP="00EF1133">
      <w:pPr>
        <w:pStyle w:val="NoSpacing"/>
        <w:rPr>
          <w:rFonts w:ascii="Arial Black" w:hAnsi="Arial Black"/>
          <w:sz w:val="24"/>
          <w:szCs w:val="24"/>
        </w:rPr>
      </w:pPr>
    </w:p>
    <w:p w14:paraId="7D3BA50E" w14:textId="77777777" w:rsidR="00965872" w:rsidRDefault="00965872" w:rsidP="00EF1133">
      <w:pPr>
        <w:pStyle w:val="NoSpacing"/>
        <w:rPr>
          <w:rFonts w:ascii="Arial Black" w:hAnsi="Arial Black"/>
          <w:sz w:val="24"/>
          <w:szCs w:val="24"/>
        </w:rPr>
      </w:pPr>
    </w:p>
    <w:p w14:paraId="0F7E83EB" w14:textId="77D9E539" w:rsidR="00A06387" w:rsidRDefault="00980EAD" w:rsidP="00EF1133">
      <w:pPr>
        <w:pStyle w:val="NoSpacing"/>
        <w:rPr>
          <w:rFonts w:ascii="Arial Black" w:hAnsi="Arial Black"/>
          <w:sz w:val="24"/>
          <w:szCs w:val="24"/>
        </w:rPr>
      </w:pPr>
      <w:r>
        <w:rPr>
          <w:rFonts w:ascii="Arial Black" w:hAnsi="Arial Black"/>
          <w:sz w:val="24"/>
          <w:szCs w:val="24"/>
        </w:rPr>
        <w:t>2-23</w:t>
      </w:r>
    </w:p>
    <w:p w14:paraId="66B4C5DE" w14:textId="4017B6AE" w:rsidR="00A52325" w:rsidRDefault="00A52325" w:rsidP="00EF1133">
      <w:pPr>
        <w:pStyle w:val="NoSpacing"/>
        <w:rPr>
          <w:rFonts w:ascii="Arial Black" w:hAnsi="Arial Black"/>
          <w:sz w:val="24"/>
          <w:szCs w:val="24"/>
        </w:rPr>
      </w:pPr>
    </w:p>
    <w:p w14:paraId="5DB6A22C" w14:textId="77777777" w:rsidR="00A52325" w:rsidRDefault="00A52325" w:rsidP="00A52325">
      <w:pPr>
        <w:rPr>
          <w:rFonts w:ascii="Arial Black" w:hAnsi="Arial Black"/>
          <w:sz w:val="28"/>
          <w:szCs w:val="28"/>
        </w:rPr>
      </w:pPr>
      <w:r>
        <w:rPr>
          <w:rFonts w:ascii="Arial Black" w:hAnsi="Arial Black"/>
          <w:sz w:val="28"/>
          <w:szCs w:val="28"/>
        </w:rPr>
        <w:t>NV: HEART ATTACK - FF ENTITLED WORKERS COMP – WAS DIETING, WORKING OUT TO LOWER WEIGHT, COLLESTEROL</w:t>
      </w:r>
    </w:p>
    <w:p w14:paraId="42784EBF" w14:textId="77777777" w:rsidR="00A52325" w:rsidRDefault="00A52325" w:rsidP="00A52325">
      <w:pPr>
        <w:pStyle w:val="Heading1"/>
        <w:rPr>
          <w:b w:val="0"/>
          <w:bCs w:val="0"/>
          <w:sz w:val="24"/>
          <w:szCs w:val="24"/>
        </w:rPr>
      </w:pPr>
      <w:r>
        <w:rPr>
          <w:b w:val="0"/>
          <w:bCs w:val="0"/>
          <w:sz w:val="24"/>
          <w:szCs w:val="24"/>
        </w:rPr>
        <w:t xml:space="preserve">On Nov. 13, 2019, in </w:t>
      </w:r>
      <w:r>
        <w:rPr>
          <w:b w:val="0"/>
          <w:bCs w:val="0"/>
          <w:sz w:val="24"/>
          <w:szCs w:val="24"/>
          <w:u w:val="single"/>
        </w:rPr>
        <w:t>City of Las Vegas v. Burns</w:t>
      </w:r>
      <w:r>
        <w:rPr>
          <w:b w:val="0"/>
          <w:bCs w:val="0"/>
          <w:sz w:val="24"/>
          <w:szCs w:val="24"/>
        </w:rPr>
        <w:t xml:space="preserve">, the Court of Appeals of Nevada, held (3 to 0) that despite the firefighter’s predisposition for a heart attack, he was entitled to workers comp coverage, upholding trial court which had overturned administrative appeals officer. </w:t>
      </w:r>
    </w:p>
    <w:p w14:paraId="014CC6A2" w14:textId="24DE4B68" w:rsidR="00A52325" w:rsidRDefault="00A52325" w:rsidP="00A52325">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“Moreover, there is not substantial evidence in the record to indicate that Burns </w:t>
      </w:r>
      <w:proofErr w:type="gramStart"/>
      <w:r>
        <w:rPr>
          <w:rFonts w:ascii="Times New Roman" w:eastAsia="Times New Roman" w:hAnsi="Times New Roman"/>
          <w:sz w:val="24"/>
          <w:szCs w:val="24"/>
        </w:rPr>
        <w:t>was capable of reducing</w:t>
      </w:r>
      <w:proofErr w:type="gramEnd"/>
      <w:r>
        <w:rPr>
          <w:rFonts w:ascii="Times New Roman" w:eastAsia="Times New Roman" w:hAnsi="Times New Roman"/>
          <w:sz w:val="24"/>
          <w:szCs w:val="24"/>
        </w:rPr>
        <w:t xml:space="preserve"> his cholesterol, triglycerides, or weight by dieting and exercising. To the contrary, the record indicates that, following his required annual physicals in 2010, 2011, and 2012, the physicians' assessments and recommendations indicate Burns ‘continue[s] to do an excellent job maintaining [his] health;’ that he should ‘[k]</w:t>
      </w:r>
      <w:proofErr w:type="spellStart"/>
      <w:r>
        <w:rPr>
          <w:rFonts w:ascii="Times New Roman" w:eastAsia="Times New Roman" w:hAnsi="Times New Roman"/>
          <w:sz w:val="24"/>
          <w:szCs w:val="24"/>
        </w:rPr>
        <w:t>eep</w:t>
      </w:r>
      <w:proofErr w:type="spellEnd"/>
      <w:r>
        <w:rPr>
          <w:rFonts w:ascii="Times New Roman" w:eastAsia="Times New Roman" w:hAnsi="Times New Roman"/>
          <w:sz w:val="24"/>
          <w:szCs w:val="24"/>
        </w:rPr>
        <w:t xml:space="preserve"> up [his] exercise regimen ... it's doing great for [him];’ and that he was ‘doing well maintaining [his] health.’  In 2012, the physician noted that although his ‘bad’ cholesterol and triglycerides were high, Burns was taking fish oil supplements as previously directed by his private physician and his total cholesterol was fine. Thus, the physicians' reports indicate that Burns was doing what he was instructed to do, he was exercising and taking supplements, and despite that, his predisposing factors did not change, which reflects that he </w:t>
      </w:r>
      <w:proofErr w:type="gramStart"/>
      <w:r>
        <w:rPr>
          <w:rFonts w:ascii="Times New Roman" w:eastAsia="Times New Roman" w:hAnsi="Times New Roman"/>
          <w:sz w:val="24"/>
          <w:szCs w:val="24"/>
        </w:rPr>
        <w:t>was not capable of correcting</w:t>
      </w:r>
      <w:proofErr w:type="gramEnd"/>
      <w:r>
        <w:rPr>
          <w:rFonts w:ascii="Times New Roman" w:eastAsia="Times New Roman" w:hAnsi="Times New Roman"/>
          <w:sz w:val="24"/>
          <w:szCs w:val="24"/>
        </w:rPr>
        <w:t xml:space="preserve"> his predisposing conditions. </w:t>
      </w:r>
    </w:p>
    <w:p w14:paraId="796CEA59" w14:textId="77777777" w:rsidR="00A52325" w:rsidRDefault="00A52325" w:rsidP="00A52325">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Because there is no evidence in the record to support the conclusion that correcting Burns' predisposing conditions was within his ability, we necessarily hold that the appeals officer's conclusion is not supported by substantial evidence. </w:t>
      </w:r>
      <w:hyperlink r:id="rId578" w:history="1">
        <w:r>
          <w:rPr>
            <w:rStyle w:val="Hyperlink"/>
            <w:rFonts w:ascii="Times New Roman" w:eastAsia="Times New Roman" w:hAnsi="Times New Roman"/>
            <w:sz w:val="24"/>
            <w:szCs w:val="24"/>
          </w:rPr>
          <w:t>https://www.leagle.com/decision/innvco20191115257</w:t>
        </w:r>
      </w:hyperlink>
      <w:r>
        <w:rPr>
          <w:rFonts w:ascii="Times New Roman" w:eastAsia="Times New Roman" w:hAnsi="Times New Roman"/>
          <w:sz w:val="24"/>
          <w:szCs w:val="24"/>
        </w:rPr>
        <w:t xml:space="preserve"> </w:t>
      </w:r>
    </w:p>
    <w:p w14:paraId="2FF6317D" w14:textId="77777777" w:rsidR="00A52325" w:rsidRDefault="00A52325" w:rsidP="00A52325">
      <w:pPr>
        <w:pStyle w:val="NormalWeb"/>
        <w:rPr>
          <w:b/>
          <w:bCs/>
        </w:rPr>
      </w:pPr>
      <w:r>
        <w:rPr>
          <w:b/>
          <w:bCs/>
        </w:rPr>
        <w:t xml:space="preserve">Legal Lessons Learned:  The statutory requirement that firefighters must seek to correct their “predisposing condition” to cardiac problems makes lots of sense. </w:t>
      </w:r>
    </w:p>
    <w:p w14:paraId="30CCA797" w14:textId="77777777" w:rsidR="00965872" w:rsidRDefault="00965872" w:rsidP="00EF1133">
      <w:pPr>
        <w:pStyle w:val="NoSpacing"/>
        <w:rPr>
          <w:rFonts w:ascii="Arial Black" w:hAnsi="Arial Black"/>
          <w:sz w:val="24"/>
          <w:szCs w:val="24"/>
        </w:rPr>
      </w:pPr>
    </w:p>
    <w:p w14:paraId="3C9F69A5" w14:textId="77777777" w:rsidR="00965872" w:rsidRDefault="00965872" w:rsidP="00EF1133">
      <w:pPr>
        <w:pStyle w:val="NoSpacing"/>
        <w:rPr>
          <w:rFonts w:ascii="Arial Black" w:hAnsi="Arial Black"/>
          <w:sz w:val="24"/>
          <w:szCs w:val="24"/>
        </w:rPr>
      </w:pPr>
    </w:p>
    <w:p w14:paraId="0512471E" w14:textId="364628FE" w:rsidR="00980EAD" w:rsidRDefault="00980EAD" w:rsidP="00EF1133">
      <w:pPr>
        <w:pStyle w:val="NoSpacing"/>
        <w:rPr>
          <w:rFonts w:ascii="Arial Black" w:hAnsi="Arial Black"/>
          <w:sz w:val="24"/>
          <w:szCs w:val="24"/>
        </w:rPr>
      </w:pPr>
      <w:r>
        <w:rPr>
          <w:rFonts w:ascii="Arial Black" w:hAnsi="Arial Black"/>
          <w:sz w:val="24"/>
          <w:szCs w:val="24"/>
        </w:rPr>
        <w:t>2-22</w:t>
      </w:r>
    </w:p>
    <w:p w14:paraId="6EA83345" w14:textId="77777777" w:rsidR="00980EAD" w:rsidRDefault="00980EAD" w:rsidP="00EF1133">
      <w:pPr>
        <w:pStyle w:val="NoSpacing"/>
        <w:rPr>
          <w:rFonts w:ascii="Arial Black" w:hAnsi="Arial Black"/>
          <w:sz w:val="24"/>
          <w:szCs w:val="24"/>
        </w:rPr>
      </w:pPr>
    </w:p>
    <w:p w14:paraId="5558B3B7" w14:textId="2570797A" w:rsidR="00A06387" w:rsidRDefault="00A06387" w:rsidP="00A06387">
      <w:pPr>
        <w:pStyle w:val="NoSpacing"/>
        <w:rPr>
          <w:rFonts w:ascii="Arial Black" w:hAnsi="Arial Black"/>
          <w:sz w:val="28"/>
          <w:szCs w:val="28"/>
        </w:rPr>
      </w:pPr>
      <w:r w:rsidRPr="003F65F5">
        <w:rPr>
          <w:rFonts w:ascii="Arial Black" w:hAnsi="Arial Black"/>
          <w:sz w:val="28"/>
          <w:szCs w:val="28"/>
        </w:rPr>
        <w:t xml:space="preserve">WA: </w:t>
      </w:r>
      <w:r>
        <w:rPr>
          <w:rFonts w:ascii="Arial Black" w:hAnsi="Arial Black"/>
          <w:sz w:val="28"/>
          <w:szCs w:val="28"/>
        </w:rPr>
        <w:t>UNION PROPOSAL INCREASE IN MINUMUM STAFFING – MANDATORY SUBJECT FOR COLLECTIVE BARGAINING</w:t>
      </w:r>
    </w:p>
    <w:p w14:paraId="46F3545D" w14:textId="77777777" w:rsidR="00A06387" w:rsidRDefault="00A06387" w:rsidP="00A06387">
      <w:pPr>
        <w:pStyle w:val="NoSpacing"/>
        <w:rPr>
          <w:rFonts w:ascii="Arial Black" w:hAnsi="Arial Black"/>
          <w:sz w:val="28"/>
          <w:szCs w:val="28"/>
        </w:rPr>
      </w:pPr>
    </w:p>
    <w:p w14:paraId="7FF8484D" w14:textId="77777777" w:rsidR="00A06387" w:rsidRDefault="00A06387" w:rsidP="00A06387">
      <w:pPr>
        <w:pStyle w:val="NoSpacing"/>
        <w:rPr>
          <w:rFonts w:ascii="On Times New Roman" w:hAnsi="On Times New Roman"/>
          <w:b/>
          <w:bCs/>
          <w:sz w:val="24"/>
          <w:szCs w:val="24"/>
        </w:rPr>
      </w:pPr>
      <w:r>
        <w:rPr>
          <w:rFonts w:ascii="On Times New Roman" w:hAnsi="On Times New Roman"/>
          <w:bCs/>
          <w:sz w:val="24"/>
          <w:szCs w:val="24"/>
        </w:rPr>
        <w:t xml:space="preserve">On Oct. 28, 2019, in </w:t>
      </w:r>
      <w:r w:rsidRPr="00BA0F0A">
        <w:rPr>
          <w:rFonts w:ascii="On Times New Roman" w:hAnsi="On Times New Roman"/>
          <w:bCs/>
          <w:sz w:val="24"/>
          <w:szCs w:val="24"/>
          <w:u w:val="single"/>
        </w:rPr>
        <w:t>City of Everett v. State of Washington Public Employment Relations Commission</w:t>
      </w:r>
      <w:r>
        <w:rPr>
          <w:rFonts w:ascii="On Times New Roman" w:hAnsi="On Times New Roman"/>
          <w:bCs/>
          <w:sz w:val="24"/>
          <w:szCs w:val="24"/>
        </w:rPr>
        <w:t xml:space="preserve">, the State of Washington Court of Appeals, held (3 to 0) that shift staffing has a direct relationship to workload and safety, and therefore is a mandatory subject of collective bargaining (union wants to increase from 28 to 35 per shift). </w:t>
      </w:r>
    </w:p>
    <w:p w14:paraId="72FAADFA" w14:textId="77777777" w:rsidR="00A06387" w:rsidRDefault="00A06387" w:rsidP="00A06387">
      <w:pPr>
        <w:pStyle w:val="NoSpacing"/>
        <w:rPr>
          <w:rFonts w:ascii="On Times New Roman" w:hAnsi="On Times New Roman"/>
          <w:b/>
          <w:bCs/>
          <w:sz w:val="24"/>
          <w:szCs w:val="24"/>
        </w:rPr>
      </w:pPr>
    </w:p>
    <w:p w14:paraId="15F14157" w14:textId="77777777" w:rsidR="00A06387" w:rsidRPr="00965872" w:rsidRDefault="00A06387" w:rsidP="00A06387">
      <w:pPr>
        <w:pStyle w:val="NoSpacing"/>
        <w:ind w:left="720"/>
        <w:rPr>
          <w:rFonts w:ascii="Times New Roman" w:hAnsi="Times New Roman"/>
          <w:b/>
          <w:bCs/>
          <w:sz w:val="24"/>
          <w:szCs w:val="24"/>
        </w:rPr>
      </w:pPr>
      <w:r w:rsidRPr="00965872">
        <w:rPr>
          <w:rFonts w:ascii="Times New Roman" w:hAnsi="Times New Roman"/>
          <w:bCs/>
          <w:sz w:val="24"/>
          <w:szCs w:val="24"/>
        </w:rPr>
        <w:t>“We conclude PERC did not err in balancing the strong fundamental prerogative of the City on shift staffing and the unrebutted workload and safety testimony, and substantial evidence supports PERC finding the Union demonstrated a direct relationship between the Union proposal to increase the minimum number of crew on each shift and the workload and safety of the firefighters and paramedics. We affirm the PERC decision.”</w:t>
      </w:r>
    </w:p>
    <w:p w14:paraId="63646146" w14:textId="77777777" w:rsidR="00A06387" w:rsidRPr="00965872" w:rsidRDefault="00A06387" w:rsidP="00A06387">
      <w:pPr>
        <w:pStyle w:val="NoSpacing"/>
        <w:rPr>
          <w:rFonts w:ascii="Times New Roman" w:hAnsi="Times New Roman"/>
          <w:b/>
          <w:bCs/>
          <w:sz w:val="24"/>
          <w:szCs w:val="24"/>
        </w:rPr>
      </w:pPr>
      <w:r w:rsidRPr="00965872">
        <w:rPr>
          <w:rFonts w:ascii="Times New Roman" w:hAnsi="Times New Roman"/>
          <w:bCs/>
          <w:sz w:val="24"/>
          <w:szCs w:val="24"/>
        </w:rPr>
        <w:tab/>
      </w:r>
      <w:hyperlink r:id="rId579" w:history="1">
        <w:r w:rsidRPr="00965872">
          <w:rPr>
            <w:rStyle w:val="Hyperlink"/>
            <w:rFonts w:ascii="Times New Roman" w:hAnsi="Times New Roman"/>
            <w:bCs/>
            <w:sz w:val="24"/>
            <w:szCs w:val="24"/>
          </w:rPr>
          <w:t>https://www.courts.wa.gov/opinions/pdf/778315.pdf</w:t>
        </w:r>
      </w:hyperlink>
      <w:r w:rsidRPr="00965872">
        <w:rPr>
          <w:rFonts w:ascii="Times New Roman" w:hAnsi="Times New Roman"/>
          <w:bCs/>
          <w:sz w:val="24"/>
          <w:szCs w:val="24"/>
        </w:rPr>
        <w:t xml:space="preserve"> </w:t>
      </w:r>
    </w:p>
    <w:p w14:paraId="41E8560A" w14:textId="77777777" w:rsidR="00965872" w:rsidRDefault="00965872" w:rsidP="00A06387">
      <w:pPr>
        <w:pStyle w:val="NoSpacing"/>
        <w:rPr>
          <w:b/>
          <w:bCs/>
          <w:sz w:val="24"/>
          <w:szCs w:val="24"/>
        </w:rPr>
      </w:pPr>
    </w:p>
    <w:p w14:paraId="6F337DDD" w14:textId="11B4031E" w:rsidR="00A06387" w:rsidRPr="00965872" w:rsidRDefault="00A06387" w:rsidP="00A06387">
      <w:pPr>
        <w:pStyle w:val="NoSpacing"/>
        <w:rPr>
          <w:rFonts w:ascii="Times New Roman" w:hAnsi="Times New Roman"/>
          <w:b/>
          <w:bCs/>
          <w:sz w:val="24"/>
          <w:szCs w:val="24"/>
        </w:rPr>
      </w:pPr>
      <w:r w:rsidRPr="00965872">
        <w:rPr>
          <w:rFonts w:ascii="Times New Roman" w:hAnsi="Times New Roman"/>
          <w:b/>
          <w:bCs/>
          <w:sz w:val="24"/>
          <w:szCs w:val="24"/>
        </w:rPr>
        <w:t xml:space="preserve">Legal Lessons Learned: Fire &amp; EMS officials need to consult with legal counsel in their State concerning whether minimum staffing is a </w:t>
      </w:r>
      <w:proofErr w:type="gramStart"/>
      <w:r w:rsidRPr="00965872">
        <w:rPr>
          <w:rFonts w:ascii="Times New Roman" w:hAnsi="Times New Roman"/>
          <w:b/>
          <w:bCs/>
          <w:sz w:val="24"/>
          <w:szCs w:val="24"/>
        </w:rPr>
        <w:t>subject</w:t>
      </w:r>
      <w:proofErr w:type="gramEnd"/>
      <w:r w:rsidRPr="00965872">
        <w:rPr>
          <w:rFonts w:ascii="Times New Roman" w:hAnsi="Times New Roman"/>
          <w:b/>
          <w:bCs/>
          <w:sz w:val="24"/>
          <w:szCs w:val="24"/>
        </w:rPr>
        <w:t xml:space="preserve"> mandatory bargaining.</w:t>
      </w:r>
    </w:p>
    <w:p w14:paraId="45CFF0E1" w14:textId="77777777" w:rsidR="00A06387" w:rsidRDefault="00A06387" w:rsidP="00EF1133">
      <w:pPr>
        <w:pStyle w:val="NoSpacing"/>
        <w:rPr>
          <w:rFonts w:ascii="Arial Black" w:hAnsi="Arial Black"/>
          <w:sz w:val="24"/>
          <w:szCs w:val="24"/>
        </w:rPr>
      </w:pPr>
    </w:p>
    <w:p w14:paraId="59DA41C4" w14:textId="77777777" w:rsidR="00A52325" w:rsidRDefault="00A52325" w:rsidP="00EF1133">
      <w:pPr>
        <w:pStyle w:val="NoSpacing"/>
        <w:rPr>
          <w:rFonts w:ascii="Arial Black" w:hAnsi="Arial Black"/>
          <w:sz w:val="24"/>
          <w:szCs w:val="24"/>
        </w:rPr>
      </w:pPr>
    </w:p>
    <w:p w14:paraId="6BD62E6C" w14:textId="77777777" w:rsidR="00A52325" w:rsidRDefault="00A52325" w:rsidP="00EF1133">
      <w:pPr>
        <w:pStyle w:val="NoSpacing"/>
        <w:rPr>
          <w:rFonts w:ascii="Arial Black" w:hAnsi="Arial Black"/>
          <w:sz w:val="24"/>
          <w:szCs w:val="24"/>
        </w:rPr>
      </w:pPr>
    </w:p>
    <w:p w14:paraId="66A98D3E" w14:textId="77777777" w:rsidR="00A52325" w:rsidRDefault="00A52325" w:rsidP="00EF1133">
      <w:pPr>
        <w:pStyle w:val="NoSpacing"/>
        <w:rPr>
          <w:rFonts w:ascii="Arial Black" w:hAnsi="Arial Black"/>
          <w:sz w:val="24"/>
          <w:szCs w:val="24"/>
        </w:rPr>
      </w:pPr>
    </w:p>
    <w:p w14:paraId="7FD54964" w14:textId="12BFE464" w:rsidR="00853142" w:rsidRDefault="00853142" w:rsidP="00EF1133">
      <w:pPr>
        <w:pStyle w:val="NoSpacing"/>
        <w:rPr>
          <w:rFonts w:ascii="Arial Black" w:hAnsi="Arial Black"/>
          <w:sz w:val="24"/>
          <w:szCs w:val="24"/>
        </w:rPr>
      </w:pPr>
      <w:r>
        <w:rPr>
          <w:rFonts w:ascii="Arial Black" w:hAnsi="Arial Black"/>
          <w:sz w:val="24"/>
          <w:szCs w:val="24"/>
        </w:rPr>
        <w:t>2-</w:t>
      </w:r>
      <w:r w:rsidR="00D07E6E">
        <w:rPr>
          <w:rFonts w:ascii="Arial Black" w:hAnsi="Arial Black"/>
          <w:sz w:val="24"/>
          <w:szCs w:val="24"/>
        </w:rPr>
        <w:t>2</w:t>
      </w:r>
      <w:r w:rsidR="00A52325">
        <w:rPr>
          <w:rFonts w:ascii="Arial Black" w:hAnsi="Arial Black"/>
          <w:sz w:val="24"/>
          <w:szCs w:val="24"/>
        </w:rPr>
        <w:t>1</w:t>
      </w:r>
    </w:p>
    <w:p w14:paraId="5BED5B65" w14:textId="3BD822FC" w:rsidR="00853142" w:rsidRDefault="00853142" w:rsidP="00EF1133">
      <w:pPr>
        <w:pStyle w:val="NoSpacing"/>
        <w:rPr>
          <w:rFonts w:ascii="Arial Black" w:hAnsi="Arial Black"/>
          <w:sz w:val="24"/>
          <w:szCs w:val="24"/>
        </w:rPr>
      </w:pPr>
    </w:p>
    <w:p w14:paraId="780682F7" w14:textId="77777777" w:rsidR="00853142" w:rsidRPr="007438B9" w:rsidRDefault="00853142" w:rsidP="00853142">
      <w:pPr>
        <w:pStyle w:val="NoSpacing"/>
        <w:rPr>
          <w:rFonts w:ascii="Arial Black" w:hAnsi="Arial Black"/>
          <w:sz w:val="28"/>
          <w:szCs w:val="28"/>
        </w:rPr>
      </w:pPr>
      <w:r w:rsidRPr="007438B9">
        <w:rPr>
          <w:rFonts w:ascii="Arial Black" w:hAnsi="Arial Black"/>
          <w:sz w:val="28"/>
          <w:szCs w:val="28"/>
        </w:rPr>
        <w:t xml:space="preserve">KY: </w:t>
      </w:r>
      <w:r>
        <w:rPr>
          <w:rFonts w:ascii="Arial Black" w:hAnsi="Arial Black"/>
          <w:sz w:val="28"/>
          <w:szCs w:val="28"/>
        </w:rPr>
        <w:t xml:space="preserve">FF’s STRENOUUS RETURN-TO-WORK PHYSICAL FITNESS TEST – HEART ATTACK SAME DAY – PRIOR HEALTH PROB - NOT LODD   </w:t>
      </w:r>
    </w:p>
    <w:p w14:paraId="2CDB2369" w14:textId="77777777" w:rsidR="00853142" w:rsidRDefault="00853142" w:rsidP="00853142">
      <w:pPr>
        <w:pStyle w:val="NoSpacing"/>
      </w:pPr>
    </w:p>
    <w:p w14:paraId="167A21C2" w14:textId="6533170C" w:rsidR="00853142" w:rsidRPr="00015208" w:rsidRDefault="00853142" w:rsidP="00853142">
      <w:pPr>
        <w:spacing w:after="0" w:line="240" w:lineRule="auto"/>
        <w:rPr>
          <w:rFonts w:ascii="Times New Roman" w:eastAsia="Times New Roman" w:hAnsi="Times New Roman"/>
          <w:sz w:val="24"/>
          <w:szCs w:val="24"/>
        </w:rPr>
      </w:pPr>
      <w:r w:rsidRPr="00015208">
        <w:rPr>
          <w:rFonts w:ascii="Times New Roman" w:eastAsia="Times New Roman" w:hAnsi="Times New Roman"/>
          <w:sz w:val="24"/>
          <w:szCs w:val="24"/>
        </w:rPr>
        <w:t xml:space="preserve">On </w:t>
      </w:r>
      <w:bookmarkStart w:id="110" w:name="_Hlk39822838"/>
      <w:r w:rsidRPr="00015208">
        <w:rPr>
          <w:rFonts w:ascii="Times New Roman" w:eastAsia="Times New Roman" w:hAnsi="Times New Roman"/>
          <w:sz w:val="24"/>
          <w:szCs w:val="24"/>
        </w:rPr>
        <w:t xml:space="preserve">Sept. 20, 2019, in </w:t>
      </w:r>
      <w:r w:rsidRPr="00015208">
        <w:rPr>
          <w:rFonts w:ascii="Times New Roman" w:eastAsia="Times New Roman" w:hAnsi="Times New Roman"/>
          <w:sz w:val="24"/>
          <w:szCs w:val="24"/>
          <w:u w:val="single"/>
        </w:rPr>
        <w:t>Sharon Jenkins v. Kentucky Retirement Systems</w:t>
      </w:r>
      <w:bookmarkEnd w:id="110"/>
      <w:r w:rsidRPr="00015208">
        <w:rPr>
          <w:rFonts w:ascii="Times New Roman" w:eastAsia="Times New Roman" w:hAnsi="Times New Roman"/>
          <w:sz w:val="24"/>
          <w:szCs w:val="24"/>
        </w:rPr>
        <w:t xml:space="preserve">, the Kentucky Court of Appeals held (3 to 0; unpublished opinion) that the Retirement Board properly denied wife of deceased firefighter “line-of-duty” death benefits, but she is entitled to “basic” death benefits.   LODD benefits would have include </w:t>
      </w:r>
      <w:r w:rsidRPr="00015208">
        <w:rPr>
          <w:rFonts w:ascii="Times New Roman" w:hAnsi="Times New Roman"/>
          <w:sz w:val="24"/>
          <w:szCs w:val="24"/>
        </w:rPr>
        <w:t>lump sum of $10,000 and a monthly payment equal to 10% of Malcolm’s monthly final rate of pay; “Basic” benefits were an actuarial fund, or a lump sum.</w:t>
      </w:r>
      <w:r w:rsidR="00025B22">
        <w:rPr>
          <w:rFonts w:ascii="Times New Roman" w:hAnsi="Times New Roman"/>
          <w:sz w:val="24"/>
          <w:szCs w:val="24"/>
        </w:rPr>
        <w:t xml:space="preserve"> </w:t>
      </w:r>
      <w:r w:rsidRPr="00015208">
        <w:rPr>
          <w:rFonts w:ascii="Times New Roman" w:eastAsia="Times New Roman" w:hAnsi="Times New Roman"/>
          <w:sz w:val="24"/>
          <w:szCs w:val="24"/>
        </w:rPr>
        <w:tab/>
        <w:t xml:space="preserve">Judge Kelly Thompson wrote: </w:t>
      </w:r>
    </w:p>
    <w:p w14:paraId="666DD0E3" w14:textId="77777777" w:rsidR="00853142" w:rsidRPr="00015208" w:rsidRDefault="00853142" w:rsidP="00853142">
      <w:pPr>
        <w:spacing w:after="0" w:line="240" w:lineRule="auto"/>
        <w:rPr>
          <w:rFonts w:ascii="Times New Roman" w:eastAsia="Times New Roman" w:hAnsi="Times New Roman"/>
          <w:sz w:val="24"/>
          <w:szCs w:val="24"/>
        </w:rPr>
      </w:pPr>
    </w:p>
    <w:p w14:paraId="3C772CCD" w14:textId="77777777" w:rsidR="00025B22" w:rsidRPr="00015208" w:rsidRDefault="00853142" w:rsidP="00025B22">
      <w:pPr>
        <w:spacing w:after="0" w:line="240" w:lineRule="auto"/>
        <w:ind w:left="720"/>
        <w:rPr>
          <w:rFonts w:ascii="Times New Roman" w:eastAsia="Times New Roman" w:hAnsi="Times New Roman"/>
          <w:sz w:val="24"/>
          <w:szCs w:val="24"/>
        </w:rPr>
      </w:pPr>
      <w:r w:rsidRPr="00015208">
        <w:rPr>
          <w:rFonts w:ascii="Times New Roman" w:eastAsia="Times New Roman" w:hAnsi="Times New Roman"/>
          <w:sz w:val="24"/>
          <w:szCs w:val="24"/>
        </w:rPr>
        <w:t xml:space="preserve">“Sharon [Jenkins] points out that under federal law providing death benefits to federal safety </w:t>
      </w:r>
      <w:proofErr w:type="gramStart"/>
      <w:r w:rsidRPr="00015208">
        <w:rPr>
          <w:rFonts w:ascii="Times New Roman" w:eastAsia="Times New Roman" w:hAnsi="Times New Roman"/>
          <w:sz w:val="24"/>
          <w:szCs w:val="24"/>
        </w:rPr>
        <w:t>officers,</w:t>
      </w:r>
      <w:proofErr w:type="gramEnd"/>
      <w:r w:rsidRPr="00015208">
        <w:rPr>
          <w:rFonts w:ascii="Times New Roman" w:eastAsia="Times New Roman" w:hAnsi="Times New Roman"/>
          <w:sz w:val="24"/>
          <w:szCs w:val="24"/>
        </w:rPr>
        <w:t xml:space="preserve"> it is presumed that a fatal heart attack occurring within 24 hours of a nonroutine stressful or strenuous physical activity in the line of duty is presumed to be the direct and proximate result of that activity. 34 United States Code §10281. While such a presumption might resolve some of the inherent difficulty in determining the cause of a cardiac event, that same presumption is not found in KRS16.601. ‘As administrative agencies are creatures of statute,’ this Court cannot require that such a presumption be applied to claims for in-line-of-duty death benefits. Kentucky Retirement Systems v. Bowens, 281 S.W.3d 776,784 (Ky. 2009).”</w:t>
      </w:r>
      <w:r w:rsidR="00025B22">
        <w:rPr>
          <w:rFonts w:ascii="Times New Roman" w:eastAsia="Times New Roman" w:hAnsi="Times New Roman"/>
          <w:sz w:val="24"/>
          <w:szCs w:val="24"/>
        </w:rPr>
        <w:t xml:space="preserve"> </w:t>
      </w:r>
      <w:bookmarkStart w:id="111" w:name="_Hlk39822879"/>
      <w:r w:rsidR="00025B22">
        <w:fldChar w:fldCharType="begin"/>
      </w:r>
      <w:r w:rsidR="00025B22">
        <w:instrText xml:space="preserve"> HYPERLINK "https://cases.justia.com/kentucky/court-of-appeals/2019-2018-ca-000395-mr.pdf?ts=1568988148" </w:instrText>
      </w:r>
      <w:r w:rsidR="00025B22">
        <w:fldChar w:fldCharType="separate"/>
      </w:r>
      <w:r w:rsidR="00025B22" w:rsidRPr="00015208">
        <w:rPr>
          <w:rStyle w:val="Hyperlink"/>
          <w:rFonts w:ascii="Times New Roman" w:eastAsia="Times New Roman" w:hAnsi="Times New Roman"/>
          <w:sz w:val="24"/>
          <w:szCs w:val="24"/>
        </w:rPr>
        <w:t>https://cases.justia.com/kentucky/court-of-appeals/2019-2018-ca-000395-mr.pdf?ts=1568988148</w:t>
      </w:r>
      <w:r w:rsidR="00025B22">
        <w:rPr>
          <w:rStyle w:val="Hyperlink"/>
          <w:rFonts w:ascii="Times New Roman" w:eastAsia="Times New Roman" w:hAnsi="Times New Roman"/>
          <w:sz w:val="24"/>
          <w:szCs w:val="24"/>
        </w:rPr>
        <w:fldChar w:fldCharType="end"/>
      </w:r>
      <w:r w:rsidR="00025B22" w:rsidRPr="00015208">
        <w:rPr>
          <w:rFonts w:ascii="Times New Roman" w:eastAsia="Times New Roman" w:hAnsi="Times New Roman"/>
          <w:sz w:val="24"/>
          <w:szCs w:val="24"/>
        </w:rPr>
        <w:t xml:space="preserve"> </w:t>
      </w:r>
    </w:p>
    <w:p w14:paraId="42FE7EA4" w14:textId="77777777" w:rsidR="00025B22" w:rsidRPr="00015208" w:rsidRDefault="00025B22" w:rsidP="00025B22">
      <w:pPr>
        <w:spacing w:after="0" w:line="240" w:lineRule="auto"/>
        <w:rPr>
          <w:rFonts w:ascii="Times New Roman" w:eastAsia="Times New Roman" w:hAnsi="Times New Roman"/>
          <w:sz w:val="24"/>
          <w:szCs w:val="24"/>
        </w:rPr>
      </w:pPr>
    </w:p>
    <w:bookmarkEnd w:id="111"/>
    <w:p w14:paraId="1DF38443" w14:textId="384D43C1" w:rsidR="00853142" w:rsidRPr="00015208" w:rsidRDefault="00853142" w:rsidP="00853142">
      <w:pPr>
        <w:spacing w:after="0" w:line="240" w:lineRule="auto"/>
        <w:ind w:left="720"/>
        <w:rPr>
          <w:rFonts w:ascii="Times New Roman" w:eastAsia="Times New Roman" w:hAnsi="Times New Roman"/>
          <w:sz w:val="24"/>
          <w:szCs w:val="24"/>
        </w:rPr>
      </w:pPr>
    </w:p>
    <w:p w14:paraId="2225B21E" w14:textId="77777777" w:rsidR="00853142" w:rsidRPr="00015208" w:rsidRDefault="00853142" w:rsidP="00853142">
      <w:pPr>
        <w:spacing w:after="0" w:line="240" w:lineRule="auto"/>
        <w:ind w:left="720"/>
        <w:rPr>
          <w:rFonts w:ascii="Times New Roman" w:eastAsia="Times New Roman" w:hAnsi="Times New Roman"/>
          <w:sz w:val="24"/>
          <w:szCs w:val="24"/>
        </w:rPr>
      </w:pPr>
    </w:p>
    <w:p w14:paraId="17F63B9F" w14:textId="77777777" w:rsidR="00853142" w:rsidRPr="00015208" w:rsidRDefault="00853142" w:rsidP="00853142">
      <w:pPr>
        <w:pStyle w:val="Heading1"/>
        <w:rPr>
          <w:b w:val="0"/>
          <w:bCs w:val="0"/>
          <w:sz w:val="24"/>
          <w:szCs w:val="24"/>
        </w:rPr>
      </w:pPr>
      <w:r w:rsidRPr="00015208">
        <w:rPr>
          <w:sz w:val="24"/>
          <w:szCs w:val="24"/>
        </w:rPr>
        <w:t xml:space="preserve">Legal Lessons Learned:  In cases involving a “battle of the experts,” Courts will normally not overturn findings of the Administrative Agency.   The federal death benefits statute for firefighters and other public safety officers, who die within 24 hours of "nonroutine stressful or strenuous physical" activity was written to avoid these kinds of disputes.  See </w:t>
      </w:r>
      <w:bookmarkStart w:id="112" w:name="_Hlk39822753"/>
      <w:r w:rsidRPr="00015208">
        <w:rPr>
          <w:sz w:val="24"/>
          <w:szCs w:val="24"/>
        </w:rPr>
        <w:t xml:space="preserve">May 15, </w:t>
      </w:r>
      <w:proofErr w:type="gramStart"/>
      <w:r w:rsidRPr="00015208">
        <w:rPr>
          <w:sz w:val="24"/>
          <w:szCs w:val="24"/>
        </w:rPr>
        <w:t>2018</w:t>
      </w:r>
      <w:proofErr w:type="gramEnd"/>
      <w:r w:rsidRPr="00015208">
        <w:rPr>
          <w:sz w:val="24"/>
          <w:szCs w:val="24"/>
        </w:rPr>
        <w:t xml:space="preserve"> announcement: “Justice Department Announces Improvements to Public Safety Officers’ Benefits Program.”</w:t>
      </w:r>
      <w:r w:rsidRPr="00015208">
        <w:rPr>
          <w:b w:val="0"/>
          <w:bCs w:val="0"/>
          <w:sz w:val="24"/>
          <w:szCs w:val="24"/>
        </w:rPr>
        <w:t xml:space="preserve"> </w:t>
      </w:r>
      <w:hyperlink r:id="rId580" w:history="1">
        <w:r w:rsidRPr="00015208">
          <w:rPr>
            <w:rStyle w:val="Hyperlink"/>
            <w:b w:val="0"/>
            <w:bCs w:val="0"/>
            <w:sz w:val="24"/>
            <w:szCs w:val="24"/>
          </w:rPr>
          <w:t>https://www.justice.gov/opa/pr/justice-department-announces-improvements-public-safety-officers-benefits-program</w:t>
        </w:r>
      </w:hyperlink>
      <w:r w:rsidRPr="00015208">
        <w:rPr>
          <w:b w:val="0"/>
          <w:bCs w:val="0"/>
          <w:sz w:val="24"/>
          <w:szCs w:val="24"/>
        </w:rPr>
        <w:t xml:space="preserve"> </w:t>
      </w:r>
    </w:p>
    <w:bookmarkEnd w:id="112"/>
    <w:p w14:paraId="33CDC4E0" w14:textId="0172D15C" w:rsidR="00853142" w:rsidRDefault="00853142" w:rsidP="00EF1133">
      <w:pPr>
        <w:pStyle w:val="NoSpacing"/>
        <w:rPr>
          <w:rFonts w:ascii="Arial Black" w:hAnsi="Arial Black"/>
          <w:sz w:val="24"/>
          <w:szCs w:val="24"/>
        </w:rPr>
      </w:pPr>
    </w:p>
    <w:p w14:paraId="36A36ED6" w14:textId="36DFC688" w:rsidR="00A67C57" w:rsidRDefault="00A67C57" w:rsidP="00EF1133">
      <w:pPr>
        <w:pStyle w:val="NoSpacing"/>
        <w:rPr>
          <w:rFonts w:ascii="Arial Black" w:hAnsi="Arial Black"/>
          <w:sz w:val="24"/>
          <w:szCs w:val="24"/>
        </w:rPr>
      </w:pPr>
    </w:p>
    <w:p w14:paraId="41D0317D" w14:textId="77777777" w:rsidR="00A67C57" w:rsidRDefault="00A67C57" w:rsidP="00EF1133">
      <w:pPr>
        <w:pStyle w:val="NoSpacing"/>
        <w:rPr>
          <w:rFonts w:ascii="Arial Black" w:hAnsi="Arial Black"/>
          <w:sz w:val="24"/>
          <w:szCs w:val="24"/>
        </w:rPr>
      </w:pPr>
    </w:p>
    <w:p w14:paraId="5D75C623" w14:textId="4023065D" w:rsidR="00A52325" w:rsidRDefault="00A52325" w:rsidP="00EF1133">
      <w:pPr>
        <w:pStyle w:val="NoSpacing"/>
        <w:rPr>
          <w:rFonts w:ascii="Arial Black" w:hAnsi="Arial Black"/>
          <w:sz w:val="24"/>
          <w:szCs w:val="24"/>
        </w:rPr>
      </w:pPr>
      <w:r>
        <w:rPr>
          <w:rFonts w:ascii="Arial Black" w:hAnsi="Arial Black"/>
          <w:sz w:val="24"/>
          <w:szCs w:val="24"/>
        </w:rPr>
        <w:t>2-20</w:t>
      </w:r>
    </w:p>
    <w:p w14:paraId="1AB7F3A8" w14:textId="1E0B2DA7" w:rsidR="00A52325" w:rsidRDefault="00A52325" w:rsidP="00EF1133">
      <w:pPr>
        <w:pStyle w:val="NoSpacing"/>
        <w:rPr>
          <w:rFonts w:ascii="Arial Black" w:hAnsi="Arial Black"/>
          <w:sz w:val="24"/>
          <w:szCs w:val="24"/>
        </w:rPr>
      </w:pPr>
    </w:p>
    <w:p w14:paraId="48367360" w14:textId="77777777" w:rsidR="00A52325" w:rsidRDefault="00A52325" w:rsidP="00A52325">
      <w:pPr>
        <w:pStyle w:val="NoSpacing"/>
        <w:rPr>
          <w:rFonts w:ascii="Arial Black" w:hAnsi="Arial Black"/>
          <w:sz w:val="28"/>
          <w:szCs w:val="28"/>
        </w:rPr>
      </w:pPr>
      <w:r>
        <w:rPr>
          <w:rFonts w:ascii="Arial Black" w:hAnsi="Arial Black"/>
          <w:sz w:val="28"/>
          <w:szCs w:val="28"/>
        </w:rPr>
        <w:t>NY: LIVER CANCER - FF WORKED AT 9/11 WORLD TRADE CENTER – ACCIDENTAL DISABILITY BENEFITS AWARDED</w:t>
      </w:r>
    </w:p>
    <w:p w14:paraId="6BF50E34" w14:textId="77777777" w:rsidR="00A52325" w:rsidRDefault="00A52325" w:rsidP="00A52325">
      <w:pPr>
        <w:pStyle w:val="NoSpacing"/>
        <w:rPr>
          <w:rFonts w:ascii="Arial Black" w:hAnsi="Arial Black"/>
          <w:sz w:val="28"/>
          <w:szCs w:val="28"/>
        </w:rPr>
      </w:pPr>
    </w:p>
    <w:p w14:paraId="332EC30C" w14:textId="77777777" w:rsidR="00A52325" w:rsidRDefault="00A52325" w:rsidP="00A52325">
      <w:pPr>
        <w:pStyle w:val="NoSpacing"/>
        <w:rPr>
          <w:rFonts w:ascii="Times New Roman" w:hAnsi="Times New Roman"/>
          <w:sz w:val="24"/>
          <w:szCs w:val="24"/>
        </w:rPr>
      </w:pPr>
      <w:r>
        <w:rPr>
          <w:rFonts w:ascii="Times New Roman" w:hAnsi="Times New Roman"/>
          <w:sz w:val="24"/>
          <w:szCs w:val="24"/>
        </w:rPr>
        <w:t xml:space="preserve">On Sept. 3, 2019, in </w:t>
      </w:r>
      <w:r>
        <w:rPr>
          <w:rFonts w:ascii="Times New Roman" w:hAnsi="Times New Roman"/>
          <w:sz w:val="24"/>
          <w:szCs w:val="24"/>
          <w:u w:val="single"/>
        </w:rPr>
        <w:t xml:space="preserve">Matter </w:t>
      </w:r>
      <w:proofErr w:type="gramStart"/>
      <w:r>
        <w:rPr>
          <w:rFonts w:ascii="Times New Roman" w:hAnsi="Times New Roman"/>
          <w:sz w:val="24"/>
          <w:szCs w:val="24"/>
          <w:u w:val="single"/>
        </w:rPr>
        <w:t>Of</w:t>
      </w:r>
      <w:proofErr w:type="gramEnd"/>
      <w:r>
        <w:rPr>
          <w:rFonts w:ascii="Times New Roman" w:hAnsi="Times New Roman"/>
          <w:sz w:val="24"/>
          <w:szCs w:val="24"/>
          <w:u w:val="single"/>
        </w:rPr>
        <w:t xml:space="preserve"> Joseph Daly v. Daniel Nigro</w:t>
      </w:r>
      <w:r>
        <w:rPr>
          <w:rFonts w:ascii="Times New Roman" w:hAnsi="Times New Roman"/>
          <w:sz w:val="24"/>
          <w:szCs w:val="24"/>
        </w:rPr>
        <w:t xml:space="preserve">, Supreme Court, Kings County (Judge Katherine A. Levine), in unpublished opinion, held that there is a statutory presumption that the firefighter ‘s liver cancer was caused by his work at the World Trade Center cleanup operation.  The firefighter’s pension is therefore increased from one-half his salary (taxable) to three-quarters of his salary (tax-free).  </w:t>
      </w:r>
    </w:p>
    <w:p w14:paraId="23FD7B67" w14:textId="77777777" w:rsidR="00A52325" w:rsidRDefault="00A52325" w:rsidP="00A52325">
      <w:pPr>
        <w:pStyle w:val="NoSpacing"/>
        <w:rPr>
          <w:rFonts w:ascii="Times New Roman" w:hAnsi="Times New Roman"/>
          <w:sz w:val="24"/>
          <w:szCs w:val="24"/>
        </w:rPr>
      </w:pPr>
    </w:p>
    <w:p w14:paraId="4E73E24D" w14:textId="77777777" w:rsidR="00A52325" w:rsidRDefault="00A52325" w:rsidP="00A52325">
      <w:pPr>
        <w:pStyle w:val="NoSpacing"/>
        <w:ind w:left="720"/>
        <w:rPr>
          <w:rFonts w:ascii="Times New Roman" w:hAnsi="Times New Roman"/>
          <w:sz w:val="24"/>
          <w:szCs w:val="24"/>
        </w:rPr>
      </w:pPr>
      <w:r>
        <w:rPr>
          <w:rFonts w:ascii="Times New Roman" w:hAnsi="Times New Roman"/>
          <w:sz w:val="24"/>
          <w:szCs w:val="24"/>
        </w:rPr>
        <w:t xml:space="preserve">“While the Pension Fund does not dispute that Daly has a qualifying physical condition, it argues that it presented competent evidence to the court which disproves that petitioner's disability was attributable to his WTC rescue, recovery and cleanup operations, and proves that it was caused by persistent ascites and abdominal distention due to alcoholic cirrhosis of the liver. This court finds that respondent failed to proffer competent evidence to rebut the presumption that petitioner's qualifying physical condition was caused by the hazards he encountered at the WTC </w:t>
      </w:r>
      <w:proofErr w:type="gramStart"/>
      <w:r>
        <w:rPr>
          <w:rFonts w:ascii="Times New Roman" w:hAnsi="Times New Roman"/>
          <w:sz w:val="24"/>
          <w:szCs w:val="24"/>
        </w:rPr>
        <w:t>site.”</w:t>
      </w:r>
      <w:proofErr w:type="gramEnd"/>
    </w:p>
    <w:p w14:paraId="4EBD938A" w14:textId="77777777" w:rsidR="00A52325" w:rsidRDefault="00A52325" w:rsidP="00A52325">
      <w:pPr>
        <w:pStyle w:val="NoSpacing"/>
        <w:ind w:left="720"/>
        <w:rPr>
          <w:rFonts w:ascii="Times New Roman" w:hAnsi="Times New Roman"/>
          <w:sz w:val="24"/>
          <w:szCs w:val="24"/>
        </w:rPr>
      </w:pPr>
      <w:hyperlink r:id="rId581" w:history="1">
        <w:r>
          <w:rPr>
            <w:rStyle w:val="Hyperlink"/>
            <w:rFonts w:ascii="Times New Roman" w:hAnsi="Times New Roman"/>
            <w:sz w:val="24"/>
            <w:szCs w:val="24"/>
          </w:rPr>
          <w:t>https://law.justia.com/cases/new-york/other-courts/2019/2019-ny-slip-op-51525-u.html</w:t>
        </w:r>
      </w:hyperlink>
      <w:r>
        <w:rPr>
          <w:rFonts w:ascii="Times New Roman" w:hAnsi="Times New Roman"/>
          <w:sz w:val="24"/>
          <w:szCs w:val="24"/>
        </w:rPr>
        <w:t xml:space="preserve"> </w:t>
      </w:r>
    </w:p>
    <w:p w14:paraId="2DE32D4C" w14:textId="4ADAAE85" w:rsidR="00A52325" w:rsidRDefault="00A52325" w:rsidP="00EF1133">
      <w:pPr>
        <w:pStyle w:val="NoSpacing"/>
        <w:rPr>
          <w:rFonts w:ascii="Arial Black" w:hAnsi="Arial Black"/>
          <w:sz w:val="24"/>
          <w:szCs w:val="24"/>
        </w:rPr>
      </w:pPr>
    </w:p>
    <w:p w14:paraId="29139C9C" w14:textId="77777777" w:rsidR="00965872" w:rsidRDefault="00A52325" w:rsidP="00A52325">
      <w:pPr>
        <w:pStyle w:val="NoSpacing"/>
        <w:rPr>
          <w:rFonts w:ascii="Times New Roman" w:hAnsi="Times New Roman"/>
          <w:b/>
          <w:bCs/>
          <w:sz w:val="24"/>
          <w:szCs w:val="24"/>
        </w:rPr>
      </w:pPr>
      <w:r>
        <w:rPr>
          <w:rFonts w:ascii="Times New Roman" w:hAnsi="Times New Roman"/>
          <w:b/>
          <w:bCs/>
          <w:sz w:val="24"/>
          <w:szCs w:val="24"/>
        </w:rPr>
        <w:t xml:space="preserve">Legal Lessons Learned: The World Trade Center legislation created a “statutory presumption” that cancer was caused by their work at the WTC.  All firefighters should keep a record of structure fires and other exposures to hazardous environments, including even if you work in a state that have enacted workers comp. statutory presumptions, such as Ohio. See the Ohio application: </w:t>
      </w:r>
    </w:p>
    <w:p w14:paraId="7471988A" w14:textId="77777777" w:rsidR="00965872" w:rsidRDefault="00965872" w:rsidP="00A52325">
      <w:pPr>
        <w:pStyle w:val="NoSpacing"/>
        <w:rPr>
          <w:rFonts w:ascii="Times New Roman" w:hAnsi="Times New Roman"/>
          <w:b/>
          <w:bCs/>
          <w:sz w:val="24"/>
          <w:szCs w:val="24"/>
        </w:rPr>
      </w:pPr>
    </w:p>
    <w:p w14:paraId="5D1EFE59" w14:textId="52969460" w:rsidR="00A52325" w:rsidRDefault="00965872" w:rsidP="00965872">
      <w:pPr>
        <w:pStyle w:val="NoSpacing"/>
        <w:ind w:firstLine="720"/>
        <w:rPr>
          <w:rFonts w:ascii="Times New Roman" w:hAnsi="Times New Roman"/>
          <w:sz w:val="24"/>
          <w:szCs w:val="24"/>
        </w:rPr>
      </w:pPr>
      <w:hyperlink r:id="rId582" w:history="1">
        <w:r w:rsidRPr="002F304C">
          <w:rPr>
            <w:rStyle w:val="Hyperlink"/>
            <w:rFonts w:ascii="Times New Roman" w:hAnsi="Times New Roman"/>
            <w:b/>
            <w:bCs/>
            <w:sz w:val="24"/>
            <w:szCs w:val="24"/>
          </w:rPr>
          <w:t>https://www.bwc.ohio.gov/downloads/blankpdf/C-265.pdf</w:t>
        </w:r>
      </w:hyperlink>
      <w:r w:rsidR="00A52325">
        <w:rPr>
          <w:rFonts w:ascii="Times New Roman" w:hAnsi="Times New Roman"/>
          <w:b/>
          <w:bCs/>
          <w:sz w:val="24"/>
          <w:szCs w:val="24"/>
        </w:rPr>
        <w:t xml:space="preserve"> </w:t>
      </w:r>
    </w:p>
    <w:p w14:paraId="0910932C" w14:textId="77777777" w:rsidR="00A52325" w:rsidRPr="00965872" w:rsidRDefault="00A52325" w:rsidP="00965872">
      <w:pPr>
        <w:pStyle w:val="NoSpacing"/>
        <w:ind w:left="720"/>
        <w:rPr>
          <w:rFonts w:ascii="Times New Roman" w:hAnsi="Times New Roman"/>
          <w:sz w:val="24"/>
          <w:szCs w:val="24"/>
        </w:rPr>
      </w:pPr>
      <w:r w:rsidRPr="00965872">
        <w:rPr>
          <w:rFonts w:ascii="Times New Roman" w:hAnsi="Times New Roman"/>
          <w:sz w:val="24"/>
          <w:szCs w:val="24"/>
        </w:rPr>
        <w:t xml:space="preserve">“Have you been assigned to at least six years of hazardous duty as a fire fighter? Yes No If yes, please provide a history of your hazardous duty as a firefighter. “Hazardous duty” means duty performed </w:t>
      </w:r>
      <w:proofErr w:type="gramStart"/>
      <w:r w:rsidRPr="00965872">
        <w:rPr>
          <w:rFonts w:ascii="Times New Roman" w:hAnsi="Times New Roman"/>
          <w:sz w:val="24"/>
          <w:szCs w:val="24"/>
        </w:rPr>
        <w:t>under circumstances in which</w:t>
      </w:r>
      <w:proofErr w:type="gramEnd"/>
      <w:r w:rsidRPr="00965872">
        <w:rPr>
          <w:rFonts w:ascii="Times New Roman" w:hAnsi="Times New Roman"/>
          <w:sz w:val="24"/>
          <w:szCs w:val="24"/>
        </w:rPr>
        <w:t xml:space="preserve"> an accident could result in serious injury or death.” </w:t>
      </w:r>
    </w:p>
    <w:p w14:paraId="5BEAB59B" w14:textId="77777777" w:rsidR="00A52325" w:rsidRDefault="00A52325" w:rsidP="00A52325">
      <w:pPr>
        <w:pStyle w:val="NoSpacing"/>
        <w:ind w:left="720"/>
        <w:rPr>
          <w:rFonts w:ascii="Arial Black" w:hAnsi="Arial Black"/>
          <w:sz w:val="28"/>
          <w:szCs w:val="28"/>
        </w:rPr>
      </w:pPr>
    </w:p>
    <w:p w14:paraId="4265F96F" w14:textId="79839627" w:rsidR="00A52325" w:rsidRPr="00A52325" w:rsidRDefault="00A52325" w:rsidP="00EF1133">
      <w:pPr>
        <w:pStyle w:val="NoSpacing"/>
        <w:rPr>
          <w:rFonts w:ascii="Times New Roman" w:hAnsi="Times New Roman"/>
          <w:sz w:val="24"/>
          <w:szCs w:val="24"/>
        </w:rPr>
      </w:pPr>
    </w:p>
    <w:p w14:paraId="33B6B009" w14:textId="77777777" w:rsidR="00A52325" w:rsidRDefault="00A52325" w:rsidP="00EF1133">
      <w:pPr>
        <w:pStyle w:val="NoSpacing"/>
        <w:rPr>
          <w:rFonts w:ascii="Arial Black" w:hAnsi="Arial Black"/>
          <w:sz w:val="24"/>
          <w:szCs w:val="24"/>
        </w:rPr>
      </w:pPr>
    </w:p>
    <w:p w14:paraId="663D651A" w14:textId="0A3F268D" w:rsidR="00853142" w:rsidRDefault="00853142" w:rsidP="00EF1133">
      <w:pPr>
        <w:pStyle w:val="NoSpacing"/>
        <w:rPr>
          <w:rFonts w:ascii="Arial Black" w:hAnsi="Arial Black"/>
          <w:sz w:val="24"/>
          <w:szCs w:val="24"/>
        </w:rPr>
      </w:pPr>
      <w:r>
        <w:rPr>
          <w:rFonts w:ascii="Arial Black" w:hAnsi="Arial Black"/>
          <w:sz w:val="24"/>
          <w:szCs w:val="24"/>
        </w:rPr>
        <w:t>2-1</w:t>
      </w:r>
      <w:r w:rsidR="00D07E6E">
        <w:rPr>
          <w:rFonts w:ascii="Arial Black" w:hAnsi="Arial Black"/>
          <w:sz w:val="24"/>
          <w:szCs w:val="24"/>
        </w:rPr>
        <w:t>9</w:t>
      </w:r>
    </w:p>
    <w:p w14:paraId="33FBEDB8" w14:textId="62DB7BDE" w:rsidR="00853142" w:rsidRDefault="00853142" w:rsidP="00EF1133">
      <w:pPr>
        <w:pStyle w:val="NoSpacing"/>
        <w:rPr>
          <w:rFonts w:ascii="Arial Black" w:hAnsi="Arial Black"/>
          <w:sz w:val="24"/>
          <w:szCs w:val="24"/>
        </w:rPr>
      </w:pPr>
    </w:p>
    <w:p w14:paraId="406B8699" w14:textId="77777777" w:rsidR="00853142" w:rsidRPr="00A57FCF" w:rsidRDefault="00853142" w:rsidP="00853142">
      <w:pPr>
        <w:pStyle w:val="NoSpacing"/>
        <w:rPr>
          <w:rFonts w:ascii="Arial Black" w:hAnsi="Arial Black"/>
          <w:sz w:val="28"/>
          <w:szCs w:val="28"/>
        </w:rPr>
      </w:pPr>
      <w:r w:rsidRPr="00A57FCF">
        <w:rPr>
          <w:rFonts w:ascii="Arial Black" w:hAnsi="Arial Black"/>
          <w:sz w:val="28"/>
          <w:szCs w:val="28"/>
        </w:rPr>
        <w:t xml:space="preserve">PA: </w:t>
      </w:r>
      <w:r>
        <w:rPr>
          <w:rFonts w:ascii="Arial Black" w:hAnsi="Arial Black"/>
          <w:sz w:val="28"/>
          <w:szCs w:val="28"/>
        </w:rPr>
        <w:t xml:space="preserve">THREE FF KILLED – ROW HOUSE STRUCTURE FIRE - MAYOR, FIRE CHIEF DENIED QUALIFIED IMMUNITY – “ROLLING BROWNOUTS”  </w:t>
      </w:r>
    </w:p>
    <w:p w14:paraId="3967A63B" w14:textId="77777777" w:rsidR="00853142" w:rsidRPr="00C8181A" w:rsidRDefault="00853142" w:rsidP="00853142">
      <w:pPr>
        <w:rPr>
          <w:rFonts w:ascii="Times New Roman" w:hAnsi="Times New Roman"/>
          <w:sz w:val="24"/>
          <w:szCs w:val="24"/>
        </w:rPr>
      </w:pPr>
      <w:r w:rsidRPr="00C8181A">
        <w:rPr>
          <w:rFonts w:ascii="Times New Roman" w:hAnsi="Times New Roman"/>
          <w:sz w:val="24"/>
          <w:szCs w:val="24"/>
        </w:rPr>
        <w:t xml:space="preserve">On Aug. 28, 2019, in </w:t>
      </w:r>
      <w:r w:rsidRPr="00C8181A">
        <w:rPr>
          <w:rFonts w:ascii="Times New Roman" w:hAnsi="Times New Roman"/>
          <w:sz w:val="24"/>
          <w:szCs w:val="24"/>
          <w:u w:val="single"/>
        </w:rPr>
        <w:t>Firefighter Brad Speakman, Ret., et. al v. Dennis P. Williams, James M. Baker, Anthony S. Goode, William Patrick, and City of Wilmington</w:t>
      </w:r>
      <w:r w:rsidRPr="00C8181A">
        <w:rPr>
          <w:rFonts w:ascii="Times New Roman" w:hAnsi="Times New Roman"/>
          <w:sz w:val="24"/>
          <w:szCs w:val="24"/>
        </w:rPr>
        <w:t xml:space="preserve">, U.S. Magistrate Judge Mary Pat Thynge, U.S. District Court for the District of Delaware, issued a Report And Recommendation to </w:t>
      </w:r>
      <w:r>
        <w:rPr>
          <w:rFonts w:ascii="Times New Roman" w:hAnsi="Times New Roman"/>
          <w:sz w:val="24"/>
          <w:szCs w:val="24"/>
        </w:rPr>
        <w:t xml:space="preserve">a U.S. District Court judge assigned to this lawsuit arising from September 24, 2016 structure fire in a row house started by an arsonist.  </w:t>
      </w:r>
      <w:r w:rsidRPr="00C8181A">
        <w:rPr>
          <w:rFonts w:ascii="Times New Roman" w:hAnsi="Times New Roman"/>
          <w:sz w:val="24"/>
          <w:szCs w:val="24"/>
        </w:rPr>
        <w:t xml:space="preserve"> </w:t>
      </w:r>
      <w:r>
        <w:rPr>
          <w:rFonts w:ascii="Times New Roman" w:hAnsi="Times New Roman"/>
          <w:sz w:val="24"/>
          <w:szCs w:val="24"/>
        </w:rPr>
        <w:t xml:space="preserve">The Magistrate recommended that </w:t>
      </w:r>
      <w:r w:rsidRPr="00C8181A">
        <w:rPr>
          <w:rFonts w:ascii="Times New Roman" w:hAnsi="Times New Roman"/>
          <w:sz w:val="24"/>
          <w:szCs w:val="24"/>
        </w:rPr>
        <w:t>Mayor Williams</w:t>
      </w:r>
      <w:r>
        <w:rPr>
          <w:rFonts w:ascii="Times New Roman" w:hAnsi="Times New Roman"/>
          <w:sz w:val="24"/>
          <w:szCs w:val="24"/>
        </w:rPr>
        <w:t xml:space="preserve">, </w:t>
      </w:r>
      <w:r w:rsidRPr="00C8181A">
        <w:rPr>
          <w:rFonts w:ascii="Times New Roman" w:hAnsi="Times New Roman"/>
          <w:sz w:val="24"/>
          <w:szCs w:val="24"/>
        </w:rPr>
        <w:t>Fire Chief Goode</w:t>
      </w:r>
      <w:r>
        <w:rPr>
          <w:rFonts w:ascii="Times New Roman" w:hAnsi="Times New Roman"/>
          <w:sz w:val="24"/>
          <w:szCs w:val="24"/>
        </w:rPr>
        <w:t xml:space="preserve"> not be granted qualified immunity at this time because of their </w:t>
      </w:r>
      <w:r w:rsidRPr="00C8181A">
        <w:rPr>
          <w:rFonts w:ascii="Times New Roman" w:hAnsi="Times New Roman"/>
          <w:sz w:val="24"/>
          <w:szCs w:val="24"/>
        </w:rPr>
        <w:t>“brownouts” of fire stations</w:t>
      </w:r>
      <w:r>
        <w:rPr>
          <w:rFonts w:ascii="Times New Roman" w:hAnsi="Times New Roman"/>
          <w:sz w:val="24"/>
          <w:szCs w:val="24"/>
        </w:rPr>
        <w:t xml:space="preserve"> – called “rolling bypass policy.” </w:t>
      </w:r>
      <w:hyperlink r:id="rId583" w:history="1">
        <w:r w:rsidRPr="00C8181A">
          <w:rPr>
            <w:rStyle w:val="Hyperlink"/>
            <w:rFonts w:ascii="Times New Roman" w:hAnsi="Times New Roman"/>
            <w:sz w:val="24"/>
            <w:szCs w:val="24"/>
          </w:rPr>
          <w:t>https://shawkeller.com/wp-content/uploads/opinions-pdf/18-1252-CMMPT.pdf</w:t>
        </w:r>
      </w:hyperlink>
      <w:r w:rsidRPr="00C8181A">
        <w:rPr>
          <w:rFonts w:ascii="Times New Roman" w:hAnsi="Times New Roman"/>
          <w:sz w:val="24"/>
          <w:szCs w:val="24"/>
        </w:rPr>
        <w:t xml:space="preserve"> </w:t>
      </w:r>
    </w:p>
    <w:p w14:paraId="5860FF45" w14:textId="77777777" w:rsidR="00853142" w:rsidRPr="006666F5" w:rsidRDefault="00853142" w:rsidP="00853142">
      <w:pPr>
        <w:rPr>
          <w:rFonts w:ascii="Times New Roman" w:hAnsi="Times New Roman"/>
          <w:sz w:val="24"/>
          <w:szCs w:val="24"/>
        </w:rPr>
      </w:pPr>
      <w:r>
        <w:rPr>
          <w:rFonts w:ascii="Times New Roman" w:hAnsi="Times New Roman"/>
          <w:sz w:val="24"/>
          <w:szCs w:val="24"/>
        </w:rPr>
        <w:tab/>
        <w:t xml:space="preserve">Magistrate Judge </w:t>
      </w:r>
      <w:proofErr w:type="spellStart"/>
      <w:r>
        <w:rPr>
          <w:rFonts w:ascii="Times New Roman" w:hAnsi="Times New Roman"/>
          <w:sz w:val="24"/>
          <w:szCs w:val="24"/>
        </w:rPr>
        <w:t>Thynge</w:t>
      </w:r>
      <w:proofErr w:type="spellEnd"/>
      <w:r>
        <w:rPr>
          <w:rFonts w:ascii="Times New Roman" w:hAnsi="Times New Roman"/>
          <w:sz w:val="24"/>
          <w:szCs w:val="24"/>
        </w:rPr>
        <w:t xml:space="preserve"> wrote: </w:t>
      </w:r>
    </w:p>
    <w:p w14:paraId="1C2DF21B" w14:textId="77777777" w:rsidR="00853142" w:rsidRDefault="00853142" w:rsidP="00853142">
      <w:pPr>
        <w:pStyle w:val="NoSpacing"/>
        <w:ind w:left="1440"/>
        <w:rPr>
          <w:rFonts w:ascii="Times New Roman" w:hAnsi="Times New Roman"/>
          <w:sz w:val="24"/>
          <w:szCs w:val="24"/>
        </w:rPr>
      </w:pPr>
      <w:r>
        <w:rPr>
          <w:rFonts w:ascii="Times New Roman" w:hAnsi="Times New Roman"/>
          <w:sz w:val="24"/>
          <w:szCs w:val="24"/>
        </w:rPr>
        <w:t>“</w:t>
      </w:r>
      <w:r w:rsidRPr="006666F5">
        <w:rPr>
          <w:rFonts w:ascii="Times New Roman" w:hAnsi="Times New Roman"/>
          <w:sz w:val="24"/>
          <w:szCs w:val="24"/>
        </w:rPr>
        <w:t>Mayor Williams and Chief Goode understood that, with fire</w:t>
      </w:r>
      <w:r>
        <w:rPr>
          <w:rFonts w:ascii="Times New Roman" w:hAnsi="Times New Roman"/>
          <w:sz w:val="24"/>
          <w:szCs w:val="24"/>
        </w:rPr>
        <w:t xml:space="preserve"> </w:t>
      </w:r>
      <w:r w:rsidRPr="006666F5">
        <w:rPr>
          <w:rFonts w:ascii="Times New Roman" w:hAnsi="Times New Roman"/>
          <w:sz w:val="24"/>
          <w:szCs w:val="24"/>
        </w:rPr>
        <w:t>houses</w:t>
      </w:r>
      <w:r>
        <w:rPr>
          <w:rFonts w:ascii="Times New Roman" w:hAnsi="Times New Roman"/>
          <w:sz w:val="24"/>
          <w:szCs w:val="24"/>
        </w:rPr>
        <w:t xml:space="preserve"> </w:t>
      </w:r>
      <w:r w:rsidRPr="006666F5">
        <w:rPr>
          <w:rFonts w:ascii="Times New Roman" w:hAnsi="Times New Roman"/>
          <w:sz w:val="24"/>
          <w:szCs w:val="24"/>
        </w:rPr>
        <w:t>closed, overtime, the main impetus for the rolling bypass policy, substantially increased</w:t>
      </w:r>
      <w:r>
        <w:rPr>
          <w:rFonts w:ascii="Times New Roman" w:hAnsi="Times New Roman"/>
          <w:sz w:val="24"/>
          <w:szCs w:val="24"/>
        </w:rPr>
        <w:t xml:space="preserve"> </w:t>
      </w:r>
      <w:r w:rsidRPr="006666F5">
        <w:rPr>
          <w:rFonts w:ascii="Times New Roman" w:hAnsi="Times New Roman"/>
          <w:sz w:val="24"/>
          <w:szCs w:val="24"/>
        </w:rPr>
        <w:t>during both the Goode and Williams’ administrations. Union Officials routinely warned</w:t>
      </w:r>
      <w:r>
        <w:rPr>
          <w:rFonts w:ascii="Times New Roman" w:hAnsi="Times New Roman"/>
          <w:sz w:val="24"/>
          <w:szCs w:val="24"/>
        </w:rPr>
        <w:t xml:space="preserve"> </w:t>
      </w:r>
      <w:r w:rsidRPr="006666F5">
        <w:rPr>
          <w:rFonts w:ascii="Times New Roman" w:hAnsi="Times New Roman"/>
          <w:sz w:val="24"/>
          <w:szCs w:val="24"/>
        </w:rPr>
        <w:t>Mayor Williams and Chief Goode of the dangers associated with the continued use of</w:t>
      </w:r>
      <w:r>
        <w:rPr>
          <w:rFonts w:ascii="Times New Roman" w:hAnsi="Times New Roman"/>
          <w:sz w:val="24"/>
          <w:szCs w:val="24"/>
        </w:rPr>
        <w:t xml:space="preserve"> </w:t>
      </w:r>
      <w:r w:rsidRPr="006666F5">
        <w:rPr>
          <w:rFonts w:ascii="Times New Roman" w:hAnsi="Times New Roman"/>
          <w:sz w:val="24"/>
          <w:szCs w:val="24"/>
        </w:rPr>
        <w:t>rolling bypass. Despite repeated, emphatic warnings and concerns expressed by Union</w:t>
      </w:r>
      <w:r>
        <w:rPr>
          <w:rFonts w:ascii="Times New Roman" w:hAnsi="Times New Roman"/>
          <w:sz w:val="24"/>
          <w:szCs w:val="24"/>
        </w:rPr>
        <w:t xml:space="preserve"> </w:t>
      </w:r>
      <w:r w:rsidRPr="006666F5">
        <w:rPr>
          <w:rFonts w:ascii="Times New Roman" w:hAnsi="Times New Roman"/>
          <w:sz w:val="24"/>
          <w:szCs w:val="24"/>
        </w:rPr>
        <w:t>officials, firefighters, City Council, the public, and the media, Mayor Williams and Chief</w:t>
      </w:r>
      <w:r>
        <w:rPr>
          <w:rFonts w:ascii="Times New Roman" w:hAnsi="Times New Roman"/>
          <w:sz w:val="24"/>
          <w:szCs w:val="24"/>
        </w:rPr>
        <w:t xml:space="preserve"> </w:t>
      </w:r>
      <w:r w:rsidRPr="006666F5">
        <w:rPr>
          <w:rFonts w:ascii="Times New Roman" w:hAnsi="Times New Roman"/>
          <w:sz w:val="24"/>
          <w:szCs w:val="24"/>
        </w:rPr>
        <w:t>Goode maintained the rolling bypass policy. Accordingly, Plaintiffs adequately state</w:t>
      </w:r>
      <w:r>
        <w:rPr>
          <w:rFonts w:ascii="Times New Roman" w:hAnsi="Times New Roman"/>
          <w:sz w:val="24"/>
          <w:szCs w:val="24"/>
        </w:rPr>
        <w:t xml:space="preserve"> </w:t>
      </w:r>
      <w:r w:rsidRPr="006666F5">
        <w:rPr>
          <w:rFonts w:ascii="Times New Roman" w:hAnsi="Times New Roman"/>
          <w:sz w:val="24"/>
          <w:szCs w:val="24"/>
        </w:rPr>
        <w:t xml:space="preserve">facts which support conduct that </w:t>
      </w:r>
      <w:proofErr w:type="gramStart"/>
      <w:r w:rsidRPr="006666F5">
        <w:rPr>
          <w:rFonts w:ascii="Times New Roman" w:hAnsi="Times New Roman"/>
          <w:sz w:val="24"/>
          <w:szCs w:val="24"/>
        </w:rPr>
        <w:t>shocks</w:t>
      </w:r>
      <w:proofErr w:type="gramEnd"/>
      <w:r w:rsidRPr="006666F5">
        <w:rPr>
          <w:rFonts w:ascii="Times New Roman" w:hAnsi="Times New Roman"/>
          <w:sz w:val="24"/>
          <w:szCs w:val="24"/>
        </w:rPr>
        <w:t xml:space="preserve"> the conscious against Mayor Williams and</w:t>
      </w:r>
      <w:r>
        <w:rPr>
          <w:rFonts w:ascii="Times New Roman" w:hAnsi="Times New Roman"/>
          <w:sz w:val="24"/>
          <w:szCs w:val="24"/>
        </w:rPr>
        <w:t xml:space="preserve"> </w:t>
      </w:r>
      <w:r w:rsidRPr="006666F5">
        <w:rPr>
          <w:rFonts w:ascii="Times New Roman" w:hAnsi="Times New Roman"/>
          <w:sz w:val="24"/>
          <w:szCs w:val="24"/>
        </w:rPr>
        <w:t>Chief Goode</w:t>
      </w:r>
      <w:r>
        <w:rPr>
          <w:rFonts w:ascii="Times New Roman" w:hAnsi="Times New Roman"/>
          <w:sz w:val="24"/>
          <w:szCs w:val="24"/>
        </w:rPr>
        <w:t>.</w:t>
      </w:r>
    </w:p>
    <w:p w14:paraId="29ADA8D6" w14:textId="77777777" w:rsidR="00853142" w:rsidRDefault="00853142" w:rsidP="00853142">
      <w:pPr>
        <w:pStyle w:val="NoSpacing"/>
        <w:ind w:left="1440"/>
        <w:rPr>
          <w:rFonts w:ascii="Times New Roman" w:hAnsi="Times New Roman"/>
          <w:sz w:val="24"/>
          <w:szCs w:val="24"/>
        </w:rPr>
      </w:pPr>
    </w:p>
    <w:p w14:paraId="0632E7F9" w14:textId="77777777" w:rsidR="00853142" w:rsidRPr="006666F5" w:rsidRDefault="00853142" w:rsidP="00853142">
      <w:pPr>
        <w:pStyle w:val="NoSpacing"/>
        <w:ind w:left="1440"/>
        <w:rPr>
          <w:rFonts w:ascii="Times New Roman" w:hAnsi="Times New Roman"/>
          <w:sz w:val="24"/>
          <w:szCs w:val="24"/>
        </w:rPr>
      </w:pPr>
      <w:r>
        <w:rPr>
          <w:rFonts w:ascii="Times New Roman" w:hAnsi="Times New Roman"/>
          <w:sz w:val="24"/>
          <w:szCs w:val="24"/>
        </w:rPr>
        <w:t>***</w:t>
      </w:r>
    </w:p>
    <w:p w14:paraId="69F9E0D8" w14:textId="77777777" w:rsidR="00853142" w:rsidRDefault="00853142" w:rsidP="00853142">
      <w:pPr>
        <w:ind w:left="1440"/>
        <w:rPr>
          <w:rFonts w:ascii="Times New Roman" w:hAnsi="Times New Roman"/>
          <w:sz w:val="24"/>
          <w:szCs w:val="24"/>
        </w:rPr>
      </w:pPr>
      <w:r>
        <w:rPr>
          <w:rFonts w:ascii="Times New Roman" w:hAnsi="Times New Roman"/>
          <w:sz w:val="24"/>
          <w:szCs w:val="24"/>
        </w:rPr>
        <w:t>I</w:t>
      </w:r>
      <w:r w:rsidRPr="00C8181A">
        <w:rPr>
          <w:rFonts w:ascii="Times New Roman" w:hAnsi="Times New Roman"/>
          <w:sz w:val="24"/>
          <w:szCs w:val="24"/>
        </w:rPr>
        <w:t>n the instant matter, City Council enacted a statute to address its concerns of</w:t>
      </w:r>
      <w:r>
        <w:rPr>
          <w:rFonts w:ascii="Times New Roman" w:hAnsi="Times New Roman"/>
          <w:sz w:val="24"/>
          <w:szCs w:val="24"/>
        </w:rPr>
        <w:t xml:space="preserve"> </w:t>
      </w:r>
      <w:r w:rsidRPr="00C8181A">
        <w:rPr>
          <w:rFonts w:ascii="Times New Roman" w:hAnsi="Times New Roman"/>
          <w:sz w:val="24"/>
          <w:szCs w:val="24"/>
        </w:rPr>
        <w:t>under-staffing and overtime.</w:t>
      </w:r>
      <w:r>
        <w:rPr>
          <w:rFonts w:ascii="Times New Roman" w:hAnsi="Times New Roman"/>
          <w:sz w:val="24"/>
          <w:szCs w:val="24"/>
        </w:rPr>
        <w:t xml:space="preserve"> </w:t>
      </w:r>
      <w:r w:rsidRPr="00C8181A">
        <w:rPr>
          <w:rFonts w:ascii="Times New Roman" w:hAnsi="Times New Roman"/>
          <w:sz w:val="24"/>
          <w:szCs w:val="24"/>
        </w:rPr>
        <w:t>Plaintiffs contend that Mayor Williams and Chief Goode</w:t>
      </w:r>
      <w:r>
        <w:rPr>
          <w:rFonts w:ascii="Times New Roman" w:hAnsi="Times New Roman"/>
          <w:sz w:val="24"/>
          <w:szCs w:val="24"/>
        </w:rPr>
        <w:t xml:space="preserve"> </w:t>
      </w:r>
      <w:r w:rsidRPr="00C8181A">
        <w:rPr>
          <w:rFonts w:ascii="Times New Roman" w:hAnsi="Times New Roman"/>
          <w:sz w:val="24"/>
          <w:szCs w:val="24"/>
        </w:rPr>
        <w:t xml:space="preserve">failed to comply with that </w:t>
      </w:r>
      <w:proofErr w:type="gramStart"/>
      <w:r w:rsidRPr="00C8181A">
        <w:rPr>
          <w:rFonts w:ascii="Times New Roman" w:hAnsi="Times New Roman"/>
          <w:sz w:val="24"/>
          <w:szCs w:val="24"/>
        </w:rPr>
        <w:t>statute, and</w:t>
      </w:r>
      <w:proofErr w:type="gramEnd"/>
      <w:r w:rsidRPr="00C8181A">
        <w:rPr>
          <w:rFonts w:ascii="Times New Roman" w:hAnsi="Times New Roman"/>
          <w:sz w:val="24"/>
          <w:szCs w:val="24"/>
        </w:rPr>
        <w:t xml:space="preserve"> were clearly aware of the dangers concerning</w:t>
      </w:r>
      <w:r>
        <w:rPr>
          <w:rFonts w:ascii="Times New Roman" w:hAnsi="Times New Roman"/>
          <w:sz w:val="24"/>
          <w:szCs w:val="24"/>
        </w:rPr>
        <w:t xml:space="preserve"> </w:t>
      </w:r>
      <w:r w:rsidRPr="00C8181A">
        <w:rPr>
          <w:rFonts w:ascii="Times New Roman" w:hAnsi="Times New Roman"/>
          <w:sz w:val="24"/>
          <w:szCs w:val="24"/>
        </w:rPr>
        <w:t>rolling bypass.</w:t>
      </w:r>
      <w:r>
        <w:rPr>
          <w:rFonts w:ascii="Times New Roman" w:hAnsi="Times New Roman"/>
          <w:sz w:val="24"/>
          <w:szCs w:val="24"/>
        </w:rPr>
        <w:t xml:space="preserve"> </w:t>
      </w:r>
      <w:r w:rsidRPr="00C8181A">
        <w:rPr>
          <w:rFonts w:ascii="Times New Roman" w:hAnsi="Times New Roman"/>
          <w:sz w:val="24"/>
          <w:szCs w:val="24"/>
        </w:rPr>
        <w:t xml:space="preserve"> They further maintain that the </w:t>
      </w:r>
      <w:proofErr w:type="gramStart"/>
      <w:r w:rsidRPr="00C8181A">
        <w:rPr>
          <w:rFonts w:ascii="Times New Roman" w:hAnsi="Times New Roman"/>
          <w:sz w:val="24"/>
          <w:szCs w:val="24"/>
        </w:rPr>
        <w:t>City</w:t>
      </w:r>
      <w:proofErr w:type="gramEnd"/>
      <w:r w:rsidRPr="00C8181A">
        <w:rPr>
          <w:rFonts w:ascii="Times New Roman" w:hAnsi="Times New Roman"/>
          <w:sz w:val="24"/>
          <w:szCs w:val="24"/>
        </w:rPr>
        <w:t>, through its Mayors and City</w:t>
      </w:r>
      <w:r>
        <w:rPr>
          <w:rFonts w:ascii="Times New Roman" w:hAnsi="Times New Roman"/>
          <w:sz w:val="24"/>
          <w:szCs w:val="24"/>
        </w:rPr>
        <w:t xml:space="preserve"> </w:t>
      </w:r>
      <w:r w:rsidRPr="00C8181A">
        <w:rPr>
          <w:rFonts w:ascii="Times New Roman" w:hAnsi="Times New Roman"/>
          <w:sz w:val="24"/>
          <w:szCs w:val="24"/>
        </w:rPr>
        <w:t>Council, understood these dangers. Despite this awareness, neither Mayor heeded</w:t>
      </w:r>
      <w:r>
        <w:rPr>
          <w:rFonts w:ascii="Times New Roman" w:hAnsi="Times New Roman"/>
          <w:sz w:val="24"/>
          <w:szCs w:val="24"/>
        </w:rPr>
        <w:t xml:space="preserve"> </w:t>
      </w:r>
      <w:r w:rsidRPr="00C8181A">
        <w:rPr>
          <w:rFonts w:ascii="Times New Roman" w:hAnsi="Times New Roman"/>
          <w:sz w:val="24"/>
          <w:szCs w:val="24"/>
        </w:rPr>
        <w:t>these concerns. Such inaction supports Plaintiffs’ allegations. Accordingly, the court finds that Plaintiffs allege sufficient facts against the City</w:t>
      </w:r>
      <w:r>
        <w:rPr>
          <w:rFonts w:ascii="Times New Roman" w:hAnsi="Times New Roman"/>
          <w:sz w:val="24"/>
          <w:szCs w:val="24"/>
        </w:rPr>
        <w:t xml:space="preserve"> </w:t>
      </w:r>
      <w:r w:rsidRPr="00C8181A">
        <w:rPr>
          <w:rFonts w:ascii="Times New Roman" w:hAnsi="Times New Roman"/>
          <w:sz w:val="24"/>
          <w:szCs w:val="24"/>
        </w:rPr>
        <w:t>for maintaining policies, practices or customs.</w:t>
      </w:r>
      <w:r>
        <w:rPr>
          <w:rFonts w:ascii="Times New Roman" w:hAnsi="Times New Roman"/>
          <w:sz w:val="24"/>
          <w:szCs w:val="24"/>
        </w:rPr>
        <w:t>”</w:t>
      </w:r>
    </w:p>
    <w:p w14:paraId="2222B6BB" w14:textId="77777777" w:rsidR="00853142" w:rsidRDefault="00853142" w:rsidP="00853142">
      <w:pPr>
        <w:pStyle w:val="NoSpacing"/>
        <w:rPr>
          <w:rFonts w:ascii="Times New Roman" w:hAnsi="Times New Roman"/>
          <w:b/>
          <w:bCs/>
          <w:sz w:val="24"/>
          <w:szCs w:val="24"/>
        </w:rPr>
      </w:pPr>
      <w:r w:rsidRPr="00250FC7">
        <w:rPr>
          <w:rFonts w:ascii="Times New Roman" w:hAnsi="Times New Roman"/>
          <w:b/>
          <w:bCs/>
          <w:sz w:val="24"/>
          <w:szCs w:val="24"/>
        </w:rPr>
        <w:t>Legal Lessons Learned:</w:t>
      </w:r>
      <w:r>
        <w:rPr>
          <w:rFonts w:ascii="Times New Roman" w:hAnsi="Times New Roman"/>
          <w:b/>
          <w:bCs/>
          <w:sz w:val="24"/>
          <w:szCs w:val="24"/>
        </w:rPr>
        <w:t xml:space="preserve"> A tragic loss of life; “rolling brownouts” of fire stations or apparatus continue to be a very controversial issue.  </w:t>
      </w:r>
    </w:p>
    <w:p w14:paraId="28C8DDC8" w14:textId="6546B36C" w:rsidR="00853142" w:rsidRPr="00015208" w:rsidRDefault="00853142" w:rsidP="00015208">
      <w:pPr>
        <w:pStyle w:val="NoSpacing"/>
        <w:ind w:left="720"/>
        <w:rPr>
          <w:rFonts w:ascii="Times New Roman" w:hAnsi="Times New Roman"/>
          <w:sz w:val="24"/>
          <w:szCs w:val="24"/>
        </w:rPr>
      </w:pPr>
      <w:r w:rsidRPr="00015208">
        <w:rPr>
          <w:rFonts w:ascii="Times New Roman" w:hAnsi="Times New Roman"/>
          <w:sz w:val="24"/>
          <w:szCs w:val="24"/>
        </w:rPr>
        <w:t xml:space="preserve">See NIOSH Fire Fighter Fatality Investigation report F2016-18 (November 9, 2018): </w:t>
      </w:r>
      <w:hyperlink r:id="rId584" w:history="1">
        <w:r w:rsidR="00015208" w:rsidRPr="00915280">
          <w:rPr>
            <w:rStyle w:val="Hyperlink"/>
            <w:rFonts w:ascii="Times New Roman" w:hAnsi="Times New Roman"/>
            <w:sz w:val="24"/>
            <w:szCs w:val="24"/>
          </w:rPr>
          <w:t>https://www.cdc.gov/niosh/fire/pdfs/face201618.pdf</w:t>
        </w:r>
      </w:hyperlink>
      <w:r w:rsidRPr="00015208">
        <w:rPr>
          <w:rFonts w:ascii="Times New Roman" w:hAnsi="Times New Roman"/>
          <w:sz w:val="24"/>
          <w:szCs w:val="24"/>
        </w:rPr>
        <w:t xml:space="preserve"> </w:t>
      </w:r>
    </w:p>
    <w:p w14:paraId="3CF0FDD3" w14:textId="77777777" w:rsidR="00853142" w:rsidRDefault="00853142" w:rsidP="00853142">
      <w:pPr>
        <w:pStyle w:val="NoSpacing"/>
        <w:rPr>
          <w:rFonts w:ascii="Times New Roman" w:hAnsi="Times New Roman"/>
          <w:sz w:val="24"/>
          <w:szCs w:val="24"/>
        </w:rPr>
      </w:pPr>
    </w:p>
    <w:p w14:paraId="04465C07" w14:textId="77777777" w:rsidR="00853142" w:rsidRPr="00015208" w:rsidRDefault="00853142" w:rsidP="00015208">
      <w:pPr>
        <w:pStyle w:val="NoSpacing"/>
        <w:ind w:left="1440"/>
        <w:rPr>
          <w:rFonts w:ascii="Times New Roman" w:hAnsi="Times New Roman"/>
          <w:sz w:val="24"/>
          <w:szCs w:val="24"/>
        </w:rPr>
      </w:pPr>
      <w:r w:rsidRPr="00015208">
        <w:rPr>
          <w:rFonts w:ascii="Times New Roman" w:hAnsi="Times New Roman"/>
          <w:sz w:val="24"/>
          <w:szCs w:val="24"/>
        </w:rPr>
        <w:t xml:space="preserve">“Ladder 2 was 1st due at this residential structure fire. Note: The 1st due engine (Engine 6) was out of service due to budget constraints affecting overtime and daily staffing of companies. The fire department </w:t>
      </w:r>
      <w:proofErr w:type="gramStart"/>
      <w:r w:rsidRPr="00015208">
        <w:rPr>
          <w:rFonts w:ascii="Times New Roman" w:hAnsi="Times New Roman"/>
          <w:sz w:val="24"/>
          <w:szCs w:val="24"/>
        </w:rPr>
        <w:t>has to</w:t>
      </w:r>
      <w:proofErr w:type="gramEnd"/>
      <w:r w:rsidRPr="00015208">
        <w:rPr>
          <w:rFonts w:ascii="Times New Roman" w:hAnsi="Times New Roman"/>
          <w:sz w:val="24"/>
          <w:szCs w:val="24"/>
        </w:rPr>
        <w:t xml:space="preserve"> detail fire fighters throughout the city to maintain minimum staffing on a prescribed number of engine companies and ladder companies (e.g., ‘rolling brown outs’). Engine 6 was housed with Ladder 2. The impact of Engine 6 being out of service is unknown.” [Page 25.]</w:t>
      </w:r>
    </w:p>
    <w:p w14:paraId="1A4519E4" w14:textId="77777777" w:rsidR="00853142" w:rsidRPr="00015208" w:rsidRDefault="00853142" w:rsidP="00853142">
      <w:pPr>
        <w:pStyle w:val="NoSpacing"/>
        <w:rPr>
          <w:rFonts w:ascii="Times New Roman" w:hAnsi="Times New Roman"/>
          <w:sz w:val="24"/>
          <w:szCs w:val="24"/>
        </w:rPr>
      </w:pPr>
    </w:p>
    <w:p w14:paraId="67FEECC8" w14:textId="77777777" w:rsidR="00853142" w:rsidRPr="00015208" w:rsidRDefault="00853142" w:rsidP="00015208">
      <w:pPr>
        <w:pStyle w:val="NoSpacing"/>
        <w:ind w:left="720"/>
        <w:rPr>
          <w:rFonts w:ascii="Times New Roman" w:hAnsi="Times New Roman"/>
          <w:sz w:val="24"/>
          <w:szCs w:val="24"/>
        </w:rPr>
      </w:pPr>
      <w:r w:rsidRPr="00015208">
        <w:rPr>
          <w:rFonts w:ascii="Times New Roman" w:hAnsi="Times New Roman"/>
          <w:sz w:val="24"/>
          <w:szCs w:val="24"/>
        </w:rPr>
        <w:t xml:space="preserve">See also: Philadelphia Fire Department Needs to Reconsider Its Brownout and Rotation Policies (Feb. 11, 2016): </w:t>
      </w:r>
      <w:hyperlink r:id="rId585" w:history="1">
        <w:r w:rsidRPr="00015208">
          <w:rPr>
            <w:rStyle w:val="Hyperlink"/>
            <w:rFonts w:ascii="Times New Roman" w:hAnsi="Times New Roman"/>
            <w:sz w:val="24"/>
            <w:szCs w:val="24"/>
          </w:rPr>
          <w:t>https://controller.phila.gov/philadelphia-audits/philadelphia-fire-department-department-needs-to-reconsider-its-brownout-rotation-policies/</w:t>
        </w:r>
      </w:hyperlink>
      <w:r w:rsidRPr="00015208">
        <w:rPr>
          <w:rFonts w:ascii="Times New Roman" w:hAnsi="Times New Roman"/>
          <w:sz w:val="24"/>
          <w:szCs w:val="24"/>
        </w:rPr>
        <w:t xml:space="preserve">  </w:t>
      </w:r>
    </w:p>
    <w:p w14:paraId="39CEB443" w14:textId="77777777" w:rsidR="00853142" w:rsidRDefault="00853142" w:rsidP="00853142">
      <w:pPr>
        <w:pStyle w:val="NoSpacing"/>
        <w:rPr>
          <w:rFonts w:ascii="Times New Roman" w:hAnsi="Times New Roman"/>
          <w:sz w:val="24"/>
          <w:szCs w:val="24"/>
        </w:rPr>
      </w:pPr>
    </w:p>
    <w:p w14:paraId="71365E56" w14:textId="77777777" w:rsidR="00965872" w:rsidRDefault="00965872" w:rsidP="00EF1133">
      <w:pPr>
        <w:pStyle w:val="NoSpacing"/>
        <w:rPr>
          <w:rFonts w:ascii="Arial Black" w:hAnsi="Arial Black"/>
          <w:sz w:val="24"/>
          <w:szCs w:val="24"/>
        </w:rPr>
      </w:pPr>
    </w:p>
    <w:p w14:paraId="71C94921" w14:textId="77777777" w:rsidR="00965872" w:rsidRDefault="00965872" w:rsidP="00EF1133">
      <w:pPr>
        <w:pStyle w:val="NoSpacing"/>
        <w:rPr>
          <w:rFonts w:ascii="Arial Black" w:hAnsi="Arial Black"/>
          <w:sz w:val="24"/>
          <w:szCs w:val="24"/>
        </w:rPr>
      </w:pPr>
    </w:p>
    <w:p w14:paraId="2A78A715" w14:textId="4DCDF8A9" w:rsidR="00EF1133" w:rsidRDefault="00EF1133" w:rsidP="00EF1133">
      <w:pPr>
        <w:pStyle w:val="NoSpacing"/>
        <w:rPr>
          <w:rFonts w:ascii="Arial Black" w:hAnsi="Arial Black"/>
          <w:sz w:val="24"/>
          <w:szCs w:val="24"/>
        </w:rPr>
      </w:pPr>
      <w:r w:rsidRPr="00791CA3">
        <w:rPr>
          <w:rFonts w:ascii="Arial Black" w:hAnsi="Arial Black"/>
          <w:sz w:val="24"/>
          <w:szCs w:val="24"/>
        </w:rPr>
        <w:t>2-1</w:t>
      </w:r>
      <w:r w:rsidR="00D07E6E">
        <w:rPr>
          <w:rFonts w:ascii="Arial Black" w:hAnsi="Arial Black"/>
          <w:sz w:val="24"/>
          <w:szCs w:val="24"/>
        </w:rPr>
        <w:t>8</w:t>
      </w:r>
    </w:p>
    <w:p w14:paraId="29130E65" w14:textId="77777777" w:rsidR="00D07E6E" w:rsidRDefault="00D07E6E" w:rsidP="00EF1133">
      <w:pPr>
        <w:pStyle w:val="NoSpacing"/>
        <w:rPr>
          <w:rFonts w:ascii="Arial Black" w:hAnsi="Arial Black"/>
          <w:sz w:val="24"/>
          <w:szCs w:val="24"/>
        </w:rPr>
      </w:pPr>
    </w:p>
    <w:p w14:paraId="3FB90683" w14:textId="3A47A75C" w:rsidR="002B1283" w:rsidRDefault="002B1283" w:rsidP="002B1283">
      <w:pPr>
        <w:rPr>
          <w:rFonts w:ascii="Arial Black" w:hAnsi="Arial Black"/>
          <w:sz w:val="28"/>
          <w:szCs w:val="28"/>
        </w:rPr>
      </w:pPr>
      <w:r>
        <w:rPr>
          <w:rFonts w:ascii="Arial Black" w:hAnsi="Arial Black"/>
          <w:sz w:val="28"/>
          <w:szCs w:val="28"/>
        </w:rPr>
        <w:t xml:space="preserve">KY:  VOL. FF INJURED LEG &amp; KNEE ON ICE – WORKERS COMP. FOR  MEDICAL, BUT NO WAGE LOSS – FF IS SELF-EMPLOYED </w:t>
      </w:r>
    </w:p>
    <w:p w14:paraId="383BB32C" w14:textId="77777777" w:rsidR="002B1283" w:rsidRDefault="002B1283" w:rsidP="002B1283">
      <w:pPr>
        <w:pStyle w:val="NoSpacing"/>
        <w:rPr>
          <w:rFonts w:ascii="OnTimes New Roman" w:hAnsi="OnTimes New Roman"/>
          <w:sz w:val="24"/>
          <w:szCs w:val="24"/>
        </w:rPr>
      </w:pPr>
      <w:r>
        <w:rPr>
          <w:rFonts w:ascii="OnTimes New Roman" w:hAnsi="OnTimes New Roman"/>
          <w:sz w:val="24"/>
          <w:szCs w:val="24"/>
        </w:rPr>
        <w:t xml:space="preserve">On July 12, 2019, in </w:t>
      </w:r>
      <w:r w:rsidRPr="00056819">
        <w:rPr>
          <w:rFonts w:ascii="OnTimes New Roman" w:hAnsi="OnTimes New Roman"/>
          <w:sz w:val="24"/>
          <w:szCs w:val="24"/>
          <w:u w:val="single"/>
        </w:rPr>
        <w:t>Ken Lashley v. Kentucky Volunteer Fire Department, et al</w:t>
      </w:r>
      <w:r>
        <w:rPr>
          <w:rFonts w:ascii="OnTimes New Roman" w:hAnsi="OnTimes New Roman"/>
          <w:sz w:val="24"/>
          <w:szCs w:val="24"/>
        </w:rPr>
        <w:t xml:space="preserve">., the Kentucky Court of Appeals held (3 to 0; unpublished opinion) that the Administrative Law Judge correctly determined that the firefighter </w:t>
      </w:r>
    </w:p>
    <w:p w14:paraId="655561D2" w14:textId="77777777" w:rsidR="002B1283" w:rsidRDefault="002B1283" w:rsidP="002B1283">
      <w:pPr>
        <w:pStyle w:val="NoSpacing"/>
        <w:rPr>
          <w:rFonts w:ascii="OnTimes New Roman" w:hAnsi="OnTimes New Roman"/>
          <w:sz w:val="24"/>
          <w:szCs w:val="24"/>
        </w:rPr>
      </w:pPr>
      <w:r>
        <w:rPr>
          <w:rFonts w:ascii="OnTimes New Roman" w:hAnsi="OnTimes New Roman"/>
          <w:sz w:val="24"/>
          <w:szCs w:val="24"/>
        </w:rPr>
        <w:t xml:space="preserve">is not entitled to any wage loss reimbursement since he owns his own business and is self-employed without wages.  </w:t>
      </w:r>
    </w:p>
    <w:p w14:paraId="17969008" w14:textId="77777777" w:rsidR="002B1283" w:rsidRDefault="002B1283" w:rsidP="002B1283">
      <w:pPr>
        <w:pStyle w:val="NoSpacing"/>
        <w:rPr>
          <w:rFonts w:ascii="OnTimes New Roman" w:hAnsi="OnTimes New Roman"/>
          <w:sz w:val="24"/>
          <w:szCs w:val="24"/>
        </w:rPr>
      </w:pPr>
    </w:p>
    <w:p w14:paraId="0620351D" w14:textId="77777777" w:rsidR="002B1283"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056819">
        <w:rPr>
          <w:rFonts w:ascii="Times New Roman" w:hAnsi="Times New Roman"/>
          <w:sz w:val="24"/>
          <w:szCs w:val="24"/>
        </w:rPr>
        <w:t xml:space="preserve">As a volunteer firefighter, his average weekly wage is based on his other </w:t>
      </w:r>
      <w:r>
        <w:rPr>
          <w:rFonts w:ascii="Times New Roman" w:hAnsi="Times New Roman"/>
          <w:sz w:val="24"/>
          <w:szCs w:val="24"/>
        </w:rPr>
        <w:t>‘</w:t>
      </w:r>
      <w:r w:rsidRPr="00056819">
        <w:rPr>
          <w:rFonts w:ascii="Times New Roman" w:hAnsi="Times New Roman"/>
          <w:sz w:val="24"/>
          <w:szCs w:val="24"/>
        </w:rPr>
        <w:t>regular employment.</w:t>
      </w:r>
      <w:r>
        <w:rPr>
          <w:rFonts w:ascii="Times New Roman" w:hAnsi="Times New Roman"/>
          <w:sz w:val="24"/>
          <w:szCs w:val="24"/>
        </w:rPr>
        <w:t xml:space="preserve">’ </w:t>
      </w:r>
      <w:r w:rsidRPr="00056819">
        <w:rPr>
          <w:rFonts w:ascii="Times New Roman" w:hAnsi="Times New Roman"/>
          <w:sz w:val="24"/>
          <w:szCs w:val="24"/>
        </w:rPr>
        <w:t>KRS 342.140(3). In this case, Appellant is self-employed</w:t>
      </w:r>
      <w:r>
        <w:rPr>
          <w:rFonts w:ascii="Times New Roman" w:hAnsi="Times New Roman"/>
          <w:sz w:val="24"/>
          <w:szCs w:val="24"/>
        </w:rPr>
        <w:t>….</w:t>
      </w:r>
      <w:r w:rsidRPr="00056819">
        <w:rPr>
          <w:rFonts w:ascii="Times New Roman" w:hAnsi="Times New Roman"/>
          <w:sz w:val="24"/>
          <w:szCs w:val="24"/>
        </w:rPr>
        <w:t xml:space="preserve"> The ALJ held that because Appellant owned his own business, he did not have wages from regular employment. In other words, Appellant could not claim money earned as the owner of the business as wages for the purpose of calculating his average weekly wage.” </w:t>
      </w:r>
    </w:p>
    <w:p w14:paraId="1CA24179" w14:textId="77777777" w:rsidR="002B1283" w:rsidRDefault="002B1283" w:rsidP="002B1283">
      <w:pPr>
        <w:pStyle w:val="NoSpacing"/>
        <w:ind w:left="720"/>
        <w:rPr>
          <w:rFonts w:ascii="Times New Roman" w:hAnsi="Times New Roman"/>
          <w:sz w:val="24"/>
          <w:szCs w:val="24"/>
        </w:rPr>
      </w:pPr>
      <w:hyperlink r:id="rId586" w:history="1">
        <w:r w:rsidRPr="00455844">
          <w:rPr>
            <w:rStyle w:val="Hyperlink"/>
            <w:rFonts w:ascii="Times New Roman" w:hAnsi="Times New Roman"/>
            <w:sz w:val="24"/>
            <w:szCs w:val="24"/>
          </w:rPr>
          <w:t>https://cases.justia.com/kentucky/court-of-appeals/2019-2019-ca-000504-wc.pdf?ts=1562940239</w:t>
        </w:r>
      </w:hyperlink>
      <w:r>
        <w:rPr>
          <w:rFonts w:ascii="Times New Roman" w:hAnsi="Times New Roman"/>
          <w:sz w:val="24"/>
          <w:szCs w:val="24"/>
        </w:rPr>
        <w:t xml:space="preserve"> </w:t>
      </w:r>
    </w:p>
    <w:p w14:paraId="17B691AE" w14:textId="77777777" w:rsidR="002B1283" w:rsidRDefault="002B1283" w:rsidP="002B1283">
      <w:pPr>
        <w:pStyle w:val="NoSpacing"/>
        <w:rPr>
          <w:rFonts w:ascii="OnTimes New Roman" w:hAnsi="OnTimes New Roman"/>
          <w:sz w:val="24"/>
          <w:szCs w:val="24"/>
        </w:rPr>
      </w:pPr>
      <w:r>
        <w:rPr>
          <w:rFonts w:ascii="OnTimes New Roman" w:hAnsi="OnTimes New Roman"/>
          <w:sz w:val="24"/>
          <w:szCs w:val="24"/>
        </w:rPr>
        <w:t xml:space="preserve"> </w:t>
      </w:r>
    </w:p>
    <w:p w14:paraId="325265C1" w14:textId="77777777" w:rsidR="002B1283" w:rsidRDefault="002B1283" w:rsidP="002B1283">
      <w:pPr>
        <w:pStyle w:val="NoSpacing"/>
        <w:rPr>
          <w:rFonts w:ascii="Times New Roman" w:hAnsi="Times New Roman"/>
          <w:b/>
          <w:bCs/>
          <w:sz w:val="24"/>
          <w:szCs w:val="24"/>
        </w:rPr>
      </w:pPr>
      <w:r w:rsidRPr="00B81377">
        <w:rPr>
          <w:rFonts w:ascii="Times New Roman" w:hAnsi="Times New Roman"/>
          <w:b/>
          <w:bCs/>
          <w:sz w:val="24"/>
          <w:szCs w:val="24"/>
        </w:rPr>
        <w:t xml:space="preserve">Legal Lesson Learned: </w:t>
      </w:r>
      <w:r>
        <w:rPr>
          <w:rFonts w:ascii="Times New Roman" w:hAnsi="Times New Roman"/>
          <w:b/>
          <w:bCs/>
          <w:sz w:val="24"/>
          <w:szCs w:val="24"/>
        </w:rPr>
        <w:t xml:space="preserve"> Kentucky statute, like many states, will award volunteer firefighters their loss wages based on wages of their “regular employment.” This self-employed firefighter will have his medical expenses covered.  </w:t>
      </w:r>
    </w:p>
    <w:p w14:paraId="1E16657F" w14:textId="77777777" w:rsidR="002B1283" w:rsidRDefault="002B1283" w:rsidP="002B1283">
      <w:pPr>
        <w:pStyle w:val="NoSpacing"/>
        <w:rPr>
          <w:rFonts w:ascii="Times New Roman" w:hAnsi="Times New Roman"/>
          <w:b/>
          <w:bCs/>
          <w:sz w:val="24"/>
          <w:szCs w:val="24"/>
        </w:rPr>
      </w:pPr>
    </w:p>
    <w:p w14:paraId="5C407E72" w14:textId="77777777" w:rsidR="002B1283" w:rsidRPr="00965872" w:rsidRDefault="002B1283" w:rsidP="00965872">
      <w:pPr>
        <w:pStyle w:val="NoSpacing"/>
        <w:rPr>
          <w:rFonts w:ascii="Times New Roman" w:hAnsi="Times New Roman"/>
          <w:sz w:val="24"/>
          <w:szCs w:val="24"/>
        </w:rPr>
      </w:pPr>
      <w:r w:rsidRPr="00965872">
        <w:rPr>
          <w:rFonts w:ascii="Times New Roman" w:hAnsi="Times New Roman"/>
          <w:sz w:val="24"/>
          <w:szCs w:val="24"/>
        </w:rPr>
        <w:t xml:space="preserve">The Administrative Law Judge awarded “temporary total disability (‘TTD’) based upon the state minimum benefit in effect for the date of injury, medical benefits, and placed the claim in abeyance until Lashley reaches maximum medical improvement (“MMI”).  The ALJ noted Lashley has not yet reached MMI.”  </w:t>
      </w:r>
      <w:hyperlink r:id="rId587" w:history="1">
        <w:r w:rsidRPr="00965872">
          <w:rPr>
            <w:rStyle w:val="Hyperlink"/>
            <w:rFonts w:ascii="Times New Roman" w:hAnsi="Times New Roman"/>
            <w:sz w:val="24"/>
            <w:szCs w:val="24"/>
          </w:rPr>
          <w:t>https://comped.net/opinions_recentdisp.php?ID=7270</w:t>
        </w:r>
      </w:hyperlink>
      <w:r w:rsidRPr="00965872">
        <w:rPr>
          <w:rFonts w:ascii="Times New Roman" w:hAnsi="Times New Roman"/>
          <w:sz w:val="24"/>
          <w:szCs w:val="24"/>
        </w:rPr>
        <w:t xml:space="preserve"> </w:t>
      </w:r>
    </w:p>
    <w:p w14:paraId="504E78D9" w14:textId="77777777" w:rsidR="002B1283" w:rsidRPr="00965872" w:rsidRDefault="002B1283" w:rsidP="002B1283">
      <w:pPr>
        <w:pStyle w:val="NoSpacing"/>
        <w:rPr>
          <w:rFonts w:ascii="Times New Roman" w:hAnsi="Times New Roman"/>
          <w:b/>
          <w:bCs/>
          <w:sz w:val="24"/>
          <w:szCs w:val="24"/>
        </w:rPr>
      </w:pPr>
    </w:p>
    <w:p w14:paraId="06E00225" w14:textId="77777777" w:rsidR="005A414F" w:rsidRDefault="005A414F" w:rsidP="002B1283">
      <w:pPr>
        <w:pStyle w:val="NoSpacing"/>
        <w:rPr>
          <w:rFonts w:ascii="Arial Black" w:hAnsi="Arial Black"/>
          <w:sz w:val="24"/>
          <w:szCs w:val="24"/>
        </w:rPr>
      </w:pPr>
    </w:p>
    <w:p w14:paraId="6AA82951" w14:textId="77777777" w:rsidR="005A414F" w:rsidRDefault="005A414F" w:rsidP="002B1283">
      <w:pPr>
        <w:pStyle w:val="NoSpacing"/>
        <w:rPr>
          <w:rFonts w:ascii="Arial Black" w:hAnsi="Arial Black"/>
          <w:sz w:val="24"/>
          <w:szCs w:val="24"/>
        </w:rPr>
      </w:pPr>
    </w:p>
    <w:p w14:paraId="3D5398EE" w14:textId="31D5CA64" w:rsidR="002B1283" w:rsidRDefault="00EF1133" w:rsidP="002B1283">
      <w:pPr>
        <w:pStyle w:val="NoSpacing"/>
        <w:rPr>
          <w:rFonts w:ascii="MIArial Black" w:hAnsi="MIArial Black"/>
          <w:b/>
          <w:bCs/>
          <w:sz w:val="28"/>
          <w:szCs w:val="28"/>
        </w:rPr>
      </w:pPr>
      <w:r w:rsidRPr="00791CA3">
        <w:rPr>
          <w:rFonts w:ascii="Arial Black" w:hAnsi="Arial Black"/>
          <w:sz w:val="24"/>
          <w:szCs w:val="24"/>
        </w:rPr>
        <w:t>2-1</w:t>
      </w:r>
      <w:r w:rsidR="00D07E6E">
        <w:rPr>
          <w:rFonts w:ascii="Arial Black" w:hAnsi="Arial Black"/>
          <w:sz w:val="24"/>
          <w:szCs w:val="24"/>
        </w:rPr>
        <w:t>7</w:t>
      </w:r>
    </w:p>
    <w:p w14:paraId="28946251" w14:textId="77777777" w:rsidR="005A414F" w:rsidRDefault="005A414F" w:rsidP="002B1283">
      <w:pPr>
        <w:pStyle w:val="NoSpacing"/>
        <w:rPr>
          <w:rFonts w:ascii="MIArial Black" w:hAnsi="MIArial Black"/>
          <w:b/>
          <w:bCs/>
          <w:sz w:val="28"/>
          <w:szCs w:val="28"/>
        </w:rPr>
      </w:pPr>
    </w:p>
    <w:p w14:paraId="41AE04B9" w14:textId="16788509" w:rsidR="002B1283" w:rsidRPr="00965872" w:rsidRDefault="002B1283" w:rsidP="002B1283">
      <w:pPr>
        <w:pStyle w:val="NoSpacing"/>
        <w:rPr>
          <w:rFonts w:ascii="Arial Black" w:hAnsi="Arial Black"/>
          <w:b/>
          <w:bCs/>
          <w:sz w:val="28"/>
          <w:szCs w:val="28"/>
        </w:rPr>
      </w:pPr>
      <w:r w:rsidRPr="00965872">
        <w:rPr>
          <w:rFonts w:ascii="Arial Black" w:hAnsi="Arial Black"/>
          <w:b/>
          <w:bCs/>
          <w:sz w:val="28"/>
          <w:szCs w:val="28"/>
        </w:rPr>
        <w:t>MI: RESTAURANT OPERATORS CLAIM THAT “ORIGIN &amp; CAUSE” RPT.  CHANGED TO “INCENDARY” TO DEFLECT ATTENTION FD DEFICIENCIES - LODD / $3,500 OSHA FINE</w:t>
      </w:r>
    </w:p>
    <w:p w14:paraId="4BF81774" w14:textId="77777777" w:rsidR="002B1283" w:rsidRPr="00965872" w:rsidRDefault="002B1283" w:rsidP="002B1283">
      <w:pPr>
        <w:pStyle w:val="NoSpacing"/>
        <w:rPr>
          <w:rFonts w:ascii="Arial Black" w:hAnsi="Arial Black"/>
          <w:b/>
          <w:bCs/>
          <w:sz w:val="28"/>
          <w:szCs w:val="28"/>
        </w:rPr>
      </w:pPr>
    </w:p>
    <w:p w14:paraId="07A8ACB6" w14:textId="77777777" w:rsidR="002B1283" w:rsidRDefault="002B1283" w:rsidP="002B1283">
      <w:pPr>
        <w:pStyle w:val="NoSpacing"/>
      </w:pPr>
      <w:r>
        <w:rPr>
          <w:rFonts w:ascii="On Times New Roman" w:hAnsi="On Times New Roman"/>
          <w:sz w:val="24"/>
          <w:szCs w:val="24"/>
        </w:rPr>
        <w:t xml:space="preserve">On July 10, 2019, in </w:t>
      </w:r>
      <w:r w:rsidRPr="005C2640">
        <w:rPr>
          <w:rFonts w:ascii="On Times New Roman" w:hAnsi="On Times New Roman"/>
          <w:sz w:val="24"/>
          <w:szCs w:val="24"/>
          <w:u w:val="single"/>
        </w:rPr>
        <w:t xml:space="preserve">George </w:t>
      </w:r>
      <w:proofErr w:type="spellStart"/>
      <w:r w:rsidRPr="005C2640">
        <w:rPr>
          <w:rFonts w:ascii="On Times New Roman" w:hAnsi="On Times New Roman"/>
          <w:sz w:val="24"/>
          <w:szCs w:val="24"/>
          <w:u w:val="single"/>
        </w:rPr>
        <w:t>Marvaso</w:t>
      </w:r>
      <w:proofErr w:type="spellEnd"/>
      <w:r>
        <w:rPr>
          <w:rFonts w:ascii="On Times New Roman" w:hAnsi="On Times New Roman"/>
          <w:sz w:val="24"/>
          <w:szCs w:val="24"/>
          <w:u w:val="single"/>
        </w:rPr>
        <w:t xml:space="preserve"> et al. v. John Adams et </w:t>
      </w:r>
      <w:r w:rsidRPr="00BA5B0D">
        <w:rPr>
          <w:rFonts w:ascii="On Times New Roman" w:hAnsi="On Times New Roman"/>
          <w:sz w:val="24"/>
          <w:szCs w:val="24"/>
        </w:rPr>
        <w:t>al</w:t>
      </w:r>
      <w:r>
        <w:rPr>
          <w:rFonts w:ascii="On Times New Roman" w:hAnsi="On Times New Roman"/>
          <w:sz w:val="24"/>
          <w:szCs w:val="24"/>
        </w:rPr>
        <w:t xml:space="preserve">., </w:t>
      </w:r>
      <w:r w:rsidRPr="00BA5B0D">
        <w:rPr>
          <w:rFonts w:ascii="On Times New Roman" w:hAnsi="On Times New Roman"/>
          <w:sz w:val="24"/>
          <w:szCs w:val="24"/>
        </w:rPr>
        <w:t>U</w:t>
      </w:r>
      <w:r w:rsidRPr="001C27EB">
        <w:rPr>
          <w:rFonts w:ascii="On Times New Roman" w:hAnsi="On Times New Roman"/>
          <w:sz w:val="24"/>
          <w:szCs w:val="24"/>
        </w:rPr>
        <w:t>.S. District Court Judge</w:t>
      </w:r>
      <w:r>
        <w:rPr>
          <w:rFonts w:ascii="On Times New Roman" w:hAnsi="On Times New Roman"/>
          <w:sz w:val="24"/>
          <w:szCs w:val="24"/>
        </w:rPr>
        <w:t xml:space="preserve"> Linda V. Parker denied the defense motion to dismiss by the Fire Marshal, the Fire Chief, and his father, the former Fire Chief, holding the “</w:t>
      </w:r>
      <w:r w:rsidRPr="001C27EB">
        <w:rPr>
          <w:rFonts w:ascii="Times New Roman" w:hAnsi="Times New Roman"/>
          <w:sz w:val="24"/>
          <w:szCs w:val="24"/>
        </w:rPr>
        <w:t>Court concludes that Plaintiffs plead sufficient facts to support their §1983 claim against Defendants and that Defendants are not entitled to qualified immunity.</w:t>
      </w:r>
      <w:r>
        <w:rPr>
          <w:rFonts w:ascii="Times New Roman" w:hAnsi="Times New Roman"/>
          <w:sz w:val="24"/>
          <w:szCs w:val="24"/>
        </w:rPr>
        <w:t xml:space="preserve">” </w:t>
      </w:r>
      <w:hyperlink r:id="rId588" w:history="1">
        <w:r w:rsidRPr="003454A7">
          <w:rPr>
            <w:rStyle w:val="Hyperlink"/>
          </w:rPr>
          <w:t>http://41af3k34gprx4f6bg12df75i.wpengine.netdna-cdn.com/wp-content/uploads/sites/19/2019/07/Marvaso-v.-Adams_-2019-U.S.-Dist.-LEXIS-114276.pdf</w:t>
        </w:r>
      </w:hyperlink>
      <w:r>
        <w:t xml:space="preserve"> </w:t>
      </w:r>
    </w:p>
    <w:p w14:paraId="6CF68759" w14:textId="77777777" w:rsidR="002B1283" w:rsidRDefault="002B1283" w:rsidP="002B1283">
      <w:pPr>
        <w:pStyle w:val="NoSpacing"/>
      </w:pPr>
    </w:p>
    <w:p w14:paraId="4CCC586A" w14:textId="77777777" w:rsidR="002B1283" w:rsidRDefault="002B1283" w:rsidP="002B1283">
      <w:pPr>
        <w:pStyle w:val="NoSpacing"/>
        <w:rPr>
          <w:rFonts w:ascii="Times New Roman" w:hAnsi="Times New Roman"/>
          <w:b/>
          <w:bCs/>
          <w:sz w:val="24"/>
          <w:szCs w:val="24"/>
        </w:rPr>
      </w:pPr>
      <w:r w:rsidRPr="00B14CDE">
        <w:rPr>
          <w:rFonts w:ascii="Times New Roman" w:hAnsi="Times New Roman"/>
          <w:b/>
          <w:bCs/>
          <w:sz w:val="24"/>
          <w:szCs w:val="24"/>
        </w:rPr>
        <w:t>Legal Lessons Learned:</w:t>
      </w:r>
      <w:r>
        <w:rPr>
          <w:rFonts w:ascii="Times New Roman" w:hAnsi="Times New Roman"/>
          <w:b/>
          <w:bCs/>
          <w:sz w:val="24"/>
          <w:szCs w:val="24"/>
        </w:rPr>
        <w:t xml:space="preserve">  This lawsuit may now proceed to pre-trial discovery.  </w:t>
      </w:r>
    </w:p>
    <w:p w14:paraId="5668AB21" w14:textId="77777777" w:rsidR="002B1283" w:rsidRDefault="002B1283" w:rsidP="002B1283">
      <w:pPr>
        <w:pStyle w:val="NoSpacing"/>
        <w:rPr>
          <w:rFonts w:ascii="Times New Roman" w:hAnsi="Times New Roman"/>
          <w:b/>
          <w:bCs/>
          <w:sz w:val="24"/>
          <w:szCs w:val="24"/>
        </w:rPr>
      </w:pPr>
    </w:p>
    <w:p w14:paraId="0879FBEA" w14:textId="77777777" w:rsidR="002B1283" w:rsidRPr="00B14CDE" w:rsidRDefault="002B1283" w:rsidP="002B1283">
      <w:pPr>
        <w:pStyle w:val="NoSpacing"/>
        <w:ind w:left="720"/>
        <w:rPr>
          <w:b/>
          <w:bCs/>
          <w:sz w:val="24"/>
          <w:szCs w:val="24"/>
        </w:rPr>
      </w:pPr>
      <w:r>
        <w:rPr>
          <w:rFonts w:ascii="Times New Roman" w:hAnsi="Times New Roman"/>
          <w:sz w:val="24"/>
          <w:szCs w:val="24"/>
        </w:rPr>
        <w:t xml:space="preserve">Read </w:t>
      </w:r>
      <w:r w:rsidRPr="00B14CDE">
        <w:rPr>
          <w:rFonts w:ascii="Times New Roman" w:hAnsi="Times New Roman"/>
          <w:sz w:val="24"/>
          <w:szCs w:val="24"/>
        </w:rPr>
        <w:t>NIOSH Firefighter Fatality Report</w:t>
      </w:r>
      <w:r>
        <w:rPr>
          <w:rFonts w:ascii="Times New Roman" w:hAnsi="Times New Roman"/>
          <w:sz w:val="24"/>
          <w:szCs w:val="24"/>
        </w:rPr>
        <w:t xml:space="preserve"> </w:t>
      </w:r>
      <w:r w:rsidRPr="00B14CDE">
        <w:rPr>
          <w:rFonts w:ascii="Times New Roman" w:hAnsi="Times New Roman"/>
          <w:sz w:val="24"/>
          <w:szCs w:val="24"/>
        </w:rPr>
        <w:t>F2013-14: “Career Probationary Fire Fighter Runs Out of Air and Dies in Commercial Structure Fire—Michigan</w:t>
      </w:r>
      <w:r>
        <w:rPr>
          <w:rFonts w:ascii="Times New Roman" w:hAnsi="Times New Roman"/>
          <w:sz w:val="24"/>
          <w:szCs w:val="24"/>
        </w:rPr>
        <w:t>.</w:t>
      </w:r>
      <w:r w:rsidRPr="00B14CDE">
        <w:rPr>
          <w:rFonts w:ascii="Times New Roman" w:hAnsi="Times New Roman"/>
          <w:sz w:val="24"/>
          <w:szCs w:val="24"/>
        </w:rPr>
        <w:t>”</w:t>
      </w:r>
      <w:r>
        <w:rPr>
          <w:b/>
          <w:bCs/>
          <w:sz w:val="24"/>
          <w:szCs w:val="24"/>
        </w:rPr>
        <w:t xml:space="preserve"> </w:t>
      </w:r>
      <w:hyperlink r:id="rId589" w:history="1">
        <w:r w:rsidRPr="0076015A">
          <w:rPr>
            <w:rStyle w:val="Hyperlink"/>
            <w:b/>
            <w:bCs/>
            <w:sz w:val="24"/>
            <w:szCs w:val="24"/>
          </w:rPr>
          <w:t>https://www.cdc.gov/niosh/fire/pdfs/face201314.pdf</w:t>
        </w:r>
      </w:hyperlink>
      <w:r>
        <w:rPr>
          <w:b/>
          <w:bCs/>
          <w:sz w:val="24"/>
          <w:szCs w:val="24"/>
        </w:rPr>
        <w:t xml:space="preserve"> </w:t>
      </w:r>
    </w:p>
    <w:p w14:paraId="4AC1FB33" w14:textId="77777777" w:rsidR="002B1283" w:rsidRPr="00B14CDE" w:rsidRDefault="002B1283" w:rsidP="002B1283">
      <w:pPr>
        <w:pStyle w:val="NoSpacing"/>
        <w:rPr>
          <w:rFonts w:ascii="Times New Roman" w:hAnsi="Times New Roman"/>
          <w:b/>
          <w:bCs/>
          <w:sz w:val="24"/>
          <w:szCs w:val="24"/>
        </w:rPr>
      </w:pPr>
    </w:p>
    <w:p w14:paraId="0ECEC067" w14:textId="77777777" w:rsidR="002B1283" w:rsidRPr="00BA5B0D" w:rsidRDefault="002B1283" w:rsidP="002B1283">
      <w:pPr>
        <w:pStyle w:val="NoSpacing"/>
        <w:ind w:left="1440"/>
        <w:rPr>
          <w:rFonts w:ascii="Times New Roman" w:hAnsi="Times New Roman"/>
          <w:sz w:val="24"/>
          <w:szCs w:val="24"/>
        </w:rPr>
      </w:pPr>
      <w:r>
        <w:rPr>
          <w:rFonts w:ascii="Times New Roman" w:hAnsi="Times New Roman"/>
          <w:sz w:val="24"/>
          <w:szCs w:val="24"/>
        </w:rPr>
        <w:t>“</w:t>
      </w:r>
      <w:r w:rsidRPr="00BA5B0D">
        <w:rPr>
          <w:rFonts w:ascii="Times New Roman" w:hAnsi="Times New Roman"/>
          <w:sz w:val="24"/>
          <w:szCs w:val="24"/>
        </w:rPr>
        <w:t xml:space="preserve">On May 8, 2013, a 29-year-old male career probationary fire fighter died after running out of air and being trapped by a roof collapse in a commercial strip mall fire. The fire fighter was one of three fire fighters who had stretched a 1½-inch </w:t>
      </w:r>
      <w:proofErr w:type="spellStart"/>
      <w:r w:rsidRPr="00BA5B0D">
        <w:rPr>
          <w:rFonts w:ascii="Times New Roman" w:hAnsi="Times New Roman"/>
          <w:sz w:val="24"/>
          <w:szCs w:val="24"/>
        </w:rPr>
        <w:t>hoseline</w:t>
      </w:r>
      <w:proofErr w:type="spellEnd"/>
      <w:r w:rsidRPr="00BA5B0D">
        <w:rPr>
          <w:rFonts w:ascii="Times New Roman" w:hAnsi="Times New Roman"/>
          <w:sz w:val="24"/>
          <w:szCs w:val="24"/>
        </w:rPr>
        <w:t xml:space="preserve"> from Side A into a commercial strip mall fire. The hose team had stretched deep into the structure under high heat and heavy smoke conditions and was unsuccessful in locating the seat of the fire. The hose team decided to exit the structure. During the exit, the fire fighter became separated from the other two crew members. The incident commander saw the two members of the hose team exit on Side A and called over the radio for the fire fighter. The fire fighter acknowledged the incident commander and gave his location </w:t>
      </w:r>
      <w:proofErr w:type="gramStart"/>
      <w:r w:rsidRPr="00BA5B0D">
        <w:rPr>
          <w:rFonts w:ascii="Times New Roman" w:hAnsi="Times New Roman"/>
          <w:sz w:val="24"/>
          <w:szCs w:val="24"/>
        </w:rPr>
        <w:t>in</w:t>
      </w:r>
      <w:proofErr w:type="gramEnd"/>
      <w:r w:rsidRPr="00BA5B0D">
        <w:rPr>
          <w:rFonts w:ascii="Times New Roman" w:hAnsi="Times New Roman"/>
          <w:sz w:val="24"/>
          <w:szCs w:val="24"/>
        </w:rPr>
        <w:t xml:space="preserve"> the rear of the structure. The fire fighter later gave a radio </w:t>
      </w:r>
      <w:proofErr w:type="gramStart"/>
      <w:r w:rsidRPr="00BA5B0D">
        <w:rPr>
          <w:rFonts w:ascii="Times New Roman" w:hAnsi="Times New Roman"/>
          <w:sz w:val="24"/>
          <w:szCs w:val="24"/>
        </w:rPr>
        <w:t>transmission</w:t>
      </w:r>
      <w:proofErr w:type="gramEnd"/>
      <w:r w:rsidRPr="00BA5B0D">
        <w:rPr>
          <w:rFonts w:ascii="Times New Roman" w:hAnsi="Times New Roman"/>
          <w:sz w:val="24"/>
          <w:szCs w:val="24"/>
        </w:rPr>
        <w:t xml:space="preserve"> that he was out of air. A rapid intervention team was activated but was unable to locate him before a flashover occurred and the roof collapsed. He was later recovered and pronounced dead on the scene.</w:t>
      </w:r>
      <w:r>
        <w:rPr>
          <w:rFonts w:ascii="Times New Roman" w:hAnsi="Times New Roman"/>
          <w:sz w:val="24"/>
          <w:szCs w:val="24"/>
        </w:rPr>
        <w:t>”</w:t>
      </w:r>
    </w:p>
    <w:p w14:paraId="2CB7DFF9" w14:textId="77777777" w:rsidR="002B1283" w:rsidRDefault="002B1283" w:rsidP="002B1283">
      <w:pPr>
        <w:pStyle w:val="NoSpacing"/>
      </w:pPr>
    </w:p>
    <w:p w14:paraId="41354A30" w14:textId="77777777" w:rsidR="0097592D" w:rsidRDefault="0097592D" w:rsidP="00EF1133">
      <w:pPr>
        <w:pStyle w:val="NoSpacing"/>
        <w:rPr>
          <w:rFonts w:ascii="Arial Black" w:hAnsi="Arial Black"/>
          <w:sz w:val="24"/>
          <w:szCs w:val="24"/>
        </w:rPr>
      </w:pPr>
    </w:p>
    <w:p w14:paraId="2CBF5FDA" w14:textId="77777777" w:rsidR="0097592D" w:rsidRDefault="0097592D" w:rsidP="00EF1133">
      <w:pPr>
        <w:pStyle w:val="NoSpacing"/>
        <w:rPr>
          <w:rFonts w:ascii="Arial Black" w:hAnsi="Arial Black"/>
          <w:sz w:val="24"/>
          <w:szCs w:val="24"/>
        </w:rPr>
      </w:pPr>
    </w:p>
    <w:p w14:paraId="65845C87" w14:textId="346BF5BF" w:rsidR="005A414F" w:rsidRDefault="005A414F" w:rsidP="00EF1133">
      <w:pPr>
        <w:pStyle w:val="NoSpacing"/>
        <w:rPr>
          <w:rFonts w:ascii="Arial Black" w:hAnsi="Arial Black"/>
          <w:sz w:val="24"/>
          <w:szCs w:val="24"/>
        </w:rPr>
      </w:pPr>
      <w:r>
        <w:rPr>
          <w:rFonts w:ascii="Arial Black" w:hAnsi="Arial Black"/>
          <w:sz w:val="24"/>
          <w:szCs w:val="24"/>
        </w:rPr>
        <w:t>2-1</w:t>
      </w:r>
      <w:r w:rsidR="00D07E6E">
        <w:rPr>
          <w:rFonts w:ascii="Arial Black" w:hAnsi="Arial Black"/>
          <w:sz w:val="24"/>
          <w:szCs w:val="24"/>
        </w:rPr>
        <w:t>6</w:t>
      </w:r>
    </w:p>
    <w:p w14:paraId="4A0E014B" w14:textId="77777777" w:rsidR="005A414F" w:rsidRDefault="005A414F" w:rsidP="00EF1133">
      <w:pPr>
        <w:pStyle w:val="NoSpacing"/>
        <w:rPr>
          <w:rFonts w:ascii="Arial Black" w:hAnsi="Arial Black"/>
          <w:sz w:val="24"/>
          <w:szCs w:val="24"/>
        </w:rPr>
      </w:pPr>
    </w:p>
    <w:p w14:paraId="6AB56DF7" w14:textId="77777777" w:rsidR="005A414F" w:rsidRPr="000B408C" w:rsidRDefault="005A414F" w:rsidP="005A414F">
      <w:pPr>
        <w:pStyle w:val="NoSpacing"/>
        <w:rPr>
          <w:rFonts w:ascii="Arial Black" w:hAnsi="Arial Black"/>
          <w:sz w:val="28"/>
          <w:szCs w:val="28"/>
        </w:rPr>
      </w:pPr>
      <w:r w:rsidRPr="000B408C">
        <w:rPr>
          <w:rFonts w:ascii="Arial Black" w:hAnsi="Arial Black"/>
          <w:sz w:val="28"/>
          <w:szCs w:val="28"/>
        </w:rPr>
        <w:t xml:space="preserve">MO: </w:t>
      </w:r>
      <w:r>
        <w:rPr>
          <w:rFonts w:ascii="Arial Black" w:hAnsi="Arial Black"/>
          <w:sz w:val="28"/>
          <w:szCs w:val="28"/>
        </w:rPr>
        <w:t xml:space="preserve">CANCER – WIFE OF DECEASED CAPTAIN - WINS WORKERS COMP CLAIM – OCCUPATIONAL EXPOSURES TO CARCINOGENS </w:t>
      </w:r>
    </w:p>
    <w:p w14:paraId="7415A160" w14:textId="77777777" w:rsidR="005A414F" w:rsidRPr="0044213E" w:rsidRDefault="005A414F" w:rsidP="005A414F">
      <w:pPr>
        <w:rPr>
          <w:rFonts w:ascii="Times New Roman" w:hAnsi="Times New Roman"/>
          <w:sz w:val="24"/>
          <w:szCs w:val="24"/>
        </w:rPr>
      </w:pPr>
      <w:r w:rsidRPr="0044213E">
        <w:rPr>
          <w:rFonts w:ascii="Times New Roman" w:hAnsi="Times New Roman"/>
          <w:sz w:val="24"/>
          <w:szCs w:val="24"/>
        </w:rPr>
        <w:t xml:space="preserve">On June 4, 2019, in </w:t>
      </w:r>
      <w:r w:rsidRPr="0044213E">
        <w:rPr>
          <w:rFonts w:ascii="Times New Roman" w:hAnsi="Times New Roman"/>
          <w:sz w:val="24"/>
          <w:szCs w:val="24"/>
          <w:u w:val="single"/>
        </w:rPr>
        <w:t>David Cheney (Deceased), Donna Ceney (Spouse) v. City of Gladstone</w:t>
      </w:r>
      <w:r w:rsidRPr="0044213E">
        <w:rPr>
          <w:rFonts w:ascii="Times New Roman" w:hAnsi="Times New Roman"/>
          <w:sz w:val="24"/>
          <w:szCs w:val="24"/>
        </w:rPr>
        <w:t xml:space="preserve">, </w:t>
      </w:r>
      <w:r>
        <w:rPr>
          <w:rFonts w:ascii="Times New Roman" w:hAnsi="Times New Roman"/>
          <w:sz w:val="24"/>
          <w:szCs w:val="24"/>
        </w:rPr>
        <w:t xml:space="preserve">the Missouri Court of Appeals, Western District, held (3 to 0) that the cancer was work related and she is entitled to workers comp death and burial benefits.  </w:t>
      </w:r>
      <w:hyperlink r:id="rId590" w:history="1">
        <w:r w:rsidRPr="00610C09">
          <w:rPr>
            <w:rStyle w:val="Hyperlink"/>
            <w:rFonts w:ascii="Times New Roman" w:hAnsi="Times New Roman"/>
            <w:sz w:val="24"/>
            <w:szCs w:val="24"/>
          </w:rPr>
          <w:t>https://cases.justia.com/missouri/court-of-appeals/2019-wd81939.pdf?ts=1559661108</w:t>
        </w:r>
      </w:hyperlink>
      <w:r>
        <w:rPr>
          <w:rFonts w:ascii="Times New Roman" w:hAnsi="Times New Roman"/>
          <w:sz w:val="24"/>
          <w:szCs w:val="24"/>
        </w:rPr>
        <w:t xml:space="preserve"> </w:t>
      </w:r>
    </w:p>
    <w:p w14:paraId="7CDCD37C" w14:textId="77777777" w:rsidR="005A414F" w:rsidRPr="00E56A5D" w:rsidRDefault="005A414F" w:rsidP="005A414F">
      <w:pPr>
        <w:rPr>
          <w:rFonts w:ascii="Times New Roman" w:hAnsi="Times New Roman"/>
          <w:sz w:val="24"/>
          <w:szCs w:val="24"/>
        </w:rPr>
      </w:pPr>
      <w:r>
        <w:rPr>
          <w:rFonts w:ascii="Arial" w:hAnsi="Arial" w:cs="Arial"/>
          <w:sz w:val="30"/>
          <w:szCs w:val="30"/>
        </w:rPr>
        <w:tab/>
      </w:r>
      <w:r w:rsidRPr="00E56A5D">
        <w:rPr>
          <w:rFonts w:ascii="Times New Roman" w:hAnsi="Times New Roman"/>
          <w:sz w:val="24"/>
          <w:szCs w:val="24"/>
        </w:rPr>
        <w:t xml:space="preserve">Judge Edward R. Arnidi, Jr. wrote: </w:t>
      </w:r>
    </w:p>
    <w:p w14:paraId="3EAA46BD" w14:textId="77777777" w:rsidR="005A414F" w:rsidRPr="00965872" w:rsidRDefault="005A414F" w:rsidP="005A414F">
      <w:pPr>
        <w:ind w:left="1440"/>
        <w:rPr>
          <w:rFonts w:ascii="Times New Roman" w:hAnsi="Times New Roman"/>
          <w:sz w:val="24"/>
          <w:szCs w:val="24"/>
        </w:rPr>
      </w:pPr>
      <w:r w:rsidRPr="00965872">
        <w:rPr>
          <w:rFonts w:ascii="Times New Roman" w:hAnsi="Times New Roman"/>
          <w:sz w:val="24"/>
          <w:szCs w:val="24"/>
        </w:rPr>
        <w:t xml:space="preserve">“Both Drs. Lockey and Koprivica reviewed David Cheney’s medical records. Dr. Koprivica also conducted a physical examination of David Cheney before his death. Based on the information gleaned from the records and the physical examination, both doctors concluded that David Cheney’s occupational exposure to carcinogenic smoke, fumes, and particulates experienced during his employment as a firefighter for the </w:t>
      </w:r>
      <w:proofErr w:type="gramStart"/>
      <w:r w:rsidRPr="00965872">
        <w:rPr>
          <w:rFonts w:ascii="Times New Roman" w:hAnsi="Times New Roman"/>
          <w:sz w:val="24"/>
          <w:szCs w:val="24"/>
        </w:rPr>
        <w:t>City</w:t>
      </w:r>
      <w:proofErr w:type="gramEnd"/>
      <w:r w:rsidRPr="00965872">
        <w:rPr>
          <w:rFonts w:ascii="Times New Roman" w:hAnsi="Times New Roman"/>
          <w:sz w:val="24"/>
          <w:szCs w:val="24"/>
        </w:rPr>
        <w:t xml:space="preserve"> was the prevailing factor in the development of his NHL. The Commission found this evidence credible and persuasive, and we defer to this finding. *** The Commission determined that David Cheney suffered a compensable injury by occupational disease arising out of and in the course of his employment as a firefighter with the </w:t>
      </w:r>
      <w:proofErr w:type="gramStart"/>
      <w:r w:rsidRPr="00965872">
        <w:rPr>
          <w:rFonts w:ascii="Times New Roman" w:hAnsi="Times New Roman"/>
          <w:sz w:val="24"/>
          <w:szCs w:val="24"/>
        </w:rPr>
        <w:t>City</w:t>
      </w:r>
      <w:proofErr w:type="gramEnd"/>
      <w:r w:rsidRPr="00965872">
        <w:rPr>
          <w:rFonts w:ascii="Times New Roman" w:hAnsi="Times New Roman"/>
          <w:sz w:val="24"/>
          <w:szCs w:val="24"/>
        </w:rPr>
        <w:t>. We affirm.”</w:t>
      </w:r>
    </w:p>
    <w:p w14:paraId="7B39B206" w14:textId="77777777" w:rsidR="00715CF2" w:rsidRPr="00965872" w:rsidRDefault="005A414F" w:rsidP="005A414F">
      <w:pPr>
        <w:pStyle w:val="NoSpacing"/>
        <w:tabs>
          <w:tab w:val="left" w:pos="2910"/>
        </w:tabs>
        <w:rPr>
          <w:rFonts w:ascii="Times New Roman" w:hAnsi="Times New Roman"/>
          <w:b/>
          <w:bCs/>
          <w:sz w:val="24"/>
          <w:szCs w:val="24"/>
        </w:rPr>
      </w:pPr>
      <w:r w:rsidRPr="00965872">
        <w:rPr>
          <w:rFonts w:ascii="Times New Roman" w:hAnsi="Times New Roman"/>
          <w:b/>
          <w:bCs/>
          <w:sz w:val="24"/>
          <w:szCs w:val="24"/>
        </w:rPr>
        <w:t xml:space="preserve">Legal Lessons Learned: Litigation such as this case reflects the need for statutory presumption for firefighter cancer.  See 33 states with presumption statutes: </w:t>
      </w:r>
      <w:hyperlink r:id="rId591" w:history="1">
        <w:r w:rsidRPr="00965872">
          <w:rPr>
            <w:rStyle w:val="Hyperlink"/>
            <w:rFonts w:ascii="Times New Roman" w:hAnsi="Times New Roman"/>
            <w:b/>
            <w:bCs/>
            <w:sz w:val="24"/>
            <w:szCs w:val="24"/>
          </w:rPr>
          <w:t>https://www.firstrespondercenter.org/cancer/toolsresources/presumptive-legislation-firefighter-cancer-state/</w:t>
        </w:r>
      </w:hyperlink>
      <w:r w:rsidRPr="00965872">
        <w:rPr>
          <w:rFonts w:ascii="Times New Roman" w:hAnsi="Times New Roman"/>
          <w:b/>
          <w:bCs/>
          <w:sz w:val="24"/>
          <w:szCs w:val="24"/>
        </w:rPr>
        <w:t xml:space="preserve"> </w:t>
      </w:r>
    </w:p>
    <w:p w14:paraId="24D4FF01" w14:textId="77777777" w:rsidR="00715CF2" w:rsidRPr="00965872" w:rsidRDefault="00715CF2" w:rsidP="005A414F">
      <w:pPr>
        <w:pStyle w:val="NoSpacing"/>
        <w:tabs>
          <w:tab w:val="left" w:pos="2910"/>
        </w:tabs>
        <w:rPr>
          <w:rFonts w:ascii="Times New Roman" w:hAnsi="Times New Roman"/>
          <w:sz w:val="24"/>
          <w:szCs w:val="24"/>
        </w:rPr>
      </w:pPr>
    </w:p>
    <w:p w14:paraId="2568A2E5" w14:textId="58E5257F" w:rsidR="005A414F" w:rsidRPr="00965872" w:rsidRDefault="005A414F" w:rsidP="00715CF2">
      <w:pPr>
        <w:pStyle w:val="NoSpacing"/>
        <w:tabs>
          <w:tab w:val="left" w:pos="2910"/>
        </w:tabs>
        <w:ind w:left="630"/>
        <w:rPr>
          <w:rFonts w:ascii="Times New Roman" w:hAnsi="Times New Roman"/>
          <w:b/>
          <w:bCs/>
          <w:i/>
          <w:iCs/>
          <w:sz w:val="24"/>
          <w:szCs w:val="24"/>
        </w:rPr>
      </w:pPr>
      <w:r w:rsidRPr="00965872">
        <w:rPr>
          <w:rFonts w:ascii="Times New Roman" w:hAnsi="Times New Roman"/>
          <w:sz w:val="24"/>
          <w:szCs w:val="24"/>
        </w:rPr>
        <w:t xml:space="preserve">See also July 7, </w:t>
      </w:r>
      <w:proofErr w:type="gramStart"/>
      <w:r w:rsidRPr="00965872">
        <w:rPr>
          <w:rFonts w:ascii="Times New Roman" w:hAnsi="Times New Roman"/>
          <w:sz w:val="24"/>
          <w:szCs w:val="24"/>
        </w:rPr>
        <w:t>2019</w:t>
      </w:r>
      <w:proofErr w:type="gramEnd"/>
      <w:r w:rsidRPr="00965872">
        <w:rPr>
          <w:rFonts w:ascii="Times New Roman" w:hAnsi="Times New Roman"/>
          <w:sz w:val="24"/>
          <w:szCs w:val="24"/>
        </w:rPr>
        <w:t xml:space="preserve"> article about this important win: “‘Cancer is killing our firefighters’: Missouri widow’s court win may aid those at risk”:  </w:t>
      </w:r>
      <w:hyperlink r:id="rId592" w:history="1">
        <w:r w:rsidRPr="00965872">
          <w:rPr>
            <w:rStyle w:val="Hyperlink"/>
            <w:rFonts w:ascii="Times New Roman" w:hAnsi="Times New Roman"/>
            <w:sz w:val="24"/>
            <w:szCs w:val="24"/>
          </w:rPr>
          <w:t>https://www.kansascity.com/news/politics-government/article231974862.html</w:t>
        </w:r>
      </w:hyperlink>
      <w:r w:rsidRPr="00965872">
        <w:rPr>
          <w:rFonts w:ascii="Times New Roman" w:hAnsi="Times New Roman"/>
          <w:b/>
          <w:bCs/>
          <w:i/>
          <w:iCs/>
          <w:sz w:val="24"/>
          <w:szCs w:val="24"/>
        </w:rPr>
        <w:t xml:space="preserve"> </w:t>
      </w:r>
    </w:p>
    <w:p w14:paraId="427F4348" w14:textId="2744E80A" w:rsidR="00E26EA8" w:rsidRDefault="00E26EA8" w:rsidP="005A414F">
      <w:pPr>
        <w:pStyle w:val="NoSpacing"/>
        <w:tabs>
          <w:tab w:val="left" w:pos="2910"/>
        </w:tabs>
        <w:rPr>
          <w:rFonts w:ascii="Times New Roman" w:hAnsi="Times New Roman"/>
          <w:b/>
          <w:bCs/>
          <w:i/>
          <w:iCs/>
          <w:sz w:val="24"/>
          <w:szCs w:val="24"/>
        </w:rPr>
      </w:pPr>
    </w:p>
    <w:p w14:paraId="13276E0C" w14:textId="77777777" w:rsidR="005A414F" w:rsidRDefault="005A414F" w:rsidP="00EF1133">
      <w:pPr>
        <w:pStyle w:val="NoSpacing"/>
        <w:rPr>
          <w:rFonts w:ascii="Arial Black" w:hAnsi="Arial Black"/>
          <w:sz w:val="24"/>
          <w:szCs w:val="24"/>
        </w:rPr>
      </w:pPr>
    </w:p>
    <w:p w14:paraId="4A0004E5" w14:textId="77777777" w:rsidR="00965872" w:rsidRDefault="00965872" w:rsidP="00EF1133">
      <w:pPr>
        <w:pStyle w:val="NoSpacing"/>
        <w:rPr>
          <w:rFonts w:ascii="Arial Black" w:hAnsi="Arial Black"/>
          <w:sz w:val="24"/>
          <w:szCs w:val="24"/>
        </w:rPr>
      </w:pPr>
    </w:p>
    <w:p w14:paraId="4C16E320" w14:textId="14C7A48A"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2-1</w:t>
      </w:r>
      <w:r w:rsidR="00D07E6E">
        <w:rPr>
          <w:rFonts w:ascii="Arial Black" w:hAnsi="Arial Black"/>
          <w:sz w:val="24"/>
          <w:szCs w:val="24"/>
        </w:rPr>
        <w:t>5</w:t>
      </w:r>
    </w:p>
    <w:p w14:paraId="7ED759EB" w14:textId="77777777" w:rsidR="00B22CD4" w:rsidRDefault="00B22CD4" w:rsidP="00F326E5">
      <w:pPr>
        <w:rPr>
          <w:sz w:val="24"/>
          <w:szCs w:val="24"/>
        </w:rPr>
      </w:pPr>
    </w:p>
    <w:p w14:paraId="59AB6FF2" w14:textId="397E81CA" w:rsidR="00B22CD4" w:rsidRDefault="00B22CD4" w:rsidP="00B22CD4">
      <w:pPr>
        <w:pStyle w:val="NoSpacing"/>
        <w:rPr>
          <w:rFonts w:ascii="Arial Black" w:hAnsi="Arial Black"/>
          <w:sz w:val="28"/>
          <w:szCs w:val="28"/>
        </w:rPr>
      </w:pPr>
      <w:r w:rsidRPr="006F3E97">
        <w:rPr>
          <w:rFonts w:ascii="Arial Black" w:hAnsi="Arial Black"/>
          <w:sz w:val="28"/>
          <w:szCs w:val="28"/>
        </w:rPr>
        <w:t xml:space="preserve">IL: </w:t>
      </w:r>
      <w:r>
        <w:rPr>
          <w:rFonts w:ascii="Arial Black" w:hAnsi="Arial Black"/>
          <w:sz w:val="28"/>
          <w:szCs w:val="28"/>
        </w:rPr>
        <w:t xml:space="preserve"> FF PRIOR HEART ISSUES - PATIENT DROPPED ON STRETCHER – LINE-OF-DUTY PENSION, LIFETIME HEALTH INSURANCE </w:t>
      </w:r>
    </w:p>
    <w:p w14:paraId="20F2818A" w14:textId="77777777" w:rsidR="00B22CD4" w:rsidRDefault="00B22CD4" w:rsidP="00B22CD4">
      <w:pPr>
        <w:pStyle w:val="NoSpacing"/>
        <w:rPr>
          <w:rFonts w:ascii="On Times New Roman" w:hAnsi="On Times New Roman"/>
          <w:sz w:val="24"/>
          <w:szCs w:val="24"/>
        </w:rPr>
      </w:pPr>
    </w:p>
    <w:p w14:paraId="126050D2" w14:textId="77777777" w:rsidR="00B22CD4" w:rsidRDefault="00B22CD4" w:rsidP="00B22CD4">
      <w:pPr>
        <w:pStyle w:val="NoSpacing"/>
        <w:rPr>
          <w:rFonts w:ascii="On Times New Roman" w:hAnsi="On Times New Roman"/>
          <w:sz w:val="24"/>
          <w:szCs w:val="24"/>
        </w:rPr>
      </w:pPr>
      <w:r>
        <w:rPr>
          <w:rFonts w:ascii="On Times New Roman" w:hAnsi="On Times New Roman"/>
          <w:sz w:val="24"/>
          <w:szCs w:val="24"/>
        </w:rPr>
        <w:t xml:space="preserve">On May 28, 2019, in </w:t>
      </w:r>
      <w:r w:rsidRPr="00340E41">
        <w:rPr>
          <w:rFonts w:ascii="On Times New Roman" w:hAnsi="On Times New Roman"/>
          <w:sz w:val="24"/>
          <w:szCs w:val="24"/>
          <w:u w:val="single"/>
        </w:rPr>
        <w:t>Patrick Cronin v. Village of Skokie</w:t>
      </w:r>
      <w:r>
        <w:rPr>
          <w:rFonts w:ascii="On Times New Roman" w:hAnsi="On Times New Roman"/>
          <w:sz w:val="24"/>
          <w:szCs w:val="24"/>
        </w:rPr>
        <w:t>, the Appellate Court of Illinois, First District, held (3 to 0) that the retired firefighter was properly awarded lifetime health insurance.</w:t>
      </w:r>
    </w:p>
    <w:p w14:paraId="140938EC" w14:textId="77777777" w:rsidR="00B22CD4" w:rsidRDefault="00B22CD4" w:rsidP="00B22CD4">
      <w:pPr>
        <w:pStyle w:val="NoSpacing"/>
        <w:rPr>
          <w:rFonts w:ascii="On Times New Roman" w:hAnsi="On Times New Roman"/>
          <w:sz w:val="24"/>
          <w:szCs w:val="24"/>
        </w:rPr>
      </w:pPr>
    </w:p>
    <w:p w14:paraId="40D964CA" w14:textId="77777777" w:rsidR="00B22CD4" w:rsidRDefault="00B22CD4" w:rsidP="00B22CD4">
      <w:pPr>
        <w:pStyle w:val="NoSpacing"/>
        <w:ind w:left="720"/>
        <w:rPr>
          <w:rFonts w:ascii="Times New Roman" w:hAnsi="Times New Roman"/>
          <w:sz w:val="24"/>
          <w:szCs w:val="24"/>
        </w:rPr>
      </w:pPr>
      <w:r>
        <w:rPr>
          <w:rFonts w:ascii="Times New Roman" w:hAnsi="Times New Roman"/>
          <w:sz w:val="24"/>
          <w:szCs w:val="24"/>
        </w:rPr>
        <w:t>“</w:t>
      </w:r>
      <w:r w:rsidRPr="00340E41">
        <w:rPr>
          <w:rFonts w:ascii="Times New Roman" w:hAnsi="Times New Roman"/>
          <w:sz w:val="24"/>
          <w:szCs w:val="24"/>
        </w:rPr>
        <w:t>In summary, because Mr. Cronin was awarded a line-of-duty disability pension by the Pension Board, he met the requirements of section 10(a) of the Benefits Act—that he suffered a catastrophic injury in the line of duty—as a matter of law. Mr. Cronin also met the requirements of section 10(b): the only work-related incident that was presented as a cause of his injury was his act of holding the stretcher as a cardiac patient was dropped onto it and he presented uncontradicted evidence that he reasonably believed he was responding to an emergency. Accordingly, Mr. Cronin is entitled to benefits under the Act, and the circuit court properly granted summary judgment in favor of Mr. Cronin and against the Village.</w:t>
      </w:r>
      <w:r>
        <w:rPr>
          <w:rFonts w:ascii="Times New Roman" w:hAnsi="Times New Roman"/>
          <w:sz w:val="24"/>
          <w:szCs w:val="24"/>
        </w:rPr>
        <w:t>”</w:t>
      </w:r>
    </w:p>
    <w:p w14:paraId="6EFC75EB" w14:textId="77777777" w:rsidR="00B22CD4" w:rsidRDefault="00B22CD4" w:rsidP="00B22CD4">
      <w:pPr>
        <w:pStyle w:val="NoSpacing"/>
        <w:ind w:left="720"/>
        <w:rPr>
          <w:rFonts w:ascii="Times New Roman" w:hAnsi="Times New Roman"/>
          <w:sz w:val="24"/>
          <w:szCs w:val="24"/>
        </w:rPr>
      </w:pPr>
      <w:hyperlink r:id="rId593" w:history="1">
        <w:r w:rsidRPr="001602A2">
          <w:rPr>
            <w:rStyle w:val="Hyperlink"/>
            <w:rFonts w:ascii="Times New Roman" w:hAnsi="Times New Roman"/>
            <w:sz w:val="24"/>
            <w:szCs w:val="24"/>
          </w:rPr>
          <w:t>http://www.illinoiscourts.gov/Opinions/AppellateCourt/2019/1stDistrict/1181163.pdf</w:t>
        </w:r>
      </w:hyperlink>
      <w:r>
        <w:rPr>
          <w:rFonts w:ascii="Times New Roman" w:hAnsi="Times New Roman"/>
          <w:sz w:val="24"/>
          <w:szCs w:val="24"/>
        </w:rPr>
        <w:t xml:space="preserve"> </w:t>
      </w:r>
    </w:p>
    <w:p w14:paraId="02FD153C" w14:textId="77777777" w:rsidR="00527EDF" w:rsidRDefault="00527EDF" w:rsidP="00B22CD4">
      <w:pPr>
        <w:pStyle w:val="NoSpacing"/>
        <w:rPr>
          <w:rFonts w:ascii="Times New Roman" w:hAnsi="Times New Roman"/>
          <w:b/>
          <w:sz w:val="24"/>
          <w:szCs w:val="24"/>
        </w:rPr>
      </w:pPr>
      <w:bookmarkStart w:id="113" w:name="_Hlk10126765"/>
    </w:p>
    <w:p w14:paraId="7189FDD7" w14:textId="0D25ECE0" w:rsidR="00B22CD4" w:rsidRPr="004A0390" w:rsidRDefault="00B22CD4" w:rsidP="00B22CD4">
      <w:pPr>
        <w:pStyle w:val="NoSpacing"/>
        <w:rPr>
          <w:rFonts w:ascii="Times New Roman" w:hAnsi="Times New Roman"/>
          <w:b/>
          <w:sz w:val="24"/>
          <w:szCs w:val="24"/>
        </w:rPr>
      </w:pPr>
      <w:r w:rsidRPr="004A0390">
        <w:rPr>
          <w:rFonts w:ascii="Times New Roman" w:hAnsi="Times New Roman"/>
          <w:b/>
          <w:sz w:val="24"/>
          <w:szCs w:val="24"/>
        </w:rPr>
        <w:t>Legal Lessons Learned:</w:t>
      </w:r>
      <w:r>
        <w:rPr>
          <w:rFonts w:ascii="Times New Roman" w:hAnsi="Times New Roman"/>
          <w:b/>
          <w:sz w:val="24"/>
          <w:szCs w:val="24"/>
        </w:rPr>
        <w:t xml:space="preserve">  The Illinois statute applies even to firefighters with a prior heart issue.  </w:t>
      </w:r>
    </w:p>
    <w:bookmarkEnd w:id="113"/>
    <w:p w14:paraId="1E3339CF" w14:textId="67FAFC01" w:rsidR="00B22CD4" w:rsidRDefault="00B22CD4" w:rsidP="00F326E5">
      <w:pPr>
        <w:rPr>
          <w:sz w:val="24"/>
          <w:szCs w:val="24"/>
        </w:rPr>
      </w:pPr>
    </w:p>
    <w:p w14:paraId="22A2ACF3" w14:textId="77777777" w:rsidR="0097592D" w:rsidRDefault="0097592D" w:rsidP="00F326E5">
      <w:pPr>
        <w:rPr>
          <w:sz w:val="24"/>
          <w:szCs w:val="24"/>
        </w:rPr>
      </w:pPr>
    </w:p>
    <w:p w14:paraId="4D66122C" w14:textId="5650F338" w:rsidR="00D07E6E" w:rsidRPr="00D07E6E" w:rsidRDefault="00D07E6E" w:rsidP="00F326E5">
      <w:pPr>
        <w:rPr>
          <w:rFonts w:ascii="Arial Black" w:hAnsi="Arial Black"/>
          <w:sz w:val="24"/>
          <w:szCs w:val="24"/>
        </w:rPr>
      </w:pPr>
      <w:r w:rsidRPr="00D07E6E">
        <w:rPr>
          <w:rFonts w:ascii="Arial Black" w:hAnsi="Arial Black"/>
          <w:sz w:val="24"/>
          <w:szCs w:val="24"/>
        </w:rPr>
        <w:t>2-14</w:t>
      </w:r>
    </w:p>
    <w:p w14:paraId="5B34F29C" w14:textId="77777777" w:rsidR="00D07E6E" w:rsidRPr="00D07E6E" w:rsidRDefault="00D07E6E" w:rsidP="00F326E5">
      <w:pPr>
        <w:rPr>
          <w:rFonts w:ascii="Arial Black" w:hAnsi="Arial Black" w:cs="Arial"/>
          <w:sz w:val="28"/>
          <w:szCs w:val="28"/>
        </w:rPr>
      </w:pPr>
      <w:r w:rsidRPr="00D07E6E">
        <w:rPr>
          <w:rFonts w:ascii="Arial Black" w:hAnsi="Arial Black" w:cs="Arial"/>
          <w:sz w:val="28"/>
          <w:szCs w:val="28"/>
        </w:rPr>
        <w:t xml:space="preserve">CA: FFs STRUCK HELPING MOTORIST CROSS HIGHWAY – HE FIRST DELAYED CROSSING - LAWSUIT NOT BARRED BY CA “FIREMAN’S RULE” </w:t>
      </w:r>
    </w:p>
    <w:p w14:paraId="712CE6B5" w14:textId="77777777" w:rsidR="00965872" w:rsidRDefault="00D07E6E" w:rsidP="00F326E5">
      <w:pPr>
        <w:rPr>
          <w:rFonts w:ascii="Times New Roman" w:hAnsi="Times New Roman"/>
          <w:sz w:val="24"/>
          <w:szCs w:val="24"/>
        </w:rPr>
      </w:pPr>
      <w:r w:rsidRPr="00015208">
        <w:rPr>
          <w:rFonts w:ascii="Times New Roman" w:hAnsi="Times New Roman"/>
          <w:sz w:val="24"/>
          <w:szCs w:val="24"/>
        </w:rPr>
        <w:t xml:space="preserve">On April 30, 2019, in Moraga-Orinda Fire District v. Brian Favro, the Court of Appeal of California, First Appellate District, held (3 to 0) </w:t>
      </w:r>
      <w:proofErr w:type="gramStart"/>
      <w:r w:rsidRPr="00015208">
        <w:rPr>
          <w:rFonts w:ascii="Times New Roman" w:hAnsi="Times New Roman"/>
          <w:sz w:val="24"/>
          <w:szCs w:val="24"/>
        </w:rPr>
        <w:t>in</w:t>
      </w:r>
      <w:proofErr w:type="gramEnd"/>
      <w:r w:rsidRPr="00015208">
        <w:rPr>
          <w:rFonts w:ascii="Times New Roman" w:hAnsi="Times New Roman"/>
          <w:sz w:val="24"/>
          <w:szCs w:val="24"/>
        </w:rPr>
        <w:t xml:space="preserve"> unpublished decision, that trial court improperly dismissed the fire department’s lawsuit seeking to recover cost of workers compensation for injured firefighters.</w:t>
      </w:r>
    </w:p>
    <w:p w14:paraId="5C12637D" w14:textId="6B8F3D3B" w:rsidR="00D07E6E" w:rsidRPr="00015208" w:rsidRDefault="00D07E6E" w:rsidP="00965872">
      <w:pPr>
        <w:ind w:left="720"/>
        <w:rPr>
          <w:rFonts w:ascii="Times New Roman" w:hAnsi="Times New Roman"/>
          <w:sz w:val="24"/>
          <w:szCs w:val="24"/>
        </w:rPr>
      </w:pPr>
      <w:r w:rsidRPr="00015208">
        <w:rPr>
          <w:rFonts w:ascii="Times New Roman" w:hAnsi="Times New Roman"/>
          <w:sz w:val="24"/>
          <w:szCs w:val="24"/>
        </w:rPr>
        <w:t xml:space="preserve">“There is thus a triable issue of material fact as to whether Favro was negligent in failing to cooperate with the firefighters before they were struck by Briseno-Castaneda’s SUV. If that issue were to be resolved in plaintiffs’ favor, section 1714.9, subdivision (a)(1), would apply, and the firefighter’s rule would not. Because there is a triable issue of material </w:t>
      </w:r>
      <w:proofErr w:type="gramStart"/>
      <w:r w:rsidRPr="00015208">
        <w:rPr>
          <w:rFonts w:ascii="Times New Roman" w:hAnsi="Times New Roman"/>
          <w:sz w:val="24"/>
          <w:szCs w:val="24"/>
        </w:rPr>
        <w:t>fact</w:t>
      </w:r>
      <w:proofErr w:type="gramEnd"/>
      <w:r w:rsidRPr="00015208">
        <w:rPr>
          <w:rFonts w:ascii="Times New Roman" w:hAnsi="Times New Roman"/>
          <w:sz w:val="24"/>
          <w:szCs w:val="24"/>
        </w:rPr>
        <w:t xml:space="preserve">, the trial court erred in granting summary </w:t>
      </w:r>
      <w:proofErr w:type="gramStart"/>
      <w:r w:rsidRPr="00015208">
        <w:rPr>
          <w:rFonts w:ascii="Times New Roman" w:hAnsi="Times New Roman"/>
          <w:sz w:val="24"/>
          <w:szCs w:val="24"/>
        </w:rPr>
        <w:t>judgment.”</w:t>
      </w:r>
      <w:proofErr w:type="gramEnd"/>
      <w:r w:rsidR="00015208">
        <w:rPr>
          <w:rFonts w:ascii="Times New Roman" w:hAnsi="Times New Roman"/>
          <w:sz w:val="24"/>
          <w:szCs w:val="24"/>
        </w:rPr>
        <w:t xml:space="preserve"> </w:t>
      </w:r>
      <w:hyperlink r:id="rId594" w:history="1">
        <w:r w:rsidRPr="00015208">
          <w:rPr>
            <w:rStyle w:val="Hyperlink"/>
            <w:rFonts w:ascii="Times New Roman" w:hAnsi="Times New Roman"/>
            <w:sz w:val="24"/>
            <w:szCs w:val="24"/>
          </w:rPr>
          <w:t>https://www.courts.ca.gov/opinions/nonpub/A150651.PD</w:t>
        </w:r>
      </w:hyperlink>
      <w:r w:rsidRPr="00015208">
        <w:rPr>
          <w:rFonts w:ascii="Times New Roman" w:hAnsi="Times New Roman"/>
          <w:sz w:val="24"/>
          <w:szCs w:val="24"/>
        </w:rPr>
        <w:t xml:space="preserve"> </w:t>
      </w:r>
    </w:p>
    <w:p w14:paraId="05DBF511" w14:textId="05F0E23D" w:rsidR="00B22CD4" w:rsidRPr="00015208" w:rsidRDefault="00D07E6E" w:rsidP="00F326E5">
      <w:pPr>
        <w:rPr>
          <w:rFonts w:ascii="Times New Roman" w:hAnsi="Times New Roman"/>
          <w:b/>
          <w:bCs/>
          <w:sz w:val="24"/>
          <w:szCs w:val="24"/>
        </w:rPr>
      </w:pPr>
      <w:r w:rsidRPr="00015208">
        <w:rPr>
          <w:rFonts w:ascii="Times New Roman" w:hAnsi="Times New Roman"/>
          <w:b/>
          <w:bCs/>
          <w:sz w:val="24"/>
          <w:szCs w:val="24"/>
        </w:rPr>
        <w:t>Legal Lessons Learned: The California statute is a helpful exception to Fireman’s Rule – negligent conduct after individual “knows of the presence of the firefighter.</w:t>
      </w:r>
    </w:p>
    <w:p w14:paraId="0523FF47" w14:textId="2988436C" w:rsidR="00D07E6E" w:rsidRPr="00D07E6E" w:rsidRDefault="00D07E6E" w:rsidP="00F326E5">
      <w:pPr>
        <w:rPr>
          <w:rFonts w:ascii="Times New Roman" w:hAnsi="Times New Roman"/>
          <w:sz w:val="24"/>
          <w:szCs w:val="24"/>
        </w:rPr>
      </w:pPr>
    </w:p>
    <w:p w14:paraId="1308AD99" w14:textId="77777777" w:rsidR="00D07E6E" w:rsidRDefault="00D07E6E" w:rsidP="00EF1133">
      <w:pPr>
        <w:pStyle w:val="NoSpacing"/>
        <w:rPr>
          <w:rFonts w:ascii="Arial Black" w:hAnsi="Arial Black"/>
          <w:sz w:val="24"/>
          <w:szCs w:val="24"/>
        </w:rPr>
      </w:pPr>
    </w:p>
    <w:p w14:paraId="36877647" w14:textId="2FACCB86"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2-1</w:t>
      </w:r>
      <w:r>
        <w:rPr>
          <w:rFonts w:ascii="Arial Black" w:hAnsi="Arial Black"/>
          <w:sz w:val="24"/>
          <w:szCs w:val="24"/>
        </w:rPr>
        <w:t>3</w:t>
      </w:r>
    </w:p>
    <w:p w14:paraId="7B507BD4" w14:textId="77777777" w:rsidR="00B22CD4" w:rsidRDefault="00B22CD4" w:rsidP="00F326E5">
      <w:pPr>
        <w:rPr>
          <w:sz w:val="24"/>
          <w:szCs w:val="24"/>
        </w:rPr>
      </w:pPr>
    </w:p>
    <w:p w14:paraId="5E803B4C" w14:textId="4545E9A4" w:rsidR="00F326E5" w:rsidRDefault="00F326E5" w:rsidP="00F326E5">
      <w:pPr>
        <w:rPr>
          <w:rFonts w:ascii="Arial Black" w:hAnsi="Arial Black"/>
          <w:sz w:val="28"/>
          <w:szCs w:val="28"/>
        </w:rPr>
      </w:pPr>
      <w:r w:rsidRPr="00E04021">
        <w:rPr>
          <w:rFonts w:ascii="Arial Black" w:hAnsi="Arial Black"/>
          <w:sz w:val="28"/>
          <w:szCs w:val="28"/>
        </w:rPr>
        <w:t xml:space="preserve">NJ:  </w:t>
      </w:r>
      <w:r>
        <w:rPr>
          <w:rFonts w:ascii="Arial Black" w:hAnsi="Arial Black"/>
          <w:sz w:val="28"/>
          <w:szCs w:val="28"/>
        </w:rPr>
        <w:t xml:space="preserve">FF ACCIDENTAL DEATH BENEFITS - ONLY FOR THOSE WHO DIED WHILE IN “ACTIVE SERVICE” </w:t>
      </w:r>
    </w:p>
    <w:p w14:paraId="13A0F20E" w14:textId="77777777" w:rsidR="00965872" w:rsidRDefault="00F326E5" w:rsidP="00F326E5">
      <w:pPr>
        <w:pStyle w:val="NoSpacing"/>
        <w:jc w:val="both"/>
        <w:rPr>
          <w:rFonts w:ascii="Times New Roman" w:hAnsi="Times New Roman"/>
          <w:sz w:val="24"/>
          <w:szCs w:val="24"/>
        </w:rPr>
      </w:pPr>
      <w:r w:rsidRPr="00015208">
        <w:rPr>
          <w:rFonts w:ascii="Times New Roman" w:hAnsi="Times New Roman"/>
          <w:sz w:val="24"/>
          <w:szCs w:val="24"/>
        </w:rPr>
        <w:t xml:space="preserve">On March 26, 2019, in </w:t>
      </w:r>
      <w:r w:rsidRPr="00015208">
        <w:rPr>
          <w:rFonts w:ascii="Times New Roman" w:hAnsi="Times New Roman"/>
          <w:sz w:val="24"/>
          <w:szCs w:val="24"/>
          <w:u w:val="single"/>
        </w:rPr>
        <w:t xml:space="preserve">Scott Rogow (Deceased) v. Board of Trustees, Police </w:t>
      </w:r>
      <w:proofErr w:type="gramStart"/>
      <w:r w:rsidRPr="00015208">
        <w:rPr>
          <w:rFonts w:ascii="Times New Roman" w:hAnsi="Times New Roman"/>
          <w:sz w:val="24"/>
          <w:szCs w:val="24"/>
          <w:u w:val="single"/>
        </w:rPr>
        <w:t>And</w:t>
      </w:r>
      <w:proofErr w:type="gramEnd"/>
      <w:r w:rsidRPr="00015208">
        <w:rPr>
          <w:rFonts w:ascii="Times New Roman" w:hAnsi="Times New Roman"/>
          <w:sz w:val="24"/>
          <w:szCs w:val="24"/>
          <w:u w:val="single"/>
        </w:rPr>
        <w:t xml:space="preserve"> Firemen’s Retirement System</w:t>
      </w:r>
      <w:r w:rsidRPr="00015208">
        <w:rPr>
          <w:rFonts w:ascii="Times New Roman" w:hAnsi="Times New Roman"/>
          <w:sz w:val="24"/>
          <w:szCs w:val="24"/>
        </w:rPr>
        <w:t xml:space="preserve">,  the Superior Court of New Jersey / Appellate Division held (3 to 0) in an unpublished option:  </w:t>
      </w:r>
    </w:p>
    <w:p w14:paraId="6FCC1633" w14:textId="77777777" w:rsidR="00965872" w:rsidRDefault="00965872" w:rsidP="00F326E5">
      <w:pPr>
        <w:pStyle w:val="NoSpacing"/>
        <w:jc w:val="both"/>
        <w:rPr>
          <w:rFonts w:ascii="Times New Roman" w:hAnsi="Times New Roman"/>
          <w:sz w:val="24"/>
          <w:szCs w:val="24"/>
        </w:rPr>
      </w:pPr>
    </w:p>
    <w:p w14:paraId="786FB643" w14:textId="2072D117" w:rsidR="00F326E5" w:rsidRPr="00015208" w:rsidRDefault="00F326E5" w:rsidP="00965872">
      <w:pPr>
        <w:pStyle w:val="NoSpacing"/>
        <w:ind w:left="720"/>
        <w:jc w:val="both"/>
        <w:rPr>
          <w:rFonts w:ascii="Times New Roman" w:hAnsi="Times New Roman"/>
          <w:sz w:val="24"/>
          <w:szCs w:val="24"/>
        </w:rPr>
      </w:pPr>
      <w:r w:rsidRPr="00015208">
        <w:rPr>
          <w:rFonts w:ascii="Times New Roman" w:hAnsi="Times New Roman"/>
          <w:sz w:val="24"/>
          <w:szCs w:val="24"/>
        </w:rPr>
        <w:t xml:space="preserve">“Accordingly, we conclude the Board properly determined that Rogow was ineligible for accidental death benefits because he was not a member in active service at the time of his death, as required by N.J.S.A. 43:16A-10,but was retired and receiving an accidental disability retirement allowance. The legislative history supports the Board's decision.” </w:t>
      </w:r>
    </w:p>
    <w:p w14:paraId="70B01881" w14:textId="1AE3A045" w:rsidR="00F326E5" w:rsidRPr="00015208" w:rsidRDefault="00965872" w:rsidP="00965872">
      <w:pPr>
        <w:pStyle w:val="NoSpacing"/>
        <w:ind w:firstLine="720"/>
        <w:jc w:val="both"/>
        <w:rPr>
          <w:rFonts w:ascii="Times New Roman" w:hAnsi="Times New Roman"/>
          <w:b/>
          <w:sz w:val="24"/>
          <w:szCs w:val="24"/>
        </w:rPr>
      </w:pPr>
      <w:hyperlink r:id="rId595" w:history="1">
        <w:r w:rsidRPr="002F304C">
          <w:rPr>
            <w:rStyle w:val="Hyperlink"/>
            <w:rFonts w:ascii="Times New Roman" w:hAnsi="Times New Roman"/>
            <w:sz w:val="24"/>
            <w:szCs w:val="24"/>
          </w:rPr>
          <w:t>https://njcourts.gov/attorneys/assets/opinions/appellate/unpublished/a1346-17.pdf</w:t>
        </w:r>
      </w:hyperlink>
      <w:r w:rsidR="00F326E5" w:rsidRPr="00015208">
        <w:rPr>
          <w:rFonts w:ascii="Times New Roman" w:hAnsi="Times New Roman"/>
          <w:sz w:val="24"/>
          <w:szCs w:val="24"/>
        </w:rPr>
        <w:t xml:space="preserve"> </w:t>
      </w:r>
    </w:p>
    <w:p w14:paraId="4492F1C6" w14:textId="77777777" w:rsidR="00C17A9D" w:rsidRDefault="00C17A9D" w:rsidP="00F326E5">
      <w:pPr>
        <w:pStyle w:val="NoSpacing"/>
        <w:rPr>
          <w:b/>
          <w:sz w:val="24"/>
          <w:szCs w:val="24"/>
        </w:rPr>
      </w:pPr>
    </w:p>
    <w:p w14:paraId="317CAACE" w14:textId="6E52EFFB" w:rsidR="0036327D" w:rsidRPr="0036327D" w:rsidRDefault="0036327D" w:rsidP="00F326E5">
      <w:pPr>
        <w:pStyle w:val="NoSpacing"/>
        <w:rPr>
          <w:rFonts w:ascii="Times New Roman" w:hAnsi="Times New Roman"/>
          <w:b/>
          <w:bCs/>
          <w:sz w:val="24"/>
          <w:szCs w:val="24"/>
        </w:rPr>
      </w:pPr>
      <w:r w:rsidRPr="0036327D">
        <w:rPr>
          <w:rFonts w:ascii="Times New Roman" w:hAnsi="Times New Roman"/>
          <w:b/>
          <w:bCs/>
          <w:sz w:val="24"/>
          <w:szCs w:val="24"/>
        </w:rPr>
        <w:t>Legal Lesson Learned: Courts will enforce the plain language of statutes, particularly when the language is supported by the legislative history of the statute</w:t>
      </w:r>
    </w:p>
    <w:p w14:paraId="328DE714" w14:textId="77777777" w:rsidR="0036327D" w:rsidRDefault="0036327D" w:rsidP="00F326E5">
      <w:pPr>
        <w:pStyle w:val="NoSpacing"/>
        <w:rPr>
          <w:bCs/>
          <w:sz w:val="24"/>
          <w:szCs w:val="24"/>
        </w:rPr>
      </w:pPr>
    </w:p>
    <w:bookmarkEnd w:id="91"/>
    <w:p w14:paraId="25EE5C5B" w14:textId="77777777" w:rsidR="00F326E5" w:rsidRPr="00A50673" w:rsidRDefault="00F326E5" w:rsidP="00F326E5">
      <w:pPr>
        <w:pStyle w:val="NoSpacing"/>
        <w:rPr>
          <w:b/>
          <w:sz w:val="24"/>
          <w:szCs w:val="24"/>
        </w:rPr>
      </w:pPr>
    </w:p>
    <w:p w14:paraId="4459DCAF" w14:textId="77777777" w:rsidR="00F326E5" w:rsidRDefault="00F326E5" w:rsidP="00F326E5">
      <w:pPr>
        <w:rPr>
          <w:rFonts w:ascii="Times New Roman" w:hAnsi="Times New Roman"/>
          <w:sz w:val="24"/>
          <w:szCs w:val="24"/>
        </w:rPr>
      </w:pPr>
    </w:p>
    <w:p w14:paraId="4674064E" w14:textId="75180BBE" w:rsidR="00F326E5" w:rsidRDefault="00EF1133" w:rsidP="00F326E5">
      <w:pPr>
        <w:pStyle w:val="NoSpacing"/>
        <w:rPr>
          <w:sz w:val="24"/>
          <w:szCs w:val="24"/>
        </w:rPr>
      </w:pPr>
      <w:r w:rsidRPr="00791CA3">
        <w:rPr>
          <w:rFonts w:ascii="Arial Black" w:hAnsi="Arial Black"/>
          <w:sz w:val="24"/>
          <w:szCs w:val="24"/>
        </w:rPr>
        <w:t>2-1</w:t>
      </w:r>
      <w:r>
        <w:rPr>
          <w:rFonts w:ascii="Arial Black" w:hAnsi="Arial Black"/>
          <w:sz w:val="24"/>
          <w:szCs w:val="24"/>
        </w:rPr>
        <w:t>2</w:t>
      </w:r>
    </w:p>
    <w:p w14:paraId="6C22CB48" w14:textId="77777777" w:rsidR="00F326E5" w:rsidRDefault="00F326E5" w:rsidP="00F326E5">
      <w:pPr>
        <w:pStyle w:val="NoSpacing"/>
        <w:rPr>
          <w:sz w:val="24"/>
          <w:szCs w:val="24"/>
        </w:rPr>
      </w:pPr>
    </w:p>
    <w:p w14:paraId="0DDD670B" w14:textId="26210874" w:rsidR="00F326E5" w:rsidRPr="00724064" w:rsidRDefault="00F326E5" w:rsidP="00F326E5">
      <w:pPr>
        <w:pStyle w:val="NoSpacing"/>
        <w:rPr>
          <w:rFonts w:ascii="Arial Black" w:hAnsi="Arial Black"/>
          <w:b/>
          <w:sz w:val="28"/>
          <w:szCs w:val="28"/>
        </w:rPr>
      </w:pPr>
      <w:bookmarkStart w:id="114" w:name="_Hlk7340697"/>
      <w:r w:rsidRPr="00724064">
        <w:rPr>
          <w:rFonts w:ascii="Arial Black" w:hAnsi="Arial Black"/>
          <w:b/>
          <w:sz w:val="28"/>
          <w:szCs w:val="28"/>
        </w:rPr>
        <w:t>IL</w:t>
      </w:r>
      <w:r>
        <w:rPr>
          <w:rFonts w:ascii="Arial Black" w:hAnsi="Arial Black"/>
          <w:b/>
          <w:sz w:val="28"/>
          <w:szCs w:val="28"/>
        </w:rPr>
        <w:t xml:space="preserve">: </w:t>
      </w:r>
      <w:r w:rsidRPr="00724064">
        <w:rPr>
          <w:rFonts w:ascii="Arial Black" w:hAnsi="Arial Black"/>
          <w:b/>
          <w:sz w:val="28"/>
          <w:szCs w:val="28"/>
        </w:rPr>
        <w:t>FF WITH PROSTATE CANCER</w:t>
      </w:r>
      <w:r>
        <w:rPr>
          <w:rFonts w:ascii="Arial Black" w:hAnsi="Arial Black"/>
          <w:b/>
          <w:sz w:val="28"/>
          <w:szCs w:val="28"/>
        </w:rPr>
        <w:t xml:space="preserve"> - </w:t>
      </w:r>
      <w:r w:rsidRPr="00724064">
        <w:rPr>
          <w:rFonts w:ascii="Arial Black" w:hAnsi="Arial Black"/>
          <w:b/>
          <w:sz w:val="28"/>
          <w:szCs w:val="28"/>
        </w:rPr>
        <w:t>DENIED COVERAGE</w:t>
      </w:r>
    </w:p>
    <w:p w14:paraId="01C6DB67" w14:textId="77777777" w:rsidR="00F326E5" w:rsidRPr="0036327D" w:rsidRDefault="00F326E5" w:rsidP="00F326E5">
      <w:pPr>
        <w:rPr>
          <w:rFonts w:ascii="Times New Roman" w:eastAsia="Times New Roman" w:hAnsi="Times New Roman"/>
          <w:sz w:val="24"/>
          <w:szCs w:val="24"/>
        </w:rPr>
      </w:pPr>
      <w:r w:rsidRPr="0036327D">
        <w:rPr>
          <w:rFonts w:ascii="Times New Roman" w:eastAsia="Times New Roman" w:hAnsi="Times New Roman"/>
          <w:sz w:val="24"/>
          <w:szCs w:val="24"/>
        </w:rPr>
        <w:t xml:space="preserve">On Nov. 14, 2018, in </w:t>
      </w:r>
      <w:r w:rsidRPr="0036327D">
        <w:rPr>
          <w:rFonts w:ascii="Times New Roman" w:eastAsia="Times New Roman" w:hAnsi="Times New Roman"/>
          <w:sz w:val="24"/>
          <w:szCs w:val="24"/>
          <w:u w:val="single"/>
        </w:rPr>
        <w:t>Clifford A. Ekkert v. Illinois Workers Compensation Commission and Village of Oak Brook</w:t>
      </w:r>
      <w:r w:rsidRPr="0036327D">
        <w:rPr>
          <w:rFonts w:ascii="Times New Roman" w:eastAsia="Times New Roman" w:hAnsi="Times New Roman"/>
          <w:sz w:val="24"/>
          <w:szCs w:val="24"/>
        </w:rPr>
        <w:t xml:space="preserve">, the Appellate Court of Illinois, Second District, Workers Compensation Division, held (5 to 0) that firefighter Ekkert is not covered by workers comp: “claimant did not adequately set forth and develop an argument as to why the ultimate decision of the Commission was contrary to the manifest weight of the evidence.” </w:t>
      </w:r>
      <w:hyperlink r:id="rId596" w:history="1">
        <w:r w:rsidRPr="0036327D">
          <w:rPr>
            <w:rStyle w:val="Hyperlink"/>
            <w:rFonts w:ascii="Times New Roman" w:hAnsi="Times New Roman"/>
            <w:sz w:val="24"/>
            <w:szCs w:val="24"/>
          </w:rPr>
          <w:t>http://www.illinoiscourts.gov/R23_Orders/WorkersComp/2018/2170447WC_R23.pdf</w:t>
        </w:r>
      </w:hyperlink>
      <w:r w:rsidRPr="0036327D">
        <w:rPr>
          <w:rFonts w:ascii="Times New Roman" w:eastAsia="Times New Roman" w:hAnsi="Times New Roman"/>
          <w:sz w:val="24"/>
          <w:szCs w:val="24"/>
        </w:rPr>
        <w:t xml:space="preserve"> </w:t>
      </w:r>
    </w:p>
    <w:p w14:paraId="44DBC00E" w14:textId="77777777" w:rsidR="00F326E5" w:rsidRPr="0036327D" w:rsidRDefault="00F326E5" w:rsidP="00F326E5">
      <w:pPr>
        <w:pStyle w:val="ListParagraph"/>
        <w:ind w:left="0"/>
        <w:rPr>
          <w:rFonts w:ascii="Times New Roman" w:eastAsia="Times New Roman" w:hAnsi="Times New Roman" w:cs="Times New Roman"/>
          <w:b/>
          <w:sz w:val="24"/>
          <w:szCs w:val="24"/>
        </w:rPr>
      </w:pPr>
      <w:r w:rsidRPr="0036327D">
        <w:rPr>
          <w:rFonts w:ascii="Times New Roman" w:eastAsia="Times New Roman" w:hAnsi="Times New Roman" w:cs="Times New Roman"/>
          <w:b/>
          <w:sz w:val="24"/>
          <w:szCs w:val="24"/>
        </w:rPr>
        <w:t xml:space="preserve">Legal Lessons Learned:  A firefighter with prostate cancer, seeking </w:t>
      </w:r>
      <w:proofErr w:type="gramStart"/>
      <w:r w:rsidRPr="0036327D">
        <w:rPr>
          <w:rFonts w:ascii="Times New Roman" w:eastAsia="Times New Roman" w:hAnsi="Times New Roman" w:cs="Times New Roman"/>
          <w:b/>
          <w:sz w:val="24"/>
          <w:szCs w:val="24"/>
        </w:rPr>
        <w:t>workers</w:t>
      </w:r>
      <w:proofErr w:type="gramEnd"/>
      <w:r w:rsidRPr="0036327D">
        <w:rPr>
          <w:rFonts w:ascii="Times New Roman" w:eastAsia="Times New Roman" w:hAnsi="Times New Roman" w:cs="Times New Roman"/>
          <w:b/>
          <w:sz w:val="24"/>
          <w:szCs w:val="24"/>
        </w:rPr>
        <w:t xml:space="preserve"> compensation, needs to consult a board-certified expert in urology.  The statutory presumption is rebuttable by employer’s expert witness. </w:t>
      </w:r>
    </w:p>
    <w:bookmarkEnd w:id="114"/>
    <w:p w14:paraId="091725A2" w14:textId="77777777" w:rsidR="00965872" w:rsidRDefault="00965872" w:rsidP="00EF1133">
      <w:pPr>
        <w:pStyle w:val="NoSpacing"/>
        <w:rPr>
          <w:rFonts w:ascii="Arial Black" w:hAnsi="Arial Black"/>
          <w:sz w:val="24"/>
          <w:szCs w:val="24"/>
        </w:rPr>
      </w:pPr>
    </w:p>
    <w:p w14:paraId="4B630D31" w14:textId="77777777" w:rsidR="00965872" w:rsidRDefault="00965872" w:rsidP="00EF1133">
      <w:pPr>
        <w:pStyle w:val="NoSpacing"/>
        <w:rPr>
          <w:rFonts w:ascii="Arial Black" w:hAnsi="Arial Black"/>
          <w:sz w:val="24"/>
          <w:szCs w:val="24"/>
        </w:rPr>
      </w:pPr>
    </w:p>
    <w:p w14:paraId="4F3C8302" w14:textId="580B7A63"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2-1</w:t>
      </w:r>
      <w:r>
        <w:rPr>
          <w:rFonts w:ascii="Arial Black" w:hAnsi="Arial Black"/>
          <w:sz w:val="24"/>
          <w:szCs w:val="24"/>
        </w:rPr>
        <w:t>1</w:t>
      </w:r>
    </w:p>
    <w:p w14:paraId="1FFB4BB2" w14:textId="77777777" w:rsidR="00F326E5" w:rsidRDefault="00F326E5" w:rsidP="00F326E5">
      <w:pPr>
        <w:rPr>
          <w:sz w:val="24"/>
          <w:szCs w:val="24"/>
        </w:rPr>
      </w:pPr>
    </w:p>
    <w:p w14:paraId="0693AAD5" w14:textId="5C4E15BE" w:rsidR="00F326E5" w:rsidRPr="002B7386" w:rsidRDefault="00F326E5" w:rsidP="00F326E5">
      <w:pPr>
        <w:rPr>
          <w:sz w:val="24"/>
          <w:szCs w:val="24"/>
        </w:rPr>
      </w:pPr>
      <w:bookmarkStart w:id="115" w:name="_Hlk7340734"/>
      <w:r>
        <w:rPr>
          <w:rFonts w:ascii="Arial Black" w:hAnsi="Arial Black"/>
          <w:sz w:val="28"/>
          <w:szCs w:val="28"/>
        </w:rPr>
        <w:t>PA:  SKIN CANCER - FF DID NOT SHOW SCIENTIFIC EVIDENCE CONNECTING TO JOB</w:t>
      </w:r>
    </w:p>
    <w:p w14:paraId="7766ECFE" w14:textId="6A9B283F" w:rsidR="00965872" w:rsidRDefault="00F326E5" w:rsidP="00F326E5">
      <w:pPr>
        <w:pStyle w:val="NoSpacing"/>
        <w:rPr>
          <w:rFonts w:ascii="Times New Roman" w:eastAsia="Times New Roman" w:hAnsi="Times New Roman"/>
          <w:sz w:val="24"/>
          <w:szCs w:val="24"/>
        </w:rPr>
      </w:pPr>
      <w:r w:rsidRPr="0036327D">
        <w:rPr>
          <w:rFonts w:ascii="Times New Roman" w:hAnsi="Times New Roman"/>
          <w:sz w:val="24"/>
          <w:szCs w:val="24"/>
        </w:rPr>
        <w:t xml:space="preserve">On Oct. 18, 2018, in </w:t>
      </w:r>
      <w:r w:rsidRPr="0036327D">
        <w:rPr>
          <w:rFonts w:ascii="Times New Roman" w:eastAsia="Times New Roman" w:hAnsi="Times New Roman"/>
          <w:sz w:val="24"/>
          <w:szCs w:val="24"/>
          <w:u w:val="single"/>
        </w:rPr>
        <w:t>City Of Philadelphia Fire Department v. Workers’ Compensation Appeal Board (Appeal of Scott Sladek)</w:t>
      </w:r>
      <w:r w:rsidRPr="0036327D">
        <w:rPr>
          <w:rFonts w:ascii="Times New Roman" w:eastAsia="Times New Roman" w:hAnsi="Times New Roman"/>
          <w:sz w:val="24"/>
          <w:szCs w:val="24"/>
        </w:rPr>
        <w:t>, the Supreme Court of Pennsylvania (sitting in Eastern District, Philadelphia) held (4 to 3) that a firefighter with skin cancer must present scientific evidence to Workers Comp Board that his malignant melanoma is a type of cancer caused by the Group 1 carcinogens.  The City’s expert</w:t>
      </w:r>
      <w:r w:rsidR="00965872">
        <w:rPr>
          <w:rFonts w:ascii="Times New Roman" w:eastAsia="Times New Roman" w:hAnsi="Times New Roman"/>
          <w:sz w:val="24"/>
          <w:szCs w:val="24"/>
        </w:rPr>
        <w:t>:</w:t>
      </w:r>
      <w:r w:rsidRPr="0036327D">
        <w:rPr>
          <w:rFonts w:ascii="Times New Roman" w:eastAsia="Times New Roman" w:hAnsi="Times New Roman"/>
          <w:sz w:val="24"/>
          <w:szCs w:val="24"/>
        </w:rPr>
        <w:t xml:space="preserve"> </w:t>
      </w:r>
    </w:p>
    <w:p w14:paraId="622289F7" w14:textId="77777777" w:rsidR="00965872" w:rsidRDefault="00965872" w:rsidP="00F326E5">
      <w:pPr>
        <w:pStyle w:val="NoSpacing"/>
        <w:rPr>
          <w:rFonts w:ascii="Times New Roman" w:eastAsia="Times New Roman" w:hAnsi="Times New Roman"/>
          <w:sz w:val="24"/>
          <w:szCs w:val="24"/>
        </w:rPr>
      </w:pPr>
    </w:p>
    <w:p w14:paraId="6A0D6593" w14:textId="429ED372" w:rsidR="00F326E5" w:rsidRPr="0036327D" w:rsidRDefault="00F326E5" w:rsidP="00965872">
      <w:pPr>
        <w:pStyle w:val="NoSpacing"/>
        <w:ind w:left="720"/>
        <w:rPr>
          <w:rFonts w:ascii="Times New Roman" w:hAnsi="Times New Roman"/>
          <w:sz w:val="24"/>
          <w:szCs w:val="24"/>
        </w:rPr>
      </w:pPr>
      <w:r w:rsidRPr="0036327D">
        <w:rPr>
          <w:rFonts w:ascii="Times New Roman" w:eastAsia="Times New Roman" w:hAnsi="Times New Roman"/>
          <w:sz w:val="24"/>
          <w:szCs w:val="24"/>
        </w:rPr>
        <w:t xml:space="preserve">“Dr. Guidotti, testified that there is considerable epidemiological evidence to support a causative relationship between malignant melanoma of the skin and sunlight exposure (sunburn), but no similar evidence to support a causative connection between malignant melanoma and the inhalation of any substance.” </w:t>
      </w:r>
      <w:hyperlink r:id="rId597" w:anchor="search=%22SCOTT%20SLADEK%20%27Supreme%2bCourt%27%22" w:history="1">
        <w:r w:rsidRPr="0036327D">
          <w:rPr>
            <w:rStyle w:val="Hyperlink"/>
            <w:rFonts w:ascii="Times New Roman" w:hAnsi="Times New Roman"/>
            <w:sz w:val="24"/>
            <w:szCs w:val="24"/>
          </w:rPr>
          <w:t>http://www.pacourts.us/assets/opinions/Supreme/out/opinion%20announcing%20judgment%20of%20the%20court%20%20reversedremanded%20%2010373870143091493.pdf#search=%22SCOTT%20SLADEK%20%27Supreme%2bCourt%27%22</w:t>
        </w:r>
      </w:hyperlink>
    </w:p>
    <w:p w14:paraId="264DACD8" w14:textId="77777777" w:rsidR="00965872" w:rsidRDefault="00965872" w:rsidP="00F326E5">
      <w:pPr>
        <w:pStyle w:val="NoSpacing"/>
        <w:rPr>
          <w:rFonts w:ascii="Times New Roman" w:hAnsi="Times New Roman"/>
          <w:b/>
          <w:sz w:val="24"/>
          <w:szCs w:val="24"/>
        </w:rPr>
      </w:pPr>
    </w:p>
    <w:p w14:paraId="1EFE9B16" w14:textId="6213A27E" w:rsidR="00F326E5" w:rsidRPr="0036327D" w:rsidRDefault="00F326E5" w:rsidP="00F326E5">
      <w:pPr>
        <w:pStyle w:val="NoSpacing"/>
        <w:rPr>
          <w:rStyle w:val="Hyperlink"/>
          <w:rFonts w:ascii="Times New Roman" w:hAnsi="Times New Roman"/>
          <w:b/>
          <w:sz w:val="24"/>
          <w:szCs w:val="24"/>
        </w:rPr>
      </w:pPr>
      <w:r w:rsidRPr="0036327D">
        <w:rPr>
          <w:rFonts w:ascii="Times New Roman" w:hAnsi="Times New Roman"/>
          <w:b/>
          <w:sz w:val="24"/>
          <w:szCs w:val="24"/>
        </w:rPr>
        <w:t xml:space="preserve">Legal Lessons Learned:  There are statutory presumption statutes in many states; some cover specific cancers, such as leukemia, non-Hodgkin lymphoma, brain cancer, bladder cancer, and gastrointestinal cancer.   Other statutes do not specify the specific </w:t>
      </w:r>
      <w:proofErr w:type="gramStart"/>
      <w:r w:rsidRPr="0036327D">
        <w:rPr>
          <w:rFonts w:ascii="Times New Roman" w:hAnsi="Times New Roman"/>
          <w:b/>
          <w:sz w:val="24"/>
          <w:szCs w:val="24"/>
        </w:rPr>
        <w:t>cancers</w:t>
      </w:r>
      <w:proofErr w:type="gramEnd"/>
      <w:r w:rsidRPr="0036327D">
        <w:rPr>
          <w:rFonts w:ascii="Times New Roman" w:hAnsi="Times New Roman"/>
          <w:b/>
          <w:sz w:val="24"/>
          <w:szCs w:val="24"/>
        </w:rPr>
        <w:t xml:space="preserve">, and  </w:t>
      </w:r>
      <w:r w:rsidRPr="0036327D">
        <w:rPr>
          <w:rFonts w:ascii="Times New Roman" w:eastAsia="Times New Roman" w:hAnsi="Times New Roman"/>
          <w:b/>
          <w:sz w:val="24"/>
          <w:szCs w:val="24"/>
        </w:rPr>
        <w:t xml:space="preserve">epidemiological evidence may be required to win a </w:t>
      </w:r>
      <w:proofErr w:type="gramStart"/>
      <w:r w:rsidRPr="0036327D">
        <w:rPr>
          <w:rFonts w:ascii="Times New Roman" w:eastAsia="Times New Roman" w:hAnsi="Times New Roman"/>
          <w:b/>
          <w:sz w:val="24"/>
          <w:szCs w:val="24"/>
        </w:rPr>
        <w:t>workers</w:t>
      </w:r>
      <w:proofErr w:type="gramEnd"/>
      <w:r w:rsidRPr="0036327D">
        <w:rPr>
          <w:rFonts w:ascii="Times New Roman" w:eastAsia="Times New Roman" w:hAnsi="Times New Roman"/>
          <w:b/>
          <w:sz w:val="24"/>
          <w:szCs w:val="24"/>
        </w:rPr>
        <w:t xml:space="preserve"> comp claim.</w:t>
      </w:r>
      <w:r w:rsidRPr="0036327D">
        <w:rPr>
          <w:rStyle w:val="Hyperlink"/>
          <w:rFonts w:ascii="Times New Roman" w:hAnsi="Times New Roman"/>
          <w:sz w:val="24"/>
          <w:szCs w:val="24"/>
        </w:rPr>
        <w:t xml:space="preserve"> </w:t>
      </w:r>
    </w:p>
    <w:p w14:paraId="289056F0" w14:textId="77777777" w:rsidR="00F326E5" w:rsidRPr="0036327D" w:rsidRDefault="00F326E5" w:rsidP="00F326E5">
      <w:pPr>
        <w:pStyle w:val="NoSpacing"/>
        <w:rPr>
          <w:rFonts w:ascii="Times New Roman" w:hAnsi="Times New Roman"/>
          <w:b/>
          <w:sz w:val="24"/>
          <w:szCs w:val="24"/>
        </w:rPr>
      </w:pPr>
      <w:hyperlink r:id="rId598" w:history="1">
        <w:r w:rsidRPr="0036327D">
          <w:rPr>
            <w:rStyle w:val="Hyperlink"/>
            <w:rFonts w:ascii="Times New Roman" w:hAnsi="Times New Roman"/>
            <w:sz w:val="24"/>
            <w:szCs w:val="24"/>
          </w:rPr>
          <w:t>https://www.firstrespondercenter.org/cancer/toolsresources/presumptive-legislation-firefighter-cancer-state/</w:t>
        </w:r>
      </w:hyperlink>
    </w:p>
    <w:p w14:paraId="4463F4A7" w14:textId="77777777" w:rsidR="00F326E5" w:rsidRPr="0036327D" w:rsidRDefault="00F326E5" w:rsidP="00F326E5">
      <w:pPr>
        <w:pStyle w:val="NoSpacing"/>
        <w:rPr>
          <w:rFonts w:ascii="Times New Roman" w:hAnsi="Times New Roman"/>
          <w:b/>
          <w:sz w:val="24"/>
          <w:szCs w:val="24"/>
        </w:rPr>
      </w:pPr>
    </w:p>
    <w:p w14:paraId="7C687AD0" w14:textId="77777777" w:rsidR="00EF1133" w:rsidRDefault="00EF1133" w:rsidP="00EF1133">
      <w:pPr>
        <w:pStyle w:val="NoSpacing"/>
        <w:rPr>
          <w:rFonts w:ascii="Arial Black" w:hAnsi="Arial Black"/>
          <w:sz w:val="24"/>
          <w:szCs w:val="24"/>
        </w:rPr>
      </w:pPr>
    </w:p>
    <w:p w14:paraId="6E77FD57" w14:textId="66B6585B"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2-1</w:t>
      </w:r>
      <w:r>
        <w:rPr>
          <w:rFonts w:ascii="Arial Black" w:hAnsi="Arial Black"/>
          <w:sz w:val="24"/>
          <w:szCs w:val="24"/>
        </w:rPr>
        <w:t>0</w:t>
      </w:r>
    </w:p>
    <w:p w14:paraId="49AD7EBD" w14:textId="77777777" w:rsidR="00F326E5" w:rsidRDefault="00F326E5" w:rsidP="00F326E5">
      <w:pPr>
        <w:rPr>
          <w:sz w:val="24"/>
          <w:szCs w:val="24"/>
        </w:rPr>
      </w:pPr>
    </w:p>
    <w:p w14:paraId="05B5B75E" w14:textId="3AA4FE6E" w:rsidR="00F326E5" w:rsidRPr="00724064" w:rsidRDefault="00F326E5" w:rsidP="00F326E5">
      <w:pPr>
        <w:rPr>
          <w:rFonts w:ascii="Arial Black" w:hAnsi="Arial Black"/>
          <w:sz w:val="28"/>
          <w:szCs w:val="28"/>
        </w:rPr>
      </w:pPr>
      <w:bookmarkStart w:id="116" w:name="_Hlk7340805"/>
      <w:bookmarkEnd w:id="115"/>
      <w:r w:rsidRPr="00724064">
        <w:rPr>
          <w:rFonts w:ascii="Arial Black" w:hAnsi="Arial Black"/>
          <w:sz w:val="28"/>
          <w:szCs w:val="28"/>
        </w:rPr>
        <w:t>PA: Q-S</w:t>
      </w:r>
      <w:r>
        <w:rPr>
          <w:rFonts w:ascii="Arial Black" w:hAnsi="Arial Black"/>
          <w:sz w:val="28"/>
          <w:szCs w:val="28"/>
        </w:rPr>
        <w:t xml:space="preserve">IREN LAWSUIT DISMISSED – DID NOT PROVE WAS “UNREASONABLY DANGEROUS” </w:t>
      </w:r>
    </w:p>
    <w:p w14:paraId="5DC26B43" w14:textId="77777777" w:rsidR="00965872" w:rsidRDefault="00F326E5" w:rsidP="00F326E5">
      <w:pPr>
        <w:pStyle w:val="NoSpacing"/>
        <w:rPr>
          <w:rFonts w:ascii="Times New Roman" w:hAnsi="Times New Roman"/>
          <w:sz w:val="24"/>
          <w:szCs w:val="24"/>
        </w:rPr>
      </w:pPr>
      <w:r w:rsidRPr="0036327D">
        <w:rPr>
          <w:rFonts w:ascii="Times New Roman" w:hAnsi="Times New Roman"/>
          <w:sz w:val="24"/>
          <w:szCs w:val="24"/>
        </w:rPr>
        <w:t xml:space="preserve">On Aug. 20, 2018, in </w:t>
      </w:r>
      <w:r w:rsidRPr="0036327D">
        <w:rPr>
          <w:rFonts w:ascii="Times New Roman" w:hAnsi="Times New Roman"/>
          <w:sz w:val="24"/>
          <w:szCs w:val="24"/>
          <w:u w:val="single"/>
        </w:rPr>
        <w:t>Ronald Dunlap and Carl Roel v. Federal Signal Corporation, et al.</w:t>
      </w:r>
      <w:r w:rsidRPr="0036327D">
        <w:rPr>
          <w:rFonts w:ascii="Times New Roman" w:hAnsi="Times New Roman"/>
          <w:sz w:val="24"/>
          <w:szCs w:val="24"/>
        </w:rPr>
        <w:t xml:space="preserve">, the Superior Court of Pennsylvania, held (2 to 1) that the trial court properly granted summary judgment to the siren manufacturer.  The Court wrote: </w:t>
      </w:r>
    </w:p>
    <w:p w14:paraId="54A7E475" w14:textId="77777777" w:rsidR="00965872" w:rsidRDefault="00965872" w:rsidP="00F326E5">
      <w:pPr>
        <w:pStyle w:val="NoSpacing"/>
        <w:rPr>
          <w:rFonts w:ascii="Times New Roman" w:hAnsi="Times New Roman"/>
          <w:sz w:val="24"/>
          <w:szCs w:val="24"/>
        </w:rPr>
      </w:pPr>
    </w:p>
    <w:p w14:paraId="27484287" w14:textId="0699C85A" w:rsidR="00F326E5" w:rsidRPr="0036327D" w:rsidRDefault="00F326E5" w:rsidP="00965872">
      <w:pPr>
        <w:pStyle w:val="NoSpacing"/>
        <w:ind w:left="720"/>
        <w:rPr>
          <w:rFonts w:ascii="Times New Roman" w:hAnsi="Times New Roman"/>
          <w:sz w:val="24"/>
          <w:szCs w:val="24"/>
        </w:rPr>
      </w:pPr>
      <w:r w:rsidRPr="0036327D">
        <w:rPr>
          <w:rFonts w:ascii="Times New Roman" w:hAnsi="Times New Roman"/>
          <w:sz w:val="24"/>
          <w:szCs w:val="24"/>
        </w:rPr>
        <w:t xml:space="preserve">“Plaintiff firefighters’ acoustics expert, Mr. Struck, presented an alternative siren design that would afford greater protection for firefighters from hearing loss by adding a Bromley Shroud, which would direct the noise to the front of the fire truck and away from the cab. However, he focused solely on the benefits of the shrouded design to the firefighters occupying the cab of the firetruck; he did not opine whether that design would protect the </w:t>
      </w:r>
      <w:proofErr w:type="gramStart"/>
      <w:r w:rsidRPr="0036327D">
        <w:rPr>
          <w:rFonts w:ascii="Times New Roman" w:hAnsi="Times New Roman"/>
          <w:sz w:val="24"/>
          <w:szCs w:val="24"/>
        </w:rPr>
        <w:t>public.”</w:t>
      </w:r>
      <w:proofErr w:type="gramEnd"/>
    </w:p>
    <w:p w14:paraId="1A2D036C" w14:textId="4404788F" w:rsidR="00F326E5" w:rsidRPr="0036327D" w:rsidRDefault="00965872" w:rsidP="00965872">
      <w:pPr>
        <w:pStyle w:val="NoSpacing"/>
        <w:ind w:firstLine="720"/>
        <w:rPr>
          <w:rFonts w:ascii="Times New Roman" w:hAnsi="Times New Roman"/>
          <w:b/>
          <w:sz w:val="24"/>
          <w:szCs w:val="24"/>
        </w:rPr>
      </w:pPr>
      <w:hyperlink r:id="rId599" w:history="1">
        <w:r w:rsidRPr="002F304C">
          <w:rPr>
            <w:rStyle w:val="Hyperlink"/>
            <w:rFonts w:ascii="Times New Roman" w:hAnsi="Times New Roman"/>
            <w:sz w:val="24"/>
            <w:szCs w:val="24"/>
          </w:rPr>
          <w:t>https://cases.justia.com/pennsylvania/superior-court/2018-1747-wda-2016.pdf?ts=1534790308</w:t>
        </w:r>
      </w:hyperlink>
      <w:r w:rsidR="00F326E5" w:rsidRPr="0036327D">
        <w:rPr>
          <w:rFonts w:ascii="Times New Roman" w:hAnsi="Times New Roman"/>
          <w:b/>
          <w:sz w:val="24"/>
          <w:szCs w:val="24"/>
        </w:rPr>
        <w:t xml:space="preserve"> </w:t>
      </w:r>
    </w:p>
    <w:p w14:paraId="4809C827" w14:textId="77777777" w:rsidR="00965872" w:rsidRDefault="00965872" w:rsidP="00F326E5">
      <w:pPr>
        <w:pStyle w:val="NoSpacing"/>
        <w:rPr>
          <w:rFonts w:ascii="Times New Roman" w:hAnsi="Times New Roman"/>
          <w:b/>
          <w:sz w:val="24"/>
          <w:szCs w:val="24"/>
        </w:rPr>
      </w:pPr>
    </w:p>
    <w:p w14:paraId="4BE8F98F" w14:textId="7A91D79E" w:rsidR="00F326E5" w:rsidRPr="0036327D" w:rsidRDefault="00F326E5" w:rsidP="00F326E5">
      <w:pPr>
        <w:pStyle w:val="NoSpacing"/>
        <w:rPr>
          <w:rFonts w:ascii="Times New Roman" w:hAnsi="Times New Roman"/>
          <w:b/>
          <w:sz w:val="24"/>
          <w:szCs w:val="24"/>
        </w:rPr>
      </w:pPr>
      <w:r w:rsidRPr="0036327D">
        <w:rPr>
          <w:rFonts w:ascii="Times New Roman" w:hAnsi="Times New Roman"/>
          <w:b/>
          <w:sz w:val="24"/>
          <w:szCs w:val="24"/>
        </w:rPr>
        <w:t xml:space="preserve">Legal Lesson Learned:  Hearing loss is a serious issue in fire and EMS; hearing protection should be worn when the siren is activated. </w:t>
      </w:r>
    </w:p>
    <w:p w14:paraId="43BACD0C" w14:textId="77777777" w:rsidR="00F326E5" w:rsidRDefault="00F326E5" w:rsidP="00F326E5">
      <w:pPr>
        <w:pStyle w:val="NoSpacing"/>
        <w:rPr>
          <w:b/>
          <w:sz w:val="24"/>
          <w:szCs w:val="24"/>
        </w:rPr>
      </w:pPr>
    </w:p>
    <w:p w14:paraId="0765FBC2" w14:textId="77777777" w:rsidR="00EF1133" w:rsidRDefault="00EF1133" w:rsidP="00EF1133">
      <w:pPr>
        <w:pStyle w:val="NoSpacing"/>
        <w:rPr>
          <w:rFonts w:ascii="Arial Black" w:hAnsi="Arial Black"/>
          <w:sz w:val="24"/>
          <w:szCs w:val="24"/>
        </w:rPr>
      </w:pPr>
      <w:bookmarkStart w:id="117" w:name="_Hlk7173123"/>
      <w:bookmarkEnd w:id="116"/>
    </w:p>
    <w:p w14:paraId="4863FA47" w14:textId="2B737541"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9</w:t>
      </w:r>
    </w:p>
    <w:p w14:paraId="2739ABC0" w14:textId="77777777" w:rsidR="00F326E5" w:rsidRDefault="00F326E5" w:rsidP="00F326E5">
      <w:pPr>
        <w:pStyle w:val="NoSpacing"/>
        <w:rPr>
          <w:sz w:val="24"/>
          <w:szCs w:val="24"/>
        </w:rPr>
      </w:pPr>
    </w:p>
    <w:p w14:paraId="6A7EB7B1" w14:textId="66C184B8" w:rsidR="00F326E5" w:rsidRDefault="00F326E5" w:rsidP="00F326E5">
      <w:pPr>
        <w:pStyle w:val="NoSpacing"/>
        <w:rPr>
          <w:rFonts w:ascii="Arial Black" w:hAnsi="Arial Black"/>
          <w:b/>
          <w:sz w:val="24"/>
          <w:szCs w:val="24"/>
        </w:rPr>
      </w:pPr>
      <w:bookmarkStart w:id="118" w:name="_Hlk7340860"/>
      <w:r w:rsidRPr="00724064">
        <w:rPr>
          <w:rFonts w:ascii="Arial Black" w:hAnsi="Arial Black"/>
          <w:b/>
          <w:sz w:val="28"/>
          <w:szCs w:val="28"/>
        </w:rPr>
        <w:t>PA: H</w:t>
      </w:r>
      <w:r>
        <w:rPr>
          <w:rFonts w:ascii="Arial Black" w:hAnsi="Arial Black"/>
          <w:b/>
          <w:sz w:val="28"/>
          <w:szCs w:val="28"/>
        </w:rPr>
        <w:t xml:space="preserve">EARING LOSS LAWSUIT DROPPED - PLANITIFF’S ATTORNEY MUST PAY DEF. ATTORNEY FEES </w:t>
      </w:r>
    </w:p>
    <w:p w14:paraId="1A5A046E" w14:textId="77777777" w:rsidR="00F326E5" w:rsidRPr="0036327D" w:rsidRDefault="00F326E5" w:rsidP="00F326E5">
      <w:pPr>
        <w:rPr>
          <w:rFonts w:ascii="Times New Roman" w:eastAsia="Times New Roman" w:hAnsi="Times New Roman"/>
          <w:sz w:val="24"/>
          <w:szCs w:val="24"/>
        </w:rPr>
      </w:pPr>
      <w:r w:rsidRPr="0036327D">
        <w:rPr>
          <w:rFonts w:ascii="Times New Roman" w:eastAsia="Times New Roman" w:hAnsi="Times New Roman"/>
          <w:sz w:val="24"/>
          <w:szCs w:val="24"/>
        </w:rPr>
        <w:t xml:space="preserve">On June 20, 2018, in </w:t>
      </w:r>
      <w:r w:rsidRPr="0036327D">
        <w:rPr>
          <w:rFonts w:ascii="Times New Roman" w:eastAsia="Times New Roman" w:hAnsi="Times New Roman"/>
          <w:sz w:val="24"/>
          <w:szCs w:val="24"/>
          <w:u w:val="single"/>
        </w:rPr>
        <w:t>Gerald Carroll, et al. v. Federal Signal Corporation, et al</w:t>
      </w:r>
      <w:r w:rsidRPr="0036327D">
        <w:rPr>
          <w:rFonts w:ascii="Times New Roman" w:eastAsia="Times New Roman" w:hAnsi="Times New Roman"/>
          <w:sz w:val="24"/>
          <w:szCs w:val="24"/>
        </w:rPr>
        <w:t>., the U.S. Court of Appeals for the 3</w:t>
      </w:r>
      <w:r w:rsidRPr="0036327D">
        <w:rPr>
          <w:rFonts w:ascii="Times New Roman" w:eastAsia="Times New Roman" w:hAnsi="Times New Roman"/>
          <w:sz w:val="24"/>
          <w:szCs w:val="24"/>
          <w:vertAlign w:val="superscript"/>
        </w:rPr>
        <w:t>rd</w:t>
      </w:r>
      <w:r w:rsidRPr="0036327D">
        <w:rPr>
          <w:rFonts w:ascii="Times New Roman" w:eastAsia="Times New Roman" w:hAnsi="Times New Roman"/>
          <w:sz w:val="24"/>
          <w:szCs w:val="24"/>
        </w:rPr>
        <w:t xml:space="preserve"> Circuit (Philadelphia) held (3 to 0) that plaintiffs’ attorney must pay $127,823.47 in attorney fees. </w:t>
      </w:r>
    </w:p>
    <w:p w14:paraId="6A9519E4" w14:textId="35DF2451" w:rsidR="00F326E5" w:rsidRPr="0036327D" w:rsidRDefault="00F326E5" w:rsidP="00F326E5">
      <w:pPr>
        <w:ind w:left="720"/>
        <w:rPr>
          <w:rFonts w:ascii="Times New Roman" w:eastAsia="Times New Roman" w:hAnsi="Times New Roman"/>
          <w:sz w:val="24"/>
          <w:szCs w:val="24"/>
        </w:rPr>
      </w:pPr>
      <w:r w:rsidRPr="0036327D">
        <w:rPr>
          <w:rFonts w:ascii="Times New Roman" w:eastAsia="Times New Roman" w:hAnsi="Times New Roman"/>
          <w:sz w:val="24"/>
          <w:szCs w:val="24"/>
        </w:rPr>
        <w:t>“Although attorneys’ fees and costs are typically not awarded when a matter is voluntarily dismissed with prejudice, we conclude that such an award may be granted when exceptional circumstances exist. Exceptional circumstances include a litigant’s failure to perform a meaningful pre-suit investigation, as well as a repeated practice of bringing meritless claims and then dismissing them with prejudice after both the opposing party and the judicial system have incurred substantial costs.  Because such exceptional circumstances are present in this case, the District Court’s award will be affirmed.”</w:t>
      </w:r>
      <w:r w:rsidR="00965872">
        <w:rPr>
          <w:rFonts w:ascii="Times New Roman" w:eastAsia="Times New Roman" w:hAnsi="Times New Roman"/>
          <w:sz w:val="24"/>
          <w:szCs w:val="24"/>
        </w:rPr>
        <w:t xml:space="preserve"> </w:t>
      </w:r>
      <w:hyperlink r:id="rId600" w:history="1">
        <w:r w:rsidRPr="0036327D">
          <w:rPr>
            <w:rStyle w:val="Hyperlink"/>
            <w:rFonts w:ascii="Times New Roman" w:hAnsi="Times New Roman"/>
            <w:sz w:val="24"/>
            <w:szCs w:val="24"/>
          </w:rPr>
          <w:t>http://www2.ca3.uscourts.gov/opinarch/172183p.pdf</w:t>
        </w:r>
      </w:hyperlink>
      <w:r w:rsidRPr="0036327D">
        <w:rPr>
          <w:rFonts w:ascii="Times New Roman" w:eastAsia="Times New Roman" w:hAnsi="Times New Roman"/>
          <w:sz w:val="24"/>
          <w:szCs w:val="24"/>
        </w:rPr>
        <w:t xml:space="preserve"> </w:t>
      </w:r>
    </w:p>
    <w:p w14:paraId="750F4306"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 xml:space="preserve">Legal Lessons Learned:   Hearing loss is a real issue in fire &amp; EMS - wear hearing protection.  </w:t>
      </w:r>
    </w:p>
    <w:p w14:paraId="658B3F67" w14:textId="77777777" w:rsidR="00F326E5" w:rsidRPr="0036327D" w:rsidRDefault="00F326E5" w:rsidP="00F326E5">
      <w:pPr>
        <w:ind w:left="720"/>
        <w:rPr>
          <w:rFonts w:ascii="Times New Roman" w:eastAsia="Times New Roman" w:hAnsi="Times New Roman"/>
          <w:sz w:val="24"/>
          <w:szCs w:val="24"/>
        </w:rPr>
      </w:pPr>
      <w:r w:rsidRPr="0036327D">
        <w:rPr>
          <w:rFonts w:ascii="Times New Roman" w:eastAsia="Times New Roman" w:hAnsi="Times New Roman"/>
          <w:sz w:val="24"/>
          <w:szCs w:val="24"/>
        </w:rPr>
        <w:t xml:space="preserve">See NFPA 1582; </w:t>
      </w:r>
      <w:hyperlink r:id="rId601" w:history="1">
        <w:r w:rsidRPr="0036327D">
          <w:rPr>
            <w:rStyle w:val="Hyperlink"/>
            <w:rFonts w:ascii="Times New Roman" w:hAnsi="Times New Roman"/>
            <w:sz w:val="24"/>
            <w:szCs w:val="24"/>
          </w:rPr>
          <w:t>https://www.nfpa.org/codes-and-standards/all-codes-and-standards/list-of-codes-and-standards/detail?code=1582</w:t>
        </w:r>
      </w:hyperlink>
      <w:r w:rsidRPr="0036327D">
        <w:rPr>
          <w:rFonts w:ascii="Times New Roman" w:eastAsia="Times New Roman" w:hAnsi="Times New Roman"/>
          <w:sz w:val="24"/>
          <w:szCs w:val="24"/>
        </w:rPr>
        <w:t xml:space="preserve">  See also these research articles, “</w:t>
      </w:r>
      <w:r w:rsidRPr="0036327D">
        <w:rPr>
          <w:rFonts w:ascii="Times New Roman" w:hAnsi="Times New Roman"/>
          <w:sz w:val="24"/>
          <w:szCs w:val="24"/>
        </w:rPr>
        <w:t xml:space="preserve">Hearing Loss Prevention and a Survey of Firefighters,” </w:t>
      </w:r>
      <w:hyperlink r:id="rId602" w:history="1">
        <w:r w:rsidRPr="0036327D">
          <w:rPr>
            <w:rStyle w:val="Hyperlink"/>
            <w:rFonts w:ascii="Times New Roman" w:hAnsi="Times New Roman"/>
            <w:sz w:val="24"/>
            <w:szCs w:val="24"/>
          </w:rPr>
          <w:t>http://www.caohc.org/updatearticles/2017/Update_v29-i1.pdf</w:t>
        </w:r>
      </w:hyperlink>
      <w:r w:rsidRPr="0036327D">
        <w:rPr>
          <w:rFonts w:ascii="Times New Roman" w:hAnsi="Times New Roman"/>
          <w:sz w:val="24"/>
          <w:szCs w:val="24"/>
        </w:rPr>
        <w:t xml:space="preserve"> ;  “Hearing Conservation For Firefighters,”  Audiology Today (Nov / Dec. 2012): </w:t>
      </w:r>
      <w:r w:rsidRPr="0036327D">
        <w:rPr>
          <w:rFonts w:ascii="Times New Roman" w:eastAsia="Times New Roman" w:hAnsi="Times New Roman"/>
          <w:sz w:val="24"/>
          <w:szCs w:val="24"/>
        </w:rPr>
        <w:t xml:space="preserve">“This hearing loss is irreversible, but preventable by using hearing protection or managing the noise and noise exposure. Unfortunately, audiologists see this population only after the hearing loss has become debilitating.” </w:t>
      </w:r>
      <w:hyperlink r:id="rId603" w:history="1">
        <w:r w:rsidRPr="0036327D">
          <w:rPr>
            <w:rStyle w:val="Hyperlink"/>
            <w:rFonts w:ascii="Times New Roman" w:hAnsi="Times New Roman"/>
            <w:sz w:val="24"/>
            <w:szCs w:val="24"/>
          </w:rPr>
          <w:t>https://www.audiology.org/sites/default/files/audiologytoday/AT%2024.6%20-%20LOW.pdf</w:t>
        </w:r>
      </w:hyperlink>
    </w:p>
    <w:bookmarkEnd w:id="117"/>
    <w:bookmarkEnd w:id="118"/>
    <w:p w14:paraId="2A0C46EF" w14:textId="77777777" w:rsidR="00F326E5" w:rsidRPr="0036327D" w:rsidRDefault="00F326E5" w:rsidP="00F326E5">
      <w:pPr>
        <w:pStyle w:val="NoSpacing"/>
        <w:rPr>
          <w:rFonts w:ascii="Times New Roman" w:hAnsi="Times New Roman"/>
          <w:b/>
          <w:sz w:val="24"/>
          <w:szCs w:val="24"/>
        </w:rPr>
      </w:pPr>
    </w:p>
    <w:p w14:paraId="0F14A4C0" w14:textId="12EC2A28" w:rsidR="00EF1133" w:rsidRPr="00791CA3" w:rsidRDefault="00EF1133" w:rsidP="00EF113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8</w:t>
      </w:r>
    </w:p>
    <w:p w14:paraId="340A039C" w14:textId="77777777" w:rsidR="00F326E5" w:rsidRDefault="00F326E5" w:rsidP="00F326E5">
      <w:pPr>
        <w:pStyle w:val="NoSpacing"/>
        <w:rPr>
          <w:rFonts w:ascii="Arial Black" w:hAnsi="Arial Black"/>
          <w:b/>
          <w:sz w:val="24"/>
          <w:szCs w:val="24"/>
        </w:rPr>
      </w:pPr>
    </w:p>
    <w:p w14:paraId="7F3947C4" w14:textId="290D80FB" w:rsidR="00F326E5" w:rsidRDefault="00F326E5" w:rsidP="00F326E5">
      <w:pPr>
        <w:pStyle w:val="NoSpacing"/>
        <w:rPr>
          <w:rFonts w:ascii="Arial Black" w:hAnsi="Arial Black"/>
          <w:b/>
          <w:sz w:val="28"/>
          <w:szCs w:val="28"/>
        </w:rPr>
      </w:pPr>
      <w:bookmarkStart w:id="119" w:name="_Hlk7340907"/>
      <w:r w:rsidRPr="009C2749">
        <w:rPr>
          <w:rFonts w:ascii="Arial Black" w:hAnsi="Arial Black"/>
          <w:b/>
          <w:sz w:val="28"/>
          <w:szCs w:val="28"/>
        </w:rPr>
        <w:t>MD</w:t>
      </w:r>
      <w:r>
        <w:rPr>
          <w:rFonts w:ascii="Arial Black" w:hAnsi="Arial Black"/>
          <w:b/>
          <w:sz w:val="28"/>
          <w:szCs w:val="28"/>
        </w:rPr>
        <w:t xml:space="preserve">: </w:t>
      </w:r>
      <w:r w:rsidRPr="009C2749">
        <w:rPr>
          <w:rFonts w:ascii="Arial Black" w:hAnsi="Arial Black"/>
          <w:b/>
          <w:sz w:val="28"/>
          <w:szCs w:val="28"/>
        </w:rPr>
        <w:t>P</w:t>
      </w:r>
      <w:r>
        <w:rPr>
          <w:rFonts w:ascii="Arial Black" w:hAnsi="Arial Black"/>
          <w:b/>
          <w:sz w:val="28"/>
          <w:szCs w:val="28"/>
        </w:rPr>
        <w:t xml:space="preserve">ART-TIME EMS INJURED FOOT ON DUTY – AVERAGE WEEKLY WAGE </w:t>
      </w:r>
    </w:p>
    <w:p w14:paraId="53833113" w14:textId="77777777" w:rsidR="00F326E5" w:rsidRPr="0036327D" w:rsidRDefault="00F326E5" w:rsidP="00F326E5">
      <w:pPr>
        <w:rPr>
          <w:rFonts w:ascii="Times New Roman" w:hAnsi="Times New Roman"/>
          <w:sz w:val="24"/>
          <w:szCs w:val="24"/>
        </w:rPr>
      </w:pPr>
      <w:r w:rsidRPr="0036327D">
        <w:rPr>
          <w:rFonts w:ascii="Times New Roman" w:hAnsi="Times New Roman"/>
          <w:sz w:val="24"/>
          <w:szCs w:val="24"/>
        </w:rPr>
        <w:t xml:space="preserve">On June 1, 2018, in </w:t>
      </w:r>
      <w:r w:rsidRPr="0036327D">
        <w:rPr>
          <w:rFonts w:ascii="Times New Roman" w:hAnsi="Times New Roman"/>
          <w:sz w:val="24"/>
          <w:szCs w:val="24"/>
          <w:u w:val="single"/>
        </w:rPr>
        <w:t>Justin Stine v. Montgomery County, Maryland</w:t>
      </w:r>
      <w:r w:rsidRPr="0036327D">
        <w:rPr>
          <w:rFonts w:ascii="Times New Roman" w:hAnsi="Times New Roman"/>
          <w:sz w:val="24"/>
          <w:szCs w:val="24"/>
        </w:rPr>
        <w:t xml:space="preserve">, the Court of Special Appeals of Maryland, held (3 to 0) that he is entitled to a jury trial to determine average weekly wage, which may include wages earned working for private ambulance company rather than merely the wage he earned as a part-time EMT in the 14-weeks prior to the injury.  </w:t>
      </w:r>
      <w:hyperlink r:id="rId604" w:history="1">
        <w:r w:rsidRPr="0036327D">
          <w:rPr>
            <w:rStyle w:val="Hyperlink"/>
            <w:rFonts w:ascii="Times New Roman" w:hAnsi="Times New Roman"/>
            <w:sz w:val="24"/>
            <w:szCs w:val="24"/>
          </w:rPr>
          <w:t>https://caselaw.findlaw.com/md-court-of-special-appeals/1897275.html</w:t>
        </w:r>
      </w:hyperlink>
      <w:r w:rsidRPr="0036327D">
        <w:rPr>
          <w:rFonts w:ascii="Times New Roman" w:hAnsi="Times New Roman"/>
          <w:sz w:val="24"/>
          <w:szCs w:val="24"/>
        </w:rPr>
        <w:t xml:space="preserve"> </w:t>
      </w:r>
    </w:p>
    <w:p w14:paraId="6AFE7DF1" w14:textId="2C211E44" w:rsidR="00F326E5" w:rsidRPr="0036327D" w:rsidRDefault="00F326E5" w:rsidP="00F326E5">
      <w:pPr>
        <w:rPr>
          <w:rFonts w:ascii="Times New Roman" w:hAnsi="Times New Roman"/>
          <w:b/>
          <w:sz w:val="24"/>
          <w:szCs w:val="24"/>
        </w:rPr>
      </w:pPr>
      <w:r w:rsidRPr="0036327D">
        <w:rPr>
          <w:rFonts w:ascii="Times New Roman" w:hAnsi="Times New Roman"/>
          <w:b/>
          <w:sz w:val="24"/>
          <w:szCs w:val="24"/>
        </w:rPr>
        <w:t xml:space="preserve">Legal Lesson Learned:  helpful decision for part-time EMT, who </w:t>
      </w:r>
      <w:proofErr w:type="gramStart"/>
      <w:r w:rsidRPr="0036327D">
        <w:rPr>
          <w:rFonts w:ascii="Times New Roman" w:hAnsi="Times New Roman"/>
          <w:b/>
          <w:sz w:val="24"/>
          <w:szCs w:val="24"/>
        </w:rPr>
        <w:t>has</w:t>
      </w:r>
      <w:proofErr w:type="gramEnd"/>
      <w:r w:rsidRPr="0036327D">
        <w:rPr>
          <w:rFonts w:ascii="Times New Roman" w:hAnsi="Times New Roman"/>
          <w:b/>
          <w:sz w:val="24"/>
          <w:szCs w:val="24"/>
        </w:rPr>
        <w:t xml:space="preserve"> second part-time job while also going to school.</w:t>
      </w:r>
    </w:p>
    <w:bookmarkEnd w:id="119"/>
    <w:p w14:paraId="7AAB0CBD" w14:textId="77777777" w:rsidR="00EF1133" w:rsidRDefault="00EF1133" w:rsidP="00791CA3">
      <w:pPr>
        <w:pStyle w:val="NoSpacing"/>
        <w:rPr>
          <w:rFonts w:ascii="Arial Black" w:hAnsi="Arial Black"/>
          <w:sz w:val="24"/>
          <w:szCs w:val="24"/>
        </w:rPr>
      </w:pPr>
    </w:p>
    <w:p w14:paraId="607800F8" w14:textId="241CA9CE" w:rsidR="00791CA3" w:rsidRDefault="00791CA3" w:rsidP="00791CA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7</w:t>
      </w:r>
    </w:p>
    <w:p w14:paraId="7A6C343B" w14:textId="77777777" w:rsidR="00EF1133" w:rsidRDefault="00EF1133" w:rsidP="00F326E5">
      <w:pPr>
        <w:pStyle w:val="NoSpacing"/>
        <w:rPr>
          <w:rFonts w:ascii="Arial Black" w:hAnsi="Arial Black"/>
          <w:sz w:val="28"/>
          <w:szCs w:val="28"/>
        </w:rPr>
      </w:pPr>
      <w:bookmarkStart w:id="120" w:name="_Hlk7340944"/>
    </w:p>
    <w:p w14:paraId="403270CD" w14:textId="10ED4B3E" w:rsidR="00F326E5" w:rsidRPr="00A765B5" w:rsidRDefault="00F326E5" w:rsidP="00F326E5">
      <w:pPr>
        <w:pStyle w:val="NoSpacing"/>
        <w:rPr>
          <w:rFonts w:ascii="Arial Black" w:hAnsi="Arial Black"/>
          <w:sz w:val="28"/>
          <w:szCs w:val="28"/>
        </w:rPr>
      </w:pPr>
      <w:r w:rsidRPr="00A765B5">
        <w:rPr>
          <w:rFonts w:ascii="Arial Black" w:hAnsi="Arial Black"/>
          <w:sz w:val="28"/>
          <w:szCs w:val="28"/>
        </w:rPr>
        <w:t>U.S. Department of Justice</w:t>
      </w:r>
      <w:r>
        <w:rPr>
          <w:rFonts w:ascii="Arial Black" w:hAnsi="Arial Black"/>
          <w:sz w:val="28"/>
          <w:szCs w:val="28"/>
        </w:rPr>
        <w:t xml:space="preserve">: </w:t>
      </w:r>
      <w:r w:rsidRPr="00A765B5">
        <w:rPr>
          <w:rFonts w:ascii="Arial Black" w:hAnsi="Arial Black"/>
          <w:sz w:val="28"/>
          <w:szCs w:val="28"/>
        </w:rPr>
        <w:t xml:space="preserve"> Improvements </w:t>
      </w:r>
      <w:proofErr w:type="gramStart"/>
      <w:r w:rsidRPr="00A765B5">
        <w:rPr>
          <w:rFonts w:ascii="Arial Black" w:hAnsi="Arial Black"/>
          <w:sz w:val="28"/>
          <w:szCs w:val="28"/>
        </w:rPr>
        <w:t>In</w:t>
      </w:r>
      <w:proofErr w:type="gramEnd"/>
      <w:r w:rsidRPr="00A765B5">
        <w:rPr>
          <w:rFonts w:ascii="Arial Black" w:hAnsi="Arial Black"/>
          <w:sz w:val="28"/>
          <w:szCs w:val="28"/>
        </w:rPr>
        <w:t xml:space="preserve"> Public Safety Officer Benefits Program</w:t>
      </w:r>
    </w:p>
    <w:p w14:paraId="6A1E31D3" w14:textId="77777777" w:rsidR="00F326E5" w:rsidRPr="0036327D" w:rsidRDefault="00F326E5" w:rsidP="00F326E5">
      <w:pPr>
        <w:rPr>
          <w:rFonts w:ascii="Times New Roman" w:eastAsia="Times New Roman" w:hAnsi="Times New Roman"/>
          <w:sz w:val="24"/>
          <w:szCs w:val="24"/>
        </w:rPr>
      </w:pPr>
      <w:r w:rsidRPr="0036327D">
        <w:rPr>
          <w:rFonts w:ascii="Times New Roman" w:eastAsia="Times New Roman" w:hAnsi="Times New Roman"/>
          <w:sz w:val="24"/>
          <w:szCs w:val="24"/>
        </w:rPr>
        <w:t>On May 15, 2018, the U.S. Department of Justice issued Press Release, summarizing the following improvements:</w:t>
      </w:r>
    </w:p>
    <w:p w14:paraId="236A6530" w14:textId="77777777" w:rsidR="00F326E5" w:rsidRPr="0036327D" w:rsidRDefault="00F326E5" w:rsidP="00F326E5">
      <w:pPr>
        <w:numPr>
          <w:ilvl w:val="0"/>
          <w:numId w:val="1"/>
        </w:numPr>
        <w:spacing w:before="100" w:beforeAutospacing="1" w:after="100" w:afterAutospacing="1" w:line="240" w:lineRule="auto"/>
        <w:rPr>
          <w:rFonts w:ascii="Times New Roman" w:eastAsia="Times New Roman" w:hAnsi="Times New Roman"/>
          <w:sz w:val="24"/>
          <w:szCs w:val="24"/>
        </w:rPr>
      </w:pPr>
      <w:r w:rsidRPr="0036327D">
        <w:rPr>
          <w:rFonts w:ascii="Times New Roman" w:eastAsia="Times New Roman" w:hAnsi="Times New Roman"/>
          <w:bCs/>
          <w:sz w:val="24"/>
          <w:szCs w:val="24"/>
        </w:rPr>
        <w:t>“Heart Attack, Stroke, and Vascular Rupture Claims:</w:t>
      </w:r>
      <w:r w:rsidRPr="0036327D">
        <w:rPr>
          <w:rFonts w:ascii="Times New Roman" w:eastAsia="Times New Roman" w:hAnsi="Times New Roman"/>
          <w:sz w:val="24"/>
          <w:szCs w:val="24"/>
        </w:rPr>
        <w:t xml:space="preserve"> The new rule helps implement a change in the law that reduces the need in many cases for families to submit difficult-to-find and costly medical records for their loved ones. This regulatory change alone positively impacts nearly one-third of the PSOB death claims filed each year.</w:t>
      </w:r>
    </w:p>
    <w:p w14:paraId="43B8ADBE" w14:textId="77777777" w:rsidR="00F326E5" w:rsidRPr="0036327D" w:rsidRDefault="00F326E5" w:rsidP="00F326E5">
      <w:pPr>
        <w:numPr>
          <w:ilvl w:val="0"/>
          <w:numId w:val="1"/>
        </w:numPr>
        <w:spacing w:before="100" w:beforeAutospacing="1" w:after="100" w:afterAutospacing="1" w:line="240" w:lineRule="auto"/>
        <w:rPr>
          <w:rFonts w:ascii="Times New Roman" w:eastAsia="Times New Roman" w:hAnsi="Times New Roman"/>
          <w:sz w:val="24"/>
          <w:szCs w:val="24"/>
        </w:rPr>
      </w:pPr>
      <w:r w:rsidRPr="0036327D">
        <w:rPr>
          <w:rFonts w:ascii="Times New Roman" w:eastAsia="Times New Roman" w:hAnsi="Times New Roman"/>
          <w:bCs/>
          <w:sz w:val="24"/>
          <w:szCs w:val="24"/>
        </w:rPr>
        <w:t xml:space="preserve">Filing Process:  </w:t>
      </w:r>
      <w:r w:rsidRPr="0036327D">
        <w:rPr>
          <w:rFonts w:ascii="Times New Roman" w:eastAsia="Times New Roman" w:hAnsi="Times New Roman"/>
          <w:sz w:val="24"/>
          <w:szCs w:val="24"/>
        </w:rPr>
        <w:t>The new rule includes administrative updates to make filing claims more straightforward and less burdensome for survivors and public safety agencies.</w:t>
      </w:r>
    </w:p>
    <w:p w14:paraId="1EEE1A8E" w14:textId="77777777" w:rsidR="00F326E5" w:rsidRPr="0036327D" w:rsidRDefault="00F326E5" w:rsidP="00F326E5">
      <w:pPr>
        <w:numPr>
          <w:ilvl w:val="0"/>
          <w:numId w:val="1"/>
        </w:numPr>
        <w:spacing w:before="100" w:beforeAutospacing="1" w:after="100" w:afterAutospacing="1" w:line="240" w:lineRule="auto"/>
        <w:rPr>
          <w:rFonts w:ascii="Times New Roman" w:eastAsia="Times New Roman" w:hAnsi="Times New Roman"/>
          <w:sz w:val="24"/>
          <w:szCs w:val="24"/>
        </w:rPr>
      </w:pPr>
      <w:r w:rsidRPr="0036327D">
        <w:rPr>
          <w:rFonts w:ascii="Times New Roman" w:eastAsia="Times New Roman" w:hAnsi="Times New Roman"/>
          <w:bCs/>
          <w:sz w:val="24"/>
          <w:szCs w:val="24"/>
        </w:rPr>
        <w:t xml:space="preserve">Law Enforcement and Firefighter Trainees: </w:t>
      </w:r>
      <w:r w:rsidRPr="0036327D">
        <w:rPr>
          <w:rFonts w:ascii="Times New Roman" w:eastAsia="Times New Roman" w:hAnsi="Times New Roman"/>
          <w:sz w:val="24"/>
          <w:szCs w:val="24"/>
        </w:rPr>
        <w:t>Recognizing the dangerous nature of law enforcement and fire suppression, and the rigorous training required to help keep communities safe, the new rule clarifies the coverage of certain individuals fatally or catastrophically injured during formal training provided by law enforcement and fire academies.</w:t>
      </w:r>
    </w:p>
    <w:p w14:paraId="2F7D8CD5" w14:textId="77777777" w:rsidR="00F326E5" w:rsidRPr="0036327D" w:rsidRDefault="00F326E5" w:rsidP="00F326E5">
      <w:pPr>
        <w:numPr>
          <w:ilvl w:val="0"/>
          <w:numId w:val="1"/>
        </w:numPr>
        <w:spacing w:before="100" w:beforeAutospacing="1" w:after="100" w:afterAutospacing="1" w:line="240" w:lineRule="auto"/>
        <w:rPr>
          <w:rFonts w:ascii="Times New Roman" w:eastAsia="Times New Roman" w:hAnsi="Times New Roman"/>
          <w:sz w:val="24"/>
          <w:szCs w:val="24"/>
        </w:rPr>
      </w:pPr>
      <w:r w:rsidRPr="0036327D">
        <w:rPr>
          <w:rFonts w:ascii="Times New Roman" w:eastAsia="Times New Roman" w:hAnsi="Times New Roman"/>
          <w:bCs/>
          <w:sz w:val="24"/>
          <w:szCs w:val="24"/>
        </w:rPr>
        <w:t>September 11th Exposure Claims:</w:t>
      </w:r>
      <w:r w:rsidRPr="0036327D">
        <w:rPr>
          <w:rFonts w:ascii="Times New Roman" w:eastAsia="Times New Roman" w:hAnsi="Times New Roman"/>
          <w:sz w:val="24"/>
          <w:szCs w:val="24"/>
        </w:rPr>
        <w:t xml:space="preserve"> The new rule facilitates the PSOB Program’s medical examiners’ review of the nearly 150 claims pending for certain public safety officers who responded to the September 11th attacks to assist in rescue, recovery, and clean-up efforts, and who were exposed to hazards and toxins resulting from the attacks.”</w:t>
      </w:r>
    </w:p>
    <w:p w14:paraId="7E9099A6" w14:textId="4EAB6944" w:rsidR="00F326E5" w:rsidRPr="0036327D" w:rsidRDefault="00965872" w:rsidP="00965872">
      <w:pPr>
        <w:ind w:left="360"/>
        <w:rPr>
          <w:rFonts w:ascii="Times New Roman" w:eastAsia="Times New Roman" w:hAnsi="Times New Roman"/>
          <w:sz w:val="24"/>
          <w:szCs w:val="24"/>
        </w:rPr>
      </w:pPr>
      <w:hyperlink r:id="rId605" w:history="1">
        <w:r w:rsidRPr="002F304C">
          <w:rPr>
            <w:rStyle w:val="Hyperlink"/>
            <w:rFonts w:ascii="Times New Roman" w:hAnsi="Times New Roman"/>
            <w:sz w:val="24"/>
            <w:szCs w:val="24"/>
          </w:rPr>
          <w:t>https://www.justice.gov/opa/pr/justice-department-announces-improvements-public-safety-officers-benefits-program</w:t>
        </w:r>
      </w:hyperlink>
      <w:r w:rsidR="00F326E5" w:rsidRPr="0036327D">
        <w:rPr>
          <w:rFonts w:ascii="Times New Roman" w:eastAsia="Times New Roman" w:hAnsi="Times New Roman"/>
          <w:sz w:val="24"/>
          <w:szCs w:val="24"/>
        </w:rPr>
        <w:t xml:space="preserve"> </w:t>
      </w:r>
    </w:p>
    <w:p w14:paraId="0C636015"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 xml:space="preserve">Legal Lessons Learned: Hopefully these new rules will expedite review of pending claims, including claims by public safety officers who responded to the Sept. 11 terrorist attacks and were exposed to toxins. </w:t>
      </w:r>
    </w:p>
    <w:p w14:paraId="5B69B2F6" w14:textId="77777777" w:rsidR="00F326E5" w:rsidRDefault="00F326E5" w:rsidP="00F326E5">
      <w:pPr>
        <w:rPr>
          <w:rFonts w:eastAsia="Times New Roman"/>
          <w:sz w:val="24"/>
          <w:szCs w:val="24"/>
        </w:rPr>
      </w:pPr>
    </w:p>
    <w:bookmarkEnd w:id="120"/>
    <w:p w14:paraId="01035D17" w14:textId="734B5C41" w:rsidR="00F326E5" w:rsidRDefault="00791CA3" w:rsidP="00791CA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6</w:t>
      </w:r>
    </w:p>
    <w:p w14:paraId="2D1F1EE1" w14:textId="77777777" w:rsidR="00791CA3" w:rsidRDefault="00791CA3" w:rsidP="00791CA3">
      <w:pPr>
        <w:pStyle w:val="NoSpacing"/>
        <w:rPr>
          <w:sz w:val="24"/>
          <w:szCs w:val="24"/>
        </w:rPr>
      </w:pPr>
    </w:p>
    <w:p w14:paraId="7916E709" w14:textId="27D3F027" w:rsidR="00F326E5" w:rsidRDefault="00F326E5" w:rsidP="00F326E5">
      <w:pPr>
        <w:rPr>
          <w:rFonts w:ascii="Arial Black" w:hAnsi="Arial Black"/>
          <w:b/>
          <w:sz w:val="28"/>
          <w:szCs w:val="28"/>
        </w:rPr>
      </w:pPr>
      <w:bookmarkStart w:id="121" w:name="_Hlk7340980"/>
      <w:r w:rsidRPr="002E3997">
        <w:rPr>
          <w:rFonts w:ascii="Arial Black" w:hAnsi="Arial Black"/>
          <w:sz w:val="28"/>
          <w:szCs w:val="28"/>
        </w:rPr>
        <w:t xml:space="preserve">KY: </w:t>
      </w:r>
      <w:r>
        <w:rPr>
          <w:rFonts w:ascii="Arial Black" w:hAnsi="Arial Black"/>
          <w:sz w:val="28"/>
          <w:szCs w:val="28"/>
        </w:rPr>
        <w:t>LINE OF DUTY DEATH – “</w:t>
      </w:r>
      <w:proofErr w:type="gramStart"/>
      <w:r>
        <w:rPr>
          <w:rFonts w:ascii="Arial Black" w:hAnsi="Arial Black"/>
          <w:sz w:val="28"/>
          <w:szCs w:val="28"/>
        </w:rPr>
        <w:t>STEP CHILD</w:t>
      </w:r>
      <w:proofErr w:type="gramEnd"/>
      <w:r>
        <w:rPr>
          <w:rFonts w:ascii="Arial Black" w:hAnsi="Arial Black"/>
          <w:sz w:val="28"/>
          <w:szCs w:val="28"/>
        </w:rPr>
        <w:t xml:space="preserve">” ENTITLED TO FREE TUITION AT STATE COLLEGES  </w:t>
      </w:r>
    </w:p>
    <w:p w14:paraId="7EAA4080" w14:textId="77777777" w:rsidR="00F326E5" w:rsidRPr="0036327D" w:rsidRDefault="00F326E5" w:rsidP="00F326E5">
      <w:pPr>
        <w:rPr>
          <w:rFonts w:ascii="Times New Roman" w:eastAsia="Times New Roman" w:hAnsi="Times New Roman"/>
          <w:sz w:val="24"/>
          <w:szCs w:val="24"/>
        </w:rPr>
      </w:pPr>
      <w:r w:rsidRPr="0036327D">
        <w:rPr>
          <w:rFonts w:ascii="Times New Roman" w:hAnsi="Times New Roman"/>
          <w:sz w:val="24"/>
          <w:szCs w:val="24"/>
        </w:rPr>
        <w:t xml:space="preserve">On June 1, 2018, in </w:t>
      </w:r>
      <w:r w:rsidRPr="0036327D">
        <w:rPr>
          <w:rFonts w:ascii="Times New Roman" w:hAnsi="Times New Roman"/>
          <w:sz w:val="24"/>
          <w:szCs w:val="24"/>
          <w:u w:val="single"/>
        </w:rPr>
        <w:t>Miles Devon Skeens v. University of Louisville</w:t>
      </w:r>
      <w:r w:rsidRPr="0036327D">
        <w:rPr>
          <w:rFonts w:ascii="Times New Roman" w:hAnsi="Times New Roman"/>
          <w:sz w:val="24"/>
          <w:szCs w:val="24"/>
        </w:rPr>
        <w:t xml:space="preserve">, the Commonwealth of Kentucky Court of Appeals (3 to 0) held that </w:t>
      </w:r>
      <w:r w:rsidRPr="0036327D">
        <w:rPr>
          <w:rFonts w:ascii="Times New Roman" w:eastAsia="Times New Roman" w:hAnsi="Times New Roman"/>
          <w:sz w:val="24"/>
          <w:szCs w:val="24"/>
        </w:rPr>
        <w:t xml:space="preserve">a stepchild qualifies as a “child” under Kentucky Revised Statutes (“KRS”) 164.2841 which grants free tuition at state-supported schools for survivors of firefighters killed in the line of duty. </w:t>
      </w:r>
      <w:hyperlink r:id="rId606" w:history="1">
        <w:r w:rsidRPr="0036327D">
          <w:rPr>
            <w:rStyle w:val="Hyperlink"/>
            <w:rFonts w:ascii="Times New Roman" w:hAnsi="Times New Roman"/>
            <w:sz w:val="24"/>
            <w:szCs w:val="24"/>
          </w:rPr>
          <w:t>https://cases.justia.com/kentucky/court-of-appeals/2018-2016-ca-001534-mr.pdf?ts=1527861797</w:t>
        </w:r>
      </w:hyperlink>
      <w:r w:rsidRPr="0036327D">
        <w:rPr>
          <w:rFonts w:ascii="Times New Roman" w:eastAsia="Times New Roman" w:hAnsi="Times New Roman"/>
          <w:sz w:val="24"/>
          <w:szCs w:val="24"/>
        </w:rPr>
        <w:t xml:space="preserve"> </w:t>
      </w:r>
    </w:p>
    <w:p w14:paraId="64795A05" w14:textId="77777777" w:rsidR="00F326E5" w:rsidRPr="00724064" w:rsidRDefault="00F326E5" w:rsidP="00F326E5">
      <w:pPr>
        <w:rPr>
          <w:rFonts w:eastAsia="Times New Roman"/>
          <w:b/>
          <w:sz w:val="24"/>
          <w:szCs w:val="24"/>
        </w:rPr>
      </w:pPr>
      <w:r w:rsidRPr="0036327D">
        <w:rPr>
          <w:rFonts w:ascii="Times New Roman" w:eastAsia="Times New Roman" w:hAnsi="Times New Roman"/>
          <w:b/>
          <w:sz w:val="24"/>
          <w:szCs w:val="24"/>
        </w:rPr>
        <w:t>Legal Lesson Learned: Great decision; what was University of Louisville thinking?</w:t>
      </w:r>
    </w:p>
    <w:bookmarkEnd w:id="121"/>
    <w:p w14:paraId="1E7F64D5" w14:textId="77777777" w:rsidR="00F326E5" w:rsidRPr="001521C4" w:rsidRDefault="00F326E5" w:rsidP="00F326E5">
      <w:pPr>
        <w:rPr>
          <w:rFonts w:eastAsia="Times New Roman"/>
          <w:b/>
          <w:sz w:val="24"/>
          <w:szCs w:val="24"/>
        </w:rPr>
      </w:pPr>
      <w:r>
        <w:rPr>
          <w:rFonts w:eastAsia="Times New Roman"/>
          <w:b/>
          <w:sz w:val="24"/>
          <w:szCs w:val="24"/>
        </w:rPr>
        <w:t xml:space="preserve"> </w:t>
      </w:r>
    </w:p>
    <w:p w14:paraId="184C1241" w14:textId="77777777" w:rsidR="00F326E5" w:rsidRDefault="00F326E5" w:rsidP="00F326E5">
      <w:pPr>
        <w:pStyle w:val="NoSpacing"/>
        <w:rPr>
          <w:rFonts w:ascii="Arial Black" w:hAnsi="Arial Black"/>
          <w:b/>
          <w:sz w:val="24"/>
          <w:szCs w:val="24"/>
        </w:rPr>
      </w:pPr>
    </w:p>
    <w:p w14:paraId="717BCCD9" w14:textId="385AF2FE" w:rsidR="00791CA3" w:rsidRDefault="00791CA3" w:rsidP="00791CA3">
      <w:pPr>
        <w:pStyle w:val="NoSpacing"/>
        <w:rPr>
          <w:rFonts w:ascii="Arial Black" w:hAnsi="Arial Black"/>
          <w:sz w:val="28"/>
          <w:szCs w:val="28"/>
        </w:rPr>
      </w:pPr>
      <w:bookmarkStart w:id="122" w:name="_Hlk515115051"/>
      <w:bookmarkStart w:id="123" w:name="_Hlk7341042"/>
      <w:r w:rsidRPr="00791CA3">
        <w:rPr>
          <w:rFonts w:ascii="Arial Black" w:hAnsi="Arial Black"/>
          <w:sz w:val="24"/>
          <w:szCs w:val="24"/>
        </w:rPr>
        <w:t>2-</w:t>
      </w:r>
      <w:r>
        <w:rPr>
          <w:rFonts w:ascii="Arial Black" w:hAnsi="Arial Black"/>
          <w:sz w:val="24"/>
          <w:szCs w:val="24"/>
        </w:rPr>
        <w:t>5</w:t>
      </w:r>
    </w:p>
    <w:p w14:paraId="3964F70B" w14:textId="498AEB90" w:rsidR="00F326E5" w:rsidRPr="0026507F" w:rsidRDefault="00F326E5" w:rsidP="00F326E5">
      <w:pPr>
        <w:rPr>
          <w:rFonts w:ascii="Arial Black" w:hAnsi="Arial Black"/>
          <w:b/>
          <w:sz w:val="28"/>
          <w:szCs w:val="28"/>
        </w:rPr>
      </w:pPr>
      <w:r w:rsidRPr="0026507F">
        <w:rPr>
          <w:rFonts w:ascii="Arial Black" w:hAnsi="Arial Black"/>
          <w:sz w:val="28"/>
          <w:szCs w:val="28"/>
        </w:rPr>
        <w:t xml:space="preserve">VA: FIREMAN’S RULE – REFRIGERATOR EXPLODED </w:t>
      </w:r>
      <w:r>
        <w:rPr>
          <w:rFonts w:ascii="Arial Black" w:hAnsi="Arial Black"/>
          <w:sz w:val="28"/>
          <w:szCs w:val="28"/>
        </w:rPr>
        <w:t>–</w:t>
      </w:r>
      <w:r w:rsidRPr="0026507F">
        <w:rPr>
          <w:rFonts w:ascii="Arial Black" w:hAnsi="Arial Black"/>
          <w:sz w:val="28"/>
          <w:szCs w:val="28"/>
        </w:rPr>
        <w:t xml:space="preserve"> </w:t>
      </w:r>
      <w:r>
        <w:rPr>
          <w:rFonts w:ascii="Arial Black" w:hAnsi="Arial Black"/>
          <w:sz w:val="28"/>
          <w:szCs w:val="28"/>
        </w:rPr>
        <w:t xml:space="preserve">PD </w:t>
      </w:r>
      <w:r w:rsidRPr="0026507F">
        <w:rPr>
          <w:rFonts w:ascii="Arial Black" w:hAnsi="Arial Black"/>
          <w:sz w:val="28"/>
          <w:szCs w:val="28"/>
        </w:rPr>
        <w:t>/ VOL. FF CAN</w:t>
      </w:r>
      <w:r>
        <w:rPr>
          <w:rFonts w:ascii="Arial Black" w:hAnsi="Arial Black"/>
          <w:sz w:val="28"/>
          <w:szCs w:val="28"/>
        </w:rPr>
        <w:t xml:space="preserve">’T </w:t>
      </w:r>
      <w:r w:rsidRPr="0026507F">
        <w:rPr>
          <w:rFonts w:ascii="Arial Black" w:hAnsi="Arial Black"/>
          <w:sz w:val="28"/>
          <w:szCs w:val="28"/>
        </w:rPr>
        <w:t xml:space="preserve">SUE MANUFACTURER </w:t>
      </w:r>
    </w:p>
    <w:bookmarkEnd w:id="122"/>
    <w:p w14:paraId="71663A02" w14:textId="77777777" w:rsidR="00F326E5" w:rsidRPr="0036327D" w:rsidRDefault="00F326E5" w:rsidP="00F326E5">
      <w:pPr>
        <w:rPr>
          <w:rFonts w:ascii="Times New Roman" w:eastAsia="Times New Roman" w:hAnsi="Times New Roman"/>
          <w:sz w:val="24"/>
          <w:szCs w:val="24"/>
        </w:rPr>
      </w:pPr>
      <w:r w:rsidRPr="0036327D">
        <w:rPr>
          <w:rFonts w:ascii="Times New Roman" w:hAnsi="Times New Roman"/>
          <w:sz w:val="24"/>
          <w:szCs w:val="24"/>
        </w:rPr>
        <w:t xml:space="preserve">On April 13, 2018, in </w:t>
      </w:r>
      <w:r w:rsidRPr="0036327D">
        <w:rPr>
          <w:rFonts w:ascii="Times New Roman" w:hAnsi="Times New Roman"/>
          <w:sz w:val="24"/>
          <w:szCs w:val="24"/>
          <w:u w:val="single"/>
        </w:rPr>
        <w:t xml:space="preserve">Brian Colbert v. </w:t>
      </w:r>
      <w:proofErr w:type="spellStart"/>
      <w:r w:rsidRPr="0036327D">
        <w:rPr>
          <w:rFonts w:ascii="Times New Roman" w:hAnsi="Times New Roman"/>
          <w:sz w:val="24"/>
          <w:szCs w:val="24"/>
          <w:u w:val="single"/>
        </w:rPr>
        <w:t>Norcold</w:t>
      </w:r>
      <w:proofErr w:type="spellEnd"/>
      <w:r w:rsidRPr="0036327D">
        <w:rPr>
          <w:rFonts w:ascii="Times New Roman" w:hAnsi="Times New Roman"/>
          <w:sz w:val="24"/>
          <w:szCs w:val="24"/>
          <w:u w:val="single"/>
        </w:rPr>
        <w:t>, Inc</w:t>
      </w:r>
      <w:r w:rsidRPr="0036327D">
        <w:rPr>
          <w:rFonts w:ascii="Times New Roman" w:hAnsi="Times New Roman"/>
          <w:sz w:val="24"/>
          <w:szCs w:val="24"/>
        </w:rPr>
        <w:t>., the U.S. Court of Appeals for the 4</w:t>
      </w:r>
      <w:r w:rsidRPr="0036327D">
        <w:rPr>
          <w:rFonts w:ascii="Times New Roman" w:hAnsi="Times New Roman"/>
          <w:sz w:val="24"/>
          <w:szCs w:val="24"/>
          <w:vertAlign w:val="superscript"/>
        </w:rPr>
        <w:t>th</w:t>
      </w:r>
      <w:r w:rsidRPr="0036327D">
        <w:rPr>
          <w:rFonts w:ascii="Times New Roman" w:hAnsi="Times New Roman"/>
          <w:sz w:val="24"/>
          <w:szCs w:val="24"/>
        </w:rPr>
        <w:t xml:space="preserve"> Circuit held (3 to 0; unpublished opinion): “</w:t>
      </w:r>
      <w:r w:rsidRPr="0036327D">
        <w:rPr>
          <w:rFonts w:ascii="Times New Roman" w:eastAsia="Times New Roman" w:hAnsi="Times New Roman"/>
          <w:sz w:val="24"/>
          <w:szCs w:val="24"/>
        </w:rPr>
        <w:t xml:space="preserve">we agree with the district court: the Fireman’s Rule applies to products liability claims, and </w:t>
      </w:r>
      <w:proofErr w:type="spellStart"/>
      <w:r w:rsidRPr="0036327D">
        <w:rPr>
          <w:rFonts w:ascii="Times New Roman" w:eastAsia="Times New Roman" w:hAnsi="Times New Roman"/>
          <w:sz w:val="24"/>
          <w:szCs w:val="24"/>
        </w:rPr>
        <w:t>Norcold’s</w:t>
      </w:r>
      <w:proofErr w:type="spellEnd"/>
      <w:r w:rsidRPr="0036327D">
        <w:rPr>
          <w:rFonts w:ascii="Times New Roman" w:eastAsia="Times New Roman" w:hAnsi="Times New Roman"/>
          <w:sz w:val="24"/>
          <w:szCs w:val="24"/>
        </w:rPr>
        <w:t xml:space="preserve"> conduct was not willful or wanton.” </w:t>
      </w:r>
      <w:hyperlink r:id="rId607" w:history="1">
        <w:r w:rsidRPr="0036327D">
          <w:rPr>
            <w:rStyle w:val="Hyperlink"/>
            <w:rFonts w:ascii="Times New Roman" w:hAnsi="Times New Roman"/>
            <w:sz w:val="24"/>
            <w:szCs w:val="24"/>
          </w:rPr>
          <w:t>http://www.ca4.uscourts.gov/Opinions/171419.U.pdf</w:t>
        </w:r>
      </w:hyperlink>
      <w:r w:rsidRPr="0036327D">
        <w:rPr>
          <w:rFonts w:ascii="Times New Roman" w:eastAsia="Times New Roman" w:hAnsi="Times New Roman"/>
          <w:sz w:val="24"/>
          <w:szCs w:val="24"/>
        </w:rPr>
        <w:t xml:space="preserve"> </w:t>
      </w:r>
    </w:p>
    <w:p w14:paraId="79CC56D5"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 xml:space="preserve">LEGAL LESSONS LEARNED:  Police officers and firefighters in Virginia can only seek workers comp (no damages for pain &amp; injury, loss of consortium, etc.) unless proof of willful or wanton misconduct, or gross negligence, by the product manufacturer.  </w:t>
      </w:r>
    </w:p>
    <w:p w14:paraId="2F2C302D" w14:textId="77777777" w:rsidR="00F326E5" w:rsidRPr="0036327D" w:rsidRDefault="00F326E5" w:rsidP="00F326E5">
      <w:pPr>
        <w:ind w:left="720"/>
        <w:rPr>
          <w:rFonts w:ascii="Times New Roman" w:eastAsia="Times New Roman" w:hAnsi="Times New Roman"/>
          <w:sz w:val="24"/>
          <w:szCs w:val="24"/>
        </w:rPr>
      </w:pPr>
      <w:r w:rsidRPr="0036327D">
        <w:rPr>
          <w:rFonts w:ascii="Times New Roman" w:eastAsia="Times New Roman" w:hAnsi="Times New Roman"/>
          <w:sz w:val="24"/>
          <w:szCs w:val="24"/>
        </w:rPr>
        <w:t>See also March 12, 2015 decision of 10</w:t>
      </w:r>
      <w:r w:rsidRPr="0036327D">
        <w:rPr>
          <w:rFonts w:ascii="Times New Roman" w:eastAsia="Times New Roman" w:hAnsi="Times New Roman"/>
          <w:sz w:val="24"/>
          <w:szCs w:val="24"/>
          <w:vertAlign w:val="superscript"/>
        </w:rPr>
        <w:t>th</w:t>
      </w:r>
      <w:r w:rsidRPr="0036327D">
        <w:rPr>
          <w:rFonts w:ascii="Times New Roman" w:eastAsia="Times New Roman" w:hAnsi="Times New Roman"/>
          <w:sz w:val="24"/>
          <w:szCs w:val="24"/>
        </w:rPr>
        <w:t xml:space="preserve"> Circuit in Chester W. Peake v. Central Tank Coatings, where several Kansas firefighters were injured by exploding box of paint thinner: “The undisputed material facts are that several hours after Central Tank completed its work on the roof [of the city’s water tower] and left the site, the wooden members of the tower caught fire, fell to the ground, caught the surrounding grass on fire and eventually spread to the tires of the trailer.  This domino chain of events was unforeseeable. *** A large, unmarked metal container box was mounted to the wood deck of the trailer.  It was used by the crew to store various tools, oxygen/acetylene tanks, and other materials, including paint thinner.”  The Court held that the firefighters could not sue the company for damages, since here is “no evidence that Central Tank knew that the storage of paint thinner was dangerous.” </w:t>
      </w:r>
      <w:hyperlink r:id="rId608" w:history="1">
        <w:r w:rsidRPr="0036327D">
          <w:rPr>
            <w:rStyle w:val="Hyperlink"/>
            <w:rFonts w:ascii="Times New Roman" w:hAnsi="Times New Roman"/>
            <w:sz w:val="24"/>
            <w:szCs w:val="24"/>
          </w:rPr>
          <w:t>https://www.ca10.uscourts.gov/opinions/14/14-3157.pdf</w:t>
        </w:r>
      </w:hyperlink>
      <w:r w:rsidRPr="0036327D">
        <w:rPr>
          <w:rFonts w:ascii="Times New Roman" w:eastAsia="Times New Roman" w:hAnsi="Times New Roman"/>
          <w:sz w:val="24"/>
          <w:szCs w:val="24"/>
        </w:rPr>
        <w:t xml:space="preserve"> </w:t>
      </w:r>
    </w:p>
    <w:p w14:paraId="4D40FF7F" w14:textId="33C5CFBF" w:rsidR="00F326E5" w:rsidRPr="0036327D" w:rsidRDefault="00F326E5" w:rsidP="00F326E5">
      <w:pPr>
        <w:ind w:left="720"/>
        <w:rPr>
          <w:rFonts w:ascii="Times New Roman" w:eastAsia="Times New Roman" w:hAnsi="Times New Roman"/>
          <w:sz w:val="24"/>
          <w:szCs w:val="24"/>
        </w:rPr>
      </w:pPr>
      <w:r w:rsidRPr="0036327D">
        <w:rPr>
          <w:rFonts w:ascii="Times New Roman" w:eastAsia="Times New Roman" w:hAnsi="Times New Roman"/>
          <w:sz w:val="24"/>
          <w:szCs w:val="24"/>
        </w:rPr>
        <w:t xml:space="preserve">See also this article about the Kansas case: “Notably, a sizable minority of states (18) do not currently apply the Fireman’s Rule… and have either explicitly declined to adopt, rejected, limited, or failed to address it…. These states are Alabama, Colorado, Florida, Maine, Massachusetts, Michigan, Minnesota, Montana, New Jersey, New York, North Carolina, North Dakota, Oregon, Pennsylvania, South Carolina, Vermont, West Virginia, and Wyoming.” </w:t>
      </w:r>
      <w:hyperlink r:id="rId609" w:history="1">
        <w:r w:rsidRPr="0036327D">
          <w:rPr>
            <w:rStyle w:val="Hyperlink"/>
            <w:rFonts w:ascii="Times New Roman" w:hAnsi="Times New Roman"/>
            <w:sz w:val="24"/>
            <w:szCs w:val="24"/>
          </w:rPr>
          <w:t>file:///C:/Users/lawre/AppData/Local/Temp/0182139.PDF</w:t>
        </w:r>
      </w:hyperlink>
      <w:r w:rsidRPr="0036327D">
        <w:rPr>
          <w:rFonts w:ascii="Times New Roman" w:eastAsia="Times New Roman" w:hAnsi="Times New Roman"/>
          <w:sz w:val="24"/>
          <w:szCs w:val="24"/>
        </w:rPr>
        <w:t xml:space="preserve"> </w:t>
      </w:r>
    </w:p>
    <w:p w14:paraId="51967A1C" w14:textId="77777777" w:rsidR="00F326E5" w:rsidRPr="0036327D" w:rsidRDefault="00F326E5" w:rsidP="00F326E5">
      <w:pPr>
        <w:rPr>
          <w:rFonts w:ascii="Times New Roman" w:hAnsi="Times New Roman"/>
          <w:sz w:val="24"/>
          <w:szCs w:val="24"/>
        </w:rPr>
      </w:pPr>
    </w:p>
    <w:bookmarkEnd w:id="123"/>
    <w:p w14:paraId="355BE2B8" w14:textId="4EC07D12" w:rsidR="00791CA3" w:rsidRPr="00791CA3" w:rsidRDefault="00791CA3" w:rsidP="00791CA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4</w:t>
      </w:r>
    </w:p>
    <w:p w14:paraId="14D76F3F" w14:textId="77777777" w:rsidR="00F326E5" w:rsidRPr="001521C4" w:rsidRDefault="00F326E5" w:rsidP="00F326E5">
      <w:pPr>
        <w:rPr>
          <w:b/>
          <w:sz w:val="24"/>
          <w:szCs w:val="24"/>
        </w:rPr>
      </w:pPr>
    </w:p>
    <w:p w14:paraId="27D38D05" w14:textId="04513E9C" w:rsidR="00F326E5" w:rsidRPr="00BA3B84" w:rsidRDefault="00F326E5" w:rsidP="00F326E5">
      <w:pPr>
        <w:pStyle w:val="NoSpacing"/>
        <w:rPr>
          <w:rFonts w:ascii="Arial Black" w:hAnsi="Arial Black"/>
          <w:sz w:val="24"/>
          <w:szCs w:val="24"/>
        </w:rPr>
      </w:pPr>
      <w:bookmarkStart w:id="124" w:name="_Hlk7341084"/>
      <w:r w:rsidRPr="0010462B">
        <w:rPr>
          <w:rFonts w:ascii="Arial Black" w:hAnsi="Arial Black"/>
          <w:sz w:val="28"/>
          <w:szCs w:val="28"/>
        </w:rPr>
        <w:t>NY:  FDNY RECRUIT DIED DURING PHYSICAL EXERCISES –</w:t>
      </w:r>
      <w:r>
        <w:rPr>
          <w:rFonts w:ascii="Arial Black" w:hAnsi="Arial Black"/>
          <w:sz w:val="28"/>
          <w:szCs w:val="28"/>
        </w:rPr>
        <w:t xml:space="preserve"> LAWSUIT DISMISSED - </w:t>
      </w:r>
      <w:r w:rsidRPr="0010462B">
        <w:rPr>
          <w:rFonts w:ascii="Arial Black" w:hAnsi="Arial Black"/>
          <w:sz w:val="28"/>
          <w:szCs w:val="28"/>
        </w:rPr>
        <w:t>HEART CONDITION</w:t>
      </w:r>
      <w:r w:rsidRPr="00CB3546">
        <w:t xml:space="preserve"> </w:t>
      </w:r>
    </w:p>
    <w:p w14:paraId="79D5B714" w14:textId="77777777" w:rsidR="00F326E5" w:rsidRPr="0036327D" w:rsidRDefault="00F326E5" w:rsidP="00F326E5">
      <w:pPr>
        <w:pStyle w:val="NormalWeb"/>
      </w:pPr>
      <w:r w:rsidRPr="0036327D">
        <w:t xml:space="preserve">On April 10, 2018, in </w:t>
      </w:r>
      <w:r w:rsidRPr="0036327D">
        <w:rPr>
          <w:u w:val="single"/>
        </w:rPr>
        <w:t>Sherita Sears v. The City of New York</w:t>
      </w:r>
      <w:r w:rsidRPr="0036327D">
        <w:t>, the Appellate Division of the Supreme Court of State of New York (5 to 0) denied the death claim, holding: “Plaintiff is not entitled to recover under GML §</w:t>
      </w:r>
      <w:r w:rsidRPr="0036327D">
        <w:t> </w:t>
      </w:r>
      <w:r w:rsidRPr="0036327D">
        <w:t>205–a, as the injuries decedent sustained were not the type of occupational injury that Labor Law §</w:t>
      </w:r>
      <w:r w:rsidRPr="0036327D">
        <w:t> </w:t>
      </w:r>
      <w:r w:rsidRPr="0036327D">
        <w:t xml:space="preserve">27–a was designed to protect, but rather, arose from risks unique to firefighting work (Williams v. City of New York, 2 N.Y.3d 352, 368, 779 N.Y.S.2d 449, 811 N.E.2d 1103 [2004] ).”  </w:t>
      </w:r>
      <w:hyperlink r:id="rId610" w:history="1">
        <w:r w:rsidRPr="0036327D">
          <w:rPr>
            <w:rStyle w:val="Hyperlink"/>
          </w:rPr>
          <w:t>https://caselaw.findlaw.com/ny-supreme-court-appellate-division/1893546.html</w:t>
        </w:r>
      </w:hyperlink>
      <w:r w:rsidRPr="0036327D">
        <w:t xml:space="preserve"> </w:t>
      </w:r>
    </w:p>
    <w:p w14:paraId="16DD784C" w14:textId="77777777" w:rsidR="00F326E5" w:rsidRPr="0036327D" w:rsidRDefault="00F326E5" w:rsidP="00F326E5">
      <w:pPr>
        <w:pStyle w:val="NormalWeb"/>
        <w:rPr>
          <w:b/>
          <w:bCs/>
          <w:kern w:val="36"/>
        </w:rPr>
      </w:pPr>
      <w:r w:rsidRPr="0036327D">
        <w:rPr>
          <w:b/>
        </w:rPr>
        <w:t xml:space="preserve">Legal Lessons Learned: The New York statute requires proof of “neglect, omission, willful or culpable negligence.” </w:t>
      </w:r>
    </w:p>
    <w:p w14:paraId="495CC32A" w14:textId="77777777" w:rsidR="00F326E5" w:rsidRPr="0036327D" w:rsidRDefault="00F326E5" w:rsidP="00F326E5">
      <w:pPr>
        <w:spacing w:before="100" w:beforeAutospacing="1" w:after="100" w:afterAutospacing="1"/>
        <w:ind w:firstLine="720"/>
        <w:outlineLvl w:val="0"/>
        <w:rPr>
          <w:rFonts w:ascii="Times New Roman" w:eastAsia="Times New Roman" w:hAnsi="Times New Roman"/>
          <w:bCs/>
          <w:kern w:val="36"/>
          <w:sz w:val="24"/>
          <w:szCs w:val="24"/>
        </w:rPr>
      </w:pPr>
      <w:hyperlink r:id="rId611" w:history="1">
        <w:r w:rsidRPr="0036327D">
          <w:rPr>
            <w:rStyle w:val="Hyperlink"/>
            <w:rFonts w:ascii="Times New Roman" w:hAnsi="Times New Roman"/>
            <w:sz w:val="24"/>
            <w:szCs w:val="24"/>
          </w:rPr>
          <w:t>https://codes.findlaw.com/ny/general-municipal-law/gmu-sect-205-a.html</w:t>
        </w:r>
      </w:hyperlink>
      <w:r w:rsidRPr="0036327D">
        <w:rPr>
          <w:rFonts w:ascii="Times New Roman" w:eastAsia="Times New Roman" w:hAnsi="Times New Roman"/>
          <w:bCs/>
          <w:kern w:val="36"/>
          <w:sz w:val="24"/>
          <w:szCs w:val="24"/>
        </w:rPr>
        <w:t xml:space="preserve"> </w:t>
      </w:r>
    </w:p>
    <w:p w14:paraId="06B80E02" w14:textId="77777777" w:rsidR="00F326E5" w:rsidRPr="0036327D" w:rsidRDefault="00F326E5" w:rsidP="00F326E5">
      <w:pPr>
        <w:spacing w:before="100" w:beforeAutospacing="1" w:after="100" w:afterAutospacing="1"/>
        <w:ind w:left="720"/>
        <w:outlineLvl w:val="0"/>
        <w:rPr>
          <w:rFonts w:ascii="Times New Roman" w:eastAsia="Times New Roman" w:hAnsi="Times New Roman"/>
          <w:bCs/>
          <w:kern w:val="36"/>
          <w:sz w:val="24"/>
          <w:szCs w:val="24"/>
        </w:rPr>
      </w:pPr>
      <w:r w:rsidRPr="0036327D">
        <w:rPr>
          <w:rFonts w:ascii="Times New Roman" w:eastAsia="Times New Roman" w:hAnsi="Times New Roman"/>
          <w:bCs/>
          <w:kern w:val="36"/>
          <w:sz w:val="24"/>
          <w:szCs w:val="24"/>
        </w:rPr>
        <w:t xml:space="preserve">New York Consolidated Laws, General Municipal Law - GMU § 205-a. Additional right of action to certain injured or representatives of certain deceased firefighters </w:t>
      </w:r>
    </w:p>
    <w:p w14:paraId="5DFE1DD8" w14:textId="77777777" w:rsidR="00F326E5" w:rsidRPr="0036327D" w:rsidRDefault="00F326E5" w:rsidP="00F326E5">
      <w:pPr>
        <w:spacing w:before="100" w:beforeAutospacing="1" w:after="100" w:afterAutospacing="1"/>
        <w:ind w:left="720"/>
        <w:outlineLvl w:val="0"/>
        <w:rPr>
          <w:rFonts w:ascii="Times New Roman" w:hAnsi="Times New Roman"/>
          <w:sz w:val="24"/>
          <w:szCs w:val="24"/>
        </w:rPr>
      </w:pPr>
      <w:r w:rsidRPr="0036327D">
        <w:rPr>
          <w:rFonts w:ascii="Times New Roman" w:hAnsi="Times New Roman"/>
          <w:sz w:val="24"/>
          <w:szCs w:val="24"/>
        </w:rPr>
        <w:t>“In addition to any other right of action or recovery under any other provision of law, in the event any accident, causing injury, death or a disease which results in death, occurs directly or indirectly as a result of any neglect, omission, willful or culpable negligence of any person or persons in failing to comply with the requirements of any of the statutes, ordinances, rules, orders and requirements of the federal, state, county, village, town or city governments or of any and all their departments, divisions and bureaus, the person or persons guilty of said neglect, omission, willful or culpable negligence at the time of such injury or death shall be liable to pay any officer, member, agent or employee of any fire department injured, or whose life may be lost while in the discharge or performance at any time or place of any duty imposed by the fire commissioner, fire chief or other superior officer of the fire department, or to pay to the wife and children, or to pay to the parents, or to pay to the brothers and sisters, being the surviving heirs-at-law of any deceased person thus having lost his life, a sum of money, in case of injury to person, not less than ten thousand dollars, and in case of death not less than forty thousand dollars, such liability to be determined and such sums recovered in an action to be instituted by any person injured or the family or relatives of any person killed as aforesaid.”</w:t>
      </w:r>
    </w:p>
    <w:p w14:paraId="78CBCD5E" w14:textId="77777777" w:rsidR="00F326E5" w:rsidRPr="0036327D" w:rsidRDefault="00F326E5" w:rsidP="00F326E5">
      <w:pPr>
        <w:pStyle w:val="NormalWeb"/>
        <w:rPr>
          <w:b/>
        </w:rPr>
      </w:pPr>
    </w:p>
    <w:bookmarkEnd w:id="124"/>
    <w:p w14:paraId="33BFB6A0" w14:textId="77777777" w:rsidR="0036327D" w:rsidRDefault="0036327D" w:rsidP="00791CA3">
      <w:pPr>
        <w:pStyle w:val="NoSpacing"/>
        <w:rPr>
          <w:rFonts w:ascii="Arial Black" w:hAnsi="Arial Black"/>
          <w:sz w:val="24"/>
          <w:szCs w:val="24"/>
        </w:rPr>
      </w:pPr>
    </w:p>
    <w:p w14:paraId="60C6050F" w14:textId="77777777" w:rsidR="0036327D" w:rsidRDefault="0036327D" w:rsidP="00791CA3">
      <w:pPr>
        <w:pStyle w:val="NoSpacing"/>
        <w:rPr>
          <w:rFonts w:ascii="Arial Black" w:hAnsi="Arial Black"/>
          <w:sz w:val="24"/>
          <w:szCs w:val="24"/>
        </w:rPr>
      </w:pPr>
    </w:p>
    <w:p w14:paraId="5F235C50" w14:textId="5CCDDDE2" w:rsidR="00791CA3" w:rsidRPr="00791CA3" w:rsidRDefault="00791CA3" w:rsidP="00791CA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3</w:t>
      </w:r>
    </w:p>
    <w:p w14:paraId="3D92908D" w14:textId="77777777" w:rsidR="00F326E5" w:rsidRDefault="00F326E5" w:rsidP="00F326E5">
      <w:pPr>
        <w:rPr>
          <w:rFonts w:ascii="AATimes New Roman" w:hAnsi="AATimes New Roman"/>
          <w:color w:val="4A4A4A"/>
          <w:sz w:val="24"/>
          <w:szCs w:val="24"/>
          <w:lang w:val="en"/>
        </w:rPr>
      </w:pPr>
    </w:p>
    <w:p w14:paraId="3AC03F60" w14:textId="0C7D3125" w:rsidR="00F326E5" w:rsidRPr="0026507F" w:rsidRDefault="00F326E5" w:rsidP="00F326E5">
      <w:pPr>
        <w:rPr>
          <w:rFonts w:ascii="Times New Roman" w:hAnsi="Times New Roman"/>
          <w:b/>
          <w:color w:val="4A4A4A"/>
          <w:sz w:val="24"/>
          <w:szCs w:val="24"/>
          <w:lang w:val="en"/>
        </w:rPr>
      </w:pPr>
      <w:bookmarkStart w:id="125" w:name="_Hlk7341127"/>
      <w:r w:rsidRPr="00B87096">
        <w:rPr>
          <w:rFonts w:ascii="Arial Black" w:hAnsi="Arial Black"/>
          <w:color w:val="4A4A4A"/>
          <w:sz w:val="28"/>
          <w:szCs w:val="28"/>
          <w:lang w:val="en"/>
        </w:rPr>
        <w:t>U.S. SUPREME COURT</w:t>
      </w:r>
      <w:r>
        <w:rPr>
          <w:rFonts w:ascii="Arial Black" w:hAnsi="Arial Black"/>
          <w:color w:val="4A4A4A"/>
          <w:sz w:val="28"/>
          <w:szCs w:val="28"/>
          <w:lang w:val="en"/>
        </w:rPr>
        <w:t xml:space="preserve">: LANDMARK DECISION ON </w:t>
      </w:r>
      <w:r w:rsidRPr="00B87096">
        <w:rPr>
          <w:rFonts w:ascii="Arial Black" w:hAnsi="Arial Black"/>
          <w:color w:val="4A4A4A"/>
          <w:sz w:val="28"/>
          <w:szCs w:val="28"/>
          <w:lang w:val="en"/>
        </w:rPr>
        <w:t>QUALIFIED IMMUNITY</w:t>
      </w:r>
      <w:r>
        <w:rPr>
          <w:rFonts w:ascii="Arial Black" w:hAnsi="Arial Black"/>
          <w:color w:val="4A4A4A"/>
          <w:sz w:val="28"/>
          <w:szCs w:val="28"/>
          <w:lang w:val="en"/>
        </w:rPr>
        <w:t xml:space="preserve"> – ONLY IF CLEAR CONSTIT</w:t>
      </w:r>
      <w:r w:rsidR="0036327D">
        <w:rPr>
          <w:rFonts w:ascii="Arial Black" w:hAnsi="Arial Black"/>
          <w:color w:val="4A4A4A"/>
          <w:sz w:val="28"/>
          <w:szCs w:val="28"/>
          <w:lang w:val="en"/>
        </w:rPr>
        <w:t xml:space="preserve">UTIONAL VIOLATION </w:t>
      </w:r>
      <w:r>
        <w:rPr>
          <w:rFonts w:ascii="Times New Roman" w:hAnsi="Times New Roman"/>
          <w:color w:val="4A4A4A"/>
          <w:sz w:val="24"/>
          <w:szCs w:val="24"/>
          <w:lang w:val="en"/>
        </w:rPr>
        <w:t>[also filed, Chap. 1]</w:t>
      </w:r>
    </w:p>
    <w:p w14:paraId="7766F5F8" w14:textId="77777777" w:rsidR="00965872" w:rsidRDefault="00F326E5" w:rsidP="00F326E5">
      <w:pPr>
        <w:rPr>
          <w:rFonts w:ascii="Times New Roman" w:hAnsi="Times New Roman"/>
          <w:color w:val="4A4A4A"/>
          <w:sz w:val="24"/>
          <w:szCs w:val="24"/>
          <w:lang w:val="en"/>
        </w:rPr>
      </w:pPr>
      <w:bookmarkStart w:id="126" w:name="_Hlk1065203"/>
      <w:r w:rsidRPr="0036327D">
        <w:rPr>
          <w:rFonts w:ascii="Times New Roman" w:hAnsi="Times New Roman"/>
          <w:color w:val="4A4A4A"/>
          <w:sz w:val="24"/>
          <w:szCs w:val="24"/>
          <w:lang w:val="en"/>
        </w:rPr>
        <w:t xml:space="preserve">On April 2, 2018, in </w:t>
      </w:r>
      <w:r w:rsidRPr="0036327D">
        <w:rPr>
          <w:rFonts w:ascii="Times New Roman" w:hAnsi="Times New Roman"/>
          <w:color w:val="4A4A4A"/>
          <w:sz w:val="24"/>
          <w:szCs w:val="24"/>
          <w:u w:val="single"/>
          <w:lang w:val="en"/>
        </w:rPr>
        <w:t>Andrew Kisela v. Amy Hughes</w:t>
      </w:r>
      <w:r w:rsidRPr="0036327D">
        <w:rPr>
          <w:rFonts w:ascii="Times New Roman" w:hAnsi="Times New Roman"/>
          <w:color w:val="4A4A4A"/>
          <w:sz w:val="24"/>
          <w:szCs w:val="24"/>
          <w:lang w:val="en"/>
        </w:rPr>
        <w:t>, the U.S. Supreme Court reversed the 9</w:t>
      </w:r>
      <w:r w:rsidRPr="0036327D">
        <w:rPr>
          <w:rFonts w:ascii="Times New Roman" w:hAnsi="Times New Roman"/>
          <w:color w:val="4A4A4A"/>
          <w:sz w:val="24"/>
          <w:szCs w:val="24"/>
          <w:vertAlign w:val="superscript"/>
          <w:lang w:val="en"/>
        </w:rPr>
        <w:t>th</w:t>
      </w:r>
      <w:r w:rsidRPr="0036327D">
        <w:rPr>
          <w:rFonts w:ascii="Times New Roman" w:hAnsi="Times New Roman"/>
          <w:color w:val="4A4A4A"/>
          <w:sz w:val="24"/>
          <w:szCs w:val="24"/>
          <w:lang w:val="en"/>
        </w:rPr>
        <w:t xml:space="preserve"> Circuit and held (7 to 2) the police officer who shot Amy Hughes should have been dismissed from the lawsuit: </w:t>
      </w:r>
    </w:p>
    <w:p w14:paraId="7C4C0AA8" w14:textId="1859A998" w:rsidR="00F326E5" w:rsidRPr="0036327D" w:rsidRDefault="00F326E5" w:rsidP="00965872">
      <w:pPr>
        <w:ind w:left="720"/>
        <w:rPr>
          <w:rFonts w:ascii="Times New Roman" w:hAnsi="Times New Roman"/>
          <w:color w:val="4A4A4A"/>
          <w:sz w:val="24"/>
          <w:szCs w:val="24"/>
          <w:lang w:val="en"/>
        </w:rPr>
      </w:pPr>
      <w:r w:rsidRPr="0036327D">
        <w:rPr>
          <w:rFonts w:ascii="Times New Roman" w:hAnsi="Times New Roman"/>
          <w:color w:val="4A4A4A"/>
          <w:sz w:val="24"/>
          <w:szCs w:val="24"/>
          <w:lang w:val="en"/>
        </w:rPr>
        <w:t>“Here, the Court need not, and does not, decide whether Kisela violated the Fourth Amendment when he used deadly force against Hughes.  For even assuming a Fourth Amendment violation occurred—a proposition that is not at all evident—on these facts Kisela was at least entitled to qualified immunity. ‘Qualified immunity attaches when an official’s conduct does not violate clearly established statutory or constitutional rights of which a reasonable person would have known.”</w:t>
      </w:r>
      <w:r w:rsidRPr="0036327D">
        <w:rPr>
          <w:rFonts w:ascii="Times New Roman" w:hAnsi="Times New Roman"/>
          <w:sz w:val="24"/>
          <w:szCs w:val="24"/>
        </w:rPr>
        <w:t xml:space="preserve"> </w:t>
      </w:r>
      <w:hyperlink r:id="rId612" w:history="1">
        <w:r w:rsidRPr="0036327D">
          <w:rPr>
            <w:rStyle w:val="Hyperlink"/>
            <w:rFonts w:ascii="Times New Roman" w:hAnsi="Times New Roman"/>
            <w:sz w:val="24"/>
            <w:szCs w:val="24"/>
            <w:lang w:val="en"/>
          </w:rPr>
          <w:t>file:///C:/Users/lawre/AppData/Local/Microsoft/Windows/INetCache/IE/CTCRXJ99/17-467_bqm1.pdf</w:t>
        </w:r>
      </w:hyperlink>
      <w:bookmarkEnd w:id="126"/>
      <w:r w:rsidRPr="0036327D">
        <w:rPr>
          <w:rFonts w:ascii="Times New Roman" w:hAnsi="Times New Roman"/>
          <w:color w:val="4A4A4A"/>
          <w:sz w:val="24"/>
          <w:szCs w:val="24"/>
          <w:lang w:val="en"/>
        </w:rPr>
        <w:t xml:space="preserve"> </w:t>
      </w:r>
    </w:p>
    <w:p w14:paraId="0C41C57F" w14:textId="77777777" w:rsidR="00F326E5" w:rsidRPr="0036327D" w:rsidRDefault="00F326E5" w:rsidP="00F326E5">
      <w:pPr>
        <w:rPr>
          <w:rFonts w:ascii="Times New Roman" w:hAnsi="Times New Roman"/>
          <w:b/>
          <w:color w:val="4A4A4A"/>
          <w:sz w:val="24"/>
          <w:szCs w:val="24"/>
          <w:lang w:val="en"/>
        </w:rPr>
      </w:pPr>
      <w:r w:rsidRPr="0036327D">
        <w:rPr>
          <w:rFonts w:ascii="Times New Roman" w:hAnsi="Times New Roman"/>
          <w:b/>
          <w:color w:val="4A4A4A"/>
          <w:sz w:val="24"/>
          <w:szCs w:val="24"/>
          <w:lang w:val="en"/>
        </w:rPr>
        <w:t>LEGAL LESSONS LEARNED:  Very helpful decision, not only for police officers, but for all emergency responders who may be sued arising out of split-second decisions.  The 7-</w:t>
      </w:r>
      <w:bookmarkStart w:id="127" w:name="_Hlk1065258"/>
      <w:r w:rsidRPr="0036327D">
        <w:rPr>
          <w:rFonts w:ascii="Times New Roman" w:hAnsi="Times New Roman"/>
          <w:b/>
          <w:color w:val="4A4A4A"/>
          <w:sz w:val="24"/>
          <w:szCs w:val="24"/>
          <w:lang w:val="en"/>
        </w:rPr>
        <w:t xml:space="preserve">Justices sent a message that qualified immunity protects police officers from personal liability unless conduct clearly unjustified.  </w:t>
      </w:r>
    </w:p>
    <w:p w14:paraId="5242535B" w14:textId="77777777" w:rsidR="00F326E5" w:rsidRPr="0036327D" w:rsidRDefault="00F326E5" w:rsidP="00F326E5">
      <w:pPr>
        <w:ind w:left="720"/>
        <w:rPr>
          <w:rFonts w:ascii="Times New Roman" w:hAnsi="Times New Roman"/>
          <w:b/>
          <w:color w:val="4A4A4A"/>
          <w:sz w:val="24"/>
          <w:szCs w:val="24"/>
          <w:lang w:val="en"/>
        </w:rPr>
      </w:pPr>
      <w:r w:rsidRPr="0036327D">
        <w:rPr>
          <w:rFonts w:ascii="Times New Roman" w:hAnsi="Times New Roman"/>
          <w:color w:val="4A4A4A"/>
          <w:sz w:val="24"/>
          <w:szCs w:val="24"/>
          <w:lang w:val="en"/>
        </w:rPr>
        <w:t>See New York Times article on this decision: “</w:t>
      </w:r>
      <w:r w:rsidRPr="0036327D">
        <w:rPr>
          <w:rFonts w:ascii="Times New Roman" w:hAnsi="Times New Roman"/>
          <w:sz w:val="24"/>
          <w:szCs w:val="24"/>
          <w:lang w:val="en"/>
        </w:rPr>
        <w:t>The court’s decision was unsigned and issued without full briefing and oral argument, an indication that the majority found the case to be easy.”</w:t>
      </w:r>
      <w:r w:rsidRPr="0036327D">
        <w:rPr>
          <w:rFonts w:ascii="Times New Roman" w:hAnsi="Times New Roman"/>
          <w:color w:val="4A4A4A"/>
          <w:sz w:val="24"/>
          <w:szCs w:val="24"/>
          <w:lang w:val="en"/>
        </w:rPr>
        <w:t xml:space="preserve"> </w:t>
      </w:r>
      <w:hyperlink r:id="rId613" w:history="1">
        <w:r w:rsidRPr="0036327D">
          <w:rPr>
            <w:rStyle w:val="Hyperlink"/>
            <w:rFonts w:ascii="Times New Roman" w:hAnsi="Times New Roman"/>
            <w:sz w:val="24"/>
            <w:szCs w:val="24"/>
            <w:lang w:val="en"/>
          </w:rPr>
          <w:t>https://www.nytimes.com/2018/04/02/us/politics/supreme-court-rules-for-police-officer-in-excessive-force-case.html</w:t>
        </w:r>
      </w:hyperlink>
      <w:r w:rsidRPr="0036327D">
        <w:rPr>
          <w:rFonts w:ascii="Times New Roman" w:hAnsi="Times New Roman"/>
          <w:b/>
          <w:color w:val="4A4A4A"/>
          <w:sz w:val="24"/>
          <w:szCs w:val="24"/>
          <w:lang w:val="en"/>
        </w:rPr>
        <w:t xml:space="preserve"> </w:t>
      </w:r>
      <w:bookmarkEnd w:id="127"/>
    </w:p>
    <w:p w14:paraId="5584A911" w14:textId="77777777" w:rsidR="00F326E5" w:rsidRPr="0036327D" w:rsidRDefault="00F326E5" w:rsidP="00F326E5">
      <w:pPr>
        <w:ind w:left="720"/>
        <w:rPr>
          <w:rFonts w:ascii="Times New Roman" w:hAnsi="Times New Roman"/>
          <w:b/>
          <w:color w:val="4A4A4A"/>
          <w:sz w:val="24"/>
          <w:szCs w:val="24"/>
          <w:lang w:val="en"/>
        </w:rPr>
      </w:pPr>
    </w:p>
    <w:bookmarkEnd w:id="125"/>
    <w:p w14:paraId="793CC0DF" w14:textId="25783A7F" w:rsidR="00791CA3" w:rsidRPr="00791CA3" w:rsidRDefault="00791CA3" w:rsidP="00791CA3">
      <w:pPr>
        <w:pStyle w:val="NoSpacing"/>
        <w:rPr>
          <w:rFonts w:ascii="Arial Black" w:hAnsi="Arial Black"/>
          <w:sz w:val="24"/>
          <w:szCs w:val="24"/>
        </w:rPr>
      </w:pPr>
      <w:r w:rsidRPr="00791CA3">
        <w:rPr>
          <w:rFonts w:ascii="Arial Black" w:hAnsi="Arial Black"/>
          <w:sz w:val="24"/>
          <w:szCs w:val="24"/>
        </w:rPr>
        <w:t>2-</w:t>
      </w:r>
      <w:r>
        <w:rPr>
          <w:rFonts w:ascii="Arial Black" w:hAnsi="Arial Black"/>
          <w:sz w:val="24"/>
          <w:szCs w:val="24"/>
        </w:rPr>
        <w:t>2</w:t>
      </w:r>
    </w:p>
    <w:p w14:paraId="5D56D74D" w14:textId="77777777" w:rsidR="00F326E5" w:rsidRDefault="00F326E5" w:rsidP="00F326E5">
      <w:pPr>
        <w:rPr>
          <w:sz w:val="24"/>
          <w:szCs w:val="24"/>
        </w:rPr>
      </w:pPr>
    </w:p>
    <w:p w14:paraId="678E94EA" w14:textId="738A2BE7" w:rsidR="00F326E5" w:rsidRPr="004445C3" w:rsidRDefault="00F326E5" w:rsidP="00F326E5">
      <w:pPr>
        <w:rPr>
          <w:rFonts w:ascii="[" w:hAnsi="["/>
          <w:color w:val="4A4A4A"/>
          <w:sz w:val="24"/>
          <w:szCs w:val="24"/>
          <w:lang w:val="en"/>
        </w:rPr>
      </w:pPr>
      <w:bookmarkStart w:id="128" w:name="_Hlk7341158"/>
      <w:r>
        <w:rPr>
          <w:rFonts w:ascii="Arial Black" w:hAnsi="Arial Black" w:cs="Arial"/>
          <w:color w:val="4A4A4A"/>
          <w:sz w:val="28"/>
          <w:szCs w:val="28"/>
          <w:lang w:val="en"/>
        </w:rPr>
        <w:t xml:space="preserve">TX: </w:t>
      </w:r>
      <w:r w:rsidRPr="00992190">
        <w:rPr>
          <w:rFonts w:ascii="Arial Black" w:hAnsi="Arial Black" w:cs="Arial"/>
          <w:color w:val="4A4A4A"/>
          <w:sz w:val="28"/>
          <w:szCs w:val="28"/>
          <w:lang w:val="en"/>
        </w:rPr>
        <w:t xml:space="preserve">MURDER TRIAL </w:t>
      </w:r>
      <w:r>
        <w:rPr>
          <w:rFonts w:ascii="Arial Black" w:hAnsi="Arial Black" w:cs="Arial"/>
          <w:color w:val="4A4A4A"/>
          <w:sz w:val="28"/>
          <w:szCs w:val="28"/>
          <w:lang w:val="en"/>
        </w:rPr>
        <w:t xml:space="preserve">FOR KILLING A POLICE OFFICER – PD MAY BE AT TRIAL IN UNIFORM </w:t>
      </w:r>
      <w:r>
        <w:rPr>
          <w:rFonts w:ascii="[" w:hAnsi="["/>
          <w:color w:val="4A4A4A"/>
          <w:sz w:val="24"/>
          <w:szCs w:val="24"/>
          <w:lang w:val="en"/>
        </w:rPr>
        <w:t>[also filed, Chap. 1]</w:t>
      </w:r>
    </w:p>
    <w:p w14:paraId="63F3BD15" w14:textId="33E5A73A" w:rsidR="00F326E5" w:rsidRPr="0036327D" w:rsidRDefault="00F326E5" w:rsidP="00F326E5">
      <w:pPr>
        <w:rPr>
          <w:rStyle w:val="Hyperlink"/>
          <w:rFonts w:ascii="Times New Roman" w:hAnsi="Times New Roman"/>
          <w:sz w:val="24"/>
          <w:szCs w:val="24"/>
          <w:lang w:val="en"/>
        </w:rPr>
      </w:pPr>
      <w:r w:rsidRPr="0036327D">
        <w:rPr>
          <w:rFonts w:ascii="Times New Roman" w:hAnsi="Times New Roman"/>
          <w:color w:val="4A4A4A"/>
          <w:sz w:val="24"/>
          <w:szCs w:val="24"/>
          <w:lang w:val="en"/>
        </w:rPr>
        <w:t xml:space="preserve">On March 27, 2018, in </w:t>
      </w:r>
      <w:r w:rsidRPr="0036327D">
        <w:rPr>
          <w:rFonts w:ascii="Times New Roman" w:hAnsi="Times New Roman"/>
          <w:color w:val="4A4A4A"/>
          <w:sz w:val="24"/>
          <w:szCs w:val="24"/>
          <w:u w:val="single"/>
          <w:lang w:val="en"/>
        </w:rPr>
        <w:t xml:space="preserve">Shelton </w:t>
      </w:r>
      <w:proofErr w:type="spellStart"/>
      <w:r w:rsidRPr="0036327D">
        <w:rPr>
          <w:rFonts w:ascii="Times New Roman" w:hAnsi="Times New Roman"/>
          <w:color w:val="4A4A4A"/>
          <w:sz w:val="24"/>
          <w:szCs w:val="24"/>
          <w:u w:val="single"/>
          <w:lang w:val="en"/>
        </w:rPr>
        <w:t>Denoria</w:t>
      </w:r>
      <w:proofErr w:type="spellEnd"/>
      <w:r w:rsidRPr="0036327D">
        <w:rPr>
          <w:rFonts w:ascii="Times New Roman" w:hAnsi="Times New Roman"/>
          <w:color w:val="4A4A4A"/>
          <w:sz w:val="24"/>
          <w:szCs w:val="24"/>
          <w:u w:val="single"/>
          <w:lang w:val="en"/>
        </w:rPr>
        <w:t xml:space="preserve"> Jones v. Lorie Davis, Director, Texas Department of Criminal Justice</w:t>
      </w:r>
      <w:r w:rsidRPr="0036327D">
        <w:rPr>
          <w:rFonts w:ascii="Times New Roman" w:hAnsi="Times New Roman"/>
          <w:color w:val="4A4A4A"/>
          <w:sz w:val="24"/>
          <w:szCs w:val="24"/>
          <w:lang w:val="en"/>
        </w:rPr>
        <w:t>, the U.S. Court of Appeals for 5</w:t>
      </w:r>
      <w:r w:rsidRPr="0036327D">
        <w:rPr>
          <w:rFonts w:ascii="Times New Roman" w:hAnsi="Times New Roman"/>
          <w:color w:val="4A4A4A"/>
          <w:sz w:val="24"/>
          <w:szCs w:val="24"/>
          <w:vertAlign w:val="superscript"/>
          <w:lang w:val="en"/>
        </w:rPr>
        <w:t>th</w:t>
      </w:r>
      <w:r w:rsidRPr="0036327D">
        <w:rPr>
          <w:rFonts w:ascii="Times New Roman" w:hAnsi="Times New Roman"/>
          <w:color w:val="4A4A4A"/>
          <w:sz w:val="24"/>
          <w:szCs w:val="24"/>
          <w:lang w:val="en"/>
        </w:rPr>
        <w:t xml:space="preserve"> Circuit, held (3 to 0) that the defendant was not deprived of a fair trial in state court: “the record before us does not suggest the police presence intimidated the jury or disrupted the factfinding process in any way.” </w:t>
      </w:r>
      <w:hyperlink r:id="rId614" w:history="1">
        <w:r w:rsidRPr="0036327D">
          <w:rPr>
            <w:rStyle w:val="Hyperlink"/>
            <w:rFonts w:ascii="Times New Roman" w:hAnsi="Times New Roman"/>
            <w:sz w:val="24"/>
            <w:szCs w:val="24"/>
            <w:lang w:val="en"/>
          </w:rPr>
          <w:t>file:///C:/Users/lawre/AppData/Local/Microsoft/Windows/INetCache/IE/XO250S7T/15-70040-CV0.pdf</w:t>
        </w:r>
      </w:hyperlink>
    </w:p>
    <w:p w14:paraId="18A9B3EF" w14:textId="77777777" w:rsidR="00F326E5" w:rsidRPr="0036327D" w:rsidRDefault="00F326E5" w:rsidP="00F326E5">
      <w:pPr>
        <w:rPr>
          <w:rFonts w:ascii="Times New Roman" w:hAnsi="Times New Roman"/>
          <w:b/>
          <w:color w:val="4A4A4A"/>
          <w:sz w:val="24"/>
          <w:szCs w:val="24"/>
          <w:lang w:val="en"/>
        </w:rPr>
      </w:pPr>
      <w:bookmarkStart w:id="129" w:name="_Hlk1065353"/>
      <w:r w:rsidRPr="0036327D">
        <w:rPr>
          <w:rFonts w:ascii="Times New Roman" w:hAnsi="Times New Roman"/>
          <w:b/>
          <w:color w:val="4A4A4A"/>
          <w:sz w:val="24"/>
          <w:szCs w:val="24"/>
          <w:lang w:val="en"/>
        </w:rPr>
        <w:t xml:space="preserve">LEGAL LESSONS LEARNED:  Helpful decision – no evidence of jury intimidation by having emergency responders in uniform, watching a jury trial.  Before showing up in uniform, please discuss with your Chief and the prosecutor, who may want to review with trial judge, prior to start of trial. </w:t>
      </w:r>
    </w:p>
    <w:p w14:paraId="5EB00F6E" w14:textId="77777777" w:rsidR="00D46F1E" w:rsidRPr="0036327D" w:rsidRDefault="00D46F1E" w:rsidP="00F326E5">
      <w:pPr>
        <w:pStyle w:val="NoSpacing"/>
        <w:rPr>
          <w:rFonts w:ascii="Times New Roman" w:hAnsi="Times New Roman"/>
          <w:sz w:val="24"/>
          <w:szCs w:val="24"/>
        </w:rPr>
      </w:pPr>
      <w:bookmarkStart w:id="130" w:name="_Hlk515115331"/>
      <w:bookmarkEnd w:id="128"/>
      <w:bookmarkEnd w:id="129"/>
    </w:p>
    <w:p w14:paraId="5327D8FF" w14:textId="77777777" w:rsidR="00D46F1E" w:rsidRDefault="00D46F1E" w:rsidP="00F326E5">
      <w:pPr>
        <w:pStyle w:val="NoSpacing"/>
        <w:rPr>
          <w:sz w:val="24"/>
          <w:szCs w:val="24"/>
        </w:rPr>
      </w:pPr>
    </w:p>
    <w:p w14:paraId="71B7B4DB" w14:textId="24ADCB6B" w:rsidR="00D46F1E" w:rsidRPr="00791CA3" w:rsidRDefault="00791CA3" w:rsidP="00F326E5">
      <w:pPr>
        <w:pStyle w:val="NoSpacing"/>
        <w:rPr>
          <w:rFonts w:ascii="Arial Black" w:hAnsi="Arial Black"/>
          <w:sz w:val="24"/>
          <w:szCs w:val="24"/>
        </w:rPr>
      </w:pPr>
      <w:r w:rsidRPr="00791CA3">
        <w:rPr>
          <w:rFonts w:ascii="Arial Black" w:hAnsi="Arial Black"/>
          <w:sz w:val="24"/>
          <w:szCs w:val="24"/>
        </w:rPr>
        <w:t>2-1</w:t>
      </w:r>
    </w:p>
    <w:p w14:paraId="7A128CE5" w14:textId="77777777" w:rsidR="00D46F1E" w:rsidRDefault="00D46F1E" w:rsidP="00F326E5">
      <w:pPr>
        <w:pStyle w:val="NoSpacing"/>
        <w:rPr>
          <w:sz w:val="24"/>
          <w:szCs w:val="24"/>
        </w:rPr>
      </w:pPr>
    </w:p>
    <w:p w14:paraId="6607B45D" w14:textId="16C33E9F" w:rsidR="00F326E5" w:rsidRDefault="00F326E5" w:rsidP="00F326E5">
      <w:pPr>
        <w:pStyle w:val="NoSpacing"/>
        <w:rPr>
          <w:rFonts w:ascii="Arial Black" w:hAnsi="Arial Black"/>
          <w:b/>
          <w:sz w:val="28"/>
          <w:szCs w:val="28"/>
        </w:rPr>
      </w:pPr>
      <w:bookmarkStart w:id="131" w:name="_Hlk7341195"/>
      <w:r>
        <w:rPr>
          <w:rFonts w:ascii="Arial Black" w:hAnsi="Arial Black"/>
          <w:b/>
          <w:sz w:val="28"/>
          <w:szCs w:val="28"/>
        </w:rPr>
        <w:t>PA: SEAGRAVE FIRE APPARATUS – INSURANCE COMPANIES MUST DEFEND ON HEARING LOSS CLAIMS</w:t>
      </w:r>
    </w:p>
    <w:bookmarkEnd w:id="130"/>
    <w:p w14:paraId="509F34F7" w14:textId="14F36BFA" w:rsidR="00F326E5" w:rsidRPr="0036327D" w:rsidRDefault="00F326E5" w:rsidP="00F326E5">
      <w:pPr>
        <w:rPr>
          <w:rFonts w:ascii="Times New Roman" w:hAnsi="Times New Roman"/>
          <w:sz w:val="24"/>
          <w:szCs w:val="24"/>
        </w:rPr>
      </w:pPr>
      <w:r w:rsidRPr="0036327D">
        <w:rPr>
          <w:rFonts w:ascii="Times New Roman" w:hAnsi="Times New Roman"/>
          <w:sz w:val="24"/>
          <w:szCs w:val="24"/>
        </w:rPr>
        <w:t xml:space="preserve">On March 26, 2018, in </w:t>
      </w:r>
      <w:r w:rsidRPr="0036327D">
        <w:rPr>
          <w:rFonts w:ascii="Times New Roman" w:hAnsi="Times New Roman"/>
          <w:sz w:val="24"/>
          <w:szCs w:val="24"/>
          <w:u w:val="single"/>
        </w:rPr>
        <w:t>Seagrave Fire Apparatus, LLC v. CAN D/B/A Continental Casualty Company, et al.</w:t>
      </w:r>
      <w:r w:rsidRPr="0036327D">
        <w:rPr>
          <w:rFonts w:ascii="Times New Roman" w:hAnsi="Times New Roman"/>
          <w:sz w:val="24"/>
          <w:szCs w:val="24"/>
        </w:rPr>
        <w:t xml:space="preserve">, the Superior Court of Pennsylvania held (3 to 1) that several insurance companies that insured Seagrave must defend Seagrave under their contracts for firefighter hearing loss claims.  </w:t>
      </w:r>
      <w:hyperlink r:id="rId615" w:history="1">
        <w:r w:rsidRPr="0036327D">
          <w:rPr>
            <w:rStyle w:val="Hyperlink"/>
            <w:rFonts w:ascii="Times New Roman" w:hAnsi="Times New Roman"/>
            <w:sz w:val="24"/>
            <w:szCs w:val="24"/>
          </w:rPr>
          <w:t>file:///C:/Users/lawre/AppData/Local/Microsoft/Windows/INetCache/IE/XO250S7T/memorandum%20%20affirmed%20%2010347948434547371.pdf</w:t>
        </w:r>
      </w:hyperlink>
      <w:r w:rsidRPr="0036327D">
        <w:rPr>
          <w:rFonts w:ascii="Times New Roman" w:hAnsi="Times New Roman"/>
          <w:sz w:val="24"/>
          <w:szCs w:val="24"/>
        </w:rPr>
        <w:t xml:space="preserve"> </w:t>
      </w:r>
    </w:p>
    <w:p w14:paraId="06BFD820" w14:textId="7EAF05C7" w:rsidR="00F326E5" w:rsidRPr="0036327D" w:rsidRDefault="00F326E5" w:rsidP="00F326E5">
      <w:pPr>
        <w:rPr>
          <w:rFonts w:ascii="Times New Roman" w:hAnsi="Times New Roman"/>
          <w:b/>
          <w:sz w:val="24"/>
          <w:szCs w:val="24"/>
        </w:rPr>
      </w:pPr>
      <w:r w:rsidRPr="0036327D">
        <w:rPr>
          <w:rFonts w:ascii="Times New Roman" w:hAnsi="Times New Roman"/>
          <w:b/>
          <w:sz w:val="24"/>
          <w:szCs w:val="24"/>
        </w:rPr>
        <w:t>L</w:t>
      </w:r>
      <w:r w:rsidR="00965872">
        <w:rPr>
          <w:rFonts w:ascii="Times New Roman" w:hAnsi="Times New Roman"/>
          <w:b/>
          <w:sz w:val="24"/>
          <w:szCs w:val="24"/>
        </w:rPr>
        <w:t xml:space="preserve">egal Lessons Learned: </w:t>
      </w:r>
      <w:r w:rsidRPr="0036327D">
        <w:rPr>
          <w:rFonts w:ascii="Times New Roman" w:hAnsi="Times New Roman"/>
          <w:b/>
          <w:sz w:val="24"/>
          <w:szCs w:val="24"/>
        </w:rPr>
        <w:t xml:space="preserve">Insurance companies are obligated </w:t>
      </w:r>
      <w:proofErr w:type="gramStart"/>
      <w:r w:rsidRPr="0036327D">
        <w:rPr>
          <w:rFonts w:ascii="Times New Roman" w:hAnsi="Times New Roman"/>
          <w:b/>
          <w:sz w:val="24"/>
          <w:szCs w:val="24"/>
        </w:rPr>
        <w:t>per</w:t>
      </w:r>
      <w:proofErr w:type="gramEnd"/>
      <w:r w:rsidRPr="0036327D">
        <w:rPr>
          <w:rFonts w:ascii="Times New Roman" w:hAnsi="Times New Roman"/>
          <w:b/>
          <w:sz w:val="24"/>
          <w:szCs w:val="24"/>
        </w:rPr>
        <w:t xml:space="preserve"> terms of their contracts to defend Seagrave against the many pending claims. </w:t>
      </w:r>
    </w:p>
    <w:p w14:paraId="08D308CA" w14:textId="46B858FD" w:rsidR="00F326E5" w:rsidRPr="0036327D" w:rsidRDefault="00F326E5" w:rsidP="00F326E5">
      <w:pPr>
        <w:ind w:left="720"/>
        <w:rPr>
          <w:rFonts w:ascii="Times New Roman" w:hAnsi="Times New Roman"/>
          <w:sz w:val="24"/>
          <w:szCs w:val="24"/>
        </w:rPr>
      </w:pPr>
      <w:r w:rsidRPr="0036327D">
        <w:rPr>
          <w:rFonts w:ascii="Times New Roman" w:hAnsi="Times New Roman"/>
          <w:sz w:val="24"/>
          <w:szCs w:val="24"/>
        </w:rPr>
        <w:t xml:space="preserve">See, for example, this 2015 lawsuit filed on behalf of 34 New Jersey firefighters: </w:t>
      </w:r>
      <w:hyperlink r:id="rId616" w:history="1">
        <w:r w:rsidRPr="0036327D">
          <w:rPr>
            <w:rStyle w:val="Hyperlink"/>
            <w:rFonts w:ascii="Times New Roman" w:hAnsi="Times New Roman"/>
            <w:sz w:val="24"/>
            <w:szCs w:val="24"/>
          </w:rPr>
          <w:t>file:///C:/Users/lawre/AppData/Local/Microsoft/Windows/INetCache/IE/CTCRXJ99/Alvarez-v-American-LaFrance.pdf</w:t>
        </w:r>
      </w:hyperlink>
    </w:p>
    <w:bookmarkEnd w:id="131"/>
    <w:p w14:paraId="2304D399" w14:textId="77777777" w:rsidR="00F326E5" w:rsidRPr="008F54C5" w:rsidRDefault="00F326E5" w:rsidP="00F326E5">
      <w:pPr>
        <w:rPr>
          <w:b/>
          <w:sz w:val="24"/>
          <w:szCs w:val="24"/>
        </w:rPr>
      </w:pPr>
    </w:p>
    <w:p w14:paraId="0B36607D" w14:textId="77777777" w:rsidR="00F326E5" w:rsidRPr="008F54C5" w:rsidRDefault="00F326E5" w:rsidP="00F326E5">
      <w:pPr>
        <w:pStyle w:val="NoSpacing"/>
        <w:rPr>
          <w:b/>
          <w:sz w:val="24"/>
          <w:szCs w:val="24"/>
        </w:rPr>
      </w:pPr>
      <w:r w:rsidRPr="008F54C5">
        <w:rPr>
          <w:b/>
          <w:sz w:val="24"/>
          <w:szCs w:val="24"/>
        </w:rPr>
        <w:t xml:space="preserve"> </w:t>
      </w:r>
    </w:p>
    <w:p w14:paraId="40204EF6" w14:textId="77777777" w:rsidR="00F326E5" w:rsidRDefault="00F326E5" w:rsidP="00F326E5">
      <w:pPr>
        <w:rPr>
          <w:rStyle w:val="Hyperlink"/>
          <w:b/>
          <w:sz w:val="24"/>
          <w:szCs w:val="24"/>
          <w:lang w:val="en"/>
        </w:rPr>
      </w:pPr>
      <w:r>
        <w:rPr>
          <w:rStyle w:val="Hyperlink"/>
          <w:sz w:val="24"/>
          <w:szCs w:val="24"/>
          <w:lang w:val="en"/>
        </w:rPr>
        <w:br w:type="page"/>
      </w:r>
    </w:p>
    <w:p w14:paraId="1A70740B" w14:textId="0ED3A3BB" w:rsidR="007F56D6" w:rsidRDefault="007F56D6">
      <w:pPr>
        <w:spacing w:after="0" w:line="240" w:lineRule="auto"/>
        <w:rPr>
          <w:rFonts w:ascii="Arial Black" w:hAnsi="Arial Black"/>
          <w:sz w:val="40"/>
          <w:szCs w:val="40"/>
        </w:rPr>
      </w:pPr>
      <w:r>
        <w:rPr>
          <w:rFonts w:ascii="Arial Black" w:hAnsi="Arial Black"/>
          <w:sz w:val="40"/>
          <w:szCs w:val="40"/>
        </w:rPr>
        <w:br w:type="page"/>
      </w:r>
    </w:p>
    <w:p w14:paraId="32820C02" w14:textId="0B8B2CC9" w:rsidR="00F326E5" w:rsidRDefault="00F326E5" w:rsidP="00F326E5">
      <w:pPr>
        <w:pStyle w:val="NoSpacing"/>
        <w:rPr>
          <w:rFonts w:ascii="Arial Black" w:hAnsi="Arial Black"/>
          <w:sz w:val="40"/>
          <w:szCs w:val="40"/>
        </w:rPr>
      </w:pPr>
      <w:r w:rsidRPr="007732FA">
        <w:rPr>
          <w:rFonts w:ascii="Arial Black" w:hAnsi="Arial Black"/>
          <w:sz w:val="40"/>
          <w:szCs w:val="40"/>
        </w:rPr>
        <w:t>Chap. 3</w:t>
      </w:r>
      <w:r w:rsidRPr="007732FA">
        <w:rPr>
          <w:rFonts w:ascii="Arial Black" w:hAnsi="Arial Black"/>
          <w:sz w:val="40"/>
          <w:szCs w:val="40"/>
        </w:rPr>
        <w:tab/>
        <w:t>Homeland Security</w:t>
      </w:r>
      <w:r w:rsidR="003F660F">
        <w:rPr>
          <w:rFonts w:ascii="Arial Black" w:hAnsi="Arial Black"/>
          <w:sz w:val="40"/>
          <w:szCs w:val="40"/>
        </w:rPr>
        <w:t xml:space="preserve">, including </w:t>
      </w:r>
      <w:r w:rsidRPr="007732FA">
        <w:rPr>
          <w:rFonts w:ascii="Arial Black" w:hAnsi="Arial Black"/>
          <w:sz w:val="40"/>
          <w:szCs w:val="40"/>
        </w:rPr>
        <w:t>Active Shooter</w:t>
      </w:r>
      <w:r w:rsidR="003F660F">
        <w:rPr>
          <w:rFonts w:ascii="Arial Black" w:hAnsi="Arial Black"/>
          <w:sz w:val="40"/>
          <w:szCs w:val="40"/>
        </w:rPr>
        <w:t xml:space="preserve">, </w:t>
      </w:r>
      <w:r w:rsidR="00636395">
        <w:rPr>
          <w:rFonts w:ascii="Arial Black" w:hAnsi="Arial Black"/>
          <w:sz w:val="40"/>
          <w:szCs w:val="40"/>
        </w:rPr>
        <w:t>Cybersecurity</w:t>
      </w:r>
      <w:r w:rsidR="00BC5936">
        <w:rPr>
          <w:rFonts w:ascii="Arial Black" w:hAnsi="Arial Black"/>
          <w:sz w:val="40"/>
          <w:szCs w:val="40"/>
        </w:rPr>
        <w:t>, Immigration</w:t>
      </w:r>
    </w:p>
    <w:p w14:paraId="42137DFF" w14:textId="77777777" w:rsidR="00F326E5" w:rsidRDefault="00F326E5" w:rsidP="00F326E5">
      <w:pPr>
        <w:pStyle w:val="NoSpacing"/>
        <w:rPr>
          <w:sz w:val="24"/>
          <w:szCs w:val="24"/>
        </w:rPr>
      </w:pPr>
    </w:p>
    <w:p w14:paraId="6ED851BA" w14:textId="7A812F2B" w:rsidR="006B4271" w:rsidRDefault="006B4271" w:rsidP="006B4271">
      <w:pPr>
        <w:pStyle w:val="NoSpacing"/>
        <w:rPr>
          <w:rFonts w:ascii="Arial Black" w:hAnsi="Arial Black"/>
          <w:sz w:val="28"/>
          <w:szCs w:val="28"/>
        </w:rPr>
      </w:pPr>
      <w:bookmarkStart w:id="132" w:name="_Hlk7341375"/>
      <w:r>
        <w:rPr>
          <w:rFonts w:ascii="Arial Black" w:hAnsi="Arial Black"/>
          <w:sz w:val="28"/>
          <w:szCs w:val="28"/>
        </w:rPr>
        <w:t>3-9</w:t>
      </w:r>
      <w:r>
        <w:rPr>
          <w:rFonts w:ascii="Arial Black" w:hAnsi="Arial Black"/>
          <w:sz w:val="28"/>
          <w:szCs w:val="28"/>
        </w:rPr>
        <w:t>3</w:t>
      </w:r>
    </w:p>
    <w:p w14:paraId="3A44BDAD" w14:textId="77777777" w:rsidR="00811255" w:rsidRDefault="00811255" w:rsidP="00440B47">
      <w:pPr>
        <w:pStyle w:val="NoSpacing"/>
        <w:rPr>
          <w:rFonts w:ascii="Arial Black" w:hAnsi="Arial Black"/>
          <w:sz w:val="28"/>
          <w:szCs w:val="28"/>
        </w:rPr>
      </w:pPr>
    </w:p>
    <w:p w14:paraId="5B33BD33" w14:textId="77777777" w:rsidR="00811255" w:rsidRPr="00BB4213" w:rsidRDefault="00811255" w:rsidP="00811255">
      <w:pPr>
        <w:pStyle w:val="NoSpacing"/>
        <w:rPr>
          <w:rFonts w:ascii="Arial Black" w:hAnsi="Arial Black"/>
          <w:bCs/>
          <w:sz w:val="28"/>
          <w:szCs w:val="28"/>
        </w:rPr>
      </w:pPr>
      <w:r>
        <w:rPr>
          <w:rFonts w:ascii="Arial Black" w:hAnsi="Arial Black"/>
          <w:sz w:val="28"/>
          <w:szCs w:val="28"/>
        </w:rPr>
        <w:t>U.S. SUP. CT – HAITI / SYRIA – TEMP STATUS</w:t>
      </w:r>
      <w:r>
        <w:rPr>
          <w:rFonts w:ascii="Arial Black" w:hAnsi="Arial Black"/>
          <w:bCs/>
          <w:sz w:val="28"/>
          <w:szCs w:val="28"/>
        </w:rPr>
        <w:t xml:space="preserve"> REVOKED</w:t>
      </w:r>
      <w:r>
        <w:rPr>
          <w:rFonts w:ascii="Arial Black" w:hAnsi="Arial Black"/>
          <w:sz w:val="28"/>
          <w:szCs w:val="28"/>
        </w:rPr>
        <w:t xml:space="preserve"> </w:t>
      </w:r>
    </w:p>
    <w:p w14:paraId="6AEE43C3" w14:textId="77777777" w:rsidR="00811255" w:rsidRDefault="00811255" w:rsidP="00811255">
      <w:pPr>
        <w:pStyle w:val="NoSpacing"/>
        <w:rPr>
          <w:bCs/>
        </w:rPr>
      </w:pPr>
    </w:p>
    <w:p w14:paraId="51AA81CE" w14:textId="77777777" w:rsidR="00811255" w:rsidRDefault="00811255" w:rsidP="00811255">
      <w:pPr>
        <w:pStyle w:val="NoSpacing"/>
        <w:rPr>
          <w:bCs/>
        </w:rPr>
      </w:pPr>
      <w:r>
        <w:t xml:space="preserve">On June 25, 2026, in </w:t>
      </w:r>
      <w:r w:rsidRPr="00950991">
        <w:rPr>
          <w:u w:val="single"/>
        </w:rPr>
        <w:t>Mullin, Secretary, Department of Homeland Security, et al. v. Doe, et al</w:t>
      </w:r>
      <w:r>
        <w:t>., the United States Supreme Court held (6 to 3) that Congress has empowered the President and Secretary of State to end “Temporary Protected Status” (thereby revoking work permits) for Haiti (2010 TPS due to earthquake) and Syrians (2012 TPS due to violence) and others. Justice Samuel Alito, writing for the Majority, wrote that Trump’s anti-Haitian comments were not “</w:t>
      </w:r>
      <w:r w:rsidRPr="009F2B4E">
        <w:t xml:space="preserve">overtly racial” </w:t>
      </w:r>
      <w:r>
        <w:t xml:space="preserve">and plaintiffs failed to prove the TPS revocation was because of race.  The Court reversed injunctions issues by U.S. District Court judges in D.C. (Haiti case) and in Southern District of New York (Syria case). The Court wrote: “In support of their claim that the termination of Haiti’s TPS designation was based on race, respondents cite statements made by the President and former Secretary Noem…. None of the cited statements by either the President or the Secretary was overtly racial, and in substance all expressed policy views that could rest on race-neutral justifications.” </w:t>
      </w:r>
    </w:p>
    <w:p w14:paraId="1542A051" w14:textId="77777777" w:rsidR="00811255" w:rsidRDefault="00811255" w:rsidP="00811255">
      <w:pPr>
        <w:pStyle w:val="NoSpacing"/>
        <w:rPr>
          <w:bCs/>
        </w:rPr>
      </w:pPr>
      <w:r>
        <w:t xml:space="preserve"> </w:t>
      </w:r>
      <w:hyperlink r:id="rId617" w:history="1">
        <w:r w:rsidRPr="005431AD">
          <w:rPr>
            <w:rStyle w:val="Hyperlink"/>
          </w:rPr>
          <w:t>https://www.supremecourt.gov/opinions/25pdf/25-1083_f204.pdf</w:t>
        </w:r>
      </w:hyperlink>
      <w:r>
        <w:t xml:space="preserve"> </w:t>
      </w:r>
    </w:p>
    <w:p w14:paraId="380D0D28" w14:textId="77777777" w:rsidR="00811255" w:rsidRDefault="00811255" w:rsidP="00811255">
      <w:pPr>
        <w:pStyle w:val="NoSpacing"/>
        <w:rPr>
          <w:b/>
        </w:rPr>
      </w:pPr>
    </w:p>
    <w:p w14:paraId="67BE872E" w14:textId="77777777" w:rsidR="00811255" w:rsidRDefault="00811255" w:rsidP="00811255">
      <w:pPr>
        <w:pStyle w:val="NoSpacing"/>
        <w:rPr>
          <w:b/>
        </w:rPr>
      </w:pPr>
      <w:r>
        <w:rPr>
          <w:b/>
        </w:rPr>
        <w:t xml:space="preserve">FACTS: </w:t>
      </w:r>
    </w:p>
    <w:p w14:paraId="1354CCC6" w14:textId="77777777" w:rsidR="00811255" w:rsidRDefault="00811255" w:rsidP="00811255">
      <w:pPr>
        <w:pStyle w:val="NoSpacing"/>
        <w:rPr>
          <w:b/>
        </w:rPr>
      </w:pPr>
    </w:p>
    <w:p w14:paraId="37409256" w14:textId="77777777" w:rsidR="00811255" w:rsidRDefault="00811255" w:rsidP="00811255">
      <w:pPr>
        <w:pStyle w:val="NoSpacing"/>
      </w:pPr>
      <w:r>
        <w:t>“</w:t>
      </w:r>
      <w:r w:rsidRPr="00681B06">
        <w:t xml:space="preserve">Congress created TPS </w:t>
      </w:r>
      <w:r>
        <w:t>[</w:t>
      </w:r>
      <w:r w:rsidRPr="00F96230">
        <w:t>Temporary Protected Status</w:t>
      </w:r>
      <w:r>
        <w:t xml:space="preserve">] </w:t>
      </w:r>
      <w:r w:rsidRPr="00681B06">
        <w:t>in 1990 to provide short-term humanitarian relief for aliens who cannot safely return to</w:t>
      </w:r>
      <w:r>
        <w:t xml:space="preserve"> </w:t>
      </w:r>
      <w:r w:rsidRPr="00681B06">
        <w:t>their home countries due to events such as armed conflict</w:t>
      </w:r>
      <w:r>
        <w:t xml:space="preserve"> </w:t>
      </w:r>
      <w:r w:rsidRPr="00681B06">
        <w:t>or natural disaster</w:t>
      </w:r>
      <w:r>
        <w:t>…. The Secretary [of State] is instructed to review each TPS designation at least every 18 months. §§1254a(b)(2)–(3)…. Although designed to afford ‘temporary’ relief, TPS designations in practice have often lasted for decades. For example, the Secretary designated Somalia in 1991, and that designation remains in effect 35 years later.</w:t>
      </w:r>
    </w:p>
    <w:p w14:paraId="433AAEE1" w14:textId="77777777" w:rsidR="00811255" w:rsidRDefault="00811255" w:rsidP="00811255">
      <w:pPr>
        <w:pStyle w:val="NoSpacing"/>
      </w:pPr>
    </w:p>
    <w:p w14:paraId="3D53CC13" w14:textId="77777777" w:rsidR="00811255" w:rsidRDefault="00811255" w:rsidP="00811255">
      <w:pPr>
        <w:pStyle w:val="NoSpacing"/>
      </w:pPr>
      <w:r>
        <w:t>***</w:t>
      </w:r>
    </w:p>
    <w:p w14:paraId="52C8C2AD" w14:textId="77777777" w:rsidR="00811255" w:rsidRPr="00AD363E" w:rsidRDefault="00811255" w:rsidP="00811255">
      <w:pPr>
        <w:pStyle w:val="NoSpacing"/>
      </w:pPr>
      <w:r w:rsidRPr="00AD363E">
        <w:t>Haiti received a TPS designation in 2010 after a devastating earthquake killed or injured hundreds of thousands</w:t>
      </w:r>
      <w:r>
        <w:t xml:space="preserve"> </w:t>
      </w:r>
      <w:r w:rsidRPr="00AD363E">
        <w:t>of residents, caused massive property damage, and severely</w:t>
      </w:r>
    </w:p>
    <w:p w14:paraId="7AE15583" w14:textId="77777777" w:rsidR="00811255" w:rsidRPr="00AD363E" w:rsidRDefault="00811255" w:rsidP="00811255">
      <w:pPr>
        <w:pStyle w:val="NoSpacing"/>
      </w:pPr>
      <w:r w:rsidRPr="00AD363E">
        <w:t>worsened living conditions. 75 Fed. Reg. 3477 (2010). The</w:t>
      </w:r>
      <w:r>
        <w:t xml:space="preserve"> </w:t>
      </w:r>
      <w:r w:rsidRPr="00AD363E">
        <w:t>Government re-designated Haiti for TPS and extended that</w:t>
      </w:r>
      <w:r>
        <w:t xml:space="preserve"> </w:t>
      </w:r>
      <w:r w:rsidRPr="00AD363E">
        <w:t>designation several times.</w:t>
      </w:r>
    </w:p>
    <w:p w14:paraId="319A8DA8" w14:textId="77777777" w:rsidR="00811255" w:rsidRPr="00AD363E" w:rsidRDefault="00811255" w:rsidP="00811255">
      <w:pPr>
        <w:pStyle w:val="NoSpacing"/>
      </w:pPr>
    </w:p>
    <w:p w14:paraId="113944AB" w14:textId="77777777" w:rsidR="00811255" w:rsidRDefault="00811255" w:rsidP="00811255">
      <w:pPr>
        <w:pStyle w:val="NoSpacing"/>
      </w:pPr>
      <w:r>
        <w:t>***</w:t>
      </w:r>
    </w:p>
    <w:p w14:paraId="5D0C1768" w14:textId="77777777" w:rsidR="00811255" w:rsidRDefault="00811255" w:rsidP="00811255">
      <w:pPr>
        <w:pStyle w:val="NoSpacing"/>
      </w:pPr>
      <w:r>
        <w:t xml:space="preserve">The current administration objects to lengthy TPS designations and adopted a new, restricted approach shortly after the beginning of President Trump’s second term in office….Under this approach, the Secretary of Homeland Security has terminated every TPS designation that has come up for renewal, 13 in all. </w:t>
      </w:r>
    </w:p>
    <w:p w14:paraId="33EACEF8" w14:textId="77777777" w:rsidR="00811255" w:rsidRDefault="00811255" w:rsidP="00811255">
      <w:pPr>
        <w:pStyle w:val="NoSpacing"/>
      </w:pPr>
    </w:p>
    <w:p w14:paraId="5212BFEF" w14:textId="77777777" w:rsidR="00811255" w:rsidRDefault="00811255" w:rsidP="00811255">
      <w:pPr>
        <w:pStyle w:val="NoSpacing"/>
      </w:pPr>
      <w:r w:rsidRPr="00356DAA">
        <w:t>Included are nations in</w:t>
      </w:r>
      <w:r>
        <w:t xml:space="preserve"> East Asia (Nepal and Burma), Central Asia (Afghanistan), the Middle East (Syria and Yemen), Africa (Somalia, Ethiopia, South Sudan, and Cameroon), Central America (Nicaragua and Honduras), South America (Venezuela), and the Caribbean (Haiti)…. Only one European nation—Ukraine—had a TPS designation when the President began his second term, and that country’s TPS designation has not yet come up for review. See 90 Fed. Reg. 5936 (2025) (extending Ukraine TPS designation through October 19, 2026).</w:t>
      </w:r>
    </w:p>
    <w:p w14:paraId="345A0460" w14:textId="77777777" w:rsidR="00811255" w:rsidRDefault="00811255" w:rsidP="00811255">
      <w:pPr>
        <w:pStyle w:val="NoSpacing"/>
      </w:pPr>
    </w:p>
    <w:p w14:paraId="7C669476" w14:textId="77777777" w:rsidR="00811255" w:rsidRPr="0095300B" w:rsidRDefault="00811255" w:rsidP="00811255">
      <w:pPr>
        <w:pStyle w:val="NoSpacing"/>
        <w:rPr>
          <w:b/>
          <w:bCs/>
        </w:rPr>
      </w:pPr>
      <w:r w:rsidRPr="0095300B">
        <w:rPr>
          <w:b/>
        </w:rPr>
        <w:t xml:space="preserve">COURT HELD: </w:t>
      </w:r>
    </w:p>
    <w:p w14:paraId="065A7EE9" w14:textId="77777777" w:rsidR="00811255" w:rsidRDefault="00811255" w:rsidP="00811255">
      <w:pPr>
        <w:pStyle w:val="NoSpacing"/>
      </w:pPr>
    </w:p>
    <w:p w14:paraId="58C376DA" w14:textId="77777777" w:rsidR="00811255" w:rsidRDefault="00811255" w:rsidP="00811255">
      <w:pPr>
        <w:pStyle w:val="NoSpacing"/>
      </w:pPr>
      <w:r>
        <w:t>“In these cases, we consider whether respondents, who challenge the termination of Temporary Protected Status (TPS) for aliens from Syria and Haiti, are entitled to orders postponing the terminations during litigation. We hold that they are not. The TPS statute plainly bars consideration of respondents’ non-constitutional claims. It allows “no judicial review of any determination . . . with respect to the . . . termination” of a TPS designation. 8 U. S. C. §1254a(b)(5)(A).</w:t>
      </w:r>
    </w:p>
    <w:p w14:paraId="5DB36A9A" w14:textId="77777777" w:rsidR="00811255" w:rsidRDefault="00811255" w:rsidP="00811255">
      <w:pPr>
        <w:pStyle w:val="NoSpacing"/>
      </w:pPr>
    </w:p>
    <w:p w14:paraId="470D74E1" w14:textId="77777777" w:rsidR="00811255" w:rsidRDefault="00811255" w:rsidP="00811255">
      <w:pPr>
        <w:pStyle w:val="NoSpacing"/>
      </w:pPr>
      <w:r>
        <w:t>***</w:t>
      </w:r>
    </w:p>
    <w:p w14:paraId="6A49BAE5" w14:textId="77777777" w:rsidR="00811255" w:rsidRDefault="00811255" w:rsidP="00811255">
      <w:pPr>
        <w:pStyle w:val="NoSpacing"/>
      </w:pPr>
      <w:r>
        <w:t>Footnote 3: 3 Not all TPS designations have lasted so long. Presidents Clinton, George W. Bush, and Obama terminated some TPS designations much more promptly. See, e.g., 58 Fed. Reg. 7582 (1993) (Lebanon, terminated two years after initial designation); 62 Fed. Reg. 33442 (1997) (Rwanda, terminated three years after initial designation); 69 Fed. Reg. 40643</w:t>
      </w:r>
    </w:p>
    <w:p w14:paraId="2993D742" w14:textId="77777777" w:rsidR="00811255" w:rsidRDefault="00811255" w:rsidP="00811255">
      <w:pPr>
        <w:pStyle w:val="NoSpacing"/>
      </w:pPr>
      <w:r>
        <w:t>(2004) (Montserrat, terminated less than eight years after initial designation); 81 Fed. Reg. 66064 (2016) (Guinea, terminated less than three years after initial designation). None of these terminations were challenged in court.</w:t>
      </w:r>
    </w:p>
    <w:p w14:paraId="27B5C051" w14:textId="77777777" w:rsidR="00811255" w:rsidRDefault="00811255" w:rsidP="00811255">
      <w:pPr>
        <w:pStyle w:val="NoSpacing"/>
      </w:pPr>
    </w:p>
    <w:p w14:paraId="029FA5E4" w14:textId="77777777" w:rsidR="00811255" w:rsidRDefault="00811255" w:rsidP="00811255">
      <w:pPr>
        <w:pStyle w:val="NoSpacing"/>
      </w:pPr>
      <w:r>
        <w:t>***</w:t>
      </w:r>
    </w:p>
    <w:p w14:paraId="41ABD3BA" w14:textId="77777777" w:rsidR="00811255" w:rsidRDefault="00811255" w:rsidP="00811255">
      <w:pPr>
        <w:pStyle w:val="NoSpacing"/>
      </w:pPr>
    </w:p>
    <w:p w14:paraId="77E64D60" w14:textId="77777777" w:rsidR="00811255" w:rsidRDefault="00811255" w:rsidP="00811255">
      <w:pPr>
        <w:pStyle w:val="NoSpacing"/>
      </w:pPr>
      <w:r>
        <w:t>In support of their claim that the termination of Haiti’s TPS designation was based on race, respondents cite statements made by the President and former Secretary Noem…. None of the cited statements by either the President or the Secretary was overtly racial, and in substance all expressed policy views that could rest on race-neutral justifications. For example, one may oppose TPS and favor tighter restrictions on immigration for economic or other reasons that have nothing to do with race. And a person without racial bias can provide a harshly unfavorable description of living conditions in some of the countries with TPS designations. The criteria for TPS designations guarantee that many, if not most, designated countries have such characteristics.</w:t>
      </w:r>
    </w:p>
    <w:p w14:paraId="593365AB" w14:textId="77777777" w:rsidR="00811255" w:rsidRDefault="00811255" w:rsidP="00811255">
      <w:pPr>
        <w:pStyle w:val="NoSpacing"/>
      </w:pPr>
    </w:p>
    <w:p w14:paraId="23D02C76" w14:textId="77777777" w:rsidR="00811255" w:rsidRDefault="00811255" w:rsidP="00811255">
      <w:pPr>
        <w:pStyle w:val="NoSpacing"/>
      </w:pPr>
      <w:r>
        <w:t>***</w:t>
      </w:r>
    </w:p>
    <w:p w14:paraId="04466E75" w14:textId="77777777" w:rsidR="00811255" w:rsidRDefault="00811255" w:rsidP="00811255">
      <w:pPr>
        <w:pStyle w:val="NoSpacing"/>
      </w:pPr>
      <w:r>
        <w:t>In offering the cited statements as proof that the termination of Haiti’s TPS termination was motivated by race, Miot respondents seek to capitalize on the statements’ heated language. Political discourse by prominent public figures is increasingly couched in terms that would have</w:t>
      </w:r>
    </w:p>
    <w:p w14:paraId="1D082BD7" w14:textId="77777777" w:rsidR="00811255" w:rsidRDefault="00811255" w:rsidP="00811255">
      <w:pPr>
        <w:pStyle w:val="NoSpacing"/>
      </w:pPr>
      <w:r>
        <w:t>scandalized the public just a short time ago, and the statements cited by Miot respondents—especially those concerning Haiti and Haitian immigrants to this country—exemplify this development. But whatever one may think of the cited statements, they are insufficient to show that the termination of Haiti’s TPS designation was based on the race of the Haitian people.</w:t>
      </w:r>
    </w:p>
    <w:p w14:paraId="5D868675" w14:textId="77777777" w:rsidR="00811255" w:rsidRDefault="00811255" w:rsidP="00811255">
      <w:pPr>
        <w:pStyle w:val="NoSpacing"/>
      </w:pPr>
    </w:p>
    <w:p w14:paraId="0CE12EEB" w14:textId="77777777" w:rsidR="00811255" w:rsidRDefault="00811255" w:rsidP="00811255">
      <w:pPr>
        <w:pStyle w:val="NoSpacing"/>
      </w:pPr>
      <w:r>
        <w:t>***</w:t>
      </w:r>
    </w:p>
    <w:p w14:paraId="35D19CE0" w14:textId="77777777" w:rsidR="00811255" w:rsidRDefault="00811255" w:rsidP="00811255">
      <w:pPr>
        <w:pStyle w:val="NoSpacing"/>
      </w:pPr>
      <w:r>
        <w:t>The judgments of the United States District Courts for the Southern District of New York and the District of Columbia are reversed. The cases are remanded for further proceedings consistent with this opinion.”</w:t>
      </w:r>
    </w:p>
    <w:p w14:paraId="457C1D5C" w14:textId="77777777" w:rsidR="00811255" w:rsidRDefault="00811255" w:rsidP="00811255">
      <w:pPr>
        <w:pStyle w:val="NoSpacing"/>
      </w:pPr>
    </w:p>
    <w:p w14:paraId="457F200C" w14:textId="77777777" w:rsidR="00811255" w:rsidRPr="007D170B" w:rsidRDefault="00811255" w:rsidP="00811255">
      <w:pPr>
        <w:pStyle w:val="NoSpacing"/>
        <w:rPr>
          <w:b/>
          <w:bCs/>
        </w:rPr>
      </w:pPr>
      <w:r>
        <w:rPr>
          <w:b/>
        </w:rPr>
        <w:t xml:space="preserve">Legal lesson learned: Congress enacted a statute that prohibits judicial review of revocation of TPS status.  Racial comments, including from President, must be avoided in modern society. </w:t>
      </w:r>
    </w:p>
    <w:p w14:paraId="3BE90732" w14:textId="77777777" w:rsidR="00811255" w:rsidRDefault="00811255" w:rsidP="00440B47">
      <w:pPr>
        <w:pStyle w:val="NoSpacing"/>
        <w:rPr>
          <w:rFonts w:ascii="Arial Black" w:hAnsi="Arial Black"/>
          <w:sz w:val="28"/>
          <w:szCs w:val="28"/>
        </w:rPr>
      </w:pPr>
    </w:p>
    <w:p w14:paraId="447165B9" w14:textId="77777777" w:rsidR="00811255" w:rsidRDefault="00811255" w:rsidP="00440B47">
      <w:pPr>
        <w:pStyle w:val="NoSpacing"/>
        <w:rPr>
          <w:rFonts w:ascii="Arial Black" w:hAnsi="Arial Black"/>
          <w:sz w:val="28"/>
          <w:szCs w:val="28"/>
        </w:rPr>
      </w:pPr>
    </w:p>
    <w:p w14:paraId="4FB2C0F6" w14:textId="77777777" w:rsidR="00811255" w:rsidRDefault="00811255" w:rsidP="00440B47">
      <w:pPr>
        <w:pStyle w:val="NoSpacing"/>
        <w:rPr>
          <w:rFonts w:ascii="Arial Black" w:hAnsi="Arial Black"/>
          <w:sz w:val="28"/>
          <w:szCs w:val="28"/>
        </w:rPr>
      </w:pPr>
    </w:p>
    <w:p w14:paraId="274D4A9A" w14:textId="77777777" w:rsidR="00811255" w:rsidRDefault="00811255" w:rsidP="00440B47">
      <w:pPr>
        <w:pStyle w:val="NoSpacing"/>
        <w:rPr>
          <w:rFonts w:ascii="Arial Black" w:hAnsi="Arial Black"/>
          <w:sz w:val="28"/>
          <w:szCs w:val="28"/>
        </w:rPr>
      </w:pPr>
    </w:p>
    <w:p w14:paraId="22D19220" w14:textId="17A16FDE" w:rsidR="00E575E6" w:rsidRDefault="008D250F" w:rsidP="00440B47">
      <w:pPr>
        <w:pStyle w:val="NoSpacing"/>
        <w:rPr>
          <w:rFonts w:ascii="Arial Black" w:hAnsi="Arial Black"/>
          <w:sz w:val="28"/>
          <w:szCs w:val="28"/>
        </w:rPr>
      </w:pPr>
      <w:r>
        <w:rPr>
          <w:rFonts w:ascii="Arial Black" w:hAnsi="Arial Black"/>
          <w:sz w:val="28"/>
          <w:szCs w:val="28"/>
        </w:rPr>
        <w:t>3-92</w:t>
      </w:r>
    </w:p>
    <w:p w14:paraId="3301F3A0" w14:textId="77777777" w:rsidR="008D250F" w:rsidRDefault="008D250F" w:rsidP="00440B47">
      <w:pPr>
        <w:pStyle w:val="NoSpacing"/>
        <w:rPr>
          <w:rFonts w:ascii="Arial Black" w:hAnsi="Arial Black"/>
          <w:sz w:val="28"/>
          <w:szCs w:val="28"/>
        </w:rPr>
      </w:pPr>
    </w:p>
    <w:p w14:paraId="3B82B478" w14:textId="77777777" w:rsidR="008D250F" w:rsidRDefault="008D250F" w:rsidP="008D250F">
      <w:pPr>
        <w:pStyle w:val="NoSpacing"/>
        <w:rPr>
          <w:rFonts w:ascii="Arial Black" w:hAnsi="Arial Black"/>
          <w:sz w:val="28"/>
          <w:szCs w:val="28"/>
        </w:rPr>
      </w:pPr>
      <w:r>
        <w:rPr>
          <w:rFonts w:ascii="Arial Black" w:hAnsi="Arial Black"/>
          <w:sz w:val="28"/>
          <w:szCs w:val="28"/>
        </w:rPr>
        <w:t xml:space="preserve">KY: FED JUDGE ORDERED TO INCREASE SENTENCE – ISIS </w:t>
      </w:r>
    </w:p>
    <w:p w14:paraId="205223A2" w14:textId="77777777" w:rsidR="008D250F" w:rsidRDefault="008D250F" w:rsidP="008D250F">
      <w:pPr>
        <w:pStyle w:val="NoSpacing"/>
        <w:rPr>
          <w:rFonts w:ascii="Arial Black" w:hAnsi="Arial Black"/>
          <w:sz w:val="28"/>
          <w:szCs w:val="28"/>
        </w:rPr>
      </w:pPr>
    </w:p>
    <w:p w14:paraId="0A2DAEA2" w14:textId="77777777" w:rsidR="008D250F" w:rsidRDefault="008D250F" w:rsidP="008D250F">
      <w:pPr>
        <w:pStyle w:val="NoSpacing"/>
      </w:pPr>
      <w:r>
        <w:t xml:space="preserve">On May 13, 2026, in </w:t>
      </w:r>
      <w:r w:rsidRPr="00236973">
        <w:rPr>
          <w:u w:val="single"/>
        </w:rPr>
        <w:t>United States of America v. Mirsad Ramic</w:t>
      </w:r>
      <w:r>
        <w:t xml:space="preserve">, the United States Court of Appeals for the Sixth Circuit (Cincinnati) held (3 to 0) that the Federal District Court judge who presided over his jury trial must resentence the defendant.  Mirsad Ramic, born in Bonia, but moved with his family to Bowling Green, Kentucky, became naturalized U.S. citizen. Less than a year later, he became radicalized; online posts included he hoped President Obama’s teenage daughters would one day be sold as ISIS slaves. He reached out to ISIS, took ISIS training, then traveled to Syria, where he participated in </w:t>
      </w:r>
      <w:r w:rsidRPr="00723923">
        <w:t>the siege of Kobane</w:t>
      </w:r>
      <w:r>
        <w:t xml:space="preserve"> (2014 – 2015) which was being defended by U.S. military – the siege claimed over 100,000 lives. A jury convicted him of providing material support to a terrorist group and receiving military-type training from ISIS. THE COURT WROTE: “</w:t>
      </w:r>
      <w:r w:rsidRPr="005C5091">
        <w:t>For those crimes, Ramic faced an advisory sentence of 360 to 600</w:t>
      </w:r>
      <w:r>
        <w:t xml:space="preserve"> </w:t>
      </w:r>
      <w:r w:rsidRPr="005C5091">
        <w:t xml:space="preserve">months’ imprisonment under the Sentencing Guidelines. But the district court </w:t>
      </w:r>
      <w:r>
        <w:t xml:space="preserve">[Judge </w:t>
      </w:r>
      <w:r w:rsidRPr="00E273CF">
        <w:t>Gregory N. Stivers</w:t>
      </w:r>
      <w:r>
        <w:t xml:space="preserve">] </w:t>
      </w:r>
      <w:r w:rsidRPr="005C5091">
        <w:t>sentenced Ramic</w:t>
      </w:r>
      <w:r>
        <w:t xml:space="preserve"> </w:t>
      </w:r>
      <w:r w:rsidRPr="005C5091">
        <w:t>to only 101 months in prison. Because the district court’s substantial variance is substantively</w:t>
      </w:r>
      <w:r>
        <w:t xml:space="preserve"> </w:t>
      </w:r>
      <w:r w:rsidRPr="005C5091">
        <w:t xml:space="preserve">unreasonable, we vacate his sentence and remand for </w:t>
      </w:r>
      <w:proofErr w:type="gramStart"/>
      <w:r w:rsidRPr="005C5091">
        <w:t>resentencing.</w:t>
      </w:r>
      <w:r>
        <w:t>”</w:t>
      </w:r>
      <w:proofErr w:type="gramEnd"/>
      <w:r>
        <w:t xml:space="preserve">  </w:t>
      </w:r>
      <w:hyperlink r:id="rId618" w:history="1">
        <w:r w:rsidRPr="001B1071">
          <w:rPr>
            <w:rStyle w:val="Hyperlink"/>
          </w:rPr>
          <w:t>https://cases.justia.com/federal/appellate-courts/ca6/25-5471/25-5471-2026-05-13.pdf?ts=1778702434</w:t>
        </w:r>
      </w:hyperlink>
    </w:p>
    <w:p w14:paraId="159139D9" w14:textId="77777777" w:rsidR="008D250F" w:rsidRDefault="008D250F" w:rsidP="008D250F">
      <w:pPr>
        <w:pStyle w:val="NoSpacing"/>
      </w:pPr>
      <w:r>
        <w:t xml:space="preserve"> </w:t>
      </w:r>
    </w:p>
    <w:p w14:paraId="7F64E7C2" w14:textId="77777777" w:rsidR="008D250F" w:rsidRDefault="008D250F" w:rsidP="008D250F">
      <w:pPr>
        <w:pStyle w:val="NoSpacing"/>
      </w:pPr>
      <w:r>
        <w:t xml:space="preserve">THE COURT HELD: </w:t>
      </w:r>
    </w:p>
    <w:p w14:paraId="5D1C0AF1" w14:textId="77777777" w:rsidR="008D250F" w:rsidRDefault="008D250F" w:rsidP="008D250F">
      <w:pPr>
        <w:pStyle w:val="NoSpacing"/>
      </w:pPr>
    </w:p>
    <w:p w14:paraId="17DC96FF" w14:textId="77777777" w:rsidR="008D250F" w:rsidRDefault="008D250F" w:rsidP="008D250F">
      <w:pPr>
        <w:pStyle w:val="NoSpacing"/>
        <w:ind w:left="720"/>
      </w:pPr>
      <w:r>
        <w:t>“Here, the district court didn’t adequately weigh the seriousness of Ramic’s crime, potential sentencing disparities, and the need to protect the public…. Because the district court’s rationale here didn’t justify such a drastic downward variance, we conclude that Ramic’s sentence is substantively unreasonable.</w:t>
      </w:r>
    </w:p>
    <w:p w14:paraId="04996724" w14:textId="77777777" w:rsidR="008D250F" w:rsidRDefault="008D250F" w:rsidP="008D250F">
      <w:pPr>
        <w:pStyle w:val="NoSpacing"/>
      </w:pPr>
    </w:p>
    <w:p w14:paraId="0C1693E4" w14:textId="77777777" w:rsidR="008D250F" w:rsidRDefault="008D250F" w:rsidP="008D250F">
      <w:pPr>
        <w:pStyle w:val="NoSpacing"/>
      </w:pPr>
      <w:r>
        <w:tab/>
        <w:t>***</w:t>
      </w:r>
    </w:p>
    <w:p w14:paraId="59345410" w14:textId="77777777" w:rsidR="008D250F" w:rsidRDefault="008D250F" w:rsidP="008D250F">
      <w:pPr>
        <w:pStyle w:val="NoSpacing"/>
        <w:ind w:firstLine="720"/>
      </w:pPr>
      <w:r>
        <w:t>The district court attempted to justify its sentence in two primary ways. First, it stated</w:t>
      </w:r>
    </w:p>
    <w:p w14:paraId="4789D988" w14:textId="77777777" w:rsidR="008D250F" w:rsidRDefault="008D250F" w:rsidP="008D250F">
      <w:pPr>
        <w:pStyle w:val="NoSpacing"/>
        <w:ind w:firstLine="720"/>
      </w:pPr>
      <w:r>
        <w:t>that Ramic didn’t engage ‘in any acts of terrorism as . . . in a more common sense’</w:t>
      </w:r>
    </w:p>
    <w:p w14:paraId="0E6B0994" w14:textId="77777777" w:rsidR="008D250F" w:rsidRDefault="008D250F" w:rsidP="008D250F">
      <w:pPr>
        <w:pStyle w:val="NoSpacing"/>
        <w:ind w:firstLine="720"/>
      </w:pPr>
      <w:r>
        <w:t>understanding of the term…. It explained, for example, that Ramic hadn’t</w:t>
      </w:r>
    </w:p>
    <w:p w14:paraId="3B5B3E12" w14:textId="77777777" w:rsidR="008D250F" w:rsidRDefault="008D250F" w:rsidP="008D250F">
      <w:pPr>
        <w:pStyle w:val="NoSpacing"/>
        <w:ind w:firstLine="720"/>
      </w:pPr>
      <w:r>
        <w:t>engaged in any ‘random acts of violence directed at innocent populations,’ detonated any</w:t>
      </w:r>
    </w:p>
    <w:p w14:paraId="36690112" w14:textId="77777777" w:rsidR="008D250F" w:rsidRDefault="008D250F" w:rsidP="008D250F">
      <w:pPr>
        <w:pStyle w:val="NoSpacing"/>
        <w:ind w:left="720"/>
      </w:pPr>
      <w:r>
        <w:t>‘</w:t>
      </w:r>
      <w:proofErr w:type="gramStart"/>
      <w:r>
        <w:t>bombs</w:t>
      </w:r>
      <w:proofErr w:type="gramEnd"/>
      <w:r>
        <w:t>,’ or inflicted any ‘horrible incidents of gun violence against crowds.’ … Instead, the district court concluded that Ramic was merely a ‘fighter’ and a ‘soldier’ who joined ‘a standard army’ that wanted to ‘require strict adherence to [Islamic] law.’ …  Second, the district court noted that the median sentence for terrorism defendants with the same offense level and criminal-history category was only 168 months’ imprisonment. Using that median sentence as a starting point, the district court subtracted the 67 months that Ramic spent in Turkish custody and arrived at a final sentence of 101 months.</w:t>
      </w:r>
    </w:p>
    <w:p w14:paraId="755AE2C8" w14:textId="77777777" w:rsidR="008D250F" w:rsidRDefault="008D250F" w:rsidP="008D250F">
      <w:pPr>
        <w:pStyle w:val="NoSpacing"/>
        <w:ind w:left="720"/>
      </w:pPr>
    </w:p>
    <w:p w14:paraId="3ABB0B4B" w14:textId="77777777" w:rsidR="008D250F" w:rsidRDefault="008D250F" w:rsidP="008D250F">
      <w:pPr>
        <w:pStyle w:val="NoSpacing"/>
        <w:ind w:left="720"/>
      </w:pPr>
      <w:r>
        <w:t>***</w:t>
      </w:r>
    </w:p>
    <w:p w14:paraId="34AD00CE" w14:textId="77777777" w:rsidR="008D250F" w:rsidRDefault="008D250F" w:rsidP="008D250F">
      <w:pPr>
        <w:pStyle w:val="NoSpacing"/>
        <w:ind w:firstLine="720"/>
      </w:pPr>
      <w:r>
        <w:t>In fact, Ramic openly embraced ISIS’s mission to target the United States. For example,</w:t>
      </w:r>
    </w:p>
    <w:p w14:paraId="6C04C064" w14:textId="77777777" w:rsidR="008D250F" w:rsidRDefault="008D250F" w:rsidP="008D250F">
      <w:pPr>
        <w:pStyle w:val="NoSpacing"/>
        <w:ind w:left="720"/>
      </w:pPr>
      <w:r>
        <w:t>he posted on social media that he hoped President Obama’s teenage daughters would one day be sold as ISIS slaves.</w:t>
      </w:r>
    </w:p>
    <w:p w14:paraId="0D55A934" w14:textId="77777777" w:rsidR="008D250F" w:rsidRDefault="008D250F" w:rsidP="008D250F">
      <w:pPr>
        <w:pStyle w:val="NoSpacing"/>
        <w:ind w:left="720"/>
      </w:pPr>
    </w:p>
    <w:p w14:paraId="2A48E085" w14:textId="77777777" w:rsidR="008D250F" w:rsidRDefault="008D250F" w:rsidP="008D250F">
      <w:pPr>
        <w:pStyle w:val="NoSpacing"/>
        <w:ind w:left="720"/>
      </w:pPr>
      <w:r>
        <w:t>***</w:t>
      </w:r>
    </w:p>
    <w:p w14:paraId="48DA23BC" w14:textId="77777777" w:rsidR="008D250F" w:rsidRDefault="008D250F" w:rsidP="008D250F">
      <w:pPr>
        <w:pStyle w:val="NoSpacing"/>
        <w:ind w:left="720"/>
      </w:pPr>
    </w:p>
    <w:p w14:paraId="7399BFD5" w14:textId="77777777" w:rsidR="008D250F" w:rsidRDefault="008D250F" w:rsidP="008D250F">
      <w:pPr>
        <w:pStyle w:val="NoSpacing"/>
        <w:ind w:firstLine="720"/>
      </w:pPr>
      <w:r>
        <w:t>What’s more, the evidence at trial indicated that Ramic fought against American forces in</w:t>
      </w:r>
    </w:p>
    <w:p w14:paraId="6C6134BB" w14:textId="77777777" w:rsidR="008D250F" w:rsidRDefault="008D250F" w:rsidP="008D250F">
      <w:pPr>
        <w:pStyle w:val="NoSpacing"/>
        <w:ind w:firstLine="720"/>
      </w:pPr>
      <w:r>
        <w:t>the siege of Kobane.”</w:t>
      </w:r>
    </w:p>
    <w:p w14:paraId="6830C891" w14:textId="77777777" w:rsidR="008D250F" w:rsidRDefault="008D250F" w:rsidP="008D250F">
      <w:pPr>
        <w:pStyle w:val="NoSpacing"/>
        <w:ind w:firstLine="720"/>
      </w:pPr>
    </w:p>
    <w:p w14:paraId="328B4C67" w14:textId="77777777" w:rsidR="008D250F" w:rsidRPr="0065553D" w:rsidRDefault="008D250F" w:rsidP="008D250F">
      <w:pPr>
        <w:rPr>
          <w:b/>
          <w:bCs/>
        </w:rPr>
      </w:pPr>
      <w:r>
        <w:rPr>
          <w:b/>
        </w:rPr>
        <w:t>Legal lesson learned: 6</w:t>
      </w:r>
      <w:r w:rsidRPr="0024026A">
        <w:rPr>
          <w:b/>
          <w:vertAlign w:val="superscript"/>
        </w:rPr>
        <w:t>th</w:t>
      </w:r>
      <w:r>
        <w:rPr>
          <w:b/>
        </w:rPr>
        <w:t xml:space="preserve"> Circuit decision very helpful great precedence for other courts reviewing U.S. Government appeals of short sentences of terrorists. </w:t>
      </w:r>
    </w:p>
    <w:p w14:paraId="2F625A47" w14:textId="77777777" w:rsidR="008D250F" w:rsidRDefault="008D250F" w:rsidP="002A66F2">
      <w:pPr>
        <w:pStyle w:val="NoSpacing"/>
        <w:rPr>
          <w:rFonts w:ascii="Arial Black" w:hAnsi="Arial Black"/>
          <w:sz w:val="28"/>
          <w:szCs w:val="28"/>
        </w:rPr>
      </w:pPr>
    </w:p>
    <w:p w14:paraId="638A86AE" w14:textId="77777777" w:rsidR="008D250F" w:rsidRDefault="008D250F" w:rsidP="002A66F2">
      <w:pPr>
        <w:pStyle w:val="NoSpacing"/>
        <w:rPr>
          <w:rFonts w:ascii="Arial Black" w:hAnsi="Arial Black"/>
          <w:sz w:val="28"/>
          <w:szCs w:val="28"/>
        </w:rPr>
      </w:pPr>
    </w:p>
    <w:p w14:paraId="2936EF2F" w14:textId="77777777" w:rsidR="008D250F" w:rsidRDefault="008D250F" w:rsidP="002A66F2">
      <w:pPr>
        <w:pStyle w:val="NoSpacing"/>
        <w:rPr>
          <w:rFonts w:ascii="Arial Black" w:hAnsi="Arial Black"/>
          <w:sz w:val="28"/>
          <w:szCs w:val="28"/>
        </w:rPr>
      </w:pPr>
    </w:p>
    <w:p w14:paraId="1EFEDF44" w14:textId="545DB007" w:rsidR="002A66F2" w:rsidRDefault="002A66F2" w:rsidP="002A66F2">
      <w:pPr>
        <w:pStyle w:val="NoSpacing"/>
        <w:rPr>
          <w:rFonts w:ascii="Arial Black" w:hAnsi="Arial Black"/>
          <w:sz w:val="28"/>
          <w:szCs w:val="28"/>
        </w:rPr>
      </w:pPr>
      <w:r>
        <w:rPr>
          <w:rFonts w:ascii="Arial Black" w:hAnsi="Arial Black"/>
          <w:sz w:val="28"/>
          <w:szCs w:val="28"/>
        </w:rPr>
        <w:t>3-</w:t>
      </w:r>
      <w:r w:rsidR="00094264">
        <w:rPr>
          <w:rFonts w:ascii="Arial Black" w:hAnsi="Arial Black"/>
          <w:sz w:val="28"/>
          <w:szCs w:val="28"/>
        </w:rPr>
        <w:t>91</w:t>
      </w:r>
    </w:p>
    <w:p w14:paraId="60BF1E6B" w14:textId="77777777" w:rsidR="002A66F2" w:rsidRDefault="002A66F2" w:rsidP="00440B47">
      <w:pPr>
        <w:pStyle w:val="NoSpacing"/>
        <w:rPr>
          <w:rFonts w:ascii="Arial Black" w:hAnsi="Arial Black"/>
          <w:sz w:val="28"/>
          <w:szCs w:val="28"/>
        </w:rPr>
      </w:pPr>
    </w:p>
    <w:p w14:paraId="64CAF135" w14:textId="77777777" w:rsidR="007328CD" w:rsidRDefault="007328CD" w:rsidP="007328CD">
      <w:pPr>
        <w:pStyle w:val="NoSpacing"/>
        <w:rPr>
          <w:rFonts w:ascii="Arial Black" w:hAnsi="Arial Black"/>
          <w:b/>
          <w:sz w:val="28"/>
          <w:szCs w:val="28"/>
        </w:rPr>
      </w:pPr>
      <w:r>
        <w:rPr>
          <w:rFonts w:ascii="Arial Black" w:hAnsi="Arial Black"/>
          <w:b/>
          <w:sz w:val="28"/>
          <w:szCs w:val="28"/>
        </w:rPr>
        <w:t>U.S. SUP. CT – TALIBAN BOMB - SOLDIER SUE CONTRACTOR</w:t>
      </w:r>
    </w:p>
    <w:p w14:paraId="58945B9D" w14:textId="77777777" w:rsidR="007328CD" w:rsidRDefault="007328CD" w:rsidP="007328CD">
      <w:pPr>
        <w:pStyle w:val="NoSpacing"/>
        <w:rPr>
          <w:rFonts w:ascii="Arial Black" w:hAnsi="Arial Black"/>
          <w:b/>
          <w:sz w:val="28"/>
          <w:szCs w:val="28"/>
        </w:rPr>
      </w:pPr>
    </w:p>
    <w:p w14:paraId="4E8B7C50" w14:textId="77777777" w:rsidR="007328CD" w:rsidRDefault="007328CD" w:rsidP="007328CD">
      <w:pPr>
        <w:pStyle w:val="NoSpacing"/>
        <w:rPr>
          <w:bCs/>
        </w:rPr>
      </w:pPr>
      <w:r>
        <w:t xml:space="preserve">On April 22, 2026, in </w:t>
      </w:r>
      <w:r w:rsidRPr="004241FD">
        <w:rPr>
          <w:u w:val="single"/>
        </w:rPr>
        <w:t xml:space="preserve">Winston T. </w:t>
      </w:r>
      <w:proofErr w:type="spellStart"/>
      <w:r w:rsidRPr="004241FD">
        <w:rPr>
          <w:u w:val="single"/>
        </w:rPr>
        <w:t>Hencely</w:t>
      </w:r>
      <w:proofErr w:type="spellEnd"/>
      <w:r w:rsidRPr="004241FD">
        <w:rPr>
          <w:u w:val="single"/>
        </w:rPr>
        <w:t xml:space="preserve"> v. Fluor Corp, et al</w:t>
      </w:r>
      <w:r>
        <w:t xml:space="preserve">., the U.S. Supreme Court held (6 to 3) that former U.S. Army </w:t>
      </w:r>
      <w:r w:rsidRPr="000A48D2">
        <w:t xml:space="preserve">specialist Winston T. </w:t>
      </w:r>
      <w:proofErr w:type="spellStart"/>
      <w:r w:rsidRPr="000A48D2">
        <w:t>Hencely</w:t>
      </w:r>
      <w:proofErr w:type="spellEnd"/>
      <w:r w:rsidRPr="000A48D2">
        <w:t xml:space="preserve">, </w:t>
      </w:r>
      <w:r>
        <w:t xml:space="preserve">can sue a military contractor under South Carolina state law for negligent supervision of an Afghanistan employee at Bagram Airbase.  </w:t>
      </w:r>
      <w:proofErr w:type="spellStart"/>
      <w:r>
        <w:t>Hencely</w:t>
      </w:r>
      <w:proofErr w:type="spellEnd"/>
      <w:r>
        <w:t xml:space="preserve">, age 20, </w:t>
      </w:r>
      <w:r w:rsidRPr="000A48D2">
        <w:t>suffered a fractured skull and brain</w:t>
      </w:r>
      <w:r>
        <w:t xml:space="preserve"> </w:t>
      </w:r>
      <w:r w:rsidRPr="000A48D2">
        <w:t xml:space="preserve">injuries </w:t>
      </w:r>
      <w:r w:rsidRPr="00074997">
        <w:t xml:space="preserve">on Veteran’s Day 2016 </w:t>
      </w:r>
      <w:r>
        <w:t xml:space="preserve">when the Afghan activated a suicide vest, which </w:t>
      </w:r>
      <w:r w:rsidRPr="00C41DBA">
        <w:t>killed 5 and</w:t>
      </w:r>
      <w:r>
        <w:t xml:space="preserve"> </w:t>
      </w:r>
      <w:r w:rsidRPr="00C41DBA">
        <w:t>wounded 17</w:t>
      </w:r>
      <w:r>
        <w:t xml:space="preserve">. </w:t>
      </w:r>
      <w:proofErr w:type="spellStart"/>
      <w:r>
        <w:t>Hencely</w:t>
      </w:r>
      <w:proofErr w:type="spellEnd"/>
      <w:r>
        <w:t xml:space="preserve"> heroically saved many more because the Afghan employee was trying to reach a large crowd at </w:t>
      </w:r>
      <w:r w:rsidRPr="00DE617A">
        <w:t>Veteran’s Day</w:t>
      </w:r>
      <w:r>
        <w:t xml:space="preserve"> </w:t>
      </w:r>
      <w:r w:rsidRPr="00DE617A">
        <w:t>5K race</w:t>
      </w:r>
      <w:r>
        <w:t xml:space="preserve"> at the airfield</w:t>
      </w:r>
      <w:r w:rsidRPr="00DE617A">
        <w:t>.</w:t>
      </w:r>
      <w:r>
        <w:t xml:space="preserve"> The Federal Government has sovereign immunity, so </w:t>
      </w:r>
      <w:proofErr w:type="spellStart"/>
      <w:r>
        <w:t>Hencely</w:t>
      </w:r>
      <w:proofErr w:type="spellEnd"/>
      <w:r>
        <w:t xml:space="preserve"> cannot sue the government for alleged negligence in conducting background checks under its </w:t>
      </w:r>
      <w:r w:rsidRPr="008575E7">
        <w:t>“Afghan First” program</w:t>
      </w:r>
      <w:r>
        <w:t xml:space="preserve"> at the base where military contractors like Fluor were directed to hire Afghan employees (government knew he was former Taliban).  Fluor hired him to work in n</w:t>
      </w:r>
      <w:r w:rsidRPr="001E5CDD">
        <w:t>ontactical vehicle yard</w:t>
      </w:r>
      <w:r>
        <w:t xml:space="preserve">, and plaintiff alleges in a lawsuit brought in Federal court in South Carolina that under state law Fluor was negligent in supervising and managing the Afghan’s movements around the base. The U.S. District Court judge in South Carolina dismissed the lawsuit; </w:t>
      </w:r>
      <w:r w:rsidRPr="00703F6D">
        <w:t xml:space="preserve">military contractors </w:t>
      </w:r>
      <w:r>
        <w:t xml:space="preserve">under prior case law have immunity </w:t>
      </w:r>
      <w:r w:rsidRPr="00703F6D">
        <w:t>arising out of combatant</w:t>
      </w:r>
      <w:r>
        <w:t>.  The U.S. Court of Appeals for 4</w:t>
      </w:r>
      <w:r w:rsidRPr="00726AA2">
        <w:rPr>
          <w:vertAlign w:val="superscript"/>
        </w:rPr>
        <w:t>th</w:t>
      </w:r>
      <w:r>
        <w:t xml:space="preserve"> Circuit (Richmond, VA) agreed. </w:t>
      </w:r>
      <w:hyperlink r:id="rId619" w:history="1">
        <w:r w:rsidRPr="00595B37">
          <w:rPr>
            <w:rStyle w:val="Hyperlink"/>
            <w:b/>
          </w:rPr>
          <w:t>https://www.supremecourt.gov/opinions/25pdf/24-924_3d9g.pdf</w:t>
        </w:r>
      </w:hyperlink>
    </w:p>
    <w:p w14:paraId="582CE094" w14:textId="77777777" w:rsidR="007328CD" w:rsidRDefault="007328CD" w:rsidP="007328CD">
      <w:pPr>
        <w:pStyle w:val="NoSpacing"/>
        <w:rPr>
          <w:bCs/>
        </w:rPr>
      </w:pPr>
    </w:p>
    <w:p w14:paraId="4CB06D99" w14:textId="77777777" w:rsidR="007328CD" w:rsidRDefault="007328CD" w:rsidP="007328CD">
      <w:pPr>
        <w:pStyle w:val="NoSpacing"/>
        <w:rPr>
          <w:bCs/>
        </w:rPr>
      </w:pPr>
    </w:p>
    <w:p w14:paraId="27696CA3" w14:textId="77777777" w:rsidR="007328CD" w:rsidRDefault="007328CD" w:rsidP="007328CD">
      <w:pPr>
        <w:pStyle w:val="NoSpacing"/>
        <w:rPr>
          <w:bCs/>
        </w:rPr>
      </w:pPr>
      <w:r w:rsidRPr="00703F6D">
        <w:t xml:space="preserve"> </w:t>
      </w:r>
      <w:r>
        <w:t>THE COURT HELD (opinion by Justice Clarence Thomas):</w:t>
      </w:r>
    </w:p>
    <w:p w14:paraId="12796BD4" w14:textId="77777777" w:rsidR="007328CD" w:rsidRDefault="007328CD" w:rsidP="007328CD">
      <w:pPr>
        <w:pStyle w:val="NoSpacing"/>
        <w:rPr>
          <w:bCs/>
        </w:rPr>
      </w:pPr>
    </w:p>
    <w:p w14:paraId="572A69D9" w14:textId="77777777" w:rsidR="007328CD" w:rsidRDefault="007328CD" w:rsidP="007328CD">
      <w:pPr>
        <w:pStyle w:val="NoSpacing"/>
        <w:ind w:left="720"/>
        <w:rPr>
          <w:bCs/>
        </w:rPr>
      </w:pPr>
      <w:r>
        <w:t>“</w:t>
      </w:r>
      <w:r w:rsidRPr="001E25D7">
        <w:t xml:space="preserve">Nayeb </w:t>
      </w:r>
      <w:r>
        <w:t xml:space="preserve">[the bomber] </w:t>
      </w:r>
      <w:r w:rsidRPr="001E25D7">
        <w:t xml:space="preserve">worked as a </w:t>
      </w:r>
      <w:r>
        <w:t>‘</w:t>
      </w:r>
      <w:r w:rsidRPr="001E25D7">
        <w:t>Local National</w:t>
      </w:r>
      <w:r>
        <w:t>’</w:t>
      </w:r>
      <w:r w:rsidRPr="001E25D7">
        <w:t xml:space="preserve"> contractor at</w:t>
      </w:r>
      <w:r>
        <w:t xml:space="preserve"> </w:t>
      </w:r>
      <w:r w:rsidRPr="001E25D7">
        <w:t xml:space="preserve">Bagram as part of the military’s </w:t>
      </w:r>
      <w:r>
        <w:t>‘</w:t>
      </w:r>
      <w:r w:rsidRPr="001E25D7">
        <w:t>Afghan First</w:t>
      </w:r>
      <w:r>
        <w:t>’</w:t>
      </w:r>
      <w:r w:rsidRPr="001E25D7">
        <w:t xml:space="preserve"> program</w:t>
      </w:r>
      <w:r>
        <w:t xml:space="preserve">…. </w:t>
      </w:r>
      <w:r w:rsidRPr="001E25D7">
        <w:t xml:space="preserve"> That program sought to stimulate the</w:t>
      </w:r>
      <w:r>
        <w:t xml:space="preserve"> </w:t>
      </w:r>
      <w:r w:rsidRPr="001E25D7">
        <w:t>local economy and stabilize the Afghan Government by requiring contractors to hire Afghans “‘to the maximum extent possible.’</w:t>
      </w:r>
      <w:r>
        <w:t xml:space="preserve"> … </w:t>
      </w:r>
      <w:r w:rsidRPr="001E25D7">
        <w:t>The military interviewed and</w:t>
      </w:r>
      <w:r>
        <w:t xml:space="preserve"> </w:t>
      </w:r>
      <w:r w:rsidRPr="001E25D7">
        <w:t>screened potential employees. During this process, it</w:t>
      </w:r>
      <w:r>
        <w:t xml:space="preserve"> </w:t>
      </w:r>
      <w:r w:rsidRPr="001E25D7">
        <w:t>learned that Nayeb had been involved with the Taliban in</w:t>
      </w:r>
      <w:r>
        <w:t xml:space="preserve"> </w:t>
      </w:r>
      <w:r w:rsidRPr="001E25D7">
        <w:t>the past. Nonetheless, it approved him for employment.</w:t>
      </w:r>
    </w:p>
    <w:p w14:paraId="112B8EC3" w14:textId="77777777" w:rsidR="007328CD" w:rsidRDefault="007328CD" w:rsidP="007328CD">
      <w:pPr>
        <w:pStyle w:val="NoSpacing"/>
        <w:ind w:left="720"/>
        <w:rPr>
          <w:bCs/>
        </w:rPr>
      </w:pPr>
    </w:p>
    <w:p w14:paraId="4F109C04" w14:textId="77777777" w:rsidR="007328CD" w:rsidRDefault="007328CD" w:rsidP="007328CD">
      <w:pPr>
        <w:pStyle w:val="NoSpacing"/>
        <w:ind w:left="720"/>
        <w:rPr>
          <w:bCs/>
        </w:rPr>
      </w:pPr>
      <w:r>
        <w:t>***</w:t>
      </w:r>
    </w:p>
    <w:p w14:paraId="4B3E22BD" w14:textId="77777777" w:rsidR="007328CD" w:rsidRPr="006A68DB" w:rsidRDefault="007328CD" w:rsidP="007328CD">
      <w:pPr>
        <w:pStyle w:val="NoSpacing"/>
        <w:ind w:left="720"/>
        <w:rPr>
          <w:bCs/>
        </w:rPr>
      </w:pPr>
      <w:r w:rsidRPr="006A68DB">
        <w:t xml:space="preserve">The Army’s investigation found Fluor primarily responsible for the attack. Interviews of Fluor personnel </w:t>
      </w:r>
      <w:r>
        <w:t>‘</w:t>
      </w:r>
      <w:r w:rsidRPr="006A68DB">
        <w:t>reveal[ed] a poor understanding by Fluor supervisors as to</w:t>
      </w:r>
      <w:r>
        <w:t xml:space="preserve"> </w:t>
      </w:r>
      <w:r w:rsidRPr="006A68DB">
        <w:t>who was responsible for Nayeb’s supervision</w:t>
      </w:r>
      <w:r>
        <w:t>’</w:t>
      </w:r>
      <w:r w:rsidRPr="006A68DB">
        <w:t xml:space="preserve"> and </w:t>
      </w:r>
      <w:r>
        <w:t>‘</w:t>
      </w:r>
      <w:r w:rsidRPr="006A68DB">
        <w:t>an unreasonable complacency by Fluor to ensure Local National</w:t>
      </w:r>
      <w:r>
        <w:t xml:space="preserve"> </w:t>
      </w:r>
      <w:r w:rsidRPr="006A68DB">
        <w:t xml:space="preserve">employees were properly </w:t>
      </w:r>
      <w:proofErr w:type="gramStart"/>
      <w:r w:rsidRPr="006A68DB">
        <w:t>supervised at all times</w:t>
      </w:r>
      <w:proofErr w:type="gramEnd"/>
      <w:r w:rsidRPr="006A68DB">
        <w:t>, as re-</w:t>
      </w:r>
    </w:p>
    <w:p w14:paraId="29C78BF8" w14:textId="77777777" w:rsidR="007328CD" w:rsidRDefault="007328CD" w:rsidP="007328CD">
      <w:pPr>
        <w:pStyle w:val="NoSpacing"/>
        <w:ind w:left="720"/>
        <w:rPr>
          <w:bCs/>
        </w:rPr>
      </w:pPr>
      <w:r w:rsidRPr="006A68DB">
        <w:t>quired by their contract.</w:t>
      </w:r>
      <w:r>
        <w:t>’</w:t>
      </w:r>
    </w:p>
    <w:p w14:paraId="675184BB" w14:textId="77777777" w:rsidR="007328CD" w:rsidRDefault="007328CD" w:rsidP="007328CD">
      <w:pPr>
        <w:pStyle w:val="NoSpacing"/>
        <w:ind w:left="720"/>
        <w:rPr>
          <w:bCs/>
        </w:rPr>
      </w:pPr>
    </w:p>
    <w:p w14:paraId="3D5DD965" w14:textId="77777777" w:rsidR="007328CD" w:rsidRDefault="007328CD" w:rsidP="007328CD">
      <w:pPr>
        <w:pStyle w:val="NoSpacing"/>
        <w:ind w:left="720"/>
        <w:rPr>
          <w:bCs/>
        </w:rPr>
      </w:pPr>
      <w:r>
        <w:t>***</w:t>
      </w:r>
    </w:p>
    <w:p w14:paraId="5469BAE7" w14:textId="77777777" w:rsidR="007328CD" w:rsidRDefault="007328CD" w:rsidP="007328CD">
      <w:pPr>
        <w:pStyle w:val="NoSpacing"/>
        <w:rPr>
          <w:bCs/>
        </w:rPr>
      </w:pPr>
    </w:p>
    <w:p w14:paraId="77340722" w14:textId="77777777" w:rsidR="007328CD" w:rsidRDefault="007328CD" w:rsidP="007328CD">
      <w:pPr>
        <w:pStyle w:val="NoSpacing"/>
        <w:ind w:left="720"/>
        <w:rPr>
          <w:bCs/>
        </w:rPr>
      </w:pPr>
      <w:r w:rsidRPr="00C8739E">
        <w:t xml:space="preserve">The Fourth Circuit’s decision held </w:t>
      </w:r>
      <w:proofErr w:type="spellStart"/>
      <w:r w:rsidRPr="00C8739E">
        <w:t>Hencely’s</w:t>
      </w:r>
      <w:proofErr w:type="spellEnd"/>
      <w:r w:rsidRPr="00C8739E">
        <w:t xml:space="preserve"> claims</w:t>
      </w:r>
      <w:r>
        <w:t xml:space="preserve"> </w:t>
      </w:r>
      <w:r w:rsidRPr="00C8739E">
        <w:t>preempted even though the conduct complained of was neither ordered nor authorized by the Federal Government.</w:t>
      </w:r>
      <w:r>
        <w:t xml:space="preserve"> </w:t>
      </w:r>
      <w:r w:rsidRPr="00C8739E">
        <w:t xml:space="preserve">No provision of the Constitution and no federal statute </w:t>
      </w:r>
      <w:proofErr w:type="gramStart"/>
      <w:r w:rsidRPr="00C8739E">
        <w:t>justifies</w:t>
      </w:r>
      <w:proofErr w:type="gramEnd"/>
      <w:r w:rsidRPr="00C8739E">
        <w:t xml:space="preserve"> that preemption of the State’s ordinary authority over</w:t>
      </w:r>
      <w:r>
        <w:t xml:space="preserve"> </w:t>
      </w:r>
      <w:r w:rsidRPr="00C8739E">
        <w:t>tort suits. Nor does any precedent of this Court command</w:t>
      </w:r>
      <w:r>
        <w:t xml:space="preserve"> </w:t>
      </w:r>
      <w:r w:rsidRPr="00C8739E">
        <w:t>such a result. Therefore, we vacate the judgment of the</w:t>
      </w:r>
      <w:r>
        <w:t xml:space="preserve"> </w:t>
      </w:r>
      <w:r w:rsidRPr="00C8739E">
        <w:t xml:space="preserve">Fourth Circuit and </w:t>
      </w:r>
      <w:proofErr w:type="gramStart"/>
      <w:r w:rsidRPr="00C8739E">
        <w:t>remand</w:t>
      </w:r>
      <w:proofErr w:type="gramEnd"/>
      <w:r w:rsidRPr="00C8739E">
        <w:t xml:space="preserve"> the case for further proceedings</w:t>
      </w:r>
      <w:r>
        <w:t xml:space="preserve"> </w:t>
      </w:r>
      <w:r w:rsidRPr="00C8739E">
        <w:t>consistent with this opinion.</w:t>
      </w:r>
    </w:p>
    <w:p w14:paraId="22028DAD" w14:textId="77777777" w:rsidR="007328CD" w:rsidRDefault="007328CD" w:rsidP="007328CD">
      <w:pPr>
        <w:pStyle w:val="NoSpacing"/>
        <w:rPr>
          <w:bCs/>
        </w:rPr>
      </w:pPr>
    </w:p>
    <w:p w14:paraId="5701F618" w14:textId="77777777" w:rsidR="007328CD" w:rsidRDefault="007328CD" w:rsidP="007328CD">
      <w:pPr>
        <w:pStyle w:val="NoSpacing"/>
        <w:rPr>
          <w:b/>
        </w:rPr>
      </w:pPr>
    </w:p>
    <w:p w14:paraId="014AE52B" w14:textId="77777777" w:rsidR="007328CD" w:rsidRDefault="007328CD" w:rsidP="007328CD">
      <w:pPr>
        <w:pStyle w:val="NoSpacing"/>
      </w:pPr>
      <w:r w:rsidRPr="00927246">
        <w:t>ALITO, J., dissenting</w:t>
      </w:r>
    </w:p>
    <w:p w14:paraId="31464C0F" w14:textId="77777777" w:rsidR="007328CD" w:rsidRPr="00637A04" w:rsidRDefault="007328CD" w:rsidP="007328CD">
      <w:pPr>
        <w:pStyle w:val="NoSpacing"/>
      </w:pPr>
    </w:p>
    <w:p w14:paraId="70E0A015" w14:textId="77777777" w:rsidR="007328CD" w:rsidRDefault="007328CD" w:rsidP="007328CD">
      <w:pPr>
        <w:pStyle w:val="NoSpacing"/>
        <w:ind w:left="720"/>
      </w:pPr>
      <w:r>
        <w:t>“</w:t>
      </w:r>
      <w:r w:rsidRPr="00637A04">
        <w:t>Among those injured when Nayeb detonated his bomb</w:t>
      </w:r>
      <w:r>
        <w:t xml:space="preserve"> </w:t>
      </w:r>
      <w:r w:rsidRPr="00637A04">
        <w:t>was petitioner, former Army Specialist Winston Tyler</w:t>
      </w:r>
      <w:r>
        <w:t xml:space="preserve"> </w:t>
      </w:r>
      <w:r w:rsidRPr="00637A04">
        <w:t>Hencely, who suffered severe and permanent injuries.</w:t>
      </w:r>
      <w:r>
        <w:t xml:space="preserve"> </w:t>
      </w:r>
      <w:r w:rsidRPr="00637A04">
        <w:t>Barred by sovereign immunity from suing the Federal Government, petitioner brought this diversity suit against</w:t>
      </w:r>
      <w:r>
        <w:t xml:space="preserve"> </w:t>
      </w:r>
      <w:r w:rsidRPr="00637A04">
        <w:t>Fluor and asserted tort claims under South Carolina law.</w:t>
      </w:r>
      <w:r>
        <w:t xml:space="preserve"> </w:t>
      </w:r>
      <w:r w:rsidRPr="00637A04">
        <w:t>Like all members of the military wounded in the service of</w:t>
      </w:r>
      <w:r>
        <w:t xml:space="preserve"> </w:t>
      </w:r>
      <w:r w:rsidRPr="00637A04">
        <w:t>our country, petitioner deserves a full measure of support</w:t>
      </w:r>
      <w:r>
        <w:t xml:space="preserve"> </w:t>
      </w:r>
      <w:r w:rsidRPr="00637A04">
        <w:t>from the American people, who owe him a debt that can</w:t>
      </w:r>
      <w:r>
        <w:t xml:space="preserve"> </w:t>
      </w:r>
      <w:r w:rsidRPr="00637A04">
        <w:t>never be fully repaid. But this state-law tort suit is not the</w:t>
      </w:r>
      <w:r>
        <w:t xml:space="preserve"> </w:t>
      </w:r>
      <w:r w:rsidRPr="00637A04">
        <w:t>way to give petitioner what he is due</w:t>
      </w:r>
      <w:r>
        <w:t>.</w:t>
      </w:r>
    </w:p>
    <w:p w14:paraId="746A39A7" w14:textId="77777777" w:rsidR="007328CD" w:rsidRDefault="007328CD" w:rsidP="007328CD">
      <w:pPr>
        <w:pStyle w:val="NoSpacing"/>
        <w:ind w:left="720"/>
      </w:pPr>
    </w:p>
    <w:p w14:paraId="2A32B32E" w14:textId="77777777" w:rsidR="007328CD" w:rsidRDefault="007328CD" w:rsidP="007328CD">
      <w:pPr>
        <w:pStyle w:val="NoSpacing"/>
      </w:pPr>
    </w:p>
    <w:p w14:paraId="7610BAC2" w14:textId="77777777" w:rsidR="007328CD" w:rsidRDefault="007328CD" w:rsidP="007328CD">
      <w:pPr>
        <w:pStyle w:val="NoSpacing"/>
        <w:ind w:left="720"/>
      </w:pPr>
      <w:r>
        <w:t>***</w:t>
      </w:r>
    </w:p>
    <w:p w14:paraId="7AD99684" w14:textId="77777777" w:rsidR="007328CD" w:rsidRDefault="007328CD" w:rsidP="007328CD">
      <w:pPr>
        <w:pStyle w:val="NoSpacing"/>
        <w:ind w:left="720"/>
      </w:pPr>
    </w:p>
    <w:p w14:paraId="0870317B" w14:textId="77777777" w:rsidR="007328CD" w:rsidRDefault="007328CD" w:rsidP="007328CD">
      <w:pPr>
        <w:pStyle w:val="NoSpacing"/>
        <w:ind w:left="720"/>
      </w:pPr>
      <w:r>
        <w:t>In sum, we have long recognized that the Constitution itself may demand preemption when a state law intrudes upon an area of exclusive federal authority. And because the Constitution gives the Federal Government exclusive authority over foreign affairs and the conduct of wars, federal law preempts all state law that substantially interferes with the Government’s exercise of those powers.”</w:t>
      </w:r>
    </w:p>
    <w:p w14:paraId="5326E1F9" w14:textId="77777777" w:rsidR="007328CD" w:rsidRDefault="007328CD" w:rsidP="007328CD">
      <w:pPr>
        <w:pStyle w:val="NoSpacing"/>
        <w:ind w:left="720"/>
      </w:pPr>
    </w:p>
    <w:p w14:paraId="15B7E055" w14:textId="77777777" w:rsidR="007328CD" w:rsidRPr="00137F48" w:rsidRDefault="007328CD" w:rsidP="007328CD">
      <w:pPr>
        <w:pStyle w:val="NoSpacing"/>
        <w:rPr>
          <w:b/>
          <w:bCs/>
        </w:rPr>
      </w:pPr>
      <w:r>
        <w:rPr>
          <w:b/>
        </w:rPr>
        <w:t xml:space="preserve">Legal lesson learned:  The plaintiff suffered terrible, </w:t>
      </w:r>
      <w:proofErr w:type="spellStart"/>
      <w:proofErr w:type="gramStart"/>
      <w:r>
        <w:rPr>
          <w:b/>
        </w:rPr>
        <w:t>life long</w:t>
      </w:r>
      <w:proofErr w:type="spellEnd"/>
      <w:proofErr w:type="gramEnd"/>
      <w:r>
        <w:rPr>
          <w:b/>
        </w:rPr>
        <w:t xml:space="preserve"> injuries; he has now been given opportunity to seek damages from a military contractor. </w:t>
      </w:r>
    </w:p>
    <w:p w14:paraId="4A25CC4F" w14:textId="77777777" w:rsidR="007328CD" w:rsidRDefault="007328CD" w:rsidP="007328CD">
      <w:pPr>
        <w:pStyle w:val="NoSpacing"/>
      </w:pPr>
    </w:p>
    <w:p w14:paraId="271BCBB7" w14:textId="77777777" w:rsidR="007328CD" w:rsidRDefault="007328CD" w:rsidP="007328CD">
      <w:pPr>
        <w:pStyle w:val="NoSpacing"/>
        <w:rPr>
          <w:bCs/>
        </w:rPr>
      </w:pPr>
      <w:r>
        <w:rPr>
          <w:b/>
        </w:rPr>
        <w:tab/>
        <w:t xml:space="preserve">Note: </w:t>
      </w:r>
      <w:r>
        <w:t xml:space="preserve">Bagram Airbase was a very dangerous place [from Dissenting Opinion]: </w:t>
      </w:r>
    </w:p>
    <w:p w14:paraId="7062FD39" w14:textId="77777777" w:rsidR="007328CD" w:rsidRDefault="007328CD" w:rsidP="007328CD">
      <w:pPr>
        <w:pStyle w:val="NoSpacing"/>
        <w:ind w:left="720"/>
        <w:rPr>
          <w:b/>
        </w:rPr>
      </w:pPr>
      <w:r>
        <w:t>“In February 2007, a suicide bombing on the base killed 23 and injured 20 more. A June 2009 rocket attack killed two soldiers and injured at least six others. In May 2010, insurgents wearing U. S. Army uniforms killed an American contractor and wounded nine servicemembers. A November 2013 rocket attack killed two civilian contractors, and a December 2015 suicide bombing killed six American service-members.”</w:t>
      </w:r>
    </w:p>
    <w:p w14:paraId="20997A6E" w14:textId="77777777" w:rsidR="007328CD" w:rsidRDefault="007328CD" w:rsidP="007328CD">
      <w:pPr>
        <w:pStyle w:val="NoSpacing"/>
        <w:rPr>
          <w:bCs/>
        </w:rPr>
      </w:pPr>
    </w:p>
    <w:p w14:paraId="46E1DE58" w14:textId="77777777" w:rsidR="007328CD" w:rsidRDefault="007328CD" w:rsidP="00CC37FA">
      <w:pPr>
        <w:pStyle w:val="NoSpacing"/>
        <w:rPr>
          <w:rFonts w:ascii="Arial Black" w:hAnsi="Arial Black"/>
          <w:sz w:val="28"/>
          <w:szCs w:val="28"/>
        </w:rPr>
      </w:pPr>
    </w:p>
    <w:p w14:paraId="6F1BE1CE" w14:textId="0322CA85" w:rsidR="002A66F2" w:rsidRDefault="002A66F2" w:rsidP="002A66F2">
      <w:pPr>
        <w:pStyle w:val="NoSpacing"/>
        <w:rPr>
          <w:rFonts w:ascii="Arial Black" w:hAnsi="Arial Black"/>
          <w:sz w:val="28"/>
          <w:szCs w:val="28"/>
        </w:rPr>
      </w:pPr>
      <w:r>
        <w:rPr>
          <w:rFonts w:ascii="Arial Black" w:hAnsi="Arial Black"/>
          <w:sz w:val="28"/>
          <w:szCs w:val="28"/>
        </w:rPr>
        <w:t>3-90</w:t>
      </w:r>
    </w:p>
    <w:p w14:paraId="7CEB6F5B" w14:textId="77777777" w:rsidR="002A66F2" w:rsidRDefault="002A66F2" w:rsidP="002A66F2">
      <w:pPr>
        <w:pStyle w:val="NoSpacing"/>
        <w:rPr>
          <w:rFonts w:ascii="Arial Black" w:hAnsi="Arial Black"/>
          <w:b/>
          <w:sz w:val="28"/>
          <w:szCs w:val="28"/>
        </w:rPr>
      </w:pPr>
    </w:p>
    <w:p w14:paraId="35914F7F" w14:textId="531F9030" w:rsidR="002A66F2" w:rsidRPr="00DD0E3B" w:rsidRDefault="002A66F2" w:rsidP="002A66F2">
      <w:pPr>
        <w:pStyle w:val="NoSpacing"/>
        <w:rPr>
          <w:rFonts w:ascii="Arial Black" w:hAnsi="Arial Black"/>
          <w:b/>
          <w:sz w:val="28"/>
          <w:szCs w:val="28"/>
        </w:rPr>
      </w:pPr>
      <w:r>
        <w:rPr>
          <w:rFonts w:ascii="Arial Black" w:hAnsi="Arial Black"/>
          <w:b/>
          <w:sz w:val="28"/>
          <w:szCs w:val="28"/>
        </w:rPr>
        <w:t>NY: IRAN LIABLE - FF DIED CANCER - 9/11 – $7 MILLION</w:t>
      </w:r>
    </w:p>
    <w:p w14:paraId="22A39461" w14:textId="77777777" w:rsidR="002A66F2" w:rsidRDefault="002A66F2" w:rsidP="002A66F2">
      <w:pPr>
        <w:pStyle w:val="NoSpacing"/>
        <w:rPr>
          <w:b/>
        </w:rPr>
      </w:pPr>
    </w:p>
    <w:p w14:paraId="78800D86" w14:textId="77777777" w:rsidR="002A66F2" w:rsidRDefault="002A66F2" w:rsidP="002A66F2">
      <w:r>
        <w:t xml:space="preserve">On March 17, 2026, </w:t>
      </w:r>
      <w:r w:rsidRPr="00C777B2">
        <w:rPr>
          <w:u w:val="single"/>
        </w:rPr>
        <w:t xml:space="preserve">In </w:t>
      </w:r>
      <w:r>
        <w:rPr>
          <w:u w:val="single"/>
        </w:rPr>
        <w:t>R</w:t>
      </w:r>
      <w:r w:rsidRPr="00C777B2">
        <w:rPr>
          <w:u w:val="single"/>
        </w:rPr>
        <w:t>e Terrorist Attacks on September 11, 2001; Knight et al v. Islamic Republic of Iran</w:t>
      </w:r>
      <w:r w:rsidRPr="00C777B2">
        <w:t xml:space="preserve">, </w:t>
      </w:r>
      <w:r>
        <w:t xml:space="preserve">U.S. District Court Judge George B. Daniels, United States District Court for the Southern District of New York, held that plaintiffs </w:t>
      </w:r>
      <w:r w:rsidRPr="002240F5">
        <w:t>who developed fatal medical conditions after 9/11-related environmental exposure</w:t>
      </w:r>
      <w:r>
        <w:t>s are entitled to a default judgment against the Iran (which has never replied to any of the plaintiffs’ lawsuits).  Iran is liable under the  2016 terrorism exception to the F</w:t>
      </w:r>
      <w:r w:rsidRPr="007F3DB7">
        <w:t xml:space="preserve">oreign Sovereign Immunities Act [FSIA]; 28 U.S. Code § 1605A - Terrorism exception to the jurisdictional immunity of a foreign state. </w:t>
      </w:r>
      <w:hyperlink r:id="rId620" w:history="1">
        <w:r w:rsidRPr="007F3DB7">
          <w:rPr>
            <w:rStyle w:val="Hyperlink"/>
          </w:rPr>
          <w:t>https://www.law.cornell.edu/uscode/text/28/1605A</w:t>
        </w:r>
      </w:hyperlink>
      <w:r>
        <w:t xml:space="preserve">. One of the plaintiffs is the Estate of Albert Filosa, FDN, seeking recovery for his </w:t>
      </w:r>
      <w:r w:rsidRPr="009C1F1C">
        <w:t>latent injuries and subsequent death</w:t>
      </w:r>
      <w:r>
        <w:t xml:space="preserve"> at age 70.  The Judge held that U.S. </w:t>
      </w:r>
      <w:r w:rsidRPr="00CF1F22">
        <w:t>Magistrate Judge Netburn correctly determined that the Filosa Estate</w:t>
      </w:r>
      <w:r>
        <w:t xml:space="preserve"> is </w:t>
      </w:r>
      <w:r w:rsidRPr="00CF1F22">
        <w:t xml:space="preserve"> entitled to a baseline award of $7,000,000 in damages based on “severe” injuries stemming from </w:t>
      </w:r>
      <w:r>
        <w:t xml:space="preserve">his </w:t>
      </w:r>
      <w:r w:rsidRPr="00CF1F22">
        <w:t>role as</w:t>
      </w:r>
      <w:r>
        <w:t xml:space="preserve"> a</w:t>
      </w:r>
      <w:r w:rsidRPr="00CF1F22">
        <w:t xml:space="preserve"> first responder to the 9/11 </w:t>
      </w:r>
      <w:r>
        <w:t>a</w:t>
      </w:r>
      <w:r w:rsidRPr="00CF1F22">
        <w:t>ttacks.</w:t>
      </w:r>
      <w:r>
        <w:t xml:space="preserve"> Family has no way to collect unless can find Iran assets. </w:t>
      </w:r>
      <w:hyperlink r:id="rId621" w:history="1">
        <w:r w:rsidRPr="009500C1">
          <w:rPr>
            <w:rStyle w:val="Hyperlink"/>
          </w:rPr>
          <w:t>https://public.fastcase.com/Jhe1Qn%2BmJndQYQU6z%2FeNm525CuDWbNdyVkYCPMsZ0T5YpmzSSkpneXijYslIbSF5OmudrAoxw3Ae8PMhEMNZsP67fNH%2FZ%2FwnrBtLVmm5SAU%3D?utm_medium=email&amp;_hsenc=p2ANqtz-9semzM2ZQJ5MEhp_UWNRAg9Ejc_wupFqaRucLy6fQyzUPCHHSZ-OwHACqIjxggJtdwV9jTjO8a6Rf4TL88Oco6y4mJgQ&amp;_hsmi=226712652&amp;utm_content=226712652&amp;utm_source=hs_email</w:t>
        </w:r>
      </w:hyperlink>
      <w:r>
        <w:t xml:space="preserve"> </w:t>
      </w:r>
    </w:p>
    <w:p w14:paraId="6393C809" w14:textId="77777777" w:rsidR="002A66F2" w:rsidRDefault="002A66F2" w:rsidP="002A66F2"/>
    <w:p w14:paraId="376DF2F0" w14:textId="77777777" w:rsidR="002A66F2" w:rsidRDefault="002A66F2" w:rsidP="002A66F2">
      <w:r>
        <w:t>THE COURT HELD:</w:t>
      </w:r>
    </w:p>
    <w:p w14:paraId="100DA9B9" w14:textId="77777777" w:rsidR="002A66F2" w:rsidRDefault="002A66F2" w:rsidP="002A66F2">
      <w:pPr>
        <w:ind w:left="720"/>
      </w:pPr>
      <w:r>
        <w:t>“</w:t>
      </w:r>
      <w:r w:rsidRPr="00F7319E">
        <w:t>This Court has previously granted partial default judgment motions for plaintiffs who developed fatal medical conditions after 9/11-related environmental exposures</w:t>
      </w:r>
      <w:r>
        <w:t xml:space="preserve">…. </w:t>
      </w:r>
      <w:r w:rsidRPr="00F7319E">
        <w:t>This Court has not yet, however, addressed recovery for claims by living plaintiffs who developed non-fatal latent conditions after 9/11-related environmental exposures.</w:t>
      </w:r>
    </w:p>
    <w:p w14:paraId="7734CB16" w14:textId="77777777" w:rsidR="002A66F2" w:rsidRDefault="002A66F2" w:rsidP="002A66F2">
      <w:pPr>
        <w:ind w:left="720"/>
      </w:pPr>
      <w:r w:rsidRPr="003F5009">
        <w:t xml:space="preserve">Before this Court are two Reports and Recommendations issued by Magistrate Judge Netburn recommending that this Court grant the </w:t>
      </w:r>
      <w:r w:rsidRPr="003F5009">
        <w:rPr>
          <w:i/>
          <w:iCs/>
        </w:rPr>
        <w:t>Knight, Rodriguez, Johnson,</w:t>
      </w:r>
      <w:r w:rsidRPr="003F5009">
        <w:t xml:space="preserve"> and </w:t>
      </w:r>
      <w:r w:rsidRPr="003F5009">
        <w:rPr>
          <w:i/>
          <w:iCs/>
        </w:rPr>
        <w:t>Gaston</w:t>
      </w:r>
      <w:r w:rsidRPr="003F5009">
        <w:t xml:space="preserve"> Plaintiffs' motions for non-fatal latent injuries, and recommending the amounts in which each Plaintiff should be awarded pain and suffering damages</w:t>
      </w:r>
      <w:r>
        <w:t xml:space="preserve">…. </w:t>
      </w:r>
      <w:r w:rsidRPr="003F5009">
        <w:t>No party objected to the Nonfatal Latent Injury Reports. This Court ADOPTS the Non-fatal Latent Injury Reports in full.</w:t>
      </w:r>
    </w:p>
    <w:p w14:paraId="3F6003A1" w14:textId="77777777" w:rsidR="002A66F2" w:rsidRDefault="002A66F2" w:rsidP="002A66F2">
      <w:pPr>
        <w:ind w:left="720"/>
      </w:pPr>
      <w:r>
        <w:t>***</w:t>
      </w:r>
    </w:p>
    <w:p w14:paraId="6177FC0C" w14:textId="77777777" w:rsidR="002A66F2" w:rsidRDefault="002A66F2" w:rsidP="002A66F2">
      <w:pPr>
        <w:ind w:left="720"/>
      </w:pPr>
      <w:r w:rsidRPr="00D9141E">
        <w:t>It is immaterial that some Plaintiffs were only present at the World Trade Center (</w:t>
      </w:r>
      <w:r>
        <w:t>‘</w:t>
      </w:r>
      <w:r w:rsidRPr="00D9141E">
        <w:t>WTC</w:t>
      </w:r>
      <w:r>
        <w:t>’</w:t>
      </w:r>
      <w:r w:rsidRPr="00D9141E">
        <w:t>) after September 11, 2001, or that some Plaintiffs participated in processing debris from the WTC site in a different borough</w:t>
      </w:r>
      <w:r>
        <w:t xml:space="preserve">…. </w:t>
      </w:r>
      <w:r w:rsidRPr="00D9141E">
        <w:t xml:space="preserve">Because the Plaintiffs were exposed to the toxins, carcinogens, and debris </w:t>
      </w:r>
      <w:proofErr w:type="gramStart"/>
      <w:r w:rsidRPr="00D9141E">
        <w:t>as a result of</w:t>
      </w:r>
      <w:proofErr w:type="gramEnd"/>
      <w:r w:rsidRPr="00D9141E">
        <w:t xml:space="preserve"> the 9/11 Attacks, Magistrate Judge Netburn properly concluded that the Plaintiffs are entitled to recovery.</w:t>
      </w:r>
    </w:p>
    <w:p w14:paraId="530D39EA" w14:textId="77777777" w:rsidR="002A66F2" w:rsidRDefault="002A66F2" w:rsidP="002A66F2">
      <w:pPr>
        <w:ind w:left="720"/>
      </w:pPr>
      <w:r>
        <w:t>***</w:t>
      </w:r>
    </w:p>
    <w:p w14:paraId="3D73B2E1" w14:textId="77777777" w:rsidR="002A66F2" w:rsidRDefault="002A66F2" w:rsidP="002A66F2">
      <w:pPr>
        <w:ind w:left="720"/>
      </w:pPr>
      <w:r w:rsidRPr="00B25119">
        <w:t xml:space="preserve">The Filosa Estate seeks recovery for the latent injuries and subsequent death suffered by firefighter and first-responder </w:t>
      </w:r>
      <w:proofErr w:type="gramStart"/>
      <w:r w:rsidRPr="00B25119">
        <w:t>Albert Filosa, and</w:t>
      </w:r>
      <w:proofErr w:type="gramEnd"/>
      <w:r w:rsidRPr="00B25119">
        <w:t xml:space="preserve"> provides to the Court a VCF eligibility letter that reflects the agency's conclusion that Filosa's injuries were a </w:t>
      </w:r>
      <w:r>
        <w:t>‘</w:t>
      </w:r>
      <w:r w:rsidRPr="00B25119">
        <w:t>direct result of the 9/11 Attacks.</w:t>
      </w:r>
      <w:r>
        <w:t xml:space="preserve">’ … </w:t>
      </w:r>
      <w:r w:rsidRPr="00B25119">
        <w:t>Based on the evidence provided by the Filosa Estate, Magistrate Judge Netburn properly concluded that the Filosa Estate sufficiently establishes causation.</w:t>
      </w:r>
      <w:r>
        <w:t>”</w:t>
      </w:r>
    </w:p>
    <w:p w14:paraId="1AA238A8" w14:textId="77777777" w:rsidR="002A66F2" w:rsidRDefault="002A66F2" w:rsidP="002A66F2">
      <w:pPr>
        <w:rPr>
          <w:b/>
          <w:bCs/>
        </w:rPr>
      </w:pPr>
      <w:r>
        <w:rPr>
          <w:b/>
        </w:rPr>
        <w:t xml:space="preserve">Legal lesson learned:  Unless family can locate Iran assets, they will not be able to collect this judgment. </w:t>
      </w:r>
    </w:p>
    <w:p w14:paraId="5C64537B" w14:textId="77777777" w:rsidR="002A66F2" w:rsidRDefault="002A66F2" w:rsidP="002A66F2">
      <w:pPr>
        <w:pStyle w:val="NoSpacing"/>
        <w:ind w:left="720"/>
        <w:rPr>
          <w:b/>
        </w:rPr>
      </w:pPr>
      <w:r>
        <w:t xml:space="preserve">Note: See the </w:t>
      </w:r>
      <w:r w:rsidRPr="0046685C">
        <w:t xml:space="preserve">National Fallen Firefighters Foundation Roll of Honor for </w:t>
      </w:r>
      <w:proofErr w:type="gramStart"/>
      <w:r w:rsidRPr="0046685C">
        <w:t>firefighter</w:t>
      </w:r>
      <w:proofErr w:type="gramEnd"/>
      <w:r w:rsidRPr="0046685C">
        <w:t xml:space="preserve"> Albert Filosa: </w:t>
      </w:r>
      <w:r>
        <w:t xml:space="preserve"> “</w:t>
      </w:r>
      <w:hyperlink r:id="rId622" w:history="1"/>
      <w:r w:rsidRPr="006A1EEB">
        <w:t xml:space="preserve">He died of cancer, a cancer caused from digging through the rubble in the days following 9/11, searching for remains. He died at 70 years old, and in his last year of life he was painfully sick, which was difficult to witness. The cancer had </w:t>
      </w:r>
      <w:proofErr w:type="gramStart"/>
      <w:r w:rsidRPr="006A1EEB">
        <w:t>metastasized to</w:t>
      </w:r>
      <w:proofErr w:type="gramEnd"/>
      <w:r w:rsidRPr="006A1EEB">
        <w:t xml:space="preserve"> his lungs. He required constant care; he couldn’t breathe. He died at home the way that he wished, surrounded by his family.</w:t>
      </w:r>
      <w:r>
        <w:t>”</w:t>
      </w:r>
      <w:r w:rsidRPr="006A1EEB">
        <w:t xml:space="preserve"> </w:t>
      </w:r>
      <w:hyperlink r:id="rId623" w:history="1">
        <w:r w:rsidRPr="002B6C59">
          <w:rPr>
            <w:rStyle w:val="Hyperlink"/>
            <w:b/>
          </w:rPr>
          <w:t>https://www.firehero.org/fallen-firefighter/albert-a-filosa/</w:t>
        </w:r>
      </w:hyperlink>
      <w:r>
        <w:rPr>
          <w:b/>
        </w:rPr>
        <w:t xml:space="preserve"> </w:t>
      </w:r>
    </w:p>
    <w:p w14:paraId="0FE37658" w14:textId="77777777" w:rsidR="002A66F2" w:rsidRDefault="002A66F2" w:rsidP="002A66F2">
      <w:pPr>
        <w:pStyle w:val="NoSpacing"/>
        <w:ind w:left="720"/>
        <w:rPr>
          <w:b/>
        </w:rPr>
      </w:pPr>
    </w:p>
    <w:p w14:paraId="7A8AB010" w14:textId="243FCD96" w:rsidR="002A66F2" w:rsidRDefault="002A66F2" w:rsidP="002A66F2">
      <w:pPr>
        <w:pStyle w:val="NoSpacing"/>
        <w:rPr>
          <w:rFonts w:ascii="Arial Black" w:hAnsi="Arial Black"/>
          <w:sz w:val="28"/>
          <w:szCs w:val="28"/>
        </w:rPr>
      </w:pPr>
      <w:r w:rsidRPr="0052375E">
        <w:t xml:space="preserve">See my article about this decision, and another decision </w:t>
      </w:r>
      <w:r>
        <w:t xml:space="preserve">allowing lawsuits to proceed against </w:t>
      </w:r>
      <w:r w:rsidRPr="0052375E">
        <w:t xml:space="preserve">Saudi Arabia. April 20, 2026: 9/11 Litigation Is Building </w:t>
      </w:r>
      <w:proofErr w:type="gramStart"/>
      <w:r w:rsidRPr="0052375E">
        <w:t>A</w:t>
      </w:r>
      <w:proofErr w:type="gramEnd"/>
      <w:r w:rsidRPr="0052375E">
        <w:t xml:space="preserve"> New Legal Framework </w:t>
      </w:r>
      <w:proofErr w:type="gramStart"/>
      <w:r w:rsidRPr="0052375E">
        <w:t>For</w:t>
      </w:r>
      <w:proofErr w:type="gramEnd"/>
      <w:r w:rsidRPr="0052375E">
        <w:t xml:space="preserve"> Foreign Terrorist Accountability </w:t>
      </w:r>
      <w:hyperlink r:id="rId624" w:history="1">
        <w:r w:rsidRPr="0052375E">
          <w:rPr>
            <w:rStyle w:val="Hyperlink"/>
          </w:rPr>
          <w:t>https://www.hstoday.us/subject-matter-areas/counterterrorism/9-11-litigation-is-building-a-new-legal-framework-for-foreign-terrorist-accountability/</w:t>
        </w:r>
      </w:hyperlink>
    </w:p>
    <w:p w14:paraId="5D4848F3" w14:textId="77777777" w:rsidR="007328CD" w:rsidRDefault="007328CD" w:rsidP="00CC37FA">
      <w:pPr>
        <w:pStyle w:val="NoSpacing"/>
        <w:rPr>
          <w:rFonts w:ascii="Arial Black" w:hAnsi="Arial Black"/>
          <w:sz w:val="28"/>
          <w:szCs w:val="28"/>
        </w:rPr>
      </w:pPr>
    </w:p>
    <w:p w14:paraId="1E455497" w14:textId="77777777" w:rsidR="007328CD" w:rsidRDefault="007328CD" w:rsidP="00CC37FA">
      <w:pPr>
        <w:pStyle w:val="NoSpacing"/>
        <w:rPr>
          <w:rFonts w:ascii="Arial Black" w:hAnsi="Arial Black"/>
          <w:sz w:val="28"/>
          <w:szCs w:val="28"/>
        </w:rPr>
      </w:pPr>
    </w:p>
    <w:p w14:paraId="52C89594" w14:textId="39236779" w:rsidR="00BE7AC1" w:rsidRDefault="00BE7AC1" w:rsidP="00CC37FA">
      <w:pPr>
        <w:pStyle w:val="NoSpacing"/>
        <w:rPr>
          <w:rFonts w:ascii="Arial Black" w:hAnsi="Arial Black"/>
          <w:sz w:val="28"/>
          <w:szCs w:val="28"/>
        </w:rPr>
      </w:pPr>
      <w:r>
        <w:rPr>
          <w:rFonts w:ascii="Arial Black" w:hAnsi="Arial Black"/>
          <w:sz w:val="28"/>
          <w:szCs w:val="28"/>
        </w:rPr>
        <w:t>3-89</w:t>
      </w:r>
    </w:p>
    <w:p w14:paraId="76FC1B0D" w14:textId="77777777" w:rsidR="00BE7AC1" w:rsidRDefault="00BE7AC1" w:rsidP="00CC37FA">
      <w:pPr>
        <w:pStyle w:val="NoSpacing"/>
        <w:rPr>
          <w:rFonts w:ascii="Arial Black" w:hAnsi="Arial Black"/>
          <w:sz w:val="28"/>
          <w:szCs w:val="28"/>
        </w:rPr>
      </w:pPr>
    </w:p>
    <w:p w14:paraId="1552BB92" w14:textId="77777777" w:rsidR="000B47B1" w:rsidRPr="00B1344C" w:rsidRDefault="000B47B1" w:rsidP="000B47B1">
      <w:pPr>
        <w:pStyle w:val="NoSpacing"/>
        <w:rPr>
          <w:rFonts w:ascii="Arial Black" w:hAnsi="Arial Black"/>
          <w:sz w:val="28"/>
          <w:szCs w:val="28"/>
        </w:rPr>
      </w:pPr>
      <w:r>
        <w:rPr>
          <w:rFonts w:ascii="Arial Black" w:hAnsi="Arial Black"/>
          <w:sz w:val="28"/>
          <w:szCs w:val="28"/>
        </w:rPr>
        <w:t>PA: WEAPON MASS DESTRUCTION – TANNERITE - EMT HURT</w:t>
      </w:r>
    </w:p>
    <w:p w14:paraId="21F27C06" w14:textId="77777777" w:rsidR="000B47B1" w:rsidRDefault="000B47B1" w:rsidP="000B47B1">
      <w:pPr>
        <w:pStyle w:val="NoSpacing"/>
      </w:pPr>
    </w:p>
    <w:p w14:paraId="6E8CBD8E" w14:textId="77777777" w:rsidR="000B47B1" w:rsidRDefault="000B47B1" w:rsidP="000B47B1">
      <w:pPr>
        <w:pStyle w:val="NoSpacing"/>
        <w:rPr>
          <w:b/>
        </w:rPr>
      </w:pPr>
      <w:r w:rsidRPr="00072212">
        <w:t xml:space="preserve">On February 19, 2026, in </w:t>
      </w:r>
      <w:r w:rsidRPr="008B14E8">
        <w:rPr>
          <w:u w:val="single"/>
        </w:rPr>
        <w:t>Commonwealth of Pennsylvania v. Ladell Emery Hannon</w:t>
      </w:r>
      <w:r w:rsidRPr="00072212">
        <w:t>, the Superior Court of Pennsylvania</w:t>
      </w:r>
      <w:r>
        <w:t>, held (3 to 0; unpublished decision) that jury properly convicted a former  police officer of use of a weapon of mass destruction [Tannerite], and stalking an EMT [</w:t>
      </w:r>
      <w:r w:rsidRPr="00B10086">
        <w:t>Harrison Jordan</w:t>
      </w:r>
      <w:r>
        <w:t xml:space="preserve">] who was dating his former wife [also an EMT].  </w:t>
      </w:r>
      <w:r w:rsidRPr="007E0B7E">
        <w:t>Tannerite</w:t>
      </w:r>
      <w:r>
        <w:t xml:space="preserve"> </w:t>
      </w:r>
      <w:r w:rsidRPr="007E0B7E">
        <w:t>is used to produce exploding targets for long-range shooting practice.</w:t>
      </w:r>
      <w:r>
        <w:t xml:space="preserve"> The police officer put tracers on his former wife’s vehicle and on Mr. Jordan’s vehicle. On December 21, 2021, Jordan was injured by an explosion outside his apartment - a five-gallon bucket of Tannerite exploded injuring Jordan; he suffered ruptured eardrums, wounds caused by shrapnel and cement, and burns; the explosion also damaged the apartment building.  The defendant  was sentenced on November 22, </w:t>
      </w:r>
      <w:proofErr w:type="gramStart"/>
      <w:r>
        <w:t>2024</w:t>
      </w:r>
      <w:proofErr w:type="gramEnd"/>
      <w:r>
        <w:t xml:space="preserve"> to an aggregate term of 17½ to 35 years of incarceration.  </w:t>
      </w:r>
      <w:hyperlink r:id="rId625" w:history="1">
        <w:r w:rsidRPr="00A9331C">
          <w:rPr>
            <w:rStyle w:val="Hyperlink"/>
            <w:b/>
          </w:rPr>
          <w:t>https://www.pacourts.us/assets/opinions/Superior/out/J-S42019-25m%20-%20106685903347676413.pdf?cb=1</w:t>
        </w:r>
      </w:hyperlink>
      <w:r>
        <w:rPr>
          <w:b/>
        </w:rPr>
        <w:t xml:space="preserve"> </w:t>
      </w:r>
    </w:p>
    <w:p w14:paraId="2850E673" w14:textId="77777777" w:rsidR="000B47B1" w:rsidRDefault="000B47B1" w:rsidP="000B47B1">
      <w:pPr>
        <w:pStyle w:val="NoSpacing"/>
      </w:pPr>
    </w:p>
    <w:p w14:paraId="42A598FA" w14:textId="77777777" w:rsidR="000B47B1" w:rsidRDefault="000B47B1" w:rsidP="000B47B1">
      <w:pPr>
        <w:pStyle w:val="NoSpacing"/>
      </w:pPr>
    </w:p>
    <w:p w14:paraId="65EA886F" w14:textId="77777777" w:rsidR="000B47B1" w:rsidRDefault="000B47B1" w:rsidP="000B47B1">
      <w:pPr>
        <w:pStyle w:val="NoSpacing"/>
      </w:pPr>
      <w:r>
        <w:t>THE COURT HELD: “Early in the morning on December 21, 2021, Mr. Jordan left his</w:t>
      </w:r>
    </w:p>
    <w:p w14:paraId="7180ED74" w14:textId="77777777" w:rsidR="000B47B1" w:rsidRDefault="000B47B1" w:rsidP="000B47B1">
      <w:pPr>
        <w:pStyle w:val="NoSpacing"/>
      </w:pPr>
      <w:r>
        <w:t>apartment. However, he noticed a smoking five-gallon bucket outside of his residence. Mr. Jordan attempted to run but did not get far before the bucket exploded. The explosion caused extensive damage to the apartment building, a vacant church opposite the building, and vehicles parked along the street. The explosion also shattered the window of [another resident’s] apartment, cut his finger and damaged his car, and damaged the apartment building itself, which</w:t>
      </w:r>
    </w:p>
    <w:p w14:paraId="7A2260E4" w14:textId="77777777" w:rsidR="000B47B1" w:rsidRDefault="000B47B1" w:rsidP="000B47B1">
      <w:pPr>
        <w:pStyle w:val="NoSpacing"/>
      </w:pPr>
      <w:r>
        <w:t>was owned by D. Agostino. Mr. Jordan suffered ruptured eardrums, wounds caused by shrapnel and cement, and burns. He was taken by ambulance to a local hospital but eventually airlifted to a larger facility in Allentown.</w:t>
      </w:r>
    </w:p>
    <w:p w14:paraId="13EBFE72" w14:textId="77777777" w:rsidR="000B47B1" w:rsidRDefault="000B47B1" w:rsidP="000B47B1">
      <w:pPr>
        <w:pStyle w:val="NoSpacing"/>
      </w:pPr>
    </w:p>
    <w:p w14:paraId="5F8D1961" w14:textId="77777777" w:rsidR="000B47B1" w:rsidRDefault="000B47B1" w:rsidP="000B47B1">
      <w:pPr>
        <w:pStyle w:val="NoSpacing"/>
      </w:pPr>
      <w:r>
        <w:t>***</w:t>
      </w:r>
    </w:p>
    <w:p w14:paraId="43138065" w14:textId="77777777" w:rsidR="000B47B1" w:rsidRDefault="000B47B1" w:rsidP="000B47B1">
      <w:pPr>
        <w:pStyle w:val="NoSpacing"/>
      </w:pPr>
      <w:r>
        <w:t xml:space="preserve">During the subsequent investigation, police officers discovered a tracker installed under Ms. Hannon’s vehicle. Officers determined that Appellant had purchased six total trackers, including one placed on Mr. Jordan’s car, and had obtained subscriptions for electronic receipt of the tracking information. Officers also tracked the locations of Appellant’s two cell phones leading up to the </w:t>
      </w:r>
      <w:proofErr w:type="gramStart"/>
      <w:r>
        <w:t>explosion, and</w:t>
      </w:r>
      <w:proofErr w:type="gramEnd"/>
      <w:r>
        <w:t xml:space="preserve"> determined that either one or both of Appellant’s phones were near or at Mr. Jordan’s home frequently at various times of the day and evening in October and November, including the day Mr. Jordan’s camera was stolen.</w:t>
      </w:r>
    </w:p>
    <w:p w14:paraId="5E317A95" w14:textId="77777777" w:rsidR="000B47B1" w:rsidRDefault="000B47B1" w:rsidP="000B47B1">
      <w:pPr>
        <w:pStyle w:val="NoSpacing"/>
      </w:pPr>
    </w:p>
    <w:p w14:paraId="2B388271" w14:textId="77777777" w:rsidR="000B47B1" w:rsidRDefault="000B47B1" w:rsidP="000B47B1">
      <w:pPr>
        <w:pStyle w:val="NoSpacing"/>
      </w:pPr>
      <w:r>
        <w:t>***</w:t>
      </w:r>
    </w:p>
    <w:p w14:paraId="31F0FA80" w14:textId="77777777" w:rsidR="000B47B1" w:rsidRDefault="000B47B1" w:rsidP="000B47B1">
      <w:pPr>
        <w:pStyle w:val="NoSpacing"/>
      </w:pPr>
    </w:p>
    <w:p w14:paraId="04C6C4FD" w14:textId="77777777" w:rsidR="000B47B1" w:rsidRDefault="000B47B1" w:rsidP="000B47B1">
      <w:pPr>
        <w:pStyle w:val="NoSpacing"/>
      </w:pPr>
      <w:r>
        <w:t xml:space="preserve">Further, police officers tracked Appellant’s purchases and discovered that he had made purchases at fireworks stores that coincided with the costs of hobby fuses, a book called The Art of Lockpicking, and reports on Mr. Jordan from various data aggregator sites such as Spokeo and </w:t>
      </w:r>
      <w:proofErr w:type="spellStart"/>
      <w:r>
        <w:t>Peoplefinders</w:t>
      </w:r>
      <w:proofErr w:type="spellEnd"/>
      <w:r>
        <w:t xml:space="preserve">. </w:t>
      </w:r>
      <w:proofErr w:type="gramStart"/>
      <w:r>
        <w:t>Appellant</w:t>
      </w:r>
      <w:proofErr w:type="gramEnd"/>
      <w:r>
        <w:t xml:space="preserve"> also made suspicious searches from September through December,</w:t>
      </w:r>
    </w:p>
    <w:p w14:paraId="587FD222" w14:textId="77777777" w:rsidR="000B47B1" w:rsidRDefault="000B47B1" w:rsidP="000B47B1">
      <w:pPr>
        <w:pStyle w:val="NoSpacing"/>
      </w:pPr>
      <w:r>
        <w:t xml:space="preserve">which included inquiries about Spokeo, Mr. Jordan, lockpicking sets, fireworks, ‘how many pounds of [Tannerite] is deadly’ and ‘10 </w:t>
      </w:r>
      <w:proofErr w:type="spellStart"/>
      <w:r>
        <w:t>lbs</w:t>
      </w:r>
      <w:proofErr w:type="spellEnd"/>
      <w:r>
        <w:t xml:space="preserve"> of </w:t>
      </w:r>
      <w:proofErr w:type="spellStart"/>
      <w:r>
        <w:t>tannerite</w:t>
      </w:r>
      <w:proofErr w:type="spellEnd"/>
      <w:r>
        <w:t xml:space="preserve"> vs. car,’ homemade detonators, and how many foot-pounds of energy were required to kill a human being or penetrate a human skull.”</w:t>
      </w:r>
    </w:p>
    <w:p w14:paraId="3AAD5358" w14:textId="77777777" w:rsidR="000B47B1" w:rsidRDefault="000B47B1" w:rsidP="000B47B1">
      <w:pPr>
        <w:pStyle w:val="NoSpacing"/>
      </w:pPr>
    </w:p>
    <w:p w14:paraId="26632D83" w14:textId="77777777" w:rsidR="000B47B1" w:rsidRDefault="000B47B1" w:rsidP="000B47B1">
      <w:pPr>
        <w:pStyle w:val="NoSpacing"/>
        <w:rPr>
          <w:b/>
          <w:bCs/>
        </w:rPr>
      </w:pPr>
      <w:r w:rsidRPr="00E23CB9">
        <w:rPr>
          <w:b/>
        </w:rPr>
        <w:t xml:space="preserve">Legal lesson learned: </w:t>
      </w:r>
      <w:r>
        <w:rPr>
          <w:b/>
        </w:rPr>
        <w:t xml:space="preserve">Circumstantial evidence proved the defendant was the bomber. </w:t>
      </w:r>
    </w:p>
    <w:p w14:paraId="45D5CC90" w14:textId="77777777" w:rsidR="000B47B1" w:rsidRDefault="000B47B1" w:rsidP="000B47B1">
      <w:pPr>
        <w:pStyle w:val="NoSpacing"/>
        <w:ind w:left="720"/>
      </w:pPr>
    </w:p>
    <w:p w14:paraId="36157F37" w14:textId="77777777" w:rsidR="000B47B1" w:rsidRPr="004E5F9F" w:rsidRDefault="000B47B1" w:rsidP="000B47B1">
      <w:pPr>
        <w:pStyle w:val="NoSpacing"/>
        <w:ind w:left="720"/>
      </w:pPr>
      <w:r w:rsidRPr="004E5F9F">
        <w:t xml:space="preserve">Note: See this article: September 26, 2016: “Explosives used in New York bombing.” </w:t>
      </w:r>
      <w:hyperlink r:id="rId626" w:history="1">
        <w:r w:rsidRPr="0045422A">
          <w:rPr>
            <w:rStyle w:val="Hyperlink"/>
          </w:rPr>
          <w:t>https://pubs.acs.org/doi/10.1021/cen-09438-notw2</w:t>
        </w:r>
      </w:hyperlink>
      <w:r w:rsidRPr="004E5F9F">
        <w:t xml:space="preserve"> </w:t>
      </w:r>
    </w:p>
    <w:p w14:paraId="71BE1EB8" w14:textId="77777777" w:rsidR="000B47B1" w:rsidRDefault="000B47B1" w:rsidP="000B47B1">
      <w:pPr>
        <w:pStyle w:val="NoSpacing"/>
        <w:rPr>
          <w:b/>
          <w:bCs/>
        </w:rPr>
      </w:pPr>
    </w:p>
    <w:p w14:paraId="25AD6C76" w14:textId="77777777" w:rsidR="000B47B1" w:rsidRDefault="000B47B1" w:rsidP="000B47B1">
      <w:pPr>
        <w:pStyle w:val="NoSpacing"/>
        <w:ind w:left="720"/>
      </w:pPr>
      <w:r>
        <w:t>“</w:t>
      </w:r>
      <w:r w:rsidRPr="007E0B7E">
        <w:t xml:space="preserve">Tannerite, made and sold by Tannerite Sports, is used to produce exploding targets for long-range shooting practice. The targets explode when hit by a bullet, allowing shooters to hear and see that they’ve successfully made the shot. According to the </w:t>
      </w:r>
      <w:hyperlink r:id="rId627" w:tgtFrame="_blank" w:history="1">
        <w:r w:rsidRPr="007E0B7E">
          <w:rPr>
            <w:rStyle w:val="Hyperlink"/>
            <w:color w:val="auto"/>
          </w:rPr>
          <w:t>Tannerite patent</w:t>
        </w:r>
      </w:hyperlink>
      <w:r w:rsidRPr="007E0B7E">
        <w:t>, the explosive consists of an 8:1 ratio of two mixtures: a so-called oxidizer component containing 85% ammonium nitrate powder by weight, and 15% ammonium perchlorate; and a “catalyst” component that is 90% explosive grade aluminum powder—which serves as the fuel—along with 5% titanium sponge and 5% zirconium hydride</w:t>
      </w:r>
      <w:r>
        <w:t>.”</w:t>
      </w:r>
    </w:p>
    <w:p w14:paraId="576D7E39" w14:textId="77777777" w:rsidR="00BE7AC1" w:rsidRDefault="00BE7AC1" w:rsidP="00CC37FA">
      <w:pPr>
        <w:pStyle w:val="NoSpacing"/>
        <w:rPr>
          <w:rFonts w:ascii="Arial Black" w:hAnsi="Arial Black"/>
          <w:sz w:val="28"/>
          <w:szCs w:val="28"/>
        </w:rPr>
      </w:pPr>
    </w:p>
    <w:p w14:paraId="6D79308B" w14:textId="77777777" w:rsidR="00BE7AC1" w:rsidRDefault="00BE7AC1" w:rsidP="00CC37FA">
      <w:pPr>
        <w:pStyle w:val="NoSpacing"/>
        <w:rPr>
          <w:rFonts w:ascii="Arial Black" w:hAnsi="Arial Black"/>
          <w:sz w:val="28"/>
          <w:szCs w:val="28"/>
        </w:rPr>
      </w:pPr>
    </w:p>
    <w:p w14:paraId="35F0F643" w14:textId="77777777" w:rsidR="00BE7AC1" w:rsidRDefault="00BE7AC1" w:rsidP="00CC37FA">
      <w:pPr>
        <w:pStyle w:val="NoSpacing"/>
        <w:rPr>
          <w:rFonts w:ascii="Arial Black" w:hAnsi="Arial Black"/>
          <w:sz w:val="28"/>
          <w:szCs w:val="28"/>
        </w:rPr>
      </w:pPr>
    </w:p>
    <w:p w14:paraId="365B8F72" w14:textId="5D48339D" w:rsidR="008963C8" w:rsidRDefault="008963C8" w:rsidP="00CC37FA">
      <w:pPr>
        <w:pStyle w:val="NoSpacing"/>
        <w:rPr>
          <w:rFonts w:ascii="Arial Black" w:hAnsi="Arial Black"/>
          <w:sz w:val="28"/>
          <w:szCs w:val="28"/>
        </w:rPr>
      </w:pPr>
      <w:r>
        <w:rPr>
          <w:rFonts w:ascii="Arial Black" w:hAnsi="Arial Black"/>
          <w:sz w:val="28"/>
          <w:szCs w:val="28"/>
        </w:rPr>
        <w:t>3-</w:t>
      </w:r>
      <w:r w:rsidR="00493A6B">
        <w:rPr>
          <w:rFonts w:ascii="Arial Black" w:hAnsi="Arial Black"/>
          <w:sz w:val="28"/>
          <w:szCs w:val="28"/>
        </w:rPr>
        <w:t>88</w:t>
      </w:r>
    </w:p>
    <w:p w14:paraId="3382E598" w14:textId="77777777" w:rsidR="000F1A96" w:rsidRDefault="000F1A96" w:rsidP="00520B72">
      <w:pPr>
        <w:pStyle w:val="NoSpacing"/>
        <w:rPr>
          <w:rFonts w:ascii="Arial Black" w:hAnsi="Arial Black"/>
          <w:sz w:val="28"/>
          <w:szCs w:val="28"/>
        </w:rPr>
      </w:pPr>
    </w:p>
    <w:p w14:paraId="42897F37" w14:textId="2D731895" w:rsidR="00520B72" w:rsidRPr="00A20616" w:rsidRDefault="00520B72" w:rsidP="00520B72">
      <w:pPr>
        <w:pStyle w:val="NoSpacing"/>
        <w:rPr>
          <w:rFonts w:ascii="Arial Black" w:hAnsi="Arial Black"/>
          <w:sz w:val="28"/>
          <w:szCs w:val="28"/>
        </w:rPr>
      </w:pPr>
      <w:r>
        <w:rPr>
          <w:rFonts w:ascii="Arial Black" w:hAnsi="Arial Black"/>
          <w:sz w:val="28"/>
          <w:szCs w:val="28"/>
        </w:rPr>
        <w:t>U.S. SUP. CT. – NAT. GUARD IN CHICAGO – NO DEPLOYMENT</w:t>
      </w:r>
    </w:p>
    <w:p w14:paraId="2FE23234" w14:textId="77777777" w:rsidR="00520B72" w:rsidRDefault="00520B72" w:rsidP="00520B72">
      <w:pPr>
        <w:pStyle w:val="NoSpacing"/>
      </w:pPr>
    </w:p>
    <w:p w14:paraId="13ACCAD6" w14:textId="77777777" w:rsidR="00520B72" w:rsidRDefault="00520B72" w:rsidP="00520B72">
      <w:pPr>
        <w:pStyle w:val="NoSpacing"/>
      </w:pPr>
      <w:r>
        <w:t xml:space="preserve">On December 23, 2025, in </w:t>
      </w:r>
      <w:r w:rsidRPr="00850CDB">
        <w:rPr>
          <w:u w:val="single"/>
        </w:rPr>
        <w:t>Donald J. Trump, President of the United States, et al. v. Illinois, et al</w:t>
      </w:r>
      <w:r>
        <w:t>., the United States Supreme Court (6 to 3) issued on its “emergency docket” an Order denying the U.S. Government’s application for a stay of temporary injunction issued by U.S. District Court in Chicago.  In a lawsuit brought by the State of Illinois, the District Court judge (upheld by 3-judge panel of 7</w:t>
      </w:r>
      <w:r w:rsidRPr="005B4A64">
        <w:rPr>
          <w:vertAlign w:val="superscript"/>
        </w:rPr>
        <w:t>th</w:t>
      </w:r>
      <w:r>
        <w:t xml:space="preserve"> Circuit) stopped deployment of Illinois and Texas National Guard members. </w:t>
      </w:r>
      <w:r w:rsidRPr="00453684">
        <w:t>On October 4, 2025, the President called 300 members of</w:t>
      </w:r>
      <w:r>
        <w:t xml:space="preserve"> </w:t>
      </w:r>
      <w:r w:rsidRPr="00453684">
        <w:t xml:space="preserve">the Illinois National Guard into active federal service </w:t>
      </w:r>
      <w:r>
        <w:t xml:space="preserve">under Title 10 </w:t>
      </w:r>
      <w:r w:rsidRPr="00453684">
        <w:t>to</w:t>
      </w:r>
      <w:r>
        <w:t xml:space="preserve"> </w:t>
      </w:r>
      <w:r w:rsidRPr="00453684">
        <w:t xml:space="preserve">protect federal personnel and property </w:t>
      </w:r>
      <w:r>
        <w:t xml:space="preserve">in and near Chicago, and the next day called up Texas National Guard.  Guard members sign up for duty under a dual-enlistment structure, with three different active operational statuses: state active duty, federal active duty under Title 10 of the U.S. Code, and full-time duty under Title 32 of the U.S. Code.  Guard members in Title 32 status have performed missions such as disaster relief, border security operations, airport security after the September 11th attacks, and COVID-19 response efforts.  </w:t>
      </w:r>
      <w:hyperlink r:id="rId628" w:history="1">
        <w:r w:rsidRPr="00B51DCA">
          <w:rPr>
            <w:rStyle w:val="Hyperlink"/>
          </w:rPr>
          <w:t>https://www.supremecourt.gov/opinions/25pdf/25a443_ba7d.pdf</w:t>
        </w:r>
      </w:hyperlink>
    </w:p>
    <w:p w14:paraId="66EE3454" w14:textId="77777777" w:rsidR="00520B72" w:rsidRDefault="00520B72" w:rsidP="00520B72">
      <w:pPr>
        <w:pStyle w:val="NoSpacing"/>
      </w:pPr>
    </w:p>
    <w:p w14:paraId="5B5A6A62" w14:textId="77777777" w:rsidR="00520B72" w:rsidRDefault="00520B72" w:rsidP="00520B72">
      <w:pPr>
        <w:pStyle w:val="NoSpacing"/>
      </w:pPr>
      <w:r>
        <w:t xml:space="preserve">THE COURT HELD: </w:t>
      </w:r>
    </w:p>
    <w:p w14:paraId="36B012B6" w14:textId="77777777" w:rsidR="00520B72" w:rsidRDefault="00520B72" w:rsidP="00520B72">
      <w:pPr>
        <w:pStyle w:val="NoSpacing"/>
      </w:pPr>
    </w:p>
    <w:p w14:paraId="1BCA932E" w14:textId="77777777" w:rsidR="00520B72" w:rsidRDefault="00520B72" w:rsidP="00520B72">
      <w:pPr>
        <w:pStyle w:val="NoSpacing"/>
        <w:ind w:left="720"/>
      </w:pPr>
      <w:r>
        <w:t>“We conclude that the term “regular forces” in §12406(3) likely refers to the regular forces of the United States military. This interpretation means that to call the Guard into</w:t>
      </w:r>
    </w:p>
    <w:p w14:paraId="457D14FE" w14:textId="77777777" w:rsidR="00520B72" w:rsidRDefault="00520B72" w:rsidP="00520B72">
      <w:pPr>
        <w:pStyle w:val="NoSpacing"/>
        <w:ind w:left="720"/>
      </w:pPr>
      <w:r>
        <w:t xml:space="preserve">active federal service under §12406(3), the President must be ‘unable’ with the regular military ‘to execute the laws of the United States.’ Because the statute requires an </w:t>
      </w:r>
    </w:p>
    <w:p w14:paraId="6A9B2079" w14:textId="77777777" w:rsidR="00520B72" w:rsidRDefault="00520B72" w:rsidP="00520B72">
      <w:pPr>
        <w:pStyle w:val="NoSpacing"/>
        <w:ind w:left="720"/>
      </w:pPr>
      <w:r>
        <w:t>assessment of the military’s ability to execute the laws, it likely applies only where the military could legally execute the laws. Such circumstances are exceptional: Under the Posse Comitatus Act, the military is prohibited from ‘</w:t>
      </w:r>
      <w:proofErr w:type="spellStart"/>
      <w:r>
        <w:t>execut</w:t>
      </w:r>
      <w:proofErr w:type="spellEnd"/>
      <w:r>
        <w:t>[</w:t>
      </w:r>
      <w:proofErr w:type="spellStart"/>
      <w:r>
        <w:t>ing</w:t>
      </w:r>
      <w:proofErr w:type="spellEnd"/>
      <w:r>
        <w:t xml:space="preserve">] the laws’ ‘except in cases and under circumstances expressly authorized by the Constitution or Act of Congress.’ 18 U. S. C. §1385. </w:t>
      </w:r>
      <w:proofErr w:type="gramStart"/>
      <w:r>
        <w:t>So</w:t>
      </w:r>
      <w:proofErr w:type="gramEnd"/>
      <w:r>
        <w:t xml:space="preserve"> before the President can federalize the Guard under §12406(3), he likely must have statutory or constitutional authority to execute the laws with the regular military and must be ‘unable’ with those forces to perform that function.’”  </w:t>
      </w:r>
    </w:p>
    <w:p w14:paraId="5C39B7BE" w14:textId="77777777" w:rsidR="00520B72" w:rsidRDefault="00520B72" w:rsidP="00520B72">
      <w:pPr>
        <w:pStyle w:val="NoSpacing"/>
        <w:ind w:left="720"/>
      </w:pPr>
      <w:r>
        <w:t xml:space="preserve"> </w:t>
      </w:r>
    </w:p>
    <w:p w14:paraId="2D4AE28B" w14:textId="77777777" w:rsidR="00520B72" w:rsidRDefault="00520B72" w:rsidP="00520B72">
      <w:pPr>
        <w:pStyle w:val="NoSpacing"/>
        <w:rPr>
          <w:b/>
          <w:bCs/>
        </w:rPr>
      </w:pPr>
      <w:r>
        <w:rPr>
          <w:b/>
        </w:rPr>
        <w:t xml:space="preserve">Legal lessons learned: Federal District Court judges in LA and Portland, Oregon have issued injunctions </w:t>
      </w:r>
      <w:proofErr w:type="gramStart"/>
      <w:r>
        <w:rPr>
          <w:b/>
        </w:rPr>
        <w:t>similar to</w:t>
      </w:r>
      <w:proofErr w:type="gramEnd"/>
      <w:r>
        <w:rPr>
          <w:b/>
        </w:rPr>
        <w:t xml:space="preserve"> Chicago. </w:t>
      </w:r>
    </w:p>
    <w:p w14:paraId="2CE1C544" w14:textId="77777777" w:rsidR="00520B72" w:rsidRDefault="00520B72" w:rsidP="00520B72">
      <w:pPr>
        <w:pStyle w:val="NoSpacing"/>
        <w:rPr>
          <w:b/>
          <w:bCs/>
        </w:rPr>
      </w:pPr>
    </w:p>
    <w:p w14:paraId="6C598237" w14:textId="77777777" w:rsidR="00520B72" w:rsidRDefault="00520B72" w:rsidP="00520B72">
      <w:pPr>
        <w:pStyle w:val="NoSpacing"/>
        <w:ind w:left="720"/>
      </w:pPr>
      <w:r w:rsidRPr="00194EC1">
        <w:t xml:space="preserve">Note:  In Washington, D.C., the Guard from several states were activated </w:t>
      </w:r>
      <w:r>
        <w:t xml:space="preserve">under </w:t>
      </w:r>
      <w:r w:rsidRPr="00194EC1">
        <w:t xml:space="preserve">Title 32; a District Court judge’s injunction was stayed by the D.C. Circuit on Dec. 17, 2025.  </w:t>
      </w:r>
      <w:hyperlink r:id="rId629" w:history="1">
        <w:r w:rsidRPr="00194EC1">
          <w:rPr>
            <w:rStyle w:val="Hyperlink"/>
          </w:rPr>
          <w:t>https://storage.courtlistener.com/recap/gov.uscourts.cadc.42631/gov.uscourts.cadc.42631.1208806141.0.pdf</w:t>
        </w:r>
      </w:hyperlink>
      <w:r w:rsidRPr="00194EC1">
        <w:t xml:space="preserve"> </w:t>
      </w:r>
    </w:p>
    <w:p w14:paraId="40E560E1" w14:textId="77777777" w:rsidR="00520B72" w:rsidRDefault="00520B72" w:rsidP="00520B72">
      <w:pPr>
        <w:pStyle w:val="NoSpacing"/>
        <w:ind w:left="720"/>
      </w:pPr>
    </w:p>
    <w:p w14:paraId="11997CAA" w14:textId="77777777" w:rsidR="008963C8" w:rsidRDefault="008963C8" w:rsidP="00CC37FA">
      <w:pPr>
        <w:pStyle w:val="NoSpacing"/>
        <w:rPr>
          <w:rFonts w:ascii="Arial Black" w:hAnsi="Arial Black"/>
          <w:sz w:val="28"/>
          <w:szCs w:val="28"/>
        </w:rPr>
      </w:pPr>
    </w:p>
    <w:p w14:paraId="2E17979F" w14:textId="6B9CEBDC" w:rsidR="00520B72" w:rsidRDefault="00520B72" w:rsidP="00CC37FA">
      <w:pPr>
        <w:pStyle w:val="NoSpacing"/>
        <w:rPr>
          <w:rFonts w:ascii="Arial Black" w:hAnsi="Arial Black"/>
          <w:sz w:val="28"/>
          <w:szCs w:val="28"/>
        </w:rPr>
      </w:pPr>
      <w:r>
        <w:rPr>
          <w:rFonts w:ascii="Arial Black" w:hAnsi="Arial Black"/>
          <w:sz w:val="28"/>
          <w:szCs w:val="28"/>
        </w:rPr>
        <w:t>3-</w:t>
      </w:r>
      <w:r w:rsidR="00493A6B">
        <w:rPr>
          <w:rFonts w:ascii="Arial Black" w:hAnsi="Arial Black"/>
          <w:sz w:val="28"/>
          <w:szCs w:val="28"/>
        </w:rPr>
        <w:t>87</w:t>
      </w:r>
    </w:p>
    <w:p w14:paraId="18C7A65F" w14:textId="77777777" w:rsidR="00063A86" w:rsidRDefault="00063A86" w:rsidP="00CC37FA">
      <w:pPr>
        <w:pStyle w:val="NoSpacing"/>
        <w:rPr>
          <w:rFonts w:ascii="Arial Black" w:hAnsi="Arial Black"/>
          <w:sz w:val="28"/>
          <w:szCs w:val="28"/>
        </w:rPr>
      </w:pPr>
    </w:p>
    <w:p w14:paraId="5E92EC7F" w14:textId="77777777" w:rsidR="00063A86" w:rsidRPr="00DD37B9" w:rsidRDefault="00063A86" w:rsidP="00063A86">
      <w:pPr>
        <w:pStyle w:val="NoSpacing"/>
        <w:rPr>
          <w:rFonts w:ascii="Arial Black" w:hAnsi="Arial Black"/>
          <w:sz w:val="28"/>
          <w:szCs w:val="28"/>
        </w:rPr>
      </w:pPr>
      <w:r>
        <w:rPr>
          <w:rFonts w:ascii="Arial Black" w:hAnsi="Arial Black"/>
          <w:sz w:val="28"/>
          <w:szCs w:val="28"/>
        </w:rPr>
        <w:t>DC: VENEZUELANS - DUE PROCESS HEARING - ONLINE</w:t>
      </w:r>
    </w:p>
    <w:p w14:paraId="4587B6C7" w14:textId="77777777" w:rsidR="00063A86" w:rsidRDefault="00063A86" w:rsidP="00063A86">
      <w:pPr>
        <w:pStyle w:val="NoSpacing"/>
        <w:ind w:left="720"/>
      </w:pPr>
    </w:p>
    <w:p w14:paraId="027BC6B0" w14:textId="77777777" w:rsidR="00063A86" w:rsidRDefault="00063A86" w:rsidP="00063A86">
      <w:pPr>
        <w:pStyle w:val="NoSpacing"/>
      </w:pPr>
      <w:r>
        <w:t xml:space="preserve">On December 22, 2025, </w:t>
      </w:r>
      <w:r w:rsidRPr="006B7B9B">
        <w:t xml:space="preserve">in </w:t>
      </w:r>
      <w:r w:rsidRPr="006B7B9B">
        <w:rPr>
          <w:u w:val="single"/>
        </w:rPr>
        <w:t>J.G.G., et al. v, Donald Trump</w:t>
      </w:r>
      <w:r w:rsidRPr="006B7B9B">
        <w:t>,</w:t>
      </w:r>
      <w:r>
        <w:t xml:space="preserve"> U.S. Chief District Court Judge James E. Boasberg issued a preliminary injunction so that 252 Venezuelans who were flown to El Salvador on March 15, 2025, and then on July 18 released to Venezuela, can have a habeas corpus hearing. </w:t>
      </w:r>
      <w:r w:rsidRPr="001B3292">
        <w:t>In exchange, Venezuela released ten U.S. nationals, as well as eighty Venezuelan political prisoners</w:t>
      </w:r>
      <w:r>
        <w:t xml:space="preserve">.  </w:t>
      </w:r>
      <w:hyperlink r:id="rId630" w:history="1">
        <w:r w:rsidRPr="001402A1">
          <w:rPr>
            <w:rStyle w:val="Hyperlink"/>
          </w:rPr>
          <w:t>https://www.casemine.com/judgement/us/694a977ac92f54bb3c63226d</w:t>
        </w:r>
      </w:hyperlink>
      <w:r>
        <w:t xml:space="preserve"> </w:t>
      </w:r>
    </w:p>
    <w:p w14:paraId="618211F8" w14:textId="77777777" w:rsidR="00063A86" w:rsidRDefault="00063A86" w:rsidP="00063A86">
      <w:pPr>
        <w:pStyle w:val="NoSpacing"/>
      </w:pPr>
    </w:p>
    <w:p w14:paraId="55F8549A" w14:textId="77777777" w:rsidR="00063A86" w:rsidRDefault="00063A86" w:rsidP="00063A86">
      <w:pPr>
        <w:pStyle w:val="NoSpacing"/>
      </w:pPr>
      <w:r>
        <w:t>THE COURT HELD:</w:t>
      </w:r>
    </w:p>
    <w:p w14:paraId="32D26BF1" w14:textId="77777777" w:rsidR="00063A86" w:rsidRDefault="00063A86" w:rsidP="00063A86">
      <w:pPr>
        <w:pStyle w:val="NoSpacing"/>
      </w:pPr>
    </w:p>
    <w:p w14:paraId="4D83C7C7" w14:textId="77777777" w:rsidR="00063A86" w:rsidRDefault="00063A86" w:rsidP="00063A86">
      <w:pPr>
        <w:pStyle w:val="NoSpacing"/>
      </w:pPr>
      <w:r>
        <w:t>“</w:t>
      </w:r>
      <w:r w:rsidRPr="00E759D0">
        <w:t>The Government could also theoretically offer Plaintiffs a hearing without returning them to the United States so long as such hearing satisfied the requirements of due process.</w:t>
      </w:r>
      <w:r>
        <w:t xml:space="preserve">” </w:t>
      </w:r>
    </w:p>
    <w:p w14:paraId="53940538" w14:textId="77777777" w:rsidR="00063A86" w:rsidRDefault="00063A86" w:rsidP="00063A86">
      <w:pPr>
        <w:pStyle w:val="NoSpacing"/>
      </w:pPr>
    </w:p>
    <w:p w14:paraId="70990CB5" w14:textId="77777777" w:rsidR="00063A86" w:rsidRDefault="00063A86" w:rsidP="00063A86">
      <w:pPr>
        <w:pStyle w:val="NoSpacing"/>
        <w:rPr>
          <w:b/>
          <w:bCs/>
        </w:rPr>
      </w:pPr>
      <w:r w:rsidRPr="00754926">
        <w:rPr>
          <w:b/>
        </w:rPr>
        <w:t xml:space="preserve">Legal Lesson Learned: </w:t>
      </w:r>
      <w:r>
        <w:rPr>
          <w:b/>
        </w:rPr>
        <w:t xml:space="preserve">The District Court is following the important “emergency docket” ruling by U.S. Supreme Court on April 7, 2025.  </w:t>
      </w:r>
    </w:p>
    <w:p w14:paraId="3A897404" w14:textId="77777777" w:rsidR="00063A86" w:rsidRDefault="00063A86" w:rsidP="00063A86">
      <w:pPr>
        <w:pStyle w:val="NoSpacing"/>
        <w:rPr>
          <w:b/>
          <w:bCs/>
        </w:rPr>
      </w:pPr>
    </w:p>
    <w:p w14:paraId="46348576" w14:textId="77777777" w:rsidR="00063A86" w:rsidRDefault="00063A86" w:rsidP="00063A86">
      <w:pPr>
        <w:pStyle w:val="NoSpacing"/>
      </w:pPr>
      <w:r>
        <w:rPr>
          <w:b/>
        </w:rPr>
        <w:tab/>
      </w:r>
      <w:r w:rsidRPr="002D7D14">
        <w:t xml:space="preserve">Note:  The U.S, Supreme Court held: </w:t>
      </w:r>
    </w:p>
    <w:p w14:paraId="67F0C8B2" w14:textId="77777777" w:rsidR="00063A86" w:rsidRDefault="00063A86" w:rsidP="00063A86">
      <w:pPr>
        <w:pStyle w:val="NoSpacing"/>
        <w:ind w:left="720"/>
      </w:pPr>
      <w:r>
        <w:t>“AEA  [</w:t>
      </w:r>
      <w:r w:rsidRPr="00B40D6F">
        <w:t>Alien Enemies Act</w:t>
      </w:r>
      <w:r>
        <w:t xml:space="preserve">] detainees must receive notice after the date of this order that they are subject to removal under the Act. The notice must be afforded within a reasonable time and in such a manner as will allow them to </w:t>
      </w:r>
      <w:proofErr w:type="gramStart"/>
      <w:r>
        <w:t>actually seek</w:t>
      </w:r>
      <w:proofErr w:type="gramEnd"/>
      <w:r>
        <w:t xml:space="preserve"> habeas relief in the proper venue before such removal occurs.”  </w:t>
      </w:r>
      <w:hyperlink r:id="rId631" w:history="1">
        <w:r w:rsidRPr="00BB12E7">
          <w:rPr>
            <w:rStyle w:val="Hyperlink"/>
          </w:rPr>
          <w:t>https://www.supremecourt.gov/opinions/24pdf/24a931_2c83.pdf</w:t>
        </w:r>
      </w:hyperlink>
    </w:p>
    <w:p w14:paraId="2B28FD87" w14:textId="77777777" w:rsidR="00063A86" w:rsidRDefault="00063A86" w:rsidP="00CC37FA">
      <w:pPr>
        <w:pStyle w:val="NoSpacing"/>
        <w:rPr>
          <w:rFonts w:ascii="Arial Black" w:hAnsi="Arial Black"/>
          <w:sz w:val="28"/>
          <w:szCs w:val="28"/>
        </w:rPr>
      </w:pPr>
    </w:p>
    <w:p w14:paraId="1E7CA3F0" w14:textId="77777777" w:rsidR="00520B72" w:rsidRDefault="00520B72" w:rsidP="00CC37FA">
      <w:pPr>
        <w:pStyle w:val="NoSpacing"/>
        <w:rPr>
          <w:rFonts w:ascii="Arial Black" w:hAnsi="Arial Black"/>
          <w:sz w:val="28"/>
          <w:szCs w:val="28"/>
        </w:rPr>
      </w:pPr>
    </w:p>
    <w:p w14:paraId="4828D293" w14:textId="77777777" w:rsidR="00520B72" w:rsidRDefault="00520B72" w:rsidP="00CC37FA">
      <w:pPr>
        <w:pStyle w:val="NoSpacing"/>
        <w:rPr>
          <w:rFonts w:ascii="Arial Black" w:hAnsi="Arial Black"/>
          <w:sz w:val="28"/>
          <w:szCs w:val="28"/>
        </w:rPr>
      </w:pPr>
    </w:p>
    <w:p w14:paraId="5CD2B5B3" w14:textId="2887BFB8" w:rsidR="008963C8" w:rsidRDefault="00063A86" w:rsidP="00CC37FA">
      <w:pPr>
        <w:pStyle w:val="NoSpacing"/>
        <w:rPr>
          <w:rFonts w:ascii="Arial Black" w:hAnsi="Arial Black"/>
          <w:sz w:val="28"/>
          <w:szCs w:val="28"/>
        </w:rPr>
      </w:pPr>
      <w:r>
        <w:rPr>
          <w:rFonts w:ascii="Arial Black" w:hAnsi="Arial Black"/>
          <w:sz w:val="28"/>
          <w:szCs w:val="28"/>
        </w:rPr>
        <w:t>3-</w:t>
      </w:r>
      <w:r w:rsidR="00493A6B">
        <w:rPr>
          <w:rFonts w:ascii="Arial Black" w:hAnsi="Arial Black"/>
          <w:sz w:val="28"/>
          <w:szCs w:val="28"/>
        </w:rPr>
        <w:t>86</w:t>
      </w:r>
    </w:p>
    <w:p w14:paraId="033FCC38" w14:textId="77777777" w:rsidR="00493A6B" w:rsidRDefault="00493A6B" w:rsidP="00CC37FA">
      <w:pPr>
        <w:pStyle w:val="NoSpacing"/>
        <w:rPr>
          <w:rFonts w:ascii="Arial Black" w:hAnsi="Arial Black"/>
          <w:sz w:val="28"/>
          <w:szCs w:val="28"/>
        </w:rPr>
      </w:pPr>
    </w:p>
    <w:p w14:paraId="2137E37A" w14:textId="77777777" w:rsidR="00366097" w:rsidRPr="00DF5463" w:rsidRDefault="00366097" w:rsidP="00366097">
      <w:pPr>
        <w:rPr>
          <w:rFonts w:ascii="Arial Black" w:hAnsi="Arial Black"/>
          <w:b/>
          <w:sz w:val="28"/>
          <w:szCs w:val="28"/>
        </w:rPr>
      </w:pPr>
      <w:r w:rsidRPr="00975A49">
        <w:rPr>
          <w:rFonts w:ascii="Arial Black" w:hAnsi="Arial Black"/>
          <w:b/>
          <w:sz w:val="28"/>
          <w:szCs w:val="28"/>
        </w:rPr>
        <w:t>RI:</w:t>
      </w:r>
      <w:r w:rsidRPr="00DF5463">
        <w:rPr>
          <w:rFonts w:ascii="Arial Black" w:hAnsi="Arial Black"/>
          <w:b/>
          <w:sz w:val="28"/>
          <w:szCs w:val="28"/>
        </w:rPr>
        <w:t xml:space="preserve"> </w:t>
      </w:r>
      <w:r>
        <w:rPr>
          <w:rFonts w:ascii="Arial Black" w:hAnsi="Arial Black"/>
          <w:b/>
          <w:sz w:val="28"/>
          <w:szCs w:val="28"/>
        </w:rPr>
        <w:t>DHS GRANTS – “SANCTUARY” STATES GET INJUNCTION</w:t>
      </w:r>
    </w:p>
    <w:p w14:paraId="781E81C7" w14:textId="77777777" w:rsidR="00366097" w:rsidRDefault="00366097" w:rsidP="00366097">
      <w:pPr>
        <w:pStyle w:val="NoSpacing"/>
      </w:pPr>
      <w:r>
        <w:t xml:space="preserve">On December 22, 2025, in </w:t>
      </w:r>
      <w:r w:rsidRPr="00944810">
        <w:rPr>
          <w:u w:val="single"/>
        </w:rPr>
        <w:t>State of Illinois, et al. v. Kristi Noem, Secretary of the Department of Homeland Security</w:t>
      </w:r>
      <w:r>
        <w:t>, U.S. District Court Judge M</w:t>
      </w:r>
      <w:r w:rsidRPr="00975A49">
        <w:t xml:space="preserve">ary S. McElroy, United States District </w:t>
      </w:r>
      <w:r>
        <w:t xml:space="preserve">Court for District of Rhode Island, granted the plaintiff states’ motion for summary judgment, finding violation of the </w:t>
      </w:r>
      <w:r w:rsidRPr="002A7598">
        <w:t>Administrative Procedure Act</w:t>
      </w:r>
      <w:r>
        <w:t xml:space="preserve">.  DHS in September 2025 issued award letters to state governments indicating that hundreds of millions of dollars of anticipated awards to so-called “sanctuary jurisdictions” were being reallocated to other jurisdictions. Twelve States and the District of Columbia sued, challenging both that reallocation itself and related decisions by DHS. </w:t>
      </w:r>
      <w:hyperlink r:id="rId632" w:history="1">
        <w:r w:rsidRPr="000E235D">
          <w:rPr>
            <w:rStyle w:val="Hyperlink"/>
            <w:b/>
          </w:rPr>
          <w:t>https://ecf.rid.uscourts.gov/cgi-bin/show_public_doc?2025cv0495-53</w:t>
        </w:r>
      </w:hyperlink>
    </w:p>
    <w:p w14:paraId="4565B3EB" w14:textId="77777777" w:rsidR="00366097" w:rsidRDefault="00366097" w:rsidP="00366097">
      <w:pPr>
        <w:pStyle w:val="NoSpacing"/>
      </w:pPr>
    </w:p>
    <w:p w14:paraId="69B40553" w14:textId="77777777" w:rsidR="00366097" w:rsidRDefault="00366097" w:rsidP="00366097">
      <w:pPr>
        <w:pStyle w:val="NoSpacing"/>
      </w:pPr>
      <w:r>
        <w:t>THE COURT HELD:</w:t>
      </w:r>
    </w:p>
    <w:p w14:paraId="3A3D41E1" w14:textId="77777777" w:rsidR="00366097" w:rsidRDefault="00366097" w:rsidP="00366097">
      <w:pPr>
        <w:pStyle w:val="NoSpacing"/>
      </w:pPr>
    </w:p>
    <w:p w14:paraId="5B1530D3" w14:textId="77777777" w:rsidR="00366097" w:rsidRDefault="00366097" w:rsidP="00366097">
      <w:pPr>
        <w:pStyle w:val="NoSpacing"/>
        <w:ind w:firstLine="720"/>
      </w:pPr>
      <w:r>
        <w:t xml:space="preserve">“In the wake of the September 11 terrorist attacks, Congress authorized the </w:t>
      </w:r>
    </w:p>
    <w:p w14:paraId="56FEF18E" w14:textId="77777777" w:rsidR="00366097" w:rsidRDefault="00366097" w:rsidP="00366097">
      <w:pPr>
        <w:pStyle w:val="NoSpacing"/>
        <w:ind w:firstLine="720"/>
      </w:pPr>
      <w:r>
        <w:t xml:space="preserve">Homeland Security Grant </w:t>
      </w:r>
      <w:proofErr w:type="gramStart"/>
      <w:r>
        <w:t>Program (‘</w:t>
      </w:r>
      <w:proofErr w:type="gramEnd"/>
      <w:r>
        <w:t>HSGP’) to strengthen national security through</w:t>
      </w:r>
    </w:p>
    <w:p w14:paraId="0D85CBCD" w14:textId="77777777" w:rsidR="00366097" w:rsidRDefault="00366097" w:rsidP="00366097">
      <w:pPr>
        <w:pStyle w:val="NoSpacing"/>
        <w:ind w:left="720"/>
      </w:pPr>
      <w:r>
        <w:t xml:space="preserve">grant funding to state, local, tribal, and territorial governments…. HSGP includes three grant programs: the State Homeland Security Grant </w:t>
      </w:r>
      <w:proofErr w:type="gramStart"/>
      <w:r>
        <w:t>Program (‘</w:t>
      </w:r>
      <w:proofErr w:type="gramEnd"/>
      <w:r>
        <w:t>SHSP’), the Urban Area</w:t>
      </w:r>
    </w:p>
    <w:p w14:paraId="60E82A92" w14:textId="77777777" w:rsidR="00366097" w:rsidRDefault="00366097" w:rsidP="00366097">
      <w:pPr>
        <w:pStyle w:val="NoSpacing"/>
        <w:ind w:left="720"/>
      </w:pPr>
      <w:r>
        <w:t xml:space="preserve">Security Initiative (‘UASI’), and Operation </w:t>
      </w:r>
      <w:proofErr w:type="spellStart"/>
      <w:r>
        <w:t>Stonegarden</w:t>
      </w:r>
      <w:proofErr w:type="spellEnd"/>
      <w:r>
        <w:t xml:space="preserve"> [Border response]…. Since the beginning of the current administration, the executive branch has repeatedly sought to tie federal grant funding for programs like HSGP to state and local governments’ assistance with federal immigration enforcement. On January 20, 2025, President Trump issued an executive order directing DHS to ‘ensure that so-called ‘sanctuary’ jurisdictions . . . do not receive access to Federal funds.’ Exec. Order No. 14159, § 17, 90 Fed. Reg. 8443, 8446 (Jan. 20, 2025)…. On September 27, Defendants sent States HSGP final award letters reflecting</w:t>
      </w:r>
    </w:p>
    <w:p w14:paraId="45B61E99" w14:textId="77777777" w:rsidR="00366097" w:rsidRDefault="00366097" w:rsidP="00366097">
      <w:pPr>
        <w:ind w:left="720"/>
        <w:rPr>
          <w:b/>
        </w:rPr>
      </w:pPr>
      <w:r>
        <w:t>massive funding reallocations from Plaintiffs to other jurisdictions…. In total, the difference in target allocations from the August 1 NOFO [</w:t>
      </w:r>
      <w:r w:rsidRPr="001A02E9">
        <w:t>notice of funding opportunity</w:t>
      </w:r>
      <w:r>
        <w:t>]</w:t>
      </w:r>
      <w:r w:rsidRPr="001A02E9">
        <w:t xml:space="preserve"> </w:t>
      </w:r>
      <w:r>
        <w:t xml:space="preserve">and the final awards amounted to cuts of over $240 million to Plaintiffs…. And Defendants provide no substantive, contemporaneous justification whatsoever for the funding changes that took place between the DHS Directive and the final award letters, i.e., the round-number increases in awards to favored jurisdictions. Defendants’ failure to do so further renders the Reallocation Decision arbitrary and capricious.” </w:t>
      </w:r>
    </w:p>
    <w:p w14:paraId="76C09B36" w14:textId="77777777" w:rsidR="00366097" w:rsidRDefault="00366097" w:rsidP="00366097">
      <w:pPr>
        <w:rPr>
          <w:b/>
        </w:rPr>
      </w:pPr>
      <w:r>
        <w:rPr>
          <w:b/>
        </w:rPr>
        <w:t xml:space="preserve">Legal lesson learned: Can’t punish sanctuary states and cities by reducing DHS grants. </w:t>
      </w:r>
    </w:p>
    <w:p w14:paraId="7D82E27D" w14:textId="77777777" w:rsidR="00366097" w:rsidRDefault="00366097" w:rsidP="00CC37FA">
      <w:pPr>
        <w:pStyle w:val="NoSpacing"/>
        <w:rPr>
          <w:rFonts w:ascii="Arial Black" w:hAnsi="Arial Black"/>
          <w:sz w:val="28"/>
          <w:szCs w:val="28"/>
        </w:rPr>
      </w:pPr>
    </w:p>
    <w:p w14:paraId="59F11B25" w14:textId="7711B178" w:rsidR="008963C8" w:rsidRDefault="00366097" w:rsidP="00CC37FA">
      <w:pPr>
        <w:pStyle w:val="NoSpacing"/>
        <w:rPr>
          <w:rFonts w:ascii="Arial Black" w:hAnsi="Arial Black"/>
          <w:sz w:val="28"/>
          <w:szCs w:val="28"/>
        </w:rPr>
      </w:pPr>
      <w:r>
        <w:rPr>
          <w:rFonts w:ascii="Arial Black" w:hAnsi="Arial Black"/>
          <w:sz w:val="28"/>
          <w:szCs w:val="28"/>
        </w:rPr>
        <w:t>3-</w:t>
      </w:r>
      <w:r w:rsidR="00493A6B">
        <w:rPr>
          <w:rFonts w:ascii="Arial Black" w:hAnsi="Arial Black"/>
          <w:sz w:val="28"/>
          <w:szCs w:val="28"/>
        </w:rPr>
        <w:t>85</w:t>
      </w:r>
    </w:p>
    <w:p w14:paraId="16F9EBF2" w14:textId="77777777" w:rsidR="00366097" w:rsidRDefault="00366097" w:rsidP="00CC37FA">
      <w:pPr>
        <w:pStyle w:val="NoSpacing"/>
        <w:rPr>
          <w:rFonts w:ascii="Arial Black" w:hAnsi="Arial Black"/>
          <w:sz w:val="28"/>
          <w:szCs w:val="28"/>
        </w:rPr>
      </w:pPr>
    </w:p>
    <w:p w14:paraId="67AD2625" w14:textId="77777777" w:rsidR="00493A6B" w:rsidRPr="00174162" w:rsidRDefault="00493A6B" w:rsidP="00493A6B">
      <w:pPr>
        <w:rPr>
          <w:rFonts w:ascii="Arial Black" w:hAnsi="Arial Black"/>
          <w:b/>
          <w:sz w:val="28"/>
          <w:szCs w:val="28"/>
        </w:rPr>
      </w:pPr>
      <w:r>
        <w:rPr>
          <w:rFonts w:ascii="Arial Black" w:hAnsi="Arial Black"/>
          <w:b/>
          <w:sz w:val="28"/>
          <w:szCs w:val="28"/>
        </w:rPr>
        <w:t>NJ: ACTING U.S. ATTY NOT CONFIRMED - DISQUALIFIED</w:t>
      </w:r>
    </w:p>
    <w:p w14:paraId="789D3A78" w14:textId="77777777" w:rsidR="00493A6B" w:rsidRDefault="00493A6B" w:rsidP="00493A6B">
      <w:pPr>
        <w:pStyle w:val="NoSpacing"/>
      </w:pPr>
      <w:r>
        <w:t xml:space="preserve">On December 1, 2025, in </w:t>
      </w:r>
      <w:r w:rsidRPr="00C07203">
        <w:rPr>
          <w:u w:val="single"/>
        </w:rPr>
        <w:t>United States v. Julien Giraud, Jr. et al.</w:t>
      </w:r>
      <w:r>
        <w:t xml:space="preserve"> the U.S. Court of Appeals for Third Circuit (Philadelphia) held that </w:t>
      </w:r>
      <w:r w:rsidRPr="00C07203">
        <w:t>Alina Habba</w:t>
      </w:r>
      <w:r>
        <w:t xml:space="preserve">, who was appointed Acting U.S. Attorney for the District of New Jersey, was properly removed by order of U.S. District Court since she was not confirmed by the Senate within 120 days of replacing the resigned U.S. Attorney.   Two indicted criminal defendants were denied motions to dismiss their indictments.  </w:t>
      </w:r>
      <w:hyperlink r:id="rId633" w:history="1">
        <w:r w:rsidRPr="006358C5">
          <w:rPr>
            <w:rStyle w:val="Hyperlink"/>
          </w:rPr>
          <w:t>https://cases.justia.com/federal/appellate-courts/ca3/25-2635/25-2635-2025-12-01.pdf?ts=1764612050</w:t>
        </w:r>
      </w:hyperlink>
      <w:r>
        <w:t xml:space="preserve"> </w:t>
      </w:r>
    </w:p>
    <w:p w14:paraId="42D9166A" w14:textId="77777777" w:rsidR="00493A6B" w:rsidRDefault="00493A6B" w:rsidP="00493A6B">
      <w:pPr>
        <w:pStyle w:val="NoSpacing"/>
      </w:pPr>
    </w:p>
    <w:p w14:paraId="1D3DAE10" w14:textId="77777777" w:rsidR="00493A6B" w:rsidRDefault="00493A6B" w:rsidP="00493A6B">
      <w:pPr>
        <w:pStyle w:val="NoSpacing"/>
      </w:pPr>
      <w:r>
        <w:t>THE COURT HELD:</w:t>
      </w:r>
    </w:p>
    <w:p w14:paraId="624B4F36" w14:textId="77777777" w:rsidR="00493A6B" w:rsidRDefault="00493A6B" w:rsidP="00493A6B">
      <w:pPr>
        <w:pStyle w:val="NoSpacing"/>
      </w:pPr>
    </w:p>
    <w:p w14:paraId="7E2ABBAE" w14:textId="77777777" w:rsidR="00493A6B" w:rsidRDefault="00493A6B" w:rsidP="00493A6B">
      <w:pPr>
        <w:pStyle w:val="NoSpacing"/>
        <w:ind w:left="720"/>
      </w:pPr>
      <w:r>
        <w:t xml:space="preserve">“On March 3, under the new presidential administration, Attorney General Pamela Bondi appointed John Giordano as Interim U.S. Attorney for New Jersey pursuant to 28 U.S.C. § 546(a). Giordano resigned three weeks later, at which time the Attorney General appointed Alina Habba as Interim U.S. Attorney, also pursuant to § 546(a). Habba was sworn in on March 28. On June 30, President Donald Trump nominated her for the permanent role. The Senate never acted on the nomination. </w:t>
      </w:r>
    </w:p>
    <w:p w14:paraId="486F0616" w14:textId="77777777" w:rsidR="00493A6B" w:rsidRDefault="00493A6B" w:rsidP="00493A6B">
      <w:pPr>
        <w:pStyle w:val="NoSpacing"/>
        <w:ind w:left="720"/>
      </w:pPr>
    </w:p>
    <w:p w14:paraId="664947D7" w14:textId="77777777" w:rsidR="00493A6B" w:rsidRDefault="00493A6B" w:rsidP="00493A6B">
      <w:pPr>
        <w:pStyle w:val="NoSpacing"/>
        <w:ind w:left="720"/>
      </w:pPr>
      <w:r>
        <w:t>As § 546’s 120-day deadline approached, the United States District Court for the District of New Jersey issued a standing order pursuant to 28 U.S.C. § 546(d) providing that</w:t>
      </w:r>
    </w:p>
    <w:p w14:paraId="2455F8BF" w14:textId="77777777" w:rsidR="00493A6B" w:rsidRDefault="00493A6B" w:rsidP="00493A6B">
      <w:pPr>
        <w:pStyle w:val="NoSpacing"/>
        <w:ind w:left="720"/>
      </w:pPr>
      <w:r>
        <w:t xml:space="preserve">Desiree Grace—the First Assistant U.S. Attorney at the time— would be Interim U.S. Attorney effective upon the expiration of Habba’s 120-day term under § 546.1 In response, the Department of Justice terminated Grace’s employment…. </w:t>
      </w:r>
    </w:p>
    <w:p w14:paraId="1134719C" w14:textId="77777777" w:rsidR="00493A6B" w:rsidRDefault="00493A6B" w:rsidP="00493A6B">
      <w:pPr>
        <w:pStyle w:val="NoSpacing"/>
        <w:ind w:left="720"/>
      </w:pPr>
    </w:p>
    <w:p w14:paraId="23F72652" w14:textId="77777777" w:rsidR="00493A6B" w:rsidRDefault="00493A6B" w:rsidP="00493A6B">
      <w:pPr>
        <w:pStyle w:val="NoSpacing"/>
        <w:ind w:left="720"/>
      </w:pPr>
      <w:r>
        <w:t xml:space="preserve">Then on July 2, </w:t>
      </w:r>
      <w:r w:rsidRPr="007A501B">
        <w:t>the Trump administration took several steps:</w:t>
      </w:r>
      <w:r>
        <w:t xml:space="preserve"> (1) the President withdrew Habba’s nomination for U.S. Attorney; (2) Habba resigned as Interim U.S. Attorney; (3) the Attorney General issued an order appointing Habba as ‘Special Attorney’ to the Attorney General, accompanied by a letter authorizing Habba to conduct ‘any kind of legal proceedings … which United States Attorneys are authorized to conduct’ pursuant to 28 U.S.C. § 515, App. 161–62, 165; and (4) in the same order, the Attorney General also designated Habba as First Assistant U.S. Attorney, which purported to mean that Habba automatically became Acting U.S. Attorney pursuant to the FVRA [Federal Vacancies Reform Act], 5 U.S.C. § 3345(a)(1)….</w:t>
      </w:r>
    </w:p>
    <w:p w14:paraId="5B85D78D" w14:textId="77777777" w:rsidR="00493A6B" w:rsidRDefault="00493A6B" w:rsidP="00493A6B">
      <w:pPr>
        <w:pStyle w:val="NoSpacing"/>
        <w:ind w:left="720"/>
      </w:pPr>
    </w:p>
    <w:p w14:paraId="38AB2C2B" w14:textId="77777777" w:rsidR="00493A6B" w:rsidRDefault="00493A6B" w:rsidP="00493A6B">
      <w:pPr>
        <w:pStyle w:val="NoSpacing"/>
        <w:ind w:left="720"/>
      </w:pPr>
      <w:r>
        <w:t>Habba is not the Acting U.S. Attorney for the District of New Jersey by virtue of her appointment as First Assistant U.S. Attorney because only the first assistant in place at the time the vacancy arises automatically assumes the functions and duties of the office under the FVRA. Additionally, because Habba was nominated for the vacant U.S. Attorney position, the FVRA’s nomination bar prevents her from assuming the role of Acting U.S. Attorney. Finally, the Attorney General’s delegation of all the powers of a U.S. Attorney to Habba is prohibited by the FVRA’s exclusivity provision. Therefore, we</w:t>
      </w:r>
    </w:p>
    <w:p w14:paraId="19CA2F56" w14:textId="77777777" w:rsidR="00493A6B" w:rsidRDefault="00493A6B" w:rsidP="00493A6B">
      <w:pPr>
        <w:pStyle w:val="NoSpacing"/>
        <w:ind w:left="720"/>
      </w:pPr>
      <w:r>
        <w:t xml:space="preserve">will affirm the District Court’s disqualification order.” </w:t>
      </w:r>
    </w:p>
    <w:p w14:paraId="7C86B52E" w14:textId="77777777" w:rsidR="00493A6B" w:rsidRDefault="00493A6B" w:rsidP="00493A6B">
      <w:pPr>
        <w:pStyle w:val="NoSpacing"/>
        <w:ind w:left="720"/>
      </w:pPr>
    </w:p>
    <w:p w14:paraId="56E195BA" w14:textId="77777777" w:rsidR="00493A6B" w:rsidRPr="00114BAB" w:rsidRDefault="00493A6B" w:rsidP="00493A6B">
      <w:pPr>
        <w:pStyle w:val="NoSpacing"/>
        <w:rPr>
          <w:b/>
          <w:bCs/>
        </w:rPr>
      </w:pPr>
      <w:r>
        <w:rPr>
          <w:b/>
        </w:rPr>
        <w:t>Legal lesson learned:  The U.S. Attorney for New Jersey has a critical responsibility, thereby requiring Senate confirmation – the District Court and the 3</w:t>
      </w:r>
      <w:r w:rsidRPr="00AF3F47">
        <w:rPr>
          <w:b/>
          <w:vertAlign w:val="superscript"/>
        </w:rPr>
        <w:t>rd</w:t>
      </w:r>
      <w:r>
        <w:rPr>
          <w:b/>
        </w:rPr>
        <w:t xml:space="preserve"> Circuit had no patience with breaches of the appointment process. </w:t>
      </w:r>
    </w:p>
    <w:p w14:paraId="2739EFB1" w14:textId="77777777" w:rsidR="00493A6B" w:rsidRDefault="00493A6B" w:rsidP="00493A6B">
      <w:pPr>
        <w:pStyle w:val="NoSpacing"/>
      </w:pPr>
    </w:p>
    <w:p w14:paraId="23815DE8" w14:textId="77777777" w:rsidR="00366097" w:rsidRDefault="00366097" w:rsidP="00CC37FA">
      <w:pPr>
        <w:pStyle w:val="NoSpacing"/>
        <w:rPr>
          <w:rFonts w:ascii="Arial Black" w:hAnsi="Arial Black"/>
          <w:sz w:val="28"/>
          <w:szCs w:val="28"/>
        </w:rPr>
      </w:pPr>
    </w:p>
    <w:p w14:paraId="7154B091" w14:textId="77777777" w:rsidR="008963C8" w:rsidRDefault="008963C8" w:rsidP="00CC37FA">
      <w:pPr>
        <w:pStyle w:val="NoSpacing"/>
        <w:rPr>
          <w:rFonts w:ascii="Arial Black" w:hAnsi="Arial Black"/>
          <w:sz w:val="28"/>
          <w:szCs w:val="28"/>
        </w:rPr>
      </w:pPr>
    </w:p>
    <w:p w14:paraId="2AF7CAA4" w14:textId="11AB3D20" w:rsidR="003E3554" w:rsidRDefault="00CC37FA" w:rsidP="00CC37FA">
      <w:pPr>
        <w:pStyle w:val="NoSpacing"/>
        <w:rPr>
          <w:rFonts w:ascii="Arial Black" w:hAnsi="Arial Black"/>
          <w:sz w:val="28"/>
          <w:szCs w:val="28"/>
        </w:rPr>
      </w:pPr>
      <w:r>
        <w:rPr>
          <w:rFonts w:ascii="Arial Black" w:hAnsi="Arial Black"/>
          <w:sz w:val="28"/>
          <w:szCs w:val="28"/>
        </w:rPr>
        <w:t xml:space="preserve">3-84 </w:t>
      </w:r>
    </w:p>
    <w:p w14:paraId="67E0D58F" w14:textId="77777777" w:rsidR="003E3554" w:rsidRDefault="003E3554" w:rsidP="00CC37FA">
      <w:pPr>
        <w:pStyle w:val="NoSpacing"/>
        <w:rPr>
          <w:rFonts w:ascii="Arial Black" w:hAnsi="Arial Black"/>
          <w:sz w:val="28"/>
          <w:szCs w:val="28"/>
        </w:rPr>
      </w:pPr>
    </w:p>
    <w:p w14:paraId="1008CAB1" w14:textId="7F25CAC5" w:rsidR="00CC37FA" w:rsidRPr="003E3554" w:rsidRDefault="00CC37FA" w:rsidP="00CC37FA">
      <w:pPr>
        <w:pStyle w:val="NoSpacing"/>
        <w:rPr>
          <w:rFonts w:ascii="Times New Roman" w:hAnsi="Times New Roman"/>
          <w:b/>
          <w:sz w:val="24"/>
          <w:szCs w:val="24"/>
        </w:rPr>
      </w:pPr>
      <w:r w:rsidRPr="00CC37FA">
        <w:rPr>
          <w:rFonts w:ascii="Times New Roman" w:hAnsi="Times New Roman"/>
          <w:b/>
          <w:sz w:val="24"/>
          <w:szCs w:val="24"/>
        </w:rPr>
        <w:t>Professor Bennett’s articles in Homeland Security Today:</w:t>
      </w:r>
      <w:r w:rsidR="004B2E70" w:rsidRPr="003E3554">
        <w:rPr>
          <w:rFonts w:ascii="Times New Roman" w:hAnsi="Times New Roman"/>
          <w:b/>
          <w:sz w:val="24"/>
          <w:szCs w:val="24"/>
        </w:rPr>
        <w:t xml:space="preserve"> </w:t>
      </w:r>
    </w:p>
    <w:p w14:paraId="2E543E07" w14:textId="185500B4" w:rsidR="00CC37FA" w:rsidRPr="00CC37FA" w:rsidRDefault="00CC37FA" w:rsidP="00CC37FA">
      <w:pPr>
        <w:pStyle w:val="NoSpacing"/>
        <w:rPr>
          <w:rFonts w:ascii="Arial Black" w:hAnsi="Arial Black"/>
          <w:b/>
          <w:bCs/>
          <w:sz w:val="28"/>
          <w:szCs w:val="28"/>
        </w:rPr>
      </w:pPr>
      <w:r w:rsidRPr="00CC37FA">
        <w:rPr>
          <w:rFonts w:ascii="Times New Roman" w:hAnsi="Times New Roman"/>
          <w:b/>
          <w:sz w:val="24"/>
          <w:szCs w:val="24"/>
        </w:rPr>
        <w:t xml:space="preserve">Dec. 28, 1995: Supreme Court Blocks National Guard Deployment to Chicago, Restricts Presidential Power Under Title 10. Landmark ruling reshapes federal authority and strengthens governors’ control over National Guard deployments. </w:t>
      </w:r>
      <w:hyperlink r:id="rId634" w:history="1">
        <w:r w:rsidRPr="00CC37FA">
          <w:rPr>
            <w:rStyle w:val="Hyperlink"/>
            <w:rFonts w:ascii="Times New Roman" w:hAnsi="Times New Roman"/>
            <w:b/>
            <w:sz w:val="24"/>
            <w:szCs w:val="24"/>
          </w:rPr>
          <w:t>https://www.hstoday.us/us-national-guard/column-supreme-court-blocks-national-guard-deployment-to-chicago-restricts-presidential-power-under-title-10/</w:t>
        </w:r>
      </w:hyperlink>
      <w:r w:rsidRPr="00CC37FA">
        <w:rPr>
          <w:rFonts w:ascii="Arial Black" w:hAnsi="Arial Black"/>
          <w:b/>
          <w:bCs/>
          <w:sz w:val="28"/>
          <w:szCs w:val="28"/>
        </w:rPr>
        <w:t xml:space="preserve"> </w:t>
      </w:r>
    </w:p>
    <w:p w14:paraId="5E02F121" w14:textId="6059B6B9" w:rsidR="00CC37FA" w:rsidRPr="00CC37FA" w:rsidRDefault="00CC37FA" w:rsidP="00CC37FA">
      <w:pPr>
        <w:pStyle w:val="NoSpacing"/>
        <w:rPr>
          <w:rFonts w:ascii="Arial Black" w:hAnsi="Arial Black"/>
          <w:b/>
          <w:sz w:val="24"/>
          <w:szCs w:val="24"/>
        </w:rPr>
      </w:pPr>
      <w:r w:rsidRPr="00CC37FA">
        <w:rPr>
          <w:rFonts w:ascii="Arial Black" w:hAnsi="Arial Black"/>
          <w:b/>
          <w:sz w:val="24"/>
          <w:szCs w:val="24"/>
        </w:rPr>
        <w:t xml:space="preserve"> </w:t>
      </w:r>
    </w:p>
    <w:p w14:paraId="552A59B3" w14:textId="77777777" w:rsidR="004B2E70" w:rsidRPr="003E3554" w:rsidRDefault="004B2E70" w:rsidP="004B2E70">
      <w:pPr>
        <w:pStyle w:val="NoSpacing"/>
        <w:ind w:left="720"/>
        <w:rPr>
          <w:rFonts w:ascii="Times New Roman" w:hAnsi="Times New Roman"/>
          <w:b/>
          <w:sz w:val="24"/>
          <w:szCs w:val="24"/>
        </w:rPr>
      </w:pPr>
      <w:proofErr w:type="gramStart"/>
      <w:r w:rsidRPr="003E3554">
        <w:rPr>
          <w:rFonts w:ascii="Times New Roman" w:hAnsi="Times New Roman"/>
          <w:b/>
          <w:sz w:val="24"/>
          <w:szCs w:val="24"/>
        </w:rPr>
        <w:t>See</w:t>
      </w:r>
      <w:proofErr w:type="gramEnd"/>
      <w:r w:rsidRPr="003E3554">
        <w:rPr>
          <w:rFonts w:ascii="Times New Roman" w:hAnsi="Times New Roman"/>
          <w:b/>
          <w:sz w:val="24"/>
          <w:szCs w:val="24"/>
        </w:rPr>
        <w:t xml:space="preserve"> also: </w:t>
      </w:r>
    </w:p>
    <w:p w14:paraId="2D43BD63" w14:textId="77777777" w:rsidR="004B2E70" w:rsidRDefault="004B2E70" w:rsidP="004B2E70">
      <w:pPr>
        <w:pStyle w:val="NoSpacing"/>
        <w:ind w:left="720"/>
        <w:rPr>
          <w:rFonts w:ascii="Arial Black" w:hAnsi="Arial Black"/>
          <w:b/>
          <w:sz w:val="24"/>
          <w:szCs w:val="24"/>
        </w:rPr>
      </w:pPr>
    </w:p>
    <w:p w14:paraId="2E25BF97" w14:textId="77777777" w:rsidR="004B2E70" w:rsidRPr="00CC37FA" w:rsidRDefault="004B2E70" w:rsidP="004B2E70">
      <w:pPr>
        <w:pStyle w:val="NoSpacing"/>
        <w:ind w:left="720"/>
        <w:rPr>
          <w:rFonts w:ascii="Arial Black" w:hAnsi="Arial Black"/>
          <w:b/>
          <w:bCs/>
          <w:sz w:val="24"/>
          <w:szCs w:val="24"/>
        </w:rPr>
      </w:pPr>
      <w:r w:rsidRPr="00CC37FA">
        <w:rPr>
          <w:rFonts w:ascii="Arial Black" w:hAnsi="Arial Black"/>
          <w:b/>
          <w:sz w:val="24"/>
          <w:szCs w:val="24"/>
        </w:rPr>
        <w:t xml:space="preserve">Dec. 19, 2025: </w:t>
      </w:r>
      <w:r w:rsidRPr="00CC37FA">
        <w:rPr>
          <w:rFonts w:ascii="Arial Black" w:hAnsi="Arial Black"/>
          <w:b/>
          <w:bCs/>
          <w:sz w:val="24"/>
          <w:szCs w:val="24"/>
        </w:rPr>
        <w:t xml:space="preserve">Federal Courts Continue to Block DHS and FEMA DEI Grant Conditions. </w:t>
      </w:r>
      <w:r w:rsidRPr="00CC37FA">
        <w:rPr>
          <w:rFonts w:ascii="Times New Roman" w:hAnsi="Times New Roman"/>
          <w:sz w:val="24"/>
          <w:szCs w:val="24"/>
        </w:rPr>
        <w:t xml:space="preserve">Twin injunctions protect billions in emergency preparedness funding from diversity program compliance mandates.  </w:t>
      </w:r>
      <w:hyperlink r:id="rId635" w:history="1">
        <w:r w:rsidRPr="00CC37FA">
          <w:rPr>
            <w:rStyle w:val="Hyperlink"/>
            <w:rFonts w:ascii="Times New Roman" w:hAnsi="Times New Roman"/>
            <w:sz w:val="24"/>
            <w:szCs w:val="24"/>
          </w:rPr>
          <w:t>https://www.hstoday.us/fema-dhs-federal-pages/column-federal-courts-block-dhs-and-fema-dei-grant-conditions/</w:t>
        </w:r>
      </w:hyperlink>
      <w:r w:rsidRPr="00CC37FA">
        <w:rPr>
          <w:rFonts w:ascii="Arial Black" w:hAnsi="Arial Black"/>
          <w:b/>
          <w:bCs/>
          <w:sz w:val="24"/>
          <w:szCs w:val="24"/>
        </w:rPr>
        <w:t xml:space="preserve"> </w:t>
      </w:r>
    </w:p>
    <w:p w14:paraId="1CF2EAC8" w14:textId="77777777" w:rsidR="004B2E70" w:rsidRDefault="004B2E70" w:rsidP="004B2E70">
      <w:pPr>
        <w:pStyle w:val="NoSpacing"/>
        <w:ind w:left="720"/>
        <w:rPr>
          <w:rFonts w:ascii="Arial Black" w:hAnsi="Arial Black"/>
          <w:b/>
          <w:sz w:val="24"/>
          <w:szCs w:val="24"/>
        </w:rPr>
      </w:pPr>
    </w:p>
    <w:p w14:paraId="6A9A61CE" w14:textId="77777777" w:rsidR="004B2E70" w:rsidRPr="00CC37FA" w:rsidRDefault="004B2E70" w:rsidP="004B2E70">
      <w:pPr>
        <w:pStyle w:val="NoSpacing"/>
        <w:ind w:left="720"/>
        <w:rPr>
          <w:rFonts w:ascii="Arial Black" w:hAnsi="Arial Black"/>
          <w:b/>
          <w:sz w:val="24"/>
          <w:szCs w:val="24"/>
        </w:rPr>
      </w:pPr>
      <w:r w:rsidRPr="00CC37FA">
        <w:rPr>
          <w:rFonts w:ascii="Arial Black" w:hAnsi="Arial Black"/>
          <w:b/>
          <w:sz w:val="24"/>
          <w:szCs w:val="24"/>
        </w:rPr>
        <w:t xml:space="preserve">Oct. 7, 2025: Federal Courts Block FEMA &amp; DHS Immigration Grant Conditions, Safeguarding Billions in Emergency Preparedness Funds. </w:t>
      </w:r>
      <w:r w:rsidRPr="00CC37FA">
        <w:rPr>
          <w:rFonts w:ascii="Times New Roman" w:hAnsi="Times New Roman"/>
          <w:bCs/>
          <w:sz w:val="24"/>
          <w:szCs w:val="24"/>
        </w:rPr>
        <w:t xml:space="preserve">Decisions impact disaster relief, firefighter assistance, cybersecurity, and counterterrorism grants administered through FEMA and DHS.    </w:t>
      </w:r>
      <w:hyperlink r:id="rId636" w:history="1">
        <w:r w:rsidRPr="00CC37FA">
          <w:rPr>
            <w:rStyle w:val="Hyperlink"/>
            <w:rFonts w:ascii="Times New Roman" w:hAnsi="Times New Roman"/>
            <w:bCs/>
            <w:sz w:val="24"/>
            <w:szCs w:val="24"/>
          </w:rPr>
          <w:t>https://www.hstoday.us/perspective/eyes-on-preparedness-federal-courts-block-fema-dhs-immigration-grant-conditions-safeguarding-billions-in-emergency-preparedness-funds/</w:t>
        </w:r>
      </w:hyperlink>
      <w:r w:rsidRPr="00CC37FA">
        <w:rPr>
          <w:rFonts w:ascii="Arial Black" w:hAnsi="Arial Black"/>
          <w:b/>
          <w:sz w:val="24"/>
          <w:szCs w:val="24"/>
        </w:rPr>
        <w:t xml:space="preserve"> </w:t>
      </w:r>
    </w:p>
    <w:p w14:paraId="3FA70E40" w14:textId="77777777" w:rsidR="004B2E70" w:rsidRPr="00CC37FA" w:rsidRDefault="004B2E70" w:rsidP="004B2E70">
      <w:pPr>
        <w:pStyle w:val="NoSpacing"/>
        <w:ind w:left="720"/>
        <w:rPr>
          <w:rFonts w:ascii="Arial Black" w:hAnsi="Arial Black"/>
          <w:b/>
          <w:sz w:val="24"/>
          <w:szCs w:val="24"/>
        </w:rPr>
      </w:pPr>
    </w:p>
    <w:p w14:paraId="64BBB83D" w14:textId="411EA589" w:rsidR="00CC37FA" w:rsidRPr="00CC37FA" w:rsidRDefault="00CC37FA" w:rsidP="004B2E70">
      <w:pPr>
        <w:pStyle w:val="NoSpacing"/>
        <w:ind w:left="720"/>
        <w:rPr>
          <w:rFonts w:ascii="Arial Black" w:hAnsi="Arial Black"/>
          <w:b/>
          <w:bCs/>
          <w:sz w:val="24"/>
          <w:szCs w:val="24"/>
        </w:rPr>
      </w:pPr>
      <w:r w:rsidRPr="00CC37FA">
        <w:rPr>
          <w:rFonts w:ascii="Arial Black" w:hAnsi="Arial Black"/>
          <w:b/>
          <w:sz w:val="24"/>
          <w:szCs w:val="24"/>
        </w:rPr>
        <w:t xml:space="preserve">September 24, 2025: </w:t>
      </w:r>
      <w:r w:rsidRPr="00CC37FA">
        <w:rPr>
          <w:rFonts w:ascii="Arial Black" w:hAnsi="Arial Black"/>
          <w:b/>
          <w:bCs/>
          <w:sz w:val="24"/>
          <w:szCs w:val="24"/>
        </w:rPr>
        <w:t>EYES IN THE SKY: Do Cities Need Warrants for Drones?</w:t>
      </w:r>
    </w:p>
    <w:p w14:paraId="1097F34D" w14:textId="77777777" w:rsidR="00CC37FA" w:rsidRPr="00CC37FA" w:rsidRDefault="00CC37FA" w:rsidP="004B2E70">
      <w:pPr>
        <w:pStyle w:val="NoSpacing"/>
        <w:ind w:left="720"/>
        <w:rPr>
          <w:rFonts w:ascii="Times New Roman" w:hAnsi="Times New Roman"/>
          <w:sz w:val="24"/>
          <w:szCs w:val="24"/>
        </w:rPr>
      </w:pPr>
      <w:proofErr w:type="gramStart"/>
      <w:r w:rsidRPr="00CC37FA">
        <w:rPr>
          <w:rFonts w:ascii="Times New Roman" w:hAnsi="Times New Roman"/>
          <w:sz w:val="24"/>
          <w:szCs w:val="24"/>
        </w:rPr>
        <w:t>How</w:t>
      </w:r>
      <w:proofErr w:type="gramEnd"/>
      <w:r w:rsidRPr="00CC37FA">
        <w:rPr>
          <w:rFonts w:ascii="Times New Roman" w:hAnsi="Times New Roman"/>
          <w:sz w:val="24"/>
          <w:szCs w:val="24"/>
        </w:rPr>
        <w:t xml:space="preserve"> recent federal court decisions are reshaping municipal drone enforcement for cannabis enforcement and illegal land use investigations</w:t>
      </w:r>
    </w:p>
    <w:p w14:paraId="305D7D1B" w14:textId="77777777" w:rsidR="00CC37FA" w:rsidRPr="00CC37FA" w:rsidRDefault="00CC37FA" w:rsidP="004B2E70">
      <w:pPr>
        <w:pStyle w:val="NoSpacing"/>
        <w:ind w:left="720"/>
        <w:rPr>
          <w:rFonts w:ascii="Arial Black" w:hAnsi="Arial Black"/>
          <w:b/>
          <w:sz w:val="24"/>
          <w:szCs w:val="24"/>
        </w:rPr>
      </w:pPr>
      <w:hyperlink r:id="rId637" w:history="1">
        <w:r w:rsidRPr="00CC37FA">
          <w:rPr>
            <w:rStyle w:val="Hyperlink"/>
            <w:rFonts w:ascii="Times New Roman" w:hAnsi="Times New Roman"/>
            <w:sz w:val="24"/>
            <w:szCs w:val="24"/>
          </w:rPr>
          <w:t>https://www.hstoday.us/subject-matter-areas/unmanned-vehicles/eyes-in-the-sky-do-cities-need-warrants-for-drones/</w:t>
        </w:r>
      </w:hyperlink>
      <w:r w:rsidRPr="00CC37FA">
        <w:rPr>
          <w:rFonts w:ascii="Arial Black" w:hAnsi="Arial Black"/>
          <w:b/>
          <w:sz w:val="24"/>
          <w:szCs w:val="24"/>
        </w:rPr>
        <w:t xml:space="preserve"> </w:t>
      </w:r>
    </w:p>
    <w:p w14:paraId="0D954E20" w14:textId="77777777" w:rsidR="00CC37FA" w:rsidRPr="00CC37FA" w:rsidRDefault="00CC37FA" w:rsidP="004B2E70">
      <w:pPr>
        <w:pStyle w:val="NoSpacing"/>
        <w:ind w:left="720"/>
        <w:rPr>
          <w:rFonts w:ascii="Arial Black" w:hAnsi="Arial Black"/>
          <w:b/>
          <w:sz w:val="24"/>
          <w:szCs w:val="24"/>
        </w:rPr>
      </w:pPr>
    </w:p>
    <w:p w14:paraId="54B60363" w14:textId="77777777" w:rsidR="00CC37FA" w:rsidRDefault="00CC37FA" w:rsidP="00440B47">
      <w:pPr>
        <w:pStyle w:val="NoSpacing"/>
        <w:rPr>
          <w:rFonts w:ascii="Arial Black" w:hAnsi="Arial Black"/>
          <w:sz w:val="28"/>
          <w:szCs w:val="28"/>
        </w:rPr>
      </w:pPr>
    </w:p>
    <w:p w14:paraId="0B52C5CE" w14:textId="1E16332D" w:rsidR="00E575E6" w:rsidRDefault="00E575E6" w:rsidP="00440B47">
      <w:pPr>
        <w:pStyle w:val="NoSpacing"/>
        <w:rPr>
          <w:rFonts w:ascii="Arial Black" w:hAnsi="Arial Black"/>
          <w:sz w:val="28"/>
          <w:szCs w:val="28"/>
        </w:rPr>
      </w:pPr>
      <w:r>
        <w:rPr>
          <w:rFonts w:ascii="Arial Black" w:hAnsi="Arial Black"/>
          <w:sz w:val="28"/>
          <w:szCs w:val="28"/>
        </w:rPr>
        <w:t>3-83</w:t>
      </w:r>
    </w:p>
    <w:p w14:paraId="470EBD94" w14:textId="77777777" w:rsidR="00E575E6" w:rsidRPr="00830137" w:rsidRDefault="00E575E6" w:rsidP="00E575E6">
      <w:pPr>
        <w:rPr>
          <w:rFonts w:ascii="Arial Black" w:hAnsi="Arial Black"/>
          <w:sz w:val="28"/>
          <w:szCs w:val="28"/>
        </w:rPr>
      </w:pPr>
      <w:r>
        <w:rPr>
          <w:rFonts w:ascii="Arial Black" w:hAnsi="Arial Black"/>
          <w:sz w:val="28"/>
          <w:szCs w:val="28"/>
        </w:rPr>
        <w:t>IL: FEMA GRANTS – 2 FED. INJUNCTIONS / DEI CLAUSES</w:t>
      </w:r>
    </w:p>
    <w:p w14:paraId="1B8BB34E" w14:textId="77777777" w:rsidR="00E575E6" w:rsidRDefault="00E575E6" w:rsidP="00E575E6">
      <w:pPr>
        <w:pStyle w:val="NoSpacing"/>
      </w:pPr>
      <w:r>
        <w:t xml:space="preserve">On November 21, 2025, in </w:t>
      </w:r>
      <w:r w:rsidRPr="001A3435">
        <w:rPr>
          <w:u w:val="single"/>
        </w:rPr>
        <w:t xml:space="preserve">City of Chicago, </w:t>
      </w:r>
      <w:r>
        <w:rPr>
          <w:u w:val="single"/>
        </w:rPr>
        <w:t xml:space="preserve">et al. </w:t>
      </w:r>
      <w:r w:rsidRPr="001A3435">
        <w:rPr>
          <w:u w:val="single"/>
        </w:rPr>
        <w:t>v. Kristi Noem, et al</w:t>
      </w:r>
      <w:r>
        <w:t>., U.S. District Court Judge Manish S. Shah, United States District Court for the Northern District of Illinois, Eastern Division, issued an injunction prohibiting U.S. Government from enforcing DEI {</w:t>
      </w:r>
      <w:r w:rsidRPr="007B7867">
        <w:t>Diversity, Equity and Inclusion</w:t>
      </w:r>
      <w:r>
        <w:t>] prohibitions in 2025 DHS Standard Terms and Conditions. Plaintiffs include</w:t>
      </w:r>
      <w:r w:rsidRPr="00E9616E">
        <w:t xml:space="preserve"> City of Boston, City of New York, Mayor and City Council of Baltimore, City and County of Denver, City of Minneapolis, City of New Haven, City of Saint Paul and Ramsey County</w:t>
      </w:r>
      <w:r>
        <w:t>.  On Noc. 21, 2025, a Federal judge in California issued a similar injunct. THE COURT WROTE:  “The Secretary cannot pursue the policy objectives of the executive branch through the power of the purse…. Defendants are enjoined from imposing Part C.XVII(2)(a)(</w:t>
      </w:r>
      <w:proofErr w:type="spellStart"/>
      <w:r>
        <w:t>i</w:t>
      </w:r>
      <w:proofErr w:type="spellEnd"/>
      <w:r>
        <w:t xml:space="preserve">)–(ii) &amp; XXXI  [DEI conditions] of the 2025 DHS Standard Terms and Conditions on any plaintiff as a requirement for accepting a grant award issued under any of the statutory programs referenced in the complaint. Defendants cannot require plaintiffs to certify that they do not advance or promote DEI, DEIA, or ‘discriminatory equity ideology’ in violation of Federal anti-discrimination laws, or that they do not engage discriminatory prohibited boycotts when they accept funds pursuant to DHS Standard Terms and Conditions. Defendants cannot demand compliance with unspecified and unknown (at the time of contracting) Executive Orders as a condition of funding.” </w:t>
      </w:r>
      <w:hyperlink r:id="rId638" w:history="1">
        <w:r w:rsidRPr="00743732">
          <w:rPr>
            <w:rStyle w:val="Hyperlink"/>
          </w:rPr>
          <w:t>https://cases.justia.com/federal/district-courts/illinois/ilndce/1:2025cv12765/488308/72/0.pdf?ts=1763809095</w:t>
        </w:r>
      </w:hyperlink>
      <w:r>
        <w:t xml:space="preserve"> </w:t>
      </w:r>
    </w:p>
    <w:p w14:paraId="596A7753" w14:textId="77777777" w:rsidR="00E575E6" w:rsidRDefault="00E575E6" w:rsidP="00E575E6">
      <w:pPr>
        <w:pStyle w:val="NoSpacing"/>
      </w:pPr>
    </w:p>
    <w:p w14:paraId="647089A3" w14:textId="77777777" w:rsidR="00E575E6" w:rsidRDefault="00E575E6" w:rsidP="00E575E6">
      <w:pPr>
        <w:pStyle w:val="NoSpacing"/>
      </w:pPr>
      <w:r>
        <w:t>THE COURT HELD:</w:t>
      </w:r>
    </w:p>
    <w:p w14:paraId="4C5D0DED" w14:textId="77777777" w:rsidR="00E575E6" w:rsidRDefault="00E575E6" w:rsidP="00E575E6">
      <w:pPr>
        <w:pStyle w:val="NoSpacing"/>
      </w:pPr>
    </w:p>
    <w:p w14:paraId="28EC2387" w14:textId="77777777" w:rsidR="00E575E6" w:rsidRDefault="00E575E6" w:rsidP="00E575E6">
      <w:pPr>
        <w:pStyle w:val="NoSpacing"/>
        <w:ind w:firstLine="720"/>
      </w:pPr>
      <w:r>
        <w:t>“The Department of Homeland Security and its agencies administer grant</w:t>
      </w:r>
    </w:p>
    <w:p w14:paraId="061BB123" w14:textId="77777777" w:rsidR="00E575E6" w:rsidRDefault="00E575E6" w:rsidP="00E575E6">
      <w:pPr>
        <w:pStyle w:val="NoSpacing"/>
        <w:ind w:firstLine="720"/>
      </w:pPr>
      <w:r>
        <w:t>programs pursuant to statutory authority and funded by congressional</w:t>
      </w:r>
    </w:p>
    <w:p w14:paraId="6F673CF1" w14:textId="77777777" w:rsidR="00E575E6" w:rsidRDefault="00E575E6" w:rsidP="00E575E6">
      <w:pPr>
        <w:pStyle w:val="NoSpacing"/>
        <w:ind w:firstLine="720"/>
      </w:pPr>
      <w:r>
        <w:t xml:space="preserve">appropriations. The grants cover everything from transit safety to nuclear </w:t>
      </w:r>
      <w:proofErr w:type="gramStart"/>
      <w:r>
        <w:t>weapon</w:t>
      </w:r>
      <w:proofErr w:type="gramEnd"/>
    </w:p>
    <w:p w14:paraId="6699D05A" w14:textId="77777777" w:rsidR="00E575E6" w:rsidRDefault="00E575E6" w:rsidP="00E575E6">
      <w:pPr>
        <w:pStyle w:val="NoSpacing"/>
        <w:ind w:firstLine="720"/>
      </w:pPr>
      <w:r>
        <w:t xml:space="preserve">detection. </w:t>
      </w:r>
    </w:p>
    <w:p w14:paraId="35DAEEA1" w14:textId="77777777" w:rsidR="00E575E6" w:rsidRDefault="00E575E6" w:rsidP="00E575E6">
      <w:pPr>
        <w:pStyle w:val="NoSpacing"/>
        <w:ind w:firstLine="720"/>
      </w:pPr>
    </w:p>
    <w:p w14:paraId="2B01597A" w14:textId="77777777" w:rsidR="00E575E6" w:rsidRDefault="00E575E6" w:rsidP="00E575E6">
      <w:pPr>
        <w:pStyle w:val="NoSpacing"/>
        <w:ind w:firstLine="720"/>
      </w:pPr>
      <w:r>
        <w:t>***</w:t>
      </w:r>
    </w:p>
    <w:p w14:paraId="6DD25FA1" w14:textId="77777777" w:rsidR="00E575E6" w:rsidRDefault="00E575E6" w:rsidP="00E575E6">
      <w:pPr>
        <w:pStyle w:val="NoSpacing"/>
        <w:ind w:left="720"/>
      </w:pPr>
      <w:r>
        <w:t>The Secretary cannot pursue the policy objectives of the executive branch through the power of the purse.</w:t>
      </w:r>
    </w:p>
    <w:p w14:paraId="3AAB9A2D" w14:textId="77777777" w:rsidR="00E575E6" w:rsidRDefault="00E575E6" w:rsidP="00E575E6">
      <w:pPr>
        <w:pStyle w:val="NoSpacing"/>
        <w:ind w:left="720"/>
      </w:pPr>
    </w:p>
    <w:p w14:paraId="64467F65" w14:textId="77777777" w:rsidR="00E575E6" w:rsidRDefault="00E575E6" w:rsidP="00E575E6">
      <w:pPr>
        <w:pStyle w:val="NoSpacing"/>
        <w:ind w:left="720"/>
      </w:pPr>
      <w:r>
        <w:t>***</w:t>
      </w:r>
    </w:p>
    <w:p w14:paraId="7F9237BB" w14:textId="77777777" w:rsidR="00E575E6" w:rsidRDefault="00E575E6" w:rsidP="00E575E6">
      <w:pPr>
        <w:pStyle w:val="NoSpacing"/>
      </w:pPr>
    </w:p>
    <w:p w14:paraId="2770EC4F" w14:textId="77777777" w:rsidR="00E575E6" w:rsidRDefault="00E575E6" w:rsidP="00E575E6">
      <w:pPr>
        <w:pStyle w:val="NoSpacing"/>
        <w:ind w:firstLine="720"/>
      </w:pPr>
      <w:r>
        <w:t>The loss of money is ordinarily a tangible harm. But here, the ripple effects on</w:t>
      </w:r>
    </w:p>
    <w:p w14:paraId="3226516A" w14:textId="77777777" w:rsidR="00E575E6" w:rsidRDefault="00E575E6" w:rsidP="00E575E6">
      <w:pPr>
        <w:pStyle w:val="NoSpacing"/>
        <w:ind w:firstLine="720"/>
      </w:pPr>
      <w:r>
        <w:t>budget plans, services to residents, and efforts to mitigate the harm from terrorism</w:t>
      </w:r>
    </w:p>
    <w:p w14:paraId="030E2AA0" w14:textId="77777777" w:rsidR="00E575E6" w:rsidRDefault="00E575E6" w:rsidP="00E575E6">
      <w:pPr>
        <w:pStyle w:val="NoSpacing"/>
        <w:ind w:left="720"/>
      </w:pPr>
      <w:r>
        <w:t>or natural disasters are not quantifiable. The point of funding for disaster preparedness, infrastructure security, and firefighting is that the money is an investment that generates intangible dividends in public safety and security. Losing this funding in the interim would lead to budget cuts that directly inhibit the missions of the law enforcement and fire departments that these grants were intended to support. See, e.g., [47] ¶¶ 9–12 (Assistance for Firefights Grant Program funding already awarded to the Chicago Fire Department is needed to replace end-of-life and non-compliant self-contained breathing apparatus cylinders and provide training on hazardous material safety); [53] ¶ 10 (the City of New Haven Office of Emergency Management relies on Emergency Management Performance Grant funding for 100% of its non-salary operating budget). While going without money is not an irreparable harm, going without firefighters is.”</w:t>
      </w:r>
    </w:p>
    <w:p w14:paraId="5185EACE" w14:textId="77777777" w:rsidR="00E575E6" w:rsidRDefault="00E575E6" w:rsidP="00E575E6">
      <w:pPr>
        <w:pStyle w:val="NoSpacing"/>
        <w:ind w:left="720"/>
      </w:pPr>
    </w:p>
    <w:p w14:paraId="198DC0E6" w14:textId="77777777" w:rsidR="00E575E6" w:rsidRPr="004319FA" w:rsidRDefault="00E575E6" w:rsidP="00E575E6">
      <w:pPr>
        <w:pStyle w:val="NoSpacing"/>
        <w:rPr>
          <w:b/>
          <w:bCs/>
        </w:rPr>
      </w:pPr>
      <w:r>
        <w:rPr>
          <w:b/>
        </w:rPr>
        <w:t xml:space="preserve">Legal lesson learned: The new “DEI” provisions have also led to litigation elsewhere.  </w:t>
      </w:r>
    </w:p>
    <w:p w14:paraId="6E2DFCC9" w14:textId="77777777" w:rsidR="00E575E6" w:rsidRDefault="00E575E6" w:rsidP="00E575E6">
      <w:pPr>
        <w:pStyle w:val="NoSpacing"/>
        <w:ind w:left="720"/>
      </w:pPr>
    </w:p>
    <w:p w14:paraId="7547A4ED" w14:textId="77777777" w:rsidR="00E575E6" w:rsidRDefault="00E575E6" w:rsidP="00E575E6">
      <w:pPr>
        <w:pStyle w:val="NoSpacing"/>
        <w:ind w:left="720"/>
        <w:rPr>
          <w:u w:val="single"/>
        </w:rPr>
      </w:pPr>
      <w:r>
        <w:t xml:space="preserve">Note: See November 21, </w:t>
      </w:r>
      <w:proofErr w:type="gramStart"/>
      <w:r>
        <w:t>2025</w:t>
      </w:r>
      <w:proofErr w:type="gramEnd"/>
      <w:r>
        <w:t xml:space="preserve"> injunction in </w:t>
      </w:r>
      <w:r w:rsidRPr="00197C44">
        <w:rPr>
          <w:u w:val="single"/>
        </w:rPr>
        <w:t xml:space="preserve">County of Sata Clara, et al. v. Kristi Noem, et al., </w:t>
      </w:r>
      <w:r w:rsidRPr="00AC1129">
        <w:t>by U.S. District Court Judge US District Judge William Orrick</w:t>
      </w:r>
      <w:r>
        <w:t xml:space="preserve"> in San Jose. </w:t>
      </w:r>
    </w:p>
    <w:p w14:paraId="588F0651" w14:textId="77777777" w:rsidR="00E575E6" w:rsidRDefault="00E575E6" w:rsidP="00E575E6">
      <w:pPr>
        <w:pStyle w:val="NoSpacing"/>
        <w:ind w:left="720"/>
        <w:rPr>
          <w:u w:val="single"/>
        </w:rPr>
      </w:pPr>
      <w:hyperlink r:id="rId639" w:history="1">
        <w:r w:rsidRPr="00743732">
          <w:rPr>
            <w:rStyle w:val="Hyperlink"/>
          </w:rPr>
          <w:t>https://www.courthousenews.com/wp-content/uploads/2025/11/santa-clara-v-noem-preliminary-injunction.pdf</w:t>
        </w:r>
      </w:hyperlink>
      <w:r>
        <w:rPr>
          <w:u w:val="single"/>
        </w:rPr>
        <w:t xml:space="preserve"> </w:t>
      </w:r>
    </w:p>
    <w:p w14:paraId="01F232C3" w14:textId="77777777" w:rsidR="00E575E6" w:rsidRPr="007924A1" w:rsidRDefault="00E575E6" w:rsidP="00E575E6">
      <w:pPr>
        <w:pStyle w:val="NoSpacing"/>
        <w:ind w:firstLine="720"/>
      </w:pPr>
      <w:r w:rsidRPr="00D36677">
        <w:t>“</w:t>
      </w:r>
      <w:r w:rsidRPr="007924A1">
        <w:t>Defendants’ arguments here have been soundly rejected by courts around the country,</w:t>
      </w:r>
    </w:p>
    <w:p w14:paraId="43921471" w14:textId="77777777" w:rsidR="00E575E6" w:rsidRDefault="00E575E6" w:rsidP="00E575E6">
      <w:pPr>
        <w:pStyle w:val="NoSpacing"/>
        <w:ind w:left="720"/>
      </w:pPr>
      <w:r w:rsidRPr="007924A1">
        <w:t>which have found similar agency conditional funding schemes to be unconstitutional.  The</w:t>
      </w:r>
      <w:r>
        <w:t xml:space="preserve"> </w:t>
      </w:r>
      <w:r w:rsidRPr="007924A1">
        <w:t>message to the Executive Branch in these cases is consistent: no one is above the law, and the</w:t>
      </w:r>
      <w:r>
        <w:t xml:space="preserve"> </w:t>
      </w:r>
      <w:r w:rsidRPr="007924A1">
        <w:t xml:space="preserve">separation of powers between the three branches must be </w:t>
      </w:r>
      <w:proofErr w:type="gramStart"/>
      <w:r w:rsidRPr="007924A1">
        <w:t>respected.</w:t>
      </w:r>
      <w:r>
        <w:t>”</w:t>
      </w:r>
      <w:proofErr w:type="gramEnd"/>
    </w:p>
    <w:p w14:paraId="56271655" w14:textId="77777777" w:rsidR="00E575E6" w:rsidRDefault="00E575E6" w:rsidP="00E575E6">
      <w:pPr>
        <w:pStyle w:val="NoSpacing"/>
        <w:ind w:left="720"/>
      </w:pPr>
    </w:p>
    <w:p w14:paraId="34909F35" w14:textId="77777777" w:rsidR="00E575E6" w:rsidRPr="007924A1" w:rsidRDefault="00E575E6" w:rsidP="00E575E6">
      <w:pPr>
        <w:pStyle w:val="NoSpacing"/>
        <w:ind w:left="720"/>
      </w:pPr>
      <w:r>
        <w:t>***</w:t>
      </w:r>
    </w:p>
    <w:p w14:paraId="2B389669" w14:textId="77777777" w:rsidR="00E575E6" w:rsidRDefault="00E575E6" w:rsidP="00E575E6">
      <w:pPr>
        <w:pStyle w:val="NoSpacing"/>
        <w:ind w:left="720"/>
        <w:rPr>
          <w:u w:val="single"/>
        </w:rPr>
      </w:pPr>
    </w:p>
    <w:p w14:paraId="34EF1209" w14:textId="77777777" w:rsidR="00E575E6" w:rsidRPr="006610CA" w:rsidRDefault="00E575E6" w:rsidP="00E575E6">
      <w:pPr>
        <w:pStyle w:val="NoSpacing"/>
        <w:ind w:left="720"/>
      </w:pPr>
      <w:r w:rsidRPr="006610CA">
        <w:t xml:space="preserve">Plaintiffs are the County of Santa Clara </w:t>
      </w:r>
      <w:r>
        <w:t xml:space="preserve">, </w:t>
      </w:r>
      <w:r w:rsidRPr="006610CA">
        <w:t>City and County of San Francisco</w:t>
      </w:r>
      <w:r>
        <w:t xml:space="preserve">, </w:t>
      </w:r>
      <w:r w:rsidRPr="006610CA">
        <w:t>City of Alameda</w:t>
      </w:r>
      <w:r>
        <w:t xml:space="preserve">, </w:t>
      </w:r>
      <w:r w:rsidRPr="006610CA">
        <w:t>City of Bellingham</w:t>
      </w:r>
      <w:r>
        <w:t xml:space="preserve">, </w:t>
      </w:r>
      <w:r w:rsidRPr="006610CA">
        <w:t>City of Berkeley</w:t>
      </w:r>
      <w:r>
        <w:t xml:space="preserve">, </w:t>
      </w:r>
      <w:r w:rsidRPr="006610CA">
        <w:t>City of Culver City</w:t>
      </w:r>
      <w:r>
        <w:t xml:space="preserve">, </w:t>
      </w:r>
      <w:r w:rsidRPr="006610CA">
        <w:t>City of Los Angeles</w:t>
      </w:r>
      <w:r>
        <w:t>,</w:t>
      </w:r>
      <w:r w:rsidRPr="006610CA">
        <w:t xml:space="preserve"> County</w:t>
      </w:r>
      <w:r>
        <w:t xml:space="preserve"> </w:t>
      </w:r>
      <w:r w:rsidRPr="006610CA">
        <w:t>of Los Angeles</w:t>
      </w:r>
      <w:r>
        <w:t xml:space="preserve">, </w:t>
      </w:r>
      <w:r w:rsidRPr="006610CA">
        <w:t>Los Angeles County Consolidated Fire Protection</w:t>
      </w:r>
      <w:r>
        <w:t xml:space="preserve"> </w:t>
      </w:r>
      <w:r w:rsidRPr="006610CA">
        <w:t>District</w:t>
      </w:r>
      <w:r>
        <w:t xml:space="preserve">, </w:t>
      </w:r>
      <w:r w:rsidRPr="006610CA">
        <w:t>Martin Luther King, Jr. County</w:t>
      </w:r>
      <w:r>
        <w:t xml:space="preserve">, </w:t>
      </w:r>
      <w:r w:rsidRPr="006610CA">
        <w:t>County of Marin</w:t>
      </w:r>
      <w:r>
        <w:t>, C</w:t>
      </w:r>
      <w:r w:rsidRPr="006610CA">
        <w:t>ity of Oakland</w:t>
      </w:r>
      <w:r>
        <w:t xml:space="preserve">, </w:t>
      </w:r>
      <w:r w:rsidRPr="006610CA">
        <w:t>City of Palo Alto</w:t>
      </w:r>
      <w:r>
        <w:t xml:space="preserve">, </w:t>
      </w:r>
      <w:r w:rsidRPr="006610CA">
        <w:t xml:space="preserve"> City of Pasadena</w:t>
      </w:r>
      <w:r>
        <w:t xml:space="preserve">, </w:t>
      </w:r>
      <w:r w:rsidRPr="006610CA">
        <w:t>City of Petaluma</w:t>
      </w:r>
      <w:r>
        <w:t xml:space="preserve">, </w:t>
      </w:r>
      <w:r w:rsidRPr="006610CA">
        <w:t>Pierce County, City of Sacramento</w:t>
      </w:r>
      <w:r>
        <w:t xml:space="preserve">, </w:t>
      </w:r>
      <w:r w:rsidRPr="006610CA">
        <w:t>City of San Diego</w:t>
      </w:r>
      <w:r>
        <w:t xml:space="preserve">, </w:t>
      </w:r>
      <w:r w:rsidRPr="006610CA">
        <w:t>County of San Diego</w:t>
      </w:r>
      <w:r>
        <w:t xml:space="preserve">, </w:t>
      </w:r>
      <w:r w:rsidRPr="006610CA">
        <w:t>City of San José</w:t>
      </w:r>
      <w:r>
        <w:t xml:space="preserve"> </w:t>
      </w:r>
      <w:r w:rsidRPr="006610CA">
        <w:t>(“San José”), County of San Mateo (“San Mateo County”), City of Santa Monica</w:t>
      </w:r>
      <w:r>
        <w:t xml:space="preserve">, </w:t>
      </w:r>
      <w:r w:rsidRPr="006610CA">
        <w:t>City of Santa Rosa</w:t>
      </w:r>
      <w:r>
        <w:t xml:space="preserve">, </w:t>
      </w:r>
      <w:r w:rsidRPr="006610CA">
        <w:t>Snohomish County, County of Sonoma</w:t>
      </w:r>
      <w:r>
        <w:t xml:space="preserve">, </w:t>
      </w:r>
      <w:r w:rsidRPr="006610CA">
        <w:t>Sonoma County Community Development Commission</w:t>
      </w:r>
      <w:r>
        <w:t xml:space="preserve">, </w:t>
      </w:r>
      <w:r w:rsidRPr="006610CA">
        <w:t>Sonoma County</w:t>
      </w:r>
      <w:r>
        <w:t xml:space="preserve"> </w:t>
      </w:r>
      <w:r w:rsidRPr="006610CA">
        <w:t>Water Agency</w:t>
      </w:r>
      <w:r>
        <w:t xml:space="preserve">, </w:t>
      </w:r>
      <w:r w:rsidRPr="006610CA">
        <w:t>Sonoma Valley County Sanitation District</w:t>
      </w:r>
      <w:r>
        <w:t xml:space="preserve">. </w:t>
      </w:r>
      <w:r w:rsidRPr="006610CA">
        <w:t>and the</w:t>
      </w:r>
      <w:r>
        <w:t xml:space="preserve"> </w:t>
      </w:r>
      <w:r w:rsidRPr="006610CA">
        <w:t>City of Tucson</w:t>
      </w:r>
      <w:r>
        <w:t>.</w:t>
      </w:r>
      <w:r w:rsidRPr="006610CA">
        <w:t xml:space="preserve"> </w:t>
      </w:r>
    </w:p>
    <w:p w14:paraId="5293BF95" w14:textId="77777777" w:rsidR="00E575E6" w:rsidRDefault="00E575E6" w:rsidP="00E575E6">
      <w:pPr>
        <w:pStyle w:val="NoSpacing"/>
        <w:ind w:left="720"/>
        <w:rPr>
          <w:u w:val="single"/>
        </w:rPr>
      </w:pPr>
    </w:p>
    <w:p w14:paraId="09298894" w14:textId="77777777" w:rsidR="00E575E6" w:rsidRDefault="00E575E6" w:rsidP="00E575E6">
      <w:pPr>
        <w:pStyle w:val="NoSpacing"/>
        <w:ind w:left="720"/>
      </w:pPr>
      <w:r w:rsidRPr="007924A1">
        <w:t xml:space="preserve">Note:  </w:t>
      </w:r>
      <w:r>
        <w:t xml:space="preserve">See these articles. </w:t>
      </w:r>
    </w:p>
    <w:p w14:paraId="19695A41" w14:textId="77777777" w:rsidR="00E575E6" w:rsidRDefault="00E575E6" w:rsidP="00E575E6">
      <w:pPr>
        <w:pStyle w:val="NoSpacing"/>
        <w:ind w:left="720"/>
      </w:pPr>
    </w:p>
    <w:p w14:paraId="79B823D6" w14:textId="77777777" w:rsidR="00E575E6" w:rsidRPr="008B165C" w:rsidRDefault="00E575E6" w:rsidP="00E575E6">
      <w:pPr>
        <w:pStyle w:val="NoSpacing"/>
        <w:numPr>
          <w:ilvl w:val="0"/>
          <w:numId w:val="36"/>
        </w:numPr>
        <w:rPr>
          <w:bCs/>
        </w:rPr>
      </w:pPr>
      <w:r>
        <w:t xml:space="preserve">Nov. 24, 2025: </w:t>
      </w:r>
      <w:r w:rsidRPr="008B165C">
        <w:t>Local Governments Win Injunction Against Trump Administration, Restoring Access to DHS Grants</w:t>
      </w:r>
      <w:r>
        <w:t xml:space="preserve">.  </w:t>
      </w:r>
      <w:hyperlink r:id="rId640" w:history="1">
        <w:r w:rsidRPr="00743732">
          <w:rPr>
            <w:rStyle w:val="Hyperlink"/>
          </w:rPr>
          <w:t>https://www.californiacountynews.org/news/2025/11/local-governments-win-injunction-against-trump-administration-restoring-access-dhs</w:t>
        </w:r>
      </w:hyperlink>
      <w:r>
        <w:t xml:space="preserve"> </w:t>
      </w:r>
    </w:p>
    <w:p w14:paraId="2843B9BC" w14:textId="77777777" w:rsidR="00E575E6" w:rsidRDefault="00E575E6" w:rsidP="00E575E6">
      <w:pPr>
        <w:pStyle w:val="NoSpacing"/>
        <w:ind w:left="720"/>
      </w:pPr>
    </w:p>
    <w:p w14:paraId="493937D7" w14:textId="77777777" w:rsidR="00E575E6" w:rsidRDefault="00E575E6" w:rsidP="00E575E6">
      <w:pPr>
        <w:pStyle w:val="NoSpacing"/>
        <w:ind w:left="720"/>
      </w:pPr>
    </w:p>
    <w:p w14:paraId="33200514" w14:textId="77777777" w:rsidR="00E575E6" w:rsidRDefault="00E575E6" w:rsidP="00E575E6">
      <w:pPr>
        <w:pStyle w:val="NoSpacing"/>
        <w:numPr>
          <w:ilvl w:val="0"/>
          <w:numId w:val="36"/>
        </w:numPr>
        <w:rPr>
          <w:b/>
        </w:rPr>
      </w:pPr>
      <w:r>
        <w:t xml:space="preserve">Nov. 22, 2025: </w:t>
      </w:r>
      <w:r w:rsidRPr="00BE145F">
        <w:t>Judges block Trump from cutting hundreds of millions in grants to cities, counties.</w:t>
      </w:r>
      <w:r>
        <w:rPr>
          <w:b/>
        </w:rPr>
        <w:t xml:space="preserve">   </w:t>
      </w:r>
      <w:hyperlink r:id="rId641" w:history="1">
        <w:r w:rsidRPr="00743732">
          <w:rPr>
            <w:rStyle w:val="Hyperlink"/>
            <w:b/>
          </w:rPr>
          <w:t>https://edition.cnn.com/2025/11/22/politics/judges-block-trump-cutting-grants-cities-counties-hnk</w:t>
        </w:r>
      </w:hyperlink>
      <w:r>
        <w:rPr>
          <w:b/>
        </w:rPr>
        <w:t xml:space="preserve"> </w:t>
      </w:r>
    </w:p>
    <w:p w14:paraId="6E6F9F2A" w14:textId="77777777" w:rsidR="00E575E6" w:rsidRDefault="00E575E6" w:rsidP="00E575E6"/>
    <w:p w14:paraId="1A47943E" w14:textId="77777777" w:rsidR="00E575E6" w:rsidRDefault="00E575E6" w:rsidP="00440B47">
      <w:pPr>
        <w:pStyle w:val="NoSpacing"/>
        <w:rPr>
          <w:rFonts w:ascii="Arial Black" w:hAnsi="Arial Black"/>
          <w:sz w:val="28"/>
          <w:szCs w:val="28"/>
        </w:rPr>
      </w:pPr>
    </w:p>
    <w:p w14:paraId="6B48CE44" w14:textId="77777777" w:rsidR="00E575E6" w:rsidRDefault="00E575E6" w:rsidP="00440B47">
      <w:pPr>
        <w:pStyle w:val="NoSpacing"/>
        <w:rPr>
          <w:rFonts w:ascii="Arial Black" w:hAnsi="Arial Black"/>
          <w:sz w:val="28"/>
          <w:szCs w:val="28"/>
        </w:rPr>
      </w:pPr>
    </w:p>
    <w:p w14:paraId="67D02A67" w14:textId="017B1E5F" w:rsidR="00C27E37" w:rsidRDefault="00374C8E" w:rsidP="00440B47">
      <w:pPr>
        <w:pStyle w:val="NoSpacing"/>
        <w:rPr>
          <w:rFonts w:ascii="Arial Black" w:hAnsi="Arial Black"/>
          <w:sz w:val="28"/>
          <w:szCs w:val="28"/>
        </w:rPr>
      </w:pPr>
      <w:r>
        <w:rPr>
          <w:rFonts w:ascii="Arial Black" w:hAnsi="Arial Black"/>
          <w:sz w:val="28"/>
          <w:szCs w:val="28"/>
        </w:rPr>
        <w:t>3-82</w:t>
      </w:r>
    </w:p>
    <w:p w14:paraId="5680A694" w14:textId="77777777" w:rsidR="00374C8E" w:rsidRDefault="00374C8E" w:rsidP="00440B47">
      <w:pPr>
        <w:pStyle w:val="NoSpacing"/>
        <w:rPr>
          <w:rFonts w:ascii="Arial Black" w:hAnsi="Arial Black"/>
          <w:sz w:val="28"/>
          <w:szCs w:val="28"/>
        </w:rPr>
      </w:pPr>
    </w:p>
    <w:p w14:paraId="4CDE2C22" w14:textId="77777777" w:rsidR="00374C8E" w:rsidRDefault="00374C8E" w:rsidP="00374C8E">
      <w:pPr>
        <w:pStyle w:val="NoSpacing"/>
        <w:rPr>
          <w:b/>
        </w:rPr>
      </w:pPr>
      <w:r>
        <w:rPr>
          <w:rFonts w:ascii="Arial Black" w:hAnsi="Arial Black"/>
          <w:b/>
          <w:sz w:val="28"/>
          <w:szCs w:val="28"/>
        </w:rPr>
        <w:t>IL: NAT. GUARD – CHICAGO - 7</w:t>
      </w:r>
      <w:r w:rsidRPr="00293775">
        <w:rPr>
          <w:rFonts w:ascii="Arial Black" w:hAnsi="Arial Black"/>
          <w:b/>
          <w:sz w:val="28"/>
          <w:szCs w:val="28"/>
          <w:vertAlign w:val="superscript"/>
        </w:rPr>
        <w:t>th</w:t>
      </w:r>
      <w:r>
        <w:rPr>
          <w:rFonts w:ascii="Arial Black" w:hAnsi="Arial Black"/>
          <w:b/>
          <w:sz w:val="28"/>
          <w:szCs w:val="28"/>
        </w:rPr>
        <w:t xml:space="preserve"> CIR. TEMP INJUNCTION</w:t>
      </w:r>
    </w:p>
    <w:p w14:paraId="024FE0EF" w14:textId="77777777" w:rsidR="00374C8E" w:rsidRDefault="00374C8E" w:rsidP="00374C8E">
      <w:pPr>
        <w:pStyle w:val="NoSpacing"/>
        <w:rPr>
          <w:b/>
        </w:rPr>
      </w:pPr>
    </w:p>
    <w:p w14:paraId="4D74D65D" w14:textId="77777777" w:rsidR="00374C8E" w:rsidRDefault="00374C8E" w:rsidP="00374C8E">
      <w:pPr>
        <w:pStyle w:val="NoSpacing"/>
        <w:rPr>
          <w:bCs/>
        </w:rPr>
      </w:pPr>
      <w:r>
        <w:t xml:space="preserve">On Oct. 16, 2025, in </w:t>
      </w:r>
      <w:r w:rsidRPr="0089383A">
        <w:rPr>
          <w:u w:val="single"/>
        </w:rPr>
        <w:t>State of Illinois and City of Chicago v. Donald J. Trump, et al</w:t>
      </w:r>
      <w:r>
        <w:t>., the U.S. Court of Appeals for 7</w:t>
      </w:r>
      <w:r w:rsidRPr="0089383A">
        <w:rPr>
          <w:vertAlign w:val="superscript"/>
        </w:rPr>
        <w:t>th</w:t>
      </w:r>
      <w:r>
        <w:t xml:space="preserve"> Circuit (Chicago) held (3 to 0) that temporary injunction by U.S. District Court Judge April M. Perry, </w:t>
      </w:r>
      <w:r w:rsidRPr="00DB3FA5">
        <w:t>enjoining the administration from federalizing and deploying the Guard within Illinois</w:t>
      </w:r>
      <w:r>
        <w:t xml:space="preserve">, will remain in place while the administration appeals.   </w:t>
      </w:r>
      <w:r w:rsidRPr="00923D30">
        <w:t>On September 8, 2025, the Trump administration announced</w:t>
      </w:r>
      <w:r>
        <w:t xml:space="preserve"> </w:t>
      </w:r>
      <w:r w:rsidRPr="00923D30">
        <w:t>“Operation Midway Blitz”</w:t>
      </w:r>
      <w:r>
        <w:t xml:space="preserve"> - </w:t>
      </w:r>
      <w:r w:rsidRPr="008800B0">
        <w:t xml:space="preserve">Illinois state officials opposed the deployment of the National Guard. The same day, the National Guard Bureau </w:t>
      </w:r>
    </w:p>
    <w:p w14:paraId="165087B4" w14:textId="77777777" w:rsidR="00374C8E" w:rsidRDefault="00374C8E" w:rsidP="00374C8E">
      <w:pPr>
        <w:pStyle w:val="NoSpacing"/>
        <w:rPr>
          <w:bCs/>
        </w:rPr>
      </w:pPr>
      <w:r w:rsidRPr="008800B0">
        <w:t>notified the Adjutant General of the Illinois National Guard that</w:t>
      </w:r>
      <w:r>
        <w:t xml:space="preserve"> </w:t>
      </w:r>
      <w:r w:rsidRPr="008800B0">
        <w:t>the President had authorized the mobilization of at least 300</w:t>
      </w:r>
      <w:r>
        <w:t xml:space="preserve"> </w:t>
      </w:r>
      <w:r w:rsidRPr="008800B0">
        <w:t>members of the Illinois National Guard and directed that Illinois mobilize the Guard under 32 U.S.C. § 502(f) within 2</w:t>
      </w:r>
      <w:r>
        <w:t xml:space="preserve"> </w:t>
      </w:r>
      <w:r w:rsidRPr="008800B0">
        <w:t>hours, or the Secretary of Defense would do so under Title 10.</w:t>
      </w:r>
      <w:r>
        <w:t xml:space="preserve"> </w:t>
      </w:r>
      <w:r w:rsidRPr="008127E8">
        <w:t>On October 6, 2025, plaintiffs—the State of Illinois and the</w:t>
      </w:r>
      <w:r>
        <w:t xml:space="preserve"> </w:t>
      </w:r>
      <w:r w:rsidRPr="008127E8">
        <w:t>City of Chicago—filed this lawsuit, arguing that the Trump</w:t>
      </w:r>
      <w:r>
        <w:t xml:space="preserve"> </w:t>
      </w:r>
      <w:r w:rsidRPr="008127E8">
        <w:t>administration’s orders federalizing National Guard troops in</w:t>
      </w:r>
      <w:r>
        <w:t xml:space="preserve"> </w:t>
      </w:r>
      <w:r w:rsidRPr="008127E8">
        <w:t>Illinois under 10 U.S.C. § 12406 were unlawful.</w:t>
      </w:r>
      <w:r>
        <w:t xml:space="preserve"> </w:t>
      </w:r>
      <w:hyperlink r:id="rId642" w:history="1">
        <w:r w:rsidRPr="00D86B5D">
          <w:rPr>
            <w:rStyle w:val="Hyperlink"/>
          </w:rPr>
          <w:t>https://media.ca7.uscourts.gov/cgi-bin/OpinionsWeb/processWebInputExternal.pl?Submit=Display&amp;Path=Y2025/D10-16/C:25-2798:J:PerCuriam:aut:T:op:N:3439487:S:0</w:t>
        </w:r>
      </w:hyperlink>
      <w:r>
        <w:t xml:space="preserve"> </w:t>
      </w:r>
    </w:p>
    <w:p w14:paraId="2A72CDAC" w14:textId="77777777" w:rsidR="00374C8E" w:rsidRDefault="00374C8E" w:rsidP="00374C8E">
      <w:pPr>
        <w:pStyle w:val="NoSpacing"/>
        <w:rPr>
          <w:b/>
        </w:rPr>
      </w:pPr>
    </w:p>
    <w:p w14:paraId="11490BB1" w14:textId="77777777" w:rsidR="00374C8E" w:rsidRPr="008127E8" w:rsidRDefault="00374C8E" w:rsidP="00374C8E">
      <w:pPr>
        <w:pStyle w:val="NoSpacing"/>
        <w:rPr>
          <w:bCs/>
        </w:rPr>
      </w:pPr>
      <w:r w:rsidRPr="008127E8">
        <w:t>THE COURT HELD:</w:t>
      </w:r>
    </w:p>
    <w:p w14:paraId="3A522E5D" w14:textId="77777777" w:rsidR="00374C8E" w:rsidRDefault="00374C8E" w:rsidP="00374C8E">
      <w:pPr>
        <w:pStyle w:val="NoSpacing"/>
        <w:rPr>
          <w:b/>
        </w:rPr>
      </w:pPr>
    </w:p>
    <w:p w14:paraId="7DC96DF0" w14:textId="77777777" w:rsidR="00374C8E" w:rsidRDefault="00374C8E" w:rsidP="00374C8E">
      <w:pPr>
        <w:pStyle w:val="NoSpacing"/>
        <w:ind w:left="720"/>
      </w:pPr>
      <w:r>
        <w:t>“</w:t>
      </w:r>
      <w:r w:rsidRPr="00E43F32">
        <w:t>Plaintiffs argued that there is no rebellion or danger of rebellion in Illinois</w:t>
      </w:r>
      <w:r>
        <w:t xml:space="preserve"> </w:t>
      </w:r>
      <w:r w:rsidRPr="00E43F32">
        <w:t>nor is the President unable with the regular</w:t>
      </w:r>
      <w:r>
        <w:t xml:space="preserve"> </w:t>
      </w:r>
      <w:r w:rsidRPr="00E43F32">
        <w:t>forces to execute the laws of the United States</w:t>
      </w:r>
      <w:r>
        <w:t xml:space="preserve"> [10 USC 12406]. </w:t>
      </w:r>
      <w:r w:rsidRPr="00E43F32">
        <w:t xml:space="preserve"> They further</w:t>
      </w:r>
      <w:r>
        <w:t xml:space="preserve"> </w:t>
      </w:r>
      <w:r w:rsidRPr="00E43F32">
        <w:t>contended that the federalization orders violate the Posse</w:t>
      </w:r>
      <w:r>
        <w:t xml:space="preserve"> </w:t>
      </w:r>
      <w:r w:rsidRPr="00E43F32">
        <w:t>Comitatus Act, 18 U.S.C. § 1385, and the Tenth Amendment.</w:t>
      </w:r>
      <w:r>
        <w:t xml:space="preserve"> </w:t>
      </w:r>
      <w:r w:rsidRPr="00E43F32">
        <w:t>Plaintiffs sought emergency injunctive relief preventing the</w:t>
      </w:r>
      <w:r>
        <w:t xml:space="preserve"> </w:t>
      </w:r>
      <w:r w:rsidRPr="00E43F32">
        <w:t>Trump administration from federalizing and deploying National Guard troops in Illinois.</w:t>
      </w:r>
    </w:p>
    <w:p w14:paraId="338B8D52" w14:textId="77777777" w:rsidR="00374C8E" w:rsidRDefault="00374C8E" w:rsidP="00374C8E">
      <w:pPr>
        <w:pStyle w:val="NoSpacing"/>
        <w:ind w:left="720"/>
      </w:pPr>
    </w:p>
    <w:p w14:paraId="0BB94375" w14:textId="77777777" w:rsidR="00374C8E" w:rsidRPr="00E43F32" w:rsidRDefault="00374C8E" w:rsidP="00374C8E">
      <w:pPr>
        <w:pStyle w:val="NoSpacing"/>
        <w:ind w:left="720"/>
      </w:pPr>
      <w:r>
        <w:t>***</w:t>
      </w:r>
    </w:p>
    <w:p w14:paraId="5D5D899D" w14:textId="77777777" w:rsidR="00374C8E" w:rsidRPr="00E43F32" w:rsidRDefault="00374C8E" w:rsidP="00374C8E">
      <w:pPr>
        <w:pStyle w:val="NoSpacing"/>
      </w:pPr>
    </w:p>
    <w:p w14:paraId="68752905" w14:textId="77777777" w:rsidR="00374C8E" w:rsidRDefault="00374C8E" w:rsidP="00374C8E">
      <w:pPr>
        <w:pStyle w:val="NoSpacing"/>
        <w:ind w:left="720"/>
      </w:pPr>
      <w:r w:rsidRPr="00BA5389">
        <w:t xml:space="preserve">After holding a hearing and assessing the preliminary record, the </w:t>
      </w:r>
      <w:r>
        <w:t>[</w:t>
      </w:r>
      <w:proofErr w:type="spellStart"/>
      <w:r>
        <w:t>distri</w:t>
      </w:r>
      <w:proofErr w:type="spellEnd"/>
      <w:r>
        <w:t xml:space="preserve"> court on Oct. 9, 2025] </w:t>
      </w:r>
      <w:r w:rsidRPr="00BA5389">
        <w:t>granted in part plaintiffs’ request for a temporary restraining order and enjoined the federalization and deployment of the National Guard for 14 days.</w:t>
      </w:r>
    </w:p>
    <w:p w14:paraId="71B38E9D" w14:textId="77777777" w:rsidR="00374C8E" w:rsidRDefault="00374C8E" w:rsidP="00374C8E">
      <w:pPr>
        <w:pStyle w:val="NoSpacing"/>
        <w:ind w:left="720"/>
      </w:pPr>
    </w:p>
    <w:p w14:paraId="10730929" w14:textId="77777777" w:rsidR="00374C8E" w:rsidRDefault="00374C8E" w:rsidP="00374C8E">
      <w:pPr>
        <w:pStyle w:val="NoSpacing"/>
        <w:ind w:left="720"/>
      </w:pPr>
      <w:r>
        <w:t>***</w:t>
      </w:r>
    </w:p>
    <w:p w14:paraId="28332191" w14:textId="77777777" w:rsidR="00374C8E" w:rsidRDefault="00374C8E" w:rsidP="00374C8E">
      <w:pPr>
        <w:pStyle w:val="NoSpacing"/>
        <w:ind w:left="720"/>
      </w:pPr>
      <w:r>
        <w:t>The Trump administration promptly appealed. It also moved for a stay pending appeal and for an emergency administrative stay. We granted the motion for an administrative stay in part, allowing the Guard members in Illinois to remain under federal control but blocking their deployment while we considered the motion for a stay.</w:t>
      </w:r>
    </w:p>
    <w:p w14:paraId="4C9B8FF1" w14:textId="77777777" w:rsidR="00374C8E" w:rsidRDefault="00374C8E" w:rsidP="00374C8E">
      <w:pPr>
        <w:pStyle w:val="NoSpacing"/>
        <w:ind w:left="720"/>
      </w:pPr>
    </w:p>
    <w:p w14:paraId="06EDE958" w14:textId="77777777" w:rsidR="00374C8E" w:rsidRPr="00BA5389" w:rsidRDefault="00374C8E" w:rsidP="00374C8E">
      <w:pPr>
        <w:pStyle w:val="NoSpacing"/>
        <w:ind w:left="720"/>
      </w:pPr>
      <w:r>
        <w:t>***</w:t>
      </w:r>
    </w:p>
    <w:p w14:paraId="701D91CF" w14:textId="77777777" w:rsidR="00374C8E" w:rsidRDefault="00374C8E" w:rsidP="00374C8E">
      <w:pPr>
        <w:pStyle w:val="NoSpacing"/>
        <w:ind w:left="720"/>
      </w:pPr>
      <w:r w:rsidRPr="00960DC7">
        <w:t>We continue to STAY the district court’s</w:t>
      </w:r>
      <w:r>
        <w:t xml:space="preserve"> </w:t>
      </w:r>
      <w:r w:rsidRPr="00960DC7">
        <w:t>October 9, 2025, order only to the extent it enjoined the federalization of the National Guard within the state. The administration remains barred from deploying the National Guard</w:t>
      </w:r>
      <w:r>
        <w:t xml:space="preserve"> </w:t>
      </w:r>
      <w:r w:rsidRPr="00960DC7">
        <w:t>of the United States within Illinois.</w:t>
      </w:r>
      <w:r>
        <w:t>”</w:t>
      </w:r>
    </w:p>
    <w:p w14:paraId="396F9EEC" w14:textId="77777777" w:rsidR="00374C8E" w:rsidRDefault="00374C8E" w:rsidP="00374C8E">
      <w:pPr>
        <w:pStyle w:val="NoSpacing"/>
        <w:ind w:left="720"/>
      </w:pPr>
    </w:p>
    <w:p w14:paraId="0A308CCB" w14:textId="30E49ECF" w:rsidR="00374C8E" w:rsidRPr="00960DC7" w:rsidRDefault="00374C8E" w:rsidP="00374C8E">
      <w:pPr>
        <w:pStyle w:val="NoSpacing"/>
        <w:rPr>
          <w:b/>
          <w:bCs/>
        </w:rPr>
      </w:pPr>
      <w:r>
        <w:rPr>
          <w:b/>
        </w:rPr>
        <w:t xml:space="preserve">Lesson learned: Litigation over President’s authority to deploy National Guard where there is no “rebellion” will probably be finally settled by U.S. Supreme Court. </w:t>
      </w:r>
    </w:p>
    <w:p w14:paraId="0395FF0C" w14:textId="77777777" w:rsidR="00374C8E" w:rsidRPr="00960DC7" w:rsidRDefault="00374C8E" w:rsidP="00374C8E">
      <w:pPr>
        <w:pStyle w:val="NoSpacing"/>
      </w:pPr>
    </w:p>
    <w:p w14:paraId="04DD919C" w14:textId="77777777" w:rsidR="002511FF" w:rsidRDefault="002511FF" w:rsidP="00374C8E">
      <w:pPr>
        <w:pStyle w:val="NoSpacing"/>
        <w:ind w:left="720"/>
      </w:pPr>
    </w:p>
    <w:p w14:paraId="670CE1C5" w14:textId="77777777" w:rsidR="002511FF" w:rsidRDefault="002511FF" w:rsidP="00374C8E">
      <w:pPr>
        <w:pStyle w:val="NoSpacing"/>
        <w:ind w:left="720"/>
      </w:pPr>
    </w:p>
    <w:p w14:paraId="0E308F51" w14:textId="77777777" w:rsidR="002511FF" w:rsidRDefault="002511FF" w:rsidP="00374C8E">
      <w:pPr>
        <w:pStyle w:val="NoSpacing"/>
        <w:ind w:left="720"/>
      </w:pPr>
    </w:p>
    <w:p w14:paraId="78424A68" w14:textId="77777777" w:rsidR="002511FF" w:rsidRPr="005A2D83" w:rsidRDefault="002511FF" w:rsidP="002511FF">
      <w:pPr>
        <w:pStyle w:val="NoSpacing"/>
        <w:ind w:left="720"/>
        <w:rPr>
          <w:bCs/>
        </w:rPr>
      </w:pPr>
      <w:r>
        <w:t xml:space="preserve">See Oct. 16, </w:t>
      </w:r>
      <w:proofErr w:type="gramStart"/>
      <w:r>
        <w:t>2025</w:t>
      </w:r>
      <w:proofErr w:type="gramEnd"/>
      <w:r>
        <w:t xml:space="preserve"> article: </w:t>
      </w:r>
      <w:r w:rsidRPr="005A2D83">
        <w:t xml:space="preserve">Appeals Court Upholds Federal Judge’s Temporary Order Blocking National Guard Deployment in Chicago Area </w:t>
      </w:r>
    </w:p>
    <w:p w14:paraId="54DCCFDC" w14:textId="222D6255" w:rsidR="002511FF" w:rsidRDefault="002511FF" w:rsidP="002511FF">
      <w:pPr>
        <w:pStyle w:val="NoSpacing"/>
        <w:ind w:left="720"/>
      </w:pPr>
      <w:hyperlink r:id="rId643" w:history="1">
        <w:r w:rsidRPr="00B5246F">
          <w:rPr>
            <w:rStyle w:val="Hyperlink"/>
          </w:rPr>
          <w:t>https://news.wttw.com/2025/10/16/appeals-court-upholds-federal-judge-s-temporary-order-blocking-national-guard-deployment</w:t>
        </w:r>
      </w:hyperlink>
    </w:p>
    <w:p w14:paraId="61CF5E70" w14:textId="77777777" w:rsidR="002511FF" w:rsidRDefault="002511FF" w:rsidP="00374C8E">
      <w:pPr>
        <w:pStyle w:val="NoSpacing"/>
        <w:ind w:left="720"/>
      </w:pPr>
    </w:p>
    <w:p w14:paraId="63275DB1" w14:textId="77777777" w:rsidR="002511FF" w:rsidRDefault="002511FF" w:rsidP="00374C8E">
      <w:pPr>
        <w:pStyle w:val="NoSpacing"/>
        <w:ind w:left="720"/>
      </w:pPr>
    </w:p>
    <w:p w14:paraId="2C6624C9" w14:textId="6B66D5DD" w:rsidR="00374C8E" w:rsidRDefault="00374C8E" w:rsidP="00374C8E">
      <w:pPr>
        <w:pStyle w:val="NoSpacing"/>
        <w:ind w:left="720"/>
        <w:rPr>
          <w:b/>
        </w:rPr>
      </w:pPr>
      <w:r w:rsidRPr="00913BE0">
        <w:t>See</w:t>
      </w:r>
      <w:r>
        <w:t xml:space="preserve"> the</w:t>
      </w:r>
      <w:r w:rsidRPr="00913BE0">
        <w:t xml:space="preserve"> Port</w:t>
      </w:r>
      <w:r>
        <w:t>l</w:t>
      </w:r>
      <w:r w:rsidRPr="00913BE0">
        <w:t xml:space="preserve">and, Oregon </w:t>
      </w:r>
      <w:r>
        <w:t xml:space="preserve">Oct. 4, </w:t>
      </w:r>
      <w:proofErr w:type="gramStart"/>
      <w:r>
        <w:t>2025</w:t>
      </w:r>
      <w:proofErr w:type="gramEnd"/>
      <w:r>
        <w:t xml:space="preserve"> </w:t>
      </w:r>
      <w:r w:rsidRPr="00913BE0">
        <w:t>temporary restraining order</w:t>
      </w:r>
      <w:r>
        <w:rPr>
          <w:b/>
        </w:rPr>
        <w:t xml:space="preserve">:  </w:t>
      </w:r>
      <w:hyperlink r:id="rId644" w:history="1">
        <w:r w:rsidRPr="00F13728">
          <w:rPr>
            <w:rStyle w:val="Hyperlink"/>
            <w:b/>
          </w:rPr>
          <w:t>https://www.portland.gov/federal/documents/10-4-2025-state-city-v-trump-temporary-restraining-order-granted/download</w:t>
        </w:r>
      </w:hyperlink>
      <w:r>
        <w:rPr>
          <w:b/>
        </w:rPr>
        <w:t xml:space="preserve"> </w:t>
      </w:r>
    </w:p>
    <w:p w14:paraId="659DFA0D" w14:textId="77777777" w:rsidR="00374C8E" w:rsidRDefault="00374C8E" w:rsidP="00374C8E">
      <w:pPr>
        <w:pStyle w:val="NoSpacing"/>
        <w:ind w:left="720"/>
        <w:rPr>
          <w:bCs/>
        </w:rPr>
      </w:pPr>
    </w:p>
    <w:p w14:paraId="6B9FD426" w14:textId="788EA60D" w:rsidR="00374C8E" w:rsidRDefault="00374C8E" w:rsidP="002511FF">
      <w:pPr>
        <w:pStyle w:val="NoSpacing"/>
        <w:ind w:firstLine="720"/>
        <w:rPr>
          <w:rFonts w:ascii="Arial Black" w:hAnsi="Arial Black"/>
          <w:sz w:val="28"/>
          <w:szCs w:val="28"/>
        </w:rPr>
      </w:pPr>
      <w:r w:rsidRPr="002C508F">
        <w:t xml:space="preserve">9th Circuit </w:t>
      </w:r>
      <w:r>
        <w:t xml:space="preserve">Oct. 30, </w:t>
      </w:r>
      <w:proofErr w:type="gramStart"/>
      <w:r>
        <w:t>2025</w:t>
      </w:r>
      <w:proofErr w:type="gramEnd"/>
      <w:r>
        <w:t xml:space="preserve"> </w:t>
      </w:r>
      <w:r w:rsidRPr="002C508F">
        <w:t xml:space="preserve">stay: </w:t>
      </w:r>
      <w:hyperlink r:id="rId645" w:history="1">
        <w:r w:rsidRPr="002C508F">
          <w:rPr>
            <w:rStyle w:val="Hyperlink"/>
          </w:rPr>
          <w:t>https://cdn.ca9.uscourts.gov/datastore/opinions/2025/10/30/25-6268.pdf</w:t>
        </w:r>
      </w:hyperlink>
    </w:p>
    <w:p w14:paraId="5F9C26A2" w14:textId="77777777" w:rsidR="00374C8E" w:rsidRDefault="00374C8E" w:rsidP="00440B47">
      <w:pPr>
        <w:pStyle w:val="NoSpacing"/>
        <w:rPr>
          <w:rFonts w:ascii="Arial Black" w:hAnsi="Arial Black"/>
          <w:sz w:val="28"/>
          <w:szCs w:val="28"/>
        </w:rPr>
      </w:pPr>
    </w:p>
    <w:p w14:paraId="2F25814D" w14:textId="77777777" w:rsidR="00374C8E" w:rsidRDefault="00374C8E" w:rsidP="00440B47">
      <w:pPr>
        <w:pStyle w:val="NoSpacing"/>
        <w:rPr>
          <w:rFonts w:ascii="Arial Black" w:hAnsi="Arial Black"/>
          <w:sz w:val="28"/>
          <w:szCs w:val="28"/>
        </w:rPr>
      </w:pPr>
    </w:p>
    <w:p w14:paraId="2FE5464B" w14:textId="521877B1" w:rsidR="00C27E37" w:rsidRDefault="004D0741" w:rsidP="00440B47">
      <w:pPr>
        <w:pStyle w:val="NoSpacing"/>
        <w:rPr>
          <w:rFonts w:ascii="Arial Black" w:hAnsi="Arial Black"/>
          <w:sz w:val="28"/>
          <w:szCs w:val="28"/>
        </w:rPr>
      </w:pPr>
      <w:r>
        <w:rPr>
          <w:rFonts w:ascii="Arial Black" w:hAnsi="Arial Black"/>
          <w:sz w:val="28"/>
          <w:szCs w:val="28"/>
        </w:rPr>
        <w:t>3-81</w:t>
      </w:r>
    </w:p>
    <w:p w14:paraId="204B4A66" w14:textId="77777777" w:rsidR="00C27E37" w:rsidRDefault="00C27E37" w:rsidP="00440B47">
      <w:pPr>
        <w:pStyle w:val="NoSpacing"/>
        <w:rPr>
          <w:rFonts w:ascii="Arial Black" w:hAnsi="Arial Black"/>
          <w:sz w:val="28"/>
          <w:szCs w:val="28"/>
        </w:rPr>
      </w:pPr>
    </w:p>
    <w:p w14:paraId="273EC7A4" w14:textId="28553262" w:rsidR="00440B47" w:rsidRDefault="00440B47" w:rsidP="00440B47">
      <w:pPr>
        <w:pStyle w:val="NoSpacing"/>
        <w:rPr>
          <w:rFonts w:ascii="Arial Black" w:hAnsi="Arial Black"/>
          <w:bCs/>
          <w:sz w:val="28"/>
          <w:szCs w:val="28"/>
        </w:rPr>
      </w:pPr>
      <w:r>
        <w:rPr>
          <w:rFonts w:ascii="Arial Black" w:hAnsi="Arial Black"/>
          <w:sz w:val="28"/>
          <w:szCs w:val="28"/>
        </w:rPr>
        <w:t>RI: FEMA – DISASTER GRANTS – SANCTUARY STATES INJUN</w:t>
      </w:r>
      <w:r w:rsidR="005262E1">
        <w:rPr>
          <w:rFonts w:ascii="Arial Black" w:hAnsi="Arial Black"/>
          <w:sz w:val="28"/>
          <w:szCs w:val="28"/>
        </w:rPr>
        <w:t>CTION</w:t>
      </w:r>
    </w:p>
    <w:p w14:paraId="2E7DB45F" w14:textId="77777777" w:rsidR="00440B47" w:rsidRDefault="00440B47" w:rsidP="00440B47">
      <w:pPr>
        <w:pStyle w:val="NoSpacing"/>
        <w:rPr>
          <w:bCs/>
        </w:rPr>
      </w:pPr>
    </w:p>
    <w:p w14:paraId="277D7987" w14:textId="77777777" w:rsidR="00440B47" w:rsidRDefault="00440B47" w:rsidP="00440B47">
      <w:pPr>
        <w:pStyle w:val="NoSpacing"/>
        <w:rPr>
          <w:bCs/>
        </w:rPr>
      </w:pPr>
      <w:r>
        <w:t xml:space="preserve">On September 24, 2025, in </w:t>
      </w:r>
      <w:r w:rsidRPr="00317F99">
        <w:rPr>
          <w:u w:val="single"/>
        </w:rPr>
        <w:t>State of Illinois, et al. v. Federal Emergency Management Agency</w:t>
      </w:r>
      <w:r>
        <w:t xml:space="preserve">, Senior U.S. District Court Judge William E. Smith, United States District Court for the District of Rhode Island, granted permanent injunction; 20 states and the District of Columbia challenged President Trump’s Jan. 30, 2025 Executive Order that directed DHS </w:t>
      </w:r>
      <w:r w:rsidRPr="00B939B2">
        <w:t>to “ensure that so-called ‘sanctuary’ jurisdictions</w:t>
      </w:r>
      <w:r>
        <w:t xml:space="preserve"> </w:t>
      </w:r>
      <w:r w:rsidRPr="00B939B2">
        <w:t>do not receive access to federal funds</w:t>
      </w:r>
      <w:r>
        <w:t xml:space="preserve">.”  On July 23, </w:t>
      </w:r>
      <w:proofErr w:type="gramStart"/>
      <w:r>
        <w:t>2025</w:t>
      </w:r>
      <w:proofErr w:type="gramEnd"/>
      <w:r>
        <w:t xml:space="preserve"> FEMA advised the Court </w:t>
      </w:r>
      <w:r w:rsidRPr="009F7CB3">
        <w:t>that DHS</w:t>
      </w:r>
      <w:r>
        <w:t xml:space="preserve"> </w:t>
      </w:r>
      <w:r w:rsidRPr="009F7CB3">
        <w:t xml:space="preserve">had made a </w:t>
      </w:r>
      <w:r>
        <w:t>“</w:t>
      </w:r>
      <w:r w:rsidRPr="009F7CB3">
        <w:t>final determination</w:t>
      </w:r>
      <w:r>
        <w:t>”</w:t>
      </w:r>
      <w:r w:rsidRPr="009F7CB3">
        <w:t xml:space="preserve"> that the contested conditions</w:t>
      </w:r>
      <w:r>
        <w:t xml:space="preserve"> </w:t>
      </w:r>
      <w:r w:rsidRPr="009F7CB3">
        <w:t>would not apply to forty of the grants listed in the Amended</w:t>
      </w:r>
      <w:r>
        <w:t xml:space="preserve"> </w:t>
      </w:r>
      <w:r w:rsidRPr="009F7CB3">
        <w:t>Complaint</w:t>
      </w:r>
      <w:r>
        <w:t xml:space="preserve"> related is disaster relief</w:t>
      </w:r>
      <w:r w:rsidRPr="009F7CB3">
        <w:t>.</w:t>
      </w:r>
      <w:r>
        <w:t xml:space="preserve">  </w:t>
      </w:r>
    </w:p>
    <w:p w14:paraId="13AC01CB" w14:textId="77777777" w:rsidR="00440B47" w:rsidRDefault="00440B47" w:rsidP="00440B47">
      <w:pPr>
        <w:pStyle w:val="NoSpacing"/>
        <w:rPr>
          <w:bCs/>
        </w:rPr>
      </w:pPr>
    </w:p>
    <w:p w14:paraId="48CD82BE" w14:textId="77777777" w:rsidR="00440B47" w:rsidRPr="00F8047E" w:rsidRDefault="00440B47" w:rsidP="00440B47">
      <w:pPr>
        <w:pStyle w:val="NoSpacing"/>
        <w:rPr>
          <w:bCs/>
        </w:rPr>
      </w:pPr>
      <w:r w:rsidRPr="00B939B2">
        <w:rPr>
          <w:b/>
        </w:rPr>
        <w:t>THE COURT HELD</w:t>
      </w:r>
      <w:r>
        <w:t>: “[T]</w:t>
      </w:r>
      <w:r w:rsidRPr="00E033D4">
        <w:t>he grants at issue fund programs</w:t>
      </w:r>
      <w:r>
        <w:t xml:space="preserve"> </w:t>
      </w:r>
      <w:r w:rsidRPr="00E033D4">
        <w:t>such as disaster relief, fire safety, dam safety, and emergency</w:t>
      </w:r>
      <w:r>
        <w:t xml:space="preserve"> </w:t>
      </w:r>
      <w:r w:rsidRPr="00E033D4">
        <w:t>preparedness</w:t>
      </w:r>
      <w:r>
        <w:t xml:space="preserve">…. </w:t>
      </w:r>
      <w:r w:rsidRPr="00456A91">
        <w:t>The record shows that states rely on these grants for billions of</w:t>
      </w:r>
      <w:r>
        <w:t xml:space="preserve"> </w:t>
      </w:r>
      <w:r w:rsidRPr="00456A91">
        <w:t>dollars annually in disaster relief and public safety funds that</w:t>
      </w:r>
      <w:r>
        <w:t xml:space="preserve"> </w:t>
      </w:r>
      <w:r w:rsidRPr="00456A91">
        <w:t>cannot be replaced by state revenues. Denying such funding if</w:t>
      </w:r>
      <w:r>
        <w:t xml:space="preserve"> </w:t>
      </w:r>
      <w:r w:rsidRPr="00456A91">
        <w:t>states refuse to comply with vague immigration requirements leaves</w:t>
      </w:r>
      <w:r>
        <w:t xml:space="preserve"> </w:t>
      </w:r>
      <w:r w:rsidRPr="00456A91">
        <w:t>them with no meaningful choice, particularly where state budgets</w:t>
      </w:r>
      <w:r>
        <w:t xml:space="preserve"> </w:t>
      </w:r>
      <w:r w:rsidRPr="00456A91">
        <w:t>are already committed</w:t>
      </w:r>
      <w:r>
        <w:t xml:space="preserve">…. </w:t>
      </w:r>
      <w:r w:rsidRPr="00316405">
        <w:t xml:space="preserve">Here, DHS </w:t>
      </w:r>
      <w:proofErr w:type="gramStart"/>
      <w:r w:rsidRPr="00316405">
        <w:t>required</w:t>
      </w:r>
      <w:proofErr w:type="gramEnd"/>
      <w:r w:rsidRPr="00316405">
        <w:t xml:space="preserve"> states to</w:t>
      </w:r>
      <w:r>
        <w:t xml:space="preserve"> </w:t>
      </w:r>
      <w:r w:rsidRPr="00316405">
        <w:t xml:space="preserve">provide </w:t>
      </w:r>
      <w:r>
        <w:t>‘</w:t>
      </w:r>
      <w:r w:rsidRPr="00316405">
        <w:t>cooperation</w:t>
      </w:r>
      <w:r>
        <w:t>’</w:t>
      </w:r>
      <w:r w:rsidRPr="00316405">
        <w:t xml:space="preserve"> and participate in </w:t>
      </w:r>
      <w:r>
        <w:t>‘</w:t>
      </w:r>
      <w:r w:rsidRPr="00316405">
        <w:t xml:space="preserve">joint </w:t>
      </w:r>
      <w:proofErr w:type="gramStart"/>
      <w:r w:rsidRPr="00316405">
        <w:t>operations</w:t>
      </w:r>
      <w:r>
        <w:t>’</w:t>
      </w:r>
      <w:r w:rsidRPr="00316405">
        <w:t xml:space="preserve"> and</w:t>
      </w:r>
      <w:r>
        <w:t xml:space="preserve"> ‘</w:t>
      </w:r>
      <w:proofErr w:type="gramEnd"/>
      <w:r w:rsidRPr="00316405">
        <w:t xml:space="preserve">information </w:t>
      </w:r>
      <w:proofErr w:type="gramStart"/>
      <w:r w:rsidRPr="00316405">
        <w:t>sharing,</w:t>
      </w:r>
      <w:r>
        <w:t>’</w:t>
      </w:r>
      <w:proofErr w:type="gramEnd"/>
      <w:r w:rsidRPr="00316405">
        <w:t xml:space="preserve"> but without defining what compliance</w:t>
      </w:r>
      <w:r>
        <w:t xml:space="preserve"> </w:t>
      </w:r>
      <w:r w:rsidRPr="00316405">
        <w:t>entails. Likewise, the prohibition on operating programs that</w:t>
      </w:r>
      <w:r>
        <w:t xml:space="preserve"> ‘</w:t>
      </w:r>
      <w:r w:rsidRPr="00316405">
        <w:t>benefit illegal immigrants</w:t>
      </w:r>
      <w:r>
        <w:t>’</w:t>
      </w:r>
      <w:r w:rsidRPr="00316405">
        <w:t xml:space="preserve"> or </w:t>
      </w:r>
      <w:r>
        <w:t>‘</w:t>
      </w:r>
      <w:r w:rsidRPr="00316405">
        <w:t>incentivize illegal immigration</w:t>
      </w:r>
      <w:r>
        <w:t xml:space="preserve">’ </w:t>
      </w:r>
      <w:r w:rsidRPr="00316405">
        <w:t>provides no meaningful standards and is hopelessly vague</w:t>
      </w:r>
      <w:r>
        <w:t xml:space="preserve">…. </w:t>
      </w:r>
      <w:r w:rsidRPr="00F8047E">
        <w:t xml:space="preserve">The holding in </w:t>
      </w:r>
      <w:r w:rsidRPr="00F8047E">
        <w:rPr>
          <w:i/>
          <w:iCs/>
        </w:rPr>
        <w:t>Trump v. Casa</w:t>
      </w:r>
      <w:r w:rsidRPr="00F8047E">
        <w:t xml:space="preserve"> restricted universal</w:t>
      </w:r>
      <w:r>
        <w:t xml:space="preserve"> </w:t>
      </w:r>
      <w:r w:rsidRPr="00F8047E">
        <w:t>injunctions, but the Court expressly left unaffected the APA’s</w:t>
      </w:r>
    </w:p>
    <w:p w14:paraId="0F1D7D21" w14:textId="77777777" w:rsidR="00440B47" w:rsidRPr="000518C3" w:rsidRDefault="00440B47" w:rsidP="00440B47">
      <w:pPr>
        <w:pStyle w:val="NoSpacing"/>
        <w:rPr>
          <w:bCs/>
        </w:rPr>
      </w:pPr>
      <w:r w:rsidRPr="00F8047E">
        <w:t xml:space="preserve">command to </w:t>
      </w:r>
      <w:r>
        <w:t>‘</w:t>
      </w:r>
      <w:r w:rsidRPr="00F8047E">
        <w:t>set aside</w:t>
      </w:r>
      <w:r>
        <w:t>’</w:t>
      </w:r>
      <w:r w:rsidRPr="00F8047E">
        <w:t xml:space="preserve"> unlawful agency action. 606 U.S. 831, 847</w:t>
      </w:r>
      <w:r>
        <w:t xml:space="preserve"> </w:t>
      </w:r>
      <w:r w:rsidRPr="00F8047E">
        <w:t>n.10 (2025) (</w:t>
      </w:r>
      <w:r>
        <w:t>‘</w:t>
      </w:r>
      <w:r w:rsidRPr="00F8047E">
        <w:t>Nothing we say today resolves the distinct question</w:t>
      </w:r>
      <w:r>
        <w:t xml:space="preserve"> </w:t>
      </w:r>
      <w:r w:rsidRPr="00F8047E">
        <w:t>whether the Administrative Procedure Act authorizes federal courts</w:t>
      </w:r>
      <w:r>
        <w:t xml:space="preserve"> </w:t>
      </w:r>
      <w:r w:rsidRPr="00F8047E">
        <w:t>to vacate agency action.</w:t>
      </w:r>
      <w:r>
        <w:t>’</w:t>
      </w:r>
      <w:r w:rsidRPr="00F8047E">
        <w:t>).</w:t>
      </w:r>
      <w:r>
        <w:t xml:space="preserve"> </w:t>
      </w:r>
      <w:r w:rsidRPr="000518C3">
        <w:t>vacatur under the APA remains, for now, a valid remedy.</w:t>
      </w:r>
    </w:p>
    <w:p w14:paraId="7956271D" w14:textId="77777777" w:rsidR="00440B47" w:rsidRPr="000518C3" w:rsidRDefault="00440B47" w:rsidP="00440B47">
      <w:pPr>
        <w:pStyle w:val="NoSpacing"/>
        <w:rPr>
          <w:bCs/>
        </w:rPr>
      </w:pPr>
      <w:r w:rsidRPr="000518C3">
        <w:t>Based on its findings above, the Court declares that the</w:t>
      </w:r>
      <w:r>
        <w:t xml:space="preserve"> </w:t>
      </w:r>
      <w:r w:rsidRPr="000518C3">
        <w:t>contested conditions are both arbitrary and capricious under the</w:t>
      </w:r>
      <w:r>
        <w:t xml:space="preserve"> </w:t>
      </w:r>
      <w:r w:rsidRPr="000518C3">
        <w:t>APA and unconstitutional under the Spending Clause. As such, the</w:t>
      </w:r>
    </w:p>
    <w:p w14:paraId="7927725A" w14:textId="77777777" w:rsidR="00440B47" w:rsidRPr="000518C3" w:rsidRDefault="00440B47" w:rsidP="00440B47">
      <w:pPr>
        <w:pStyle w:val="NoSpacing"/>
        <w:rPr>
          <w:bCs/>
        </w:rPr>
      </w:pPr>
      <w:r w:rsidRPr="000518C3">
        <w:t>contested conditions are vacated.</w:t>
      </w:r>
      <w:r>
        <w:t xml:space="preserve"> </w:t>
      </w:r>
      <w:proofErr w:type="gramStart"/>
      <w:r w:rsidRPr="000518C3">
        <w:t>In light of</w:t>
      </w:r>
      <w:proofErr w:type="gramEnd"/>
      <w:r w:rsidRPr="000518C3">
        <w:t xml:space="preserve"> this holding, a permanent injunction enjoining</w:t>
      </w:r>
    </w:p>
    <w:p w14:paraId="795AD968" w14:textId="77777777" w:rsidR="00440B47" w:rsidRDefault="00440B47" w:rsidP="00440B47">
      <w:pPr>
        <w:pStyle w:val="NoSpacing"/>
        <w:rPr>
          <w:bCs/>
        </w:rPr>
      </w:pPr>
      <w:r w:rsidRPr="000518C3">
        <w:t>Defendants from enforcing the contested conditions against</w:t>
      </w:r>
      <w:r>
        <w:t xml:space="preserve"> </w:t>
      </w:r>
      <w:r w:rsidRPr="000518C3">
        <w:t>Plaintiff States is also appropriate.</w:t>
      </w:r>
      <w:r>
        <w:t>”</w:t>
      </w:r>
      <w:r w:rsidRPr="00546A34">
        <w:t xml:space="preserve"> </w:t>
      </w:r>
      <w:hyperlink r:id="rId646" w:history="1">
        <w:r w:rsidRPr="00CC0A54">
          <w:rPr>
            <w:rStyle w:val="Hyperlink"/>
          </w:rPr>
          <w:t>https://rhodeislandcurrent.com/wp-content/uploads/2025/09/IL-v.-FEMA-1.pdf</w:t>
        </w:r>
      </w:hyperlink>
      <w:r>
        <w:t xml:space="preserve"> </w:t>
      </w:r>
    </w:p>
    <w:p w14:paraId="2D536E95" w14:textId="77777777" w:rsidR="00440B47" w:rsidRDefault="00440B47" w:rsidP="00440B47">
      <w:pPr>
        <w:pStyle w:val="NoSpacing"/>
        <w:rPr>
          <w:bCs/>
        </w:rPr>
      </w:pPr>
    </w:p>
    <w:p w14:paraId="74C61115" w14:textId="77777777" w:rsidR="00440B47" w:rsidRPr="0039608F" w:rsidRDefault="00440B47" w:rsidP="00440B47">
      <w:pPr>
        <w:pStyle w:val="NoSpacing"/>
        <w:rPr>
          <w:b/>
        </w:rPr>
      </w:pPr>
      <w:r w:rsidRPr="0039608F">
        <w:rPr>
          <w:b/>
        </w:rPr>
        <w:t>KEY FACTS:</w:t>
      </w:r>
    </w:p>
    <w:p w14:paraId="6D8A535A" w14:textId="77777777" w:rsidR="00440B47" w:rsidRDefault="00440B47" w:rsidP="00440B47">
      <w:pPr>
        <w:pStyle w:val="NoSpacing"/>
        <w:rPr>
          <w:bCs/>
        </w:rPr>
      </w:pPr>
    </w:p>
    <w:p w14:paraId="6EACA64B" w14:textId="77777777" w:rsidR="00440B47" w:rsidRDefault="00440B47" w:rsidP="00440B47">
      <w:pPr>
        <w:pStyle w:val="NoSpacing"/>
        <w:ind w:left="720"/>
        <w:rPr>
          <w:bCs/>
        </w:rPr>
      </w:pPr>
      <w:r>
        <w:t>“</w:t>
      </w:r>
      <w:r w:rsidRPr="004E1E96">
        <w:t>DHS</w:t>
      </w:r>
      <w:r>
        <w:t xml:space="preserve"> </w:t>
      </w:r>
      <w:r w:rsidRPr="004E1E96">
        <w:t>Secretary Kristi Noem issued a memorandum on February 19 titled</w:t>
      </w:r>
      <w:r>
        <w:t xml:space="preserve"> ‘</w:t>
      </w:r>
      <w:r w:rsidRPr="004E1E96">
        <w:t>Restricting Grant Funding for Sanctuary Jurisdictions.</w:t>
      </w:r>
      <w:r>
        <w:t>’ …  T</w:t>
      </w:r>
      <w:r w:rsidRPr="00905FE2">
        <w:t>his memorandum instructed DHS’s sub-agencies to</w:t>
      </w:r>
      <w:r>
        <w:t xml:space="preserve"> </w:t>
      </w:r>
      <w:r w:rsidRPr="00905FE2">
        <w:t>“review all federal financial assistance awards” to identify funds</w:t>
      </w:r>
      <w:r>
        <w:t xml:space="preserve"> </w:t>
      </w:r>
      <w:r w:rsidRPr="00905FE2">
        <w:t>being distributed to sanctuary jurisdictions, and report</w:t>
      </w:r>
      <w:r>
        <w:t xml:space="preserve"> </w:t>
      </w:r>
      <w:r w:rsidRPr="00905FE2">
        <w:t>compliance within thirty days</w:t>
      </w:r>
      <w:r>
        <w:t>…. C</w:t>
      </w:r>
      <w:r w:rsidRPr="00C046DF">
        <w:t>ameron Hamilton, then serving as the Senior Official</w:t>
      </w:r>
      <w:r>
        <w:t xml:space="preserve"> P</w:t>
      </w:r>
      <w:r w:rsidRPr="00C046DF">
        <w:t>erforming the Duties of FEMA Administrator</w:t>
      </w:r>
      <w:r>
        <w:t xml:space="preserve"> </w:t>
      </w:r>
      <w:r w:rsidRPr="002440B3">
        <w:t>subsequently sent a</w:t>
      </w:r>
      <w:r>
        <w:t xml:space="preserve"> </w:t>
      </w:r>
      <w:r w:rsidRPr="002440B3">
        <w:t>memorandum to Secretary Noem identifying twelve FEMA programs</w:t>
      </w:r>
      <w:r>
        <w:t xml:space="preserve"> </w:t>
      </w:r>
      <w:r w:rsidRPr="002440B3">
        <w:t>that, in his view, could lawfully be withheld from sanctuary</w:t>
      </w:r>
      <w:r>
        <w:t xml:space="preserve"> </w:t>
      </w:r>
      <w:r w:rsidRPr="002440B3">
        <w:t xml:space="preserve">states. He </w:t>
      </w:r>
      <w:proofErr w:type="gramStart"/>
      <w:r w:rsidRPr="002440B3">
        <w:t>recommended against</w:t>
      </w:r>
      <w:proofErr w:type="gramEnd"/>
      <w:r w:rsidRPr="002440B3">
        <w:t xml:space="preserve"> applying limiting conditions to</w:t>
      </w:r>
      <w:r>
        <w:t xml:space="preserve"> </w:t>
      </w:r>
      <w:r w:rsidRPr="002440B3">
        <w:t>disaster grants, non-disaster mitigation grants, fire departments,</w:t>
      </w:r>
      <w:r>
        <w:t xml:space="preserve"> </w:t>
      </w:r>
      <w:r w:rsidRPr="002440B3">
        <w:t>and similar organizations.</w:t>
      </w:r>
    </w:p>
    <w:p w14:paraId="70747C29" w14:textId="77777777" w:rsidR="00440B47" w:rsidRDefault="00440B47" w:rsidP="00440B47">
      <w:pPr>
        <w:pStyle w:val="NoSpacing"/>
        <w:ind w:left="720"/>
        <w:rPr>
          <w:bCs/>
        </w:rPr>
      </w:pPr>
    </w:p>
    <w:p w14:paraId="3FCC26E8" w14:textId="77777777" w:rsidR="00440B47" w:rsidRDefault="00440B47" w:rsidP="00440B47">
      <w:pPr>
        <w:pStyle w:val="NoSpacing"/>
        <w:ind w:left="720"/>
        <w:rPr>
          <w:bCs/>
        </w:rPr>
      </w:pPr>
      <w:r w:rsidRPr="002167E9">
        <w:t>On March 27, DHS revised the standard terms and conditions</w:t>
      </w:r>
      <w:r>
        <w:t xml:space="preserve"> </w:t>
      </w:r>
      <w:r w:rsidRPr="002167E9">
        <w:t>governing all federal grants it oversees, adding provisions</w:t>
      </w:r>
      <w:r>
        <w:t xml:space="preserve"> </w:t>
      </w:r>
      <w:r w:rsidRPr="002167E9">
        <w:t>requiring state and local recipients to certify that they will</w:t>
      </w:r>
      <w:r>
        <w:t xml:space="preserve"> </w:t>
      </w:r>
      <w:r w:rsidRPr="002167E9">
        <w:t>assist in enforcing federal immigration law</w:t>
      </w:r>
      <w:r>
        <w:t xml:space="preserve">…. </w:t>
      </w:r>
      <w:r w:rsidRPr="00280317">
        <w:t>A revised version of these terms and conditions was issued</w:t>
      </w:r>
      <w:r>
        <w:t xml:space="preserve"> </w:t>
      </w:r>
      <w:r w:rsidRPr="00280317">
        <w:t>on April 18; that version remains in effect today</w:t>
      </w:r>
      <w:r>
        <w:t xml:space="preserve">…. </w:t>
      </w:r>
      <w:r w:rsidRPr="00D11607">
        <w:t>Plaintiff States filed this action on May 13, seeking</w:t>
      </w:r>
      <w:r>
        <w:t xml:space="preserve"> </w:t>
      </w:r>
      <w:r w:rsidRPr="00145D8E">
        <w:t>declaratory and injunctive relief on the grounds that the contested</w:t>
      </w:r>
      <w:r>
        <w:t xml:space="preserve"> </w:t>
      </w:r>
      <w:r w:rsidRPr="00145D8E">
        <w:t>conditions are unlawful</w:t>
      </w:r>
      <w:r>
        <w:t xml:space="preserve">…. </w:t>
      </w:r>
    </w:p>
    <w:p w14:paraId="15FD6F6C" w14:textId="77777777" w:rsidR="00440B47" w:rsidRDefault="00440B47" w:rsidP="00440B47">
      <w:pPr>
        <w:pStyle w:val="NoSpacing"/>
        <w:ind w:left="720"/>
        <w:rPr>
          <w:bCs/>
        </w:rPr>
      </w:pPr>
    </w:p>
    <w:p w14:paraId="36A82D3E" w14:textId="77777777" w:rsidR="00440B47" w:rsidRPr="004100BA" w:rsidRDefault="00440B47" w:rsidP="00440B47">
      <w:pPr>
        <w:pStyle w:val="NoSpacing"/>
        <w:ind w:left="720"/>
        <w:rPr>
          <w:bCs/>
        </w:rPr>
      </w:pPr>
      <w:r w:rsidRPr="004100BA">
        <w:t>Shortly thereafter, on June 6, Defendants submitted an</w:t>
      </w:r>
      <w:r>
        <w:t xml:space="preserve"> </w:t>
      </w:r>
      <w:r w:rsidRPr="004100BA">
        <w:t>affidavit from David E. Richardson, Senior Official Performing the</w:t>
      </w:r>
      <w:r>
        <w:t xml:space="preserve"> </w:t>
      </w:r>
      <w:r w:rsidRPr="004100BA">
        <w:t>Duties of Administrator for FEMA, declaring that DHS had decided</w:t>
      </w:r>
      <w:r>
        <w:t xml:space="preserve"> </w:t>
      </w:r>
      <w:r w:rsidRPr="004100BA">
        <w:t>the contested conditions would not apply to twelve of the grants</w:t>
      </w:r>
    </w:p>
    <w:p w14:paraId="6CDC8767" w14:textId="77777777" w:rsidR="00440B47" w:rsidRDefault="00440B47" w:rsidP="00440B47">
      <w:pPr>
        <w:pStyle w:val="NoSpacing"/>
        <w:ind w:left="720"/>
        <w:rPr>
          <w:bCs/>
        </w:rPr>
      </w:pPr>
      <w:r w:rsidRPr="004100BA">
        <w:t xml:space="preserve">identified in </w:t>
      </w:r>
      <w:proofErr w:type="gramStart"/>
      <w:r w:rsidRPr="004100BA">
        <w:t>the Complaint,</w:t>
      </w:r>
      <w:proofErr w:type="gramEnd"/>
      <w:r>
        <w:t xml:space="preserve"> </w:t>
      </w:r>
      <w:r w:rsidRPr="004100BA">
        <w:t>3 and that the applicability of the</w:t>
      </w:r>
      <w:r>
        <w:t xml:space="preserve"> </w:t>
      </w:r>
      <w:r w:rsidRPr="004100BA">
        <w:t>conditions to other grants remained under review.</w:t>
      </w:r>
      <w:r>
        <w:t xml:space="preserve"> </w:t>
      </w:r>
    </w:p>
    <w:p w14:paraId="63435920" w14:textId="77777777" w:rsidR="00440B47" w:rsidRDefault="00440B47" w:rsidP="00440B47">
      <w:pPr>
        <w:pStyle w:val="NoSpacing"/>
        <w:ind w:left="720"/>
        <w:rPr>
          <w:bCs/>
        </w:rPr>
      </w:pPr>
    </w:p>
    <w:p w14:paraId="29BF113E" w14:textId="77777777" w:rsidR="00440B47" w:rsidRDefault="00440B47" w:rsidP="00440B47">
      <w:pPr>
        <w:pStyle w:val="NoSpacing"/>
        <w:ind w:left="1440"/>
        <w:rPr>
          <w:bCs/>
        </w:rPr>
      </w:pPr>
      <w:r>
        <w:t xml:space="preserve">[Footnote 3]: </w:t>
      </w:r>
      <w:r w:rsidRPr="009F7CB3">
        <w:t>A second declaration by Richardson filed on July 23, in</w:t>
      </w:r>
      <w:r>
        <w:t xml:space="preserve"> </w:t>
      </w:r>
      <w:r w:rsidRPr="009F7CB3">
        <w:t>support of Defendants’ Motion for Summary Judgment, noted that DHS</w:t>
      </w:r>
      <w:r>
        <w:t xml:space="preserve"> </w:t>
      </w:r>
      <w:r w:rsidRPr="009F7CB3">
        <w:t xml:space="preserve">had made a </w:t>
      </w:r>
      <w:r>
        <w:t>‘</w:t>
      </w:r>
      <w:r w:rsidRPr="009F7CB3">
        <w:t>final determination</w:t>
      </w:r>
      <w:r>
        <w:t>’</w:t>
      </w:r>
      <w:r w:rsidRPr="009F7CB3">
        <w:t xml:space="preserve"> that the contested conditions</w:t>
      </w:r>
      <w:r>
        <w:t xml:space="preserve"> </w:t>
      </w:r>
      <w:r w:rsidRPr="009F7CB3">
        <w:t>would not apply to forty of the grants listed in the Amended</w:t>
      </w:r>
      <w:r>
        <w:t xml:space="preserve"> </w:t>
      </w:r>
      <w:r w:rsidRPr="009F7CB3">
        <w:t>Complaint.</w:t>
      </w:r>
      <w:r>
        <w:t xml:space="preserve">  </w:t>
      </w:r>
    </w:p>
    <w:p w14:paraId="22055197" w14:textId="77777777" w:rsidR="00440B47" w:rsidRDefault="00440B47" w:rsidP="00440B47">
      <w:pPr>
        <w:pStyle w:val="NoSpacing"/>
        <w:ind w:left="720"/>
        <w:rPr>
          <w:bCs/>
        </w:rPr>
      </w:pPr>
    </w:p>
    <w:p w14:paraId="4117CE12" w14:textId="77777777" w:rsidR="00440B47" w:rsidRDefault="00440B47" w:rsidP="00440B47">
      <w:pPr>
        <w:pStyle w:val="NoSpacing"/>
        <w:ind w:left="720"/>
        <w:rPr>
          <w:bCs/>
        </w:rPr>
      </w:pPr>
      <w:r w:rsidRPr="0003565F">
        <w:t>At a June 9 status hearing,</w:t>
      </w:r>
      <w:r>
        <w:t xml:space="preserve"> </w:t>
      </w:r>
      <w:r w:rsidRPr="0003565F">
        <w:t>Plaintiff States raised concerns that this change in position had</w:t>
      </w:r>
      <w:r>
        <w:t xml:space="preserve"> </w:t>
      </w:r>
      <w:r w:rsidRPr="0003565F">
        <w:t>not been formally reflected in DHS’s standard terms and conditions</w:t>
      </w:r>
      <w:r>
        <w:t xml:space="preserve">, </w:t>
      </w:r>
      <w:r w:rsidRPr="00F55966">
        <w:t>which continued to state that the contested conditions applied to</w:t>
      </w:r>
      <w:r>
        <w:t xml:space="preserve"> </w:t>
      </w:r>
      <w:r w:rsidRPr="00F55966">
        <w:t xml:space="preserve">all new grants in Fiscal </w:t>
      </w:r>
      <w:proofErr w:type="gramStart"/>
      <w:r w:rsidRPr="00F55966">
        <w:t>Year (</w:t>
      </w:r>
      <w:r>
        <w:t>‘</w:t>
      </w:r>
      <w:proofErr w:type="gramEnd"/>
      <w:r w:rsidRPr="00F55966">
        <w:t>FY</w:t>
      </w:r>
      <w:r>
        <w:t>’</w:t>
      </w:r>
      <w:r w:rsidRPr="00F55966">
        <w:t>) 2025.</w:t>
      </w:r>
    </w:p>
    <w:p w14:paraId="49495591" w14:textId="77777777" w:rsidR="00440B47" w:rsidRDefault="00440B47" w:rsidP="00440B47">
      <w:pPr>
        <w:pStyle w:val="NoSpacing"/>
        <w:rPr>
          <w:bCs/>
        </w:rPr>
      </w:pPr>
    </w:p>
    <w:p w14:paraId="1D646B07" w14:textId="77777777" w:rsidR="00440B47" w:rsidRDefault="00440B47" w:rsidP="00440B47">
      <w:pPr>
        <w:pStyle w:val="NoSpacing"/>
        <w:ind w:left="720"/>
        <w:rPr>
          <w:bCs/>
        </w:rPr>
      </w:pPr>
      <w:r w:rsidRPr="008D1DE1">
        <w:t>After that hearing, DHS amended its website to state that</w:t>
      </w:r>
      <w:r>
        <w:t xml:space="preserve"> ‘</w:t>
      </w:r>
      <w:r w:rsidRPr="008D1DE1">
        <w:t>not all of DHS’s Standard Terms and Conditions apply to every DHS</w:t>
      </w:r>
      <w:r>
        <w:t xml:space="preserve"> </w:t>
      </w:r>
      <w:r w:rsidRPr="008D1DE1">
        <w:t>grant program,</w:t>
      </w:r>
      <w:r>
        <w:t xml:space="preserve">’ </w:t>
      </w:r>
      <w:r w:rsidRPr="008D1DE1">
        <w:t>directing applicants to review program Notices of</w:t>
      </w:r>
      <w:r>
        <w:t xml:space="preserve"> </w:t>
      </w:r>
      <w:r w:rsidRPr="008D1DE1">
        <w:t>Funding Opportunity (NOFOs) to determine which conditions applied</w:t>
      </w:r>
      <w:r>
        <w:t xml:space="preserve">…. </w:t>
      </w:r>
      <w:r w:rsidRPr="00AC5F47">
        <w:t>In subsequent filings,</w:t>
      </w:r>
      <w:r>
        <w:t xml:space="preserve"> </w:t>
      </w:r>
      <w:r w:rsidRPr="00AC5F47">
        <w:t xml:space="preserve">Defendants asserted they had made a </w:t>
      </w:r>
      <w:r>
        <w:t>‘</w:t>
      </w:r>
      <w:r w:rsidRPr="00AC5F47">
        <w:t>final determination</w:t>
      </w:r>
      <w:r>
        <w:t>’</w:t>
      </w:r>
      <w:r w:rsidRPr="00AC5F47">
        <w:t xml:space="preserve"> that the</w:t>
      </w:r>
      <w:r>
        <w:t xml:space="preserve"> </w:t>
      </w:r>
      <w:r w:rsidRPr="00AC5F47">
        <w:t>contested conditions would not apply to forty of the grant programs</w:t>
      </w:r>
      <w:r>
        <w:t xml:space="preserve"> </w:t>
      </w:r>
      <w:r w:rsidRPr="00AC5F47">
        <w:t>identified in the Amended Complaint.</w:t>
      </w:r>
    </w:p>
    <w:p w14:paraId="306AACBB" w14:textId="77777777" w:rsidR="00440B47" w:rsidRDefault="00440B47" w:rsidP="00440B47">
      <w:pPr>
        <w:pStyle w:val="NoSpacing"/>
        <w:rPr>
          <w:bCs/>
        </w:rPr>
      </w:pPr>
    </w:p>
    <w:p w14:paraId="07715CD3" w14:textId="77777777" w:rsidR="00440B47" w:rsidRDefault="00440B47" w:rsidP="00440B47">
      <w:pPr>
        <w:pStyle w:val="NoSpacing"/>
        <w:ind w:left="720"/>
        <w:rPr>
          <w:bCs/>
        </w:rPr>
      </w:pPr>
      <w:r w:rsidRPr="0023706A">
        <w:t>According to Plaintiff</w:t>
      </w:r>
      <w:r>
        <w:t xml:space="preserve"> </w:t>
      </w:r>
      <w:r w:rsidRPr="0023706A">
        <w:t>States, Between July 25 and August 1, DHS issued twenty-four NOFOs,</w:t>
      </w:r>
      <w:r>
        <w:t xml:space="preserve"> </w:t>
      </w:r>
      <w:r w:rsidRPr="0023706A">
        <w:t>all of which included the standard terms and conditions, and six</w:t>
      </w:r>
      <w:r>
        <w:t xml:space="preserve"> </w:t>
      </w:r>
      <w:r w:rsidRPr="0023706A">
        <w:t xml:space="preserve">of which expressly warned that </w:t>
      </w:r>
      <w:r>
        <w:t>‘</w:t>
      </w:r>
      <w:r w:rsidRPr="0023706A">
        <w:t>an immigration term and condition</w:t>
      </w:r>
      <w:r>
        <w:t xml:space="preserve"> </w:t>
      </w:r>
      <w:r w:rsidRPr="0023706A">
        <w:t>may be material</w:t>
      </w:r>
      <w:r>
        <w:t>’</w:t>
      </w:r>
      <w:r w:rsidRPr="0023706A">
        <w:t xml:space="preserve"> and DHS </w:t>
      </w:r>
      <w:r>
        <w:t>‘</w:t>
      </w:r>
      <w:r w:rsidRPr="0023706A">
        <w:t>may take any remedy for noncompliance</w:t>
      </w:r>
      <w:r>
        <w:t xml:space="preserve">’ </w:t>
      </w:r>
      <w:r w:rsidRPr="0023706A">
        <w:t xml:space="preserve">including </w:t>
      </w:r>
      <w:r>
        <w:t>‘</w:t>
      </w:r>
      <w:r w:rsidRPr="0023706A">
        <w:t>termination.</w:t>
      </w:r>
      <w:r>
        <w:t>’”</w:t>
      </w:r>
    </w:p>
    <w:p w14:paraId="2302CACB" w14:textId="77777777" w:rsidR="00440B47" w:rsidRDefault="00440B47" w:rsidP="00440B47">
      <w:pPr>
        <w:pStyle w:val="NoSpacing"/>
        <w:ind w:left="720"/>
        <w:rPr>
          <w:bCs/>
        </w:rPr>
      </w:pPr>
    </w:p>
    <w:p w14:paraId="3D2A93CE" w14:textId="77777777" w:rsidR="00440B47" w:rsidRPr="009314E0" w:rsidRDefault="00440B47" w:rsidP="00440B47">
      <w:pPr>
        <w:pStyle w:val="NoSpacing"/>
        <w:rPr>
          <w:b/>
        </w:rPr>
      </w:pPr>
      <w:r w:rsidRPr="009314E0">
        <w:rPr>
          <w:b/>
        </w:rPr>
        <w:t xml:space="preserve">Legal lesson learned: </w:t>
      </w:r>
      <w:r>
        <w:rPr>
          <w:b/>
        </w:rPr>
        <w:t xml:space="preserve">The Government will likely appeal this decision to the First Circuit Court of Appeals, and if </w:t>
      </w:r>
      <w:proofErr w:type="gramStart"/>
      <w:r>
        <w:rPr>
          <w:b/>
        </w:rPr>
        <w:t>necessary</w:t>
      </w:r>
      <w:proofErr w:type="gramEnd"/>
      <w:r>
        <w:rPr>
          <w:b/>
        </w:rPr>
        <w:t xml:space="preserve"> seek review by the U.S. Supreme Court. </w:t>
      </w:r>
    </w:p>
    <w:p w14:paraId="46A62A1D" w14:textId="77777777" w:rsidR="00440B47" w:rsidRDefault="00440B47" w:rsidP="00607129">
      <w:pPr>
        <w:pStyle w:val="NoSpacing"/>
        <w:rPr>
          <w:rFonts w:ascii="Arial Black" w:hAnsi="Arial Black"/>
          <w:sz w:val="28"/>
          <w:szCs w:val="28"/>
        </w:rPr>
      </w:pPr>
    </w:p>
    <w:p w14:paraId="32ED0DFE" w14:textId="76F903CB" w:rsidR="00C27E37" w:rsidRDefault="00C27E37" w:rsidP="00C27E37">
      <w:pPr>
        <w:pStyle w:val="NoSpacing"/>
        <w:rPr>
          <w:rFonts w:ascii="Arial Black" w:hAnsi="Arial Black"/>
          <w:sz w:val="28"/>
          <w:szCs w:val="28"/>
        </w:rPr>
      </w:pPr>
      <w:r>
        <w:rPr>
          <w:rFonts w:ascii="Arial Black" w:hAnsi="Arial Black"/>
          <w:sz w:val="28"/>
          <w:szCs w:val="28"/>
        </w:rPr>
        <w:t>3-80</w:t>
      </w:r>
    </w:p>
    <w:p w14:paraId="7FEF00EA" w14:textId="77777777" w:rsidR="00A85CFB" w:rsidRDefault="00A85CFB" w:rsidP="00607129">
      <w:pPr>
        <w:pStyle w:val="NoSpacing"/>
        <w:rPr>
          <w:rFonts w:ascii="Arial Black" w:hAnsi="Arial Black"/>
          <w:sz w:val="28"/>
          <w:szCs w:val="28"/>
        </w:rPr>
      </w:pPr>
    </w:p>
    <w:p w14:paraId="34BD7114" w14:textId="77777777" w:rsidR="00A85CFB" w:rsidRPr="00CB3FA1" w:rsidRDefault="00A85CFB" w:rsidP="00A85CFB">
      <w:pPr>
        <w:pStyle w:val="NoSpacing"/>
        <w:rPr>
          <w:rFonts w:ascii="Arial Black" w:hAnsi="Arial Black"/>
          <w:bCs/>
          <w:sz w:val="28"/>
          <w:szCs w:val="28"/>
        </w:rPr>
      </w:pPr>
      <w:r>
        <w:rPr>
          <w:rFonts w:ascii="Arial Black" w:hAnsi="Arial Black"/>
          <w:sz w:val="28"/>
          <w:szCs w:val="28"/>
        </w:rPr>
        <w:t>PA: “GEOFENCE” WARRANT – CELL PHONES AT SHOOTING</w:t>
      </w:r>
    </w:p>
    <w:p w14:paraId="62A7D745" w14:textId="77777777" w:rsidR="00A85CFB" w:rsidRDefault="00A85CFB" w:rsidP="00A85CFB">
      <w:pPr>
        <w:pStyle w:val="NoSpacing"/>
        <w:rPr>
          <w:bCs/>
        </w:rPr>
      </w:pPr>
    </w:p>
    <w:p w14:paraId="5BFA5C17" w14:textId="77777777" w:rsidR="00A85CFB" w:rsidRDefault="00A85CFB" w:rsidP="00A85CFB">
      <w:pPr>
        <w:pStyle w:val="NoSpacing"/>
        <w:rPr>
          <w:bCs/>
        </w:rPr>
      </w:pPr>
      <w:r>
        <w:t xml:space="preserve">On September 18, 2024, in </w:t>
      </w:r>
      <w:r w:rsidRPr="00AC3603">
        <w:rPr>
          <w:u w:val="single"/>
        </w:rPr>
        <w:t>Commonwealth of Pennsylvania v. Keith Anthony Choice</w:t>
      </w:r>
      <w:r>
        <w:t>, the Superior Court of Pennsylvania held (3 to 0) that trial court properly denied motion to suppress the cell phone information from Google, obtained by PA State Police through court ordered search warrants for “geofence” cell phone location history; a road rage incident where one motorist shot another motorist.  Search warrants obtained for cell phones used at “R</w:t>
      </w:r>
      <w:r w:rsidRPr="009A0209">
        <w:t>oute 309,</w:t>
      </w:r>
      <w:r>
        <w:t xml:space="preserve"> </w:t>
      </w:r>
      <w:r w:rsidRPr="009A0209">
        <w:t>between 9:20 p.m. to 9:27 p.m. on January 23, 2019.</w:t>
      </w:r>
      <w:r>
        <w:t xml:space="preserve">”  The defendant was convicted in bench trial </w:t>
      </w:r>
      <w:r w:rsidRPr="009B16FC">
        <w:t>of aggravated assault</w:t>
      </w:r>
      <w:r>
        <w:t xml:space="preserve">, and </w:t>
      </w:r>
      <w:r w:rsidRPr="003C35AC">
        <w:t>sentenced to 6 to 23 months’</w:t>
      </w:r>
      <w:r>
        <w:t xml:space="preserve"> </w:t>
      </w:r>
      <w:r w:rsidRPr="003C35AC">
        <w:t>incarceration, followed by two years’ probation.</w:t>
      </w:r>
      <w:r>
        <w:t xml:space="preserve"> </w:t>
      </w:r>
    </w:p>
    <w:p w14:paraId="2EABB905" w14:textId="77777777" w:rsidR="00A85CFB" w:rsidRDefault="00A85CFB" w:rsidP="00A85CFB">
      <w:pPr>
        <w:pStyle w:val="NoSpacing"/>
        <w:rPr>
          <w:bCs/>
        </w:rPr>
      </w:pPr>
    </w:p>
    <w:p w14:paraId="0CE5C66B" w14:textId="77777777" w:rsidR="00A85CFB" w:rsidRDefault="00A85CFB" w:rsidP="00A85CFB">
      <w:pPr>
        <w:pStyle w:val="NoSpacing"/>
        <w:rPr>
          <w:bCs/>
        </w:rPr>
      </w:pPr>
      <w:r w:rsidRPr="00913B5B">
        <w:rPr>
          <w:b/>
        </w:rPr>
        <w:t>THE COURT HELD</w:t>
      </w:r>
      <w:r>
        <w:t>: “</w:t>
      </w:r>
      <w:r w:rsidRPr="00722038">
        <w:t>Because pervasive cell phone</w:t>
      </w:r>
      <w:r>
        <w:t xml:space="preserve"> </w:t>
      </w:r>
      <w:r w:rsidRPr="00722038">
        <w:t>possession and cell phone service usage is a matter of common knowledge,</w:t>
      </w:r>
      <w:r>
        <w:t xml:space="preserve"> </w:t>
      </w:r>
      <w:r w:rsidRPr="00722038">
        <w:t>and because law enforcement combined this common knowledge with specific</w:t>
      </w:r>
      <w:r>
        <w:t xml:space="preserve"> </w:t>
      </w:r>
      <w:r w:rsidRPr="00722038">
        <w:t>factual circumstances regarding the time and place of the crime, we reject</w:t>
      </w:r>
      <w:r>
        <w:t xml:space="preserve"> </w:t>
      </w:r>
      <w:r w:rsidRPr="00722038">
        <w:t>Appellant’s argument that the December 2020 search warrant relied upon</w:t>
      </w:r>
      <w:r>
        <w:t xml:space="preserve"> ‘</w:t>
      </w:r>
      <w:r w:rsidRPr="00722038">
        <w:t>categorical assumptions.</w:t>
      </w:r>
      <w:r>
        <w:t xml:space="preserve">” </w:t>
      </w:r>
      <w:hyperlink r:id="rId647" w:history="1">
        <w:r w:rsidRPr="004673F3">
          <w:rPr>
            <w:rStyle w:val="Hyperlink"/>
          </w:rPr>
          <w:t>https://cases.justia.com/pennsylvania/superior-court/2025-1252-eda-2024.pdf?ts=1758220361</w:t>
        </w:r>
      </w:hyperlink>
      <w:r>
        <w:t xml:space="preserve"> </w:t>
      </w:r>
    </w:p>
    <w:p w14:paraId="65F9A2ED" w14:textId="77777777" w:rsidR="00A85CFB" w:rsidRDefault="00A85CFB" w:rsidP="00A85CFB">
      <w:pPr>
        <w:pStyle w:val="NoSpacing"/>
        <w:rPr>
          <w:bCs/>
        </w:rPr>
      </w:pPr>
    </w:p>
    <w:p w14:paraId="34EC56CF" w14:textId="77777777" w:rsidR="00A85CFB" w:rsidRDefault="00A85CFB" w:rsidP="00A85CFB">
      <w:pPr>
        <w:pStyle w:val="NoSpacing"/>
        <w:ind w:left="720"/>
        <w:rPr>
          <w:bCs/>
        </w:rPr>
      </w:pPr>
    </w:p>
    <w:p w14:paraId="69CB0E93" w14:textId="77777777" w:rsidR="00A85CFB" w:rsidRPr="00913B5B" w:rsidRDefault="00A85CFB" w:rsidP="00A85CFB">
      <w:pPr>
        <w:pStyle w:val="NoSpacing"/>
        <w:rPr>
          <w:b/>
        </w:rPr>
      </w:pPr>
      <w:r w:rsidRPr="00913B5B">
        <w:rPr>
          <w:b/>
        </w:rPr>
        <w:t>KEY FACTS:</w:t>
      </w:r>
    </w:p>
    <w:p w14:paraId="2DFB1344" w14:textId="77777777" w:rsidR="00A85CFB" w:rsidRDefault="00A85CFB" w:rsidP="00A85CFB">
      <w:pPr>
        <w:pStyle w:val="NoSpacing"/>
        <w:rPr>
          <w:bCs/>
        </w:rPr>
      </w:pPr>
    </w:p>
    <w:p w14:paraId="141EE6D5" w14:textId="77777777" w:rsidR="00A85CFB" w:rsidRPr="003F40C4" w:rsidRDefault="00A85CFB" w:rsidP="00A85CFB">
      <w:pPr>
        <w:pStyle w:val="NoSpacing"/>
        <w:ind w:firstLine="720"/>
        <w:rPr>
          <w:bCs/>
        </w:rPr>
      </w:pPr>
      <w:r>
        <w:t>“</w:t>
      </w:r>
      <w:r w:rsidRPr="003F40C4">
        <w:t>The trial court summarized the facts underlying this appeal:</w:t>
      </w:r>
    </w:p>
    <w:p w14:paraId="008A25AA" w14:textId="77777777" w:rsidR="00A85CFB" w:rsidRDefault="00A85CFB" w:rsidP="00A85CFB">
      <w:pPr>
        <w:pStyle w:val="NoSpacing"/>
        <w:rPr>
          <w:bCs/>
        </w:rPr>
      </w:pPr>
    </w:p>
    <w:p w14:paraId="4ED3ABA5" w14:textId="77777777" w:rsidR="00A85CFB" w:rsidRPr="003F40C4" w:rsidRDefault="00A85CFB" w:rsidP="00A85CFB">
      <w:pPr>
        <w:pStyle w:val="NoSpacing"/>
        <w:ind w:left="720" w:firstLine="720"/>
        <w:rPr>
          <w:bCs/>
        </w:rPr>
      </w:pPr>
      <w:r w:rsidRPr="003F40C4">
        <w:t>At approximately 9:58 p.m. on</w:t>
      </w:r>
      <w:r>
        <w:t xml:space="preserve"> </w:t>
      </w:r>
      <w:r w:rsidRPr="003F40C4">
        <w:t>January 23, 2019, Pennsylvania</w:t>
      </w:r>
    </w:p>
    <w:p w14:paraId="296CBE52" w14:textId="77777777" w:rsidR="00A85CFB" w:rsidRPr="003F40C4" w:rsidRDefault="00A85CFB" w:rsidP="00A85CFB">
      <w:pPr>
        <w:pStyle w:val="NoSpacing"/>
        <w:ind w:left="1440"/>
        <w:rPr>
          <w:bCs/>
        </w:rPr>
      </w:pPr>
      <w:r w:rsidRPr="003F40C4">
        <w:t>State Police (PSP) troopers] responded to a call into Montgomery County 911 dispatch center of a possible shooting on</w:t>
      </w:r>
      <w:r>
        <w:t xml:space="preserve"> </w:t>
      </w:r>
      <w:r w:rsidRPr="003F40C4">
        <w:t>northbound State Route 309 (</w:t>
      </w:r>
      <w:r>
        <w:t>‘</w:t>
      </w:r>
      <w:r w:rsidRPr="003F40C4">
        <w:t>[Route] 309</w:t>
      </w:r>
      <w:r>
        <w:t>’</w:t>
      </w:r>
      <w:r w:rsidRPr="003F40C4">
        <w:t>). The troopers were</w:t>
      </w:r>
      <w:r>
        <w:t xml:space="preserve"> </w:t>
      </w:r>
      <w:r w:rsidRPr="003F40C4">
        <w:t>dispatched to the Fort Washington Toll Plaza on the Pennsylvania</w:t>
      </w:r>
      <w:r>
        <w:t xml:space="preserve"> </w:t>
      </w:r>
      <w:r w:rsidRPr="003F40C4">
        <w:t>Turnpike, Upper Dublin Township in Montgomery County. There</w:t>
      </w:r>
      <w:r>
        <w:t xml:space="preserve"> </w:t>
      </w:r>
      <w:r w:rsidRPr="003F40C4">
        <w:t>they met with [the victim, John Cramer (Cramer),] and Upper</w:t>
      </w:r>
      <w:r>
        <w:t xml:space="preserve"> </w:t>
      </w:r>
      <w:r w:rsidRPr="003F40C4">
        <w:t>Dublin Township [police] officers who were securing the scene</w:t>
      </w:r>
      <w:r>
        <w:t xml:space="preserve"> </w:t>
      </w:r>
      <w:r w:rsidRPr="003F40C4">
        <w:t>while [emergency medical services (EMS) personnel] provided</w:t>
      </w:r>
      <w:r>
        <w:t xml:space="preserve"> </w:t>
      </w:r>
      <w:r w:rsidRPr="003F40C4">
        <w:t>aid</w:t>
      </w:r>
      <w:r>
        <w:t xml:space="preserve"> </w:t>
      </w:r>
      <w:r w:rsidRPr="003F40C4">
        <w:t>[EMS personnel] determined that Cramer had a graze wound</w:t>
      </w:r>
      <w:r>
        <w:t xml:space="preserve"> </w:t>
      </w:r>
      <w:r w:rsidRPr="003F40C4">
        <w:t>on his upper right arm[,] after having been shot with a firearm.</w:t>
      </w:r>
      <w:r>
        <w:t xml:space="preserve"> </w:t>
      </w:r>
      <w:r w:rsidRPr="003F40C4">
        <w:t xml:space="preserve">When Cramer exited his silver 2014 Toyota </w:t>
      </w:r>
      <w:proofErr w:type="gramStart"/>
      <w:r w:rsidRPr="003F40C4">
        <w:t>Tundra [(</w:t>
      </w:r>
      <w:proofErr w:type="gramEnd"/>
      <w:r w:rsidRPr="003F40C4">
        <w:t>Tundra)], a</w:t>
      </w:r>
    </w:p>
    <w:p w14:paraId="4BCE2BE0" w14:textId="77777777" w:rsidR="00A85CFB" w:rsidRDefault="00A85CFB" w:rsidP="00A85CFB">
      <w:pPr>
        <w:pStyle w:val="NoSpacing"/>
        <w:ind w:left="1440"/>
        <w:rPr>
          <w:bCs/>
        </w:rPr>
      </w:pPr>
      <w:r w:rsidRPr="003F40C4">
        <w:t>single copper-jacketed bullet fell to the ground and was recovered</w:t>
      </w:r>
      <w:r>
        <w:t xml:space="preserve"> </w:t>
      </w:r>
      <w:r w:rsidRPr="003F40C4">
        <w:t>by a [t]</w:t>
      </w:r>
      <w:proofErr w:type="spellStart"/>
      <w:r w:rsidRPr="003F40C4">
        <w:t>rooper</w:t>
      </w:r>
      <w:proofErr w:type="spellEnd"/>
      <w:r w:rsidRPr="003F40C4">
        <w:t>. ([Search Warrant] Affidavit of Probable Cause</w:t>
      </w:r>
      <w:r>
        <w:t xml:space="preserve"> </w:t>
      </w:r>
      <w:r w:rsidRPr="003F40C4">
        <w:t>presented to the Honorable William R. Carpenter[</w:t>
      </w:r>
      <w:r>
        <w:t xml:space="preserve">… </w:t>
      </w:r>
      <w:r w:rsidRPr="003F40C4">
        <w:t xml:space="preserve"> </w:t>
      </w:r>
      <w:r>
        <w:t>T</w:t>
      </w:r>
      <w:r w:rsidRPr="003F40C4">
        <w:t xml:space="preserve">rooper Eugene J. Tray </w:t>
      </w:r>
      <w:r>
        <w:t>…</w:t>
      </w:r>
      <w:r w:rsidRPr="003F40C4">
        <w:t>was assigned as</w:t>
      </w:r>
      <w:r>
        <w:t xml:space="preserve"> </w:t>
      </w:r>
      <w:r w:rsidRPr="003F40C4">
        <w:t>the primary investigator [after] the [Upper Dublin Township Police</w:t>
      </w:r>
      <w:r>
        <w:t xml:space="preserve"> </w:t>
      </w:r>
      <w:r w:rsidRPr="003F40C4">
        <w:t>Department] requested [the PSP] to assume the primary role in</w:t>
      </w:r>
      <w:r>
        <w:t xml:space="preserve"> </w:t>
      </w:r>
      <w:r w:rsidRPr="003F40C4">
        <w:t>this investigation</w:t>
      </w:r>
      <w:r>
        <w:t>.</w:t>
      </w:r>
    </w:p>
    <w:p w14:paraId="3F761348" w14:textId="77777777" w:rsidR="00A85CFB" w:rsidRDefault="00A85CFB" w:rsidP="00A85CFB">
      <w:pPr>
        <w:pStyle w:val="NoSpacing"/>
        <w:ind w:left="720" w:firstLine="720"/>
        <w:rPr>
          <w:bCs/>
        </w:rPr>
      </w:pPr>
    </w:p>
    <w:p w14:paraId="2FCE8201" w14:textId="77777777" w:rsidR="00A85CFB" w:rsidRDefault="00A85CFB" w:rsidP="00A85CFB">
      <w:pPr>
        <w:pStyle w:val="NoSpacing"/>
        <w:ind w:left="720" w:firstLine="720"/>
        <w:rPr>
          <w:bCs/>
        </w:rPr>
      </w:pPr>
      <w:r>
        <w:t>***</w:t>
      </w:r>
    </w:p>
    <w:p w14:paraId="205E39D4" w14:textId="77777777" w:rsidR="00A85CFB" w:rsidRPr="00D671B5" w:rsidRDefault="00A85CFB" w:rsidP="00A85CFB">
      <w:pPr>
        <w:pStyle w:val="NoSpacing"/>
        <w:ind w:left="720" w:firstLine="720"/>
        <w:rPr>
          <w:bCs/>
        </w:rPr>
      </w:pPr>
      <w:r w:rsidRPr="00D671B5">
        <w:t>After conducting additional investigation not relevant to this appeal,</w:t>
      </w:r>
    </w:p>
    <w:p w14:paraId="59DD4F35" w14:textId="77777777" w:rsidR="00A85CFB" w:rsidRPr="00D671B5" w:rsidRDefault="00A85CFB" w:rsidP="00A85CFB">
      <w:pPr>
        <w:pStyle w:val="NoSpacing"/>
        <w:ind w:left="720" w:firstLine="720"/>
        <w:rPr>
          <w:bCs/>
        </w:rPr>
      </w:pPr>
      <w:r w:rsidRPr="00D671B5">
        <w:t>Trooper Tray applied for the December 2020 search warrant, seeking solely</w:t>
      </w:r>
    </w:p>
    <w:p w14:paraId="1A349240" w14:textId="77777777" w:rsidR="00A85CFB" w:rsidRPr="002D3238" w:rsidRDefault="00A85CFB" w:rsidP="00A85CFB">
      <w:pPr>
        <w:pStyle w:val="NoSpacing"/>
        <w:ind w:left="1440"/>
        <w:rPr>
          <w:bCs/>
        </w:rPr>
      </w:pPr>
      <w:r w:rsidRPr="00D671B5">
        <w:t xml:space="preserve">LH </w:t>
      </w:r>
      <w:r>
        <w:t>‘</w:t>
      </w:r>
      <w:r w:rsidRPr="00D671B5">
        <w:t>data generated from devices [] report[</w:t>
      </w:r>
      <w:proofErr w:type="spellStart"/>
      <w:r w:rsidRPr="00D671B5">
        <w:t>ing</w:t>
      </w:r>
      <w:proofErr w:type="spellEnd"/>
      <w:r w:rsidRPr="00D671B5">
        <w:t>] a location with a geographical</w:t>
      </w:r>
      <w:r>
        <w:t xml:space="preserve"> </w:t>
      </w:r>
      <w:r w:rsidRPr="002D3238">
        <w:t xml:space="preserve">region </w:t>
      </w:r>
      <w:proofErr w:type="gramStart"/>
      <w:r w:rsidRPr="002D3238">
        <w:t>bounded</w:t>
      </w:r>
      <w:r>
        <w:t>’</w:t>
      </w:r>
      <w:proofErr w:type="gramEnd"/>
      <w:r w:rsidRPr="002D3238">
        <w:t xml:space="preserve"> by latitude/longitude coordinates, and within dates and</w:t>
      </w:r>
    </w:p>
    <w:p w14:paraId="6DDB6D99" w14:textId="77777777" w:rsidR="00A85CFB" w:rsidRDefault="00A85CFB" w:rsidP="00A85CFB">
      <w:pPr>
        <w:pStyle w:val="NoSpacing"/>
        <w:ind w:left="720" w:firstLine="720"/>
        <w:rPr>
          <w:bCs/>
        </w:rPr>
      </w:pPr>
      <w:r w:rsidRPr="002D3238">
        <w:t>times, set forth in the affidavit.</w:t>
      </w:r>
    </w:p>
    <w:p w14:paraId="16088A4F" w14:textId="77777777" w:rsidR="00A85CFB" w:rsidRDefault="00A85CFB" w:rsidP="00A85CFB">
      <w:pPr>
        <w:pStyle w:val="NoSpacing"/>
        <w:ind w:left="720" w:firstLine="720"/>
        <w:rPr>
          <w:bCs/>
        </w:rPr>
      </w:pPr>
    </w:p>
    <w:p w14:paraId="60AEB8C3" w14:textId="77777777" w:rsidR="00A85CFB" w:rsidRDefault="00A85CFB" w:rsidP="00A85CFB">
      <w:pPr>
        <w:pStyle w:val="NoSpacing"/>
        <w:ind w:left="720" w:firstLine="720"/>
        <w:rPr>
          <w:bCs/>
        </w:rPr>
      </w:pPr>
      <w:r>
        <w:t>***</w:t>
      </w:r>
    </w:p>
    <w:p w14:paraId="29F2F64B" w14:textId="77777777" w:rsidR="00A85CFB" w:rsidRPr="007025EB" w:rsidRDefault="00A85CFB" w:rsidP="00A85CFB">
      <w:pPr>
        <w:pStyle w:val="NoSpacing"/>
        <w:ind w:left="720" w:firstLine="720"/>
        <w:rPr>
          <w:bCs/>
        </w:rPr>
      </w:pPr>
      <w:r w:rsidRPr="007025EB">
        <w:t>After execution of the December 2020 search warrant, on February 9,</w:t>
      </w:r>
    </w:p>
    <w:p w14:paraId="68DF72D6" w14:textId="77777777" w:rsidR="00A85CFB" w:rsidRPr="007025EB" w:rsidRDefault="00A85CFB" w:rsidP="00A85CFB">
      <w:pPr>
        <w:pStyle w:val="NoSpacing"/>
        <w:ind w:left="720" w:firstLine="720"/>
        <w:rPr>
          <w:bCs/>
        </w:rPr>
      </w:pPr>
      <w:r w:rsidRPr="007025EB">
        <w:t>2021, Trooper Tray received email correspondence from Google’s “law</w:t>
      </w:r>
    </w:p>
    <w:p w14:paraId="5F45628B" w14:textId="77777777" w:rsidR="00A85CFB" w:rsidRPr="007025EB" w:rsidRDefault="00A85CFB" w:rsidP="00A85CFB">
      <w:pPr>
        <w:pStyle w:val="NoSpacing"/>
        <w:ind w:left="720" w:firstLine="720"/>
        <w:rPr>
          <w:bCs/>
        </w:rPr>
      </w:pPr>
      <w:r w:rsidRPr="007025EB">
        <w:t>enforcement portal” providing the requested anonymized list of device IDs.</w:t>
      </w:r>
    </w:p>
    <w:p w14:paraId="03E2506E" w14:textId="77777777" w:rsidR="00A85CFB" w:rsidRPr="007025EB" w:rsidRDefault="00A85CFB" w:rsidP="00A85CFB">
      <w:pPr>
        <w:pStyle w:val="NoSpacing"/>
        <w:ind w:left="720" w:firstLine="720"/>
        <w:rPr>
          <w:bCs/>
        </w:rPr>
      </w:pPr>
      <w:r w:rsidRPr="007025EB">
        <w:t>N.T., 10/5/23, at 10. At the suppression hearing, Trooper Tray testified that</w:t>
      </w:r>
    </w:p>
    <w:p w14:paraId="1C344EF3" w14:textId="77777777" w:rsidR="00A85CFB" w:rsidRPr="007025EB" w:rsidRDefault="00A85CFB" w:rsidP="00A85CFB">
      <w:pPr>
        <w:pStyle w:val="NoSpacing"/>
        <w:ind w:left="720" w:firstLine="720"/>
        <w:rPr>
          <w:bCs/>
        </w:rPr>
      </w:pPr>
      <w:proofErr w:type="gramStart"/>
      <w:r w:rsidRPr="007025EB">
        <w:t>he</w:t>
      </w:r>
      <w:proofErr w:type="gramEnd"/>
      <w:r w:rsidRPr="007025EB">
        <w:t xml:space="preserve"> identified only one device ID within the anonymized list that was relevant</w:t>
      </w:r>
    </w:p>
    <w:p w14:paraId="1DC58297" w14:textId="77777777" w:rsidR="00A85CFB" w:rsidRPr="007025EB" w:rsidRDefault="00A85CFB" w:rsidP="00A85CFB">
      <w:pPr>
        <w:pStyle w:val="NoSpacing"/>
        <w:ind w:left="720" w:firstLine="720"/>
        <w:rPr>
          <w:bCs/>
        </w:rPr>
      </w:pPr>
      <w:r w:rsidRPr="007025EB">
        <w:t>to his investigation. Id. at 11. Trooper Tray explained that, upon his request,</w:t>
      </w:r>
    </w:p>
    <w:p w14:paraId="3D2FAB2E" w14:textId="77777777" w:rsidR="00A85CFB" w:rsidRPr="007025EB" w:rsidRDefault="00A85CFB" w:rsidP="00A85CFB">
      <w:pPr>
        <w:pStyle w:val="NoSpacing"/>
        <w:ind w:left="720" w:firstLine="720"/>
        <w:rPr>
          <w:bCs/>
        </w:rPr>
      </w:pPr>
      <w:r w:rsidRPr="007025EB">
        <w:t>Google “provided more descriptive location information for that particular</w:t>
      </w:r>
    </w:p>
    <w:p w14:paraId="68C6D2C2" w14:textId="77777777" w:rsidR="00A85CFB" w:rsidRDefault="00A85CFB" w:rsidP="00A85CFB">
      <w:pPr>
        <w:pStyle w:val="NoSpacing"/>
        <w:ind w:left="720" w:firstLine="720"/>
        <w:rPr>
          <w:bCs/>
        </w:rPr>
      </w:pPr>
      <w:r w:rsidRPr="007025EB">
        <w:t>device that I found to be pertinent to my investigation.” Id. at 12.</w:t>
      </w:r>
    </w:p>
    <w:p w14:paraId="2E904E85" w14:textId="77777777" w:rsidR="00A85CFB" w:rsidRDefault="00A85CFB" w:rsidP="00A85CFB">
      <w:pPr>
        <w:pStyle w:val="NoSpacing"/>
        <w:ind w:left="720" w:firstLine="720"/>
        <w:rPr>
          <w:bCs/>
        </w:rPr>
      </w:pPr>
    </w:p>
    <w:p w14:paraId="71210953" w14:textId="77777777" w:rsidR="00A85CFB" w:rsidRDefault="00A85CFB" w:rsidP="00A85CFB">
      <w:pPr>
        <w:pStyle w:val="NoSpacing"/>
        <w:ind w:left="720" w:firstLine="720"/>
        <w:rPr>
          <w:bCs/>
        </w:rPr>
      </w:pPr>
      <w:r>
        <w:t>***</w:t>
      </w:r>
    </w:p>
    <w:p w14:paraId="1B6F9A29" w14:textId="77777777" w:rsidR="00A85CFB" w:rsidRPr="00D12DB5" w:rsidRDefault="00A85CFB" w:rsidP="00A85CFB">
      <w:pPr>
        <w:pStyle w:val="NoSpacing"/>
        <w:ind w:left="720" w:firstLine="720"/>
        <w:rPr>
          <w:bCs/>
        </w:rPr>
      </w:pPr>
      <w:r w:rsidRPr="00D12DB5">
        <w:t>On February 16, 2021, utilizing the anonymized information provided by</w:t>
      </w:r>
    </w:p>
    <w:p w14:paraId="2379C4AE" w14:textId="77777777" w:rsidR="00A85CFB" w:rsidRPr="00D12DB5" w:rsidRDefault="00A85CFB" w:rsidP="00A85CFB">
      <w:pPr>
        <w:pStyle w:val="NoSpacing"/>
        <w:ind w:left="720" w:firstLine="720"/>
        <w:rPr>
          <w:bCs/>
        </w:rPr>
      </w:pPr>
      <w:r w:rsidRPr="00D12DB5">
        <w:t>Google, Trooper Tray prepared a second search warrant, admitted into</w:t>
      </w:r>
    </w:p>
    <w:p w14:paraId="117AFA04" w14:textId="77777777" w:rsidR="00A85CFB" w:rsidRPr="00D12DB5" w:rsidRDefault="00A85CFB" w:rsidP="00A85CFB">
      <w:pPr>
        <w:pStyle w:val="NoSpacing"/>
        <w:ind w:left="720" w:firstLine="720"/>
        <w:rPr>
          <w:bCs/>
        </w:rPr>
      </w:pPr>
      <w:r w:rsidRPr="00D12DB5">
        <w:t>evidence at the suppression hearing as Commonwealth Exhibit C-2 (Exhibit C-</w:t>
      </w:r>
    </w:p>
    <w:p w14:paraId="35D624C6" w14:textId="77777777" w:rsidR="00A85CFB" w:rsidRPr="00D12DB5" w:rsidRDefault="00A85CFB" w:rsidP="00A85CFB">
      <w:pPr>
        <w:pStyle w:val="NoSpacing"/>
        <w:ind w:left="720" w:firstLine="720"/>
        <w:rPr>
          <w:bCs/>
        </w:rPr>
      </w:pPr>
      <w:r w:rsidRPr="00D12DB5">
        <w:t>2 or the February 2021 search warrant), seeking the identity of “the user or</w:t>
      </w:r>
    </w:p>
    <w:p w14:paraId="734D980B" w14:textId="77777777" w:rsidR="00A85CFB" w:rsidRPr="00D12DB5" w:rsidRDefault="00A85CFB" w:rsidP="00A85CFB">
      <w:pPr>
        <w:pStyle w:val="NoSpacing"/>
        <w:ind w:left="720" w:firstLine="720"/>
        <w:rPr>
          <w:bCs/>
        </w:rPr>
      </w:pPr>
      <w:r w:rsidRPr="00D12DB5">
        <w:t xml:space="preserve">subscriber of that </w:t>
      </w:r>
      <w:proofErr w:type="gramStart"/>
      <w:r w:rsidRPr="00D12DB5">
        <w:t>particular device</w:t>
      </w:r>
      <w:proofErr w:type="gramEnd"/>
      <w:r w:rsidRPr="00D12DB5">
        <w:t xml:space="preserve"> ID.” Id. at 12. On November 3, 2021,</w:t>
      </w:r>
    </w:p>
    <w:p w14:paraId="02CECF38" w14:textId="77777777" w:rsidR="00A85CFB" w:rsidRPr="00121CE3" w:rsidRDefault="00A85CFB" w:rsidP="00A85CFB">
      <w:pPr>
        <w:pStyle w:val="NoSpacing"/>
        <w:ind w:left="1440"/>
        <w:rPr>
          <w:bCs/>
        </w:rPr>
      </w:pPr>
      <w:r w:rsidRPr="00D12DB5">
        <w:t>Google responded to the February 2021 search warrant by providing Trooper</w:t>
      </w:r>
      <w:r>
        <w:t xml:space="preserve"> </w:t>
      </w:r>
      <w:r w:rsidRPr="00121CE3">
        <w:t xml:space="preserve">Tray with a </w:t>
      </w:r>
      <w:r>
        <w:t>‘</w:t>
      </w:r>
      <w:r w:rsidRPr="00121CE3">
        <w:t>one-page subscriber identity document that stated the G[]mail</w:t>
      </w:r>
    </w:p>
    <w:p w14:paraId="52F03623" w14:textId="77777777" w:rsidR="00A85CFB" w:rsidRPr="00121CE3" w:rsidRDefault="00A85CFB" w:rsidP="00A85CFB">
      <w:pPr>
        <w:pStyle w:val="NoSpacing"/>
        <w:ind w:left="720" w:firstLine="720"/>
        <w:rPr>
          <w:bCs/>
        </w:rPr>
      </w:pPr>
      <w:r w:rsidRPr="00121CE3">
        <w:t>account associated with that device ID, a phone number associated with the</w:t>
      </w:r>
    </w:p>
    <w:p w14:paraId="6459CFA8" w14:textId="77777777" w:rsidR="00A85CFB" w:rsidRPr="00121CE3" w:rsidRDefault="00A85CFB" w:rsidP="00A85CFB">
      <w:pPr>
        <w:pStyle w:val="NoSpacing"/>
        <w:ind w:left="720" w:firstLine="720"/>
        <w:rPr>
          <w:bCs/>
        </w:rPr>
      </w:pPr>
      <w:r w:rsidRPr="00121CE3">
        <w:t xml:space="preserve">device ID, and a name and </w:t>
      </w:r>
      <w:proofErr w:type="gramStart"/>
      <w:r w:rsidRPr="00121CE3">
        <w:t>a date</w:t>
      </w:r>
      <w:proofErr w:type="gramEnd"/>
      <w:r w:rsidRPr="00121CE3">
        <w:t xml:space="preserve"> of birth inputted by the user at the time of</w:t>
      </w:r>
    </w:p>
    <w:p w14:paraId="648042EF" w14:textId="77777777" w:rsidR="00A85CFB" w:rsidRPr="00121CE3" w:rsidRDefault="00A85CFB" w:rsidP="00A85CFB">
      <w:pPr>
        <w:pStyle w:val="NoSpacing"/>
        <w:ind w:left="720" w:firstLine="720"/>
        <w:rPr>
          <w:bCs/>
        </w:rPr>
      </w:pPr>
      <w:r w:rsidRPr="00121CE3">
        <w:t>their Google account creation[.]</w:t>
      </w:r>
      <w:r>
        <w:t>’</w:t>
      </w:r>
      <w:r w:rsidRPr="00121CE3">
        <w:t xml:space="preserve"> Id. at 13. Using this deanonymized</w:t>
      </w:r>
    </w:p>
    <w:p w14:paraId="2794C209" w14:textId="77777777" w:rsidR="00A85CFB" w:rsidRPr="00121CE3" w:rsidRDefault="00A85CFB" w:rsidP="00A85CFB">
      <w:pPr>
        <w:pStyle w:val="NoSpacing"/>
        <w:ind w:left="720" w:firstLine="720"/>
        <w:rPr>
          <w:bCs/>
        </w:rPr>
      </w:pPr>
      <w:r w:rsidRPr="00121CE3">
        <w:t>information, Trooper Tray conducted additional investigation</w:t>
      </w:r>
      <w:r>
        <w:t xml:space="preserve"> </w:t>
      </w:r>
      <w:r w:rsidRPr="00121CE3">
        <w:t>that led him to</w:t>
      </w:r>
    </w:p>
    <w:p w14:paraId="10E4ACBD" w14:textId="77777777" w:rsidR="00A85CFB" w:rsidRDefault="00A85CFB" w:rsidP="00A85CFB">
      <w:pPr>
        <w:pStyle w:val="NoSpacing"/>
        <w:ind w:left="720" w:firstLine="720"/>
        <w:rPr>
          <w:bCs/>
        </w:rPr>
      </w:pPr>
      <w:r w:rsidRPr="00121CE3">
        <w:t>charge Appellant with terroristic threats and aggravated assault.</w:t>
      </w:r>
      <w:r>
        <w:t>”</w:t>
      </w:r>
    </w:p>
    <w:p w14:paraId="2FC37D7E" w14:textId="77777777" w:rsidR="00A85CFB" w:rsidRDefault="00A85CFB" w:rsidP="00A85CFB">
      <w:pPr>
        <w:pStyle w:val="NoSpacing"/>
        <w:rPr>
          <w:bCs/>
        </w:rPr>
      </w:pPr>
    </w:p>
    <w:p w14:paraId="79B21267" w14:textId="77777777" w:rsidR="00A85CFB" w:rsidRPr="005D0E17" w:rsidRDefault="00A85CFB" w:rsidP="00A85CFB">
      <w:pPr>
        <w:pStyle w:val="NoSpacing"/>
        <w:rPr>
          <w:b/>
        </w:rPr>
      </w:pPr>
      <w:r>
        <w:rPr>
          <w:b/>
        </w:rPr>
        <w:t xml:space="preserve">Legal lesson learned: This is the first appeals court in PA to review “geofence” search warrants for cell phone location history.  Arson investigators could likewise use search warrants to locate an arsonist. </w:t>
      </w:r>
    </w:p>
    <w:p w14:paraId="3F78EC22" w14:textId="77777777" w:rsidR="00A85CFB" w:rsidRDefault="00A85CFB" w:rsidP="00A85CFB">
      <w:pPr>
        <w:pStyle w:val="NoSpacing"/>
        <w:rPr>
          <w:bCs/>
        </w:rPr>
      </w:pPr>
      <w:r>
        <w:tab/>
      </w:r>
    </w:p>
    <w:p w14:paraId="1D07B1CA" w14:textId="77777777" w:rsidR="00A85CFB" w:rsidRDefault="00A85CFB" w:rsidP="00A85CFB">
      <w:pPr>
        <w:pStyle w:val="NoSpacing"/>
        <w:ind w:left="1440"/>
        <w:rPr>
          <w:bCs/>
        </w:rPr>
      </w:pPr>
      <w:r>
        <w:t xml:space="preserve">Note:  The Court reviewed Google’s </w:t>
      </w:r>
      <w:r w:rsidRPr="00ED3CFB">
        <w:t>three-step process when</w:t>
      </w:r>
      <w:r>
        <w:t xml:space="preserve"> </w:t>
      </w:r>
      <w:r w:rsidRPr="00ED3CFB">
        <w:t xml:space="preserve">it </w:t>
      </w:r>
      <w:r>
        <w:t xml:space="preserve">receives a </w:t>
      </w:r>
      <w:r w:rsidRPr="00ED3CFB">
        <w:t xml:space="preserve">geofence </w:t>
      </w:r>
      <w:r>
        <w:t xml:space="preserve">search </w:t>
      </w:r>
      <w:r w:rsidRPr="00ED3CFB">
        <w:t>warrant</w:t>
      </w:r>
      <w:r>
        <w:t xml:space="preserve">. </w:t>
      </w:r>
    </w:p>
    <w:p w14:paraId="4B3C5944" w14:textId="77777777" w:rsidR="00A85CFB" w:rsidRDefault="00A85CFB" w:rsidP="00A85CFB">
      <w:pPr>
        <w:pStyle w:val="NoSpacing"/>
        <w:ind w:left="1440"/>
        <w:rPr>
          <w:bCs/>
        </w:rPr>
      </w:pPr>
      <w:r>
        <w:t>“</w:t>
      </w:r>
      <w:r w:rsidRPr="00ED3CFB">
        <w:t>The first step of the geofence process, whenever law enforcement</w:t>
      </w:r>
      <w:r>
        <w:t xml:space="preserve"> </w:t>
      </w:r>
      <w:r w:rsidRPr="00ED3CFB">
        <w:t xml:space="preserve">submits a [search warrant] to us, we take it, we analyze it, </w:t>
      </w:r>
      <w:proofErr w:type="spellStart"/>
      <w:r w:rsidRPr="00ED3CFB">
        <w:t>wepack</w:t>
      </w:r>
      <w:proofErr w:type="spellEnd"/>
      <w:r w:rsidRPr="00ED3CFB">
        <w:t xml:space="preserve"> it, extract the data, and then package it together, and submit</w:t>
      </w:r>
      <w:r>
        <w:t xml:space="preserve"> </w:t>
      </w:r>
      <w:r w:rsidRPr="00ED3CFB">
        <w:t>it. [We a]</w:t>
      </w:r>
      <w:proofErr w:type="spellStart"/>
      <w:r w:rsidRPr="00ED3CFB">
        <w:t>nonymize</w:t>
      </w:r>
      <w:proofErr w:type="spellEnd"/>
      <w:r w:rsidRPr="00ED3CFB">
        <w:t xml:space="preserve"> the data</w:t>
      </w:r>
      <w:r>
        <w:t xml:space="preserve"> </w:t>
      </w:r>
      <w:r w:rsidRPr="00ED3CFB">
        <w:t>and then submit it back over to</w:t>
      </w:r>
      <w:r>
        <w:t xml:space="preserve"> </w:t>
      </w:r>
      <w:r w:rsidRPr="001D1304">
        <w:t>law enforcement through our law enforcement respondent</w:t>
      </w:r>
      <w:r>
        <w:t xml:space="preserve"> </w:t>
      </w:r>
      <w:r w:rsidRPr="001D1304">
        <w:t>coordinator (Step 1)</w:t>
      </w:r>
      <w:r>
        <w:t xml:space="preserve">. </w:t>
      </w:r>
      <w:r w:rsidRPr="001D1304">
        <w:t>The next step is Step 2, and this is additional contextual</w:t>
      </w:r>
      <w:r>
        <w:t xml:space="preserve"> </w:t>
      </w:r>
      <w:r w:rsidRPr="001D1304">
        <w:t>[LH] data. …. This is data that is anonymized still, and it just</w:t>
      </w:r>
      <w:r>
        <w:t xml:space="preserve"> </w:t>
      </w:r>
      <w:r w:rsidRPr="001D1304">
        <w:t>provides a little more contex</w:t>
      </w:r>
      <w:r>
        <w:t xml:space="preserve">t </w:t>
      </w:r>
      <w:r w:rsidRPr="001D1304">
        <w:t>to the original Step 1 data (Step</w:t>
      </w:r>
      <w:r>
        <w:t xml:space="preserve"> </w:t>
      </w:r>
      <w:r w:rsidRPr="001D1304">
        <w:t>2)</w:t>
      </w:r>
      <w:r>
        <w:t xml:space="preserve">, </w:t>
      </w:r>
      <w:r w:rsidRPr="001D1304">
        <w:t xml:space="preserve">The third step is when we </w:t>
      </w:r>
      <w:proofErr w:type="gramStart"/>
      <w:r w:rsidRPr="001D1304">
        <w:t>actually unmask</w:t>
      </w:r>
      <w:proofErr w:type="gramEnd"/>
      <w:r w:rsidRPr="001D1304">
        <w:t xml:space="preserve"> and identify this</w:t>
      </w:r>
      <w:r>
        <w:t xml:space="preserve"> </w:t>
      </w:r>
      <w:r w:rsidRPr="001D1304">
        <w:t>data and produce that to law enforcement[ (Step 3)</w:t>
      </w:r>
      <w:r>
        <w:t>.”</w:t>
      </w:r>
    </w:p>
    <w:p w14:paraId="0298A34D" w14:textId="77777777" w:rsidR="00A85CFB" w:rsidRDefault="00A85CFB" w:rsidP="00607129">
      <w:pPr>
        <w:pStyle w:val="NoSpacing"/>
        <w:rPr>
          <w:rFonts w:ascii="Arial Black" w:hAnsi="Arial Black"/>
          <w:sz w:val="28"/>
          <w:szCs w:val="28"/>
        </w:rPr>
      </w:pPr>
    </w:p>
    <w:p w14:paraId="5AEA7FE3" w14:textId="230EDA17" w:rsidR="004F7489" w:rsidRDefault="004F7489" w:rsidP="004F7489">
      <w:pPr>
        <w:pStyle w:val="NoSpacing"/>
        <w:rPr>
          <w:rFonts w:ascii="Arial Black" w:hAnsi="Arial Black"/>
          <w:sz w:val="28"/>
          <w:szCs w:val="28"/>
        </w:rPr>
      </w:pPr>
      <w:r>
        <w:rPr>
          <w:rFonts w:ascii="Arial Black" w:hAnsi="Arial Black"/>
          <w:sz w:val="28"/>
          <w:szCs w:val="28"/>
        </w:rPr>
        <w:t>3-79</w:t>
      </w:r>
    </w:p>
    <w:p w14:paraId="639B6124" w14:textId="77777777" w:rsidR="004F7489" w:rsidRDefault="004F7489" w:rsidP="00607129">
      <w:pPr>
        <w:pStyle w:val="NoSpacing"/>
        <w:rPr>
          <w:rFonts w:ascii="Arial Black" w:hAnsi="Arial Black"/>
          <w:sz w:val="28"/>
          <w:szCs w:val="28"/>
        </w:rPr>
      </w:pPr>
    </w:p>
    <w:p w14:paraId="3F0F3B8C" w14:textId="77777777" w:rsidR="000946BC" w:rsidRPr="00D21228" w:rsidRDefault="000946BC" w:rsidP="000946BC">
      <w:pPr>
        <w:pStyle w:val="NoSpacing"/>
        <w:rPr>
          <w:rFonts w:ascii="Arial Black" w:hAnsi="Arial Black"/>
          <w:sz w:val="28"/>
          <w:szCs w:val="28"/>
        </w:rPr>
      </w:pPr>
      <w:r>
        <w:rPr>
          <w:rFonts w:ascii="Arial Black" w:hAnsi="Arial Black"/>
          <w:sz w:val="28"/>
          <w:szCs w:val="28"/>
        </w:rPr>
        <w:t xml:space="preserve">NJ: NO FIREAMS “SENSITIVE PLACES” – LAW UPHELD </w:t>
      </w:r>
    </w:p>
    <w:p w14:paraId="466C2D5F" w14:textId="77777777" w:rsidR="000946BC" w:rsidRDefault="000946BC" w:rsidP="000946BC">
      <w:pPr>
        <w:pStyle w:val="NoSpacing"/>
      </w:pPr>
    </w:p>
    <w:p w14:paraId="3F15623D" w14:textId="77777777" w:rsidR="000946BC" w:rsidRDefault="000946BC" w:rsidP="000946BC">
      <w:pPr>
        <w:pStyle w:val="NoSpacing"/>
      </w:pPr>
      <w:r>
        <w:t xml:space="preserve">On September 10, 2025, in </w:t>
      </w:r>
      <w:r w:rsidRPr="006D2E60">
        <w:rPr>
          <w:u w:val="single"/>
        </w:rPr>
        <w:t>Ronald Koons, Second Amendment Foundation Inc., et al. v. Attorney General of New Jersey, et al</w:t>
      </w:r>
      <w:r>
        <w:t xml:space="preserve">., the United States Court of Appeals for Third Circuit (Philadelphia) held (2 to 1) that the trial court judge improperly issued a preliminary injunction for most provisions of the 2022 New Jersey law.  Subject to minor exceptions, carrying a firearm in of these sensitive places (including bars, medical facilities, public parks, schools) constitutes a crime of the third degree, which carries a maximum sentence of five years’ imprisonment and a presumptive sentence of four years’ imprisonment. There is also a </w:t>
      </w:r>
      <w:r w:rsidRPr="00433FBF">
        <w:t>$300,000 liability insurance requirement</w:t>
      </w:r>
      <w:r>
        <w:t xml:space="preserve">.   The Court did, however, agree with District Court injunction against the requirement that those who transport guns in their private </w:t>
      </w:r>
      <w:proofErr w:type="gramStart"/>
      <w:r>
        <w:t>vehicles must</w:t>
      </w:r>
      <w:proofErr w:type="gramEnd"/>
      <w:r>
        <w:t xml:space="preserve"> unload their firearms and keep them locked in a secured container or the vehicle’s trunk.  “Because § 2C:58-4.6(b)(1)’s requirement as to private vehicles contradicts our Nation’s history and tradition, Plaintiffs are likely to succeed on the merits of their challenge to that particular restriction.”  </w:t>
      </w:r>
    </w:p>
    <w:p w14:paraId="32669800" w14:textId="77777777" w:rsidR="000946BC" w:rsidRDefault="000946BC" w:rsidP="000946BC">
      <w:pPr>
        <w:pStyle w:val="NoSpacing"/>
      </w:pPr>
    </w:p>
    <w:p w14:paraId="24E209AC" w14:textId="77777777" w:rsidR="000946BC" w:rsidRDefault="000946BC" w:rsidP="000946BC">
      <w:pPr>
        <w:pStyle w:val="NoSpacing"/>
      </w:pPr>
      <w:r w:rsidRPr="00693533">
        <w:rPr>
          <w:b/>
        </w:rPr>
        <w:t>THE COURT HELD</w:t>
      </w:r>
      <w:r>
        <w:t xml:space="preserve">: “Today, we must decide a question of immense public importance: whether it is likely that provisions of New Jersey Public Law 2022, Chapter 131, which impose certain firearms-permitting requirements and prohibit the carrying of firearms in certain ‘sensitive places,’ passes constitutional muster. For the most part, we agree with New Jersey and join our sister circuits that have upheld similar sensitive-places laws. *** Two terms ago, in </w:t>
      </w:r>
      <w:r w:rsidRPr="00960ADD">
        <w:rPr>
          <w:i/>
          <w:iCs/>
        </w:rPr>
        <w:t>United States v. Rahimi</w:t>
      </w:r>
      <w:r>
        <w:t xml:space="preserve">, the Supreme Court elaborated on Bruen. 602 U.S. 680 (2024). There, the Court rejected a challenge to the constitutionality of 18 U.S.C. § 922(g)(8), which bars a person subject to a domestic violence restraining order from possessing a firearm if he is found to pose a credible threat to his partner. *** </w:t>
      </w:r>
      <w:r w:rsidRPr="00B511E1">
        <w:t>[BARS]</w:t>
      </w:r>
      <w:r>
        <w:rPr>
          <w:b/>
        </w:rPr>
        <w:t xml:space="preserve">  </w:t>
      </w:r>
      <w:r>
        <w:t xml:space="preserve">Plaintiffs’ challenge to N.J. Stat. Ann. § 2C:58-4.6(a)(15) (proscribing firearms in ‘a bar or restaurant where alcohol is served, and any other site or facility where alcohol is sold for consumption on the premises’) fares no better…. Just as the Second and Ninth Circuits concluded in evaluating nearly identical laws, we hold that New Jersey’s statute is entirely consistent with the principle that legislatures may prohibit the carry of firearms in locations where they may be especially susceptible to misuse. *** </w:t>
      </w:r>
      <w:r w:rsidRPr="00B511E1">
        <w:t>[HEALTH CARE FACILITIES]</w:t>
      </w:r>
      <w:r>
        <w:rPr>
          <w:b/>
        </w:rPr>
        <w:t xml:space="preserve">  </w:t>
      </w:r>
      <w:r>
        <w:t xml:space="preserve">We next turn to Plaintiffs’ challenge to N.J. Stat. Ann. § 2C:58-4.6(a)(21)’s prohibition on carrying firearms at any ‘health care facility[.]’… As the Second Circuit recently concluded, ‘statutes of Maine, Massachusetts, and Rhode Island, which prohibited those with mental illness, intellectual disabilities, and alcohol addiction from serving in militias,’ which ‘were aimed at protecting vulnerable populations from either misusing arms or having arms used against them,’ embody a longstanding tradition of firearm regulation in locations where vulnerable populations are present.’ Id. at 1010–11. We agree and join our sister circuit in recognizing this principle of our Nation’s regulatory </w:t>
      </w:r>
      <w:proofErr w:type="gramStart"/>
      <w:r>
        <w:t>tradition.”</w:t>
      </w:r>
      <w:proofErr w:type="gramEnd"/>
      <w:r>
        <w:t xml:space="preserve"> </w:t>
      </w:r>
      <w:hyperlink r:id="rId648" w:history="1">
        <w:r w:rsidRPr="001E16A5">
          <w:rPr>
            <w:rStyle w:val="Hyperlink"/>
          </w:rPr>
          <w:t>https://www2.ca3.uscourts.gov/opinarch/231900p.pdf</w:t>
        </w:r>
      </w:hyperlink>
      <w:r>
        <w:t xml:space="preserve"> </w:t>
      </w:r>
    </w:p>
    <w:p w14:paraId="0E99E4E1" w14:textId="77777777" w:rsidR="000946BC" w:rsidRDefault="000946BC" w:rsidP="000946BC">
      <w:pPr>
        <w:pStyle w:val="NoSpacing"/>
      </w:pPr>
    </w:p>
    <w:p w14:paraId="40EE339A" w14:textId="77777777" w:rsidR="000946BC" w:rsidRDefault="000946BC" w:rsidP="000946BC">
      <w:pPr>
        <w:pStyle w:val="NoSpacing"/>
      </w:pPr>
    </w:p>
    <w:p w14:paraId="0D3E66B4" w14:textId="77777777" w:rsidR="000946BC" w:rsidRPr="005A464F" w:rsidRDefault="000946BC" w:rsidP="000946BC">
      <w:pPr>
        <w:pStyle w:val="NoSpacing"/>
        <w:rPr>
          <w:b/>
          <w:bCs/>
        </w:rPr>
      </w:pPr>
      <w:r w:rsidRPr="005A464F">
        <w:rPr>
          <w:b/>
        </w:rPr>
        <w:t>KEY FACTS:</w:t>
      </w:r>
    </w:p>
    <w:p w14:paraId="2DF6AD02" w14:textId="77777777" w:rsidR="000946BC" w:rsidRDefault="000946BC" w:rsidP="000946BC">
      <w:pPr>
        <w:pStyle w:val="NoSpacing"/>
      </w:pPr>
    </w:p>
    <w:p w14:paraId="6B57E03E" w14:textId="77777777" w:rsidR="000946BC" w:rsidRDefault="000946BC" w:rsidP="000946BC">
      <w:pPr>
        <w:pStyle w:val="NoSpacing"/>
        <w:ind w:left="360"/>
      </w:pPr>
      <w:r>
        <w:t xml:space="preserve">“For many decades, New Jersey required anyone who wanted to carry a handgun in public to show a ‘justifiable need’ for self-protection. In 2022, the Supreme Court held in </w:t>
      </w:r>
      <w:r w:rsidRPr="00AC3A70">
        <w:rPr>
          <w:i/>
          <w:iCs/>
        </w:rPr>
        <w:t>New York State Rifle &amp; Pistol Association v.</w:t>
      </w:r>
      <w:r>
        <w:rPr>
          <w:i/>
          <w:iCs/>
        </w:rPr>
        <w:t xml:space="preserve"> </w:t>
      </w:r>
      <w:r w:rsidRPr="00AC3A70">
        <w:rPr>
          <w:i/>
          <w:iCs/>
        </w:rPr>
        <w:t>Bruen, 597 U.S. 1 (2022),</w:t>
      </w:r>
      <w:r>
        <w:rPr>
          <w:i/>
          <w:iCs/>
        </w:rPr>
        <w:t xml:space="preserve"> </w:t>
      </w:r>
      <w:r>
        <w:t xml:space="preserve">that a similar New York law violated the Second Amendment of the U.S. Constitution. In response, the New Jersey legislature in 2022 enacted a measure known as Chapter 131, which excised the “justifiable need” requirement and added new licensing provisions and locational restrictions.  N.J. Stat. Ann. § 2C:58-4.6(a), prohibits carrying a firearm in twenty-five “sensitive places,” including: </w:t>
      </w:r>
    </w:p>
    <w:p w14:paraId="2542A568" w14:textId="77777777" w:rsidR="000946BC" w:rsidRDefault="000946BC" w:rsidP="000946BC">
      <w:pPr>
        <w:pStyle w:val="NoSpacing"/>
        <w:numPr>
          <w:ilvl w:val="0"/>
          <w:numId w:val="31"/>
        </w:numPr>
      </w:pPr>
      <w:r>
        <w:t>within 100 feet of a place where a public gathering, demonstration or event is held</w:t>
      </w:r>
    </w:p>
    <w:p w14:paraId="08D05C6E" w14:textId="77777777" w:rsidR="000946BC" w:rsidRDefault="000946BC" w:rsidP="000946BC">
      <w:pPr>
        <w:pStyle w:val="NoSpacing"/>
        <w:ind w:left="720"/>
      </w:pPr>
      <w:r>
        <w:t>for which a government permit is required, during the conduct of such gathering, demonstration or event;</w:t>
      </w:r>
    </w:p>
    <w:p w14:paraId="3C768CAD" w14:textId="77777777" w:rsidR="000946BC" w:rsidRDefault="000946BC" w:rsidP="000946BC">
      <w:pPr>
        <w:pStyle w:val="NoSpacing"/>
        <w:numPr>
          <w:ilvl w:val="0"/>
          <w:numId w:val="31"/>
        </w:numPr>
      </w:pPr>
      <w:r>
        <w:t>a school, college, university or other educational institution, and on any school</w:t>
      </w:r>
    </w:p>
    <w:p w14:paraId="2AFFA2D7" w14:textId="77777777" w:rsidR="000946BC" w:rsidRDefault="000946BC" w:rsidP="000946BC">
      <w:pPr>
        <w:pStyle w:val="NoSpacing"/>
        <w:ind w:firstLine="720"/>
      </w:pPr>
      <w:r>
        <w:t>bus;</w:t>
      </w:r>
    </w:p>
    <w:p w14:paraId="2C16CB5A" w14:textId="77777777" w:rsidR="000946BC" w:rsidRPr="00375A0E" w:rsidRDefault="000946BC" w:rsidP="000946BC">
      <w:pPr>
        <w:pStyle w:val="NoSpacing"/>
        <w:numPr>
          <w:ilvl w:val="0"/>
          <w:numId w:val="31"/>
        </w:numPr>
      </w:pPr>
      <w:r w:rsidRPr="00375A0E">
        <w:t>a bar or restaurant where alcohol is</w:t>
      </w:r>
      <w:r>
        <w:t xml:space="preserve"> </w:t>
      </w:r>
      <w:r w:rsidRPr="00375A0E">
        <w:t xml:space="preserve">served, and any other site or facility </w:t>
      </w:r>
      <w:proofErr w:type="gramStart"/>
      <w:r w:rsidRPr="00375A0E">
        <w:t>where</w:t>
      </w:r>
      <w:proofErr w:type="gramEnd"/>
    </w:p>
    <w:p w14:paraId="01840CD9" w14:textId="77777777" w:rsidR="000946BC" w:rsidRDefault="000946BC" w:rsidP="000946BC">
      <w:pPr>
        <w:pStyle w:val="NoSpacing"/>
        <w:ind w:firstLine="720"/>
      </w:pPr>
      <w:r w:rsidRPr="00375A0E">
        <w:t>alcohol is sold for consumption on the</w:t>
      </w:r>
      <w:r>
        <w:t xml:space="preserve"> </w:t>
      </w:r>
      <w:r w:rsidRPr="00375A0E">
        <w:t>premises</w:t>
      </w:r>
      <w:r>
        <w:t>.</w:t>
      </w:r>
    </w:p>
    <w:p w14:paraId="41ED8972" w14:textId="77777777" w:rsidR="000946BC" w:rsidRDefault="000946BC" w:rsidP="000946BC">
      <w:pPr>
        <w:pStyle w:val="NoSpacing"/>
        <w:numPr>
          <w:ilvl w:val="0"/>
          <w:numId w:val="32"/>
        </w:numPr>
      </w:pPr>
      <w:r>
        <w:t>a health care facility, including but not limited to a general hospital, special</w:t>
      </w:r>
    </w:p>
    <w:p w14:paraId="50BE9F20" w14:textId="77777777" w:rsidR="000946BC" w:rsidRDefault="000946BC" w:rsidP="000946BC">
      <w:pPr>
        <w:pStyle w:val="NoSpacing"/>
        <w:ind w:firstLine="720"/>
      </w:pPr>
      <w:r>
        <w:t>hospital, psychiatric hospital, public health center, diagnostic center, treatment</w:t>
      </w:r>
    </w:p>
    <w:p w14:paraId="3BEB6338" w14:textId="77777777" w:rsidR="000946BC" w:rsidRDefault="000946BC" w:rsidP="000946BC">
      <w:pPr>
        <w:pStyle w:val="NoSpacing"/>
        <w:ind w:left="720"/>
      </w:pPr>
      <w:r>
        <w:t>center, rehabilitation center, extended care facility, skilled nursing home, nursing home, intermediate care facility, tuberculosis hospital, chronic disease hospital, maternity hospital, outpatient clinic, dispensary, assisted living center, home health care agency, residential treatment facility, residential health care facility, medical office, or ambulatory</w:t>
      </w:r>
    </w:p>
    <w:p w14:paraId="504A37F4" w14:textId="77777777" w:rsidR="000946BC" w:rsidRDefault="000946BC" w:rsidP="000946BC">
      <w:pPr>
        <w:pStyle w:val="NoSpacing"/>
        <w:ind w:firstLine="720"/>
      </w:pPr>
      <w:r>
        <w:t>care facility.”</w:t>
      </w:r>
    </w:p>
    <w:p w14:paraId="4A5178F6" w14:textId="77777777" w:rsidR="000946BC" w:rsidRDefault="000946BC" w:rsidP="000946BC">
      <w:pPr>
        <w:pStyle w:val="NoSpacing"/>
      </w:pPr>
    </w:p>
    <w:p w14:paraId="329A4FBB" w14:textId="77777777" w:rsidR="000946BC" w:rsidRDefault="000946BC" w:rsidP="000946BC">
      <w:pPr>
        <w:pStyle w:val="NoSpacing"/>
        <w:rPr>
          <w:b/>
          <w:bCs/>
        </w:rPr>
      </w:pPr>
      <w:r>
        <w:rPr>
          <w:b/>
        </w:rPr>
        <w:t>Legal lesson learned:  This case does indeed involve a “</w:t>
      </w:r>
      <w:r w:rsidRPr="00BC287F">
        <w:rPr>
          <w:b/>
        </w:rPr>
        <w:t>question of immense public</w:t>
      </w:r>
      <w:r>
        <w:rPr>
          <w:b/>
        </w:rPr>
        <w:t xml:space="preserve"> </w:t>
      </w:r>
      <w:r w:rsidRPr="00BC287F">
        <w:rPr>
          <w:b/>
        </w:rPr>
        <w:t>importance</w:t>
      </w:r>
      <w:r>
        <w:rPr>
          <w:b/>
        </w:rPr>
        <w:t>.”  The dissenting Circuit Judge, however, described the impact on law abiding citizens, including EMS who wish to carry firearms off duty.</w:t>
      </w:r>
    </w:p>
    <w:p w14:paraId="64F19505" w14:textId="77777777" w:rsidR="000946BC" w:rsidRDefault="000946BC" w:rsidP="000946BC">
      <w:pPr>
        <w:pStyle w:val="NoSpacing"/>
        <w:rPr>
          <w:b/>
          <w:bCs/>
        </w:rPr>
      </w:pPr>
    </w:p>
    <w:p w14:paraId="22EEC3B9" w14:textId="77777777" w:rsidR="000946BC" w:rsidRDefault="000946BC" w:rsidP="000946BC">
      <w:pPr>
        <w:pStyle w:val="NoSpacing"/>
        <w:ind w:left="720"/>
      </w:pPr>
      <w:r w:rsidRPr="0094749A">
        <w:t xml:space="preserve">Note: The dissenting Circuit Judge, David J. Porter, discussed impact of the statute on a </w:t>
      </w:r>
      <w:r>
        <w:t>former EMT and current Medical Reserve Corps volunteer.</w:t>
      </w:r>
    </w:p>
    <w:p w14:paraId="3CD7610E" w14:textId="77777777" w:rsidR="000946BC" w:rsidRDefault="000946BC" w:rsidP="000946BC">
      <w:pPr>
        <w:pStyle w:val="NoSpacing"/>
        <w:ind w:left="720"/>
      </w:pPr>
    </w:p>
    <w:p w14:paraId="2DB32F8D" w14:textId="77777777" w:rsidR="000946BC" w:rsidRDefault="000946BC" w:rsidP="000946BC">
      <w:pPr>
        <w:ind w:left="720"/>
        <w:rPr>
          <w:bCs/>
        </w:rPr>
      </w:pPr>
      <w:r>
        <w:t>“</w:t>
      </w:r>
      <w:r w:rsidRPr="00D5033F">
        <w:t>This case is different because Plaintiffs are already experiencing harm. Siegel, a former Emergency Medical Technician and current New Jersey Medical Reserve Corps volunteer</w:t>
      </w:r>
      <w:r>
        <w:t xml:space="preserve"> … </w:t>
      </w:r>
      <w:r w:rsidRPr="00D5033F">
        <w:t>often carried his handgun, lawfully, for self-defense in his medical work. Now he doesn't carry out of fear of arrest and prosecution</w:t>
      </w:r>
      <w:r>
        <w:t xml:space="preserve">…. </w:t>
      </w:r>
      <w:r w:rsidRPr="00D5033F">
        <w:t>Like most people, Siegel frequents strip malls, museums, zoos, libraries, public parks, movie theaters, concerts, sporting events, and restaurants where alcohol is served. He rides public transportation. He sometimes visits casinos to gamble and attend shows. He takes continuing education courses, sometimes in hospitals and training centers. In these and other places where Siegel normally goes, he would ordinarily carry a handgun, but now he refrains from doing so out of fear of arrest and</w:t>
      </w:r>
      <w:r>
        <w:t xml:space="preserve"> </w:t>
      </w:r>
      <w:proofErr w:type="gramStart"/>
      <w:r w:rsidRPr="00D5033F">
        <w:t>prosecution</w:t>
      </w:r>
      <w:r>
        <w:t>.”</w:t>
      </w:r>
      <w:proofErr w:type="gramEnd"/>
      <w:r w:rsidRPr="00D5033F">
        <w:t> </w:t>
      </w:r>
      <w:r>
        <w:t xml:space="preserve"> </w:t>
      </w:r>
    </w:p>
    <w:p w14:paraId="4E34096A" w14:textId="77777777" w:rsidR="000946BC" w:rsidRDefault="000946BC" w:rsidP="000946BC">
      <w:hyperlink r:id="rId649" w:history="1">
        <w:r w:rsidRPr="001E16A5">
          <w:rPr>
            <w:rStyle w:val="Hyperlink"/>
          </w:rPr>
          <w:t>https://www2.ca3.uscourts.gov/opinarch/231900p.pdf</w:t>
        </w:r>
      </w:hyperlink>
    </w:p>
    <w:p w14:paraId="4C425189" w14:textId="77777777" w:rsidR="00440B47" w:rsidRDefault="00440B47" w:rsidP="00607129">
      <w:pPr>
        <w:pStyle w:val="NoSpacing"/>
        <w:rPr>
          <w:rFonts w:ascii="Arial Black" w:hAnsi="Arial Black"/>
          <w:sz w:val="28"/>
          <w:szCs w:val="28"/>
        </w:rPr>
      </w:pPr>
    </w:p>
    <w:p w14:paraId="4EF55C4E" w14:textId="5C914649" w:rsidR="00E24913" w:rsidRDefault="00E24913" w:rsidP="00607129">
      <w:pPr>
        <w:pStyle w:val="NoSpacing"/>
        <w:rPr>
          <w:rFonts w:ascii="Arial Black" w:hAnsi="Arial Black"/>
          <w:sz w:val="28"/>
          <w:szCs w:val="28"/>
        </w:rPr>
      </w:pPr>
      <w:r>
        <w:rPr>
          <w:rFonts w:ascii="Arial Black" w:hAnsi="Arial Black"/>
          <w:sz w:val="28"/>
          <w:szCs w:val="28"/>
        </w:rPr>
        <w:t>3-78</w:t>
      </w:r>
    </w:p>
    <w:p w14:paraId="5EAF607E" w14:textId="77777777" w:rsidR="00E24913" w:rsidRDefault="00E24913" w:rsidP="00607129">
      <w:pPr>
        <w:pStyle w:val="NoSpacing"/>
        <w:rPr>
          <w:rFonts w:ascii="Arial Black" w:hAnsi="Arial Black"/>
          <w:sz w:val="28"/>
          <w:szCs w:val="28"/>
        </w:rPr>
      </w:pPr>
    </w:p>
    <w:p w14:paraId="55F40204" w14:textId="77777777" w:rsidR="00E64DE3" w:rsidRDefault="00E64DE3" w:rsidP="00E64DE3">
      <w:pPr>
        <w:pStyle w:val="NoSpacing"/>
        <w:rPr>
          <w:rFonts w:ascii="Arial Black" w:hAnsi="Arial Black"/>
          <w:sz w:val="28"/>
          <w:szCs w:val="28"/>
        </w:rPr>
      </w:pPr>
      <w:r>
        <w:rPr>
          <w:rFonts w:ascii="Arial Black" w:hAnsi="Arial Black"/>
          <w:sz w:val="28"/>
          <w:szCs w:val="28"/>
        </w:rPr>
        <w:t xml:space="preserve">CA: AMMO PURCHASES – CA BACKGROUND CHECKS </w:t>
      </w:r>
    </w:p>
    <w:p w14:paraId="0CFE3816" w14:textId="77777777" w:rsidR="00E64DE3" w:rsidRDefault="00E64DE3" w:rsidP="00E64DE3">
      <w:pPr>
        <w:pStyle w:val="NoSpacing"/>
      </w:pPr>
    </w:p>
    <w:p w14:paraId="0FBA554C" w14:textId="77777777" w:rsidR="00E64DE3" w:rsidRPr="00B5776F" w:rsidRDefault="00E64DE3" w:rsidP="00E64DE3">
      <w:pPr>
        <w:pStyle w:val="NoSpacing"/>
        <w:rPr>
          <w:rFonts w:ascii="Times New Roman" w:hAnsi="Times New Roman"/>
          <w:sz w:val="24"/>
          <w:szCs w:val="24"/>
        </w:rPr>
      </w:pPr>
      <w:r w:rsidRPr="00B5776F">
        <w:rPr>
          <w:rFonts w:ascii="Times New Roman" w:hAnsi="Times New Roman"/>
          <w:sz w:val="24"/>
          <w:szCs w:val="24"/>
        </w:rPr>
        <w:t xml:space="preserve">On July 24, 2025, in </w:t>
      </w:r>
      <w:r w:rsidRPr="00B5776F">
        <w:rPr>
          <w:rFonts w:ascii="Times New Roman" w:hAnsi="Times New Roman"/>
          <w:sz w:val="24"/>
          <w:szCs w:val="24"/>
          <w:u w:val="single"/>
        </w:rPr>
        <w:t>Kim Rhode, et al. v. Rob Bonta, in his official capacity as Attorney General of the State of California</w:t>
      </w:r>
      <w:r w:rsidRPr="00B5776F">
        <w:rPr>
          <w:rFonts w:ascii="Times New Roman" w:hAnsi="Times New Roman"/>
          <w:sz w:val="24"/>
          <w:szCs w:val="24"/>
        </w:rPr>
        <w:t>, the U.S. Court of Appeals for 9</w:t>
      </w:r>
      <w:r w:rsidRPr="00B5776F">
        <w:rPr>
          <w:rFonts w:ascii="Times New Roman" w:hAnsi="Times New Roman"/>
          <w:sz w:val="24"/>
          <w:szCs w:val="24"/>
          <w:vertAlign w:val="superscript"/>
        </w:rPr>
        <w:t>th</w:t>
      </w:r>
      <w:r w:rsidRPr="00B5776F">
        <w:rPr>
          <w:rFonts w:ascii="Times New Roman" w:hAnsi="Times New Roman"/>
          <w:sz w:val="24"/>
          <w:szCs w:val="24"/>
        </w:rPr>
        <w:t xml:space="preserve"> Circuit (San Francisco) held (2 to 1) that California’s “first-of-its-find” ammunition background checks before each ammo purchase violates the Second Amendment. THE COURT HELD: “We hold that California’s ammunition</w:t>
      </w:r>
    </w:p>
    <w:p w14:paraId="70BE774F" w14:textId="7A670C03" w:rsidR="00E64DE3" w:rsidRPr="00B5776F" w:rsidRDefault="00E64DE3" w:rsidP="00E64DE3">
      <w:pPr>
        <w:pStyle w:val="NoSpacing"/>
        <w:rPr>
          <w:rFonts w:ascii="Times New Roman" w:hAnsi="Times New Roman"/>
          <w:sz w:val="24"/>
          <w:szCs w:val="24"/>
        </w:rPr>
      </w:pPr>
      <w:r w:rsidRPr="00B5776F">
        <w:rPr>
          <w:rFonts w:ascii="Times New Roman" w:hAnsi="Times New Roman"/>
          <w:sz w:val="24"/>
          <w:szCs w:val="24"/>
        </w:rPr>
        <w:t xml:space="preserve">background check regime is unconstitutional, and we affirm the district court’s grant of a permanent injunction.”  </w:t>
      </w:r>
      <w:hyperlink r:id="rId650" w:history="1">
        <w:r w:rsidRPr="00B5776F">
          <w:rPr>
            <w:rStyle w:val="Hyperlink"/>
            <w:rFonts w:ascii="Times New Roman" w:hAnsi="Times New Roman"/>
            <w:sz w:val="24"/>
            <w:szCs w:val="24"/>
          </w:rPr>
          <w:t>https://cdn.ca9.uscourts.gov/datastore/opinions/2025/07/24/24-542.pdf</w:t>
        </w:r>
      </w:hyperlink>
    </w:p>
    <w:p w14:paraId="2EA8CC5D" w14:textId="77777777" w:rsidR="00B5776F" w:rsidRPr="00B5776F" w:rsidRDefault="00B5776F" w:rsidP="00B5776F">
      <w:pPr>
        <w:pStyle w:val="NoSpacing"/>
        <w:rPr>
          <w:rFonts w:ascii="Times New Roman" w:hAnsi="Times New Roman"/>
          <w:bCs/>
          <w:sz w:val="24"/>
          <w:szCs w:val="24"/>
        </w:rPr>
      </w:pPr>
      <w:r w:rsidRPr="00B5776F">
        <w:rPr>
          <w:rFonts w:ascii="Times New Roman" w:hAnsi="Times New Roman"/>
          <w:sz w:val="24"/>
          <w:szCs w:val="24"/>
        </w:rPr>
        <w:t xml:space="preserve">Dissent:  </w:t>
      </w:r>
    </w:p>
    <w:p w14:paraId="1CB4CB67" w14:textId="77777777" w:rsidR="00B5776F" w:rsidRPr="00B5776F" w:rsidRDefault="00B5776F" w:rsidP="00B5776F">
      <w:pPr>
        <w:pStyle w:val="NoSpacing"/>
        <w:rPr>
          <w:rFonts w:ascii="Times New Roman" w:hAnsi="Times New Roman"/>
          <w:bCs/>
          <w:sz w:val="24"/>
          <w:szCs w:val="24"/>
        </w:rPr>
      </w:pPr>
    </w:p>
    <w:p w14:paraId="5EEBEA0F" w14:textId="77777777" w:rsidR="00B5776F" w:rsidRPr="00B5776F" w:rsidRDefault="00B5776F" w:rsidP="00B5776F">
      <w:pPr>
        <w:pStyle w:val="NoSpacing"/>
        <w:ind w:left="720"/>
        <w:rPr>
          <w:rFonts w:ascii="Times New Roman" w:hAnsi="Times New Roman"/>
          <w:bCs/>
          <w:sz w:val="24"/>
          <w:szCs w:val="24"/>
        </w:rPr>
      </w:pPr>
      <w:r w:rsidRPr="00B5776F">
        <w:rPr>
          <w:rFonts w:ascii="Times New Roman" w:hAnsi="Times New Roman"/>
          <w:sz w:val="24"/>
          <w:szCs w:val="24"/>
        </w:rPr>
        <w:t>“California, which has administered the scheme since 2019, has shown that the vast majority of its checks cost one dollar and impose less than one minute of delay.”</w:t>
      </w:r>
    </w:p>
    <w:p w14:paraId="1B7F31C5" w14:textId="77777777" w:rsidR="00B5776F" w:rsidRPr="00B5776F" w:rsidRDefault="00B5776F" w:rsidP="00B5776F">
      <w:pPr>
        <w:pStyle w:val="NoSpacing"/>
        <w:ind w:left="720"/>
        <w:rPr>
          <w:rFonts w:ascii="Times New Roman" w:hAnsi="Times New Roman"/>
          <w:bCs/>
          <w:sz w:val="24"/>
          <w:szCs w:val="24"/>
        </w:rPr>
      </w:pPr>
    </w:p>
    <w:p w14:paraId="79A510C1" w14:textId="77777777" w:rsidR="00B5776F" w:rsidRPr="00B5776F" w:rsidRDefault="00B5776F" w:rsidP="00B5776F">
      <w:pPr>
        <w:pStyle w:val="NoSpacing"/>
        <w:rPr>
          <w:rFonts w:ascii="Times New Roman" w:hAnsi="Times New Roman"/>
          <w:b/>
          <w:sz w:val="24"/>
          <w:szCs w:val="24"/>
        </w:rPr>
      </w:pPr>
      <w:r w:rsidRPr="00B5776F">
        <w:rPr>
          <w:rFonts w:ascii="Times New Roman" w:hAnsi="Times New Roman"/>
          <w:b/>
          <w:sz w:val="24"/>
          <w:szCs w:val="24"/>
        </w:rPr>
        <w:t xml:space="preserve">Legal lesson learned:  California may appeal to U.S. Supreme Court (but this requires 4 Justices to agree to hear the appeal).  It’s time for Congress to close “loopholes” in firearm laws; quick background checks to buy ammo seems like an excellent law. </w:t>
      </w:r>
    </w:p>
    <w:p w14:paraId="63E6F744" w14:textId="77777777" w:rsidR="00B5776F" w:rsidRDefault="00B5776F" w:rsidP="00E64DE3">
      <w:pPr>
        <w:pStyle w:val="NoSpacing"/>
        <w:rPr>
          <w:rFonts w:ascii="Arial Black" w:hAnsi="Arial Black"/>
          <w:sz w:val="28"/>
          <w:szCs w:val="28"/>
        </w:rPr>
      </w:pPr>
    </w:p>
    <w:p w14:paraId="60B17B02" w14:textId="77777777" w:rsidR="00E24913" w:rsidRDefault="00E24913" w:rsidP="00607129">
      <w:pPr>
        <w:pStyle w:val="NoSpacing"/>
        <w:rPr>
          <w:rFonts w:ascii="Arial Black" w:hAnsi="Arial Black"/>
          <w:sz w:val="28"/>
          <w:szCs w:val="28"/>
        </w:rPr>
      </w:pPr>
    </w:p>
    <w:p w14:paraId="1BD8404A" w14:textId="77777777" w:rsidR="00E24913" w:rsidRDefault="00E24913" w:rsidP="00607129">
      <w:pPr>
        <w:pStyle w:val="NoSpacing"/>
        <w:rPr>
          <w:rFonts w:ascii="Arial Black" w:hAnsi="Arial Black"/>
          <w:sz w:val="28"/>
          <w:szCs w:val="28"/>
        </w:rPr>
      </w:pPr>
    </w:p>
    <w:p w14:paraId="3F9153E9" w14:textId="77777777" w:rsidR="00E24913" w:rsidRDefault="00E24913" w:rsidP="00607129">
      <w:pPr>
        <w:pStyle w:val="NoSpacing"/>
        <w:rPr>
          <w:rFonts w:ascii="Arial Black" w:hAnsi="Arial Black"/>
          <w:sz w:val="28"/>
          <w:szCs w:val="28"/>
        </w:rPr>
      </w:pPr>
    </w:p>
    <w:p w14:paraId="2DB361C3" w14:textId="52270FAD" w:rsidR="00607129" w:rsidRDefault="00607129" w:rsidP="00607129">
      <w:pPr>
        <w:pStyle w:val="NoSpacing"/>
        <w:rPr>
          <w:rFonts w:ascii="Arial Black" w:hAnsi="Arial Black"/>
          <w:sz w:val="28"/>
          <w:szCs w:val="28"/>
        </w:rPr>
      </w:pPr>
      <w:r>
        <w:rPr>
          <w:rFonts w:ascii="Arial Black" w:hAnsi="Arial Black"/>
          <w:sz w:val="28"/>
          <w:szCs w:val="28"/>
        </w:rPr>
        <w:t>3-7</w:t>
      </w:r>
      <w:r w:rsidR="00680234">
        <w:rPr>
          <w:rFonts w:ascii="Arial Black" w:hAnsi="Arial Black"/>
          <w:sz w:val="28"/>
          <w:szCs w:val="28"/>
        </w:rPr>
        <w:t>7</w:t>
      </w:r>
    </w:p>
    <w:p w14:paraId="72868543" w14:textId="77777777" w:rsidR="00607129" w:rsidRDefault="00607129" w:rsidP="00F326E5">
      <w:pPr>
        <w:pStyle w:val="NoSpacing"/>
        <w:rPr>
          <w:rFonts w:ascii="Arial Black" w:hAnsi="Arial Black"/>
          <w:sz w:val="28"/>
          <w:szCs w:val="28"/>
        </w:rPr>
      </w:pPr>
    </w:p>
    <w:p w14:paraId="1AB4EDF9" w14:textId="33BCA391" w:rsidR="002333BA" w:rsidRDefault="002333BA" w:rsidP="002333BA">
      <w:pPr>
        <w:rPr>
          <w:rFonts w:ascii="Arial Black" w:hAnsi="Arial Black"/>
          <w:b/>
          <w:sz w:val="28"/>
          <w:szCs w:val="28"/>
        </w:rPr>
      </w:pPr>
      <w:r>
        <w:rPr>
          <w:rFonts w:ascii="Arial Black" w:hAnsi="Arial Black"/>
          <w:b/>
          <w:sz w:val="28"/>
          <w:szCs w:val="28"/>
        </w:rPr>
        <w:t>U.S. SUP. CT – DEPORTATION 3</w:t>
      </w:r>
      <w:r w:rsidRPr="00995B6B">
        <w:rPr>
          <w:rFonts w:ascii="Arial Black" w:hAnsi="Arial Black"/>
          <w:b/>
          <w:sz w:val="28"/>
          <w:szCs w:val="28"/>
          <w:vertAlign w:val="superscript"/>
        </w:rPr>
        <w:t>rd</w:t>
      </w:r>
      <w:r>
        <w:rPr>
          <w:rFonts w:ascii="Arial Black" w:hAnsi="Arial Black"/>
          <w:b/>
          <w:sz w:val="28"/>
          <w:szCs w:val="28"/>
        </w:rPr>
        <w:t xml:space="preserve"> COUNTRIES – NO INJUCT</w:t>
      </w:r>
      <w:r w:rsidR="00064669">
        <w:rPr>
          <w:rFonts w:ascii="Arial Black" w:hAnsi="Arial Black"/>
          <w:b/>
          <w:sz w:val="28"/>
          <w:szCs w:val="28"/>
        </w:rPr>
        <w:t>ION</w:t>
      </w:r>
    </w:p>
    <w:p w14:paraId="2A1A1E82" w14:textId="77777777" w:rsidR="002333BA" w:rsidRPr="00B5776F" w:rsidRDefault="002333BA" w:rsidP="002333BA">
      <w:pPr>
        <w:pStyle w:val="NoSpacing"/>
        <w:rPr>
          <w:rFonts w:ascii="Times New Roman" w:hAnsi="Times New Roman"/>
          <w:bCs/>
          <w:sz w:val="24"/>
          <w:szCs w:val="24"/>
        </w:rPr>
      </w:pPr>
      <w:r w:rsidRPr="00B5776F">
        <w:rPr>
          <w:rFonts w:ascii="Times New Roman" w:hAnsi="Times New Roman"/>
          <w:sz w:val="24"/>
          <w:szCs w:val="24"/>
        </w:rPr>
        <w:t xml:space="preserve">On June 23, 2025, in </w:t>
      </w:r>
      <w:r w:rsidRPr="00B5776F">
        <w:rPr>
          <w:rFonts w:ascii="Times New Roman" w:hAnsi="Times New Roman"/>
          <w:sz w:val="24"/>
          <w:szCs w:val="24"/>
          <w:u w:val="single"/>
        </w:rPr>
        <w:t>Department of Homeland Security, et al. v. D.V.D., et al</w:t>
      </w:r>
      <w:r w:rsidRPr="00B5776F">
        <w:rPr>
          <w:rFonts w:ascii="Times New Roman" w:hAnsi="Times New Roman"/>
          <w:sz w:val="24"/>
          <w:szCs w:val="24"/>
        </w:rPr>
        <w:t xml:space="preserve">, the U.S. Supreme Court (7 to 2; Court Order – no Opinion) has set aside orders by U.S. District Court Judge Brian E. Murphy, Boston, of March 28, 2025 (temporary restraining order) and April 18, 2025 (preliminary injunction) against deporting some illegal aliens to South Sedan, since their home countries refused to accept them.  THE COURT HELD: “The April 18,2025, preliminary injunction of the United States District Court for the District of Massachusetts, case No. 25–cv–10676, is stayed pending the disposition of the appeal in the United States Court of Appeals for the First Circuit and disposition of a petition for a writ of certiorari, if such writ is timely sought. Should certiorari be denied, this stay shall terminate automatically. In the event certiorari is granted, the stay shall terminate upon the sending down of the judgment of the Court.”   </w:t>
      </w:r>
      <w:hyperlink r:id="rId651" w:history="1">
        <w:r w:rsidRPr="00B5776F">
          <w:rPr>
            <w:rStyle w:val="Hyperlink"/>
            <w:rFonts w:ascii="Times New Roman" w:hAnsi="Times New Roman"/>
            <w:sz w:val="24"/>
            <w:szCs w:val="24"/>
          </w:rPr>
          <w:t>https://www.supremecourt.gov/opinions/24pdf/24a1153_l5gm.pdf</w:t>
        </w:r>
      </w:hyperlink>
      <w:r w:rsidRPr="00B5776F">
        <w:rPr>
          <w:rFonts w:ascii="Times New Roman" w:hAnsi="Times New Roman"/>
          <w:sz w:val="24"/>
          <w:szCs w:val="24"/>
        </w:rPr>
        <w:t xml:space="preserve"> </w:t>
      </w:r>
    </w:p>
    <w:p w14:paraId="48DC864F" w14:textId="77777777" w:rsidR="00646EE3" w:rsidRPr="00B5776F" w:rsidRDefault="00646EE3" w:rsidP="00F326E5">
      <w:pPr>
        <w:pStyle w:val="NoSpacing"/>
        <w:rPr>
          <w:rFonts w:ascii="Times New Roman" w:hAnsi="Times New Roman"/>
          <w:sz w:val="24"/>
          <w:szCs w:val="24"/>
        </w:rPr>
      </w:pPr>
    </w:p>
    <w:p w14:paraId="3C93226A" w14:textId="77777777" w:rsidR="00230904" w:rsidRPr="00230904" w:rsidRDefault="00230904" w:rsidP="00230904">
      <w:pPr>
        <w:rPr>
          <w:rFonts w:ascii="Times New Roman" w:hAnsi="Times New Roman"/>
          <w:b/>
          <w:sz w:val="24"/>
          <w:szCs w:val="24"/>
        </w:rPr>
      </w:pPr>
      <w:r w:rsidRPr="00230904">
        <w:rPr>
          <w:rFonts w:ascii="Times New Roman" w:hAnsi="Times New Roman"/>
          <w:b/>
          <w:sz w:val="24"/>
          <w:szCs w:val="24"/>
        </w:rPr>
        <w:t xml:space="preserve">Legal lesson learned: </w:t>
      </w:r>
      <w:proofErr w:type="gramStart"/>
      <w:r w:rsidRPr="00230904">
        <w:rPr>
          <w:rFonts w:ascii="Times New Roman" w:hAnsi="Times New Roman"/>
          <w:b/>
          <w:sz w:val="24"/>
          <w:szCs w:val="24"/>
        </w:rPr>
        <w:t>The majority of</w:t>
      </w:r>
      <w:proofErr w:type="gramEnd"/>
      <w:r w:rsidRPr="00230904">
        <w:rPr>
          <w:rFonts w:ascii="Times New Roman" w:hAnsi="Times New Roman"/>
          <w:b/>
          <w:sz w:val="24"/>
          <w:szCs w:val="24"/>
        </w:rPr>
        <w:t xml:space="preserve"> the Justices have now, at least temporarily, allowed deportation to third countries; at least until the 1</w:t>
      </w:r>
      <w:r w:rsidRPr="00230904">
        <w:rPr>
          <w:rFonts w:ascii="Times New Roman" w:hAnsi="Times New Roman"/>
          <w:b/>
          <w:sz w:val="24"/>
          <w:szCs w:val="24"/>
          <w:vertAlign w:val="superscript"/>
        </w:rPr>
        <w:t>st</w:t>
      </w:r>
      <w:r w:rsidRPr="00230904">
        <w:rPr>
          <w:rFonts w:ascii="Times New Roman" w:hAnsi="Times New Roman"/>
          <w:b/>
          <w:sz w:val="24"/>
          <w:szCs w:val="24"/>
        </w:rPr>
        <w:t xml:space="preserve"> Circuit decides the case. </w:t>
      </w:r>
    </w:p>
    <w:p w14:paraId="739C0E8D" w14:textId="77777777" w:rsidR="00230904" w:rsidRPr="00230904" w:rsidRDefault="00230904" w:rsidP="00230904">
      <w:pPr>
        <w:pStyle w:val="NoSpacing"/>
        <w:ind w:left="720"/>
        <w:rPr>
          <w:rFonts w:ascii="Times New Roman" w:hAnsi="Times New Roman"/>
          <w:bCs/>
          <w:sz w:val="24"/>
          <w:szCs w:val="24"/>
        </w:rPr>
      </w:pPr>
      <w:r w:rsidRPr="00230904">
        <w:rPr>
          <w:rFonts w:ascii="Times New Roman" w:hAnsi="Times New Roman"/>
          <w:sz w:val="24"/>
          <w:szCs w:val="24"/>
        </w:rPr>
        <w:t xml:space="preserve">Note: </w:t>
      </w:r>
    </w:p>
    <w:p w14:paraId="44E73374" w14:textId="77777777" w:rsidR="00230904" w:rsidRPr="00230904" w:rsidRDefault="00230904" w:rsidP="00230904">
      <w:pPr>
        <w:pStyle w:val="NoSpacing"/>
        <w:ind w:left="720"/>
        <w:rPr>
          <w:rFonts w:ascii="Times New Roman" w:hAnsi="Times New Roman"/>
          <w:bCs/>
          <w:sz w:val="24"/>
          <w:szCs w:val="24"/>
        </w:rPr>
      </w:pPr>
    </w:p>
    <w:p w14:paraId="74ADC945" w14:textId="77777777" w:rsidR="00230904" w:rsidRPr="00230904" w:rsidRDefault="00230904" w:rsidP="00230904">
      <w:pPr>
        <w:pStyle w:val="NoSpacing"/>
        <w:ind w:left="720"/>
        <w:rPr>
          <w:rFonts w:ascii="Times New Roman" w:hAnsi="Times New Roman"/>
          <w:bCs/>
          <w:sz w:val="24"/>
          <w:szCs w:val="24"/>
        </w:rPr>
      </w:pPr>
      <w:r w:rsidRPr="00230904">
        <w:rPr>
          <w:rFonts w:ascii="Times New Roman" w:hAnsi="Times New Roman"/>
          <w:bCs/>
          <w:sz w:val="24"/>
          <w:szCs w:val="24"/>
        </w:rPr>
        <w:t xml:space="preserve">Here is the Injunction that was set aside in this case.  </w:t>
      </w:r>
      <w:r w:rsidRPr="00230904">
        <w:rPr>
          <w:rFonts w:ascii="Times New Roman" w:hAnsi="Times New Roman"/>
          <w:sz w:val="24"/>
          <w:szCs w:val="24"/>
        </w:rPr>
        <w:t>On May 21, 2025, Judge Murphy issued an ORDER ON REMEDY FOR VIOLATION OF PRELIMINARY INJUNCTION.</w:t>
      </w:r>
    </w:p>
    <w:p w14:paraId="4A0F5DFE" w14:textId="77777777" w:rsidR="00230904" w:rsidRPr="00230904" w:rsidRDefault="00230904" w:rsidP="00230904">
      <w:pPr>
        <w:pStyle w:val="NoSpacing"/>
        <w:rPr>
          <w:rFonts w:ascii="Times New Roman" w:hAnsi="Times New Roman"/>
          <w:bCs/>
          <w:sz w:val="24"/>
          <w:szCs w:val="24"/>
        </w:rPr>
      </w:pPr>
    </w:p>
    <w:p w14:paraId="4A95B1EA" w14:textId="77777777" w:rsidR="00230904" w:rsidRPr="00230904" w:rsidRDefault="00230904" w:rsidP="00230904">
      <w:pPr>
        <w:ind w:left="1440"/>
        <w:rPr>
          <w:rFonts w:ascii="Times New Roman" w:hAnsi="Times New Roman"/>
          <w:sz w:val="24"/>
          <w:szCs w:val="24"/>
        </w:rPr>
      </w:pPr>
      <w:r w:rsidRPr="00230904">
        <w:rPr>
          <w:rFonts w:ascii="Times New Roman" w:hAnsi="Times New Roman"/>
          <w:sz w:val="24"/>
          <w:szCs w:val="24"/>
        </w:rPr>
        <w:t xml:space="preserve">“Each of the six individuals must be given a reasonable fear interview in private, with the opportunity for the individual to have counsel of their choosing present during the interview, either in-person or remotely, at the individual’s choosing. </w:t>
      </w:r>
      <w:proofErr w:type="gramStart"/>
      <w:r w:rsidRPr="00230904">
        <w:rPr>
          <w:rFonts w:ascii="Times New Roman" w:hAnsi="Times New Roman"/>
          <w:sz w:val="24"/>
          <w:szCs w:val="24"/>
        </w:rPr>
        <w:t>Each individual</w:t>
      </w:r>
      <w:proofErr w:type="gramEnd"/>
      <w:r w:rsidRPr="00230904">
        <w:rPr>
          <w:rFonts w:ascii="Times New Roman" w:hAnsi="Times New Roman"/>
          <w:sz w:val="24"/>
          <w:szCs w:val="24"/>
        </w:rPr>
        <w:t xml:space="preserve"> must be afforded access to counsel that is commensurate with the access that they would have received had these procedures occurred within the United States prior to their deportation, including remote access where in-person access would otherwise be available. </w:t>
      </w:r>
      <w:proofErr w:type="gramStart"/>
      <w:r w:rsidRPr="00230904">
        <w:rPr>
          <w:rFonts w:ascii="Times New Roman" w:hAnsi="Times New Roman"/>
          <w:sz w:val="24"/>
          <w:szCs w:val="24"/>
        </w:rPr>
        <w:t>Each individual</w:t>
      </w:r>
      <w:proofErr w:type="gramEnd"/>
      <w:r w:rsidRPr="00230904">
        <w:rPr>
          <w:rFonts w:ascii="Times New Roman" w:hAnsi="Times New Roman"/>
          <w:sz w:val="24"/>
          <w:szCs w:val="24"/>
        </w:rPr>
        <w:t xml:space="preserve"> must also be afforded the name and telephone number of class counsel, as well as access to a phone, interpreter, and technology for the confidential transfer of documents that is commensurate with the access they would receive were they in DHS custody within United States borders.” </w:t>
      </w:r>
      <w:hyperlink r:id="rId652" w:history="1">
        <w:r w:rsidRPr="00230904">
          <w:rPr>
            <w:rStyle w:val="Hyperlink"/>
            <w:rFonts w:ascii="Times New Roman" w:hAnsi="Times New Roman"/>
            <w:sz w:val="24"/>
            <w:szCs w:val="24"/>
          </w:rPr>
          <w:t>https://storage.courtlistener.com/recap/gov.uscourts.mad.282404/gov.uscourts.mad.282404.119.0_1.pdf</w:t>
        </w:r>
      </w:hyperlink>
    </w:p>
    <w:p w14:paraId="6BD73346" w14:textId="77777777" w:rsidR="00230904" w:rsidRPr="00230904" w:rsidRDefault="00230904" w:rsidP="00230904">
      <w:pPr>
        <w:pStyle w:val="NoSpacing"/>
        <w:ind w:left="720"/>
        <w:rPr>
          <w:rFonts w:ascii="Times New Roman" w:hAnsi="Times New Roman"/>
          <w:bCs/>
          <w:sz w:val="24"/>
          <w:szCs w:val="24"/>
        </w:rPr>
      </w:pPr>
    </w:p>
    <w:p w14:paraId="39D6F965" w14:textId="77777777" w:rsidR="00230904" w:rsidRPr="00230904" w:rsidRDefault="00230904" w:rsidP="00230904">
      <w:pPr>
        <w:pStyle w:val="NoSpacing"/>
        <w:ind w:left="720"/>
        <w:rPr>
          <w:rFonts w:ascii="Times New Roman" w:hAnsi="Times New Roman"/>
          <w:bCs/>
          <w:sz w:val="24"/>
          <w:szCs w:val="24"/>
        </w:rPr>
      </w:pPr>
      <w:r w:rsidRPr="00230904">
        <w:rPr>
          <w:rFonts w:ascii="Times New Roman" w:hAnsi="Times New Roman"/>
          <w:sz w:val="24"/>
          <w:szCs w:val="24"/>
        </w:rPr>
        <w:t xml:space="preserve">See also the June 23, </w:t>
      </w:r>
      <w:proofErr w:type="gramStart"/>
      <w:r w:rsidRPr="00230904">
        <w:rPr>
          <w:rFonts w:ascii="Times New Roman" w:hAnsi="Times New Roman"/>
          <w:sz w:val="24"/>
          <w:szCs w:val="24"/>
        </w:rPr>
        <w:t>2025</w:t>
      </w:r>
      <w:proofErr w:type="gramEnd"/>
      <w:r w:rsidRPr="00230904">
        <w:rPr>
          <w:rFonts w:ascii="Times New Roman" w:hAnsi="Times New Roman"/>
          <w:sz w:val="24"/>
          <w:szCs w:val="24"/>
        </w:rPr>
        <w:t xml:space="preserve"> Press Release: The U.S. Department of Homeland Security announcement it will immediately resume deportation flights – “</w:t>
      </w:r>
      <w:r w:rsidRPr="00230904">
        <w:rPr>
          <w:rFonts w:ascii="Times New Roman" w:hAnsi="Times New Roman"/>
          <w:i/>
          <w:iCs/>
          <w:sz w:val="24"/>
          <w:szCs w:val="24"/>
        </w:rPr>
        <w:t>Fire up the deportation planes.”</w:t>
      </w:r>
      <w:r w:rsidRPr="00230904">
        <w:rPr>
          <w:rFonts w:ascii="Times New Roman" w:hAnsi="Times New Roman"/>
          <w:sz w:val="24"/>
          <w:szCs w:val="24"/>
        </w:rPr>
        <w:t xml:space="preserve"> </w:t>
      </w:r>
      <w:hyperlink r:id="rId653" w:history="1">
        <w:r w:rsidRPr="00230904">
          <w:rPr>
            <w:rStyle w:val="Hyperlink"/>
            <w:rFonts w:ascii="Times New Roman" w:hAnsi="Times New Roman"/>
            <w:sz w:val="24"/>
            <w:szCs w:val="24"/>
          </w:rPr>
          <w:t>https://www.supremecourt.gov/opinions/24pdf/24a1153_l5gm.pdf</w:t>
        </w:r>
      </w:hyperlink>
      <w:r w:rsidRPr="00230904">
        <w:rPr>
          <w:rFonts w:ascii="Times New Roman" w:hAnsi="Times New Roman"/>
          <w:sz w:val="24"/>
          <w:szCs w:val="24"/>
        </w:rPr>
        <w:t xml:space="preserve"> </w:t>
      </w:r>
    </w:p>
    <w:p w14:paraId="072A6000" w14:textId="77777777" w:rsidR="00230904" w:rsidRPr="00230904" w:rsidRDefault="00230904" w:rsidP="00230904">
      <w:pPr>
        <w:pStyle w:val="NoSpacing"/>
        <w:ind w:left="720"/>
        <w:rPr>
          <w:rFonts w:ascii="Times New Roman" w:hAnsi="Times New Roman"/>
          <w:bCs/>
          <w:sz w:val="24"/>
          <w:szCs w:val="24"/>
        </w:rPr>
      </w:pPr>
    </w:p>
    <w:p w14:paraId="7FB19E56" w14:textId="77777777" w:rsidR="00230904" w:rsidRPr="00230904" w:rsidRDefault="00230904" w:rsidP="00230904">
      <w:pPr>
        <w:pStyle w:val="NoSpacing"/>
        <w:ind w:left="720"/>
        <w:rPr>
          <w:rFonts w:ascii="Times New Roman" w:hAnsi="Times New Roman"/>
          <w:bCs/>
          <w:sz w:val="24"/>
          <w:szCs w:val="24"/>
        </w:rPr>
      </w:pPr>
    </w:p>
    <w:p w14:paraId="5C144E3D" w14:textId="7188FB9E" w:rsidR="00230904" w:rsidRPr="00230904" w:rsidRDefault="004F69EA" w:rsidP="00230904">
      <w:pPr>
        <w:pStyle w:val="NoSpacing"/>
        <w:ind w:left="720"/>
        <w:rPr>
          <w:rFonts w:ascii="Times New Roman" w:hAnsi="Times New Roman"/>
          <w:bCs/>
          <w:sz w:val="24"/>
          <w:szCs w:val="24"/>
        </w:rPr>
      </w:pPr>
      <w:r>
        <w:rPr>
          <w:rFonts w:ascii="Times New Roman" w:hAnsi="Times New Roman"/>
          <w:bCs/>
          <w:sz w:val="24"/>
          <w:szCs w:val="24"/>
        </w:rPr>
        <w:t xml:space="preserve">BREAKING NEWS:  </w:t>
      </w:r>
      <w:r w:rsidR="00230904" w:rsidRPr="00230904">
        <w:rPr>
          <w:rFonts w:ascii="Times New Roman" w:hAnsi="Times New Roman"/>
          <w:bCs/>
          <w:sz w:val="24"/>
          <w:szCs w:val="24"/>
        </w:rPr>
        <w:t xml:space="preserve">“Universal injunctions” by Federal District Court judges have now been struck down by U.S. Supreme Court. </w:t>
      </w:r>
      <w:r w:rsidR="00230904" w:rsidRPr="00230904">
        <w:rPr>
          <w:rFonts w:ascii="Times New Roman" w:hAnsi="Times New Roman"/>
          <w:sz w:val="24"/>
          <w:szCs w:val="24"/>
        </w:rPr>
        <w:t xml:space="preserve">The U.S. Supreme Court on June 26, </w:t>
      </w:r>
      <w:proofErr w:type="gramStart"/>
      <w:r w:rsidR="00230904" w:rsidRPr="00230904">
        <w:rPr>
          <w:rFonts w:ascii="Times New Roman" w:hAnsi="Times New Roman"/>
          <w:sz w:val="24"/>
          <w:szCs w:val="24"/>
        </w:rPr>
        <w:t>2025</w:t>
      </w:r>
      <w:proofErr w:type="gramEnd"/>
      <w:r w:rsidR="00230904" w:rsidRPr="00230904">
        <w:rPr>
          <w:rFonts w:ascii="Times New Roman" w:hAnsi="Times New Roman"/>
          <w:sz w:val="24"/>
          <w:szCs w:val="24"/>
        </w:rPr>
        <w:t xml:space="preserve"> stayed</w:t>
      </w:r>
      <w:r w:rsidR="00230904" w:rsidRPr="00230904">
        <w:rPr>
          <w:rFonts w:ascii="Times New Roman" w:hAnsi="Times New Roman"/>
          <w:bCs/>
          <w:sz w:val="24"/>
          <w:szCs w:val="24"/>
        </w:rPr>
        <w:t xml:space="preserve"> national-wide so-called </w:t>
      </w:r>
      <w:r w:rsidR="00230904" w:rsidRPr="00230904">
        <w:rPr>
          <w:rFonts w:ascii="Times New Roman" w:hAnsi="Times New Roman"/>
          <w:sz w:val="24"/>
          <w:szCs w:val="24"/>
        </w:rPr>
        <w:t>“universal injunctions</w:t>
      </w:r>
      <w:r w:rsidR="00230904" w:rsidRPr="00230904">
        <w:rPr>
          <w:rFonts w:ascii="Times New Roman" w:hAnsi="Times New Roman"/>
          <w:bCs/>
          <w:sz w:val="24"/>
          <w:szCs w:val="24"/>
        </w:rPr>
        <w:t xml:space="preserve"> by </w:t>
      </w:r>
      <w:r w:rsidR="00230904" w:rsidRPr="00230904">
        <w:rPr>
          <w:rFonts w:ascii="Times New Roman" w:hAnsi="Times New Roman"/>
          <w:sz w:val="24"/>
          <w:szCs w:val="24"/>
        </w:rPr>
        <w:t>three Federal District Court</w:t>
      </w:r>
      <w:r w:rsidR="00230904" w:rsidRPr="00230904">
        <w:rPr>
          <w:rFonts w:ascii="Times New Roman" w:hAnsi="Times New Roman"/>
          <w:bCs/>
          <w:sz w:val="24"/>
          <w:szCs w:val="24"/>
        </w:rPr>
        <w:t xml:space="preserve"> judges</w:t>
      </w:r>
      <w:r w:rsidR="00230904" w:rsidRPr="00230904">
        <w:rPr>
          <w:rFonts w:ascii="Times New Roman" w:hAnsi="Times New Roman"/>
          <w:sz w:val="24"/>
          <w:szCs w:val="24"/>
        </w:rPr>
        <w:t xml:space="preserve"> in MA, WA, MA </w:t>
      </w:r>
      <w:r w:rsidR="00230904" w:rsidRPr="00230904">
        <w:rPr>
          <w:rFonts w:ascii="Times New Roman" w:hAnsi="Times New Roman"/>
          <w:bCs/>
          <w:sz w:val="24"/>
          <w:szCs w:val="24"/>
        </w:rPr>
        <w:t xml:space="preserve">in a case challenging President Trump’s executive order on </w:t>
      </w:r>
      <w:r w:rsidR="00230904" w:rsidRPr="00230904">
        <w:rPr>
          <w:rFonts w:ascii="Times New Roman" w:hAnsi="Times New Roman"/>
          <w:sz w:val="24"/>
          <w:szCs w:val="24"/>
        </w:rPr>
        <w:t xml:space="preserve">citizenship by birth in United States.  TRUMP, PRESIDENT OF THE UNITED STATES, ET AL. v. CASA, INC., ET AL. The Court (6 to 3) held that “These injunctions—known as ‘universal injunctions’—likely exceed the equitable authority that Congress has granted to federal courts. We therefore grant the Government’s applications to partially stay the injunctions entered below.”  </w:t>
      </w:r>
      <w:hyperlink r:id="rId654" w:history="1">
        <w:r w:rsidR="00230904" w:rsidRPr="00230904">
          <w:rPr>
            <w:rStyle w:val="Hyperlink"/>
            <w:rFonts w:ascii="Times New Roman" w:hAnsi="Times New Roman"/>
            <w:sz w:val="24"/>
            <w:szCs w:val="24"/>
          </w:rPr>
          <w:t>https://www.supremecourt.gov/opinions/24pdf/24a884_8n59.pdf</w:t>
        </w:r>
      </w:hyperlink>
    </w:p>
    <w:p w14:paraId="242F105A" w14:textId="77777777" w:rsidR="00230904" w:rsidRDefault="00230904" w:rsidP="00F326E5">
      <w:pPr>
        <w:pStyle w:val="NoSpacing"/>
        <w:rPr>
          <w:rFonts w:ascii="Arial Black" w:hAnsi="Arial Black"/>
          <w:sz w:val="28"/>
          <w:szCs w:val="28"/>
        </w:rPr>
      </w:pPr>
    </w:p>
    <w:p w14:paraId="1DF25F69" w14:textId="6A1B0F40" w:rsidR="00607129" w:rsidRDefault="00607129" w:rsidP="00607129">
      <w:pPr>
        <w:pStyle w:val="NoSpacing"/>
        <w:rPr>
          <w:rFonts w:ascii="Arial Black" w:hAnsi="Arial Black"/>
          <w:sz w:val="28"/>
          <w:szCs w:val="28"/>
        </w:rPr>
      </w:pPr>
      <w:r>
        <w:rPr>
          <w:rFonts w:ascii="Arial Black" w:hAnsi="Arial Black"/>
          <w:sz w:val="28"/>
          <w:szCs w:val="28"/>
        </w:rPr>
        <w:t>3-76</w:t>
      </w:r>
    </w:p>
    <w:p w14:paraId="1938DDBC" w14:textId="77777777" w:rsidR="00646EE3" w:rsidRDefault="00646EE3" w:rsidP="00F326E5">
      <w:pPr>
        <w:pStyle w:val="NoSpacing"/>
        <w:rPr>
          <w:rFonts w:ascii="Arial Black" w:hAnsi="Arial Black"/>
          <w:sz w:val="28"/>
          <w:szCs w:val="28"/>
        </w:rPr>
      </w:pPr>
    </w:p>
    <w:p w14:paraId="4CCFD00B" w14:textId="77777777" w:rsidR="00BA3C9D" w:rsidRPr="00780C34" w:rsidRDefault="00BA3C9D" w:rsidP="00BA3C9D">
      <w:pPr>
        <w:rPr>
          <w:rFonts w:ascii="Arial Black" w:hAnsi="Arial Black"/>
          <w:b/>
          <w:sz w:val="28"/>
          <w:szCs w:val="28"/>
        </w:rPr>
      </w:pPr>
      <w:r>
        <w:rPr>
          <w:rFonts w:ascii="Arial Black" w:hAnsi="Arial Black"/>
          <w:b/>
          <w:sz w:val="28"/>
          <w:szCs w:val="28"/>
        </w:rPr>
        <w:t>U.S. SUP. CT. – PLO CAN BE SUED USA – DEATHS IN ISRAEL</w:t>
      </w:r>
    </w:p>
    <w:p w14:paraId="5B6D10E2" w14:textId="77777777" w:rsidR="00BA3C9D" w:rsidRPr="008D0D51" w:rsidRDefault="00BA3C9D" w:rsidP="00BA3C9D">
      <w:pPr>
        <w:pStyle w:val="NoSpacing"/>
        <w:rPr>
          <w:rFonts w:ascii="Times New Roman" w:hAnsi="Times New Roman"/>
          <w:sz w:val="24"/>
          <w:szCs w:val="24"/>
        </w:rPr>
      </w:pPr>
      <w:r w:rsidRPr="008D0D51">
        <w:rPr>
          <w:rFonts w:ascii="Times New Roman" w:hAnsi="Times New Roman"/>
          <w:sz w:val="24"/>
          <w:szCs w:val="24"/>
        </w:rPr>
        <w:t xml:space="preserve">On June 20, 2025, in </w:t>
      </w:r>
      <w:r w:rsidRPr="008D0D51">
        <w:rPr>
          <w:rFonts w:ascii="Times New Roman" w:hAnsi="Times New Roman"/>
          <w:sz w:val="24"/>
          <w:szCs w:val="24"/>
          <w:u w:val="single"/>
        </w:rPr>
        <w:t>Miriam Fuld, et al. v. Palestine Liberation Organization, et al</w:t>
      </w:r>
      <w:r w:rsidRPr="008D0D51">
        <w:rPr>
          <w:rFonts w:ascii="Times New Roman" w:hAnsi="Times New Roman"/>
          <w:sz w:val="24"/>
          <w:szCs w:val="24"/>
        </w:rPr>
        <w:t>., the U.S. Supreme Court held (9 to 0) that Congress did not violate 5</w:t>
      </w:r>
      <w:r w:rsidRPr="008D0D51">
        <w:rPr>
          <w:rFonts w:ascii="Times New Roman" w:hAnsi="Times New Roman"/>
          <w:sz w:val="24"/>
          <w:szCs w:val="24"/>
          <w:vertAlign w:val="superscript"/>
        </w:rPr>
        <w:t>th</w:t>
      </w:r>
      <w:r w:rsidRPr="008D0D51">
        <w:rPr>
          <w:rFonts w:ascii="Times New Roman" w:hAnsi="Times New Roman"/>
          <w:sz w:val="24"/>
          <w:szCs w:val="24"/>
        </w:rPr>
        <w:t xml:space="preserve"> or 14</w:t>
      </w:r>
      <w:r w:rsidRPr="008D0D51">
        <w:rPr>
          <w:rFonts w:ascii="Times New Roman" w:hAnsi="Times New Roman"/>
          <w:sz w:val="24"/>
          <w:szCs w:val="24"/>
          <w:vertAlign w:val="superscript"/>
        </w:rPr>
        <w:t>th</w:t>
      </w:r>
      <w:r w:rsidRPr="008D0D51">
        <w:rPr>
          <w:rFonts w:ascii="Times New Roman" w:hAnsi="Times New Roman"/>
          <w:sz w:val="24"/>
          <w:szCs w:val="24"/>
        </w:rPr>
        <w:t xml:space="preserve"> Amendments when enacting statutes giving American citizens injured or killed in Israel the right to sue PLO in U.S. District Courts, with triple damages. The Court reinstated two lawsuits, both of which were dismissed by lower federal courts for “lack of personal jurisdiction” because the killings occurred in Israel, not in the United States.  THE COURT HELD: “Of </w:t>
      </w:r>
      <w:proofErr w:type="gramStart"/>
      <w:r w:rsidRPr="008D0D51">
        <w:rPr>
          <w:rFonts w:ascii="Times New Roman" w:hAnsi="Times New Roman"/>
          <w:sz w:val="24"/>
          <w:szCs w:val="24"/>
        </w:rPr>
        <w:t>particular salience</w:t>
      </w:r>
      <w:proofErr w:type="gramEnd"/>
      <w:r w:rsidRPr="008D0D51">
        <w:rPr>
          <w:rFonts w:ascii="Times New Roman" w:hAnsi="Times New Roman"/>
          <w:sz w:val="24"/>
          <w:szCs w:val="24"/>
        </w:rPr>
        <w:t xml:space="preserve"> here, we have also recognized the National Government’s interest in holding accountable those who perpetrate an ‘act of violence against’ U. S. nationals—who, even when physically outside our borders, remain ‘under the particular protection’ of American law.”  </w:t>
      </w:r>
      <w:hyperlink r:id="rId655" w:history="1">
        <w:r w:rsidRPr="008D0D51">
          <w:rPr>
            <w:rStyle w:val="Hyperlink"/>
            <w:rFonts w:ascii="Times New Roman" w:hAnsi="Times New Roman"/>
            <w:sz w:val="24"/>
            <w:szCs w:val="24"/>
          </w:rPr>
          <w:t>https://www.supremecourt.gov/opinions/24pdf/24-20_f2bh.pdf</w:t>
        </w:r>
      </w:hyperlink>
      <w:r w:rsidRPr="008D0D51">
        <w:rPr>
          <w:rFonts w:ascii="Times New Roman" w:hAnsi="Times New Roman"/>
          <w:sz w:val="24"/>
          <w:szCs w:val="24"/>
        </w:rPr>
        <w:t xml:space="preserve"> </w:t>
      </w:r>
    </w:p>
    <w:p w14:paraId="351FEEC9" w14:textId="77777777" w:rsidR="00646EE3" w:rsidRPr="008D0D51" w:rsidRDefault="00646EE3" w:rsidP="00F326E5">
      <w:pPr>
        <w:pStyle w:val="NoSpacing"/>
        <w:rPr>
          <w:rFonts w:ascii="Times New Roman" w:hAnsi="Times New Roman"/>
          <w:sz w:val="24"/>
          <w:szCs w:val="24"/>
        </w:rPr>
      </w:pPr>
    </w:p>
    <w:p w14:paraId="1C0C78CB" w14:textId="77777777" w:rsidR="008D0D51" w:rsidRPr="008D0D51" w:rsidRDefault="008D0D51" w:rsidP="008D0D51">
      <w:pPr>
        <w:pStyle w:val="NoSpacing"/>
        <w:rPr>
          <w:rFonts w:ascii="Times New Roman" w:hAnsi="Times New Roman"/>
          <w:b/>
          <w:bCs/>
          <w:sz w:val="24"/>
          <w:szCs w:val="24"/>
        </w:rPr>
      </w:pPr>
      <w:r w:rsidRPr="008D0D51">
        <w:rPr>
          <w:rFonts w:ascii="Times New Roman" w:hAnsi="Times New Roman"/>
          <w:b/>
          <w:sz w:val="24"/>
          <w:szCs w:val="24"/>
        </w:rPr>
        <w:t xml:space="preserve">Legal lesson learned:  </w:t>
      </w:r>
      <w:r w:rsidRPr="008D0D51">
        <w:rPr>
          <w:rFonts w:ascii="Times New Roman" w:hAnsi="Times New Roman"/>
          <w:b/>
          <w:bCs/>
          <w:sz w:val="24"/>
          <w:szCs w:val="24"/>
        </w:rPr>
        <w:t>C</w:t>
      </w:r>
      <w:r w:rsidRPr="008D0D51">
        <w:rPr>
          <w:rFonts w:ascii="Times New Roman" w:hAnsi="Times New Roman"/>
          <w:b/>
          <w:sz w:val="24"/>
          <w:szCs w:val="24"/>
        </w:rPr>
        <w:t>ollecting the damages</w:t>
      </w:r>
      <w:r w:rsidRPr="008D0D51">
        <w:rPr>
          <w:rFonts w:ascii="Times New Roman" w:hAnsi="Times New Roman"/>
          <w:b/>
          <w:bCs/>
          <w:sz w:val="24"/>
          <w:szCs w:val="24"/>
        </w:rPr>
        <w:t xml:space="preserve"> against PLO </w:t>
      </w:r>
      <w:r w:rsidRPr="008D0D51">
        <w:rPr>
          <w:rFonts w:ascii="Times New Roman" w:hAnsi="Times New Roman"/>
          <w:b/>
          <w:sz w:val="24"/>
          <w:szCs w:val="24"/>
        </w:rPr>
        <w:t xml:space="preserve">will still be a challenge unless PLO assets can be found in USA.  </w:t>
      </w:r>
    </w:p>
    <w:p w14:paraId="02373C2F" w14:textId="77777777" w:rsidR="008D0D51" w:rsidRDefault="008D0D51" w:rsidP="00F326E5">
      <w:pPr>
        <w:pStyle w:val="NoSpacing"/>
        <w:rPr>
          <w:rFonts w:ascii="Arial Black" w:hAnsi="Arial Black"/>
          <w:sz w:val="28"/>
          <w:szCs w:val="28"/>
        </w:rPr>
      </w:pPr>
    </w:p>
    <w:p w14:paraId="332B7912" w14:textId="77777777" w:rsidR="00646EE3" w:rsidRDefault="00646EE3" w:rsidP="00F326E5">
      <w:pPr>
        <w:pStyle w:val="NoSpacing"/>
        <w:rPr>
          <w:rFonts w:ascii="Arial Black" w:hAnsi="Arial Black"/>
          <w:sz w:val="28"/>
          <w:szCs w:val="28"/>
        </w:rPr>
      </w:pPr>
    </w:p>
    <w:p w14:paraId="116752D3" w14:textId="2518601A" w:rsidR="00F30E91" w:rsidRDefault="00043E2B" w:rsidP="00F326E5">
      <w:pPr>
        <w:pStyle w:val="NoSpacing"/>
        <w:rPr>
          <w:rFonts w:ascii="Arial Black" w:hAnsi="Arial Black"/>
          <w:sz w:val="28"/>
          <w:szCs w:val="28"/>
        </w:rPr>
      </w:pPr>
      <w:r>
        <w:rPr>
          <w:rFonts w:ascii="Arial Black" w:hAnsi="Arial Black"/>
          <w:sz w:val="28"/>
          <w:szCs w:val="28"/>
        </w:rPr>
        <w:t>3-75</w:t>
      </w:r>
    </w:p>
    <w:p w14:paraId="0BF8DDB4" w14:textId="77777777" w:rsidR="00043E2B" w:rsidRDefault="00043E2B" w:rsidP="00F326E5">
      <w:pPr>
        <w:pStyle w:val="NoSpacing"/>
        <w:rPr>
          <w:rFonts w:ascii="Arial Black" w:hAnsi="Arial Black"/>
          <w:sz w:val="28"/>
          <w:szCs w:val="28"/>
        </w:rPr>
      </w:pPr>
    </w:p>
    <w:p w14:paraId="66CEB8BC" w14:textId="77777777" w:rsidR="00043E2B" w:rsidRPr="006F2B87" w:rsidRDefault="00043E2B" w:rsidP="00043E2B">
      <w:pPr>
        <w:pStyle w:val="NoSpacing"/>
        <w:rPr>
          <w:rFonts w:ascii="Arial Black" w:hAnsi="Arial Black"/>
          <w:bCs/>
          <w:sz w:val="28"/>
          <w:szCs w:val="28"/>
        </w:rPr>
      </w:pPr>
      <w:r w:rsidRPr="006F2B87">
        <w:rPr>
          <w:rFonts w:ascii="Arial Black" w:hAnsi="Arial Black"/>
          <w:sz w:val="28"/>
          <w:szCs w:val="28"/>
        </w:rPr>
        <w:t>RI: 20 STATES – FEMA GRANTS</w:t>
      </w:r>
      <w:r>
        <w:rPr>
          <w:rFonts w:ascii="Arial Black" w:hAnsi="Arial Black"/>
          <w:bCs/>
          <w:sz w:val="28"/>
          <w:szCs w:val="28"/>
        </w:rPr>
        <w:t xml:space="preserve"> -</w:t>
      </w:r>
      <w:r w:rsidRPr="006F2B87">
        <w:rPr>
          <w:rFonts w:ascii="Arial Black" w:hAnsi="Arial Black"/>
          <w:sz w:val="28"/>
          <w:szCs w:val="28"/>
        </w:rPr>
        <w:t xml:space="preserve"> “HOSTAGE” </w:t>
      </w:r>
      <w:r>
        <w:rPr>
          <w:rFonts w:ascii="Arial Black" w:hAnsi="Arial Black"/>
          <w:bCs/>
          <w:sz w:val="28"/>
          <w:szCs w:val="28"/>
        </w:rPr>
        <w:t>IMMIGRATION</w:t>
      </w:r>
    </w:p>
    <w:p w14:paraId="616EAEA7" w14:textId="185FF7E7" w:rsidR="00043E2B" w:rsidRPr="00C8032B" w:rsidRDefault="00C8032B" w:rsidP="00F326E5">
      <w:pPr>
        <w:pStyle w:val="NoSpacing"/>
        <w:rPr>
          <w:rFonts w:ascii="Times New Roman" w:hAnsi="Times New Roman"/>
          <w:sz w:val="24"/>
          <w:szCs w:val="24"/>
        </w:rPr>
      </w:pPr>
      <w:r w:rsidRPr="00C8032B">
        <w:rPr>
          <w:rFonts w:ascii="Times New Roman" w:hAnsi="Times New Roman"/>
          <w:sz w:val="24"/>
          <w:szCs w:val="24"/>
        </w:rPr>
        <w:t xml:space="preserve">On May 13, 2025, in </w:t>
      </w:r>
      <w:r w:rsidRPr="00C8032B">
        <w:rPr>
          <w:rFonts w:ascii="Times New Roman" w:hAnsi="Times New Roman"/>
          <w:sz w:val="24"/>
          <w:szCs w:val="24"/>
          <w:u w:val="single"/>
        </w:rPr>
        <w:t>State of Illinois, et al. v. FEMA, et al</w:t>
      </w:r>
      <w:r w:rsidRPr="00C8032B">
        <w:rPr>
          <w:rFonts w:ascii="Times New Roman" w:hAnsi="Times New Roman"/>
          <w:sz w:val="24"/>
          <w:szCs w:val="24"/>
        </w:rPr>
        <w:t xml:space="preserve">., twenty states filed a lawsuit in the United States District Court for District of Rhode Island, seeking a declaratory judgment that U.S. Department of Homeland Security cannot deny FEMA grants unless states agree to “Civil Immigration Conditions.” The states allege: “they seek to require many States to abandon well-considered policies that advance public safety by promoting trust between law enforcement and immigrant communities as a condition on continued funding of emergency management programs unrelated to immigration enforcement.” </w:t>
      </w:r>
      <w:hyperlink r:id="rId656" w:history="1">
        <w:r w:rsidRPr="00C8032B">
          <w:rPr>
            <w:rStyle w:val="Hyperlink"/>
            <w:rFonts w:ascii="Times New Roman" w:hAnsi="Times New Roman"/>
            <w:sz w:val="24"/>
            <w:szCs w:val="24"/>
          </w:rPr>
          <w:t>file:///C:/Users/lawre/AppData/Local/Microsoft/Windows/INetCache/Content.Outlook/PSWGR3E2/state-of-illinois-et-al-v-federal-emergency-management-agency-et-al-complaint-2025.pdf</w:t>
        </w:r>
      </w:hyperlink>
    </w:p>
    <w:p w14:paraId="240B7686" w14:textId="77777777" w:rsidR="00043E2B" w:rsidRPr="00C8032B" w:rsidRDefault="00043E2B" w:rsidP="00F326E5">
      <w:pPr>
        <w:pStyle w:val="NoSpacing"/>
        <w:rPr>
          <w:rFonts w:ascii="Times New Roman" w:hAnsi="Times New Roman"/>
          <w:sz w:val="24"/>
          <w:szCs w:val="24"/>
        </w:rPr>
      </w:pPr>
    </w:p>
    <w:p w14:paraId="555FF66F" w14:textId="77777777" w:rsidR="00D17755" w:rsidRPr="00D17755" w:rsidRDefault="00D17755" w:rsidP="00D17755">
      <w:pPr>
        <w:pStyle w:val="NoSpacing"/>
        <w:rPr>
          <w:rFonts w:ascii="Times New Roman" w:hAnsi="Times New Roman"/>
          <w:b/>
          <w:bCs/>
          <w:sz w:val="24"/>
          <w:szCs w:val="24"/>
        </w:rPr>
      </w:pPr>
      <w:r w:rsidRPr="00D17755">
        <w:rPr>
          <w:rFonts w:ascii="Times New Roman" w:hAnsi="Times New Roman"/>
          <w:b/>
          <w:sz w:val="24"/>
          <w:szCs w:val="24"/>
        </w:rPr>
        <w:t xml:space="preserve">Legal Lesson Learned: The case should be closely followed by all those seeking FEMA grants. </w:t>
      </w:r>
    </w:p>
    <w:p w14:paraId="72F07C95" w14:textId="77777777" w:rsidR="00C8032B" w:rsidRPr="00D17755" w:rsidRDefault="00C8032B" w:rsidP="00F326E5">
      <w:pPr>
        <w:pStyle w:val="NoSpacing"/>
        <w:rPr>
          <w:rFonts w:ascii="Times New Roman" w:hAnsi="Times New Roman"/>
          <w:sz w:val="24"/>
          <w:szCs w:val="24"/>
        </w:rPr>
      </w:pPr>
    </w:p>
    <w:p w14:paraId="025FFEAB" w14:textId="77777777" w:rsidR="00C8032B" w:rsidRDefault="00C8032B" w:rsidP="00F326E5">
      <w:pPr>
        <w:pStyle w:val="NoSpacing"/>
        <w:rPr>
          <w:rFonts w:ascii="Arial Black" w:hAnsi="Arial Black"/>
          <w:sz w:val="28"/>
          <w:szCs w:val="28"/>
        </w:rPr>
      </w:pPr>
    </w:p>
    <w:p w14:paraId="7EB68F6D" w14:textId="0EE8570B" w:rsidR="006E3103" w:rsidRDefault="006E3103" w:rsidP="00F326E5">
      <w:pPr>
        <w:pStyle w:val="NoSpacing"/>
        <w:rPr>
          <w:rFonts w:ascii="Arial Black" w:hAnsi="Arial Black"/>
          <w:sz w:val="28"/>
          <w:szCs w:val="28"/>
        </w:rPr>
      </w:pPr>
      <w:r>
        <w:rPr>
          <w:rFonts w:ascii="Arial Black" w:hAnsi="Arial Black"/>
          <w:sz w:val="28"/>
          <w:szCs w:val="28"/>
        </w:rPr>
        <w:t>3-74</w:t>
      </w:r>
    </w:p>
    <w:p w14:paraId="49957BD5" w14:textId="77777777" w:rsidR="006E3103" w:rsidRDefault="006E3103" w:rsidP="00F326E5">
      <w:pPr>
        <w:pStyle w:val="NoSpacing"/>
        <w:rPr>
          <w:rFonts w:ascii="Arial Black" w:hAnsi="Arial Black"/>
          <w:sz w:val="28"/>
          <w:szCs w:val="28"/>
        </w:rPr>
      </w:pPr>
    </w:p>
    <w:p w14:paraId="4AE51849" w14:textId="77777777" w:rsidR="008D4905" w:rsidRDefault="008D4905" w:rsidP="008D4905">
      <w:pPr>
        <w:rPr>
          <w:b/>
        </w:rPr>
      </w:pPr>
      <w:r>
        <w:rPr>
          <w:rFonts w:ascii="Arial Black" w:hAnsi="Arial Black"/>
          <w:b/>
          <w:sz w:val="28"/>
          <w:szCs w:val="28"/>
        </w:rPr>
        <w:t>TX: VENEZUELAN ALIENS - DEPORTATIONS INJUNCTION</w:t>
      </w:r>
    </w:p>
    <w:p w14:paraId="51E19264" w14:textId="77777777" w:rsidR="008D4905" w:rsidRPr="008D4905" w:rsidRDefault="008D4905" w:rsidP="008D4905">
      <w:pPr>
        <w:pStyle w:val="NoSpacing"/>
        <w:rPr>
          <w:rFonts w:ascii="Times New Roman" w:hAnsi="Times New Roman"/>
          <w:sz w:val="24"/>
          <w:szCs w:val="24"/>
        </w:rPr>
      </w:pPr>
      <w:r w:rsidRPr="008D4905">
        <w:rPr>
          <w:rFonts w:ascii="Times New Roman" w:hAnsi="Times New Roman"/>
          <w:sz w:val="24"/>
          <w:szCs w:val="24"/>
        </w:rPr>
        <w:t xml:space="preserve">On May 1, 2025, in </w:t>
      </w:r>
      <w:r w:rsidRPr="008D4905">
        <w:rPr>
          <w:rFonts w:ascii="Times New Roman" w:hAnsi="Times New Roman"/>
          <w:sz w:val="24"/>
          <w:szCs w:val="24"/>
          <w:u w:val="single"/>
        </w:rPr>
        <w:t>J.A.V., et al. v. Donal J. Trump, et al.</w:t>
      </w:r>
      <w:r w:rsidRPr="008D4905">
        <w:rPr>
          <w:rFonts w:ascii="Times New Roman" w:hAnsi="Times New Roman"/>
          <w:sz w:val="24"/>
          <w:szCs w:val="24"/>
        </w:rPr>
        <w:t xml:space="preserve">, U. S. District Court Judge Fernando Rodriguez, Jr., United States District Court for Southern District of Texas, Brownsville Division, held that President does not have the lawful authority under the 1798 Alien Enemies Act (“AEA”) to deport Venezuelan aliens without a hearing and order by an Immigration judge.  </w:t>
      </w:r>
      <w:hyperlink r:id="rId657" w:history="1">
        <w:r w:rsidRPr="008D4905">
          <w:rPr>
            <w:rStyle w:val="Hyperlink"/>
            <w:rFonts w:ascii="Times New Roman" w:hAnsi="Times New Roman"/>
            <w:sz w:val="24"/>
            <w:szCs w:val="24"/>
          </w:rPr>
          <w:t>https://d3i6fh83elv35t.cloudfront.net/static/2025/05/gov.uscourts.txsd_.2000771.58.0_1.pdf</w:t>
        </w:r>
      </w:hyperlink>
      <w:r w:rsidRPr="008D4905">
        <w:rPr>
          <w:rFonts w:ascii="Times New Roman" w:hAnsi="Times New Roman"/>
          <w:sz w:val="24"/>
          <w:szCs w:val="24"/>
        </w:rPr>
        <w:t xml:space="preserve"> </w:t>
      </w:r>
    </w:p>
    <w:p w14:paraId="55B9F96B" w14:textId="77777777" w:rsidR="008D4905" w:rsidRPr="008D4905" w:rsidRDefault="008D4905" w:rsidP="008D4905">
      <w:pPr>
        <w:pStyle w:val="NoSpacing"/>
        <w:rPr>
          <w:rFonts w:ascii="Times New Roman" w:hAnsi="Times New Roman"/>
          <w:sz w:val="24"/>
          <w:szCs w:val="24"/>
        </w:rPr>
      </w:pPr>
    </w:p>
    <w:p w14:paraId="4392730C" w14:textId="77777777" w:rsidR="002450F2" w:rsidRPr="002450F2" w:rsidRDefault="002450F2" w:rsidP="002450F2">
      <w:pPr>
        <w:rPr>
          <w:rFonts w:ascii="Times New Roman" w:hAnsi="Times New Roman"/>
          <w:b/>
          <w:bCs/>
          <w:sz w:val="24"/>
          <w:szCs w:val="24"/>
        </w:rPr>
      </w:pPr>
      <w:r w:rsidRPr="002450F2">
        <w:rPr>
          <w:rFonts w:ascii="Times New Roman" w:hAnsi="Times New Roman"/>
          <w:b/>
          <w:sz w:val="24"/>
          <w:szCs w:val="24"/>
        </w:rPr>
        <w:t>Legal Lesson Learned: The Trump Administration will likely appeal this decision to the 5</w:t>
      </w:r>
      <w:r w:rsidRPr="002450F2">
        <w:rPr>
          <w:rFonts w:ascii="Times New Roman" w:hAnsi="Times New Roman"/>
          <w:b/>
          <w:sz w:val="24"/>
          <w:szCs w:val="24"/>
          <w:vertAlign w:val="superscript"/>
        </w:rPr>
        <w:t>th</w:t>
      </w:r>
      <w:r w:rsidRPr="002450F2">
        <w:rPr>
          <w:rFonts w:ascii="Times New Roman" w:hAnsi="Times New Roman"/>
          <w:b/>
          <w:sz w:val="24"/>
          <w:szCs w:val="24"/>
        </w:rPr>
        <w:t xml:space="preserve"> Circuit Court of Appeals in New Orleans</w:t>
      </w:r>
      <w:r w:rsidRPr="002450F2">
        <w:rPr>
          <w:rFonts w:ascii="Times New Roman" w:hAnsi="Times New Roman"/>
          <w:b/>
          <w:bCs/>
          <w:sz w:val="24"/>
          <w:szCs w:val="24"/>
        </w:rPr>
        <w:t xml:space="preserve"> </w:t>
      </w:r>
      <w:r w:rsidRPr="002450F2">
        <w:rPr>
          <w:rFonts w:ascii="Times New Roman" w:hAnsi="Times New Roman"/>
          <w:b/>
          <w:sz w:val="24"/>
          <w:szCs w:val="24"/>
        </w:rPr>
        <w:t xml:space="preserve">and ultimately </w:t>
      </w:r>
      <w:r w:rsidRPr="002450F2">
        <w:rPr>
          <w:rFonts w:ascii="Times New Roman" w:hAnsi="Times New Roman"/>
          <w:b/>
          <w:bCs/>
          <w:sz w:val="24"/>
          <w:szCs w:val="24"/>
        </w:rPr>
        <w:t xml:space="preserve">may </w:t>
      </w:r>
      <w:r w:rsidRPr="002450F2">
        <w:rPr>
          <w:rFonts w:ascii="Times New Roman" w:hAnsi="Times New Roman"/>
          <w:b/>
          <w:sz w:val="24"/>
          <w:szCs w:val="24"/>
        </w:rPr>
        <w:t xml:space="preserve">seek review by the U.S. Supreme Court.  </w:t>
      </w:r>
    </w:p>
    <w:p w14:paraId="645459B7" w14:textId="77777777" w:rsidR="002450F2" w:rsidRPr="002450F2" w:rsidRDefault="002450F2" w:rsidP="002450F2">
      <w:pPr>
        <w:pStyle w:val="NoSpacing"/>
        <w:ind w:left="720"/>
        <w:rPr>
          <w:rFonts w:ascii="Times New Roman" w:hAnsi="Times New Roman"/>
          <w:sz w:val="24"/>
          <w:szCs w:val="24"/>
        </w:rPr>
      </w:pPr>
      <w:r w:rsidRPr="002450F2">
        <w:rPr>
          <w:rFonts w:ascii="Times New Roman" w:hAnsi="Times New Roman"/>
          <w:sz w:val="24"/>
          <w:szCs w:val="24"/>
        </w:rPr>
        <w:t xml:space="preserve">Note: </w:t>
      </w:r>
    </w:p>
    <w:p w14:paraId="1302B0D4" w14:textId="77777777" w:rsidR="002450F2" w:rsidRPr="002450F2" w:rsidRDefault="002450F2" w:rsidP="002450F2">
      <w:pPr>
        <w:pStyle w:val="NoSpacing"/>
        <w:ind w:left="720"/>
        <w:rPr>
          <w:rFonts w:ascii="Times New Roman" w:hAnsi="Times New Roman"/>
          <w:sz w:val="24"/>
          <w:szCs w:val="24"/>
        </w:rPr>
      </w:pPr>
    </w:p>
    <w:p w14:paraId="69466558" w14:textId="77777777" w:rsidR="002450F2" w:rsidRPr="002450F2" w:rsidRDefault="002450F2" w:rsidP="002450F2">
      <w:pPr>
        <w:pStyle w:val="NoSpacing"/>
        <w:numPr>
          <w:ilvl w:val="0"/>
          <w:numId w:val="26"/>
        </w:numPr>
        <w:rPr>
          <w:rFonts w:ascii="Times New Roman" w:hAnsi="Times New Roman"/>
          <w:sz w:val="24"/>
          <w:szCs w:val="24"/>
        </w:rPr>
      </w:pPr>
      <w:r w:rsidRPr="002450F2">
        <w:rPr>
          <w:rFonts w:ascii="Times New Roman" w:hAnsi="Times New Roman"/>
          <w:sz w:val="24"/>
          <w:szCs w:val="24"/>
        </w:rPr>
        <w:t xml:space="preserve">Judge Rodriguez confirmed that deportations can continue under the Immigration and Nationality Act, after a hearing and order by an Immigration judge.  Judge Rodriguez wrote: “To the extent that J.A.V., J.G.G., and W.G.H., or any member of the certified class, have been detained or are detained in the future pursuant to the Immigration and Nationality Act, they have not sought and do not obtain any relief. In addition, the conclusions of the Court do not affect Respondents’ ability to continue removal proceedings or enforcement of any final orders of removal issued against J.A.V., J.G.G., and W.G.H, or against any member of the certified class, under the Immigration and Nationality Act.” Read this article: </w:t>
      </w:r>
      <w:hyperlink r:id="rId658" w:history="1">
        <w:r w:rsidRPr="002450F2">
          <w:rPr>
            <w:rStyle w:val="Hyperlink"/>
            <w:rFonts w:ascii="Times New Roman" w:hAnsi="Times New Roman"/>
            <w:sz w:val="24"/>
            <w:szCs w:val="24"/>
          </w:rPr>
          <w:t>https://www.pbs.org/newshour/politics/what-is-the-legal-process-for-deporting-u-s-green-card-and-visa-holders</w:t>
        </w:r>
      </w:hyperlink>
      <w:r w:rsidRPr="002450F2">
        <w:rPr>
          <w:rFonts w:ascii="Times New Roman" w:hAnsi="Times New Roman"/>
          <w:sz w:val="24"/>
          <w:szCs w:val="24"/>
        </w:rPr>
        <w:t xml:space="preserve"> </w:t>
      </w:r>
    </w:p>
    <w:p w14:paraId="4CAAC0E0" w14:textId="77777777" w:rsidR="002450F2" w:rsidRPr="002450F2" w:rsidRDefault="002450F2" w:rsidP="002450F2">
      <w:pPr>
        <w:pStyle w:val="ListParagraph"/>
        <w:rPr>
          <w:rFonts w:ascii="Times New Roman" w:hAnsi="Times New Roman" w:cs="Times New Roman"/>
          <w:sz w:val="24"/>
          <w:szCs w:val="24"/>
        </w:rPr>
      </w:pPr>
    </w:p>
    <w:p w14:paraId="4DB63E65" w14:textId="77777777" w:rsidR="002450F2" w:rsidRPr="002450F2" w:rsidRDefault="002450F2" w:rsidP="002450F2">
      <w:pPr>
        <w:pStyle w:val="NoSpacing"/>
        <w:numPr>
          <w:ilvl w:val="0"/>
          <w:numId w:val="26"/>
        </w:numPr>
        <w:rPr>
          <w:rFonts w:ascii="Times New Roman" w:hAnsi="Times New Roman"/>
          <w:sz w:val="24"/>
          <w:szCs w:val="24"/>
        </w:rPr>
      </w:pPr>
      <w:r w:rsidRPr="002450F2">
        <w:rPr>
          <w:rFonts w:ascii="Times New Roman" w:hAnsi="Times New Roman"/>
          <w:sz w:val="24"/>
          <w:szCs w:val="24"/>
        </w:rPr>
        <w:t xml:space="preserve">See April 10, </w:t>
      </w:r>
      <w:proofErr w:type="gramStart"/>
      <w:r w:rsidRPr="002450F2">
        <w:rPr>
          <w:rFonts w:ascii="Times New Roman" w:hAnsi="Times New Roman"/>
          <w:sz w:val="24"/>
          <w:szCs w:val="24"/>
        </w:rPr>
        <w:t>2025</w:t>
      </w:r>
      <w:proofErr w:type="gramEnd"/>
      <w:r w:rsidRPr="002450F2">
        <w:rPr>
          <w:rFonts w:ascii="Times New Roman" w:hAnsi="Times New Roman"/>
          <w:sz w:val="24"/>
          <w:szCs w:val="24"/>
        </w:rPr>
        <w:t xml:space="preserve"> Statement by U.S. Supreme Court Justice Sonia Sotomayor in another case challenging removal of alien: </w:t>
      </w:r>
      <w:proofErr w:type="spellStart"/>
      <w:r w:rsidRPr="002450F2">
        <w:rPr>
          <w:rFonts w:ascii="Times New Roman" w:hAnsi="Times New Roman"/>
          <w:sz w:val="24"/>
          <w:szCs w:val="24"/>
        </w:rPr>
        <w:t>Kilmar</w:t>
      </w:r>
      <w:proofErr w:type="spellEnd"/>
      <w:r w:rsidRPr="002450F2">
        <w:rPr>
          <w:rFonts w:ascii="Times New Roman" w:hAnsi="Times New Roman"/>
          <w:sz w:val="24"/>
          <w:szCs w:val="24"/>
        </w:rPr>
        <w:t xml:space="preserve"> Armando Abrego Garcia.  “United States removed </w:t>
      </w:r>
      <w:proofErr w:type="spellStart"/>
      <w:r w:rsidRPr="002450F2">
        <w:rPr>
          <w:rFonts w:ascii="Times New Roman" w:hAnsi="Times New Roman"/>
          <w:sz w:val="24"/>
          <w:szCs w:val="24"/>
        </w:rPr>
        <w:t>Kilmar</w:t>
      </w:r>
      <w:proofErr w:type="spellEnd"/>
      <w:r w:rsidRPr="002450F2">
        <w:rPr>
          <w:rFonts w:ascii="Times New Roman" w:hAnsi="Times New Roman"/>
          <w:sz w:val="24"/>
          <w:szCs w:val="24"/>
        </w:rPr>
        <w:t xml:space="preserve"> Armando Abrego Garcia from the United States to El Salvador, where he is currently detained in the Center for Terrorism Confinement (CECOT). The United States acknowledges that Abrego Garcia was subject to a withholding order forbidding his removal to El Salvador, and that the removal to El Salvador was therefore illegal. *** In the proceedings on remand, the District Court should continue to ensure that the Government lives up to its obligations to follow the law.” </w:t>
      </w:r>
      <w:hyperlink r:id="rId659" w:history="1">
        <w:r w:rsidRPr="002450F2">
          <w:rPr>
            <w:rStyle w:val="Hyperlink"/>
            <w:rFonts w:ascii="Times New Roman" w:hAnsi="Times New Roman"/>
            <w:sz w:val="24"/>
            <w:szCs w:val="24"/>
          </w:rPr>
          <w:t>https://www.supremecourt.gov/opinions/24pdf/24a949_lkhn.pdf</w:t>
        </w:r>
      </w:hyperlink>
      <w:r w:rsidRPr="002450F2">
        <w:rPr>
          <w:rFonts w:ascii="Times New Roman" w:hAnsi="Times New Roman"/>
          <w:sz w:val="24"/>
          <w:szCs w:val="24"/>
        </w:rPr>
        <w:t xml:space="preserve"> </w:t>
      </w:r>
    </w:p>
    <w:p w14:paraId="63848D8B" w14:textId="77777777" w:rsidR="002450F2" w:rsidRPr="002450F2" w:rsidRDefault="002450F2" w:rsidP="002450F2">
      <w:pPr>
        <w:pStyle w:val="NoSpacing"/>
        <w:rPr>
          <w:rFonts w:ascii="Times New Roman" w:hAnsi="Times New Roman"/>
          <w:sz w:val="24"/>
          <w:szCs w:val="24"/>
        </w:rPr>
      </w:pPr>
    </w:p>
    <w:p w14:paraId="6F36FA11" w14:textId="77777777" w:rsidR="002450F2" w:rsidRPr="002450F2" w:rsidRDefault="002450F2" w:rsidP="002450F2">
      <w:pPr>
        <w:pStyle w:val="NoSpacing"/>
        <w:numPr>
          <w:ilvl w:val="0"/>
          <w:numId w:val="26"/>
        </w:numPr>
        <w:rPr>
          <w:rFonts w:ascii="Times New Roman" w:hAnsi="Times New Roman"/>
          <w:sz w:val="24"/>
          <w:szCs w:val="24"/>
        </w:rPr>
      </w:pPr>
      <w:r w:rsidRPr="002450F2">
        <w:rPr>
          <w:rFonts w:ascii="Times New Roman" w:hAnsi="Times New Roman"/>
          <w:sz w:val="24"/>
          <w:szCs w:val="24"/>
        </w:rPr>
        <w:t>Judge Rodriguez was appointed by President Trump during his first Term and assumed office on June 12, 2018.</w:t>
      </w:r>
    </w:p>
    <w:p w14:paraId="058A081E" w14:textId="77777777" w:rsidR="006E3103" w:rsidRDefault="006E3103" w:rsidP="00F326E5">
      <w:pPr>
        <w:pStyle w:val="NoSpacing"/>
        <w:rPr>
          <w:rFonts w:ascii="Arial Black" w:hAnsi="Arial Black"/>
          <w:sz w:val="28"/>
          <w:szCs w:val="28"/>
        </w:rPr>
      </w:pPr>
    </w:p>
    <w:p w14:paraId="425E149F" w14:textId="77777777" w:rsidR="006E3103" w:rsidRDefault="006E3103" w:rsidP="00F326E5">
      <w:pPr>
        <w:pStyle w:val="NoSpacing"/>
        <w:rPr>
          <w:rFonts w:ascii="Arial Black" w:hAnsi="Arial Black"/>
          <w:sz w:val="28"/>
          <w:szCs w:val="28"/>
        </w:rPr>
      </w:pPr>
    </w:p>
    <w:p w14:paraId="5C147FC4" w14:textId="3CA934DF" w:rsidR="00FB7D37" w:rsidRDefault="00032BF1" w:rsidP="00F326E5">
      <w:pPr>
        <w:pStyle w:val="NoSpacing"/>
        <w:rPr>
          <w:rFonts w:ascii="Arial Black" w:hAnsi="Arial Black"/>
          <w:sz w:val="28"/>
          <w:szCs w:val="28"/>
        </w:rPr>
      </w:pPr>
      <w:r>
        <w:rPr>
          <w:rFonts w:ascii="Arial Black" w:hAnsi="Arial Black"/>
          <w:sz w:val="28"/>
          <w:szCs w:val="28"/>
        </w:rPr>
        <w:t>3-73</w:t>
      </w:r>
    </w:p>
    <w:p w14:paraId="57CD5303" w14:textId="77777777" w:rsidR="00032BF1" w:rsidRDefault="00032BF1" w:rsidP="00F326E5">
      <w:pPr>
        <w:pStyle w:val="NoSpacing"/>
        <w:rPr>
          <w:rFonts w:ascii="Arial Black" w:hAnsi="Arial Black"/>
          <w:sz w:val="28"/>
          <w:szCs w:val="28"/>
        </w:rPr>
      </w:pPr>
    </w:p>
    <w:p w14:paraId="7ADF4968" w14:textId="77777777" w:rsidR="00DD3267" w:rsidRDefault="00DD3267" w:rsidP="00DD3267">
      <w:pPr>
        <w:pStyle w:val="NoSpacing"/>
        <w:rPr>
          <w:rFonts w:ascii="Arial Black" w:hAnsi="Arial Black"/>
          <w:bCs/>
          <w:sz w:val="28"/>
          <w:szCs w:val="28"/>
        </w:rPr>
      </w:pPr>
      <w:r>
        <w:rPr>
          <w:rFonts w:ascii="Arial Black" w:hAnsi="Arial Black"/>
          <w:sz w:val="28"/>
          <w:szCs w:val="28"/>
        </w:rPr>
        <w:t>U.S. SUP. CT:  “GHOST GUNS” – FRAMES / SERIAL NUMBERS</w:t>
      </w:r>
    </w:p>
    <w:p w14:paraId="63102279" w14:textId="77777777" w:rsidR="00DD3267" w:rsidRDefault="00DD3267" w:rsidP="00DD3267">
      <w:pPr>
        <w:pStyle w:val="NoSpacing"/>
        <w:rPr>
          <w:bCs/>
        </w:rPr>
      </w:pPr>
    </w:p>
    <w:p w14:paraId="7D077A5C" w14:textId="77777777" w:rsidR="00DD3267" w:rsidRPr="005A324A" w:rsidRDefault="00DD3267" w:rsidP="00DD3267">
      <w:pPr>
        <w:pStyle w:val="NoSpacing"/>
        <w:rPr>
          <w:rFonts w:ascii="Times New Roman" w:hAnsi="Times New Roman"/>
          <w:bCs/>
          <w:sz w:val="24"/>
          <w:szCs w:val="24"/>
        </w:rPr>
      </w:pPr>
      <w:r w:rsidRPr="005A324A">
        <w:rPr>
          <w:rFonts w:ascii="Times New Roman" w:hAnsi="Times New Roman"/>
          <w:sz w:val="24"/>
          <w:szCs w:val="24"/>
        </w:rPr>
        <w:t xml:space="preserve">On March 26, 2025, in </w:t>
      </w:r>
      <w:r w:rsidRPr="005A324A">
        <w:rPr>
          <w:rFonts w:ascii="Times New Roman" w:hAnsi="Times New Roman"/>
          <w:sz w:val="24"/>
          <w:szCs w:val="24"/>
          <w:u w:val="single"/>
        </w:rPr>
        <w:t xml:space="preserve">Bondi, Attorney General v. </w:t>
      </w:r>
      <w:proofErr w:type="spellStart"/>
      <w:r w:rsidRPr="005A324A">
        <w:rPr>
          <w:rFonts w:ascii="Times New Roman" w:hAnsi="Times New Roman"/>
          <w:sz w:val="24"/>
          <w:szCs w:val="24"/>
          <w:u w:val="single"/>
        </w:rPr>
        <w:t>Vanderstok</w:t>
      </w:r>
      <w:proofErr w:type="spellEnd"/>
      <w:r w:rsidRPr="005A324A">
        <w:rPr>
          <w:rFonts w:ascii="Times New Roman" w:hAnsi="Times New Roman"/>
          <w:sz w:val="24"/>
          <w:szCs w:val="24"/>
          <w:u w:val="single"/>
        </w:rPr>
        <w:t>, et al</w:t>
      </w:r>
      <w:r w:rsidRPr="005A324A">
        <w:rPr>
          <w:rFonts w:ascii="Times New Roman" w:hAnsi="Times New Roman"/>
          <w:sz w:val="24"/>
          <w:szCs w:val="24"/>
        </w:rPr>
        <w:t xml:space="preserve">., the U.S. Supreme Court held (7 to 2) that the ATF may regulate the sale of parts of manufactured firearms (“ghost guns”).  </w:t>
      </w:r>
    </w:p>
    <w:p w14:paraId="22EE05AC" w14:textId="77777777" w:rsidR="00DD3267" w:rsidRPr="005A324A" w:rsidRDefault="00DD3267" w:rsidP="00DD3267">
      <w:pPr>
        <w:pStyle w:val="NoSpacing"/>
        <w:rPr>
          <w:rFonts w:ascii="Times New Roman" w:hAnsi="Times New Roman"/>
          <w:bCs/>
          <w:sz w:val="24"/>
          <w:szCs w:val="24"/>
        </w:rPr>
      </w:pPr>
      <w:r w:rsidRPr="005A324A">
        <w:rPr>
          <w:rFonts w:ascii="Times New Roman" w:hAnsi="Times New Roman"/>
          <w:sz w:val="24"/>
          <w:szCs w:val="24"/>
        </w:rPr>
        <w:t>“In 2022, the Bureau of Alcohol, Tobacco, Firearms and Explosives adopted a new rule designed to combat the proliferation of ghost guns…. The second relevant aspect of the agency’s new rule concerns a key building block of almost any firearm: its frame or receiver. Under subsection (B) of §921(a)(3</w:t>
      </w:r>
      <w:proofErr w:type="gramStart"/>
      <w:r w:rsidRPr="005A324A">
        <w:rPr>
          <w:rFonts w:ascii="Times New Roman" w:hAnsi="Times New Roman"/>
          <w:sz w:val="24"/>
          <w:szCs w:val="24"/>
        </w:rPr>
        <w:t>), ‘</w:t>
      </w:r>
      <w:proofErr w:type="gramEnd"/>
      <w:r w:rsidRPr="005A324A">
        <w:rPr>
          <w:rFonts w:ascii="Times New Roman" w:hAnsi="Times New Roman"/>
          <w:sz w:val="24"/>
          <w:szCs w:val="24"/>
        </w:rPr>
        <w:t xml:space="preserve">the frame or receiver of any such weapon” covered by subsection (A) is itself treated as a ‘firearm.’ … The GCA [Gun Control Act of 1968] embraces, and thus permits ATF to regulate, some weapon parts kits and unfinished frames or receivers, including those we have discussed. Because the court of appeals held otherwise, its judgment is reversed, and the case is remanded for further proceedings consistent with this </w:t>
      </w:r>
      <w:proofErr w:type="gramStart"/>
      <w:r w:rsidRPr="005A324A">
        <w:rPr>
          <w:rFonts w:ascii="Times New Roman" w:hAnsi="Times New Roman"/>
          <w:sz w:val="24"/>
          <w:szCs w:val="24"/>
        </w:rPr>
        <w:t>opinion</w:t>
      </w:r>
      <w:r w:rsidRPr="005A324A">
        <w:rPr>
          <w:rFonts w:ascii="Times New Roman" w:hAnsi="Times New Roman"/>
          <w:bCs/>
          <w:sz w:val="24"/>
          <w:szCs w:val="24"/>
        </w:rPr>
        <w:t>.</w:t>
      </w:r>
      <w:r w:rsidRPr="005A324A">
        <w:rPr>
          <w:rFonts w:ascii="Times New Roman" w:hAnsi="Times New Roman"/>
          <w:sz w:val="24"/>
          <w:szCs w:val="24"/>
        </w:rPr>
        <w:t>”</w:t>
      </w:r>
      <w:proofErr w:type="gramEnd"/>
      <w:r w:rsidRPr="005A324A">
        <w:rPr>
          <w:rFonts w:ascii="Times New Roman" w:hAnsi="Times New Roman"/>
          <w:sz w:val="24"/>
          <w:szCs w:val="24"/>
        </w:rPr>
        <w:t xml:space="preserve"> </w:t>
      </w:r>
      <w:hyperlink r:id="rId660" w:history="1">
        <w:r w:rsidRPr="005A324A">
          <w:rPr>
            <w:rStyle w:val="Hyperlink"/>
            <w:rFonts w:ascii="Times New Roman" w:hAnsi="Times New Roman"/>
            <w:sz w:val="24"/>
            <w:szCs w:val="24"/>
          </w:rPr>
          <w:t>https://www.supremecourt.gov/opinions/24pdf/23-852_c07d.pdf</w:t>
        </w:r>
      </w:hyperlink>
      <w:r w:rsidRPr="005A324A">
        <w:rPr>
          <w:rFonts w:ascii="Times New Roman" w:hAnsi="Times New Roman"/>
          <w:sz w:val="24"/>
          <w:szCs w:val="24"/>
        </w:rPr>
        <w:t xml:space="preserve"> </w:t>
      </w:r>
    </w:p>
    <w:p w14:paraId="205C60D7" w14:textId="77777777" w:rsidR="00DD3267" w:rsidRPr="005A324A" w:rsidRDefault="00DD3267" w:rsidP="00DD3267">
      <w:pPr>
        <w:pStyle w:val="NoSpacing"/>
        <w:rPr>
          <w:rFonts w:ascii="Times New Roman" w:hAnsi="Times New Roman"/>
          <w:bCs/>
          <w:sz w:val="24"/>
          <w:szCs w:val="24"/>
        </w:rPr>
      </w:pPr>
    </w:p>
    <w:p w14:paraId="7F30D731" w14:textId="77777777" w:rsidR="00746DF3" w:rsidRPr="00746DF3" w:rsidRDefault="00746DF3" w:rsidP="00746DF3">
      <w:pPr>
        <w:pStyle w:val="NoSpacing"/>
        <w:rPr>
          <w:rFonts w:ascii="Times New Roman" w:hAnsi="Times New Roman"/>
          <w:b/>
          <w:sz w:val="24"/>
          <w:szCs w:val="24"/>
        </w:rPr>
      </w:pPr>
      <w:r w:rsidRPr="00746DF3">
        <w:rPr>
          <w:rFonts w:ascii="Times New Roman" w:hAnsi="Times New Roman"/>
          <w:b/>
          <w:sz w:val="24"/>
          <w:szCs w:val="24"/>
        </w:rPr>
        <w:t xml:space="preserve">Legal Lesson Learned: Hopefully this decision will greatly increase the serial numbers placed on Ghost Guns.  </w:t>
      </w:r>
    </w:p>
    <w:p w14:paraId="0FBC67EB" w14:textId="77777777" w:rsidR="00746DF3" w:rsidRDefault="00746DF3" w:rsidP="00746DF3">
      <w:pPr>
        <w:pStyle w:val="NoSpacing"/>
        <w:rPr>
          <w:b/>
        </w:rPr>
      </w:pPr>
    </w:p>
    <w:p w14:paraId="298E974A" w14:textId="77777777" w:rsidR="005A324A" w:rsidRPr="005A324A" w:rsidRDefault="005A324A" w:rsidP="005A324A">
      <w:pPr>
        <w:pStyle w:val="NoSpacing"/>
        <w:ind w:left="720"/>
        <w:rPr>
          <w:rFonts w:ascii="Times New Roman" w:hAnsi="Times New Roman"/>
          <w:bCs/>
          <w:sz w:val="24"/>
          <w:szCs w:val="24"/>
        </w:rPr>
      </w:pPr>
      <w:r w:rsidRPr="005A324A">
        <w:rPr>
          <w:rFonts w:ascii="Times New Roman" w:hAnsi="Times New Roman"/>
          <w:sz w:val="24"/>
          <w:szCs w:val="24"/>
        </w:rPr>
        <w:t xml:space="preserve">Note: Dissenting opinion by Justice Clearance Thompson (Justice Samuel Alit also dissented): “Congress could have authorized ATF to regulate any part of a firearm or any object readily convertible into one. </w:t>
      </w:r>
      <w:proofErr w:type="gramStart"/>
      <w:r w:rsidRPr="005A324A">
        <w:rPr>
          <w:rFonts w:ascii="Times New Roman" w:hAnsi="Times New Roman"/>
          <w:sz w:val="24"/>
          <w:szCs w:val="24"/>
        </w:rPr>
        <w:t>But,</w:t>
      </w:r>
      <w:proofErr w:type="gramEnd"/>
      <w:r w:rsidRPr="005A324A">
        <w:rPr>
          <w:rFonts w:ascii="Times New Roman" w:hAnsi="Times New Roman"/>
          <w:sz w:val="24"/>
          <w:szCs w:val="24"/>
        </w:rPr>
        <w:t xml:space="preserve"> it did not.”</w:t>
      </w:r>
    </w:p>
    <w:p w14:paraId="5E4ECBA5" w14:textId="77777777" w:rsidR="005A324A" w:rsidRPr="005A324A" w:rsidRDefault="005A324A" w:rsidP="005A324A">
      <w:pPr>
        <w:pStyle w:val="NoSpacing"/>
        <w:ind w:left="720"/>
        <w:rPr>
          <w:rFonts w:ascii="Times New Roman" w:hAnsi="Times New Roman"/>
          <w:bCs/>
          <w:sz w:val="24"/>
          <w:szCs w:val="24"/>
        </w:rPr>
      </w:pPr>
    </w:p>
    <w:p w14:paraId="0FE76A03" w14:textId="77777777" w:rsidR="005A324A" w:rsidRPr="005A324A" w:rsidRDefault="005A324A" w:rsidP="005A324A">
      <w:pPr>
        <w:pStyle w:val="NoSpacing"/>
        <w:ind w:left="720"/>
        <w:rPr>
          <w:rFonts w:ascii="Times New Roman" w:hAnsi="Times New Roman"/>
          <w:bCs/>
          <w:sz w:val="24"/>
          <w:szCs w:val="24"/>
        </w:rPr>
      </w:pPr>
      <w:r w:rsidRPr="005A324A">
        <w:rPr>
          <w:rFonts w:ascii="Times New Roman" w:hAnsi="Times New Roman"/>
          <w:sz w:val="24"/>
          <w:szCs w:val="24"/>
        </w:rPr>
        <w:t xml:space="preserve">Want to know more about gun parts?  Watch the YouTube video by dissenting Judge Lawrence VanDyke [believe it is first time a federal judge made a video instead of writing an opinion]. </w:t>
      </w:r>
      <w:hyperlink r:id="rId661" w:history="1">
        <w:r w:rsidRPr="005A324A">
          <w:rPr>
            <w:rStyle w:val="Hyperlink"/>
            <w:rFonts w:ascii="Times New Roman" w:hAnsi="Times New Roman"/>
            <w:b/>
            <w:sz w:val="24"/>
            <w:szCs w:val="24"/>
          </w:rPr>
          <w:t>https://www.youtube.com/watch?v=DMC7Ntd4d4c</w:t>
        </w:r>
      </w:hyperlink>
      <w:r w:rsidRPr="005A324A">
        <w:rPr>
          <w:rFonts w:ascii="Times New Roman" w:hAnsi="Times New Roman"/>
          <w:b/>
          <w:sz w:val="24"/>
          <w:szCs w:val="24"/>
        </w:rPr>
        <w:t xml:space="preserve"> .  </w:t>
      </w:r>
      <w:r w:rsidRPr="005A324A">
        <w:rPr>
          <w:rFonts w:ascii="Times New Roman" w:hAnsi="Times New Roman"/>
          <w:sz w:val="24"/>
          <w:szCs w:val="24"/>
        </w:rPr>
        <w:t>The judge on the U.S. Court of Appeals for 9</w:t>
      </w:r>
      <w:r w:rsidRPr="005A324A">
        <w:rPr>
          <w:rFonts w:ascii="Times New Roman" w:hAnsi="Times New Roman"/>
          <w:sz w:val="24"/>
          <w:szCs w:val="24"/>
          <w:vertAlign w:val="superscript"/>
        </w:rPr>
        <w:t>th</w:t>
      </w:r>
      <w:r w:rsidRPr="005A324A">
        <w:rPr>
          <w:rFonts w:ascii="Times New Roman" w:hAnsi="Times New Roman"/>
          <w:sz w:val="24"/>
          <w:szCs w:val="24"/>
        </w:rPr>
        <w:t xml:space="preserve"> Circuit (San Francisco) posted a YouTube video about firearms, dissenting </w:t>
      </w:r>
      <w:proofErr w:type="gramStart"/>
      <w:r w:rsidRPr="005A324A">
        <w:rPr>
          <w:rFonts w:ascii="Times New Roman" w:hAnsi="Times New Roman"/>
          <w:sz w:val="24"/>
          <w:szCs w:val="24"/>
        </w:rPr>
        <w:t>in</w:t>
      </w:r>
      <w:proofErr w:type="gramEnd"/>
      <w:r w:rsidRPr="005A324A">
        <w:rPr>
          <w:rFonts w:ascii="Times New Roman" w:hAnsi="Times New Roman"/>
          <w:sz w:val="24"/>
          <w:szCs w:val="24"/>
        </w:rPr>
        <w:t xml:space="preserve"> March 20, </w:t>
      </w:r>
      <w:proofErr w:type="gramStart"/>
      <w:r w:rsidRPr="005A324A">
        <w:rPr>
          <w:rFonts w:ascii="Times New Roman" w:hAnsi="Times New Roman"/>
          <w:sz w:val="24"/>
          <w:szCs w:val="24"/>
        </w:rPr>
        <w:t>2025</w:t>
      </w:r>
      <w:proofErr w:type="gramEnd"/>
      <w:r w:rsidRPr="005A324A">
        <w:rPr>
          <w:rFonts w:ascii="Times New Roman" w:hAnsi="Times New Roman"/>
          <w:sz w:val="24"/>
          <w:szCs w:val="24"/>
        </w:rPr>
        <w:t xml:space="preserve"> </w:t>
      </w:r>
      <w:proofErr w:type="spellStart"/>
      <w:r w:rsidRPr="005A324A">
        <w:rPr>
          <w:rFonts w:ascii="Times New Roman" w:hAnsi="Times New Roman"/>
          <w:sz w:val="24"/>
          <w:szCs w:val="24"/>
        </w:rPr>
        <w:t>en</w:t>
      </w:r>
      <w:proofErr w:type="spellEnd"/>
      <w:r w:rsidRPr="005A324A">
        <w:rPr>
          <w:rFonts w:ascii="Times New Roman" w:hAnsi="Times New Roman"/>
          <w:sz w:val="24"/>
          <w:szCs w:val="24"/>
        </w:rPr>
        <w:t xml:space="preserve"> banc (all judges on the Circuit) decision in </w:t>
      </w:r>
      <w:r w:rsidRPr="005A324A">
        <w:rPr>
          <w:rFonts w:ascii="Times New Roman" w:hAnsi="Times New Roman"/>
          <w:sz w:val="24"/>
          <w:szCs w:val="24"/>
          <w:u w:val="single"/>
        </w:rPr>
        <w:t>Duncan v. Bonita</w:t>
      </w:r>
      <w:r w:rsidRPr="005A324A">
        <w:rPr>
          <w:rFonts w:ascii="Times New Roman" w:hAnsi="Times New Roman"/>
          <w:sz w:val="24"/>
          <w:szCs w:val="24"/>
        </w:rPr>
        <w:t>, upholding the California law banning the possession of large-capacity magazines comports with the</w:t>
      </w:r>
    </w:p>
    <w:p w14:paraId="3BDAAC3D" w14:textId="77777777" w:rsidR="005A324A" w:rsidRPr="005A324A" w:rsidRDefault="005A324A" w:rsidP="005A324A">
      <w:pPr>
        <w:pStyle w:val="NoSpacing"/>
        <w:ind w:left="720"/>
        <w:rPr>
          <w:rFonts w:ascii="Times New Roman" w:hAnsi="Times New Roman"/>
          <w:bCs/>
          <w:sz w:val="24"/>
          <w:szCs w:val="24"/>
        </w:rPr>
      </w:pPr>
      <w:r w:rsidRPr="005A324A">
        <w:rPr>
          <w:rFonts w:ascii="Times New Roman" w:hAnsi="Times New Roman"/>
          <w:sz w:val="24"/>
          <w:szCs w:val="24"/>
        </w:rPr>
        <w:t xml:space="preserve">Second Amendment. </w:t>
      </w:r>
      <w:hyperlink r:id="rId662" w:history="1">
        <w:r w:rsidRPr="005A324A">
          <w:rPr>
            <w:rStyle w:val="Hyperlink"/>
            <w:rFonts w:ascii="Times New Roman" w:hAnsi="Times New Roman"/>
            <w:sz w:val="24"/>
            <w:szCs w:val="24"/>
          </w:rPr>
          <w:t>https://cdn.ca9.uscourts.gov/datastore/opinions/2025/03/20/23-55805.pdf</w:t>
        </w:r>
      </w:hyperlink>
      <w:r w:rsidRPr="005A324A">
        <w:rPr>
          <w:rFonts w:ascii="Times New Roman" w:hAnsi="Times New Roman"/>
          <w:sz w:val="24"/>
          <w:szCs w:val="24"/>
        </w:rPr>
        <w:t xml:space="preserve">  </w:t>
      </w:r>
    </w:p>
    <w:p w14:paraId="794583D4" w14:textId="77777777" w:rsidR="00DD3267" w:rsidRDefault="00DD3267" w:rsidP="00F326E5">
      <w:pPr>
        <w:pStyle w:val="NoSpacing"/>
        <w:rPr>
          <w:rFonts w:ascii="Arial Black" w:hAnsi="Arial Black"/>
          <w:sz w:val="28"/>
          <w:szCs w:val="28"/>
        </w:rPr>
      </w:pPr>
    </w:p>
    <w:p w14:paraId="6F39C6B2" w14:textId="77777777" w:rsidR="00FB7D37" w:rsidRDefault="00FB7D37" w:rsidP="00F326E5">
      <w:pPr>
        <w:pStyle w:val="NoSpacing"/>
        <w:rPr>
          <w:rFonts w:ascii="Arial Black" w:hAnsi="Arial Black"/>
          <w:sz w:val="28"/>
          <w:szCs w:val="28"/>
        </w:rPr>
      </w:pPr>
    </w:p>
    <w:p w14:paraId="113CCD50" w14:textId="77777777" w:rsidR="00FB7D37" w:rsidRDefault="00FB7D37" w:rsidP="00F326E5">
      <w:pPr>
        <w:pStyle w:val="NoSpacing"/>
        <w:rPr>
          <w:rFonts w:ascii="Arial Black" w:hAnsi="Arial Black"/>
          <w:sz w:val="28"/>
          <w:szCs w:val="28"/>
        </w:rPr>
      </w:pPr>
    </w:p>
    <w:p w14:paraId="2D65B6A5" w14:textId="16889806" w:rsidR="00F30E91" w:rsidRDefault="00F30E91" w:rsidP="00F326E5">
      <w:pPr>
        <w:pStyle w:val="NoSpacing"/>
        <w:rPr>
          <w:rFonts w:ascii="Arial Black" w:hAnsi="Arial Black"/>
          <w:sz w:val="28"/>
          <w:szCs w:val="28"/>
        </w:rPr>
      </w:pPr>
      <w:r>
        <w:rPr>
          <w:rFonts w:ascii="Arial Black" w:hAnsi="Arial Black"/>
          <w:sz w:val="28"/>
          <w:szCs w:val="28"/>
        </w:rPr>
        <w:t>3-72</w:t>
      </w:r>
    </w:p>
    <w:p w14:paraId="6AAE6BCF" w14:textId="77777777" w:rsidR="00FB7D37" w:rsidRDefault="00FB7D37" w:rsidP="009048F3">
      <w:pPr>
        <w:pStyle w:val="NoSpacing"/>
        <w:rPr>
          <w:rFonts w:ascii="Arial Black" w:hAnsi="Arial Black"/>
          <w:sz w:val="28"/>
          <w:szCs w:val="28"/>
        </w:rPr>
      </w:pPr>
    </w:p>
    <w:p w14:paraId="6F4040D0" w14:textId="5C48A9FE" w:rsidR="009048F3" w:rsidRDefault="009048F3" w:rsidP="009048F3">
      <w:pPr>
        <w:pStyle w:val="NoSpacing"/>
        <w:rPr>
          <w:rFonts w:ascii="Arial Black" w:hAnsi="Arial Black"/>
          <w:bCs/>
          <w:sz w:val="28"/>
          <w:szCs w:val="28"/>
        </w:rPr>
      </w:pPr>
      <w:r>
        <w:rPr>
          <w:rFonts w:ascii="Arial Black" w:hAnsi="Arial Black"/>
          <w:sz w:val="28"/>
          <w:szCs w:val="28"/>
        </w:rPr>
        <w:t xml:space="preserve">NY: GROUND ZERO - $90K CAP NON-ECON DAMAGES </w:t>
      </w:r>
    </w:p>
    <w:p w14:paraId="0F034CBF" w14:textId="77777777" w:rsidR="009048F3" w:rsidRDefault="009048F3" w:rsidP="009048F3">
      <w:pPr>
        <w:pStyle w:val="NoSpacing"/>
        <w:rPr>
          <w:rFonts w:ascii="Arial Black" w:hAnsi="Arial Black"/>
          <w:bCs/>
          <w:sz w:val="28"/>
          <w:szCs w:val="28"/>
        </w:rPr>
      </w:pPr>
    </w:p>
    <w:p w14:paraId="0CA4057F" w14:textId="77777777" w:rsidR="009048F3" w:rsidRPr="00FB7D37" w:rsidRDefault="009048F3" w:rsidP="009048F3">
      <w:pPr>
        <w:pStyle w:val="NoSpacing"/>
        <w:rPr>
          <w:rFonts w:ascii="Times New Roman" w:hAnsi="Times New Roman"/>
          <w:bCs/>
          <w:sz w:val="24"/>
          <w:szCs w:val="24"/>
        </w:rPr>
      </w:pPr>
      <w:r w:rsidRPr="00FB7D37">
        <w:rPr>
          <w:rFonts w:ascii="Times New Roman" w:hAnsi="Times New Roman"/>
          <w:sz w:val="24"/>
          <w:szCs w:val="24"/>
        </w:rPr>
        <w:t>On March 4, 2025</w:t>
      </w:r>
      <w:proofErr w:type="gramStart"/>
      <w:r w:rsidRPr="00FB7D37">
        <w:rPr>
          <w:rFonts w:ascii="Times New Roman" w:hAnsi="Times New Roman"/>
          <w:sz w:val="24"/>
          <w:szCs w:val="24"/>
        </w:rPr>
        <w:t>, in</w:t>
      </w:r>
      <w:proofErr w:type="gramEnd"/>
      <w:r w:rsidRPr="00FB7D37">
        <w:rPr>
          <w:rFonts w:ascii="Times New Roman" w:hAnsi="Times New Roman"/>
          <w:sz w:val="24"/>
          <w:szCs w:val="24"/>
        </w:rPr>
        <w:t xml:space="preserve"> </w:t>
      </w:r>
      <w:r w:rsidRPr="00FB7D37">
        <w:rPr>
          <w:rFonts w:ascii="Times New Roman" w:hAnsi="Times New Roman"/>
          <w:sz w:val="24"/>
          <w:szCs w:val="24"/>
          <w:u w:val="single"/>
        </w:rPr>
        <w:t>Michael White v. The United States</w:t>
      </w:r>
      <w:r w:rsidRPr="00FB7D37">
        <w:rPr>
          <w:rFonts w:ascii="Times New Roman" w:hAnsi="Times New Roman"/>
          <w:sz w:val="24"/>
          <w:szCs w:val="24"/>
        </w:rPr>
        <w:t xml:space="preserve">, Judge Molly R. Silfen, U.S. Court of Federal Claims, held that former Philadelphia firefighter and U.S. Navy submariner, is entitled to uncapped compensation for non-economic damages, such as intangible losses like pain, suffering, emotional distress, and loss of enjoyment of life. He volunteered at Ground Zero site for six days without respiratory protection, developed respiratory issues and now undergoes regular respiratory therapy and has been hospitalized multiple times.  In Jan. 2017, the 911 Special Master ruled that Congress in 2016 amended the initial compensation schedule, and imposed the new $90,000 cap.  Judge Silfen denied the government’s motion to dismiss: (1) lawsuit was timely filed with six years of the denial of his claim, and (2) this is a breach of a “contract” that provided claimants could file under the original compensation schedule. </w:t>
      </w:r>
      <w:hyperlink r:id="rId663" w:history="1">
        <w:r w:rsidRPr="00FB7D37">
          <w:rPr>
            <w:rStyle w:val="Hyperlink"/>
            <w:rFonts w:ascii="Times New Roman" w:hAnsi="Times New Roman"/>
            <w:sz w:val="24"/>
            <w:szCs w:val="24"/>
          </w:rPr>
          <w:t>https://www.govinfo.gov/content/pkg/USCOURTS-cofc-1_23-cv-00383/pdf/USCOURTS-cofc-1_23-cv-00383-0.pdf</w:t>
        </w:r>
      </w:hyperlink>
      <w:r w:rsidRPr="00FB7D37">
        <w:rPr>
          <w:rFonts w:ascii="Times New Roman" w:hAnsi="Times New Roman"/>
          <w:sz w:val="24"/>
          <w:szCs w:val="24"/>
        </w:rPr>
        <w:t xml:space="preserve"> </w:t>
      </w:r>
    </w:p>
    <w:p w14:paraId="0B737EE7" w14:textId="77777777" w:rsidR="009048F3" w:rsidRPr="00FB7D37" w:rsidRDefault="009048F3" w:rsidP="009048F3">
      <w:pPr>
        <w:pStyle w:val="NoSpacing"/>
        <w:rPr>
          <w:rFonts w:ascii="Times New Roman" w:hAnsi="Times New Roman"/>
          <w:bCs/>
          <w:sz w:val="24"/>
          <w:szCs w:val="24"/>
        </w:rPr>
      </w:pPr>
    </w:p>
    <w:p w14:paraId="2EF8116B" w14:textId="77777777" w:rsidR="00555E2A" w:rsidRPr="00555E2A" w:rsidRDefault="00555E2A" w:rsidP="00555E2A">
      <w:pPr>
        <w:pStyle w:val="NoSpacing"/>
        <w:rPr>
          <w:rFonts w:ascii="Times New Roman" w:hAnsi="Times New Roman"/>
          <w:b/>
          <w:sz w:val="24"/>
          <w:szCs w:val="24"/>
        </w:rPr>
      </w:pPr>
      <w:r w:rsidRPr="00555E2A">
        <w:rPr>
          <w:rFonts w:ascii="Times New Roman" w:hAnsi="Times New Roman"/>
          <w:b/>
          <w:sz w:val="24"/>
          <w:szCs w:val="24"/>
        </w:rPr>
        <w:t>Legal Lesson Learned: The government breached the contract; firefighter entitled to uncapped non-economic damages.</w:t>
      </w:r>
    </w:p>
    <w:p w14:paraId="7DC10A3D" w14:textId="77777777" w:rsidR="00555E2A" w:rsidRPr="00555E2A" w:rsidRDefault="00555E2A" w:rsidP="00555E2A">
      <w:pPr>
        <w:rPr>
          <w:rFonts w:ascii="Times New Roman" w:hAnsi="Times New Roman"/>
          <w:sz w:val="24"/>
          <w:szCs w:val="24"/>
        </w:rPr>
      </w:pPr>
    </w:p>
    <w:p w14:paraId="68A20F43" w14:textId="77777777" w:rsidR="00FB7D37" w:rsidRPr="00FB7D37" w:rsidRDefault="00FB7D37" w:rsidP="00FB7D37">
      <w:pPr>
        <w:rPr>
          <w:rFonts w:ascii="Times New Roman" w:hAnsi="Times New Roman"/>
          <w:sz w:val="24"/>
          <w:szCs w:val="24"/>
        </w:rPr>
      </w:pPr>
    </w:p>
    <w:p w14:paraId="1FD9528A" w14:textId="77777777" w:rsidR="009048F3" w:rsidRPr="00FB7D37" w:rsidRDefault="009048F3" w:rsidP="00F326E5">
      <w:pPr>
        <w:pStyle w:val="NoSpacing"/>
        <w:rPr>
          <w:rFonts w:ascii="Times New Roman" w:hAnsi="Times New Roman"/>
          <w:sz w:val="24"/>
          <w:szCs w:val="24"/>
        </w:rPr>
      </w:pPr>
    </w:p>
    <w:p w14:paraId="10A6A54C" w14:textId="77777777" w:rsidR="00F30E91" w:rsidRDefault="00F30E91" w:rsidP="00F326E5">
      <w:pPr>
        <w:pStyle w:val="NoSpacing"/>
        <w:rPr>
          <w:rFonts w:ascii="Arial Black" w:hAnsi="Arial Black"/>
          <w:sz w:val="28"/>
          <w:szCs w:val="28"/>
        </w:rPr>
      </w:pPr>
    </w:p>
    <w:p w14:paraId="3F471E9C" w14:textId="77777777" w:rsidR="00F30E91" w:rsidRDefault="00F30E91" w:rsidP="00F326E5">
      <w:pPr>
        <w:pStyle w:val="NoSpacing"/>
        <w:rPr>
          <w:rFonts w:ascii="Arial Black" w:hAnsi="Arial Black"/>
          <w:sz w:val="28"/>
          <w:szCs w:val="28"/>
        </w:rPr>
      </w:pPr>
    </w:p>
    <w:p w14:paraId="18536455" w14:textId="64201EB6" w:rsidR="00CD461F" w:rsidRDefault="00CD461F" w:rsidP="00F326E5">
      <w:pPr>
        <w:pStyle w:val="NoSpacing"/>
        <w:rPr>
          <w:rFonts w:ascii="Arial Black" w:hAnsi="Arial Black"/>
          <w:sz w:val="28"/>
          <w:szCs w:val="28"/>
        </w:rPr>
      </w:pPr>
      <w:r>
        <w:rPr>
          <w:rFonts w:ascii="Arial Black" w:hAnsi="Arial Black"/>
          <w:sz w:val="28"/>
          <w:szCs w:val="28"/>
        </w:rPr>
        <w:t>3-71</w:t>
      </w:r>
    </w:p>
    <w:p w14:paraId="5989895F" w14:textId="77777777" w:rsidR="00CD461F" w:rsidRDefault="00CD461F" w:rsidP="00F326E5">
      <w:pPr>
        <w:pStyle w:val="NoSpacing"/>
        <w:rPr>
          <w:rFonts w:ascii="Arial Black" w:hAnsi="Arial Black"/>
          <w:sz w:val="28"/>
          <w:szCs w:val="28"/>
        </w:rPr>
      </w:pPr>
    </w:p>
    <w:p w14:paraId="0CB8B884" w14:textId="77777777" w:rsidR="00CD461F" w:rsidRPr="00C562E1" w:rsidRDefault="00CD461F" w:rsidP="00CD461F">
      <w:pPr>
        <w:pStyle w:val="NoSpacing"/>
        <w:rPr>
          <w:rFonts w:ascii="Arial Black" w:hAnsi="Arial Black"/>
          <w:sz w:val="28"/>
          <w:szCs w:val="28"/>
        </w:rPr>
      </w:pPr>
      <w:r w:rsidRPr="00C562E1">
        <w:rPr>
          <w:rFonts w:ascii="Arial Black" w:hAnsi="Arial Black"/>
          <w:sz w:val="28"/>
          <w:szCs w:val="28"/>
        </w:rPr>
        <w:t xml:space="preserve">DC: </w:t>
      </w:r>
      <w:r>
        <w:rPr>
          <w:rFonts w:ascii="Arial Black" w:hAnsi="Arial Black"/>
          <w:sz w:val="28"/>
          <w:szCs w:val="28"/>
        </w:rPr>
        <w:t xml:space="preserve">CAPITAL – POLICE INJURED </w:t>
      </w:r>
      <w:r w:rsidRPr="00C562E1">
        <w:rPr>
          <w:rFonts w:ascii="Arial Black" w:hAnsi="Arial Black"/>
          <w:sz w:val="28"/>
          <w:szCs w:val="28"/>
        </w:rPr>
        <w:t xml:space="preserve">PEPPER </w:t>
      </w:r>
      <w:r>
        <w:rPr>
          <w:rFonts w:ascii="Arial Black" w:hAnsi="Arial Black"/>
          <w:sz w:val="28"/>
          <w:szCs w:val="28"/>
        </w:rPr>
        <w:t>SPRAY - PARDONS</w:t>
      </w:r>
    </w:p>
    <w:p w14:paraId="258B4AAA" w14:textId="77777777" w:rsidR="00CD461F" w:rsidRPr="00C562E1" w:rsidRDefault="00CD461F" w:rsidP="00CD461F">
      <w:pPr>
        <w:pStyle w:val="NoSpacing"/>
      </w:pPr>
    </w:p>
    <w:p w14:paraId="6BBC23C3" w14:textId="77777777" w:rsidR="00CD461F" w:rsidRPr="00CD461F" w:rsidRDefault="00CD461F" w:rsidP="00CD461F">
      <w:pPr>
        <w:pStyle w:val="NoSpacing"/>
        <w:rPr>
          <w:rFonts w:ascii="Times New Roman" w:hAnsi="Times New Roman"/>
          <w:sz w:val="24"/>
          <w:szCs w:val="24"/>
        </w:rPr>
      </w:pPr>
      <w:r w:rsidRPr="00CD461F">
        <w:rPr>
          <w:rFonts w:ascii="Times New Roman" w:hAnsi="Times New Roman"/>
          <w:sz w:val="24"/>
          <w:szCs w:val="24"/>
        </w:rPr>
        <w:t xml:space="preserve">On Jan. 17, 2024, in </w:t>
      </w:r>
      <w:r w:rsidRPr="00CD461F">
        <w:rPr>
          <w:rFonts w:ascii="Times New Roman" w:hAnsi="Times New Roman"/>
          <w:sz w:val="24"/>
          <w:szCs w:val="24"/>
          <w:u w:val="single"/>
        </w:rPr>
        <w:t>United States of America v. Jeffrey Scott Brown</w:t>
      </w:r>
      <w:r w:rsidRPr="00CD461F">
        <w:rPr>
          <w:rFonts w:ascii="Times New Roman" w:hAnsi="Times New Roman"/>
          <w:sz w:val="24"/>
          <w:szCs w:val="24"/>
        </w:rPr>
        <w:t xml:space="preserve">,  the U.S. Court of Appeals for the D.C. Circuit (3 to 0) upheld the conviction of Brown (and two others) for violation of federal law – use of a “dangerous or deadly weapon” - by spraying police officers with pepper spray during the attack on the U.S. Capitol on Jan. 6, 2021.  Brown was sentenced to 54 months in prison [now pardoned by President Trump].  </w:t>
      </w:r>
      <w:hyperlink r:id="rId664" w:history="1">
        <w:r w:rsidRPr="00CD461F">
          <w:rPr>
            <w:rStyle w:val="Hyperlink"/>
            <w:rFonts w:ascii="Times New Roman" w:hAnsi="Times New Roman"/>
            <w:sz w:val="24"/>
            <w:szCs w:val="24"/>
          </w:rPr>
          <w:t>https://media.cadc.uscourts.gov/opinions/docs/2025/01/23-3074-2094718.pdf</w:t>
        </w:r>
      </w:hyperlink>
      <w:r w:rsidRPr="00CD461F">
        <w:rPr>
          <w:rFonts w:ascii="Times New Roman" w:hAnsi="Times New Roman"/>
          <w:sz w:val="24"/>
          <w:szCs w:val="24"/>
        </w:rPr>
        <w:t xml:space="preserve">  </w:t>
      </w:r>
    </w:p>
    <w:p w14:paraId="2BB4DF09" w14:textId="77777777" w:rsidR="00CD461F" w:rsidRPr="00CD461F" w:rsidRDefault="00CD461F" w:rsidP="00CD461F">
      <w:pPr>
        <w:pStyle w:val="NoSpacing"/>
        <w:rPr>
          <w:rFonts w:ascii="Times New Roman" w:hAnsi="Times New Roman"/>
          <w:sz w:val="24"/>
          <w:szCs w:val="24"/>
        </w:rPr>
      </w:pPr>
    </w:p>
    <w:p w14:paraId="54DD2506" w14:textId="77777777" w:rsidR="00CD461F" w:rsidRPr="00CD461F" w:rsidRDefault="00CD461F" w:rsidP="00CD461F">
      <w:pPr>
        <w:pStyle w:val="NoSpacing"/>
        <w:rPr>
          <w:rFonts w:ascii="Times New Roman" w:hAnsi="Times New Roman"/>
          <w:sz w:val="24"/>
          <w:szCs w:val="24"/>
        </w:rPr>
      </w:pPr>
      <w:r w:rsidRPr="00CD461F">
        <w:rPr>
          <w:rFonts w:ascii="Times New Roman" w:hAnsi="Times New Roman"/>
          <w:sz w:val="24"/>
          <w:szCs w:val="24"/>
        </w:rPr>
        <w:t>The Court held:</w:t>
      </w:r>
    </w:p>
    <w:p w14:paraId="42E23F55" w14:textId="77777777" w:rsidR="00CD461F" w:rsidRPr="00CD461F" w:rsidRDefault="00CD461F" w:rsidP="00CD461F">
      <w:pPr>
        <w:pStyle w:val="NoSpacing"/>
        <w:rPr>
          <w:rFonts w:ascii="Times New Roman" w:hAnsi="Times New Roman"/>
          <w:sz w:val="24"/>
          <w:szCs w:val="24"/>
        </w:rPr>
      </w:pPr>
    </w:p>
    <w:p w14:paraId="7CA465C9" w14:textId="77777777" w:rsidR="00CD461F" w:rsidRPr="00CD461F" w:rsidRDefault="00CD461F" w:rsidP="00CD461F">
      <w:pPr>
        <w:pStyle w:val="NoSpacing"/>
        <w:ind w:left="720"/>
        <w:rPr>
          <w:rFonts w:ascii="Times New Roman" w:hAnsi="Times New Roman"/>
          <w:sz w:val="24"/>
          <w:szCs w:val="24"/>
        </w:rPr>
      </w:pPr>
      <w:r w:rsidRPr="00CD461F">
        <w:rPr>
          <w:rFonts w:ascii="Times New Roman" w:hAnsi="Times New Roman"/>
          <w:sz w:val="24"/>
          <w:szCs w:val="24"/>
        </w:rPr>
        <w:t>“Given the record in this case, sufficient evidence supported the jury’s finding that Schwartz, Brown, and Maly each used pepper spray as a deadly or dangerous weapon, and that Schwartz also used a chair as a deadly or dangerous weapon.</w:t>
      </w:r>
    </w:p>
    <w:p w14:paraId="49E1BBEA" w14:textId="77777777" w:rsidR="00CD461F" w:rsidRPr="00CD461F" w:rsidRDefault="00CD461F" w:rsidP="00CD461F">
      <w:pPr>
        <w:pStyle w:val="NoSpacing"/>
        <w:rPr>
          <w:rFonts w:ascii="Times New Roman" w:hAnsi="Times New Roman"/>
          <w:sz w:val="24"/>
          <w:szCs w:val="24"/>
        </w:rPr>
      </w:pPr>
    </w:p>
    <w:p w14:paraId="73F2EF6C" w14:textId="77777777" w:rsidR="00CD461F" w:rsidRPr="00CD461F" w:rsidRDefault="00CD461F" w:rsidP="00CD461F">
      <w:pPr>
        <w:pStyle w:val="NoSpacing"/>
        <w:ind w:firstLine="720"/>
        <w:rPr>
          <w:rFonts w:ascii="Times New Roman" w:hAnsi="Times New Roman"/>
          <w:sz w:val="24"/>
          <w:szCs w:val="24"/>
        </w:rPr>
      </w:pPr>
      <w:r w:rsidRPr="00CD461F">
        <w:rPr>
          <w:rFonts w:ascii="Times New Roman" w:hAnsi="Times New Roman"/>
          <w:sz w:val="24"/>
          <w:szCs w:val="24"/>
        </w:rPr>
        <w:t>***</w:t>
      </w:r>
    </w:p>
    <w:p w14:paraId="49D80642" w14:textId="77777777" w:rsidR="00CD461F" w:rsidRPr="00CD461F" w:rsidRDefault="00CD461F" w:rsidP="00CD461F">
      <w:pPr>
        <w:pStyle w:val="NoSpacing"/>
        <w:ind w:left="720"/>
        <w:rPr>
          <w:rFonts w:ascii="Times New Roman" w:hAnsi="Times New Roman"/>
          <w:sz w:val="24"/>
          <w:szCs w:val="24"/>
        </w:rPr>
      </w:pPr>
      <w:r w:rsidRPr="00CD461F">
        <w:rPr>
          <w:rFonts w:ascii="Times New Roman" w:hAnsi="Times New Roman"/>
          <w:sz w:val="24"/>
          <w:szCs w:val="24"/>
        </w:rPr>
        <w:t xml:space="preserve">Officers testified that they felt such intense pain when sprayed on January 6th. For example, Officer Christopher Boyle stated that he felt a ‘9 or 10 out of 10’ level of pain when he was pepper sprayed on the Lower West Terrace…. Sergeant Jason Mastony testified that chemical irritants absorbed through his uniform so his ‘legs and [his] arms [we]re on fire.’ …The effects of the chemical irritants, including ‘burning’ ‘skin irritation[,]’ lingered for about a week, and he felt </w:t>
      </w:r>
      <w:proofErr w:type="gramStart"/>
      <w:r w:rsidRPr="00CD461F">
        <w:rPr>
          <w:rFonts w:ascii="Times New Roman" w:hAnsi="Times New Roman"/>
          <w:sz w:val="24"/>
          <w:szCs w:val="24"/>
        </w:rPr>
        <w:t>particular pain</w:t>
      </w:r>
      <w:proofErr w:type="gramEnd"/>
      <w:r w:rsidRPr="00CD461F">
        <w:rPr>
          <w:rFonts w:ascii="Times New Roman" w:hAnsi="Times New Roman"/>
          <w:sz w:val="24"/>
          <w:szCs w:val="24"/>
        </w:rPr>
        <w:t xml:space="preserve"> when he showered or tried to change his contact lenses…. That is because pepper spray is water-based and ‘reactivates with water.’ …  Officer David Pitt testified that he had ‘severe burning for the following three days in [his] hands’ and ‘in various places’ from ‘when [he] was sprayed with various sprays in the tunnel.’  … Finally, Sergeant </w:t>
      </w:r>
      <w:proofErr w:type="spellStart"/>
      <w:r w:rsidRPr="00CD461F">
        <w:rPr>
          <w:rFonts w:ascii="Times New Roman" w:hAnsi="Times New Roman"/>
          <w:sz w:val="24"/>
          <w:szCs w:val="24"/>
        </w:rPr>
        <w:t>Phuson</w:t>
      </w:r>
      <w:proofErr w:type="spellEnd"/>
      <w:r w:rsidRPr="00CD461F">
        <w:rPr>
          <w:rFonts w:ascii="Times New Roman" w:hAnsi="Times New Roman"/>
          <w:sz w:val="24"/>
          <w:szCs w:val="24"/>
        </w:rPr>
        <w:t xml:space="preserve"> Nguyen described that, when he showered the night of the 6th, ‘the chemical[s] [from the spray] soak[ed] through [his] pore[s] and it start[ed] burning, and basically [his] whole body</w:t>
      </w:r>
    </w:p>
    <w:p w14:paraId="7F74EDE9" w14:textId="77777777" w:rsidR="00CD461F" w:rsidRPr="00CD461F" w:rsidRDefault="00CD461F" w:rsidP="00CD461F">
      <w:pPr>
        <w:pStyle w:val="NoSpacing"/>
        <w:ind w:left="720"/>
        <w:rPr>
          <w:rFonts w:ascii="Times New Roman" w:hAnsi="Times New Roman"/>
          <w:sz w:val="24"/>
          <w:szCs w:val="24"/>
        </w:rPr>
      </w:pPr>
      <w:r w:rsidRPr="00CD461F">
        <w:rPr>
          <w:rFonts w:ascii="Times New Roman" w:hAnsi="Times New Roman"/>
          <w:sz w:val="24"/>
          <w:szCs w:val="24"/>
        </w:rPr>
        <w:t>was burning.’ … That evidence provided a sufficient basis for a rational jury to find that the pepper spray Schwartz, Brown, and Maly used was capable of causing extreme pain, especially given the officers’ testimony that they felt a ‘9 or 10 out of 10’ on a pain scale and that their limbs were ‘on fire’ and ‘burning.’ Considering the intensely factual nature of an inquiry into the extent of pain caused by violent conduct, the evidence in this case, and the credibility judgments involved, there is no basis for this court to overturn the jury’s verdict by finding as a matter of law that the evidence came up short.”</w:t>
      </w:r>
    </w:p>
    <w:p w14:paraId="43D7FEFA" w14:textId="77777777" w:rsidR="00CD461F" w:rsidRPr="00CD461F" w:rsidRDefault="00CD461F" w:rsidP="00CD461F">
      <w:pPr>
        <w:pStyle w:val="NoSpacing"/>
        <w:rPr>
          <w:rFonts w:ascii="Times New Roman" w:hAnsi="Times New Roman"/>
          <w:sz w:val="24"/>
          <w:szCs w:val="24"/>
        </w:rPr>
      </w:pPr>
    </w:p>
    <w:p w14:paraId="505D960F" w14:textId="77777777" w:rsidR="00CD461F" w:rsidRPr="00CD461F" w:rsidRDefault="00CD461F" w:rsidP="00CD461F">
      <w:pPr>
        <w:pStyle w:val="NoSpacing"/>
        <w:rPr>
          <w:rFonts w:ascii="Times New Roman" w:hAnsi="Times New Roman"/>
          <w:b/>
          <w:bCs/>
          <w:sz w:val="24"/>
          <w:szCs w:val="24"/>
        </w:rPr>
      </w:pPr>
      <w:r w:rsidRPr="00CD461F">
        <w:rPr>
          <w:rFonts w:ascii="Times New Roman" w:hAnsi="Times New Roman"/>
          <w:b/>
          <w:sz w:val="24"/>
          <w:szCs w:val="24"/>
        </w:rPr>
        <w:t>Legal Lesson Learned:  Fire &amp; EMS should review their protocol on treating patients who have been pepper sprayed, remembering that it “reactivates with water.”</w:t>
      </w:r>
    </w:p>
    <w:p w14:paraId="3152A41A" w14:textId="77777777" w:rsidR="00CD461F" w:rsidRPr="00CD461F" w:rsidRDefault="00CD461F" w:rsidP="00CD461F">
      <w:pPr>
        <w:pStyle w:val="NoSpacing"/>
        <w:rPr>
          <w:rFonts w:ascii="Times New Roman" w:hAnsi="Times New Roman"/>
          <w:sz w:val="24"/>
          <w:szCs w:val="24"/>
        </w:rPr>
      </w:pPr>
    </w:p>
    <w:p w14:paraId="4A6E4D71" w14:textId="77777777" w:rsidR="00CD461F" w:rsidRPr="00CD461F" w:rsidRDefault="00CD461F" w:rsidP="00CD461F">
      <w:pPr>
        <w:pStyle w:val="NoSpacing"/>
        <w:ind w:left="720"/>
        <w:rPr>
          <w:rFonts w:ascii="Times New Roman" w:hAnsi="Times New Roman"/>
          <w:sz w:val="24"/>
          <w:szCs w:val="24"/>
        </w:rPr>
      </w:pPr>
      <w:r w:rsidRPr="00CD461F">
        <w:rPr>
          <w:rFonts w:ascii="Times New Roman" w:hAnsi="Times New Roman"/>
          <w:sz w:val="24"/>
          <w:szCs w:val="24"/>
        </w:rPr>
        <w:t xml:space="preserve">Note:  See article on this case. “DC Circuit side-eyes Capitol rioter’s argument that pepper spray is not a dangerous weapon.” </w:t>
      </w:r>
    </w:p>
    <w:p w14:paraId="08930F25" w14:textId="5E84AAF5" w:rsidR="00CD461F" w:rsidRPr="00CD461F" w:rsidRDefault="00AB3819" w:rsidP="00CD461F">
      <w:pPr>
        <w:pStyle w:val="NoSpacing"/>
        <w:ind w:left="720"/>
        <w:rPr>
          <w:rFonts w:ascii="Times New Roman" w:hAnsi="Times New Roman"/>
          <w:sz w:val="24"/>
          <w:szCs w:val="24"/>
        </w:rPr>
      </w:pPr>
      <w:hyperlink r:id="rId665" w:history="1">
        <w:r w:rsidRPr="009B5658">
          <w:rPr>
            <w:rStyle w:val="Hyperlink"/>
            <w:rFonts w:ascii="Times New Roman" w:hAnsi="Times New Roman"/>
            <w:sz w:val="24"/>
            <w:szCs w:val="24"/>
          </w:rPr>
          <w:t>https://www.courthousenews.com/dc-circuit-side-eyes-capitol-rioters-argument-that-pepper-spray-is-not-a-dangerous-weapon/</w:t>
        </w:r>
      </w:hyperlink>
    </w:p>
    <w:p w14:paraId="04B7F585" w14:textId="77777777" w:rsidR="00CD461F" w:rsidRPr="00CD461F" w:rsidRDefault="00CD461F" w:rsidP="00F326E5">
      <w:pPr>
        <w:pStyle w:val="NoSpacing"/>
        <w:rPr>
          <w:rFonts w:ascii="Times New Roman" w:hAnsi="Times New Roman"/>
          <w:sz w:val="24"/>
          <w:szCs w:val="24"/>
        </w:rPr>
      </w:pPr>
    </w:p>
    <w:p w14:paraId="1FD139AD" w14:textId="77777777" w:rsidR="00CD461F" w:rsidRDefault="00CD461F" w:rsidP="00F326E5">
      <w:pPr>
        <w:pStyle w:val="NoSpacing"/>
        <w:rPr>
          <w:rFonts w:ascii="Arial Black" w:hAnsi="Arial Black"/>
          <w:sz w:val="28"/>
          <w:szCs w:val="28"/>
        </w:rPr>
      </w:pPr>
    </w:p>
    <w:p w14:paraId="3F459932" w14:textId="2052B407" w:rsidR="00FE0B61" w:rsidRDefault="00FE0B61" w:rsidP="00F326E5">
      <w:pPr>
        <w:pStyle w:val="NoSpacing"/>
        <w:rPr>
          <w:rFonts w:ascii="Arial Black" w:hAnsi="Arial Black"/>
          <w:sz w:val="28"/>
          <w:szCs w:val="28"/>
        </w:rPr>
      </w:pPr>
      <w:r>
        <w:rPr>
          <w:rFonts w:ascii="Arial Black" w:hAnsi="Arial Black"/>
          <w:sz w:val="28"/>
          <w:szCs w:val="28"/>
        </w:rPr>
        <w:t>3-70</w:t>
      </w:r>
    </w:p>
    <w:p w14:paraId="32D83997" w14:textId="77777777" w:rsidR="004433DA" w:rsidRDefault="004433DA" w:rsidP="00BD564D">
      <w:pPr>
        <w:pStyle w:val="NoSpacing"/>
        <w:rPr>
          <w:rFonts w:ascii="Arial Black" w:hAnsi="Arial Black"/>
          <w:sz w:val="28"/>
          <w:szCs w:val="28"/>
        </w:rPr>
      </w:pPr>
    </w:p>
    <w:p w14:paraId="404379A6" w14:textId="778B375F" w:rsidR="00BD564D" w:rsidRPr="00C90077" w:rsidRDefault="00BD564D" w:rsidP="00BD564D">
      <w:pPr>
        <w:pStyle w:val="NoSpacing"/>
        <w:rPr>
          <w:rFonts w:ascii="Arial Black" w:hAnsi="Arial Black"/>
          <w:sz w:val="28"/>
          <w:szCs w:val="28"/>
        </w:rPr>
      </w:pPr>
      <w:r>
        <w:rPr>
          <w:rFonts w:ascii="Arial Black" w:hAnsi="Arial Black"/>
          <w:sz w:val="28"/>
          <w:szCs w:val="28"/>
        </w:rPr>
        <w:t>CA:  STARTED FIRES</w:t>
      </w:r>
      <w:r w:rsidR="004433DA">
        <w:rPr>
          <w:rFonts w:ascii="Arial Black" w:hAnsi="Arial Black"/>
          <w:sz w:val="28"/>
          <w:szCs w:val="28"/>
        </w:rPr>
        <w:t xml:space="preserve"> – CA </w:t>
      </w:r>
      <w:r>
        <w:rPr>
          <w:rFonts w:ascii="Arial Black" w:hAnsi="Arial Black"/>
          <w:sz w:val="28"/>
          <w:szCs w:val="28"/>
        </w:rPr>
        <w:t xml:space="preserve">EMERGENCY </w:t>
      </w:r>
      <w:r w:rsidR="00C32C23">
        <w:rPr>
          <w:rFonts w:ascii="Arial Black" w:hAnsi="Arial Black"/>
          <w:sz w:val="28"/>
          <w:szCs w:val="28"/>
        </w:rPr>
        <w:t>– 200 BLDG</w:t>
      </w:r>
      <w:r w:rsidR="004433DA">
        <w:rPr>
          <w:rFonts w:ascii="Arial Black" w:hAnsi="Arial Black"/>
          <w:sz w:val="28"/>
          <w:szCs w:val="28"/>
        </w:rPr>
        <w:t>S</w:t>
      </w:r>
    </w:p>
    <w:p w14:paraId="779EB6B5" w14:textId="77777777" w:rsidR="00BD564D" w:rsidRDefault="00BD564D" w:rsidP="00BD564D">
      <w:pPr>
        <w:pStyle w:val="NoSpacing"/>
      </w:pPr>
    </w:p>
    <w:p w14:paraId="7E519E77" w14:textId="77777777" w:rsidR="00A25359" w:rsidRPr="00A25359" w:rsidRDefault="00A25359" w:rsidP="00A25359">
      <w:pPr>
        <w:rPr>
          <w:rFonts w:ascii="Times New Roman" w:hAnsi="Times New Roman"/>
          <w:sz w:val="24"/>
          <w:szCs w:val="24"/>
        </w:rPr>
      </w:pPr>
      <w:r w:rsidRPr="00A25359">
        <w:rPr>
          <w:rFonts w:ascii="Times New Roman" w:hAnsi="Times New Roman"/>
          <w:sz w:val="24"/>
          <w:szCs w:val="24"/>
        </w:rPr>
        <w:t xml:space="preserve">On Dec. 9, 2024, in </w:t>
      </w:r>
      <w:r w:rsidRPr="00A25359">
        <w:rPr>
          <w:rFonts w:ascii="Times New Roman" w:hAnsi="Times New Roman"/>
          <w:sz w:val="24"/>
          <w:szCs w:val="24"/>
          <w:u w:val="single"/>
        </w:rPr>
        <w:t xml:space="preserve">Alexandria A. </w:t>
      </w:r>
      <w:proofErr w:type="spellStart"/>
      <w:r w:rsidRPr="00A25359">
        <w:rPr>
          <w:rFonts w:ascii="Times New Roman" w:hAnsi="Times New Roman"/>
          <w:sz w:val="24"/>
          <w:szCs w:val="24"/>
          <w:u w:val="single"/>
        </w:rPr>
        <w:t>Souverneva</w:t>
      </w:r>
      <w:proofErr w:type="spellEnd"/>
      <w:r w:rsidRPr="00A25359">
        <w:rPr>
          <w:rFonts w:ascii="Times New Roman" w:hAnsi="Times New Roman"/>
          <w:sz w:val="24"/>
          <w:szCs w:val="24"/>
          <w:u w:val="single"/>
        </w:rPr>
        <w:t xml:space="preserve"> v. The Superior Court of California</w:t>
      </w:r>
      <w:r w:rsidRPr="00A25359">
        <w:rPr>
          <w:rFonts w:ascii="Times New Roman" w:hAnsi="Times New Roman"/>
          <w:sz w:val="24"/>
          <w:szCs w:val="24"/>
        </w:rPr>
        <w:t xml:space="preserve">, the California Court of Appeals, Third Circuit, Shasta, held (3 to 0; unpublished decision) that the trial court, upon being informed she was competent to stand trial, revoked her bond (after two years being out on bond) given risk of further fires.  She started six fires in rural area on September 22, 2021, burning 200 structures and nearly 9,000 acres; she told a CAL FIRE Captain that she had bombs – they were actually  CO2 cartridges. The Court of Appeals reviewed her history of drug abuse and mental </w:t>
      </w:r>
      <w:proofErr w:type="gramStart"/>
      <w:r w:rsidRPr="00A25359">
        <w:rPr>
          <w:rFonts w:ascii="Times New Roman" w:hAnsi="Times New Roman"/>
          <w:sz w:val="24"/>
          <w:szCs w:val="24"/>
        </w:rPr>
        <w:t>illness, and</w:t>
      </w:r>
      <w:proofErr w:type="gramEnd"/>
      <w:r w:rsidRPr="00A25359">
        <w:rPr>
          <w:rFonts w:ascii="Times New Roman" w:hAnsi="Times New Roman"/>
          <w:sz w:val="24"/>
          <w:szCs w:val="24"/>
        </w:rPr>
        <w:t xml:space="preserve"> upheld the trial court. </w:t>
      </w:r>
      <w:hyperlink r:id="rId666" w:history="1">
        <w:r w:rsidRPr="00A25359">
          <w:rPr>
            <w:rStyle w:val="Hyperlink"/>
            <w:rFonts w:ascii="Times New Roman" w:hAnsi="Times New Roman"/>
            <w:sz w:val="24"/>
            <w:szCs w:val="24"/>
          </w:rPr>
          <w:t>https://casetext.com/case/souverneva-v-the-superior-court</w:t>
        </w:r>
      </w:hyperlink>
    </w:p>
    <w:p w14:paraId="1ED4430E" w14:textId="693396B5" w:rsidR="00BD564D" w:rsidRDefault="00BD564D" w:rsidP="00BD564D">
      <w:pPr>
        <w:pStyle w:val="NoSpacing"/>
        <w:rPr>
          <w:rFonts w:ascii="Times New Roman" w:hAnsi="Times New Roman"/>
          <w:sz w:val="24"/>
          <w:szCs w:val="24"/>
        </w:rPr>
      </w:pPr>
      <w:r w:rsidRPr="00BD564D">
        <w:rPr>
          <w:rFonts w:ascii="Times New Roman" w:hAnsi="Times New Roman"/>
          <w:sz w:val="24"/>
          <w:szCs w:val="24"/>
        </w:rPr>
        <w:t>The Court wrote:</w:t>
      </w:r>
    </w:p>
    <w:p w14:paraId="432E87E7" w14:textId="77777777" w:rsidR="007E2EC4" w:rsidRDefault="007E2EC4" w:rsidP="00BD564D">
      <w:pPr>
        <w:pStyle w:val="NoSpacing"/>
        <w:rPr>
          <w:rFonts w:ascii="Times New Roman" w:hAnsi="Times New Roman"/>
          <w:sz w:val="24"/>
          <w:szCs w:val="24"/>
        </w:rPr>
      </w:pPr>
    </w:p>
    <w:p w14:paraId="10A1E5B8" w14:textId="447699E1" w:rsidR="007E2EC4" w:rsidRPr="007E2EC4" w:rsidRDefault="007E2EC4" w:rsidP="007E2EC4">
      <w:pPr>
        <w:pStyle w:val="NoSpacing"/>
        <w:ind w:left="720"/>
        <w:rPr>
          <w:rFonts w:ascii="Times New Roman" w:hAnsi="Times New Roman"/>
          <w:sz w:val="24"/>
          <w:szCs w:val="24"/>
        </w:rPr>
      </w:pPr>
      <w:r w:rsidRPr="007E2EC4">
        <w:rPr>
          <w:rFonts w:ascii="Times New Roman" w:hAnsi="Times New Roman"/>
          <w:sz w:val="24"/>
          <w:szCs w:val="24"/>
        </w:rPr>
        <w:t>“</w:t>
      </w:r>
      <w:proofErr w:type="spellStart"/>
      <w:r w:rsidRPr="007E2EC4">
        <w:rPr>
          <w:rFonts w:ascii="Times New Roman" w:hAnsi="Times New Roman"/>
          <w:sz w:val="24"/>
          <w:szCs w:val="24"/>
        </w:rPr>
        <w:t>Souverneva</w:t>
      </w:r>
      <w:proofErr w:type="spellEnd"/>
      <w:r w:rsidRPr="007E2EC4">
        <w:rPr>
          <w:rFonts w:ascii="Times New Roman" w:hAnsi="Times New Roman"/>
          <w:sz w:val="24"/>
          <w:szCs w:val="24"/>
        </w:rPr>
        <w:t xml:space="preserve"> was charged with arson of forest land, and it was alleged the arson was committed during a state of emergency…. The record indicates that at the time of the hearing, </w:t>
      </w:r>
      <w:proofErr w:type="spellStart"/>
      <w:r w:rsidRPr="007E2EC4">
        <w:rPr>
          <w:rFonts w:ascii="Times New Roman" w:hAnsi="Times New Roman"/>
          <w:sz w:val="24"/>
          <w:szCs w:val="24"/>
        </w:rPr>
        <w:t>Souverneva</w:t>
      </w:r>
      <w:proofErr w:type="spellEnd"/>
      <w:r w:rsidRPr="007E2EC4">
        <w:rPr>
          <w:rFonts w:ascii="Times New Roman" w:hAnsi="Times New Roman"/>
          <w:sz w:val="24"/>
          <w:szCs w:val="24"/>
        </w:rPr>
        <w:t xml:space="preserve"> had been out of custody on bond for over two years, apparently without incident, and had sought treatment for her bipolar disorder. Nevertheless, substantial evidence supports the trial court's finding of an unreasonable risk to public </w:t>
      </w:r>
      <w:proofErr w:type="gramStart"/>
      <w:r w:rsidRPr="007E2EC4">
        <w:rPr>
          <w:rFonts w:ascii="Times New Roman" w:hAnsi="Times New Roman"/>
          <w:sz w:val="24"/>
          <w:szCs w:val="24"/>
        </w:rPr>
        <w:t>safety.”</w:t>
      </w:r>
      <w:proofErr w:type="gramEnd"/>
      <w:r w:rsidRPr="007E2EC4">
        <w:rPr>
          <w:rFonts w:ascii="Times New Roman" w:hAnsi="Times New Roman"/>
          <w:sz w:val="24"/>
          <w:szCs w:val="24"/>
        </w:rPr>
        <w:t xml:space="preserve">  </w:t>
      </w:r>
      <w:hyperlink r:id="rId667" w:history="1">
        <w:r w:rsidRPr="007E2EC4">
          <w:rPr>
            <w:rStyle w:val="Hyperlink"/>
            <w:rFonts w:ascii="Times New Roman" w:hAnsi="Times New Roman"/>
            <w:sz w:val="24"/>
            <w:szCs w:val="24"/>
          </w:rPr>
          <w:t>t</w:t>
        </w:r>
      </w:hyperlink>
      <w:r w:rsidRPr="007E2EC4">
        <w:rPr>
          <w:rFonts w:ascii="Times New Roman" w:hAnsi="Times New Roman"/>
          <w:sz w:val="24"/>
          <w:szCs w:val="24"/>
        </w:rPr>
        <w:t xml:space="preserve"> </w:t>
      </w:r>
    </w:p>
    <w:p w14:paraId="58D22352" w14:textId="77777777" w:rsidR="007E2EC4" w:rsidRPr="00BD564D" w:rsidRDefault="007E2EC4" w:rsidP="00BD564D">
      <w:pPr>
        <w:pStyle w:val="NoSpacing"/>
        <w:rPr>
          <w:rFonts w:ascii="Times New Roman" w:hAnsi="Times New Roman"/>
          <w:sz w:val="24"/>
          <w:szCs w:val="24"/>
        </w:rPr>
      </w:pPr>
    </w:p>
    <w:p w14:paraId="1AB254E3" w14:textId="77777777" w:rsidR="00C32C23" w:rsidRDefault="00C32C23" w:rsidP="00C32C23">
      <w:pPr>
        <w:pStyle w:val="NoSpacing"/>
      </w:pPr>
      <w:r>
        <w:t>HOLDING:</w:t>
      </w:r>
    </w:p>
    <w:p w14:paraId="466F4947" w14:textId="77777777" w:rsidR="00C32C23" w:rsidRDefault="00C32C23" w:rsidP="00C32C23">
      <w:pPr>
        <w:pStyle w:val="NoSpacing"/>
      </w:pPr>
    </w:p>
    <w:p w14:paraId="365B0734" w14:textId="77777777" w:rsidR="00C32C23" w:rsidRPr="00C32C23" w:rsidRDefault="00C32C23" w:rsidP="00C32C23">
      <w:pPr>
        <w:pStyle w:val="NoSpacing"/>
        <w:ind w:left="720"/>
        <w:rPr>
          <w:rFonts w:ascii="Times New Roman" w:hAnsi="Times New Roman"/>
          <w:bCs/>
          <w:sz w:val="24"/>
          <w:szCs w:val="24"/>
        </w:rPr>
      </w:pPr>
      <w:r w:rsidRPr="00C32C23">
        <w:rPr>
          <w:rFonts w:ascii="Times New Roman" w:hAnsi="Times New Roman"/>
          <w:sz w:val="24"/>
          <w:szCs w:val="24"/>
        </w:rPr>
        <w:t>“A trial court may consider the defendant's treatment plan and criminal history in assessing the defendant's suitability for pretrial diversion. (</w:t>
      </w:r>
      <w:hyperlink r:id="rId668" w:history="1">
        <w:r w:rsidRPr="00C32C23">
          <w:rPr>
            <w:rStyle w:val="Hyperlink"/>
            <w:rFonts w:ascii="Times New Roman" w:hAnsi="Times New Roman"/>
            <w:sz w:val="24"/>
            <w:szCs w:val="24"/>
          </w:rPr>
          <w:t>§ 1001.36, subd. (c)(4)</w:t>
        </w:r>
      </w:hyperlink>
      <w:r w:rsidRPr="00C32C23">
        <w:rPr>
          <w:rFonts w:ascii="Times New Roman" w:hAnsi="Times New Roman"/>
          <w:sz w:val="24"/>
          <w:szCs w:val="24"/>
        </w:rPr>
        <w:t xml:space="preserve">.) Here, </w:t>
      </w:r>
      <w:proofErr w:type="spellStart"/>
      <w:r w:rsidRPr="00C32C23">
        <w:rPr>
          <w:rFonts w:ascii="Times New Roman" w:hAnsi="Times New Roman"/>
          <w:sz w:val="24"/>
          <w:szCs w:val="24"/>
        </w:rPr>
        <w:t>Souverneva's</w:t>
      </w:r>
      <w:proofErr w:type="spellEnd"/>
      <w:r w:rsidRPr="00C32C23">
        <w:rPr>
          <w:rFonts w:ascii="Times New Roman" w:hAnsi="Times New Roman"/>
          <w:sz w:val="24"/>
          <w:szCs w:val="24"/>
        </w:rPr>
        <w:t xml:space="preserve"> treatment plan did not address her alcohol, cannabis, and hallucinogen use disorders. </w:t>
      </w: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started drinking alcohol and smoking marijuana as a teenager. She drank alcohol excessively by age 18, drinking less while in college, but drinking heavily after her psychiatric hospitalization in 2015 and until 2018. She smoked marijuana daily during graduate school and when she was part of a </w:t>
      </w:r>
      <w:proofErr w:type="gramStart"/>
      <w:r w:rsidRPr="00C32C23">
        <w:rPr>
          <w:rFonts w:ascii="Times New Roman" w:hAnsi="Times New Roman"/>
          <w:sz w:val="24"/>
          <w:szCs w:val="24"/>
        </w:rPr>
        <w:t>group</w:t>
      </w:r>
      <w:proofErr w:type="gramEnd"/>
      <w:r w:rsidRPr="00C32C23">
        <w:rPr>
          <w:rFonts w:ascii="Times New Roman" w:hAnsi="Times New Roman"/>
          <w:sz w:val="24"/>
          <w:szCs w:val="24"/>
        </w:rPr>
        <w:t xml:space="preserve"> she </w:t>
      </w:r>
      <w:proofErr w:type="gramStart"/>
      <w:r w:rsidRPr="00C32C23">
        <w:rPr>
          <w:rFonts w:ascii="Times New Roman" w:hAnsi="Times New Roman"/>
          <w:sz w:val="24"/>
          <w:szCs w:val="24"/>
        </w:rPr>
        <w:t>labeled</w:t>
      </w:r>
      <w:proofErr w:type="gramEnd"/>
      <w:r w:rsidRPr="00C32C23">
        <w:rPr>
          <w:rFonts w:ascii="Times New Roman" w:hAnsi="Times New Roman"/>
          <w:sz w:val="24"/>
          <w:szCs w:val="24"/>
        </w:rPr>
        <w:t xml:space="preserve"> a "cult." She was part of that group from October 2020 to July 2021. During that period, she also occasionally ingested psychedelic mushrooms and peyote. </w:t>
      </w: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argues that inferring future dangerousness based on past marijuana use is error, and there was no evidence of violent conduct. But </w:t>
      </w:r>
      <w:proofErr w:type="spellStart"/>
      <w:r w:rsidRPr="00C32C23">
        <w:rPr>
          <w:rFonts w:ascii="Times New Roman" w:hAnsi="Times New Roman"/>
          <w:sz w:val="24"/>
          <w:szCs w:val="24"/>
        </w:rPr>
        <w:t>Souverneva's</w:t>
      </w:r>
      <w:proofErr w:type="spellEnd"/>
      <w:r w:rsidRPr="00C32C23">
        <w:rPr>
          <w:rFonts w:ascii="Times New Roman" w:hAnsi="Times New Roman"/>
          <w:sz w:val="24"/>
          <w:szCs w:val="24"/>
        </w:rPr>
        <w:t xml:space="preserve"> use of alcohol and marijuana resulted in her 2017 arrest for driving under the influence of alcohol and hit and run, and four years later, her arrest for driving under the influence of marijuana, offenses that endangered the lives of others.</w:t>
      </w:r>
    </w:p>
    <w:p w14:paraId="5D302AA2" w14:textId="77777777" w:rsidR="00C32C23" w:rsidRPr="00C32C23" w:rsidRDefault="00C32C23" w:rsidP="00C32C23">
      <w:pPr>
        <w:pStyle w:val="NoSpacing"/>
        <w:ind w:left="720"/>
        <w:rPr>
          <w:rFonts w:ascii="Times New Roman" w:hAnsi="Times New Roman"/>
          <w:bCs/>
          <w:sz w:val="24"/>
          <w:szCs w:val="24"/>
        </w:rPr>
      </w:pPr>
    </w:p>
    <w:p w14:paraId="1BE07367" w14:textId="77777777" w:rsidR="00C32C23" w:rsidRPr="00C32C23" w:rsidRDefault="00C32C23" w:rsidP="00C32C23">
      <w:pPr>
        <w:pStyle w:val="NoSpacing"/>
        <w:ind w:left="720"/>
        <w:rPr>
          <w:rFonts w:ascii="Times New Roman" w:hAnsi="Times New Roman"/>
          <w:bCs/>
          <w:sz w:val="24"/>
          <w:szCs w:val="24"/>
        </w:rPr>
      </w:pPr>
      <w:r w:rsidRPr="00C32C23">
        <w:rPr>
          <w:rFonts w:ascii="Times New Roman" w:hAnsi="Times New Roman"/>
          <w:sz w:val="24"/>
          <w:szCs w:val="24"/>
        </w:rPr>
        <w:t>***</w:t>
      </w:r>
    </w:p>
    <w:p w14:paraId="0CB7F523" w14:textId="77777777" w:rsidR="00C32C23" w:rsidRPr="00C32C23" w:rsidRDefault="00C32C23" w:rsidP="00C32C23">
      <w:pPr>
        <w:pStyle w:val="NoSpacing"/>
        <w:rPr>
          <w:rFonts w:ascii="Times New Roman" w:hAnsi="Times New Roman"/>
          <w:bCs/>
          <w:sz w:val="24"/>
          <w:szCs w:val="24"/>
        </w:rPr>
      </w:pPr>
    </w:p>
    <w:p w14:paraId="0843F478" w14:textId="77777777" w:rsidR="00C32C23" w:rsidRPr="00C32C23" w:rsidRDefault="00C32C23" w:rsidP="00C32C23">
      <w:pPr>
        <w:pStyle w:val="NoSpacing"/>
        <w:ind w:left="720"/>
        <w:rPr>
          <w:rFonts w:ascii="Times New Roman" w:hAnsi="Times New Roman"/>
          <w:bCs/>
          <w:sz w:val="24"/>
          <w:szCs w:val="24"/>
        </w:rPr>
      </w:pP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told Fire Captain </w:t>
      </w:r>
      <w:proofErr w:type="spellStart"/>
      <w:r w:rsidRPr="00C32C23">
        <w:rPr>
          <w:rFonts w:ascii="Times New Roman" w:hAnsi="Times New Roman"/>
          <w:sz w:val="24"/>
          <w:szCs w:val="24"/>
        </w:rPr>
        <w:t>Boic</w:t>
      </w:r>
      <w:proofErr w:type="spellEnd"/>
      <w:r w:rsidRPr="00C32C23">
        <w:rPr>
          <w:rFonts w:ascii="Times New Roman" w:hAnsi="Times New Roman"/>
          <w:sz w:val="24"/>
          <w:szCs w:val="24"/>
        </w:rPr>
        <w:t xml:space="preserve"> fires were good for the environment, and she was found walking </w:t>
      </w:r>
      <w:proofErr w:type="gramStart"/>
      <w:r w:rsidRPr="00C32C23">
        <w:rPr>
          <w:rFonts w:ascii="Times New Roman" w:hAnsi="Times New Roman"/>
          <w:sz w:val="24"/>
          <w:szCs w:val="24"/>
        </w:rPr>
        <w:t>in the area of</w:t>
      </w:r>
      <w:proofErr w:type="gramEnd"/>
      <w:r w:rsidRPr="00C32C23">
        <w:rPr>
          <w:rFonts w:ascii="Times New Roman" w:hAnsi="Times New Roman"/>
          <w:sz w:val="24"/>
          <w:szCs w:val="24"/>
        </w:rPr>
        <w:t xml:space="preserve"> the fires and possessed a working lighter and items she identified as a bomb and an incendiary device. </w:t>
      </w: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acknowledged that wildfires can cause loss of life. (</w:t>
      </w:r>
      <w:r w:rsidRPr="00C32C23">
        <w:rPr>
          <w:rFonts w:ascii="Times New Roman" w:hAnsi="Times New Roman"/>
          <w:i/>
          <w:iCs/>
          <w:sz w:val="24"/>
          <w:szCs w:val="24"/>
        </w:rPr>
        <w:t>Association of California Ins. Companies v. Jones</w:t>
      </w:r>
      <w:r w:rsidRPr="00C32C23">
        <w:rPr>
          <w:rFonts w:ascii="Times New Roman" w:hAnsi="Times New Roman"/>
          <w:sz w:val="24"/>
          <w:szCs w:val="24"/>
        </w:rPr>
        <w:t xml:space="preserve"> (2017) </w:t>
      </w:r>
      <w:hyperlink r:id="rId669" w:anchor="p382" w:history="1">
        <w:r w:rsidRPr="00C32C23">
          <w:rPr>
            <w:rStyle w:val="Hyperlink"/>
            <w:rFonts w:ascii="Times New Roman" w:hAnsi="Times New Roman"/>
            <w:sz w:val="24"/>
            <w:szCs w:val="24"/>
          </w:rPr>
          <w:t>2 Cal.5th 376, 382</w:t>
        </w:r>
      </w:hyperlink>
      <w:r w:rsidRPr="00C32C23">
        <w:rPr>
          <w:rFonts w:ascii="Times New Roman" w:hAnsi="Times New Roman"/>
          <w:sz w:val="24"/>
          <w:szCs w:val="24"/>
        </w:rPr>
        <w:t xml:space="preserve"> ["Wildfires are a fact of life in California, and so, too, are the threats they pose to people and property."]; </w:t>
      </w:r>
      <w:r w:rsidRPr="00C32C23">
        <w:rPr>
          <w:rFonts w:ascii="Times New Roman" w:hAnsi="Times New Roman"/>
          <w:i/>
          <w:iCs/>
          <w:sz w:val="24"/>
          <w:szCs w:val="24"/>
        </w:rPr>
        <w:t>Pacheco, supra</w:t>
      </w:r>
      <w:r w:rsidRPr="00C32C23">
        <w:rPr>
          <w:rFonts w:ascii="Times New Roman" w:hAnsi="Times New Roman"/>
          <w:sz w:val="24"/>
          <w:szCs w:val="24"/>
        </w:rPr>
        <w:t xml:space="preserve">, </w:t>
      </w:r>
      <w:hyperlink r:id="rId670" w:anchor="p209" w:history="1">
        <w:r w:rsidRPr="00C32C23">
          <w:rPr>
            <w:rStyle w:val="Hyperlink"/>
            <w:rFonts w:ascii="Times New Roman" w:hAnsi="Times New Roman"/>
            <w:sz w:val="24"/>
            <w:szCs w:val="24"/>
          </w:rPr>
          <w:t>75 Cal.App.5th at p. 209</w:t>
        </w:r>
      </w:hyperlink>
      <w:r w:rsidRPr="00C32C23">
        <w:rPr>
          <w:rFonts w:ascii="Times New Roman" w:hAnsi="Times New Roman"/>
          <w:sz w:val="24"/>
          <w:szCs w:val="24"/>
        </w:rPr>
        <w:t xml:space="preserve">.) In light of the severe potential consequences of starting wildfires, </w:t>
      </w:r>
      <w:proofErr w:type="spellStart"/>
      <w:r w:rsidRPr="00C32C23">
        <w:rPr>
          <w:rFonts w:ascii="Times New Roman" w:hAnsi="Times New Roman"/>
          <w:sz w:val="24"/>
          <w:szCs w:val="24"/>
        </w:rPr>
        <w:t>Souverneva's</w:t>
      </w:r>
      <w:proofErr w:type="spellEnd"/>
      <w:r w:rsidRPr="00C32C23">
        <w:rPr>
          <w:rFonts w:ascii="Times New Roman" w:hAnsi="Times New Roman"/>
          <w:sz w:val="24"/>
          <w:szCs w:val="24"/>
        </w:rPr>
        <w:t xml:space="preserve"> statement to the fire captain, </w:t>
      </w:r>
      <w:proofErr w:type="spellStart"/>
      <w:r w:rsidRPr="00C32C23">
        <w:rPr>
          <w:rFonts w:ascii="Times New Roman" w:hAnsi="Times New Roman"/>
          <w:sz w:val="24"/>
          <w:szCs w:val="24"/>
        </w:rPr>
        <w:t>Souverneva's</w:t>
      </w:r>
      <w:proofErr w:type="spellEnd"/>
      <w:r w:rsidRPr="00C32C23">
        <w:rPr>
          <w:rFonts w:ascii="Times New Roman" w:hAnsi="Times New Roman"/>
          <w:sz w:val="24"/>
          <w:szCs w:val="24"/>
        </w:rPr>
        <w:t xml:space="preserve"> failure to address her substance abuse, Dr. Caruso's opinion that marijuana use would likely cause </w:t>
      </w: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to detach from reality, and </w:t>
      </w:r>
      <w:proofErr w:type="spellStart"/>
      <w:r w:rsidRPr="00C32C23">
        <w:rPr>
          <w:rFonts w:ascii="Times New Roman" w:hAnsi="Times New Roman"/>
          <w:sz w:val="24"/>
          <w:szCs w:val="24"/>
        </w:rPr>
        <w:t>Souverneva's</w:t>
      </w:r>
      <w:proofErr w:type="spellEnd"/>
      <w:r w:rsidRPr="00C32C23">
        <w:rPr>
          <w:rFonts w:ascii="Times New Roman" w:hAnsi="Times New Roman"/>
          <w:sz w:val="24"/>
          <w:szCs w:val="24"/>
        </w:rPr>
        <w:t xml:space="preserve"> history of not complying with treatment, the trial court did not abuse its discretion in finding that granting </w:t>
      </w:r>
      <w:proofErr w:type="spellStart"/>
      <w:r w:rsidRPr="00C32C23">
        <w:rPr>
          <w:rFonts w:ascii="Times New Roman" w:hAnsi="Times New Roman"/>
          <w:sz w:val="24"/>
          <w:szCs w:val="24"/>
        </w:rPr>
        <w:t>Souverneva</w:t>
      </w:r>
      <w:proofErr w:type="spellEnd"/>
      <w:r w:rsidRPr="00C32C23">
        <w:rPr>
          <w:rFonts w:ascii="Times New Roman" w:hAnsi="Times New Roman"/>
          <w:sz w:val="24"/>
          <w:szCs w:val="24"/>
        </w:rPr>
        <w:t xml:space="preserve"> pretrial diversion would pose an unreasonable risk that she would start a wildfire and cause loss of life.”</w:t>
      </w:r>
    </w:p>
    <w:p w14:paraId="32064E46" w14:textId="77777777" w:rsidR="00C32C23" w:rsidRPr="00C32C23" w:rsidRDefault="00C32C23" w:rsidP="00C32C23">
      <w:pPr>
        <w:pStyle w:val="NoSpacing"/>
        <w:ind w:left="720"/>
        <w:rPr>
          <w:rFonts w:ascii="Times New Roman" w:hAnsi="Times New Roman"/>
          <w:bCs/>
          <w:sz w:val="24"/>
          <w:szCs w:val="24"/>
        </w:rPr>
      </w:pPr>
    </w:p>
    <w:p w14:paraId="36F5B37D" w14:textId="77777777" w:rsidR="00C32C23" w:rsidRPr="00C32C23" w:rsidRDefault="00C32C23" w:rsidP="00C32C23">
      <w:pPr>
        <w:pStyle w:val="NoSpacing"/>
        <w:rPr>
          <w:rFonts w:ascii="Times New Roman" w:hAnsi="Times New Roman"/>
          <w:b/>
          <w:sz w:val="24"/>
          <w:szCs w:val="24"/>
        </w:rPr>
      </w:pPr>
      <w:r w:rsidRPr="00C32C23">
        <w:rPr>
          <w:rFonts w:ascii="Times New Roman" w:hAnsi="Times New Roman"/>
          <w:b/>
          <w:sz w:val="24"/>
          <w:szCs w:val="24"/>
        </w:rPr>
        <w:t xml:space="preserve">Legal Lesson Learned:  The trial court properly found that during a fire risk emergency, a defendant who </w:t>
      </w:r>
      <w:proofErr w:type="gramStart"/>
      <w:r w:rsidRPr="00C32C23">
        <w:rPr>
          <w:rFonts w:ascii="Times New Roman" w:hAnsi="Times New Roman"/>
          <w:b/>
          <w:sz w:val="24"/>
          <w:szCs w:val="24"/>
        </w:rPr>
        <w:t>starting</w:t>
      </w:r>
      <w:proofErr w:type="gramEnd"/>
      <w:r w:rsidRPr="00C32C23">
        <w:rPr>
          <w:rFonts w:ascii="Times New Roman" w:hAnsi="Times New Roman"/>
          <w:b/>
          <w:sz w:val="24"/>
          <w:szCs w:val="24"/>
        </w:rPr>
        <w:t xml:space="preserve"> six fires with mental health and drug abuse, is a risk to the public. </w:t>
      </w:r>
    </w:p>
    <w:p w14:paraId="0AF39702" w14:textId="77777777" w:rsidR="00C32C23" w:rsidRPr="00C32C23" w:rsidRDefault="00C32C23" w:rsidP="00C32C23">
      <w:pPr>
        <w:pStyle w:val="NoSpacing"/>
        <w:rPr>
          <w:rFonts w:ascii="Times New Roman" w:hAnsi="Times New Roman"/>
          <w:bCs/>
          <w:sz w:val="24"/>
          <w:szCs w:val="24"/>
        </w:rPr>
      </w:pPr>
    </w:p>
    <w:p w14:paraId="3DF4DDFA" w14:textId="77777777" w:rsidR="00C32C23" w:rsidRPr="00C32C23" w:rsidRDefault="00C32C23" w:rsidP="00C32C23">
      <w:pPr>
        <w:pStyle w:val="NoSpacing"/>
        <w:ind w:left="720"/>
        <w:rPr>
          <w:rFonts w:ascii="Times New Roman" w:hAnsi="Times New Roman"/>
          <w:bCs/>
          <w:sz w:val="24"/>
          <w:szCs w:val="24"/>
        </w:rPr>
      </w:pPr>
      <w:r w:rsidRPr="00C32C23">
        <w:rPr>
          <w:rFonts w:ascii="Times New Roman" w:hAnsi="Times New Roman"/>
          <w:sz w:val="24"/>
          <w:szCs w:val="24"/>
        </w:rPr>
        <w:t>See Feb. 27, 2024, article  [TV VIDEO], “Fawn fire trial delayed again, Shasta County DA responds.” REDDING, Calif. — The</w:t>
      </w:r>
      <w:hyperlink r:id="rId671" w:tgtFrame="_blank" w:tooltip="https://krcrtv.com/news/local/long-awaited-settlement-conference-in-fawn-fire-arson-case-brings-hope-to-victims#" w:history="1">
        <w:r w:rsidRPr="00C32C23">
          <w:rPr>
            <w:rStyle w:val="Hyperlink"/>
            <w:rFonts w:ascii="Times New Roman" w:hAnsi="Times New Roman"/>
            <w:sz w:val="24"/>
            <w:szCs w:val="24"/>
          </w:rPr>
          <w:t xml:space="preserve"> Fawn Fire trial </w:t>
        </w:r>
      </w:hyperlink>
      <w:r w:rsidRPr="00C32C23">
        <w:rPr>
          <w:rFonts w:ascii="Times New Roman" w:hAnsi="Times New Roman"/>
          <w:sz w:val="24"/>
          <w:szCs w:val="24"/>
        </w:rPr>
        <w:t xml:space="preserve">has been postponed again. Alleged arsonist </w:t>
      </w:r>
      <w:hyperlink r:id="rId672" w:tgtFrame="_blank" w:tooltip="https://krcrtv.com/news/local/long-awaited-settlement-conference-in-fawn-fire-arson-case-brings-hope-to-victims#" w:history="1">
        <w:r w:rsidRPr="00C32C23">
          <w:rPr>
            <w:rStyle w:val="Hyperlink"/>
            <w:rFonts w:ascii="Times New Roman" w:hAnsi="Times New Roman"/>
            <w:sz w:val="24"/>
            <w:szCs w:val="24"/>
          </w:rPr>
          <w:t>Alexandra Souverneva</w:t>
        </w:r>
      </w:hyperlink>
      <w:r w:rsidRPr="00C32C23">
        <w:rPr>
          <w:rFonts w:ascii="Times New Roman" w:hAnsi="Times New Roman"/>
          <w:sz w:val="24"/>
          <w:szCs w:val="24"/>
        </w:rPr>
        <w:t xml:space="preserve"> will no longer be starting trial on March 1.</w:t>
      </w:r>
    </w:p>
    <w:p w14:paraId="75F486C6" w14:textId="77777777" w:rsidR="00C32C23" w:rsidRPr="00C32C23" w:rsidRDefault="00C32C23" w:rsidP="00C32C23">
      <w:pPr>
        <w:pStyle w:val="NoSpacing"/>
        <w:ind w:left="720"/>
        <w:rPr>
          <w:rFonts w:ascii="Times New Roman" w:hAnsi="Times New Roman"/>
          <w:bCs/>
          <w:sz w:val="24"/>
          <w:szCs w:val="24"/>
        </w:rPr>
      </w:pPr>
      <w:r w:rsidRPr="00C32C23">
        <w:rPr>
          <w:rFonts w:ascii="Times New Roman" w:hAnsi="Times New Roman"/>
          <w:sz w:val="24"/>
          <w:szCs w:val="24"/>
        </w:rPr>
        <w:t>Shasta County District Attorney Stephanie Bridgett says this was discussed in court Monday, where her attorney once again filed for a mental health diversion. It's been 2.5 years since the fire took place, burning homes and land in north Redding for 10 days, destroying nearly 200 structures and burning nearly 9,000 acres. Bridgett says that trials can be a lengthy process, especially when they involve felonies.</w:t>
      </w:r>
    </w:p>
    <w:p w14:paraId="501D28F5" w14:textId="77777777" w:rsidR="00BD564D" w:rsidRPr="00C32C23" w:rsidRDefault="00BD564D" w:rsidP="00BD564D">
      <w:pPr>
        <w:pStyle w:val="NoSpacing"/>
        <w:rPr>
          <w:rFonts w:ascii="Times New Roman" w:hAnsi="Times New Roman"/>
          <w:sz w:val="24"/>
          <w:szCs w:val="24"/>
        </w:rPr>
      </w:pPr>
    </w:p>
    <w:p w14:paraId="1A5AACB2" w14:textId="77777777" w:rsidR="00FE0B61" w:rsidRDefault="00FE0B61" w:rsidP="00F326E5">
      <w:pPr>
        <w:pStyle w:val="NoSpacing"/>
        <w:rPr>
          <w:rFonts w:ascii="Arial Black" w:hAnsi="Arial Black"/>
          <w:sz w:val="28"/>
          <w:szCs w:val="28"/>
        </w:rPr>
      </w:pPr>
    </w:p>
    <w:p w14:paraId="13C7DB7C" w14:textId="2DF49090" w:rsidR="00CB0F04" w:rsidRDefault="00A0601A" w:rsidP="00F326E5">
      <w:pPr>
        <w:pStyle w:val="NoSpacing"/>
        <w:rPr>
          <w:rFonts w:ascii="Arial Black" w:hAnsi="Arial Black"/>
          <w:sz w:val="28"/>
          <w:szCs w:val="28"/>
        </w:rPr>
      </w:pPr>
      <w:r>
        <w:rPr>
          <w:rFonts w:ascii="Arial Black" w:hAnsi="Arial Black"/>
          <w:sz w:val="28"/>
          <w:szCs w:val="28"/>
        </w:rPr>
        <w:t>3-69</w:t>
      </w:r>
    </w:p>
    <w:p w14:paraId="04185549" w14:textId="77777777" w:rsidR="00A0601A" w:rsidRDefault="00A0601A" w:rsidP="00F326E5">
      <w:pPr>
        <w:pStyle w:val="NoSpacing"/>
        <w:rPr>
          <w:rFonts w:ascii="Arial Black" w:hAnsi="Arial Black"/>
          <w:sz w:val="28"/>
          <w:szCs w:val="28"/>
        </w:rPr>
      </w:pPr>
    </w:p>
    <w:p w14:paraId="6D798485" w14:textId="77777777" w:rsidR="00A0601A" w:rsidRDefault="00A0601A" w:rsidP="00A0601A">
      <w:pPr>
        <w:pStyle w:val="NoSpacing"/>
        <w:rPr>
          <w:b/>
        </w:rPr>
      </w:pPr>
      <w:r>
        <w:rPr>
          <w:rFonts w:ascii="Arial Black" w:hAnsi="Arial Black"/>
          <w:b/>
          <w:sz w:val="28"/>
          <w:szCs w:val="28"/>
        </w:rPr>
        <w:t xml:space="preserve">IL: PELLET GUN - MIDDLE SCHOOL STUDENT LOCKER – SAME DAY UVALDE, TX MASS SHOOTING – 1-YR SUSP. </w:t>
      </w:r>
    </w:p>
    <w:p w14:paraId="69DDD6FA" w14:textId="77777777" w:rsidR="00A0601A" w:rsidRDefault="00A0601A" w:rsidP="00A0601A">
      <w:pPr>
        <w:pStyle w:val="NoSpacing"/>
        <w:ind w:firstLine="720"/>
        <w:rPr>
          <w:b/>
        </w:rPr>
      </w:pPr>
    </w:p>
    <w:p w14:paraId="7E8D2DFA" w14:textId="77777777" w:rsidR="00A0601A" w:rsidRPr="00301E8E" w:rsidRDefault="00A0601A" w:rsidP="00A0601A">
      <w:pPr>
        <w:pStyle w:val="NoSpacing"/>
        <w:rPr>
          <w:rFonts w:ascii="Times New Roman" w:hAnsi="Times New Roman"/>
          <w:b/>
          <w:sz w:val="24"/>
          <w:szCs w:val="24"/>
        </w:rPr>
      </w:pPr>
      <w:r w:rsidRPr="00301E8E">
        <w:rPr>
          <w:rFonts w:ascii="Times New Roman" w:hAnsi="Times New Roman"/>
          <w:sz w:val="24"/>
          <w:szCs w:val="24"/>
        </w:rPr>
        <w:t xml:space="preserve">On Nov. 27, 2024, in </w:t>
      </w:r>
      <w:r w:rsidRPr="00301E8E">
        <w:rPr>
          <w:rFonts w:ascii="Times New Roman" w:hAnsi="Times New Roman"/>
          <w:sz w:val="24"/>
          <w:szCs w:val="24"/>
          <w:u w:val="single"/>
        </w:rPr>
        <w:t>A.A., a minor, by and through his next friend and parent, Elizabeth Pasillas v. Board of Education, Summit School District No. 104</w:t>
      </w:r>
      <w:r w:rsidRPr="00301E8E">
        <w:rPr>
          <w:rFonts w:ascii="Times New Roman" w:hAnsi="Times New Roman"/>
          <w:sz w:val="24"/>
          <w:szCs w:val="24"/>
        </w:rPr>
        <w:t xml:space="preserve">, the Appellate Court of Illinois, First District, held (2 to 1), that the School Board properly suspended the 13-year-old for one-year, overturning decision by trial court judge. The pellet gun was discovered on May 24, 2022, the same day that a mass shooter murdered 19 fourth graders and two teachers at an elementary school in Uvalde, Texas. The Court wrote: “However, it is entirely reasonable for the school officials to have taken the national school shooting landscape into consideration when deciding A.A.’s discipline. One of the determinations that the officials had to make under subsection (b-20) was whether A.A.’s ongoing presence would ‘substantially disrupt, impede, or interfere with the operation of the school.’ That analysis would logically include a consideration of the effect of A.A.’s presence on his classmates and their educational environment. Given the prevalence of school shootings in this country, it would be natural for A.A.’s fellow students to be wary and concerned about the presence of someone who brought a lookalike gun to school.” </w:t>
      </w:r>
      <w:hyperlink r:id="rId673" w:history="1">
        <w:r w:rsidRPr="00301E8E">
          <w:rPr>
            <w:rStyle w:val="Hyperlink"/>
            <w:rFonts w:ascii="Times New Roman" w:hAnsi="Times New Roman"/>
            <w:sz w:val="24"/>
            <w:szCs w:val="24"/>
          </w:rPr>
          <w:t>https://ilcourtsaudio.blob.core.windows.net/antilles-resources/resources/aa9ece1f-338b-4d77-9d21-fd7bfa316d8e/A.A.%20%20v.%20Board%20of%20Education%20of%20Summit%20School%20District%20No.%20104,%202024%20IL%20App%20(1st)%20232451.pdf</w:t>
        </w:r>
      </w:hyperlink>
      <w:r w:rsidRPr="00301E8E">
        <w:rPr>
          <w:rFonts w:ascii="Times New Roman" w:hAnsi="Times New Roman"/>
          <w:sz w:val="24"/>
          <w:szCs w:val="24"/>
        </w:rPr>
        <w:t xml:space="preserve"> </w:t>
      </w:r>
    </w:p>
    <w:p w14:paraId="0929C503" w14:textId="77777777" w:rsidR="00A0601A" w:rsidRPr="00301E8E" w:rsidRDefault="00A0601A" w:rsidP="00A0601A">
      <w:pPr>
        <w:pStyle w:val="NoSpacing"/>
        <w:ind w:firstLine="720"/>
        <w:rPr>
          <w:rFonts w:ascii="Times New Roman" w:hAnsi="Times New Roman"/>
          <w:b/>
          <w:sz w:val="24"/>
          <w:szCs w:val="24"/>
        </w:rPr>
      </w:pPr>
    </w:p>
    <w:p w14:paraId="43C81279" w14:textId="4C34B2AE" w:rsidR="00A0601A" w:rsidRPr="00301E8E" w:rsidRDefault="00301E8E" w:rsidP="00F326E5">
      <w:pPr>
        <w:pStyle w:val="NoSpacing"/>
        <w:rPr>
          <w:rFonts w:ascii="Times New Roman" w:hAnsi="Times New Roman"/>
          <w:sz w:val="24"/>
          <w:szCs w:val="24"/>
        </w:rPr>
      </w:pPr>
      <w:r w:rsidRPr="00301E8E">
        <w:rPr>
          <w:rFonts w:ascii="Times New Roman" w:hAnsi="Times New Roman"/>
          <w:sz w:val="24"/>
          <w:szCs w:val="24"/>
        </w:rPr>
        <w:t>See Dissent</w:t>
      </w:r>
    </w:p>
    <w:p w14:paraId="483F1582" w14:textId="77777777" w:rsidR="00301E8E" w:rsidRPr="00301E8E" w:rsidRDefault="00301E8E" w:rsidP="00F326E5">
      <w:pPr>
        <w:pStyle w:val="NoSpacing"/>
        <w:rPr>
          <w:rFonts w:ascii="Times New Roman" w:hAnsi="Times New Roman"/>
          <w:sz w:val="24"/>
          <w:szCs w:val="24"/>
        </w:rPr>
      </w:pPr>
    </w:p>
    <w:p w14:paraId="22ACFF37" w14:textId="77777777" w:rsidR="00301E8E" w:rsidRPr="00301E8E" w:rsidRDefault="00301E8E" w:rsidP="00301E8E">
      <w:pPr>
        <w:pStyle w:val="NoSpacing"/>
        <w:rPr>
          <w:rFonts w:ascii="Times New Roman" w:hAnsi="Times New Roman"/>
          <w:b/>
          <w:bCs/>
          <w:sz w:val="24"/>
          <w:szCs w:val="24"/>
        </w:rPr>
      </w:pPr>
      <w:r w:rsidRPr="00301E8E">
        <w:rPr>
          <w:rFonts w:ascii="Times New Roman" w:hAnsi="Times New Roman"/>
          <w:b/>
          <w:sz w:val="24"/>
          <w:szCs w:val="24"/>
        </w:rPr>
        <w:t xml:space="preserve">Legal Lesson Learned:  The 1-year suspension certainly sends a message to all students in the school; nice to read about State statute mandating 2-year expulsion for bringing firearm to school. </w:t>
      </w:r>
    </w:p>
    <w:p w14:paraId="61C7A709" w14:textId="77777777" w:rsidR="00301E8E" w:rsidRPr="00301E8E" w:rsidRDefault="00301E8E" w:rsidP="00301E8E">
      <w:pPr>
        <w:pStyle w:val="NoSpacing"/>
        <w:rPr>
          <w:rFonts w:ascii="Times New Roman" w:hAnsi="Times New Roman"/>
          <w:sz w:val="24"/>
          <w:szCs w:val="24"/>
        </w:rPr>
      </w:pPr>
    </w:p>
    <w:p w14:paraId="3B82C42E" w14:textId="77777777" w:rsidR="00301E8E" w:rsidRDefault="00301E8E" w:rsidP="00F326E5">
      <w:pPr>
        <w:pStyle w:val="NoSpacing"/>
        <w:rPr>
          <w:rFonts w:ascii="Arial Black" w:hAnsi="Arial Black"/>
          <w:sz w:val="28"/>
          <w:szCs w:val="28"/>
        </w:rPr>
      </w:pPr>
    </w:p>
    <w:p w14:paraId="0C83CB93" w14:textId="77777777" w:rsidR="00A0601A" w:rsidRDefault="00A0601A" w:rsidP="00F326E5">
      <w:pPr>
        <w:pStyle w:val="NoSpacing"/>
        <w:rPr>
          <w:rFonts w:ascii="Arial Black" w:hAnsi="Arial Black"/>
          <w:sz w:val="28"/>
          <w:szCs w:val="28"/>
        </w:rPr>
      </w:pPr>
    </w:p>
    <w:p w14:paraId="31D314A8" w14:textId="77777777" w:rsidR="00A0601A" w:rsidRDefault="00A0601A" w:rsidP="00F326E5">
      <w:pPr>
        <w:pStyle w:val="NoSpacing"/>
        <w:rPr>
          <w:rFonts w:ascii="Arial Black" w:hAnsi="Arial Black"/>
          <w:sz w:val="28"/>
          <w:szCs w:val="28"/>
        </w:rPr>
      </w:pPr>
    </w:p>
    <w:p w14:paraId="7A4D821E" w14:textId="77777777" w:rsidR="00A0601A" w:rsidRDefault="00A0601A" w:rsidP="00F326E5">
      <w:pPr>
        <w:pStyle w:val="NoSpacing"/>
        <w:rPr>
          <w:rFonts w:ascii="Arial Black" w:hAnsi="Arial Black"/>
          <w:sz w:val="28"/>
          <w:szCs w:val="28"/>
        </w:rPr>
      </w:pPr>
    </w:p>
    <w:p w14:paraId="27D66F02" w14:textId="176A6070" w:rsidR="00110AE2" w:rsidRDefault="0098663B" w:rsidP="00F326E5">
      <w:pPr>
        <w:pStyle w:val="NoSpacing"/>
        <w:rPr>
          <w:rFonts w:ascii="Arial Black" w:hAnsi="Arial Black"/>
          <w:sz w:val="28"/>
          <w:szCs w:val="28"/>
        </w:rPr>
      </w:pPr>
      <w:r>
        <w:rPr>
          <w:rFonts w:ascii="Arial Black" w:hAnsi="Arial Black"/>
          <w:sz w:val="28"/>
          <w:szCs w:val="28"/>
        </w:rPr>
        <w:t>3-68</w:t>
      </w:r>
    </w:p>
    <w:p w14:paraId="62B8B05B" w14:textId="77777777" w:rsidR="0098663B" w:rsidRDefault="0098663B" w:rsidP="00F326E5">
      <w:pPr>
        <w:pStyle w:val="NoSpacing"/>
        <w:rPr>
          <w:rFonts w:ascii="Arial Black" w:hAnsi="Arial Black"/>
          <w:sz w:val="28"/>
          <w:szCs w:val="28"/>
        </w:rPr>
      </w:pPr>
    </w:p>
    <w:p w14:paraId="2EFBF4EA" w14:textId="77777777" w:rsidR="00452CAA" w:rsidRPr="00AF49D1" w:rsidRDefault="00452CAA" w:rsidP="00452CAA">
      <w:pPr>
        <w:rPr>
          <w:rFonts w:ascii="Times New Roman" w:hAnsi="Times New Roman"/>
          <w:b/>
          <w:bCs/>
          <w:sz w:val="24"/>
          <w:szCs w:val="24"/>
        </w:rPr>
      </w:pPr>
      <w:r w:rsidRPr="00AF49D1">
        <w:rPr>
          <w:rFonts w:ascii="Times New Roman" w:hAnsi="Times New Roman"/>
          <w:b/>
          <w:bCs/>
          <w:sz w:val="24"/>
          <w:szCs w:val="24"/>
        </w:rPr>
        <w:t>DC: SECRET SERVICE PROTECTION – NO ENTERING RESTRICTED ZONE – CAPITOL INVASION – 14 DAYS JAIL</w:t>
      </w:r>
    </w:p>
    <w:p w14:paraId="12EF7FB7" w14:textId="77777777" w:rsidR="00452CAA" w:rsidRPr="00AF49D1" w:rsidRDefault="00452CAA" w:rsidP="00452CAA">
      <w:pPr>
        <w:rPr>
          <w:rFonts w:ascii="Times New Roman" w:hAnsi="Times New Roman"/>
          <w:sz w:val="24"/>
          <w:szCs w:val="24"/>
        </w:rPr>
      </w:pPr>
      <w:r w:rsidRPr="00AF49D1">
        <w:rPr>
          <w:rFonts w:ascii="Times New Roman" w:hAnsi="Times New Roman"/>
          <w:sz w:val="24"/>
          <w:szCs w:val="24"/>
        </w:rPr>
        <w:t xml:space="preserve">On Oct. 22, </w:t>
      </w:r>
      <w:proofErr w:type="gramStart"/>
      <w:r w:rsidRPr="00AF49D1">
        <w:rPr>
          <w:rFonts w:ascii="Times New Roman" w:hAnsi="Times New Roman"/>
          <w:sz w:val="24"/>
          <w:szCs w:val="24"/>
        </w:rPr>
        <w:t>2024</w:t>
      </w:r>
      <w:proofErr w:type="gramEnd"/>
      <w:r w:rsidRPr="00AF49D1">
        <w:rPr>
          <w:rFonts w:ascii="Times New Roman" w:hAnsi="Times New Roman"/>
          <w:sz w:val="24"/>
          <w:szCs w:val="24"/>
        </w:rPr>
        <w:t xml:space="preserve"> in </w:t>
      </w:r>
      <w:r w:rsidRPr="00AF49D1">
        <w:rPr>
          <w:rFonts w:ascii="Times New Roman" w:hAnsi="Times New Roman"/>
          <w:sz w:val="24"/>
          <w:szCs w:val="24"/>
          <w:u w:val="single"/>
        </w:rPr>
        <w:t xml:space="preserve">United States </w:t>
      </w:r>
      <w:proofErr w:type="spellStart"/>
      <w:r w:rsidRPr="00AF49D1">
        <w:rPr>
          <w:rFonts w:ascii="Times New Roman" w:hAnsi="Times New Roman"/>
          <w:sz w:val="24"/>
          <w:szCs w:val="24"/>
          <w:u w:val="single"/>
        </w:rPr>
        <w:t>o</w:t>
      </w:r>
      <w:proofErr w:type="spellEnd"/>
      <w:r w:rsidRPr="00AF49D1">
        <w:rPr>
          <w:rFonts w:ascii="Times New Roman" w:hAnsi="Times New Roman"/>
          <w:sz w:val="24"/>
          <w:szCs w:val="24"/>
          <w:u w:val="single"/>
        </w:rPr>
        <w:t xml:space="preserve"> America v. Couy Griffin</w:t>
      </w:r>
      <w:r w:rsidRPr="00AF49D1">
        <w:rPr>
          <w:rFonts w:ascii="Times New Roman" w:hAnsi="Times New Roman"/>
          <w:sz w:val="24"/>
          <w:szCs w:val="24"/>
        </w:rPr>
        <w:t xml:space="preserve">, the U.S. Court of Appeals for the District of Columbia Circuit, held (3 to 0): “This appeal turns on interpretation of a federal law enacted to better protect the President and other national leaders from assassination, kidnapping, and assault. The law creates a narrow domain of federal trespass authority to prevent unauthorized members of the public from getting too close to a person under Secret Service protection.*** The defendant says a person ‘knowingly enters’ the restricted safety zone only if he knows that the basis of the restriction is to safeguard a Secret Service </w:t>
      </w:r>
      <w:proofErr w:type="spellStart"/>
      <w:r w:rsidRPr="00AF49D1">
        <w:rPr>
          <w:rFonts w:ascii="Times New Roman" w:hAnsi="Times New Roman"/>
          <w:sz w:val="24"/>
          <w:szCs w:val="24"/>
        </w:rPr>
        <w:t>protectee</w:t>
      </w:r>
      <w:proofErr w:type="spellEnd"/>
      <w:r w:rsidRPr="00AF49D1">
        <w:rPr>
          <w:rFonts w:ascii="Times New Roman" w:hAnsi="Times New Roman"/>
          <w:sz w:val="24"/>
          <w:szCs w:val="24"/>
        </w:rPr>
        <w:t xml:space="preserve">. Id. § 1752(a)(1). We hold that knowingly breaching the restricted area suffices, even without knowing the basis of the restriction—here, the presence of Vice President Pence at the Capitol on January 6—which merely confirms that such trespasses are within Congress’s legislative authority.” </w:t>
      </w:r>
      <w:hyperlink r:id="rId674" w:history="1">
        <w:r w:rsidRPr="00AF49D1">
          <w:rPr>
            <w:rStyle w:val="Hyperlink"/>
            <w:rFonts w:ascii="Times New Roman" w:hAnsi="Times New Roman"/>
            <w:sz w:val="24"/>
            <w:szCs w:val="24"/>
          </w:rPr>
          <w:t>https://media.cadc.uscourts.gov/opinions/docs/2024/10/22-3042-2081254.pdf</w:t>
        </w:r>
      </w:hyperlink>
      <w:r w:rsidRPr="00AF49D1">
        <w:rPr>
          <w:rFonts w:ascii="Times New Roman" w:hAnsi="Times New Roman"/>
          <w:sz w:val="24"/>
          <w:szCs w:val="24"/>
        </w:rPr>
        <w:t xml:space="preserve"> </w:t>
      </w:r>
    </w:p>
    <w:p w14:paraId="0A96FF24" w14:textId="77777777" w:rsidR="00AF49D1" w:rsidRPr="00AF49D1" w:rsidRDefault="00AF49D1" w:rsidP="00AF49D1">
      <w:pPr>
        <w:rPr>
          <w:rFonts w:ascii="Times New Roman" w:hAnsi="Times New Roman"/>
          <w:b/>
          <w:sz w:val="24"/>
          <w:szCs w:val="24"/>
        </w:rPr>
      </w:pPr>
      <w:r w:rsidRPr="00AF49D1">
        <w:rPr>
          <w:rFonts w:ascii="Times New Roman" w:hAnsi="Times New Roman"/>
          <w:b/>
          <w:sz w:val="24"/>
          <w:szCs w:val="24"/>
        </w:rPr>
        <w:t>Legal Lesson Learned: May not enter a Secret Service restricted area.</w:t>
      </w:r>
    </w:p>
    <w:p w14:paraId="45AA9D3A" w14:textId="77777777" w:rsidR="00110AE2" w:rsidRDefault="00110AE2" w:rsidP="00F326E5">
      <w:pPr>
        <w:pStyle w:val="NoSpacing"/>
        <w:rPr>
          <w:rFonts w:ascii="Arial Black" w:hAnsi="Arial Black"/>
          <w:sz w:val="28"/>
          <w:szCs w:val="28"/>
        </w:rPr>
      </w:pPr>
    </w:p>
    <w:p w14:paraId="03FC858C" w14:textId="686D56DF" w:rsidR="00110AE2" w:rsidRDefault="00110AE2" w:rsidP="00F326E5">
      <w:pPr>
        <w:pStyle w:val="NoSpacing"/>
        <w:rPr>
          <w:rFonts w:ascii="Arial Black" w:hAnsi="Arial Black"/>
          <w:sz w:val="28"/>
          <w:szCs w:val="28"/>
        </w:rPr>
      </w:pPr>
      <w:r>
        <w:rPr>
          <w:rFonts w:ascii="Arial Black" w:hAnsi="Arial Black"/>
          <w:sz w:val="28"/>
          <w:szCs w:val="28"/>
        </w:rPr>
        <w:t>3-67</w:t>
      </w:r>
    </w:p>
    <w:p w14:paraId="42B61BAD" w14:textId="77777777" w:rsidR="000F2630" w:rsidRDefault="000F2630" w:rsidP="00F326E5">
      <w:pPr>
        <w:pStyle w:val="NoSpacing"/>
        <w:rPr>
          <w:rFonts w:ascii="Arial Black" w:hAnsi="Arial Black"/>
          <w:sz w:val="28"/>
          <w:szCs w:val="28"/>
        </w:rPr>
      </w:pPr>
    </w:p>
    <w:p w14:paraId="0ADB3C0D" w14:textId="77777777" w:rsidR="0037347A" w:rsidRPr="00A56F69" w:rsidRDefault="0037347A" w:rsidP="0037347A">
      <w:pPr>
        <w:pStyle w:val="NoSpacing"/>
        <w:rPr>
          <w:rFonts w:ascii="Times New Roman" w:hAnsi="Times New Roman"/>
          <w:b/>
          <w:bCs/>
          <w:sz w:val="24"/>
          <w:szCs w:val="24"/>
        </w:rPr>
      </w:pPr>
      <w:r w:rsidRPr="00A56F69">
        <w:rPr>
          <w:rFonts w:ascii="Times New Roman" w:hAnsi="Times New Roman"/>
          <w:b/>
          <w:bCs/>
          <w:sz w:val="24"/>
          <w:szCs w:val="24"/>
        </w:rPr>
        <w:t>U.S. SUPREME CT - DOMESTIC RESTRAINING ORDER – BOYFRIEND FIREARM, VIOL. FED. LAW - CONSTITUTIONAL</w:t>
      </w:r>
    </w:p>
    <w:p w14:paraId="179B63BD" w14:textId="77777777" w:rsidR="0037347A" w:rsidRPr="00A56F69" w:rsidRDefault="0037347A" w:rsidP="0037347A">
      <w:pPr>
        <w:pStyle w:val="NoSpacing"/>
        <w:rPr>
          <w:rFonts w:ascii="Times New Roman" w:hAnsi="Times New Roman"/>
          <w:sz w:val="24"/>
          <w:szCs w:val="24"/>
        </w:rPr>
      </w:pPr>
    </w:p>
    <w:p w14:paraId="3F4E1929" w14:textId="77777777" w:rsidR="0037347A" w:rsidRPr="00A56F69" w:rsidRDefault="0037347A" w:rsidP="0037347A">
      <w:pPr>
        <w:pStyle w:val="NoSpacing"/>
        <w:rPr>
          <w:rFonts w:ascii="Times New Roman" w:hAnsi="Times New Roman"/>
          <w:sz w:val="24"/>
          <w:szCs w:val="24"/>
        </w:rPr>
      </w:pPr>
      <w:r w:rsidRPr="00A56F69">
        <w:rPr>
          <w:rFonts w:ascii="Times New Roman" w:hAnsi="Times New Roman"/>
          <w:sz w:val="24"/>
          <w:szCs w:val="24"/>
        </w:rPr>
        <w:t xml:space="preserve">On June 21, 2024, in </w:t>
      </w:r>
      <w:r w:rsidRPr="00A56F69">
        <w:rPr>
          <w:rFonts w:ascii="Times New Roman" w:hAnsi="Times New Roman"/>
          <w:sz w:val="24"/>
          <w:szCs w:val="24"/>
          <w:u w:val="single"/>
        </w:rPr>
        <w:t>United States v. Zackey Rahimi</w:t>
      </w:r>
      <w:r w:rsidRPr="00A56F69">
        <w:rPr>
          <w:rFonts w:ascii="Times New Roman" w:hAnsi="Times New Roman"/>
          <w:sz w:val="24"/>
          <w:szCs w:val="24"/>
        </w:rPr>
        <w:t>, the U.S. Supreme Court held (8 to 1): “A federal statute prohibits an individual subject to a domestic violence restraining order from possessing a firearm if that order includes a finding that he ‘represents a credible threat to the physical safety of [an] intimate partner,’ or a child of the partner or individual. 18 U. S. C.</w:t>
      </w:r>
    </w:p>
    <w:p w14:paraId="32280905" w14:textId="77777777" w:rsidR="0037347A" w:rsidRPr="00A56F69" w:rsidRDefault="0037347A" w:rsidP="0037347A">
      <w:pPr>
        <w:pStyle w:val="NoSpacing"/>
        <w:rPr>
          <w:rFonts w:ascii="Times New Roman" w:hAnsi="Times New Roman"/>
          <w:sz w:val="24"/>
          <w:szCs w:val="24"/>
        </w:rPr>
      </w:pPr>
      <w:r w:rsidRPr="00A56F69">
        <w:rPr>
          <w:rFonts w:ascii="Times New Roman" w:hAnsi="Times New Roman"/>
          <w:sz w:val="24"/>
          <w:szCs w:val="24"/>
        </w:rPr>
        <w:t xml:space="preserve">§922(g)(8). Respondent Zackey Rahimi is subject to such an order. The question is whether this provision may be enforced against him </w:t>
      </w:r>
      <w:proofErr w:type="gramStart"/>
      <w:r w:rsidRPr="00A56F69">
        <w:rPr>
          <w:rFonts w:ascii="Times New Roman" w:hAnsi="Times New Roman"/>
          <w:sz w:val="24"/>
          <w:szCs w:val="24"/>
        </w:rPr>
        <w:t>consistent</w:t>
      </w:r>
      <w:proofErr w:type="gramEnd"/>
      <w:r w:rsidRPr="00A56F69">
        <w:rPr>
          <w:rFonts w:ascii="Times New Roman" w:hAnsi="Times New Roman"/>
          <w:sz w:val="24"/>
          <w:szCs w:val="24"/>
        </w:rPr>
        <w:t xml:space="preserve"> with the Second Amendment. *** In Heller, McDonald, and Bruen, this Court did not ‘undertake an exhaustive historical analysis . . . of the full scope of the Second Amendment.’ Bruen, 597 U. S., at 31. Nor do we do so today. Rather, we conclude only this: An individual found by a court </w:t>
      </w:r>
      <w:proofErr w:type="gramStart"/>
      <w:r w:rsidRPr="00A56F69">
        <w:rPr>
          <w:rFonts w:ascii="Times New Roman" w:hAnsi="Times New Roman"/>
          <w:sz w:val="24"/>
          <w:szCs w:val="24"/>
        </w:rPr>
        <w:t>to pose</w:t>
      </w:r>
      <w:proofErr w:type="gramEnd"/>
      <w:r w:rsidRPr="00A56F69">
        <w:rPr>
          <w:rFonts w:ascii="Times New Roman" w:hAnsi="Times New Roman"/>
          <w:sz w:val="24"/>
          <w:szCs w:val="24"/>
        </w:rPr>
        <w:t xml:space="preserve"> a credible threat to the</w:t>
      </w:r>
    </w:p>
    <w:p w14:paraId="44EED776" w14:textId="77777777" w:rsidR="0037347A" w:rsidRPr="00A56F69" w:rsidRDefault="0037347A" w:rsidP="0037347A">
      <w:pPr>
        <w:pStyle w:val="NoSpacing"/>
        <w:rPr>
          <w:rFonts w:ascii="Times New Roman" w:hAnsi="Times New Roman"/>
          <w:sz w:val="24"/>
          <w:szCs w:val="24"/>
        </w:rPr>
      </w:pPr>
      <w:r w:rsidRPr="00A56F69">
        <w:rPr>
          <w:rFonts w:ascii="Times New Roman" w:hAnsi="Times New Roman"/>
          <w:sz w:val="24"/>
          <w:szCs w:val="24"/>
        </w:rPr>
        <w:t>physical safety of another may be temporarily disarmed consistent with the Second Amendment.”</w:t>
      </w:r>
    </w:p>
    <w:p w14:paraId="19CCB11F" w14:textId="77777777" w:rsidR="0037347A" w:rsidRPr="00A56F69" w:rsidRDefault="0037347A" w:rsidP="0037347A">
      <w:pPr>
        <w:pStyle w:val="NoSpacing"/>
        <w:rPr>
          <w:rFonts w:ascii="Times New Roman" w:hAnsi="Times New Roman"/>
          <w:sz w:val="24"/>
          <w:szCs w:val="24"/>
        </w:rPr>
      </w:pPr>
      <w:r w:rsidRPr="00A56F69">
        <w:rPr>
          <w:rFonts w:ascii="Times New Roman" w:hAnsi="Times New Roman"/>
          <w:sz w:val="24"/>
          <w:szCs w:val="24"/>
        </w:rPr>
        <w:t xml:space="preserve"> </w:t>
      </w:r>
      <w:hyperlink r:id="rId675" w:history="1">
        <w:r w:rsidRPr="00A56F69">
          <w:rPr>
            <w:rStyle w:val="Hyperlink"/>
            <w:rFonts w:ascii="Times New Roman" w:hAnsi="Times New Roman"/>
            <w:sz w:val="24"/>
            <w:szCs w:val="24"/>
          </w:rPr>
          <w:t>https://www.supremecourt.gov/opinions/23pdf/22-915_8o6b.pdf</w:t>
        </w:r>
      </w:hyperlink>
    </w:p>
    <w:p w14:paraId="32F86230" w14:textId="77777777" w:rsidR="000F2630" w:rsidRPr="00A56F69" w:rsidRDefault="000F2630" w:rsidP="00F326E5">
      <w:pPr>
        <w:pStyle w:val="NoSpacing"/>
        <w:rPr>
          <w:rFonts w:ascii="Times New Roman" w:hAnsi="Times New Roman"/>
          <w:sz w:val="24"/>
          <w:szCs w:val="24"/>
        </w:rPr>
      </w:pPr>
    </w:p>
    <w:p w14:paraId="74BC7125" w14:textId="77777777" w:rsidR="00A56F69" w:rsidRPr="00A56F69" w:rsidRDefault="00A56F69" w:rsidP="00A56F69">
      <w:pPr>
        <w:pStyle w:val="NoSpacing"/>
        <w:rPr>
          <w:rFonts w:ascii="Times New Roman" w:hAnsi="Times New Roman"/>
          <w:b/>
          <w:bCs/>
          <w:sz w:val="24"/>
          <w:szCs w:val="24"/>
        </w:rPr>
      </w:pPr>
      <w:r w:rsidRPr="00A56F69">
        <w:rPr>
          <w:rFonts w:ascii="Times New Roman" w:hAnsi="Times New Roman"/>
          <w:b/>
          <w:sz w:val="24"/>
          <w:szCs w:val="24"/>
        </w:rPr>
        <w:t>Legal Lesson Learned: This decision will hopefully help reduce gun violence involving domestic partners.</w:t>
      </w:r>
    </w:p>
    <w:p w14:paraId="52BE973A" w14:textId="77777777" w:rsidR="00A56F69" w:rsidRPr="00A56F69" w:rsidRDefault="00A56F69" w:rsidP="00F326E5">
      <w:pPr>
        <w:pStyle w:val="NoSpacing"/>
        <w:rPr>
          <w:rFonts w:ascii="Times New Roman" w:hAnsi="Times New Roman"/>
          <w:sz w:val="24"/>
          <w:szCs w:val="24"/>
        </w:rPr>
      </w:pPr>
    </w:p>
    <w:p w14:paraId="42E11DEB" w14:textId="77777777" w:rsidR="00110AE2" w:rsidRDefault="00110AE2" w:rsidP="00F326E5">
      <w:pPr>
        <w:pStyle w:val="NoSpacing"/>
        <w:rPr>
          <w:rFonts w:ascii="Arial Black" w:hAnsi="Arial Black"/>
          <w:sz w:val="28"/>
          <w:szCs w:val="28"/>
        </w:rPr>
      </w:pPr>
    </w:p>
    <w:p w14:paraId="6BBA7B66" w14:textId="099C0E66" w:rsidR="0015698F" w:rsidRDefault="0015698F"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6</w:t>
      </w:r>
    </w:p>
    <w:p w14:paraId="6B52C21B" w14:textId="77777777" w:rsidR="0015698F" w:rsidRDefault="0015698F" w:rsidP="00F326E5">
      <w:pPr>
        <w:pStyle w:val="NoSpacing"/>
        <w:rPr>
          <w:rFonts w:ascii="Arial Black" w:hAnsi="Arial Black"/>
          <w:sz w:val="28"/>
          <w:szCs w:val="28"/>
        </w:rPr>
      </w:pPr>
    </w:p>
    <w:p w14:paraId="64DBD312" w14:textId="77777777" w:rsidR="00F46BC0" w:rsidRPr="006C4A6E" w:rsidRDefault="00F46BC0" w:rsidP="00F46BC0">
      <w:pPr>
        <w:pStyle w:val="NoSpacing"/>
        <w:rPr>
          <w:rFonts w:ascii="Arial Black" w:hAnsi="Arial Black"/>
          <w:sz w:val="28"/>
        </w:rPr>
      </w:pPr>
      <w:r>
        <w:rPr>
          <w:rFonts w:ascii="Arial Black" w:hAnsi="Arial Black"/>
          <w:sz w:val="28"/>
        </w:rPr>
        <w:t>NY: NY CITY 2020 CURFEWS UPHELD – GEORGE FLOYD DEMONSTRATIONS - VIOLENCE FOR SIX NIGHTS</w:t>
      </w:r>
    </w:p>
    <w:p w14:paraId="603D5013" w14:textId="77777777" w:rsidR="00F46BC0" w:rsidRDefault="00F46BC0" w:rsidP="00F46BC0">
      <w:pPr>
        <w:pStyle w:val="NoSpacing"/>
        <w:rPr>
          <w:szCs w:val="24"/>
        </w:rPr>
      </w:pPr>
    </w:p>
    <w:p w14:paraId="2B35D061" w14:textId="77777777" w:rsidR="00F46BC0" w:rsidRPr="00F46BC0" w:rsidRDefault="00F46BC0" w:rsidP="00F46BC0">
      <w:pPr>
        <w:pStyle w:val="NoSpacing"/>
        <w:rPr>
          <w:rFonts w:ascii="Times New Roman" w:hAnsi="Times New Roman"/>
          <w:sz w:val="24"/>
          <w:szCs w:val="24"/>
        </w:rPr>
      </w:pPr>
      <w:r w:rsidRPr="00F46BC0">
        <w:rPr>
          <w:rFonts w:ascii="Times New Roman" w:hAnsi="Times New Roman"/>
          <w:sz w:val="24"/>
          <w:szCs w:val="24"/>
        </w:rPr>
        <w:t xml:space="preserve">On August 16, 2024, in </w:t>
      </w:r>
      <w:r w:rsidRPr="00F46BC0">
        <w:rPr>
          <w:rFonts w:ascii="Times New Roman" w:hAnsi="Times New Roman"/>
          <w:sz w:val="24"/>
          <w:szCs w:val="24"/>
          <w:u w:val="single"/>
        </w:rPr>
        <w:t>Lamel Jeffery, et al. v. City of New York, et al</w:t>
      </w:r>
      <w:r w:rsidRPr="00F46BC0">
        <w:rPr>
          <w:rFonts w:ascii="Times New Roman" w:hAnsi="Times New Roman"/>
          <w:sz w:val="24"/>
          <w:szCs w:val="24"/>
        </w:rPr>
        <w:t>., the U.S. Court of Appeal for the 2</w:t>
      </w:r>
      <w:r w:rsidRPr="00F46BC0">
        <w:rPr>
          <w:rFonts w:ascii="Times New Roman" w:hAnsi="Times New Roman"/>
          <w:sz w:val="24"/>
          <w:szCs w:val="24"/>
          <w:vertAlign w:val="superscript"/>
        </w:rPr>
        <w:t>nd</w:t>
      </w:r>
      <w:r w:rsidRPr="00F46BC0">
        <w:rPr>
          <w:rFonts w:ascii="Times New Roman" w:hAnsi="Times New Roman"/>
          <w:sz w:val="24"/>
          <w:szCs w:val="24"/>
        </w:rPr>
        <w:t xml:space="preserve"> Circuit (New York City) held (3 to 0) that the nighttime curfew restrictions were lawful. The Court wrote: “At issue on this appeal is a constitutional challenge to a nighttime curfew imposed throughout New York City (‘City’) for the one-week period between June 1 and June 7, 2020, in response to violence and destruction attending certain public demonstrations protesting the May 25, 2020 death of George Floyd at the hands of Minneapolis police (‘Floyd demonstrations’). *** “The curfew here … was imposed in response to documented violence, destruction, and looting ‘across multiple areas’ of a large, densely populated city….  The curfew here… was imposed in response to criminality ‘border[</w:t>
      </w:r>
      <w:proofErr w:type="spellStart"/>
      <w:r w:rsidRPr="00F46BC0">
        <w:rPr>
          <w:rFonts w:ascii="Times New Roman" w:hAnsi="Times New Roman"/>
          <w:sz w:val="24"/>
          <w:szCs w:val="24"/>
        </w:rPr>
        <w:t>ing</w:t>
      </w:r>
      <w:proofErr w:type="spellEnd"/>
      <w:r w:rsidRPr="00F46BC0">
        <w:rPr>
          <w:rFonts w:ascii="Times New Roman" w:hAnsi="Times New Roman"/>
          <w:sz w:val="24"/>
          <w:szCs w:val="24"/>
        </w:rPr>
        <w:t xml:space="preserve">] on chaos….’ Further … the </w:t>
      </w:r>
      <w:proofErr w:type="gramStart"/>
      <w:r w:rsidRPr="00F46BC0">
        <w:rPr>
          <w:rFonts w:ascii="Times New Roman" w:hAnsi="Times New Roman"/>
          <w:sz w:val="24"/>
          <w:szCs w:val="24"/>
        </w:rPr>
        <w:t>City</w:t>
      </w:r>
      <w:proofErr w:type="gramEnd"/>
      <w:r w:rsidRPr="00F46BC0">
        <w:rPr>
          <w:rFonts w:ascii="Times New Roman" w:hAnsi="Times New Roman"/>
          <w:sz w:val="24"/>
          <w:szCs w:val="24"/>
        </w:rPr>
        <w:t xml:space="preserve"> here employed a ‘measured approach’ to curb criminal activity…. It first relied on traditional policing; then, when criminality escalated, it supplemented traditional policing with a one-night curfew; then, when criminality continued to escalate, it extended the curfew for an additional six nights; and finally, when conditions improved and stabilized, the City ended the curfew one night early…. In these circumstances, even on strict scrutiny, we conclude as a matter of law that the extended curfew was narrowly tailored to employ the least restrictive means to serve the City's compelling public interest in curbing escalating crime and restoring order.”  </w:t>
      </w:r>
    </w:p>
    <w:p w14:paraId="4A87ED28" w14:textId="77777777" w:rsidR="00F46BC0" w:rsidRPr="00F46BC0" w:rsidRDefault="00F46BC0" w:rsidP="00F46BC0">
      <w:pPr>
        <w:pStyle w:val="NoSpacing"/>
        <w:rPr>
          <w:rFonts w:ascii="Times New Roman" w:hAnsi="Times New Roman"/>
          <w:sz w:val="24"/>
          <w:szCs w:val="24"/>
        </w:rPr>
      </w:pPr>
      <w:hyperlink r:id="rId676" w:anchor="xml=https://ww3.ca2.uscourts.gov/decisions/isysquery/c68b6681-8ae3-446b-8305-2841de8ec224/1/hilite/" w:history="1">
        <w:r w:rsidRPr="00F46BC0">
          <w:rPr>
            <w:rStyle w:val="Hyperlink"/>
            <w:rFonts w:ascii="Times New Roman" w:hAnsi="Times New Roman"/>
            <w:sz w:val="24"/>
            <w:szCs w:val="24"/>
          </w:rPr>
          <w:t>https://ww3.ca2.uscourts.gov/decisions/isysquery/c68b6681-8ae3-446b-8305-2841de8ec224/1/doc/22-2745_opn.pdf#xml=https://ww3.ca2.uscourts.gov/decisions/isysquery/c68b6681-8ae3-446b-8305-2841de8ec224/1/hilite/</w:t>
        </w:r>
      </w:hyperlink>
      <w:r w:rsidRPr="00F46BC0">
        <w:rPr>
          <w:rFonts w:ascii="Times New Roman" w:hAnsi="Times New Roman"/>
          <w:sz w:val="24"/>
          <w:szCs w:val="24"/>
        </w:rPr>
        <w:t xml:space="preserve"> </w:t>
      </w:r>
    </w:p>
    <w:p w14:paraId="5BA20227" w14:textId="77777777" w:rsidR="00F46BC0" w:rsidRPr="00F46BC0" w:rsidRDefault="00F46BC0" w:rsidP="00F46BC0">
      <w:pPr>
        <w:pStyle w:val="NoSpacing"/>
        <w:rPr>
          <w:rFonts w:ascii="Times New Roman" w:hAnsi="Times New Roman"/>
          <w:sz w:val="24"/>
          <w:szCs w:val="24"/>
        </w:rPr>
      </w:pPr>
    </w:p>
    <w:p w14:paraId="71397E36" w14:textId="77777777" w:rsidR="00F46BC0" w:rsidRPr="00F46BC0" w:rsidRDefault="00F46BC0" w:rsidP="00F46BC0">
      <w:pPr>
        <w:pStyle w:val="NoSpacing"/>
        <w:rPr>
          <w:rFonts w:ascii="Times New Roman" w:hAnsi="Times New Roman"/>
          <w:sz w:val="24"/>
          <w:szCs w:val="24"/>
        </w:rPr>
      </w:pPr>
      <w:r w:rsidRPr="00F46BC0">
        <w:rPr>
          <w:rFonts w:ascii="Times New Roman" w:hAnsi="Times New Roman"/>
          <w:sz w:val="24"/>
          <w:szCs w:val="24"/>
        </w:rPr>
        <w:t xml:space="preserve">THE COURT HELD: </w:t>
      </w:r>
    </w:p>
    <w:p w14:paraId="45ABDAF9" w14:textId="77777777" w:rsidR="00F46BC0" w:rsidRPr="00F46BC0" w:rsidRDefault="00F46BC0" w:rsidP="00F46BC0">
      <w:pPr>
        <w:pStyle w:val="NoSpacing"/>
        <w:rPr>
          <w:rFonts w:ascii="Times New Roman" w:hAnsi="Times New Roman"/>
          <w:sz w:val="24"/>
          <w:szCs w:val="24"/>
        </w:rPr>
      </w:pPr>
    </w:p>
    <w:p w14:paraId="6CFC57F3" w14:textId="77777777" w:rsidR="00F46BC0" w:rsidRPr="00F46BC0" w:rsidRDefault="00F46BC0" w:rsidP="00F46BC0">
      <w:pPr>
        <w:pStyle w:val="NoSpacing"/>
        <w:ind w:left="720"/>
        <w:rPr>
          <w:rFonts w:ascii="Times New Roman" w:hAnsi="Times New Roman"/>
          <w:sz w:val="24"/>
          <w:szCs w:val="24"/>
        </w:rPr>
      </w:pPr>
      <w:r w:rsidRPr="00F46BC0">
        <w:rPr>
          <w:rFonts w:ascii="Times New Roman" w:hAnsi="Times New Roman"/>
          <w:sz w:val="24"/>
          <w:szCs w:val="24"/>
        </w:rPr>
        <w:t>“Even when viewed ‘in the light most favorable to plaintiffs,” the facts alleged in plaintiffs’ complaint … admit a single conclusion, i.e., that the challenged curfew—implemented against the highly unusual and well-documented confluence of a deadly global pandemic and nationwide Floyd demonstrations—(1) served compelling governmental interests in curbing escalating crime and restoring public order, and (2) was narrowly tailored to those interests….  Accordingly, we affirm the challenged judgment of dismissal.”</w:t>
      </w:r>
    </w:p>
    <w:p w14:paraId="27C6E8C9" w14:textId="77777777" w:rsidR="00F46BC0" w:rsidRPr="00F46BC0" w:rsidRDefault="00F46BC0" w:rsidP="00F46BC0">
      <w:pPr>
        <w:pStyle w:val="NoSpacing"/>
        <w:rPr>
          <w:rFonts w:ascii="Times New Roman" w:hAnsi="Times New Roman"/>
          <w:sz w:val="24"/>
          <w:szCs w:val="24"/>
        </w:rPr>
      </w:pPr>
    </w:p>
    <w:p w14:paraId="14DD22E4" w14:textId="77777777" w:rsidR="00F46BC0" w:rsidRPr="00F46BC0" w:rsidRDefault="00F46BC0" w:rsidP="00F46BC0">
      <w:pPr>
        <w:pStyle w:val="NoSpacing"/>
        <w:ind w:left="720"/>
        <w:rPr>
          <w:rFonts w:ascii="Times New Roman" w:hAnsi="Times New Roman"/>
          <w:sz w:val="24"/>
          <w:szCs w:val="24"/>
        </w:rPr>
      </w:pPr>
      <w:r w:rsidRPr="00F46BC0">
        <w:rPr>
          <w:rFonts w:ascii="Times New Roman" w:hAnsi="Times New Roman"/>
          <w:sz w:val="24"/>
          <w:szCs w:val="24"/>
        </w:rPr>
        <w:t>“The curfew here … was imposed in response to documented violence, destruction, and looting ‘across multiple areas’ of a large, densely populated city….  The curfew here… was imposed in response to criminality ‘border[</w:t>
      </w:r>
      <w:proofErr w:type="spellStart"/>
      <w:r w:rsidRPr="00F46BC0">
        <w:rPr>
          <w:rFonts w:ascii="Times New Roman" w:hAnsi="Times New Roman"/>
          <w:sz w:val="24"/>
          <w:szCs w:val="24"/>
        </w:rPr>
        <w:t>ing</w:t>
      </w:r>
      <w:proofErr w:type="spellEnd"/>
      <w:r w:rsidRPr="00F46BC0">
        <w:rPr>
          <w:rFonts w:ascii="Times New Roman" w:hAnsi="Times New Roman"/>
          <w:sz w:val="24"/>
          <w:szCs w:val="24"/>
        </w:rPr>
        <w:t xml:space="preserve">] on chaos….’ Further … the </w:t>
      </w:r>
      <w:proofErr w:type="gramStart"/>
      <w:r w:rsidRPr="00F46BC0">
        <w:rPr>
          <w:rFonts w:ascii="Times New Roman" w:hAnsi="Times New Roman"/>
          <w:sz w:val="24"/>
          <w:szCs w:val="24"/>
        </w:rPr>
        <w:t>City</w:t>
      </w:r>
      <w:proofErr w:type="gramEnd"/>
      <w:r w:rsidRPr="00F46BC0">
        <w:rPr>
          <w:rFonts w:ascii="Times New Roman" w:hAnsi="Times New Roman"/>
          <w:sz w:val="24"/>
          <w:szCs w:val="24"/>
        </w:rPr>
        <w:t xml:space="preserve"> here employed a ‘measured approach’ to curb criminal activity…. It first relied on traditional policing; then, when criminality escalated, it supplemented traditional policing with a one-night curfew; then, when criminality continued to escalate, it extended the curfew for an additional six nights; and finally, when conditions improved and stabilized, the City ended the curfew one night early…. In these circumstances, even on strict scrutiny, we conclude as a matter of law that the extended curfew was narrowly tailored to employ the least restrictive means to serve the City's compelling public interest in curbing escalating crime and restoring order.”  </w:t>
      </w:r>
    </w:p>
    <w:p w14:paraId="2F95AB6A" w14:textId="77777777" w:rsidR="00F46BC0" w:rsidRPr="00F46BC0" w:rsidRDefault="00F46BC0" w:rsidP="00F46BC0">
      <w:pPr>
        <w:pStyle w:val="NoSpacing"/>
        <w:ind w:left="720"/>
        <w:rPr>
          <w:rFonts w:ascii="Times New Roman" w:hAnsi="Times New Roman"/>
          <w:sz w:val="24"/>
          <w:szCs w:val="24"/>
        </w:rPr>
      </w:pPr>
    </w:p>
    <w:p w14:paraId="1BDDD521" w14:textId="77777777" w:rsidR="00F46BC0" w:rsidRPr="00F46BC0" w:rsidRDefault="00F46BC0" w:rsidP="00F46BC0">
      <w:pPr>
        <w:pStyle w:val="NoSpacing"/>
        <w:rPr>
          <w:rFonts w:ascii="Times New Roman" w:hAnsi="Times New Roman"/>
          <w:b/>
          <w:bCs/>
          <w:sz w:val="24"/>
          <w:szCs w:val="24"/>
        </w:rPr>
      </w:pPr>
      <w:r w:rsidRPr="00F46BC0">
        <w:rPr>
          <w:rFonts w:ascii="Times New Roman" w:hAnsi="Times New Roman"/>
          <w:b/>
          <w:bCs/>
          <w:sz w:val="24"/>
          <w:szCs w:val="24"/>
        </w:rPr>
        <w:t xml:space="preserve">Legal Lesson Learned: Curfews are a lawful response to widespread violence. </w:t>
      </w:r>
    </w:p>
    <w:p w14:paraId="284621BD" w14:textId="77777777" w:rsidR="00F46BC0" w:rsidRPr="00F46BC0" w:rsidRDefault="00F46BC0" w:rsidP="00F46BC0">
      <w:pPr>
        <w:pStyle w:val="NoSpacing"/>
        <w:rPr>
          <w:rFonts w:ascii="Times New Roman" w:hAnsi="Times New Roman"/>
          <w:sz w:val="24"/>
          <w:szCs w:val="24"/>
        </w:rPr>
      </w:pPr>
    </w:p>
    <w:p w14:paraId="34FF1458" w14:textId="77777777" w:rsidR="00780B64" w:rsidRDefault="00780B64" w:rsidP="00F326E5">
      <w:pPr>
        <w:pStyle w:val="NoSpacing"/>
        <w:rPr>
          <w:rFonts w:ascii="Arial Black" w:hAnsi="Arial Black"/>
          <w:sz w:val="28"/>
          <w:szCs w:val="28"/>
        </w:rPr>
      </w:pPr>
    </w:p>
    <w:p w14:paraId="2CF15ECC" w14:textId="77777777" w:rsidR="0015698F" w:rsidRDefault="0015698F" w:rsidP="00F326E5">
      <w:pPr>
        <w:pStyle w:val="NoSpacing"/>
        <w:rPr>
          <w:rFonts w:ascii="Arial Black" w:hAnsi="Arial Black"/>
          <w:sz w:val="28"/>
          <w:szCs w:val="28"/>
        </w:rPr>
      </w:pPr>
    </w:p>
    <w:p w14:paraId="362ECEB9" w14:textId="07FA00FC" w:rsidR="00A755CA" w:rsidRDefault="00A755CA"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5</w:t>
      </w:r>
    </w:p>
    <w:p w14:paraId="457DBF89" w14:textId="77777777" w:rsidR="00A755CA" w:rsidRDefault="00A755CA" w:rsidP="00F326E5">
      <w:pPr>
        <w:pStyle w:val="NoSpacing"/>
        <w:rPr>
          <w:rFonts w:ascii="Arial Black" w:hAnsi="Arial Black"/>
          <w:sz w:val="28"/>
          <w:szCs w:val="28"/>
        </w:rPr>
      </w:pPr>
    </w:p>
    <w:p w14:paraId="6644BEEB" w14:textId="4C7245C7" w:rsidR="00A755CA" w:rsidRPr="005634B1" w:rsidRDefault="00A755CA" w:rsidP="00A755CA">
      <w:pPr>
        <w:pStyle w:val="NoSpacing"/>
        <w:rPr>
          <w:rFonts w:ascii="Arial Black" w:hAnsi="Arial Black"/>
          <w:sz w:val="28"/>
          <w:szCs w:val="28"/>
          <w:shd w:val="clear" w:color="auto" w:fill="FFFFFF"/>
        </w:rPr>
      </w:pPr>
      <w:r>
        <w:rPr>
          <w:rFonts w:ascii="Arial Black" w:hAnsi="Arial Black"/>
          <w:sz w:val="28"/>
          <w:szCs w:val="28"/>
          <w:shd w:val="clear" w:color="auto" w:fill="FFFFFF"/>
        </w:rPr>
        <w:t xml:space="preserve">IL: DEMOCRATIC NATIONAL CONVENTION - SECURITY ORDINANCE – </w:t>
      </w:r>
      <w:r w:rsidR="00FB156D">
        <w:rPr>
          <w:rFonts w:ascii="Arial Black" w:hAnsi="Arial Black"/>
          <w:sz w:val="28"/>
          <w:szCs w:val="28"/>
          <w:shd w:val="clear" w:color="auto" w:fill="FFFFFF"/>
        </w:rPr>
        <w:t xml:space="preserve">PROHIBITED </w:t>
      </w:r>
      <w:r>
        <w:rPr>
          <w:rFonts w:ascii="Arial Black" w:hAnsi="Arial Black"/>
          <w:sz w:val="28"/>
          <w:szCs w:val="28"/>
          <w:shd w:val="clear" w:color="auto" w:fill="FFFFFF"/>
        </w:rPr>
        <w:t xml:space="preserve">OBJECTS “SAFETY HAZARD” - LAWFUL </w:t>
      </w:r>
    </w:p>
    <w:p w14:paraId="765D3375" w14:textId="77777777" w:rsidR="00A755CA" w:rsidRDefault="00A755CA" w:rsidP="00A755CA">
      <w:pPr>
        <w:pStyle w:val="NoSpacing"/>
        <w:rPr>
          <w:rFonts w:ascii="Times New Roman" w:hAnsi="Times New Roman"/>
          <w:sz w:val="24"/>
          <w:szCs w:val="24"/>
          <w:shd w:val="clear" w:color="auto" w:fill="FFFFFF"/>
        </w:rPr>
      </w:pPr>
    </w:p>
    <w:p w14:paraId="708BF388" w14:textId="77777777" w:rsidR="00A755CA" w:rsidRDefault="00A755CA" w:rsidP="00A755CA">
      <w:pPr>
        <w:pStyle w:val="NoSpacing"/>
        <w:rPr>
          <w:rFonts w:ascii="Times New Roman" w:hAnsi="Times New Roman"/>
          <w:color w:val="454545"/>
          <w:sz w:val="24"/>
          <w:szCs w:val="24"/>
          <w:shd w:val="clear" w:color="auto" w:fill="FFFFFF"/>
        </w:rPr>
      </w:pPr>
      <w:r>
        <w:rPr>
          <w:rFonts w:ascii="Times New Roman" w:hAnsi="Times New Roman"/>
          <w:sz w:val="24"/>
          <w:szCs w:val="24"/>
          <w:shd w:val="clear" w:color="auto" w:fill="FFFFFF"/>
        </w:rPr>
        <w:t xml:space="preserve">On July 19, 2024. </w:t>
      </w:r>
      <w:r w:rsidRPr="0080280F">
        <w:rPr>
          <w:rFonts w:ascii="Times New Roman" w:hAnsi="Times New Roman"/>
          <w:sz w:val="24"/>
          <w:szCs w:val="24"/>
          <w:shd w:val="clear" w:color="auto" w:fill="FFFFFF"/>
        </w:rPr>
        <w:t xml:space="preserve">in </w:t>
      </w:r>
      <w:r w:rsidRPr="0080280F">
        <w:rPr>
          <w:rFonts w:ascii="Times New Roman" w:hAnsi="Times New Roman"/>
          <w:color w:val="454545"/>
          <w:sz w:val="24"/>
          <w:szCs w:val="24"/>
          <w:u w:val="single"/>
          <w:shd w:val="clear" w:color="auto" w:fill="FFFFFF"/>
        </w:rPr>
        <w:t>Coalition for Reproductive Justice &amp; LGBTQ+ Liberation, et al., Plaintiffs, v. City of Chicago</w:t>
      </w:r>
      <w:r>
        <w:rPr>
          <w:rFonts w:ascii="Times New Roman" w:hAnsi="Times New Roman"/>
          <w:b/>
          <w:bCs/>
          <w:color w:val="454545"/>
          <w:sz w:val="24"/>
          <w:szCs w:val="24"/>
          <w:shd w:val="clear" w:color="auto" w:fill="FFFFFF"/>
        </w:rPr>
        <w:t xml:space="preserve">, </w:t>
      </w:r>
      <w:r>
        <w:rPr>
          <w:rFonts w:ascii="Times New Roman" w:hAnsi="Times New Roman"/>
          <w:color w:val="454545"/>
          <w:sz w:val="24"/>
          <w:szCs w:val="24"/>
          <w:shd w:val="clear" w:color="auto" w:fill="FFFFFF"/>
        </w:rPr>
        <w:t xml:space="preserve">U.S. District Court Judge Thomas M. Durkin denied an injunction sought by a group that plans to hold demonstrations at the Convention.  On April 17, 2024, the </w:t>
      </w:r>
      <w:proofErr w:type="gramStart"/>
      <w:r>
        <w:rPr>
          <w:rFonts w:ascii="Times New Roman" w:hAnsi="Times New Roman"/>
          <w:color w:val="454545"/>
          <w:sz w:val="24"/>
          <w:szCs w:val="24"/>
          <w:shd w:val="clear" w:color="auto" w:fill="FFFFFF"/>
        </w:rPr>
        <w:t>City</w:t>
      </w:r>
      <w:proofErr w:type="gramEnd"/>
      <w:r>
        <w:rPr>
          <w:rFonts w:ascii="Times New Roman" w:hAnsi="Times New Roman"/>
          <w:color w:val="454545"/>
          <w:sz w:val="24"/>
          <w:szCs w:val="24"/>
          <w:shd w:val="clear" w:color="auto" w:fill="FFFFFF"/>
        </w:rPr>
        <w:t xml:space="preserve"> enacted an ordinance that listed items prohibited in the “Security Footprint” including </w:t>
      </w:r>
      <w:r w:rsidRPr="0091585B">
        <w:rPr>
          <w:rFonts w:ascii="Times New Roman" w:hAnsi="Times New Roman"/>
          <w:color w:val="454545"/>
          <w:sz w:val="24"/>
          <w:szCs w:val="24"/>
          <w:shd w:val="clear" w:color="auto" w:fill="FFFFFF"/>
        </w:rPr>
        <w:t>laptops, sealed packages, drones, firearms,</w:t>
      </w:r>
      <w:r>
        <w:rPr>
          <w:rFonts w:ascii="Times New Roman" w:hAnsi="Times New Roman"/>
          <w:color w:val="454545"/>
          <w:sz w:val="24"/>
          <w:szCs w:val="24"/>
          <w:shd w:val="clear" w:color="auto" w:fill="FFFFFF"/>
        </w:rPr>
        <w:t xml:space="preserve"> </w:t>
      </w:r>
      <w:r w:rsidRPr="0091585B">
        <w:rPr>
          <w:rFonts w:ascii="Times New Roman" w:hAnsi="Times New Roman"/>
          <w:color w:val="454545"/>
          <w:sz w:val="24"/>
          <w:szCs w:val="24"/>
          <w:shd w:val="clear" w:color="auto" w:fill="FFFFFF"/>
        </w:rPr>
        <w:t>ammunition, tents, “[a]</w:t>
      </w:r>
      <w:proofErr w:type="spellStart"/>
      <w:r w:rsidRPr="0091585B">
        <w:rPr>
          <w:rFonts w:ascii="Times New Roman" w:hAnsi="Times New Roman"/>
          <w:color w:val="454545"/>
          <w:sz w:val="24"/>
          <w:szCs w:val="24"/>
          <w:shd w:val="clear" w:color="auto" w:fill="FFFFFF"/>
        </w:rPr>
        <w:t>ny</w:t>
      </w:r>
      <w:proofErr w:type="spellEnd"/>
      <w:r w:rsidRPr="0091585B">
        <w:rPr>
          <w:rFonts w:ascii="Times New Roman" w:hAnsi="Times New Roman"/>
          <w:color w:val="454545"/>
          <w:sz w:val="24"/>
          <w:szCs w:val="24"/>
          <w:shd w:val="clear" w:color="auto" w:fill="FFFFFF"/>
        </w:rPr>
        <w:t xml:space="preserve"> pointed object(s) including knives of any kind</w:t>
      </w:r>
      <w:r>
        <w:rPr>
          <w:rFonts w:ascii="Times New Roman" w:hAnsi="Times New Roman"/>
          <w:color w:val="454545"/>
          <w:sz w:val="24"/>
          <w:szCs w:val="24"/>
          <w:shd w:val="clear" w:color="auto" w:fill="FFFFFF"/>
        </w:rPr>
        <w:t>” and other items that are a “</w:t>
      </w:r>
      <w:r w:rsidRPr="00763162">
        <w:rPr>
          <w:rFonts w:ascii="Times New Roman" w:hAnsi="Times New Roman"/>
          <w:sz w:val="24"/>
          <w:szCs w:val="24"/>
          <w:shd w:val="clear" w:color="auto" w:fill="FFFFFF"/>
        </w:rPr>
        <w:t>potential safety hazard</w:t>
      </w:r>
      <w:r>
        <w:rPr>
          <w:rFonts w:ascii="Times New Roman" w:hAnsi="Times New Roman"/>
          <w:sz w:val="24"/>
          <w:szCs w:val="24"/>
          <w:shd w:val="clear" w:color="auto" w:fill="FFFFFF"/>
        </w:rPr>
        <w:t xml:space="preserve">.” </w:t>
      </w:r>
      <w:r w:rsidRPr="00763162">
        <w:rPr>
          <w:rFonts w:ascii="Times New Roman" w:hAnsi="Times New Roman"/>
          <w:sz w:val="24"/>
          <w:szCs w:val="24"/>
          <w:shd w:val="clear" w:color="auto" w:fill="FFFFFF"/>
        </w:rPr>
        <w:t xml:space="preserve"> </w:t>
      </w:r>
      <w:r w:rsidRPr="00515584">
        <w:rPr>
          <w:rFonts w:ascii="Times New Roman" w:hAnsi="Times New Roman"/>
          <w:color w:val="454545"/>
          <w:sz w:val="24"/>
          <w:szCs w:val="24"/>
          <w:shd w:val="clear" w:color="auto" w:fill="FFFFFF"/>
        </w:rPr>
        <w:t>Plaintiffs provide affidavits stating, for example, that they intend to bring</w:t>
      </w:r>
      <w:r>
        <w:rPr>
          <w:rFonts w:ascii="Times New Roman" w:hAnsi="Times New Roman"/>
          <w:color w:val="454545"/>
          <w:sz w:val="24"/>
          <w:szCs w:val="24"/>
          <w:shd w:val="clear" w:color="auto" w:fill="FFFFFF"/>
        </w:rPr>
        <w:t xml:space="preserve"> </w:t>
      </w:r>
      <w:r w:rsidRPr="00515584">
        <w:rPr>
          <w:rFonts w:ascii="Times New Roman" w:hAnsi="Times New Roman"/>
          <w:color w:val="454545"/>
          <w:sz w:val="24"/>
          <w:szCs w:val="24"/>
          <w:shd w:val="clear" w:color="auto" w:fill="FFFFFF"/>
        </w:rPr>
        <w:t xml:space="preserve">pens, first aid kits containing scissors, and </w:t>
      </w:r>
      <w:r>
        <w:rPr>
          <w:rFonts w:ascii="Times New Roman" w:hAnsi="Times New Roman"/>
          <w:color w:val="454545"/>
          <w:sz w:val="24"/>
          <w:szCs w:val="24"/>
          <w:shd w:val="clear" w:color="auto" w:fill="FFFFFF"/>
        </w:rPr>
        <w:t>‘</w:t>
      </w:r>
      <w:r w:rsidRPr="00515584">
        <w:rPr>
          <w:rFonts w:ascii="Times New Roman" w:hAnsi="Times New Roman"/>
          <w:color w:val="454545"/>
          <w:sz w:val="24"/>
          <w:szCs w:val="24"/>
          <w:shd w:val="clear" w:color="auto" w:fill="FFFFFF"/>
        </w:rPr>
        <w:t>protest buttons that attach with a pin in</w:t>
      </w:r>
      <w:r>
        <w:rPr>
          <w:rFonts w:ascii="Times New Roman" w:hAnsi="Times New Roman"/>
          <w:color w:val="454545"/>
          <w:sz w:val="24"/>
          <w:szCs w:val="24"/>
          <w:shd w:val="clear" w:color="auto" w:fill="FFFFFF"/>
        </w:rPr>
        <w:t xml:space="preserve"> </w:t>
      </w:r>
      <w:r w:rsidRPr="00515584">
        <w:rPr>
          <w:rFonts w:ascii="Times New Roman" w:hAnsi="Times New Roman"/>
          <w:color w:val="454545"/>
          <w:sz w:val="24"/>
          <w:szCs w:val="24"/>
          <w:shd w:val="clear" w:color="auto" w:fill="FFFFFF"/>
        </w:rPr>
        <w:t>the back</w:t>
      </w:r>
      <w:r>
        <w:rPr>
          <w:rFonts w:ascii="Times New Roman" w:hAnsi="Times New Roman"/>
          <w:color w:val="454545"/>
          <w:sz w:val="24"/>
          <w:szCs w:val="24"/>
          <w:shd w:val="clear" w:color="auto" w:fill="FFFFFF"/>
        </w:rPr>
        <w:t xml:space="preserve">’ </w:t>
      </w:r>
      <w:r w:rsidRPr="00515584">
        <w:rPr>
          <w:rFonts w:ascii="Times New Roman" w:hAnsi="Times New Roman"/>
          <w:color w:val="454545"/>
          <w:sz w:val="24"/>
          <w:szCs w:val="24"/>
          <w:shd w:val="clear" w:color="auto" w:fill="FFFFFF"/>
        </w:rPr>
        <w:t>into the Security Footprint.</w:t>
      </w:r>
      <w:r>
        <w:rPr>
          <w:rFonts w:ascii="Times New Roman" w:hAnsi="Times New Roman"/>
          <w:color w:val="454545"/>
          <w:sz w:val="24"/>
          <w:szCs w:val="24"/>
          <w:shd w:val="clear" w:color="auto" w:fill="FFFFFF"/>
        </w:rPr>
        <w:t xml:space="preserve"> Judge concluded. “</w:t>
      </w:r>
      <w:r w:rsidRPr="000430B3">
        <w:rPr>
          <w:rFonts w:ascii="Times New Roman" w:hAnsi="Times New Roman"/>
          <w:color w:val="454545"/>
          <w:sz w:val="24"/>
          <w:szCs w:val="24"/>
          <w:shd w:val="clear" w:color="auto" w:fill="FFFFFF"/>
        </w:rPr>
        <w:t>It is likely that Plaintiffs will be asked</w:t>
      </w:r>
      <w:r>
        <w:rPr>
          <w:rFonts w:ascii="Times New Roman" w:hAnsi="Times New Roman"/>
          <w:color w:val="454545"/>
          <w:sz w:val="24"/>
          <w:szCs w:val="24"/>
          <w:shd w:val="clear" w:color="auto" w:fill="FFFFFF"/>
        </w:rPr>
        <w:t xml:space="preserve"> </w:t>
      </w:r>
      <w:r w:rsidRPr="000430B3">
        <w:rPr>
          <w:rFonts w:ascii="Times New Roman" w:hAnsi="Times New Roman"/>
          <w:color w:val="454545"/>
          <w:sz w:val="24"/>
          <w:szCs w:val="24"/>
          <w:shd w:val="clear" w:color="auto" w:fill="FFFFFF"/>
        </w:rPr>
        <w:t>to discard certain items (such as the scissors) before they are allowed entry into the</w:t>
      </w:r>
      <w:r>
        <w:rPr>
          <w:rFonts w:ascii="Times New Roman" w:hAnsi="Times New Roman"/>
          <w:color w:val="454545"/>
          <w:sz w:val="24"/>
          <w:szCs w:val="24"/>
          <w:shd w:val="clear" w:color="auto" w:fill="FFFFFF"/>
        </w:rPr>
        <w:t xml:space="preserve"> </w:t>
      </w:r>
      <w:r w:rsidRPr="000430B3">
        <w:rPr>
          <w:rFonts w:ascii="Times New Roman" w:hAnsi="Times New Roman"/>
          <w:color w:val="454545"/>
          <w:sz w:val="24"/>
          <w:szCs w:val="24"/>
          <w:shd w:val="clear" w:color="auto" w:fill="FFFFFF"/>
        </w:rPr>
        <w:t xml:space="preserve">Security Footprint, just as happens at airports </w:t>
      </w:r>
      <w:proofErr w:type="gramStart"/>
      <w:r w:rsidRPr="000430B3">
        <w:rPr>
          <w:rFonts w:ascii="Times New Roman" w:hAnsi="Times New Roman"/>
          <w:color w:val="454545"/>
          <w:sz w:val="24"/>
          <w:szCs w:val="24"/>
          <w:shd w:val="clear" w:color="auto" w:fill="FFFFFF"/>
        </w:rPr>
        <w:t>on a daily basis</w:t>
      </w:r>
      <w:proofErr w:type="gramEnd"/>
      <w:r w:rsidRPr="000430B3">
        <w:rPr>
          <w:rFonts w:ascii="Times New Roman" w:hAnsi="Times New Roman"/>
          <w:color w:val="454545"/>
          <w:sz w:val="24"/>
          <w:szCs w:val="24"/>
          <w:shd w:val="clear" w:color="auto" w:fill="FFFFFF"/>
        </w:rPr>
        <w:t>. This would not</w:t>
      </w:r>
      <w:r>
        <w:rPr>
          <w:rFonts w:ascii="Times New Roman" w:hAnsi="Times New Roman"/>
          <w:color w:val="454545"/>
          <w:sz w:val="24"/>
          <w:szCs w:val="24"/>
          <w:shd w:val="clear" w:color="auto" w:fill="FFFFFF"/>
        </w:rPr>
        <w:t xml:space="preserve"> </w:t>
      </w:r>
      <w:r w:rsidRPr="000430B3">
        <w:rPr>
          <w:rFonts w:ascii="Times New Roman" w:hAnsi="Times New Roman"/>
          <w:color w:val="454545"/>
          <w:sz w:val="24"/>
          <w:szCs w:val="24"/>
          <w:shd w:val="clear" w:color="auto" w:fill="FFFFFF"/>
        </w:rPr>
        <w:t>constitute a First Amendment injury as Plaintiffs would, upon discarding such</w:t>
      </w:r>
      <w:r>
        <w:rPr>
          <w:rFonts w:ascii="Times New Roman" w:hAnsi="Times New Roman"/>
          <w:color w:val="454545"/>
          <w:sz w:val="24"/>
          <w:szCs w:val="24"/>
          <w:shd w:val="clear" w:color="auto" w:fill="FFFFFF"/>
        </w:rPr>
        <w:t xml:space="preserve"> </w:t>
      </w:r>
      <w:r w:rsidRPr="000430B3">
        <w:rPr>
          <w:rFonts w:ascii="Times New Roman" w:hAnsi="Times New Roman"/>
          <w:color w:val="454545"/>
          <w:sz w:val="24"/>
          <w:szCs w:val="24"/>
          <w:shd w:val="clear" w:color="auto" w:fill="FFFFFF"/>
        </w:rPr>
        <w:t>innocuous items, likely be allowed entry into the Security Footprint with the</w:t>
      </w:r>
      <w:r>
        <w:rPr>
          <w:rFonts w:ascii="Times New Roman" w:hAnsi="Times New Roman"/>
          <w:color w:val="454545"/>
          <w:sz w:val="24"/>
          <w:szCs w:val="24"/>
          <w:shd w:val="clear" w:color="auto" w:fill="FFFFFF"/>
        </w:rPr>
        <w:t xml:space="preserve"> </w:t>
      </w:r>
      <w:r w:rsidRPr="000430B3">
        <w:rPr>
          <w:rFonts w:ascii="Times New Roman" w:hAnsi="Times New Roman"/>
          <w:color w:val="454545"/>
          <w:sz w:val="24"/>
          <w:szCs w:val="24"/>
          <w:shd w:val="clear" w:color="auto" w:fill="FFFFFF"/>
        </w:rPr>
        <w:t>subsequent ability to exercise their First Amendment rights.</w:t>
      </w:r>
      <w:r>
        <w:rPr>
          <w:rFonts w:ascii="Times New Roman" w:hAnsi="Times New Roman"/>
          <w:color w:val="454545"/>
          <w:sz w:val="24"/>
          <w:szCs w:val="24"/>
          <w:shd w:val="clear" w:color="auto" w:fill="FFFFFF"/>
        </w:rPr>
        <w:t xml:space="preserve"> </w:t>
      </w:r>
      <w:hyperlink r:id="rId677" w:history="1">
        <w:r w:rsidRPr="004C2534">
          <w:rPr>
            <w:rStyle w:val="Hyperlink"/>
            <w:rFonts w:ascii="Times New Roman" w:hAnsi="Times New Roman"/>
            <w:sz w:val="24"/>
            <w:szCs w:val="24"/>
            <w:shd w:val="clear" w:color="auto" w:fill="FFFFFF"/>
          </w:rPr>
          <w:t>https://www.courthousenews.com/wp-content/uploads/2024/07/LGBTQ-DNC-ordinance-block-denial.pdf</w:t>
        </w:r>
      </w:hyperlink>
      <w:r>
        <w:rPr>
          <w:rFonts w:ascii="Times New Roman" w:hAnsi="Times New Roman"/>
          <w:color w:val="454545"/>
          <w:sz w:val="24"/>
          <w:szCs w:val="24"/>
          <w:shd w:val="clear" w:color="auto" w:fill="FFFFFF"/>
        </w:rPr>
        <w:t xml:space="preserve"> </w:t>
      </w:r>
    </w:p>
    <w:p w14:paraId="440A9521" w14:textId="77777777" w:rsidR="00A755CA" w:rsidRDefault="00A755CA" w:rsidP="00A755CA">
      <w:pPr>
        <w:pStyle w:val="NoSpacing"/>
        <w:rPr>
          <w:rFonts w:ascii="Times New Roman" w:hAnsi="Times New Roman"/>
          <w:color w:val="454545"/>
          <w:sz w:val="24"/>
          <w:szCs w:val="24"/>
          <w:shd w:val="clear" w:color="auto" w:fill="FFFFFF"/>
        </w:rPr>
      </w:pPr>
    </w:p>
    <w:p w14:paraId="6507DC0B" w14:textId="77777777" w:rsidR="00A755CA" w:rsidRDefault="00A755CA" w:rsidP="00A755CA">
      <w:pPr>
        <w:pStyle w:val="NoSpacing"/>
        <w:rPr>
          <w:rFonts w:ascii="Times New Roman" w:hAnsi="Times New Roman"/>
          <w:color w:val="454545"/>
          <w:sz w:val="24"/>
          <w:szCs w:val="24"/>
          <w:shd w:val="clear" w:color="auto" w:fill="FFFFFF"/>
        </w:rPr>
      </w:pPr>
      <w:r>
        <w:rPr>
          <w:rFonts w:ascii="Times New Roman" w:hAnsi="Times New Roman"/>
          <w:color w:val="454545"/>
          <w:sz w:val="24"/>
          <w:szCs w:val="24"/>
          <w:shd w:val="clear" w:color="auto" w:fill="FFFFFF"/>
        </w:rPr>
        <w:t>THE COURT HELD:</w:t>
      </w:r>
    </w:p>
    <w:p w14:paraId="79916FA7" w14:textId="77777777" w:rsidR="00A755CA" w:rsidRDefault="00A755CA" w:rsidP="00A755CA">
      <w:pPr>
        <w:pStyle w:val="NoSpacing"/>
        <w:rPr>
          <w:rFonts w:ascii="Times New Roman" w:hAnsi="Times New Roman"/>
          <w:color w:val="454545"/>
          <w:sz w:val="24"/>
          <w:szCs w:val="24"/>
          <w:shd w:val="clear" w:color="auto" w:fill="FFFFFF"/>
        </w:rPr>
      </w:pPr>
    </w:p>
    <w:p w14:paraId="5B755BD1" w14:textId="77777777" w:rsidR="00A755CA" w:rsidRDefault="00A755CA" w:rsidP="00A755CA">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 xml:space="preserve">Plaintiffs take issue with the phrase </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potential safety hazard</w:t>
      </w:r>
      <w:r>
        <w:rPr>
          <w:rFonts w:ascii="Times New Roman" w:hAnsi="Times New Roman"/>
          <w:sz w:val="24"/>
          <w:szCs w:val="24"/>
          <w:shd w:val="clear" w:color="auto" w:fill="FFFFFF"/>
        </w:rPr>
        <w:t xml:space="preserve">’ </w:t>
      </w:r>
      <w:r w:rsidRPr="00F06650">
        <w:rPr>
          <w:rFonts w:ascii="Times New Roman" w:hAnsi="Times New Roman"/>
          <w:sz w:val="24"/>
          <w:szCs w:val="24"/>
          <w:shd w:val="clear" w:color="auto" w:fill="FFFFFF"/>
        </w:rPr>
        <w:t>and argue that</w:t>
      </w:r>
      <w:r>
        <w:rPr>
          <w:rFonts w:ascii="Times New Roman" w:hAnsi="Times New Roman"/>
          <w:sz w:val="24"/>
          <w:szCs w:val="24"/>
          <w:shd w:val="clear" w:color="auto" w:fill="FFFFFF"/>
        </w:rPr>
        <w:t xml:space="preserve"> </w:t>
      </w:r>
      <w:r w:rsidRPr="00F06650">
        <w:rPr>
          <w:rFonts w:ascii="Times New Roman" w:hAnsi="Times New Roman"/>
          <w:sz w:val="24"/>
          <w:szCs w:val="24"/>
          <w:shd w:val="clear" w:color="auto" w:fill="FFFFFF"/>
        </w:rPr>
        <w:t xml:space="preserve">the word </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hazard</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 xml:space="preserve"> is not sufficiently defined</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 xml:space="preserve"> But words are sufficiently</w:t>
      </w:r>
      <w:r>
        <w:rPr>
          <w:rFonts w:ascii="Times New Roman" w:hAnsi="Times New Roman"/>
          <w:sz w:val="24"/>
          <w:szCs w:val="24"/>
          <w:shd w:val="clear" w:color="auto" w:fill="FFFFFF"/>
        </w:rPr>
        <w:t xml:space="preserve"> </w:t>
      </w:r>
      <w:r w:rsidRPr="00F06650">
        <w:rPr>
          <w:rFonts w:ascii="Times New Roman" w:hAnsi="Times New Roman"/>
          <w:sz w:val="24"/>
          <w:szCs w:val="24"/>
          <w:shd w:val="clear" w:color="auto" w:fill="FFFFFF"/>
        </w:rPr>
        <w:t xml:space="preserve">defined where an ordinary person would </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use and understand</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 xml:space="preserve"> those words in</w:t>
      </w:r>
      <w:r>
        <w:rPr>
          <w:rFonts w:ascii="Times New Roman" w:hAnsi="Times New Roman"/>
          <w:sz w:val="24"/>
          <w:szCs w:val="24"/>
          <w:shd w:val="clear" w:color="auto" w:fill="FFFFFF"/>
        </w:rPr>
        <w:t xml:space="preserve"> ‘</w:t>
      </w:r>
      <w:r w:rsidRPr="00F06650">
        <w:rPr>
          <w:rFonts w:ascii="Times New Roman" w:hAnsi="Times New Roman"/>
          <w:sz w:val="24"/>
          <w:szCs w:val="24"/>
          <w:shd w:val="clear" w:color="auto" w:fill="FFFFFF"/>
        </w:rPr>
        <w:t>normal life.</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 xml:space="preserve"> Curry, 918 F.3d at </w:t>
      </w:r>
      <w:proofErr w:type="gramStart"/>
      <w:r w:rsidRPr="00F06650">
        <w:rPr>
          <w:rFonts w:ascii="Times New Roman" w:hAnsi="Times New Roman"/>
          <w:sz w:val="24"/>
          <w:szCs w:val="24"/>
          <w:shd w:val="clear" w:color="auto" w:fill="FFFFFF"/>
        </w:rPr>
        <w:t>540 (</w:t>
      </w:r>
      <w:r>
        <w:rPr>
          <w:rFonts w:ascii="Times New Roman" w:hAnsi="Times New Roman"/>
          <w:sz w:val="24"/>
          <w:szCs w:val="24"/>
          <w:shd w:val="clear" w:color="auto" w:fill="FFFFFF"/>
        </w:rPr>
        <w:t>‘</w:t>
      </w:r>
      <w:proofErr w:type="gramEnd"/>
      <w:r w:rsidRPr="00F06650">
        <w:rPr>
          <w:rFonts w:ascii="Times New Roman" w:hAnsi="Times New Roman"/>
          <w:sz w:val="24"/>
          <w:szCs w:val="24"/>
          <w:shd w:val="clear" w:color="auto" w:fill="FFFFFF"/>
        </w:rPr>
        <w:t xml:space="preserve">Even a </w:t>
      </w:r>
      <w:proofErr w:type="gramStart"/>
      <w:r w:rsidRPr="00F06650">
        <w:rPr>
          <w:rFonts w:ascii="Times New Roman" w:hAnsi="Times New Roman"/>
          <w:sz w:val="24"/>
          <w:szCs w:val="24"/>
          <w:shd w:val="clear" w:color="auto" w:fill="FFFFFF"/>
        </w:rPr>
        <w:t>protean word</w:t>
      </w:r>
      <w:proofErr w:type="gramEnd"/>
      <w:r w:rsidRPr="00F06650">
        <w:rPr>
          <w:rFonts w:ascii="Times New Roman" w:hAnsi="Times New Roman"/>
          <w:sz w:val="24"/>
          <w:szCs w:val="24"/>
          <w:shd w:val="clear" w:color="auto" w:fill="FFFFFF"/>
        </w:rPr>
        <w:t xml:space="preserve"> such as ‘reasonable’ has</w:t>
      </w:r>
      <w:r>
        <w:rPr>
          <w:rFonts w:ascii="Times New Roman" w:hAnsi="Times New Roman"/>
          <w:sz w:val="24"/>
          <w:szCs w:val="24"/>
          <w:shd w:val="clear" w:color="auto" w:fill="FFFFFF"/>
        </w:rPr>
        <w:t xml:space="preserve"> </w:t>
      </w:r>
      <w:r w:rsidRPr="00F06650">
        <w:rPr>
          <w:rFonts w:ascii="Times New Roman" w:hAnsi="Times New Roman"/>
          <w:sz w:val="24"/>
          <w:szCs w:val="24"/>
          <w:shd w:val="clear" w:color="auto" w:fill="FFFFFF"/>
        </w:rPr>
        <w:t>enough of a core to allow its use in situations where rights to speak are at issue</w:t>
      </w:r>
      <w:r>
        <w:rPr>
          <w:rFonts w:ascii="Times New Roman" w:hAnsi="Times New Roman"/>
          <w:sz w:val="24"/>
          <w:szCs w:val="24"/>
          <w:shd w:val="clear" w:color="auto" w:fill="FFFFFF"/>
        </w:rPr>
        <w:t>.’</w:t>
      </w:r>
      <w:r w:rsidRPr="00F0665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So</w:t>
      </w:r>
      <w:r w:rsidRPr="008F6138">
        <w:rPr>
          <w:rFonts w:ascii="Times New Roman" w:hAnsi="Times New Roman"/>
          <w:sz w:val="24"/>
          <w:szCs w:val="24"/>
          <w:shd w:val="clear" w:color="auto" w:fill="FFFFFF"/>
        </w:rPr>
        <w:t>o here, an ordinary person understands what a “hazard” is in the context of their</w:t>
      </w:r>
      <w:r>
        <w:rPr>
          <w:rFonts w:ascii="Times New Roman" w:hAnsi="Times New Roman"/>
          <w:sz w:val="24"/>
          <w:szCs w:val="24"/>
          <w:shd w:val="clear" w:color="auto" w:fill="FFFFFF"/>
        </w:rPr>
        <w:t xml:space="preserve"> </w:t>
      </w:r>
      <w:r w:rsidRPr="008F6138">
        <w:rPr>
          <w:rFonts w:ascii="Times New Roman" w:hAnsi="Times New Roman"/>
          <w:sz w:val="24"/>
          <w:szCs w:val="24"/>
          <w:shd w:val="clear" w:color="auto" w:fill="FFFFFF"/>
        </w:rPr>
        <w:t>everyday life. What’s more, the Ordinance supplements and clarifies the phrase</w:t>
      </w:r>
      <w:r>
        <w:rPr>
          <w:rFonts w:ascii="Times New Roman" w:hAnsi="Times New Roman"/>
          <w:sz w:val="24"/>
          <w:szCs w:val="24"/>
          <w:shd w:val="clear" w:color="auto" w:fill="FFFFFF"/>
        </w:rPr>
        <w:t xml:space="preserve"> ‘</w:t>
      </w:r>
      <w:r w:rsidRPr="008F6138">
        <w:rPr>
          <w:rFonts w:ascii="Times New Roman" w:hAnsi="Times New Roman"/>
          <w:sz w:val="24"/>
          <w:szCs w:val="24"/>
          <w:shd w:val="clear" w:color="auto" w:fill="FFFFFF"/>
        </w:rPr>
        <w:t>potential safety hazard</w:t>
      </w:r>
      <w:r>
        <w:rPr>
          <w:rFonts w:ascii="Times New Roman" w:hAnsi="Times New Roman"/>
          <w:sz w:val="24"/>
          <w:szCs w:val="24"/>
          <w:shd w:val="clear" w:color="auto" w:fill="FFFFFF"/>
        </w:rPr>
        <w:t>’</w:t>
      </w:r>
      <w:r w:rsidRPr="008F6138">
        <w:rPr>
          <w:rFonts w:ascii="Times New Roman" w:hAnsi="Times New Roman"/>
          <w:sz w:val="24"/>
          <w:szCs w:val="24"/>
          <w:shd w:val="clear" w:color="auto" w:fill="FFFFFF"/>
        </w:rPr>
        <w:t xml:space="preserve"> with a detailed list of prohibited items set forth in Exhibit</w:t>
      </w:r>
      <w:r>
        <w:rPr>
          <w:rFonts w:ascii="Times New Roman" w:hAnsi="Times New Roman"/>
          <w:sz w:val="24"/>
          <w:szCs w:val="24"/>
          <w:shd w:val="clear" w:color="auto" w:fill="FFFFFF"/>
        </w:rPr>
        <w:t xml:space="preserve"> </w:t>
      </w:r>
      <w:r w:rsidRPr="008F6138">
        <w:rPr>
          <w:rFonts w:ascii="Times New Roman" w:hAnsi="Times New Roman"/>
          <w:sz w:val="24"/>
          <w:szCs w:val="24"/>
          <w:shd w:val="clear" w:color="auto" w:fill="FFFFFF"/>
        </w:rPr>
        <w:t>A.</w:t>
      </w:r>
      <w:r>
        <w:rPr>
          <w:rFonts w:ascii="Times New Roman" w:hAnsi="Times New Roman"/>
          <w:sz w:val="24"/>
          <w:szCs w:val="24"/>
          <w:shd w:val="clear" w:color="auto" w:fill="FFFFFF"/>
        </w:rPr>
        <w:t>”</w:t>
      </w:r>
    </w:p>
    <w:p w14:paraId="5173E5D3" w14:textId="77777777" w:rsidR="00A755CA" w:rsidRDefault="00A755CA" w:rsidP="00F326E5">
      <w:pPr>
        <w:pStyle w:val="NoSpacing"/>
        <w:rPr>
          <w:rFonts w:ascii="Arial Black" w:hAnsi="Arial Black"/>
          <w:sz w:val="28"/>
          <w:szCs w:val="28"/>
        </w:rPr>
      </w:pPr>
    </w:p>
    <w:p w14:paraId="4A5F5EF6" w14:textId="77777777" w:rsidR="00557000" w:rsidRPr="009E73BB" w:rsidRDefault="00557000" w:rsidP="00557000">
      <w:pPr>
        <w:pStyle w:val="NoSpacing"/>
        <w:rPr>
          <w:rFonts w:ascii="Times New Roman" w:hAnsi="Times New Roman"/>
          <w:b/>
          <w:bCs/>
          <w:color w:val="454545"/>
          <w:sz w:val="24"/>
          <w:szCs w:val="24"/>
          <w:shd w:val="clear" w:color="auto" w:fill="FFFFFF"/>
        </w:rPr>
      </w:pPr>
      <w:r>
        <w:rPr>
          <w:rFonts w:ascii="Times New Roman" w:hAnsi="Times New Roman"/>
          <w:b/>
          <w:bCs/>
          <w:color w:val="454545"/>
          <w:sz w:val="24"/>
          <w:szCs w:val="24"/>
          <w:shd w:val="clear" w:color="auto" w:fill="FFFFFF"/>
        </w:rPr>
        <w:t xml:space="preserve">Legal Lesson Learned: Security ordinance is lawful, and necessary to protect all attending the Convention.  </w:t>
      </w:r>
    </w:p>
    <w:p w14:paraId="47CAD03E" w14:textId="77777777" w:rsidR="00557000" w:rsidRPr="00D30702" w:rsidRDefault="00557000" w:rsidP="00557000">
      <w:pPr>
        <w:rPr>
          <w:rFonts w:ascii="Times New Roman" w:hAnsi="Times New Roman"/>
          <w:bCs/>
          <w:sz w:val="20"/>
          <w:szCs w:val="20"/>
        </w:rPr>
      </w:pPr>
    </w:p>
    <w:p w14:paraId="4973C308" w14:textId="147AE023" w:rsidR="00A755CA" w:rsidRDefault="00557000"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4</w:t>
      </w:r>
    </w:p>
    <w:p w14:paraId="4DEC2107" w14:textId="77777777" w:rsidR="00557000" w:rsidRDefault="00557000" w:rsidP="00F326E5">
      <w:pPr>
        <w:pStyle w:val="NoSpacing"/>
        <w:rPr>
          <w:rFonts w:ascii="Arial Black" w:hAnsi="Arial Black"/>
          <w:sz w:val="28"/>
          <w:szCs w:val="28"/>
        </w:rPr>
      </w:pPr>
    </w:p>
    <w:p w14:paraId="6B37BC1A" w14:textId="77777777" w:rsidR="00816740" w:rsidRPr="00574A8F" w:rsidRDefault="00816740" w:rsidP="00816740">
      <w:pPr>
        <w:pStyle w:val="NoSpacing"/>
        <w:rPr>
          <w:rFonts w:ascii="Arial Black" w:hAnsi="Arial Black"/>
          <w:sz w:val="28"/>
          <w:szCs w:val="28"/>
          <w:u w:val="single"/>
          <w:shd w:val="clear" w:color="auto" w:fill="FFFFFF"/>
        </w:rPr>
      </w:pPr>
      <w:r>
        <w:rPr>
          <w:rFonts w:ascii="Arial Black" w:hAnsi="Arial Black"/>
          <w:sz w:val="28"/>
          <w:szCs w:val="28"/>
          <w:shd w:val="clear" w:color="auto" w:fill="FFFFFF"/>
        </w:rPr>
        <w:t xml:space="preserve">LA: PD INJURED BY ROCK THROWER - “BLACK LIVES” PROTEST - MAY SUE PROTEST ORGANIZER NEGLIGENCE </w:t>
      </w:r>
    </w:p>
    <w:p w14:paraId="543815B3" w14:textId="77777777" w:rsidR="00816740" w:rsidRDefault="00816740" w:rsidP="00816740">
      <w:pPr>
        <w:pStyle w:val="NoSpacing"/>
        <w:rPr>
          <w:rFonts w:ascii="Times New Roman" w:hAnsi="Times New Roman"/>
          <w:sz w:val="24"/>
          <w:szCs w:val="24"/>
          <w:shd w:val="clear" w:color="auto" w:fill="FFFFFF"/>
        </w:rPr>
      </w:pPr>
      <w:r w:rsidRPr="00574A8F">
        <w:rPr>
          <w:rFonts w:ascii="Times New Roman" w:hAnsi="Times New Roman"/>
          <w:sz w:val="24"/>
          <w:szCs w:val="24"/>
          <w:shd w:val="clear" w:color="auto" w:fill="FFFFFF"/>
        </w:rPr>
        <w:t>On June 16, 2024, in</w:t>
      </w:r>
      <w:r>
        <w:rPr>
          <w:rFonts w:ascii="Times New Roman" w:hAnsi="Times New Roman"/>
          <w:sz w:val="24"/>
          <w:szCs w:val="24"/>
          <w:shd w:val="clear" w:color="auto" w:fill="FFFFFF"/>
        </w:rPr>
        <w:t xml:space="preserve"> </w:t>
      </w:r>
      <w:r w:rsidRPr="00574A8F">
        <w:rPr>
          <w:rFonts w:ascii="Times New Roman" w:hAnsi="Times New Roman"/>
          <w:sz w:val="24"/>
          <w:szCs w:val="24"/>
          <w:u w:val="single"/>
          <w:shd w:val="clear" w:color="auto" w:fill="FFFFFF"/>
        </w:rPr>
        <w:t>Officer John Doe, Police Officer v. DeRay Mckesson; Black Lives Matter</w:t>
      </w:r>
      <w:r w:rsidRPr="00574A8F">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the U.S. Court of Appeals for 5</w:t>
      </w:r>
      <w:r w:rsidRPr="00574A8F">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(New Orleans), held (2 to 1) that a Baton Rouge police officer, who suffered </w:t>
      </w:r>
      <w:r w:rsidRPr="00A5718C">
        <w:rPr>
          <w:rFonts w:ascii="Times New Roman" w:hAnsi="Times New Roman"/>
          <w:sz w:val="24"/>
          <w:szCs w:val="24"/>
          <w:shd w:val="clear" w:color="auto" w:fill="FFFFFF"/>
        </w:rPr>
        <w:t>“loss of teeth, injury to jaw, [and] injury to brain and head</w:t>
      </w:r>
      <w:r>
        <w:rPr>
          <w:rFonts w:ascii="Times New Roman" w:hAnsi="Times New Roman"/>
          <w:sz w:val="24"/>
          <w:szCs w:val="24"/>
          <w:shd w:val="clear" w:color="auto" w:fill="FFFFFF"/>
        </w:rPr>
        <w:t xml:space="preserve">,” when an unknown </w:t>
      </w:r>
      <w:r w:rsidRPr="00A5718C">
        <w:rPr>
          <w:rFonts w:ascii="Times New Roman" w:hAnsi="Times New Roman"/>
          <w:sz w:val="24"/>
          <w:szCs w:val="24"/>
          <w:shd w:val="clear" w:color="auto" w:fill="FFFFFF"/>
        </w:rPr>
        <w:t>protestor</w:t>
      </w:r>
      <w:r>
        <w:rPr>
          <w:rFonts w:ascii="Times New Roman" w:hAnsi="Times New Roman"/>
          <w:sz w:val="24"/>
          <w:szCs w:val="24"/>
          <w:shd w:val="clear" w:color="auto" w:fill="FFFFFF"/>
        </w:rPr>
        <w:t xml:space="preserve"> threw an object during a July 9, 2016 demonstration, may proceed with his negligence lawsuit against the protest organizer (but can’t sue the Black Lives organization). The state Supreme Court confirmed to the 5</w:t>
      </w:r>
      <w:r w:rsidRPr="00252FD2">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that the “Fireman’s Rule” (or professional rescuer doctrine) no longer state law, so police of firefighters can sue for on duty injuries. </w:t>
      </w:r>
      <w:hyperlink r:id="rId678" w:history="1">
        <w:r w:rsidRPr="00E93E28">
          <w:rPr>
            <w:rStyle w:val="Hyperlink"/>
            <w:rFonts w:ascii="Times New Roman" w:hAnsi="Times New Roman"/>
            <w:sz w:val="24"/>
            <w:szCs w:val="24"/>
            <w:shd w:val="clear" w:color="auto" w:fill="FFFFFF"/>
          </w:rPr>
          <w:t>https://www.ca5.uscourts.gov/opinions/pub/17/17-30864-CV4.pdf</w:t>
        </w:r>
      </w:hyperlink>
      <w:r>
        <w:rPr>
          <w:rFonts w:ascii="Times New Roman" w:hAnsi="Times New Roman"/>
          <w:sz w:val="24"/>
          <w:szCs w:val="24"/>
          <w:shd w:val="clear" w:color="auto" w:fill="FFFFFF"/>
        </w:rPr>
        <w:t xml:space="preserve"> </w:t>
      </w:r>
    </w:p>
    <w:p w14:paraId="06A54F5E" w14:textId="77777777" w:rsidR="00816740" w:rsidRDefault="00816740" w:rsidP="00816740">
      <w:pPr>
        <w:pStyle w:val="NoSpacing"/>
        <w:rPr>
          <w:rFonts w:ascii="Times New Roman" w:hAnsi="Times New Roman"/>
          <w:sz w:val="24"/>
          <w:szCs w:val="24"/>
          <w:shd w:val="clear" w:color="auto" w:fill="FFFFFF"/>
        </w:rPr>
      </w:pPr>
    </w:p>
    <w:p w14:paraId="0EE28CBD" w14:textId="77777777" w:rsidR="00816740" w:rsidRDefault="00816740" w:rsidP="00816740">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243DDBFE" w14:textId="77777777" w:rsidR="00816740" w:rsidRDefault="00816740" w:rsidP="00816740">
      <w:pPr>
        <w:pStyle w:val="NoSpacing"/>
        <w:rPr>
          <w:rFonts w:ascii="Times New Roman" w:hAnsi="Times New Roman"/>
          <w:sz w:val="24"/>
          <w:szCs w:val="24"/>
          <w:shd w:val="clear" w:color="auto" w:fill="FFFFFF"/>
        </w:rPr>
      </w:pPr>
    </w:p>
    <w:p w14:paraId="742D74FD" w14:textId="77777777" w:rsidR="00816740" w:rsidRDefault="00816740" w:rsidP="00816740">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5615B8">
        <w:rPr>
          <w:rFonts w:ascii="Times New Roman" w:hAnsi="Times New Roman"/>
          <w:sz w:val="24"/>
          <w:szCs w:val="24"/>
          <w:shd w:val="clear" w:color="auto" w:fill="FFFFFF"/>
        </w:rPr>
        <w:t>This case returns to us after remand from the Supreme Court and certification to the Supreme Court of Louisiana. The controversy concerns a</w:t>
      </w:r>
      <w:r>
        <w:rPr>
          <w:rFonts w:ascii="Times New Roman" w:hAnsi="Times New Roman"/>
          <w:sz w:val="24"/>
          <w:szCs w:val="24"/>
          <w:shd w:val="clear" w:color="auto" w:fill="FFFFFF"/>
        </w:rPr>
        <w:t xml:space="preserve"> </w:t>
      </w:r>
      <w:r w:rsidRPr="005615B8">
        <w:rPr>
          <w:rFonts w:ascii="Times New Roman" w:hAnsi="Times New Roman"/>
          <w:sz w:val="24"/>
          <w:szCs w:val="24"/>
          <w:shd w:val="clear" w:color="auto" w:fill="FFFFFF"/>
        </w:rPr>
        <w:t>Black Lives Matter protest organized and led by Appellee DeRay Mckesson.</w:t>
      </w:r>
      <w:r>
        <w:rPr>
          <w:rFonts w:ascii="Times New Roman" w:hAnsi="Times New Roman"/>
          <w:sz w:val="24"/>
          <w:szCs w:val="24"/>
          <w:shd w:val="clear" w:color="auto" w:fill="FFFFFF"/>
        </w:rPr>
        <w:t xml:space="preserve"> </w:t>
      </w:r>
      <w:r w:rsidRPr="005615B8">
        <w:rPr>
          <w:rFonts w:ascii="Times New Roman" w:hAnsi="Times New Roman"/>
          <w:sz w:val="24"/>
          <w:szCs w:val="24"/>
          <w:shd w:val="clear" w:color="auto" w:fill="FFFFFF"/>
        </w:rPr>
        <w:t>During that protest, an unidentified demonstrator struck Appellant John</w:t>
      </w:r>
      <w:r>
        <w:rPr>
          <w:rFonts w:ascii="Times New Roman" w:hAnsi="Times New Roman"/>
          <w:sz w:val="24"/>
          <w:szCs w:val="24"/>
          <w:shd w:val="clear" w:color="auto" w:fill="FFFFFF"/>
        </w:rPr>
        <w:t xml:space="preserve"> </w:t>
      </w:r>
      <w:r w:rsidRPr="005615B8">
        <w:rPr>
          <w:rFonts w:ascii="Times New Roman" w:hAnsi="Times New Roman"/>
          <w:sz w:val="24"/>
          <w:szCs w:val="24"/>
          <w:shd w:val="clear" w:color="auto" w:fill="FFFFFF"/>
        </w:rPr>
        <w:t>Doe, a police officer in the Baton Rouge Police Department, with a heavy</w:t>
      </w:r>
      <w:r>
        <w:rPr>
          <w:rFonts w:ascii="Times New Roman" w:hAnsi="Times New Roman"/>
          <w:sz w:val="24"/>
          <w:szCs w:val="24"/>
          <w:shd w:val="clear" w:color="auto" w:fill="FFFFFF"/>
        </w:rPr>
        <w:t xml:space="preserve"> </w:t>
      </w:r>
      <w:r w:rsidRPr="005615B8">
        <w:rPr>
          <w:rFonts w:ascii="Times New Roman" w:hAnsi="Times New Roman"/>
          <w:sz w:val="24"/>
          <w:szCs w:val="24"/>
          <w:shd w:val="clear" w:color="auto" w:fill="FFFFFF"/>
        </w:rPr>
        <w:t>object, causing him to sustain severe injuries.</w:t>
      </w:r>
      <w:r>
        <w:rPr>
          <w:rFonts w:ascii="Times New Roman" w:hAnsi="Times New Roman"/>
          <w:sz w:val="24"/>
          <w:szCs w:val="24"/>
          <w:shd w:val="clear" w:color="auto" w:fill="FFFFFF"/>
        </w:rPr>
        <w:t xml:space="preserve"> </w:t>
      </w:r>
    </w:p>
    <w:p w14:paraId="0EEE0653" w14:textId="77777777" w:rsidR="00816740" w:rsidRDefault="00816740" w:rsidP="00816740">
      <w:pPr>
        <w:pStyle w:val="NoSpacing"/>
        <w:ind w:left="720"/>
        <w:rPr>
          <w:rFonts w:ascii="Times New Roman" w:hAnsi="Times New Roman"/>
          <w:sz w:val="24"/>
          <w:szCs w:val="24"/>
          <w:shd w:val="clear" w:color="auto" w:fill="FFFFFF"/>
        </w:rPr>
      </w:pPr>
    </w:p>
    <w:p w14:paraId="5C754DBB" w14:textId="77777777" w:rsidR="00816740" w:rsidRDefault="00816740" w:rsidP="00816740">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1B33E5E3" w14:textId="77777777" w:rsidR="00816740" w:rsidRPr="00C9029A" w:rsidRDefault="00816740" w:rsidP="00816740">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C9029A">
        <w:rPr>
          <w:rFonts w:ascii="Times New Roman" w:hAnsi="Times New Roman"/>
          <w:sz w:val="24"/>
          <w:szCs w:val="24"/>
          <w:shd w:val="clear" w:color="auto" w:fill="FFFFFF"/>
        </w:rPr>
        <w:t xml:space="preserve">Our limited holding guarantees only that Doe may proceed to discovery on his negligence claim. It does not guarantee that he will prevail </w:t>
      </w:r>
      <w:proofErr w:type="gramStart"/>
      <w:r w:rsidRPr="00C9029A">
        <w:rPr>
          <w:rFonts w:ascii="Times New Roman" w:hAnsi="Times New Roman"/>
          <w:sz w:val="24"/>
          <w:szCs w:val="24"/>
          <w:shd w:val="clear" w:color="auto" w:fill="FFFFFF"/>
        </w:rPr>
        <w:t>on</w:t>
      </w:r>
      <w:proofErr w:type="gramEnd"/>
      <w:r w:rsidRPr="00C9029A">
        <w:rPr>
          <w:rFonts w:ascii="Times New Roman" w:hAnsi="Times New Roman"/>
          <w:sz w:val="24"/>
          <w:szCs w:val="24"/>
          <w:shd w:val="clear" w:color="auto" w:fill="FFFFFF"/>
        </w:rPr>
        <w:t xml:space="preserve"> that</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claim. Mckesson will have every opportunity to discover and offer evidence</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disproving Doe’s allegations that Mckesson breached his duty of care, and</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 xml:space="preserve">that the breach was a </w:t>
      </w:r>
      <w:proofErr w:type="spellStart"/>
      <w:proofErr w:type="gramStart"/>
      <w:r w:rsidRPr="00C9029A">
        <w:rPr>
          <w:rFonts w:ascii="Times New Roman" w:hAnsi="Times New Roman"/>
          <w:sz w:val="24"/>
          <w:szCs w:val="24"/>
          <w:shd w:val="clear" w:color="auto" w:fill="FFFFFF"/>
        </w:rPr>
        <w:t>but</w:t>
      </w:r>
      <w:proofErr w:type="spellEnd"/>
      <w:proofErr w:type="gramEnd"/>
      <w:r w:rsidRPr="00C9029A">
        <w:rPr>
          <w:rFonts w:ascii="Times New Roman" w:hAnsi="Times New Roman"/>
          <w:sz w:val="24"/>
          <w:szCs w:val="24"/>
          <w:shd w:val="clear" w:color="auto" w:fill="FFFFFF"/>
        </w:rPr>
        <w:t xml:space="preserve">-for cause of Doe’s injuries. Likewise, and </w:t>
      </w:r>
      <w:proofErr w:type="gramStart"/>
      <w:r w:rsidRPr="00C9029A">
        <w:rPr>
          <w:rFonts w:ascii="Times New Roman" w:hAnsi="Times New Roman"/>
          <w:sz w:val="24"/>
          <w:szCs w:val="24"/>
          <w:shd w:val="clear" w:color="auto" w:fill="FFFFFF"/>
        </w:rPr>
        <w:t>in light</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of the fact that</w:t>
      </w:r>
      <w:proofErr w:type="gramEnd"/>
      <w:r w:rsidRPr="00C9029A">
        <w:rPr>
          <w:rFonts w:ascii="Times New Roman" w:hAnsi="Times New Roman"/>
          <w:sz w:val="24"/>
          <w:szCs w:val="24"/>
          <w:shd w:val="clear" w:color="auto" w:fill="FFFFFF"/>
        </w:rPr>
        <w:t xml:space="preserve"> Doe seeks to avail himself of Louisiana tort law, Mckesson is</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entitled to seek to avail himself of traditional tort defenses. These defenses</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would of course be available to future defendants in future cases. For exam-</w:t>
      </w:r>
    </w:p>
    <w:p w14:paraId="3106FEF9" w14:textId="77777777" w:rsidR="00816740" w:rsidRDefault="00816740" w:rsidP="00816740">
      <w:pPr>
        <w:pStyle w:val="NoSpacing"/>
        <w:ind w:left="720"/>
        <w:rPr>
          <w:rFonts w:ascii="Times New Roman" w:hAnsi="Times New Roman"/>
          <w:sz w:val="24"/>
          <w:szCs w:val="24"/>
          <w:shd w:val="clear" w:color="auto" w:fill="FFFFFF"/>
        </w:rPr>
      </w:pPr>
      <w:proofErr w:type="spellStart"/>
      <w:r w:rsidRPr="00C9029A">
        <w:rPr>
          <w:rFonts w:ascii="Times New Roman" w:hAnsi="Times New Roman"/>
          <w:sz w:val="24"/>
          <w:szCs w:val="24"/>
          <w:shd w:val="clear" w:color="auto" w:fill="FFFFFF"/>
        </w:rPr>
        <w:t>ple</w:t>
      </w:r>
      <w:proofErr w:type="spellEnd"/>
      <w:r w:rsidRPr="00C9029A">
        <w:rPr>
          <w:rFonts w:ascii="Times New Roman" w:hAnsi="Times New Roman"/>
          <w:sz w:val="24"/>
          <w:szCs w:val="24"/>
          <w:shd w:val="clear" w:color="auto" w:fill="FFFFFF"/>
        </w:rPr>
        <w:t>, if a defendant could show that a police officer improperly provoked a</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confrontation with a protestor, the defendant might assert the defense of</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comparative negligence, which remains available to assign proportional fault,</w:t>
      </w:r>
      <w:r>
        <w:rPr>
          <w:rFonts w:ascii="Times New Roman" w:hAnsi="Times New Roman"/>
          <w:sz w:val="24"/>
          <w:szCs w:val="24"/>
          <w:shd w:val="clear" w:color="auto" w:fill="FFFFFF"/>
        </w:rPr>
        <w:t xml:space="preserve"> </w:t>
      </w:r>
      <w:r w:rsidRPr="00C9029A">
        <w:rPr>
          <w:rFonts w:ascii="Times New Roman" w:hAnsi="Times New Roman"/>
          <w:sz w:val="24"/>
          <w:szCs w:val="24"/>
          <w:shd w:val="clear" w:color="auto" w:fill="FFFFFF"/>
        </w:rPr>
        <w:t>as the Supreme Court of Louisiana explained on certification.</w:t>
      </w:r>
      <w:r>
        <w:rPr>
          <w:rFonts w:ascii="Times New Roman" w:hAnsi="Times New Roman"/>
          <w:sz w:val="24"/>
          <w:szCs w:val="24"/>
          <w:shd w:val="clear" w:color="auto" w:fill="FFFFFF"/>
        </w:rPr>
        <w:t>”</w:t>
      </w:r>
    </w:p>
    <w:p w14:paraId="44701D31" w14:textId="77777777" w:rsidR="00075B1D" w:rsidRDefault="00075B1D" w:rsidP="00F326E5">
      <w:pPr>
        <w:pStyle w:val="NoSpacing"/>
        <w:rPr>
          <w:rFonts w:ascii="Arial Black" w:hAnsi="Arial Black"/>
          <w:sz w:val="28"/>
          <w:szCs w:val="28"/>
        </w:rPr>
      </w:pPr>
    </w:p>
    <w:p w14:paraId="63659004" w14:textId="77777777" w:rsidR="009C2555" w:rsidRDefault="009C2555" w:rsidP="009C2555">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DISSENT:</w:t>
      </w:r>
    </w:p>
    <w:p w14:paraId="4A52D713" w14:textId="77777777" w:rsidR="009C2555" w:rsidRDefault="009C2555" w:rsidP="009C2555">
      <w:pPr>
        <w:pStyle w:val="NoSpacing"/>
        <w:rPr>
          <w:rFonts w:ascii="Times New Roman" w:hAnsi="Times New Roman"/>
          <w:sz w:val="24"/>
          <w:szCs w:val="24"/>
          <w:shd w:val="clear" w:color="auto" w:fill="FFFFFF"/>
        </w:rPr>
      </w:pPr>
    </w:p>
    <w:p w14:paraId="6711C3C6" w14:textId="77777777" w:rsidR="009C2555" w:rsidRPr="002D5F98" w:rsidRDefault="009C2555" w:rsidP="009C2555">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2D5F98">
        <w:rPr>
          <w:rFonts w:ascii="Times New Roman" w:hAnsi="Times New Roman"/>
          <w:sz w:val="24"/>
          <w:szCs w:val="24"/>
          <w:shd w:val="clear" w:color="auto" w:fill="FFFFFF"/>
        </w:rPr>
        <w:t>Officer John Doe was honoring his oath to serve and protect the</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people of Baton Rouge when an unidentified violent protestor hurled a rock</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or something like it, striking Doe in the face and inflicting devastating</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 xml:space="preserve">injuries. Officer Doe risked his life to keep his city safe that </w:t>
      </w:r>
      <w:proofErr w:type="gramStart"/>
      <w:r w:rsidRPr="002D5F98">
        <w:rPr>
          <w:rFonts w:ascii="Times New Roman" w:hAnsi="Times New Roman"/>
          <w:sz w:val="24"/>
          <w:szCs w:val="24"/>
          <w:shd w:val="clear" w:color="auto" w:fill="FFFFFF"/>
        </w:rPr>
        <w:t>day—same</w:t>
      </w:r>
      <w:proofErr w:type="gramEnd"/>
      <w:r w:rsidRPr="002D5F98">
        <w:rPr>
          <w:rFonts w:ascii="Times New Roman" w:hAnsi="Times New Roman"/>
          <w:sz w:val="24"/>
          <w:szCs w:val="24"/>
          <w:shd w:val="clear" w:color="auto" w:fill="FFFFFF"/>
        </w:rPr>
        <w:t xml:space="preserve"> as</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every other day he put on the uniform. He deserves justice. Unquestionably,</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Officer Doe can sue the rock-thrower. But I disagree that he can sue</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Mckesson as the protest leader. The Constitution that Officer Doe swore to</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protect itself protects Mckesson’s rights to speak, assemble, associate, and</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petition. First Amendment freedoms are not absolute—but there’s the rub:</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Did Mckesson stray from lawfully exercising his own rights to unlawfully</w:t>
      </w:r>
      <w:r>
        <w:rPr>
          <w:rFonts w:ascii="Times New Roman" w:hAnsi="Times New Roman"/>
          <w:sz w:val="24"/>
          <w:szCs w:val="24"/>
          <w:shd w:val="clear" w:color="auto" w:fill="FFFFFF"/>
        </w:rPr>
        <w:t xml:space="preserve"> </w:t>
      </w:r>
      <w:r w:rsidRPr="002D5F98">
        <w:rPr>
          <w:rFonts w:ascii="Times New Roman" w:hAnsi="Times New Roman"/>
          <w:sz w:val="24"/>
          <w:szCs w:val="24"/>
          <w:shd w:val="clear" w:color="auto" w:fill="FFFFFF"/>
        </w:rPr>
        <w:t>exorcising Doe’s? I don’t believe he did.</w:t>
      </w:r>
      <w:r>
        <w:rPr>
          <w:rFonts w:ascii="Times New Roman" w:hAnsi="Times New Roman"/>
          <w:sz w:val="24"/>
          <w:szCs w:val="24"/>
          <w:shd w:val="clear" w:color="auto" w:fill="FFFFFF"/>
        </w:rPr>
        <w:t>”</w:t>
      </w:r>
    </w:p>
    <w:p w14:paraId="42D43E44" w14:textId="77777777" w:rsidR="009C2555" w:rsidRDefault="009C2555" w:rsidP="00F326E5">
      <w:pPr>
        <w:pStyle w:val="NoSpacing"/>
        <w:rPr>
          <w:rFonts w:ascii="Arial Black" w:hAnsi="Arial Black"/>
          <w:sz w:val="28"/>
          <w:szCs w:val="28"/>
        </w:rPr>
      </w:pPr>
    </w:p>
    <w:p w14:paraId="4A6CFF9F" w14:textId="77777777" w:rsidR="00FC09B8" w:rsidRPr="0076259E" w:rsidRDefault="00FC09B8" w:rsidP="00FC09B8">
      <w:pPr>
        <w:pStyle w:val="NoSpacing"/>
        <w:rPr>
          <w:rFonts w:ascii="Times New Roman" w:hAnsi="Times New Roman"/>
          <w:b/>
          <w:bCs/>
          <w:sz w:val="24"/>
          <w:szCs w:val="24"/>
          <w:shd w:val="clear" w:color="auto" w:fill="FFFFFF"/>
        </w:rPr>
      </w:pPr>
      <w:r w:rsidRPr="0076259E">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Protests can quickly get ugly; this is an important decision on potential liability of a protest leader. </w:t>
      </w:r>
    </w:p>
    <w:p w14:paraId="52976248" w14:textId="77777777" w:rsidR="00FC09B8" w:rsidRPr="00F00C70" w:rsidRDefault="00FC09B8" w:rsidP="00FC09B8">
      <w:pPr>
        <w:pStyle w:val="NormalWeb"/>
        <w:ind w:left="720"/>
        <w:rPr>
          <w:shd w:val="clear" w:color="auto" w:fill="FFFFFF"/>
        </w:rPr>
      </w:pPr>
      <w:r w:rsidRPr="00F00C70">
        <w:rPr>
          <w:color w:val="454545"/>
          <w:shd w:val="clear" w:color="auto" w:fill="FFFFFF"/>
        </w:rPr>
        <w:t>Note:</w:t>
      </w:r>
      <w:r w:rsidRPr="00F00C70">
        <w:rPr>
          <w:b/>
          <w:bCs/>
          <w:color w:val="454545"/>
          <w:shd w:val="clear" w:color="auto" w:fill="FFFFFF"/>
        </w:rPr>
        <w:t xml:space="preserve">  </w:t>
      </w:r>
      <w:r w:rsidRPr="00F00C70">
        <w:rPr>
          <w:color w:val="454545"/>
          <w:shd w:val="clear" w:color="auto" w:fill="FFFFFF"/>
        </w:rPr>
        <w:t xml:space="preserve">Louisiana </w:t>
      </w:r>
      <w:r>
        <w:rPr>
          <w:color w:val="454545"/>
          <w:shd w:val="clear" w:color="auto" w:fill="FFFFFF"/>
        </w:rPr>
        <w:t xml:space="preserve">has abolished </w:t>
      </w:r>
      <w:r w:rsidRPr="00F00C70">
        <w:rPr>
          <w:color w:val="454545"/>
          <w:shd w:val="clear" w:color="auto" w:fill="FFFFFF"/>
        </w:rPr>
        <w:t>the “Fireman’s Rule</w:t>
      </w:r>
      <w:r>
        <w:rPr>
          <w:color w:val="454545"/>
          <w:shd w:val="clear" w:color="auto" w:fill="FFFFFF"/>
        </w:rPr>
        <w:t>.</w:t>
      </w:r>
      <w:r w:rsidRPr="00F00C70">
        <w:rPr>
          <w:color w:val="454545"/>
          <w:shd w:val="clear" w:color="auto" w:fill="FFFFFF"/>
        </w:rPr>
        <w:t>”</w:t>
      </w:r>
      <w:r w:rsidRPr="00F00C70">
        <w:rPr>
          <w:b/>
          <w:bCs/>
          <w:color w:val="454545"/>
          <w:shd w:val="clear" w:color="auto" w:fill="FFFFFF"/>
        </w:rPr>
        <w:t xml:space="preserve"> </w:t>
      </w:r>
      <w:r w:rsidRPr="00F00C70">
        <w:rPr>
          <w:color w:val="454545"/>
          <w:shd w:val="clear" w:color="auto" w:fill="FFFFFF"/>
        </w:rPr>
        <w:t xml:space="preserve">See </w:t>
      </w:r>
      <w:r w:rsidRPr="00F00C70">
        <w:rPr>
          <w:shd w:val="clear" w:color="auto" w:fill="FFFFFF"/>
        </w:rPr>
        <w:t>Footnote 6: “As noted above, we previously apprehended that Louisiana’s professional rescuer’s doctrine might apply here and bar Doe’s negligence claim….  But on certification, the Supreme Court of Louisiana held that the doctrine has been ‘abrogated in Louisiana both legislatively and jurisprudentially’ … As such, the doctrine poses no bar to Doe’s recovery here.”</w:t>
      </w:r>
    </w:p>
    <w:p w14:paraId="47EF8278" w14:textId="77777777" w:rsidR="00FC09B8" w:rsidRDefault="00FC09B8" w:rsidP="00F326E5">
      <w:pPr>
        <w:pStyle w:val="NoSpacing"/>
        <w:rPr>
          <w:rFonts w:ascii="Arial Black" w:hAnsi="Arial Black"/>
          <w:sz w:val="28"/>
          <w:szCs w:val="28"/>
        </w:rPr>
      </w:pPr>
    </w:p>
    <w:p w14:paraId="24D5A8D6" w14:textId="77777777" w:rsidR="00A755CA" w:rsidRDefault="00A755CA" w:rsidP="00F326E5">
      <w:pPr>
        <w:pStyle w:val="NoSpacing"/>
        <w:rPr>
          <w:rFonts w:ascii="Arial Black" w:hAnsi="Arial Black"/>
          <w:sz w:val="28"/>
          <w:szCs w:val="28"/>
        </w:rPr>
      </w:pPr>
    </w:p>
    <w:p w14:paraId="61108D85" w14:textId="17F4DDD5" w:rsidR="00E858DE" w:rsidRDefault="00E858DE"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3</w:t>
      </w:r>
    </w:p>
    <w:p w14:paraId="1D109C5F" w14:textId="77777777" w:rsidR="00E75F2A" w:rsidRDefault="00E75F2A" w:rsidP="00E75F2A">
      <w:pPr>
        <w:pStyle w:val="NormalWeb"/>
        <w:rPr>
          <w:rFonts w:ascii="Arial Black" w:hAnsi="Arial Black"/>
          <w:sz w:val="28"/>
          <w:szCs w:val="28"/>
        </w:rPr>
      </w:pPr>
      <w:r>
        <w:rPr>
          <w:rFonts w:ascii="Arial Black" w:hAnsi="Arial Black"/>
          <w:sz w:val="28"/>
          <w:szCs w:val="28"/>
        </w:rPr>
        <w:t>U.S. SUP. CT:  PARKLAND SHOOTING – NRA CAN SUE STATE OF NY – 1</w:t>
      </w:r>
      <w:r w:rsidRPr="00EC6994">
        <w:rPr>
          <w:rFonts w:ascii="Arial Black" w:hAnsi="Arial Black"/>
          <w:sz w:val="28"/>
          <w:szCs w:val="28"/>
          <w:vertAlign w:val="superscript"/>
        </w:rPr>
        <w:t>st</w:t>
      </w:r>
      <w:r>
        <w:rPr>
          <w:rFonts w:ascii="Arial Black" w:hAnsi="Arial Black"/>
          <w:sz w:val="28"/>
          <w:szCs w:val="28"/>
        </w:rPr>
        <w:t xml:space="preserve"> AMEND – TOLD INSUR. COMPANYS DROP NRA </w:t>
      </w:r>
    </w:p>
    <w:p w14:paraId="5657AEBD" w14:textId="77777777" w:rsidR="009334CD" w:rsidRDefault="00E75F2A" w:rsidP="00E75F2A">
      <w:pPr>
        <w:pStyle w:val="NormalWeb"/>
      </w:pPr>
      <w:r>
        <w:t xml:space="preserve">On May 30, 2024, </w:t>
      </w:r>
      <w:r w:rsidRPr="0021798A">
        <w:rPr>
          <w:u w:val="single"/>
        </w:rPr>
        <w:t>in National Rifle Association v.  Vullo</w:t>
      </w:r>
      <w:r>
        <w:t xml:space="preserve"> (Maria Vullo, former Superintendent of the New York Department of Financial Services), the U.S. Supreme Court held (9 to 0) that NRA’s lawsuit for alleged violation of First Amendment shall be reinstated and proceed to pre-trial discovery, thereby reversing U.S. Court of Appeals for 2</w:t>
      </w:r>
      <w:r w:rsidRPr="008820A5">
        <w:rPr>
          <w:vertAlign w:val="superscript"/>
        </w:rPr>
        <w:t>nd</w:t>
      </w:r>
      <w:r>
        <w:t xml:space="preserve"> Circuit which had ordered case dismissed.  In 2017, a gun-control advocacy group had advised Vullo that insurance companies in New York were illegally insuring NRA members who purchased “Carry Guard” that they would be insured even for intentional criminal acts; Vullo opened an investigation of two insurance companies (who were fined and cancelled their policies).  On Feb. 14, 2018, February 14, 2018, a gunman opened fire at Marjory Stoneman Douglas High School, murdering 17 students and staff members.  The Governor and Vullo then started warning NY insurance companies to not insure NRA, including a “private meeting” by Vullo with insurance executives.  </w:t>
      </w:r>
    </w:p>
    <w:p w14:paraId="6CB42823" w14:textId="68350D17" w:rsidR="009334CD" w:rsidRDefault="009334CD" w:rsidP="00E75F2A">
      <w:pPr>
        <w:pStyle w:val="NormalWeb"/>
      </w:pPr>
      <w:r>
        <w:t xml:space="preserve">THE COURT HELD: </w:t>
      </w:r>
    </w:p>
    <w:p w14:paraId="7032A1F9" w14:textId="77777777" w:rsidR="00E75F2A" w:rsidRDefault="00E75F2A" w:rsidP="00E75F2A">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506708">
        <w:rPr>
          <w:rFonts w:ascii="Times New Roman" w:hAnsi="Times New Roman"/>
          <w:sz w:val="24"/>
          <w:szCs w:val="24"/>
          <w:shd w:val="clear" w:color="auto" w:fill="FFFFFF"/>
        </w:rPr>
        <w:t>As discussed below, Vullo was free to criticize the NRA</w:t>
      </w:r>
      <w:r>
        <w:rPr>
          <w:rFonts w:ascii="Times New Roman" w:hAnsi="Times New Roman"/>
          <w:sz w:val="24"/>
          <w:szCs w:val="24"/>
          <w:shd w:val="clear" w:color="auto" w:fill="FFFFFF"/>
        </w:rPr>
        <w:t xml:space="preserve"> </w:t>
      </w:r>
      <w:r w:rsidRPr="00506708">
        <w:rPr>
          <w:rFonts w:ascii="Times New Roman" w:hAnsi="Times New Roman"/>
          <w:sz w:val="24"/>
          <w:szCs w:val="24"/>
          <w:shd w:val="clear" w:color="auto" w:fill="FFFFFF"/>
        </w:rPr>
        <w:t>and pursue the conceded violations of New York insurance</w:t>
      </w:r>
      <w:r>
        <w:rPr>
          <w:rFonts w:ascii="Times New Roman" w:hAnsi="Times New Roman"/>
          <w:sz w:val="24"/>
          <w:szCs w:val="24"/>
          <w:shd w:val="clear" w:color="auto" w:fill="FFFFFF"/>
        </w:rPr>
        <w:t xml:space="preserve"> </w:t>
      </w:r>
      <w:r w:rsidRPr="00506708">
        <w:rPr>
          <w:rFonts w:ascii="Times New Roman" w:hAnsi="Times New Roman"/>
          <w:sz w:val="24"/>
          <w:szCs w:val="24"/>
          <w:shd w:val="clear" w:color="auto" w:fill="FFFFFF"/>
        </w:rPr>
        <w:t>law. She could not wield her power, however, to threaten</w:t>
      </w:r>
      <w:r>
        <w:rPr>
          <w:rFonts w:ascii="Times New Roman" w:hAnsi="Times New Roman"/>
          <w:sz w:val="24"/>
          <w:szCs w:val="24"/>
          <w:shd w:val="clear" w:color="auto" w:fill="FFFFFF"/>
        </w:rPr>
        <w:t xml:space="preserve"> </w:t>
      </w:r>
      <w:r w:rsidRPr="00506708">
        <w:rPr>
          <w:rFonts w:ascii="Times New Roman" w:hAnsi="Times New Roman"/>
          <w:sz w:val="24"/>
          <w:szCs w:val="24"/>
          <w:shd w:val="clear" w:color="auto" w:fill="FFFFFF"/>
        </w:rPr>
        <w:t xml:space="preserve">enforcement actions against DFS-regulated entities </w:t>
      </w:r>
      <w:proofErr w:type="gramStart"/>
      <w:r w:rsidRPr="00506708">
        <w:rPr>
          <w:rFonts w:ascii="Times New Roman" w:hAnsi="Times New Roman"/>
          <w:sz w:val="24"/>
          <w:szCs w:val="24"/>
          <w:shd w:val="clear" w:color="auto" w:fill="FFFFFF"/>
        </w:rPr>
        <w:t>in order to</w:t>
      </w:r>
      <w:proofErr w:type="gramEnd"/>
      <w:r w:rsidRPr="00506708">
        <w:rPr>
          <w:rFonts w:ascii="Times New Roman" w:hAnsi="Times New Roman"/>
          <w:sz w:val="24"/>
          <w:szCs w:val="24"/>
          <w:shd w:val="clear" w:color="auto" w:fill="FFFFFF"/>
        </w:rPr>
        <w:t xml:space="preserve"> punish or suppress the NRA’s gun-promotion advocacy. Because the complaint plausibly alleges that Vullo</w:t>
      </w:r>
      <w:r>
        <w:rPr>
          <w:rFonts w:ascii="Times New Roman" w:hAnsi="Times New Roman"/>
          <w:sz w:val="24"/>
          <w:szCs w:val="24"/>
          <w:shd w:val="clear" w:color="auto" w:fill="FFFFFF"/>
        </w:rPr>
        <w:t xml:space="preserve"> </w:t>
      </w:r>
      <w:r w:rsidRPr="00506708">
        <w:rPr>
          <w:rFonts w:ascii="Times New Roman" w:hAnsi="Times New Roman"/>
          <w:sz w:val="24"/>
          <w:szCs w:val="24"/>
          <w:shd w:val="clear" w:color="auto" w:fill="FFFFFF"/>
        </w:rPr>
        <w:t>did just that, the Court holds that the NRA stated a First</w:t>
      </w:r>
      <w:r>
        <w:rPr>
          <w:rFonts w:ascii="Times New Roman" w:hAnsi="Times New Roman"/>
          <w:sz w:val="24"/>
          <w:szCs w:val="24"/>
          <w:shd w:val="clear" w:color="auto" w:fill="FFFFFF"/>
        </w:rPr>
        <w:t xml:space="preserve"> </w:t>
      </w:r>
      <w:r w:rsidRPr="00506708">
        <w:rPr>
          <w:rFonts w:ascii="Times New Roman" w:hAnsi="Times New Roman"/>
          <w:sz w:val="24"/>
          <w:szCs w:val="24"/>
          <w:shd w:val="clear" w:color="auto" w:fill="FFFFFF"/>
        </w:rPr>
        <w:t>Amendment violation.</w:t>
      </w:r>
    </w:p>
    <w:p w14:paraId="617CB12F" w14:textId="77777777" w:rsidR="00E75F2A" w:rsidRDefault="00E75F2A" w:rsidP="00E75F2A">
      <w:pPr>
        <w:pStyle w:val="NoSpacing"/>
        <w:rPr>
          <w:rFonts w:ascii="Times New Roman" w:hAnsi="Times New Roman"/>
          <w:sz w:val="24"/>
          <w:szCs w:val="24"/>
          <w:shd w:val="clear" w:color="auto" w:fill="FFFFFF"/>
        </w:rPr>
      </w:pPr>
    </w:p>
    <w:p w14:paraId="07A64F4A" w14:textId="77777777" w:rsidR="00E75F2A" w:rsidRDefault="00E75F2A" w:rsidP="00E75F2A">
      <w:pPr>
        <w:pStyle w:val="NoSpacing"/>
        <w:ind w:firstLine="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123C7CFD" w14:textId="77777777" w:rsidR="00E75F2A" w:rsidRPr="00DC0294" w:rsidRDefault="00E75F2A" w:rsidP="00E75F2A">
      <w:pPr>
        <w:pStyle w:val="NoSpacing"/>
        <w:ind w:left="720"/>
        <w:rPr>
          <w:rFonts w:ascii="Times New Roman" w:hAnsi="Times New Roman"/>
          <w:sz w:val="24"/>
          <w:szCs w:val="24"/>
          <w:shd w:val="clear" w:color="auto" w:fill="FFFFFF"/>
        </w:rPr>
      </w:pPr>
      <w:r w:rsidRPr="00DC0294">
        <w:rPr>
          <w:rFonts w:ascii="Times New Roman" w:hAnsi="Times New Roman"/>
          <w:sz w:val="24"/>
          <w:szCs w:val="24"/>
          <w:shd w:val="clear" w:color="auto" w:fill="FFFFFF"/>
        </w:rPr>
        <w:t>For the reasons discussed above, the Court holds that the</w:t>
      </w:r>
      <w:r>
        <w:rPr>
          <w:rFonts w:ascii="Times New Roman" w:hAnsi="Times New Roman"/>
          <w:sz w:val="24"/>
          <w:szCs w:val="24"/>
          <w:shd w:val="clear" w:color="auto" w:fill="FFFFFF"/>
        </w:rPr>
        <w:t xml:space="preserve"> </w:t>
      </w:r>
      <w:r w:rsidRPr="00DC0294">
        <w:rPr>
          <w:rFonts w:ascii="Times New Roman" w:hAnsi="Times New Roman"/>
          <w:sz w:val="24"/>
          <w:szCs w:val="24"/>
          <w:shd w:val="clear" w:color="auto" w:fill="FFFFFF"/>
        </w:rPr>
        <w:t xml:space="preserve">NRA plausibly alleged that Vullo violated the First Amendment by coercing DFS-regulated entities to terminate </w:t>
      </w:r>
      <w:proofErr w:type="gramStart"/>
      <w:r w:rsidRPr="00DC0294">
        <w:rPr>
          <w:rFonts w:ascii="Times New Roman" w:hAnsi="Times New Roman"/>
          <w:sz w:val="24"/>
          <w:szCs w:val="24"/>
          <w:shd w:val="clear" w:color="auto" w:fill="FFFFFF"/>
        </w:rPr>
        <w:t>their</w:t>
      </w:r>
      <w:proofErr w:type="gramEnd"/>
    </w:p>
    <w:p w14:paraId="3593A4BE" w14:textId="77777777" w:rsidR="00E75F2A" w:rsidRDefault="00E75F2A" w:rsidP="00E75F2A">
      <w:pPr>
        <w:pStyle w:val="NoSpacing"/>
        <w:ind w:left="720"/>
        <w:rPr>
          <w:rFonts w:ascii="Times New Roman" w:hAnsi="Times New Roman"/>
          <w:sz w:val="24"/>
          <w:szCs w:val="24"/>
          <w:shd w:val="clear" w:color="auto" w:fill="FFFFFF"/>
        </w:rPr>
      </w:pPr>
      <w:r w:rsidRPr="00DC0294">
        <w:rPr>
          <w:rFonts w:ascii="Times New Roman" w:hAnsi="Times New Roman"/>
          <w:sz w:val="24"/>
          <w:szCs w:val="24"/>
          <w:shd w:val="clear" w:color="auto" w:fill="FFFFFF"/>
        </w:rPr>
        <w:t xml:space="preserve">business relationships with the NRA </w:t>
      </w:r>
      <w:proofErr w:type="gramStart"/>
      <w:r w:rsidRPr="00DC0294">
        <w:rPr>
          <w:rFonts w:ascii="Times New Roman" w:hAnsi="Times New Roman"/>
          <w:sz w:val="24"/>
          <w:szCs w:val="24"/>
          <w:shd w:val="clear" w:color="auto" w:fill="FFFFFF"/>
        </w:rPr>
        <w:t>in order to</w:t>
      </w:r>
      <w:proofErr w:type="gramEnd"/>
      <w:r w:rsidRPr="00DC0294">
        <w:rPr>
          <w:rFonts w:ascii="Times New Roman" w:hAnsi="Times New Roman"/>
          <w:sz w:val="24"/>
          <w:szCs w:val="24"/>
          <w:shd w:val="clear" w:color="auto" w:fill="FFFFFF"/>
        </w:rPr>
        <w:t xml:space="preserve"> punish or</w:t>
      </w:r>
      <w:r>
        <w:rPr>
          <w:rFonts w:ascii="Times New Roman" w:hAnsi="Times New Roman"/>
          <w:sz w:val="24"/>
          <w:szCs w:val="24"/>
          <w:shd w:val="clear" w:color="auto" w:fill="FFFFFF"/>
        </w:rPr>
        <w:t xml:space="preserve"> </w:t>
      </w:r>
      <w:r w:rsidRPr="00DC0294">
        <w:rPr>
          <w:rFonts w:ascii="Times New Roman" w:hAnsi="Times New Roman"/>
          <w:sz w:val="24"/>
          <w:szCs w:val="24"/>
          <w:shd w:val="clear" w:color="auto" w:fill="FFFFFF"/>
        </w:rPr>
        <w:t>suppress the NRA’s advocacy.</w:t>
      </w:r>
      <w:r>
        <w:rPr>
          <w:rFonts w:ascii="Times New Roman" w:hAnsi="Times New Roman"/>
          <w:sz w:val="24"/>
          <w:szCs w:val="24"/>
          <w:shd w:val="clear" w:color="auto" w:fill="FFFFFF"/>
        </w:rPr>
        <w:t>”</w:t>
      </w:r>
      <w:r w:rsidRPr="00B8727E">
        <w:t xml:space="preserve"> </w:t>
      </w:r>
      <w:hyperlink r:id="rId679" w:history="1">
        <w:r w:rsidRPr="00220336">
          <w:rPr>
            <w:rStyle w:val="Hyperlink"/>
            <w:rFonts w:ascii="Times New Roman" w:hAnsi="Times New Roman"/>
            <w:sz w:val="24"/>
            <w:szCs w:val="24"/>
            <w:shd w:val="clear" w:color="auto" w:fill="FFFFFF"/>
          </w:rPr>
          <w:t>https://www.supremecourt.gov/opinions/23pdf/22-842_6kg7.pdf</w:t>
        </w:r>
      </w:hyperlink>
      <w:r>
        <w:rPr>
          <w:rFonts w:ascii="Times New Roman" w:hAnsi="Times New Roman"/>
          <w:sz w:val="24"/>
          <w:szCs w:val="24"/>
          <w:shd w:val="clear" w:color="auto" w:fill="FFFFFF"/>
        </w:rPr>
        <w:t xml:space="preserve"> </w:t>
      </w:r>
    </w:p>
    <w:p w14:paraId="047BD114" w14:textId="77777777" w:rsidR="00E75F2A" w:rsidRDefault="00E75F2A" w:rsidP="00F326E5">
      <w:pPr>
        <w:pStyle w:val="NoSpacing"/>
        <w:rPr>
          <w:rFonts w:ascii="Arial Black" w:hAnsi="Arial Black"/>
          <w:sz w:val="28"/>
          <w:szCs w:val="28"/>
        </w:rPr>
      </w:pPr>
    </w:p>
    <w:p w14:paraId="099758B6" w14:textId="77777777" w:rsidR="003F14B8" w:rsidRPr="00A63606" w:rsidRDefault="003F14B8" w:rsidP="003F14B8">
      <w:pPr>
        <w:pStyle w:val="NoSpacing"/>
        <w:rPr>
          <w:rFonts w:ascii="Times New Roman" w:hAnsi="Times New Roman"/>
          <w:b/>
          <w:bCs/>
          <w:sz w:val="24"/>
          <w:szCs w:val="24"/>
          <w:shd w:val="clear" w:color="auto" w:fill="FFFFFF"/>
        </w:rPr>
      </w:pPr>
      <w:r w:rsidRPr="00A63606">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This unanimous First Amendment decision will undoubtedly lead to other cases against government officials; fire code enforcers should use great care in publicly discussing targets of investigation. </w:t>
      </w:r>
    </w:p>
    <w:p w14:paraId="79271AA2" w14:textId="77777777" w:rsidR="00E858DE" w:rsidRDefault="00E858DE" w:rsidP="00F326E5">
      <w:pPr>
        <w:pStyle w:val="NoSpacing"/>
        <w:rPr>
          <w:rFonts w:ascii="Arial Black" w:hAnsi="Arial Black"/>
          <w:sz w:val="28"/>
          <w:szCs w:val="28"/>
        </w:rPr>
      </w:pPr>
    </w:p>
    <w:p w14:paraId="63F500A9" w14:textId="77777777" w:rsidR="00E858DE" w:rsidRDefault="00E858DE" w:rsidP="00F326E5">
      <w:pPr>
        <w:pStyle w:val="NoSpacing"/>
        <w:rPr>
          <w:rFonts w:ascii="Arial Black" w:hAnsi="Arial Black"/>
          <w:sz w:val="28"/>
          <w:szCs w:val="28"/>
        </w:rPr>
      </w:pPr>
    </w:p>
    <w:p w14:paraId="03437754" w14:textId="77777777" w:rsidR="00E858DE" w:rsidRDefault="00E858DE" w:rsidP="00F326E5">
      <w:pPr>
        <w:pStyle w:val="NoSpacing"/>
        <w:rPr>
          <w:rFonts w:ascii="Arial Black" w:hAnsi="Arial Black"/>
          <w:sz w:val="28"/>
          <w:szCs w:val="28"/>
        </w:rPr>
      </w:pPr>
    </w:p>
    <w:p w14:paraId="29BCA901" w14:textId="742F2452" w:rsidR="00683F2A" w:rsidRDefault="00683F2A"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2</w:t>
      </w:r>
    </w:p>
    <w:p w14:paraId="780A2029" w14:textId="77777777" w:rsidR="00E858DE" w:rsidRDefault="00E858DE" w:rsidP="00683F2A">
      <w:pPr>
        <w:pStyle w:val="NormalWeb"/>
        <w:spacing w:before="0" w:beforeAutospacing="0"/>
        <w:rPr>
          <w:rFonts w:ascii="Arial Black" w:hAnsi="Arial Black"/>
          <w:b/>
          <w:bCs/>
          <w:color w:val="454545"/>
          <w:sz w:val="28"/>
          <w:szCs w:val="28"/>
          <w:shd w:val="clear" w:color="auto" w:fill="FFFFFF"/>
        </w:rPr>
      </w:pPr>
    </w:p>
    <w:p w14:paraId="68C07340" w14:textId="54FFE53C" w:rsidR="00683F2A" w:rsidRDefault="00683F2A" w:rsidP="00683F2A">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DC:  RETIRED NY COP - TRUMP RALLY /  U.S. CAPITOL - ATTACKED PD – WORE BODY ARMOR - 10-YRS PRISON </w:t>
      </w:r>
    </w:p>
    <w:p w14:paraId="3A124D12" w14:textId="77777777" w:rsidR="00683F2A" w:rsidRDefault="00683F2A" w:rsidP="00683F2A">
      <w:pPr>
        <w:pStyle w:val="NormalWeb"/>
        <w:spacing w:before="0" w:beforeAutospacing="0"/>
        <w:rPr>
          <w:color w:val="454545"/>
          <w:shd w:val="clear" w:color="auto" w:fill="FFFFFF"/>
        </w:rPr>
      </w:pPr>
      <w:r w:rsidRPr="00C01682">
        <w:rPr>
          <w:color w:val="454545"/>
          <w:shd w:val="clear" w:color="auto" w:fill="FFFFFF"/>
        </w:rPr>
        <w:t xml:space="preserve">On May 28, 2024, in </w:t>
      </w:r>
      <w:r w:rsidRPr="00C01682">
        <w:rPr>
          <w:color w:val="454545"/>
          <w:u w:val="single"/>
          <w:shd w:val="clear" w:color="auto" w:fill="FFFFFF"/>
        </w:rPr>
        <w:t>United States of America v. Thomas Webster</w:t>
      </w:r>
      <w:r w:rsidRPr="00C01682">
        <w:rPr>
          <w:color w:val="454545"/>
          <w:shd w:val="clear" w:color="auto" w:fill="FFFFFF"/>
        </w:rPr>
        <w:t xml:space="preserve">, </w:t>
      </w:r>
      <w:r>
        <w:rPr>
          <w:color w:val="454545"/>
          <w:shd w:val="clear" w:color="auto" w:fill="FFFFFF"/>
        </w:rPr>
        <w:t>the U.S. Court of Appeals for the District of Columbia Circuit held (3 to 0) that jury conviction of five felonies, and judge’s sentence of 10 years in prison, is confirmed. The Court held:</w:t>
      </w:r>
    </w:p>
    <w:p w14:paraId="6B2377D0" w14:textId="77777777" w:rsidR="00683F2A" w:rsidRDefault="00683F2A" w:rsidP="00683F2A">
      <w:pPr>
        <w:pStyle w:val="NormalWeb"/>
        <w:spacing w:before="0" w:beforeAutospacing="0"/>
        <w:ind w:left="720" w:firstLine="60"/>
      </w:pPr>
      <w:r>
        <w:rPr>
          <w:color w:val="454545"/>
          <w:shd w:val="clear" w:color="auto" w:fill="FFFFFF"/>
        </w:rPr>
        <w:t>“</w:t>
      </w:r>
      <w:r>
        <w:t xml:space="preserve">Thomas Webster attended former-President Trump's rally on January 6, 2021, and then went to the Capitol. Upon arriving, Webster confronted a line of police officers and violently assaulted Officer Rathbun of the Metropolitan Police Department. A jury convicted Webster of five felonies and one misdemeanor offense. The district court imposed a ten-year prison sentence. Webster appeals, raising challenges both to his convictions and his sentence. We have considered each of Webster's challenges and, because none of them succeed, we affirm his convictions and sentence. … Turning to Webster's sentence, he challenges the district court's inclusion of a four-level, use-of-body-armor enhancement. He also argues that the length of his sentence was substantively unreasonable as compared to other January 6th defendants. Neither of those arguments succeeds.” </w:t>
      </w:r>
      <w:hyperlink r:id="rId680" w:history="1">
        <w:r w:rsidRPr="00F80308">
          <w:rPr>
            <w:rStyle w:val="Hyperlink"/>
          </w:rPr>
          <w:t>https://cases.justia.com/federal/appellate-courts/cadc/22-3064/22-3064-2024-05-28.pdf?ts=1716910338</w:t>
        </w:r>
      </w:hyperlink>
      <w:r>
        <w:t xml:space="preserve"> </w:t>
      </w:r>
    </w:p>
    <w:p w14:paraId="3E8B7F5C" w14:textId="77777777" w:rsidR="00E858DE" w:rsidRPr="00A474FA" w:rsidRDefault="00E858DE" w:rsidP="00E858DE">
      <w:pPr>
        <w:pStyle w:val="NormalWeb"/>
        <w:rPr>
          <w:b/>
          <w:bCs/>
        </w:rPr>
      </w:pPr>
      <w:r>
        <w:rPr>
          <w:b/>
          <w:bCs/>
        </w:rPr>
        <w:t xml:space="preserve">Legal Lesson Learned:  Federal Sentencing Guidelines authorizes an enhanced sentence for defendants who wear body armor. </w:t>
      </w:r>
    </w:p>
    <w:p w14:paraId="04A16425" w14:textId="77777777" w:rsidR="00E858DE" w:rsidRDefault="00E858DE" w:rsidP="00683F2A">
      <w:pPr>
        <w:pStyle w:val="NormalWeb"/>
        <w:spacing w:before="0" w:beforeAutospacing="0"/>
        <w:ind w:left="720" w:firstLine="60"/>
      </w:pPr>
    </w:p>
    <w:p w14:paraId="60C9C348" w14:textId="77777777" w:rsidR="00683F2A" w:rsidRDefault="00683F2A" w:rsidP="00F326E5">
      <w:pPr>
        <w:pStyle w:val="NoSpacing"/>
        <w:rPr>
          <w:rFonts w:ascii="Arial Black" w:hAnsi="Arial Black"/>
          <w:sz w:val="28"/>
          <w:szCs w:val="28"/>
        </w:rPr>
      </w:pPr>
    </w:p>
    <w:p w14:paraId="7EE4ADE4" w14:textId="77777777" w:rsidR="00683F2A" w:rsidRDefault="00683F2A" w:rsidP="00F326E5">
      <w:pPr>
        <w:pStyle w:val="NoSpacing"/>
        <w:rPr>
          <w:rFonts w:ascii="Arial Black" w:hAnsi="Arial Black"/>
          <w:sz w:val="28"/>
          <w:szCs w:val="28"/>
        </w:rPr>
      </w:pPr>
    </w:p>
    <w:p w14:paraId="02F18301" w14:textId="77777777" w:rsidR="00683F2A" w:rsidRDefault="00683F2A" w:rsidP="00F326E5">
      <w:pPr>
        <w:pStyle w:val="NoSpacing"/>
        <w:rPr>
          <w:rFonts w:ascii="Arial Black" w:hAnsi="Arial Black"/>
          <w:sz w:val="28"/>
          <w:szCs w:val="28"/>
        </w:rPr>
      </w:pPr>
    </w:p>
    <w:p w14:paraId="3008E96E" w14:textId="77777777" w:rsidR="00683F2A" w:rsidRDefault="00683F2A" w:rsidP="00F326E5">
      <w:pPr>
        <w:pStyle w:val="NoSpacing"/>
        <w:rPr>
          <w:rFonts w:ascii="Arial Black" w:hAnsi="Arial Black"/>
          <w:sz w:val="28"/>
          <w:szCs w:val="28"/>
        </w:rPr>
      </w:pPr>
    </w:p>
    <w:p w14:paraId="3F7C0957" w14:textId="06AB0F98" w:rsidR="005B72EF" w:rsidRDefault="005B72EF"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1</w:t>
      </w:r>
    </w:p>
    <w:p w14:paraId="42D5DB61" w14:textId="77777777" w:rsidR="005B72EF" w:rsidRDefault="005B72EF" w:rsidP="00F326E5">
      <w:pPr>
        <w:pStyle w:val="NoSpacing"/>
        <w:rPr>
          <w:rFonts w:ascii="Arial Black" w:hAnsi="Arial Black"/>
          <w:sz w:val="28"/>
          <w:szCs w:val="28"/>
        </w:rPr>
      </w:pPr>
    </w:p>
    <w:p w14:paraId="38428E1A" w14:textId="77777777" w:rsidR="00C2103A" w:rsidRPr="005E3F54" w:rsidRDefault="00C2103A" w:rsidP="00C2103A">
      <w:pPr>
        <w:rPr>
          <w:rFonts w:ascii="Arial Black" w:hAnsi="Arial Black"/>
          <w:sz w:val="28"/>
          <w:szCs w:val="28"/>
        </w:rPr>
      </w:pPr>
      <w:r>
        <w:rPr>
          <w:rFonts w:ascii="Arial Black" w:hAnsi="Arial Black"/>
          <w:sz w:val="28"/>
          <w:szCs w:val="28"/>
        </w:rPr>
        <w:t>MA: FIREBOMB – CO</w:t>
      </w:r>
      <w:r>
        <w:rPr>
          <w:rFonts w:ascii="Arial Black" w:hAnsi="Arial Black"/>
          <w:sz w:val="28"/>
        </w:rPr>
        <w:t>N</w:t>
      </w:r>
      <w:r>
        <w:rPr>
          <w:rFonts w:ascii="Arial Black" w:hAnsi="Arial Black"/>
          <w:sz w:val="28"/>
          <w:szCs w:val="28"/>
        </w:rPr>
        <w:t>VICTION - GAS CAN NEAR JEWISH CENTER – BLOOD ON CAN / WICK / CHRISTIAN PAMPHLET</w:t>
      </w:r>
    </w:p>
    <w:p w14:paraId="40C36554" w14:textId="65CD2541" w:rsidR="005B72EF" w:rsidRDefault="005B72EF" w:rsidP="005B72EF">
      <w:pPr>
        <w:pStyle w:val="NormalWeb"/>
        <w:spacing w:before="0" w:beforeAutospacing="0"/>
      </w:pPr>
      <w:r>
        <w:t xml:space="preserve">On April 5, 2024, in </w:t>
      </w:r>
      <w:r w:rsidRPr="003E6799">
        <w:rPr>
          <w:u w:val="single"/>
        </w:rPr>
        <w:t>United States of America v. John Michael Rathbun</w:t>
      </w:r>
      <w:r>
        <w:t>, the U.S. Court of Appeals for the 1</w:t>
      </w:r>
      <w:r w:rsidRPr="003E6799">
        <w:rPr>
          <w:vertAlign w:val="superscript"/>
        </w:rPr>
        <w:t>st</w:t>
      </w:r>
      <w:r>
        <w:t xml:space="preserve"> District (Boston) held (3 to 0) reject his appeal from jury convictions, after two separate trials arising out of the bomb's discovery.  The defendant took the stand and testified – jury rejected his alibi. </w:t>
      </w:r>
      <w:hyperlink r:id="rId681" w:history="1">
        <w:r w:rsidRPr="0076603B">
          <w:rPr>
            <w:rStyle w:val="Hyperlink"/>
          </w:rPr>
          <w:t>https://caselaw.findlaw.com/court/us-1st-circuit/116020600.html</w:t>
        </w:r>
      </w:hyperlink>
      <w:r>
        <w:t xml:space="preserve"> </w:t>
      </w:r>
    </w:p>
    <w:p w14:paraId="23131478" w14:textId="77777777" w:rsidR="005B72EF" w:rsidRDefault="005B72EF" w:rsidP="005B72EF">
      <w:pPr>
        <w:pStyle w:val="NormalWeb"/>
        <w:spacing w:before="0" w:beforeAutospacing="0"/>
      </w:pPr>
      <w:r>
        <w:t>THE COURT HELD:</w:t>
      </w:r>
    </w:p>
    <w:p w14:paraId="2E0507FA" w14:textId="77777777" w:rsidR="005B72EF" w:rsidRDefault="005B72EF" w:rsidP="005B72EF">
      <w:pPr>
        <w:pStyle w:val="NormalWeb"/>
        <w:ind w:left="720"/>
      </w:pPr>
      <w:r>
        <w:t xml:space="preserve">“Contrary to Rathbun's protestations, the record shows that abundant evidence incriminated him, making the government's case against Rathbun quite strong. The government presented evidence, inter alia, about the fuel container itself and the recorded incriminating statements Rathbun made to his mother acknowledging his possession of it, Rathbun's cell phone location data on the date of the incident, Rathbun's DNA evidence from the fuel container and wick, and Rathbun's inculpatory admissions to investigators. The government also presented circumstantial evidence demonstrating Rathbun's access to the Steps to Peace with God tract and evidence that contradicted multiple statements Rathbun made during his interview with Agent McGonigle. Therefore, taking ‘the strength </w:t>
      </w:r>
      <w:r>
        <w:rPr>
          <w:rFonts w:ascii="Cambria Math" w:hAnsi="Cambria Math" w:cs="Cambria Math"/>
        </w:rPr>
        <w:t>․</w:t>
      </w:r>
      <w:r>
        <w:t xml:space="preserve"> of the government's evidence of guilt’ less the evidence of Rathbun's behavior at the Motel, we conclude that the admission of the evidence, even if error, was harmless.”</w:t>
      </w:r>
    </w:p>
    <w:p w14:paraId="622D7386" w14:textId="77777777" w:rsidR="005B72EF" w:rsidRDefault="005B72EF" w:rsidP="005B72EF">
      <w:pPr>
        <w:pStyle w:val="NormalWeb"/>
        <w:rPr>
          <w:b/>
          <w:bCs/>
        </w:rPr>
      </w:pPr>
      <w:r w:rsidRPr="00E9724E">
        <w:rPr>
          <w:b/>
          <w:bCs/>
        </w:rPr>
        <w:t>Legal Lesson Learned:</w:t>
      </w:r>
      <w:r>
        <w:rPr>
          <w:b/>
          <w:bCs/>
        </w:rPr>
        <w:t xml:space="preserve"> DNA evidence is very persuasive to a jury.</w:t>
      </w:r>
    </w:p>
    <w:p w14:paraId="04B5B659" w14:textId="77777777" w:rsidR="005B72EF" w:rsidRPr="00B80913" w:rsidRDefault="005B72EF" w:rsidP="005B72EF">
      <w:pPr>
        <w:pStyle w:val="NormalWeb"/>
      </w:pPr>
      <w:r>
        <w:rPr>
          <w:b/>
          <w:bCs/>
        </w:rPr>
        <w:tab/>
      </w:r>
      <w:r>
        <w:t xml:space="preserve">Note: The jury rejected the defendant’s alibi.  </w:t>
      </w:r>
    </w:p>
    <w:p w14:paraId="4A213691" w14:textId="77777777" w:rsidR="005B72EF" w:rsidRDefault="005B72EF" w:rsidP="005B72EF">
      <w:pPr>
        <w:pStyle w:val="NormalWeb"/>
        <w:ind w:left="720"/>
      </w:pPr>
      <w:r>
        <w:t>“Footnote 24: When opting to testify, in his own defense, Rathbun eventually acknowledged that he had earlier and likely found the yellow canister used to make the bomb at a job ‘cleanout’ in Chicopee, Massachusetts. At that job site, he had cut his hand on a metal shard, which explains the presence of his blood on the container. He contended that he (and an acquaintance) had illegally dumped the cleanout debris at a dumpster on Converse Street some days before the bomb was found. As for the bloody tract, he theorized that blood from his cut must have somehow transferred to a pamphlet he speculates his mother must have had in her car's cup holder, and that the pamphlet must have gotten jettisoned to the dumpster along with the fuel canister and other random debris. Continuing, he postulates some random third person -- someone very careful not to leave fingerprints, but crafty enough to leave incriminating blood evidence -- must have come along and fished the canister and the pamphlet out of the dumpster and used it to craft the destructive firebomb at the heart of this prosecution. As we said, this alternative explanation was seemingly a non-starter for the jury.”</w:t>
      </w:r>
    </w:p>
    <w:p w14:paraId="439AD9FA" w14:textId="77777777" w:rsidR="005B72EF" w:rsidRDefault="005B72EF" w:rsidP="00F326E5">
      <w:pPr>
        <w:pStyle w:val="NoSpacing"/>
        <w:rPr>
          <w:rFonts w:ascii="Arial Black" w:hAnsi="Arial Black"/>
          <w:sz w:val="28"/>
          <w:szCs w:val="28"/>
        </w:rPr>
      </w:pPr>
    </w:p>
    <w:p w14:paraId="6B4B4596" w14:textId="77777777" w:rsidR="005B72EF" w:rsidRDefault="005B72EF" w:rsidP="00F326E5">
      <w:pPr>
        <w:pStyle w:val="NoSpacing"/>
        <w:rPr>
          <w:rFonts w:ascii="Arial Black" w:hAnsi="Arial Black"/>
          <w:sz w:val="28"/>
          <w:szCs w:val="28"/>
        </w:rPr>
      </w:pPr>
    </w:p>
    <w:p w14:paraId="133B27B1" w14:textId="7FC16D0A" w:rsidR="00CB0F04" w:rsidRDefault="00CB0F04" w:rsidP="00F326E5">
      <w:pPr>
        <w:pStyle w:val="NoSpacing"/>
        <w:rPr>
          <w:rFonts w:ascii="Arial Black" w:hAnsi="Arial Black"/>
          <w:sz w:val="28"/>
          <w:szCs w:val="28"/>
        </w:rPr>
      </w:pPr>
      <w:r>
        <w:rPr>
          <w:rFonts w:ascii="Arial Black" w:hAnsi="Arial Black"/>
          <w:sz w:val="28"/>
          <w:szCs w:val="28"/>
        </w:rPr>
        <w:t>3-6</w:t>
      </w:r>
      <w:r w:rsidR="00ED4EAF">
        <w:rPr>
          <w:rFonts w:ascii="Arial Black" w:hAnsi="Arial Black"/>
          <w:sz w:val="28"/>
          <w:szCs w:val="28"/>
        </w:rPr>
        <w:t>0</w:t>
      </w:r>
    </w:p>
    <w:p w14:paraId="2C9A0879" w14:textId="77777777" w:rsidR="005B72EF" w:rsidRDefault="005B72EF" w:rsidP="00CB0F04">
      <w:pPr>
        <w:pStyle w:val="NormalWeb"/>
        <w:spacing w:before="0" w:beforeAutospacing="0"/>
        <w:rPr>
          <w:rFonts w:ascii="Arial Black" w:hAnsi="Arial Black"/>
          <w:b/>
          <w:bCs/>
          <w:color w:val="454545"/>
          <w:sz w:val="28"/>
          <w:szCs w:val="28"/>
          <w:shd w:val="clear" w:color="auto" w:fill="FFFFFF"/>
        </w:rPr>
      </w:pPr>
    </w:p>
    <w:p w14:paraId="3DFCB24E" w14:textId="35A240BB" w:rsidR="00CB0F04" w:rsidRDefault="00CB0F04" w:rsidP="00CB0F04">
      <w:pPr>
        <w:pStyle w:val="NormalWeb"/>
        <w:spacing w:before="0" w:beforeAutospacing="0"/>
        <w:rPr>
          <w:shd w:val="clear" w:color="auto" w:fill="FFFFFF"/>
        </w:rPr>
      </w:pPr>
      <w:r>
        <w:rPr>
          <w:rFonts w:ascii="Arial Black" w:hAnsi="Arial Black"/>
          <w:b/>
          <w:bCs/>
          <w:color w:val="454545"/>
          <w:sz w:val="28"/>
          <w:szCs w:val="28"/>
          <w:shd w:val="clear" w:color="auto" w:fill="FFFFFF"/>
        </w:rPr>
        <w:t xml:space="preserve">U.S. SUP. CT: MUSLIM REFUSED TO BE FBI INFORMANT – PLACED ON “NO-FLY LIST” – CASE MAY PROCEED </w:t>
      </w:r>
    </w:p>
    <w:p w14:paraId="565DEF49" w14:textId="77777777" w:rsidR="000A2B47" w:rsidRDefault="00CB0F04" w:rsidP="000A2B47">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On March 19, 2024, in </w:t>
      </w:r>
      <w:r w:rsidRPr="006177DC">
        <w:rPr>
          <w:rFonts w:ascii="Times New Roman" w:hAnsi="Times New Roman"/>
          <w:sz w:val="24"/>
          <w:szCs w:val="24"/>
          <w:u w:val="single"/>
          <w:shd w:val="clear" w:color="auto" w:fill="FFFFFF"/>
        </w:rPr>
        <w:t>Federal Bureau of Investigations v. Yonas Fikre</w:t>
      </w:r>
      <w:r>
        <w:rPr>
          <w:rFonts w:ascii="Times New Roman" w:hAnsi="Times New Roman"/>
          <w:sz w:val="24"/>
          <w:szCs w:val="24"/>
          <w:shd w:val="clear" w:color="auto" w:fill="FFFFFF"/>
        </w:rPr>
        <w:t xml:space="preserve">, the U.S. Supreme Court held (9 to 0) that case is not moot just because he has been removed from No-Fly List; he still risks being placed back on the list at any time. </w:t>
      </w:r>
      <w:hyperlink r:id="rId682" w:history="1">
        <w:r w:rsidR="000A2B47" w:rsidRPr="00CD1DB0">
          <w:rPr>
            <w:rStyle w:val="Hyperlink"/>
            <w:rFonts w:ascii="Times New Roman" w:hAnsi="Times New Roman"/>
            <w:sz w:val="24"/>
            <w:szCs w:val="24"/>
            <w:shd w:val="clear" w:color="auto" w:fill="FFFFFF"/>
          </w:rPr>
          <w:t>https://www.supremecourt.gov/opinions/23pdf/22-1178_p8k0.pdf</w:t>
        </w:r>
      </w:hyperlink>
      <w:r w:rsidR="000A2B47">
        <w:rPr>
          <w:rFonts w:ascii="Times New Roman" w:hAnsi="Times New Roman"/>
          <w:sz w:val="24"/>
          <w:szCs w:val="24"/>
          <w:shd w:val="clear" w:color="auto" w:fill="FFFFFF"/>
        </w:rPr>
        <w:t xml:space="preserve"> </w:t>
      </w:r>
    </w:p>
    <w:p w14:paraId="225126C4" w14:textId="6CB1A573" w:rsidR="00CB0F04" w:rsidRDefault="00CB0F04" w:rsidP="00CB0F04">
      <w:pPr>
        <w:pStyle w:val="NoSpacing"/>
        <w:rPr>
          <w:rFonts w:ascii="Times New Roman" w:hAnsi="Times New Roman"/>
          <w:sz w:val="24"/>
          <w:szCs w:val="24"/>
          <w:shd w:val="clear" w:color="auto" w:fill="FFFFFF"/>
        </w:rPr>
      </w:pPr>
    </w:p>
    <w:p w14:paraId="0742F3A0" w14:textId="77777777" w:rsidR="003956F7" w:rsidRDefault="003956F7" w:rsidP="003956F7">
      <w:pPr>
        <w:pStyle w:val="NoSpacing"/>
        <w:rPr>
          <w:rFonts w:ascii="Times New Roman" w:hAnsi="Times New Roman"/>
          <w:sz w:val="24"/>
          <w:szCs w:val="24"/>
          <w:shd w:val="clear" w:color="auto" w:fill="FFFFFF"/>
        </w:rPr>
      </w:pPr>
    </w:p>
    <w:p w14:paraId="70BE32CB" w14:textId="0B0CDB3A"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08CB310" w14:textId="77777777" w:rsidR="003956F7" w:rsidRDefault="003956F7" w:rsidP="00CB0F04">
      <w:pPr>
        <w:pStyle w:val="NoSpacing"/>
        <w:rPr>
          <w:rFonts w:ascii="Times New Roman" w:hAnsi="Times New Roman"/>
          <w:sz w:val="24"/>
          <w:szCs w:val="24"/>
          <w:shd w:val="clear" w:color="auto" w:fill="FFFFFF"/>
        </w:rPr>
      </w:pPr>
    </w:p>
    <w:p w14:paraId="6E72B2C6" w14:textId="2E77E526" w:rsidR="00CB0F04" w:rsidRDefault="00CB0F04" w:rsidP="00CB0F04">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Justice Gorsuch wrote opinion:  “</w:t>
      </w:r>
      <w:r w:rsidRPr="002D2359">
        <w:rPr>
          <w:rFonts w:ascii="Times New Roman" w:hAnsi="Times New Roman"/>
          <w:sz w:val="24"/>
          <w:szCs w:val="24"/>
          <w:shd w:val="clear" w:color="auto" w:fill="FFFFFF"/>
        </w:rPr>
        <w:t xml:space="preserve">Yonas Fikre, a U. S. citizen, </w:t>
      </w:r>
      <w:proofErr w:type="gramStart"/>
      <w:r w:rsidRPr="002D2359">
        <w:rPr>
          <w:rFonts w:ascii="Times New Roman" w:hAnsi="Times New Roman"/>
          <w:sz w:val="24"/>
          <w:szCs w:val="24"/>
          <w:shd w:val="clear" w:color="auto" w:fill="FFFFFF"/>
        </w:rPr>
        <w:t>brought</w:t>
      </w:r>
      <w:r w:rsidR="007E2431">
        <w:rPr>
          <w:rFonts w:ascii="Times New Roman" w:hAnsi="Times New Roman"/>
          <w:sz w:val="24"/>
          <w:szCs w:val="24"/>
          <w:shd w:val="clear" w:color="auto" w:fill="FFFFFF"/>
        </w:rPr>
        <w:t xml:space="preserve"> </w:t>
      </w:r>
      <w:r w:rsidRPr="002D2359">
        <w:rPr>
          <w:rFonts w:ascii="Times New Roman" w:hAnsi="Times New Roman"/>
          <w:sz w:val="24"/>
          <w:szCs w:val="24"/>
          <w:shd w:val="clear" w:color="auto" w:fill="FFFFFF"/>
        </w:rPr>
        <w:t>suit</w:t>
      </w:r>
      <w:proofErr w:type="gramEnd"/>
      <w:r w:rsidRPr="002D2359">
        <w:rPr>
          <w:rFonts w:ascii="Times New Roman" w:hAnsi="Times New Roman"/>
          <w:sz w:val="24"/>
          <w:szCs w:val="24"/>
          <w:shd w:val="clear" w:color="auto" w:fill="FFFFFF"/>
        </w:rPr>
        <w:t xml:space="preserve"> alleging that the</w:t>
      </w:r>
      <w:r>
        <w:rPr>
          <w:rFonts w:ascii="Times New Roman" w:hAnsi="Times New Roman"/>
          <w:sz w:val="24"/>
          <w:szCs w:val="24"/>
          <w:shd w:val="clear" w:color="auto" w:fill="FFFFFF"/>
        </w:rPr>
        <w:t xml:space="preserve"> </w:t>
      </w:r>
      <w:r w:rsidRPr="002D2359">
        <w:rPr>
          <w:rFonts w:ascii="Times New Roman" w:hAnsi="Times New Roman"/>
          <w:sz w:val="24"/>
          <w:szCs w:val="24"/>
          <w:shd w:val="clear" w:color="auto" w:fill="FFFFFF"/>
        </w:rPr>
        <w:t>government placed him on the No</w:t>
      </w:r>
      <w:r>
        <w:rPr>
          <w:rFonts w:ascii="Times New Roman" w:hAnsi="Times New Roman"/>
          <w:sz w:val="24"/>
          <w:szCs w:val="24"/>
          <w:shd w:val="clear" w:color="auto" w:fill="FFFFFF"/>
        </w:rPr>
        <w:t>-</w:t>
      </w:r>
      <w:r w:rsidRPr="002D2359">
        <w:rPr>
          <w:rFonts w:ascii="Times New Roman" w:hAnsi="Times New Roman"/>
          <w:sz w:val="24"/>
          <w:szCs w:val="24"/>
          <w:shd w:val="clear" w:color="auto" w:fill="FFFFFF"/>
        </w:rPr>
        <w:t>Fly List unlawfully.</w:t>
      </w:r>
      <w:r>
        <w:rPr>
          <w:rFonts w:ascii="Times New Roman" w:hAnsi="Times New Roman"/>
          <w:sz w:val="24"/>
          <w:szCs w:val="24"/>
          <w:shd w:val="clear" w:color="auto" w:fill="FFFFFF"/>
        </w:rPr>
        <w:t xml:space="preserve"> </w:t>
      </w:r>
      <w:r w:rsidRPr="002D2359">
        <w:rPr>
          <w:rFonts w:ascii="Times New Roman" w:hAnsi="Times New Roman"/>
          <w:sz w:val="24"/>
          <w:szCs w:val="24"/>
          <w:shd w:val="clear" w:color="auto" w:fill="FFFFFF"/>
        </w:rPr>
        <w:t>Later, the government removed him from the list. The only</w:t>
      </w:r>
      <w:r>
        <w:rPr>
          <w:rFonts w:ascii="Times New Roman" w:hAnsi="Times New Roman"/>
          <w:sz w:val="24"/>
          <w:szCs w:val="24"/>
          <w:shd w:val="clear" w:color="auto" w:fill="FFFFFF"/>
        </w:rPr>
        <w:t xml:space="preserve"> </w:t>
      </w:r>
      <w:r w:rsidRPr="002D2359">
        <w:rPr>
          <w:rFonts w:ascii="Times New Roman" w:hAnsi="Times New Roman"/>
          <w:sz w:val="24"/>
          <w:szCs w:val="24"/>
          <w:shd w:val="clear" w:color="auto" w:fill="FFFFFF"/>
        </w:rPr>
        <w:t>question we are asked to decide is whether the government’s action suffices to render Mr. Fikre’s claims moot</w:t>
      </w:r>
      <w:r>
        <w:rPr>
          <w:rFonts w:ascii="Times New Roman" w:hAnsi="Times New Roman"/>
          <w:sz w:val="24"/>
          <w:szCs w:val="24"/>
          <w:shd w:val="clear" w:color="auto" w:fill="FFFFFF"/>
        </w:rPr>
        <w:t xml:space="preserve">. </w:t>
      </w:r>
    </w:p>
    <w:p w14:paraId="4141542F" w14:textId="77777777" w:rsidR="00CB0F04" w:rsidRDefault="00CB0F04" w:rsidP="00CB0F04">
      <w:pPr>
        <w:pStyle w:val="NoSpacing"/>
        <w:ind w:left="720"/>
        <w:rPr>
          <w:rFonts w:ascii="Times New Roman" w:hAnsi="Times New Roman"/>
          <w:sz w:val="24"/>
          <w:szCs w:val="24"/>
          <w:shd w:val="clear" w:color="auto" w:fill="FFFFFF"/>
        </w:rPr>
      </w:pPr>
    </w:p>
    <w:p w14:paraId="02476B77" w14:textId="77777777" w:rsidR="00CB0F04" w:rsidRDefault="00CB0F04" w:rsidP="00CB0F04">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08F26649" w14:textId="77777777" w:rsidR="00CB0F04" w:rsidRPr="00174C60" w:rsidRDefault="00CB0F04" w:rsidP="00CB0F04">
      <w:pPr>
        <w:pStyle w:val="NoSpacing"/>
        <w:ind w:left="720"/>
        <w:rPr>
          <w:rFonts w:ascii="Times New Roman" w:hAnsi="Times New Roman"/>
          <w:sz w:val="24"/>
          <w:szCs w:val="24"/>
          <w:shd w:val="clear" w:color="auto" w:fill="FFFFFF"/>
        </w:rPr>
      </w:pPr>
      <w:r w:rsidRPr="00174C60">
        <w:rPr>
          <w:rFonts w:ascii="Times New Roman" w:hAnsi="Times New Roman"/>
          <w:sz w:val="24"/>
          <w:szCs w:val="24"/>
          <w:shd w:val="clear" w:color="auto" w:fill="FFFFFF"/>
        </w:rPr>
        <w:t>Viewed in that light, this case is not moot. To appreciate</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why, it is enough to consider one aspect of Mr. Fikre’s complaint. He contends that the government placed him on the</w:t>
      </w:r>
    </w:p>
    <w:p w14:paraId="564ABEE2" w14:textId="77777777" w:rsidR="00CB0F04" w:rsidRDefault="00CB0F04" w:rsidP="00CB0F04">
      <w:pPr>
        <w:pStyle w:val="NoSpacing"/>
        <w:ind w:left="720"/>
        <w:rPr>
          <w:rFonts w:ascii="Times New Roman" w:hAnsi="Times New Roman"/>
          <w:sz w:val="24"/>
          <w:szCs w:val="24"/>
          <w:shd w:val="clear" w:color="auto" w:fill="FFFFFF"/>
        </w:rPr>
      </w:pPr>
      <w:r w:rsidRPr="00174C60">
        <w:rPr>
          <w:rFonts w:ascii="Times New Roman" w:hAnsi="Times New Roman"/>
          <w:sz w:val="24"/>
          <w:szCs w:val="24"/>
          <w:shd w:val="clear" w:color="auto" w:fill="FFFFFF"/>
        </w:rPr>
        <w:t xml:space="preserve">No Fly List for constitutionally impermissible reasons, including his religious beliefs. In support of his claim, </w:t>
      </w:r>
      <w:proofErr w:type="spellStart"/>
      <w:r w:rsidRPr="00174C60">
        <w:rPr>
          <w:rFonts w:ascii="Times New Roman" w:hAnsi="Times New Roman"/>
          <w:sz w:val="24"/>
          <w:szCs w:val="24"/>
          <w:shd w:val="clear" w:color="auto" w:fill="FFFFFF"/>
        </w:rPr>
        <w:t>Mr.Fikre</w:t>
      </w:r>
      <w:proofErr w:type="spellEnd"/>
      <w:r w:rsidRPr="00174C60">
        <w:rPr>
          <w:rFonts w:ascii="Times New Roman" w:hAnsi="Times New Roman"/>
          <w:sz w:val="24"/>
          <w:szCs w:val="24"/>
          <w:shd w:val="clear" w:color="auto" w:fill="FFFFFF"/>
        </w:rPr>
        <w:t xml:space="preserve"> alleges (among other things) that FBI agents interrogated him about a mosque in Portland he once attended and</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 xml:space="preserve">threatened to keep him on the </w:t>
      </w:r>
      <w:proofErr w:type="gramStart"/>
      <w:r w:rsidRPr="00174C60">
        <w:rPr>
          <w:rFonts w:ascii="Times New Roman" w:hAnsi="Times New Roman"/>
          <w:sz w:val="24"/>
          <w:szCs w:val="24"/>
          <w:shd w:val="clear" w:color="auto" w:fill="FFFFFF"/>
        </w:rPr>
        <w:t>No Fly</w:t>
      </w:r>
      <w:proofErr w:type="gramEnd"/>
      <w:r w:rsidRPr="00174C60">
        <w:rPr>
          <w:rFonts w:ascii="Times New Roman" w:hAnsi="Times New Roman"/>
          <w:sz w:val="24"/>
          <w:szCs w:val="24"/>
          <w:shd w:val="clear" w:color="auto" w:fill="FFFFFF"/>
        </w:rPr>
        <w:t xml:space="preserve"> List unless he agreed</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to serve as an informant against his co-religionists. Accepting these as-yet uncontested allegations, the government’s</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 xml:space="preserve">representation that it will not </w:t>
      </w:r>
      <w:proofErr w:type="gramStart"/>
      <w:r w:rsidRPr="00174C60">
        <w:rPr>
          <w:rFonts w:ascii="Times New Roman" w:hAnsi="Times New Roman"/>
          <w:sz w:val="24"/>
          <w:szCs w:val="24"/>
          <w:shd w:val="clear" w:color="auto" w:fill="FFFFFF"/>
        </w:rPr>
        <w:t>relist</w:t>
      </w:r>
      <w:proofErr w:type="gramEnd"/>
      <w:r w:rsidRPr="00174C60">
        <w:rPr>
          <w:rFonts w:ascii="Times New Roman" w:hAnsi="Times New Roman"/>
          <w:sz w:val="24"/>
          <w:szCs w:val="24"/>
          <w:shd w:val="clear" w:color="auto" w:fill="FFFFFF"/>
        </w:rPr>
        <w:t xml:space="preserve"> Mr. Fikre based on</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currently available information</w:t>
      </w:r>
      <w:r>
        <w:rPr>
          <w:rFonts w:ascii="Times New Roman" w:hAnsi="Times New Roman"/>
          <w:sz w:val="24"/>
          <w:szCs w:val="24"/>
          <w:shd w:val="clear" w:color="auto" w:fill="FFFFFF"/>
        </w:rPr>
        <w:t>’</w:t>
      </w:r>
      <w:r w:rsidRPr="00174C60">
        <w:rPr>
          <w:rFonts w:ascii="Times New Roman" w:hAnsi="Times New Roman"/>
          <w:sz w:val="24"/>
          <w:szCs w:val="24"/>
          <w:shd w:val="clear" w:color="auto" w:fill="FFFFFF"/>
        </w:rPr>
        <w:t xml:space="preserve"> may mean that his past</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actions are not enough to warrant his relisting. But, as the</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court of appeals observed, none of that speaks to whether</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the government might relist him if he does the same or similar things in the future—say, attend a particular mosque</w:t>
      </w:r>
      <w:r>
        <w:rPr>
          <w:rFonts w:ascii="Times New Roman" w:hAnsi="Times New Roman"/>
          <w:sz w:val="24"/>
          <w:szCs w:val="24"/>
          <w:shd w:val="clear" w:color="auto" w:fill="FFFFFF"/>
        </w:rPr>
        <w:t xml:space="preserve"> </w:t>
      </w:r>
      <w:r w:rsidRPr="00174C60">
        <w:rPr>
          <w:rFonts w:ascii="Times New Roman" w:hAnsi="Times New Roman"/>
          <w:sz w:val="24"/>
          <w:szCs w:val="24"/>
          <w:shd w:val="clear" w:color="auto" w:fill="FFFFFF"/>
        </w:rPr>
        <w:t>or refuse renewed overtures to serve as an informant</w:t>
      </w:r>
      <w:r>
        <w:rPr>
          <w:rFonts w:ascii="Times New Roman" w:hAnsi="Times New Roman"/>
          <w:sz w:val="24"/>
          <w:szCs w:val="24"/>
          <w:shd w:val="clear" w:color="auto" w:fill="FFFFFF"/>
        </w:rPr>
        <w:t xml:space="preserve">.” </w:t>
      </w:r>
      <w:hyperlink r:id="rId683" w:history="1">
        <w:r w:rsidRPr="00CD1DB0">
          <w:rPr>
            <w:rStyle w:val="Hyperlink"/>
            <w:rFonts w:ascii="Times New Roman" w:hAnsi="Times New Roman"/>
            <w:sz w:val="24"/>
            <w:szCs w:val="24"/>
            <w:shd w:val="clear" w:color="auto" w:fill="FFFFFF"/>
          </w:rPr>
          <w:t>https://www.supremecourt.gov/opinions/23pdf/22-1178_p8k0.pdf</w:t>
        </w:r>
      </w:hyperlink>
      <w:r>
        <w:rPr>
          <w:rFonts w:ascii="Times New Roman" w:hAnsi="Times New Roman"/>
          <w:sz w:val="24"/>
          <w:szCs w:val="24"/>
          <w:shd w:val="clear" w:color="auto" w:fill="FFFFFF"/>
        </w:rPr>
        <w:t xml:space="preserve"> </w:t>
      </w:r>
    </w:p>
    <w:p w14:paraId="0C89D610" w14:textId="77777777" w:rsidR="00CB0F04" w:rsidRDefault="00CB0F04" w:rsidP="00CB0F04">
      <w:pPr>
        <w:pStyle w:val="NoSpacing"/>
        <w:jc w:val="center"/>
      </w:pPr>
    </w:p>
    <w:p w14:paraId="63A0CD0F" w14:textId="77777777" w:rsidR="00CB0F04" w:rsidRDefault="00CB0F04" w:rsidP="00CB0F04">
      <w:pPr>
        <w:pStyle w:val="NoSpacing"/>
        <w:ind w:left="720"/>
        <w:rPr>
          <w:rFonts w:ascii="Times New Roman" w:hAnsi="Times New Roman"/>
          <w:sz w:val="24"/>
          <w:szCs w:val="24"/>
        </w:rPr>
      </w:pPr>
    </w:p>
    <w:p w14:paraId="2AE79297" w14:textId="70895D52" w:rsidR="00CB0F04" w:rsidRPr="00760B23" w:rsidRDefault="00CB0F04" w:rsidP="00CB0F04">
      <w:pPr>
        <w:pStyle w:val="NoSpacing"/>
        <w:rPr>
          <w:rFonts w:ascii="Times New Roman" w:hAnsi="Times New Roman"/>
          <w:b/>
          <w:bCs/>
          <w:sz w:val="24"/>
          <w:szCs w:val="24"/>
        </w:rPr>
      </w:pPr>
      <w:r w:rsidRPr="00760B23">
        <w:rPr>
          <w:rFonts w:ascii="Times New Roman" w:hAnsi="Times New Roman"/>
          <w:b/>
          <w:bCs/>
          <w:sz w:val="24"/>
          <w:szCs w:val="24"/>
        </w:rPr>
        <w:t xml:space="preserve">Legal Lesson Learned: </w:t>
      </w:r>
      <w:r w:rsidR="004C1440">
        <w:rPr>
          <w:rFonts w:ascii="Times New Roman" w:hAnsi="Times New Roman"/>
          <w:b/>
          <w:bCs/>
          <w:sz w:val="24"/>
          <w:szCs w:val="24"/>
        </w:rPr>
        <w:t>Lawsuit may now proceed; c</w:t>
      </w:r>
      <w:r>
        <w:rPr>
          <w:rFonts w:ascii="Times New Roman" w:hAnsi="Times New Roman"/>
          <w:b/>
          <w:bCs/>
          <w:sz w:val="24"/>
          <w:szCs w:val="24"/>
        </w:rPr>
        <w:t xml:space="preserve">ase is not moot since he risks being placed back on </w:t>
      </w:r>
      <w:proofErr w:type="gramStart"/>
      <w:r>
        <w:rPr>
          <w:rFonts w:ascii="Times New Roman" w:hAnsi="Times New Roman"/>
          <w:b/>
          <w:bCs/>
          <w:sz w:val="24"/>
          <w:szCs w:val="24"/>
        </w:rPr>
        <w:t>No Fly</w:t>
      </w:r>
      <w:proofErr w:type="gramEnd"/>
      <w:r>
        <w:rPr>
          <w:rFonts w:ascii="Times New Roman" w:hAnsi="Times New Roman"/>
          <w:b/>
          <w:bCs/>
          <w:sz w:val="24"/>
          <w:szCs w:val="24"/>
        </w:rPr>
        <w:t xml:space="preserve"> List. </w:t>
      </w:r>
    </w:p>
    <w:p w14:paraId="02D665DA" w14:textId="77777777" w:rsidR="00CB0F04" w:rsidRDefault="00CB0F04" w:rsidP="00F326E5">
      <w:pPr>
        <w:pStyle w:val="NoSpacing"/>
        <w:rPr>
          <w:rFonts w:ascii="Arial Black" w:hAnsi="Arial Black"/>
          <w:sz w:val="28"/>
          <w:szCs w:val="28"/>
        </w:rPr>
      </w:pPr>
    </w:p>
    <w:p w14:paraId="12C15F14" w14:textId="77777777" w:rsidR="00CB0F04" w:rsidRDefault="00CB0F04" w:rsidP="00F326E5">
      <w:pPr>
        <w:pStyle w:val="NoSpacing"/>
        <w:rPr>
          <w:rFonts w:ascii="Arial Black" w:hAnsi="Arial Black"/>
          <w:sz w:val="28"/>
          <w:szCs w:val="28"/>
        </w:rPr>
      </w:pPr>
    </w:p>
    <w:p w14:paraId="7A228738" w14:textId="69091567" w:rsidR="002E2535" w:rsidRDefault="002E2535" w:rsidP="00F326E5">
      <w:pPr>
        <w:pStyle w:val="NoSpacing"/>
        <w:rPr>
          <w:rFonts w:ascii="Arial Black" w:hAnsi="Arial Black"/>
          <w:sz w:val="28"/>
          <w:szCs w:val="28"/>
        </w:rPr>
      </w:pPr>
      <w:r>
        <w:rPr>
          <w:rFonts w:ascii="Arial Black" w:hAnsi="Arial Black"/>
          <w:sz w:val="28"/>
          <w:szCs w:val="28"/>
        </w:rPr>
        <w:t>3-</w:t>
      </w:r>
      <w:r w:rsidR="00ED4EAF">
        <w:rPr>
          <w:rFonts w:ascii="Arial Black" w:hAnsi="Arial Black"/>
          <w:sz w:val="28"/>
          <w:szCs w:val="28"/>
        </w:rPr>
        <w:t>59</w:t>
      </w:r>
    </w:p>
    <w:p w14:paraId="26053B3B" w14:textId="730D153B" w:rsidR="00274E82" w:rsidRPr="00D10261" w:rsidRDefault="00274E82" w:rsidP="00274E82">
      <w:pPr>
        <w:pStyle w:val="NormalWeb"/>
        <w:rPr>
          <w:rFonts w:ascii="Arial Black" w:hAnsi="Arial Black"/>
          <w:sz w:val="28"/>
          <w:szCs w:val="28"/>
        </w:rPr>
      </w:pPr>
      <w:r>
        <w:rPr>
          <w:rFonts w:ascii="Arial Black" w:hAnsi="Arial Black"/>
          <w:sz w:val="28"/>
          <w:szCs w:val="28"/>
        </w:rPr>
        <w:t>DC: U.S. CAPITOL INVASION - RET. AIR FORCE LT. COL.  2 YRS PRISON – MUST BE RESENTENCED, IMPACT OTHERS</w:t>
      </w:r>
    </w:p>
    <w:p w14:paraId="31BE1423" w14:textId="77777777" w:rsidR="00274E82" w:rsidRDefault="00274E82" w:rsidP="00274E82">
      <w:pPr>
        <w:pStyle w:val="NormalWeb"/>
      </w:pPr>
      <w:r w:rsidRPr="007E58D8">
        <w:t xml:space="preserve">On </w:t>
      </w:r>
      <w:r>
        <w:t xml:space="preserve">March 1, 2024, in </w:t>
      </w:r>
      <w:r w:rsidRPr="00E834B6">
        <w:rPr>
          <w:u w:val="single"/>
        </w:rPr>
        <w:t>United States of America v. Larry Rendall Brock</w:t>
      </w:r>
      <w:r>
        <w:t xml:space="preserve">, the U.S. Court of Appeals for the District of Columbia upheld his </w:t>
      </w:r>
      <w:proofErr w:type="gramStart"/>
      <w:r>
        <w:t>conviction, but</w:t>
      </w:r>
      <w:proofErr w:type="gramEnd"/>
      <w:r>
        <w:t xml:space="preserve"> required him to be re-sentenced since he received more prison time for interference with </w:t>
      </w:r>
      <w:r w:rsidRPr="00D11362">
        <w:t xml:space="preserve">“administration of justice” </w:t>
      </w:r>
      <w:r>
        <w:t xml:space="preserve">which does </w:t>
      </w:r>
      <w:r w:rsidRPr="00D11362">
        <w:t>not</w:t>
      </w:r>
      <w:r>
        <w:t xml:space="preserve"> </w:t>
      </w:r>
      <w:r w:rsidRPr="00D11362">
        <w:t>apply to interference with the legislative process of certifying</w:t>
      </w:r>
      <w:r>
        <w:t xml:space="preserve"> </w:t>
      </w:r>
      <w:r w:rsidRPr="00D11362">
        <w:t>electoral votes.</w:t>
      </w:r>
      <w:r>
        <w:t xml:space="preserve">  He is from </w:t>
      </w:r>
      <w:proofErr w:type="gramStart"/>
      <w:r>
        <w:t>Texas, and</w:t>
      </w:r>
      <w:proofErr w:type="gramEnd"/>
      <w:r>
        <w:t xml:space="preserve"> is now serving his 2-year sentence in a federal facility in Missouri. </w:t>
      </w:r>
    </w:p>
    <w:p w14:paraId="6417440D" w14:textId="77777777" w:rsidR="00274E82" w:rsidRDefault="00274E82" w:rsidP="00274E82">
      <w:pPr>
        <w:pStyle w:val="NoSpacing"/>
        <w:rPr>
          <w:rFonts w:ascii="Times New Roman" w:hAnsi="Times New Roman"/>
          <w:sz w:val="24"/>
          <w:szCs w:val="24"/>
        </w:rPr>
      </w:pPr>
      <w:r>
        <w:rPr>
          <w:rFonts w:ascii="Times New Roman" w:hAnsi="Times New Roman"/>
          <w:sz w:val="24"/>
          <w:szCs w:val="24"/>
        </w:rPr>
        <w:t xml:space="preserve">Court held (3 to 1): </w:t>
      </w:r>
    </w:p>
    <w:p w14:paraId="6B9A8F8C" w14:textId="77777777" w:rsidR="00274E82" w:rsidRDefault="00274E82" w:rsidP="00274E82">
      <w:pPr>
        <w:pStyle w:val="NoSpacing"/>
        <w:rPr>
          <w:rFonts w:ascii="Times New Roman" w:hAnsi="Times New Roman"/>
          <w:sz w:val="24"/>
          <w:szCs w:val="24"/>
        </w:rPr>
      </w:pPr>
    </w:p>
    <w:p w14:paraId="2381CC1F" w14:textId="77777777" w:rsidR="00274E82" w:rsidRPr="00D11362" w:rsidRDefault="00274E82" w:rsidP="00274E82">
      <w:pPr>
        <w:pStyle w:val="NoSpacing"/>
        <w:ind w:left="720"/>
        <w:rPr>
          <w:rFonts w:ascii="Times New Roman" w:hAnsi="Times New Roman"/>
          <w:sz w:val="24"/>
          <w:szCs w:val="24"/>
        </w:rPr>
      </w:pPr>
      <w:r>
        <w:rPr>
          <w:rFonts w:ascii="Times New Roman" w:hAnsi="Times New Roman"/>
          <w:sz w:val="24"/>
          <w:szCs w:val="24"/>
        </w:rPr>
        <w:t>“</w:t>
      </w:r>
      <w:r w:rsidRPr="00D11362">
        <w:rPr>
          <w:rFonts w:ascii="Times New Roman" w:hAnsi="Times New Roman"/>
          <w:sz w:val="24"/>
          <w:szCs w:val="24"/>
        </w:rPr>
        <w:t>Because the law and the record in this case foreclose</w:t>
      </w:r>
      <w:r>
        <w:rPr>
          <w:rFonts w:ascii="Times New Roman" w:hAnsi="Times New Roman"/>
          <w:sz w:val="24"/>
          <w:szCs w:val="24"/>
        </w:rPr>
        <w:t xml:space="preserve"> </w:t>
      </w:r>
      <w:r w:rsidRPr="00D11362">
        <w:rPr>
          <w:rFonts w:ascii="Times New Roman" w:hAnsi="Times New Roman"/>
          <w:sz w:val="24"/>
          <w:szCs w:val="24"/>
        </w:rPr>
        <w:t>Brock’s legal and sufficiency challenges, we affirm Brock’s</w:t>
      </w:r>
      <w:r>
        <w:rPr>
          <w:rFonts w:ascii="Times New Roman" w:hAnsi="Times New Roman"/>
          <w:sz w:val="24"/>
          <w:szCs w:val="24"/>
        </w:rPr>
        <w:t xml:space="preserve"> </w:t>
      </w:r>
      <w:r w:rsidRPr="00D11362">
        <w:rPr>
          <w:rFonts w:ascii="Times New Roman" w:hAnsi="Times New Roman"/>
          <w:sz w:val="24"/>
          <w:szCs w:val="24"/>
        </w:rPr>
        <w:t>Section 1512(c)(2) conviction. As for Brock’s sentence, we</w:t>
      </w:r>
      <w:r>
        <w:rPr>
          <w:rFonts w:ascii="Times New Roman" w:hAnsi="Times New Roman"/>
          <w:sz w:val="24"/>
          <w:szCs w:val="24"/>
        </w:rPr>
        <w:t xml:space="preserve"> </w:t>
      </w:r>
      <w:r w:rsidRPr="00D11362">
        <w:rPr>
          <w:rFonts w:ascii="Times New Roman" w:hAnsi="Times New Roman"/>
          <w:sz w:val="24"/>
          <w:szCs w:val="24"/>
        </w:rPr>
        <w:t>hold that the “administration of justice” enhancement does not</w:t>
      </w:r>
      <w:r>
        <w:rPr>
          <w:rFonts w:ascii="Times New Roman" w:hAnsi="Times New Roman"/>
          <w:sz w:val="24"/>
          <w:szCs w:val="24"/>
        </w:rPr>
        <w:t xml:space="preserve"> </w:t>
      </w:r>
      <w:r w:rsidRPr="00D11362">
        <w:rPr>
          <w:rFonts w:ascii="Times New Roman" w:hAnsi="Times New Roman"/>
          <w:sz w:val="24"/>
          <w:szCs w:val="24"/>
        </w:rPr>
        <w:t>apply to interference with the legislative process of certifying</w:t>
      </w:r>
      <w:r>
        <w:rPr>
          <w:rFonts w:ascii="Times New Roman" w:hAnsi="Times New Roman"/>
          <w:sz w:val="24"/>
          <w:szCs w:val="24"/>
        </w:rPr>
        <w:t xml:space="preserve"> </w:t>
      </w:r>
      <w:r w:rsidRPr="00D11362">
        <w:rPr>
          <w:rFonts w:ascii="Times New Roman" w:hAnsi="Times New Roman"/>
          <w:sz w:val="24"/>
          <w:szCs w:val="24"/>
        </w:rPr>
        <w:t>electoral votes. For that reason, we vacate Brock’s sentence</w:t>
      </w:r>
      <w:r>
        <w:rPr>
          <w:rFonts w:ascii="Times New Roman" w:hAnsi="Times New Roman"/>
          <w:sz w:val="24"/>
          <w:szCs w:val="24"/>
        </w:rPr>
        <w:t xml:space="preserve"> </w:t>
      </w:r>
      <w:r w:rsidRPr="00D11362">
        <w:rPr>
          <w:rFonts w:ascii="Times New Roman" w:hAnsi="Times New Roman"/>
          <w:sz w:val="24"/>
          <w:szCs w:val="24"/>
        </w:rPr>
        <w:t>for his Section 1512(c)(2) conviction and remand to the district</w:t>
      </w:r>
      <w:r>
        <w:rPr>
          <w:rFonts w:ascii="Times New Roman" w:hAnsi="Times New Roman"/>
          <w:sz w:val="24"/>
          <w:szCs w:val="24"/>
        </w:rPr>
        <w:t xml:space="preserve"> </w:t>
      </w:r>
      <w:r w:rsidRPr="00D11362">
        <w:rPr>
          <w:rFonts w:ascii="Times New Roman" w:hAnsi="Times New Roman"/>
          <w:sz w:val="24"/>
          <w:szCs w:val="24"/>
        </w:rPr>
        <w:t>court for resentencing.</w:t>
      </w:r>
      <w:r>
        <w:rPr>
          <w:rFonts w:ascii="Times New Roman" w:hAnsi="Times New Roman"/>
          <w:sz w:val="24"/>
          <w:szCs w:val="24"/>
        </w:rPr>
        <w:t xml:space="preserve">” </w:t>
      </w:r>
      <w:hyperlink r:id="rId684" w:history="1">
        <w:r w:rsidRPr="00E64ED3">
          <w:rPr>
            <w:rStyle w:val="Hyperlink"/>
            <w:rFonts w:ascii="Times New Roman" w:hAnsi="Times New Roman"/>
            <w:sz w:val="24"/>
            <w:szCs w:val="24"/>
          </w:rPr>
          <w:t>https://storage.courtlistener.com/recap/gov.uscourts.cadc.39605/gov.uscourts.cadc.39605.1208600933.0.pdf</w:t>
        </w:r>
      </w:hyperlink>
      <w:r>
        <w:rPr>
          <w:rFonts w:ascii="Times New Roman" w:hAnsi="Times New Roman"/>
          <w:sz w:val="24"/>
          <w:szCs w:val="24"/>
        </w:rPr>
        <w:t xml:space="preserve"> </w:t>
      </w:r>
    </w:p>
    <w:p w14:paraId="076649D8" w14:textId="77777777" w:rsidR="00274E82" w:rsidRDefault="00274E82" w:rsidP="00274E82">
      <w:pPr>
        <w:pStyle w:val="NoSpacing"/>
        <w:ind w:left="720"/>
        <w:rPr>
          <w:rFonts w:ascii="Times New Roman" w:hAnsi="Times New Roman"/>
          <w:sz w:val="24"/>
          <w:szCs w:val="24"/>
        </w:rPr>
      </w:pPr>
    </w:p>
    <w:p w14:paraId="7A2BA015" w14:textId="77777777" w:rsidR="00274E82" w:rsidRPr="008900C4" w:rsidRDefault="00274E82" w:rsidP="00274E82">
      <w:pPr>
        <w:pStyle w:val="NoSpacing"/>
        <w:ind w:left="360"/>
        <w:rPr>
          <w:rFonts w:ascii="Times New Roman" w:hAnsi="Times New Roman"/>
          <w:b/>
          <w:bCs/>
          <w:sz w:val="24"/>
          <w:szCs w:val="24"/>
        </w:rPr>
      </w:pPr>
      <w:r w:rsidRPr="008900C4">
        <w:rPr>
          <w:rFonts w:ascii="Times New Roman" w:hAnsi="Times New Roman"/>
          <w:b/>
          <w:bCs/>
          <w:sz w:val="24"/>
          <w:szCs w:val="24"/>
        </w:rPr>
        <w:t>Legal Lesson Learned:</w:t>
      </w:r>
      <w:r>
        <w:rPr>
          <w:rFonts w:ascii="Times New Roman" w:hAnsi="Times New Roman"/>
          <w:b/>
          <w:bCs/>
          <w:sz w:val="24"/>
          <w:szCs w:val="24"/>
        </w:rPr>
        <w:t xml:space="preserve"> Over 100 other convicted for attack on U.S. Capitol on Jan. 6, </w:t>
      </w:r>
      <w:proofErr w:type="gramStart"/>
      <w:r>
        <w:rPr>
          <w:rFonts w:ascii="Times New Roman" w:hAnsi="Times New Roman"/>
          <w:b/>
          <w:bCs/>
          <w:sz w:val="24"/>
          <w:szCs w:val="24"/>
        </w:rPr>
        <w:t>2021</w:t>
      </w:r>
      <w:proofErr w:type="gramEnd"/>
      <w:r>
        <w:rPr>
          <w:rFonts w:ascii="Times New Roman" w:hAnsi="Times New Roman"/>
          <w:b/>
          <w:bCs/>
          <w:sz w:val="24"/>
          <w:szCs w:val="24"/>
        </w:rPr>
        <w:t xml:space="preserve">  may need to be re-sentenced. </w:t>
      </w:r>
    </w:p>
    <w:p w14:paraId="76A943CE" w14:textId="77777777" w:rsidR="00274E82" w:rsidRPr="00134B1F" w:rsidRDefault="00274E82" w:rsidP="00274E82">
      <w:pPr>
        <w:pStyle w:val="Heading1"/>
        <w:ind w:left="720"/>
        <w:rPr>
          <w:b w:val="0"/>
          <w:bCs w:val="0"/>
          <w:sz w:val="24"/>
          <w:szCs w:val="24"/>
        </w:rPr>
      </w:pPr>
      <w:r w:rsidRPr="00134B1F">
        <w:rPr>
          <w:b w:val="0"/>
          <w:bCs w:val="0"/>
          <w:sz w:val="24"/>
          <w:szCs w:val="24"/>
        </w:rPr>
        <w:t xml:space="preserve">Note: See photo of Brock in green army helmet and vest on Senate floor. “Appeals court ruling vacating Capitol rioter’s sentence could impact dozens of Jan. 6 cases.” </w:t>
      </w:r>
      <w:hyperlink r:id="rId685" w:history="1">
        <w:r w:rsidRPr="00134B1F">
          <w:rPr>
            <w:rStyle w:val="Hyperlink"/>
            <w:b w:val="0"/>
            <w:bCs w:val="0"/>
            <w:sz w:val="24"/>
            <w:szCs w:val="24"/>
          </w:rPr>
          <w:t>https://www.newsandsentinel.com/news/local-news/2024/03/appeals-court-ruling-vacating-capitol-rioters-sentence-could-impact-dozens-of-jan-6-cases/</w:t>
        </w:r>
      </w:hyperlink>
      <w:r w:rsidRPr="00134B1F">
        <w:rPr>
          <w:b w:val="0"/>
          <w:bCs w:val="0"/>
          <w:sz w:val="24"/>
          <w:szCs w:val="24"/>
        </w:rPr>
        <w:t xml:space="preserve"> </w:t>
      </w:r>
    </w:p>
    <w:p w14:paraId="3747650F" w14:textId="77777777" w:rsidR="002E2535" w:rsidRDefault="002E2535" w:rsidP="00F326E5">
      <w:pPr>
        <w:pStyle w:val="NoSpacing"/>
        <w:rPr>
          <w:rFonts w:ascii="Arial Black" w:hAnsi="Arial Black"/>
          <w:sz w:val="28"/>
          <w:szCs w:val="28"/>
        </w:rPr>
      </w:pPr>
    </w:p>
    <w:p w14:paraId="21711285" w14:textId="77777777" w:rsidR="002E2535" w:rsidRDefault="002E2535" w:rsidP="00F326E5">
      <w:pPr>
        <w:pStyle w:val="NoSpacing"/>
        <w:rPr>
          <w:rFonts w:ascii="Arial Black" w:hAnsi="Arial Black"/>
          <w:sz w:val="28"/>
          <w:szCs w:val="28"/>
        </w:rPr>
      </w:pPr>
    </w:p>
    <w:p w14:paraId="79083063" w14:textId="77777777" w:rsidR="002E2535" w:rsidRDefault="002E2535" w:rsidP="00F326E5">
      <w:pPr>
        <w:pStyle w:val="NoSpacing"/>
        <w:rPr>
          <w:rFonts w:ascii="Arial Black" w:hAnsi="Arial Black"/>
          <w:sz w:val="28"/>
          <w:szCs w:val="28"/>
        </w:rPr>
      </w:pPr>
    </w:p>
    <w:p w14:paraId="70E2E64E" w14:textId="03BD400C" w:rsidR="001B3B5F" w:rsidRDefault="001B3B5F"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8</w:t>
      </w:r>
    </w:p>
    <w:p w14:paraId="494AEDD8" w14:textId="77777777" w:rsidR="00231839" w:rsidRDefault="00231839" w:rsidP="00231839">
      <w:pPr>
        <w:pStyle w:val="NormalWeb"/>
        <w:rPr>
          <w:rFonts w:ascii="Arial Black" w:hAnsi="Arial Black"/>
          <w:b/>
          <w:bCs/>
          <w:sz w:val="28"/>
          <w:szCs w:val="28"/>
        </w:rPr>
      </w:pPr>
      <w:r>
        <w:rPr>
          <w:rFonts w:ascii="Arial Black" w:hAnsi="Arial Black"/>
          <w:b/>
          <w:bCs/>
          <w:sz w:val="28"/>
          <w:szCs w:val="28"/>
        </w:rPr>
        <w:t>NY: WORLD TRADE CENTER “PRESUMPTION” STATUTE – FF OVERDOSE AFTER KNEE REPLACEMENT – LODD PENSION</w:t>
      </w:r>
    </w:p>
    <w:p w14:paraId="5A935E0B" w14:textId="2DBF6894" w:rsidR="00231839" w:rsidRDefault="00231839" w:rsidP="00231839">
      <w:pPr>
        <w:pStyle w:val="NormalWeb"/>
      </w:pPr>
      <w:r w:rsidRPr="006B064A">
        <w:t xml:space="preserve">On </w:t>
      </w:r>
      <w:r>
        <w:t xml:space="preserve">Jan. 3, 2024, in </w:t>
      </w:r>
      <w:r w:rsidRPr="001A09E1">
        <w:rPr>
          <w:u w:val="single"/>
        </w:rPr>
        <w:t>Michelle Quinn v. The Board of Trustees of the Fire Department of the City of New York Pension Fund</w:t>
      </w:r>
      <w:r>
        <w:t xml:space="preserve">, Justice Arthur F. Engoron, Superior Court of New York, New York County, held (unpublished decision) that the wife of late Peter A. Quinn is entitled to line-of-duty death benefits, overruling the Pension Fund’s Oct. 26, </w:t>
      </w:r>
      <w:proofErr w:type="gramStart"/>
      <w:r>
        <w:t>2022</w:t>
      </w:r>
      <w:proofErr w:type="gramEnd"/>
      <w:r>
        <w:t xml:space="preserve"> denial of benefits.  He di</w:t>
      </w:r>
      <w:r w:rsidR="008749CD">
        <w:t>e</w:t>
      </w:r>
      <w:r>
        <w:t>d of drug overdose on Jan. 21, 2019 (prescribed morphine and oxycodone), two days after being released from hospital for left knee replacement. The wife provided a report from Dr. Richard Stripp, Ph.D, who had found it was not suicide, but an accidental overdose due to poor health status and previous history of respiratory disease and sleep apnea which “</w:t>
      </w:r>
      <w:r>
        <w:rPr>
          <w:rStyle w:val="Emphasis"/>
        </w:rPr>
        <w:t>greatly</w:t>
      </w:r>
      <w:r>
        <w:t xml:space="preserve"> increased the risk of a fatal accidental overdose from opioid analgesics."  </w:t>
      </w:r>
    </w:p>
    <w:p w14:paraId="628BBF62" w14:textId="77777777" w:rsidR="00231839" w:rsidRDefault="00231839" w:rsidP="00231839">
      <w:pPr>
        <w:ind w:left="720"/>
        <w:rPr>
          <w:rFonts w:ascii="Times New Roman" w:hAnsi="Times New Roman"/>
          <w:sz w:val="24"/>
          <w:szCs w:val="24"/>
        </w:rPr>
      </w:pPr>
      <w:r>
        <w:rPr>
          <w:rFonts w:ascii="Times New Roman" w:hAnsi="Times New Roman"/>
          <w:sz w:val="24"/>
          <w:szCs w:val="24"/>
        </w:rPr>
        <w:t>“</w:t>
      </w:r>
      <w:r w:rsidRPr="00C66254">
        <w:rPr>
          <w:rFonts w:ascii="Times New Roman" w:hAnsi="Times New Roman"/>
          <w:sz w:val="24"/>
          <w:szCs w:val="24"/>
        </w:rPr>
        <w:t xml:space="preserve">Pursuant to the WTC Bill, an eligible firefighter's disability or death as a result of a qualifying WTC condition, as defined in Retirement and Social Security Law § 2 (36), is </w:t>
      </w:r>
      <w:r>
        <w:rPr>
          <w:rFonts w:ascii="Times New Roman" w:hAnsi="Times New Roman"/>
          <w:sz w:val="24"/>
          <w:szCs w:val="24"/>
        </w:rPr>
        <w:t>‘</w:t>
      </w:r>
      <w:r w:rsidRPr="00C66254">
        <w:rPr>
          <w:rFonts w:ascii="Times New Roman" w:hAnsi="Times New Roman"/>
          <w:sz w:val="24"/>
          <w:szCs w:val="24"/>
        </w:rPr>
        <w:t>presumptive evidence that it was incurred in the performance and discharge of duty and the natural and proximate result of an accident not caused by such member's own willful negligence, unless the contrary be proved by competent evidence</w:t>
      </w:r>
      <w:r>
        <w:rPr>
          <w:rFonts w:ascii="Times New Roman" w:hAnsi="Times New Roman"/>
          <w:sz w:val="24"/>
          <w:szCs w:val="24"/>
        </w:rPr>
        <w:t>’</w:t>
      </w:r>
      <w:r w:rsidRPr="00C66254">
        <w:rPr>
          <w:rFonts w:ascii="Times New Roman" w:hAnsi="Times New Roman"/>
          <w:sz w:val="24"/>
          <w:szCs w:val="24"/>
        </w:rPr>
        <w:t xml:space="preserve"> (the </w:t>
      </w:r>
      <w:r>
        <w:rPr>
          <w:rFonts w:ascii="Times New Roman" w:hAnsi="Times New Roman"/>
          <w:sz w:val="24"/>
          <w:szCs w:val="24"/>
        </w:rPr>
        <w:t>‘</w:t>
      </w:r>
      <w:r w:rsidRPr="00C66254">
        <w:rPr>
          <w:rFonts w:ascii="Times New Roman" w:hAnsi="Times New Roman"/>
          <w:sz w:val="24"/>
          <w:szCs w:val="24"/>
        </w:rPr>
        <w:t>WTC Presumption</w:t>
      </w:r>
      <w:r>
        <w:rPr>
          <w:rFonts w:ascii="Times New Roman" w:hAnsi="Times New Roman"/>
          <w:sz w:val="24"/>
          <w:szCs w:val="24"/>
        </w:rPr>
        <w:t>’</w:t>
      </w:r>
      <w:r w:rsidRPr="00C66254">
        <w:rPr>
          <w:rFonts w:ascii="Times New Roman" w:hAnsi="Times New Roman"/>
          <w:sz w:val="24"/>
          <w:szCs w:val="24"/>
        </w:rPr>
        <w:t>).</w:t>
      </w:r>
    </w:p>
    <w:p w14:paraId="263A0851" w14:textId="77777777" w:rsidR="00231839" w:rsidRDefault="00231839" w:rsidP="00231839">
      <w:pPr>
        <w:ind w:firstLine="720"/>
        <w:rPr>
          <w:rFonts w:ascii="Times New Roman" w:hAnsi="Times New Roman"/>
          <w:sz w:val="24"/>
          <w:szCs w:val="24"/>
        </w:rPr>
      </w:pPr>
      <w:r>
        <w:rPr>
          <w:rFonts w:ascii="Times New Roman" w:hAnsi="Times New Roman"/>
          <w:sz w:val="24"/>
          <w:szCs w:val="24"/>
        </w:rPr>
        <w:t>***</w:t>
      </w:r>
    </w:p>
    <w:p w14:paraId="13449669" w14:textId="1B5DCC9E" w:rsidR="00231839" w:rsidRDefault="00231839" w:rsidP="00231839">
      <w:pPr>
        <w:pStyle w:val="NoSpacing"/>
        <w:rPr>
          <w:rStyle w:val="Hyperlink"/>
          <w:rFonts w:ascii="Times New Roman" w:hAnsi="Times New Roman"/>
          <w:sz w:val="24"/>
          <w:szCs w:val="24"/>
        </w:rPr>
      </w:pPr>
      <w:r w:rsidRPr="006F1EC0">
        <w:rPr>
          <w:rFonts w:ascii="Times New Roman" w:hAnsi="Times New Roman"/>
          <w:sz w:val="24"/>
          <w:szCs w:val="24"/>
        </w:rPr>
        <w:t>Here, there is no question that Quinn was at the WTC site and disabled as the proximate result of his line-of-duty exposure</w:t>
      </w:r>
      <w:r w:rsidRPr="00297192">
        <w:rPr>
          <w:rFonts w:ascii="Times New Roman" w:hAnsi="Times New Roman"/>
          <w:sz w:val="24"/>
          <w:szCs w:val="24"/>
        </w:rPr>
        <w:t>…. Petitioner, through the report of Dr. Stripp, has made a credible argument supporting the proposition that the accidental overdose cause of death listed on Quinn's autopsy was, in turn, a result of his WTC injuries</w:t>
      </w:r>
      <w:r w:rsidRPr="00744825">
        <w:rPr>
          <w:rFonts w:ascii="Times New Roman" w:hAnsi="Times New Roman"/>
          <w:sz w:val="24"/>
          <w:szCs w:val="24"/>
        </w:rPr>
        <w:t>… That Quinn's qualifying conditions specifically made him susceptible to an accidental overdose is further supported by the HSS doctor's notes and the fact that he was prescribed anti-overdose medications. ***  It</w:t>
      </w:r>
      <w:r w:rsidRPr="0076344F">
        <w:rPr>
          <w:rFonts w:ascii="Times New Roman" w:hAnsi="Times New Roman"/>
          <w:sz w:val="24"/>
          <w:szCs w:val="24"/>
        </w:rPr>
        <w:t xml:space="preserve"> was arbitrary and capricious for respondents to find that Quinn was not entitled to the WTC Presumption, and, therefore, they must rebut that presumption with "credible evidence," which they failed to do. Respondent's conjecture and unsupported suspicion that Quinn's accidental overdose was not ultimately caused by a qualifying WTC condition is insufficient.</w:t>
      </w:r>
      <w:r>
        <w:rPr>
          <w:rFonts w:ascii="Times New Roman" w:hAnsi="Times New Roman"/>
          <w:sz w:val="24"/>
          <w:szCs w:val="24"/>
        </w:rPr>
        <w:t xml:space="preserve"> … </w:t>
      </w:r>
      <w:r w:rsidRPr="00F6495A">
        <w:rPr>
          <w:rFonts w:ascii="Times New Roman" w:hAnsi="Times New Roman"/>
          <w:sz w:val="24"/>
          <w:szCs w:val="24"/>
        </w:rPr>
        <w:t>Therefore, this Court will direct respondent to vacate its prior determination, denying petitioner's application for a line-of-duty death benefit pension pursuant to the WTC Bill</w:t>
      </w:r>
      <w:r>
        <w:rPr>
          <w:rFonts w:ascii="Times New Roman" w:hAnsi="Times New Roman"/>
          <w:sz w:val="24"/>
          <w:szCs w:val="24"/>
        </w:rPr>
        <w:t xml:space="preserve">.” </w:t>
      </w:r>
      <w:hyperlink r:id="rId686" w:history="1">
        <w:r w:rsidRPr="00A46316">
          <w:rPr>
            <w:rStyle w:val="Hyperlink"/>
            <w:rFonts w:ascii="Times New Roman" w:hAnsi="Times New Roman"/>
            <w:sz w:val="24"/>
            <w:szCs w:val="24"/>
          </w:rPr>
          <w:t>https://casetext.com/case/quinn-v-the-bd-of-trs-of-fire-dept-of-city-of-ny-pension-fund</w:t>
        </w:r>
      </w:hyperlink>
    </w:p>
    <w:p w14:paraId="6223B862" w14:textId="77777777" w:rsidR="00233F5D" w:rsidRPr="00B86616" w:rsidRDefault="00233F5D" w:rsidP="00233F5D">
      <w:pPr>
        <w:pStyle w:val="NormalWeb"/>
        <w:rPr>
          <w:b/>
          <w:bCs/>
        </w:rPr>
      </w:pPr>
      <w:r w:rsidRPr="00B86616">
        <w:rPr>
          <w:b/>
          <w:bCs/>
        </w:rPr>
        <w:t>Legal Lesson Learned:</w:t>
      </w:r>
      <w:r>
        <w:rPr>
          <w:b/>
          <w:bCs/>
        </w:rPr>
        <w:t xml:space="preserve"> Excellent decision based on World Trade Center “presumption” law. </w:t>
      </w:r>
    </w:p>
    <w:p w14:paraId="253AF708" w14:textId="77777777" w:rsidR="00233F5D" w:rsidRDefault="00233F5D" w:rsidP="00231839">
      <w:pPr>
        <w:pStyle w:val="NoSpacing"/>
        <w:rPr>
          <w:rFonts w:ascii="Arial Black" w:hAnsi="Arial Black"/>
          <w:sz w:val="28"/>
          <w:szCs w:val="28"/>
        </w:rPr>
      </w:pPr>
    </w:p>
    <w:p w14:paraId="5AE96001" w14:textId="77777777" w:rsidR="001B3B5F" w:rsidRDefault="001B3B5F" w:rsidP="00F326E5">
      <w:pPr>
        <w:pStyle w:val="NoSpacing"/>
        <w:rPr>
          <w:rFonts w:ascii="Arial Black" w:hAnsi="Arial Black"/>
          <w:sz w:val="28"/>
          <w:szCs w:val="28"/>
        </w:rPr>
      </w:pPr>
    </w:p>
    <w:p w14:paraId="2929653B" w14:textId="77777777" w:rsidR="001B3B5F" w:rsidRDefault="001B3B5F" w:rsidP="00F326E5">
      <w:pPr>
        <w:pStyle w:val="NoSpacing"/>
        <w:rPr>
          <w:rFonts w:ascii="Arial Black" w:hAnsi="Arial Black"/>
          <w:sz w:val="28"/>
          <w:szCs w:val="28"/>
        </w:rPr>
      </w:pPr>
    </w:p>
    <w:p w14:paraId="61A13F07" w14:textId="77777777" w:rsidR="001B3B5F" w:rsidRDefault="001B3B5F" w:rsidP="00F326E5">
      <w:pPr>
        <w:pStyle w:val="NoSpacing"/>
        <w:rPr>
          <w:rFonts w:ascii="Arial Black" w:hAnsi="Arial Black"/>
          <w:sz w:val="28"/>
          <w:szCs w:val="28"/>
        </w:rPr>
      </w:pPr>
    </w:p>
    <w:p w14:paraId="243D6616" w14:textId="74D7A948" w:rsidR="009B0593" w:rsidRDefault="0074687D"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7</w:t>
      </w:r>
    </w:p>
    <w:p w14:paraId="7A162F75" w14:textId="77777777" w:rsidR="005D6C9F" w:rsidRPr="005D6C9F" w:rsidRDefault="005D6C9F" w:rsidP="005D6C9F">
      <w:pPr>
        <w:pStyle w:val="Heading2"/>
        <w:rPr>
          <w:rFonts w:ascii="Arial Black" w:hAnsi="Arial Black"/>
          <w:b w:val="0"/>
          <w:bCs w:val="0"/>
          <w:i w:val="0"/>
          <w:iCs w:val="0"/>
        </w:rPr>
      </w:pPr>
      <w:r w:rsidRPr="005D6C9F">
        <w:rPr>
          <w:rFonts w:ascii="Arial Black" w:hAnsi="Arial Black"/>
          <w:b w:val="0"/>
          <w:bCs w:val="0"/>
          <w:i w:val="0"/>
          <w:iCs w:val="0"/>
        </w:rPr>
        <w:t>TX: TIK TOK - GOVERNOR MAY LIMIT USE ON STATE / UNIVERSITY DEVICES – COMPANY BASED IN CHINA</w:t>
      </w:r>
    </w:p>
    <w:p w14:paraId="4790A2E7" w14:textId="77777777" w:rsidR="005D6C9F" w:rsidRDefault="005D6C9F" w:rsidP="005D6C9F">
      <w:pPr>
        <w:pStyle w:val="Heading2"/>
        <w:rPr>
          <w:rFonts w:ascii="Times New Roman" w:hAnsi="Times New Roman"/>
          <w:sz w:val="24"/>
          <w:szCs w:val="24"/>
        </w:rPr>
      </w:pPr>
      <w:r w:rsidRPr="005D6C9F">
        <w:rPr>
          <w:rFonts w:ascii="Times New Roman" w:hAnsi="Times New Roman"/>
          <w:b w:val="0"/>
          <w:bCs w:val="0"/>
          <w:i w:val="0"/>
          <w:iCs w:val="0"/>
          <w:sz w:val="24"/>
          <w:szCs w:val="24"/>
        </w:rPr>
        <w:t xml:space="preserve">On Dec. 11, 2023, in </w:t>
      </w:r>
      <w:r w:rsidRPr="005D6C9F">
        <w:rPr>
          <w:rFonts w:ascii="Times New Roman" w:hAnsi="Times New Roman"/>
          <w:b w:val="0"/>
          <w:bCs w:val="0"/>
          <w:i w:val="0"/>
          <w:iCs w:val="0"/>
          <w:sz w:val="24"/>
          <w:szCs w:val="24"/>
          <w:u w:val="single"/>
        </w:rPr>
        <w:t xml:space="preserve">Coalition </w:t>
      </w:r>
      <w:proofErr w:type="gramStart"/>
      <w:r w:rsidRPr="005D6C9F">
        <w:rPr>
          <w:rFonts w:ascii="Times New Roman" w:hAnsi="Times New Roman"/>
          <w:b w:val="0"/>
          <w:bCs w:val="0"/>
          <w:i w:val="0"/>
          <w:iCs w:val="0"/>
          <w:sz w:val="24"/>
          <w:szCs w:val="24"/>
          <w:u w:val="single"/>
        </w:rPr>
        <w:t>For</w:t>
      </w:r>
      <w:proofErr w:type="gramEnd"/>
      <w:r w:rsidRPr="005D6C9F">
        <w:rPr>
          <w:rFonts w:ascii="Times New Roman" w:hAnsi="Times New Roman"/>
          <w:b w:val="0"/>
          <w:bCs w:val="0"/>
          <w:i w:val="0"/>
          <w:iCs w:val="0"/>
          <w:sz w:val="24"/>
          <w:szCs w:val="24"/>
          <w:u w:val="single"/>
        </w:rPr>
        <w:t xml:space="preserve"> Independent Technology Research v. Gregg Abbott, et al</w:t>
      </w:r>
      <w:r w:rsidRPr="005D6C9F">
        <w:rPr>
          <w:rFonts w:ascii="Times New Roman" w:hAnsi="Times New Roman"/>
          <w:b w:val="0"/>
          <w:bCs w:val="0"/>
          <w:i w:val="0"/>
          <w:iCs w:val="0"/>
          <w:sz w:val="24"/>
          <w:szCs w:val="24"/>
        </w:rPr>
        <w:t>., U.S. District Court judge Robert Pitman, U.S. District Court for Western District of Texas, granted defense motion to dismiss the lawsuit.  TikTok is banned in over 30 states in USA; owned by ByteDance Ltd., Beijing, China. The Court wrote: “While the Court recognizes the importance both of protecting academic freedom and supporting public employees' right to free speech, the Court finds that these important ideals do not dictate the appropriate framework for this case. Texas's TikTok ban is not a restraint on public employee speech. Even as applied to public university faculty, who are entitled to special considerations under the law, the Court finds that the ban is not a restraint on speech in a public forum, but rather a restriction on a nonpublic forum motivated by Texas's data protection concerns regarding TikTok, an app owned by a company based in China. (</w:t>
      </w:r>
      <w:proofErr w:type="spellStart"/>
      <w:r w:rsidRPr="005D6C9F">
        <w:rPr>
          <w:rFonts w:ascii="Times New Roman" w:hAnsi="Times New Roman"/>
          <w:b w:val="0"/>
          <w:bCs w:val="0"/>
          <w:i w:val="0"/>
          <w:iCs w:val="0"/>
          <w:sz w:val="24"/>
          <w:szCs w:val="24"/>
        </w:rPr>
        <w:t>Compl</w:t>
      </w:r>
      <w:proofErr w:type="spellEnd"/>
      <w:r w:rsidRPr="005D6C9F">
        <w:rPr>
          <w:rFonts w:ascii="Times New Roman" w:hAnsi="Times New Roman"/>
          <w:b w:val="0"/>
          <w:bCs w:val="0"/>
          <w:i w:val="0"/>
          <w:iCs w:val="0"/>
          <w:sz w:val="24"/>
          <w:szCs w:val="24"/>
        </w:rPr>
        <w:t xml:space="preserve">., </w:t>
      </w:r>
      <w:proofErr w:type="spellStart"/>
      <w:r w:rsidRPr="005D6C9F">
        <w:rPr>
          <w:rFonts w:ascii="Times New Roman" w:hAnsi="Times New Roman"/>
          <w:b w:val="0"/>
          <w:bCs w:val="0"/>
          <w:i w:val="0"/>
          <w:iCs w:val="0"/>
          <w:sz w:val="24"/>
          <w:szCs w:val="24"/>
        </w:rPr>
        <w:t>Dkt</w:t>
      </w:r>
      <w:proofErr w:type="spellEnd"/>
      <w:r w:rsidRPr="005D6C9F">
        <w:rPr>
          <w:rFonts w:ascii="Times New Roman" w:hAnsi="Times New Roman"/>
          <w:b w:val="0"/>
          <w:bCs w:val="0"/>
          <w:i w:val="0"/>
          <w:iCs w:val="0"/>
          <w:sz w:val="24"/>
          <w:szCs w:val="24"/>
        </w:rPr>
        <w:t>. 1, at 2). Texas's TikTok ban is limiting the use of an app on state-provided devices and networks, which is not a blanket prohibition. Public university faculty-and all public employees-are free to use TikTok on their personal devices (</w:t>
      </w:r>
      <w:proofErr w:type="gramStart"/>
      <w:r w:rsidRPr="005D6C9F">
        <w:rPr>
          <w:rFonts w:ascii="Times New Roman" w:hAnsi="Times New Roman"/>
          <w:b w:val="0"/>
          <w:bCs w:val="0"/>
          <w:i w:val="0"/>
          <w:iCs w:val="0"/>
          <w:sz w:val="24"/>
          <w:szCs w:val="24"/>
        </w:rPr>
        <w:t>as long as</w:t>
      </w:r>
      <w:proofErr w:type="gramEnd"/>
      <w:r w:rsidRPr="005D6C9F">
        <w:rPr>
          <w:rFonts w:ascii="Times New Roman" w:hAnsi="Times New Roman"/>
          <w:b w:val="0"/>
          <w:bCs w:val="0"/>
          <w:i w:val="0"/>
          <w:iCs w:val="0"/>
          <w:sz w:val="24"/>
          <w:szCs w:val="24"/>
        </w:rPr>
        <w:t xml:space="preserve"> such devices are not used to access state networks). Therefore, the Court disagrees with Plaintiff's characterization of the ban as falling under the category of public employee speech. The Court finds nonpublic forum analysis to be the proper framework for Plaintiff's challenge, as the ban relates to Texas's regulation of its own governmental </w:t>
      </w:r>
      <w:proofErr w:type="gramStart"/>
      <w:r w:rsidRPr="005D6C9F">
        <w:rPr>
          <w:rFonts w:ascii="Times New Roman" w:hAnsi="Times New Roman"/>
          <w:b w:val="0"/>
          <w:bCs w:val="0"/>
          <w:i w:val="0"/>
          <w:iCs w:val="0"/>
          <w:sz w:val="24"/>
          <w:szCs w:val="24"/>
        </w:rPr>
        <w:t>property.”</w:t>
      </w:r>
      <w:proofErr w:type="gramEnd"/>
      <w:r w:rsidRPr="005D6C9F">
        <w:rPr>
          <w:rFonts w:ascii="Times New Roman" w:hAnsi="Times New Roman"/>
          <w:b w:val="0"/>
          <w:bCs w:val="0"/>
          <w:i w:val="0"/>
          <w:iCs w:val="0"/>
          <w:sz w:val="24"/>
          <w:szCs w:val="24"/>
        </w:rPr>
        <w:t xml:space="preserve"> </w:t>
      </w:r>
      <w:hyperlink r:id="rId687" w:history="1">
        <w:r w:rsidRPr="005D6C9F">
          <w:rPr>
            <w:rStyle w:val="Hyperlink"/>
            <w:rFonts w:ascii="Times New Roman" w:hAnsi="Times New Roman"/>
            <w:b w:val="0"/>
            <w:bCs w:val="0"/>
            <w:i w:val="0"/>
            <w:iCs w:val="0"/>
            <w:sz w:val="24"/>
            <w:szCs w:val="24"/>
          </w:rPr>
          <w:t>https://casetext.com/case/coal-for-indep-tech-research-v-abbott</w:t>
        </w:r>
      </w:hyperlink>
      <w:r>
        <w:rPr>
          <w:rFonts w:ascii="Times New Roman" w:hAnsi="Times New Roman"/>
          <w:sz w:val="24"/>
          <w:szCs w:val="24"/>
        </w:rPr>
        <w:t xml:space="preserve"> </w:t>
      </w:r>
    </w:p>
    <w:p w14:paraId="1EB0DAA1" w14:textId="77777777" w:rsidR="00E66493" w:rsidRPr="002C2A9E" w:rsidRDefault="00E66493" w:rsidP="00E66493">
      <w:pPr>
        <w:pStyle w:val="NormalWeb"/>
        <w:rPr>
          <w:b/>
          <w:bCs/>
        </w:rPr>
      </w:pPr>
      <w:r w:rsidRPr="002C2A9E">
        <w:rPr>
          <w:b/>
          <w:bCs/>
        </w:rPr>
        <w:t>Legal Lesson Learned:</w:t>
      </w:r>
      <w:r>
        <w:rPr>
          <w:b/>
          <w:bCs/>
        </w:rPr>
        <w:t xml:space="preserve"> State employees, including university professors, may still use TikTok on their personal devices. </w:t>
      </w:r>
    </w:p>
    <w:p w14:paraId="01C00B83" w14:textId="77777777" w:rsidR="00E66493" w:rsidRDefault="00E66493" w:rsidP="00E66493">
      <w:pPr>
        <w:pStyle w:val="NormalWeb"/>
        <w:ind w:left="720"/>
        <w:rPr>
          <w:b/>
          <w:bCs/>
        </w:rPr>
      </w:pPr>
      <w:r w:rsidRPr="00186EE2">
        <w:t xml:space="preserve">Note: “Federal interim rule implements TikTok ban on devices used in the performance of </w:t>
      </w:r>
      <w:r>
        <w:t xml:space="preserve"> f</w:t>
      </w:r>
      <w:r w:rsidRPr="00186EE2">
        <w:t xml:space="preserve">ederal contracts. ”July 13, 2023). </w:t>
      </w:r>
      <w:hyperlink r:id="rId688" w:history="1">
        <w:r w:rsidRPr="00186EE2">
          <w:rPr>
            <w:rStyle w:val="Hyperlink"/>
          </w:rPr>
          <w:t>https://research.wisc.edu/uncategorized/2023/07/13/federal-interim-rule-implements-tiktok-ban-on-devices-used-in-the-performance-of-federal-contracts/</w:t>
        </w:r>
      </w:hyperlink>
    </w:p>
    <w:p w14:paraId="0F468033" w14:textId="77777777" w:rsidR="00E66493" w:rsidRPr="00E66493" w:rsidRDefault="00E66493" w:rsidP="00E66493"/>
    <w:p w14:paraId="02DA7725" w14:textId="77777777" w:rsidR="005D6C9F" w:rsidRDefault="005D6C9F" w:rsidP="00F326E5">
      <w:pPr>
        <w:pStyle w:val="NoSpacing"/>
        <w:rPr>
          <w:rFonts w:ascii="Arial Black" w:hAnsi="Arial Black"/>
          <w:sz w:val="28"/>
          <w:szCs w:val="28"/>
        </w:rPr>
      </w:pPr>
    </w:p>
    <w:p w14:paraId="3843676F" w14:textId="77777777" w:rsidR="0074687D" w:rsidRDefault="0074687D" w:rsidP="00F326E5">
      <w:pPr>
        <w:pStyle w:val="NoSpacing"/>
        <w:rPr>
          <w:rFonts w:ascii="Arial Black" w:hAnsi="Arial Black"/>
          <w:sz w:val="28"/>
          <w:szCs w:val="28"/>
        </w:rPr>
      </w:pPr>
    </w:p>
    <w:p w14:paraId="21663E1D" w14:textId="767EF945" w:rsidR="00622D53" w:rsidRDefault="00622D53"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6</w:t>
      </w:r>
    </w:p>
    <w:p w14:paraId="06310C24" w14:textId="77777777" w:rsidR="00622D53" w:rsidRDefault="00622D53" w:rsidP="00622D53">
      <w:pPr>
        <w:spacing w:before="100" w:beforeAutospacing="1" w:after="100" w:afterAutospacing="1" w:line="240" w:lineRule="auto"/>
        <w:outlineLvl w:val="0"/>
        <w:rPr>
          <w:rFonts w:ascii="Arial Black" w:eastAsia="Times New Roman" w:hAnsi="Arial Black"/>
          <w:b/>
          <w:bCs/>
          <w:kern w:val="36"/>
          <w:sz w:val="28"/>
          <w:szCs w:val="28"/>
        </w:rPr>
      </w:pPr>
      <w:r>
        <w:rPr>
          <w:rFonts w:ascii="Arial Black" w:eastAsia="Times New Roman" w:hAnsi="Arial Black"/>
          <w:b/>
          <w:bCs/>
          <w:kern w:val="36"/>
          <w:sz w:val="28"/>
          <w:szCs w:val="28"/>
        </w:rPr>
        <w:t>CA: DEPORTATION – HELD FOR 2-YRS BY ICE – GETS BOND HEARING – WAS CA INMATE “FIRE CAMP” FIREFIGHTER</w:t>
      </w:r>
    </w:p>
    <w:p w14:paraId="22AB7C33" w14:textId="77777777" w:rsidR="00622D53" w:rsidRDefault="00622D53" w:rsidP="00622D53">
      <w:pPr>
        <w:pStyle w:val="Heading3"/>
        <w:rPr>
          <w:rFonts w:ascii="Times New Roman" w:hAnsi="Times New Roman" w:cs="Times New Roman"/>
          <w:color w:val="auto"/>
        </w:rPr>
      </w:pPr>
      <w:r w:rsidRPr="007A756D">
        <w:rPr>
          <w:rFonts w:ascii="Times New Roman" w:eastAsia="Times New Roman" w:hAnsi="Times New Roman" w:cs="Times New Roman"/>
          <w:color w:val="auto"/>
          <w:kern w:val="36"/>
        </w:rPr>
        <w:t xml:space="preserve">On Dec. 1, 2023, in </w:t>
      </w:r>
      <w:r w:rsidRPr="007A756D">
        <w:rPr>
          <w:rFonts w:ascii="Times New Roman" w:eastAsia="Times New Roman" w:hAnsi="Times New Roman" w:cs="Times New Roman"/>
          <w:color w:val="auto"/>
          <w:kern w:val="36"/>
          <w:u w:val="single"/>
        </w:rPr>
        <w:t xml:space="preserve">John Doe v. </w:t>
      </w:r>
      <w:r w:rsidRPr="007A756D">
        <w:rPr>
          <w:rFonts w:ascii="Times New Roman" w:hAnsi="Times New Roman" w:cs="Times New Roman"/>
          <w:color w:val="auto"/>
          <w:u w:val="single"/>
        </w:rPr>
        <w:t>Moises</w:t>
      </w:r>
      <w:r w:rsidRPr="007A756D">
        <w:rPr>
          <w:rFonts w:ascii="Times New Roman" w:hAnsi="Times New Roman" w:cs="Times New Roman"/>
          <w:color w:val="auto"/>
        </w:rPr>
        <w:t xml:space="preserve"> </w:t>
      </w:r>
      <w:r w:rsidRPr="007A756D">
        <w:rPr>
          <w:rFonts w:ascii="Times New Roman" w:eastAsia="Times New Roman" w:hAnsi="Times New Roman" w:cs="Times New Roman"/>
          <w:color w:val="auto"/>
          <w:kern w:val="36"/>
          <w:u w:val="single"/>
        </w:rPr>
        <w:t>Becerra</w:t>
      </w:r>
      <w:r w:rsidRPr="007A756D">
        <w:rPr>
          <w:rFonts w:ascii="Times New Roman" w:eastAsia="Times New Roman" w:hAnsi="Times New Roman" w:cs="Times New Roman"/>
          <w:color w:val="auto"/>
          <w:kern w:val="36"/>
        </w:rPr>
        <w:t xml:space="preserve">, U.S. District Court Judge P [Patrick] Casey Pitts, U.S. District Court Judge for Northern District of California (San Jose) ordered </w:t>
      </w:r>
      <w:r w:rsidRPr="007A756D">
        <w:rPr>
          <w:rFonts w:ascii="Times New Roman" w:hAnsi="Times New Roman" w:cs="Times New Roman"/>
          <w:color w:val="auto"/>
        </w:rPr>
        <w:t xml:space="preserve">U.S. Immigration and Customs Enforcement (ICE) to give the </w:t>
      </w:r>
      <w:r>
        <w:rPr>
          <w:rFonts w:ascii="Times New Roman" w:hAnsi="Times New Roman" w:cs="Times New Roman"/>
          <w:color w:val="auto"/>
        </w:rPr>
        <w:t xml:space="preserve">detainee (“John Doe” </w:t>
      </w:r>
      <w:r w:rsidRPr="005B43B2">
        <w:rPr>
          <w:rFonts w:ascii="Times New Roman" w:hAnsi="Times New Roman" w:cs="Times New Roman"/>
          <w:color w:val="auto"/>
        </w:rPr>
        <w:t xml:space="preserve">- </w:t>
      </w:r>
      <w:r w:rsidRPr="005B43B2">
        <w:rPr>
          <w:rFonts w:ascii="Times New Roman" w:hAnsi="Times New Roman" w:cs="Times New Roman"/>
        </w:rPr>
        <w:t>proceeding under a pseudonym)</w:t>
      </w:r>
      <w:r>
        <w:rPr>
          <w:rFonts w:ascii="Times New Roman" w:hAnsi="Times New Roman" w:cs="Times New Roman"/>
          <w:color w:val="auto"/>
        </w:rPr>
        <w:t xml:space="preserve"> awaiting deportation to Mexico (2 years in ICE custody) a bond hearing before an Immigration judge. </w:t>
      </w:r>
      <w:r w:rsidRPr="007A756D">
        <w:rPr>
          <w:rFonts w:ascii="Times New Roman" w:hAnsi="Times New Roman" w:cs="Times New Roman"/>
          <w:color w:val="auto"/>
        </w:rPr>
        <w:t xml:space="preserve">The Court wrote: “While in state custody, Mr. Doe joined the California Department of Corrections and Rehabilitation Fire Camp program and spent the last three years of his incarceration working as a firefighter. He completed his sentence in September 2021 and is on state parole until September 2024. If he </w:t>
      </w:r>
      <w:proofErr w:type="gramStart"/>
      <w:r w:rsidRPr="007A756D">
        <w:rPr>
          <w:rFonts w:ascii="Times New Roman" w:hAnsi="Times New Roman" w:cs="Times New Roman"/>
          <w:color w:val="auto"/>
        </w:rPr>
        <w:t>is able to</w:t>
      </w:r>
      <w:proofErr w:type="gramEnd"/>
      <w:r w:rsidRPr="007A756D">
        <w:rPr>
          <w:rFonts w:ascii="Times New Roman" w:hAnsi="Times New Roman" w:cs="Times New Roman"/>
          <w:color w:val="auto"/>
        </w:rPr>
        <w:t xml:space="preserve"> remain in the United States, Mr. Doe hopes to take advantage of a new law that enables Fire Camp participants like him to become professional firefighters upon release. *** On September 30, 2021, following his release from state detention, ICE took Mr. Doe into custody and detained him at the Golden State Annex (GSA) in McFarland, California. GSA is a private immigration detention facility operated for profit by GEO under contract with ICE. It is located outside the Northern District.</w:t>
      </w:r>
      <w:r w:rsidRPr="007A756D">
        <w:rPr>
          <w:color w:val="auto"/>
        </w:rPr>
        <w:t xml:space="preserve"> </w:t>
      </w:r>
      <w:r w:rsidRPr="007A756D">
        <w:rPr>
          <w:rFonts w:ascii="Times New Roman" w:hAnsi="Times New Roman" w:cs="Times New Roman"/>
          <w:color w:val="auto"/>
        </w:rPr>
        <w:t xml:space="preserve"> </w:t>
      </w:r>
      <w:hyperlink r:id="rId689" w:history="1">
        <w:r w:rsidRPr="00E359E2">
          <w:rPr>
            <w:rStyle w:val="Hyperlink"/>
            <w:rFonts w:ascii="Times New Roman" w:hAnsi="Times New Roman" w:cs="Times New Roman"/>
          </w:rPr>
          <w:t>https://caselaw.findlaw.com/court/us-dis-crt-n-d-cal/115575640.html</w:t>
        </w:r>
      </w:hyperlink>
      <w:r>
        <w:rPr>
          <w:rFonts w:ascii="Times New Roman" w:hAnsi="Times New Roman" w:cs="Times New Roman"/>
          <w:color w:val="auto"/>
        </w:rPr>
        <w:t xml:space="preserve"> </w:t>
      </w:r>
    </w:p>
    <w:p w14:paraId="70C92F5E" w14:textId="77777777" w:rsidR="0074687D" w:rsidRDefault="0074687D" w:rsidP="0074687D">
      <w:pPr>
        <w:spacing w:before="100" w:beforeAutospacing="1" w:after="100" w:afterAutospacing="1" w:line="240" w:lineRule="auto"/>
        <w:outlineLvl w:val="0"/>
        <w:rPr>
          <w:rFonts w:ascii="Times New Roman" w:hAnsi="Times New Roman"/>
          <w:b/>
          <w:bCs/>
          <w:sz w:val="24"/>
          <w:szCs w:val="24"/>
        </w:rPr>
      </w:pPr>
      <w:r w:rsidRPr="00FC093A">
        <w:rPr>
          <w:rFonts w:ascii="Times New Roman" w:hAnsi="Times New Roman"/>
          <w:b/>
          <w:bCs/>
          <w:sz w:val="24"/>
          <w:szCs w:val="24"/>
        </w:rPr>
        <w:t xml:space="preserve">Legal Lesson Learned: </w:t>
      </w:r>
      <w:r>
        <w:rPr>
          <w:rFonts w:ascii="Times New Roman" w:hAnsi="Times New Roman"/>
          <w:b/>
          <w:bCs/>
          <w:sz w:val="24"/>
          <w:szCs w:val="24"/>
        </w:rPr>
        <w:t xml:space="preserve">Even immigrants in custody for two years awaiting deportation have due process rights to a bond hearing. </w:t>
      </w:r>
    </w:p>
    <w:p w14:paraId="712B0B60" w14:textId="77777777" w:rsidR="0074687D" w:rsidRDefault="0074687D" w:rsidP="0074687D">
      <w:pPr>
        <w:pStyle w:val="Heading1"/>
        <w:ind w:left="720"/>
        <w:rPr>
          <w:b w:val="0"/>
          <w:bCs w:val="0"/>
          <w:kern w:val="0"/>
          <w:sz w:val="24"/>
          <w:szCs w:val="24"/>
        </w:rPr>
      </w:pPr>
      <w:r w:rsidRPr="00824AA4">
        <w:rPr>
          <w:b w:val="0"/>
          <w:bCs w:val="0"/>
          <w:sz w:val="24"/>
          <w:szCs w:val="24"/>
        </w:rPr>
        <w:t xml:space="preserve">Note: </w:t>
      </w:r>
      <w:r>
        <w:rPr>
          <w:b w:val="0"/>
          <w:bCs w:val="0"/>
          <w:sz w:val="24"/>
          <w:szCs w:val="24"/>
        </w:rPr>
        <w:t>“</w:t>
      </w:r>
      <w:r w:rsidRPr="00824AA4">
        <w:rPr>
          <w:b w:val="0"/>
          <w:bCs w:val="0"/>
          <w:sz w:val="24"/>
          <w:szCs w:val="24"/>
        </w:rPr>
        <w:t xml:space="preserve">The History of California’s Inmate Firefighter Program; </w:t>
      </w:r>
      <w:r w:rsidRPr="00824AA4">
        <w:rPr>
          <w:b w:val="0"/>
          <w:bCs w:val="0"/>
          <w:kern w:val="0"/>
          <w:sz w:val="24"/>
          <w:szCs w:val="24"/>
        </w:rPr>
        <w:t>The initiative, which finds prisoners working as first responders and rescuers, dates back to the 1940s</w:t>
      </w:r>
      <w:r>
        <w:rPr>
          <w:b w:val="0"/>
          <w:bCs w:val="0"/>
          <w:kern w:val="0"/>
          <w:sz w:val="24"/>
          <w:szCs w:val="24"/>
        </w:rPr>
        <w:t xml:space="preserve">.”  </w:t>
      </w:r>
      <w:hyperlink r:id="rId690" w:history="1">
        <w:r w:rsidRPr="001075D9">
          <w:rPr>
            <w:rStyle w:val="Hyperlink"/>
            <w:b w:val="0"/>
            <w:bCs w:val="0"/>
            <w:kern w:val="0"/>
            <w:sz w:val="24"/>
            <w:szCs w:val="24"/>
          </w:rPr>
          <w:t>https://www.smithsonianmag.com/history/the-history-of-californias-inmate-firefighter-program-180980662/</w:t>
        </w:r>
      </w:hyperlink>
      <w:r>
        <w:rPr>
          <w:b w:val="0"/>
          <w:bCs w:val="0"/>
          <w:kern w:val="0"/>
          <w:sz w:val="24"/>
          <w:szCs w:val="24"/>
        </w:rPr>
        <w:t xml:space="preserve"> </w:t>
      </w:r>
    </w:p>
    <w:p w14:paraId="1B60672D" w14:textId="77777777" w:rsidR="0074687D" w:rsidRPr="00824AA4" w:rsidRDefault="0074687D" w:rsidP="0074687D">
      <w:pPr>
        <w:pStyle w:val="Heading1"/>
        <w:ind w:left="1440"/>
        <w:rPr>
          <w:b w:val="0"/>
          <w:bCs w:val="0"/>
          <w:kern w:val="0"/>
          <w:sz w:val="24"/>
          <w:szCs w:val="24"/>
        </w:rPr>
      </w:pPr>
      <w:r>
        <w:rPr>
          <w:b w:val="0"/>
          <w:bCs w:val="0"/>
          <w:sz w:val="24"/>
          <w:szCs w:val="24"/>
        </w:rPr>
        <w:t>“</w:t>
      </w:r>
      <w:r w:rsidRPr="001907F8">
        <w:rPr>
          <w:b w:val="0"/>
          <w:bCs w:val="0"/>
          <w:sz w:val="24"/>
          <w:szCs w:val="24"/>
        </w:rPr>
        <w:t xml:space="preserve">Since World War II, California has relied on a unique group of firefighters to battle its conflagrations: </w:t>
      </w:r>
      <w:hyperlink r:id="rId691" w:tgtFrame="_blank" w:history="1">
        <w:r w:rsidRPr="001907F8">
          <w:rPr>
            <w:rStyle w:val="Hyperlink"/>
            <w:b w:val="0"/>
            <w:bCs w:val="0"/>
            <w:sz w:val="24"/>
            <w:szCs w:val="24"/>
          </w:rPr>
          <w:t>inmates</w:t>
        </w:r>
      </w:hyperlink>
      <w:r w:rsidRPr="001907F8">
        <w:rPr>
          <w:b w:val="0"/>
          <w:bCs w:val="0"/>
          <w:sz w:val="24"/>
          <w:szCs w:val="24"/>
        </w:rPr>
        <w:t xml:space="preserve">. Prisoners who want to enter the </w:t>
      </w:r>
      <w:hyperlink r:id="rId692" w:tgtFrame="_blank" w:history="1">
        <w:r w:rsidRPr="001907F8">
          <w:rPr>
            <w:rStyle w:val="Hyperlink"/>
            <w:b w:val="0"/>
            <w:bCs w:val="0"/>
            <w:sz w:val="24"/>
            <w:szCs w:val="24"/>
          </w:rPr>
          <w:t>Conservation Camp Program</w:t>
        </w:r>
      </w:hyperlink>
      <w:r w:rsidRPr="001907F8">
        <w:rPr>
          <w:b w:val="0"/>
          <w:bCs w:val="0"/>
          <w:sz w:val="24"/>
          <w:szCs w:val="24"/>
        </w:rPr>
        <w:t xml:space="preserve"> must meet security requirements and undergo two weeks of training. The all-inmate crews live in so-called </w:t>
      </w:r>
      <w:hyperlink r:id="rId693" w:tgtFrame="_blank" w:history="1">
        <w:r w:rsidRPr="001907F8">
          <w:rPr>
            <w:rStyle w:val="Hyperlink"/>
            <w:b w:val="0"/>
            <w:bCs w:val="0"/>
            <w:sz w:val="24"/>
            <w:szCs w:val="24"/>
          </w:rPr>
          <w:t>fire camps</w:t>
        </w:r>
      </w:hyperlink>
      <w:r w:rsidRPr="001907F8">
        <w:rPr>
          <w:b w:val="0"/>
          <w:bCs w:val="0"/>
          <w:sz w:val="24"/>
          <w:szCs w:val="24"/>
        </w:rPr>
        <w:t xml:space="preserve"> and are led by personnel from the California Department of Forestry and Fire Protection, or Cal Fire. They earn between </w:t>
      </w:r>
      <w:hyperlink r:id="rId694" w:tgtFrame="_blank" w:history="1">
        <w:r w:rsidRPr="001907F8">
          <w:rPr>
            <w:rStyle w:val="Hyperlink"/>
            <w:b w:val="0"/>
            <w:bCs w:val="0"/>
            <w:sz w:val="24"/>
            <w:szCs w:val="24"/>
          </w:rPr>
          <w:t>$2.90</w:t>
        </w:r>
      </w:hyperlink>
      <w:r w:rsidRPr="001907F8">
        <w:rPr>
          <w:b w:val="0"/>
          <w:bCs w:val="0"/>
          <w:sz w:val="24"/>
          <w:szCs w:val="24"/>
        </w:rPr>
        <w:t xml:space="preserve"> and $5 a day depending on their duties—and </w:t>
      </w:r>
      <w:hyperlink r:id="rId695" w:tgtFrame="_blank" w:history="1">
        <w:r w:rsidRPr="001907F8">
          <w:rPr>
            <w:rStyle w:val="Hyperlink"/>
            <w:b w:val="0"/>
            <w:bCs w:val="0"/>
            <w:sz w:val="24"/>
            <w:szCs w:val="24"/>
          </w:rPr>
          <w:t>slightly more</w:t>
        </w:r>
      </w:hyperlink>
      <w:r w:rsidRPr="001907F8">
        <w:rPr>
          <w:b w:val="0"/>
          <w:bCs w:val="0"/>
          <w:sz w:val="24"/>
          <w:szCs w:val="24"/>
        </w:rPr>
        <w:t xml:space="preserve"> when actively fighting a fire. Though their numbers have fluctuated over the years, they have often comprised </w:t>
      </w:r>
      <w:hyperlink r:id="rId696" w:tgtFrame="_blank" w:history="1">
        <w:r w:rsidRPr="001907F8">
          <w:rPr>
            <w:rStyle w:val="Hyperlink"/>
            <w:b w:val="0"/>
            <w:bCs w:val="0"/>
            <w:sz w:val="24"/>
            <w:szCs w:val="24"/>
          </w:rPr>
          <w:t>approximately one-third</w:t>
        </w:r>
      </w:hyperlink>
      <w:r w:rsidRPr="001907F8">
        <w:rPr>
          <w:b w:val="0"/>
          <w:bCs w:val="0"/>
          <w:sz w:val="24"/>
          <w:szCs w:val="24"/>
        </w:rPr>
        <w:t xml:space="preserve"> of California’s firefighting force.</w:t>
      </w:r>
      <w:r>
        <w:rPr>
          <w:b w:val="0"/>
          <w:bCs w:val="0"/>
          <w:sz w:val="24"/>
          <w:szCs w:val="24"/>
        </w:rPr>
        <w:t>”</w:t>
      </w:r>
    </w:p>
    <w:p w14:paraId="5C62E238" w14:textId="77777777" w:rsidR="0074687D" w:rsidRDefault="0074687D" w:rsidP="0074687D">
      <w:pPr>
        <w:pStyle w:val="NormalWeb"/>
        <w:jc w:val="center"/>
        <w:rPr>
          <w:b/>
          <w:bCs/>
        </w:rPr>
      </w:pPr>
    </w:p>
    <w:p w14:paraId="6EEF6381" w14:textId="77777777" w:rsidR="0074687D" w:rsidRPr="0074687D" w:rsidRDefault="0074687D" w:rsidP="0074687D"/>
    <w:p w14:paraId="1D6D53B5" w14:textId="77777777" w:rsidR="00622D53" w:rsidRDefault="00622D53" w:rsidP="00F326E5">
      <w:pPr>
        <w:pStyle w:val="NoSpacing"/>
        <w:rPr>
          <w:rFonts w:ascii="Arial Black" w:hAnsi="Arial Black"/>
          <w:sz w:val="28"/>
          <w:szCs w:val="28"/>
        </w:rPr>
      </w:pPr>
    </w:p>
    <w:p w14:paraId="6F584BA8" w14:textId="77777777" w:rsidR="00622D53" w:rsidRDefault="00622D53" w:rsidP="00F326E5">
      <w:pPr>
        <w:pStyle w:val="NoSpacing"/>
        <w:rPr>
          <w:rFonts w:ascii="Arial Black" w:hAnsi="Arial Black"/>
          <w:sz w:val="28"/>
          <w:szCs w:val="28"/>
        </w:rPr>
      </w:pPr>
    </w:p>
    <w:p w14:paraId="4B68C931" w14:textId="3F74168E" w:rsidR="00BB49C5" w:rsidRDefault="00BB49C5"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5</w:t>
      </w:r>
    </w:p>
    <w:p w14:paraId="0053C179" w14:textId="77777777" w:rsidR="00BB49C5" w:rsidRPr="004735F4" w:rsidRDefault="00BB49C5" w:rsidP="00BB49C5">
      <w:pPr>
        <w:pStyle w:val="NormalWeb"/>
        <w:rPr>
          <w:rFonts w:ascii="Arial Black" w:hAnsi="Arial Black"/>
          <w:b/>
          <w:bCs/>
          <w:sz w:val="28"/>
          <w:szCs w:val="28"/>
        </w:rPr>
      </w:pPr>
      <w:r>
        <w:rPr>
          <w:rFonts w:ascii="Arial Black" w:hAnsi="Arial Black"/>
          <w:b/>
          <w:bCs/>
          <w:sz w:val="28"/>
          <w:szCs w:val="28"/>
        </w:rPr>
        <w:t>TX: TEXAS GOV. ORDER - MIGRANTS NOT BE GIVEN RIDES - IMMIGRANT ADVOCATES CAN’T SUE – FED. INJUNCTION</w:t>
      </w:r>
    </w:p>
    <w:p w14:paraId="2831E47F" w14:textId="77777777" w:rsidR="00BB49C5" w:rsidRDefault="00BB49C5" w:rsidP="00BB49C5">
      <w:pPr>
        <w:pStyle w:val="NormalWeb"/>
      </w:pPr>
      <w:r>
        <w:t xml:space="preserve">On Oct. 27, 2023, in </w:t>
      </w:r>
      <w:r w:rsidRPr="004735F4">
        <w:rPr>
          <w:u w:val="single"/>
        </w:rPr>
        <w:t>United States of America v. Greg Abbott, et al</w:t>
      </w:r>
      <w:r>
        <w:t xml:space="preserve">., the U.S. Court of Appeals for the Fifth Circuit (New Orleans) held (2 to 1) that the U.S. District Court improperly denied the Governor’s motion to dismiss the three non-profits immigration advocates’ Fourth Amendment claims, since the Governor enjoys sovereign immunity from private party lawsuits.  Sovereign immunity forbids suits against a State and its officers in their official capacities. The Court held: “We agree with the Governor that sovereign immunity bars the lawsuit brought by the private plaintiffs. We reverse and remand with instructions to dismiss the suit against the Governor.” However, the Federal Government sued and in Aug. 2021 obtained an injunction against the Governor’s order and that injunction remains in place. </w:t>
      </w:r>
      <w:hyperlink r:id="rId697" w:history="1">
        <w:r w:rsidRPr="0097451D">
          <w:rPr>
            <w:rStyle w:val="Hyperlink"/>
            <w:rFonts w:eastAsiaTheme="majorEastAsia"/>
          </w:rPr>
          <w:t>https://cases.justia.com/federal/appellate-courts/ca5/22-50212/22-50212-2023-10-27.pdf?ts=1698427826</w:t>
        </w:r>
      </w:hyperlink>
      <w:r>
        <w:t xml:space="preserve"> </w:t>
      </w:r>
    </w:p>
    <w:p w14:paraId="40EE6571" w14:textId="77777777" w:rsidR="00BB49C5" w:rsidRPr="00D77256" w:rsidRDefault="00BB49C5" w:rsidP="00BB49C5">
      <w:pPr>
        <w:pStyle w:val="NormalWeb"/>
        <w:rPr>
          <w:b/>
          <w:bCs/>
        </w:rPr>
      </w:pPr>
      <w:r w:rsidRPr="00D77256">
        <w:rPr>
          <w:b/>
          <w:bCs/>
        </w:rPr>
        <w:t xml:space="preserve">Legal Lesson Learned: </w:t>
      </w:r>
      <w:r>
        <w:rPr>
          <w:b/>
          <w:bCs/>
        </w:rPr>
        <w:t xml:space="preserve">The lawsuit by USA will proceed. </w:t>
      </w:r>
    </w:p>
    <w:p w14:paraId="14B67253" w14:textId="77777777" w:rsidR="00BB49C5" w:rsidRPr="003402EF" w:rsidRDefault="00BB49C5" w:rsidP="00BB49C5">
      <w:pPr>
        <w:pStyle w:val="Heading1"/>
        <w:ind w:left="720"/>
        <w:rPr>
          <w:b w:val="0"/>
          <w:bCs w:val="0"/>
          <w:sz w:val="24"/>
          <w:szCs w:val="24"/>
        </w:rPr>
      </w:pPr>
      <w:r w:rsidRPr="003402EF">
        <w:rPr>
          <w:b w:val="0"/>
          <w:bCs w:val="0"/>
          <w:sz w:val="24"/>
          <w:szCs w:val="24"/>
        </w:rPr>
        <w:t xml:space="preserve">Note: The ruling does not affect a similar legal challenge brought by the Biden administration, leaving an August 2021 lower court’s injunction in place. See Oct. 27, </w:t>
      </w:r>
      <w:proofErr w:type="gramStart"/>
      <w:r w:rsidRPr="003402EF">
        <w:rPr>
          <w:b w:val="0"/>
          <w:bCs w:val="0"/>
          <w:sz w:val="24"/>
          <w:szCs w:val="24"/>
        </w:rPr>
        <w:t>2023</w:t>
      </w:r>
      <w:proofErr w:type="gramEnd"/>
      <w:r w:rsidRPr="003402EF">
        <w:rPr>
          <w:b w:val="0"/>
          <w:bCs w:val="0"/>
          <w:sz w:val="24"/>
          <w:szCs w:val="24"/>
        </w:rPr>
        <w:t xml:space="preserve"> article, </w:t>
      </w:r>
      <w:r>
        <w:rPr>
          <w:b w:val="0"/>
          <w:bCs w:val="0"/>
          <w:sz w:val="24"/>
          <w:szCs w:val="24"/>
        </w:rPr>
        <w:t>“</w:t>
      </w:r>
      <w:r w:rsidRPr="003402EF">
        <w:rPr>
          <w:b w:val="0"/>
          <w:bCs w:val="0"/>
          <w:sz w:val="24"/>
          <w:szCs w:val="24"/>
        </w:rPr>
        <w:t>US appeals court tosses lawsuit over Texas migrant transportation restrictions</w:t>
      </w:r>
      <w:r>
        <w:rPr>
          <w:b w:val="0"/>
          <w:bCs w:val="0"/>
          <w:sz w:val="24"/>
          <w:szCs w:val="24"/>
        </w:rPr>
        <w:t xml:space="preserve">.” </w:t>
      </w:r>
      <w:hyperlink r:id="rId698" w:history="1">
        <w:r w:rsidRPr="00956CFD">
          <w:rPr>
            <w:rStyle w:val="Hyperlink"/>
            <w:rFonts w:eastAsiaTheme="majorEastAsia"/>
            <w:b w:val="0"/>
            <w:bCs w:val="0"/>
            <w:sz w:val="24"/>
            <w:szCs w:val="24"/>
          </w:rPr>
          <w:t>https://www.theguardian.com/us-news/2023/oct/27/lawsuit-dismissed-texas-greg-abbott-transport-immigration</w:t>
        </w:r>
      </w:hyperlink>
      <w:r>
        <w:rPr>
          <w:b w:val="0"/>
          <w:bCs w:val="0"/>
          <w:sz w:val="24"/>
          <w:szCs w:val="24"/>
        </w:rPr>
        <w:t xml:space="preserve"> </w:t>
      </w:r>
    </w:p>
    <w:p w14:paraId="56B53233" w14:textId="77777777" w:rsidR="00BB49C5" w:rsidRDefault="00BB49C5" w:rsidP="00F326E5">
      <w:pPr>
        <w:pStyle w:val="NoSpacing"/>
        <w:rPr>
          <w:rFonts w:ascii="Arial Black" w:hAnsi="Arial Black"/>
          <w:sz w:val="28"/>
          <w:szCs w:val="28"/>
        </w:rPr>
      </w:pPr>
    </w:p>
    <w:p w14:paraId="7CBBFD18" w14:textId="77777777" w:rsidR="00BB49C5" w:rsidRDefault="00BB49C5" w:rsidP="00F326E5">
      <w:pPr>
        <w:pStyle w:val="NoSpacing"/>
        <w:rPr>
          <w:rFonts w:ascii="Arial Black" w:hAnsi="Arial Black"/>
          <w:sz w:val="28"/>
          <w:szCs w:val="28"/>
        </w:rPr>
      </w:pPr>
    </w:p>
    <w:p w14:paraId="33A196E0" w14:textId="4363ED55" w:rsidR="009B0593" w:rsidRDefault="009B0593"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4</w:t>
      </w:r>
    </w:p>
    <w:p w14:paraId="36E218C9" w14:textId="77777777" w:rsidR="009B0593" w:rsidRPr="004C7E57" w:rsidRDefault="009B0593" w:rsidP="009B0593">
      <w:pPr>
        <w:pStyle w:val="NormalWeb"/>
        <w:rPr>
          <w:rFonts w:ascii="Arial Black" w:hAnsi="Arial Black"/>
          <w:sz w:val="28"/>
          <w:szCs w:val="28"/>
        </w:rPr>
      </w:pPr>
      <w:r>
        <w:rPr>
          <w:rFonts w:ascii="Arial Black" w:hAnsi="Arial Black"/>
          <w:sz w:val="28"/>
          <w:szCs w:val="28"/>
        </w:rPr>
        <w:t>IL: AFTER TRIAL FBI PAID CONFIDENTIAL SOURCE $50,000 BONUS – COURT HEARING - NO REVERSAL CONVICTIONS</w:t>
      </w:r>
    </w:p>
    <w:p w14:paraId="1ADDBA74" w14:textId="77777777" w:rsidR="009B0593" w:rsidRDefault="009B0593" w:rsidP="009B0593">
      <w:pPr>
        <w:pStyle w:val="NormalWeb"/>
      </w:pPr>
      <w:r>
        <w:t xml:space="preserve">On Aug. 18, 2023, in </w:t>
      </w:r>
      <w:r w:rsidRPr="004C7E57">
        <w:rPr>
          <w:u w:val="single"/>
        </w:rPr>
        <w:t>United States of America v, Joseph D. Jones and Edward Schimenti</w:t>
      </w:r>
      <w:r>
        <w:t>, the U.S. Court of Appeals for 7</w:t>
      </w:r>
      <w:r w:rsidRPr="004C7E57">
        <w:rPr>
          <w:vertAlign w:val="superscript"/>
        </w:rPr>
        <w:t>th</w:t>
      </w:r>
      <w:r>
        <w:t xml:space="preserve"> Circuit (Chicago) held (3 to 0) that trial court properly denied defense motion for a new trial.  The evidence providing material support to the terrorist organization ISIS by two defendants was so strong, the 7th Circuit concluded that the disclosure at trial of the planned or contemplated post-trial bonus payment would not have resulted in the jury acquitting the defendants. </w:t>
      </w:r>
    </w:p>
    <w:p w14:paraId="4746A90A" w14:textId="77777777" w:rsidR="009B0593" w:rsidRDefault="009B0593" w:rsidP="009B0593">
      <w:pPr>
        <w:pStyle w:val="NormalWeb"/>
        <w:ind w:left="720"/>
      </w:pPr>
      <w:r>
        <w:t>The Court of Appeals held: “We likewise agree with the district court's denial of Jones and Schimenti's motion for a new trial based on a revelation that emerged after trial regarding a substantial payment the government made to a confidential source shortly after the jury convicted both defendants. What happened raises many questions, but, like the district court, we cannot conclude an earlier disclosure of a planned or contemplated post-trial payment would have resulted in the jury acquitting Jones or Schimenti. All of this leads us to affirm.”</w:t>
      </w:r>
      <w:hyperlink r:id="rId699" w:history="1">
        <w:r w:rsidRPr="00955A98">
          <w:rPr>
            <w:rStyle w:val="Hyperlink"/>
            <w:rFonts w:eastAsiaTheme="majorEastAsia"/>
          </w:rPr>
          <w:t>https://caselaw.findlaw.com/court/us-7th-circuit/114903686.html</w:t>
        </w:r>
      </w:hyperlink>
      <w:r>
        <w:t xml:space="preserve"> </w:t>
      </w:r>
    </w:p>
    <w:p w14:paraId="3E0D15B0" w14:textId="77777777" w:rsidR="009B0593" w:rsidRPr="006B6BC8" w:rsidRDefault="009B0593" w:rsidP="009B0593">
      <w:pPr>
        <w:pStyle w:val="NormalWeb"/>
        <w:rPr>
          <w:b/>
          <w:bCs/>
        </w:rPr>
      </w:pPr>
      <w:r w:rsidRPr="006B6BC8">
        <w:rPr>
          <w:b/>
          <w:bCs/>
        </w:rPr>
        <w:t xml:space="preserve">Legal Lesson Learned: </w:t>
      </w:r>
      <w:r>
        <w:rPr>
          <w:b/>
          <w:bCs/>
        </w:rPr>
        <w:t xml:space="preserve">Bonus payments to a confidential source after trial can lead to post-trial hearings. </w:t>
      </w:r>
    </w:p>
    <w:p w14:paraId="10F234D9" w14:textId="77777777" w:rsidR="009B0593" w:rsidRDefault="009B0593" w:rsidP="00F326E5">
      <w:pPr>
        <w:pStyle w:val="NoSpacing"/>
        <w:rPr>
          <w:rFonts w:ascii="Arial Black" w:hAnsi="Arial Black"/>
          <w:sz w:val="28"/>
          <w:szCs w:val="28"/>
        </w:rPr>
      </w:pPr>
    </w:p>
    <w:p w14:paraId="1F9E8713" w14:textId="77777777" w:rsidR="009B0593" w:rsidRDefault="009B0593" w:rsidP="00F326E5">
      <w:pPr>
        <w:pStyle w:val="NoSpacing"/>
        <w:rPr>
          <w:rFonts w:ascii="Arial Black" w:hAnsi="Arial Black"/>
          <w:sz w:val="28"/>
          <w:szCs w:val="28"/>
        </w:rPr>
      </w:pPr>
    </w:p>
    <w:p w14:paraId="24E41B73" w14:textId="1B847B0B" w:rsidR="00DC17BF" w:rsidRDefault="00FE60DA"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3</w:t>
      </w:r>
    </w:p>
    <w:p w14:paraId="4CF61886" w14:textId="6E6B7568" w:rsidR="00FE60DA" w:rsidRPr="00DB3ABA" w:rsidRDefault="00FE60DA" w:rsidP="00FE60DA">
      <w:pPr>
        <w:pStyle w:val="NormalWeb"/>
        <w:rPr>
          <w:rFonts w:ascii="Arial Black" w:hAnsi="Arial Black"/>
          <w:sz w:val="28"/>
          <w:szCs w:val="28"/>
        </w:rPr>
      </w:pPr>
      <w:r>
        <w:rPr>
          <w:rFonts w:ascii="Arial Black" w:hAnsi="Arial Black"/>
          <w:sz w:val="28"/>
          <w:szCs w:val="28"/>
        </w:rPr>
        <w:t xml:space="preserve">LA: FED. JUDGE INJUNCTION – FED. GOV’T TRYING </w:t>
      </w:r>
      <w:r w:rsidR="00735F6B">
        <w:rPr>
          <w:rFonts w:ascii="Arial Black" w:hAnsi="Arial Black"/>
          <w:sz w:val="28"/>
          <w:szCs w:val="28"/>
        </w:rPr>
        <w:t xml:space="preserve">GET </w:t>
      </w:r>
      <w:r>
        <w:rPr>
          <w:rFonts w:ascii="Arial Black" w:hAnsi="Arial Black"/>
          <w:sz w:val="28"/>
          <w:szCs w:val="28"/>
        </w:rPr>
        <w:t xml:space="preserve">FACEBOOK, TWITTER TO DELETE POSTS - DOJ APPEALS </w:t>
      </w:r>
    </w:p>
    <w:p w14:paraId="1817A0C1" w14:textId="342A70FD" w:rsidR="00FE60DA"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4, 2023, in </w:t>
      </w:r>
      <w:r w:rsidRPr="00E83DE8">
        <w:rPr>
          <w:rFonts w:ascii="Times New Roman" w:hAnsi="Times New Roman"/>
          <w:sz w:val="24"/>
          <w:szCs w:val="24"/>
          <w:u w:val="single"/>
        </w:rPr>
        <w:t>State of Missouri, et al. v. Joseph R. Biden, Jr., et al</w:t>
      </w:r>
      <w:r>
        <w:rPr>
          <w:rFonts w:ascii="Times New Roman" w:hAnsi="Times New Roman"/>
          <w:sz w:val="24"/>
          <w:szCs w:val="24"/>
        </w:rPr>
        <w:t>, U.S. District Court Judge Terry A. Doughty, U.S. District Court for Western District of Louisiana, Monroe Division, granted State of Missouri, State of Louisiana, and five individuals a preliminary injunction (but denied class action) concerning Whitehouse efforts to get social media companies to delete posts that opposed Covid-19 vaccinations, and other “hot” topics.  The judge’s 155-page opinion has drawn national attention and promptly appealed by U.S. Department of Justice to the U.S. Court of Appeals for 5</w:t>
      </w:r>
      <w:r w:rsidRPr="00E83DE8">
        <w:rPr>
          <w:rFonts w:ascii="Times New Roman" w:hAnsi="Times New Roman"/>
          <w:sz w:val="24"/>
          <w:szCs w:val="24"/>
          <w:vertAlign w:val="superscript"/>
        </w:rPr>
        <w:t>th</w:t>
      </w:r>
      <w:r>
        <w:rPr>
          <w:rFonts w:ascii="Times New Roman" w:hAnsi="Times New Roman"/>
          <w:sz w:val="24"/>
          <w:szCs w:val="24"/>
        </w:rPr>
        <w:t xml:space="preserve"> Circuit (New Orleans).  </w:t>
      </w:r>
      <w:hyperlink r:id="rId700" w:history="1">
        <w:r w:rsidR="0062739C" w:rsidRPr="00812663">
          <w:rPr>
            <w:rStyle w:val="Hyperlink"/>
          </w:rPr>
          <w:t>https://casetext.com/case/baarbe-v-the-syrian-arab-republic</w:t>
        </w:r>
      </w:hyperlink>
    </w:p>
    <w:p w14:paraId="5D7EB7F2" w14:textId="77777777" w:rsidR="00FE60DA" w:rsidRDefault="00FE60DA" w:rsidP="00FE60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Judge Doughty (nominated by President Trump in 2017) wrote: “</w:t>
      </w:r>
      <w:r w:rsidRPr="00DB3ABA">
        <w:rPr>
          <w:rFonts w:ascii="Times New Roman" w:hAnsi="Times New Roman"/>
          <w:sz w:val="24"/>
          <w:szCs w:val="24"/>
        </w:rPr>
        <w:t>The Plaintiffs are likely to succeed on the merits in establishing that the Government has</w:t>
      </w:r>
      <w:r>
        <w:rPr>
          <w:rFonts w:ascii="Times New Roman" w:hAnsi="Times New Roman"/>
          <w:sz w:val="24"/>
          <w:szCs w:val="24"/>
        </w:rPr>
        <w:t xml:space="preserve"> </w:t>
      </w:r>
      <w:r w:rsidRPr="00DB3ABA">
        <w:rPr>
          <w:rFonts w:ascii="Times New Roman" w:hAnsi="Times New Roman"/>
          <w:sz w:val="24"/>
          <w:szCs w:val="24"/>
        </w:rPr>
        <w:t>used its power to silence the opposition. Opposition to COVID-19 vaccines; opposition to</w:t>
      </w:r>
      <w:r>
        <w:rPr>
          <w:rFonts w:ascii="Times New Roman" w:hAnsi="Times New Roman"/>
          <w:sz w:val="24"/>
          <w:szCs w:val="24"/>
        </w:rPr>
        <w:t xml:space="preserve"> </w:t>
      </w:r>
      <w:r w:rsidRPr="00DB3ABA">
        <w:rPr>
          <w:rFonts w:ascii="Times New Roman" w:hAnsi="Times New Roman"/>
          <w:sz w:val="24"/>
          <w:szCs w:val="24"/>
        </w:rPr>
        <w:t>COVID-19 masking and lockdowns; opposition to the lab-leak theory of COVID-19; opposition</w:t>
      </w:r>
      <w:r>
        <w:rPr>
          <w:rFonts w:ascii="Times New Roman" w:hAnsi="Times New Roman"/>
          <w:sz w:val="24"/>
          <w:szCs w:val="24"/>
        </w:rPr>
        <w:t xml:space="preserve"> </w:t>
      </w:r>
      <w:r w:rsidRPr="00DB3ABA">
        <w:rPr>
          <w:rFonts w:ascii="Times New Roman" w:hAnsi="Times New Roman"/>
          <w:sz w:val="24"/>
          <w:szCs w:val="24"/>
        </w:rPr>
        <w:t>to the validity of the 2020 election; opposition to President Biden’s policies; statements that the</w:t>
      </w:r>
      <w:r>
        <w:rPr>
          <w:rFonts w:ascii="Times New Roman" w:hAnsi="Times New Roman"/>
          <w:sz w:val="24"/>
          <w:szCs w:val="24"/>
        </w:rPr>
        <w:t xml:space="preserve"> </w:t>
      </w:r>
      <w:r w:rsidRPr="00DB3ABA">
        <w:rPr>
          <w:rFonts w:ascii="Times New Roman" w:hAnsi="Times New Roman"/>
          <w:sz w:val="24"/>
          <w:szCs w:val="24"/>
        </w:rPr>
        <w:t>Hunter Biden laptop story was true; and opposition to policies of the government officials in</w:t>
      </w:r>
      <w:r>
        <w:rPr>
          <w:rFonts w:ascii="Times New Roman" w:hAnsi="Times New Roman"/>
          <w:sz w:val="24"/>
          <w:szCs w:val="24"/>
        </w:rPr>
        <w:t xml:space="preserve"> </w:t>
      </w:r>
      <w:r w:rsidRPr="00DB3ABA">
        <w:rPr>
          <w:rFonts w:ascii="Times New Roman" w:hAnsi="Times New Roman"/>
          <w:sz w:val="24"/>
          <w:szCs w:val="24"/>
        </w:rPr>
        <w:t>power. All were suppressed. It is quite telling that each example or category of suppressed speech</w:t>
      </w:r>
      <w:r>
        <w:rPr>
          <w:rFonts w:ascii="Times New Roman" w:hAnsi="Times New Roman"/>
          <w:sz w:val="24"/>
          <w:szCs w:val="24"/>
        </w:rPr>
        <w:t xml:space="preserve"> </w:t>
      </w:r>
      <w:r w:rsidRPr="00DB3ABA">
        <w:rPr>
          <w:rFonts w:ascii="Times New Roman" w:hAnsi="Times New Roman"/>
          <w:sz w:val="24"/>
          <w:szCs w:val="24"/>
        </w:rPr>
        <w:t>was conservative in nature. This targeted suppression of conservative ideas is a perfect example</w:t>
      </w:r>
      <w:r>
        <w:rPr>
          <w:rFonts w:ascii="Times New Roman" w:hAnsi="Times New Roman"/>
          <w:sz w:val="24"/>
          <w:szCs w:val="24"/>
        </w:rPr>
        <w:t xml:space="preserve"> </w:t>
      </w:r>
      <w:r w:rsidRPr="00DB3ABA">
        <w:rPr>
          <w:rFonts w:ascii="Times New Roman" w:hAnsi="Times New Roman"/>
          <w:sz w:val="24"/>
          <w:szCs w:val="24"/>
        </w:rPr>
        <w:t xml:space="preserve">of viewpoint discrimination </w:t>
      </w:r>
      <w:proofErr w:type="gramStart"/>
      <w:r w:rsidRPr="00DB3ABA">
        <w:rPr>
          <w:rFonts w:ascii="Times New Roman" w:hAnsi="Times New Roman"/>
          <w:sz w:val="24"/>
          <w:szCs w:val="24"/>
        </w:rPr>
        <w:t>of</w:t>
      </w:r>
      <w:proofErr w:type="gramEnd"/>
      <w:r w:rsidRPr="00DB3ABA">
        <w:rPr>
          <w:rFonts w:ascii="Times New Roman" w:hAnsi="Times New Roman"/>
          <w:sz w:val="24"/>
          <w:szCs w:val="24"/>
        </w:rPr>
        <w:t xml:space="preserve"> political speech. American citizens have the right to engage in free</w:t>
      </w:r>
      <w:r>
        <w:rPr>
          <w:rFonts w:ascii="Times New Roman" w:hAnsi="Times New Roman"/>
          <w:sz w:val="24"/>
          <w:szCs w:val="24"/>
        </w:rPr>
        <w:t xml:space="preserve"> </w:t>
      </w:r>
      <w:r w:rsidRPr="00DB3ABA">
        <w:rPr>
          <w:rFonts w:ascii="Times New Roman" w:hAnsi="Times New Roman"/>
          <w:sz w:val="24"/>
          <w:szCs w:val="24"/>
        </w:rPr>
        <w:t>debate about the significant issues affecting the country.</w:t>
      </w:r>
      <w:r>
        <w:rPr>
          <w:rFonts w:ascii="Times New Roman" w:hAnsi="Times New Roman"/>
          <w:sz w:val="24"/>
          <w:szCs w:val="24"/>
        </w:rPr>
        <w:t xml:space="preserve">” </w:t>
      </w:r>
      <w:hyperlink r:id="rId701" w:history="1">
        <w:r w:rsidRPr="00812663">
          <w:rPr>
            <w:rStyle w:val="Hyperlink"/>
            <w:sz w:val="24"/>
            <w:szCs w:val="24"/>
          </w:rPr>
          <w:t>https://ago.mo.gov/docs/default-source/press-releases/missouri-v-biden-ruling.pdf</w:t>
        </w:r>
      </w:hyperlink>
      <w:r>
        <w:rPr>
          <w:rFonts w:ascii="Times New Roman" w:hAnsi="Times New Roman"/>
          <w:sz w:val="24"/>
          <w:szCs w:val="24"/>
        </w:rPr>
        <w:t xml:space="preserve"> </w:t>
      </w:r>
    </w:p>
    <w:p w14:paraId="1C2406DB" w14:textId="77777777" w:rsidR="00523A11" w:rsidRDefault="00FE60DA" w:rsidP="00FE60DA">
      <w:pPr>
        <w:spacing w:before="100" w:beforeAutospacing="1" w:after="100" w:afterAutospacing="1" w:line="240" w:lineRule="auto"/>
        <w:rPr>
          <w:rFonts w:ascii="Times New Roman" w:hAnsi="Times New Roman"/>
          <w:b/>
          <w:bCs/>
          <w:sz w:val="24"/>
          <w:szCs w:val="24"/>
        </w:rPr>
      </w:pPr>
      <w:r w:rsidRPr="00793A6E">
        <w:rPr>
          <w:rFonts w:ascii="Times New Roman" w:hAnsi="Times New Roman"/>
          <w:b/>
          <w:bCs/>
          <w:sz w:val="24"/>
          <w:szCs w:val="24"/>
        </w:rPr>
        <w:t xml:space="preserve">Legal Lesson Learned: </w:t>
      </w:r>
      <w:r>
        <w:rPr>
          <w:rFonts w:ascii="Times New Roman" w:hAnsi="Times New Roman"/>
          <w:b/>
          <w:bCs/>
          <w:sz w:val="24"/>
          <w:szCs w:val="24"/>
        </w:rPr>
        <w:t>U.S. Department of Justice has already filed an appeal with 5</w:t>
      </w:r>
      <w:r w:rsidRPr="001D1578">
        <w:rPr>
          <w:rFonts w:ascii="Times New Roman" w:hAnsi="Times New Roman"/>
          <w:b/>
          <w:bCs/>
          <w:sz w:val="24"/>
          <w:szCs w:val="24"/>
          <w:vertAlign w:val="superscript"/>
        </w:rPr>
        <w:t>th</w:t>
      </w:r>
      <w:r>
        <w:rPr>
          <w:rFonts w:ascii="Times New Roman" w:hAnsi="Times New Roman"/>
          <w:b/>
          <w:bCs/>
          <w:sz w:val="24"/>
          <w:szCs w:val="24"/>
        </w:rPr>
        <w:t xml:space="preserve"> Circuit.</w:t>
      </w:r>
      <w:r w:rsidR="00735F6B">
        <w:rPr>
          <w:rFonts w:ascii="Times New Roman" w:hAnsi="Times New Roman"/>
          <w:b/>
          <w:bCs/>
          <w:sz w:val="24"/>
          <w:szCs w:val="24"/>
        </w:rPr>
        <w:t xml:space="preserve"> </w:t>
      </w:r>
    </w:p>
    <w:p w14:paraId="66401B1F" w14:textId="77777777" w:rsidR="00523A11" w:rsidRDefault="00523A11" w:rsidP="00FE60DA">
      <w:pPr>
        <w:spacing w:before="100" w:beforeAutospacing="1" w:after="100" w:afterAutospacing="1" w:line="240" w:lineRule="auto"/>
        <w:rPr>
          <w:rFonts w:ascii="Times New Roman" w:hAnsi="Times New Roman"/>
          <w:b/>
          <w:bCs/>
          <w:sz w:val="24"/>
          <w:szCs w:val="24"/>
        </w:rPr>
      </w:pPr>
    </w:p>
    <w:p w14:paraId="3B5D4EC9" w14:textId="2D27ADB7" w:rsidR="00FE60DA" w:rsidRDefault="00735F6B" w:rsidP="00FE60DA">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Here is </w:t>
      </w:r>
      <w:proofErr w:type="gramStart"/>
      <w:r>
        <w:rPr>
          <w:rFonts w:ascii="Times New Roman" w:hAnsi="Times New Roman"/>
          <w:b/>
          <w:bCs/>
          <w:sz w:val="24"/>
          <w:szCs w:val="24"/>
        </w:rPr>
        <w:t>there</w:t>
      </w:r>
      <w:proofErr w:type="gramEnd"/>
      <w:r>
        <w:rPr>
          <w:rFonts w:ascii="Times New Roman" w:hAnsi="Times New Roman"/>
          <w:b/>
          <w:bCs/>
          <w:sz w:val="24"/>
          <w:szCs w:val="24"/>
        </w:rPr>
        <w:t xml:space="preserve"> appeal, </w:t>
      </w:r>
      <w:hyperlink r:id="rId702" w:history="1">
        <w:r w:rsidRPr="00066234">
          <w:rPr>
            <w:rStyle w:val="Hyperlink"/>
            <w:rFonts w:ascii="Times New Roman" w:hAnsi="Times New Roman"/>
            <w:b/>
            <w:bCs/>
            <w:sz w:val="24"/>
            <w:szCs w:val="24"/>
          </w:rPr>
          <w:t>https://www.washingtonpost.com/documents/738465b3-8221-4ba6-8a91-92171f73482b.pdf?itid=lk_interstitial_manual_10</w:t>
        </w:r>
      </w:hyperlink>
    </w:p>
    <w:p w14:paraId="59632E5A" w14:textId="05A439F5" w:rsidR="00FE60DA" w:rsidRPr="00735F6B" w:rsidRDefault="00FE60DA" w:rsidP="00735F6B">
      <w:pPr>
        <w:pStyle w:val="NoSpacing"/>
        <w:ind w:left="720"/>
        <w:rPr>
          <w:rFonts w:ascii="Times New Roman" w:hAnsi="Times New Roman"/>
          <w:sz w:val="24"/>
          <w:szCs w:val="24"/>
        </w:rPr>
      </w:pPr>
      <w:r w:rsidRPr="00735F6B">
        <w:rPr>
          <w:rFonts w:ascii="Times New Roman" w:hAnsi="Times New Roman"/>
          <w:sz w:val="24"/>
          <w:szCs w:val="24"/>
        </w:rPr>
        <w:t xml:space="preserve">Note: See this July 4, </w:t>
      </w:r>
      <w:proofErr w:type="gramStart"/>
      <w:r w:rsidRPr="00735F6B">
        <w:rPr>
          <w:rFonts w:ascii="Times New Roman" w:hAnsi="Times New Roman"/>
          <w:sz w:val="24"/>
          <w:szCs w:val="24"/>
        </w:rPr>
        <w:t>2023</w:t>
      </w:r>
      <w:proofErr w:type="gramEnd"/>
      <w:r w:rsidRPr="00735F6B">
        <w:rPr>
          <w:rFonts w:ascii="Times New Roman" w:hAnsi="Times New Roman"/>
          <w:sz w:val="24"/>
          <w:szCs w:val="24"/>
        </w:rPr>
        <w:t xml:space="preserve"> article on the case. Federal Judge Limits Biden Officials’ Contacts </w:t>
      </w:r>
      <w:proofErr w:type="gramStart"/>
      <w:r w:rsidRPr="00735F6B">
        <w:rPr>
          <w:rFonts w:ascii="Times New Roman" w:hAnsi="Times New Roman"/>
          <w:sz w:val="24"/>
          <w:szCs w:val="24"/>
        </w:rPr>
        <w:t>With</w:t>
      </w:r>
      <w:proofErr w:type="gramEnd"/>
      <w:r w:rsidRPr="00735F6B">
        <w:rPr>
          <w:rFonts w:ascii="Times New Roman" w:hAnsi="Times New Roman"/>
          <w:sz w:val="24"/>
          <w:szCs w:val="24"/>
        </w:rPr>
        <w:t xml:space="preserve"> Social Media Sites. </w:t>
      </w:r>
      <w:hyperlink r:id="rId703" w:history="1">
        <w:r w:rsidRPr="00735F6B">
          <w:rPr>
            <w:rStyle w:val="Hyperlink"/>
            <w:rFonts w:ascii="Times New Roman" w:hAnsi="Times New Roman"/>
            <w:sz w:val="24"/>
            <w:szCs w:val="24"/>
          </w:rPr>
          <w:t>https://www.nytimes.com/2023/07/04/business/federal-judge-biden-social-media.html?campaign_id=60&amp;emc=edit_na_20230704&amp;instance_id=0&amp;nl=breaking-news&amp;ref=cta&amp;regi_id=215376166&amp;segment_id=138360&amp;user_id=c17b05e2b990d0f39049334bb5d3c889</w:t>
        </w:r>
      </w:hyperlink>
    </w:p>
    <w:p w14:paraId="48F030E4" w14:textId="77777777" w:rsidR="00FE60DA" w:rsidRDefault="00FE60DA" w:rsidP="00F326E5">
      <w:pPr>
        <w:pStyle w:val="NoSpacing"/>
        <w:rPr>
          <w:rFonts w:ascii="Arial Black" w:hAnsi="Arial Black"/>
          <w:sz w:val="28"/>
          <w:szCs w:val="28"/>
        </w:rPr>
      </w:pPr>
    </w:p>
    <w:p w14:paraId="5F0C27F4" w14:textId="5578C3C9" w:rsidR="00FE60DA" w:rsidRDefault="00FE60DA"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2</w:t>
      </w:r>
    </w:p>
    <w:p w14:paraId="5E26B22F" w14:textId="77777777" w:rsidR="00FE60DA" w:rsidRDefault="00FE60DA" w:rsidP="00F326E5">
      <w:pPr>
        <w:pStyle w:val="NoSpacing"/>
        <w:rPr>
          <w:rFonts w:ascii="Arial Black" w:hAnsi="Arial Black"/>
          <w:sz w:val="28"/>
          <w:szCs w:val="28"/>
        </w:rPr>
      </w:pPr>
    </w:p>
    <w:p w14:paraId="33100188" w14:textId="77777777" w:rsidR="00FE60DA" w:rsidRDefault="00FE60DA" w:rsidP="00F326E5">
      <w:pPr>
        <w:pStyle w:val="NoSpacing"/>
        <w:rPr>
          <w:rFonts w:ascii="Arial Black" w:hAnsi="Arial Black"/>
          <w:sz w:val="28"/>
          <w:szCs w:val="28"/>
        </w:rPr>
      </w:pPr>
    </w:p>
    <w:p w14:paraId="39DD2D4B" w14:textId="77777777" w:rsidR="00FE60DA" w:rsidRDefault="00FE60DA" w:rsidP="00FE60DA">
      <w:pPr>
        <w:pStyle w:val="NormalWeb"/>
        <w:rPr>
          <w:rFonts w:ascii="Arial Black" w:hAnsi="Arial Black"/>
          <w:sz w:val="28"/>
          <w:szCs w:val="28"/>
        </w:rPr>
      </w:pPr>
      <w:r>
        <w:rPr>
          <w:rFonts w:ascii="Arial Black" w:hAnsi="Arial Black"/>
          <w:sz w:val="28"/>
          <w:szCs w:val="28"/>
        </w:rPr>
        <w:t>NC: SYRIA IS LIABLE IN U.S. TERRORIST MURDERS / INJURIES US CITIZENS - NO SOVEREIGN IMMUNITY</w:t>
      </w:r>
    </w:p>
    <w:p w14:paraId="3758C1FB" w14:textId="77777777" w:rsidR="00523A11" w:rsidRDefault="00FE60DA" w:rsidP="00523A11">
      <w:pPr>
        <w:pStyle w:val="NormalWeb"/>
      </w:pPr>
      <w:r>
        <w:t xml:space="preserve">On May 30, 2023, in </w:t>
      </w:r>
      <w:r w:rsidRPr="00594187">
        <w:rPr>
          <w:u w:val="single"/>
        </w:rPr>
        <w:t xml:space="preserve">Cameron Cain </w:t>
      </w:r>
      <w:proofErr w:type="spellStart"/>
      <w:r w:rsidRPr="00594187">
        <w:rPr>
          <w:u w:val="single"/>
        </w:rPr>
        <w:t>Baarbe</w:t>
      </w:r>
      <w:proofErr w:type="spellEnd"/>
      <w:r w:rsidRPr="00594187">
        <w:rPr>
          <w:u w:val="single"/>
        </w:rPr>
        <w:t>, et al. v. The Syrian Arab Republic</w:t>
      </w:r>
      <w:r>
        <w:t xml:space="preserve">, U.S. District Court Judge Terrence M. Boyle, U.S. District Court for Eastern District of North Carolina, Western Division, held that Syria is liable in damages in this default judgment case for the deaths of four U.S. citizens, and injury to four others in ISIS terrorist attacks </w:t>
      </w:r>
      <w:r w:rsidRPr="00A92E97">
        <w:t>in Istanbul, Paris and Brussels</w:t>
      </w:r>
      <w:r>
        <w:t xml:space="preserve">. </w:t>
      </w:r>
      <w:r w:rsidR="00523A11">
        <w:t xml:space="preserve"> </w:t>
      </w:r>
      <w:hyperlink r:id="rId704" w:history="1">
        <w:r w:rsidR="00523A11" w:rsidRPr="00812663">
          <w:rPr>
            <w:rStyle w:val="Hyperlink"/>
          </w:rPr>
          <w:t>https://casetext.com/case/baarbe-v-the-syrian-arab-republic</w:t>
        </w:r>
      </w:hyperlink>
      <w:r w:rsidR="00523A11">
        <w:t xml:space="preserve"> </w:t>
      </w:r>
    </w:p>
    <w:p w14:paraId="4E3C1A48" w14:textId="77777777" w:rsidR="00FE60DA" w:rsidRDefault="00FE60DA" w:rsidP="00FE60DA">
      <w:pPr>
        <w:pStyle w:val="NormalWeb"/>
      </w:pPr>
      <w:r>
        <w:t>The Court held: “</w:t>
      </w:r>
      <w:r w:rsidRPr="00594187">
        <w:t xml:space="preserve">This is a civil action for damages pursuant to the Foreign Sovereign Immunities Act (“FSIA”) 28 U.S.C. § 1602 </w:t>
      </w:r>
      <w:r w:rsidRPr="00594187">
        <w:rPr>
          <w:rStyle w:val="Emphasis"/>
          <w:rFonts w:eastAsiaTheme="majorEastAsia"/>
        </w:rPr>
        <w:t>et seq</w:t>
      </w:r>
      <w:r w:rsidRPr="00594187">
        <w:t xml:space="preserve">. Plaintiffs are the estate and family of U.S. national Nohemi Gonzalez murdered in a terror attack on November 13, 2015, the family and estate of U.S. national </w:t>
      </w:r>
      <w:proofErr w:type="spellStart"/>
      <w:r w:rsidRPr="00594187">
        <w:t>Abvraham</w:t>
      </w:r>
      <w:proofErr w:type="spellEnd"/>
      <w:r>
        <w:rPr>
          <w:vertAlign w:val="superscript"/>
        </w:rPr>
        <w:t xml:space="preserve"> </w:t>
      </w:r>
      <w:r w:rsidRPr="00594187">
        <w:t xml:space="preserve">Goldman murdered in a terror attack on March 19, 2016, the estate and family of Alexander Pinczowski murdered in a terror attack on March 22, 2016, and the estate and family of U.S. national Erez Orbach murdered in a terror attack on January 8, 2017. Plaintiffs are also the survivors of the terror attacks on March 19, </w:t>
      </w:r>
      <w:proofErr w:type="gramStart"/>
      <w:r w:rsidRPr="00594187">
        <w:t>2016</w:t>
      </w:r>
      <w:proofErr w:type="gramEnd"/>
      <w:r w:rsidRPr="00594187">
        <w:t xml:space="preserve"> and January 8, </w:t>
      </w:r>
      <w:proofErr w:type="gramStart"/>
      <w:r w:rsidRPr="00594187">
        <w:t>2017</w:t>
      </w:r>
      <w:proofErr w:type="gramEnd"/>
      <w:r w:rsidRPr="00594187">
        <w:t xml:space="preserve"> and their families. Plaintiffs filed this action on June 2, </w:t>
      </w:r>
      <w:proofErr w:type="gramStart"/>
      <w:r w:rsidRPr="00594187">
        <w:t>2020</w:t>
      </w:r>
      <w:proofErr w:type="gramEnd"/>
      <w:r w:rsidRPr="00594187">
        <w:t xml:space="preserve"> against Syria. (</w:t>
      </w:r>
      <w:proofErr w:type="spellStart"/>
      <w:r w:rsidRPr="00594187">
        <w:t>Dkt</w:t>
      </w:r>
      <w:proofErr w:type="spellEnd"/>
      <w:r w:rsidRPr="00594187">
        <w:t xml:space="preserve">. 1). </w:t>
      </w:r>
      <w:r>
        <w:t xml:space="preserve">*** </w:t>
      </w:r>
      <w:r w:rsidRPr="00594187">
        <w:t>When a state such as Syria chooses to use terror as a policy tool that state forfeits its sovereign immunity and deserves unadorned condemnation. Barbaric acts like those alleged in this action have no place in civilized society and represent a moral depravity that knows no bounds. In stark contrast to the terrorist thugs and their Syrian sponsors stand the courageous Plaintiffs in this action, who have resolved to fight injustice with whatever tools are at their disposal, and their patient determination in this case is a credit to both them and to the memory of their decedents. This Court hopes that the Plaintiffs may take some measure of solace in this Court's final judgment.</w:t>
      </w:r>
      <w:r>
        <w:t xml:space="preserve">” </w:t>
      </w:r>
      <w:hyperlink r:id="rId705" w:history="1">
        <w:r w:rsidRPr="00812663">
          <w:rPr>
            <w:rStyle w:val="Hyperlink"/>
          </w:rPr>
          <w:t>https://casetext.com/case/baarbe-v-the-syrian-arab-republic</w:t>
        </w:r>
      </w:hyperlink>
      <w:r>
        <w:t xml:space="preserve"> </w:t>
      </w:r>
    </w:p>
    <w:p w14:paraId="7D2BF74B" w14:textId="77777777" w:rsidR="00FE60DA" w:rsidRPr="00A92E97" w:rsidRDefault="00FE60DA" w:rsidP="00FE60DA">
      <w:pPr>
        <w:pStyle w:val="NormalWeb"/>
        <w:rPr>
          <w:b/>
          <w:bCs/>
        </w:rPr>
      </w:pPr>
      <w:r w:rsidRPr="00A92E97">
        <w:rPr>
          <w:b/>
          <w:bCs/>
        </w:rPr>
        <w:t>Legal Lesson Learned: This judgment will then allow plaintiffs to find Syria assets in US that can be seized.</w:t>
      </w:r>
    </w:p>
    <w:p w14:paraId="0AD6EA78" w14:textId="77777777" w:rsidR="00FE60DA" w:rsidRDefault="00FE60DA" w:rsidP="00F326E5">
      <w:pPr>
        <w:pStyle w:val="NoSpacing"/>
        <w:rPr>
          <w:rFonts w:ascii="Arial Black" w:hAnsi="Arial Black"/>
          <w:sz w:val="28"/>
          <w:szCs w:val="28"/>
        </w:rPr>
      </w:pPr>
    </w:p>
    <w:p w14:paraId="06FBA0A4" w14:textId="77777777" w:rsidR="00FE60DA" w:rsidRDefault="00FE60DA" w:rsidP="00F326E5">
      <w:pPr>
        <w:pStyle w:val="NoSpacing"/>
        <w:rPr>
          <w:rFonts w:ascii="Arial Black" w:hAnsi="Arial Black"/>
          <w:sz w:val="28"/>
          <w:szCs w:val="28"/>
        </w:rPr>
      </w:pPr>
    </w:p>
    <w:p w14:paraId="6DD12EBE" w14:textId="52D80842" w:rsidR="00DC17BF" w:rsidRDefault="00DC17BF"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1</w:t>
      </w:r>
    </w:p>
    <w:p w14:paraId="4B79781C" w14:textId="77777777" w:rsidR="00DC17BF" w:rsidRDefault="00DC17BF" w:rsidP="00F326E5">
      <w:pPr>
        <w:pStyle w:val="NoSpacing"/>
        <w:rPr>
          <w:rFonts w:ascii="Arial Black" w:hAnsi="Arial Black"/>
          <w:sz w:val="28"/>
          <w:szCs w:val="28"/>
        </w:rPr>
      </w:pPr>
    </w:p>
    <w:p w14:paraId="72022F65" w14:textId="067E36E9" w:rsidR="00DC17BF" w:rsidRPr="00A10866" w:rsidRDefault="00DC17BF" w:rsidP="00DC17BF">
      <w:pPr>
        <w:pStyle w:val="NormalWeb"/>
        <w:rPr>
          <w:rFonts w:ascii="Arial Black" w:hAnsi="Arial Black"/>
          <w:sz w:val="28"/>
          <w:szCs w:val="28"/>
        </w:rPr>
      </w:pPr>
      <w:bookmarkStart w:id="133" w:name="_Hlk136858863"/>
      <w:r w:rsidRPr="00A10866">
        <w:rPr>
          <w:rFonts w:ascii="Arial Black" w:hAnsi="Arial Black"/>
          <w:sz w:val="28"/>
          <w:szCs w:val="28"/>
        </w:rPr>
        <w:t xml:space="preserve">DC: </w:t>
      </w:r>
      <w:r>
        <w:rPr>
          <w:rFonts w:ascii="Arial Black" w:hAnsi="Arial Black"/>
          <w:sz w:val="28"/>
          <w:szCs w:val="28"/>
        </w:rPr>
        <w:t>U.S. S</w:t>
      </w:r>
      <w:r w:rsidR="00ED4EAF">
        <w:rPr>
          <w:rFonts w:ascii="Arial Black" w:hAnsi="Arial Black"/>
          <w:sz w:val="28"/>
          <w:szCs w:val="28"/>
        </w:rPr>
        <w:t xml:space="preserve">UP. </w:t>
      </w:r>
      <w:r>
        <w:rPr>
          <w:rFonts w:ascii="Arial Black" w:hAnsi="Arial Black"/>
          <w:sz w:val="28"/>
          <w:szCs w:val="28"/>
        </w:rPr>
        <w:t>CT - NIGHTCLUB BOMBING IN TURKEY BY ISIS – FAMILIES CAN’T SUE FACEBOOK, TWITTER, OR GOOGLE</w:t>
      </w:r>
    </w:p>
    <w:bookmarkEnd w:id="133"/>
    <w:p w14:paraId="0FB1B25A" w14:textId="77777777" w:rsidR="00523A11" w:rsidRDefault="00DC17BF" w:rsidP="00523A11">
      <w:pPr>
        <w:pStyle w:val="NormalWeb"/>
        <w:rPr>
          <w:rStyle w:val="markedcontent"/>
        </w:rPr>
      </w:pPr>
      <w:r>
        <w:rPr>
          <w:rStyle w:val="markedcontent"/>
        </w:rPr>
        <w:t xml:space="preserve">On May 18, 2023, in </w:t>
      </w:r>
      <w:r w:rsidRPr="00021EE1">
        <w:rPr>
          <w:rStyle w:val="markedcontent"/>
          <w:u w:val="single"/>
        </w:rPr>
        <w:t xml:space="preserve">Twitter, Inc. v. </w:t>
      </w:r>
      <w:proofErr w:type="spellStart"/>
      <w:r w:rsidRPr="00021EE1">
        <w:rPr>
          <w:rStyle w:val="markedcontent"/>
          <w:u w:val="single"/>
        </w:rPr>
        <w:t>Taamneh</w:t>
      </w:r>
      <w:proofErr w:type="spellEnd"/>
      <w:r w:rsidRPr="00021EE1">
        <w:rPr>
          <w:rStyle w:val="markedcontent"/>
          <w:u w:val="single"/>
        </w:rPr>
        <w:t xml:space="preserve"> et al</w:t>
      </w:r>
      <w:r>
        <w:rPr>
          <w:rStyle w:val="markedcontent"/>
        </w:rPr>
        <w:t>., the U.S. Supreme Court held (9 to 0) in an opinion by Justice Clarence Thomas, that Plaintiffs’ allegations that these social-media companies aided and abetted ISIS in its terrorist attack on the Reina nightclub fail to state</w:t>
      </w:r>
      <w:r w:rsidR="00523A11">
        <w:rPr>
          <w:rStyle w:val="markedcontent"/>
        </w:rPr>
        <w:t xml:space="preserve"> </w:t>
      </w:r>
      <w:r>
        <w:rPr>
          <w:rStyle w:val="markedcontent"/>
        </w:rPr>
        <w:t xml:space="preserve">a claim under 18 U. S. C. §2333(d)(2). </w:t>
      </w:r>
      <w:hyperlink r:id="rId706" w:history="1">
        <w:r w:rsidR="00523A11" w:rsidRPr="00B908DF">
          <w:rPr>
            <w:rStyle w:val="Hyperlink"/>
            <w:rFonts w:eastAsiaTheme="majorEastAsia"/>
          </w:rPr>
          <w:t>https://www.supremecourt.gov/opinions/22pdf/21-1496_d18f.pdf</w:t>
        </w:r>
      </w:hyperlink>
      <w:r w:rsidR="00523A11">
        <w:rPr>
          <w:rStyle w:val="markedcontent"/>
        </w:rPr>
        <w:t xml:space="preserve"> </w:t>
      </w:r>
    </w:p>
    <w:p w14:paraId="58E120EA" w14:textId="679A19EB" w:rsidR="00DC17BF" w:rsidRDefault="00DC17BF" w:rsidP="00DC17BF">
      <w:pPr>
        <w:pStyle w:val="NormalWeb"/>
        <w:rPr>
          <w:rStyle w:val="markedcontent"/>
        </w:rPr>
      </w:pPr>
      <w:r>
        <w:rPr>
          <w:rStyle w:val="markedcontent"/>
        </w:rPr>
        <w:t xml:space="preserve">Justice Thomas wrote: </w:t>
      </w:r>
    </w:p>
    <w:p w14:paraId="4FB88826" w14:textId="77777777" w:rsidR="00DC17BF" w:rsidRDefault="00DC17BF" w:rsidP="00DC17BF">
      <w:pPr>
        <w:pStyle w:val="NormalWeb"/>
        <w:ind w:left="720"/>
        <w:rPr>
          <w:rStyle w:val="markedcontent"/>
        </w:rPr>
      </w:pPr>
      <w:r>
        <w:rPr>
          <w:rStyle w:val="markedcontent"/>
        </w:rPr>
        <w:t xml:space="preserve">“First, the relationship between defendants and the Reina attack is highly attenuated. As noted above, defendants’ platforms are global in scale and allow hundreds of millions (or billions) of people to upload vast quantities of information </w:t>
      </w:r>
      <w:proofErr w:type="gramStart"/>
      <w:r>
        <w:rPr>
          <w:rStyle w:val="markedcontent"/>
        </w:rPr>
        <w:t>on a daily basis</w:t>
      </w:r>
      <w:proofErr w:type="gramEnd"/>
      <w:r>
        <w:rPr>
          <w:rStyle w:val="markedcontent"/>
        </w:rPr>
        <w:t>. Yet, there are no allegations that defendants treated ISIS any differently from anyone else. Rather, defendants’ relationship with ISIS and its supporters appears to have been the same as their relationship with their billion-plus other users: arm’s length, passive, and largely indifferent…. Second, because of the distance between defendants’ acts (or failures to act) and the Reina attack, plaintiffs would need some other very good reason to think that defendants were consciously trying to help or otherwise ‘participate in’ the Reina attack.”</w:t>
      </w:r>
      <w:r w:rsidRPr="00E46EAE">
        <w:t xml:space="preserve"> </w:t>
      </w:r>
      <w:hyperlink r:id="rId707" w:history="1">
        <w:r w:rsidRPr="00B908DF">
          <w:rPr>
            <w:rStyle w:val="Hyperlink"/>
            <w:rFonts w:eastAsiaTheme="majorEastAsia"/>
          </w:rPr>
          <w:t>https://www.supremecourt.gov/opinions/22pdf/21-1496_d18f.pdf</w:t>
        </w:r>
      </w:hyperlink>
      <w:r>
        <w:rPr>
          <w:rStyle w:val="markedcontent"/>
        </w:rPr>
        <w:t xml:space="preserve"> </w:t>
      </w:r>
    </w:p>
    <w:p w14:paraId="3D65002C" w14:textId="77777777" w:rsidR="00DC17BF" w:rsidRPr="00B17836" w:rsidRDefault="00DC17BF" w:rsidP="00DC17BF">
      <w:pPr>
        <w:pStyle w:val="NormalWeb"/>
        <w:rPr>
          <w:rStyle w:val="markedcontent"/>
          <w:b/>
          <w:bCs/>
        </w:rPr>
      </w:pPr>
      <w:r w:rsidRPr="00B17836">
        <w:rPr>
          <w:rStyle w:val="markedcontent"/>
          <w:b/>
          <w:bCs/>
        </w:rPr>
        <w:t xml:space="preserve">Legal Lesson Learned: By unanimous decision, the U.S. Supreme Court held that the social media companies conduct did not constitute aiding or abetting ISIS. </w:t>
      </w:r>
    </w:p>
    <w:p w14:paraId="66C46CA7" w14:textId="77777777" w:rsidR="00DC17BF" w:rsidRDefault="00DC17BF" w:rsidP="00DC17BF">
      <w:pPr>
        <w:pStyle w:val="NormalWeb"/>
        <w:rPr>
          <w:rStyle w:val="markedcontent"/>
        </w:rPr>
      </w:pPr>
    </w:p>
    <w:p w14:paraId="1B2D175F" w14:textId="77777777" w:rsidR="00DC17BF" w:rsidRDefault="00DC17BF" w:rsidP="00F326E5">
      <w:pPr>
        <w:pStyle w:val="NoSpacing"/>
        <w:rPr>
          <w:rFonts w:ascii="Arial Black" w:hAnsi="Arial Black"/>
          <w:sz w:val="28"/>
          <w:szCs w:val="28"/>
        </w:rPr>
      </w:pPr>
    </w:p>
    <w:p w14:paraId="06E5F72F" w14:textId="292C25F4" w:rsidR="003F788B" w:rsidRDefault="003F788B" w:rsidP="00F326E5">
      <w:pPr>
        <w:pStyle w:val="NoSpacing"/>
        <w:rPr>
          <w:rFonts w:ascii="Arial Black" w:hAnsi="Arial Black"/>
          <w:sz w:val="28"/>
          <w:szCs w:val="28"/>
        </w:rPr>
      </w:pPr>
      <w:r>
        <w:rPr>
          <w:rFonts w:ascii="Arial Black" w:hAnsi="Arial Black"/>
          <w:sz w:val="28"/>
          <w:szCs w:val="28"/>
        </w:rPr>
        <w:t>3-5</w:t>
      </w:r>
      <w:r w:rsidR="00ED4EAF">
        <w:rPr>
          <w:rFonts w:ascii="Arial Black" w:hAnsi="Arial Black"/>
          <w:sz w:val="28"/>
          <w:szCs w:val="28"/>
        </w:rPr>
        <w:t>0</w:t>
      </w:r>
    </w:p>
    <w:p w14:paraId="631FF00C" w14:textId="77777777" w:rsidR="003F788B" w:rsidRDefault="003F788B" w:rsidP="003F788B">
      <w:pPr>
        <w:pStyle w:val="NormalWeb"/>
        <w:rPr>
          <w:rFonts w:ascii="Arial Black" w:hAnsi="Arial Black"/>
          <w:sz w:val="28"/>
          <w:szCs w:val="28"/>
        </w:rPr>
      </w:pPr>
      <w:r>
        <w:rPr>
          <w:rFonts w:ascii="Arial Black" w:hAnsi="Arial Black"/>
          <w:sz w:val="28"/>
          <w:szCs w:val="28"/>
        </w:rPr>
        <w:t xml:space="preserve">NY: FDNY FF KILLED ON 9/11 – FAMILY GETS $8.5 MILLION DEFAULT JUDGMENT - ISLAMIC REPUBLIC OF IRAN </w:t>
      </w:r>
    </w:p>
    <w:p w14:paraId="5B48EAF4" w14:textId="77777777" w:rsidR="003F788B" w:rsidRDefault="003F788B" w:rsidP="003F788B">
      <w:pPr>
        <w:pStyle w:val="NormalWeb"/>
      </w:pPr>
      <w:r>
        <w:t xml:space="preserve">On March 28, 2023, in the multidistrict litigation - </w:t>
      </w:r>
      <w:r>
        <w:rPr>
          <w:u w:val="single"/>
        </w:rPr>
        <w:t>In re Terrorist Attacks on September 11, 2001</w:t>
      </w:r>
      <w:r>
        <w:t xml:space="preserve">, in case of </w:t>
      </w:r>
      <w:proofErr w:type="spellStart"/>
      <w:r>
        <w:rPr>
          <w:u w:val="single"/>
        </w:rPr>
        <w:t>Chairnoff</w:t>
      </w:r>
      <w:proofErr w:type="spellEnd"/>
      <w:r>
        <w:rPr>
          <w:u w:val="single"/>
        </w:rPr>
        <w:t xml:space="preserve"> v. Islamic Republic of Iran</w:t>
      </w:r>
      <w:r>
        <w:t xml:space="preserve">, U.S. District Court George B. Daniels, U.S. District Court, Southern District of New York, awarded partial final default judgment to the family of Geoffrey E. Guja, a New York City firefighter who was killed in the terrorist attacks on September 11, 2001. </w:t>
      </w:r>
    </w:p>
    <w:p w14:paraId="176A7061" w14:textId="77777777" w:rsidR="003F788B" w:rsidRDefault="003F788B" w:rsidP="003F788B">
      <w:pPr>
        <w:pStyle w:val="NormalWeb"/>
        <w:ind w:left="720" w:firstLine="60"/>
      </w:pPr>
      <w:r>
        <w:t xml:space="preserve">“Plaintiff now moves for solatium damages on the ground that her close relationship with her stepfather Geoffrey E. Guja, who was killed in the September 11, </w:t>
      </w:r>
      <w:proofErr w:type="gramStart"/>
      <w:r>
        <w:t>2001</w:t>
      </w:r>
      <w:proofErr w:type="gramEnd"/>
      <w:r>
        <w:t xml:space="preserve"> terrorist attacks (‘9/11 Attacks’), merits a finding that she is a functionally equivalent family member of the victim…. Court grant Plaintiffs motion and award Plaintiff $8,500,000 in solatium damages.” </w:t>
      </w:r>
      <w:hyperlink r:id="rId708" w:history="1">
        <w:r>
          <w:rPr>
            <w:rStyle w:val="Hyperlink"/>
          </w:rPr>
          <w:t>https://casetext.com/case/chairnoff-v-islamic-republic-of-iran-in-re-terrorist-attacks</w:t>
        </w:r>
      </w:hyperlink>
      <w:r>
        <w:t xml:space="preserve"> </w:t>
      </w:r>
    </w:p>
    <w:p w14:paraId="6965F5A1" w14:textId="77777777" w:rsidR="003F788B" w:rsidRDefault="003F788B" w:rsidP="003F788B">
      <w:pPr>
        <w:pStyle w:val="paragraph"/>
        <w:ind w:left="720"/>
      </w:pPr>
      <w:r>
        <w:rPr>
          <w:b/>
          <w:bCs/>
        </w:rPr>
        <w:t>“ORDERED</w:t>
      </w:r>
      <w:r>
        <w:t xml:space="preserve"> that Plaintiff Jamie K. Hawkins be awarded $8,500,000 for solatium damages; and it is </w:t>
      </w:r>
    </w:p>
    <w:p w14:paraId="078D0AC4" w14:textId="77777777" w:rsidR="003F788B" w:rsidRDefault="003F788B" w:rsidP="003F788B">
      <w:pPr>
        <w:pStyle w:val="paragraph"/>
        <w:ind w:left="720"/>
      </w:pPr>
      <w:r>
        <w:rPr>
          <w:b/>
          <w:bCs/>
        </w:rPr>
        <w:t>ORDERED</w:t>
      </w:r>
      <w:r>
        <w:t xml:space="preserve"> that prejudgment interest is awarded at a rate of 4.96 percent per annum, all interest compounded annually for the period from September 11, </w:t>
      </w:r>
      <w:proofErr w:type="gramStart"/>
      <w:r>
        <w:t>2001</w:t>
      </w:r>
      <w:proofErr w:type="gramEnd"/>
      <w:r>
        <w:t xml:space="preserve"> until the date of the judgment for damages; and it is </w:t>
      </w:r>
    </w:p>
    <w:p w14:paraId="48E2BC8C" w14:textId="77777777" w:rsidR="003F788B" w:rsidRDefault="003F788B" w:rsidP="003F788B">
      <w:pPr>
        <w:pStyle w:val="paragraph"/>
        <w:ind w:left="720"/>
      </w:pPr>
      <w:r>
        <w:rPr>
          <w:b/>
          <w:bCs/>
        </w:rPr>
        <w:t>ORDERED</w:t>
      </w:r>
      <w:r>
        <w:t xml:space="preserve"> that Plaintiffs not appearing on this motion and who were not previously awarded damages may submit in later stages applications for punitive, economic, and/or other damages awards that may be approved on the same basis as currently approved for this Plaintiff or in prior filings.” </w:t>
      </w:r>
    </w:p>
    <w:p w14:paraId="3D681B4E" w14:textId="77777777" w:rsidR="003F788B" w:rsidRPr="004C17A1" w:rsidRDefault="003F788B" w:rsidP="003F788B">
      <w:pPr>
        <w:pStyle w:val="NormalWeb"/>
        <w:rPr>
          <w:b/>
          <w:bCs/>
        </w:rPr>
      </w:pPr>
      <w:r>
        <w:rPr>
          <w:b/>
          <w:bCs/>
        </w:rPr>
        <w:t xml:space="preserve">Legal Lesson Learned:  Hopefully the family of this fallen firefighter can now find assets of the Islamic Republic of Iran which can be seized to pay off this judgment. </w:t>
      </w:r>
    </w:p>
    <w:p w14:paraId="2D424A0F" w14:textId="77777777" w:rsidR="003F788B" w:rsidRDefault="003F788B" w:rsidP="00F326E5">
      <w:pPr>
        <w:pStyle w:val="NoSpacing"/>
        <w:rPr>
          <w:rFonts w:ascii="Arial Black" w:hAnsi="Arial Black"/>
          <w:sz w:val="28"/>
          <w:szCs w:val="28"/>
        </w:rPr>
      </w:pPr>
    </w:p>
    <w:p w14:paraId="57AE8773" w14:textId="77777777" w:rsidR="003F788B" w:rsidRDefault="003F788B" w:rsidP="00F326E5">
      <w:pPr>
        <w:pStyle w:val="NoSpacing"/>
        <w:rPr>
          <w:rFonts w:ascii="Arial Black" w:hAnsi="Arial Black"/>
          <w:sz w:val="28"/>
          <w:szCs w:val="28"/>
        </w:rPr>
      </w:pPr>
    </w:p>
    <w:p w14:paraId="580851E1" w14:textId="77777777" w:rsidR="003F788B" w:rsidRDefault="003F788B" w:rsidP="00F326E5">
      <w:pPr>
        <w:pStyle w:val="NoSpacing"/>
        <w:rPr>
          <w:rFonts w:ascii="Arial Black" w:hAnsi="Arial Black"/>
          <w:sz w:val="28"/>
          <w:szCs w:val="28"/>
        </w:rPr>
      </w:pPr>
    </w:p>
    <w:p w14:paraId="1616435F" w14:textId="77777777" w:rsidR="003F788B" w:rsidRDefault="003F788B" w:rsidP="00F326E5">
      <w:pPr>
        <w:pStyle w:val="NoSpacing"/>
        <w:rPr>
          <w:rFonts w:ascii="Arial Black" w:hAnsi="Arial Black"/>
          <w:sz w:val="28"/>
          <w:szCs w:val="28"/>
        </w:rPr>
      </w:pPr>
    </w:p>
    <w:p w14:paraId="27DBB88B" w14:textId="16B94DD3" w:rsidR="00AE32D3" w:rsidRDefault="00AB637D" w:rsidP="00F326E5">
      <w:pPr>
        <w:pStyle w:val="NoSpacing"/>
        <w:rPr>
          <w:rFonts w:ascii="Arial Black" w:hAnsi="Arial Black"/>
          <w:sz w:val="28"/>
          <w:szCs w:val="28"/>
        </w:rPr>
      </w:pPr>
      <w:r>
        <w:rPr>
          <w:rFonts w:ascii="Arial Black" w:hAnsi="Arial Black"/>
          <w:sz w:val="28"/>
          <w:szCs w:val="28"/>
        </w:rPr>
        <w:t>3-</w:t>
      </w:r>
      <w:r w:rsidR="00ED4EAF">
        <w:rPr>
          <w:rFonts w:ascii="Arial Black" w:hAnsi="Arial Black"/>
          <w:sz w:val="28"/>
          <w:szCs w:val="28"/>
        </w:rPr>
        <w:t>49</w:t>
      </w:r>
    </w:p>
    <w:p w14:paraId="1B102B84" w14:textId="77777777" w:rsidR="00AB637D" w:rsidRDefault="00AB637D" w:rsidP="00AB637D">
      <w:pPr>
        <w:pStyle w:val="NormalWeb"/>
        <w:rPr>
          <w:rFonts w:ascii="Arial Black" w:hAnsi="Arial Black"/>
          <w:sz w:val="28"/>
          <w:szCs w:val="28"/>
        </w:rPr>
      </w:pPr>
      <w:r>
        <w:rPr>
          <w:rFonts w:ascii="Arial Black" w:hAnsi="Arial Black"/>
          <w:sz w:val="28"/>
          <w:szCs w:val="28"/>
        </w:rPr>
        <w:t>MD: ACTIVE SHOOTER - TEMP EMPLOYEE KILLED 3, INJURED 3 - WAREHOUSE &amp; TEMP CO. NO PRIOR WARNING</w:t>
      </w:r>
    </w:p>
    <w:p w14:paraId="56622F42" w14:textId="77777777" w:rsidR="00AB637D" w:rsidRDefault="00AB637D" w:rsidP="00AB637D">
      <w:pPr>
        <w:pStyle w:val="NormalWeb"/>
      </w:pPr>
      <w:r>
        <w:t xml:space="preserve">On March 2, 2023, in </w:t>
      </w:r>
      <w:proofErr w:type="spellStart"/>
      <w:r w:rsidRPr="00E84230">
        <w:rPr>
          <w:u w:val="single"/>
        </w:rPr>
        <w:t>Haissaun</w:t>
      </w:r>
      <w:proofErr w:type="spellEnd"/>
      <w:r w:rsidRPr="00E84230">
        <w:rPr>
          <w:u w:val="single"/>
        </w:rPr>
        <w:t xml:space="preserve"> Mitchell. </w:t>
      </w:r>
      <w:r>
        <w:rPr>
          <w:u w:val="single"/>
        </w:rPr>
        <w:t>e</w:t>
      </w:r>
      <w:r w:rsidRPr="00E84230">
        <w:rPr>
          <w:u w:val="single"/>
        </w:rPr>
        <w:t>t al. v. Rite Aid of Maryland, et al</w:t>
      </w:r>
      <w:r>
        <w:t>., Court of Special Appeals of Maryland held (3 to 0) that the Rite Aid Distribution Center and the Temp company that hired her had no prior warning that the temp employee, who had only worked eight shifts, was going to be an active shooter when she tried to cut in line to clock in and fellow workers stopped her.  Three co-workers who survived the shooting (all from Mitchell family) were all covered by workers comp. and then sued for damages.  Court ruled: “</w:t>
      </w:r>
      <w:r w:rsidRPr="00D81AE3">
        <w:rPr>
          <w:rStyle w:val="markedcontent"/>
        </w:rPr>
        <w:t xml:space="preserve">It is a somber and sobering fact that the steady increase in the number of </w:t>
      </w:r>
      <w:proofErr w:type="gramStart"/>
      <w:r w:rsidRPr="00D81AE3">
        <w:rPr>
          <w:rStyle w:val="markedcontent"/>
        </w:rPr>
        <w:t>mass</w:t>
      </w:r>
      <w:proofErr w:type="gramEnd"/>
      <w:r>
        <w:rPr>
          <w:rStyle w:val="markedcontent"/>
        </w:rPr>
        <w:t xml:space="preserve"> </w:t>
      </w:r>
      <w:r w:rsidRPr="00D81AE3">
        <w:rPr>
          <w:rStyle w:val="markedcontent"/>
        </w:rPr>
        <w:t>shootings1 has impelled both public and private organizations to begin considering security</w:t>
      </w:r>
      <w:r>
        <w:rPr>
          <w:rStyle w:val="markedcontent"/>
        </w:rPr>
        <w:t xml:space="preserve"> </w:t>
      </w:r>
      <w:r w:rsidRPr="00D81AE3">
        <w:rPr>
          <w:rStyle w:val="markedcontent"/>
        </w:rPr>
        <w:t>measures responsive to that risk.</w:t>
      </w:r>
      <w:r>
        <w:rPr>
          <w:rStyle w:val="markedcontent"/>
        </w:rPr>
        <w:t xml:space="preserve"> </w:t>
      </w:r>
      <w:r w:rsidRPr="00D81AE3">
        <w:rPr>
          <w:rStyle w:val="markedcontent"/>
        </w:rPr>
        <w:t>This appeal arises out of the tragic mass shooting that</w:t>
      </w:r>
      <w:r>
        <w:rPr>
          <w:rStyle w:val="markedcontent"/>
        </w:rPr>
        <w:t xml:space="preserve"> </w:t>
      </w:r>
      <w:r w:rsidRPr="00D81AE3">
        <w:rPr>
          <w:rStyle w:val="markedcontent"/>
        </w:rPr>
        <w:t>occurred on September 20, 2018, at a warehouse facility leased by appellee, Rite Aid of</w:t>
      </w:r>
      <w:r>
        <w:rPr>
          <w:rStyle w:val="markedcontent"/>
        </w:rPr>
        <w:t xml:space="preserve"> </w:t>
      </w:r>
      <w:r w:rsidRPr="00D81AE3">
        <w:rPr>
          <w:rStyle w:val="markedcontent"/>
        </w:rPr>
        <w:t>Maryland, Inc. (</w:t>
      </w:r>
      <w:r>
        <w:rPr>
          <w:rStyle w:val="markedcontent"/>
        </w:rPr>
        <w:t>‘</w:t>
      </w:r>
      <w:r w:rsidRPr="00D81AE3">
        <w:rPr>
          <w:rStyle w:val="markedcontent"/>
        </w:rPr>
        <w:t>Rite Aid</w:t>
      </w:r>
      <w:r>
        <w:rPr>
          <w:rStyle w:val="markedcontent"/>
        </w:rPr>
        <w:t>’</w:t>
      </w:r>
      <w:r w:rsidRPr="00D81AE3">
        <w:rPr>
          <w:rStyle w:val="markedcontent"/>
        </w:rPr>
        <w:t xml:space="preserve">) in Aberdeen, Maryland. The shooter, </w:t>
      </w:r>
      <w:proofErr w:type="spellStart"/>
      <w:r w:rsidRPr="00D81AE3">
        <w:rPr>
          <w:rStyle w:val="markedcontent"/>
        </w:rPr>
        <w:t>Snochia</w:t>
      </w:r>
      <w:proofErr w:type="spellEnd"/>
      <w:r w:rsidRPr="00D81AE3">
        <w:rPr>
          <w:rStyle w:val="markedcontent"/>
        </w:rPr>
        <w:t xml:space="preserve"> </w:t>
      </w:r>
      <w:proofErr w:type="gramStart"/>
      <w:r w:rsidRPr="00D81AE3">
        <w:rPr>
          <w:rStyle w:val="markedcontent"/>
        </w:rPr>
        <w:t>Moseley</w:t>
      </w:r>
      <w:r>
        <w:rPr>
          <w:rStyle w:val="markedcontent"/>
        </w:rPr>
        <w:t xml:space="preserve"> </w:t>
      </w:r>
      <w:r w:rsidRPr="00D81AE3">
        <w:rPr>
          <w:rStyle w:val="markedcontent"/>
        </w:rPr>
        <w:t>(</w:t>
      </w:r>
      <w:r>
        <w:rPr>
          <w:rStyle w:val="markedcontent"/>
        </w:rPr>
        <w:t>‘</w:t>
      </w:r>
      <w:proofErr w:type="gramEnd"/>
      <w:r w:rsidRPr="00D81AE3">
        <w:rPr>
          <w:rStyle w:val="markedcontent"/>
        </w:rPr>
        <w:t>Moseley</w:t>
      </w:r>
      <w:r>
        <w:rPr>
          <w:rStyle w:val="markedcontent"/>
        </w:rPr>
        <w:t>’</w:t>
      </w:r>
      <w:r w:rsidRPr="00D81AE3">
        <w:rPr>
          <w:rStyle w:val="markedcontent"/>
        </w:rPr>
        <w:t xml:space="preserve">), was an employee of appellee, Abacus </w:t>
      </w:r>
      <w:proofErr w:type="gramStart"/>
      <w:r w:rsidRPr="00D81AE3">
        <w:rPr>
          <w:rStyle w:val="markedcontent"/>
        </w:rPr>
        <w:t>Corporation (</w:t>
      </w:r>
      <w:r>
        <w:rPr>
          <w:rStyle w:val="markedcontent"/>
        </w:rPr>
        <w:t>‘</w:t>
      </w:r>
      <w:proofErr w:type="gramEnd"/>
      <w:r w:rsidRPr="00D81AE3">
        <w:rPr>
          <w:rStyle w:val="markedcontent"/>
        </w:rPr>
        <w:t>Abacus</w:t>
      </w:r>
      <w:r>
        <w:rPr>
          <w:rStyle w:val="markedcontent"/>
        </w:rPr>
        <w:t>’</w:t>
      </w:r>
      <w:r w:rsidRPr="00D81AE3">
        <w:rPr>
          <w:rStyle w:val="markedcontent"/>
        </w:rPr>
        <w:t>), temporarily</w:t>
      </w:r>
      <w:r>
        <w:rPr>
          <w:rStyle w:val="markedcontent"/>
        </w:rPr>
        <w:t xml:space="preserve"> </w:t>
      </w:r>
      <w:r w:rsidRPr="00D81AE3">
        <w:rPr>
          <w:rStyle w:val="markedcontent"/>
        </w:rPr>
        <w:t>assigned to work in Rite Aid’s facility. On the day in question, Moseley gained access to the facility using her ID badge and proceeded to open fire on her coworkers, killing three</w:t>
      </w:r>
      <w:r>
        <w:rPr>
          <w:rStyle w:val="markedcontent"/>
        </w:rPr>
        <w:t xml:space="preserve"> </w:t>
      </w:r>
      <w:r w:rsidRPr="00D81AE3">
        <w:rPr>
          <w:rStyle w:val="markedcontent"/>
        </w:rPr>
        <w:t>and wounding three more.</w:t>
      </w:r>
      <w:r>
        <w:rPr>
          <w:rStyle w:val="markedcontent"/>
        </w:rPr>
        <w:t xml:space="preserve"> *** </w:t>
      </w:r>
      <w:r w:rsidRPr="00D81AE3">
        <w:rPr>
          <w:rStyle w:val="markedcontent"/>
        </w:rPr>
        <w:t>We affirm</w:t>
      </w:r>
      <w:r>
        <w:rPr>
          <w:rStyle w:val="markedcontent"/>
        </w:rPr>
        <w:t xml:space="preserve"> … </w:t>
      </w:r>
      <w:r w:rsidRPr="00D81AE3">
        <w:rPr>
          <w:rStyle w:val="markedcontent"/>
        </w:rPr>
        <w:t>the circuit court’s alternative grant of summary judgment in</w:t>
      </w:r>
      <w:r>
        <w:rPr>
          <w:rStyle w:val="markedcontent"/>
        </w:rPr>
        <w:t xml:space="preserve"> </w:t>
      </w:r>
      <w:r w:rsidRPr="00D81AE3">
        <w:rPr>
          <w:rStyle w:val="markedcontent"/>
        </w:rPr>
        <w:t>favor of Rite Aid on the Mitchells’ premises liability claim because the Mitchells failed to present any admissible evidence establishing that Moseley’s tragic shooting spree was</w:t>
      </w:r>
      <w:r>
        <w:rPr>
          <w:rStyle w:val="markedcontent"/>
        </w:rPr>
        <w:t xml:space="preserve"> </w:t>
      </w:r>
      <w:r w:rsidRPr="00D81AE3">
        <w:rPr>
          <w:rStyle w:val="markedcontent"/>
        </w:rPr>
        <w:t>foreseeable.</w:t>
      </w:r>
      <w:r>
        <w:rPr>
          <w:rStyle w:val="markedcontent"/>
        </w:rPr>
        <w:t xml:space="preserve"> *** </w:t>
      </w:r>
      <w:r w:rsidRPr="00F014DB">
        <w:rPr>
          <w:rStyle w:val="markedcontent"/>
        </w:rPr>
        <w:t>We caution that this opinion should not be read to suggest that mass shootings are</w:t>
      </w:r>
      <w:r>
        <w:rPr>
          <w:rStyle w:val="markedcontent"/>
        </w:rPr>
        <w:t xml:space="preserve"> </w:t>
      </w:r>
      <w:r w:rsidRPr="00F014DB">
        <w:rPr>
          <w:rStyle w:val="markedcontent"/>
        </w:rPr>
        <w:t>unforeseeable as a matter of law. As grim statistics and the development of the law in our</w:t>
      </w:r>
      <w:r>
        <w:rPr>
          <w:rStyle w:val="markedcontent"/>
        </w:rPr>
        <w:t xml:space="preserve"> </w:t>
      </w:r>
      <w:r w:rsidRPr="00F014DB">
        <w:rPr>
          <w:rStyle w:val="markedcontent"/>
        </w:rPr>
        <w:t>sister states foreshadow, the standards of care surrounding a business owner’s duty to</w:t>
      </w:r>
      <w:r>
        <w:rPr>
          <w:rStyle w:val="markedcontent"/>
        </w:rPr>
        <w:t xml:space="preserve"> </w:t>
      </w:r>
      <w:r w:rsidRPr="00F014DB">
        <w:rPr>
          <w:rStyle w:val="markedcontent"/>
        </w:rPr>
        <w:t xml:space="preserve">protect invitees from gun violence are not static and will continue to evolve </w:t>
      </w:r>
      <w:proofErr w:type="gramStart"/>
      <w:r w:rsidRPr="00F014DB">
        <w:rPr>
          <w:rStyle w:val="markedcontent"/>
        </w:rPr>
        <w:t>in light of</w:t>
      </w:r>
      <w:proofErr w:type="gramEnd"/>
      <w:r>
        <w:rPr>
          <w:rStyle w:val="markedcontent"/>
        </w:rPr>
        <w:t xml:space="preserve"> ‘</w:t>
      </w:r>
      <w:r w:rsidRPr="00F014DB">
        <w:rPr>
          <w:rStyle w:val="markedcontent"/>
        </w:rPr>
        <w:t>common sense perceptions of the risks created by various conditions and circumstances.</w:t>
      </w:r>
      <w:r>
        <w:rPr>
          <w:rStyle w:val="markedcontent"/>
        </w:rPr>
        <w:t xml:space="preserve">’ </w:t>
      </w:r>
      <w:r w:rsidRPr="00F014DB">
        <w:rPr>
          <w:rStyle w:val="markedcontent"/>
        </w:rPr>
        <w:t>Axelrod v. Cinemark Holdings, Inc., 65 F. Supp. 3d 1093, 1100 (D. Colo. 2014) (quoting</w:t>
      </w:r>
      <w:r>
        <w:rPr>
          <w:rStyle w:val="markedcontent"/>
        </w:rPr>
        <w:t xml:space="preserve"> </w:t>
      </w:r>
      <w:r w:rsidRPr="00F014DB">
        <w:rPr>
          <w:rStyle w:val="markedcontent"/>
        </w:rPr>
        <w:t>Taco Bell, Inc. v. Lannon, 744 P.2d 43, 48 (Colo. 1987)).</w:t>
      </w:r>
      <w:r>
        <w:rPr>
          <w:rStyle w:val="markedcontent"/>
        </w:rPr>
        <w:t xml:space="preserve">” </w:t>
      </w:r>
      <w:hyperlink r:id="rId709" w:history="1">
        <w:r w:rsidRPr="006D212A">
          <w:rPr>
            <w:rStyle w:val="Hyperlink"/>
            <w:rFonts w:eastAsiaTheme="majorEastAsia"/>
          </w:rPr>
          <w:t>https://mdcourts.gov/data/opinions/cosa/2023/0021s22.pdf</w:t>
        </w:r>
      </w:hyperlink>
      <w:r>
        <w:t xml:space="preserve"> </w:t>
      </w:r>
    </w:p>
    <w:p w14:paraId="0FBBDBAF" w14:textId="77777777" w:rsidR="00AB637D" w:rsidRPr="00F014DB" w:rsidRDefault="00AB637D" w:rsidP="00AB637D">
      <w:pPr>
        <w:pStyle w:val="NormalWeb"/>
        <w:ind w:left="720"/>
      </w:pPr>
      <w:r>
        <w:rPr>
          <w:rStyle w:val="markedcontent"/>
        </w:rPr>
        <w:t>“</w:t>
      </w:r>
      <w:proofErr w:type="spellStart"/>
      <w:r w:rsidRPr="00F014DB">
        <w:rPr>
          <w:rStyle w:val="markedcontent"/>
        </w:rPr>
        <w:t>Snochia</w:t>
      </w:r>
      <w:proofErr w:type="spellEnd"/>
      <w:r w:rsidRPr="00F014DB">
        <w:rPr>
          <w:rStyle w:val="markedcontent"/>
        </w:rPr>
        <w:t xml:space="preserve"> Moseley was a temporary worker at the Rite Aid Distribution Center in</w:t>
      </w:r>
      <w:r w:rsidRPr="00F014DB">
        <w:br/>
      </w:r>
      <w:r w:rsidRPr="00F014DB">
        <w:rPr>
          <w:rStyle w:val="markedcontent"/>
        </w:rPr>
        <w:t>Aberdeen, Maryland. Prior to September 20, 2018, she had only worked approximately</w:t>
      </w:r>
      <w:r w:rsidRPr="00F014DB">
        <w:br/>
      </w:r>
      <w:r w:rsidRPr="00F014DB">
        <w:rPr>
          <w:rStyle w:val="markedcontent"/>
        </w:rPr>
        <w:t>eight shifts at the facility. On that fateful September morning, Moseley reportedly agitated</w:t>
      </w:r>
      <w:r>
        <w:rPr>
          <w:rStyle w:val="markedcontent"/>
        </w:rPr>
        <w:t xml:space="preserve"> </w:t>
      </w:r>
      <w:r w:rsidRPr="00F014DB">
        <w:rPr>
          <w:rStyle w:val="markedcontent"/>
        </w:rPr>
        <w:t>other workers when she cut in front of them to check into work. She then left the facility</w:t>
      </w:r>
      <w:r>
        <w:rPr>
          <w:rStyle w:val="markedcontent"/>
        </w:rPr>
        <w:t xml:space="preserve"> </w:t>
      </w:r>
      <w:r w:rsidRPr="00F014DB">
        <w:rPr>
          <w:rStyle w:val="markedcontent"/>
        </w:rPr>
        <w:t>for a brief period and returned with a handgun.</w:t>
      </w:r>
      <w:r>
        <w:rPr>
          <w:rStyle w:val="markedcontent"/>
        </w:rPr>
        <w:t xml:space="preserve"> </w:t>
      </w:r>
      <w:r w:rsidRPr="00F014DB">
        <w:rPr>
          <w:rStyle w:val="markedcontent"/>
        </w:rPr>
        <w:t>At approximately 9:00 a.m., Moseley re-entered the Rite Aid Distribution Center’s</w:t>
      </w:r>
      <w:r>
        <w:rPr>
          <w:rStyle w:val="markedcontent"/>
        </w:rPr>
        <w:t xml:space="preserve"> </w:t>
      </w:r>
      <w:r w:rsidRPr="00F014DB">
        <w:rPr>
          <w:rStyle w:val="markedcontent"/>
        </w:rPr>
        <w:t>perimeter gate using her access badge. After parking her car, she got out and opened fire</w:t>
      </w:r>
      <w:r>
        <w:rPr>
          <w:rStyle w:val="markedcontent"/>
        </w:rPr>
        <w:t xml:space="preserve"> </w:t>
      </w:r>
      <w:r w:rsidRPr="00F014DB">
        <w:rPr>
          <w:rStyle w:val="markedcontent"/>
        </w:rPr>
        <w:t>on a group of workers congregated outside the building. Moseley proceeded to enter the</w:t>
      </w:r>
      <w:r>
        <w:rPr>
          <w:rStyle w:val="markedcontent"/>
        </w:rPr>
        <w:t xml:space="preserve"> </w:t>
      </w:r>
      <w:r w:rsidRPr="00F014DB">
        <w:rPr>
          <w:rStyle w:val="markedcontent"/>
        </w:rPr>
        <w:t xml:space="preserve">building through the front entrance and into the break room, where </w:t>
      </w:r>
      <w:proofErr w:type="spellStart"/>
      <w:r w:rsidRPr="00F014DB">
        <w:rPr>
          <w:rStyle w:val="markedcontent"/>
        </w:rPr>
        <w:t>Haissaun</w:t>
      </w:r>
      <w:proofErr w:type="spellEnd"/>
      <w:r w:rsidRPr="00F014DB">
        <w:rPr>
          <w:rStyle w:val="markedcontent"/>
        </w:rPr>
        <w:t xml:space="preserve"> and Shyheim</w:t>
      </w:r>
      <w:r>
        <w:rPr>
          <w:rStyle w:val="markedcontent"/>
        </w:rPr>
        <w:t xml:space="preserve"> [Mitchell] </w:t>
      </w:r>
      <w:r w:rsidRPr="00F014DB">
        <w:rPr>
          <w:rStyle w:val="markedcontent"/>
        </w:rPr>
        <w:t>were taking their break. *** Moseley’s deadly assault occurred within a span of five minutes. Harford County</w:t>
      </w:r>
      <w:r>
        <w:rPr>
          <w:rStyle w:val="markedcontent"/>
        </w:rPr>
        <w:t xml:space="preserve"> </w:t>
      </w:r>
      <w:r w:rsidRPr="00F014DB">
        <w:rPr>
          <w:rStyle w:val="markedcontent"/>
        </w:rPr>
        <w:t>Sheriff’s Office deputies, Maryland State Police, and EMS personnel began responding to</w:t>
      </w:r>
      <w:r>
        <w:rPr>
          <w:rStyle w:val="markedcontent"/>
        </w:rPr>
        <w:t xml:space="preserve"> </w:t>
      </w:r>
      <w:r w:rsidRPr="00F014DB">
        <w:rPr>
          <w:rStyle w:val="markedcontent"/>
        </w:rPr>
        <w:t>the active shooter situation at 9:11 a.m., but by that time six victims had been shot by</w:t>
      </w:r>
      <w:r>
        <w:rPr>
          <w:rStyle w:val="markedcontent"/>
        </w:rPr>
        <w:t xml:space="preserve"> </w:t>
      </w:r>
      <w:r w:rsidRPr="00F014DB">
        <w:rPr>
          <w:rStyle w:val="markedcontent"/>
        </w:rPr>
        <w:t>Moseley, three of whom ultimately died. Moseley was found at the scene by Harford</w:t>
      </w:r>
      <w:r>
        <w:rPr>
          <w:rStyle w:val="markedcontent"/>
        </w:rPr>
        <w:t xml:space="preserve"> </w:t>
      </w:r>
      <w:r w:rsidRPr="00F014DB">
        <w:rPr>
          <w:rStyle w:val="markedcontent"/>
        </w:rPr>
        <w:t>County law enforcement officers with a self-inflicted gunshot wound to the head.</w:t>
      </w:r>
      <w:r>
        <w:rPr>
          <w:rStyle w:val="markedcontent"/>
        </w:rPr>
        <w:t>”</w:t>
      </w:r>
    </w:p>
    <w:p w14:paraId="34E780D9" w14:textId="77777777" w:rsidR="00AB637D" w:rsidRPr="00CD32F9" w:rsidRDefault="00AB637D" w:rsidP="00AB637D">
      <w:pPr>
        <w:pStyle w:val="NormalWeb"/>
        <w:rPr>
          <w:b/>
          <w:bCs/>
        </w:rPr>
      </w:pPr>
      <w:r w:rsidRPr="00CD32F9">
        <w:rPr>
          <w:b/>
          <w:bCs/>
        </w:rPr>
        <w:t>Legal Lesson Learned:</w:t>
      </w:r>
      <w:r>
        <w:rPr>
          <w:b/>
          <w:bCs/>
        </w:rPr>
        <w:t xml:space="preserve"> The Temp company that hired the shooter wisely had conducted a state &amp; federal criminal history and administered a drug test. </w:t>
      </w:r>
    </w:p>
    <w:p w14:paraId="1541DEE1" w14:textId="77777777" w:rsidR="00AB637D" w:rsidRDefault="00AB637D" w:rsidP="00F326E5">
      <w:pPr>
        <w:pStyle w:val="NoSpacing"/>
        <w:rPr>
          <w:rFonts w:ascii="Arial Black" w:hAnsi="Arial Black"/>
          <w:sz w:val="28"/>
          <w:szCs w:val="28"/>
        </w:rPr>
      </w:pPr>
    </w:p>
    <w:p w14:paraId="42A60440" w14:textId="77777777" w:rsidR="00AB637D" w:rsidRDefault="00AB637D" w:rsidP="00F326E5">
      <w:pPr>
        <w:pStyle w:val="NoSpacing"/>
        <w:rPr>
          <w:rFonts w:ascii="Arial Black" w:hAnsi="Arial Black"/>
          <w:sz w:val="28"/>
          <w:szCs w:val="28"/>
        </w:rPr>
      </w:pPr>
    </w:p>
    <w:p w14:paraId="29362A6D" w14:textId="77777777" w:rsidR="00AB637D" w:rsidRDefault="00AB637D" w:rsidP="00F326E5">
      <w:pPr>
        <w:pStyle w:val="NoSpacing"/>
        <w:rPr>
          <w:rFonts w:ascii="Arial Black" w:hAnsi="Arial Black"/>
          <w:sz w:val="28"/>
          <w:szCs w:val="28"/>
        </w:rPr>
      </w:pPr>
    </w:p>
    <w:p w14:paraId="4A796064" w14:textId="77777777" w:rsidR="007959C9" w:rsidRDefault="007959C9" w:rsidP="00F326E5">
      <w:pPr>
        <w:pStyle w:val="NoSpacing"/>
        <w:rPr>
          <w:rFonts w:ascii="Arial Black" w:hAnsi="Arial Black"/>
          <w:sz w:val="28"/>
          <w:szCs w:val="28"/>
        </w:rPr>
      </w:pPr>
    </w:p>
    <w:p w14:paraId="2BECF44C" w14:textId="3C64D396" w:rsidR="007959C9" w:rsidRDefault="007959C9" w:rsidP="00F326E5">
      <w:pPr>
        <w:pStyle w:val="NoSpacing"/>
        <w:rPr>
          <w:rFonts w:ascii="Arial Black" w:hAnsi="Arial Black"/>
          <w:sz w:val="28"/>
          <w:szCs w:val="28"/>
        </w:rPr>
      </w:pPr>
    </w:p>
    <w:p w14:paraId="03160261" w14:textId="7D073F12" w:rsidR="007959C9" w:rsidRDefault="007959C9" w:rsidP="00F326E5">
      <w:pPr>
        <w:pStyle w:val="NoSpacing"/>
        <w:rPr>
          <w:rFonts w:ascii="Arial Black" w:hAnsi="Arial Black"/>
          <w:sz w:val="28"/>
          <w:szCs w:val="28"/>
        </w:rPr>
      </w:pPr>
      <w:r>
        <w:rPr>
          <w:rFonts w:ascii="Arial Black" w:hAnsi="Arial Black"/>
          <w:sz w:val="28"/>
          <w:szCs w:val="28"/>
        </w:rPr>
        <w:t>3-48</w:t>
      </w:r>
    </w:p>
    <w:p w14:paraId="7D0B38BC" w14:textId="77777777" w:rsidR="007959C9" w:rsidRDefault="007959C9" w:rsidP="00F326E5">
      <w:pPr>
        <w:pStyle w:val="NoSpacing"/>
        <w:rPr>
          <w:rFonts w:ascii="Arial Black" w:hAnsi="Arial Black"/>
          <w:sz w:val="28"/>
          <w:szCs w:val="28"/>
        </w:rPr>
      </w:pPr>
    </w:p>
    <w:p w14:paraId="79D92486" w14:textId="77777777" w:rsidR="007959C9" w:rsidRDefault="007959C9" w:rsidP="007959C9">
      <w:pPr>
        <w:pStyle w:val="Heading1"/>
        <w:rPr>
          <w:rFonts w:ascii="Arial Black" w:hAnsi="Arial Black"/>
          <w:sz w:val="28"/>
          <w:szCs w:val="28"/>
        </w:rPr>
      </w:pPr>
      <w:r>
        <w:rPr>
          <w:rFonts w:ascii="Arial Black" w:hAnsi="Arial Black"/>
          <w:sz w:val="28"/>
          <w:szCs w:val="28"/>
        </w:rPr>
        <w:t>NY: NEW CONCEALED CARRY LAW – U.S. SUP. COURT TEMP. NOT BLOCKING – AWAIT 2</w:t>
      </w:r>
      <w:r w:rsidRPr="00150F15">
        <w:rPr>
          <w:rFonts w:ascii="Arial Black" w:hAnsi="Arial Black"/>
          <w:sz w:val="28"/>
          <w:szCs w:val="28"/>
          <w:vertAlign w:val="superscript"/>
        </w:rPr>
        <w:t>nd</w:t>
      </w:r>
      <w:r>
        <w:rPr>
          <w:rFonts w:ascii="Arial Black" w:hAnsi="Arial Black"/>
          <w:sz w:val="28"/>
          <w:szCs w:val="28"/>
        </w:rPr>
        <w:t xml:space="preserve"> CIRCUIT DECISION</w:t>
      </w:r>
    </w:p>
    <w:p w14:paraId="1A5B0ECF" w14:textId="77777777" w:rsidR="007959C9" w:rsidRDefault="007959C9" w:rsidP="007959C9">
      <w:pPr>
        <w:pStyle w:val="Heading1"/>
        <w:rPr>
          <w:b w:val="0"/>
          <w:bCs w:val="0"/>
          <w:sz w:val="24"/>
          <w:szCs w:val="24"/>
        </w:rPr>
      </w:pPr>
      <w:r w:rsidRPr="00327308">
        <w:rPr>
          <w:b w:val="0"/>
          <w:bCs w:val="0"/>
          <w:sz w:val="24"/>
          <w:szCs w:val="24"/>
        </w:rPr>
        <w:t xml:space="preserve">On </w:t>
      </w:r>
      <w:r>
        <w:rPr>
          <w:b w:val="0"/>
          <w:bCs w:val="0"/>
          <w:sz w:val="24"/>
          <w:szCs w:val="24"/>
        </w:rPr>
        <w:t xml:space="preserve">Jan. 11, 2023, in </w:t>
      </w:r>
      <w:r w:rsidRPr="00327308">
        <w:rPr>
          <w:b w:val="0"/>
          <w:bCs w:val="0"/>
          <w:sz w:val="24"/>
          <w:szCs w:val="24"/>
          <w:u w:val="single"/>
        </w:rPr>
        <w:t>Ivan Antonyuk, et al. v. Steven Nigrelli, In His Official Capacity As Acting Superintendent of New York State Police, et al</w:t>
      </w:r>
      <w:r>
        <w:rPr>
          <w:b w:val="0"/>
          <w:bCs w:val="0"/>
          <w:sz w:val="24"/>
          <w:szCs w:val="24"/>
        </w:rPr>
        <w:t>., the U.S. Supreme Court issued an order that keeps State of New York’s new “Concealed Carry Improvement Act” (July 1, 2022) in effect while the U.S. Court of Appeals for 2</w:t>
      </w:r>
      <w:r w:rsidRPr="00327308">
        <w:rPr>
          <w:b w:val="0"/>
          <w:bCs w:val="0"/>
          <w:sz w:val="24"/>
          <w:szCs w:val="24"/>
          <w:vertAlign w:val="superscript"/>
        </w:rPr>
        <w:t>nd</w:t>
      </w:r>
      <w:r>
        <w:rPr>
          <w:b w:val="0"/>
          <w:bCs w:val="0"/>
          <w:sz w:val="24"/>
          <w:szCs w:val="24"/>
        </w:rPr>
        <w:t xml:space="preserve"> Circuit hears oral argument and issues their opinion. Two Supreme Court Justices have urged the 2</w:t>
      </w:r>
      <w:r w:rsidRPr="00C35467">
        <w:rPr>
          <w:b w:val="0"/>
          <w:bCs w:val="0"/>
          <w:sz w:val="24"/>
          <w:szCs w:val="24"/>
          <w:vertAlign w:val="superscript"/>
        </w:rPr>
        <w:t>nd</w:t>
      </w:r>
      <w:r>
        <w:rPr>
          <w:b w:val="0"/>
          <w:bCs w:val="0"/>
          <w:sz w:val="24"/>
          <w:szCs w:val="24"/>
        </w:rPr>
        <w:t xml:space="preserve"> Circuit to decide the case on an expedited basis; see statement by Justice Samuel Alito, joined by Justice Clarence Thomas. </w:t>
      </w:r>
    </w:p>
    <w:p w14:paraId="3253E4DB" w14:textId="77777777" w:rsidR="007959C9" w:rsidRPr="00AA18FA" w:rsidRDefault="007959C9" w:rsidP="007959C9">
      <w:pPr>
        <w:pStyle w:val="Heading1"/>
        <w:ind w:left="720"/>
        <w:rPr>
          <w:rStyle w:val="markedcontent"/>
          <w:rFonts w:eastAsiaTheme="majorEastAsia"/>
          <w:b w:val="0"/>
          <w:bCs w:val="0"/>
          <w:sz w:val="24"/>
          <w:szCs w:val="24"/>
        </w:rPr>
      </w:pPr>
      <w:r>
        <w:rPr>
          <w:b w:val="0"/>
          <w:bCs w:val="0"/>
          <w:sz w:val="24"/>
          <w:szCs w:val="24"/>
        </w:rPr>
        <w:t>“</w:t>
      </w:r>
      <w:r w:rsidRPr="00AA18FA">
        <w:rPr>
          <w:rStyle w:val="markedcontent"/>
          <w:rFonts w:eastAsiaTheme="majorEastAsia"/>
          <w:b w:val="0"/>
          <w:bCs w:val="0"/>
          <w:sz w:val="24"/>
          <w:szCs w:val="24"/>
        </w:rPr>
        <w:t xml:space="preserve">The New York law at issue in this application presents novel and serious questions under both the First and the Second Amendments. The District Court found, in a thorough opinion, that the applicants were likely to succeed </w:t>
      </w:r>
      <w:proofErr w:type="gramStart"/>
      <w:r w:rsidRPr="00AA18FA">
        <w:rPr>
          <w:rStyle w:val="markedcontent"/>
          <w:rFonts w:eastAsiaTheme="majorEastAsia"/>
          <w:b w:val="0"/>
          <w:bCs w:val="0"/>
          <w:sz w:val="24"/>
          <w:szCs w:val="24"/>
        </w:rPr>
        <w:t>on</w:t>
      </w:r>
      <w:proofErr w:type="gramEnd"/>
      <w:r w:rsidRPr="00AA18FA">
        <w:rPr>
          <w:rStyle w:val="markedcontent"/>
          <w:rFonts w:eastAsiaTheme="majorEastAsia"/>
          <w:b w:val="0"/>
          <w:bCs w:val="0"/>
          <w:sz w:val="24"/>
          <w:szCs w:val="24"/>
        </w:rPr>
        <w:t xml:space="preserve"> </w:t>
      </w:r>
      <w:proofErr w:type="gramStart"/>
      <w:r w:rsidRPr="00AA18FA">
        <w:rPr>
          <w:rStyle w:val="markedcontent"/>
          <w:rFonts w:eastAsiaTheme="majorEastAsia"/>
          <w:b w:val="0"/>
          <w:bCs w:val="0"/>
          <w:sz w:val="24"/>
          <w:szCs w:val="24"/>
        </w:rPr>
        <w:t>a number of</w:t>
      </w:r>
      <w:proofErr w:type="gramEnd"/>
      <w:r w:rsidRPr="00AA18FA">
        <w:rPr>
          <w:rStyle w:val="markedcontent"/>
          <w:rFonts w:eastAsiaTheme="majorEastAsia"/>
          <w:b w:val="0"/>
          <w:bCs w:val="0"/>
          <w:sz w:val="24"/>
          <w:szCs w:val="24"/>
        </w:rPr>
        <w:t xml:space="preserve"> their claims, and it issued a preliminary injunction as to twelve provisions of the challenged law. With</w:t>
      </w:r>
      <w:r w:rsidRPr="00AA18FA">
        <w:rPr>
          <w:b w:val="0"/>
          <w:bCs w:val="0"/>
          <w:sz w:val="24"/>
          <w:szCs w:val="24"/>
        </w:rPr>
        <w:br/>
      </w:r>
      <w:r w:rsidRPr="00AA18FA">
        <w:rPr>
          <w:rStyle w:val="markedcontent"/>
          <w:rFonts w:eastAsiaTheme="majorEastAsia"/>
          <w:b w:val="0"/>
          <w:bCs w:val="0"/>
          <w:sz w:val="24"/>
          <w:szCs w:val="24"/>
        </w:rPr>
        <w:t xml:space="preserve">one exception, the Second Circuit issued a stay of the injunction in full, and in doing so did not provide any explanation for its ruling…. I understand the Court’s denial today to reflect respect for the Second Circuit’s procedures in managing its own docket, rather than expressing any view on the merits of the case. Applicants should not be deterred by today’s order from again seeking relief if the Second Circuit does not, within a reasonable time, provide an explanation for its stay order or expedite consideration of the </w:t>
      </w:r>
      <w:proofErr w:type="gramStart"/>
      <w:r w:rsidRPr="00AA18FA">
        <w:rPr>
          <w:rStyle w:val="markedcontent"/>
          <w:rFonts w:eastAsiaTheme="majorEastAsia"/>
          <w:b w:val="0"/>
          <w:bCs w:val="0"/>
          <w:sz w:val="24"/>
          <w:szCs w:val="24"/>
        </w:rPr>
        <w:t>appeal.”</w:t>
      </w:r>
      <w:proofErr w:type="gramEnd"/>
      <w:r w:rsidRPr="00AA18FA">
        <w:rPr>
          <w:rStyle w:val="markedcontent"/>
          <w:rFonts w:eastAsiaTheme="majorEastAsia"/>
          <w:b w:val="0"/>
          <w:bCs w:val="0"/>
          <w:sz w:val="24"/>
          <w:szCs w:val="24"/>
        </w:rPr>
        <w:t xml:space="preserve"> </w:t>
      </w:r>
      <w:hyperlink r:id="rId710" w:history="1">
        <w:r w:rsidRPr="00AA18FA">
          <w:rPr>
            <w:rStyle w:val="Hyperlink"/>
            <w:sz w:val="24"/>
            <w:szCs w:val="24"/>
          </w:rPr>
          <w:t>https://www.supremecourt.gov/opinions/22pdf/22a557_0pm1.pdf</w:t>
        </w:r>
      </w:hyperlink>
      <w:r w:rsidRPr="00AA18FA">
        <w:rPr>
          <w:rStyle w:val="markedcontent"/>
          <w:rFonts w:eastAsiaTheme="majorEastAsia"/>
          <w:b w:val="0"/>
          <w:bCs w:val="0"/>
          <w:sz w:val="24"/>
          <w:szCs w:val="24"/>
        </w:rPr>
        <w:t xml:space="preserve"> </w:t>
      </w:r>
    </w:p>
    <w:p w14:paraId="577F6E3D" w14:textId="77777777" w:rsidR="007959C9" w:rsidRDefault="007959C9" w:rsidP="007959C9">
      <w:pPr>
        <w:pStyle w:val="Heading1"/>
        <w:rPr>
          <w:b w:val="0"/>
          <w:bCs w:val="0"/>
          <w:sz w:val="24"/>
          <w:szCs w:val="24"/>
        </w:rPr>
      </w:pPr>
      <w:r>
        <w:rPr>
          <w:b w:val="0"/>
          <w:bCs w:val="0"/>
          <w:sz w:val="24"/>
          <w:szCs w:val="24"/>
        </w:rPr>
        <w:t>On Jan. 17, 2023, the City of New York has filed a brief with the 2</w:t>
      </w:r>
      <w:r w:rsidRPr="00761B43">
        <w:rPr>
          <w:b w:val="0"/>
          <w:bCs w:val="0"/>
          <w:sz w:val="24"/>
          <w:szCs w:val="24"/>
          <w:vertAlign w:val="superscript"/>
        </w:rPr>
        <w:t>nd</w:t>
      </w:r>
      <w:r>
        <w:rPr>
          <w:b w:val="0"/>
          <w:bCs w:val="0"/>
          <w:sz w:val="24"/>
          <w:szCs w:val="24"/>
        </w:rPr>
        <w:t xml:space="preserve"> Circuit describing the importance of the State of New York’s new concealed carry law, that prohibits firearms in “sensitive areas” like Times Square and allows licensing officials to consider the mental and criminal history of the applicant. </w:t>
      </w:r>
    </w:p>
    <w:p w14:paraId="4EB4FB57" w14:textId="77777777" w:rsidR="007959C9" w:rsidRPr="00AA18FA" w:rsidRDefault="007959C9" w:rsidP="007959C9">
      <w:pPr>
        <w:pStyle w:val="Heading1"/>
        <w:ind w:left="720"/>
        <w:rPr>
          <w:b w:val="0"/>
          <w:bCs w:val="0"/>
          <w:sz w:val="24"/>
          <w:szCs w:val="24"/>
        </w:rPr>
      </w:pPr>
      <w:r w:rsidRPr="00AA18FA">
        <w:rPr>
          <w:rStyle w:val="markedcontent"/>
          <w:rFonts w:eastAsiaTheme="majorEastAsia"/>
          <w:b w:val="0"/>
          <w:bCs w:val="0"/>
          <w:sz w:val="24"/>
          <w:szCs w:val="24"/>
        </w:rPr>
        <w:t xml:space="preserve">“The CCIA’s licensing standard, which requires an applicant to have the ‘essential temperament’ to possess and carry a firearm safely, is squarely in line with ‘shall-issue’ licensure standards that the Supreme Court said in </w:t>
      </w:r>
      <w:r w:rsidRPr="00AA18FA">
        <w:rPr>
          <w:rStyle w:val="markedcontent"/>
          <w:rFonts w:eastAsiaTheme="majorEastAsia"/>
          <w:b w:val="0"/>
          <w:bCs w:val="0"/>
          <w:sz w:val="24"/>
          <w:szCs w:val="24"/>
          <w:u w:val="single"/>
        </w:rPr>
        <w:t>Bruen [</w:t>
      </w:r>
      <w:r w:rsidRPr="00AA18FA">
        <w:rPr>
          <w:rStyle w:val="markedcontent"/>
          <w:rFonts w:eastAsiaTheme="majorEastAsia"/>
          <w:b w:val="0"/>
          <w:bCs w:val="0"/>
          <w:sz w:val="24"/>
          <w:szCs w:val="24"/>
        </w:rPr>
        <w:t>New York State Rifle &amp;</w:t>
      </w:r>
      <w:r w:rsidRPr="00AA18FA">
        <w:rPr>
          <w:b w:val="0"/>
          <w:bCs w:val="0"/>
          <w:sz w:val="24"/>
          <w:szCs w:val="24"/>
        </w:rPr>
        <w:br/>
      </w:r>
      <w:r w:rsidRPr="00AA18FA">
        <w:rPr>
          <w:rStyle w:val="markedcontent"/>
          <w:rFonts w:eastAsiaTheme="majorEastAsia"/>
          <w:b w:val="0"/>
          <w:bCs w:val="0"/>
          <w:sz w:val="24"/>
          <w:szCs w:val="24"/>
        </w:rPr>
        <w:t xml:space="preserve">Pistol </w:t>
      </w:r>
      <w:proofErr w:type="spellStart"/>
      <w:r w:rsidRPr="00AA18FA">
        <w:rPr>
          <w:rStyle w:val="markedcontent"/>
          <w:rFonts w:eastAsiaTheme="majorEastAsia"/>
          <w:b w:val="0"/>
          <w:bCs w:val="0"/>
          <w:sz w:val="24"/>
          <w:szCs w:val="24"/>
        </w:rPr>
        <w:t>Ass’n</w:t>
      </w:r>
      <w:proofErr w:type="spellEnd"/>
      <w:r w:rsidRPr="00AA18FA">
        <w:rPr>
          <w:rStyle w:val="markedcontent"/>
          <w:rFonts w:eastAsiaTheme="majorEastAsia"/>
          <w:b w:val="0"/>
          <w:bCs w:val="0"/>
          <w:sz w:val="24"/>
          <w:szCs w:val="24"/>
        </w:rPr>
        <w:t>, Inc. v. Bruen, 142 S. Ct. 2111 (2022)] appropriately ensure that only</w:t>
      </w:r>
      <w:r w:rsidRPr="00AA18FA">
        <w:rPr>
          <w:b w:val="0"/>
          <w:bCs w:val="0"/>
          <w:sz w:val="24"/>
          <w:szCs w:val="24"/>
        </w:rPr>
        <w:br/>
      </w:r>
      <w:r w:rsidRPr="00AA18FA">
        <w:rPr>
          <w:rStyle w:val="markedcontent"/>
          <w:rFonts w:eastAsiaTheme="majorEastAsia"/>
          <w:b w:val="0"/>
          <w:bCs w:val="0"/>
          <w:sz w:val="24"/>
          <w:szCs w:val="24"/>
        </w:rPr>
        <w:t xml:space="preserve">such citizens are authorized to carry firearms.” </w:t>
      </w:r>
      <w:hyperlink r:id="rId711" w:history="1">
        <w:r w:rsidRPr="00AA18FA">
          <w:rPr>
            <w:rStyle w:val="Hyperlink"/>
            <w:sz w:val="24"/>
            <w:szCs w:val="24"/>
          </w:rPr>
          <w:t>https://www.nyc.gov/assets/home/downloads/pdf/press-releases/2023/Antonyuk_Amicus_Brief.pdf</w:t>
        </w:r>
      </w:hyperlink>
      <w:r w:rsidRPr="00AA18FA">
        <w:rPr>
          <w:rStyle w:val="markedcontent"/>
          <w:rFonts w:eastAsiaTheme="majorEastAsia"/>
          <w:b w:val="0"/>
          <w:bCs w:val="0"/>
          <w:sz w:val="24"/>
          <w:szCs w:val="24"/>
        </w:rPr>
        <w:t xml:space="preserve"> </w:t>
      </w:r>
    </w:p>
    <w:p w14:paraId="101B2900" w14:textId="77777777" w:rsidR="007959C9" w:rsidRDefault="007959C9" w:rsidP="007959C9">
      <w:pPr>
        <w:pStyle w:val="Heading1"/>
        <w:rPr>
          <w:rStyle w:val="markedcontent"/>
          <w:rFonts w:eastAsiaTheme="majorEastAsia"/>
          <w:b w:val="0"/>
          <w:bCs w:val="0"/>
        </w:rPr>
      </w:pPr>
      <w:r>
        <w:rPr>
          <w:b w:val="0"/>
          <w:bCs w:val="0"/>
          <w:sz w:val="24"/>
          <w:szCs w:val="24"/>
        </w:rPr>
        <w:t xml:space="preserve">In the </w:t>
      </w:r>
      <w:r w:rsidRPr="00761B43">
        <w:rPr>
          <w:b w:val="0"/>
          <w:bCs w:val="0"/>
          <w:sz w:val="24"/>
          <w:szCs w:val="24"/>
          <w:u w:val="single"/>
        </w:rPr>
        <w:t>Bruen</w:t>
      </w:r>
      <w:r>
        <w:rPr>
          <w:b w:val="0"/>
          <w:bCs w:val="0"/>
          <w:sz w:val="24"/>
          <w:szCs w:val="24"/>
        </w:rPr>
        <w:t xml:space="preserve"> case, U.S. Supreme Court on June 23, </w:t>
      </w:r>
      <w:proofErr w:type="gramStart"/>
      <w:r>
        <w:rPr>
          <w:b w:val="0"/>
          <w:bCs w:val="0"/>
          <w:sz w:val="24"/>
          <w:szCs w:val="24"/>
        </w:rPr>
        <w:t>2022</w:t>
      </w:r>
      <w:proofErr w:type="gramEnd"/>
      <w:r>
        <w:rPr>
          <w:b w:val="0"/>
          <w:bCs w:val="0"/>
          <w:sz w:val="24"/>
          <w:szCs w:val="24"/>
        </w:rPr>
        <w:t xml:space="preserve"> declared unconstitutional a prior version of the New York law, that prohibited residents from carrying a handgun in public unless they could prove a “special need for self-protection.”  </w:t>
      </w:r>
      <w:hyperlink r:id="rId712" w:history="1">
        <w:r w:rsidRPr="0090655A">
          <w:rPr>
            <w:rStyle w:val="Hyperlink"/>
            <w:sz w:val="24"/>
            <w:szCs w:val="24"/>
          </w:rPr>
          <w:t>https://www.supremecourt.gov/opinions/21pdf/20-843_7j80.pdf</w:t>
        </w:r>
      </w:hyperlink>
      <w:r>
        <w:rPr>
          <w:b w:val="0"/>
          <w:bCs w:val="0"/>
          <w:sz w:val="24"/>
          <w:szCs w:val="24"/>
        </w:rPr>
        <w:t xml:space="preserve">.  </w:t>
      </w:r>
    </w:p>
    <w:p w14:paraId="7D00AA28" w14:textId="77777777" w:rsidR="007959C9" w:rsidRPr="00AA18FA" w:rsidRDefault="007959C9" w:rsidP="007959C9">
      <w:pPr>
        <w:pStyle w:val="Heading1"/>
        <w:rPr>
          <w:b w:val="0"/>
          <w:bCs w:val="0"/>
          <w:sz w:val="24"/>
          <w:szCs w:val="24"/>
        </w:rPr>
      </w:pPr>
      <w:r w:rsidRPr="00AA18FA">
        <w:rPr>
          <w:b w:val="0"/>
          <w:bCs w:val="0"/>
          <w:sz w:val="24"/>
          <w:szCs w:val="24"/>
        </w:rPr>
        <w:t xml:space="preserve">On Oct. 6, 2022, U.S. District Court </w:t>
      </w:r>
      <w:r w:rsidRPr="00AA18FA">
        <w:rPr>
          <w:rStyle w:val="markedcontent"/>
          <w:rFonts w:eastAsiaTheme="majorEastAsia"/>
          <w:b w:val="0"/>
          <w:bCs w:val="0"/>
          <w:sz w:val="24"/>
          <w:szCs w:val="24"/>
        </w:rPr>
        <w:t xml:space="preserve">Judge Suddaby, Southern District of New York, issued a preliminary injunction against the new State of New York law, focusing on its “good moral character” provision. </w:t>
      </w:r>
    </w:p>
    <w:p w14:paraId="1D8CB379" w14:textId="77777777" w:rsidR="007959C9" w:rsidRPr="00AA18FA" w:rsidRDefault="007959C9" w:rsidP="007959C9">
      <w:pPr>
        <w:pStyle w:val="Heading1"/>
        <w:ind w:left="720"/>
        <w:rPr>
          <w:rStyle w:val="markedcontent"/>
          <w:rFonts w:eastAsiaTheme="majorEastAsia"/>
          <w:b w:val="0"/>
          <w:bCs w:val="0"/>
          <w:sz w:val="24"/>
          <w:szCs w:val="24"/>
        </w:rPr>
      </w:pPr>
      <w:r w:rsidRPr="00AA18FA">
        <w:rPr>
          <w:rStyle w:val="markedcontent"/>
          <w:rFonts w:eastAsiaTheme="majorEastAsia"/>
          <w:b w:val="0"/>
          <w:bCs w:val="0"/>
          <w:sz w:val="24"/>
          <w:szCs w:val="24"/>
        </w:rPr>
        <w:t>“In essence, New York State has replaced its requirement that an applicant show a special need for self-protection with its requirement that the applicant rebut the presumption that he or she is a danger to himself or herself, while retaining (and even expanding) the open-ended discretion afforded to its licensing officers.</w:t>
      </w:r>
    </w:p>
    <w:p w14:paraId="39CDF503" w14:textId="77777777" w:rsidR="007959C9" w:rsidRDefault="007959C9" w:rsidP="007959C9">
      <w:pPr>
        <w:pStyle w:val="Heading1"/>
        <w:ind w:left="720"/>
        <w:rPr>
          <w:rStyle w:val="markedcontent"/>
          <w:rFonts w:eastAsiaTheme="majorEastAsia"/>
          <w:b w:val="0"/>
          <w:bCs w:val="0"/>
        </w:rPr>
      </w:pPr>
      <w:r w:rsidRPr="00AA18FA">
        <w:rPr>
          <w:rStyle w:val="markedcontent"/>
          <w:rFonts w:eastAsiaTheme="majorEastAsia"/>
          <w:b w:val="0"/>
          <w:bCs w:val="0"/>
          <w:sz w:val="24"/>
          <w:szCs w:val="24"/>
        </w:rPr>
        <w:t>Simply stated, instead of moving toward becoming a shall-issue jurisdiction, New York</w:t>
      </w:r>
      <w:r w:rsidRPr="00AA18FA">
        <w:rPr>
          <w:b w:val="0"/>
          <w:bCs w:val="0"/>
          <w:sz w:val="24"/>
          <w:szCs w:val="24"/>
        </w:rPr>
        <w:br/>
      </w:r>
      <w:r w:rsidRPr="00AA18FA">
        <w:rPr>
          <w:rStyle w:val="markedcontent"/>
          <w:rFonts w:eastAsiaTheme="majorEastAsia"/>
          <w:b w:val="0"/>
          <w:bCs w:val="0"/>
          <w:sz w:val="24"/>
          <w:szCs w:val="24"/>
        </w:rPr>
        <w:t xml:space="preserve">State has further entrenched itself as a shall-not-issue jurisdiction. And, by doing so, it has further reduced a first-class constitutional right to bear arms in public for self-defense (which, during the 19th and 18th centuries in America, generally came with an assumption that law-abiding responsible citizens were not a danger to themselves or others unless there was specific ground for a contrary finding) into a mere request (which is burdened with a presumption of dangerousness and the need to show ‘good moral character’).” </w:t>
      </w:r>
      <w:hyperlink r:id="rId713" w:history="1">
        <w:r w:rsidRPr="00AA18FA">
          <w:rPr>
            <w:rStyle w:val="Hyperlink"/>
            <w:sz w:val="24"/>
            <w:szCs w:val="24"/>
          </w:rPr>
          <w:t>https://storage.courtlistener.com/recap/gov.uscourts.nynd.134829/gov.uscourts.nynd.134829.27.0_1.pdf</w:t>
        </w:r>
      </w:hyperlink>
      <w:r>
        <w:rPr>
          <w:rStyle w:val="markedcontent"/>
          <w:rFonts w:eastAsiaTheme="majorEastAsia"/>
          <w:b w:val="0"/>
          <w:bCs w:val="0"/>
        </w:rPr>
        <w:t xml:space="preserve"> </w:t>
      </w:r>
    </w:p>
    <w:p w14:paraId="2D3D3594" w14:textId="77777777" w:rsidR="007959C9" w:rsidRDefault="007959C9" w:rsidP="007959C9">
      <w:pPr>
        <w:pStyle w:val="Heading1"/>
        <w:rPr>
          <w:sz w:val="24"/>
          <w:szCs w:val="24"/>
        </w:rPr>
      </w:pPr>
      <w:r w:rsidRPr="00C35467">
        <w:rPr>
          <w:sz w:val="24"/>
          <w:szCs w:val="24"/>
        </w:rPr>
        <w:t xml:space="preserve">Legal Lesson Learned: </w:t>
      </w:r>
      <w:r>
        <w:rPr>
          <w:sz w:val="24"/>
          <w:szCs w:val="24"/>
        </w:rPr>
        <w:t xml:space="preserve">Gun violence is a growing problem in our Nation, and States and cities are seeking to enact laws that face legal challenges.  </w:t>
      </w:r>
    </w:p>
    <w:p w14:paraId="203D3F2A" w14:textId="77777777" w:rsidR="007959C9" w:rsidRPr="00AA18FA" w:rsidRDefault="007959C9" w:rsidP="007959C9">
      <w:pPr>
        <w:pStyle w:val="Heading1"/>
        <w:ind w:left="720"/>
        <w:rPr>
          <w:b w:val="0"/>
          <w:bCs w:val="0"/>
          <w:sz w:val="24"/>
          <w:szCs w:val="24"/>
        </w:rPr>
      </w:pPr>
      <w:r w:rsidRPr="00C35467">
        <w:rPr>
          <w:b w:val="0"/>
          <w:bCs w:val="0"/>
          <w:sz w:val="24"/>
          <w:szCs w:val="24"/>
        </w:rPr>
        <w:t>Note</w:t>
      </w:r>
      <w:r>
        <w:rPr>
          <w:b w:val="0"/>
          <w:bCs w:val="0"/>
          <w:sz w:val="24"/>
          <w:szCs w:val="24"/>
        </w:rPr>
        <w:t xml:space="preserve">: </w:t>
      </w:r>
      <w:r w:rsidRPr="00AA18FA">
        <w:rPr>
          <w:rStyle w:val="markedcontent"/>
          <w:rFonts w:eastAsiaTheme="majorEastAsia"/>
          <w:b w:val="0"/>
          <w:bCs w:val="0"/>
          <w:sz w:val="24"/>
          <w:szCs w:val="24"/>
        </w:rPr>
        <w:t>Jan. 20, 2023: “</w:t>
      </w:r>
      <w:r w:rsidRPr="00AA18FA">
        <w:rPr>
          <w:b w:val="0"/>
          <w:bCs w:val="0"/>
          <w:sz w:val="24"/>
          <w:szCs w:val="24"/>
        </w:rPr>
        <w:t xml:space="preserve">Columbus gun laws dodge block on enforcement, going into effect soon.” </w:t>
      </w:r>
      <w:hyperlink r:id="rId714" w:history="1">
        <w:r w:rsidRPr="00AA18FA">
          <w:rPr>
            <w:rStyle w:val="Hyperlink"/>
            <w:sz w:val="24"/>
            <w:szCs w:val="24"/>
          </w:rPr>
          <w:t>https://www.nbc4i.com/news/local-news/columbus/columbus-gun-laws-dodge-block-on-enforcement-going-into-effect-soon/</w:t>
        </w:r>
      </w:hyperlink>
      <w:r w:rsidRPr="00AA18FA">
        <w:rPr>
          <w:b w:val="0"/>
          <w:bCs w:val="0"/>
          <w:sz w:val="24"/>
          <w:szCs w:val="24"/>
        </w:rPr>
        <w:t xml:space="preserve"> .“A Fairfield County judge on Friday opened an opportunity for the City of Columbus to enforce its recently passed gun limitations that have been embattled by a lawsuit.”</w:t>
      </w:r>
    </w:p>
    <w:p w14:paraId="68AD0446" w14:textId="77777777" w:rsidR="007959C9" w:rsidRPr="00AA18FA" w:rsidRDefault="007959C9" w:rsidP="007959C9">
      <w:pPr>
        <w:pStyle w:val="Heading1"/>
        <w:ind w:left="720"/>
        <w:rPr>
          <w:b w:val="0"/>
          <w:bCs w:val="0"/>
          <w:sz w:val="24"/>
          <w:szCs w:val="24"/>
        </w:rPr>
      </w:pPr>
      <w:r w:rsidRPr="00AA18FA">
        <w:rPr>
          <w:b w:val="0"/>
          <w:bCs w:val="0"/>
          <w:sz w:val="24"/>
          <w:szCs w:val="24"/>
        </w:rPr>
        <w:t xml:space="preserve">See also: Jan. 20, 2023 - Remarks by Deputy Attorney General of United States, Lisa O. Monaco, at the ATF Academy Graduation, </w:t>
      </w:r>
      <w:proofErr w:type="spellStart"/>
      <w:r w:rsidRPr="00AA18FA">
        <w:rPr>
          <w:b w:val="0"/>
          <w:bCs w:val="0"/>
          <w:sz w:val="24"/>
          <w:szCs w:val="24"/>
        </w:rPr>
        <w:t>Glynco</w:t>
      </w:r>
      <w:proofErr w:type="spellEnd"/>
      <w:r w:rsidRPr="00AA18FA">
        <w:rPr>
          <w:b w:val="0"/>
          <w:bCs w:val="0"/>
          <w:sz w:val="24"/>
          <w:szCs w:val="24"/>
        </w:rPr>
        <w:t xml:space="preserve">, GA. </w:t>
      </w:r>
      <w:hyperlink r:id="rId715" w:history="1">
        <w:r w:rsidRPr="00AA18FA">
          <w:rPr>
            <w:rStyle w:val="Hyperlink"/>
            <w:sz w:val="24"/>
            <w:szCs w:val="24"/>
          </w:rPr>
          <w:t>https://www.justice.gov/opa/speech/deputy-attorney-general-lisa-o-monaco-delivers-remarks-atf-academy-graduation</w:t>
        </w:r>
      </w:hyperlink>
      <w:r w:rsidRPr="00AA18FA">
        <w:rPr>
          <w:b w:val="0"/>
          <w:bCs w:val="0"/>
          <w:sz w:val="24"/>
          <w:szCs w:val="24"/>
        </w:rPr>
        <w:t xml:space="preserve"> </w:t>
      </w:r>
    </w:p>
    <w:p w14:paraId="5089DF59" w14:textId="77777777" w:rsidR="007959C9" w:rsidRDefault="007959C9" w:rsidP="007959C9">
      <w:pPr>
        <w:pStyle w:val="NormalWeb"/>
        <w:ind w:left="1440"/>
        <w:rPr>
          <w:rStyle w:val="markedcontent"/>
          <w:rFonts w:eastAsiaTheme="majorEastAsia"/>
        </w:rPr>
      </w:pPr>
      <w:r>
        <w:t xml:space="preserve">“Just last week, ATF took an important step to enhance public safety when it issued the Stabilizing Brace Rule. This is a rule that ensures all short-barreled rifles, including those created when a qualifying brace is added to a pistol, are subject to applicable law. The rule makes clear that short-barreled rifles must be registered and subject to a background check before any </w:t>
      </w:r>
      <w:proofErr w:type="gramStart"/>
      <w:r>
        <w:t>transfer</w:t>
      </w:r>
      <w:proofErr w:type="gramEnd"/>
      <w:r>
        <w:t xml:space="preserve"> so they don’t end up in the hands of prohibited </w:t>
      </w:r>
      <w:proofErr w:type="gramStart"/>
      <w:r>
        <w:t>persons</w:t>
      </w:r>
      <w:proofErr w:type="gramEnd"/>
      <w:r>
        <w:t>. This rule is about safety. In recent years, mass shootings in Dayton, Ohio, and Boulder, Colorado, were carried out with firearms outfitted with stabilizing braces.”</w:t>
      </w:r>
    </w:p>
    <w:p w14:paraId="544A4514" w14:textId="77777777" w:rsidR="007959C9" w:rsidRDefault="007959C9" w:rsidP="007959C9">
      <w:pPr>
        <w:pStyle w:val="NormalWeb"/>
        <w:jc w:val="center"/>
        <w:rPr>
          <w:b/>
          <w:bCs/>
        </w:rPr>
      </w:pPr>
    </w:p>
    <w:p w14:paraId="76857B53" w14:textId="77777777" w:rsidR="007959C9" w:rsidRDefault="007959C9" w:rsidP="00F326E5">
      <w:pPr>
        <w:pStyle w:val="NoSpacing"/>
        <w:rPr>
          <w:rFonts w:ascii="Arial Black" w:hAnsi="Arial Black"/>
          <w:sz w:val="28"/>
          <w:szCs w:val="28"/>
        </w:rPr>
      </w:pPr>
    </w:p>
    <w:p w14:paraId="09A1CB44" w14:textId="328C8C71" w:rsidR="006C79BE" w:rsidRDefault="006C79BE" w:rsidP="00F326E5">
      <w:pPr>
        <w:pStyle w:val="NoSpacing"/>
        <w:rPr>
          <w:rFonts w:ascii="Arial Black" w:hAnsi="Arial Black"/>
          <w:sz w:val="28"/>
          <w:szCs w:val="28"/>
        </w:rPr>
      </w:pPr>
      <w:r>
        <w:rPr>
          <w:rFonts w:ascii="Arial Black" w:hAnsi="Arial Black"/>
          <w:sz w:val="28"/>
          <w:szCs w:val="28"/>
        </w:rPr>
        <w:t>3-47</w:t>
      </w:r>
    </w:p>
    <w:p w14:paraId="5833C98F" w14:textId="55C85A46" w:rsidR="006C79BE" w:rsidRDefault="006C79BE" w:rsidP="00F326E5">
      <w:pPr>
        <w:pStyle w:val="NoSpacing"/>
        <w:rPr>
          <w:rFonts w:ascii="Arial Black" w:hAnsi="Arial Black"/>
          <w:sz w:val="28"/>
          <w:szCs w:val="28"/>
        </w:rPr>
      </w:pPr>
    </w:p>
    <w:p w14:paraId="7AD973B8" w14:textId="77777777" w:rsidR="006C79BE" w:rsidRPr="00536BE5" w:rsidRDefault="006C79BE" w:rsidP="006C79BE">
      <w:pPr>
        <w:pStyle w:val="NormalWeb"/>
        <w:rPr>
          <w:rFonts w:ascii="Arial Black" w:hAnsi="Arial Black"/>
          <w:b/>
          <w:bCs/>
          <w:sz w:val="28"/>
          <w:szCs w:val="28"/>
        </w:rPr>
      </w:pPr>
      <w:r>
        <w:rPr>
          <w:rFonts w:ascii="Arial Black" w:hAnsi="Arial Black"/>
          <w:b/>
          <w:bCs/>
          <w:sz w:val="28"/>
          <w:szCs w:val="28"/>
        </w:rPr>
        <w:t>U.S. SUP. CT: TITLE 42 PUBLIC HEALTH ORDER REMAIN – IMMIGRANTS SENT BACK - FEB. 2023 ORAL ARGUMENT</w:t>
      </w:r>
    </w:p>
    <w:p w14:paraId="033960DE" w14:textId="77777777" w:rsidR="006C79BE" w:rsidRDefault="006C79BE" w:rsidP="006C79BE">
      <w:pPr>
        <w:pStyle w:val="NormalWeb"/>
        <w:rPr>
          <w:rStyle w:val="markedcontent"/>
        </w:rPr>
      </w:pPr>
      <w:r>
        <w:rPr>
          <w:rStyle w:val="markedcontent"/>
        </w:rPr>
        <w:t xml:space="preserve">On Dec. 27, 2022, in </w:t>
      </w:r>
      <w:r w:rsidRPr="00CE3E6C">
        <w:rPr>
          <w:rStyle w:val="markedcontent"/>
          <w:u w:val="single"/>
        </w:rPr>
        <w:t>Arizona, et al. v. Alejandro Mayorkas, Secretary of Homeland Security</w:t>
      </w:r>
      <w:r>
        <w:rPr>
          <w:rStyle w:val="markedcontent"/>
        </w:rPr>
        <w:t xml:space="preserve">, the Court held (5 to 4) that the Title 42 public health order issued in March 2020 by U.S. Department under President Trump will temporarily remain in place until oral arguments in </w:t>
      </w:r>
      <w:proofErr w:type="gramStart"/>
      <w:r>
        <w:rPr>
          <w:rStyle w:val="markedcontent"/>
        </w:rPr>
        <w:t>February,</w:t>
      </w:r>
      <w:proofErr w:type="gramEnd"/>
      <w:r>
        <w:rPr>
          <w:rStyle w:val="markedcontent"/>
        </w:rPr>
        <w:t xml:space="preserve"> 2023 and full Court decision thereafter.  The Court stayed the Nov. 22, </w:t>
      </w:r>
      <w:proofErr w:type="gramStart"/>
      <w:r>
        <w:rPr>
          <w:rStyle w:val="markedcontent"/>
        </w:rPr>
        <w:t>2022</w:t>
      </w:r>
      <w:proofErr w:type="gramEnd"/>
      <w:r>
        <w:rPr>
          <w:rStyle w:val="markedcontent"/>
        </w:rPr>
        <w:t xml:space="preserve"> decision by U.S. District Court Judge Emmet G. Sullivan, District of Columbia, who ruled that the 2020 public health order (issued under 1893 Federal public health statute) cannot be enforced since it did not consider vaccinations as restrictive measure to protect the public from COVID-19.  Five conservative Supreme Court Justices granted the stay sought by 19 states, including Arizona and Texas.  Therefore, currently migrants can continue to be returned to Mexico or their home nation.  To date the 2020 public health order has been used to expel more than 2 million migrants.  </w:t>
      </w:r>
    </w:p>
    <w:p w14:paraId="4B45E469" w14:textId="77777777" w:rsidR="006C79BE" w:rsidRPr="001D6C7D" w:rsidRDefault="006C79BE" w:rsidP="006C79BE">
      <w:pPr>
        <w:pStyle w:val="NormalWeb"/>
        <w:ind w:left="720"/>
        <w:rPr>
          <w:rStyle w:val="markedcontent"/>
        </w:rPr>
      </w:pPr>
      <w:r w:rsidRPr="001D6C7D">
        <w:rPr>
          <w:rStyle w:val="markedcontent"/>
        </w:rPr>
        <w:t xml:space="preserve">“This stay precludes giving effect to the District Court order setting aside and vacating the Title 42 policy; the stay itself does not prevent the federal government from taking any action with respect to that policy.” </w:t>
      </w:r>
      <w:hyperlink r:id="rId716" w:history="1">
        <w:r w:rsidRPr="001D6C7D">
          <w:rPr>
            <w:rStyle w:val="Hyperlink"/>
            <w:rFonts w:eastAsiaTheme="majorEastAsia"/>
          </w:rPr>
          <w:t>https://www.supremecourt.gov/opinions/22pdf/22a544_n758.pdf</w:t>
        </w:r>
      </w:hyperlink>
      <w:r w:rsidRPr="001D6C7D">
        <w:rPr>
          <w:rStyle w:val="markedcontent"/>
        </w:rPr>
        <w:t xml:space="preserve"> </w:t>
      </w:r>
    </w:p>
    <w:p w14:paraId="53588017" w14:textId="77777777" w:rsidR="006C79BE" w:rsidRDefault="006C79BE" w:rsidP="006C79BE">
      <w:pPr>
        <w:pStyle w:val="NormalWeb"/>
        <w:rPr>
          <w:rStyle w:val="markedcontent"/>
        </w:rPr>
      </w:pPr>
      <w:r>
        <w:rPr>
          <w:rStyle w:val="markedcontent"/>
        </w:rPr>
        <w:t xml:space="preserve">Three liberal justices, plus Justice Neil Gorsuch (nominated by President Trump) dissented.  Justice Gorsuch wrote: </w:t>
      </w:r>
    </w:p>
    <w:p w14:paraId="0536CB13" w14:textId="77777777" w:rsidR="006C79BE" w:rsidRPr="004901C1" w:rsidRDefault="006C79BE" w:rsidP="006C79BE">
      <w:pPr>
        <w:pStyle w:val="NormalWeb"/>
        <w:ind w:left="720"/>
        <w:rPr>
          <w:rStyle w:val="markedcontent"/>
        </w:rPr>
      </w:pPr>
      <w:r w:rsidRPr="004901C1">
        <w:rPr>
          <w:rStyle w:val="markedcontent"/>
        </w:rPr>
        <w:t>“But the current border crisis is not a COVID crisis. And courts should not be in the business of perpetuating administrative edicts designed for one emergency only because elected officials have failed to address a different emergency. We are a court of law, not policymakers of last resort.”</w:t>
      </w:r>
    </w:p>
    <w:p w14:paraId="22194DC7" w14:textId="77777777" w:rsidR="006C79BE" w:rsidRPr="001D6C7D" w:rsidRDefault="006C79BE" w:rsidP="006C79BE">
      <w:pPr>
        <w:pStyle w:val="NormalWeb"/>
        <w:rPr>
          <w:rStyle w:val="markedcontent"/>
          <w:b/>
          <w:bCs/>
        </w:rPr>
      </w:pPr>
      <w:r w:rsidRPr="001D6C7D">
        <w:rPr>
          <w:rStyle w:val="markedcontent"/>
          <w:b/>
          <w:bCs/>
        </w:rPr>
        <w:t>Legal lesson learned: The border crisis demands reform of our immigration laws.</w:t>
      </w:r>
    </w:p>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6C79BE" w14:paraId="6BD856CF" w14:textId="77777777" w:rsidTr="006901FD">
        <w:trPr>
          <w:jc w:val="center"/>
        </w:trPr>
        <w:tc>
          <w:tcPr>
            <w:tcW w:w="5000" w:type="pct"/>
            <w:shd w:val="clear" w:color="auto" w:fill="FFFFFF"/>
            <w:tcMar>
              <w:top w:w="75" w:type="dxa"/>
              <w:left w:w="75" w:type="dxa"/>
              <w:bottom w:w="0" w:type="dxa"/>
              <w:right w:w="75" w:type="dxa"/>
            </w:tcMar>
            <w:vAlign w:val="center"/>
          </w:tcPr>
          <w:p w14:paraId="3FC995C6" w14:textId="77777777" w:rsidR="006C79BE" w:rsidRDefault="006C79BE" w:rsidP="006901FD">
            <w:pPr>
              <w:pStyle w:val="paragraph"/>
              <w:spacing w:before="0" w:beforeAutospacing="0" w:after="0" w:afterAutospacing="0"/>
              <w:ind w:left="720"/>
              <w:textAlignment w:val="baseline"/>
              <w:rPr>
                <w:rFonts w:ascii="Book Antiqua" w:hAnsi="Book Antiqua"/>
                <w:color w:val="000000"/>
                <w:sz w:val="23"/>
                <w:szCs w:val="23"/>
              </w:rPr>
            </w:pPr>
            <w:r w:rsidRPr="001D6C7D">
              <w:rPr>
                <w:rStyle w:val="markedcontent"/>
              </w:rPr>
              <w:t>Note:  U.S. Department of Homeland Security issued following Press Release</w:t>
            </w:r>
            <w:r>
              <w:rPr>
                <w:rStyle w:val="markedcontent"/>
              </w:rPr>
              <w:t xml:space="preserve">: </w:t>
            </w:r>
            <w:r>
              <w:rPr>
                <w:rStyle w:val="normaltextrun"/>
                <w:color w:val="000000"/>
              </w:rPr>
              <w:t>“As required by today’s Supreme Court order, the Title 42 public health order will remain in effect and individuals who attempt to enter the United States unlawfully will continue to be expelled to Mexico</w:t>
            </w:r>
            <w:r>
              <w:rPr>
                <w:color w:val="000000"/>
              </w:rPr>
              <w:t xml:space="preserve"> or their home country.  </w:t>
            </w:r>
            <w:r>
              <w:rPr>
                <w:rStyle w:val="normaltextrun"/>
                <w:color w:val="000000"/>
              </w:rPr>
              <w:t>People should not listen to the lies of smugglers who take advantage of vulnerable migrants, putting lives at risk. The border is not open, and we will continue to fully enforce our immigration laws. </w:t>
            </w:r>
            <w:r>
              <w:rPr>
                <w:rStyle w:val="normaltextrun"/>
              </w:rPr>
              <w:t> </w:t>
            </w:r>
            <w:r>
              <w:rPr>
                <w:color w:val="000000"/>
              </w:rPr>
              <w:t> </w:t>
            </w:r>
          </w:p>
          <w:p w14:paraId="33839589" w14:textId="77777777" w:rsidR="006C79BE" w:rsidRDefault="006C79BE" w:rsidP="006901FD">
            <w:pPr>
              <w:pStyle w:val="paragraph"/>
              <w:spacing w:before="0" w:beforeAutospacing="0" w:after="0" w:afterAutospacing="0"/>
              <w:ind w:left="720"/>
              <w:textAlignment w:val="baseline"/>
              <w:rPr>
                <w:rFonts w:ascii="Book Antiqua" w:hAnsi="Book Antiqua"/>
                <w:color w:val="000000"/>
                <w:sz w:val="23"/>
                <w:szCs w:val="23"/>
              </w:rPr>
            </w:pPr>
            <w:r>
              <w:rPr>
                <w:rStyle w:val="normaltextrun"/>
                <w:color w:val="000000"/>
              </w:rPr>
              <w:t xml:space="preserve">We will continue to manage the border, but we do so within the constraints of a decades-old immigration system that everyone agrees is broken. We need Congress to pass the comprehensive immigration reform legislation President Biden proposed the day he took office.” </w:t>
            </w:r>
            <w:hyperlink r:id="rId717" w:history="1">
              <w:r w:rsidRPr="008B2F4A">
                <w:rPr>
                  <w:rStyle w:val="Hyperlink"/>
                  <w:rFonts w:ascii="Book Antiqua" w:eastAsiaTheme="majorEastAsia" w:hAnsi="Book Antiqua"/>
                  <w:sz w:val="23"/>
                  <w:szCs w:val="23"/>
                </w:rPr>
                <w:t>departmentofhomelandsecurity@messages.dhs.gov</w:t>
              </w:r>
            </w:hyperlink>
          </w:p>
          <w:p w14:paraId="5A0C82FB" w14:textId="77777777" w:rsidR="006C79BE" w:rsidRDefault="006C79BE" w:rsidP="006901FD">
            <w:pPr>
              <w:ind w:left="720"/>
              <w:rPr>
                <w:rFonts w:ascii="Times New Roman" w:eastAsia="Times New Roman" w:hAnsi="Times New Roman"/>
                <w:sz w:val="24"/>
                <w:szCs w:val="24"/>
              </w:rPr>
            </w:pPr>
          </w:p>
          <w:p w14:paraId="2D09CBB3" w14:textId="77777777" w:rsidR="006C79BE" w:rsidRPr="008550EA" w:rsidRDefault="006C79BE" w:rsidP="006901FD">
            <w:pPr>
              <w:ind w:left="720"/>
              <w:rPr>
                <w:rFonts w:ascii="Times New Roman" w:eastAsia="Times New Roman" w:hAnsi="Times New Roman"/>
                <w:sz w:val="24"/>
                <w:szCs w:val="24"/>
              </w:rPr>
            </w:pPr>
            <w:r w:rsidRPr="00557022">
              <w:rPr>
                <w:rStyle w:val="markedcontent"/>
                <w:rFonts w:ascii="Times New Roman" w:hAnsi="Times New Roman"/>
                <w:sz w:val="24"/>
                <w:szCs w:val="24"/>
              </w:rPr>
              <w:t xml:space="preserve">Read the Nov. 22, </w:t>
            </w:r>
            <w:proofErr w:type="gramStart"/>
            <w:r w:rsidRPr="00557022">
              <w:rPr>
                <w:rStyle w:val="markedcontent"/>
                <w:rFonts w:ascii="Times New Roman" w:hAnsi="Times New Roman"/>
                <w:sz w:val="24"/>
                <w:szCs w:val="24"/>
              </w:rPr>
              <w:t>2022</w:t>
            </w:r>
            <w:proofErr w:type="gramEnd"/>
            <w:r w:rsidRPr="00557022">
              <w:rPr>
                <w:rStyle w:val="markedcontent"/>
                <w:rFonts w:ascii="Times New Roman" w:hAnsi="Times New Roman"/>
                <w:sz w:val="24"/>
                <w:szCs w:val="24"/>
              </w:rPr>
              <w:t xml:space="preserve"> decision by U.S. District Court Judge Emmet G. Sullivan, District of Columbia, who ruled Title 42 order was illegal and cannot be enforced.  </w:t>
            </w:r>
            <w:hyperlink r:id="rId718" w:history="1">
              <w:r w:rsidRPr="00557022">
                <w:rPr>
                  <w:rStyle w:val="Hyperlink"/>
                  <w:rFonts w:ascii="Times New Roman" w:hAnsi="Times New Roman"/>
                  <w:sz w:val="24"/>
                  <w:szCs w:val="24"/>
                </w:rPr>
                <w:t>https://ecf.dcd.uscourts.gov/cgi-bin/show_public_doc?2021cv0100-165</w:t>
              </w:r>
            </w:hyperlink>
            <w:r>
              <w:rPr>
                <w:rStyle w:val="markedcontent"/>
              </w:rPr>
              <w:t xml:space="preserve">. </w:t>
            </w:r>
            <w:r w:rsidRPr="008550EA">
              <w:rPr>
                <w:rStyle w:val="markedcontent"/>
                <w:rFonts w:ascii="Times New Roman" w:hAnsi="Times New Roman"/>
                <w:sz w:val="24"/>
                <w:szCs w:val="24"/>
              </w:rPr>
              <w:t>“The Court concludes that CDC failed to appropriately</w:t>
            </w:r>
            <w:r>
              <w:rPr>
                <w:rStyle w:val="markedcontent"/>
                <w:rFonts w:ascii="Times New Roman" w:hAnsi="Times New Roman"/>
                <w:sz w:val="24"/>
                <w:szCs w:val="24"/>
              </w:rPr>
              <w:t xml:space="preserve"> </w:t>
            </w:r>
            <w:r w:rsidRPr="008550EA">
              <w:rPr>
                <w:rStyle w:val="markedcontent"/>
                <w:rFonts w:ascii="Times New Roman" w:hAnsi="Times New Roman"/>
                <w:sz w:val="24"/>
                <w:szCs w:val="24"/>
              </w:rPr>
              <w:t>consider the availability of effective therapeutics that</w:t>
            </w:r>
            <w:r>
              <w:rPr>
                <w:rStyle w:val="markedcontent"/>
                <w:rFonts w:ascii="Times New Roman" w:hAnsi="Times New Roman"/>
                <w:sz w:val="24"/>
                <w:szCs w:val="24"/>
              </w:rPr>
              <w:t xml:space="preserve"> </w:t>
            </w:r>
            <w:r w:rsidRPr="008550EA">
              <w:rPr>
                <w:rStyle w:val="markedcontent"/>
                <w:rFonts w:ascii="Times New Roman" w:hAnsi="Times New Roman"/>
                <w:sz w:val="24"/>
                <w:szCs w:val="24"/>
              </w:rPr>
              <w:t>‘reduce[d] the risk of hospitalization’ by approximately 70</w:t>
            </w:r>
            <w:r w:rsidRPr="008550EA">
              <w:rPr>
                <w:rFonts w:ascii="Times New Roman" w:hAnsi="Times New Roman"/>
                <w:sz w:val="24"/>
                <w:szCs w:val="24"/>
              </w:rPr>
              <w:br/>
            </w:r>
            <w:r w:rsidRPr="008550EA">
              <w:rPr>
                <w:rStyle w:val="markedcontent"/>
                <w:rFonts w:ascii="Times New Roman" w:hAnsi="Times New Roman"/>
                <w:sz w:val="24"/>
                <w:szCs w:val="24"/>
              </w:rPr>
              <w:t>percent in its August 2021 Order.”</w:t>
            </w:r>
          </w:p>
        </w:tc>
      </w:tr>
    </w:tbl>
    <w:p w14:paraId="023C1BC8" w14:textId="77777777" w:rsidR="006C79BE" w:rsidRDefault="006C79BE" w:rsidP="00F326E5">
      <w:pPr>
        <w:pStyle w:val="NoSpacing"/>
        <w:rPr>
          <w:rFonts w:ascii="Arial Black" w:hAnsi="Arial Black"/>
          <w:sz w:val="28"/>
          <w:szCs w:val="28"/>
        </w:rPr>
      </w:pPr>
    </w:p>
    <w:p w14:paraId="4E7A8086" w14:textId="77777777" w:rsidR="006C79BE" w:rsidRDefault="006C79BE" w:rsidP="00F326E5">
      <w:pPr>
        <w:pStyle w:val="NoSpacing"/>
        <w:rPr>
          <w:rFonts w:ascii="Arial Black" w:hAnsi="Arial Black"/>
          <w:sz w:val="28"/>
          <w:szCs w:val="28"/>
        </w:rPr>
      </w:pPr>
    </w:p>
    <w:p w14:paraId="3FCD6B31" w14:textId="1EFF9818" w:rsidR="00AE32D3" w:rsidRDefault="00AE32D3" w:rsidP="00F326E5">
      <w:pPr>
        <w:pStyle w:val="NoSpacing"/>
        <w:rPr>
          <w:rFonts w:ascii="Arial Black" w:hAnsi="Arial Black"/>
          <w:sz w:val="28"/>
          <w:szCs w:val="28"/>
        </w:rPr>
      </w:pPr>
      <w:r>
        <w:rPr>
          <w:rFonts w:ascii="Arial Black" w:hAnsi="Arial Black"/>
          <w:sz w:val="28"/>
          <w:szCs w:val="28"/>
        </w:rPr>
        <w:t>3-46</w:t>
      </w:r>
    </w:p>
    <w:p w14:paraId="1A1A31C2" w14:textId="79F3AFF2" w:rsidR="00AE32D3" w:rsidRDefault="00AE32D3" w:rsidP="00F326E5">
      <w:pPr>
        <w:pStyle w:val="NoSpacing"/>
        <w:rPr>
          <w:rFonts w:ascii="Arial Black" w:hAnsi="Arial Black"/>
          <w:sz w:val="28"/>
          <w:szCs w:val="28"/>
        </w:rPr>
      </w:pPr>
    </w:p>
    <w:p w14:paraId="060F2638" w14:textId="77777777" w:rsidR="00AE32D3" w:rsidRPr="00B1155B" w:rsidRDefault="00AE32D3" w:rsidP="00AE32D3">
      <w:pPr>
        <w:pStyle w:val="NoSpacing"/>
        <w:rPr>
          <w:rFonts w:ascii="Arial Black" w:hAnsi="Arial Black"/>
          <w:sz w:val="28"/>
          <w:szCs w:val="28"/>
        </w:rPr>
      </w:pPr>
      <w:r>
        <w:rPr>
          <w:rFonts w:ascii="Arial Black" w:hAnsi="Arial Black"/>
          <w:sz w:val="28"/>
          <w:szCs w:val="28"/>
        </w:rPr>
        <w:t>GA:  11</w:t>
      </w:r>
      <w:r w:rsidRPr="00B1155B">
        <w:rPr>
          <w:rFonts w:ascii="Arial Black" w:hAnsi="Arial Black"/>
          <w:sz w:val="28"/>
          <w:szCs w:val="28"/>
          <w:vertAlign w:val="superscript"/>
        </w:rPr>
        <w:t>th</w:t>
      </w:r>
      <w:r>
        <w:rPr>
          <w:rFonts w:ascii="Arial Black" w:hAnsi="Arial Black"/>
          <w:sz w:val="28"/>
          <w:szCs w:val="28"/>
        </w:rPr>
        <w:t xml:space="preserve"> CIR. – FBI SEIZED DOCS. PRES. TRUMP’S MAR-A-LARGO SEARCH WARRANT – “SPECIAL MASTER” SET ASIDE</w:t>
      </w:r>
    </w:p>
    <w:p w14:paraId="0E39D8B6" w14:textId="77777777" w:rsidR="00AE32D3" w:rsidRDefault="00AE32D3" w:rsidP="00AE32D3">
      <w:pPr>
        <w:pStyle w:val="NoSpacing"/>
        <w:rPr>
          <w:rFonts w:ascii="Times New Roman" w:hAnsi="Times New Roman"/>
          <w:sz w:val="24"/>
          <w:szCs w:val="24"/>
        </w:rPr>
      </w:pPr>
    </w:p>
    <w:p w14:paraId="5C3B7197" w14:textId="77777777" w:rsidR="00AE32D3" w:rsidRDefault="00AE32D3" w:rsidP="00AE32D3">
      <w:pPr>
        <w:pStyle w:val="NoSpacing"/>
        <w:rPr>
          <w:rFonts w:ascii="Times New Roman" w:hAnsi="Times New Roman"/>
          <w:sz w:val="24"/>
          <w:szCs w:val="24"/>
        </w:rPr>
      </w:pPr>
      <w:r>
        <w:rPr>
          <w:rFonts w:ascii="Times New Roman" w:hAnsi="Times New Roman"/>
          <w:sz w:val="24"/>
          <w:szCs w:val="24"/>
        </w:rPr>
        <w:t xml:space="preserve">On Dec. 1, 2022, in </w:t>
      </w:r>
      <w:r w:rsidRPr="00B1155B">
        <w:rPr>
          <w:rFonts w:ascii="Times New Roman" w:hAnsi="Times New Roman"/>
          <w:sz w:val="24"/>
          <w:szCs w:val="24"/>
          <w:u w:val="single"/>
        </w:rPr>
        <w:t>Donald J. Trump v. United States of America</w:t>
      </w:r>
      <w:r>
        <w:rPr>
          <w:rFonts w:ascii="Times New Roman" w:hAnsi="Times New Roman"/>
          <w:sz w:val="24"/>
          <w:szCs w:val="24"/>
        </w:rPr>
        <w:t>, the U.S. Court of Appeals for the 11</w:t>
      </w:r>
      <w:r w:rsidRPr="00B1155B">
        <w:rPr>
          <w:rFonts w:ascii="Times New Roman" w:hAnsi="Times New Roman"/>
          <w:sz w:val="24"/>
          <w:szCs w:val="24"/>
          <w:vertAlign w:val="superscript"/>
        </w:rPr>
        <w:t>th</w:t>
      </w:r>
      <w:r>
        <w:rPr>
          <w:rFonts w:ascii="Times New Roman" w:hAnsi="Times New Roman"/>
          <w:sz w:val="24"/>
          <w:szCs w:val="24"/>
        </w:rPr>
        <w:t xml:space="preserve"> Circuit (Atlanta) held (3 to 0) that U.S. District Court Judge Aileen M. Cannon of Florida had no authority to appoint Judge Raymond J. Dearie of Brooklyn (retired) as a special master to review the documents seized by FBI pursuant to a search warrant by a U.S. Magistrate Judge. President Trump’s arguments are “a sideshow.”</w:t>
      </w:r>
    </w:p>
    <w:p w14:paraId="6F81A5E3" w14:textId="77777777" w:rsidR="00AE32D3" w:rsidRDefault="00AE32D3" w:rsidP="00AE32D3">
      <w:pPr>
        <w:pStyle w:val="NoSpacing"/>
        <w:rPr>
          <w:rFonts w:ascii="Times New Roman" w:hAnsi="Times New Roman"/>
          <w:sz w:val="24"/>
          <w:szCs w:val="24"/>
        </w:rPr>
      </w:pPr>
    </w:p>
    <w:p w14:paraId="5BC5F537" w14:textId="77777777" w:rsidR="00AE32D3" w:rsidRPr="00570272" w:rsidRDefault="00AE32D3" w:rsidP="00AE32D3">
      <w:pPr>
        <w:pStyle w:val="NoSpacing"/>
        <w:ind w:left="720"/>
        <w:rPr>
          <w:rFonts w:ascii="Times New Roman" w:hAnsi="Times New Roman"/>
          <w:sz w:val="24"/>
          <w:szCs w:val="24"/>
        </w:rPr>
      </w:pPr>
      <w:r w:rsidRPr="00570272">
        <w:rPr>
          <w:rFonts w:ascii="Times New Roman" w:hAnsi="Times New Roman"/>
          <w:sz w:val="24"/>
          <w:szCs w:val="24"/>
        </w:rPr>
        <w:t>“This appeal requires us to consider whether the district court had jurisdiction to block the United States from using lawfully seized records in a criminal investigation. The answer is no.</w:t>
      </w:r>
    </w:p>
    <w:p w14:paraId="545D33A5" w14:textId="77777777" w:rsidR="00AE32D3" w:rsidRPr="00570272" w:rsidRDefault="00AE32D3" w:rsidP="00AE32D3">
      <w:pPr>
        <w:pStyle w:val="NoSpacing"/>
        <w:rPr>
          <w:rFonts w:ascii="Times New Roman" w:hAnsi="Times New Roman"/>
          <w:sz w:val="24"/>
          <w:szCs w:val="24"/>
        </w:rPr>
      </w:pPr>
    </w:p>
    <w:p w14:paraId="169313AA" w14:textId="77777777" w:rsidR="00AE32D3" w:rsidRPr="00570272" w:rsidRDefault="00AE32D3" w:rsidP="00AE32D3">
      <w:pPr>
        <w:pStyle w:val="NoSpacing"/>
        <w:ind w:left="720"/>
        <w:rPr>
          <w:rFonts w:ascii="Times New Roman" w:hAnsi="Times New Roman"/>
          <w:sz w:val="24"/>
          <w:szCs w:val="24"/>
        </w:rPr>
      </w:pPr>
      <w:r w:rsidRPr="00570272">
        <w:rPr>
          <w:rFonts w:ascii="Times New Roman" w:hAnsi="Times New Roman"/>
          <w:sz w:val="24"/>
          <w:szCs w:val="24"/>
        </w:rPr>
        <w:t>Former President Donald J. Trump brought a civil action seeking an injunction against the government after it executed a search warrant at his Mar-a-Lago residence. He argues that a court-mandated special master review process is necessary because the government's Privilege Review Team protocols were inadequate, because various seized documents are protected by executive or attorney-client privilege, because he could have declassified documents or designated them as personal rather than presidential records, and—if all that fails—because the government’s appeal was procedurally deficient. The government disagrees with each</w:t>
      </w:r>
      <w:r w:rsidRPr="00570272">
        <w:rPr>
          <w:rFonts w:ascii="Times New Roman" w:hAnsi="Times New Roman"/>
          <w:sz w:val="24"/>
          <w:szCs w:val="24"/>
        </w:rPr>
        <w:br/>
        <w:t>contention.</w:t>
      </w:r>
    </w:p>
    <w:p w14:paraId="2366289E" w14:textId="77777777" w:rsidR="00AE32D3" w:rsidRPr="00570272" w:rsidRDefault="00AE32D3" w:rsidP="00AE32D3">
      <w:pPr>
        <w:rPr>
          <w:rFonts w:ascii="Times New Roman" w:hAnsi="Times New Roman"/>
          <w:sz w:val="24"/>
          <w:szCs w:val="24"/>
        </w:rPr>
      </w:pPr>
    </w:p>
    <w:p w14:paraId="2130F04B" w14:textId="77777777" w:rsidR="00AE32D3" w:rsidRPr="00570272" w:rsidRDefault="00AE32D3" w:rsidP="00AE32D3">
      <w:pPr>
        <w:ind w:firstLine="720"/>
        <w:rPr>
          <w:rFonts w:ascii="Times New Roman" w:hAnsi="Times New Roman"/>
          <w:sz w:val="24"/>
          <w:szCs w:val="24"/>
        </w:rPr>
      </w:pPr>
      <w:r w:rsidRPr="00570272">
        <w:rPr>
          <w:rFonts w:ascii="Times New Roman" w:hAnsi="Times New Roman"/>
          <w:sz w:val="24"/>
          <w:szCs w:val="24"/>
        </w:rPr>
        <w:t>***</w:t>
      </w:r>
    </w:p>
    <w:p w14:paraId="6D7F3E3E" w14:textId="77777777" w:rsidR="00AE32D3" w:rsidRPr="00570272" w:rsidRDefault="00AE32D3" w:rsidP="00AE32D3">
      <w:pPr>
        <w:pStyle w:val="NoSpacing"/>
        <w:ind w:left="720"/>
        <w:rPr>
          <w:rFonts w:ascii="Times New Roman" w:hAnsi="Times New Roman"/>
          <w:sz w:val="24"/>
          <w:szCs w:val="24"/>
        </w:rPr>
      </w:pPr>
      <w:r w:rsidRPr="00570272">
        <w:rPr>
          <w:rFonts w:ascii="Times New Roman" w:hAnsi="Times New Roman"/>
          <w:sz w:val="24"/>
          <w:szCs w:val="24"/>
        </w:rPr>
        <w:t>In considering these arguments, we are faced with a choice: apply our usual test; drastically expand the availability of equitable jurisdiction for every subject of a search warrant; or carve out an unprecedented exception in our law for former presidents. We</w:t>
      </w:r>
      <w:r w:rsidRPr="00570272">
        <w:rPr>
          <w:rFonts w:ascii="Times New Roman" w:hAnsi="Times New Roman"/>
          <w:sz w:val="24"/>
          <w:szCs w:val="24"/>
        </w:rPr>
        <w:br/>
        <w:t xml:space="preserve">choose the first option. </w:t>
      </w:r>
      <w:proofErr w:type="gramStart"/>
      <w:r w:rsidRPr="00570272">
        <w:rPr>
          <w:rFonts w:ascii="Times New Roman" w:hAnsi="Times New Roman"/>
          <w:sz w:val="24"/>
          <w:szCs w:val="24"/>
        </w:rPr>
        <w:t>So</w:t>
      </w:r>
      <w:proofErr w:type="gramEnd"/>
      <w:r w:rsidRPr="00570272">
        <w:rPr>
          <w:rFonts w:ascii="Times New Roman" w:hAnsi="Times New Roman"/>
          <w:sz w:val="24"/>
          <w:szCs w:val="24"/>
        </w:rPr>
        <w:t xml:space="preserve"> the case must be dismissed.</w:t>
      </w:r>
    </w:p>
    <w:p w14:paraId="4583B7ED" w14:textId="77777777" w:rsidR="00AE32D3" w:rsidRPr="00570272" w:rsidRDefault="00AE32D3" w:rsidP="00AE32D3">
      <w:pPr>
        <w:pStyle w:val="NoSpacing"/>
        <w:ind w:left="720"/>
        <w:rPr>
          <w:rFonts w:ascii="Times New Roman" w:hAnsi="Times New Roman"/>
          <w:sz w:val="24"/>
          <w:szCs w:val="24"/>
        </w:rPr>
      </w:pPr>
    </w:p>
    <w:p w14:paraId="6933CC0C" w14:textId="77777777" w:rsidR="00AE32D3" w:rsidRPr="00570272" w:rsidRDefault="00AE32D3" w:rsidP="00AE32D3">
      <w:pPr>
        <w:pStyle w:val="NoSpacing"/>
        <w:ind w:left="720"/>
        <w:rPr>
          <w:rFonts w:ascii="Times New Roman" w:hAnsi="Times New Roman"/>
          <w:sz w:val="24"/>
          <w:szCs w:val="24"/>
        </w:rPr>
      </w:pPr>
      <w:r w:rsidRPr="00570272">
        <w:rPr>
          <w:rFonts w:ascii="Times New Roman" w:hAnsi="Times New Roman"/>
          <w:sz w:val="24"/>
          <w:szCs w:val="24"/>
        </w:rPr>
        <w:t>***</w:t>
      </w:r>
    </w:p>
    <w:p w14:paraId="0327D71C" w14:textId="77777777" w:rsidR="00AE32D3" w:rsidRPr="00570272" w:rsidRDefault="00AE32D3" w:rsidP="00AE32D3">
      <w:pPr>
        <w:pStyle w:val="NoSpacing"/>
        <w:ind w:firstLine="720"/>
        <w:rPr>
          <w:rFonts w:ascii="Times New Roman" w:hAnsi="Times New Roman"/>
          <w:sz w:val="24"/>
          <w:szCs w:val="24"/>
        </w:rPr>
      </w:pPr>
    </w:p>
    <w:p w14:paraId="2A73EC1E" w14:textId="77777777" w:rsidR="00AE32D3" w:rsidRPr="00570272" w:rsidRDefault="00AE32D3" w:rsidP="00AE32D3">
      <w:pPr>
        <w:pStyle w:val="NoSpacing"/>
        <w:ind w:left="720"/>
        <w:rPr>
          <w:rFonts w:ascii="Times New Roman" w:hAnsi="Times New Roman"/>
          <w:sz w:val="24"/>
          <w:szCs w:val="24"/>
        </w:rPr>
      </w:pPr>
      <w:r w:rsidRPr="00570272">
        <w:rPr>
          <w:rFonts w:ascii="Times New Roman" w:hAnsi="Times New Roman"/>
          <w:sz w:val="24"/>
          <w:szCs w:val="24"/>
        </w:rPr>
        <w:t xml:space="preserve">The magistrate judge decided that issue when approving the </w:t>
      </w:r>
      <w:proofErr w:type="gramStart"/>
      <w:r w:rsidRPr="00570272">
        <w:rPr>
          <w:rFonts w:ascii="Times New Roman" w:hAnsi="Times New Roman"/>
          <w:sz w:val="24"/>
          <w:szCs w:val="24"/>
        </w:rPr>
        <w:t>warrant</w:t>
      </w:r>
      <w:proofErr w:type="gramEnd"/>
      <w:r w:rsidRPr="00570272">
        <w:rPr>
          <w:rFonts w:ascii="Times New Roman" w:hAnsi="Times New Roman"/>
          <w:sz w:val="24"/>
          <w:szCs w:val="24"/>
        </w:rPr>
        <w:t>. To the extent that the categorization of these documents has legal relevance in future proceedings, the issue can be raised at that time… All these arguments are a sideshow.</w:t>
      </w:r>
    </w:p>
    <w:p w14:paraId="14B1DA44" w14:textId="6908E85D" w:rsidR="00AE32D3" w:rsidRDefault="00AE32D3" w:rsidP="00AE32D3">
      <w:pPr>
        <w:pStyle w:val="NoSpacing"/>
        <w:ind w:left="720"/>
        <w:rPr>
          <w:rFonts w:ascii="Arial Black" w:hAnsi="Arial Black"/>
          <w:sz w:val="28"/>
          <w:szCs w:val="28"/>
        </w:rPr>
      </w:pPr>
      <w:hyperlink r:id="rId719" w:history="1">
        <w:r w:rsidRPr="00E01337">
          <w:rPr>
            <w:rStyle w:val="Hyperlink"/>
            <w:rFonts w:ascii="Times New Roman" w:hAnsi="Times New Roman"/>
            <w:sz w:val="24"/>
            <w:szCs w:val="24"/>
          </w:rPr>
          <w:t>https://docs-cdn-prod.news-engineering.aws.wapo.pub/publish_document/5c87d9b8-631f-41c7-92e8-129f412d0e0f/published/5c87d9b8-631f-41c7-92e8-129f412d0e0f.pdf</w:t>
        </w:r>
      </w:hyperlink>
    </w:p>
    <w:p w14:paraId="053FFE4F" w14:textId="686110CB" w:rsidR="00AE32D3" w:rsidRDefault="00AE32D3" w:rsidP="00F326E5">
      <w:pPr>
        <w:pStyle w:val="NoSpacing"/>
        <w:rPr>
          <w:rFonts w:ascii="Arial Black" w:hAnsi="Arial Black"/>
          <w:sz w:val="28"/>
          <w:szCs w:val="28"/>
        </w:rPr>
      </w:pPr>
    </w:p>
    <w:p w14:paraId="6ECE34C1" w14:textId="77CAB75D" w:rsidR="00AE32D3" w:rsidRDefault="00AE32D3" w:rsidP="00F326E5">
      <w:pPr>
        <w:pStyle w:val="NoSpacing"/>
        <w:rPr>
          <w:rFonts w:ascii="Arial Black" w:hAnsi="Arial Black"/>
          <w:sz w:val="28"/>
          <w:szCs w:val="28"/>
        </w:rPr>
      </w:pPr>
      <w:r w:rsidRPr="00E664A5">
        <w:rPr>
          <w:rFonts w:ascii="Times New Roman" w:hAnsi="Times New Roman"/>
          <w:b/>
          <w:bCs/>
          <w:sz w:val="24"/>
          <w:szCs w:val="24"/>
        </w:rPr>
        <w:t>Legal Lesson Learned:</w:t>
      </w:r>
      <w:r>
        <w:rPr>
          <w:rFonts w:ascii="Times New Roman" w:hAnsi="Times New Roman"/>
          <w:b/>
          <w:bCs/>
          <w:sz w:val="24"/>
          <w:szCs w:val="24"/>
        </w:rPr>
        <w:t xml:space="preserve"> Documents were seized pursuant to a search warrant issued with probably cause.  Nice to see the 11</w:t>
      </w:r>
      <w:r w:rsidRPr="008033B3">
        <w:rPr>
          <w:rFonts w:ascii="Times New Roman" w:hAnsi="Times New Roman"/>
          <w:b/>
          <w:bCs/>
          <w:sz w:val="24"/>
          <w:szCs w:val="24"/>
          <w:vertAlign w:val="superscript"/>
        </w:rPr>
        <w:t>th</w:t>
      </w:r>
      <w:r>
        <w:rPr>
          <w:rFonts w:ascii="Times New Roman" w:hAnsi="Times New Roman"/>
          <w:b/>
          <w:bCs/>
          <w:sz w:val="24"/>
          <w:szCs w:val="24"/>
        </w:rPr>
        <w:t xml:space="preserve"> Circuit stop the “sideshow.”</w:t>
      </w:r>
    </w:p>
    <w:p w14:paraId="7469C09B" w14:textId="77777777" w:rsidR="00AE32D3" w:rsidRDefault="00AE32D3" w:rsidP="00F326E5">
      <w:pPr>
        <w:pStyle w:val="NoSpacing"/>
        <w:rPr>
          <w:rFonts w:ascii="Arial Black" w:hAnsi="Arial Black"/>
          <w:sz w:val="28"/>
          <w:szCs w:val="28"/>
        </w:rPr>
      </w:pPr>
    </w:p>
    <w:p w14:paraId="7D799E7D" w14:textId="030BBD4C" w:rsidR="006D2C51" w:rsidRDefault="006D2C51" w:rsidP="00F326E5">
      <w:pPr>
        <w:pStyle w:val="NoSpacing"/>
        <w:rPr>
          <w:rFonts w:ascii="Arial Black" w:hAnsi="Arial Black"/>
          <w:sz w:val="28"/>
          <w:szCs w:val="28"/>
        </w:rPr>
      </w:pPr>
      <w:r>
        <w:rPr>
          <w:rFonts w:ascii="Arial Black" w:hAnsi="Arial Black"/>
          <w:sz w:val="28"/>
          <w:szCs w:val="28"/>
        </w:rPr>
        <w:t>3-45</w:t>
      </w:r>
    </w:p>
    <w:p w14:paraId="73FF36D1" w14:textId="77777777" w:rsidR="006D2C51" w:rsidRPr="00A4481C" w:rsidRDefault="006D2C51" w:rsidP="006D2C51">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DC: DRONES – FAA REQUIRES DRONES TO ADMIT SIGNAL – “REMOTE ID” – NOT GOVT “WARRANTLESS SURVEILLANCE”</w:t>
      </w:r>
    </w:p>
    <w:p w14:paraId="20E6E198" w14:textId="77777777" w:rsidR="006D2C51" w:rsidRPr="00A4481C" w:rsidRDefault="006D2C51" w:rsidP="006D2C5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July 29, 2022, in </w:t>
      </w:r>
      <w:r w:rsidRPr="006C1D0D">
        <w:rPr>
          <w:rFonts w:ascii="Times New Roman" w:eastAsia="Times New Roman" w:hAnsi="Times New Roman"/>
          <w:sz w:val="24"/>
          <w:szCs w:val="24"/>
          <w:u w:val="single"/>
        </w:rPr>
        <w:t xml:space="preserve">Tyler Brennan and </w:t>
      </w:r>
      <w:proofErr w:type="spellStart"/>
      <w:r w:rsidRPr="006C1D0D">
        <w:rPr>
          <w:rFonts w:ascii="Times New Roman" w:eastAsia="Times New Roman" w:hAnsi="Times New Roman"/>
          <w:sz w:val="24"/>
          <w:szCs w:val="24"/>
          <w:u w:val="single"/>
        </w:rPr>
        <w:t>ReaceDayQuads</w:t>
      </w:r>
      <w:proofErr w:type="spellEnd"/>
      <w:r w:rsidRPr="006C1D0D">
        <w:rPr>
          <w:rFonts w:ascii="Times New Roman" w:eastAsia="Times New Roman" w:hAnsi="Times New Roman"/>
          <w:sz w:val="24"/>
          <w:szCs w:val="24"/>
          <w:u w:val="single"/>
        </w:rPr>
        <w:t xml:space="preserve"> LLC v. Stephen Dickson, Administrator and Federal Aviation Administration</w:t>
      </w:r>
      <w:r>
        <w:rPr>
          <w:rFonts w:ascii="Times New Roman" w:eastAsia="Times New Roman" w:hAnsi="Times New Roman"/>
          <w:sz w:val="24"/>
          <w:szCs w:val="24"/>
        </w:rPr>
        <w:t>, the U.S. Court of Appeals for the District of Columbia held (3 to 0) that FAA regulations are lawful. “</w:t>
      </w:r>
      <w:r w:rsidRPr="00A4481C">
        <w:rPr>
          <w:rFonts w:ascii="Times New Roman" w:eastAsia="Times New Roman" w:hAnsi="Times New Roman"/>
          <w:sz w:val="24"/>
          <w:szCs w:val="24"/>
        </w:rPr>
        <w:t xml:space="preserve">Petitioners Tyler Brennan, a drone user, and </w:t>
      </w:r>
      <w:proofErr w:type="spellStart"/>
      <w:r w:rsidRPr="00A4481C">
        <w:rPr>
          <w:rFonts w:ascii="Times New Roman" w:eastAsia="Times New Roman" w:hAnsi="Times New Roman"/>
          <w:sz w:val="24"/>
          <w:szCs w:val="24"/>
        </w:rPr>
        <w:t>RaceDayQuads</w:t>
      </w:r>
      <w:proofErr w:type="spellEnd"/>
      <w:r>
        <w:rPr>
          <w:rFonts w:ascii="Times New Roman" w:eastAsia="Times New Roman" w:hAnsi="Times New Roman"/>
          <w:sz w:val="24"/>
          <w:szCs w:val="24"/>
        </w:rPr>
        <w:t xml:space="preserve"> [</w:t>
      </w:r>
      <w:hyperlink r:id="rId720" w:history="1">
        <w:r w:rsidRPr="00272AA8">
          <w:rPr>
            <w:rStyle w:val="Hyperlink"/>
            <w:rFonts w:ascii="Times New Roman" w:eastAsia="Times New Roman" w:hAnsi="Times New Roman"/>
            <w:sz w:val="24"/>
            <w:szCs w:val="24"/>
          </w:rPr>
          <w:t>https://middlemarketgrowth.org/podcast-tyler-brennan-racedayquads/</w:t>
        </w:r>
      </w:hyperlink>
      <w:r>
        <w:rPr>
          <w:rFonts w:ascii="Times New Roman" w:eastAsia="Times New Roman" w:hAnsi="Times New Roman"/>
          <w:sz w:val="24"/>
          <w:szCs w:val="24"/>
        </w:rPr>
        <w:t xml:space="preserve"> ] </w:t>
      </w:r>
      <w:r w:rsidRPr="00A4481C">
        <w:rPr>
          <w:rFonts w:ascii="Times New Roman" w:eastAsia="Times New Roman" w:hAnsi="Times New Roman"/>
          <w:sz w:val="24"/>
          <w:szCs w:val="24"/>
        </w:rPr>
        <w:t>the drone retailer Brennan owns (referred to jointly as Brennan), want the Rule vacated</w:t>
      </w:r>
      <w:r>
        <w:rPr>
          <w:rFonts w:ascii="Times New Roman" w:eastAsia="Times New Roman" w:hAnsi="Times New Roman"/>
          <w:sz w:val="24"/>
          <w:szCs w:val="24"/>
        </w:rPr>
        <w:t xml:space="preserve">…. </w:t>
      </w:r>
      <w:r w:rsidRPr="00A4481C">
        <w:rPr>
          <w:rFonts w:ascii="Times New Roman" w:eastAsia="Times New Roman" w:hAnsi="Times New Roman"/>
          <w:sz w:val="24"/>
          <w:szCs w:val="24"/>
        </w:rPr>
        <w:t>Brennan asserts that the Rule's Remote ID requirement amounts to constant, warrantless governmental surveillance in violation of the Fourth Amendment.</w:t>
      </w:r>
      <w:r>
        <w:rPr>
          <w:rFonts w:ascii="Times New Roman" w:eastAsia="Times New Roman" w:hAnsi="Times New Roman"/>
          <w:sz w:val="24"/>
          <w:szCs w:val="24"/>
        </w:rPr>
        <w:t xml:space="preserve"> </w:t>
      </w:r>
      <w:r w:rsidRPr="00A4481C">
        <w:rPr>
          <w:rFonts w:ascii="Times New Roman" w:hAnsi="Times New Roman"/>
          <w:sz w:val="24"/>
          <w:szCs w:val="24"/>
        </w:rPr>
        <w:t>His request for vacatur of the Rule, amounting to a facial challenge, must fail because drones are virtually always flown in public. Requiring a drone to show its location and that of its operator while the drone is aloft in the open air violates no reasonable expectation of privacy. Brennan hypothesizes that law enforcement authorities could use Remote ID to carry out continuous surveillance of drone pilots' public locations amounting to a constitutionally cognizable search, or that the Rule could be applied in ways that would reveal an operator's identity and location at a home or in an otherwise private place. But he has not shown that any such uses of Remote ID have either harmed him or imminently will do so, thus he presents no currently justiciable, as-applied challenge.</w:t>
      </w:r>
      <w:r>
        <w:rPr>
          <w:rFonts w:ascii="Times New Roman" w:hAnsi="Times New Roman"/>
          <w:sz w:val="24"/>
          <w:szCs w:val="24"/>
        </w:rPr>
        <w:t xml:space="preserve">” </w:t>
      </w:r>
      <w:hyperlink r:id="rId721" w:history="1">
        <w:r w:rsidRPr="00A4481C">
          <w:rPr>
            <w:rStyle w:val="Hyperlink"/>
            <w:rFonts w:ascii="Times New Roman" w:eastAsia="Times New Roman" w:hAnsi="Times New Roman"/>
            <w:sz w:val="24"/>
            <w:szCs w:val="24"/>
          </w:rPr>
          <w:t>https://www.cadc.uscourts.gov/internet/opinions.nsf/55807FB471B60BB08525888E0051AEA6/$file/21-1087-1956978.pdf</w:t>
        </w:r>
      </w:hyperlink>
      <w:r w:rsidRPr="00A4481C">
        <w:rPr>
          <w:rFonts w:ascii="Times New Roman" w:eastAsia="Times New Roman" w:hAnsi="Times New Roman"/>
          <w:sz w:val="24"/>
          <w:szCs w:val="24"/>
        </w:rPr>
        <w:t xml:space="preserve"> </w:t>
      </w:r>
    </w:p>
    <w:p w14:paraId="1AC96945" w14:textId="77777777" w:rsidR="006D2C51" w:rsidRPr="00C73817" w:rsidRDefault="006D2C51" w:rsidP="006D2C51">
      <w:pPr>
        <w:pStyle w:val="NormalWeb"/>
        <w:rPr>
          <w:b/>
          <w:bCs/>
        </w:rPr>
      </w:pPr>
      <w:r w:rsidRPr="00C73817">
        <w:rPr>
          <w:b/>
          <w:bCs/>
        </w:rPr>
        <w:t xml:space="preserve">Legal Lesson Learned: </w:t>
      </w:r>
      <w:r>
        <w:rPr>
          <w:b/>
          <w:bCs/>
        </w:rPr>
        <w:t xml:space="preserve">Drones can be potential terrorist weapon; Remote ID provides important protection.  </w:t>
      </w:r>
    </w:p>
    <w:p w14:paraId="3BD8310B" w14:textId="77777777" w:rsidR="006D2C51" w:rsidRDefault="006D2C51" w:rsidP="006D2C51">
      <w:pPr>
        <w:pStyle w:val="NormalWeb"/>
        <w:ind w:left="720"/>
      </w:pPr>
      <w:r>
        <w:t xml:space="preserve">Note: The Court referenced terrorist events with drones. </w:t>
      </w:r>
    </w:p>
    <w:p w14:paraId="6FDE3694" w14:textId="77777777" w:rsidR="006D2C51" w:rsidRDefault="006D2C51" w:rsidP="006D2C51">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C73817">
        <w:rPr>
          <w:rFonts w:ascii="Times New Roman" w:hAnsi="Times New Roman"/>
          <w:sz w:val="24"/>
          <w:szCs w:val="24"/>
        </w:rPr>
        <w:t>Extremists have increasingly sought to use drones to carry out violent attacks: Terrorists killed several people by detonating a bomb carried by a drone that flew above a military parade in Yemen…. The Islamic State and other terrorist organizations have reportedly modified commercially available drones so they can carry and release munitions and explosives</w:t>
      </w:r>
      <w:r>
        <w:rPr>
          <w:rFonts w:ascii="Times New Roman" w:hAnsi="Times New Roman"/>
          <w:sz w:val="24"/>
          <w:szCs w:val="24"/>
        </w:rPr>
        <w:t xml:space="preserve">…. </w:t>
      </w:r>
      <w:r w:rsidRPr="00C73817">
        <w:rPr>
          <w:rFonts w:ascii="Times New Roman" w:hAnsi="Times New Roman"/>
          <w:sz w:val="24"/>
          <w:szCs w:val="24"/>
        </w:rPr>
        <w:t>A would-be assassin used a drone to target then-President Nicolas Maduro in Venezuela….And British intelligence agencies uncovered a terrorist plan to fly drones into the engines of commercial airplanes as they took off from airports in the United Kingdom….</w:t>
      </w:r>
    </w:p>
    <w:p w14:paraId="3AE0C5D3" w14:textId="77777777" w:rsidR="006D2C51" w:rsidRPr="001911A7" w:rsidRDefault="006D2C51" w:rsidP="006D2C51">
      <w:pPr>
        <w:pStyle w:val="NormalWeb"/>
        <w:ind w:left="720"/>
      </w:pPr>
      <w:r w:rsidRPr="001911A7">
        <w:t xml:space="preserve">Footnote 1: Citing Scott Gleeson, </w:t>
      </w:r>
      <w:r w:rsidRPr="001911A7">
        <w:rPr>
          <w:rStyle w:val="Emphasis"/>
        </w:rPr>
        <w:t>Juvenile Was Operating the Drone that Flew Over Fenway Park in Red Sox Game, Police Say</w:t>
      </w:r>
      <w:r w:rsidRPr="001911A7">
        <w:t>, USA TODAY (Apr. 13, 2019), https://www.usatoday.com/story/sports/mlb/redsox/2019/04/13/dro ne-</w:t>
      </w:r>
      <w:proofErr w:type="spellStart"/>
      <w:r w:rsidRPr="001911A7">
        <w:t>fenway</w:t>
      </w:r>
      <w:proofErr w:type="spellEnd"/>
      <w:r w:rsidRPr="001911A7">
        <w:t xml:space="preserve">-park-juvenile/3457190002/; Lori Aratani, </w:t>
      </w:r>
      <w:r w:rsidRPr="001911A7">
        <w:rPr>
          <w:rStyle w:val="Emphasis"/>
        </w:rPr>
        <w:t>Drone Activity Halts Air Traffic at Newark Liberty International Airport</w:t>
      </w:r>
      <w:r w:rsidRPr="001911A7">
        <w:t>, WASH. POST (Jan. 22, 2019), https://www.washingtonpost.com/transportation/2019/01/22/drone-activity-halts-air-traffic-newark-liberty-international-airport/.</w:t>
      </w:r>
    </w:p>
    <w:p w14:paraId="5C120572" w14:textId="77777777" w:rsidR="006D2C51" w:rsidRPr="001911A7" w:rsidRDefault="006D2C51" w:rsidP="006D2C51">
      <w:pPr>
        <w:pStyle w:val="NormalWeb"/>
        <w:ind w:left="720"/>
      </w:pPr>
      <w:r w:rsidRPr="001911A7">
        <w:t xml:space="preserve">Footnote 2: Citing </w:t>
      </w:r>
      <w:r w:rsidRPr="001911A7">
        <w:rPr>
          <w:rStyle w:val="Emphasis"/>
        </w:rPr>
        <w:t>Houthi Drones Kill Several at Yemeni Military Parade</w:t>
      </w:r>
      <w:r w:rsidRPr="001911A7">
        <w:t xml:space="preserve">, REUTERS (Jan. 10, 2019), https://www.reuters.com/article/us-yemen-security/houthi-drones-kill-several-at-yemei-military-parade-idUSKCN1P40N9. </w:t>
      </w:r>
    </w:p>
    <w:p w14:paraId="3A67BF6E" w14:textId="77777777" w:rsidR="006D2C51" w:rsidRPr="001911A7" w:rsidRDefault="006D2C51" w:rsidP="006D2C51">
      <w:pPr>
        <w:pStyle w:val="NormalWeb"/>
        <w:ind w:left="720"/>
      </w:pPr>
      <w:r w:rsidRPr="001911A7">
        <w:t xml:space="preserve">Footnote </w:t>
      </w:r>
      <w:r>
        <w:t xml:space="preserve">3: </w:t>
      </w:r>
      <w:r w:rsidRPr="001911A7">
        <w:t xml:space="preserve">Citing Don Rassler, </w:t>
      </w:r>
      <w:r w:rsidRPr="001911A7">
        <w:rPr>
          <w:rStyle w:val="Emphasis"/>
        </w:rPr>
        <w:t>The Islamic State and Drones: Supply, Scale, and Future Threats</w:t>
      </w:r>
      <w:r w:rsidRPr="001911A7">
        <w:t xml:space="preserve">, COMBATING TERRORISM CTR. AT WEST POINT, at iv (July 2018), https://ctc.usma.edu/wp-content/uploads/2018/07/Islamic-State-and-Drones-Release-Version.pdf. </w:t>
      </w:r>
    </w:p>
    <w:p w14:paraId="3927B0B5" w14:textId="77777777" w:rsidR="006D2C51" w:rsidRPr="001911A7" w:rsidRDefault="006D2C51" w:rsidP="006D2C51">
      <w:pPr>
        <w:pStyle w:val="NormalWeb"/>
        <w:ind w:left="720"/>
      </w:pPr>
      <w:r w:rsidRPr="001911A7">
        <w:t xml:space="preserve">Footnote </w:t>
      </w:r>
      <w:r>
        <w:t>4:</w:t>
      </w:r>
      <w:r w:rsidRPr="001911A7">
        <w:rPr>
          <w:vertAlign w:val="superscript"/>
        </w:rPr>
        <w:t xml:space="preserve"> </w:t>
      </w:r>
      <w:r w:rsidRPr="001911A7">
        <w:t xml:space="preserve">Citing </w:t>
      </w:r>
      <w:r w:rsidRPr="001911A7">
        <w:rPr>
          <w:rStyle w:val="Emphasis"/>
        </w:rPr>
        <w:t>Venezuela President Maduro Survives 'Drone Assassination Attempt'</w:t>
      </w:r>
      <w:r w:rsidRPr="001911A7">
        <w:t xml:space="preserve">, BBC (Aug. 5, 2018), https://www.bbc.com/news/world-latin-america-45073385. </w:t>
      </w:r>
    </w:p>
    <w:p w14:paraId="42B2F01D" w14:textId="77777777" w:rsidR="006D2C51" w:rsidRPr="00C73817" w:rsidRDefault="006D2C51" w:rsidP="006D2C51">
      <w:pPr>
        <w:spacing w:before="100" w:beforeAutospacing="1" w:after="100" w:afterAutospacing="1" w:line="240" w:lineRule="auto"/>
        <w:ind w:left="720"/>
        <w:rPr>
          <w:rFonts w:ascii="Times New Roman" w:eastAsia="Times New Roman" w:hAnsi="Times New Roman"/>
          <w:sz w:val="24"/>
          <w:szCs w:val="24"/>
        </w:rPr>
      </w:pPr>
      <w:r w:rsidRPr="001911A7">
        <w:t xml:space="preserve">Footnote </w:t>
      </w:r>
      <w:r>
        <w:t xml:space="preserve">5: </w:t>
      </w:r>
      <w:r w:rsidRPr="001911A7">
        <w:t xml:space="preserve">Citing Patrick Williams, </w:t>
      </w:r>
      <w:r w:rsidRPr="001911A7">
        <w:rPr>
          <w:rStyle w:val="Emphasis"/>
          <w:rFonts w:ascii="Times New Roman" w:hAnsi="Times New Roman"/>
        </w:rPr>
        <w:t>Terror Drone Plot FOILED: Brit Spies Stop Plan to Bring Down AIRLINER</w:t>
      </w:r>
      <w:r w:rsidRPr="001911A7">
        <w:t xml:space="preserve">, DAILY STAR (Aug. 19, 2018), https://www.dailystar.co.uk/news/latest-news/terror-drone-plot-britain-uk-16886096. </w:t>
      </w:r>
      <w:hyperlink r:id="rId722" w:history="1">
        <w:r w:rsidRPr="00272AA8">
          <w:rPr>
            <w:rStyle w:val="Hyperlink"/>
            <w:rFonts w:ascii="Times New Roman" w:eastAsia="Times New Roman" w:hAnsi="Times New Roman"/>
            <w:sz w:val="24"/>
            <w:szCs w:val="24"/>
          </w:rPr>
          <w:t>https://www.cadc.uscourts.gov/internet/opinions.nsf/55807FB471B60BB08525888E0051AEA6/$file/21-1087-1956978.pdf</w:t>
        </w:r>
      </w:hyperlink>
      <w:r w:rsidRPr="00C73817">
        <w:rPr>
          <w:rFonts w:ascii="Times New Roman" w:eastAsia="Times New Roman" w:hAnsi="Times New Roman"/>
          <w:sz w:val="24"/>
          <w:szCs w:val="24"/>
        </w:rPr>
        <w:t xml:space="preserve"> </w:t>
      </w:r>
    </w:p>
    <w:p w14:paraId="65B252A3" w14:textId="77777777" w:rsidR="006D2C51" w:rsidRPr="001911A7" w:rsidRDefault="006D2C51" w:rsidP="006D2C51">
      <w:pPr>
        <w:pStyle w:val="NormalWeb"/>
        <w:ind w:left="720"/>
      </w:pPr>
    </w:p>
    <w:p w14:paraId="46E5ABDE" w14:textId="77777777" w:rsidR="006D2C51" w:rsidRDefault="006D2C51" w:rsidP="00F326E5">
      <w:pPr>
        <w:pStyle w:val="NoSpacing"/>
        <w:rPr>
          <w:rFonts w:ascii="Arial Black" w:hAnsi="Arial Black"/>
          <w:sz w:val="28"/>
          <w:szCs w:val="28"/>
        </w:rPr>
      </w:pPr>
    </w:p>
    <w:p w14:paraId="5BC6F366" w14:textId="77777777" w:rsidR="006D2C51" w:rsidRDefault="006D2C51" w:rsidP="00F326E5">
      <w:pPr>
        <w:pStyle w:val="NoSpacing"/>
        <w:rPr>
          <w:rFonts w:ascii="Arial Black" w:hAnsi="Arial Black"/>
          <w:sz w:val="28"/>
          <w:szCs w:val="28"/>
        </w:rPr>
      </w:pPr>
    </w:p>
    <w:p w14:paraId="73CB57DE" w14:textId="3DC22309" w:rsidR="00AE6CF5" w:rsidRDefault="009A0402" w:rsidP="00F326E5">
      <w:pPr>
        <w:pStyle w:val="NoSpacing"/>
        <w:rPr>
          <w:rFonts w:ascii="Arial Black" w:hAnsi="Arial Black"/>
          <w:sz w:val="28"/>
          <w:szCs w:val="28"/>
        </w:rPr>
      </w:pPr>
      <w:r>
        <w:rPr>
          <w:rFonts w:ascii="Arial Black" w:hAnsi="Arial Black"/>
          <w:sz w:val="28"/>
          <w:szCs w:val="28"/>
        </w:rPr>
        <w:t>3-4</w:t>
      </w:r>
      <w:r w:rsidR="007F3F5A">
        <w:rPr>
          <w:rFonts w:ascii="Arial Black" w:hAnsi="Arial Black"/>
          <w:sz w:val="28"/>
          <w:szCs w:val="28"/>
        </w:rPr>
        <w:t>4</w:t>
      </w:r>
    </w:p>
    <w:p w14:paraId="28100947" w14:textId="77777777" w:rsidR="009A0402" w:rsidRDefault="009A0402" w:rsidP="009A0402">
      <w:pPr>
        <w:spacing w:before="100" w:beforeAutospacing="1" w:after="100" w:afterAutospacing="1" w:line="240" w:lineRule="auto"/>
        <w:rPr>
          <w:rStyle w:val="markedcontent"/>
          <w:rFonts w:ascii="Arial Black" w:hAnsi="Arial Black"/>
          <w:sz w:val="28"/>
          <w:szCs w:val="28"/>
        </w:rPr>
      </w:pPr>
      <w:r>
        <w:rPr>
          <w:rStyle w:val="markedcontent"/>
          <w:rFonts w:ascii="Arial Black" w:hAnsi="Arial Black"/>
          <w:sz w:val="28"/>
          <w:szCs w:val="28"/>
        </w:rPr>
        <w:t>U.S. SUPREME COURT: IMMIGRATION - PRES. BIDEN CAN CANCEL PRES. TRUMP “REMAIN IN MEXICO” PROTOCOLS</w:t>
      </w:r>
    </w:p>
    <w:p w14:paraId="0A40B633" w14:textId="77777777" w:rsidR="009A0402" w:rsidRDefault="009A0402" w:rsidP="009A0402">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June 30, 2022, in </w:t>
      </w:r>
      <w:r>
        <w:rPr>
          <w:rStyle w:val="markedcontent"/>
          <w:rFonts w:ascii="Times New Roman" w:hAnsi="Times New Roman"/>
          <w:sz w:val="24"/>
          <w:szCs w:val="24"/>
          <w:u w:val="single"/>
        </w:rPr>
        <w:t>Biden et al. v. Texas, et al</w:t>
      </w:r>
      <w:r>
        <w:rPr>
          <w:rStyle w:val="markedcontent"/>
          <w:rFonts w:ascii="Times New Roman" w:hAnsi="Times New Roman"/>
          <w:sz w:val="24"/>
          <w:szCs w:val="24"/>
        </w:rPr>
        <w:t>., the U.S. Supreme Court held (5 to 4) that President Biden has the “discretionary” authority from Congress to end President’s Trump’s Migrant Protection Protocols (MPP). where because of the “immigration crisis” at the border some non-Mexican immigrants were immediately returned to Mexico to await later processing.  The State of Texas and Missouri filed lawsuit in Federal Court in Dallas and won a nationwide injunction against shutting down the MPP protocols. since the DHS did not issue adequate explanation for their cancellation of MPP as required by the Administrative Procedures Act.  For example, in</w:t>
      </w:r>
      <w:r>
        <w:rPr>
          <w:rFonts w:ascii="Times New Roman" w:hAnsi="Times New Roman"/>
          <w:sz w:val="24"/>
          <w:szCs w:val="24"/>
        </w:rPr>
        <w:t xml:space="preserve"> </w:t>
      </w:r>
      <w:proofErr w:type="gramStart"/>
      <w:r>
        <w:rPr>
          <w:rFonts w:ascii="Times New Roman" w:hAnsi="Times New Roman"/>
          <w:sz w:val="24"/>
          <w:szCs w:val="24"/>
        </w:rPr>
        <w:t>May,</w:t>
      </w:r>
      <w:proofErr w:type="gramEnd"/>
      <w:r>
        <w:rPr>
          <w:rFonts w:ascii="Times New Roman" w:hAnsi="Times New Roman"/>
          <w:sz w:val="24"/>
          <w:szCs w:val="24"/>
        </w:rPr>
        <w:t xml:space="preserve"> 2022, 1,460 migrants were returned to Mexico through MPP, according to DHS figures. [Note: During that same month, more than 100,000 migrants were expelled using Title 42; emergency action to stop communicable diseases, such as Covid.] </w:t>
      </w:r>
      <w:r>
        <w:rPr>
          <w:rStyle w:val="markedcontent"/>
          <w:rFonts w:ascii="Times New Roman" w:hAnsi="Times New Roman"/>
          <w:sz w:val="24"/>
          <w:szCs w:val="24"/>
        </w:rPr>
        <w:t>To comply with APA, on June 1, 2021, DHS Secretary Mayorkas issued a memorandum officially terminating MPP, but the Dallas Federal judge and the Court of Appeals for 5</w:t>
      </w:r>
      <w:r>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found it also was inadequate explanation. On October 29, the Secretary of DHS released a four-page memorandum that again announced the termination of MPP, along with a 39-page addendum explaining his reasons for doing so (the October 29 Memoranda).  The Court of Appeals denied government’s appeal, and the U.S. Supreme Court heard the case on an expedited basis.  </w:t>
      </w:r>
      <w:hyperlink r:id="rId723" w:history="1">
        <w:r>
          <w:rPr>
            <w:rStyle w:val="Hyperlink"/>
            <w:sz w:val="24"/>
            <w:szCs w:val="24"/>
          </w:rPr>
          <w:t>https://www.supremecourt.gov/opinions/21pdf/21-954_7l48.pdf</w:t>
        </w:r>
      </w:hyperlink>
      <w:r>
        <w:rPr>
          <w:rStyle w:val="markedcontent"/>
          <w:rFonts w:ascii="Times New Roman" w:hAnsi="Times New Roman"/>
          <w:sz w:val="24"/>
          <w:szCs w:val="24"/>
        </w:rPr>
        <w:t xml:space="preserve"> </w:t>
      </w:r>
    </w:p>
    <w:p w14:paraId="67940738" w14:textId="77777777" w:rsidR="009A0402" w:rsidRDefault="009A0402" w:rsidP="009A0402">
      <w:pPr>
        <w:spacing w:before="100" w:beforeAutospacing="1" w:after="100" w:afterAutospacing="1" w:line="240" w:lineRule="auto"/>
        <w:rPr>
          <w:rStyle w:val="markedcontent"/>
          <w:rFonts w:ascii="Times New Roman" w:hAnsi="Times New Roman"/>
          <w:b/>
          <w:bCs/>
          <w:sz w:val="24"/>
          <w:szCs w:val="24"/>
        </w:rPr>
      </w:pPr>
      <w:r>
        <w:rPr>
          <w:rStyle w:val="markedcontent"/>
          <w:rFonts w:ascii="Times New Roman" w:hAnsi="Times New Roman"/>
          <w:b/>
          <w:bCs/>
          <w:sz w:val="24"/>
          <w:szCs w:val="24"/>
        </w:rPr>
        <w:t xml:space="preserve">Legal Lesson Learned: Immigration and release of immigrants into our nation prior to review by an Immigration administrative law judge is a “hot topic” for the U.S. Supreme Court and our Nation. </w:t>
      </w:r>
    </w:p>
    <w:p w14:paraId="34E5CA88" w14:textId="77777777" w:rsidR="009A0402" w:rsidRPr="009A0402" w:rsidRDefault="009A0402" w:rsidP="009A0402">
      <w:pPr>
        <w:pStyle w:val="Heading2"/>
        <w:ind w:left="720"/>
        <w:rPr>
          <w:rFonts w:ascii="Times New Roman" w:hAnsi="Times New Roman"/>
          <w:b w:val="0"/>
          <w:bCs w:val="0"/>
          <w:i w:val="0"/>
          <w:iCs w:val="0"/>
          <w:sz w:val="24"/>
          <w:szCs w:val="24"/>
        </w:rPr>
      </w:pPr>
      <w:r w:rsidRPr="009A0402">
        <w:rPr>
          <w:rStyle w:val="markedcontent"/>
          <w:rFonts w:ascii="Times New Roman" w:hAnsi="Times New Roman"/>
          <w:b w:val="0"/>
          <w:bCs w:val="0"/>
          <w:i w:val="0"/>
          <w:iCs w:val="0"/>
          <w:sz w:val="24"/>
          <w:szCs w:val="24"/>
        </w:rPr>
        <w:t>Note: See article, “</w:t>
      </w:r>
      <w:r w:rsidRPr="009A0402">
        <w:rPr>
          <w:rFonts w:ascii="Times New Roman" w:hAnsi="Times New Roman"/>
          <w:b w:val="0"/>
          <w:bCs w:val="0"/>
          <w:i w:val="0"/>
          <w:iCs w:val="0"/>
          <w:sz w:val="24"/>
          <w:szCs w:val="24"/>
        </w:rPr>
        <w:t xml:space="preserve">Biden handed big immigration win by Supreme </w:t>
      </w:r>
      <w:proofErr w:type="gramStart"/>
      <w:r w:rsidRPr="009A0402">
        <w:rPr>
          <w:rFonts w:ascii="Times New Roman" w:hAnsi="Times New Roman"/>
          <w:b w:val="0"/>
          <w:bCs w:val="0"/>
          <w:i w:val="0"/>
          <w:iCs w:val="0"/>
          <w:sz w:val="24"/>
          <w:szCs w:val="24"/>
        </w:rPr>
        <w:t>Court</w:t>
      </w:r>
      <w:proofErr w:type="gramEnd"/>
      <w:r w:rsidRPr="009A0402">
        <w:rPr>
          <w:rFonts w:ascii="Times New Roman" w:hAnsi="Times New Roman"/>
          <w:b w:val="0"/>
          <w:bCs w:val="0"/>
          <w:i w:val="0"/>
          <w:iCs w:val="0"/>
          <w:sz w:val="24"/>
          <w:szCs w:val="24"/>
        </w:rPr>
        <w:t xml:space="preserve"> but challenges remain” (June 30, 2022); </w:t>
      </w:r>
      <w:hyperlink r:id="rId724" w:history="1">
        <w:r w:rsidRPr="009A0402">
          <w:rPr>
            <w:rStyle w:val="Hyperlink"/>
            <w:rFonts w:ascii="Times New Roman" w:hAnsi="Times New Roman"/>
            <w:b w:val="0"/>
            <w:bCs w:val="0"/>
            <w:i w:val="0"/>
            <w:iCs w:val="0"/>
            <w:sz w:val="24"/>
            <w:szCs w:val="24"/>
          </w:rPr>
          <w:t>https://www.politico.com/news/2022/06/30/white-house-immigration-supreme-court-win-00043667</w:t>
        </w:r>
      </w:hyperlink>
      <w:r w:rsidRPr="009A0402">
        <w:rPr>
          <w:rFonts w:ascii="Times New Roman" w:hAnsi="Times New Roman"/>
          <w:b w:val="0"/>
          <w:bCs w:val="0"/>
          <w:i w:val="0"/>
          <w:iCs w:val="0"/>
          <w:sz w:val="24"/>
          <w:szCs w:val="24"/>
        </w:rPr>
        <w:t xml:space="preserve"> . </w:t>
      </w:r>
    </w:p>
    <w:p w14:paraId="6E979F6A" w14:textId="77777777" w:rsidR="009A0402" w:rsidRPr="009A0402" w:rsidRDefault="009A0402" w:rsidP="009A0402">
      <w:pPr>
        <w:pStyle w:val="Heading2"/>
        <w:ind w:left="720"/>
        <w:rPr>
          <w:rFonts w:ascii="Times New Roman" w:hAnsi="Times New Roman"/>
          <w:b w:val="0"/>
          <w:bCs w:val="0"/>
          <w:i w:val="0"/>
          <w:iCs w:val="0"/>
          <w:sz w:val="24"/>
          <w:szCs w:val="24"/>
        </w:rPr>
      </w:pPr>
      <w:r w:rsidRPr="009A0402">
        <w:rPr>
          <w:rFonts w:ascii="Times New Roman" w:hAnsi="Times New Roman"/>
          <w:b w:val="0"/>
          <w:bCs w:val="0"/>
          <w:i w:val="0"/>
          <w:iCs w:val="0"/>
          <w:sz w:val="24"/>
          <w:szCs w:val="24"/>
        </w:rPr>
        <w:t>See also: “The Trump Administration used Title 42 to designate hundreds of thousands of migrants for “expulsion,” arguing that allowing these migrants to enter the U.S. may increase the spread of COVID-19.” </w:t>
      </w:r>
      <w:hyperlink r:id="rId725" w:history="1">
        <w:r w:rsidRPr="009A0402">
          <w:rPr>
            <w:rStyle w:val="Hyperlink"/>
            <w:rFonts w:ascii="Times New Roman" w:hAnsi="Times New Roman"/>
            <w:b w:val="0"/>
            <w:bCs w:val="0"/>
            <w:i w:val="0"/>
            <w:iCs w:val="0"/>
            <w:sz w:val="24"/>
            <w:szCs w:val="24"/>
          </w:rPr>
          <w:t>https://puenteaz.org/title42/</w:t>
        </w:r>
      </w:hyperlink>
      <w:r w:rsidRPr="009A0402">
        <w:rPr>
          <w:rFonts w:ascii="Times New Roman" w:hAnsi="Times New Roman"/>
          <w:b w:val="0"/>
          <w:bCs w:val="0"/>
          <w:i w:val="0"/>
          <w:iCs w:val="0"/>
          <w:sz w:val="24"/>
          <w:szCs w:val="24"/>
        </w:rPr>
        <w:t xml:space="preserve"> </w:t>
      </w:r>
    </w:p>
    <w:p w14:paraId="611970FA" w14:textId="77777777" w:rsidR="009A0402" w:rsidRDefault="009A0402" w:rsidP="00F326E5">
      <w:pPr>
        <w:pStyle w:val="NoSpacing"/>
        <w:rPr>
          <w:rFonts w:ascii="Arial Black" w:hAnsi="Arial Black"/>
          <w:sz w:val="28"/>
          <w:szCs w:val="28"/>
        </w:rPr>
      </w:pPr>
    </w:p>
    <w:p w14:paraId="426174DB" w14:textId="258A2217" w:rsidR="009A0402" w:rsidRDefault="007F3F5A" w:rsidP="00F326E5">
      <w:pPr>
        <w:pStyle w:val="NoSpacing"/>
        <w:rPr>
          <w:rFonts w:ascii="Arial Black" w:hAnsi="Arial Black"/>
          <w:sz w:val="28"/>
          <w:szCs w:val="28"/>
        </w:rPr>
      </w:pPr>
      <w:r>
        <w:rPr>
          <w:rFonts w:ascii="Arial Black" w:hAnsi="Arial Black"/>
          <w:sz w:val="28"/>
          <w:szCs w:val="28"/>
        </w:rPr>
        <w:t>3-43</w:t>
      </w:r>
    </w:p>
    <w:p w14:paraId="3F4AA11A" w14:textId="2D1326A2" w:rsidR="007F3F5A" w:rsidRDefault="007F3F5A" w:rsidP="00F326E5">
      <w:pPr>
        <w:pStyle w:val="NoSpacing"/>
        <w:rPr>
          <w:rFonts w:ascii="Arial Black" w:hAnsi="Arial Black"/>
          <w:sz w:val="28"/>
          <w:szCs w:val="28"/>
        </w:rPr>
      </w:pPr>
    </w:p>
    <w:p w14:paraId="576A3CCA" w14:textId="77777777" w:rsidR="007F3F5A" w:rsidRDefault="007F3F5A" w:rsidP="007F3F5A">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DC: JAN. 6, </w:t>
      </w:r>
      <w:proofErr w:type="gramStart"/>
      <w:r>
        <w:rPr>
          <w:rFonts w:ascii="Arial Black" w:eastAsia="Times New Roman" w:hAnsi="Arial Black"/>
          <w:sz w:val="28"/>
          <w:szCs w:val="28"/>
        </w:rPr>
        <w:t>2021</w:t>
      </w:r>
      <w:proofErr w:type="gramEnd"/>
      <w:r>
        <w:rPr>
          <w:rFonts w:ascii="Arial Black" w:eastAsia="Times New Roman" w:hAnsi="Arial Black"/>
          <w:sz w:val="28"/>
          <w:szCs w:val="28"/>
        </w:rPr>
        <w:t xml:space="preserve"> ATTACK ON CAPITOL – DEF. STAND TRIAL “OBSTRUCT, IMPEDED, INTERFERE” WITH POLICE</w:t>
      </w:r>
    </w:p>
    <w:p w14:paraId="21AAE66E" w14:textId="77777777" w:rsidR="007F3F5A" w:rsidRDefault="007F3F5A" w:rsidP="007F3F5A">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June 22, 2022, in </w:t>
      </w:r>
      <w:r>
        <w:rPr>
          <w:rFonts w:ascii="Times New Roman" w:eastAsia="Times New Roman" w:hAnsi="Times New Roman"/>
          <w:sz w:val="24"/>
          <w:szCs w:val="24"/>
          <w:u w:val="single"/>
        </w:rPr>
        <w:t>United States of America v. Riley June Williams</w:t>
      </w:r>
      <w:r>
        <w:rPr>
          <w:rFonts w:ascii="Times New Roman" w:eastAsia="Times New Roman" w:hAnsi="Times New Roman"/>
          <w:sz w:val="24"/>
          <w:szCs w:val="24"/>
        </w:rPr>
        <w:t>, U.S. District Court Judge Amy Berman Jackson, U.S. District Court, District of Columbia, denied the defendant’s motion her eight-count indictment, including charge of obstructing law enforcement officers. “</w:t>
      </w:r>
      <w:r>
        <w:rPr>
          <w:rFonts w:ascii="Times New Roman" w:hAnsi="Times New Roman"/>
          <w:sz w:val="24"/>
          <w:szCs w:val="24"/>
        </w:rPr>
        <w:t xml:space="preserve">This case is one of many arising out of the events at the United States Capitol on January 6, 2021, and all of the legal challenges Williams raises in her motions have been considered and rejected by other courts in this district.”  </w:t>
      </w:r>
      <w:hyperlink r:id="rId726" w:history="1">
        <w:r>
          <w:rPr>
            <w:rStyle w:val="Hyperlink"/>
            <w:sz w:val="24"/>
            <w:szCs w:val="24"/>
          </w:rPr>
          <w:t>https://casetext.com/case/united-states-v-williams-3941</w:t>
        </w:r>
      </w:hyperlink>
      <w:r>
        <w:rPr>
          <w:rFonts w:ascii="Times New Roman" w:hAnsi="Times New Roman"/>
          <w:sz w:val="24"/>
          <w:szCs w:val="24"/>
        </w:rPr>
        <w:t xml:space="preserve"> </w:t>
      </w:r>
    </w:p>
    <w:p w14:paraId="2693A588" w14:textId="77777777" w:rsidR="007F3F5A" w:rsidRDefault="007F3F5A" w:rsidP="007F3F5A">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defendant will now either go to trial or take a plea agreement. </w:t>
      </w:r>
    </w:p>
    <w:p w14:paraId="0942207C" w14:textId="77777777" w:rsidR="007F3F5A" w:rsidRDefault="007F3F5A" w:rsidP="007F3F5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Note: Defendant has been in news recently (Jan. 18, 2022): “</w:t>
      </w:r>
      <w:r>
        <w:rPr>
          <w:rFonts w:ascii="Times New Roman" w:hAnsi="Times New Roman"/>
          <w:sz w:val="24"/>
          <w:szCs w:val="24"/>
        </w:rPr>
        <w:t xml:space="preserve">January 6 defendant denies boyfriend plotted to shoot up synagogue. Lawyers for Riley Williams, who is accused of stealing Pelosi’s laptop, submit filing acknowledging her partner served prison time but deny it was for alleged mass shooting plan.” </w:t>
      </w:r>
      <w:hyperlink r:id="rId727" w:history="1">
        <w:r>
          <w:rPr>
            <w:rStyle w:val="Hyperlink"/>
            <w:sz w:val="24"/>
            <w:szCs w:val="24"/>
          </w:rPr>
          <w:t>https://www.timesofisrael.com/january-6-defendant-denies-boyfriend-plotted-to-shoot-up-synagogue/</w:t>
        </w:r>
      </w:hyperlink>
      <w:r>
        <w:rPr>
          <w:rFonts w:ascii="Times New Roman" w:eastAsia="Times New Roman" w:hAnsi="Times New Roman"/>
          <w:sz w:val="24"/>
          <w:szCs w:val="24"/>
        </w:rPr>
        <w:t xml:space="preserve"> </w:t>
      </w:r>
    </w:p>
    <w:p w14:paraId="52BDD391" w14:textId="77777777" w:rsidR="007F3F5A" w:rsidRDefault="007F3F5A" w:rsidP="00F326E5">
      <w:pPr>
        <w:pStyle w:val="NoSpacing"/>
        <w:rPr>
          <w:rFonts w:ascii="Arial Black" w:hAnsi="Arial Black"/>
          <w:sz w:val="28"/>
          <w:szCs w:val="28"/>
        </w:rPr>
      </w:pPr>
    </w:p>
    <w:p w14:paraId="61D26FFB" w14:textId="77777777" w:rsidR="009A0402" w:rsidRDefault="009A0402" w:rsidP="00F326E5">
      <w:pPr>
        <w:pStyle w:val="NoSpacing"/>
        <w:rPr>
          <w:rFonts w:ascii="Arial Black" w:hAnsi="Arial Black"/>
          <w:sz w:val="28"/>
          <w:szCs w:val="28"/>
        </w:rPr>
      </w:pPr>
    </w:p>
    <w:p w14:paraId="31314228" w14:textId="2FCCE0A2" w:rsidR="00AE6CF5" w:rsidRDefault="00AE6CF5" w:rsidP="00F326E5">
      <w:pPr>
        <w:pStyle w:val="NoSpacing"/>
        <w:rPr>
          <w:rFonts w:ascii="Arial Black" w:hAnsi="Arial Black"/>
          <w:sz w:val="28"/>
          <w:szCs w:val="28"/>
        </w:rPr>
      </w:pPr>
      <w:r>
        <w:rPr>
          <w:rFonts w:ascii="Arial Black" w:hAnsi="Arial Black"/>
          <w:sz w:val="28"/>
          <w:szCs w:val="28"/>
        </w:rPr>
        <w:t>3-42</w:t>
      </w:r>
    </w:p>
    <w:p w14:paraId="7660F2CA" w14:textId="66809F33" w:rsidR="00AE6CF5" w:rsidRDefault="00AE6CF5" w:rsidP="00AE6CF5">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LA: CIVIL UNREST – OFFICER HIT HEAD WITH CONCRETE -</w:t>
      </w:r>
      <w:r w:rsidR="005F75CC">
        <w:rPr>
          <w:rFonts w:ascii="Arial Black" w:eastAsia="Times New Roman" w:hAnsi="Arial Black"/>
          <w:b/>
          <w:bCs/>
          <w:sz w:val="28"/>
          <w:szCs w:val="28"/>
        </w:rPr>
        <w:t xml:space="preserve"> </w:t>
      </w:r>
      <w:r>
        <w:rPr>
          <w:rFonts w:ascii="Arial Black" w:eastAsia="Times New Roman" w:hAnsi="Arial Black"/>
          <w:b/>
          <w:bCs/>
          <w:sz w:val="28"/>
          <w:szCs w:val="28"/>
        </w:rPr>
        <w:t>CAN SUE “BLM” PROTEST ORGANIZER UNDER STATE LAW</w:t>
      </w:r>
    </w:p>
    <w:p w14:paraId="004F277F" w14:textId="77777777" w:rsidR="00AE6CF5" w:rsidRDefault="00AE6CF5" w:rsidP="00AE6CF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25, 2022, in </w:t>
      </w:r>
      <w:r w:rsidRPr="006D72A3">
        <w:rPr>
          <w:rFonts w:ascii="Times New Roman" w:eastAsia="Times New Roman" w:hAnsi="Times New Roman"/>
          <w:sz w:val="24"/>
          <w:szCs w:val="24"/>
          <w:u w:val="single"/>
        </w:rPr>
        <w:t>Officer John Doe v. De</w:t>
      </w:r>
      <w:r>
        <w:rPr>
          <w:rFonts w:ascii="Times New Roman" w:eastAsia="Times New Roman" w:hAnsi="Times New Roman"/>
          <w:sz w:val="24"/>
          <w:szCs w:val="24"/>
          <w:u w:val="single"/>
        </w:rPr>
        <w:t>R</w:t>
      </w:r>
      <w:r w:rsidRPr="006D72A3">
        <w:rPr>
          <w:rFonts w:ascii="Times New Roman" w:eastAsia="Times New Roman" w:hAnsi="Times New Roman"/>
          <w:sz w:val="24"/>
          <w:szCs w:val="24"/>
          <w:u w:val="single"/>
        </w:rPr>
        <w:t>ay Mc</w:t>
      </w:r>
      <w:r>
        <w:rPr>
          <w:rFonts w:ascii="Times New Roman" w:eastAsia="Times New Roman" w:hAnsi="Times New Roman"/>
          <w:sz w:val="24"/>
          <w:szCs w:val="24"/>
          <w:u w:val="single"/>
        </w:rPr>
        <w:t>k</w:t>
      </w:r>
      <w:r w:rsidRPr="006D72A3">
        <w:rPr>
          <w:rFonts w:ascii="Times New Roman" w:eastAsia="Times New Roman" w:hAnsi="Times New Roman"/>
          <w:sz w:val="24"/>
          <w:szCs w:val="24"/>
          <w:u w:val="single"/>
        </w:rPr>
        <w:t>esson, et al.</w:t>
      </w:r>
      <w:r>
        <w:rPr>
          <w:rFonts w:ascii="Times New Roman" w:eastAsia="Times New Roman" w:hAnsi="Times New Roman"/>
          <w:sz w:val="24"/>
          <w:szCs w:val="24"/>
        </w:rPr>
        <w:t>, the Louisiana Supreme Court issued an opinion (6 to 1) answering two “Certified Questions” from the U.S. Court of Appeals for the 5</w:t>
      </w:r>
      <w:r w:rsidRPr="006D72A3">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[New Orleans]. First, under state law a City of Baton Rouge police officer who was struck in the head in </w:t>
      </w:r>
      <w:proofErr w:type="gramStart"/>
      <w:r>
        <w:rPr>
          <w:rFonts w:ascii="Times New Roman" w:eastAsia="Times New Roman" w:hAnsi="Times New Roman"/>
          <w:sz w:val="24"/>
          <w:szCs w:val="24"/>
        </w:rPr>
        <w:t>July,</w:t>
      </w:r>
      <w:proofErr w:type="gramEnd"/>
      <w:r>
        <w:rPr>
          <w:rFonts w:ascii="Times New Roman" w:eastAsia="Times New Roman" w:hAnsi="Times New Roman"/>
          <w:sz w:val="24"/>
          <w:szCs w:val="24"/>
        </w:rPr>
        <w:t xml:space="preserve"> 2016 by a piece of concrete, lost teeth and suffered brain trauma, may sue DeRay Mckesson, co-founder of Black Lives Matter [BLM] who organized the protest, even though the concrete thrower was never identified. Second, the “Professional Rescuer’s Doctrine” [also known as the “Fireman’s Rule”] prohibiting emergency responders from suing for injuries on the job, was set aside by LA Legislature in 1996 and subsequent court decisions.  The 5</w:t>
      </w:r>
      <w:r w:rsidRPr="00816DF1">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must now decide if lawsuit in Federal court may be reinstated and pre-trial discovery commenced. </w:t>
      </w:r>
      <w:hyperlink r:id="rId728" w:history="1">
        <w:r w:rsidRPr="00B25BE6">
          <w:rPr>
            <w:rStyle w:val="Hyperlink"/>
            <w:rFonts w:ascii="Times New Roman" w:eastAsia="Times New Roman" w:hAnsi="Times New Roman"/>
            <w:sz w:val="24"/>
            <w:szCs w:val="24"/>
          </w:rPr>
          <w:t>https://www.lasc.org/opinions/2022/21-0929.CQ.OPN.pdf</w:t>
        </w:r>
      </w:hyperlink>
    </w:p>
    <w:p w14:paraId="77AAED34" w14:textId="77777777" w:rsidR="00AE6CF5" w:rsidRDefault="00AE6CF5" w:rsidP="00AE6CF5">
      <w:pPr>
        <w:pStyle w:val="NormalWeb"/>
        <w:ind w:left="720"/>
      </w:pPr>
      <w:r>
        <w:t>“Accordingly, we answer the Fifth Circuit Court of Appeals' second certified question: In view of the current directive of La. C.C. art. 2323 that ‘[</w:t>
      </w:r>
      <w:proofErr w:type="spellStart"/>
      <w:r>
        <w:t>i</w:t>
      </w:r>
      <w:proofErr w:type="spellEnd"/>
      <w:r>
        <w:t xml:space="preserve">]n </w:t>
      </w:r>
      <w:r>
        <w:rPr>
          <w:rStyle w:val="Emphasis"/>
        </w:rPr>
        <w:t>any</w:t>
      </w:r>
      <w:r>
        <w:t xml:space="preserve"> action for damages where a person suffers injury, death, or loss, the degree or percentage of fault of </w:t>
      </w:r>
      <w:r>
        <w:rPr>
          <w:rStyle w:val="Emphasis"/>
        </w:rPr>
        <w:t>all</w:t>
      </w:r>
      <w:r>
        <w:t xml:space="preserve"> persons </w:t>
      </w:r>
      <w:r>
        <w:rPr>
          <w:rStyle w:val="Emphasis"/>
        </w:rPr>
        <w:t>causing or contributing</w:t>
      </w:r>
      <w:r>
        <w:t xml:space="preserve"> to the injury, death, or loss </w:t>
      </w:r>
      <w:r>
        <w:rPr>
          <w:rStyle w:val="Emphasis"/>
        </w:rPr>
        <w:t>shall</w:t>
      </w:r>
      <w:r>
        <w:t xml:space="preserve"> be determined…’ (emphasis added) and this court's holding in </w:t>
      </w:r>
      <w:r>
        <w:rPr>
          <w:rStyle w:val="Emphasis"/>
        </w:rPr>
        <w:t>Murray v. Ramada Inns, Inc.</w:t>
      </w:r>
      <w:r>
        <w:t xml:space="preserve">, 521 So.2d 1123, 1132 (La. 1988), abrogating assumption of risk, we conclude that the Professional Rescuer's Doctrine has likewise been abrogated in Louisiana both legislatively and jurisprudentially.’” </w:t>
      </w:r>
      <w:hyperlink r:id="rId729" w:history="1">
        <w:r w:rsidRPr="00B25BE6">
          <w:rPr>
            <w:rStyle w:val="Hyperlink"/>
            <w:rFonts w:eastAsiaTheme="majorEastAsia"/>
          </w:rPr>
          <w:t>https://www.lasc.org/opinions/2022/21-0929.CQ.OPN.pdf</w:t>
        </w:r>
      </w:hyperlink>
      <w:r>
        <w:t xml:space="preserve"> </w:t>
      </w:r>
    </w:p>
    <w:p w14:paraId="64F4A14F" w14:textId="33F74D3C" w:rsidR="00AE6CF5" w:rsidRDefault="00AE6CF5" w:rsidP="00AE6CF5">
      <w:pPr>
        <w:spacing w:before="100" w:beforeAutospacing="1" w:after="100" w:afterAutospacing="1" w:line="240" w:lineRule="auto"/>
        <w:rPr>
          <w:rFonts w:ascii="Times New Roman" w:hAnsi="Times New Roman"/>
          <w:b/>
          <w:bCs/>
          <w:sz w:val="24"/>
          <w:szCs w:val="24"/>
        </w:rPr>
      </w:pPr>
      <w:r w:rsidRPr="00B4453F">
        <w:rPr>
          <w:rFonts w:ascii="Times New Roman" w:hAnsi="Times New Roman"/>
          <w:b/>
          <w:bCs/>
          <w:sz w:val="24"/>
          <w:szCs w:val="24"/>
        </w:rPr>
        <w:t>Legal Lesson Learned:</w:t>
      </w:r>
      <w:r>
        <w:rPr>
          <w:rFonts w:ascii="Times New Roman" w:hAnsi="Times New Roman"/>
          <w:b/>
          <w:bCs/>
          <w:sz w:val="24"/>
          <w:szCs w:val="24"/>
        </w:rPr>
        <w:t xml:space="preserve"> 5</w:t>
      </w:r>
      <w:r w:rsidRPr="00B4453F">
        <w:rPr>
          <w:rFonts w:ascii="Times New Roman" w:hAnsi="Times New Roman"/>
          <w:b/>
          <w:bCs/>
          <w:sz w:val="24"/>
          <w:szCs w:val="24"/>
          <w:vertAlign w:val="superscript"/>
        </w:rPr>
        <w:t>th</w:t>
      </w:r>
      <w:r>
        <w:rPr>
          <w:rFonts w:ascii="Times New Roman" w:hAnsi="Times New Roman"/>
          <w:b/>
          <w:bCs/>
          <w:sz w:val="24"/>
          <w:szCs w:val="24"/>
        </w:rPr>
        <w:t xml:space="preserve"> Circuit </w:t>
      </w:r>
      <w:r w:rsidR="00BA2C39">
        <w:rPr>
          <w:rFonts w:ascii="Times New Roman" w:hAnsi="Times New Roman"/>
          <w:b/>
          <w:bCs/>
          <w:sz w:val="24"/>
          <w:szCs w:val="24"/>
        </w:rPr>
        <w:t xml:space="preserve">may </w:t>
      </w:r>
      <w:r>
        <w:rPr>
          <w:rFonts w:ascii="Times New Roman" w:hAnsi="Times New Roman"/>
          <w:b/>
          <w:bCs/>
          <w:sz w:val="24"/>
          <w:szCs w:val="24"/>
        </w:rPr>
        <w:t xml:space="preserve">now remand the case to the U.S. District Court judge and allow pre-trial discovery to be held.  </w:t>
      </w:r>
    </w:p>
    <w:p w14:paraId="17DD4704" w14:textId="77777777" w:rsidR="00AE6CF5" w:rsidRPr="00C665DD" w:rsidRDefault="00AE6CF5" w:rsidP="00AE6CF5">
      <w:pPr>
        <w:spacing w:before="100" w:beforeAutospacing="1" w:after="100" w:afterAutospacing="1" w:line="240" w:lineRule="auto"/>
        <w:ind w:left="720"/>
        <w:rPr>
          <w:rFonts w:ascii="Times New Roman" w:eastAsia="Times New Roman" w:hAnsi="Times New Roman"/>
          <w:sz w:val="24"/>
          <w:szCs w:val="24"/>
        </w:rPr>
      </w:pPr>
      <w:r w:rsidRPr="00C665DD">
        <w:rPr>
          <w:rFonts w:ascii="Times New Roman" w:hAnsi="Times New Roman"/>
          <w:sz w:val="24"/>
          <w:szCs w:val="24"/>
        </w:rPr>
        <w:t xml:space="preserve">Note: </w:t>
      </w:r>
      <w:r>
        <w:rPr>
          <w:rFonts w:ascii="Times New Roman" w:hAnsi="Times New Roman"/>
          <w:sz w:val="24"/>
          <w:szCs w:val="24"/>
        </w:rPr>
        <w:t xml:space="preserve">Lots of judges have now reviewed this case; unclear if it will ever be tried.  </w:t>
      </w:r>
      <w:r w:rsidRPr="00C665DD">
        <w:rPr>
          <w:rFonts w:ascii="Times New Roman" w:eastAsia="Times New Roman" w:hAnsi="Times New Roman"/>
          <w:sz w:val="24"/>
          <w:szCs w:val="24"/>
        </w:rPr>
        <w:t>The lawsuit was originally dismissed by a U.S. District Court judge prior to any discovery based on the First Amendment right to organize protests; the 5</w:t>
      </w:r>
      <w:r w:rsidRPr="00C665DD">
        <w:rPr>
          <w:rFonts w:ascii="Times New Roman" w:eastAsia="Times New Roman" w:hAnsi="Times New Roman"/>
          <w:sz w:val="24"/>
          <w:szCs w:val="24"/>
          <w:vertAlign w:val="superscript"/>
        </w:rPr>
        <w:t>th</w:t>
      </w:r>
      <w:r w:rsidRPr="00C665DD">
        <w:rPr>
          <w:rFonts w:ascii="Times New Roman" w:eastAsia="Times New Roman" w:hAnsi="Times New Roman"/>
          <w:sz w:val="24"/>
          <w:szCs w:val="24"/>
        </w:rPr>
        <w:t xml:space="preserve"> Circuit (2 to 1) reversed, </w:t>
      </w:r>
      <w:r w:rsidRPr="00C665DD">
        <w:rPr>
          <w:rStyle w:val="Emphasis"/>
          <w:rFonts w:ascii="Times New Roman" w:hAnsi="Times New Roman"/>
          <w:sz w:val="24"/>
          <w:szCs w:val="24"/>
        </w:rPr>
        <w:t>Doe v. Mckesson</w:t>
      </w:r>
      <w:r w:rsidRPr="00C665DD">
        <w:rPr>
          <w:rFonts w:ascii="Times New Roman" w:hAnsi="Times New Roman"/>
          <w:sz w:val="24"/>
          <w:szCs w:val="24"/>
        </w:rPr>
        <w:t xml:space="preserve">, 945 F.3d 818 (5th Cir. 2019) </w:t>
      </w:r>
      <w:r>
        <w:rPr>
          <w:rFonts w:ascii="Times New Roman" w:hAnsi="Times New Roman"/>
          <w:sz w:val="24"/>
          <w:szCs w:val="24"/>
        </w:rPr>
        <w:t xml:space="preserve">holding that </w:t>
      </w:r>
      <w:r w:rsidRPr="00C665DD">
        <w:rPr>
          <w:rFonts w:ascii="Times New Roman" w:hAnsi="Times New Roman"/>
          <w:sz w:val="24"/>
          <w:szCs w:val="24"/>
        </w:rPr>
        <w:t>a j</w:t>
      </w:r>
      <w:r w:rsidRPr="00C665DD">
        <w:rPr>
          <w:rStyle w:val="markedcontent"/>
          <w:sz w:val="24"/>
          <w:szCs w:val="24"/>
        </w:rPr>
        <w:t>ury could plausibly find that Mckesson breached his “duty not to negligently precipitate the crime</w:t>
      </w:r>
      <w:r w:rsidRPr="00C665DD">
        <w:rPr>
          <w:rFonts w:ascii="Times New Roman" w:hAnsi="Times New Roman"/>
          <w:sz w:val="24"/>
          <w:szCs w:val="24"/>
        </w:rPr>
        <w:br/>
      </w:r>
      <w:r w:rsidRPr="00C665DD">
        <w:rPr>
          <w:rStyle w:val="markedcontent"/>
          <w:sz w:val="24"/>
          <w:szCs w:val="24"/>
        </w:rPr>
        <w:t>of a third party” because “a violent confrontation with a police officer was a foreseeable effect of negligently directing a protest” onto the highway. 945 F. 3d, at 82. The Fifth Circuit subsequently deadlocked 8 to 8 on</w:t>
      </w:r>
      <w:r>
        <w:rPr>
          <w:rStyle w:val="markedcontent"/>
          <w:sz w:val="24"/>
          <w:szCs w:val="24"/>
        </w:rPr>
        <w:t xml:space="preserve"> </w:t>
      </w:r>
      <w:r w:rsidRPr="00C665DD">
        <w:rPr>
          <w:rStyle w:val="markedcontent"/>
          <w:sz w:val="24"/>
          <w:szCs w:val="24"/>
        </w:rPr>
        <w:t xml:space="preserve">Mckesson’s petition for rehearing </w:t>
      </w:r>
      <w:proofErr w:type="spellStart"/>
      <w:r w:rsidRPr="00C665DD">
        <w:rPr>
          <w:rStyle w:val="markedcontent"/>
          <w:sz w:val="24"/>
          <w:szCs w:val="24"/>
        </w:rPr>
        <w:t>en</w:t>
      </w:r>
      <w:proofErr w:type="spellEnd"/>
      <w:r w:rsidRPr="00C665DD">
        <w:rPr>
          <w:rStyle w:val="markedcontent"/>
          <w:sz w:val="24"/>
          <w:szCs w:val="24"/>
        </w:rPr>
        <w:t xml:space="preserve"> banc [all the active judges on the 5</w:t>
      </w:r>
      <w:r w:rsidRPr="00C665DD">
        <w:rPr>
          <w:rStyle w:val="markedcontent"/>
          <w:sz w:val="24"/>
          <w:szCs w:val="24"/>
          <w:vertAlign w:val="superscript"/>
        </w:rPr>
        <w:t>th</w:t>
      </w:r>
      <w:r w:rsidRPr="00C665DD">
        <w:rPr>
          <w:rStyle w:val="markedcontent"/>
          <w:sz w:val="24"/>
          <w:szCs w:val="24"/>
        </w:rPr>
        <w:t xml:space="preserve"> Circuit]. 947 F. 3d 874, 875 (2020) (per curiam). T</w:t>
      </w:r>
      <w:r w:rsidRPr="00C665DD">
        <w:rPr>
          <w:rFonts w:ascii="Times New Roman" w:eastAsia="Times New Roman" w:hAnsi="Times New Roman"/>
          <w:sz w:val="24"/>
          <w:szCs w:val="24"/>
        </w:rPr>
        <w:t xml:space="preserve">he U.S. Supreme Court </w:t>
      </w:r>
      <w:r>
        <w:rPr>
          <w:rFonts w:ascii="Times New Roman" w:eastAsia="Times New Roman" w:hAnsi="Times New Roman"/>
          <w:sz w:val="24"/>
          <w:szCs w:val="24"/>
        </w:rPr>
        <w:t xml:space="preserve">agreed to review the case, </w:t>
      </w:r>
      <w:r w:rsidRPr="00C665DD">
        <w:rPr>
          <w:rFonts w:ascii="Times New Roman" w:eastAsia="Times New Roman" w:hAnsi="Times New Roman"/>
          <w:sz w:val="24"/>
          <w:szCs w:val="24"/>
        </w:rPr>
        <w:t xml:space="preserve">and in 2020 </w:t>
      </w:r>
      <w:r>
        <w:rPr>
          <w:rFonts w:ascii="Times New Roman" w:eastAsia="Times New Roman" w:hAnsi="Times New Roman"/>
          <w:sz w:val="24"/>
          <w:szCs w:val="24"/>
        </w:rPr>
        <w:t xml:space="preserve">in a Per Curiam order [not a decision issued by a particular Justice) and </w:t>
      </w:r>
      <w:r w:rsidRPr="00C665DD">
        <w:rPr>
          <w:rFonts w:ascii="Times New Roman" w:eastAsia="Times New Roman" w:hAnsi="Times New Roman"/>
          <w:sz w:val="24"/>
          <w:szCs w:val="24"/>
        </w:rPr>
        <w:t xml:space="preserve">vacated </w:t>
      </w:r>
      <w:r>
        <w:rPr>
          <w:rFonts w:ascii="Times New Roman" w:eastAsia="Times New Roman" w:hAnsi="Times New Roman"/>
          <w:sz w:val="24"/>
          <w:szCs w:val="24"/>
        </w:rPr>
        <w:t>5</w:t>
      </w:r>
      <w:r w:rsidRPr="00C665D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(3-judge panel) decision, </w:t>
      </w:r>
      <w:r w:rsidRPr="00C665DD">
        <w:rPr>
          <w:rFonts w:ascii="Times New Roman" w:eastAsia="Times New Roman" w:hAnsi="Times New Roman"/>
          <w:sz w:val="24"/>
          <w:szCs w:val="24"/>
        </w:rPr>
        <w:t>remanded case back to 5</w:t>
      </w:r>
      <w:r w:rsidRPr="00C665DD">
        <w:rPr>
          <w:rFonts w:ascii="Times New Roman" w:eastAsia="Times New Roman" w:hAnsi="Times New Roman"/>
          <w:sz w:val="24"/>
          <w:szCs w:val="24"/>
          <w:vertAlign w:val="superscript"/>
        </w:rPr>
        <w:t>th</w:t>
      </w:r>
      <w:r w:rsidRPr="00C665DD">
        <w:rPr>
          <w:rFonts w:ascii="Times New Roman" w:eastAsia="Times New Roman" w:hAnsi="Times New Roman"/>
          <w:sz w:val="24"/>
          <w:szCs w:val="24"/>
        </w:rPr>
        <w:t xml:space="preserve"> Circuit</w:t>
      </w:r>
      <w:r>
        <w:rPr>
          <w:rFonts w:ascii="Times New Roman" w:eastAsia="Times New Roman" w:hAnsi="Times New Roman"/>
          <w:sz w:val="24"/>
          <w:szCs w:val="24"/>
        </w:rPr>
        <w:t xml:space="preserve">. </w:t>
      </w:r>
      <w:r w:rsidRPr="00C665DD">
        <w:rPr>
          <w:rFonts w:ascii="Times New Roman" w:eastAsia="Times New Roman" w:hAnsi="Times New Roman"/>
          <w:sz w:val="24"/>
          <w:szCs w:val="24"/>
        </w:rPr>
        <w:t xml:space="preserve"> </w:t>
      </w:r>
    </w:p>
    <w:p w14:paraId="1EFA2CD6" w14:textId="77777777" w:rsidR="00AE6CF5" w:rsidRPr="00816DF1" w:rsidRDefault="00AE6CF5" w:rsidP="00AE6CF5">
      <w:pPr>
        <w:spacing w:before="100" w:beforeAutospacing="1" w:after="100" w:afterAutospacing="1" w:line="240" w:lineRule="auto"/>
        <w:ind w:left="1440"/>
        <w:rPr>
          <w:rFonts w:ascii="Times New Roman" w:eastAsia="Times New Roman" w:hAnsi="Times New Roman"/>
          <w:sz w:val="24"/>
          <w:szCs w:val="24"/>
        </w:rPr>
      </w:pPr>
      <w:r>
        <w:rPr>
          <w:rStyle w:val="markedcontent"/>
          <w:sz w:val="24"/>
          <w:szCs w:val="24"/>
        </w:rPr>
        <w:t>“</w:t>
      </w:r>
      <w:r w:rsidRPr="00C665DD">
        <w:rPr>
          <w:rStyle w:val="markedcontent"/>
          <w:sz w:val="24"/>
          <w:szCs w:val="24"/>
        </w:rPr>
        <w:t>We think that the Fifth Circuit’s interpretation of state</w:t>
      </w:r>
      <w:r>
        <w:rPr>
          <w:rStyle w:val="markedcontent"/>
          <w:sz w:val="24"/>
          <w:szCs w:val="24"/>
        </w:rPr>
        <w:t xml:space="preserve"> </w:t>
      </w:r>
      <w:r w:rsidRPr="00C665DD">
        <w:rPr>
          <w:rStyle w:val="markedcontent"/>
          <w:sz w:val="24"/>
          <w:szCs w:val="24"/>
        </w:rPr>
        <w:t xml:space="preserve">law is too uncertain a premise on which to address the </w:t>
      </w:r>
      <w:proofErr w:type="spellStart"/>
      <w:r w:rsidRPr="00C665DD">
        <w:rPr>
          <w:rStyle w:val="markedcontent"/>
          <w:sz w:val="24"/>
          <w:szCs w:val="24"/>
        </w:rPr>
        <w:t>ques</w:t>
      </w:r>
      <w:proofErr w:type="spellEnd"/>
      <w:r>
        <w:rPr>
          <w:rStyle w:val="markedcontent"/>
          <w:sz w:val="24"/>
          <w:szCs w:val="24"/>
        </w:rPr>
        <w:t xml:space="preserve"> </w:t>
      </w:r>
      <w:proofErr w:type="spellStart"/>
      <w:r w:rsidRPr="00C665DD">
        <w:rPr>
          <w:rStyle w:val="markedcontent"/>
          <w:sz w:val="24"/>
          <w:szCs w:val="24"/>
        </w:rPr>
        <w:t>tion</w:t>
      </w:r>
      <w:proofErr w:type="spellEnd"/>
      <w:r w:rsidRPr="00C665DD">
        <w:rPr>
          <w:rStyle w:val="markedcontent"/>
          <w:sz w:val="24"/>
          <w:szCs w:val="24"/>
        </w:rPr>
        <w:t xml:space="preserve"> presented. The constitutional issue, though undeniably important, is implicated only if Louisiana law permits</w:t>
      </w:r>
      <w:r w:rsidRPr="00C665DD">
        <w:rPr>
          <w:rFonts w:ascii="Times New Roman" w:hAnsi="Times New Roman"/>
          <w:sz w:val="24"/>
          <w:szCs w:val="24"/>
        </w:rPr>
        <w:br/>
      </w:r>
      <w:r w:rsidRPr="00C665DD">
        <w:rPr>
          <w:rStyle w:val="markedcontent"/>
          <w:sz w:val="24"/>
          <w:szCs w:val="24"/>
        </w:rPr>
        <w:t>recovery under these circumstances in the first place. The</w:t>
      </w:r>
      <w:r>
        <w:rPr>
          <w:rStyle w:val="markedcontent"/>
          <w:sz w:val="24"/>
          <w:szCs w:val="24"/>
        </w:rPr>
        <w:t xml:space="preserve"> </w:t>
      </w:r>
      <w:r w:rsidRPr="00C665DD">
        <w:rPr>
          <w:rStyle w:val="markedcontent"/>
          <w:sz w:val="24"/>
          <w:szCs w:val="24"/>
        </w:rPr>
        <w:t xml:space="preserve">dispute thus could be </w:t>
      </w:r>
      <w:r>
        <w:rPr>
          <w:rStyle w:val="markedcontent"/>
          <w:sz w:val="24"/>
          <w:szCs w:val="24"/>
        </w:rPr>
        <w:t>‘</w:t>
      </w:r>
      <w:r w:rsidRPr="00C665DD">
        <w:rPr>
          <w:rStyle w:val="markedcontent"/>
          <w:sz w:val="24"/>
          <w:szCs w:val="24"/>
        </w:rPr>
        <w:t xml:space="preserve">greatly </w:t>
      </w:r>
      <w:proofErr w:type="spellStart"/>
      <w:proofErr w:type="gramStart"/>
      <w:r w:rsidRPr="00C665DD">
        <w:rPr>
          <w:rStyle w:val="markedcontent"/>
          <w:sz w:val="24"/>
          <w:szCs w:val="24"/>
        </w:rPr>
        <w:t>simplifie</w:t>
      </w:r>
      <w:proofErr w:type="spellEnd"/>
      <w:r w:rsidRPr="00C665DD">
        <w:rPr>
          <w:rStyle w:val="markedcontent"/>
          <w:sz w:val="24"/>
          <w:szCs w:val="24"/>
        </w:rPr>
        <w:t>[d]</w:t>
      </w:r>
      <w:r>
        <w:rPr>
          <w:rStyle w:val="markedcontent"/>
          <w:sz w:val="24"/>
          <w:szCs w:val="24"/>
        </w:rPr>
        <w:t>’</w:t>
      </w:r>
      <w:proofErr w:type="gramEnd"/>
      <w:r w:rsidRPr="00C665DD">
        <w:rPr>
          <w:rStyle w:val="markedcontent"/>
          <w:sz w:val="24"/>
          <w:szCs w:val="24"/>
        </w:rPr>
        <w:t xml:space="preserve"> by guidance</w:t>
      </w:r>
      <w:r>
        <w:rPr>
          <w:rStyle w:val="markedcontent"/>
          <w:sz w:val="24"/>
          <w:szCs w:val="24"/>
        </w:rPr>
        <w:t xml:space="preserve"> </w:t>
      </w:r>
      <w:r w:rsidRPr="00C665DD">
        <w:rPr>
          <w:rStyle w:val="markedcontent"/>
          <w:sz w:val="24"/>
          <w:szCs w:val="24"/>
        </w:rPr>
        <w:t xml:space="preserve">from the Louisiana Supreme Court on the meaning of Louisiana </w:t>
      </w:r>
      <w:proofErr w:type="gramStart"/>
      <w:r w:rsidRPr="00C665DD">
        <w:rPr>
          <w:rStyle w:val="markedcontent"/>
          <w:sz w:val="24"/>
          <w:szCs w:val="24"/>
        </w:rPr>
        <w:t>law.</w:t>
      </w:r>
      <w:r>
        <w:rPr>
          <w:rStyle w:val="markedcontent"/>
          <w:sz w:val="24"/>
          <w:szCs w:val="24"/>
        </w:rPr>
        <w:t>”</w:t>
      </w:r>
      <w:proofErr w:type="gramEnd"/>
      <w:r>
        <w:rPr>
          <w:rFonts w:ascii="Times New Roman" w:eastAsia="Times New Roman" w:hAnsi="Times New Roman"/>
          <w:sz w:val="24"/>
          <w:szCs w:val="24"/>
        </w:rPr>
        <w:t xml:space="preserve"> </w:t>
      </w:r>
      <w:hyperlink r:id="rId730" w:history="1">
        <w:r w:rsidRPr="00CD0640">
          <w:rPr>
            <w:rStyle w:val="Hyperlink"/>
            <w:rFonts w:ascii="Times New Roman" w:hAnsi="Times New Roman"/>
            <w:sz w:val="24"/>
            <w:szCs w:val="24"/>
          </w:rPr>
          <w:t>https://www.supremecourt.gov/opinions/20pdf/19-1108_8n5a.pdf</w:t>
        </w:r>
      </w:hyperlink>
      <w:r w:rsidRPr="00816DF1">
        <w:rPr>
          <w:rStyle w:val="markedcontent"/>
          <w:sz w:val="24"/>
          <w:szCs w:val="24"/>
        </w:rPr>
        <w:t xml:space="preserve"> </w:t>
      </w:r>
    </w:p>
    <w:p w14:paraId="77FA3D39" w14:textId="77777777" w:rsidR="00AE6CF5" w:rsidRDefault="00AE6CF5" w:rsidP="00F326E5">
      <w:pPr>
        <w:pStyle w:val="NoSpacing"/>
        <w:rPr>
          <w:rFonts w:ascii="Arial Black" w:hAnsi="Arial Black"/>
          <w:sz w:val="28"/>
          <w:szCs w:val="28"/>
        </w:rPr>
      </w:pPr>
    </w:p>
    <w:p w14:paraId="1B0757B3" w14:textId="77777777" w:rsidR="00AE6CF5" w:rsidRDefault="00AE6CF5" w:rsidP="00F326E5">
      <w:pPr>
        <w:pStyle w:val="NoSpacing"/>
        <w:rPr>
          <w:rFonts w:ascii="Arial Black" w:hAnsi="Arial Black"/>
          <w:sz w:val="28"/>
          <w:szCs w:val="28"/>
        </w:rPr>
      </w:pPr>
    </w:p>
    <w:p w14:paraId="4A94EFC6" w14:textId="560BBABA" w:rsidR="00AE6CF5" w:rsidRDefault="00AE6CF5" w:rsidP="00F326E5">
      <w:pPr>
        <w:pStyle w:val="NoSpacing"/>
        <w:rPr>
          <w:rFonts w:ascii="Arial Black" w:hAnsi="Arial Black"/>
          <w:sz w:val="28"/>
          <w:szCs w:val="28"/>
        </w:rPr>
      </w:pPr>
      <w:r>
        <w:rPr>
          <w:rFonts w:ascii="Arial Black" w:hAnsi="Arial Black"/>
          <w:sz w:val="28"/>
          <w:szCs w:val="28"/>
        </w:rPr>
        <w:t>3-41</w:t>
      </w:r>
    </w:p>
    <w:p w14:paraId="6CEAC9C7" w14:textId="064BCC1C" w:rsidR="00AE6CF5" w:rsidRDefault="00AE6CF5" w:rsidP="00F326E5">
      <w:pPr>
        <w:pStyle w:val="NoSpacing"/>
        <w:rPr>
          <w:rFonts w:ascii="Arial Black" w:hAnsi="Arial Black"/>
          <w:sz w:val="28"/>
          <w:szCs w:val="28"/>
        </w:rPr>
      </w:pPr>
    </w:p>
    <w:p w14:paraId="28AE1371" w14:textId="77777777" w:rsidR="00AE6CF5" w:rsidRPr="003564FE" w:rsidRDefault="00AE6CF5" w:rsidP="00AE6CF5">
      <w:pPr>
        <w:pStyle w:val="Heading1"/>
        <w:rPr>
          <w:rFonts w:ascii="Arial Black" w:hAnsi="Arial Black"/>
          <w:b w:val="0"/>
          <w:bCs w:val="0"/>
          <w:sz w:val="28"/>
          <w:szCs w:val="28"/>
        </w:rPr>
      </w:pPr>
      <w:r>
        <w:rPr>
          <w:rFonts w:ascii="Arial Black" w:hAnsi="Arial Black"/>
          <w:b w:val="0"/>
          <w:bCs w:val="0"/>
          <w:sz w:val="28"/>
          <w:szCs w:val="28"/>
        </w:rPr>
        <w:t>U.S. SUP. COURT: NAVY SEALS MUST GET COVID VACCINATED – MILITARY OPERATIONAL DECISION</w:t>
      </w:r>
    </w:p>
    <w:p w14:paraId="392CA7F3" w14:textId="77777777" w:rsidR="00AE6CF5" w:rsidRDefault="00AE6CF5" w:rsidP="00AE6CF5">
      <w:pPr>
        <w:pStyle w:val="Heading1"/>
        <w:rPr>
          <w:rStyle w:val="Hyperlink"/>
          <w:rFonts w:eastAsiaTheme="majorEastAsia"/>
          <w:b w:val="0"/>
          <w:bCs w:val="0"/>
          <w:sz w:val="24"/>
          <w:szCs w:val="24"/>
        </w:rPr>
      </w:pPr>
      <w:r>
        <w:rPr>
          <w:b w:val="0"/>
          <w:bCs w:val="0"/>
          <w:sz w:val="24"/>
          <w:szCs w:val="24"/>
        </w:rPr>
        <w:t xml:space="preserve">On March 25, 2022, in </w:t>
      </w:r>
      <w:r w:rsidRPr="003564FE">
        <w:rPr>
          <w:b w:val="0"/>
          <w:bCs w:val="0"/>
          <w:sz w:val="24"/>
          <w:szCs w:val="24"/>
          <w:u w:val="single"/>
        </w:rPr>
        <w:t>Lloyd J. Austin, II, Secretary of Defense v. U.S. Navy Seals, et al.,</w:t>
      </w:r>
      <w:r>
        <w:rPr>
          <w:b w:val="0"/>
          <w:bCs w:val="0"/>
          <w:sz w:val="24"/>
          <w:szCs w:val="24"/>
        </w:rPr>
        <w:t xml:space="preserve">  the U.S. Supreme Court issued order (6 to 3) granting the U.S. Government’s motion for a partial stay of the decisions by both the 5</w:t>
      </w:r>
      <w:r w:rsidRPr="00677D67">
        <w:rPr>
          <w:b w:val="0"/>
          <w:bCs w:val="0"/>
          <w:sz w:val="24"/>
          <w:szCs w:val="24"/>
          <w:vertAlign w:val="superscript"/>
        </w:rPr>
        <w:t>th</w:t>
      </w:r>
      <w:r>
        <w:rPr>
          <w:b w:val="0"/>
          <w:bCs w:val="0"/>
          <w:sz w:val="24"/>
          <w:szCs w:val="24"/>
        </w:rPr>
        <w:t xml:space="preserve"> Circuit and a U.S. District Court judge in Texas regarding 35 Navy seals.  </w:t>
      </w:r>
      <w:hyperlink r:id="rId731" w:history="1">
        <w:r w:rsidRPr="00EF2641">
          <w:rPr>
            <w:rStyle w:val="Hyperlink"/>
            <w:rFonts w:eastAsiaTheme="majorEastAsia"/>
            <w:b w:val="0"/>
            <w:bCs w:val="0"/>
            <w:sz w:val="24"/>
            <w:szCs w:val="24"/>
          </w:rPr>
          <w:t>https://www.supremecourt.gov/opinions/21pdf/21a477_1bo2.pdf</w:t>
        </w:r>
      </w:hyperlink>
    </w:p>
    <w:p w14:paraId="0133DD36" w14:textId="77777777" w:rsidR="00AE6CF5" w:rsidRPr="005925FA" w:rsidRDefault="00AE6CF5" w:rsidP="00AE6CF5">
      <w:pPr>
        <w:pStyle w:val="Heading1"/>
        <w:ind w:left="720"/>
        <w:rPr>
          <w:rStyle w:val="Hyperlink"/>
          <w:rFonts w:eastAsiaTheme="majorEastAsia"/>
          <w:b w:val="0"/>
          <w:bCs w:val="0"/>
          <w:sz w:val="24"/>
          <w:szCs w:val="24"/>
        </w:rPr>
      </w:pPr>
      <w:r w:rsidRPr="005925FA">
        <w:rPr>
          <w:rStyle w:val="markedcontent"/>
          <w:b w:val="0"/>
          <w:bCs w:val="0"/>
          <w:sz w:val="24"/>
          <w:szCs w:val="24"/>
        </w:rPr>
        <w:t xml:space="preserve">“The district court’s January 3, 2022 order, insofar as it precludes the Navy from considering respondents’ vaccination status in making deployment, assignment, and other operational decisions, is stayed pending disposition of the appeal in the United States Court of Appeals for the Fifth Circuit and disposition of the petition for a writ of certiorari, if such writ is timely sought.” </w:t>
      </w:r>
      <w:hyperlink r:id="rId732" w:history="1">
        <w:r w:rsidRPr="005925FA">
          <w:rPr>
            <w:rStyle w:val="Hyperlink"/>
            <w:rFonts w:eastAsiaTheme="majorEastAsia"/>
            <w:b w:val="0"/>
            <w:bCs w:val="0"/>
            <w:sz w:val="24"/>
            <w:szCs w:val="24"/>
          </w:rPr>
          <w:t>https://www.supremecourt.gov/opinions/21pdf/21a477_1bo2.pdf</w:t>
        </w:r>
      </w:hyperlink>
    </w:p>
    <w:p w14:paraId="3DBA227B" w14:textId="77777777" w:rsidR="00AE6CF5" w:rsidRPr="005925FA" w:rsidRDefault="00AE6CF5" w:rsidP="00AE6CF5">
      <w:pPr>
        <w:pStyle w:val="Heading1"/>
        <w:rPr>
          <w:rStyle w:val="markedcontent"/>
          <w:b w:val="0"/>
          <w:bCs w:val="0"/>
          <w:sz w:val="24"/>
          <w:szCs w:val="24"/>
        </w:rPr>
      </w:pPr>
      <w:r w:rsidRPr="005925FA">
        <w:rPr>
          <w:rStyle w:val="markedcontent"/>
          <w:b w:val="0"/>
          <w:bCs w:val="0"/>
          <w:sz w:val="24"/>
          <w:szCs w:val="24"/>
        </w:rPr>
        <w:t>Concurring Opinion:</w:t>
      </w:r>
    </w:p>
    <w:p w14:paraId="28C99590" w14:textId="77777777" w:rsidR="00AE6CF5" w:rsidRPr="005925FA" w:rsidRDefault="00AE6CF5" w:rsidP="00AE6CF5">
      <w:pPr>
        <w:pStyle w:val="Heading1"/>
        <w:ind w:left="720"/>
        <w:rPr>
          <w:rStyle w:val="markedcontent"/>
          <w:b w:val="0"/>
          <w:bCs w:val="0"/>
          <w:sz w:val="24"/>
          <w:szCs w:val="24"/>
        </w:rPr>
      </w:pPr>
      <w:r w:rsidRPr="005925FA">
        <w:rPr>
          <w:rStyle w:val="markedcontent"/>
          <w:b w:val="0"/>
          <w:bCs w:val="0"/>
          <w:sz w:val="24"/>
          <w:szCs w:val="24"/>
        </w:rPr>
        <w:t xml:space="preserve">Justice Kavanaugh in a concurring decision wrote: </w:t>
      </w:r>
    </w:p>
    <w:p w14:paraId="587B8230" w14:textId="77777777" w:rsidR="00AE6CF5" w:rsidRPr="005925FA" w:rsidRDefault="00AE6CF5" w:rsidP="00AE6CF5">
      <w:pPr>
        <w:pStyle w:val="Heading1"/>
        <w:ind w:left="1440"/>
        <w:rPr>
          <w:rStyle w:val="markedcontent"/>
          <w:b w:val="0"/>
          <w:bCs w:val="0"/>
          <w:sz w:val="24"/>
          <w:szCs w:val="24"/>
        </w:rPr>
      </w:pPr>
      <w:r w:rsidRPr="005925FA">
        <w:rPr>
          <w:rStyle w:val="markedcontent"/>
          <w:b w:val="0"/>
          <w:bCs w:val="0"/>
          <w:sz w:val="24"/>
          <w:szCs w:val="24"/>
        </w:rPr>
        <w:t>“As the Court has long emphasized, moreover, the ‘complex, subtle, and professional decisions as to the composition, training, equipping, and control of a</w:t>
      </w:r>
      <w:r w:rsidRPr="005925FA">
        <w:rPr>
          <w:b w:val="0"/>
          <w:bCs w:val="0"/>
          <w:sz w:val="24"/>
          <w:szCs w:val="24"/>
        </w:rPr>
        <w:br/>
      </w:r>
      <w:r w:rsidRPr="005925FA">
        <w:rPr>
          <w:rStyle w:val="markedcontent"/>
          <w:b w:val="0"/>
          <w:bCs w:val="0"/>
          <w:sz w:val="24"/>
          <w:szCs w:val="24"/>
        </w:rPr>
        <w:t>military force are essentially professional military judgments.’ Gilligan v. Morgan, 413 U. S. 1, 10 (1973). Therefore, it is ‘difficult to conceive of an area of governmental activity in which the courts have less competence.’</w:t>
      </w:r>
    </w:p>
    <w:p w14:paraId="153E5337" w14:textId="77777777" w:rsidR="00AE6CF5" w:rsidRPr="005925FA" w:rsidRDefault="00AE6CF5" w:rsidP="00AE6CF5">
      <w:pPr>
        <w:pStyle w:val="Heading1"/>
        <w:ind w:left="1440"/>
        <w:rPr>
          <w:rStyle w:val="markedcontent"/>
          <w:b w:val="0"/>
          <w:bCs w:val="0"/>
          <w:sz w:val="24"/>
          <w:szCs w:val="24"/>
        </w:rPr>
      </w:pPr>
      <w:r w:rsidRPr="005925FA">
        <w:rPr>
          <w:rStyle w:val="markedcontent"/>
          <w:b w:val="0"/>
          <w:bCs w:val="0"/>
          <w:sz w:val="24"/>
          <w:szCs w:val="24"/>
        </w:rPr>
        <w:t>***</w:t>
      </w:r>
    </w:p>
    <w:p w14:paraId="130B2E6A" w14:textId="77777777" w:rsidR="00AE6CF5" w:rsidRPr="005925FA" w:rsidRDefault="00AE6CF5" w:rsidP="00AE6CF5">
      <w:pPr>
        <w:pStyle w:val="Heading1"/>
        <w:ind w:left="1440"/>
        <w:rPr>
          <w:rStyle w:val="markedcontent"/>
          <w:b w:val="0"/>
          <w:bCs w:val="0"/>
          <w:sz w:val="24"/>
          <w:szCs w:val="24"/>
        </w:rPr>
      </w:pPr>
      <w:r w:rsidRPr="005925FA">
        <w:rPr>
          <w:rStyle w:val="markedcontent"/>
          <w:b w:val="0"/>
          <w:bCs w:val="0"/>
          <w:sz w:val="24"/>
          <w:szCs w:val="24"/>
        </w:rPr>
        <w:t xml:space="preserve">As Admiral William Lescher, Vice Chief of Naval Operations, explained: ‘Sending ships into combat without maximizing the crew’s odds of success, such as would be the case with ship deficiencies in ordnance, radar, working weapons or the means to reliably accomplish the mission, is dereliction of duty. The same applies to ordering unvaccinated personnel into an environment in which they endanger their lives, the lives of others and compromise accomplishment of </w:t>
      </w:r>
      <w:r w:rsidRPr="005925FA">
        <w:rPr>
          <w:b w:val="0"/>
          <w:bCs w:val="0"/>
          <w:sz w:val="24"/>
          <w:szCs w:val="24"/>
        </w:rPr>
        <w:br/>
      </w:r>
      <w:r w:rsidRPr="005925FA">
        <w:rPr>
          <w:rStyle w:val="markedcontent"/>
          <w:b w:val="0"/>
          <w:bCs w:val="0"/>
          <w:sz w:val="24"/>
          <w:szCs w:val="24"/>
        </w:rPr>
        <w:t>essential missions.”</w:t>
      </w:r>
    </w:p>
    <w:p w14:paraId="2F004C49" w14:textId="77777777" w:rsidR="00AE6CF5" w:rsidRPr="0088598C" w:rsidRDefault="00AE6CF5" w:rsidP="00AE6CF5">
      <w:pPr>
        <w:pStyle w:val="Heading1"/>
        <w:rPr>
          <w:rStyle w:val="markedcontent"/>
          <w:b w:val="0"/>
          <w:bCs w:val="0"/>
          <w:sz w:val="24"/>
          <w:szCs w:val="24"/>
        </w:rPr>
      </w:pPr>
      <w:r w:rsidRPr="00EF2641">
        <w:rPr>
          <w:rStyle w:val="markedcontent"/>
          <w:sz w:val="24"/>
          <w:szCs w:val="24"/>
        </w:rPr>
        <w:t xml:space="preserve">Legal Lesson Learned: </w:t>
      </w:r>
      <w:r>
        <w:rPr>
          <w:rStyle w:val="markedcontent"/>
          <w:sz w:val="24"/>
          <w:szCs w:val="24"/>
        </w:rPr>
        <w:t xml:space="preserve"> The U.S. Supreme Court majority clearly decided to not interfere with U.S. military command decisions regarding deployment eligibility of personnel. </w:t>
      </w:r>
    </w:p>
    <w:p w14:paraId="397B53B4" w14:textId="77777777" w:rsidR="00AE6CF5" w:rsidRPr="00ED08CC" w:rsidRDefault="00AE6CF5" w:rsidP="00AE6CF5">
      <w:pPr>
        <w:pStyle w:val="Heading1"/>
        <w:ind w:left="720"/>
        <w:rPr>
          <w:rStyle w:val="markedcontent"/>
          <w:b w:val="0"/>
          <w:bCs w:val="0"/>
          <w:sz w:val="24"/>
          <w:szCs w:val="24"/>
        </w:rPr>
      </w:pPr>
      <w:r>
        <w:rPr>
          <w:b w:val="0"/>
          <w:bCs w:val="0"/>
          <w:sz w:val="24"/>
          <w:szCs w:val="24"/>
        </w:rPr>
        <w:t>Note: On Feb. 26, 2022, the 5</w:t>
      </w:r>
      <w:r w:rsidRPr="00822DF0">
        <w:rPr>
          <w:b w:val="0"/>
          <w:bCs w:val="0"/>
          <w:sz w:val="24"/>
          <w:szCs w:val="24"/>
          <w:vertAlign w:val="superscript"/>
        </w:rPr>
        <w:t>th</w:t>
      </w:r>
      <w:r>
        <w:rPr>
          <w:b w:val="0"/>
          <w:bCs w:val="0"/>
          <w:sz w:val="24"/>
          <w:szCs w:val="24"/>
        </w:rPr>
        <w:t xml:space="preserve"> Circuit (New Orleans) upheld the District Court judge, holding (3 to 0):</w:t>
      </w:r>
      <w:r w:rsidRPr="0088598C">
        <w:t xml:space="preserve"> </w:t>
      </w:r>
      <w:hyperlink r:id="rId733" w:history="1">
        <w:r w:rsidRPr="005C3AB1">
          <w:rPr>
            <w:rStyle w:val="Hyperlink"/>
            <w:rFonts w:eastAsiaTheme="majorEastAsia"/>
            <w:b w:val="0"/>
            <w:bCs w:val="0"/>
            <w:sz w:val="24"/>
            <w:szCs w:val="24"/>
          </w:rPr>
          <w:t>https://www.ca5.uscourts.gov/opinions/pub/22/22-10077-CV0.pdf</w:t>
        </w:r>
      </w:hyperlink>
    </w:p>
    <w:p w14:paraId="4B46E94C" w14:textId="77777777" w:rsidR="00AE6CF5" w:rsidRPr="00B81AFF" w:rsidRDefault="00AE6CF5" w:rsidP="00AE6CF5">
      <w:pPr>
        <w:pStyle w:val="Heading1"/>
        <w:ind w:left="1440"/>
        <w:rPr>
          <w:rStyle w:val="markedcontent"/>
          <w:b w:val="0"/>
          <w:bCs w:val="0"/>
          <w:sz w:val="24"/>
          <w:szCs w:val="24"/>
        </w:rPr>
      </w:pPr>
      <w:r w:rsidRPr="00B81AFF">
        <w:rPr>
          <w:rStyle w:val="markedcontent"/>
          <w:b w:val="0"/>
          <w:bCs w:val="0"/>
          <w:sz w:val="24"/>
          <w:szCs w:val="24"/>
        </w:rPr>
        <w:t>“The Navy has granted hundreds of medical exemptions from vaccination requirements, allowing those service members to seek medical waivers and become deployable. But it has not accommodated any religious objection to any vaccine in seven years, preventing those seeking such accommodations from even being considered for medical waivers. We DENY Defendants’ motion.”</w:t>
      </w:r>
    </w:p>
    <w:p w14:paraId="24E2088B" w14:textId="77777777" w:rsidR="00AE6CF5" w:rsidRDefault="00AE6CF5" w:rsidP="00F326E5">
      <w:pPr>
        <w:pStyle w:val="NoSpacing"/>
        <w:rPr>
          <w:rFonts w:ascii="Arial Black" w:hAnsi="Arial Black"/>
          <w:sz w:val="28"/>
          <w:szCs w:val="28"/>
        </w:rPr>
      </w:pPr>
    </w:p>
    <w:p w14:paraId="1EE561EC" w14:textId="77777777" w:rsidR="00AE6CF5" w:rsidRDefault="00AE6CF5" w:rsidP="00F326E5">
      <w:pPr>
        <w:pStyle w:val="NoSpacing"/>
        <w:rPr>
          <w:rFonts w:ascii="Arial Black" w:hAnsi="Arial Black"/>
          <w:sz w:val="28"/>
          <w:szCs w:val="28"/>
        </w:rPr>
      </w:pPr>
    </w:p>
    <w:p w14:paraId="17572456" w14:textId="77777777" w:rsidR="00AE6CF5" w:rsidRDefault="00AE6CF5" w:rsidP="00F326E5">
      <w:pPr>
        <w:pStyle w:val="NoSpacing"/>
        <w:rPr>
          <w:rFonts w:ascii="Arial Black" w:hAnsi="Arial Black"/>
          <w:sz w:val="28"/>
          <w:szCs w:val="28"/>
        </w:rPr>
      </w:pPr>
    </w:p>
    <w:p w14:paraId="16FA83F2" w14:textId="60EA4B49" w:rsidR="0082055F" w:rsidRDefault="00A20CA7" w:rsidP="00F326E5">
      <w:pPr>
        <w:pStyle w:val="NoSpacing"/>
        <w:rPr>
          <w:rFonts w:ascii="Arial Black" w:hAnsi="Arial Black"/>
          <w:sz w:val="28"/>
          <w:szCs w:val="28"/>
        </w:rPr>
      </w:pPr>
      <w:r>
        <w:rPr>
          <w:rFonts w:ascii="Arial Black" w:hAnsi="Arial Black"/>
          <w:sz w:val="28"/>
          <w:szCs w:val="28"/>
        </w:rPr>
        <w:t>3-40</w:t>
      </w:r>
    </w:p>
    <w:p w14:paraId="1519126D" w14:textId="77777777" w:rsidR="00A20CA7" w:rsidRDefault="00A20CA7" w:rsidP="00A20CA7">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PA: TREE OF LIFE SYNAGOGUE – SHOOTER’S STATEMENTS TO SWAT ADMISSIBLE – PUBLIC SAFETY EXCEPTION</w:t>
      </w:r>
    </w:p>
    <w:p w14:paraId="7DE491CC" w14:textId="77777777" w:rsidR="00A20CA7" w:rsidRDefault="00A20CA7" w:rsidP="00A20CA7">
      <w:pPr>
        <w:pStyle w:val="NormalWeb"/>
      </w:pPr>
      <w:r>
        <w:t xml:space="preserve">On Jan. 20, 2022, in </w:t>
      </w:r>
      <w:r w:rsidRPr="00904325">
        <w:rPr>
          <w:u w:val="single"/>
        </w:rPr>
        <w:t>United States of America v. Robert Bowers</w:t>
      </w:r>
      <w:r>
        <w:t>, Senior U.S. District Court Judge D</w:t>
      </w:r>
      <w:r w:rsidRPr="00904325">
        <w:t>onetta</w:t>
      </w:r>
      <w:r>
        <w:t xml:space="preserve"> Ambrose, U.S. District Court for Western District of Pennsylvania, denied the defendant’s motion to suppress statements made to police at that scene prior to being given Miranda warning, based on the “public safety exception.”  The defendant was armed </w:t>
      </w:r>
      <w:r w:rsidRPr="002A0ACB">
        <w:t xml:space="preserve">with an AR-15-style assault rifle and at least three handguns, </w:t>
      </w:r>
      <w:r>
        <w:t xml:space="preserve">shouted </w:t>
      </w:r>
      <w:r w:rsidRPr="002A0ACB">
        <w:t xml:space="preserve">anti-Semitic slurs </w:t>
      </w:r>
      <w:r>
        <w:t xml:space="preserve">and killed </w:t>
      </w:r>
      <w:r w:rsidRPr="002A0ACB">
        <w:t>11 congregants and wound</w:t>
      </w:r>
      <w:r>
        <w:t>ed</w:t>
      </w:r>
      <w:r w:rsidRPr="002A0ACB">
        <w:t xml:space="preserve"> four police officers</w:t>
      </w:r>
      <w:r>
        <w:t xml:space="preserve">.  </w:t>
      </w:r>
      <w:hyperlink r:id="rId734" w:history="1">
        <w:r w:rsidRPr="00A07B51">
          <w:rPr>
            <w:rStyle w:val="Hyperlink"/>
            <w:rFonts w:eastAsiaTheme="majorEastAsia"/>
          </w:rPr>
          <w:t>https://public.fastcase.com/9SKwsfNqTc6OieYDhNMyMwgnH2rEWQiRpx4SwB8tOsl9D8EiwJnekd530roHqTrENez3wWnOYZMVTxSfKTsOEtbG3zaICMf20ttzqQEEaDo</w:t>
        </w:r>
      </w:hyperlink>
    </w:p>
    <w:p w14:paraId="1C0AB4BE" w14:textId="77777777" w:rsidR="009A3D9F" w:rsidRPr="00F35AD1" w:rsidRDefault="009A3D9F" w:rsidP="009A3D9F">
      <w:pPr>
        <w:pStyle w:val="NormalWeb"/>
        <w:rPr>
          <w:b/>
          <w:bCs/>
        </w:rPr>
      </w:pPr>
      <w:r w:rsidRPr="00BA5395">
        <w:rPr>
          <w:b/>
          <w:bCs/>
        </w:rPr>
        <w:t>Legal Lesson Learned:</w:t>
      </w:r>
      <w:r>
        <w:rPr>
          <w:b/>
          <w:bCs/>
        </w:rPr>
        <w:t xml:space="preserve"> The “public safety exception” to Miranda ruling allows into evidence statements of defendants in response to police questioning in situations where there is a threat to public safety. </w:t>
      </w:r>
    </w:p>
    <w:p w14:paraId="07925D7C" w14:textId="77777777" w:rsidR="00A20CA7" w:rsidRDefault="00A20CA7" w:rsidP="00F326E5">
      <w:pPr>
        <w:pStyle w:val="NoSpacing"/>
        <w:rPr>
          <w:rFonts w:ascii="Arial Black" w:hAnsi="Arial Black"/>
          <w:sz w:val="28"/>
          <w:szCs w:val="28"/>
        </w:rPr>
      </w:pPr>
    </w:p>
    <w:p w14:paraId="78DAC4EE" w14:textId="77777777" w:rsidR="00A20CA7" w:rsidRDefault="00A20CA7" w:rsidP="00F326E5">
      <w:pPr>
        <w:pStyle w:val="NoSpacing"/>
        <w:rPr>
          <w:rFonts w:ascii="Arial Black" w:hAnsi="Arial Black"/>
          <w:sz w:val="28"/>
          <w:szCs w:val="28"/>
        </w:rPr>
      </w:pPr>
    </w:p>
    <w:p w14:paraId="6B4EA7EA" w14:textId="4941B572" w:rsidR="00954D68" w:rsidRDefault="00954D68" w:rsidP="00F326E5">
      <w:pPr>
        <w:pStyle w:val="NoSpacing"/>
        <w:rPr>
          <w:rFonts w:ascii="Arial Black" w:hAnsi="Arial Black"/>
          <w:sz w:val="28"/>
          <w:szCs w:val="28"/>
        </w:rPr>
      </w:pPr>
      <w:r>
        <w:rPr>
          <w:rFonts w:ascii="Arial Black" w:hAnsi="Arial Black"/>
          <w:sz w:val="28"/>
          <w:szCs w:val="28"/>
        </w:rPr>
        <w:t>3-39</w:t>
      </w:r>
    </w:p>
    <w:p w14:paraId="02170FAF" w14:textId="77777777" w:rsidR="00954D68" w:rsidRDefault="00954D68" w:rsidP="00954D68">
      <w:pPr>
        <w:spacing w:before="100" w:beforeAutospacing="1" w:after="100" w:afterAutospacing="1" w:line="240" w:lineRule="auto"/>
        <w:rPr>
          <w:rFonts w:ascii="Arial Black" w:eastAsia="Times New Roman" w:hAnsi="Arial Black"/>
          <w:b/>
          <w:bCs/>
          <w:sz w:val="28"/>
          <w:szCs w:val="28"/>
        </w:rPr>
      </w:pPr>
      <w:bookmarkStart w:id="134" w:name="_Hlk92113429"/>
      <w:r>
        <w:rPr>
          <w:rFonts w:ascii="Arial Black" w:eastAsia="Times New Roman" w:hAnsi="Arial Black"/>
          <w:b/>
          <w:bCs/>
          <w:sz w:val="28"/>
          <w:szCs w:val="28"/>
        </w:rPr>
        <w:t>MI: TERRORIST CONFESSION TO FBI - MIRANDA WARNINGS GIVEN BY FBI DURING C-17 FLIGHT TO U.S. - ADMISSIBLE</w:t>
      </w:r>
    </w:p>
    <w:bookmarkEnd w:id="134"/>
    <w:p w14:paraId="49C16A3D" w14:textId="77777777" w:rsidR="00954D68" w:rsidRDefault="00954D68" w:rsidP="00954D68">
      <w:pPr>
        <w:spacing w:before="100" w:beforeAutospacing="1" w:after="100" w:afterAutospacing="1" w:line="240" w:lineRule="auto"/>
        <w:rPr>
          <w:rFonts w:ascii="Times New Roman" w:eastAsia="Times New Roman" w:hAnsi="Times New Roman"/>
          <w:sz w:val="24"/>
          <w:szCs w:val="24"/>
        </w:rPr>
      </w:pPr>
      <w:r w:rsidRPr="000B5148">
        <w:rPr>
          <w:rFonts w:ascii="Times New Roman" w:eastAsia="Times New Roman" w:hAnsi="Times New Roman"/>
          <w:sz w:val="24"/>
          <w:szCs w:val="24"/>
        </w:rPr>
        <w:t xml:space="preserve">On </w:t>
      </w:r>
      <w:r>
        <w:rPr>
          <w:rFonts w:ascii="Times New Roman" w:eastAsia="Times New Roman" w:hAnsi="Times New Roman"/>
          <w:sz w:val="24"/>
          <w:szCs w:val="24"/>
        </w:rPr>
        <w:t xml:space="preserve">Dec. 13, 2021, in </w:t>
      </w:r>
      <w:r w:rsidRPr="000B5148">
        <w:rPr>
          <w:rFonts w:ascii="Times New Roman" w:eastAsia="Times New Roman" w:hAnsi="Times New Roman"/>
          <w:sz w:val="24"/>
          <w:szCs w:val="24"/>
          <w:u w:val="single"/>
        </w:rPr>
        <w:t>United States of America v. Ibraheem Izzy Musaibi</w:t>
      </w:r>
      <w:r>
        <w:rPr>
          <w:rFonts w:ascii="Times New Roman" w:eastAsia="Times New Roman" w:hAnsi="Times New Roman"/>
          <w:sz w:val="24"/>
          <w:szCs w:val="24"/>
        </w:rPr>
        <w:t xml:space="preserve">, U.S. District Court Judge David Lawson, U.S. District Court for Eastern District of Michigan (Southern Division) denied the defense motion to suppress his statements; the FBI gave him clear </w:t>
      </w:r>
      <w:r w:rsidRPr="000B5148">
        <w:rPr>
          <w:rFonts w:ascii="Times New Roman" w:eastAsia="Times New Roman" w:hAnsi="Times New Roman"/>
          <w:i/>
          <w:iCs/>
          <w:sz w:val="24"/>
          <w:szCs w:val="24"/>
        </w:rPr>
        <w:t>Miranda</w:t>
      </w:r>
      <w:r>
        <w:rPr>
          <w:rFonts w:ascii="Times New Roman" w:eastAsia="Times New Roman" w:hAnsi="Times New Roman"/>
          <w:sz w:val="24"/>
          <w:szCs w:val="24"/>
        </w:rPr>
        <w:t xml:space="preserve"> warnings. </w:t>
      </w:r>
    </w:p>
    <w:p w14:paraId="1C1592D0" w14:textId="77777777" w:rsidR="00954D68" w:rsidRPr="006A0973" w:rsidRDefault="00954D68" w:rsidP="00954D68">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623CC0">
        <w:rPr>
          <w:rFonts w:ascii="Times New Roman" w:hAnsi="Times New Roman"/>
          <w:sz w:val="24"/>
          <w:szCs w:val="24"/>
        </w:rPr>
        <w:t>The evidence adduced at the evidentiary hearing establishes that the statements the defendant made while in the custody of the agents on the flight from the Middle East to the United States were voluntary and preceded by the appropriate advice of constitutional rights and warnings, and the defendant's waiver of those rights was knowing and voluntary. The statements the defendant made in text messages with FBI agent Kerner were voluntary and not the product of coercion by the government agent. There is no valid reason to suppress the statements or the text messages.</w:t>
      </w:r>
      <w:r>
        <w:rPr>
          <w:rFonts w:ascii="Times New Roman" w:hAnsi="Times New Roman"/>
          <w:sz w:val="24"/>
          <w:szCs w:val="24"/>
        </w:rPr>
        <w:t>”</w:t>
      </w:r>
      <w:r w:rsidRPr="00623CC0">
        <w:rPr>
          <w:rFonts w:ascii="Times New Roman" w:eastAsia="Times New Roman" w:hAnsi="Times New Roman"/>
          <w:sz w:val="24"/>
          <w:szCs w:val="24"/>
        </w:rPr>
        <w:t xml:space="preserve"> </w:t>
      </w:r>
      <w:hyperlink r:id="rId735" w:history="1">
        <w:r w:rsidRPr="00EC5853">
          <w:rPr>
            <w:rStyle w:val="Hyperlink"/>
            <w:rFonts w:ascii="Times New Roman" w:eastAsia="Times New Roman" w:hAnsi="Times New Roman"/>
            <w:sz w:val="24"/>
            <w:szCs w:val="24"/>
          </w:rPr>
          <w:t>https://casetext.com/case/united-states-v-musaibli-1</w:t>
        </w:r>
      </w:hyperlink>
      <w:r>
        <w:rPr>
          <w:rFonts w:ascii="Times New Roman" w:eastAsia="Times New Roman" w:hAnsi="Times New Roman"/>
          <w:sz w:val="24"/>
          <w:szCs w:val="24"/>
        </w:rPr>
        <w:t xml:space="preserve"> </w:t>
      </w:r>
    </w:p>
    <w:p w14:paraId="28993D92" w14:textId="77777777" w:rsidR="00954D68" w:rsidRPr="00623CC0" w:rsidRDefault="00954D68" w:rsidP="00954D68">
      <w:pPr>
        <w:spacing w:before="100" w:beforeAutospacing="1" w:after="100" w:afterAutospacing="1" w:line="240" w:lineRule="auto"/>
        <w:rPr>
          <w:rFonts w:ascii="Times New Roman" w:hAnsi="Times New Roman"/>
          <w:b/>
          <w:bCs/>
          <w:sz w:val="24"/>
          <w:szCs w:val="24"/>
        </w:rPr>
      </w:pPr>
      <w:r w:rsidRPr="00623CC0">
        <w:rPr>
          <w:rFonts w:ascii="Times New Roman" w:hAnsi="Times New Roman"/>
          <w:b/>
          <w:bCs/>
          <w:sz w:val="24"/>
          <w:szCs w:val="24"/>
        </w:rPr>
        <w:t>Legal Lesson Learned:</w:t>
      </w:r>
      <w:r>
        <w:rPr>
          <w:rFonts w:ascii="Times New Roman" w:hAnsi="Times New Roman"/>
          <w:b/>
          <w:bCs/>
          <w:sz w:val="24"/>
          <w:szCs w:val="24"/>
        </w:rPr>
        <w:t xml:space="preserve"> The post-Miranda warning 5-hour interrogation during C-17 flight, and 2-hours upon arrival in U.S. were lawful.  </w:t>
      </w:r>
    </w:p>
    <w:p w14:paraId="080661FD" w14:textId="77777777" w:rsidR="00954D68" w:rsidRPr="00954D68" w:rsidRDefault="00954D68" w:rsidP="00F326E5">
      <w:pPr>
        <w:pStyle w:val="NoSpacing"/>
      </w:pPr>
    </w:p>
    <w:p w14:paraId="2908668C" w14:textId="77777777" w:rsidR="00954D68" w:rsidRDefault="00954D68" w:rsidP="00F326E5">
      <w:pPr>
        <w:pStyle w:val="NoSpacing"/>
        <w:rPr>
          <w:rFonts w:ascii="Arial Black" w:hAnsi="Arial Black"/>
          <w:sz w:val="28"/>
          <w:szCs w:val="28"/>
        </w:rPr>
      </w:pPr>
    </w:p>
    <w:p w14:paraId="7F58718F" w14:textId="76D373A5" w:rsidR="0082055F" w:rsidRDefault="0082055F" w:rsidP="00F326E5">
      <w:pPr>
        <w:pStyle w:val="NoSpacing"/>
        <w:rPr>
          <w:rFonts w:ascii="Arial Black" w:hAnsi="Arial Black"/>
          <w:sz w:val="28"/>
          <w:szCs w:val="28"/>
        </w:rPr>
      </w:pPr>
      <w:r>
        <w:rPr>
          <w:rFonts w:ascii="Arial Black" w:hAnsi="Arial Black"/>
          <w:sz w:val="28"/>
          <w:szCs w:val="28"/>
        </w:rPr>
        <w:t>3-38</w:t>
      </w:r>
    </w:p>
    <w:p w14:paraId="1860943B" w14:textId="77777777" w:rsidR="0082055F" w:rsidRPr="00964118" w:rsidRDefault="0082055F" w:rsidP="0082055F">
      <w:pPr>
        <w:pStyle w:val="Heading1"/>
        <w:rPr>
          <w:rFonts w:ascii="Arial Black" w:hAnsi="Arial Black"/>
          <w:sz w:val="28"/>
          <w:szCs w:val="28"/>
        </w:rPr>
      </w:pPr>
      <w:r>
        <w:rPr>
          <w:rFonts w:ascii="Arial Black" w:hAnsi="Arial Black"/>
          <w:sz w:val="28"/>
          <w:szCs w:val="28"/>
        </w:rPr>
        <w:t>MD: ISIS SENTENCED 20 YEARS – OBTAINED FUNDS MAKE “ATTACK IN USA” – PLEA DEAL, JUDGE SET THE SENTENCE</w:t>
      </w:r>
    </w:p>
    <w:p w14:paraId="4C236ADB" w14:textId="77777777" w:rsidR="0082055F" w:rsidRPr="00284B77" w:rsidRDefault="0082055F" w:rsidP="0082055F">
      <w:pPr>
        <w:pStyle w:val="Heading1"/>
        <w:rPr>
          <w:b w:val="0"/>
          <w:bCs w:val="0"/>
          <w:sz w:val="24"/>
          <w:szCs w:val="24"/>
        </w:rPr>
      </w:pPr>
      <w:r>
        <w:rPr>
          <w:b w:val="0"/>
          <w:bCs w:val="0"/>
          <w:sz w:val="24"/>
          <w:szCs w:val="24"/>
        </w:rPr>
        <w:t xml:space="preserve">On Oct. 14, 2021, in </w:t>
      </w:r>
      <w:r w:rsidRPr="00964118">
        <w:rPr>
          <w:b w:val="0"/>
          <w:bCs w:val="0"/>
          <w:sz w:val="24"/>
          <w:szCs w:val="24"/>
          <w:u w:val="single"/>
        </w:rPr>
        <w:t xml:space="preserve">Mohamed Y. </w:t>
      </w:r>
      <w:proofErr w:type="spellStart"/>
      <w:r w:rsidRPr="00964118">
        <w:rPr>
          <w:b w:val="0"/>
          <w:bCs w:val="0"/>
          <w:sz w:val="24"/>
          <w:szCs w:val="24"/>
          <w:u w:val="single"/>
        </w:rPr>
        <w:t>Elshinawy</w:t>
      </w:r>
      <w:proofErr w:type="spellEnd"/>
      <w:r w:rsidRPr="00964118">
        <w:rPr>
          <w:b w:val="0"/>
          <w:bCs w:val="0"/>
          <w:sz w:val="24"/>
          <w:szCs w:val="24"/>
          <w:u w:val="single"/>
        </w:rPr>
        <w:t xml:space="preserve"> v. United States of America</w:t>
      </w:r>
      <w:r>
        <w:rPr>
          <w:b w:val="0"/>
          <w:bCs w:val="0"/>
          <w:sz w:val="24"/>
          <w:szCs w:val="24"/>
        </w:rPr>
        <w:t>, U.S. District Court Judge Ellen L. Hollander, U.S. District Court for District of Maryland, denied the defendant’s post-conviction petition to be given a trial; when he was sentenced the Judge informed him of maximum possible sentence of 68 years.  Serious charges, including: “</w:t>
      </w:r>
      <w:r w:rsidRPr="00284B77">
        <w:rPr>
          <w:b w:val="0"/>
          <w:bCs w:val="0"/>
          <w:sz w:val="24"/>
          <w:szCs w:val="24"/>
        </w:rPr>
        <w:t>Beginning in March 2015, Petitioner received money transfers from a foreign entity based in Wales, United Kingdom, and Dhaka, Bangladesh</w:t>
      </w:r>
      <w:r>
        <w:rPr>
          <w:b w:val="0"/>
          <w:bCs w:val="0"/>
          <w:sz w:val="24"/>
          <w:szCs w:val="24"/>
        </w:rPr>
        <w:t>…</w:t>
      </w:r>
      <w:r w:rsidRPr="00284B77">
        <w:rPr>
          <w:rStyle w:val="Emphasis"/>
          <w:b w:val="0"/>
          <w:bCs w:val="0"/>
          <w:sz w:val="24"/>
          <w:szCs w:val="24"/>
        </w:rPr>
        <w:t>.</w:t>
      </w:r>
      <w:r w:rsidRPr="00284B77">
        <w:rPr>
          <w:b w:val="0"/>
          <w:bCs w:val="0"/>
          <w:sz w:val="24"/>
          <w:szCs w:val="24"/>
        </w:rPr>
        <w:t xml:space="preserve"> The funds were “to be used to fund a terrorist attack in the United States.” </w:t>
      </w:r>
    </w:p>
    <w:p w14:paraId="05C74215" w14:textId="77777777" w:rsidR="0082055F" w:rsidRDefault="0082055F" w:rsidP="0082055F">
      <w:pPr>
        <w:pStyle w:val="Heading1"/>
        <w:ind w:left="720"/>
        <w:rPr>
          <w:b w:val="0"/>
          <w:bCs w:val="0"/>
          <w:sz w:val="24"/>
          <w:szCs w:val="24"/>
        </w:rPr>
      </w:pPr>
      <w:r w:rsidRPr="00964118">
        <w:rPr>
          <w:b w:val="0"/>
          <w:bCs w:val="0"/>
          <w:sz w:val="24"/>
          <w:szCs w:val="24"/>
        </w:rPr>
        <w:t>“Petitioner also alleges that he would have gone to trial if he knew that he would be exposed to a sentence of sixty-eight years in the Plea Agreement</w:t>
      </w:r>
      <w:r>
        <w:rPr>
          <w:b w:val="0"/>
          <w:bCs w:val="0"/>
          <w:sz w:val="24"/>
          <w:szCs w:val="24"/>
        </w:rPr>
        <w:t xml:space="preserve">…. </w:t>
      </w:r>
      <w:r w:rsidRPr="00964118">
        <w:rPr>
          <w:b w:val="0"/>
          <w:bCs w:val="0"/>
          <w:sz w:val="24"/>
          <w:szCs w:val="24"/>
        </w:rPr>
        <w:t>There is no merit to this claim, as the Plea Agreement explicitly outlines the maximum sentence available</w:t>
      </w:r>
      <w:r>
        <w:rPr>
          <w:b w:val="0"/>
          <w:bCs w:val="0"/>
          <w:sz w:val="24"/>
          <w:szCs w:val="24"/>
        </w:rPr>
        <w:t>….</w:t>
      </w:r>
      <w:r w:rsidRPr="00964118">
        <w:rPr>
          <w:b w:val="0"/>
          <w:bCs w:val="0"/>
          <w:sz w:val="24"/>
          <w:szCs w:val="24"/>
        </w:rPr>
        <w:t xml:space="preserve"> Furthermore, petitioner explicitly acknowledged on the record that he had read and understood the Agreement</w:t>
      </w:r>
      <w:r>
        <w:rPr>
          <w:b w:val="0"/>
          <w:bCs w:val="0"/>
          <w:sz w:val="24"/>
          <w:szCs w:val="24"/>
        </w:rPr>
        <w:t xml:space="preserve">…. </w:t>
      </w:r>
      <w:r w:rsidRPr="00964118">
        <w:rPr>
          <w:b w:val="0"/>
          <w:bCs w:val="0"/>
          <w:sz w:val="24"/>
          <w:szCs w:val="24"/>
        </w:rPr>
        <w:t xml:space="preserve">And, the Supreme Court has explained that a reviewing court may presume that competent counsel explained a plea and its consequences to a defendant. </w:t>
      </w:r>
      <w:r w:rsidRPr="00964118">
        <w:rPr>
          <w:rStyle w:val="Emphasis"/>
          <w:b w:val="0"/>
          <w:bCs w:val="0"/>
          <w:sz w:val="24"/>
          <w:szCs w:val="24"/>
        </w:rPr>
        <w:t>Marshall</w:t>
      </w:r>
      <w:r w:rsidRPr="00964118">
        <w:rPr>
          <w:b w:val="0"/>
          <w:bCs w:val="0"/>
          <w:sz w:val="24"/>
          <w:szCs w:val="24"/>
        </w:rPr>
        <w:t xml:space="preserve">, 459 U.S. at 436 (quoting </w:t>
      </w:r>
      <w:r w:rsidRPr="00964118">
        <w:rPr>
          <w:rStyle w:val="Emphasis"/>
          <w:b w:val="0"/>
          <w:bCs w:val="0"/>
          <w:sz w:val="24"/>
          <w:szCs w:val="24"/>
        </w:rPr>
        <w:t>Henderson</w:t>
      </w:r>
      <w:r w:rsidRPr="00964118">
        <w:rPr>
          <w:b w:val="0"/>
          <w:bCs w:val="0"/>
          <w:sz w:val="24"/>
          <w:szCs w:val="24"/>
        </w:rPr>
        <w:t>, 426 U.S. at 647).</w:t>
      </w:r>
      <w:r>
        <w:rPr>
          <w:b w:val="0"/>
          <w:bCs w:val="0"/>
          <w:sz w:val="24"/>
          <w:szCs w:val="24"/>
        </w:rPr>
        <w:t xml:space="preserve">” </w:t>
      </w:r>
    </w:p>
    <w:p w14:paraId="483ED008" w14:textId="77777777" w:rsidR="0082055F" w:rsidRDefault="0082055F" w:rsidP="0082055F">
      <w:pPr>
        <w:pStyle w:val="Heading1"/>
        <w:ind w:left="240" w:firstLine="480"/>
        <w:rPr>
          <w:b w:val="0"/>
          <w:bCs w:val="0"/>
          <w:sz w:val="24"/>
          <w:szCs w:val="24"/>
        </w:rPr>
      </w:pPr>
      <w:r>
        <w:rPr>
          <w:b w:val="0"/>
          <w:bCs w:val="0"/>
          <w:sz w:val="24"/>
          <w:szCs w:val="24"/>
        </w:rPr>
        <w:t>***</w:t>
      </w:r>
    </w:p>
    <w:p w14:paraId="2CBFA9C9" w14:textId="77777777" w:rsidR="0082055F" w:rsidRPr="00964118" w:rsidRDefault="0082055F" w:rsidP="0082055F">
      <w:pPr>
        <w:pStyle w:val="Heading1"/>
        <w:ind w:left="720"/>
        <w:rPr>
          <w:b w:val="0"/>
          <w:bCs w:val="0"/>
          <w:sz w:val="24"/>
          <w:szCs w:val="24"/>
        </w:rPr>
      </w:pPr>
      <w:r w:rsidRPr="00964118">
        <w:rPr>
          <w:b w:val="0"/>
          <w:bCs w:val="0"/>
          <w:sz w:val="24"/>
          <w:szCs w:val="24"/>
        </w:rPr>
        <w:t>Perhaps most telling here is that petitioner voluntarily and knowingly pled guilty on all counts, which renders baseless his claim of ineffective assistance of counsel claim based on the waiver of preliminary hearing</w:t>
      </w:r>
      <w:r>
        <w:rPr>
          <w:b w:val="0"/>
          <w:bCs w:val="0"/>
          <w:sz w:val="24"/>
          <w:szCs w:val="24"/>
        </w:rPr>
        <w:t xml:space="preserve">…. </w:t>
      </w:r>
      <w:r w:rsidRPr="00964118">
        <w:rPr>
          <w:b w:val="0"/>
          <w:bCs w:val="0"/>
          <w:sz w:val="24"/>
          <w:szCs w:val="24"/>
        </w:rPr>
        <w:t xml:space="preserve">Moreover, the government notes that the facts establishing probable cause were clearly outlined in the criminal complaint, suggesting that it was reasonable for counsel to waive the preliminary </w:t>
      </w:r>
      <w:proofErr w:type="gramStart"/>
      <w:r w:rsidRPr="00964118">
        <w:rPr>
          <w:b w:val="0"/>
          <w:bCs w:val="0"/>
          <w:sz w:val="24"/>
          <w:szCs w:val="24"/>
        </w:rPr>
        <w:t>hearin</w:t>
      </w:r>
      <w:r>
        <w:rPr>
          <w:b w:val="0"/>
          <w:bCs w:val="0"/>
          <w:sz w:val="24"/>
          <w:szCs w:val="24"/>
        </w:rPr>
        <w:t>g.”</w:t>
      </w:r>
      <w:proofErr w:type="gramEnd"/>
      <w:r>
        <w:rPr>
          <w:b w:val="0"/>
          <w:bCs w:val="0"/>
          <w:sz w:val="24"/>
          <w:szCs w:val="24"/>
        </w:rPr>
        <w:t xml:space="preserve"> </w:t>
      </w:r>
      <w:hyperlink r:id="rId736" w:history="1">
        <w:r w:rsidRPr="00203260">
          <w:rPr>
            <w:rStyle w:val="Hyperlink"/>
            <w:sz w:val="24"/>
            <w:szCs w:val="24"/>
          </w:rPr>
          <w:t>https://casetext.com/case/elshinawy-v-united-states-1</w:t>
        </w:r>
      </w:hyperlink>
      <w:r>
        <w:rPr>
          <w:b w:val="0"/>
          <w:bCs w:val="0"/>
          <w:sz w:val="24"/>
          <w:szCs w:val="24"/>
        </w:rPr>
        <w:t xml:space="preserve"> </w:t>
      </w:r>
    </w:p>
    <w:p w14:paraId="218681D7" w14:textId="77777777" w:rsidR="0082055F" w:rsidRPr="000A14D9" w:rsidRDefault="0082055F" w:rsidP="0082055F">
      <w:pPr>
        <w:spacing w:before="100" w:beforeAutospacing="1" w:after="100" w:afterAutospacing="1" w:line="240" w:lineRule="auto"/>
        <w:rPr>
          <w:rFonts w:ascii="Times New Roman" w:eastAsia="Times New Roman" w:hAnsi="Times New Roman"/>
          <w:b/>
          <w:bCs/>
          <w:sz w:val="24"/>
          <w:szCs w:val="24"/>
        </w:rPr>
      </w:pPr>
      <w:r w:rsidRPr="00284B77">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Plea Agreement with this terrorist clearly left the sentencing decision to the judge, and he was informed by the judge that his maximum sentence of sixty-eight years. </w:t>
      </w:r>
    </w:p>
    <w:p w14:paraId="580379B2" w14:textId="77777777" w:rsidR="0082055F" w:rsidRDefault="0082055F" w:rsidP="00F326E5">
      <w:pPr>
        <w:pStyle w:val="NoSpacing"/>
        <w:rPr>
          <w:rFonts w:ascii="Arial Black" w:hAnsi="Arial Black"/>
          <w:sz w:val="28"/>
          <w:szCs w:val="28"/>
        </w:rPr>
      </w:pPr>
    </w:p>
    <w:p w14:paraId="2A5052B5" w14:textId="77777777" w:rsidR="0082055F" w:rsidRDefault="0082055F" w:rsidP="00F326E5">
      <w:pPr>
        <w:pStyle w:val="NoSpacing"/>
        <w:rPr>
          <w:rFonts w:ascii="Arial Black" w:hAnsi="Arial Black"/>
          <w:sz w:val="28"/>
          <w:szCs w:val="28"/>
        </w:rPr>
      </w:pPr>
    </w:p>
    <w:p w14:paraId="1B506EDC" w14:textId="77777777" w:rsidR="0082055F" w:rsidRDefault="0082055F" w:rsidP="00F326E5">
      <w:pPr>
        <w:pStyle w:val="NoSpacing"/>
        <w:rPr>
          <w:rFonts w:ascii="Arial Black" w:hAnsi="Arial Black"/>
          <w:sz w:val="28"/>
          <w:szCs w:val="28"/>
        </w:rPr>
      </w:pPr>
    </w:p>
    <w:p w14:paraId="282F4F31" w14:textId="77777777" w:rsidR="0082055F" w:rsidRDefault="0082055F" w:rsidP="00F326E5">
      <w:pPr>
        <w:pStyle w:val="NoSpacing"/>
        <w:rPr>
          <w:rFonts w:ascii="Arial Black" w:hAnsi="Arial Black"/>
          <w:sz w:val="28"/>
          <w:szCs w:val="28"/>
        </w:rPr>
      </w:pPr>
    </w:p>
    <w:p w14:paraId="77D2D010" w14:textId="77B9A657" w:rsidR="00382F02" w:rsidRDefault="00382F02" w:rsidP="00F326E5">
      <w:pPr>
        <w:pStyle w:val="NoSpacing"/>
        <w:rPr>
          <w:rFonts w:ascii="Arial Black" w:hAnsi="Arial Black"/>
          <w:sz w:val="28"/>
          <w:szCs w:val="28"/>
        </w:rPr>
      </w:pPr>
      <w:r>
        <w:rPr>
          <w:rFonts w:ascii="Arial Black" w:hAnsi="Arial Black"/>
          <w:sz w:val="28"/>
          <w:szCs w:val="28"/>
        </w:rPr>
        <w:t>3-37</w:t>
      </w:r>
    </w:p>
    <w:p w14:paraId="413B0D5A" w14:textId="77777777" w:rsidR="00382F02" w:rsidRPr="00E65FCE" w:rsidRDefault="00382F02" w:rsidP="00382F02">
      <w:pPr>
        <w:pStyle w:val="Heading1"/>
        <w:rPr>
          <w:rFonts w:ascii="Arial Black" w:hAnsi="Arial Black"/>
          <w:sz w:val="28"/>
          <w:szCs w:val="28"/>
        </w:rPr>
      </w:pPr>
      <w:bookmarkStart w:id="135" w:name="_Hlk81841424"/>
      <w:r w:rsidRPr="00E65FCE">
        <w:rPr>
          <w:rFonts w:ascii="Arial Black" w:hAnsi="Arial Black"/>
          <w:sz w:val="28"/>
          <w:szCs w:val="28"/>
        </w:rPr>
        <w:t>SC</w:t>
      </w:r>
      <w:r>
        <w:rPr>
          <w:rFonts w:ascii="Arial Black" w:hAnsi="Arial Black"/>
          <w:sz w:val="28"/>
          <w:szCs w:val="28"/>
        </w:rPr>
        <w:t>: MASS KILLING OF 9 AT CHARLESTON CHURCH – DEATH PENALTY – DOMESTIC TERROIST- NO INSANITY DEFENSE</w:t>
      </w:r>
    </w:p>
    <w:bookmarkEnd w:id="135"/>
    <w:p w14:paraId="5E72B7B1" w14:textId="5DDD8EA0" w:rsidR="00382F02" w:rsidRPr="00FA5F45" w:rsidRDefault="00382F02" w:rsidP="00A62433">
      <w:pPr>
        <w:pStyle w:val="Heading1"/>
        <w:rPr>
          <w:b w:val="0"/>
          <w:bCs w:val="0"/>
          <w:sz w:val="24"/>
          <w:szCs w:val="24"/>
        </w:rPr>
      </w:pPr>
      <w:r>
        <w:rPr>
          <w:b w:val="0"/>
          <w:bCs w:val="0"/>
          <w:sz w:val="24"/>
          <w:szCs w:val="24"/>
        </w:rPr>
        <w:t xml:space="preserve">On Aug. 25, 2021, in </w:t>
      </w:r>
      <w:r w:rsidRPr="00FA5F45">
        <w:rPr>
          <w:b w:val="0"/>
          <w:bCs w:val="0"/>
          <w:sz w:val="24"/>
          <w:szCs w:val="24"/>
          <w:u w:val="single"/>
        </w:rPr>
        <w:t>United States of America v. Dylann Storm Roof</w:t>
      </w:r>
      <w:r>
        <w:rPr>
          <w:b w:val="0"/>
          <w:bCs w:val="0"/>
          <w:sz w:val="24"/>
          <w:szCs w:val="24"/>
        </w:rPr>
        <w:t>, three judges sitting on 4</w:t>
      </w:r>
      <w:r w:rsidRPr="00FA5F45">
        <w:rPr>
          <w:b w:val="0"/>
          <w:bCs w:val="0"/>
          <w:sz w:val="24"/>
          <w:szCs w:val="24"/>
          <w:vertAlign w:val="superscript"/>
        </w:rPr>
        <w:t>th</w:t>
      </w:r>
      <w:r>
        <w:rPr>
          <w:b w:val="0"/>
          <w:bCs w:val="0"/>
          <w:sz w:val="24"/>
          <w:szCs w:val="24"/>
        </w:rPr>
        <w:t xml:space="preserve"> Circuit panel </w:t>
      </w:r>
      <w:r w:rsidRPr="00FA5F45">
        <w:rPr>
          <w:b w:val="0"/>
          <w:bCs w:val="0"/>
          <w:sz w:val="24"/>
          <w:szCs w:val="24"/>
        </w:rPr>
        <w:t>[</w:t>
      </w:r>
      <w:r>
        <w:rPr>
          <w:b w:val="0"/>
          <w:bCs w:val="0"/>
          <w:sz w:val="24"/>
          <w:szCs w:val="24"/>
        </w:rPr>
        <w:t>lead prosecutor in case is now 4</w:t>
      </w:r>
      <w:r w:rsidRPr="00FA5F45">
        <w:rPr>
          <w:b w:val="0"/>
          <w:bCs w:val="0"/>
          <w:sz w:val="24"/>
          <w:szCs w:val="24"/>
          <w:vertAlign w:val="superscript"/>
        </w:rPr>
        <w:t>th</w:t>
      </w:r>
      <w:r>
        <w:rPr>
          <w:b w:val="0"/>
          <w:bCs w:val="0"/>
          <w:sz w:val="24"/>
          <w:szCs w:val="24"/>
        </w:rPr>
        <w:t xml:space="preserve"> Circuit judge, so judges from three other Circuit heard the appeal: </w:t>
      </w:r>
      <w:r w:rsidRPr="00E65FCE">
        <w:rPr>
          <w:b w:val="0"/>
          <w:bCs w:val="0"/>
          <w:sz w:val="24"/>
          <w:szCs w:val="24"/>
        </w:rPr>
        <w:t>8th Circuit Judge Duane Benton, Sixth Circuit Judge Ronald Lee Gilman and Third Circuit Judge Kent Jordan</w:t>
      </w:r>
      <w:r w:rsidRPr="00FA5F45">
        <w:rPr>
          <w:b w:val="0"/>
          <w:bCs w:val="0"/>
          <w:sz w:val="24"/>
          <w:szCs w:val="24"/>
        </w:rPr>
        <w:t>]</w:t>
      </w:r>
      <w:r>
        <w:rPr>
          <w:b w:val="0"/>
          <w:bCs w:val="0"/>
          <w:sz w:val="24"/>
          <w:szCs w:val="24"/>
        </w:rPr>
        <w:t xml:space="preserve"> held 3 to 0 (Per Curiam 149-page decision; not signed by one judge) that his conviction and death sentence is affirmed. </w:t>
      </w:r>
      <w:r w:rsidRPr="00E42CB0">
        <w:rPr>
          <w:rStyle w:val="markedcontent"/>
          <w:b w:val="0"/>
          <w:bCs w:val="0"/>
          <w:sz w:val="24"/>
          <w:szCs w:val="24"/>
        </w:rPr>
        <w:t>Dr.</w:t>
      </w:r>
      <w:r>
        <w:rPr>
          <w:rStyle w:val="markedcontent"/>
          <w:b w:val="0"/>
          <w:bCs w:val="0"/>
          <w:sz w:val="24"/>
          <w:szCs w:val="24"/>
        </w:rPr>
        <w:t xml:space="preserve"> </w:t>
      </w:r>
      <w:r w:rsidRPr="00E42CB0">
        <w:rPr>
          <w:rStyle w:val="markedcontent"/>
          <w:b w:val="0"/>
          <w:bCs w:val="0"/>
          <w:sz w:val="24"/>
          <w:szCs w:val="24"/>
        </w:rPr>
        <w:t xml:space="preserve">Ballenger </w:t>
      </w:r>
      <w:r w:rsidRPr="00E42CB0">
        <w:rPr>
          <w:b w:val="0"/>
          <w:bCs w:val="0"/>
          <w:sz w:val="24"/>
          <w:szCs w:val="24"/>
        </w:rPr>
        <w:t xml:space="preserve">[Court appointed psychiatrist] </w:t>
      </w:r>
      <w:r w:rsidRPr="00E42CB0">
        <w:rPr>
          <w:rStyle w:val="markedcontent"/>
          <w:b w:val="0"/>
          <w:bCs w:val="0"/>
          <w:sz w:val="24"/>
          <w:szCs w:val="24"/>
        </w:rPr>
        <w:t xml:space="preserve">noted that Roof compared himself to a terrorist who successfully murdered people as a </w:t>
      </w:r>
      <w:r>
        <w:rPr>
          <w:rStyle w:val="markedcontent"/>
          <w:b w:val="0"/>
          <w:bCs w:val="0"/>
          <w:sz w:val="24"/>
          <w:szCs w:val="24"/>
        </w:rPr>
        <w:t>‘</w:t>
      </w:r>
      <w:r w:rsidRPr="00E42CB0">
        <w:rPr>
          <w:rStyle w:val="markedcontent"/>
          <w:b w:val="0"/>
          <w:bCs w:val="0"/>
          <w:sz w:val="24"/>
          <w:szCs w:val="24"/>
        </w:rPr>
        <w:t>purely political act.”</w:t>
      </w:r>
      <w:r>
        <w:rPr>
          <w:rStyle w:val="markedcontent"/>
          <w:b w:val="0"/>
          <w:bCs w:val="0"/>
          <w:sz w:val="24"/>
          <w:szCs w:val="24"/>
        </w:rPr>
        <w:t xml:space="preserve">  </w:t>
      </w:r>
      <w:r>
        <w:rPr>
          <w:b w:val="0"/>
          <w:bCs w:val="0"/>
          <w:sz w:val="24"/>
          <w:szCs w:val="24"/>
        </w:rPr>
        <w:t xml:space="preserve">The psychiatrist found that Roof was competent to stand trial [with full IQ of 125] even if he did have some level of autism.  Roof fired his court-appointed attorneys and represented himself at the trial and at the sentencing hearing. </w:t>
      </w:r>
      <w:r w:rsidR="0049457B">
        <w:rPr>
          <w:b w:val="0"/>
          <w:bCs w:val="0"/>
          <w:sz w:val="24"/>
          <w:szCs w:val="24"/>
        </w:rPr>
        <w:t xml:space="preserve">The Court held: </w:t>
      </w:r>
      <w:r w:rsidRPr="00A62433">
        <w:rPr>
          <w:rStyle w:val="markedcontent"/>
          <w:b w:val="0"/>
          <w:bCs w:val="0"/>
          <w:sz w:val="24"/>
          <w:szCs w:val="24"/>
        </w:rPr>
        <w:t xml:space="preserve">“No cold record or careful parsing of statutes and precedents can capture the full horror of what Roof did. His crimes qualify him for the harshest penalty that a just society can impose. We have reached that conclusion not as a product of emotion but through a thorough analytical process, which we have endeavored to detail here. In this, we have followed the example of the trial judge, who managed this difficult case with skill and compassion for all concerned, including Roof himself. For the reasons given, we will affirm.”  </w:t>
      </w:r>
      <w:hyperlink r:id="rId737" w:history="1">
        <w:r w:rsidRPr="00A62433">
          <w:rPr>
            <w:rStyle w:val="Hyperlink"/>
            <w:b w:val="0"/>
            <w:bCs w:val="0"/>
            <w:sz w:val="24"/>
            <w:szCs w:val="24"/>
          </w:rPr>
          <w:t>https://www.ca4.uscourts.gov/opinions/173.P.pdf</w:t>
        </w:r>
      </w:hyperlink>
      <w:r>
        <w:rPr>
          <w:rStyle w:val="markedcontent"/>
          <w:sz w:val="24"/>
          <w:szCs w:val="24"/>
        </w:rPr>
        <w:t xml:space="preserve"> </w:t>
      </w:r>
    </w:p>
    <w:p w14:paraId="38561F96" w14:textId="77777777" w:rsidR="00382F02" w:rsidRDefault="00382F02" w:rsidP="00382F02">
      <w:pPr>
        <w:pStyle w:val="Heading1"/>
        <w:rPr>
          <w:rStyle w:val="markedcontent"/>
          <w:sz w:val="24"/>
          <w:szCs w:val="24"/>
        </w:rPr>
      </w:pPr>
      <w:r w:rsidRPr="001D2B6C">
        <w:rPr>
          <w:rStyle w:val="markedcontent"/>
          <w:sz w:val="24"/>
          <w:szCs w:val="24"/>
        </w:rPr>
        <w:t>Legal Lesson Learned:</w:t>
      </w:r>
      <w:r>
        <w:rPr>
          <w:rStyle w:val="markedcontent"/>
          <w:sz w:val="24"/>
          <w:szCs w:val="24"/>
        </w:rPr>
        <w:t xml:space="preserve"> The defendant is first person in U.S. ever sentenced to death by a federal jury for a federal hate crime. </w:t>
      </w:r>
    </w:p>
    <w:p w14:paraId="5B0682F3" w14:textId="77777777" w:rsidR="00382F02" w:rsidRDefault="00382F02" w:rsidP="00382F02">
      <w:pPr>
        <w:ind w:left="720"/>
        <w:rPr>
          <w:rFonts w:ascii="Times New Roman" w:hAnsi="Times New Roman"/>
          <w:sz w:val="24"/>
          <w:szCs w:val="24"/>
        </w:rPr>
      </w:pPr>
      <w:r w:rsidRPr="000B0403">
        <w:rPr>
          <w:rStyle w:val="markedcontent"/>
          <w:rFonts w:ascii="Times New Roman" w:hAnsi="Times New Roman"/>
          <w:sz w:val="24"/>
          <w:szCs w:val="24"/>
        </w:rPr>
        <w:t xml:space="preserve">Note:  </w:t>
      </w:r>
      <w:r w:rsidRPr="000B0403">
        <w:rPr>
          <w:rFonts w:ascii="Times New Roman" w:hAnsi="Times New Roman"/>
          <w:sz w:val="24"/>
          <w:szCs w:val="24"/>
        </w:rPr>
        <w:t xml:space="preserve">Watch his videotaped confession to FBI agents (6/18/2015): </w:t>
      </w:r>
      <w:hyperlink r:id="rId738" w:history="1">
        <w:r w:rsidRPr="007529FC">
          <w:rPr>
            <w:rStyle w:val="Hyperlink"/>
            <w:sz w:val="24"/>
            <w:szCs w:val="24"/>
          </w:rPr>
          <w:t>https://www.thestate.com/news/local/crime/article120075733.html</w:t>
        </w:r>
      </w:hyperlink>
    </w:p>
    <w:p w14:paraId="23DA8CBB" w14:textId="77777777" w:rsidR="00382F02" w:rsidRPr="00466756" w:rsidRDefault="00382F02" w:rsidP="00382F02">
      <w:pPr>
        <w:pStyle w:val="Heading1"/>
        <w:ind w:left="720"/>
        <w:rPr>
          <w:b w:val="0"/>
          <w:bCs w:val="0"/>
          <w:sz w:val="24"/>
          <w:szCs w:val="24"/>
        </w:rPr>
      </w:pPr>
      <w:r w:rsidRPr="00466756">
        <w:rPr>
          <w:b w:val="0"/>
          <w:bCs w:val="0"/>
          <w:sz w:val="24"/>
          <w:szCs w:val="24"/>
        </w:rPr>
        <w:t xml:space="preserve">See Aug. 26, </w:t>
      </w:r>
      <w:proofErr w:type="gramStart"/>
      <w:r w:rsidRPr="00466756">
        <w:rPr>
          <w:b w:val="0"/>
          <w:bCs w:val="0"/>
          <w:sz w:val="24"/>
          <w:szCs w:val="24"/>
        </w:rPr>
        <w:t>2021</w:t>
      </w:r>
      <w:proofErr w:type="gramEnd"/>
      <w:r w:rsidRPr="00466756">
        <w:rPr>
          <w:b w:val="0"/>
          <w:bCs w:val="0"/>
          <w:sz w:val="24"/>
          <w:szCs w:val="24"/>
        </w:rPr>
        <w:t xml:space="preserve"> article on the decision: “Charleston killer Dylann Roof’s death penalty upheld by federal appeals court.” </w:t>
      </w:r>
      <w:hyperlink r:id="rId739" w:history="1">
        <w:r w:rsidRPr="00466756">
          <w:rPr>
            <w:rStyle w:val="Hyperlink"/>
            <w:sz w:val="24"/>
            <w:szCs w:val="24"/>
          </w:rPr>
          <w:t>https://www.thestate.com/news/local/crime/article253733108.html</w:t>
        </w:r>
      </w:hyperlink>
      <w:r w:rsidRPr="00466756">
        <w:rPr>
          <w:b w:val="0"/>
          <w:bCs w:val="0"/>
          <w:sz w:val="24"/>
          <w:szCs w:val="24"/>
        </w:rPr>
        <w:t xml:space="preserve"> </w:t>
      </w:r>
    </w:p>
    <w:p w14:paraId="12559D5B" w14:textId="77777777" w:rsidR="00382F02" w:rsidRDefault="00382F02" w:rsidP="00382F02">
      <w:pPr>
        <w:ind w:left="720"/>
        <w:rPr>
          <w:rStyle w:val="markedcontent"/>
          <w:rFonts w:ascii="Times New Roman" w:hAnsi="Times New Roman"/>
          <w:sz w:val="24"/>
          <w:szCs w:val="24"/>
        </w:rPr>
      </w:pPr>
      <w:r>
        <w:rPr>
          <w:rFonts w:ascii="Arial" w:hAnsi="Arial" w:cs="Arial"/>
          <w:color w:val="000000"/>
          <w:sz w:val="20"/>
          <w:szCs w:val="20"/>
        </w:rPr>
        <w:br/>
      </w:r>
      <w:r>
        <w:rPr>
          <w:rStyle w:val="markedcontent"/>
          <w:rFonts w:ascii="Times New Roman" w:hAnsi="Times New Roman"/>
          <w:sz w:val="24"/>
          <w:szCs w:val="24"/>
        </w:rPr>
        <w:t xml:space="preserve">Federal Hate Crime: </w:t>
      </w:r>
      <w:r w:rsidRPr="000B0403">
        <w:rPr>
          <w:rStyle w:val="markedcontent"/>
          <w:rFonts w:ascii="Times New Roman" w:hAnsi="Times New Roman"/>
          <w:sz w:val="24"/>
          <w:szCs w:val="24"/>
        </w:rPr>
        <w:t>18 U.S.C. § 249(a)(1) provides:</w:t>
      </w:r>
    </w:p>
    <w:p w14:paraId="7982611B" w14:textId="77777777" w:rsidR="00382F02" w:rsidRPr="000B0403" w:rsidRDefault="00382F02" w:rsidP="00382F02">
      <w:pPr>
        <w:ind w:left="720" w:firstLine="60"/>
        <w:rPr>
          <w:rFonts w:ascii="Times New Roman" w:hAnsi="Times New Roman"/>
          <w:sz w:val="24"/>
          <w:szCs w:val="24"/>
        </w:rPr>
      </w:pPr>
      <w:r w:rsidRPr="000B0403">
        <w:rPr>
          <w:rStyle w:val="num"/>
          <w:rFonts w:ascii="Times New Roman" w:hAnsi="Times New Roman"/>
          <w:sz w:val="24"/>
          <w:szCs w:val="24"/>
        </w:rPr>
        <w:t>(1)</w:t>
      </w:r>
      <w:r w:rsidRPr="000B0403">
        <w:rPr>
          <w:rStyle w:val="heading"/>
          <w:rFonts w:ascii="Times New Roman" w:hAnsi="Times New Roman"/>
          <w:sz w:val="24"/>
          <w:szCs w:val="24"/>
        </w:rPr>
        <w:t xml:space="preserve"> Offenses involving actual or perceived race, color, religion, or national origin.—</w:t>
      </w:r>
      <w:r w:rsidRPr="000B0403">
        <w:rPr>
          <w:rStyle w:val="chapeau"/>
          <w:rFonts w:ascii="Times New Roman" w:hAnsi="Times New Roman"/>
          <w:sz w:val="24"/>
          <w:szCs w:val="24"/>
        </w:rPr>
        <w:t xml:space="preserve">Whoever, whether or not acting under color of law, willfully causes </w:t>
      </w:r>
      <w:hyperlink r:id="rId740" w:history="1">
        <w:r w:rsidRPr="000B0403">
          <w:rPr>
            <w:rStyle w:val="Hyperlink"/>
            <w:sz w:val="24"/>
            <w:szCs w:val="24"/>
          </w:rPr>
          <w:t>bodily injury</w:t>
        </w:r>
      </w:hyperlink>
      <w:r w:rsidRPr="000B0403">
        <w:rPr>
          <w:rStyle w:val="chapeau"/>
          <w:rFonts w:ascii="Times New Roman" w:hAnsi="Times New Roman"/>
          <w:sz w:val="24"/>
          <w:szCs w:val="24"/>
        </w:rPr>
        <w:t xml:space="preserve"> to any person or, through the use of fire, a</w:t>
      </w:r>
      <w:hyperlink r:id="rId741" w:history="1">
        <w:r w:rsidRPr="000B0403">
          <w:rPr>
            <w:rStyle w:val="Hyperlink"/>
            <w:sz w:val="24"/>
            <w:szCs w:val="24"/>
          </w:rPr>
          <w:t xml:space="preserve"> firearm,</w:t>
        </w:r>
      </w:hyperlink>
      <w:r w:rsidRPr="000B0403">
        <w:rPr>
          <w:rStyle w:val="chapeau"/>
          <w:rFonts w:ascii="Times New Roman" w:hAnsi="Times New Roman"/>
          <w:sz w:val="24"/>
          <w:szCs w:val="24"/>
        </w:rPr>
        <w:t xml:space="preserve"> a dangerous weapon, or an </w:t>
      </w:r>
      <w:hyperlink r:id="rId742" w:history="1">
        <w:r w:rsidRPr="000B0403">
          <w:rPr>
            <w:rStyle w:val="Hyperlink"/>
            <w:sz w:val="24"/>
            <w:szCs w:val="24"/>
          </w:rPr>
          <w:t>explosive or incendiary device</w:t>
        </w:r>
      </w:hyperlink>
      <w:r w:rsidRPr="000B0403">
        <w:rPr>
          <w:rStyle w:val="chapeau"/>
          <w:rFonts w:ascii="Times New Roman" w:hAnsi="Times New Roman"/>
          <w:sz w:val="24"/>
          <w:szCs w:val="24"/>
        </w:rPr>
        <w:t>, attempts to cause</w:t>
      </w:r>
      <w:hyperlink r:id="rId743" w:history="1">
        <w:r w:rsidRPr="000B0403">
          <w:rPr>
            <w:rStyle w:val="Hyperlink"/>
            <w:sz w:val="24"/>
            <w:szCs w:val="24"/>
          </w:rPr>
          <w:t xml:space="preserve"> bodily injury </w:t>
        </w:r>
      </w:hyperlink>
      <w:r w:rsidRPr="000B0403">
        <w:rPr>
          <w:rStyle w:val="chapeau"/>
          <w:rFonts w:ascii="Times New Roman" w:hAnsi="Times New Roman"/>
          <w:sz w:val="24"/>
          <w:szCs w:val="24"/>
        </w:rPr>
        <w:t>to any person, because of the actual or perceived race, color, religion, or national origin of any person—</w:t>
      </w:r>
      <w:r w:rsidRPr="000B0403">
        <w:rPr>
          <w:rFonts w:ascii="Times New Roman" w:hAnsi="Times New Roman"/>
          <w:sz w:val="24"/>
          <w:szCs w:val="24"/>
        </w:rPr>
        <w:t xml:space="preserve"> </w:t>
      </w:r>
    </w:p>
    <w:p w14:paraId="19D439BA" w14:textId="77777777" w:rsidR="00382F02" w:rsidRPr="000B0403" w:rsidRDefault="00382F02" w:rsidP="00382F02">
      <w:pPr>
        <w:ind w:firstLine="720"/>
        <w:rPr>
          <w:rFonts w:ascii="Times New Roman" w:hAnsi="Times New Roman"/>
          <w:sz w:val="24"/>
          <w:szCs w:val="24"/>
        </w:rPr>
      </w:pPr>
      <w:bookmarkStart w:id="136" w:name="a_1_A"/>
      <w:bookmarkEnd w:id="136"/>
      <w:r w:rsidRPr="000B0403">
        <w:rPr>
          <w:rStyle w:val="num"/>
          <w:rFonts w:ascii="Times New Roman" w:hAnsi="Times New Roman"/>
          <w:sz w:val="24"/>
          <w:szCs w:val="24"/>
        </w:rPr>
        <w:t>(A)</w:t>
      </w:r>
      <w:r w:rsidRPr="000B0403">
        <w:rPr>
          <w:rFonts w:ascii="Times New Roman" w:hAnsi="Times New Roman"/>
          <w:sz w:val="24"/>
          <w:szCs w:val="24"/>
        </w:rPr>
        <w:t xml:space="preserve"> </w:t>
      </w:r>
    </w:p>
    <w:p w14:paraId="7DB76437" w14:textId="77777777" w:rsidR="00382F02" w:rsidRPr="000B0403" w:rsidRDefault="00382F02" w:rsidP="00382F02">
      <w:pPr>
        <w:ind w:left="720"/>
        <w:rPr>
          <w:rFonts w:ascii="Times New Roman" w:hAnsi="Times New Roman"/>
          <w:sz w:val="24"/>
          <w:szCs w:val="24"/>
        </w:rPr>
      </w:pPr>
      <w:r w:rsidRPr="000B0403">
        <w:rPr>
          <w:rFonts w:ascii="Times New Roman" w:hAnsi="Times New Roman"/>
          <w:sz w:val="24"/>
          <w:szCs w:val="24"/>
        </w:rPr>
        <w:t>shall be imprisoned not more than 10 years, fined in accordance with this title, or both; and</w:t>
      </w:r>
    </w:p>
    <w:p w14:paraId="7F8C9567" w14:textId="77777777" w:rsidR="00382F02" w:rsidRPr="000B0403" w:rsidRDefault="00382F02" w:rsidP="00382F02">
      <w:pPr>
        <w:ind w:left="720"/>
        <w:rPr>
          <w:rFonts w:ascii="Times New Roman" w:hAnsi="Times New Roman"/>
          <w:sz w:val="24"/>
          <w:szCs w:val="24"/>
        </w:rPr>
      </w:pPr>
      <w:bookmarkStart w:id="137" w:name="a_1_B"/>
      <w:bookmarkEnd w:id="137"/>
      <w:r w:rsidRPr="000B0403">
        <w:rPr>
          <w:rStyle w:val="num"/>
          <w:rFonts w:ascii="Times New Roman" w:hAnsi="Times New Roman"/>
          <w:sz w:val="24"/>
          <w:szCs w:val="24"/>
        </w:rPr>
        <w:t>(B)</w:t>
      </w:r>
      <w:r w:rsidRPr="000B0403">
        <w:rPr>
          <w:rStyle w:val="chapeau"/>
          <w:rFonts w:ascii="Times New Roman" w:hAnsi="Times New Roman"/>
          <w:sz w:val="24"/>
          <w:szCs w:val="24"/>
        </w:rPr>
        <w:t xml:space="preserve"> shall be imprisoned for any term of </w:t>
      </w:r>
      <w:proofErr w:type="gramStart"/>
      <w:r w:rsidRPr="000B0403">
        <w:rPr>
          <w:rStyle w:val="chapeau"/>
          <w:rFonts w:ascii="Times New Roman" w:hAnsi="Times New Roman"/>
          <w:sz w:val="24"/>
          <w:szCs w:val="24"/>
        </w:rPr>
        <w:t>years</w:t>
      </w:r>
      <w:proofErr w:type="gramEnd"/>
      <w:r w:rsidRPr="000B0403">
        <w:rPr>
          <w:rStyle w:val="chapeau"/>
          <w:rFonts w:ascii="Times New Roman" w:hAnsi="Times New Roman"/>
          <w:sz w:val="24"/>
          <w:szCs w:val="24"/>
        </w:rPr>
        <w:t xml:space="preserve"> or for life, fined in accordance with this title, or both, if—</w:t>
      </w:r>
      <w:r w:rsidRPr="000B0403">
        <w:rPr>
          <w:rFonts w:ascii="Times New Roman" w:hAnsi="Times New Roman"/>
          <w:sz w:val="24"/>
          <w:szCs w:val="24"/>
        </w:rPr>
        <w:t xml:space="preserve"> </w:t>
      </w:r>
    </w:p>
    <w:p w14:paraId="4F4C8156" w14:textId="77777777" w:rsidR="00382F02" w:rsidRPr="000B0403" w:rsidRDefault="00382F02" w:rsidP="00382F02">
      <w:pPr>
        <w:ind w:firstLine="720"/>
        <w:rPr>
          <w:rFonts w:ascii="Times New Roman" w:hAnsi="Times New Roman"/>
          <w:sz w:val="24"/>
          <w:szCs w:val="24"/>
        </w:rPr>
      </w:pPr>
      <w:bookmarkStart w:id="138" w:name="a_1_B_i"/>
      <w:bookmarkEnd w:id="138"/>
      <w:r w:rsidRPr="000B0403">
        <w:rPr>
          <w:rStyle w:val="num"/>
          <w:rFonts w:ascii="Times New Roman" w:hAnsi="Times New Roman"/>
          <w:sz w:val="24"/>
          <w:szCs w:val="24"/>
        </w:rPr>
        <w:t>(</w:t>
      </w:r>
      <w:proofErr w:type="spellStart"/>
      <w:r w:rsidRPr="000B0403">
        <w:rPr>
          <w:rStyle w:val="num"/>
          <w:rFonts w:ascii="Times New Roman" w:hAnsi="Times New Roman"/>
          <w:sz w:val="24"/>
          <w:szCs w:val="24"/>
        </w:rPr>
        <w:t>i</w:t>
      </w:r>
      <w:proofErr w:type="spellEnd"/>
      <w:r w:rsidRPr="000B0403">
        <w:rPr>
          <w:rStyle w:val="num"/>
          <w:rFonts w:ascii="Times New Roman" w:hAnsi="Times New Roman"/>
          <w:sz w:val="24"/>
          <w:szCs w:val="24"/>
        </w:rPr>
        <w:t>)</w:t>
      </w:r>
      <w:r w:rsidRPr="000B0403">
        <w:rPr>
          <w:rFonts w:ascii="Times New Roman" w:hAnsi="Times New Roman"/>
          <w:sz w:val="24"/>
          <w:szCs w:val="24"/>
        </w:rPr>
        <w:t xml:space="preserve"> </w:t>
      </w:r>
    </w:p>
    <w:p w14:paraId="450A8FE4" w14:textId="77777777" w:rsidR="00382F02" w:rsidRPr="000B0403" w:rsidRDefault="00382F02" w:rsidP="00382F02">
      <w:pPr>
        <w:ind w:firstLine="720"/>
        <w:rPr>
          <w:rFonts w:ascii="Times New Roman" w:hAnsi="Times New Roman"/>
          <w:sz w:val="24"/>
          <w:szCs w:val="24"/>
        </w:rPr>
      </w:pPr>
      <w:r w:rsidRPr="000B0403">
        <w:rPr>
          <w:rFonts w:ascii="Times New Roman" w:hAnsi="Times New Roman"/>
          <w:sz w:val="24"/>
          <w:szCs w:val="24"/>
        </w:rPr>
        <w:t>death results from the offense; or</w:t>
      </w:r>
    </w:p>
    <w:p w14:paraId="413EFAE4" w14:textId="77777777" w:rsidR="00382F02" w:rsidRPr="000B0403" w:rsidRDefault="00382F02" w:rsidP="00382F02">
      <w:pPr>
        <w:ind w:firstLine="720"/>
        <w:rPr>
          <w:rFonts w:ascii="Times New Roman" w:hAnsi="Times New Roman"/>
          <w:sz w:val="24"/>
          <w:szCs w:val="24"/>
        </w:rPr>
      </w:pPr>
      <w:bookmarkStart w:id="139" w:name="a_1_B_ii"/>
      <w:bookmarkEnd w:id="139"/>
      <w:r w:rsidRPr="000B0403">
        <w:rPr>
          <w:rStyle w:val="num"/>
          <w:rFonts w:ascii="Times New Roman" w:hAnsi="Times New Roman"/>
          <w:sz w:val="24"/>
          <w:szCs w:val="24"/>
        </w:rPr>
        <w:t>(ii)</w:t>
      </w:r>
      <w:r w:rsidRPr="000B0403">
        <w:rPr>
          <w:rFonts w:ascii="Times New Roman" w:hAnsi="Times New Roman"/>
          <w:sz w:val="24"/>
          <w:szCs w:val="24"/>
        </w:rPr>
        <w:t xml:space="preserve"> </w:t>
      </w:r>
    </w:p>
    <w:p w14:paraId="282BC73C" w14:textId="77777777" w:rsidR="00382F02" w:rsidRPr="000B0403" w:rsidRDefault="00382F02" w:rsidP="00382F02">
      <w:pPr>
        <w:ind w:left="720"/>
        <w:rPr>
          <w:rFonts w:ascii="Times New Roman" w:hAnsi="Times New Roman"/>
          <w:sz w:val="24"/>
          <w:szCs w:val="24"/>
        </w:rPr>
      </w:pPr>
      <w:r w:rsidRPr="000B0403">
        <w:rPr>
          <w:rFonts w:ascii="Times New Roman" w:hAnsi="Times New Roman"/>
          <w:sz w:val="24"/>
          <w:szCs w:val="24"/>
        </w:rPr>
        <w:t>the offense includes kidnapping or an attempt to kidnap, aggravated sexual abuse or an attempt to commit aggravated sexual abuse, or an attempt to kill.</w:t>
      </w:r>
      <w:r>
        <w:rPr>
          <w:rFonts w:ascii="Times New Roman" w:hAnsi="Times New Roman"/>
          <w:sz w:val="24"/>
          <w:szCs w:val="24"/>
        </w:rPr>
        <w:t xml:space="preserve"> </w:t>
      </w:r>
      <w:hyperlink r:id="rId744" w:history="1">
        <w:r w:rsidRPr="007529FC">
          <w:rPr>
            <w:rStyle w:val="Hyperlink"/>
            <w:sz w:val="24"/>
            <w:szCs w:val="24"/>
          </w:rPr>
          <w:t>https://www.law.cornell.edu/uscode/text/18/249</w:t>
        </w:r>
      </w:hyperlink>
      <w:r>
        <w:rPr>
          <w:rFonts w:ascii="Times New Roman" w:hAnsi="Times New Roman"/>
          <w:sz w:val="24"/>
          <w:szCs w:val="24"/>
        </w:rPr>
        <w:t xml:space="preserve"> </w:t>
      </w:r>
    </w:p>
    <w:p w14:paraId="2174427A" w14:textId="77777777" w:rsidR="00382F02" w:rsidRDefault="00382F02" w:rsidP="00F326E5">
      <w:pPr>
        <w:pStyle w:val="NoSpacing"/>
        <w:rPr>
          <w:rFonts w:ascii="Arial Black" w:hAnsi="Arial Black"/>
          <w:sz w:val="28"/>
          <w:szCs w:val="28"/>
        </w:rPr>
      </w:pPr>
    </w:p>
    <w:p w14:paraId="690EBDFB" w14:textId="77777777" w:rsidR="00382F02" w:rsidRDefault="00382F02" w:rsidP="00F326E5">
      <w:pPr>
        <w:pStyle w:val="NoSpacing"/>
        <w:rPr>
          <w:rFonts w:ascii="Arial Black" w:hAnsi="Arial Black"/>
          <w:sz w:val="28"/>
          <w:szCs w:val="28"/>
        </w:rPr>
      </w:pPr>
    </w:p>
    <w:p w14:paraId="72E98395" w14:textId="04270C47" w:rsidR="005217D5" w:rsidRDefault="005217D5" w:rsidP="00F326E5">
      <w:pPr>
        <w:pStyle w:val="NoSpacing"/>
        <w:rPr>
          <w:rFonts w:ascii="Arial Black" w:hAnsi="Arial Black"/>
          <w:sz w:val="28"/>
          <w:szCs w:val="28"/>
        </w:rPr>
      </w:pPr>
      <w:r>
        <w:rPr>
          <w:rFonts w:ascii="Arial Black" w:hAnsi="Arial Black"/>
          <w:sz w:val="28"/>
          <w:szCs w:val="28"/>
        </w:rPr>
        <w:t>3-36</w:t>
      </w:r>
    </w:p>
    <w:p w14:paraId="2B61566C" w14:textId="503D3491" w:rsidR="005217D5" w:rsidRDefault="005217D5" w:rsidP="00F326E5">
      <w:pPr>
        <w:pStyle w:val="NoSpacing"/>
        <w:rPr>
          <w:rFonts w:ascii="Arial Black" w:hAnsi="Arial Black"/>
          <w:sz w:val="28"/>
          <w:szCs w:val="28"/>
        </w:rPr>
      </w:pPr>
    </w:p>
    <w:p w14:paraId="13A736CD" w14:textId="77777777" w:rsidR="005217D5" w:rsidRPr="00C04DE5" w:rsidRDefault="005217D5" w:rsidP="005217D5">
      <w:pPr>
        <w:rPr>
          <w:rStyle w:val="markedcontent"/>
          <w:rFonts w:ascii="Arial Black" w:hAnsi="Arial Black"/>
          <w:sz w:val="28"/>
          <w:szCs w:val="28"/>
        </w:rPr>
      </w:pPr>
      <w:r>
        <w:rPr>
          <w:rStyle w:val="markedcontent"/>
          <w:rFonts w:ascii="Arial Black" w:hAnsi="Arial Black"/>
          <w:sz w:val="28"/>
          <w:szCs w:val="28"/>
        </w:rPr>
        <w:t>VA: GUN CONTROL - 4</w:t>
      </w:r>
      <w:r w:rsidRPr="002E2552">
        <w:rPr>
          <w:rStyle w:val="markedcontent"/>
          <w:rFonts w:ascii="Arial Black" w:hAnsi="Arial Black"/>
          <w:sz w:val="28"/>
          <w:szCs w:val="28"/>
          <w:vertAlign w:val="superscript"/>
        </w:rPr>
        <w:t>th</w:t>
      </w:r>
      <w:r>
        <w:rPr>
          <w:rStyle w:val="markedcontent"/>
          <w:rFonts w:ascii="Arial Black" w:hAnsi="Arial Black"/>
          <w:sz w:val="28"/>
          <w:szCs w:val="28"/>
        </w:rPr>
        <w:t xml:space="preserve"> CIRCUIT - 18-20 YEAR OLDS HAVE RIGHT TO BUY HANDGUNS FROM LICENSED GUN DEALERS</w:t>
      </w:r>
    </w:p>
    <w:p w14:paraId="10EE14E4" w14:textId="77777777" w:rsidR="005217D5" w:rsidRPr="007921A4" w:rsidRDefault="005217D5" w:rsidP="005217D5">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July 15, 2021, in </w:t>
      </w:r>
      <w:r w:rsidRPr="00FD0DBE">
        <w:rPr>
          <w:rStyle w:val="markedcontent"/>
          <w:rFonts w:ascii="Times New Roman" w:hAnsi="Times New Roman"/>
          <w:sz w:val="24"/>
          <w:szCs w:val="24"/>
          <w:u w:val="single"/>
        </w:rPr>
        <w:t>Tanner Hirschfeld; Natalia Marshall v. Bureau of Alcohol, Firearms, Tobacco &amp; Explosives</w:t>
      </w:r>
      <w:r>
        <w:rPr>
          <w:rStyle w:val="markedcontent"/>
          <w:rFonts w:ascii="Times New Roman" w:hAnsi="Times New Roman"/>
          <w:sz w:val="24"/>
          <w:szCs w:val="24"/>
        </w:rPr>
        <w:t>, the U.S. Court of Appeals for the 4</w:t>
      </w:r>
      <w:r w:rsidRPr="00FD0DBE">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(Richmond, VA) held (2 to 1) that Congress in passing the </w:t>
      </w:r>
      <w:r w:rsidRPr="00FD0DBE">
        <w:rPr>
          <w:rStyle w:val="markedcontent"/>
          <w:rFonts w:ascii="Times New Roman" w:hAnsi="Times New Roman"/>
          <w:sz w:val="24"/>
          <w:szCs w:val="24"/>
        </w:rPr>
        <w:t>Omnibus Crime Control and Safe Streets Act of 1968</w:t>
      </w:r>
      <w:r>
        <w:rPr>
          <w:rStyle w:val="markedcontent"/>
          <w:rFonts w:ascii="Times New Roman" w:hAnsi="Times New Roman"/>
          <w:sz w:val="24"/>
          <w:szCs w:val="24"/>
        </w:rPr>
        <w:t xml:space="preserve"> violated the 2</w:t>
      </w:r>
      <w:r w:rsidRPr="002A4D97">
        <w:rPr>
          <w:rStyle w:val="markedcontent"/>
          <w:rFonts w:ascii="Times New Roman" w:hAnsi="Times New Roman"/>
          <w:sz w:val="24"/>
          <w:szCs w:val="24"/>
          <w:vertAlign w:val="superscript"/>
        </w:rPr>
        <w:t>nd</w:t>
      </w:r>
      <w:r>
        <w:rPr>
          <w:rStyle w:val="markedcontent"/>
          <w:rFonts w:ascii="Times New Roman" w:hAnsi="Times New Roman"/>
          <w:sz w:val="24"/>
          <w:szCs w:val="24"/>
        </w:rPr>
        <w:t xml:space="preserve"> Amendment rights of 18-20 year olds to purchase handguns or ammunition from federally licensed gun dealers.  The Court reviewed the history of the Bill of Rights; in 1791 when the first 10 Amendments were ratified by </w:t>
      </w:r>
      <w:proofErr w:type="gramStart"/>
      <w:r>
        <w:rPr>
          <w:rStyle w:val="markedcontent"/>
          <w:rFonts w:ascii="Times New Roman" w:hAnsi="Times New Roman"/>
          <w:sz w:val="24"/>
          <w:szCs w:val="24"/>
        </w:rPr>
        <w:t>states,</w:t>
      </w:r>
      <w:proofErr w:type="gramEnd"/>
      <w:r>
        <w:rPr>
          <w:rStyle w:val="markedcontent"/>
          <w:rFonts w:ascii="Times New Roman" w:hAnsi="Times New Roman"/>
          <w:sz w:val="24"/>
          <w:szCs w:val="24"/>
        </w:rPr>
        <w:t xml:space="preserve"> all 14 states </w:t>
      </w:r>
      <w:r w:rsidRPr="00595382">
        <w:rPr>
          <w:rStyle w:val="markedcontent"/>
          <w:rFonts w:ascii="Times New Roman" w:hAnsi="Times New Roman"/>
          <w:sz w:val="24"/>
          <w:szCs w:val="24"/>
        </w:rPr>
        <w:t xml:space="preserve">uniformly required </w:t>
      </w:r>
      <w:r>
        <w:rPr>
          <w:rStyle w:val="markedcontent"/>
          <w:rFonts w:ascii="Times New Roman" w:hAnsi="Times New Roman"/>
          <w:sz w:val="24"/>
          <w:szCs w:val="24"/>
        </w:rPr>
        <w:t>all males 1</w:t>
      </w:r>
      <w:r w:rsidRPr="00595382">
        <w:rPr>
          <w:rStyle w:val="markedcontent"/>
          <w:rFonts w:ascii="Times New Roman" w:hAnsi="Times New Roman"/>
          <w:sz w:val="24"/>
          <w:szCs w:val="24"/>
        </w:rPr>
        <w:t xml:space="preserve">8 and older to join the </w:t>
      </w:r>
      <w:r>
        <w:rPr>
          <w:rStyle w:val="markedcontent"/>
          <w:rFonts w:ascii="Times New Roman" w:hAnsi="Times New Roman"/>
          <w:sz w:val="24"/>
          <w:szCs w:val="24"/>
        </w:rPr>
        <w:t xml:space="preserve">state </w:t>
      </w:r>
      <w:r w:rsidRPr="00595382">
        <w:rPr>
          <w:rStyle w:val="markedcontent"/>
          <w:rFonts w:ascii="Times New Roman" w:hAnsi="Times New Roman"/>
          <w:sz w:val="24"/>
          <w:szCs w:val="24"/>
        </w:rPr>
        <w:t xml:space="preserve">militia </w:t>
      </w:r>
      <w:r>
        <w:rPr>
          <w:rStyle w:val="markedcontent"/>
          <w:rFonts w:ascii="Times New Roman" w:hAnsi="Times New Roman"/>
          <w:sz w:val="24"/>
          <w:szCs w:val="24"/>
        </w:rPr>
        <w:t xml:space="preserve">and to have </w:t>
      </w:r>
      <w:r w:rsidRPr="00595382">
        <w:rPr>
          <w:rStyle w:val="markedcontent"/>
          <w:rFonts w:ascii="Times New Roman" w:hAnsi="Times New Roman"/>
          <w:sz w:val="24"/>
          <w:szCs w:val="24"/>
        </w:rPr>
        <w:t xml:space="preserve">their own </w:t>
      </w:r>
      <w:r>
        <w:rPr>
          <w:rStyle w:val="markedcontent"/>
          <w:rFonts w:ascii="Times New Roman" w:hAnsi="Times New Roman"/>
          <w:sz w:val="24"/>
          <w:szCs w:val="24"/>
        </w:rPr>
        <w:t>fire</w:t>
      </w:r>
      <w:r w:rsidRPr="00595382">
        <w:rPr>
          <w:rStyle w:val="markedcontent"/>
          <w:rFonts w:ascii="Times New Roman" w:hAnsi="Times New Roman"/>
          <w:sz w:val="24"/>
          <w:szCs w:val="24"/>
        </w:rPr>
        <w:t>arms.</w:t>
      </w:r>
      <w:r>
        <w:rPr>
          <w:rStyle w:val="markedcontent"/>
          <w:rFonts w:ascii="Times New Roman" w:hAnsi="Times New Roman"/>
          <w:sz w:val="24"/>
          <w:szCs w:val="24"/>
        </w:rPr>
        <w:t xml:space="preserve"> Recognizing violent crime by youth is an important societal issue, </w:t>
      </w:r>
      <w:r>
        <w:rPr>
          <w:rFonts w:ascii="Times New Roman" w:hAnsi="Times New Roman"/>
          <w:sz w:val="24"/>
          <w:szCs w:val="24"/>
        </w:rPr>
        <w:t xml:space="preserve">less than </w:t>
      </w:r>
      <w:r w:rsidRPr="007921A4">
        <w:rPr>
          <w:rFonts w:ascii="Times New Roman" w:hAnsi="Times New Roman"/>
          <w:sz w:val="24"/>
          <w:szCs w:val="24"/>
        </w:rPr>
        <w:t xml:space="preserve">1% </w:t>
      </w:r>
      <w:r>
        <w:rPr>
          <w:rFonts w:ascii="Times New Roman" w:hAnsi="Times New Roman"/>
          <w:sz w:val="24"/>
          <w:szCs w:val="24"/>
        </w:rPr>
        <w:t xml:space="preserve">of those under 21 </w:t>
      </w:r>
      <w:r w:rsidRPr="007921A4">
        <w:rPr>
          <w:rFonts w:ascii="Times New Roman" w:hAnsi="Times New Roman"/>
          <w:sz w:val="24"/>
          <w:szCs w:val="24"/>
        </w:rPr>
        <w:t>commit violent crime</w:t>
      </w:r>
      <w:r>
        <w:rPr>
          <w:rFonts w:ascii="Times New Roman" w:hAnsi="Times New Roman"/>
          <w:sz w:val="24"/>
          <w:szCs w:val="24"/>
        </w:rPr>
        <w:t xml:space="preserve">s. </w:t>
      </w:r>
    </w:p>
    <w:p w14:paraId="18A42E12" w14:textId="77777777" w:rsidR="005217D5" w:rsidRDefault="005217D5" w:rsidP="005217D5">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4</w:t>
      </w:r>
      <w:r w:rsidRPr="0086321E">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[opinion by Circuit Judge Julus N. Richardson].</w:t>
      </w:r>
    </w:p>
    <w:p w14:paraId="6D8827B3" w14:textId="77777777" w:rsidR="005217D5" w:rsidRDefault="005217D5" w:rsidP="005217D5">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r w:rsidRPr="002E2552">
        <w:rPr>
          <w:rStyle w:val="markedcontent"/>
          <w:rFonts w:ascii="Times New Roman" w:hAnsi="Times New Roman"/>
          <w:sz w:val="24"/>
          <w:szCs w:val="24"/>
        </w:rPr>
        <w:t>Despite the weighty interest in reducing crime and violence, we refuse to relegate either the Second Amendment or 18- to 20-year-olds to a second-class statu</w:t>
      </w:r>
      <w:r>
        <w:rPr>
          <w:rStyle w:val="markedcontent"/>
          <w:rFonts w:ascii="Times New Roman" w:hAnsi="Times New Roman"/>
          <w:sz w:val="24"/>
          <w:szCs w:val="24"/>
        </w:rPr>
        <w:t>s.</w:t>
      </w:r>
    </w:p>
    <w:p w14:paraId="1B6802F4" w14:textId="77777777" w:rsidR="005217D5" w:rsidRDefault="005217D5" w:rsidP="005217D5">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p>
    <w:p w14:paraId="0046071D" w14:textId="77777777" w:rsidR="005217D5" w:rsidRDefault="005217D5" w:rsidP="005217D5">
      <w:pPr>
        <w:spacing w:before="100" w:beforeAutospacing="1" w:after="100" w:afterAutospacing="1" w:line="240" w:lineRule="auto"/>
        <w:ind w:left="720"/>
        <w:rPr>
          <w:rStyle w:val="markedcontent"/>
          <w:rFonts w:ascii="Times New Roman" w:hAnsi="Times New Roman"/>
          <w:sz w:val="24"/>
          <w:szCs w:val="24"/>
        </w:rPr>
      </w:pPr>
      <w:proofErr w:type="gramStart"/>
      <w:r w:rsidRPr="00420E30">
        <w:rPr>
          <w:rStyle w:val="markedcontent"/>
          <w:rFonts w:ascii="Times New Roman" w:hAnsi="Times New Roman"/>
          <w:sz w:val="24"/>
          <w:szCs w:val="24"/>
        </w:rPr>
        <w:t>So</w:t>
      </w:r>
      <w:proofErr w:type="gramEnd"/>
      <w:r w:rsidRPr="00420E30">
        <w:rPr>
          <w:rStyle w:val="markedcontent"/>
          <w:rFonts w:ascii="Times New Roman" w:hAnsi="Times New Roman"/>
          <w:sz w:val="24"/>
          <w:szCs w:val="24"/>
        </w:rPr>
        <w:t xml:space="preserve"> while 18- to 20-year-olds may commit a disproportionate share of violent crime, an exceedingly small percentage, around 0.3% and definitely </w:t>
      </w:r>
      <w:proofErr w:type="gramStart"/>
      <w:r w:rsidRPr="00420E30">
        <w:rPr>
          <w:rStyle w:val="markedcontent"/>
          <w:rFonts w:ascii="Times New Roman" w:hAnsi="Times New Roman"/>
          <w:sz w:val="24"/>
          <w:szCs w:val="24"/>
        </w:rPr>
        <w:t>less than 1%,</w:t>
      </w:r>
      <w:proofErr w:type="gramEnd"/>
      <w:r w:rsidRPr="00420E30">
        <w:rPr>
          <w:rStyle w:val="markedcontent"/>
          <w:rFonts w:ascii="Times New Roman" w:hAnsi="Times New Roman"/>
          <w:sz w:val="24"/>
          <w:szCs w:val="24"/>
        </w:rPr>
        <w:t xml:space="preserve"> of the 13 million young adults in this group commit those crimes.</w:t>
      </w:r>
      <w:r>
        <w:rPr>
          <w:rStyle w:val="markedcontent"/>
          <w:rFonts w:ascii="Times New Roman" w:hAnsi="Times New Roman"/>
          <w:sz w:val="24"/>
          <w:szCs w:val="24"/>
        </w:rPr>
        <w:t xml:space="preserve"> </w:t>
      </w:r>
      <w:r w:rsidRPr="00420E30">
        <w:rPr>
          <w:rStyle w:val="markedcontent"/>
          <w:rFonts w:ascii="Times New Roman" w:hAnsi="Times New Roman"/>
          <w:sz w:val="24"/>
          <w:szCs w:val="24"/>
        </w:rPr>
        <w:t>This alone cannot justify restricting the entire group’s rights.</w:t>
      </w:r>
    </w:p>
    <w:p w14:paraId="198B870E" w14:textId="77777777" w:rsidR="005217D5" w:rsidRDefault="005217D5" w:rsidP="005217D5">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p>
    <w:p w14:paraId="18C8DB50" w14:textId="77777777" w:rsidR="005217D5" w:rsidRDefault="005217D5" w:rsidP="005217D5">
      <w:pPr>
        <w:spacing w:before="100" w:beforeAutospacing="1" w:after="100" w:afterAutospacing="1" w:line="240" w:lineRule="auto"/>
        <w:ind w:left="720"/>
        <w:rPr>
          <w:rFonts w:ascii="Times New Roman" w:eastAsia="Times New Roman" w:hAnsi="Times New Roman"/>
          <w:b/>
          <w:bCs/>
          <w:sz w:val="24"/>
          <w:szCs w:val="24"/>
        </w:rPr>
      </w:pPr>
      <w:r w:rsidRPr="002A4D97">
        <w:rPr>
          <w:rStyle w:val="markedcontent"/>
          <w:rFonts w:ascii="Times New Roman" w:hAnsi="Times New Roman"/>
          <w:sz w:val="24"/>
          <w:szCs w:val="24"/>
        </w:rPr>
        <w:t xml:space="preserve">The </w:t>
      </w:r>
      <w:r>
        <w:rPr>
          <w:rStyle w:val="markedcontent"/>
          <w:rFonts w:ascii="Times New Roman" w:hAnsi="Times New Roman"/>
          <w:sz w:val="24"/>
          <w:szCs w:val="24"/>
        </w:rPr>
        <w:t xml:space="preserve">[Founding] </w:t>
      </w:r>
      <w:r w:rsidRPr="002A4D97">
        <w:rPr>
          <w:rStyle w:val="markedcontent"/>
          <w:rFonts w:ascii="Times New Roman" w:hAnsi="Times New Roman"/>
          <w:sz w:val="24"/>
          <w:szCs w:val="24"/>
        </w:rPr>
        <w:t>Founders set age requirements for Congress and the Presidency, but they did not limit any rights protected by the Bill of Rights to those of a certain age. See U.S. Const. art. I, § 2 (age 25 for the House); id. art. I, § 3 (age 30 for the Senate); id. art. II, § 1 (age 35 for the President); cf. id. amend. XXVI (setting voting age at 18). In other words, the Founders considered age and knew how to set age requirements but placed no such restrictions on rights, including those protected by the Second Amendment.</w:t>
      </w:r>
      <w:r>
        <w:rPr>
          <w:rStyle w:val="markedcontent"/>
          <w:rFonts w:ascii="Times New Roman" w:hAnsi="Times New Roman"/>
          <w:sz w:val="24"/>
          <w:szCs w:val="24"/>
        </w:rPr>
        <w:t xml:space="preserve">” </w:t>
      </w:r>
      <w:hyperlink r:id="rId745" w:history="1">
        <w:r w:rsidRPr="00814A02">
          <w:rPr>
            <w:rStyle w:val="Hyperlink"/>
            <w:sz w:val="24"/>
            <w:szCs w:val="24"/>
          </w:rPr>
          <w:t>https://www.ca4.uscourts.gov/opinions/192250.P.pdf</w:t>
        </w:r>
      </w:hyperlink>
      <w:r w:rsidRPr="002E2552">
        <w:rPr>
          <w:rFonts w:ascii="Times New Roman" w:eastAsia="Times New Roman" w:hAnsi="Times New Roman"/>
          <w:sz w:val="24"/>
          <w:szCs w:val="24"/>
        </w:rPr>
        <w:t xml:space="preserve"> </w:t>
      </w:r>
    </w:p>
    <w:p w14:paraId="4F991733" w14:textId="77777777" w:rsidR="005217D5" w:rsidRDefault="005217D5" w:rsidP="005217D5">
      <w:pPr>
        <w:spacing w:before="100" w:beforeAutospacing="1" w:after="100" w:afterAutospacing="1" w:line="240" w:lineRule="auto"/>
        <w:rPr>
          <w:rStyle w:val="markedcontent"/>
          <w:rFonts w:ascii="Times New Roman" w:hAnsi="Times New Roman"/>
          <w:b/>
          <w:bCs/>
          <w:sz w:val="24"/>
          <w:szCs w:val="24"/>
        </w:rPr>
      </w:pPr>
      <w:r w:rsidRPr="002A4D97">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 This decision does not restrict Fire &amp; EMS Departments from banning firearms on their property or apparatus. </w:t>
      </w:r>
      <w:r w:rsidRPr="002A4D97">
        <w:rPr>
          <w:rStyle w:val="markedcontent"/>
          <w:rFonts w:ascii="Times New Roman" w:hAnsi="Times New Roman"/>
          <w:b/>
          <w:bCs/>
          <w:sz w:val="24"/>
          <w:szCs w:val="24"/>
        </w:rPr>
        <w:t xml:space="preserve">It is highly likely the U.S. Department of Justice will ask all </w:t>
      </w:r>
      <w:r>
        <w:rPr>
          <w:rStyle w:val="markedcontent"/>
          <w:rFonts w:ascii="Times New Roman" w:hAnsi="Times New Roman"/>
          <w:b/>
          <w:bCs/>
          <w:sz w:val="24"/>
          <w:szCs w:val="24"/>
        </w:rPr>
        <w:t xml:space="preserve">15 of </w:t>
      </w:r>
      <w:r w:rsidRPr="002A4D97">
        <w:rPr>
          <w:rStyle w:val="markedcontent"/>
          <w:rFonts w:ascii="Times New Roman" w:hAnsi="Times New Roman"/>
          <w:b/>
          <w:bCs/>
          <w:sz w:val="24"/>
          <w:szCs w:val="24"/>
        </w:rPr>
        <w:t>the judges</w:t>
      </w:r>
      <w:r>
        <w:rPr>
          <w:rStyle w:val="markedcontent"/>
          <w:rFonts w:ascii="Times New Roman" w:hAnsi="Times New Roman"/>
          <w:b/>
          <w:bCs/>
          <w:sz w:val="24"/>
          <w:szCs w:val="24"/>
        </w:rPr>
        <w:t xml:space="preserve"> </w:t>
      </w:r>
      <w:r w:rsidRPr="002A4D97">
        <w:rPr>
          <w:rStyle w:val="markedcontent"/>
          <w:rFonts w:ascii="Times New Roman" w:hAnsi="Times New Roman"/>
          <w:b/>
          <w:bCs/>
          <w:sz w:val="24"/>
          <w:szCs w:val="24"/>
        </w:rPr>
        <w:t>on the 4</w:t>
      </w:r>
      <w:r w:rsidRPr="002A4D97">
        <w:rPr>
          <w:rStyle w:val="markedcontent"/>
          <w:rFonts w:ascii="Times New Roman" w:hAnsi="Times New Roman"/>
          <w:b/>
          <w:bCs/>
          <w:sz w:val="24"/>
          <w:szCs w:val="24"/>
          <w:vertAlign w:val="superscript"/>
        </w:rPr>
        <w:t>th</w:t>
      </w:r>
      <w:r w:rsidRPr="002A4D97">
        <w:rPr>
          <w:rStyle w:val="markedcontent"/>
          <w:rFonts w:ascii="Times New Roman" w:hAnsi="Times New Roman"/>
          <w:b/>
          <w:bCs/>
          <w:sz w:val="24"/>
          <w:szCs w:val="24"/>
        </w:rPr>
        <w:t xml:space="preserve"> Circuit to reconsider the decision </w:t>
      </w:r>
      <w:r>
        <w:rPr>
          <w:rStyle w:val="markedcontent"/>
          <w:rFonts w:ascii="Times New Roman" w:hAnsi="Times New Roman"/>
          <w:b/>
          <w:bCs/>
          <w:sz w:val="24"/>
          <w:szCs w:val="24"/>
        </w:rPr>
        <w:t>(</w:t>
      </w:r>
      <w:proofErr w:type="spellStart"/>
      <w:r>
        <w:rPr>
          <w:rStyle w:val="markedcontent"/>
          <w:rFonts w:ascii="Times New Roman" w:hAnsi="Times New Roman"/>
          <w:b/>
          <w:bCs/>
          <w:sz w:val="24"/>
          <w:szCs w:val="24"/>
        </w:rPr>
        <w:t>en</w:t>
      </w:r>
      <w:proofErr w:type="spellEnd"/>
      <w:r>
        <w:rPr>
          <w:rStyle w:val="markedcontent"/>
          <w:rFonts w:ascii="Times New Roman" w:hAnsi="Times New Roman"/>
          <w:b/>
          <w:bCs/>
          <w:sz w:val="24"/>
          <w:szCs w:val="24"/>
        </w:rPr>
        <w:t xml:space="preserve"> banc decision)</w:t>
      </w:r>
      <w:r w:rsidRPr="002A4D97">
        <w:rPr>
          <w:rStyle w:val="markedcontent"/>
          <w:rFonts w:ascii="Times New Roman" w:hAnsi="Times New Roman"/>
          <w:b/>
          <w:bCs/>
          <w:sz w:val="24"/>
          <w:szCs w:val="24"/>
        </w:rPr>
        <w:t xml:space="preserve"> </w:t>
      </w:r>
      <w:r>
        <w:rPr>
          <w:rStyle w:val="markedcontent"/>
          <w:rFonts w:ascii="Times New Roman" w:hAnsi="Times New Roman"/>
          <w:b/>
          <w:bCs/>
          <w:sz w:val="24"/>
          <w:szCs w:val="24"/>
        </w:rPr>
        <w:t>since the 5</w:t>
      </w:r>
      <w:r w:rsidRPr="00111EF6">
        <w:rPr>
          <w:rStyle w:val="markedcontent"/>
          <w:rFonts w:ascii="Times New Roman" w:hAnsi="Times New Roman"/>
          <w:b/>
          <w:bCs/>
          <w:sz w:val="24"/>
          <w:szCs w:val="24"/>
          <w:vertAlign w:val="superscript"/>
        </w:rPr>
        <w:t>th</w:t>
      </w:r>
      <w:r>
        <w:rPr>
          <w:rStyle w:val="markedcontent"/>
          <w:rFonts w:ascii="Times New Roman" w:hAnsi="Times New Roman"/>
          <w:b/>
          <w:bCs/>
          <w:sz w:val="24"/>
          <w:szCs w:val="24"/>
        </w:rPr>
        <w:t xml:space="preserve"> Circuit and lower courts have upheld the ban. </w:t>
      </w:r>
    </w:p>
    <w:p w14:paraId="3F1BF04B" w14:textId="77777777" w:rsidR="005217D5" w:rsidRDefault="005217D5" w:rsidP="005217D5">
      <w:pPr>
        <w:spacing w:before="100" w:beforeAutospacing="1" w:after="100" w:afterAutospacing="1" w:line="240" w:lineRule="auto"/>
        <w:ind w:left="720"/>
        <w:rPr>
          <w:rFonts w:ascii="Times New Roman" w:hAnsi="Times New Roman"/>
          <w:sz w:val="24"/>
          <w:szCs w:val="24"/>
        </w:rPr>
      </w:pPr>
      <w:r w:rsidRPr="007921A4">
        <w:rPr>
          <w:rStyle w:val="markedcontent"/>
          <w:rFonts w:ascii="Times New Roman" w:hAnsi="Times New Roman"/>
          <w:sz w:val="24"/>
          <w:szCs w:val="24"/>
        </w:rPr>
        <w:t>Note: See article on the decision: “</w:t>
      </w:r>
      <w:r w:rsidRPr="007921A4">
        <w:rPr>
          <w:rFonts w:ascii="Times New Roman" w:hAnsi="Times New Roman"/>
          <w:sz w:val="24"/>
          <w:szCs w:val="24"/>
        </w:rPr>
        <w:t>Handgun sale ban to under 21-year-olds is unconstitutional, appeals court says</w:t>
      </w:r>
      <w:r>
        <w:rPr>
          <w:rFonts w:ascii="Times New Roman" w:hAnsi="Times New Roman"/>
          <w:sz w:val="24"/>
          <w:szCs w:val="24"/>
        </w:rPr>
        <w:t xml:space="preserve">.”  (July 13, 2021.)  </w:t>
      </w:r>
    </w:p>
    <w:p w14:paraId="2DDE553F" w14:textId="77777777" w:rsidR="005217D5" w:rsidRDefault="005217D5" w:rsidP="005217D5">
      <w:pPr>
        <w:spacing w:before="100" w:beforeAutospacing="1" w:after="100" w:afterAutospacing="1" w:line="240" w:lineRule="auto"/>
        <w:ind w:left="1440"/>
        <w:rPr>
          <w:rFonts w:ascii="Times New Roman" w:hAnsi="Times New Roman"/>
          <w:sz w:val="24"/>
          <w:szCs w:val="24"/>
        </w:rPr>
      </w:pPr>
      <w:r>
        <w:rPr>
          <w:rFonts w:ascii="Times New Roman" w:hAnsi="Times New Roman"/>
          <w:sz w:val="24"/>
          <w:szCs w:val="24"/>
        </w:rPr>
        <w:t>“</w:t>
      </w:r>
      <w:r w:rsidRPr="00111EF6">
        <w:rPr>
          <w:rFonts w:ascii="Times New Roman" w:hAnsi="Times New Roman"/>
          <w:sz w:val="24"/>
          <w:szCs w:val="24"/>
        </w:rPr>
        <w:t>Other courts had previously upheld the federal age minimums, as well as more expansive age limits that have been passed by states. Just last month, a federal judge upheld Florida's ban on firearm sales to those under 21.”</w:t>
      </w:r>
      <w:r>
        <w:rPr>
          <w:rFonts w:ascii="Times New Roman" w:hAnsi="Times New Roman"/>
          <w:sz w:val="24"/>
          <w:szCs w:val="24"/>
        </w:rPr>
        <w:t xml:space="preserve"> </w:t>
      </w:r>
      <w:hyperlink r:id="rId746" w:history="1">
        <w:r w:rsidRPr="00814A02">
          <w:rPr>
            <w:rStyle w:val="Hyperlink"/>
            <w:sz w:val="24"/>
            <w:szCs w:val="24"/>
          </w:rPr>
          <w:t>https://www.cnn.com/2021/07/13/politics/handgun-appeals-court/index.html?utm_term=link&amp;utm_content=2021-07-13T19%3A12%3A10&amp;utm_source=twcnnbrk&amp;utm_medium=social</w:t>
        </w:r>
      </w:hyperlink>
      <w:r>
        <w:rPr>
          <w:rFonts w:ascii="Times New Roman" w:hAnsi="Times New Roman"/>
          <w:sz w:val="24"/>
          <w:szCs w:val="24"/>
        </w:rPr>
        <w:t xml:space="preserve"> </w:t>
      </w:r>
    </w:p>
    <w:p w14:paraId="45793039" w14:textId="77777777" w:rsidR="005217D5" w:rsidRPr="00150169" w:rsidRDefault="005217D5" w:rsidP="005217D5">
      <w:pPr>
        <w:spacing w:before="100" w:beforeAutospacing="1" w:after="100" w:afterAutospacing="1" w:line="240" w:lineRule="auto"/>
        <w:jc w:val="center"/>
        <w:rPr>
          <w:rFonts w:ascii="Times New Roman" w:eastAsia="Times New Roman" w:hAnsi="Times New Roman"/>
          <w:sz w:val="24"/>
          <w:szCs w:val="24"/>
        </w:rPr>
      </w:pPr>
    </w:p>
    <w:p w14:paraId="553BC87B" w14:textId="77777777" w:rsidR="005217D5" w:rsidRDefault="005217D5" w:rsidP="005217D5">
      <w:pPr>
        <w:pStyle w:val="Heading1"/>
        <w:ind w:left="720"/>
        <w:rPr>
          <w:b w:val="0"/>
          <w:bCs w:val="0"/>
          <w:sz w:val="24"/>
          <w:szCs w:val="24"/>
        </w:rPr>
      </w:pPr>
      <w:r w:rsidRPr="00150169">
        <w:rPr>
          <w:b w:val="0"/>
          <w:bCs w:val="0"/>
          <w:sz w:val="24"/>
          <w:szCs w:val="24"/>
        </w:rPr>
        <w:t>July 18, 2021: “</w:t>
      </w:r>
      <w:r w:rsidRPr="00150169">
        <w:rPr>
          <w:rStyle w:val="gold"/>
          <w:rFonts w:eastAsiaTheme="majorEastAsia"/>
          <w:b w:val="0"/>
          <w:bCs w:val="0"/>
          <w:sz w:val="24"/>
          <w:szCs w:val="24"/>
        </w:rPr>
        <w:t xml:space="preserve">Opinion: </w:t>
      </w:r>
      <w:r w:rsidRPr="00150169">
        <w:rPr>
          <w:b w:val="0"/>
          <w:bCs w:val="0"/>
          <w:sz w:val="24"/>
          <w:szCs w:val="24"/>
        </w:rPr>
        <w:t xml:space="preserve">A federal appeals court decision on handguns opens the door to more violence.” </w:t>
      </w:r>
    </w:p>
    <w:p w14:paraId="7187055A" w14:textId="77777777" w:rsidR="005217D5" w:rsidRDefault="005217D5" w:rsidP="005217D5">
      <w:pPr>
        <w:pStyle w:val="Heading1"/>
        <w:ind w:left="1440"/>
        <w:rPr>
          <w:b w:val="0"/>
          <w:bCs w:val="0"/>
          <w:sz w:val="24"/>
          <w:szCs w:val="24"/>
        </w:rPr>
      </w:pPr>
      <w:r>
        <w:rPr>
          <w:b w:val="0"/>
          <w:bCs w:val="0"/>
          <w:sz w:val="24"/>
          <w:szCs w:val="24"/>
        </w:rPr>
        <w:t>“</w:t>
      </w:r>
      <w:r w:rsidRPr="0053535C">
        <w:rPr>
          <w:b w:val="0"/>
          <w:bCs w:val="0"/>
          <w:sz w:val="24"/>
          <w:szCs w:val="24"/>
        </w:rPr>
        <w:t>That act of judicial arrogance, if affirmed on appeal, would likely accelerate the current spike in homicides, many of them committed with handguns by individuals under the age of 21. And it comes as Americans are embarked on a record-setting</w:t>
      </w:r>
      <w:hyperlink r:id="rId747" w:tgtFrame="_blank" w:history="1">
        <w:r w:rsidRPr="0053535C">
          <w:rPr>
            <w:rStyle w:val="Hyperlink"/>
            <w:sz w:val="24"/>
            <w:szCs w:val="24"/>
          </w:rPr>
          <w:t xml:space="preserve"> gun-buying spree</w:t>
        </w:r>
      </w:hyperlink>
      <w:r w:rsidRPr="0053535C">
        <w:rPr>
          <w:b w:val="0"/>
          <w:bCs w:val="0"/>
          <w:sz w:val="24"/>
          <w:szCs w:val="24"/>
        </w:rPr>
        <w:t>, which began during the pandemic and shows no sign of waning.</w:t>
      </w:r>
      <w:r>
        <w:rPr>
          <w:b w:val="0"/>
          <w:bCs w:val="0"/>
          <w:sz w:val="24"/>
          <w:szCs w:val="24"/>
        </w:rPr>
        <w:t xml:space="preserve">” </w:t>
      </w:r>
      <w:hyperlink r:id="rId748" w:history="1">
        <w:r w:rsidRPr="004A379F">
          <w:rPr>
            <w:rStyle w:val="Hyperlink"/>
            <w:sz w:val="24"/>
            <w:szCs w:val="24"/>
          </w:rPr>
          <w:t>https://www.washingtonpost.com/opinions/2021/07/18/federal-appeals-court-decisions-handguns-opens-door-more-violence/?utm_campaign=wp_todays_headlines&amp;utm_medium=email&amp;utm_source=newsletter&amp;wpisrc=nl_headlines&amp;carta-url=https%3A%2F%2Fs2.washingtonpost.com%2Fcar-ln-tr%2F342e6a3%2F60f54d379d2fda945a0c336b%2F59731235ade4e21a848a56ed%2F42%2F67%2F60f54d379d2fda945a0c336b</w:t>
        </w:r>
      </w:hyperlink>
      <w:r w:rsidRPr="00150169">
        <w:rPr>
          <w:b w:val="0"/>
          <w:bCs w:val="0"/>
          <w:sz w:val="24"/>
          <w:szCs w:val="24"/>
        </w:rPr>
        <w:t xml:space="preserve"> </w:t>
      </w:r>
    </w:p>
    <w:p w14:paraId="63E53266" w14:textId="77777777" w:rsidR="005217D5" w:rsidRPr="00231A9A" w:rsidRDefault="005217D5" w:rsidP="005217D5">
      <w:pPr>
        <w:pStyle w:val="Heading1"/>
        <w:ind w:left="720"/>
        <w:rPr>
          <w:b w:val="0"/>
          <w:bCs w:val="0"/>
          <w:sz w:val="24"/>
          <w:szCs w:val="24"/>
        </w:rPr>
      </w:pPr>
      <w:r w:rsidRPr="00231A9A">
        <w:rPr>
          <w:b w:val="0"/>
          <w:bCs w:val="0"/>
          <w:sz w:val="24"/>
          <w:szCs w:val="24"/>
        </w:rPr>
        <w:t>Aug. 2, 2021:   'Something has to be done.' Lawsuit filed against maker of 100-round magazine used in Dayton mass shooting</w:t>
      </w:r>
      <w:r>
        <w:rPr>
          <w:b w:val="0"/>
          <w:bCs w:val="0"/>
          <w:sz w:val="24"/>
          <w:szCs w:val="24"/>
        </w:rPr>
        <w:t xml:space="preserve">.” </w:t>
      </w:r>
    </w:p>
    <w:p w14:paraId="6ACB51B0" w14:textId="77777777" w:rsidR="005217D5" w:rsidRPr="0053535C" w:rsidRDefault="005217D5" w:rsidP="005217D5">
      <w:pPr>
        <w:pStyle w:val="Heading1"/>
        <w:ind w:left="1440"/>
        <w:rPr>
          <w:b w:val="0"/>
          <w:bCs w:val="0"/>
          <w:sz w:val="24"/>
          <w:szCs w:val="24"/>
        </w:rPr>
      </w:pPr>
      <w:r w:rsidRPr="0053535C">
        <w:rPr>
          <w:b w:val="0"/>
          <w:bCs w:val="0"/>
          <w:sz w:val="24"/>
          <w:szCs w:val="24"/>
        </w:rPr>
        <w:t xml:space="preserve">“Two years ago, Connor Betts used a high-powered rifle </w:t>
      </w:r>
      <w:hyperlink r:id="rId749" w:tgtFrame="_blank" w:history="1">
        <w:r w:rsidRPr="0053535C">
          <w:rPr>
            <w:rStyle w:val="Hyperlink"/>
            <w:sz w:val="24"/>
            <w:szCs w:val="24"/>
          </w:rPr>
          <w:t>to kill nine people and wound many others</w:t>
        </w:r>
      </w:hyperlink>
      <w:r w:rsidRPr="0053535C">
        <w:rPr>
          <w:b w:val="0"/>
          <w:bCs w:val="0"/>
          <w:sz w:val="24"/>
          <w:szCs w:val="24"/>
        </w:rPr>
        <w:t xml:space="preserve"> in a crowded entertainment district in Dayton, Ohio. </w:t>
      </w:r>
      <w:hyperlink r:id="rId750" w:tgtFrame="_blank" w:history="1">
        <w:r w:rsidRPr="0053535C">
          <w:rPr>
            <w:rStyle w:val="Hyperlink"/>
            <w:sz w:val="24"/>
            <w:szCs w:val="24"/>
          </w:rPr>
          <w:t>The tragedy unfolded in about 30 seconds</w:t>
        </w:r>
      </w:hyperlink>
      <w:r w:rsidRPr="0053535C">
        <w:rPr>
          <w:b w:val="0"/>
          <w:bCs w:val="0"/>
          <w:sz w:val="24"/>
          <w:szCs w:val="24"/>
        </w:rPr>
        <w:t>. The 24-year-old used an assault-style rifle that had a 100-round, double-drum magazine attached, allowing him to fire multiple rounds without reloading. Attorneys for several of the families of those killed are suing the company that manufactured the double-drum magazine, saying it has no real protocols or oversight in place to ensure that its product isn't used in a mass shooting. *** The lawsuit was filed in Nevada state court against Nevada-based Kyung Chang Industry USA and its related South Korean company.”  </w:t>
      </w:r>
      <w:hyperlink r:id="rId751" w:history="1">
        <w:r w:rsidRPr="0053535C">
          <w:rPr>
            <w:rStyle w:val="Hyperlink"/>
            <w:sz w:val="24"/>
            <w:szCs w:val="24"/>
          </w:rPr>
          <w:t>https://www.cincinnati.com/story/news/2021/08/02/attorney-maker-double-drum-magazine-enabled-dayton-mass-shooting/5455812001/</w:t>
        </w:r>
      </w:hyperlink>
    </w:p>
    <w:p w14:paraId="57167584" w14:textId="77777777" w:rsidR="005217D5" w:rsidRDefault="005217D5" w:rsidP="00F326E5">
      <w:pPr>
        <w:pStyle w:val="NoSpacing"/>
        <w:rPr>
          <w:rFonts w:ascii="Arial Black" w:hAnsi="Arial Black"/>
          <w:sz w:val="28"/>
          <w:szCs w:val="28"/>
        </w:rPr>
      </w:pPr>
    </w:p>
    <w:p w14:paraId="0E84CF83" w14:textId="77777777" w:rsidR="005217D5" w:rsidRDefault="005217D5" w:rsidP="00F326E5">
      <w:pPr>
        <w:pStyle w:val="NoSpacing"/>
        <w:rPr>
          <w:rFonts w:ascii="Arial Black" w:hAnsi="Arial Black"/>
          <w:sz w:val="28"/>
          <w:szCs w:val="28"/>
        </w:rPr>
      </w:pPr>
    </w:p>
    <w:p w14:paraId="28549107" w14:textId="77777777" w:rsidR="005217D5" w:rsidRDefault="005217D5" w:rsidP="00F326E5">
      <w:pPr>
        <w:pStyle w:val="NoSpacing"/>
        <w:rPr>
          <w:rFonts w:ascii="Arial Black" w:hAnsi="Arial Black"/>
          <w:sz w:val="28"/>
          <w:szCs w:val="28"/>
        </w:rPr>
      </w:pPr>
    </w:p>
    <w:p w14:paraId="0B1F9D61" w14:textId="18199422" w:rsidR="000915C1" w:rsidRDefault="00A82898" w:rsidP="00F326E5">
      <w:pPr>
        <w:pStyle w:val="NoSpacing"/>
        <w:rPr>
          <w:rFonts w:ascii="Arial Black" w:hAnsi="Arial Black"/>
          <w:sz w:val="28"/>
          <w:szCs w:val="28"/>
        </w:rPr>
      </w:pPr>
      <w:r>
        <w:rPr>
          <w:rFonts w:ascii="Arial Black" w:hAnsi="Arial Black"/>
          <w:sz w:val="28"/>
          <w:szCs w:val="28"/>
        </w:rPr>
        <w:t>3-35</w:t>
      </w:r>
    </w:p>
    <w:p w14:paraId="2634E8EF" w14:textId="56D8D3B7" w:rsidR="00A82898" w:rsidRDefault="00A82898" w:rsidP="00F326E5">
      <w:pPr>
        <w:pStyle w:val="NoSpacing"/>
        <w:rPr>
          <w:rFonts w:ascii="Arial Black" w:hAnsi="Arial Black"/>
          <w:sz w:val="28"/>
          <w:szCs w:val="28"/>
        </w:rPr>
      </w:pPr>
    </w:p>
    <w:p w14:paraId="288FC182" w14:textId="77777777" w:rsidR="00A82898" w:rsidRDefault="00A82898" w:rsidP="00A82898">
      <w:pPr>
        <w:pStyle w:val="NormalWeb"/>
        <w:spacing w:before="0" w:beforeAutospacing="0" w:after="0" w:afterAutospacing="0" w:line="255" w:lineRule="atLeast"/>
        <w:rPr>
          <w:rStyle w:val="markedcontent"/>
          <w:rFonts w:ascii="Arial Black" w:hAnsi="Arial Black"/>
          <w:sz w:val="28"/>
          <w:szCs w:val="28"/>
        </w:rPr>
      </w:pPr>
      <w:r>
        <w:rPr>
          <w:rStyle w:val="markedcontent"/>
          <w:rFonts w:ascii="Arial Black" w:hAnsi="Arial Black"/>
          <w:sz w:val="28"/>
          <w:szCs w:val="28"/>
        </w:rPr>
        <w:t xml:space="preserve">CA: FALSE CREDIT RECORDS – AFTER 9/11, CO. OFFERED “POTENTIAL MATCH” U.S. TREASURY LIST TERRORISTS </w:t>
      </w:r>
    </w:p>
    <w:p w14:paraId="2DFF652E" w14:textId="77777777" w:rsidR="00A82898" w:rsidRDefault="00A82898" w:rsidP="00A82898">
      <w:pPr>
        <w:pStyle w:val="NormalWeb"/>
        <w:spacing w:before="0" w:beforeAutospacing="0" w:after="0" w:afterAutospacing="0" w:line="255" w:lineRule="atLeast"/>
        <w:rPr>
          <w:rStyle w:val="markedcontent"/>
          <w:rFonts w:ascii="Arial Black" w:hAnsi="Arial Black"/>
          <w:sz w:val="28"/>
          <w:szCs w:val="28"/>
        </w:rPr>
      </w:pPr>
    </w:p>
    <w:p w14:paraId="39D95E18" w14:textId="77777777" w:rsidR="00A82898" w:rsidRDefault="00A82898" w:rsidP="00A82898">
      <w:pPr>
        <w:pStyle w:val="NormalWeb"/>
        <w:spacing w:before="0" w:beforeAutospacing="0" w:after="0" w:afterAutospacing="0" w:line="255" w:lineRule="atLeast"/>
        <w:rPr>
          <w:rStyle w:val="markedcontent"/>
        </w:rPr>
      </w:pPr>
      <w:r w:rsidRPr="00130D09">
        <w:rPr>
          <w:rStyle w:val="markedcontent"/>
        </w:rPr>
        <w:t xml:space="preserve">On June 25, 2021, in </w:t>
      </w:r>
      <w:r w:rsidRPr="00130D09">
        <w:rPr>
          <w:rStyle w:val="markedcontent"/>
          <w:u w:val="single"/>
        </w:rPr>
        <w:t>TransUnion LLC v. Sergio Ramirez, et al</w:t>
      </w:r>
      <w:r w:rsidRPr="00130D09">
        <w:rPr>
          <w:rStyle w:val="markedcontent"/>
        </w:rPr>
        <w:t xml:space="preserve">., the U.S. Supreme Court held (5 to 4) that </w:t>
      </w:r>
      <w:r>
        <w:rPr>
          <w:rStyle w:val="markedcontent"/>
        </w:rPr>
        <w:t xml:space="preserve">only individuals who could prove they </w:t>
      </w:r>
      <w:r w:rsidRPr="00130D09">
        <w:rPr>
          <w:rStyle w:val="markedcontent"/>
        </w:rPr>
        <w:t xml:space="preserve">suffered “concrete harm” </w:t>
      </w:r>
      <w:r>
        <w:rPr>
          <w:rStyle w:val="markedcontent"/>
        </w:rPr>
        <w:t>can sue TransUnion for violation of federal Fair Credit Reporting Act when they are falsely identified as matching someone with same fire &amp; last name on U.S. Treasury “Specially Designated Nationals” list of terrorists, and narcotics traffickers.  After the attacks on 9/11, TransUnion began selling to banks, auto dealers and other businesses a “potential match” to a name on the U.S. Treasury’s</w:t>
      </w:r>
      <w:r>
        <w:t xml:space="preserve"> list. </w:t>
      </w:r>
      <w:r w:rsidRPr="00A53168">
        <w:rPr>
          <w:rStyle w:val="markedcontent"/>
        </w:rPr>
        <w:t>TransUnion did not compare birth dates, middle initials, Social Security numbers, or any other available identifier routinely used to collect and verify credit-report data.</w:t>
      </w:r>
      <w:r>
        <w:rPr>
          <w:rStyle w:val="markedcontent"/>
        </w:rPr>
        <w:t xml:space="preserve">  After 6-day trial, the jury found a willful violation of Fair Credit Reporting Act and </w:t>
      </w:r>
      <w:r w:rsidRPr="00D61134">
        <w:rPr>
          <w:rStyle w:val="markedcontent"/>
        </w:rPr>
        <w:t>awarded each class</w:t>
      </w:r>
      <w:r>
        <w:rPr>
          <w:rStyle w:val="markedcontent"/>
        </w:rPr>
        <w:t xml:space="preserve"> </w:t>
      </w:r>
      <w:r w:rsidRPr="00D61134">
        <w:rPr>
          <w:rStyle w:val="markedcontent"/>
        </w:rPr>
        <w:t>member</w:t>
      </w:r>
      <w:r>
        <w:rPr>
          <w:rStyle w:val="markedcontent"/>
        </w:rPr>
        <w:t xml:space="preserve"> (</w:t>
      </w:r>
      <w:r>
        <w:rPr>
          <w:rStyle w:val="markedcontent"/>
          <w:sz w:val="27"/>
          <w:szCs w:val="27"/>
        </w:rPr>
        <w:t xml:space="preserve">8,185 </w:t>
      </w:r>
      <w:r>
        <w:rPr>
          <w:rStyle w:val="markedcontent"/>
        </w:rPr>
        <w:t xml:space="preserve">class members), </w:t>
      </w:r>
      <w:r w:rsidRPr="00D61134">
        <w:rPr>
          <w:rStyle w:val="markedcontent"/>
        </w:rPr>
        <w:t>$984.22 in statutory damages (about $8 million total) and $6,353.08 in punitive damages (about $52 million</w:t>
      </w:r>
      <w:r>
        <w:rPr>
          <w:rStyle w:val="markedcontent"/>
        </w:rPr>
        <w:t xml:space="preserve"> </w:t>
      </w:r>
      <w:r w:rsidRPr="00D61134">
        <w:rPr>
          <w:rStyle w:val="markedcontent"/>
        </w:rPr>
        <w:t>total).</w:t>
      </w:r>
      <w:r>
        <w:rPr>
          <w:rStyle w:val="markedcontent"/>
        </w:rPr>
        <w:t xml:space="preserve">  The Court majority set aside the verdict, and remanded case – only Plaintiff, who was denied an auto loan, and others who can prove a “concrete harm” are entitled to damages.  </w:t>
      </w:r>
    </w:p>
    <w:p w14:paraId="62FB8407" w14:textId="77777777" w:rsidR="00A82898" w:rsidRDefault="00A82898" w:rsidP="00A82898">
      <w:pPr>
        <w:pStyle w:val="NormalWeb"/>
        <w:spacing w:before="0" w:beforeAutospacing="0" w:after="0" w:afterAutospacing="0" w:line="255" w:lineRule="atLeast"/>
        <w:rPr>
          <w:rStyle w:val="markedcontent"/>
        </w:rPr>
      </w:pPr>
    </w:p>
    <w:p w14:paraId="6604DB0E" w14:textId="77777777" w:rsidR="00A82898" w:rsidRDefault="00A82898" w:rsidP="00A82898">
      <w:pPr>
        <w:pStyle w:val="NormalWeb"/>
        <w:spacing w:before="0" w:beforeAutospacing="0" w:after="0" w:afterAutospacing="0" w:line="255" w:lineRule="atLeast"/>
        <w:rPr>
          <w:rStyle w:val="markedcontent"/>
        </w:rPr>
      </w:pPr>
      <w:r>
        <w:rPr>
          <w:rStyle w:val="markedcontent"/>
        </w:rPr>
        <w:t xml:space="preserve">Note: This case was reviewed since employers, including Fire &amp; EMS conducting background checks on applicants, must be cautious of credit reports and give applicants time to correct errors. </w:t>
      </w:r>
    </w:p>
    <w:p w14:paraId="6354921C" w14:textId="77777777" w:rsidR="00A82898" w:rsidRDefault="00A82898" w:rsidP="00A82898">
      <w:pPr>
        <w:pStyle w:val="NormalWeb"/>
        <w:spacing w:before="0" w:beforeAutospacing="0" w:after="0" w:afterAutospacing="0" w:line="255" w:lineRule="atLeast"/>
        <w:rPr>
          <w:rStyle w:val="markedcontent"/>
        </w:rPr>
      </w:pPr>
    </w:p>
    <w:p w14:paraId="3E7616D6" w14:textId="77777777" w:rsidR="00A82898" w:rsidRDefault="00A82898" w:rsidP="00A82898">
      <w:pPr>
        <w:pStyle w:val="NormalWeb"/>
        <w:spacing w:before="0" w:beforeAutospacing="0" w:after="0" w:afterAutospacing="0" w:line="255" w:lineRule="atLeast"/>
        <w:rPr>
          <w:rStyle w:val="markedcontent"/>
        </w:rPr>
      </w:pPr>
    </w:p>
    <w:p w14:paraId="5356E157" w14:textId="77777777" w:rsidR="00A82898" w:rsidRDefault="00A82898" w:rsidP="00A82898">
      <w:pPr>
        <w:pStyle w:val="NormalWeb"/>
        <w:spacing w:before="0" w:beforeAutospacing="0" w:after="0" w:afterAutospacing="0" w:line="255" w:lineRule="atLeast"/>
        <w:rPr>
          <w:rStyle w:val="markedcontent"/>
        </w:rPr>
      </w:pPr>
      <w:r>
        <w:rPr>
          <w:rStyle w:val="markedcontent"/>
        </w:rPr>
        <w:t xml:space="preserve">Justice Brett Kavanaugh wrote the majority opinion: </w:t>
      </w:r>
    </w:p>
    <w:p w14:paraId="470F9907" w14:textId="77777777" w:rsidR="00A82898" w:rsidRDefault="00A82898" w:rsidP="00A82898">
      <w:pPr>
        <w:pStyle w:val="NormalWeb"/>
        <w:spacing w:before="0" w:beforeAutospacing="0" w:after="0" w:afterAutospacing="0" w:line="255" w:lineRule="atLeast"/>
        <w:rPr>
          <w:rStyle w:val="markedcontent"/>
        </w:rPr>
      </w:pPr>
    </w:p>
    <w:p w14:paraId="3C6E73E4" w14:textId="77777777" w:rsidR="00A82898" w:rsidRPr="00B92CD8" w:rsidRDefault="00A82898" w:rsidP="00A82898">
      <w:pPr>
        <w:pStyle w:val="NormalWeb"/>
        <w:spacing w:before="0" w:beforeAutospacing="0" w:after="0" w:afterAutospacing="0" w:line="255" w:lineRule="atLeast"/>
        <w:ind w:left="720"/>
        <w:rPr>
          <w:rStyle w:val="markedcontent"/>
        </w:rPr>
      </w:pPr>
      <w:r w:rsidRPr="00B92CD8">
        <w:rPr>
          <w:rStyle w:val="markedcontent"/>
        </w:rPr>
        <w:t>“When this litigation arose, Name Screen worked in the following way: When a business opted into the Name Screen service, TransUnion would conduct its ordinary credit check of the consumer, and it would also use third-party software to compare the consumer’s name against the OFAC [U.S. Treasury’s Office of Foreign Assets Control] list. If the consumer’s first and last name matched the first and last name of an individual on OFAC’s list, then TransUnion would place an alert on the credit report indicating that the consumer’s name was a “potential match” to a name on the OFAC list. TransUnion did not compare any data other than first and last names. Unsurprisingly, TransUnion’s Name Screen product generated many false positives. Thousands of law-abiding Americans happen to share a first and last name with one of the terrorists, drug traffickers, or serious criminals on OFAC’s list of specially designated nationals.</w:t>
      </w:r>
    </w:p>
    <w:p w14:paraId="7460BD34" w14:textId="77777777" w:rsidR="00A82898" w:rsidRPr="00B92CD8" w:rsidRDefault="00A82898" w:rsidP="00A82898">
      <w:pPr>
        <w:pStyle w:val="NormalWeb"/>
        <w:spacing w:before="0" w:beforeAutospacing="0" w:after="0" w:afterAutospacing="0" w:line="255" w:lineRule="atLeast"/>
        <w:ind w:left="720"/>
        <w:rPr>
          <w:rStyle w:val="markedcontent"/>
        </w:rPr>
      </w:pPr>
    </w:p>
    <w:p w14:paraId="3E4769C1" w14:textId="77777777" w:rsidR="00A82898" w:rsidRPr="00B92CD8" w:rsidRDefault="00A82898" w:rsidP="00A82898">
      <w:pPr>
        <w:pStyle w:val="NormalWeb"/>
        <w:spacing w:before="0" w:beforeAutospacing="0" w:after="0" w:afterAutospacing="0" w:line="255" w:lineRule="atLeast"/>
        <w:ind w:left="720"/>
        <w:rPr>
          <w:rStyle w:val="markedcontent"/>
        </w:rPr>
      </w:pPr>
      <w:r w:rsidRPr="00B92CD8">
        <w:rPr>
          <w:rStyle w:val="markedcontent"/>
        </w:rPr>
        <w:t>***</w:t>
      </w:r>
    </w:p>
    <w:p w14:paraId="54B0E050" w14:textId="77777777" w:rsidR="00A82898" w:rsidRPr="00B92CD8" w:rsidRDefault="00A82898" w:rsidP="00A82898">
      <w:pPr>
        <w:pStyle w:val="NormalWeb"/>
        <w:spacing w:before="0" w:beforeAutospacing="0" w:after="0" w:afterAutospacing="0" w:line="255" w:lineRule="atLeast"/>
        <w:ind w:left="720"/>
        <w:rPr>
          <w:rStyle w:val="markedcontent"/>
        </w:rPr>
      </w:pPr>
    </w:p>
    <w:p w14:paraId="209A36AE" w14:textId="77777777" w:rsidR="00A82898" w:rsidRPr="00581681" w:rsidRDefault="00A82898" w:rsidP="00A82898">
      <w:pPr>
        <w:pStyle w:val="NormalWeb"/>
        <w:spacing w:before="0" w:beforeAutospacing="0" w:after="0" w:afterAutospacing="0" w:line="255" w:lineRule="atLeast"/>
        <w:ind w:left="720"/>
        <w:rPr>
          <w:rStyle w:val="markedcontent"/>
        </w:rPr>
      </w:pPr>
      <w:r w:rsidRPr="00581681">
        <w:rPr>
          <w:rStyle w:val="markedcontent"/>
        </w:rPr>
        <w:t xml:space="preserve">Sergio Ramirez learned the hard way that he is one such individual. On February 27, 2011, Ramirez visited a Nissan dealership in Dublin, California, seeking to buy a Nissan Maxima. Ramirez was accompanied by his wife and his father-in-law. After Ramirez and his wife selected a color and negotiated a price, the dealership ran a credit check on both Ramirez and his wife. Ramirez’s credit report, produced by TransUnion, contained the following </w:t>
      </w:r>
      <w:proofErr w:type="gramStart"/>
      <w:r w:rsidRPr="00581681">
        <w:rPr>
          <w:rStyle w:val="markedcontent"/>
        </w:rPr>
        <w:t xml:space="preserve">alert: </w:t>
      </w:r>
      <w:r>
        <w:rPr>
          <w:rStyle w:val="markedcontent"/>
        </w:rPr>
        <w:t>‘</w:t>
      </w:r>
      <w:proofErr w:type="gramEnd"/>
      <w:r w:rsidRPr="00581681">
        <w:rPr>
          <w:rStyle w:val="markedcontent"/>
        </w:rPr>
        <w:t>***OFAC ADVISOR ALERT - INPUT NAME MATCHES NAME ON THE OFAC DATABASE.</w:t>
      </w:r>
      <w:r>
        <w:rPr>
          <w:rStyle w:val="markedcontent"/>
        </w:rPr>
        <w:t xml:space="preserve">’ </w:t>
      </w:r>
      <w:r w:rsidRPr="00581681">
        <w:rPr>
          <w:rStyle w:val="markedcontent"/>
        </w:rPr>
        <w:t xml:space="preserve">App. 84. A Nissan salesman told Ramirez that Nissan would not sell the car to him because his name was on a </w:t>
      </w:r>
      <w:r>
        <w:rPr>
          <w:rStyle w:val="markedcontent"/>
        </w:rPr>
        <w:t>‘</w:t>
      </w:r>
      <w:r w:rsidRPr="00581681">
        <w:rPr>
          <w:rStyle w:val="markedcontent"/>
        </w:rPr>
        <w:t xml:space="preserve">terrorist </w:t>
      </w:r>
      <w:proofErr w:type="spellStart"/>
      <w:r w:rsidRPr="00581681">
        <w:rPr>
          <w:rStyle w:val="markedcontent"/>
        </w:rPr>
        <w:t>list.</w:t>
      </w:r>
      <w:r>
        <w:rPr>
          <w:rStyle w:val="markedcontent"/>
        </w:rPr>
        <w:t>’</w:t>
      </w:r>
      <w:r w:rsidRPr="00581681">
        <w:rPr>
          <w:rStyle w:val="markedcontent"/>
        </w:rPr>
        <w:t>Id</w:t>
      </w:r>
      <w:proofErr w:type="spellEnd"/>
      <w:r w:rsidRPr="00581681">
        <w:rPr>
          <w:rStyle w:val="markedcontent"/>
        </w:rPr>
        <w:t xml:space="preserve">., at 333. Ramirez’s wife had to purchase the car </w:t>
      </w:r>
      <w:proofErr w:type="gramStart"/>
      <w:r w:rsidRPr="00581681">
        <w:rPr>
          <w:rStyle w:val="markedcontent"/>
        </w:rPr>
        <w:t>in</w:t>
      </w:r>
      <w:proofErr w:type="gramEnd"/>
      <w:r w:rsidRPr="00581681">
        <w:rPr>
          <w:rStyle w:val="markedcontent"/>
        </w:rPr>
        <w:t xml:space="preserve"> her own name.</w:t>
      </w:r>
    </w:p>
    <w:p w14:paraId="57306DFA" w14:textId="77777777" w:rsidR="00A82898" w:rsidRDefault="00A82898" w:rsidP="00A82898">
      <w:pPr>
        <w:pStyle w:val="NormalWeb"/>
        <w:spacing w:before="0" w:beforeAutospacing="0" w:after="0" w:afterAutospacing="0" w:line="255" w:lineRule="atLeast"/>
        <w:ind w:left="720"/>
        <w:rPr>
          <w:rStyle w:val="markedcontent"/>
        </w:rPr>
      </w:pPr>
    </w:p>
    <w:p w14:paraId="77F7F592" w14:textId="77777777" w:rsidR="00A82898" w:rsidRDefault="00A82898" w:rsidP="00A82898">
      <w:pPr>
        <w:pStyle w:val="NormalWeb"/>
        <w:spacing w:before="0" w:beforeAutospacing="0" w:after="0" w:afterAutospacing="0" w:line="255" w:lineRule="atLeast"/>
        <w:ind w:left="720"/>
        <w:rPr>
          <w:rStyle w:val="markedcontent"/>
        </w:rPr>
      </w:pPr>
      <w:r>
        <w:rPr>
          <w:rStyle w:val="markedcontent"/>
        </w:rPr>
        <w:t>***</w:t>
      </w:r>
    </w:p>
    <w:p w14:paraId="7E94D580" w14:textId="77777777" w:rsidR="00A82898" w:rsidRPr="00B92CD8" w:rsidRDefault="00A82898" w:rsidP="00A82898">
      <w:pPr>
        <w:pStyle w:val="NormalWeb"/>
        <w:spacing w:before="0" w:beforeAutospacing="0" w:after="0" w:afterAutospacing="0" w:line="255" w:lineRule="atLeast"/>
        <w:ind w:left="720"/>
        <w:rPr>
          <w:rStyle w:val="markedcontent"/>
        </w:rPr>
      </w:pPr>
      <w:r w:rsidRPr="00B92CD8">
        <w:rPr>
          <w:rStyle w:val="markedcontent"/>
        </w:rPr>
        <w:t>For 1,853 of the class members, TransUnion provided misleading credit reports to third-party businesses. We conclude that those 1,853 class members have demonstrated concrete reputational harm and thus have Article III standing to sue on the reasonable-procedures claim</w:t>
      </w:r>
      <w:r>
        <w:rPr>
          <w:rStyle w:val="markedcontent"/>
        </w:rPr>
        <w:t xml:space="preserve">. </w:t>
      </w:r>
      <w:r w:rsidRPr="00B92CD8">
        <w:rPr>
          <w:rStyle w:val="markedcontent"/>
        </w:rPr>
        <w:t xml:space="preserve"> The internal credit files of the other 6,332 class members were not provided to third-party businesses during the relevant </w:t>
      </w:r>
      <w:proofErr w:type="gramStart"/>
      <w:r w:rsidRPr="00B92CD8">
        <w:rPr>
          <w:rStyle w:val="markedcontent"/>
        </w:rPr>
        <w:t>time period</w:t>
      </w:r>
      <w:proofErr w:type="gramEnd"/>
      <w:r w:rsidRPr="00B92CD8">
        <w:rPr>
          <w:rStyle w:val="markedcontent"/>
        </w:rPr>
        <w:t>. We conclude that those 6,332 class members have not demonstrated concrete harm and thus lack Article III standing to sue on the reasonable-procedures claim.”</w:t>
      </w:r>
    </w:p>
    <w:p w14:paraId="2ECF8C42" w14:textId="77777777" w:rsidR="00A82898" w:rsidRPr="00B92CD8" w:rsidRDefault="00A82898" w:rsidP="00A82898">
      <w:pPr>
        <w:pStyle w:val="NormalWeb"/>
        <w:spacing w:before="0" w:beforeAutospacing="0" w:after="0" w:afterAutospacing="0" w:line="255" w:lineRule="atLeast"/>
        <w:ind w:firstLine="720"/>
        <w:rPr>
          <w:rStyle w:val="markedcontent"/>
        </w:rPr>
      </w:pPr>
      <w:hyperlink r:id="rId752" w:history="1">
        <w:r w:rsidRPr="00B92CD8">
          <w:rPr>
            <w:rStyle w:val="Hyperlink"/>
          </w:rPr>
          <w:t>https://www.supremecourt.gov/opinions/20pdf/20-297_4g25.pdf</w:t>
        </w:r>
      </w:hyperlink>
      <w:r w:rsidRPr="00B92CD8">
        <w:rPr>
          <w:rStyle w:val="markedcontent"/>
        </w:rPr>
        <w:t xml:space="preserve"> </w:t>
      </w:r>
    </w:p>
    <w:p w14:paraId="573F0AD7" w14:textId="3EC47492" w:rsidR="00A82898" w:rsidRDefault="00A82898" w:rsidP="00F326E5">
      <w:pPr>
        <w:pStyle w:val="NoSpacing"/>
        <w:rPr>
          <w:rFonts w:ascii="Arial Black" w:hAnsi="Arial Black"/>
          <w:sz w:val="28"/>
          <w:szCs w:val="28"/>
        </w:rPr>
      </w:pPr>
    </w:p>
    <w:p w14:paraId="7AB021E7" w14:textId="77777777" w:rsidR="00A82898" w:rsidRPr="008F342C" w:rsidRDefault="00A82898" w:rsidP="00A82898">
      <w:pPr>
        <w:pStyle w:val="NormalWeb"/>
        <w:spacing w:before="0" w:beforeAutospacing="0" w:after="0" w:afterAutospacing="0" w:line="255" w:lineRule="atLeast"/>
        <w:rPr>
          <w:rStyle w:val="markedcontent"/>
          <w:b/>
          <w:bCs/>
        </w:rPr>
      </w:pPr>
      <w:r w:rsidRPr="008F342C">
        <w:rPr>
          <w:rStyle w:val="markedcontent"/>
          <w:b/>
          <w:bCs/>
        </w:rPr>
        <w:t xml:space="preserve">Legal Lesson Learned: </w:t>
      </w:r>
      <w:r>
        <w:rPr>
          <w:rStyle w:val="markedcontent"/>
          <w:b/>
          <w:bCs/>
        </w:rPr>
        <w:t xml:space="preserve">Credit reporting companies need to improve their process of confirming that an individual is the same person as U.S. Treasury list.  Likewise, Fire &amp; EMS should give applicants adequate opportunity to correct any false information on their credit records. </w:t>
      </w:r>
    </w:p>
    <w:p w14:paraId="5211822B" w14:textId="77777777" w:rsidR="00A82898" w:rsidRDefault="00A82898" w:rsidP="00A82898">
      <w:pPr>
        <w:pStyle w:val="NormalWeb"/>
        <w:spacing w:before="0" w:beforeAutospacing="0" w:after="0" w:afterAutospacing="0" w:line="255" w:lineRule="atLeast"/>
        <w:rPr>
          <w:rStyle w:val="markedcontent"/>
        </w:rPr>
      </w:pPr>
    </w:p>
    <w:p w14:paraId="04BB9127" w14:textId="77777777" w:rsidR="00A82898" w:rsidRDefault="00A82898" w:rsidP="00A82898">
      <w:pPr>
        <w:pStyle w:val="NormalWeb"/>
        <w:spacing w:before="0" w:beforeAutospacing="0" w:after="0" w:afterAutospacing="0" w:line="255" w:lineRule="atLeast"/>
        <w:rPr>
          <w:rStyle w:val="markedcontent"/>
        </w:rPr>
      </w:pPr>
    </w:p>
    <w:p w14:paraId="2ABC3D5E" w14:textId="77777777" w:rsidR="00A82898" w:rsidRDefault="00A82898" w:rsidP="00A82898">
      <w:pPr>
        <w:pStyle w:val="NormalWeb"/>
        <w:spacing w:before="0" w:beforeAutospacing="0" w:after="0" w:afterAutospacing="0" w:line="255" w:lineRule="atLeast"/>
        <w:ind w:left="720"/>
        <w:rPr>
          <w:rStyle w:val="markedcontent"/>
        </w:rPr>
      </w:pPr>
      <w:r>
        <w:rPr>
          <w:rStyle w:val="markedcontent"/>
        </w:rPr>
        <w:t xml:space="preserve">See U.S. Treasury list: </w:t>
      </w:r>
      <w:hyperlink r:id="rId753" w:history="1">
        <w:r w:rsidRPr="0071610B">
          <w:rPr>
            <w:rStyle w:val="Hyperlink"/>
          </w:rPr>
          <w:t>https://home.treasury.gov/policy-issues/financial-sanctions/specially-designated-nationals-and-blocked-persons-list-sdn-human-readable-lists</w:t>
        </w:r>
      </w:hyperlink>
      <w:r>
        <w:rPr>
          <w:rStyle w:val="markedcontent"/>
        </w:rPr>
        <w:t xml:space="preserve"> </w:t>
      </w:r>
    </w:p>
    <w:p w14:paraId="128AFB78" w14:textId="77777777" w:rsidR="00A82898" w:rsidRDefault="00A82898" w:rsidP="00A82898">
      <w:pPr>
        <w:pStyle w:val="NormalWeb"/>
        <w:spacing w:before="0" w:beforeAutospacing="0" w:after="0" w:afterAutospacing="0" w:line="255" w:lineRule="atLeast"/>
        <w:ind w:left="720"/>
      </w:pPr>
    </w:p>
    <w:p w14:paraId="78DDE689" w14:textId="77777777" w:rsidR="00A82898" w:rsidRDefault="00A82898" w:rsidP="00A82898">
      <w:pPr>
        <w:pStyle w:val="NormalWeb"/>
        <w:spacing w:before="0" w:beforeAutospacing="0" w:after="0" w:afterAutospacing="0" w:line="255" w:lineRule="atLeast"/>
        <w:ind w:left="720"/>
      </w:pPr>
      <w:r>
        <w:t xml:space="preserve">“As part of its enforcement efforts, OFAC publishes a list of individuals and companies owned or controlled by, or acting for or on behalf of, targeted countries. It also lists individuals, groups, and entities, such as terrorists and narcotics traffickers designated under programs that are not </w:t>
      </w:r>
      <w:proofErr w:type="gramStart"/>
      <w:r>
        <w:t>country-specific</w:t>
      </w:r>
      <w:proofErr w:type="gramEnd"/>
      <w:r>
        <w:t xml:space="preserve">. Collectively, such individuals and companies are called "Specially Designated Nationals" or "SDNs." Their assets are blocked and U.S. persons are generally prohibited from dealing with them.  View more information on </w:t>
      </w:r>
      <w:hyperlink r:id="rId754" w:history="1">
        <w:r>
          <w:rPr>
            <w:rStyle w:val="Hyperlink"/>
          </w:rPr>
          <w:t>Treasury's Sanctions Programs</w:t>
        </w:r>
      </w:hyperlink>
      <w:r>
        <w:t>. </w:t>
      </w:r>
    </w:p>
    <w:p w14:paraId="73E1FB98" w14:textId="77777777" w:rsidR="00A82898" w:rsidRDefault="00A82898" w:rsidP="00A82898">
      <w:pPr>
        <w:pStyle w:val="NormalWeb"/>
        <w:spacing w:before="0" w:beforeAutospacing="0" w:after="0" w:afterAutospacing="0" w:line="255" w:lineRule="atLeast"/>
        <w:ind w:left="720"/>
      </w:pPr>
    </w:p>
    <w:p w14:paraId="3F7DF0BA" w14:textId="77777777" w:rsidR="00A82898" w:rsidRDefault="00A82898" w:rsidP="00A82898">
      <w:pPr>
        <w:ind w:firstLine="720"/>
      </w:pPr>
      <w:r>
        <w:rPr>
          <w:rStyle w:val="Strong"/>
        </w:rPr>
        <w:t xml:space="preserve">71. How Can I Get </w:t>
      </w:r>
      <w:proofErr w:type="gramStart"/>
      <w:r>
        <w:rPr>
          <w:rStyle w:val="Strong"/>
        </w:rPr>
        <w:t>The</w:t>
      </w:r>
      <w:proofErr w:type="gramEnd"/>
      <w:r>
        <w:rPr>
          <w:rStyle w:val="Strong"/>
        </w:rPr>
        <w:t xml:space="preserve"> OFAC Alert Off My Credit Report? </w:t>
      </w:r>
    </w:p>
    <w:p w14:paraId="5D88E8CF" w14:textId="77777777" w:rsidR="00A82898" w:rsidRDefault="00A82898" w:rsidP="00A82898">
      <w:pPr>
        <w:ind w:firstLine="720"/>
      </w:pPr>
      <w:r>
        <w:t>Answer</w:t>
      </w:r>
    </w:p>
    <w:p w14:paraId="685833D9" w14:textId="77777777" w:rsidR="00A82898" w:rsidRDefault="00A82898" w:rsidP="00A82898">
      <w:pPr>
        <w:pStyle w:val="NormalWeb"/>
        <w:ind w:left="720"/>
      </w:pPr>
      <w:r>
        <w:t xml:space="preserve">A consumer has the right under the Fair Credit Reporting Act (FCRA), 15 U.S.C. 1681 et seq., to request the removal of incorrect information on his/her credit report. To accomplish this, consumers should contact the credit reporting agency or bureau that issued the credit report. For more information on consumers' rights under the FCRA, visit the </w:t>
      </w:r>
      <w:hyperlink r:id="rId755" w:history="1">
        <w:r>
          <w:rPr>
            <w:rStyle w:val="Hyperlink"/>
          </w:rPr>
          <w:t>Federal Trade Commission's website</w:t>
        </w:r>
      </w:hyperlink>
      <w:r>
        <w:t xml:space="preserve"> or the Consumer Financial Protection Bureau at 855-411-2372.</w:t>
      </w:r>
    </w:p>
    <w:p w14:paraId="1ACA0631" w14:textId="77777777" w:rsidR="00A82898" w:rsidRDefault="00A82898" w:rsidP="00A82898">
      <w:pPr>
        <w:pStyle w:val="NormalWeb"/>
        <w:spacing w:before="0" w:beforeAutospacing="0" w:after="0" w:afterAutospacing="0" w:line="255" w:lineRule="atLeast"/>
        <w:rPr>
          <w:rStyle w:val="markedcontent"/>
        </w:rPr>
      </w:pPr>
    </w:p>
    <w:p w14:paraId="535C5107" w14:textId="77777777" w:rsidR="00A82898" w:rsidRDefault="00A82898" w:rsidP="00A82898">
      <w:pPr>
        <w:pStyle w:val="NormalWeb"/>
        <w:spacing w:before="0" w:beforeAutospacing="0" w:after="0" w:afterAutospacing="0" w:line="255" w:lineRule="atLeast"/>
        <w:rPr>
          <w:rStyle w:val="markedcontent"/>
        </w:rPr>
      </w:pPr>
    </w:p>
    <w:p w14:paraId="11B8D42B" w14:textId="77777777" w:rsidR="00A82898" w:rsidRDefault="00A82898" w:rsidP="00F326E5">
      <w:pPr>
        <w:pStyle w:val="NoSpacing"/>
        <w:rPr>
          <w:rFonts w:ascii="Arial Black" w:hAnsi="Arial Black"/>
          <w:sz w:val="28"/>
          <w:szCs w:val="28"/>
        </w:rPr>
      </w:pPr>
    </w:p>
    <w:p w14:paraId="71EAA3F8" w14:textId="77777777" w:rsidR="00A82898" w:rsidRDefault="00A82898" w:rsidP="00F326E5">
      <w:pPr>
        <w:pStyle w:val="NoSpacing"/>
        <w:rPr>
          <w:rFonts w:ascii="Arial Black" w:hAnsi="Arial Black"/>
          <w:sz w:val="28"/>
          <w:szCs w:val="28"/>
        </w:rPr>
      </w:pPr>
    </w:p>
    <w:p w14:paraId="33F6B6C6" w14:textId="77777777" w:rsidR="00A82898" w:rsidRDefault="00A82898" w:rsidP="00F326E5">
      <w:pPr>
        <w:pStyle w:val="NoSpacing"/>
        <w:rPr>
          <w:rFonts w:ascii="Arial Black" w:hAnsi="Arial Black"/>
          <w:sz w:val="28"/>
          <w:szCs w:val="28"/>
        </w:rPr>
      </w:pPr>
    </w:p>
    <w:p w14:paraId="7DB6B032" w14:textId="51A14C3E" w:rsidR="00F27CD5" w:rsidRDefault="00F27CD5" w:rsidP="00F326E5">
      <w:pPr>
        <w:pStyle w:val="NoSpacing"/>
        <w:rPr>
          <w:rFonts w:ascii="Arial Black" w:hAnsi="Arial Black"/>
          <w:sz w:val="28"/>
          <w:szCs w:val="28"/>
        </w:rPr>
      </w:pPr>
      <w:r>
        <w:rPr>
          <w:rFonts w:ascii="Arial Black" w:hAnsi="Arial Black"/>
          <w:sz w:val="28"/>
          <w:szCs w:val="28"/>
        </w:rPr>
        <w:t>3-34</w:t>
      </w:r>
    </w:p>
    <w:p w14:paraId="69554B1C" w14:textId="77777777" w:rsidR="00F27CD5" w:rsidRDefault="00F27CD5" w:rsidP="00F27CD5">
      <w:pPr>
        <w:pStyle w:val="Heading1"/>
        <w:rPr>
          <w:rFonts w:ascii="Arial Black" w:hAnsi="Arial Black"/>
          <w:sz w:val="28"/>
          <w:szCs w:val="28"/>
        </w:rPr>
      </w:pPr>
      <w:r>
        <w:rPr>
          <w:rFonts w:ascii="Arial Black" w:hAnsi="Arial Black"/>
          <w:sz w:val="28"/>
          <w:szCs w:val="28"/>
        </w:rPr>
        <w:t xml:space="preserve">U.S. SUP. CT – ALIEN IN US 8 YEARS, 3 KIDS – INS “STOP THE CLOCK” 10-YR STAT. – SINGLE NOTICE, HEARING DATE </w:t>
      </w:r>
    </w:p>
    <w:p w14:paraId="082F5B20" w14:textId="77777777" w:rsidR="00F27CD5" w:rsidRPr="000E0414" w:rsidRDefault="00F27CD5" w:rsidP="00F27CD5">
      <w:pPr>
        <w:pStyle w:val="Heading1"/>
        <w:rPr>
          <w:b w:val="0"/>
          <w:bCs w:val="0"/>
          <w:sz w:val="24"/>
          <w:szCs w:val="24"/>
        </w:rPr>
      </w:pPr>
      <w:r w:rsidRPr="000E0414">
        <w:rPr>
          <w:b w:val="0"/>
          <w:bCs w:val="0"/>
          <w:sz w:val="24"/>
          <w:szCs w:val="24"/>
        </w:rPr>
        <w:t xml:space="preserve">On April 29, 2021, in </w:t>
      </w:r>
      <w:r w:rsidRPr="000E0414">
        <w:rPr>
          <w:b w:val="0"/>
          <w:bCs w:val="0"/>
          <w:sz w:val="24"/>
          <w:szCs w:val="24"/>
          <w:u w:val="single"/>
        </w:rPr>
        <w:t>Agusto Niz-Chavez v. Garland, Attorney General</w:t>
      </w:r>
      <w:r w:rsidRPr="000E0414">
        <w:rPr>
          <w:b w:val="0"/>
          <w:bCs w:val="0"/>
          <w:sz w:val="24"/>
          <w:szCs w:val="24"/>
        </w:rPr>
        <w:t xml:space="preserve">, the U.S. Supreme Court (6 to 3; majority opinion by Justice Neil Gorsuch), held that the Immigration and Naturalization Service is required by statute to issue a </w:t>
      </w:r>
      <w:r w:rsidRPr="000E0414">
        <w:rPr>
          <w:b w:val="0"/>
          <w:bCs w:val="0"/>
          <w:sz w:val="24"/>
          <w:szCs w:val="24"/>
          <w:u w:val="single"/>
        </w:rPr>
        <w:t>single</w:t>
      </w:r>
      <w:r w:rsidRPr="000E0414">
        <w:rPr>
          <w:b w:val="0"/>
          <w:bCs w:val="0"/>
          <w:sz w:val="24"/>
          <w:szCs w:val="24"/>
        </w:rPr>
        <w:t xml:space="preserve"> Notice of Removal that includes date / location of removal hearing before an Immigration Judge.  Mr. Niz-Chavez </w:t>
      </w:r>
      <w:proofErr w:type="gramStart"/>
      <w:r w:rsidRPr="000E0414">
        <w:rPr>
          <w:b w:val="0"/>
          <w:bCs w:val="0"/>
          <w:sz w:val="24"/>
          <w:szCs w:val="24"/>
        </w:rPr>
        <w:t>deportation cancelled</w:t>
      </w:r>
      <w:proofErr w:type="gramEnd"/>
      <w:r w:rsidRPr="000E0414">
        <w:rPr>
          <w:b w:val="0"/>
          <w:bCs w:val="0"/>
          <w:sz w:val="24"/>
          <w:szCs w:val="24"/>
        </w:rPr>
        <w:t xml:space="preserve">; now has another hearing before Immigration Judge.  Aliens residing in U.S. for 10 or more years may seek “Cancellation of removal” under 8 U.S. Code 1229b, if they have been of good moral character and they can establishes that removal would result in exceptional and extremely unusual hardship to the </w:t>
      </w:r>
      <w:hyperlink r:id="rId756" w:history="1">
        <w:r w:rsidRPr="000E0414">
          <w:rPr>
            <w:rStyle w:val="Hyperlink"/>
            <w:sz w:val="24"/>
            <w:szCs w:val="24"/>
          </w:rPr>
          <w:t>alien</w:t>
        </w:r>
      </w:hyperlink>
      <w:r w:rsidRPr="000E0414">
        <w:rPr>
          <w:b w:val="0"/>
          <w:bCs w:val="0"/>
          <w:sz w:val="24"/>
          <w:szCs w:val="24"/>
        </w:rPr>
        <w:t xml:space="preserve">’s spouse, parent, or child, who is a citizen of the </w:t>
      </w:r>
      <w:hyperlink r:id="rId757" w:history="1">
        <w:r w:rsidRPr="000E0414">
          <w:rPr>
            <w:rStyle w:val="Hyperlink"/>
            <w:sz w:val="24"/>
            <w:szCs w:val="24"/>
          </w:rPr>
          <w:t>United States</w:t>
        </w:r>
      </w:hyperlink>
      <w:r w:rsidRPr="000E0414">
        <w:rPr>
          <w:b w:val="0"/>
          <w:bCs w:val="0"/>
          <w:sz w:val="24"/>
          <w:szCs w:val="24"/>
        </w:rPr>
        <w:t xml:space="preserve"> or an</w:t>
      </w:r>
      <w:hyperlink r:id="rId758" w:history="1">
        <w:r w:rsidRPr="000E0414">
          <w:rPr>
            <w:rStyle w:val="Hyperlink"/>
            <w:sz w:val="24"/>
            <w:szCs w:val="24"/>
          </w:rPr>
          <w:t xml:space="preserve"> alien </w:t>
        </w:r>
      </w:hyperlink>
      <w:hyperlink r:id="rId759" w:history="1">
        <w:r w:rsidRPr="000E0414">
          <w:rPr>
            <w:rStyle w:val="Hyperlink"/>
            <w:sz w:val="24"/>
            <w:szCs w:val="24"/>
          </w:rPr>
          <w:t>lawfully admitted for permanent residence</w:t>
        </w:r>
      </w:hyperlink>
      <w:r w:rsidRPr="000E0414">
        <w:rPr>
          <w:rStyle w:val="Hyperlink"/>
          <w:sz w:val="24"/>
          <w:szCs w:val="24"/>
        </w:rPr>
        <w:t>.  Mr. Niz-Chavez</w:t>
      </w:r>
      <w:r w:rsidRPr="000E0414">
        <w:rPr>
          <w:b w:val="0"/>
          <w:bCs w:val="0"/>
          <w:sz w:val="24"/>
          <w:szCs w:val="24"/>
        </w:rPr>
        <w:t xml:space="preserve"> is a citizen of Guatemala who in 2005 unlawfully entered the United States through the southern </w:t>
      </w:r>
      <w:proofErr w:type="gramStart"/>
      <w:r w:rsidRPr="000E0414">
        <w:rPr>
          <w:b w:val="0"/>
          <w:bCs w:val="0"/>
          <w:sz w:val="24"/>
          <w:szCs w:val="24"/>
        </w:rPr>
        <w:t>border, and</w:t>
      </w:r>
      <w:proofErr w:type="gramEnd"/>
      <w:r w:rsidRPr="000E0414">
        <w:rPr>
          <w:b w:val="0"/>
          <w:bCs w:val="0"/>
          <w:sz w:val="24"/>
          <w:szCs w:val="24"/>
        </w:rPr>
        <w:t xml:space="preserve"> eventually settled in Detroit. INS sent him two Notices of Removal - first notice of Removal, 8 years after he arrived in U.S. (March 26, 2013) did not specify the date of his removal hearing in Detroit.  The second Notice (May 29, 2013) did specify the hearing date (June 25, 2013; then rescheduled 4 years later, Sept. 13, 2017; ordered deported Nov. 8, 2017). </w:t>
      </w:r>
    </w:p>
    <w:p w14:paraId="1BC787F6" w14:textId="77777777" w:rsidR="00F27CD5" w:rsidRDefault="00F27CD5" w:rsidP="00F27CD5">
      <w:pPr>
        <w:ind w:left="720"/>
        <w:rPr>
          <w:rFonts w:ascii="Times New Roman" w:hAnsi="Times New Roman"/>
          <w:sz w:val="24"/>
          <w:szCs w:val="24"/>
        </w:rPr>
      </w:pPr>
      <w:r>
        <w:rPr>
          <w:rFonts w:ascii="Times New Roman" w:hAnsi="Times New Roman"/>
          <w:sz w:val="24"/>
          <w:szCs w:val="24"/>
        </w:rPr>
        <w:t>“</w:t>
      </w:r>
      <w:r w:rsidRPr="002E6393">
        <w:rPr>
          <w:rFonts w:ascii="Times New Roman" w:hAnsi="Times New Roman"/>
          <w:sz w:val="24"/>
          <w:szCs w:val="24"/>
        </w:rPr>
        <w:t>Anyone who has applied for a passport, filed for Social Security benefits, or sought a license understands the government’s affinity for forms. Make a mistake or skip a</w:t>
      </w:r>
      <w:r>
        <w:rPr>
          <w:rFonts w:ascii="Times New Roman" w:hAnsi="Times New Roman"/>
          <w:sz w:val="24"/>
          <w:szCs w:val="24"/>
        </w:rPr>
        <w:t xml:space="preserve"> </w:t>
      </w:r>
      <w:r w:rsidRPr="002E6393">
        <w:rPr>
          <w:rFonts w:ascii="Times New Roman" w:hAnsi="Times New Roman"/>
          <w:sz w:val="24"/>
          <w:szCs w:val="24"/>
        </w:rPr>
        <w:t>page? Go back and try again, sometimes with a penalty for the trouble. But it turns out the federal government finds</w:t>
      </w:r>
      <w:r>
        <w:rPr>
          <w:rFonts w:ascii="Times New Roman" w:hAnsi="Times New Roman"/>
          <w:sz w:val="24"/>
          <w:szCs w:val="24"/>
        </w:rPr>
        <w:t xml:space="preserve"> </w:t>
      </w:r>
      <w:r w:rsidRPr="002E6393">
        <w:rPr>
          <w:rFonts w:ascii="Times New Roman" w:hAnsi="Times New Roman"/>
          <w:sz w:val="24"/>
          <w:szCs w:val="24"/>
        </w:rPr>
        <w:t>some of its forms frustrating too. The Illegal Immigration</w:t>
      </w:r>
      <w:r>
        <w:rPr>
          <w:rFonts w:ascii="Times New Roman" w:hAnsi="Times New Roman"/>
          <w:sz w:val="24"/>
          <w:szCs w:val="24"/>
        </w:rPr>
        <w:t xml:space="preserve"> </w:t>
      </w:r>
      <w:r w:rsidRPr="002E6393">
        <w:rPr>
          <w:rFonts w:ascii="Times New Roman" w:hAnsi="Times New Roman"/>
          <w:sz w:val="24"/>
          <w:szCs w:val="24"/>
        </w:rPr>
        <w:t xml:space="preserve">Reform and Immigrant Responsibility Act of 1996 (IIRIRA),110 Stat. 3009–546, requires the government to serve </w:t>
      </w:r>
      <w:r>
        <w:rPr>
          <w:rFonts w:ascii="Times New Roman" w:hAnsi="Times New Roman"/>
          <w:sz w:val="24"/>
          <w:szCs w:val="24"/>
        </w:rPr>
        <w:t>‘</w:t>
      </w:r>
      <w:r w:rsidRPr="002E6393">
        <w:rPr>
          <w:rFonts w:ascii="Times New Roman" w:hAnsi="Times New Roman"/>
          <w:sz w:val="24"/>
          <w:szCs w:val="24"/>
        </w:rPr>
        <w:t>a notice to appear</w:t>
      </w:r>
      <w:r>
        <w:rPr>
          <w:rFonts w:ascii="Times New Roman" w:hAnsi="Times New Roman"/>
          <w:sz w:val="24"/>
          <w:szCs w:val="24"/>
        </w:rPr>
        <w:t>’</w:t>
      </w:r>
      <w:r w:rsidRPr="002E6393">
        <w:rPr>
          <w:rFonts w:ascii="Times New Roman" w:hAnsi="Times New Roman"/>
          <w:sz w:val="24"/>
          <w:szCs w:val="24"/>
        </w:rPr>
        <w:t xml:space="preserve"> on individuals it wishes to remove from this country. At first blush, a notice </w:t>
      </w:r>
      <w:proofErr w:type="gramStart"/>
      <w:r w:rsidRPr="002E6393">
        <w:rPr>
          <w:rFonts w:ascii="Times New Roman" w:hAnsi="Times New Roman"/>
          <w:sz w:val="24"/>
          <w:szCs w:val="24"/>
        </w:rPr>
        <w:t>to appear</w:t>
      </w:r>
      <w:proofErr w:type="gramEnd"/>
      <w:r w:rsidRPr="002E6393">
        <w:rPr>
          <w:rFonts w:ascii="Times New Roman" w:hAnsi="Times New Roman"/>
          <w:sz w:val="24"/>
          <w:szCs w:val="24"/>
        </w:rPr>
        <w:t xml:space="preserve"> might seem to be just that—a single document containing all the information an individual needs to know about his removal hearing.</w:t>
      </w:r>
      <w:r>
        <w:rPr>
          <w:rFonts w:ascii="Times New Roman" w:hAnsi="Times New Roman"/>
          <w:sz w:val="24"/>
          <w:szCs w:val="24"/>
        </w:rPr>
        <w:t xml:space="preserve"> </w:t>
      </w:r>
      <w:r w:rsidRPr="002E6393">
        <w:rPr>
          <w:rFonts w:ascii="Times New Roman" w:hAnsi="Times New Roman"/>
          <w:sz w:val="24"/>
          <w:szCs w:val="24"/>
        </w:rPr>
        <w:t>But, the government says, supplying so much information</w:t>
      </w:r>
      <w:r>
        <w:rPr>
          <w:rFonts w:ascii="Times New Roman" w:hAnsi="Times New Roman"/>
          <w:sz w:val="24"/>
          <w:szCs w:val="24"/>
        </w:rPr>
        <w:t xml:space="preserve"> </w:t>
      </w:r>
      <w:r w:rsidRPr="002E6393">
        <w:rPr>
          <w:rFonts w:ascii="Times New Roman" w:hAnsi="Times New Roman"/>
          <w:sz w:val="24"/>
          <w:szCs w:val="24"/>
        </w:rPr>
        <w:t>in a single form is too taxing. It needs more flexibility, allowing its officials to provide information in separate mailings (as many as they wish) over time (</w:t>
      </w:r>
      <w:proofErr w:type="gramStart"/>
      <w:r w:rsidRPr="002E6393">
        <w:rPr>
          <w:rFonts w:ascii="Times New Roman" w:hAnsi="Times New Roman"/>
          <w:sz w:val="24"/>
          <w:szCs w:val="24"/>
        </w:rPr>
        <w:t>as long as</w:t>
      </w:r>
      <w:proofErr w:type="gramEnd"/>
      <w:r w:rsidRPr="002E6393">
        <w:rPr>
          <w:rFonts w:ascii="Times New Roman" w:hAnsi="Times New Roman"/>
          <w:sz w:val="24"/>
          <w:szCs w:val="24"/>
        </w:rPr>
        <w:t xml:space="preserve"> they </w:t>
      </w:r>
      <w:proofErr w:type="gramStart"/>
      <w:r w:rsidRPr="002E6393">
        <w:rPr>
          <w:rFonts w:ascii="Times New Roman" w:hAnsi="Times New Roman"/>
          <w:sz w:val="24"/>
          <w:szCs w:val="24"/>
        </w:rPr>
        <w:t>find</w:t>
      </w:r>
      <w:proofErr w:type="gramEnd"/>
      <w:r w:rsidRPr="002E6393">
        <w:rPr>
          <w:rFonts w:ascii="Times New Roman" w:hAnsi="Times New Roman"/>
          <w:sz w:val="24"/>
          <w:szCs w:val="24"/>
        </w:rPr>
        <w:t xml:space="preserve"> convenient). The question for us is whether the law Congress adopted tolerates the government’s preferred practice.</w:t>
      </w:r>
    </w:p>
    <w:p w14:paraId="50B797B9" w14:textId="77777777" w:rsidR="00F27CD5" w:rsidRDefault="00F27CD5" w:rsidP="00F27CD5">
      <w:pPr>
        <w:ind w:left="720"/>
        <w:rPr>
          <w:rFonts w:ascii="Times New Roman" w:hAnsi="Times New Roman"/>
          <w:sz w:val="24"/>
          <w:szCs w:val="24"/>
        </w:rPr>
      </w:pPr>
    </w:p>
    <w:p w14:paraId="2E446641" w14:textId="77777777" w:rsidR="00F27CD5" w:rsidRDefault="00F27CD5" w:rsidP="00F27CD5">
      <w:pPr>
        <w:ind w:left="720"/>
        <w:rPr>
          <w:rFonts w:ascii="Times New Roman" w:hAnsi="Times New Roman"/>
          <w:sz w:val="24"/>
          <w:szCs w:val="24"/>
        </w:rPr>
      </w:pPr>
      <w:r>
        <w:rPr>
          <w:rFonts w:ascii="Times New Roman" w:hAnsi="Times New Roman"/>
          <w:sz w:val="24"/>
          <w:szCs w:val="24"/>
        </w:rPr>
        <w:t>***</w:t>
      </w:r>
    </w:p>
    <w:p w14:paraId="1113A17C" w14:textId="77777777" w:rsidR="00F27CD5" w:rsidRPr="00892BE0" w:rsidRDefault="00F27CD5" w:rsidP="00F27CD5">
      <w:pPr>
        <w:ind w:left="720"/>
        <w:rPr>
          <w:rFonts w:ascii="Times New Roman" w:hAnsi="Times New Roman"/>
          <w:sz w:val="24"/>
          <w:szCs w:val="24"/>
        </w:rPr>
      </w:pPr>
      <w:r w:rsidRPr="00892BE0">
        <w:rPr>
          <w:rFonts w:ascii="Times New Roman" w:hAnsi="Times New Roman"/>
          <w:sz w:val="24"/>
          <w:szCs w:val="24"/>
        </w:rPr>
        <w:t>Our only job today is to give</w:t>
      </w:r>
      <w:r>
        <w:rPr>
          <w:rFonts w:ascii="Times New Roman" w:hAnsi="Times New Roman"/>
          <w:sz w:val="24"/>
          <w:szCs w:val="24"/>
        </w:rPr>
        <w:t xml:space="preserve"> </w:t>
      </w:r>
      <w:r w:rsidRPr="00892BE0">
        <w:rPr>
          <w:rFonts w:ascii="Times New Roman" w:hAnsi="Times New Roman"/>
          <w:sz w:val="24"/>
          <w:szCs w:val="24"/>
        </w:rPr>
        <w:t xml:space="preserve">the law’s terms their ordinary meaning and, in that small way, ensure the federal government does not exceed its statutory license. Interpreting the phrase </w:t>
      </w:r>
      <w:r>
        <w:rPr>
          <w:rFonts w:ascii="Times New Roman" w:hAnsi="Times New Roman"/>
          <w:sz w:val="24"/>
          <w:szCs w:val="24"/>
        </w:rPr>
        <w:t>‘</w:t>
      </w:r>
      <w:r w:rsidRPr="00892BE0">
        <w:rPr>
          <w:rFonts w:ascii="Times New Roman" w:hAnsi="Times New Roman"/>
          <w:sz w:val="24"/>
          <w:szCs w:val="24"/>
        </w:rPr>
        <w:t>a notice to appear</w:t>
      </w:r>
      <w:r>
        <w:rPr>
          <w:rFonts w:ascii="Times New Roman" w:hAnsi="Times New Roman"/>
          <w:sz w:val="24"/>
          <w:szCs w:val="24"/>
        </w:rPr>
        <w:t>’</w:t>
      </w:r>
      <w:r w:rsidRPr="00892BE0">
        <w:rPr>
          <w:rFonts w:ascii="Times New Roman" w:hAnsi="Times New Roman"/>
          <w:sz w:val="24"/>
          <w:szCs w:val="24"/>
        </w:rPr>
        <w:t xml:space="preserve"> to require a single notice—rather than 2 or 20 documents—does just that</w:t>
      </w:r>
      <w:r>
        <w:rPr>
          <w:rFonts w:ascii="Times New Roman" w:hAnsi="Times New Roman"/>
          <w:sz w:val="24"/>
          <w:szCs w:val="24"/>
        </w:rPr>
        <w:t xml:space="preserve">…. </w:t>
      </w:r>
      <w:r w:rsidRPr="00892BE0">
        <w:rPr>
          <w:rFonts w:ascii="Times New Roman" w:hAnsi="Times New Roman"/>
          <w:sz w:val="24"/>
          <w:szCs w:val="24"/>
        </w:rPr>
        <w:t>At one level, today’s dispute may seem semantic, focused on a single word, a small one at that. But words are how the law constrains power. In this case, the law’s terms ensure that, when the federal government seeks a procedural advantage against an individual, it will at least supply him with a single and reasonably comprehensive statement of the nature of the proceedings against him. If men must turn square corners when they deal with the government, it cannot be too much to expect the government to turn square corners when it deals with them.</w:t>
      </w:r>
      <w:r>
        <w:rPr>
          <w:rFonts w:ascii="Times New Roman" w:hAnsi="Times New Roman"/>
          <w:sz w:val="24"/>
          <w:szCs w:val="24"/>
        </w:rPr>
        <w:t xml:space="preserve">” </w:t>
      </w:r>
      <w:hyperlink r:id="rId760" w:history="1">
        <w:r w:rsidRPr="001969BB">
          <w:rPr>
            <w:rStyle w:val="Hyperlink"/>
            <w:sz w:val="24"/>
            <w:szCs w:val="24"/>
          </w:rPr>
          <w:t>https://www.supremecourt.gov/opinions/20pdf/19-863_6jgm.pdf</w:t>
        </w:r>
      </w:hyperlink>
      <w:r>
        <w:rPr>
          <w:rFonts w:ascii="Times New Roman" w:hAnsi="Times New Roman"/>
          <w:sz w:val="24"/>
          <w:szCs w:val="24"/>
        </w:rPr>
        <w:t xml:space="preserve"> </w:t>
      </w:r>
    </w:p>
    <w:p w14:paraId="20716139" w14:textId="77777777" w:rsidR="00F27CD5" w:rsidRPr="00CB33A6" w:rsidRDefault="00F27CD5" w:rsidP="00F27CD5">
      <w:pPr>
        <w:rPr>
          <w:rFonts w:ascii="Times New Roman" w:hAnsi="Times New Roman"/>
          <w:b/>
          <w:bCs/>
          <w:sz w:val="24"/>
          <w:szCs w:val="24"/>
        </w:rPr>
      </w:pPr>
      <w:r w:rsidRPr="00CB33A6">
        <w:rPr>
          <w:rFonts w:ascii="Times New Roman" w:hAnsi="Times New Roman"/>
          <w:b/>
          <w:bCs/>
          <w:sz w:val="24"/>
          <w:szCs w:val="24"/>
        </w:rPr>
        <w:t xml:space="preserve">Legal Lesson Learned: </w:t>
      </w:r>
      <w:r>
        <w:rPr>
          <w:rFonts w:ascii="Times New Roman" w:hAnsi="Times New Roman"/>
          <w:b/>
          <w:bCs/>
          <w:sz w:val="24"/>
          <w:szCs w:val="24"/>
        </w:rPr>
        <w:t xml:space="preserve">The majority opinion is now the law of the land; INS can  “stop the clock” on the 10-year “Cancellation of Removal” statute, only when they provide a single Notice that includes the date / place of removal hearing. </w:t>
      </w:r>
    </w:p>
    <w:p w14:paraId="38AB7FAE" w14:textId="77777777" w:rsidR="00F27CD5" w:rsidRDefault="00F27CD5" w:rsidP="00F27CD5">
      <w:pPr>
        <w:ind w:left="720"/>
        <w:rPr>
          <w:rFonts w:ascii="Times New Roman" w:hAnsi="Times New Roman"/>
          <w:sz w:val="24"/>
          <w:szCs w:val="24"/>
        </w:rPr>
      </w:pPr>
    </w:p>
    <w:p w14:paraId="264E03FD" w14:textId="77777777" w:rsidR="00F27CD5" w:rsidRPr="00BC2B99" w:rsidRDefault="00F27CD5" w:rsidP="00F27CD5">
      <w:pPr>
        <w:pStyle w:val="NoSpacing"/>
        <w:ind w:left="720"/>
        <w:rPr>
          <w:rFonts w:ascii="Times New Roman" w:hAnsi="Times New Roman"/>
          <w:sz w:val="24"/>
          <w:szCs w:val="24"/>
        </w:rPr>
      </w:pPr>
      <w:r w:rsidRPr="00BC2B99">
        <w:rPr>
          <w:rFonts w:ascii="Times New Roman" w:hAnsi="Times New Roman"/>
          <w:sz w:val="24"/>
          <w:szCs w:val="24"/>
        </w:rPr>
        <w:t xml:space="preserve">Note:  </w:t>
      </w:r>
    </w:p>
    <w:p w14:paraId="19FBC938" w14:textId="77777777" w:rsidR="00F27CD5" w:rsidRPr="004D18E0" w:rsidRDefault="00F27CD5" w:rsidP="00F27CD5">
      <w:pPr>
        <w:pStyle w:val="Heading1"/>
        <w:ind w:left="720"/>
        <w:rPr>
          <w:b w:val="0"/>
          <w:bCs w:val="0"/>
          <w:sz w:val="24"/>
          <w:szCs w:val="24"/>
        </w:rPr>
      </w:pPr>
      <w:r w:rsidRPr="004D18E0">
        <w:rPr>
          <w:sz w:val="24"/>
          <w:szCs w:val="24"/>
        </w:rPr>
        <w:t>8 U.S. Code § 1229b - Cancellation of removal; adjustment of status</w:t>
      </w:r>
      <w:r>
        <w:rPr>
          <w:sz w:val="24"/>
          <w:szCs w:val="24"/>
        </w:rPr>
        <w:t xml:space="preserve">: </w:t>
      </w:r>
      <w:hyperlink r:id="rId761" w:history="1">
        <w:r w:rsidRPr="001969BB">
          <w:rPr>
            <w:rStyle w:val="Hyperlink"/>
            <w:sz w:val="24"/>
            <w:szCs w:val="24"/>
          </w:rPr>
          <w:t>https://www.law.cornell.edu/uscode/text/8/1229b</w:t>
        </w:r>
      </w:hyperlink>
      <w:r>
        <w:rPr>
          <w:sz w:val="24"/>
          <w:szCs w:val="24"/>
        </w:rPr>
        <w:t xml:space="preserve"> </w:t>
      </w:r>
    </w:p>
    <w:p w14:paraId="6B6327AF" w14:textId="77777777" w:rsidR="00F27CD5" w:rsidRPr="004D18E0" w:rsidRDefault="00F27CD5" w:rsidP="00F27CD5">
      <w:pPr>
        <w:ind w:left="1440"/>
        <w:rPr>
          <w:rFonts w:ascii="Times New Roman" w:hAnsi="Times New Roman"/>
          <w:sz w:val="24"/>
          <w:szCs w:val="24"/>
        </w:rPr>
      </w:pPr>
      <w:r w:rsidRPr="004D18E0">
        <w:rPr>
          <w:rStyle w:val="num"/>
          <w:rFonts w:ascii="Times New Roman" w:hAnsi="Times New Roman"/>
          <w:sz w:val="24"/>
          <w:szCs w:val="24"/>
        </w:rPr>
        <w:t>(b)</w:t>
      </w:r>
      <w:r w:rsidRPr="004D18E0">
        <w:rPr>
          <w:rStyle w:val="heading"/>
          <w:rFonts w:ascii="Times New Roman" w:hAnsi="Times New Roman"/>
          <w:sz w:val="24"/>
          <w:szCs w:val="24"/>
        </w:rPr>
        <w:t xml:space="preserve"> Cancellation of removal and adjustment of status for certain nonpermanent residents</w:t>
      </w:r>
      <w:r w:rsidRPr="004D18E0">
        <w:rPr>
          <w:rFonts w:ascii="Times New Roman" w:hAnsi="Times New Roman"/>
          <w:sz w:val="24"/>
          <w:szCs w:val="24"/>
        </w:rPr>
        <w:t xml:space="preserve"> </w:t>
      </w:r>
    </w:p>
    <w:p w14:paraId="55F64335" w14:textId="77777777" w:rsidR="00F27CD5" w:rsidRDefault="00F27CD5" w:rsidP="00F27CD5">
      <w:pPr>
        <w:ind w:left="720" w:firstLine="720"/>
        <w:rPr>
          <w:rStyle w:val="heading"/>
          <w:rFonts w:ascii="Times New Roman" w:hAnsi="Times New Roman"/>
          <w:sz w:val="24"/>
          <w:szCs w:val="24"/>
        </w:rPr>
      </w:pPr>
      <w:r w:rsidRPr="004D18E0">
        <w:rPr>
          <w:rStyle w:val="num"/>
          <w:rFonts w:ascii="Times New Roman" w:hAnsi="Times New Roman"/>
          <w:sz w:val="24"/>
          <w:szCs w:val="24"/>
        </w:rPr>
        <w:t>(1)</w:t>
      </w:r>
      <w:r w:rsidRPr="004D18E0">
        <w:rPr>
          <w:rStyle w:val="heading"/>
          <w:rFonts w:ascii="Times New Roman" w:hAnsi="Times New Roman"/>
          <w:sz w:val="24"/>
          <w:szCs w:val="24"/>
        </w:rPr>
        <w:t xml:space="preserve"> In general</w:t>
      </w:r>
    </w:p>
    <w:p w14:paraId="637D31FA" w14:textId="77777777" w:rsidR="00F27CD5" w:rsidRPr="004D18E0" w:rsidRDefault="00F27CD5" w:rsidP="00F27CD5">
      <w:pPr>
        <w:ind w:left="1440"/>
        <w:rPr>
          <w:rFonts w:ascii="Times New Roman" w:hAnsi="Times New Roman"/>
          <w:sz w:val="24"/>
          <w:szCs w:val="24"/>
        </w:rPr>
      </w:pPr>
      <w:r w:rsidRPr="004D18E0">
        <w:rPr>
          <w:rStyle w:val="chapeau"/>
          <w:rFonts w:ascii="Times New Roman" w:hAnsi="Times New Roman"/>
          <w:sz w:val="24"/>
          <w:szCs w:val="24"/>
        </w:rPr>
        <w:t xml:space="preserve">The </w:t>
      </w:r>
      <w:hyperlink r:id="rId762" w:history="1">
        <w:r w:rsidRPr="004D18E0">
          <w:rPr>
            <w:rStyle w:val="Hyperlink"/>
            <w:sz w:val="24"/>
            <w:szCs w:val="24"/>
          </w:rPr>
          <w:t>Attorney General</w:t>
        </w:r>
      </w:hyperlink>
      <w:r w:rsidRPr="004D18E0">
        <w:rPr>
          <w:rStyle w:val="chapeau"/>
          <w:rFonts w:ascii="Times New Roman" w:hAnsi="Times New Roman"/>
          <w:sz w:val="24"/>
          <w:szCs w:val="24"/>
        </w:rPr>
        <w:t xml:space="preserve"> may cancel removal of, and adjust to the status of an</w:t>
      </w:r>
      <w:hyperlink r:id="rId763" w:history="1">
        <w:r w:rsidRPr="004D18E0">
          <w:rPr>
            <w:rStyle w:val="Hyperlink"/>
            <w:sz w:val="24"/>
            <w:szCs w:val="24"/>
          </w:rPr>
          <w:t xml:space="preserve"> alien </w:t>
        </w:r>
      </w:hyperlink>
      <w:hyperlink r:id="rId764" w:history="1">
        <w:r w:rsidRPr="004D18E0">
          <w:rPr>
            <w:rStyle w:val="Hyperlink"/>
            <w:sz w:val="24"/>
            <w:szCs w:val="24"/>
          </w:rPr>
          <w:t>lawfully admitted for permanent residence</w:t>
        </w:r>
      </w:hyperlink>
      <w:r w:rsidRPr="004D18E0">
        <w:rPr>
          <w:rStyle w:val="chapeau"/>
          <w:rFonts w:ascii="Times New Roman" w:hAnsi="Times New Roman"/>
          <w:sz w:val="24"/>
          <w:szCs w:val="24"/>
        </w:rPr>
        <w:t>, an</w:t>
      </w:r>
      <w:hyperlink r:id="rId765" w:history="1">
        <w:r w:rsidRPr="004D18E0">
          <w:rPr>
            <w:rStyle w:val="Hyperlink"/>
            <w:sz w:val="24"/>
            <w:szCs w:val="24"/>
          </w:rPr>
          <w:t xml:space="preserve"> alien </w:t>
        </w:r>
      </w:hyperlink>
      <w:r w:rsidRPr="004D18E0">
        <w:rPr>
          <w:rStyle w:val="chapeau"/>
          <w:rFonts w:ascii="Times New Roman" w:hAnsi="Times New Roman"/>
          <w:sz w:val="24"/>
          <w:szCs w:val="24"/>
        </w:rPr>
        <w:t>who is inadmissible or deportable from the</w:t>
      </w:r>
      <w:hyperlink r:id="rId766" w:history="1">
        <w:r w:rsidRPr="004D18E0">
          <w:rPr>
            <w:rStyle w:val="Hyperlink"/>
            <w:sz w:val="24"/>
            <w:szCs w:val="24"/>
          </w:rPr>
          <w:t xml:space="preserve"> United States </w:t>
        </w:r>
      </w:hyperlink>
      <w:r w:rsidRPr="004D18E0">
        <w:rPr>
          <w:rStyle w:val="chapeau"/>
          <w:rFonts w:ascii="Times New Roman" w:hAnsi="Times New Roman"/>
          <w:sz w:val="24"/>
          <w:szCs w:val="24"/>
        </w:rPr>
        <w:t>if the</w:t>
      </w:r>
      <w:hyperlink r:id="rId767" w:history="1">
        <w:r w:rsidRPr="004D18E0">
          <w:rPr>
            <w:rStyle w:val="Hyperlink"/>
            <w:sz w:val="24"/>
            <w:szCs w:val="24"/>
          </w:rPr>
          <w:t xml:space="preserve"> alien—</w:t>
        </w:r>
      </w:hyperlink>
      <w:r w:rsidRPr="004D18E0">
        <w:rPr>
          <w:rFonts w:ascii="Times New Roman" w:hAnsi="Times New Roman"/>
          <w:sz w:val="24"/>
          <w:szCs w:val="24"/>
        </w:rPr>
        <w:t xml:space="preserve"> </w:t>
      </w:r>
    </w:p>
    <w:p w14:paraId="54F328F9" w14:textId="77777777" w:rsidR="00F27CD5" w:rsidRPr="004D18E0" w:rsidRDefault="00F27CD5" w:rsidP="00F27CD5">
      <w:pPr>
        <w:ind w:left="720" w:firstLine="720"/>
        <w:rPr>
          <w:rFonts w:ascii="Times New Roman" w:hAnsi="Times New Roman"/>
          <w:sz w:val="24"/>
          <w:szCs w:val="24"/>
        </w:rPr>
      </w:pPr>
      <w:r w:rsidRPr="004D18E0">
        <w:rPr>
          <w:rStyle w:val="num"/>
          <w:rFonts w:ascii="Times New Roman" w:hAnsi="Times New Roman"/>
          <w:sz w:val="24"/>
          <w:szCs w:val="24"/>
        </w:rPr>
        <w:t>(A)</w:t>
      </w:r>
    </w:p>
    <w:p w14:paraId="0F77BA8B" w14:textId="77777777" w:rsidR="00F27CD5" w:rsidRPr="004D18E0" w:rsidRDefault="00F27CD5" w:rsidP="00F27CD5">
      <w:pPr>
        <w:ind w:left="1440"/>
        <w:rPr>
          <w:rFonts w:ascii="Times New Roman" w:hAnsi="Times New Roman"/>
          <w:sz w:val="24"/>
          <w:szCs w:val="24"/>
        </w:rPr>
      </w:pPr>
      <w:r w:rsidRPr="004D18E0">
        <w:rPr>
          <w:rFonts w:ascii="Times New Roman" w:hAnsi="Times New Roman"/>
          <w:sz w:val="24"/>
          <w:szCs w:val="24"/>
        </w:rPr>
        <w:t xml:space="preserve">has been physically present in the </w:t>
      </w:r>
      <w:hyperlink r:id="rId768" w:history="1">
        <w:r w:rsidRPr="004D18E0">
          <w:rPr>
            <w:rStyle w:val="Hyperlink"/>
            <w:sz w:val="24"/>
            <w:szCs w:val="24"/>
          </w:rPr>
          <w:t>United States</w:t>
        </w:r>
      </w:hyperlink>
      <w:r w:rsidRPr="004D18E0">
        <w:rPr>
          <w:rFonts w:ascii="Times New Roman" w:hAnsi="Times New Roman"/>
          <w:sz w:val="24"/>
          <w:szCs w:val="24"/>
        </w:rPr>
        <w:t xml:space="preserve"> for a continuous period of not less than 10 years immediately preceding the date of such application;</w:t>
      </w:r>
    </w:p>
    <w:p w14:paraId="7F3C110D" w14:textId="77777777" w:rsidR="00F27CD5" w:rsidRPr="004D18E0" w:rsidRDefault="00F27CD5" w:rsidP="00F27CD5">
      <w:pPr>
        <w:ind w:left="720" w:firstLine="720"/>
        <w:rPr>
          <w:rFonts w:ascii="Times New Roman" w:hAnsi="Times New Roman"/>
          <w:sz w:val="24"/>
          <w:szCs w:val="24"/>
        </w:rPr>
      </w:pPr>
      <w:r w:rsidRPr="004D18E0">
        <w:rPr>
          <w:rStyle w:val="num"/>
          <w:rFonts w:ascii="Times New Roman" w:hAnsi="Times New Roman"/>
          <w:sz w:val="24"/>
          <w:szCs w:val="24"/>
        </w:rPr>
        <w:t>(B)</w:t>
      </w:r>
      <w:r w:rsidRPr="004D18E0">
        <w:rPr>
          <w:rFonts w:ascii="Times New Roman" w:hAnsi="Times New Roman"/>
          <w:sz w:val="24"/>
          <w:szCs w:val="24"/>
        </w:rPr>
        <w:t xml:space="preserve"> </w:t>
      </w:r>
    </w:p>
    <w:p w14:paraId="3E672685" w14:textId="77777777" w:rsidR="00F27CD5" w:rsidRPr="004D18E0" w:rsidRDefault="00F27CD5" w:rsidP="00F27CD5">
      <w:pPr>
        <w:ind w:left="720" w:firstLine="720"/>
        <w:rPr>
          <w:rFonts w:ascii="Times New Roman" w:hAnsi="Times New Roman"/>
          <w:sz w:val="24"/>
          <w:szCs w:val="24"/>
        </w:rPr>
      </w:pPr>
      <w:r w:rsidRPr="004D18E0">
        <w:rPr>
          <w:rFonts w:ascii="Times New Roman" w:hAnsi="Times New Roman"/>
          <w:sz w:val="24"/>
          <w:szCs w:val="24"/>
        </w:rPr>
        <w:t>has been a person of good moral character during such period;</w:t>
      </w:r>
    </w:p>
    <w:p w14:paraId="163D8D77" w14:textId="77777777" w:rsidR="00F27CD5" w:rsidRPr="004D18E0" w:rsidRDefault="00F27CD5" w:rsidP="00F27CD5">
      <w:pPr>
        <w:ind w:left="720" w:firstLine="720"/>
        <w:rPr>
          <w:rFonts w:ascii="Times New Roman" w:hAnsi="Times New Roman"/>
          <w:sz w:val="24"/>
          <w:szCs w:val="24"/>
        </w:rPr>
      </w:pPr>
      <w:r w:rsidRPr="004D18E0">
        <w:rPr>
          <w:rStyle w:val="num"/>
          <w:rFonts w:ascii="Times New Roman" w:hAnsi="Times New Roman"/>
          <w:sz w:val="24"/>
          <w:szCs w:val="24"/>
        </w:rPr>
        <w:t>(C)</w:t>
      </w:r>
    </w:p>
    <w:p w14:paraId="5268DD34" w14:textId="77777777" w:rsidR="00F27CD5" w:rsidRPr="004D18E0" w:rsidRDefault="00F27CD5" w:rsidP="00F27CD5">
      <w:pPr>
        <w:ind w:left="1440"/>
        <w:rPr>
          <w:rFonts w:ascii="Times New Roman" w:hAnsi="Times New Roman"/>
          <w:sz w:val="24"/>
          <w:szCs w:val="24"/>
        </w:rPr>
      </w:pPr>
      <w:r w:rsidRPr="004D18E0">
        <w:rPr>
          <w:rFonts w:ascii="Times New Roman" w:hAnsi="Times New Roman"/>
          <w:sz w:val="24"/>
          <w:szCs w:val="24"/>
        </w:rPr>
        <w:t xml:space="preserve">has not been convicted of an offense under section </w:t>
      </w:r>
      <w:hyperlink r:id="rId769" w:anchor="a_2" w:history="1">
        <w:r w:rsidRPr="004D18E0">
          <w:rPr>
            <w:rStyle w:val="Hyperlink"/>
            <w:sz w:val="24"/>
            <w:szCs w:val="24"/>
          </w:rPr>
          <w:t>1182(a)(2)</w:t>
        </w:r>
      </w:hyperlink>
      <w:r w:rsidRPr="004D18E0">
        <w:rPr>
          <w:rFonts w:ascii="Times New Roman" w:hAnsi="Times New Roman"/>
          <w:sz w:val="24"/>
          <w:szCs w:val="24"/>
        </w:rPr>
        <w:t xml:space="preserve">, </w:t>
      </w:r>
      <w:hyperlink r:id="rId770" w:anchor="a_2" w:history="1">
        <w:r w:rsidRPr="004D18E0">
          <w:rPr>
            <w:rStyle w:val="Hyperlink"/>
            <w:sz w:val="24"/>
            <w:szCs w:val="24"/>
          </w:rPr>
          <w:t>1227(a)(2)</w:t>
        </w:r>
      </w:hyperlink>
      <w:r w:rsidRPr="004D18E0">
        <w:rPr>
          <w:rFonts w:ascii="Times New Roman" w:hAnsi="Times New Roman"/>
          <w:sz w:val="24"/>
          <w:szCs w:val="24"/>
        </w:rPr>
        <w:t xml:space="preserve">, or </w:t>
      </w:r>
      <w:hyperlink r:id="rId771" w:anchor="a_3" w:history="1">
        <w:r w:rsidRPr="004D18E0">
          <w:rPr>
            <w:rStyle w:val="Hyperlink"/>
            <w:sz w:val="24"/>
            <w:szCs w:val="24"/>
          </w:rPr>
          <w:t>1227(a)(3)</w:t>
        </w:r>
      </w:hyperlink>
      <w:r w:rsidRPr="004D18E0">
        <w:rPr>
          <w:rFonts w:ascii="Times New Roman" w:hAnsi="Times New Roman"/>
          <w:sz w:val="24"/>
          <w:szCs w:val="24"/>
        </w:rPr>
        <w:t xml:space="preserve"> of this title, subject to paragraph (5); and</w:t>
      </w:r>
    </w:p>
    <w:p w14:paraId="1BFAFEF7" w14:textId="77777777" w:rsidR="00F27CD5" w:rsidRDefault="00F27CD5" w:rsidP="00F27CD5">
      <w:pPr>
        <w:ind w:left="720" w:firstLine="720"/>
        <w:rPr>
          <w:rFonts w:ascii="Times New Roman" w:hAnsi="Times New Roman"/>
          <w:sz w:val="24"/>
          <w:szCs w:val="24"/>
        </w:rPr>
      </w:pPr>
      <w:r w:rsidRPr="004D18E0">
        <w:rPr>
          <w:rStyle w:val="num"/>
          <w:rFonts w:ascii="Times New Roman" w:hAnsi="Times New Roman"/>
          <w:sz w:val="24"/>
          <w:szCs w:val="24"/>
        </w:rPr>
        <w:t>(D)</w:t>
      </w:r>
      <w:r w:rsidRPr="004D18E0">
        <w:rPr>
          <w:rFonts w:ascii="Times New Roman" w:hAnsi="Times New Roman"/>
          <w:sz w:val="24"/>
          <w:szCs w:val="24"/>
        </w:rPr>
        <w:t xml:space="preserve"> </w:t>
      </w:r>
    </w:p>
    <w:p w14:paraId="071412DD" w14:textId="77777777" w:rsidR="00F27CD5" w:rsidRPr="004D18E0" w:rsidRDefault="00F27CD5" w:rsidP="00F27CD5">
      <w:pPr>
        <w:ind w:left="1440"/>
        <w:rPr>
          <w:rFonts w:ascii="Times New Roman" w:hAnsi="Times New Roman"/>
          <w:sz w:val="24"/>
          <w:szCs w:val="24"/>
        </w:rPr>
      </w:pPr>
      <w:r w:rsidRPr="004D18E0">
        <w:rPr>
          <w:rFonts w:ascii="Times New Roman" w:hAnsi="Times New Roman"/>
          <w:sz w:val="24"/>
          <w:szCs w:val="24"/>
        </w:rPr>
        <w:t xml:space="preserve">establishes that removal would result in exceptional and extremely unusual hardship to the </w:t>
      </w:r>
      <w:hyperlink r:id="rId772" w:history="1">
        <w:r w:rsidRPr="004D18E0">
          <w:rPr>
            <w:rStyle w:val="Hyperlink"/>
            <w:sz w:val="24"/>
            <w:szCs w:val="24"/>
          </w:rPr>
          <w:t>alien</w:t>
        </w:r>
      </w:hyperlink>
      <w:r w:rsidRPr="004D18E0">
        <w:rPr>
          <w:rFonts w:ascii="Times New Roman" w:hAnsi="Times New Roman"/>
          <w:sz w:val="24"/>
          <w:szCs w:val="24"/>
        </w:rPr>
        <w:t xml:space="preserve">’s spouse, parent, or child, who is a citizen of the </w:t>
      </w:r>
      <w:hyperlink r:id="rId773" w:history="1">
        <w:r w:rsidRPr="004D18E0">
          <w:rPr>
            <w:rStyle w:val="Hyperlink"/>
            <w:sz w:val="24"/>
            <w:szCs w:val="24"/>
          </w:rPr>
          <w:t>United States</w:t>
        </w:r>
      </w:hyperlink>
      <w:r w:rsidRPr="004D18E0">
        <w:rPr>
          <w:rFonts w:ascii="Times New Roman" w:hAnsi="Times New Roman"/>
          <w:sz w:val="24"/>
          <w:szCs w:val="24"/>
        </w:rPr>
        <w:t xml:space="preserve"> or an</w:t>
      </w:r>
      <w:hyperlink r:id="rId774" w:history="1">
        <w:r w:rsidRPr="004D18E0">
          <w:rPr>
            <w:rStyle w:val="Hyperlink"/>
            <w:sz w:val="24"/>
            <w:szCs w:val="24"/>
          </w:rPr>
          <w:t xml:space="preserve"> alien </w:t>
        </w:r>
      </w:hyperlink>
      <w:hyperlink r:id="rId775" w:history="1">
        <w:r w:rsidRPr="004D18E0">
          <w:rPr>
            <w:rStyle w:val="Hyperlink"/>
            <w:sz w:val="24"/>
            <w:szCs w:val="24"/>
          </w:rPr>
          <w:t>lawfully admitted for permanent residence</w:t>
        </w:r>
      </w:hyperlink>
      <w:r w:rsidRPr="004D18E0">
        <w:rPr>
          <w:rFonts w:ascii="Times New Roman" w:hAnsi="Times New Roman"/>
          <w:sz w:val="24"/>
          <w:szCs w:val="24"/>
        </w:rPr>
        <w:t>.</w:t>
      </w:r>
    </w:p>
    <w:p w14:paraId="2824668D" w14:textId="77777777" w:rsidR="00F27CD5" w:rsidRDefault="00F27CD5" w:rsidP="00F27CD5">
      <w:pPr>
        <w:pStyle w:val="NoSpacing"/>
        <w:ind w:left="720"/>
        <w:rPr>
          <w:rFonts w:ascii="Times New Roman" w:hAnsi="Times New Roman"/>
          <w:sz w:val="24"/>
          <w:szCs w:val="24"/>
        </w:rPr>
      </w:pPr>
    </w:p>
    <w:p w14:paraId="177F06E4" w14:textId="77777777" w:rsidR="00F27CD5" w:rsidRPr="00CB33A6" w:rsidRDefault="00F27CD5" w:rsidP="00F27CD5">
      <w:pPr>
        <w:pStyle w:val="NoSpacing"/>
        <w:ind w:left="720"/>
        <w:rPr>
          <w:rFonts w:ascii="Times New Roman" w:hAnsi="Times New Roman"/>
          <w:b/>
          <w:bCs/>
          <w:sz w:val="24"/>
          <w:szCs w:val="24"/>
        </w:rPr>
      </w:pPr>
      <w:r w:rsidRPr="00CB33A6">
        <w:rPr>
          <w:rFonts w:ascii="Times New Roman" w:hAnsi="Times New Roman"/>
          <w:b/>
          <w:bCs/>
          <w:sz w:val="24"/>
          <w:szCs w:val="24"/>
        </w:rPr>
        <w:t>Convention Against Torture:</w:t>
      </w:r>
    </w:p>
    <w:p w14:paraId="7F38203B" w14:textId="77777777" w:rsidR="00F27CD5" w:rsidRDefault="00F27CD5" w:rsidP="00F27CD5">
      <w:pPr>
        <w:pStyle w:val="NoSpacing"/>
        <w:ind w:left="720"/>
        <w:rPr>
          <w:rFonts w:ascii="Times New Roman" w:hAnsi="Times New Roman"/>
          <w:sz w:val="24"/>
          <w:szCs w:val="24"/>
        </w:rPr>
      </w:pPr>
    </w:p>
    <w:p w14:paraId="27397B9C" w14:textId="77777777" w:rsidR="00F27CD5" w:rsidRPr="002E6393" w:rsidRDefault="00F27CD5" w:rsidP="00F27CD5">
      <w:pPr>
        <w:pStyle w:val="NoSpacing"/>
        <w:ind w:left="1440"/>
        <w:rPr>
          <w:rFonts w:ascii="Times New Roman" w:hAnsi="Times New Roman"/>
          <w:sz w:val="24"/>
          <w:szCs w:val="24"/>
        </w:rPr>
      </w:pPr>
      <w:r w:rsidRPr="002E6393">
        <w:rPr>
          <w:rFonts w:ascii="Times New Roman" w:hAnsi="Times New Roman"/>
          <w:sz w:val="24"/>
          <w:szCs w:val="24"/>
        </w:rPr>
        <w:t>1984 – UN Convention against Torture and Other Cruel,</w:t>
      </w:r>
      <w:r>
        <w:rPr>
          <w:rFonts w:ascii="Times New Roman" w:hAnsi="Times New Roman"/>
          <w:sz w:val="24"/>
          <w:szCs w:val="24"/>
        </w:rPr>
        <w:t xml:space="preserve"> </w:t>
      </w:r>
      <w:r w:rsidRPr="002E6393">
        <w:rPr>
          <w:rFonts w:ascii="Times New Roman" w:hAnsi="Times New Roman"/>
          <w:sz w:val="24"/>
          <w:szCs w:val="24"/>
        </w:rPr>
        <w:t>Inhuman or Degrading Treatment or Punishment</w:t>
      </w:r>
      <w:r>
        <w:rPr>
          <w:rFonts w:ascii="Times New Roman" w:hAnsi="Times New Roman"/>
          <w:sz w:val="24"/>
          <w:szCs w:val="24"/>
        </w:rPr>
        <w:t>:</w:t>
      </w:r>
      <w:r w:rsidRPr="002E6393">
        <w:rPr>
          <w:rFonts w:ascii="Times New Roman" w:hAnsi="Times New Roman"/>
          <w:sz w:val="24"/>
          <w:szCs w:val="24"/>
        </w:rPr>
        <w:t xml:space="preserve"> </w:t>
      </w:r>
      <w:hyperlink r:id="rId776" w:history="1">
        <w:r w:rsidRPr="001969BB">
          <w:rPr>
            <w:rStyle w:val="Hyperlink"/>
            <w:sz w:val="24"/>
            <w:szCs w:val="24"/>
          </w:rPr>
          <w:t>https://www.ohchr.org/en/professionalinterest/pages/cat.aspx</w:t>
        </w:r>
      </w:hyperlink>
      <w:r w:rsidRPr="002E6393">
        <w:rPr>
          <w:rFonts w:ascii="Times New Roman" w:hAnsi="Times New Roman"/>
          <w:sz w:val="24"/>
          <w:szCs w:val="24"/>
        </w:rPr>
        <w:t xml:space="preserve"> </w:t>
      </w:r>
      <w:r>
        <w:rPr>
          <w:rFonts w:ascii="Times New Roman" w:hAnsi="Times New Roman"/>
          <w:sz w:val="24"/>
          <w:szCs w:val="24"/>
        </w:rPr>
        <w:t>Ratified by U.S. in 1994.</w:t>
      </w:r>
      <w:r w:rsidRPr="002E6393">
        <w:t xml:space="preserve"> </w:t>
      </w:r>
      <w:hyperlink r:id="rId777" w:history="1">
        <w:r w:rsidRPr="001969BB">
          <w:rPr>
            <w:rStyle w:val="Hyperlink"/>
            <w:sz w:val="24"/>
            <w:szCs w:val="24"/>
          </w:rPr>
          <w:t>https://fas.org/sgp/crs/intel/RL32276.pdf</w:t>
        </w:r>
      </w:hyperlink>
    </w:p>
    <w:p w14:paraId="6347D308" w14:textId="77777777" w:rsidR="00F27CD5" w:rsidRDefault="00F27CD5" w:rsidP="00F27CD5">
      <w:pPr>
        <w:pStyle w:val="Heading2"/>
        <w:rPr>
          <w:rFonts w:ascii="Times New Roman" w:hAnsi="Times New Roman"/>
          <w:sz w:val="24"/>
          <w:szCs w:val="24"/>
        </w:rPr>
      </w:pPr>
    </w:p>
    <w:p w14:paraId="5577BF0F" w14:textId="5BEE1921" w:rsidR="00F27CD5" w:rsidRPr="00F27CD5" w:rsidRDefault="00F27CD5" w:rsidP="00F27CD5">
      <w:pPr>
        <w:pStyle w:val="Heading2"/>
        <w:ind w:left="720"/>
        <w:rPr>
          <w:rFonts w:ascii="Times New Roman" w:hAnsi="Times New Roman"/>
          <w:i w:val="0"/>
          <w:iCs w:val="0"/>
          <w:sz w:val="24"/>
          <w:szCs w:val="24"/>
        </w:rPr>
      </w:pPr>
      <w:r w:rsidRPr="00F27CD5">
        <w:rPr>
          <w:rFonts w:ascii="Times New Roman" w:hAnsi="Times New Roman"/>
          <w:i w:val="0"/>
          <w:iCs w:val="0"/>
          <w:sz w:val="24"/>
          <w:szCs w:val="24"/>
        </w:rPr>
        <w:t xml:space="preserve">Asylum Manual - Relief Under CAT: </w:t>
      </w:r>
      <w:hyperlink r:id="rId778" w:history="1">
        <w:r w:rsidRPr="008B44BD">
          <w:rPr>
            <w:rStyle w:val="Hyperlink"/>
            <w:rFonts w:ascii="Times New Roman" w:hAnsi="Times New Roman"/>
            <w:i w:val="0"/>
            <w:iCs w:val="0"/>
            <w:sz w:val="24"/>
            <w:szCs w:val="24"/>
          </w:rPr>
          <w:t>https://immigrationequality.org/asylum/asylum-manual/immigration-basics-relief-under-cat/</w:t>
        </w:r>
      </w:hyperlink>
      <w:r w:rsidRPr="00F27CD5">
        <w:rPr>
          <w:rFonts w:ascii="Times New Roman" w:hAnsi="Times New Roman"/>
          <w:i w:val="0"/>
          <w:iCs w:val="0"/>
          <w:sz w:val="24"/>
          <w:szCs w:val="24"/>
        </w:rPr>
        <w:t xml:space="preserve"> </w:t>
      </w:r>
    </w:p>
    <w:p w14:paraId="6DE98487" w14:textId="77777777" w:rsidR="00F27CD5" w:rsidRPr="00BC2B99" w:rsidRDefault="00F27CD5" w:rsidP="00F27CD5">
      <w:pPr>
        <w:pStyle w:val="NormalWeb"/>
        <w:ind w:left="1440"/>
      </w:pPr>
      <w:r>
        <w:t>“</w:t>
      </w:r>
      <w:r w:rsidRPr="00BC2B99">
        <w:t>Relief under the Convention Against Torture (CAT) is the third form of relief an individual fearing persecution can seek. Like withholding of removal, it can only be granted by an Immigration Judge (IJ), and not by an Asylum Officer.</w:t>
      </w:r>
    </w:p>
    <w:p w14:paraId="328E2654" w14:textId="77777777" w:rsidR="00F27CD5" w:rsidRPr="00BC2B99" w:rsidRDefault="00F27CD5" w:rsidP="00F27CD5">
      <w:pPr>
        <w:pStyle w:val="NormalWeb"/>
        <w:ind w:left="1440"/>
      </w:pPr>
      <w:r w:rsidRPr="00BC2B99">
        <w:t xml:space="preserve">An applicant bears the burden of demonstrating that it is more likely than not that they will be tortured if removed to their country of origin.  The Board of Immigration Appeals (BIA) has found that torture </w:t>
      </w:r>
      <w:r>
        <w:t>‘</w:t>
      </w:r>
      <w:r w:rsidRPr="00BC2B99">
        <w:t>must be an extreme form of cruel and inhuman punishment</w:t>
      </w:r>
      <w:r>
        <w:t>’</w:t>
      </w:r>
      <w:r w:rsidRPr="00BC2B99">
        <w:t xml:space="preserve"> that </w:t>
      </w:r>
      <w:r>
        <w:t>‘</w:t>
      </w:r>
      <w:r w:rsidRPr="00BC2B99">
        <w:t>must cause severe pain or suffering.</w:t>
      </w:r>
      <w:r>
        <w:t>’</w:t>
      </w:r>
      <w:r w:rsidRPr="00BC2B99">
        <w:t> There are no bars to eligibility for relief under CAT.</w:t>
      </w:r>
    </w:p>
    <w:p w14:paraId="126144F4" w14:textId="77777777" w:rsidR="00F27CD5" w:rsidRDefault="00F27CD5" w:rsidP="00F27CD5">
      <w:pPr>
        <w:pStyle w:val="NormalWeb"/>
        <w:ind w:left="1440"/>
        <w:rPr>
          <w:b/>
          <w:sz w:val="20"/>
          <w:szCs w:val="20"/>
        </w:rPr>
      </w:pPr>
      <w:r w:rsidRPr="00BC2B99">
        <w:t>The advantage of CAT is that there are no bars to eligibility. Therefore, since the treaty itself does not contain any bars to its mandate of non-return, aggravated felons can make claims for relief if they fear torture. Additionally, applicants are not required to establish that their fear of torture is on account of race, religion, nationality, political opinion, or membership in a particular social group.</w:t>
      </w:r>
      <w:r>
        <w:t>”</w:t>
      </w:r>
    </w:p>
    <w:p w14:paraId="62D6E67E" w14:textId="77777777" w:rsidR="00F27CD5" w:rsidRDefault="00F27CD5" w:rsidP="00F326E5">
      <w:pPr>
        <w:pStyle w:val="NoSpacing"/>
        <w:rPr>
          <w:rFonts w:ascii="Arial Black" w:hAnsi="Arial Black"/>
          <w:sz w:val="28"/>
          <w:szCs w:val="28"/>
        </w:rPr>
      </w:pPr>
    </w:p>
    <w:p w14:paraId="61CEB03D" w14:textId="77777777" w:rsidR="00F27CD5" w:rsidRDefault="00F27CD5" w:rsidP="00F326E5">
      <w:pPr>
        <w:pStyle w:val="NoSpacing"/>
        <w:rPr>
          <w:rFonts w:ascii="Arial Black" w:hAnsi="Arial Black"/>
          <w:sz w:val="28"/>
          <w:szCs w:val="28"/>
        </w:rPr>
      </w:pPr>
    </w:p>
    <w:p w14:paraId="67DFC7B6" w14:textId="6492763B" w:rsidR="000915C1" w:rsidRDefault="000915C1" w:rsidP="00F326E5">
      <w:pPr>
        <w:pStyle w:val="NoSpacing"/>
        <w:rPr>
          <w:rFonts w:ascii="Arial Black" w:hAnsi="Arial Black"/>
          <w:sz w:val="28"/>
          <w:szCs w:val="28"/>
        </w:rPr>
      </w:pPr>
      <w:r>
        <w:rPr>
          <w:rFonts w:ascii="Arial Black" w:hAnsi="Arial Black"/>
          <w:sz w:val="28"/>
          <w:szCs w:val="28"/>
        </w:rPr>
        <w:t>3-33</w:t>
      </w:r>
    </w:p>
    <w:p w14:paraId="49E60C43" w14:textId="19713F22" w:rsidR="000915C1" w:rsidRDefault="000915C1" w:rsidP="00F326E5">
      <w:pPr>
        <w:pStyle w:val="NoSpacing"/>
        <w:rPr>
          <w:rFonts w:ascii="Arial Black" w:hAnsi="Arial Black"/>
          <w:sz w:val="28"/>
          <w:szCs w:val="28"/>
        </w:rPr>
      </w:pPr>
    </w:p>
    <w:p w14:paraId="2C9A1C86" w14:textId="77777777" w:rsidR="000915C1" w:rsidRPr="001563B3" w:rsidRDefault="000915C1" w:rsidP="000915C1">
      <w:pPr>
        <w:pStyle w:val="NoSpacing"/>
        <w:rPr>
          <w:rFonts w:ascii="Times New Roman" w:eastAsia="Times New Roman" w:hAnsi="Times New Roman"/>
          <w:sz w:val="24"/>
          <w:szCs w:val="24"/>
          <w:u w:val="single"/>
        </w:rPr>
      </w:pPr>
      <w:r>
        <w:rPr>
          <w:rFonts w:ascii="Arial Black" w:hAnsi="Arial Black"/>
          <w:sz w:val="28"/>
          <w:szCs w:val="28"/>
        </w:rPr>
        <w:t xml:space="preserve">NY:  TERRORIST 1993 WORLD TRADE - HUNGER STRIKE FED. MAX PRISON, FORCED FEEDING – EMPLOYEE PRIVACY </w:t>
      </w:r>
    </w:p>
    <w:p w14:paraId="2F4509A9" w14:textId="77777777" w:rsidR="000915C1" w:rsidRDefault="000915C1" w:rsidP="000915C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u w:val="single"/>
        </w:rPr>
        <w:t xml:space="preserve">Aviva Stahl v. Department of Justice and Federal Bureau </w:t>
      </w:r>
      <w:r w:rsidRPr="001563B3">
        <w:rPr>
          <w:rFonts w:ascii="Times New Roman" w:eastAsia="Times New Roman" w:hAnsi="Times New Roman"/>
          <w:sz w:val="24"/>
          <w:szCs w:val="24"/>
          <w:u w:val="single"/>
        </w:rPr>
        <w:t>of Prisons</w:t>
      </w:r>
      <w:r>
        <w:rPr>
          <w:rFonts w:ascii="Times New Roman" w:eastAsia="Times New Roman" w:hAnsi="Times New Roman"/>
          <w:sz w:val="24"/>
          <w:szCs w:val="24"/>
        </w:rPr>
        <w:t xml:space="preserve">, U.S. District Court Judge Brian M. Cogan, U.S. District Court for the Eastern District of New York (Brooklyn), an investigative journalist, Aviva Stahl, filed a Freedom of Information Act lawsuit for the videotaped of the “forced feedings.”  Judge Cogan held that segments of the video are protected from disclosure under FOIA, including the names / faces of the medical staff who participated in the procedures.   </w:t>
      </w:r>
    </w:p>
    <w:p w14:paraId="06906F17" w14:textId="77777777" w:rsidR="000915C1" w:rsidRPr="001563B3" w:rsidRDefault="000915C1" w:rsidP="000915C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1563B3">
        <w:rPr>
          <w:rFonts w:ascii="Times New Roman" w:eastAsia="Times New Roman" w:hAnsi="Times New Roman"/>
          <w:sz w:val="24"/>
          <w:szCs w:val="24"/>
        </w:rPr>
        <w:t>Convicted for his role in the 1993 terrorist attacks on the World Trade Center, Mohammad Salameh was incarcerated at the United States Penitentiary, Administrative Maximum Facility in Florence, Colorado ("Florence ADX"). During his time there, Salameh went on several hunger strikes. The last one ended in procedures whereby Salameh received food and rehydration through intravenous therapy and a nasogastric tube. An investigative journalist, plaintiff Aviva Stahl, now seeks access to those videos under the Freedom of Information Act. She has sued the Bureau of Prisons and the Department of Justice, and before me are the parties' cross-motions for summary judgment.</w:t>
      </w:r>
    </w:p>
    <w:p w14:paraId="6E027EE6" w14:textId="77777777" w:rsidR="000915C1" w:rsidRDefault="000915C1" w:rsidP="000915C1">
      <w:pPr>
        <w:spacing w:before="100" w:beforeAutospacing="1" w:after="100" w:afterAutospacing="1" w:line="240" w:lineRule="auto"/>
        <w:ind w:left="720"/>
        <w:rPr>
          <w:rFonts w:ascii="Times New Roman" w:eastAsia="Times New Roman" w:hAnsi="Times New Roman"/>
          <w:sz w:val="24"/>
          <w:szCs w:val="24"/>
        </w:rPr>
      </w:pPr>
      <w:r w:rsidRPr="001563B3">
        <w:rPr>
          <w:rFonts w:ascii="Times New Roman" w:eastAsia="Times New Roman" w:hAnsi="Times New Roman"/>
          <w:sz w:val="24"/>
          <w:szCs w:val="24"/>
        </w:rPr>
        <w:t>I conclude that certain segments of the videos fall within FOIA exemptions. As to these segments, defendants' motion is granted and plaintiff's motion is denied. For the remainder of the videos, however, the record lacks sufficient information to show whether the exempt information is reasonably segregable from the non-exempt information. As to these segments, I reserve judgment on the parties' motions. The parties shall submit supplemental memoranda and evidence addressing the remaining portion of the videos as set forth below.</w:t>
      </w:r>
    </w:p>
    <w:p w14:paraId="70CB2A93" w14:textId="77777777" w:rsidR="000915C1" w:rsidRDefault="000915C1" w:rsidP="000915C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D2D2E55" w14:textId="77777777" w:rsidR="000915C1" w:rsidRDefault="000915C1" w:rsidP="000915C1">
      <w:pPr>
        <w:pStyle w:val="NoSpacing"/>
        <w:ind w:left="720"/>
        <w:rPr>
          <w:rFonts w:ascii="Times New Roman" w:hAnsi="Times New Roman"/>
          <w:sz w:val="24"/>
          <w:szCs w:val="24"/>
        </w:rPr>
      </w:pPr>
      <w:r w:rsidRPr="00613B5B">
        <w:rPr>
          <w:rFonts w:ascii="Times New Roman" w:hAnsi="Times New Roman"/>
          <w:sz w:val="24"/>
          <w:szCs w:val="24"/>
        </w:rPr>
        <w:t>Although plaintiff stresses that defendants disclosed the names of the medical staff who participated in the procedures when defendants released Salameh's medical records, I conclude that the staff still have a privacy interest in the visual depictions of them performing the procedures.</w:t>
      </w:r>
      <w:r>
        <w:rPr>
          <w:rFonts w:ascii="Times New Roman" w:hAnsi="Times New Roman"/>
          <w:sz w:val="24"/>
          <w:szCs w:val="24"/>
        </w:rPr>
        <w:t xml:space="preserve">”  </w:t>
      </w:r>
      <w:hyperlink r:id="rId779" w:history="1">
        <w:r w:rsidRPr="00B568EC">
          <w:rPr>
            <w:rStyle w:val="Hyperlink"/>
            <w:rFonts w:ascii="Times New Roman" w:hAnsi="Times New Roman"/>
            <w:sz w:val="24"/>
            <w:szCs w:val="24"/>
          </w:rPr>
          <w:t>https://casetext.com/case/stahl-v-dept-of-justice</w:t>
        </w:r>
      </w:hyperlink>
      <w:r>
        <w:rPr>
          <w:rFonts w:ascii="Times New Roman" w:hAnsi="Times New Roman"/>
          <w:sz w:val="24"/>
          <w:szCs w:val="24"/>
        </w:rPr>
        <w:t xml:space="preserve"> </w:t>
      </w:r>
    </w:p>
    <w:p w14:paraId="3C7F4FFC" w14:textId="77777777" w:rsidR="000915C1" w:rsidRPr="00E44EF4" w:rsidRDefault="000915C1" w:rsidP="000915C1">
      <w:pPr>
        <w:spacing w:before="100" w:beforeAutospacing="1" w:after="100" w:afterAutospacing="1" w:line="240" w:lineRule="auto"/>
        <w:rPr>
          <w:rFonts w:ascii="Times New Roman" w:eastAsia="Times New Roman" w:hAnsi="Times New Roman"/>
          <w:b/>
          <w:bCs/>
          <w:sz w:val="24"/>
          <w:szCs w:val="24"/>
        </w:rPr>
      </w:pPr>
      <w:r w:rsidRPr="00E44EF4">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privacy of </w:t>
      </w:r>
      <w:proofErr w:type="gramStart"/>
      <w:r>
        <w:rPr>
          <w:rFonts w:ascii="Times New Roman" w:eastAsia="Times New Roman" w:hAnsi="Times New Roman"/>
          <w:b/>
          <w:bCs/>
          <w:sz w:val="24"/>
          <w:szCs w:val="24"/>
        </w:rPr>
        <w:t>Medical</w:t>
      </w:r>
      <w:proofErr w:type="gramEnd"/>
      <w:r>
        <w:rPr>
          <w:rFonts w:ascii="Times New Roman" w:eastAsia="Times New Roman" w:hAnsi="Times New Roman"/>
          <w:b/>
          <w:bCs/>
          <w:sz w:val="24"/>
          <w:szCs w:val="24"/>
        </w:rPr>
        <w:t xml:space="preserve"> personnel participating in the videotaped “forced feedings” has been protected. </w:t>
      </w:r>
    </w:p>
    <w:p w14:paraId="6A398A66" w14:textId="77777777" w:rsidR="000915C1" w:rsidRDefault="000915C1" w:rsidP="00F326E5">
      <w:pPr>
        <w:pStyle w:val="NoSpacing"/>
        <w:rPr>
          <w:rFonts w:ascii="Arial Black" w:hAnsi="Arial Black"/>
          <w:sz w:val="28"/>
          <w:szCs w:val="28"/>
        </w:rPr>
      </w:pPr>
    </w:p>
    <w:p w14:paraId="2BC9217F" w14:textId="77777777" w:rsidR="000915C1" w:rsidRDefault="000915C1" w:rsidP="00F326E5">
      <w:pPr>
        <w:pStyle w:val="NoSpacing"/>
        <w:rPr>
          <w:rFonts w:ascii="Arial Black" w:hAnsi="Arial Black"/>
          <w:sz w:val="28"/>
          <w:szCs w:val="28"/>
        </w:rPr>
      </w:pPr>
    </w:p>
    <w:p w14:paraId="2AC8F8C9" w14:textId="77777777" w:rsidR="000915C1" w:rsidRDefault="000915C1" w:rsidP="00F326E5">
      <w:pPr>
        <w:pStyle w:val="NoSpacing"/>
        <w:rPr>
          <w:rFonts w:ascii="Arial Black" w:hAnsi="Arial Black"/>
          <w:sz w:val="28"/>
          <w:szCs w:val="28"/>
        </w:rPr>
      </w:pPr>
    </w:p>
    <w:p w14:paraId="5F563CF0" w14:textId="5E16C679" w:rsidR="000915C1" w:rsidRDefault="000915C1" w:rsidP="00F326E5">
      <w:pPr>
        <w:pStyle w:val="NoSpacing"/>
        <w:rPr>
          <w:rFonts w:ascii="Arial Black" w:hAnsi="Arial Black"/>
          <w:sz w:val="28"/>
          <w:szCs w:val="28"/>
        </w:rPr>
      </w:pPr>
      <w:r>
        <w:rPr>
          <w:rFonts w:ascii="Arial Black" w:hAnsi="Arial Black"/>
          <w:sz w:val="28"/>
          <w:szCs w:val="28"/>
        </w:rPr>
        <w:t>3-32</w:t>
      </w:r>
    </w:p>
    <w:p w14:paraId="68755BAB" w14:textId="794AAE45" w:rsidR="000915C1" w:rsidRDefault="000915C1" w:rsidP="00F326E5">
      <w:pPr>
        <w:pStyle w:val="NoSpacing"/>
        <w:rPr>
          <w:rFonts w:ascii="Arial Black" w:hAnsi="Arial Black"/>
          <w:sz w:val="28"/>
          <w:szCs w:val="28"/>
        </w:rPr>
      </w:pPr>
    </w:p>
    <w:p w14:paraId="231D26E8" w14:textId="53834A67" w:rsidR="000915C1" w:rsidRPr="00BE2CAC" w:rsidRDefault="000915C1" w:rsidP="000915C1">
      <w:pPr>
        <w:pStyle w:val="NoSpacing"/>
        <w:rPr>
          <w:rFonts w:ascii="Arial Black" w:hAnsi="Arial Black"/>
          <w:sz w:val="28"/>
          <w:szCs w:val="28"/>
        </w:rPr>
      </w:pPr>
      <w:r>
        <w:rPr>
          <w:rFonts w:ascii="Arial Black" w:hAnsi="Arial Black"/>
          <w:sz w:val="28"/>
          <w:szCs w:val="28"/>
        </w:rPr>
        <w:t>VA: 4</w:t>
      </w:r>
      <w:r w:rsidRPr="00BE2CAC">
        <w:rPr>
          <w:rFonts w:ascii="Arial Black" w:hAnsi="Arial Black"/>
          <w:sz w:val="28"/>
          <w:szCs w:val="28"/>
          <w:vertAlign w:val="superscript"/>
        </w:rPr>
        <w:t>th</w:t>
      </w:r>
      <w:r>
        <w:rPr>
          <w:rFonts w:ascii="Arial Black" w:hAnsi="Arial Black"/>
          <w:sz w:val="28"/>
          <w:szCs w:val="28"/>
        </w:rPr>
        <w:t xml:space="preserve"> CIRCUIT UPHOLDS FBI TERRORIST “WATCHLIST” -</w:t>
      </w:r>
      <w:r w:rsidR="00F82922">
        <w:rPr>
          <w:rFonts w:ascii="Arial Black" w:hAnsi="Arial Black"/>
          <w:sz w:val="28"/>
          <w:szCs w:val="28"/>
        </w:rPr>
        <w:t xml:space="preserve"> </w:t>
      </w:r>
      <w:r>
        <w:rPr>
          <w:rFonts w:ascii="Arial Black" w:hAnsi="Arial Black"/>
          <w:sz w:val="28"/>
          <w:szCs w:val="28"/>
        </w:rPr>
        <w:t>DUE PROCESS, SEEK REMOVAL BY FBI OR GO TO COURT</w:t>
      </w:r>
    </w:p>
    <w:p w14:paraId="306A56B1" w14:textId="77777777" w:rsidR="000915C1" w:rsidRDefault="000915C1" w:rsidP="000915C1">
      <w:pPr>
        <w:pStyle w:val="NoSpacing"/>
        <w:rPr>
          <w:rFonts w:ascii="Times New Roman" w:hAnsi="Times New Roman"/>
          <w:sz w:val="24"/>
          <w:szCs w:val="24"/>
        </w:rPr>
      </w:pPr>
    </w:p>
    <w:p w14:paraId="7A8C97EB" w14:textId="77777777" w:rsidR="000915C1" w:rsidRDefault="000915C1" w:rsidP="000915C1">
      <w:pPr>
        <w:pStyle w:val="NoSpacing"/>
        <w:rPr>
          <w:rFonts w:ascii="Times New Roman" w:hAnsi="Times New Roman"/>
          <w:sz w:val="24"/>
          <w:szCs w:val="24"/>
        </w:rPr>
      </w:pPr>
      <w:r>
        <w:rPr>
          <w:rFonts w:ascii="Times New Roman" w:hAnsi="Times New Roman"/>
          <w:sz w:val="24"/>
          <w:szCs w:val="24"/>
        </w:rPr>
        <w:t xml:space="preserve">On March 30, 2021, in </w:t>
      </w:r>
      <w:r w:rsidRPr="00BE2CAC">
        <w:rPr>
          <w:rFonts w:ascii="Times New Roman" w:hAnsi="Times New Roman"/>
          <w:sz w:val="24"/>
          <w:szCs w:val="24"/>
          <w:u w:val="single"/>
        </w:rPr>
        <w:t>Anas Elhady, et al. v. Charles H. Kable, Director of the Terrorist Screen Center, et al</w:t>
      </w:r>
      <w:r>
        <w:rPr>
          <w:rFonts w:ascii="Times New Roman" w:hAnsi="Times New Roman"/>
          <w:sz w:val="24"/>
          <w:szCs w:val="24"/>
        </w:rPr>
        <w:t>., the U.S. Court of Appeals for the 4</w:t>
      </w:r>
      <w:r w:rsidRPr="00BE2CAC">
        <w:rPr>
          <w:rFonts w:ascii="Times New Roman" w:hAnsi="Times New Roman"/>
          <w:sz w:val="24"/>
          <w:szCs w:val="24"/>
          <w:vertAlign w:val="superscript"/>
        </w:rPr>
        <w:t>th</w:t>
      </w:r>
      <w:r>
        <w:rPr>
          <w:rFonts w:ascii="Times New Roman" w:hAnsi="Times New Roman"/>
          <w:sz w:val="24"/>
          <w:szCs w:val="24"/>
        </w:rPr>
        <w:t xml:space="preserve"> Circuit (Richmond, VA), held (3 to 0) that the Terrorist Screening Database provides adequate due process protection for those seeking to get removed from the list. There are 1,160,000 individuals currently on the list, including about 4,600 U.S. citizens. Plaintiffs are 23 individuals complaining about their disruptions at airports; none have been barred from taking flights [not therefore are on the </w:t>
      </w:r>
      <w:proofErr w:type="gramStart"/>
      <w:r>
        <w:rPr>
          <w:rFonts w:ascii="Times New Roman" w:hAnsi="Times New Roman"/>
          <w:sz w:val="24"/>
          <w:szCs w:val="24"/>
        </w:rPr>
        <w:t>No Fly</w:t>
      </w:r>
      <w:proofErr w:type="gramEnd"/>
      <w:r>
        <w:rPr>
          <w:rFonts w:ascii="Times New Roman" w:hAnsi="Times New Roman"/>
          <w:sz w:val="24"/>
          <w:szCs w:val="24"/>
        </w:rPr>
        <w:t xml:space="preserve"> List] or when crossing the border into Mexico or Canada.  The Court reversed a U.S. District Court judge; two other Circuits have also upheld the watchlist due process procedures.</w:t>
      </w:r>
    </w:p>
    <w:p w14:paraId="7EAD077B" w14:textId="77777777" w:rsidR="000915C1" w:rsidRDefault="000915C1" w:rsidP="000915C1">
      <w:pPr>
        <w:pStyle w:val="NoSpacing"/>
        <w:rPr>
          <w:rFonts w:ascii="Times New Roman" w:hAnsi="Times New Roman"/>
          <w:sz w:val="24"/>
          <w:szCs w:val="24"/>
        </w:rPr>
      </w:pPr>
    </w:p>
    <w:p w14:paraId="4F04F64A" w14:textId="77777777" w:rsidR="000915C1" w:rsidRPr="00BE2CAC" w:rsidRDefault="000915C1" w:rsidP="000915C1">
      <w:pPr>
        <w:pStyle w:val="NoSpacing"/>
        <w:ind w:left="720"/>
        <w:rPr>
          <w:rFonts w:ascii="Times New Roman" w:eastAsia="Times New Roman" w:hAnsi="Times New Roman"/>
          <w:b/>
          <w:bCs/>
          <w:sz w:val="24"/>
          <w:szCs w:val="24"/>
        </w:rPr>
      </w:pPr>
      <w:r>
        <w:rPr>
          <w:rFonts w:ascii="Times New Roman" w:hAnsi="Times New Roman"/>
          <w:sz w:val="24"/>
          <w:szCs w:val="24"/>
        </w:rPr>
        <w:t>“</w:t>
      </w:r>
      <w:r w:rsidRPr="00BE2CAC">
        <w:rPr>
          <w:rFonts w:ascii="Times New Roman" w:hAnsi="Times New Roman"/>
          <w:sz w:val="24"/>
          <w:szCs w:val="24"/>
        </w:rPr>
        <w:t xml:space="preserve">The term </w:t>
      </w:r>
      <w:r>
        <w:rPr>
          <w:rFonts w:ascii="Times New Roman" w:hAnsi="Times New Roman"/>
          <w:sz w:val="24"/>
          <w:szCs w:val="24"/>
        </w:rPr>
        <w:t>‘</w:t>
      </w:r>
      <w:r w:rsidRPr="00BE2CAC">
        <w:rPr>
          <w:rFonts w:ascii="Times New Roman" w:hAnsi="Times New Roman"/>
          <w:sz w:val="24"/>
          <w:szCs w:val="24"/>
        </w:rPr>
        <w:t>national security</w:t>
      </w:r>
      <w:r>
        <w:rPr>
          <w:rFonts w:ascii="Times New Roman" w:hAnsi="Times New Roman"/>
          <w:sz w:val="24"/>
          <w:szCs w:val="24"/>
        </w:rPr>
        <w:t>’</w:t>
      </w:r>
      <w:r w:rsidRPr="00BE2CAC">
        <w:rPr>
          <w:rFonts w:ascii="Times New Roman" w:hAnsi="Times New Roman"/>
          <w:sz w:val="24"/>
          <w:szCs w:val="24"/>
        </w:rPr>
        <w:t xml:space="preserve"> is too often bandied loosely and carelessly about, but this is no program of marginal consequence. It lies at the very heart of our country’s effort to identify those who would inflict upon the public irretrievable loss and irreparable mass </w:t>
      </w:r>
      <w:proofErr w:type="gramStart"/>
      <w:r w:rsidRPr="00BE2CAC">
        <w:rPr>
          <w:rFonts w:ascii="Times New Roman" w:hAnsi="Times New Roman"/>
          <w:sz w:val="24"/>
          <w:szCs w:val="24"/>
        </w:rPr>
        <w:t>harms</w:t>
      </w:r>
      <w:proofErr w:type="gramEnd"/>
      <w:r w:rsidRPr="00BE2CAC">
        <w:rPr>
          <w:rFonts w:ascii="Times New Roman" w:hAnsi="Times New Roman"/>
          <w:sz w:val="24"/>
          <w:szCs w:val="24"/>
        </w:rPr>
        <w:t>. By bringing this across-the-board attack on a system vital to public safety—rather</w:t>
      </w:r>
      <w:r>
        <w:rPr>
          <w:rFonts w:ascii="Times New Roman" w:hAnsi="Times New Roman"/>
          <w:sz w:val="24"/>
          <w:szCs w:val="24"/>
        </w:rPr>
        <w:t xml:space="preserve"> </w:t>
      </w:r>
      <w:r w:rsidRPr="00BE2CAC">
        <w:rPr>
          <w:rFonts w:ascii="Times New Roman" w:hAnsi="Times New Roman"/>
          <w:sz w:val="24"/>
          <w:szCs w:val="24"/>
        </w:rPr>
        <w:t xml:space="preserve">than more focused individual challenges to </w:t>
      </w:r>
      <w:proofErr w:type="gramStart"/>
      <w:r w:rsidRPr="00BE2CAC">
        <w:rPr>
          <w:rFonts w:ascii="Times New Roman" w:hAnsi="Times New Roman"/>
          <w:sz w:val="24"/>
          <w:szCs w:val="24"/>
        </w:rPr>
        <w:t>particular law</w:t>
      </w:r>
      <w:proofErr w:type="gramEnd"/>
      <w:r w:rsidRPr="00BE2CAC">
        <w:rPr>
          <w:rFonts w:ascii="Times New Roman" w:hAnsi="Times New Roman"/>
          <w:sz w:val="24"/>
          <w:szCs w:val="24"/>
        </w:rPr>
        <w:t xml:space="preserve"> enforcement actions—plaintiffs</w:t>
      </w:r>
      <w:r>
        <w:rPr>
          <w:rFonts w:ascii="Times New Roman" w:hAnsi="Times New Roman"/>
          <w:sz w:val="24"/>
          <w:szCs w:val="24"/>
        </w:rPr>
        <w:t xml:space="preserve"> </w:t>
      </w:r>
      <w:r w:rsidRPr="00BE2CAC">
        <w:rPr>
          <w:rFonts w:ascii="Times New Roman" w:hAnsi="Times New Roman"/>
          <w:sz w:val="24"/>
          <w:szCs w:val="24"/>
        </w:rPr>
        <w:t>face a demanding legal standard. Procedural due process claims require showing that the government violated constitutionally protected liberty interests. Plaintiffs cannot meet that burden. The government has had authority to regulate travel and control the border since the beginning of the nation. Indeed, this authority is a core attribute of sovereignty. The delays and burdens experienced by plaintiffs at the border and in airports, although regrettable, do not mandate a complete overhaul of the TSDB.</w:t>
      </w:r>
      <w:r>
        <w:rPr>
          <w:rFonts w:ascii="Times New Roman" w:hAnsi="Times New Roman"/>
          <w:sz w:val="24"/>
          <w:szCs w:val="24"/>
        </w:rPr>
        <w:t xml:space="preserve">” </w:t>
      </w:r>
      <w:hyperlink r:id="rId780" w:history="1">
        <w:r w:rsidRPr="001A09F3">
          <w:rPr>
            <w:rStyle w:val="Hyperlink"/>
            <w:rFonts w:ascii="Times New Roman" w:hAnsi="Times New Roman"/>
            <w:sz w:val="24"/>
            <w:szCs w:val="24"/>
          </w:rPr>
          <w:t>https://www.ca4.uscourts.gov/opinions/201119.P.pdf</w:t>
        </w:r>
      </w:hyperlink>
      <w:r>
        <w:rPr>
          <w:rFonts w:ascii="Times New Roman" w:hAnsi="Times New Roman"/>
          <w:sz w:val="24"/>
          <w:szCs w:val="24"/>
        </w:rPr>
        <w:t xml:space="preserve"> </w:t>
      </w:r>
    </w:p>
    <w:p w14:paraId="410C96A3" w14:textId="5B6B2959" w:rsidR="000915C1" w:rsidRDefault="000915C1" w:rsidP="00F326E5">
      <w:pPr>
        <w:pStyle w:val="NoSpacing"/>
        <w:rPr>
          <w:rFonts w:ascii="Arial Black" w:hAnsi="Arial Black"/>
          <w:sz w:val="28"/>
          <w:szCs w:val="28"/>
        </w:rPr>
      </w:pPr>
    </w:p>
    <w:p w14:paraId="535B3C6E" w14:textId="620EEB3B" w:rsidR="000915C1" w:rsidRPr="008C2C03" w:rsidRDefault="000915C1" w:rsidP="000915C1">
      <w:pPr>
        <w:pStyle w:val="NoSpacing"/>
        <w:rPr>
          <w:rFonts w:ascii="Times New Roman" w:hAnsi="Times New Roman"/>
          <w:b/>
          <w:bCs/>
          <w:sz w:val="24"/>
          <w:szCs w:val="24"/>
        </w:rPr>
      </w:pPr>
      <w:r w:rsidRPr="008C2C03">
        <w:rPr>
          <w:rFonts w:ascii="Times New Roman" w:hAnsi="Times New Roman"/>
          <w:b/>
          <w:bCs/>
          <w:sz w:val="24"/>
          <w:szCs w:val="24"/>
        </w:rPr>
        <w:t>Legal Lesson Learned:</w:t>
      </w:r>
      <w:r>
        <w:rPr>
          <w:rFonts w:ascii="Times New Roman" w:hAnsi="Times New Roman"/>
          <w:b/>
          <w:bCs/>
          <w:sz w:val="24"/>
          <w:szCs w:val="24"/>
        </w:rPr>
        <w:t xml:space="preserve">  The 4</w:t>
      </w:r>
      <w:r w:rsidRPr="008C2C03">
        <w:rPr>
          <w:rFonts w:ascii="Times New Roman" w:hAnsi="Times New Roman"/>
          <w:b/>
          <w:bCs/>
          <w:sz w:val="24"/>
          <w:szCs w:val="24"/>
          <w:vertAlign w:val="superscript"/>
        </w:rPr>
        <w:t>th</w:t>
      </w:r>
      <w:r>
        <w:rPr>
          <w:rFonts w:ascii="Times New Roman" w:hAnsi="Times New Roman"/>
          <w:b/>
          <w:bCs/>
          <w:sz w:val="24"/>
          <w:szCs w:val="24"/>
        </w:rPr>
        <w:t xml:space="preserve"> Circuit, like the 6</w:t>
      </w:r>
      <w:r w:rsidRPr="008C2C03">
        <w:rPr>
          <w:rFonts w:ascii="Times New Roman" w:hAnsi="Times New Roman"/>
          <w:b/>
          <w:bCs/>
          <w:sz w:val="24"/>
          <w:szCs w:val="24"/>
          <w:vertAlign w:val="superscript"/>
        </w:rPr>
        <w:t>th</w:t>
      </w:r>
      <w:r>
        <w:rPr>
          <w:rFonts w:ascii="Times New Roman" w:hAnsi="Times New Roman"/>
          <w:b/>
          <w:bCs/>
          <w:sz w:val="24"/>
          <w:szCs w:val="24"/>
        </w:rPr>
        <w:t xml:space="preserve"> and 10</w:t>
      </w:r>
      <w:r w:rsidRPr="008C2C03">
        <w:rPr>
          <w:rFonts w:ascii="Times New Roman" w:hAnsi="Times New Roman"/>
          <w:b/>
          <w:bCs/>
          <w:sz w:val="24"/>
          <w:szCs w:val="24"/>
          <w:vertAlign w:val="superscript"/>
        </w:rPr>
        <w:t>th</w:t>
      </w:r>
      <w:r>
        <w:rPr>
          <w:rFonts w:ascii="Times New Roman" w:hAnsi="Times New Roman"/>
          <w:b/>
          <w:bCs/>
          <w:sz w:val="24"/>
          <w:szCs w:val="24"/>
        </w:rPr>
        <w:t xml:space="preserve"> Circuits, has upheld the watchlist program to protect our nation’s security. </w:t>
      </w:r>
    </w:p>
    <w:p w14:paraId="391E1D6A" w14:textId="77777777" w:rsidR="000915C1" w:rsidRDefault="000915C1" w:rsidP="00F326E5">
      <w:pPr>
        <w:pStyle w:val="NoSpacing"/>
        <w:rPr>
          <w:rFonts w:ascii="Arial Black" w:hAnsi="Arial Black"/>
          <w:sz w:val="28"/>
          <w:szCs w:val="28"/>
        </w:rPr>
      </w:pPr>
    </w:p>
    <w:p w14:paraId="0391AA10" w14:textId="77777777" w:rsidR="000915C1" w:rsidRDefault="000915C1" w:rsidP="00F326E5">
      <w:pPr>
        <w:pStyle w:val="NoSpacing"/>
        <w:rPr>
          <w:rFonts w:ascii="Arial Black" w:hAnsi="Arial Black"/>
          <w:sz w:val="28"/>
          <w:szCs w:val="28"/>
        </w:rPr>
      </w:pPr>
    </w:p>
    <w:p w14:paraId="34403432" w14:textId="0A6C9B62" w:rsidR="000915C1" w:rsidRDefault="000915C1" w:rsidP="00F326E5">
      <w:pPr>
        <w:pStyle w:val="NoSpacing"/>
        <w:rPr>
          <w:rFonts w:ascii="Arial Black" w:hAnsi="Arial Black"/>
          <w:sz w:val="28"/>
          <w:szCs w:val="28"/>
        </w:rPr>
      </w:pPr>
      <w:r>
        <w:rPr>
          <w:rFonts w:ascii="Arial Black" w:hAnsi="Arial Black"/>
          <w:sz w:val="28"/>
          <w:szCs w:val="28"/>
        </w:rPr>
        <w:t>3-31</w:t>
      </w:r>
    </w:p>
    <w:p w14:paraId="4FCEACC7" w14:textId="46C731CC" w:rsidR="000915C1" w:rsidRDefault="000915C1" w:rsidP="00F326E5">
      <w:pPr>
        <w:pStyle w:val="NoSpacing"/>
        <w:rPr>
          <w:rFonts w:ascii="Arial Black" w:hAnsi="Arial Black"/>
          <w:sz w:val="28"/>
          <w:szCs w:val="28"/>
        </w:rPr>
      </w:pPr>
    </w:p>
    <w:p w14:paraId="2F8EC9CC" w14:textId="77777777" w:rsidR="000915C1" w:rsidRPr="002F56FE" w:rsidRDefault="000915C1" w:rsidP="000915C1">
      <w:pPr>
        <w:pStyle w:val="NoSpacing"/>
        <w:rPr>
          <w:rFonts w:ascii="Arial Black" w:hAnsi="Arial Black"/>
          <w:sz w:val="28"/>
          <w:szCs w:val="28"/>
        </w:rPr>
      </w:pPr>
      <w:r>
        <w:rPr>
          <w:rFonts w:ascii="Arial Black" w:hAnsi="Arial Black"/>
          <w:sz w:val="28"/>
          <w:szCs w:val="28"/>
        </w:rPr>
        <w:t>U.S. SUPREME COURT: MEXICAN CITIZEN IN U.S. 25 YEARS – CAN BE DEPORTED – USED FAKE SOCIAL SECURITY CARD</w:t>
      </w:r>
    </w:p>
    <w:p w14:paraId="13E06B1B" w14:textId="12D54FA8" w:rsidR="000915C1" w:rsidRDefault="000915C1" w:rsidP="000915C1">
      <w:pPr>
        <w:spacing w:before="100" w:beforeAutospacing="1" w:after="100" w:afterAutospacing="1" w:line="240" w:lineRule="auto"/>
        <w:rPr>
          <w:rFonts w:ascii="Times New Roman" w:hAnsi="Times New Roman"/>
          <w:sz w:val="24"/>
          <w:szCs w:val="24"/>
        </w:rPr>
      </w:pPr>
      <w:r w:rsidRPr="002F56FE">
        <w:rPr>
          <w:rFonts w:ascii="Times New Roman" w:hAnsi="Times New Roman"/>
          <w:sz w:val="24"/>
          <w:szCs w:val="24"/>
        </w:rPr>
        <w:t xml:space="preserve">On March 4, 2021, in </w:t>
      </w:r>
      <w:r w:rsidRPr="00F3033E">
        <w:rPr>
          <w:rFonts w:ascii="Times New Roman" w:hAnsi="Times New Roman"/>
          <w:sz w:val="24"/>
          <w:szCs w:val="24"/>
          <w:u w:val="single"/>
        </w:rPr>
        <w:t>Avelino Pereida v. Monty Wilkinson, Acting Attorney General</w:t>
      </w:r>
      <w:r w:rsidRPr="002F56FE">
        <w:rPr>
          <w:rFonts w:ascii="Times New Roman" w:hAnsi="Times New Roman"/>
          <w:sz w:val="24"/>
          <w:szCs w:val="24"/>
        </w:rPr>
        <w:t xml:space="preserve">, </w:t>
      </w:r>
      <w:r>
        <w:rPr>
          <w:rFonts w:ascii="Times New Roman" w:hAnsi="Times New Roman"/>
          <w:sz w:val="24"/>
          <w:szCs w:val="24"/>
        </w:rPr>
        <w:t xml:space="preserve">the U.S. Supreme Court held (5 to 3) that Mr. Pereida, a </w:t>
      </w:r>
      <w:r w:rsidRPr="00F3033E">
        <w:rPr>
          <w:rFonts w:ascii="Times New Roman" w:hAnsi="Times New Roman"/>
          <w:sz w:val="24"/>
          <w:szCs w:val="24"/>
        </w:rPr>
        <w:t xml:space="preserve">nonpermanent alien </w:t>
      </w:r>
      <w:r>
        <w:rPr>
          <w:rFonts w:ascii="Times New Roman" w:hAnsi="Times New Roman"/>
          <w:sz w:val="24"/>
          <w:szCs w:val="24"/>
        </w:rPr>
        <w:t xml:space="preserve">in the U.S. for 25 years, and he and his wife raised three children, sought </w:t>
      </w:r>
      <w:r w:rsidRPr="00F3033E">
        <w:rPr>
          <w:rFonts w:ascii="Times New Roman" w:hAnsi="Times New Roman"/>
          <w:sz w:val="24"/>
          <w:szCs w:val="24"/>
        </w:rPr>
        <w:t>to cancel a lawful removal order must prove that they have not been convicted of a disqualifying crime</w:t>
      </w:r>
      <w:r>
        <w:rPr>
          <w:rFonts w:ascii="Times New Roman" w:hAnsi="Times New Roman"/>
          <w:sz w:val="24"/>
          <w:szCs w:val="24"/>
        </w:rPr>
        <w:t xml:space="preserve"> (crime of “moral turpitude”)</w:t>
      </w:r>
      <w:r w:rsidRPr="00F3033E">
        <w:rPr>
          <w:rFonts w:ascii="Times New Roman" w:hAnsi="Times New Roman"/>
          <w:sz w:val="24"/>
          <w:szCs w:val="24"/>
        </w:rPr>
        <w:t xml:space="preserve">. </w:t>
      </w:r>
      <w:r>
        <w:rPr>
          <w:rFonts w:ascii="Times New Roman" w:hAnsi="Times New Roman"/>
          <w:sz w:val="24"/>
          <w:szCs w:val="24"/>
        </w:rPr>
        <w:t xml:space="preserve"> In 2010, he was charge</w:t>
      </w:r>
      <w:r w:rsidR="006F4E6C">
        <w:rPr>
          <w:rFonts w:ascii="Times New Roman" w:hAnsi="Times New Roman"/>
          <w:sz w:val="24"/>
          <w:szCs w:val="24"/>
        </w:rPr>
        <w:t>d</w:t>
      </w:r>
      <w:r>
        <w:rPr>
          <w:rFonts w:ascii="Times New Roman" w:hAnsi="Times New Roman"/>
          <w:sz w:val="24"/>
          <w:szCs w:val="24"/>
        </w:rPr>
        <w:t xml:space="preserve"> in Nebraska with the crime of using a false Social Security Card to get employment as a janitor, plead nolo </w:t>
      </w:r>
      <w:r w:rsidRPr="00F3033E">
        <w:rPr>
          <w:rFonts w:ascii="Times New Roman" w:hAnsi="Times New Roman"/>
          <w:sz w:val="24"/>
          <w:szCs w:val="24"/>
        </w:rPr>
        <w:t>contendere</w:t>
      </w:r>
      <w:r>
        <w:rPr>
          <w:rFonts w:ascii="Times New Roman" w:hAnsi="Times New Roman"/>
          <w:sz w:val="24"/>
          <w:szCs w:val="24"/>
        </w:rPr>
        <w:t xml:space="preserve"> [no contest] and was fined $100. </w:t>
      </w:r>
    </w:p>
    <w:p w14:paraId="2379B60A" w14:textId="1C5D92C3" w:rsidR="000915C1" w:rsidRPr="000915C1" w:rsidRDefault="000915C1" w:rsidP="000915C1">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F3033E">
        <w:rPr>
          <w:rFonts w:ascii="Times New Roman" w:hAnsi="Times New Roman"/>
          <w:sz w:val="24"/>
          <w:szCs w:val="24"/>
        </w:rPr>
        <w:t>Under the INA</w:t>
      </w:r>
      <w:r>
        <w:rPr>
          <w:rFonts w:ascii="Times New Roman" w:hAnsi="Times New Roman"/>
          <w:sz w:val="24"/>
          <w:szCs w:val="24"/>
        </w:rPr>
        <w:t xml:space="preserve"> </w:t>
      </w:r>
      <w:r w:rsidRPr="00BD63A2">
        <w:rPr>
          <w:rFonts w:ascii="Times New Roman" w:hAnsi="Times New Roman"/>
          <w:sz w:val="24"/>
          <w:szCs w:val="24"/>
        </w:rPr>
        <w:t>[Immigration and Nationality Act]</w:t>
      </w:r>
      <w:r>
        <w:rPr>
          <w:rFonts w:ascii="Times New Roman" w:hAnsi="Times New Roman"/>
          <w:sz w:val="24"/>
          <w:szCs w:val="24"/>
        </w:rPr>
        <w:t xml:space="preserve">, </w:t>
      </w:r>
      <w:r w:rsidRPr="00F3033E">
        <w:rPr>
          <w:rFonts w:ascii="Times New Roman" w:hAnsi="Times New Roman"/>
          <w:sz w:val="24"/>
          <w:szCs w:val="24"/>
        </w:rPr>
        <w:t>certain nonpermanent aliens seeking to</w:t>
      </w:r>
      <w:r w:rsidR="006F4E6C">
        <w:rPr>
          <w:rFonts w:ascii="Times New Roman" w:hAnsi="Times New Roman"/>
          <w:sz w:val="24"/>
          <w:szCs w:val="24"/>
        </w:rPr>
        <w:t xml:space="preserve"> </w:t>
      </w:r>
      <w:r w:rsidRPr="00F3033E">
        <w:rPr>
          <w:rFonts w:ascii="Times New Roman" w:hAnsi="Times New Roman"/>
          <w:sz w:val="24"/>
          <w:szCs w:val="24"/>
        </w:rPr>
        <w:t>cancel a lawful removal order must prove that they have</w:t>
      </w:r>
      <w:r>
        <w:rPr>
          <w:rFonts w:ascii="Times New Roman" w:hAnsi="Times New Roman"/>
          <w:sz w:val="24"/>
          <w:szCs w:val="24"/>
        </w:rPr>
        <w:t xml:space="preserve"> </w:t>
      </w:r>
      <w:r w:rsidRPr="00F3033E">
        <w:rPr>
          <w:rFonts w:ascii="Times New Roman" w:hAnsi="Times New Roman"/>
          <w:sz w:val="24"/>
          <w:szCs w:val="24"/>
        </w:rPr>
        <w:t>not been convicted of a disqualifying crime. The Eighth Circuit correctly held that Mr. Pereida failed to carry this burden. Its judgment is Affirmed</w:t>
      </w:r>
      <w:r>
        <w:rPr>
          <w:rFonts w:ascii="Times New Roman" w:hAnsi="Times New Roman"/>
          <w:sz w:val="24"/>
          <w:szCs w:val="24"/>
        </w:rPr>
        <w:t xml:space="preserve">.” </w:t>
      </w:r>
      <w:hyperlink r:id="rId781" w:history="1">
        <w:r w:rsidRPr="000915C1">
          <w:rPr>
            <w:rStyle w:val="Hyperlink"/>
            <w:rFonts w:ascii="Times New Roman" w:hAnsi="Times New Roman"/>
            <w:sz w:val="24"/>
            <w:szCs w:val="24"/>
          </w:rPr>
          <w:t>https://www.supremecourt.gov/opinions/20pdf/19-438_j4el.pdf</w:t>
        </w:r>
      </w:hyperlink>
      <w:r w:rsidRPr="000915C1">
        <w:rPr>
          <w:rFonts w:ascii="Times New Roman" w:hAnsi="Times New Roman"/>
          <w:sz w:val="24"/>
          <w:szCs w:val="24"/>
        </w:rPr>
        <w:t xml:space="preserve"> </w:t>
      </w:r>
    </w:p>
    <w:p w14:paraId="266D7F92" w14:textId="77777777" w:rsidR="000915C1" w:rsidRPr="00BD63A2" w:rsidRDefault="000915C1" w:rsidP="000915C1">
      <w:pPr>
        <w:spacing w:before="100" w:beforeAutospacing="1" w:after="100" w:afterAutospacing="1" w:line="240" w:lineRule="auto"/>
        <w:rPr>
          <w:rFonts w:ascii="Times New Roman" w:hAnsi="Times New Roman"/>
          <w:b/>
          <w:bCs/>
          <w:sz w:val="24"/>
          <w:szCs w:val="24"/>
        </w:rPr>
      </w:pPr>
      <w:r w:rsidRPr="00BD63A2">
        <w:rPr>
          <w:rFonts w:ascii="Times New Roman" w:hAnsi="Times New Roman"/>
          <w:b/>
          <w:bCs/>
          <w:sz w:val="24"/>
          <w:szCs w:val="24"/>
        </w:rPr>
        <w:t>Legal Lesson Learned:</w:t>
      </w:r>
      <w:r>
        <w:rPr>
          <w:rFonts w:ascii="Times New Roman" w:hAnsi="Times New Roman"/>
          <w:b/>
          <w:bCs/>
          <w:sz w:val="24"/>
          <w:szCs w:val="24"/>
        </w:rPr>
        <w:t xml:space="preserve"> This U.S. Supreme Court decision sets precedence for other deportation cases.  </w:t>
      </w:r>
    </w:p>
    <w:p w14:paraId="51C3B8A3" w14:textId="77777777" w:rsidR="000915C1" w:rsidRDefault="000915C1" w:rsidP="000915C1">
      <w:pPr>
        <w:spacing w:before="100" w:beforeAutospacing="1" w:after="100" w:afterAutospacing="1" w:line="240" w:lineRule="auto"/>
        <w:ind w:left="720"/>
        <w:rPr>
          <w:rFonts w:ascii="Times New Roman" w:eastAsia="Times New Roman" w:hAnsi="Times New Roman"/>
          <w:kern w:val="36"/>
          <w:sz w:val="24"/>
          <w:szCs w:val="24"/>
        </w:rPr>
      </w:pPr>
      <w:r>
        <w:rPr>
          <w:rFonts w:ascii="Times New Roman" w:hAnsi="Times New Roman"/>
          <w:sz w:val="24"/>
          <w:szCs w:val="24"/>
        </w:rPr>
        <w:t>Note: See article – “</w:t>
      </w:r>
      <w:r w:rsidRPr="00BD63A2">
        <w:rPr>
          <w:rFonts w:ascii="Times New Roman" w:eastAsia="Times New Roman" w:hAnsi="Times New Roman"/>
          <w:kern w:val="36"/>
          <w:sz w:val="24"/>
          <w:szCs w:val="24"/>
        </w:rPr>
        <w:t xml:space="preserve">Supreme Court Makes It Harder </w:t>
      </w:r>
      <w:proofErr w:type="gramStart"/>
      <w:r w:rsidRPr="00BD63A2">
        <w:rPr>
          <w:rFonts w:ascii="Times New Roman" w:eastAsia="Times New Roman" w:hAnsi="Times New Roman"/>
          <w:kern w:val="36"/>
          <w:sz w:val="24"/>
          <w:szCs w:val="24"/>
        </w:rPr>
        <w:t>For</w:t>
      </w:r>
      <w:proofErr w:type="gramEnd"/>
      <w:r w:rsidRPr="00BD63A2">
        <w:rPr>
          <w:rFonts w:ascii="Times New Roman" w:eastAsia="Times New Roman" w:hAnsi="Times New Roman"/>
          <w:kern w:val="36"/>
          <w:sz w:val="24"/>
          <w:szCs w:val="24"/>
        </w:rPr>
        <w:t xml:space="preserve"> Undocumented Immigrants </w:t>
      </w:r>
      <w:proofErr w:type="gramStart"/>
      <w:r w:rsidRPr="00BD63A2">
        <w:rPr>
          <w:rFonts w:ascii="Times New Roman" w:eastAsia="Times New Roman" w:hAnsi="Times New Roman"/>
          <w:kern w:val="36"/>
          <w:sz w:val="24"/>
          <w:szCs w:val="24"/>
        </w:rPr>
        <w:t>To</w:t>
      </w:r>
      <w:proofErr w:type="gramEnd"/>
      <w:r w:rsidRPr="00BD63A2">
        <w:rPr>
          <w:rFonts w:ascii="Times New Roman" w:eastAsia="Times New Roman" w:hAnsi="Times New Roman"/>
          <w:kern w:val="36"/>
          <w:sz w:val="24"/>
          <w:szCs w:val="24"/>
        </w:rPr>
        <w:t xml:space="preserve"> Fight Deportation</w:t>
      </w:r>
      <w:r>
        <w:rPr>
          <w:rFonts w:ascii="Times New Roman" w:eastAsia="Times New Roman" w:hAnsi="Times New Roman"/>
          <w:kern w:val="36"/>
          <w:sz w:val="24"/>
          <w:szCs w:val="24"/>
        </w:rPr>
        <w:t xml:space="preserve">,” March 4, 2021: </w:t>
      </w:r>
      <w:hyperlink r:id="rId782" w:history="1">
        <w:r w:rsidRPr="00916B19">
          <w:rPr>
            <w:rStyle w:val="Hyperlink"/>
            <w:sz w:val="24"/>
            <w:szCs w:val="24"/>
          </w:rPr>
          <w:t>https://www.npr.org/2021/03/04/973658292/supreme-court-makes-it-harder-for-undocumented-immigrants-to-fight-deportation</w:t>
        </w:r>
      </w:hyperlink>
      <w:r>
        <w:rPr>
          <w:rFonts w:ascii="Times New Roman" w:eastAsia="Times New Roman" w:hAnsi="Times New Roman"/>
          <w:kern w:val="36"/>
          <w:sz w:val="24"/>
          <w:szCs w:val="24"/>
        </w:rPr>
        <w:t xml:space="preserve"> </w:t>
      </w:r>
    </w:p>
    <w:p w14:paraId="30535845" w14:textId="4F25AA40" w:rsidR="000915C1" w:rsidRDefault="000915C1" w:rsidP="00F326E5">
      <w:pPr>
        <w:pStyle w:val="NoSpacing"/>
        <w:rPr>
          <w:rFonts w:ascii="Arial Black" w:hAnsi="Arial Black"/>
          <w:sz w:val="28"/>
          <w:szCs w:val="28"/>
        </w:rPr>
      </w:pPr>
    </w:p>
    <w:p w14:paraId="73014751" w14:textId="1319E81D" w:rsidR="000915C1" w:rsidRDefault="000915C1" w:rsidP="00F326E5">
      <w:pPr>
        <w:pStyle w:val="NoSpacing"/>
        <w:rPr>
          <w:rFonts w:ascii="Arial Black" w:hAnsi="Arial Black"/>
          <w:sz w:val="28"/>
          <w:szCs w:val="28"/>
        </w:rPr>
      </w:pPr>
    </w:p>
    <w:p w14:paraId="63EA5369" w14:textId="77777777" w:rsidR="000915C1" w:rsidRDefault="000915C1" w:rsidP="00F326E5">
      <w:pPr>
        <w:pStyle w:val="NoSpacing"/>
        <w:rPr>
          <w:rFonts w:ascii="Arial Black" w:hAnsi="Arial Black"/>
          <w:sz w:val="28"/>
          <w:szCs w:val="28"/>
        </w:rPr>
      </w:pPr>
    </w:p>
    <w:p w14:paraId="0843707D" w14:textId="1E1F42D3" w:rsidR="005E132A" w:rsidRDefault="00CD5950" w:rsidP="00F326E5">
      <w:pPr>
        <w:pStyle w:val="NoSpacing"/>
        <w:rPr>
          <w:rFonts w:ascii="Arial Black" w:hAnsi="Arial Black"/>
          <w:sz w:val="28"/>
          <w:szCs w:val="28"/>
        </w:rPr>
      </w:pPr>
      <w:r>
        <w:rPr>
          <w:rFonts w:ascii="Arial Black" w:hAnsi="Arial Black"/>
          <w:sz w:val="28"/>
          <w:szCs w:val="28"/>
        </w:rPr>
        <w:t>3-30</w:t>
      </w:r>
    </w:p>
    <w:p w14:paraId="386C35F8" w14:textId="77777777" w:rsidR="00CD5950" w:rsidRDefault="00CD5950" w:rsidP="00CD595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IL: FBI 2-YEAR INVESTIGATION – USED “CONFIDENTIAL HUMAN SOURCE” – JURY CONVICTION </w:t>
      </w:r>
    </w:p>
    <w:p w14:paraId="31756B32" w14:textId="32FCE251" w:rsidR="00CD5950" w:rsidRDefault="00CD5950" w:rsidP="00CD5950">
      <w:pPr>
        <w:spacing w:before="100" w:beforeAutospacing="1" w:after="100" w:afterAutospacing="1" w:line="240" w:lineRule="auto"/>
        <w:rPr>
          <w:rFonts w:ascii="Times New Roman" w:hAnsi="Times New Roman"/>
          <w:sz w:val="24"/>
          <w:szCs w:val="24"/>
        </w:rPr>
      </w:pPr>
      <w:r w:rsidRPr="00BC6E6A">
        <w:rPr>
          <w:rFonts w:ascii="Times New Roman" w:eastAsia="Times New Roman" w:hAnsi="Times New Roman"/>
          <w:sz w:val="24"/>
          <w:szCs w:val="24"/>
        </w:rPr>
        <w:t xml:space="preserve">On Feb. 18, 2021, in </w:t>
      </w:r>
      <w:r w:rsidRPr="00D2057B">
        <w:rPr>
          <w:rFonts w:ascii="Times New Roman" w:eastAsia="Times New Roman" w:hAnsi="Times New Roman"/>
          <w:sz w:val="24"/>
          <w:szCs w:val="24"/>
          <w:u w:val="single"/>
        </w:rPr>
        <w:t>United States of America v. Joseph D. Jones and Edward Schimenti</w:t>
      </w:r>
      <w:r>
        <w:rPr>
          <w:rFonts w:ascii="Times New Roman" w:eastAsia="Times New Roman" w:hAnsi="Times New Roman"/>
          <w:sz w:val="24"/>
          <w:szCs w:val="24"/>
        </w:rPr>
        <w:t xml:space="preserve">, U.S. District Court Judge </w:t>
      </w:r>
      <w:r w:rsidRPr="00D2057B">
        <w:rPr>
          <w:rFonts w:ascii="Times New Roman" w:hAnsi="Times New Roman"/>
          <w:sz w:val="24"/>
          <w:szCs w:val="24"/>
        </w:rPr>
        <w:t>Andrea R. Wood</w:t>
      </w:r>
      <w:r>
        <w:rPr>
          <w:rFonts w:ascii="Times New Roman" w:hAnsi="Times New Roman"/>
          <w:sz w:val="24"/>
          <w:szCs w:val="24"/>
        </w:rPr>
        <w:t xml:space="preserve">, U.S. District Court for the Northern District of Illinois (Eastern Division) denied the defendants’ motion for judgment of acquittal or alternatively for a new trial.  The FBI investigation started based on internet posts by the two defendants and lasted for two years with both undercover FBI agents and a “confidential human source” tape recording their conversations with the defendants.  The FBI paid the source for expenses, and after the trial obtained FBI Headquarters permission to pay him $50,000.  </w:t>
      </w:r>
    </w:p>
    <w:p w14:paraId="009E22ED" w14:textId="77777777" w:rsidR="00CD5950" w:rsidRDefault="00CD5950" w:rsidP="00CD5950">
      <w:pPr>
        <w:pStyle w:val="NormalWeb"/>
        <w:ind w:left="1440"/>
      </w:pPr>
      <w:r>
        <w:t xml:space="preserve">“Muhamed [the confidential </w:t>
      </w:r>
      <w:proofErr w:type="spellStart"/>
      <w:r>
        <w:t>himan</w:t>
      </w:r>
      <w:proofErr w:type="spellEnd"/>
      <w:r>
        <w:t xml:space="preserve"> source] also testified at trial. He explained that he was born in Iraq and had worked for the United States Department of Defense in Iraq between 2004 and 2009. (Tr. 1220-22.) He moved to the United States in 2014 as a refugee. (Tr. 1221.) Muhamed testified that he first spoke to the FBI in the summer of 2016 when FBI agents came to his home to interview him about a report that he had an ISIS flag on his car. (Tr. 1223.) Subsequently, Muhamed followed up with the FBI, told an FBI supervisor that he loved to work with the government and was a law enforcement supporter, interviewed with the FBI, and began working as a confidential human source. (Tr. 1224-25.) Muhamed further testified that he never asked the FBI for anything in exchange for his cooperation, the FBI never offered him anything in exchange for his cooperation, and he did not expect to get anything for his cooperation. (Tr. 1225.) According to Muhamed, the FBI had given him some money but only for fuel, a cheap car, parking, and moving out from his old apartment after the case. (Tr. 1226.)</w:t>
      </w:r>
    </w:p>
    <w:p w14:paraId="4DAE95B2" w14:textId="77777777" w:rsidR="00CD5950" w:rsidRDefault="00CD5950" w:rsidP="00CD5950">
      <w:pPr>
        <w:pStyle w:val="NormalWeb"/>
        <w:ind w:left="1440"/>
      </w:pPr>
      <w:r>
        <w:t>***</w:t>
      </w:r>
    </w:p>
    <w:p w14:paraId="3DB19EF7" w14:textId="77777777" w:rsidR="00CD5950" w:rsidRPr="00E41266" w:rsidRDefault="00CD5950" w:rsidP="00CD5950">
      <w:pPr>
        <w:spacing w:before="100" w:beforeAutospacing="1" w:after="100" w:afterAutospacing="1" w:line="240" w:lineRule="auto"/>
        <w:ind w:left="1440"/>
        <w:rPr>
          <w:rFonts w:ascii="Times New Roman" w:eastAsia="Times New Roman" w:hAnsi="Times New Roman"/>
          <w:sz w:val="24"/>
          <w:szCs w:val="24"/>
        </w:rPr>
      </w:pPr>
      <w:r w:rsidRPr="00E41266">
        <w:rPr>
          <w:rFonts w:ascii="Times New Roman" w:eastAsia="Times New Roman" w:hAnsi="Times New Roman"/>
          <w:sz w:val="24"/>
          <w:szCs w:val="24"/>
        </w:rPr>
        <w:t xml:space="preserve">But Defendants have not identified any </w:t>
      </w:r>
      <w:proofErr w:type="gramStart"/>
      <w:r w:rsidRPr="00E41266">
        <w:rPr>
          <w:rFonts w:ascii="Times New Roman" w:eastAsia="Times New Roman" w:hAnsi="Times New Roman"/>
          <w:sz w:val="24"/>
          <w:szCs w:val="24"/>
        </w:rPr>
        <w:t>particular testimony</w:t>
      </w:r>
      <w:proofErr w:type="gramEnd"/>
      <w:r w:rsidRPr="00E41266">
        <w:rPr>
          <w:rFonts w:ascii="Times New Roman" w:eastAsia="Times New Roman" w:hAnsi="Times New Roman"/>
          <w:sz w:val="24"/>
          <w:szCs w:val="24"/>
        </w:rPr>
        <w:t xml:space="preserve"> given by Muhamed that they claim was exaggerated or outright false—other than his motives for testifying. Given that the jury did hear evidence regarding pretrial payments to Muhamed, even if some of the detail may have been omitted to inaccurate, and the speculative nature at least at the time of trial, of any post-trial request for payment to Muhamed, the Court cannot conclude that the additional information would have been material and not cumulative.</w:t>
      </w:r>
      <w:r>
        <w:t xml:space="preserve"> </w:t>
      </w:r>
      <w:hyperlink r:id="rId783" w:history="1">
        <w:r w:rsidRPr="002A3A0C">
          <w:rPr>
            <w:rStyle w:val="Hyperlink"/>
            <w:rFonts w:ascii="Times New Roman" w:eastAsia="Times New Roman" w:hAnsi="Times New Roman"/>
            <w:sz w:val="24"/>
            <w:szCs w:val="24"/>
          </w:rPr>
          <w:t>https://public.fastcase.com/Wl%2B2t%2BeVuI35%2FN70vAMFZt9ItawWnHyT6tQhkduyZ%2FXLPY%2FAAJ%2BlLBDJZfxklyiH</w:t>
        </w:r>
      </w:hyperlink>
      <w:r>
        <w:rPr>
          <w:rFonts w:ascii="Times New Roman" w:eastAsia="Times New Roman" w:hAnsi="Times New Roman"/>
          <w:sz w:val="24"/>
          <w:szCs w:val="24"/>
        </w:rPr>
        <w:t xml:space="preserve"> </w:t>
      </w:r>
    </w:p>
    <w:p w14:paraId="451BAF8D" w14:textId="77777777" w:rsidR="00CD5950" w:rsidRPr="00E73800" w:rsidRDefault="00CD5950" w:rsidP="00CD5950">
      <w:pPr>
        <w:spacing w:before="100" w:beforeAutospacing="1" w:after="100" w:afterAutospacing="1" w:line="240" w:lineRule="auto"/>
        <w:rPr>
          <w:rFonts w:ascii="Times New Roman" w:eastAsia="Times New Roman" w:hAnsi="Times New Roman"/>
          <w:b/>
          <w:bCs/>
          <w:sz w:val="24"/>
          <w:szCs w:val="24"/>
        </w:rPr>
      </w:pPr>
      <w:r w:rsidRPr="00E73800">
        <w:rPr>
          <w:rFonts w:ascii="Times New Roman" w:hAnsi="Times New Roman"/>
          <w:b/>
          <w:bCs/>
          <w:sz w:val="24"/>
          <w:szCs w:val="24"/>
        </w:rPr>
        <w:t>Legal Lesson Learned:</w:t>
      </w:r>
      <w:r>
        <w:rPr>
          <w:rFonts w:ascii="Times New Roman" w:hAnsi="Times New Roman"/>
          <w:b/>
          <w:bCs/>
          <w:sz w:val="24"/>
          <w:szCs w:val="24"/>
        </w:rPr>
        <w:t xml:space="preserve"> The Court’s decision gives great insight </w:t>
      </w:r>
      <w:proofErr w:type="gramStart"/>
      <w:r>
        <w:rPr>
          <w:rFonts w:ascii="Times New Roman" w:hAnsi="Times New Roman"/>
          <w:b/>
          <w:bCs/>
          <w:sz w:val="24"/>
          <w:szCs w:val="24"/>
        </w:rPr>
        <w:t>on</w:t>
      </w:r>
      <w:proofErr w:type="gramEnd"/>
      <w:r>
        <w:rPr>
          <w:rFonts w:ascii="Times New Roman" w:hAnsi="Times New Roman"/>
          <w:b/>
          <w:bCs/>
          <w:sz w:val="24"/>
          <w:szCs w:val="24"/>
        </w:rPr>
        <w:t xml:space="preserve"> how FBI conducted their two year </w:t>
      </w:r>
      <w:proofErr w:type="gramStart"/>
      <w:r>
        <w:rPr>
          <w:rFonts w:ascii="Times New Roman" w:hAnsi="Times New Roman"/>
          <w:b/>
          <w:bCs/>
          <w:sz w:val="24"/>
          <w:szCs w:val="24"/>
        </w:rPr>
        <w:t>investigation, and</w:t>
      </w:r>
      <w:proofErr w:type="gramEnd"/>
      <w:r>
        <w:rPr>
          <w:rFonts w:ascii="Times New Roman" w:hAnsi="Times New Roman"/>
          <w:b/>
          <w:bCs/>
          <w:sz w:val="24"/>
          <w:szCs w:val="24"/>
        </w:rPr>
        <w:t xml:space="preserve"> used a confidential human source.</w:t>
      </w:r>
    </w:p>
    <w:p w14:paraId="522A9EEB" w14:textId="77777777" w:rsidR="00CD5950" w:rsidRPr="00771E4E" w:rsidRDefault="00CD5950" w:rsidP="00CD5950">
      <w:pPr>
        <w:spacing w:before="100" w:beforeAutospacing="1" w:after="100" w:afterAutospacing="1" w:line="240" w:lineRule="auto"/>
        <w:ind w:left="720"/>
        <w:rPr>
          <w:rFonts w:ascii="Times New Roman" w:hAnsi="Times New Roman"/>
          <w:sz w:val="24"/>
          <w:szCs w:val="24"/>
        </w:rPr>
      </w:pPr>
      <w:r w:rsidRPr="00771E4E">
        <w:rPr>
          <w:rFonts w:ascii="Times New Roman" w:hAnsi="Times New Roman"/>
          <w:sz w:val="24"/>
          <w:szCs w:val="24"/>
        </w:rPr>
        <w:t xml:space="preserve">Note: See </w:t>
      </w:r>
      <w:proofErr w:type="spellStart"/>
      <w:r w:rsidRPr="00771E4E">
        <w:rPr>
          <w:rFonts w:ascii="Times New Roman" w:hAnsi="Times New Roman"/>
          <w:sz w:val="24"/>
          <w:szCs w:val="24"/>
        </w:rPr>
        <w:t>DoJ</w:t>
      </w:r>
      <w:proofErr w:type="spellEnd"/>
      <w:r w:rsidRPr="00771E4E">
        <w:rPr>
          <w:rFonts w:ascii="Times New Roman" w:hAnsi="Times New Roman"/>
          <w:sz w:val="24"/>
          <w:szCs w:val="24"/>
        </w:rPr>
        <w:t xml:space="preserve"> Press Release after jury conviction (June 21, 2019): “Two Suburban Chicago Men Convicted of Conspiring to Provide Material Support to ISIS.” </w:t>
      </w:r>
      <w:hyperlink r:id="rId784" w:history="1">
        <w:r w:rsidRPr="00771E4E">
          <w:rPr>
            <w:rStyle w:val="Hyperlink"/>
            <w:rFonts w:ascii="Times New Roman" w:hAnsi="Times New Roman"/>
            <w:sz w:val="24"/>
            <w:szCs w:val="24"/>
          </w:rPr>
          <w:t>https://www.justice.gov/opa/pr/two-suburban-chicago-men-convicted-conspiring-provide-material-support-isis</w:t>
        </w:r>
      </w:hyperlink>
      <w:r w:rsidRPr="00771E4E">
        <w:rPr>
          <w:rFonts w:ascii="Times New Roman" w:hAnsi="Times New Roman"/>
          <w:sz w:val="24"/>
          <w:szCs w:val="24"/>
        </w:rPr>
        <w:t xml:space="preserve"> </w:t>
      </w:r>
    </w:p>
    <w:p w14:paraId="3B968CFD" w14:textId="19ABA034" w:rsidR="00CD5950" w:rsidRDefault="00CD5950" w:rsidP="00F326E5">
      <w:pPr>
        <w:pStyle w:val="NoSpacing"/>
        <w:rPr>
          <w:rFonts w:ascii="Arial Black" w:hAnsi="Arial Black"/>
          <w:sz w:val="28"/>
          <w:szCs w:val="28"/>
        </w:rPr>
      </w:pPr>
    </w:p>
    <w:p w14:paraId="682D99A5" w14:textId="77777777" w:rsidR="00CD5950" w:rsidRDefault="00CD5950" w:rsidP="00F326E5">
      <w:pPr>
        <w:pStyle w:val="NoSpacing"/>
        <w:rPr>
          <w:rFonts w:ascii="Arial Black" w:hAnsi="Arial Black"/>
          <w:sz w:val="28"/>
          <w:szCs w:val="28"/>
        </w:rPr>
      </w:pPr>
    </w:p>
    <w:p w14:paraId="79A458B3" w14:textId="269C570A" w:rsidR="005E132A" w:rsidRDefault="005E132A" w:rsidP="00F326E5">
      <w:pPr>
        <w:pStyle w:val="NoSpacing"/>
        <w:rPr>
          <w:rFonts w:ascii="Arial Black" w:hAnsi="Arial Black"/>
          <w:sz w:val="28"/>
          <w:szCs w:val="28"/>
        </w:rPr>
      </w:pPr>
      <w:r>
        <w:rPr>
          <w:rFonts w:ascii="Arial Black" w:hAnsi="Arial Black"/>
          <w:sz w:val="28"/>
          <w:szCs w:val="28"/>
        </w:rPr>
        <w:t>3-29</w:t>
      </w:r>
    </w:p>
    <w:p w14:paraId="6B1DEB7C" w14:textId="77777777" w:rsidR="005E132A" w:rsidRDefault="005E132A" w:rsidP="005E132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DC: FEDERAL GRANT RECEPIENTS – SOME CHINESE TELECOMMUNICATION EQUIPMENT PROHIBITED</w:t>
      </w:r>
    </w:p>
    <w:p w14:paraId="75DFD753" w14:textId="7CF58C14" w:rsidR="005E132A" w:rsidRDefault="005E132A" w:rsidP="005E132A">
      <w:pPr>
        <w:pStyle w:val="xxxxmsonormal"/>
        <w:rPr>
          <w:rFonts w:ascii="Times New Roman" w:hAnsi="Times New Roman" w:cs="Times New Roman"/>
          <w:sz w:val="24"/>
          <w:szCs w:val="24"/>
        </w:rPr>
      </w:pPr>
      <w:r>
        <w:rPr>
          <w:rFonts w:ascii="Times New Roman" w:hAnsi="Times New Roman" w:cs="Times New Roman"/>
          <w:sz w:val="24"/>
          <w:szCs w:val="24"/>
        </w:rPr>
        <w:t xml:space="preserve">Jan. 2021 Newsletter:  On Aug. 13, 2020, the Office of Management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Budget issued its Guidance for Grants and Agreements, </w:t>
      </w:r>
      <w:proofErr w:type="gramStart"/>
      <w:r>
        <w:rPr>
          <w:rFonts w:ascii="Times New Roman" w:hAnsi="Times New Roman" w:cs="Times New Roman"/>
          <w:sz w:val="24"/>
          <w:szCs w:val="24"/>
        </w:rPr>
        <w:t>implement</w:t>
      </w:r>
      <w:proofErr w:type="gramEnd"/>
      <w:r>
        <w:rPr>
          <w:rFonts w:ascii="Times New Roman" w:hAnsi="Times New Roman" w:cs="Times New Roman"/>
          <w:sz w:val="24"/>
          <w:szCs w:val="24"/>
        </w:rPr>
        <w:t xml:space="preserve"> new Federal Acquisition Regulations (FAR). </w:t>
      </w:r>
      <w:hyperlink r:id="rId785" w:history="1">
        <w:r>
          <w:rPr>
            <w:rStyle w:val="Hyperlink"/>
          </w:rPr>
          <w:t>https://www.govinfo.gov/content/pkg/FR-2020-08-13/pdf/2020-17468.pd</w:t>
        </w:r>
      </w:hyperlink>
      <w:r>
        <w:rPr>
          <w:rFonts w:ascii="Times New Roman" w:hAnsi="Times New Roman" w:cs="Times New Roman"/>
          <w:sz w:val="24"/>
          <w:szCs w:val="24"/>
        </w:rPr>
        <w:t xml:space="preserve"> Federal grant recipients, including Fire &amp; EMS Departments, need to follow these new Federal Acquisition Regulations.   </w:t>
      </w:r>
    </w:p>
    <w:p w14:paraId="27547EEB" w14:textId="77777777" w:rsidR="005E132A" w:rsidRDefault="005E132A" w:rsidP="005E132A">
      <w:pPr>
        <w:pStyle w:val="xxxxmsonormal"/>
        <w:rPr>
          <w:rFonts w:ascii="Times New Roman" w:hAnsi="Times New Roman" w:cs="Times New Roman"/>
          <w:sz w:val="24"/>
          <w:szCs w:val="24"/>
        </w:rPr>
      </w:pPr>
      <w:r>
        <w:rPr>
          <w:rFonts w:ascii="Times New Roman" w:hAnsi="Times New Roman" w:cs="Times New Roman"/>
          <w:sz w:val="24"/>
          <w:szCs w:val="24"/>
        </w:rPr>
        <w:t xml:space="preserve">For example, a </w:t>
      </w:r>
      <w:proofErr w:type="gramStart"/>
      <w:r>
        <w:rPr>
          <w:rFonts w:ascii="Times New Roman" w:hAnsi="Times New Roman" w:cs="Times New Roman"/>
          <w:sz w:val="24"/>
          <w:szCs w:val="24"/>
        </w:rPr>
        <w:t>University</w:t>
      </w:r>
      <w:proofErr w:type="gramEnd"/>
      <w:r>
        <w:rPr>
          <w:rFonts w:ascii="Times New Roman" w:hAnsi="Times New Roman" w:cs="Times New Roman"/>
          <w:sz w:val="24"/>
          <w:szCs w:val="24"/>
        </w:rPr>
        <w:t xml:space="preserve"> recently sent out this notice:    </w:t>
      </w:r>
    </w:p>
    <w:p w14:paraId="6F95C945" w14:textId="77777777" w:rsidR="005E132A" w:rsidRDefault="005E132A" w:rsidP="005E132A">
      <w:pPr>
        <w:pStyle w:val="xxxxmsonormal"/>
        <w:ind w:firstLine="360"/>
        <w:rPr>
          <w:rFonts w:ascii="Times New Roman" w:hAnsi="Times New Roman" w:cs="Times New Roman"/>
          <w:sz w:val="24"/>
          <w:szCs w:val="24"/>
        </w:rPr>
      </w:pPr>
      <w:r>
        <w:rPr>
          <w:rFonts w:ascii="Times New Roman" w:hAnsi="Times New Roman" w:cs="Times New Roman"/>
          <w:sz w:val="24"/>
          <w:szCs w:val="24"/>
        </w:rPr>
        <w:t>Re:  Prohibited Equipment</w:t>
      </w:r>
    </w:p>
    <w:p w14:paraId="60575C58" w14:textId="77777777" w:rsidR="005E132A" w:rsidRDefault="005E132A" w:rsidP="005E132A">
      <w:pPr>
        <w:pStyle w:val="xxxxxmsonormal"/>
        <w:ind w:left="360"/>
        <w:rPr>
          <w:rFonts w:ascii="Times New Roman" w:hAnsi="Times New Roman" w:cs="Times New Roman"/>
          <w:sz w:val="24"/>
          <w:szCs w:val="24"/>
        </w:rPr>
      </w:pPr>
      <w:hyperlink r:id="rId786" w:history="1">
        <w:r w:rsidRPr="006B1421">
          <w:rPr>
            <w:rStyle w:val="Hyperlink"/>
            <w:rFonts w:ascii="Times New Roman" w:hAnsi="Times New Roman" w:cs="Times New Roman"/>
            <w:sz w:val="24"/>
            <w:szCs w:val="24"/>
          </w:rPr>
          <w:t>Federal law</w:t>
        </w:r>
      </w:hyperlink>
      <w:r w:rsidRPr="006B1421">
        <w:rPr>
          <w:rFonts w:ascii="Times New Roman" w:hAnsi="Times New Roman" w:cs="Times New Roman"/>
          <w:sz w:val="24"/>
          <w:szCs w:val="24"/>
        </w:rPr>
        <w:t xml:space="preserve"> * n</w:t>
      </w:r>
      <w:r>
        <w:rPr>
          <w:rFonts w:ascii="Times New Roman" w:hAnsi="Times New Roman" w:cs="Times New Roman"/>
          <w:sz w:val="24"/>
          <w:szCs w:val="24"/>
        </w:rPr>
        <w:t>ow prohibits [University] from purchasing, using or supporting certain telecommunications and video surveillance services or equipment as a condition of receiving federal funds.  Specifically, [University] cannot purchase or use such services or equipment from the following companies (or their associated subsidiaries and affiliates:</w:t>
      </w:r>
    </w:p>
    <w:p w14:paraId="127E749D" w14:textId="77777777" w:rsidR="005E132A" w:rsidRDefault="005E132A" w:rsidP="005E132A">
      <w:pPr>
        <w:pStyle w:val="xxxxmsonormal"/>
        <w:numPr>
          <w:ilvl w:val="0"/>
          <w:numId w:val="7"/>
        </w:numPr>
        <w:spacing w:before="0" w:beforeAutospacing="0" w:after="0" w:afterAutospacing="0"/>
        <w:rPr>
          <w:rFonts w:ascii="Times New Roman" w:eastAsia="Times New Roman" w:hAnsi="Times New Roman" w:cs="Times New Roman"/>
          <w:sz w:val="24"/>
          <w:szCs w:val="24"/>
        </w:rPr>
      </w:pPr>
      <w:r>
        <w:rPr>
          <w:rFonts w:ascii="Times New Roman" w:eastAsia="Times New Roman" w:hAnsi="Times New Roman" w:cs="Times New Roman"/>
          <w:sz w:val="24"/>
          <w:szCs w:val="24"/>
        </w:rPr>
        <w:t>Huawei Technologies Company</w:t>
      </w:r>
    </w:p>
    <w:p w14:paraId="184C59F1" w14:textId="77777777" w:rsidR="005E132A" w:rsidRDefault="005E132A" w:rsidP="005E132A">
      <w:pPr>
        <w:pStyle w:val="xxxxmsonormal"/>
        <w:numPr>
          <w:ilvl w:val="0"/>
          <w:numId w:val="7"/>
        </w:numPr>
        <w:spacing w:before="0" w:beforeAutospacing="0" w:after="0" w:afterAutospacing="0"/>
        <w:rPr>
          <w:rFonts w:ascii="Times New Roman" w:eastAsia="Times New Roman" w:hAnsi="Times New Roman" w:cs="Times New Roman"/>
          <w:sz w:val="24"/>
          <w:szCs w:val="24"/>
        </w:rPr>
      </w:pPr>
      <w:r>
        <w:rPr>
          <w:rFonts w:ascii="Times New Roman" w:eastAsia="Times New Roman" w:hAnsi="Times New Roman" w:cs="Times New Roman"/>
          <w:sz w:val="24"/>
          <w:szCs w:val="24"/>
        </w:rPr>
        <w:t>ZTE Corporation</w:t>
      </w:r>
    </w:p>
    <w:p w14:paraId="44234127" w14:textId="77777777" w:rsidR="005E132A" w:rsidRDefault="005E132A" w:rsidP="005E132A">
      <w:pPr>
        <w:pStyle w:val="xxxxmsonormal"/>
        <w:numPr>
          <w:ilvl w:val="0"/>
          <w:numId w:val="7"/>
        </w:numPr>
        <w:spacing w:before="0" w:beforeAutospacing="0" w:after="0" w:afterAutospacing="0"/>
        <w:rPr>
          <w:rFonts w:ascii="Times New Roman" w:eastAsia="Times New Roman" w:hAnsi="Times New Roman" w:cs="Times New Roman"/>
          <w:sz w:val="24"/>
          <w:szCs w:val="24"/>
        </w:rPr>
      </w:pPr>
      <w:r>
        <w:rPr>
          <w:rFonts w:ascii="Times New Roman" w:eastAsia="Times New Roman" w:hAnsi="Times New Roman" w:cs="Times New Roman"/>
          <w:sz w:val="24"/>
          <w:szCs w:val="24"/>
        </w:rPr>
        <w:t>Hytera Communications Corporation for security or public safety</w:t>
      </w:r>
    </w:p>
    <w:p w14:paraId="17873D67" w14:textId="77777777" w:rsidR="005E132A" w:rsidRDefault="005E132A" w:rsidP="005E132A">
      <w:pPr>
        <w:pStyle w:val="xxxxmsonormal"/>
        <w:numPr>
          <w:ilvl w:val="0"/>
          <w:numId w:val="7"/>
        </w:numPr>
        <w:spacing w:before="0" w:beforeAutospacing="0" w:after="0" w:afterAutospacing="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Hangzhou </w:t>
      </w:r>
      <w:proofErr w:type="spellStart"/>
      <w:r>
        <w:rPr>
          <w:rFonts w:ascii="Times New Roman" w:eastAsia="Times New Roman" w:hAnsi="Times New Roman" w:cs="Times New Roman"/>
          <w:sz w:val="24"/>
          <w:szCs w:val="24"/>
        </w:rPr>
        <w:t>Hikivision</w:t>
      </w:r>
      <w:proofErr w:type="spellEnd"/>
      <w:r>
        <w:rPr>
          <w:rFonts w:ascii="Times New Roman" w:eastAsia="Times New Roman" w:hAnsi="Times New Roman" w:cs="Times New Roman"/>
          <w:sz w:val="24"/>
          <w:szCs w:val="24"/>
        </w:rPr>
        <w:t xml:space="preserve"> Digital Technology Company for security or public safety</w:t>
      </w:r>
    </w:p>
    <w:p w14:paraId="3A4B4FCA" w14:textId="77777777" w:rsidR="005E132A" w:rsidRDefault="005E132A" w:rsidP="005E132A">
      <w:pPr>
        <w:pStyle w:val="xxxxmsonormal"/>
        <w:numPr>
          <w:ilvl w:val="0"/>
          <w:numId w:val="7"/>
        </w:numPr>
        <w:spacing w:before="0" w:beforeAutospacing="0" w:after="0" w:afterAutospacing="0"/>
        <w:rPr>
          <w:rFonts w:ascii="Times New Roman" w:eastAsia="Times New Roman" w:hAnsi="Times New Roman" w:cs="Times New Roman"/>
          <w:sz w:val="24"/>
          <w:szCs w:val="24"/>
        </w:rPr>
      </w:pPr>
      <w:r>
        <w:rPr>
          <w:rFonts w:ascii="Times New Roman" w:eastAsia="Times New Roman" w:hAnsi="Times New Roman" w:cs="Times New Roman"/>
          <w:sz w:val="24"/>
          <w:szCs w:val="24"/>
        </w:rPr>
        <w:t>Dahua Technology Company for security or public safety</w:t>
      </w:r>
    </w:p>
    <w:p w14:paraId="7640DB23" w14:textId="77777777" w:rsidR="005E132A" w:rsidRDefault="005E132A" w:rsidP="005E132A">
      <w:pPr>
        <w:pStyle w:val="xxxx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w:t>
      </w:r>
    </w:p>
    <w:p w14:paraId="3123B6FE" w14:textId="77777777" w:rsidR="005E132A" w:rsidRDefault="005E132A" w:rsidP="005E132A">
      <w:pPr>
        <w:pStyle w:val="xxxxmsonormal"/>
        <w:spacing w:before="0" w:beforeAutospacing="0" w:after="0" w:afterAutospacing="0"/>
        <w:ind w:left="360"/>
        <w:rPr>
          <w:rFonts w:ascii="Times New Roman" w:hAnsi="Times New Roman" w:cs="Times New Roman"/>
          <w:sz w:val="24"/>
          <w:szCs w:val="24"/>
        </w:rPr>
      </w:pPr>
      <w:r>
        <w:rPr>
          <w:rFonts w:ascii="Times New Roman" w:hAnsi="Times New Roman" w:cs="Times New Roman"/>
          <w:sz w:val="24"/>
          <w:szCs w:val="24"/>
        </w:rPr>
        <w:t>Further, these technologies may not be connected to [University] network.  If you have personally purchased goods or services from these vendors, you may not use them to do [university] business, regardless of your location, including internationally. You should cease use of these services or equipment immediately.</w:t>
      </w:r>
    </w:p>
    <w:p w14:paraId="422FE9B1" w14:textId="77777777" w:rsidR="005E132A" w:rsidRDefault="005E132A" w:rsidP="005E132A">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w:t>
      </w:r>
      <w:hyperlink r:id="rId787" w:history="1">
        <w:r w:rsidRPr="006B1421">
          <w:rPr>
            <w:rStyle w:val="Hyperlink"/>
            <w:rFonts w:ascii="Times New Roman" w:hAnsi="Times New Roman"/>
            <w:sz w:val="24"/>
            <w:szCs w:val="24"/>
          </w:rPr>
          <w:t>https://www.govinfo.gov/content/pkg/FR-2020-08-13/pdf/2020-17468.pdf</w:t>
        </w:r>
      </w:hyperlink>
      <w:r>
        <w:rPr>
          <w:rFonts w:ascii="Times New Roman" w:eastAsia="Times New Roman" w:hAnsi="Times New Roman"/>
          <w:b/>
          <w:bCs/>
          <w:sz w:val="24"/>
          <w:szCs w:val="24"/>
        </w:rPr>
        <w:t xml:space="preserve"> </w:t>
      </w:r>
    </w:p>
    <w:p w14:paraId="432506B7" w14:textId="77777777" w:rsidR="005E132A" w:rsidRDefault="005E132A" w:rsidP="005E132A">
      <w:pPr>
        <w:pStyle w:val="xxxxmsonormal"/>
        <w:rPr>
          <w:rFonts w:ascii="Times New Roman" w:hAnsi="Times New Roman" w:cs="Times New Roman"/>
          <w:sz w:val="24"/>
          <w:szCs w:val="24"/>
        </w:rPr>
      </w:pPr>
      <w:r>
        <w:rPr>
          <w:rFonts w:ascii="Times New Roman" w:hAnsi="Times New Roman" w:cs="Times New Roman"/>
          <w:sz w:val="24"/>
          <w:szCs w:val="24"/>
        </w:rPr>
        <w:t xml:space="preserve">On Aug. 13, 2018, Congress passed the John S. McCain National Defense Authorization Act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Fiscal 2019, </w:t>
      </w:r>
      <w:hyperlink r:id="rId788" w:history="1">
        <w:r w:rsidRPr="006B1421">
          <w:rPr>
            <w:rStyle w:val="Hyperlink"/>
            <w:rFonts w:ascii="Times New Roman" w:hAnsi="Times New Roman" w:cs="Times New Roman"/>
            <w:sz w:val="24"/>
            <w:szCs w:val="24"/>
          </w:rPr>
          <w:t>https://www.congress.gov/115/plaws/publ232/PLAW-115publ232.pdf</w:t>
        </w:r>
      </w:hyperlink>
      <w:r w:rsidRPr="006B1421">
        <w:rPr>
          <w:rFonts w:ascii="Times New Roman" w:hAnsi="Times New Roman" w:cs="Times New Roman"/>
          <w:sz w:val="24"/>
          <w:szCs w:val="24"/>
        </w:rPr>
        <w:t xml:space="preserve">.  </w:t>
      </w:r>
    </w:p>
    <w:p w14:paraId="7E7F6508" w14:textId="77777777" w:rsidR="005E132A" w:rsidRDefault="005E132A" w:rsidP="005E132A">
      <w:pPr>
        <w:pStyle w:val="xxxxmsonormal"/>
        <w:rPr>
          <w:rFonts w:ascii="Times New Roman" w:hAnsi="Times New Roman" w:cs="Times New Roman"/>
          <w:b/>
          <w:bCs/>
          <w:sz w:val="24"/>
          <w:szCs w:val="24"/>
        </w:rPr>
      </w:pPr>
      <w:r w:rsidRPr="006B1421">
        <w:rPr>
          <w:rFonts w:ascii="Times New Roman" w:hAnsi="Times New Roman" w:cs="Times New Roman"/>
          <w:sz w:val="24"/>
          <w:szCs w:val="24"/>
        </w:rPr>
        <w:t>Section 889</w:t>
      </w:r>
      <w:r>
        <w:rPr>
          <w:rFonts w:ascii="Times New Roman" w:hAnsi="Times New Roman" w:cs="Times New Roman"/>
          <w:sz w:val="24"/>
          <w:szCs w:val="24"/>
        </w:rPr>
        <w:t xml:space="preserve">: </w:t>
      </w:r>
      <w:r>
        <w:rPr>
          <w:rFonts w:ascii="Times New Roman" w:hAnsi="Times New Roman" w:cs="Times New Roman"/>
          <w:b/>
          <w:bCs/>
          <w:sz w:val="24"/>
          <w:szCs w:val="24"/>
        </w:rPr>
        <w:t xml:space="preserve">PROHIBITION ON CERTAIN TELECOMMUNICATIONS AND VIDEO SURVEILLANCE SERVICES OR EQUIPMENT.  </w:t>
      </w:r>
      <w:r>
        <w:rPr>
          <w:rFonts w:ascii="Times New Roman" w:hAnsi="Times New Roman" w:cs="Times New Roman"/>
          <w:sz w:val="24"/>
          <w:szCs w:val="24"/>
        </w:rPr>
        <w:t>The statute includes following:</w:t>
      </w:r>
    </w:p>
    <w:p w14:paraId="7853D9D7" w14:textId="77777777" w:rsidR="005E132A" w:rsidRDefault="005E132A" w:rsidP="005E132A">
      <w:pPr>
        <w:pStyle w:val="xxxxmsonormal"/>
        <w:ind w:left="720"/>
        <w:rPr>
          <w:rFonts w:ascii="Times New Roman" w:hAnsi="Times New Roman" w:cs="Times New Roman"/>
          <w:sz w:val="24"/>
          <w:szCs w:val="24"/>
        </w:rPr>
      </w:pPr>
      <w:r>
        <w:rPr>
          <w:rFonts w:ascii="Times New Roman" w:hAnsi="Times New Roman" w:cs="Times New Roman"/>
          <w:sz w:val="24"/>
          <w:szCs w:val="24"/>
        </w:rPr>
        <w:t>(b) PROHIBITION ONLOAN AND GRANT FUNDS. — (1) The head of an executive agency may not obligate or expend loan or grant funds to procure or obtain, extend or renew a contract to procure or obtain, or enter into a contract (or extend or renew a contract) to procure or obtain the equipment, services, or systems described in subsection (a).</w:t>
      </w:r>
    </w:p>
    <w:p w14:paraId="43D909B6" w14:textId="77777777" w:rsidR="005E132A" w:rsidRDefault="005E132A" w:rsidP="005E132A">
      <w:pPr>
        <w:pStyle w:val="xxxxmsonormal"/>
        <w:ind w:firstLine="720"/>
        <w:rPr>
          <w:rFonts w:ascii="Times New Roman" w:hAnsi="Times New Roman" w:cs="Times New Roman"/>
          <w:b/>
          <w:bCs/>
          <w:sz w:val="24"/>
          <w:szCs w:val="24"/>
        </w:rPr>
      </w:pPr>
      <w:r>
        <w:rPr>
          <w:rFonts w:ascii="Times New Roman" w:hAnsi="Times New Roman" w:cs="Times New Roman"/>
          <w:sz w:val="24"/>
          <w:szCs w:val="24"/>
        </w:rPr>
        <w:t xml:space="preserve">*** </w:t>
      </w:r>
    </w:p>
    <w:p w14:paraId="785667A7" w14:textId="77777777" w:rsidR="005E132A" w:rsidRDefault="005E132A" w:rsidP="005E132A">
      <w:pPr>
        <w:pStyle w:val="xxxxmsonormal"/>
        <w:ind w:firstLine="720"/>
        <w:rPr>
          <w:rFonts w:ascii="Times New Roman" w:hAnsi="Times New Roman" w:cs="Times New Roman"/>
          <w:sz w:val="24"/>
          <w:szCs w:val="24"/>
        </w:rPr>
      </w:pPr>
      <w:r>
        <w:rPr>
          <w:rFonts w:ascii="Times New Roman" w:hAnsi="Times New Roman" w:cs="Times New Roman"/>
          <w:sz w:val="24"/>
          <w:szCs w:val="24"/>
        </w:rPr>
        <w:t xml:space="preserve">(3) COVERED TELECOMMUNICATIONS EQUIPMENT OR SERVICES </w:t>
      </w:r>
    </w:p>
    <w:p w14:paraId="25D35806" w14:textId="77777777" w:rsidR="005E132A" w:rsidRDefault="005E132A" w:rsidP="005E132A">
      <w:pPr>
        <w:pStyle w:val="xxxxmsonormal"/>
        <w:ind w:left="720"/>
        <w:rPr>
          <w:rFonts w:ascii="Times New Roman" w:hAnsi="Times New Roman" w:cs="Times New Roman"/>
          <w:sz w:val="24"/>
          <w:szCs w:val="24"/>
        </w:rPr>
      </w:pPr>
      <w:r>
        <w:rPr>
          <w:rFonts w:ascii="Times New Roman" w:hAnsi="Times New Roman" w:cs="Times New Roman"/>
          <w:sz w:val="24"/>
          <w:szCs w:val="24"/>
        </w:rPr>
        <w:t>“The term ‘’covered telecommunications equipment or services’’ means any of the following: (A) Telecommunications equipment produced by Huawei Technologies Company or ZTE Corporation (or any subsidiary or affiliate of such entities). (B) For the purpose of public safety, security of government facilities, physical security surveillance of critical infrastructure, and other national security purposes, video surveillance and telecommunications equipment produced by Hytera Communications Corporation, Hangzhou Hikvision Digital Technology Company, or Dahua Technology Company (or any subsidiary or affiliate of such entities). (C) Telecommunications or video surveillance services provided by such entities or using such equipment. (D)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37E49674" w14:textId="77777777" w:rsidR="005E132A" w:rsidRDefault="005E132A" w:rsidP="005E132A">
      <w:pPr>
        <w:pStyle w:val="xxxxmsonormal"/>
        <w:tabs>
          <w:tab w:val="left" w:pos="2800"/>
        </w:tabs>
        <w:rPr>
          <w:rFonts w:ascii="Times New Roman" w:hAnsi="Times New Roman" w:cs="Times New Roman"/>
          <w:b/>
          <w:bCs/>
          <w:sz w:val="24"/>
          <w:szCs w:val="24"/>
        </w:rPr>
      </w:pPr>
      <w:r>
        <w:rPr>
          <w:rFonts w:ascii="Times New Roman" w:hAnsi="Times New Roman" w:cs="Times New Roman"/>
          <w:b/>
          <w:bCs/>
          <w:sz w:val="24"/>
          <w:szCs w:val="24"/>
        </w:rPr>
        <w:t xml:space="preserve">Legal Lesson Learned: Fire &amp; EMS Department who receive federal grant recipients need to follow these new regulations.  </w:t>
      </w:r>
    </w:p>
    <w:p w14:paraId="576CA36D" w14:textId="77777777" w:rsidR="005E132A" w:rsidRDefault="005E132A" w:rsidP="005E132A">
      <w:pPr>
        <w:pStyle w:val="Heading1"/>
        <w:ind w:left="720"/>
      </w:pPr>
      <w:r>
        <w:rPr>
          <w:b w:val="0"/>
          <w:bCs w:val="0"/>
          <w:sz w:val="24"/>
          <w:szCs w:val="24"/>
        </w:rPr>
        <w:t xml:space="preserve">Note: See this Aug. 13, </w:t>
      </w:r>
      <w:proofErr w:type="gramStart"/>
      <w:r>
        <w:rPr>
          <w:b w:val="0"/>
          <w:bCs w:val="0"/>
          <w:sz w:val="24"/>
          <w:szCs w:val="24"/>
        </w:rPr>
        <w:t>2020</w:t>
      </w:r>
      <w:proofErr w:type="gramEnd"/>
      <w:r>
        <w:rPr>
          <w:b w:val="0"/>
          <w:bCs w:val="0"/>
          <w:sz w:val="24"/>
          <w:szCs w:val="24"/>
        </w:rPr>
        <w:t xml:space="preserve"> article, “Here’s What NDAA Section 889 Really Means for Federal Grants.” </w:t>
      </w:r>
      <w:hyperlink r:id="rId789" w:history="1">
        <w:r w:rsidRPr="00437CD5">
          <w:rPr>
            <w:rStyle w:val="Hyperlink"/>
            <w:b w:val="0"/>
            <w:bCs w:val="0"/>
            <w:sz w:val="24"/>
            <w:szCs w:val="24"/>
          </w:rPr>
          <w:t>https://www.securityindustry.org/2020/08/13/heres-what-ndaa-section-889-really-means-for-federal-grants/</w:t>
        </w:r>
      </w:hyperlink>
      <w:r w:rsidRPr="00437CD5">
        <w:rPr>
          <w:b w:val="0"/>
          <w:bCs w:val="0"/>
          <w:sz w:val="24"/>
          <w:szCs w:val="24"/>
        </w:rPr>
        <w:t xml:space="preserve"> </w:t>
      </w:r>
      <w:r>
        <w:t xml:space="preserve"> </w:t>
      </w:r>
    </w:p>
    <w:p w14:paraId="25167F49" w14:textId="77777777" w:rsidR="005E132A" w:rsidRDefault="005E132A" w:rsidP="00F326E5">
      <w:pPr>
        <w:pStyle w:val="NoSpacing"/>
        <w:rPr>
          <w:rFonts w:ascii="Arial Black" w:hAnsi="Arial Black"/>
          <w:sz w:val="28"/>
          <w:szCs w:val="28"/>
        </w:rPr>
      </w:pPr>
    </w:p>
    <w:p w14:paraId="5E5105AA" w14:textId="307E6E5D" w:rsidR="005E132A" w:rsidRDefault="005E132A" w:rsidP="00F326E5">
      <w:pPr>
        <w:pStyle w:val="NoSpacing"/>
        <w:rPr>
          <w:rFonts w:ascii="Arial Black" w:hAnsi="Arial Black"/>
          <w:sz w:val="28"/>
          <w:szCs w:val="28"/>
        </w:rPr>
      </w:pPr>
      <w:r>
        <w:rPr>
          <w:rFonts w:ascii="Arial Black" w:hAnsi="Arial Black"/>
          <w:sz w:val="28"/>
          <w:szCs w:val="28"/>
        </w:rPr>
        <w:t>3-28</w:t>
      </w:r>
    </w:p>
    <w:p w14:paraId="7D5CA612" w14:textId="665BFAE5" w:rsidR="005E132A" w:rsidRDefault="005E132A" w:rsidP="00F326E5">
      <w:pPr>
        <w:pStyle w:val="NoSpacing"/>
        <w:rPr>
          <w:rFonts w:ascii="Arial Black" w:hAnsi="Arial Black"/>
          <w:sz w:val="28"/>
          <w:szCs w:val="28"/>
        </w:rPr>
      </w:pPr>
    </w:p>
    <w:p w14:paraId="0D07CF05" w14:textId="77777777" w:rsidR="005E132A" w:rsidRDefault="005E132A" w:rsidP="005E132A">
      <w:pPr>
        <w:rPr>
          <w:rFonts w:ascii="Arial Black" w:hAnsi="Arial Black" w:cstheme="minorBidi"/>
          <w:sz w:val="28"/>
          <w:szCs w:val="28"/>
        </w:rPr>
      </w:pPr>
      <w:r>
        <w:rPr>
          <w:rFonts w:ascii="Arial Black" w:hAnsi="Arial Black"/>
          <w:sz w:val="28"/>
          <w:szCs w:val="28"/>
        </w:rPr>
        <w:t>FL: INDICTMENT NOT DISMISSED - 23-YR OLD AMERICAN – WEAPONS, DRONE, CASING FBI OFFICE - “I WANT TO JOIN ISIS”</w:t>
      </w:r>
    </w:p>
    <w:p w14:paraId="7F9D9E7F" w14:textId="77777777" w:rsidR="005E132A" w:rsidRDefault="005E132A" w:rsidP="005E132A">
      <w:pPr>
        <w:rPr>
          <w:rFonts w:ascii="Times New Roman" w:hAnsi="Times New Roman"/>
          <w:sz w:val="24"/>
          <w:szCs w:val="24"/>
        </w:rPr>
      </w:pPr>
      <w:r>
        <w:rPr>
          <w:rFonts w:ascii="Times New Roman" w:hAnsi="Times New Roman"/>
          <w:sz w:val="24"/>
          <w:szCs w:val="24"/>
        </w:rPr>
        <w:t xml:space="preserve">On Dec. 15, 2020, in </w:t>
      </w:r>
      <w:r>
        <w:rPr>
          <w:rFonts w:ascii="Times New Roman" w:hAnsi="Times New Roman"/>
          <w:sz w:val="24"/>
          <w:szCs w:val="24"/>
          <w:u w:val="single"/>
        </w:rPr>
        <w:t>United States of America v. Muhammed Momtaz Al-Azhari</w:t>
      </w:r>
      <w:r>
        <w:rPr>
          <w:rFonts w:ascii="Times New Roman" w:hAnsi="Times New Roman"/>
          <w:sz w:val="24"/>
          <w:szCs w:val="24"/>
        </w:rPr>
        <w:t xml:space="preserve">, U.S. District Court Judge Tom Barber, U.S. District Court, Middle District of Florida (Tampa Division), denied defense motion to dismiss the indictment.  The indictment adequately charged that he was attempting to provide support to Foreign Terrorist Organization </w:t>
      </w:r>
    </w:p>
    <w:p w14:paraId="5CD66A5E" w14:textId="77777777" w:rsidR="005E132A" w:rsidRDefault="005E132A" w:rsidP="005E13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“In his motion to dismiss the indictment, Defendant argues that Count One fails to state an offense because it does not allege that Defendant attempted to place himself under the FTO's direction and control, which he contends is an essential fact required by 18 U.S.C. § 2339B(h).</w:t>
      </w:r>
    </w:p>
    <w:p w14:paraId="28BB7848" w14:textId="77777777" w:rsidR="005E132A" w:rsidRDefault="005E132A" w:rsidP="005E13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3B023DB8" w14:textId="77777777" w:rsidR="005E132A" w:rsidRDefault="005E132A" w:rsidP="005E132A">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 xml:space="preserve">At least three district courts have considered this issue and have ruled that § 2339B(h) is a definition that is not required to be pled in the indictment. </w:t>
      </w:r>
      <w:r>
        <w:rPr>
          <w:rFonts w:ascii="Times New Roman" w:hAnsi="Times New Roman"/>
          <w:i/>
          <w:iCs/>
          <w:sz w:val="24"/>
          <w:szCs w:val="24"/>
        </w:rPr>
        <w:t>See United States v</w:t>
      </w:r>
      <w:r>
        <w:rPr>
          <w:rFonts w:ascii="Times New Roman" w:hAnsi="Times New Roman"/>
          <w:sz w:val="24"/>
          <w:szCs w:val="24"/>
        </w:rPr>
        <w:t xml:space="preserve">. </w:t>
      </w:r>
      <w:r>
        <w:rPr>
          <w:rFonts w:ascii="Times New Roman" w:hAnsi="Times New Roman"/>
          <w:i/>
          <w:iCs/>
          <w:sz w:val="24"/>
          <w:szCs w:val="24"/>
        </w:rPr>
        <w:t>Ludke</w:t>
      </w:r>
      <w:r>
        <w:rPr>
          <w:rFonts w:ascii="Times New Roman" w:hAnsi="Times New Roman"/>
          <w:sz w:val="24"/>
          <w:szCs w:val="24"/>
        </w:rPr>
        <w:t xml:space="preserve">, No. 16-CR-175, 2018 WL 2059556, at *2 (E.D. Wis. May 2, 2018); </w:t>
      </w:r>
      <w:r>
        <w:rPr>
          <w:rFonts w:ascii="Times New Roman" w:hAnsi="Times New Roman"/>
          <w:i/>
          <w:iCs/>
          <w:sz w:val="24"/>
          <w:szCs w:val="24"/>
        </w:rPr>
        <w:t>United States v</w:t>
      </w:r>
      <w:r>
        <w:rPr>
          <w:rFonts w:ascii="Times New Roman" w:hAnsi="Times New Roman"/>
          <w:sz w:val="24"/>
          <w:szCs w:val="24"/>
        </w:rPr>
        <w:t xml:space="preserve">. </w:t>
      </w:r>
      <w:r>
        <w:rPr>
          <w:rFonts w:ascii="Times New Roman" w:hAnsi="Times New Roman"/>
          <w:i/>
          <w:iCs/>
          <w:sz w:val="24"/>
          <w:szCs w:val="24"/>
        </w:rPr>
        <w:t>Shafi</w:t>
      </w:r>
      <w:r>
        <w:rPr>
          <w:rFonts w:ascii="Times New Roman" w:hAnsi="Times New Roman"/>
          <w:sz w:val="24"/>
          <w:szCs w:val="24"/>
        </w:rPr>
        <w:t xml:space="preserve">, 252 F. Supp. 3d 787, 795 (N.D. Cal. 2017); </w:t>
      </w:r>
      <w:r>
        <w:rPr>
          <w:rFonts w:ascii="Times New Roman" w:hAnsi="Times New Roman"/>
          <w:i/>
          <w:iCs/>
          <w:sz w:val="24"/>
          <w:szCs w:val="24"/>
        </w:rPr>
        <w:t>United States v</w:t>
      </w:r>
      <w:r>
        <w:rPr>
          <w:rFonts w:ascii="Times New Roman" w:hAnsi="Times New Roman"/>
          <w:sz w:val="24"/>
          <w:szCs w:val="24"/>
        </w:rPr>
        <w:t xml:space="preserve">. </w:t>
      </w:r>
      <w:r>
        <w:rPr>
          <w:rFonts w:ascii="Times New Roman" w:hAnsi="Times New Roman"/>
          <w:i/>
          <w:iCs/>
          <w:sz w:val="24"/>
          <w:szCs w:val="24"/>
        </w:rPr>
        <w:t>Pugh</w:t>
      </w:r>
      <w:r>
        <w:rPr>
          <w:rFonts w:ascii="Times New Roman" w:hAnsi="Times New Roman"/>
          <w:sz w:val="24"/>
          <w:szCs w:val="24"/>
        </w:rPr>
        <w:t xml:space="preserve">, No. 15-CR-116 (NGG), 2015 WL 9450598, at *8 (E.D.N.Y. Dec. 21, 2015). Another district court ruled that it is an affirmative defense, which does not need to be pled. </w:t>
      </w:r>
      <w:r>
        <w:rPr>
          <w:rFonts w:ascii="Times New Roman" w:hAnsi="Times New Roman"/>
          <w:i/>
          <w:iCs/>
          <w:sz w:val="24"/>
          <w:szCs w:val="24"/>
        </w:rPr>
        <w:t>See United States v</w:t>
      </w:r>
      <w:r>
        <w:rPr>
          <w:rFonts w:ascii="Times New Roman" w:hAnsi="Times New Roman"/>
          <w:sz w:val="24"/>
          <w:szCs w:val="24"/>
        </w:rPr>
        <w:t xml:space="preserve">. </w:t>
      </w:r>
      <w:r>
        <w:rPr>
          <w:rFonts w:ascii="Times New Roman" w:hAnsi="Times New Roman"/>
          <w:i/>
          <w:iCs/>
          <w:sz w:val="24"/>
          <w:szCs w:val="24"/>
        </w:rPr>
        <w:t>Ahmed</w:t>
      </w:r>
      <w:r>
        <w:rPr>
          <w:rFonts w:ascii="Times New Roman" w:hAnsi="Times New Roman"/>
          <w:sz w:val="24"/>
          <w:szCs w:val="24"/>
        </w:rPr>
        <w:t xml:space="preserve">, No. 15-49 (MJD/FLN), 2015 U.S. Dist. LEXIS 171561 (D. Minn. Sept. 1, 2015). The Court is unaware of any binding or persuasive authority that would require the Government to plead § 2339B(h) as an element of the offense. As such, the motion to dismiss is denied as to this ground.” </w:t>
      </w:r>
      <w:hyperlink r:id="rId790" w:history="1">
        <w:r>
          <w:rPr>
            <w:rStyle w:val="Hyperlink"/>
          </w:rPr>
          <w:t>https://casetext.com/case/united-states-v-al-azhari-2</w:t>
        </w:r>
      </w:hyperlink>
      <w:r>
        <w:rPr>
          <w:rFonts w:ascii="Times New Roman" w:hAnsi="Times New Roman"/>
          <w:sz w:val="24"/>
          <w:szCs w:val="24"/>
        </w:rPr>
        <w:t xml:space="preserve"> </w:t>
      </w:r>
    </w:p>
    <w:p w14:paraId="12194BBB" w14:textId="77777777" w:rsidR="005E132A" w:rsidRDefault="005E132A" w:rsidP="005E132A">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Legal Lesson Learned: Lone-wolf terrorists may be indicted for attempting to provide material support to ISIS.</w:t>
      </w:r>
    </w:p>
    <w:p w14:paraId="6F7AF124" w14:textId="77777777" w:rsidR="005E132A" w:rsidRDefault="005E132A" w:rsidP="005E13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Note: See May 27, 2020, U.S. Department of Justice Press Release on defendant’s arrest. “</w:t>
      </w:r>
      <w:r>
        <w:rPr>
          <w:rFonts w:ascii="Times New Roman" w:eastAsia="Times New Roman" w:hAnsi="Times New Roman"/>
          <w:sz w:val="24"/>
          <w:szCs w:val="24"/>
        </w:rPr>
        <w:t xml:space="preserve">Al-Azhari, who has a criminal history that includes prior terrorism charges in Saudi Arabia, attempted to purchase multiple firearms over the course of the investigation, before acquiring a Glock pistol and a silencer.  He also expressed admiration for Pulse nightclub shooter Omar Mateen and spoke of his desire to carry out a similar mass casualty shooting.  Additionally, Al-Azhari researched and scouted potential targets in the Tampa area, including Honeymoon Island.  He also rehearsed portions of an attack and the statements that he would make during or in connection with such an attack. FBI agents arrested Al-Azhari on May 24, 2020, after he took possession of weapons to be used in an attack.”  </w:t>
      </w:r>
      <w:hyperlink r:id="rId791" w:history="1">
        <w:r>
          <w:rPr>
            <w:rStyle w:val="Hyperlink"/>
          </w:rPr>
          <w:t>https://www.justice.gov/opa/pr/tampa-man-charged-attempting-provide-material-support-isis</w:t>
        </w:r>
      </w:hyperlink>
      <w:r>
        <w:rPr>
          <w:rFonts w:ascii="Times New Roman" w:hAnsi="Times New Roman"/>
          <w:sz w:val="24"/>
          <w:szCs w:val="24"/>
        </w:rPr>
        <w:t xml:space="preserve"> </w:t>
      </w:r>
    </w:p>
    <w:p w14:paraId="71B514DB" w14:textId="77777777" w:rsidR="005E132A" w:rsidRDefault="005E132A" w:rsidP="00F326E5">
      <w:pPr>
        <w:pStyle w:val="NoSpacing"/>
        <w:rPr>
          <w:rFonts w:ascii="Arial Black" w:hAnsi="Arial Black"/>
          <w:sz w:val="28"/>
          <w:szCs w:val="28"/>
        </w:rPr>
      </w:pPr>
    </w:p>
    <w:p w14:paraId="457E476A" w14:textId="77777777" w:rsidR="005E132A" w:rsidRDefault="005E132A" w:rsidP="00F326E5">
      <w:pPr>
        <w:pStyle w:val="NoSpacing"/>
        <w:rPr>
          <w:rFonts w:ascii="Arial Black" w:hAnsi="Arial Black"/>
          <w:sz w:val="28"/>
          <w:szCs w:val="28"/>
        </w:rPr>
      </w:pPr>
    </w:p>
    <w:p w14:paraId="331C7FF5" w14:textId="65533DFF" w:rsidR="00A06387" w:rsidRDefault="007D178F" w:rsidP="00F326E5">
      <w:pPr>
        <w:pStyle w:val="NoSpacing"/>
        <w:rPr>
          <w:rFonts w:ascii="Arial Black" w:hAnsi="Arial Black"/>
          <w:sz w:val="28"/>
          <w:szCs w:val="28"/>
        </w:rPr>
      </w:pPr>
      <w:r>
        <w:rPr>
          <w:rFonts w:ascii="Arial Black" w:hAnsi="Arial Black"/>
          <w:sz w:val="28"/>
          <w:szCs w:val="28"/>
        </w:rPr>
        <w:t>3-27</w:t>
      </w:r>
    </w:p>
    <w:p w14:paraId="020CEDF7" w14:textId="77777777" w:rsidR="007D178F" w:rsidRPr="00D82E7C" w:rsidRDefault="007D178F" w:rsidP="007D178F">
      <w:pPr>
        <w:pStyle w:val="NoSpacing"/>
        <w:rPr>
          <w:rFonts w:ascii="Arial Black" w:hAnsi="Arial Black"/>
          <w:sz w:val="28"/>
          <w:szCs w:val="28"/>
        </w:rPr>
      </w:pPr>
      <w:r>
        <w:rPr>
          <w:rFonts w:ascii="Arial Black" w:hAnsi="Arial Black"/>
          <w:sz w:val="28"/>
          <w:szCs w:val="28"/>
        </w:rPr>
        <w:t xml:space="preserve">IL:  EXTRADICTION - U.S. CITIZEN TO BE RETURNED TO IRELAND – LEFT IRISH BAR, CRASHED LEXUS KILLED TWO </w:t>
      </w:r>
    </w:p>
    <w:p w14:paraId="4511D633" w14:textId="77777777" w:rsidR="007D178F" w:rsidRDefault="007D178F" w:rsidP="007D178F">
      <w:pPr>
        <w:pStyle w:val="NoSpacing"/>
        <w:rPr>
          <w:rFonts w:ascii="Times New Roman" w:hAnsi="Times New Roman"/>
          <w:sz w:val="24"/>
          <w:szCs w:val="24"/>
        </w:rPr>
      </w:pPr>
    </w:p>
    <w:p w14:paraId="58534895" w14:textId="77777777" w:rsidR="007D178F" w:rsidRDefault="007D178F" w:rsidP="007D178F">
      <w:pPr>
        <w:pStyle w:val="NoSpacing"/>
        <w:rPr>
          <w:rFonts w:ascii="Times New Roman" w:hAnsi="Times New Roman"/>
          <w:sz w:val="24"/>
          <w:szCs w:val="24"/>
        </w:rPr>
      </w:pPr>
      <w:r>
        <w:rPr>
          <w:rFonts w:ascii="Times New Roman" w:hAnsi="Times New Roman"/>
          <w:sz w:val="24"/>
          <w:szCs w:val="24"/>
        </w:rPr>
        <w:t>On Nov. 3, 2020</w:t>
      </w:r>
      <w:r w:rsidRPr="00566D06">
        <w:rPr>
          <w:rFonts w:ascii="Times New Roman" w:hAnsi="Times New Roman"/>
          <w:sz w:val="24"/>
          <w:szCs w:val="24"/>
          <w:u w:val="single"/>
        </w:rPr>
        <w:t>,</w:t>
      </w:r>
      <w:r w:rsidRPr="003B0090">
        <w:rPr>
          <w:rFonts w:ascii="Times New Roman" w:hAnsi="Times New Roman"/>
          <w:sz w:val="24"/>
          <w:szCs w:val="24"/>
        </w:rPr>
        <w:t xml:space="preserve"> </w:t>
      </w:r>
      <w:r w:rsidRPr="00566D06">
        <w:rPr>
          <w:rFonts w:ascii="Times New Roman" w:hAnsi="Times New Roman"/>
          <w:sz w:val="24"/>
          <w:szCs w:val="24"/>
          <w:u w:val="single"/>
        </w:rPr>
        <w:t xml:space="preserve">In </w:t>
      </w:r>
      <w:proofErr w:type="gramStart"/>
      <w:r w:rsidRPr="00566D06">
        <w:rPr>
          <w:rFonts w:ascii="Times New Roman" w:hAnsi="Times New Roman"/>
          <w:sz w:val="24"/>
          <w:szCs w:val="24"/>
          <w:u w:val="single"/>
        </w:rPr>
        <w:t>The</w:t>
      </w:r>
      <w:proofErr w:type="gramEnd"/>
      <w:r w:rsidRPr="00566D06">
        <w:rPr>
          <w:rFonts w:ascii="Times New Roman" w:hAnsi="Times New Roman"/>
          <w:sz w:val="24"/>
          <w:szCs w:val="24"/>
          <w:u w:val="single"/>
        </w:rPr>
        <w:t xml:space="preserve"> Matter </w:t>
      </w:r>
      <w:proofErr w:type="gramStart"/>
      <w:r w:rsidRPr="00566D06">
        <w:rPr>
          <w:rFonts w:ascii="Times New Roman" w:hAnsi="Times New Roman"/>
          <w:sz w:val="24"/>
          <w:szCs w:val="24"/>
          <w:u w:val="single"/>
        </w:rPr>
        <w:t>Of</w:t>
      </w:r>
      <w:proofErr w:type="gramEnd"/>
      <w:r w:rsidRPr="00566D06">
        <w:rPr>
          <w:rFonts w:ascii="Times New Roman" w:hAnsi="Times New Roman"/>
          <w:sz w:val="24"/>
          <w:szCs w:val="24"/>
          <w:u w:val="single"/>
        </w:rPr>
        <w:t xml:space="preserve"> </w:t>
      </w:r>
      <w:proofErr w:type="gramStart"/>
      <w:r w:rsidRPr="00566D06">
        <w:rPr>
          <w:rFonts w:ascii="Times New Roman" w:hAnsi="Times New Roman"/>
          <w:sz w:val="24"/>
          <w:szCs w:val="24"/>
          <w:u w:val="single"/>
        </w:rPr>
        <w:t>The</w:t>
      </w:r>
      <w:proofErr w:type="gramEnd"/>
      <w:r w:rsidRPr="00566D06">
        <w:rPr>
          <w:rFonts w:ascii="Times New Roman" w:hAnsi="Times New Roman"/>
          <w:sz w:val="24"/>
          <w:szCs w:val="24"/>
          <w:u w:val="single"/>
        </w:rPr>
        <w:t xml:space="preserve"> Extradition </w:t>
      </w:r>
      <w:proofErr w:type="gramStart"/>
      <w:r w:rsidRPr="00566D06">
        <w:rPr>
          <w:rFonts w:ascii="Times New Roman" w:hAnsi="Times New Roman"/>
          <w:sz w:val="24"/>
          <w:szCs w:val="24"/>
          <w:u w:val="single"/>
        </w:rPr>
        <w:t>Of</w:t>
      </w:r>
      <w:proofErr w:type="gramEnd"/>
      <w:r w:rsidRPr="00566D06">
        <w:rPr>
          <w:rFonts w:ascii="Times New Roman" w:hAnsi="Times New Roman"/>
          <w:sz w:val="24"/>
          <w:szCs w:val="24"/>
          <w:u w:val="single"/>
        </w:rPr>
        <w:t xml:space="preserve"> Francis Carr</w:t>
      </w:r>
      <w:r>
        <w:rPr>
          <w:rFonts w:ascii="Times New Roman" w:hAnsi="Times New Roman"/>
          <w:sz w:val="24"/>
          <w:szCs w:val="24"/>
        </w:rPr>
        <w:t xml:space="preserve">, U.S. Magistrate Judge Beth W. Zantz, orders that Mr. Carr, who is held without bail in Chicago jail, may be extradited back to Ireland to face felony charges.   The 1984 treaty between US and Ireland allows for extradition if the conduct is a felony [punishable more than one year] in both countries, even if in U.S. there must be proof of “gross negligence” for involuntary manslaughter or reckless homicide and in Ireland just ordinary negligence. </w:t>
      </w:r>
    </w:p>
    <w:p w14:paraId="0E1455BF" w14:textId="77777777" w:rsidR="007D178F" w:rsidRDefault="007D178F" w:rsidP="007D178F">
      <w:pPr>
        <w:pStyle w:val="NoSpacing"/>
        <w:ind w:left="720"/>
        <w:rPr>
          <w:rFonts w:ascii="Times New Roman" w:hAnsi="Times New Roman"/>
          <w:sz w:val="24"/>
          <w:szCs w:val="24"/>
        </w:rPr>
      </w:pPr>
      <w:r>
        <w:rPr>
          <w:rFonts w:ascii="Times New Roman" w:hAnsi="Times New Roman"/>
          <w:sz w:val="24"/>
          <w:szCs w:val="24"/>
        </w:rPr>
        <w:br/>
        <w:t>“</w:t>
      </w:r>
      <w:r w:rsidRPr="00566D06">
        <w:rPr>
          <w:rFonts w:ascii="Times New Roman" w:hAnsi="Times New Roman"/>
          <w:sz w:val="24"/>
          <w:szCs w:val="24"/>
        </w:rPr>
        <w:t xml:space="preserve">For </w:t>
      </w:r>
      <w:proofErr w:type="gramStart"/>
      <w:r w:rsidRPr="00566D06">
        <w:rPr>
          <w:rFonts w:ascii="Times New Roman" w:hAnsi="Times New Roman"/>
          <w:sz w:val="24"/>
          <w:szCs w:val="24"/>
        </w:rPr>
        <w:t>all of</w:t>
      </w:r>
      <w:proofErr w:type="gramEnd"/>
      <w:r w:rsidRPr="00566D06">
        <w:rPr>
          <w:rFonts w:ascii="Times New Roman" w:hAnsi="Times New Roman"/>
          <w:sz w:val="24"/>
          <w:szCs w:val="24"/>
        </w:rPr>
        <w:t xml:space="preserve"> the reasons above, the Court therefore determines that the United States-Ireland treaty requires only dual criminality for an offense to be extraditable, meaning that just the </w:t>
      </w:r>
      <w:r w:rsidRPr="00566D06">
        <w:rPr>
          <w:rFonts w:ascii="Times New Roman" w:hAnsi="Times New Roman"/>
          <w:b/>
          <w:bCs/>
          <w:i/>
          <w:iCs/>
          <w:sz w:val="24"/>
          <w:szCs w:val="24"/>
        </w:rPr>
        <w:t>charged conduct</w:t>
      </w:r>
      <w:r w:rsidRPr="00566D06">
        <w:rPr>
          <w:rFonts w:ascii="Times New Roman" w:hAnsi="Times New Roman"/>
          <w:sz w:val="24"/>
          <w:szCs w:val="24"/>
        </w:rPr>
        <w:t xml:space="preserve"> must be criminal and punishable by a year or more in prison in both jurisdictions.</w:t>
      </w:r>
    </w:p>
    <w:p w14:paraId="3D2A3D27" w14:textId="77777777" w:rsidR="007D178F" w:rsidRPr="00566D06" w:rsidRDefault="007D178F" w:rsidP="007D178F">
      <w:pPr>
        <w:pStyle w:val="NoSpacing"/>
        <w:ind w:left="720"/>
        <w:rPr>
          <w:rFonts w:ascii="Times New Roman" w:hAnsi="Times New Roman"/>
          <w:sz w:val="24"/>
          <w:szCs w:val="24"/>
        </w:rPr>
      </w:pPr>
    </w:p>
    <w:p w14:paraId="1878E6EC" w14:textId="77777777" w:rsidR="007D178F" w:rsidRDefault="007D178F" w:rsidP="007D178F">
      <w:pPr>
        <w:pStyle w:val="NoSpacing"/>
        <w:ind w:left="720"/>
        <w:rPr>
          <w:rFonts w:ascii="Times New Roman" w:hAnsi="Times New Roman"/>
          <w:sz w:val="24"/>
          <w:szCs w:val="24"/>
        </w:rPr>
      </w:pPr>
      <w:r w:rsidRPr="00566D06">
        <w:rPr>
          <w:rFonts w:ascii="Times New Roman" w:hAnsi="Times New Roman"/>
          <w:sz w:val="24"/>
          <w:szCs w:val="24"/>
        </w:rPr>
        <w:t>Here, that requirement is met, as Carr concedes</w:t>
      </w:r>
      <w:r>
        <w:rPr>
          <w:rFonts w:ascii="Times New Roman" w:hAnsi="Times New Roman"/>
          <w:sz w:val="24"/>
          <w:szCs w:val="24"/>
        </w:rPr>
        <w:t xml:space="preserve"> ….</w:t>
      </w:r>
      <w:r w:rsidRPr="00566D06">
        <w:rPr>
          <w:rFonts w:ascii="Times New Roman" w:hAnsi="Times New Roman"/>
          <w:sz w:val="24"/>
          <w:szCs w:val="24"/>
        </w:rPr>
        <w:t xml:space="preserve"> Carr allegedly drove in such a grossly negligent manner—at a high rate of speed and doing donuts—that he caused a crash and the deaths of his two passengers</w:t>
      </w:r>
      <w:r>
        <w:rPr>
          <w:rFonts w:ascii="Times New Roman" w:hAnsi="Times New Roman"/>
          <w:sz w:val="24"/>
          <w:szCs w:val="24"/>
        </w:rPr>
        <w:t>….</w:t>
      </w:r>
      <w:r w:rsidRPr="00566D06">
        <w:rPr>
          <w:rFonts w:ascii="Times New Roman" w:hAnsi="Times New Roman"/>
          <w:sz w:val="24"/>
          <w:szCs w:val="24"/>
        </w:rPr>
        <w:t xml:space="preserve"> In Ireland, the offense of dangerous driving causing death of two victims is punishable by up to 10 years in prison</w:t>
      </w:r>
      <w:r>
        <w:rPr>
          <w:rFonts w:ascii="Times New Roman" w:hAnsi="Times New Roman"/>
          <w:sz w:val="24"/>
          <w:szCs w:val="24"/>
        </w:rPr>
        <w:t>….</w:t>
      </w:r>
      <w:r w:rsidRPr="00566D06">
        <w:rPr>
          <w:rFonts w:ascii="Times New Roman" w:hAnsi="Times New Roman"/>
          <w:sz w:val="24"/>
          <w:szCs w:val="24"/>
        </w:rPr>
        <w:t xml:space="preserve"> And in the United States, Carr's conduct could be charged as a felony under United States federal or Illinois state law, as involuntary manslaughter under 18 U.S.C. §1112 (maximum penalty of </w:t>
      </w:r>
    </w:p>
    <w:p w14:paraId="713FB8D5" w14:textId="77777777" w:rsidR="007D178F" w:rsidRDefault="007D178F" w:rsidP="007D178F">
      <w:pPr>
        <w:pStyle w:val="NoSpacing"/>
        <w:ind w:left="720"/>
        <w:rPr>
          <w:rFonts w:ascii="Times New Roman" w:hAnsi="Times New Roman"/>
          <w:sz w:val="24"/>
          <w:szCs w:val="24"/>
        </w:rPr>
      </w:pPr>
      <w:r w:rsidRPr="00566D06">
        <w:rPr>
          <w:rFonts w:ascii="Times New Roman" w:hAnsi="Times New Roman"/>
          <w:sz w:val="24"/>
          <w:szCs w:val="24"/>
        </w:rPr>
        <w:t>8 years in prison), or as reckless homicide while driving a motor vehicle, 720 ILCS 5/9-3(a); 730 ILCS 5/5-4.5-40(a) (maximum penalty of 5 years in prison), respectively.</w:t>
      </w:r>
      <w:r>
        <w:rPr>
          <w:rFonts w:ascii="Times New Roman" w:hAnsi="Times New Roman"/>
          <w:sz w:val="24"/>
          <w:szCs w:val="24"/>
        </w:rPr>
        <w:t>”</w:t>
      </w:r>
    </w:p>
    <w:p w14:paraId="34A2C010" w14:textId="77777777" w:rsidR="007D178F" w:rsidRPr="00566D06" w:rsidRDefault="007D178F" w:rsidP="007D178F">
      <w:pPr>
        <w:pStyle w:val="NoSpacing"/>
        <w:ind w:firstLine="720"/>
        <w:rPr>
          <w:rFonts w:ascii="Times New Roman" w:hAnsi="Times New Roman"/>
          <w:sz w:val="24"/>
          <w:szCs w:val="24"/>
        </w:rPr>
      </w:pPr>
      <w:hyperlink r:id="rId792" w:history="1">
        <w:r w:rsidRPr="00BA14DC">
          <w:rPr>
            <w:rStyle w:val="Hyperlink"/>
            <w:rFonts w:ascii="Times New Roman" w:hAnsi="Times New Roman"/>
            <w:sz w:val="24"/>
            <w:szCs w:val="24"/>
          </w:rPr>
          <w:t>https://www.casemine.com/judgement/us/5fa3a7514653d0732d5bedb1</w:t>
        </w:r>
      </w:hyperlink>
      <w:r>
        <w:rPr>
          <w:rFonts w:ascii="Times New Roman" w:hAnsi="Times New Roman"/>
          <w:sz w:val="24"/>
          <w:szCs w:val="24"/>
        </w:rPr>
        <w:t xml:space="preserve"> </w:t>
      </w:r>
    </w:p>
    <w:p w14:paraId="62AEE2E1" w14:textId="77777777" w:rsidR="007D178F" w:rsidRDefault="007D178F" w:rsidP="007D178F">
      <w:pPr>
        <w:pStyle w:val="NoSpacing"/>
      </w:pPr>
    </w:p>
    <w:p w14:paraId="2274161C" w14:textId="77777777" w:rsidR="007D178F" w:rsidRPr="003B0090" w:rsidRDefault="007D178F" w:rsidP="007D178F">
      <w:pPr>
        <w:spacing w:before="100" w:beforeAutospacing="1" w:after="100" w:afterAutospacing="1" w:line="240" w:lineRule="auto"/>
        <w:rPr>
          <w:rFonts w:ascii="Times New Roman" w:eastAsia="Times New Roman" w:hAnsi="Times New Roman"/>
          <w:b/>
          <w:bCs/>
          <w:sz w:val="24"/>
          <w:szCs w:val="24"/>
        </w:rPr>
      </w:pPr>
      <w:r w:rsidRPr="003B0090">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Treaties are to be interpreted liberally; defendant remains in jail until extradited back to Ireland. </w:t>
      </w:r>
    </w:p>
    <w:p w14:paraId="56A7E51A" w14:textId="77777777" w:rsidR="007D178F" w:rsidRDefault="007D178F" w:rsidP="00F326E5">
      <w:pPr>
        <w:pStyle w:val="NoSpacing"/>
        <w:rPr>
          <w:rFonts w:ascii="Arial Black" w:hAnsi="Arial Black"/>
          <w:sz w:val="28"/>
          <w:szCs w:val="28"/>
        </w:rPr>
      </w:pPr>
    </w:p>
    <w:p w14:paraId="0024B941" w14:textId="77777777" w:rsidR="007D178F" w:rsidRDefault="007D178F" w:rsidP="00F326E5">
      <w:pPr>
        <w:pStyle w:val="NoSpacing"/>
        <w:rPr>
          <w:rFonts w:ascii="Arial Black" w:hAnsi="Arial Black"/>
          <w:sz w:val="28"/>
          <w:szCs w:val="28"/>
        </w:rPr>
      </w:pPr>
    </w:p>
    <w:p w14:paraId="0881455C" w14:textId="77777777" w:rsidR="007D178F" w:rsidRDefault="007D178F" w:rsidP="00F326E5">
      <w:pPr>
        <w:pStyle w:val="NoSpacing"/>
        <w:rPr>
          <w:rFonts w:ascii="Arial Black" w:hAnsi="Arial Black"/>
          <w:sz w:val="28"/>
          <w:szCs w:val="28"/>
        </w:rPr>
      </w:pPr>
    </w:p>
    <w:p w14:paraId="79B50D16" w14:textId="77777777" w:rsidR="007D178F" w:rsidRDefault="007D178F" w:rsidP="00F326E5">
      <w:pPr>
        <w:pStyle w:val="NoSpacing"/>
        <w:rPr>
          <w:rFonts w:ascii="Arial Black" w:hAnsi="Arial Black"/>
          <w:sz w:val="28"/>
          <w:szCs w:val="28"/>
        </w:rPr>
      </w:pPr>
    </w:p>
    <w:p w14:paraId="269799DA" w14:textId="624E879A" w:rsidR="00F824FE" w:rsidRDefault="00F824FE" w:rsidP="00F326E5">
      <w:pPr>
        <w:pStyle w:val="NoSpacing"/>
        <w:rPr>
          <w:rFonts w:ascii="Arial Black" w:hAnsi="Arial Black"/>
          <w:sz w:val="28"/>
          <w:szCs w:val="28"/>
        </w:rPr>
      </w:pPr>
      <w:r>
        <w:rPr>
          <w:rFonts w:ascii="Arial Black" w:hAnsi="Arial Black"/>
          <w:sz w:val="28"/>
          <w:szCs w:val="28"/>
        </w:rPr>
        <w:t>3-26</w:t>
      </w:r>
    </w:p>
    <w:p w14:paraId="1B5094F9" w14:textId="7D6FE78D" w:rsidR="00F824FE" w:rsidRDefault="00F824FE" w:rsidP="00F326E5">
      <w:pPr>
        <w:pStyle w:val="NoSpacing"/>
        <w:rPr>
          <w:rFonts w:ascii="Arial Black" w:hAnsi="Arial Black"/>
          <w:sz w:val="28"/>
          <w:szCs w:val="28"/>
        </w:rPr>
      </w:pPr>
    </w:p>
    <w:p w14:paraId="77978862" w14:textId="77777777" w:rsidR="00F824FE" w:rsidRPr="00207F8D" w:rsidRDefault="00F824FE" w:rsidP="00F824FE">
      <w:pPr>
        <w:pStyle w:val="Heading1"/>
        <w:rPr>
          <w:rFonts w:ascii="Arial Black" w:hAnsi="Arial Black"/>
          <w:sz w:val="28"/>
          <w:szCs w:val="28"/>
        </w:rPr>
      </w:pPr>
      <w:r>
        <w:rPr>
          <w:rFonts w:ascii="Arial Black" w:hAnsi="Arial Black"/>
          <w:sz w:val="28"/>
          <w:szCs w:val="28"/>
        </w:rPr>
        <w:t>NY:  911 CLEAN UP - 124 WORKERS CLEANUP AT STUYVESANT HIGH – LAWSUIT PROPERLY DISMISSED, ACCEPTED PRIOR SETTLEMENT</w:t>
      </w:r>
    </w:p>
    <w:p w14:paraId="0B5810D7" w14:textId="77777777" w:rsidR="00F824FE" w:rsidRPr="004D26C3" w:rsidRDefault="00F824FE" w:rsidP="00F824FE">
      <w:pPr>
        <w:rPr>
          <w:rFonts w:ascii="Times New Roman" w:hAnsi="Times New Roman"/>
          <w:sz w:val="24"/>
          <w:szCs w:val="24"/>
        </w:rPr>
      </w:pPr>
      <w:r w:rsidRPr="00E15C67">
        <w:rPr>
          <w:rFonts w:ascii="Times New Roman" w:hAnsi="Times New Roman"/>
          <w:sz w:val="24"/>
          <w:szCs w:val="24"/>
        </w:rPr>
        <w:t xml:space="preserve">On Sept. 28, 2020, in </w:t>
      </w:r>
      <w:r w:rsidRPr="00E15C67">
        <w:rPr>
          <w:rFonts w:ascii="Times New Roman" w:hAnsi="Times New Roman"/>
          <w:sz w:val="24"/>
          <w:szCs w:val="24"/>
          <w:u w:val="single"/>
        </w:rPr>
        <w:t>In</w:t>
      </w:r>
      <w:r w:rsidRPr="004D26C3">
        <w:rPr>
          <w:rFonts w:ascii="Times New Roman" w:hAnsi="Times New Roman"/>
          <w:sz w:val="24"/>
          <w:szCs w:val="24"/>
          <w:u w:val="single"/>
        </w:rPr>
        <w:t xml:space="preserve"> re: World Trade Center Lower Manhattan Disaster Site Litigation</w:t>
      </w:r>
      <w:r w:rsidRPr="004D26C3">
        <w:rPr>
          <w:rFonts w:ascii="Times New Roman" w:hAnsi="Times New Roman"/>
          <w:sz w:val="24"/>
          <w:szCs w:val="24"/>
        </w:rPr>
        <w:t xml:space="preserve">, the U.S. Court of Appeals for Second District (New York City) held in a Summary Order (3 to 0) that U.S. District Court Judge Alvin K. Hellerstein properly dismissed their lawsuit in 2019 since it was moot; they are covered by settlement agreements with the City of New York and the WTC Captive by entering into the 2010 Final Settlement Agreement ("FSA").  Judge Hellerstein on Aug. 30, </w:t>
      </w:r>
      <w:proofErr w:type="gramStart"/>
      <w:r w:rsidRPr="004D26C3">
        <w:rPr>
          <w:rFonts w:ascii="Times New Roman" w:hAnsi="Times New Roman"/>
          <w:sz w:val="24"/>
          <w:szCs w:val="24"/>
        </w:rPr>
        <w:t>2019</w:t>
      </w:r>
      <w:proofErr w:type="gramEnd"/>
      <w:r w:rsidRPr="004D26C3">
        <w:rPr>
          <w:rFonts w:ascii="Times New Roman" w:hAnsi="Times New Roman"/>
          <w:sz w:val="24"/>
          <w:szCs w:val="24"/>
        </w:rPr>
        <w:t xml:space="preserve"> held that “All of the present plaintiffs, among a group of plaintiffs that at one time numbered around 11,000, had settled previously with the WTC Captive and its insureds, including the City of New York.” </w:t>
      </w:r>
      <w:hyperlink r:id="rId793" w:history="1">
        <w:r w:rsidRPr="004D26C3">
          <w:rPr>
            <w:rStyle w:val="Hyperlink"/>
            <w:rFonts w:ascii="Times New Roman" w:hAnsi="Times New Roman"/>
            <w:sz w:val="24"/>
            <w:szCs w:val="24"/>
          </w:rPr>
          <w:t>https://casetext.com/case/in-re-world-trade-ctr-lower-manhattan-disaster-site-litig-8</w:t>
        </w:r>
      </w:hyperlink>
      <w:r w:rsidRPr="004D26C3">
        <w:rPr>
          <w:rFonts w:ascii="Times New Roman" w:hAnsi="Times New Roman"/>
          <w:sz w:val="24"/>
          <w:szCs w:val="24"/>
        </w:rPr>
        <w:t xml:space="preserve"> </w:t>
      </w:r>
    </w:p>
    <w:p w14:paraId="4C8AB7AF" w14:textId="77777777" w:rsidR="00F824FE" w:rsidRPr="00482AE8" w:rsidRDefault="00F824FE" w:rsidP="00F824FE">
      <w:pPr>
        <w:pStyle w:val="Heading1"/>
        <w:ind w:left="720"/>
        <w:rPr>
          <w:b w:val="0"/>
          <w:bCs w:val="0"/>
          <w:sz w:val="24"/>
          <w:szCs w:val="24"/>
        </w:rPr>
      </w:pPr>
      <w:r>
        <w:rPr>
          <w:b w:val="0"/>
          <w:bCs w:val="0"/>
          <w:sz w:val="24"/>
          <w:szCs w:val="24"/>
        </w:rPr>
        <w:t>“</w:t>
      </w:r>
      <w:r w:rsidRPr="00482AE8">
        <w:rPr>
          <w:b w:val="0"/>
          <w:bCs w:val="0"/>
          <w:sz w:val="24"/>
          <w:szCs w:val="24"/>
        </w:rPr>
        <w:t xml:space="preserve">Here, the district court properly held that Appellants’ 2010 settlement agreement with the WTC Captive and its insureds (the World Trade Center Litigation Final Settlement Agreement, or </w:t>
      </w:r>
      <w:r>
        <w:rPr>
          <w:b w:val="0"/>
          <w:bCs w:val="0"/>
          <w:sz w:val="24"/>
          <w:szCs w:val="24"/>
        </w:rPr>
        <w:t>‘</w:t>
      </w:r>
      <w:r w:rsidRPr="00482AE8">
        <w:rPr>
          <w:b w:val="0"/>
          <w:bCs w:val="0"/>
          <w:sz w:val="24"/>
          <w:szCs w:val="24"/>
        </w:rPr>
        <w:t>FSA</w:t>
      </w:r>
      <w:r>
        <w:rPr>
          <w:b w:val="0"/>
          <w:bCs w:val="0"/>
          <w:sz w:val="24"/>
          <w:szCs w:val="24"/>
        </w:rPr>
        <w:t>’</w:t>
      </w:r>
      <w:r w:rsidRPr="00482AE8">
        <w:rPr>
          <w:b w:val="0"/>
          <w:bCs w:val="0"/>
          <w:sz w:val="24"/>
          <w:szCs w:val="24"/>
        </w:rPr>
        <w:t>) reduced their potential recovery in these proceedings to zero, and that, accordingly, their claims are moot.</w:t>
      </w:r>
      <w:r>
        <w:rPr>
          <w:b w:val="0"/>
          <w:bCs w:val="0"/>
          <w:sz w:val="24"/>
          <w:szCs w:val="24"/>
        </w:rPr>
        <w:t xml:space="preserve">” </w:t>
      </w:r>
      <w:hyperlink r:id="rId794" w:anchor="xml=https://www.ca2.uscourts.gov/decisions/isysquery/d1288cae-9c73-4842-93cb-329cdd38edc3/3/hilite/" w:history="1">
        <w:r w:rsidRPr="009A4D3D">
          <w:rPr>
            <w:rStyle w:val="Hyperlink"/>
            <w:b w:val="0"/>
            <w:bCs w:val="0"/>
            <w:sz w:val="24"/>
            <w:szCs w:val="24"/>
          </w:rPr>
          <w:t>https://www.ca2.uscourts.gov/decisions/isysquery/d1288cae-9c73-4842-93cb-329cdd38edc3/3/doc/19-2934_so.pdf#xml=https://www.ca2.uscourts.gov/decisions/isysquery/d1288cae-9c73-4842-93cb-329cdd38edc3/3/hilite/</w:t>
        </w:r>
      </w:hyperlink>
      <w:r>
        <w:rPr>
          <w:b w:val="0"/>
          <w:bCs w:val="0"/>
          <w:sz w:val="24"/>
          <w:szCs w:val="24"/>
        </w:rPr>
        <w:t xml:space="preserve"> </w:t>
      </w:r>
    </w:p>
    <w:p w14:paraId="3336A63A" w14:textId="77777777" w:rsidR="00F824FE" w:rsidRDefault="00F824FE" w:rsidP="00F824FE">
      <w:pPr>
        <w:pStyle w:val="Heading1"/>
        <w:rPr>
          <w:sz w:val="24"/>
          <w:szCs w:val="24"/>
        </w:rPr>
      </w:pPr>
      <w:r w:rsidRPr="007042F0">
        <w:rPr>
          <w:sz w:val="24"/>
          <w:szCs w:val="24"/>
        </w:rPr>
        <w:t>Legal Lessons Learned:</w:t>
      </w:r>
      <w:r>
        <w:rPr>
          <w:sz w:val="24"/>
          <w:szCs w:val="24"/>
        </w:rPr>
        <w:t xml:space="preserve"> When you </w:t>
      </w:r>
      <w:proofErr w:type="gramStart"/>
      <w:r>
        <w:rPr>
          <w:sz w:val="24"/>
          <w:szCs w:val="24"/>
        </w:rPr>
        <w:t>enter into</w:t>
      </w:r>
      <w:proofErr w:type="gramEnd"/>
      <w:r>
        <w:rPr>
          <w:sz w:val="24"/>
          <w:szCs w:val="24"/>
        </w:rPr>
        <w:t xml:space="preserve"> a “global settlement” and accept the settlement money, it is designed to avoid future litigation such as this case.  </w:t>
      </w:r>
    </w:p>
    <w:p w14:paraId="4912F6EC" w14:textId="5293D5C3" w:rsidR="00F824FE" w:rsidRDefault="00F824FE" w:rsidP="00F824FE">
      <w:pPr>
        <w:pStyle w:val="NoSpacing"/>
        <w:ind w:left="720"/>
        <w:rPr>
          <w:rFonts w:ascii="Arial Black" w:hAnsi="Arial Black"/>
          <w:sz w:val="28"/>
          <w:szCs w:val="28"/>
        </w:rPr>
      </w:pPr>
      <w:r w:rsidRPr="007042F0">
        <w:rPr>
          <w:sz w:val="24"/>
          <w:szCs w:val="24"/>
        </w:rPr>
        <w:t>Note</w:t>
      </w:r>
      <w:r>
        <w:rPr>
          <w:sz w:val="24"/>
          <w:szCs w:val="24"/>
        </w:rPr>
        <w:t xml:space="preserve">:   See </w:t>
      </w:r>
      <w:r w:rsidRPr="007042F0">
        <w:rPr>
          <w:sz w:val="24"/>
          <w:szCs w:val="24"/>
        </w:rPr>
        <w:t xml:space="preserve">Nov. 19, </w:t>
      </w:r>
      <w:proofErr w:type="gramStart"/>
      <w:r w:rsidRPr="007042F0">
        <w:rPr>
          <w:sz w:val="24"/>
          <w:szCs w:val="24"/>
        </w:rPr>
        <w:t>2010</w:t>
      </w:r>
      <w:proofErr w:type="gramEnd"/>
      <w:r>
        <w:rPr>
          <w:sz w:val="24"/>
          <w:szCs w:val="24"/>
        </w:rPr>
        <w:t xml:space="preserve"> article,</w:t>
      </w:r>
      <w:r w:rsidRPr="007042F0">
        <w:rPr>
          <w:sz w:val="24"/>
          <w:szCs w:val="24"/>
        </w:rPr>
        <w:t xml:space="preserve"> “Over 95% of Plaintiffs Accept World Trade Center Settlement.” </w:t>
      </w:r>
      <w:r>
        <w:rPr>
          <w:sz w:val="24"/>
          <w:szCs w:val="24"/>
        </w:rPr>
        <w:t>“</w:t>
      </w:r>
      <w:r w:rsidRPr="007042F0">
        <w:rPr>
          <w:sz w:val="24"/>
          <w:szCs w:val="24"/>
        </w:rPr>
        <w:t>10,043 plaintiffs signed releases accepting settlement terms, according to the Allocation Neutral's report to the Court, with 98% of those claiming some of the most severe injuries signing on.</w:t>
      </w:r>
      <w:r>
        <w:rPr>
          <w:sz w:val="24"/>
          <w:szCs w:val="24"/>
        </w:rPr>
        <w:t xml:space="preserve"> *** </w:t>
      </w:r>
      <w:r w:rsidRPr="004D26C3">
        <w:rPr>
          <w:sz w:val="24"/>
          <w:szCs w:val="24"/>
        </w:rPr>
        <w:t>The WTC Captive Insurance Company confirms the 95% participation threshold of eligible plaintiffs has been reached.</w:t>
      </w:r>
      <w:r>
        <w:rPr>
          <w:sz w:val="24"/>
          <w:szCs w:val="24"/>
        </w:rPr>
        <w:t xml:space="preserve">” </w:t>
      </w:r>
      <w:r w:rsidRPr="004D26C3">
        <w:rPr>
          <w:sz w:val="24"/>
          <w:szCs w:val="24"/>
        </w:rPr>
        <w:t xml:space="preserve"> </w:t>
      </w:r>
      <w:hyperlink r:id="rId795" w:history="1">
        <w:r w:rsidRPr="004D26C3">
          <w:rPr>
            <w:rStyle w:val="Hyperlink"/>
            <w:sz w:val="24"/>
            <w:szCs w:val="24"/>
          </w:rPr>
          <w:t>https://www.prnewswire.com/news-releases/over-95-of-plaintiffs-accept-world-trade-center-settlement-109252704.html</w:t>
        </w:r>
      </w:hyperlink>
    </w:p>
    <w:p w14:paraId="1C5D1C6D" w14:textId="77777777" w:rsidR="00F824FE" w:rsidRDefault="00F824FE" w:rsidP="00F326E5">
      <w:pPr>
        <w:pStyle w:val="NoSpacing"/>
        <w:rPr>
          <w:rFonts w:ascii="Arial Black" w:hAnsi="Arial Black"/>
          <w:sz w:val="28"/>
          <w:szCs w:val="28"/>
        </w:rPr>
      </w:pPr>
    </w:p>
    <w:p w14:paraId="2DEF0697" w14:textId="77777777" w:rsidR="00F824FE" w:rsidRDefault="00F824FE" w:rsidP="00F326E5">
      <w:pPr>
        <w:pStyle w:val="NoSpacing"/>
        <w:rPr>
          <w:rFonts w:ascii="Arial Black" w:hAnsi="Arial Black"/>
          <w:sz w:val="28"/>
          <w:szCs w:val="28"/>
        </w:rPr>
      </w:pPr>
    </w:p>
    <w:p w14:paraId="16BAF71E" w14:textId="3B184A81" w:rsidR="00A672EE" w:rsidRDefault="00A672EE" w:rsidP="00F326E5">
      <w:pPr>
        <w:pStyle w:val="NoSpacing"/>
        <w:rPr>
          <w:rFonts w:ascii="Arial Black" w:hAnsi="Arial Black"/>
          <w:sz w:val="28"/>
          <w:szCs w:val="28"/>
        </w:rPr>
      </w:pPr>
      <w:r>
        <w:rPr>
          <w:rFonts w:ascii="Arial Black" w:hAnsi="Arial Black"/>
          <w:sz w:val="28"/>
          <w:szCs w:val="28"/>
        </w:rPr>
        <w:t>3-25</w:t>
      </w:r>
    </w:p>
    <w:p w14:paraId="1D7675DA" w14:textId="6493E5AA" w:rsidR="00A672EE" w:rsidRDefault="00A672EE" w:rsidP="00F326E5">
      <w:pPr>
        <w:pStyle w:val="NoSpacing"/>
        <w:rPr>
          <w:rFonts w:ascii="Arial Black" w:hAnsi="Arial Black"/>
          <w:sz w:val="28"/>
          <w:szCs w:val="28"/>
        </w:rPr>
      </w:pPr>
    </w:p>
    <w:p w14:paraId="2D663E2D" w14:textId="4A1D7A14" w:rsidR="00A672EE" w:rsidRPr="0043496E" w:rsidRDefault="00A672EE" w:rsidP="00A672EE">
      <w:pPr>
        <w:pStyle w:val="NoSpacing"/>
        <w:rPr>
          <w:rFonts w:ascii="Arial Black" w:hAnsi="Arial Black"/>
          <w:sz w:val="28"/>
          <w:szCs w:val="28"/>
        </w:rPr>
      </w:pPr>
      <w:bookmarkStart w:id="140" w:name="_Hlk66942447"/>
      <w:r w:rsidRPr="0043496E">
        <w:rPr>
          <w:rFonts w:ascii="Arial Black" w:hAnsi="Arial Black"/>
          <w:sz w:val="28"/>
          <w:szCs w:val="28"/>
        </w:rPr>
        <w:t xml:space="preserve">FL: </w:t>
      </w:r>
      <w:r>
        <w:rPr>
          <w:rFonts w:ascii="Arial Black" w:hAnsi="Arial Black"/>
          <w:sz w:val="28"/>
          <w:szCs w:val="28"/>
        </w:rPr>
        <w:t xml:space="preserve">“LONE WOLF” DEFENDANT HELD WITHOUT BOND - 23-YR-OLD – PISTOL, SILENCER, DRONE - WANTED TO KILL AT LEAST 50  </w:t>
      </w:r>
    </w:p>
    <w:p w14:paraId="466C0A2E" w14:textId="1E9ED013" w:rsidR="00A672EE" w:rsidRDefault="00A672EE" w:rsidP="00A672E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July 1, 2020, in </w:t>
      </w:r>
      <w:r w:rsidRPr="00A95773">
        <w:rPr>
          <w:rFonts w:ascii="Times New Roman" w:eastAsia="Times New Roman" w:hAnsi="Times New Roman"/>
          <w:sz w:val="24"/>
          <w:szCs w:val="24"/>
          <w:u w:val="single"/>
        </w:rPr>
        <w:t>United States of America v. Muhammed Momtaz Al-Azhari</w:t>
      </w:r>
      <w:r>
        <w:rPr>
          <w:rFonts w:ascii="Times New Roman" w:eastAsia="Times New Roman" w:hAnsi="Times New Roman"/>
          <w:sz w:val="24"/>
          <w:szCs w:val="24"/>
        </w:rPr>
        <w:t>, U.S. District Court Judge Tom Barber, Middle District of Florida (Tampa Division), upheld the decision of U.S. Magistrate Judge denying defendant’s motion to revoke detention order. The Court wrote: “</w:t>
      </w:r>
      <w:r w:rsidRPr="0043496E">
        <w:rPr>
          <w:rFonts w:ascii="Times New Roman" w:eastAsia="Times New Roman" w:hAnsi="Times New Roman"/>
          <w:sz w:val="24"/>
          <w:szCs w:val="24"/>
        </w:rPr>
        <w:t xml:space="preserve">According to the </w:t>
      </w:r>
      <w:r>
        <w:rPr>
          <w:rFonts w:ascii="Times New Roman" w:eastAsia="Times New Roman" w:hAnsi="Times New Roman"/>
          <w:sz w:val="24"/>
          <w:szCs w:val="24"/>
        </w:rPr>
        <w:t xml:space="preserve">[FBI] </w:t>
      </w:r>
      <w:r w:rsidRPr="0043496E">
        <w:rPr>
          <w:rFonts w:ascii="Times New Roman" w:eastAsia="Times New Roman" w:hAnsi="Times New Roman"/>
          <w:sz w:val="24"/>
          <w:szCs w:val="24"/>
        </w:rPr>
        <w:t>complaint, Defendant was preparing himself for a deadly attack in support of ISIS by obtaining weapons and tactical gear. He scouted potential targets, including a local beach and law enforcement buildings. He told a confidential</w:t>
      </w:r>
      <w:r>
        <w:rPr>
          <w:rFonts w:ascii="Times New Roman" w:eastAsia="Times New Roman" w:hAnsi="Times New Roman"/>
          <w:sz w:val="24"/>
          <w:szCs w:val="24"/>
        </w:rPr>
        <w:t xml:space="preserve"> </w:t>
      </w:r>
      <w:r w:rsidRPr="0043496E">
        <w:rPr>
          <w:rFonts w:ascii="Times New Roman" w:eastAsia="Times New Roman" w:hAnsi="Times New Roman"/>
          <w:sz w:val="24"/>
          <w:szCs w:val="24"/>
        </w:rPr>
        <w:t xml:space="preserve">informant that he did not want to kill just four or five people, but at least fifty. These allegations, and the evidence supporting the allegations, weigh heavily in favor of </w:t>
      </w:r>
      <w:proofErr w:type="gramStart"/>
      <w:r w:rsidRPr="0043496E">
        <w:rPr>
          <w:rFonts w:ascii="Times New Roman" w:eastAsia="Times New Roman" w:hAnsi="Times New Roman"/>
          <w:sz w:val="24"/>
          <w:szCs w:val="24"/>
        </w:rPr>
        <w:t>detention.</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hyperlink r:id="rId796" w:history="1">
        <w:r w:rsidRPr="00DE6B93">
          <w:rPr>
            <w:rStyle w:val="Hyperlink"/>
            <w:rFonts w:ascii="Times New Roman" w:eastAsia="Times New Roman" w:hAnsi="Times New Roman"/>
            <w:sz w:val="24"/>
            <w:szCs w:val="24"/>
          </w:rPr>
          <w:t>https://public.fastcase.com/Wl%2B2t%2BeVuI35%2FN70vAMFZjEZMJsNZYCv20xfss0VwbYGceb09nWBJue7evWvO5N%2B</w:t>
        </w:r>
      </w:hyperlink>
      <w:bookmarkEnd w:id="140"/>
      <w:r>
        <w:rPr>
          <w:rFonts w:ascii="Times New Roman" w:eastAsia="Times New Roman" w:hAnsi="Times New Roman"/>
          <w:sz w:val="24"/>
          <w:szCs w:val="24"/>
        </w:rPr>
        <w:t xml:space="preserve"> </w:t>
      </w:r>
    </w:p>
    <w:p w14:paraId="4DA133E8" w14:textId="45A4616E" w:rsidR="00823634" w:rsidRPr="00823634" w:rsidRDefault="00823634" w:rsidP="00A672EE">
      <w:pPr>
        <w:spacing w:before="100" w:beforeAutospacing="1" w:after="100" w:afterAutospacing="1" w:line="240" w:lineRule="auto"/>
        <w:rPr>
          <w:rFonts w:ascii="Times New Roman" w:eastAsia="Times New Roman" w:hAnsi="Times New Roman"/>
          <w:b/>
          <w:bCs/>
          <w:sz w:val="24"/>
          <w:szCs w:val="24"/>
        </w:rPr>
      </w:pPr>
      <w:bookmarkStart w:id="141" w:name="_Hlk66942546"/>
      <w:r w:rsidRPr="00823634">
        <w:rPr>
          <w:rFonts w:ascii="Times New Roman" w:eastAsia="Times New Roman" w:hAnsi="Times New Roman"/>
          <w:b/>
          <w:bCs/>
          <w:sz w:val="24"/>
          <w:szCs w:val="24"/>
        </w:rPr>
        <w:t xml:space="preserve">Legal Lesson Learned: “Lone Wolf” domestic terrorist is a growing problem. </w:t>
      </w:r>
    </w:p>
    <w:bookmarkEnd w:id="141"/>
    <w:p w14:paraId="18DE90D0" w14:textId="77777777" w:rsidR="00A672EE" w:rsidRDefault="00A672EE" w:rsidP="00F326E5">
      <w:pPr>
        <w:pStyle w:val="NoSpacing"/>
        <w:rPr>
          <w:rFonts w:ascii="Arial Black" w:hAnsi="Arial Black"/>
          <w:sz w:val="28"/>
          <w:szCs w:val="28"/>
        </w:rPr>
      </w:pPr>
    </w:p>
    <w:p w14:paraId="48957C28" w14:textId="1DA6ED01" w:rsidR="0020758F" w:rsidRDefault="00A672EE" w:rsidP="00F326E5">
      <w:pPr>
        <w:pStyle w:val="NoSpacing"/>
        <w:rPr>
          <w:rFonts w:ascii="Arial Black" w:hAnsi="Arial Black"/>
          <w:sz w:val="28"/>
          <w:szCs w:val="28"/>
        </w:rPr>
      </w:pPr>
      <w:r>
        <w:rPr>
          <w:rFonts w:ascii="Arial Black" w:hAnsi="Arial Black"/>
          <w:sz w:val="28"/>
          <w:szCs w:val="28"/>
        </w:rPr>
        <w:br/>
      </w:r>
      <w:r w:rsidR="0020758F">
        <w:rPr>
          <w:rFonts w:ascii="Arial Black" w:hAnsi="Arial Black"/>
          <w:sz w:val="28"/>
          <w:szCs w:val="28"/>
        </w:rPr>
        <w:t>3-24</w:t>
      </w:r>
    </w:p>
    <w:p w14:paraId="1713C62A" w14:textId="6CA5F426" w:rsidR="0020758F" w:rsidRDefault="0020758F" w:rsidP="00F326E5">
      <w:pPr>
        <w:pStyle w:val="NoSpacing"/>
        <w:rPr>
          <w:rFonts w:ascii="Arial Black" w:hAnsi="Arial Black"/>
          <w:sz w:val="28"/>
          <w:szCs w:val="28"/>
        </w:rPr>
      </w:pPr>
    </w:p>
    <w:p w14:paraId="6C1CB65A" w14:textId="77777777" w:rsidR="007105B3" w:rsidRPr="008932A8" w:rsidRDefault="007105B3" w:rsidP="007105B3">
      <w:pPr>
        <w:rPr>
          <w:rFonts w:ascii="Arial Black" w:eastAsia="Times New Roman" w:hAnsi="Arial Black" w:cs="Tahoma"/>
          <w:b/>
          <w:bCs/>
          <w:sz w:val="28"/>
          <w:szCs w:val="28"/>
        </w:rPr>
      </w:pPr>
      <w:r w:rsidRPr="008932A8">
        <w:rPr>
          <w:rFonts w:ascii="Arial Black" w:eastAsia="Times New Roman" w:hAnsi="Arial Black" w:cs="Tahoma"/>
          <w:b/>
          <w:bCs/>
          <w:sz w:val="28"/>
          <w:szCs w:val="28"/>
        </w:rPr>
        <w:t>U.S. SUPREME COURT: FAST-TRACK DEPORTATION OF IMMIGRANTS CROSSING BORDER UPHELD</w:t>
      </w:r>
    </w:p>
    <w:p w14:paraId="248C798E" w14:textId="77777777" w:rsidR="007105B3" w:rsidRPr="00851091" w:rsidRDefault="007105B3" w:rsidP="007105B3">
      <w:pPr>
        <w:rPr>
          <w:rFonts w:ascii="Times New Roman" w:hAnsi="Times New Roman"/>
          <w:sz w:val="24"/>
          <w:szCs w:val="24"/>
        </w:rPr>
      </w:pPr>
      <w:r w:rsidRPr="002730DF">
        <w:rPr>
          <w:rFonts w:ascii="Times New Roman" w:eastAsia="Times New Roman" w:hAnsi="Times New Roman"/>
          <w:color w:val="36495F"/>
          <w:sz w:val="24"/>
          <w:szCs w:val="24"/>
        </w:rPr>
        <w:t>On June 25, 2020, in</w:t>
      </w:r>
      <w:r>
        <w:rPr>
          <w:rFonts w:ascii="Times New Roman" w:eastAsia="Times New Roman" w:hAnsi="Times New Roman"/>
          <w:color w:val="36495F"/>
          <w:sz w:val="24"/>
          <w:szCs w:val="24"/>
        </w:rPr>
        <w:t xml:space="preserve"> </w:t>
      </w:r>
      <w:r w:rsidRPr="002730DF">
        <w:rPr>
          <w:rFonts w:ascii="Times New Roman" w:eastAsia="Times New Roman" w:hAnsi="Times New Roman"/>
          <w:color w:val="36495F"/>
          <w:sz w:val="24"/>
          <w:szCs w:val="24"/>
          <w:u w:val="single"/>
        </w:rPr>
        <w:t xml:space="preserve">Department of Homeland Security, et al. v. </w:t>
      </w:r>
      <w:r w:rsidRPr="002730DF">
        <w:rPr>
          <w:rFonts w:ascii="Times New Roman" w:hAnsi="Times New Roman"/>
          <w:sz w:val="24"/>
          <w:szCs w:val="24"/>
          <w:u w:val="single"/>
        </w:rPr>
        <w:t>Vijayakumar Thuraissigiam</w:t>
      </w:r>
      <w:r>
        <w:rPr>
          <w:rFonts w:ascii="Times New Roman" w:hAnsi="Times New Roman"/>
          <w:sz w:val="24"/>
          <w:szCs w:val="24"/>
        </w:rPr>
        <w:t>, the U.S. Supreme Court held (7 to 2) that Congress properly established a system of rapid deportation of aliens caught at the border, unless they can convince an immigration judge they had credible fear of persecution if returned to their home country. In this case, a Sri Lanka farmer was caught by Border Patrol crossing the border at 11 pm; he claimed he had been abducted and beaten in Sri Lanka by unknown men in a white van while working in his fields. One month after his arrest at the border he had a 13-minute hearing before an immigration judge and was ordered deported.  He sought a writ of habeas corpus and hearing before a U.S. District Court Judge, which was denied, but U.S. Court of Appeals for 9</w:t>
      </w:r>
      <w:r w:rsidRPr="003E07F5">
        <w:rPr>
          <w:rFonts w:ascii="Times New Roman" w:hAnsi="Times New Roman"/>
          <w:sz w:val="24"/>
          <w:szCs w:val="24"/>
          <w:vertAlign w:val="superscript"/>
        </w:rPr>
        <w:t>th</w:t>
      </w:r>
      <w:r>
        <w:rPr>
          <w:rFonts w:ascii="Times New Roman" w:hAnsi="Times New Roman"/>
          <w:sz w:val="24"/>
          <w:szCs w:val="24"/>
        </w:rPr>
        <w:t xml:space="preserve"> Circuit (San Francisco) reversed.   </w:t>
      </w:r>
      <w:r w:rsidRPr="00476D74">
        <w:rPr>
          <w:rFonts w:ascii="Times New Roman" w:hAnsi="Times New Roman"/>
          <w:sz w:val="24"/>
          <w:szCs w:val="24"/>
        </w:rPr>
        <w:t xml:space="preserve">Justice Samuel Alito </w:t>
      </w:r>
      <w:r>
        <w:rPr>
          <w:rFonts w:ascii="Times New Roman" w:hAnsi="Times New Roman"/>
          <w:sz w:val="24"/>
          <w:szCs w:val="24"/>
        </w:rPr>
        <w:t xml:space="preserve">wrote majority opinion: </w:t>
      </w:r>
      <w:r>
        <w:rPr>
          <w:rFonts w:ascii="&quot;Times New Roman" w:eastAsia="Times New Roman" w:hAnsi="&quot;Times New Roman"/>
          <w:color w:val="36495F"/>
          <w:sz w:val="24"/>
          <w:szCs w:val="24"/>
        </w:rPr>
        <w:t>“</w:t>
      </w:r>
      <w:r w:rsidRPr="00476D74">
        <w:rPr>
          <w:rFonts w:ascii="Times New Roman" w:hAnsi="Times New Roman"/>
          <w:sz w:val="24"/>
          <w:szCs w:val="24"/>
        </w:rPr>
        <w:t xml:space="preserve">Every year, hundreds of thousands of aliens are apprehended at or near the border attempting to enter this country illegally. Many ask for asylum, claiming that they would be persecuted if returned to their home countries. Some of these claims are valid, and by granting asylum, the United States lives up to its ideals and its treaty obligations. </w:t>
      </w:r>
      <w:r>
        <w:rPr>
          <w:rFonts w:ascii="Times New Roman" w:hAnsi="Times New Roman"/>
          <w:sz w:val="24"/>
          <w:szCs w:val="24"/>
        </w:rPr>
        <w:t xml:space="preserve"> </w:t>
      </w:r>
      <w:r w:rsidRPr="00476D74">
        <w:rPr>
          <w:rFonts w:ascii="Times New Roman" w:hAnsi="Times New Roman"/>
          <w:sz w:val="24"/>
          <w:szCs w:val="24"/>
        </w:rPr>
        <w:t>Most asylum claims, however, ultimately fail, and some are fraudulent. In 1996, when Congress enacted the</w:t>
      </w:r>
      <w:r>
        <w:rPr>
          <w:rFonts w:ascii="Times New Roman" w:hAnsi="Times New Roman"/>
          <w:sz w:val="24"/>
          <w:szCs w:val="24"/>
        </w:rPr>
        <w:t xml:space="preserve"> </w:t>
      </w:r>
      <w:r w:rsidRPr="00476D74">
        <w:rPr>
          <w:rFonts w:ascii="Times New Roman" w:hAnsi="Times New Roman"/>
          <w:sz w:val="24"/>
          <w:szCs w:val="24"/>
        </w:rPr>
        <w:t>Illegal Immigration Reform and Immigrant Responsibility Act (IIRIRA), 110 Stat. 3009–546, it crafted a system for weeding out patently meritless claims and expeditiously removing the aliens making such claims from the country. It was Congress’s judgment that detaining all asylum seekers</w:t>
      </w:r>
      <w:r>
        <w:rPr>
          <w:rFonts w:ascii="Times New Roman" w:hAnsi="Times New Roman"/>
          <w:sz w:val="24"/>
          <w:szCs w:val="24"/>
        </w:rPr>
        <w:t xml:space="preserve"> </w:t>
      </w:r>
      <w:r w:rsidRPr="00476D74">
        <w:rPr>
          <w:rFonts w:ascii="Times New Roman" w:hAnsi="Times New Roman"/>
          <w:sz w:val="24"/>
          <w:szCs w:val="24"/>
        </w:rPr>
        <w:t>until the full-blown removal process is completed would</w:t>
      </w:r>
      <w:r>
        <w:rPr>
          <w:rFonts w:ascii="Times New Roman" w:hAnsi="Times New Roman"/>
          <w:sz w:val="24"/>
          <w:szCs w:val="24"/>
        </w:rPr>
        <w:t xml:space="preserve"> </w:t>
      </w:r>
      <w:r w:rsidRPr="00476D74">
        <w:rPr>
          <w:rFonts w:ascii="Times New Roman" w:hAnsi="Times New Roman"/>
          <w:sz w:val="24"/>
          <w:szCs w:val="24"/>
        </w:rPr>
        <w:t>place an unacceptable burden on our immigration system and that releasing them would present an undue risk that they would fail to appear for removal proceedings.</w:t>
      </w:r>
      <w:r>
        <w:rPr>
          <w:rFonts w:ascii="Times New Roman" w:hAnsi="Times New Roman"/>
          <w:sz w:val="24"/>
          <w:szCs w:val="24"/>
        </w:rPr>
        <w:t xml:space="preserve"> </w:t>
      </w:r>
      <w:hyperlink r:id="rId797" w:history="1">
        <w:r w:rsidRPr="00476D74">
          <w:rPr>
            <w:rStyle w:val="Hyperlink"/>
            <w:rFonts w:ascii="Times New Roman" w:hAnsi="Times New Roman"/>
            <w:sz w:val="24"/>
            <w:szCs w:val="24"/>
          </w:rPr>
          <w:t>https://www.supremecourt.gov/opinions/19pdf/19-161_g314.pdf</w:t>
        </w:r>
      </w:hyperlink>
      <w:r>
        <w:rPr>
          <w:rFonts w:ascii="Times New Roman" w:hAnsi="Times New Roman"/>
          <w:sz w:val="24"/>
          <w:szCs w:val="24"/>
        </w:rPr>
        <w:t xml:space="preserve"> </w:t>
      </w:r>
    </w:p>
    <w:p w14:paraId="022FC5CE" w14:textId="77777777" w:rsidR="007105B3" w:rsidRPr="00851091" w:rsidRDefault="007105B3" w:rsidP="007105B3">
      <w:pPr>
        <w:pStyle w:val="NoSpacing"/>
        <w:rPr>
          <w:rFonts w:ascii="Times New Roman" w:hAnsi="Times New Roman"/>
          <w:sz w:val="24"/>
          <w:szCs w:val="24"/>
        </w:rPr>
      </w:pPr>
      <w:r w:rsidRPr="00C0046A">
        <w:rPr>
          <w:rFonts w:ascii="Times New Roman" w:hAnsi="Times New Roman"/>
          <w:b/>
          <w:bCs/>
          <w:sz w:val="24"/>
          <w:szCs w:val="24"/>
        </w:rPr>
        <w:t xml:space="preserve">Legal Lessons Learned: </w:t>
      </w:r>
      <w:r>
        <w:rPr>
          <w:rFonts w:ascii="Times New Roman" w:hAnsi="Times New Roman"/>
          <w:b/>
          <w:bCs/>
          <w:sz w:val="24"/>
          <w:szCs w:val="24"/>
        </w:rPr>
        <w:t xml:space="preserve">The seven Justices found that the current system of immigration judges provides due process.  </w:t>
      </w:r>
    </w:p>
    <w:p w14:paraId="7DC424E2" w14:textId="77777777" w:rsidR="007105B3" w:rsidRPr="00C0046A" w:rsidRDefault="007105B3" w:rsidP="007105B3">
      <w:pPr>
        <w:pStyle w:val="NoSpacing"/>
        <w:rPr>
          <w:rFonts w:ascii="Times New Roman" w:hAnsi="Times New Roman"/>
          <w:b/>
          <w:bCs/>
          <w:sz w:val="24"/>
          <w:szCs w:val="24"/>
        </w:rPr>
      </w:pPr>
    </w:p>
    <w:p w14:paraId="68C7E305" w14:textId="77777777" w:rsidR="007105B3" w:rsidRPr="00C0046A" w:rsidRDefault="007105B3" w:rsidP="007105B3">
      <w:pPr>
        <w:pStyle w:val="NoSpacing"/>
        <w:ind w:left="720"/>
        <w:rPr>
          <w:rFonts w:ascii="Times New Roman" w:hAnsi="Times New Roman"/>
          <w:sz w:val="24"/>
          <w:szCs w:val="24"/>
        </w:rPr>
      </w:pPr>
      <w:r w:rsidRPr="00C0046A">
        <w:rPr>
          <w:rFonts w:ascii="Times New Roman" w:hAnsi="Times New Roman"/>
          <w:sz w:val="24"/>
          <w:szCs w:val="24"/>
        </w:rPr>
        <w:t xml:space="preserve">Note: See June 25, </w:t>
      </w:r>
      <w:proofErr w:type="gramStart"/>
      <w:r w:rsidRPr="00C0046A">
        <w:rPr>
          <w:rFonts w:ascii="Times New Roman" w:hAnsi="Times New Roman"/>
          <w:sz w:val="24"/>
          <w:szCs w:val="24"/>
        </w:rPr>
        <w:t>2019</w:t>
      </w:r>
      <w:proofErr w:type="gramEnd"/>
      <w:r w:rsidRPr="00C0046A">
        <w:rPr>
          <w:rFonts w:ascii="Times New Roman" w:hAnsi="Times New Roman"/>
          <w:sz w:val="24"/>
          <w:szCs w:val="24"/>
        </w:rPr>
        <w:t xml:space="preserve"> article, “Supreme Court Sides </w:t>
      </w:r>
      <w:proofErr w:type="gramStart"/>
      <w:r w:rsidRPr="00C0046A">
        <w:rPr>
          <w:rFonts w:ascii="Times New Roman" w:hAnsi="Times New Roman"/>
          <w:sz w:val="24"/>
          <w:szCs w:val="24"/>
        </w:rPr>
        <w:t>With</w:t>
      </w:r>
      <w:proofErr w:type="gramEnd"/>
      <w:r w:rsidRPr="00C0046A">
        <w:rPr>
          <w:rFonts w:ascii="Times New Roman" w:hAnsi="Times New Roman"/>
          <w:sz w:val="24"/>
          <w:szCs w:val="24"/>
        </w:rPr>
        <w:t xml:space="preserve"> Trump Administration </w:t>
      </w:r>
      <w:proofErr w:type="gramStart"/>
      <w:r w:rsidRPr="00C0046A">
        <w:rPr>
          <w:rFonts w:ascii="Times New Roman" w:hAnsi="Times New Roman"/>
          <w:sz w:val="24"/>
          <w:szCs w:val="24"/>
        </w:rPr>
        <w:t>In</w:t>
      </w:r>
      <w:proofErr w:type="gramEnd"/>
      <w:r w:rsidRPr="00C0046A">
        <w:rPr>
          <w:rFonts w:ascii="Times New Roman" w:hAnsi="Times New Roman"/>
          <w:sz w:val="24"/>
          <w:szCs w:val="24"/>
        </w:rPr>
        <w:t xml:space="preserve"> Asylum Cases,” </w:t>
      </w:r>
      <w:hyperlink r:id="rId798" w:history="1">
        <w:r w:rsidRPr="00C0046A">
          <w:rPr>
            <w:rStyle w:val="Hyperlink"/>
            <w:rFonts w:ascii="Times New Roman" w:hAnsi="Times New Roman"/>
            <w:sz w:val="24"/>
            <w:szCs w:val="24"/>
          </w:rPr>
          <w:t>https://www.npr.org/2020/06/25/883312496/supreme-court-sides-with-trump-administration-in-deportation-case</w:t>
        </w:r>
      </w:hyperlink>
      <w:r w:rsidRPr="00C0046A">
        <w:rPr>
          <w:rFonts w:ascii="Times New Roman" w:hAnsi="Times New Roman"/>
          <w:sz w:val="24"/>
          <w:szCs w:val="24"/>
        </w:rPr>
        <w:t xml:space="preserve"> </w:t>
      </w:r>
    </w:p>
    <w:p w14:paraId="575D1D64" w14:textId="77777777" w:rsidR="007105B3" w:rsidRPr="00C0046A" w:rsidRDefault="007105B3" w:rsidP="007105B3">
      <w:pPr>
        <w:pStyle w:val="NoSpacing"/>
        <w:rPr>
          <w:rFonts w:ascii="Times New Roman" w:hAnsi="Times New Roman"/>
          <w:sz w:val="24"/>
          <w:szCs w:val="24"/>
        </w:rPr>
      </w:pPr>
    </w:p>
    <w:p w14:paraId="35944D2B" w14:textId="77777777" w:rsidR="0020758F" w:rsidRDefault="0020758F" w:rsidP="00F326E5">
      <w:pPr>
        <w:pStyle w:val="NoSpacing"/>
        <w:rPr>
          <w:rFonts w:ascii="Arial Black" w:hAnsi="Arial Black"/>
          <w:sz w:val="28"/>
          <w:szCs w:val="28"/>
        </w:rPr>
      </w:pPr>
    </w:p>
    <w:p w14:paraId="1B91BAD1" w14:textId="77777777" w:rsidR="0020758F" w:rsidRDefault="0020758F" w:rsidP="00F326E5">
      <w:pPr>
        <w:pStyle w:val="NoSpacing"/>
        <w:rPr>
          <w:rFonts w:ascii="Arial Black" w:hAnsi="Arial Black"/>
          <w:sz w:val="28"/>
          <w:szCs w:val="28"/>
        </w:rPr>
      </w:pPr>
    </w:p>
    <w:p w14:paraId="03CEC504" w14:textId="77777777" w:rsidR="0020758F" w:rsidRDefault="0020758F" w:rsidP="00F326E5">
      <w:pPr>
        <w:pStyle w:val="NoSpacing"/>
        <w:rPr>
          <w:rFonts w:ascii="Arial Black" w:hAnsi="Arial Black"/>
          <w:sz w:val="28"/>
          <w:szCs w:val="28"/>
        </w:rPr>
      </w:pPr>
    </w:p>
    <w:p w14:paraId="146984B3" w14:textId="40B8923B" w:rsidR="0020758F" w:rsidRDefault="0020758F" w:rsidP="00F326E5">
      <w:pPr>
        <w:pStyle w:val="NoSpacing"/>
        <w:rPr>
          <w:rFonts w:ascii="Arial Black" w:hAnsi="Arial Black"/>
          <w:sz w:val="28"/>
          <w:szCs w:val="28"/>
        </w:rPr>
      </w:pPr>
      <w:r>
        <w:rPr>
          <w:rFonts w:ascii="Arial Black" w:hAnsi="Arial Black"/>
          <w:sz w:val="28"/>
          <w:szCs w:val="28"/>
        </w:rPr>
        <w:t>3-23</w:t>
      </w:r>
    </w:p>
    <w:p w14:paraId="1E6F770F" w14:textId="77777777" w:rsidR="0020758F" w:rsidRPr="008900B0" w:rsidRDefault="0020758F" w:rsidP="0020758F">
      <w:pPr>
        <w:pStyle w:val="NormalWeb"/>
        <w:tabs>
          <w:tab w:val="left" w:pos="4200"/>
        </w:tabs>
        <w:rPr>
          <w:rFonts w:ascii="Arial Black" w:hAnsi="Arial Black"/>
          <w:sz w:val="28"/>
          <w:szCs w:val="28"/>
        </w:rPr>
      </w:pPr>
      <w:r w:rsidRPr="008900B0">
        <w:rPr>
          <w:rFonts w:ascii="Arial Black" w:hAnsi="Arial Black"/>
          <w:sz w:val="28"/>
          <w:szCs w:val="28"/>
        </w:rPr>
        <w:t xml:space="preserve">U.S. SUPREME COURT: </w:t>
      </w:r>
      <w:r>
        <w:rPr>
          <w:rFonts w:ascii="Arial Black" w:hAnsi="Arial Black"/>
          <w:sz w:val="28"/>
          <w:szCs w:val="28"/>
        </w:rPr>
        <w:t xml:space="preserve"> DACA PROGRAM MAY NOT BE TERMINATED UNTIL DHS FOLLOWS APA – 700,000 ALIENS</w:t>
      </w:r>
    </w:p>
    <w:p w14:paraId="353737F7" w14:textId="77777777" w:rsidR="0020758F" w:rsidRDefault="0020758F" w:rsidP="0020758F">
      <w:pPr>
        <w:pStyle w:val="NormalWeb"/>
      </w:pPr>
      <w:r>
        <w:rPr>
          <w:sz w:val="27"/>
          <w:szCs w:val="27"/>
        </w:rPr>
        <w:t xml:space="preserve">On June 18, 2020, in </w:t>
      </w:r>
      <w:r w:rsidRPr="008900B0">
        <w:rPr>
          <w:u w:val="single"/>
        </w:rPr>
        <w:t>Department of Homeland Security v. Regents of the University of California, et al.</w:t>
      </w:r>
      <w:r>
        <w:rPr>
          <w:sz w:val="27"/>
          <w:szCs w:val="27"/>
        </w:rPr>
        <w:t xml:space="preserve">, the U.S. Supreme Court held (5 to 4) in an opinion by Chief Justice John Roberts, that the Trump Administration has not complied with the Administrative Procedures Act [notice of planned action, administrative hearings] in terminating the 2012 U.S. Department of Homeland Security program, established by President Obama.  DACA [Deferred Action for Childhood Arrivals] has allowed 700,000 children of aliens to remain in the United States, request work authorization and be eligible for Social Security and Medicare.   Chief Justice Roberts wrote: “We do not decide whether DACA or its rescission are sound policies…. We address only whether the agency complied with the procedural requirement that it provide a reasoned explanation for its action. Here the agency failed to consider the conspicuous issues of whether to retain forbearance and what if anything to do about the hardship to DACA recipients. That dual failure raises doubts about whether the agency appreciated the scope of its discretion or exercised that discretion in a reasonable manner. The appropriate recourse is therefore to remand to DHS so that it may consider the problem </w:t>
      </w:r>
      <w:proofErr w:type="gramStart"/>
      <w:r>
        <w:rPr>
          <w:sz w:val="27"/>
          <w:szCs w:val="27"/>
        </w:rPr>
        <w:t>anew.”</w:t>
      </w:r>
      <w:proofErr w:type="gramEnd"/>
      <w:r w:rsidRPr="00120207">
        <w:t xml:space="preserve"> </w:t>
      </w:r>
      <w:hyperlink r:id="rId799" w:history="1">
        <w:r w:rsidRPr="0037669D">
          <w:rPr>
            <w:rStyle w:val="Hyperlink"/>
            <w:sz w:val="27"/>
            <w:szCs w:val="27"/>
          </w:rPr>
          <w:t>https://www.supremecourt.gov/opinions/19pdf/18-587_5ifl.pdf</w:t>
        </w:r>
      </w:hyperlink>
      <w:r>
        <w:rPr>
          <w:sz w:val="27"/>
          <w:szCs w:val="27"/>
        </w:rPr>
        <w:t xml:space="preserve"> </w:t>
      </w:r>
    </w:p>
    <w:p w14:paraId="2B5E8E50" w14:textId="77777777" w:rsidR="0020758F" w:rsidRDefault="0020758F" w:rsidP="0020758F">
      <w:pPr>
        <w:pStyle w:val="NormalWeb"/>
        <w:rPr>
          <w:b/>
          <w:bCs/>
        </w:rPr>
      </w:pPr>
      <w:r w:rsidRPr="00120207">
        <w:rPr>
          <w:b/>
          <w:bCs/>
        </w:rPr>
        <w:t>Legal Lessons Learned:</w:t>
      </w:r>
      <w:r>
        <w:rPr>
          <w:b/>
          <w:bCs/>
        </w:rPr>
        <w:t xml:space="preserve">  This is a very “hot topic” that may in the future again be reviewed by the U.S. Supreme Court. </w:t>
      </w:r>
    </w:p>
    <w:p w14:paraId="6586675B" w14:textId="77777777" w:rsidR="0020758F" w:rsidRDefault="0020758F" w:rsidP="0020758F">
      <w:pPr>
        <w:pStyle w:val="NormalWeb"/>
        <w:ind w:left="720"/>
      </w:pPr>
      <w:r w:rsidRPr="004F5401">
        <w:t xml:space="preserve">Note: </w:t>
      </w:r>
      <w:r>
        <w:t xml:space="preserve"> See June 18, </w:t>
      </w:r>
      <w:proofErr w:type="gramStart"/>
      <w:r>
        <w:t>2020</w:t>
      </w:r>
      <w:proofErr w:type="gramEnd"/>
      <w:r>
        <w:t xml:space="preserve"> DHS statement: </w:t>
      </w:r>
    </w:p>
    <w:tbl>
      <w:tblPr>
        <w:tblW w:w="0" w:type="auto"/>
        <w:tblCellSpacing w:w="15" w:type="dxa"/>
        <w:tblLook w:val="04A0" w:firstRow="1" w:lastRow="0" w:firstColumn="1" w:lastColumn="0" w:noHBand="0" w:noVBand="1"/>
      </w:tblPr>
      <w:tblGrid>
        <w:gridCol w:w="96"/>
      </w:tblGrid>
      <w:tr w:rsidR="0020758F" w14:paraId="2DC4FD56" w14:textId="77777777" w:rsidTr="0020758F">
        <w:trPr>
          <w:tblCellSpacing w:w="15" w:type="dxa"/>
        </w:trPr>
        <w:tc>
          <w:tcPr>
            <w:tcW w:w="0" w:type="auto"/>
            <w:tcMar>
              <w:top w:w="15" w:type="dxa"/>
              <w:left w:w="15" w:type="dxa"/>
              <w:bottom w:w="15" w:type="dxa"/>
              <w:right w:w="15" w:type="dxa"/>
            </w:tcMar>
            <w:vAlign w:val="center"/>
            <w:hideMark/>
          </w:tcPr>
          <w:p w14:paraId="7037F528" w14:textId="77777777" w:rsidR="0020758F" w:rsidRDefault="0020758F" w:rsidP="0020758F">
            <w:bookmarkStart w:id="142" w:name="gd_top"/>
          </w:p>
        </w:tc>
      </w:tr>
      <w:bookmarkEnd w:id="142"/>
    </w:tbl>
    <w:p w14:paraId="7937A52E" w14:textId="77777777" w:rsidR="0020758F" w:rsidRDefault="0020758F" w:rsidP="0020758F">
      <w:pPr>
        <w:rPr>
          <w:rFonts w:eastAsia="Times New Roman" w:cs="Calibri"/>
          <w:vanish/>
          <w:lang w:val="en"/>
        </w:rPr>
      </w:pPr>
    </w:p>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20758F" w14:paraId="6E5EAE02" w14:textId="77777777" w:rsidTr="0020758F">
        <w:trPr>
          <w:jc w:val="center"/>
        </w:trPr>
        <w:tc>
          <w:tcPr>
            <w:tcW w:w="5000" w:type="pct"/>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20758F" w14:paraId="64C728E2" w14:textId="77777777" w:rsidTr="0020758F">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0758F" w14:paraId="0FDAF4DB" w14:textId="77777777" w:rsidTr="0020758F">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20758F" w14:paraId="4CB81432" w14:textId="77777777" w:rsidTr="0020758F">
                          <w:trPr>
                            <w:jc w:val="center"/>
                          </w:trPr>
                          <w:tc>
                            <w:tcPr>
                              <w:tcW w:w="5000" w:type="pct"/>
                              <w:shd w:val="clear" w:color="auto" w:fill="FFFFFF"/>
                              <w:tcMar>
                                <w:top w:w="75" w:type="dxa"/>
                                <w:left w:w="75" w:type="dxa"/>
                                <w:bottom w:w="0" w:type="dxa"/>
                                <w:right w:w="75" w:type="dxa"/>
                              </w:tcMar>
                              <w:vAlign w:val="center"/>
                              <w:hideMark/>
                            </w:tcPr>
                            <w:p w14:paraId="66C8C6DA" w14:textId="77777777" w:rsidR="0020758F" w:rsidRDefault="0020758F" w:rsidP="0020758F">
                              <w:pPr>
                                <w:pStyle w:val="gdp"/>
                                <w:spacing w:before="150" w:beforeAutospacing="0" w:after="150" w:afterAutospacing="0"/>
                                <w:jc w:val="center"/>
                                <w:rPr>
                                  <w:rFonts w:ascii="Book Antiqua" w:hAnsi="Book Antiqua"/>
                                  <w:color w:val="000000"/>
                                  <w:sz w:val="23"/>
                                  <w:szCs w:val="23"/>
                                </w:rPr>
                              </w:pPr>
                              <w:r>
                                <w:rPr>
                                  <w:rFonts w:ascii="Book Antiqua" w:hAnsi="Book Antiqua"/>
                                  <w:color w:val="000000"/>
                                  <w:sz w:val="23"/>
                                  <w:szCs w:val="23"/>
                                </w:rPr>
                                <w:t>U.S. DEPARTMENT OF HOMELAND SECURITY</w:t>
                              </w:r>
                            </w:p>
                            <w:p w14:paraId="3F817DD3" w14:textId="77777777" w:rsidR="0020758F" w:rsidRDefault="0020758F" w:rsidP="0020758F">
                              <w:pPr>
                                <w:pStyle w:val="gdp"/>
                                <w:spacing w:before="150" w:beforeAutospacing="0" w:after="150" w:afterAutospacing="0"/>
                                <w:jc w:val="center"/>
                                <w:rPr>
                                  <w:rFonts w:ascii="Book Antiqua" w:hAnsi="Book Antiqua"/>
                                  <w:color w:val="000000"/>
                                  <w:sz w:val="23"/>
                                  <w:szCs w:val="23"/>
                                </w:rPr>
                              </w:pPr>
                              <w:r>
                                <w:rPr>
                                  <w:rFonts w:ascii="Book Antiqua" w:hAnsi="Book Antiqua"/>
                                  <w:color w:val="000000"/>
                                  <w:sz w:val="23"/>
                                  <w:szCs w:val="23"/>
                                </w:rPr>
                                <w:t>Office of Public Affairs</w:t>
                              </w:r>
                            </w:p>
                            <w:p w14:paraId="65C4DF51" w14:textId="77777777" w:rsidR="0020758F" w:rsidRDefault="00957E3A" w:rsidP="0020758F">
                              <w:pPr>
                                <w:jc w:val="center"/>
                                <w:rPr>
                                  <w:rFonts w:eastAsia="Times New Roman"/>
                                </w:rPr>
                              </w:pPr>
                              <w:r>
                                <w:rPr>
                                  <w:rFonts w:eastAsia="Times New Roman"/>
                                </w:rPr>
                                <w:pict w14:anchorId="4F131D79">
                                  <v:rect id="_x0000_i1025" style="width:468pt;height:1pt" o:hralign="center" o:hrstd="t" o:hr="t" fillcolor="#a0a0a0" stroked="f"/>
                                </w:pict>
                              </w:r>
                            </w:p>
                          </w:tc>
                        </w:tr>
                        <w:tr w:rsidR="0020758F" w14:paraId="0664FD2F" w14:textId="77777777" w:rsidTr="0020758F">
                          <w:trPr>
                            <w:jc w:val="center"/>
                          </w:trPr>
                          <w:tc>
                            <w:tcPr>
                              <w:tcW w:w="5000" w:type="pct"/>
                              <w:shd w:val="clear" w:color="auto" w:fill="FFFFFF"/>
                              <w:tcMar>
                                <w:top w:w="0" w:type="dxa"/>
                                <w:left w:w="75" w:type="dxa"/>
                                <w:bottom w:w="75" w:type="dxa"/>
                                <w:right w:w="75" w:type="dxa"/>
                              </w:tcMar>
                              <w:vAlign w:val="center"/>
                              <w:hideMark/>
                            </w:tcPr>
                            <w:p w14:paraId="4CEB9FF9" w14:textId="77777777" w:rsidR="0020758F" w:rsidRDefault="0020758F" w:rsidP="0020758F">
                              <w:pPr>
                                <w:pStyle w:val="NormalWeb"/>
                                <w:spacing w:before="0" w:beforeAutospacing="0" w:after="0" w:afterAutospacing="0"/>
                                <w:jc w:val="center"/>
                                <w:rPr>
                                  <w:rFonts w:eastAsiaTheme="minorHAnsi"/>
                                </w:rPr>
                              </w:pPr>
                              <w:r>
                                <w:rPr>
                                  <w:rStyle w:val="Strong"/>
                                </w:rPr>
                                <w:t xml:space="preserve">DHS Statement </w:t>
                              </w:r>
                              <w:proofErr w:type="gramStart"/>
                              <w:r>
                                <w:rPr>
                                  <w:rStyle w:val="Strong"/>
                                </w:rPr>
                                <w:t>On</w:t>
                              </w:r>
                              <w:proofErr w:type="gramEnd"/>
                              <w:r>
                                <w:rPr>
                                  <w:rStyle w:val="Strong"/>
                                </w:rPr>
                                <w:t xml:space="preserve"> Supreme Court Decision on DACA</w:t>
                              </w:r>
                            </w:p>
                          </w:tc>
                        </w:tr>
                        <w:tr w:rsidR="0020758F" w14:paraId="447CB144" w14:textId="77777777" w:rsidTr="0020758F">
                          <w:trPr>
                            <w:jc w:val="center"/>
                          </w:trPr>
                          <w:tc>
                            <w:tcPr>
                              <w:tcW w:w="5000" w:type="pct"/>
                              <w:shd w:val="clear" w:color="auto" w:fill="FFFFFF"/>
                              <w:tcMar>
                                <w:top w:w="75" w:type="dxa"/>
                                <w:left w:w="75" w:type="dxa"/>
                                <w:bottom w:w="75" w:type="dxa"/>
                                <w:right w:w="75" w:type="dxa"/>
                              </w:tcMar>
                              <w:vAlign w:val="center"/>
                              <w:hideMark/>
                            </w:tcPr>
                            <w:p w14:paraId="6B51B2DD" w14:textId="77777777" w:rsidR="0020758F" w:rsidRDefault="0020758F" w:rsidP="0020758F">
                              <w:pPr>
                                <w:pStyle w:val="NormalWeb"/>
                                <w:spacing w:before="0" w:beforeAutospacing="0" w:after="0" w:afterAutospacing="0"/>
                                <w:rPr>
                                  <w:rFonts w:ascii="Book Antiqua" w:hAnsi="Book Antiqua"/>
                                  <w:color w:val="000000"/>
                                  <w:sz w:val="23"/>
                                  <w:szCs w:val="23"/>
                                </w:rPr>
                              </w:pPr>
                              <w:r>
                                <w:rPr>
                                  <w:color w:val="000000"/>
                                </w:rPr>
                                <w:t>WASHINGTON- The Department of Homeland Security released the following statements regarding the Supreme Court decision on DACA.</w:t>
                              </w:r>
                            </w:p>
                            <w:p w14:paraId="3847AA5E" w14:textId="77777777" w:rsidR="0020758F" w:rsidRDefault="0020758F" w:rsidP="0020758F">
                              <w:pPr>
                                <w:pStyle w:val="NormalWeb"/>
                                <w:spacing w:before="0" w:beforeAutospacing="0" w:after="0" w:afterAutospacing="0"/>
                                <w:rPr>
                                  <w:rFonts w:ascii="Book Antiqua" w:hAnsi="Book Antiqua"/>
                                  <w:color w:val="000000"/>
                                  <w:sz w:val="23"/>
                                  <w:szCs w:val="23"/>
                                </w:rPr>
                              </w:pPr>
                              <w:r>
                                <w:rPr>
                                  <w:color w:val="000000"/>
                                </w:rPr>
                                <w:t> </w:t>
                              </w:r>
                            </w:p>
                            <w:p w14:paraId="305FA926" w14:textId="77777777" w:rsidR="0020758F" w:rsidRDefault="0020758F" w:rsidP="0020758F">
                              <w:pPr>
                                <w:pStyle w:val="NormalWeb"/>
                                <w:spacing w:before="0" w:beforeAutospacing="0" w:after="0" w:afterAutospacing="0"/>
                                <w:rPr>
                                  <w:rFonts w:ascii="Book Antiqua" w:hAnsi="Book Antiqua"/>
                                  <w:color w:val="000000"/>
                                  <w:sz w:val="23"/>
                                  <w:szCs w:val="23"/>
                                </w:rPr>
                              </w:pPr>
                              <w:r>
                                <w:rPr>
                                  <w:color w:val="000000"/>
                                </w:rPr>
                                <w:t xml:space="preserve">Acting Secretary Chad Wolf: “DACA recipients deserve closure and finality surrounding their status here in the U.S. Unfortunately, today’s Supreme Court decision fails to provide that certainty. The DACA program was created out of thin air and implemented illegally. The American people deserve to have the Nation’s laws faithfully executed as written by their representatives in Congress—not based on the arbitrary decisions of a past Administration. This ruling usurps the clear authority of the Executive Branch to end unlawful programs.” </w:t>
                              </w:r>
                            </w:p>
                            <w:p w14:paraId="60E8D7D7" w14:textId="77777777" w:rsidR="0020758F" w:rsidRDefault="0020758F" w:rsidP="0020758F">
                              <w:pPr>
                                <w:pStyle w:val="NormalWeb"/>
                                <w:spacing w:before="0" w:beforeAutospacing="0" w:after="0" w:afterAutospacing="0"/>
                                <w:rPr>
                                  <w:rFonts w:ascii="Book Antiqua" w:hAnsi="Book Antiqua"/>
                                  <w:color w:val="000000"/>
                                  <w:sz w:val="23"/>
                                  <w:szCs w:val="23"/>
                                </w:rPr>
                              </w:pPr>
                              <w:r>
                                <w:rPr>
                                  <w:color w:val="000000"/>
                                </w:rPr>
                                <w:t> </w:t>
                              </w:r>
                            </w:p>
                            <w:p w14:paraId="5FAD466B" w14:textId="77777777" w:rsidR="0020758F" w:rsidRDefault="0020758F" w:rsidP="0020758F">
                              <w:pPr>
                                <w:pStyle w:val="NormalWeb"/>
                                <w:spacing w:before="0" w:beforeAutospacing="0" w:after="0" w:afterAutospacing="0"/>
                                <w:rPr>
                                  <w:color w:val="000000"/>
                                </w:rPr>
                              </w:pPr>
                              <w:r>
                                <w:rPr>
                                  <w:color w:val="000000"/>
                                </w:rPr>
                                <w:t xml:space="preserve">Acting Deputy Secretary Ken Cuccinelli: “The Supreme Court’s decision is an affront to the rule of law and gives </w:t>
                              </w:r>
                              <w:proofErr w:type="gramStart"/>
                              <w:r>
                                <w:rPr>
                                  <w:color w:val="000000"/>
                                </w:rPr>
                                <w:t>Presidents</w:t>
                              </w:r>
                              <w:proofErr w:type="gramEnd"/>
                              <w:r>
                                <w:rPr>
                                  <w:color w:val="000000"/>
                                </w:rPr>
                                <w:t xml:space="preserve"> power to extend discretionary policies into future Administrations. No Justice will say that the DACA program is lawful, and that should be enough reason to end it.  Justice Clarence Thomas had it right in dissent: ‘Such timidity [by SCOTUS] forsakes the Court’s duty to apply the law according to neutral principles and the ripple effects of the majority’s error will be felt throughout our system of self-government.’”</w:t>
                              </w:r>
                            </w:p>
                            <w:p w14:paraId="1573659E" w14:textId="77777777" w:rsidR="0020758F" w:rsidRDefault="0020758F" w:rsidP="0020758F">
                              <w:pPr>
                                <w:pStyle w:val="NormalWeb"/>
                                <w:spacing w:before="0" w:beforeAutospacing="0" w:after="0" w:afterAutospacing="0"/>
                                <w:rPr>
                                  <w:color w:val="000000"/>
                                </w:rPr>
                              </w:pPr>
                            </w:p>
                            <w:p w14:paraId="070E23B6" w14:textId="77777777" w:rsidR="0020758F" w:rsidRDefault="0020758F" w:rsidP="0020758F">
                              <w:pPr>
                                <w:pStyle w:val="NormalWeb"/>
                                <w:spacing w:before="0" w:beforeAutospacing="0" w:after="0" w:afterAutospacing="0"/>
                                <w:rPr>
                                  <w:rFonts w:ascii="Book Antiqua" w:hAnsi="Book Antiqua"/>
                                  <w:color w:val="000000"/>
                                  <w:sz w:val="23"/>
                                  <w:szCs w:val="23"/>
                                </w:rPr>
                              </w:pPr>
                              <w:hyperlink r:id="rId800" w:history="1">
                                <w:r w:rsidRPr="0037669D">
                                  <w:rPr>
                                    <w:rStyle w:val="Hyperlink"/>
                                  </w:rPr>
                                  <w:t>https://www.dhs.gov/news/2020/06/18/dhs-statement-supreme-court-decision-daca</w:t>
                                </w:r>
                              </w:hyperlink>
                            </w:p>
                          </w:tc>
                        </w:tr>
                        <w:tr w:rsidR="0020758F" w14:paraId="43FD253C" w14:textId="77777777" w:rsidTr="0020758F">
                          <w:trPr>
                            <w:jc w:val="center"/>
                          </w:trPr>
                          <w:tc>
                            <w:tcPr>
                              <w:tcW w:w="5000" w:type="pct"/>
                              <w:shd w:val="clear" w:color="auto" w:fill="FFFFFF"/>
                              <w:vAlign w:val="center"/>
                              <w:hideMark/>
                            </w:tcPr>
                            <w:p w14:paraId="7EA967B9" w14:textId="77777777" w:rsidR="0020758F" w:rsidRDefault="0020758F" w:rsidP="0020758F">
                              <w:pPr>
                                <w:pStyle w:val="gdp"/>
                                <w:spacing w:before="150" w:beforeAutospacing="0" w:after="150" w:afterAutospacing="0"/>
                                <w:jc w:val="center"/>
                                <w:rPr>
                                  <w:rFonts w:ascii="Book Antiqua" w:hAnsi="Book Antiqua"/>
                                  <w:sz w:val="23"/>
                                  <w:szCs w:val="23"/>
                                </w:rPr>
                              </w:pPr>
                            </w:p>
                          </w:tc>
                        </w:tr>
                      </w:tbl>
                      <w:p w14:paraId="618A408B" w14:textId="77777777" w:rsidR="0020758F" w:rsidRDefault="0020758F" w:rsidP="0020758F">
                        <w:pPr>
                          <w:jc w:val="center"/>
                          <w:rPr>
                            <w:rFonts w:ascii="Times New Roman" w:eastAsia="Times New Roman" w:hAnsi="Times New Roman"/>
                            <w:sz w:val="20"/>
                            <w:szCs w:val="20"/>
                          </w:rPr>
                        </w:pPr>
                      </w:p>
                    </w:tc>
                  </w:tr>
                </w:tbl>
                <w:p w14:paraId="5DF03FA9" w14:textId="77777777" w:rsidR="0020758F" w:rsidRDefault="0020758F" w:rsidP="0020758F">
                  <w:pPr>
                    <w:jc w:val="center"/>
                    <w:rPr>
                      <w:rFonts w:ascii="Times New Roman" w:eastAsia="Times New Roman" w:hAnsi="Times New Roman"/>
                      <w:sz w:val="20"/>
                      <w:szCs w:val="20"/>
                    </w:rPr>
                  </w:pPr>
                </w:p>
              </w:tc>
            </w:tr>
          </w:tbl>
          <w:p w14:paraId="477854EC" w14:textId="77777777" w:rsidR="0020758F" w:rsidRDefault="0020758F" w:rsidP="0020758F">
            <w:pPr>
              <w:jc w:val="center"/>
              <w:rPr>
                <w:rFonts w:ascii="Times New Roman" w:eastAsia="Times New Roman" w:hAnsi="Times New Roman"/>
                <w:sz w:val="20"/>
                <w:szCs w:val="20"/>
              </w:rPr>
            </w:pPr>
          </w:p>
        </w:tc>
      </w:tr>
    </w:tbl>
    <w:p w14:paraId="423FA37B" w14:textId="77777777" w:rsidR="0020758F" w:rsidRDefault="0020758F" w:rsidP="00F326E5">
      <w:pPr>
        <w:pStyle w:val="NoSpacing"/>
        <w:rPr>
          <w:rFonts w:ascii="Arial Black" w:hAnsi="Arial Black"/>
          <w:sz w:val="28"/>
          <w:szCs w:val="28"/>
        </w:rPr>
      </w:pPr>
    </w:p>
    <w:p w14:paraId="4044D1AE" w14:textId="77777777" w:rsidR="0020758F" w:rsidRDefault="0020758F" w:rsidP="00F326E5">
      <w:pPr>
        <w:pStyle w:val="NoSpacing"/>
        <w:rPr>
          <w:rFonts w:ascii="Arial Black" w:hAnsi="Arial Black"/>
          <w:sz w:val="28"/>
          <w:szCs w:val="28"/>
        </w:rPr>
      </w:pPr>
    </w:p>
    <w:p w14:paraId="746802DD" w14:textId="77777777" w:rsidR="0020758F" w:rsidRDefault="0020758F" w:rsidP="00F326E5">
      <w:pPr>
        <w:pStyle w:val="NoSpacing"/>
        <w:rPr>
          <w:rFonts w:ascii="Arial Black" w:hAnsi="Arial Black"/>
          <w:sz w:val="28"/>
          <w:szCs w:val="28"/>
        </w:rPr>
      </w:pPr>
    </w:p>
    <w:p w14:paraId="7F21F478" w14:textId="77777777" w:rsidR="0020758F" w:rsidRDefault="0020758F" w:rsidP="00F326E5">
      <w:pPr>
        <w:pStyle w:val="NoSpacing"/>
        <w:rPr>
          <w:rFonts w:ascii="Arial Black" w:hAnsi="Arial Black"/>
          <w:sz w:val="28"/>
          <w:szCs w:val="28"/>
        </w:rPr>
      </w:pPr>
    </w:p>
    <w:p w14:paraId="7A1B8250" w14:textId="5542CF92" w:rsidR="005F0E6D" w:rsidRDefault="005F0E6D" w:rsidP="00F326E5">
      <w:pPr>
        <w:pStyle w:val="NoSpacing"/>
        <w:rPr>
          <w:rFonts w:ascii="Arial Black" w:hAnsi="Arial Black"/>
          <w:sz w:val="28"/>
          <w:szCs w:val="28"/>
        </w:rPr>
      </w:pPr>
      <w:r>
        <w:rPr>
          <w:rFonts w:ascii="Arial Black" w:hAnsi="Arial Black"/>
          <w:sz w:val="28"/>
          <w:szCs w:val="28"/>
        </w:rPr>
        <w:t>3-22</w:t>
      </w:r>
    </w:p>
    <w:p w14:paraId="51F0840B" w14:textId="25D069EA" w:rsidR="005F0E6D" w:rsidRDefault="005F0E6D" w:rsidP="00F326E5">
      <w:pPr>
        <w:pStyle w:val="NoSpacing"/>
        <w:rPr>
          <w:rFonts w:ascii="Arial Black" w:hAnsi="Arial Black"/>
          <w:sz w:val="28"/>
          <w:szCs w:val="28"/>
        </w:rPr>
      </w:pPr>
    </w:p>
    <w:p w14:paraId="7CDAB09D" w14:textId="77777777" w:rsidR="005F0E6D" w:rsidRPr="00F366B7" w:rsidRDefault="005F0E6D" w:rsidP="005F0E6D">
      <w:pPr>
        <w:pStyle w:val="NoSpacing"/>
        <w:rPr>
          <w:rFonts w:ascii="Arial Black" w:hAnsi="Arial Black"/>
          <w:b/>
          <w:bCs/>
          <w:sz w:val="28"/>
          <w:szCs w:val="28"/>
        </w:rPr>
      </w:pPr>
      <w:r w:rsidRPr="00F366B7">
        <w:rPr>
          <w:rFonts w:ascii="Arial Black" w:hAnsi="Arial Black"/>
          <w:bCs/>
          <w:sz w:val="28"/>
          <w:szCs w:val="28"/>
        </w:rPr>
        <w:t>NY:</w:t>
      </w:r>
      <w:r>
        <w:rPr>
          <w:rFonts w:ascii="Arial Black" w:hAnsi="Arial Black"/>
          <w:bCs/>
          <w:sz w:val="28"/>
          <w:szCs w:val="28"/>
        </w:rPr>
        <w:t xml:space="preserve"> TERRORIST – FINGERPRINTS ON BOMB’S PACKING TAPE – CROSS EXAM. FBI EXAMINER NOT ON SPAIN CASE</w:t>
      </w:r>
    </w:p>
    <w:p w14:paraId="6CB67344" w14:textId="77777777" w:rsidR="005F0E6D" w:rsidRPr="00F366B7" w:rsidRDefault="005F0E6D" w:rsidP="005F0E6D">
      <w:pPr>
        <w:pStyle w:val="NoSpacing"/>
        <w:ind w:left="720"/>
        <w:rPr>
          <w:rFonts w:ascii="NYArial Black" w:hAnsi="NYArial Black"/>
          <w:b/>
          <w:bCs/>
          <w:sz w:val="28"/>
          <w:szCs w:val="28"/>
        </w:rPr>
      </w:pPr>
    </w:p>
    <w:p w14:paraId="53EF50B2" w14:textId="23365003" w:rsidR="005F0E6D" w:rsidRDefault="005F0E6D" w:rsidP="005F0E6D">
      <w:pPr>
        <w:pStyle w:val="NoSpacing"/>
        <w:rPr>
          <w:rFonts w:ascii="Times New Roman" w:hAnsi="Times New Roman"/>
          <w:bCs/>
          <w:sz w:val="24"/>
          <w:szCs w:val="24"/>
        </w:rPr>
      </w:pPr>
      <w:r w:rsidRPr="000A5D76">
        <w:rPr>
          <w:rFonts w:ascii="Times New Roman" w:hAnsi="Times New Roman"/>
          <w:bCs/>
          <w:sz w:val="24"/>
          <w:szCs w:val="24"/>
        </w:rPr>
        <w:t xml:space="preserve">On April 16, 2020, in </w:t>
      </w:r>
      <w:r w:rsidRPr="000A5D76">
        <w:rPr>
          <w:rFonts w:ascii="Times New Roman" w:hAnsi="Times New Roman"/>
          <w:bCs/>
          <w:sz w:val="24"/>
          <w:szCs w:val="24"/>
          <w:u w:val="single"/>
        </w:rPr>
        <w:t>United States of America v. Muhanad Mahmoud Al Farekh</w:t>
      </w:r>
      <w:r w:rsidRPr="000A5D76">
        <w:rPr>
          <w:rFonts w:ascii="Times New Roman" w:hAnsi="Times New Roman"/>
          <w:bCs/>
          <w:sz w:val="24"/>
          <w:szCs w:val="24"/>
        </w:rPr>
        <w:t xml:space="preserve">, the U.S. Court of Appeals for Second Circuit (New York) held (3 to 0) that trial judge properly reviewed FBI classified documents </w:t>
      </w:r>
      <w:r w:rsidRPr="000A5D76">
        <w:rPr>
          <w:rFonts w:ascii="Times New Roman" w:hAnsi="Times New Roman"/>
          <w:bCs/>
          <w:i/>
          <w:iCs/>
          <w:sz w:val="24"/>
          <w:szCs w:val="24"/>
        </w:rPr>
        <w:t xml:space="preserve">ex </w:t>
      </w:r>
      <w:proofErr w:type="spellStart"/>
      <w:r w:rsidRPr="000A5D76">
        <w:rPr>
          <w:rFonts w:ascii="Times New Roman" w:hAnsi="Times New Roman"/>
          <w:bCs/>
          <w:i/>
          <w:iCs/>
          <w:sz w:val="24"/>
          <w:szCs w:val="24"/>
        </w:rPr>
        <w:t>parte</w:t>
      </w:r>
      <w:proofErr w:type="spellEnd"/>
      <w:r w:rsidRPr="000A5D76">
        <w:rPr>
          <w:rFonts w:ascii="Times New Roman" w:hAnsi="Times New Roman"/>
          <w:bCs/>
          <w:sz w:val="24"/>
          <w:szCs w:val="24"/>
        </w:rPr>
        <w:t xml:space="preserve"> (without defense counsel), and properly prohibited defense counsel to cross-examination of FBI fingerprint examiner about another FBI fingerprint case 16 years earlier involving attacks on commuter trains in Madrid, Spain.   [Note: In </w:t>
      </w:r>
      <w:proofErr w:type="gramStart"/>
      <w:r w:rsidRPr="000A5D76">
        <w:rPr>
          <w:rFonts w:ascii="Times New Roman" w:hAnsi="Times New Roman"/>
          <w:bCs/>
          <w:sz w:val="24"/>
          <w:szCs w:val="24"/>
        </w:rPr>
        <w:t>May,</w:t>
      </w:r>
      <w:proofErr w:type="gramEnd"/>
      <w:r w:rsidRPr="000A5D76">
        <w:rPr>
          <w:rFonts w:ascii="Times New Roman" w:hAnsi="Times New Roman"/>
          <w:bCs/>
          <w:sz w:val="24"/>
          <w:szCs w:val="24"/>
        </w:rPr>
        <w:t xml:space="preserve"> 2004, the FBI arrested Brandon Mayfield, </w:t>
      </w:r>
      <w:proofErr w:type="gramStart"/>
      <w:r w:rsidRPr="000A5D76">
        <w:rPr>
          <w:rFonts w:ascii="Times New Roman" w:hAnsi="Times New Roman"/>
          <w:bCs/>
          <w:sz w:val="24"/>
          <w:szCs w:val="24"/>
        </w:rPr>
        <w:t>a</w:t>
      </w:r>
      <w:proofErr w:type="gramEnd"/>
      <w:r w:rsidRPr="000A5D76">
        <w:rPr>
          <w:rFonts w:ascii="Times New Roman" w:hAnsi="Times New Roman"/>
          <w:bCs/>
          <w:sz w:val="24"/>
          <w:szCs w:val="24"/>
        </w:rPr>
        <w:t xml:space="preserve"> Oregon attorney, as a material witness in an investigation of the terrorist attacks on commuter trains in Madrid, Spain in </w:t>
      </w:r>
      <w:proofErr w:type="gramStart"/>
      <w:r w:rsidRPr="000A5D76">
        <w:rPr>
          <w:rFonts w:ascii="Times New Roman" w:hAnsi="Times New Roman"/>
          <w:bCs/>
          <w:sz w:val="24"/>
          <w:szCs w:val="24"/>
        </w:rPr>
        <w:t>March,</w:t>
      </w:r>
      <w:proofErr w:type="gramEnd"/>
      <w:r w:rsidRPr="000A5D76">
        <w:rPr>
          <w:rFonts w:ascii="Times New Roman" w:hAnsi="Times New Roman"/>
          <w:bCs/>
          <w:sz w:val="24"/>
          <w:szCs w:val="24"/>
        </w:rPr>
        <w:t xml:space="preserve"> 2004.  The FBI Laboratory </w:t>
      </w:r>
    </w:p>
    <w:p w14:paraId="1EF7A63E" w14:textId="77777777" w:rsidR="005F0E6D" w:rsidRPr="000A5D76" w:rsidRDefault="005F0E6D" w:rsidP="005F0E6D">
      <w:pPr>
        <w:pStyle w:val="NoSpacing"/>
        <w:rPr>
          <w:rFonts w:ascii="Times New Roman" w:hAnsi="Times New Roman"/>
          <w:b/>
          <w:bCs/>
          <w:sz w:val="24"/>
          <w:szCs w:val="24"/>
        </w:rPr>
      </w:pPr>
      <w:proofErr w:type="gramStart"/>
      <w:r w:rsidRPr="000A5D76">
        <w:rPr>
          <w:rFonts w:ascii="Times New Roman" w:hAnsi="Times New Roman"/>
          <w:bCs/>
          <w:sz w:val="24"/>
          <w:szCs w:val="24"/>
        </w:rPr>
        <w:t>identified Mayfield’s</w:t>
      </w:r>
      <w:proofErr w:type="gramEnd"/>
      <w:r w:rsidRPr="000A5D76">
        <w:rPr>
          <w:rFonts w:ascii="Times New Roman" w:hAnsi="Times New Roman"/>
          <w:bCs/>
          <w:sz w:val="24"/>
          <w:szCs w:val="24"/>
        </w:rPr>
        <w:t xml:space="preserve"> </w:t>
      </w:r>
      <w:proofErr w:type="gramStart"/>
      <w:r w:rsidRPr="000A5D76">
        <w:rPr>
          <w:rFonts w:ascii="Times New Roman" w:hAnsi="Times New Roman"/>
          <w:bCs/>
          <w:sz w:val="24"/>
          <w:szCs w:val="24"/>
        </w:rPr>
        <w:t>fingerprint</w:t>
      </w:r>
      <w:proofErr w:type="gramEnd"/>
      <w:r w:rsidRPr="000A5D76">
        <w:rPr>
          <w:rFonts w:ascii="Times New Roman" w:hAnsi="Times New Roman"/>
          <w:bCs/>
          <w:sz w:val="24"/>
          <w:szCs w:val="24"/>
        </w:rPr>
        <w:t xml:space="preserve"> on a bag of detonators in Madrid.  Two weeks after Mayfield’s arrest, the Spanish National Police identified an Algerian as the source of the fingerprint, and Mayfield was released from custody.]</w:t>
      </w:r>
    </w:p>
    <w:p w14:paraId="1DB14961" w14:textId="77777777" w:rsidR="005F0E6D" w:rsidRPr="000A5D76" w:rsidRDefault="005F0E6D" w:rsidP="005F0E6D">
      <w:pPr>
        <w:pStyle w:val="NoSpacing"/>
        <w:ind w:left="720"/>
        <w:rPr>
          <w:rFonts w:ascii="Times New Roman" w:hAnsi="Times New Roman"/>
          <w:b/>
          <w:bCs/>
          <w:sz w:val="24"/>
          <w:szCs w:val="24"/>
        </w:rPr>
      </w:pPr>
    </w:p>
    <w:p w14:paraId="477C0BBA" w14:textId="3558D233" w:rsidR="005F0E6D" w:rsidRDefault="005F0E6D" w:rsidP="005F0E6D">
      <w:pPr>
        <w:pStyle w:val="NoSpacing"/>
        <w:ind w:left="720"/>
        <w:rPr>
          <w:rFonts w:ascii="Arial Black" w:hAnsi="Arial Black"/>
          <w:sz w:val="28"/>
          <w:szCs w:val="28"/>
        </w:rPr>
      </w:pPr>
      <w:r w:rsidRPr="000A5D76">
        <w:rPr>
          <w:rFonts w:ascii="Times New Roman" w:hAnsi="Times New Roman"/>
          <w:bCs/>
          <w:sz w:val="24"/>
          <w:szCs w:val="24"/>
        </w:rPr>
        <w:t>“[T]he District Court did not preclude Al-</w:t>
      </w:r>
      <w:proofErr w:type="spellStart"/>
      <w:r w:rsidRPr="000A5D76">
        <w:rPr>
          <w:rFonts w:ascii="Times New Roman" w:hAnsi="Times New Roman"/>
          <w:bCs/>
          <w:sz w:val="24"/>
          <w:szCs w:val="24"/>
        </w:rPr>
        <w:t>Farekh</w:t>
      </w:r>
      <w:proofErr w:type="spellEnd"/>
      <w:r w:rsidRPr="000A5D76">
        <w:rPr>
          <w:rFonts w:ascii="Times New Roman" w:hAnsi="Times New Roman"/>
          <w:bCs/>
          <w:sz w:val="24"/>
          <w:szCs w:val="24"/>
        </w:rPr>
        <w:t xml:space="preserve"> from highlighting the possible subjectivity of, and potential flaws in, fingerprint evidence through his cross-examination of Sibley. </w:t>
      </w:r>
      <w:proofErr w:type="gramStart"/>
      <w:r w:rsidRPr="000A5D76">
        <w:rPr>
          <w:rFonts w:ascii="Times New Roman" w:hAnsi="Times New Roman"/>
          <w:bCs/>
          <w:sz w:val="24"/>
          <w:szCs w:val="24"/>
        </w:rPr>
        <w:t>To</w:t>
      </w:r>
      <w:proofErr w:type="gramEnd"/>
      <w:r w:rsidRPr="000A5D76">
        <w:rPr>
          <w:rFonts w:ascii="Times New Roman" w:hAnsi="Times New Roman"/>
          <w:bCs/>
          <w:sz w:val="24"/>
          <w:szCs w:val="24"/>
        </w:rPr>
        <w:t xml:space="preserve"> the contrary, Al-</w:t>
      </w:r>
      <w:proofErr w:type="spellStart"/>
      <w:r w:rsidRPr="000A5D76">
        <w:rPr>
          <w:rFonts w:ascii="Times New Roman" w:hAnsi="Times New Roman"/>
          <w:bCs/>
          <w:sz w:val="24"/>
          <w:szCs w:val="24"/>
        </w:rPr>
        <w:t>Farekh</w:t>
      </w:r>
      <w:proofErr w:type="spellEnd"/>
      <w:r w:rsidRPr="000A5D76">
        <w:rPr>
          <w:rFonts w:ascii="Times New Roman" w:hAnsi="Times New Roman"/>
          <w:bCs/>
          <w:sz w:val="24"/>
          <w:szCs w:val="24"/>
        </w:rPr>
        <w:t xml:space="preserve"> had the opportunity to do just that. Sibley testified, for example, about the ‘level of subjectivity in latent print comparisons’ and about the potential for mistakes by examiners in making false positive identifications. Other than being unable to rely on the Mayfield case and the report of the Department of Justice’s Office of Inspector General prepared on that case, Al-</w:t>
      </w:r>
      <w:proofErr w:type="spellStart"/>
      <w:r w:rsidRPr="000A5D76">
        <w:rPr>
          <w:rFonts w:ascii="Times New Roman" w:hAnsi="Times New Roman"/>
          <w:bCs/>
          <w:sz w:val="24"/>
          <w:szCs w:val="24"/>
        </w:rPr>
        <w:t>Farekh</w:t>
      </w:r>
      <w:proofErr w:type="spellEnd"/>
      <w:r w:rsidRPr="000A5D76">
        <w:rPr>
          <w:rFonts w:ascii="Times New Roman" w:hAnsi="Times New Roman"/>
          <w:bCs/>
          <w:sz w:val="24"/>
          <w:szCs w:val="24"/>
        </w:rPr>
        <w:t xml:space="preserve"> was free to attack Sibley’s methodology and fingerprint examinations as a type of evidence.” </w:t>
      </w:r>
      <w:hyperlink r:id="rId801" w:anchor="xml=http://www.ca2.uscourts.gov/decisions/isysquery/d136f88b-cd40-4720-ac80-979ab5d9e37d/2/hilite/" w:history="1">
        <w:r w:rsidRPr="000A5D76">
          <w:rPr>
            <w:rStyle w:val="Hyperlink"/>
            <w:rFonts w:ascii="Times New Roman" w:hAnsi="Times New Roman"/>
            <w:b/>
            <w:sz w:val="24"/>
            <w:szCs w:val="24"/>
          </w:rPr>
          <w:t>http://www.ca2.uscourts.gov/decisions/isysquery/d136f88b-cd40-4720-ac80-979ab5d9e37d/2/doc/18-943_opn.pdf#xml=http://www.ca2.uscourts.gov/decisions/isysquery/d136f88b-cd40-4720-ac80-979ab5d9e37d/2/hilite/</w:t>
        </w:r>
      </w:hyperlink>
    </w:p>
    <w:p w14:paraId="7A34C34C" w14:textId="73447424" w:rsidR="005F0E6D" w:rsidRDefault="005F0E6D" w:rsidP="00F326E5">
      <w:pPr>
        <w:pStyle w:val="NoSpacing"/>
        <w:rPr>
          <w:rFonts w:ascii="Arial Black" w:hAnsi="Arial Black"/>
          <w:sz w:val="28"/>
          <w:szCs w:val="28"/>
        </w:rPr>
      </w:pPr>
    </w:p>
    <w:p w14:paraId="4FC37C09" w14:textId="77777777" w:rsidR="005F0E6D" w:rsidRPr="000A5D76" w:rsidRDefault="005F0E6D" w:rsidP="005F0E6D">
      <w:pPr>
        <w:pStyle w:val="NoSpacing"/>
        <w:rPr>
          <w:rFonts w:ascii="Times New Roman" w:hAnsi="Times New Roman"/>
          <w:b/>
          <w:bCs/>
          <w:sz w:val="24"/>
          <w:szCs w:val="24"/>
        </w:rPr>
      </w:pPr>
      <w:bookmarkStart w:id="143" w:name="_Hlk40509099"/>
      <w:r w:rsidRPr="000A5D76">
        <w:rPr>
          <w:rFonts w:ascii="Times New Roman" w:hAnsi="Times New Roman"/>
          <w:b/>
          <w:bCs/>
          <w:sz w:val="24"/>
          <w:szCs w:val="24"/>
        </w:rPr>
        <w:t>Legal Lessons Learned:  Congress enacted the Classified Information Procedures Act to authorize federal judges to protect from public disclosure classified information. Regarding fingerprint examination, defense counsel may vigorously cross-exam expert witnesses, but not on a mistake by other FBI examiners that occurred 16 years prior.</w:t>
      </w:r>
    </w:p>
    <w:p w14:paraId="197A4BA0" w14:textId="77777777" w:rsidR="005F0E6D" w:rsidRPr="000A5D76" w:rsidRDefault="005F0E6D" w:rsidP="005F0E6D">
      <w:pPr>
        <w:pStyle w:val="NoSpacing"/>
        <w:rPr>
          <w:rFonts w:ascii="Times New Roman" w:hAnsi="Times New Roman"/>
          <w:sz w:val="24"/>
          <w:szCs w:val="24"/>
        </w:rPr>
      </w:pPr>
    </w:p>
    <w:p w14:paraId="03B3F140" w14:textId="77777777" w:rsidR="005F0E6D" w:rsidRPr="000A5D76" w:rsidRDefault="005F0E6D" w:rsidP="005F0E6D">
      <w:pPr>
        <w:pStyle w:val="NoSpacing"/>
        <w:ind w:left="720"/>
        <w:rPr>
          <w:rFonts w:ascii="Times New Roman" w:hAnsi="Times New Roman"/>
          <w:b/>
          <w:bCs/>
          <w:sz w:val="24"/>
          <w:szCs w:val="24"/>
        </w:rPr>
      </w:pPr>
      <w:r w:rsidRPr="000A5D76">
        <w:rPr>
          <w:rFonts w:ascii="Times New Roman" w:hAnsi="Times New Roman"/>
          <w:bCs/>
          <w:sz w:val="24"/>
          <w:szCs w:val="24"/>
        </w:rPr>
        <w:t xml:space="preserve">Note:  See  </w:t>
      </w:r>
      <w:proofErr w:type="spellStart"/>
      <w:r w:rsidRPr="000A5D76">
        <w:rPr>
          <w:rFonts w:ascii="Times New Roman" w:hAnsi="Times New Roman"/>
          <w:bCs/>
          <w:sz w:val="24"/>
          <w:szCs w:val="24"/>
        </w:rPr>
        <w:t>DoJ</w:t>
      </w:r>
      <w:proofErr w:type="spellEnd"/>
      <w:r w:rsidRPr="000A5D76">
        <w:rPr>
          <w:rFonts w:ascii="Times New Roman" w:hAnsi="Times New Roman"/>
          <w:bCs/>
          <w:sz w:val="24"/>
          <w:szCs w:val="24"/>
        </w:rPr>
        <w:t xml:space="preserve">, Inspector General report on the Spanish investigation: </w:t>
      </w:r>
      <w:hyperlink r:id="rId802" w:history="1">
        <w:r w:rsidRPr="000A5D76">
          <w:rPr>
            <w:rStyle w:val="Hyperlink"/>
            <w:rFonts w:ascii="Times New Roman" w:hAnsi="Times New Roman"/>
            <w:b/>
            <w:sz w:val="24"/>
            <w:szCs w:val="24"/>
          </w:rPr>
          <w:t>https://oig.justice.gov/special/s0601/final.pdf</w:t>
        </w:r>
      </w:hyperlink>
      <w:r w:rsidRPr="000A5D76">
        <w:rPr>
          <w:rFonts w:ascii="Times New Roman" w:hAnsi="Times New Roman"/>
          <w:bCs/>
          <w:sz w:val="24"/>
          <w:szCs w:val="24"/>
        </w:rPr>
        <w:t xml:space="preserve"> </w:t>
      </w:r>
    </w:p>
    <w:bookmarkEnd w:id="143"/>
    <w:p w14:paraId="293AD99A" w14:textId="77777777" w:rsidR="005F0E6D" w:rsidRPr="000A5D76" w:rsidRDefault="005F0E6D" w:rsidP="005F0E6D">
      <w:pPr>
        <w:pStyle w:val="NoSpacing"/>
        <w:rPr>
          <w:rFonts w:ascii="Times New Roman" w:hAnsi="Times New Roman"/>
          <w:sz w:val="24"/>
          <w:szCs w:val="24"/>
        </w:rPr>
      </w:pPr>
    </w:p>
    <w:p w14:paraId="24286BB0" w14:textId="3DB7F3EA" w:rsidR="005F0E6D" w:rsidRDefault="005F0E6D" w:rsidP="00F326E5">
      <w:pPr>
        <w:pStyle w:val="NoSpacing"/>
        <w:rPr>
          <w:rFonts w:ascii="Arial Black" w:hAnsi="Arial Black"/>
          <w:sz w:val="28"/>
          <w:szCs w:val="28"/>
        </w:rPr>
      </w:pPr>
    </w:p>
    <w:p w14:paraId="55151B98" w14:textId="77777777" w:rsidR="005F0E6D" w:rsidRDefault="005F0E6D" w:rsidP="00F326E5">
      <w:pPr>
        <w:pStyle w:val="NoSpacing"/>
        <w:rPr>
          <w:rFonts w:ascii="Arial Black" w:hAnsi="Arial Black"/>
          <w:sz w:val="28"/>
          <w:szCs w:val="28"/>
        </w:rPr>
      </w:pPr>
    </w:p>
    <w:p w14:paraId="5BD6C40F" w14:textId="130677F6" w:rsidR="005F0E6D" w:rsidRDefault="005F0E6D" w:rsidP="00F326E5">
      <w:pPr>
        <w:pStyle w:val="NoSpacing"/>
        <w:rPr>
          <w:rFonts w:ascii="Arial Black" w:hAnsi="Arial Black"/>
          <w:sz w:val="28"/>
          <w:szCs w:val="28"/>
        </w:rPr>
      </w:pPr>
      <w:r>
        <w:rPr>
          <w:rFonts w:ascii="Arial Black" w:hAnsi="Arial Black"/>
          <w:sz w:val="28"/>
          <w:szCs w:val="28"/>
        </w:rPr>
        <w:t>3-21</w:t>
      </w:r>
    </w:p>
    <w:p w14:paraId="66090080" w14:textId="026526EA" w:rsidR="005F0E6D" w:rsidRDefault="005F0E6D" w:rsidP="00F326E5">
      <w:pPr>
        <w:pStyle w:val="NoSpacing"/>
        <w:rPr>
          <w:rFonts w:ascii="Arial Black" w:hAnsi="Arial Black"/>
          <w:sz w:val="28"/>
          <w:szCs w:val="28"/>
        </w:rPr>
      </w:pPr>
    </w:p>
    <w:p w14:paraId="7A721792" w14:textId="77777777" w:rsidR="005F0E6D" w:rsidRPr="00817615" w:rsidRDefault="005F0E6D" w:rsidP="005F0E6D">
      <w:pPr>
        <w:pStyle w:val="NoSpacing"/>
        <w:rPr>
          <w:rFonts w:ascii="Arial Black" w:hAnsi="Arial Black"/>
          <w:b/>
          <w:bCs/>
          <w:sz w:val="28"/>
          <w:szCs w:val="28"/>
        </w:rPr>
      </w:pPr>
      <w:r>
        <w:rPr>
          <w:rFonts w:ascii="Arial Black" w:hAnsi="Arial Black"/>
          <w:bCs/>
          <w:sz w:val="28"/>
          <w:szCs w:val="28"/>
        </w:rPr>
        <w:t>MD: CIA / DOD – FORMER EMPLOYEES MUST HAVE “PRE-PUBLICATION REVIEWS” – LAWFUL, EVEN IF SLOW</w:t>
      </w:r>
    </w:p>
    <w:p w14:paraId="05FF4709" w14:textId="77777777" w:rsidR="005F0E6D" w:rsidRDefault="005F0E6D" w:rsidP="005F0E6D">
      <w:pPr>
        <w:pStyle w:val="NoSpacing"/>
        <w:ind w:left="720"/>
        <w:rPr>
          <w:b/>
          <w:bCs/>
          <w:sz w:val="24"/>
          <w:szCs w:val="24"/>
        </w:rPr>
      </w:pPr>
    </w:p>
    <w:p w14:paraId="2D54D5A6" w14:textId="77777777" w:rsidR="005F0E6D" w:rsidRPr="000A5D76" w:rsidRDefault="005F0E6D" w:rsidP="005F0E6D">
      <w:pPr>
        <w:pStyle w:val="NoSpacing"/>
        <w:rPr>
          <w:rStyle w:val="headertext"/>
          <w:rFonts w:ascii="Times New Roman" w:hAnsi="Times New Roman"/>
          <w:b/>
          <w:bCs/>
          <w:sz w:val="24"/>
          <w:szCs w:val="24"/>
        </w:rPr>
      </w:pPr>
      <w:r w:rsidRPr="000A5D76">
        <w:rPr>
          <w:rFonts w:ascii="Times New Roman" w:hAnsi="Times New Roman"/>
          <w:bCs/>
          <w:sz w:val="24"/>
          <w:szCs w:val="24"/>
        </w:rPr>
        <w:t xml:space="preserve">On April 15, 2020, in </w:t>
      </w:r>
      <w:r w:rsidRPr="000A5D76">
        <w:rPr>
          <w:rFonts w:ascii="Times New Roman" w:hAnsi="Times New Roman"/>
          <w:bCs/>
          <w:sz w:val="24"/>
          <w:szCs w:val="24"/>
          <w:u w:val="single"/>
        </w:rPr>
        <w:t>Timothy H. Edgar, et al. v. Daniel Coats, et al</w:t>
      </w:r>
      <w:r w:rsidRPr="000A5D76">
        <w:rPr>
          <w:rFonts w:ascii="Times New Roman" w:hAnsi="Times New Roman"/>
          <w:bCs/>
          <w:sz w:val="24"/>
          <w:szCs w:val="24"/>
        </w:rPr>
        <w:t xml:space="preserve">., U.S. District Court Judge George J. Hazel, in a 57-page decision, granted the U.S. Government’s motion to dismiss.  Each the five plaintiffs signed agency security agreements, requiring when the left government a prepublication review (“PRR”) of their books and other future publications.  They each complained that CIA and other agencies took too long to conduct the </w:t>
      </w:r>
      <w:proofErr w:type="gramStart"/>
      <w:r w:rsidRPr="000A5D76">
        <w:rPr>
          <w:rFonts w:ascii="Times New Roman" w:hAnsi="Times New Roman"/>
          <w:bCs/>
          <w:sz w:val="24"/>
          <w:szCs w:val="24"/>
        </w:rPr>
        <w:t>reviews, and</w:t>
      </w:r>
      <w:proofErr w:type="gramEnd"/>
      <w:r w:rsidRPr="000A5D76">
        <w:rPr>
          <w:rFonts w:ascii="Times New Roman" w:hAnsi="Times New Roman"/>
          <w:bCs/>
          <w:sz w:val="24"/>
          <w:szCs w:val="24"/>
        </w:rPr>
        <w:t xml:space="preserve"> deleted too much information that may have been embarrassing to the government but was not classified.   Judge Hazel followed the U.S. Supreme Court’s precedent in </w:t>
      </w:r>
      <w:proofErr w:type="spellStart"/>
      <w:r w:rsidRPr="000A5D76">
        <w:rPr>
          <w:rFonts w:ascii="Times New Roman" w:hAnsi="Times New Roman"/>
          <w:bCs/>
          <w:sz w:val="24"/>
          <w:szCs w:val="24"/>
          <w:u w:val="single"/>
        </w:rPr>
        <w:t>Snepp</w:t>
      </w:r>
      <w:proofErr w:type="spellEnd"/>
      <w:r w:rsidRPr="000A5D76">
        <w:rPr>
          <w:rFonts w:ascii="Times New Roman" w:hAnsi="Times New Roman"/>
          <w:bCs/>
          <w:sz w:val="24"/>
          <w:szCs w:val="24"/>
          <w:u w:val="single"/>
        </w:rPr>
        <w:t xml:space="preserve"> v. United States</w:t>
      </w:r>
      <w:r w:rsidRPr="000A5D76">
        <w:rPr>
          <w:rFonts w:ascii="Times New Roman" w:hAnsi="Times New Roman"/>
          <w:bCs/>
          <w:sz w:val="24"/>
          <w:szCs w:val="24"/>
        </w:rPr>
        <w:t xml:space="preserve">, 444 U.S. 507 (1980), where Frank Sneep, a former CIA analyst in Saigon wrote a book in 1977 about the fall of Saigon, “Decent Interval” without getting prior clearance, and was ordered to turn over all proceeds from the book. </w:t>
      </w:r>
    </w:p>
    <w:p w14:paraId="2A950FAE" w14:textId="77777777" w:rsidR="005F0E6D" w:rsidRPr="000A5D76" w:rsidRDefault="005F0E6D" w:rsidP="005F0E6D">
      <w:pPr>
        <w:pStyle w:val="NoSpacing"/>
        <w:ind w:left="720"/>
        <w:rPr>
          <w:rStyle w:val="headertext"/>
          <w:rFonts w:ascii="Times New Roman" w:hAnsi="Times New Roman"/>
          <w:b/>
          <w:bCs/>
          <w:sz w:val="24"/>
          <w:szCs w:val="24"/>
        </w:rPr>
      </w:pPr>
    </w:p>
    <w:p w14:paraId="33875FE7" w14:textId="77777777" w:rsidR="005F0E6D" w:rsidRPr="000A5D76" w:rsidRDefault="005F0E6D" w:rsidP="005F0E6D">
      <w:pPr>
        <w:pStyle w:val="NoSpacing"/>
        <w:ind w:left="720"/>
        <w:rPr>
          <w:rFonts w:ascii="Times New Roman" w:hAnsi="Times New Roman"/>
          <w:b/>
          <w:bCs/>
          <w:sz w:val="24"/>
          <w:szCs w:val="24"/>
          <w:vertAlign w:val="superscript"/>
        </w:rPr>
      </w:pPr>
      <w:r w:rsidRPr="000A5D76">
        <w:rPr>
          <w:rFonts w:ascii="Times New Roman" w:hAnsi="Times New Roman"/>
          <w:bCs/>
          <w:sz w:val="24"/>
          <w:szCs w:val="24"/>
        </w:rPr>
        <w:t xml:space="preserve">“While the allegations Plaintiffs have made about the inadequacies and breadth of the challenged PPR regimes do not appear inaccurate or implausible, </w:t>
      </w:r>
      <w:proofErr w:type="spellStart"/>
      <w:r w:rsidRPr="000A5D76">
        <w:rPr>
          <w:rFonts w:ascii="Times New Roman" w:hAnsi="Times New Roman"/>
          <w:bCs/>
          <w:i/>
          <w:iCs/>
          <w:sz w:val="24"/>
          <w:szCs w:val="24"/>
        </w:rPr>
        <w:t>Snepp</w:t>
      </w:r>
      <w:proofErr w:type="spellEnd"/>
      <w:r w:rsidRPr="000A5D76">
        <w:rPr>
          <w:rFonts w:ascii="Times New Roman" w:hAnsi="Times New Roman"/>
          <w:bCs/>
          <w:sz w:val="24"/>
          <w:szCs w:val="24"/>
        </w:rPr>
        <w:t xml:space="preserve"> remains the precedent governing the Court's evaluation of Plaintiffs' First Amendment claim, and Plaintiffs have failed to demonstrate that the regimes do not meet its low threshold of reasonableness. Accordingly, Plaintiffs' First Amendment claim will be dismissed.</w:t>
      </w:r>
      <w:r w:rsidRPr="000A5D76">
        <w:rPr>
          <w:rFonts w:ascii="Times New Roman" w:hAnsi="Times New Roman"/>
          <w:bCs/>
          <w:sz w:val="24"/>
          <w:szCs w:val="24"/>
          <w:vertAlign w:val="superscript"/>
        </w:rPr>
        <w:t>10</w:t>
      </w:r>
    </w:p>
    <w:p w14:paraId="6B76E4A7" w14:textId="77777777" w:rsidR="005F0E6D" w:rsidRPr="000A5D76" w:rsidRDefault="005F0E6D" w:rsidP="005F0E6D">
      <w:pPr>
        <w:pStyle w:val="NoSpacing"/>
        <w:ind w:left="720"/>
        <w:rPr>
          <w:rFonts w:ascii="Times New Roman" w:hAnsi="Times New Roman"/>
          <w:b/>
          <w:bCs/>
          <w:sz w:val="24"/>
          <w:szCs w:val="24"/>
        </w:rPr>
      </w:pPr>
      <w:bookmarkStart w:id="144" w:name="fr10"/>
      <w:r w:rsidRPr="000A5D76">
        <w:rPr>
          <w:rFonts w:ascii="Times New Roman" w:hAnsi="Times New Roman"/>
          <w:bCs/>
          <w:sz w:val="24"/>
          <w:szCs w:val="24"/>
        </w:rPr>
        <w:t xml:space="preserve">***   Footnote 10. </w:t>
      </w:r>
      <w:bookmarkEnd w:id="144"/>
      <w:r w:rsidRPr="000A5D76">
        <w:rPr>
          <w:rFonts w:ascii="Times New Roman" w:hAnsi="Times New Roman"/>
          <w:bCs/>
          <w:sz w:val="24"/>
          <w:szCs w:val="24"/>
        </w:rPr>
        <w:t xml:space="preserve">It also bears mention that the wholesale reforms to PPR that Plaintiffs seek to obtain from the Court in this claim strain at the limits of the judiciary's role, particularly given the national security context. See Egan, 484 U.S. at 530 (1988). Both that concern and the Court's inability to sidestep </w:t>
      </w:r>
      <w:proofErr w:type="spellStart"/>
      <w:r w:rsidRPr="000A5D76">
        <w:rPr>
          <w:rFonts w:ascii="Times New Roman" w:hAnsi="Times New Roman"/>
          <w:bCs/>
          <w:i/>
          <w:iCs/>
          <w:sz w:val="24"/>
          <w:szCs w:val="24"/>
        </w:rPr>
        <w:t>Snepp</w:t>
      </w:r>
      <w:proofErr w:type="spellEnd"/>
      <w:r w:rsidRPr="000A5D76">
        <w:rPr>
          <w:rFonts w:ascii="Times New Roman" w:hAnsi="Times New Roman"/>
          <w:bCs/>
          <w:i/>
          <w:iCs/>
          <w:sz w:val="24"/>
          <w:szCs w:val="24"/>
        </w:rPr>
        <w:t xml:space="preserve"> </w:t>
      </w:r>
      <w:r w:rsidRPr="000A5D76">
        <w:rPr>
          <w:rFonts w:ascii="Times New Roman" w:hAnsi="Times New Roman"/>
          <w:bCs/>
          <w:sz w:val="24"/>
          <w:szCs w:val="24"/>
        </w:rPr>
        <w:t xml:space="preserve">limit the force of arguments made in the amicus brief submitted by CERL, which describes how lengthy PPR delays chill contributions to public discourse by former officials and discourage national security experts from entering the government…. Whatever the merits of these assertions, they are more properly directed to the branches of government empowered to create and execute public policy rather than to simply evaluate its consistency with the Constitution.” </w:t>
      </w:r>
      <w:hyperlink r:id="rId803" w:history="1">
        <w:r w:rsidRPr="000A5D76">
          <w:rPr>
            <w:rStyle w:val="Hyperlink"/>
            <w:rFonts w:ascii="Times New Roman" w:hAnsi="Times New Roman"/>
            <w:b/>
            <w:sz w:val="24"/>
            <w:szCs w:val="24"/>
          </w:rPr>
          <w:t>https://public.fastcase.com/Wl%2B2t%2BeVuI35%2FN70vAMFZkKd%2BuUeGYT9r22oA9ty28Exj1jRAAAURPUljfVU2169</w:t>
        </w:r>
      </w:hyperlink>
      <w:r w:rsidRPr="000A5D76">
        <w:rPr>
          <w:rFonts w:ascii="Times New Roman" w:hAnsi="Times New Roman"/>
          <w:bCs/>
          <w:sz w:val="24"/>
          <w:szCs w:val="24"/>
        </w:rPr>
        <w:t xml:space="preserve"> </w:t>
      </w:r>
    </w:p>
    <w:p w14:paraId="1C489BE7" w14:textId="77777777" w:rsidR="005F0E6D" w:rsidRDefault="005F0E6D" w:rsidP="005F0E6D">
      <w:pPr>
        <w:pStyle w:val="NoSpacing"/>
        <w:rPr>
          <w:rFonts w:ascii="Times New Roman" w:hAnsi="Times New Roman"/>
          <w:b/>
          <w:bCs/>
          <w:sz w:val="24"/>
          <w:szCs w:val="24"/>
        </w:rPr>
      </w:pPr>
    </w:p>
    <w:p w14:paraId="01F9C96A" w14:textId="52297A60" w:rsidR="005F0E6D" w:rsidRPr="000A5D76" w:rsidRDefault="005F0E6D" w:rsidP="005F0E6D">
      <w:pPr>
        <w:pStyle w:val="NoSpacing"/>
        <w:rPr>
          <w:rFonts w:ascii="Times New Roman" w:hAnsi="Times New Roman"/>
          <w:b/>
          <w:bCs/>
          <w:sz w:val="24"/>
          <w:szCs w:val="24"/>
        </w:rPr>
      </w:pPr>
      <w:r w:rsidRPr="000A5D76">
        <w:rPr>
          <w:rFonts w:ascii="Times New Roman" w:hAnsi="Times New Roman"/>
          <w:b/>
          <w:bCs/>
          <w:sz w:val="24"/>
          <w:szCs w:val="24"/>
        </w:rPr>
        <w:t xml:space="preserve">Legal Lessons Learned:  Prepublication reviews are enforceable. per U.S. Supreme Court’s decision in in </w:t>
      </w:r>
      <w:proofErr w:type="spellStart"/>
      <w:r w:rsidRPr="000A5D76">
        <w:rPr>
          <w:rFonts w:ascii="Times New Roman" w:hAnsi="Times New Roman"/>
          <w:b/>
          <w:bCs/>
          <w:sz w:val="24"/>
          <w:szCs w:val="24"/>
          <w:u w:val="single"/>
        </w:rPr>
        <w:t>Snepp</w:t>
      </w:r>
      <w:proofErr w:type="spellEnd"/>
      <w:r w:rsidRPr="000A5D76">
        <w:rPr>
          <w:rFonts w:ascii="Times New Roman" w:hAnsi="Times New Roman"/>
          <w:b/>
          <w:bCs/>
          <w:sz w:val="24"/>
          <w:szCs w:val="24"/>
          <w:u w:val="single"/>
        </w:rPr>
        <w:t xml:space="preserve"> v. United States</w:t>
      </w:r>
      <w:r w:rsidRPr="000A5D76">
        <w:rPr>
          <w:rFonts w:ascii="Times New Roman" w:hAnsi="Times New Roman"/>
          <w:b/>
          <w:bCs/>
          <w:sz w:val="24"/>
          <w:szCs w:val="24"/>
        </w:rPr>
        <w:t xml:space="preserve">, 444 U.S. 507 (1980). </w:t>
      </w:r>
    </w:p>
    <w:p w14:paraId="66B08EFE" w14:textId="77777777" w:rsidR="005F0E6D" w:rsidRPr="000A5D76" w:rsidRDefault="005F0E6D" w:rsidP="005F0E6D">
      <w:pPr>
        <w:pStyle w:val="NoSpacing"/>
        <w:ind w:left="720"/>
        <w:rPr>
          <w:rFonts w:ascii="Times New Roman" w:hAnsi="Times New Roman"/>
          <w:b/>
          <w:bCs/>
          <w:sz w:val="24"/>
          <w:szCs w:val="24"/>
        </w:rPr>
      </w:pPr>
    </w:p>
    <w:p w14:paraId="1E6A9BEA" w14:textId="77777777" w:rsidR="005F0E6D" w:rsidRPr="000A5D76" w:rsidRDefault="005F0E6D" w:rsidP="005F0E6D">
      <w:pPr>
        <w:pStyle w:val="NoSpacing"/>
        <w:ind w:left="720"/>
        <w:rPr>
          <w:rFonts w:ascii="Times New Roman" w:hAnsi="Times New Roman"/>
          <w:sz w:val="24"/>
          <w:szCs w:val="24"/>
        </w:rPr>
      </w:pPr>
      <w:r w:rsidRPr="000A5D76">
        <w:rPr>
          <w:rFonts w:ascii="Times New Roman" w:hAnsi="Times New Roman"/>
          <w:bCs/>
          <w:sz w:val="24"/>
          <w:szCs w:val="24"/>
        </w:rPr>
        <w:t>Note:</w:t>
      </w:r>
      <w:r w:rsidRPr="000A5D76">
        <w:rPr>
          <w:rFonts w:ascii="Times New Roman" w:hAnsi="Times New Roman"/>
          <w:sz w:val="24"/>
          <w:szCs w:val="24"/>
        </w:rPr>
        <w:t xml:space="preserve"> </w:t>
      </w:r>
      <w:r w:rsidRPr="000A5D76">
        <w:rPr>
          <w:rFonts w:ascii="Times New Roman" w:hAnsi="Times New Roman"/>
          <w:bCs/>
          <w:sz w:val="24"/>
          <w:szCs w:val="24"/>
        </w:rPr>
        <w:t>When Frank Snepp was sued, he had already received about $60,000 in advance payments from his publisher.  The U.S. Supreme Court held (6 to 3), “</w:t>
      </w:r>
      <w:r w:rsidRPr="000A5D76">
        <w:rPr>
          <w:rStyle w:val="headertext"/>
          <w:rFonts w:ascii="Times New Roman" w:hAnsi="Times New Roman"/>
          <w:bCs/>
          <w:sz w:val="24"/>
          <w:szCs w:val="24"/>
        </w:rPr>
        <w:t xml:space="preserve">We agree with the Court of Appeals that </w:t>
      </w:r>
      <w:proofErr w:type="spellStart"/>
      <w:r w:rsidRPr="000A5D76">
        <w:rPr>
          <w:rStyle w:val="headertext"/>
          <w:rFonts w:ascii="Times New Roman" w:hAnsi="Times New Roman"/>
          <w:bCs/>
          <w:sz w:val="24"/>
          <w:szCs w:val="24"/>
        </w:rPr>
        <w:t>Snepp's</w:t>
      </w:r>
      <w:proofErr w:type="spellEnd"/>
      <w:r w:rsidRPr="000A5D76">
        <w:rPr>
          <w:rStyle w:val="headertext"/>
          <w:rFonts w:ascii="Times New Roman" w:hAnsi="Times New Roman"/>
          <w:bCs/>
          <w:sz w:val="24"/>
          <w:szCs w:val="24"/>
        </w:rPr>
        <w:t xml:space="preserve"> agreement is an ‘entirely appropriate’ exercise of the CIA Director's statutory mandate to ‘</w:t>
      </w:r>
      <w:proofErr w:type="spellStart"/>
      <w:r w:rsidRPr="000A5D76">
        <w:rPr>
          <w:rStyle w:val="headertext"/>
          <w:rFonts w:ascii="Times New Roman" w:hAnsi="Times New Roman"/>
          <w:bCs/>
          <w:sz w:val="24"/>
          <w:szCs w:val="24"/>
        </w:rPr>
        <w:t>protec</w:t>
      </w:r>
      <w:proofErr w:type="spellEnd"/>
      <w:r w:rsidRPr="000A5D76">
        <w:rPr>
          <w:rStyle w:val="headertext"/>
          <w:rFonts w:ascii="Times New Roman" w:hAnsi="Times New Roman"/>
          <w:bCs/>
          <w:sz w:val="24"/>
          <w:szCs w:val="24"/>
        </w:rPr>
        <w:t xml:space="preserve">[t] intelligence sources and methods from unauthorized disclosure,’ 50 U.S.C. § 403(d)(3). 595 F.2d at 932.” </w:t>
      </w:r>
      <w:hyperlink r:id="rId804" w:anchor="tab-opinion-1953393" w:history="1">
        <w:r w:rsidRPr="000A5D76">
          <w:rPr>
            <w:rStyle w:val="Hyperlink"/>
            <w:rFonts w:ascii="Times New Roman" w:hAnsi="Times New Roman"/>
            <w:sz w:val="24"/>
            <w:szCs w:val="24"/>
          </w:rPr>
          <w:t>https://supreme.justia.com/cases/federal/us/444/507/#tab-opinion-1953393</w:t>
        </w:r>
      </w:hyperlink>
      <w:r w:rsidRPr="000A5D76">
        <w:rPr>
          <w:rFonts w:ascii="Times New Roman" w:hAnsi="Times New Roman"/>
          <w:sz w:val="24"/>
          <w:szCs w:val="24"/>
        </w:rPr>
        <w:t xml:space="preserve"> </w:t>
      </w:r>
    </w:p>
    <w:p w14:paraId="7AEC313A" w14:textId="77777777" w:rsidR="005F0E6D" w:rsidRPr="000A5D76" w:rsidRDefault="005F0E6D" w:rsidP="005F0E6D">
      <w:pPr>
        <w:spacing w:before="100" w:beforeAutospacing="1" w:after="100" w:afterAutospacing="1" w:line="240" w:lineRule="auto"/>
        <w:jc w:val="center"/>
        <w:rPr>
          <w:rFonts w:ascii="Times New Roman" w:eastAsia="Times New Roman" w:hAnsi="Times New Roman"/>
          <w:b/>
          <w:bCs/>
          <w:sz w:val="24"/>
          <w:szCs w:val="24"/>
        </w:rPr>
      </w:pPr>
    </w:p>
    <w:p w14:paraId="7D928E82" w14:textId="77777777" w:rsidR="005F0E6D" w:rsidRDefault="005F0E6D" w:rsidP="00F326E5">
      <w:pPr>
        <w:pStyle w:val="NoSpacing"/>
        <w:rPr>
          <w:rFonts w:ascii="Arial Black" w:hAnsi="Arial Black"/>
          <w:sz w:val="28"/>
          <w:szCs w:val="28"/>
        </w:rPr>
      </w:pPr>
    </w:p>
    <w:p w14:paraId="16C2BD59" w14:textId="77777777" w:rsidR="005F0E6D" w:rsidRDefault="005F0E6D" w:rsidP="00F326E5">
      <w:pPr>
        <w:pStyle w:val="NoSpacing"/>
        <w:rPr>
          <w:rFonts w:ascii="Arial Black" w:hAnsi="Arial Black"/>
          <w:sz w:val="28"/>
          <w:szCs w:val="28"/>
        </w:rPr>
      </w:pPr>
    </w:p>
    <w:p w14:paraId="77E246D1" w14:textId="77777777" w:rsidR="005F0E6D" w:rsidRDefault="005F0E6D" w:rsidP="00F326E5">
      <w:pPr>
        <w:pStyle w:val="NoSpacing"/>
        <w:rPr>
          <w:rFonts w:ascii="Arial Black" w:hAnsi="Arial Black"/>
          <w:sz w:val="28"/>
          <w:szCs w:val="28"/>
        </w:rPr>
      </w:pPr>
    </w:p>
    <w:p w14:paraId="48E89B53" w14:textId="47E6AF5C" w:rsidR="005F0E6D" w:rsidRDefault="005F0E6D" w:rsidP="00F326E5">
      <w:pPr>
        <w:pStyle w:val="NoSpacing"/>
        <w:rPr>
          <w:rFonts w:ascii="Arial Black" w:hAnsi="Arial Black"/>
          <w:sz w:val="28"/>
          <w:szCs w:val="28"/>
        </w:rPr>
      </w:pPr>
      <w:r>
        <w:rPr>
          <w:rFonts w:ascii="Arial Black" w:hAnsi="Arial Black"/>
          <w:sz w:val="28"/>
          <w:szCs w:val="28"/>
        </w:rPr>
        <w:t>3-20</w:t>
      </w:r>
    </w:p>
    <w:p w14:paraId="78FF3ECA" w14:textId="77777777" w:rsidR="00823634" w:rsidRDefault="00823634" w:rsidP="005F0E6D">
      <w:pPr>
        <w:pStyle w:val="NoSpacing"/>
        <w:rPr>
          <w:rFonts w:ascii="Arial Black" w:hAnsi="Arial Black"/>
          <w:sz w:val="28"/>
          <w:szCs w:val="28"/>
        </w:rPr>
      </w:pPr>
    </w:p>
    <w:p w14:paraId="1FA5F140" w14:textId="64785FC7" w:rsidR="005F0E6D" w:rsidRPr="00B2674B" w:rsidRDefault="005F0E6D" w:rsidP="005F0E6D">
      <w:pPr>
        <w:pStyle w:val="NoSpacing"/>
        <w:rPr>
          <w:rFonts w:ascii="Arial Black" w:hAnsi="Arial Black"/>
          <w:b/>
          <w:bCs/>
          <w:sz w:val="28"/>
          <w:szCs w:val="28"/>
        </w:rPr>
      </w:pPr>
      <w:bookmarkStart w:id="145" w:name="_Hlk66942614"/>
      <w:r w:rsidRPr="00E9037E">
        <w:rPr>
          <w:rFonts w:ascii="Arial Black" w:hAnsi="Arial Black"/>
          <w:sz w:val="28"/>
          <w:szCs w:val="28"/>
        </w:rPr>
        <w:t>FL</w:t>
      </w:r>
      <w:r>
        <w:rPr>
          <w:rFonts w:ascii="Arial Black" w:hAnsi="Arial Black"/>
          <w:bCs/>
          <w:sz w:val="28"/>
          <w:szCs w:val="28"/>
        </w:rPr>
        <w:t xml:space="preserve">: ACTIVE SHOOTER - PULSE NIGHTCLUB – 49 KILLED, 53 INJURED – CAN’T SUE THE SECURITY GUARD COMPANY WHERE HE WORKED </w:t>
      </w:r>
    </w:p>
    <w:p w14:paraId="7AF91925" w14:textId="1153C1EC" w:rsidR="00587311" w:rsidRPr="00823634" w:rsidRDefault="005F0E6D" w:rsidP="00881475">
      <w:pPr>
        <w:pStyle w:val="Heading1"/>
        <w:rPr>
          <w:b w:val="0"/>
          <w:bCs w:val="0"/>
          <w:sz w:val="24"/>
          <w:szCs w:val="24"/>
        </w:rPr>
      </w:pPr>
      <w:r w:rsidRPr="000A5D76">
        <w:rPr>
          <w:b w:val="0"/>
          <w:bCs w:val="0"/>
          <w:sz w:val="24"/>
          <w:szCs w:val="24"/>
        </w:rPr>
        <w:t xml:space="preserve">On </w:t>
      </w:r>
      <w:bookmarkStart w:id="146" w:name="_Hlk39823138"/>
      <w:r w:rsidRPr="000A5D76">
        <w:rPr>
          <w:b w:val="0"/>
          <w:bCs w:val="0"/>
          <w:sz w:val="24"/>
          <w:szCs w:val="24"/>
        </w:rPr>
        <w:t xml:space="preserve">April 1, 2020, in </w:t>
      </w:r>
      <w:r w:rsidRPr="000A5D76">
        <w:rPr>
          <w:b w:val="0"/>
          <w:bCs w:val="0"/>
          <w:sz w:val="24"/>
          <w:szCs w:val="24"/>
          <w:u w:val="single"/>
        </w:rPr>
        <w:t>Asael Abrad, et al. v. G4S Secure Solution (USA), Inc.</w:t>
      </w:r>
      <w:r w:rsidRPr="000A5D76">
        <w:rPr>
          <w:b w:val="0"/>
          <w:bCs w:val="0"/>
          <w:sz w:val="24"/>
          <w:szCs w:val="24"/>
        </w:rPr>
        <w:t xml:space="preserve">, </w:t>
      </w:r>
      <w:bookmarkEnd w:id="146"/>
      <w:r w:rsidRPr="000A5D76">
        <w:rPr>
          <w:b w:val="0"/>
          <w:bCs w:val="0"/>
          <w:sz w:val="24"/>
          <w:szCs w:val="24"/>
        </w:rPr>
        <w:t xml:space="preserve">the District Court of Appeal of Florida (Fourth District), held (3 to 0) that the trial court properly granted the security company’s motion to dismiss; the shooter worked for the security company for 10 years, and plaintiffs alleged that the company knew he expressed a desire to commit acts of mass murder against members of the general public, particularly against members of the lesbian, gay, bisexual and transgender community.  The lawsuit was dismissed since plaintiffs did not “sufficiently allege a legal duty owed by G4S.” </w:t>
      </w:r>
      <w:r w:rsidR="00587311">
        <w:rPr>
          <w:b w:val="0"/>
          <w:bCs w:val="0"/>
          <w:sz w:val="24"/>
          <w:szCs w:val="24"/>
        </w:rPr>
        <w:t xml:space="preserve"> </w:t>
      </w:r>
      <w:hyperlink r:id="rId805" w:history="1">
        <w:r w:rsidR="00587311" w:rsidRPr="00823634">
          <w:rPr>
            <w:rStyle w:val="Hyperlink"/>
            <w:sz w:val="24"/>
            <w:szCs w:val="24"/>
          </w:rPr>
          <w:t>https://www.courthousenews.com/wp-content/uploads/2020/04/G4S.pdf</w:t>
        </w:r>
      </w:hyperlink>
      <w:r w:rsidR="00587311" w:rsidRPr="00823634">
        <w:rPr>
          <w:sz w:val="24"/>
          <w:szCs w:val="24"/>
        </w:rPr>
        <w:t xml:space="preserve"> </w:t>
      </w:r>
    </w:p>
    <w:p w14:paraId="182DC31B" w14:textId="77777777" w:rsidR="00587311" w:rsidRPr="000A5D76" w:rsidRDefault="00587311" w:rsidP="005F0E6D">
      <w:pPr>
        <w:pStyle w:val="Heading1"/>
        <w:rPr>
          <w:b w:val="0"/>
          <w:bCs w:val="0"/>
          <w:sz w:val="24"/>
          <w:szCs w:val="24"/>
        </w:rPr>
      </w:pPr>
    </w:p>
    <w:bookmarkEnd w:id="145"/>
    <w:p w14:paraId="75AE0834" w14:textId="7BDDB217" w:rsidR="005F0E6D" w:rsidRDefault="005F0E6D" w:rsidP="005F0E6D">
      <w:pPr>
        <w:pStyle w:val="NoSpacing"/>
        <w:ind w:left="720"/>
        <w:rPr>
          <w:rFonts w:ascii="Times New Roman" w:hAnsi="Times New Roman"/>
          <w:bCs/>
          <w:sz w:val="24"/>
          <w:szCs w:val="24"/>
        </w:rPr>
      </w:pPr>
      <w:r w:rsidRPr="000A5D76">
        <w:rPr>
          <w:rFonts w:ascii="Times New Roman" w:hAnsi="Times New Roman"/>
          <w:bCs/>
          <w:sz w:val="24"/>
          <w:szCs w:val="24"/>
        </w:rPr>
        <w:t xml:space="preserve">“Appellants also concede that Mateen did not use weapons owned or controlled by G4S, but instead, weapons purchased by him on his private time. Appellants’ argument that by fraudulently assisting Mateen in obtaining a Class G license—which in turn was helpful in purchasing the weapons used—is legally irrelevant…. Finally, Appellants’ duty arguments fail for one more important reason: Appellants fail to provide any sort of limitation on the legal duty they seek to impose. Failing to provide any sort of boundary for the employer would have severe public policy implications. As both G4S and the trial court noted, Appellants’ failure to provide any sort of spatial or temporal limits in the articulation of their concept of duty would essentially result in G4S </w:t>
      </w:r>
      <w:proofErr w:type="gramStart"/>
      <w:r w:rsidRPr="000A5D76">
        <w:rPr>
          <w:rFonts w:ascii="Times New Roman" w:hAnsi="Times New Roman"/>
          <w:bCs/>
          <w:sz w:val="24"/>
          <w:szCs w:val="24"/>
        </w:rPr>
        <w:t>being strictly liable and an absolute guarantor of Mateen’s behavior while off duty at all times</w:t>
      </w:r>
      <w:proofErr w:type="gramEnd"/>
      <w:r w:rsidRPr="000A5D76">
        <w:rPr>
          <w:rFonts w:ascii="Times New Roman" w:hAnsi="Times New Roman"/>
          <w:bCs/>
          <w:sz w:val="24"/>
          <w:szCs w:val="24"/>
        </w:rPr>
        <w:t xml:space="preserve">. See Garcia v. Duffy, 492 So. 2d 435, 439 (Fla. 2d DCA 1986) (‘Once liability began to be imposed on employers for acts of their employees outside the scope of employment, the courts were faced with the necessity of finding some rational basis for limiting the boundaries of that liability; otherwise, an employer would be an absolute guarantor and strictly liable for any acts committed by his employee against </w:t>
      </w:r>
    </w:p>
    <w:p w14:paraId="307DAEC0" w14:textId="77777777" w:rsidR="005F0E6D" w:rsidRPr="000A5D76" w:rsidRDefault="005F0E6D" w:rsidP="005F0E6D">
      <w:pPr>
        <w:pStyle w:val="NoSpacing"/>
        <w:ind w:left="720"/>
        <w:rPr>
          <w:rFonts w:ascii="Times New Roman" w:hAnsi="Times New Roman"/>
          <w:b/>
          <w:bCs/>
          <w:sz w:val="24"/>
          <w:szCs w:val="24"/>
        </w:rPr>
      </w:pPr>
      <w:r w:rsidRPr="000A5D76">
        <w:rPr>
          <w:rFonts w:ascii="Times New Roman" w:hAnsi="Times New Roman"/>
          <w:bCs/>
          <w:sz w:val="24"/>
          <w:szCs w:val="24"/>
        </w:rPr>
        <w:t xml:space="preserve">any person under any circumstances. Such unrestricted liability would be an intolerable and unfair burden on employers.’). </w:t>
      </w:r>
    </w:p>
    <w:bookmarkStart w:id="147" w:name="_Hlk39823157"/>
    <w:bookmarkStart w:id="148" w:name="_Hlk66942680"/>
    <w:p w14:paraId="60A5B8F7" w14:textId="77777777" w:rsidR="005F0E6D" w:rsidRPr="00823634" w:rsidRDefault="00F2621E" w:rsidP="005F0E6D">
      <w:pPr>
        <w:pStyle w:val="NoSpacing"/>
        <w:ind w:left="720"/>
        <w:rPr>
          <w:rFonts w:ascii="Times New Roman" w:hAnsi="Times New Roman"/>
          <w:b/>
          <w:bCs/>
          <w:sz w:val="24"/>
          <w:szCs w:val="24"/>
        </w:rPr>
      </w:pPr>
      <w:r w:rsidRPr="00823634">
        <w:fldChar w:fldCharType="begin"/>
      </w:r>
      <w:r w:rsidRPr="00823634">
        <w:rPr>
          <w:rFonts w:ascii="Times New Roman" w:hAnsi="Times New Roman"/>
          <w:sz w:val="24"/>
          <w:szCs w:val="24"/>
        </w:rPr>
        <w:instrText xml:space="preserve"> HYPERLINK "https://www.courthousenews.com/wp-content/uploads/2020/04/G4S.pdf" </w:instrText>
      </w:r>
      <w:r w:rsidRPr="00823634">
        <w:fldChar w:fldCharType="separate"/>
      </w:r>
      <w:r w:rsidR="005F0E6D" w:rsidRPr="00823634">
        <w:rPr>
          <w:rStyle w:val="Hyperlink"/>
          <w:rFonts w:ascii="Times New Roman" w:hAnsi="Times New Roman"/>
          <w:b/>
          <w:sz w:val="24"/>
          <w:szCs w:val="24"/>
        </w:rPr>
        <w:t>https://www.courthousenews.com/wp-content/uploads/2020/04/G4S.pdf</w:t>
      </w:r>
      <w:r w:rsidRPr="00823634">
        <w:rPr>
          <w:rStyle w:val="Hyperlink"/>
          <w:rFonts w:ascii="Times New Roman" w:hAnsi="Times New Roman"/>
          <w:b/>
          <w:sz w:val="24"/>
          <w:szCs w:val="24"/>
        </w:rPr>
        <w:fldChar w:fldCharType="end"/>
      </w:r>
      <w:r w:rsidR="005F0E6D" w:rsidRPr="00823634">
        <w:rPr>
          <w:rFonts w:ascii="Times New Roman" w:hAnsi="Times New Roman"/>
          <w:bCs/>
          <w:sz w:val="24"/>
          <w:szCs w:val="24"/>
        </w:rPr>
        <w:t xml:space="preserve"> </w:t>
      </w:r>
    </w:p>
    <w:p w14:paraId="1AC7BF9D" w14:textId="77777777" w:rsidR="005F0E6D" w:rsidRPr="000A5D76" w:rsidRDefault="005F0E6D" w:rsidP="005F0E6D">
      <w:pPr>
        <w:pStyle w:val="Heading1"/>
        <w:rPr>
          <w:sz w:val="24"/>
          <w:szCs w:val="24"/>
        </w:rPr>
      </w:pPr>
      <w:bookmarkStart w:id="149" w:name="_Hlk40509204"/>
      <w:bookmarkEnd w:id="147"/>
      <w:r w:rsidRPr="000A5D76">
        <w:rPr>
          <w:sz w:val="24"/>
          <w:szCs w:val="24"/>
        </w:rPr>
        <w:t>Legal Lessons Learned: Tragic event, but very difficult to hold employer liable for off-duty conduct of shooter.</w:t>
      </w:r>
    </w:p>
    <w:bookmarkEnd w:id="148"/>
    <w:bookmarkEnd w:id="149"/>
    <w:p w14:paraId="5082EE61" w14:textId="77777777" w:rsidR="005F0E6D" w:rsidRDefault="005F0E6D" w:rsidP="00F326E5">
      <w:pPr>
        <w:pStyle w:val="NoSpacing"/>
        <w:rPr>
          <w:rFonts w:ascii="Arial Black" w:hAnsi="Arial Black"/>
          <w:sz w:val="28"/>
          <w:szCs w:val="28"/>
        </w:rPr>
      </w:pPr>
    </w:p>
    <w:p w14:paraId="76FE2885" w14:textId="77777777" w:rsidR="005F0E6D" w:rsidRDefault="005F0E6D" w:rsidP="00F326E5">
      <w:pPr>
        <w:pStyle w:val="NoSpacing"/>
        <w:rPr>
          <w:rFonts w:ascii="Arial Black" w:hAnsi="Arial Black"/>
          <w:sz w:val="28"/>
          <w:szCs w:val="28"/>
        </w:rPr>
      </w:pPr>
    </w:p>
    <w:p w14:paraId="5CDDCB1E" w14:textId="49FFD794" w:rsidR="00663160" w:rsidRDefault="00663160" w:rsidP="00F326E5">
      <w:pPr>
        <w:pStyle w:val="NoSpacing"/>
        <w:rPr>
          <w:rFonts w:ascii="Arial Black" w:hAnsi="Arial Black"/>
          <w:sz w:val="28"/>
          <w:szCs w:val="28"/>
        </w:rPr>
      </w:pPr>
      <w:r>
        <w:rPr>
          <w:rFonts w:ascii="Arial Black" w:hAnsi="Arial Black"/>
          <w:sz w:val="28"/>
          <w:szCs w:val="28"/>
        </w:rPr>
        <w:t>3-19</w:t>
      </w:r>
    </w:p>
    <w:p w14:paraId="1F7D701C" w14:textId="2A42A1B6" w:rsidR="00663160" w:rsidRDefault="00663160" w:rsidP="00F326E5">
      <w:pPr>
        <w:pStyle w:val="NoSpacing"/>
        <w:rPr>
          <w:rFonts w:ascii="Arial Black" w:hAnsi="Arial Black"/>
          <w:sz w:val="28"/>
          <w:szCs w:val="28"/>
        </w:rPr>
      </w:pPr>
    </w:p>
    <w:p w14:paraId="29F24EA5" w14:textId="77777777" w:rsidR="00663160" w:rsidRPr="00D31CF5" w:rsidRDefault="00663160" w:rsidP="00663160">
      <w:pPr>
        <w:pStyle w:val="NoSpacing"/>
        <w:rPr>
          <w:rFonts w:ascii="Arial Black" w:hAnsi="Arial Black"/>
          <w:sz w:val="28"/>
          <w:szCs w:val="28"/>
        </w:rPr>
      </w:pPr>
      <w:r w:rsidRPr="00D31CF5">
        <w:rPr>
          <w:rFonts w:ascii="Arial Black" w:hAnsi="Arial Black"/>
          <w:sz w:val="28"/>
          <w:szCs w:val="28"/>
        </w:rPr>
        <w:t>CA:</w:t>
      </w:r>
      <w:r>
        <w:rPr>
          <w:rFonts w:ascii="Arial Black" w:hAnsi="Arial Black"/>
          <w:sz w:val="28"/>
          <w:szCs w:val="28"/>
        </w:rPr>
        <w:t xml:space="preserve"> ILLEGAL IMMIGRANTS CROSSING US BORDER - SENT BACK TO MEXICO – INJUNCTION AGAINST FED. PROGRAM UPHELD BY 9</w:t>
      </w:r>
      <w:r w:rsidRPr="00EB465E">
        <w:rPr>
          <w:rFonts w:ascii="Arial Black" w:hAnsi="Arial Black"/>
          <w:sz w:val="28"/>
          <w:szCs w:val="28"/>
          <w:vertAlign w:val="superscript"/>
        </w:rPr>
        <w:t>th</w:t>
      </w:r>
      <w:r>
        <w:rPr>
          <w:rFonts w:ascii="Arial Black" w:hAnsi="Arial Black"/>
          <w:sz w:val="28"/>
          <w:szCs w:val="28"/>
        </w:rPr>
        <w:t xml:space="preserve"> CIR. </w:t>
      </w:r>
    </w:p>
    <w:p w14:paraId="4FBFD241" w14:textId="77777777" w:rsidR="00663160" w:rsidRDefault="00663160" w:rsidP="00663160">
      <w:pPr>
        <w:spacing w:after="0" w:line="240" w:lineRule="auto"/>
        <w:rPr>
          <w:sz w:val="30"/>
          <w:szCs w:val="30"/>
        </w:rPr>
      </w:pPr>
    </w:p>
    <w:p w14:paraId="0CF1D7F1" w14:textId="77777777" w:rsidR="00663160" w:rsidRPr="00465FB3" w:rsidRDefault="00663160" w:rsidP="00663160">
      <w:pPr>
        <w:spacing w:after="0" w:line="240" w:lineRule="auto"/>
        <w:rPr>
          <w:rFonts w:ascii="Times New Roman" w:hAnsi="Times New Roman"/>
          <w:sz w:val="24"/>
          <w:szCs w:val="24"/>
        </w:rPr>
      </w:pPr>
      <w:r w:rsidRPr="00465FB3">
        <w:rPr>
          <w:rFonts w:ascii="Times New Roman" w:hAnsi="Times New Roman"/>
          <w:sz w:val="24"/>
          <w:szCs w:val="24"/>
        </w:rPr>
        <w:t xml:space="preserve">On Feb. 28, 2020, in </w:t>
      </w:r>
      <w:r w:rsidRPr="00465FB3">
        <w:rPr>
          <w:rFonts w:ascii="Times New Roman" w:hAnsi="Times New Roman"/>
          <w:sz w:val="24"/>
          <w:szCs w:val="24"/>
          <w:u w:val="single"/>
        </w:rPr>
        <w:t>Innovation Law Lab v. Chad Wolf, Acting Secretary of Homeland Security</w:t>
      </w:r>
      <w:r w:rsidRPr="00465FB3">
        <w:rPr>
          <w:rFonts w:ascii="Times New Roman" w:hAnsi="Times New Roman"/>
          <w:sz w:val="24"/>
          <w:szCs w:val="24"/>
        </w:rPr>
        <w:t>, the U.S. Court of Appeals for the 9</w:t>
      </w:r>
      <w:r w:rsidRPr="00465FB3">
        <w:rPr>
          <w:rFonts w:ascii="Times New Roman" w:hAnsi="Times New Roman"/>
          <w:sz w:val="24"/>
          <w:szCs w:val="24"/>
          <w:vertAlign w:val="superscript"/>
        </w:rPr>
        <w:t>th</w:t>
      </w:r>
      <w:r w:rsidRPr="00465FB3">
        <w:rPr>
          <w:rFonts w:ascii="Times New Roman" w:hAnsi="Times New Roman"/>
          <w:sz w:val="24"/>
          <w:szCs w:val="24"/>
        </w:rPr>
        <w:t xml:space="preserve"> Circuit (San Francisco) held (2 to 1) that the nationwide preliminary injunction issued by a U.S. District Court judge, against the Federal Government’s new Migrant Protection Protocols (“MPP”), will remain in place. </w:t>
      </w:r>
    </w:p>
    <w:p w14:paraId="34F5E13D" w14:textId="77777777" w:rsidR="00663160" w:rsidRPr="00465FB3" w:rsidRDefault="00663160" w:rsidP="00663160">
      <w:pPr>
        <w:spacing w:after="0" w:line="240" w:lineRule="auto"/>
        <w:rPr>
          <w:rFonts w:ascii="Times New Roman" w:hAnsi="Times New Roman"/>
          <w:sz w:val="24"/>
          <w:szCs w:val="24"/>
        </w:rPr>
      </w:pPr>
    </w:p>
    <w:p w14:paraId="57CEACD6" w14:textId="77777777" w:rsidR="00663160" w:rsidRPr="00465FB3" w:rsidRDefault="00663160" w:rsidP="00663160">
      <w:pPr>
        <w:spacing w:after="0" w:line="240" w:lineRule="auto"/>
        <w:ind w:left="720"/>
        <w:rPr>
          <w:rFonts w:ascii="Times New Roman" w:hAnsi="Times New Roman"/>
          <w:sz w:val="24"/>
          <w:szCs w:val="24"/>
        </w:rPr>
      </w:pPr>
      <w:r w:rsidRPr="00465FB3">
        <w:rPr>
          <w:rFonts w:ascii="Times New Roman" w:hAnsi="Times New Roman"/>
          <w:sz w:val="24"/>
          <w:szCs w:val="24"/>
        </w:rPr>
        <w:t xml:space="preserve">“The MPP has had serious adverse consequences for the individual plaintiffs. Plaintiffs presented evidence in the district court that they, as well as others returned to Mexico under the MPP, face targeted discrimination, physical violence, sexual assault, overwhelmed and corrupt law enforcement, lack of food and shelter, and practical obstacles to participation in court proceedings in the United States. The hardship and danger to individuals returned to Mexico under the MPP have been repeatedly confirmed by reliable news reports.” </w:t>
      </w:r>
      <w:hyperlink r:id="rId806" w:history="1">
        <w:r w:rsidRPr="00465FB3">
          <w:rPr>
            <w:rStyle w:val="Hyperlink"/>
            <w:rFonts w:ascii="Times New Roman" w:hAnsi="Times New Roman"/>
            <w:sz w:val="24"/>
            <w:szCs w:val="24"/>
          </w:rPr>
          <w:t>https://cdn.ca9.uscourts.gov/datastore/opinions/2020/02/28/19-15716.pdf</w:t>
        </w:r>
      </w:hyperlink>
      <w:r w:rsidRPr="00465FB3">
        <w:rPr>
          <w:rFonts w:ascii="Times New Roman" w:hAnsi="Times New Roman"/>
          <w:sz w:val="24"/>
          <w:szCs w:val="24"/>
        </w:rPr>
        <w:t xml:space="preserve"> </w:t>
      </w:r>
    </w:p>
    <w:p w14:paraId="2EC9791E" w14:textId="77777777" w:rsidR="00663160" w:rsidRPr="00465FB3" w:rsidRDefault="00663160" w:rsidP="00663160">
      <w:pPr>
        <w:spacing w:after="0" w:line="240" w:lineRule="auto"/>
        <w:rPr>
          <w:rFonts w:ascii="Times New Roman" w:hAnsi="Times New Roman"/>
          <w:sz w:val="24"/>
          <w:szCs w:val="24"/>
        </w:rPr>
      </w:pPr>
    </w:p>
    <w:p w14:paraId="7898F8F5" w14:textId="68CF51D2" w:rsidR="00663160" w:rsidRPr="00465FB3" w:rsidRDefault="00663160" w:rsidP="00663160">
      <w:pPr>
        <w:spacing w:after="0" w:line="240" w:lineRule="auto"/>
        <w:rPr>
          <w:rFonts w:ascii="Times New Roman" w:hAnsi="Times New Roman"/>
          <w:b/>
          <w:bCs/>
          <w:sz w:val="24"/>
          <w:szCs w:val="24"/>
        </w:rPr>
      </w:pPr>
      <w:r w:rsidRPr="00465FB3">
        <w:rPr>
          <w:rFonts w:ascii="Times New Roman" w:hAnsi="Times New Roman"/>
          <w:b/>
          <w:bCs/>
          <w:sz w:val="24"/>
          <w:szCs w:val="24"/>
        </w:rPr>
        <w:t>Legal Lessons Learned:  The Federal Government may now ask for all the judges on the 9</w:t>
      </w:r>
      <w:r w:rsidRPr="00465FB3">
        <w:rPr>
          <w:rFonts w:ascii="Times New Roman" w:hAnsi="Times New Roman"/>
          <w:b/>
          <w:bCs/>
          <w:sz w:val="24"/>
          <w:szCs w:val="24"/>
          <w:vertAlign w:val="superscript"/>
        </w:rPr>
        <w:t>th</w:t>
      </w:r>
      <w:r w:rsidRPr="00465FB3">
        <w:rPr>
          <w:rFonts w:ascii="Times New Roman" w:hAnsi="Times New Roman"/>
          <w:b/>
          <w:bCs/>
          <w:sz w:val="24"/>
          <w:szCs w:val="24"/>
        </w:rPr>
        <w:t xml:space="preserve"> Circuit (“</w:t>
      </w:r>
      <w:proofErr w:type="spellStart"/>
      <w:r w:rsidRPr="00465FB3">
        <w:rPr>
          <w:rFonts w:ascii="Times New Roman" w:hAnsi="Times New Roman"/>
          <w:b/>
          <w:bCs/>
          <w:sz w:val="24"/>
          <w:szCs w:val="24"/>
        </w:rPr>
        <w:t>en</w:t>
      </w:r>
      <w:proofErr w:type="spellEnd"/>
      <w:r w:rsidRPr="00465FB3">
        <w:rPr>
          <w:rFonts w:ascii="Times New Roman" w:hAnsi="Times New Roman"/>
          <w:b/>
          <w:bCs/>
          <w:sz w:val="24"/>
          <w:szCs w:val="24"/>
        </w:rPr>
        <w:t xml:space="preserve"> banc”) </w:t>
      </w:r>
      <w:r w:rsidR="00965872">
        <w:rPr>
          <w:rFonts w:ascii="Times New Roman" w:hAnsi="Times New Roman"/>
          <w:b/>
          <w:bCs/>
          <w:sz w:val="24"/>
          <w:szCs w:val="24"/>
        </w:rPr>
        <w:t xml:space="preserve">to hear </w:t>
      </w:r>
      <w:r w:rsidRPr="00465FB3">
        <w:rPr>
          <w:rFonts w:ascii="Times New Roman" w:hAnsi="Times New Roman"/>
          <w:b/>
          <w:bCs/>
          <w:sz w:val="24"/>
          <w:szCs w:val="24"/>
        </w:rPr>
        <w:t xml:space="preserve">their </w:t>
      </w:r>
      <w:proofErr w:type="gramStart"/>
      <w:r w:rsidRPr="00465FB3">
        <w:rPr>
          <w:rFonts w:ascii="Times New Roman" w:hAnsi="Times New Roman"/>
          <w:b/>
          <w:bCs/>
          <w:sz w:val="24"/>
          <w:szCs w:val="24"/>
        </w:rPr>
        <w:t>appeal, or</w:t>
      </w:r>
      <w:proofErr w:type="gramEnd"/>
      <w:r w:rsidRPr="00465FB3">
        <w:rPr>
          <w:rFonts w:ascii="Times New Roman" w:hAnsi="Times New Roman"/>
          <w:b/>
          <w:bCs/>
          <w:sz w:val="24"/>
          <w:szCs w:val="24"/>
        </w:rPr>
        <w:t xml:space="preserve"> seek an appeal to the U.S. Supreme Court (requires vote of 4 of 9 Justices to take the case).  </w:t>
      </w:r>
    </w:p>
    <w:p w14:paraId="59429E27" w14:textId="77777777" w:rsidR="00663160" w:rsidRDefault="00663160" w:rsidP="00F326E5">
      <w:pPr>
        <w:pStyle w:val="NoSpacing"/>
        <w:rPr>
          <w:rFonts w:ascii="Arial Black" w:hAnsi="Arial Black"/>
          <w:sz w:val="28"/>
          <w:szCs w:val="28"/>
        </w:rPr>
      </w:pPr>
    </w:p>
    <w:p w14:paraId="247D7D52" w14:textId="77777777" w:rsidR="00663160" w:rsidRDefault="00663160" w:rsidP="00F326E5">
      <w:pPr>
        <w:pStyle w:val="NoSpacing"/>
        <w:rPr>
          <w:rFonts w:ascii="Arial Black" w:hAnsi="Arial Black"/>
          <w:sz w:val="28"/>
          <w:szCs w:val="28"/>
        </w:rPr>
      </w:pPr>
    </w:p>
    <w:p w14:paraId="3BC4BF9F" w14:textId="77777777" w:rsidR="00663160" w:rsidRDefault="00663160" w:rsidP="00F326E5">
      <w:pPr>
        <w:pStyle w:val="NoSpacing"/>
        <w:rPr>
          <w:rFonts w:ascii="Arial Black" w:hAnsi="Arial Black"/>
          <w:sz w:val="28"/>
          <w:szCs w:val="28"/>
        </w:rPr>
      </w:pPr>
    </w:p>
    <w:p w14:paraId="15B6573F" w14:textId="77777777" w:rsidR="00663160" w:rsidRDefault="00663160" w:rsidP="00F326E5">
      <w:pPr>
        <w:pStyle w:val="NoSpacing"/>
        <w:rPr>
          <w:rFonts w:ascii="Arial Black" w:hAnsi="Arial Black"/>
          <w:sz w:val="28"/>
          <w:szCs w:val="28"/>
        </w:rPr>
      </w:pPr>
    </w:p>
    <w:p w14:paraId="092CA3D7" w14:textId="05F7FD20" w:rsidR="00663160" w:rsidRDefault="00663160" w:rsidP="00F326E5">
      <w:pPr>
        <w:pStyle w:val="NoSpacing"/>
        <w:rPr>
          <w:rFonts w:ascii="Arial Black" w:hAnsi="Arial Black"/>
          <w:sz w:val="28"/>
          <w:szCs w:val="28"/>
        </w:rPr>
      </w:pPr>
      <w:r>
        <w:rPr>
          <w:rFonts w:ascii="Arial Black" w:hAnsi="Arial Black"/>
          <w:sz w:val="28"/>
          <w:szCs w:val="28"/>
        </w:rPr>
        <w:t>3-18</w:t>
      </w:r>
    </w:p>
    <w:p w14:paraId="171DDD7B" w14:textId="6FC67F50" w:rsidR="00663160" w:rsidRDefault="00663160" w:rsidP="00F326E5">
      <w:pPr>
        <w:pStyle w:val="NoSpacing"/>
        <w:rPr>
          <w:rFonts w:ascii="Arial Black" w:hAnsi="Arial Black"/>
          <w:sz w:val="28"/>
          <w:szCs w:val="28"/>
        </w:rPr>
      </w:pPr>
    </w:p>
    <w:p w14:paraId="365039BB" w14:textId="77777777" w:rsidR="00663160" w:rsidRPr="00625E48" w:rsidRDefault="00663160" w:rsidP="00663160">
      <w:pPr>
        <w:rPr>
          <w:rFonts w:ascii="Arial Black" w:hAnsi="Arial Black"/>
          <w:sz w:val="28"/>
          <w:szCs w:val="28"/>
        </w:rPr>
      </w:pPr>
      <w:bookmarkStart w:id="150" w:name="_Hlk39818246"/>
      <w:r w:rsidRPr="00625E48">
        <w:rPr>
          <w:rFonts w:ascii="Arial Black" w:hAnsi="Arial Black"/>
          <w:sz w:val="28"/>
          <w:szCs w:val="28"/>
        </w:rPr>
        <w:t xml:space="preserve">NY: </w:t>
      </w:r>
      <w:r>
        <w:rPr>
          <w:rFonts w:ascii="Arial Black" w:hAnsi="Arial Black"/>
          <w:sz w:val="28"/>
          <w:szCs w:val="28"/>
        </w:rPr>
        <w:t>SANCTUARY CITIES –- 2</w:t>
      </w:r>
      <w:r w:rsidRPr="00FD157C">
        <w:rPr>
          <w:rFonts w:ascii="Arial Black" w:hAnsi="Arial Black"/>
          <w:sz w:val="28"/>
          <w:szCs w:val="28"/>
          <w:vertAlign w:val="superscript"/>
        </w:rPr>
        <w:t>nd</w:t>
      </w:r>
      <w:r>
        <w:rPr>
          <w:rFonts w:ascii="Arial Black" w:hAnsi="Arial Black"/>
          <w:sz w:val="28"/>
          <w:szCs w:val="28"/>
        </w:rPr>
        <w:t xml:space="preserve"> CIRCUIT UPHOLDS FED. GOV’T RIGHT TO DENY GRANTS TO STATES / CITIES </w:t>
      </w:r>
    </w:p>
    <w:p w14:paraId="3EC381D1" w14:textId="77777777" w:rsidR="00663160" w:rsidRPr="00465FB3" w:rsidRDefault="00663160" w:rsidP="00663160">
      <w:pPr>
        <w:pStyle w:val="NoSpacing"/>
        <w:rPr>
          <w:rFonts w:ascii="Times New Roman" w:hAnsi="Times New Roman"/>
          <w:b/>
          <w:bCs/>
          <w:sz w:val="24"/>
          <w:szCs w:val="24"/>
        </w:rPr>
      </w:pPr>
      <w:r w:rsidRPr="00465FB3">
        <w:rPr>
          <w:rFonts w:ascii="Times New Roman" w:hAnsi="Times New Roman"/>
          <w:bCs/>
          <w:sz w:val="24"/>
          <w:szCs w:val="24"/>
        </w:rPr>
        <w:t xml:space="preserve">On Feb. 26, 2020, in </w:t>
      </w:r>
      <w:bookmarkStart w:id="151" w:name="_Hlk39823423"/>
      <w:r w:rsidRPr="00465FB3">
        <w:rPr>
          <w:rFonts w:ascii="Times New Roman" w:hAnsi="Times New Roman"/>
          <w:bCs/>
          <w:sz w:val="24"/>
          <w:szCs w:val="24"/>
          <w:u w:val="single"/>
        </w:rPr>
        <w:t>The State of New York, Connecticut, New Jersey, Washington, Massachusetts, Virginia, Rhode Island, and City of New York v. United States Department of Justice</w:t>
      </w:r>
      <w:r w:rsidRPr="00465FB3">
        <w:rPr>
          <w:rFonts w:ascii="Times New Roman" w:hAnsi="Times New Roman"/>
          <w:bCs/>
          <w:sz w:val="24"/>
          <w:szCs w:val="24"/>
        </w:rPr>
        <w:t xml:space="preserve">, the U.S. Court of Appeals for the Second Circuit (New York), </w:t>
      </w:r>
      <w:bookmarkEnd w:id="151"/>
      <w:r w:rsidRPr="00465FB3">
        <w:rPr>
          <w:rFonts w:ascii="Times New Roman" w:hAnsi="Times New Roman"/>
          <w:bCs/>
          <w:sz w:val="24"/>
          <w:szCs w:val="24"/>
        </w:rPr>
        <w:t xml:space="preserve">held (3 to 0) that the Federal Government has the statutory right to withhold Edward Byrne Memorial Program* Criminal Justice Assistance grants from sanctuary states and municipalities, setting aside an injunction issued in 2018 by a U.S. District Court judge.  [*Court in its decision, Footnote 2: “The Byrne Program is named for New York City Police Officer Edward Byrne who, at age 22, was shot to death [Feb. 26, 1988] while guarding the home of a Guyanese immigrant cooperating with authorities investigating drug trafficking. </w:t>
      </w:r>
      <w:proofErr w:type="gramStart"/>
      <w:r w:rsidRPr="00465FB3">
        <w:rPr>
          <w:rFonts w:ascii="Times New Roman" w:hAnsi="Times New Roman"/>
          <w:bCs/>
          <w:sz w:val="24"/>
          <w:szCs w:val="24"/>
        </w:rPr>
        <w:t>The</w:t>
      </w:r>
      <w:proofErr w:type="gramEnd"/>
      <w:r w:rsidRPr="00465FB3">
        <w:rPr>
          <w:rFonts w:ascii="Times New Roman" w:hAnsi="Times New Roman"/>
          <w:bCs/>
          <w:sz w:val="24"/>
          <w:szCs w:val="24"/>
        </w:rPr>
        <w:t xml:space="preserve"> case is well known in this circuit, where five </w:t>
      </w:r>
      <w:proofErr w:type="gramStart"/>
      <w:r w:rsidRPr="00465FB3">
        <w:rPr>
          <w:rFonts w:ascii="Times New Roman" w:hAnsi="Times New Roman"/>
          <w:bCs/>
          <w:sz w:val="24"/>
          <w:szCs w:val="24"/>
        </w:rPr>
        <w:t>persons</w:t>
      </w:r>
      <w:proofErr w:type="gramEnd"/>
      <w:r w:rsidRPr="00465FB3">
        <w:rPr>
          <w:rFonts w:ascii="Times New Roman" w:hAnsi="Times New Roman"/>
          <w:bCs/>
          <w:sz w:val="24"/>
          <w:szCs w:val="24"/>
        </w:rPr>
        <w:t xml:space="preserve"> were convicted in the Eastern District of New York for their roles in Byrne’s murder. Among these was Howard ‘Pappy’ Mason, a drug dealer who, from his New York State prison cell, ordered subordinates to kill a police officer in retaliation for Mason’s own incarceration.”]</w:t>
      </w:r>
    </w:p>
    <w:p w14:paraId="6D580252" w14:textId="77777777" w:rsidR="00663160" w:rsidRPr="00465FB3" w:rsidRDefault="00663160" w:rsidP="00663160">
      <w:pPr>
        <w:pStyle w:val="NoSpacing"/>
        <w:rPr>
          <w:rFonts w:ascii="Times New Roman" w:hAnsi="Times New Roman"/>
          <w:b/>
          <w:bCs/>
          <w:sz w:val="24"/>
          <w:szCs w:val="24"/>
        </w:rPr>
      </w:pPr>
    </w:p>
    <w:p w14:paraId="2D0F12C7" w14:textId="0DA795FE" w:rsidR="00663160" w:rsidRDefault="00663160" w:rsidP="00965872">
      <w:pPr>
        <w:pStyle w:val="NoSpacing"/>
        <w:ind w:left="720"/>
        <w:rPr>
          <w:rStyle w:val="Hyperlink"/>
          <w:rFonts w:ascii="Times New Roman" w:hAnsi="Times New Roman"/>
          <w:bCs/>
          <w:sz w:val="24"/>
          <w:szCs w:val="24"/>
        </w:rPr>
      </w:pPr>
      <w:r w:rsidRPr="00465FB3">
        <w:rPr>
          <w:rFonts w:ascii="Times New Roman" w:hAnsi="Times New Roman"/>
          <w:bCs/>
          <w:sz w:val="24"/>
          <w:szCs w:val="24"/>
        </w:rPr>
        <w:t xml:space="preserve">“The principal legal question presented in this appeal is whether the federal government may deny grants of money to State and local governments that would be eligible for such awards but for their refusal to comply with three immigration‐related conditions imposed by the Attorney General of the United States. Those conditions require grant applicants to certify that they will (1) comply with federal law prohibiting any restrictions on the communication of citizenship and alien status information with federal immigration authorities, see 8U.S.C.§1373; (2) provide federal authorities, upon request, with the release dates of incarcerated illegal aliens; and (3) afford federal immigration officers access to incarcerated illegal aliens. *** For reasons explained in this opinion, we conclude that the plain language of the relevant statutes authorizes the Attorney General to impose the challenged conditions.  </w:t>
      </w:r>
      <w:bookmarkStart w:id="152" w:name="_Hlk39823517"/>
      <w:r w:rsidR="00F2621E">
        <w:fldChar w:fldCharType="begin"/>
      </w:r>
      <w:r w:rsidR="00F2621E">
        <w:instrText xml:space="preserve"> HYPERLINK "http://www.ca2.uscourts.gov/decisions/isysquery/77aa9bb2-f2fe-443d-984f-9afcae6dd25e/1/doc/19-267_opn.pdf" \l "xml=http://www.ca2.uscourts.gov/decisions/isysquery/77aa9bb2-f2fe-443d-984f-9afcae6dd25e/1/hilite/" </w:instrText>
      </w:r>
      <w:r w:rsidR="00F2621E">
        <w:fldChar w:fldCharType="separate"/>
      </w:r>
      <w:r w:rsidRPr="00465FB3">
        <w:rPr>
          <w:rStyle w:val="Hyperlink"/>
          <w:rFonts w:ascii="Times New Roman" w:hAnsi="Times New Roman"/>
          <w:bCs/>
          <w:sz w:val="24"/>
          <w:szCs w:val="24"/>
        </w:rPr>
        <w:t>http://www.ca2.uscourts.gov/decisions/isysquery/77aa9bb2-f2fe-443d-984f-9afcae6dd25e/1/doc/19-267_opn.pdf#xml=http://www.ca2.uscourts.gov/decisions/isysquery/77aa9bb2-f2fe-443d-984f-9afcae6dd25e/1/hilite/</w:t>
      </w:r>
      <w:r w:rsidR="00F2621E">
        <w:rPr>
          <w:rStyle w:val="Hyperlink"/>
          <w:rFonts w:ascii="Times New Roman" w:hAnsi="Times New Roman"/>
          <w:bCs/>
          <w:sz w:val="24"/>
          <w:szCs w:val="24"/>
        </w:rPr>
        <w:fldChar w:fldCharType="end"/>
      </w:r>
      <w:bookmarkEnd w:id="152"/>
    </w:p>
    <w:bookmarkEnd w:id="150"/>
    <w:p w14:paraId="7131F8FA" w14:textId="0421C127" w:rsidR="00663160" w:rsidRDefault="00663160" w:rsidP="00663160">
      <w:pPr>
        <w:pStyle w:val="NoSpacing"/>
        <w:rPr>
          <w:rFonts w:ascii="Arial Black" w:hAnsi="Arial Black"/>
          <w:sz w:val="28"/>
          <w:szCs w:val="28"/>
        </w:rPr>
      </w:pPr>
    </w:p>
    <w:p w14:paraId="57D29285" w14:textId="77777777" w:rsidR="00663160" w:rsidRPr="00465FB3" w:rsidRDefault="00663160" w:rsidP="00663160">
      <w:pPr>
        <w:pStyle w:val="NoSpacing"/>
        <w:tabs>
          <w:tab w:val="left" w:pos="2890"/>
        </w:tabs>
        <w:rPr>
          <w:rFonts w:ascii="Times New Roman" w:hAnsi="Times New Roman"/>
          <w:b/>
          <w:bCs/>
          <w:sz w:val="24"/>
          <w:szCs w:val="24"/>
        </w:rPr>
      </w:pPr>
      <w:bookmarkStart w:id="153" w:name="_Hlk40509288"/>
      <w:r w:rsidRPr="00465FB3">
        <w:rPr>
          <w:rFonts w:ascii="Times New Roman" w:hAnsi="Times New Roman"/>
          <w:b/>
          <w:bCs/>
          <w:sz w:val="24"/>
          <w:szCs w:val="24"/>
        </w:rPr>
        <w:t xml:space="preserve">Legal Lessons Learned: Sanctuary cities are a “hot” political issue; the states who brought this lawsuit may now request U.S. Supreme Court to hear their appeal (requires vote of 4 of 9 justices for the Court to hear an appeal).   Federal appeals courts in Philadelphia, Chicago and San Francisco have upheld injunctions against these federal restrictions. </w:t>
      </w:r>
    </w:p>
    <w:p w14:paraId="6345F829" w14:textId="7729104C" w:rsidR="00025B22" w:rsidRDefault="00663160" w:rsidP="009E7672">
      <w:pPr>
        <w:pStyle w:val="NoSpacing"/>
        <w:rPr>
          <w:rFonts w:ascii="Times New Roman" w:hAnsi="Times New Roman"/>
          <w:b/>
          <w:bCs/>
          <w:sz w:val="24"/>
          <w:szCs w:val="24"/>
        </w:rPr>
      </w:pPr>
      <w:bookmarkStart w:id="154" w:name="_Hlk39823343"/>
      <w:r w:rsidRPr="00025B22">
        <w:rPr>
          <w:rFonts w:ascii="Times New Roman" w:hAnsi="Times New Roman"/>
          <w:sz w:val="24"/>
          <w:szCs w:val="24"/>
        </w:rPr>
        <w:t xml:space="preserve">See </w:t>
      </w:r>
      <w:r w:rsidR="00025B22" w:rsidRPr="00025B22">
        <w:rPr>
          <w:rFonts w:ascii="Times New Roman" w:hAnsi="Times New Roman"/>
          <w:sz w:val="24"/>
          <w:szCs w:val="24"/>
        </w:rPr>
        <w:t xml:space="preserve">Feb. 26, </w:t>
      </w:r>
      <w:proofErr w:type="gramStart"/>
      <w:r w:rsidR="00025B22" w:rsidRPr="00025B22">
        <w:rPr>
          <w:rFonts w:ascii="Times New Roman" w:hAnsi="Times New Roman"/>
          <w:sz w:val="24"/>
          <w:szCs w:val="24"/>
        </w:rPr>
        <w:t>2020</w:t>
      </w:r>
      <w:proofErr w:type="gramEnd"/>
      <w:r w:rsidR="00025B22" w:rsidRPr="00025B22">
        <w:rPr>
          <w:rFonts w:ascii="Times New Roman" w:hAnsi="Times New Roman"/>
          <w:sz w:val="24"/>
          <w:szCs w:val="24"/>
        </w:rPr>
        <w:t xml:space="preserve"> </w:t>
      </w:r>
      <w:r w:rsidRPr="00025B22">
        <w:rPr>
          <w:rFonts w:ascii="Times New Roman" w:hAnsi="Times New Roman"/>
          <w:sz w:val="24"/>
          <w:szCs w:val="24"/>
        </w:rPr>
        <w:t>article on the decision:</w:t>
      </w:r>
      <w:r w:rsidRPr="00465FB3">
        <w:rPr>
          <w:rFonts w:ascii="Times New Roman" w:hAnsi="Times New Roman"/>
          <w:b/>
          <w:bCs/>
          <w:sz w:val="24"/>
          <w:szCs w:val="24"/>
        </w:rPr>
        <w:t xml:space="preserve"> </w:t>
      </w:r>
      <w:r w:rsidR="00025B22" w:rsidRPr="00025B22">
        <w:rPr>
          <w:rFonts w:ascii="Times New Roman" w:hAnsi="Times New Roman"/>
          <w:sz w:val="24"/>
          <w:szCs w:val="24"/>
        </w:rPr>
        <w:t>Trump Administration May Withhold Federal Grants Over Sanctuary Policies, 2nd Circuit Rules</w:t>
      </w:r>
      <w:r w:rsidR="00025B22">
        <w:rPr>
          <w:rFonts w:ascii="Times New Roman" w:hAnsi="Times New Roman"/>
          <w:sz w:val="24"/>
          <w:szCs w:val="24"/>
        </w:rPr>
        <w:t xml:space="preserve">,” </w:t>
      </w:r>
    </w:p>
    <w:p w14:paraId="444BEB8E" w14:textId="05A41F0F" w:rsidR="00663160" w:rsidRPr="00465FB3" w:rsidRDefault="00025B22" w:rsidP="00663160">
      <w:pPr>
        <w:pStyle w:val="NoSpacing"/>
        <w:tabs>
          <w:tab w:val="left" w:pos="2890"/>
        </w:tabs>
        <w:rPr>
          <w:rFonts w:ascii="Times New Roman" w:hAnsi="Times New Roman"/>
          <w:sz w:val="24"/>
          <w:szCs w:val="24"/>
        </w:rPr>
      </w:pPr>
      <w:hyperlink r:id="rId807" w:history="1">
        <w:r w:rsidRPr="00751ACF">
          <w:rPr>
            <w:rStyle w:val="Hyperlink"/>
            <w:rFonts w:ascii="Times New Roman" w:hAnsi="Times New Roman"/>
            <w:b/>
            <w:bCs/>
            <w:sz w:val="24"/>
            <w:szCs w:val="24"/>
          </w:rPr>
          <w:t>https://www.law.com/newyorklawjournal/2020/02/26/trump-administration-may-withhold-federal-grants-over-sanctuary-policies-2nd-circuit-rules/</w:t>
        </w:r>
      </w:hyperlink>
      <w:r w:rsidR="00663160" w:rsidRPr="00465FB3">
        <w:rPr>
          <w:rFonts w:ascii="Times New Roman" w:hAnsi="Times New Roman"/>
          <w:sz w:val="24"/>
          <w:szCs w:val="24"/>
        </w:rPr>
        <w:t xml:space="preserve"> </w:t>
      </w:r>
      <w:bookmarkEnd w:id="153"/>
    </w:p>
    <w:bookmarkEnd w:id="154"/>
    <w:p w14:paraId="1DFB96BD" w14:textId="2F988E5D" w:rsidR="00663160" w:rsidRDefault="00663160" w:rsidP="00663160">
      <w:pPr>
        <w:pStyle w:val="NoSpacing"/>
        <w:rPr>
          <w:rFonts w:ascii="Arial Black" w:hAnsi="Arial Black"/>
          <w:sz w:val="28"/>
          <w:szCs w:val="28"/>
        </w:rPr>
      </w:pPr>
      <w:r>
        <w:rPr>
          <w:rFonts w:ascii="Arial Black" w:hAnsi="Arial Black"/>
          <w:sz w:val="28"/>
          <w:szCs w:val="28"/>
        </w:rPr>
        <w:t xml:space="preserve"> </w:t>
      </w:r>
    </w:p>
    <w:p w14:paraId="6AF8BCF4" w14:textId="77777777" w:rsidR="00663160" w:rsidRDefault="00663160" w:rsidP="00F326E5">
      <w:pPr>
        <w:pStyle w:val="NoSpacing"/>
        <w:rPr>
          <w:rFonts w:ascii="Arial Black" w:hAnsi="Arial Black"/>
          <w:sz w:val="28"/>
          <w:szCs w:val="28"/>
        </w:rPr>
      </w:pPr>
    </w:p>
    <w:p w14:paraId="397E350C" w14:textId="77777777" w:rsidR="00663160" w:rsidRDefault="00663160" w:rsidP="00F326E5">
      <w:pPr>
        <w:pStyle w:val="NoSpacing"/>
        <w:rPr>
          <w:rFonts w:ascii="Arial Black" w:hAnsi="Arial Black"/>
          <w:sz w:val="28"/>
          <w:szCs w:val="28"/>
        </w:rPr>
      </w:pPr>
    </w:p>
    <w:p w14:paraId="3BF95380" w14:textId="6375CE74" w:rsidR="007C6FEF" w:rsidRDefault="007C6FEF" w:rsidP="00F326E5">
      <w:pPr>
        <w:pStyle w:val="NoSpacing"/>
        <w:rPr>
          <w:rFonts w:ascii="Arial Black" w:hAnsi="Arial Black"/>
          <w:sz w:val="28"/>
          <w:szCs w:val="28"/>
        </w:rPr>
      </w:pPr>
      <w:r>
        <w:rPr>
          <w:rFonts w:ascii="Arial Black" w:hAnsi="Arial Black"/>
          <w:sz w:val="28"/>
          <w:szCs w:val="28"/>
        </w:rPr>
        <w:t>3-17</w:t>
      </w:r>
    </w:p>
    <w:p w14:paraId="7B72F072" w14:textId="31E31B1A" w:rsidR="007C6FEF" w:rsidRDefault="007C6FEF" w:rsidP="007C6FEF">
      <w:pPr>
        <w:spacing w:before="100" w:beforeAutospacing="1" w:after="100" w:afterAutospacing="1" w:line="240" w:lineRule="auto"/>
        <w:rPr>
          <w:rFonts w:ascii="Arial Black" w:hAnsi="Arial Black"/>
          <w:sz w:val="28"/>
          <w:szCs w:val="28"/>
        </w:rPr>
      </w:pPr>
      <w:r w:rsidRPr="00E0167A">
        <w:rPr>
          <w:rFonts w:ascii="Arial Black" w:hAnsi="Arial Black"/>
          <w:sz w:val="28"/>
          <w:szCs w:val="28"/>
        </w:rPr>
        <w:t>NY:</w:t>
      </w:r>
      <w:r>
        <w:rPr>
          <w:rFonts w:ascii="Arial Black" w:hAnsi="Arial Black"/>
          <w:sz w:val="28"/>
          <w:szCs w:val="28"/>
        </w:rPr>
        <w:t xml:space="preserve">  TERRORIST – ATTACKED FBI AGENT, 8-INCH KNIFE – PLED GUITY – 2</w:t>
      </w:r>
      <w:r w:rsidRPr="00E62FA3">
        <w:rPr>
          <w:rFonts w:ascii="Arial Black" w:hAnsi="Arial Black"/>
          <w:sz w:val="28"/>
          <w:szCs w:val="28"/>
          <w:vertAlign w:val="superscript"/>
        </w:rPr>
        <w:t>nd</w:t>
      </w:r>
      <w:r>
        <w:rPr>
          <w:rFonts w:ascii="Arial Black" w:hAnsi="Arial Black"/>
          <w:sz w:val="28"/>
          <w:szCs w:val="28"/>
        </w:rPr>
        <w:t xml:space="preserve"> Cir: 17 YRS IN PRISON NOT ENOUGH </w:t>
      </w:r>
    </w:p>
    <w:p w14:paraId="037F3549" w14:textId="77777777" w:rsidR="007C6FEF" w:rsidRDefault="007C6FEF" w:rsidP="007C6FEF">
      <w:pPr>
        <w:spacing w:before="100" w:beforeAutospacing="1" w:after="100" w:afterAutospacing="1" w:line="240" w:lineRule="auto"/>
        <w:rPr>
          <w:rFonts w:ascii="OnTimes New Roman" w:hAnsi="OnTimes New Roman"/>
          <w:sz w:val="24"/>
          <w:szCs w:val="24"/>
        </w:rPr>
      </w:pPr>
      <w:r>
        <w:rPr>
          <w:rFonts w:ascii="OnTimes New Roman" w:hAnsi="OnTimes New Roman"/>
          <w:sz w:val="24"/>
          <w:szCs w:val="24"/>
        </w:rPr>
        <w:t xml:space="preserve">On Dec. 27, 2019, in </w:t>
      </w:r>
      <w:r w:rsidRPr="00E0167A">
        <w:rPr>
          <w:rFonts w:ascii="Times New Roman" w:hAnsi="Times New Roman"/>
          <w:sz w:val="24"/>
          <w:szCs w:val="24"/>
          <w:u w:val="single"/>
        </w:rPr>
        <w:t>United States of America v. Fareed Mumuni</w:t>
      </w:r>
      <w:r>
        <w:rPr>
          <w:rFonts w:ascii="OnTimes New Roman" w:hAnsi="OnTimes New Roman"/>
          <w:sz w:val="24"/>
          <w:szCs w:val="24"/>
        </w:rPr>
        <w:t xml:space="preserve">, the U.S. Court of Appeals for Second Circuit (NYC), held 2 to 1 that U.S. District Court judge must re-sentence the convicted terrorist. </w:t>
      </w:r>
    </w:p>
    <w:p w14:paraId="422BEC57" w14:textId="77777777" w:rsidR="007C6FEF" w:rsidRDefault="007C6FEF" w:rsidP="007C6FEF">
      <w:pPr>
        <w:spacing w:before="100" w:beforeAutospacing="1" w:after="100" w:afterAutospacing="1" w:line="240" w:lineRule="auto"/>
        <w:ind w:left="720"/>
        <w:rPr>
          <w:rFonts w:ascii="Times New Roman" w:hAnsi="Times New Roman"/>
          <w:sz w:val="24"/>
          <w:szCs w:val="24"/>
        </w:rPr>
      </w:pPr>
      <w:r w:rsidRPr="00E0167A">
        <w:rPr>
          <w:rFonts w:ascii="Times New Roman" w:hAnsi="Times New Roman"/>
          <w:sz w:val="24"/>
          <w:szCs w:val="24"/>
        </w:rPr>
        <w:t>“In</w:t>
      </w:r>
      <w:r>
        <w:rPr>
          <w:rFonts w:ascii="Times New Roman" w:hAnsi="Times New Roman"/>
          <w:sz w:val="24"/>
          <w:szCs w:val="24"/>
        </w:rPr>
        <w:t xml:space="preserve"> </w:t>
      </w:r>
      <w:r w:rsidRPr="00E0167A">
        <w:rPr>
          <w:rFonts w:ascii="Times New Roman" w:hAnsi="Times New Roman"/>
          <w:sz w:val="24"/>
          <w:szCs w:val="24"/>
        </w:rPr>
        <w:t>this</w:t>
      </w:r>
      <w:r>
        <w:rPr>
          <w:rFonts w:ascii="Times New Roman" w:hAnsi="Times New Roman"/>
          <w:sz w:val="24"/>
          <w:szCs w:val="24"/>
        </w:rPr>
        <w:t xml:space="preserve"> </w:t>
      </w:r>
      <w:r w:rsidRPr="00E0167A">
        <w:rPr>
          <w:rFonts w:ascii="Times New Roman" w:hAnsi="Times New Roman"/>
          <w:sz w:val="24"/>
          <w:szCs w:val="24"/>
        </w:rPr>
        <w:t>terrorism</w:t>
      </w:r>
      <w:r>
        <w:rPr>
          <w:rFonts w:ascii="Times New Roman" w:hAnsi="Times New Roman"/>
          <w:sz w:val="24"/>
          <w:szCs w:val="24"/>
        </w:rPr>
        <w:t xml:space="preserve"> </w:t>
      </w:r>
      <w:r w:rsidRPr="00E0167A">
        <w:rPr>
          <w:rFonts w:ascii="Times New Roman" w:hAnsi="Times New Roman"/>
          <w:sz w:val="24"/>
          <w:szCs w:val="24"/>
        </w:rPr>
        <w:t>case,</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Government</w:t>
      </w:r>
      <w:r>
        <w:rPr>
          <w:rFonts w:ascii="Times New Roman" w:hAnsi="Times New Roman"/>
          <w:sz w:val="24"/>
          <w:szCs w:val="24"/>
        </w:rPr>
        <w:t xml:space="preserve"> </w:t>
      </w:r>
      <w:r w:rsidRPr="00E0167A">
        <w:rPr>
          <w:rFonts w:ascii="Times New Roman" w:hAnsi="Times New Roman"/>
          <w:sz w:val="24"/>
          <w:szCs w:val="24"/>
        </w:rPr>
        <w:t>appeals</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substantive </w:t>
      </w:r>
      <w:r w:rsidRPr="00E0167A">
        <w:rPr>
          <w:rFonts w:ascii="Times New Roman" w:hAnsi="Times New Roman"/>
          <w:sz w:val="24"/>
          <w:szCs w:val="24"/>
        </w:rPr>
        <w:t>reasonableness</w:t>
      </w:r>
      <w:r>
        <w:rPr>
          <w:rFonts w:ascii="Times New Roman" w:hAnsi="Times New Roman"/>
          <w:sz w:val="24"/>
          <w:szCs w:val="24"/>
        </w:rPr>
        <w:t xml:space="preserve"> </w:t>
      </w:r>
      <w:r w:rsidRPr="00E0167A">
        <w:rPr>
          <w:rFonts w:ascii="Times New Roman" w:hAnsi="Times New Roman"/>
          <w:sz w:val="24"/>
          <w:szCs w:val="24"/>
        </w:rPr>
        <w:t>of</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sentence</w:t>
      </w:r>
      <w:r>
        <w:rPr>
          <w:rFonts w:ascii="Times New Roman" w:hAnsi="Times New Roman"/>
          <w:sz w:val="24"/>
          <w:szCs w:val="24"/>
        </w:rPr>
        <w:t xml:space="preserve"> </w:t>
      </w:r>
      <w:r w:rsidRPr="00E0167A">
        <w:rPr>
          <w:rFonts w:ascii="Times New Roman" w:hAnsi="Times New Roman"/>
          <w:sz w:val="24"/>
          <w:szCs w:val="24"/>
        </w:rPr>
        <w:t>imposed</w:t>
      </w:r>
      <w:r>
        <w:rPr>
          <w:rFonts w:ascii="Times New Roman" w:hAnsi="Times New Roman"/>
          <w:sz w:val="24"/>
          <w:szCs w:val="24"/>
        </w:rPr>
        <w:t xml:space="preserve"> </w:t>
      </w:r>
      <w:r w:rsidRPr="00E0167A">
        <w:rPr>
          <w:rFonts w:ascii="Times New Roman" w:hAnsi="Times New Roman"/>
          <w:sz w:val="24"/>
          <w:szCs w:val="24"/>
        </w:rPr>
        <w:t>on</w:t>
      </w:r>
      <w:r>
        <w:rPr>
          <w:rFonts w:ascii="Times New Roman" w:hAnsi="Times New Roman"/>
          <w:sz w:val="24"/>
          <w:szCs w:val="24"/>
        </w:rPr>
        <w:t xml:space="preserve"> </w:t>
      </w:r>
      <w:r w:rsidRPr="00E0167A">
        <w:rPr>
          <w:rFonts w:ascii="Times New Roman" w:hAnsi="Times New Roman"/>
          <w:sz w:val="24"/>
          <w:szCs w:val="24"/>
        </w:rPr>
        <w:t>Defendant‐</w:t>
      </w:r>
      <w:r>
        <w:rPr>
          <w:rFonts w:ascii="Times New Roman" w:hAnsi="Times New Roman"/>
          <w:sz w:val="24"/>
          <w:szCs w:val="24"/>
        </w:rPr>
        <w:t>A</w:t>
      </w:r>
      <w:r w:rsidRPr="00E0167A">
        <w:rPr>
          <w:rFonts w:ascii="Times New Roman" w:hAnsi="Times New Roman"/>
          <w:sz w:val="24"/>
          <w:szCs w:val="24"/>
        </w:rPr>
        <w:t>ppellee</w:t>
      </w:r>
      <w:r>
        <w:rPr>
          <w:rFonts w:ascii="Times New Roman" w:hAnsi="Times New Roman"/>
          <w:sz w:val="24"/>
          <w:szCs w:val="24"/>
        </w:rPr>
        <w:t xml:space="preserve"> </w:t>
      </w:r>
      <w:r w:rsidRPr="00E0167A">
        <w:rPr>
          <w:rFonts w:ascii="Times New Roman" w:hAnsi="Times New Roman"/>
          <w:sz w:val="24"/>
          <w:szCs w:val="24"/>
        </w:rPr>
        <w:t>Fareed</w:t>
      </w:r>
      <w:r>
        <w:rPr>
          <w:rFonts w:ascii="Times New Roman" w:hAnsi="Times New Roman"/>
          <w:sz w:val="24"/>
          <w:szCs w:val="24"/>
        </w:rPr>
        <w:t xml:space="preserve"> </w:t>
      </w:r>
      <w:r w:rsidRPr="00E0167A">
        <w:rPr>
          <w:rFonts w:ascii="Times New Roman" w:hAnsi="Times New Roman"/>
          <w:sz w:val="24"/>
          <w:szCs w:val="24"/>
        </w:rPr>
        <w:t>Mumuni</w:t>
      </w:r>
      <w:r>
        <w:rPr>
          <w:rFonts w:ascii="Times New Roman" w:hAnsi="Times New Roman"/>
          <w:sz w:val="24"/>
          <w:szCs w:val="24"/>
        </w:rPr>
        <w:t xml:space="preserve"> </w:t>
      </w:r>
      <w:r w:rsidRPr="00E0167A">
        <w:rPr>
          <w:rFonts w:ascii="Times New Roman" w:hAnsi="Times New Roman"/>
          <w:sz w:val="24"/>
          <w:szCs w:val="24"/>
        </w:rPr>
        <w:t>(</w:t>
      </w:r>
      <w:r>
        <w:rPr>
          <w:rFonts w:ascii="Times New Roman" w:hAnsi="Times New Roman"/>
          <w:sz w:val="24"/>
          <w:szCs w:val="24"/>
        </w:rPr>
        <w:t>‘</w:t>
      </w:r>
      <w:r w:rsidRPr="00E0167A">
        <w:rPr>
          <w:rFonts w:ascii="Times New Roman" w:hAnsi="Times New Roman"/>
          <w:sz w:val="24"/>
          <w:szCs w:val="24"/>
        </w:rPr>
        <w:t>Mumuni</w:t>
      </w:r>
      <w:r>
        <w:rPr>
          <w:rFonts w:ascii="Times New Roman" w:hAnsi="Times New Roman"/>
          <w:sz w:val="24"/>
          <w:szCs w:val="24"/>
        </w:rPr>
        <w:t>’</w:t>
      </w:r>
      <w:r w:rsidRPr="00E0167A">
        <w:rPr>
          <w:rFonts w:ascii="Times New Roman" w:hAnsi="Times New Roman"/>
          <w:sz w:val="24"/>
          <w:szCs w:val="24"/>
        </w:rPr>
        <w:t>).</w:t>
      </w:r>
      <w:r>
        <w:rPr>
          <w:rFonts w:ascii="Times New Roman" w:hAnsi="Times New Roman"/>
          <w:sz w:val="24"/>
          <w:szCs w:val="24"/>
        </w:rPr>
        <w:t xml:space="preserve"> </w:t>
      </w:r>
      <w:r w:rsidRPr="00E0167A">
        <w:rPr>
          <w:rFonts w:ascii="Times New Roman" w:hAnsi="Times New Roman"/>
          <w:sz w:val="24"/>
          <w:szCs w:val="24"/>
        </w:rPr>
        <w:t>He</w:t>
      </w:r>
      <w:r>
        <w:rPr>
          <w:rFonts w:ascii="Times New Roman" w:hAnsi="Times New Roman"/>
          <w:sz w:val="24"/>
          <w:szCs w:val="24"/>
        </w:rPr>
        <w:t xml:space="preserve"> </w:t>
      </w:r>
      <w:r w:rsidRPr="00E0167A">
        <w:rPr>
          <w:rFonts w:ascii="Times New Roman" w:hAnsi="Times New Roman"/>
          <w:sz w:val="24"/>
          <w:szCs w:val="24"/>
        </w:rPr>
        <w:t>was</w:t>
      </w:r>
      <w:r>
        <w:rPr>
          <w:rFonts w:ascii="Times New Roman" w:hAnsi="Times New Roman"/>
          <w:sz w:val="24"/>
          <w:szCs w:val="24"/>
        </w:rPr>
        <w:t xml:space="preserve"> </w:t>
      </w:r>
      <w:r w:rsidRPr="00E0167A">
        <w:rPr>
          <w:rFonts w:ascii="Times New Roman" w:hAnsi="Times New Roman"/>
          <w:sz w:val="24"/>
          <w:szCs w:val="24"/>
        </w:rPr>
        <w:t>convicted</w:t>
      </w:r>
      <w:r>
        <w:rPr>
          <w:rFonts w:ascii="Times New Roman" w:hAnsi="Times New Roman"/>
          <w:sz w:val="24"/>
          <w:szCs w:val="24"/>
        </w:rPr>
        <w:t xml:space="preserve"> </w:t>
      </w:r>
      <w:r w:rsidRPr="00E0167A">
        <w:rPr>
          <w:rFonts w:ascii="Times New Roman" w:hAnsi="Times New Roman"/>
          <w:sz w:val="24"/>
          <w:szCs w:val="24"/>
        </w:rPr>
        <w:t>of,</w:t>
      </w:r>
      <w:r>
        <w:rPr>
          <w:rFonts w:ascii="Times New Roman" w:hAnsi="Times New Roman"/>
          <w:sz w:val="24"/>
          <w:szCs w:val="24"/>
        </w:rPr>
        <w:t xml:space="preserve"> </w:t>
      </w:r>
      <w:r w:rsidRPr="00E0167A">
        <w:rPr>
          <w:rFonts w:ascii="Times New Roman" w:hAnsi="Times New Roman"/>
          <w:sz w:val="24"/>
          <w:szCs w:val="24"/>
        </w:rPr>
        <w:t>inter</w:t>
      </w:r>
      <w:r>
        <w:rPr>
          <w:rFonts w:ascii="Times New Roman" w:hAnsi="Times New Roman"/>
          <w:sz w:val="24"/>
          <w:szCs w:val="24"/>
        </w:rPr>
        <w:t xml:space="preserve"> </w:t>
      </w:r>
      <w:r w:rsidRPr="00E0167A">
        <w:rPr>
          <w:rFonts w:ascii="Times New Roman" w:hAnsi="Times New Roman"/>
          <w:sz w:val="24"/>
          <w:szCs w:val="24"/>
        </w:rPr>
        <w:t>alia,</w:t>
      </w:r>
      <w:r>
        <w:rPr>
          <w:rFonts w:ascii="Times New Roman" w:hAnsi="Times New Roman"/>
          <w:sz w:val="24"/>
          <w:szCs w:val="24"/>
        </w:rPr>
        <w:t xml:space="preserve"> </w:t>
      </w:r>
      <w:r w:rsidRPr="00E0167A">
        <w:rPr>
          <w:rFonts w:ascii="Times New Roman" w:hAnsi="Times New Roman"/>
          <w:sz w:val="24"/>
          <w:szCs w:val="24"/>
        </w:rPr>
        <w:t>conspiring</w:t>
      </w:r>
      <w:r>
        <w:rPr>
          <w:rFonts w:ascii="Times New Roman" w:hAnsi="Times New Roman"/>
          <w:sz w:val="24"/>
          <w:szCs w:val="24"/>
        </w:rPr>
        <w:t xml:space="preserve"> </w:t>
      </w:r>
      <w:r w:rsidRPr="00E0167A">
        <w:rPr>
          <w:rFonts w:ascii="Times New Roman" w:hAnsi="Times New Roman"/>
          <w:sz w:val="24"/>
          <w:szCs w:val="24"/>
        </w:rPr>
        <w:t>to</w:t>
      </w:r>
      <w:r>
        <w:rPr>
          <w:rFonts w:ascii="Times New Roman" w:hAnsi="Times New Roman"/>
          <w:sz w:val="24"/>
          <w:szCs w:val="24"/>
        </w:rPr>
        <w:t xml:space="preserve"> </w:t>
      </w:r>
      <w:r w:rsidRPr="00E0167A">
        <w:rPr>
          <w:rFonts w:ascii="Times New Roman" w:hAnsi="Times New Roman"/>
          <w:sz w:val="24"/>
          <w:szCs w:val="24"/>
        </w:rPr>
        <w:t>provide</w:t>
      </w:r>
      <w:r>
        <w:rPr>
          <w:rFonts w:ascii="Times New Roman" w:hAnsi="Times New Roman"/>
          <w:sz w:val="24"/>
          <w:szCs w:val="24"/>
        </w:rPr>
        <w:t xml:space="preserve"> </w:t>
      </w:r>
      <w:r w:rsidRPr="00E0167A">
        <w:rPr>
          <w:rFonts w:ascii="Times New Roman" w:hAnsi="Times New Roman"/>
          <w:sz w:val="24"/>
          <w:szCs w:val="24"/>
        </w:rPr>
        <w:t>material</w:t>
      </w:r>
      <w:r>
        <w:rPr>
          <w:rFonts w:ascii="Times New Roman" w:hAnsi="Times New Roman"/>
          <w:sz w:val="24"/>
          <w:szCs w:val="24"/>
        </w:rPr>
        <w:t xml:space="preserve"> </w:t>
      </w:r>
      <w:r w:rsidRPr="00E0167A">
        <w:rPr>
          <w:rFonts w:ascii="Times New Roman" w:hAnsi="Times New Roman"/>
          <w:sz w:val="24"/>
          <w:szCs w:val="24"/>
        </w:rPr>
        <w:t>support</w:t>
      </w:r>
      <w:r>
        <w:rPr>
          <w:rFonts w:ascii="Times New Roman" w:hAnsi="Times New Roman"/>
          <w:sz w:val="24"/>
          <w:szCs w:val="24"/>
        </w:rPr>
        <w:t xml:space="preserve"> </w:t>
      </w:r>
      <w:r w:rsidRPr="00E0167A">
        <w:rPr>
          <w:rFonts w:ascii="Times New Roman" w:hAnsi="Times New Roman"/>
          <w:sz w:val="24"/>
          <w:szCs w:val="24"/>
        </w:rPr>
        <w:t>to</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Islamic</w:t>
      </w:r>
      <w:r>
        <w:rPr>
          <w:rFonts w:ascii="Times New Roman" w:hAnsi="Times New Roman"/>
          <w:sz w:val="24"/>
          <w:szCs w:val="24"/>
        </w:rPr>
        <w:t xml:space="preserve"> </w:t>
      </w:r>
      <w:r w:rsidRPr="00E0167A">
        <w:rPr>
          <w:rFonts w:ascii="Times New Roman" w:hAnsi="Times New Roman"/>
          <w:sz w:val="24"/>
          <w:szCs w:val="24"/>
        </w:rPr>
        <w:t>State</w:t>
      </w:r>
      <w:r>
        <w:rPr>
          <w:rFonts w:ascii="Times New Roman" w:hAnsi="Times New Roman"/>
          <w:sz w:val="24"/>
          <w:szCs w:val="24"/>
        </w:rPr>
        <w:t xml:space="preserve"> </w:t>
      </w:r>
      <w:r w:rsidRPr="00E0167A">
        <w:rPr>
          <w:rFonts w:ascii="Times New Roman" w:hAnsi="Times New Roman"/>
          <w:sz w:val="24"/>
          <w:szCs w:val="24"/>
        </w:rPr>
        <w:t>of</w:t>
      </w:r>
      <w:r>
        <w:rPr>
          <w:rFonts w:ascii="Times New Roman" w:hAnsi="Times New Roman"/>
          <w:sz w:val="24"/>
          <w:szCs w:val="24"/>
        </w:rPr>
        <w:t xml:space="preserve"> </w:t>
      </w:r>
      <w:r w:rsidRPr="00E0167A">
        <w:rPr>
          <w:rFonts w:ascii="Times New Roman" w:hAnsi="Times New Roman"/>
          <w:sz w:val="24"/>
          <w:szCs w:val="24"/>
        </w:rPr>
        <w:t>Iraq</w:t>
      </w:r>
      <w:r>
        <w:rPr>
          <w:rFonts w:ascii="Times New Roman" w:hAnsi="Times New Roman"/>
          <w:sz w:val="24"/>
          <w:szCs w:val="24"/>
        </w:rPr>
        <w:t xml:space="preserve"> </w:t>
      </w:r>
      <w:r w:rsidRPr="00E0167A">
        <w:rPr>
          <w:rFonts w:ascii="Times New Roman" w:hAnsi="Times New Roman"/>
          <w:sz w:val="24"/>
          <w:szCs w:val="24"/>
        </w:rPr>
        <w:t>and</w:t>
      </w:r>
      <w:r>
        <w:rPr>
          <w:rFonts w:ascii="Times New Roman" w:hAnsi="Times New Roman"/>
          <w:sz w:val="24"/>
          <w:szCs w:val="24"/>
        </w:rPr>
        <w:t xml:space="preserve"> </w:t>
      </w:r>
      <w:r w:rsidRPr="00E0167A">
        <w:rPr>
          <w:rFonts w:ascii="Times New Roman" w:hAnsi="Times New Roman"/>
          <w:sz w:val="24"/>
          <w:szCs w:val="24"/>
        </w:rPr>
        <w:t>al‐Sham</w:t>
      </w:r>
      <w:r>
        <w:rPr>
          <w:rFonts w:ascii="Times New Roman" w:hAnsi="Times New Roman"/>
          <w:sz w:val="24"/>
          <w:szCs w:val="24"/>
        </w:rPr>
        <w:t xml:space="preserve"> </w:t>
      </w:r>
      <w:r w:rsidRPr="00E0167A">
        <w:rPr>
          <w:rFonts w:ascii="Times New Roman" w:hAnsi="Times New Roman"/>
          <w:sz w:val="24"/>
          <w:szCs w:val="24"/>
        </w:rPr>
        <w:t>(</w:t>
      </w:r>
      <w:r>
        <w:rPr>
          <w:rFonts w:ascii="Times New Roman" w:hAnsi="Times New Roman"/>
          <w:sz w:val="24"/>
          <w:szCs w:val="24"/>
        </w:rPr>
        <w:t>‘</w:t>
      </w:r>
      <w:r w:rsidRPr="00E0167A">
        <w:rPr>
          <w:rFonts w:ascii="Times New Roman" w:hAnsi="Times New Roman"/>
          <w:sz w:val="24"/>
          <w:szCs w:val="24"/>
        </w:rPr>
        <w:t>ISIS</w:t>
      </w:r>
      <w:r>
        <w:rPr>
          <w:rFonts w:ascii="Times New Roman" w:hAnsi="Times New Roman"/>
          <w:sz w:val="24"/>
          <w:szCs w:val="24"/>
        </w:rPr>
        <w:t>’</w:t>
      </w:r>
      <w:r w:rsidRPr="00E0167A">
        <w:rPr>
          <w:rFonts w:ascii="Times New Roman" w:hAnsi="Times New Roman"/>
          <w:sz w:val="24"/>
          <w:szCs w:val="24"/>
        </w:rPr>
        <w:t>)</w:t>
      </w:r>
      <w:r>
        <w:rPr>
          <w:rFonts w:ascii="Times New Roman" w:hAnsi="Times New Roman"/>
          <w:sz w:val="24"/>
          <w:szCs w:val="24"/>
        </w:rPr>
        <w:t xml:space="preserve"> </w:t>
      </w:r>
      <w:r w:rsidRPr="00E0167A">
        <w:rPr>
          <w:rFonts w:ascii="Times New Roman" w:hAnsi="Times New Roman"/>
          <w:sz w:val="24"/>
          <w:szCs w:val="24"/>
        </w:rPr>
        <w:t>and</w:t>
      </w:r>
      <w:r>
        <w:rPr>
          <w:rFonts w:ascii="Times New Roman" w:hAnsi="Times New Roman"/>
          <w:sz w:val="24"/>
          <w:szCs w:val="24"/>
        </w:rPr>
        <w:t xml:space="preserve"> </w:t>
      </w:r>
      <w:r w:rsidRPr="00E0167A">
        <w:rPr>
          <w:rFonts w:ascii="Times New Roman" w:hAnsi="Times New Roman"/>
          <w:sz w:val="24"/>
          <w:szCs w:val="24"/>
        </w:rPr>
        <w:t>attempting</w:t>
      </w:r>
      <w:r>
        <w:rPr>
          <w:rFonts w:ascii="Times New Roman" w:hAnsi="Times New Roman"/>
          <w:sz w:val="24"/>
          <w:szCs w:val="24"/>
        </w:rPr>
        <w:t xml:space="preserve"> </w:t>
      </w:r>
      <w:r w:rsidRPr="00E0167A">
        <w:rPr>
          <w:rFonts w:ascii="Times New Roman" w:hAnsi="Times New Roman"/>
          <w:sz w:val="24"/>
          <w:szCs w:val="24"/>
        </w:rPr>
        <w:t>to</w:t>
      </w:r>
      <w:r>
        <w:rPr>
          <w:rFonts w:ascii="Times New Roman" w:hAnsi="Times New Roman"/>
          <w:sz w:val="24"/>
          <w:szCs w:val="24"/>
        </w:rPr>
        <w:t xml:space="preserve"> </w:t>
      </w:r>
      <w:r w:rsidRPr="00E0167A">
        <w:rPr>
          <w:rFonts w:ascii="Times New Roman" w:hAnsi="Times New Roman"/>
          <w:sz w:val="24"/>
          <w:szCs w:val="24"/>
        </w:rPr>
        <w:t>murder</w:t>
      </w:r>
      <w:r>
        <w:rPr>
          <w:rFonts w:ascii="Times New Roman" w:hAnsi="Times New Roman"/>
          <w:sz w:val="24"/>
          <w:szCs w:val="24"/>
        </w:rPr>
        <w:t xml:space="preserve"> </w:t>
      </w:r>
      <w:r w:rsidRPr="00E0167A">
        <w:rPr>
          <w:rFonts w:ascii="Times New Roman" w:hAnsi="Times New Roman"/>
          <w:sz w:val="24"/>
          <w:szCs w:val="24"/>
        </w:rPr>
        <w:t>a</w:t>
      </w:r>
      <w:r>
        <w:rPr>
          <w:rFonts w:ascii="Times New Roman" w:hAnsi="Times New Roman"/>
          <w:sz w:val="24"/>
          <w:szCs w:val="24"/>
        </w:rPr>
        <w:t xml:space="preserve"> </w:t>
      </w:r>
      <w:r w:rsidRPr="00E0167A">
        <w:rPr>
          <w:rFonts w:ascii="Times New Roman" w:hAnsi="Times New Roman"/>
          <w:sz w:val="24"/>
          <w:szCs w:val="24"/>
        </w:rPr>
        <w:t>federal</w:t>
      </w:r>
      <w:r>
        <w:rPr>
          <w:rFonts w:ascii="Times New Roman" w:hAnsi="Times New Roman"/>
          <w:sz w:val="24"/>
          <w:szCs w:val="24"/>
        </w:rPr>
        <w:t xml:space="preserve"> </w:t>
      </w:r>
      <w:r w:rsidRPr="00E0167A">
        <w:rPr>
          <w:rFonts w:ascii="Times New Roman" w:hAnsi="Times New Roman"/>
          <w:sz w:val="24"/>
          <w:szCs w:val="24"/>
        </w:rPr>
        <w:t>agent</w:t>
      </w:r>
      <w:r>
        <w:rPr>
          <w:rFonts w:ascii="Times New Roman" w:hAnsi="Times New Roman"/>
          <w:sz w:val="24"/>
          <w:szCs w:val="24"/>
        </w:rPr>
        <w:t xml:space="preserve"> </w:t>
      </w:r>
      <w:r w:rsidRPr="00E0167A">
        <w:rPr>
          <w:rFonts w:ascii="Times New Roman" w:hAnsi="Times New Roman"/>
          <w:sz w:val="24"/>
          <w:szCs w:val="24"/>
        </w:rPr>
        <w:t>in</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name</w:t>
      </w:r>
      <w:r>
        <w:rPr>
          <w:rFonts w:ascii="Times New Roman" w:hAnsi="Times New Roman"/>
          <w:sz w:val="24"/>
          <w:szCs w:val="24"/>
        </w:rPr>
        <w:t xml:space="preserve"> </w:t>
      </w:r>
      <w:r w:rsidRPr="00E0167A">
        <w:rPr>
          <w:rFonts w:ascii="Times New Roman" w:hAnsi="Times New Roman"/>
          <w:sz w:val="24"/>
          <w:szCs w:val="24"/>
        </w:rPr>
        <w:t>of</w:t>
      </w:r>
      <w:r>
        <w:rPr>
          <w:rFonts w:ascii="Times New Roman" w:hAnsi="Times New Roman"/>
          <w:sz w:val="24"/>
          <w:szCs w:val="24"/>
        </w:rPr>
        <w:t xml:space="preserve"> </w:t>
      </w:r>
      <w:r w:rsidRPr="00E0167A">
        <w:rPr>
          <w:rFonts w:ascii="Times New Roman" w:hAnsi="Times New Roman"/>
          <w:sz w:val="24"/>
          <w:szCs w:val="24"/>
        </w:rPr>
        <w:t>ISIS.</w:t>
      </w:r>
      <w:r>
        <w:rPr>
          <w:rFonts w:ascii="Times New Roman" w:hAnsi="Times New Roman"/>
          <w:sz w:val="24"/>
          <w:szCs w:val="24"/>
        </w:rPr>
        <w:t xml:space="preserve"> </w:t>
      </w:r>
      <w:r w:rsidRPr="00E0167A">
        <w:rPr>
          <w:rFonts w:ascii="Times New Roman" w:hAnsi="Times New Roman"/>
          <w:sz w:val="24"/>
          <w:szCs w:val="24"/>
        </w:rPr>
        <w:t>His</w:t>
      </w:r>
      <w:r>
        <w:rPr>
          <w:rFonts w:ascii="Times New Roman" w:hAnsi="Times New Roman"/>
          <w:sz w:val="24"/>
          <w:szCs w:val="24"/>
        </w:rPr>
        <w:t xml:space="preserve"> </w:t>
      </w:r>
      <w:r w:rsidRPr="00E0167A">
        <w:rPr>
          <w:rFonts w:ascii="Times New Roman" w:hAnsi="Times New Roman"/>
          <w:sz w:val="24"/>
          <w:szCs w:val="24"/>
        </w:rPr>
        <w:t>advisory</w:t>
      </w:r>
      <w:r>
        <w:rPr>
          <w:rFonts w:ascii="Times New Roman" w:hAnsi="Times New Roman"/>
          <w:sz w:val="24"/>
          <w:szCs w:val="24"/>
        </w:rPr>
        <w:t xml:space="preserve"> </w:t>
      </w:r>
      <w:r w:rsidRPr="00E0167A">
        <w:rPr>
          <w:rFonts w:ascii="Times New Roman" w:hAnsi="Times New Roman"/>
          <w:sz w:val="24"/>
          <w:szCs w:val="24"/>
        </w:rPr>
        <w:t>sentence</w:t>
      </w:r>
      <w:r>
        <w:rPr>
          <w:rFonts w:ascii="Times New Roman" w:hAnsi="Times New Roman"/>
          <w:sz w:val="24"/>
          <w:szCs w:val="24"/>
        </w:rPr>
        <w:t xml:space="preserve"> </w:t>
      </w:r>
      <w:r w:rsidRPr="00E0167A">
        <w:rPr>
          <w:rFonts w:ascii="Times New Roman" w:hAnsi="Times New Roman"/>
          <w:sz w:val="24"/>
          <w:szCs w:val="24"/>
        </w:rPr>
        <w:t>under</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United</w:t>
      </w:r>
      <w:r>
        <w:rPr>
          <w:rFonts w:ascii="Times New Roman" w:hAnsi="Times New Roman"/>
          <w:sz w:val="24"/>
          <w:szCs w:val="24"/>
        </w:rPr>
        <w:t xml:space="preserve"> </w:t>
      </w:r>
      <w:r w:rsidRPr="00E0167A">
        <w:rPr>
          <w:rFonts w:ascii="Times New Roman" w:hAnsi="Times New Roman"/>
          <w:sz w:val="24"/>
          <w:szCs w:val="24"/>
        </w:rPr>
        <w:t>States</w:t>
      </w:r>
      <w:r>
        <w:rPr>
          <w:rFonts w:ascii="Times New Roman" w:hAnsi="Times New Roman"/>
          <w:sz w:val="24"/>
          <w:szCs w:val="24"/>
        </w:rPr>
        <w:t xml:space="preserve"> </w:t>
      </w:r>
      <w:r w:rsidRPr="00E0167A">
        <w:rPr>
          <w:rFonts w:ascii="Times New Roman" w:hAnsi="Times New Roman"/>
          <w:sz w:val="24"/>
          <w:szCs w:val="24"/>
        </w:rPr>
        <w:t>Sentencing</w:t>
      </w:r>
      <w:r>
        <w:rPr>
          <w:rFonts w:ascii="Times New Roman" w:hAnsi="Times New Roman"/>
          <w:sz w:val="24"/>
          <w:szCs w:val="24"/>
        </w:rPr>
        <w:t xml:space="preserve"> </w:t>
      </w:r>
      <w:r w:rsidRPr="00E0167A">
        <w:rPr>
          <w:rFonts w:ascii="Times New Roman" w:hAnsi="Times New Roman"/>
          <w:sz w:val="24"/>
          <w:szCs w:val="24"/>
        </w:rPr>
        <w:t>Guidelines</w:t>
      </w:r>
      <w:r>
        <w:rPr>
          <w:rFonts w:ascii="Times New Roman" w:hAnsi="Times New Roman"/>
          <w:sz w:val="24"/>
          <w:szCs w:val="24"/>
        </w:rPr>
        <w:t xml:space="preserve"> </w:t>
      </w:r>
      <w:r w:rsidRPr="00E0167A">
        <w:rPr>
          <w:rFonts w:ascii="Times New Roman" w:hAnsi="Times New Roman"/>
          <w:sz w:val="24"/>
          <w:szCs w:val="24"/>
        </w:rPr>
        <w:t>(</w:t>
      </w:r>
      <w:r>
        <w:rPr>
          <w:rFonts w:ascii="Times New Roman" w:hAnsi="Times New Roman"/>
          <w:sz w:val="24"/>
          <w:szCs w:val="24"/>
        </w:rPr>
        <w:t>‘</w:t>
      </w:r>
      <w:r w:rsidRPr="00E0167A">
        <w:rPr>
          <w:rFonts w:ascii="Times New Roman" w:hAnsi="Times New Roman"/>
          <w:sz w:val="24"/>
          <w:szCs w:val="24"/>
        </w:rPr>
        <w:t>Guidelines</w:t>
      </w:r>
      <w:r>
        <w:rPr>
          <w:rFonts w:ascii="Times New Roman" w:hAnsi="Times New Roman"/>
          <w:sz w:val="24"/>
          <w:szCs w:val="24"/>
        </w:rPr>
        <w:t xml:space="preserve">’ </w:t>
      </w:r>
      <w:r w:rsidRPr="00E0167A">
        <w:rPr>
          <w:rFonts w:ascii="Times New Roman" w:hAnsi="Times New Roman"/>
          <w:sz w:val="24"/>
          <w:szCs w:val="24"/>
        </w:rPr>
        <w:t>or</w:t>
      </w:r>
      <w:r>
        <w:rPr>
          <w:rFonts w:ascii="Times New Roman" w:hAnsi="Times New Roman"/>
          <w:sz w:val="24"/>
          <w:szCs w:val="24"/>
        </w:rPr>
        <w:t xml:space="preserve"> ‘</w:t>
      </w:r>
      <w:r w:rsidRPr="00E0167A">
        <w:rPr>
          <w:rFonts w:ascii="Times New Roman" w:hAnsi="Times New Roman"/>
          <w:sz w:val="24"/>
          <w:szCs w:val="24"/>
        </w:rPr>
        <w:t>U.S.S.G.</w:t>
      </w:r>
      <w:r>
        <w:rPr>
          <w:rFonts w:ascii="Times New Roman" w:hAnsi="Times New Roman"/>
          <w:sz w:val="24"/>
          <w:szCs w:val="24"/>
        </w:rPr>
        <w:t>’</w:t>
      </w:r>
      <w:r w:rsidRPr="00E0167A">
        <w:rPr>
          <w:rFonts w:ascii="Times New Roman" w:hAnsi="Times New Roman"/>
          <w:sz w:val="24"/>
          <w:szCs w:val="24"/>
        </w:rPr>
        <w:t>)</w:t>
      </w:r>
      <w:r>
        <w:rPr>
          <w:rFonts w:ascii="Times New Roman" w:hAnsi="Times New Roman"/>
          <w:sz w:val="24"/>
          <w:szCs w:val="24"/>
        </w:rPr>
        <w:t xml:space="preserve"> </w:t>
      </w:r>
      <w:r w:rsidRPr="00E0167A">
        <w:rPr>
          <w:rFonts w:ascii="Times New Roman" w:hAnsi="Times New Roman"/>
          <w:sz w:val="24"/>
          <w:szCs w:val="24"/>
        </w:rPr>
        <w:t>was</w:t>
      </w:r>
      <w:r>
        <w:rPr>
          <w:rFonts w:ascii="Times New Roman" w:hAnsi="Times New Roman"/>
          <w:sz w:val="24"/>
          <w:szCs w:val="24"/>
        </w:rPr>
        <w:t xml:space="preserve"> </w:t>
      </w:r>
      <w:r w:rsidRPr="00E0167A">
        <w:rPr>
          <w:rFonts w:ascii="Times New Roman" w:hAnsi="Times New Roman"/>
          <w:sz w:val="24"/>
          <w:szCs w:val="24"/>
        </w:rPr>
        <w:t>85</w:t>
      </w:r>
      <w:r>
        <w:rPr>
          <w:rFonts w:ascii="Times New Roman" w:hAnsi="Times New Roman"/>
          <w:sz w:val="24"/>
          <w:szCs w:val="24"/>
        </w:rPr>
        <w:t xml:space="preserve"> </w:t>
      </w:r>
      <w:r w:rsidRPr="00E0167A">
        <w:rPr>
          <w:rFonts w:ascii="Times New Roman" w:hAnsi="Times New Roman"/>
          <w:sz w:val="24"/>
          <w:szCs w:val="24"/>
        </w:rPr>
        <w:t>years’</w:t>
      </w:r>
      <w:r>
        <w:rPr>
          <w:rFonts w:ascii="Times New Roman" w:hAnsi="Times New Roman"/>
          <w:sz w:val="24"/>
          <w:szCs w:val="24"/>
        </w:rPr>
        <w:t xml:space="preserve"> </w:t>
      </w:r>
      <w:r w:rsidRPr="00E0167A">
        <w:rPr>
          <w:rFonts w:ascii="Times New Roman" w:hAnsi="Times New Roman"/>
          <w:sz w:val="24"/>
          <w:szCs w:val="24"/>
        </w:rPr>
        <w:t>imprisonment.</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sole</w:t>
      </w:r>
      <w:r>
        <w:rPr>
          <w:rFonts w:ascii="Times New Roman" w:hAnsi="Times New Roman"/>
          <w:sz w:val="24"/>
          <w:szCs w:val="24"/>
        </w:rPr>
        <w:t xml:space="preserve"> </w:t>
      </w:r>
      <w:r w:rsidRPr="00E0167A">
        <w:rPr>
          <w:rFonts w:ascii="Times New Roman" w:hAnsi="Times New Roman"/>
          <w:sz w:val="24"/>
          <w:szCs w:val="24"/>
        </w:rPr>
        <w:t>question</w:t>
      </w:r>
      <w:r>
        <w:rPr>
          <w:rFonts w:ascii="Times New Roman" w:hAnsi="Times New Roman"/>
          <w:sz w:val="24"/>
          <w:szCs w:val="24"/>
        </w:rPr>
        <w:t xml:space="preserve"> </w:t>
      </w:r>
      <w:r w:rsidRPr="00E0167A">
        <w:rPr>
          <w:rFonts w:ascii="Times New Roman" w:hAnsi="Times New Roman"/>
          <w:sz w:val="24"/>
          <w:szCs w:val="24"/>
        </w:rPr>
        <w:t>on</w:t>
      </w:r>
      <w:r>
        <w:rPr>
          <w:rFonts w:ascii="Times New Roman" w:hAnsi="Times New Roman"/>
          <w:sz w:val="24"/>
          <w:szCs w:val="24"/>
        </w:rPr>
        <w:t xml:space="preserve"> </w:t>
      </w:r>
      <w:r w:rsidRPr="00E0167A">
        <w:rPr>
          <w:rFonts w:ascii="Times New Roman" w:hAnsi="Times New Roman"/>
          <w:sz w:val="24"/>
          <w:szCs w:val="24"/>
        </w:rPr>
        <w:t>appeal</w:t>
      </w:r>
      <w:r>
        <w:rPr>
          <w:rFonts w:ascii="Times New Roman" w:hAnsi="Times New Roman"/>
          <w:sz w:val="24"/>
          <w:szCs w:val="24"/>
        </w:rPr>
        <w:t xml:space="preserve"> </w:t>
      </w:r>
      <w:r w:rsidRPr="00E0167A">
        <w:rPr>
          <w:rFonts w:ascii="Times New Roman" w:hAnsi="Times New Roman"/>
          <w:sz w:val="24"/>
          <w:szCs w:val="24"/>
        </w:rPr>
        <w:t>is</w:t>
      </w:r>
      <w:r>
        <w:rPr>
          <w:rFonts w:ascii="Times New Roman" w:hAnsi="Times New Roman"/>
          <w:sz w:val="24"/>
          <w:szCs w:val="24"/>
        </w:rPr>
        <w:t xml:space="preserve"> </w:t>
      </w:r>
      <w:r w:rsidRPr="00E0167A">
        <w:rPr>
          <w:rFonts w:ascii="Times New Roman" w:hAnsi="Times New Roman"/>
          <w:sz w:val="24"/>
          <w:szCs w:val="24"/>
        </w:rPr>
        <w:t>whether</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United</w:t>
      </w:r>
      <w:r>
        <w:rPr>
          <w:rFonts w:ascii="Times New Roman" w:hAnsi="Times New Roman"/>
          <w:sz w:val="24"/>
          <w:szCs w:val="24"/>
        </w:rPr>
        <w:t xml:space="preserve"> </w:t>
      </w:r>
      <w:r w:rsidRPr="00E0167A">
        <w:rPr>
          <w:rFonts w:ascii="Times New Roman" w:hAnsi="Times New Roman"/>
          <w:sz w:val="24"/>
          <w:szCs w:val="24"/>
        </w:rPr>
        <w:t>States</w:t>
      </w:r>
      <w:r>
        <w:rPr>
          <w:rFonts w:ascii="Times New Roman" w:hAnsi="Times New Roman"/>
          <w:sz w:val="24"/>
          <w:szCs w:val="24"/>
        </w:rPr>
        <w:t xml:space="preserve"> </w:t>
      </w:r>
      <w:r w:rsidRPr="00E0167A">
        <w:rPr>
          <w:rFonts w:ascii="Times New Roman" w:hAnsi="Times New Roman"/>
          <w:sz w:val="24"/>
          <w:szCs w:val="24"/>
        </w:rPr>
        <w:t>District</w:t>
      </w:r>
      <w:r>
        <w:rPr>
          <w:rFonts w:ascii="Times New Roman" w:hAnsi="Times New Roman"/>
          <w:sz w:val="24"/>
          <w:szCs w:val="24"/>
        </w:rPr>
        <w:t xml:space="preserve"> </w:t>
      </w:r>
      <w:r w:rsidRPr="00E0167A">
        <w:rPr>
          <w:rFonts w:ascii="Times New Roman" w:hAnsi="Times New Roman"/>
          <w:sz w:val="24"/>
          <w:szCs w:val="24"/>
        </w:rPr>
        <w:t>Court</w:t>
      </w:r>
      <w:r>
        <w:rPr>
          <w:rFonts w:ascii="Times New Roman" w:hAnsi="Times New Roman"/>
          <w:sz w:val="24"/>
          <w:szCs w:val="24"/>
        </w:rPr>
        <w:t xml:space="preserve"> </w:t>
      </w:r>
      <w:r w:rsidRPr="00E0167A">
        <w:rPr>
          <w:rFonts w:ascii="Times New Roman" w:hAnsi="Times New Roman"/>
          <w:sz w:val="24"/>
          <w:szCs w:val="24"/>
        </w:rPr>
        <w:t>for</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Eastern</w:t>
      </w:r>
      <w:r>
        <w:rPr>
          <w:rFonts w:ascii="Times New Roman" w:hAnsi="Times New Roman"/>
          <w:sz w:val="24"/>
          <w:szCs w:val="24"/>
        </w:rPr>
        <w:t xml:space="preserve"> </w:t>
      </w:r>
      <w:r w:rsidRPr="00E0167A">
        <w:rPr>
          <w:rFonts w:ascii="Times New Roman" w:hAnsi="Times New Roman"/>
          <w:sz w:val="24"/>
          <w:szCs w:val="24"/>
        </w:rPr>
        <w:t>District</w:t>
      </w:r>
      <w:r>
        <w:rPr>
          <w:rFonts w:ascii="Times New Roman" w:hAnsi="Times New Roman"/>
          <w:sz w:val="24"/>
          <w:szCs w:val="24"/>
        </w:rPr>
        <w:t xml:space="preserve"> </w:t>
      </w:r>
      <w:r w:rsidRPr="00E0167A">
        <w:rPr>
          <w:rFonts w:ascii="Times New Roman" w:hAnsi="Times New Roman"/>
          <w:sz w:val="24"/>
          <w:szCs w:val="24"/>
        </w:rPr>
        <w:t>of</w:t>
      </w:r>
      <w:r>
        <w:rPr>
          <w:rFonts w:ascii="Times New Roman" w:hAnsi="Times New Roman"/>
          <w:sz w:val="24"/>
          <w:szCs w:val="24"/>
        </w:rPr>
        <w:t xml:space="preserve"> </w:t>
      </w:r>
      <w:r w:rsidRPr="00E0167A">
        <w:rPr>
          <w:rFonts w:ascii="Times New Roman" w:hAnsi="Times New Roman"/>
          <w:sz w:val="24"/>
          <w:szCs w:val="24"/>
        </w:rPr>
        <w:t>New</w:t>
      </w:r>
      <w:r>
        <w:rPr>
          <w:rFonts w:ascii="Times New Roman" w:hAnsi="Times New Roman"/>
          <w:sz w:val="24"/>
          <w:szCs w:val="24"/>
        </w:rPr>
        <w:t xml:space="preserve"> </w:t>
      </w:r>
      <w:r w:rsidRPr="00E0167A">
        <w:rPr>
          <w:rFonts w:ascii="Times New Roman" w:hAnsi="Times New Roman"/>
          <w:sz w:val="24"/>
          <w:szCs w:val="24"/>
        </w:rPr>
        <w:t>York</w:t>
      </w:r>
      <w:r>
        <w:rPr>
          <w:rFonts w:ascii="Times New Roman" w:hAnsi="Times New Roman"/>
          <w:sz w:val="24"/>
          <w:szCs w:val="24"/>
        </w:rPr>
        <w:t xml:space="preserve"> </w:t>
      </w:r>
      <w:r w:rsidRPr="00E0167A">
        <w:rPr>
          <w:rFonts w:ascii="Times New Roman" w:hAnsi="Times New Roman"/>
          <w:sz w:val="24"/>
          <w:szCs w:val="24"/>
        </w:rPr>
        <w:t>(Margo</w:t>
      </w:r>
      <w:r>
        <w:rPr>
          <w:rFonts w:ascii="Times New Roman" w:hAnsi="Times New Roman"/>
          <w:sz w:val="24"/>
          <w:szCs w:val="24"/>
        </w:rPr>
        <w:t xml:space="preserve"> </w:t>
      </w:r>
      <w:r w:rsidRPr="00E0167A">
        <w:rPr>
          <w:rFonts w:ascii="Times New Roman" w:hAnsi="Times New Roman"/>
          <w:sz w:val="24"/>
          <w:szCs w:val="24"/>
        </w:rPr>
        <w:t>K.</w:t>
      </w:r>
      <w:r>
        <w:rPr>
          <w:rFonts w:ascii="Times New Roman" w:hAnsi="Times New Roman"/>
          <w:sz w:val="24"/>
          <w:szCs w:val="24"/>
        </w:rPr>
        <w:t xml:space="preserve"> </w:t>
      </w:r>
      <w:r w:rsidRPr="00E0167A">
        <w:rPr>
          <w:rFonts w:ascii="Times New Roman" w:hAnsi="Times New Roman"/>
          <w:sz w:val="24"/>
          <w:szCs w:val="24"/>
        </w:rPr>
        <w:t>Brodie,</w:t>
      </w:r>
      <w:r>
        <w:rPr>
          <w:rFonts w:ascii="Times New Roman" w:hAnsi="Times New Roman"/>
          <w:sz w:val="24"/>
          <w:szCs w:val="24"/>
        </w:rPr>
        <w:t xml:space="preserve"> </w:t>
      </w:r>
      <w:r w:rsidRPr="00E0167A">
        <w:rPr>
          <w:rFonts w:ascii="Times New Roman" w:hAnsi="Times New Roman"/>
          <w:sz w:val="24"/>
          <w:szCs w:val="24"/>
        </w:rPr>
        <w:t>Judge)</w:t>
      </w:r>
      <w:r>
        <w:rPr>
          <w:rFonts w:ascii="Times New Roman" w:hAnsi="Times New Roman"/>
          <w:sz w:val="24"/>
          <w:szCs w:val="24"/>
        </w:rPr>
        <w:t xml:space="preserve"> </w:t>
      </w:r>
      <w:r w:rsidRPr="00E0167A">
        <w:rPr>
          <w:rFonts w:ascii="Times New Roman" w:hAnsi="Times New Roman"/>
          <w:sz w:val="24"/>
          <w:szCs w:val="24"/>
        </w:rPr>
        <w:t>erred—or</w:t>
      </w:r>
      <w:r>
        <w:rPr>
          <w:rFonts w:ascii="Times New Roman" w:hAnsi="Times New Roman"/>
          <w:sz w:val="24"/>
          <w:szCs w:val="24"/>
        </w:rPr>
        <w:t xml:space="preserve"> ‘</w:t>
      </w:r>
      <w:r w:rsidRPr="00E0167A">
        <w:rPr>
          <w:rFonts w:ascii="Times New Roman" w:hAnsi="Times New Roman"/>
          <w:sz w:val="24"/>
          <w:szCs w:val="24"/>
        </w:rPr>
        <w:t>abuse</w:t>
      </w:r>
      <w:r>
        <w:rPr>
          <w:rFonts w:ascii="Times New Roman" w:hAnsi="Times New Roman"/>
          <w:sz w:val="24"/>
          <w:szCs w:val="24"/>
        </w:rPr>
        <w:t xml:space="preserve">d its </w:t>
      </w:r>
      <w:r w:rsidRPr="00E0167A">
        <w:rPr>
          <w:rFonts w:ascii="Times New Roman" w:hAnsi="Times New Roman"/>
          <w:sz w:val="24"/>
          <w:szCs w:val="24"/>
        </w:rPr>
        <w:t>discretion</w:t>
      </w:r>
      <w:r>
        <w:rPr>
          <w:rFonts w:ascii="Times New Roman" w:hAnsi="Times New Roman"/>
          <w:sz w:val="24"/>
          <w:szCs w:val="24"/>
        </w:rPr>
        <w:t>’</w:t>
      </w:r>
      <w:r w:rsidRPr="00E0167A">
        <w:rPr>
          <w:rFonts w:ascii="Times New Roman" w:hAnsi="Times New Roman"/>
          <w:sz w:val="24"/>
          <w:szCs w:val="24"/>
        </w:rPr>
        <w:t>—by</w:t>
      </w:r>
      <w:r>
        <w:rPr>
          <w:rFonts w:ascii="Times New Roman" w:hAnsi="Times New Roman"/>
          <w:sz w:val="24"/>
          <w:szCs w:val="24"/>
        </w:rPr>
        <w:t xml:space="preserve"> </w:t>
      </w:r>
      <w:r w:rsidRPr="00E0167A">
        <w:rPr>
          <w:rFonts w:ascii="Times New Roman" w:hAnsi="Times New Roman"/>
          <w:sz w:val="24"/>
          <w:szCs w:val="24"/>
        </w:rPr>
        <w:t>imposing</w:t>
      </w:r>
      <w:r>
        <w:rPr>
          <w:rFonts w:ascii="Times New Roman" w:hAnsi="Times New Roman"/>
          <w:sz w:val="24"/>
          <w:szCs w:val="24"/>
        </w:rPr>
        <w:t xml:space="preserve"> </w:t>
      </w:r>
      <w:r w:rsidRPr="00E0167A">
        <w:rPr>
          <w:rFonts w:ascii="Times New Roman" w:hAnsi="Times New Roman"/>
          <w:sz w:val="24"/>
          <w:szCs w:val="24"/>
        </w:rPr>
        <w:t>a17‐</w:t>
      </w:r>
      <w:r>
        <w:rPr>
          <w:rFonts w:ascii="Times New Roman" w:hAnsi="Times New Roman"/>
          <w:sz w:val="24"/>
          <w:szCs w:val="24"/>
        </w:rPr>
        <w:t>y</w:t>
      </w:r>
      <w:r w:rsidRPr="00E0167A">
        <w:rPr>
          <w:rFonts w:ascii="Times New Roman" w:hAnsi="Times New Roman"/>
          <w:sz w:val="24"/>
          <w:szCs w:val="24"/>
        </w:rPr>
        <w:t>ear</w:t>
      </w:r>
      <w:r>
        <w:rPr>
          <w:rFonts w:ascii="Times New Roman" w:hAnsi="Times New Roman"/>
          <w:sz w:val="24"/>
          <w:szCs w:val="24"/>
        </w:rPr>
        <w:t xml:space="preserve"> </w:t>
      </w:r>
      <w:r w:rsidRPr="00E0167A">
        <w:rPr>
          <w:rFonts w:ascii="Times New Roman" w:hAnsi="Times New Roman"/>
          <w:sz w:val="24"/>
          <w:szCs w:val="24"/>
        </w:rPr>
        <w:t>sentence,</w:t>
      </w:r>
      <w:r>
        <w:rPr>
          <w:rFonts w:ascii="Times New Roman" w:hAnsi="Times New Roman"/>
          <w:sz w:val="24"/>
          <w:szCs w:val="24"/>
        </w:rPr>
        <w:t xml:space="preserve"> </w:t>
      </w:r>
      <w:r w:rsidRPr="00E0167A">
        <w:rPr>
          <w:rFonts w:ascii="Times New Roman" w:hAnsi="Times New Roman"/>
          <w:sz w:val="24"/>
          <w:szCs w:val="24"/>
        </w:rPr>
        <w:t>which</w:t>
      </w:r>
      <w:r>
        <w:rPr>
          <w:rFonts w:ascii="Times New Roman" w:hAnsi="Times New Roman"/>
          <w:sz w:val="24"/>
          <w:szCs w:val="24"/>
        </w:rPr>
        <w:t xml:space="preserve"> </w:t>
      </w:r>
      <w:r w:rsidRPr="00E0167A">
        <w:rPr>
          <w:rFonts w:ascii="Times New Roman" w:hAnsi="Times New Roman"/>
          <w:sz w:val="24"/>
          <w:szCs w:val="24"/>
        </w:rPr>
        <w:t>constitutes</w:t>
      </w:r>
      <w:r>
        <w:rPr>
          <w:rFonts w:ascii="Times New Roman" w:hAnsi="Times New Roman"/>
          <w:sz w:val="24"/>
          <w:szCs w:val="24"/>
        </w:rPr>
        <w:t xml:space="preserve"> </w:t>
      </w:r>
      <w:r w:rsidRPr="00E0167A">
        <w:rPr>
          <w:rFonts w:ascii="Times New Roman" w:hAnsi="Times New Roman"/>
          <w:sz w:val="24"/>
          <w:szCs w:val="24"/>
        </w:rPr>
        <w:t>an</w:t>
      </w:r>
      <w:r>
        <w:rPr>
          <w:rFonts w:ascii="Times New Roman" w:hAnsi="Times New Roman"/>
          <w:sz w:val="24"/>
          <w:szCs w:val="24"/>
        </w:rPr>
        <w:t xml:space="preserve"> </w:t>
      </w:r>
      <w:r w:rsidRPr="00E0167A">
        <w:rPr>
          <w:rFonts w:ascii="Times New Roman" w:hAnsi="Times New Roman"/>
          <w:sz w:val="24"/>
          <w:szCs w:val="24"/>
        </w:rPr>
        <w:t>80%</w:t>
      </w:r>
      <w:r>
        <w:rPr>
          <w:rFonts w:ascii="Times New Roman" w:hAnsi="Times New Roman"/>
          <w:sz w:val="24"/>
          <w:szCs w:val="24"/>
        </w:rPr>
        <w:t xml:space="preserve"> </w:t>
      </w:r>
      <w:r w:rsidRPr="00E0167A">
        <w:rPr>
          <w:rFonts w:ascii="Times New Roman" w:hAnsi="Times New Roman"/>
          <w:sz w:val="24"/>
          <w:szCs w:val="24"/>
        </w:rPr>
        <w:t>downward</w:t>
      </w:r>
      <w:r>
        <w:rPr>
          <w:rFonts w:ascii="Times New Roman" w:hAnsi="Times New Roman"/>
          <w:sz w:val="24"/>
          <w:szCs w:val="24"/>
        </w:rPr>
        <w:t xml:space="preserve"> </w:t>
      </w:r>
      <w:r w:rsidRPr="00E0167A">
        <w:rPr>
          <w:rFonts w:ascii="Times New Roman" w:hAnsi="Times New Roman"/>
          <w:sz w:val="24"/>
          <w:szCs w:val="24"/>
        </w:rPr>
        <w:t>variance</w:t>
      </w:r>
      <w:r>
        <w:rPr>
          <w:rFonts w:ascii="Times New Roman" w:hAnsi="Times New Roman"/>
          <w:sz w:val="24"/>
          <w:szCs w:val="24"/>
        </w:rPr>
        <w:t xml:space="preserve"> </w:t>
      </w:r>
      <w:r w:rsidRPr="00E0167A">
        <w:rPr>
          <w:rFonts w:ascii="Times New Roman" w:hAnsi="Times New Roman"/>
          <w:sz w:val="24"/>
          <w:szCs w:val="24"/>
        </w:rPr>
        <w:t>from</w:t>
      </w:r>
      <w:r>
        <w:rPr>
          <w:rFonts w:ascii="Times New Roman" w:hAnsi="Times New Roman"/>
          <w:sz w:val="24"/>
          <w:szCs w:val="24"/>
        </w:rPr>
        <w:t xml:space="preserve"> </w:t>
      </w:r>
      <w:r w:rsidRPr="00E0167A">
        <w:rPr>
          <w:rFonts w:ascii="Times New Roman" w:hAnsi="Times New Roman"/>
          <w:sz w:val="24"/>
          <w:szCs w:val="24"/>
        </w:rPr>
        <w:t>Mumuni’s</w:t>
      </w:r>
      <w:r>
        <w:rPr>
          <w:rFonts w:ascii="Times New Roman" w:hAnsi="Times New Roman"/>
          <w:sz w:val="24"/>
          <w:szCs w:val="24"/>
        </w:rPr>
        <w:t xml:space="preserve"> </w:t>
      </w:r>
      <w:r w:rsidRPr="00E0167A">
        <w:rPr>
          <w:rFonts w:ascii="Times New Roman" w:hAnsi="Times New Roman"/>
          <w:sz w:val="24"/>
          <w:szCs w:val="24"/>
        </w:rPr>
        <w:t>advisory</w:t>
      </w:r>
      <w:r>
        <w:rPr>
          <w:rFonts w:ascii="Times New Roman" w:hAnsi="Times New Roman"/>
          <w:sz w:val="24"/>
          <w:szCs w:val="24"/>
        </w:rPr>
        <w:t xml:space="preserve"> </w:t>
      </w:r>
      <w:r w:rsidRPr="00E0167A">
        <w:rPr>
          <w:rFonts w:ascii="Times New Roman" w:hAnsi="Times New Roman"/>
          <w:sz w:val="24"/>
          <w:szCs w:val="24"/>
        </w:rPr>
        <w:t>Guidelines</w:t>
      </w:r>
      <w:r>
        <w:rPr>
          <w:rFonts w:ascii="Times New Roman" w:hAnsi="Times New Roman"/>
          <w:sz w:val="24"/>
          <w:szCs w:val="24"/>
        </w:rPr>
        <w:t xml:space="preserve"> </w:t>
      </w:r>
      <w:r w:rsidRPr="00E0167A">
        <w:rPr>
          <w:rFonts w:ascii="Times New Roman" w:hAnsi="Times New Roman"/>
          <w:sz w:val="24"/>
          <w:szCs w:val="24"/>
        </w:rPr>
        <w:t>range.</w:t>
      </w:r>
      <w:r>
        <w:rPr>
          <w:rFonts w:ascii="Times New Roman" w:hAnsi="Times New Roman"/>
          <w:sz w:val="24"/>
          <w:szCs w:val="24"/>
        </w:rPr>
        <w:t xml:space="preserve"> </w:t>
      </w:r>
      <w:r w:rsidRPr="00E0167A">
        <w:rPr>
          <w:rFonts w:ascii="Times New Roman" w:hAnsi="Times New Roman"/>
          <w:sz w:val="24"/>
          <w:szCs w:val="24"/>
        </w:rPr>
        <w:t>We</w:t>
      </w:r>
      <w:r>
        <w:rPr>
          <w:rFonts w:ascii="Times New Roman" w:hAnsi="Times New Roman"/>
          <w:sz w:val="24"/>
          <w:szCs w:val="24"/>
        </w:rPr>
        <w:t xml:space="preserve"> </w:t>
      </w:r>
      <w:r w:rsidRPr="00E0167A">
        <w:rPr>
          <w:rFonts w:ascii="Times New Roman" w:hAnsi="Times New Roman"/>
          <w:sz w:val="24"/>
          <w:szCs w:val="24"/>
        </w:rPr>
        <w:t>conclude</w:t>
      </w:r>
      <w:r>
        <w:rPr>
          <w:rFonts w:ascii="Times New Roman" w:hAnsi="Times New Roman"/>
          <w:sz w:val="24"/>
          <w:szCs w:val="24"/>
        </w:rPr>
        <w:t xml:space="preserve"> </w:t>
      </w:r>
      <w:r w:rsidRPr="00E0167A">
        <w:rPr>
          <w:rFonts w:ascii="Times New Roman" w:hAnsi="Times New Roman"/>
          <w:sz w:val="24"/>
          <w:szCs w:val="24"/>
        </w:rPr>
        <w:t>that</w:t>
      </w:r>
      <w:r>
        <w:rPr>
          <w:rFonts w:ascii="Times New Roman" w:hAnsi="Times New Roman"/>
          <w:sz w:val="24"/>
          <w:szCs w:val="24"/>
        </w:rPr>
        <w:t xml:space="preserve"> </w:t>
      </w:r>
      <w:r w:rsidRPr="00E0167A">
        <w:rPr>
          <w:rFonts w:ascii="Times New Roman" w:hAnsi="Times New Roman"/>
          <w:sz w:val="24"/>
          <w:szCs w:val="24"/>
        </w:rPr>
        <w:t>it</w:t>
      </w:r>
      <w:r>
        <w:rPr>
          <w:rFonts w:ascii="Times New Roman" w:hAnsi="Times New Roman"/>
          <w:sz w:val="24"/>
          <w:szCs w:val="24"/>
        </w:rPr>
        <w:t xml:space="preserve"> </w:t>
      </w:r>
      <w:r w:rsidRPr="00E0167A">
        <w:rPr>
          <w:rFonts w:ascii="Times New Roman" w:hAnsi="Times New Roman"/>
          <w:sz w:val="24"/>
          <w:szCs w:val="24"/>
        </w:rPr>
        <w:t>did.</w:t>
      </w:r>
      <w:r>
        <w:rPr>
          <w:rFonts w:ascii="Times New Roman" w:hAnsi="Times New Roman"/>
          <w:sz w:val="24"/>
          <w:szCs w:val="24"/>
        </w:rPr>
        <w:t xml:space="preserve"> </w:t>
      </w:r>
      <w:r w:rsidRPr="00E0167A">
        <w:rPr>
          <w:rFonts w:ascii="Times New Roman" w:hAnsi="Times New Roman"/>
          <w:sz w:val="24"/>
          <w:szCs w:val="24"/>
        </w:rPr>
        <w:t>Accordingly,</w:t>
      </w:r>
      <w:r>
        <w:rPr>
          <w:rFonts w:ascii="Times New Roman" w:hAnsi="Times New Roman"/>
          <w:sz w:val="24"/>
          <w:szCs w:val="24"/>
        </w:rPr>
        <w:t xml:space="preserve"> </w:t>
      </w:r>
      <w:r w:rsidRPr="00E0167A">
        <w:rPr>
          <w:rFonts w:ascii="Times New Roman" w:hAnsi="Times New Roman"/>
          <w:sz w:val="24"/>
          <w:szCs w:val="24"/>
        </w:rPr>
        <w:t>we</w:t>
      </w:r>
      <w:r>
        <w:rPr>
          <w:rFonts w:ascii="Times New Roman" w:hAnsi="Times New Roman"/>
          <w:sz w:val="24"/>
          <w:szCs w:val="24"/>
        </w:rPr>
        <w:t xml:space="preserve"> </w:t>
      </w:r>
      <w:r w:rsidRPr="00E0167A">
        <w:rPr>
          <w:rFonts w:ascii="Times New Roman" w:hAnsi="Times New Roman"/>
          <w:sz w:val="24"/>
          <w:szCs w:val="24"/>
        </w:rPr>
        <w:t>REMAND</w:t>
      </w:r>
      <w:r>
        <w:rPr>
          <w:rFonts w:ascii="Times New Roman" w:hAnsi="Times New Roman"/>
          <w:sz w:val="24"/>
          <w:szCs w:val="24"/>
        </w:rPr>
        <w:t xml:space="preserve"> </w:t>
      </w:r>
      <w:r w:rsidRPr="00E0167A">
        <w:rPr>
          <w:rFonts w:ascii="Times New Roman" w:hAnsi="Times New Roman"/>
          <w:sz w:val="24"/>
          <w:szCs w:val="24"/>
        </w:rPr>
        <w:t>the</w:t>
      </w:r>
      <w:r>
        <w:rPr>
          <w:rFonts w:ascii="Times New Roman" w:hAnsi="Times New Roman"/>
          <w:sz w:val="24"/>
          <w:szCs w:val="24"/>
        </w:rPr>
        <w:t xml:space="preserve"> </w:t>
      </w:r>
      <w:r w:rsidRPr="00E0167A">
        <w:rPr>
          <w:rFonts w:ascii="Times New Roman" w:hAnsi="Times New Roman"/>
          <w:sz w:val="24"/>
          <w:szCs w:val="24"/>
        </w:rPr>
        <w:t>cause</w:t>
      </w:r>
      <w:r>
        <w:rPr>
          <w:rFonts w:ascii="Times New Roman" w:hAnsi="Times New Roman"/>
          <w:sz w:val="24"/>
          <w:szCs w:val="24"/>
        </w:rPr>
        <w:t xml:space="preserve"> </w:t>
      </w:r>
      <w:r w:rsidRPr="00E0167A">
        <w:rPr>
          <w:rFonts w:ascii="Times New Roman" w:hAnsi="Times New Roman"/>
          <w:sz w:val="24"/>
          <w:szCs w:val="24"/>
        </w:rPr>
        <w:t>for</w:t>
      </w:r>
      <w:r>
        <w:rPr>
          <w:rFonts w:ascii="Times New Roman" w:hAnsi="Times New Roman"/>
          <w:sz w:val="24"/>
          <w:szCs w:val="24"/>
        </w:rPr>
        <w:t xml:space="preserve"> </w:t>
      </w:r>
      <w:r w:rsidRPr="00E0167A">
        <w:rPr>
          <w:rFonts w:ascii="Times New Roman" w:hAnsi="Times New Roman"/>
          <w:sz w:val="24"/>
          <w:szCs w:val="24"/>
        </w:rPr>
        <w:t>resentencing</w:t>
      </w:r>
      <w:r>
        <w:rPr>
          <w:rFonts w:ascii="Times New Roman" w:hAnsi="Times New Roman"/>
          <w:sz w:val="24"/>
          <w:szCs w:val="24"/>
        </w:rPr>
        <w:t xml:space="preserve"> </w:t>
      </w:r>
      <w:r w:rsidRPr="00E0167A">
        <w:rPr>
          <w:rFonts w:ascii="Times New Roman" w:hAnsi="Times New Roman"/>
          <w:sz w:val="24"/>
          <w:szCs w:val="24"/>
        </w:rPr>
        <w:t>consistent</w:t>
      </w:r>
      <w:r>
        <w:rPr>
          <w:rFonts w:ascii="Times New Roman" w:hAnsi="Times New Roman"/>
          <w:sz w:val="24"/>
          <w:szCs w:val="24"/>
        </w:rPr>
        <w:t xml:space="preserve"> </w:t>
      </w:r>
      <w:r w:rsidRPr="00E0167A">
        <w:rPr>
          <w:rFonts w:ascii="Times New Roman" w:hAnsi="Times New Roman"/>
          <w:sz w:val="24"/>
          <w:szCs w:val="24"/>
        </w:rPr>
        <w:t>with</w:t>
      </w:r>
      <w:r>
        <w:rPr>
          <w:rFonts w:ascii="Times New Roman" w:hAnsi="Times New Roman"/>
          <w:sz w:val="24"/>
          <w:szCs w:val="24"/>
        </w:rPr>
        <w:t xml:space="preserve"> </w:t>
      </w:r>
      <w:r w:rsidRPr="00E0167A">
        <w:rPr>
          <w:rFonts w:ascii="Times New Roman" w:hAnsi="Times New Roman"/>
          <w:sz w:val="24"/>
          <w:szCs w:val="24"/>
        </w:rPr>
        <w:t>this</w:t>
      </w:r>
      <w:r>
        <w:rPr>
          <w:rFonts w:ascii="Times New Roman" w:hAnsi="Times New Roman"/>
          <w:sz w:val="24"/>
          <w:szCs w:val="24"/>
        </w:rPr>
        <w:t xml:space="preserve"> </w:t>
      </w:r>
      <w:r w:rsidRPr="00E0167A">
        <w:rPr>
          <w:rFonts w:ascii="Times New Roman" w:hAnsi="Times New Roman"/>
          <w:sz w:val="24"/>
          <w:szCs w:val="24"/>
        </w:rPr>
        <w:t>opinion.</w:t>
      </w:r>
      <w:r>
        <w:rPr>
          <w:rFonts w:ascii="Times New Roman" w:hAnsi="Times New Roman"/>
          <w:sz w:val="24"/>
          <w:szCs w:val="24"/>
        </w:rPr>
        <w:t>”</w:t>
      </w:r>
      <w:r w:rsidRPr="003F74E4">
        <w:t xml:space="preserve"> </w:t>
      </w:r>
      <w:hyperlink r:id="rId808" w:anchor="xml=http://www.ca2.uscourts.gov/decisions/isysquery/67a05b34-20ad-4c39-bc1a-260008502d15/1/hilite/" w:history="1">
        <w:r w:rsidRPr="00F25DB3">
          <w:rPr>
            <w:rStyle w:val="Hyperlink"/>
            <w:rFonts w:ascii="Times New Roman" w:hAnsi="Times New Roman"/>
            <w:sz w:val="24"/>
            <w:szCs w:val="24"/>
          </w:rPr>
          <w:t>http://www.ca2.uscourts.gov/decisions/isysquery/67a05b34-20ad-4c39-bc1a-260008502d15/1/doc/18-1604_complete_opn.pdf#xml=http://www.ca2.uscourts.gov/decisions/isysquery/67a05b34-20ad-4c39-bc1a-260008502d15/1/hilite/</w:t>
        </w:r>
      </w:hyperlink>
      <w:r>
        <w:rPr>
          <w:rFonts w:ascii="Times New Roman" w:hAnsi="Times New Roman"/>
          <w:sz w:val="24"/>
          <w:szCs w:val="24"/>
        </w:rPr>
        <w:t xml:space="preserve"> </w:t>
      </w:r>
    </w:p>
    <w:p w14:paraId="4AB9FF04" w14:textId="0C05CC1E" w:rsidR="007C6FEF" w:rsidRPr="009C4A80" w:rsidRDefault="009C4A80" w:rsidP="00F326E5">
      <w:pPr>
        <w:pStyle w:val="NoSpacing"/>
        <w:rPr>
          <w:rFonts w:ascii="Times New Roman" w:hAnsi="Times New Roman"/>
          <w:b/>
          <w:bCs/>
          <w:sz w:val="24"/>
          <w:szCs w:val="24"/>
        </w:rPr>
      </w:pPr>
      <w:r w:rsidRPr="009C4A80">
        <w:rPr>
          <w:rFonts w:ascii="Times New Roman" w:hAnsi="Times New Roman"/>
          <w:b/>
          <w:bCs/>
          <w:sz w:val="24"/>
          <w:szCs w:val="24"/>
        </w:rPr>
        <w:t>Legal Lessons Learned: Very important decision that will hopefully influence other Federal sentencing judges nationwide.</w:t>
      </w:r>
    </w:p>
    <w:p w14:paraId="5B4B0045" w14:textId="77777777" w:rsidR="007C6FEF" w:rsidRDefault="007C6FEF" w:rsidP="00F326E5">
      <w:pPr>
        <w:pStyle w:val="NoSpacing"/>
        <w:rPr>
          <w:rFonts w:ascii="Arial Black" w:hAnsi="Arial Black"/>
          <w:sz w:val="28"/>
          <w:szCs w:val="28"/>
        </w:rPr>
      </w:pPr>
    </w:p>
    <w:p w14:paraId="70AA856F" w14:textId="77777777" w:rsidR="007C6FEF" w:rsidRDefault="007C6FEF" w:rsidP="00F326E5">
      <w:pPr>
        <w:pStyle w:val="NoSpacing"/>
        <w:rPr>
          <w:rFonts w:ascii="Arial Black" w:hAnsi="Arial Black"/>
          <w:sz w:val="28"/>
          <w:szCs w:val="28"/>
        </w:rPr>
      </w:pPr>
    </w:p>
    <w:p w14:paraId="3F5A8901" w14:textId="77777777" w:rsidR="00980EAD" w:rsidRDefault="00980EAD" w:rsidP="00F326E5">
      <w:pPr>
        <w:pStyle w:val="NoSpacing"/>
        <w:rPr>
          <w:rFonts w:ascii="Arial Black" w:hAnsi="Arial Black"/>
          <w:sz w:val="28"/>
          <w:szCs w:val="28"/>
        </w:rPr>
      </w:pPr>
    </w:p>
    <w:p w14:paraId="447A6E16" w14:textId="5EDE9938" w:rsidR="00A06387" w:rsidRDefault="00A06387" w:rsidP="00F326E5">
      <w:pPr>
        <w:pStyle w:val="NoSpacing"/>
        <w:rPr>
          <w:rFonts w:ascii="Arial Black" w:hAnsi="Arial Black"/>
          <w:sz w:val="28"/>
          <w:szCs w:val="28"/>
        </w:rPr>
      </w:pPr>
      <w:r>
        <w:rPr>
          <w:rFonts w:ascii="Arial Black" w:hAnsi="Arial Black"/>
          <w:sz w:val="28"/>
          <w:szCs w:val="28"/>
        </w:rPr>
        <w:t>3-1</w:t>
      </w:r>
      <w:r w:rsidR="00A247E4">
        <w:rPr>
          <w:rFonts w:ascii="Arial Black" w:hAnsi="Arial Black"/>
          <w:sz w:val="28"/>
          <w:szCs w:val="28"/>
        </w:rPr>
        <w:t>6</w:t>
      </w:r>
    </w:p>
    <w:p w14:paraId="0FF14E6D" w14:textId="375A6CDC" w:rsidR="00A06387" w:rsidRDefault="00A06387" w:rsidP="00F326E5">
      <w:pPr>
        <w:pStyle w:val="NoSpacing"/>
        <w:rPr>
          <w:rFonts w:ascii="Arial Black" w:hAnsi="Arial Black"/>
          <w:sz w:val="28"/>
          <w:szCs w:val="28"/>
        </w:rPr>
      </w:pPr>
    </w:p>
    <w:p w14:paraId="14C355AD" w14:textId="77777777" w:rsidR="00A06387" w:rsidRPr="00656FC7" w:rsidRDefault="00A06387" w:rsidP="00A06387">
      <w:pPr>
        <w:pStyle w:val="NoSpacing"/>
        <w:rPr>
          <w:rFonts w:ascii="Arial Black" w:hAnsi="Arial Black"/>
          <w:sz w:val="28"/>
          <w:szCs w:val="28"/>
        </w:rPr>
      </w:pPr>
      <w:r w:rsidRPr="00656FC7">
        <w:rPr>
          <w:rFonts w:ascii="Arial Black" w:hAnsi="Arial Black"/>
          <w:sz w:val="28"/>
          <w:szCs w:val="28"/>
        </w:rPr>
        <w:t>CA: NO FLY LIST – FOUR U.S. CITIZENS ON THE LIST -  TSA’s ANTI-TERRORIST PROGRAM PROVIDES DUE PROCESS RIGHTS</w:t>
      </w:r>
    </w:p>
    <w:p w14:paraId="24BA9448" w14:textId="77777777" w:rsidR="00A06387" w:rsidRPr="00A301F0" w:rsidRDefault="00A06387" w:rsidP="00A06387">
      <w:pPr>
        <w:pStyle w:val="NoSpacing"/>
        <w:rPr>
          <w:b/>
          <w:bCs/>
          <w:sz w:val="28"/>
          <w:szCs w:val="28"/>
        </w:rPr>
      </w:pPr>
    </w:p>
    <w:p w14:paraId="24D75E1B" w14:textId="77777777" w:rsidR="00A06387" w:rsidRPr="009C4A80" w:rsidRDefault="00A06387" w:rsidP="00A06387">
      <w:pPr>
        <w:pStyle w:val="NoSpacing"/>
        <w:rPr>
          <w:rFonts w:ascii="Times New Roman" w:hAnsi="Times New Roman"/>
          <w:b/>
          <w:bCs/>
          <w:sz w:val="24"/>
          <w:szCs w:val="24"/>
        </w:rPr>
      </w:pPr>
      <w:r w:rsidRPr="009C4A80">
        <w:rPr>
          <w:rFonts w:ascii="Times New Roman" w:hAnsi="Times New Roman"/>
          <w:bCs/>
          <w:sz w:val="24"/>
          <w:szCs w:val="24"/>
        </w:rPr>
        <w:t xml:space="preserve">On Oct. 21, 2019, in </w:t>
      </w:r>
      <w:r w:rsidRPr="009C4A80">
        <w:rPr>
          <w:rFonts w:ascii="Times New Roman" w:hAnsi="Times New Roman"/>
          <w:bCs/>
          <w:sz w:val="24"/>
          <w:szCs w:val="24"/>
          <w:u w:val="single"/>
        </w:rPr>
        <w:t>Faisal Nabin Kashem; Raymond Earl Knaeble IV; Amir Meshal; Stephen Durga Persuad v. William Barr, Attorney General</w:t>
      </w:r>
      <w:r w:rsidRPr="009C4A80">
        <w:rPr>
          <w:rFonts w:ascii="Times New Roman" w:hAnsi="Times New Roman"/>
          <w:bCs/>
          <w:sz w:val="24"/>
          <w:szCs w:val="24"/>
        </w:rPr>
        <w:t>, the U.S. Court of Appeals for the 9</w:t>
      </w:r>
      <w:r w:rsidRPr="009C4A80">
        <w:rPr>
          <w:rFonts w:ascii="Times New Roman" w:hAnsi="Times New Roman"/>
          <w:bCs/>
          <w:sz w:val="24"/>
          <w:szCs w:val="24"/>
          <w:vertAlign w:val="superscript"/>
        </w:rPr>
        <w:t>th</w:t>
      </w:r>
      <w:r w:rsidRPr="009C4A80">
        <w:rPr>
          <w:rFonts w:ascii="Times New Roman" w:hAnsi="Times New Roman"/>
          <w:bCs/>
          <w:sz w:val="24"/>
          <w:szCs w:val="24"/>
        </w:rPr>
        <w:t xml:space="preserve"> Circuit (San Francisco), upheld (3 to 0) the </w:t>
      </w:r>
      <w:proofErr w:type="gramStart"/>
      <w:r w:rsidRPr="009C4A80">
        <w:rPr>
          <w:rFonts w:ascii="Times New Roman" w:hAnsi="Times New Roman"/>
          <w:bCs/>
          <w:sz w:val="24"/>
          <w:szCs w:val="24"/>
        </w:rPr>
        <w:t>No Fly</w:t>
      </w:r>
      <w:proofErr w:type="gramEnd"/>
      <w:r w:rsidRPr="009C4A80">
        <w:rPr>
          <w:rFonts w:ascii="Times New Roman" w:hAnsi="Times New Roman"/>
          <w:bCs/>
          <w:sz w:val="24"/>
          <w:szCs w:val="24"/>
        </w:rPr>
        <w:t xml:space="preserve"> List. </w:t>
      </w:r>
    </w:p>
    <w:p w14:paraId="75420460" w14:textId="77777777" w:rsidR="00A06387" w:rsidRPr="009C4A80" w:rsidRDefault="00A06387" w:rsidP="00A06387">
      <w:pPr>
        <w:pStyle w:val="NoSpacing"/>
        <w:rPr>
          <w:rFonts w:ascii="Times New Roman" w:hAnsi="Times New Roman"/>
          <w:b/>
          <w:bCs/>
          <w:sz w:val="24"/>
          <w:szCs w:val="24"/>
        </w:rPr>
      </w:pPr>
    </w:p>
    <w:p w14:paraId="00AEDD86" w14:textId="77777777"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bCs/>
          <w:sz w:val="24"/>
          <w:szCs w:val="24"/>
        </w:rPr>
        <w:t xml:space="preserve">“The plaintiffs are on the </w:t>
      </w:r>
      <w:proofErr w:type="gramStart"/>
      <w:r w:rsidRPr="009C4A80">
        <w:rPr>
          <w:rFonts w:ascii="Times New Roman" w:hAnsi="Times New Roman"/>
          <w:bCs/>
          <w:sz w:val="24"/>
          <w:szCs w:val="24"/>
        </w:rPr>
        <w:t>No Fly</w:t>
      </w:r>
      <w:proofErr w:type="gramEnd"/>
      <w:r w:rsidRPr="009C4A80">
        <w:rPr>
          <w:rFonts w:ascii="Times New Roman" w:hAnsi="Times New Roman"/>
          <w:bCs/>
          <w:sz w:val="24"/>
          <w:szCs w:val="24"/>
        </w:rPr>
        <w:t xml:space="preserve"> List, which prohibits them from boarding commercial aircraft flying to, from or within the United States or through United States airspace. They challenge, under the Due Process Clause of the Fifth Amendment to the United States Constitution, both their inclusion on the </w:t>
      </w:r>
      <w:proofErr w:type="gramStart"/>
      <w:r w:rsidRPr="009C4A80">
        <w:rPr>
          <w:rFonts w:ascii="Times New Roman" w:hAnsi="Times New Roman"/>
          <w:bCs/>
          <w:sz w:val="24"/>
          <w:szCs w:val="24"/>
        </w:rPr>
        <w:t>No Fly</w:t>
      </w:r>
      <w:proofErr w:type="gramEnd"/>
      <w:r w:rsidRPr="009C4A80">
        <w:rPr>
          <w:rFonts w:ascii="Times New Roman" w:hAnsi="Times New Roman"/>
          <w:bCs/>
          <w:sz w:val="24"/>
          <w:szCs w:val="24"/>
        </w:rPr>
        <w:t xml:space="preserve"> List and the sufficiency of the procedures available for contesting their inclusion on the list. Specifically, the plaintiffs argue (1) the criteria for inclusion on the </w:t>
      </w:r>
      <w:proofErr w:type="gramStart"/>
      <w:r w:rsidRPr="009C4A80">
        <w:rPr>
          <w:rFonts w:ascii="Times New Roman" w:hAnsi="Times New Roman"/>
          <w:bCs/>
          <w:sz w:val="24"/>
          <w:szCs w:val="24"/>
        </w:rPr>
        <w:t>No Fly</w:t>
      </w:r>
      <w:proofErr w:type="gramEnd"/>
      <w:r w:rsidRPr="009C4A80">
        <w:rPr>
          <w:rFonts w:ascii="Times New Roman" w:hAnsi="Times New Roman"/>
          <w:bCs/>
          <w:sz w:val="24"/>
          <w:szCs w:val="24"/>
        </w:rPr>
        <w:t xml:space="preserve"> List are unconstitutionally vague; (2) the procedures for challenging inclusion on the list fail to satisfy procedural due process; and (3) their inclusion on the list violates their substantive due process rights. The district court granted summary judgment to the government on the vagueness and procedural due process claims and dismissed the substantive due process claims for lack of jurisdiction under 49 U.S.C. § 46110. We affirm.”</w:t>
      </w:r>
    </w:p>
    <w:p w14:paraId="4F7520E4" w14:textId="77777777" w:rsidR="00A06387" w:rsidRPr="009C4A80" w:rsidRDefault="00A06387" w:rsidP="00A06387">
      <w:pPr>
        <w:pStyle w:val="NoSpacing"/>
        <w:ind w:left="720"/>
        <w:rPr>
          <w:rFonts w:ascii="Times New Roman" w:hAnsi="Times New Roman"/>
          <w:b/>
          <w:bCs/>
          <w:sz w:val="24"/>
          <w:szCs w:val="24"/>
        </w:rPr>
      </w:pPr>
      <w:hyperlink r:id="rId809" w:history="1">
        <w:r w:rsidRPr="009C4A80">
          <w:rPr>
            <w:rStyle w:val="Hyperlink"/>
            <w:rFonts w:ascii="Times New Roman" w:hAnsi="Times New Roman"/>
            <w:bCs/>
            <w:sz w:val="24"/>
            <w:szCs w:val="24"/>
          </w:rPr>
          <w:t>https://cases.justia.com/federal/appellate-courts/ca9/17-35634/17-35634-2019-10-21.pdf?ts=1571677280</w:t>
        </w:r>
      </w:hyperlink>
      <w:r w:rsidRPr="009C4A80">
        <w:rPr>
          <w:rFonts w:ascii="Times New Roman" w:hAnsi="Times New Roman"/>
          <w:bCs/>
          <w:sz w:val="24"/>
          <w:szCs w:val="24"/>
        </w:rPr>
        <w:t xml:space="preserve"> </w:t>
      </w:r>
    </w:p>
    <w:p w14:paraId="5B7BA20B" w14:textId="77777777" w:rsidR="00A06387" w:rsidRPr="009C4A80" w:rsidRDefault="00A06387" w:rsidP="00A06387">
      <w:pPr>
        <w:pStyle w:val="NoSpacing"/>
        <w:ind w:left="720"/>
        <w:rPr>
          <w:rFonts w:ascii="Times New Roman" w:hAnsi="Times New Roman"/>
          <w:b/>
          <w:bCs/>
          <w:sz w:val="24"/>
          <w:szCs w:val="24"/>
        </w:rPr>
      </w:pPr>
    </w:p>
    <w:p w14:paraId="1327682E" w14:textId="77777777" w:rsidR="00A06387" w:rsidRPr="009C4A80" w:rsidRDefault="00A06387" w:rsidP="00A06387">
      <w:pPr>
        <w:pStyle w:val="NoSpacing"/>
        <w:rPr>
          <w:rFonts w:ascii="Times New Roman" w:hAnsi="Times New Roman"/>
          <w:b/>
          <w:bCs/>
          <w:sz w:val="24"/>
          <w:szCs w:val="24"/>
        </w:rPr>
      </w:pPr>
      <w:r w:rsidRPr="009C4A80">
        <w:rPr>
          <w:rFonts w:ascii="Times New Roman" w:hAnsi="Times New Roman"/>
          <w:b/>
          <w:bCs/>
          <w:sz w:val="24"/>
          <w:szCs w:val="24"/>
        </w:rPr>
        <w:t xml:space="preserve">Legal Lessons Learned: The TSA program provides written notice to individuals why they are on the </w:t>
      </w:r>
      <w:proofErr w:type="gramStart"/>
      <w:r w:rsidRPr="009C4A80">
        <w:rPr>
          <w:rFonts w:ascii="Times New Roman" w:hAnsi="Times New Roman"/>
          <w:b/>
          <w:bCs/>
          <w:sz w:val="24"/>
          <w:szCs w:val="24"/>
        </w:rPr>
        <w:t>No Fly</w:t>
      </w:r>
      <w:proofErr w:type="gramEnd"/>
      <w:r w:rsidRPr="009C4A80">
        <w:rPr>
          <w:rFonts w:ascii="Times New Roman" w:hAnsi="Times New Roman"/>
          <w:b/>
          <w:bCs/>
          <w:sz w:val="24"/>
          <w:szCs w:val="24"/>
        </w:rPr>
        <w:t xml:space="preserve"> list, and an administrative and judicial appeal process. </w:t>
      </w:r>
    </w:p>
    <w:p w14:paraId="230F15C8" w14:textId="36E61BD6" w:rsidR="00A06387" w:rsidRDefault="00A06387" w:rsidP="00F326E5">
      <w:pPr>
        <w:pStyle w:val="NoSpacing"/>
        <w:rPr>
          <w:rFonts w:ascii="Arial Black" w:hAnsi="Arial Black"/>
          <w:sz w:val="28"/>
          <w:szCs w:val="28"/>
        </w:rPr>
      </w:pPr>
    </w:p>
    <w:p w14:paraId="11906D04" w14:textId="77777777" w:rsidR="00A06387" w:rsidRDefault="00A06387" w:rsidP="00F326E5">
      <w:pPr>
        <w:pStyle w:val="NoSpacing"/>
        <w:rPr>
          <w:rFonts w:ascii="Arial Black" w:hAnsi="Arial Black"/>
          <w:sz w:val="28"/>
          <w:szCs w:val="28"/>
        </w:rPr>
      </w:pPr>
    </w:p>
    <w:p w14:paraId="36298768" w14:textId="77777777" w:rsidR="009C4A80" w:rsidRDefault="009C4A80" w:rsidP="00F326E5">
      <w:pPr>
        <w:pStyle w:val="NoSpacing"/>
        <w:rPr>
          <w:rFonts w:ascii="Arial Black" w:hAnsi="Arial Black"/>
          <w:sz w:val="28"/>
          <w:szCs w:val="28"/>
        </w:rPr>
      </w:pPr>
    </w:p>
    <w:p w14:paraId="167DC8D3" w14:textId="77777777" w:rsidR="009C4A80" w:rsidRDefault="009C4A80" w:rsidP="00F326E5">
      <w:pPr>
        <w:pStyle w:val="NoSpacing"/>
        <w:rPr>
          <w:rFonts w:ascii="Arial Black" w:hAnsi="Arial Black"/>
          <w:sz w:val="28"/>
          <w:szCs w:val="28"/>
        </w:rPr>
      </w:pPr>
    </w:p>
    <w:p w14:paraId="4E7F6CDC" w14:textId="7FE5C9DE" w:rsidR="00EF1133" w:rsidRDefault="00853142" w:rsidP="00F326E5">
      <w:pPr>
        <w:pStyle w:val="NoSpacing"/>
        <w:rPr>
          <w:rFonts w:ascii="Arial Black" w:hAnsi="Arial Black"/>
          <w:sz w:val="28"/>
          <w:szCs w:val="28"/>
        </w:rPr>
      </w:pPr>
      <w:r>
        <w:rPr>
          <w:rFonts w:ascii="Arial Black" w:hAnsi="Arial Black"/>
          <w:sz w:val="28"/>
          <w:szCs w:val="28"/>
        </w:rPr>
        <w:t>3-1</w:t>
      </w:r>
      <w:r w:rsidR="00A247E4">
        <w:rPr>
          <w:rFonts w:ascii="Arial Black" w:hAnsi="Arial Black"/>
          <w:sz w:val="28"/>
          <w:szCs w:val="28"/>
        </w:rPr>
        <w:t>5</w:t>
      </w:r>
    </w:p>
    <w:p w14:paraId="2774FCBA" w14:textId="77777777" w:rsidR="00853142" w:rsidRDefault="00853142" w:rsidP="00F326E5">
      <w:pPr>
        <w:pStyle w:val="NoSpacing"/>
        <w:rPr>
          <w:rFonts w:ascii="Arial Black" w:hAnsi="Arial Black"/>
          <w:sz w:val="28"/>
          <w:szCs w:val="28"/>
        </w:rPr>
      </w:pPr>
    </w:p>
    <w:p w14:paraId="63576EDC" w14:textId="77777777" w:rsidR="00853142" w:rsidRPr="00E7448E" w:rsidRDefault="00853142" w:rsidP="00853142">
      <w:pPr>
        <w:pStyle w:val="NoSpacing"/>
        <w:rPr>
          <w:rFonts w:ascii="Arial Black" w:hAnsi="Arial Black"/>
          <w:sz w:val="28"/>
          <w:szCs w:val="28"/>
        </w:rPr>
      </w:pPr>
      <w:r w:rsidRPr="00E7448E">
        <w:rPr>
          <w:rFonts w:ascii="Arial Black" w:hAnsi="Arial Black"/>
          <w:sz w:val="28"/>
          <w:szCs w:val="28"/>
        </w:rPr>
        <w:t>CO:</w:t>
      </w:r>
      <w:r>
        <w:rPr>
          <w:rFonts w:ascii="Arial Black" w:hAnsi="Arial Black"/>
          <w:sz w:val="28"/>
          <w:szCs w:val="28"/>
        </w:rPr>
        <w:t xml:space="preserve">  TERRORIST SENTENCED LIFE FED. MAX PRISON – TRIED BLOW UP PLANE IN DETROIT – COMPLAINTS ABOUT PRISON DISMISSED</w:t>
      </w:r>
    </w:p>
    <w:p w14:paraId="2C44DD91" w14:textId="77777777" w:rsidR="00853142" w:rsidRDefault="00853142" w:rsidP="00853142">
      <w:pPr>
        <w:pStyle w:val="NoSpacing"/>
        <w:rPr>
          <w:rFonts w:ascii="Times New Roman" w:hAnsi="Times New Roman"/>
          <w:sz w:val="24"/>
          <w:szCs w:val="24"/>
        </w:rPr>
      </w:pPr>
    </w:p>
    <w:p w14:paraId="68F4CFE0" w14:textId="77777777" w:rsidR="00853142" w:rsidRPr="00314B5D" w:rsidRDefault="00853142" w:rsidP="00853142">
      <w:pPr>
        <w:pStyle w:val="NoSpacing"/>
        <w:rPr>
          <w:rFonts w:ascii="Times New Roman" w:hAnsi="Times New Roman"/>
          <w:sz w:val="24"/>
          <w:szCs w:val="24"/>
        </w:rPr>
      </w:pPr>
      <w:r w:rsidRPr="00314B5D">
        <w:rPr>
          <w:rFonts w:ascii="Times New Roman" w:hAnsi="Times New Roman"/>
          <w:sz w:val="24"/>
          <w:szCs w:val="24"/>
        </w:rPr>
        <w:t xml:space="preserve">On Sept. 18, 2019, in </w:t>
      </w:r>
      <w:r w:rsidRPr="00314B5D">
        <w:rPr>
          <w:rFonts w:ascii="Times New Roman" w:hAnsi="Times New Roman"/>
          <w:sz w:val="24"/>
          <w:szCs w:val="24"/>
          <w:u w:val="single"/>
        </w:rPr>
        <w:t>Umar Farouk Abdulmutallab v. William Barr, Attorney General of the United States</w:t>
      </w:r>
      <w:r w:rsidRPr="00314B5D">
        <w:rPr>
          <w:rFonts w:ascii="Times New Roman" w:hAnsi="Times New Roman"/>
          <w:sz w:val="24"/>
          <w:szCs w:val="24"/>
        </w:rPr>
        <w:t xml:space="preserve">, </w:t>
      </w:r>
      <w:r>
        <w:rPr>
          <w:rFonts w:ascii="Times New Roman" w:hAnsi="Times New Roman"/>
          <w:sz w:val="24"/>
          <w:szCs w:val="24"/>
        </w:rPr>
        <w:t xml:space="preserve">U.S. District Court Judge Raymond P. Moore, United States District Court of Colorado, upheld the recommendations of U.S. Magistrate Judge that the prisoner’s claims should be dismissed for failure to exhaust his U.S. Bureau of Prisons administrative remedies.  </w:t>
      </w:r>
      <w:hyperlink r:id="rId810" w:history="1">
        <w:r w:rsidRPr="00DB571D">
          <w:rPr>
            <w:rStyle w:val="Hyperlink"/>
            <w:rFonts w:ascii="Times New Roman" w:hAnsi="Times New Roman"/>
            <w:sz w:val="24"/>
            <w:szCs w:val="24"/>
          </w:rPr>
          <w:t>https://www.leagle.com/decision/infdco20190919804</w:t>
        </w:r>
      </w:hyperlink>
      <w:r>
        <w:rPr>
          <w:rFonts w:ascii="Times New Roman" w:hAnsi="Times New Roman"/>
          <w:sz w:val="24"/>
          <w:szCs w:val="24"/>
        </w:rPr>
        <w:t xml:space="preserve"> </w:t>
      </w:r>
    </w:p>
    <w:p w14:paraId="12D7BA2A" w14:textId="77777777" w:rsidR="00853142" w:rsidRDefault="00853142" w:rsidP="00853142">
      <w:pPr>
        <w:pStyle w:val="NoSpacing"/>
      </w:pPr>
    </w:p>
    <w:p w14:paraId="790DA569" w14:textId="77777777" w:rsidR="00853142" w:rsidRPr="00314B5D" w:rsidRDefault="00853142" w:rsidP="00853142">
      <w:pPr>
        <w:pStyle w:val="NoSpacing"/>
        <w:rPr>
          <w:rFonts w:ascii="Times New Roman" w:hAnsi="Times New Roman"/>
          <w:sz w:val="24"/>
          <w:szCs w:val="24"/>
        </w:rPr>
      </w:pPr>
      <w:r>
        <w:tab/>
      </w:r>
      <w:r w:rsidRPr="00314B5D">
        <w:rPr>
          <w:rFonts w:ascii="Times New Roman" w:hAnsi="Times New Roman"/>
          <w:sz w:val="24"/>
          <w:szCs w:val="24"/>
        </w:rPr>
        <w:t>Judge Moore wrote:</w:t>
      </w:r>
    </w:p>
    <w:p w14:paraId="1B8FAA47" w14:textId="77777777" w:rsidR="00853142" w:rsidRDefault="00853142" w:rsidP="00853142">
      <w:pPr>
        <w:pStyle w:val="NoSpacing"/>
      </w:pPr>
    </w:p>
    <w:p w14:paraId="71842674" w14:textId="77777777" w:rsidR="00853142" w:rsidRDefault="00853142" w:rsidP="00853142">
      <w:pPr>
        <w:pStyle w:val="NoSpacing"/>
        <w:ind w:left="720"/>
        <w:rPr>
          <w:rFonts w:ascii="Times New Roman" w:hAnsi="Times New Roman"/>
          <w:sz w:val="24"/>
          <w:szCs w:val="24"/>
        </w:rPr>
      </w:pPr>
      <w:r>
        <w:rPr>
          <w:rFonts w:ascii="Times New Roman" w:hAnsi="Times New Roman"/>
          <w:sz w:val="24"/>
          <w:szCs w:val="24"/>
        </w:rPr>
        <w:t>“</w:t>
      </w:r>
      <w:r w:rsidRPr="00314B5D">
        <w:rPr>
          <w:rFonts w:ascii="Times New Roman" w:hAnsi="Times New Roman"/>
          <w:sz w:val="24"/>
          <w:szCs w:val="24"/>
        </w:rPr>
        <w:t>Plaintiff was convicted for the attempted use of a weapon of mass destruction on a commercial airliner that landed in Detroit, Michigan, and the attempted murder of the 289 people on board. Plaintiff is from Nigeria and a Muslim. Plaintiff is housed at the United States Penitentiary-Administrative Maximum (</w:t>
      </w:r>
      <w:r>
        <w:rPr>
          <w:rFonts w:ascii="Times New Roman" w:hAnsi="Times New Roman"/>
          <w:sz w:val="24"/>
          <w:szCs w:val="24"/>
        </w:rPr>
        <w:t>‘</w:t>
      </w:r>
      <w:r w:rsidRPr="00314B5D">
        <w:rPr>
          <w:rFonts w:ascii="Times New Roman" w:hAnsi="Times New Roman"/>
          <w:sz w:val="24"/>
          <w:szCs w:val="24"/>
        </w:rPr>
        <w:t>ADX</w:t>
      </w:r>
      <w:r>
        <w:rPr>
          <w:rFonts w:ascii="Times New Roman" w:hAnsi="Times New Roman"/>
          <w:sz w:val="24"/>
          <w:szCs w:val="24"/>
        </w:rPr>
        <w:t>’</w:t>
      </w:r>
      <w:r w:rsidRPr="00314B5D">
        <w:rPr>
          <w:rFonts w:ascii="Times New Roman" w:hAnsi="Times New Roman"/>
          <w:sz w:val="24"/>
          <w:szCs w:val="24"/>
        </w:rPr>
        <w:t>) in Florence, Colorado, and serving four terms of life imprisonment plus 50 years for his convictions. Prior to Plaintiff's transfer to ADX, in March 2012, the United States government placed Plaintiff under Special Administrative Measures (</w:t>
      </w:r>
      <w:r>
        <w:rPr>
          <w:rFonts w:ascii="Times New Roman" w:hAnsi="Times New Roman"/>
          <w:sz w:val="24"/>
          <w:szCs w:val="24"/>
        </w:rPr>
        <w:t>‘</w:t>
      </w:r>
      <w:r w:rsidRPr="00314B5D">
        <w:rPr>
          <w:rFonts w:ascii="Times New Roman" w:hAnsi="Times New Roman"/>
          <w:sz w:val="24"/>
          <w:szCs w:val="24"/>
        </w:rPr>
        <w:t>SAMs</w:t>
      </w:r>
      <w:r>
        <w:rPr>
          <w:rFonts w:ascii="Times New Roman" w:hAnsi="Times New Roman"/>
          <w:sz w:val="24"/>
          <w:szCs w:val="24"/>
        </w:rPr>
        <w:t>’</w:t>
      </w:r>
      <w:r w:rsidRPr="00314B5D">
        <w:rPr>
          <w:rFonts w:ascii="Times New Roman" w:hAnsi="Times New Roman"/>
          <w:sz w:val="24"/>
          <w:szCs w:val="24"/>
        </w:rPr>
        <w:t>). The SAMs have been renewed every year, with some modifications.</w:t>
      </w:r>
    </w:p>
    <w:p w14:paraId="75C426F9" w14:textId="77777777" w:rsidR="00853142" w:rsidRDefault="00853142" w:rsidP="00853142">
      <w:pPr>
        <w:pStyle w:val="NoSpacing"/>
        <w:ind w:left="720"/>
        <w:rPr>
          <w:rFonts w:ascii="Times New Roman" w:hAnsi="Times New Roman"/>
          <w:sz w:val="24"/>
          <w:szCs w:val="24"/>
        </w:rPr>
      </w:pPr>
    </w:p>
    <w:p w14:paraId="219B77A1" w14:textId="77777777" w:rsidR="00853142" w:rsidRPr="00314B5D" w:rsidRDefault="00853142" w:rsidP="00853142">
      <w:pPr>
        <w:pStyle w:val="NoSpacing"/>
        <w:ind w:left="720"/>
        <w:rPr>
          <w:rFonts w:ascii="Times New Roman" w:hAnsi="Times New Roman"/>
          <w:sz w:val="24"/>
          <w:szCs w:val="24"/>
        </w:rPr>
      </w:pPr>
      <w:r>
        <w:rPr>
          <w:rFonts w:ascii="Times New Roman" w:hAnsi="Times New Roman"/>
          <w:sz w:val="24"/>
          <w:szCs w:val="24"/>
        </w:rPr>
        <w:t>***</w:t>
      </w:r>
    </w:p>
    <w:p w14:paraId="64491B37" w14:textId="77777777" w:rsidR="00853142" w:rsidRPr="00314B5D" w:rsidRDefault="00853142" w:rsidP="00853142">
      <w:pPr>
        <w:pStyle w:val="NoSpacing"/>
        <w:rPr>
          <w:rFonts w:ascii="Times New Roman" w:hAnsi="Times New Roman"/>
          <w:sz w:val="24"/>
          <w:szCs w:val="24"/>
        </w:rPr>
      </w:pPr>
    </w:p>
    <w:p w14:paraId="1CE33610" w14:textId="131D1F38" w:rsidR="00853142" w:rsidRDefault="00853142" w:rsidP="00853142">
      <w:pPr>
        <w:pStyle w:val="NoSpacing"/>
        <w:ind w:left="720"/>
        <w:rPr>
          <w:rFonts w:ascii="Times New Roman" w:hAnsi="Times New Roman"/>
          <w:sz w:val="24"/>
          <w:szCs w:val="24"/>
        </w:rPr>
      </w:pPr>
      <w:r>
        <w:rPr>
          <w:rFonts w:ascii="Times New Roman" w:hAnsi="Times New Roman"/>
          <w:sz w:val="24"/>
          <w:szCs w:val="24"/>
        </w:rPr>
        <w:t>“</w:t>
      </w:r>
      <w:r w:rsidRPr="00314B5D">
        <w:rPr>
          <w:rFonts w:ascii="Times New Roman" w:hAnsi="Times New Roman"/>
          <w:sz w:val="24"/>
          <w:szCs w:val="24"/>
        </w:rPr>
        <w:t xml:space="preserve">As Plaintiff acknowledges, </w:t>
      </w:r>
      <w:r>
        <w:rPr>
          <w:rFonts w:ascii="Times New Roman" w:hAnsi="Times New Roman"/>
          <w:sz w:val="24"/>
          <w:szCs w:val="24"/>
        </w:rPr>
        <w:t>‘</w:t>
      </w:r>
      <w:r w:rsidRPr="00314B5D">
        <w:rPr>
          <w:rFonts w:ascii="Times New Roman" w:hAnsi="Times New Roman"/>
          <w:sz w:val="24"/>
          <w:szCs w:val="24"/>
        </w:rPr>
        <w:t>[t]he primary purpose of a grievance is to alert the prison to a problem and facilitate its resolution.'</w:t>
      </w:r>
      <w:r>
        <w:rPr>
          <w:rFonts w:ascii="Times New Roman" w:hAnsi="Times New Roman"/>
          <w:sz w:val="24"/>
          <w:szCs w:val="24"/>
        </w:rPr>
        <w:t xml:space="preserve"> </w:t>
      </w:r>
      <w:r w:rsidRPr="00314B5D">
        <w:rPr>
          <w:rFonts w:ascii="Times New Roman" w:hAnsi="Times New Roman"/>
          <w:sz w:val="24"/>
          <w:szCs w:val="24"/>
        </w:rPr>
        <w:t xml:space="preserve">(ECF No. 128, p. 5 (quoting </w:t>
      </w:r>
      <w:r w:rsidRPr="00314B5D">
        <w:rPr>
          <w:rFonts w:ascii="Times New Roman" w:hAnsi="Times New Roman"/>
          <w:i/>
          <w:iCs/>
          <w:sz w:val="24"/>
          <w:szCs w:val="24"/>
        </w:rPr>
        <w:t>Griffin v. Arpaio,</w:t>
      </w:r>
      <w:r w:rsidRPr="00314B5D">
        <w:rPr>
          <w:rFonts w:ascii="Times New Roman" w:hAnsi="Times New Roman"/>
          <w:sz w:val="24"/>
          <w:szCs w:val="24"/>
        </w:rPr>
        <w:t> </w:t>
      </w:r>
      <w:hyperlink r:id="rId811" w:history="1">
        <w:r w:rsidRPr="00314B5D">
          <w:rPr>
            <w:rStyle w:val="Hyperlink"/>
            <w:rFonts w:ascii="Times New Roman" w:hAnsi="Times New Roman"/>
            <w:sz w:val="24"/>
            <w:szCs w:val="24"/>
          </w:rPr>
          <w:t>557 F.3d 1117</w:t>
        </w:r>
      </w:hyperlink>
      <w:r w:rsidRPr="00314B5D">
        <w:rPr>
          <w:rFonts w:ascii="Times New Roman" w:hAnsi="Times New Roman"/>
          <w:sz w:val="24"/>
          <w:szCs w:val="24"/>
        </w:rPr>
        <w:t xml:space="preserve">, 1120 (9th Cir. 2009).) Thus, in the absence of a prisoner alerting a prison of the problem which he alleges in his complaint, such allegation is not exhausted and cannot serve to support the prisoner's claim or claims. As applied to the recommendation of dismissal here, this objection is </w:t>
      </w:r>
      <w:proofErr w:type="gramStart"/>
      <w:r w:rsidRPr="00314B5D">
        <w:rPr>
          <w:rFonts w:ascii="Times New Roman" w:hAnsi="Times New Roman"/>
          <w:sz w:val="24"/>
          <w:szCs w:val="24"/>
        </w:rPr>
        <w:t>overruled.</w:t>
      </w:r>
      <w:r>
        <w:rPr>
          <w:rFonts w:ascii="Times New Roman" w:hAnsi="Times New Roman"/>
          <w:sz w:val="24"/>
          <w:szCs w:val="24"/>
        </w:rPr>
        <w:t>”</w:t>
      </w:r>
      <w:proofErr w:type="gramEnd"/>
    </w:p>
    <w:p w14:paraId="26B84FA6" w14:textId="77777777" w:rsidR="00853142" w:rsidRDefault="00853142" w:rsidP="00853142">
      <w:pPr>
        <w:pStyle w:val="NoSpacing"/>
        <w:ind w:left="720"/>
        <w:rPr>
          <w:rFonts w:ascii="Times New Roman" w:hAnsi="Times New Roman"/>
          <w:sz w:val="24"/>
          <w:szCs w:val="24"/>
        </w:rPr>
      </w:pPr>
    </w:p>
    <w:p w14:paraId="539DCA3F" w14:textId="3602DBD5" w:rsidR="00853142" w:rsidRDefault="00853142" w:rsidP="00853142">
      <w:pPr>
        <w:pStyle w:val="NoSpacing"/>
        <w:ind w:left="90"/>
        <w:rPr>
          <w:rFonts w:ascii="Times New Roman" w:hAnsi="Times New Roman"/>
          <w:b/>
          <w:bCs/>
          <w:sz w:val="24"/>
          <w:szCs w:val="24"/>
        </w:rPr>
      </w:pPr>
      <w:r w:rsidRPr="008F1B21">
        <w:rPr>
          <w:rFonts w:ascii="Times New Roman" w:hAnsi="Times New Roman"/>
          <w:b/>
          <w:bCs/>
          <w:sz w:val="24"/>
          <w:szCs w:val="24"/>
        </w:rPr>
        <w:t>Legal Lessons Learned:</w:t>
      </w:r>
      <w:r>
        <w:rPr>
          <w:rFonts w:ascii="Times New Roman" w:hAnsi="Times New Roman"/>
          <w:b/>
          <w:bCs/>
          <w:sz w:val="24"/>
          <w:szCs w:val="24"/>
        </w:rPr>
        <w:t xml:space="preserve">  Nice to read about a life sentence of this terrorist to the Federal max prison. </w:t>
      </w:r>
    </w:p>
    <w:p w14:paraId="6764A2D5" w14:textId="77777777" w:rsidR="00853142" w:rsidRDefault="00853142" w:rsidP="00853142">
      <w:pPr>
        <w:pStyle w:val="NoSpacing"/>
        <w:ind w:left="720"/>
        <w:rPr>
          <w:rFonts w:ascii="Times New Roman" w:hAnsi="Times New Roman"/>
          <w:b/>
          <w:bCs/>
          <w:sz w:val="24"/>
          <w:szCs w:val="24"/>
        </w:rPr>
      </w:pPr>
    </w:p>
    <w:p w14:paraId="1AC7BE51" w14:textId="77777777" w:rsidR="00853142" w:rsidRDefault="00853142" w:rsidP="00853142">
      <w:pPr>
        <w:spacing w:after="0" w:line="240" w:lineRule="auto"/>
        <w:rPr>
          <w:rFonts w:ascii="Times New Roman" w:hAnsi="Times New Roman"/>
          <w:sz w:val="24"/>
          <w:szCs w:val="24"/>
        </w:rPr>
      </w:pPr>
    </w:p>
    <w:p w14:paraId="4AE71F7D" w14:textId="77777777" w:rsidR="009C4A80" w:rsidRDefault="009C4A80" w:rsidP="00EF1133">
      <w:pPr>
        <w:rPr>
          <w:rFonts w:ascii="Arial Black" w:hAnsi="Arial Black"/>
          <w:color w:val="4A4A4A"/>
          <w:sz w:val="24"/>
          <w:szCs w:val="24"/>
          <w:lang w:val="en"/>
        </w:rPr>
      </w:pPr>
    </w:p>
    <w:p w14:paraId="432F9342" w14:textId="372A8A85" w:rsidR="009F0F05" w:rsidRDefault="009F0F05" w:rsidP="00EF1133">
      <w:pPr>
        <w:rPr>
          <w:rFonts w:ascii="Arial Black" w:hAnsi="Arial Black"/>
          <w:color w:val="4A4A4A"/>
          <w:sz w:val="24"/>
          <w:szCs w:val="24"/>
          <w:lang w:val="en"/>
        </w:rPr>
      </w:pPr>
      <w:r>
        <w:rPr>
          <w:rFonts w:ascii="Arial Black" w:hAnsi="Arial Black"/>
          <w:color w:val="4A4A4A"/>
          <w:sz w:val="24"/>
          <w:szCs w:val="24"/>
          <w:lang w:val="en"/>
        </w:rPr>
        <w:t>3-1</w:t>
      </w:r>
      <w:r w:rsidR="00A247E4">
        <w:rPr>
          <w:rFonts w:ascii="Arial Black" w:hAnsi="Arial Black"/>
          <w:color w:val="4A4A4A"/>
          <w:sz w:val="24"/>
          <w:szCs w:val="24"/>
          <w:lang w:val="en"/>
        </w:rPr>
        <w:t>4</w:t>
      </w:r>
    </w:p>
    <w:p w14:paraId="406BB252" w14:textId="7D63196F" w:rsidR="009F0F05" w:rsidRDefault="000010F2" w:rsidP="009F0F05">
      <w:pPr>
        <w:rPr>
          <w:rFonts w:ascii="Arial Black" w:hAnsi="Arial Black"/>
          <w:sz w:val="28"/>
          <w:szCs w:val="28"/>
        </w:rPr>
      </w:pPr>
      <w:r>
        <w:rPr>
          <w:rFonts w:ascii="Arial Black" w:hAnsi="Arial Black"/>
          <w:sz w:val="28"/>
          <w:szCs w:val="28"/>
        </w:rPr>
        <w:t>U.S. SUPREME CT:  NEW U.S. GOV’T ASYLUM RULES REMAIN IN EFFECT – REFUGES FIRST APPLY TO MEXICO</w:t>
      </w:r>
      <w:r w:rsidR="009C4A80">
        <w:rPr>
          <w:rFonts w:ascii="Arial Black" w:hAnsi="Arial Black"/>
          <w:sz w:val="28"/>
          <w:szCs w:val="28"/>
        </w:rPr>
        <w:t xml:space="preserve"> </w:t>
      </w:r>
      <w:r>
        <w:rPr>
          <w:rFonts w:ascii="Arial Black" w:hAnsi="Arial Black"/>
          <w:sz w:val="28"/>
          <w:szCs w:val="28"/>
        </w:rPr>
        <w:t xml:space="preserve">– NO INJUNCTION </w:t>
      </w:r>
    </w:p>
    <w:p w14:paraId="7EA4B918" w14:textId="77777777" w:rsidR="009F0F05" w:rsidRDefault="009F0F05" w:rsidP="009F0F05">
      <w:pPr>
        <w:rPr>
          <w:rFonts w:ascii="Times New Roman" w:hAnsi="Times New Roman"/>
          <w:sz w:val="24"/>
          <w:szCs w:val="24"/>
        </w:rPr>
      </w:pPr>
      <w:r>
        <w:rPr>
          <w:rFonts w:ascii="Times New Roman" w:hAnsi="Times New Roman"/>
          <w:sz w:val="24"/>
          <w:szCs w:val="24"/>
        </w:rPr>
        <w:t xml:space="preserve">On Sept. 11, 2019, in </w:t>
      </w:r>
      <w:bookmarkStart w:id="155" w:name="_Hlk39823785"/>
      <w:r w:rsidRPr="00DF0E56">
        <w:rPr>
          <w:rFonts w:ascii="Times New Roman" w:hAnsi="Times New Roman"/>
          <w:sz w:val="24"/>
          <w:szCs w:val="24"/>
          <w:u w:val="single"/>
        </w:rPr>
        <w:t>William Barr, Attorney General v. East Bay Sanctuary Covenant</w:t>
      </w:r>
      <w:bookmarkEnd w:id="155"/>
      <w:r>
        <w:rPr>
          <w:rFonts w:ascii="Times New Roman" w:hAnsi="Times New Roman"/>
          <w:sz w:val="24"/>
          <w:szCs w:val="24"/>
        </w:rPr>
        <w:t xml:space="preserve">, the majority of Justices (7 to 2) issued an Order granting U.S. Government’s request for a stay of a nationwide injunction issued by U.S. District Court judge </w:t>
      </w:r>
      <w:r w:rsidRPr="004161DB">
        <w:rPr>
          <w:rFonts w:ascii="Times New Roman" w:hAnsi="Times New Roman"/>
          <w:sz w:val="24"/>
          <w:szCs w:val="24"/>
        </w:rPr>
        <w:t>Jon Tigar</w:t>
      </w:r>
      <w:r>
        <w:rPr>
          <w:rFonts w:ascii="Times New Roman" w:hAnsi="Times New Roman"/>
          <w:sz w:val="24"/>
          <w:szCs w:val="24"/>
        </w:rPr>
        <w:t xml:space="preserve"> </w:t>
      </w:r>
      <w:r w:rsidRPr="004161DB">
        <w:rPr>
          <w:rFonts w:ascii="Times New Roman" w:hAnsi="Times New Roman"/>
          <w:sz w:val="24"/>
          <w:szCs w:val="24"/>
        </w:rPr>
        <w:t>in</w:t>
      </w:r>
      <w:r>
        <w:rPr>
          <w:rFonts w:ascii="Times New Roman" w:hAnsi="Times New Roman"/>
          <w:sz w:val="24"/>
          <w:szCs w:val="24"/>
        </w:rPr>
        <w:t xml:space="preserve"> San Francisco, after the injunction was modified to only apply to California &amp; Arizona, by a 3-judge panel the U.S. Court of Appeals for 9</w:t>
      </w:r>
      <w:r w:rsidRPr="008E1D0B">
        <w:rPr>
          <w:rFonts w:ascii="Times New Roman" w:hAnsi="Times New Roman"/>
          <w:sz w:val="24"/>
          <w:szCs w:val="24"/>
          <w:vertAlign w:val="superscript"/>
        </w:rPr>
        <w:t>th</w:t>
      </w:r>
      <w:r>
        <w:rPr>
          <w:rFonts w:ascii="Times New Roman" w:hAnsi="Times New Roman"/>
          <w:sz w:val="24"/>
          <w:szCs w:val="24"/>
        </w:rPr>
        <w:t xml:space="preserve"> Circuit (San Francisco).  </w:t>
      </w:r>
      <w:bookmarkStart w:id="156" w:name="_Hlk39823820"/>
      <w:r w:rsidR="00F2621E">
        <w:fldChar w:fldCharType="begin"/>
      </w:r>
      <w:r w:rsidR="00F2621E">
        <w:instrText xml:space="preserve"> HYPERLINK "https://www.supremecourt.gov/opinions/18pdf/19a230_k53l.pdf" </w:instrText>
      </w:r>
      <w:r w:rsidR="00F2621E">
        <w:fldChar w:fldCharType="separate"/>
      </w:r>
      <w:r w:rsidRPr="00DD407F">
        <w:rPr>
          <w:rStyle w:val="Hyperlink"/>
          <w:rFonts w:ascii="Times New Roman" w:hAnsi="Times New Roman"/>
          <w:sz w:val="24"/>
          <w:szCs w:val="24"/>
        </w:rPr>
        <w:t>https://www.supremecourt.gov/opinions/18pdf/19a230_k53l.pdf</w:t>
      </w:r>
      <w:r w:rsidR="00F2621E">
        <w:rPr>
          <w:rStyle w:val="Hyperlink"/>
          <w:rFonts w:ascii="Times New Roman" w:hAnsi="Times New Roman"/>
          <w:sz w:val="24"/>
          <w:szCs w:val="24"/>
        </w:rPr>
        <w:fldChar w:fldCharType="end"/>
      </w:r>
      <w:r>
        <w:rPr>
          <w:rFonts w:ascii="Times New Roman" w:hAnsi="Times New Roman"/>
          <w:sz w:val="24"/>
          <w:szCs w:val="24"/>
        </w:rPr>
        <w:t xml:space="preserve"> </w:t>
      </w:r>
    </w:p>
    <w:bookmarkEnd w:id="156"/>
    <w:p w14:paraId="105DCE99" w14:textId="77777777" w:rsidR="009F0F05" w:rsidRDefault="009F0F05" w:rsidP="009F0F05">
      <w:pPr>
        <w:pStyle w:val="NoSpacing"/>
        <w:ind w:left="720"/>
        <w:rPr>
          <w:rFonts w:ascii="Times New Roman" w:hAnsi="Times New Roman"/>
          <w:sz w:val="24"/>
          <w:szCs w:val="24"/>
        </w:rPr>
      </w:pPr>
      <w:r w:rsidRPr="000C52EB">
        <w:rPr>
          <w:rFonts w:ascii="Times New Roman" w:hAnsi="Times New Roman"/>
          <w:sz w:val="24"/>
          <w:szCs w:val="24"/>
        </w:rPr>
        <w:t>“The district court’s July 24, 2019 order granting a preliminary injunction and</w:t>
      </w:r>
      <w:r>
        <w:rPr>
          <w:rFonts w:ascii="Times New Roman" w:hAnsi="Times New Roman"/>
          <w:sz w:val="24"/>
          <w:szCs w:val="24"/>
        </w:rPr>
        <w:t xml:space="preserve"> </w:t>
      </w:r>
      <w:r w:rsidRPr="000C52EB">
        <w:rPr>
          <w:rFonts w:ascii="Times New Roman" w:hAnsi="Times New Roman"/>
          <w:sz w:val="24"/>
          <w:szCs w:val="24"/>
        </w:rPr>
        <w:t>September 9, 2019 order restoring the nationwide scope of the injunction are stayed in full pending disposition of the Government’s appeal in the United States Court of Appeals for the Ninth Circuit and disposition of the Government’s</w:t>
      </w:r>
      <w:r>
        <w:rPr>
          <w:rFonts w:ascii="Times New Roman" w:hAnsi="Times New Roman"/>
          <w:sz w:val="24"/>
          <w:szCs w:val="24"/>
        </w:rPr>
        <w:t xml:space="preserve"> </w:t>
      </w:r>
      <w:r w:rsidRPr="000C52EB">
        <w:rPr>
          <w:rFonts w:ascii="Times New Roman" w:hAnsi="Times New Roman"/>
          <w:sz w:val="24"/>
          <w:szCs w:val="24"/>
        </w:rPr>
        <w:t>petition for a writ of certiorari, if such writ is sought</w:t>
      </w:r>
      <w:r>
        <w:rPr>
          <w:rFonts w:ascii="Times New Roman" w:hAnsi="Times New Roman"/>
          <w:sz w:val="24"/>
          <w:szCs w:val="24"/>
        </w:rPr>
        <w:t>.”</w:t>
      </w:r>
    </w:p>
    <w:p w14:paraId="79CB873D" w14:textId="77777777" w:rsidR="009F0F05" w:rsidRDefault="009F0F05" w:rsidP="009F0F05">
      <w:pPr>
        <w:pStyle w:val="NoSpacing"/>
        <w:ind w:left="720"/>
        <w:rPr>
          <w:rFonts w:ascii="Times New Roman" w:hAnsi="Times New Roman"/>
          <w:sz w:val="24"/>
          <w:szCs w:val="24"/>
        </w:rPr>
      </w:pPr>
    </w:p>
    <w:p w14:paraId="623B4616" w14:textId="77777777" w:rsidR="009F0F05" w:rsidRDefault="009F0F05" w:rsidP="009F0F05">
      <w:pPr>
        <w:pStyle w:val="NoSpacing"/>
        <w:rPr>
          <w:rFonts w:ascii="Times New Roman" w:hAnsi="Times New Roman"/>
          <w:b/>
          <w:bCs/>
          <w:sz w:val="24"/>
          <w:szCs w:val="24"/>
        </w:rPr>
      </w:pPr>
      <w:r w:rsidRPr="004A1236">
        <w:rPr>
          <w:rFonts w:ascii="Times New Roman" w:hAnsi="Times New Roman"/>
          <w:b/>
          <w:bCs/>
          <w:sz w:val="24"/>
          <w:szCs w:val="24"/>
        </w:rPr>
        <w:t xml:space="preserve">Legal Lessons Learned: </w:t>
      </w:r>
      <w:r>
        <w:rPr>
          <w:rFonts w:ascii="Times New Roman" w:hAnsi="Times New Roman"/>
          <w:b/>
          <w:bCs/>
          <w:sz w:val="24"/>
          <w:szCs w:val="24"/>
        </w:rPr>
        <w:t>The case, now pending before a Federal Judge in California, will most likely then go to the 9</w:t>
      </w:r>
      <w:r w:rsidRPr="00273073">
        <w:rPr>
          <w:rFonts w:ascii="Times New Roman" w:hAnsi="Times New Roman"/>
          <w:b/>
          <w:bCs/>
          <w:sz w:val="24"/>
          <w:szCs w:val="24"/>
          <w:vertAlign w:val="superscript"/>
        </w:rPr>
        <w:t>th</w:t>
      </w:r>
      <w:r>
        <w:rPr>
          <w:rFonts w:ascii="Times New Roman" w:hAnsi="Times New Roman"/>
          <w:b/>
          <w:bCs/>
          <w:sz w:val="24"/>
          <w:szCs w:val="24"/>
        </w:rPr>
        <w:t xml:space="preserve"> Circuit, and eventually then reach the U.S. Supreme Court. </w:t>
      </w:r>
    </w:p>
    <w:p w14:paraId="16FCA8D0" w14:textId="77777777" w:rsidR="009F0F05" w:rsidRDefault="009F0F05" w:rsidP="009F0F05">
      <w:pPr>
        <w:pStyle w:val="NoSpacing"/>
        <w:rPr>
          <w:rFonts w:ascii="Times New Roman" w:hAnsi="Times New Roman"/>
          <w:sz w:val="24"/>
          <w:szCs w:val="24"/>
        </w:rPr>
      </w:pPr>
    </w:p>
    <w:p w14:paraId="75E4FFD6" w14:textId="4FF75B48" w:rsidR="009F0F05" w:rsidRPr="00715CF2" w:rsidRDefault="009F0F05" w:rsidP="00715CF2">
      <w:pPr>
        <w:pStyle w:val="NoSpacing"/>
        <w:ind w:left="720"/>
        <w:rPr>
          <w:rFonts w:ascii="Times New Roman" w:hAnsi="Times New Roman"/>
          <w:sz w:val="24"/>
          <w:szCs w:val="24"/>
        </w:rPr>
      </w:pPr>
      <w:bookmarkStart w:id="157" w:name="_Hlk39823692"/>
      <w:r w:rsidRPr="00715CF2">
        <w:rPr>
          <w:rFonts w:ascii="Times New Roman" w:hAnsi="Times New Roman"/>
          <w:sz w:val="24"/>
          <w:szCs w:val="24"/>
        </w:rPr>
        <w:t xml:space="preserve">See </w:t>
      </w:r>
      <w:r w:rsidR="009E7672">
        <w:rPr>
          <w:rFonts w:ascii="Times New Roman" w:hAnsi="Times New Roman"/>
          <w:sz w:val="24"/>
          <w:szCs w:val="24"/>
        </w:rPr>
        <w:t xml:space="preserve">Sept. 11, </w:t>
      </w:r>
      <w:proofErr w:type="gramStart"/>
      <w:r w:rsidR="009E7672">
        <w:rPr>
          <w:rFonts w:ascii="Times New Roman" w:hAnsi="Times New Roman"/>
          <w:sz w:val="24"/>
          <w:szCs w:val="24"/>
        </w:rPr>
        <w:t>2019</w:t>
      </w:r>
      <w:proofErr w:type="gramEnd"/>
      <w:r w:rsidR="009E7672">
        <w:rPr>
          <w:rFonts w:ascii="Times New Roman" w:hAnsi="Times New Roman"/>
          <w:sz w:val="24"/>
          <w:szCs w:val="24"/>
        </w:rPr>
        <w:t xml:space="preserve"> article: </w:t>
      </w:r>
      <w:r w:rsidRPr="00715CF2">
        <w:rPr>
          <w:rFonts w:ascii="Times New Roman" w:hAnsi="Times New Roman"/>
          <w:sz w:val="24"/>
          <w:szCs w:val="24"/>
        </w:rPr>
        <w:t xml:space="preserve">“President Trump tweeted that the ruling was a "BIG United States Supreme Court WIN for the Border on Asylum!" The administration </w:t>
      </w:r>
      <w:hyperlink r:id="rId812" w:tgtFrame="_blank" w:history="1">
        <w:r w:rsidRPr="00715CF2">
          <w:rPr>
            <w:rStyle w:val="Hyperlink"/>
            <w:rFonts w:ascii="Times New Roman" w:hAnsi="Times New Roman"/>
            <w:sz w:val="24"/>
            <w:szCs w:val="24"/>
          </w:rPr>
          <w:t>had argued in a brief to the Supreme Court</w:t>
        </w:r>
      </w:hyperlink>
      <w:r w:rsidRPr="00715CF2">
        <w:rPr>
          <w:rFonts w:ascii="Times New Roman" w:hAnsi="Times New Roman"/>
          <w:sz w:val="24"/>
          <w:szCs w:val="24"/>
        </w:rPr>
        <w:t xml:space="preserve"> that unless the injunctions were totally lifted everywhere, it ‘would severely disrupt the orderly administration of an already overburdened asylum system.’”  </w:t>
      </w:r>
      <w:hyperlink r:id="rId813" w:history="1">
        <w:r w:rsidRPr="00715CF2">
          <w:rPr>
            <w:rStyle w:val="Hyperlink"/>
            <w:rFonts w:ascii="Times New Roman" w:hAnsi="Times New Roman"/>
            <w:sz w:val="24"/>
            <w:szCs w:val="24"/>
          </w:rPr>
          <w:t>https://www.foxnews.com/politics/supreme-court-green-lights-trumps-immigration-asylum-ban</w:t>
        </w:r>
      </w:hyperlink>
      <w:r w:rsidRPr="00715CF2">
        <w:rPr>
          <w:rFonts w:ascii="Times New Roman" w:hAnsi="Times New Roman"/>
          <w:sz w:val="24"/>
          <w:szCs w:val="24"/>
        </w:rPr>
        <w:t xml:space="preserve"> </w:t>
      </w:r>
    </w:p>
    <w:bookmarkEnd w:id="157"/>
    <w:p w14:paraId="2B0CF987" w14:textId="2BCD77C0" w:rsidR="00E26EA8" w:rsidRDefault="00E26EA8" w:rsidP="009F0F05">
      <w:pPr>
        <w:pStyle w:val="NoSpacing"/>
        <w:rPr>
          <w:rFonts w:ascii="Times New Roman" w:hAnsi="Times New Roman"/>
          <w:b/>
          <w:bCs/>
          <w:sz w:val="24"/>
          <w:szCs w:val="24"/>
        </w:rPr>
      </w:pPr>
    </w:p>
    <w:p w14:paraId="17B60ABE" w14:textId="77777777" w:rsidR="00715CF2" w:rsidRDefault="00715CF2" w:rsidP="00EF1133">
      <w:pPr>
        <w:rPr>
          <w:rFonts w:ascii="Arial Black" w:hAnsi="Arial Black"/>
          <w:color w:val="4A4A4A"/>
          <w:sz w:val="24"/>
          <w:szCs w:val="24"/>
          <w:lang w:val="en"/>
        </w:rPr>
      </w:pPr>
    </w:p>
    <w:p w14:paraId="2E12D163" w14:textId="2257860F" w:rsidR="00715CF2" w:rsidRDefault="00715CF2" w:rsidP="00EF1133">
      <w:pPr>
        <w:rPr>
          <w:rFonts w:ascii="Arial Black" w:hAnsi="Arial Black"/>
          <w:color w:val="4A4A4A"/>
          <w:sz w:val="24"/>
          <w:szCs w:val="24"/>
          <w:lang w:val="en"/>
        </w:rPr>
      </w:pPr>
      <w:r>
        <w:rPr>
          <w:rFonts w:ascii="Arial Black" w:hAnsi="Arial Black"/>
          <w:color w:val="4A4A4A"/>
          <w:sz w:val="24"/>
          <w:szCs w:val="24"/>
          <w:lang w:val="en"/>
        </w:rPr>
        <w:t>3-1</w:t>
      </w:r>
      <w:r w:rsidR="00A247E4">
        <w:rPr>
          <w:rFonts w:ascii="Arial Black" w:hAnsi="Arial Black"/>
          <w:color w:val="4A4A4A"/>
          <w:sz w:val="24"/>
          <w:szCs w:val="24"/>
          <w:lang w:val="en"/>
        </w:rPr>
        <w:t>3</w:t>
      </w:r>
    </w:p>
    <w:p w14:paraId="105D5C86" w14:textId="77777777" w:rsidR="00715CF2" w:rsidRPr="0022436C" w:rsidRDefault="00715CF2" w:rsidP="00715CF2">
      <w:pPr>
        <w:rPr>
          <w:rFonts w:ascii="Arial Black" w:hAnsi="Arial Black"/>
          <w:sz w:val="28"/>
          <w:szCs w:val="28"/>
        </w:rPr>
      </w:pPr>
      <w:bookmarkStart w:id="158" w:name="_Hlk25925471"/>
      <w:r w:rsidRPr="0022436C">
        <w:rPr>
          <w:rFonts w:ascii="Arial Black" w:hAnsi="Arial Black"/>
          <w:sz w:val="28"/>
          <w:szCs w:val="28"/>
        </w:rPr>
        <w:t xml:space="preserve">PA: </w:t>
      </w:r>
      <w:r>
        <w:rPr>
          <w:rFonts w:ascii="Arial Black" w:hAnsi="Arial Black"/>
          <w:sz w:val="28"/>
          <w:szCs w:val="28"/>
        </w:rPr>
        <w:t>HIGH SCHOOL STUDENT EXPELLED – THREATING COMMENT – “BEAT RECORD OF 19” OF PARKLAND, FL</w:t>
      </w:r>
    </w:p>
    <w:p w14:paraId="68B34862" w14:textId="2765649B" w:rsidR="00715CF2" w:rsidRDefault="00715CF2" w:rsidP="00715CF2">
      <w:pPr>
        <w:rPr>
          <w:rFonts w:ascii="Times New Roman" w:hAnsi="Times New Roman"/>
          <w:sz w:val="24"/>
          <w:szCs w:val="24"/>
        </w:rPr>
      </w:pPr>
      <w:r w:rsidRPr="007B6BCD">
        <w:rPr>
          <w:rFonts w:ascii="Times New Roman" w:hAnsi="Times New Roman"/>
          <w:sz w:val="24"/>
          <w:szCs w:val="24"/>
        </w:rPr>
        <w:t xml:space="preserve">On Sept. 10, 2019, in </w:t>
      </w:r>
      <w:r w:rsidRPr="007B6BCD">
        <w:rPr>
          <w:rFonts w:ascii="Times New Roman" w:hAnsi="Times New Roman"/>
          <w:sz w:val="24"/>
          <w:szCs w:val="24"/>
          <w:u w:val="single"/>
        </w:rPr>
        <w:t xml:space="preserve">In </w:t>
      </w:r>
      <w:proofErr w:type="gramStart"/>
      <w:r w:rsidRPr="007B6BCD">
        <w:rPr>
          <w:rFonts w:ascii="Times New Roman" w:hAnsi="Times New Roman"/>
          <w:sz w:val="24"/>
          <w:szCs w:val="24"/>
          <w:u w:val="single"/>
        </w:rPr>
        <w:t>The</w:t>
      </w:r>
      <w:proofErr w:type="gramEnd"/>
      <w:r>
        <w:rPr>
          <w:rFonts w:ascii="Times New Roman" w:hAnsi="Times New Roman"/>
          <w:sz w:val="24"/>
          <w:szCs w:val="24"/>
          <w:u w:val="single"/>
        </w:rPr>
        <w:t xml:space="preserve"> </w:t>
      </w:r>
      <w:r w:rsidRPr="007B6BCD">
        <w:rPr>
          <w:rFonts w:ascii="Times New Roman" w:hAnsi="Times New Roman"/>
          <w:sz w:val="24"/>
          <w:szCs w:val="24"/>
          <w:u w:val="single"/>
        </w:rPr>
        <w:t>Interest Of: J.J.M, A Minor</w:t>
      </w:r>
      <w:r w:rsidRPr="007B6BCD">
        <w:rPr>
          <w:rFonts w:ascii="Times New Roman" w:hAnsi="Times New Roman"/>
          <w:sz w:val="24"/>
          <w:szCs w:val="24"/>
        </w:rPr>
        <w:t xml:space="preserve">, </w:t>
      </w:r>
      <w:r>
        <w:rPr>
          <w:rFonts w:ascii="Times New Roman" w:hAnsi="Times New Roman"/>
          <w:sz w:val="24"/>
          <w:szCs w:val="24"/>
        </w:rPr>
        <w:t xml:space="preserve">the Superior Court of Pennsylvania, </w:t>
      </w:r>
      <w:r w:rsidRPr="007B6BCD">
        <w:rPr>
          <w:rFonts w:ascii="Times New Roman" w:hAnsi="Times New Roman"/>
          <w:sz w:val="24"/>
          <w:szCs w:val="24"/>
        </w:rPr>
        <w:t>2019 PA Super 277</w:t>
      </w:r>
      <w:r>
        <w:rPr>
          <w:rFonts w:ascii="Times New Roman" w:hAnsi="Times New Roman"/>
          <w:sz w:val="24"/>
          <w:szCs w:val="24"/>
        </w:rPr>
        <w:t xml:space="preserve">, upheld (3 to 0) the Juvenile Court judge’s finding of “delinquency adjudication for terrorist threats.”  </w:t>
      </w:r>
    </w:p>
    <w:p w14:paraId="40ECD149" w14:textId="77777777" w:rsidR="00715CF2" w:rsidRPr="007B6BCD" w:rsidRDefault="00715CF2" w:rsidP="00715CF2">
      <w:pPr>
        <w:rPr>
          <w:rFonts w:ascii="Times New Roman" w:hAnsi="Times New Roman"/>
          <w:sz w:val="24"/>
          <w:szCs w:val="24"/>
        </w:rPr>
      </w:pPr>
      <w:r>
        <w:tab/>
      </w:r>
      <w:r w:rsidRPr="007B6BCD">
        <w:rPr>
          <w:rFonts w:ascii="Times New Roman" w:hAnsi="Times New Roman"/>
          <w:sz w:val="24"/>
          <w:szCs w:val="24"/>
        </w:rPr>
        <w:t xml:space="preserve">Judge Mary Jane Bowles wrote: </w:t>
      </w:r>
    </w:p>
    <w:p w14:paraId="3692971E" w14:textId="0665E884" w:rsidR="00A247E4" w:rsidRPr="007B6BCD" w:rsidRDefault="00715CF2" w:rsidP="00715CF2">
      <w:pPr>
        <w:ind w:left="1440"/>
        <w:rPr>
          <w:rFonts w:ascii="Times New Roman" w:hAnsi="Times New Roman"/>
          <w:sz w:val="24"/>
          <w:szCs w:val="24"/>
        </w:rPr>
      </w:pPr>
      <w:r>
        <w:rPr>
          <w:rFonts w:ascii="Times New Roman" w:hAnsi="Times New Roman"/>
          <w:sz w:val="24"/>
          <w:szCs w:val="24"/>
        </w:rPr>
        <w:t>“</w:t>
      </w:r>
      <w:r w:rsidRPr="007B6BCD">
        <w:rPr>
          <w:rFonts w:ascii="Times New Roman" w:hAnsi="Times New Roman"/>
          <w:sz w:val="24"/>
          <w:szCs w:val="24"/>
        </w:rPr>
        <w:t xml:space="preserve">Appellant’s statement was uttered six days after seventeen victims were killed at Marjory Stoneman Douglas High School in Parkland, Florida, eclipsing the Columbine High School shooting as the </w:t>
      </w:r>
      <w:proofErr w:type="gramStart"/>
      <w:r w:rsidRPr="007B6BCD">
        <w:rPr>
          <w:rFonts w:ascii="Times New Roman" w:hAnsi="Times New Roman"/>
          <w:sz w:val="24"/>
          <w:szCs w:val="24"/>
        </w:rPr>
        <w:t>most</w:t>
      </w:r>
      <w:r>
        <w:rPr>
          <w:rFonts w:ascii="Times New Roman" w:hAnsi="Times New Roman"/>
          <w:sz w:val="24"/>
          <w:szCs w:val="24"/>
        </w:rPr>
        <w:t xml:space="preserve"> </w:t>
      </w:r>
      <w:r w:rsidRPr="007B6BCD">
        <w:rPr>
          <w:rFonts w:ascii="Times New Roman" w:hAnsi="Times New Roman"/>
          <w:sz w:val="24"/>
          <w:szCs w:val="24"/>
        </w:rPr>
        <w:t>deadly</w:t>
      </w:r>
      <w:proofErr w:type="gramEnd"/>
      <w:r w:rsidRPr="007B6BCD">
        <w:rPr>
          <w:rFonts w:ascii="Times New Roman" w:hAnsi="Times New Roman"/>
          <w:sz w:val="24"/>
          <w:szCs w:val="24"/>
        </w:rPr>
        <w:t xml:space="preserve"> high school shooting in United States history.</w:t>
      </w:r>
      <w:r w:rsidR="00A247E4">
        <w:rPr>
          <w:rFonts w:ascii="Times New Roman" w:hAnsi="Times New Roman"/>
          <w:sz w:val="24"/>
          <w:szCs w:val="24"/>
        </w:rPr>
        <w:t xml:space="preserve"> *** </w:t>
      </w:r>
      <w:r w:rsidRPr="007B6BCD">
        <w:rPr>
          <w:rFonts w:ascii="Times New Roman" w:hAnsi="Times New Roman"/>
          <w:sz w:val="24"/>
          <w:szCs w:val="24"/>
        </w:rPr>
        <w:t>Further, we conclude that the evidence sufficiently established that Appellant made his threat with reckless disregard for the risk that it would cause</w:t>
      </w:r>
      <w:r>
        <w:rPr>
          <w:rFonts w:ascii="Times New Roman" w:hAnsi="Times New Roman"/>
          <w:sz w:val="24"/>
          <w:szCs w:val="24"/>
        </w:rPr>
        <w:t xml:space="preserve"> </w:t>
      </w:r>
      <w:r w:rsidRPr="007B6BCD">
        <w:rPr>
          <w:rFonts w:ascii="Times New Roman" w:hAnsi="Times New Roman"/>
          <w:sz w:val="24"/>
          <w:szCs w:val="24"/>
        </w:rPr>
        <w:t>terror. Again, the facts are that, while the news was dominated by the deadliest high</w:t>
      </w:r>
      <w:r>
        <w:rPr>
          <w:rFonts w:ascii="Times New Roman" w:hAnsi="Times New Roman"/>
          <w:sz w:val="24"/>
          <w:szCs w:val="24"/>
        </w:rPr>
        <w:t xml:space="preserve"> </w:t>
      </w:r>
      <w:r w:rsidRPr="007B6BCD">
        <w:rPr>
          <w:rFonts w:ascii="Times New Roman" w:hAnsi="Times New Roman"/>
          <w:sz w:val="24"/>
          <w:szCs w:val="24"/>
        </w:rPr>
        <w:t>school shooting in this country’s history, Appellant proclaimed</w:t>
      </w:r>
      <w:r>
        <w:rPr>
          <w:rFonts w:ascii="Times New Roman" w:hAnsi="Times New Roman"/>
          <w:sz w:val="24"/>
          <w:szCs w:val="24"/>
        </w:rPr>
        <w:t xml:space="preserve"> </w:t>
      </w:r>
      <w:r w:rsidRPr="007B6BCD">
        <w:rPr>
          <w:rFonts w:ascii="Times New Roman" w:hAnsi="Times New Roman"/>
          <w:sz w:val="24"/>
          <w:szCs w:val="24"/>
        </w:rPr>
        <w:t xml:space="preserve">in a high school hallway, between classes, loud enough for other students to hear, that he wanted to </w:t>
      </w:r>
      <w:r>
        <w:rPr>
          <w:rFonts w:ascii="Times New Roman" w:hAnsi="Times New Roman"/>
          <w:sz w:val="24"/>
          <w:szCs w:val="24"/>
        </w:rPr>
        <w:t>‘</w:t>
      </w:r>
      <w:r w:rsidRPr="007B6BCD">
        <w:rPr>
          <w:rFonts w:ascii="Times New Roman" w:hAnsi="Times New Roman"/>
          <w:sz w:val="24"/>
          <w:szCs w:val="24"/>
        </w:rPr>
        <w:t xml:space="preserve">beat the record </w:t>
      </w:r>
      <w:r w:rsidRPr="007B6BCD">
        <w:rPr>
          <w:rStyle w:val="highlight"/>
          <w:rFonts w:ascii="Times New Roman" w:hAnsi="Times New Roman"/>
          <w:sz w:val="24"/>
          <w:szCs w:val="24"/>
        </w:rPr>
        <w:t>of</w:t>
      </w:r>
      <w:r w:rsidRPr="007B6BCD">
        <w:rPr>
          <w:rFonts w:ascii="Times New Roman" w:hAnsi="Times New Roman"/>
          <w:sz w:val="24"/>
          <w:szCs w:val="24"/>
        </w:rPr>
        <w:t xml:space="preserve"> 19.</w:t>
      </w:r>
      <w:r>
        <w:rPr>
          <w:rFonts w:ascii="Times New Roman" w:hAnsi="Times New Roman"/>
          <w:sz w:val="24"/>
          <w:szCs w:val="24"/>
        </w:rPr>
        <w:t xml:space="preserve">’ </w:t>
      </w:r>
      <w:r w:rsidRPr="007B6BCD">
        <w:rPr>
          <w:rFonts w:ascii="Times New Roman" w:hAnsi="Times New Roman"/>
          <w:sz w:val="24"/>
          <w:szCs w:val="24"/>
        </w:rPr>
        <w:t xml:space="preserve">We do not hesitate to conclude that Appellant consciously disregarded a substantial and unjustifiable risk that his threat would terrorize his fellow students. See18 </w:t>
      </w:r>
      <w:proofErr w:type="spellStart"/>
      <w:r w:rsidRPr="007B6BCD">
        <w:rPr>
          <w:rFonts w:ascii="Times New Roman" w:hAnsi="Times New Roman"/>
          <w:sz w:val="24"/>
          <w:szCs w:val="24"/>
        </w:rPr>
        <w:t>Pa.C.S</w:t>
      </w:r>
      <w:proofErr w:type="spellEnd"/>
      <w:r w:rsidRPr="007B6BCD">
        <w:rPr>
          <w:rFonts w:ascii="Times New Roman" w:hAnsi="Times New Roman"/>
          <w:sz w:val="24"/>
          <w:szCs w:val="24"/>
        </w:rPr>
        <w:t>. §302(a)(3) (defining recklessness).</w:t>
      </w:r>
      <w:r>
        <w:rPr>
          <w:rFonts w:ascii="Times New Roman" w:hAnsi="Times New Roman"/>
          <w:sz w:val="24"/>
          <w:szCs w:val="24"/>
        </w:rPr>
        <w:t>”</w:t>
      </w:r>
      <w:r w:rsidR="00A247E4">
        <w:rPr>
          <w:rFonts w:ascii="Times New Roman" w:hAnsi="Times New Roman"/>
          <w:sz w:val="24"/>
          <w:szCs w:val="24"/>
        </w:rPr>
        <w:t xml:space="preserve"> </w:t>
      </w:r>
      <w:hyperlink r:id="rId814" w:anchor="search=%22Interest%20of%20J.M.%22" w:history="1">
        <w:r w:rsidR="00A247E4" w:rsidRPr="00231BDB">
          <w:rPr>
            <w:rStyle w:val="Hyperlink"/>
            <w:rFonts w:ascii="Times New Roman" w:hAnsi="Times New Roman"/>
            <w:sz w:val="24"/>
            <w:szCs w:val="24"/>
          </w:rPr>
          <w:t>http://www.pacourts.us/assets/opinions/Superior/out/j-s12006-19o%20-%2010413599977313050.pdf#search=%22Interest%20of%20J.M.%22</w:t>
        </w:r>
      </w:hyperlink>
    </w:p>
    <w:p w14:paraId="485E49DB" w14:textId="77777777" w:rsidR="00715CF2" w:rsidRPr="007B6BCD" w:rsidRDefault="00715CF2" w:rsidP="00715CF2">
      <w:pPr>
        <w:pStyle w:val="NoSpacing"/>
        <w:rPr>
          <w:rFonts w:ascii="Times New Roman" w:hAnsi="Times New Roman"/>
          <w:sz w:val="24"/>
          <w:szCs w:val="24"/>
        </w:rPr>
      </w:pPr>
    </w:p>
    <w:p w14:paraId="64442DEC" w14:textId="77777777" w:rsidR="00715CF2" w:rsidRPr="009D3D13" w:rsidRDefault="00715CF2" w:rsidP="00715CF2">
      <w:pPr>
        <w:pStyle w:val="NoSpacing"/>
      </w:pPr>
      <w:r w:rsidRPr="00CA0C9B">
        <w:rPr>
          <w:rFonts w:ascii="Times New Roman" w:hAnsi="Times New Roman"/>
          <w:b/>
          <w:bCs/>
          <w:sz w:val="24"/>
          <w:szCs w:val="24"/>
        </w:rPr>
        <w:t xml:space="preserve">Legal Lessons Learned:  Great decision – school administrators need to repeatedly remind students to report any threatening behavior.  See 9/12.2019 article on this case: “Court: Student's Claim to Want to 'Beat the Record' Following Parkland Shooting Was Terroristic Threat.” </w:t>
      </w:r>
      <w:hyperlink r:id="rId815" w:history="1">
        <w:r w:rsidRPr="00C512BA">
          <w:rPr>
            <w:rStyle w:val="Hyperlink"/>
          </w:rPr>
          <w:t>https://www.law.com/thelegalintelligencer/2019/09/12/court-students-claim-to-want-to-beat-the-record-following-parkland-shooting-was-terroristic-threat/</w:t>
        </w:r>
      </w:hyperlink>
    </w:p>
    <w:p w14:paraId="26A2AEFF" w14:textId="77777777" w:rsidR="00715CF2" w:rsidRDefault="00715CF2" w:rsidP="00715CF2">
      <w:pPr>
        <w:rPr>
          <w:rFonts w:ascii="Arial Black" w:hAnsi="Arial Black"/>
          <w:color w:val="4A4A4A"/>
          <w:sz w:val="24"/>
          <w:szCs w:val="24"/>
          <w:lang w:val="en"/>
        </w:rPr>
      </w:pPr>
    </w:p>
    <w:bookmarkEnd w:id="158"/>
    <w:p w14:paraId="1AE2F854" w14:textId="77777777" w:rsidR="00715CF2" w:rsidRDefault="00715CF2" w:rsidP="00EF1133">
      <w:pPr>
        <w:rPr>
          <w:rFonts w:ascii="Arial Black" w:hAnsi="Arial Black"/>
          <w:color w:val="4A4A4A"/>
          <w:sz w:val="24"/>
          <w:szCs w:val="24"/>
          <w:lang w:val="en"/>
        </w:rPr>
      </w:pPr>
    </w:p>
    <w:p w14:paraId="5F193AB3" w14:textId="41CC64B7" w:rsidR="009F0F05" w:rsidRDefault="00D07E6E" w:rsidP="00EF1133">
      <w:pPr>
        <w:rPr>
          <w:rFonts w:ascii="Arial Black" w:hAnsi="Arial Black"/>
          <w:color w:val="4A4A4A"/>
          <w:sz w:val="24"/>
          <w:szCs w:val="24"/>
          <w:lang w:val="en"/>
        </w:rPr>
      </w:pPr>
      <w:r>
        <w:rPr>
          <w:rFonts w:ascii="Arial Black" w:hAnsi="Arial Black"/>
          <w:color w:val="4A4A4A"/>
          <w:sz w:val="24"/>
          <w:szCs w:val="24"/>
          <w:lang w:val="en"/>
        </w:rPr>
        <w:t>3-1</w:t>
      </w:r>
      <w:r w:rsidR="00A247E4">
        <w:rPr>
          <w:rFonts w:ascii="Arial Black" w:hAnsi="Arial Black"/>
          <w:color w:val="4A4A4A"/>
          <w:sz w:val="24"/>
          <w:szCs w:val="24"/>
          <w:lang w:val="en"/>
        </w:rPr>
        <w:t>2</w:t>
      </w:r>
    </w:p>
    <w:p w14:paraId="0F46A8EB" w14:textId="77777777" w:rsidR="00660046" w:rsidRPr="00660046" w:rsidRDefault="00660046" w:rsidP="00EF1133">
      <w:pPr>
        <w:rPr>
          <w:rFonts w:ascii="Arial Black" w:hAnsi="Arial Black" w:cs="Arial"/>
          <w:sz w:val="28"/>
          <w:szCs w:val="28"/>
        </w:rPr>
      </w:pPr>
      <w:bookmarkStart w:id="159" w:name="_Hlk25925579"/>
      <w:r w:rsidRPr="00660046">
        <w:rPr>
          <w:rFonts w:ascii="Arial Black" w:hAnsi="Arial Black" w:cs="Arial"/>
          <w:sz w:val="28"/>
          <w:szCs w:val="28"/>
        </w:rPr>
        <w:t>NY: 2nd CIRCUIT – DEPORTATION OF OUTSPOKEN ACTIVIST SUSPENDED - “OUTRAGEOUS COMMENTS” BY ICE DIRECTOR</w:t>
      </w:r>
    </w:p>
    <w:p w14:paraId="7001B6D0" w14:textId="01E95A19" w:rsidR="009F0F05" w:rsidRPr="0036327D" w:rsidRDefault="00660046" w:rsidP="00EF1133">
      <w:pPr>
        <w:rPr>
          <w:rFonts w:ascii="Times New Roman" w:hAnsi="Times New Roman"/>
          <w:color w:val="4A4A4A"/>
          <w:sz w:val="24"/>
          <w:szCs w:val="24"/>
          <w:lang w:val="en"/>
        </w:rPr>
      </w:pPr>
      <w:r w:rsidRPr="0036327D">
        <w:rPr>
          <w:rFonts w:ascii="Times New Roman" w:hAnsi="Times New Roman"/>
          <w:sz w:val="24"/>
          <w:szCs w:val="24"/>
        </w:rPr>
        <w:t xml:space="preserve">On April 25, 2019, in </w:t>
      </w:r>
      <w:proofErr w:type="spellStart"/>
      <w:r w:rsidRPr="0036327D">
        <w:rPr>
          <w:rFonts w:ascii="Times New Roman" w:hAnsi="Times New Roman"/>
          <w:sz w:val="24"/>
          <w:szCs w:val="24"/>
        </w:rPr>
        <w:t>Ravidath</w:t>
      </w:r>
      <w:proofErr w:type="spellEnd"/>
      <w:r w:rsidRPr="0036327D">
        <w:rPr>
          <w:rFonts w:ascii="Times New Roman" w:hAnsi="Times New Roman"/>
          <w:sz w:val="24"/>
          <w:szCs w:val="24"/>
        </w:rPr>
        <w:t xml:space="preserve"> Ragbir v. Thomas D. Homan, Director of ICE, the U.S. Court of Appeals for 2ndCircuit, held (2 to 1) that deportation order is suspended of the outspoken Executive Director of the New Sanctuary Coalition (which works to protect New York immigrant families from deportation). Congress cannot deprive federal courts of power to hold habeas corpus hearings when there is alleged violation of free speech under First Amendment. “To allow this retaliatory conduct to proceed would broadly chill protected speech, among not only activists subject to final orders of deportation but also those citizens and other residents who would fear retaliation against others. In short, the Government’s alleged conduct plausibly fits within the ‘outrageous [ness]’ exception to AADC.” </w:t>
      </w:r>
      <w:hyperlink r:id="rId816" w:history="1">
        <w:r w:rsidRPr="0036327D">
          <w:rPr>
            <w:rStyle w:val="Hyperlink"/>
            <w:rFonts w:ascii="Times New Roman" w:hAnsi="Times New Roman"/>
            <w:sz w:val="24"/>
            <w:szCs w:val="24"/>
          </w:rPr>
          <w:t>https://cases.justia.com/federal/appellate-courts/ca2/18-1597/18-1597-2019-04-25.pdf?ts=1556202606</w:t>
        </w:r>
      </w:hyperlink>
      <w:r w:rsidRPr="0036327D">
        <w:rPr>
          <w:rFonts w:ascii="Times New Roman" w:hAnsi="Times New Roman"/>
          <w:sz w:val="24"/>
          <w:szCs w:val="24"/>
        </w:rPr>
        <w:t xml:space="preserve"> </w:t>
      </w:r>
    </w:p>
    <w:p w14:paraId="2D3B4CAA" w14:textId="77777777" w:rsidR="00660046" w:rsidRPr="0036327D" w:rsidRDefault="00660046" w:rsidP="00EF1133">
      <w:pPr>
        <w:rPr>
          <w:rFonts w:ascii="Times New Roman" w:hAnsi="Times New Roman"/>
          <w:b/>
          <w:bCs/>
          <w:sz w:val="24"/>
          <w:szCs w:val="24"/>
        </w:rPr>
      </w:pPr>
      <w:r w:rsidRPr="0036327D">
        <w:rPr>
          <w:rFonts w:ascii="Times New Roman" w:hAnsi="Times New Roman"/>
          <w:b/>
          <w:bCs/>
          <w:sz w:val="24"/>
          <w:szCs w:val="24"/>
        </w:rPr>
        <w:t xml:space="preserve">Legal Lessons Learned: Inappropriate comments by governmental officials can be viewed as deprivation of Constitutional rights of individuals. </w:t>
      </w:r>
    </w:p>
    <w:p w14:paraId="6FDE3292" w14:textId="619011AE" w:rsidR="00660046" w:rsidRPr="0036327D" w:rsidRDefault="00660046" w:rsidP="00715CF2">
      <w:pPr>
        <w:ind w:left="720"/>
        <w:rPr>
          <w:rFonts w:ascii="Times New Roman" w:hAnsi="Times New Roman"/>
          <w:color w:val="4A4A4A"/>
          <w:sz w:val="24"/>
          <w:szCs w:val="24"/>
          <w:lang w:val="en"/>
        </w:rPr>
      </w:pPr>
      <w:r w:rsidRPr="0036327D">
        <w:rPr>
          <w:rFonts w:ascii="Times New Roman" w:hAnsi="Times New Roman"/>
          <w:sz w:val="24"/>
          <w:szCs w:val="24"/>
        </w:rPr>
        <w:t xml:space="preserve">See article about the decision: “Split 2nd Circuit Panel Finds ‘Outrageous’ ICE Conduct Revives Activist’s Removal Suit.” </w:t>
      </w:r>
      <w:hyperlink r:id="rId817" w:history="1">
        <w:r w:rsidRPr="0036327D">
          <w:rPr>
            <w:rStyle w:val="Hyperlink"/>
            <w:rFonts w:ascii="Times New Roman" w:hAnsi="Times New Roman"/>
            <w:sz w:val="24"/>
            <w:szCs w:val="24"/>
          </w:rPr>
          <w:t>https://www.law.com/newyorklawjournal/2019/04/25/split-2nd-circuit-panel-finds-outrageous-ice-conduct-revives-activists-removal-suit/</w:t>
        </w:r>
      </w:hyperlink>
      <w:r w:rsidRPr="0036327D">
        <w:rPr>
          <w:rFonts w:ascii="Times New Roman" w:hAnsi="Times New Roman"/>
          <w:sz w:val="24"/>
          <w:szCs w:val="24"/>
        </w:rPr>
        <w:t xml:space="preserve"> </w:t>
      </w:r>
    </w:p>
    <w:bookmarkEnd w:id="159"/>
    <w:p w14:paraId="28D7E50B" w14:textId="77777777" w:rsidR="00660046" w:rsidRDefault="00660046" w:rsidP="00EF1133">
      <w:pPr>
        <w:rPr>
          <w:rFonts w:ascii="Arial Black" w:hAnsi="Arial Black"/>
          <w:color w:val="4A4A4A"/>
          <w:sz w:val="24"/>
          <w:szCs w:val="24"/>
          <w:lang w:val="en"/>
        </w:rPr>
      </w:pPr>
    </w:p>
    <w:p w14:paraId="3B4CB980" w14:textId="58F5464E" w:rsidR="00660046" w:rsidRDefault="00660046" w:rsidP="00EF1133">
      <w:pPr>
        <w:rPr>
          <w:rFonts w:ascii="Arial Black" w:hAnsi="Arial Black"/>
          <w:color w:val="4A4A4A"/>
          <w:sz w:val="24"/>
          <w:szCs w:val="24"/>
          <w:lang w:val="en"/>
        </w:rPr>
      </w:pPr>
      <w:r>
        <w:rPr>
          <w:rFonts w:ascii="Arial Black" w:hAnsi="Arial Black"/>
          <w:color w:val="4A4A4A"/>
          <w:sz w:val="24"/>
          <w:szCs w:val="24"/>
          <w:lang w:val="en"/>
        </w:rPr>
        <w:t>3-1</w:t>
      </w:r>
      <w:r w:rsidR="00A247E4">
        <w:rPr>
          <w:rFonts w:ascii="Arial Black" w:hAnsi="Arial Black"/>
          <w:color w:val="4A4A4A"/>
          <w:sz w:val="24"/>
          <w:szCs w:val="24"/>
          <w:lang w:val="en"/>
        </w:rPr>
        <w:t>1</w:t>
      </w:r>
    </w:p>
    <w:p w14:paraId="7D02F5E3" w14:textId="77777777" w:rsidR="00660046" w:rsidRPr="00660046" w:rsidRDefault="00660046" w:rsidP="00EF1133">
      <w:pPr>
        <w:rPr>
          <w:rFonts w:ascii="Arial Black" w:hAnsi="Arial Black" w:cs="Arial"/>
          <w:sz w:val="28"/>
          <w:szCs w:val="28"/>
        </w:rPr>
      </w:pPr>
      <w:bookmarkStart w:id="160" w:name="_Hlk25925648"/>
      <w:r w:rsidRPr="00660046">
        <w:rPr>
          <w:rFonts w:ascii="Arial Black" w:hAnsi="Arial Black" w:cs="Arial"/>
          <w:sz w:val="28"/>
          <w:szCs w:val="28"/>
        </w:rPr>
        <w:t xml:space="preserve">CT: WIDOW OF 9/11 VICTIM AT WORLD TRADE CENTER – $1.2 MILLIONFED. FUNDS DAUGHTER – WIDOW CONTROLS – NOT PROBATE COURT </w:t>
      </w:r>
    </w:p>
    <w:p w14:paraId="6E102EB2" w14:textId="7ECC8D92" w:rsidR="00660046" w:rsidRPr="0036327D" w:rsidRDefault="00660046" w:rsidP="00EF1133">
      <w:pPr>
        <w:rPr>
          <w:rFonts w:ascii="Times New Roman" w:hAnsi="Times New Roman"/>
          <w:color w:val="4A4A4A"/>
          <w:sz w:val="24"/>
          <w:szCs w:val="24"/>
          <w:lang w:val="en"/>
        </w:rPr>
      </w:pPr>
      <w:r w:rsidRPr="0036327D">
        <w:rPr>
          <w:rFonts w:ascii="Times New Roman" w:hAnsi="Times New Roman"/>
          <w:sz w:val="24"/>
          <w:szCs w:val="24"/>
        </w:rPr>
        <w:t xml:space="preserve">On April 16, 2019, in Carolyne Y. Hynes v. Sharon M. Jones, the Connecticut Supreme Court (7 to 0) held that the widow had full control of the federal dollars paid to her daughter, and did not need Probate Court guardian ad litem approval for spending of these </w:t>
      </w:r>
      <w:proofErr w:type="spellStart"/>
      <w:r w:rsidRPr="0036327D">
        <w:rPr>
          <w:rFonts w:ascii="Times New Roman" w:hAnsi="Times New Roman"/>
          <w:sz w:val="24"/>
          <w:szCs w:val="24"/>
        </w:rPr>
        <w:t>funds.“We</w:t>
      </w:r>
      <w:proofErr w:type="spellEnd"/>
      <w:r w:rsidRPr="0036327D">
        <w:rPr>
          <w:rFonts w:ascii="Times New Roman" w:hAnsi="Times New Roman"/>
          <w:sz w:val="24"/>
          <w:szCs w:val="24"/>
        </w:rPr>
        <w:t xml:space="preserve"> conclude that our state statutes did not grant the Probate Court jurisdiction to monitor the plaintiff’s use of the fund award or to prohibit the plaintiff from using that award in the absence of that court’s approval.” </w:t>
      </w:r>
      <w:hyperlink r:id="rId818" w:history="1">
        <w:r w:rsidRPr="0036327D">
          <w:rPr>
            <w:rStyle w:val="Hyperlink"/>
            <w:rFonts w:ascii="Times New Roman" w:hAnsi="Times New Roman"/>
            <w:sz w:val="24"/>
            <w:szCs w:val="24"/>
          </w:rPr>
          <w:t>https://cases.justia.com/connecticut/supreme-court/2019-sc20009.pdf?ts=1554984045</w:t>
        </w:r>
      </w:hyperlink>
      <w:r w:rsidRPr="0036327D">
        <w:rPr>
          <w:rFonts w:ascii="Times New Roman" w:hAnsi="Times New Roman"/>
          <w:sz w:val="24"/>
          <w:szCs w:val="24"/>
        </w:rPr>
        <w:t xml:space="preserve"> </w:t>
      </w:r>
    </w:p>
    <w:p w14:paraId="20CBFBC7" w14:textId="6D5D11AA" w:rsidR="00660046" w:rsidRPr="0036327D" w:rsidRDefault="00660046" w:rsidP="00EF1133">
      <w:pPr>
        <w:rPr>
          <w:rFonts w:ascii="Times New Roman" w:hAnsi="Times New Roman"/>
          <w:b/>
          <w:bCs/>
          <w:color w:val="4A4A4A"/>
          <w:sz w:val="24"/>
          <w:szCs w:val="24"/>
          <w:lang w:val="en"/>
        </w:rPr>
      </w:pPr>
      <w:r w:rsidRPr="0036327D">
        <w:rPr>
          <w:rFonts w:ascii="Times New Roman" w:hAnsi="Times New Roman"/>
          <w:b/>
          <w:bCs/>
          <w:sz w:val="24"/>
          <w:szCs w:val="24"/>
        </w:rPr>
        <w:t xml:space="preserve">Legal Lessons Learned: Widow now has full discretion on how to spend funds granted to her minor child. </w:t>
      </w:r>
    </w:p>
    <w:bookmarkEnd w:id="160"/>
    <w:p w14:paraId="7F20CE4D" w14:textId="0C047440" w:rsidR="00660046" w:rsidRDefault="00660046" w:rsidP="00EF1133">
      <w:pPr>
        <w:rPr>
          <w:rFonts w:ascii="Arial Black" w:hAnsi="Arial Black"/>
          <w:color w:val="4A4A4A"/>
          <w:sz w:val="24"/>
          <w:szCs w:val="24"/>
          <w:lang w:val="en"/>
        </w:rPr>
      </w:pPr>
    </w:p>
    <w:p w14:paraId="21EC686F" w14:textId="77777777" w:rsidR="009C4A80" w:rsidRDefault="009C4A80" w:rsidP="00EF1133">
      <w:pPr>
        <w:rPr>
          <w:rFonts w:ascii="Arial Black" w:hAnsi="Arial Black"/>
          <w:color w:val="4A4A4A"/>
          <w:sz w:val="24"/>
          <w:szCs w:val="24"/>
          <w:lang w:val="en"/>
        </w:rPr>
      </w:pPr>
    </w:p>
    <w:p w14:paraId="0F29F433" w14:textId="43058EAB" w:rsidR="00EF1133" w:rsidRDefault="00EF1133" w:rsidP="00EF1133">
      <w:pPr>
        <w:rPr>
          <w:rFonts w:ascii="Arial Black" w:hAnsi="Arial Black"/>
          <w:sz w:val="28"/>
          <w:szCs w:val="28"/>
        </w:rPr>
      </w:pPr>
      <w:r w:rsidRPr="00EF1133">
        <w:rPr>
          <w:rFonts w:ascii="Arial Black" w:hAnsi="Arial Black"/>
          <w:color w:val="4A4A4A"/>
          <w:sz w:val="24"/>
          <w:szCs w:val="24"/>
          <w:lang w:val="en"/>
        </w:rPr>
        <w:t>3-</w:t>
      </w:r>
      <w:r w:rsidR="00A247E4">
        <w:rPr>
          <w:rFonts w:ascii="Arial Black" w:hAnsi="Arial Black"/>
          <w:color w:val="4A4A4A"/>
          <w:sz w:val="24"/>
          <w:szCs w:val="24"/>
          <w:lang w:val="en"/>
        </w:rPr>
        <w:t>10</w:t>
      </w:r>
    </w:p>
    <w:p w14:paraId="00D56E3E" w14:textId="09800419" w:rsidR="00F326E5" w:rsidRDefault="00F326E5" w:rsidP="00F326E5">
      <w:pPr>
        <w:pStyle w:val="NoSpacing"/>
        <w:rPr>
          <w:rFonts w:ascii="OnTimes New Roman" w:hAnsi="OnTimes New Roman"/>
          <w:sz w:val="24"/>
          <w:szCs w:val="24"/>
        </w:rPr>
      </w:pPr>
      <w:bookmarkStart w:id="161" w:name="_Hlk25926365"/>
      <w:r w:rsidRPr="00CA1140">
        <w:rPr>
          <w:rFonts w:ascii="Arial Black" w:hAnsi="Arial Black"/>
          <w:sz w:val="28"/>
          <w:szCs w:val="28"/>
        </w:rPr>
        <w:t xml:space="preserve">CT: </w:t>
      </w:r>
      <w:r>
        <w:rPr>
          <w:rFonts w:ascii="Arial Black" w:hAnsi="Arial Black"/>
          <w:sz w:val="28"/>
          <w:szCs w:val="28"/>
        </w:rPr>
        <w:t xml:space="preserve">SANDY HOOK ELEMENTARY SCHOOL - LAWSUITS MAY PROCEED / VIOLENT ADS BY GUN MFG. </w:t>
      </w:r>
    </w:p>
    <w:p w14:paraId="6A60DF8D" w14:textId="77777777" w:rsidR="009C4A80" w:rsidRDefault="00F326E5" w:rsidP="00F326E5">
      <w:pPr>
        <w:pStyle w:val="NoSpacing"/>
        <w:rPr>
          <w:rFonts w:ascii="Times New Roman" w:hAnsi="Times New Roman"/>
          <w:sz w:val="24"/>
          <w:szCs w:val="24"/>
        </w:rPr>
      </w:pPr>
      <w:r w:rsidRPr="0036327D">
        <w:rPr>
          <w:rFonts w:ascii="Times New Roman" w:hAnsi="Times New Roman"/>
          <w:sz w:val="24"/>
          <w:szCs w:val="24"/>
        </w:rPr>
        <w:t xml:space="preserve">On March 14, </w:t>
      </w:r>
      <w:proofErr w:type="gramStart"/>
      <w:r w:rsidRPr="0036327D">
        <w:rPr>
          <w:rFonts w:ascii="Times New Roman" w:hAnsi="Times New Roman"/>
          <w:sz w:val="24"/>
          <w:szCs w:val="24"/>
        </w:rPr>
        <w:t>2019</w:t>
      </w:r>
      <w:proofErr w:type="gramEnd"/>
      <w:r w:rsidRPr="0036327D">
        <w:rPr>
          <w:rFonts w:ascii="Times New Roman" w:hAnsi="Times New Roman"/>
          <w:sz w:val="24"/>
          <w:szCs w:val="24"/>
        </w:rPr>
        <w:t xml:space="preserve"> in </w:t>
      </w:r>
      <w:r w:rsidRPr="0036327D">
        <w:rPr>
          <w:rFonts w:ascii="Times New Roman" w:hAnsi="Times New Roman"/>
          <w:sz w:val="24"/>
          <w:szCs w:val="24"/>
          <w:u w:val="single"/>
        </w:rPr>
        <w:t>Donna L. Soto, Administratrix (Estate of Victoria L. Soto), et al. v. Bushmaster Firearms International, et al</w:t>
      </w:r>
      <w:r w:rsidRPr="0036327D">
        <w:rPr>
          <w:rFonts w:ascii="Times New Roman" w:hAnsi="Times New Roman"/>
          <w:sz w:val="24"/>
          <w:szCs w:val="24"/>
        </w:rPr>
        <w:t xml:space="preserve">., the Connecticut Supreme Court (4 to 3) reinstated the lawsuit brought by families of nine of the 20 children and six adults killed in the elementary school.  The Court held: </w:t>
      </w:r>
    </w:p>
    <w:p w14:paraId="71B3EB6F" w14:textId="77777777" w:rsidR="009C4A80" w:rsidRDefault="009C4A80" w:rsidP="00F326E5">
      <w:pPr>
        <w:pStyle w:val="NoSpacing"/>
        <w:rPr>
          <w:rFonts w:ascii="Times New Roman" w:hAnsi="Times New Roman"/>
          <w:sz w:val="24"/>
          <w:szCs w:val="24"/>
        </w:rPr>
      </w:pPr>
    </w:p>
    <w:p w14:paraId="7EE3F410" w14:textId="7674AA65" w:rsidR="00F326E5" w:rsidRPr="0036327D" w:rsidRDefault="00F326E5" w:rsidP="009C4A80">
      <w:pPr>
        <w:pStyle w:val="NoSpacing"/>
        <w:ind w:left="720"/>
        <w:rPr>
          <w:rStyle w:val="Hyperlink"/>
          <w:rFonts w:ascii="Times New Roman" w:hAnsi="Times New Roman"/>
          <w:sz w:val="24"/>
          <w:szCs w:val="24"/>
        </w:rPr>
      </w:pPr>
      <w:r w:rsidRPr="0036327D">
        <w:rPr>
          <w:rFonts w:ascii="Times New Roman" w:hAnsi="Times New Roman"/>
          <w:sz w:val="24"/>
          <w:szCs w:val="24"/>
        </w:rPr>
        <w:t xml:space="preserve">“The plaintiffs have offered one narrow legal theory, however, that is recognized under established Connecticut law. Specifically, they allege that the defendants knowingly marketed, advertised, and promoted the XM15-E2S for </w:t>
      </w:r>
      <w:proofErr w:type="gramStart"/>
      <w:r w:rsidRPr="0036327D">
        <w:rPr>
          <w:rFonts w:ascii="Times New Roman" w:hAnsi="Times New Roman"/>
          <w:sz w:val="24"/>
          <w:szCs w:val="24"/>
        </w:rPr>
        <w:t>civilians to use</w:t>
      </w:r>
      <w:proofErr w:type="gramEnd"/>
      <w:r w:rsidRPr="0036327D">
        <w:rPr>
          <w:rFonts w:ascii="Times New Roman" w:hAnsi="Times New Roman"/>
          <w:sz w:val="24"/>
          <w:szCs w:val="24"/>
        </w:rPr>
        <w:t xml:space="preserve"> to carry out offensive, military style combat missions against their perceived enemies. Such use of the XM15-E2S, or any weapon for that matter, would be illegal, and Connecticut law does not permit advertisements that promote or encourage violent, criminal </w:t>
      </w:r>
      <w:proofErr w:type="gramStart"/>
      <w:r w:rsidRPr="0036327D">
        <w:rPr>
          <w:rFonts w:ascii="Times New Roman" w:hAnsi="Times New Roman"/>
          <w:sz w:val="24"/>
          <w:szCs w:val="24"/>
        </w:rPr>
        <w:t>behavior.”</w:t>
      </w:r>
      <w:proofErr w:type="gramEnd"/>
      <w:r w:rsidRPr="0036327D">
        <w:rPr>
          <w:rFonts w:ascii="Times New Roman" w:hAnsi="Times New Roman"/>
          <w:sz w:val="24"/>
          <w:szCs w:val="24"/>
        </w:rPr>
        <w:t xml:space="preserve"> </w:t>
      </w:r>
      <w:hyperlink r:id="rId819" w:history="1">
        <w:r w:rsidRPr="0036327D">
          <w:rPr>
            <w:rStyle w:val="Hyperlink"/>
            <w:rFonts w:ascii="Times New Roman" w:hAnsi="Times New Roman"/>
            <w:sz w:val="24"/>
            <w:szCs w:val="24"/>
          </w:rPr>
          <w:t>file:///C:/Users/lawre/AppData/Local/Microsoft/Windows/INetCache/Content.Outlook/YEHISW7P/331CR865.pdf</w:t>
        </w:r>
      </w:hyperlink>
    </w:p>
    <w:p w14:paraId="13ADBD91" w14:textId="77777777" w:rsidR="009C4A80" w:rsidRDefault="009C4A80" w:rsidP="00F326E5">
      <w:pPr>
        <w:pStyle w:val="NoSpacing"/>
        <w:rPr>
          <w:rFonts w:ascii="Times New Roman" w:hAnsi="Times New Roman"/>
          <w:b/>
          <w:bCs/>
          <w:sz w:val="24"/>
          <w:szCs w:val="24"/>
        </w:rPr>
      </w:pPr>
    </w:p>
    <w:p w14:paraId="2013B689" w14:textId="4757F062" w:rsidR="005F7D6B" w:rsidRPr="0036327D" w:rsidRDefault="005F7D6B" w:rsidP="00F326E5">
      <w:pPr>
        <w:pStyle w:val="NoSpacing"/>
        <w:rPr>
          <w:rFonts w:ascii="Times New Roman" w:hAnsi="Times New Roman"/>
          <w:b/>
          <w:bCs/>
          <w:sz w:val="24"/>
          <w:szCs w:val="24"/>
        </w:rPr>
      </w:pPr>
      <w:r w:rsidRPr="0036327D">
        <w:rPr>
          <w:rFonts w:ascii="Times New Roman" w:hAnsi="Times New Roman"/>
          <w:b/>
          <w:bCs/>
          <w:sz w:val="24"/>
          <w:szCs w:val="24"/>
        </w:rPr>
        <w:t>Legal Lessons Learned: The case will not be sent back for trial or settlement by Remington Arms Co. LLC and its “daughter company” Bushmaster Firearms International LLC.</w:t>
      </w:r>
    </w:p>
    <w:p w14:paraId="6DF31E56" w14:textId="77777777" w:rsidR="005F7D6B" w:rsidRPr="0036327D" w:rsidRDefault="005F7D6B" w:rsidP="00F326E5">
      <w:pPr>
        <w:pStyle w:val="NoSpacing"/>
        <w:rPr>
          <w:rFonts w:ascii="Times New Roman" w:hAnsi="Times New Roman"/>
          <w:bCs/>
          <w:sz w:val="24"/>
          <w:szCs w:val="24"/>
        </w:rPr>
      </w:pPr>
    </w:p>
    <w:bookmarkEnd w:id="132"/>
    <w:bookmarkEnd w:id="161"/>
    <w:p w14:paraId="0A16F813" w14:textId="0B4E0E9D" w:rsidR="00F326E5" w:rsidRPr="0036327D" w:rsidRDefault="00F326E5" w:rsidP="00F326E5">
      <w:pPr>
        <w:pStyle w:val="NoSpacing"/>
        <w:rPr>
          <w:rFonts w:ascii="Times New Roman" w:hAnsi="Times New Roman"/>
          <w:bCs/>
          <w:sz w:val="24"/>
          <w:szCs w:val="24"/>
        </w:rPr>
      </w:pPr>
    </w:p>
    <w:p w14:paraId="2E379C23" w14:textId="4680C237" w:rsidR="00F326E5" w:rsidRPr="0036327D" w:rsidRDefault="00F326E5" w:rsidP="00F326E5">
      <w:pPr>
        <w:rPr>
          <w:rFonts w:ascii="Times New Roman" w:hAnsi="Times New Roman"/>
          <w:sz w:val="24"/>
          <w:szCs w:val="24"/>
        </w:rPr>
      </w:pPr>
    </w:p>
    <w:p w14:paraId="54A79544" w14:textId="3B5271B1" w:rsidR="00EF1133" w:rsidRDefault="00EF1133" w:rsidP="00F326E5">
      <w:pPr>
        <w:rPr>
          <w:rFonts w:ascii="Arial Black" w:hAnsi="Arial Black"/>
          <w:sz w:val="40"/>
          <w:szCs w:val="40"/>
        </w:rPr>
      </w:pPr>
      <w:r w:rsidRPr="00EF1133">
        <w:rPr>
          <w:rFonts w:ascii="Arial Black" w:hAnsi="Arial Black"/>
          <w:color w:val="4A4A4A"/>
          <w:sz w:val="24"/>
          <w:szCs w:val="24"/>
          <w:lang w:val="en"/>
        </w:rPr>
        <w:t>3-</w:t>
      </w:r>
      <w:r w:rsidR="00A247E4">
        <w:rPr>
          <w:rFonts w:ascii="Arial Black" w:hAnsi="Arial Black"/>
          <w:color w:val="4A4A4A"/>
          <w:sz w:val="24"/>
          <w:szCs w:val="24"/>
          <w:lang w:val="en"/>
        </w:rPr>
        <w:t>9</w:t>
      </w:r>
    </w:p>
    <w:p w14:paraId="266DBD23" w14:textId="54875327" w:rsidR="00F326E5" w:rsidRDefault="00F326E5" w:rsidP="00F326E5">
      <w:pPr>
        <w:pStyle w:val="NoSpacing"/>
        <w:rPr>
          <w:rFonts w:ascii="Arial Black" w:hAnsi="Arial Black"/>
          <w:sz w:val="28"/>
          <w:szCs w:val="28"/>
        </w:rPr>
      </w:pPr>
      <w:bookmarkStart w:id="162" w:name="_Hlk25926509"/>
      <w:bookmarkStart w:id="163" w:name="_Hlk7341421"/>
      <w:r w:rsidRPr="000561E4">
        <w:rPr>
          <w:rFonts w:ascii="Arial Black" w:hAnsi="Arial Black"/>
          <w:sz w:val="28"/>
          <w:szCs w:val="28"/>
        </w:rPr>
        <w:t xml:space="preserve">PA: </w:t>
      </w:r>
      <w:r>
        <w:rPr>
          <w:rFonts w:ascii="Arial Black" w:hAnsi="Arial Black"/>
          <w:sz w:val="28"/>
          <w:szCs w:val="28"/>
        </w:rPr>
        <w:t>SANCTUARY CITY / ICE - 3</w:t>
      </w:r>
      <w:r w:rsidRPr="000561E4">
        <w:rPr>
          <w:rFonts w:ascii="Arial Black" w:hAnsi="Arial Black"/>
          <w:sz w:val="28"/>
          <w:szCs w:val="28"/>
          <w:vertAlign w:val="superscript"/>
        </w:rPr>
        <w:t>rd</w:t>
      </w:r>
      <w:r>
        <w:rPr>
          <w:rFonts w:ascii="Arial Black" w:hAnsi="Arial Black"/>
          <w:sz w:val="28"/>
          <w:szCs w:val="28"/>
        </w:rPr>
        <w:t xml:space="preserve"> CIRCUIT HOLDS FED. GOVT CANNOT WITHHOLD FORMULA GRANT </w:t>
      </w:r>
    </w:p>
    <w:p w14:paraId="7325FE78" w14:textId="77777777" w:rsidR="009C4A80" w:rsidRDefault="00F326E5" w:rsidP="00F326E5">
      <w:pPr>
        <w:pStyle w:val="NoSpacing"/>
        <w:rPr>
          <w:rFonts w:ascii="Times New Roman" w:hAnsi="Times New Roman"/>
          <w:sz w:val="24"/>
          <w:szCs w:val="24"/>
        </w:rPr>
      </w:pPr>
      <w:r w:rsidRPr="0036327D">
        <w:rPr>
          <w:rFonts w:ascii="Times New Roman" w:hAnsi="Times New Roman"/>
          <w:sz w:val="24"/>
          <w:szCs w:val="24"/>
        </w:rPr>
        <w:t xml:space="preserve">On Feb. 15, 2019, in </w:t>
      </w:r>
      <w:r w:rsidRPr="0036327D">
        <w:rPr>
          <w:rFonts w:ascii="Times New Roman" w:hAnsi="Times New Roman"/>
          <w:sz w:val="24"/>
          <w:szCs w:val="24"/>
          <w:u w:val="single"/>
        </w:rPr>
        <w:t xml:space="preserve">City of Philadelphia v. Attorney General </w:t>
      </w:r>
      <w:proofErr w:type="gramStart"/>
      <w:r w:rsidRPr="0036327D">
        <w:rPr>
          <w:rFonts w:ascii="Times New Roman" w:hAnsi="Times New Roman"/>
          <w:sz w:val="24"/>
          <w:szCs w:val="24"/>
          <w:u w:val="single"/>
        </w:rPr>
        <w:t>Of</w:t>
      </w:r>
      <w:proofErr w:type="gramEnd"/>
      <w:r w:rsidRPr="0036327D">
        <w:rPr>
          <w:rFonts w:ascii="Times New Roman" w:hAnsi="Times New Roman"/>
          <w:sz w:val="24"/>
          <w:szCs w:val="24"/>
          <w:u w:val="single"/>
        </w:rPr>
        <w:t xml:space="preserve"> </w:t>
      </w:r>
      <w:proofErr w:type="gramStart"/>
      <w:r w:rsidRPr="0036327D">
        <w:rPr>
          <w:rFonts w:ascii="Times New Roman" w:hAnsi="Times New Roman"/>
          <w:sz w:val="24"/>
          <w:szCs w:val="24"/>
          <w:u w:val="single"/>
        </w:rPr>
        <w:t>The</w:t>
      </w:r>
      <w:proofErr w:type="gramEnd"/>
      <w:r w:rsidRPr="0036327D">
        <w:rPr>
          <w:rFonts w:ascii="Times New Roman" w:hAnsi="Times New Roman"/>
          <w:sz w:val="24"/>
          <w:szCs w:val="24"/>
          <w:u w:val="single"/>
        </w:rPr>
        <w:t xml:space="preserve"> United States </w:t>
      </w:r>
      <w:proofErr w:type="gramStart"/>
      <w:r w:rsidRPr="0036327D">
        <w:rPr>
          <w:rFonts w:ascii="Times New Roman" w:hAnsi="Times New Roman"/>
          <w:sz w:val="24"/>
          <w:szCs w:val="24"/>
          <w:u w:val="single"/>
        </w:rPr>
        <w:t>Of</w:t>
      </w:r>
      <w:proofErr w:type="gramEnd"/>
      <w:r w:rsidRPr="0036327D">
        <w:rPr>
          <w:rFonts w:ascii="Times New Roman" w:hAnsi="Times New Roman"/>
          <w:sz w:val="24"/>
          <w:szCs w:val="24"/>
          <w:u w:val="single"/>
        </w:rPr>
        <w:t xml:space="preserve"> America</w:t>
      </w:r>
      <w:r w:rsidRPr="0036327D">
        <w:rPr>
          <w:rFonts w:ascii="Times New Roman" w:hAnsi="Times New Roman"/>
          <w:sz w:val="24"/>
          <w:szCs w:val="24"/>
        </w:rPr>
        <w:t xml:space="preserve">, the U.S. Court of Appeals held (3 to 0), </w:t>
      </w:r>
    </w:p>
    <w:p w14:paraId="05488087" w14:textId="77777777" w:rsidR="009C4A80" w:rsidRDefault="009C4A80" w:rsidP="00F326E5">
      <w:pPr>
        <w:pStyle w:val="NoSpacing"/>
        <w:rPr>
          <w:rFonts w:ascii="Times New Roman" w:hAnsi="Times New Roman"/>
          <w:sz w:val="24"/>
          <w:szCs w:val="24"/>
        </w:rPr>
      </w:pPr>
    </w:p>
    <w:p w14:paraId="5AFDBA0F" w14:textId="13A03CC8" w:rsidR="00F326E5" w:rsidRPr="0036327D" w:rsidRDefault="00F326E5" w:rsidP="009C4A80">
      <w:pPr>
        <w:pStyle w:val="NoSpacing"/>
        <w:ind w:left="720"/>
        <w:rPr>
          <w:rFonts w:ascii="Times New Roman" w:hAnsi="Times New Roman"/>
          <w:sz w:val="24"/>
          <w:szCs w:val="24"/>
        </w:rPr>
      </w:pPr>
      <w:r w:rsidRPr="0036327D">
        <w:rPr>
          <w:rFonts w:ascii="Times New Roman" w:hAnsi="Times New Roman"/>
          <w:sz w:val="24"/>
          <w:szCs w:val="24"/>
        </w:rPr>
        <w:t xml:space="preserve">“Concluding that Congress did not grant the Attorney General this authority, we hold that the Challenged Conditions were unlawfully imposed.  Therefore, we will affirm the District Court’s order to the extent that it enjoins enforcement of the Challenged Conditions against the City of Philadelphia.  We will vacate part of the order, however, to the extent that it exceeds the bounds of this </w:t>
      </w:r>
      <w:proofErr w:type="gramStart"/>
      <w:r w:rsidRPr="0036327D">
        <w:rPr>
          <w:rFonts w:ascii="Times New Roman" w:hAnsi="Times New Roman"/>
          <w:sz w:val="24"/>
          <w:szCs w:val="24"/>
        </w:rPr>
        <w:t>controversy.”</w:t>
      </w:r>
      <w:proofErr w:type="gramEnd"/>
      <w:r w:rsidRPr="0036327D">
        <w:rPr>
          <w:rFonts w:ascii="Times New Roman" w:hAnsi="Times New Roman"/>
          <w:sz w:val="24"/>
          <w:szCs w:val="24"/>
        </w:rPr>
        <w:t xml:space="preserve"> </w:t>
      </w:r>
      <w:hyperlink r:id="rId820" w:history="1">
        <w:r w:rsidRPr="0036327D">
          <w:rPr>
            <w:rStyle w:val="Hyperlink"/>
            <w:rFonts w:ascii="Times New Roman" w:hAnsi="Times New Roman"/>
            <w:sz w:val="24"/>
            <w:szCs w:val="24"/>
          </w:rPr>
          <w:t>https://www2.ca3.uscourts.gov/opinarch/182648p.pdf</w:t>
        </w:r>
      </w:hyperlink>
      <w:r w:rsidRPr="0036327D">
        <w:rPr>
          <w:rFonts w:ascii="Times New Roman" w:hAnsi="Times New Roman"/>
          <w:sz w:val="24"/>
          <w:szCs w:val="24"/>
        </w:rPr>
        <w:t xml:space="preserve"> </w:t>
      </w:r>
    </w:p>
    <w:p w14:paraId="4AFA5DF5" w14:textId="77777777" w:rsidR="009C4A80" w:rsidRDefault="009C4A80" w:rsidP="00F326E5">
      <w:pPr>
        <w:pStyle w:val="NoSpacing"/>
        <w:rPr>
          <w:rFonts w:ascii="Times New Roman" w:hAnsi="Times New Roman"/>
          <w:b/>
          <w:sz w:val="24"/>
          <w:szCs w:val="24"/>
        </w:rPr>
      </w:pPr>
      <w:bookmarkStart w:id="164" w:name="_Hlk7174020"/>
    </w:p>
    <w:p w14:paraId="52D7C331" w14:textId="4C935395" w:rsidR="00F326E5" w:rsidRPr="0036327D" w:rsidRDefault="00F326E5" w:rsidP="00F326E5">
      <w:pPr>
        <w:pStyle w:val="NoSpacing"/>
        <w:rPr>
          <w:rFonts w:ascii="Times New Roman" w:hAnsi="Times New Roman"/>
          <w:b/>
          <w:sz w:val="24"/>
          <w:szCs w:val="24"/>
        </w:rPr>
      </w:pPr>
      <w:r w:rsidRPr="0036327D">
        <w:rPr>
          <w:rFonts w:ascii="Times New Roman" w:hAnsi="Times New Roman"/>
          <w:b/>
          <w:sz w:val="24"/>
          <w:szCs w:val="24"/>
        </w:rPr>
        <w:t xml:space="preserve">Legal Lessons Learned: The </w:t>
      </w:r>
      <w:proofErr w:type="spellStart"/>
      <w:r w:rsidRPr="0036327D">
        <w:rPr>
          <w:rFonts w:ascii="Times New Roman" w:hAnsi="Times New Roman"/>
          <w:b/>
          <w:sz w:val="24"/>
          <w:szCs w:val="24"/>
        </w:rPr>
        <w:t>DoJ</w:t>
      </w:r>
      <w:proofErr w:type="spellEnd"/>
      <w:r w:rsidRPr="0036327D">
        <w:rPr>
          <w:rFonts w:ascii="Times New Roman" w:hAnsi="Times New Roman"/>
          <w:b/>
          <w:sz w:val="24"/>
          <w:szCs w:val="24"/>
        </w:rPr>
        <w:t xml:space="preserve"> is likely to seek review by U.S. Supreme Court. </w:t>
      </w:r>
    </w:p>
    <w:bookmarkEnd w:id="162"/>
    <w:bookmarkEnd w:id="164"/>
    <w:p w14:paraId="3A67FE4D" w14:textId="4977738A" w:rsidR="00F326E5" w:rsidRPr="00AF41DF" w:rsidRDefault="00F326E5" w:rsidP="00F326E5">
      <w:pPr>
        <w:pStyle w:val="NoSpacing"/>
        <w:rPr>
          <w:b/>
          <w:sz w:val="24"/>
          <w:szCs w:val="24"/>
        </w:rPr>
      </w:pPr>
    </w:p>
    <w:bookmarkEnd w:id="163"/>
    <w:p w14:paraId="42939F19" w14:textId="77777777" w:rsidR="00F326E5" w:rsidRDefault="00F326E5" w:rsidP="00F326E5">
      <w:pPr>
        <w:rPr>
          <w:rFonts w:ascii="Arial Black" w:hAnsi="Arial Black"/>
          <w:sz w:val="40"/>
          <w:szCs w:val="40"/>
        </w:rPr>
      </w:pPr>
    </w:p>
    <w:p w14:paraId="1B7A0EAB" w14:textId="119D5F5A" w:rsidR="00EF1133" w:rsidRPr="00EF1133" w:rsidRDefault="00EF1133" w:rsidP="00EF1133">
      <w:pPr>
        <w:rPr>
          <w:rFonts w:ascii="Arial Black" w:hAnsi="Arial Black"/>
          <w:color w:val="4A4A4A"/>
          <w:sz w:val="24"/>
          <w:szCs w:val="24"/>
          <w:lang w:val="en"/>
        </w:rPr>
      </w:pPr>
      <w:r w:rsidRPr="00EF1133">
        <w:rPr>
          <w:rFonts w:ascii="Arial Black" w:hAnsi="Arial Black"/>
          <w:color w:val="4A4A4A"/>
          <w:sz w:val="24"/>
          <w:szCs w:val="24"/>
          <w:lang w:val="en"/>
        </w:rPr>
        <w:t>3-</w:t>
      </w:r>
      <w:r w:rsidR="00A247E4">
        <w:rPr>
          <w:rFonts w:ascii="Arial Black" w:hAnsi="Arial Black"/>
          <w:color w:val="4A4A4A"/>
          <w:sz w:val="24"/>
          <w:szCs w:val="24"/>
          <w:lang w:val="en"/>
        </w:rPr>
        <w:t>8</w:t>
      </w:r>
    </w:p>
    <w:p w14:paraId="48FE4AD2" w14:textId="77777777" w:rsidR="00F326E5" w:rsidRDefault="00F326E5" w:rsidP="00F326E5">
      <w:pPr>
        <w:pStyle w:val="NoSpacing"/>
        <w:rPr>
          <w:bCs/>
          <w:sz w:val="24"/>
          <w:szCs w:val="24"/>
        </w:rPr>
      </w:pPr>
    </w:p>
    <w:p w14:paraId="5E893FAA" w14:textId="668DD196" w:rsidR="00F326E5" w:rsidRDefault="00F326E5" w:rsidP="00F326E5">
      <w:pPr>
        <w:pStyle w:val="NoSpacing"/>
        <w:rPr>
          <w:rFonts w:ascii="Arial Black" w:hAnsi="Arial Black"/>
          <w:b/>
          <w:bCs/>
          <w:sz w:val="24"/>
          <w:szCs w:val="24"/>
        </w:rPr>
      </w:pPr>
      <w:bookmarkStart w:id="165" w:name="_Hlk7341624"/>
      <w:r w:rsidRPr="004445C3">
        <w:rPr>
          <w:rFonts w:ascii="Arial Black" w:hAnsi="Arial Black"/>
          <w:b/>
          <w:bCs/>
          <w:sz w:val="28"/>
          <w:szCs w:val="28"/>
        </w:rPr>
        <w:t xml:space="preserve">NY: </w:t>
      </w:r>
      <w:r>
        <w:rPr>
          <w:rFonts w:ascii="Arial Black" w:hAnsi="Arial Black"/>
          <w:b/>
          <w:bCs/>
          <w:sz w:val="28"/>
          <w:szCs w:val="28"/>
        </w:rPr>
        <w:t>JUVENILE TERRORIST – CAN’T DEPORT, BECAME U.S. CITIZEN WHEN FATHER BECAME CITIZEN</w:t>
      </w:r>
    </w:p>
    <w:p w14:paraId="525C53BE" w14:textId="77777777" w:rsidR="00F326E5" w:rsidRPr="0036327D" w:rsidRDefault="00F326E5" w:rsidP="00F326E5">
      <w:pPr>
        <w:rPr>
          <w:rFonts w:ascii="Times New Roman" w:eastAsia="Times New Roman" w:hAnsi="Times New Roman"/>
          <w:sz w:val="24"/>
          <w:szCs w:val="24"/>
        </w:rPr>
      </w:pPr>
      <w:r w:rsidRPr="0036327D">
        <w:rPr>
          <w:rFonts w:ascii="Times New Roman" w:eastAsia="Times New Roman" w:hAnsi="Times New Roman"/>
          <w:sz w:val="24"/>
          <w:szCs w:val="24"/>
        </w:rPr>
        <w:t xml:space="preserve">On Sept. 13, 2018, in </w:t>
      </w:r>
      <w:r w:rsidRPr="0036327D">
        <w:rPr>
          <w:rFonts w:ascii="Times New Roman" w:eastAsia="Times New Roman" w:hAnsi="Times New Roman"/>
          <w:sz w:val="24"/>
          <w:szCs w:val="24"/>
          <w:u w:val="single"/>
        </w:rPr>
        <w:t>Mohammed Khalid v. Jefferson Sessions, U.S. Attorney General</w:t>
      </w:r>
      <w:r w:rsidRPr="0036327D">
        <w:rPr>
          <w:rFonts w:ascii="Times New Roman" w:eastAsia="Times New Roman" w:hAnsi="Times New Roman"/>
          <w:sz w:val="24"/>
          <w:szCs w:val="24"/>
        </w:rPr>
        <w:t xml:space="preserve">, the U.S. Court of Appeals for Second Circuit [N.Y.], held (3 to 0): “We hold that the short, temporary physical separation caused by Khalid’s time in federal pretrial juvenile detention did not strip Khalid’s father of his ‘physical custody’ of Khalid as that term is used in 8 U.S.C. §1431(a), and that consequently, Khalid is a U.S. citizen. </w:t>
      </w:r>
      <w:hyperlink r:id="rId821" w:history="1">
        <w:r w:rsidRPr="0036327D">
          <w:rPr>
            <w:rStyle w:val="Hyperlink"/>
            <w:rFonts w:ascii="Times New Roman" w:hAnsi="Times New Roman"/>
            <w:sz w:val="24"/>
            <w:szCs w:val="24"/>
          </w:rPr>
          <w:t>https://ij.org/wp-content/uploads/2018/09/16-3480_complete_opn.pdf</w:t>
        </w:r>
      </w:hyperlink>
      <w:r w:rsidRPr="0036327D">
        <w:rPr>
          <w:rFonts w:ascii="Times New Roman" w:eastAsia="Times New Roman" w:hAnsi="Times New Roman"/>
          <w:sz w:val="24"/>
          <w:szCs w:val="24"/>
        </w:rPr>
        <w:t xml:space="preserve"> </w:t>
      </w:r>
    </w:p>
    <w:p w14:paraId="3B058AF2"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 xml:space="preserve">Legal Lessons Learned:  Citizenship is a great privilege.  Congress needs to consider revising the Immigration laws so that those convicted of terrorism are not automatically granted citizenship when their parent becomes a citizen. </w:t>
      </w:r>
    </w:p>
    <w:p w14:paraId="5EB04778" w14:textId="77777777" w:rsidR="00F326E5" w:rsidRPr="0036327D" w:rsidRDefault="00F326E5" w:rsidP="00F326E5">
      <w:pPr>
        <w:ind w:left="720"/>
        <w:rPr>
          <w:rFonts w:ascii="Times New Roman" w:eastAsia="Times New Roman" w:hAnsi="Times New Roman"/>
          <w:sz w:val="24"/>
          <w:szCs w:val="24"/>
        </w:rPr>
      </w:pPr>
      <w:r w:rsidRPr="0036327D">
        <w:rPr>
          <w:rFonts w:ascii="Times New Roman" w:eastAsia="Times New Roman" w:hAnsi="Times New Roman"/>
          <w:sz w:val="24"/>
          <w:szCs w:val="24"/>
        </w:rPr>
        <w:t>See article, “</w:t>
      </w:r>
      <w:r w:rsidRPr="0036327D">
        <w:rPr>
          <w:rFonts w:ascii="Times New Roman" w:hAnsi="Times New Roman"/>
          <w:sz w:val="24"/>
          <w:szCs w:val="24"/>
        </w:rPr>
        <w:t xml:space="preserve">Mohammad Hassan Khalid given five years in jail for his part in jihadist plot,” Khalid, the youngest person at 15 to be prosecuted for terrorism in the US, found guilty of involvement in conspiracy by 'Jihad Jane' to kill Swedish artist.  Khalid, a Pakistani migrant living in Maryland, was 15 years old when he first began chatting on the internet with Colleen LaRose, the Philadelphia housewife who called herself “Jihad Jane”. LaRose, who is serving a 10-year prison sentence for her part in the conspiracy, drew him into a plan to kill the Swedish artist Lars Vilks, who had drawn the head of the prophet Muhammad on the body of a dog. </w:t>
      </w:r>
      <w:hyperlink r:id="rId822" w:history="1">
        <w:r w:rsidRPr="0036327D">
          <w:rPr>
            <w:rStyle w:val="Hyperlink"/>
            <w:rFonts w:ascii="Times New Roman" w:hAnsi="Times New Roman"/>
            <w:sz w:val="24"/>
            <w:szCs w:val="24"/>
          </w:rPr>
          <w:t>https://www.theguardian.com/world/2014/apr/17/mohammad-hassan-khalid-sentence-five-years-jail-jihad-jane-plot</w:t>
        </w:r>
      </w:hyperlink>
      <w:r w:rsidRPr="0036327D">
        <w:rPr>
          <w:rFonts w:ascii="Times New Roman" w:hAnsi="Times New Roman"/>
          <w:sz w:val="24"/>
          <w:szCs w:val="24"/>
        </w:rPr>
        <w:t xml:space="preserve"> </w:t>
      </w:r>
    </w:p>
    <w:bookmarkEnd w:id="165"/>
    <w:p w14:paraId="26F2E2C0" w14:textId="75AFD2C1" w:rsidR="00EF1133" w:rsidRPr="00EF1133" w:rsidRDefault="00EF1133" w:rsidP="00EF1133">
      <w:pPr>
        <w:rPr>
          <w:rFonts w:ascii="Arial Black" w:hAnsi="Arial Black"/>
          <w:color w:val="4A4A4A"/>
          <w:sz w:val="24"/>
          <w:szCs w:val="24"/>
          <w:lang w:val="en"/>
        </w:rPr>
      </w:pPr>
      <w:r w:rsidRPr="00EF1133">
        <w:rPr>
          <w:rFonts w:ascii="Arial Black" w:hAnsi="Arial Black"/>
          <w:color w:val="4A4A4A"/>
          <w:sz w:val="24"/>
          <w:szCs w:val="24"/>
          <w:lang w:val="en"/>
        </w:rPr>
        <w:t>3-</w:t>
      </w:r>
      <w:r w:rsidR="00A247E4">
        <w:rPr>
          <w:rFonts w:ascii="Arial Black" w:hAnsi="Arial Black"/>
          <w:color w:val="4A4A4A"/>
          <w:sz w:val="24"/>
          <w:szCs w:val="24"/>
          <w:lang w:val="en"/>
        </w:rPr>
        <w:t>7</w:t>
      </w:r>
    </w:p>
    <w:p w14:paraId="019BB327" w14:textId="69AE6033" w:rsidR="00F326E5" w:rsidRPr="004445C3" w:rsidRDefault="00F326E5" w:rsidP="00F326E5">
      <w:pPr>
        <w:pStyle w:val="NoSpacing"/>
        <w:rPr>
          <w:rFonts w:ascii="Arial Black" w:hAnsi="Arial Black"/>
          <w:b/>
          <w:sz w:val="28"/>
          <w:szCs w:val="28"/>
        </w:rPr>
      </w:pPr>
      <w:bookmarkStart w:id="166" w:name="_Hlk7341723"/>
      <w:r w:rsidRPr="004445C3">
        <w:rPr>
          <w:rFonts w:ascii="Arial Black" w:hAnsi="Arial Black"/>
          <w:b/>
          <w:sz w:val="28"/>
          <w:szCs w:val="28"/>
        </w:rPr>
        <w:t>U.S. S</w:t>
      </w:r>
      <w:r>
        <w:rPr>
          <w:rFonts w:ascii="Arial Black" w:hAnsi="Arial Black"/>
          <w:b/>
          <w:sz w:val="28"/>
          <w:szCs w:val="28"/>
        </w:rPr>
        <w:t xml:space="preserve">UPREME COURT: PRESIDENT TRUMP’S “TRAVEL BAN” ON 8 NATIONS LAWFUL </w:t>
      </w:r>
    </w:p>
    <w:p w14:paraId="4D348741" w14:textId="77777777" w:rsidR="00F326E5" w:rsidRPr="0036327D" w:rsidRDefault="00F326E5" w:rsidP="00F326E5">
      <w:pPr>
        <w:rPr>
          <w:rFonts w:ascii="Times New Roman" w:eastAsia="Times New Roman" w:hAnsi="Times New Roman"/>
          <w:b/>
          <w:sz w:val="24"/>
          <w:szCs w:val="24"/>
        </w:rPr>
      </w:pPr>
      <w:r w:rsidRPr="0036327D">
        <w:rPr>
          <w:rFonts w:ascii="Times New Roman" w:hAnsi="Times New Roman"/>
          <w:sz w:val="24"/>
          <w:szCs w:val="24"/>
        </w:rPr>
        <w:t xml:space="preserve">On June 26, 2018, in </w:t>
      </w:r>
      <w:r w:rsidRPr="0036327D">
        <w:rPr>
          <w:rFonts w:ascii="Times New Roman" w:hAnsi="Times New Roman"/>
          <w:sz w:val="24"/>
          <w:szCs w:val="24"/>
          <w:u w:val="single"/>
        </w:rPr>
        <w:t>Trump, President Of The United States v. Hawaii, et al</w:t>
      </w:r>
      <w:r w:rsidRPr="0036327D">
        <w:rPr>
          <w:rFonts w:ascii="Times New Roman" w:hAnsi="Times New Roman"/>
          <w:sz w:val="24"/>
          <w:szCs w:val="24"/>
        </w:rPr>
        <w:t xml:space="preserve">., the U.S. Supreme Court (5 to 4), in decision by Chief Justice Roberts, held that President has the authority under federal statutes to ban travel to USA of citizens from 8 countries with weak travel clearance processes: </w:t>
      </w:r>
      <w:r w:rsidRPr="0036327D">
        <w:rPr>
          <w:rFonts w:ascii="Times New Roman" w:eastAsia="Times New Roman" w:hAnsi="Times New Roman"/>
          <w:sz w:val="24"/>
          <w:szCs w:val="24"/>
        </w:rPr>
        <w:t>Chad, Iran, Iraq, Libya, North Korea, Syria, Venezuela, and Yemen.</w:t>
      </w:r>
    </w:p>
    <w:p w14:paraId="6CABAD81" w14:textId="1BDB3AFA" w:rsidR="00F326E5" w:rsidRPr="0036327D" w:rsidRDefault="00F326E5" w:rsidP="00F326E5">
      <w:pPr>
        <w:ind w:left="720"/>
        <w:rPr>
          <w:rFonts w:ascii="Times New Roman" w:eastAsia="Times New Roman" w:hAnsi="Times New Roman"/>
          <w:sz w:val="24"/>
          <w:szCs w:val="24"/>
          <w:u w:val="single"/>
        </w:rPr>
      </w:pPr>
      <w:r w:rsidRPr="0036327D">
        <w:rPr>
          <w:rFonts w:ascii="Times New Roman" w:eastAsia="Times New Roman" w:hAnsi="Times New Roman"/>
          <w:b/>
          <w:sz w:val="24"/>
          <w:szCs w:val="24"/>
        </w:rPr>
        <w:t>“</w:t>
      </w:r>
      <w:r w:rsidRPr="0036327D">
        <w:rPr>
          <w:rFonts w:ascii="Times New Roman" w:eastAsia="Times New Roman" w:hAnsi="Times New Roman"/>
          <w:sz w:val="24"/>
          <w:szCs w:val="24"/>
        </w:rPr>
        <w:t xml:space="preserve">By its plain language, §1182(f) grants the President broad discretion to suspend the entry of aliens into the United States. The President lawfully exercised that discretion based on his findings—following a worldwide, multi-agency review—that entry of the covered aliens would be detrimental to the national interest. And plaintiffs’ attempts to identify a conflict with other provisions in the INA, and their appeal to the statute’s purposes and legislative history, fail to overcome the clear statutory </w:t>
      </w:r>
      <w:proofErr w:type="gramStart"/>
      <w:r w:rsidRPr="0036327D">
        <w:rPr>
          <w:rFonts w:ascii="Times New Roman" w:eastAsia="Times New Roman" w:hAnsi="Times New Roman"/>
          <w:sz w:val="24"/>
          <w:szCs w:val="24"/>
        </w:rPr>
        <w:t>language.”</w:t>
      </w:r>
      <w:proofErr w:type="gramEnd"/>
      <w:r w:rsidR="009C4A80">
        <w:rPr>
          <w:rFonts w:ascii="Times New Roman" w:eastAsia="Times New Roman" w:hAnsi="Times New Roman"/>
          <w:sz w:val="24"/>
          <w:szCs w:val="24"/>
        </w:rPr>
        <w:t xml:space="preserve"> </w:t>
      </w:r>
      <w:hyperlink r:id="rId823" w:history="1">
        <w:r w:rsidRPr="0036327D">
          <w:rPr>
            <w:rStyle w:val="Hyperlink"/>
            <w:rFonts w:ascii="Times New Roman" w:hAnsi="Times New Roman"/>
            <w:sz w:val="24"/>
            <w:szCs w:val="24"/>
          </w:rPr>
          <w:t>https://www.supremecourt.gov/opinions/17pdf/17-965_h315.pdf</w:t>
        </w:r>
      </w:hyperlink>
      <w:r w:rsidRPr="0036327D">
        <w:rPr>
          <w:rFonts w:ascii="Times New Roman" w:eastAsia="Times New Roman" w:hAnsi="Times New Roman"/>
          <w:sz w:val="24"/>
          <w:szCs w:val="24"/>
          <w:u w:val="single"/>
        </w:rPr>
        <w:t xml:space="preserve"> </w:t>
      </w:r>
    </w:p>
    <w:p w14:paraId="112C2E5E"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Legal Lessons Learned:  The Congress has granted President great powers to protect our national security.</w:t>
      </w:r>
    </w:p>
    <w:bookmarkEnd w:id="166"/>
    <w:p w14:paraId="0AD9C211" w14:textId="11FA162C" w:rsidR="007A61C9" w:rsidRDefault="007A61C9" w:rsidP="00F326E5">
      <w:pPr>
        <w:rPr>
          <w:rFonts w:ascii="Arial Black" w:hAnsi="Arial Black"/>
          <w:color w:val="4A4A4A"/>
          <w:sz w:val="24"/>
          <w:szCs w:val="24"/>
          <w:lang w:val="en"/>
        </w:rPr>
      </w:pPr>
      <w:r>
        <w:rPr>
          <w:rFonts w:ascii="Arial Black" w:hAnsi="Arial Black"/>
          <w:color w:val="4A4A4A"/>
          <w:sz w:val="24"/>
          <w:szCs w:val="24"/>
          <w:lang w:val="en"/>
        </w:rPr>
        <w:t>3-6</w:t>
      </w:r>
    </w:p>
    <w:p w14:paraId="68C80CA1" w14:textId="58FC1CFB" w:rsidR="007A61C9" w:rsidRPr="007A61C9" w:rsidRDefault="007A61C9" w:rsidP="007A61C9">
      <w:pPr>
        <w:pStyle w:val="NoSpacing"/>
        <w:rPr>
          <w:rFonts w:ascii="Arial Black" w:hAnsi="Arial Black"/>
          <w:sz w:val="28"/>
          <w:szCs w:val="28"/>
        </w:rPr>
      </w:pPr>
      <w:r w:rsidRPr="007A61C9">
        <w:rPr>
          <w:rFonts w:ascii="Arial Black" w:hAnsi="Arial Black"/>
          <w:sz w:val="28"/>
          <w:szCs w:val="28"/>
        </w:rPr>
        <w:t xml:space="preserve">U.S. SUPREME COURT </w:t>
      </w:r>
      <w:r>
        <w:rPr>
          <w:rFonts w:ascii="Arial Black" w:hAnsi="Arial Black"/>
          <w:sz w:val="28"/>
          <w:szCs w:val="28"/>
        </w:rPr>
        <w:t>–</w:t>
      </w:r>
      <w:r w:rsidRPr="007A61C9">
        <w:rPr>
          <w:rFonts w:ascii="Arial Black" w:hAnsi="Arial Black"/>
          <w:sz w:val="28"/>
          <w:szCs w:val="28"/>
        </w:rPr>
        <w:t xml:space="preserve"> </w:t>
      </w:r>
      <w:r>
        <w:rPr>
          <w:rFonts w:ascii="Arial Black" w:hAnsi="Arial Black"/>
          <w:sz w:val="28"/>
          <w:szCs w:val="28"/>
        </w:rPr>
        <w:t xml:space="preserve">TO </w:t>
      </w:r>
      <w:r w:rsidR="00E63D2F">
        <w:rPr>
          <w:rFonts w:ascii="Arial Black" w:hAnsi="Arial Black"/>
          <w:sz w:val="28"/>
          <w:szCs w:val="28"/>
        </w:rPr>
        <w:t>OBTAIN CELL PHONE DATA ON SUSPECT, NEED “PROBABLE CAUSE” – EXCEPTION FOR EMERGENCIES</w:t>
      </w:r>
    </w:p>
    <w:p w14:paraId="3613110F" w14:textId="77777777" w:rsidR="00E63D2F" w:rsidRDefault="00E63D2F" w:rsidP="007A61C9">
      <w:pPr>
        <w:pStyle w:val="NoSpacing"/>
        <w:rPr>
          <w:rFonts w:ascii="Times New Roman" w:hAnsi="Times New Roman"/>
          <w:sz w:val="24"/>
          <w:szCs w:val="24"/>
        </w:rPr>
      </w:pPr>
    </w:p>
    <w:p w14:paraId="641226D1" w14:textId="6DD97E8B" w:rsidR="007A61C9" w:rsidRPr="00563EC5" w:rsidRDefault="00E63D2F" w:rsidP="007A61C9">
      <w:pPr>
        <w:pStyle w:val="NoSpacing"/>
        <w:rPr>
          <w:rFonts w:ascii="Times New Roman" w:hAnsi="Times New Roman"/>
          <w:sz w:val="24"/>
          <w:szCs w:val="24"/>
        </w:rPr>
      </w:pPr>
      <w:r>
        <w:rPr>
          <w:rFonts w:ascii="Times New Roman" w:hAnsi="Times New Roman"/>
          <w:sz w:val="24"/>
          <w:szCs w:val="24"/>
        </w:rPr>
        <w:t xml:space="preserve">On June 22, 2018, in </w:t>
      </w:r>
      <w:r w:rsidRPr="00E63D2F">
        <w:rPr>
          <w:rFonts w:ascii="Times New Roman" w:hAnsi="Times New Roman"/>
          <w:sz w:val="24"/>
          <w:szCs w:val="24"/>
          <w:u w:val="single"/>
        </w:rPr>
        <w:t>Timothy Carpenter v. United States</w:t>
      </w:r>
      <w:r>
        <w:rPr>
          <w:rFonts w:ascii="Times New Roman" w:hAnsi="Times New Roman"/>
          <w:sz w:val="24"/>
          <w:szCs w:val="24"/>
        </w:rPr>
        <w:t xml:space="preserve">, the U.S. Supreme Court (5 to 4) held that </w:t>
      </w:r>
      <w:r w:rsidR="00563EC5">
        <w:rPr>
          <w:rFonts w:ascii="Times New Roman" w:hAnsi="Times New Roman"/>
          <w:sz w:val="24"/>
          <w:szCs w:val="24"/>
        </w:rPr>
        <w:t xml:space="preserve">a </w:t>
      </w:r>
      <w:r>
        <w:rPr>
          <w:rFonts w:ascii="Times New Roman" w:hAnsi="Times New Roman"/>
          <w:sz w:val="24"/>
          <w:szCs w:val="24"/>
        </w:rPr>
        <w:t>U.S. Magistrate improperly issued a</w:t>
      </w:r>
      <w:r w:rsidR="00563EC5">
        <w:rPr>
          <w:rFonts w:ascii="Times New Roman" w:hAnsi="Times New Roman"/>
          <w:sz w:val="24"/>
          <w:szCs w:val="24"/>
        </w:rPr>
        <w:t xml:space="preserve">n order to two cell phone companies under the </w:t>
      </w:r>
      <w:r w:rsidR="00563EC5" w:rsidRPr="007A61C9">
        <w:rPr>
          <w:rFonts w:ascii="Times New Roman" w:hAnsi="Times New Roman"/>
          <w:sz w:val="24"/>
          <w:szCs w:val="24"/>
        </w:rPr>
        <w:t>Stored Communications Act</w:t>
      </w:r>
      <w:r w:rsidR="00563EC5">
        <w:rPr>
          <w:rFonts w:ascii="Times New Roman" w:hAnsi="Times New Roman"/>
          <w:sz w:val="24"/>
          <w:szCs w:val="24"/>
        </w:rPr>
        <w:t>;</w:t>
      </w:r>
      <w:r>
        <w:rPr>
          <w:rFonts w:ascii="Times New Roman" w:hAnsi="Times New Roman"/>
          <w:sz w:val="24"/>
          <w:szCs w:val="24"/>
        </w:rPr>
        <w:t xml:space="preserve"> </w:t>
      </w:r>
      <w:r w:rsidR="00563EC5">
        <w:rPr>
          <w:rFonts w:ascii="Times New Roman" w:hAnsi="Times New Roman"/>
          <w:sz w:val="24"/>
          <w:szCs w:val="24"/>
        </w:rPr>
        <w:t xml:space="preserve">the FBI was investigating a series of armed robberies in Michigan and Ohio, and </w:t>
      </w:r>
      <w:r w:rsidR="00EC7466">
        <w:rPr>
          <w:rFonts w:ascii="Times New Roman" w:hAnsi="Times New Roman"/>
          <w:sz w:val="24"/>
          <w:szCs w:val="24"/>
        </w:rPr>
        <w:t>obtained 127 days of</w:t>
      </w:r>
      <w:r w:rsidR="00563EC5">
        <w:rPr>
          <w:rFonts w:ascii="Times New Roman" w:hAnsi="Times New Roman"/>
          <w:sz w:val="24"/>
          <w:szCs w:val="24"/>
        </w:rPr>
        <w:t xml:space="preserve"> cell-site location information (C</w:t>
      </w:r>
      <w:r w:rsidR="00EC7466">
        <w:rPr>
          <w:rFonts w:ascii="Times New Roman" w:hAnsi="Times New Roman"/>
          <w:sz w:val="24"/>
          <w:szCs w:val="24"/>
        </w:rPr>
        <w:t xml:space="preserve">SLI) </w:t>
      </w:r>
      <w:r w:rsidR="00563EC5">
        <w:rPr>
          <w:rFonts w:ascii="Times New Roman" w:hAnsi="Times New Roman"/>
          <w:sz w:val="24"/>
          <w:szCs w:val="24"/>
        </w:rPr>
        <w:t xml:space="preserve">on the lead suspect.  </w:t>
      </w:r>
      <w:r w:rsidR="00EC7466">
        <w:rPr>
          <w:rFonts w:ascii="Times New Roman" w:hAnsi="Times New Roman"/>
          <w:sz w:val="24"/>
          <w:szCs w:val="24"/>
        </w:rPr>
        <w:t xml:space="preserve">Court majority held that the FBI agents should have sought a search warrant, which </w:t>
      </w:r>
      <w:proofErr w:type="gramStart"/>
      <w:r w:rsidR="00EC7466">
        <w:rPr>
          <w:rFonts w:ascii="Times New Roman" w:hAnsi="Times New Roman"/>
          <w:sz w:val="24"/>
          <w:szCs w:val="24"/>
        </w:rPr>
        <w:t>have required</w:t>
      </w:r>
      <w:proofErr w:type="gramEnd"/>
      <w:r w:rsidR="00EC7466">
        <w:rPr>
          <w:rFonts w:ascii="Times New Roman" w:hAnsi="Times New Roman"/>
          <w:sz w:val="24"/>
          <w:szCs w:val="24"/>
        </w:rPr>
        <w:t xml:space="preserve"> an affidavit showing probable cause. “</w:t>
      </w:r>
      <w:r w:rsidR="00EC7466" w:rsidRPr="00EC7466">
        <w:rPr>
          <w:rFonts w:ascii="Times New Roman" w:hAnsi="Times New Roman"/>
          <w:sz w:val="24"/>
          <w:szCs w:val="24"/>
        </w:rPr>
        <w:t>Having found that the acquisition of Carpenter’s CSLI</w:t>
      </w:r>
      <w:r w:rsidR="00EC7466">
        <w:rPr>
          <w:rFonts w:ascii="Times New Roman" w:hAnsi="Times New Roman"/>
          <w:sz w:val="24"/>
          <w:szCs w:val="24"/>
        </w:rPr>
        <w:t xml:space="preserve"> </w:t>
      </w:r>
      <w:r w:rsidR="00EC7466" w:rsidRPr="00EC7466">
        <w:rPr>
          <w:rFonts w:ascii="Times New Roman" w:hAnsi="Times New Roman"/>
          <w:sz w:val="24"/>
          <w:szCs w:val="24"/>
        </w:rPr>
        <w:t>was a search, we also conclude that the Government must generally obtain a warrant supported by probable cause before acquiring such records.</w:t>
      </w:r>
      <w:r w:rsidR="00EC7466">
        <w:rPr>
          <w:rFonts w:ascii="Times New Roman" w:hAnsi="Times New Roman"/>
          <w:sz w:val="24"/>
          <w:szCs w:val="24"/>
        </w:rPr>
        <w:t xml:space="preserve">” </w:t>
      </w:r>
      <w:r w:rsidR="00563EC5" w:rsidRPr="00563EC5">
        <w:rPr>
          <w:rFonts w:ascii="Times New Roman" w:hAnsi="Times New Roman"/>
          <w:sz w:val="24"/>
          <w:szCs w:val="24"/>
        </w:rPr>
        <w:t>Carpenter was convicted on all</w:t>
      </w:r>
      <w:r w:rsidR="00563EC5">
        <w:rPr>
          <w:rFonts w:ascii="Times New Roman" w:hAnsi="Times New Roman"/>
          <w:sz w:val="24"/>
          <w:szCs w:val="24"/>
        </w:rPr>
        <w:t xml:space="preserve"> </w:t>
      </w:r>
      <w:r w:rsidR="00563EC5" w:rsidRPr="00563EC5">
        <w:rPr>
          <w:rFonts w:ascii="Times New Roman" w:hAnsi="Times New Roman"/>
          <w:sz w:val="24"/>
          <w:szCs w:val="24"/>
        </w:rPr>
        <w:t xml:space="preserve">but one of the </w:t>
      </w:r>
      <w:proofErr w:type="gramStart"/>
      <w:r w:rsidR="00563EC5" w:rsidRPr="00563EC5">
        <w:rPr>
          <w:rFonts w:ascii="Times New Roman" w:hAnsi="Times New Roman"/>
          <w:sz w:val="24"/>
          <w:szCs w:val="24"/>
        </w:rPr>
        <w:t>firearm</w:t>
      </w:r>
      <w:proofErr w:type="gramEnd"/>
      <w:r w:rsidR="00563EC5" w:rsidRPr="00563EC5">
        <w:rPr>
          <w:rFonts w:ascii="Times New Roman" w:hAnsi="Times New Roman"/>
          <w:sz w:val="24"/>
          <w:szCs w:val="24"/>
        </w:rPr>
        <w:t xml:space="preserve"> counts and sentenced to more than 100 years in prison.</w:t>
      </w:r>
      <w:r w:rsidR="00563EC5">
        <w:rPr>
          <w:rFonts w:ascii="Times New Roman" w:hAnsi="Times New Roman"/>
          <w:sz w:val="24"/>
          <w:szCs w:val="24"/>
        </w:rPr>
        <w:t xml:space="preserve"> [Conviction reversed.]</w:t>
      </w:r>
    </w:p>
    <w:p w14:paraId="5D123938" w14:textId="1F29F6C8" w:rsidR="00E63D2F" w:rsidRDefault="00E63D2F" w:rsidP="007A61C9">
      <w:pPr>
        <w:pStyle w:val="NoSpacing"/>
        <w:rPr>
          <w:rFonts w:ascii="Times New Roman" w:hAnsi="Times New Roman"/>
          <w:sz w:val="24"/>
          <w:szCs w:val="24"/>
        </w:rPr>
      </w:pPr>
    </w:p>
    <w:p w14:paraId="27ED1D8A" w14:textId="77777777" w:rsidR="00E63D2F" w:rsidRDefault="00E63D2F" w:rsidP="007A61C9">
      <w:pPr>
        <w:pStyle w:val="NoSpacing"/>
        <w:rPr>
          <w:rFonts w:ascii="Times New Roman" w:hAnsi="Times New Roman"/>
          <w:sz w:val="24"/>
          <w:szCs w:val="24"/>
        </w:rPr>
      </w:pPr>
    </w:p>
    <w:p w14:paraId="3AEFB889" w14:textId="540EAD2A" w:rsidR="00563EC5" w:rsidRPr="00563EC5" w:rsidRDefault="00E63D2F" w:rsidP="00E63D2F">
      <w:pPr>
        <w:pStyle w:val="NoSpacing"/>
        <w:ind w:left="720"/>
        <w:rPr>
          <w:rFonts w:ascii="Times New Roman" w:hAnsi="Times New Roman"/>
          <w:sz w:val="24"/>
          <w:szCs w:val="24"/>
        </w:rPr>
      </w:pPr>
      <w:r>
        <w:rPr>
          <w:rFonts w:ascii="Times New Roman" w:hAnsi="Times New Roman"/>
          <w:sz w:val="24"/>
          <w:szCs w:val="24"/>
        </w:rPr>
        <w:t>“</w:t>
      </w:r>
      <w:r w:rsidR="007A61C9" w:rsidRPr="007A61C9">
        <w:rPr>
          <w:rFonts w:ascii="Times New Roman" w:hAnsi="Times New Roman"/>
          <w:sz w:val="24"/>
          <w:szCs w:val="24"/>
        </w:rPr>
        <w:t>In 2011, police officers arrested four men suspected of</w:t>
      </w:r>
      <w:r>
        <w:rPr>
          <w:rFonts w:ascii="Times New Roman" w:hAnsi="Times New Roman"/>
          <w:sz w:val="24"/>
          <w:szCs w:val="24"/>
        </w:rPr>
        <w:t xml:space="preserve"> </w:t>
      </w:r>
      <w:r w:rsidR="007A61C9" w:rsidRPr="007A61C9">
        <w:rPr>
          <w:rFonts w:ascii="Times New Roman" w:hAnsi="Times New Roman"/>
          <w:sz w:val="24"/>
          <w:szCs w:val="24"/>
        </w:rPr>
        <w:t>robbing a series of Radio Shack and (ironically enough) T-Mobile stores in Detroit. One of the men confessed that, over the previous four months, the group (along with a rotating cast of getaway drivers and lookouts) had robbed</w:t>
      </w:r>
      <w:r>
        <w:rPr>
          <w:rFonts w:ascii="Times New Roman" w:hAnsi="Times New Roman"/>
          <w:sz w:val="24"/>
          <w:szCs w:val="24"/>
        </w:rPr>
        <w:t xml:space="preserve"> </w:t>
      </w:r>
      <w:r w:rsidR="007A61C9" w:rsidRPr="007A61C9">
        <w:rPr>
          <w:rFonts w:ascii="Times New Roman" w:hAnsi="Times New Roman"/>
          <w:sz w:val="24"/>
          <w:szCs w:val="24"/>
        </w:rPr>
        <w:t>nine different stores in Michigan and Ohio. The suspect</w:t>
      </w:r>
      <w:r>
        <w:rPr>
          <w:rFonts w:ascii="Times New Roman" w:hAnsi="Times New Roman"/>
          <w:sz w:val="24"/>
          <w:szCs w:val="24"/>
        </w:rPr>
        <w:t xml:space="preserve"> </w:t>
      </w:r>
      <w:r w:rsidR="007A61C9" w:rsidRPr="007A61C9">
        <w:rPr>
          <w:rFonts w:ascii="Times New Roman" w:hAnsi="Times New Roman"/>
          <w:sz w:val="24"/>
          <w:szCs w:val="24"/>
        </w:rPr>
        <w:t>identified 15 accomplices who had participated in the heists and gave the FBI some of their cell phone numbers;</w:t>
      </w:r>
      <w:r>
        <w:rPr>
          <w:rFonts w:ascii="Times New Roman" w:hAnsi="Times New Roman"/>
          <w:sz w:val="24"/>
          <w:szCs w:val="24"/>
        </w:rPr>
        <w:t xml:space="preserve"> </w:t>
      </w:r>
      <w:r w:rsidR="007A61C9" w:rsidRPr="007A61C9">
        <w:rPr>
          <w:rFonts w:ascii="Times New Roman" w:hAnsi="Times New Roman"/>
          <w:sz w:val="24"/>
          <w:szCs w:val="24"/>
        </w:rPr>
        <w:t>the FBI then reviewed his call records to identify additional numbers that he had called around the time of the robberies. *** Federal Magistrate Judges issued two</w:t>
      </w:r>
      <w:r>
        <w:rPr>
          <w:rFonts w:ascii="Times New Roman" w:hAnsi="Times New Roman"/>
          <w:sz w:val="24"/>
          <w:szCs w:val="24"/>
        </w:rPr>
        <w:t xml:space="preserve"> </w:t>
      </w:r>
      <w:r w:rsidR="007A61C9" w:rsidRPr="007A61C9">
        <w:rPr>
          <w:rFonts w:ascii="Times New Roman" w:hAnsi="Times New Roman"/>
          <w:sz w:val="24"/>
          <w:szCs w:val="24"/>
        </w:rPr>
        <w:t>orders directing Carpenter’s wireless carriers—Metro</w:t>
      </w:r>
      <w:r w:rsidR="00563EC5">
        <w:rPr>
          <w:rFonts w:ascii="Times New Roman" w:hAnsi="Times New Roman"/>
          <w:sz w:val="24"/>
          <w:szCs w:val="24"/>
        </w:rPr>
        <w:t xml:space="preserve"> </w:t>
      </w:r>
      <w:r w:rsidR="007A61C9" w:rsidRPr="007A61C9">
        <w:rPr>
          <w:rFonts w:ascii="Times New Roman" w:hAnsi="Times New Roman"/>
          <w:sz w:val="24"/>
          <w:szCs w:val="24"/>
        </w:rPr>
        <w:t>PCS</w:t>
      </w:r>
      <w:r w:rsidR="00563EC5">
        <w:rPr>
          <w:rFonts w:ascii="Times New Roman" w:hAnsi="Times New Roman"/>
          <w:sz w:val="24"/>
          <w:szCs w:val="24"/>
        </w:rPr>
        <w:t xml:space="preserve"> </w:t>
      </w:r>
      <w:r w:rsidR="007A61C9" w:rsidRPr="007A61C9">
        <w:rPr>
          <w:rFonts w:ascii="Times New Roman" w:hAnsi="Times New Roman"/>
          <w:sz w:val="24"/>
          <w:szCs w:val="24"/>
        </w:rPr>
        <w:t xml:space="preserve">and Sprint—to disclose </w:t>
      </w:r>
      <w:r w:rsidR="00563EC5">
        <w:rPr>
          <w:rFonts w:ascii="Times New Roman" w:hAnsi="Times New Roman"/>
          <w:sz w:val="24"/>
          <w:szCs w:val="24"/>
        </w:rPr>
        <w:t>‘</w:t>
      </w:r>
      <w:r w:rsidR="007A61C9" w:rsidRPr="007A61C9">
        <w:rPr>
          <w:rFonts w:ascii="Times New Roman" w:hAnsi="Times New Roman"/>
          <w:sz w:val="24"/>
          <w:szCs w:val="24"/>
        </w:rPr>
        <w:t>cell/site sector [information] for [Carpenter’s] telephone[ ] at call origination and at call</w:t>
      </w:r>
      <w:r w:rsidR="00563EC5">
        <w:rPr>
          <w:rFonts w:ascii="Times New Roman" w:hAnsi="Times New Roman"/>
          <w:sz w:val="24"/>
          <w:szCs w:val="24"/>
        </w:rPr>
        <w:t xml:space="preserve"> </w:t>
      </w:r>
      <w:r w:rsidR="007A61C9" w:rsidRPr="007A61C9">
        <w:rPr>
          <w:rFonts w:ascii="Times New Roman" w:hAnsi="Times New Roman"/>
          <w:sz w:val="24"/>
          <w:szCs w:val="24"/>
        </w:rPr>
        <w:t>termination for incoming and outgoing calls</w:t>
      </w:r>
      <w:r w:rsidR="00563EC5">
        <w:rPr>
          <w:rFonts w:ascii="Times New Roman" w:hAnsi="Times New Roman"/>
          <w:sz w:val="24"/>
          <w:szCs w:val="24"/>
        </w:rPr>
        <w:t>’</w:t>
      </w:r>
      <w:r w:rsidR="007A61C9" w:rsidRPr="007A61C9">
        <w:rPr>
          <w:rFonts w:ascii="Times New Roman" w:hAnsi="Times New Roman"/>
          <w:sz w:val="24"/>
          <w:szCs w:val="24"/>
        </w:rPr>
        <w:t xml:space="preserve"> during the</w:t>
      </w:r>
      <w:r w:rsidR="00563EC5">
        <w:rPr>
          <w:rFonts w:ascii="Times New Roman" w:hAnsi="Times New Roman"/>
          <w:sz w:val="24"/>
          <w:szCs w:val="24"/>
        </w:rPr>
        <w:t xml:space="preserve"> </w:t>
      </w:r>
      <w:r w:rsidR="007A61C9" w:rsidRPr="007A61C9">
        <w:rPr>
          <w:rFonts w:ascii="Times New Roman" w:hAnsi="Times New Roman"/>
          <w:sz w:val="24"/>
          <w:szCs w:val="24"/>
        </w:rPr>
        <w:t>four-month period when the string of robberies occurred</w:t>
      </w:r>
      <w:r w:rsidR="00563EC5">
        <w:rPr>
          <w:rFonts w:ascii="Times New Roman" w:hAnsi="Times New Roman"/>
          <w:sz w:val="24"/>
          <w:szCs w:val="24"/>
        </w:rPr>
        <w:t xml:space="preserve">…. </w:t>
      </w:r>
      <w:r w:rsidR="007A61C9" w:rsidRPr="007A61C9">
        <w:rPr>
          <w:rFonts w:ascii="Times New Roman" w:hAnsi="Times New Roman"/>
          <w:sz w:val="24"/>
          <w:szCs w:val="24"/>
        </w:rPr>
        <w:t>The first order sought 152days of cell-site records from MetroPCS, which produced</w:t>
      </w:r>
      <w:r w:rsidR="00563EC5">
        <w:rPr>
          <w:rFonts w:ascii="Times New Roman" w:hAnsi="Times New Roman"/>
          <w:sz w:val="24"/>
          <w:szCs w:val="24"/>
        </w:rPr>
        <w:t xml:space="preserve"> </w:t>
      </w:r>
      <w:r w:rsidR="007A61C9" w:rsidRPr="007A61C9">
        <w:rPr>
          <w:rFonts w:ascii="Times New Roman" w:hAnsi="Times New Roman"/>
          <w:sz w:val="24"/>
          <w:szCs w:val="24"/>
        </w:rPr>
        <w:t>records spanning 127 days. The second order requested seven days of CSLI from Sprint, which produced two days</w:t>
      </w:r>
      <w:r w:rsidR="00563EC5">
        <w:rPr>
          <w:rFonts w:ascii="Times New Roman" w:hAnsi="Times New Roman"/>
          <w:sz w:val="24"/>
          <w:szCs w:val="24"/>
        </w:rPr>
        <w:t xml:space="preserve"> </w:t>
      </w:r>
      <w:r w:rsidR="007A61C9" w:rsidRPr="007A61C9">
        <w:rPr>
          <w:rFonts w:ascii="Times New Roman" w:hAnsi="Times New Roman"/>
          <w:sz w:val="24"/>
          <w:szCs w:val="24"/>
        </w:rPr>
        <w:t xml:space="preserve">of records covering the period when Carpenter’s phone was </w:t>
      </w:r>
      <w:r w:rsidR="00563EC5">
        <w:rPr>
          <w:rFonts w:ascii="Times New Roman" w:hAnsi="Times New Roman"/>
          <w:sz w:val="24"/>
          <w:szCs w:val="24"/>
        </w:rPr>
        <w:t>‘</w:t>
      </w:r>
      <w:r w:rsidR="007A61C9" w:rsidRPr="007A61C9">
        <w:rPr>
          <w:rFonts w:ascii="Times New Roman" w:hAnsi="Times New Roman"/>
          <w:sz w:val="24"/>
          <w:szCs w:val="24"/>
        </w:rPr>
        <w:t>roaming</w:t>
      </w:r>
      <w:r w:rsidR="00563EC5">
        <w:rPr>
          <w:rFonts w:ascii="Times New Roman" w:hAnsi="Times New Roman"/>
          <w:sz w:val="24"/>
          <w:szCs w:val="24"/>
        </w:rPr>
        <w:t>’</w:t>
      </w:r>
      <w:r w:rsidR="007A61C9" w:rsidRPr="007A61C9">
        <w:rPr>
          <w:rFonts w:ascii="Times New Roman" w:hAnsi="Times New Roman"/>
          <w:sz w:val="24"/>
          <w:szCs w:val="24"/>
        </w:rPr>
        <w:t xml:space="preserve"> in northeastern Ohio. Altogether the Government obtained 12,898 location points cataloging Carpenter’s </w:t>
      </w:r>
      <w:proofErr w:type="gramStart"/>
      <w:r w:rsidR="007A61C9" w:rsidRPr="007A61C9">
        <w:rPr>
          <w:rFonts w:ascii="Times New Roman" w:hAnsi="Times New Roman"/>
          <w:sz w:val="24"/>
          <w:szCs w:val="24"/>
        </w:rPr>
        <w:t>movements—</w:t>
      </w:r>
      <w:proofErr w:type="gramEnd"/>
      <w:r w:rsidR="007A61C9" w:rsidRPr="007A61C9">
        <w:rPr>
          <w:rFonts w:ascii="Times New Roman" w:hAnsi="Times New Roman"/>
          <w:sz w:val="24"/>
          <w:szCs w:val="24"/>
        </w:rPr>
        <w:t>an average of 101 data points per day. *** The Government acquired the cell-site records pursuant</w:t>
      </w:r>
      <w:r w:rsidR="00563EC5">
        <w:rPr>
          <w:rFonts w:ascii="Times New Roman" w:hAnsi="Times New Roman"/>
          <w:sz w:val="24"/>
          <w:szCs w:val="24"/>
        </w:rPr>
        <w:t xml:space="preserve"> </w:t>
      </w:r>
      <w:r w:rsidR="007A61C9" w:rsidRPr="007A61C9">
        <w:rPr>
          <w:rFonts w:ascii="Times New Roman" w:hAnsi="Times New Roman"/>
          <w:sz w:val="24"/>
          <w:szCs w:val="24"/>
        </w:rPr>
        <w:t xml:space="preserve">to a court order issued under the Stored Communications Act, which required the Government to show </w:t>
      </w:r>
      <w:r w:rsidR="00563EC5">
        <w:rPr>
          <w:rFonts w:ascii="Times New Roman" w:hAnsi="Times New Roman"/>
          <w:sz w:val="24"/>
          <w:szCs w:val="24"/>
        </w:rPr>
        <w:t>‘</w:t>
      </w:r>
      <w:r w:rsidR="007A61C9" w:rsidRPr="007A61C9">
        <w:rPr>
          <w:rFonts w:ascii="Times New Roman" w:hAnsi="Times New Roman"/>
          <w:sz w:val="24"/>
          <w:szCs w:val="24"/>
        </w:rPr>
        <w:t>reasonable grounds</w:t>
      </w:r>
      <w:r w:rsidR="00563EC5">
        <w:rPr>
          <w:rFonts w:ascii="Times New Roman" w:hAnsi="Times New Roman"/>
          <w:sz w:val="24"/>
          <w:szCs w:val="24"/>
        </w:rPr>
        <w:t>’</w:t>
      </w:r>
      <w:r w:rsidR="007A61C9" w:rsidRPr="007A61C9">
        <w:rPr>
          <w:rFonts w:ascii="Times New Roman" w:hAnsi="Times New Roman"/>
          <w:sz w:val="24"/>
          <w:szCs w:val="24"/>
        </w:rPr>
        <w:t xml:space="preserve"> for believing that the records were “relevant and material to an ongoing investigation.” 18 U. S. C. §2703(d). That showing falls well short of the probable cause required for a warrant.</w:t>
      </w:r>
      <w:r w:rsidR="00563EC5">
        <w:rPr>
          <w:rFonts w:ascii="Times New Roman" w:hAnsi="Times New Roman"/>
          <w:sz w:val="24"/>
          <w:szCs w:val="24"/>
        </w:rPr>
        <w:t xml:space="preserve"> *** </w:t>
      </w:r>
      <w:r w:rsidR="00563EC5" w:rsidRPr="00563EC5">
        <w:rPr>
          <w:rFonts w:ascii="Times New Roman" w:hAnsi="Times New Roman"/>
          <w:sz w:val="24"/>
          <w:szCs w:val="24"/>
        </w:rPr>
        <w:t>Consequently, an order issued under Section 2703(d) of the Act is not a</w:t>
      </w:r>
      <w:r w:rsidR="00563EC5">
        <w:rPr>
          <w:rFonts w:ascii="Times New Roman" w:hAnsi="Times New Roman"/>
          <w:sz w:val="24"/>
          <w:szCs w:val="24"/>
        </w:rPr>
        <w:t xml:space="preserve"> </w:t>
      </w:r>
      <w:r w:rsidR="00563EC5" w:rsidRPr="00563EC5">
        <w:rPr>
          <w:rFonts w:ascii="Times New Roman" w:hAnsi="Times New Roman"/>
          <w:sz w:val="24"/>
          <w:szCs w:val="24"/>
        </w:rPr>
        <w:t>permissible mechanism for accessing historical cell-site</w:t>
      </w:r>
      <w:r w:rsidR="00563EC5">
        <w:rPr>
          <w:rFonts w:ascii="Times New Roman" w:hAnsi="Times New Roman"/>
          <w:sz w:val="24"/>
          <w:szCs w:val="24"/>
        </w:rPr>
        <w:t xml:space="preserve"> </w:t>
      </w:r>
      <w:r w:rsidR="00563EC5" w:rsidRPr="00563EC5">
        <w:rPr>
          <w:rFonts w:ascii="Times New Roman" w:hAnsi="Times New Roman"/>
          <w:sz w:val="24"/>
          <w:szCs w:val="24"/>
        </w:rPr>
        <w:t>records. Before compelling a wireless carrier to turn over</w:t>
      </w:r>
      <w:r w:rsidR="00563EC5">
        <w:rPr>
          <w:rFonts w:ascii="Times New Roman" w:hAnsi="Times New Roman"/>
          <w:sz w:val="24"/>
          <w:szCs w:val="24"/>
        </w:rPr>
        <w:t xml:space="preserve"> </w:t>
      </w:r>
      <w:r w:rsidR="00563EC5" w:rsidRPr="00563EC5">
        <w:rPr>
          <w:rFonts w:ascii="Times New Roman" w:hAnsi="Times New Roman"/>
          <w:sz w:val="24"/>
          <w:szCs w:val="24"/>
        </w:rPr>
        <w:t>a subscriber’s CSLI, the Government’s obligation is a familiar one—get a warrant.</w:t>
      </w:r>
      <w:r w:rsidR="00563EC5">
        <w:rPr>
          <w:rFonts w:ascii="Times New Roman" w:hAnsi="Times New Roman"/>
          <w:sz w:val="24"/>
          <w:szCs w:val="24"/>
        </w:rPr>
        <w:t>”</w:t>
      </w:r>
    </w:p>
    <w:p w14:paraId="0AC10B06" w14:textId="2BBE3478" w:rsidR="007A61C9" w:rsidRPr="007A61C9" w:rsidRDefault="00563EC5" w:rsidP="00E63D2F">
      <w:pPr>
        <w:pStyle w:val="NoSpacing"/>
        <w:ind w:left="720"/>
        <w:rPr>
          <w:rFonts w:ascii="Times New Roman" w:hAnsi="Times New Roman"/>
          <w:sz w:val="24"/>
          <w:szCs w:val="24"/>
        </w:rPr>
      </w:pPr>
      <w:r>
        <w:rPr>
          <w:rFonts w:ascii="Times New Roman" w:hAnsi="Times New Roman"/>
          <w:sz w:val="24"/>
          <w:szCs w:val="24"/>
        </w:rPr>
        <w:t xml:space="preserve"> </w:t>
      </w:r>
      <w:hyperlink r:id="rId824" w:history="1">
        <w:r w:rsidRPr="00CE69EB">
          <w:rPr>
            <w:rStyle w:val="Hyperlink"/>
            <w:rFonts w:ascii="Times New Roman" w:hAnsi="Times New Roman"/>
            <w:sz w:val="24"/>
            <w:szCs w:val="24"/>
          </w:rPr>
          <w:t>https://www.supremecourt.gov/opinions/17pdf/16-402_h315.pdf</w:t>
        </w:r>
      </w:hyperlink>
      <w:r>
        <w:rPr>
          <w:rFonts w:ascii="Times New Roman" w:hAnsi="Times New Roman"/>
          <w:sz w:val="24"/>
          <w:szCs w:val="24"/>
        </w:rPr>
        <w:t xml:space="preserve"> </w:t>
      </w:r>
    </w:p>
    <w:p w14:paraId="1E5B8DEC" w14:textId="3960500E" w:rsidR="007A61C9" w:rsidRPr="007A61C9" w:rsidRDefault="007A61C9" w:rsidP="007A61C9">
      <w:pPr>
        <w:pStyle w:val="NoSpacing"/>
        <w:rPr>
          <w:rFonts w:ascii="Times New Roman" w:hAnsi="Times New Roman"/>
          <w:sz w:val="24"/>
          <w:szCs w:val="24"/>
        </w:rPr>
      </w:pPr>
    </w:p>
    <w:p w14:paraId="62CB4E78" w14:textId="41AF97EA" w:rsidR="007A61C9" w:rsidRPr="00563EC5" w:rsidRDefault="00563EC5" w:rsidP="007A61C9">
      <w:pPr>
        <w:pStyle w:val="NoSpacing"/>
        <w:rPr>
          <w:rFonts w:ascii="Times New Roman" w:hAnsi="Times New Roman"/>
          <w:b/>
          <w:bCs/>
          <w:sz w:val="24"/>
          <w:szCs w:val="24"/>
        </w:rPr>
      </w:pPr>
      <w:r w:rsidRPr="00563EC5">
        <w:rPr>
          <w:rFonts w:ascii="Times New Roman" w:hAnsi="Times New Roman"/>
          <w:b/>
          <w:bCs/>
          <w:sz w:val="24"/>
          <w:szCs w:val="24"/>
        </w:rPr>
        <w:t>Legal Lessons Learned: The Court recognized an exception for emergencies</w:t>
      </w:r>
      <w:r w:rsidR="00EC7466">
        <w:rPr>
          <w:rFonts w:ascii="Times New Roman" w:hAnsi="Times New Roman"/>
          <w:b/>
          <w:bCs/>
          <w:sz w:val="24"/>
          <w:szCs w:val="24"/>
        </w:rPr>
        <w:t>; bomb threats</w:t>
      </w:r>
      <w:r w:rsidR="00A247E4">
        <w:rPr>
          <w:rFonts w:ascii="Times New Roman" w:hAnsi="Times New Roman"/>
          <w:b/>
          <w:bCs/>
          <w:sz w:val="24"/>
          <w:szCs w:val="24"/>
        </w:rPr>
        <w:t xml:space="preserve">; active shootings; child abductions. </w:t>
      </w:r>
      <w:r w:rsidRPr="00563EC5">
        <w:rPr>
          <w:rFonts w:ascii="Times New Roman" w:hAnsi="Times New Roman"/>
          <w:b/>
          <w:bCs/>
          <w:sz w:val="24"/>
          <w:szCs w:val="24"/>
        </w:rPr>
        <w:t>“</w:t>
      </w:r>
      <w:r w:rsidR="007A61C9" w:rsidRPr="00563EC5">
        <w:rPr>
          <w:rFonts w:ascii="Times New Roman" w:hAnsi="Times New Roman"/>
          <w:b/>
          <w:bCs/>
          <w:sz w:val="24"/>
          <w:szCs w:val="24"/>
        </w:rPr>
        <w:t>As a result, if law enforcement is confronted with an urgent situation, such fact-specific threats will likely justify the warrantless collection of CSLI. Lower courts, for instance, have approved warrantless searches related to bomb threats, active shootings, and child abductions. Our decision today does not call into doubt warrantless access to CSLI in such circumstances. While police must</w:t>
      </w:r>
      <w:r w:rsidRPr="00563EC5">
        <w:rPr>
          <w:rFonts w:ascii="Times New Roman" w:hAnsi="Times New Roman"/>
          <w:b/>
          <w:bCs/>
          <w:sz w:val="24"/>
          <w:szCs w:val="24"/>
        </w:rPr>
        <w:t xml:space="preserve"> </w:t>
      </w:r>
      <w:r w:rsidR="007A61C9" w:rsidRPr="00563EC5">
        <w:rPr>
          <w:rFonts w:ascii="Times New Roman" w:hAnsi="Times New Roman"/>
          <w:b/>
          <w:bCs/>
          <w:sz w:val="24"/>
          <w:szCs w:val="24"/>
        </w:rPr>
        <w:t>get a warrant when collecting CSLI to assist in the mine</w:t>
      </w:r>
      <w:r w:rsidRPr="00563EC5">
        <w:rPr>
          <w:rFonts w:ascii="Times New Roman" w:hAnsi="Times New Roman"/>
          <w:b/>
          <w:bCs/>
          <w:sz w:val="24"/>
          <w:szCs w:val="24"/>
        </w:rPr>
        <w:t>-</w:t>
      </w:r>
      <w:r w:rsidR="007A61C9" w:rsidRPr="00563EC5">
        <w:rPr>
          <w:rFonts w:ascii="Times New Roman" w:hAnsi="Times New Roman"/>
          <w:b/>
          <w:bCs/>
          <w:sz w:val="24"/>
          <w:szCs w:val="24"/>
        </w:rPr>
        <w:t>run criminal investigation, the rule we set forth does not</w:t>
      </w:r>
      <w:r w:rsidRPr="00563EC5">
        <w:rPr>
          <w:rFonts w:ascii="Times New Roman" w:hAnsi="Times New Roman"/>
          <w:b/>
          <w:bCs/>
          <w:sz w:val="24"/>
          <w:szCs w:val="24"/>
        </w:rPr>
        <w:t xml:space="preserve"> </w:t>
      </w:r>
      <w:r w:rsidR="007A61C9" w:rsidRPr="00563EC5">
        <w:rPr>
          <w:rFonts w:ascii="Times New Roman" w:hAnsi="Times New Roman"/>
          <w:b/>
          <w:bCs/>
          <w:sz w:val="24"/>
          <w:szCs w:val="24"/>
        </w:rPr>
        <w:t>limit their ability to respond to an ongoing emergency.</w:t>
      </w:r>
      <w:r w:rsidRPr="00563EC5">
        <w:rPr>
          <w:rFonts w:ascii="Times New Roman" w:hAnsi="Times New Roman"/>
          <w:b/>
          <w:bCs/>
          <w:sz w:val="24"/>
          <w:szCs w:val="24"/>
        </w:rPr>
        <w:t>”</w:t>
      </w:r>
    </w:p>
    <w:p w14:paraId="62CAEAA1" w14:textId="77777777" w:rsidR="00A247E4" w:rsidRDefault="00A247E4" w:rsidP="00A247E4">
      <w:pPr>
        <w:pStyle w:val="NoSpacing"/>
        <w:rPr>
          <w:rFonts w:ascii="Times New Roman" w:hAnsi="Times New Roman"/>
          <w:color w:val="4A4A4A"/>
          <w:sz w:val="24"/>
          <w:szCs w:val="24"/>
          <w:lang w:val="en"/>
        </w:rPr>
      </w:pPr>
    </w:p>
    <w:p w14:paraId="63844815" w14:textId="5C983E81" w:rsidR="00A247E4" w:rsidRPr="00A247E4" w:rsidRDefault="00A247E4" w:rsidP="00A247E4">
      <w:pPr>
        <w:pStyle w:val="NoSpacing"/>
        <w:ind w:left="720"/>
        <w:rPr>
          <w:rFonts w:ascii="Times New Roman" w:hAnsi="Times New Roman"/>
          <w:sz w:val="24"/>
          <w:szCs w:val="24"/>
        </w:rPr>
      </w:pPr>
      <w:r w:rsidRPr="00A247E4">
        <w:rPr>
          <w:rFonts w:ascii="Times New Roman" w:hAnsi="Times New Roman"/>
          <w:color w:val="4A4A4A"/>
          <w:sz w:val="24"/>
          <w:szCs w:val="24"/>
          <w:lang w:val="en"/>
        </w:rPr>
        <w:t xml:space="preserve">See article on this “landmark” case: </w:t>
      </w:r>
      <w:r>
        <w:rPr>
          <w:rFonts w:ascii="Times New Roman" w:hAnsi="Times New Roman"/>
          <w:color w:val="4A4A4A"/>
          <w:sz w:val="24"/>
          <w:szCs w:val="24"/>
          <w:lang w:val="en"/>
        </w:rPr>
        <w:t>“</w:t>
      </w:r>
      <w:r w:rsidRPr="00A247E4">
        <w:rPr>
          <w:rStyle w:val="balancedheadline"/>
          <w:rFonts w:ascii="Times New Roman" w:hAnsi="Times New Roman"/>
          <w:sz w:val="24"/>
          <w:szCs w:val="24"/>
        </w:rPr>
        <w:t>In Ruling on Cellphone Location Data, Supreme Court Makes Statement on Digital Privacy</w:t>
      </w:r>
      <w:r>
        <w:rPr>
          <w:rStyle w:val="balancedheadline"/>
          <w:rFonts w:ascii="Times New Roman" w:hAnsi="Times New Roman"/>
          <w:sz w:val="24"/>
          <w:szCs w:val="24"/>
        </w:rPr>
        <w:t>”;</w:t>
      </w:r>
      <w:r w:rsidRPr="00A247E4">
        <w:rPr>
          <w:rStyle w:val="balancedheadline"/>
          <w:rFonts w:ascii="Times New Roman" w:hAnsi="Times New Roman"/>
          <w:sz w:val="24"/>
          <w:szCs w:val="24"/>
        </w:rPr>
        <w:t xml:space="preserve"> </w:t>
      </w:r>
      <w:hyperlink r:id="rId825" w:history="1">
        <w:r w:rsidRPr="00A247E4">
          <w:rPr>
            <w:rStyle w:val="Hyperlink"/>
            <w:rFonts w:ascii="Times New Roman" w:hAnsi="Times New Roman"/>
            <w:sz w:val="24"/>
            <w:szCs w:val="24"/>
          </w:rPr>
          <w:t>https://www.nytimes.com/2018/06/22/us/politics/supreme-court-warrants-cell-phone-privacy.html</w:t>
        </w:r>
      </w:hyperlink>
      <w:r w:rsidRPr="00A247E4">
        <w:rPr>
          <w:rStyle w:val="balancedheadline"/>
          <w:rFonts w:ascii="Times New Roman" w:hAnsi="Times New Roman"/>
          <w:sz w:val="24"/>
          <w:szCs w:val="24"/>
        </w:rPr>
        <w:t xml:space="preserve"> </w:t>
      </w:r>
    </w:p>
    <w:p w14:paraId="10D2DDFF" w14:textId="64CE3D58" w:rsidR="007A61C9" w:rsidRPr="00A247E4" w:rsidRDefault="007A61C9" w:rsidP="00A247E4">
      <w:pPr>
        <w:ind w:left="720"/>
        <w:rPr>
          <w:rFonts w:ascii="SeeTimes New Roman" w:hAnsi="SeeTimes New Roman"/>
          <w:color w:val="4A4A4A"/>
          <w:sz w:val="24"/>
          <w:szCs w:val="24"/>
          <w:lang w:val="en"/>
        </w:rPr>
      </w:pPr>
    </w:p>
    <w:p w14:paraId="1FA30891" w14:textId="77777777" w:rsidR="007A61C9" w:rsidRDefault="007A61C9" w:rsidP="00F326E5">
      <w:pPr>
        <w:rPr>
          <w:rFonts w:ascii="Arial Black" w:hAnsi="Arial Black"/>
          <w:color w:val="4A4A4A"/>
          <w:sz w:val="24"/>
          <w:szCs w:val="24"/>
          <w:lang w:val="en"/>
        </w:rPr>
      </w:pPr>
    </w:p>
    <w:p w14:paraId="5C52CCA7" w14:textId="4AFE7A34" w:rsidR="00F326E5" w:rsidRPr="00573BE0" w:rsidRDefault="00EF1133" w:rsidP="00F326E5">
      <w:pPr>
        <w:rPr>
          <w:rFonts w:eastAsia="Times New Roman"/>
        </w:rPr>
      </w:pPr>
      <w:r w:rsidRPr="00EF1133">
        <w:rPr>
          <w:rFonts w:ascii="Arial Black" w:hAnsi="Arial Black"/>
          <w:color w:val="4A4A4A"/>
          <w:sz w:val="24"/>
          <w:szCs w:val="24"/>
          <w:lang w:val="en"/>
        </w:rPr>
        <w:t>3-</w:t>
      </w:r>
      <w:r>
        <w:rPr>
          <w:rFonts w:ascii="Arial Black" w:hAnsi="Arial Black"/>
          <w:color w:val="4A4A4A"/>
          <w:sz w:val="24"/>
          <w:szCs w:val="24"/>
          <w:lang w:val="en"/>
        </w:rPr>
        <w:t>5</w:t>
      </w:r>
    </w:p>
    <w:p w14:paraId="6F8214A2" w14:textId="61AD7644" w:rsidR="00F326E5" w:rsidRDefault="00F326E5" w:rsidP="00F326E5">
      <w:pPr>
        <w:pStyle w:val="NoSpacing"/>
        <w:rPr>
          <w:rFonts w:ascii="Arial Black" w:hAnsi="Arial Black"/>
          <w:b/>
          <w:sz w:val="28"/>
          <w:szCs w:val="28"/>
        </w:rPr>
      </w:pPr>
      <w:bookmarkStart w:id="167" w:name="_Hlk7341789"/>
      <w:r w:rsidRPr="009C2749">
        <w:rPr>
          <w:rFonts w:ascii="Arial Black" w:hAnsi="Arial Black"/>
          <w:b/>
          <w:sz w:val="28"/>
          <w:szCs w:val="28"/>
        </w:rPr>
        <w:t>NY</w:t>
      </w:r>
      <w:r>
        <w:rPr>
          <w:rFonts w:ascii="Arial Black" w:hAnsi="Arial Black"/>
          <w:b/>
          <w:sz w:val="28"/>
          <w:szCs w:val="28"/>
        </w:rPr>
        <w:t xml:space="preserve">: EMPLOYEES OF BATTERY PARK CITY AUTHORITY MAY SUE BUILDING OWNER FOR </w:t>
      </w:r>
      <w:r w:rsidRPr="009C2749">
        <w:rPr>
          <w:rFonts w:ascii="Arial Black" w:hAnsi="Arial Black"/>
          <w:b/>
          <w:sz w:val="28"/>
          <w:szCs w:val="28"/>
        </w:rPr>
        <w:t xml:space="preserve">9/11 </w:t>
      </w:r>
      <w:r>
        <w:rPr>
          <w:rFonts w:ascii="Arial Black" w:hAnsi="Arial Black"/>
          <w:b/>
          <w:sz w:val="28"/>
          <w:szCs w:val="28"/>
        </w:rPr>
        <w:t xml:space="preserve">INJURIES </w:t>
      </w:r>
    </w:p>
    <w:p w14:paraId="6C5E6F41" w14:textId="77777777" w:rsidR="00F326E5" w:rsidRPr="0036327D" w:rsidRDefault="00F326E5" w:rsidP="00F326E5">
      <w:pPr>
        <w:pStyle w:val="NoSpacing"/>
        <w:rPr>
          <w:rFonts w:ascii="Times New Roman" w:hAnsi="Times New Roman"/>
          <w:sz w:val="24"/>
          <w:szCs w:val="24"/>
        </w:rPr>
      </w:pPr>
      <w:r w:rsidRPr="0036327D">
        <w:rPr>
          <w:rFonts w:ascii="Times New Roman" w:hAnsi="Times New Roman"/>
          <w:sz w:val="24"/>
          <w:szCs w:val="24"/>
        </w:rPr>
        <w:t xml:space="preserve">On June 6, 2018, in </w:t>
      </w:r>
      <w:r w:rsidRPr="0036327D">
        <w:rPr>
          <w:rFonts w:ascii="Times New Roman" w:hAnsi="Times New Roman"/>
          <w:sz w:val="24"/>
          <w:szCs w:val="24"/>
          <w:u w:val="single"/>
        </w:rPr>
        <w:t>In Re: World Trade Center, Lower Manhattan Disaster Site Litigation</w:t>
      </w:r>
      <w:r w:rsidRPr="0036327D">
        <w:rPr>
          <w:rFonts w:ascii="Times New Roman" w:hAnsi="Times New Roman"/>
          <w:sz w:val="24"/>
          <w:szCs w:val="24"/>
        </w:rPr>
        <w:t>, the U.S. Court of Appeals for Second Circuit held (3 to 0) that 18 workers who became sick as a result of working in lower Manhattan after the Sept. 11 terrorist attacks may proceed with their lawsuit against building owner, the public benefit corporation Battery Park City Authority. The 2</w:t>
      </w:r>
      <w:r w:rsidRPr="0036327D">
        <w:rPr>
          <w:rFonts w:ascii="Times New Roman" w:hAnsi="Times New Roman"/>
          <w:sz w:val="24"/>
          <w:szCs w:val="24"/>
          <w:vertAlign w:val="superscript"/>
        </w:rPr>
        <w:t>nd</w:t>
      </w:r>
      <w:r w:rsidRPr="0036327D">
        <w:rPr>
          <w:rFonts w:ascii="Times New Roman" w:hAnsi="Times New Roman"/>
          <w:sz w:val="24"/>
          <w:szCs w:val="24"/>
        </w:rPr>
        <w:t xml:space="preserve"> Circuit decision followed confirmation by State of New York’s highest court (NY Court of Appeals) that the 2009 “Jimmy Nolan” statute (named after recovery worker) allowing time-barred lawsuits for one additional year against public benefit corporations was lawful. </w:t>
      </w:r>
      <w:hyperlink r:id="rId826" w:anchor="xml=http://www.ca2.uscourts.gov/decisions/isysquery/8c537d01-8133-4435-b4f6-e87aa585d8e4/1/hilite/" w:history="1">
        <w:r w:rsidRPr="0036327D">
          <w:rPr>
            <w:rStyle w:val="Hyperlink"/>
            <w:rFonts w:ascii="Times New Roman" w:hAnsi="Times New Roman"/>
            <w:sz w:val="24"/>
            <w:szCs w:val="24"/>
          </w:rPr>
          <w:t>http://www.ca2.uscourts.gov/decisions/isysquery/8c537d01-8133-4435-b4f6-e87aa585d8e4/1/doc/15-2181_opn_2.pdf#xml=http://www.ca2.uscourts.gov/decisions/isysquery/8c537d01-8133-4435-b4f6-e87aa585d8e4/1/hilite/</w:t>
        </w:r>
      </w:hyperlink>
    </w:p>
    <w:p w14:paraId="6F856A00" w14:textId="77777777" w:rsidR="009C4A80" w:rsidRDefault="009C4A80" w:rsidP="00F326E5">
      <w:pPr>
        <w:rPr>
          <w:rFonts w:ascii="Times New Roman" w:eastAsia="Times New Roman" w:hAnsi="Times New Roman"/>
          <w:b/>
          <w:sz w:val="24"/>
          <w:szCs w:val="24"/>
        </w:rPr>
      </w:pPr>
    </w:p>
    <w:p w14:paraId="7DDEF9BC" w14:textId="70746B1B"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 xml:space="preserve">Legal Lessons Learned: The 18 workers will finally get their day in </w:t>
      </w:r>
      <w:proofErr w:type="gramStart"/>
      <w:r w:rsidRPr="0036327D">
        <w:rPr>
          <w:rFonts w:ascii="Times New Roman" w:eastAsia="Times New Roman" w:hAnsi="Times New Roman"/>
          <w:b/>
          <w:sz w:val="24"/>
          <w:szCs w:val="24"/>
        </w:rPr>
        <w:t>court,</w:t>
      </w:r>
      <w:r w:rsidR="009C4A80">
        <w:rPr>
          <w:rFonts w:ascii="Times New Roman" w:eastAsia="Times New Roman" w:hAnsi="Times New Roman"/>
          <w:b/>
          <w:sz w:val="24"/>
          <w:szCs w:val="24"/>
        </w:rPr>
        <w:t xml:space="preserve"> </w:t>
      </w:r>
      <w:r w:rsidRPr="0036327D">
        <w:rPr>
          <w:rFonts w:ascii="Times New Roman" w:eastAsia="Times New Roman" w:hAnsi="Times New Roman"/>
          <w:b/>
          <w:sz w:val="24"/>
          <w:szCs w:val="24"/>
        </w:rPr>
        <w:t>or</w:t>
      </w:r>
      <w:proofErr w:type="gramEnd"/>
      <w:r w:rsidRPr="0036327D">
        <w:rPr>
          <w:rFonts w:ascii="Times New Roman" w:eastAsia="Times New Roman" w:hAnsi="Times New Roman"/>
          <w:b/>
          <w:sz w:val="24"/>
          <w:szCs w:val="24"/>
        </w:rPr>
        <w:t xml:space="preserve"> will negotiate a settlement.  There reportedly have been 12,000 claims settled against various defendants.</w:t>
      </w:r>
      <w:r w:rsidRPr="0036327D">
        <w:rPr>
          <w:rFonts w:ascii="Times New Roman" w:eastAsia="Times New Roman" w:hAnsi="Times New Roman"/>
          <w:sz w:val="24"/>
          <w:szCs w:val="24"/>
        </w:rPr>
        <w:t xml:space="preserve">  </w:t>
      </w:r>
      <w:hyperlink r:id="rId827" w:history="1">
        <w:r w:rsidRPr="0036327D">
          <w:rPr>
            <w:rStyle w:val="Hyperlink"/>
            <w:rFonts w:ascii="Times New Roman" w:hAnsi="Times New Roman"/>
            <w:sz w:val="24"/>
            <w:szCs w:val="24"/>
          </w:rPr>
          <w:t>https://www.law.com/newyorklawjournal/2018/06/06/2nd-circuit-revives-911-workers-suit-against-battery-park-city-authority/</w:t>
        </w:r>
      </w:hyperlink>
      <w:r w:rsidRPr="0036327D">
        <w:rPr>
          <w:rFonts w:ascii="Times New Roman" w:eastAsia="Times New Roman" w:hAnsi="Times New Roman"/>
          <w:sz w:val="24"/>
          <w:szCs w:val="24"/>
        </w:rPr>
        <w:t xml:space="preserve"> </w:t>
      </w:r>
    </w:p>
    <w:bookmarkEnd w:id="167"/>
    <w:p w14:paraId="6E1F9B81" w14:textId="72FE1C19" w:rsidR="00F326E5" w:rsidRDefault="00F326E5" w:rsidP="00F326E5">
      <w:pPr>
        <w:rPr>
          <w:rFonts w:eastAsia="Times New Roman"/>
          <w:b/>
          <w:sz w:val="24"/>
          <w:szCs w:val="24"/>
        </w:rPr>
      </w:pPr>
    </w:p>
    <w:p w14:paraId="4D9D8798" w14:textId="448A57F0" w:rsidR="00F326E5" w:rsidRDefault="00EF1133" w:rsidP="00EF1133">
      <w:pPr>
        <w:rPr>
          <w:rFonts w:ascii="Arial Black" w:hAnsi="Arial Black"/>
          <w:b/>
          <w:sz w:val="24"/>
          <w:szCs w:val="24"/>
        </w:rPr>
      </w:pPr>
      <w:r w:rsidRPr="00EF1133">
        <w:rPr>
          <w:rFonts w:ascii="Arial Black" w:hAnsi="Arial Black"/>
          <w:color w:val="4A4A4A"/>
          <w:sz w:val="24"/>
          <w:szCs w:val="24"/>
          <w:lang w:val="en"/>
        </w:rPr>
        <w:t>3-</w:t>
      </w:r>
      <w:r>
        <w:rPr>
          <w:rFonts w:ascii="Arial Black" w:hAnsi="Arial Black"/>
          <w:color w:val="4A4A4A"/>
          <w:sz w:val="24"/>
          <w:szCs w:val="24"/>
          <w:lang w:val="en"/>
        </w:rPr>
        <w:t>4</w:t>
      </w:r>
    </w:p>
    <w:p w14:paraId="2F67A311" w14:textId="569F0490" w:rsidR="00F326E5" w:rsidRDefault="00F326E5" w:rsidP="00F326E5">
      <w:pPr>
        <w:pStyle w:val="NoSpacing"/>
        <w:rPr>
          <w:rFonts w:ascii="Arial Black" w:hAnsi="Arial Black"/>
          <w:b/>
          <w:sz w:val="28"/>
          <w:szCs w:val="28"/>
        </w:rPr>
      </w:pPr>
      <w:bookmarkStart w:id="168" w:name="_Hlk7341912"/>
      <w:r w:rsidRPr="009C2749">
        <w:rPr>
          <w:rFonts w:ascii="Arial Black" w:hAnsi="Arial Black"/>
          <w:b/>
          <w:sz w:val="28"/>
          <w:szCs w:val="28"/>
        </w:rPr>
        <w:t>PA</w:t>
      </w:r>
      <w:r>
        <w:rPr>
          <w:rFonts w:ascii="Arial Black" w:hAnsi="Arial Black"/>
          <w:b/>
          <w:sz w:val="28"/>
          <w:szCs w:val="28"/>
        </w:rPr>
        <w:t xml:space="preserve">: PHILADELPHIA IS “SANTUARY CITY” - WINS INJUNCTION – ENTITLED FED. POLICE GRANT </w:t>
      </w:r>
    </w:p>
    <w:p w14:paraId="35E79CA4" w14:textId="77777777" w:rsidR="00F326E5" w:rsidRPr="0036327D" w:rsidRDefault="00F326E5" w:rsidP="00F326E5">
      <w:pPr>
        <w:rPr>
          <w:rFonts w:ascii="Times New Roman" w:eastAsia="Times New Roman" w:hAnsi="Times New Roman"/>
          <w:sz w:val="24"/>
          <w:szCs w:val="24"/>
        </w:rPr>
      </w:pPr>
      <w:r w:rsidRPr="0036327D">
        <w:rPr>
          <w:rFonts w:ascii="Times New Roman" w:eastAsia="Times New Roman" w:hAnsi="Times New Roman"/>
          <w:sz w:val="24"/>
          <w:szCs w:val="24"/>
        </w:rPr>
        <w:t xml:space="preserve">On June 6, 2018, in </w:t>
      </w:r>
      <w:r w:rsidRPr="0036327D">
        <w:rPr>
          <w:rFonts w:ascii="Times New Roman" w:eastAsia="Times New Roman" w:hAnsi="Times New Roman"/>
          <w:sz w:val="24"/>
          <w:szCs w:val="24"/>
          <w:u w:val="single"/>
        </w:rPr>
        <w:t>The City of Philadelphia v. Attorney General of United States</w:t>
      </w:r>
      <w:r w:rsidRPr="0036327D">
        <w:rPr>
          <w:rFonts w:ascii="Times New Roman" w:eastAsia="Times New Roman" w:hAnsi="Times New Roman"/>
          <w:sz w:val="24"/>
          <w:szCs w:val="24"/>
        </w:rPr>
        <w:t xml:space="preserve">, a federal judge has issued an 89-page opinion holding that $1.6 million in police grant funds may not be withheld.  </w:t>
      </w:r>
      <w:hyperlink r:id="rId828" w:history="1">
        <w:r w:rsidRPr="0036327D">
          <w:rPr>
            <w:rStyle w:val="Hyperlink"/>
            <w:rFonts w:ascii="Times New Roman" w:hAnsi="Times New Roman"/>
            <w:sz w:val="24"/>
            <w:szCs w:val="24"/>
          </w:rPr>
          <w:t>http://www.paed.uscourts.gov/documents/opinions/18D0391P.pdf</w:t>
        </w:r>
      </w:hyperlink>
      <w:r w:rsidRPr="0036327D">
        <w:rPr>
          <w:rFonts w:ascii="Times New Roman" w:eastAsia="Times New Roman" w:hAnsi="Times New Roman"/>
          <w:sz w:val="24"/>
          <w:szCs w:val="24"/>
        </w:rPr>
        <w:t xml:space="preserve"> </w:t>
      </w:r>
    </w:p>
    <w:p w14:paraId="117114C6" w14:textId="77777777" w:rsidR="00F326E5" w:rsidRPr="0036327D" w:rsidRDefault="00F326E5" w:rsidP="00F326E5">
      <w:pPr>
        <w:rPr>
          <w:rFonts w:ascii="Times New Roman" w:eastAsia="Times New Roman" w:hAnsi="Times New Roman"/>
          <w:b/>
          <w:sz w:val="24"/>
          <w:szCs w:val="24"/>
        </w:rPr>
      </w:pPr>
      <w:r w:rsidRPr="0036327D">
        <w:rPr>
          <w:rFonts w:ascii="Times New Roman" w:eastAsia="Times New Roman" w:hAnsi="Times New Roman"/>
          <w:b/>
          <w:sz w:val="24"/>
          <w:szCs w:val="24"/>
        </w:rPr>
        <w:t>Legal Lessons Learned:  The U.S. Department of Justice will likely appeal this decision to the 3</w:t>
      </w:r>
      <w:r w:rsidRPr="0036327D">
        <w:rPr>
          <w:rFonts w:ascii="Times New Roman" w:eastAsia="Times New Roman" w:hAnsi="Times New Roman"/>
          <w:b/>
          <w:sz w:val="24"/>
          <w:szCs w:val="24"/>
          <w:vertAlign w:val="superscript"/>
        </w:rPr>
        <w:t>rd</w:t>
      </w:r>
      <w:r w:rsidRPr="0036327D">
        <w:rPr>
          <w:rFonts w:ascii="Times New Roman" w:eastAsia="Times New Roman" w:hAnsi="Times New Roman"/>
          <w:b/>
          <w:sz w:val="24"/>
          <w:szCs w:val="24"/>
        </w:rPr>
        <w:t xml:space="preserve"> Circuit.   Fire &amp; EMS must likewise deal with aliens, and Congress needs to enact legislation concerning 11 million undocumented aliens.</w:t>
      </w:r>
    </w:p>
    <w:bookmarkEnd w:id="168"/>
    <w:p w14:paraId="3A36B790" w14:textId="77777777" w:rsidR="00F326E5" w:rsidRDefault="00F326E5" w:rsidP="00F326E5">
      <w:pPr>
        <w:rPr>
          <w:rFonts w:eastAsia="Times New Roman"/>
          <w:b/>
          <w:sz w:val="24"/>
          <w:szCs w:val="24"/>
        </w:rPr>
      </w:pPr>
    </w:p>
    <w:p w14:paraId="602CDBAA" w14:textId="77777777" w:rsidR="00F326E5" w:rsidRDefault="00F326E5" w:rsidP="00F326E5">
      <w:pPr>
        <w:pStyle w:val="NoSpacing"/>
        <w:rPr>
          <w:sz w:val="24"/>
          <w:szCs w:val="24"/>
        </w:rPr>
      </w:pPr>
      <w:bookmarkStart w:id="169" w:name="_Hlk7189409"/>
    </w:p>
    <w:p w14:paraId="33F3E61F" w14:textId="4F61B8DF" w:rsidR="00F326E5" w:rsidRDefault="00EF1133" w:rsidP="00EF1133">
      <w:pPr>
        <w:rPr>
          <w:sz w:val="24"/>
          <w:szCs w:val="24"/>
        </w:rPr>
      </w:pPr>
      <w:r w:rsidRPr="00EF1133">
        <w:rPr>
          <w:rFonts w:ascii="Arial Black" w:hAnsi="Arial Black"/>
          <w:color w:val="4A4A4A"/>
          <w:sz w:val="24"/>
          <w:szCs w:val="24"/>
          <w:lang w:val="en"/>
        </w:rPr>
        <w:t>3-</w:t>
      </w:r>
      <w:r>
        <w:rPr>
          <w:rFonts w:ascii="Arial Black" w:hAnsi="Arial Black"/>
          <w:color w:val="4A4A4A"/>
          <w:sz w:val="24"/>
          <w:szCs w:val="24"/>
          <w:lang w:val="en"/>
        </w:rPr>
        <w:t>3</w:t>
      </w:r>
    </w:p>
    <w:p w14:paraId="2ECFF32D" w14:textId="77777777" w:rsidR="00F326E5" w:rsidRDefault="00F326E5" w:rsidP="00F326E5">
      <w:pPr>
        <w:pStyle w:val="NoSpacing"/>
        <w:rPr>
          <w:sz w:val="24"/>
          <w:szCs w:val="24"/>
        </w:rPr>
      </w:pPr>
    </w:p>
    <w:p w14:paraId="7AB0DCDC" w14:textId="2D7EFDCD" w:rsidR="00F326E5" w:rsidRDefault="00F326E5" w:rsidP="00F326E5">
      <w:pPr>
        <w:pStyle w:val="NoSpacing"/>
        <w:rPr>
          <w:rFonts w:ascii="Arial Black" w:hAnsi="Arial Black"/>
          <w:b/>
          <w:sz w:val="28"/>
          <w:szCs w:val="28"/>
        </w:rPr>
      </w:pPr>
      <w:bookmarkStart w:id="170" w:name="_Hlk7341970"/>
      <w:r>
        <w:rPr>
          <w:rFonts w:ascii="Arial Black" w:hAnsi="Arial Black"/>
          <w:b/>
          <w:sz w:val="28"/>
          <w:szCs w:val="28"/>
        </w:rPr>
        <w:t>U.S. SUP. COURT: DRUG DEALER E-MAILS STORED BY MICROSOFT IN IRELAND – CASE MOOT</w:t>
      </w:r>
    </w:p>
    <w:p w14:paraId="6E15EA1E" w14:textId="77777777" w:rsidR="00F326E5" w:rsidRPr="0036327D" w:rsidRDefault="00F326E5" w:rsidP="00F326E5">
      <w:pPr>
        <w:rPr>
          <w:rFonts w:ascii="Times New Roman" w:hAnsi="Times New Roman"/>
          <w:sz w:val="24"/>
          <w:szCs w:val="24"/>
          <w:lang w:val="en"/>
        </w:rPr>
      </w:pPr>
      <w:r w:rsidRPr="0036327D">
        <w:rPr>
          <w:rFonts w:ascii="Times New Roman" w:hAnsi="Times New Roman"/>
          <w:sz w:val="24"/>
          <w:szCs w:val="24"/>
          <w:lang w:val="en"/>
        </w:rPr>
        <w:t xml:space="preserve">On March 30, 2018, in </w:t>
      </w:r>
      <w:r w:rsidRPr="0036327D">
        <w:rPr>
          <w:rFonts w:ascii="Times New Roman" w:hAnsi="Times New Roman"/>
          <w:sz w:val="24"/>
          <w:szCs w:val="24"/>
          <w:u w:val="single"/>
          <w:lang w:val="en"/>
        </w:rPr>
        <w:t>Microsoft Corp. v. United States</w:t>
      </w:r>
      <w:r w:rsidRPr="0036327D">
        <w:rPr>
          <w:rFonts w:ascii="Times New Roman" w:hAnsi="Times New Roman"/>
          <w:sz w:val="24"/>
          <w:szCs w:val="24"/>
          <w:lang w:val="en"/>
        </w:rPr>
        <w:t xml:space="preserve">, the U.S. Solicitor General has filed a motion asking the Court to dismiss the case as </w:t>
      </w:r>
      <w:proofErr w:type="gramStart"/>
      <w:r w:rsidRPr="0036327D">
        <w:rPr>
          <w:rFonts w:ascii="Times New Roman" w:hAnsi="Times New Roman"/>
          <w:sz w:val="24"/>
          <w:szCs w:val="24"/>
          <w:lang w:val="en"/>
        </w:rPr>
        <w:t>moot,  and</w:t>
      </w:r>
      <w:proofErr w:type="gramEnd"/>
      <w:r w:rsidRPr="0036327D">
        <w:rPr>
          <w:rFonts w:ascii="Times New Roman" w:hAnsi="Times New Roman"/>
          <w:sz w:val="24"/>
          <w:szCs w:val="24"/>
          <w:lang w:val="en"/>
        </w:rPr>
        <w:t xml:space="preserve"> advised the Court that </w:t>
      </w:r>
      <w:proofErr w:type="spellStart"/>
      <w:r w:rsidRPr="0036327D">
        <w:rPr>
          <w:rFonts w:ascii="Times New Roman" w:hAnsi="Times New Roman"/>
          <w:sz w:val="24"/>
          <w:szCs w:val="24"/>
          <w:lang w:val="en"/>
        </w:rPr>
        <w:t>DoJ</w:t>
      </w:r>
      <w:proofErr w:type="spellEnd"/>
      <w:r w:rsidRPr="0036327D">
        <w:rPr>
          <w:rFonts w:ascii="Times New Roman" w:hAnsi="Times New Roman"/>
          <w:sz w:val="24"/>
          <w:szCs w:val="24"/>
          <w:lang w:val="en"/>
        </w:rPr>
        <w:t xml:space="preserve"> has obtained a new search warrant against Microsoft for e-mails stored in their facility in Ireland under the new “Cloud Act.”  The Solicitor General wrote, “The CLOUD Act resolves the question presented by specifying that a service provider responding to a Section 2703 order must produce information within its ‘possession, custody, or control, regardless of whether such  * * *  information is located within or outside of the United States.’  CLOUD Act § 103(a).  The United States has obtained a new warrant under the CLOUD Act, and Microsoft’s sole objection—that the prior warrant was impermissibly extraterritorial—no longer applies. The United States respectfully submits that this case is now moot.”</w:t>
      </w:r>
    </w:p>
    <w:p w14:paraId="59C36706" w14:textId="77777777" w:rsidR="00F326E5" w:rsidRPr="0036327D" w:rsidRDefault="00F326E5" w:rsidP="00F326E5">
      <w:pPr>
        <w:rPr>
          <w:rFonts w:ascii="Times New Roman" w:hAnsi="Times New Roman"/>
          <w:sz w:val="24"/>
          <w:szCs w:val="24"/>
          <w:lang w:val="en"/>
        </w:rPr>
      </w:pPr>
      <w:hyperlink r:id="rId829" w:history="1">
        <w:r w:rsidRPr="0036327D">
          <w:rPr>
            <w:rStyle w:val="Hyperlink"/>
            <w:rFonts w:ascii="Times New Roman" w:hAnsi="Times New Roman"/>
            <w:color w:val="auto"/>
            <w:sz w:val="24"/>
            <w:szCs w:val="24"/>
            <w:lang w:val="en"/>
          </w:rPr>
          <w:t>https://supreme.justia.com/cases/federal/us/584/17-2/</w:t>
        </w:r>
      </w:hyperlink>
      <w:r w:rsidRPr="0036327D">
        <w:rPr>
          <w:rFonts w:ascii="Times New Roman" w:hAnsi="Times New Roman"/>
          <w:sz w:val="24"/>
          <w:szCs w:val="24"/>
          <w:lang w:val="en"/>
        </w:rPr>
        <w:t xml:space="preserve"> </w:t>
      </w:r>
    </w:p>
    <w:p w14:paraId="38544133" w14:textId="77777777" w:rsidR="00F326E5" w:rsidRPr="00BA3B84" w:rsidRDefault="00F326E5" w:rsidP="00F326E5">
      <w:pPr>
        <w:rPr>
          <w:b/>
          <w:color w:val="4A4A4A"/>
          <w:sz w:val="24"/>
          <w:szCs w:val="24"/>
          <w:lang w:val="en"/>
        </w:rPr>
      </w:pPr>
      <w:r w:rsidRPr="0036327D">
        <w:rPr>
          <w:rFonts w:ascii="Times New Roman" w:hAnsi="Times New Roman"/>
          <w:b/>
          <w:sz w:val="24"/>
          <w:szCs w:val="24"/>
          <w:lang w:val="en"/>
        </w:rPr>
        <w:t xml:space="preserve">LEGAL LESSONS LEARNED:  Congress has enacted the “Cloud Act” so that search warrants on Microsoft and other companies must be honored, even if the e-mail information is stored in a facility outside the USA.   In some </w:t>
      </w:r>
      <w:proofErr w:type="gramStart"/>
      <w:r w:rsidRPr="0036327D">
        <w:rPr>
          <w:rFonts w:ascii="Times New Roman" w:hAnsi="Times New Roman"/>
          <w:b/>
          <w:sz w:val="24"/>
          <w:szCs w:val="24"/>
          <w:lang w:val="en"/>
        </w:rPr>
        <w:t>case</w:t>
      </w:r>
      <w:proofErr w:type="gramEnd"/>
      <w:r w:rsidRPr="0036327D">
        <w:rPr>
          <w:rFonts w:ascii="Times New Roman" w:hAnsi="Times New Roman"/>
          <w:b/>
          <w:sz w:val="24"/>
          <w:szCs w:val="24"/>
          <w:lang w:val="en"/>
        </w:rPr>
        <w:t>, our national security demands access to this information</w:t>
      </w:r>
      <w:r w:rsidRPr="00BA3B84">
        <w:rPr>
          <w:b/>
          <w:color w:val="4A4A4A"/>
          <w:sz w:val="24"/>
          <w:szCs w:val="24"/>
          <w:lang w:val="en"/>
        </w:rPr>
        <w:t xml:space="preserve">. </w:t>
      </w:r>
    </w:p>
    <w:bookmarkEnd w:id="169"/>
    <w:bookmarkEnd w:id="170"/>
    <w:p w14:paraId="13560A36" w14:textId="77777777" w:rsidR="00F326E5" w:rsidRDefault="00F326E5" w:rsidP="00F326E5">
      <w:pPr>
        <w:rPr>
          <w:rFonts w:ascii="Arial Black" w:hAnsi="Arial Black"/>
          <w:b/>
          <w:sz w:val="40"/>
          <w:szCs w:val="40"/>
        </w:rPr>
      </w:pPr>
    </w:p>
    <w:p w14:paraId="218F04BD" w14:textId="01005CD8" w:rsidR="00EF1133" w:rsidRDefault="00EF1133" w:rsidP="00EF1133">
      <w:pPr>
        <w:rPr>
          <w:rFonts w:ascii="Arial Black" w:hAnsi="Arial Black"/>
          <w:b/>
          <w:sz w:val="28"/>
          <w:szCs w:val="28"/>
        </w:rPr>
      </w:pPr>
      <w:bookmarkStart w:id="171" w:name="_Hlk7342019"/>
      <w:r w:rsidRPr="00EF1133">
        <w:rPr>
          <w:rFonts w:ascii="Arial Black" w:hAnsi="Arial Black"/>
          <w:color w:val="4A4A4A"/>
          <w:sz w:val="24"/>
          <w:szCs w:val="24"/>
          <w:lang w:val="en"/>
        </w:rPr>
        <w:t>3-</w:t>
      </w:r>
      <w:r>
        <w:rPr>
          <w:rFonts w:ascii="Arial Black" w:hAnsi="Arial Black"/>
          <w:color w:val="4A4A4A"/>
          <w:sz w:val="24"/>
          <w:szCs w:val="24"/>
          <w:lang w:val="en"/>
        </w:rPr>
        <w:t>2</w:t>
      </w:r>
    </w:p>
    <w:p w14:paraId="66D2746F" w14:textId="39E1ABF7" w:rsidR="00F326E5" w:rsidRDefault="00F326E5" w:rsidP="00F326E5">
      <w:pPr>
        <w:pStyle w:val="NoSpacing"/>
        <w:rPr>
          <w:rFonts w:ascii="Arial Black" w:hAnsi="Arial Black"/>
          <w:b/>
          <w:sz w:val="28"/>
          <w:szCs w:val="28"/>
        </w:rPr>
      </w:pPr>
      <w:r>
        <w:rPr>
          <w:rFonts w:ascii="Arial Black" w:hAnsi="Arial Black"/>
          <w:b/>
          <w:sz w:val="28"/>
          <w:szCs w:val="28"/>
        </w:rPr>
        <w:t>NY: NYPD SURVEILLANCE OF MUSLIMS – FOIA - DO NOT NEED TO EVEN DISCLOSE RECORDS EXIST</w:t>
      </w:r>
    </w:p>
    <w:p w14:paraId="0BA16183" w14:textId="77777777" w:rsidR="009C4A80" w:rsidRDefault="00F326E5" w:rsidP="00F326E5">
      <w:pPr>
        <w:rPr>
          <w:rFonts w:ascii="Times New Roman" w:hAnsi="Times New Roman"/>
          <w:sz w:val="24"/>
          <w:szCs w:val="24"/>
        </w:rPr>
      </w:pPr>
      <w:r w:rsidRPr="0036327D">
        <w:rPr>
          <w:rFonts w:ascii="Times New Roman" w:hAnsi="Times New Roman"/>
          <w:sz w:val="24"/>
          <w:szCs w:val="24"/>
        </w:rPr>
        <w:t xml:space="preserve">On March 29, 2018, In the </w:t>
      </w:r>
      <w:r w:rsidRPr="0036327D">
        <w:rPr>
          <w:rFonts w:ascii="Times New Roman" w:hAnsi="Times New Roman"/>
          <w:sz w:val="24"/>
          <w:szCs w:val="24"/>
          <w:u w:val="single"/>
        </w:rPr>
        <w:t>Matter of Talib W.  Abdur-Rashid and Samir Hashmi v. New York City Police Department, et al.</w:t>
      </w:r>
      <w:r w:rsidRPr="0036327D">
        <w:rPr>
          <w:rFonts w:ascii="Times New Roman" w:hAnsi="Times New Roman"/>
          <w:sz w:val="24"/>
          <w:szCs w:val="24"/>
        </w:rPr>
        <w:t xml:space="preserve">, the State of New York Court of Appeals held (4 to 3): </w:t>
      </w:r>
    </w:p>
    <w:p w14:paraId="32C9B6B8" w14:textId="6D8E5139" w:rsidR="00F326E5" w:rsidRPr="0036327D" w:rsidRDefault="00F326E5" w:rsidP="009C4A80">
      <w:pPr>
        <w:ind w:left="720"/>
        <w:rPr>
          <w:rFonts w:ascii="Times New Roman" w:hAnsi="Times New Roman"/>
          <w:sz w:val="24"/>
          <w:szCs w:val="24"/>
        </w:rPr>
      </w:pPr>
      <w:r w:rsidRPr="0036327D">
        <w:rPr>
          <w:rFonts w:ascii="Times New Roman" w:hAnsi="Times New Roman"/>
          <w:sz w:val="24"/>
          <w:szCs w:val="24"/>
        </w:rPr>
        <w:t xml:space="preserve">“The issue presented is whether an agency may decline to acknowledge that requested records exist in response to a Freedom of Information Law request … when necessary to safeguard statutorily exempted information.  Under these circumstances, we hold that it may and therefore affirm the Appellate Division order, which reached the same conclusion.” </w:t>
      </w:r>
      <w:hyperlink r:id="rId830" w:history="1">
        <w:r w:rsidRPr="0036327D">
          <w:rPr>
            <w:rStyle w:val="Hyperlink"/>
            <w:rFonts w:ascii="Times New Roman" w:hAnsi="Times New Roman"/>
            <w:sz w:val="24"/>
            <w:szCs w:val="24"/>
          </w:rPr>
          <w:t>file:///C:/Users/lawre/AppData/Local/Microsoft/Windows/INetCache/IE/XO250S7T/Glomar-decision.pdf</w:t>
        </w:r>
      </w:hyperlink>
      <w:r w:rsidRPr="0036327D">
        <w:rPr>
          <w:rFonts w:ascii="Times New Roman" w:hAnsi="Times New Roman"/>
          <w:sz w:val="24"/>
          <w:szCs w:val="24"/>
        </w:rPr>
        <w:t xml:space="preserve">      </w:t>
      </w:r>
    </w:p>
    <w:p w14:paraId="7F737600" w14:textId="77777777" w:rsidR="00F326E5" w:rsidRPr="0036327D" w:rsidRDefault="00F326E5" w:rsidP="00F326E5">
      <w:pPr>
        <w:rPr>
          <w:rFonts w:ascii="Times New Roman" w:hAnsi="Times New Roman"/>
          <w:b/>
          <w:sz w:val="24"/>
          <w:szCs w:val="24"/>
        </w:rPr>
      </w:pPr>
      <w:r w:rsidRPr="0036327D">
        <w:rPr>
          <w:rFonts w:ascii="Times New Roman" w:hAnsi="Times New Roman"/>
          <w:b/>
          <w:sz w:val="24"/>
          <w:szCs w:val="24"/>
        </w:rPr>
        <w:t xml:space="preserve">LEGAL LESSONS LEARNED:  Surveillance records are protected from disclosure; don’t need to even confirm existence of intelligence records. </w:t>
      </w:r>
    </w:p>
    <w:p w14:paraId="0B82D0F2" w14:textId="77777777" w:rsidR="00F326E5" w:rsidRPr="0036327D" w:rsidRDefault="00F326E5" w:rsidP="00F326E5">
      <w:pPr>
        <w:ind w:left="720"/>
        <w:rPr>
          <w:rFonts w:ascii="Times New Roman" w:hAnsi="Times New Roman"/>
          <w:sz w:val="24"/>
          <w:szCs w:val="24"/>
        </w:rPr>
      </w:pPr>
      <w:r w:rsidRPr="0036327D">
        <w:rPr>
          <w:rFonts w:ascii="Times New Roman" w:hAnsi="Times New Roman"/>
          <w:sz w:val="24"/>
          <w:szCs w:val="24"/>
        </w:rPr>
        <w:t xml:space="preserve">See article on this decision: </w:t>
      </w:r>
      <w:hyperlink r:id="rId831" w:history="1">
        <w:r w:rsidRPr="0036327D">
          <w:rPr>
            <w:rStyle w:val="Hyperlink"/>
            <w:rFonts w:ascii="Times New Roman" w:hAnsi="Times New Roman"/>
            <w:sz w:val="24"/>
            <w:szCs w:val="24"/>
          </w:rPr>
          <w:t>https://www.law.com/newyorklawjournal/2018/03/29/ny-high-court-allows-nypd-to-evade-giving-foil-requested-information-about-muslim-surveillance/</w:t>
        </w:r>
      </w:hyperlink>
    </w:p>
    <w:bookmarkEnd w:id="171"/>
    <w:p w14:paraId="3496799B" w14:textId="77777777" w:rsidR="00F326E5" w:rsidRPr="00150349" w:rsidRDefault="00F326E5" w:rsidP="00F326E5">
      <w:pPr>
        <w:pStyle w:val="NoSpacing"/>
        <w:rPr>
          <w:b/>
          <w:sz w:val="24"/>
          <w:szCs w:val="24"/>
        </w:rPr>
      </w:pPr>
    </w:p>
    <w:p w14:paraId="0BC3F0CD" w14:textId="48C4A3B5" w:rsidR="00F326E5" w:rsidRPr="00EF1133" w:rsidRDefault="00EF1133" w:rsidP="00F326E5">
      <w:pPr>
        <w:rPr>
          <w:rFonts w:ascii="Arial Black" w:hAnsi="Arial Black"/>
          <w:color w:val="4A4A4A"/>
          <w:sz w:val="24"/>
          <w:szCs w:val="24"/>
          <w:lang w:val="en"/>
        </w:rPr>
      </w:pPr>
      <w:r w:rsidRPr="00EF1133">
        <w:rPr>
          <w:rFonts w:ascii="Arial Black" w:hAnsi="Arial Black"/>
          <w:color w:val="4A4A4A"/>
          <w:sz w:val="24"/>
          <w:szCs w:val="24"/>
          <w:lang w:val="en"/>
        </w:rPr>
        <w:t>3-1</w:t>
      </w:r>
    </w:p>
    <w:p w14:paraId="76F99281" w14:textId="2D028A27" w:rsidR="00F326E5" w:rsidRDefault="00F326E5" w:rsidP="00F326E5">
      <w:pPr>
        <w:rPr>
          <w:rFonts w:ascii="Arial Black" w:hAnsi="Arial Black"/>
          <w:b/>
          <w:color w:val="4A4A4A"/>
          <w:sz w:val="28"/>
          <w:szCs w:val="28"/>
          <w:lang w:val="en"/>
        </w:rPr>
      </w:pPr>
      <w:bookmarkStart w:id="172" w:name="_Hlk7342091"/>
      <w:r w:rsidRPr="00391684">
        <w:rPr>
          <w:rFonts w:ascii="Arial Black" w:hAnsi="Arial Black"/>
          <w:b/>
          <w:color w:val="4A4A4A"/>
          <w:sz w:val="28"/>
          <w:szCs w:val="28"/>
          <w:lang w:val="en"/>
        </w:rPr>
        <w:t>U.S. SUP</w:t>
      </w:r>
      <w:r>
        <w:rPr>
          <w:rFonts w:ascii="Arial Black" w:hAnsi="Arial Black"/>
          <w:b/>
          <w:color w:val="4A4A4A"/>
          <w:sz w:val="28"/>
          <w:szCs w:val="28"/>
          <w:lang w:val="en"/>
        </w:rPr>
        <w:t>. C</w:t>
      </w:r>
      <w:r w:rsidRPr="00391684">
        <w:rPr>
          <w:rFonts w:ascii="Arial Black" w:hAnsi="Arial Black"/>
          <w:b/>
          <w:color w:val="4A4A4A"/>
          <w:sz w:val="28"/>
          <w:szCs w:val="28"/>
          <w:lang w:val="en"/>
        </w:rPr>
        <w:t>OURT</w:t>
      </w:r>
      <w:r>
        <w:rPr>
          <w:rFonts w:ascii="Arial Black" w:hAnsi="Arial Black"/>
          <w:b/>
          <w:color w:val="4A4A4A"/>
          <w:sz w:val="28"/>
          <w:szCs w:val="28"/>
          <w:lang w:val="en"/>
        </w:rPr>
        <w:t>: HAMAS BOMBINGS IN ISRAEL – CAN’T SEIZE ANCIENT IRANIAN TABLETS IN CHICAGO</w:t>
      </w:r>
    </w:p>
    <w:p w14:paraId="691A3832" w14:textId="77777777" w:rsidR="009C4A80" w:rsidRDefault="00F326E5" w:rsidP="00F326E5">
      <w:pPr>
        <w:rPr>
          <w:rFonts w:ascii="Times New Roman" w:hAnsi="Times New Roman"/>
          <w:color w:val="4A4A4A"/>
          <w:sz w:val="24"/>
          <w:szCs w:val="24"/>
          <w:lang w:val="en"/>
        </w:rPr>
      </w:pPr>
      <w:r w:rsidRPr="0036327D">
        <w:rPr>
          <w:rFonts w:ascii="Times New Roman" w:hAnsi="Times New Roman"/>
          <w:color w:val="4A4A4A"/>
          <w:sz w:val="24"/>
          <w:szCs w:val="24"/>
          <w:lang w:val="en"/>
        </w:rPr>
        <w:t xml:space="preserve">On Feb. 21, 2018, in </w:t>
      </w:r>
      <w:r w:rsidRPr="0036327D">
        <w:rPr>
          <w:rFonts w:ascii="Times New Roman" w:hAnsi="Times New Roman"/>
          <w:color w:val="4A4A4A"/>
          <w:sz w:val="24"/>
          <w:szCs w:val="24"/>
          <w:u w:val="single"/>
          <w:lang w:val="en"/>
        </w:rPr>
        <w:t>Rubin v. Islamic Republic of Iran</w:t>
      </w:r>
      <w:r w:rsidRPr="0036327D">
        <w:rPr>
          <w:rFonts w:ascii="Times New Roman" w:hAnsi="Times New Roman"/>
          <w:color w:val="4A4A4A"/>
          <w:sz w:val="24"/>
          <w:szCs w:val="24"/>
          <w:lang w:val="en"/>
        </w:rPr>
        <w:t xml:space="preserve">, the U.S. Supreme Court held (8 to 0; Justice Kegan did not participate) that 30,000 ancient clay tablets held at University of Chicago cannot be seized to pay $71.5 million judgement against Iran.  Justice Sotomayor wrote, </w:t>
      </w:r>
    </w:p>
    <w:p w14:paraId="5F765B3E" w14:textId="5AC1A1AD" w:rsidR="00F326E5" w:rsidRPr="0036327D" w:rsidRDefault="00F326E5" w:rsidP="009C4A80">
      <w:pPr>
        <w:ind w:left="720"/>
        <w:rPr>
          <w:rFonts w:ascii="Times New Roman" w:hAnsi="Times New Roman"/>
          <w:color w:val="4A4A4A"/>
          <w:sz w:val="24"/>
          <w:szCs w:val="24"/>
          <w:lang w:val="en"/>
        </w:rPr>
      </w:pPr>
      <w:r w:rsidRPr="0036327D">
        <w:rPr>
          <w:rFonts w:ascii="Times New Roman" w:hAnsi="Times New Roman"/>
          <w:color w:val="4A4A4A"/>
          <w:sz w:val="24"/>
          <w:szCs w:val="24"/>
          <w:lang w:val="en"/>
        </w:rPr>
        <w:t xml:space="preserve">“Where the FSIA goes so far as to divest a foreign state or property of immunity in relation to terrorism related judgments, however, it does so expressly.  See §§1605A, 1610(a)(7), (b)(3), (f)(1)(A); §201(a) of the TRIA. Out of respect for the delicate balance that Congress struck in enacting the FSIA, we decline to read into the statute a blanket abrogation of attachment and execution immunity for §1605A judgment holders absent a clearer indication of Congress’ intent.” </w:t>
      </w:r>
      <w:hyperlink r:id="rId832" w:history="1">
        <w:r w:rsidRPr="0036327D">
          <w:rPr>
            <w:rStyle w:val="Hyperlink"/>
            <w:rFonts w:ascii="Times New Roman" w:hAnsi="Times New Roman"/>
            <w:sz w:val="24"/>
            <w:szCs w:val="24"/>
            <w:lang w:val="en"/>
          </w:rPr>
          <w:t>file:///C:/Users/lawre/AppData/Local/Microsoft/Windows/INetCache/IE/XO250S7T/16-534_6jfm.pdf</w:t>
        </w:r>
      </w:hyperlink>
      <w:r w:rsidRPr="0036327D">
        <w:rPr>
          <w:rFonts w:ascii="Times New Roman" w:hAnsi="Times New Roman"/>
          <w:color w:val="4A4A4A"/>
          <w:sz w:val="24"/>
          <w:szCs w:val="24"/>
          <w:lang w:val="en"/>
        </w:rPr>
        <w:t xml:space="preserve"> </w:t>
      </w:r>
    </w:p>
    <w:p w14:paraId="5A974771" w14:textId="77777777" w:rsidR="00F326E5" w:rsidRPr="0036327D" w:rsidRDefault="00F326E5" w:rsidP="00F326E5">
      <w:pPr>
        <w:rPr>
          <w:rFonts w:ascii="Times New Roman" w:hAnsi="Times New Roman"/>
          <w:b/>
          <w:color w:val="4A4A4A"/>
          <w:sz w:val="24"/>
          <w:szCs w:val="24"/>
          <w:lang w:val="en"/>
        </w:rPr>
      </w:pPr>
      <w:r w:rsidRPr="0036327D">
        <w:rPr>
          <w:rFonts w:ascii="Times New Roman" w:hAnsi="Times New Roman"/>
          <w:b/>
          <w:color w:val="4A4A4A"/>
          <w:sz w:val="24"/>
          <w:szCs w:val="24"/>
          <w:lang w:val="en"/>
        </w:rPr>
        <w:t xml:space="preserve">LEGAL LESSONS LEARNED: Congress can amend FSIA to clarify that Iran is a sponsor of terrorists, and their property in USA can be subject to seizure.  </w:t>
      </w:r>
    </w:p>
    <w:p w14:paraId="60CCDAD5" w14:textId="3148EDBF" w:rsidR="00F326E5" w:rsidRDefault="00F326E5" w:rsidP="0005503D">
      <w:pPr>
        <w:ind w:left="720"/>
        <w:rPr>
          <w:rFonts w:ascii="Arial Black" w:hAnsi="Arial Black"/>
          <w:b/>
          <w:sz w:val="40"/>
          <w:szCs w:val="40"/>
        </w:rPr>
      </w:pPr>
      <w:r w:rsidRPr="0036327D">
        <w:rPr>
          <w:rFonts w:ascii="Times New Roman" w:hAnsi="Times New Roman"/>
          <w:color w:val="4A4A4A"/>
          <w:sz w:val="24"/>
          <w:szCs w:val="24"/>
          <w:lang w:val="en"/>
        </w:rPr>
        <w:t>See article on the decision:  “</w:t>
      </w:r>
      <w:r w:rsidRPr="0036327D">
        <w:rPr>
          <w:rFonts w:ascii="Times New Roman" w:hAnsi="Times New Roman"/>
          <w:sz w:val="24"/>
          <w:szCs w:val="24"/>
          <w:lang w:val="en"/>
        </w:rPr>
        <w:t xml:space="preserve">Wednesday’s ruling is also likely to dictate the outcome of a similar dispute pending before the justices in which four different groups of plaintiffs representing those injured in other allegedly Iran-backed attacks are seeking to enforce court judgments by seizing $17.6 million in assets held by Iranian government-owned Bank Melli.” </w:t>
      </w:r>
      <w:hyperlink r:id="rId833" w:history="1">
        <w:r w:rsidRPr="0036327D">
          <w:rPr>
            <w:rStyle w:val="Hyperlink"/>
            <w:rFonts w:ascii="Times New Roman" w:hAnsi="Times New Roman"/>
            <w:sz w:val="24"/>
            <w:szCs w:val="24"/>
            <w:lang w:val="en"/>
          </w:rPr>
          <w:t>https://in.reuters.com/article/usa-court-iran/u-s-top-court-forbids-seizure-of-ancient-persian-artifacts-idINKCN1G51ZY</w:t>
        </w:r>
      </w:hyperlink>
      <w:r w:rsidRPr="0036327D">
        <w:rPr>
          <w:rFonts w:ascii="Times New Roman" w:hAnsi="Times New Roman"/>
          <w:color w:val="4A4A4A"/>
          <w:sz w:val="24"/>
          <w:szCs w:val="24"/>
          <w:lang w:val="en"/>
        </w:rPr>
        <w:t xml:space="preserve"> </w:t>
      </w:r>
      <w:bookmarkEnd w:id="172"/>
      <w:r>
        <w:rPr>
          <w:rFonts w:ascii="Arial Black" w:hAnsi="Arial Black"/>
          <w:b/>
          <w:sz w:val="40"/>
          <w:szCs w:val="40"/>
        </w:rPr>
        <w:br w:type="page"/>
      </w:r>
    </w:p>
    <w:p w14:paraId="234826B4" w14:textId="77777777" w:rsidR="00680234" w:rsidRDefault="00680234" w:rsidP="00F326E5">
      <w:pPr>
        <w:pStyle w:val="NoSpacing"/>
        <w:rPr>
          <w:rFonts w:ascii="Arial Black" w:hAnsi="Arial Black"/>
          <w:sz w:val="40"/>
          <w:szCs w:val="40"/>
        </w:rPr>
      </w:pPr>
    </w:p>
    <w:p w14:paraId="31A4BC5A" w14:textId="77777777" w:rsidR="00680234" w:rsidRDefault="00680234" w:rsidP="00F326E5">
      <w:pPr>
        <w:pStyle w:val="NoSpacing"/>
        <w:rPr>
          <w:rFonts w:ascii="Arial Black" w:hAnsi="Arial Black"/>
          <w:sz w:val="40"/>
          <w:szCs w:val="40"/>
        </w:rPr>
      </w:pPr>
    </w:p>
    <w:p w14:paraId="368696E1" w14:textId="77777777" w:rsidR="00680234" w:rsidRDefault="00680234" w:rsidP="00F326E5">
      <w:pPr>
        <w:pStyle w:val="NoSpacing"/>
        <w:rPr>
          <w:rFonts w:ascii="Arial Black" w:hAnsi="Arial Black"/>
          <w:sz w:val="40"/>
          <w:szCs w:val="40"/>
        </w:rPr>
      </w:pPr>
    </w:p>
    <w:p w14:paraId="77AA98B7" w14:textId="77777777" w:rsidR="00680234" w:rsidRDefault="00680234" w:rsidP="00F326E5">
      <w:pPr>
        <w:pStyle w:val="NoSpacing"/>
        <w:rPr>
          <w:rFonts w:ascii="Arial Black" w:hAnsi="Arial Black"/>
          <w:sz w:val="40"/>
          <w:szCs w:val="40"/>
        </w:rPr>
      </w:pPr>
    </w:p>
    <w:p w14:paraId="46CB6D8C" w14:textId="77777777" w:rsidR="00680234" w:rsidRDefault="00680234" w:rsidP="00F326E5">
      <w:pPr>
        <w:pStyle w:val="NoSpacing"/>
        <w:rPr>
          <w:rFonts w:ascii="Arial Black" w:hAnsi="Arial Black"/>
          <w:sz w:val="40"/>
          <w:szCs w:val="40"/>
        </w:rPr>
      </w:pPr>
    </w:p>
    <w:p w14:paraId="14071E9C" w14:textId="77777777" w:rsidR="00680234" w:rsidRDefault="00680234" w:rsidP="00F326E5">
      <w:pPr>
        <w:pStyle w:val="NoSpacing"/>
        <w:rPr>
          <w:rFonts w:ascii="Arial Black" w:hAnsi="Arial Black"/>
          <w:sz w:val="40"/>
          <w:szCs w:val="40"/>
        </w:rPr>
      </w:pPr>
    </w:p>
    <w:p w14:paraId="2D6406AE" w14:textId="77777777" w:rsidR="00680234" w:rsidRDefault="00680234" w:rsidP="00F326E5">
      <w:pPr>
        <w:pStyle w:val="NoSpacing"/>
        <w:rPr>
          <w:rFonts w:ascii="Arial Black" w:hAnsi="Arial Black"/>
          <w:sz w:val="40"/>
          <w:szCs w:val="40"/>
        </w:rPr>
      </w:pPr>
    </w:p>
    <w:p w14:paraId="3130033F" w14:textId="77777777" w:rsidR="00680234" w:rsidRDefault="00680234" w:rsidP="00F326E5">
      <w:pPr>
        <w:pStyle w:val="NoSpacing"/>
        <w:rPr>
          <w:rFonts w:ascii="Arial Black" w:hAnsi="Arial Black"/>
          <w:sz w:val="40"/>
          <w:szCs w:val="40"/>
        </w:rPr>
      </w:pPr>
    </w:p>
    <w:p w14:paraId="0D9FFFD5" w14:textId="77777777" w:rsidR="00680234" w:rsidRDefault="00680234" w:rsidP="00F326E5">
      <w:pPr>
        <w:pStyle w:val="NoSpacing"/>
        <w:rPr>
          <w:rFonts w:ascii="Arial Black" w:hAnsi="Arial Black"/>
          <w:sz w:val="40"/>
          <w:szCs w:val="40"/>
        </w:rPr>
      </w:pPr>
    </w:p>
    <w:p w14:paraId="3028D8A8" w14:textId="77777777" w:rsidR="00680234" w:rsidRDefault="00680234" w:rsidP="00F326E5">
      <w:pPr>
        <w:pStyle w:val="NoSpacing"/>
        <w:rPr>
          <w:rFonts w:ascii="Arial Black" w:hAnsi="Arial Black"/>
          <w:sz w:val="40"/>
          <w:szCs w:val="40"/>
        </w:rPr>
      </w:pPr>
    </w:p>
    <w:p w14:paraId="3D187AED" w14:textId="77777777" w:rsidR="00680234" w:rsidRDefault="00680234" w:rsidP="00F326E5">
      <w:pPr>
        <w:pStyle w:val="NoSpacing"/>
        <w:rPr>
          <w:rFonts w:ascii="Arial Black" w:hAnsi="Arial Black"/>
          <w:sz w:val="40"/>
          <w:szCs w:val="40"/>
        </w:rPr>
      </w:pPr>
    </w:p>
    <w:p w14:paraId="3739BA1F" w14:textId="77777777" w:rsidR="00680234" w:rsidRDefault="00680234" w:rsidP="00F326E5">
      <w:pPr>
        <w:pStyle w:val="NoSpacing"/>
        <w:rPr>
          <w:rFonts w:ascii="Arial Black" w:hAnsi="Arial Black"/>
          <w:sz w:val="40"/>
          <w:szCs w:val="40"/>
        </w:rPr>
      </w:pPr>
    </w:p>
    <w:p w14:paraId="4AA2DBD7" w14:textId="77777777" w:rsidR="00680234" w:rsidRDefault="00680234" w:rsidP="00F326E5">
      <w:pPr>
        <w:pStyle w:val="NoSpacing"/>
        <w:rPr>
          <w:rFonts w:ascii="Arial Black" w:hAnsi="Arial Black"/>
          <w:sz w:val="40"/>
          <w:szCs w:val="40"/>
        </w:rPr>
      </w:pPr>
    </w:p>
    <w:p w14:paraId="6649EE15" w14:textId="77777777" w:rsidR="00680234" w:rsidRDefault="00680234" w:rsidP="00F326E5">
      <w:pPr>
        <w:pStyle w:val="NoSpacing"/>
        <w:rPr>
          <w:rFonts w:ascii="Arial Black" w:hAnsi="Arial Black"/>
          <w:sz w:val="40"/>
          <w:szCs w:val="40"/>
        </w:rPr>
      </w:pPr>
    </w:p>
    <w:p w14:paraId="4AE59C16" w14:textId="77777777" w:rsidR="00680234" w:rsidRDefault="00680234" w:rsidP="00F326E5">
      <w:pPr>
        <w:pStyle w:val="NoSpacing"/>
        <w:rPr>
          <w:rFonts w:ascii="Arial Black" w:hAnsi="Arial Black"/>
          <w:sz w:val="40"/>
          <w:szCs w:val="40"/>
        </w:rPr>
      </w:pPr>
    </w:p>
    <w:p w14:paraId="0DC1D59F" w14:textId="77777777" w:rsidR="00680234" w:rsidRDefault="00680234" w:rsidP="00F326E5">
      <w:pPr>
        <w:pStyle w:val="NoSpacing"/>
        <w:rPr>
          <w:rFonts w:ascii="Arial Black" w:hAnsi="Arial Black"/>
          <w:sz w:val="40"/>
          <w:szCs w:val="40"/>
        </w:rPr>
      </w:pPr>
    </w:p>
    <w:p w14:paraId="35ED3CCC" w14:textId="77777777" w:rsidR="00680234" w:rsidRDefault="00680234" w:rsidP="00F326E5">
      <w:pPr>
        <w:pStyle w:val="NoSpacing"/>
        <w:rPr>
          <w:rFonts w:ascii="Arial Black" w:hAnsi="Arial Black"/>
          <w:sz w:val="40"/>
          <w:szCs w:val="40"/>
        </w:rPr>
      </w:pPr>
    </w:p>
    <w:p w14:paraId="2D26EE6A" w14:textId="77777777" w:rsidR="00680234" w:rsidRDefault="00680234" w:rsidP="00F326E5">
      <w:pPr>
        <w:pStyle w:val="NoSpacing"/>
        <w:rPr>
          <w:rFonts w:ascii="Arial Black" w:hAnsi="Arial Black"/>
          <w:sz w:val="40"/>
          <w:szCs w:val="40"/>
        </w:rPr>
      </w:pPr>
    </w:p>
    <w:p w14:paraId="7B23D8BA" w14:textId="77777777" w:rsidR="00680234" w:rsidRDefault="00680234" w:rsidP="00F326E5">
      <w:pPr>
        <w:pStyle w:val="NoSpacing"/>
        <w:rPr>
          <w:rFonts w:ascii="Arial Black" w:hAnsi="Arial Black"/>
          <w:sz w:val="40"/>
          <w:szCs w:val="40"/>
        </w:rPr>
      </w:pPr>
    </w:p>
    <w:p w14:paraId="554774DE" w14:textId="77777777" w:rsidR="00680234" w:rsidRDefault="00680234" w:rsidP="00F326E5">
      <w:pPr>
        <w:pStyle w:val="NoSpacing"/>
        <w:rPr>
          <w:rFonts w:ascii="Arial Black" w:hAnsi="Arial Black"/>
          <w:sz w:val="40"/>
          <w:szCs w:val="40"/>
        </w:rPr>
      </w:pPr>
    </w:p>
    <w:p w14:paraId="1873C028" w14:textId="77777777" w:rsidR="00680234" w:rsidRDefault="00680234" w:rsidP="00F326E5">
      <w:pPr>
        <w:pStyle w:val="NoSpacing"/>
        <w:rPr>
          <w:rFonts w:ascii="Arial Black" w:hAnsi="Arial Black"/>
          <w:sz w:val="40"/>
          <w:szCs w:val="40"/>
        </w:rPr>
      </w:pPr>
    </w:p>
    <w:p w14:paraId="22A87D14" w14:textId="77777777" w:rsidR="00680234" w:rsidRDefault="00680234" w:rsidP="00F326E5">
      <w:pPr>
        <w:pStyle w:val="NoSpacing"/>
        <w:rPr>
          <w:rFonts w:ascii="Arial Black" w:hAnsi="Arial Black"/>
          <w:sz w:val="40"/>
          <w:szCs w:val="40"/>
        </w:rPr>
      </w:pPr>
    </w:p>
    <w:p w14:paraId="21DEF991" w14:textId="77777777" w:rsidR="00680234" w:rsidRDefault="00680234" w:rsidP="00F326E5">
      <w:pPr>
        <w:pStyle w:val="NoSpacing"/>
        <w:rPr>
          <w:rFonts w:ascii="Arial Black" w:hAnsi="Arial Black"/>
          <w:sz w:val="40"/>
          <w:szCs w:val="40"/>
        </w:rPr>
      </w:pPr>
    </w:p>
    <w:p w14:paraId="14DF8684" w14:textId="77777777" w:rsidR="00680234" w:rsidRDefault="00680234" w:rsidP="00F326E5">
      <w:pPr>
        <w:pStyle w:val="NoSpacing"/>
        <w:rPr>
          <w:rFonts w:ascii="Arial Black" w:hAnsi="Arial Black"/>
          <w:sz w:val="40"/>
          <w:szCs w:val="40"/>
        </w:rPr>
      </w:pPr>
    </w:p>
    <w:p w14:paraId="2EB685D0" w14:textId="77777777" w:rsidR="00680234" w:rsidRDefault="00680234" w:rsidP="00F326E5">
      <w:pPr>
        <w:pStyle w:val="NoSpacing"/>
        <w:rPr>
          <w:rFonts w:ascii="Arial Black" w:hAnsi="Arial Black"/>
          <w:sz w:val="40"/>
          <w:szCs w:val="40"/>
        </w:rPr>
      </w:pPr>
    </w:p>
    <w:p w14:paraId="2DF3FF63" w14:textId="5E383E2F" w:rsidR="00F326E5" w:rsidRDefault="00F326E5" w:rsidP="00F326E5">
      <w:pPr>
        <w:pStyle w:val="NoSpacing"/>
        <w:rPr>
          <w:rFonts w:ascii="Arial Black" w:hAnsi="Arial Black"/>
          <w:sz w:val="40"/>
          <w:szCs w:val="40"/>
        </w:rPr>
      </w:pPr>
      <w:r w:rsidRPr="007732FA">
        <w:rPr>
          <w:rFonts w:ascii="Arial Black" w:hAnsi="Arial Black"/>
          <w:sz w:val="40"/>
          <w:szCs w:val="40"/>
        </w:rPr>
        <w:t>Chap. 4</w:t>
      </w:r>
      <w:r w:rsidRPr="007732FA">
        <w:rPr>
          <w:rFonts w:ascii="Arial Black" w:hAnsi="Arial Black"/>
          <w:sz w:val="40"/>
          <w:szCs w:val="40"/>
        </w:rPr>
        <w:tab/>
        <w:t>Incident Command</w:t>
      </w:r>
      <w:r w:rsidR="003F660F">
        <w:rPr>
          <w:rFonts w:ascii="Arial Black" w:hAnsi="Arial Black"/>
          <w:sz w:val="40"/>
          <w:szCs w:val="40"/>
        </w:rPr>
        <w:t>, including T</w:t>
      </w:r>
      <w:r w:rsidRPr="007732FA">
        <w:rPr>
          <w:rFonts w:ascii="Arial Black" w:hAnsi="Arial Black"/>
          <w:sz w:val="40"/>
          <w:szCs w:val="40"/>
        </w:rPr>
        <w:t>raining</w:t>
      </w:r>
      <w:r w:rsidR="003F660F">
        <w:rPr>
          <w:rFonts w:ascii="Arial Black" w:hAnsi="Arial Black"/>
          <w:sz w:val="40"/>
          <w:szCs w:val="40"/>
        </w:rPr>
        <w:t xml:space="preserve">, </w:t>
      </w:r>
      <w:r w:rsidRPr="007732FA">
        <w:rPr>
          <w:rFonts w:ascii="Arial Black" w:hAnsi="Arial Black"/>
          <w:sz w:val="40"/>
          <w:szCs w:val="40"/>
        </w:rPr>
        <w:t>Drones</w:t>
      </w:r>
    </w:p>
    <w:p w14:paraId="049942EC" w14:textId="77777777" w:rsidR="00F326E5" w:rsidRDefault="00F326E5" w:rsidP="00F326E5">
      <w:pPr>
        <w:pStyle w:val="NoSpacing"/>
        <w:rPr>
          <w:b/>
          <w:sz w:val="24"/>
          <w:szCs w:val="24"/>
        </w:rPr>
      </w:pPr>
    </w:p>
    <w:p w14:paraId="0CF9B3D9" w14:textId="4C006BA0" w:rsidR="009851F6" w:rsidRDefault="00B77E9E" w:rsidP="000636AB">
      <w:pPr>
        <w:rPr>
          <w:rStyle w:val="Hyperlink"/>
          <w:rFonts w:ascii="Arial Black" w:hAnsi="Arial Black"/>
          <w:b/>
          <w:color w:val="auto"/>
          <w:sz w:val="24"/>
          <w:szCs w:val="24"/>
          <w:u w:val="none"/>
        </w:rPr>
      </w:pPr>
      <w:bookmarkStart w:id="173" w:name="_Hlk7342420"/>
      <w:r>
        <w:rPr>
          <w:rStyle w:val="Hyperlink"/>
          <w:rFonts w:ascii="Arial Black" w:hAnsi="Arial Black"/>
          <w:b/>
          <w:color w:val="auto"/>
          <w:sz w:val="24"/>
          <w:szCs w:val="24"/>
          <w:u w:val="none"/>
        </w:rPr>
        <w:t>4-5</w:t>
      </w:r>
      <w:r>
        <w:rPr>
          <w:rStyle w:val="Hyperlink"/>
          <w:rFonts w:ascii="Arial Black" w:hAnsi="Arial Black"/>
          <w:b/>
          <w:color w:val="auto"/>
          <w:sz w:val="24"/>
          <w:szCs w:val="24"/>
          <w:u w:val="none"/>
        </w:rPr>
        <w:t>6</w:t>
      </w:r>
    </w:p>
    <w:p w14:paraId="740D796D" w14:textId="77777777" w:rsidR="009851F6" w:rsidRDefault="009851F6" w:rsidP="009851F6">
      <w:pPr>
        <w:pStyle w:val="NoSpacing"/>
        <w:rPr>
          <w:rFonts w:ascii="Arial Black" w:hAnsi="Arial Black"/>
          <w:bCs/>
          <w:sz w:val="28"/>
          <w:szCs w:val="28"/>
        </w:rPr>
      </w:pPr>
      <w:r>
        <w:rPr>
          <w:rFonts w:ascii="Arial Black" w:hAnsi="Arial Black"/>
          <w:sz w:val="28"/>
          <w:szCs w:val="28"/>
        </w:rPr>
        <w:t>WA: 911 DISPATCH – DELAYED NOTIFYING PD</w:t>
      </w:r>
      <w:r>
        <w:rPr>
          <w:rFonts w:ascii="Arial Black" w:hAnsi="Arial Black"/>
          <w:bCs/>
          <w:sz w:val="28"/>
          <w:szCs w:val="28"/>
        </w:rPr>
        <w:t xml:space="preserve"> / VICTIM DIED </w:t>
      </w:r>
    </w:p>
    <w:p w14:paraId="43F83585" w14:textId="77777777" w:rsidR="009851F6" w:rsidRDefault="009851F6" w:rsidP="009851F6">
      <w:pPr>
        <w:pStyle w:val="NoSpacing"/>
        <w:rPr>
          <w:bCs/>
        </w:rPr>
      </w:pPr>
    </w:p>
    <w:p w14:paraId="242A10F3" w14:textId="77777777" w:rsidR="009851F6" w:rsidRDefault="009851F6" w:rsidP="009851F6">
      <w:r>
        <w:t xml:space="preserve">On June 1, 2026, in </w:t>
      </w:r>
      <w:r w:rsidRPr="00DF323C">
        <w:rPr>
          <w:u w:val="single"/>
        </w:rPr>
        <w:t>Tricia Keith Bartlett, as the Personal Representative of the Estate of Amber Mary Keith Tricia v. Valley Communications Center</w:t>
      </w:r>
      <w:r>
        <w:t>, the Court of Appeals of Washington, Division 1 held (3 to 0) that trial court improperly dismissed the estate’s lawsuit. The Court wrote: “</w:t>
      </w:r>
      <w:r w:rsidRPr="00B5497E">
        <w:t>Because the allegations in the complaint are legally sufficient to establish that the special relationship exception to the public duty doctrine applied, the trial court erred in dismissing the Estate's negligence claim.</w:t>
      </w:r>
      <w:r>
        <w:t xml:space="preserve">” </w:t>
      </w:r>
      <w:hyperlink r:id="rId834" w:history="1">
        <w:r w:rsidRPr="00971037">
          <w:rPr>
            <w:rStyle w:val="Hyperlink"/>
          </w:rPr>
          <w:t>https://cases.justia.com/washington/court-of-appeals-division-i/2026-87600-7.pdf?ts=1780339477</w:t>
        </w:r>
      </w:hyperlink>
      <w:r>
        <w:t xml:space="preserve"> </w:t>
      </w:r>
    </w:p>
    <w:p w14:paraId="7CD907C0" w14:textId="77777777" w:rsidR="009851F6" w:rsidRDefault="009851F6" w:rsidP="009851F6">
      <w:pPr>
        <w:rPr>
          <w:b/>
          <w:bCs/>
        </w:rPr>
      </w:pPr>
      <w:r w:rsidRPr="00B5497E">
        <w:rPr>
          <w:b/>
        </w:rPr>
        <w:t>FACTS:</w:t>
      </w:r>
    </w:p>
    <w:p w14:paraId="2D0B49E9" w14:textId="77777777" w:rsidR="009851F6" w:rsidRPr="00B5497E" w:rsidRDefault="009851F6" w:rsidP="009851F6">
      <w:pPr>
        <w:pStyle w:val="NoSpacing"/>
        <w:rPr>
          <w:bCs/>
        </w:rPr>
      </w:pPr>
      <w:r>
        <w:t>“</w:t>
      </w:r>
      <w:r w:rsidRPr="00B5497E">
        <w:t xml:space="preserve">Tricia Keith Bartlett, individually and as the personal representative of Amber Keith's estate, Dean Bartlett, and Jesse Keith (collectively, the Estate) sued Valley Communications Center (VCC) alleging that VCC employees negligently classified the 911 calls from the Ramada Inn, which reported sounds of murder and a violent struggle as a lower priority, placing the call into a </w:t>
      </w:r>
      <w:r>
        <w:t>‘</w:t>
      </w:r>
      <w:r w:rsidRPr="00B5497E">
        <w:t>hold</w:t>
      </w:r>
      <w:r>
        <w:t>’</w:t>
      </w:r>
      <w:r w:rsidRPr="00B5497E">
        <w:t xml:space="preserve"> status and resulting in a delayed emergency response and Keith's death. The Estate asserted a negligence claim and a negligent supervision and training claim. The trial court dismissed the complaint under CR 12(b)(6), and the Estate appeals. </w:t>
      </w:r>
    </w:p>
    <w:p w14:paraId="251F3E8C" w14:textId="77777777" w:rsidR="009851F6" w:rsidRDefault="009851F6" w:rsidP="009851F6">
      <w:pPr>
        <w:pStyle w:val="NoSpacing"/>
        <w:rPr>
          <w:bCs/>
        </w:rPr>
      </w:pPr>
    </w:p>
    <w:p w14:paraId="3AAF3E9A" w14:textId="77777777" w:rsidR="009851F6" w:rsidRDefault="009851F6" w:rsidP="009851F6">
      <w:pPr>
        <w:pStyle w:val="NoSpacing"/>
        <w:rPr>
          <w:bCs/>
        </w:rPr>
      </w:pPr>
      <w:r>
        <w:t>***</w:t>
      </w:r>
    </w:p>
    <w:p w14:paraId="70016732" w14:textId="77777777" w:rsidR="009851F6" w:rsidRPr="00AE62E6" w:rsidRDefault="009851F6" w:rsidP="009851F6">
      <w:pPr>
        <w:pStyle w:val="NoSpacing"/>
        <w:rPr>
          <w:bCs/>
        </w:rPr>
      </w:pPr>
      <w:r w:rsidRPr="00AE62E6">
        <w:t xml:space="preserve">On June 14, 2021, Keith was the sole registered occupant in room 214 at the Ramada Inn in Kent, Washington. At around 10:30 a.m., the hotel's housekeeper Rosa Yolanda Diaz Pacheco was cleaning room 212 when she heard sounds of a violent struggle from room 214. Other occupants on the floor also heard disturbing and violent sounds coming from room 214. </w:t>
      </w:r>
    </w:p>
    <w:p w14:paraId="00E0CD6C" w14:textId="77777777" w:rsidR="009851F6" w:rsidRDefault="009851F6" w:rsidP="009851F6">
      <w:pPr>
        <w:pStyle w:val="NoSpacing"/>
        <w:rPr>
          <w:bCs/>
        </w:rPr>
      </w:pPr>
      <w:r w:rsidRPr="00AE62E6">
        <w:t>         </w:t>
      </w:r>
    </w:p>
    <w:p w14:paraId="4B355D35" w14:textId="77777777" w:rsidR="009851F6" w:rsidRPr="00AE62E6" w:rsidRDefault="009851F6" w:rsidP="009851F6">
      <w:pPr>
        <w:pStyle w:val="NoSpacing"/>
        <w:rPr>
          <w:bCs/>
        </w:rPr>
      </w:pPr>
      <w:r w:rsidRPr="00AE62E6">
        <w:t xml:space="preserve">Pacheco ran to the front desk to alert security officer Phillip Eugene Roush. Roush's job was to provide security services for the employees and guests at the Ramada Inn. The area had been plagued with violence and crime. </w:t>
      </w:r>
    </w:p>
    <w:p w14:paraId="5945A434" w14:textId="77777777" w:rsidR="009851F6" w:rsidRDefault="009851F6" w:rsidP="009851F6">
      <w:pPr>
        <w:pStyle w:val="NoSpacing"/>
        <w:rPr>
          <w:bCs/>
        </w:rPr>
      </w:pPr>
      <w:r w:rsidRPr="00AE62E6">
        <w:t>        </w:t>
      </w:r>
    </w:p>
    <w:p w14:paraId="5FB93E0C" w14:textId="77777777" w:rsidR="009851F6" w:rsidRDefault="009851F6" w:rsidP="009851F6">
      <w:pPr>
        <w:pStyle w:val="NoSpacing"/>
        <w:rPr>
          <w:bCs/>
        </w:rPr>
      </w:pPr>
      <w:r w:rsidRPr="00AE62E6">
        <w:t xml:space="preserve"> Roush arrived </w:t>
      </w:r>
      <w:proofErr w:type="gramStart"/>
      <w:r w:rsidRPr="00AE62E6">
        <w:t>at</w:t>
      </w:r>
      <w:proofErr w:type="gramEnd"/>
      <w:r w:rsidRPr="00AE62E6">
        <w:t xml:space="preserve"> room 214 and heard screaming and things breaking. Roush heard a female in the room screaming </w:t>
      </w:r>
      <w:r>
        <w:t>‘</w:t>
      </w:r>
      <w:r w:rsidRPr="00AE62E6">
        <w:t>stop choking me,</w:t>
      </w:r>
      <w:r>
        <w:t>’</w:t>
      </w:r>
      <w:r w:rsidRPr="00AE62E6">
        <w:t xml:space="preserve"> </w:t>
      </w:r>
      <w:r>
        <w:t>‘</w:t>
      </w:r>
      <w:r w:rsidRPr="00AE62E6">
        <w:t>stop pushing me,</w:t>
      </w:r>
      <w:r>
        <w:t>’</w:t>
      </w:r>
      <w:r w:rsidRPr="00AE62E6">
        <w:t xml:space="preserve"> and </w:t>
      </w:r>
      <w:r>
        <w:t>‘</w:t>
      </w:r>
      <w:r w:rsidRPr="00AE62E6">
        <w:t>leave me alone.</w:t>
      </w:r>
    </w:p>
    <w:p w14:paraId="608E466C" w14:textId="77777777" w:rsidR="009851F6" w:rsidRPr="00AE62E6" w:rsidRDefault="009851F6" w:rsidP="009851F6">
      <w:pPr>
        <w:pStyle w:val="NoSpacing"/>
        <w:rPr>
          <w:bCs/>
        </w:rPr>
      </w:pPr>
      <w:r w:rsidRPr="00AE62E6">
        <w:t xml:space="preserve"> </w:t>
      </w:r>
    </w:p>
    <w:p w14:paraId="4D3084EF" w14:textId="77777777" w:rsidR="009851F6" w:rsidRDefault="009851F6" w:rsidP="009851F6">
      <w:pPr>
        <w:pStyle w:val="NoSpacing"/>
        <w:rPr>
          <w:bCs/>
        </w:rPr>
      </w:pPr>
      <w:r w:rsidRPr="00AE62E6">
        <w:t xml:space="preserve">After a few minutes, at 10:56 a.m., Roush called the Kent </w:t>
      </w:r>
      <w:proofErr w:type="gramStart"/>
      <w:r w:rsidRPr="00AE62E6">
        <w:t>police</w:t>
      </w:r>
      <w:proofErr w:type="gramEnd"/>
      <w:r w:rsidRPr="00AE62E6">
        <w:t xml:space="preserve"> nonemergency phone number. This connected him with an employee of VCC (VCC Employee 1). Roush told VCC Employee 1 that it sounded like someone </w:t>
      </w:r>
      <w:proofErr w:type="gramStart"/>
      <w:r w:rsidRPr="00AE62E6">
        <w:t>was getting</w:t>
      </w:r>
      <w:proofErr w:type="gramEnd"/>
      <w:r w:rsidRPr="00AE62E6">
        <w:t xml:space="preserve"> murdered in room 214, and he provided the address. Roush said it was violent, like a 911 situation, and said, </w:t>
      </w:r>
      <w:r>
        <w:t>‘</w:t>
      </w:r>
      <w:r w:rsidRPr="00AE62E6">
        <w:t>ASAP</w:t>
      </w:r>
      <w:proofErr w:type="gramStart"/>
      <w:r w:rsidRPr="00AE62E6">
        <w:t>.</w:t>
      </w:r>
      <w:proofErr w:type="gramEnd"/>
      <w:r w:rsidRPr="00AE62E6">
        <w:t xml:space="preserve"> ASAP. Cause somebody's getting murdered over here.</w:t>
      </w:r>
      <w:r>
        <w:t>’</w:t>
      </w:r>
      <w:r w:rsidRPr="00AE62E6">
        <w:t xml:space="preserve"> Roush stated that he did not know who was in the room, but there had been a </w:t>
      </w:r>
      <w:r>
        <w:t>‘</w:t>
      </w:r>
      <w:r w:rsidRPr="00AE62E6">
        <w:t xml:space="preserve">bunch of </w:t>
      </w:r>
      <w:proofErr w:type="gramStart"/>
      <w:r w:rsidRPr="00AE62E6">
        <w:t>transients</w:t>
      </w:r>
      <w:r>
        <w:t>’</w:t>
      </w:r>
      <w:proofErr w:type="gramEnd"/>
      <w:r w:rsidRPr="00AE62E6">
        <w:t xml:space="preserve"> coming into the hotel. </w:t>
      </w:r>
    </w:p>
    <w:p w14:paraId="5968ADA6" w14:textId="77777777" w:rsidR="009851F6" w:rsidRDefault="009851F6" w:rsidP="009851F6">
      <w:pPr>
        <w:pStyle w:val="NoSpacing"/>
        <w:rPr>
          <w:bCs/>
        </w:rPr>
      </w:pPr>
    </w:p>
    <w:p w14:paraId="1FDA9791" w14:textId="77777777" w:rsidR="009851F6" w:rsidRPr="00135DF5" w:rsidRDefault="009851F6" w:rsidP="009851F6">
      <w:pPr>
        <w:pStyle w:val="NoSpacing"/>
        <w:rPr>
          <w:bCs/>
        </w:rPr>
      </w:pPr>
      <w:r w:rsidRPr="00135DF5">
        <w:t xml:space="preserve">VCC Employee 1 said that they were dispatching help and that they would get there as quickly as they can. VCC Employee 1 </w:t>
      </w:r>
      <w:proofErr w:type="gramStart"/>
      <w:r w:rsidRPr="00135DF5">
        <w:t>entered into</w:t>
      </w:r>
      <w:proofErr w:type="gramEnd"/>
      <w:r w:rsidRPr="00135DF5">
        <w:t xml:space="preserve"> CAD that Roush reported sounds of domestic violence, assigned it a priority level 2, and noted that Roush thinks transients are in the room and that there were no weapons. Unknown to Roush, the call was placed into a </w:t>
      </w:r>
      <w:r>
        <w:t>‘</w:t>
      </w:r>
      <w:r w:rsidRPr="00135DF5">
        <w:t>hold</w:t>
      </w:r>
      <w:r>
        <w:t>’</w:t>
      </w:r>
      <w:r w:rsidRPr="00135DF5">
        <w:t xml:space="preserve"> status. </w:t>
      </w:r>
    </w:p>
    <w:p w14:paraId="1FF55C7C" w14:textId="77777777" w:rsidR="009851F6" w:rsidRDefault="009851F6" w:rsidP="009851F6">
      <w:pPr>
        <w:pStyle w:val="NoSpacing"/>
        <w:rPr>
          <w:bCs/>
        </w:rPr>
      </w:pPr>
      <w:r w:rsidRPr="00135DF5">
        <w:t>        </w:t>
      </w:r>
    </w:p>
    <w:p w14:paraId="22E9CD7A" w14:textId="77777777" w:rsidR="009851F6" w:rsidRPr="00135DF5" w:rsidRDefault="009851F6" w:rsidP="009851F6">
      <w:pPr>
        <w:pStyle w:val="NoSpacing"/>
        <w:rPr>
          <w:bCs/>
        </w:rPr>
      </w:pPr>
      <w:r w:rsidRPr="00135DF5">
        <w:t xml:space="preserve">At 11:16 a.m., Roush called the nonemergency line once again, but it never connected, so he hung up. At 11:26 a.m., Roush heard more concerning noises and called the nonemergency line for a third time. </w:t>
      </w:r>
    </w:p>
    <w:p w14:paraId="7E7C7F48" w14:textId="77777777" w:rsidR="009851F6" w:rsidRDefault="009851F6" w:rsidP="009851F6">
      <w:pPr>
        <w:pStyle w:val="NoSpacing"/>
        <w:rPr>
          <w:bCs/>
        </w:rPr>
      </w:pPr>
      <w:r w:rsidRPr="00135DF5">
        <w:t>         </w:t>
      </w:r>
    </w:p>
    <w:p w14:paraId="092BF5AE" w14:textId="77777777" w:rsidR="009851F6" w:rsidRPr="00135DF5" w:rsidRDefault="009851F6" w:rsidP="009851F6">
      <w:pPr>
        <w:pStyle w:val="NoSpacing"/>
        <w:rPr>
          <w:bCs/>
        </w:rPr>
      </w:pPr>
      <w:r w:rsidRPr="00135DF5">
        <w:t xml:space="preserve">The third call was answered by another employee (VCC Employee 2). Roush referred to the incident as domestic violence and said he heard heavy breathing and that it was very bad and that he never heard anything like it. VCC Employee 2 said she would let them know that he called back about the time delay and </w:t>
      </w:r>
      <w:proofErr w:type="gramStart"/>
      <w:r w:rsidRPr="00135DF5">
        <w:t>provide</w:t>
      </w:r>
      <w:proofErr w:type="gramEnd"/>
      <w:r w:rsidRPr="00135DF5">
        <w:t xml:space="preserve"> an update. </w:t>
      </w:r>
    </w:p>
    <w:p w14:paraId="767CC5E3" w14:textId="77777777" w:rsidR="009851F6" w:rsidRDefault="009851F6" w:rsidP="009851F6">
      <w:pPr>
        <w:pStyle w:val="NoSpacing"/>
        <w:rPr>
          <w:bCs/>
        </w:rPr>
      </w:pPr>
      <w:r w:rsidRPr="00135DF5">
        <w:t>        </w:t>
      </w:r>
    </w:p>
    <w:p w14:paraId="2BC07FB7" w14:textId="77777777" w:rsidR="009851F6" w:rsidRDefault="009851F6" w:rsidP="009851F6">
      <w:pPr>
        <w:pStyle w:val="NoSpacing"/>
        <w:rPr>
          <w:bCs/>
        </w:rPr>
      </w:pPr>
      <w:r w:rsidRPr="00135DF5">
        <w:t xml:space="preserve"> A VCC employee then contacted the Kent police over radio requesting that they </w:t>
      </w:r>
      <w:proofErr w:type="gramStart"/>
      <w:r w:rsidRPr="00135DF5">
        <w:t>look into</w:t>
      </w:r>
      <w:proofErr w:type="gramEnd"/>
      <w:r w:rsidRPr="00135DF5">
        <w:t xml:space="preserve"> the holding calls to see if they could provide an anticipated reporting time. This employee told the officer that Roush reported domestic violence among transients in the room. The officer asked if the room was vacant, and the employee said it sounds like it. Meanwhile, Roush heard shallow breathing and then silence. </w:t>
      </w:r>
    </w:p>
    <w:p w14:paraId="12F058D7" w14:textId="77777777" w:rsidR="009851F6" w:rsidRDefault="009851F6" w:rsidP="009851F6">
      <w:pPr>
        <w:pStyle w:val="NoSpacing"/>
        <w:rPr>
          <w:bCs/>
        </w:rPr>
      </w:pPr>
    </w:p>
    <w:p w14:paraId="298CDCEA" w14:textId="77777777" w:rsidR="009851F6" w:rsidRDefault="009851F6" w:rsidP="009851F6">
      <w:pPr>
        <w:pStyle w:val="NoSpacing"/>
        <w:rPr>
          <w:bCs/>
        </w:rPr>
      </w:pPr>
      <w:r w:rsidRPr="001F622F">
        <w:t xml:space="preserve">At 11:43 a.m., Philip Lopez placed a call to 911 and was connected to VCC. Lopez was the one in the room with Keith. Lopez stated that he needed an ambulance because his fiancé overdosed on drugs and was not breathing. VCC placed this call into CAD as priority 1. </w:t>
      </w:r>
    </w:p>
    <w:p w14:paraId="1C03C850" w14:textId="77777777" w:rsidR="009851F6" w:rsidRDefault="009851F6" w:rsidP="009851F6">
      <w:pPr>
        <w:pStyle w:val="NoSpacing"/>
        <w:rPr>
          <w:bCs/>
        </w:rPr>
      </w:pPr>
    </w:p>
    <w:p w14:paraId="58286D98" w14:textId="77777777" w:rsidR="009851F6" w:rsidRDefault="009851F6" w:rsidP="009851F6">
      <w:pPr>
        <w:pStyle w:val="NoSpacing"/>
      </w:pPr>
      <w:r w:rsidRPr="007A7AC0">
        <w:t> Within minutes, emergency personnel and officers arrived on the scene and began life saving measures. Keith was pronounced dead. Lopez was arrested and charged with the assault and murder of Keith.</w:t>
      </w:r>
      <w:r>
        <w:t>”</w:t>
      </w:r>
    </w:p>
    <w:p w14:paraId="22013377" w14:textId="77777777" w:rsidR="009851F6" w:rsidRDefault="009851F6" w:rsidP="009851F6">
      <w:pPr>
        <w:pStyle w:val="NoSpacing"/>
      </w:pPr>
    </w:p>
    <w:p w14:paraId="23202E81" w14:textId="77777777" w:rsidR="009851F6" w:rsidRDefault="009851F6" w:rsidP="009851F6">
      <w:pPr>
        <w:pStyle w:val="NoSpacing"/>
        <w:rPr>
          <w:b/>
          <w:bCs/>
        </w:rPr>
      </w:pPr>
      <w:r w:rsidRPr="007A7AC0">
        <w:rPr>
          <w:b/>
        </w:rPr>
        <w:t>COURT HELD:</w:t>
      </w:r>
    </w:p>
    <w:p w14:paraId="24A4CF46" w14:textId="77777777" w:rsidR="009851F6" w:rsidRDefault="009851F6" w:rsidP="009851F6">
      <w:pPr>
        <w:pStyle w:val="NoSpacing"/>
        <w:rPr>
          <w:b/>
          <w:bCs/>
        </w:rPr>
      </w:pPr>
    </w:p>
    <w:p w14:paraId="61B0840C" w14:textId="77777777" w:rsidR="009851F6" w:rsidRDefault="009851F6" w:rsidP="009851F6">
      <w:pPr>
        <w:pStyle w:val="NoSpacing"/>
      </w:pPr>
      <w:r>
        <w:t>“</w:t>
      </w:r>
      <w:r w:rsidRPr="00B966F3">
        <w:t>The Estate argues that it pleaded sufficient facts to establish that the special relationship exception is applicable and met. We agree.</w:t>
      </w:r>
    </w:p>
    <w:p w14:paraId="4BC6B579" w14:textId="77777777" w:rsidR="009851F6" w:rsidRDefault="009851F6" w:rsidP="009851F6">
      <w:pPr>
        <w:pStyle w:val="NoSpacing"/>
      </w:pPr>
    </w:p>
    <w:p w14:paraId="212CB920" w14:textId="77777777" w:rsidR="009851F6" w:rsidRDefault="009851F6" w:rsidP="009851F6">
      <w:pPr>
        <w:pStyle w:val="NoSpacing"/>
      </w:pPr>
      <w:r w:rsidRPr="00857E0B">
        <w:t xml:space="preserve">The special relationship exception allows tort actions for the negligent performance of public duties if the plaintiff can prove that there are circumstances setting their relationship with the government apart from the </w:t>
      </w:r>
      <w:proofErr w:type="gramStart"/>
      <w:r w:rsidRPr="00857E0B">
        <w:t>general public</w:t>
      </w:r>
      <w:proofErr w:type="gramEnd"/>
      <w:r w:rsidRPr="00857E0B">
        <w:t xml:space="preserve">. </w:t>
      </w:r>
      <w:r w:rsidRPr="00857E0B">
        <w:rPr>
          <w:i/>
          <w:iCs/>
        </w:rPr>
        <w:t>Cummins v. Lewis County</w:t>
      </w:r>
      <w:r w:rsidRPr="00857E0B">
        <w:t xml:space="preserve">, 156 Wn.2d 844, 854, 133 P.3d 458 (2006). A special relationship imposing an actionable duty to perform arises between the plaintiff and a government entity when "'(1) there is a direct contact or privity between the public official and the injured plaintiff which sets the latter apart from the general public, and (2) there are express assurances given by a public official, which (3) gives rise to justifiable reliance on the part of the plaintiff.'" </w:t>
      </w:r>
      <w:r w:rsidRPr="00857E0B">
        <w:rPr>
          <w:i/>
          <w:iCs/>
        </w:rPr>
        <w:t>Cummins</w:t>
      </w:r>
      <w:r w:rsidRPr="00857E0B">
        <w:t xml:space="preserve">, 156 Wn.2d at 854 (internal quotation marks omitted) (quoting </w:t>
      </w:r>
      <w:r w:rsidRPr="00857E0B">
        <w:rPr>
          <w:i/>
          <w:iCs/>
        </w:rPr>
        <w:t>Beal v. City of Seattle</w:t>
      </w:r>
      <w:r w:rsidRPr="00857E0B">
        <w:t>, 134 Wn.2d 769, 785, 954 P.2d 237 (1998)).</w:t>
      </w:r>
    </w:p>
    <w:p w14:paraId="4BC6D61E" w14:textId="77777777" w:rsidR="009851F6" w:rsidRDefault="009851F6" w:rsidP="009851F6">
      <w:pPr>
        <w:pStyle w:val="NoSpacing"/>
      </w:pPr>
    </w:p>
    <w:p w14:paraId="26112068" w14:textId="77777777" w:rsidR="009851F6" w:rsidRDefault="009851F6" w:rsidP="009851F6">
      <w:pPr>
        <w:pStyle w:val="NoSpacing"/>
      </w:pPr>
      <w:r>
        <w:t>***</w:t>
      </w:r>
    </w:p>
    <w:p w14:paraId="7A14F1A5" w14:textId="77777777" w:rsidR="009851F6" w:rsidRPr="00933C46" w:rsidRDefault="009851F6" w:rsidP="009851F6">
      <w:pPr>
        <w:pStyle w:val="NoSpacing"/>
      </w:pPr>
      <w:r w:rsidRPr="00933C46">
        <w:t xml:space="preserve">Here, Roush called VCC two times after the first call when police still had not arrived and he still heard violent sounds from the room. Roush kept his ear up against the door because </w:t>
      </w:r>
      <w:r>
        <w:t>‘</w:t>
      </w:r>
      <w:r w:rsidRPr="00933C46">
        <w:t>he was trying to save Ms. Keith's life.</w:t>
      </w:r>
      <w:r>
        <w:t>’</w:t>
      </w:r>
      <w:r w:rsidRPr="00933C46">
        <w:t xml:space="preserve"> It is also hypothetically conceivable that Roush did not take other action because he believed that emergency assistance was on the way or that Roush informed Keith that help was coming or induced other people not to call 911 because they were on the way. We hold that a plaintiff must prove that justifiable reliance existed by the person to whom the express assurance was given. Therefore, in this case, it was sufficient for the Estate to demonstrate that Roush relied on VCC's express assurance. </w:t>
      </w:r>
    </w:p>
    <w:p w14:paraId="10874C2B" w14:textId="77777777" w:rsidR="009851F6" w:rsidRDefault="009851F6" w:rsidP="009851F6">
      <w:pPr>
        <w:pStyle w:val="NoSpacing"/>
      </w:pPr>
      <w:r w:rsidRPr="00933C46">
        <w:t>         </w:t>
      </w:r>
    </w:p>
    <w:p w14:paraId="3181BF99" w14:textId="77777777" w:rsidR="009851F6" w:rsidRDefault="009851F6" w:rsidP="009851F6">
      <w:pPr>
        <w:pStyle w:val="NoSpacing"/>
      </w:pPr>
      <w:r w:rsidRPr="00933C46">
        <w:t>For these reasons, we reverse the trial court's dismissal of the Estate's negligence claim.</w:t>
      </w:r>
      <w:r>
        <w:t>”</w:t>
      </w:r>
    </w:p>
    <w:p w14:paraId="59A03057" w14:textId="77777777" w:rsidR="009851F6" w:rsidRDefault="009851F6" w:rsidP="009851F6">
      <w:pPr>
        <w:pStyle w:val="NoSpacing"/>
      </w:pPr>
    </w:p>
    <w:p w14:paraId="716B58B0" w14:textId="77777777" w:rsidR="009851F6" w:rsidRPr="00C34465" w:rsidRDefault="009851F6" w:rsidP="009851F6">
      <w:pPr>
        <w:pStyle w:val="NoSpacing"/>
        <w:rPr>
          <w:b/>
          <w:bCs/>
        </w:rPr>
      </w:pPr>
      <w:r w:rsidRPr="00C34465">
        <w:rPr>
          <w:b/>
        </w:rPr>
        <w:t xml:space="preserve">Legal lesson learned: </w:t>
      </w:r>
      <w:r>
        <w:rPr>
          <w:b/>
        </w:rPr>
        <w:t xml:space="preserve">The case will now proceed; unfortunate dispatch error. </w:t>
      </w:r>
    </w:p>
    <w:p w14:paraId="3E364509" w14:textId="77777777" w:rsidR="009851F6" w:rsidRPr="00B966F3" w:rsidRDefault="009851F6" w:rsidP="009851F6">
      <w:pPr>
        <w:pStyle w:val="NoSpacing"/>
      </w:pPr>
    </w:p>
    <w:p w14:paraId="456F7DDD" w14:textId="77777777" w:rsidR="009851F6" w:rsidRDefault="009851F6" w:rsidP="000636AB">
      <w:pPr>
        <w:rPr>
          <w:rStyle w:val="Hyperlink"/>
          <w:rFonts w:ascii="Arial Black" w:hAnsi="Arial Black"/>
          <w:b/>
          <w:color w:val="auto"/>
          <w:sz w:val="24"/>
          <w:szCs w:val="24"/>
          <w:u w:val="none"/>
        </w:rPr>
      </w:pPr>
    </w:p>
    <w:p w14:paraId="66696325" w14:textId="77777777" w:rsidR="009851F6" w:rsidRDefault="009851F6" w:rsidP="000636AB">
      <w:pPr>
        <w:rPr>
          <w:rStyle w:val="Hyperlink"/>
          <w:rFonts w:ascii="Arial Black" w:hAnsi="Arial Black"/>
          <w:b/>
          <w:color w:val="auto"/>
          <w:sz w:val="24"/>
          <w:szCs w:val="24"/>
          <w:u w:val="none"/>
        </w:rPr>
      </w:pPr>
    </w:p>
    <w:p w14:paraId="096A9889" w14:textId="613C6E89" w:rsidR="001E2F50" w:rsidRDefault="00460471"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4-55</w:t>
      </w:r>
    </w:p>
    <w:p w14:paraId="1FB97022" w14:textId="77777777" w:rsidR="001E2F50" w:rsidRPr="00EA06B7" w:rsidRDefault="001E2F50" w:rsidP="001E2F50">
      <w:pPr>
        <w:rPr>
          <w:rFonts w:ascii="Arial Black" w:hAnsi="Arial Black"/>
          <w:b/>
          <w:sz w:val="28"/>
          <w:szCs w:val="28"/>
        </w:rPr>
      </w:pPr>
      <w:r>
        <w:rPr>
          <w:rFonts w:ascii="Arial Black" w:hAnsi="Arial Black"/>
          <w:b/>
          <w:sz w:val="28"/>
          <w:szCs w:val="28"/>
        </w:rPr>
        <w:t xml:space="preserve">CT: WIRES CAR – STATE: ELEC. CO. 1-HR RESP TOO SLOW </w:t>
      </w:r>
    </w:p>
    <w:p w14:paraId="280F8B30" w14:textId="77777777" w:rsidR="001E2F50" w:rsidRDefault="001E2F50" w:rsidP="001E2F50">
      <w:pPr>
        <w:pStyle w:val="NoSpacing"/>
      </w:pPr>
      <w:r>
        <w:t xml:space="preserve">On April 28, 2026, in </w:t>
      </w:r>
      <w:r w:rsidRPr="00750929">
        <w:rPr>
          <w:u w:val="single"/>
        </w:rPr>
        <w:t>The Connecticut Light and Power Company v. Public Utilities Regulatory</w:t>
      </w:r>
      <w:r w:rsidRPr="00E1278D">
        <w:rPr>
          <w:u w:val="single"/>
        </w:rPr>
        <w:t xml:space="preserve"> Authority</w:t>
      </w:r>
      <w:r>
        <w:t xml:space="preserve">, the Supreme Court of Connecticut held (7 to 0) that trial court properly dismissed the </w:t>
      </w:r>
    </w:p>
    <w:p w14:paraId="775B8B2C" w14:textId="77777777" w:rsidR="001E2F50" w:rsidRDefault="001E2F50" w:rsidP="001E2F50">
      <w:pPr>
        <w:pStyle w:val="NoSpacing"/>
        <w:rPr>
          <w:b/>
        </w:rPr>
      </w:pPr>
      <w:r>
        <w:t xml:space="preserve">Power Company’s appeal from PURA order that when responding to Priority 1 calls to shut off power, they must shorten response target time from 60 minutes to 30 minutes.  Jan. 17, </w:t>
      </w:r>
      <w:proofErr w:type="gramStart"/>
      <w:r>
        <w:t>2021</w:t>
      </w:r>
      <w:proofErr w:type="gramEnd"/>
      <w:r>
        <w:t xml:space="preserve"> entrapment;  power company notified at </w:t>
      </w:r>
      <w:r w:rsidRPr="008B23AE">
        <w:t xml:space="preserve">2:21 </w:t>
      </w:r>
      <w:proofErr w:type="spellStart"/>
      <w:r w:rsidRPr="008B23AE">
        <w:t>p.m</w:t>
      </w:r>
      <w:proofErr w:type="spellEnd"/>
      <w:r>
        <w:t xml:space="preserve">; power de-energized at 3:31 pm, and two elderly extricated and transported to trauma center. THE COURT WROTE: “In the present case, PURA exercised its supervisory authority under § 16-11 after determining that changes to the plaintiff’s operational practices were necessary in the public interest. In imposing the directive, PURA concluded that the plaintiff’s existing, </w:t>
      </w:r>
      <w:proofErr w:type="gramStart"/>
      <w:r>
        <w:t>sixty minute</w:t>
      </w:r>
      <w:proofErr w:type="gramEnd"/>
      <w:r>
        <w:t xml:space="preserve"> response target was insufficient, reasoning that, although it ‘understands the [plaintiff’s] hesitation with imposing response deadlines, [p]</w:t>
      </w:r>
      <w:proofErr w:type="spellStart"/>
      <w:r>
        <w:t>riority</w:t>
      </w:r>
      <w:proofErr w:type="spellEnd"/>
      <w:r>
        <w:t xml:space="preserve"> 1 </w:t>
      </w:r>
      <w:proofErr w:type="gramStart"/>
      <w:r>
        <w:t>events</w:t>
      </w:r>
      <w:proofErr w:type="gramEnd"/>
      <w:r>
        <w:t xml:space="preserve"> are life-threatening events that require the [plaintiff’s] immediate response . . . .’ Based on the evidence in the record, including the plaintiff’s response time data and the timeline of its response to the Norfolk accident, PURA determined that a response time target of thirty minutes for priority 1 calls was ‘reasonable and appropriate to better protect public safety.’” </w:t>
      </w:r>
    </w:p>
    <w:p w14:paraId="0DF715EB" w14:textId="77777777" w:rsidR="001E2F50" w:rsidRDefault="001E2F50" w:rsidP="001E2F50">
      <w:pPr>
        <w:pStyle w:val="NoSpacing"/>
      </w:pPr>
      <w:r>
        <w:t xml:space="preserve"> </w:t>
      </w:r>
      <w:hyperlink r:id="rId835" w:history="1">
        <w:r w:rsidRPr="007E383F">
          <w:rPr>
            <w:rStyle w:val="Hyperlink"/>
          </w:rPr>
          <w:t>https://www.jud.ct.gov/external/supapp/Cases/AROcr/CR354/CR354.35.pdf</w:t>
        </w:r>
      </w:hyperlink>
    </w:p>
    <w:p w14:paraId="5B108075" w14:textId="77777777" w:rsidR="001E2F50" w:rsidRDefault="001E2F50" w:rsidP="001E2F50">
      <w:pPr>
        <w:pStyle w:val="NoSpacing"/>
      </w:pPr>
    </w:p>
    <w:p w14:paraId="231CE92A" w14:textId="77777777" w:rsidR="001E2F50" w:rsidRDefault="001E2F50" w:rsidP="001E2F50">
      <w:pPr>
        <w:pStyle w:val="NoSpacing"/>
      </w:pPr>
      <w:r>
        <w:t>THE COURT HELD:</w:t>
      </w:r>
    </w:p>
    <w:p w14:paraId="2729AFE0" w14:textId="77777777" w:rsidR="001E2F50" w:rsidRDefault="001E2F50" w:rsidP="001E2F50">
      <w:pPr>
        <w:pStyle w:val="NoSpacing"/>
      </w:pPr>
    </w:p>
    <w:p w14:paraId="054CE006" w14:textId="77777777" w:rsidR="001E2F50" w:rsidRDefault="001E2F50" w:rsidP="001E2F50">
      <w:pPr>
        <w:pStyle w:val="NoSpacing"/>
        <w:ind w:left="720"/>
      </w:pPr>
      <w:r>
        <w:t>“</w:t>
      </w:r>
      <w:r w:rsidRPr="008B23AE">
        <w:t>The record reveals the following relevant facts and procedural history. On January 17, 2023, at approximately</w:t>
      </w:r>
      <w:r>
        <w:t xml:space="preserve"> </w:t>
      </w:r>
      <w:r w:rsidRPr="008B23AE">
        <w:t>2:21 p.m., municipal first responders were dispatched</w:t>
      </w:r>
      <w:r>
        <w:t xml:space="preserve"> </w:t>
      </w:r>
      <w:r w:rsidRPr="008B23AE">
        <w:t>to 599 East Greenwoods Road in Norfolk to respond to</w:t>
      </w:r>
      <w:r>
        <w:t xml:space="preserve"> </w:t>
      </w:r>
      <w:r w:rsidRPr="008B23AE">
        <w:t>a motor vehicle accident (Norfolk accident). The motor</w:t>
      </w:r>
      <w:r>
        <w:t xml:space="preserve"> </w:t>
      </w:r>
      <w:r w:rsidRPr="008B23AE">
        <w:t>vehicle left the roadway and struck a utility pole owned</w:t>
      </w:r>
      <w:r>
        <w:t xml:space="preserve"> </w:t>
      </w:r>
      <w:r w:rsidRPr="008B23AE">
        <w:t>and maintained by the plaintiff. The collision caused the</w:t>
      </w:r>
      <w:r>
        <w:t xml:space="preserve"> </w:t>
      </w:r>
      <w:r w:rsidRPr="008B23AE">
        <w:t>utility pole to break and resulted in downed electrical</w:t>
      </w:r>
      <w:r>
        <w:t xml:space="preserve"> </w:t>
      </w:r>
      <w:r w:rsidRPr="008B23AE">
        <w:t>conductors in the vicinity of the vehicle, entrapping the</w:t>
      </w:r>
      <w:r>
        <w:t xml:space="preserve"> </w:t>
      </w:r>
      <w:r w:rsidRPr="008B23AE">
        <w:t>two elderly occupants of the vehicle. First responders</w:t>
      </w:r>
      <w:r>
        <w:t xml:space="preserve"> arrived at the scene but did not approach the vehicle to extricate the occupants due to the fallen electrical wires. At approximately 2:23 p.m., the plaintiff’s System Operations Center (SOC) received a call on the E-911 municipal emergency line from Litchfield County dispatch notifying the SOC about the accident. This call was designated a priority 1 call and lasted approximately seven minutes. During and immediately after the call, an SOC operator worked to de-energize the area through</w:t>
      </w:r>
    </w:p>
    <w:p w14:paraId="713AE9C5" w14:textId="77777777" w:rsidR="001E2F50" w:rsidRDefault="001E2F50" w:rsidP="001E2F50">
      <w:pPr>
        <w:pStyle w:val="NoSpacing"/>
        <w:ind w:left="720"/>
      </w:pPr>
      <w:r>
        <w:t>remote operation. Once remote de-energization was achieved, the SOC notified Litchfield County dispatch that the area should be de-energized but must nevertheless be treated as energized until one of the plaintiff’s response specialists arrived at the scene and manually tested the wires.</w:t>
      </w:r>
    </w:p>
    <w:p w14:paraId="7C270F1E" w14:textId="77777777" w:rsidR="001E2F50" w:rsidRDefault="001E2F50" w:rsidP="001E2F50">
      <w:pPr>
        <w:pStyle w:val="NoSpacing"/>
      </w:pPr>
    </w:p>
    <w:p w14:paraId="017BE91D" w14:textId="77777777" w:rsidR="001E2F50" w:rsidRDefault="001E2F50" w:rsidP="001E2F50">
      <w:pPr>
        <w:pStyle w:val="NoSpacing"/>
        <w:ind w:left="720"/>
      </w:pPr>
      <w:r>
        <w:t>At the time of the priority 1 call, the plaintiff had four response specialists on duty in its zone encompassing the town of Norfolk. At 2:31 p.m., SOC assigned a response specialist who was located approximately twenty-six miles away from the accident. That specialist acknowledged the dispatch at 2:32 p.m., departed for Norfolk, and arrived at the scene of the accident at 3:17 p.m.  Between 3:17 and 3:30 p.m., the specialist worked with the SOC to successfully identify and de-energize the involved wires. At  approximately 3:31 p.m., the Norfolk Volunteer Fire Department, Inc., began extrication efforts and removed the occupants from the vehicle at approximately 3:44 and 3:47 p.m., respectively. The occupants were then transported to trauma centers.</w:t>
      </w:r>
    </w:p>
    <w:p w14:paraId="09AAB0B7" w14:textId="77777777" w:rsidR="001E2F50" w:rsidRDefault="001E2F50" w:rsidP="001E2F50">
      <w:pPr>
        <w:pStyle w:val="NoSpacing"/>
        <w:ind w:left="720"/>
      </w:pPr>
    </w:p>
    <w:p w14:paraId="744A1247" w14:textId="77777777" w:rsidR="001E2F50" w:rsidRDefault="001E2F50" w:rsidP="001E2F50">
      <w:pPr>
        <w:pStyle w:val="NoSpacing"/>
        <w:ind w:left="720"/>
      </w:pPr>
      <w:r>
        <w:t>***</w:t>
      </w:r>
    </w:p>
    <w:p w14:paraId="58AC232B" w14:textId="77777777" w:rsidR="001E2F50" w:rsidRDefault="001E2F50" w:rsidP="001E2F50">
      <w:pPr>
        <w:pStyle w:val="NoSpacing"/>
        <w:ind w:left="720"/>
      </w:pPr>
      <w:r w:rsidRPr="00027FAC">
        <w:t>Subsequently, on April 6, 2023, PURA conducted a</w:t>
      </w:r>
      <w:r>
        <w:t xml:space="preserve"> </w:t>
      </w:r>
      <w:r w:rsidRPr="00027FAC">
        <w:t>remote evidentiary hearing in which the plaintiff participated</w:t>
      </w:r>
      <w:r>
        <w:t xml:space="preserve">…. On August 9, 2023, PURA issued its final decision, finding that the plaintiff’s actions in response to the Norfolk accident were ‘imprudent’ and resulted in a delayed response. As a result of these findings, PURA directed the plaintiff to adopt a response time target of thirty minutes for all priority 1 calls and to review and revise its accident response and reporting procedures to ensure compliance with state </w:t>
      </w:r>
      <w:proofErr w:type="gramStart"/>
      <w:r>
        <w:t>law.”</w:t>
      </w:r>
      <w:proofErr w:type="gramEnd"/>
    </w:p>
    <w:p w14:paraId="5ECE041B" w14:textId="77777777" w:rsidR="001E2F50" w:rsidRDefault="001E2F50" w:rsidP="001E2F50">
      <w:pPr>
        <w:pStyle w:val="NoSpacing"/>
        <w:ind w:left="720"/>
      </w:pPr>
    </w:p>
    <w:p w14:paraId="208077B2" w14:textId="77777777" w:rsidR="001E2F50" w:rsidRDefault="001E2F50" w:rsidP="001E2F50">
      <w:pPr>
        <w:pStyle w:val="NoSpacing"/>
        <w:rPr>
          <w:b/>
          <w:bCs/>
        </w:rPr>
      </w:pPr>
      <w:r>
        <w:rPr>
          <w:b/>
        </w:rPr>
        <w:t xml:space="preserve">Legal lesson learned: If your local power company has slow response to Priority 1 calls, invite them to present at meeting of FDs; if </w:t>
      </w:r>
      <w:proofErr w:type="gramStart"/>
      <w:r>
        <w:rPr>
          <w:b/>
        </w:rPr>
        <w:t>no</w:t>
      </w:r>
      <w:proofErr w:type="gramEnd"/>
      <w:r>
        <w:rPr>
          <w:b/>
        </w:rPr>
        <w:t xml:space="preserve"> improvement, consider contacting your state utility agency.</w:t>
      </w:r>
    </w:p>
    <w:p w14:paraId="7B7CB31D" w14:textId="77777777" w:rsidR="001E2F50" w:rsidRDefault="001E2F50" w:rsidP="001E2F50">
      <w:pPr>
        <w:pStyle w:val="NoSpacing"/>
        <w:rPr>
          <w:b/>
          <w:bCs/>
        </w:rPr>
      </w:pPr>
    </w:p>
    <w:p w14:paraId="63279151" w14:textId="77777777" w:rsidR="001E2F50" w:rsidRDefault="001E2F50" w:rsidP="000636AB">
      <w:pPr>
        <w:rPr>
          <w:rStyle w:val="Hyperlink"/>
          <w:rFonts w:ascii="Arial Black" w:hAnsi="Arial Black"/>
          <w:b/>
          <w:color w:val="auto"/>
          <w:sz w:val="24"/>
          <w:szCs w:val="24"/>
          <w:u w:val="none"/>
        </w:rPr>
      </w:pPr>
    </w:p>
    <w:p w14:paraId="6A54E7AA" w14:textId="77777777" w:rsidR="001E2F50" w:rsidRDefault="001E2F50" w:rsidP="000636AB">
      <w:pPr>
        <w:rPr>
          <w:rStyle w:val="Hyperlink"/>
          <w:rFonts w:ascii="Arial Black" w:hAnsi="Arial Black"/>
          <w:b/>
          <w:color w:val="auto"/>
          <w:sz w:val="24"/>
          <w:szCs w:val="24"/>
          <w:u w:val="none"/>
        </w:rPr>
      </w:pPr>
    </w:p>
    <w:p w14:paraId="2D653BF2" w14:textId="77777777" w:rsidR="001E2F50" w:rsidRDefault="001E2F50" w:rsidP="000636AB">
      <w:pPr>
        <w:rPr>
          <w:rStyle w:val="Hyperlink"/>
          <w:rFonts w:ascii="Arial Black" w:hAnsi="Arial Black"/>
          <w:b/>
          <w:color w:val="auto"/>
          <w:sz w:val="24"/>
          <w:szCs w:val="24"/>
          <w:u w:val="none"/>
        </w:rPr>
      </w:pPr>
    </w:p>
    <w:p w14:paraId="5AE6CCA6" w14:textId="564843FE" w:rsidR="00440081" w:rsidRDefault="00440081"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4-54</w:t>
      </w:r>
    </w:p>
    <w:p w14:paraId="4B965CEA" w14:textId="77777777" w:rsidR="00CA14CD" w:rsidRDefault="00CA14CD" w:rsidP="00CA14CD">
      <w:pPr>
        <w:pStyle w:val="NoSpacing"/>
        <w:rPr>
          <w:rFonts w:ascii="Arial Black" w:hAnsi="Arial Black"/>
          <w:sz w:val="28"/>
          <w:szCs w:val="28"/>
        </w:rPr>
      </w:pPr>
      <w:r>
        <w:rPr>
          <w:rFonts w:ascii="Arial Black" w:hAnsi="Arial Black"/>
          <w:sz w:val="28"/>
          <w:szCs w:val="28"/>
        </w:rPr>
        <w:t xml:space="preserve">NC: DIESEL SPILL – TRUCKING CO. NOT TOLD TO CLEAN UP </w:t>
      </w:r>
    </w:p>
    <w:p w14:paraId="627760F6" w14:textId="77777777" w:rsidR="00CA14CD" w:rsidRDefault="00CA14CD" w:rsidP="00CA14CD">
      <w:pPr>
        <w:pStyle w:val="NoSpacing"/>
      </w:pPr>
    </w:p>
    <w:p w14:paraId="18CFA30C" w14:textId="77777777" w:rsidR="00CA14CD" w:rsidRDefault="00CA14CD" w:rsidP="00CA14CD">
      <w:pPr>
        <w:pStyle w:val="NoSpacing"/>
      </w:pPr>
      <w:r>
        <w:t xml:space="preserve">On March 18, 2026, in </w:t>
      </w:r>
      <w:r w:rsidRPr="00C80146">
        <w:rPr>
          <w:u w:val="single"/>
        </w:rPr>
        <w:t>William Fulp Wrecker Service, Inc. v. Fishline Trucking, L.L.C</w:t>
      </w:r>
      <w:r>
        <w:t xml:space="preserve">., the </w:t>
      </w:r>
      <w:r w:rsidRPr="001B06FF">
        <w:t>Court of Appeals of North Carolina</w:t>
      </w:r>
      <w:r>
        <w:t xml:space="preserve"> held (3 to 0) that trial court judge properly granted summary judgment to the trucking company; they were billed </w:t>
      </w:r>
      <w:r w:rsidRPr="00DA0AA4">
        <w:t>$289,707.00</w:t>
      </w:r>
      <w:r>
        <w:t xml:space="preserve">by the wrecker service for the </w:t>
      </w:r>
      <w:proofErr w:type="spellStart"/>
      <w:r>
        <w:t>clean up</w:t>
      </w:r>
      <w:proofErr w:type="spellEnd"/>
      <w:r>
        <w:t>, but the plaintiff “performed the remediation at the direction of government agencies,</w:t>
      </w:r>
    </w:p>
    <w:p w14:paraId="70AEC97D" w14:textId="77777777" w:rsidR="00CA14CD" w:rsidRDefault="00CA14CD" w:rsidP="00CA14CD">
      <w:pPr>
        <w:pStyle w:val="NoSpacing"/>
      </w:pPr>
      <w:r>
        <w:t>and the evidence does not indicate defendant requested, authorized, or knowingly accepted the benefit” and the County’s attempts to impose liability for hazardous material spills</w:t>
      </w:r>
    </w:p>
    <w:p w14:paraId="7C74C135" w14:textId="77777777" w:rsidR="00CA14CD" w:rsidRDefault="00CA14CD" w:rsidP="00CA14CD">
      <w:pPr>
        <w:pStyle w:val="NoSpacing"/>
        <w:rPr>
          <w:b/>
        </w:rPr>
      </w:pPr>
      <w:r>
        <w:t xml:space="preserve">from transportation accidents, it exceeds the county’s regulatory authority (only regulates “nonhazardous solid waste”).  </w:t>
      </w:r>
      <w:hyperlink r:id="rId836" w:history="1">
        <w:r w:rsidRPr="001F11D0">
          <w:rPr>
            <w:rStyle w:val="Hyperlink"/>
            <w:b/>
          </w:rPr>
          <w:t>https://appellate.nccourts.org/opinions/?c=2&amp;pdf=44475</w:t>
        </w:r>
      </w:hyperlink>
      <w:r>
        <w:rPr>
          <w:b/>
        </w:rPr>
        <w:t xml:space="preserve"> </w:t>
      </w:r>
    </w:p>
    <w:p w14:paraId="262517C0" w14:textId="77777777" w:rsidR="00CA14CD" w:rsidRDefault="00CA14CD" w:rsidP="00CA14CD">
      <w:pPr>
        <w:pStyle w:val="NoSpacing"/>
      </w:pPr>
    </w:p>
    <w:p w14:paraId="780CE036" w14:textId="77777777" w:rsidR="00CA14CD" w:rsidRPr="00250277" w:rsidRDefault="00CA14CD" w:rsidP="00CA14CD">
      <w:pPr>
        <w:pStyle w:val="NoSpacing"/>
      </w:pPr>
      <w:r>
        <w:t>THE COURT HELD:  “</w:t>
      </w:r>
      <w:r w:rsidRPr="00250277">
        <w:t xml:space="preserve">On 22 August 2017, a tractor-trailer owned by defendant </w:t>
      </w:r>
      <w:proofErr w:type="spellStart"/>
      <w:r w:rsidRPr="00250277">
        <w:t>Finishline</w:t>
      </w:r>
      <w:proofErr w:type="spellEnd"/>
      <w:r w:rsidRPr="00250277">
        <w:t xml:space="preserve"> Trucking,</w:t>
      </w:r>
      <w:r>
        <w:t xml:space="preserve"> </w:t>
      </w:r>
      <w:r w:rsidRPr="00250277">
        <w:t>L.L.C., overturned in Davie County, North Carolina, resulting in a fire and the</w:t>
      </w:r>
    </w:p>
    <w:p w14:paraId="2102720D" w14:textId="77777777" w:rsidR="00CA14CD" w:rsidRPr="00250277" w:rsidRDefault="00CA14CD" w:rsidP="00CA14CD">
      <w:pPr>
        <w:pStyle w:val="NoSpacing"/>
      </w:pPr>
      <w:r w:rsidRPr="00250277">
        <w:t>release of diesel fuel and other automotive fluids. Emergency responders, including</w:t>
      </w:r>
    </w:p>
    <w:p w14:paraId="75DE2F11" w14:textId="77777777" w:rsidR="00CA14CD" w:rsidRDefault="00CA14CD" w:rsidP="00CA14CD">
      <w:pPr>
        <w:pStyle w:val="NoSpacing"/>
      </w:pPr>
      <w:r w:rsidRPr="00250277">
        <w:t xml:space="preserve">the Davie County Fire Marshal’s Office and Emergency Management </w:t>
      </w:r>
      <w:proofErr w:type="gramStart"/>
      <w:r w:rsidRPr="00250277">
        <w:t>Services</w:t>
      </w:r>
      <w:r>
        <w:t xml:space="preserve"> </w:t>
      </w:r>
      <w:r w:rsidRPr="00250277">
        <w:t>(</w:t>
      </w:r>
      <w:r>
        <w:t>‘</w:t>
      </w:r>
      <w:r w:rsidRPr="00250277">
        <w:t>EMS</w:t>
      </w:r>
      <w:r>
        <w:t>’</w:t>
      </w:r>
      <w:r w:rsidRPr="00250277">
        <w:t>)</w:t>
      </w:r>
      <w:proofErr w:type="gramEnd"/>
      <w:r w:rsidRPr="00250277">
        <w:t>, arrived at the scene. Fire Marshal Jerry Myers determined a cleanup was</w:t>
      </w:r>
      <w:r>
        <w:t xml:space="preserve"> </w:t>
      </w:r>
      <w:r w:rsidRPr="00250277">
        <w:t>necessary and contacted plaintiff William Fulp Wrecker Service, Inc. to assist in</w:t>
      </w:r>
      <w:r>
        <w:t xml:space="preserve"> </w:t>
      </w:r>
      <w:r w:rsidRPr="00250277">
        <w:t>containing and remediating the spill. Plaintiff’s work spanned nine days, involving</w:t>
      </w:r>
      <w:r>
        <w:t xml:space="preserve"> </w:t>
      </w:r>
      <w:r w:rsidRPr="00250277">
        <w:t>personnel, equipment, and oversight from the North Carolina Department of</w:t>
      </w:r>
      <w:r>
        <w:t xml:space="preserve"> </w:t>
      </w:r>
      <w:r w:rsidRPr="00250277">
        <w:t xml:space="preserve">Environmental </w:t>
      </w:r>
      <w:proofErr w:type="gramStart"/>
      <w:r w:rsidRPr="00250277">
        <w:t>Quality</w:t>
      </w:r>
      <w:r>
        <w:t xml:space="preserve"> </w:t>
      </w:r>
      <w:r w:rsidRPr="00250277">
        <w:t>(</w:t>
      </w:r>
      <w:r>
        <w:t>‘</w:t>
      </w:r>
      <w:proofErr w:type="gramEnd"/>
      <w:r w:rsidRPr="00250277">
        <w:t>NCDEQ</w:t>
      </w:r>
      <w:r>
        <w:t>’</w:t>
      </w:r>
      <w:r w:rsidRPr="00250277">
        <w:t>) and a geologist who conducted soil and water</w:t>
      </w:r>
      <w:r>
        <w:t xml:space="preserve"> t</w:t>
      </w:r>
      <w:r w:rsidRPr="00250277">
        <w:t>esting</w:t>
      </w:r>
      <w:r>
        <w:t>.</w:t>
      </w:r>
    </w:p>
    <w:p w14:paraId="67C090EA" w14:textId="77777777" w:rsidR="00CA14CD" w:rsidRDefault="00CA14CD" w:rsidP="00CA14CD">
      <w:pPr>
        <w:pStyle w:val="NoSpacing"/>
      </w:pPr>
    </w:p>
    <w:p w14:paraId="61845705" w14:textId="77777777" w:rsidR="00CA14CD" w:rsidRDefault="00CA14CD" w:rsidP="00CA14CD">
      <w:pPr>
        <w:pStyle w:val="NoSpacing"/>
      </w:pPr>
      <w:r>
        <w:t>***</w:t>
      </w:r>
    </w:p>
    <w:p w14:paraId="2D0B37E1" w14:textId="77777777" w:rsidR="00CA14CD" w:rsidRDefault="00CA14CD" w:rsidP="00CA14CD">
      <w:pPr>
        <w:pStyle w:val="NoSpacing"/>
      </w:pPr>
    </w:p>
    <w:p w14:paraId="226B7D25" w14:textId="77777777" w:rsidR="00CA14CD" w:rsidRDefault="00CA14CD" w:rsidP="00CA14CD">
      <w:pPr>
        <w:pStyle w:val="NoSpacing"/>
      </w:pPr>
      <w:r>
        <w:t xml:space="preserve">Plaintiff contends defendant was aware of and accepted the benefit of the cleanup, citing communications between Kent Fulp, plaintiff’s vice president, and an individual he believed to be Edward Garcia, </w:t>
      </w:r>
      <w:proofErr w:type="spellStart"/>
      <w:r>
        <w:t>Finishline’s</w:t>
      </w:r>
      <w:proofErr w:type="spellEnd"/>
      <w:r>
        <w:t xml:space="preserve"> owner. Plaintiff further states defendant’s representative provided insurance details, indicating an expectation that coverage would apply. Plaintiff sent defendant an invoice for </w:t>
      </w:r>
      <w:r w:rsidRPr="0058656B">
        <w:t xml:space="preserve">$289,707.00 on 14 September 2017 but received no </w:t>
      </w:r>
      <w:proofErr w:type="gramStart"/>
      <w:r w:rsidRPr="0058656B">
        <w:t>payment.</w:t>
      </w:r>
      <w:r>
        <w:t>”</w:t>
      </w:r>
      <w:proofErr w:type="gramEnd"/>
    </w:p>
    <w:p w14:paraId="10ACB615" w14:textId="77777777" w:rsidR="00CA14CD" w:rsidRDefault="00CA14CD" w:rsidP="00CA14CD">
      <w:pPr>
        <w:pStyle w:val="NoSpacing"/>
      </w:pPr>
    </w:p>
    <w:p w14:paraId="4CD1FB9A" w14:textId="77777777" w:rsidR="00CA14CD" w:rsidRPr="003A2413" w:rsidRDefault="00CA14CD" w:rsidP="00CA14CD">
      <w:pPr>
        <w:pStyle w:val="NoSpacing"/>
        <w:rPr>
          <w:b/>
          <w:bCs/>
        </w:rPr>
      </w:pPr>
      <w:r w:rsidRPr="003A2413">
        <w:rPr>
          <w:b/>
        </w:rPr>
        <w:t xml:space="preserve">Legal </w:t>
      </w:r>
      <w:proofErr w:type="gramStart"/>
      <w:r w:rsidRPr="003A2413">
        <w:rPr>
          <w:b/>
        </w:rPr>
        <w:t>lesson</w:t>
      </w:r>
      <w:proofErr w:type="gramEnd"/>
      <w:r w:rsidRPr="003A2413">
        <w:rPr>
          <w:b/>
        </w:rPr>
        <w:t xml:space="preserve"> learned: </w:t>
      </w:r>
      <w:r>
        <w:rPr>
          <w:b/>
        </w:rPr>
        <w:t xml:space="preserve">Incident Commander or other government official should directly contact trucking </w:t>
      </w:r>
      <w:proofErr w:type="gramStart"/>
      <w:r>
        <w:rPr>
          <w:b/>
        </w:rPr>
        <w:t>company</w:t>
      </w:r>
      <w:proofErr w:type="gramEnd"/>
      <w:r>
        <w:rPr>
          <w:b/>
        </w:rPr>
        <w:t xml:space="preserve"> and direct them to start clean-up immediately, with the </w:t>
      </w:r>
      <w:r>
        <w:rPr>
          <w:b/>
          <w:bCs/>
        </w:rPr>
        <w:t xml:space="preserve">certified </w:t>
      </w:r>
      <w:r>
        <w:rPr>
          <w:b/>
        </w:rPr>
        <w:t xml:space="preserve">clean-up company of their choice. </w:t>
      </w:r>
    </w:p>
    <w:p w14:paraId="2EAE10B9" w14:textId="77777777" w:rsidR="00CA14CD" w:rsidRDefault="00CA14CD" w:rsidP="00CA14CD">
      <w:pPr>
        <w:pStyle w:val="NoSpacing"/>
        <w:rPr>
          <w:b/>
        </w:rPr>
      </w:pPr>
    </w:p>
    <w:p w14:paraId="2C02F98D" w14:textId="77777777" w:rsidR="00440081" w:rsidRDefault="00440081" w:rsidP="000636AB">
      <w:pPr>
        <w:rPr>
          <w:rStyle w:val="Hyperlink"/>
          <w:rFonts w:ascii="Arial Black" w:hAnsi="Arial Black"/>
          <w:b/>
          <w:color w:val="auto"/>
          <w:sz w:val="24"/>
          <w:szCs w:val="24"/>
          <w:u w:val="none"/>
        </w:rPr>
      </w:pPr>
    </w:p>
    <w:p w14:paraId="0854E534" w14:textId="77777777" w:rsidR="00440081" w:rsidRDefault="00440081" w:rsidP="000636AB">
      <w:pPr>
        <w:rPr>
          <w:rStyle w:val="Hyperlink"/>
          <w:rFonts w:ascii="Arial Black" w:hAnsi="Arial Black"/>
          <w:b/>
          <w:color w:val="auto"/>
          <w:sz w:val="24"/>
          <w:szCs w:val="24"/>
          <w:u w:val="none"/>
        </w:rPr>
      </w:pPr>
    </w:p>
    <w:p w14:paraId="1115E283" w14:textId="77777777" w:rsidR="00440081" w:rsidRDefault="00440081" w:rsidP="000636AB">
      <w:pPr>
        <w:rPr>
          <w:rStyle w:val="Hyperlink"/>
          <w:rFonts w:ascii="Arial Black" w:hAnsi="Arial Black"/>
          <w:b/>
          <w:color w:val="auto"/>
          <w:sz w:val="24"/>
          <w:szCs w:val="24"/>
          <w:u w:val="none"/>
        </w:rPr>
      </w:pPr>
    </w:p>
    <w:p w14:paraId="3332DC0D" w14:textId="3BE9BD74" w:rsidR="00A221FA" w:rsidRDefault="00A221FA"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4-53</w:t>
      </w:r>
    </w:p>
    <w:p w14:paraId="7EEEADF6" w14:textId="77777777" w:rsidR="00A221FA" w:rsidRPr="00627240" w:rsidRDefault="00A221FA" w:rsidP="00A221FA">
      <w:pPr>
        <w:pStyle w:val="NoSpacing"/>
        <w:rPr>
          <w:rFonts w:ascii="Arial Black" w:hAnsi="Arial Black"/>
          <w:b/>
          <w:sz w:val="28"/>
          <w:szCs w:val="28"/>
        </w:rPr>
      </w:pPr>
      <w:r>
        <w:rPr>
          <w:rFonts w:ascii="Arial Black" w:hAnsi="Arial Black"/>
          <w:b/>
          <w:sz w:val="28"/>
          <w:szCs w:val="28"/>
        </w:rPr>
        <w:t>OR: BEACHIE CREEK FIRE – HELICOPTERS – GOV IMMUNITY</w:t>
      </w:r>
    </w:p>
    <w:p w14:paraId="2594C568" w14:textId="77777777" w:rsidR="00A221FA" w:rsidRDefault="00A221FA" w:rsidP="00A221FA">
      <w:pPr>
        <w:pStyle w:val="NoSpacing"/>
        <w:rPr>
          <w:b/>
        </w:rPr>
      </w:pPr>
    </w:p>
    <w:p w14:paraId="5765F72E" w14:textId="77777777" w:rsidR="00A221FA" w:rsidRDefault="00A221FA" w:rsidP="00A221FA">
      <w:pPr>
        <w:pStyle w:val="NoSpacing"/>
        <w:rPr>
          <w:b/>
        </w:rPr>
      </w:pPr>
      <w:r w:rsidRPr="00AC25BF">
        <w:t xml:space="preserve">On February 9, 2026, in </w:t>
      </w:r>
      <w:r w:rsidRPr="00935D72">
        <w:rPr>
          <w:u w:val="single"/>
        </w:rPr>
        <w:t>Freres Timber, Inc., et al. v. United States of America</w:t>
      </w:r>
      <w:r>
        <w:t xml:space="preserve">, </w:t>
      </w:r>
      <w:r w:rsidRPr="00935D72">
        <w:t>United States Court of Appeals for the Ninth Circuit (San Francisco) held (3 to 0</w:t>
      </w:r>
      <w:r>
        <w:t>; unpublished opinion</w:t>
      </w:r>
      <w:r w:rsidRPr="00935D72">
        <w:t>)</w:t>
      </w:r>
      <w:r>
        <w:t xml:space="preserve"> the Forest Service incident commanders have discretion </w:t>
      </w:r>
      <w:r w:rsidRPr="0016057A">
        <w:t>regarding how to use helicopters and how to mount an attack to fight the Beachie Creek fire</w:t>
      </w:r>
      <w:r>
        <w:t xml:space="preserve"> and Forest Service is immune from liability.  </w:t>
      </w:r>
    </w:p>
    <w:p w14:paraId="7DC875BA" w14:textId="77777777" w:rsidR="00A221FA" w:rsidRDefault="00A221FA" w:rsidP="00A221FA">
      <w:pPr>
        <w:pStyle w:val="NoSpacing"/>
        <w:rPr>
          <w:bCs/>
        </w:rPr>
      </w:pPr>
      <w:r w:rsidRPr="00627240">
        <w:t xml:space="preserve">The Beachie Creek Fire began Aug. 16, </w:t>
      </w:r>
      <w:proofErr w:type="gramStart"/>
      <w:r w:rsidRPr="00627240">
        <w:t>2020</w:t>
      </w:r>
      <w:proofErr w:type="gramEnd"/>
      <w:r>
        <w:t xml:space="preserve"> in the</w:t>
      </w:r>
      <w:r w:rsidRPr="00627240">
        <w:t xml:space="preserve"> Willamette National Forest</w:t>
      </w:r>
      <w:r>
        <w:t>, and a “</w:t>
      </w:r>
      <w:r w:rsidRPr="00627240">
        <w:t>historic windstorm</w:t>
      </w:r>
      <w:r>
        <w:t>”</w:t>
      </w:r>
      <w:r w:rsidRPr="00627240">
        <w:t xml:space="preserve"> on Monday, Sept. 7 caused rapid spread west through the Willamette and Mt. Hood National Forests, and adjacent private lands and communities. </w:t>
      </w:r>
      <w:hyperlink r:id="rId837" w:history="1">
        <w:r w:rsidRPr="00627240">
          <w:rPr>
            <w:rStyle w:val="Hyperlink"/>
          </w:rPr>
          <w:t>https://www.fs.usda.gov/r06/willamette/fire/info/beachie-creek-fire</w:t>
        </w:r>
      </w:hyperlink>
      <w:r w:rsidRPr="00627240">
        <w:t xml:space="preserve"> </w:t>
      </w:r>
    </w:p>
    <w:p w14:paraId="0E594E7E" w14:textId="77777777" w:rsidR="00A221FA" w:rsidRDefault="00A221FA" w:rsidP="00A221FA">
      <w:pPr>
        <w:pStyle w:val="NoSpacing"/>
        <w:rPr>
          <w:bCs/>
        </w:rPr>
      </w:pPr>
    </w:p>
    <w:p w14:paraId="1324FD3C" w14:textId="77777777" w:rsidR="00A221FA" w:rsidRDefault="00A221FA" w:rsidP="00A221FA">
      <w:pPr>
        <w:pStyle w:val="NoSpacing"/>
      </w:pPr>
      <w:r>
        <w:t>THE COURT HELD:  “</w:t>
      </w:r>
      <w:r w:rsidRPr="00CA4832">
        <w:t>Freres Timber, Inc. and Freres Lumber Co., Inc. (</w:t>
      </w:r>
      <w:r>
        <w:t>‘</w:t>
      </w:r>
      <w:r w:rsidRPr="00CA4832">
        <w:t>Freres</w:t>
      </w:r>
      <w:r>
        <w:t>’</w:t>
      </w:r>
      <w:r w:rsidRPr="00CA4832">
        <w:t>) appeal the district court's dismissal of their lawsuit asserting Federal Tort Claims Act (</w:t>
      </w:r>
      <w:r>
        <w:t>‘</w:t>
      </w:r>
      <w:r w:rsidRPr="00CA4832">
        <w:t>FTCA</w:t>
      </w:r>
      <w:r>
        <w:t>’</w:t>
      </w:r>
      <w:r w:rsidRPr="00CA4832">
        <w:t>) claims against the United States Forest Service (</w:t>
      </w:r>
      <w:r>
        <w:t>‘</w:t>
      </w:r>
      <w:r w:rsidRPr="00CA4832">
        <w:t>Forest Service</w:t>
      </w:r>
      <w:r>
        <w:t>’</w:t>
      </w:r>
      <w:r w:rsidRPr="00CA4832">
        <w:t xml:space="preserve">) for its negligent handling of the Beachie Creek fire. Freres also appeals the district court's denial of </w:t>
      </w:r>
      <w:proofErr w:type="spellStart"/>
      <w:r w:rsidRPr="00CA4832">
        <w:t>Freres's</w:t>
      </w:r>
      <w:proofErr w:type="spellEnd"/>
      <w:r w:rsidRPr="00CA4832">
        <w:t xml:space="preserve"> request for jurisdictional discovery. We have jurisdiction under 28 U.S.C. § 1291. We affirm.</w:t>
      </w:r>
      <w:r>
        <w:t xml:space="preserve"> ***  [T]he </w:t>
      </w:r>
    </w:p>
    <w:p w14:paraId="0D13A8E3" w14:textId="77777777" w:rsidR="00A221FA" w:rsidRDefault="00A221FA" w:rsidP="00A221FA">
      <w:pPr>
        <w:pStyle w:val="NoSpacing"/>
      </w:pPr>
      <w:r w:rsidRPr="0016057A">
        <w:t xml:space="preserve">Forest Service's decisions regarding how to use helicopters and how to mount an attack to fight the Beachie Creek fire were discretionary because they involved </w:t>
      </w:r>
      <w:r>
        <w:t>‘</w:t>
      </w:r>
      <w:r w:rsidRPr="0016057A">
        <w:t>an element of judgment or choice.</w:t>
      </w:r>
      <w:r>
        <w:t xml:space="preserve">’ … </w:t>
      </w:r>
      <w:r w:rsidRPr="0016057A">
        <w:t xml:space="preserve">The Forest Service Manual gives broad discretion to the Forest Service to make decisions based on the circumstances of each fire. And Freres does not point to any </w:t>
      </w:r>
      <w:r>
        <w:t>‘</w:t>
      </w:r>
      <w:r w:rsidRPr="0016057A">
        <w:t>federal statute, regulation, or policy [that] specifically prescribes a course of action</w:t>
      </w:r>
      <w:r>
        <w:t>’</w:t>
      </w:r>
      <w:r w:rsidRPr="0016057A">
        <w:t xml:space="preserve"> that the Forest Service must adhere to when fighting a forest fire</w:t>
      </w:r>
      <w:r>
        <w:t xml:space="preserve">…. </w:t>
      </w:r>
      <w:r w:rsidRPr="0016057A">
        <w:t xml:space="preserve">Therefore, determining a fire suppression plan and utilizing available resources inherently involves </w:t>
      </w:r>
      <w:proofErr w:type="gramStart"/>
      <w:r w:rsidRPr="0016057A">
        <w:t>discretion.</w:t>
      </w:r>
      <w:r>
        <w:t>”</w:t>
      </w:r>
      <w:proofErr w:type="gramEnd"/>
    </w:p>
    <w:p w14:paraId="4642C7E2" w14:textId="77777777" w:rsidR="00A221FA" w:rsidRDefault="00A221FA" w:rsidP="00A221FA">
      <w:pPr>
        <w:pStyle w:val="NoSpacing"/>
      </w:pPr>
    </w:p>
    <w:p w14:paraId="0AFB0485" w14:textId="77777777" w:rsidR="00A221FA" w:rsidRPr="00836C0E" w:rsidRDefault="00A221FA" w:rsidP="00A221FA">
      <w:pPr>
        <w:pStyle w:val="NoSpacing"/>
        <w:rPr>
          <w:b/>
          <w:bCs/>
        </w:rPr>
      </w:pPr>
      <w:r>
        <w:rPr>
          <w:b/>
        </w:rPr>
        <w:t>Legal lesson learned: Governmental immunity for discretionary decisions by Forest Service incident commanders.</w:t>
      </w:r>
    </w:p>
    <w:p w14:paraId="5AE90681" w14:textId="77777777" w:rsidR="00A221FA" w:rsidRDefault="00A221FA" w:rsidP="00A221FA">
      <w:pPr>
        <w:pStyle w:val="NoSpacing"/>
        <w:rPr>
          <w:b/>
        </w:rPr>
      </w:pPr>
    </w:p>
    <w:p w14:paraId="38AB78CD" w14:textId="77777777" w:rsidR="00A221FA" w:rsidRDefault="00A221FA" w:rsidP="00A221FA">
      <w:pPr>
        <w:pStyle w:val="NoSpacing"/>
        <w:ind w:left="720"/>
        <w:rPr>
          <w:b/>
        </w:rPr>
      </w:pPr>
      <w:r w:rsidRPr="00E838D0">
        <w:t xml:space="preserve">Note: See </w:t>
      </w:r>
      <w:r>
        <w:t xml:space="preserve">Forest Service </w:t>
      </w:r>
      <w:r w:rsidRPr="00E838D0">
        <w:t>pictures of the fire.</w:t>
      </w:r>
      <w:r>
        <w:rPr>
          <w:b/>
        </w:rPr>
        <w:t xml:space="preserve"> </w:t>
      </w:r>
      <w:hyperlink r:id="rId838" w:history="1">
        <w:r w:rsidRPr="00C72C21">
          <w:rPr>
            <w:rStyle w:val="Hyperlink"/>
            <w:b/>
          </w:rPr>
          <w:t>https://www.fs.usda.gov/r06/willamette/fire/info/beachie-creek-fire</w:t>
        </w:r>
      </w:hyperlink>
      <w:r>
        <w:rPr>
          <w:b/>
        </w:rPr>
        <w:t xml:space="preserve"> </w:t>
      </w:r>
    </w:p>
    <w:p w14:paraId="06AB9137" w14:textId="77777777" w:rsidR="00A221FA" w:rsidRDefault="00A221FA" w:rsidP="000636AB">
      <w:pPr>
        <w:rPr>
          <w:rStyle w:val="Hyperlink"/>
          <w:rFonts w:ascii="Arial Black" w:hAnsi="Arial Black"/>
          <w:b/>
          <w:color w:val="auto"/>
          <w:sz w:val="24"/>
          <w:szCs w:val="24"/>
          <w:u w:val="none"/>
        </w:rPr>
      </w:pPr>
    </w:p>
    <w:p w14:paraId="03E06C9A" w14:textId="77777777" w:rsidR="00A221FA" w:rsidRDefault="00A221FA" w:rsidP="000636AB">
      <w:pPr>
        <w:rPr>
          <w:rStyle w:val="Hyperlink"/>
          <w:rFonts w:ascii="Arial Black" w:hAnsi="Arial Black"/>
          <w:b/>
          <w:color w:val="auto"/>
          <w:sz w:val="24"/>
          <w:szCs w:val="24"/>
          <w:u w:val="none"/>
        </w:rPr>
      </w:pPr>
    </w:p>
    <w:p w14:paraId="1651EF81" w14:textId="77777777" w:rsidR="00A221FA" w:rsidRDefault="00A221FA" w:rsidP="000636AB">
      <w:pPr>
        <w:rPr>
          <w:rStyle w:val="Hyperlink"/>
          <w:rFonts w:ascii="Arial Black" w:hAnsi="Arial Black"/>
          <w:b/>
          <w:color w:val="auto"/>
          <w:sz w:val="24"/>
          <w:szCs w:val="24"/>
          <w:u w:val="none"/>
        </w:rPr>
      </w:pPr>
    </w:p>
    <w:p w14:paraId="787A6B5C" w14:textId="53B3084A" w:rsidR="00EE4CA4" w:rsidRDefault="00EE4CA4"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4-52</w:t>
      </w:r>
    </w:p>
    <w:p w14:paraId="24AF8A65" w14:textId="77777777" w:rsidR="00EE4CA4" w:rsidRPr="00456B6D" w:rsidRDefault="00EE4CA4" w:rsidP="00EE4CA4">
      <w:pPr>
        <w:rPr>
          <w:rFonts w:ascii="Arial Black" w:hAnsi="Arial Black"/>
          <w:sz w:val="28"/>
          <w:szCs w:val="28"/>
        </w:rPr>
      </w:pPr>
      <w:r>
        <w:rPr>
          <w:rFonts w:ascii="Arial Black" w:hAnsi="Arial Black"/>
          <w:sz w:val="28"/>
          <w:szCs w:val="28"/>
        </w:rPr>
        <w:t>MA: CPT NOT PROMOTED – POOR INTERVIEW / DECK GUN</w:t>
      </w:r>
    </w:p>
    <w:p w14:paraId="7D5D031A" w14:textId="77777777" w:rsidR="00EE4CA4" w:rsidRPr="008024F1" w:rsidRDefault="00EE4CA4" w:rsidP="00EE4CA4">
      <w:pPr>
        <w:rPr>
          <w:bCs/>
        </w:rPr>
      </w:pPr>
      <w:r>
        <w:t xml:space="preserve">On November 25, 2025, in </w:t>
      </w:r>
      <w:r w:rsidRPr="002E05C9">
        <w:rPr>
          <w:u w:val="single"/>
        </w:rPr>
        <w:t>Pierre Grenier v. City of Springfield, et al</w:t>
      </w:r>
      <w:r>
        <w:t xml:space="preserve">., U.S. Magistrate Judge Katherine A. Robertson, United State District Court for the District of Massachusetts, granted summary judgment to the City and Fire Commissioner.  Captain Grenier was one of 6 candidates for 5 District Chief positions – promotion interview panel on Jan. 7, </w:t>
      </w:r>
      <w:proofErr w:type="gramStart"/>
      <w:r>
        <w:t>2020</w:t>
      </w:r>
      <w:proofErr w:type="gramEnd"/>
      <w:r>
        <w:t xml:space="preserve">  rated him lowest. The </w:t>
      </w:r>
      <w:proofErr w:type="gramStart"/>
      <w:r>
        <w:t>Captain</w:t>
      </w:r>
      <w:proofErr w:type="gramEnd"/>
      <w:r>
        <w:t xml:space="preserve"> claimed he was not promoted because of his PTSD from three Marine Corps deployments and because of his age (55). THE COURT WROTE: “</w:t>
      </w:r>
      <w:r w:rsidRPr="00107A41">
        <w:t xml:space="preserve">Plaintiff has not pointed to evidence from which a reasonable jury could infer that Plaintiff's disability was a determinative factor in </w:t>
      </w:r>
      <w:r>
        <w:t xml:space="preserve">[Fire Commissioner] </w:t>
      </w:r>
      <w:r w:rsidRPr="00107A41">
        <w:t>Calvi's decision to bypass him for promotion.</w:t>
      </w:r>
      <w:r>
        <w:t xml:space="preserve"> *** </w:t>
      </w:r>
      <w:r w:rsidRPr="00201B47">
        <w:t>Of the six candidates who were interviewed</w:t>
      </w:r>
      <w:r>
        <w:t xml:space="preserve">. </w:t>
      </w:r>
      <w:r w:rsidRPr="00201B47">
        <w:t xml:space="preserve"> Plaintiff received the lowest numerical score (204). </w:t>
      </w:r>
      <w:r>
        <w:t xml:space="preserve"> </w:t>
      </w:r>
      <w:r w:rsidRPr="00201B47">
        <w:t>All the interviewers were consistent in this judgment</w:t>
      </w:r>
      <w:proofErr w:type="gramStart"/>
      <w:r w:rsidRPr="00201B47">
        <w:t>.</w:t>
      </w:r>
      <w:r>
        <w:t>…</w:t>
      </w:r>
      <w:proofErr w:type="gramEnd"/>
      <w:r>
        <w:t xml:space="preserve"> </w:t>
      </w:r>
      <w:r w:rsidRPr="00201B47">
        <w:t>As to the hypothetical fire scene, Plaintiff's answer received a low score from</w:t>
      </w:r>
      <w:r>
        <w:t xml:space="preserve"> [Fire Commissioner]</w:t>
      </w:r>
      <w:r w:rsidRPr="00201B47">
        <w:t xml:space="preserve"> Calvi and the other firefighters on the interview panel</w:t>
      </w:r>
      <w:r>
        <w:t xml:space="preserve">. *** </w:t>
      </w:r>
      <w:r w:rsidRPr="00415CE8">
        <w:t>Plaintiff answered that he would order a deck gun (mainstream) attack from outside the building, a search inside the building from the B and C sides, and the use of hand lines while searching the interior</w:t>
      </w:r>
      <w:r>
        <w:t xml:space="preserve">. </w:t>
      </w:r>
      <w:r w:rsidRPr="00415CE8">
        <w:t>Plaintiff's proposal to use the mainstream repeated the scenario that Calvi had countermanded when he arrived at the Crystal Avenue fire scene</w:t>
      </w:r>
      <w:r>
        <w:t xml:space="preserve"> [</w:t>
      </w:r>
      <w:r w:rsidRPr="00BE736A">
        <w:t>November 5, 2019</w:t>
      </w:r>
      <w:r>
        <w:t xml:space="preserve">]…. </w:t>
      </w:r>
      <w:r w:rsidRPr="00201B47">
        <w:t>Calvi was concerned because Plaintiff's response described the same scenario that worried Calvi when Calvi arrived at the Crystal Avenue fire. Calvi was particularly troubled by Plaintiff's repetition of the dangerous mistake he made at the Crystal Avenue fire, his failure to learn from the coaching that Calvi provided, and the lack of critical thinking skills Plaintiff had displayed during his interview</w:t>
      </w:r>
      <w:r>
        <w:t>….”</w:t>
      </w:r>
      <w:r w:rsidRPr="00201B47">
        <w:t xml:space="preserve"> </w:t>
      </w:r>
      <w:hyperlink r:id="rId839" w:history="1">
        <w:r w:rsidRPr="008024F1">
          <w:rPr>
            <w:rStyle w:val="Hyperlink"/>
          </w:rPr>
          <w:t>https://app.midpage.ai/document/pierre-grenier-v-city-of-11209117?refG=true</w:t>
        </w:r>
      </w:hyperlink>
      <w:r w:rsidRPr="008024F1">
        <w:t xml:space="preserve"> </w:t>
      </w:r>
    </w:p>
    <w:p w14:paraId="744D0869" w14:textId="77777777" w:rsidR="00EE4CA4" w:rsidRDefault="00EE4CA4" w:rsidP="00EE4CA4">
      <w:r>
        <w:t xml:space="preserve"> THE COURT HELD:</w:t>
      </w:r>
    </w:p>
    <w:p w14:paraId="4A4889AC" w14:textId="77777777" w:rsidR="00EE4CA4" w:rsidRDefault="00EE4CA4" w:rsidP="00EE4CA4">
      <w:pPr>
        <w:ind w:left="720"/>
      </w:pPr>
      <w:r>
        <w:t>“</w:t>
      </w:r>
      <w:r w:rsidRPr="0073126F">
        <w:t>Plaintiff appealed Calvi's bypass decision to the Civil Service Commission (</w:t>
      </w:r>
      <w:r>
        <w:t>‘</w:t>
      </w:r>
      <w:r w:rsidRPr="0073126F">
        <w:t>CSC</w:t>
      </w:r>
      <w:r>
        <w:t>’</w:t>
      </w:r>
      <w:r w:rsidRPr="0073126F">
        <w:t>)</w:t>
      </w:r>
      <w:r>
        <w:t xml:space="preserve"> ….</w:t>
      </w:r>
      <w:r w:rsidRPr="0073126F">
        <w:t xml:space="preserve"> The CSC upheld Calvi's decision</w:t>
      </w:r>
      <w:r>
        <w:t xml:space="preserve"> … </w:t>
      </w:r>
      <w:r w:rsidRPr="0073126F">
        <w:t>The Hampden County Superior Court affirmed the CSC's decision; in turn, the Massachusetts Appeals Court affirmed the Superior Court decision</w:t>
      </w:r>
      <w:r>
        <w:t>.</w:t>
      </w:r>
    </w:p>
    <w:p w14:paraId="5BD66A1E" w14:textId="77777777" w:rsidR="00EE4CA4" w:rsidRDefault="00EE4CA4" w:rsidP="00EE4CA4">
      <w:pPr>
        <w:ind w:left="720"/>
      </w:pPr>
      <w:r>
        <w:t>***</w:t>
      </w:r>
    </w:p>
    <w:p w14:paraId="4BB1EA8C" w14:textId="77777777" w:rsidR="00EE4CA4" w:rsidRDefault="00EE4CA4" w:rsidP="00EE4CA4">
      <w:pPr>
        <w:ind w:left="720"/>
      </w:pPr>
      <w:r w:rsidRPr="008A1F2A">
        <w:t>Three candidates who ranked lower than Plaintiff on the Civil Service list - Daley, Marcellin, and Tetreault - bypassed Plaintiff and were promoted</w:t>
      </w:r>
      <w:r>
        <w:t xml:space="preserve">… </w:t>
      </w:r>
      <w:r w:rsidRPr="008A1F2A">
        <w:t>Calvi's January 29, 2020, letter to Plaintiff gave three reasons for the bypass</w:t>
      </w:r>
      <w:r>
        <w:t xml:space="preserve"> … </w:t>
      </w:r>
      <w:r w:rsidRPr="008A1F2A">
        <w:t>that Plaintiff's continuing education was limited to furthering his side job as an electrician</w:t>
      </w:r>
      <w:r>
        <w:t xml:space="preserve"> …</w:t>
      </w:r>
      <w:r w:rsidRPr="008A1F2A">
        <w:t>; that his answer to the hypothetical fire scenario showed his failure to apply his real life experience and the coaching Calvi gave him at the Crystal Avenue fire</w:t>
      </w:r>
      <w:r>
        <w:t xml:space="preserve"> … </w:t>
      </w:r>
      <w:r w:rsidRPr="008A1F2A">
        <w:t>and that Plaintiff's vision for the future of the SFD - no changes necessary - showed a lack of understanding of the department and the ever-changing fire industry</w:t>
      </w:r>
      <w:r>
        <w:t>.”</w:t>
      </w:r>
    </w:p>
    <w:p w14:paraId="037FDB0C" w14:textId="77777777" w:rsidR="00EE4CA4" w:rsidRDefault="00EE4CA4" w:rsidP="00EE4CA4">
      <w:pPr>
        <w:ind w:left="720"/>
      </w:pPr>
      <w:r>
        <w:t>***</w:t>
      </w:r>
    </w:p>
    <w:p w14:paraId="5B031B32" w14:textId="77777777" w:rsidR="00EE4CA4" w:rsidRDefault="00EE4CA4" w:rsidP="00EE4CA4">
      <w:pPr>
        <w:ind w:left="720"/>
      </w:pPr>
      <w:r>
        <w:t>[</w:t>
      </w:r>
      <w:r w:rsidRPr="00415CE8">
        <w:t>C</w:t>
      </w:r>
      <w:r>
        <w:t xml:space="preserve">RYSTAL AVENUE FIRE.] </w:t>
      </w:r>
      <w:r w:rsidRPr="00487D3F">
        <w:t>On November 5, 2019, Plaintiff was acting as a district fire chief when the SFD responded to a house fire at 51 Crystal Avenue</w:t>
      </w:r>
      <w:r>
        <w:t xml:space="preserve">…. </w:t>
      </w:r>
      <w:r w:rsidRPr="00487D3F">
        <w:t>Captain Brian Tetreault, the first ranking officer to arrive at the scene, was in command when Plaintiff arrived</w:t>
      </w:r>
      <w:r>
        <w:t xml:space="preserve"> … </w:t>
      </w:r>
      <w:r w:rsidRPr="00487D3F">
        <w:t xml:space="preserve"> SFD policy directed that an officer who intended to assume command of a fire scene first have a radio or face-to-face conversation with the officer he was relieving before announcing over the radio that he was assuming command</w:t>
      </w:r>
      <w:r>
        <w:t xml:space="preserve"> …. </w:t>
      </w:r>
      <w:r w:rsidRPr="00487D3F">
        <w:t>Plaintiff broadcast that he was in command without speaking to Tetreault in person</w:t>
      </w:r>
      <w:r>
        <w:t xml:space="preserve"> …. </w:t>
      </w:r>
      <w:r w:rsidRPr="00487D3F">
        <w:t>As a result, Plaintiff was confused as to whether he or Tetreault was in command</w:t>
      </w:r>
      <w:r>
        <w:t xml:space="preserve"> …. </w:t>
      </w:r>
      <w:r w:rsidRPr="00487D3F">
        <w:t> Calvi heard about the fire on the radio and responded to Crystal Avenue</w:t>
      </w:r>
      <w:r>
        <w:t xml:space="preserve"> …. </w:t>
      </w:r>
      <w:r w:rsidRPr="00487D3F">
        <w:t xml:space="preserve"> While </w:t>
      </w:r>
      <w:proofErr w:type="spellStart"/>
      <w:r w:rsidRPr="00487D3F">
        <w:t>en</w:t>
      </w:r>
      <w:proofErr w:type="spellEnd"/>
      <w:r w:rsidRPr="00487D3F">
        <w:t xml:space="preserve"> route, Calvi heard Plaintiff's radio announcement that he was at the scene and was taking command</w:t>
      </w:r>
      <w:r>
        <w:t>….</w:t>
      </w:r>
      <w:r w:rsidRPr="00487D3F">
        <w:t xml:space="preserve"> When Calvi arrived, he observed water from the mainstream being sprayed on the fire from outside</w:t>
      </w:r>
      <w:r>
        <w:t xml:space="preserve"> …. </w:t>
      </w:r>
      <w:r w:rsidRPr="00487D3F">
        <w:t xml:space="preserve"> The mainstream water spray posed a danger to firefighters who were entering the building </w:t>
      </w:r>
      <w:r>
        <w:t>….</w:t>
      </w:r>
      <w:r w:rsidRPr="00487D3F">
        <w:t xml:space="preserve"> Calvi approached Plaintiff, asked why the mainstream was being used while firefighters were entering the building, and ordered the mainstream to be shut off</w:t>
      </w:r>
      <w:r>
        <w:t>.</w:t>
      </w:r>
    </w:p>
    <w:p w14:paraId="21374414" w14:textId="77777777" w:rsidR="00EE4CA4" w:rsidRDefault="00EE4CA4" w:rsidP="00EE4CA4">
      <w:pPr>
        <w:ind w:left="720"/>
      </w:pPr>
      <w:r>
        <w:t>***</w:t>
      </w:r>
    </w:p>
    <w:p w14:paraId="603B70DB" w14:textId="77777777" w:rsidR="00EE4CA4" w:rsidRDefault="00EE4CA4" w:rsidP="00EE4CA4">
      <w:pPr>
        <w:ind w:left="720"/>
      </w:pPr>
      <w:r>
        <w:t>[No Age Discrimination.] “</w:t>
      </w:r>
      <w:r w:rsidRPr="00833E05">
        <w:t xml:space="preserve">The </w:t>
      </w:r>
      <w:proofErr w:type="gramStart"/>
      <w:r w:rsidRPr="00833E05">
        <w:t>City</w:t>
      </w:r>
      <w:proofErr w:type="gramEnd"/>
      <w:r w:rsidRPr="00833E05">
        <w:t xml:space="preserve"> argues that it did not fill the position with a younger person because two of the five candidates who were promoted are older than Plaintiff</w:t>
      </w:r>
      <w:r>
        <w:t xml:space="preserve">.… </w:t>
      </w:r>
      <w:r w:rsidRPr="00990CF9">
        <w:t xml:space="preserve">The </w:t>
      </w:r>
      <w:proofErr w:type="gramStart"/>
      <w:r w:rsidRPr="00990CF9">
        <w:t>City</w:t>
      </w:r>
      <w:proofErr w:type="gramEnd"/>
      <w:r w:rsidRPr="00990CF9">
        <w:t xml:space="preserve"> has proffered indicia of admissible evidence showing that Plaintiff's interview performance was a legitimate, nondiscriminatory reason for bypassing him for promotion to district fire chief. Plaintiff has failed to marshal evidence that would justify a reasonable jury in concluding that the City's stated reasons for bypassing him were a pretext for age discrimination.</w:t>
      </w:r>
      <w:r>
        <w:t>”</w:t>
      </w:r>
    </w:p>
    <w:p w14:paraId="6365673C" w14:textId="77777777" w:rsidR="00EE4CA4" w:rsidRDefault="00EE4CA4" w:rsidP="00EE4CA4">
      <w:pPr>
        <w:rPr>
          <w:b/>
          <w:bCs/>
        </w:rPr>
      </w:pPr>
      <w:r>
        <w:rPr>
          <w:b/>
        </w:rPr>
        <w:t xml:space="preserve">Legal lesson learned: The City articulated legitimate nondiscriminatory reasons for not promoting the </w:t>
      </w:r>
      <w:proofErr w:type="gramStart"/>
      <w:r>
        <w:rPr>
          <w:b/>
        </w:rPr>
        <w:t>Captain</w:t>
      </w:r>
      <w:proofErr w:type="gramEnd"/>
      <w:r>
        <w:rPr>
          <w:b/>
        </w:rPr>
        <w:t xml:space="preserve">; and the Fire Commissioner documented those reasons in a timely letter to the </w:t>
      </w:r>
      <w:proofErr w:type="gramStart"/>
      <w:r>
        <w:rPr>
          <w:b/>
        </w:rPr>
        <w:t>Captain</w:t>
      </w:r>
      <w:proofErr w:type="gramEnd"/>
      <w:r>
        <w:rPr>
          <w:b/>
        </w:rPr>
        <w:t xml:space="preserve">. </w:t>
      </w:r>
    </w:p>
    <w:p w14:paraId="1FB443A7" w14:textId="77777777" w:rsidR="00EE4CA4" w:rsidRDefault="00EE4CA4" w:rsidP="000636AB">
      <w:pPr>
        <w:rPr>
          <w:rStyle w:val="Hyperlink"/>
          <w:rFonts w:ascii="Arial Black" w:hAnsi="Arial Black"/>
          <w:b/>
          <w:color w:val="auto"/>
          <w:sz w:val="24"/>
          <w:szCs w:val="24"/>
          <w:u w:val="none"/>
        </w:rPr>
      </w:pPr>
    </w:p>
    <w:p w14:paraId="08A4A724" w14:textId="77777777" w:rsidR="00EE4CA4" w:rsidRDefault="00EE4CA4" w:rsidP="000636AB">
      <w:pPr>
        <w:rPr>
          <w:rStyle w:val="Hyperlink"/>
          <w:rFonts w:ascii="Arial Black" w:hAnsi="Arial Black"/>
          <w:b/>
          <w:color w:val="auto"/>
          <w:sz w:val="24"/>
          <w:szCs w:val="24"/>
          <w:u w:val="none"/>
        </w:rPr>
      </w:pPr>
    </w:p>
    <w:p w14:paraId="670FF0AE" w14:textId="2137E5DF" w:rsidR="00BF588C" w:rsidRDefault="00BF588C"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4-51</w:t>
      </w:r>
    </w:p>
    <w:p w14:paraId="5BD3C4D9" w14:textId="77777777" w:rsidR="00BF588C" w:rsidRPr="00CD4E8D" w:rsidRDefault="00BF588C" w:rsidP="00BF588C">
      <w:pPr>
        <w:rPr>
          <w:rFonts w:ascii="Arial Black" w:hAnsi="Arial Black"/>
          <w:b/>
          <w:sz w:val="28"/>
          <w:szCs w:val="28"/>
        </w:rPr>
      </w:pPr>
      <w:r>
        <w:rPr>
          <w:rFonts w:ascii="Arial Black" w:hAnsi="Arial Black"/>
          <w:b/>
          <w:sz w:val="28"/>
          <w:szCs w:val="28"/>
        </w:rPr>
        <w:t xml:space="preserve">MT: INCIDENT COMM – WILDFIRE – HOMES AT RISK  </w:t>
      </w:r>
    </w:p>
    <w:p w14:paraId="66338D46" w14:textId="77777777" w:rsidR="00BF588C" w:rsidRDefault="00BF588C" w:rsidP="00BF588C">
      <w:pPr>
        <w:pStyle w:val="NoSpacing"/>
        <w:rPr>
          <w:bCs/>
        </w:rPr>
      </w:pPr>
      <w:r>
        <w:t xml:space="preserve">On Sept. 11, 2025, in </w:t>
      </w:r>
      <w:r w:rsidRPr="009F457C">
        <w:rPr>
          <w:u w:val="single"/>
        </w:rPr>
        <w:t>McDonough Family Land, LP, et al. v. The United States of America</w:t>
      </w:r>
      <w:r>
        <w:t>, Judge Elaine D. Kaplan, United States Court of Federal Claims held, after a</w:t>
      </w:r>
      <w:r w:rsidRPr="000A78CF">
        <w:t xml:space="preserve"> four-day trial on liability in Missoula, Montana in December 2024</w:t>
      </w:r>
      <w:r>
        <w:t xml:space="preserve">, that the government not liable to ranchers for loss of timber and other property.  Massive fire; could not allow it to just burn. </w:t>
      </w:r>
    </w:p>
    <w:p w14:paraId="62BFAB77" w14:textId="77777777" w:rsidR="00BF588C" w:rsidRDefault="00BF588C" w:rsidP="00BF588C">
      <w:pPr>
        <w:pStyle w:val="NoSpacing"/>
        <w:rPr>
          <w:bCs/>
        </w:rPr>
      </w:pPr>
    </w:p>
    <w:p w14:paraId="6E21E9CA" w14:textId="77777777" w:rsidR="00BF588C" w:rsidRDefault="00BF588C" w:rsidP="00BF588C">
      <w:pPr>
        <w:pStyle w:val="NoSpacing"/>
      </w:pPr>
      <w:r w:rsidRPr="007056A2">
        <w:rPr>
          <w:b/>
        </w:rPr>
        <w:t>THE COURT HELD:</w:t>
      </w:r>
      <w:r>
        <w:t xml:space="preserve"> “</w:t>
      </w:r>
      <w:r w:rsidRPr="00CD4E8D">
        <w:t>The Court concludes that the Ranches failed to show that had the government just allowed the fire to take its natural course, their property would not have burned. In fact, both the evidence and common sense are to the contrary.</w:t>
      </w:r>
      <w:r>
        <w:t xml:space="preserve"> </w:t>
      </w:r>
      <w:r w:rsidRPr="00D0042C">
        <w:t xml:space="preserve">The Alice Creek Fire was ignited by a lightning strike. It is indisputable that had there been no firefighting response at all, it would have spread naturally based on the available fuel, weather conditions, and topography. The evidence shows that at the end of August and beginning of September 2017, Montana was experiencing extreme drought conditions. It further shows that the </w:t>
      </w:r>
      <w:proofErr w:type="gramStart"/>
      <w:r w:rsidRPr="00D0042C">
        <w:t>fuels</w:t>
      </w:r>
      <w:proofErr w:type="gramEnd"/>
      <w:r w:rsidRPr="00D0042C">
        <w:t xml:space="preserve"> in the area were dry. There were a series of red flag warning days marked by gusty winds. There were reasons to fear that the winds would cause the fire to spread to the east toward homes and infrastructure, threatening the community of Augusta, Montana</w:t>
      </w:r>
      <w:r>
        <w:t xml:space="preserve">…. </w:t>
      </w:r>
      <w:r w:rsidRPr="00D86C0B">
        <w:t> </w:t>
      </w:r>
      <w:proofErr w:type="gramStart"/>
      <w:r w:rsidRPr="00D86C0B">
        <w:t>On the basis of</w:t>
      </w:r>
      <w:proofErr w:type="gramEnd"/>
      <w:r w:rsidRPr="00D86C0B">
        <w:t xml:space="preserve"> the foregoing, the Clerk is directed to enter judgment for the government.</w:t>
      </w:r>
      <w:r>
        <w:t xml:space="preserve">” </w:t>
      </w:r>
      <w:hyperlink r:id="rId840" w:history="1">
        <w:r w:rsidRPr="008D04E3">
          <w:rPr>
            <w:rStyle w:val="Hyperlink"/>
          </w:rPr>
          <w:t>https://cases.justia.com/federal/district-courts/federal-claims/cofce/1:2020cv00368/40658/107/0.pdf?ts=1757681305</w:t>
        </w:r>
      </w:hyperlink>
      <w:r>
        <w:t xml:space="preserve"> </w:t>
      </w:r>
    </w:p>
    <w:p w14:paraId="2612EA5D" w14:textId="77777777" w:rsidR="00BF588C" w:rsidRDefault="00BF588C" w:rsidP="00BF588C">
      <w:pPr>
        <w:rPr>
          <w:bCs/>
        </w:rPr>
      </w:pPr>
    </w:p>
    <w:p w14:paraId="3EB5AE8D" w14:textId="77777777" w:rsidR="00BF588C" w:rsidRDefault="00BF588C" w:rsidP="00BF588C">
      <w:pPr>
        <w:rPr>
          <w:b/>
        </w:rPr>
      </w:pPr>
      <w:r w:rsidRPr="007056A2">
        <w:rPr>
          <w:b/>
        </w:rPr>
        <w:t xml:space="preserve">KEY FACTS: </w:t>
      </w:r>
    </w:p>
    <w:p w14:paraId="5AF63CF9" w14:textId="77777777" w:rsidR="00BF588C" w:rsidRDefault="00BF588C" w:rsidP="00BF588C">
      <w:pPr>
        <w:pStyle w:val="NoSpacing"/>
        <w:ind w:left="720"/>
      </w:pPr>
      <w:r>
        <w:t>“</w:t>
      </w:r>
      <w:r w:rsidRPr="00AD7913">
        <w:t>Plaintiffs, McDonough Family Land, LP, and Ingersoll Ranch, FLP, (“the Ranches”) own</w:t>
      </w:r>
      <w:r>
        <w:t xml:space="preserve"> </w:t>
      </w:r>
      <w:r w:rsidRPr="00AD7913">
        <w:t>real and personal property in Wolf Creek, Montana. They brought this action under the Fifth</w:t>
      </w:r>
      <w:r>
        <w:t xml:space="preserve"> </w:t>
      </w:r>
      <w:r w:rsidRPr="00AD7913">
        <w:t>Amendment’s Takings Clause to secure compensation for the appropriation of certain range</w:t>
      </w:r>
      <w:r>
        <w:t xml:space="preserve"> </w:t>
      </w:r>
      <w:r w:rsidRPr="00AD7913">
        <w:t>forage and timber, which the government used as fuel to conduct firing operations in response to</w:t>
      </w:r>
      <w:r>
        <w:t xml:space="preserve"> </w:t>
      </w:r>
      <w:r w:rsidRPr="00AD7913">
        <w:t xml:space="preserve">the 2017 Alice Creek Fire. See generally Am. </w:t>
      </w:r>
      <w:proofErr w:type="spellStart"/>
      <w:r w:rsidRPr="00AD7913">
        <w:t>Compl</w:t>
      </w:r>
      <w:proofErr w:type="spellEnd"/>
      <w:r w:rsidRPr="00AD7913">
        <w:t>., ECF No. 36.</w:t>
      </w:r>
    </w:p>
    <w:p w14:paraId="338E0FEC" w14:textId="77777777" w:rsidR="00BF588C" w:rsidRDefault="00BF588C" w:rsidP="00BF588C">
      <w:pPr>
        <w:rPr>
          <w:b/>
        </w:rPr>
      </w:pPr>
    </w:p>
    <w:p w14:paraId="6C05A70D" w14:textId="77777777" w:rsidR="00BF588C" w:rsidRPr="0053239C" w:rsidRDefault="00BF588C" w:rsidP="00BF588C">
      <w:pPr>
        <w:pStyle w:val="NoSpacing"/>
      </w:pPr>
      <w:r>
        <w:tab/>
      </w:r>
      <w:r w:rsidRPr="0053239C">
        <w:t>The firing operations (“intentional burns”) were conducted by the Silver City Hotshots</w:t>
      </w:r>
    </w:p>
    <w:p w14:paraId="2FE68127" w14:textId="77777777" w:rsidR="00BF588C" w:rsidRDefault="00BF588C" w:rsidP="00BF588C">
      <w:pPr>
        <w:pStyle w:val="NoSpacing"/>
        <w:ind w:left="720"/>
      </w:pPr>
      <w:r>
        <w:t>(‘</w:t>
      </w:r>
      <w:r w:rsidRPr="0053239C">
        <w:t>the Hotshots</w:t>
      </w:r>
      <w:r>
        <w:t>’</w:t>
      </w:r>
      <w:r w:rsidRPr="0053239C">
        <w:t>), a highly trained and experienced hand crew that uses intentional burns, among</w:t>
      </w:r>
      <w:r>
        <w:t xml:space="preserve"> </w:t>
      </w:r>
      <w:r w:rsidRPr="0053239C">
        <w:t>other techniques, to suppress the spread of wildfires. The Hotshots were called on to the scene at</w:t>
      </w:r>
      <w:r>
        <w:t xml:space="preserve"> </w:t>
      </w:r>
      <w:r w:rsidRPr="0053239C">
        <w:t>the direction of an incident management team led by Russell (</w:t>
      </w:r>
      <w:r>
        <w:t>‘</w:t>
      </w:r>
      <w:r w:rsidRPr="0053239C">
        <w:t>Russ</w:t>
      </w:r>
      <w:r>
        <w:t>’</w:t>
      </w:r>
      <w:r w:rsidRPr="0053239C">
        <w:t>) Bird, an employee of the</w:t>
      </w:r>
      <w:r>
        <w:t xml:space="preserve"> </w:t>
      </w:r>
      <w:r w:rsidRPr="0053239C">
        <w:t>United States Forest Service (</w:t>
      </w:r>
      <w:r>
        <w:t>‘</w:t>
      </w:r>
      <w:r w:rsidRPr="0053239C">
        <w:t>USFS</w:t>
      </w:r>
      <w:r>
        <w:t>’</w:t>
      </w:r>
      <w:r w:rsidRPr="0053239C">
        <w:t>). See McDonough Fam. Land, LP v. United States, 172</w:t>
      </w:r>
      <w:r>
        <w:t xml:space="preserve"> </w:t>
      </w:r>
      <w:r w:rsidRPr="0053239C">
        <w:t>Fed. Cl. 414, 421 (2024) (</w:t>
      </w:r>
      <w:r>
        <w:t>‘</w:t>
      </w:r>
      <w:r w:rsidRPr="0053239C">
        <w:t>McDonough I</w:t>
      </w:r>
      <w:r>
        <w:t>’</w:t>
      </w:r>
      <w:r w:rsidRPr="0053239C">
        <w:t>) (describing role of incident management team and</w:t>
      </w:r>
      <w:r>
        <w:t xml:space="preserve"> </w:t>
      </w:r>
      <w:r w:rsidRPr="0053239C">
        <w:t>USFS in directing the actions alleged to constitute a taking in this case).</w:t>
      </w:r>
    </w:p>
    <w:p w14:paraId="38F59082" w14:textId="77777777" w:rsidR="00BF588C" w:rsidRDefault="00BF588C" w:rsidP="00BF588C">
      <w:pPr>
        <w:pStyle w:val="NoSpacing"/>
        <w:ind w:left="720"/>
      </w:pPr>
    </w:p>
    <w:p w14:paraId="3FB58ED0" w14:textId="77777777" w:rsidR="00BF588C" w:rsidRDefault="00BF588C" w:rsidP="00BF588C">
      <w:pPr>
        <w:pStyle w:val="NoSpacing"/>
        <w:ind w:left="720"/>
      </w:pPr>
      <w:r>
        <w:t>***</w:t>
      </w:r>
    </w:p>
    <w:p w14:paraId="33349542" w14:textId="77777777" w:rsidR="00BF588C" w:rsidRDefault="00BF588C" w:rsidP="00BF588C">
      <w:pPr>
        <w:pStyle w:val="NoSpacing"/>
        <w:ind w:left="720"/>
      </w:pPr>
      <w:r>
        <w:t>On or around July 22, 2017, a lightning strike ignited the Alice Creek Fire in the Helena-</w:t>
      </w:r>
    </w:p>
    <w:p w14:paraId="034EDAB3" w14:textId="77777777" w:rsidR="00BF588C" w:rsidRDefault="00BF588C" w:rsidP="00BF588C">
      <w:pPr>
        <w:pStyle w:val="NoSpacing"/>
        <w:ind w:left="720"/>
      </w:pPr>
      <w:r>
        <w:t xml:space="preserve">Lewis and Clark National Forest, sixteen miles northeast of Lincoln, Montana. Am. Joint Stip. Of </w:t>
      </w:r>
      <w:proofErr w:type="gramStart"/>
      <w:r>
        <w:t>Facts (‘</w:t>
      </w:r>
      <w:proofErr w:type="gramEnd"/>
      <w:r>
        <w:t>SOF’) ¶ 1, ECF No. 79. The fire was fueled by the severe drought conditions that prevailed in the region that summer. There were also ‘[s]</w:t>
      </w:r>
      <w:proofErr w:type="spellStart"/>
      <w:r>
        <w:t>ignificant</w:t>
      </w:r>
      <w:proofErr w:type="spellEnd"/>
      <w:r>
        <w:t xml:space="preserve"> fuel accumulations from dead </w:t>
      </w:r>
      <w:proofErr w:type="gramStart"/>
      <w:r>
        <w:t>trees’</w:t>
      </w:r>
      <w:proofErr w:type="gramEnd"/>
      <w:r>
        <w:t xml:space="preserve"> which were ‘drier than normal for [that] time of year.’ JX29, at 9, ECF No. 99-27 (Wildland Fire Decision Support System (“WFDSS”) Incident Decision, August 25, 2017).</w:t>
      </w:r>
    </w:p>
    <w:p w14:paraId="0328B0B7" w14:textId="77777777" w:rsidR="00BF588C" w:rsidRDefault="00BF588C" w:rsidP="00BF588C">
      <w:pPr>
        <w:pStyle w:val="NoSpacing"/>
        <w:ind w:left="720"/>
      </w:pPr>
    </w:p>
    <w:p w14:paraId="4B100BFD" w14:textId="77777777" w:rsidR="00BF588C" w:rsidRDefault="00BF588C" w:rsidP="00BF588C">
      <w:pPr>
        <w:pStyle w:val="NoSpacing"/>
        <w:ind w:left="720"/>
      </w:pPr>
      <w:r>
        <w:t>***</w:t>
      </w:r>
    </w:p>
    <w:p w14:paraId="41A8B987" w14:textId="77777777" w:rsidR="00BF588C" w:rsidRDefault="00BF588C" w:rsidP="00BF588C">
      <w:pPr>
        <w:pStyle w:val="NoSpacing"/>
        <w:ind w:left="720"/>
      </w:pPr>
      <w:r>
        <w:t>By September 2, the fire had grown to 11,500 acres, with fire and weather conditions</w:t>
      </w:r>
    </w:p>
    <w:p w14:paraId="00E25354" w14:textId="77777777" w:rsidR="00BF588C" w:rsidRDefault="00BF588C" w:rsidP="00BF588C">
      <w:pPr>
        <w:pStyle w:val="NoSpacing"/>
        <w:ind w:left="720"/>
      </w:pPr>
      <w:r>
        <w:t xml:space="preserve">producing an increased risk of fire danger. SOF ¶¶ 23, 24. Dry strong winds from the west were expected to move the main fire east, JX11, at 5, ECF No. 99-11; spot fires persisted as a concern for additional spread, Tr. 767:22–768:2 (Cornwell). The fire behavior forecast predicted even ‘more active’ fire behavior, with ‘stronger </w:t>
      </w:r>
      <w:proofErr w:type="gramStart"/>
      <w:r>
        <w:t>winds’</w:t>
      </w:r>
      <w:proofErr w:type="gramEnd"/>
      <w:r>
        <w:t xml:space="preserve"> potentially driving even farther spot fire ignitions. JX11, at 5.”</w:t>
      </w:r>
    </w:p>
    <w:p w14:paraId="05A3647B" w14:textId="77777777" w:rsidR="00BF588C" w:rsidRPr="007056A2" w:rsidRDefault="00BF588C" w:rsidP="00BF588C">
      <w:pPr>
        <w:rPr>
          <w:b/>
        </w:rPr>
      </w:pPr>
    </w:p>
    <w:p w14:paraId="6852878B" w14:textId="77777777" w:rsidR="00BF588C" w:rsidRPr="00781F8D" w:rsidRDefault="00BF588C" w:rsidP="00BF588C">
      <w:pPr>
        <w:pStyle w:val="NoSpacing"/>
        <w:rPr>
          <w:b/>
          <w:bCs/>
        </w:rPr>
      </w:pPr>
      <w:r>
        <w:rPr>
          <w:b/>
        </w:rPr>
        <w:t>Legal lesson learned:  Incident commanders with U.S. Forest Service kept detailed records of fire growth, and their efforts to save property.</w:t>
      </w:r>
    </w:p>
    <w:p w14:paraId="4126C20F" w14:textId="77777777" w:rsidR="00BF588C" w:rsidRDefault="00BF588C" w:rsidP="00BF588C">
      <w:pPr>
        <w:rPr>
          <w:b/>
        </w:rPr>
      </w:pPr>
    </w:p>
    <w:p w14:paraId="67D05838" w14:textId="170E8675" w:rsidR="008843BB" w:rsidRDefault="008843BB"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4-50</w:t>
      </w:r>
    </w:p>
    <w:p w14:paraId="03E261C2" w14:textId="77777777" w:rsidR="008843BB" w:rsidRPr="000E3803" w:rsidRDefault="008843BB" w:rsidP="008843BB">
      <w:pPr>
        <w:pStyle w:val="NoSpacing"/>
        <w:rPr>
          <w:rFonts w:ascii="Arial Black" w:hAnsi="Arial Black"/>
          <w:bCs/>
          <w:sz w:val="28"/>
          <w:szCs w:val="28"/>
        </w:rPr>
      </w:pPr>
      <w:r>
        <w:rPr>
          <w:rFonts w:ascii="Arial Black" w:hAnsi="Arial Black"/>
          <w:sz w:val="28"/>
          <w:szCs w:val="28"/>
        </w:rPr>
        <w:t xml:space="preserve">MO:  CHIMNEY FIRE – FF RIGHT TO ENTER / CUT THE ROOF </w:t>
      </w:r>
    </w:p>
    <w:p w14:paraId="1ECCFBE9" w14:textId="77777777" w:rsidR="008843BB" w:rsidRDefault="008843BB" w:rsidP="008843BB">
      <w:pPr>
        <w:pStyle w:val="NoSpacing"/>
        <w:rPr>
          <w:bCs/>
        </w:rPr>
      </w:pPr>
    </w:p>
    <w:p w14:paraId="38E8E878" w14:textId="77777777" w:rsidR="008843BB" w:rsidRPr="003F3B30" w:rsidRDefault="008843BB" w:rsidP="008843BB">
      <w:pPr>
        <w:pStyle w:val="NoSpacing"/>
        <w:rPr>
          <w:rFonts w:ascii="Times New Roman" w:hAnsi="Times New Roman"/>
          <w:bCs/>
          <w:sz w:val="24"/>
          <w:szCs w:val="24"/>
        </w:rPr>
      </w:pPr>
      <w:r w:rsidRPr="003F3B30">
        <w:rPr>
          <w:rFonts w:ascii="Times New Roman" w:hAnsi="Times New Roman"/>
          <w:sz w:val="24"/>
          <w:szCs w:val="24"/>
        </w:rPr>
        <w:t xml:space="preserve">On July 25, 2025, in </w:t>
      </w:r>
      <w:r w:rsidRPr="003F3B30">
        <w:rPr>
          <w:rFonts w:ascii="Times New Roman" w:hAnsi="Times New Roman"/>
          <w:sz w:val="24"/>
          <w:szCs w:val="24"/>
          <w:u w:val="single"/>
        </w:rPr>
        <w:t>Gary Gibbs v. City of Sikeston, et al</w:t>
      </w:r>
      <w:r w:rsidRPr="003F3B30">
        <w:rPr>
          <w:rFonts w:ascii="Times New Roman" w:hAnsi="Times New Roman"/>
          <w:sz w:val="24"/>
          <w:szCs w:val="24"/>
        </w:rPr>
        <w:t xml:space="preserve">., Senior U.S. District Court Judge Stephen N. Limbach, Jr., United States District Court for Eastern District of Missouri, granted defense motion to dismiss the lawsuit filed pro se 9no attorney) by the homeowner.  During the morning of Jan. 8, 2021, the homeowner lit a fire in his fireplace and tan began a Zoom call with his employer.  An hour later a neighbor told him his chimney was smoking; Gibbs got a water hose and extinguished fire.  Someone called 911; he told police officer to cancel the fire department and leave his property; the officer refused, ordered him out of his home and fire department made entry over his objections.  THE COURT HELD: “Even if there was no ‘visible’ fire when the first responders arrived after the 911 call, they had a duty to investigate for the public's safety.” </w:t>
      </w:r>
      <w:hyperlink r:id="rId841" w:history="1">
        <w:r w:rsidRPr="003F3B30">
          <w:rPr>
            <w:rStyle w:val="Hyperlink"/>
            <w:rFonts w:ascii="Times New Roman" w:hAnsi="Times New Roman"/>
            <w:sz w:val="24"/>
            <w:szCs w:val="24"/>
          </w:rPr>
          <w:t>https://public.fastcase.com/jaEE2PXzRXmZ99jOLMt1IjaUc7vARjVQ5RdI8he5wvr8CafQJWJ892rNp3h%2B5maD?utm_medium=email&amp;_hsenc=p2ANqtz-9yeYIX9OvUysaWxw5S4NvX23y7n2bM1DKt1TGid5472BDGnDkJHyEbdkJMIqnakyd6KQCi4nGEAs4FOkTAkAKzxnAO3A&amp;_hsmi=226712652&amp;utm_content=226712652&amp;utm_source=hs_email</w:t>
        </w:r>
      </w:hyperlink>
      <w:r w:rsidRPr="003F3B30">
        <w:rPr>
          <w:rFonts w:ascii="Times New Roman" w:hAnsi="Times New Roman"/>
          <w:sz w:val="24"/>
          <w:szCs w:val="24"/>
        </w:rPr>
        <w:t xml:space="preserve"> </w:t>
      </w:r>
    </w:p>
    <w:p w14:paraId="755836D8" w14:textId="77777777" w:rsidR="00D77D85" w:rsidRDefault="00D77D85" w:rsidP="003F3B30">
      <w:pPr>
        <w:pStyle w:val="NoSpacing"/>
        <w:rPr>
          <w:rFonts w:ascii="Times New Roman" w:hAnsi="Times New Roman"/>
          <w:b/>
          <w:sz w:val="24"/>
          <w:szCs w:val="24"/>
        </w:rPr>
      </w:pPr>
    </w:p>
    <w:p w14:paraId="70382C54" w14:textId="27940A34" w:rsidR="003F3B30" w:rsidRPr="003F3B30" w:rsidRDefault="003F3B30" w:rsidP="003F3B30">
      <w:pPr>
        <w:pStyle w:val="NoSpacing"/>
        <w:rPr>
          <w:rFonts w:ascii="Times New Roman" w:hAnsi="Times New Roman"/>
          <w:b/>
          <w:sz w:val="24"/>
          <w:szCs w:val="24"/>
        </w:rPr>
      </w:pPr>
      <w:r w:rsidRPr="003F3B30">
        <w:rPr>
          <w:rFonts w:ascii="Times New Roman" w:hAnsi="Times New Roman"/>
          <w:b/>
          <w:sz w:val="24"/>
          <w:szCs w:val="24"/>
        </w:rPr>
        <w:t xml:space="preserve">Legal lesson learned:  Fire Department had lawful right to enter property, cut roof looking for extension of fire and prevent rekindle. </w:t>
      </w:r>
    </w:p>
    <w:p w14:paraId="36097A71" w14:textId="77777777" w:rsidR="003F3B30" w:rsidRPr="003F3B30" w:rsidRDefault="003F3B30" w:rsidP="003F3B30">
      <w:pPr>
        <w:pStyle w:val="NoSpacing"/>
        <w:rPr>
          <w:rFonts w:ascii="Times New Roman" w:hAnsi="Times New Roman"/>
          <w:b/>
          <w:sz w:val="24"/>
          <w:szCs w:val="24"/>
        </w:rPr>
      </w:pPr>
    </w:p>
    <w:p w14:paraId="24AB187E" w14:textId="77777777" w:rsidR="003F3B30" w:rsidRPr="003F3B30" w:rsidRDefault="003F3B30" w:rsidP="003F3B30">
      <w:pPr>
        <w:pStyle w:val="NoSpacing"/>
        <w:ind w:left="720"/>
        <w:rPr>
          <w:rFonts w:ascii="Times New Roman" w:hAnsi="Times New Roman"/>
          <w:bCs/>
          <w:sz w:val="24"/>
          <w:szCs w:val="24"/>
        </w:rPr>
      </w:pPr>
      <w:r w:rsidRPr="003F3B30">
        <w:rPr>
          <w:rFonts w:ascii="Times New Roman" w:hAnsi="Times New Roman"/>
          <w:sz w:val="24"/>
          <w:szCs w:val="24"/>
        </w:rPr>
        <w:t xml:space="preserve">Note:  Read the U.S. Supreme Court decision in </w:t>
      </w:r>
      <w:r w:rsidRPr="003F3B30">
        <w:rPr>
          <w:rFonts w:ascii="Times New Roman" w:hAnsi="Times New Roman"/>
          <w:sz w:val="24"/>
          <w:szCs w:val="24"/>
          <w:u w:val="single"/>
        </w:rPr>
        <w:t>Michigan v. Clifford</w:t>
      </w:r>
      <w:r w:rsidRPr="003F3B30">
        <w:rPr>
          <w:rFonts w:ascii="Times New Roman" w:hAnsi="Times New Roman"/>
          <w:sz w:val="24"/>
          <w:szCs w:val="24"/>
        </w:rPr>
        <w:t xml:space="preserve"> (1984).  </w:t>
      </w:r>
      <w:hyperlink r:id="rId842" w:history="1">
        <w:r w:rsidRPr="003F3B30">
          <w:rPr>
            <w:rStyle w:val="Hyperlink"/>
            <w:rFonts w:ascii="Times New Roman" w:hAnsi="Times New Roman"/>
            <w:sz w:val="24"/>
            <w:szCs w:val="24"/>
          </w:rPr>
          <w:t>https://supreme.justia.com/cases/federal/us/464/287/</w:t>
        </w:r>
      </w:hyperlink>
      <w:r w:rsidRPr="003F3B30">
        <w:rPr>
          <w:rFonts w:ascii="Times New Roman" w:hAnsi="Times New Roman"/>
          <w:sz w:val="24"/>
          <w:szCs w:val="24"/>
        </w:rPr>
        <w:t xml:space="preserve"> </w:t>
      </w:r>
    </w:p>
    <w:p w14:paraId="52D772A3" w14:textId="77777777" w:rsidR="003F3B30" w:rsidRPr="003F3B30" w:rsidRDefault="003F3B30" w:rsidP="003F3B30">
      <w:pPr>
        <w:pStyle w:val="NoSpacing"/>
        <w:ind w:left="720"/>
        <w:rPr>
          <w:rFonts w:ascii="Times New Roman" w:hAnsi="Times New Roman"/>
          <w:bCs/>
          <w:sz w:val="24"/>
          <w:szCs w:val="24"/>
        </w:rPr>
      </w:pPr>
    </w:p>
    <w:p w14:paraId="2E55C164" w14:textId="77777777" w:rsidR="003F3B30" w:rsidRPr="003F3B30" w:rsidRDefault="003F3B30" w:rsidP="003F3B30">
      <w:pPr>
        <w:pStyle w:val="NoSpacing"/>
        <w:ind w:left="720"/>
        <w:rPr>
          <w:rFonts w:ascii="Times New Roman" w:hAnsi="Times New Roman"/>
          <w:sz w:val="24"/>
          <w:szCs w:val="24"/>
        </w:rPr>
      </w:pPr>
      <w:r w:rsidRPr="003F3B30">
        <w:rPr>
          <w:rFonts w:ascii="Times New Roman" w:hAnsi="Times New Roman"/>
          <w:sz w:val="24"/>
          <w:szCs w:val="24"/>
        </w:rPr>
        <w:t xml:space="preserve">“A burning building of course creates an exigency that justifies a warrantless entry by fire officials to fight the blaze. Moreover, in </w:t>
      </w:r>
      <w:r w:rsidRPr="003F3B30">
        <w:rPr>
          <w:rFonts w:ascii="Times New Roman" w:hAnsi="Times New Roman"/>
          <w:i/>
          <w:iCs/>
          <w:sz w:val="24"/>
          <w:szCs w:val="24"/>
        </w:rPr>
        <w:t>Tyler,</w:t>
      </w:r>
      <w:r w:rsidRPr="003F3B30">
        <w:rPr>
          <w:rFonts w:ascii="Times New Roman" w:hAnsi="Times New Roman"/>
          <w:sz w:val="24"/>
          <w:szCs w:val="24"/>
        </w:rPr>
        <w:t xml:space="preserve"> we held that, once in the building, officials need no warrant to remain …for ‘a reasonable time to investigate the cause of a blaze after it has been extinguished.’ … however, reasonable expectations of privacy remain in the fire-damaged property, additional investigations begun after the fire has been extinguished and fire and police officials have left the scene generally must be made pursuant to a warrant or the identification of some new exigency. The aftermath of a fire often presents exigencies that will not tolerate the delay necessary to obtain a warrant or to secure the owner's consent to inspect fire-damaged premises….Because determining the cause and origin of a fire serves a compelling public interest, the warrant requirement does not apply in such cases.</w:t>
      </w:r>
    </w:p>
    <w:p w14:paraId="2AE8DB91" w14:textId="77777777" w:rsidR="003F3B30" w:rsidRDefault="003F3B30" w:rsidP="003F3B30">
      <w:pPr>
        <w:pStyle w:val="NoSpacing"/>
      </w:pPr>
    </w:p>
    <w:p w14:paraId="72ACC0F3" w14:textId="77777777" w:rsidR="008843BB" w:rsidRDefault="008843BB" w:rsidP="000636AB">
      <w:pPr>
        <w:rPr>
          <w:rStyle w:val="Hyperlink"/>
          <w:rFonts w:ascii="Arial Black" w:hAnsi="Arial Black"/>
          <w:b/>
          <w:color w:val="auto"/>
          <w:sz w:val="24"/>
          <w:szCs w:val="24"/>
          <w:u w:val="none"/>
        </w:rPr>
      </w:pPr>
    </w:p>
    <w:p w14:paraId="5F6B1779" w14:textId="114A83BE" w:rsidR="000636AB" w:rsidRDefault="000636AB"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4-49</w:t>
      </w:r>
    </w:p>
    <w:p w14:paraId="08856BD0" w14:textId="4C008D2C" w:rsidR="000B78DC" w:rsidRDefault="000B78DC" w:rsidP="000B78DC">
      <w:pPr>
        <w:pStyle w:val="NoSpacing"/>
        <w:rPr>
          <w:rFonts w:ascii="Arial Black" w:hAnsi="Arial Black"/>
          <w:sz w:val="28"/>
          <w:szCs w:val="28"/>
        </w:rPr>
      </w:pPr>
      <w:r>
        <w:rPr>
          <w:rFonts w:ascii="Arial Black" w:hAnsi="Arial Black"/>
          <w:sz w:val="28"/>
          <w:szCs w:val="28"/>
        </w:rPr>
        <w:t xml:space="preserve">U.S. SUP. CT: FBI SWAT / WRONG HOUSE – NO </w:t>
      </w:r>
      <w:r w:rsidR="00064669">
        <w:rPr>
          <w:rFonts w:ascii="Arial Black" w:hAnsi="Arial Black"/>
          <w:sz w:val="28"/>
          <w:szCs w:val="28"/>
        </w:rPr>
        <w:t xml:space="preserve">QUAL. </w:t>
      </w:r>
      <w:r>
        <w:rPr>
          <w:rFonts w:ascii="Arial Black" w:hAnsi="Arial Black"/>
          <w:sz w:val="28"/>
          <w:szCs w:val="28"/>
        </w:rPr>
        <w:t xml:space="preserve">IMMUNITY </w:t>
      </w:r>
    </w:p>
    <w:p w14:paraId="665E5BF1" w14:textId="77777777" w:rsidR="00FB1248" w:rsidRDefault="00FB1248" w:rsidP="000B78DC">
      <w:pPr>
        <w:pStyle w:val="NoSpacing"/>
        <w:rPr>
          <w:rFonts w:ascii="Times New Roman" w:hAnsi="Times New Roman"/>
          <w:sz w:val="24"/>
          <w:szCs w:val="24"/>
        </w:rPr>
      </w:pPr>
    </w:p>
    <w:p w14:paraId="0143098B" w14:textId="16D0E142" w:rsidR="000B78DC" w:rsidRPr="00597590" w:rsidRDefault="000B78DC" w:rsidP="000B78DC">
      <w:pPr>
        <w:pStyle w:val="NoSpacing"/>
        <w:rPr>
          <w:rFonts w:ascii="Times New Roman" w:hAnsi="Times New Roman"/>
          <w:sz w:val="24"/>
          <w:szCs w:val="24"/>
        </w:rPr>
      </w:pPr>
      <w:r w:rsidRPr="00597590">
        <w:rPr>
          <w:rFonts w:ascii="Times New Roman" w:hAnsi="Times New Roman"/>
          <w:sz w:val="24"/>
          <w:szCs w:val="24"/>
        </w:rPr>
        <w:t xml:space="preserve">On June 12, 2025, in </w:t>
      </w:r>
      <w:r w:rsidRPr="00597590">
        <w:rPr>
          <w:rFonts w:ascii="Times New Roman" w:hAnsi="Times New Roman"/>
          <w:sz w:val="24"/>
          <w:szCs w:val="24"/>
          <w:u w:val="single"/>
        </w:rPr>
        <w:t>Curtina Martin, individually and next friend of G.W., a minor, et al. v. United States, et al.,</w:t>
      </w:r>
      <w:r w:rsidRPr="00597590">
        <w:rPr>
          <w:rFonts w:ascii="Times New Roman" w:hAnsi="Times New Roman"/>
          <w:sz w:val="24"/>
          <w:szCs w:val="24"/>
        </w:rPr>
        <w:t xml:space="preserve"> the United States Supreme Court held (9 to 0) that lawsuit should be reinstated to allow plaintiffs to sue the Federal government if there is proof of “intentional tort” by the FBI in the October 18, 2017 FBI / SWAT Team raid on wrong house.  The U.S. District Court judge and the 11</w:t>
      </w:r>
      <w:r w:rsidRPr="00597590">
        <w:rPr>
          <w:rFonts w:ascii="Times New Roman" w:hAnsi="Times New Roman"/>
          <w:sz w:val="24"/>
          <w:szCs w:val="24"/>
          <w:vertAlign w:val="superscript"/>
        </w:rPr>
        <w:t>th</w:t>
      </w:r>
      <w:r w:rsidRPr="00597590">
        <w:rPr>
          <w:rFonts w:ascii="Times New Roman" w:hAnsi="Times New Roman"/>
          <w:sz w:val="24"/>
          <w:szCs w:val="24"/>
        </w:rPr>
        <w:t xml:space="preserve"> Circuit (Atlanta) dismissed the lawsuit on basis of the immunity doctrine of “discretionary function.” The U.S. Supreme Court reviewed legislative history of the Federal Tort Claims Act where Congress in 1974 amended the FTCA because of another “wrong address” raid – April 1973, Herbert and Evelyn Giglotto awoke in their Collinsville, Illinois, townhouse 15 state and federal officers.  The Federal Tort Claims Act was amended by Congress</w:t>
      </w:r>
    </w:p>
    <w:p w14:paraId="03D1D226" w14:textId="77777777" w:rsidR="000B78DC" w:rsidRPr="00597590" w:rsidRDefault="000B78DC" w:rsidP="000B78DC">
      <w:pPr>
        <w:pStyle w:val="NoSpacing"/>
        <w:rPr>
          <w:rFonts w:ascii="Times New Roman" w:hAnsi="Times New Roman"/>
          <w:sz w:val="24"/>
          <w:szCs w:val="24"/>
        </w:rPr>
      </w:pPr>
      <w:r w:rsidRPr="00597590">
        <w:rPr>
          <w:rFonts w:ascii="Times New Roman" w:hAnsi="Times New Roman"/>
          <w:sz w:val="24"/>
          <w:szCs w:val="24"/>
        </w:rPr>
        <w:t xml:space="preserve">by adding the “law enforcement proviso” allowing lawsuits for Federal investigative or law enforcement agents who commit any of six intentional torts, including:  assault, battery, false imprisonment, and false arrest, abuse of process, malicious prosecution.  So long as the officer is acting within the scope of his or her employment at the time the tort arises, the waiver of sovereign immunity applies.  THE COURT HELD: “Where does all that leave the case before us? We can say this much: The plaintiffs’ intentional-tort claims survive their encounter with subsection (h) thanks to the law enforcement proviso, as the Eleventh Circuit recognized. But it remains for that court on remand to consider whether subsection (a)’s discretionary-function exception bars either the plaintiffs’ negligent- or intentional-tort claims.” </w:t>
      </w:r>
      <w:hyperlink r:id="rId843" w:history="1">
        <w:r w:rsidRPr="00597590">
          <w:rPr>
            <w:rStyle w:val="Hyperlink"/>
            <w:rFonts w:ascii="Times New Roman" w:hAnsi="Times New Roman"/>
            <w:sz w:val="24"/>
            <w:szCs w:val="24"/>
          </w:rPr>
          <w:t>https://www.supremecourt.gov/opinions/24pdf/24-362_mjn0.pdf</w:t>
        </w:r>
      </w:hyperlink>
      <w:r w:rsidRPr="00597590">
        <w:rPr>
          <w:rFonts w:ascii="Times New Roman" w:hAnsi="Times New Roman"/>
          <w:sz w:val="24"/>
          <w:szCs w:val="24"/>
        </w:rPr>
        <w:t xml:space="preserve"> </w:t>
      </w:r>
    </w:p>
    <w:p w14:paraId="2377A0B5" w14:textId="77777777" w:rsidR="000B78DC" w:rsidRPr="00597590" w:rsidRDefault="000B78DC" w:rsidP="000B78DC">
      <w:pPr>
        <w:pStyle w:val="NoSpacing"/>
        <w:rPr>
          <w:rFonts w:ascii="Times New Roman" w:hAnsi="Times New Roman"/>
          <w:sz w:val="24"/>
          <w:szCs w:val="24"/>
        </w:rPr>
      </w:pPr>
    </w:p>
    <w:p w14:paraId="1655167C" w14:textId="77777777" w:rsidR="00597590" w:rsidRPr="00597590" w:rsidRDefault="00597590" w:rsidP="00597590">
      <w:pPr>
        <w:pStyle w:val="NoSpacing"/>
        <w:rPr>
          <w:rFonts w:ascii="Times New Roman" w:hAnsi="Times New Roman"/>
          <w:b/>
          <w:bCs/>
          <w:sz w:val="24"/>
          <w:szCs w:val="24"/>
        </w:rPr>
      </w:pPr>
      <w:r w:rsidRPr="00597590">
        <w:rPr>
          <w:rFonts w:ascii="Times New Roman" w:hAnsi="Times New Roman"/>
          <w:b/>
          <w:sz w:val="24"/>
          <w:szCs w:val="24"/>
        </w:rPr>
        <w:t>Legal lesson learned:  Similar to FTCA, many states have statutes waiving their sovereign immunity for “intentional torts” by law enforcement and other public employees.</w:t>
      </w:r>
    </w:p>
    <w:p w14:paraId="594C5B80" w14:textId="77777777" w:rsidR="00597590" w:rsidRPr="00597590" w:rsidRDefault="00597590" w:rsidP="00597590">
      <w:pPr>
        <w:pStyle w:val="NoSpacing"/>
        <w:rPr>
          <w:rFonts w:ascii="Times New Roman" w:hAnsi="Times New Roman"/>
          <w:b/>
          <w:bCs/>
          <w:sz w:val="24"/>
          <w:szCs w:val="24"/>
        </w:rPr>
      </w:pPr>
    </w:p>
    <w:p w14:paraId="615F3023" w14:textId="77777777" w:rsidR="00597590" w:rsidRPr="00597590" w:rsidRDefault="00597590" w:rsidP="00597590">
      <w:pPr>
        <w:pStyle w:val="NoSpacing"/>
        <w:ind w:left="720"/>
        <w:rPr>
          <w:rFonts w:ascii="Times New Roman" w:hAnsi="Times New Roman"/>
          <w:sz w:val="24"/>
          <w:szCs w:val="24"/>
        </w:rPr>
      </w:pPr>
      <w:r w:rsidRPr="00597590">
        <w:rPr>
          <w:rFonts w:ascii="Times New Roman" w:hAnsi="Times New Roman"/>
          <w:sz w:val="24"/>
          <w:szCs w:val="24"/>
        </w:rPr>
        <w:t xml:space="preserve">Note:  See more on the “law enforcement proviso” – “The Federal Tort Claims Act (FTCA): A Legal Overview.” </w:t>
      </w:r>
      <w:hyperlink r:id="rId844" w:history="1">
        <w:r w:rsidRPr="00597590">
          <w:rPr>
            <w:rStyle w:val="Hyperlink"/>
            <w:rFonts w:ascii="Times New Roman" w:hAnsi="Times New Roman"/>
            <w:sz w:val="24"/>
            <w:szCs w:val="24"/>
          </w:rPr>
          <w:t>https://www.congress.gov/crs-product/R45732</w:t>
        </w:r>
      </w:hyperlink>
      <w:r w:rsidRPr="00597590">
        <w:rPr>
          <w:rFonts w:ascii="Times New Roman" w:hAnsi="Times New Roman"/>
          <w:sz w:val="24"/>
          <w:szCs w:val="24"/>
        </w:rPr>
        <w:t xml:space="preserve"> </w:t>
      </w:r>
    </w:p>
    <w:p w14:paraId="2E43B196" w14:textId="77777777" w:rsidR="000B78DC" w:rsidRPr="00597590" w:rsidRDefault="000B78DC" w:rsidP="006528FB">
      <w:pPr>
        <w:rPr>
          <w:rFonts w:ascii="Times New Roman" w:hAnsi="Times New Roman"/>
          <w:b/>
          <w:sz w:val="24"/>
          <w:szCs w:val="24"/>
        </w:rPr>
      </w:pPr>
    </w:p>
    <w:p w14:paraId="0CED1D16" w14:textId="77777777" w:rsidR="000B78DC" w:rsidRDefault="000B78DC" w:rsidP="006528FB">
      <w:pPr>
        <w:rPr>
          <w:rFonts w:ascii="Arial Black" w:hAnsi="Arial Black"/>
          <w:b/>
          <w:sz w:val="28"/>
          <w:szCs w:val="28"/>
        </w:rPr>
      </w:pPr>
    </w:p>
    <w:p w14:paraId="2820AC79" w14:textId="58A86CE7" w:rsidR="000B78DC" w:rsidRDefault="000636AB" w:rsidP="006528FB">
      <w:pPr>
        <w:rPr>
          <w:rFonts w:ascii="Arial Black" w:hAnsi="Arial Black"/>
          <w:b/>
          <w:sz w:val="28"/>
          <w:szCs w:val="28"/>
        </w:rPr>
      </w:pPr>
      <w:r>
        <w:rPr>
          <w:rStyle w:val="Hyperlink"/>
          <w:rFonts w:ascii="Arial Black" w:hAnsi="Arial Black"/>
          <w:b/>
          <w:color w:val="auto"/>
          <w:sz w:val="24"/>
          <w:szCs w:val="24"/>
          <w:u w:val="none"/>
        </w:rPr>
        <w:t>4-48</w:t>
      </w:r>
    </w:p>
    <w:p w14:paraId="2FEEE3D2" w14:textId="7F818D8F" w:rsidR="006528FB" w:rsidRPr="009E79D4" w:rsidRDefault="006528FB" w:rsidP="006528FB">
      <w:pPr>
        <w:rPr>
          <w:rFonts w:ascii="Arial Black" w:hAnsi="Arial Black"/>
          <w:b/>
          <w:sz w:val="28"/>
          <w:szCs w:val="28"/>
        </w:rPr>
      </w:pPr>
      <w:r>
        <w:rPr>
          <w:rFonts w:ascii="Arial Black" w:hAnsi="Arial Black"/>
          <w:b/>
          <w:sz w:val="28"/>
          <w:szCs w:val="28"/>
        </w:rPr>
        <w:t xml:space="preserve">TX: LASER BLINDED POLICE COPTER – 37-MO IN PRISON </w:t>
      </w:r>
    </w:p>
    <w:p w14:paraId="7AA6CCA5" w14:textId="77777777" w:rsidR="006528FB" w:rsidRPr="00C342C1" w:rsidRDefault="006528FB" w:rsidP="006528FB">
      <w:pPr>
        <w:pStyle w:val="NoSpacing"/>
        <w:rPr>
          <w:rFonts w:ascii="Times New Roman" w:hAnsi="Times New Roman"/>
          <w:bCs/>
          <w:sz w:val="24"/>
          <w:szCs w:val="24"/>
        </w:rPr>
      </w:pPr>
      <w:r w:rsidRPr="00C342C1">
        <w:rPr>
          <w:rFonts w:ascii="Times New Roman" w:hAnsi="Times New Roman"/>
          <w:sz w:val="24"/>
          <w:szCs w:val="24"/>
        </w:rPr>
        <w:t xml:space="preserve">On June 5, 2025, in </w:t>
      </w:r>
      <w:r w:rsidRPr="00C342C1">
        <w:rPr>
          <w:rFonts w:ascii="Times New Roman" w:hAnsi="Times New Roman"/>
          <w:sz w:val="24"/>
          <w:szCs w:val="24"/>
          <w:u w:val="single"/>
        </w:rPr>
        <w:t>United States of America v. Sandra Roberson</w:t>
      </w:r>
      <w:r w:rsidRPr="00C342C1">
        <w:rPr>
          <w:rFonts w:ascii="Times New Roman" w:hAnsi="Times New Roman"/>
          <w:sz w:val="24"/>
          <w:szCs w:val="24"/>
        </w:rPr>
        <w:t>, the United States Court of Appeals for the Fifth Circuit (New Orleans) held (3 to 0) that sentence was appropriate; the defendant had plead guilty to Federal offense.  On November 3, 2023, at approximately 10:20 p.m., two San Antonio Police Department officers were travelling via police helicopter</w:t>
      </w:r>
    </w:p>
    <w:p w14:paraId="6C05E294" w14:textId="77777777" w:rsidR="006528FB" w:rsidRPr="00C342C1" w:rsidRDefault="006528FB" w:rsidP="006528FB">
      <w:pPr>
        <w:pStyle w:val="NoSpacing"/>
        <w:rPr>
          <w:rFonts w:ascii="Times New Roman" w:hAnsi="Times New Roman"/>
          <w:bCs/>
          <w:sz w:val="24"/>
          <w:szCs w:val="24"/>
        </w:rPr>
      </w:pPr>
      <w:r w:rsidRPr="00C342C1">
        <w:rPr>
          <w:rFonts w:ascii="Times New Roman" w:hAnsi="Times New Roman"/>
          <w:sz w:val="24"/>
          <w:szCs w:val="24"/>
        </w:rPr>
        <w:t xml:space="preserve">to support other officers responding to a shooting call. In the police helicopter, when an intense green laser began persistently striking the helicopter causing temporary flash blindness.  THE COURT HELD: “In sum, because her arguments are entirely contradicted by the record evidence, we are unconvinced that Roberson was not subjectively aware of the risk posed to the police helicopter when she continuously struck it with a laser for at least five minutes, forcing it to abruptly divert its path.” </w:t>
      </w:r>
      <w:hyperlink r:id="rId845" w:history="1">
        <w:r w:rsidRPr="00C342C1">
          <w:rPr>
            <w:rStyle w:val="Hyperlink"/>
            <w:rFonts w:ascii="Times New Roman" w:hAnsi="Times New Roman"/>
            <w:sz w:val="24"/>
            <w:szCs w:val="24"/>
          </w:rPr>
          <w:t>https://cases.justia.com/federal/appellate-courts/ca5/24-50970/24-50970-2025-06-05.pdf?ts=1749144644</w:t>
        </w:r>
      </w:hyperlink>
      <w:r w:rsidRPr="00C342C1">
        <w:rPr>
          <w:rFonts w:ascii="Times New Roman" w:hAnsi="Times New Roman"/>
          <w:sz w:val="24"/>
          <w:szCs w:val="24"/>
        </w:rPr>
        <w:t xml:space="preserve"> </w:t>
      </w:r>
    </w:p>
    <w:p w14:paraId="38D245B9" w14:textId="77777777" w:rsidR="006528FB" w:rsidRPr="00C342C1" w:rsidRDefault="006528FB" w:rsidP="006528FB">
      <w:pPr>
        <w:pStyle w:val="NoSpacing"/>
        <w:rPr>
          <w:rFonts w:ascii="Times New Roman" w:hAnsi="Times New Roman"/>
          <w:bCs/>
          <w:sz w:val="24"/>
          <w:szCs w:val="24"/>
        </w:rPr>
      </w:pPr>
    </w:p>
    <w:p w14:paraId="75C98AB8" w14:textId="77777777" w:rsidR="006528FB" w:rsidRPr="00C342C1" w:rsidRDefault="006528FB" w:rsidP="006528FB">
      <w:pPr>
        <w:pStyle w:val="NoSpacing"/>
        <w:rPr>
          <w:rFonts w:ascii="Times New Roman" w:hAnsi="Times New Roman"/>
          <w:b/>
          <w:bCs/>
          <w:sz w:val="24"/>
          <w:szCs w:val="24"/>
        </w:rPr>
      </w:pPr>
      <w:r w:rsidRPr="00C342C1">
        <w:rPr>
          <w:rFonts w:ascii="Times New Roman" w:hAnsi="Times New Roman"/>
          <w:b/>
          <w:sz w:val="24"/>
          <w:szCs w:val="24"/>
        </w:rPr>
        <w:t xml:space="preserve">Legal lesson learned: Pointing a laser at a helicopter or other aircraft is incredibly dangerous. </w:t>
      </w:r>
    </w:p>
    <w:p w14:paraId="4FDB9DBE" w14:textId="77777777" w:rsidR="006528FB" w:rsidRPr="00C342C1" w:rsidRDefault="006528FB" w:rsidP="006528FB">
      <w:pPr>
        <w:pStyle w:val="NoSpacing"/>
        <w:rPr>
          <w:rFonts w:ascii="Times New Roman" w:hAnsi="Times New Roman"/>
          <w:b/>
          <w:bCs/>
          <w:sz w:val="24"/>
          <w:szCs w:val="24"/>
        </w:rPr>
      </w:pPr>
    </w:p>
    <w:p w14:paraId="373F6741" w14:textId="77777777" w:rsidR="006528FB" w:rsidRPr="00C342C1" w:rsidRDefault="006528FB" w:rsidP="006528FB">
      <w:pPr>
        <w:pStyle w:val="NoSpacing"/>
        <w:ind w:left="720"/>
        <w:rPr>
          <w:rFonts w:ascii="Times New Roman" w:hAnsi="Times New Roman"/>
          <w:sz w:val="24"/>
          <w:szCs w:val="24"/>
        </w:rPr>
      </w:pPr>
      <w:r w:rsidRPr="00C342C1">
        <w:rPr>
          <w:rFonts w:ascii="Times New Roman" w:hAnsi="Times New Roman"/>
          <w:sz w:val="24"/>
          <w:szCs w:val="24"/>
        </w:rPr>
        <w:t xml:space="preserve">Note: The Court noted that the defendant, </w:t>
      </w:r>
      <w:proofErr w:type="gramStart"/>
      <w:r w:rsidRPr="00C342C1">
        <w:rPr>
          <w:rFonts w:ascii="Times New Roman" w:hAnsi="Times New Roman"/>
          <w:sz w:val="24"/>
          <w:szCs w:val="24"/>
        </w:rPr>
        <w:t>age</w:t>
      </w:r>
      <w:proofErr w:type="gramEnd"/>
      <w:r w:rsidRPr="00C342C1">
        <w:rPr>
          <w:rFonts w:ascii="Times New Roman" w:hAnsi="Times New Roman"/>
          <w:sz w:val="24"/>
          <w:szCs w:val="24"/>
        </w:rPr>
        <w:t xml:space="preserve"> 60 at the time of the offense, had quite a criminal record. </w:t>
      </w:r>
    </w:p>
    <w:p w14:paraId="1668EB4D" w14:textId="77777777" w:rsidR="006528FB" w:rsidRPr="00C342C1" w:rsidRDefault="006528FB" w:rsidP="006528FB">
      <w:pPr>
        <w:pStyle w:val="NoSpacing"/>
        <w:ind w:left="720"/>
        <w:rPr>
          <w:rFonts w:ascii="Times New Roman" w:hAnsi="Times New Roman"/>
          <w:sz w:val="24"/>
          <w:szCs w:val="24"/>
        </w:rPr>
      </w:pPr>
      <w:r w:rsidRPr="00C342C1">
        <w:rPr>
          <w:rFonts w:ascii="Times New Roman" w:hAnsi="Times New Roman"/>
          <w:sz w:val="24"/>
          <w:szCs w:val="24"/>
        </w:rPr>
        <w:t>“As her PSR [</w:t>
      </w:r>
      <w:proofErr w:type="spellStart"/>
      <w:r w:rsidRPr="00C342C1">
        <w:rPr>
          <w:rFonts w:ascii="Times New Roman" w:hAnsi="Times New Roman"/>
          <w:sz w:val="24"/>
          <w:szCs w:val="24"/>
        </w:rPr>
        <w:t>Pre Sentence</w:t>
      </w:r>
      <w:proofErr w:type="spellEnd"/>
      <w:r w:rsidRPr="00C342C1">
        <w:rPr>
          <w:rFonts w:ascii="Times New Roman" w:hAnsi="Times New Roman"/>
          <w:sz w:val="24"/>
          <w:szCs w:val="24"/>
        </w:rPr>
        <w:t xml:space="preserve"> Report] plainly indicates, she has an extensive record of nearly three dozen prior arrests and/or convictions (33 total) spanning four decades (1983–2024), resulting in a staggering criminal history category of V—the second highest available under the Guidelines.”</w:t>
      </w:r>
    </w:p>
    <w:p w14:paraId="5217B5C6" w14:textId="77777777" w:rsidR="006528FB" w:rsidRPr="00C342C1" w:rsidRDefault="006528FB" w:rsidP="006528FB">
      <w:pPr>
        <w:pStyle w:val="NoSpacing"/>
        <w:rPr>
          <w:rFonts w:ascii="Times New Roman" w:hAnsi="Times New Roman"/>
          <w:b/>
          <w:bCs/>
          <w:sz w:val="24"/>
          <w:szCs w:val="24"/>
        </w:rPr>
      </w:pPr>
      <w:r w:rsidRPr="00C342C1">
        <w:rPr>
          <w:rFonts w:ascii="Times New Roman" w:hAnsi="Times New Roman"/>
          <w:b/>
          <w:sz w:val="24"/>
          <w:szCs w:val="24"/>
        </w:rPr>
        <w:t xml:space="preserve">  </w:t>
      </w:r>
    </w:p>
    <w:p w14:paraId="3613C335" w14:textId="72A54DBC" w:rsidR="00680234" w:rsidRDefault="006528FB" w:rsidP="006528FB">
      <w:pPr>
        <w:rPr>
          <w:rStyle w:val="Hyperlink"/>
          <w:rFonts w:ascii="Arial Black" w:hAnsi="Arial Black"/>
          <w:b/>
          <w:color w:val="auto"/>
          <w:sz w:val="24"/>
          <w:szCs w:val="24"/>
          <w:u w:val="none"/>
        </w:rPr>
      </w:pPr>
      <w:r w:rsidRPr="00C342C1">
        <w:rPr>
          <w:rFonts w:ascii="Times New Roman" w:hAnsi="Times New Roman"/>
          <w:sz w:val="24"/>
          <w:szCs w:val="24"/>
        </w:rPr>
        <w:t xml:space="preserve">See also the U.S. Department of Justice Press Release; “San Antonio Woman Sentenced to Prison for Endangering SAPD Helicopter with Laser. </w:t>
      </w:r>
      <w:hyperlink r:id="rId846" w:history="1">
        <w:r w:rsidRPr="00C342C1">
          <w:rPr>
            <w:rStyle w:val="Hyperlink"/>
            <w:rFonts w:ascii="Times New Roman" w:hAnsi="Times New Roman"/>
            <w:sz w:val="24"/>
            <w:szCs w:val="24"/>
          </w:rPr>
          <w:t>https://www.justice.gov/usao-wdtx/pr/san-antonio-woman-sentenced-prison-endangering-sapd-helicopter-laser</w:t>
        </w:r>
      </w:hyperlink>
    </w:p>
    <w:p w14:paraId="1032D04B" w14:textId="77777777" w:rsidR="00680234" w:rsidRDefault="00680234" w:rsidP="002B1283">
      <w:pPr>
        <w:rPr>
          <w:rStyle w:val="Hyperlink"/>
          <w:rFonts w:ascii="Arial Black" w:hAnsi="Arial Black"/>
          <w:b/>
          <w:color w:val="auto"/>
          <w:sz w:val="24"/>
          <w:szCs w:val="24"/>
          <w:u w:val="none"/>
        </w:rPr>
      </w:pPr>
    </w:p>
    <w:p w14:paraId="44FD9D3E" w14:textId="135E85FF" w:rsidR="000636AB" w:rsidRDefault="000636AB" w:rsidP="000636AB">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4-47</w:t>
      </w:r>
    </w:p>
    <w:p w14:paraId="233E432D" w14:textId="77777777" w:rsidR="009B2566" w:rsidRDefault="009B2566" w:rsidP="002B1283">
      <w:pPr>
        <w:rPr>
          <w:rStyle w:val="Hyperlink"/>
          <w:rFonts w:ascii="Arial Black" w:hAnsi="Arial Black"/>
          <w:b/>
          <w:color w:val="auto"/>
          <w:sz w:val="24"/>
          <w:szCs w:val="24"/>
          <w:u w:val="none"/>
        </w:rPr>
      </w:pPr>
    </w:p>
    <w:p w14:paraId="74718506" w14:textId="77777777" w:rsidR="009B2566" w:rsidRDefault="009B2566" w:rsidP="009B2566">
      <w:pPr>
        <w:rPr>
          <w:rFonts w:ascii="Arial Black" w:hAnsi="Arial Black"/>
          <w:b/>
          <w:sz w:val="28"/>
          <w:szCs w:val="28"/>
        </w:rPr>
      </w:pPr>
      <w:r>
        <w:rPr>
          <w:rFonts w:ascii="Arial Black" w:hAnsi="Arial Black"/>
          <w:b/>
          <w:sz w:val="28"/>
          <w:szCs w:val="28"/>
        </w:rPr>
        <w:t>CA: TRAINING CAPT MOVED - $450K / ATTY FEES CUT 30%</w:t>
      </w:r>
    </w:p>
    <w:p w14:paraId="42093463" w14:textId="77777777" w:rsidR="009B2566" w:rsidRPr="000636AB" w:rsidRDefault="009B2566" w:rsidP="009B2566">
      <w:pPr>
        <w:rPr>
          <w:rFonts w:ascii="Times New Roman" w:hAnsi="Times New Roman"/>
          <w:sz w:val="24"/>
          <w:szCs w:val="24"/>
        </w:rPr>
      </w:pPr>
      <w:r w:rsidRPr="000636AB">
        <w:rPr>
          <w:rFonts w:ascii="Times New Roman" w:hAnsi="Times New Roman"/>
          <w:sz w:val="24"/>
          <w:szCs w:val="24"/>
        </w:rPr>
        <w:t xml:space="preserve">On May 30, 2025, in </w:t>
      </w:r>
      <w:r w:rsidRPr="000636AB">
        <w:rPr>
          <w:rFonts w:ascii="Times New Roman" w:hAnsi="Times New Roman"/>
          <w:sz w:val="24"/>
          <w:szCs w:val="24"/>
          <w:u w:val="single"/>
        </w:rPr>
        <w:t>Michael Cash v. County of Los Angeles</w:t>
      </w:r>
      <w:r w:rsidRPr="000636AB">
        <w:rPr>
          <w:rFonts w:ascii="Times New Roman" w:hAnsi="Times New Roman"/>
          <w:sz w:val="24"/>
          <w:szCs w:val="24"/>
        </w:rPr>
        <w:t xml:space="preserve">, the Court of Appeal, Second District, California, held (3 to 0) that after a jury awarded Captain $450,000 when he was removed from the LA County training academy after complaining about female recruit not being terminated, the trial court judge also properly awarded the Captain attorney fees, reduced by 30% when County asserted that the attorneys’ hours were padded.  It took 5 years of litigation, and 20-day jury trial to get to a jury verdict ($705,730 fee request; $455,546 awarded).  THE COURT HELD: “Before a hearing to consider the amount of attorney fees to award, the trial court issued a tentative ruling adopting wholesale the County's across-the-board 30 percent reduction. The trial court did not abuse its discretion in doing so. Under the traditional California standard, across-the-board, percentage-based reductions to a lodestar figure are appropriate so long as the trial court articulates a justifiable reason for the reduction. (Morris, supra, 41 Cal.App.5th at p. 35, fn. 6, 253 Cal.Rptr.3d 592.) Here, the trial court imposed the 30-percent reduction due to padding </w:t>
      </w:r>
      <w:proofErr w:type="gramStart"/>
      <w:r w:rsidRPr="000636AB">
        <w:rPr>
          <w:rFonts w:ascii="Times New Roman" w:hAnsi="Times New Roman"/>
          <w:sz w:val="24"/>
          <w:szCs w:val="24"/>
        </w:rPr>
        <w:t>as a result of</w:t>
      </w:r>
      <w:proofErr w:type="gramEnd"/>
      <w:r w:rsidRPr="000636AB">
        <w:rPr>
          <w:rFonts w:ascii="Times New Roman" w:hAnsi="Times New Roman"/>
          <w:sz w:val="24"/>
          <w:szCs w:val="24"/>
        </w:rPr>
        <w:t xml:space="preserve"> the attorneys’ excessive and duplicative billing.” </w:t>
      </w:r>
      <w:hyperlink r:id="rId847" w:history="1">
        <w:r w:rsidRPr="000636AB">
          <w:rPr>
            <w:rStyle w:val="Hyperlink"/>
            <w:rFonts w:ascii="Times New Roman" w:hAnsi="Times New Roman"/>
            <w:sz w:val="24"/>
            <w:szCs w:val="24"/>
          </w:rPr>
          <w:t>https://caselaw.findlaw.com/court/crt-app-sec-dis-cal-div-fiv/117326152.html</w:t>
        </w:r>
      </w:hyperlink>
      <w:r w:rsidRPr="000636AB">
        <w:rPr>
          <w:rFonts w:ascii="Times New Roman" w:hAnsi="Times New Roman"/>
          <w:sz w:val="24"/>
          <w:szCs w:val="24"/>
        </w:rPr>
        <w:t xml:space="preserve"> </w:t>
      </w:r>
    </w:p>
    <w:p w14:paraId="1804E859" w14:textId="77777777" w:rsidR="00F1458A" w:rsidRPr="000636AB" w:rsidRDefault="00F1458A" w:rsidP="00F1458A">
      <w:pPr>
        <w:pStyle w:val="NoSpacing"/>
        <w:rPr>
          <w:rFonts w:ascii="Times New Roman" w:hAnsi="Times New Roman"/>
          <w:b/>
          <w:sz w:val="24"/>
          <w:szCs w:val="24"/>
        </w:rPr>
      </w:pPr>
      <w:r w:rsidRPr="000636AB">
        <w:rPr>
          <w:rFonts w:ascii="Times New Roman" w:hAnsi="Times New Roman"/>
          <w:b/>
          <w:sz w:val="24"/>
          <w:szCs w:val="24"/>
        </w:rPr>
        <w:t xml:space="preserve">Legal lesson learned: Many states have enacted civil rights statutes allowing courts to award reasonable attorney fees to the winning plaintiff; it is an “incentive” for employment attorneys to pursue often difficult, lengthy cases. </w:t>
      </w:r>
    </w:p>
    <w:p w14:paraId="0F524EF7" w14:textId="77777777" w:rsidR="00F1458A" w:rsidRDefault="00F1458A" w:rsidP="00F1458A">
      <w:pPr>
        <w:pStyle w:val="NoSpacing"/>
        <w:rPr>
          <w:b/>
        </w:rPr>
      </w:pPr>
    </w:p>
    <w:p w14:paraId="10EE10BD" w14:textId="77777777" w:rsidR="00F1458A" w:rsidRDefault="00F1458A" w:rsidP="009B2566">
      <w:pPr>
        <w:rPr>
          <w:bCs/>
        </w:rPr>
      </w:pPr>
    </w:p>
    <w:p w14:paraId="10A18197" w14:textId="086D7BC8" w:rsidR="00B12A0F" w:rsidRDefault="00B12A0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4-46</w:t>
      </w:r>
    </w:p>
    <w:p w14:paraId="742CB67C" w14:textId="77777777" w:rsidR="00B12A0F" w:rsidRPr="006F2B87" w:rsidRDefault="00B12A0F" w:rsidP="00B12A0F">
      <w:pPr>
        <w:pStyle w:val="NoSpacing"/>
        <w:rPr>
          <w:rFonts w:ascii="Arial Black" w:hAnsi="Arial Black"/>
          <w:sz w:val="28"/>
          <w:szCs w:val="28"/>
        </w:rPr>
      </w:pPr>
      <w:r w:rsidRPr="006F2B87">
        <w:rPr>
          <w:rFonts w:ascii="Arial Black" w:hAnsi="Arial Black"/>
          <w:sz w:val="28"/>
          <w:szCs w:val="28"/>
        </w:rPr>
        <w:t xml:space="preserve">MI: HOUSE FIRE – 2 BOYS DEAD </w:t>
      </w:r>
      <w:r>
        <w:rPr>
          <w:rFonts w:ascii="Arial Black" w:hAnsi="Arial Black"/>
          <w:sz w:val="28"/>
          <w:szCs w:val="28"/>
        </w:rPr>
        <w:t>–</w:t>
      </w:r>
      <w:r w:rsidRPr="006F2B87">
        <w:rPr>
          <w:rFonts w:ascii="Arial Black" w:hAnsi="Arial Black"/>
          <w:sz w:val="28"/>
          <w:szCs w:val="28"/>
        </w:rPr>
        <w:t xml:space="preserve"> </w:t>
      </w:r>
      <w:r>
        <w:rPr>
          <w:rFonts w:ascii="Arial Black" w:hAnsi="Arial Black"/>
          <w:sz w:val="28"/>
          <w:szCs w:val="28"/>
        </w:rPr>
        <w:t xml:space="preserve">2 </w:t>
      </w:r>
      <w:r w:rsidRPr="006F2B87">
        <w:rPr>
          <w:rFonts w:ascii="Arial Black" w:hAnsi="Arial Black"/>
          <w:sz w:val="28"/>
          <w:szCs w:val="28"/>
        </w:rPr>
        <w:t>FF GROSS NEG.</w:t>
      </w:r>
      <w:r>
        <w:rPr>
          <w:rFonts w:ascii="Arial Black" w:hAnsi="Arial Black"/>
          <w:sz w:val="28"/>
          <w:szCs w:val="28"/>
        </w:rPr>
        <w:t xml:space="preserve"> CASE</w:t>
      </w:r>
    </w:p>
    <w:p w14:paraId="72619C3E" w14:textId="77777777" w:rsidR="00B12A0F" w:rsidRPr="006F2B87" w:rsidRDefault="00B12A0F" w:rsidP="00B12A0F">
      <w:pPr>
        <w:pStyle w:val="NoSpacing"/>
      </w:pPr>
    </w:p>
    <w:p w14:paraId="25B3F7A0" w14:textId="77777777"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 xml:space="preserve">On May 14, 2025, in </w:t>
      </w:r>
      <w:r w:rsidRPr="00795A89">
        <w:rPr>
          <w:rFonts w:ascii="Times New Roman" w:hAnsi="Times New Roman"/>
          <w:sz w:val="24"/>
          <w:szCs w:val="24"/>
          <w:u w:val="single"/>
        </w:rPr>
        <w:t>Crystal Cooper, individually and as personal representative of the Estate of Lamar D. Mitchell and the Estate of Zyaire Mitchell v. City of Flint, and Flint Fire Department, and Sergeant Daniel Sniegocki and Firefighter Michael Zlotek</w:t>
      </w:r>
      <w:r w:rsidRPr="00795A89">
        <w:rPr>
          <w:rFonts w:ascii="Times New Roman" w:hAnsi="Times New Roman"/>
          <w:sz w:val="24"/>
          <w:szCs w:val="24"/>
        </w:rPr>
        <w:t xml:space="preserve">, the State of Michigan Court of Appeals held (3 to 0; unpublished decision) that trial court properly refused to dismiss the lawsuit against the two firefighters since there is sufficient evidence for a jury to find gross negligence by two firefighters in their primary search of the house (City and fire department did not part of this appeal).  </w:t>
      </w:r>
    </w:p>
    <w:p w14:paraId="042F8DC5" w14:textId="77777777" w:rsidR="00B12A0F" w:rsidRPr="00795A89" w:rsidRDefault="00B12A0F" w:rsidP="00B12A0F">
      <w:pPr>
        <w:pStyle w:val="NoSpacing"/>
        <w:rPr>
          <w:rFonts w:ascii="Times New Roman" w:hAnsi="Times New Roman"/>
          <w:sz w:val="24"/>
          <w:szCs w:val="24"/>
        </w:rPr>
      </w:pPr>
    </w:p>
    <w:p w14:paraId="549A898E" w14:textId="30FC49AC"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 xml:space="preserve">The Court wrote: “This case arose from a house fire that took place in May 2022. Defendants were among the first firefighters who responded to the scene, and they were ordered to perform a primary search of the house. Defendants stated in their respective postfire reports that, before searching the house, they had been informed that there might be </w:t>
      </w:r>
      <w:proofErr w:type="gramStart"/>
      <w:r w:rsidRPr="00795A89">
        <w:rPr>
          <w:rFonts w:ascii="Times New Roman" w:hAnsi="Times New Roman"/>
          <w:sz w:val="24"/>
          <w:szCs w:val="24"/>
        </w:rPr>
        <w:t>persons</w:t>
      </w:r>
      <w:proofErr w:type="gramEnd"/>
      <w:r w:rsidRPr="00795A89">
        <w:rPr>
          <w:rFonts w:ascii="Times New Roman" w:hAnsi="Times New Roman"/>
          <w:sz w:val="24"/>
          <w:szCs w:val="24"/>
        </w:rPr>
        <w:t xml:space="preserve"> trapped inside, but they found no entrapped victims after they searched the first and second floors of the house. Approximately seven minutes after defendants’ search, a second crew was ordered to go</w:t>
      </w:r>
      <w:r w:rsidR="00795A89">
        <w:rPr>
          <w:rFonts w:ascii="Times New Roman" w:hAnsi="Times New Roman"/>
          <w:sz w:val="24"/>
          <w:szCs w:val="24"/>
        </w:rPr>
        <w:t xml:space="preserve"> </w:t>
      </w:r>
      <w:r w:rsidRPr="00795A89">
        <w:rPr>
          <w:rFonts w:ascii="Times New Roman" w:hAnsi="Times New Roman"/>
          <w:sz w:val="24"/>
          <w:szCs w:val="24"/>
        </w:rPr>
        <w:t>to the second floor and open windows, remove an air-conditioning unit, and conduct secondary</w:t>
      </w:r>
    </w:p>
    <w:p w14:paraId="479BFB2E" w14:textId="77777777"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searches. This crew located Lamar and Zyaire in one of the second-floor bedrooms. Lamar was</w:t>
      </w:r>
    </w:p>
    <w:p w14:paraId="45FFF172" w14:textId="77777777"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face-down on the floor, and Zyaire was face-down with his body half on a bed. Lamar and Zyaire</w:t>
      </w:r>
    </w:p>
    <w:p w14:paraId="06DE852C" w14:textId="77777777"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 xml:space="preserve">were immediately taken to Henry Ford Hospital, where they both died a few days later. The chief of the Flint Fire Department, Raymond Barton, investigated the fire with emphasis on defendants’ performance. He prepared a report that included a statement from the lieutenant who led the crew that discovered the decedents during the secondary search. The lieutenant concluded that defendants could not have entered the bedroom where the decedents were found and missed </w:t>
      </w:r>
      <w:proofErr w:type="gramStart"/>
      <w:r w:rsidRPr="00795A89">
        <w:rPr>
          <w:rFonts w:ascii="Times New Roman" w:hAnsi="Times New Roman"/>
          <w:sz w:val="24"/>
          <w:szCs w:val="24"/>
        </w:rPr>
        <w:t>them, and</w:t>
      </w:r>
      <w:proofErr w:type="gramEnd"/>
      <w:r w:rsidRPr="00795A89">
        <w:rPr>
          <w:rFonts w:ascii="Times New Roman" w:hAnsi="Times New Roman"/>
          <w:sz w:val="24"/>
          <w:szCs w:val="24"/>
        </w:rPr>
        <w:t xml:space="preserve"> determined that defendants provided false statements about their search. After conducting his own independent investigation at the site of the fire and reviewing defendants’ incident write-up reports, Chief Barton likewise concluded that defendants made false</w:t>
      </w:r>
    </w:p>
    <w:p w14:paraId="394BD30C" w14:textId="02FD0C88" w:rsidR="00B12A0F" w:rsidRPr="00795A89" w:rsidRDefault="00B12A0F" w:rsidP="00B12A0F">
      <w:pPr>
        <w:pStyle w:val="NoSpacing"/>
        <w:rPr>
          <w:rFonts w:ascii="Times New Roman" w:hAnsi="Times New Roman"/>
          <w:sz w:val="24"/>
          <w:szCs w:val="24"/>
        </w:rPr>
      </w:pPr>
      <w:r w:rsidRPr="00795A89">
        <w:rPr>
          <w:rFonts w:ascii="Times New Roman" w:hAnsi="Times New Roman"/>
          <w:sz w:val="24"/>
          <w:szCs w:val="24"/>
        </w:rPr>
        <w:t>statements in their reports because, if defendants had searched the second floor in the way they</w:t>
      </w:r>
      <w:r w:rsidR="00795A89">
        <w:rPr>
          <w:rFonts w:ascii="Times New Roman" w:hAnsi="Times New Roman"/>
          <w:sz w:val="24"/>
          <w:szCs w:val="24"/>
        </w:rPr>
        <w:t xml:space="preserve"> </w:t>
      </w:r>
      <w:r w:rsidRPr="00795A89">
        <w:rPr>
          <w:rFonts w:ascii="Times New Roman" w:hAnsi="Times New Roman"/>
          <w:sz w:val="24"/>
          <w:szCs w:val="24"/>
        </w:rPr>
        <w:t>described, they would have found the decedents. The chief determined that, contrary to</w:t>
      </w:r>
      <w:r w:rsidR="00795A89">
        <w:rPr>
          <w:rFonts w:ascii="Times New Roman" w:hAnsi="Times New Roman"/>
          <w:sz w:val="24"/>
          <w:szCs w:val="24"/>
        </w:rPr>
        <w:t xml:space="preserve"> </w:t>
      </w:r>
      <w:r w:rsidRPr="00795A89">
        <w:rPr>
          <w:rFonts w:ascii="Times New Roman" w:hAnsi="Times New Roman"/>
          <w:sz w:val="24"/>
          <w:szCs w:val="24"/>
        </w:rPr>
        <w:t>defendants’ representations, they “neglected to perform the tasks of completing a sweep of the</w:t>
      </w:r>
      <w:r w:rsidR="00795A89">
        <w:rPr>
          <w:rFonts w:ascii="Times New Roman" w:hAnsi="Times New Roman"/>
          <w:sz w:val="24"/>
          <w:szCs w:val="24"/>
        </w:rPr>
        <w:t xml:space="preserve"> </w:t>
      </w:r>
      <w:r w:rsidRPr="00795A89">
        <w:rPr>
          <w:rFonts w:ascii="Times New Roman" w:hAnsi="Times New Roman"/>
          <w:sz w:val="24"/>
          <w:szCs w:val="24"/>
        </w:rPr>
        <w:t xml:space="preserve">second floor,” which led to a delay in finding the decedents. </w:t>
      </w:r>
      <w:proofErr w:type="gramStart"/>
      <w:r w:rsidRPr="00795A89">
        <w:rPr>
          <w:rFonts w:ascii="Times New Roman" w:hAnsi="Times New Roman"/>
          <w:sz w:val="24"/>
          <w:szCs w:val="24"/>
        </w:rPr>
        <w:t>On the basis of</w:t>
      </w:r>
      <w:proofErr w:type="gramEnd"/>
      <w:r w:rsidRPr="00795A89">
        <w:rPr>
          <w:rFonts w:ascii="Times New Roman" w:hAnsi="Times New Roman"/>
          <w:sz w:val="24"/>
          <w:szCs w:val="24"/>
        </w:rPr>
        <w:t xml:space="preserve"> his findings, Chief</w:t>
      </w:r>
      <w:r w:rsidR="00795A89">
        <w:rPr>
          <w:rFonts w:ascii="Times New Roman" w:hAnsi="Times New Roman"/>
          <w:sz w:val="24"/>
          <w:szCs w:val="24"/>
        </w:rPr>
        <w:t xml:space="preserve"> </w:t>
      </w:r>
      <w:r w:rsidRPr="00795A89">
        <w:rPr>
          <w:rFonts w:ascii="Times New Roman" w:hAnsi="Times New Roman"/>
          <w:sz w:val="24"/>
          <w:szCs w:val="24"/>
        </w:rPr>
        <w:t xml:space="preserve">Barton terminated defendants’ employment with the Flint Fire Department. *** Plaintiff’s amended complaint does not allege that defendants had an affirmative duty to protect the decedents from harm but that defendants had a duty to use due care when conducting their search of the second floor of plaintiff’s home. Accordingly, the lack of a special relationship between defendants and the decedents is not dispositive to whether defendants owed a duty to the decedents. Instead, for the reasons explained, we conclude that defendants had a duty to conduct their search of the decedents’ home in a manner that was not grossly negligent. Plaintiff’s amended complaint alleges that defendants breached this duty, and that is sufficient to survive defendants’ motion for summary disposition at this early stage in the litigation.” </w:t>
      </w:r>
      <w:hyperlink r:id="rId848" w:history="1">
        <w:r w:rsidRPr="00795A89">
          <w:rPr>
            <w:rStyle w:val="Hyperlink"/>
            <w:rFonts w:ascii="Times New Roman" w:hAnsi="Times New Roman"/>
            <w:sz w:val="24"/>
            <w:szCs w:val="24"/>
          </w:rPr>
          <w:t>https://cases.justia.com/michigan/court-of-appeals-unpublished/2025-368583.pdf?ts=1747314007</w:t>
        </w:r>
      </w:hyperlink>
      <w:r w:rsidRPr="00795A89">
        <w:rPr>
          <w:rFonts w:ascii="Times New Roman" w:hAnsi="Times New Roman"/>
          <w:sz w:val="24"/>
          <w:szCs w:val="24"/>
        </w:rPr>
        <w:t xml:space="preserve"> </w:t>
      </w:r>
    </w:p>
    <w:p w14:paraId="2CEC4CFA" w14:textId="77777777" w:rsidR="00B12A0F" w:rsidRPr="00795A89" w:rsidRDefault="00B12A0F" w:rsidP="00B12A0F">
      <w:pPr>
        <w:pStyle w:val="NoSpacing"/>
        <w:rPr>
          <w:rFonts w:ascii="Times New Roman" w:hAnsi="Times New Roman"/>
          <w:sz w:val="24"/>
          <w:szCs w:val="24"/>
        </w:rPr>
      </w:pPr>
    </w:p>
    <w:p w14:paraId="762B9C97" w14:textId="77777777" w:rsidR="00744788" w:rsidRPr="00744788" w:rsidRDefault="00744788" w:rsidP="00744788">
      <w:pPr>
        <w:pStyle w:val="NoSpacing"/>
        <w:rPr>
          <w:rFonts w:ascii="Times New Roman" w:hAnsi="Times New Roman"/>
          <w:sz w:val="24"/>
          <w:szCs w:val="24"/>
        </w:rPr>
      </w:pPr>
      <w:r w:rsidRPr="00744788">
        <w:rPr>
          <w:rFonts w:ascii="Times New Roman" w:hAnsi="Times New Roman"/>
          <w:b/>
          <w:sz w:val="24"/>
          <w:szCs w:val="24"/>
        </w:rPr>
        <w:t xml:space="preserve">Legal Lesson Learned: Immunity denied; sufficient evidence of gross negligence for case to go to a jury.  </w:t>
      </w:r>
    </w:p>
    <w:p w14:paraId="022348A4" w14:textId="77777777" w:rsidR="00744788" w:rsidRPr="00744788" w:rsidRDefault="00744788" w:rsidP="00744788">
      <w:pPr>
        <w:pStyle w:val="NoSpacing"/>
        <w:rPr>
          <w:rFonts w:ascii="Times New Roman" w:hAnsi="Times New Roman"/>
          <w:sz w:val="24"/>
          <w:szCs w:val="24"/>
        </w:rPr>
      </w:pPr>
    </w:p>
    <w:p w14:paraId="1EA671C1" w14:textId="77777777" w:rsidR="00744788" w:rsidRPr="00744788" w:rsidRDefault="00744788" w:rsidP="00744788">
      <w:pPr>
        <w:pStyle w:val="NoSpacing"/>
        <w:ind w:left="720"/>
        <w:rPr>
          <w:rFonts w:ascii="Times New Roman" w:hAnsi="Times New Roman"/>
          <w:b/>
          <w:bCs/>
          <w:sz w:val="24"/>
          <w:szCs w:val="24"/>
        </w:rPr>
      </w:pPr>
      <w:r w:rsidRPr="00744788">
        <w:rPr>
          <w:rFonts w:ascii="Times New Roman" w:hAnsi="Times New Roman"/>
          <w:sz w:val="24"/>
          <w:szCs w:val="24"/>
        </w:rPr>
        <w:t xml:space="preserve">Note: See May 15, </w:t>
      </w:r>
      <w:proofErr w:type="gramStart"/>
      <w:r w:rsidRPr="00744788">
        <w:rPr>
          <w:rFonts w:ascii="Times New Roman" w:hAnsi="Times New Roman"/>
          <w:sz w:val="24"/>
          <w:szCs w:val="24"/>
        </w:rPr>
        <w:t>2025</w:t>
      </w:r>
      <w:proofErr w:type="gramEnd"/>
      <w:r w:rsidRPr="00744788">
        <w:rPr>
          <w:rFonts w:ascii="Times New Roman" w:hAnsi="Times New Roman"/>
          <w:sz w:val="24"/>
          <w:szCs w:val="24"/>
        </w:rPr>
        <w:t xml:space="preserve"> article, “Lawsuit Against MI Firefighters Who Issued All-Clear at Fatal Fire Can Continue.” </w:t>
      </w:r>
      <w:hyperlink r:id="rId849" w:history="1">
        <w:r w:rsidRPr="00744788">
          <w:rPr>
            <w:rStyle w:val="Hyperlink"/>
            <w:rFonts w:ascii="Times New Roman" w:hAnsi="Times New Roman"/>
            <w:sz w:val="24"/>
            <w:szCs w:val="24"/>
          </w:rPr>
          <w:t>https://www.fireengineering.com/firefighting/lawsuit-against-mi-firefighters-who-issued-all-clear-at-fatal-fire-can-continue/?utm_source=fe_daily_newsletter&amp;utm_medium=email&amp;utm_campaign</w:t>
        </w:r>
      </w:hyperlink>
    </w:p>
    <w:p w14:paraId="7266B91A" w14:textId="77777777" w:rsidR="00744788" w:rsidRPr="00744788" w:rsidRDefault="00744788" w:rsidP="00744788">
      <w:pPr>
        <w:pStyle w:val="NoSpacing"/>
        <w:rPr>
          <w:rFonts w:ascii="Times New Roman" w:hAnsi="Times New Roman"/>
          <w:bCs/>
          <w:sz w:val="24"/>
          <w:szCs w:val="24"/>
        </w:rPr>
      </w:pPr>
    </w:p>
    <w:p w14:paraId="5A6F2008" w14:textId="77777777" w:rsidR="00B12A0F" w:rsidRDefault="00B12A0F" w:rsidP="002B1283">
      <w:pPr>
        <w:rPr>
          <w:rStyle w:val="Hyperlink"/>
          <w:rFonts w:ascii="Arial Black" w:hAnsi="Arial Black"/>
          <w:b/>
          <w:color w:val="auto"/>
          <w:sz w:val="24"/>
          <w:szCs w:val="24"/>
          <w:u w:val="none"/>
        </w:rPr>
      </w:pPr>
    </w:p>
    <w:p w14:paraId="40E24AFF" w14:textId="77777777" w:rsidR="00B12A0F" w:rsidRDefault="00B12A0F" w:rsidP="002B1283">
      <w:pPr>
        <w:rPr>
          <w:rStyle w:val="Hyperlink"/>
          <w:rFonts w:ascii="Arial Black" w:hAnsi="Arial Black"/>
          <w:b/>
          <w:color w:val="auto"/>
          <w:sz w:val="24"/>
          <w:szCs w:val="24"/>
          <w:u w:val="none"/>
        </w:rPr>
      </w:pPr>
    </w:p>
    <w:p w14:paraId="21C60F9B" w14:textId="1EF53AED" w:rsidR="009B5296" w:rsidRDefault="009B5296"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4-45</w:t>
      </w:r>
    </w:p>
    <w:p w14:paraId="77F8E79C" w14:textId="77777777" w:rsidR="005035FF" w:rsidRPr="00CE29BB" w:rsidRDefault="005035FF" w:rsidP="005035FF">
      <w:pPr>
        <w:rPr>
          <w:rFonts w:ascii="Arial Black" w:hAnsi="Arial Black"/>
          <w:b/>
          <w:sz w:val="28"/>
          <w:szCs w:val="28"/>
        </w:rPr>
      </w:pPr>
      <w:r>
        <w:rPr>
          <w:rFonts w:ascii="Arial Black" w:hAnsi="Arial Black"/>
          <w:b/>
          <w:sz w:val="28"/>
          <w:szCs w:val="28"/>
        </w:rPr>
        <w:t>U.S. SUP. CT: NOT HEAR HOMEOWNER’S APPEAL - SWAT $50K DAMAGE - 5</w:t>
      </w:r>
      <w:r w:rsidRPr="00C05043">
        <w:rPr>
          <w:rFonts w:ascii="Arial Black" w:hAnsi="Arial Black"/>
          <w:b/>
          <w:sz w:val="28"/>
          <w:szCs w:val="28"/>
          <w:vertAlign w:val="superscript"/>
        </w:rPr>
        <w:t>th</w:t>
      </w:r>
      <w:r>
        <w:rPr>
          <w:rFonts w:ascii="Arial Black" w:hAnsi="Arial Black"/>
          <w:b/>
          <w:sz w:val="28"/>
          <w:szCs w:val="28"/>
        </w:rPr>
        <w:t xml:space="preserve"> CIR: CITY NOT LIABLE / “EMERGENCY” </w:t>
      </w:r>
    </w:p>
    <w:p w14:paraId="3B2E8E5D" w14:textId="22DA3FD0" w:rsidR="009B5296" w:rsidRPr="00965945" w:rsidRDefault="005035FF" w:rsidP="005035FF">
      <w:pPr>
        <w:rPr>
          <w:rStyle w:val="Hyperlink"/>
          <w:rFonts w:ascii="Times New Roman" w:hAnsi="Times New Roman"/>
          <w:sz w:val="24"/>
          <w:szCs w:val="24"/>
        </w:rPr>
      </w:pPr>
      <w:r w:rsidRPr="00965945">
        <w:rPr>
          <w:rFonts w:ascii="Times New Roman" w:hAnsi="Times New Roman"/>
          <w:sz w:val="24"/>
          <w:szCs w:val="24"/>
        </w:rPr>
        <w:t xml:space="preserve">On Nov. 25, 2024, in </w:t>
      </w:r>
      <w:r w:rsidRPr="00965945">
        <w:rPr>
          <w:rFonts w:ascii="Times New Roman" w:hAnsi="Times New Roman"/>
          <w:sz w:val="24"/>
          <w:szCs w:val="24"/>
          <w:u w:val="single"/>
        </w:rPr>
        <w:t>Vicki Baker v. City of McKinley, Texas</w:t>
      </w:r>
      <w:r w:rsidRPr="00965945">
        <w:rPr>
          <w:rFonts w:ascii="Times New Roman" w:hAnsi="Times New Roman"/>
          <w:sz w:val="24"/>
          <w:szCs w:val="24"/>
        </w:rPr>
        <w:t>, the U.S. Supreme Court declined to hear the appeal of the homeowner (need at least 4 or 9 Justices to agree to hear case by issuing a Writ of Certiorari).  The homeowner won a jury verdict of about $60,000, but this was reversed by the 5</w:t>
      </w:r>
      <w:r w:rsidRPr="00965945">
        <w:rPr>
          <w:rFonts w:ascii="Times New Roman" w:hAnsi="Times New Roman"/>
          <w:sz w:val="24"/>
          <w:szCs w:val="24"/>
          <w:vertAlign w:val="superscript"/>
        </w:rPr>
        <w:t>th</w:t>
      </w:r>
      <w:r w:rsidRPr="00965945">
        <w:rPr>
          <w:rFonts w:ascii="Times New Roman" w:hAnsi="Times New Roman"/>
          <w:sz w:val="24"/>
          <w:szCs w:val="24"/>
        </w:rPr>
        <w:t xml:space="preserve"> Circuit.  U.S. Supreme Court Justice Sonia Maria Sotomayor, joined by Justice Neil Gorsuch, filed a statement urging the Court to hear the appeal.  The Justice wrote: “By the time the officers gained entry, </w:t>
      </w:r>
      <w:proofErr w:type="gramStart"/>
      <w:r w:rsidRPr="00965945">
        <w:rPr>
          <w:rFonts w:ascii="Times New Roman" w:hAnsi="Times New Roman"/>
          <w:sz w:val="24"/>
          <w:szCs w:val="24"/>
        </w:rPr>
        <w:t>Little</w:t>
      </w:r>
      <w:proofErr w:type="gramEnd"/>
      <w:r w:rsidRPr="00965945">
        <w:rPr>
          <w:rFonts w:ascii="Times New Roman" w:hAnsi="Times New Roman"/>
          <w:sz w:val="24"/>
          <w:szCs w:val="24"/>
        </w:rPr>
        <w:t xml:space="preserve"> had taken his own life.  [Little was a fugitive who had kidnapped 15-year-old girl; he had previously done some construction work at house before Baker fired him.] All agree that the McKinney police acted properly that day and that their actions were necessary to prevent harm to themselves and the public. *** The Court’s denial of certiorari expresses no view on the merits of the decision below. I write separately to emphasize that petitioner raises a serious question: whether the Takings Clause permits the government to destroy private property without paying just compensation, </w:t>
      </w:r>
      <w:proofErr w:type="gramStart"/>
      <w:r w:rsidRPr="00965945">
        <w:rPr>
          <w:rFonts w:ascii="Times New Roman" w:hAnsi="Times New Roman"/>
          <w:sz w:val="24"/>
          <w:szCs w:val="24"/>
        </w:rPr>
        <w:t>as long as</w:t>
      </w:r>
      <w:proofErr w:type="gramEnd"/>
      <w:r w:rsidRPr="00965945">
        <w:rPr>
          <w:rFonts w:ascii="Times New Roman" w:hAnsi="Times New Roman"/>
          <w:sz w:val="24"/>
          <w:szCs w:val="24"/>
        </w:rPr>
        <w:t xml:space="preserve"> the government had no choice but to do so.”  </w:t>
      </w:r>
      <w:hyperlink r:id="rId850" w:history="1">
        <w:r w:rsidRPr="00965945">
          <w:rPr>
            <w:rStyle w:val="Hyperlink"/>
            <w:rFonts w:ascii="Times New Roman" w:hAnsi="Times New Roman"/>
            <w:sz w:val="24"/>
            <w:szCs w:val="24"/>
          </w:rPr>
          <w:t>https://www.supremecourt.gov/opinions/24pdf/23-1363_d1o3.pdf</w:t>
        </w:r>
      </w:hyperlink>
    </w:p>
    <w:p w14:paraId="7E88F895" w14:textId="77777777" w:rsidR="00965945" w:rsidRPr="00965945" w:rsidRDefault="00965945" w:rsidP="00965945">
      <w:pPr>
        <w:pStyle w:val="NoSpacing"/>
        <w:rPr>
          <w:rFonts w:ascii="Times New Roman" w:hAnsi="Times New Roman"/>
          <w:b/>
          <w:bCs/>
          <w:sz w:val="24"/>
          <w:szCs w:val="24"/>
        </w:rPr>
      </w:pPr>
      <w:r w:rsidRPr="00965945">
        <w:rPr>
          <w:rFonts w:ascii="Times New Roman" w:hAnsi="Times New Roman"/>
          <w:b/>
          <w:sz w:val="24"/>
          <w:szCs w:val="24"/>
        </w:rPr>
        <w:t>Legal Lesson Learned: Fire &amp; EMS on occasion may need to force their way into a home.  The 5</w:t>
      </w:r>
      <w:r w:rsidRPr="00965945">
        <w:rPr>
          <w:rFonts w:ascii="Times New Roman" w:hAnsi="Times New Roman"/>
          <w:b/>
          <w:sz w:val="24"/>
          <w:szCs w:val="24"/>
          <w:vertAlign w:val="superscript"/>
        </w:rPr>
        <w:t>th</w:t>
      </w:r>
      <w:r w:rsidRPr="00965945">
        <w:rPr>
          <w:rFonts w:ascii="Times New Roman" w:hAnsi="Times New Roman"/>
          <w:b/>
          <w:sz w:val="24"/>
          <w:szCs w:val="24"/>
        </w:rPr>
        <w:t xml:space="preserve"> Circuit standard of “objectively necessary” may be a precedent that a municipality can cite in refusing to pay for the damage.</w:t>
      </w:r>
    </w:p>
    <w:p w14:paraId="67B55E78" w14:textId="77777777" w:rsidR="00965945" w:rsidRPr="00965945" w:rsidRDefault="00965945" w:rsidP="00965945">
      <w:pPr>
        <w:ind w:left="720"/>
        <w:rPr>
          <w:rFonts w:ascii="Times New Roman" w:hAnsi="Times New Roman"/>
          <w:sz w:val="24"/>
          <w:szCs w:val="24"/>
        </w:rPr>
      </w:pPr>
    </w:p>
    <w:p w14:paraId="33F602A0" w14:textId="77777777" w:rsidR="00965945" w:rsidRPr="00965945" w:rsidRDefault="00965945" w:rsidP="00965945">
      <w:pPr>
        <w:ind w:left="720"/>
        <w:rPr>
          <w:rFonts w:ascii="Times New Roman" w:hAnsi="Times New Roman"/>
          <w:b/>
          <w:sz w:val="24"/>
          <w:szCs w:val="24"/>
        </w:rPr>
      </w:pPr>
      <w:r w:rsidRPr="00965945">
        <w:rPr>
          <w:rFonts w:ascii="Times New Roman" w:hAnsi="Times New Roman"/>
          <w:sz w:val="24"/>
          <w:szCs w:val="24"/>
        </w:rPr>
        <w:t xml:space="preserve">Note: See Nov. 25, </w:t>
      </w:r>
      <w:proofErr w:type="gramStart"/>
      <w:r w:rsidRPr="00965945">
        <w:rPr>
          <w:rFonts w:ascii="Times New Roman" w:hAnsi="Times New Roman"/>
          <w:sz w:val="24"/>
          <w:szCs w:val="24"/>
        </w:rPr>
        <w:t>2024</w:t>
      </w:r>
      <w:proofErr w:type="gramEnd"/>
      <w:r w:rsidRPr="00965945">
        <w:rPr>
          <w:rFonts w:ascii="Times New Roman" w:hAnsi="Times New Roman"/>
          <w:sz w:val="24"/>
          <w:szCs w:val="24"/>
        </w:rPr>
        <w:t xml:space="preserve"> article and photo of house. </w:t>
      </w:r>
      <w:r w:rsidRPr="00965945">
        <w:rPr>
          <w:rFonts w:ascii="Times New Roman" w:hAnsi="Times New Roman"/>
          <w:bCs/>
          <w:sz w:val="24"/>
          <w:szCs w:val="24"/>
        </w:rPr>
        <w:t xml:space="preserve">“Supreme Court won't hear case of woman whose former McKinney home was 'destroyed' by SWAT team during hostage standoff.” </w:t>
      </w:r>
      <w:hyperlink r:id="rId851" w:history="1">
        <w:r w:rsidRPr="00965945">
          <w:rPr>
            <w:rStyle w:val="Hyperlink"/>
            <w:rFonts w:ascii="Times New Roman" w:hAnsi="Times New Roman"/>
            <w:bCs/>
            <w:sz w:val="24"/>
            <w:szCs w:val="24"/>
          </w:rPr>
          <w:t>https://www.wfaa.com/article/news/local/collin-county/supreme-court-declines-case-swat-team-mckinney-hostage-standoff/287-73f00e4e-b131-4285-b541-236c48ef79d0</w:t>
        </w:r>
      </w:hyperlink>
      <w:r w:rsidRPr="00965945">
        <w:rPr>
          <w:rFonts w:ascii="Times New Roman" w:hAnsi="Times New Roman"/>
          <w:b/>
          <w:sz w:val="24"/>
          <w:szCs w:val="24"/>
        </w:rPr>
        <w:t xml:space="preserve"> </w:t>
      </w:r>
    </w:p>
    <w:p w14:paraId="7FCF9694" w14:textId="77777777" w:rsidR="00965945" w:rsidRPr="00965945" w:rsidRDefault="00965945" w:rsidP="00965945">
      <w:pPr>
        <w:pStyle w:val="NoSpacing"/>
        <w:ind w:left="720"/>
        <w:rPr>
          <w:rFonts w:ascii="Times New Roman" w:hAnsi="Times New Roman"/>
          <w:sz w:val="24"/>
          <w:szCs w:val="24"/>
        </w:rPr>
      </w:pPr>
    </w:p>
    <w:p w14:paraId="59D09F87" w14:textId="77777777" w:rsidR="00965945" w:rsidRPr="00965945" w:rsidRDefault="00965945" w:rsidP="00965945">
      <w:pPr>
        <w:pStyle w:val="NoSpacing"/>
        <w:ind w:left="720"/>
        <w:rPr>
          <w:rFonts w:ascii="Times New Roman" w:hAnsi="Times New Roman"/>
          <w:sz w:val="24"/>
          <w:szCs w:val="24"/>
        </w:rPr>
      </w:pPr>
      <w:r w:rsidRPr="00965945">
        <w:rPr>
          <w:rFonts w:ascii="Times New Roman" w:hAnsi="Times New Roman"/>
          <w:sz w:val="24"/>
          <w:szCs w:val="24"/>
        </w:rPr>
        <w:t>See the 5</w:t>
      </w:r>
      <w:r w:rsidRPr="00965945">
        <w:rPr>
          <w:rFonts w:ascii="Times New Roman" w:hAnsi="Times New Roman"/>
          <w:sz w:val="24"/>
          <w:szCs w:val="24"/>
          <w:vertAlign w:val="superscript"/>
        </w:rPr>
        <w:t>th</w:t>
      </w:r>
      <w:r w:rsidRPr="00965945">
        <w:rPr>
          <w:rFonts w:ascii="Times New Roman" w:hAnsi="Times New Roman"/>
          <w:sz w:val="24"/>
          <w:szCs w:val="24"/>
        </w:rPr>
        <w:t xml:space="preserve"> Circuit’s decision, Oct. 11, 2023. </w:t>
      </w:r>
      <w:hyperlink r:id="rId852" w:history="1">
        <w:r w:rsidRPr="00965945">
          <w:rPr>
            <w:rStyle w:val="Hyperlink"/>
            <w:rFonts w:ascii="Times New Roman" w:hAnsi="Times New Roman"/>
            <w:sz w:val="24"/>
            <w:szCs w:val="24"/>
          </w:rPr>
          <w:t>https://www.ca5.uscourts.gov/opinions/pub/22/22-40644-CV0.pdf</w:t>
        </w:r>
      </w:hyperlink>
      <w:r w:rsidRPr="00965945">
        <w:rPr>
          <w:rFonts w:ascii="Times New Roman" w:hAnsi="Times New Roman"/>
          <w:sz w:val="24"/>
          <w:szCs w:val="24"/>
        </w:rPr>
        <w:t xml:space="preserve">  </w:t>
      </w:r>
    </w:p>
    <w:p w14:paraId="3384F04F" w14:textId="77777777" w:rsidR="00965945" w:rsidRPr="00965945" w:rsidRDefault="00965945" w:rsidP="00965945">
      <w:pPr>
        <w:pStyle w:val="NoSpacing"/>
        <w:ind w:left="720"/>
        <w:rPr>
          <w:rFonts w:ascii="Times New Roman" w:hAnsi="Times New Roman"/>
          <w:sz w:val="24"/>
          <w:szCs w:val="24"/>
        </w:rPr>
      </w:pPr>
      <w:r w:rsidRPr="00965945">
        <w:rPr>
          <w:rFonts w:ascii="Times New Roman" w:hAnsi="Times New Roman"/>
          <w:sz w:val="24"/>
          <w:szCs w:val="24"/>
        </w:rPr>
        <w:t xml:space="preserve">“Little somehow ‘communicated to’ police that he ‘had terminal cancer, wasn’t going back to prison, knew he was going to die, was going to shoot it out with the police.’ Police proceeded to use explosive devices, the </w:t>
      </w:r>
      <w:proofErr w:type="spellStart"/>
      <w:r w:rsidRPr="00965945">
        <w:rPr>
          <w:rFonts w:ascii="Times New Roman" w:hAnsi="Times New Roman"/>
          <w:sz w:val="24"/>
          <w:szCs w:val="24"/>
        </w:rPr>
        <w:t>BearCat</w:t>
      </w:r>
      <w:proofErr w:type="spellEnd"/>
      <w:r w:rsidRPr="00965945">
        <w:rPr>
          <w:rFonts w:ascii="Times New Roman" w:hAnsi="Times New Roman"/>
          <w:sz w:val="24"/>
          <w:szCs w:val="24"/>
        </w:rPr>
        <w:t>, a T-Rex (</w:t>
      </w:r>
      <w:proofErr w:type="gramStart"/>
      <w:r w:rsidRPr="00965945">
        <w:rPr>
          <w:rFonts w:ascii="Times New Roman" w:hAnsi="Times New Roman"/>
          <w:sz w:val="24"/>
          <w:szCs w:val="24"/>
        </w:rPr>
        <w:t>similar to</w:t>
      </w:r>
      <w:proofErr w:type="gramEnd"/>
      <w:r w:rsidRPr="00965945">
        <w:rPr>
          <w:rFonts w:ascii="Times New Roman" w:hAnsi="Times New Roman"/>
          <w:sz w:val="24"/>
          <w:szCs w:val="24"/>
        </w:rPr>
        <w:t xml:space="preserve"> the </w:t>
      </w:r>
      <w:proofErr w:type="spellStart"/>
      <w:r w:rsidRPr="00965945">
        <w:rPr>
          <w:rFonts w:ascii="Times New Roman" w:hAnsi="Times New Roman"/>
          <w:sz w:val="24"/>
          <w:szCs w:val="24"/>
        </w:rPr>
        <w:t>BearCat</w:t>
      </w:r>
      <w:proofErr w:type="spellEnd"/>
      <w:r w:rsidRPr="00965945">
        <w:rPr>
          <w:rFonts w:ascii="Times New Roman" w:hAnsi="Times New Roman"/>
          <w:sz w:val="24"/>
          <w:szCs w:val="24"/>
        </w:rPr>
        <w:t>), toxic gas grenades, and a drone to try to resolve the situation. After some time, the drone was able to reach a vantage point to see that Little had taken his own life. *** Nevertheless, the damage to Baker’s home was severe. As the district court explained, quoting Baker’s motion for summary judgment, ‘[m]</w:t>
      </w:r>
      <w:proofErr w:type="spellStart"/>
      <w:r w:rsidRPr="00965945">
        <w:rPr>
          <w:rFonts w:ascii="Times New Roman" w:hAnsi="Times New Roman"/>
          <w:sz w:val="24"/>
          <w:szCs w:val="24"/>
        </w:rPr>
        <w:t>uch</w:t>
      </w:r>
      <w:proofErr w:type="spellEnd"/>
      <w:r w:rsidRPr="00965945">
        <w:rPr>
          <w:rFonts w:ascii="Times New Roman" w:hAnsi="Times New Roman"/>
          <w:sz w:val="24"/>
          <w:szCs w:val="24"/>
        </w:rPr>
        <w:t xml:space="preserve"> of the damage went beyond what could be captured visually.’ Specifically, </w:t>
      </w:r>
      <w:proofErr w:type="gramStart"/>
      <w:r w:rsidRPr="00965945">
        <w:rPr>
          <w:rFonts w:ascii="Times New Roman" w:hAnsi="Times New Roman"/>
          <w:sz w:val="24"/>
          <w:szCs w:val="24"/>
        </w:rPr>
        <w:t>The</w:t>
      </w:r>
      <w:proofErr w:type="gramEnd"/>
      <w:r w:rsidRPr="00965945">
        <w:rPr>
          <w:rFonts w:ascii="Times New Roman" w:hAnsi="Times New Roman"/>
          <w:sz w:val="24"/>
          <w:szCs w:val="24"/>
        </w:rPr>
        <w:t xml:space="preserve"> explosions left Baker’s dog permanently blind and deaf. The toxic gas that permeated the House required the services of a HAZMAT remediation team. Appliances and fabrics were irreparable. Ceiling fans, plumbing, floors (hard surfaces as well as carpet), and bricks needed to be replaced—in addition to the windows, blinds, fence, front door, and garage door. Essentially </w:t>
      </w:r>
      <w:proofErr w:type="gramStart"/>
      <w:r w:rsidRPr="00965945">
        <w:rPr>
          <w:rFonts w:ascii="Times New Roman" w:hAnsi="Times New Roman"/>
          <w:sz w:val="24"/>
          <w:szCs w:val="24"/>
        </w:rPr>
        <w:t>all of</w:t>
      </w:r>
      <w:proofErr w:type="gramEnd"/>
      <w:r w:rsidRPr="00965945">
        <w:rPr>
          <w:rFonts w:ascii="Times New Roman" w:hAnsi="Times New Roman"/>
          <w:sz w:val="24"/>
          <w:szCs w:val="24"/>
        </w:rPr>
        <w:t xml:space="preserve"> the personal property in the House was destroyed, including an antique doll collection left </w:t>
      </w:r>
      <w:proofErr w:type="gramStart"/>
      <w:r w:rsidRPr="00965945">
        <w:rPr>
          <w:rFonts w:ascii="Times New Roman" w:hAnsi="Times New Roman"/>
          <w:sz w:val="24"/>
          <w:szCs w:val="24"/>
        </w:rPr>
        <w:t>to</w:t>
      </w:r>
      <w:proofErr w:type="gramEnd"/>
      <w:r w:rsidRPr="00965945">
        <w:rPr>
          <w:rFonts w:ascii="Times New Roman" w:hAnsi="Times New Roman"/>
          <w:sz w:val="24"/>
          <w:szCs w:val="24"/>
        </w:rPr>
        <w:t xml:space="preserve"> Baker by her mother. In total, the damage . . . was approximately $50,000.”</w:t>
      </w:r>
    </w:p>
    <w:p w14:paraId="5EBFC8D8" w14:textId="77777777" w:rsidR="00965945" w:rsidRDefault="00965945" w:rsidP="005035FF">
      <w:pPr>
        <w:rPr>
          <w:rStyle w:val="Hyperlink"/>
          <w:rFonts w:ascii="Arial Black" w:hAnsi="Arial Black"/>
          <w:b/>
          <w:color w:val="auto"/>
          <w:sz w:val="24"/>
          <w:szCs w:val="24"/>
          <w:u w:val="none"/>
        </w:rPr>
      </w:pPr>
    </w:p>
    <w:p w14:paraId="3669CB2D" w14:textId="77777777" w:rsidR="009B5296" w:rsidRDefault="009B5296" w:rsidP="002B1283">
      <w:pPr>
        <w:rPr>
          <w:rStyle w:val="Hyperlink"/>
          <w:rFonts w:ascii="Arial Black" w:hAnsi="Arial Black"/>
          <w:b/>
          <w:color w:val="auto"/>
          <w:sz w:val="24"/>
          <w:szCs w:val="24"/>
          <w:u w:val="none"/>
        </w:rPr>
      </w:pPr>
    </w:p>
    <w:p w14:paraId="3670EB43" w14:textId="041861BA" w:rsidR="00B34A49" w:rsidRDefault="00B34A49"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w:t>
      </w:r>
      <w:r w:rsidR="0075297C">
        <w:rPr>
          <w:rStyle w:val="Hyperlink"/>
          <w:rFonts w:ascii="Arial Black" w:hAnsi="Arial Black"/>
          <w:b/>
          <w:color w:val="auto"/>
          <w:sz w:val="24"/>
          <w:szCs w:val="24"/>
          <w:u w:val="none"/>
        </w:rPr>
        <w:t>4</w:t>
      </w:r>
    </w:p>
    <w:p w14:paraId="6B96DD16" w14:textId="0874E5D0" w:rsidR="00165A41" w:rsidRPr="005B675E" w:rsidRDefault="00165A41" w:rsidP="00165A41">
      <w:pPr>
        <w:pStyle w:val="NoSpacing"/>
        <w:rPr>
          <w:rFonts w:ascii="Arial Black" w:hAnsi="Arial Black"/>
          <w:b/>
          <w:bCs/>
          <w:sz w:val="28"/>
          <w:szCs w:val="28"/>
        </w:rPr>
      </w:pPr>
      <w:r w:rsidRPr="005B675E">
        <w:rPr>
          <w:rFonts w:ascii="Arial Black" w:hAnsi="Arial Black"/>
          <w:b/>
          <w:bCs/>
          <w:sz w:val="28"/>
          <w:szCs w:val="28"/>
        </w:rPr>
        <w:t>MA: CAPTAIN NOT PROMOTED DC - 5 PROMOTED – POOR ANSWER INCIDENT COMMAND QUESTION / PRIOR FIRE</w:t>
      </w:r>
      <w:r w:rsidR="00607FA6" w:rsidRPr="005B675E">
        <w:rPr>
          <w:rFonts w:ascii="Arial Black" w:hAnsi="Arial Black"/>
          <w:b/>
          <w:bCs/>
          <w:sz w:val="28"/>
          <w:szCs w:val="28"/>
        </w:rPr>
        <w:t xml:space="preserve"> </w:t>
      </w:r>
    </w:p>
    <w:p w14:paraId="15AC8F0E" w14:textId="77777777" w:rsidR="00165A41" w:rsidRPr="00A445BE" w:rsidRDefault="00165A41" w:rsidP="00165A41">
      <w:pPr>
        <w:pStyle w:val="NoSpacing"/>
        <w:rPr>
          <w:rFonts w:ascii="Times New Roman" w:hAnsi="Times New Roman"/>
          <w:sz w:val="24"/>
          <w:szCs w:val="24"/>
        </w:rPr>
      </w:pPr>
    </w:p>
    <w:p w14:paraId="17F8BB85" w14:textId="77777777" w:rsidR="00165A41" w:rsidRPr="00A445BE" w:rsidRDefault="00165A41" w:rsidP="00165A41">
      <w:pPr>
        <w:pStyle w:val="NoSpacing"/>
        <w:rPr>
          <w:rFonts w:ascii="Times New Roman" w:hAnsi="Times New Roman"/>
          <w:sz w:val="24"/>
          <w:szCs w:val="24"/>
        </w:rPr>
      </w:pPr>
      <w:r w:rsidRPr="00A445BE">
        <w:rPr>
          <w:rFonts w:ascii="Times New Roman" w:hAnsi="Times New Roman"/>
          <w:sz w:val="24"/>
          <w:szCs w:val="24"/>
        </w:rPr>
        <w:t xml:space="preserve">On Oct. 11, 2024. in </w:t>
      </w:r>
      <w:r w:rsidRPr="00A445BE">
        <w:rPr>
          <w:rFonts w:ascii="Times New Roman" w:hAnsi="Times New Roman"/>
          <w:sz w:val="24"/>
          <w:szCs w:val="24"/>
          <w:u w:val="single"/>
        </w:rPr>
        <w:t>Pierre Grenier v. Civil Service Commission and City of Springfield</w:t>
      </w:r>
      <w:r w:rsidRPr="00A445BE">
        <w:rPr>
          <w:rFonts w:ascii="Times New Roman" w:hAnsi="Times New Roman"/>
          <w:sz w:val="24"/>
          <w:szCs w:val="24"/>
        </w:rPr>
        <w:t>, the Massachusetts Appeals Court held: “The plaintiff, Pierre Grenier, appeals from an order of a</w:t>
      </w:r>
    </w:p>
    <w:p w14:paraId="3C3E8FF8" w14:textId="77777777" w:rsidR="00165A41" w:rsidRPr="00A445BE" w:rsidRDefault="00165A41" w:rsidP="00165A41">
      <w:pPr>
        <w:pStyle w:val="NoSpacing"/>
        <w:rPr>
          <w:rFonts w:ascii="Times New Roman" w:hAnsi="Times New Roman"/>
          <w:sz w:val="24"/>
          <w:szCs w:val="24"/>
        </w:rPr>
      </w:pPr>
      <w:r w:rsidRPr="00A445BE">
        <w:rPr>
          <w:rFonts w:ascii="Times New Roman" w:hAnsi="Times New Roman"/>
          <w:sz w:val="24"/>
          <w:szCs w:val="24"/>
        </w:rPr>
        <w:t>judge of the Superior Court granting judgment in favor of the defendants, the Civil Service Commission (commission) and the city of Springfield (city). The judge affirmed the decision of</w:t>
      </w:r>
    </w:p>
    <w:p w14:paraId="4725EED7" w14:textId="77777777" w:rsidR="00165A41" w:rsidRPr="00A445BE" w:rsidRDefault="00165A41" w:rsidP="00165A41">
      <w:pPr>
        <w:pStyle w:val="NoSpacing"/>
        <w:rPr>
          <w:rFonts w:ascii="Times New Roman" w:hAnsi="Times New Roman"/>
          <w:sz w:val="24"/>
          <w:szCs w:val="24"/>
        </w:rPr>
      </w:pPr>
      <w:r w:rsidRPr="00A445BE">
        <w:rPr>
          <w:rFonts w:ascii="Times New Roman" w:hAnsi="Times New Roman"/>
          <w:sz w:val="24"/>
          <w:szCs w:val="24"/>
        </w:rPr>
        <w:t xml:space="preserve">the commission that the city had reasonable justification to bypass Grenier for a promotion to district fire chief. We affirm.” </w:t>
      </w:r>
    </w:p>
    <w:p w14:paraId="15488E77" w14:textId="77777777" w:rsidR="00165A41" w:rsidRPr="00A445BE" w:rsidRDefault="00165A41" w:rsidP="00165A41">
      <w:pPr>
        <w:pStyle w:val="NoSpacing"/>
        <w:rPr>
          <w:rFonts w:ascii="Times New Roman" w:hAnsi="Times New Roman"/>
          <w:sz w:val="24"/>
          <w:szCs w:val="24"/>
        </w:rPr>
      </w:pPr>
      <w:hyperlink r:id="rId853" w:history="1">
        <w:r w:rsidRPr="00A445BE">
          <w:rPr>
            <w:rStyle w:val="Hyperlink"/>
            <w:rFonts w:ascii="Times New Roman" w:hAnsi="Times New Roman"/>
            <w:sz w:val="24"/>
            <w:szCs w:val="24"/>
          </w:rPr>
          <w:t>https://www.mass.gov/doc/grenier-pierre-v-springfield-fire-department-related-appeals-court-decision-101124/download</w:t>
        </w:r>
      </w:hyperlink>
      <w:r w:rsidRPr="00A445BE">
        <w:rPr>
          <w:rFonts w:ascii="Times New Roman" w:hAnsi="Times New Roman"/>
          <w:sz w:val="24"/>
          <w:szCs w:val="24"/>
        </w:rPr>
        <w:t xml:space="preserve"> </w:t>
      </w:r>
    </w:p>
    <w:p w14:paraId="4ADCAB31" w14:textId="77777777" w:rsidR="002665B4" w:rsidRPr="00A445BE" w:rsidRDefault="002665B4" w:rsidP="00165A41">
      <w:pPr>
        <w:pStyle w:val="NoSpacing"/>
        <w:rPr>
          <w:rFonts w:ascii="Times New Roman" w:hAnsi="Times New Roman"/>
          <w:sz w:val="24"/>
          <w:szCs w:val="24"/>
        </w:rPr>
      </w:pPr>
    </w:p>
    <w:p w14:paraId="0BF648F7" w14:textId="77777777" w:rsidR="002665B4" w:rsidRPr="00391D9A" w:rsidRDefault="002665B4" w:rsidP="002665B4">
      <w:pPr>
        <w:pStyle w:val="NoSpacing"/>
        <w:rPr>
          <w:b/>
          <w:bCs/>
        </w:rPr>
      </w:pPr>
      <w:r w:rsidRPr="00A445BE">
        <w:rPr>
          <w:rFonts w:ascii="Times New Roman" w:hAnsi="Times New Roman"/>
          <w:b/>
          <w:sz w:val="24"/>
          <w:szCs w:val="24"/>
        </w:rPr>
        <w:t>Legal Lesson Learned:  Use of selection board is an excellent promotion process</w:t>
      </w:r>
      <w:r>
        <w:rPr>
          <w:b/>
        </w:rPr>
        <w:t xml:space="preserve">. </w:t>
      </w:r>
    </w:p>
    <w:p w14:paraId="0259D745" w14:textId="77777777" w:rsidR="002665B4" w:rsidRDefault="002665B4" w:rsidP="002665B4">
      <w:pPr>
        <w:rPr>
          <w:rFonts w:asciiTheme="majorHAnsi" w:hAnsiTheme="majorHAnsi" w:cstheme="minorHAnsi"/>
          <w:sz w:val="28"/>
        </w:rPr>
      </w:pPr>
    </w:p>
    <w:p w14:paraId="3511EE78" w14:textId="77777777" w:rsidR="002665B4" w:rsidRDefault="002665B4" w:rsidP="00165A41">
      <w:pPr>
        <w:pStyle w:val="NoSpacing"/>
      </w:pPr>
    </w:p>
    <w:p w14:paraId="4778837F" w14:textId="77777777" w:rsidR="00B34A49" w:rsidRDefault="00B34A49" w:rsidP="002B1283">
      <w:pPr>
        <w:rPr>
          <w:rStyle w:val="Hyperlink"/>
          <w:rFonts w:ascii="Arial Black" w:hAnsi="Arial Black"/>
          <w:b/>
          <w:color w:val="auto"/>
          <w:sz w:val="24"/>
          <w:szCs w:val="24"/>
          <w:u w:val="none"/>
        </w:rPr>
      </w:pPr>
    </w:p>
    <w:p w14:paraId="579F9EB8" w14:textId="5B023ED2" w:rsidR="00B34A49" w:rsidRDefault="00B34A49"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w:t>
      </w:r>
      <w:r w:rsidR="00306E28">
        <w:rPr>
          <w:rStyle w:val="Hyperlink"/>
          <w:rFonts w:ascii="Arial Black" w:hAnsi="Arial Black"/>
          <w:b/>
          <w:color w:val="auto"/>
          <w:sz w:val="24"/>
          <w:szCs w:val="24"/>
          <w:u w:val="none"/>
        </w:rPr>
        <w:t>3</w:t>
      </w:r>
    </w:p>
    <w:p w14:paraId="4C3E65C3" w14:textId="77777777" w:rsidR="00387D84" w:rsidRPr="005B675E" w:rsidRDefault="00387D84" w:rsidP="00387D84">
      <w:pPr>
        <w:rPr>
          <w:rFonts w:ascii="Arial Black" w:hAnsi="Arial Black"/>
          <w:b/>
          <w:bCs/>
          <w:sz w:val="28"/>
          <w:szCs w:val="28"/>
        </w:rPr>
      </w:pPr>
      <w:r w:rsidRPr="005B675E">
        <w:rPr>
          <w:rFonts w:ascii="Arial Black" w:hAnsi="Arial Black"/>
          <w:b/>
          <w:bCs/>
          <w:sz w:val="28"/>
          <w:szCs w:val="28"/>
        </w:rPr>
        <w:t>CA: WILDLAND FIRE –  BACKFIRES – RANCHER MUST PROVE BACKFIRES NEG. USED DURING “RED FLAG WARNINGS”</w:t>
      </w:r>
    </w:p>
    <w:p w14:paraId="10D2C209" w14:textId="77777777" w:rsidR="00387D84" w:rsidRPr="00124FAD" w:rsidRDefault="00387D84" w:rsidP="00387D84">
      <w:pPr>
        <w:pStyle w:val="NoSpacing"/>
        <w:rPr>
          <w:rFonts w:ascii="Times New Roman" w:hAnsi="Times New Roman"/>
          <w:sz w:val="24"/>
          <w:szCs w:val="24"/>
        </w:rPr>
      </w:pPr>
      <w:r w:rsidRPr="00124FAD">
        <w:rPr>
          <w:rFonts w:ascii="Times New Roman" w:hAnsi="Times New Roman"/>
          <w:sz w:val="24"/>
          <w:szCs w:val="24"/>
        </w:rPr>
        <w:t xml:space="preserve">On Oct. 8, 2024, in </w:t>
      </w:r>
      <w:r w:rsidRPr="00124FAD">
        <w:rPr>
          <w:rFonts w:ascii="Times New Roman" w:hAnsi="Times New Roman"/>
          <w:sz w:val="24"/>
          <w:szCs w:val="24"/>
          <w:u w:val="single"/>
        </w:rPr>
        <w:t>Joe Allen Wixson v. The United States</w:t>
      </w:r>
      <w:r w:rsidRPr="00124FAD">
        <w:rPr>
          <w:rFonts w:ascii="Times New Roman" w:hAnsi="Times New Roman"/>
          <w:sz w:val="24"/>
          <w:szCs w:val="24"/>
        </w:rPr>
        <w:t xml:space="preserve">, the United States Court of Federal Claims [Wahington, D.C.] held: “Joe Allen Wixson alleges that the government took his private property for public use by allowing it to be destroyed by a fire. He alleges that the decisions by the U.S. Forest Service to cancel prescribed burns and employee trainings during the covid-19 pandemic, and then to use defensive firefighting techniques during a windy day, caused the fire to affect his property. *** In sum, the government’s decisions to cancel prescribed burns and firefighter training cannot form the basis for Mr. </w:t>
      </w:r>
      <w:proofErr w:type="gramStart"/>
      <w:r w:rsidRPr="00124FAD">
        <w:rPr>
          <w:rFonts w:ascii="Times New Roman" w:hAnsi="Times New Roman"/>
          <w:sz w:val="24"/>
          <w:szCs w:val="24"/>
        </w:rPr>
        <w:t>Wixson’s takings</w:t>
      </w:r>
      <w:proofErr w:type="gramEnd"/>
      <w:r w:rsidRPr="00124FAD">
        <w:rPr>
          <w:rFonts w:ascii="Times New Roman" w:hAnsi="Times New Roman"/>
          <w:sz w:val="24"/>
          <w:szCs w:val="24"/>
        </w:rPr>
        <w:t xml:space="preserve"> claim or any other claim in this court. *** Because the government did not intend to invade Mr. Wixson’s property, Mr. Wixson must show that the fire on his property was the direct, natural, or probable result of the government’s use of backfires, or controlled burn techniques.” </w:t>
      </w:r>
      <w:hyperlink r:id="rId854" w:history="1">
        <w:r w:rsidRPr="00124FAD">
          <w:rPr>
            <w:rStyle w:val="Hyperlink"/>
            <w:rFonts w:ascii="Times New Roman" w:hAnsi="Times New Roman"/>
            <w:sz w:val="24"/>
            <w:szCs w:val="24"/>
          </w:rPr>
          <w:t>https://cases.justia.com/federal/district-courts/federal-claims/cofce/1:2022cv01201/46126/27/0.pdf?ts=1728477951</w:t>
        </w:r>
      </w:hyperlink>
      <w:r w:rsidRPr="00124FAD">
        <w:rPr>
          <w:rFonts w:ascii="Times New Roman" w:hAnsi="Times New Roman"/>
          <w:sz w:val="24"/>
          <w:szCs w:val="24"/>
        </w:rPr>
        <w:t xml:space="preserve"> </w:t>
      </w:r>
    </w:p>
    <w:p w14:paraId="2552D32E" w14:textId="77777777" w:rsidR="00124FAD" w:rsidRPr="00124FAD" w:rsidRDefault="00124FAD" w:rsidP="00124FAD">
      <w:pPr>
        <w:pStyle w:val="NoSpacing"/>
        <w:rPr>
          <w:rFonts w:ascii="Times New Roman" w:hAnsi="Times New Roman"/>
          <w:b/>
          <w:sz w:val="24"/>
          <w:szCs w:val="24"/>
        </w:rPr>
      </w:pPr>
    </w:p>
    <w:p w14:paraId="4AA38B66" w14:textId="5F8C52D6" w:rsidR="00124FAD" w:rsidRPr="00124FAD" w:rsidRDefault="00124FAD" w:rsidP="00124FAD">
      <w:pPr>
        <w:pStyle w:val="NoSpacing"/>
        <w:rPr>
          <w:rFonts w:ascii="Times New Roman" w:hAnsi="Times New Roman"/>
          <w:b/>
          <w:bCs/>
          <w:sz w:val="24"/>
          <w:szCs w:val="24"/>
        </w:rPr>
      </w:pPr>
      <w:r w:rsidRPr="00124FAD">
        <w:rPr>
          <w:rFonts w:ascii="Times New Roman" w:hAnsi="Times New Roman"/>
          <w:b/>
          <w:sz w:val="24"/>
          <w:szCs w:val="24"/>
        </w:rPr>
        <w:t>Legal Lesson Learned: Property owner will need expert testimony showing backfires were done in a negligent manner during Red Flag warnings.</w:t>
      </w:r>
    </w:p>
    <w:p w14:paraId="7F27B55F" w14:textId="77777777" w:rsidR="00124FAD" w:rsidRDefault="00124FAD" w:rsidP="00124FAD">
      <w:pPr>
        <w:pStyle w:val="NoSpacing"/>
      </w:pPr>
    </w:p>
    <w:p w14:paraId="02BCC860" w14:textId="77777777" w:rsidR="00B34A49" w:rsidRDefault="00B34A49" w:rsidP="002B1283">
      <w:pPr>
        <w:rPr>
          <w:rStyle w:val="Hyperlink"/>
          <w:rFonts w:ascii="Arial Black" w:hAnsi="Arial Black"/>
          <w:b/>
          <w:color w:val="auto"/>
          <w:sz w:val="24"/>
          <w:szCs w:val="24"/>
          <w:u w:val="none"/>
        </w:rPr>
      </w:pPr>
    </w:p>
    <w:p w14:paraId="51ECB432" w14:textId="15C52E71" w:rsidR="00B34A49" w:rsidRDefault="00B34A49"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w:t>
      </w:r>
      <w:r w:rsidR="00306E28">
        <w:rPr>
          <w:rStyle w:val="Hyperlink"/>
          <w:rFonts w:ascii="Arial Black" w:hAnsi="Arial Black"/>
          <w:b/>
          <w:color w:val="auto"/>
          <w:sz w:val="24"/>
          <w:szCs w:val="24"/>
          <w:u w:val="none"/>
        </w:rPr>
        <w:t>2</w:t>
      </w:r>
    </w:p>
    <w:p w14:paraId="491BA4E4" w14:textId="77777777" w:rsidR="00CB542E" w:rsidRPr="005B675E" w:rsidRDefault="00CB542E" w:rsidP="00CB542E">
      <w:pPr>
        <w:pStyle w:val="NoSpacing"/>
        <w:rPr>
          <w:rFonts w:ascii="Arial Black" w:hAnsi="Arial Black"/>
          <w:b/>
          <w:bCs/>
          <w:sz w:val="28"/>
          <w:szCs w:val="28"/>
        </w:rPr>
      </w:pPr>
      <w:r w:rsidRPr="005B675E">
        <w:rPr>
          <w:rFonts w:ascii="Arial Black" w:hAnsi="Arial Black"/>
          <w:b/>
          <w:bCs/>
          <w:sz w:val="28"/>
          <w:szCs w:val="28"/>
        </w:rPr>
        <w:t xml:space="preserve">CA: CAMPERS CALLED 911 – SEE WILDLAND FIRE – TOLD NO DANGER 3-4 DAYS / WILL ADVISE – INJURED – IMMUNITY </w:t>
      </w:r>
    </w:p>
    <w:p w14:paraId="44919140" w14:textId="77777777" w:rsidR="00CB542E" w:rsidRPr="00306E28" w:rsidRDefault="00CB542E" w:rsidP="00CB542E">
      <w:pPr>
        <w:pStyle w:val="NoSpacing"/>
        <w:rPr>
          <w:rFonts w:ascii="Times New Roman" w:hAnsi="Times New Roman"/>
          <w:sz w:val="24"/>
          <w:szCs w:val="24"/>
        </w:rPr>
      </w:pPr>
    </w:p>
    <w:p w14:paraId="1F7E1699" w14:textId="77777777" w:rsidR="00CB542E" w:rsidRPr="00306E28" w:rsidRDefault="00CB542E" w:rsidP="00CB542E">
      <w:pPr>
        <w:pStyle w:val="NoSpacing"/>
        <w:rPr>
          <w:rFonts w:ascii="Times New Roman" w:hAnsi="Times New Roman"/>
          <w:sz w:val="24"/>
          <w:szCs w:val="24"/>
        </w:rPr>
      </w:pPr>
      <w:r w:rsidRPr="00306E28">
        <w:rPr>
          <w:rFonts w:ascii="Times New Roman" w:hAnsi="Times New Roman"/>
          <w:sz w:val="24"/>
          <w:szCs w:val="24"/>
        </w:rPr>
        <w:t xml:space="preserve">On Oct. 8, 2024, in </w:t>
      </w:r>
      <w:r w:rsidRPr="00306E28">
        <w:rPr>
          <w:rFonts w:ascii="Times New Roman" w:hAnsi="Times New Roman"/>
          <w:sz w:val="24"/>
          <w:szCs w:val="24"/>
          <w:u w:val="single"/>
        </w:rPr>
        <w:t>Michelle Portillo, et al. v, Madera County</w:t>
      </w:r>
      <w:r w:rsidRPr="00306E28">
        <w:rPr>
          <w:rFonts w:ascii="Times New Roman" w:hAnsi="Times New Roman"/>
          <w:sz w:val="24"/>
          <w:szCs w:val="24"/>
        </w:rPr>
        <w:t xml:space="preserve">, the California Court of Appeals, Fifth District. Held (3 to 0; unpublished opinion): “Appellants are </w:t>
      </w:r>
      <w:proofErr w:type="gramStart"/>
      <w:r w:rsidRPr="00306E28">
        <w:rPr>
          <w:rFonts w:ascii="Times New Roman" w:hAnsi="Times New Roman"/>
          <w:sz w:val="24"/>
          <w:szCs w:val="24"/>
        </w:rPr>
        <w:t>a number of</w:t>
      </w:r>
      <w:proofErr w:type="gramEnd"/>
      <w:r w:rsidRPr="00306E28">
        <w:rPr>
          <w:rFonts w:ascii="Times New Roman" w:hAnsi="Times New Roman"/>
          <w:sz w:val="24"/>
          <w:szCs w:val="24"/>
        </w:rPr>
        <w:t xml:space="preserve"> campers that were caught in the 2020 Creek Fire. They sued Madera County (County) after they were injured, claiming a County employee negligently advised them about the fire danger and broke a promise to inform them if the danger increased. The trial court dismissed their third amended complaint on demurrer. Appellants challenge this ruling. For the reasons set forth below, we affirm.”</w:t>
      </w:r>
    </w:p>
    <w:p w14:paraId="4335B6F6" w14:textId="77777777" w:rsidR="00CB542E" w:rsidRPr="00306E28" w:rsidRDefault="00CB542E" w:rsidP="00CB542E">
      <w:pPr>
        <w:pStyle w:val="NoSpacing"/>
        <w:rPr>
          <w:rFonts w:ascii="Times New Roman" w:hAnsi="Times New Roman"/>
          <w:sz w:val="24"/>
          <w:szCs w:val="24"/>
        </w:rPr>
      </w:pPr>
      <w:hyperlink r:id="rId855" w:history="1">
        <w:r w:rsidRPr="00306E28">
          <w:rPr>
            <w:rStyle w:val="Hyperlink"/>
            <w:rFonts w:ascii="Times New Roman" w:hAnsi="Times New Roman"/>
            <w:sz w:val="24"/>
            <w:szCs w:val="24"/>
          </w:rPr>
          <w:t>https://casetext.com/case/portillo-v-madera-cnty</w:t>
        </w:r>
      </w:hyperlink>
      <w:r w:rsidRPr="00306E28">
        <w:rPr>
          <w:rFonts w:ascii="Times New Roman" w:hAnsi="Times New Roman"/>
          <w:sz w:val="24"/>
          <w:szCs w:val="24"/>
        </w:rPr>
        <w:t xml:space="preserve"> </w:t>
      </w:r>
    </w:p>
    <w:p w14:paraId="7EB8CADD" w14:textId="77777777" w:rsidR="00CB542E" w:rsidRPr="00306E28" w:rsidRDefault="00CB542E" w:rsidP="00CB542E">
      <w:pPr>
        <w:pStyle w:val="NoSpacing"/>
        <w:rPr>
          <w:rFonts w:ascii="Times New Roman" w:hAnsi="Times New Roman"/>
          <w:sz w:val="24"/>
          <w:szCs w:val="24"/>
        </w:rPr>
      </w:pPr>
    </w:p>
    <w:p w14:paraId="0B2D8DF3" w14:textId="77777777" w:rsidR="00306E28" w:rsidRPr="00306E28" w:rsidRDefault="00306E28" w:rsidP="00306E28">
      <w:pPr>
        <w:pStyle w:val="NoSpacing"/>
        <w:rPr>
          <w:rFonts w:ascii="Times New Roman" w:hAnsi="Times New Roman"/>
          <w:b/>
          <w:bCs/>
          <w:sz w:val="24"/>
          <w:szCs w:val="24"/>
        </w:rPr>
      </w:pPr>
      <w:r w:rsidRPr="00306E28">
        <w:rPr>
          <w:rFonts w:ascii="Times New Roman" w:hAnsi="Times New Roman"/>
          <w:b/>
          <w:sz w:val="24"/>
          <w:szCs w:val="24"/>
        </w:rPr>
        <w:t xml:space="preserve">Legal Lesson Learned: Very difficult for these campers to prove gross negligence. </w:t>
      </w:r>
    </w:p>
    <w:p w14:paraId="59A25CFA" w14:textId="77777777" w:rsidR="00B34A49" w:rsidRDefault="00B34A49" w:rsidP="002B1283">
      <w:pPr>
        <w:rPr>
          <w:rStyle w:val="Hyperlink"/>
          <w:rFonts w:ascii="Arial Black" w:hAnsi="Arial Black"/>
          <w:b/>
          <w:color w:val="auto"/>
          <w:sz w:val="24"/>
          <w:szCs w:val="24"/>
          <w:u w:val="none"/>
        </w:rPr>
      </w:pPr>
    </w:p>
    <w:p w14:paraId="65018BA7" w14:textId="7DDE71CA" w:rsidR="0075297C" w:rsidRDefault="0075297C"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4-41</w:t>
      </w:r>
    </w:p>
    <w:p w14:paraId="5376D485" w14:textId="77777777" w:rsidR="00C76B17" w:rsidRPr="005B675E" w:rsidRDefault="00C76B17" w:rsidP="00C76B17">
      <w:pPr>
        <w:pStyle w:val="NoSpacing"/>
        <w:rPr>
          <w:rFonts w:ascii="Arial Black" w:hAnsi="Arial Black"/>
          <w:b/>
          <w:bCs/>
          <w:sz w:val="28"/>
          <w:szCs w:val="28"/>
        </w:rPr>
      </w:pPr>
      <w:r w:rsidRPr="005B675E">
        <w:rPr>
          <w:rFonts w:ascii="Arial Black" w:hAnsi="Arial Black"/>
          <w:b/>
          <w:bCs/>
          <w:sz w:val="28"/>
          <w:szCs w:val="28"/>
        </w:rPr>
        <w:t>CT:  WIRES DOWN ON CAR – 2 TRAPPED FOR 1-HOUR -  – STATE ORDERS UTILITY COMPANY MORE RAPID RESPONSE</w:t>
      </w:r>
    </w:p>
    <w:p w14:paraId="10C3CA83" w14:textId="77777777" w:rsidR="00C76B17" w:rsidRPr="005B675E" w:rsidRDefault="00C76B17" w:rsidP="00C76B17">
      <w:pPr>
        <w:pStyle w:val="NoSpacing"/>
        <w:rPr>
          <w:rFonts w:ascii="Arial Black" w:hAnsi="Arial Black"/>
          <w:sz w:val="28"/>
          <w:szCs w:val="28"/>
        </w:rPr>
      </w:pPr>
    </w:p>
    <w:p w14:paraId="42787C0A" w14:textId="319C35F5" w:rsidR="0075297C" w:rsidRPr="00C833FD" w:rsidRDefault="00C76B17" w:rsidP="00C76B17">
      <w:pPr>
        <w:pStyle w:val="NoSpacing"/>
        <w:rPr>
          <w:rStyle w:val="Hyperlink"/>
          <w:rFonts w:ascii="Times New Roman" w:hAnsi="Times New Roman"/>
          <w:sz w:val="24"/>
          <w:szCs w:val="24"/>
        </w:rPr>
      </w:pPr>
      <w:r w:rsidRPr="00C833FD">
        <w:rPr>
          <w:rFonts w:ascii="Times New Roman" w:hAnsi="Times New Roman"/>
          <w:sz w:val="24"/>
          <w:szCs w:val="24"/>
        </w:rPr>
        <w:t xml:space="preserve">Oct. 2, 2024, in </w:t>
      </w:r>
      <w:r w:rsidRPr="00C833FD">
        <w:rPr>
          <w:rFonts w:ascii="Times New Roman" w:hAnsi="Times New Roman"/>
          <w:sz w:val="24"/>
          <w:szCs w:val="24"/>
          <w:u w:val="single"/>
        </w:rPr>
        <w:t xml:space="preserve">The Connecticut Light &amp; Power Company, d/b/a </w:t>
      </w:r>
      <w:proofErr w:type="spellStart"/>
      <w:r w:rsidRPr="00C833FD">
        <w:rPr>
          <w:rFonts w:ascii="Times New Roman" w:hAnsi="Times New Roman"/>
          <w:sz w:val="24"/>
          <w:szCs w:val="24"/>
          <w:u w:val="single"/>
        </w:rPr>
        <w:t>Eversourse</w:t>
      </w:r>
      <w:proofErr w:type="spellEnd"/>
      <w:r w:rsidRPr="00C833FD">
        <w:rPr>
          <w:rFonts w:ascii="Times New Roman" w:hAnsi="Times New Roman"/>
          <w:sz w:val="24"/>
          <w:szCs w:val="24"/>
          <w:u w:val="single"/>
        </w:rPr>
        <w:t xml:space="preserve"> Energy v. Public Utilities Regulatory Authority</w:t>
      </w:r>
      <w:r w:rsidRPr="00C833FD">
        <w:rPr>
          <w:rFonts w:ascii="Times New Roman" w:hAnsi="Times New Roman"/>
          <w:sz w:val="24"/>
          <w:szCs w:val="24"/>
        </w:rPr>
        <w:t xml:space="preserve">, the Superior Court of Connecticut, Judicial District of New Britain, Tax and Administrative Appeals Division, (Judge Matthew J. Budzik) held: “Because the statutes and regulations cited by Eversource are either inapplicable, or merely permit - - but do not require -- PURA to hold a hearing on the instant investigation, the court grants the motion to dismiss.” </w:t>
      </w:r>
      <w:hyperlink r:id="rId856" w:history="1">
        <w:r w:rsidRPr="00C833FD">
          <w:rPr>
            <w:rStyle w:val="Hyperlink"/>
            <w:rFonts w:ascii="Times New Roman" w:hAnsi="Times New Roman"/>
            <w:sz w:val="24"/>
            <w:szCs w:val="24"/>
          </w:rPr>
          <w:t>https://www.firelawblog.com/wp-content/uploads/sites/19/2024/10/Light-v.-Pub.-Utils.-Regul.-Auth._-2024-Conn.-Super.-LE.pdf</w:t>
        </w:r>
      </w:hyperlink>
    </w:p>
    <w:p w14:paraId="55AFD4BB" w14:textId="77777777" w:rsidR="00C833FD" w:rsidRPr="00C833FD" w:rsidRDefault="00C833FD" w:rsidP="00C76B17">
      <w:pPr>
        <w:pStyle w:val="NoSpacing"/>
        <w:rPr>
          <w:rStyle w:val="Hyperlink"/>
          <w:rFonts w:ascii="Times New Roman" w:hAnsi="Times New Roman"/>
          <w:sz w:val="24"/>
          <w:szCs w:val="24"/>
        </w:rPr>
      </w:pPr>
    </w:p>
    <w:p w14:paraId="07E26062" w14:textId="77777777" w:rsidR="00C833FD" w:rsidRPr="00C833FD" w:rsidRDefault="00C833FD" w:rsidP="00C833FD">
      <w:pPr>
        <w:pStyle w:val="NoSpacing"/>
        <w:rPr>
          <w:rFonts w:ascii="Times New Roman" w:hAnsi="Times New Roman"/>
          <w:b/>
          <w:bCs/>
          <w:sz w:val="24"/>
          <w:szCs w:val="24"/>
        </w:rPr>
      </w:pPr>
      <w:r w:rsidRPr="00C833FD">
        <w:rPr>
          <w:rFonts w:ascii="Times New Roman" w:hAnsi="Times New Roman"/>
          <w:b/>
          <w:sz w:val="24"/>
          <w:szCs w:val="24"/>
        </w:rPr>
        <w:t>Legal Lesson Learned: Nice to see State agency holding utility company’s “feet to the fire</w:t>
      </w:r>
      <w:r w:rsidRPr="00C833FD">
        <w:rPr>
          <w:rFonts w:ascii="Times New Roman" w:hAnsi="Times New Roman"/>
          <w:b/>
          <w:bCs/>
          <w:sz w:val="24"/>
          <w:szCs w:val="24"/>
        </w:rPr>
        <w:t>”</w:t>
      </w:r>
      <w:r w:rsidRPr="00C833FD">
        <w:rPr>
          <w:rFonts w:ascii="Times New Roman" w:hAnsi="Times New Roman"/>
          <w:b/>
          <w:sz w:val="24"/>
          <w:szCs w:val="24"/>
        </w:rPr>
        <w:t xml:space="preserve"> for slow response to wires on occupied vehicle call.</w:t>
      </w:r>
    </w:p>
    <w:p w14:paraId="507A88E4" w14:textId="77777777" w:rsidR="00C833FD" w:rsidRDefault="00C833FD" w:rsidP="00C76B17">
      <w:pPr>
        <w:pStyle w:val="NoSpacing"/>
        <w:rPr>
          <w:rStyle w:val="Hyperlink"/>
          <w:rFonts w:ascii="Arial Black" w:hAnsi="Arial Black"/>
          <w:b/>
          <w:color w:val="auto"/>
          <w:sz w:val="24"/>
          <w:szCs w:val="24"/>
          <w:u w:val="none"/>
        </w:rPr>
      </w:pPr>
    </w:p>
    <w:p w14:paraId="382F4A73" w14:textId="77777777" w:rsidR="0075297C" w:rsidRDefault="0075297C" w:rsidP="002B1283">
      <w:pPr>
        <w:rPr>
          <w:rStyle w:val="Hyperlink"/>
          <w:rFonts w:ascii="Arial Black" w:hAnsi="Arial Black"/>
          <w:b/>
          <w:color w:val="auto"/>
          <w:sz w:val="24"/>
          <w:szCs w:val="24"/>
          <w:u w:val="none"/>
        </w:rPr>
      </w:pPr>
    </w:p>
    <w:p w14:paraId="375B116B" w14:textId="233B621A" w:rsidR="00291569" w:rsidRDefault="0038005B"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4-40</w:t>
      </w:r>
    </w:p>
    <w:p w14:paraId="60385150" w14:textId="77777777" w:rsidR="002E0D85" w:rsidRPr="005B675E" w:rsidRDefault="002E0D85" w:rsidP="002E0D85">
      <w:pPr>
        <w:pStyle w:val="NormalWeb"/>
        <w:rPr>
          <w:rFonts w:ascii="Arial Black" w:hAnsi="Arial Black"/>
          <w:color w:val="454545"/>
          <w:sz w:val="28"/>
          <w:szCs w:val="28"/>
          <w:shd w:val="clear" w:color="auto" w:fill="FFFFFF"/>
        </w:rPr>
      </w:pPr>
      <w:r w:rsidRPr="005B675E">
        <w:rPr>
          <w:rFonts w:ascii="Arial Black" w:hAnsi="Arial Black"/>
          <w:color w:val="454545"/>
          <w:sz w:val="28"/>
          <w:szCs w:val="28"/>
          <w:shd w:val="clear" w:color="auto" w:fill="FFFFFF"/>
        </w:rPr>
        <w:t>UT: TWO FOREST FIRES – IC DECIDED TO LET BURN – HIGH WINDS 100,000 ACRES – BUILDING OWNERS CAN’T SUE</w:t>
      </w:r>
    </w:p>
    <w:p w14:paraId="6B94410D" w14:textId="77777777" w:rsidR="002E0D85" w:rsidRPr="004562D2" w:rsidRDefault="002E0D85" w:rsidP="002E0D85">
      <w:pPr>
        <w:pStyle w:val="NormalWeb"/>
        <w:rPr>
          <w:color w:val="454545"/>
          <w:shd w:val="clear" w:color="auto" w:fill="FFFFFF"/>
        </w:rPr>
      </w:pPr>
      <w:r w:rsidRPr="004562D2">
        <w:rPr>
          <w:color w:val="454545"/>
          <w:shd w:val="clear" w:color="auto" w:fill="FFFFFF"/>
        </w:rPr>
        <w:t xml:space="preserve">On July 30, 2024, in </w:t>
      </w:r>
      <w:r w:rsidRPr="004562D2">
        <w:rPr>
          <w:color w:val="454545"/>
          <w:u w:val="single"/>
          <w:shd w:val="clear" w:color="auto" w:fill="FFFFFF"/>
        </w:rPr>
        <w:t>Strawberry Water Users Association v. United States</w:t>
      </w:r>
      <w:r w:rsidRPr="004562D2">
        <w:rPr>
          <w:color w:val="454545"/>
          <w:shd w:val="clear" w:color="auto" w:fill="FFFFFF"/>
        </w:rPr>
        <w:t>,  the U.S. Court of Appeals for 10</w:t>
      </w:r>
      <w:r w:rsidRPr="004562D2">
        <w:rPr>
          <w:color w:val="454545"/>
          <w:shd w:val="clear" w:color="auto" w:fill="FFFFFF"/>
          <w:vertAlign w:val="superscript"/>
        </w:rPr>
        <w:t>th</w:t>
      </w:r>
      <w:r w:rsidRPr="004562D2">
        <w:rPr>
          <w:color w:val="454545"/>
          <w:shd w:val="clear" w:color="auto" w:fill="FFFFFF"/>
        </w:rPr>
        <w:t xml:space="preserve"> Circuit (Denver) held [3 to 0) that U.S. District Court judge properly dismissed the lawsuit for “lack of jurisdiction.” “[T]he Forest Service undoubtedly acted within the ambit of its authority in allowing the fires to burn. Congress granted the Forest Service the authority to develop and implement wildfire-management policies under dual statutory regimes.”</w:t>
      </w:r>
      <w:r w:rsidRPr="004562D2">
        <w:t xml:space="preserve"> </w:t>
      </w:r>
      <w:hyperlink r:id="rId857" w:history="1">
        <w:r w:rsidRPr="004562D2">
          <w:rPr>
            <w:rStyle w:val="Hyperlink"/>
            <w:shd w:val="clear" w:color="auto" w:fill="FFFFFF"/>
          </w:rPr>
          <w:t>https://caselaw.findlaw.com/court/us-10th-circuit/116433351.html</w:t>
        </w:r>
      </w:hyperlink>
      <w:r w:rsidRPr="004562D2">
        <w:rPr>
          <w:color w:val="454545"/>
          <w:shd w:val="clear" w:color="auto" w:fill="FFFFFF"/>
        </w:rPr>
        <w:t xml:space="preserve"> </w:t>
      </w:r>
    </w:p>
    <w:p w14:paraId="31908B81" w14:textId="77777777" w:rsidR="002E0D85" w:rsidRPr="009C1132" w:rsidRDefault="002E0D85" w:rsidP="002E0D85">
      <w:pPr>
        <w:pStyle w:val="NormalWeb"/>
        <w:rPr>
          <w:color w:val="454545"/>
          <w:shd w:val="clear" w:color="auto" w:fill="FFFFFF"/>
        </w:rPr>
      </w:pPr>
      <w:r w:rsidRPr="009C1132">
        <w:rPr>
          <w:color w:val="454545"/>
          <w:shd w:val="clear" w:color="auto" w:fill="FFFFFF"/>
        </w:rPr>
        <w:t>THE COURT HELD:</w:t>
      </w:r>
    </w:p>
    <w:p w14:paraId="1144B067" w14:textId="77777777" w:rsidR="002E0D85" w:rsidRPr="009C1132" w:rsidRDefault="002E0D85" w:rsidP="002E0D85">
      <w:pPr>
        <w:pStyle w:val="NormalWeb"/>
        <w:ind w:left="720"/>
        <w:rPr>
          <w:color w:val="454545"/>
          <w:shd w:val="clear" w:color="auto" w:fill="FFFFFF"/>
        </w:rPr>
      </w:pPr>
      <w:r w:rsidRPr="009C1132">
        <w:rPr>
          <w:color w:val="454545"/>
          <w:shd w:val="clear" w:color="auto" w:fill="FFFFFF"/>
        </w:rPr>
        <w:t>“The issue on appeal is whether the discretionary-function exception to liability under the Federal Tort Claims Act (FTCA) applies to the United States Forest Service's alleged mismanagement of two wildfires ignited on public lands. The district court held that the exception applied and therefore it was stripped of jurisdiction to hear the claims… Exercising jurisdiction under 28 U.S.C. § 1291, we affirm.”</w:t>
      </w:r>
    </w:p>
    <w:p w14:paraId="602CE19E" w14:textId="77777777" w:rsidR="00DA23FE" w:rsidRPr="0036267D" w:rsidRDefault="00DA23FE" w:rsidP="00DA23FE">
      <w:pPr>
        <w:pStyle w:val="NoSpacing"/>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Legal Lesson Learned: Congress under Federal Tort Claims Act provides immunity for government officials making discretionary decisions. </w:t>
      </w:r>
    </w:p>
    <w:p w14:paraId="1032664C" w14:textId="77777777" w:rsidR="0038005B" w:rsidRDefault="0038005B" w:rsidP="002B1283">
      <w:pPr>
        <w:rPr>
          <w:rStyle w:val="Hyperlink"/>
          <w:rFonts w:ascii="Arial Black" w:hAnsi="Arial Black"/>
          <w:b/>
          <w:color w:val="auto"/>
          <w:sz w:val="24"/>
          <w:szCs w:val="24"/>
          <w:u w:val="none"/>
        </w:rPr>
      </w:pPr>
    </w:p>
    <w:p w14:paraId="1FB8455C" w14:textId="77777777" w:rsidR="00291569" w:rsidRDefault="00291569" w:rsidP="002B1283">
      <w:pPr>
        <w:rPr>
          <w:rStyle w:val="Hyperlink"/>
          <w:rFonts w:ascii="Arial Black" w:hAnsi="Arial Black"/>
          <w:b/>
          <w:color w:val="auto"/>
          <w:sz w:val="24"/>
          <w:szCs w:val="24"/>
          <w:u w:val="none"/>
        </w:rPr>
      </w:pPr>
    </w:p>
    <w:p w14:paraId="5292E2AC" w14:textId="0E802254" w:rsidR="00291569" w:rsidRDefault="00291569"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4-39</w:t>
      </w:r>
    </w:p>
    <w:p w14:paraId="77BA7143" w14:textId="77777777" w:rsidR="00291569" w:rsidRPr="00D961B3" w:rsidRDefault="00291569" w:rsidP="00291569">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KY: FIRE CHIEF – REFUSED MUTUAL AID 3</w:t>
      </w:r>
      <w:r w:rsidRPr="00E973EF">
        <w:rPr>
          <w:rFonts w:ascii="Arial Black" w:hAnsi="Arial Black"/>
          <w:b/>
          <w:bCs/>
          <w:color w:val="454545"/>
          <w:sz w:val="28"/>
          <w:szCs w:val="28"/>
          <w:shd w:val="clear" w:color="auto" w:fill="FFFFFF"/>
          <w:vertAlign w:val="superscript"/>
        </w:rPr>
        <w:t>rd</w:t>
      </w:r>
      <w:r>
        <w:rPr>
          <w:rFonts w:ascii="Arial Black" w:hAnsi="Arial Black"/>
          <w:b/>
          <w:bCs/>
          <w:color w:val="454545"/>
          <w:sz w:val="28"/>
          <w:szCs w:val="28"/>
          <w:shd w:val="clear" w:color="auto" w:fill="FFFFFF"/>
        </w:rPr>
        <w:t xml:space="preserve"> FD – PRIOR ISSUES 3</w:t>
      </w:r>
      <w:r w:rsidRPr="00CE4862">
        <w:rPr>
          <w:rFonts w:ascii="Arial Black" w:hAnsi="Arial Black"/>
          <w:b/>
          <w:bCs/>
          <w:color w:val="454545"/>
          <w:sz w:val="28"/>
          <w:szCs w:val="28"/>
          <w:shd w:val="clear" w:color="auto" w:fill="FFFFFF"/>
          <w:vertAlign w:val="superscript"/>
        </w:rPr>
        <w:t>rd</w:t>
      </w:r>
      <w:r>
        <w:rPr>
          <w:rFonts w:ascii="Arial Black" w:hAnsi="Arial Black"/>
          <w:b/>
          <w:bCs/>
          <w:color w:val="454545"/>
          <w:sz w:val="28"/>
          <w:szCs w:val="28"/>
          <w:shd w:val="clear" w:color="auto" w:fill="FFFFFF"/>
        </w:rPr>
        <w:t xml:space="preserve"> FD’s INCIDENT COMMAND – QUAL. IMMUNITY </w:t>
      </w:r>
    </w:p>
    <w:p w14:paraId="469821F5" w14:textId="77777777" w:rsidR="00291569" w:rsidRDefault="00291569" w:rsidP="00291569">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On July 26, 2024, in </w:t>
      </w:r>
      <w:r w:rsidRPr="00A7779F">
        <w:rPr>
          <w:rFonts w:ascii="Times New Roman" w:hAnsi="Times New Roman"/>
          <w:sz w:val="24"/>
          <w:szCs w:val="24"/>
          <w:u w:val="single"/>
          <w:shd w:val="clear" w:color="auto" w:fill="FFFFFF"/>
        </w:rPr>
        <w:t>Lina Combs v. Jackson Fire Chief Chase Deaton</w:t>
      </w:r>
      <w:r>
        <w:rPr>
          <w:rFonts w:ascii="Times New Roman" w:hAnsi="Times New Roman"/>
          <w:sz w:val="24"/>
          <w:szCs w:val="24"/>
          <w:shd w:val="clear" w:color="auto" w:fill="FFFFFF"/>
        </w:rPr>
        <w:t>, the Court of Appeals of Kentucky held (3 to 0) that trial court properly dismissed the lawsuit regarding total loss of a commercial building in 2021.  The Fire Chief enjoys qualified immunity for discretionary duties; he testified that he called in two mutual aid FDs, but rejected offer for 3</w:t>
      </w:r>
      <w:r w:rsidRPr="00FF5775">
        <w:rPr>
          <w:rFonts w:ascii="Times New Roman" w:hAnsi="Times New Roman"/>
          <w:sz w:val="24"/>
          <w:szCs w:val="24"/>
          <w:shd w:val="clear" w:color="auto" w:fill="FFFFFF"/>
          <w:vertAlign w:val="superscript"/>
        </w:rPr>
        <w:t>rd</w:t>
      </w:r>
      <w:r>
        <w:rPr>
          <w:rFonts w:ascii="Times New Roman" w:hAnsi="Times New Roman"/>
          <w:sz w:val="24"/>
          <w:szCs w:val="24"/>
          <w:shd w:val="clear" w:color="auto" w:fill="FFFFFF"/>
        </w:rPr>
        <w:t xml:space="preserve"> FD since he has prior experience with that FD which “</w:t>
      </w:r>
      <w:r w:rsidRPr="007F35C2">
        <w:rPr>
          <w:rFonts w:ascii="Times New Roman" w:hAnsi="Times New Roman"/>
          <w:sz w:val="24"/>
          <w:szCs w:val="24"/>
          <w:shd w:val="clear" w:color="auto" w:fill="FFFFFF"/>
        </w:rPr>
        <w:t>do not fall within</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the incident command structure, will not listen to</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anything anybody tells them to do, which violates all</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National Incident Management System practices</w:t>
      </w:r>
      <w:r>
        <w:rPr>
          <w:rFonts w:ascii="Times New Roman" w:hAnsi="Times New Roman"/>
          <w:sz w:val="24"/>
          <w:szCs w:val="24"/>
          <w:shd w:val="clear" w:color="auto" w:fill="FFFFFF"/>
        </w:rPr>
        <w:t xml:space="preserve">.”  Court also rejected building owner’s argument that FD </w:t>
      </w:r>
      <w:proofErr w:type="gramStart"/>
      <w:r>
        <w:rPr>
          <w:rFonts w:ascii="Times New Roman" w:hAnsi="Times New Roman"/>
          <w:sz w:val="24"/>
          <w:szCs w:val="24"/>
          <w:shd w:val="clear" w:color="auto" w:fill="FFFFFF"/>
        </w:rPr>
        <w:t>liable</w:t>
      </w:r>
      <w:proofErr w:type="gramEnd"/>
      <w:r>
        <w:rPr>
          <w:rFonts w:ascii="Times New Roman" w:hAnsi="Times New Roman"/>
          <w:sz w:val="24"/>
          <w:szCs w:val="24"/>
          <w:shd w:val="clear" w:color="auto" w:fill="FFFFFF"/>
        </w:rPr>
        <w:t xml:space="preserve"> because one hydrant had low flow; hydrants regularly inspected, including in 2020.  </w:t>
      </w:r>
      <w:hyperlink r:id="rId858" w:history="1">
        <w:r w:rsidRPr="00D57CE5">
          <w:rPr>
            <w:rStyle w:val="Hyperlink"/>
            <w:rFonts w:ascii="Times New Roman" w:hAnsi="Times New Roman"/>
            <w:sz w:val="24"/>
            <w:szCs w:val="24"/>
            <w:shd w:val="clear" w:color="auto" w:fill="FFFFFF"/>
          </w:rPr>
          <w:t>https://cases.justia.com/kentucky/court-of-appeals/2024-2023-ca-1204-mr.pdf?ts=1722002681</w:t>
        </w:r>
      </w:hyperlink>
      <w:r>
        <w:rPr>
          <w:rFonts w:ascii="Times New Roman" w:hAnsi="Times New Roman"/>
          <w:sz w:val="24"/>
          <w:szCs w:val="24"/>
          <w:shd w:val="clear" w:color="auto" w:fill="FFFFFF"/>
        </w:rPr>
        <w:t xml:space="preserve"> </w:t>
      </w:r>
    </w:p>
    <w:p w14:paraId="555B8F57" w14:textId="77777777" w:rsidR="00291569" w:rsidRDefault="00291569" w:rsidP="00291569">
      <w:pPr>
        <w:pStyle w:val="NoSpacing"/>
        <w:rPr>
          <w:rFonts w:ascii="Times New Roman" w:hAnsi="Times New Roman"/>
          <w:sz w:val="24"/>
          <w:szCs w:val="24"/>
          <w:shd w:val="clear" w:color="auto" w:fill="FFFFFF"/>
        </w:rPr>
      </w:pPr>
    </w:p>
    <w:p w14:paraId="3496E68E" w14:textId="77777777" w:rsidR="00291569" w:rsidRDefault="00291569" w:rsidP="00291569">
      <w:pPr>
        <w:pStyle w:val="NoSpacing"/>
        <w:rPr>
          <w:rFonts w:ascii="Times New Roman" w:hAnsi="Times New Roman"/>
          <w:sz w:val="24"/>
          <w:szCs w:val="24"/>
          <w:shd w:val="clear" w:color="auto" w:fill="FFFFFF"/>
        </w:rPr>
      </w:pPr>
    </w:p>
    <w:p w14:paraId="1C17A949" w14:textId="77777777" w:rsidR="00291569" w:rsidRDefault="00291569" w:rsidP="00291569">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52C604E0" w14:textId="77777777" w:rsidR="00291569" w:rsidRDefault="00291569" w:rsidP="00291569">
      <w:pPr>
        <w:pStyle w:val="NoSpacing"/>
        <w:rPr>
          <w:rFonts w:ascii="Times New Roman" w:hAnsi="Times New Roman"/>
          <w:sz w:val="24"/>
          <w:szCs w:val="24"/>
          <w:shd w:val="clear" w:color="auto" w:fill="FFFFFF"/>
        </w:rPr>
      </w:pPr>
    </w:p>
    <w:p w14:paraId="11B5D76D"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B13DF8">
        <w:rPr>
          <w:rFonts w:ascii="Times New Roman" w:hAnsi="Times New Roman"/>
          <w:sz w:val="24"/>
          <w:szCs w:val="24"/>
          <w:shd w:val="clear" w:color="auto" w:fill="FFFFFF"/>
        </w:rPr>
        <w:t>Deaton, in his official capacity as fire chief, is also afforded this same</w:t>
      </w:r>
      <w:r>
        <w:rPr>
          <w:rFonts w:ascii="Times New Roman" w:hAnsi="Times New Roman"/>
          <w:sz w:val="24"/>
          <w:szCs w:val="24"/>
          <w:shd w:val="clear" w:color="auto" w:fill="FFFFFF"/>
        </w:rPr>
        <w:t xml:space="preserve"> </w:t>
      </w:r>
      <w:r w:rsidRPr="00B13DF8">
        <w:rPr>
          <w:rFonts w:ascii="Times New Roman" w:hAnsi="Times New Roman"/>
          <w:sz w:val="24"/>
          <w:szCs w:val="24"/>
          <w:shd w:val="clear" w:color="auto" w:fill="FFFFFF"/>
        </w:rPr>
        <w:t>sovereign immunity as the city and the JFD.</w:t>
      </w:r>
    </w:p>
    <w:p w14:paraId="0816201B" w14:textId="77777777" w:rsidR="00291569" w:rsidRDefault="00291569" w:rsidP="00291569">
      <w:pPr>
        <w:pStyle w:val="NoSpacing"/>
        <w:ind w:left="720"/>
        <w:rPr>
          <w:rFonts w:ascii="Times New Roman" w:hAnsi="Times New Roman"/>
          <w:sz w:val="24"/>
          <w:szCs w:val="24"/>
          <w:shd w:val="clear" w:color="auto" w:fill="FFFFFF"/>
        </w:rPr>
      </w:pPr>
    </w:p>
    <w:p w14:paraId="53DA656D"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7C71FA95" w14:textId="77777777" w:rsidR="00291569" w:rsidRDefault="00291569" w:rsidP="00291569">
      <w:pPr>
        <w:pStyle w:val="NoSpacing"/>
        <w:ind w:left="720"/>
        <w:rPr>
          <w:rFonts w:ascii="Times New Roman" w:hAnsi="Times New Roman"/>
          <w:sz w:val="24"/>
          <w:szCs w:val="24"/>
          <w:shd w:val="clear" w:color="auto" w:fill="FFFFFF"/>
        </w:rPr>
      </w:pPr>
      <w:r w:rsidRPr="007A021B">
        <w:rPr>
          <w:rFonts w:ascii="Times New Roman" w:hAnsi="Times New Roman"/>
          <w:sz w:val="24"/>
          <w:szCs w:val="24"/>
          <w:shd w:val="clear" w:color="auto" w:fill="FFFFFF"/>
        </w:rPr>
        <w:t>We must move to individual capacity liability. Public officers and</w:t>
      </w:r>
      <w:r>
        <w:rPr>
          <w:rFonts w:ascii="Times New Roman" w:hAnsi="Times New Roman"/>
          <w:sz w:val="24"/>
          <w:szCs w:val="24"/>
          <w:shd w:val="clear" w:color="auto" w:fill="FFFFFF"/>
        </w:rPr>
        <w:t xml:space="preserve"> </w:t>
      </w:r>
      <w:r w:rsidRPr="007A021B">
        <w:rPr>
          <w:rFonts w:ascii="Times New Roman" w:hAnsi="Times New Roman"/>
          <w:sz w:val="24"/>
          <w:szCs w:val="24"/>
          <w:shd w:val="clear" w:color="auto" w:fill="FFFFFF"/>
        </w:rPr>
        <w:t>employees are entitled to qualified official immunity for negligent conduct when</w:t>
      </w:r>
      <w:r>
        <w:rPr>
          <w:rFonts w:ascii="Times New Roman" w:hAnsi="Times New Roman"/>
          <w:sz w:val="24"/>
          <w:szCs w:val="24"/>
          <w:shd w:val="clear" w:color="auto" w:fill="FFFFFF"/>
        </w:rPr>
        <w:t xml:space="preserve"> </w:t>
      </w:r>
      <w:r w:rsidRPr="007A021B">
        <w:rPr>
          <w:rFonts w:ascii="Times New Roman" w:hAnsi="Times New Roman"/>
          <w:sz w:val="24"/>
          <w:szCs w:val="24"/>
          <w:shd w:val="clear" w:color="auto" w:fill="FFFFFF"/>
        </w:rPr>
        <w:t>the negligent act or omissions were (1) discretionary acts or functions, that (2)</w:t>
      </w:r>
      <w:r>
        <w:rPr>
          <w:rFonts w:ascii="Times New Roman" w:hAnsi="Times New Roman"/>
          <w:sz w:val="24"/>
          <w:szCs w:val="24"/>
          <w:shd w:val="clear" w:color="auto" w:fill="FFFFFF"/>
        </w:rPr>
        <w:t xml:space="preserve"> </w:t>
      </w:r>
      <w:r w:rsidRPr="007A021B">
        <w:rPr>
          <w:rFonts w:ascii="Times New Roman" w:hAnsi="Times New Roman"/>
          <w:sz w:val="24"/>
          <w:szCs w:val="24"/>
          <w:shd w:val="clear" w:color="auto" w:fill="FFFFFF"/>
        </w:rPr>
        <w:t>were made in good faith (or more to the point not made in bad faith), and (3) were</w:t>
      </w:r>
      <w:r>
        <w:rPr>
          <w:rFonts w:ascii="Times New Roman" w:hAnsi="Times New Roman"/>
          <w:sz w:val="24"/>
          <w:szCs w:val="24"/>
          <w:shd w:val="clear" w:color="auto" w:fill="FFFFFF"/>
        </w:rPr>
        <w:t xml:space="preserve"> </w:t>
      </w:r>
      <w:r w:rsidRPr="007A021B">
        <w:rPr>
          <w:rFonts w:ascii="Times New Roman" w:hAnsi="Times New Roman"/>
          <w:sz w:val="24"/>
          <w:szCs w:val="24"/>
          <w:shd w:val="clear" w:color="auto" w:fill="FFFFFF"/>
        </w:rPr>
        <w:t>within the scope of the employee’s authority.</w:t>
      </w:r>
    </w:p>
    <w:p w14:paraId="3BA72D3A" w14:textId="77777777" w:rsidR="00291569" w:rsidRDefault="00291569" w:rsidP="00291569">
      <w:pPr>
        <w:pStyle w:val="NoSpacing"/>
        <w:ind w:left="720"/>
        <w:rPr>
          <w:rFonts w:ascii="Times New Roman" w:hAnsi="Times New Roman"/>
          <w:sz w:val="24"/>
          <w:szCs w:val="24"/>
          <w:shd w:val="clear" w:color="auto" w:fill="FFFFFF"/>
        </w:rPr>
      </w:pPr>
    </w:p>
    <w:p w14:paraId="177ED0BB"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771A546C" w14:textId="77777777" w:rsidR="00291569" w:rsidRDefault="00291569" w:rsidP="00291569">
      <w:pPr>
        <w:pStyle w:val="NoSpacing"/>
        <w:rPr>
          <w:rFonts w:ascii="Times New Roman" w:hAnsi="Times New Roman"/>
          <w:sz w:val="24"/>
          <w:szCs w:val="24"/>
          <w:shd w:val="clear" w:color="auto" w:fill="FFFFFF"/>
        </w:rPr>
      </w:pPr>
    </w:p>
    <w:p w14:paraId="48259FCE" w14:textId="77777777" w:rsidR="00291569" w:rsidRPr="00B95DA7" w:rsidRDefault="00291569" w:rsidP="00291569">
      <w:pPr>
        <w:pStyle w:val="NoSpacing"/>
        <w:ind w:firstLine="720"/>
        <w:rPr>
          <w:rFonts w:ascii="Times New Roman" w:hAnsi="Times New Roman"/>
          <w:sz w:val="24"/>
          <w:szCs w:val="24"/>
          <w:shd w:val="clear" w:color="auto" w:fill="FFFFFF"/>
        </w:rPr>
      </w:pPr>
      <w:r>
        <w:rPr>
          <w:rFonts w:ascii="Times New Roman" w:hAnsi="Times New Roman"/>
          <w:sz w:val="24"/>
          <w:szCs w:val="24"/>
          <w:shd w:val="clear" w:color="auto" w:fill="FFFFFF"/>
        </w:rPr>
        <w:t>T</w:t>
      </w:r>
      <w:r w:rsidRPr="00B95DA7">
        <w:rPr>
          <w:rFonts w:ascii="Times New Roman" w:hAnsi="Times New Roman"/>
          <w:sz w:val="24"/>
          <w:szCs w:val="24"/>
          <w:shd w:val="clear" w:color="auto" w:fill="FFFFFF"/>
        </w:rPr>
        <w:t>he</w:t>
      </w:r>
      <w:r>
        <w:rPr>
          <w:rFonts w:ascii="Times New Roman" w:hAnsi="Times New Roman"/>
          <w:sz w:val="24"/>
          <w:szCs w:val="24"/>
          <w:shd w:val="clear" w:color="auto" w:fill="FFFFFF"/>
        </w:rPr>
        <w:t xml:space="preserve"> </w:t>
      </w:r>
      <w:r w:rsidRPr="00B95DA7">
        <w:rPr>
          <w:rFonts w:ascii="Times New Roman" w:hAnsi="Times New Roman"/>
          <w:sz w:val="24"/>
          <w:szCs w:val="24"/>
          <w:shd w:val="clear" w:color="auto" w:fill="FFFFFF"/>
        </w:rPr>
        <w:t>circuit court found that Deaton’s actions in refusing assistance from QFD were</w:t>
      </w:r>
    </w:p>
    <w:p w14:paraId="66708351" w14:textId="77777777" w:rsidR="00291569" w:rsidRPr="00B95DA7" w:rsidRDefault="00291569" w:rsidP="00291569">
      <w:pPr>
        <w:pStyle w:val="NoSpacing"/>
        <w:ind w:firstLine="720"/>
        <w:rPr>
          <w:rFonts w:ascii="Times New Roman" w:hAnsi="Times New Roman"/>
          <w:sz w:val="24"/>
          <w:szCs w:val="24"/>
          <w:shd w:val="clear" w:color="auto" w:fill="FFFFFF"/>
        </w:rPr>
      </w:pPr>
      <w:r w:rsidRPr="00B95DA7">
        <w:rPr>
          <w:rFonts w:ascii="Times New Roman" w:hAnsi="Times New Roman"/>
          <w:sz w:val="24"/>
          <w:szCs w:val="24"/>
          <w:shd w:val="clear" w:color="auto" w:fill="FFFFFF"/>
        </w:rPr>
        <w:t>clearly discretionary. Further, the court found that Combs was unable to meet the</w:t>
      </w:r>
    </w:p>
    <w:p w14:paraId="056AA055" w14:textId="77777777" w:rsidR="00291569" w:rsidRDefault="00291569" w:rsidP="00291569">
      <w:pPr>
        <w:pStyle w:val="NoSpacing"/>
        <w:ind w:left="720"/>
        <w:rPr>
          <w:rFonts w:ascii="Times New Roman" w:hAnsi="Times New Roman"/>
          <w:sz w:val="24"/>
          <w:szCs w:val="24"/>
          <w:shd w:val="clear" w:color="auto" w:fill="FFFFFF"/>
        </w:rPr>
      </w:pPr>
      <w:r w:rsidRPr="00B95DA7">
        <w:rPr>
          <w:rFonts w:ascii="Times New Roman" w:hAnsi="Times New Roman"/>
          <w:sz w:val="24"/>
          <w:szCs w:val="24"/>
          <w:shd w:val="clear" w:color="auto" w:fill="FFFFFF"/>
        </w:rPr>
        <w:t>burden that Deaton had acted in bad faith in making his decisions.</w:t>
      </w:r>
      <w:r>
        <w:rPr>
          <w:rFonts w:ascii="Times New Roman" w:hAnsi="Times New Roman"/>
          <w:sz w:val="24"/>
          <w:szCs w:val="24"/>
          <w:shd w:val="clear" w:color="auto" w:fill="FFFFFF"/>
        </w:rPr>
        <w:t xml:space="preserve"> </w:t>
      </w:r>
    </w:p>
    <w:p w14:paraId="6695918D" w14:textId="77777777" w:rsidR="00291569" w:rsidRDefault="00291569" w:rsidP="00291569">
      <w:pPr>
        <w:pStyle w:val="NoSpacing"/>
        <w:ind w:left="720"/>
        <w:rPr>
          <w:rFonts w:ascii="Times New Roman" w:hAnsi="Times New Roman"/>
          <w:sz w:val="24"/>
          <w:szCs w:val="24"/>
          <w:shd w:val="clear" w:color="auto" w:fill="FFFFFF"/>
        </w:rPr>
      </w:pPr>
    </w:p>
    <w:p w14:paraId="12FDC2AA"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2C21B193"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The Fire Chief testified in his deposition:</w:t>
      </w:r>
    </w:p>
    <w:p w14:paraId="23A628A0" w14:textId="77777777" w:rsidR="00291569" w:rsidRDefault="00291569" w:rsidP="00291569">
      <w:pPr>
        <w:pStyle w:val="NoSpacing"/>
        <w:ind w:left="1440"/>
        <w:rPr>
          <w:rFonts w:ascii="Times New Roman" w:hAnsi="Times New Roman"/>
          <w:sz w:val="24"/>
          <w:szCs w:val="24"/>
          <w:shd w:val="clear" w:color="auto" w:fill="FFFFFF"/>
        </w:rPr>
      </w:pPr>
    </w:p>
    <w:p w14:paraId="38713BE5" w14:textId="77777777" w:rsidR="00291569" w:rsidRDefault="00291569" w:rsidP="00291569">
      <w:pPr>
        <w:pStyle w:val="NoSpacing"/>
        <w:ind w:left="1440"/>
        <w:rPr>
          <w:rFonts w:ascii="Times New Roman" w:hAnsi="Times New Roman"/>
          <w:sz w:val="24"/>
          <w:szCs w:val="24"/>
          <w:shd w:val="clear" w:color="auto" w:fill="FFFFFF"/>
        </w:rPr>
      </w:pPr>
      <w:r w:rsidRPr="007F35C2">
        <w:rPr>
          <w:rFonts w:ascii="Times New Roman" w:hAnsi="Times New Roman"/>
          <w:sz w:val="24"/>
          <w:szCs w:val="24"/>
          <w:shd w:val="clear" w:color="auto" w:fill="FFFFFF"/>
        </w:rPr>
        <w:t>The Quicksand Fire Department, we do not feel, was</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capable to fall with the incident command structure and</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keep themselves or somebody else from getting hurt or</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killed on that fire. The fire on Main Street was not your</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average, everyday single-wide trailer fire that you would</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go to. That building, that large with that much smoke</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buildup, and that much fire involvement could easily get</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somebody hurt or killed. With previous experience with</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Quicksand, they have put – and they do not fall within</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the incident command structure, will not listen to</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anything anybody tells them to do, which violates all</w:t>
      </w:r>
      <w:r>
        <w:rPr>
          <w:rFonts w:ascii="Times New Roman" w:hAnsi="Times New Roman"/>
          <w:sz w:val="24"/>
          <w:szCs w:val="24"/>
          <w:shd w:val="clear" w:color="auto" w:fill="FFFFFF"/>
        </w:rPr>
        <w:t xml:space="preserve"> </w:t>
      </w:r>
      <w:r w:rsidRPr="007F35C2">
        <w:rPr>
          <w:rFonts w:ascii="Times New Roman" w:hAnsi="Times New Roman"/>
          <w:sz w:val="24"/>
          <w:szCs w:val="24"/>
          <w:shd w:val="clear" w:color="auto" w:fill="FFFFFF"/>
        </w:rPr>
        <w:t>National Incident Management System practices</w:t>
      </w:r>
      <w:r>
        <w:rPr>
          <w:rFonts w:ascii="Times New Roman" w:hAnsi="Times New Roman"/>
          <w:sz w:val="24"/>
          <w:szCs w:val="24"/>
          <w:shd w:val="clear" w:color="auto" w:fill="FFFFFF"/>
        </w:rPr>
        <w:t>.</w:t>
      </w:r>
    </w:p>
    <w:p w14:paraId="6B139BC0" w14:textId="77777777" w:rsidR="00291569" w:rsidRDefault="00291569" w:rsidP="00291569">
      <w:pPr>
        <w:pStyle w:val="NoSpacing"/>
        <w:ind w:left="1440"/>
        <w:rPr>
          <w:rFonts w:ascii="Times New Roman" w:hAnsi="Times New Roman"/>
          <w:sz w:val="24"/>
          <w:szCs w:val="24"/>
          <w:shd w:val="clear" w:color="auto" w:fill="FFFFFF"/>
        </w:rPr>
      </w:pPr>
    </w:p>
    <w:p w14:paraId="6A4B139A" w14:textId="77777777" w:rsidR="00291569" w:rsidRDefault="00291569" w:rsidP="00291569">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5D3BE8B7" w14:textId="77777777" w:rsidR="00291569" w:rsidRDefault="00291569" w:rsidP="00291569">
      <w:pPr>
        <w:pStyle w:val="NoSpacing"/>
        <w:ind w:left="720"/>
        <w:rPr>
          <w:rFonts w:ascii="Times New Roman" w:hAnsi="Times New Roman"/>
          <w:sz w:val="24"/>
          <w:szCs w:val="24"/>
          <w:shd w:val="clear" w:color="auto" w:fill="FFFFFF"/>
        </w:rPr>
      </w:pPr>
    </w:p>
    <w:p w14:paraId="5E5B924A" w14:textId="77777777" w:rsidR="00291569" w:rsidRDefault="00291569" w:rsidP="00291569">
      <w:pPr>
        <w:pStyle w:val="NoSpacing"/>
        <w:ind w:left="720"/>
        <w:rPr>
          <w:rFonts w:ascii="Times New Roman" w:hAnsi="Times New Roman"/>
          <w:sz w:val="24"/>
          <w:szCs w:val="24"/>
          <w:shd w:val="clear" w:color="auto" w:fill="FFFFFF"/>
        </w:rPr>
      </w:pPr>
      <w:r w:rsidRPr="00897E8C">
        <w:rPr>
          <w:rFonts w:ascii="Times New Roman" w:hAnsi="Times New Roman"/>
          <w:sz w:val="24"/>
          <w:szCs w:val="24"/>
          <w:shd w:val="clear" w:color="auto" w:fill="FFFFFF"/>
        </w:rPr>
        <w:t>Combs was unable to show a breach of any ministerial duty to inspect</w:t>
      </w:r>
      <w:r>
        <w:rPr>
          <w:rFonts w:ascii="Times New Roman" w:hAnsi="Times New Roman"/>
          <w:sz w:val="24"/>
          <w:szCs w:val="24"/>
          <w:shd w:val="clear" w:color="auto" w:fill="FFFFFF"/>
        </w:rPr>
        <w:t xml:space="preserve"> </w:t>
      </w:r>
      <w:r w:rsidRPr="00897E8C">
        <w:rPr>
          <w:rFonts w:ascii="Times New Roman" w:hAnsi="Times New Roman"/>
          <w:sz w:val="24"/>
          <w:szCs w:val="24"/>
          <w:shd w:val="clear" w:color="auto" w:fill="FFFFFF"/>
        </w:rPr>
        <w:t>and maintain the fire hydrants in the city by Deaton in his job of fire chief nor any</w:t>
      </w:r>
      <w:r>
        <w:rPr>
          <w:rFonts w:ascii="Times New Roman" w:hAnsi="Times New Roman"/>
          <w:sz w:val="24"/>
          <w:szCs w:val="24"/>
          <w:shd w:val="clear" w:color="auto" w:fill="FFFFFF"/>
        </w:rPr>
        <w:t xml:space="preserve"> </w:t>
      </w:r>
      <w:r w:rsidRPr="00897E8C">
        <w:rPr>
          <w:rFonts w:ascii="Times New Roman" w:hAnsi="Times New Roman"/>
          <w:sz w:val="24"/>
          <w:szCs w:val="24"/>
          <w:shd w:val="clear" w:color="auto" w:fill="FFFFFF"/>
        </w:rPr>
        <w:t>causation between the water available at the location of the hydrant as compared to</w:t>
      </w:r>
      <w:r>
        <w:rPr>
          <w:rFonts w:ascii="Times New Roman" w:hAnsi="Times New Roman"/>
          <w:sz w:val="24"/>
          <w:szCs w:val="24"/>
          <w:shd w:val="clear" w:color="auto" w:fill="FFFFFF"/>
        </w:rPr>
        <w:t xml:space="preserve"> </w:t>
      </w:r>
      <w:r w:rsidRPr="00897E8C">
        <w:rPr>
          <w:rFonts w:ascii="Times New Roman" w:hAnsi="Times New Roman"/>
          <w:sz w:val="24"/>
          <w:szCs w:val="24"/>
          <w:shd w:val="clear" w:color="auto" w:fill="FFFFFF"/>
        </w:rPr>
        <w:t>other water sources.</w:t>
      </w:r>
      <w:r>
        <w:rPr>
          <w:rFonts w:ascii="Times New Roman" w:hAnsi="Times New Roman"/>
          <w:sz w:val="24"/>
          <w:szCs w:val="24"/>
          <w:shd w:val="clear" w:color="auto" w:fill="FFFFFF"/>
        </w:rPr>
        <w:t>”</w:t>
      </w:r>
    </w:p>
    <w:p w14:paraId="0C496BD5" w14:textId="77777777" w:rsidR="00291569" w:rsidRDefault="00291569" w:rsidP="002B1283">
      <w:pPr>
        <w:rPr>
          <w:rStyle w:val="Hyperlink"/>
          <w:rFonts w:ascii="Arial Black" w:hAnsi="Arial Black"/>
          <w:b/>
          <w:color w:val="auto"/>
          <w:sz w:val="24"/>
          <w:szCs w:val="24"/>
          <w:u w:val="none"/>
        </w:rPr>
      </w:pPr>
    </w:p>
    <w:p w14:paraId="5FDCA7DD" w14:textId="77777777" w:rsidR="0038005B" w:rsidRDefault="0038005B" w:rsidP="0038005B">
      <w:pPr>
        <w:pStyle w:val="NoSpacing"/>
        <w:rPr>
          <w:rFonts w:ascii="Times New Roman" w:hAnsi="Times New Roman"/>
          <w:b/>
          <w:bCs/>
          <w:sz w:val="24"/>
          <w:szCs w:val="24"/>
          <w:shd w:val="clear" w:color="auto" w:fill="FFFFFF"/>
        </w:rPr>
      </w:pPr>
      <w:r w:rsidRPr="00011B41">
        <w:rPr>
          <w:rFonts w:ascii="Times New Roman" w:hAnsi="Times New Roman"/>
          <w:b/>
          <w:bCs/>
          <w:sz w:val="24"/>
          <w:szCs w:val="24"/>
          <w:shd w:val="clear" w:color="auto" w:fill="FFFFFF"/>
        </w:rPr>
        <w:t xml:space="preserve">Legal Lesson Learned: </w:t>
      </w:r>
      <w:r>
        <w:rPr>
          <w:rFonts w:ascii="Times New Roman" w:hAnsi="Times New Roman"/>
          <w:b/>
          <w:bCs/>
          <w:sz w:val="24"/>
          <w:szCs w:val="24"/>
          <w:shd w:val="clear" w:color="auto" w:fill="FFFFFF"/>
        </w:rPr>
        <w:t xml:space="preserve">Fire Chief has qualified immunity in making discretionary decisions in good faith, including rejecting mutual aid from </w:t>
      </w:r>
      <w:proofErr w:type="gramStart"/>
      <w:r>
        <w:rPr>
          <w:rFonts w:ascii="Times New Roman" w:hAnsi="Times New Roman"/>
          <w:b/>
          <w:bCs/>
          <w:sz w:val="24"/>
          <w:szCs w:val="24"/>
          <w:shd w:val="clear" w:color="auto" w:fill="FFFFFF"/>
        </w:rPr>
        <w:t>a FD</w:t>
      </w:r>
      <w:proofErr w:type="gramEnd"/>
      <w:r>
        <w:rPr>
          <w:rFonts w:ascii="Times New Roman" w:hAnsi="Times New Roman"/>
          <w:b/>
          <w:bCs/>
          <w:sz w:val="24"/>
          <w:szCs w:val="24"/>
          <w:shd w:val="clear" w:color="auto" w:fill="FFFFFF"/>
        </w:rPr>
        <w:t xml:space="preserve"> that does not follow incident command. </w:t>
      </w:r>
    </w:p>
    <w:p w14:paraId="135FDE37" w14:textId="77777777" w:rsidR="0038005B" w:rsidRDefault="0038005B" w:rsidP="002B1283">
      <w:pPr>
        <w:rPr>
          <w:rStyle w:val="Hyperlink"/>
          <w:rFonts w:ascii="Arial Black" w:hAnsi="Arial Black"/>
          <w:b/>
          <w:color w:val="auto"/>
          <w:sz w:val="24"/>
          <w:szCs w:val="24"/>
          <w:u w:val="none"/>
        </w:rPr>
      </w:pPr>
    </w:p>
    <w:p w14:paraId="16CCE250" w14:textId="77777777" w:rsidR="00291569" w:rsidRDefault="00291569" w:rsidP="002B1283">
      <w:pPr>
        <w:rPr>
          <w:rStyle w:val="Hyperlink"/>
          <w:rFonts w:ascii="Arial Black" w:hAnsi="Arial Black"/>
          <w:b/>
          <w:color w:val="auto"/>
          <w:sz w:val="24"/>
          <w:szCs w:val="24"/>
          <w:u w:val="none"/>
        </w:rPr>
      </w:pPr>
    </w:p>
    <w:p w14:paraId="56C6B570" w14:textId="680EB1EE" w:rsidR="00DA1A0E" w:rsidRDefault="00DA1A0E"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4-38</w:t>
      </w:r>
    </w:p>
    <w:p w14:paraId="6145F2A6" w14:textId="65A93D2E" w:rsidR="004854DD" w:rsidRPr="00346517" w:rsidRDefault="004854DD" w:rsidP="004854DD">
      <w:pPr>
        <w:pStyle w:val="NormalWeb"/>
        <w:rPr>
          <w:rFonts w:ascii="Arial Black" w:hAnsi="Arial Black"/>
          <w:sz w:val="28"/>
          <w:szCs w:val="28"/>
        </w:rPr>
      </w:pPr>
      <w:r>
        <w:rPr>
          <w:rFonts w:ascii="Arial Black" w:hAnsi="Arial Black"/>
          <w:sz w:val="28"/>
          <w:szCs w:val="28"/>
        </w:rPr>
        <w:t>NC: FIRE 2-STORY BLDG – 4 TEENAGERS DIED -  911 “HUNKER DOWN” – $9 MILLION – 2 INSUR. CO. PAY</w:t>
      </w:r>
    </w:p>
    <w:p w14:paraId="537AAA83" w14:textId="77777777" w:rsidR="004854DD" w:rsidRDefault="004854DD" w:rsidP="004854DD">
      <w:pPr>
        <w:pStyle w:val="NormalWeb"/>
      </w:pPr>
      <w:r>
        <w:t xml:space="preserve">On March 13, 2024, </w:t>
      </w:r>
      <w:r w:rsidRPr="009D242E">
        <w:rPr>
          <w:u w:val="single"/>
        </w:rPr>
        <w:t xml:space="preserve">in </w:t>
      </w:r>
      <w:proofErr w:type="spellStart"/>
      <w:r w:rsidRPr="009D242E">
        <w:rPr>
          <w:u w:val="single"/>
        </w:rPr>
        <w:t>Velers</w:t>
      </w:r>
      <w:proofErr w:type="spellEnd"/>
      <w:r w:rsidRPr="009D242E">
        <w:rPr>
          <w:u w:val="single"/>
        </w:rPr>
        <w:t xml:space="preserve"> Indemnity The Travelers Indemnity Company v. American Alternative Insurance Corporation</w:t>
      </w:r>
      <w:r>
        <w:t>, United States District Court Judge Loretta C. Biggs, U.S. District Court for Middle District of North Carolina, held that after Travelers (insured Surry County) settled for policy limit ($9 million), is entitled to $1 million contribution from AAIC (insured Surry County Emergency Services) for the May 20, 2019 fire at two-story apartment building where four teenagers died of smoke inhalation. The 911 Dispatcher advised the caller to “hunker down and shelter in place,” promising that she and the other Victims would be rescued.  Court agreed with Travelers that the 911 Operators were performing operations “incidental to” the emergency services provided by S.C. Emergency Services and are therefore covered by the AAIC policies.</w:t>
      </w:r>
    </w:p>
    <w:p w14:paraId="1EC08086"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23EC461F" w14:textId="77777777" w:rsidR="004854DD" w:rsidRDefault="004854DD" w:rsidP="004854DD">
      <w:pPr>
        <w:pStyle w:val="NormalWeb"/>
        <w:ind w:left="720"/>
      </w:pPr>
      <w:r>
        <w:t>“Plaintiff The Travelers Indemnity Company (‘Travelers’) initiated this action under the Declaratory Judgment Act, 28 U.S.C. § 2201, seeking a declaratory judgment against American Alternative Insurance Corporation (‘AAIC’), alleging that AAIC failed to fulfill its obligation to contribute to the defense and settlement of two underlying state actions involving AAIC's insured, Surry County, and its employees.</w:t>
      </w:r>
    </w:p>
    <w:p w14:paraId="3A4AE7A2" w14:textId="77777777" w:rsidR="004854DD" w:rsidRDefault="004854DD" w:rsidP="004854DD">
      <w:pPr>
        <w:pStyle w:val="NormalWeb"/>
        <w:ind w:left="720"/>
      </w:pPr>
      <w:r>
        <w:t>***</w:t>
      </w:r>
    </w:p>
    <w:p w14:paraId="66A4F98E" w14:textId="77777777" w:rsidR="004854DD" w:rsidRDefault="004854DD" w:rsidP="004854DD">
      <w:pPr>
        <w:pStyle w:val="NormalWeb"/>
        <w:ind w:left="720"/>
      </w:pPr>
      <w:r>
        <w:t>In sum, the Court concludes that AAIC is required to contribute to the settlement of the Underlying Lawsuits with respect to its AAIC General Liability Policy in the amount of $1,000,000.”</w:t>
      </w:r>
    </w:p>
    <w:p w14:paraId="0B608483" w14:textId="77777777" w:rsidR="004854DD" w:rsidRPr="00396FA2" w:rsidRDefault="004854DD" w:rsidP="004854DD">
      <w:pPr>
        <w:pStyle w:val="NormalWeb"/>
        <w:rPr>
          <w:b/>
          <w:bCs/>
        </w:rPr>
      </w:pPr>
      <w:r w:rsidRPr="00396FA2">
        <w:rPr>
          <w:b/>
          <w:bCs/>
        </w:rPr>
        <w:t>Legal Lesson Learned</w:t>
      </w:r>
      <w:r>
        <w:rPr>
          <w:b/>
          <w:bCs/>
        </w:rPr>
        <w:t>: 911 Dispatchers should review their policy regarding advice to victims trapped in 2</w:t>
      </w:r>
      <w:r w:rsidRPr="00396FA2">
        <w:rPr>
          <w:b/>
          <w:bCs/>
          <w:vertAlign w:val="superscript"/>
        </w:rPr>
        <w:t>nd</w:t>
      </w:r>
      <w:r>
        <w:rPr>
          <w:b/>
          <w:bCs/>
        </w:rPr>
        <w:t xml:space="preserve"> floor apartment fire. </w:t>
      </w:r>
    </w:p>
    <w:p w14:paraId="10C85728" w14:textId="77777777" w:rsidR="004854DD" w:rsidRDefault="004854DD" w:rsidP="004854DD">
      <w:pPr>
        <w:pStyle w:val="NormalWeb"/>
        <w:rPr>
          <w:rFonts w:ascii="Arial Black" w:hAnsi="Arial Black"/>
          <w:sz w:val="28"/>
          <w:szCs w:val="28"/>
        </w:rPr>
      </w:pPr>
    </w:p>
    <w:p w14:paraId="4B894895" w14:textId="77777777" w:rsidR="004854DD" w:rsidRDefault="004854DD" w:rsidP="002B1283">
      <w:pPr>
        <w:rPr>
          <w:rStyle w:val="Hyperlink"/>
          <w:rFonts w:ascii="Arial Black" w:hAnsi="Arial Black"/>
          <w:b/>
          <w:color w:val="auto"/>
          <w:sz w:val="24"/>
          <w:szCs w:val="24"/>
          <w:u w:val="none"/>
        </w:rPr>
      </w:pPr>
    </w:p>
    <w:p w14:paraId="670DCF69" w14:textId="77777777" w:rsidR="00DA1A0E" w:rsidRDefault="00DA1A0E" w:rsidP="002B1283">
      <w:pPr>
        <w:rPr>
          <w:rStyle w:val="Hyperlink"/>
          <w:rFonts w:ascii="Arial Black" w:hAnsi="Arial Black"/>
          <w:b/>
          <w:color w:val="auto"/>
          <w:sz w:val="24"/>
          <w:szCs w:val="24"/>
          <w:u w:val="none"/>
        </w:rPr>
      </w:pPr>
    </w:p>
    <w:p w14:paraId="65E445A6" w14:textId="1E4F6621" w:rsidR="005E33B5" w:rsidRDefault="005E33B5"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4-37</w:t>
      </w:r>
    </w:p>
    <w:p w14:paraId="7AB8273E" w14:textId="77777777" w:rsidR="002D4402" w:rsidRPr="00A00DF4" w:rsidRDefault="002D4402" w:rsidP="002D4402">
      <w:pPr>
        <w:pStyle w:val="NormalWeb"/>
        <w:rPr>
          <w:rFonts w:ascii="Arial Black" w:hAnsi="Arial Black"/>
          <w:sz w:val="28"/>
          <w:szCs w:val="28"/>
        </w:rPr>
      </w:pPr>
      <w:r>
        <w:rPr>
          <w:rFonts w:ascii="Arial Black" w:hAnsi="Arial Black"/>
          <w:sz w:val="28"/>
          <w:szCs w:val="28"/>
        </w:rPr>
        <w:t xml:space="preserve">TX: MAN INVADES HOME - POLICE EXPLOSIVE DEVICES, SUICIDE – JURY $60K DAMAGE – REVERSED – EMERGENCY </w:t>
      </w:r>
    </w:p>
    <w:p w14:paraId="05C680D2" w14:textId="3F5B37AF" w:rsidR="002D4402" w:rsidRDefault="002D4402" w:rsidP="002D4402">
      <w:pPr>
        <w:pStyle w:val="NormalWeb"/>
      </w:pPr>
      <w:r>
        <w:t xml:space="preserve">On Feb. 14, 2024, in </w:t>
      </w:r>
      <w:r w:rsidRPr="00001DEA">
        <w:rPr>
          <w:u w:val="single"/>
        </w:rPr>
        <w:t>Vickie Baker v. City of McKinney, Texas</w:t>
      </w:r>
      <w:r>
        <w:t xml:space="preserve">, the U.S. Court of Appeals for Fifth Circuit (New Orleans) refused to re-hear </w:t>
      </w:r>
      <w:proofErr w:type="spellStart"/>
      <w:r>
        <w:t>en</w:t>
      </w:r>
      <w:proofErr w:type="spellEnd"/>
      <w:r>
        <w:t xml:space="preserve"> banc (all the judges; 11 voted against re-hearing; 6 voted for rehearing) the home owner’s appeal to 3-judge panel decision that the City does not need to reimburse her for damage they caused because it was an emergency response to protect the public.  Her homeowner’s insurance also denied coverage under the terms of its policy.  </w:t>
      </w:r>
      <w:hyperlink r:id="rId859" w:history="1">
        <w:r w:rsidR="008D1A90" w:rsidRPr="008D12DC">
          <w:rPr>
            <w:rStyle w:val="Hyperlink"/>
          </w:rPr>
          <w:t>https://caselaw.findlaw.com/court/us-5th-circuit/115838888.html</w:t>
        </w:r>
      </w:hyperlink>
      <w:r w:rsidR="008D1A90">
        <w:t xml:space="preserve"> </w:t>
      </w:r>
    </w:p>
    <w:p w14:paraId="05FB0945" w14:textId="63DFDB24" w:rsidR="00E65362" w:rsidRDefault="00E65362" w:rsidP="002D4402">
      <w:pPr>
        <w:pStyle w:val="NormalWeb"/>
      </w:pPr>
      <w:r w:rsidRPr="00E65362">
        <w:t xml:space="preserve">84 F.4th 378 (5th Cir. 2023), </w:t>
      </w:r>
      <w:r w:rsidRPr="00E65362">
        <w:rPr>
          <w:i/>
          <w:iCs/>
        </w:rPr>
        <w:t>reh’g denied</w:t>
      </w:r>
      <w:r w:rsidRPr="00E65362">
        <w:t>, 93 F.4th 251 (5th Cir. 2024).</w:t>
      </w:r>
    </w:p>
    <w:p w14:paraId="2B489F2E" w14:textId="77777777" w:rsidR="002D4402" w:rsidRDefault="002D4402" w:rsidP="002D4402">
      <w:pPr>
        <w:pStyle w:val="NormalWeb"/>
      </w:pPr>
      <w:r>
        <w:t xml:space="preserve">Three judges’ dissenting opinion: </w:t>
      </w:r>
    </w:p>
    <w:p w14:paraId="1C0F659B" w14:textId="77777777" w:rsidR="002D4402" w:rsidRDefault="002D4402" w:rsidP="002D4402">
      <w:pPr>
        <w:pStyle w:val="NormalWeb"/>
        <w:ind w:left="720"/>
      </w:pPr>
      <w:r>
        <w:t>“</w:t>
      </w:r>
      <w:proofErr w:type="gramStart"/>
      <w:r>
        <w:t>So</w:t>
      </w:r>
      <w:proofErr w:type="gramEnd"/>
      <w:r>
        <w:t xml:space="preserve"> Vicki Baker understandably invoked that [Fifth] Amendment to recover from the City of McKinney the tens of thousands of dollars of property damage she suffered </w:t>
      </w:r>
      <w:proofErr w:type="gramStart"/>
      <w:r>
        <w:t>as a result of</w:t>
      </w:r>
      <w:proofErr w:type="gramEnd"/>
      <w:r>
        <w:t xml:space="preserve"> McKinney police efforts to protect the community from a fugitive that sought cover in her home. The (3-judge) panel expressed ‘sympathy’ for Baker. But it denied her claim based on the novel holding that history and tradition recognize a ‘necessity’ exception to the otherwise broad protections of the Takings Clause. We are unsure whether such a privilege exists. Even if it does, we find the panel's reasoning unsatisfactory—perhaps unsurprisingly because the panel reached its ostensibly originalist conclusion without the benefit of briefing on the historical evidence. We therefore respectfully regret this court's decision to deny rehearing </w:t>
      </w:r>
      <w:proofErr w:type="spellStart"/>
      <w:r>
        <w:t>en</w:t>
      </w:r>
      <w:proofErr w:type="spellEnd"/>
      <w:r>
        <w:t xml:space="preserve"> banc.”</w:t>
      </w:r>
    </w:p>
    <w:p w14:paraId="579E4567" w14:textId="77777777" w:rsidR="002D4402" w:rsidRPr="00E50C20" w:rsidRDefault="002D4402" w:rsidP="002D4402">
      <w:pPr>
        <w:pStyle w:val="NormalWeb"/>
        <w:rPr>
          <w:b/>
          <w:bCs/>
        </w:rPr>
      </w:pPr>
      <w:r w:rsidRPr="00E50C20">
        <w:rPr>
          <w:b/>
          <w:bCs/>
        </w:rPr>
        <w:t xml:space="preserve">Legal Lesson Learned: </w:t>
      </w:r>
      <w:r>
        <w:rPr>
          <w:b/>
          <w:bCs/>
        </w:rPr>
        <w:t xml:space="preserve">Courts have long recognized the emergency exception for municipal  tort liability. </w:t>
      </w:r>
    </w:p>
    <w:p w14:paraId="6DD95CA7" w14:textId="77777777" w:rsidR="002D4402" w:rsidRDefault="002D4402" w:rsidP="002D4402">
      <w:pPr>
        <w:pStyle w:val="NormalWeb"/>
        <w:ind w:left="720"/>
      </w:pPr>
      <w:r>
        <w:t>Note:   The Court in this case referenced history of stooping spread of fires in London by taking down neighboring buildings.</w:t>
      </w:r>
    </w:p>
    <w:p w14:paraId="46C46383" w14:textId="77777777" w:rsidR="002D4402" w:rsidRDefault="002D4402" w:rsidP="002D4402">
      <w:pPr>
        <w:pStyle w:val="NormalWeb"/>
        <w:ind w:left="1440"/>
      </w:pPr>
      <w:r>
        <w:t xml:space="preserve">“The destruction wrought by municipal fires before the rise of modern fire codes was often great, see </w:t>
      </w:r>
      <w:proofErr w:type="spellStart"/>
      <w:r>
        <w:t>Respublica</w:t>
      </w:r>
      <w:proofErr w:type="spellEnd"/>
      <w:r>
        <w:t xml:space="preserve">, 1 U.S. at 363 (noting half of London was burnt in the great fire of 1666), and the razing of buildings was the principal means to stop the spread. But razing buildings </w:t>
      </w:r>
      <w:proofErr w:type="gramStart"/>
      <w:r>
        <w:t>is</w:t>
      </w:r>
      <w:proofErr w:type="gramEnd"/>
      <w:r>
        <w:t xml:space="preserve"> tortious. </w:t>
      </w:r>
      <w:proofErr w:type="gramStart"/>
      <w:r>
        <w:t>So</w:t>
      </w:r>
      <w:proofErr w:type="gramEnd"/>
      <w:r>
        <w:t xml:space="preserve"> absent some privilege, an individual—whether a public official or a private citizen—who razed a building would be individually liable in tort. Obviously, a rule that stuck individuals with liability for interventions taken to halt conflagrations would deter public promoting behavior from all but the most heroic, no matter how much good could have been achieved through a well-calculated intervention. And it would seem unfair to hold people liable for doing what was necessary to cope with an emergency. So common law courts fashioned a rule to allow individuals to tear down property when doing so was reasonably necessary to prevent the spread of a fire. See Field, 39 Iowa at 577– 78 (citing, inter alia, Mouse's Case, 12 Coke Rep. 63 (1608)); see also Bowditch v. Boston, 101 U.S. 16, 25 </w:t>
      </w:r>
      <w:proofErr w:type="spellStart"/>
      <w:r>
        <w:t>L.Ed</w:t>
      </w:r>
      <w:proofErr w:type="spellEnd"/>
      <w:r>
        <w:t>. 980 (1879) (finding a public necessity privilege in Massachusetts law).”</w:t>
      </w:r>
    </w:p>
    <w:p w14:paraId="772A6158" w14:textId="77777777" w:rsidR="002D4402" w:rsidRDefault="002D4402" w:rsidP="002D4402">
      <w:pPr>
        <w:pStyle w:val="NormalWeb"/>
        <w:ind w:left="720"/>
      </w:pPr>
      <w:r>
        <w:t xml:space="preserve">Read the Oct. 11, </w:t>
      </w:r>
      <w:proofErr w:type="gramStart"/>
      <w:r>
        <w:t>2023</w:t>
      </w:r>
      <w:proofErr w:type="gramEnd"/>
      <w:r>
        <w:t xml:space="preserve"> panel decision: </w:t>
      </w:r>
      <w:hyperlink r:id="rId860" w:history="1">
        <w:r w:rsidRPr="00E007C4">
          <w:rPr>
            <w:rStyle w:val="Hyperlink"/>
          </w:rPr>
          <w:t>https://cases.justia.com/federal/appellate-courts/ca5/22-40644/22-40644-2023-10-11.pdf?ts=1697067069</w:t>
        </w:r>
      </w:hyperlink>
      <w:r>
        <w:t xml:space="preserve"> </w:t>
      </w:r>
    </w:p>
    <w:p w14:paraId="2E74A390" w14:textId="2409239F" w:rsidR="002C0E67" w:rsidRDefault="00E66578" w:rsidP="002D4402">
      <w:pPr>
        <w:pStyle w:val="NormalWeb"/>
        <w:ind w:left="720"/>
      </w:pPr>
      <w:r>
        <w:t xml:space="preserve">See Harvard Law School article, June 2024. </w:t>
      </w:r>
      <w:hyperlink r:id="rId861" w:history="1">
        <w:r w:rsidR="00EC5C38" w:rsidRPr="008D12DC">
          <w:rPr>
            <w:rStyle w:val="Hyperlink"/>
          </w:rPr>
          <w:t>https://harvardlawreview.org/print/vol-137/baker-v-city-of-mckinney/</w:t>
        </w:r>
      </w:hyperlink>
      <w:r w:rsidR="00EC5C38">
        <w:t xml:space="preserve"> </w:t>
      </w:r>
    </w:p>
    <w:p w14:paraId="18583D89" w14:textId="2CC5CFDB" w:rsidR="005E33B5" w:rsidRPr="00146711" w:rsidRDefault="00146711" w:rsidP="00146711">
      <w:pPr>
        <w:ind w:left="720"/>
        <w:rPr>
          <w:rStyle w:val="Hyperlink"/>
          <w:rFonts w:ascii="Times New Roman" w:hAnsi="Times New Roman"/>
          <w:bCs/>
          <w:color w:val="auto"/>
          <w:sz w:val="24"/>
          <w:szCs w:val="24"/>
          <w:u w:val="none"/>
        </w:rPr>
      </w:pPr>
      <w:r w:rsidRPr="00146711">
        <w:rPr>
          <w:rStyle w:val="Hyperlink"/>
          <w:rFonts w:ascii="Times New Roman" w:hAnsi="Times New Roman"/>
          <w:bCs/>
          <w:color w:val="auto"/>
          <w:sz w:val="24"/>
          <w:szCs w:val="24"/>
          <w:u w:val="none"/>
        </w:rPr>
        <w:t xml:space="preserve">See amicus brief, Aug. 1, </w:t>
      </w:r>
      <w:proofErr w:type="gramStart"/>
      <w:r w:rsidRPr="00146711">
        <w:rPr>
          <w:rStyle w:val="Hyperlink"/>
          <w:rFonts w:ascii="Times New Roman" w:hAnsi="Times New Roman"/>
          <w:bCs/>
          <w:color w:val="auto"/>
          <w:sz w:val="24"/>
          <w:szCs w:val="24"/>
          <w:u w:val="none"/>
        </w:rPr>
        <w:t>2024</w:t>
      </w:r>
      <w:proofErr w:type="gramEnd"/>
      <w:r w:rsidRPr="00146711">
        <w:rPr>
          <w:rStyle w:val="Hyperlink"/>
          <w:rFonts w:ascii="Times New Roman" w:hAnsi="Times New Roman"/>
          <w:bCs/>
          <w:color w:val="auto"/>
          <w:sz w:val="24"/>
          <w:szCs w:val="24"/>
          <w:u w:val="none"/>
        </w:rPr>
        <w:t xml:space="preserve"> filed with U.S. Supreme Court: </w:t>
      </w:r>
      <w:hyperlink r:id="rId862" w:history="1">
        <w:r w:rsidRPr="008D12DC">
          <w:rPr>
            <w:rStyle w:val="Hyperlink"/>
            <w:rFonts w:ascii="Times New Roman" w:hAnsi="Times New Roman"/>
            <w:bCs/>
            <w:sz w:val="24"/>
            <w:szCs w:val="24"/>
          </w:rPr>
          <w:t>https://www.supremecourt.gov/DocketPDF/23/23-1363/321368/20240801101848884_Baker%20v.%20City%20of%20McKinney_%20Texas%20-%20Amicus%20Brief%20in%20Support%20of%20Petitioner.pdf</w:t>
        </w:r>
      </w:hyperlink>
      <w:r w:rsidRPr="00146711">
        <w:rPr>
          <w:rStyle w:val="Hyperlink"/>
          <w:rFonts w:ascii="Times New Roman" w:hAnsi="Times New Roman"/>
          <w:bCs/>
          <w:color w:val="auto"/>
          <w:sz w:val="24"/>
          <w:szCs w:val="24"/>
          <w:u w:val="none"/>
        </w:rPr>
        <w:t xml:space="preserve"> </w:t>
      </w:r>
    </w:p>
    <w:p w14:paraId="774DBEA4" w14:textId="0CA7B1AF" w:rsidR="00233F5D" w:rsidRDefault="00B83C64"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4-36</w:t>
      </w:r>
    </w:p>
    <w:p w14:paraId="15683429" w14:textId="77777777" w:rsidR="008041EF" w:rsidRPr="00CE417E" w:rsidRDefault="008041EF" w:rsidP="008041EF">
      <w:pPr>
        <w:pStyle w:val="NormalWeb"/>
        <w:rPr>
          <w:rFonts w:ascii="Arial Black" w:hAnsi="Arial Black"/>
          <w:sz w:val="28"/>
          <w:szCs w:val="28"/>
        </w:rPr>
      </w:pPr>
      <w:r>
        <w:rPr>
          <w:rFonts w:ascii="Arial Black" w:hAnsi="Arial Black"/>
          <w:sz w:val="28"/>
          <w:szCs w:val="28"/>
        </w:rPr>
        <w:t>NV: FOREST FIRE – FIRST 11 DAYS FOREST SERVICE ONLY “MONITORED” - 18 PROPERTY OWNERS – CASE DISMISSED</w:t>
      </w:r>
    </w:p>
    <w:p w14:paraId="59A5B480" w14:textId="77777777" w:rsidR="008041EF" w:rsidRDefault="008041EF" w:rsidP="008041EF">
      <w:pPr>
        <w:pStyle w:val="NormalWeb"/>
      </w:pPr>
      <w:r>
        <w:t xml:space="preserve">On Jan. 23, 2024, in </w:t>
      </w:r>
      <w:r w:rsidRPr="00104D81">
        <w:rPr>
          <w:u w:val="single"/>
        </w:rPr>
        <w:t>Tyrone R. Atwater v. The United States of America</w:t>
      </w:r>
      <w:r>
        <w:t xml:space="preserve">, U.S. District Court Judge William B. </w:t>
      </w:r>
      <w:proofErr w:type="spellStart"/>
      <w:r>
        <w:t>Shubb</w:t>
      </w:r>
      <w:proofErr w:type="spellEnd"/>
      <w:r>
        <w:t xml:space="preserve">, U.S. District Court for Eastern District of California, granted the Government’s motion to dismiss.  Federal Tort Claims Act does not allow claims based on government discretionary decisions, such as “monitoring” a fire in rural area, and only posting one warning on its Facebook page.  </w:t>
      </w:r>
    </w:p>
    <w:p w14:paraId="450A87C3" w14:textId="77777777" w:rsidR="008041EF" w:rsidRDefault="008041EF" w:rsidP="008041EF">
      <w:pPr>
        <w:pStyle w:val="NormalWeb"/>
        <w:ind w:left="720"/>
      </w:pPr>
      <w:r>
        <w:t>“</w:t>
      </w:r>
      <w:r w:rsidRPr="008B4B32">
        <w:t>The decision to adopt the monitoring strategy exudes</w:t>
      </w:r>
      <w:r>
        <w:t xml:space="preserve"> </w:t>
      </w:r>
      <w:r w:rsidRPr="008B4B32">
        <w:t xml:space="preserve">policy deliberations that are </w:t>
      </w:r>
      <w:r>
        <w:t>‘</w:t>
      </w:r>
      <w:r w:rsidRPr="008B4B32">
        <w:t>quintessentially discretionary,</w:t>
      </w:r>
      <w:r>
        <w:t xml:space="preserve">’ </w:t>
      </w:r>
      <w:r w:rsidRPr="008B4B32">
        <w:t>Knezovich, 82 F.4th at 938, and therefore beyond the scrutiny of</w:t>
      </w:r>
      <w:r>
        <w:t xml:space="preserve"> </w:t>
      </w:r>
      <w:r w:rsidRPr="008B4B32">
        <w:t>this court</w:t>
      </w:r>
      <w:r>
        <w:t xml:space="preserve">. </w:t>
      </w:r>
      <w:r w:rsidRPr="008B4B32">
        <w:t>Accordingly, the court will dismiss plaintiffs’</w:t>
      </w:r>
      <w:r>
        <w:t xml:space="preserve"> </w:t>
      </w:r>
      <w:r w:rsidRPr="008B4B32">
        <w:t xml:space="preserve">negligence, negligence per se, and trespass </w:t>
      </w:r>
      <w:proofErr w:type="gramStart"/>
      <w:r w:rsidRPr="008B4B32">
        <w:t>claims.</w:t>
      </w:r>
      <w:r>
        <w:t>”</w:t>
      </w:r>
      <w:proofErr w:type="gramEnd"/>
      <w:r>
        <w:t xml:space="preserve"> </w:t>
      </w:r>
      <w:hyperlink r:id="rId863" w:history="1">
        <w:r w:rsidRPr="00523F27">
          <w:rPr>
            <w:rStyle w:val="Hyperlink"/>
          </w:rPr>
          <w:t>https://cases.justia.com/federal/district-courts/california/caedce/2:2023cv01147/429644/22/0.pdf?ts=1706172863</w:t>
        </w:r>
      </w:hyperlink>
      <w:r>
        <w:t xml:space="preserve"> </w:t>
      </w:r>
    </w:p>
    <w:p w14:paraId="213B2765" w14:textId="77777777" w:rsidR="00AF2973" w:rsidRDefault="00AF2973" w:rsidP="00AF2973">
      <w:pPr>
        <w:pStyle w:val="NormalWeb"/>
        <w:rPr>
          <w:b/>
          <w:bCs/>
        </w:rPr>
      </w:pPr>
      <w:r w:rsidRPr="005B048C">
        <w:rPr>
          <w:b/>
          <w:bCs/>
        </w:rPr>
        <w:t xml:space="preserve">Legal Lesson Learned: </w:t>
      </w:r>
      <w:r>
        <w:rPr>
          <w:b/>
          <w:bCs/>
        </w:rPr>
        <w:t xml:space="preserve">Discretionary decisions on when to let forest fire burn, and what notice to provide to public, are exceptions to Federal Tort Claims Act. </w:t>
      </w:r>
    </w:p>
    <w:p w14:paraId="05D66838" w14:textId="77777777" w:rsidR="00B83C64" w:rsidRDefault="00B83C64" w:rsidP="002B1283">
      <w:pPr>
        <w:rPr>
          <w:rStyle w:val="Hyperlink"/>
          <w:rFonts w:ascii="Arial Black" w:hAnsi="Arial Black"/>
          <w:b/>
          <w:color w:val="auto"/>
          <w:sz w:val="24"/>
          <w:szCs w:val="24"/>
          <w:u w:val="none"/>
        </w:rPr>
      </w:pPr>
    </w:p>
    <w:p w14:paraId="0C340365" w14:textId="77777777" w:rsidR="00B83C64" w:rsidRDefault="00B83C64" w:rsidP="002B1283">
      <w:pPr>
        <w:rPr>
          <w:rStyle w:val="Hyperlink"/>
          <w:rFonts w:ascii="Arial Black" w:hAnsi="Arial Black"/>
          <w:b/>
          <w:color w:val="auto"/>
          <w:sz w:val="24"/>
          <w:szCs w:val="24"/>
          <w:u w:val="none"/>
        </w:rPr>
      </w:pPr>
    </w:p>
    <w:p w14:paraId="5DB72DA1" w14:textId="0D68E55E" w:rsidR="00233F5D" w:rsidRDefault="00233F5D"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4-35</w:t>
      </w:r>
    </w:p>
    <w:p w14:paraId="61A0B5CE" w14:textId="77777777" w:rsidR="002917C5" w:rsidRPr="00EF2302" w:rsidRDefault="002917C5" w:rsidP="002917C5">
      <w:pPr>
        <w:pStyle w:val="NormalWeb"/>
        <w:rPr>
          <w:rFonts w:ascii="Arial Black" w:hAnsi="Arial Black"/>
          <w:sz w:val="28"/>
          <w:szCs w:val="28"/>
        </w:rPr>
      </w:pPr>
      <w:r>
        <w:rPr>
          <w:rFonts w:ascii="Arial Black" w:hAnsi="Arial Black"/>
          <w:sz w:val="28"/>
          <w:szCs w:val="28"/>
        </w:rPr>
        <w:t xml:space="preserve">IN: NEW “BUFFER LAW” UPHELD – POLICE CAN ORDER CITIZENS, INCLUDING WITH CAMERAS - BACK 25 FEET  </w:t>
      </w:r>
    </w:p>
    <w:p w14:paraId="6D6B9120" w14:textId="77777777" w:rsidR="002917C5" w:rsidRDefault="002917C5" w:rsidP="002917C5">
      <w:pPr>
        <w:pStyle w:val="NormalWeb"/>
      </w:pPr>
      <w:r>
        <w:t xml:space="preserve">On Jan. 12, 2024, in </w:t>
      </w:r>
      <w:r w:rsidRPr="00495A00">
        <w:rPr>
          <w:u w:val="single"/>
        </w:rPr>
        <w:t>Donald Nicodemus v. City of South Bend, Indiana</w:t>
      </w:r>
      <w:r>
        <w:t xml:space="preserve">, U.S. District Court Judge Damon R. Leichty, U.S. District Court for the Northern District of Indiana (South Bend Division) denied the Plaintiff’s motion for a permanent injunction and dismissed the lawsuit. The Court also referenced that Indiana has a “perimeter law” where incident commanders at an emergency scene can set up a perimeter safety zone.  </w:t>
      </w:r>
    </w:p>
    <w:p w14:paraId="52AB6B0A" w14:textId="77777777" w:rsidR="002917C5" w:rsidRDefault="002917C5" w:rsidP="002917C5">
      <w:pPr>
        <w:pStyle w:val="NoSpacing"/>
        <w:ind w:left="720"/>
        <w:rPr>
          <w:rFonts w:ascii="Times New Roman" w:hAnsi="Times New Roman"/>
          <w:sz w:val="24"/>
          <w:szCs w:val="24"/>
        </w:rPr>
      </w:pPr>
      <w:r>
        <w:rPr>
          <w:rFonts w:ascii="Times New Roman" w:hAnsi="Times New Roman"/>
          <w:sz w:val="24"/>
          <w:szCs w:val="24"/>
        </w:rPr>
        <w:t>“</w:t>
      </w:r>
      <w:r w:rsidRPr="004F1D80">
        <w:rPr>
          <w:rFonts w:ascii="Times New Roman" w:hAnsi="Times New Roman"/>
          <w:sz w:val="24"/>
          <w:szCs w:val="24"/>
        </w:rPr>
        <w:t>On July 1, 2023, Indiana’s so-called buffer law took effect, criminalizing as a misdemeanor a</w:t>
      </w:r>
      <w:r>
        <w:rPr>
          <w:rFonts w:ascii="Times New Roman" w:hAnsi="Times New Roman"/>
          <w:sz w:val="24"/>
          <w:szCs w:val="24"/>
        </w:rPr>
        <w:t xml:space="preserve"> </w:t>
      </w:r>
      <w:r w:rsidRPr="004F1D80">
        <w:rPr>
          <w:rFonts w:ascii="Times New Roman" w:hAnsi="Times New Roman"/>
          <w:sz w:val="24"/>
          <w:szCs w:val="24"/>
        </w:rPr>
        <w:t>person’s unlawful encroachment on a police officer’s lawful duties. This buffer law prohibits a person</w:t>
      </w:r>
      <w:r>
        <w:rPr>
          <w:rFonts w:ascii="Times New Roman" w:hAnsi="Times New Roman"/>
          <w:sz w:val="24"/>
          <w:szCs w:val="24"/>
        </w:rPr>
        <w:t xml:space="preserve"> </w:t>
      </w:r>
      <w:r w:rsidRPr="004F1D80">
        <w:rPr>
          <w:rFonts w:ascii="Times New Roman" w:hAnsi="Times New Roman"/>
          <w:sz w:val="24"/>
          <w:szCs w:val="24"/>
        </w:rPr>
        <w:t>from knowingly or intentionally approaching within 25 feet of an officer engaged in his or her lawful</w:t>
      </w:r>
      <w:r>
        <w:rPr>
          <w:rFonts w:ascii="Times New Roman" w:hAnsi="Times New Roman"/>
          <w:sz w:val="24"/>
          <w:szCs w:val="24"/>
        </w:rPr>
        <w:t xml:space="preserve"> </w:t>
      </w:r>
      <w:r w:rsidRPr="004F1D80">
        <w:rPr>
          <w:rFonts w:ascii="Times New Roman" w:hAnsi="Times New Roman"/>
          <w:sz w:val="24"/>
          <w:szCs w:val="24"/>
        </w:rPr>
        <w:t>duties after the officer orders the person to stop approaching. See Ind. Code § 35-44.1-2-14.</w:t>
      </w:r>
    </w:p>
    <w:p w14:paraId="15364690" w14:textId="77777777" w:rsidR="002917C5" w:rsidRDefault="002917C5" w:rsidP="002917C5">
      <w:pPr>
        <w:pStyle w:val="NoSpacing"/>
        <w:rPr>
          <w:rFonts w:ascii="Times New Roman" w:hAnsi="Times New Roman"/>
          <w:sz w:val="24"/>
          <w:szCs w:val="24"/>
        </w:rPr>
      </w:pPr>
    </w:p>
    <w:p w14:paraId="5E3DB350" w14:textId="77777777" w:rsidR="002917C5" w:rsidRDefault="002917C5" w:rsidP="002917C5">
      <w:pPr>
        <w:pStyle w:val="NoSpacing"/>
        <w:ind w:left="720"/>
        <w:rPr>
          <w:rFonts w:ascii="Times New Roman" w:hAnsi="Times New Roman"/>
          <w:sz w:val="24"/>
          <w:szCs w:val="24"/>
        </w:rPr>
      </w:pPr>
      <w:r w:rsidRPr="002829E6">
        <w:rPr>
          <w:rFonts w:ascii="Times New Roman" w:hAnsi="Times New Roman"/>
          <w:sz w:val="24"/>
          <w:szCs w:val="24"/>
        </w:rPr>
        <w:t>Law enforcement officers have jobs to do, and often difficult jobs that require decision</w:t>
      </w:r>
      <w:r>
        <w:rPr>
          <w:rFonts w:ascii="Times New Roman" w:hAnsi="Times New Roman"/>
          <w:sz w:val="24"/>
          <w:szCs w:val="24"/>
        </w:rPr>
        <w:t xml:space="preserve"> </w:t>
      </w:r>
      <w:r w:rsidRPr="002829E6">
        <w:rPr>
          <w:rFonts w:ascii="Times New Roman" w:hAnsi="Times New Roman"/>
          <w:sz w:val="24"/>
          <w:szCs w:val="24"/>
        </w:rPr>
        <w:t>making</w:t>
      </w:r>
      <w:r>
        <w:rPr>
          <w:rFonts w:ascii="Times New Roman" w:hAnsi="Times New Roman"/>
          <w:sz w:val="24"/>
          <w:szCs w:val="24"/>
        </w:rPr>
        <w:t xml:space="preserve"> </w:t>
      </w:r>
      <w:r w:rsidRPr="002829E6">
        <w:rPr>
          <w:rFonts w:ascii="Times New Roman" w:hAnsi="Times New Roman"/>
          <w:sz w:val="24"/>
          <w:szCs w:val="24"/>
        </w:rPr>
        <w:t>in tense, uncertain, fluid, and unsafe circumstances. At the same time, the public has a right to record the</w:t>
      </w:r>
      <w:r>
        <w:rPr>
          <w:rFonts w:ascii="Times New Roman" w:hAnsi="Times New Roman"/>
          <w:sz w:val="24"/>
          <w:szCs w:val="24"/>
        </w:rPr>
        <w:t xml:space="preserve"> </w:t>
      </w:r>
      <w:r w:rsidRPr="002829E6">
        <w:rPr>
          <w:rFonts w:ascii="Times New Roman" w:hAnsi="Times New Roman"/>
          <w:sz w:val="24"/>
          <w:szCs w:val="24"/>
        </w:rPr>
        <w:t>police. Audio</w:t>
      </w:r>
      <w:r>
        <w:rPr>
          <w:rFonts w:ascii="Times New Roman" w:hAnsi="Times New Roman"/>
          <w:sz w:val="24"/>
          <w:szCs w:val="24"/>
        </w:rPr>
        <w:t xml:space="preserve"> </w:t>
      </w:r>
      <w:r w:rsidRPr="002829E6">
        <w:rPr>
          <w:rFonts w:ascii="Times New Roman" w:hAnsi="Times New Roman"/>
          <w:sz w:val="24"/>
          <w:szCs w:val="24"/>
        </w:rPr>
        <w:t>visually recording police activity fits within the First Amendment’s guarantee. The right isn’t</w:t>
      </w:r>
      <w:r>
        <w:rPr>
          <w:rFonts w:ascii="Times New Roman" w:hAnsi="Times New Roman"/>
          <w:sz w:val="24"/>
          <w:szCs w:val="24"/>
        </w:rPr>
        <w:t xml:space="preserve"> </w:t>
      </w:r>
      <w:r w:rsidRPr="002829E6">
        <w:rPr>
          <w:rFonts w:ascii="Times New Roman" w:hAnsi="Times New Roman"/>
          <w:sz w:val="24"/>
          <w:szCs w:val="24"/>
        </w:rPr>
        <w:t>unlimited, but robustly it exists to serve important purposes. It facilitates transparency, training, scrutiny</w:t>
      </w:r>
      <w:r>
        <w:rPr>
          <w:rFonts w:ascii="Times New Roman" w:hAnsi="Times New Roman"/>
          <w:sz w:val="24"/>
          <w:szCs w:val="24"/>
        </w:rPr>
        <w:t xml:space="preserve"> </w:t>
      </w:r>
      <w:r w:rsidRPr="002829E6">
        <w:rPr>
          <w:rFonts w:ascii="Times New Roman" w:hAnsi="Times New Roman"/>
          <w:sz w:val="24"/>
          <w:szCs w:val="24"/>
        </w:rPr>
        <w:t>of police misconduct, and the exoneration of officers from unfair charges. Candid critique of our</w:t>
      </w:r>
      <w:r>
        <w:rPr>
          <w:rFonts w:ascii="Times New Roman" w:hAnsi="Times New Roman"/>
          <w:sz w:val="24"/>
          <w:szCs w:val="24"/>
        </w:rPr>
        <w:t xml:space="preserve"> </w:t>
      </w:r>
      <w:r w:rsidRPr="002829E6">
        <w:rPr>
          <w:rFonts w:ascii="Times New Roman" w:hAnsi="Times New Roman"/>
          <w:sz w:val="24"/>
          <w:szCs w:val="24"/>
        </w:rPr>
        <w:t>government and its officials matters in a free society. By shining a light on newsworthy police conduct,</w:t>
      </w:r>
      <w:r>
        <w:rPr>
          <w:rFonts w:ascii="Times New Roman" w:hAnsi="Times New Roman"/>
          <w:sz w:val="24"/>
          <w:szCs w:val="24"/>
        </w:rPr>
        <w:t xml:space="preserve"> </w:t>
      </w:r>
      <w:r w:rsidRPr="002829E6">
        <w:rPr>
          <w:rFonts w:ascii="Times New Roman" w:hAnsi="Times New Roman"/>
          <w:sz w:val="24"/>
          <w:szCs w:val="24"/>
        </w:rPr>
        <w:t>the public’s recordings benefit our citizens and law-abiding officers alike.</w:t>
      </w:r>
    </w:p>
    <w:p w14:paraId="0014FC54" w14:textId="77777777" w:rsidR="002917C5" w:rsidRDefault="002917C5" w:rsidP="002917C5">
      <w:pPr>
        <w:pStyle w:val="NoSpacing"/>
        <w:rPr>
          <w:rFonts w:ascii="Times New Roman" w:hAnsi="Times New Roman"/>
          <w:sz w:val="24"/>
          <w:szCs w:val="24"/>
        </w:rPr>
      </w:pPr>
    </w:p>
    <w:p w14:paraId="4020C415" w14:textId="77777777" w:rsidR="002917C5" w:rsidRDefault="002917C5" w:rsidP="002917C5">
      <w:pPr>
        <w:pStyle w:val="NoSpacing"/>
        <w:ind w:firstLine="720"/>
        <w:rPr>
          <w:rFonts w:ascii="Times New Roman" w:hAnsi="Times New Roman"/>
          <w:sz w:val="24"/>
          <w:szCs w:val="24"/>
        </w:rPr>
      </w:pPr>
      <w:r>
        <w:rPr>
          <w:rFonts w:ascii="Times New Roman" w:hAnsi="Times New Roman"/>
          <w:sz w:val="24"/>
          <w:szCs w:val="24"/>
        </w:rPr>
        <w:t>***</w:t>
      </w:r>
    </w:p>
    <w:p w14:paraId="440F41DB" w14:textId="77777777" w:rsidR="002917C5" w:rsidRPr="004F1D80" w:rsidRDefault="002917C5" w:rsidP="002917C5">
      <w:pPr>
        <w:pStyle w:val="NoSpacing"/>
        <w:rPr>
          <w:rFonts w:ascii="Times New Roman" w:hAnsi="Times New Roman"/>
          <w:sz w:val="24"/>
          <w:szCs w:val="24"/>
        </w:rPr>
      </w:pPr>
    </w:p>
    <w:p w14:paraId="185E4913" w14:textId="77777777" w:rsidR="002917C5" w:rsidRPr="00CB06B1" w:rsidRDefault="002917C5" w:rsidP="002917C5">
      <w:pPr>
        <w:pStyle w:val="NoSpacing"/>
        <w:ind w:left="720"/>
        <w:rPr>
          <w:rFonts w:ascii="Times New Roman" w:hAnsi="Times New Roman"/>
          <w:sz w:val="24"/>
          <w:szCs w:val="24"/>
        </w:rPr>
      </w:pPr>
      <w:r w:rsidRPr="00CB06B1">
        <w:rPr>
          <w:rFonts w:ascii="Times New Roman" w:hAnsi="Times New Roman"/>
          <w:sz w:val="24"/>
          <w:szCs w:val="24"/>
        </w:rPr>
        <w:t>The public has a First Amendment right to record police activity—a critically important right.</w:t>
      </w:r>
      <w:r>
        <w:rPr>
          <w:rFonts w:ascii="Times New Roman" w:hAnsi="Times New Roman"/>
          <w:sz w:val="24"/>
          <w:szCs w:val="24"/>
        </w:rPr>
        <w:t xml:space="preserve"> </w:t>
      </w:r>
      <w:r w:rsidRPr="00CB06B1">
        <w:rPr>
          <w:rFonts w:ascii="Times New Roman" w:hAnsi="Times New Roman"/>
          <w:sz w:val="24"/>
          <w:szCs w:val="24"/>
        </w:rPr>
        <w:t xml:space="preserve">Law enforcement officers have a right to perform their lawful duties </w:t>
      </w:r>
      <w:proofErr w:type="gramStart"/>
      <w:r w:rsidRPr="00CB06B1">
        <w:rPr>
          <w:rFonts w:ascii="Times New Roman" w:hAnsi="Times New Roman"/>
          <w:sz w:val="24"/>
          <w:szCs w:val="24"/>
        </w:rPr>
        <w:t>unimpeded</w:t>
      </w:r>
      <w:proofErr w:type="gramEnd"/>
      <w:r w:rsidRPr="00CB06B1">
        <w:rPr>
          <w:rFonts w:ascii="Times New Roman" w:hAnsi="Times New Roman"/>
          <w:sz w:val="24"/>
          <w:szCs w:val="24"/>
        </w:rPr>
        <w:t>. Indiana’s buffer law has</w:t>
      </w:r>
      <w:r>
        <w:rPr>
          <w:rFonts w:ascii="Times New Roman" w:hAnsi="Times New Roman"/>
          <w:sz w:val="24"/>
          <w:szCs w:val="24"/>
        </w:rPr>
        <w:t xml:space="preserve"> </w:t>
      </w:r>
      <w:r w:rsidRPr="00CB06B1">
        <w:rPr>
          <w:rFonts w:ascii="Times New Roman" w:hAnsi="Times New Roman"/>
          <w:sz w:val="24"/>
          <w:szCs w:val="24"/>
        </w:rPr>
        <w:t xml:space="preserve">many constitutional applications within its plainly legitimate sweep. It </w:t>
      </w:r>
      <w:proofErr w:type="gramStart"/>
      <w:r w:rsidRPr="00CB06B1">
        <w:rPr>
          <w:rFonts w:ascii="Times New Roman" w:hAnsi="Times New Roman"/>
          <w:sz w:val="24"/>
          <w:szCs w:val="24"/>
        </w:rPr>
        <w:t>never once</w:t>
      </w:r>
      <w:proofErr w:type="gramEnd"/>
      <w:r w:rsidRPr="00CB06B1">
        <w:rPr>
          <w:rFonts w:ascii="Times New Roman" w:hAnsi="Times New Roman"/>
          <w:sz w:val="24"/>
          <w:szCs w:val="24"/>
        </w:rPr>
        <w:t xml:space="preserve"> permits an officer to</w:t>
      </w:r>
      <w:r>
        <w:rPr>
          <w:rFonts w:ascii="Times New Roman" w:hAnsi="Times New Roman"/>
          <w:sz w:val="24"/>
          <w:szCs w:val="24"/>
        </w:rPr>
        <w:t xml:space="preserve"> </w:t>
      </w:r>
      <w:r w:rsidRPr="00CB06B1">
        <w:rPr>
          <w:rFonts w:ascii="Times New Roman" w:hAnsi="Times New Roman"/>
          <w:sz w:val="24"/>
          <w:szCs w:val="24"/>
        </w:rPr>
        <w:t>tell a reporter or citizen-journalist to leave altogether or to cease recording police activity. The law is</w:t>
      </w:r>
      <w:r>
        <w:rPr>
          <w:rFonts w:ascii="Times New Roman" w:hAnsi="Times New Roman"/>
          <w:sz w:val="24"/>
          <w:szCs w:val="24"/>
        </w:rPr>
        <w:t xml:space="preserve"> </w:t>
      </w:r>
      <w:r w:rsidRPr="00CB06B1">
        <w:rPr>
          <w:rFonts w:ascii="Times New Roman" w:hAnsi="Times New Roman"/>
          <w:sz w:val="24"/>
          <w:szCs w:val="24"/>
        </w:rPr>
        <w:t>directed toward encroachment on an officer’s lawful duties within 25 feet. It doesn’t target speech. It</w:t>
      </w:r>
      <w:r>
        <w:rPr>
          <w:rFonts w:ascii="Times New Roman" w:hAnsi="Times New Roman"/>
          <w:sz w:val="24"/>
          <w:szCs w:val="24"/>
        </w:rPr>
        <w:t xml:space="preserve"> </w:t>
      </w:r>
      <w:r w:rsidRPr="00CB06B1">
        <w:rPr>
          <w:rFonts w:ascii="Times New Roman" w:hAnsi="Times New Roman"/>
          <w:sz w:val="24"/>
          <w:szCs w:val="24"/>
        </w:rPr>
        <w:t xml:space="preserve">penalizes approaching a </w:t>
      </w:r>
      <w:proofErr w:type="gramStart"/>
      <w:r w:rsidRPr="00CB06B1">
        <w:rPr>
          <w:rFonts w:ascii="Times New Roman" w:hAnsi="Times New Roman"/>
          <w:sz w:val="24"/>
          <w:szCs w:val="24"/>
        </w:rPr>
        <w:t>lawfully-engaged</w:t>
      </w:r>
      <w:proofErr w:type="gramEnd"/>
      <w:r w:rsidRPr="00CB06B1">
        <w:rPr>
          <w:rFonts w:ascii="Times New Roman" w:hAnsi="Times New Roman"/>
          <w:sz w:val="24"/>
          <w:szCs w:val="24"/>
        </w:rPr>
        <w:t xml:space="preserve"> officer (after an order), not recording one. And at 25 feet, in</w:t>
      </w:r>
      <w:r>
        <w:rPr>
          <w:rFonts w:ascii="Times New Roman" w:hAnsi="Times New Roman"/>
          <w:sz w:val="24"/>
          <w:szCs w:val="24"/>
        </w:rPr>
        <w:t xml:space="preserve"> </w:t>
      </w:r>
      <w:r w:rsidRPr="00CB06B1">
        <w:rPr>
          <w:rFonts w:ascii="Times New Roman" w:hAnsi="Times New Roman"/>
          <w:sz w:val="24"/>
          <w:szCs w:val="24"/>
        </w:rPr>
        <w:t>measure small steps from an officer’s work, this law has only an incidental effect on the public’s First</w:t>
      </w:r>
      <w:r>
        <w:rPr>
          <w:rFonts w:ascii="Times New Roman" w:hAnsi="Times New Roman"/>
          <w:sz w:val="24"/>
          <w:szCs w:val="24"/>
        </w:rPr>
        <w:t xml:space="preserve"> </w:t>
      </w:r>
      <w:r w:rsidRPr="00CB06B1">
        <w:rPr>
          <w:rFonts w:ascii="Times New Roman" w:hAnsi="Times New Roman"/>
          <w:sz w:val="24"/>
          <w:szCs w:val="24"/>
        </w:rPr>
        <w:t>Amendment right to capture audio and video and otherwise to scrutinize police conduct. The court denies</w:t>
      </w:r>
      <w:r>
        <w:rPr>
          <w:rFonts w:ascii="Times New Roman" w:hAnsi="Times New Roman"/>
          <w:sz w:val="24"/>
          <w:szCs w:val="24"/>
        </w:rPr>
        <w:t xml:space="preserve"> </w:t>
      </w:r>
      <w:r w:rsidRPr="00CB06B1">
        <w:rPr>
          <w:rFonts w:ascii="Times New Roman" w:hAnsi="Times New Roman"/>
          <w:sz w:val="24"/>
          <w:szCs w:val="24"/>
        </w:rPr>
        <w:t xml:space="preserve">a permanent injunction because Indiana’s buffer law is not </w:t>
      </w:r>
      <w:proofErr w:type="gramStart"/>
      <w:r w:rsidRPr="00CB06B1">
        <w:rPr>
          <w:rFonts w:ascii="Times New Roman" w:hAnsi="Times New Roman"/>
          <w:sz w:val="24"/>
          <w:szCs w:val="24"/>
        </w:rPr>
        <w:t>unconstitutional by virtue</w:t>
      </w:r>
      <w:proofErr w:type="gramEnd"/>
      <w:r w:rsidRPr="00CB06B1">
        <w:rPr>
          <w:rFonts w:ascii="Times New Roman" w:hAnsi="Times New Roman"/>
          <w:sz w:val="24"/>
          <w:szCs w:val="24"/>
        </w:rPr>
        <w:t xml:space="preserve"> of being facially</w:t>
      </w:r>
      <w:r>
        <w:rPr>
          <w:rFonts w:ascii="Times New Roman" w:hAnsi="Times New Roman"/>
          <w:sz w:val="24"/>
          <w:szCs w:val="24"/>
        </w:rPr>
        <w:t xml:space="preserve"> </w:t>
      </w:r>
      <w:r w:rsidRPr="00CB06B1">
        <w:rPr>
          <w:rFonts w:ascii="Times New Roman" w:hAnsi="Times New Roman"/>
          <w:sz w:val="24"/>
          <w:szCs w:val="24"/>
        </w:rPr>
        <w:t>overbroad. A case might be different if an officer enforces this law unconstitutionally in a particular</w:t>
      </w:r>
      <w:r>
        <w:rPr>
          <w:rFonts w:ascii="Times New Roman" w:hAnsi="Times New Roman"/>
          <w:sz w:val="24"/>
          <w:szCs w:val="24"/>
        </w:rPr>
        <w:t xml:space="preserve"> </w:t>
      </w:r>
      <w:r w:rsidRPr="00CB06B1">
        <w:rPr>
          <w:rFonts w:ascii="Times New Roman" w:hAnsi="Times New Roman"/>
          <w:sz w:val="24"/>
          <w:szCs w:val="24"/>
        </w:rPr>
        <w:t>scenario, but the court is not deciding such a case today.</w:t>
      </w:r>
      <w:r>
        <w:rPr>
          <w:rFonts w:ascii="Times New Roman" w:hAnsi="Times New Roman"/>
          <w:sz w:val="24"/>
          <w:szCs w:val="24"/>
        </w:rPr>
        <w:t xml:space="preserve">”  </w:t>
      </w:r>
      <w:hyperlink r:id="rId864" w:history="1">
        <w:r w:rsidRPr="00D10854">
          <w:rPr>
            <w:rStyle w:val="Hyperlink"/>
            <w:rFonts w:ascii="Times New Roman" w:hAnsi="Times New Roman"/>
            <w:sz w:val="24"/>
            <w:szCs w:val="24"/>
          </w:rPr>
          <w:t>https://cases.justia.com/federal/district-courts/indiana/inndce/3:2023cv00744/115782/36/0.pdf?ts=1705163579</w:t>
        </w:r>
      </w:hyperlink>
      <w:r>
        <w:rPr>
          <w:rFonts w:ascii="Times New Roman" w:hAnsi="Times New Roman"/>
          <w:sz w:val="24"/>
          <w:szCs w:val="24"/>
        </w:rPr>
        <w:t xml:space="preserve"> </w:t>
      </w:r>
    </w:p>
    <w:p w14:paraId="589E4FF6" w14:textId="77777777" w:rsidR="00233F5D" w:rsidRDefault="00233F5D" w:rsidP="002B1283">
      <w:pPr>
        <w:rPr>
          <w:rStyle w:val="Hyperlink"/>
          <w:rFonts w:ascii="Arial Black" w:hAnsi="Arial Black"/>
          <w:b/>
          <w:color w:val="auto"/>
          <w:sz w:val="24"/>
          <w:szCs w:val="24"/>
          <w:u w:val="none"/>
        </w:rPr>
      </w:pPr>
    </w:p>
    <w:p w14:paraId="3097F93A" w14:textId="77777777" w:rsidR="00B83C64" w:rsidRPr="007C6C34" w:rsidRDefault="00B83C64" w:rsidP="00B83C64">
      <w:pPr>
        <w:pStyle w:val="NormalWeb"/>
        <w:rPr>
          <w:b/>
          <w:bCs/>
        </w:rPr>
      </w:pPr>
      <w:r w:rsidRPr="007C6C34">
        <w:rPr>
          <w:b/>
          <w:bCs/>
        </w:rPr>
        <w:t>Legal Lesson Learned:</w:t>
      </w:r>
      <w:r>
        <w:rPr>
          <w:b/>
          <w:bCs/>
        </w:rPr>
        <w:t xml:space="preserve"> An excellent “buffer law” that will also help Fire &amp; EMS. </w:t>
      </w:r>
    </w:p>
    <w:p w14:paraId="46909B06" w14:textId="77777777" w:rsidR="00233F5D" w:rsidRDefault="00233F5D" w:rsidP="002B1283">
      <w:pPr>
        <w:rPr>
          <w:rStyle w:val="Hyperlink"/>
          <w:rFonts w:ascii="Arial Black" w:hAnsi="Arial Black"/>
          <w:b/>
          <w:color w:val="auto"/>
          <w:sz w:val="24"/>
          <w:szCs w:val="24"/>
          <w:u w:val="none"/>
        </w:rPr>
      </w:pPr>
    </w:p>
    <w:p w14:paraId="3D5791A8" w14:textId="4C6E827C" w:rsidR="006A67C1" w:rsidRDefault="003E1AD0"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4-34</w:t>
      </w:r>
    </w:p>
    <w:p w14:paraId="3BB11773" w14:textId="77777777" w:rsidR="000B6881" w:rsidRPr="00D77551" w:rsidRDefault="000B6881" w:rsidP="000B6881">
      <w:pPr>
        <w:pStyle w:val="NormalWeb"/>
        <w:rPr>
          <w:rFonts w:ascii="Arial Black" w:hAnsi="Arial Black"/>
          <w:b/>
          <w:bCs/>
          <w:sz w:val="28"/>
          <w:szCs w:val="28"/>
        </w:rPr>
      </w:pPr>
      <w:r>
        <w:rPr>
          <w:rFonts w:ascii="Arial Black" w:hAnsi="Arial Black"/>
          <w:b/>
          <w:bCs/>
          <w:sz w:val="28"/>
          <w:szCs w:val="28"/>
        </w:rPr>
        <w:t xml:space="preserve">CA: PD DRONE VIDEOS – “FIRST IN COUNTRY” FAA PROGRAM – VIDEOS MOUNTAIN LION, WATER LEAK PUBLIC </w:t>
      </w:r>
    </w:p>
    <w:p w14:paraId="13DD7664" w14:textId="77777777" w:rsidR="000B6881" w:rsidRDefault="000B6881" w:rsidP="000B6881">
      <w:pPr>
        <w:pStyle w:val="NormalWeb"/>
      </w:pPr>
      <w:r w:rsidRPr="00416234">
        <w:t xml:space="preserve">On Dec. 27, 2023, in </w:t>
      </w:r>
      <w:r w:rsidRPr="00416234">
        <w:rPr>
          <w:u w:val="single"/>
        </w:rPr>
        <w:t>Arturo Castanares v. The Supervisor Court of San Diego County, and City of Chula Vista,</w:t>
      </w:r>
      <w:r w:rsidRPr="00416234">
        <w:t xml:space="preserve"> </w:t>
      </w:r>
      <w:r>
        <w:t xml:space="preserve">the Court of Appeal, Fourth Appellate District, Division One, Stare of California, held (3 to 0) that trial court judge improperly held that all police videos (370 flights) were exempt from disclosure under CA “catchall” provision protecting police investigations and individual privacy.  The Court </w:t>
      </w:r>
      <w:proofErr w:type="gramStart"/>
      <w:r>
        <w:t>remanded</w:t>
      </w:r>
      <w:proofErr w:type="gramEnd"/>
      <w:r>
        <w:t xml:space="preserve"> the case to trial court judge for further review of videos. The Court wrote: “We agree with Castañares that the superior court erred in determining, as a matter of law, all video footage from the drone program is exempt under section 7923.600, subdivision (a) as records of investigations. However, it might be the case, after further inquiry, consistent with this opinion, that </w:t>
      </w:r>
      <w:proofErr w:type="gramStart"/>
      <w:r>
        <w:t>the majority of</w:t>
      </w:r>
      <w:proofErr w:type="gramEnd"/>
      <w:r>
        <w:t xml:space="preserve"> the video footage is exempt. That said, we cannot make that determination on the record before us. *** For example, a 911 call about a mountain lion roaming a neighborhood, a water leak, or a stranded motorist on the freeway could warrant the use of a drone but do not suggest a crime might have been committed or is in the process of being committed.” </w:t>
      </w:r>
      <w:hyperlink r:id="rId865" w:history="1">
        <w:r w:rsidRPr="0044657D">
          <w:rPr>
            <w:rStyle w:val="Hyperlink"/>
          </w:rPr>
          <w:t>https://www.courts.ca.gov/opinions/documents/D082048.PDF</w:t>
        </w:r>
      </w:hyperlink>
      <w:r>
        <w:t xml:space="preserve"> </w:t>
      </w:r>
    </w:p>
    <w:p w14:paraId="49FBE993" w14:textId="77777777" w:rsidR="00BC204B" w:rsidRDefault="00BC204B" w:rsidP="00BC204B">
      <w:pPr>
        <w:pStyle w:val="NoSpacing"/>
        <w:jc w:val="both"/>
        <w:rPr>
          <w:rFonts w:ascii="Times New Roman" w:hAnsi="Times New Roman"/>
          <w:b/>
          <w:bCs/>
          <w:sz w:val="24"/>
          <w:szCs w:val="24"/>
        </w:rPr>
      </w:pPr>
      <w:r w:rsidRPr="00BA1591">
        <w:rPr>
          <w:rFonts w:ascii="Times New Roman" w:hAnsi="Times New Roman"/>
          <w:b/>
          <w:bCs/>
          <w:sz w:val="24"/>
          <w:szCs w:val="24"/>
        </w:rPr>
        <w:t xml:space="preserve">Legal Lesson Learned: </w:t>
      </w:r>
      <w:r>
        <w:rPr>
          <w:rFonts w:ascii="Times New Roman" w:hAnsi="Times New Roman"/>
          <w:b/>
          <w:bCs/>
          <w:sz w:val="24"/>
          <w:szCs w:val="24"/>
        </w:rPr>
        <w:t xml:space="preserve">New technologies can lead to new legal issues; trial court </w:t>
      </w:r>
      <w:proofErr w:type="gramStart"/>
      <w:r>
        <w:rPr>
          <w:rFonts w:ascii="Times New Roman" w:hAnsi="Times New Roman"/>
          <w:b/>
          <w:bCs/>
          <w:sz w:val="24"/>
          <w:szCs w:val="24"/>
        </w:rPr>
        <w:t>judge</w:t>
      </w:r>
      <w:proofErr w:type="gramEnd"/>
      <w:r>
        <w:rPr>
          <w:rFonts w:ascii="Times New Roman" w:hAnsi="Times New Roman"/>
          <w:b/>
          <w:bCs/>
          <w:sz w:val="24"/>
          <w:szCs w:val="24"/>
        </w:rPr>
        <w:t xml:space="preserve"> may now have to make a disclosure decision on each video. </w:t>
      </w:r>
    </w:p>
    <w:p w14:paraId="2B6271AD" w14:textId="77777777" w:rsidR="003E1AD0" w:rsidRDefault="003E1AD0" w:rsidP="002B1283">
      <w:pPr>
        <w:rPr>
          <w:rStyle w:val="Hyperlink"/>
          <w:rFonts w:ascii="Arial Black" w:hAnsi="Arial Black"/>
          <w:b/>
          <w:color w:val="auto"/>
          <w:sz w:val="24"/>
          <w:szCs w:val="24"/>
          <w:u w:val="none"/>
        </w:rPr>
      </w:pPr>
    </w:p>
    <w:p w14:paraId="45EE7D65" w14:textId="77777777" w:rsidR="003E1AD0" w:rsidRDefault="003E1AD0" w:rsidP="002B1283">
      <w:pPr>
        <w:rPr>
          <w:rStyle w:val="Hyperlink"/>
          <w:rFonts w:ascii="Arial Black" w:hAnsi="Arial Black"/>
          <w:b/>
          <w:color w:val="auto"/>
          <w:sz w:val="24"/>
          <w:szCs w:val="24"/>
          <w:u w:val="none"/>
        </w:rPr>
      </w:pPr>
    </w:p>
    <w:p w14:paraId="187748CE" w14:textId="2F84F9C3" w:rsidR="006A67C1" w:rsidRDefault="006A67C1"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4-33</w:t>
      </w:r>
    </w:p>
    <w:p w14:paraId="0AD76701" w14:textId="77777777" w:rsidR="006A67C1" w:rsidRDefault="006A67C1" w:rsidP="006A67C1">
      <w:pPr>
        <w:pStyle w:val="NormalWeb"/>
        <w:rPr>
          <w:rFonts w:ascii="Arial Black" w:hAnsi="Arial Black"/>
          <w:sz w:val="28"/>
          <w:szCs w:val="28"/>
        </w:rPr>
      </w:pPr>
      <w:r>
        <w:rPr>
          <w:rFonts w:ascii="Arial Black" w:hAnsi="Arial Black"/>
          <w:sz w:val="28"/>
          <w:szCs w:val="28"/>
        </w:rPr>
        <w:t xml:space="preserve">CA: GAS LEAK HOME – CAPTAIN ALLOWED SOLAR PANEL WORKER GET TOOLS - EXPLODED – LAWSUIT PROCEED </w:t>
      </w:r>
    </w:p>
    <w:p w14:paraId="04973AF4" w14:textId="77777777" w:rsidR="006A67C1" w:rsidRDefault="006A67C1" w:rsidP="006A67C1">
      <w:pPr>
        <w:pStyle w:val="NormalWeb"/>
      </w:pPr>
      <w:r>
        <w:t xml:space="preserve">On Nov. 30, 2023, in </w:t>
      </w:r>
      <w:r w:rsidRPr="005C5B17">
        <w:rPr>
          <w:u w:val="single"/>
        </w:rPr>
        <w:t>Anthony Borel v. City of Murrieta</w:t>
      </w:r>
      <w:r>
        <w:t xml:space="preserve">, the California Court of Appeals, Fourth District, Third Division, held (3 to 0; unpublished decision), that trial court judge improperly granted summary judgment to the City.  The Court wrote: “Anthony Borel was on a residential worksite in Murrieta (the </w:t>
      </w:r>
      <w:proofErr w:type="gramStart"/>
      <w:r>
        <w:t>City</w:t>
      </w:r>
      <w:proofErr w:type="gramEnd"/>
      <w:r>
        <w:t xml:space="preserve">) the summer of 2019 when the home exploded due to a natural gas leak. Borel alleged the fire crew that responded to the report of a leak failed to establish a perimeter or evacuation zone around the leak area and allowed people to go in and near the home. He was amongst the people allowed to go near the home to retrieve his tools. While he was doing this, the homeowner asked the captain on the scene if she could enter the house to retrieve some personal items. Shortly after she entered, the home exploded and Borel was seriously injured. He seeks to recover damages for his injuries from, among others, the City of Murrieta. *** In response to Borel's public entity negligence claim, the City successfully moved for summary judgment, on the ground its firefighters' conduct at the scene was subject to emergency services immunity under Health and Safety Code section 1799.107. Section 1799.107 creates immunity for public entities and emergency rescue personnel for injuries caused when they take action to provide emergency services, so long as the actions are not performed in bad faith or with gross negligence. While we agree the City can invoke section 1799.107, we conclude there is sufficient evidence to create triable issues of material fact as to whether the firefighters acted with gross negligence.” </w:t>
      </w:r>
      <w:hyperlink r:id="rId866" w:history="1">
        <w:r w:rsidRPr="002D5A3E">
          <w:rPr>
            <w:rStyle w:val="Hyperlink"/>
          </w:rPr>
          <w:t>https://casetext.com/case/borel-v-city-of-murrieta</w:t>
        </w:r>
      </w:hyperlink>
      <w:r>
        <w:t xml:space="preserve"> </w:t>
      </w:r>
    </w:p>
    <w:p w14:paraId="1205EA14" w14:textId="77777777" w:rsidR="003E1AD0" w:rsidRPr="00C20F9E" w:rsidRDefault="003E1AD0" w:rsidP="003E1AD0">
      <w:pPr>
        <w:pStyle w:val="NormalWeb"/>
        <w:rPr>
          <w:b/>
          <w:bCs/>
        </w:rPr>
      </w:pPr>
      <w:r w:rsidRPr="00C20F9E">
        <w:rPr>
          <w:b/>
          <w:bCs/>
        </w:rPr>
        <w:t>Legal Lesson Learned:</w:t>
      </w:r>
      <w:r>
        <w:rPr>
          <w:b/>
          <w:bCs/>
        </w:rPr>
        <w:t xml:space="preserve"> The “gross negligence” standard may be difficult to prove, but this may be a case that calls for a settlement rather than a jury trial. </w:t>
      </w:r>
    </w:p>
    <w:p w14:paraId="7A64DF4C" w14:textId="77777777" w:rsidR="006A67C1" w:rsidRDefault="006A67C1" w:rsidP="002B1283">
      <w:pPr>
        <w:rPr>
          <w:rStyle w:val="Hyperlink"/>
          <w:rFonts w:ascii="Arial Black" w:hAnsi="Arial Black"/>
          <w:b/>
          <w:color w:val="auto"/>
          <w:sz w:val="24"/>
          <w:szCs w:val="24"/>
          <w:u w:val="none"/>
        </w:rPr>
      </w:pPr>
    </w:p>
    <w:p w14:paraId="6E5D0CC2" w14:textId="77777777" w:rsidR="006A67C1" w:rsidRDefault="006A67C1" w:rsidP="002B1283">
      <w:pPr>
        <w:rPr>
          <w:rStyle w:val="Hyperlink"/>
          <w:rFonts w:ascii="Arial Black" w:hAnsi="Arial Black"/>
          <w:b/>
          <w:color w:val="auto"/>
          <w:sz w:val="24"/>
          <w:szCs w:val="24"/>
          <w:u w:val="none"/>
        </w:rPr>
      </w:pPr>
    </w:p>
    <w:p w14:paraId="05DCFD47" w14:textId="3330B358" w:rsidR="0056123D" w:rsidRDefault="0056123D"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4-32</w:t>
      </w:r>
    </w:p>
    <w:p w14:paraId="039976A8" w14:textId="056DCF0B" w:rsidR="0056123D" w:rsidRPr="00616758" w:rsidRDefault="0056123D" w:rsidP="0056123D">
      <w:pPr>
        <w:pStyle w:val="NoSpacing"/>
        <w:rPr>
          <w:rFonts w:ascii="Arial Black" w:hAnsi="Arial Black"/>
          <w:sz w:val="28"/>
          <w:szCs w:val="28"/>
        </w:rPr>
      </w:pPr>
      <w:r>
        <w:rPr>
          <w:rFonts w:ascii="Arial Black" w:hAnsi="Arial Black"/>
          <w:sz w:val="28"/>
          <w:szCs w:val="28"/>
        </w:rPr>
        <w:t xml:space="preserve">TX: “FAMILY NIGHT” - INSTRUCTOR SPRAYED STUDENTS 2½ HOSE – GOV’T IMMUNITY – ENGINE NOT USED </w:t>
      </w:r>
      <w:r w:rsidR="00954F48">
        <w:rPr>
          <w:rFonts w:ascii="Arial Black" w:hAnsi="Arial Black"/>
          <w:sz w:val="28"/>
          <w:szCs w:val="28"/>
        </w:rPr>
        <w:t xml:space="preserve">AS </w:t>
      </w:r>
      <w:r>
        <w:rPr>
          <w:rFonts w:ascii="Arial Black" w:hAnsi="Arial Black"/>
          <w:sz w:val="28"/>
          <w:szCs w:val="28"/>
        </w:rPr>
        <w:t>VEHICLE</w:t>
      </w:r>
    </w:p>
    <w:p w14:paraId="6492A561" w14:textId="77777777" w:rsidR="00954F48" w:rsidRDefault="00954F48" w:rsidP="00954F48">
      <w:pPr>
        <w:rPr>
          <w:rFonts w:ascii="Times New Roman" w:hAnsi="Times New Roman"/>
          <w:sz w:val="24"/>
          <w:szCs w:val="24"/>
        </w:rPr>
      </w:pPr>
    </w:p>
    <w:p w14:paraId="54DE1A69" w14:textId="5AE37F2C" w:rsidR="00954F48" w:rsidRDefault="0056123D" w:rsidP="00954F48">
      <w:pPr>
        <w:rPr>
          <w:rStyle w:val="Hyperlink"/>
          <w:rFonts w:ascii="Arial Black" w:hAnsi="Arial Black"/>
          <w:b/>
          <w:color w:val="auto"/>
          <w:sz w:val="24"/>
          <w:szCs w:val="24"/>
          <w:u w:val="none"/>
        </w:rPr>
      </w:pPr>
      <w:r>
        <w:rPr>
          <w:rFonts w:ascii="Times New Roman" w:hAnsi="Times New Roman"/>
          <w:sz w:val="24"/>
          <w:szCs w:val="24"/>
        </w:rPr>
        <w:t xml:space="preserve">On Sept. 21, 2023, </w:t>
      </w:r>
      <w:r w:rsidRPr="00C400FC">
        <w:rPr>
          <w:rFonts w:ascii="Times New Roman" w:hAnsi="Times New Roman"/>
          <w:sz w:val="24"/>
          <w:szCs w:val="24"/>
          <w:u w:val="single"/>
        </w:rPr>
        <w:t>in Koby Rezac v. Navarro College</w:t>
      </w:r>
      <w:r>
        <w:rPr>
          <w:rFonts w:ascii="Times New Roman" w:hAnsi="Times New Roman"/>
          <w:sz w:val="24"/>
          <w:szCs w:val="24"/>
        </w:rPr>
        <w:t xml:space="preserve">, the Texas Tenth Court of Appeals, held (3 to 0) that trial court judge properly dismissed the lawsuit against the College.  Under Texas Tort Claim law, governmental immunity is waved for injuries arising out of the </w:t>
      </w:r>
      <w:r w:rsidRPr="00C400FC">
        <w:rPr>
          <w:rFonts w:ascii="Times New Roman" w:hAnsi="Times New Roman"/>
          <w:sz w:val="24"/>
          <w:szCs w:val="24"/>
        </w:rPr>
        <w:t>"use" or "operation" of a motor vehicle</w:t>
      </w:r>
      <w:r>
        <w:rPr>
          <w:rFonts w:ascii="Times New Roman" w:hAnsi="Times New Roman"/>
          <w:sz w:val="24"/>
          <w:szCs w:val="24"/>
        </w:rPr>
        <w:t xml:space="preserve">.   In this case the Court relied on the affidavit of the instructor – it was  “family night” at the Junior College fire program, the program had concluded with students lined up in formation, the engine no longer running but still connected to the hydrant, when the instructor jokingly sprayed the students with the 2 ½ inch line.   </w:t>
      </w:r>
      <w:hyperlink r:id="rId867" w:history="1">
        <w:r w:rsidR="00954F48" w:rsidRPr="00FF56A3">
          <w:rPr>
            <w:rStyle w:val="Hyperlink"/>
            <w:rFonts w:ascii="Times New Roman" w:hAnsi="Times New Roman"/>
            <w:sz w:val="24"/>
            <w:szCs w:val="24"/>
          </w:rPr>
          <w:t>https://search.txcourts.gov/SearchMedia.aspx?MediaVersionID=0759d8f0-c4e1-4852-8390-4190cacb89f6&amp;coa=coa10&amp;DT=Opinion&amp;MediaID=dc9d0fad-acea-4603-a120-a6519744d885</w:t>
        </w:r>
      </w:hyperlink>
    </w:p>
    <w:p w14:paraId="4308B884" w14:textId="788B519C" w:rsidR="0056123D" w:rsidRDefault="00954F48" w:rsidP="0056123D">
      <w:pPr>
        <w:pStyle w:val="NoSpacing"/>
        <w:rPr>
          <w:rFonts w:ascii="Times New Roman" w:hAnsi="Times New Roman"/>
          <w:sz w:val="24"/>
          <w:szCs w:val="24"/>
        </w:rPr>
      </w:pPr>
      <w:r>
        <w:rPr>
          <w:rFonts w:ascii="Times New Roman" w:hAnsi="Times New Roman"/>
          <w:sz w:val="24"/>
          <w:szCs w:val="24"/>
        </w:rPr>
        <w:t>THE COURT HELD:</w:t>
      </w:r>
    </w:p>
    <w:p w14:paraId="409B7CA4" w14:textId="77777777" w:rsidR="0056123D" w:rsidRDefault="0056123D" w:rsidP="0056123D">
      <w:pPr>
        <w:pStyle w:val="NoSpacing"/>
        <w:rPr>
          <w:rFonts w:ascii="Times New Roman" w:hAnsi="Times New Roman"/>
          <w:sz w:val="24"/>
          <w:szCs w:val="24"/>
        </w:rPr>
      </w:pPr>
    </w:p>
    <w:p w14:paraId="28096D81" w14:textId="77777777" w:rsidR="0056123D" w:rsidRPr="00616758" w:rsidRDefault="0056123D" w:rsidP="0056123D">
      <w:pPr>
        <w:pStyle w:val="NoSpacing"/>
        <w:ind w:firstLine="720"/>
        <w:rPr>
          <w:rFonts w:ascii="Times New Roman" w:hAnsi="Times New Roman"/>
          <w:sz w:val="24"/>
          <w:szCs w:val="24"/>
        </w:rPr>
      </w:pPr>
      <w:r>
        <w:rPr>
          <w:rFonts w:ascii="Times New Roman" w:hAnsi="Times New Roman"/>
          <w:sz w:val="24"/>
          <w:szCs w:val="24"/>
        </w:rPr>
        <w:t>“</w:t>
      </w:r>
      <w:r w:rsidRPr="00616758">
        <w:rPr>
          <w:rFonts w:ascii="Times New Roman" w:hAnsi="Times New Roman"/>
          <w:sz w:val="24"/>
          <w:szCs w:val="24"/>
        </w:rPr>
        <w:t>In this instance, because the fire truck was parked and attached to the hydrant,</w:t>
      </w:r>
    </w:p>
    <w:p w14:paraId="0CBAC41C" w14:textId="77777777" w:rsidR="0056123D" w:rsidRPr="00616758" w:rsidRDefault="0056123D" w:rsidP="0056123D">
      <w:pPr>
        <w:pStyle w:val="NoSpacing"/>
        <w:ind w:left="720"/>
        <w:rPr>
          <w:rFonts w:ascii="Times New Roman" w:hAnsi="Times New Roman"/>
          <w:sz w:val="24"/>
          <w:szCs w:val="24"/>
        </w:rPr>
      </w:pPr>
      <w:r w:rsidRPr="00616758">
        <w:rPr>
          <w:rFonts w:ascii="Times New Roman" w:hAnsi="Times New Roman"/>
          <w:sz w:val="24"/>
          <w:szCs w:val="24"/>
        </w:rPr>
        <w:t>under the facts as alleged by Rezac, whatever use of the fire truck that then occurred was</w:t>
      </w:r>
      <w:r>
        <w:rPr>
          <w:rFonts w:ascii="Times New Roman" w:hAnsi="Times New Roman"/>
          <w:sz w:val="24"/>
          <w:szCs w:val="24"/>
        </w:rPr>
        <w:t xml:space="preserve"> </w:t>
      </w:r>
      <w:r w:rsidRPr="00616758">
        <w:rPr>
          <w:rFonts w:ascii="Times New Roman" w:hAnsi="Times New Roman"/>
          <w:sz w:val="24"/>
          <w:szCs w:val="24"/>
        </w:rPr>
        <w:t>not the use or operation of a motor-driven vehicle. At most, it was the use or operation</w:t>
      </w:r>
    </w:p>
    <w:p w14:paraId="74021C44" w14:textId="77777777" w:rsidR="0056123D" w:rsidRPr="00616758" w:rsidRDefault="0056123D" w:rsidP="0056123D">
      <w:pPr>
        <w:pStyle w:val="NoSpacing"/>
        <w:ind w:firstLine="720"/>
        <w:rPr>
          <w:rFonts w:ascii="Times New Roman" w:hAnsi="Times New Roman"/>
          <w:sz w:val="24"/>
          <w:szCs w:val="24"/>
        </w:rPr>
      </w:pPr>
      <w:r w:rsidRPr="00616758">
        <w:rPr>
          <w:rFonts w:ascii="Times New Roman" w:hAnsi="Times New Roman"/>
          <w:sz w:val="24"/>
          <w:szCs w:val="24"/>
        </w:rPr>
        <w:t>of a pump, which under these facts would only potentially involve the use or operation</w:t>
      </w:r>
    </w:p>
    <w:p w14:paraId="10036274" w14:textId="77777777" w:rsidR="0056123D" w:rsidRPr="00616758" w:rsidRDefault="0056123D" w:rsidP="0056123D">
      <w:pPr>
        <w:pStyle w:val="NoSpacing"/>
        <w:ind w:firstLine="720"/>
        <w:rPr>
          <w:rFonts w:ascii="Times New Roman" w:hAnsi="Times New Roman"/>
          <w:sz w:val="24"/>
          <w:szCs w:val="24"/>
        </w:rPr>
      </w:pPr>
      <w:r w:rsidRPr="00616758">
        <w:rPr>
          <w:rFonts w:ascii="Times New Roman" w:hAnsi="Times New Roman"/>
          <w:sz w:val="24"/>
          <w:szCs w:val="24"/>
        </w:rPr>
        <w:t>of motor-driven equipment, for which immunity has not been waived because the college</w:t>
      </w:r>
    </w:p>
    <w:p w14:paraId="6CE4B875" w14:textId="77777777" w:rsidR="0056123D" w:rsidRPr="00616758" w:rsidRDefault="0056123D" w:rsidP="0056123D">
      <w:pPr>
        <w:pStyle w:val="NoSpacing"/>
        <w:ind w:firstLine="720"/>
        <w:rPr>
          <w:rFonts w:ascii="Times New Roman" w:hAnsi="Times New Roman"/>
          <w:sz w:val="24"/>
          <w:szCs w:val="24"/>
        </w:rPr>
      </w:pPr>
      <w:r w:rsidRPr="00616758">
        <w:rPr>
          <w:rFonts w:ascii="Times New Roman" w:hAnsi="Times New Roman"/>
          <w:sz w:val="24"/>
          <w:szCs w:val="24"/>
        </w:rPr>
        <w:t xml:space="preserve">is a junior college district. See Ryder, 453 S.W.3d at </w:t>
      </w:r>
      <w:proofErr w:type="gramStart"/>
      <w:r w:rsidRPr="00616758">
        <w:rPr>
          <w:rFonts w:ascii="Times New Roman" w:hAnsi="Times New Roman"/>
          <w:sz w:val="24"/>
          <w:szCs w:val="24"/>
        </w:rPr>
        <w:t>927 (</w:t>
      </w:r>
      <w:r>
        <w:rPr>
          <w:rFonts w:ascii="Times New Roman" w:hAnsi="Times New Roman"/>
          <w:sz w:val="24"/>
          <w:szCs w:val="24"/>
        </w:rPr>
        <w:t>‘</w:t>
      </w:r>
      <w:proofErr w:type="gramEnd"/>
      <w:r w:rsidRPr="00616758">
        <w:rPr>
          <w:rFonts w:ascii="Times New Roman" w:hAnsi="Times New Roman"/>
          <w:sz w:val="24"/>
          <w:szCs w:val="24"/>
        </w:rPr>
        <w:t>[T]</w:t>
      </w:r>
      <w:proofErr w:type="gramStart"/>
      <w:r w:rsidRPr="00616758">
        <w:rPr>
          <w:rFonts w:ascii="Times New Roman" w:hAnsi="Times New Roman"/>
          <w:sz w:val="24"/>
          <w:szCs w:val="24"/>
        </w:rPr>
        <w:t>he vehicle</w:t>
      </w:r>
      <w:proofErr w:type="gramEnd"/>
      <w:r w:rsidRPr="00616758">
        <w:rPr>
          <w:rFonts w:ascii="Times New Roman" w:hAnsi="Times New Roman"/>
          <w:sz w:val="24"/>
          <w:szCs w:val="24"/>
        </w:rPr>
        <w:t xml:space="preserve"> must have been</w:t>
      </w:r>
    </w:p>
    <w:p w14:paraId="1D8542D0" w14:textId="77777777" w:rsidR="0056123D" w:rsidRPr="00616758" w:rsidRDefault="0056123D" w:rsidP="0056123D">
      <w:pPr>
        <w:pStyle w:val="NoSpacing"/>
        <w:ind w:firstLine="720"/>
        <w:rPr>
          <w:rFonts w:ascii="Times New Roman" w:hAnsi="Times New Roman"/>
          <w:sz w:val="24"/>
          <w:szCs w:val="24"/>
        </w:rPr>
      </w:pPr>
      <w:r w:rsidRPr="00616758">
        <w:rPr>
          <w:rFonts w:ascii="Times New Roman" w:hAnsi="Times New Roman"/>
          <w:sz w:val="24"/>
          <w:szCs w:val="24"/>
        </w:rPr>
        <w:t>used as a vehicle…</w:t>
      </w:r>
      <w:r>
        <w:rPr>
          <w:rFonts w:ascii="Times New Roman" w:hAnsi="Times New Roman"/>
          <w:sz w:val="24"/>
          <w:szCs w:val="24"/>
        </w:rPr>
        <w:t>’</w:t>
      </w:r>
      <w:r w:rsidRPr="00616758">
        <w:rPr>
          <w:rFonts w:ascii="Times New Roman" w:hAnsi="Times New Roman"/>
          <w:sz w:val="24"/>
          <w:szCs w:val="24"/>
        </w:rPr>
        <w:t>). We find that Rezac has not established a clear and unequivocal</w:t>
      </w:r>
    </w:p>
    <w:p w14:paraId="1C60E507" w14:textId="77777777" w:rsidR="0056123D" w:rsidRDefault="0056123D" w:rsidP="0056123D">
      <w:pPr>
        <w:pStyle w:val="NoSpacing"/>
        <w:ind w:left="720"/>
        <w:rPr>
          <w:rFonts w:ascii="Times New Roman" w:hAnsi="Times New Roman"/>
          <w:sz w:val="24"/>
          <w:szCs w:val="24"/>
        </w:rPr>
      </w:pPr>
      <w:r w:rsidRPr="00616758">
        <w:rPr>
          <w:rFonts w:ascii="Times New Roman" w:hAnsi="Times New Roman"/>
          <w:sz w:val="24"/>
          <w:szCs w:val="24"/>
        </w:rPr>
        <w:t>waiver of the college's governmental immunity under the Tort Claims Act.</w:t>
      </w:r>
    </w:p>
    <w:p w14:paraId="4C3F119D" w14:textId="77777777" w:rsidR="0056123D" w:rsidRDefault="0056123D" w:rsidP="0056123D">
      <w:pPr>
        <w:pStyle w:val="NoSpacing"/>
        <w:ind w:left="720"/>
        <w:rPr>
          <w:rFonts w:ascii="Times New Roman" w:hAnsi="Times New Roman"/>
          <w:sz w:val="24"/>
          <w:szCs w:val="24"/>
        </w:rPr>
      </w:pPr>
    </w:p>
    <w:p w14:paraId="2A93863C"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7891693C" w14:textId="77777777" w:rsidR="0056123D" w:rsidRPr="00523EAD" w:rsidRDefault="0056123D" w:rsidP="0056123D">
      <w:pPr>
        <w:pStyle w:val="NoSpacing"/>
        <w:ind w:left="720"/>
        <w:rPr>
          <w:rFonts w:ascii="Times New Roman" w:hAnsi="Times New Roman"/>
          <w:sz w:val="24"/>
          <w:szCs w:val="24"/>
        </w:rPr>
      </w:pPr>
      <w:r w:rsidRPr="00523EAD">
        <w:rPr>
          <w:rFonts w:ascii="Times New Roman" w:hAnsi="Times New Roman"/>
          <w:sz w:val="24"/>
          <w:szCs w:val="24"/>
        </w:rPr>
        <w:t>In this instance, because the fire truck was parked and attached to the hydrant,</w:t>
      </w:r>
    </w:p>
    <w:p w14:paraId="7D7F20E6" w14:textId="77777777" w:rsidR="0056123D" w:rsidRPr="00523EAD" w:rsidRDefault="0056123D" w:rsidP="0056123D">
      <w:pPr>
        <w:pStyle w:val="NoSpacing"/>
        <w:ind w:left="720"/>
        <w:rPr>
          <w:rFonts w:ascii="Times New Roman" w:hAnsi="Times New Roman"/>
          <w:sz w:val="24"/>
          <w:szCs w:val="24"/>
        </w:rPr>
      </w:pPr>
      <w:r w:rsidRPr="00523EAD">
        <w:rPr>
          <w:rFonts w:ascii="Times New Roman" w:hAnsi="Times New Roman"/>
          <w:sz w:val="24"/>
          <w:szCs w:val="24"/>
        </w:rPr>
        <w:t>under the facts as alleged by Rezac, whatever use of the fire truck that then occurred was</w:t>
      </w:r>
      <w:r>
        <w:rPr>
          <w:rFonts w:ascii="Times New Roman" w:hAnsi="Times New Roman"/>
          <w:sz w:val="24"/>
          <w:szCs w:val="24"/>
        </w:rPr>
        <w:t xml:space="preserve"> </w:t>
      </w:r>
      <w:r w:rsidRPr="00523EAD">
        <w:rPr>
          <w:rFonts w:ascii="Times New Roman" w:hAnsi="Times New Roman"/>
          <w:sz w:val="24"/>
          <w:szCs w:val="24"/>
        </w:rPr>
        <w:t>not the use or operation of a motor-driven vehicle. At most, it was the use or operation</w:t>
      </w:r>
    </w:p>
    <w:p w14:paraId="111E0C5F" w14:textId="77777777" w:rsidR="0056123D" w:rsidRPr="00523EAD" w:rsidRDefault="0056123D" w:rsidP="0056123D">
      <w:pPr>
        <w:pStyle w:val="NoSpacing"/>
        <w:ind w:left="720"/>
        <w:rPr>
          <w:rFonts w:ascii="Times New Roman" w:hAnsi="Times New Roman"/>
          <w:sz w:val="24"/>
          <w:szCs w:val="24"/>
        </w:rPr>
      </w:pPr>
      <w:r w:rsidRPr="00523EAD">
        <w:rPr>
          <w:rFonts w:ascii="Times New Roman" w:hAnsi="Times New Roman"/>
          <w:sz w:val="24"/>
          <w:szCs w:val="24"/>
        </w:rPr>
        <w:t>of a pump, which under these facts would only potentially involve the use or operation</w:t>
      </w:r>
    </w:p>
    <w:p w14:paraId="48CD52E1" w14:textId="77777777" w:rsidR="0056123D" w:rsidRPr="00523EAD" w:rsidRDefault="0056123D" w:rsidP="0056123D">
      <w:pPr>
        <w:pStyle w:val="NoSpacing"/>
        <w:ind w:left="720"/>
        <w:rPr>
          <w:rFonts w:ascii="Times New Roman" w:hAnsi="Times New Roman"/>
          <w:sz w:val="24"/>
          <w:szCs w:val="24"/>
        </w:rPr>
      </w:pPr>
      <w:r w:rsidRPr="00523EAD">
        <w:rPr>
          <w:rFonts w:ascii="Times New Roman" w:hAnsi="Times New Roman"/>
          <w:sz w:val="24"/>
          <w:szCs w:val="24"/>
        </w:rPr>
        <w:t>of motor-driven equipment, for which immunity has not been waived because the college</w:t>
      </w:r>
    </w:p>
    <w:p w14:paraId="07F16EB0" w14:textId="77777777" w:rsidR="0056123D" w:rsidRDefault="0056123D" w:rsidP="0056123D">
      <w:pPr>
        <w:pStyle w:val="NoSpacing"/>
        <w:ind w:left="720"/>
        <w:rPr>
          <w:rFonts w:ascii="Times New Roman" w:hAnsi="Times New Roman"/>
          <w:sz w:val="24"/>
          <w:szCs w:val="24"/>
        </w:rPr>
      </w:pPr>
      <w:r w:rsidRPr="00523EAD">
        <w:rPr>
          <w:rFonts w:ascii="Times New Roman" w:hAnsi="Times New Roman"/>
          <w:sz w:val="24"/>
          <w:szCs w:val="24"/>
        </w:rPr>
        <w:t>is a junior college district</w:t>
      </w:r>
      <w:r>
        <w:rPr>
          <w:rFonts w:ascii="Times New Roman" w:hAnsi="Times New Roman"/>
          <w:sz w:val="24"/>
          <w:szCs w:val="24"/>
        </w:rPr>
        <w:t>.”</w:t>
      </w:r>
    </w:p>
    <w:p w14:paraId="33093741" w14:textId="755CB144" w:rsidR="0056123D" w:rsidRDefault="0056123D" w:rsidP="0056123D">
      <w:pPr>
        <w:ind w:left="720"/>
        <w:rPr>
          <w:rStyle w:val="Hyperlink"/>
          <w:rFonts w:ascii="Arial Black" w:hAnsi="Arial Black"/>
          <w:b/>
          <w:color w:val="auto"/>
          <w:sz w:val="24"/>
          <w:szCs w:val="24"/>
          <w:u w:val="none"/>
        </w:rPr>
      </w:pPr>
      <w:hyperlink r:id="rId868" w:history="1">
        <w:r w:rsidRPr="00FF56A3">
          <w:rPr>
            <w:rStyle w:val="Hyperlink"/>
            <w:rFonts w:ascii="Times New Roman" w:hAnsi="Times New Roman"/>
            <w:sz w:val="24"/>
            <w:szCs w:val="24"/>
          </w:rPr>
          <w:t>https://search.txcourts.gov/SearchMedia.aspx?MediaVersionID=0759d8f0-c4e1-4852-8390-4190cacb89f6&amp;coa=coa10&amp;DT=Opinion&amp;MediaID=dc9d0fad-acea-4603-a120-a6519744d885</w:t>
        </w:r>
      </w:hyperlink>
    </w:p>
    <w:p w14:paraId="2889ED64" w14:textId="6F63338E" w:rsidR="0056123D" w:rsidRPr="00523EAD" w:rsidRDefault="0056123D" w:rsidP="0056123D">
      <w:pPr>
        <w:pStyle w:val="NoSpacing"/>
        <w:rPr>
          <w:rFonts w:ascii="Times New Roman" w:hAnsi="Times New Roman"/>
          <w:b/>
          <w:bCs/>
          <w:sz w:val="24"/>
          <w:szCs w:val="24"/>
        </w:rPr>
      </w:pPr>
      <w:r w:rsidRPr="00523EAD">
        <w:rPr>
          <w:rFonts w:ascii="Times New Roman" w:hAnsi="Times New Roman"/>
          <w:b/>
          <w:bCs/>
          <w:sz w:val="24"/>
          <w:szCs w:val="24"/>
        </w:rPr>
        <w:t>Legal Lesson Learned:</w:t>
      </w:r>
      <w:r w:rsidR="00D85969">
        <w:rPr>
          <w:rFonts w:ascii="Times New Roman" w:hAnsi="Times New Roman"/>
          <w:b/>
          <w:bCs/>
          <w:sz w:val="24"/>
          <w:szCs w:val="24"/>
        </w:rPr>
        <w:t xml:space="preserve"> U</w:t>
      </w:r>
      <w:r>
        <w:rPr>
          <w:rFonts w:ascii="Times New Roman" w:hAnsi="Times New Roman"/>
          <w:b/>
          <w:bCs/>
          <w:sz w:val="24"/>
          <w:szCs w:val="24"/>
        </w:rPr>
        <w:t xml:space="preserve">nder Texas law the plaintiff must prove by clear and unequivocal evidence that “use” of a government vehicle caused the injury. </w:t>
      </w:r>
    </w:p>
    <w:p w14:paraId="6F40034A" w14:textId="77777777" w:rsidR="0056123D" w:rsidRDefault="0056123D" w:rsidP="002B1283">
      <w:pPr>
        <w:rPr>
          <w:rStyle w:val="Hyperlink"/>
          <w:rFonts w:ascii="Arial Black" w:hAnsi="Arial Black"/>
          <w:b/>
          <w:color w:val="auto"/>
          <w:sz w:val="24"/>
          <w:szCs w:val="24"/>
          <w:u w:val="none"/>
        </w:rPr>
      </w:pPr>
    </w:p>
    <w:p w14:paraId="0ED845B7" w14:textId="0209D2C9" w:rsidR="0056123D" w:rsidRDefault="0056123D"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4-31</w:t>
      </w:r>
    </w:p>
    <w:p w14:paraId="2F5F23A9" w14:textId="77777777" w:rsidR="0056123D" w:rsidRDefault="0056123D" w:rsidP="0056123D">
      <w:pPr>
        <w:pStyle w:val="NoSpacing"/>
        <w:rPr>
          <w:rFonts w:ascii="Arial Black" w:hAnsi="Arial Black"/>
          <w:sz w:val="28"/>
          <w:szCs w:val="28"/>
        </w:rPr>
      </w:pPr>
      <w:r>
        <w:rPr>
          <w:rFonts w:ascii="Arial Black" w:hAnsi="Arial Black"/>
          <w:sz w:val="28"/>
          <w:szCs w:val="28"/>
        </w:rPr>
        <w:t xml:space="preserve">KS: BLACK CAPTAIN – IC AT STRIP MALL FIRE – “SHIT SHOW” – CHIEF DOC. IN PERF. REVIEW - NO DISCRIM. </w:t>
      </w:r>
    </w:p>
    <w:p w14:paraId="6FE7CEA7" w14:textId="77777777" w:rsidR="0056123D" w:rsidRPr="005B52AD" w:rsidRDefault="0056123D" w:rsidP="0056123D">
      <w:pPr>
        <w:pStyle w:val="NoSpacing"/>
        <w:rPr>
          <w:rFonts w:ascii="Times New Roman" w:hAnsi="Times New Roman"/>
          <w:sz w:val="24"/>
          <w:szCs w:val="24"/>
        </w:rPr>
      </w:pPr>
      <w:r w:rsidRPr="005B52AD">
        <w:rPr>
          <w:rFonts w:ascii="Times New Roman" w:hAnsi="Times New Roman"/>
          <w:sz w:val="24"/>
          <w:szCs w:val="24"/>
        </w:rPr>
        <w:t>[also Chap. 4]</w:t>
      </w:r>
    </w:p>
    <w:p w14:paraId="2AEFC8B7" w14:textId="77777777" w:rsidR="0056123D" w:rsidRDefault="0056123D" w:rsidP="0056123D">
      <w:pPr>
        <w:pStyle w:val="NoSpacing"/>
        <w:rPr>
          <w:rFonts w:ascii="Times New Roman" w:hAnsi="Times New Roman"/>
          <w:sz w:val="24"/>
          <w:szCs w:val="24"/>
        </w:rPr>
      </w:pPr>
    </w:p>
    <w:p w14:paraId="4BF3EB9F" w14:textId="77777777" w:rsidR="0056123D" w:rsidRDefault="0056123D" w:rsidP="0056123D">
      <w:pPr>
        <w:pStyle w:val="NoSpacing"/>
        <w:rPr>
          <w:rFonts w:ascii="Times New Roman" w:hAnsi="Times New Roman"/>
          <w:sz w:val="24"/>
          <w:szCs w:val="24"/>
        </w:rPr>
      </w:pPr>
      <w:r>
        <w:rPr>
          <w:rFonts w:ascii="Times New Roman" w:hAnsi="Times New Roman"/>
          <w:sz w:val="24"/>
          <w:szCs w:val="24"/>
        </w:rPr>
        <w:t xml:space="preserve">On Sept. 8, 2023, in </w:t>
      </w:r>
      <w:r w:rsidRPr="009108A0">
        <w:rPr>
          <w:rFonts w:ascii="Times New Roman" w:hAnsi="Times New Roman"/>
          <w:sz w:val="24"/>
          <w:szCs w:val="24"/>
          <w:u w:val="single"/>
        </w:rPr>
        <w:t>Mark Jordan v. City of Wichita, Kansas, et al.</w:t>
      </w:r>
      <w:r>
        <w:rPr>
          <w:rFonts w:ascii="Times New Roman" w:hAnsi="Times New Roman"/>
          <w:sz w:val="24"/>
          <w:szCs w:val="24"/>
        </w:rPr>
        <w:t xml:space="preserve">, U.S. District Court Judge Daniel D. Crabtree, U.S. District Court for the District of Kansas, granted the City’s motion for summary judgment.  The August 2019 strip mall fire went to two alarms; plaintiff arrived on seventh unit and took command because no one has yet become IC. Plaintiff admitted it didn’t go well and in his </w:t>
      </w:r>
      <w:proofErr w:type="gramStart"/>
      <w:r>
        <w:rPr>
          <w:rFonts w:ascii="Times New Roman" w:hAnsi="Times New Roman"/>
          <w:sz w:val="24"/>
          <w:szCs w:val="24"/>
        </w:rPr>
        <w:t>words</w:t>
      </w:r>
      <w:proofErr w:type="gramEnd"/>
      <w:r>
        <w:rPr>
          <w:rFonts w:ascii="Times New Roman" w:hAnsi="Times New Roman"/>
          <w:sz w:val="24"/>
          <w:szCs w:val="24"/>
        </w:rPr>
        <w:t xml:space="preserve"> it was a “shit show.” Fire Chief Tammy Snow arrived at scene and criticized the Acting Battalion Chief, who was on the second arriving unit, for not taking command.  The Fire Chief ordered that the annual performance review of both the plaintiff and the Acting Battalion Chief document performance concerns at that strip mall fire. </w:t>
      </w:r>
    </w:p>
    <w:p w14:paraId="67A3161D" w14:textId="77777777" w:rsidR="0056123D" w:rsidRDefault="0056123D" w:rsidP="0056123D">
      <w:pPr>
        <w:pStyle w:val="NoSpacing"/>
        <w:rPr>
          <w:rFonts w:ascii="Times New Roman" w:hAnsi="Times New Roman"/>
          <w:sz w:val="24"/>
          <w:szCs w:val="24"/>
        </w:rPr>
      </w:pPr>
    </w:p>
    <w:p w14:paraId="76945131" w14:textId="77777777" w:rsidR="0056123D" w:rsidRPr="00497B07" w:rsidRDefault="0056123D" w:rsidP="0056123D">
      <w:pPr>
        <w:pStyle w:val="NoSpacing"/>
        <w:ind w:firstLine="720"/>
        <w:rPr>
          <w:rFonts w:ascii="Times New Roman" w:hAnsi="Times New Roman"/>
          <w:sz w:val="24"/>
          <w:szCs w:val="24"/>
        </w:rPr>
      </w:pPr>
      <w:r>
        <w:rPr>
          <w:rFonts w:ascii="Times New Roman" w:hAnsi="Times New Roman"/>
          <w:sz w:val="24"/>
          <w:szCs w:val="24"/>
        </w:rPr>
        <w:t>“</w:t>
      </w:r>
      <w:r w:rsidRPr="00497B07">
        <w:rPr>
          <w:rFonts w:ascii="Times New Roman" w:hAnsi="Times New Roman"/>
          <w:sz w:val="24"/>
          <w:szCs w:val="24"/>
        </w:rPr>
        <w:t>In August 2019—before the Acting Battalion Chief debacle—a strip mall on south</w:t>
      </w:r>
    </w:p>
    <w:p w14:paraId="32FBABE7" w14:textId="77777777" w:rsidR="0056123D" w:rsidRDefault="0056123D" w:rsidP="0056123D">
      <w:pPr>
        <w:pStyle w:val="NoSpacing"/>
        <w:ind w:left="720"/>
        <w:rPr>
          <w:rFonts w:ascii="Times New Roman" w:hAnsi="Times New Roman"/>
          <w:sz w:val="24"/>
          <w:szCs w:val="24"/>
        </w:rPr>
      </w:pPr>
      <w:r w:rsidRPr="00497B07">
        <w:rPr>
          <w:rFonts w:ascii="Times New Roman" w:hAnsi="Times New Roman"/>
          <w:sz w:val="24"/>
          <w:szCs w:val="24"/>
        </w:rPr>
        <w:t>Seneca Street caught fire. Doc. 81 at 3 (Pretrial Order ¶ 2.a.x.). WFD Policy provides that the</w:t>
      </w:r>
      <w:r>
        <w:rPr>
          <w:rFonts w:ascii="Times New Roman" w:hAnsi="Times New Roman"/>
          <w:sz w:val="24"/>
          <w:szCs w:val="24"/>
        </w:rPr>
        <w:t xml:space="preserve"> </w:t>
      </w:r>
      <w:r w:rsidRPr="00497B07">
        <w:rPr>
          <w:rFonts w:ascii="Times New Roman" w:hAnsi="Times New Roman"/>
          <w:sz w:val="24"/>
          <w:szCs w:val="24"/>
        </w:rPr>
        <w:t>second fire engine to arrive at a scene should assume command</w:t>
      </w:r>
      <w:r>
        <w:rPr>
          <w:rFonts w:ascii="Times New Roman" w:hAnsi="Times New Roman"/>
          <w:sz w:val="24"/>
          <w:szCs w:val="24"/>
        </w:rPr>
        <w:t xml:space="preserve">…. </w:t>
      </w:r>
      <w:r w:rsidRPr="00497B07">
        <w:rPr>
          <w:rFonts w:ascii="Times New Roman" w:hAnsi="Times New Roman"/>
          <w:sz w:val="24"/>
          <w:szCs w:val="24"/>
        </w:rPr>
        <w:t>Plaintiff was on the seventh unit to arrive at the fire, but no one had assumed command. Id.</w:t>
      </w:r>
      <w:r>
        <w:rPr>
          <w:rFonts w:ascii="Times New Roman" w:hAnsi="Times New Roman"/>
          <w:sz w:val="24"/>
          <w:szCs w:val="24"/>
        </w:rPr>
        <w:t xml:space="preserve"> </w:t>
      </w:r>
      <w:r w:rsidRPr="00497B07">
        <w:rPr>
          <w:rFonts w:ascii="Times New Roman" w:hAnsi="Times New Roman"/>
          <w:sz w:val="24"/>
          <w:szCs w:val="24"/>
        </w:rPr>
        <w:t>So, plaintiff assumed command of the Seneca Street fire</w:t>
      </w:r>
      <w:r>
        <w:rPr>
          <w:rFonts w:ascii="Times New Roman" w:hAnsi="Times New Roman"/>
          <w:sz w:val="24"/>
          <w:szCs w:val="24"/>
        </w:rPr>
        <w:t>….</w:t>
      </w:r>
      <w:r w:rsidRPr="00497B07">
        <w:rPr>
          <w:rFonts w:ascii="Times New Roman" w:hAnsi="Times New Roman"/>
          <w:sz w:val="24"/>
          <w:szCs w:val="24"/>
        </w:rPr>
        <w:t xml:space="preserve"> With seven units already at the scene and assigned, plaintiff, as incident commander, had a</w:t>
      </w:r>
      <w:r>
        <w:rPr>
          <w:rFonts w:ascii="Times New Roman" w:hAnsi="Times New Roman"/>
          <w:sz w:val="24"/>
          <w:szCs w:val="24"/>
        </w:rPr>
        <w:t xml:space="preserve"> </w:t>
      </w:r>
      <w:r w:rsidRPr="00497B07">
        <w:rPr>
          <w:rFonts w:ascii="Times New Roman" w:hAnsi="Times New Roman"/>
          <w:sz w:val="24"/>
          <w:szCs w:val="24"/>
        </w:rPr>
        <w:t>lot of catching up to do</w:t>
      </w:r>
      <w:r>
        <w:rPr>
          <w:rFonts w:ascii="Times New Roman" w:hAnsi="Times New Roman"/>
          <w:sz w:val="24"/>
          <w:szCs w:val="24"/>
        </w:rPr>
        <w:t>….</w:t>
      </w:r>
      <w:r w:rsidRPr="00497B07">
        <w:rPr>
          <w:rFonts w:ascii="Times New Roman" w:hAnsi="Times New Roman"/>
          <w:sz w:val="24"/>
          <w:szCs w:val="24"/>
        </w:rPr>
        <w:t>(After Action Report Tr.). Plaintiff described the scene</w:t>
      </w:r>
      <w:r>
        <w:rPr>
          <w:rFonts w:ascii="Times New Roman" w:hAnsi="Times New Roman"/>
          <w:sz w:val="24"/>
          <w:szCs w:val="24"/>
        </w:rPr>
        <w:t xml:space="preserve"> </w:t>
      </w:r>
      <w:r w:rsidRPr="00497B07">
        <w:rPr>
          <w:rFonts w:ascii="Times New Roman" w:hAnsi="Times New Roman"/>
          <w:sz w:val="24"/>
          <w:szCs w:val="24"/>
        </w:rPr>
        <w:t xml:space="preserve">as a </w:t>
      </w:r>
      <w:r>
        <w:rPr>
          <w:rFonts w:ascii="Times New Roman" w:hAnsi="Times New Roman"/>
          <w:sz w:val="24"/>
          <w:szCs w:val="24"/>
        </w:rPr>
        <w:t>‘</w:t>
      </w:r>
      <w:r w:rsidRPr="00497B07">
        <w:rPr>
          <w:rFonts w:ascii="Times New Roman" w:hAnsi="Times New Roman"/>
          <w:sz w:val="24"/>
          <w:szCs w:val="24"/>
        </w:rPr>
        <w:t>shit show.</w:t>
      </w:r>
      <w:r>
        <w:rPr>
          <w:rFonts w:ascii="Times New Roman" w:hAnsi="Times New Roman"/>
          <w:sz w:val="24"/>
          <w:szCs w:val="24"/>
        </w:rPr>
        <w:t>’</w:t>
      </w:r>
      <w:r w:rsidRPr="00497B07">
        <w:rPr>
          <w:rFonts w:ascii="Times New Roman" w:hAnsi="Times New Roman"/>
          <w:sz w:val="24"/>
          <w:szCs w:val="24"/>
        </w:rPr>
        <w:t xml:space="preserve"> Doc. 86-7 at 49 (Pl. Dep. 200:6–13). Plaintiff acknowledged that he struggled</w:t>
      </w:r>
      <w:r>
        <w:rPr>
          <w:rFonts w:ascii="Times New Roman" w:hAnsi="Times New Roman"/>
          <w:sz w:val="24"/>
          <w:szCs w:val="24"/>
        </w:rPr>
        <w:t xml:space="preserve"> </w:t>
      </w:r>
      <w:r w:rsidRPr="00497B07">
        <w:rPr>
          <w:rFonts w:ascii="Times New Roman" w:hAnsi="Times New Roman"/>
          <w:sz w:val="24"/>
          <w:szCs w:val="24"/>
        </w:rPr>
        <w:t xml:space="preserve">at the scene but </w:t>
      </w:r>
      <w:proofErr w:type="gramStart"/>
      <w:r w:rsidRPr="00497B07">
        <w:rPr>
          <w:rFonts w:ascii="Times New Roman" w:hAnsi="Times New Roman"/>
          <w:sz w:val="24"/>
          <w:szCs w:val="24"/>
        </w:rPr>
        <w:t>believes</w:t>
      </w:r>
      <w:proofErr w:type="gramEnd"/>
      <w:r w:rsidRPr="00497B07">
        <w:rPr>
          <w:rFonts w:ascii="Times New Roman" w:hAnsi="Times New Roman"/>
          <w:sz w:val="24"/>
          <w:szCs w:val="24"/>
        </w:rPr>
        <w:t xml:space="preserve"> that anyone in the same situation would have struggled. </w:t>
      </w:r>
    </w:p>
    <w:p w14:paraId="7BFE945B" w14:textId="77777777" w:rsidR="0056123D" w:rsidRDefault="0056123D" w:rsidP="0056123D">
      <w:pPr>
        <w:pStyle w:val="NoSpacing"/>
        <w:ind w:left="720"/>
        <w:rPr>
          <w:rFonts w:ascii="Times New Roman" w:hAnsi="Times New Roman"/>
          <w:sz w:val="24"/>
          <w:szCs w:val="24"/>
        </w:rPr>
      </w:pPr>
    </w:p>
    <w:p w14:paraId="708E6649"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21F6E8D8" w14:textId="77777777" w:rsidR="0056123D" w:rsidRDefault="0056123D" w:rsidP="0056123D">
      <w:pPr>
        <w:pStyle w:val="NoSpacing"/>
        <w:ind w:left="720"/>
        <w:rPr>
          <w:rFonts w:ascii="Times New Roman" w:hAnsi="Times New Roman"/>
          <w:sz w:val="24"/>
          <w:szCs w:val="24"/>
        </w:rPr>
      </w:pPr>
    </w:p>
    <w:p w14:paraId="184F76B8" w14:textId="77777777" w:rsidR="0056123D" w:rsidRPr="00C20869" w:rsidRDefault="0056123D" w:rsidP="0056123D">
      <w:pPr>
        <w:pStyle w:val="NoSpacing"/>
        <w:ind w:firstLine="720"/>
        <w:rPr>
          <w:rFonts w:ascii="Times New Roman" w:hAnsi="Times New Roman"/>
          <w:sz w:val="24"/>
          <w:szCs w:val="24"/>
        </w:rPr>
      </w:pPr>
      <w:r w:rsidRPr="00C20869">
        <w:rPr>
          <w:rFonts w:ascii="Times New Roman" w:hAnsi="Times New Roman"/>
          <w:sz w:val="24"/>
          <w:szCs w:val="24"/>
        </w:rPr>
        <w:t xml:space="preserve">Here, Chief Snow asked Pavelski to review plaintiff’s second evaluation </w:t>
      </w:r>
      <w:r>
        <w:rPr>
          <w:rFonts w:ascii="Times New Roman" w:hAnsi="Times New Roman"/>
          <w:sz w:val="24"/>
          <w:szCs w:val="24"/>
        </w:rPr>
        <w:t>‘</w:t>
      </w:r>
      <w:r w:rsidRPr="00C20869">
        <w:rPr>
          <w:rFonts w:ascii="Times New Roman" w:hAnsi="Times New Roman"/>
          <w:sz w:val="24"/>
          <w:szCs w:val="24"/>
        </w:rPr>
        <w:t>for accuracy</w:t>
      </w:r>
      <w:r>
        <w:rPr>
          <w:rFonts w:ascii="Times New Roman" w:hAnsi="Times New Roman"/>
          <w:sz w:val="24"/>
          <w:szCs w:val="24"/>
        </w:rPr>
        <w:t>.’</w:t>
      </w:r>
    </w:p>
    <w:p w14:paraId="3B8A38ED" w14:textId="77777777" w:rsidR="0056123D" w:rsidRPr="00C20869" w:rsidRDefault="0056123D" w:rsidP="0056123D">
      <w:pPr>
        <w:pStyle w:val="NoSpacing"/>
        <w:ind w:firstLine="720"/>
        <w:rPr>
          <w:rFonts w:ascii="Times New Roman" w:hAnsi="Times New Roman"/>
          <w:sz w:val="24"/>
          <w:szCs w:val="24"/>
        </w:rPr>
      </w:pPr>
      <w:r w:rsidRPr="00C20869">
        <w:rPr>
          <w:rFonts w:ascii="Times New Roman" w:hAnsi="Times New Roman"/>
          <w:sz w:val="24"/>
          <w:szCs w:val="24"/>
        </w:rPr>
        <w:t xml:space="preserve">Doc. 86-19 (Snow, Aug. 11, </w:t>
      </w:r>
      <w:proofErr w:type="gramStart"/>
      <w:r w:rsidRPr="00C20869">
        <w:rPr>
          <w:rFonts w:ascii="Times New Roman" w:hAnsi="Times New Roman"/>
          <w:sz w:val="24"/>
          <w:szCs w:val="24"/>
        </w:rPr>
        <w:t>2020</w:t>
      </w:r>
      <w:proofErr w:type="gramEnd"/>
      <w:r w:rsidRPr="00C20869">
        <w:rPr>
          <w:rFonts w:ascii="Times New Roman" w:hAnsi="Times New Roman"/>
          <w:sz w:val="24"/>
          <w:szCs w:val="24"/>
        </w:rPr>
        <w:t xml:space="preserve"> Email). Chief Snow wanted Pavelski to add a </w:t>
      </w:r>
      <w:r>
        <w:rPr>
          <w:rFonts w:ascii="Times New Roman" w:hAnsi="Times New Roman"/>
          <w:sz w:val="24"/>
          <w:szCs w:val="24"/>
        </w:rPr>
        <w:t>‘</w:t>
      </w:r>
      <w:r w:rsidRPr="00C20869">
        <w:rPr>
          <w:rFonts w:ascii="Times New Roman" w:hAnsi="Times New Roman"/>
          <w:sz w:val="24"/>
          <w:szCs w:val="24"/>
        </w:rPr>
        <w:t>note of</w:t>
      </w:r>
    </w:p>
    <w:p w14:paraId="40B6ABE6" w14:textId="77777777" w:rsidR="0056123D" w:rsidRDefault="0056123D" w:rsidP="0056123D">
      <w:pPr>
        <w:pStyle w:val="NoSpacing"/>
        <w:ind w:left="720"/>
        <w:rPr>
          <w:rFonts w:ascii="Times New Roman" w:hAnsi="Times New Roman"/>
          <w:sz w:val="24"/>
          <w:szCs w:val="24"/>
        </w:rPr>
      </w:pPr>
      <w:r w:rsidRPr="00C20869">
        <w:rPr>
          <w:rFonts w:ascii="Times New Roman" w:hAnsi="Times New Roman"/>
          <w:sz w:val="24"/>
          <w:szCs w:val="24"/>
        </w:rPr>
        <w:t>Accountability</w:t>
      </w:r>
      <w:r>
        <w:rPr>
          <w:rFonts w:ascii="Times New Roman" w:hAnsi="Times New Roman"/>
          <w:sz w:val="24"/>
          <w:szCs w:val="24"/>
        </w:rPr>
        <w:t>’</w:t>
      </w:r>
      <w:r w:rsidRPr="00C20869">
        <w:rPr>
          <w:rFonts w:ascii="Times New Roman" w:hAnsi="Times New Roman"/>
          <w:sz w:val="24"/>
          <w:szCs w:val="24"/>
        </w:rPr>
        <w:t xml:space="preserve"> about plaintiff’s performance at the Seneca Street Fire. Doc. 86-3 at 19 (Snow</w:t>
      </w:r>
      <w:r>
        <w:rPr>
          <w:rFonts w:ascii="Times New Roman" w:hAnsi="Times New Roman"/>
          <w:sz w:val="24"/>
          <w:szCs w:val="24"/>
        </w:rPr>
        <w:t xml:space="preserve"> </w:t>
      </w:r>
      <w:r w:rsidRPr="00C20869">
        <w:rPr>
          <w:rFonts w:ascii="Times New Roman" w:hAnsi="Times New Roman"/>
          <w:sz w:val="24"/>
          <w:szCs w:val="24"/>
        </w:rPr>
        <w:t>Dep. 58:4–11).</w:t>
      </w:r>
    </w:p>
    <w:p w14:paraId="3AED5B31" w14:textId="77777777" w:rsidR="0056123D" w:rsidRDefault="0056123D" w:rsidP="0056123D">
      <w:pPr>
        <w:pStyle w:val="NoSpacing"/>
        <w:ind w:left="720"/>
        <w:rPr>
          <w:rFonts w:ascii="Times New Roman" w:hAnsi="Times New Roman"/>
          <w:sz w:val="24"/>
          <w:szCs w:val="24"/>
        </w:rPr>
      </w:pPr>
    </w:p>
    <w:p w14:paraId="3ED028F6"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52C04E1E" w14:textId="77777777" w:rsidR="0056123D" w:rsidRDefault="0056123D" w:rsidP="0056123D">
      <w:pPr>
        <w:pStyle w:val="NoSpacing"/>
        <w:ind w:left="720"/>
        <w:rPr>
          <w:rFonts w:ascii="Times New Roman" w:hAnsi="Times New Roman"/>
          <w:sz w:val="24"/>
          <w:szCs w:val="24"/>
        </w:rPr>
      </w:pPr>
    </w:p>
    <w:p w14:paraId="3681AC31" w14:textId="77777777" w:rsidR="0056123D" w:rsidRPr="00C20869" w:rsidRDefault="0056123D" w:rsidP="0056123D">
      <w:pPr>
        <w:pStyle w:val="NoSpacing"/>
        <w:ind w:firstLine="720"/>
        <w:rPr>
          <w:rFonts w:ascii="Times New Roman" w:hAnsi="Times New Roman"/>
          <w:sz w:val="24"/>
          <w:szCs w:val="24"/>
        </w:rPr>
      </w:pPr>
      <w:r w:rsidRPr="00C20869">
        <w:rPr>
          <w:rFonts w:ascii="Times New Roman" w:hAnsi="Times New Roman"/>
          <w:sz w:val="24"/>
          <w:szCs w:val="24"/>
        </w:rPr>
        <w:t xml:space="preserve">And plaintiff acknowledged that the Seneca Street Fire was a </w:t>
      </w:r>
      <w:r>
        <w:rPr>
          <w:rFonts w:ascii="Times New Roman" w:hAnsi="Times New Roman"/>
          <w:sz w:val="24"/>
          <w:szCs w:val="24"/>
        </w:rPr>
        <w:t>‘</w:t>
      </w:r>
      <w:r w:rsidRPr="00C20869">
        <w:rPr>
          <w:rFonts w:ascii="Times New Roman" w:hAnsi="Times New Roman"/>
          <w:sz w:val="24"/>
          <w:szCs w:val="24"/>
        </w:rPr>
        <w:t>shit show,</w:t>
      </w:r>
      <w:r>
        <w:rPr>
          <w:rFonts w:ascii="Times New Roman" w:hAnsi="Times New Roman"/>
          <w:sz w:val="24"/>
          <w:szCs w:val="24"/>
        </w:rPr>
        <w:t xml:space="preserve">’ </w:t>
      </w:r>
      <w:r w:rsidRPr="00C20869">
        <w:rPr>
          <w:rFonts w:ascii="Times New Roman" w:hAnsi="Times New Roman"/>
          <w:sz w:val="24"/>
          <w:szCs w:val="24"/>
        </w:rPr>
        <w:t>Doc.</w:t>
      </w:r>
    </w:p>
    <w:p w14:paraId="27B79EBB" w14:textId="77777777" w:rsidR="0056123D" w:rsidRDefault="0056123D" w:rsidP="0056123D">
      <w:pPr>
        <w:pStyle w:val="NoSpacing"/>
        <w:ind w:left="720"/>
        <w:rPr>
          <w:rFonts w:ascii="Times New Roman" w:hAnsi="Times New Roman"/>
          <w:sz w:val="24"/>
          <w:szCs w:val="24"/>
        </w:rPr>
      </w:pPr>
      <w:r w:rsidRPr="00C20869">
        <w:rPr>
          <w:rFonts w:ascii="Times New Roman" w:hAnsi="Times New Roman"/>
          <w:sz w:val="24"/>
          <w:szCs w:val="24"/>
        </w:rPr>
        <w:t>86-7 at 49 (Pl. Dep. 200:6–13), and that he struggled at the scene, id. at 50 (Pl. Dep. 202:4–13).</w:t>
      </w:r>
      <w:r>
        <w:rPr>
          <w:rFonts w:ascii="Times New Roman" w:hAnsi="Times New Roman"/>
          <w:sz w:val="24"/>
          <w:szCs w:val="24"/>
        </w:rPr>
        <w:t xml:space="preserve"> </w:t>
      </w:r>
      <w:r w:rsidRPr="00C20869">
        <w:rPr>
          <w:rFonts w:ascii="Times New Roman" w:hAnsi="Times New Roman"/>
          <w:sz w:val="24"/>
          <w:szCs w:val="24"/>
        </w:rPr>
        <w:t>Defendants’ reason for altering plaintiff’s review is not facially prohibited—</w:t>
      </w:r>
      <w:proofErr w:type="gramStart"/>
      <w:r w:rsidRPr="00C20869">
        <w:rPr>
          <w:rFonts w:ascii="Times New Roman" w:hAnsi="Times New Roman"/>
          <w:sz w:val="24"/>
          <w:szCs w:val="24"/>
        </w:rPr>
        <w:t>so,</w:t>
      </w:r>
      <w:proofErr w:type="gramEnd"/>
      <w:r w:rsidRPr="00C20869">
        <w:rPr>
          <w:rFonts w:ascii="Times New Roman" w:hAnsi="Times New Roman"/>
          <w:sz w:val="24"/>
          <w:szCs w:val="24"/>
        </w:rPr>
        <w:t xml:space="preserve"> defendants have</w:t>
      </w:r>
      <w:r>
        <w:rPr>
          <w:rFonts w:ascii="Times New Roman" w:hAnsi="Times New Roman"/>
          <w:sz w:val="24"/>
          <w:szCs w:val="24"/>
        </w:rPr>
        <w:t xml:space="preserve"> </w:t>
      </w:r>
      <w:r w:rsidRPr="00C20869">
        <w:rPr>
          <w:rFonts w:ascii="Times New Roman" w:hAnsi="Times New Roman"/>
          <w:sz w:val="24"/>
          <w:szCs w:val="24"/>
        </w:rPr>
        <w:t>satisfied their burden at this step. Also, plaintiff doesn’t argue that defendants have failed to</w:t>
      </w:r>
      <w:r>
        <w:rPr>
          <w:rFonts w:ascii="Times New Roman" w:hAnsi="Times New Roman"/>
          <w:sz w:val="24"/>
          <w:szCs w:val="24"/>
        </w:rPr>
        <w:t xml:space="preserve"> </w:t>
      </w:r>
      <w:r w:rsidRPr="00C20869">
        <w:rPr>
          <w:rFonts w:ascii="Times New Roman" w:hAnsi="Times New Roman"/>
          <w:sz w:val="24"/>
          <w:szCs w:val="24"/>
        </w:rPr>
        <w:t>proffer a legitimate, non-discriminatory reason for modifying his performance evaluation. See</w:t>
      </w:r>
      <w:r>
        <w:rPr>
          <w:rFonts w:ascii="Times New Roman" w:hAnsi="Times New Roman"/>
          <w:sz w:val="24"/>
          <w:szCs w:val="24"/>
        </w:rPr>
        <w:t xml:space="preserve"> </w:t>
      </w:r>
      <w:r w:rsidRPr="00C20869">
        <w:rPr>
          <w:rFonts w:ascii="Times New Roman" w:hAnsi="Times New Roman"/>
          <w:sz w:val="24"/>
          <w:szCs w:val="24"/>
        </w:rPr>
        <w:t>generally Doc. 91. Defendants simply wanted plaintiff’s performance evaluation to include</w:t>
      </w:r>
      <w:r>
        <w:rPr>
          <w:rFonts w:ascii="Times New Roman" w:hAnsi="Times New Roman"/>
          <w:sz w:val="24"/>
          <w:szCs w:val="24"/>
        </w:rPr>
        <w:t xml:space="preserve"> </w:t>
      </w:r>
      <w:r w:rsidRPr="00C20869">
        <w:rPr>
          <w:rFonts w:ascii="Times New Roman" w:hAnsi="Times New Roman"/>
          <w:sz w:val="24"/>
          <w:szCs w:val="24"/>
        </w:rPr>
        <w:t>information about the Seneca Street Fire. This showing qualifies as a legitimate,</w:t>
      </w:r>
      <w:r>
        <w:rPr>
          <w:rFonts w:ascii="Times New Roman" w:hAnsi="Times New Roman"/>
          <w:sz w:val="24"/>
          <w:szCs w:val="24"/>
        </w:rPr>
        <w:t xml:space="preserve"> </w:t>
      </w:r>
      <w:r w:rsidRPr="00C20869">
        <w:rPr>
          <w:rFonts w:ascii="Times New Roman" w:hAnsi="Times New Roman"/>
          <w:sz w:val="24"/>
          <w:szCs w:val="24"/>
        </w:rPr>
        <w:t>nondiscriminatory reason satisfactory to discharge the City’s burden at step two.</w:t>
      </w:r>
    </w:p>
    <w:p w14:paraId="4A5137FC" w14:textId="77777777" w:rsidR="0056123D" w:rsidRDefault="0056123D" w:rsidP="0056123D">
      <w:pPr>
        <w:pStyle w:val="NoSpacing"/>
        <w:ind w:left="720"/>
        <w:rPr>
          <w:rFonts w:ascii="Times New Roman" w:hAnsi="Times New Roman"/>
          <w:sz w:val="24"/>
          <w:szCs w:val="24"/>
        </w:rPr>
      </w:pPr>
    </w:p>
    <w:p w14:paraId="28DDA666" w14:textId="77777777" w:rsidR="0056123D" w:rsidRDefault="0056123D" w:rsidP="0056123D">
      <w:pPr>
        <w:pStyle w:val="NoSpacing"/>
        <w:ind w:left="720"/>
        <w:rPr>
          <w:rFonts w:ascii="Times New Roman" w:hAnsi="Times New Roman"/>
          <w:sz w:val="24"/>
          <w:szCs w:val="24"/>
        </w:rPr>
      </w:pPr>
      <w:r>
        <w:rPr>
          <w:rFonts w:ascii="Times New Roman" w:hAnsi="Times New Roman"/>
          <w:sz w:val="24"/>
          <w:szCs w:val="24"/>
        </w:rPr>
        <w:t>***</w:t>
      </w:r>
    </w:p>
    <w:p w14:paraId="5A456774" w14:textId="77777777" w:rsidR="0056123D" w:rsidRDefault="0056123D" w:rsidP="0056123D">
      <w:pPr>
        <w:pStyle w:val="NoSpacing"/>
        <w:ind w:firstLine="720"/>
        <w:rPr>
          <w:rFonts w:ascii="Times New Roman" w:hAnsi="Times New Roman"/>
          <w:sz w:val="24"/>
          <w:szCs w:val="24"/>
        </w:rPr>
      </w:pPr>
      <w:r>
        <w:rPr>
          <w:rFonts w:ascii="Times New Roman" w:hAnsi="Times New Roman"/>
          <w:sz w:val="24"/>
          <w:szCs w:val="24"/>
        </w:rPr>
        <w:t>T</w:t>
      </w:r>
      <w:r w:rsidRPr="00C20869">
        <w:rPr>
          <w:rFonts w:ascii="Times New Roman" w:hAnsi="Times New Roman"/>
          <w:sz w:val="24"/>
          <w:szCs w:val="24"/>
        </w:rPr>
        <w:t>he court concludes, instead, that plaintiff has failed to present triable issues of race</w:t>
      </w:r>
    </w:p>
    <w:p w14:paraId="339EA329" w14:textId="77777777" w:rsidR="0056123D" w:rsidRDefault="0056123D" w:rsidP="0056123D">
      <w:pPr>
        <w:pStyle w:val="NoSpacing"/>
        <w:ind w:left="720"/>
        <w:rPr>
          <w:rFonts w:ascii="Times New Roman" w:hAnsi="Times New Roman"/>
          <w:sz w:val="24"/>
          <w:szCs w:val="24"/>
        </w:rPr>
      </w:pPr>
      <w:r w:rsidRPr="00C20869">
        <w:rPr>
          <w:rFonts w:ascii="Times New Roman" w:hAnsi="Times New Roman"/>
          <w:sz w:val="24"/>
          <w:szCs w:val="24"/>
        </w:rPr>
        <w:t>discrimination and retaliation, so it declines to invoke its supplemental jurisdiction over the state</w:t>
      </w:r>
      <w:r>
        <w:rPr>
          <w:rFonts w:ascii="Times New Roman" w:hAnsi="Times New Roman"/>
          <w:sz w:val="24"/>
          <w:szCs w:val="24"/>
        </w:rPr>
        <w:t xml:space="preserve"> </w:t>
      </w:r>
      <w:r w:rsidRPr="00C20869">
        <w:rPr>
          <w:rFonts w:ascii="Times New Roman" w:hAnsi="Times New Roman"/>
          <w:sz w:val="24"/>
          <w:szCs w:val="24"/>
        </w:rPr>
        <w:t>law claims under 28 U.S.C.§ 1367(c)(3).</w:t>
      </w:r>
      <w:r>
        <w:rPr>
          <w:rFonts w:ascii="Times New Roman" w:hAnsi="Times New Roman"/>
          <w:sz w:val="24"/>
          <w:szCs w:val="24"/>
        </w:rPr>
        <w:t xml:space="preserve">”  </w:t>
      </w:r>
      <w:hyperlink r:id="rId869" w:history="1">
        <w:r w:rsidRPr="002833D6">
          <w:rPr>
            <w:rStyle w:val="Hyperlink"/>
            <w:rFonts w:ascii="Times New Roman" w:hAnsi="Times New Roman"/>
            <w:sz w:val="24"/>
            <w:szCs w:val="24"/>
          </w:rPr>
          <w:t>https://cases.justia.com/federal/district-courts/kansas/ksdce/6:2022cv01032/140026/96/0.pdf?ts=1694273736</w:t>
        </w:r>
      </w:hyperlink>
      <w:r>
        <w:rPr>
          <w:rFonts w:ascii="Times New Roman" w:hAnsi="Times New Roman"/>
          <w:sz w:val="24"/>
          <w:szCs w:val="24"/>
        </w:rPr>
        <w:t xml:space="preserve"> </w:t>
      </w:r>
    </w:p>
    <w:p w14:paraId="2E279ACA" w14:textId="77777777" w:rsidR="00AC3E10" w:rsidRDefault="00AC3E10" w:rsidP="00AC3E10">
      <w:pPr>
        <w:pStyle w:val="NoSpacing"/>
        <w:rPr>
          <w:rFonts w:ascii="Times New Roman" w:hAnsi="Times New Roman"/>
          <w:b/>
          <w:bCs/>
          <w:sz w:val="24"/>
          <w:szCs w:val="24"/>
        </w:rPr>
      </w:pPr>
    </w:p>
    <w:p w14:paraId="15C3BA2A" w14:textId="59265213" w:rsidR="00AC3E10" w:rsidRPr="0000521D" w:rsidRDefault="00AC3E10" w:rsidP="00AC3E10">
      <w:pPr>
        <w:pStyle w:val="NoSpacing"/>
        <w:rPr>
          <w:rFonts w:ascii="Times New Roman" w:hAnsi="Times New Roman"/>
          <w:b/>
          <w:bCs/>
          <w:sz w:val="24"/>
          <w:szCs w:val="24"/>
        </w:rPr>
      </w:pPr>
      <w:r w:rsidRPr="0000521D">
        <w:rPr>
          <w:rFonts w:ascii="Times New Roman" w:hAnsi="Times New Roman"/>
          <w:b/>
          <w:bCs/>
          <w:sz w:val="24"/>
          <w:szCs w:val="24"/>
        </w:rPr>
        <w:t>Legal Lesson Learned:</w:t>
      </w:r>
      <w:r>
        <w:rPr>
          <w:rFonts w:ascii="Times New Roman" w:hAnsi="Times New Roman"/>
          <w:b/>
          <w:bCs/>
          <w:sz w:val="24"/>
          <w:szCs w:val="24"/>
        </w:rPr>
        <w:t xml:space="preserve"> Fire Chief properly ordered the annual performance review </w:t>
      </w:r>
      <w:proofErr w:type="gramStart"/>
      <w:r>
        <w:rPr>
          <w:rFonts w:ascii="Times New Roman" w:hAnsi="Times New Roman"/>
          <w:b/>
          <w:bCs/>
          <w:sz w:val="24"/>
          <w:szCs w:val="24"/>
        </w:rPr>
        <w:t>include</w:t>
      </w:r>
      <w:proofErr w:type="gramEnd"/>
      <w:r>
        <w:rPr>
          <w:rFonts w:ascii="Times New Roman" w:hAnsi="Times New Roman"/>
          <w:b/>
          <w:bCs/>
          <w:sz w:val="24"/>
          <w:szCs w:val="24"/>
        </w:rPr>
        <w:t xml:space="preserve"> reference to IC issues at strip mall fire.  </w:t>
      </w:r>
    </w:p>
    <w:p w14:paraId="57C7598F" w14:textId="77777777" w:rsidR="00AC3E10" w:rsidRDefault="00AC3E10" w:rsidP="002B1283">
      <w:pPr>
        <w:rPr>
          <w:rStyle w:val="Hyperlink"/>
          <w:rFonts w:ascii="Arial Black" w:hAnsi="Arial Black"/>
          <w:b/>
          <w:color w:val="auto"/>
          <w:sz w:val="24"/>
          <w:szCs w:val="24"/>
          <w:u w:val="none"/>
        </w:rPr>
      </w:pPr>
    </w:p>
    <w:p w14:paraId="5F45B531" w14:textId="77777777" w:rsidR="0056123D" w:rsidRDefault="0056123D" w:rsidP="002B1283">
      <w:pPr>
        <w:rPr>
          <w:rStyle w:val="Hyperlink"/>
          <w:rFonts w:ascii="Arial Black" w:hAnsi="Arial Black"/>
          <w:b/>
          <w:color w:val="auto"/>
          <w:sz w:val="24"/>
          <w:szCs w:val="24"/>
          <w:u w:val="none"/>
        </w:rPr>
      </w:pPr>
    </w:p>
    <w:p w14:paraId="27E17CB9" w14:textId="05CB31E4" w:rsidR="009B0593" w:rsidRDefault="009B0593"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4-30</w:t>
      </w:r>
    </w:p>
    <w:p w14:paraId="40A8EE8E" w14:textId="77777777" w:rsidR="009B0593" w:rsidRDefault="009B0593" w:rsidP="009B0593">
      <w:pPr>
        <w:pStyle w:val="NormalWeb"/>
        <w:rPr>
          <w:rFonts w:ascii="Arial Black" w:hAnsi="Arial Black"/>
          <w:sz w:val="28"/>
          <w:szCs w:val="28"/>
        </w:rPr>
      </w:pPr>
      <w:r>
        <w:rPr>
          <w:rFonts w:ascii="Arial Black" w:hAnsi="Arial Black"/>
          <w:sz w:val="28"/>
          <w:szCs w:val="28"/>
        </w:rPr>
        <w:t>MD: 46-YR OLD RECRUIT – TERMINATED AT END OF RECRUIT CLASS – POOR PERFORMANCE DOCUMENTED</w:t>
      </w:r>
    </w:p>
    <w:p w14:paraId="2BD489DD" w14:textId="77777777" w:rsidR="009B0593" w:rsidRPr="00BD0E49" w:rsidRDefault="009B0593" w:rsidP="009B0593">
      <w:pPr>
        <w:pStyle w:val="NormalWeb"/>
      </w:pPr>
      <w:r w:rsidRPr="00BD0E49">
        <w:t xml:space="preserve">On Aug. 17, 2023, in </w:t>
      </w:r>
      <w:r w:rsidRPr="00BF2C69">
        <w:rPr>
          <w:u w:val="single"/>
        </w:rPr>
        <w:t>Robert D. Whittaker v. Howard County, Maryland</w:t>
      </w:r>
      <w:r w:rsidRPr="00BD0E49">
        <w:t>, Chief U.S. Magistrate Judge Beth P. Gesner granted summary judgment to the County</w:t>
      </w:r>
      <w:r>
        <w:t xml:space="preserve">, holding that the FD provided detailed training records showing that the </w:t>
      </w:r>
      <w:proofErr w:type="gramStart"/>
      <w:r>
        <w:t>46-year old</w:t>
      </w:r>
      <w:proofErr w:type="gramEnd"/>
      <w:r>
        <w:t xml:space="preserve"> FF was not meeting legitimate performance expectations. The plaintiff failed to prove the FD discriminated against him </w:t>
      </w:r>
      <w:proofErr w:type="gramStart"/>
      <w:r>
        <w:t>on the basis of</w:t>
      </w:r>
      <w:proofErr w:type="gramEnd"/>
      <w:r>
        <w:t xml:space="preserve"> age. </w:t>
      </w:r>
    </w:p>
    <w:p w14:paraId="13B9B9AE" w14:textId="77777777" w:rsidR="009B0593" w:rsidRDefault="009B0593" w:rsidP="009B0593">
      <w:pPr>
        <w:pStyle w:val="NormalWeb"/>
      </w:pPr>
      <w:r>
        <w:tab/>
        <w:t xml:space="preserve">The Magistrate wrote: </w:t>
      </w:r>
    </w:p>
    <w:p w14:paraId="57150C3F" w14:textId="77777777" w:rsidR="009B0593" w:rsidRDefault="009B0593" w:rsidP="009B0593">
      <w:pPr>
        <w:pStyle w:val="NormalWeb"/>
        <w:ind w:left="720"/>
      </w:pPr>
      <w:r>
        <w:t xml:space="preserve">“Defendant, on the other hand, offers Student Counseling/Status Report Forms and contemporaneous email exchanges between Academy trainers as evidence that plaintiff was not meeting the Department's legitimate expectations at the time of his termination. (ECF Nos. 25-8 to 25-18). Specifically, defendant identifies numerous examples of plaintiff's poor performance. </w:t>
      </w:r>
    </w:p>
    <w:p w14:paraId="5D83A407" w14:textId="77777777" w:rsidR="009B0593" w:rsidRDefault="009B0593" w:rsidP="009B0593">
      <w:pPr>
        <w:pStyle w:val="NormalWeb"/>
        <w:ind w:left="720"/>
      </w:pPr>
      <w:r>
        <w:t>***</w:t>
      </w:r>
    </w:p>
    <w:p w14:paraId="1E3883E6" w14:textId="77777777" w:rsidR="009B0593" w:rsidRDefault="009B0593" w:rsidP="009B0593">
      <w:pPr>
        <w:pStyle w:val="NormalWeb"/>
        <w:ind w:left="720"/>
      </w:pPr>
      <w:r>
        <w:t xml:space="preserve">Several members of Academy staff produced recommendations in support of plaintiff's termination based upon plaintiff's deficiencies in </w:t>
      </w:r>
      <w:proofErr w:type="gramStart"/>
      <w:r>
        <w:t>a number of</w:t>
      </w:r>
      <w:proofErr w:type="gramEnd"/>
      <w:r>
        <w:t xml:space="preserve"> areas. (ECF Nos. 25-11 at 3, 25-17, 25-18, 25-19). Plaintiff's own belief that he was performing </w:t>
      </w:r>
      <w:proofErr w:type="gramStart"/>
      <w:r>
        <w:t>effectively</w:t>
      </w:r>
      <w:proofErr w:type="gramEnd"/>
      <w:r>
        <w:t xml:space="preserve"> and the opinion of his fellow trainees are insufficient to call into question defendant's reasons for terminating plaintiff. In sum, plaintiff has failed to establish that his age was the ‘but-for cause’ of his termination and that defendant's stated, non-discriminatory reasons for plaintiff's termination were a pretext for discrimination. </w:t>
      </w:r>
      <w:r>
        <w:rPr>
          <w:i/>
          <w:iCs/>
        </w:rPr>
        <w:t>See Gross,</w:t>
      </w:r>
      <w:r>
        <w:t xml:space="preserve"> </w:t>
      </w:r>
      <w:hyperlink r:id="rId870" w:anchor="p176" w:history="1">
        <w:r>
          <w:rPr>
            <w:rStyle w:val="Hyperlink"/>
            <w:rFonts w:eastAsiaTheme="majorEastAsia"/>
          </w:rPr>
          <w:t>557 U.S. at 176</w:t>
        </w:r>
      </w:hyperlink>
      <w:r>
        <w:t xml:space="preserve"> (plaintiff </w:t>
      </w:r>
      <w:proofErr w:type="gramStart"/>
      <w:r>
        <w:t>has to</w:t>
      </w:r>
      <w:proofErr w:type="gramEnd"/>
      <w:r>
        <w:t xml:space="preserve"> show ‘by a preponderance of the evidence,’ that age was the ‘but-for cause’ of his discharge). Thus, plaintiff has failed to offer evidence to create a genuine factual dispute as to whether his employer discriminated against him </w:t>
      </w:r>
      <w:proofErr w:type="gramStart"/>
      <w:r>
        <w:t>on the basis of</w:t>
      </w:r>
      <w:proofErr w:type="gramEnd"/>
      <w:r>
        <w:t xml:space="preserve"> age.” </w:t>
      </w:r>
      <w:hyperlink r:id="rId871" w:history="1">
        <w:r w:rsidRPr="00CD12AF">
          <w:rPr>
            <w:rStyle w:val="Hyperlink"/>
            <w:rFonts w:eastAsiaTheme="majorEastAsia"/>
          </w:rPr>
          <w:t>https://casetext.com/case/whittaker-v-howard-cnty-md</w:t>
        </w:r>
      </w:hyperlink>
      <w:r>
        <w:t xml:space="preserve"> </w:t>
      </w:r>
    </w:p>
    <w:p w14:paraId="75004E89" w14:textId="77777777" w:rsidR="009B0593" w:rsidRPr="00BF2C69" w:rsidRDefault="009B0593" w:rsidP="009B0593">
      <w:pPr>
        <w:spacing w:before="100" w:beforeAutospacing="1" w:after="100" w:afterAutospacing="1" w:line="240" w:lineRule="auto"/>
        <w:rPr>
          <w:rFonts w:ascii="Times New Roman" w:eastAsia="Times New Roman" w:hAnsi="Times New Roman"/>
          <w:b/>
          <w:bCs/>
          <w:sz w:val="24"/>
          <w:szCs w:val="24"/>
        </w:rPr>
      </w:pPr>
      <w:r w:rsidRPr="00BF2C69">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The FD thoroughly documented the FF’s training deficiencies. </w:t>
      </w:r>
    </w:p>
    <w:p w14:paraId="624D0AEC" w14:textId="77777777" w:rsidR="009B0593" w:rsidRDefault="009B0593" w:rsidP="002B1283">
      <w:pPr>
        <w:rPr>
          <w:rStyle w:val="Hyperlink"/>
          <w:rFonts w:ascii="Arial Black" w:hAnsi="Arial Black"/>
          <w:b/>
          <w:color w:val="auto"/>
          <w:sz w:val="24"/>
          <w:szCs w:val="24"/>
          <w:u w:val="none"/>
        </w:rPr>
      </w:pPr>
    </w:p>
    <w:p w14:paraId="493A77CB" w14:textId="77777777" w:rsidR="009B0593" w:rsidRDefault="009B0593" w:rsidP="002B1283">
      <w:pPr>
        <w:rPr>
          <w:rStyle w:val="Hyperlink"/>
          <w:rFonts w:ascii="Arial Black" w:hAnsi="Arial Black"/>
          <w:b/>
          <w:color w:val="auto"/>
          <w:sz w:val="24"/>
          <w:szCs w:val="24"/>
          <w:u w:val="none"/>
        </w:rPr>
      </w:pPr>
    </w:p>
    <w:p w14:paraId="0603B8CF" w14:textId="107A91DD" w:rsidR="00DC17BF" w:rsidRDefault="00DC17B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4-29</w:t>
      </w:r>
    </w:p>
    <w:p w14:paraId="5B42FE5C" w14:textId="77777777" w:rsidR="00DC17BF" w:rsidRPr="002304C0" w:rsidRDefault="00DC17BF" w:rsidP="00DC17BF">
      <w:pPr>
        <w:pStyle w:val="NormalWeb"/>
        <w:rPr>
          <w:rFonts w:ascii="Arial Black" w:hAnsi="Arial Black"/>
          <w:b/>
          <w:bCs/>
          <w:sz w:val="28"/>
          <w:szCs w:val="28"/>
        </w:rPr>
      </w:pPr>
      <w:bookmarkStart w:id="174" w:name="_Hlk136858989"/>
      <w:r>
        <w:rPr>
          <w:rFonts w:ascii="Arial Black" w:hAnsi="Arial Black"/>
          <w:b/>
          <w:bCs/>
          <w:sz w:val="28"/>
          <w:szCs w:val="28"/>
        </w:rPr>
        <w:t>NY: MENTAL PATIENT – LOCKED IN ROOM - SAWZALL CUT DOOR, MAN GRABBED SAW – LATER DIED – CASE PROCEED</w:t>
      </w:r>
    </w:p>
    <w:bookmarkEnd w:id="174"/>
    <w:p w14:paraId="3425080F" w14:textId="77777777" w:rsidR="00DC17BF" w:rsidRDefault="00DC17BF" w:rsidP="00DC17BF">
      <w:pPr>
        <w:pStyle w:val="NormalWeb"/>
      </w:pPr>
      <w:r w:rsidRPr="002304C0">
        <w:t xml:space="preserve">On May 30, 2023, in </w:t>
      </w:r>
      <w:r w:rsidRPr="002304C0">
        <w:rPr>
          <w:u w:val="single"/>
        </w:rPr>
        <w:t>Anthony Andre Paul, et al. v. The City of New York</w:t>
      </w:r>
      <w:r>
        <w:t xml:space="preserve">, U.S. District Court Judge Vernon S. Broderick, U.S. District Court for Southern District of New York, denied the City’s motion for summary judgment. The judge held that while police had lawful authority to force the door, tase the person, and take him to hospital, use of Sawzall raises jury </w:t>
      </w:r>
      <w:proofErr w:type="gramStart"/>
      <w:r>
        <w:t>question</w:t>
      </w:r>
      <w:proofErr w:type="gramEnd"/>
      <w:r>
        <w:t xml:space="preserve">. </w:t>
      </w:r>
    </w:p>
    <w:p w14:paraId="0BB2EBDD" w14:textId="77777777" w:rsidR="00DC17BF" w:rsidRDefault="00DC17BF" w:rsidP="00DC17BF">
      <w:pPr>
        <w:pStyle w:val="NormalWeb"/>
        <w:ind w:left="720"/>
        <w:rPr>
          <w:b/>
          <w:bCs/>
        </w:rPr>
      </w:pPr>
      <w:r>
        <w:t xml:space="preserve">“Here, there appears to be harmful bodily contact between the saw and Paul as evidenced by, among other things, the injuries Paul sustained to his hands. Further, Plaintiff asserts that the officers used the saw with the intent of harming Paul. Whether or not the evidence supports this assertion is a question of fact for the </w:t>
      </w:r>
      <w:proofErr w:type="gramStart"/>
      <w:r>
        <w:t>jury.”</w:t>
      </w:r>
      <w:proofErr w:type="gramEnd"/>
      <w:r>
        <w:t xml:space="preserve"> </w:t>
      </w:r>
      <w:hyperlink r:id="rId872" w:history="1">
        <w:r w:rsidRPr="00B908DF">
          <w:rPr>
            <w:rStyle w:val="Hyperlink"/>
            <w:rFonts w:eastAsiaTheme="majorEastAsia"/>
          </w:rPr>
          <w:t>https://public.fastcase.com/ZZhmr5v9wN%2FXOe5IsQ%2FqD1CdH2R29LNK8BT0hnz9oKtXR%2FoMxL2xC63e%2BHHuthpWCwncj7bfE4lB3MomO4uqm4E3oXBdMMZD2IWz0SNqHm0%3D?utm_medium=email&amp;_hsmi=226712652&amp;_hsenc=p2ANqtz-_2XBA_cBQDF2xes7gnarhZ-sbkcdxdJUtVuyLwtAqY2WUUI2XYCC6QqVwiuQaE3r8IP3AVZ-ZehQ2YYsnZUf5Qzx_SHw&amp;utm_content=226712652&amp;utm_source=hs_email</w:t>
        </w:r>
      </w:hyperlink>
      <w:r>
        <w:t xml:space="preserve"> </w:t>
      </w:r>
    </w:p>
    <w:p w14:paraId="65D4A063" w14:textId="77777777" w:rsidR="00DC17BF" w:rsidRPr="00CD614F" w:rsidRDefault="00DC17BF" w:rsidP="00DC17BF">
      <w:pPr>
        <w:pStyle w:val="NormalWeb"/>
        <w:rPr>
          <w:b/>
          <w:bCs/>
        </w:rPr>
      </w:pPr>
      <w:r w:rsidRPr="00CD614F">
        <w:rPr>
          <w:b/>
          <w:bCs/>
        </w:rPr>
        <w:t xml:space="preserve">Legal Lesson Learned: </w:t>
      </w:r>
      <w:r>
        <w:rPr>
          <w:b/>
          <w:bCs/>
        </w:rPr>
        <w:t xml:space="preserve">Review your SOP on forced entry and use of power saws. </w:t>
      </w:r>
    </w:p>
    <w:p w14:paraId="592AD7C5" w14:textId="17EBB9EA" w:rsidR="007959C9" w:rsidRDefault="002D64A4"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4-28</w:t>
      </w:r>
    </w:p>
    <w:p w14:paraId="61D55321" w14:textId="77777777" w:rsidR="002D64A4" w:rsidRPr="00835DBE" w:rsidRDefault="002D64A4" w:rsidP="002D64A4">
      <w:pPr>
        <w:pStyle w:val="NormalWeb"/>
        <w:rPr>
          <w:rFonts w:ascii="Arial Black" w:hAnsi="Arial Black"/>
          <w:sz w:val="28"/>
          <w:szCs w:val="28"/>
        </w:rPr>
      </w:pPr>
      <w:r>
        <w:rPr>
          <w:rFonts w:ascii="Arial Black" w:hAnsi="Arial Black"/>
          <w:sz w:val="28"/>
          <w:szCs w:val="28"/>
        </w:rPr>
        <w:t>NB: FF FIRED – SHE CLAIMED CAPTAIN “ABANDONED US” IN FIRE – MAY DEPOSE OUTSIDE ATTY INVESTIGATED CLAIM</w:t>
      </w:r>
    </w:p>
    <w:p w14:paraId="4FE30FE6" w14:textId="77777777" w:rsidR="002D64A4" w:rsidRDefault="002D64A4" w:rsidP="002D64A4">
      <w:pPr>
        <w:spacing w:after="100" w:line="240" w:lineRule="auto"/>
        <w:jc w:val="both"/>
        <w:rPr>
          <w:rFonts w:ascii="Times New Roman" w:hAnsi="Times New Roman"/>
          <w:sz w:val="24"/>
          <w:szCs w:val="24"/>
        </w:rPr>
      </w:pPr>
      <w:r w:rsidRPr="006F5EA9">
        <w:rPr>
          <w:rFonts w:ascii="Times New Roman" w:hAnsi="Times New Roman"/>
          <w:sz w:val="24"/>
          <w:szCs w:val="24"/>
        </w:rPr>
        <w:t xml:space="preserve">On March 1, 2023, in </w:t>
      </w:r>
      <w:r w:rsidRPr="006F5EA9">
        <w:rPr>
          <w:rFonts w:ascii="Times New Roman" w:hAnsi="Times New Roman"/>
          <w:sz w:val="24"/>
          <w:szCs w:val="24"/>
          <w:u w:val="single"/>
        </w:rPr>
        <w:t>Amanda Benson v. City of Lincoln, et al</w:t>
      </w:r>
      <w:r w:rsidRPr="006F5EA9">
        <w:rPr>
          <w:rFonts w:ascii="Times New Roman" w:hAnsi="Times New Roman"/>
          <w:sz w:val="24"/>
          <w:szCs w:val="24"/>
        </w:rPr>
        <w:t xml:space="preserve">., U.S. District Court Judge Brian C. Buescher, District Court of Nebraska, entered an order limiting the topics that plaintiff may ask during the deposition of attorney Torrey Gerdes, who was retained by the City (paid $180,000) to investigated the firefighter’s claims of being endangered by a FD Captain at the warehouse fire.  Judge Buescher ruled that the City did not wave the attorney-client privilege (such as her advice to the City) or attorney work product privilege (such as her investigative notes) when it provided the investigation report to the plaintiff.  </w:t>
      </w:r>
    </w:p>
    <w:p w14:paraId="54E5CE82" w14:textId="77777777" w:rsidR="002D64A4" w:rsidRPr="006F5EA9" w:rsidRDefault="002D64A4" w:rsidP="002D64A4">
      <w:pPr>
        <w:spacing w:after="100" w:line="240" w:lineRule="auto"/>
        <w:jc w:val="both"/>
        <w:rPr>
          <w:rFonts w:ascii="Times New Roman" w:eastAsia="Times New Roman" w:hAnsi="Times New Roman"/>
          <w:sz w:val="24"/>
          <w:szCs w:val="24"/>
        </w:rPr>
      </w:pPr>
      <w:hyperlink r:id="rId873" w:history="1">
        <w:r w:rsidRPr="00C863CC">
          <w:rPr>
            <w:rStyle w:val="Hyperlink"/>
            <w:rFonts w:ascii="Times New Roman" w:hAnsi="Times New Roman"/>
            <w:sz w:val="24"/>
            <w:szCs w:val="24"/>
          </w:rPr>
          <w:t>https://public.fastcase.com/J%2FJP6pdidelsXxEE4k%2BLMku%2FobbeA4O7XFFZreFgRQx%2BWZ7fzC1IhmGay6LSjTfKJi%2F0lJWfruI6T6uwjyLWcTFUlKk%2FJDuh9Eyt0JVbsGk%3D?utm_medium=email&amp;_hsmi=226712652&amp;_hsenc=p2ANqtz-8osvFL3X0gyhLaJKRyW92xrD2GPamYVB-ledl39OimVvrR3SDszthVFmIjtescLBDKIYLBKlOi8FN2nFy4wMQT_YiRlg&amp;utm_content=226712652&amp;utm_source=hs_email</w:t>
        </w:r>
      </w:hyperlink>
      <w:r w:rsidRPr="006F5EA9">
        <w:rPr>
          <w:rFonts w:ascii="Times New Roman" w:hAnsi="Times New Roman"/>
          <w:sz w:val="24"/>
          <w:szCs w:val="24"/>
        </w:rPr>
        <w:t xml:space="preserve">  </w:t>
      </w:r>
    </w:p>
    <w:p w14:paraId="0F3036E8" w14:textId="77777777" w:rsidR="002D64A4" w:rsidRDefault="002D64A4" w:rsidP="002D64A4">
      <w:pPr>
        <w:pStyle w:val="NormalWeb"/>
        <w:ind w:left="720"/>
      </w:pPr>
      <w:r>
        <w:t>“On October 19, 2021, after a [pre-disciplinary] hearing, Chief Engler terminated Benson's employment, concluding:</w:t>
      </w:r>
    </w:p>
    <w:p w14:paraId="47B7286A" w14:textId="77777777" w:rsidR="002D64A4" w:rsidRDefault="002D64A4" w:rsidP="002D64A4">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1D30FE">
        <w:rPr>
          <w:rFonts w:ascii="Times New Roman" w:eastAsia="Times New Roman" w:hAnsi="Times New Roman"/>
          <w:sz w:val="24"/>
          <w:szCs w:val="24"/>
        </w:rPr>
        <w:t xml:space="preserve">The evidence confirms that you made serious false allegations against a fellow firefighter. You reported to Lincoln Fire and Rescue (LF&amp;R) and have continuously stated thereafter that you and your crew were abandoned in a dangerous burning warehouse by Captain Shawn Mahler at the April 26, </w:t>
      </w:r>
      <w:proofErr w:type="gramStart"/>
      <w:r w:rsidRPr="001D30FE">
        <w:rPr>
          <w:rFonts w:ascii="Times New Roman" w:eastAsia="Times New Roman" w:hAnsi="Times New Roman"/>
          <w:sz w:val="24"/>
          <w:szCs w:val="24"/>
        </w:rPr>
        <w:t>2021</w:t>
      </w:r>
      <w:proofErr w:type="gramEnd"/>
      <w:r w:rsidRPr="001D30FE">
        <w:rPr>
          <w:rFonts w:ascii="Times New Roman" w:eastAsia="Times New Roman" w:hAnsi="Times New Roman"/>
          <w:sz w:val="24"/>
          <w:szCs w:val="24"/>
        </w:rPr>
        <w:t xml:space="preserve"> fire scene. You also stated that his behavior </w:t>
      </w:r>
      <w:r>
        <w:rPr>
          <w:rFonts w:ascii="Times New Roman" w:eastAsia="Times New Roman" w:hAnsi="Times New Roman"/>
          <w:sz w:val="24"/>
          <w:szCs w:val="24"/>
        </w:rPr>
        <w:t>‘</w:t>
      </w:r>
      <w:r w:rsidRPr="001D30FE">
        <w:rPr>
          <w:rFonts w:ascii="Times New Roman" w:eastAsia="Times New Roman" w:hAnsi="Times New Roman"/>
          <w:sz w:val="24"/>
          <w:szCs w:val="24"/>
        </w:rPr>
        <w:t>could have injured or killed [you], FAO Roberts, and FF Recruit Hurley.</w:t>
      </w:r>
      <w:r>
        <w:rPr>
          <w:rFonts w:ascii="Times New Roman" w:eastAsia="Times New Roman" w:hAnsi="Times New Roman"/>
          <w:sz w:val="24"/>
          <w:szCs w:val="24"/>
        </w:rPr>
        <w:t>’</w:t>
      </w:r>
      <w:r w:rsidRPr="001D30FE">
        <w:rPr>
          <w:rFonts w:ascii="Times New Roman" w:eastAsia="Times New Roman" w:hAnsi="Times New Roman"/>
          <w:sz w:val="24"/>
          <w:szCs w:val="24"/>
        </w:rPr>
        <w:t xml:space="preserve"> </w:t>
      </w:r>
      <w:r w:rsidRPr="001D30FE">
        <w:rPr>
          <w:rFonts w:ascii="Times New Roman" w:eastAsia="Times New Roman" w:hAnsi="Times New Roman"/>
          <w:i/>
          <w:iCs/>
          <w:sz w:val="24"/>
          <w:szCs w:val="24"/>
        </w:rPr>
        <w:t>See, e.g.</w:t>
      </w:r>
      <w:r w:rsidRPr="001D30FE">
        <w:rPr>
          <w:rFonts w:ascii="Times New Roman" w:eastAsia="Times New Roman" w:hAnsi="Times New Roman"/>
          <w:sz w:val="24"/>
          <w:szCs w:val="24"/>
        </w:rPr>
        <w:t xml:space="preserve">, your June 11, </w:t>
      </w:r>
      <w:proofErr w:type="gramStart"/>
      <w:r w:rsidRPr="001D30FE">
        <w:rPr>
          <w:rFonts w:ascii="Times New Roman" w:eastAsia="Times New Roman" w:hAnsi="Times New Roman"/>
          <w:sz w:val="24"/>
          <w:szCs w:val="24"/>
        </w:rPr>
        <w:t>2021</w:t>
      </w:r>
      <w:proofErr w:type="gramEnd"/>
      <w:r w:rsidRPr="001D30FE">
        <w:rPr>
          <w:rFonts w:ascii="Times New Roman" w:eastAsia="Times New Roman" w:hAnsi="Times New Roman"/>
          <w:sz w:val="24"/>
          <w:szCs w:val="24"/>
        </w:rPr>
        <w:t xml:space="preserve"> sworn statement and incorporated attachments filed in Case No. 4:18CV3127. However, none of the evidence, audio recording/transcript, witness statements, the findings of investigator Torrey Gerdes, or the findings of Judge Kopf lend any credibility to your statements.</w:t>
      </w:r>
      <w:r>
        <w:rPr>
          <w:rFonts w:ascii="Times New Roman" w:eastAsia="Times New Roman" w:hAnsi="Times New Roman"/>
          <w:sz w:val="24"/>
          <w:szCs w:val="24"/>
        </w:rPr>
        <w:t xml:space="preserve">’ </w:t>
      </w:r>
    </w:p>
    <w:p w14:paraId="589644F2" w14:textId="77777777" w:rsidR="002D64A4" w:rsidRDefault="002D64A4" w:rsidP="002D64A4">
      <w:pPr>
        <w:pStyle w:val="NormalWeb"/>
      </w:pPr>
      <w:r>
        <w:t>Judge Buescher set aside a U.S. Magistrate’s less restrictive decision and held:</w:t>
      </w:r>
    </w:p>
    <w:p w14:paraId="17DFDAF9" w14:textId="77777777" w:rsidR="002D64A4" w:rsidRDefault="002D64A4" w:rsidP="002D64A4">
      <w:pPr>
        <w:pStyle w:val="NormalWeb"/>
        <w:ind w:firstLine="720"/>
      </w:pPr>
      <w:r>
        <w:t>“IT IS ORDERED:</w:t>
      </w:r>
    </w:p>
    <w:p w14:paraId="01E03AE2" w14:textId="77777777" w:rsidR="002D64A4" w:rsidRDefault="002D64A4" w:rsidP="002D64A4">
      <w:pPr>
        <w:pStyle w:val="NormalWeb"/>
        <w:ind w:left="720"/>
      </w:pPr>
      <w:r>
        <w:t xml:space="preserve">1. </w:t>
      </w:r>
      <w:proofErr w:type="gramStart"/>
      <w:r>
        <w:t>With regard to</w:t>
      </w:r>
      <w:proofErr w:type="gramEnd"/>
      <w:r>
        <w:t xml:space="preserve"> Gerdes' investigation into the events of April 26, 2021, plaintiff Benson may inquire into the general methods by which Gerdes conducts investigations and into the facts set forth in the Investigation Report … but Benson will not inquire into topics that the Court has determined are privileged;  </w:t>
      </w:r>
    </w:p>
    <w:p w14:paraId="123F9AF7" w14:textId="77777777" w:rsidR="002D64A4" w:rsidRDefault="002D64A4" w:rsidP="002D64A4">
      <w:pPr>
        <w:pStyle w:val="NormalWeb"/>
        <w:ind w:left="720"/>
      </w:pPr>
      <w:r>
        <w:t xml:space="preserve">2. Benson will not inquire into … any other investigation that does not directly involve Benson;  </w:t>
      </w:r>
    </w:p>
    <w:p w14:paraId="2D28A550" w14:textId="77777777" w:rsidR="002D64A4" w:rsidRDefault="002D64A4" w:rsidP="002D64A4">
      <w:pPr>
        <w:pStyle w:val="NormalWeb"/>
        <w:ind w:left="720"/>
      </w:pPr>
      <w:r>
        <w:t xml:space="preserve">3. Benson will not inquire into communications by Gerdes that are attorney-client privileged, including communications with the </w:t>
      </w:r>
      <w:proofErr w:type="gramStart"/>
      <w:r>
        <w:t>City</w:t>
      </w:r>
      <w:proofErr w:type="gramEnd"/>
      <w:r>
        <w:t xml:space="preserve"> or its attorneys or any of Gerdes' other clients.”  </w:t>
      </w:r>
    </w:p>
    <w:p w14:paraId="0B5AC5A8" w14:textId="77777777" w:rsidR="002D64A4" w:rsidRDefault="002D64A4" w:rsidP="002D64A4">
      <w:pPr>
        <w:spacing w:after="100" w:line="240" w:lineRule="auto"/>
        <w:rPr>
          <w:rFonts w:ascii="Times New Roman" w:eastAsia="Times New Roman" w:hAnsi="Times New Roman"/>
          <w:sz w:val="24"/>
          <w:szCs w:val="24"/>
        </w:rPr>
      </w:pPr>
      <w:r w:rsidRPr="00D76867">
        <w:rPr>
          <w:rFonts w:ascii="Times New Roman" w:hAnsi="Times New Roman"/>
          <w:sz w:val="24"/>
          <w:szCs w:val="24"/>
        </w:rPr>
        <w:t>The judge further wrote that while he won’t impose a specific time limit in the deposition: “The Court adds however that it cannot imagine that the deposition would need to run more than four hours.”</w:t>
      </w:r>
      <w:r>
        <w:rPr>
          <w:sz w:val="20"/>
          <w:szCs w:val="20"/>
        </w:rPr>
        <w:t xml:space="preserve">  </w:t>
      </w:r>
    </w:p>
    <w:p w14:paraId="345D7E78" w14:textId="77777777" w:rsidR="002D64A4" w:rsidRPr="001D30FE" w:rsidRDefault="002D64A4" w:rsidP="002D64A4">
      <w:pPr>
        <w:spacing w:after="100" w:line="240" w:lineRule="auto"/>
        <w:rPr>
          <w:rFonts w:ascii="Times New Roman" w:eastAsia="Times New Roman" w:hAnsi="Times New Roman"/>
          <w:b/>
          <w:bCs/>
          <w:sz w:val="24"/>
          <w:szCs w:val="24"/>
        </w:rPr>
      </w:pPr>
      <w:r w:rsidRPr="00E27637">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When a City retains outside legal counsel to investigate a firefighter’s claims</w:t>
      </w:r>
      <w:proofErr w:type="gramStart"/>
      <w:r>
        <w:rPr>
          <w:rFonts w:ascii="Times New Roman" w:eastAsia="Times New Roman" w:hAnsi="Times New Roman"/>
          <w:b/>
          <w:bCs/>
          <w:sz w:val="24"/>
          <w:szCs w:val="24"/>
        </w:rPr>
        <w:t>, providing</w:t>
      </w:r>
      <w:proofErr w:type="gramEnd"/>
      <w:r>
        <w:rPr>
          <w:rFonts w:ascii="Times New Roman" w:eastAsia="Times New Roman" w:hAnsi="Times New Roman"/>
          <w:b/>
          <w:bCs/>
          <w:sz w:val="24"/>
          <w:szCs w:val="24"/>
        </w:rPr>
        <w:t xml:space="preserve"> the investigation report to the firefighter does not waive attorney-client or attorney work-product privilege.  </w:t>
      </w:r>
    </w:p>
    <w:p w14:paraId="2B07B5C7" w14:textId="77777777" w:rsidR="002D64A4" w:rsidRDefault="002D64A4" w:rsidP="002B1283">
      <w:pPr>
        <w:rPr>
          <w:rStyle w:val="Hyperlink"/>
          <w:rFonts w:ascii="Arial Black" w:hAnsi="Arial Black"/>
          <w:b/>
          <w:color w:val="auto"/>
          <w:sz w:val="24"/>
          <w:szCs w:val="24"/>
          <w:u w:val="none"/>
        </w:rPr>
      </w:pPr>
    </w:p>
    <w:p w14:paraId="51126CC7" w14:textId="517B7804" w:rsidR="007959C9" w:rsidRDefault="007959C9"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4-27</w:t>
      </w:r>
    </w:p>
    <w:p w14:paraId="1AB24A19" w14:textId="76A2A418" w:rsidR="007959C9" w:rsidRDefault="007959C9" w:rsidP="007959C9">
      <w:pPr>
        <w:rPr>
          <w:rFonts w:ascii="Arial Black" w:hAnsi="Arial Black"/>
          <w:sz w:val="28"/>
          <w:szCs w:val="28"/>
        </w:rPr>
      </w:pPr>
      <w:r>
        <w:rPr>
          <w:rFonts w:ascii="Arial Black" w:hAnsi="Arial Black"/>
          <w:sz w:val="28"/>
          <w:szCs w:val="28"/>
        </w:rPr>
        <w:t>WV: FIRE CHIEF FIRED – FALSIF</w:t>
      </w:r>
      <w:r w:rsidR="003E054D">
        <w:rPr>
          <w:rFonts w:ascii="Arial Black" w:hAnsi="Arial Black"/>
          <w:sz w:val="28"/>
          <w:szCs w:val="28"/>
        </w:rPr>
        <w:t>IED</w:t>
      </w:r>
      <w:r>
        <w:rPr>
          <w:rFonts w:ascii="Arial Black" w:hAnsi="Arial Black"/>
          <w:sz w:val="28"/>
          <w:szCs w:val="28"/>
        </w:rPr>
        <w:t xml:space="preserve"> HYDRANT &amp; TRAINING RECORDS – NO CIVIL SERVICE PROTECTION</w:t>
      </w:r>
    </w:p>
    <w:p w14:paraId="44D15D79" w14:textId="77777777" w:rsidR="007959C9" w:rsidRDefault="007959C9" w:rsidP="007959C9">
      <w:pPr>
        <w:rPr>
          <w:rFonts w:ascii="Times New Roman" w:hAnsi="Times New Roman"/>
          <w:sz w:val="24"/>
          <w:szCs w:val="24"/>
        </w:rPr>
      </w:pPr>
      <w:r w:rsidRPr="001B1F04">
        <w:rPr>
          <w:rFonts w:ascii="Times New Roman" w:hAnsi="Times New Roman"/>
          <w:sz w:val="24"/>
          <w:szCs w:val="24"/>
        </w:rPr>
        <w:t xml:space="preserve">On Jan. 18, 2023, in </w:t>
      </w:r>
      <w:r w:rsidRPr="001B1F04">
        <w:rPr>
          <w:rFonts w:ascii="Times New Roman" w:hAnsi="Times New Roman"/>
          <w:sz w:val="24"/>
          <w:szCs w:val="24"/>
          <w:u w:val="single"/>
        </w:rPr>
        <w:t>David Crimm v. City of Grafton</w:t>
      </w:r>
      <w:r w:rsidRPr="001B1F04">
        <w:rPr>
          <w:rFonts w:ascii="Times New Roman" w:hAnsi="Times New Roman"/>
          <w:sz w:val="24"/>
          <w:szCs w:val="24"/>
        </w:rPr>
        <w:t xml:space="preserve">, </w:t>
      </w:r>
      <w:r>
        <w:rPr>
          <w:rFonts w:ascii="Times New Roman" w:hAnsi="Times New Roman"/>
          <w:sz w:val="24"/>
          <w:szCs w:val="24"/>
        </w:rPr>
        <w:t xml:space="preserve">the Supreme Court of Appeals of West Virginia held (5 to 0) that the trial court properly dismissed the former Fire Chiefs appeal; the evidence was so clear the Court of Appeals decided this appeal without oral argument. He was fired in </w:t>
      </w:r>
      <w:proofErr w:type="gramStart"/>
      <w:r>
        <w:rPr>
          <w:rFonts w:ascii="Times New Roman" w:hAnsi="Times New Roman"/>
          <w:sz w:val="24"/>
          <w:szCs w:val="24"/>
        </w:rPr>
        <w:t>March,</w:t>
      </w:r>
      <w:proofErr w:type="gramEnd"/>
      <w:r>
        <w:rPr>
          <w:rFonts w:ascii="Times New Roman" w:hAnsi="Times New Roman"/>
          <w:sz w:val="24"/>
          <w:szCs w:val="24"/>
        </w:rPr>
        <w:t xml:space="preserve"> 2018 for </w:t>
      </w:r>
      <w:r w:rsidRPr="00BE4B52">
        <w:rPr>
          <w:rFonts w:ascii="Times New Roman" w:hAnsi="Times New Roman"/>
          <w:sz w:val="24"/>
          <w:szCs w:val="24"/>
        </w:rPr>
        <w:t>"falsification of official city documents</w:t>
      </w:r>
      <w:r>
        <w:rPr>
          <w:rFonts w:ascii="Times New Roman" w:hAnsi="Times New Roman"/>
          <w:sz w:val="24"/>
          <w:szCs w:val="24"/>
        </w:rPr>
        <w:t>.” The city presented documentation to the Circuit Court judge that he had ordered subordinates to falsify the fire hydrant and department training records. The Court found: “</w:t>
      </w:r>
      <w:r w:rsidRPr="002A6C90">
        <w:rPr>
          <w:rStyle w:val="markedcontent"/>
          <w:rFonts w:ascii="Times New Roman" w:hAnsi="Times New Roman"/>
        </w:rPr>
        <w:t>Here, the City ordinance reflects the City’s decision not to place the position of fire chief</w:t>
      </w:r>
      <w:r>
        <w:rPr>
          <w:rStyle w:val="markedcontent"/>
          <w:rFonts w:ascii="Times New Roman" w:hAnsi="Times New Roman"/>
        </w:rPr>
        <w:t xml:space="preserve"> </w:t>
      </w:r>
      <w:r w:rsidRPr="002A6C90">
        <w:rPr>
          <w:rStyle w:val="markedcontent"/>
          <w:rFonts w:ascii="Times New Roman" w:hAnsi="Times New Roman"/>
        </w:rPr>
        <w:t>under the civil service provisions. Because the position was not placed within civil service</w:t>
      </w:r>
      <w:r>
        <w:rPr>
          <w:rStyle w:val="markedcontent"/>
          <w:rFonts w:ascii="Times New Roman" w:hAnsi="Times New Roman"/>
        </w:rPr>
        <w:t xml:space="preserve"> </w:t>
      </w:r>
      <w:r w:rsidRPr="002A6C90">
        <w:rPr>
          <w:rStyle w:val="markedcontent"/>
          <w:rFonts w:ascii="Times New Roman" w:hAnsi="Times New Roman"/>
        </w:rPr>
        <w:t>provisions, he has failed to show that he is entitled to a civil service position within the Grafton</w:t>
      </w:r>
      <w:r>
        <w:rPr>
          <w:rStyle w:val="markedcontent"/>
          <w:rFonts w:ascii="Times New Roman" w:hAnsi="Times New Roman"/>
        </w:rPr>
        <w:t xml:space="preserve"> </w:t>
      </w:r>
      <w:r w:rsidRPr="002A6C90">
        <w:rPr>
          <w:rStyle w:val="markedcontent"/>
          <w:rFonts w:ascii="Times New Roman" w:hAnsi="Times New Roman"/>
        </w:rPr>
        <w:t xml:space="preserve">Fire Department. In addition, contrary to petitioner’s assertions, the </w:t>
      </w:r>
      <w:proofErr w:type="gramStart"/>
      <w:r w:rsidRPr="002A6C90">
        <w:rPr>
          <w:rStyle w:val="markedcontent"/>
          <w:rFonts w:ascii="Times New Roman" w:hAnsi="Times New Roman"/>
        </w:rPr>
        <w:t>City</w:t>
      </w:r>
      <w:proofErr w:type="gramEnd"/>
      <w:r w:rsidRPr="002A6C90">
        <w:rPr>
          <w:rStyle w:val="markedcontent"/>
          <w:rFonts w:ascii="Times New Roman" w:hAnsi="Times New Roman"/>
        </w:rPr>
        <w:t xml:space="preserve"> presented documentary</w:t>
      </w:r>
      <w:r>
        <w:rPr>
          <w:rStyle w:val="markedcontent"/>
          <w:rFonts w:ascii="Times New Roman" w:hAnsi="Times New Roman"/>
        </w:rPr>
        <w:t xml:space="preserve"> </w:t>
      </w:r>
      <w:r w:rsidRPr="002A6C90">
        <w:rPr>
          <w:rStyle w:val="markedcontent"/>
          <w:rFonts w:ascii="Times New Roman" w:hAnsi="Times New Roman"/>
        </w:rPr>
        <w:t>evidence to the circuit court regarding petitioner ordering subordinates to falsify the fire hydrant</w:t>
      </w:r>
      <w:r>
        <w:rPr>
          <w:rStyle w:val="markedcontent"/>
          <w:rFonts w:ascii="Times New Roman" w:hAnsi="Times New Roman"/>
        </w:rPr>
        <w:t xml:space="preserve"> </w:t>
      </w:r>
      <w:r w:rsidRPr="002A6C90">
        <w:rPr>
          <w:rStyle w:val="markedcontent"/>
          <w:rFonts w:ascii="Times New Roman" w:hAnsi="Times New Roman"/>
        </w:rPr>
        <w:t>and department training records for the Grafton Fire Department</w:t>
      </w:r>
      <w:r>
        <w:rPr>
          <w:rStyle w:val="markedcontent"/>
          <w:rFonts w:ascii="Times New Roman" w:hAnsi="Times New Roman"/>
        </w:rPr>
        <w:t xml:space="preserve"> “</w:t>
      </w:r>
      <w:r>
        <w:rPr>
          <w:rFonts w:ascii="Times New Roman" w:hAnsi="Times New Roman"/>
          <w:sz w:val="24"/>
          <w:szCs w:val="24"/>
        </w:rPr>
        <w:t xml:space="preserve"> </w:t>
      </w:r>
      <w:hyperlink r:id="rId874" w:history="1">
        <w:r w:rsidRPr="00F65122">
          <w:rPr>
            <w:rStyle w:val="Hyperlink"/>
            <w:sz w:val="24"/>
            <w:szCs w:val="24"/>
          </w:rPr>
          <w:t>http://www.courtswv.gov/supreme-court/memo-decisions/spring2023/21-0921%20md.pdf</w:t>
        </w:r>
      </w:hyperlink>
      <w:r>
        <w:rPr>
          <w:rFonts w:ascii="Times New Roman" w:hAnsi="Times New Roman"/>
          <w:sz w:val="24"/>
          <w:szCs w:val="24"/>
        </w:rPr>
        <w:t xml:space="preserve"> </w:t>
      </w:r>
    </w:p>
    <w:p w14:paraId="2EFBD43C" w14:textId="77777777" w:rsidR="007959C9" w:rsidRDefault="007959C9" w:rsidP="007959C9">
      <w:pPr>
        <w:ind w:left="720"/>
        <w:rPr>
          <w:rFonts w:ascii="Times New Roman" w:hAnsi="Times New Roman"/>
          <w:sz w:val="24"/>
          <w:szCs w:val="24"/>
        </w:rPr>
      </w:pPr>
      <w:r w:rsidRPr="00BE4B52">
        <w:rPr>
          <w:rFonts w:ascii="Times New Roman" w:hAnsi="Times New Roman"/>
          <w:sz w:val="24"/>
          <w:szCs w:val="24"/>
        </w:rPr>
        <w:t xml:space="preserve">“That evidence included a June of 2018 letter from the county prosecutor setting forth his belief that petitioner had falsified documents and an April of 2018 letter from a </w:t>
      </w:r>
      <w:proofErr w:type="gramStart"/>
      <w:r w:rsidRPr="00BE4B52">
        <w:rPr>
          <w:rFonts w:ascii="Times New Roman" w:hAnsi="Times New Roman"/>
          <w:sz w:val="24"/>
          <w:szCs w:val="24"/>
        </w:rPr>
        <w:t>state police sergeant detailing conversations</w:t>
      </w:r>
      <w:proofErr w:type="gramEnd"/>
      <w:r w:rsidRPr="00BE4B52">
        <w:rPr>
          <w:rFonts w:ascii="Times New Roman" w:hAnsi="Times New Roman"/>
          <w:sz w:val="24"/>
          <w:szCs w:val="24"/>
        </w:rPr>
        <w:t xml:space="preserve"> with several individuals, which support the City's contention that petitioner directed subordinates to falsify records. The purported training records, which were reportedly completely fabricated at petitioner's direction, and fire hydrant tests, which were presented as new data despite reusing outdated data from previous years at petitioner's direction, were also produced below and are included in the record before this Court.</w:t>
      </w:r>
    </w:p>
    <w:p w14:paraId="0E09BD25" w14:textId="77777777" w:rsidR="007959C9" w:rsidRDefault="007959C9" w:rsidP="007959C9">
      <w:pPr>
        <w:ind w:left="720"/>
        <w:rPr>
          <w:rFonts w:ascii="Times New Roman" w:hAnsi="Times New Roman"/>
          <w:sz w:val="24"/>
          <w:szCs w:val="24"/>
        </w:rPr>
      </w:pPr>
      <w:r>
        <w:rPr>
          <w:rFonts w:ascii="Times New Roman" w:hAnsi="Times New Roman"/>
          <w:sz w:val="24"/>
          <w:szCs w:val="24"/>
        </w:rPr>
        <w:t>***</w:t>
      </w:r>
    </w:p>
    <w:p w14:paraId="26A9E286" w14:textId="77777777" w:rsidR="007959C9" w:rsidRDefault="007959C9" w:rsidP="007959C9">
      <w:pPr>
        <w:ind w:left="720"/>
        <w:rPr>
          <w:rFonts w:ascii="Times New Roman" w:hAnsi="Times New Roman"/>
          <w:sz w:val="24"/>
          <w:szCs w:val="24"/>
        </w:rPr>
      </w:pPr>
      <w:r w:rsidRPr="00BE4B52">
        <w:rPr>
          <w:rFonts w:ascii="Times New Roman" w:hAnsi="Times New Roman"/>
          <w:sz w:val="24"/>
          <w:szCs w:val="24"/>
        </w:rPr>
        <w:t>Here, the City ordinance reflects the City's decision not to place the position of fire chief under the civil service provisions. Because the position was not placed within civil service provisions, he has failed to show that he is entitled to a civil service position within the Grafton Fire Department.</w:t>
      </w:r>
      <w:r>
        <w:rPr>
          <w:rFonts w:ascii="Times New Roman" w:hAnsi="Times New Roman"/>
          <w:sz w:val="24"/>
          <w:szCs w:val="24"/>
        </w:rPr>
        <w:t>”</w:t>
      </w:r>
    </w:p>
    <w:p w14:paraId="5E63FD5A" w14:textId="77777777" w:rsidR="007959C9" w:rsidRPr="00BE4B52" w:rsidRDefault="007959C9" w:rsidP="007959C9">
      <w:pPr>
        <w:rPr>
          <w:rFonts w:ascii="Times New Roman" w:hAnsi="Times New Roman"/>
          <w:b/>
          <w:bCs/>
          <w:sz w:val="24"/>
          <w:szCs w:val="24"/>
        </w:rPr>
      </w:pPr>
      <w:r w:rsidRPr="00BE4B52">
        <w:rPr>
          <w:rFonts w:ascii="Times New Roman" w:hAnsi="Times New Roman"/>
          <w:b/>
          <w:bCs/>
          <w:sz w:val="24"/>
          <w:szCs w:val="24"/>
        </w:rPr>
        <w:t xml:space="preserve">Legal Lesson Learned: </w:t>
      </w:r>
      <w:r>
        <w:rPr>
          <w:rFonts w:ascii="Times New Roman" w:hAnsi="Times New Roman"/>
          <w:b/>
          <w:bCs/>
          <w:sz w:val="24"/>
          <w:szCs w:val="24"/>
        </w:rPr>
        <w:t xml:space="preserve">Falsifying records is a sure way to get fired. </w:t>
      </w:r>
    </w:p>
    <w:p w14:paraId="08B8200D" w14:textId="77777777" w:rsidR="007959C9" w:rsidRDefault="007959C9" w:rsidP="002B1283">
      <w:pPr>
        <w:rPr>
          <w:rStyle w:val="Hyperlink"/>
          <w:rFonts w:ascii="Arial Black" w:hAnsi="Arial Black"/>
          <w:b/>
          <w:color w:val="auto"/>
          <w:sz w:val="24"/>
          <w:szCs w:val="24"/>
          <w:u w:val="none"/>
        </w:rPr>
      </w:pPr>
    </w:p>
    <w:p w14:paraId="26F39381" w14:textId="77777777" w:rsidR="007959C9" w:rsidRDefault="007959C9" w:rsidP="002B1283">
      <w:pPr>
        <w:rPr>
          <w:rStyle w:val="Hyperlink"/>
          <w:rFonts w:ascii="Arial Black" w:hAnsi="Arial Black"/>
          <w:b/>
          <w:color w:val="auto"/>
          <w:sz w:val="24"/>
          <w:szCs w:val="24"/>
          <w:u w:val="none"/>
        </w:rPr>
      </w:pPr>
    </w:p>
    <w:p w14:paraId="6EECCA3F" w14:textId="4AE3F9D1" w:rsidR="006C79BE" w:rsidRDefault="006C79BE"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4-26</w:t>
      </w:r>
    </w:p>
    <w:p w14:paraId="0C8C4376" w14:textId="77777777" w:rsidR="006C79BE" w:rsidRDefault="006C79BE" w:rsidP="006C79BE">
      <w:pPr>
        <w:pStyle w:val="NormalWeb"/>
        <w:rPr>
          <w:rFonts w:ascii="Arial Black" w:hAnsi="Arial Black"/>
          <w:sz w:val="28"/>
          <w:szCs w:val="28"/>
        </w:rPr>
      </w:pPr>
      <w:r>
        <w:rPr>
          <w:rFonts w:ascii="Arial Black" w:hAnsi="Arial Black"/>
          <w:sz w:val="28"/>
          <w:szCs w:val="28"/>
        </w:rPr>
        <w:t xml:space="preserve">ME: HOUSE FIRE – TOWN IMMUNITY – HOMEOWNER CLAIMS PUMPER USE WAS DELAYED - HOUSE TO BE DEMOLISHED </w:t>
      </w:r>
    </w:p>
    <w:p w14:paraId="7C04BA8A" w14:textId="77777777" w:rsidR="006C79BE" w:rsidRDefault="006C79BE" w:rsidP="006C79BE">
      <w:pPr>
        <w:pStyle w:val="NormalWeb"/>
      </w:pPr>
      <w:r w:rsidRPr="00001B4B">
        <w:t xml:space="preserve">On Oct. 31, 2022, in </w:t>
      </w:r>
      <w:r w:rsidRPr="00001B4B">
        <w:rPr>
          <w:u w:val="single"/>
        </w:rPr>
        <w:t>Seth T. Carey v. Town of Rumford and Rumford Fire Department</w:t>
      </w:r>
      <w:r w:rsidRPr="00001B4B">
        <w:t xml:space="preserve">, </w:t>
      </w:r>
      <w:r>
        <w:t xml:space="preserve">Justice Julia M. Lipez, the Superior Court of Maine (Oxford), granted the Town and Fire Department’s motion to dismiss.  The Oct. 5, </w:t>
      </w:r>
      <w:proofErr w:type="gramStart"/>
      <w:r>
        <w:t>2020</w:t>
      </w:r>
      <w:proofErr w:type="gramEnd"/>
      <w:r>
        <w:t xml:space="preserve"> structure fire damaged the home so extensively. The Town declared the home a "Dangerous Building" and ordered its demolition. Under the Maine immunity statute, governmental entities enjoy sovereign immunity; the exception for negligent acts in use of government vehicles does not apply to alleged delay in use of a fire department pumper. </w:t>
      </w:r>
    </w:p>
    <w:p w14:paraId="5C753492" w14:textId="77777777" w:rsidR="006C79BE" w:rsidRDefault="006C79BE" w:rsidP="006C79BE">
      <w:pPr>
        <w:pStyle w:val="NormalWeb"/>
        <w:ind w:left="720"/>
      </w:pPr>
      <w:r>
        <w:t xml:space="preserve">“Here…the gravamen of the </w:t>
      </w:r>
      <w:proofErr w:type="gramStart"/>
      <w:r>
        <w:t>plaintiffs</w:t>
      </w:r>
      <w:proofErr w:type="gramEnd"/>
      <w:r>
        <w:t xml:space="preserve"> complaint is that ‘the Town made imprudent tactical decisions in the course of fighting the fire</w:t>
      </w:r>
      <w:proofErr w:type="gramStart"/>
      <w:r>
        <w:t>…..</w:t>
      </w:r>
      <w:proofErr w:type="gramEnd"/>
      <w:r>
        <w:t xml:space="preserve">’ He does not allege that he was injured by contact with a negligently operated or maintained fire truck, just that the firefighters did not deploy the truck properly. Thus, even accepting as true the </w:t>
      </w:r>
      <w:proofErr w:type="spellStart"/>
      <w:r>
        <w:t>plaintiffs</w:t>
      </w:r>
      <w:proofErr w:type="spellEnd"/>
      <w:r>
        <w:t xml:space="preserve"> claims that the firefighters acted negligently, the vehicle exception does not apply…. Because section 8104-A(1)'s vehicle exception is inapplicable and the plaintiff makes no claim that any other exception to immunity applies, the court concludes that the Town is immune from the plaintiffs suit pursuant to section 8103(1) of the MTCA.”</w:t>
      </w:r>
      <w:r w:rsidRPr="00B50BB2">
        <w:t xml:space="preserve"> </w:t>
      </w:r>
      <w:hyperlink r:id="rId875" w:history="1">
        <w:r w:rsidRPr="00075859">
          <w:rPr>
            <w:rStyle w:val="Hyperlink"/>
            <w:rFonts w:eastAsiaTheme="majorEastAsia"/>
          </w:rPr>
          <w:t>https://public.fastcase.com/J%2FJP6pdidelsXxEE4k%2BLMunJfhe1gfK2oI8CQbirV8GXkmoWfCiXuebhhRyeFmnHeojCURMbUHUM%2FZVW6TuThcVt2kPCx5ANtZZIjUvq4TI%3D?utm_medium=email&amp;_hsmi=226712652&amp;_hsenc=p2ANqtz-_4xSG7CmaPWZQuwsNXY4RTJcvgg4B9LMx8R4vNTvpvb0PqojZFKwGqm6HPbOxappi5A6b2YgFEujAqOwM5oeHjK0AsxA&amp;utm_content=226712652&amp;utm_source=hs_email</w:t>
        </w:r>
      </w:hyperlink>
      <w:r>
        <w:t xml:space="preserve"> </w:t>
      </w:r>
    </w:p>
    <w:p w14:paraId="176EA95F" w14:textId="77777777" w:rsidR="006C79BE" w:rsidRDefault="006C79BE" w:rsidP="006C79BE">
      <w:pPr>
        <w:pStyle w:val="NormalWeb"/>
        <w:rPr>
          <w:b/>
          <w:bCs/>
        </w:rPr>
      </w:pPr>
      <w:r w:rsidRPr="00B50BB2">
        <w:rPr>
          <w:b/>
          <w:bCs/>
        </w:rPr>
        <w:t>Legal Lesson Learned:</w:t>
      </w:r>
      <w:r>
        <w:rPr>
          <w:b/>
          <w:bCs/>
        </w:rPr>
        <w:t xml:space="preserve"> Sovereign immunity statute protects government entities from liability.</w:t>
      </w:r>
    </w:p>
    <w:p w14:paraId="0B645D4F" w14:textId="77777777" w:rsidR="006C79BE" w:rsidRPr="00B50BB2" w:rsidRDefault="006C79BE" w:rsidP="006C79BE">
      <w:pPr>
        <w:pStyle w:val="NormalWeb"/>
        <w:ind w:left="720"/>
      </w:pPr>
      <w:r>
        <w:t xml:space="preserve">Note: See Nov. 17, </w:t>
      </w:r>
      <w:proofErr w:type="gramStart"/>
      <w:r>
        <w:t>2021</w:t>
      </w:r>
      <w:proofErr w:type="gramEnd"/>
      <w:r>
        <w:t xml:space="preserve"> Court decision. </w:t>
      </w:r>
      <w:hyperlink r:id="rId876" w:history="1">
        <w:r w:rsidRPr="00075859">
          <w:rPr>
            <w:rStyle w:val="Hyperlink"/>
            <w:rFonts w:eastAsiaTheme="majorEastAsia"/>
          </w:rPr>
          <w:t>https://casetext.com/case/carey-v-town-of-rumford</w:t>
        </w:r>
      </w:hyperlink>
      <w:r>
        <w:t xml:space="preserve"> “At the hearing [on homeowner’s appeal of demolition order before the 3 members of Board of Selectpersons], there were over twenty documents admitted as evidence, and testimony was heard from four individuals. (PR 1-2.) One of those individuals, Rumford's fire chief, testified that he classified Carey's residence as a 100% loss once he viewed the premises after the fire was extinguished. (PR 4.) The chiefs opinion was premised upon his thirty years of experience fighting and investigating fires and the extensive structural damage to the building, which included: charred joists and subfloor, structural damage to the roof including two holes for fire ventilation, the complete loss of the staircase which rose from the basement to the first floor, the partial loss of the staircase which rose from the first to the second floor, and damage to the property's plumbing, electrical and heating systems. (PR 5.)”</w:t>
      </w:r>
    </w:p>
    <w:p w14:paraId="631038D6" w14:textId="77777777" w:rsidR="006C79BE" w:rsidRDefault="006C79BE" w:rsidP="002B1283">
      <w:pPr>
        <w:rPr>
          <w:rStyle w:val="Hyperlink"/>
          <w:rFonts w:ascii="Arial Black" w:hAnsi="Arial Black"/>
          <w:b/>
          <w:color w:val="auto"/>
          <w:sz w:val="24"/>
          <w:szCs w:val="24"/>
          <w:u w:val="none"/>
        </w:rPr>
      </w:pPr>
    </w:p>
    <w:p w14:paraId="30E0007B" w14:textId="77777777" w:rsidR="006C79BE" w:rsidRDefault="006C79BE" w:rsidP="002B1283">
      <w:pPr>
        <w:rPr>
          <w:rStyle w:val="Hyperlink"/>
          <w:rFonts w:ascii="Arial Black" w:hAnsi="Arial Black"/>
          <w:b/>
          <w:color w:val="auto"/>
          <w:sz w:val="24"/>
          <w:szCs w:val="24"/>
          <w:u w:val="none"/>
        </w:rPr>
      </w:pPr>
    </w:p>
    <w:p w14:paraId="62F8EE14" w14:textId="006153FF" w:rsidR="00AE32D3" w:rsidRDefault="00AE32D3"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4-25</w:t>
      </w:r>
    </w:p>
    <w:p w14:paraId="52D76E15" w14:textId="77777777" w:rsidR="00AE32D3" w:rsidRPr="00AA0816" w:rsidRDefault="00AE32D3" w:rsidP="00AE32D3">
      <w:pPr>
        <w:pStyle w:val="NormalWeb"/>
        <w:rPr>
          <w:rFonts w:ascii="Arial Black" w:hAnsi="Arial Black"/>
          <w:sz w:val="28"/>
          <w:szCs w:val="28"/>
        </w:rPr>
      </w:pPr>
      <w:r>
        <w:rPr>
          <w:rFonts w:ascii="Arial Black" w:hAnsi="Arial Black"/>
          <w:sz w:val="28"/>
          <w:szCs w:val="28"/>
        </w:rPr>
        <w:t xml:space="preserve">NB: FF FIRED – AFTER SHE CLAIMED CAPT. “ABANDONED” HER </w:t>
      </w:r>
      <w:proofErr w:type="gramStart"/>
      <w:r>
        <w:rPr>
          <w:rFonts w:ascii="Arial Black" w:hAnsi="Arial Black"/>
          <w:sz w:val="28"/>
          <w:szCs w:val="28"/>
        </w:rPr>
        <w:t>IN WAREHOUSE</w:t>
      </w:r>
      <w:proofErr w:type="gramEnd"/>
      <w:r>
        <w:rPr>
          <w:rFonts w:ascii="Arial Black" w:hAnsi="Arial Black"/>
          <w:sz w:val="28"/>
          <w:szCs w:val="28"/>
        </w:rPr>
        <w:t xml:space="preserve"> FIRE – MAY DEPOSE INVEST. ATTY</w:t>
      </w:r>
    </w:p>
    <w:p w14:paraId="2DA6EE9D" w14:textId="77777777" w:rsidR="00AE32D3" w:rsidRDefault="00AE32D3" w:rsidP="00AE32D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Nov. 20, 2022, in </w:t>
      </w:r>
      <w:r w:rsidRPr="00AA0816">
        <w:rPr>
          <w:rFonts w:ascii="Times New Roman" w:eastAsia="Times New Roman" w:hAnsi="Times New Roman"/>
          <w:sz w:val="24"/>
          <w:szCs w:val="24"/>
          <w:u w:val="single"/>
        </w:rPr>
        <w:t>Amanda Benson v. City of Lincoln, et al</w:t>
      </w:r>
      <w:r>
        <w:rPr>
          <w:rFonts w:ascii="Times New Roman" w:eastAsia="Times New Roman" w:hAnsi="Times New Roman"/>
          <w:sz w:val="24"/>
          <w:szCs w:val="24"/>
        </w:rPr>
        <w:t xml:space="preserve">., U.S. Magistrate Judge Michael D. Nelson, U.S. District Court for District of Nebraska, held that if the City intends in the defense of this civil suit to call the attorney they retained to conduct the investigation, then the city has waived its attorney-client privilege and the plaintiff, who has been provided the Investigation Report, may now depose that attorney and obtain copies of her investigative notes </w:t>
      </w:r>
    </w:p>
    <w:p w14:paraId="781CCA0F" w14:textId="77777777" w:rsidR="00AE32D3" w:rsidRPr="00161C5B" w:rsidRDefault="00AE32D3" w:rsidP="00AE32D3">
      <w:pPr>
        <w:spacing w:before="100" w:beforeAutospacing="1" w:after="100" w:afterAutospacing="1" w:line="240" w:lineRule="auto"/>
        <w:ind w:left="720"/>
        <w:rPr>
          <w:rFonts w:ascii="Times New Roman" w:hAnsi="Times New Roman"/>
          <w:sz w:val="24"/>
          <w:szCs w:val="24"/>
        </w:rPr>
      </w:pPr>
      <w:r w:rsidRPr="00161C5B">
        <w:rPr>
          <w:rFonts w:ascii="Times New Roman" w:eastAsia="Times New Roman" w:hAnsi="Times New Roman"/>
          <w:sz w:val="24"/>
          <w:szCs w:val="24"/>
        </w:rPr>
        <w:t>“</w:t>
      </w:r>
      <w:r w:rsidRPr="00161C5B">
        <w:rPr>
          <w:rFonts w:ascii="Times New Roman" w:hAnsi="Times New Roman"/>
          <w:sz w:val="24"/>
          <w:szCs w:val="24"/>
        </w:rPr>
        <w:t xml:space="preserve">After review, the Court finds that the City has now waived any claim of privilege in Ms. Gerdes' investigation into the April Warehouse Fire by affirmatively representing that the City intends to offer Ms. Gerdes' Investigation Report as evidence at trial and by representing that the City will rely on Ms. Gerdes' investigation as part of its defense to Plaintiff's claims…. It would be ‘patently unfair’ for the City to present Ms. Gerdes' Investigation Report to a jury without providing Plaintiff with a full opportunity to explore and cross-examine Ms. Gerdes on the investigation.” </w:t>
      </w:r>
      <w:hyperlink r:id="rId877" w:history="1">
        <w:r w:rsidRPr="00161C5B">
          <w:rPr>
            <w:rStyle w:val="Hyperlink"/>
            <w:rFonts w:ascii="Times New Roman" w:hAnsi="Times New Roman"/>
            <w:sz w:val="24"/>
            <w:szCs w:val="24"/>
          </w:rPr>
          <w:t>https://public.fastcase.com/J%2FJP6pdidelsXxEE4k%2BLMn3rhSw89wni4akrGgclH4tY407nVvfTRwhYpyTytqAww5i%2BcjDR8DFfgYYxUNnhOrZ4pPx8rv87OEAaoYdIWaw%3D?utm_medium=email&amp;_hsmi=226712652&amp;_hsenc=p2ANqtz--lPKcQUZ00Y_ImXZh39HMz6UO0kEIbng7bmb6odI7o6fRRwj_-I6PCBlRwjLhuflNpZQs-1Wu84wEID-VmUx_pZGrr8w&amp;utm_content=226712652&amp;utm_source=hs_email</w:t>
        </w:r>
      </w:hyperlink>
      <w:r w:rsidRPr="00161C5B">
        <w:rPr>
          <w:rFonts w:ascii="Times New Roman" w:hAnsi="Times New Roman"/>
          <w:sz w:val="24"/>
          <w:szCs w:val="24"/>
        </w:rPr>
        <w:t xml:space="preserve"> </w:t>
      </w:r>
    </w:p>
    <w:p w14:paraId="74152115" w14:textId="77777777" w:rsidR="00AE32D3" w:rsidRPr="00CC2065" w:rsidRDefault="00AE32D3" w:rsidP="00AE32D3">
      <w:pPr>
        <w:pStyle w:val="NormalWeb"/>
        <w:rPr>
          <w:b/>
          <w:bCs/>
        </w:rPr>
      </w:pPr>
      <w:r w:rsidRPr="00CC2065">
        <w:rPr>
          <w:b/>
          <w:bCs/>
        </w:rPr>
        <w:t>Legal Lesson Learned:</w:t>
      </w:r>
      <w:r>
        <w:rPr>
          <w:b/>
          <w:bCs/>
        </w:rPr>
        <w:t xml:space="preserve"> Attorney-client privilege can be </w:t>
      </w:r>
      <w:proofErr w:type="spellStart"/>
      <w:r>
        <w:rPr>
          <w:b/>
          <w:bCs/>
        </w:rPr>
        <w:t>waved</w:t>
      </w:r>
      <w:proofErr w:type="spellEnd"/>
      <w:r>
        <w:rPr>
          <w:b/>
          <w:bCs/>
        </w:rPr>
        <w:t xml:space="preserve"> by the client calling the attorney as a witness in civil trial. </w:t>
      </w:r>
    </w:p>
    <w:p w14:paraId="12B55DAD" w14:textId="77777777" w:rsidR="00AE32D3" w:rsidRDefault="00AE32D3" w:rsidP="002B1283">
      <w:pPr>
        <w:rPr>
          <w:rStyle w:val="Hyperlink"/>
          <w:rFonts w:ascii="Arial Black" w:hAnsi="Arial Black"/>
          <w:b/>
          <w:color w:val="auto"/>
          <w:sz w:val="24"/>
          <w:szCs w:val="24"/>
          <w:u w:val="none"/>
        </w:rPr>
      </w:pPr>
    </w:p>
    <w:p w14:paraId="59B2EAA9" w14:textId="77777777" w:rsidR="00AE32D3" w:rsidRDefault="00AE32D3" w:rsidP="002B1283">
      <w:pPr>
        <w:rPr>
          <w:rStyle w:val="Hyperlink"/>
          <w:rFonts w:ascii="Arial Black" w:hAnsi="Arial Black"/>
          <w:b/>
          <w:color w:val="auto"/>
          <w:sz w:val="24"/>
          <w:szCs w:val="24"/>
          <w:u w:val="none"/>
        </w:rPr>
      </w:pPr>
    </w:p>
    <w:p w14:paraId="3DC10F41" w14:textId="77777777" w:rsidR="00AE32D3" w:rsidRDefault="00AE32D3" w:rsidP="002B1283">
      <w:pPr>
        <w:rPr>
          <w:rStyle w:val="Hyperlink"/>
          <w:rFonts w:ascii="Arial Black" w:hAnsi="Arial Black"/>
          <w:b/>
          <w:color w:val="auto"/>
          <w:sz w:val="24"/>
          <w:szCs w:val="24"/>
          <w:u w:val="none"/>
        </w:rPr>
      </w:pPr>
    </w:p>
    <w:p w14:paraId="275AB2D0" w14:textId="3FE13528" w:rsidR="006D2C51" w:rsidRDefault="006D2C51"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4-24</w:t>
      </w:r>
    </w:p>
    <w:p w14:paraId="08D680AE" w14:textId="77777777" w:rsidR="006D2C51" w:rsidRPr="00124990" w:rsidRDefault="006D2C51" w:rsidP="006D2C51">
      <w:pPr>
        <w:spacing w:before="100" w:beforeAutospacing="1" w:after="100" w:afterAutospacing="1" w:line="240" w:lineRule="auto"/>
        <w:rPr>
          <w:rFonts w:ascii="Arial Black" w:eastAsia="Times New Roman" w:hAnsi="Arial Black"/>
          <w:sz w:val="28"/>
          <w:szCs w:val="28"/>
        </w:rPr>
      </w:pPr>
      <w:r w:rsidRPr="00124990">
        <w:rPr>
          <w:rFonts w:ascii="Arial Black" w:eastAsia="Times New Roman" w:hAnsi="Arial Black"/>
          <w:sz w:val="28"/>
          <w:szCs w:val="28"/>
        </w:rPr>
        <w:t>CO: FOUR BYSTANDERS VIDEOTAPING POLICE - DUI TRAFFIC STOP – 10</w:t>
      </w:r>
      <w:r w:rsidRPr="00124990">
        <w:rPr>
          <w:rFonts w:ascii="Arial Black" w:eastAsia="Times New Roman" w:hAnsi="Arial Black"/>
          <w:sz w:val="28"/>
          <w:szCs w:val="28"/>
          <w:vertAlign w:val="superscript"/>
        </w:rPr>
        <w:t>th</w:t>
      </w:r>
      <w:r w:rsidRPr="00124990">
        <w:rPr>
          <w:rFonts w:ascii="Arial Black" w:eastAsia="Times New Roman" w:hAnsi="Arial Black"/>
          <w:sz w:val="28"/>
          <w:szCs w:val="28"/>
        </w:rPr>
        <w:t xml:space="preserve"> CIRCUIT LAWFUL – ALSO 7 OTHER CIR. </w:t>
      </w:r>
    </w:p>
    <w:p w14:paraId="28134843" w14:textId="77777777" w:rsidR="006D2C51" w:rsidRPr="00E277BC" w:rsidRDefault="006D2C51" w:rsidP="006D2C51">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sz w:val="24"/>
          <w:szCs w:val="24"/>
        </w:rPr>
        <w:t xml:space="preserve">On July 11, 2022, in </w:t>
      </w:r>
      <w:r w:rsidRPr="0074781E">
        <w:rPr>
          <w:rFonts w:ascii="Times New Roman" w:eastAsia="Times New Roman" w:hAnsi="Times New Roman"/>
          <w:sz w:val="24"/>
          <w:szCs w:val="24"/>
          <w:u w:val="single"/>
        </w:rPr>
        <w:t>Abrade Irizarry v. A, Yehia</w:t>
      </w:r>
      <w:r>
        <w:rPr>
          <w:rFonts w:ascii="Times New Roman" w:eastAsia="Times New Roman" w:hAnsi="Times New Roman"/>
          <w:sz w:val="24"/>
          <w:szCs w:val="24"/>
        </w:rPr>
        <w:t>, the U.S. Court of Appeals for the 10</w:t>
      </w:r>
      <w:r w:rsidRPr="0074781E">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(Denver, CO) held (3 to 0) that U.S. District Court judge improper dismissed the pro se [had no attorney] lawsuit filed by a “</w:t>
      </w:r>
      <w:proofErr w:type="spellStart"/>
      <w:r>
        <w:rPr>
          <w:rFonts w:ascii="Times New Roman" w:eastAsia="Times New Roman" w:hAnsi="Times New Roman"/>
          <w:sz w:val="24"/>
          <w:szCs w:val="24"/>
        </w:rPr>
        <w:t>Youtube</w:t>
      </w:r>
      <w:proofErr w:type="spellEnd"/>
      <w:r>
        <w:rPr>
          <w:rFonts w:ascii="Times New Roman" w:eastAsia="Times New Roman" w:hAnsi="Times New Roman"/>
          <w:sz w:val="24"/>
          <w:szCs w:val="24"/>
        </w:rPr>
        <w:t xml:space="preserve"> journalist” against a City of Lakewood police officer, </w:t>
      </w:r>
      <w:r w:rsidRPr="00B31C59">
        <w:rPr>
          <w:rFonts w:ascii="Times New Roman" w:hAnsi="Times New Roman"/>
          <w:sz w:val="24"/>
          <w:szCs w:val="24"/>
        </w:rPr>
        <w:t>Ahmed Yehia</w:t>
      </w:r>
      <w:r>
        <w:rPr>
          <w:rFonts w:ascii="Times New Roman" w:hAnsi="Times New Roman"/>
          <w:sz w:val="24"/>
          <w:szCs w:val="24"/>
        </w:rPr>
        <w:t>, alleging violation of First Amendment to U.S. Constitution.</w:t>
      </w:r>
      <w:r>
        <w:rPr>
          <w:rFonts w:ascii="Times New Roman" w:eastAsia="Times New Roman" w:hAnsi="Times New Roman"/>
          <w:sz w:val="24"/>
          <w:szCs w:val="24"/>
        </w:rPr>
        <w:t xml:space="preserve">  The lawsuit alleges the officer shinned his flashlight into the camera lens of four males videotaping on their cell phones a DUI traffic stop, positioned himself to block their view, </w:t>
      </w:r>
      <w:proofErr w:type="gramStart"/>
      <w:r>
        <w:rPr>
          <w:rFonts w:ascii="Times New Roman" w:eastAsia="Times New Roman" w:hAnsi="Times New Roman"/>
          <w:sz w:val="24"/>
          <w:szCs w:val="24"/>
        </w:rPr>
        <w:t>and also</w:t>
      </w:r>
      <w:proofErr w:type="gramEnd"/>
      <w:r>
        <w:rPr>
          <w:rFonts w:ascii="Times New Roman" w:eastAsia="Times New Roman" w:hAnsi="Times New Roman"/>
          <w:sz w:val="24"/>
          <w:szCs w:val="24"/>
        </w:rPr>
        <w:t xml:space="preserve"> got back in his cruiser and drove directly at the videographers, turning on his blast horn. The lawsuit against Officer Yehia will now proceed to pre-trial discovery.  </w:t>
      </w:r>
      <w:r w:rsidRPr="00B31C59">
        <w:rPr>
          <w:rFonts w:ascii="Times New Roman" w:hAnsi="Times New Roman"/>
          <w:sz w:val="24"/>
          <w:szCs w:val="24"/>
        </w:rPr>
        <w:t>“Mr. Irizarry’s right to film the police falls squarely within the First Amendment’s core purposes to protect free and robust discussion of public affairs, hold government officials accountable, and check abuse of power.”</w:t>
      </w:r>
      <w:r>
        <w:rPr>
          <w:rFonts w:ascii="Times New Roman" w:hAnsi="Times New Roman"/>
          <w:sz w:val="24"/>
          <w:szCs w:val="24"/>
        </w:rPr>
        <w:t xml:space="preserve"> </w:t>
      </w:r>
      <w:hyperlink r:id="rId878" w:history="1">
        <w:r w:rsidRPr="00355029">
          <w:rPr>
            <w:rStyle w:val="Hyperlink"/>
            <w:rFonts w:ascii="Times New Roman" w:hAnsi="Times New Roman"/>
            <w:sz w:val="24"/>
            <w:szCs w:val="24"/>
          </w:rPr>
          <w:t>https://www.eff.org/files/2022/07/11/2022-07-11_-_tenth_circuit_-_irizarry_v_yehia.pdf</w:t>
        </w:r>
      </w:hyperlink>
      <w:r>
        <w:rPr>
          <w:rStyle w:val="markedcontent"/>
          <w:rFonts w:ascii="Times New Roman" w:hAnsi="Times New Roman"/>
          <w:sz w:val="24"/>
          <w:szCs w:val="24"/>
        </w:rPr>
        <w:t xml:space="preserve"> </w:t>
      </w:r>
    </w:p>
    <w:p w14:paraId="58292654" w14:textId="77777777" w:rsidR="006D2C51" w:rsidRDefault="006D2C51" w:rsidP="006D2C51">
      <w:pPr>
        <w:spacing w:before="100" w:beforeAutospacing="1" w:after="100" w:afterAutospacing="1" w:line="240" w:lineRule="auto"/>
        <w:rPr>
          <w:rStyle w:val="markedcontent"/>
          <w:rFonts w:ascii="Times New Roman" w:hAnsi="Times New Roman"/>
          <w:b/>
          <w:bCs/>
          <w:sz w:val="24"/>
          <w:szCs w:val="24"/>
        </w:rPr>
      </w:pPr>
      <w:r w:rsidRPr="003E5A4B">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Fire &amp; EMS likewise cannot prohibit videotaping their conduct at a public location; but you may take reasonable steps to protect the privacy of patients [such as holding up bed sheet when loading into ambulance]. </w:t>
      </w:r>
    </w:p>
    <w:p w14:paraId="3DB0580E" w14:textId="77777777" w:rsidR="006D2C51" w:rsidRPr="008C241B" w:rsidRDefault="006D2C51" w:rsidP="006D2C51">
      <w:pPr>
        <w:spacing w:before="100" w:beforeAutospacing="1" w:after="100" w:afterAutospacing="1" w:line="240" w:lineRule="auto"/>
        <w:ind w:left="720"/>
        <w:rPr>
          <w:rFonts w:ascii="Times New Roman" w:hAnsi="Times New Roman"/>
          <w:sz w:val="24"/>
          <w:szCs w:val="24"/>
        </w:rPr>
      </w:pPr>
      <w:r w:rsidRPr="008C241B">
        <w:rPr>
          <w:rStyle w:val="markedcontent"/>
          <w:rFonts w:ascii="Times New Roman" w:hAnsi="Times New Roman"/>
          <w:sz w:val="24"/>
          <w:szCs w:val="24"/>
        </w:rPr>
        <w:t xml:space="preserve">Note: See </w:t>
      </w:r>
      <w:r>
        <w:rPr>
          <w:rStyle w:val="markedcontent"/>
          <w:rFonts w:ascii="Times New Roman" w:hAnsi="Times New Roman"/>
          <w:sz w:val="24"/>
          <w:szCs w:val="24"/>
        </w:rPr>
        <w:t xml:space="preserve">July 12, </w:t>
      </w:r>
      <w:proofErr w:type="gramStart"/>
      <w:r>
        <w:rPr>
          <w:rStyle w:val="markedcontent"/>
          <w:rFonts w:ascii="Times New Roman" w:hAnsi="Times New Roman"/>
          <w:sz w:val="24"/>
          <w:szCs w:val="24"/>
        </w:rPr>
        <w:t>2022</w:t>
      </w:r>
      <w:proofErr w:type="gramEnd"/>
      <w:r>
        <w:rPr>
          <w:rStyle w:val="markedcontent"/>
          <w:rFonts w:ascii="Times New Roman" w:hAnsi="Times New Roman"/>
          <w:sz w:val="24"/>
          <w:szCs w:val="24"/>
        </w:rPr>
        <w:t xml:space="preserve"> </w:t>
      </w:r>
      <w:r w:rsidRPr="008C241B">
        <w:rPr>
          <w:rStyle w:val="markedcontent"/>
          <w:rFonts w:ascii="Times New Roman" w:hAnsi="Times New Roman"/>
          <w:sz w:val="24"/>
          <w:szCs w:val="24"/>
        </w:rPr>
        <w:t>article on this decision. “</w:t>
      </w:r>
      <w:r w:rsidRPr="008C241B">
        <w:rPr>
          <w:rFonts w:ascii="Times New Roman" w:hAnsi="Times New Roman"/>
          <w:sz w:val="24"/>
          <w:szCs w:val="24"/>
        </w:rPr>
        <w:t xml:space="preserve">10th Circuit Court of Appeals Upholds Public Right to Record Police.” </w:t>
      </w:r>
      <w:hyperlink r:id="rId879" w:history="1">
        <w:r w:rsidRPr="008C241B">
          <w:rPr>
            <w:rStyle w:val="Hyperlink"/>
            <w:rFonts w:ascii="Times New Roman" w:hAnsi="Times New Roman"/>
            <w:sz w:val="24"/>
            <w:szCs w:val="24"/>
          </w:rPr>
          <w:t>https://firstamendmentwatch.org/10th-circuit-court-of-appeals-upholds-public-right-to-record-police/</w:t>
        </w:r>
      </w:hyperlink>
      <w:r w:rsidRPr="008C241B">
        <w:rPr>
          <w:rFonts w:ascii="Times New Roman" w:hAnsi="Times New Roman"/>
          <w:sz w:val="24"/>
          <w:szCs w:val="24"/>
        </w:rPr>
        <w:t xml:space="preserve">.  “The </w:t>
      </w:r>
      <w:hyperlink r:id="rId880" w:tgtFrame="_blank" w:history="1">
        <w:r w:rsidRPr="008C241B">
          <w:rPr>
            <w:rStyle w:val="Hyperlink"/>
            <w:rFonts w:ascii="Times New Roman" w:hAnsi="Times New Roman"/>
            <w:sz w:val="24"/>
            <w:szCs w:val="24"/>
          </w:rPr>
          <w:t>U.S. Court of Appeals for the 10th Circuit</w:t>
        </w:r>
      </w:hyperlink>
      <w:r w:rsidRPr="008C241B">
        <w:rPr>
          <w:rFonts w:ascii="Times New Roman" w:hAnsi="Times New Roman"/>
          <w:sz w:val="24"/>
          <w:szCs w:val="24"/>
        </w:rPr>
        <w:t xml:space="preserve">, based in Denver, became the seventh federal appeals court to affirm there’s a First Amendment right to record the police performing their official duties in public.” </w:t>
      </w:r>
    </w:p>
    <w:p w14:paraId="312EEE5F" w14:textId="77777777" w:rsidR="006D2C51" w:rsidRPr="008C241B" w:rsidRDefault="006D2C51" w:rsidP="006D2C51">
      <w:pPr>
        <w:pStyle w:val="NormalWeb"/>
        <w:ind w:left="720"/>
      </w:pPr>
      <w:r w:rsidRPr="008C241B">
        <w:t xml:space="preserve">See also </w:t>
      </w:r>
      <w:r>
        <w:t xml:space="preserve">July 8, </w:t>
      </w:r>
      <w:proofErr w:type="gramStart"/>
      <w:r>
        <w:t>2022</w:t>
      </w:r>
      <w:proofErr w:type="gramEnd"/>
      <w:r>
        <w:t xml:space="preserve"> article, “</w:t>
      </w:r>
      <w:r w:rsidRPr="008C241B">
        <w:t xml:space="preserve">Arizona Governor Signs Bill to Restrict Recording Police in Public.”  “Arizona Gov. Douglas Ducey signed into law a bill that would make it illegal to photograph or record a police officer in public from </w:t>
      </w:r>
      <w:proofErr w:type="gramStart"/>
      <w:r w:rsidRPr="008C241B">
        <w:t>a distance of eight</w:t>
      </w:r>
      <w:proofErr w:type="gramEnd"/>
      <w:r w:rsidRPr="008C241B">
        <w:t xml:space="preserve"> feet without the officer’s permission. Controversial</w:t>
      </w:r>
      <w:hyperlink r:id="rId881" w:tgtFrame="_blank" w:history="1">
        <w:r w:rsidRPr="008C241B">
          <w:rPr>
            <w:rStyle w:val="Hyperlink"/>
            <w:rFonts w:eastAsiaTheme="majorEastAsia"/>
          </w:rPr>
          <w:t xml:space="preserve"> House Bill 2319</w:t>
        </w:r>
      </w:hyperlink>
      <w:r w:rsidRPr="008C241B">
        <w:t xml:space="preserve"> says if an individual is asked by the police to quit filming but continues to do so would face a Class 3 misdemeanor and up to 30 days in jail.” </w:t>
      </w:r>
      <w:hyperlink r:id="rId882" w:history="1">
        <w:r w:rsidRPr="008C241B">
          <w:rPr>
            <w:rStyle w:val="Hyperlink"/>
            <w:rFonts w:eastAsiaTheme="majorEastAsia"/>
          </w:rPr>
          <w:t>https://firstamendmentwatch.org/arizona-governor-signs-bill-to-restrict-recording-of-police-in-public/</w:t>
        </w:r>
      </w:hyperlink>
      <w:r w:rsidRPr="008C241B">
        <w:t xml:space="preserve">  </w:t>
      </w:r>
    </w:p>
    <w:p w14:paraId="2A138FA3" w14:textId="77777777" w:rsidR="006D2C51" w:rsidRDefault="006D2C51" w:rsidP="002B1283">
      <w:pPr>
        <w:rPr>
          <w:rStyle w:val="Hyperlink"/>
          <w:rFonts w:ascii="Arial Black" w:hAnsi="Arial Black"/>
          <w:b/>
          <w:color w:val="auto"/>
          <w:sz w:val="24"/>
          <w:szCs w:val="24"/>
          <w:u w:val="none"/>
        </w:rPr>
      </w:pPr>
    </w:p>
    <w:p w14:paraId="13F872A8" w14:textId="5D8A9F71" w:rsidR="003F4E70" w:rsidRDefault="003F4E70"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4-23</w:t>
      </w:r>
    </w:p>
    <w:p w14:paraId="2AFA1F86" w14:textId="77777777" w:rsidR="003F4E70" w:rsidRDefault="003F4E70" w:rsidP="003F4E7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STRUCTURE FIRE – MOTHER DEAD, TWO KIDS STILL TRAPPED – POLICE TACKLED MAN TRYING ENTER HOUSE</w:t>
      </w:r>
    </w:p>
    <w:p w14:paraId="649C31E3" w14:textId="589828AD" w:rsidR="003F4E70" w:rsidRDefault="003F4E70" w:rsidP="003F4E70">
      <w:pPr>
        <w:rPr>
          <w:rStyle w:val="Hyperlink"/>
          <w:rFonts w:ascii="Arial Black" w:hAnsi="Arial Black"/>
          <w:b/>
          <w:color w:val="auto"/>
          <w:sz w:val="24"/>
          <w:szCs w:val="24"/>
          <w:u w:val="none"/>
        </w:rPr>
      </w:pPr>
      <w:r w:rsidRPr="00641E3A">
        <w:rPr>
          <w:rFonts w:ascii="Times New Roman" w:eastAsia="Times New Roman" w:hAnsi="Times New Roman"/>
          <w:sz w:val="24"/>
          <w:szCs w:val="24"/>
        </w:rPr>
        <w:t>On</w:t>
      </w:r>
      <w:r>
        <w:rPr>
          <w:rFonts w:ascii="Times New Roman" w:eastAsia="Times New Roman" w:hAnsi="Times New Roman"/>
          <w:sz w:val="24"/>
          <w:szCs w:val="24"/>
        </w:rPr>
        <w:t xml:space="preserve"> May 6, 2022, in </w:t>
      </w:r>
      <w:r w:rsidRPr="00201F44">
        <w:rPr>
          <w:rFonts w:ascii="Times New Roman" w:eastAsia="Times New Roman" w:hAnsi="Times New Roman"/>
          <w:sz w:val="24"/>
          <w:szCs w:val="24"/>
          <w:u w:val="single"/>
        </w:rPr>
        <w:t>William F. Moss v. Gabe Schimp, et al</w:t>
      </w:r>
      <w:r>
        <w:rPr>
          <w:rFonts w:ascii="Times New Roman" w:eastAsia="Times New Roman" w:hAnsi="Times New Roman"/>
          <w:sz w:val="24"/>
          <w:szCs w:val="24"/>
        </w:rPr>
        <w:t xml:space="preserve">., U.S. Magistrate Judge Mark A. Beatty, U.S. District Court for Southern District of Illinois, held that the police officers who tackled the plaintiff to prevent him from entering the burning house enjoy qualified immunity. The plaintiff intentionally ignored the yellow scene tapes and the police officers command to stop. It is unfortunate that the police tackle led to </w:t>
      </w:r>
      <w:r w:rsidRPr="00201F44">
        <w:rPr>
          <w:rFonts w:ascii="Times New Roman" w:hAnsi="Times New Roman"/>
          <w:sz w:val="24"/>
          <w:szCs w:val="24"/>
        </w:rPr>
        <w:t>a quadriceps tendon tear in Moss's left knee</w:t>
      </w:r>
      <w:r>
        <w:rPr>
          <w:rFonts w:ascii="Times New Roman" w:hAnsi="Times New Roman"/>
          <w:sz w:val="24"/>
          <w:szCs w:val="24"/>
        </w:rPr>
        <w:t xml:space="preserve">, </w:t>
      </w:r>
      <w:r w:rsidRPr="00201F44">
        <w:rPr>
          <w:rFonts w:ascii="Times New Roman" w:hAnsi="Times New Roman"/>
          <w:sz w:val="24"/>
          <w:szCs w:val="24"/>
        </w:rPr>
        <w:t>a rupture of his right patellar tendon</w:t>
      </w:r>
      <w:r>
        <w:rPr>
          <w:rFonts w:ascii="Times New Roman" w:hAnsi="Times New Roman"/>
          <w:sz w:val="24"/>
          <w:szCs w:val="24"/>
        </w:rPr>
        <w:t>,</w:t>
      </w:r>
      <w:r w:rsidRPr="00201F44">
        <w:rPr>
          <w:rFonts w:ascii="Times New Roman" w:hAnsi="Times New Roman"/>
          <w:sz w:val="24"/>
          <w:szCs w:val="24"/>
        </w:rPr>
        <w:t xml:space="preserve"> and a rupture of his left quadriceps tendon</w:t>
      </w:r>
      <w:r>
        <w:rPr>
          <w:rFonts w:ascii="Times New Roman" w:hAnsi="Times New Roman"/>
          <w:sz w:val="24"/>
          <w:szCs w:val="24"/>
        </w:rPr>
        <w:t xml:space="preserve">, but the officers did not use excessive force. </w:t>
      </w:r>
      <w:hyperlink r:id="rId883" w:history="1">
        <w:r w:rsidRPr="00EF6688">
          <w:rPr>
            <w:rStyle w:val="Hyperlink"/>
            <w:rFonts w:ascii="Times New Roman" w:hAnsi="Times New Roman"/>
            <w:sz w:val="24"/>
            <w:szCs w:val="24"/>
          </w:rPr>
          <w:t>https://public.fastcase.com/waZtJvSA54UAurM2rmIZz%2BDBDza2Dcvrp2SE0zpDRm3uGB65hvSCPfK4VjLpx5do7UnCIAIPH2MB5FJFO94Wb3w6W7ePwbFST%2FncfNL0phQ%3D</w:t>
        </w:r>
      </w:hyperlink>
    </w:p>
    <w:p w14:paraId="5CDAC593" w14:textId="77777777" w:rsidR="003F4E70" w:rsidRPr="00641E3A" w:rsidRDefault="003F4E70" w:rsidP="003F4E70">
      <w:pPr>
        <w:spacing w:before="100" w:beforeAutospacing="1" w:after="100" w:afterAutospacing="1" w:line="240" w:lineRule="auto"/>
        <w:rPr>
          <w:rFonts w:ascii="Times New Roman" w:eastAsia="Times New Roman" w:hAnsi="Times New Roman"/>
          <w:b/>
          <w:bCs/>
          <w:sz w:val="24"/>
          <w:szCs w:val="24"/>
        </w:rPr>
      </w:pPr>
      <w:r w:rsidRPr="0069502A">
        <w:rPr>
          <w:rFonts w:ascii="Times New Roman" w:hAnsi="Times New Roman"/>
          <w:b/>
          <w:bCs/>
          <w:sz w:val="24"/>
          <w:szCs w:val="24"/>
        </w:rPr>
        <w:t>Legal Lesson Learned:</w:t>
      </w:r>
      <w:r>
        <w:rPr>
          <w:rFonts w:ascii="Times New Roman" w:hAnsi="Times New Roman"/>
          <w:b/>
          <w:bCs/>
          <w:sz w:val="24"/>
          <w:szCs w:val="24"/>
        </w:rPr>
        <w:t xml:space="preserve"> The police officers acted reasonably to protect the structure fire scene and are entitled to qualified immunity. </w:t>
      </w:r>
    </w:p>
    <w:p w14:paraId="19E2CA18" w14:textId="77777777" w:rsidR="003F4E70" w:rsidRDefault="003F4E70" w:rsidP="002B1283">
      <w:pPr>
        <w:rPr>
          <w:rStyle w:val="Hyperlink"/>
          <w:rFonts w:ascii="Arial Black" w:hAnsi="Arial Black"/>
          <w:b/>
          <w:color w:val="auto"/>
          <w:sz w:val="24"/>
          <w:szCs w:val="24"/>
          <w:u w:val="none"/>
        </w:rPr>
      </w:pPr>
    </w:p>
    <w:p w14:paraId="536F065A" w14:textId="77777777" w:rsidR="003F4E70" w:rsidRDefault="003F4E70" w:rsidP="002B1283">
      <w:pPr>
        <w:rPr>
          <w:rStyle w:val="Hyperlink"/>
          <w:rFonts w:ascii="Arial Black" w:hAnsi="Arial Black"/>
          <w:b/>
          <w:color w:val="auto"/>
          <w:sz w:val="24"/>
          <w:szCs w:val="24"/>
          <w:u w:val="none"/>
        </w:rPr>
      </w:pPr>
    </w:p>
    <w:p w14:paraId="169E00DC" w14:textId="2C6FADE5" w:rsidR="003F4E70" w:rsidRDefault="003F4E70"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4-22</w:t>
      </w:r>
    </w:p>
    <w:p w14:paraId="1D693F9E" w14:textId="77777777" w:rsidR="003F4E70" w:rsidRPr="00990853" w:rsidRDefault="003F4E70" w:rsidP="003F4E70">
      <w:pPr>
        <w:spacing w:before="100" w:beforeAutospacing="1" w:after="100" w:afterAutospacing="1" w:line="240" w:lineRule="auto"/>
        <w:rPr>
          <w:rFonts w:ascii="Arial Black" w:hAnsi="Arial Black"/>
          <w:b/>
          <w:bCs/>
          <w:sz w:val="28"/>
          <w:szCs w:val="28"/>
        </w:rPr>
      </w:pPr>
      <w:r>
        <w:rPr>
          <w:rFonts w:ascii="Arial Black" w:hAnsi="Arial Black"/>
          <w:sz w:val="28"/>
          <w:szCs w:val="28"/>
        </w:rPr>
        <w:t>ME: MENTAL RUNS INTO ICY WATER – DROWNED – PD WAITED FD BOAT - FF “KICK HIS ASS” – NO IMMUNITY</w:t>
      </w:r>
    </w:p>
    <w:p w14:paraId="3CE7ECED" w14:textId="69BA46F2" w:rsidR="003F4E70" w:rsidRDefault="003F4E70" w:rsidP="003F4E70">
      <w:pPr>
        <w:rPr>
          <w:rStyle w:val="Hyperlink"/>
          <w:rFonts w:ascii="Arial Black" w:hAnsi="Arial Black"/>
          <w:b/>
          <w:color w:val="auto"/>
          <w:sz w:val="24"/>
          <w:szCs w:val="24"/>
          <w:u w:val="none"/>
        </w:rPr>
      </w:pPr>
      <w:r>
        <w:rPr>
          <w:rFonts w:ascii="Times New Roman" w:hAnsi="Times New Roman"/>
          <w:sz w:val="24"/>
          <w:szCs w:val="24"/>
        </w:rPr>
        <w:t xml:space="preserve">On May 4, 2022, in </w:t>
      </w:r>
      <w:r w:rsidRPr="00990853">
        <w:rPr>
          <w:rFonts w:ascii="Times New Roman" w:hAnsi="Times New Roman"/>
          <w:sz w:val="24"/>
          <w:szCs w:val="24"/>
          <w:u w:val="single"/>
        </w:rPr>
        <w:t>John Cohen v. City of Portland, et al</w:t>
      </w:r>
      <w:r>
        <w:rPr>
          <w:rFonts w:ascii="Times New Roman" w:hAnsi="Times New Roman"/>
          <w:sz w:val="24"/>
          <w:szCs w:val="24"/>
        </w:rPr>
        <w:t xml:space="preserve">., U.S. District Court Judge Nancy Torresen, U.S. District Court for District of Maine, dismissed all the police officers who waited for a fire boat to assist in rescue of Eric Cohen, 25 (mental issues) who ran naked into the frigid, shallow waters of Back Cover and drowned after 25 minutes, but lawsuit may continue against the City for failure to train when responding to mental patient, and also against firefighter Ronald Giroux.  </w:t>
      </w:r>
      <w:r w:rsidRPr="00DC00A2">
        <w:rPr>
          <w:rFonts w:ascii="Times New Roman" w:hAnsi="Times New Roman"/>
          <w:sz w:val="24"/>
          <w:szCs w:val="24"/>
        </w:rPr>
        <w:t xml:space="preserve">According to the Complaint, Giroux shouted from the shore, “I will kick his ass if he comes out of the water.” </w:t>
      </w:r>
      <w:proofErr w:type="spellStart"/>
      <w:r w:rsidRPr="00DC00A2">
        <w:rPr>
          <w:rFonts w:ascii="Times New Roman" w:hAnsi="Times New Roman"/>
          <w:sz w:val="24"/>
          <w:szCs w:val="24"/>
        </w:rPr>
        <w:t>Compl</w:t>
      </w:r>
      <w:proofErr w:type="spellEnd"/>
      <w:r w:rsidRPr="00DC00A2">
        <w:rPr>
          <w:rFonts w:ascii="Times New Roman" w:hAnsi="Times New Roman"/>
          <w:sz w:val="24"/>
          <w:szCs w:val="24"/>
        </w:rPr>
        <w:t>. ¶ 26.</w:t>
      </w:r>
      <w:r>
        <w:rPr>
          <w:rFonts w:ascii="Times New Roman" w:hAnsi="Times New Roman"/>
          <w:sz w:val="24"/>
          <w:szCs w:val="24"/>
        </w:rPr>
        <w:t xml:space="preserve"> </w:t>
      </w:r>
      <w:r w:rsidRPr="00DC00A2">
        <w:rPr>
          <w:rFonts w:ascii="Times New Roman" w:hAnsi="Times New Roman"/>
          <w:sz w:val="24"/>
          <w:szCs w:val="24"/>
        </w:rPr>
        <w:t>Giroux's affirmative act, yelling a threat, enhanced the danger to Cohen</w:t>
      </w:r>
      <w:r>
        <w:rPr>
          <w:rFonts w:ascii="Times New Roman" w:hAnsi="Times New Roman"/>
          <w:sz w:val="24"/>
          <w:szCs w:val="24"/>
        </w:rPr>
        <w:t xml:space="preserve"> and may have contributed to his refusal to come out of the water.  </w:t>
      </w:r>
      <w:hyperlink r:id="rId884" w:history="1">
        <w:r w:rsidRPr="00600142">
          <w:rPr>
            <w:rStyle w:val="Hyperlink"/>
            <w:rFonts w:ascii="Times New Roman" w:hAnsi="Times New Roman"/>
            <w:sz w:val="24"/>
            <w:szCs w:val="24"/>
          </w:rPr>
          <w:t>https://public.fastcase.com/waZtJvSA54UAurM2rmIZzzd7nmMG05wthWSY4rh3YOX2SQqdjQ2bWm74KVsbZSPmzEoqJnKOxl0hCOa8LdPZAi50MjJV0MwcRqnMVHWnvKI%3D</w:t>
        </w:r>
      </w:hyperlink>
    </w:p>
    <w:p w14:paraId="446454C7" w14:textId="77777777" w:rsidR="003F4E70" w:rsidRDefault="003F4E70" w:rsidP="003F4E70">
      <w:pPr>
        <w:spacing w:before="100" w:beforeAutospacing="1" w:after="100" w:afterAutospacing="1" w:line="240" w:lineRule="auto"/>
        <w:jc w:val="both"/>
        <w:rPr>
          <w:rFonts w:ascii="Times New Roman" w:hAnsi="Times New Roman"/>
          <w:b/>
          <w:bCs/>
          <w:sz w:val="24"/>
          <w:szCs w:val="24"/>
        </w:rPr>
      </w:pPr>
      <w:r w:rsidRPr="00CC11A3">
        <w:rPr>
          <w:rFonts w:ascii="Times New Roman" w:hAnsi="Times New Roman"/>
          <w:b/>
          <w:bCs/>
          <w:sz w:val="24"/>
          <w:szCs w:val="24"/>
        </w:rPr>
        <w:t xml:space="preserve">Legal Lesson Learned: </w:t>
      </w:r>
      <w:r>
        <w:rPr>
          <w:rFonts w:ascii="Times New Roman" w:hAnsi="Times New Roman"/>
          <w:b/>
          <w:bCs/>
          <w:sz w:val="24"/>
          <w:szCs w:val="24"/>
        </w:rPr>
        <w:t xml:space="preserve">Terrible loss of life and the firefighter’s conduct is unacceptable. </w:t>
      </w:r>
    </w:p>
    <w:p w14:paraId="5815203F" w14:textId="77777777" w:rsidR="003F4E70" w:rsidRPr="00CC11A3" w:rsidRDefault="003F4E70" w:rsidP="003F4E70">
      <w:pPr>
        <w:pStyle w:val="Heading1"/>
        <w:ind w:left="720"/>
        <w:rPr>
          <w:b w:val="0"/>
          <w:bCs w:val="0"/>
          <w:sz w:val="24"/>
          <w:szCs w:val="24"/>
        </w:rPr>
      </w:pPr>
      <w:r>
        <w:rPr>
          <w:b w:val="0"/>
          <w:bCs w:val="0"/>
          <w:sz w:val="24"/>
          <w:szCs w:val="24"/>
        </w:rPr>
        <w:t>See negative press: (May 5, 2022) “</w:t>
      </w:r>
      <w:r w:rsidRPr="00CC11A3">
        <w:rPr>
          <w:b w:val="0"/>
          <w:bCs w:val="0"/>
          <w:sz w:val="24"/>
          <w:szCs w:val="24"/>
        </w:rPr>
        <w:t>Federal judge says wrongful death lawsuit against Portland firefighter can move forward</w:t>
      </w:r>
      <w:r>
        <w:rPr>
          <w:b w:val="0"/>
          <w:bCs w:val="0"/>
          <w:sz w:val="24"/>
          <w:szCs w:val="24"/>
        </w:rPr>
        <w:t xml:space="preserve">.” </w:t>
      </w:r>
      <w:hyperlink r:id="rId885" w:history="1">
        <w:r w:rsidRPr="00600142">
          <w:rPr>
            <w:rStyle w:val="Hyperlink"/>
            <w:b w:val="0"/>
            <w:bCs w:val="0"/>
            <w:sz w:val="24"/>
            <w:szCs w:val="24"/>
          </w:rPr>
          <w:t>https://www.newscentermaine.com/article/news/local/portland/judge-dismisses-wrongful-death-lawsuit-against-city-all-but-one-portland-police-officer-portland-mental-health/97-9cb6ef72-b53c-4614-9d60-2360cbcd1702</w:t>
        </w:r>
      </w:hyperlink>
      <w:r>
        <w:rPr>
          <w:b w:val="0"/>
          <w:bCs w:val="0"/>
          <w:sz w:val="24"/>
          <w:szCs w:val="24"/>
        </w:rPr>
        <w:t xml:space="preserve"> </w:t>
      </w:r>
    </w:p>
    <w:p w14:paraId="2D03189F" w14:textId="2DABD10C" w:rsidR="003F4E70" w:rsidRDefault="003F4E70" w:rsidP="002B1283">
      <w:pPr>
        <w:rPr>
          <w:rStyle w:val="Hyperlink"/>
          <w:rFonts w:ascii="Arial Black" w:hAnsi="Arial Black"/>
          <w:b/>
          <w:color w:val="auto"/>
          <w:sz w:val="24"/>
          <w:szCs w:val="24"/>
          <w:u w:val="none"/>
        </w:rPr>
      </w:pPr>
    </w:p>
    <w:p w14:paraId="337F87CF" w14:textId="3E89F0DB" w:rsidR="003F4E70" w:rsidRDefault="003F4E70" w:rsidP="002B1283">
      <w:pPr>
        <w:rPr>
          <w:rStyle w:val="Hyperlink"/>
          <w:rFonts w:ascii="Arial Black" w:hAnsi="Arial Black"/>
          <w:b/>
          <w:color w:val="auto"/>
          <w:sz w:val="24"/>
          <w:szCs w:val="24"/>
          <w:u w:val="none"/>
        </w:rPr>
      </w:pPr>
    </w:p>
    <w:p w14:paraId="4CE9E789" w14:textId="77777777" w:rsidR="003F4E70" w:rsidRDefault="003F4E70" w:rsidP="002B1283">
      <w:pPr>
        <w:rPr>
          <w:rStyle w:val="Hyperlink"/>
          <w:rFonts w:ascii="Arial Black" w:hAnsi="Arial Black"/>
          <w:b/>
          <w:color w:val="auto"/>
          <w:sz w:val="24"/>
          <w:szCs w:val="24"/>
          <w:u w:val="none"/>
        </w:rPr>
      </w:pPr>
    </w:p>
    <w:p w14:paraId="42C80795" w14:textId="4693BE94" w:rsidR="003F4E70" w:rsidRDefault="003F4E70"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4-21</w:t>
      </w:r>
    </w:p>
    <w:p w14:paraId="2370EE82" w14:textId="77777777" w:rsidR="003F4E70" w:rsidRPr="005C6980" w:rsidRDefault="003F4E70" w:rsidP="003F4E7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CA: U.S. FOREST SERVICE – KINGS CANYON LODGE – IC DISCRETION ON RESOURCES - GOVERNMENTAL IMMUNITY</w:t>
      </w:r>
    </w:p>
    <w:p w14:paraId="3E7AB749" w14:textId="77777777" w:rsidR="003F4E70" w:rsidRDefault="003F4E70" w:rsidP="003F4E70">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April 12, 2022, in </w:t>
      </w:r>
      <w:r w:rsidRPr="005C6980">
        <w:rPr>
          <w:rFonts w:ascii="Times New Roman" w:eastAsia="Times New Roman" w:hAnsi="Times New Roman"/>
          <w:sz w:val="24"/>
          <w:szCs w:val="24"/>
          <w:u w:val="single"/>
        </w:rPr>
        <w:t>Lewis D. Evans and Carla S. Evans v. United States</w:t>
      </w:r>
      <w:r>
        <w:rPr>
          <w:rFonts w:ascii="Times New Roman" w:eastAsia="Times New Roman" w:hAnsi="Times New Roman"/>
          <w:sz w:val="24"/>
          <w:szCs w:val="24"/>
        </w:rPr>
        <w:t xml:space="preserve">, U.S. District Court Judge, Eastern District of California (Fresno), granted defense motion for summary judgment since under the Federal Tort Claims Act the government enjoys immunity for discretionary decisions that implicate public policy concerns, including incident command decisions when fighting forest fires. </w:t>
      </w:r>
      <w:r w:rsidRPr="008C18ED">
        <w:rPr>
          <w:rFonts w:ascii="Times New Roman" w:hAnsi="Times New Roman"/>
          <w:sz w:val="24"/>
          <w:szCs w:val="24"/>
        </w:rPr>
        <w:t xml:space="preserve">The Rough Fire </w:t>
      </w:r>
      <w:r>
        <w:rPr>
          <w:rFonts w:ascii="Times New Roman" w:hAnsi="Times New Roman"/>
          <w:sz w:val="24"/>
          <w:szCs w:val="24"/>
        </w:rPr>
        <w:t xml:space="preserve">started </w:t>
      </w:r>
      <w:r w:rsidRPr="008C18ED">
        <w:rPr>
          <w:rFonts w:ascii="Times New Roman" w:hAnsi="Times New Roman"/>
          <w:sz w:val="24"/>
          <w:szCs w:val="24"/>
        </w:rPr>
        <w:t>in July 2015 in the Sierra National Forest</w:t>
      </w:r>
      <w:r>
        <w:rPr>
          <w:rFonts w:ascii="Times New Roman" w:hAnsi="Times New Roman"/>
          <w:sz w:val="24"/>
          <w:szCs w:val="24"/>
        </w:rPr>
        <w:t>; p</w:t>
      </w:r>
      <w:r w:rsidRPr="008C18ED">
        <w:rPr>
          <w:rFonts w:ascii="Times New Roman" w:hAnsi="Times New Roman"/>
          <w:sz w:val="24"/>
          <w:szCs w:val="24"/>
        </w:rPr>
        <w:t>laintiffs owned the Kings Canyon Lodge in the Sierra National Forest, located at a bend in Highway 180, near the 10-Mile Creek</w:t>
      </w:r>
      <w:r>
        <w:rPr>
          <w:rFonts w:ascii="Times New Roman" w:hAnsi="Times New Roman"/>
          <w:sz w:val="24"/>
          <w:szCs w:val="24"/>
        </w:rPr>
        <w:t xml:space="preserve">; the fire </w:t>
      </w:r>
      <w:r w:rsidRPr="008C18ED">
        <w:rPr>
          <w:rFonts w:ascii="Times New Roman" w:hAnsi="Times New Roman"/>
          <w:sz w:val="24"/>
          <w:szCs w:val="24"/>
        </w:rPr>
        <w:t xml:space="preserve">burned more than 140, 000 acres before it was contained in September 2015. </w:t>
      </w:r>
      <w:hyperlink r:id="rId886" w:history="1">
        <w:r w:rsidRPr="00463170">
          <w:rPr>
            <w:rStyle w:val="Hyperlink"/>
            <w:rFonts w:ascii="Times New Roman" w:hAnsi="Times New Roman"/>
            <w:sz w:val="24"/>
            <w:szCs w:val="24"/>
          </w:rPr>
          <w:t>https://public.fastcase.com/waZtJvSA54UAurM2rmIZz7W%2FsumOmHJRMxx6Xd%2FRMYm%2FGY4cQ9ojWggecoIy6%2FUeVcPjYVPSLOvPb0MEmsZAQF%2FZtsixbezDD9jmkmDKasM%3D</w:t>
        </w:r>
      </w:hyperlink>
      <w:r>
        <w:rPr>
          <w:rFonts w:ascii="Times New Roman" w:hAnsi="Times New Roman"/>
          <w:sz w:val="24"/>
          <w:szCs w:val="24"/>
        </w:rPr>
        <w:t xml:space="preserve"> </w:t>
      </w:r>
    </w:p>
    <w:p w14:paraId="59C2AC64" w14:textId="77777777" w:rsidR="003F4E70" w:rsidRDefault="003F4E70" w:rsidP="003F4E70">
      <w:pPr>
        <w:spacing w:before="100" w:beforeAutospacing="1" w:after="100" w:afterAutospacing="1" w:line="240" w:lineRule="auto"/>
        <w:rPr>
          <w:rFonts w:ascii="Times New Roman" w:hAnsi="Times New Roman"/>
          <w:b/>
          <w:bCs/>
          <w:sz w:val="24"/>
          <w:szCs w:val="24"/>
        </w:rPr>
      </w:pPr>
      <w:r w:rsidRPr="008C18ED">
        <w:rPr>
          <w:rFonts w:ascii="Times New Roman" w:hAnsi="Times New Roman"/>
          <w:b/>
          <w:bCs/>
          <w:sz w:val="24"/>
          <w:szCs w:val="24"/>
        </w:rPr>
        <w:t xml:space="preserve">Legal Lesson Learned: </w:t>
      </w:r>
      <w:r>
        <w:rPr>
          <w:rFonts w:ascii="Times New Roman" w:hAnsi="Times New Roman"/>
          <w:b/>
          <w:bCs/>
          <w:sz w:val="24"/>
          <w:szCs w:val="24"/>
        </w:rPr>
        <w:t xml:space="preserve"> U.S. Government and Forest Service incident commanders enjoy immunity for discretionary decisions. </w:t>
      </w:r>
    </w:p>
    <w:p w14:paraId="1E662092" w14:textId="77777777" w:rsidR="003F4E70" w:rsidRDefault="003F4E70" w:rsidP="002B1283">
      <w:pPr>
        <w:rPr>
          <w:rStyle w:val="Hyperlink"/>
          <w:rFonts w:ascii="Arial Black" w:hAnsi="Arial Black"/>
          <w:b/>
          <w:color w:val="auto"/>
          <w:sz w:val="24"/>
          <w:szCs w:val="24"/>
          <w:u w:val="none"/>
        </w:rPr>
      </w:pPr>
    </w:p>
    <w:p w14:paraId="06C87DC9" w14:textId="77777777" w:rsidR="003F4E70" w:rsidRDefault="003F4E70" w:rsidP="002B1283">
      <w:pPr>
        <w:rPr>
          <w:rStyle w:val="Hyperlink"/>
          <w:rFonts w:ascii="Arial Black" w:hAnsi="Arial Black"/>
          <w:b/>
          <w:color w:val="auto"/>
          <w:sz w:val="24"/>
          <w:szCs w:val="24"/>
          <w:u w:val="none"/>
        </w:rPr>
      </w:pPr>
    </w:p>
    <w:p w14:paraId="30385159" w14:textId="0ED7C5B6" w:rsidR="00B5724A" w:rsidRDefault="00B5724A"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4-20</w:t>
      </w:r>
    </w:p>
    <w:p w14:paraId="485153B7" w14:textId="66084CB3" w:rsidR="00B5724A" w:rsidRPr="00FD7A7A" w:rsidRDefault="00B5724A" w:rsidP="00B5724A">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MI: INCIDENT COMMANDER IMMUNITY – HOUSE FIRE – BODY </w:t>
      </w:r>
      <w:proofErr w:type="gramStart"/>
      <w:r w:rsidR="003D367F">
        <w:rPr>
          <w:rFonts w:ascii="Arial Black" w:hAnsi="Arial Black"/>
          <w:sz w:val="28"/>
          <w:szCs w:val="28"/>
        </w:rPr>
        <w:t>26-YEAR OLD</w:t>
      </w:r>
      <w:proofErr w:type="gramEnd"/>
      <w:r w:rsidR="003D367F">
        <w:rPr>
          <w:rFonts w:ascii="Arial Black" w:hAnsi="Arial Black"/>
          <w:sz w:val="28"/>
          <w:szCs w:val="28"/>
        </w:rPr>
        <w:t xml:space="preserve"> </w:t>
      </w:r>
      <w:r>
        <w:rPr>
          <w:rFonts w:ascii="Arial Black" w:hAnsi="Arial Black"/>
          <w:sz w:val="28"/>
          <w:szCs w:val="28"/>
        </w:rPr>
        <w:t>NOT FOUND 5 DAYS - NO GROSS NEGLIGENCE</w:t>
      </w:r>
    </w:p>
    <w:p w14:paraId="709D6028" w14:textId="77777777" w:rsidR="00D7606A" w:rsidRPr="00B03BDA" w:rsidRDefault="00B5724A" w:rsidP="00D7606A">
      <w:pPr>
        <w:spacing w:before="100" w:beforeAutospacing="1" w:after="100" w:afterAutospacing="1" w:line="240" w:lineRule="auto"/>
        <w:rPr>
          <w:rFonts w:ascii="Times New Roman" w:hAnsi="Times New Roman"/>
          <w:sz w:val="24"/>
          <w:szCs w:val="24"/>
        </w:rPr>
      </w:pPr>
      <w:r w:rsidRPr="00792FBA">
        <w:rPr>
          <w:rFonts w:ascii="Times New Roman" w:hAnsi="Times New Roman"/>
          <w:sz w:val="24"/>
          <w:szCs w:val="24"/>
        </w:rPr>
        <w:t xml:space="preserve">On Dec. 21, 2021, in </w:t>
      </w:r>
      <w:r w:rsidRPr="00792FBA">
        <w:rPr>
          <w:rFonts w:ascii="Times New Roman" w:hAnsi="Times New Roman"/>
          <w:sz w:val="24"/>
          <w:szCs w:val="24"/>
          <w:u w:val="single"/>
        </w:rPr>
        <w:t>Kelly Dougherty, individually and personal representative of the estate of Kevin McGriff, Jr. v. City of Detroit, Detroit Fire Department and Sergeant Roger Harper</w:t>
      </w:r>
      <w:r w:rsidRPr="00792FBA">
        <w:rPr>
          <w:rFonts w:ascii="Times New Roman" w:hAnsi="Times New Roman"/>
          <w:sz w:val="24"/>
          <w:szCs w:val="24"/>
        </w:rPr>
        <w:t xml:space="preserve">, the Court of Appeals of Michigan held (3 to 0) that trial court should have granted Sergeant Harper’s motion to dismiss under the Michigan Governmental Tort Liability Act (GTLA), since his </w:t>
      </w:r>
      <w:r>
        <w:rPr>
          <w:rFonts w:ascii="Times New Roman" w:hAnsi="Times New Roman"/>
          <w:sz w:val="24"/>
          <w:szCs w:val="24"/>
        </w:rPr>
        <w:t>conduct did not “</w:t>
      </w:r>
      <w:r w:rsidRPr="00EC63CD">
        <w:rPr>
          <w:rFonts w:ascii="Times New Roman" w:hAnsi="Times New Roman"/>
          <w:sz w:val="24"/>
          <w:szCs w:val="24"/>
        </w:rPr>
        <w:t>amount to gross negligence that is the proximate cause of the injury or damage.</w:t>
      </w:r>
      <w:r>
        <w:rPr>
          <w:rFonts w:ascii="Times New Roman" w:hAnsi="Times New Roman"/>
          <w:sz w:val="24"/>
          <w:szCs w:val="24"/>
        </w:rPr>
        <w:t xml:space="preserve">”  The </w:t>
      </w:r>
      <w:proofErr w:type="gramStart"/>
      <w:r>
        <w:rPr>
          <w:rFonts w:ascii="Times New Roman" w:hAnsi="Times New Roman"/>
          <w:sz w:val="24"/>
          <w:szCs w:val="24"/>
        </w:rPr>
        <w:t>City</w:t>
      </w:r>
      <w:proofErr w:type="gramEnd"/>
      <w:r>
        <w:rPr>
          <w:rFonts w:ascii="Times New Roman" w:hAnsi="Times New Roman"/>
          <w:sz w:val="24"/>
          <w:szCs w:val="24"/>
        </w:rPr>
        <w:t xml:space="preserve"> and the FD were previously granted summary judgment under the GTLA. </w:t>
      </w:r>
      <w:hyperlink r:id="rId887" w:history="1">
        <w:r w:rsidR="00D7606A" w:rsidRPr="00EC5853">
          <w:rPr>
            <w:rStyle w:val="Hyperlink"/>
            <w:rFonts w:ascii="Times New Roman" w:hAnsi="Times New Roman"/>
            <w:sz w:val="24"/>
            <w:szCs w:val="24"/>
          </w:rPr>
          <w:t>https://casetext.com/case/dougherty-v-city-of-detroit</w:t>
        </w:r>
      </w:hyperlink>
      <w:r w:rsidR="00D7606A">
        <w:rPr>
          <w:rFonts w:ascii="Times New Roman" w:hAnsi="Times New Roman"/>
          <w:sz w:val="24"/>
          <w:szCs w:val="24"/>
        </w:rPr>
        <w:t xml:space="preserve"> </w:t>
      </w:r>
    </w:p>
    <w:p w14:paraId="73056C31" w14:textId="4D6EFAA9" w:rsidR="00B5724A" w:rsidRPr="00737BB4" w:rsidRDefault="00D7606A" w:rsidP="00B5724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THE COURT HELD:</w:t>
      </w:r>
    </w:p>
    <w:p w14:paraId="32149667" w14:textId="77777777" w:rsidR="00B5724A" w:rsidRPr="00B03BDA" w:rsidRDefault="00B5724A" w:rsidP="00B5724A">
      <w:pPr>
        <w:spacing w:before="100" w:beforeAutospacing="1" w:after="100" w:afterAutospacing="1" w:line="240" w:lineRule="auto"/>
        <w:ind w:left="720"/>
        <w:rPr>
          <w:rFonts w:ascii="Times New Roman" w:hAnsi="Times New Roman"/>
          <w:sz w:val="24"/>
          <w:szCs w:val="24"/>
        </w:rPr>
      </w:pPr>
      <w:r w:rsidRPr="008F73CD">
        <w:rPr>
          <w:rFonts w:ascii="Times New Roman" w:hAnsi="Times New Roman"/>
          <w:sz w:val="24"/>
          <w:szCs w:val="24"/>
        </w:rPr>
        <w:t>“</w:t>
      </w:r>
      <w:r>
        <w:rPr>
          <w:rFonts w:ascii="Times New Roman" w:hAnsi="Times New Roman"/>
          <w:sz w:val="24"/>
          <w:szCs w:val="24"/>
        </w:rPr>
        <w:t>[W]</w:t>
      </w:r>
      <w:r w:rsidRPr="008F73CD">
        <w:rPr>
          <w:rFonts w:ascii="Times New Roman" w:hAnsi="Times New Roman"/>
          <w:sz w:val="24"/>
          <w:szCs w:val="24"/>
        </w:rPr>
        <w:t>we think it is too heavy a burden to impose an affirmative duty on firefighters to ensure the survival of individuals that are unobservable at the scene of a fire</w:t>
      </w:r>
      <w:r>
        <w:rPr>
          <w:rFonts w:ascii="Times New Roman" w:hAnsi="Times New Roman"/>
          <w:sz w:val="24"/>
          <w:szCs w:val="24"/>
        </w:rPr>
        <w:t>….</w:t>
      </w:r>
      <w:r w:rsidRPr="008F73CD">
        <w:rPr>
          <w:rFonts w:ascii="Times New Roman" w:hAnsi="Times New Roman"/>
          <w:sz w:val="24"/>
          <w:szCs w:val="24"/>
        </w:rPr>
        <w:t xml:space="preserve"> As defendant pointed out, imposing such a broad duty that places personal liability on firefighters not only contradicts established law, but could also have a chilling effect on recruitment of firefighters. Similarly, this enhanced burden would alter how long a firefighter must remain in a fire-compromised building, thereby jeopardizing his or her own safety and the safety of his or her crew</w:t>
      </w:r>
      <w:r>
        <w:rPr>
          <w:rFonts w:ascii="Times New Roman" w:hAnsi="Times New Roman"/>
          <w:sz w:val="24"/>
          <w:szCs w:val="24"/>
        </w:rPr>
        <w:t xml:space="preserve">…. </w:t>
      </w:r>
      <w:r w:rsidRPr="008F73CD">
        <w:rPr>
          <w:rFonts w:ascii="Times New Roman" w:hAnsi="Times New Roman"/>
          <w:sz w:val="24"/>
          <w:szCs w:val="24"/>
        </w:rPr>
        <w:t>We see no reason to impose an affirmative duty on firefighters requiring them to ensure the survival of individuals, who firefighters are unaware that exist, and cannot be located despite numerous searches of an area.</w:t>
      </w:r>
      <w:r>
        <w:rPr>
          <w:rFonts w:ascii="Times New Roman" w:hAnsi="Times New Roman"/>
          <w:sz w:val="24"/>
          <w:szCs w:val="24"/>
        </w:rPr>
        <w:t xml:space="preserve">” </w:t>
      </w:r>
      <w:hyperlink r:id="rId888" w:history="1">
        <w:r w:rsidRPr="00EC5853">
          <w:rPr>
            <w:rStyle w:val="Hyperlink"/>
            <w:rFonts w:ascii="Times New Roman" w:hAnsi="Times New Roman"/>
            <w:sz w:val="24"/>
            <w:szCs w:val="24"/>
          </w:rPr>
          <w:t>https://casetext.com/case/dougherty-v-city-of-detroit</w:t>
        </w:r>
      </w:hyperlink>
      <w:r>
        <w:rPr>
          <w:rFonts w:ascii="Times New Roman" w:hAnsi="Times New Roman"/>
          <w:sz w:val="24"/>
          <w:szCs w:val="24"/>
        </w:rPr>
        <w:t xml:space="preserve"> </w:t>
      </w:r>
    </w:p>
    <w:p w14:paraId="33E21782" w14:textId="77777777" w:rsidR="00B5724A" w:rsidRPr="0099025C" w:rsidRDefault="00B5724A" w:rsidP="00B5724A">
      <w:pPr>
        <w:rPr>
          <w:rFonts w:ascii="Times New Roman" w:hAnsi="Times New Roman"/>
          <w:b/>
          <w:bCs/>
          <w:sz w:val="24"/>
          <w:szCs w:val="24"/>
        </w:rPr>
      </w:pPr>
      <w:r w:rsidRPr="0099025C">
        <w:rPr>
          <w:rFonts w:ascii="Times New Roman" w:hAnsi="Times New Roman"/>
          <w:b/>
          <w:bCs/>
          <w:sz w:val="24"/>
          <w:szCs w:val="24"/>
        </w:rPr>
        <w:t xml:space="preserve">Legal Lesson Learned: Michigan governmental tort liability act protects Incident Commanders from personal liability unless proof of gross negligence. </w:t>
      </w:r>
    </w:p>
    <w:p w14:paraId="03ACA62E" w14:textId="77777777" w:rsidR="00B5724A" w:rsidRDefault="00B5724A" w:rsidP="00B5724A">
      <w:pPr>
        <w:spacing w:line="240" w:lineRule="auto"/>
        <w:ind w:left="720"/>
        <w:rPr>
          <w:rFonts w:ascii="Times New Roman" w:hAnsi="Times New Roman"/>
          <w:sz w:val="24"/>
          <w:szCs w:val="24"/>
        </w:rPr>
      </w:pPr>
      <w:r>
        <w:rPr>
          <w:rFonts w:ascii="Times New Roman" w:hAnsi="Times New Roman"/>
          <w:sz w:val="24"/>
          <w:szCs w:val="24"/>
        </w:rPr>
        <w:t xml:space="preserve">Note: </w:t>
      </w:r>
      <w:r w:rsidRPr="00A7354D">
        <w:rPr>
          <w:rFonts w:ascii="Times New Roman" w:hAnsi="Times New Roman"/>
          <w:sz w:val="24"/>
          <w:szCs w:val="24"/>
        </w:rPr>
        <w:t xml:space="preserve">Ohio Revised Code, Section 2744.03, </w:t>
      </w:r>
      <w:r>
        <w:rPr>
          <w:rFonts w:ascii="Times New Roman" w:hAnsi="Times New Roman"/>
          <w:sz w:val="24"/>
          <w:szCs w:val="24"/>
        </w:rPr>
        <w:t xml:space="preserve">Defenses – Immunities, </w:t>
      </w:r>
      <w:hyperlink r:id="rId889" w:history="1">
        <w:r w:rsidRPr="00F9132E">
          <w:rPr>
            <w:rFonts w:ascii="Times New Roman" w:hAnsi="Times New Roman"/>
            <w:sz w:val="24"/>
            <w:szCs w:val="24"/>
          </w:rPr>
          <w:t>https://codes.ohio.gov/ohio-revised-code/section-2744.03</w:t>
        </w:r>
      </w:hyperlink>
      <w:r>
        <w:rPr>
          <w:rFonts w:ascii="Times New Roman" w:hAnsi="Times New Roman"/>
          <w:sz w:val="24"/>
          <w:szCs w:val="24"/>
        </w:rPr>
        <w:t xml:space="preserve">  </w:t>
      </w:r>
    </w:p>
    <w:p w14:paraId="116FDEEC" w14:textId="77777777" w:rsidR="00B5724A" w:rsidRPr="0099025C" w:rsidRDefault="00B5724A" w:rsidP="00B5724A">
      <w:pPr>
        <w:ind w:left="720"/>
        <w:rPr>
          <w:rFonts w:ascii="Times New Roman" w:hAnsi="Times New Roman"/>
          <w:sz w:val="24"/>
          <w:szCs w:val="24"/>
        </w:rPr>
      </w:pPr>
      <w:r w:rsidRPr="0099025C">
        <w:rPr>
          <w:rFonts w:ascii="Times New Roman" w:hAnsi="Times New Roman"/>
          <w:sz w:val="24"/>
          <w:szCs w:val="24"/>
        </w:rPr>
        <w:t xml:space="preserve">“(6) In addition to any immunity or defense referred to in division (A)(7) of this section and in circumstances not covered by that division or sections </w:t>
      </w:r>
      <w:hyperlink r:id="rId890" w:history="1">
        <w:r w:rsidRPr="0099025C">
          <w:rPr>
            <w:rFonts w:ascii="Times New Roman" w:hAnsi="Times New Roman"/>
            <w:sz w:val="24"/>
            <w:szCs w:val="24"/>
          </w:rPr>
          <w:t>3314.07</w:t>
        </w:r>
      </w:hyperlink>
      <w:r w:rsidRPr="0099025C">
        <w:rPr>
          <w:rFonts w:ascii="Times New Roman" w:hAnsi="Times New Roman"/>
          <w:sz w:val="24"/>
          <w:szCs w:val="24"/>
        </w:rPr>
        <w:t xml:space="preserve"> and </w:t>
      </w:r>
      <w:hyperlink r:id="rId891" w:history="1">
        <w:r w:rsidRPr="0099025C">
          <w:rPr>
            <w:rFonts w:ascii="Times New Roman" w:hAnsi="Times New Roman"/>
            <w:sz w:val="24"/>
            <w:szCs w:val="24"/>
          </w:rPr>
          <w:t>3746.24</w:t>
        </w:r>
      </w:hyperlink>
      <w:r w:rsidRPr="0099025C">
        <w:rPr>
          <w:rFonts w:ascii="Times New Roman" w:hAnsi="Times New Roman"/>
          <w:sz w:val="24"/>
          <w:szCs w:val="24"/>
        </w:rPr>
        <w:t xml:space="preserve"> of the Revised Code, the employee is immune from liability unless one of the following applies:</w:t>
      </w:r>
    </w:p>
    <w:p w14:paraId="0BC7BDA8" w14:textId="77777777" w:rsidR="00B5724A" w:rsidRPr="0099025C" w:rsidRDefault="00B5724A" w:rsidP="00B5724A">
      <w:pPr>
        <w:ind w:left="720"/>
        <w:rPr>
          <w:rFonts w:ascii="Times New Roman" w:hAnsi="Times New Roman"/>
          <w:sz w:val="24"/>
          <w:szCs w:val="24"/>
        </w:rPr>
      </w:pPr>
      <w:r w:rsidRPr="0099025C">
        <w:rPr>
          <w:rFonts w:ascii="Times New Roman" w:hAnsi="Times New Roman"/>
          <w:sz w:val="24"/>
          <w:szCs w:val="24"/>
        </w:rPr>
        <w:t>(a) The employee's acts or omissions were manifestly outside the scope of the employee's employment or official responsibilities;</w:t>
      </w:r>
    </w:p>
    <w:p w14:paraId="08C3992C" w14:textId="77777777" w:rsidR="00B5724A" w:rsidRPr="0099025C" w:rsidRDefault="00B5724A" w:rsidP="00B5724A">
      <w:pPr>
        <w:ind w:left="720"/>
        <w:rPr>
          <w:rFonts w:ascii="Times New Roman" w:hAnsi="Times New Roman"/>
          <w:sz w:val="24"/>
          <w:szCs w:val="24"/>
        </w:rPr>
      </w:pPr>
      <w:r w:rsidRPr="0099025C">
        <w:rPr>
          <w:rFonts w:ascii="Times New Roman" w:hAnsi="Times New Roman"/>
          <w:sz w:val="24"/>
          <w:szCs w:val="24"/>
        </w:rPr>
        <w:t>(b) The employee's acts or omissions were with malicious purpose, in bad faith, or in a wanton or reckless manner….”</w:t>
      </w:r>
    </w:p>
    <w:p w14:paraId="17057B21" w14:textId="77777777" w:rsidR="00B5724A" w:rsidRDefault="00B5724A" w:rsidP="002B1283">
      <w:pPr>
        <w:rPr>
          <w:rStyle w:val="Hyperlink"/>
          <w:rFonts w:ascii="Arial Black" w:hAnsi="Arial Black"/>
          <w:b/>
          <w:color w:val="auto"/>
          <w:sz w:val="24"/>
          <w:szCs w:val="24"/>
          <w:u w:val="none"/>
        </w:rPr>
      </w:pPr>
    </w:p>
    <w:p w14:paraId="099D476A" w14:textId="77777777" w:rsidR="00B5724A" w:rsidRDefault="00B5724A" w:rsidP="002B1283">
      <w:pPr>
        <w:rPr>
          <w:rStyle w:val="Hyperlink"/>
          <w:rFonts w:ascii="Arial Black" w:hAnsi="Arial Black"/>
          <w:b/>
          <w:color w:val="auto"/>
          <w:sz w:val="24"/>
          <w:szCs w:val="24"/>
          <w:u w:val="none"/>
        </w:rPr>
      </w:pPr>
    </w:p>
    <w:p w14:paraId="31ADC158" w14:textId="6AFD11B5" w:rsidR="00B5724A" w:rsidRDefault="00B5724A"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4-19</w:t>
      </w:r>
    </w:p>
    <w:p w14:paraId="2845E89E" w14:textId="77777777" w:rsidR="00B5724A" w:rsidRPr="00E771B6" w:rsidRDefault="00B5724A" w:rsidP="00B5724A">
      <w:pPr>
        <w:rPr>
          <w:rFonts w:ascii="Arial Black" w:hAnsi="Arial Black"/>
          <w:sz w:val="28"/>
          <w:szCs w:val="28"/>
        </w:rPr>
      </w:pPr>
      <w:r>
        <w:rPr>
          <w:rFonts w:ascii="Arial Black" w:hAnsi="Arial Black"/>
          <w:sz w:val="28"/>
          <w:szCs w:val="28"/>
        </w:rPr>
        <w:t>WA: FED. GOV’T IMMUNITY - FIRE BREAK, 15 ACRES BURNED OK PROPERTY OWNER / IC DIDN’T PROMISE FOAM</w:t>
      </w:r>
    </w:p>
    <w:p w14:paraId="1CF9AF65" w14:textId="77777777" w:rsidR="00B5724A" w:rsidRPr="002C414E" w:rsidRDefault="00B5724A" w:rsidP="00B5724A">
      <w:pPr>
        <w:rPr>
          <w:rFonts w:ascii="Times New Roman" w:hAnsi="Times New Roman"/>
          <w:sz w:val="24"/>
          <w:szCs w:val="24"/>
        </w:rPr>
      </w:pPr>
      <w:r w:rsidRPr="002C414E">
        <w:rPr>
          <w:rFonts w:ascii="Times New Roman" w:hAnsi="Times New Roman"/>
          <w:sz w:val="24"/>
          <w:szCs w:val="24"/>
        </w:rPr>
        <w:t xml:space="preserve">On Dec. 17, 2021, in </w:t>
      </w:r>
      <w:r w:rsidRPr="002C414E">
        <w:rPr>
          <w:rFonts w:ascii="Times New Roman" w:hAnsi="Times New Roman"/>
          <w:sz w:val="24"/>
          <w:szCs w:val="24"/>
          <w:u w:val="single"/>
        </w:rPr>
        <w:t>Alfred Cruz Esquivel and Donald David Willard v. United State of America,</w:t>
      </w:r>
      <w:r w:rsidRPr="002C414E">
        <w:rPr>
          <w:rFonts w:ascii="Times New Roman" w:hAnsi="Times New Roman"/>
          <w:sz w:val="24"/>
          <w:szCs w:val="24"/>
        </w:rPr>
        <w:t xml:space="preserve"> the U.S. Court of Appeals for the 9</w:t>
      </w:r>
      <w:r w:rsidRPr="002C414E">
        <w:rPr>
          <w:rFonts w:ascii="Times New Roman" w:hAnsi="Times New Roman"/>
          <w:sz w:val="24"/>
          <w:szCs w:val="24"/>
          <w:vertAlign w:val="superscript"/>
        </w:rPr>
        <w:t>th</w:t>
      </w:r>
      <w:r w:rsidRPr="002C414E">
        <w:rPr>
          <w:rFonts w:ascii="Times New Roman" w:hAnsi="Times New Roman"/>
          <w:sz w:val="24"/>
          <w:szCs w:val="24"/>
        </w:rPr>
        <w:t xml:space="preserve"> Circuit (San Francisco) upheld the trial court’s dismissal of the case </w:t>
      </w:r>
      <w:r w:rsidRPr="002C414E">
        <w:rPr>
          <w:rStyle w:val="markedcontent"/>
          <w:rFonts w:ascii="Times New Roman" w:hAnsi="Times New Roman"/>
          <w:sz w:val="24"/>
          <w:szCs w:val="24"/>
        </w:rPr>
        <w:t xml:space="preserve">based on holding that the FTCA [Federal Tort Claims Act] claims fell within the discretionary function exception to the FTCA’s waiver of sovereign immunity, and the FTCA’s misrepresentation exception. </w:t>
      </w:r>
      <w:r w:rsidRPr="002C414E">
        <w:rPr>
          <w:rFonts w:ascii="Times New Roman" w:hAnsi="Times New Roman"/>
          <w:sz w:val="24"/>
          <w:szCs w:val="24"/>
        </w:rPr>
        <w:t xml:space="preserve">The Bureau of Land Management had rejected the property owners’ claim of $5 million for burn of his 15 acres. </w:t>
      </w:r>
    </w:p>
    <w:p w14:paraId="31CA7FCC" w14:textId="77777777" w:rsidR="00B5724A" w:rsidRPr="002C414E" w:rsidRDefault="00B5724A" w:rsidP="00B5724A">
      <w:pPr>
        <w:ind w:left="720"/>
        <w:rPr>
          <w:rFonts w:ascii="Times New Roman" w:hAnsi="Times New Roman"/>
          <w:sz w:val="24"/>
          <w:szCs w:val="24"/>
        </w:rPr>
      </w:pPr>
      <w:r w:rsidRPr="002C414E">
        <w:rPr>
          <w:rFonts w:ascii="Times New Roman" w:hAnsi="Times New Roman"/>
          <w:sz w:val="24"/>
          <w:szCs w:val="24"/>
        </w:rPr>
        <w:t>“</w:t>
      </w:r>
      <w:r w:rsidRPr="002C414E">
        <w:rPr>
          <w:rStyle w:val="markedcontent"/>
          <w:rFonts w:ascii="Times New Roman" w:hAnsi="Times New Roman"/>
          <w:sz w:val="24"/>
          <w:szCs w:val="24"/>
        </w:rPr>
        <w:t xml:space="preserve">Willard later swore that [IC Thomas] McKibbin ‘convinced’ him that the team ‘would protect [the] property and make sure that [the] property would not be excessively burned.’ Willard also declared that when he was old about the foam he thought ‘it would be safe for [him] to leave.’ McKibbin swears he does not recall any discussion of foam in his conversation with Willard. He also states in his declaration before the district court that it would be highly unusual for foam to be used during a burnout because foam is typically used only to contain the advance of a wildfire, while burnouts are performed under controlled conditions and normally do not need to be contained. McKibbin also swears that if ‘Willard had wanted to forego a burnout, [McKibbin] would not have done one.’ ‘That would have put the entire property at extreme risk, but it was [Willard’s] prerogative to take the risk if [Willard] wanted to.’ *** </w:t>
      </w:r>
      <w:r w:rsidRPr="002C414E">
        <w:rPr>
          <w:rFonts w:ascii="Times New Roman" w:hAnsi="Times New Roman"/>
          <w:sz w:val="24"/>
          <w:szCs w:val="24"/>
        </w:rPr>
        <w:t xml:space="preserve">Accepting as true the factual allegations contained in Appellants' complaint, we conclude as a matter of law that McKibbin's communication with Willard was ‘based upon the exercise or performance’ of choosing how to organize and conduct fire suppression operations, which undisputedly requires the exercise of judgment grounded in social, economic, or political policy. We therefore hold that the government has met its burden of establishing that Appellants' claims fall within the scope of the discretionary function exception.” </w:t>
      </w:r>
      <w:hyperlink r:id="rId892" w:history="1">
        <w:r w:rsidRPr="00EC5853">
          <w:rPr>
            <w:rStyle w:val="Hyperlink"/>
            <w:rFonts w:ascii="Times New Roman" w:hAnsi="Times New Roman"/>
            <w:sz w:val="24"/>
            <w:szCs w:val="24"/>
          </w:rPr>
          <w:t>https://cdn.ca9.uscourts.gov/datastore/opinions/2021/12/17/20-35868.pdf</w:t>
        </w:r>
      </w:hyperlink>
      <w:r>
        <w:rPr>
          <w:rFonts w:ascii="Times New Roman" w:hAnsi="Times New Roman"/>
          <w:sz w:val="24"/>
          <w:szCs w:val="24"/>
        </w:rPr>
        <w:t xml:space="preserve"> </w:t>
      </w:r>
    </w:p>
    <w:p w14:paraId="4B82893D" w14:textId="77777777" w:rsidR="00B5724A" w:rsidRPr="004F5123" w:rsidRDefault="00B5724A" w:rsidP="00B5724A">
      <w:pPr>
        <w:spacing w:before="100" w:beforeAutospacing="1" w:after="100" w:afterAutospacing="1" w:line="240" w:lineRule="auto"/>
        <w:rPr>
          <w:rFonts w:ascii="Times New Roman" w:eastAsia="Times New Roman" w:hAnsi="Times New Roman"/>
          <w:b/>
          <w:bCs/>
          <w:sz w:val="24"/>
          <w:szCs w:val="24"/>
        </w:rPr>
      </w:pPr>
      <w:r w:rsidRPr="002C414E">
        <w:rPr>
          <w:rFonts w:ascii="Times New Roman" w:hAnsi="Times New Roman"/>
          <w:b/>
          <w:bCs/>
          <w:sz w:val="24"/>
          <w:szCs w:val="24"/>
        </w:rPr>
        <w:t xml:space="preserve">Legal Lesson Learned: The Federal Tort Claims Act includes exemptions from liability for discretionary decisions </w:t>
      </w:r>
      <w:proofErr w:type="gramStart"/>
      <w:r w:rsidRPr="002C414E">
        <w:rPr>
          <w:rFonts w:ascii="Times New Roman" w:hAnsi="Times New Roman"/>
          <w:b/>
          <w:bCs/>
          <w:sz w:val="24"/>
          <w:szCs w:val="24"/>
        </w:rPr>
        <w:t>and also</w:t>
      </w:r>
      <w:proofErr w:type="gramEnd"/>
      <w:r w:rsidRPr="002C414E">
        <w:rPr>
          <w:rFonts w:ascii="Times New Roman" w:hAnsi="Times New Roman"/>
          <w:b/>
          <w:bCs/>
          <w:sz w:val="24"/>
          <w:szCs w:val="24"/>
        </w:rPr>
        <w:t xml:space="preserve"> for alleged misrepresentations</w:t>
      </w:r>
      <w:r>
        <w:rPr>
          <w:rFonts w:ascii="Times New Roman" w:hAnsi="Times New Roman"/>
          <w:b/>
          <w:bCs/>
          <w:sz w:val="24"/>
          <w:szCs w:val="24"/>
        </w:rPr>
        <w:t xml:space="preserve">. </w:t>
      </w:r>
    </w:p>
    <w:p w14:paraId="037E8877" w14:textId="77777777" w:rsidR="00B5724A" w:rsidRDefault="00B5724A" w:rsidP="002B1283">
      <w:pPr>
        <w:rPr>
          <w:rStyle w:val="Hyperlink"/>
          <w:rFonts w:ascii="Arial Black" w:hAnsi="Arial Black"/>
          <w:b/>
          <w:color w:val="auto"/>
          <w:sz w:val="24"/>
          <w:szCs w:val="24"/>
          <w:u w:val="none"/>
        </w:rPr>
      </w:pPr>
    </w:p>
    <w:p w14:paraId="178D7422" w14:textId="77777777" w:rsidR="00B5724A" w:rsidRDefault="00B5724A" w:rsidP="002B1283">
      <w:pPr>
        <w:rPr>
          <w:rStyle w:val="Hyperlink"/>
          <w:rFonts w:ascii="Arial Black" w:hAnsi="Arial Black"/>
          <w:b/>
          <w:color w:val="auto"/>
          <w:sz w:val="24"/>
          <w:szCs w:val="24"/>
          <w:u w:val="none"/>
        </w:rPr>
      </w:pPr>
    </w:p>
    <w:p w14:paraId="7BBF8755" w14:textId="71DF1DF7" w:rsidR="00365F63" w:rsidRDefault="00365F63"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4-18</w:t>
      </w:r>
    </w:p>
    <w:p w14:paraId="20EA0DC5" w14:textId="77777777" w:rsidR="00365F63" w:rsidRDefault="00365F63" w:rsidP="00365F63">
      <w:pPr>
        <w:spacing w:before="100" w:beforeAutospacing="1" w:after="100" w:afterAutospacing="1" w:line="240" w:lineRule="auto"/>
        <w:rPr>
          <w:rFonts w:ascii="Arial Black" w:hAnsi="Arial Black"/>
          <w:sz w:val="28"/>
          <w:szCs w:val="28"/>
        </w:rPr>
      </w:pPr>
      <w:r>
        <w:rPr>
          <w:rFonts w:ascii="Arial Black" w:hAnsi="Arial Black"/>
          <w:sz w:val="28"/>
          <w:szCs w:val="28"/>
        </w:rPr>
        <w:t>MI: DISPATCH SENT EMS TO “FIREMEN’S ASSOCIATION” INSTEAD OF VOL. FD – CHILD DIED ASTHMA - IMMUNITY</w:t>
      </w:r>
    </w:p>
    <w:p w14:paraId="4E1F0A9E" w14:textId="77777777" w:rsidR="00365F63" w:rsidRDefault="00365F63" w:rsidP="00365F63">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15, 2021, in </w:t>
      </w:r>
      <w:r w:rsidRPr="00502AAE">
        <w:rPr>
          <w:rFonts w:ascii="Times New Roman" w:hAnsi="Times New Roman"/>
          <w:sz w:val="24"/>
          <w:szCs w:val="24"/>
          <w:u w:val="single"/>
        </w:rPr>
        <w:t>Jose Reyes, as Personal Representative for the Estate of Bobby Reves, et al. v. Monroe County and Sonya Sampsel</w:t>
      </w:r>
      <w:r>
        <w:rPr>
          <w:rFonts w:ascii="Times New Roman" w:hAnsi="Times New Roman"/>
          <w:sz w:val="24"/>
          <w:szCs w:val="24"/>
        </w:rPr>
        <w:t xml:space="preserve">, U.S. District Court Judge Laurie J. Michelson granted summary judgment to Monroe County and 911 Dispatcher Sonya Sampsel.  Tragic case where a </w:t>
      </w:r>
      <w:proofErr w:type="gramStart"/>
      <w:r>
        <w:rPr>
          <w:rFonts w:ascii="Times New Roman" w:hAnsi="Times New Roman"/>
          <w:sz w:val="24"/>
          <w:szCs w:val="24"/>
        </w:rPr>
        <w:t>14-year old</w:t>
      </w:r>
      <w:proofErr w:type="gramEnd"/>
      <w:r>
        <w:rPr>
          <w:rFonts w:ascii="Times New Roman" w:hAnsi="Times New Roman"/>
          <w:sz w:val="24"/>
          <w:szCs w:val="24"/>
        </w:rPr>
        <w:t xml:space="preserve"> teenager with asthma died when dispatch sent ambulance to the Ash Township Firemen’s Association, instead of to Ash Township Fire Station No. 2.  Judge recognized that the dispatcher had to make a quick decision with a non-breather.  Fed. claim of “state-created-danger” in violation of due process under 14</w:t>
      </w:r>
      <w:r w:rsidRPr="007E302C">
        <w:rPr>
          <w:rFonts w:ascii="Times New Roman" w:hAnsi="Times New Roman"/>
          <w:sz w:val="24"/>
          <w:szCs w:val="24"/>
          <w:vertAlign w:val="superscript"/>
        </w:rPr>
        <w:t>th</w:t>
      </w:r>
      <w:r>
        <w:rPr>
          <w:rFonts w:ascii="Times New Roman" w:hAnsi="Times New Roman"/>
          <w:sz w:val="24"/>
          <w:szCs w:val="24"/>
        </w:rPr>
        <w:t xml:space="preserve"> Amendment of Constitution requires proof of reckless conduct that “shocks the contemporary conscience.” State claim of negligence also dismissed - </w:t>
      </w:r>
      <w:r w:rsidRPr="00AE2C93">
        <w:rPr>
          <w:rFonts w:ascii="Times New Roman" w:hAnsi="Times New Roman"/>
          <w:sz w:val="24"/>
          <w:szCs w:val="24"/>
        </w:rPr>
        <w:t xml:space="preserve">Michigan's Governmental Tort Liability Act shields government </w:t>
      </w:r>
      <w:r>
        <w:rPr>
          <w:rFonts w:ascii="Times New Roman" w:hAnsi="Times New Roman"/>
          <w:sz w:val="24"/>
          <w:szCs w:val="24"/>
        </w:rPr>
        <w:t>employees</w:t>
      </w:r>
      <w:r w:rsidRPr="00AE2C93">
        <w:rPr>
          <w:rFonts w:ascii="Times New Roman" w:hAnsi="Times New Roman"/>
          <w:sz w:val="24"/>
          <w:szCs w:val="24"/>
        </w:rPr>
        <w:t xml:space="preserve"> from claims of negligence unless the</w:t>
      </w:r>
      <w:r>
        <w:rPr>
          <w:rFonts w:ascii="Times New Roman" w:hAnsi="Times New Roman"/>
          <w:sz w:val="24"/>
          <w:szCs w:val="24"/>
        </w:rPr>
        <w:t xml:space="preserve">ir conduct was </w:t>
      </w:r>
      <w:r w:rsidRPr="00AE2C93">
        <w:rPr>
          <w:rFonts w:ascii="Times New Roman" w:hAnsi="Times New Roman"/>
          <w:sz w:val="24"/>
          <w:szCs w:val="24"/>
        </w:rPr>
        <w:t>“so reckless as to demonstrate a substantial lack of concern for whether an injury results.</w:t>
      </w:r>
      <w:r>
        <w:rPr>
          <w:rFonts w:ascii="Times New Roman" w:hAnsi="Times New Roman"/>
          <w:sz w:val="24"/>
          <w:szCs w:val="24"/>
        </w:rPr>
        <w:t xml:space="preserve">”  </w:t>
      </w:r>
    </w:p>
    <w:p w14:paraId="17E73740" w14:textId="77777777" w:rsidR="00365F63" w:rsidRDefault="00365F63" w:rsidP="00365F6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7E302C">
        <w:rPr>
          <w:rFonts w:ascii="Times New Roman" w:hAnsi="Times New Roman"/>
          <w:sz w:val="24"/>
          <w:szCs w:val="24"/>
        </w:rPr>
        <w:t xml:space="preserve">In cases where a state actor was forced to make a quick decision, courts have required a plaintiff to show that the state actor intended to cause harm to establish liability under the Due Process Clause. </w:t>
      </w:r>
      <w:r w:rsidRPr="007E302C">
        <w:rPr>
          <w:rFonts w:ascii="Times New Roman" w:hAnsi="Times New Roman"/>
          <w:i/>
          <w:iCs/>
          <w:sz w:val="24"/>
          <w:szCs w:val="24"/>
        </w:rPr>
        <w:t>See County of Sacramento v. Lewis</w:t>
      </w:r>
      <w:r w:rsidRPr="007E302C">
        <w:rPr>
          <w:rFonts w:ascii="Times New Roman" w:hAnsi="Times New Roman"/>
          <w:sz w:val="24"/>
          <w:szCs w:val="24"/>
        </w:rPr>
        <w:t xml:space="preserve">, </w:t>
      </w:r>
      <w:hyperlink r:id="rId893" w:anchor="p853" w:history="1">
        <w:r w:rsidRPr="007E302C">
          <w:rPr>
            <w:rStyle w:val="Hyperlink"/>
            <w:rFonts w:ascii="Times New Roman" w:hAnsi="Times New Roman"/>
            <w:sz w:val="24"/>
            <w:szCs w:val="24"/>
          </w:rPr>
          <w:t>523 U.S. 833, 853</w:t>
        </w:r>
      </w:hyperlink>
      <w:r w:rsidRPr="007E302C">
        <w:rPr>
          <w:rFonts w:ascii="Times New Roman" w:hAnsi="Times New Roman"/>
          <w:sz w:val="24"/>
          <w:szCs w:val="24"/>
        </w:rPr>
        <w:t xml:space="preserve"> (1998) (providing that </w:t>
      </w:r>
      <w:r>
        <w:rPr>
          <w:rFonts w:ascii="Times New Roman" w:hAnsi="Times New Roman"/>
          <w:sz w:val="24"/>
          <w:szCs w:val="24"/>
        </w:rPr>
        <w:t>‘</w:t>
      </w:r>
      <w:r w:rsidRPr="007E302C">
        <w:rPr>
          <w:rFonts w:ascii="Times New Roman" w:hAnsi="Times New Roman"/>
          <w:sz w:val="24"/>
          <w:szCs w:val="24"/>
        </w:rPr>
        <w:t xml:space="preserve">when unforeseen circumstances demand an officer's instant judgment, </w:t>
      </w:r>
      <w:r>
        <w:rPr>
          <w:rFonts w:ascii="Times New Roman" w:hAnsi="Times New Roman"/>
          <w:sz w:val="24"/>
          <w:szCs w:val="24"/>
        </w:rPr>
        <w:t>‘</w:t>
      </w:r>
      <w:r w:rsidRPr="007E302C">
        <w:rPr>
          <w:rFonts w:ascii="Times New Roman" w:hAnsi="Times New Roman"/>
          <w:sz w:val="24"/>
          <w:szCs w:val="24"/>
        </w:rPr>
        <w:t xml:space="preserve"> even the officer's reckless conduct will not shock the conscious); </w:t>
      </w:r>
      <w:r w:rsidRPr="007E302C">
        <w:rPr>
          <w:rFonts w:ascii="Times New Roman" w:hAnsi="Times New Roman"/>
          <w:i/>
          <w:iCs/>
          <w:sz w:val="24"/>
          <w:szCs w:val="24"/>
        </w:rPr>
        <w:t>Jackson Board of Education</w:t>
      </w:r>
      <w:r w:rsidRPr="007E302C">
        <w:rPr>
          <w:rFonts w:ascii="Times New Roman" w:hAnsi="Times New Roman"/>
          <w:sz w:val="24"/>
          <w:szCs w:val="24"/>
        </w:rPr>
        <w:t xml:space="preserve">, </w:t>
      </w:r>
      <w:hyperlink r:id="rId894" w:anchor="p933" w:history="1">
        <w:r w:rsidRPr="007E302C">
          <w:rPr>
            <w:rStyle w:val="Hyperlink"/>
            <w:rFonts w:ascii="Times New Roman" w:hAnsi="Times New Roman"/>
            <w:sz w:val="24"/>
            <w:szCs w:val="24"/>
          </w:rPr>
          <w:t>954 F.3d at 933</w:t>
        </w:r>
      </w:hyperlink>
      <w:r w:rsidRPr="007E302C">
        <w:rPr>
          <w:rFonts w:ascii="Times New Roman" w:hAnsi="Times New Roman"/>
          <w:sz w:val="24"/>
          <w:szCs w:val="24"/>
        </w:rPr>
        <w:t xml:space="preserve"> (“[The Supreme Court] has added that an actual intent to injure is required when public actors must make hasty decisions, such as during a high-speed chase or a prison riot.</w:t>
      </w:r>
      <w:r>
        <w:rPr>
          <w:rFonts w:ascii="Times New Roman" w:hAnsi="Times New Roman"/>
          <w:sz w:val="24"/>
          <w:szCs w:val="24"/>
        </w:rPr>
        <w:t>’</w:t>
      </w:r>
      <w:r w:rsidRPr="007E302C">
        <w:rPr>
          <w:rFonts w:ascii="Times New Roman" w:hAnsi="Times New Roman"/>
          <w:sz w:val="24"/>
          <w:szCs w:val="24"/>
        </w:rPr>
        <w:t xml:space="preserve">). An intent-to-harm standard makes sense when there is no time to deliberate; after </w:t>
      </w:r>
      <w:proofErr w:type="gramStart"/>
      <w:r w:rsidRPr="007E302C">
        <w:rPr>
          <w:rFonts w:ascii="Times New Roman" w:hAnsi="Times New Roman"/>
          <w:sz w:val="24"/>
          <w:szCs w:val="24"/>
        </w:rPr>
        <w:t xml:space="preserve">all, </w:t>
      </w:r>
      <w:r>
        <w:rPr>
          <w:rFonts w:ascii="Times New Roman" w:hAnsi="Times New Roman"/>
          <w:sz w:val="24"/>
          <w:szCs w:val="24"/>
        </w:rPr>
        <w:t>‘</w:t>
      </w:r>
      <w:proofErr w:type="gramEnd"/>
      <w:r w:rsidRPr="007E302C">
        <w:rPr>
          <w:rFonts w:ascii="Times New Roman" w:hAnsi="Times New Roman"/>
          <w:sz w:val="24"/>
          <w:szCs w:val="24"/>
        </w:rPr>
        <w:t>the [deliberate indifference] standard is sensibly employed only when actual deliberation is practical.</w:t>
      </w:r>
      <w:r>
        <w:rPr>
          <w:rFonts w:ascii="Times New Roman" w:hAnsi="Times New Roman"/>
          <w:sz w:val="24"/>
          <w:szCs w:val="24"/>
        </w:rPr>
        <w:t>’</w:t>
      </w:r>
      <w:r w:rsidRPr="007E302C">
        <w:rPr>
          <w:rFonts w:ascii="Times New Roman" w:hAnsi="Times New Roman"/>
          <w:sz w:val="24"/>
          <w:szCs w:val="24"/>
        </w:rPr>
        <w:t xml:space="preserve"> </w:t>
      </w:r>
      <w:r w:rsidRPr="007E302C">
        <w:rPr>
          <w:rFonts w:ascii="Times New Roman" w:hAnsi="Times New Roman"/>
          <w:i/>
          <w:iCs/>
          <w:sz w:val="24"/>
          <w:szCs w:val="24"/>
        </w:rPr>
        <w:t>Lewis</w:t>
      </w:r>
      <w:r w:rsidRPr="007E302C">
        <w:rPr>
          <w:rFonts w:ascii="Times New Roman" w:hAnsi="Times New Roman"/>
          <w:sz w:val="24"/>
          <w:szCs w:val="24"/>
        </w:rPr>
        <w:t xml:space="preserve">, </w:t>
      </w:r>
      <w:hyperlink r:id="rId895" w:anchor="p851" w:history="1">
        <w:r w:rsidRPr="007E302C">
          <w:rPr>
            <w:rStyle w:val="Hyperlink"/>
            <w:rFonts w:ascii="Times New Roman" w:hAnsi="Times New Roman"/>
            <w:sz w:val="24"/>
            <w:szCs w:val="24"/>
          </w:rPr>
          <w:t>523 U.S. at 851</w:t>
        </w:r>
      </w:hyperlink>
      <w:r w:rsidRPr="007E302C">
        <w:rPr>
          <w:rFonts w:ascii="Times New Roman" w:hAnsi="Times New Roman"/>
          <w:sz w:val="24"/>
          <w:szCs w:val="24"/>
        </w:rPr>
        <w:t>.</w:t>
      </w:r>
    </w:p>
    <w:p w14:paraId="0F1358EA" w14:textId="5765BD3E" w:rsidR="00365F63" w:rsidRDefault="00365F63" w:rsidP="00365F63">
      <w:pPr>
        <w:rPr>
          <w:rStyle w:val="Hyperlink"/>
          <w:rFonts w:ascii="Times New Roman" w:hAnsi="Times New Roman"/>
          <w:sz w:val="24"/>
          <w:szCs w:val="24"/>
        </w:rPr>
      </w:pPr>
      <w:r w:rsidRPr="007E302C">
        <w:rPr>
          <w:rFonts w:ascii="Times New Roman" w:hAnsi="Times New Roman"/>
          <w:sz w:val="24"/>
          <w:szCs w:val="24"/>
        </w:rPr>
        <w:t xml:space="preserve">Here, Sampsel had virtually no time to deliberate. Jones told Sampsel, </w:t>
      </w:r>
      <w:r>
        <w:rPr>
          <w:rFonts w:ascii="Times New Roman" w:hAnsi="Times New Roman"/>
          <w:sz w:val="24"/>
          <w:szCs w:val="24"/>
        </w:rPr>
        <w:t>‘</w:t>
      </w:r>
      <w:r w:rsidRPr="007E302C">
        <w:rPr>
          <w:rFonts w:ascii="Times New Roman" w:hAnsi="Times New Roman"/>
          <w:sz w:val="24"/>
          <w:szCs w:val="24"/>
        </w:rPr>
        <w:t>my son can't breathe.</w:t>
      </w:r>
      <w:r>
        <w:rPr>
          <w:rFonts w:ascii="Times New Roman" w:hAnsi="Times New Roman"/>
          <w:sz w:val="24"/>
          <w:szCs w:val="24"/>
        </w:rPr>
        <w:t>’</w:t>
      </w:r>
      <w:r w:rsidRPr="007E302C">
        <w:rPr>
          <w:rFonts w:ascii="Times New Roman" w:hAnsi="Times New Roman"/>
          <w:sz w:val="24"/>
          <w:szCs w:val="24"/>
        </w:rPr>
        <w:t xml:space="preserve"> Sampsel had to act-and quickly. Thus, for Sampsel to be liable under a state-created-danger theory, it appears that Plaintiffs must show that she acted with intent to harm Reyes. And if that is the requisite standard, not a shred of evidence supports holding Sampsel liable under the Due Process Clause. Sampsel did not intend to harm Reyes; she intended to help Reyes.</w:t>
      </w:r>
      <w:r>
        <w:rPr>
          <w:rFonts w:ascii="Times New Roman" w:hAnsi="Times New Roman"/>
          <w:sz w:val="24"/>
          <w:szCs w:val="24"/>
        </w:rPr>
        <w:t xml:space="preserve">”  </w:t>
      </w:r>
      <w:hyperlink r:id="rId896" w:history="1">
        <w:r w:rsidRPr="004E63E3">
          <w:rPr>
            <w:rStyle w:val="Hyperlink"/>
            <w:rFonts w:ascii="Times New Roman" w:hAnsi="Times New Roman"/>
            <w:sz w:val="24"/>
            <w:szCs w:val="24"/>
          </w:rPr>
          <w:t>https://casetext.com/case/reyes-v-monroe-cnty</w:t>
        </w:r>
      </w:hyperlink>
    </w:p>
    <w:p w14:paraId="6DEF4233" w14:textId="77777777" w:rsidR="00D43015" w:rsidRPr="00E1552C" w:rsidRDefault="00D43015" w:rsidP="00D43015">
      <w:pPr>
        <w:pStyle w:val="paragraph"/>
        <w:rPr>
          <w:b/>
          <w:bCs/>
        </w:rPr>
      </w:pPr>
      <w:r w:rsidRPr="00E1552C">
        <w:rPr>
          <w:b/>
          <w:bCs/>
        </w:rPr>
        <w:t xml:space="preserve">Legal Lesson Learned: Fortunately, dispatchers </w:t>
      </w:r>
      <w:r>
        <w:rPr>
          <w:b/>
          <w:bCs/>
        </w:rPr>
        <w:t xml:space="preserve">and other emergency responders required to make quick decisions </w:t>
      </w:r>
      <w:r w:rsidRPr="00E1552C">
        <w:rPr>
          <w:b/>
          <w:bCs/>
        </w:rPr>
        <w:t xml:space="preserve">enjoy immunity from Federal </w:t>
      </w:r>
      <w:r>
        <w:rPr>
          <w:b/>
          <w:bCs/>
        </w:rPr>
        <w:t xml:space="preserve">and state claims unless conduct is extremely reckless or </w:t>
      </w:r>
      <w:r w:rsidRPr="00200005">
        <w:rPr>
          <w:b/>
          <w:bCs/>
        </w:rPr>
        <w:t xml:space="preserve">deemed to </w:t>
      </w:r>
      <w:r>
        <w:rPr>
          <w:b/>
          <w:bCs/>
        </w:rPr>
        <w:t>“</w:t>
      </w:r>
      <w:r w:rsidRPr="00200005">
        <w:rPr>
          <w:b/>
          <w:bCs/>
        </w:rPr>
        <w:t>shock the contemporary conscience</w:t>
      </w:r>
      <w:r>
        <w:t>.”</w:t>
      </w:r>
    </w:p>
    <w:p w14:paraId="7519DE12" w14:textId="7C693D9D" w:rsidR="00D43015" w:rsidRDefault="00D43015" w:rsidP="00365F63">
      <w:pPr>
        <w:rPr>
          <w:rStyle w:val="Hyperlink"/>
          <w:rFonts w:ascii="Times New Roman" w:hAnsi="Times New Roman"/>
          <w:sz w:val="24"/>
          <w:szCs w:val="24"/>
        </w:rPr>
      </w:pPr>
    </w:p>
    <w:p w14:paraId="6C6DB195" w14:textId="4742A394" w:rsidR="00D43015" w:rsidRDefault="00D43015" w:rsidP="00365F63">
      <w:pPr>
        <w:rPr>
          <w:rStyle w:val="Hyperlink"/>
          <w:rFonts w:ascii="Times New Roman" w:hAnsi="Times New Roman"/>
          <w:sz w:val="24"/>
          <w:szCs w:val="24"/>
        </w:rPr>
      </w:pPr>
    </w:p>
    <w:p w14:paraId="628A47BE" w14:textId="77777777" w:rsidR="00D43015" w:rsidRDefault="00D43015" w:rsidP="00365F63">
      <w:pPr>
        <w:rPr>
          <w:rStyle w:val="Hyperlink"/>
          <w:rFonts w:ascii="Arial Black" w:hAnsi="Arial Black"/>
          <w:b/>
          <w:color w:val="auto"/>
          <w:sz w:val="24"/>
          <w:szCs w:val="24"/>
          <w:u w:val="none"/>
        </w:rPr>
      </w:pPr>
    </w:p>
    <w:p w14:paraId="65B4AA3D" w14:textId="7DB7CBD3" w:rsidR="0082055F" w:rsidRDefault="0082055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4-17</w:t>
      </w:r>
    </w:p>
    <w:p w14:paraId="4776FA1F" w14:textId="77777777" w:rsidR="0082055F" w:rsidRPr="00D431D9" w:rsidRDefault="0082055F" w:rsidP="0082055F">
      <w:pPr>
        <w:spacing w:before="100" w:beforeAutospacing="1" w:after="100" w:afterAutospacing="1" w:line="240" w:lineRule="auto"/>
        <w:rPr>
          <w:rFonts w:ascii="Arial Black" w:hAnsi="Arial Black"/>
          <w:sz w:val="28"/>
          <w:szCs w:val="28"/>
        </w:rPr>
      </w:pPr>
      <w:r>
        <w:rPr>
          <w:rFonts w:ascii="Arial Black" w:hAnsi="Arial Black"/>
          <w:sz w:val="28"/>
          <w:szCs w:val="28"/>
        </w:rPr>
        <w:t>U.S. SUPREME CT – UNANIMOUS - “QUALIFIED IMMUNITY” FOR PD - TWO CASES – HIGH RISK EMERGENCY DECISIONS</w:t>
      </w:r>
    </w:p>
    <w:p w14:paraId="3A664483" w14:textId="77777777" w:rsidR="0082055F" w:rsidRPr="002C43B3" w:rsidRDefault="0082055F" w:rsidP="0082055F">
      <w:pPr>
        <w:spacing w:before="100" w:beforeAutospacing="1" w:after="100" w:afterAutospacing="1" w:line="240" w:lineRule="auto"/>
        <w:rPr>
          <w:rFonts w:ascii="Times New Roman" w:hAnsi="Times New Roman"/>
          <w:sz w:val="24"/>
          <w:szCs w:val="24"/>
        </w:rPr>
      </w:pPr>
      <w:r w:rsidRPr="0065616E">
        <w:rPr>
          <w:rFonts w:ascii="Times New Roman" w:hAnsi="Times New Roman"/>
          <w:sz w:val="24"/>
          <w:szCs w:val="24"/>
        </w:rPr>
        <w:t xml:space="preserve">On </w:t>
      </w:r>
      <w:r>
        <w:rPr>
          <w:rFonts w:ascii="Times New Roman" w:hAnsi="Times New Roman"/>
          <w:sz w:val="24"/>
          <w:szCs w:val="24"/>
        </w:rPr>
        <w:t xml:space="preserve">Oct. 18, 2021, the U.S. Supreme Court, issued summary dispositions (9 to 0; two per curiam opinions – not authored by a single Justice) dismissing two lawsuits against police officers </w:t>
      </w:r>
      <w:proofErr w:type="gramStart"/>
      <w:r>
        <w:rPr>
          <w:rFonts w:ascii="Times New Roman" w:hAnsi="Times New Roman"/>
          <w:sz w:val="24"/>
          <w:szCs w:val="24"/>
        </w:rPr>
        <w:t>on the basis of</w:t>
      </w:r>
      <w:proofErr w:type="gramEnd"/>
      <w:r>
        <w:rPr>
          <w:rFonts w:ascii="Times New Roman" w:hAnsi="Times New Roman"/>
          <w:sz w:val="24"/>
          <w:szCs w:val="24"/>
        </w:rPr>
        <w:t xml:space="preserve"> “qualified immunity.” The Court unanimously reversed the 9</w:t>
      </w:r>
      <w:r w:rsidRPr="00D427A9">
        <w:rPr>
          <w:rFonts w:ascii="Times New Roman" w:hAnsi="Times New Roman"/>
          <w:sz w:val="24"/>
          <w:szCs w:val="24"/>
          <w:vertAlign w:val="superscript"/>
        </w:rPr>
        <w:t>th</w:t>
      </w:r>
      <w:r>
        <w:rPr>
          <w:rFonts w:ascii="Times New Roman" w:hAnsi="Times New Roman"/>
          <w:sz w:val="24"/>
          <w:szCs w:val="24"/>
        </w:rPr>
        <w:t xml:space="preserve"> Circuit in one case, and the 10</w:t>
      </w:r>
      <w:r w:rsidRPr="00D427A9">
        <w:rPr>
          <w:rFonts w:ascii="Times New Roman" w:hAnsi="Times New Roman"/>
          <w:sz w:val="24"/>
          <w:szCs w:val="24"/>
          <w:vertAlign w:val="superscript"/>
        </w:rPr>
        <w:t>th</w:t>
      </w:r>
      <w:r>
        <w:rPr>
          <w:rFonts w:ascii="Times New Roman" w:hAnsi="Times New Roman"/>
          <w:sz w:val="24"/>
          <w:szCs w:val="24"/>
        </w:rPr>
        <w:t xml:space="preserve"> Circuit in another, ordering lawsuits against the police officers be dismissed.  “</w:t>
      </w:r>
      <w:r w:rsidRPr="002C43B3">
        <w:rPr>
          <w:rStyle w:val="markedcontent"/>
          <w:rFonts w:ascii="Times New Roman" w:hAnsi="Times New Roman"/>
          <w:sz w:val="24"/>
          <w:szCs w:val="24"/>
        </w:rPr>
        <w:t>The doctrine of qualified immunity shields officers from</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 xml:space="preserve">civil liability so long as their conduct </w:t>
      </w:r>
      <w:r>
        <w:rPr>
          <w:rStyle w:val="markedcontent"/>
          <w:rFonts w:ascii="Times New Roman" w:hAnsi="Times New Roman"/>
          <w:sz w:val="24"/>
          <w:szCs w:val="24"/>
        </w:rPr>
        <w:t>‘</w:t>
      </w:r>
      <w:r w:rsidRPr="002C43B3">
        <w:rPr>
          <w:rStyle w:val="markedcontent"/>
          <w:rFonts w:ascii="Times New Roman" w:hAnsi="Times New Roman"/>
          <w:sz w:val="24"/>
          <w:szCs w:val="24"/>
        </w:rPr>
        <w:t>does not violate clearly established statutory or constitutional rights of</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which a reasonable person would have known.</w:t>
      </w:r>
      <w:r>
        <w:rPr>
          <w:rStyle w:val="markedcontent"/>
          <w:rFonts w:ascii="Times New Roman" w:hAnsi="Times New Roman"/>
          <w:sz w:val="24"/>
          <w:szCs w:val="24"/>
        </w:rPr>
        <w:t>’</w:t>
      </w:r>
      <w:r w:rsidRPr="002C43B3">
        <w:rPr>
          <w:rStyle w:val="markedcontent"/>
          <w:rFonts w:ascii="Times New Roman" w:hAnsi="Times New Roman"/>
          <w:sz w:val="24"/>
          <w:szCs w:val="24"/>
        </w:rPr>
        <w:t xml:space="preserve"> Pearson v. Callahan, 555 U. S. 223, 231 (2009)</w:t>
      </w:r>
      <w:r>
        <w:rPr>
          <w:rStyle w:val="markedcontent"/>
          <w:rFonts w:ascii="Times New Roman" w:hAnsi="Times New Roman"/>
          <w:sz w:val="24"/>
          <w:szCs w:val="24"/>
        </w:rPr>
        <w:t xml:space="preserve">. </w:t>
      </w:r>
      <w:hyperlink r:id="rId897" w:history="1">
        <w:r w:rsidRPr="00ED2C8C">
          <w:rPr>
            <w:rStyle w:val="Hyperlink"/>
            <w:sz w:val="24"/>
            <w:szCs w:val="24"/>
          </w:rPr>
          <w:t>https://www.supremecourt.gov/opinions/21pdf/20-1668_19m2.pdf</w:t>
        </w:r>
      </w:hyperlink>
      <w:r>
        <w:rPr>
          <w:rStyle w:val="markedcontent"/>
          <w:rFonts w:ascii="Times New Roman" w:hAnsi="Times New Roman"/>
          <w:sz w:val="24"/>
          <w:szCs w:val="24"/>
        </w:rPr>
        <w:t xml:space="preserve"> </w:t>
      </w:r>
    </w:p>
    <w:p w14:paraId="005F39D9" w14:textId="77777777" w:rsidR="0082055F" w:rsidRDefault="0082055F" w:rsidP="0082055F">
      <w:pPr>
        <w:spacing w:before="100" w:beforeAutospacing="1" w:after="100" w:afterAutospacing="1" w:line="240" w:lineRule="auto"/>
        <w:ind w:left="720"/>
        <w:rPr>
          <w:rStyle w:val="markedcontent"/>
          <w:rFonts w:ascii="Times New Roman" w:hAnsi="Times New Roman"/>
          <w:sz w:val="24"/>
          <w:szCs w:val="24"/>
        </w:rPr>
      </w:pPr>
      <w:r w:rsidRPr="002C43B3">
        <w:rPr>
          <w:rStyle w:val="markedcontent"/>
          <w:rFonts w:ascii="Times New Roman" w:hAnsi="Times New Roman"/>
          <w:sz w:val="24"/>
          <w:szCs w:val="24"/>
          <w:u w:val="single"/>
        </w:rPr>
        <w:t>DANIEL RIVAS-VILLEGAS v. RAMON CORTESLUNA</w:t>
      </w:r>
      <w:r w:rsidRPr="003065D4">
        <w:rPr>
          <w:rStyle w:val="markedcontent"/>
          <w:rFonts w:ascii="Times New Roman" w:hAnsi="Times New Roman"/>
          <w:sz w:val="24"/>
          <w:szCs w:val="24"/>
        </w:rPr>
        <w:t xml:space="preserve">: </w:t>
      </w:r>
      <w:hyperlink r:id="rId898" w:history="1">
        <w:r w:rsidRPr="003065D4">
          <w:rPr>
            <w:rStyle w:val="Hyperlink"/>
            <w:sz w:val="24"/>
            <w:szCs w:val="24"/>
          </w:rPr>
          <w:t>https://www.supremecourt.gov/opinions/21pdf/20-1539_09m1.pdf</w:t>
        </w:r>
      </w:hyperlink>
      <w:r w:rsidRPr="003065D4">
        <w:rPr>
          <w:rStyle w:val="markedcontent"/>
          <w:rFonts w:ascii="Times New Roman" w:hAnsi="Times New Roman"/>
          <w:sz w:val="24"/>
          <w:szCs w:val="24"/>
        </w:rPr>
        <w:t xml:space="preserve"> </w:t>
      </w:r>
    </w:p>
    <w:p w14:paraId="603AEEA8" w14:textId="77777777" w:rsidR="0082055F" w:rsidRDefault="0082055F" w:rsidP="0082055F">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r w:rsidRPr="003065D4">
        <w:rPr>
          <w:rStyle w:val="markedcontent"/>
          <w:rFonts w:ascii="Times New Roman" w:hAnsi="Times New Roman"/>
          <w:sz w:val="24"/>
          <w:szCs w:val="24"/>
        </w:rPr>
        <w:t>Plaintiff stopped 10 to 11 feet</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from the officers. Another officer then saw a knife sticking</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 xml:space="preserve">out from the front left pocket of </w:t>
      </w:r>
      <w:proofErr w:type="spellStart"/>
      <w:r w:rsidRPr="003065D4">
        <w:rPr>
          <w:rStyle w:val="markedcontent"/>
          <w:rFonts w:ascii="Times New Roman" w:hAnsi="Times New Roman"/>
          <w:sz w:val="24"/>
          <w:szCs w:val="24"/>
        </w:rPr>
        <w:t>Cortesluna’s</w:t>
      </w:r>
      <w:proofErr w:type="spellEnd"/>
      <w:r w:rsidRPr="003065D4">
        <w:rPr>
          <w:rStyle w:val="markedcontent"/>
          <w:rFonts w:ascii="Times New Roman" w:hAnsi="Times New Roman"/>
          <w:sz w:val="24"/>
          <w:szCs w:val="24"/>
        </w:rPr>
        <w:t xml:space="preserve"> pants and</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 xml:space="preserve">shouted, ‘he has a knife in his left pocket, knife in his pocket,’ and directed </w:t>
      </w:r>
      <w:proofErr w:type="spellStart"/>
      <w:r w:rsidRPr="003065D4">
        <w:rPr>
          <w:rStyle w:val="markedcontent"/>
          <w:rFonts w:ascii="Times New Roman" w:hAnsi="Times New Roman"/>
          <w:sz w:val="24"/>
          <w:szCs w:val="24"/>
        </w:rPr>
        <w:t>Cortesluna</w:t>
      </w:r>
      <w:proofErr w:type="spellEnd"/>
      <w:r w:rsidRPr="003065D4">
        <w:rPr>
          <w:rStyle w:val="markedcontent"/>
          <w:rFonts w:ascii="Times New Roman" w:hAnsi="Times New Roman"/>
          <w:sz w:val="24"/>
          <w:szCs w:val="24"/>
        </w:rPr>
        <w:t xml:space="preserve">, ‘don’t put your hands </w:t>
      </w:r>
      <w:r w:rsidRPr="003065D4">
        <w:rPr>
          <w:rFonts w:ascii="Times New Roman" w:hAnsi="Times New Roman"/>
          <w:sz w:val="24"/>
          <w:szCs w:val="24"/>
        </w:rPr>
        <w:br/>
      </w:r>
      <w:r w:rsidRPr="003065D4">
        <w:rPr>
          <w:rStyle w:val="markedcontent"/>
          <w:rFonts w:ascii="Times New Roman" w:hAnsi="Times New Roman"/>
          <w:sz w:val="24"/>
          <w:szCs w:val="24"/>
        </w:rPr>
        <w:t>down,’ ‘hands up</w:t>
      </w:r>
      <w:r>
        <w:rPr>
          <w:rStyle w:val="markedcontent"/>
          <w:rFonts w:ascii="Times New Roman" w:hAnsi="Times New Roman"/>
          <w:sz w:val="24"/>
          <w:szCs w:val="24"/>
        </w:rPr>
        <w:t xml:space="preserve">….’ </w:t>
      </w:r>
      <w:proofErr w:type="spellStart"/>
      <w:r w:rsidRPr="003065D4">
        <w:rPr>
          <w:rStyle w:val="markedcontent"/>
          <w:rFonts w:ascii="Times New Roman" w:hAnsi="Times New Roman"/>
          <w:sz w:val="24"/>
          <w:szCs w:val="24"/>
        </w:rPr>
        <w:t>Cortesluna</w:t>
      </w:r>
      <w:proofErr w:type="spellEnd"/>
      <w:r w:rsidRPr="003065D4">
        <w:rPr>
          <w:rStyle w:val="markedcontent"/>
          <w:rFonts w:ascii="Times New Roman" w:hAnsi="Times New Roman"/>
          <w:sz w:val="24"/>
          <w:szCs w:val="24"/>
        </w:rPr>
        <w:t xml:space="preserve"> turned his head toward the instructing officer but then lowered his head and his hands in contravention of the officer’s orders. Another officer twice shot </w:t>
      </w:r>
      <w:proofErr w:type="spellStart"/>
      <w:r w:rsidRPr="003065D4">
        <w:rPr>
          <w:rStyle w:val="markedcontent"/>
          <w:rFonts w:ascii="Times New Roman" w:hAnsi="Times New Roman"/>
          <w:sz w:val="24"/>
          <w:szCs w:val="24"/>
        </w:rPr>
        <w:t>Cortesluna</w:t>
      </w:r>
      <w:proofErr w:type="spellEnd"/>
      <w:r w:rsidRPr="003065D4">
        <w:rPr>
          <w:rStyle w:val="markedcontent"/>
          <w:rFonts w:ascii="Times New Roman" w:hAnsi="Times New Roman"/>
          <w:sz w:val="24"/>
          <w:szCs w:val="24"/>
        </w:rPr>
        <w:t xml:space="preserve"> with a </w:t>
      </w:r>
      <w:proofErr w:type="gramStart"/>
      <w:r w:rsidRPr="003065D4">
        <w:rPr>
          <w:rStyle w:val="markedcontent"/>
          <w:rFonts w:ascii="Times New Roman" w:hAnsi="Times New Roman"/>
          <w:sz w:val="24"/>
          <w:szCs w:val="24"/>
        </w:rPr>
        <w:t>bean-bag</w:t>
      </w:r>
      <w:proofErr w:type="gramEnd"/>
      <w:r w:rsidRPr="003065D4">
        <w:rPr>
          <w:rStyle w:val="markedcontent"/>
          <w:rFonts w:ascii="Times New Roman" w:hAnsi="Times New Roman"/>
          <w:sz w:val="24"/>
          <w:szCs w:val="24"/>
        </w:rPr>
        <w:t xml:space="preserve"> round from his shotgun, once in the lower stomach and</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once in the left hip.</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 xml:space="preserve">*** </w:t>
      </w:r>
      <w:r>
        <w:rPr>
          <w:rStyle w:val="markedcontent"/>
          <w:rFonts w:ascii="Times New Roman" w:hAnsi="Times New Roman"/>
          <w:sz w:val="24"/>
          <w:szCs w:val="24"/>
        </w:rPr>
        <w:t xml:space="preserve">[Officer] </w:t>
      </w:r>
      <w:r w:rsidRPr="002C43B3">
        <w:rPr>
          <w:rStyle w:val="markedcontent"/>
          <w:rFonts w:ascii="Times New Roman" w:hAnsi="Times New Roman"/>
          <w:sz w:val="24"/>
          <w:szCs w:val="24"/>
        </w:rPr>
        <w:t xml:space="preserve">Rivas-Villegas then straddled </w:t>
      </w:r>
      <w:proofErr w:type="spellStart"/>
      <w:r w:rsidRPr="002C43B3">
        <w:rPr>
          <w:rStyle w:val="markedcontent"/>
          <w:rFonts w:ascii="Times New Roman" w:hAnsi="Times New Roman"/>
          <w:sz w:val="24"/>
          <w:szCs w:val="24"/>
        </w:rPr>
        <w:t>Cortesluna</w:t>
      </w:r>
      <w:proofErr w:type="spellEnd"/>
      <w:r w:rsidRPr="002C43B3">
        <w:rPr>
          <w:rStyle w:val="markedcontent"/>
          <w:rFonts w:ascii="Times New Roman" w:hAnsi="Times New Roman"/>
          <w:sz w:val="24"/>
          <w:szCs w:val="24"/>
        </w:rPr>
        <w:t xml:space="preserve">. He </w:t>
      </w:r>
      <w:r>
        <w:rPr>
          <w:rStyle w:val="markedcontent"/>
          <w:rFonts w:ascii="Times New Roman" w:hAnsi="Times New Roman"/>
          <w:sz w:val="24"/>
          <w:szCs w:val="24"/>
        </w:rPr>
        <w:t>p</w:t>
      </w:r>
      <w:r w:rsidRPr="002C43B3">
        <w:rPr>
          <w:rStyle w:val="markedcontent"/>
          <w:rFonts w:ascii="Times New Roman" w:hAnsi="Times New Roman"/>
          <w:sz w:val="24"/>
          <w:szCs w:val="24"/>
        </w:rPr>
        <w:t xml:space="preserve">laced his right foot on the ground next to </w:t>
      </w:r>
      <w:proofErr w:type="spellStart"/>
      <w:r w:rsidRPr="002C43B3">
        <w:rPr>
          <w:rStyle w:val="markedcontent"/>
          <w:rFonts w:ascii="Times New Roman" w:hAnsi="Times New Roman"/>
          <w:sz w:val="24"/>
          <w:szCs w:val="24"/>
        </w:rPr>
        <w:t>Cortesluna’s</w:t>
      </w:r>
      <w:proofErr w:type="spellEnd"/>
      <w:r>
        <w:rPr>
          <w:rStyle w:val="markedcontent"/>
          <w:rFonts w:ascii="Times New Roman" w:hAnsi="Times New Roman"/>
          <w:sz w:val="24"/>
          <w:szCs w:val="24"/>
        </w:rPr>
        <w:t xml:space="preserve"> </w:t>
      </w:r>
      <w:r w:rsidRPr="002C43B3">
        <w:rPr>
          <w:rStyle w:val="markedcontent"/>
          <w:rFonts w:ascii="Times New Roman" w:hAnsi="Times New Roman"/>
          <w:sz w:val="24"/>
          <w:szCs w:val="24"/>
        </w:rPr>
        <w:t>right side with his right leg bent at the knee. He placed his</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 xml:space="preserve">left knee on the left side of </w:t>
      </w:r>
      <w:proofErr w:type="spellStart"/>
      <w:r w:rsidRPr="002C43B3">
        <w:rPr>
          <w:rStyle w:val="markedcontent"/>
          <w:rFonts w:ascii="Times New Roman" w:hAnsi="Times New Roman"/>
          <w:sz w:val="24"/>
          <w:szCs w:val="24"/>
        </w:rPr>
        <w:t>Cortesluna’s</w:t>
      </w:r>
      <w:proofErr w:type="spellEnd"/>
      <w:r w:rsidRPr="002C43B3">
        <w:rPr>
          <w:rStyle w:val="markedcontent"/>
          <w:rFonts w:ascii="Times New Roman" w:hAnsi="Times New Roman"/>
          <w:sz w:val="24"/>
          <w:szCs w:val="24"/>
        </w:rPr>
        <w:t xml:space="preserve"> back, near where </w:t>
      </w:r>
      <w:r w:rsidRPr="002C43B3">
        <w:rPr>
          <w:rFonts w:ascii="Times New Roman" w:hAnsi="Times New Roman"/>
          <w:sz w:val="24"/>
          <w:szCs w:val="24"/>
        </w:rPr>
        <w:br/>
      </w:r>
      <w:proofErr w:type="spellStart"/>
      <w:r w:rsidRPr="002C43B3">
        <w:rPr>
          <w:rStyle w:val="markedcontent"/>
          <w:rFonts w:ascii="Times New Roman" w:hAnsi="Times New Roman"/>
          <w:sz w:val="24"/>
          <w:szCs w:val="24"/>
        </w:rPr>
        <w:t>Cortesluna</w:t>
      </w:r>
      <w:proofErr w:type="spellEnd"/>
      <w:r w:rsidRPr="002C43B3">
        <w:rPr>
          <w:rStyle w:val="markedcontent"/>
          <w:rFonts w:ascii="Times New Roman" w:hAnsi="Times New Roman"/>
          <w:sz w:val="24"/>
          <w:szCs w:val="24"/>
        </w:rPr>
        <w:t xml:space="preserve"> had a knife in his pocket. He raised both of </w:t>
      </w:r>
      <w:proofErr w:type="spellStart"/>
      <w:r w:rsidRPr="002C43B3">
        <w:rPr>
          <w:rStyle w:val="markedcontent"/>
          <w:rFonts w:ascii="Times New Roman" w:hAnsi="Times New Roman"/>
          <w:sz w:val="24"/>
          <w:szCs w:val="24"/>
        </w:rPr>
        <w:t>Cortesluna’s</w:t>
      </w:r>
      <w:proofErr w:type="spellEnd"/>
      <w:r w:rsidRPr="002C43B3">
        <w:rPr>
          <w:rStyle w:val="markedcontent"/>
          <w:rFonts w:ascii="Times New Roman" w:hAnsi="Times New Roman"/>
          <w:sz w:val="24"/>
          <w:szCs w:val="24"/>
        </w:rPr>
        <w:t xml:space="preserve"> arms up behind his back. Rivas-Villegas was in</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 xml:space="preserve">this position for no more than eight seconds before standing </w:t>
      </w:r>
      <w:r w:rsidRPr="002C43B3">
        <w:rPr>
          <w:rFonts w:ascii="Times New Roman" w:hAnsi="Times New Roman"/>
          <w:sz w:val="24"/>
          <w:szCs w:val="24"/>
        </w:rPr>
        <w:br/>
      </w:r>
      <w:r w:rsidRPr="002C43B3">
        <w:rPr>
          <w:rStyle w:val="markedcontent"/>
          <w:rFonts w:ascii="Times New Roman" w:hAnsi="Times New Roman"/>
          <w:sz w:val="24"/>
          <w:szCs w:val="24"/>
        </w:rPr>
        <w:t xml:space="preserve">up while continuing to hold </w:t>
      </w:r>
      <w:proofErr w:type="spellStart"/>
      <w:r w:rsidRPr="002C43B3">
        <w:rPr>
          <w:rStyle w:val="markedcontent"/>
          <w:rFonts w:ascii="Times New Roman" w:hAnsi="Times New Roman"/>
          <w:sz w:val="24"/>
          <w:szCs w:val="24"/>
        </w:rPr>
        <w:t>Cortesluna’s</w:t>
      </w:r>
      <w:proofErr w:type="spellEnd"/>
      <w:r w:rsidRPr="002C43B3">
        <w:rPr>
          <w:rStyle w:val="markedcontent"/>
          <w:rFonts w:ascii="Times New Roman" w:hAnsi="Times New Roman"/>
          <w:sz w:val="24"/>
          <w:szCs w:val="24"/>
        </w:rPr>
        <w:t xml:space="preserve"> arms</w:t>
      </w:r>
      <w:r>
        <w:rPr>
          <w:rStyle w:val="markedcontent"/>
          <w:rFonts w:ascii="Times New Roman" w:hAnsi="Times New Roman"/>
          <w:sz w:val="24"/>
          <w:szCs w:val="24"/>
        </w:rPr>
        <w:t xml:space="preserve">.” </w:t>
      </w:r>
    </w:p>
    <w:p w14:paraId="4FE27F0B" w14:textId="77777777" w:rsidR="0082055F" w:rsidRPr="002C43B3" w:rsidRDefault="0082055F" w:rsidP="0082055F">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Holding reversing 9</w:t>
      </w:r>
      <w:r w:rsidRPr="00D427A9">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w:t>
      </w:r>
      <w:r w:rsidRPr="002C43B3">
        <w:rPr>
          <w:rStyle w:val="markedcontent"/>
          <w:rFonts w:ascii="Times New Roman" w:hAnsi="Times New Roman"/>
          <w:sz w:val="24"/>
          <w:szCs w:val="24"/>
        </w:rPr>
        <w:t xml:space="preserve">On the facts of this case, neither </w:t>
      </w:r>
      <w:r w:rsidRPr="002C43B3">
        <w:rPr>
          <w:rStyle w:val="markedcontent"/>
          <w:rFonts w:ascii="Times New Roman" w:hAnsi="Times New Roman"/>
          <w:sz w:val="24"/>
          <w:szCs w:val="24"/>
          <w:u w:val="single"/>
        </w:rPr>
        <w:t>LaLonde</w:t>
      </w:r>
      <w:r w:rsidRPr="002C43B3">
        <w:rPr>
          <w:rStyle w:val="markedcontent"/>
          <w:rFonts w:ascii="Times New Roman" w:hAnsi="Times New Roman"/>
          <w:sz w:val="24"/>
          <w:szCs w:val="24"/>
        </w:rPr>
        <w:t xml:space="preserve"> nor any decision of this Court is sufficiently similar. For that reason, we grant Rivas-Villegas’ petition for certiorari and reverse the Ninth Circuit’s determination that Rivas-Villegas is not entitled to qualified immunity.</w:t>
      </w:r>
      <w:r>
        <w:rPr>
          <w:rStyle w:val="markedcontent"/>
          <w:rFonts w:ascii="Times New Roman" w:hAnsi="Times New Roman"/>
          <w:sz w:val="24"/>
          <w:szCs w:val="24"/>
        </w:rPr>
        <w:t>”</w:t>
      </w:r>
    </w:p>
    <w:p w14:paraId="3F30B352" w14:textId="77777777" w:rsidR="0082055F" w:rsidRPr="003065D4" w:rsidRDefault="0082055F" w:rsidP="0082055F">
      <w:pPr>
        <w:spacing w:before="100" w:beforeAutospacing="1" w:after="100" w:afterAutospacing="1" w:line="240" w:lineRule="auto"/>
        <w:ind w:left="720"/>
        <w:rPr>
          <w:rFonts w:ascii="Times New Roman" w:hAnsi="Times New Roman"/>
          <w:sz w:val="24"/>
          <w:szCs w:val="24"/>
        </w:rPr>
      </w:pPr>
      <w:r w:rsidRPr="002C43B3">
        <w:rPr>
          <w:rStyle w:val="markedcontent"/>
          <w:rFonts w:ascii="Times New Roman" w:hAnsi="Times New Roman"/>
          <w:sz w:val="24"/>
          <w:szCs w:val="24"/>
          <w:u w:val="single"/>
        </w:rPr>
        <w:t xml:space="preserve">CITY OF TAHLEQUAH, OKLAHOMA, ET AL. v. AUSTIN </w:t>
      </w:r>
      <w:r w:rsidRPr="002C43B3">
        <w:rPr>
          <w:rFonts w:ascii="Times New Roman" w:hAnsi="Times New Roman"/>
          <w:sz w:val="24"/>
          <w:szCs w:val="24"/>
          <w:u w:val="single"/>
        </w:rPr>
        <w:br/>
      </w:r>
      <w:r w:rsidRPr="002C43B3">
        <w:rPr>
          <w:rStyle w:val="markedcontent"/>
          <w:rFonts w:ascii="Times New Roman" w:hAnsi="Times New Roman"/>
          <w:sz w:val="24"/>
          <w:szCs w:val="24"/>
          <w:u w:val="single"/>
        </w:rPr>
        <w:t xml:space="preserve">P. BOND, AS SPECIAL ADMINISTRATOR OF THE ESTATE OF </w:t>
      </w:r>
      <w:r w:rsidRPr="002C43B3">
        <w:rPr>
          <w:rFonts w:ascii="Times New Roman" w:hAnsi="Times New Roman"/>
          <w:sz w:val="24"/>
          <w:szCs w:val="24"/>
          <w:u w:val="single"/>
        </w:rPr>
        <w:br/>
      </w:r>
      <w:r w:rsidRPr="002C43B3">
        <w:rPr>
          <w:rStyle w:val="markedcontent"/>
          <w:rFonts w:ascii="Times New Roman" w:hAnsi="Times New Roman"/>
          <w:sz w:val="24"/>
          <w:szCs w:val="24"/>
          <w:u w:val="single"/>
        </w:rPr>
        <w:t>DOMINIC F. ROLLICE, DECEASED</w:t>
      </w:r>
      <w:r w:rsidRPr="003065D4">
        <w:rPr>
          <w:rStyle w:val="markedcontent"/>
          <w:rFonts w:ascii="Times New Roman" w:hAnsi="Times New Roman"/>
          <w:sz w:val="24"/>
          <w:szCs w:val="24"/>
        </w:rPr>
        <w:t xml:space="preserve">: </w:t>
      </w:r>
      <w:hyperlink r:id="rId899" w:history="1">
        <w:r w:rsidRPr="003065D4">
          <w:rPr>
            <w:rStyle w:val="Hyperlink"/>
            <w:sz w:val="24"/>
            <w:szCs w:val="24"/>
          </w:rPr>
          <w:t>https://www.supremecourt.gov/opinions/21pdf/20-1668_19m2.pdf</w:t>
        </w:r>
      </w:hyperlink>
      <w:r w:rsidRPr="003065D4">
        <w:rPr>
          <w:rFonts w:ascii="Times New Roman" w:hAnsi="Times New Roman"/>
          <w:sz w:val="24"/>
          <w:szCs w:val="24"/>
        </w:rPr>
        <w:t xml:space="preserve"> </w:t>
      </w:r>
    </w:p>
    <w:p w14:paraId="4A5C20F6" w14:textId="77777777" w:rsidR="0082055F" w:rsidRDefault="0082055F" w:rsidP="0082055F">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r w:rsidRPr="003065D4">
        <w:rPr>
          <w:rStyle w:val="markedcontent"/>
          <w:rFonts w:ascii="Times New Roman" w:hAnsi="Times New Roman"/>
          <w:sz w:val="24"/>
          <w:szCs w:val="24"/>
        </w:rPr>
        <w:t>At this point the video is no longer</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 xml:space="preserve">silent, and the officers can be heard yelling at </w:t>
      </w:r>
      <w:proofErr w:type="spellStart"/>
      <w:r w:rsidRPr="003065D4">
        <w:rPr>
          <w:rStyle w:val="markedcontent"/>
          <w:rFonts w:ascii="Times New Roman" w:hAnsi="Times New Roman"/>
          <w:sz w:val="24"/>
          <w:szCs w:val="24"/>
        </w:rPr>
        <w:t>Rollice</w:t>
      </w:r>
      <w:proofErr w:type="spellEnd"/>
      <w:r w:rsidRPr="003065D4">
        <w:rPr>
          <w:rStyle w:val="markedcontent"/>
          <w:rFonts w:ascii="Times New Roman" w:hAnsi="Times New Roman"/>
          <w:sz w:val="24"/>
          <w:szCs w:val="24"/>
        </w:rPr>
        <w:t xml:space="preserve"> to drop the hammer.</w:t>
      </w:r>
      <w:r>
        <w:rPr>
          <w:rStyle w:val="markedcontent"/>
          <w:rFonts w:ascii="Times New Roman" w:hAnsi="Times New Roman"/>
          <w:sz w:val="24"/>
          <w:szCs w:val="24"/>
        </w:rPr>
        <w:t xml:space="preserve"> </w:t>
      </w:r>
      <w:r w:rsidRPr="003065D4">
        <w:rPr>
          <w:rStyle w:val="markedcontent"/>
          <w:rFonts w:ascii="Times New Roman" w:hAnsi="Times New Roman"/>
          <w:sz w:val="24"/>
          <w:szCs w:val="24"/>
        </w:rPr>
        <w:t xml:space="preserve">He did not. Instead, </w:t>
      </w:r>
      <w:proofErr w:type="spellStart"/>
      <w:r w:rsidRPr="003065D4">
        <w:rPr>
          <w:rStyle w:val="markedcontent"/>
          <w:rFonts w:ascii="Times New Roman" w:hAnsi="Times New Roman"/>
          <w:sz w:val="24"/>
          <w:szCs w:val="24"/>
        </w:rPr>
        <w:t>Rollice</w:t>
      </w:r>
      <w:proofErr w:type="spellEnd"/>
      <w:r w:rsidRPr="003065D4">
        <w:rPr>
          <w:rStyle w:val="markedcontent"/>
          <w:rFonts w:ascii="Times New Roman" w:hAnsi="Times New Roman"/>
          <w:sz w:val="24"/>
          <w:szCs w:val="24"/>
        </w:rPr>
        <w:t xml:space="preserve"> took a few steps to his right, coming out from behind a piece of furniture so that he had an unobstructed path to Officer Girdner. He then raised the hammer higher back behind his head and took a stance as if he was about to throw the hammer or charge at the officers. In response, Officers Girdner and Vick fired their weapons, killing </w:t>
      </w:r>
      <w:proofErr w:type="spellStart"/>
      <w:r w:rsidRPr="003065D4">
        <w:rPr>
          <w:rStyle w:val="markedcontent"/>
          <w:rFonts w:ascii="Times New Roman" w:hAnsi="Times New Roman"/>
          <w:sz w:val="24"/>
          <w:szCs w:val="24"/>
        </w:rPr>
        <w:t>Rollice</w:t>
      </w:r>
      <w:proofErr w:type="spellEnd"/>
      <w:r w:rsidRPr="003065D4">
        <w:rPr>
          <w:rStyle w:val="markedcontent"/>
          <w:rFonts w:ascii="Times New Roman" w:hAnsi="Times New Roman"/>
          <w:sz w:val="24"/>
          <w:szCs w:val="24"/>
        </w:rPr>
        <w:t>.</w:t>
      </w:r>
      <w:r>
        <w:rPr>
          <w:rStyle w:val="markedcontent"/>
          <w:rFonts w:ascii="Times New Roman" w:hAnsi="Times New Roman"/>
          <w:sz w:val="24"/>
          <w:szCs w:val="24"/>
        </w:rPr>
        <w:t>”</w:t>
      </w:r>
    </w:p>
    <w:p w14:paraId="4B6964D8" w14:textId="77777777" w:rsidR="0082055F" w:rsidRPr="002C43B3" w:rsidRDefault="0082055F" w:rsidP="0082055F">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Holding reversing 10</w:t>
      </w:r>
      <w:r w:rsidRPr="00D427A9">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w:t>
      </w:r>
      <w:r w:rsidRPr="002C43B3">
        <w:rPr>
          <w:rStyle w:val="markedcontent"/>
          <w:rFonts w:ascii="Times New Roman" w:hAnsi="Times New Roman"/>
          <w:sz w:val="24"/>
          <w:szCs w:val="24"/>
        </w:rPr>
        <w:t xml:space="preserve">Neither the panel majority </w:t>
      </w:r>
      <w:r>
        <w:rPr>
          <w:rStyle w:val="markedcontent"/>
          <w:rFonts w:ascii="Times New Roman" w:hAnsi="Times New Roman"/>
          <w:sz w:val="24"/>
          <w:szCs w:val="24"/>
        </w:rPr>
        <w:t>[10</w:t>
      </w:r>
      <w:r w:rsidRPr="002C43B3">
        <w:rPr>
          <w:rStyle w:val="markedcontent"/>
          <w:rFonts w:ascii="Times New Roman" w:hAnsi="Times New Roman"/>
          <w:sz w:val="24"/>
          <w:szCs w:val="24"/>
          <w:vertAlign w:val="superscript"/>
        </w:rPr>
        <w:t>th</w:t>
      </w:r>
      <w:r>
        <w:rPr>
          <w:rStyle w:val="markedcontent"/>
          <w:rFonts w:ascii="Times New Roman" w:hAnsi="Times New Roman"/>
          <w:sz w:val="24"/>
          <w:szCs w:val="24"/>
        </w:rPr>
        <w:t xml:space="preserve"> Circuit panel of 3 judges] </w:t>
      </w:r>
      <w:r w:rsidRPr="002C43B3">
        <w:rPr>
          <w:rStyle w:val="markedcontent"/>
          <w:rFonts w:ascii="Times New Roman" w:hAnsi="Times New Roman"/>
          <w:sz w:val="24"/>
          <w:szCs w:val="24"/>
        </w:rPr>
        <w:t>nor the respondent have identified a single precedent finding a Fourth Amendment violation under similar circumstances. The officers were thus entitled to qualified immunity.</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The petition for certiorari and the motions for leave to file briefs amici curiae are granted, and the judgment of the</w:t>
      </w:r>
      <w:r>
        <w:rPr>
          <w:rStyle w:val="markedcontent"/>
          <w:rFonts w:ascii="Times New Roman" w:hAnsi="Times New Roman"/>
          <w:sz w:val="24"/>
          <w:szCs w:val="24"/>
        </w:rPr>
        <w:t xml:space="preserve"> </w:t>
      </w:r>
      <w:r w:rsidRPr="002C43B3">
        <w:rPr>
          <w:rStyle w:val="markedcontent"/>
          <w:rFonts w:ascii="Times New Roman" w:hAnsi="Times New Roman"/>
          <w:sz w:val="24"/>
          <w:szCs w:val="24"/>
        </w:rPr>
        <w:t>Court of Appeals is reversed.</w:t>
      </w:r>
      <w:r>
        <w:rPr>
          <w:rStyle w:val="markedcontent"/>
          <w:rFonts w:ascii="Times New Roman" w:hAnsi="Times New Roman"/>
          <w:sz w:val="24"/>
          <w:szCs w:val="24"/>
        </w:rPr>
        <w:t xml:space="preserve">” </w:t>
      </w:r>
    </w:p>
    <w:p w14:paraId="254E8664" w14:textId="77777777" w:rsidR="0082055F" w:rsidRDefault="0082055F" w:rsidP="0082055F">
      <w:pPr>
        <w:spacing w:before="100" w:beforeAutospacing="1" w:after="100" w:afterAutospacing="1" w:line="240" w:lineRule="auto"/>
        <w:rPr>
          <w:rFonts w:ascii="Times New Roman" w:hAnsi="Times New Roman"/>
          <w:b/>
          <w:bCs/>
          <w:sz w:val="24"/>
          <w:szCs w:val="24"/>
        </w:rPr>
      </w:pPr>
      <w:r w:rsidRPr="002C43B3">
        <w:rPr>
          <w:rFonts w:ascii="Times New Roman" w:hAnsi="Times New Roman"/>
          <w:b/>
          <w:bCs/>
          <w:sz w:val="24"/>
          <w:szCs w:val="24"/>
        </w:rPr>
        <w:t xml:space="preserve">Legal Lesson Learned: </w:t>
      </w:r>
      <w:r>
        <w:rPr>
          <w:rFonts w:ascii="Times New Roman" w:hAnsi="Times New Roman"/>
          <w:b/>
          <w:bCs/>
          <w:sz w:val="24"/>
          <w:szCs w:val="24"/>
        </w:rPr>
        <w:t xml:space="preserve">These unanimous decisions are not only helpful for police officers, but also to Fire &amp; EMS incident commanders are others needing to make rapid decisions. </w:t>
      </w:r>
    </w:p>
    <w:p w14:paraId="50866E96" w14:textId="77777777" w:rsidR="0082055F" w:rsidRPr="00D427A9" w:rsidRDefault="0082055F" w:rsidP="0082055F">
      <w:pPr>
        <w:spacing w:before="100" w:beforeAutospacing="1" w:after="100" w:afterAutospacing="1" w:line="240" w:lineRule="auto"/>
        <w:ind w:left="720"/>
        <w:rPr>
          <w:rFonts w:ascii="Times New Roman" w:eastAsia="Times New Roman" w:hAnsi="Times New Roman"/>
          <w:kern w:val="36"/>
          <w:sz w:val="24"/>
          <w:szCs w:val="24"/>
        </w:rPr>
      </w:pPr>
      <w:r w:rsidRPr="00D427A9">
        <w:rPr>
          <w:rFonts w:ascii="Times New Roman" w:hAnsi="Times New Roman"/>
          <w:sz w:val="24"/>
          <w:szCs w:val="24"/>
        </w:rPr>
        <w:t>Note: See article, Oct. 18, 20</w:t>
      </w:r>
      <w:r>
        <w:rPr>
          <w:rFonts w:ascii="Times New Roman" w:hAnsi="Times New Roman"/>
          <w:sz w:val="24"/>
          <w:szCs w:val="24"/>
        </w:rPr>
        <w:t>21</w:t>
      </w:r>
      <w:r w:rsidRPr="00D427A9">
        <w:rPr>
          <w:rFonts w:ascii="Times New Roman" w:hAnsi="Times New Roman"/>
          <w:sz w:val="24"/>
          <w:szCs w:val="24"/>
        </w:rPr>
        <w:t>, “</w:t>
      </w:r>
      <w:r w:rsidRPr="00D427A9">
        <w:rPr>
          <w:rFonts w:ascii="Times New Roman" w:eastAsia="Times New Roman" w:hAnsi="Times New Roman"/>
          <w:kern w:val="36"/>
          <w:sz w:val="24"/>
          <w:szCs w:val="24"/>
        </w:rPr>
        <w:t xml:space="preserve">The U.S. Supreme Court rules in favor of officers accused of excessive force.” </w:t>
      </w:r>
      <w:hyperlink r:id="rId900" w:history="1">
        <w:r w:rsidRPr="00ED2C8C">
          <w:rPr>
            <w:rStyle w:val="Hyperlink"/>
            <w:sz w:val="24"/>
            <w:szCs w:val="24"/>
          </w:rPr>
          <w:t>https://www.npr.org/2021/10/18/1047085626/supreme-court-police-qualified-immunity-cases</w:t>
        </w:r>
      </w:hyperlink>
      <w:r>
        <w:rPr>
          <w:rFonts w:ascii="Times New Roman" w:eastAsia="Times New Roman" w:hAnsi="Times New Roman"/>
          <w:kern w:val="36"/>
          <w:sz w:val="24"/>
          <w:szCs w:val="24"/>
        </w:rPr>
        <w:t xml:space="preserve"> </w:t>
      </w:r>
      <w:r>
        <w:rPr>
          <w:rFonts w:ascii="Times New Roman" w:hAnsi="Times New Roman"/>
          <w:sz w:val="24"/>
          <w:szCs w:val="24"/>
        </w:rPr>
        <w:t>“</w:t>
      </w:r>
      <w:r w:rsidRPr="00D427A9">
        <w:rPr>
          <w:rFonts w:ascii="Times New Roman" w:hAnsi="Times New Roman"/>
          <w:sz w:val="24"/>
          <w:szCs w:val="24"/>
        </w:rPr>
        <w:t xml:space="preserve">Congressional Democrats have made multiple attempts in recent years to limit qualified immunity, though none has been successful. The George Floyd Justice </w:t>
      </w:r>
      <w:proofErr w:type="gramStart"/>
      <w:r w:rsidRPr="00D427A9">
        <w:rPr>
          <w:rFonts w:ascii="Times New Roman" w:hAnsi="Times New Roman"/>
          <w:sz w:val="24"/>
          <w:szCs w:val="24"/>
        </w:rPr>
        <w:t>In</w:t>
      </w:r>
      <w:proofErr w:type="gramEnd"/>
      <w:r w:rsidRPr="00D427A9">
        <w:rPr>
          <w:rFonts w:ascii="Times New Roman" w:hAnsi="Times New Roman"/>
          <w:sz w:val="24"/>
          <w:szCs w:val="24"/>
        </w:rPr>
        <w:t xml:space="preserve"> Policing Act, which passed the House, would have restricted the defense, but negotiations over a compromise bill petered out earlier this year.</w:t>
      </w:r>
      <w:r>
        <w:rPr>
          <w:rFonts w:ascii="Times New Roman" w:hAnsi="Times New Roman"/>
          <w:sz w:val="24"/>
          <w:szCs w:val="24"/>
        </w:rPr>
        <w:t>”</w:t>
      </w:r>
    </w:p>
    <w:p w14:paraId="3C32BFC4" w14:textId="77777777" w:rsidR="0082055F" w:rsidRDefault="0082055F" w:rsidP="002B1283">
      <w:pPr>
        <w:rPr>
          <w:rStyle w:val="Hyperlink"/>
          <w:rFonts w:ascii="Arial Black" w:hAnsi="Arial Black"/>
          <w:b/>
          <w:color w:val="auto"/>
          <w:sz w:val="24"/>
          <w:szCs w:val="24"/>
          <w:u w:val="none"/>
        </w:rPr>
      </w:pPr>
    </w:p>
    <w:p w14:paraId="543093BB" w14:textId="63D6A2DC" w:rsidR="00382F02" w:rsidRDefault="00382F02"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4-16</w:t>
      </w:r>
    </w:p>
    <w:p w14:paraId="41BF3B7E" w14:textId="77777777" w:rsidR="00382F02" w:rsidRPr="00E05DC9" w:rsidRDefault="00382F02" w:rsidP="00382F02">
      <w:pPr>
        <w:pStyle w:val="Heading1"/>
        <w:rPr>
          <w:rFonts w:ascii="Arial Black" w:hAnsi="Arial Black"/>
          <w:b w:val="0"/>
          <w:bCs w:val="0"/>
          <w:sz w:val="28"/>
          <w:szCs w:val="28"/>
        </w:rPr>
      </w:pPr>
      <w:bookmarkStart w:id="175" w:name="_Hlk81841658"/>
      <w:r w:rsidRPr="00E05DC9">
        <w:rPr>
          <w:rFonts w:ascii="Arial Black" w:hAnsi="Arial Black"/>
          <w:b w:val="0"/>
          <w:bCs w:val="0"/>
          <w:sz w:val="28"/>
          <w:szCs w:val="28"/>
        </w:rPr>
        <w:t xml:space="preserve">NY: </w:t>
      </w:r>
      <w:r>
        <w:rPr>
          <w:rFonts w:ascii="Arial Black" w:hAnsi="Arial Black"/>
          <w:b w:val="0"/>
          <w:bCs w:val="0"/>
          <w:sz w:val="28"/>
          <w:szCs w:val="28"/>
        </w:rPr>
        <w:t>STRUCTURE FIRE, TWO DEAD – INCIDENT COMMANDER NO LIABILITY - NO “SPECIAL DUTY” OWED RESIDENTS</w:t>
      </w:r>
    </w:p>
    <w:bookmarkEnd w:id="175"/>
    <w:p w14:paraId="70136CC0" w14:textId="77777777" w:rsidR="00362EB6" w:rsidRPr="00362EB6" w:rsidRDefault="00382F02" w:rsidP="00362EB6">
      <w:pPr>
        <w:pStyle w:val="Heading1"/>
        <w:rPr>
          <w:b w:val="0"/>
          <w:bCs w:val="0"/>
          <w:sz w:val="24"/>
          <w:szCs w:val="24"/>
        </w:rPr>
      </w:pPr>
      <w:r>
        <w:rPr>
          <w:b w:val="0"/>
          <w:bCs w:val="0"/>
          <w:sz w:val="24"/>
          <w:szCs w:val="24"/>
        </w:rPr>
        <w:t xml:space="preserve">On Aug. 26, 2021, in </w:t>
      </w:r>
      <w:r w:rsidRPr="007029FC">
        <w:rPr>
          <w:b w:val="0"/>
          <w:bCs w:val="0"/>
          <w:sz w:val="24"/>
          <w:szCs w:val="24"/>
          <w:u w:val="single"/>
        </w:rPr>
        <w:t xml:space="preserve">Christopher M. (Administrator of Estate of Heather M. and T.M.) v. Christopher J. Mineo, Assistant Fire Chief of </w:t>
      </w:r>
      <w:proofErr w:type="gramStart"/>
      <w:r w:rsidRPr="007029FC">
        <w:rPr>
          <w:b w:val="0"/>
          <w:bCs w:val="0"/>
          <w:sz w:val="24"/>
          <w:szCs w:val="24"/>
          <w:u w:val="single"/>
        </w:rPr>
        <w:t>Yorkville Fire</w:t>
      </w:r>
      <w:proofErr w:type="gramEnd"/>
      <w:r w:rsidRPr="007029FC">
        <w:rPr>
          <w:b w:val="0"/>
          <w:bCs w:val="0"/>
          <w:sz w:val="24"/>
          <w:szCs w:val="24"/>
          <w:u w:val="single"/>
        </w:rPr>
        <w:t xml:space="preserve"> Department, et al</w:t>
      </w:r>
      <w:r>
        <w:rPr>
          <w:b w:val="0"/>
          <w:bCs w:val="0"/>
          <w:sz w:val="24"/>
          <w:szCs w:val="24"/>
        </w:rPr>
        <w:t xml:space="preserve">., the Supreme Court of New York, Fourth Department, held </w:t>
      </w:r>
      <w:r w:rsidRPr="00873015">
        <w:rPr>
          <w:b w:val="0"/>
          <w:bCs w:val="0"/>
          <w:sz w:val="24"/>
          <w:szCs w:val="24"/>
        </w:rPr>
        <w:t>(5 to 0)</w:t>
      </w:r>
      <w:r>
        <w:rPr>
          <w:b w:val="0"/>
          <w:bCs w:val="0"/>
          <w:sz w:val="24"/>
          <w:szCs w:val="24"/>
        </w:rPr>
        <w:t xml:space="preserve"> that the lawsuit was properly dismissed concerning the Jan. 18, </w:t>
      </w:r>
      <w:proofErr w:type="gramStart"/>
      <w:r>
        <w:rPr>
          <w:b w:val="0"/>
          <w:bCs w:val="0"/>
          <w:sz w:val="24"/>
          <w:szCs w:val="24"/>
        </w:rPr>
        <w:t>2018</w:t>
      </w:r>
      <w:proofErr w:type="gramEnd"/>
      <w:r>
        <w:rPr>
          <w:b w:val="0"/>
          <w:bCs w:val="0"/>
          <w:sz w:val="24"/>
          <w:szCs w:val="24"/>
        </w:rPr>
        <w:t xml:space="preserve"> structure fire in upstairs apartment.  Plaintiff alleged the Assistant Chief called other volunteer fire departments but was “grossly negligent” in not seeking mutual aid from the career Utica Fire Department located 6 miles from the scene.</w:t>
      </w:r>
      <w:r w:rsidR="00362EB6">
        <w:rPr>
          <w:b w:val="0"/>
          <w:bCs w:val="0"/>
          <w:sz w:val="24"/>
          <w:szCs w:val="24"/>
        </w:rPr>
        <w:t xml:space="preserve"> </w:t>
      </w:r>
      <w:hyperlink r:id="rId901" w:history="1">
        <w:r w:rsidR="00362EB6" w:rsidRPr="00362EB6">
          <w:rPr>
            <w:rStyle w:val="Hyperlink"/>
            <w:b w:val="0"/>
            <w:bCs w:val="0"/>
            <w:sz w:val="24"/>
            <w:szCs w:val="24"/>
          </w:rPr>
          <w:t>https://public.fastcase.com/9SKwsfNqTc6OieYDhNMyM6VI9jzZ8Wjh0KgpobjMibbiOoRUyOE%2BZu2RC4EQbfMf</w:t>
        </w:r>
      </w:hyperlink>
      <w:r w:rsidR="00362EB6" w:rsidRPr="00362EB6">
        <w:rPr>
          <w:b w:val="0"/>
          <w:bCs w:val="0"/>
          <w:sz w:val="24"/>
          <w:szCs w:val="24"/>
        </w:rPr>
        <w:t xml:space="preserve"> </w:t>
      </w:r>
    </w:p>
    <w:p w14:paraId="605A3194" w14:textId="2C1C0837" w:rsidR="00382F02" w:rsidRDefault="00362EB6" w:rsidP="00382F02">
      <w:pPr>
        <w:pStyle w:val="Heading1"/>
        <w:rPr>
          <w:b w:val="0"/>
          <w:bCs w:val="0"/>
          <w:sz w:val="24"/>
          <w:szCs w:val="24"/>
        </w:rPr>
      </w:pPr>
      <w:r>
        <w:rPr>
          <w:b w:val="0"/>
          <w:bCs w:val="0"/>
          <w:sz w:val="24"/>
          <w:szCs w:val="24"/>
        </w:rPr>
        <w:t>THE COURT HELD:</w:t>
      </w:r>
    </w:p>
    <w:p w14:paraId="6CBCC57E" w14:textId="2931DC80" w:rsidR="006E75ED" w:rsidRPr="00873015" w:rsidRDefault="00382F02" w:rsidP="00382F02">
      <w:pPr>
        <w:pStyle w:val="Heading1"/>
        <w:ind w:left="720"/>
        <w:rPr>
          <w:b w:val="0"/>
          <w:bCs w:val="0"/>
          <w:sz w:val="24"/>
          <w:szCs w:val="24"/>
        </w:rPr>
      </w:pPr>
      <w:r>
        <w:rPr>
          <w:b w:val="0"/>
          <w:bCs w:val="0"/>
          <w:sz w:val="24"/>
          <w:szCs w:val="24"/>
        </w:rPr>
        <w:t>“</w:t>
      </w:r>
      <w:r w:rsidRPr="00873015">
        <w:rPr>
          <w:b w:val="0"/>
          <w:bCs w:val="0"/>
          <w:sz w:val="24"/>
          <w:szCs w:val="24"/>
        </w:rPr>
        <w:t>We affirm for reasons stated in the decision at Supreme Court. We write only to note that, inasmuch as plaintiff correctly concedes in his appellate brief that the amended complaint fails to allege the existence of a special duty, the court properly granted those parts of the motions of defendants Nicholas Morosco, individually, and as Assistant Fire Chief of the Yorkville Fire Department, the Yorkville Fire and Hose Company, Inc., and the Village of Yorkville, seeking to dismiss the sixth cause of action, which is against Morosco for gross negligence</w:t>
      </w:r>
      <w:r>
        <w:rPr>
          <w:b w:val="0"/>
          <w:bCs w:val="0"/>
          <w:sz w:val="24"/>
          <w:szCs w:val="24"/>
        </w:rPr>
        <w:t xml:space="preserve">…. </w:t>
      </w:r>
      <w:r w:rsidRPr="00873015">
        <w:rPr>
          <w:b w:val="0"/>
          <w:bCs w:val="0"/>
          <w:sz w:val="24"/>
          <w:szCs w:val="24"/>
        </w:rPr>
        <w:t>"Without a [special] duty running directly to the injured person[, ] there can be no liability in damages, however careless the conduct or foreseeable the harm" (</w:t>
      </w:r>
      <w:r w:rsidRPr="00873015">
        <w:rPr>
          <w:rStyle w:val="Emphasis"/>
          <w:sz w:val="24"/>
          <w:szCs w:val="24"/>
        </w:rPr>
        <w:t>Lauer v City of New York</w:t>
      </w:r>
      <w:r w:rsidRPr="00873015">
        <w:rPr>
          <w:b w:val="0"/>
          <w:bCs w:val="0"/>
          <w:sz w:val="24"/>
          <w:szCs w:val="24"/>
        </w:rPr>
        <w:t>, 95 N.Y.2d 95, 100 [2000]). Thus, contrary to plaintiff's contention, even if we accept as true the allegation that Morosco was grossly negligent and we accord plaintiff the benefit of every possible favorable inference (</w:t>
      </w:r>
      <w:r w:rsidRPr="00873015">
        <w:rPr>
          <w:rStyle w:val="Emphasis"/>
          <w:sz w:val="24"/>
          <w:szCs w:val="24"/>
        </w:rPr>
        <w:t>see Leon v Martinez</w:t>
      </w:r>
      <w:r w:rsidRPr="00873015">
        <w:rPr>
          <w:b w:val="0"/>
          <w:bCs w:val="0"/>
          <w:sz w:val="24"/>
          <w:szCs w:val="24"/>
        </w:rPr>
        <w:t xml:space="preserve">, 84 N.Y.2d 83, 87-88 [1994]), </w:t>
      </w:r>
      <w:r>
        <w:rPr>
          <w:b w:val="0"/>
          <w:bCs w:val="0"/>
          <w:sz w:val="24"/>
          <w:szCs w:val="24"/>
        </w:rPr>
        <w:t>‘</w:t>
      </w:r>
      <w:r w:rsidRPr="00873015">
        <w:rPr>
          <w:b w:val="0"/>
          <w:bCs w:val="0"/>
          <w:sz w:val="24"/>
          <w:szCs w:val="24"/>
        </w:rPr>
        <w:t>in the absence of a special duty there can be no liability</w:t>
      </w:r>
      <w:r>
        <w:rPr>
          <w:b w:val="0"/>
          <w:bCs w:val="0"/>
          <w:sz w:val="24"/>
          <w:szCs w:val="24"/>
        </w:rPr>
        <w:t xml:space="preserve">’ </w:t>
      </w:r>
      <w:r w:rsidRPr="00873015">
        <w:rPr>
          <w:b w:val="0"/>
          <w:bCs w:val="0"/>
          <w:sz w:val="24"/>
          <w:szCs w:val="24"/>
        </w:rPr>
        <w:t>(</w:t>
      </w:r>
      <w:r w:rsidRPr="00873015">
        <w:rPr>
          <w:rStyle w:val="Emphasis"/>
          <w:sz w:val="24"/>
          <w:szCs w:val="24"/>
        </w:rPr>
        <w:t>Rennix v Jackson</w:t>
      </w:r>
      <w:r w:rsidRPr="00873015">
        <w:rPr>
          <w:b w:val="0"/>
          <w:bCs w:val="0"/>
          <w:sz w:val="24"/>
          <w:szCs w:val="24"/>
        </w:rPr>
        <w:t>, 152 A.D.3d 551, 554 [2d Dept 2017]).</w:t>
      </w:r>
      <w:r>
        <w:rPr>
          <w:b w:val="0"/>
          <w:bCs w:val="0"/>
          <w:sz w:val="24"/>
          <w:szCs w:val="24"/>
        </w:rPr>
        <w:t>”</w:t>
      </w:r>
      <w:r w:rsidRPr="00873015">
        <w:t xml:space="preserve"> </w:t>
      </w:r>
      <w:hyperlink r:id="rId902" w:history="1">
        <w:r w:rsidR="006E75ED" w:rsidRPr="00D429FC">
          <w:rPr>
            <w:rStyle w:val="Hyperlink"/>
            <w:b w:val="0"/>
            <w:bCs w:val="0"/>
            <w:sz w:val="24"/>
            <w:szCs w:val="24"/>
          </w:rPr>
          <w:t>https://casetext.com/case/christopher-m-v-mineo</w:t>
        </w:r>
      </w:hyperlink>
      <w:r w:rsidR="006E75ED">
        <w:rPr>
          <w:b w:val="0"/>
          <w:bCs w:val="0"/>
          <w:sz w:val="24"/>
          <w:szCs w:val="24"/>
        </w:rPr>
        <w:t xml:space="preserve"> </w:t>
      </w:r>
    </w:p>
    <w:p w14:paraId="69D214AA" w14:textId="58808FB9" w:rsidR="00BD263B" w:rsidRPr="00873015" w:rsidRDefault="00BD263B" w:rsidP="00BD263B">
      <w:pPr>
        <w:spacing w:before="100" w:beforeAutospacing="1" w:after="100" w:afterAutospacing="1" w:line="240" w:lineRule="auto"/>
        <w:rPr>
          <w:rFonts w:ascii="Times New Roman" w:eastAsia="Times New Roman" w:hAnsi="Times New Roman"/>
          <w:b/>
          <w:bCs/>
          <w:sz w:val="24"/>
          <w:szCs w:val="24"/>
        </w:rPr>
      </w:pPr>
      <w:r w:rsidRPr="00CD5B1A">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In the absence of a “special duty”, the Assistant Fire Chief and his fire department and village enjoy immunity from liability. </w:t>
      </w:r>
    </w:p>
    <w:p w14:paraId="3B6FBDBC" w14:textId="77777777" w:rsidR="00BD263B" w:rsidRDefault="00BD263B" w:rsidP="00BD263B">
      <w:pPr>
        <w:pStyle w:val="NormalWeb"/>
        <w:ind w:left="720"/>
      </w:pPr>
      <w:r>
        <w:t xml:space="preserve">Note: </w:t>
      </w:r>
      <w:r w:rsidRPr="00CD5B1A">
        <w:t>Watch the Oral Argument</w:t>
      </w:r>
      <w:r>
        <w:t xml:space="preserve"> before the Justices </w:t>
      </w:r>
      <w:r w:rsidRPr="00B17D11">
        <w:rPr>
          <w:b/>
          <w:bCs/>
        </w:rPr>
        <w:t>(</w:t>
      </w:r>
      <w:r w:rsidRPr="00B17D11">
        <w:rPr>
          <w:rStyle w:val="Strong"/>
          <w:rFonts w:eastAsiaTheme="majorEastAsia"/>
          <w:b w:val="0"/>
          <w:bCs w:val="0"/>
        </w:rPr>
        <w:t>May 27, 2021):</w:t>
      </w:r>
      <w:r w:rsidRPr="00CD5B1A">
        <w:rPr>
          <w:rStyle w:val="Strong"/>
          <w:rFonts w:eastAsiaTheme="majorEastAsia"/>
        </w:rPr>
        <w:t> </w:t>
      </w:r>
      <w:r w:rsidRPr="00CD5B1A">
        <w:rPr>
          <w:b/>
          <w:bCs/>
        </w:rPr>
        <w:t xml:space="preserve"> </w:t>
      </w:r>
      <w:hyperlink r:id="rId903" w:tgtFrame="_blank" w:history="1">
        <w:r>
          <w:rPr>
            <w:rStyle w:val="Hyperlink"/>
          </w:rPr>
          <w:t>https://ad4.nycourts.gov/njs/term/argument/calendar?date=2021-05-27T00:00:00.000Z&amp;venue=1&amp;calnbr=633</w:t>
        </w:r>
        <w:r>
          <w:rPr>
            <w:rStyle w:val="screenreader-only"/>
            <w:color w:val="0000FF"/>
            <w:u w:val="single"/>
          </w:rPr>
          <w:t> (Links to an external site.)</w:t>
        </w:r>
      </w:hyperlink>
    </w:p>
    <w:p w14:paraId="3EE3BC65" w14:textId="77777777" w:rsidR="00382F02" w:rsidRDefault="00382F02" w:rsidP="002B1283">
      <w:pPr>
        <w:rPr>
          <w:rStyle w:val="Hyperlink"/>
          <w:rFonts w:ascii="Arial Black" w:hAnsi="Arial Black"/>
          <w:b/>
          <w:color w:val="auto"/>
          <w:sz w:val="24"/>
          <w:szCs w:val="24"/>
          <w:u w:val="none"/>
        </w:rPr>
      </w:pPr>
    </w:p>
    <w:p w14:paraId="301DD0B4" w14:textId="77777777" w:rsidR="00382F02" w:rsidRDefault="00382F02" w:rsidP="002B1283">
      <w:pPr>
        <w:rPr>
          <w:rStyle w:val="Hyperlink"/>
          <w:rFonts w:ascii="Arial Black" w:hAnsi="Arial Black"/>
          <w:b/>
          <w:color w:val="auto"/>
          <w:sz w:val="24"/>
          <w:szCs w:val="24"/>
          <w:u w:val="none"/>
        </w:rPr>
      </w:pPr>
    </w:p>
    <w:p w14:paraId="59CC77A4" w14:textId="77777777" w:rsidR="00382F02" w:rsidRDefault="00382F02" w:rsidP="002B1283">
      <w:pPr>
        <w:rPr>
          <w:rStyle w:val="Hyperlink"/>
          <w:rFonts w:ascii="Arial Black" w:hAnsi="Arial Black"/>
          <w:b/>
          <w:color w:val="auto"/>
          <w:sz w:val="24"/>
          <w:szCs w:val="24"/>
          <w:u w:val="none"/>
        </w:rPr>
      </w:pPr>
    </w:p>
    <w:p w14:paraId="26427968" w14:textId="02DC5599" w:rsidR="000915C1" w:rsidRDefault="000915C1"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4-15</w:t>
      </w:r>
    </w:p>
    <w:p w14:paraId="283FDDAE" w14:textId="77777777" w:rsidR="000915C1" w:rsidRPr="00545701" w:rsidRDefault="000915C1" w:rsidP="000915C1">
      <w:pPr>
        <w:pStyle w:val="NoSpacing"/>
        <w:rPr>
          <w:rFonts w:ascii="Arial Black" w:hAnsi="Arial Black"/>
          <w:sz w:val="28"/>
          <w:szCs w:val="28"/>
        </w:rPr>
      </w:pPr>
      <w:r>
        <w:rPr>
          <w:rFonts w:ascii="Arial Black" w:hAnsi="Arial Black"/>
          <w:sz w:val="28"/>
          <w:szCs w:val="28"/>
        </w:rPr>
        <w:t>MI: TOWNSHIP DRONE – PHOTOS JUNKYARD ZONING VIOL - PHOTOS SUPPRESSED – NEED ADMIN. SEARCH WARRANT</w:t>
      </w:r>
    </w:p>
    <w:p w14:paraId="352819F4" w14:textId="77777777" w:rsidR="000915C1" w:rsidRDefault="000915C1" w:rsidP="000915C1">
      <w:pPr>
        <w:spacing w:before="100" w:beforeAutospacing="1" w:after="100" w:afterAutospacing="1" w:line="240" w:lineRule="auto"/>
        <w:rPr>
          <w:rFonts w:ascii="Times New Roman" w:hAnsi="Times New Roman"/>
          <w:sz w:val="24"/>
          <w:szCs w:val="24"/>
        </w:rPr>
      </w:pPr>
      <w:r w:rsidRPr="0038323F">
        <w:rPr>
          <w:rFonts w:ascii="Times New Roman" w:hAnsi="Times New Roman"/>
          <w:sz w:val="24"/>
          <w:szCs w:val="24"/>
        </w:rPr>
        <w:t xml:space="preserve">On </w:t>
      </w:r>
      <w:r>
        <w:rPr>
          <w:rFonts w:ascii="Times New Roman" w:hAnsi="Times New Roman"/>
          <w:sz w:val="24"/>
          <w:szCs w:val="24"/>
        </w:rPr>
        <w:t xml:space="preserve">March 18, 2021, in </w:t>
      </w:r>
      <w:r w:rsidRPr="0038323F">
        <w:rPr>
          <w:rFonts w:ascii="Times New Roman" w:hAnsi="Times New Roman"/>
          <w:sz w:val="24"/>
          <w:szCs w:val="24"/>
          <w:u w:val="single"/>
        </w:rPr>
        <w:t>Long Lake Township v. Todd Maxon and Heather Maxon</w:t>
      </w:r>
      <w:r>
        <w:rPr>
          <w:rFonts w:ascii="Times New Roman" w:hAnsi="Times New Roman"/>
          <w:sz w:val="24"/>
          <w:szCs w:val="24"/>
        </w:rPr>
        <w:t xml:space="preserve">, the State of Michigan Court of Appeals held (2 to 1) that the trial court should have granted the motion to suppress the photos taken by a drone, flying line-of-sight below the </w:t>
      </w:r>
      <w:proofErr w:type="gramStart"/>
      <w:r>
        <w:rPr>
          <w:rFonts w:ascii="Times New Roman" w:hAnsi="Times New Roman"/>
          <w:sz w:val="24"/>
          <w:szCs w:val="24"/>
        </w:rPr>
        <w:t>400 foot</w:t>
      </w:r>
      <w:proofErr w:type="gramEnd"/>
      <w:r>
        <w:rPr>
          <w:rFonts w:ascii="Times New Roman" w:hAnsi="Times New Roman"/>
          <w:sz w:val="24"/>
          <w:szCs w:val="24"/>
        </w:rPr>
        <w:t xml:space="preserve"> FAA limit.   </w:t>
      </w:r>
    </w:p>
    <w:p w14:paraId="5E7872E4" w14:textId="77777777" w:rsidR="000915C1" w:rsidRDefault="000915C1" w:rsidP="000915C1">
      <w:pPr>
        <w:pStyle w:val="NoSpacing"/>
        <w:ind w:left="720"/>
        <w:rPr>
          <w:rFonts w:ascii="Times New Roman" w:hAnsi="Times New Roman"/>
          <w:sz w:val="24"/>
          <w:szCs w:val="24"/>
        </w:rPr>
      </w:pPr>
      <w:r>
        <w:rPr>
          <w:rFonts w:ascii="Times New Roman" w:hAnsi="Times New Roman"/>
          <w:sz w:val="24"/>
          <w:szCs w:val="24"/>
        </w:rPr>
        <w:t>“</w:t>
      </w:r>
      <w:r w:rsidRPr="001441C5">
        <w:rPr>
          <w:rFonts w:ascii="Times New Roman" w:hAnsi="Times New Roman"/>
          <w:sz w:val="24"/>
          <w:szCs w:val="24"/>
        </w:rPr>
        <w:t xml:space="preserve">We conclude that; much like the infrared imaging device discussed in </w:t>
      </w:r>
      <w:r w:rsidRPr="001441C5">
        <w:rPr>
          <w:rFonts w:ascii="Times New Roman" w:hAnsi="Times New Roman"/>
          <w:i/>
          <w:iCs/>
          <w:sz w:val="24"/>
          <w:szCs w:val="24"/>
        </w:rPr>
        <w:t>Kyllo</w:t>
      </w:r>
      <w:r>
        <w:rPr>
          <w:rFonts w:ascii="Times New Roman" w:hAnsi="Times New Roman"/>
          <w:i/>
          <w:iCs/>
          <w:sz w:val="24"/>
          <w:szCs w:val="24"/>
        </w:rPr>
        <w:t xml:space="preserve"> </w:t>
      </w:r>
      <w:r w:rsidRPr="001441C5">
        <w:rPr>
          <w:rFonts w:ascii="Times New Roman" w:hAnsi="Times New Roman"/>
          <w:i/>
          <w:iCs/>
          <w:sz w:val="24"/>
          <w:szCs w:val="24"/>
        </w:rPr>
        <w:t>[Kyllo v United States</w:t>
      </w:r>
      <w:r w:rsidRPr="001441C5">
        <w:rPr>
          <w:rFonts w:ascii="Times New Roman" w:hAnsi="Times New Roman"/>
          <w:sz w:val="24"/>
          <w:szCs w:val="24"/>
        </w:rPr>
        <w:t>, 533 US 27; 121 S Ct 2038; 150 L Ed 2d 94 (2001)]</w:t>
      </w:r>
      <w:r w:rsidRPr="001441C5">
        <w:rPr>
          <w:rFonts w:ascii="Times New Roman" w:hAnsi="Times New Roman"/>
          <w:i/>
          <w:iCs/>
          <w:sz w:val="24"/>
          <w:szCs w:val="24"/>
        </w:rPr>
        <w:t>;</w:t>
      </w:r>
      <w:r w:rsidRPr="001441C5">
        <w:rPr>
          <w:rFonts w:ascii="Times New Roman" w:hAnsi="Times New Roman"/>
          <w:sz w:val="24"/>
          <w:szCs w:val="24"/>
        </w:rPr>
        <w:t xml:space="preserve"> low-altitude, unmanned, specifically-targeted drone surveillance of a private individual's property is qualitatively different from the kinds of human-operated aircraft overflights permitted by </w:t>
      </w:r>
      <w:r w:rsidRPr="001441C5">
        <w:rPr>
          <w:rFonts w:ascii="Times New Roman" w:hAnsi="Times New Roman"/>
          <w:i/>
          <w:iCs/>
          <w:sz w:val="24"/>
          <w:szCs w:val="24"/>
        </w:rPr>
        <w:t>Ciraolo</w:t>
      </w:r>
      <w:r w:rsidRPr="001441C5">
        <w:rPr>
          <w:rFonts w:ascii="Times New Roman" w:hAnsi="Times New Roman"/>
          <w:sz w:val="24"/>
          <w:szCs w:val="24"/>
        </w:rPr>
        <w:t xml:space="preserve"> [</w:t>
      </w:r>
      <w:r w:rsidRPr="001441C5">
        <w:rPr>
          <w:rFonts w:ascii="Times New Roman" w:hAnsi="Times New Roman"/>
          <w:i/>
          <w:iCs/>
          <w:sz w:val="24"/>
          <w:szCs w:val="24"/>
        </w:rPr>
        <w:t>California v Ciraolo</w:t>
      </w:r>
      <w:r w:rsidRPr="001441C5">
        <w:rPr>
          <w:rFonts w:ascii="Times New Roman" w:hAnsi="Times New Roman"/>
          <w:sz w:val="24"/>
          <w:szCs w:val="24"/>
        </w:rPr>
        <w:t>, 475 US 207; 106 S Ct 1809; 90 L Ed 2d 210 (1986)]</w:t>
      </w:r>
      <w:r>
        <w:rPr>
          <w:rFonts w:ascii="Times New Roman" w:hAnsi="Times New Roman"/>
          <w:sz w:val="24"/>
          <w:szCs w:val="24"/>
        </w:rPr>
        <w:t xml:space="preserve"> </w:t>
      </w:r>
      <w:r w:rsidRPr="001441C5">
        <w:rPr>
          <w:rFonts w:ascii="Times New Roman" w:hAnsi="Times New Roman"/>
          <w:sz w:val="24"/>
          <w:szCs w:val="24"/>
        </w:rPr>
        <w:t xml:space="preserve">and </w:t>
      </w:r>
      <w:r w:rsidRPr="001441C5">
        <w:rPr>
          <w:rFonts w:ascii="Times New Roman" w:hAnsi="Times New Roman"/>
          <w:i/>
          <w:iCs/>
          <w:sz w:val="24"/>
          <w:szCs w:val="24"/>
        </w:rPr>
        <w:t>Riley</w:t>
      </w:r>
      <w:r>
        <w:rPr>
          <w:rFonts w:ascii="Times New Roman" w:hAnsi="Times New Roman"/>
          <w:sz w:val="24"/>
          <w:szCs w:val="24"/>
        </w:rPr>
        <w:t xml:space="preserve"> [</w:t>
      </w:r>
      <w:r w:rsidRPr="001441C5">
        <w:rPr>
          <w:rFonts w:ascii="Times New Roman" w:hAnsi="Times New Roman"/>
          <w:i/>
          <w:iCs/>
          <w:sz w:val="24"/>
          <w:szCs w:val="24"/>
        </w:rPr>
        <w:t>Florida v Riley</w:t>
      </w:r>
      <w:r w:rsidRPr="001441C5">
        <w:rPr>
          <w:rFonts w:ascii="Times New Roman" w:hAnsi="Times New Roman"/>
          <w:sz w:val="24"/>
          <w:szCs w:val="24"/>
        </w:rPr>
        <w:t>, 488 US 445; 109 S Ct 693; 102 L Ed 2d 835 (1989)]</w:t>
      </w:r>
      <w:r>
        <w:rPr>
          <w:rFonts w:ascii="Times New Roman" w:hAnsi="Times New Roman"/>
          <w:sz w:val="24"/>
          <w:szCs w:val="24"/>
        </w:rPr>
        <w:t>.</w:t>
      </w:r>
    </w:p>
    <w:p w14:paraId="4DDC7915" w14:textId="77777777" w:rsidR="000915C1" w:rsidRDefault="000915C1" w:rsidP="000915C1">
      <w:pPr>
        <w:pStyle w:val="NoSpacing"/>
        <w:ind w:left="720"/>
        <w:rPr>
          <w:rFonts w:ascii="Times New Roman" w:hAnsi="Times New Roman"/>
          <w:sz w:val="24"/>
          <w:szCs w:val="24"/>
        </w:rPr>
      </w:pPr>
      <w:r w:rsidRPr="001441C5">
        <w:rPr>
          <w:rFonts w:ascii="Times New Roman" w:hAnsi="Times New Roman"/>
          <w:sz w:val="24"/>
          <w:szCs w:val="24"/>
        </w:rPr>
        <w:t xml:space="preserve">We conclude that drone surveillance of this nature intrudes into persons' reasonable expectations of privacy, so such surveillance </w:t>
      </w:r>
      <w:proofErr w:type="gramStart"/>
      <w:r w:rsidRPr="001441C5">
        <w:rPr>
          <w:rFonts w:ascii="Times New Roman" w:hAnsi="Times New Roman"/>
          <w:sz w:val="24"/>
          <w:szCs w:val="24"/>
        </w:rPr>
        <w:t>implicates</w:t>
      </w:r>
      <w:proofErr w:type="gramEnd"/>
      <w:r w:rsidRPr="001441C5">
        <w:rPr>
          <w:rFonts w:ascii="Times New Roman" w:hAnsi="Times New Roman"/>
          <w:sz w:val="24"/>
          <w:szCs w:val="24"/>
        </w:rPr>
        <w:t xml:space="preserve"> the Fourth Amendment and is illegal without a warrant or a traditional exception to the warrant requirement. </w:t>
      </w:r>
    </w:p>
    <w:p w14:paraId="1E1DF5D2" w14:textId="77777777" w:rsidR="000915C1" w:rsidRDefault="000915C1" w:rsidP="000915C1">
      <w:pPr>
        <w:pStyle w:val="NoSpacing"/>
        <w:ind w:left="720"/>
        <w:rPr>
          <w:rFonts w:ascii="Times New Roman" w:hAnsi="Times New Roman"/>
          <w:sz w:val="24"/>
          <w:szCs w:val="24"/>
        </w:rPr>
      </w:pPr>
    </w:p>
    <w:p w14:paraId="7E6C2EEF" w14:textId="77777777" w:rsidR="000915C1" w:rsidRDefault="000915C1" w:rsidP="000915C1">
      <w:pPr>
        <w:pStyle w:val="NoSpacing"/>
        <w:ind w:left="720"/>
        <w:rPr>
          <w:rFonts w:ascii="Times New Roman" w:hAnsi="Times New Roman"/>
          <w:sz w:val="24"/>
          <w:szCs w:val="24"/>
        </w:rPr>
      </w:pPr>
      <w:r>
        <w:rPr>
          <w:rFonts w:ascii="Times New Roman" w:hAnsi="Times New Roman"/>
          <w:sz w:val="24"/>
          <w:szCs w:val="24"/>
        </w:rPr>
        <w:t>***</w:t>
      </w:r>
    </w:p>
    <w:p w14:paraId="17518921" w14:textId="77777777" w:rsidR="000915C1" w:rsidRDefault="000915C1" w:rsidP="000915C1">
      <w:pPr>
        <w:pStyle w:val="NoSpacing"/>
        <w:rPr>
          <w:rFonts w:ascii="Times New Roman" w:hAnsi="Times New Roman"/>
          <w:sz w:val="24"/>
          <w:szCs w:val="24"/>
        </w:rPr>
      </w:pPr>
    </w:p>
    <w:p w14:paraId="2E0665AC" w14:textId="77777777" w:rsidR="000915C1" w:rsidRPr="000915C1" w:rsidRDefault="000915C1" w:rsidP="000915C1">
      <w:pPr>
        <w:pStyle w:val="NoSpacing"/>
        <w:ind w:left="720"/>
        <w:rPr>
          <w:rFonts w:ascii="Times New Roman" w:hAnsi="Times New Roman"/>
          <w:sz w:val="24"/>
          <w:szCs w:val="24"/>
        </w:rPr>
      </w:pPr>
      <w:r w:rsidRPr="0038323F">
        <w:rPr>
          <w:rFonts w:ascii="Times New Roman" w:hAnsi="Times New Roman"/>
          <w:sz w:val="24"/>
          <w:szCs w:val="24"/>
        </w:rPr>
        <w:t>We believe it would be unworkable and futile to try to craft a precise altitude test. Rather, we conclude that persons have a reasonable expectation of privacy in their property against drone surveillance, and therefore a governmental entity seeking to conduct drone surveillance must obtain a warrant or satisfy a traditional exception to the warrant requirement.</w:t>
      </w:r>
      <w:r>
        <w:rPr>
          <w:rFonts w:ascii="Times New Roman" w:hAnsi="Times New Roman"/>
          <w:sz w:val="24"/>
          <w:szCs w:val="24"/>
        </w:rPr>
        <w:t xml:space="preserve">” </w:t>
      </w:r>
      <w:hyperlink r:id="rId904" w:history="1">
        <w:r w:rsidRPr="000915C1">
          <w:rPr>
            <w:rStyle w:val="Hyperlink"/>
            <w:rFonts w:ascii="Times New Roman" w:hAnsi="Times New Roman"/>
            <w:sz w:val="24"/>
            <w:szCs w:val="24"/>
          </w:rPr>
          <w:t>https://casetext.com/case/long-lake-twp-v-maxon</w:t>
        </w:r>
      </w:hyperlink>
      <w:r w:rsidRPr="000915C1">
        <w:rPr>
          <w:rFonts w:ascii="Times New Roman" w:hAnsi="Times New Roman"/>
          <w:sz w:val="24"/>
          <w:szCs w:val="24"/>
        </w:rPr>
        <w:t xml:space="preserve"> </w:t>
      </w:r>
    </w:p>
    <w:p w14:paraId="4677312E" w14:textId="77777777" w:rsidR="000915C1" w:rsidRDefault="000915C1" w:rsidP="000915C1">
      <w:pPr>
        <w:pStyle w:val="NoSpacing"/>
        <w:ind w:left="720"/>
        <w:rPr>
          <w:rFonts w:ascii="Times New Roman" w:hAnsi="Times New Roman"/>
          <w:sz w:val="24"/>
          <w:szCs w:val="24"/>
        </w:rPr>
      </w:pPr>
    </w:p>
    <w:p w14:paraId="65A6864E" w14:textId="77777777" w:rsidR="000915C1" w:rsidRPr="00F94C70" w:rsidRDefault="000915C1" w:rsidP="000915C1">
      <w:pPr>
        <w:pStyle w:val="NoSpacing"/>
        <w:rPr>
          <w:rFonts w:ascii="Times New Roman" w:hAnsi="Times New Roman"/>
          <w:b/>
          <w:bCs/>
          <w:sz w:val="24"/>
          <w:szCs w:val="24"/>
        </w:rPr>
      </w:pPr>
      <w:r w:rsidRPr="00F94C70">
        <w:rPr>
          <w:rFonts w:ascii="Times New Roman" w:hAnsi="Times New Roman"/>
          <w:b/>
          <w:bCs/>
          <w:sz w:val="24"/>
          <w:szCs w:val="24"/>
        </w:rPr>
        <w:t>Legal Lesson Learned:</w:t>
      </w:r>
      <w:r>
        <w:rPr>
          <w:rFonts w:ascii="Times New Roman" w:hAnsi="Times New Roman"/>
          <w:b/>
          <w:bCs/>
          <w:sz w:val="24"/>
          <w:szCs w:val="24"/>
        </w:rPr>
        <w:t xml:space="preserve">  There will undoubtedly be more litigation about use of drones; for fire code enforcement, when possible, first get a search or administrative warrant. </w:t>
      </w:r>
    </w:p>
    <w:p w14:paraId="407B3AF3" w14:textId="77777777" w:rsidR="000915C1" w:rsidRDefault="000915C1" w:rsidP="000915C1">
      <w:pPr>
        <w:pStyle w:val="NoSpacing"/>
        <w:ind w:left="720"/>
        <w:rPr>
          <w:rFonts w:ascii="Times New Roman" w:hAnsi="Times New Roman"/>
          <w:sz w:val="24"/>
          <w:szCs w:val="24"/>
        </w:rPr>
      </w:pPr>
    </w:p>
    <w:p w14:paraId="5291433C" w14:textId="77777777" w:rsidR="000915C1" w:rsidRDefault="000915C1" w:rsidP="000915C1">
      <w:pPr>
        <w:pStyle w:val="NoSpacing"/>
        <w:ind w:left="720"/>
        <w:rPr>
          <w:rFonts w:ascii="Times New Roman" w:hAnsi="Times New Roman"/>
          <w:sz w:val="24"/>
          <w:szCs w:val="24"/>
        </w:rPr>
      </w:pPr>
      <w:r>
        <w:rPr>
          <w:rFonts w:ascii="Times New Roman" w:hAnsi="Times New Roman"/>
          <w:sz w:val="24"/>
          <w:szCs w:val="24"/>
        </w:rPr>
        <w:t>Note: The dissenting opinion by Justice Karen M. Fort Hood.</w:t>
      </w:r>
    </w:p>
    <w:p w14:paraId="29CD2F29" w14:textId="77777777" w:rsidR="000915C1" w:rsidRPr="00F94C70" w:rsidRDefault="000915C1" w:rsidP="000915C1">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F94C70">
        <w:rPr>
          <w:rFonts w:ascii="Times New Roman" w:eastAsia="Times New Roman" w:hAnsi="Times New Roman"/>
          <w:sz w:val="24"/>
          <w:szCs w:val="24"/>
        </w:rPr>
        <w:t xml:space="preserve">With </w:t>
      </w:r>
      <w:proofErr w:type="gramStart"/>
      <w:r w:rsidRPr="00F94C70">
        <w:rPr>
          <w:rFonts w:ascii="Times New Roman" w:eastAsia="Times New Roman" w:hAnsi="Times New Roman"/>
          <w:sz w:val="24"/>
          <w:szCs w:val="24"/>
        </w:rPr>
        <w:t>all of</w:t>
      </w:r>
      <w:proofErr w:type="gramEnd"/>
      <w:r w:rsidRPr="00F94C70">
        <w:rPr>
          <w:rFonts w:ascii="Times New Roman" w:eastAsia="Times New Roman" w:hAnsi="Times New Roman"/>
          <w:sz w:val="24"/>
          <w:szCs w:val="24"/>
        </w:rPr>
        <w:t xml:space="preserve"> the above in mind, again, there is no evidence that the drone in this case was flown in violation of the law or applicable regulations, nor that it contained equipment or was itself technology not readily available or generally used by the public. The fundamental principle from both </w:t>
      </w:r>
      <w:r w:rsidRPr="00F94C70">
        <w:rPr>
          <w:rFonts w:ascii="Times New Roman" w:eastAsia="Times New Roman" w:hAnsi="Times New Roman"/>
          <w:i/>
          <w:iCs/>
          <w:sz w:val="24"/>
          <w:szCs w:val="24"/>
        </w:rPr>
        <w:t>Ciraolo</w:t>
      </w:r>
      <w:r w:rsidRPr="00F94C70">
        <w:rPr>
          <w:rFonts w:ascii="Times New Roman" w:eastAsia="Times New Roman" w:hAnsi="Times New Roman"/>
          <w:sz w:val="24"/>
          <w:szCs w:val="24"/>
        </w:rPr>
        <w:t xml:space="preserve"> and </w:t>
      </w:r>
      <w:r w:rsidRPr="00F94C70">
        <w:rPr>
          <w:rFonts w:ascii="Times New Roman" w:eastAsia="Times New Roman" w:hAnsi="Times New Roman"/>
          <w:i/>
          <w:iCs/>
          <w:sz w:val="24"/>
          <w:szCs w:val="24"/>
        </w:rPr>
        <w:t>Riley</w:t>
      </w:r>
      <w:r w:rsidRPr="00F94C70">
        <w:rPr>
          <w:rFonts w:ascii="Times New Roman" w:eastAsia="Times New Roman" w:hAnsi="Times New Roman"/>
          <w:sz w:val="24"/>
          <w:szCs w:val="24"/>
        </w:rPr>
        <w:t xml:space="preserve"> is that the property observed in those cases was observable by commercial and public aircraft in the publicly navigable airspace, see </w:t>
      </w:r>
      <w:r w:rsidRPr="00F94C70">
        <w:rPr>
          <w:rFonts w:ascii="Times New Roman" w:eastAsia="Times New Roman" w:hAnsi="Times New Roman"/>
          <w:i/>
          <w:iCs/>
          <w:sz w:val="24"/>
          <w:szCs w:val="24"/>
        </w:rPr>
        <w:t>Ciraolo</w:t>
      </w:r>
      <w:r w:rsidRPr="00F94C70">
        <w:rPr>
          <w:rFonts w:ascii="Times New Roman" w:eastAsia="Times New Roman" w:hAnsi="Times New Roman"/>
          <w:sz w:val="24"/>
          <w:szCs w:val="24"/>
        </w:rPr>
        <w:t xml:space="preserve">, 476 US at 215; </w:t>
      </w:r>
      <w:r w:rsidRPr="00F94C70">
        <w:rPr>
          <w:rFonts w:ascii="Times New Roman" w:eastAsia="Times New Roman" w:hAnsi="Times New Roman"/>
          <w:i/>
          <w:iCs/>
          <w:sz w:val="24"/>
          <w:szCs w:val="24"/>
        </w:rPr>
        <w:t>Riley</w:t>
      </w:r>
      <w:r w:rsidRPr="00F94C70">
        <w:rPr>
          <w:rFonts w:ascii="Times New Roman" w:eastAsia="Times New Roman" w:hAnsi="Times New Roman"/>
          <w:sz w:val="24"/>
          <w:szCs w:val="24"/>
        </w:rPr>
        <w:t xml:space="preserve">, 488 US at 450, and the fundamental difference between those two cases and </w:t>
      </w:r>
      <w:r w:rsidRPr="00F94C70">
        <w:rPr>
          <w:rFonts w:ascii="Times New Roman" w:eastAsia="Times New Roman" w:hAnsi="Times New Roman"/>
          <w:i/>
          <w:iCs/>
          <w:sz w:val="24"/>
          <w:szCs w:val="24"/>
        </w:rPr>
        <w:t>Kyllo</w:t>
      </w:r>
      <w:r w:rsidRPr="00F94C70">
        <w:rPr>
          <w:rFonts w:ascii="Times New Roman" w:eastAsia="Times New Roman" w:hAnsi="Times New Roman"/>
          <w:sz w:val="24"/>
          <w:szCs w:val="24"/>
        </w:rPr>
        <w:t xml:space="preserve"> was that the technology in </w:t>
      </w:r>
      <w:r w:rsidRPr="00F94C70">
        <w:rPr>
          <w:rFonts w:ascii="Times New Roman" w:eastAsia="Times New Roman" w:hAnsi="Times New Roman"/>
          <w:i/>
          <w:iCs/>
          <w:sz w:val="24"/>
          <w:szCs w:val="24"/>
        </w:rPr>
        <w:t>Kyllo</w:t>
      </w:r>
      <w:r w:rsidRPr="00F94C70">
        <w:rPr>
          <w:rFonts w:ascii="Times New Roman" w:eastAsia="Times New Roman" w:hAnsi="Times New Roman"/>
          <w:sz w:val="24"/>
          <w:szCs w:val="24"/>
        </w:rPr>
        <w:t xml:space="preserve"> was not something that could be reasonably expected to be employed by members of the public, </w:t>
      </w:r>
      <w:r w:rsidRPr="00F94C70">
        <w:rPr>
          <w:rFonts w:ascii="Times New Roman" w:eastAsia="Times New Roman" w:hAnsi="Times New Roman"/>
          <w:i/>
          <w:iCs/>
          <w:sz w:val="24"/>
          <w:szCs w:val="24"/>
        </w:rPr>
        <w:t>Kyllo</w:t>
      </w:r>
      <w:r w:rsidRPr="00F94C70">
        <w:rPr>
          <w:rFonts w:ascii="Times New Roman" w:eastAsia="Times New Roman" w:hAnsi="Times New Roman"/>
          <w:sz w:val="24"/>
          <w:szCs w:val="24"/>
        </w:rPr>
        <w:t>, 533 US at 34, 40. On that basis, I would conclude that no Fourth-Amendment violation occurred in this case, and I would affirm the trial court's order denying defendants' motion to suppress.</w:t>
      </w:r>
      <w:r>
        <w:rPr>
          <w:rFonts w:ascii="Times New Roman" w:eastAsia="Times New Roman" w:hAnsi="Times New Roman"/>
          <w:sz w:val="24"/>
          <w:szCs w:val="24"/>
        </w:rPr>
        <w:t>”</w:t>
      </w:r>
    </w:p>
    <w:p w14:paraId="3F9713FB" w14:textId="77777777" w:rsidR="000915C1" w:rsidRDefault="000915C1" w:rsidP="000915C1">
      <w:pPr>
        <w:pStyle w:val="NoSpacing"/>
        <w:rPr>
          <w:rFonts w:ascii="Arial Black" w:hAnsi="Arial Black"/>
          <w:sz w:val="28"/>
          <w:szCs w:val="28"/>
        </w:rPr>
      </w:pPr>
    </w:p>
    <w:p w14:paraId="3785EF73" w14:textId="61114992" w:rsidR="000915C1" w:rsidRDefault="000915C1"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4-14</w:t>
      </w:r>
    </w:p>
    <w:p w14:paraId="141DD005" w14:textId="77777777" w:rsidR="000915C1" w:rsidRDefault="000915C1" w:rsidP="000915C1">
      <w:pPr>
        <w:pStyle w:val="NoSpacing"/>
        <w:rPr>
          <w:rFonts w:ascii="Arial Black" w:hAnsi="Arial Black"/>
          <w:sz w:val="28"/>
          <w:szCs w:val="28"/>
        </w:rPr>
      </w:pPr>
      <w:r>
        <w:rPr>
          <w:rFonts w:ascii="Arial Black" w:hAnsi="Arial Black"/>
          <w:sz w:val="28"/>
          <w:szCs w:val="28"/>
        </w:rPr>
        <w:t xml:space="preserve">WA: FF 18 YEARS MARINE SAFETY - “EXPERT WITNESS” UNDER </w:t>
      </w:r>
      <w:r w:rsidRPr="00B23A49">
        <w:rPr>
          <w:rFonts w:ascii="Arial Black" w:hAnsi="Arial Black"/>
          <w:i/>
          <w:iCs/>
          <w:sz w:val="28"/>
          <w:szCs w:val="28"/>
        </w:rPr>
        <w:t>DAUBERT</w:t>
      </w:r>
      <w:r>
        <w:rPr>
          <w:rFonts w:ascii="Arial Black" w:hAnsi="Arial Black"/>
          <w:i/>
          <w:iCs/>
          <w:sz w:val="28"/>
          <w:szCs w:val="28"/>
        </w:rPr>
        <w:t xml:space="preserve"> </w:t>
      </w:r>
      <w:r>
        <w:rPr>
          <w:rFonts w:ascii="Arial Black" w:hAnsi="Arial Black"/>
          <w:sz w:val="28"/>
          <w:szCs w:val="28"/>
        </w:rPr>
        <w:t>STANDARD - BOAT FIRE, OWNER LIABLE</w:t>
      </w:r>
    </w:p>
    <w:p w14:paraId="56C1FC8C" w14:textId="77777777" w:rsidR="000915C1" w:rsidRDefault="000915C1" w:rsidP="000915C1">
      <w:pPr>
        <w:pStyle w:val="NoSpacing"/>
        <w:rPr>
          <w:rFonts w:ascii="Arial Black" w:hAnsi="Arial Black"/>
          <w:sz w:val="28"/>
          <w:szCs w:val="28"/>
        </w:rPr>
      </w:pPr>
    </w:p>
    <w:p w14:paraId="6B02718E" w14:textId="77777777" w:rsidR="000915C1" w:rsidRDefault="000915C1" w:rsidP="000915C1">
      <w:pPr>
        <w:pStyle w:val="NoSpacing"/>
        <w:rPr>
          <w:rFonts w:ascii="Times New Roman" w:hAnsi="Times New Roman"/>
          <w:sz w:val="24"/>
          <w:szCs w:val="24"/>
        </w:rPr>
      </w:pPr>
      <w:r>
        <w:rPr>
          <w:rFonts w:ascii="Times New Roman" w:hAnsi="Times New Roman"/>
          <w:sz w:val="24"/>
          <w:szCs w:val="24"/>
        </w:rPr>
        <w:t xml:space="preserve">On March 18, 2021, in </w:t>
      </w:r>
      <w:r w:rsidRPr="00B23A49">
        <w:rPr>
          <w:rFonts w:ascii="Times New Roman" w:hAnsi="Times New Roman"/>
          <w:sz w:val="24"/>
          <w:szCs w:val="24"/>
          <w:u w:val="single"/>
        </w:rPr>
        <w:t>Michael Schladetzky v, John Doe, et al</w:t>
      </w:r>
      <w:r>
        <w:rPr>
          <w:rFonts w:ascii="Times New Roman" w:hAnsi="Times New Roman"/>
          <w:sz w:val="24"/>
          <w:szCs w:val="24"/>
        </w:rPr>
        <w:t xml:space="preserve">., U.S. District Court Judge James L. Robart held that firefighter Kurt Serwood, with 18 years as Chief of the Kitsap County FD Marine Division, is an “expert” under the U.S. Supreme Court’s “Daubert standard” and Fed. Rules of Evidence: </w:t>
      </w:r>
      <w:r w:rsidRPr="002501FC">
        <w:rPr>
          <w:rFonts w:ascii="Times New Roman" w:hAnsi="Times New Roman"/>
          <w:i/>
          <w:iCs/>
          <w:sz w:val="24"/>
          <w:szCs w:val="24"/>
        </w:rPr>
        <w:t>Daubert v</w:t>
      </w:r>
      <w:r w:rsidRPr="002501FC">
        <w:rPr>
          <w:rFonts w:ascii="Times New Roman" w:hAnsi="Times New Roman"/>
          <w:sz w:val="24"/>
          <w:szCs w:val="24"/>
        </w:rPr>
        <w:t xml:space="preserve">. </w:t>
      </w:r>
      <w:r w:rsidRPr="002501FC">
        <w:rPr>
          <w:rFonts w:ascii="Times New Roman" w:hAnsi="Times New Roman"/>
          <w:i/>
          <w:iCs/>
          <w:sz w:val="24"/>
          <w:szCs w:val="24"/>
        </w:rPr>
        <w:t>Merrell Dow Pharm</w:t>
      </w:r>
      <w:r w:rsidRPr="002501FC">
        <w:rPr>
          <w:rFonts w:ascii="Times New Roman" w:hAnsi="Times New Roman"/>
          <w:sz w:val="24"/>
          <w:szCs w:val="24"/>
        </w:rPr>
        <w:t xml:space="preserve">., </w:t>
      </w:r>
      <w:r w:rsidRPr="002501FC">
        <w:rPr>
          <w:rFonts w:ascii="Times New Roman" w:hAnsi="Times New Roman"/>
          <w:i/>
          <w:iCs/>
          <w:sz w:val="24"/>
          <w:szCs w:val="24"/>
        </w:rPr>
        <w:t>Inc</w:t>
      </w:r>
      <w:r w:rsidRPr="002501FC">
        <w:rPr>
          <w:rFonts w:ascii="Times New Roman" w:hAnsi="Times New Roman"/>
          <w:sz w:val="24"/>
          <w:szCs w:val="24"/>
        </w:rPr>
        <w:t>., 509 U.S. 579, 589-91 (1993); Fed. R. Evid. 702.</w:t>
      </w:r>
      <w:r>
        <w:rPr>
          <w:rFonts w:ascii="Times New Roman" w:hAnsi="Times New Roman"/>
          <w:sz w:val="24"/>
          <w:szCs w:val="24"/>
        </w:rPr>
        <w:t xml:space="preserve">  The Court relied on his expert opinion that the boat fire was caused by the owner’s negligence in not repairing the diesel furnace on the </w:t>
      </w:r>
      <w:r w:rsidRPr="007D17BA">
        <w:rPr>
          <w:rFonts w:ascii="Times New Roman" w:hAnsi="Times New Roman"/>
          <w:sz w:val="24"/>
          <w:szCs w:val="24"/>
        </w:rPr>
        <w:t>boat which blew out thick black smoke and smelled of raw diesel fuel</w:t>
      </w:r>
      <w:r>
        <w:rPr>
          <w:rFonts w:ascii="Times New Roman" w:hAnsi="Times New Roman"/>
          <w:sz w:val="24"/>
          <w:szCs w:val="24"/>
        </w:rPr>
        <w:t xml:space="preserve">.  Given this negligence, the Court held (1) the boat owner, Michael Schladetsky cannot under federal maritime law limit his liability to only the value of his vessel and cargo; and (2)  two claimants who lost property in the boat house are entitled to summary judgment – Douglas McKenzie, owner of a neighboring boat ($23,360, personal property destroyed in boat house); and Jeffrey Bigsby ($12,537.75, personal property also stored in the same boat house).  </w:t>
      </w:r>
    </w:p>
    <w:p w14:paraId="57CB479A" w14:textId="77777777" w:rsidR="000915C1" w:rsidRDefault="000915C1" w:rsidP="000915C1">
      <w:pPr>
        <w:pStyle w:val="NoSpacing"/>
        <w:rPr>
          <w:rFonts w:ascii="Times New Roman" w:hAnsi="Times New Roman"/>
          <w:sz w:val="24"/>
          <w:szCs w:val="24"/>
        </w:rPr>
      </w:pPr>
    </w:p>
    <w:p w14:paraId="2C86B1E4" w14:textId="77777777" w:rsidR="000915C1" w:rsidRDefault="000915C1" w:rsidP="000915C1">
      <w:pPr>
        <w:pStyle w:val="NoSpacing"/>
        <w:ind w:left="720"/>
        <w:rPr>
          <w:rFonts w:ascii="Times New Roman" w:hAnsi="Times New Roman"/>
          <w:sz w:val="24"/>
          <w:szCs w:val="24"/>
        </w:rPr>
      </w:pPr>
      <w:r>
        <w:rPr>
          <w:rFonts w:ascii="Times New Roman" w:hAnsi="Times New Roman"/>
          <w:sz w:val="24"/>
          <w:szCs w:val="24"/>
        </w:rPr>
        <w:t>“[T]h</w:t>
      </w:r>
      <w:r w:rsidRPr="002501FC">
        <w:rPr>
          <w:rFonts w:ascii="Times New Roman" w:hAnsi="Times New Roman"/>
          <w:sz w:val="24"/>
          <w:szCs w:val="24"/>
        </w:rPr>
        <w:t xml:space="preserve">e court finds that Mr. </w:t>
      </w:r>
      <w:proofErr w:type="spellStart"/>
      <w:r w:rsidRPr="002501FC">
        <w:rPr>
          <w:rFonts w:ascii="Times New Roman" w:hAnsi="Times New Roman"/>
          <w:sz w:val="24"/>
          <w:szCs w:val="24"/>
        </w:rPr>
        <w:t>Serwold</w:t>
      </w:r>
      <w:proofErr w:type="spellEnd"/>
      <w:r w:rsidRPr="002501FC">
        <w:rPr>
          <w:rFonts w:ascii="Times New Roman" w:hAnsi="Times New Roman"/>
          <w:sz w:val="24"/>
          <w:szCs w:val="24"/>
        </w:rPr>
        <w:t xml:space="preserve"> is qualified as an expert in marine fires and their causes. Under Rule 702, an expert may be qualified by extensive or specialized experience. Fed. R. Evid. 702; </w:t>
      </w:r>
      <w:r w:rsidRPr="002501FC">
        <w:rPr>
          <w:rFonts w:ascii="Times New Roman" w:hAnsi="Times New Roman"/>
          <w:i/>
          <w:iCs/>
          <w:sz w:val="24"/>
          <w:szCs w:val="24"/>
        </w:rPr>
        <w:t>Kumho</w:t>
      </w:r>
      <w:r w:rsidRPr="002501FC">
        <w:rPr>
          <w:rFonts w:ascii="Times New Roman" w:hAnsi="Times New Roman"/>
          <w:sz w:val="24"/>
          <w:szCs w:val="24"/>
        </w:rPr>
        <w:t xml:space="preserve">, 526 U.S. at 156. Mr. </w:t>
      </w:r>
      <w:proofErr w:type="spellStart"/>
      <w:r w:rsidRPr="002501FC">
        <w:rPr>
          <w:rFonts w:ascii="Times New Roman" w:hAnsi="Times New Roman"/>
          <w:sz w:val="24"/>
          <w:szCs w:val="24"/>
        </w:rPr>
        <w:t>Serwold</w:t>
      </w:r>
      <w:proofErr w:type="spellEnd"/>
      <w:r w:rsidRPr="002501FC">
        <w:rPr>
          <w:rFonts w:ascii="Times New Roman" w:hAnsi="Times New Roman"/>
          <w:sz w:val="24"/>
          <w:szCs w:val="24"/>
        </w:rPr>
        <w:t xml:space="preserve"> is a </w:t>
      </w:r>
      <w:proofErr w:type="gramStart"/>
      <w:r w:rsidRPr="002501FC">
        <w:rPr>
          <w:rFonts w:ascii="Times New Roman" w:hAnsi="Times New Roman"/>
          <w:sz w:val="24"/>
          <w:szCs w:val="24"/>
        </w:rPr>
        <w:t>fire fighter</w:t>
      </w:r>
      <w:proofErr w:type="gramEnd"/>
      <w:r w:rsidRPr="002501FC">
        <w:rPr>
          <w:rFonts w:ascii="Times New Roman" w:hAnsi="Times New Roman"/>
          <w:sz w:val="24"/>
          <w:szCs w:val="24"/>
        </w:rPr>
        <w:t xml:space="preserve"> with over 20 years' experience, 18 of which he served as chief of the Kitsap County Fire Department's marine division. (</w:t>
      </w:r>
      <w:proofErr w:type="spellStart"/>
      <w:r w:rsidRPr="002501FC">
        <w:rPr>
          <w:rFonts w:ascii="Times New Roman" w:hAnsi="Times New Roman"/>
          <w:sz w:val="24"/>
          <w:szCs w:val="24"/>
        </w:rPr>
        <w:t>Serwold</w:t>
      </w:r>
      <w:proofErr w:type="spellEnd"/>
      <w:r w:rsidRPr="002501FC">
        <w:rPr>
          <w:rFonts w:ascii="Times New Roman" w:hAnsi="Times New Roman"/>
          <w:sz w:val="24"/>
          <w:szCs w:val="24"/>
        </w:rPr>
        <w:t xml:space="preserve"> Decl. at 1). During his time in the marine detachment, Mr. </w:t>
      </w:r>
      <w:proofErr w:type="spellStart"/>
      <w:r w:rsidRPr="002501FC">
        <w:rPr>
          <w:rFonts w:ascii="Times New Roman" w:hAnsi="Times New Roman"/>
          <w:sz w:val="24"/>
          <w:szCs w:val="24"/>
        </w:rPr>
        <w:t>Serwold</w:t>
      </w:r>
      <w:proofErr w:type="spellEnd"/>
      <w:r w:rsidRPr="002501FC">
        <w:rPr>
          <w:rFonts w:ascii="Times New Roman" w:hAnsi="Times New Roman"/>
          <w:sz w:val="24"/>
          <w:szCs w:val="24"/>
        </w:rPr>
        <w:t xml:space="preserve"> has received specialized training in the causes of marine fires and how to prevent them. (</w:t>
      </w:r>
      <w:r w:rsidRPr="002501FC">
        <w:rPr>
          <w:rFonts w:ascii="Times New Roman" w:hAnsi="Times New Roman"/>
          <w:i/>
          <w:iCs/>
          <w:sz w:val="24"/>
          <w:szCs w:val="24"/>
        </w:rPr>
        <w:t>Id</w:t>
      </w:r>
      <w:r w:rsidRPr="002501FC">
        <w:rPr>
          <w:rFonts w:ascii="Times New Roman" w:hAnsi="Times New Roman"/>
          <w:sz w:val="24"/>
          <w:szCs w:val="24"/>
        </w:rPr>
        <w:t xml:space="preserve">. at 1-2). Because of his considerable experience and specialized training, the court finds that Mr. </w:t>
      </w:r>
      <w:proofErr w:type="spellStart"/>
      <w:r w:rsidRPr="002501FC">
        <w:rPr>
          <w:rFonts w:ascii="Times New Roman" w:hAnsi="Times New Roman"/>
          <w:sz w:val="24"/>
          <w:szCs w:val="24"/>
        </w:rPr>
        <w:t>Serwold</w:t>
      </w:r>
      <w:proofErr w:type="spellEnd"/>
      <w:r w:rsidRPr="002501FC">
        <w:rPr>
          <w:rFonts w:ascii="Times New Roman" w:hAnsi="Times New Roman"/>
          <w:sz w:val="24"/>
          <w:szCs w:val="24"/>
        </w:rPr>
        <w:t xml:space="preserve"> is qualified to offer expert testimony on marine fires and their causes.</w:t>
      </w:r>
      <w:r>
        <w:rPr>
          <w:rFonts w:ascii="Times New Roman" w:hAnsi="Times New Roman"/>
          <w:sz w:val="24"/>
          <w:szCs w:val="24"/>
        </w:rPr>
        <w:t xml:space="preserve">” </w:t>
      </w:r>
    </w:p>
    <w:p w14:paraId="46635497" w14:textId="77777777" w:rsidR="000915C1" w:rsidRPr="000915C1" w:rsidRDefault="000915C1" w:rsidP="000915C1">
      <w:pPr>
        <w:pStyle w:val="NoSpacing"/>
        <w:ind w:left="720"/>
        <w:rPr>
          <w:rFonts w:ascii="Times New Roman" w:hAnsi="Times New Roman"/>
          <w:sz w:val="24"/>
          <w:szCs w:val="24"/>
        </w:rPr>
      </w:pPr>
      <w:hyperlink r:id="rId905" w:history="1">
        <w:r w:rsidRPr="000915C1">
          <w:rPr>
            <w:rStyle w:val="Hyperlink"/>
            <w:rFonts w:ascii="Times New Roman" w:hAnsi="Times New Roman"/>
            <w:sz w:val="24"/>
            <w:szCs w:val="24"/>
          </w:rPr>
          <w:t>https://casetext.com/case/schladetzky-v-doe-1</w:t>
        </w:r>
      </w:hyperlink>
      <w:r w:rsidRPr="000915C1">
        <w:rPr>
          <w:rFonts w:ascii="Times New Roman" w:hAnsi="Times New Roman"/>
          <w:sz w:val="24"/>
          <w:szCs w:val="24"/>
        </w:rPr>
        <w:t xml:space="preserve"> </w:t>
      </w:r>
    </w:p>
    <w:p w14:paraId="4236F916" w14:textId="77777777" w:rsidR="000915C1" w:rsidRDefault="000915C1" w:rsidP="000915C1">
      <w:pPr>
        <w:pStyle w:val="NoSpacing"/>
        <w:rPr>
          <w:rFonts w:ascii="Times New Roman" w:hAnsi="Times New Roman"/>
          <w:b/>
          <w:bCs/>
          <w:sz w:val="24"/>
          <w:szCs w:val="24"/>
        </w:rPr>
      </w:pPr>
    </w:p>
    <w:p w14:paraId="33A7427A" w14:textId="7C32C185" w:rsidR="000915C1" w:rsidRPr="00F57D38" w:rsidRDefault="000915C1" w:rsidP="000915C1">
      <w:pPr>
        <w:pStyle w:val="NoSpacing"/>
        <w:rPr>
          <w:rFonts w:ascii="Times New Roman" w:hAnsi="Times New Roman"/>
          <w:b/>
          <w:bCs/>
          <w:sz w:val="24"/>
          <w:szCs w:val="24"/>
        </w:rPr>
      </w:pPr>
      <w:r w:rsidRPr="00F57D38">
        <w:rPr>
          <w:rFonts w:ascii="Times New Roman" w:hAnsi="Times New Roman"/>
          <w:b/>
          <w:bCs/>
          <w:sz w:val="24"/>
          <w:szCs w:val="24"/>
        </w:rPr>
        <w:t>Legal Lesson Learned:</w:t>
      </w:r>
      <w:r>
        <w:rPr>
          <w:rFonts w:ascii="Times New Roman" w:hAnsi="Times New Roman"/>
          <w:b/>
          <w:bCs/>
          <w:sz w:val="24"/>
          <w:szCs w:val="24"/>
        </w:rPr>
        <w:t xml:space="preserve"> The U.S. Supreme Court’s </w:t>
      </w:r>
      <w:r w:rsidRPr="00F57D38">
        <w:rPr>
          <w:rFonts w:ascii="Times New Roman" w:hAnsi="Times New Roman"/>
          <w:b/>
          <w:bCs/>
          <w:i/>
          <w:iCs/>
          <w:sz w:val="24"/>
          <w:szCs w:val="24"/>
        </w:rPr>
        <w:t>Daubert</w:t>
      </w:r>
      <w:r>
        <w:rPr>
          <w:rFonts w:ascii="Times New Roman" w:hAnsi="Times New Roman"/>
          <w:b/>
          <w:bCs/>
          <w:i/>
          <w:iCs/>
          <w:sz w:val="24"/>
          <w:szCs w:val="24"/>
        </w:rPr>
        <w:t xml:space="preserve"> </w:t>
      </w:r>
      <w:r w:rsidRPr="00A66200">
        <w:rPr>
          <w:rFonts w:ascii="Times New Roman" w:hAnsi="Times New Roman"/>
          <w:b/>
          <w:bCs/>
          <w:sz w:val="24"/>
          <w:szCs w:val="24"/>
        </w:rPr>
        <w:t xml:space="preserve">standard </w:t>
      </w:r>
      <w:r>
        <w:rPr>
          <w:rFonts w:ascii="Times New Roman" w:hAnsi="Times New Roman"/>
          <w:b/>
          <w:bCs/>
          <w:sz w:val="24"/>
          <w:szCs w:val="24"/>
        </w:rPr>
        <w:t xml:space="preserve">and the Federal Rules of Evidence allow federal judges to rely the opinion of “experts” who are qualified based on their knowledge, experience and training. </w:t>
      </w:r>
    </w:p>
    <w:p w14:paraId="32AE181D" w14:textId="77777777" w:rsidR="000915C1" w:rsidRDefault="000915C1" w:rsidP="000915C1">
      <w:pPr>
        <w:spacing w:before="100" w:beforeAutospacing="1" w:after="100" w:afterAutospacing="1" w:line="240" w:lineRule="auto"/>
        <w:ind w:left="1440"/>
        <w:rPr>
          <w:rFonts w:ascii="Times New Roman" w:hAnsi="Times New Roman"/>
          <w:sz w:val="24"/>
          <w:szCs w:val="24"/>
        </w:rPr>
      </w:pPr>
      <w:r w:rsidRPr="00A66200">
        <w:rPr>
          <w:rFonts w:ascii="Times New Roman" w:eastAsia="Times New Roman" w:hAnsi="Times New Roman"/>
          <w:sz w:val="24"/>
          <w:szCs w:val="24"/>
        </w:rPr>
        <w:t xml:space="preserve">Note:   See </w:t>
      </w:r>
      <w:r w:rsidRPr="00A66200">
        <w:rPr>
          <w:rFonts w:ascii="Times New Roman" w:hAnsi="Times New Roman"/>
          <w:sz w:val="24"/>
          <w:szCs w:val="24"/>
        </w:rPr>
        <w:t>Rule 702</w:t>
      </w:r>
      <w:r>
        <w:rPr>
          <w:rFonts w:ascii="Times New Roman" w:hAnsi="Times New Roman"/>
          <w:sz w:val="24"/>
          <w:szCs w:val="24"/>
        </w:rPr>
        <w:t xml:space="preserve">. Federal Rules of Evidence: </w:t>
      </w:r>
      <w:hyperlink r:id="rId906" w:history="1">
        <w:r w:rsidRPr="008F3FAE">
          <w:rPr>
            <w:rStyle w:val="Hyperlink"/>
            <w:sz w:val="24"/>
            <w:szCs w:val="24"/>
          </w:rPr>
          <w:t>https://www.law.cornell.edu/rules/fre/rule_702</w:t>
        </w:r>
      </w:hyperlink>
    </w:p>
    <w:p w14:paraId="5BDFE98C" w14:textId="77777777" w:rsidR="000915C1" w:rsidRPr="00A66200" w:rsidRDefault="000915C1" w:rsidP="000915C1">
      <w:pPr>
        <w:spacing w:before="100" w:beforeAutospacing="1" w:after="100" w:afterAutospacing="1" w:line="240" w:lineRule="auto"/>
        <w:ind w:left="1440"/>
        <w:rPr>
          <w:rFonts w:ascii="Times New Roman" w:hAnsi="Times New Roman"/>
          <w:sz w:val="24"/>
          <w:szCs w:val="24"/>
        </w:rPr>
      </w:pPr>
      <w:r w:rsidRPr="00A66200">
        <w:rPr>
          <w:rFonts w:ascii="Times New Roman" w:hAnsi="Times New Roman"/>
          <w:sz w:val="24"/>
          <w:szCs w:val="24"/>
        </w:rPr>
        <w:t>Testimony by Expert Witnesses</w:t>
      </w:r>
    </w:p>
    <w:p w14:paraId="380F97F8" w14:textId="77777777" w:rsidR="000915C1" w:rsidRPr="00A66200" w:rsidRDefault="000915C1" w:rsidP="000915C1">
      <w:pPr>
        <w:pStyle w:val="statutory-body"/>
        <w:ind w:left="1440"/>
      </w:pPr>
      <w:r w:rsidRPr="00A66200">
        <w:t>A witness who is qualified as an expert by knowledge, skill, experience, training, or education may testify in the form of an opinion or otherwise if:</w:t>
      </w:r>
    </w:p>
    <w:p w14:paraId="4945E574" w14:textId="77777777" w:rsidR="000915C1" w:rsidRPr="00A66200" w:rsidRDefault="000915C1" w:rsidP="000915C1">
      <w:pPr>
        <w:pStyle w:val="statutory-body"/>
        <w:ind w:left="1440"/>
      </w:pPr>
      <w:r w:rsidRPr="00A66200">
        <w:rPr>
          <w:rStyle w:val="Strong"/>
        </w:rPr>
        <w:t>(a)</w:t>
      </w:r>
      <w:r w:rsidRPr="00A66200">
        <w:t xml:space="preserve"> the expert’s scientific, technical, or other specialized knowledge will help the trier of fact to understand the evidence or to determine a fact in issue;</w:t>
      </w:r>
    </w:p>
    <w:p w14:paraId="19805D3F" w14:textId="77777777" w:rsidR="000915C1" w:rsidRPr="00A66200" w:rsidRDefault="000915C1" w:rsidP="000915C1">
      <w:pPr>
        <w:pStyle w:val="statutory-body"/>
        <w:ind w:left="720" w:firstLine="720"/>
      </w:pPr>
      <w:r w:rsidRPr="00A66200">
        <w:rPr>
          <w:rStyle w:val="Strong"/>
        </w:rPr>
        <w:t>(b)</w:t>
      </w:r>
      <w:r w:rsidRPr="00A66200">
        <w:t xml:space="preserve"> the testimony is based on sufficient facts or data;</w:t>
      </w:r>
    </w:p>
    <w:p w14:paraId="6C860603" w14:textId="77777777" w:rsidR="000915C1" w:rsidRPr="00A66200" w:rsidRDefault="000915C1" w:rsidP="000915C1">
      <w:pPr>
        <w:pStyle w:val="statutory-body"/>
        <w:ind w:left="720" w:firstLine="720"/>
      </w:pPr>
      <w:r w:rsidRPr="00A66200">
        <w:rPr>
          <w:rStyle w:val="Strong"/>
        </w:rPr>
        <w:t>(c)</w:t>
      </w:r>
      <w:r w:rsidRPr="00A66200">
        <w:t xml:space="preserve"> the testimony is the product of reliable principles and methods; and</w:t>
      </w:r>
    </w:p>
    <w:p w14:paraId="6CA18FE8" w14:textId="77777777" w:rsidR="000915C1" w:rsidRPr="00A66200" w:rsidRDefault="000915C1" w:rsidP="000915C1">
      <w:pPr>
        <w:pStyle w:val="statutory-body"/>
        <w:ind w:left="1440"/>
      </w:pPr>
      <w:r w:rsidRPr="00A66200">
        <w:rPr>
          <w:rStyle w:val="Strong"/>
        </w:rPr>
        <w:t>(d)</w:t>
      </w:r>
      <w:r w:rsidRPr="00A66200">
        <w:t xml:space="preserve"> the expert has reliably applied the principles and methods to the facts of the case.</w:t>
      </w:r>
    </w:p>
    <w:p w14:paraId="0D1AAA00" w14:textId="77777777" w:rsidR="000915C1" w:rsidRPr="00A66200" w:rsidRDefault="000915C1" w:rsidP="000915C1">
      <w:pPr>
        <w:pStyle w:val="Heading4"/>
        <w:ind w:left="720" w:firstLine="720"/>
        <w:rPr>
          <w:rFonts w:ascii="Times New Roman" w:hAnsi="Times New Roman" w:cs="Times New Roman"/>
          <w:color w:val="auto"/>
          <w:sz w:val="24"/>
          <w:szCs w:val="24"/>
        </w:rPr>
      </w:pPr>
      <w:r w:rsidRPr="00A66200">
        <w:rPr>
          <w:rFonts w:ascii="Times New Roman" w:hAnsi="Times New Roman" w:cs="Times New Roman"/>
          <w:color w:val="auto"/>
          <w:sz w:val="24"/>
          <w:szCs w:val="24"/>
        </w:rPr>
        <w:t>Notes</w:t>
      </w:r>
    </w:p>
    <w:p w14:paraId="52F87912" w14:textId="77777777" w:rsidR="000915C1" w:rsidRPr="00A66200" w:rsidRDefault="000915C1" w:rsidP="000915C1">
      <w:pPr>
        <w:pStyle w:val="source-credit"/>
        <w:ind w:left="1440"/>
      </w:pPr>
      <w:r w:rsidRPr="00A66200">
        <w:t>(Pub. L. 93–595, §1, Jan. 2, 1975, 88 Stat. 1937; Apr. 17, 2000, eff. Dec. 1, 2000; Apr. 26, 2011, eff. Dec. 1, 2011.)</w:t>
      </w:r>
    </w:p>
    <w:p w14:paraId="36609E57" w14:textId="77777777" w:rsidR="000915C1" w:rsidRDefault="000915C1" w:rsidP="002B1283">
      <w:pPr>
        <w:rPr>
          <w:rStyle w:val="Hyperlink"/>
          <w:rFonts w:ascii="Arial Black" w:hAnsi="Arial Black"/>
          <w:b/>
          <w:color w:val="auto"/>
          <w:sz w:val="24"/>
          <w:szCs w:val="24"/>
          <w:u w:val="none"/>
        </w:rPr>
      </w:pPr>
    </w:p>
    <w:p w14:paraId="4DA580C0" w14:textId="10CFD56A" w:rsidR="005E132A" w:rsidRDefault="005E132A"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4-13</w:t>
      </w:r>
    </w:p>
    <w:p w14:paraId="603533A1" w14:textId="77777777" w:rsidR="005E132A" w:rsidRDefault="005E132A" w:rsidP="005E132A">
      <w:pPr>
        <w:rPr>
          <w:rFonts w:ascii="Arial Black" w:eastAsiaTheme="minorHAnsi" w:hAnsi="Arial Black" w:cstheme="minorBidi"/>
          <w:sz w:val="28"/>
          <w:szCs w:val="28"/>
        </w:rPr>
      </w:pPr>
      <w:r>
        <w:rPr>
          <w:rFonts w:ascii="Arial Black" w:hAnsi="Arial Black"/>
          <w:sz w:val="28"/>
          <w:szCs w:val="28"/>
        </w:rPr>
        <w:t xml:space="preserve">OH: STUDENT DIED, VAN SEAT FOLDED ONTO HIM – 911 DISPATCH, PD COULDN’T LOCATE – LAWSUIT PROCEED </w:t>
      </w:r>
    </w:p>
    <w:p w14:paraId="740A9BB3" w14:textId="77777777" w:rsidR="005E132A" w:rsidRDefault="005E132A" w:rsidP="005E132A">
      <w:pPr>
        <w:rPr>
          <w:rFonts w:ascii="Times New Roman" w:hAnsi="Times New Roman"/>
          <w:sz w:val="24"/>
          <w:szCs w:val="24"/>
        </w:rPr>
      </w:pPr>
      <w:r>
        <w:rPr>
          <w:rFonts w:ascii="Times New Roman" w:hAnsi="Times New Roman"/>
          <w:sz w:val="24"/>
          <w:szCs w:val="24"/>
        </w:rPr>
        <w:t xml:space="preserve">On Dec. 16, 2020, in </w:t>
      </w:r>
      <w:r>
        <w:rPr>
          <w:rFonts w:ascii="Times New Roman" w:hAnsi="Times New Roman"/>
          <w:sz w:val="24"/>
          <w:szCs w:val="24"/>
          <w:u w:val="single"/>
        </w:rPr>
        <w:t>Rob Plush, Individually and Administrator of Estate of Kyle Plush, and Jill Plush v. City of Cincinnati, Harry Black, et al</w:t>
      </w:r>
      <w:r>
        <w:rPr>
          <w:rFonts w:ascii="Times New Roman" w:hAnsi="Times New Roman"/>
          <w:sz w:val="24"/>
          <w:szCs w:val="24"/>
        </w:rPr>
        <w:t xml:space="preserve">., the Court of Appeals for First Appellate District (Hamilton County), held (3 to 0) that while the City enjoy governmental immunity, the lawsuit may proceed against former City Manager, dispatchers, and police [1 Dissent on police]. The </w:t>
      </w:r>
      <w:proofErr w:type="gramStart"/>
      <w:r>
        <w:rPr>
          <w:rFonts w:ascii="Times New Roman" w:hAnsi="Times New Roman"/>
          <w:sz w:val="24"/>
          <w:szCs w:val="24"/>
        </w:rPr>
        <w:t>City</w:t>
      </w:r>
      <w:proofErr w:type="gramEnd"/>
      <w:r>
        <w:rPr>
          <w:rFonts w:ascii="Times New Roman" w:hAnsi="Times New Roman"/>
          <w:sz w:val="24"/>
          <w:szCs w:val="24"/>
        </w:rPr>
        <w:t xml:space="preserve"> has confirmed it will defend and indemnify these personnel. </w:t>
      </w:r>
    </w:p>
    <w:p w14:paraId="4CAF9CA4" w14:textId="3A914803" w:rsidR="005E132A" w:rsidRDefault="005E132A" w:rsidP="005E132A">
      <w:pPr>
        <w:rPr>
          <w:rStyle w:val="Hyperlink"/>
        </w:rPr>
      </w:pPr>
      <w:r>
        <w:rPr>
          <w:rFonts w:ascii="Times New Roman" w:hAnsi="Times New Roman"/>
          <w:sz w:val="24"/>
          <w:szCs w:val="24"/>
        </w:rPr>
        <w:t xml:space="preserve">“We find that Ron and Jill Plush’ s … claims squarely attack the city of Cincinnati’s … provision of emergency medical or rescue services, which is shielded by governmental immunity. Therefore, we reverse the denial of appellants’ motion to dismiss as to the city and its employees in their official capacities. However, the complaint sufficiently alleges at least reckless conduct to preclude </w:t>
      </w:r>
      <w:proofErr w:type="gramStart"/>
      <w:r>
        <w:rPr>
          <w:rFonts w:ascii="Times New Roman" w:hAnsi="Times New Roman"/>
          <w:sz w:val="24"/>
          <w:szCs w:val="24"/>
        </w:rPr>
        <w:t>immunity as</w:t>
      </w:r>
      <w:proofErr w:type="gramEnd"/>
      <w:r>
        <w:rPr>
          <w:rFonts w:ascii="Times New Roman" w:hAnsi="Times New Roman"/>
          <w:sz w:val="24"/>
          <w:szCs w:val="24"/>
        </w:rPr>
        <w:t xml:space="preserve"> </w:t>
      </w:r>
      <w:proofErr w:type="gramStart"/>
      <w:r>
        <w:rPr>
          <w:rFonts w:ascii="Times New Roman" w:hAnsi="Times New Roman"/>
          <w:sz w:val="24"/>
          <w:szCs w:val="24"/>
        </w:rPr>
        <w:t>to</w:t>
      </w:r>
      <w:proofErr w:type="gramEnd"/>
      <w:r>
        <w:rPr>
          <w:rFonts w:ascii="Times New Roman" w:hAnsi="Times New Roman"/>
          <w:sz w:val="24"/>
          <w:szCs w:val="24"/>
        </w:rPr>
        <w:t xml:space="preserve"> the individual defendants. Therefore, appellants’ motion to dismiss was properly denied as to Harry Black, Amber Smith, Stephanie Magee, Edsel Osborn, and Brian Brazile, in their individual capacities.”</w:t>
      </w:r>
      <w:r>
        <w:t xml:space="preserve"> </w:t>
      </w:r>
      <w:hyperlink r:id="rId907" w:history="1">
        <w:r>
          <w:rPr>
            <w:rStyle w:val="Hyperlink"/>
          </w:rPr>
          <w:t>https://www.hamiltoncountyohio.gov/UserFiles/Servers/Server_3788196/File/releases/2020/C-200030_12162020.pdf</w:t>
        </w:r>
      </w:hyperlink>
    </w:p>
    <w:p w14:paraId="5B6A7AF5" w14:textId="77777777" w:rsidR="005E132A" w:rsidRDefault="005E132A" w:rsidP="005E132A">
      <w:pPr>
        <w:rPr>
          <w:rFonts w:ascii="Times New Roman" w:hAnsi="Times New Roman"/>
          <w:b/>
          <w:bCs/>
          <w:sz w:val="24"/>
          <w:szCs w:val="24"/>
        </w:rPr>
      </w:pPr>
      <w:r>
        <w:rPr>
          <w:rFonts w:ascii="Times New Roman" w:hAnsi="Times New Roman"/>
          <w:b/>
          <w:bCs/>
          <w:sz w:val="24"/>
          <w:szCs w:val="24"/>
        </w:rPr>
        <w:t>Legal Lesson Learned: Tragic event; hopefully most modern dispatch system can now locate 911 caller within a few feet.</w:t>
      </w:r>
    </w:p>
    <w:p w14:paraId="1EFBF654" w14:textId="77777777" w:rsidR="005E132A" w:rsidRPr="006B1421" w:rsidRDefault="005E132A" w:rsidP="005E132A">
      <w:pPr>
        <w:pStyle w:val="Heading1"/>
        <w:ind w:left="1440"/>
        <w:rPr>
          <w:b w:val="0"/>
          <w:bCs w:val="0"/>
          <w:sz w:val="24"/>
          <w:szCs w:val="24"/>
        </w:rPr>
      </w:pPr>
      <w:r w:rsidRPr="006B1421">
        <w:rPr>
          <w:b w:val="0"/>
          <w:bCs w:val="0"/>
          <w:sz w:val="24"/>
          <w:szCs w:val="24"/>
        </w:rPr>
        <w:t>Note:  See this article.</w:t>
      </w:r>
      <w:r>
        <w:rPr>
          <w:sz w:val="24"/>
          <w:szCs w:val="24"/>
        </w:rPr>
        <w:t xml:space="preserve">  </w:t>
      </w:r>
      <w:r>
        <w:rPr>
          <w:b w:val="0"/>
          <w:bCs w:val="0"/>
          <w:sz w:val="24"/>
          <w:szCs w:val="24"/>
        </w:rPr>
        <w:t xml:space="preserve"> “</w:t>
      </w:r>
      <w:r w:rsidRPr="006B1421">
        <w:rPr>
          <w:b w:val="0"/>
          <w:bCs w:val="0"/>
          <w:sz w:val="24"/>
          <w:szCs w:val="24"/>
        </w:rPr>
        <w:t>How Does Location Work for 911?</w:t>
      </w:r>
      <w:r>
        <w:rPr>
          <w:b w:val="0"/>
          <w:bCs w:val="0"/>
          <w:sz w:val="24"/>
          <w:szCs w:val="24"/>
        </w:rPr>
        <w:t>”</w:t>
      </w:r>
      <w:r w:rsidRPr="006B1421">
        <w:rPr>
          <w:b w:val="0"/>
          <w:bCs w:val="0"/>
          <w:sz w:val="24"/>
          <w:szCs w:val="24"/>
        </w:rPr>
        <w:t xml:space="preserve"> </w:t>
      </w:r>
      <w:hyperlink r:id="rId908" w:history="1">
        <w:r w:rsidRPr="009A2D81">
          <w:rPr>
            <w:rStyle w:val="Hyperlink"/>
            <w:b w:val="0"/>
            <w:bCs w:val="0"/>
            <w:sz w:val="24"/>
            <w:szCs w:val="24"/>
          </w:rPr>
          <w:t>https://www.nct911.org/how-location-works-for-911/</w:t>
        </w:r>
      </w:hyperlink>
      <w:r>
        <w:rPr>
          <w:b w:val="0"/>
          <w:bCs w:val="0"/>
          <w:sz w:val="24"/>
          <w:szCs w:val="24"/>
        </w:rPr>
        <w:t xml:space="preserve"> </w:t>
      </w:r>
    </w:p>
    <w:p w14:paraId="4325A884" w14:textId="1E63C5BA" w:rsidR="005E132A" w:rsidRPr="006B1421" w:rsidRDefault="005E132A" w:rsidP="005E132A">
      <w:pPr>
        <w:ind w:left="1440"/>
        <w:rPr>
          <w:rFonts w:ascii="Times New Roman" w:hAnsi="Times New Roman"/>
          <w:sz w:val="24"/>
          <w:szCs w:val="24"/>
        </w:rPr>
      </w:pPr>
      <w:r w:rsidRPr="006B1421">
        <w:rPr>
          <w:rFonts w:ascii="Times New Roman" w:hAnsi="Times New Roman"/>
          <w:b/>
          <w:bCs/>
          <w:sz w:val="24"/>
          <w:szCs w:val="24"/>
        </w:rPr>
        <w:t>“</w:t>
      </w:r>
      <w:r w:rsidRPr="006B1421">
        <w:rPr>
          <w:rFonts w:ascii="Times New Roman" w:hAnsi="Times New Roman"/>
          <w:sz w:val="24"/>
          <w:szCs w:val="24"/>
        </w:rPr>
        <w:t>On an Enhanced 9-1-1 system, calling 9-1-1 on a cell phone can yield different results. This is because the location information is provided by your cell phone carrier and each carrier is different. When you call on a cell phone, your location is determined by a combination of network triangulation and trilateration to gain an approximate location. By approximate location, we mean within 300 meters of the nearest cell phone tower. That’s about three football fields.</w:t>
      </w:r>
      <w:r>
        <w:rPr>
          <w:rFonts w:ascii="Times New Roman" w:hAnsi="Times New Roman"/>
          <w:sz w:val="24"/>
          <w:szCs w:val="24"/>
        </w:rPr>
        <w:t xml:space="preserve"> </w:t>
      </w:r>
      <w:r w:rsidRPr="006B1421">
        <w:rPr>
          <w:rFonts w:ascii="Times New Roman" w:hAnsi="Times New Roman"/>
          <w:sz w:val="24"/>
          <w:szCs w:val="24"/>
        </w:rPr>
        <w:t xml:space="preserve">If your police department or sheriff’s office is on a Next Generation 9-1-1 network, which emphasizes more modern technology, and if they use device-based hybrid location accuracy, DHL, (technology </w:t>
      </w:r>
      <w:proofErr w:type="gramStart"/>
      <w:r w:rsidRPr="006B1421">
        <w:rPr>
          <w:rFonts w:ascii="Times New Roman" w:hAnsi="Times New Roman"/>
          <w:sz w:val="24"/>
          <w:szCs w:val="24"/>
        </w:rPr>
        <w:t>similar to</w:t>
      </w:r>
      <w:proofErr w:type="gramEnd"/>
      <w:r w:rsidRPr="006B1421">
        <w:rPr>
          <w:rFonts w:ascii="Times New Roman" w:hAnsi="Times New Roman"/>
          <w:sz w:val="24"/>
          <w:szCs w:val="24"/>
        </w:rPr>
        <w:t xml:space="preserve"> that used by ride-sharing apps), they may be able to pinpoint your location within 15 meters.” </w:t>
      </w:r>
    </w:p>
    <w:p w14:paraId="16BEAC0B" w14:textId="77777777" w:rsidR="005E132A" w:rsidRPr="006B1421" w:rsidRDefault="005E132A" w:rsidP="005E132A">
      <w:pPr>
        <w:ind w:left="720"/>
        <w:rPr>
          <w:rStyle w:val="Hyperlink"/>
          <w:rFonts w:ascii="Times New Roman" w:hAnsi="Times New Roman"/>
          <w:sz w:val="24"/>
          <w:szCs w:val="24"/>
        </w:rPr>
      </w:pPr>
      <w:hyperlink r:id="rId909" w:history="1">
        <w:r w:rsidRPr="006B1421">
          <w:rPr>
            <w:rStyle w:val="Hyperlink"/>
            <w:rFonts w:ascii="Times New Roman" w:hAnsi="Times New Roman"/>
            <w:sz w:val="24"/>
            <w:szCs w:val="24"/>
          </w:rPr>
          <w:t>https://www.nct911.org/how-location-works-for-911/</w:t>
        </w:r>
      </w:hyperlink>
    </w:p>
    <w:p w14:paraId="7284602C" w14:textId="77777777" w:rsidR="005E132A" w:rsidRDefault="005E132A" w:rsidP="005E132A">
      <w:pPr>
        <w:rPr>
          <w:rStyle w:val="Hyperlink"/>
          <w:rFonts w:ascii="Arial Black" w:hAnsi="Arial Black"/>
          <w:b/>
          <w:color w:val="auto"/>
          <w:sz w:val="24"/>
          <w:szCs w:val="24"/>
          <w:u w:val="none"/>
        </w:rPr>
      </w:pPr>
    </w:p>
    <w:p w14:paraId="45589666" w14:textId="77777777" w:rsidR="005E132A" w:rsidRDefault="005E132A" w:rsidP="002B1283">
      <w:pPr>
        <w:rPr>
          <w:rStyle w:val="Hyperlink"/>
          <w:rFonts w:ascii="Arial Black" w:hAnsi="Arial Black"/>
          <w:b/>
          <w:color w:val="auto"/>
          <w:sz w:val="24"/>
          <w:szCs w:val="24"/>
          <w:u w:val="none"/>
        </w:rPr>
      </w:pPr>
    </w:p>
    <w:p w14:paraId="52AE58BE" w14:textId="08191573" w:rsidR="007D178F" w:rsidRDefault="007D178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4-12</w:t>
      </w:r>
    </w:p>
    <w:p w14:paraId="673E86C1" w14:textId="77777777" w:rsidR="007D178F" w:rsidRPr="00075D85" w:rsidRDefault="007D178F" w:rsidP="007D178F">
      <w:pPr>
        <w:pStyle w:val="NoSpacing"/>
        <w:rPr>
          <w:rFonts w:ascii="Arial Black" w:hAnsi="Arial Black"/>
          <w:sz w:val="28"/>
          <w:szCs w:val="28"/>
        </w:rPr>
      </w:pPr>
      <w:r>
        <w:rPr>
          <w:rFonts w:ascii="Arial Black" w:hAnsi="Arial Black"/>
          <w:sz w:val="28"/>
          <w:szCs w:val="28"/>
        </w:rPr>
        <w:t>NY: FDNY TRAINING APARTMENT BLDG BEING REHABED – STILL FEW RESIDENTS, DOORS FORCED OPEN – CASE DISMISSED</w:t>
      </w:r>
    </w:p>
    <w:p w14:paraId="64C49571" w14:textId="77777777" w:rsidR="007D178F" w:rsidRDefault="007D178F" w:rsidP="007D178F">
      <w:pPr>
        <w:pStyle w:val="NormalWeb"/>
      </w:pPr>
      <w:r>
        <w:t xml:space="preserve">On Nov. 25, 2020, in </w:t>
      </w:r>
      <w:r w:rsidRPr="00075D85">
        <w:rPr>
          <w:u w:val="single"/>
        </w:rPr>
        <w:t xml:space="preserve">Henry Brown, et al. v. Fire Department of City of New York, </w:t>
      </w:r>
      <w:r>
        <w:rPr>
          <w:u w:val="single"/>
        </w:rPr>
        <w:t xml:space="preserve">the City of New York, </w:t>
      </w:r>
      <w:r w:rsidRPr="00075D85">
        <w:rPr>
          <w:u w:val="single"/>
        </w:rPr>
        <w:t>et al</w:t>
      </w:r>
      <w:r>
        <w:t>., U.S. District Court Judge Lashann Dearcy Hall, U.S. District Court for Eastern District of New York, granted the City’s motion to dismiss; there was no proof that the City was on notice of any deficiencies in the FDNY’s training conducted April – June, 2016 in the 23-unit apartment building (five plaintiffs still lived in the building). The training exercises included breaking down doors and entering apartments, and led to two incidents of forcible, warrantless entry into Plaintiffs' apartments.</w:t>
      </w:r>
    </w:p>
    <w:p w14:paraId="64A60F80" w14:textId="77777777" w:rsidR="007D178F" w:rsidRDefault="007D178F" w:rsidP="007D178F">
      <w:pPr>
        <w:pStyle w:val="NormalWeb"/>
        <w:ind w:left="720"/>
      </w:pPr>
      <w:r>
        <w:t xml:space="preserve">“Here, Plaintiffs allege that City Defendants failed to train FDNY officers how to ‘properly distinguish occupied from vacant apartments in the context of emergency entry training exercises.’ (Am. </w:t>
      </w:r>
      <w:proofErr w:type="spellStart"/>
      <w:r>
        <w:t>Compl</w:t>
      </w:r>
      <w:proofErr w:type="spellEnd"/>
      <w:r>
        <w:t>. ¶¶ 53, 113.) The complaint contains two allegations of constitutional violations: the warrantless entries by FDNY Officers into Plaintiff Moyer's apartment on May 17, 2016, and Plaintiff Henry Brown's apartment on May 21, 2016.… However, there are no allegations that indicate that City Defendants were on notice that the training of FDNY officers was deficient. Plaintiff Moyer did call the police after the FDNY allegedly entered her home because she thought they had been robbed…. However, there is no plausible inference that her call to the police to report a robbery put the City Defendants on notice that the training of FDNY officers was deficient. Plaintiff Henry Brown filed a complaint at the local fire house and complained to Brooklyn Community Board #8 after the alleged unlawful entrance into his home</w:t>
      </w:r>
      <w:proofErr w:type="gramStart"/>
      <w:r>
        <w:t>…..</w:t>
      </w:r>
      <w:proofErr w:type="gramEnd"/>
      <w:r>
        <w:t xml:space="preserve"> However, any such complaints, which were made after the alleged warrantless entries into Plaintiffs' homes, could not be said to have put the City Defendants on notice of training deficiencies prior to the alleged unconstitutional conduct.” </w:t>
      </w:r>
      <w:hyperlink r:id="rId910" w:history="1">
        <w:r w:rsidRPr="00695F3D">
          <w:rPr>
            <w:rStyle w:val="Hyperlink"/>
          </w:rPr>
          <w:t>https://docs.justia.com/cases/federal/district-courts/new-york/nyedce/1:2019cv02400/432390/46</w:t>
        </w:r>
      </w:hyperlink>
      <w:r>
        <w:t xml:space="preserve"> </w:t>
      </w:r>
    </w:p>
    <w:p w14:paraId="300EC7BA" w14:textId="77777777" w:rsidR="007D178F" w:rsidRPr="005E4BB8" w:rsidRDefault="007D178F" w:rsidP="007D178F">
      <w:pPr>
        <w:pStyle w:val="NormalWeb"/>
        <w:rPr>
          <w:b/>
          <w:bCs/>
        </w:rPr>
      </w:pPr>
      <w:r w:rsidRPr="005E4BB8">
        <w:rPr>
          <w:b/>
          <w:bCs/>
        </w:rPr>
        <w:t>Legal Lesson Learned</w:t>
      </w:r>
      <w:r>
        <w:rPr>
          <w:b/>
          <w:bCs/>
        </w:rPr>
        <w:t xml:space="preserve">: No constitutional violations, but training in a partially occupied apartment building presenting some obvious “challenges” for training officers and the participating firefighters. </w:t>
      </w:r>
    </w:p>
    <w:p w14:paraId="6B12B880" w14:textId="77777777" w:rsidR="007D178F" w:rsidRDefault="007D178F" w:rsidP="002B1283">
      <w:pPr>
        <w:rPr>
          <w:rStyle w:val="Hyperlink"/>
          <w:rFonts w:ascii="Arial Black" w:hAnsi="Arial Black"/>
          <w:b/>
          <w:color w:val="auto"/>
          <w:sz w:val="24"/>
          <w:szCs w:val="24"/>
          <w:u w:val="none"/>
        </w:rPr>
      </w:pPr>
    </w:p>
    <w:p w14:paraId="63155450" w14:textId="77777777" w:rsidR="007D178F" w:rsidRDefault="007D178F" w:rsidP="002B1283">
      <w:pPr>
        <w:rPr>
          <w:rStyle w:val="Hyperlink"/>
          <w:rFonts w:ascii="Arial Black" w:hAnsi="Arial Black"/>
          <w:b/>
          <w:color w:val="auto"/>
          <w:sz w:val="24"/>
          <w:szCs w:val="24"/>
          <w:u w:val="none"/>
        </w:rPr>
      </w:pPr>
    </w:p>
    <w:p w14:paraId="6606C8A5" w14:textId="483CE476" w:rsidR="007D178F" w:rsidRDefault="007D178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4-11</w:t>
      </w:r>
    </w:p>
    <w:p w14:paraId="1D24AEDF" w14:textId="77777777" w:rsidR="007D178F" w:rsidRPr="003E0282" w:rsidRDefault="007D178F" w:rsidP="007D178F">
      <w:pPr>
        <w:pStyle w:val="NoSpacing"/>
        <w:rPr>
          <w:rFonts w:ascii="Arial Black" w:hAnsi="Arial Black"/>
          <w:sz w:val="28"/>
          <w:szCs w:val="28"/>
        </w:rPr>
      </w:pPr>
      <w:bookmarkStart w:id="176" w:name="_Hlk66942804"/>
      <w:r>
        <w:rPr>
          <w:rFonts w:ascii="Arial Black" w:hAnsi="Arial Black"/>
          <w:sz w:val="28"/>
          <w:szCs w:val="28"/>
        </w:rPr>
        <w:t>NY: PAPER MILL FIRE – DECK GUN – DISCHARGED OVER TOP OF HYDROELECTRIC FACILITY – NO LIABILITY FOR DAMAGE</w:t>
      </w:r>
    </w:p>
    <w:p w14:paraId="235564E6" w14:textId="77777777" w:rsidR="007D178F" w:rsidRDefault="007D178F" w:rsidP="007D178F">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Nov. 25, 2020, in </w:t>
      </w:r>
      <w:r w:rsidRPr="003E0282">
        <w:rPr>
          <w:rFonts w:ascii="Times New Roman" w:eastAsia="Times New Roman" w:hAnsi="Times New Roman"/>
          <w:sz w:val="24"/>
          <w:szCs w:val="24"/>
          <w:u w:val="single"/>
        </w:rPr>
        <w:t>Stevens &amp; Thompson Paper Company, Inc. v. Middle Falls Fire Department, Inc.</w:t>
      </w:r>
      <w:r>
        <w:rPr>
          <w:rFonts w:ascii="Times New Roman" w:eastAsia="Times New Roman" w:hAnsi="Times New Roman"/>
          <w:sz w:val="24"/>
          <w:szCs w:val="24"/>
          <w:u w:val="single"/>
        </w:rPr>
        <w:t>, et al</w:t>
      </w:r>
      <w:r>
        <w:rPr>
          <w:rFonts w:ascii="Times New Roman" w:eastAsia="Times New Roman" w:hAnsi="Times New Roman"/>
          <w:sz w:val="24"/>
          <w:szCs w:val="24"/>
        </w:rPr>
        <w:t xml:space="preserve">, the Appellate Division of the Supreme Court of the State of New York, held (5 to 0) that the trial court properly granted summary judgment to the FD and the </w:t>
      </w:r>
      <w:r w:rsidRPr="003E0282">
        <w:rPr>
          <w:rFonts w:ascii="Times New Roman" w:eastAsia="Times New Roman" w:hAnsi="Times New Roman"/>
          <w:sz w:val="24"/>
          <w:szCs w:val="24"/>
        </w:rPr>
        <w:t>Village of Greenwich, and the Town of Greenwich</w:t>
      </w:r>
      <w:r>
        <w:rPr>
          <w:rFonts w:ascii="Times New Roman" w:eastAsia="Times New Roman" w:hAnsi="Times New Roman"/>
          <w:sz w:val="24"/>
          <w:szCs w:val="24"/>
        </w:rPr>
        <w:t xml:space="preserve"> under the governmental immunity doctrine.</w:t>
      </w:r>
    </w:p>
    <w:bookmarkEnd w:id="176"/>
    <w:p w14:paraId="1E0C94C3" w14:textId="77777777" w:rsidR="007D178F" w:rsidRDefault="007D178F" w:rsidP="007D178F">
      <w:pPr>
        <w:pStyle w:val="NoSpacing"/>
        <w:ind w:left="720"/>
        <w:rPr>
          <w:rFonts w:ascii="Times New Roman" w:hAnsi="Times New Roman"/>
          <w:sz w:val="24"/>
          <w:szCs w:val="24"/>
        </w:rPr>
      </w:pPr>
      <w:r>
        <w:rPr>
          <w:rFonts w:ascii="Times New Roman" w:hAnsi="Times New Roman"/>
          <w:sz w:val="24"/>
          <w:szCs w:val="24"/>
        </w:rPr>
        <w:t>“</w:t>
      </w:r>
      <w:r w:rsidRPr="00902E58">
        <w:rPr>
          <w:rFonts w:ascii="Times New Roman" w:hAnsi="Times New Roman"/>
          <w:sz w:val="24"/>
          <w:szCs w:val="24"/>
        </w:rPr>
        <w:t xml:space="preserve">The key issue is therefore whether the fire department defendants' purportedly negligent acts — choosing to use the deck gun and aim it in a direction that caused a rain to fall around the powerhouse — were discretionary in that they arose from </w:t>
      </w:r>
      <w:r>
        <w:rPr>
          <w:rFonts w:ascii="Times New Roman" w:hAnsi="Times New Roman"/>
          <w:sz w:val="24"/>
          <w:szCs w:val="24"/>
        </w:rPr>
        <w:t>‘</w:t>
      </w:r>
      <w:r w:rsidRPr="00902E58">
        <w:rPr>
          <w:rFonts w:ascii="Times New Roman" w:hAnsi="Times New Roman"/>
          <w:sz w:val="24"/>
          <w:szCs w:val="24"/>
        </w:rPr>
        <w:t>the exercise of reasoned judgment which could typically produce different acceptable results</w:t>
      </w:r>
      <w:r>
        <w:rPr>
          <w:rFonts w:ascii="Times New Roman" w:hAnsi="Times New Roman"/>
          <w:sz w:val="24"/>
          <w:szCs w:val="24"/>
        </w:rPr>
        <w:t>’</w:t>
      </w:r>
      <w:r w:rsidRPr="00902E58">
        <w:rPr>
          <w:rFonts w:ascii="Times New Roman" w:hAnsi="Times New Roman"/>
          <w:sz w:val="24"/>
          <w:szCs w:val="24"/>
        </w:rPr>
        <w:t xml:space="preserve"> (</w:t>
      </w:r>
      <w:r w:rsidRPr="00902E58">
        <w:rPr>
          <w:rFonts w:ascii="Times New Roman" w:hAnsi="Times New Roman"/>
          <w:i/>
          <w:iCs/>
          <w:sz w:val="24"/>
          <w:szCs w:val="24"/>
        </w:rPr>
        <w:t xml:space="preserve">Tango v </w:t>
      </w:r>
      <w:proofErr w:type="spellStart"/>
      <w:r w:rsidRPr="00902E58">
        <w:rPr>
          <w:rFonts w:ascii="Times New Roman" w:hAnsi="Times New Roman"/>
          <w:i/>
          <w:iCs/>
          <w:sz w:val="24"/>
          <w:szCs w:val="24"/>
        </w:rPr>
        <w:t>Tulevech</w:t>
      </w:r>
      <w:proofErr w:type="spellEnd"/>
      <w:r w:rsidRPr="00902E58">
        <w:rPr>
          <w:rFonts w:ascii="Times New Roman" w:hAnsi="Times New Roman"/>
          <w:sz w:val="24"/>
          <w:szCs w:val="24"/>
        </w:rPr>
        <w:t xml:space="preserve">, 61 NY2d 34, 4). </w:t>
      </w:r>
    </w:p>
    <w:p w14:paraId="63B3C212" w14:textId="77777777" w:rsidR="007D178F" w:rsidRDefault="007D178F" w:rsidP="007D178F">
      <w:pPr>
        <w:pStyle w:val="NoSpacing"/>
        <w:ind w:left="720"/>
        <w:rPr>
          <w:rFonts w:ascii="Times New Roman" w:hAnsi="Times New Roman"/>
          <w:sz w:val="24"/>
          <w:szCs w:val="24"/>
        </w:rPr>
      </w:pPr>
    </w:p>
    <w:p w14:paraId="02292674" w14:textId="77777777" w:rsidR="007D178F" w:rsidRDefault="007D178F" w:rsidP="007D178F">
      <w:pPr>
        <w:pStyle w:val="NoSpacing"/>
        <w:ind w:left="720"/>
        <w:rPr>
          <w:rFonts w:ascii="Times New Roman" w:hAnsi="Times New Roman"/>
          <w:sz w:val="24"/>
          <w:szCs w:val="24"/>
        </w:rPr>
      </w:pPr>
      <w:r w:rsidRPr="00902E58">
        <w:rPr>
          <w:rFonts w:ascii="Times New Roman" w:hAnsi="Times New Roman"/>
          <w:sz w:val="24"/>
          <w:szCs w:val="24"/>
        </w:rPr>
        <w:t xml:space="preserve">*** </w:t>
      </w:r>
    </w:p>
    <w:p w14:paraId="21999CE5" w14:textId="7FB4D18E" w:rsidR="007D178F" w:rsidRDefault="007D178F" w:rsidP="007D178F">
      <w:pPr>
        <w:rPr>
          <w:rStyle w:val="Hyperlink"/>
          <w:rFonts w:ascii="Arial Black" w:hAnsi="Arial Black"/>
          <w:b/>
          <w:color w:val="auto"/>
          <w:sz w:val="24"/>
          <w:szCs w:val="24"/>
          <w:u w:val="none"/>
        </w:rPr>
      </w:pPr>
      <w:r w:rsidRPr="00902E58">
        <w:rPr>
          <w:rFonts w:ascii="Times New Roman" w:hAnsi="Times New Roman"/>
          <w:sz w:val="24"/>
          <w:szCs w:val="24"/>
        </w:rPr>
        <w:t xml:space="preserve">Moreover, although the selected direction of the deck gun caused </w:t>
      </w:r>
      <w:proofErr w:type="gramStart"/>
      <w:r w:rsidRPr="00902E58">
        <w:rPr>
          <w:rFonts w:ascii="Times New Roman" w:hAnsi="Times New Roman"/>
          <w:sz w:val="24"/>
          <w:szCs w:val="24"/>
        </w:rPr>
        <w:t>a rain</w:t>
      </w:r>
      <w:proofErr w:type="gramEnd"/>
      <w:r w:rsidRPr="00902E58">
        <w:rPr>
          <w:rFonts w:ascii="Times New Roman" w:hAnsi="Times New Roman"/>
          <w:sz w:val="24"/>
          <w:szCs w:val="24"/>
        </w:rPr>
        <w:t xml:space="preserve"> or mist to fall upon the powerhouse when it was in use, the firefighters had no reason to anticipate that this would affect the interior of the powerhouse. A surveillance video of the area shows wet ground, but no flooding, and it appears that </w:t>
      </w:r>
      <w:proofErr w:type="gramStart"/>
      <w:r w:rsidRPr="00902E58">
        <w:rPr>
          <w:rFonts w:ascii="Times New Roman" w:hAnsi="Times New Roman"/>
          <w:sz w:val="24"/>
          <w:szCs w:val="24"/>
        </w:rPr>
        <w:t>water that</w:t>
      </w:r>
      <w:proofErr w:type="gramEnd"/>
      <w:r w:rsidRPr="00902E58">
        <w:rPr>
          <w:rFonts w:ascii="Times New Roman" w:hAnsi="Times New Roman"/>
          <w:sz w:val="24"/>
          <w:szCs w:val="24"/>
        </w:rPr>
        <w:t xml:space="preserve"> drained into an outdoor catch basin as designed then seeped into the powerhouse through a masonry joint. Further, although one could reasonably question the efficacy of the firefighters' efforts to reorient the deck gun once they learned of that problem, the efficacy of those efforts </w:t>
      </w:r>
      <w:proofErr w:type="gramStart"/>
      <w:r w:rsidRPr="00902E58">
        <w:rPr>
          <w:rFonts w:ascii="Times New Roman" w:hAnsi="Times New Roman"/>
          <w:sz w:val="24"/>
          <w:szCs w:val="24"/>
        </w:rPr>
        <w:t>are</w:t>
      </w:r>
      <w:proofErr w:type="gramEnd"/>
      <w:r w:rsidRPr="00902E58">
        <w:rPr>
          <w:rFonts w:ascii="Times New Roman" w:hAnsi="Times New Roman"/>
          <w:sz w:val="24"/>
          <w:szCs w:val="24"/>
        </w:rPr>
        <w:t xml:space="preserve"> irrelevant given that their activities caused no further seepage into the powerhouse</w:t>
      </w:r>
      <w:r>
        <w:rPr>
          <w:rFonts w:ascii="Times New Roman" w:hAnsi="Times New Roman"/>
          <w:sz w:val="24"/>
          <w:szCs w:val="24"/>
        </w:rPr>
        <w:t xml:space="preserve">.” </w:t>
      </w:r>
      <w:bookmarkStart w:id="177" w:name="_Hlk66942827"/>
      <w:r w:rsidR="00F00958">
        <w:fldChar w:fldCharType="begin"/>
      </w:r>
      <w:r w:rsidR="00F00958">
        <w:instrText xml:space="preserve"> HYPERLINK "http://decisions.courts.state.ny.us/ad3/Decisions/2020/529718.pdf" </w:instrText>
      </w:r>
      <w:r w:rsidR="00F00958">
        <w:fldChar w:fldCharType="separate"/>
      </w:r>
      <w:r w:rsidRPr="00695F3D">
        <w:rPr>
          <w:rStyle w:val="Hyperlink"/>
          <w:rFonts w:ascii="Times New Roman" w:hAnsi="Times New Roman"/>
          <w:sz w:val="24"/>
          <w:szCs w:val="24"/>
        </w:rPr>
        <w:t>http://decisions.courts.state.ny.us/ad3/Decisions/2020/529718.pdf</w:t>
      </w:r>
      <w:r w:rsidR="00F00958">
        <w:rPr>
          <w:rStyle w:val="Hyperlink"/>
          <w:rFonts w:ascii="Times New Roman" w:hAnsi="Times New Roman"/>
          <w:sz w:val="24"/>
          <w:szCs w:val="24"/>
        </w:rPr>
        <w:fldChar w:fldCharType="end"/>
      </w:r>
    </w:p>
    <w:p w14:paraId="1FD92A1D" w14:textId="77777777" w:rsidR="007D178F" w:rsidRPr="00902E58" w:rsidRDefault="007D178F" w:rsidP="007D178F">
      <w:pPr>
        <w:pStyle w:val="NoSpacing"/>
        <w:rPr>
          <w:rFonts w:ascii="Times New Roman" w:hAnsi="Times New Roman"/>
          <w:b/>
          <w:bCs/>
          <w:sz w:val="24"/>
          <w:szCs w:val="24"/>
        </w:rPr>
      </w:pPr>
      <w:r w:rsidRPr="00902E58">
        <w:rPr>
          <w:rFonts w:ascii="Times New Roman" w:hAnsi="Times New Roman"/>
          <w:b/>
          <w:bCs/>
          <w:sz w:val="24"/>
          <w:szCs w:val="24"/>
        </w:rPr>
        <w:t xml:space="preserve">Legal Lesson Learned:  Discretionary acts by fire department are protected by governmental immunity. </w:t>
      </w:r>
    </w:p>
    <w:bookmarkEnd w:id="177"/>
    <w:p w14:paraId="69314B50" w14:textId="77777777" w:rsidR="007D178F" w:rsidRDefault="007D178F" w:rsidP="007D178F">
      <w:pPr>
        <w:pStyle w:val="NoSpacing"/>
        <w:rPr>
          <w:rFonts w:ascii="Times New Roman" w:hAnsi="Times New Roman"/>
          <w:sz w:val="24"/>
          <w:szCs w:val="24"/>
        </w:rPr>
      </w:pPr>
    </w:p>
    <w:p w14:paraId="6213E884" w14:textId="77777777" w:rsidR="007D178F" w:rsidRDefault="007D178F" w:rsidP="002B1283">
      <w:pPr>
        <w:rPr>
          <w:rStyle w:val="Hyperlink"/>
          <w:rFonts w:ascii="Arial Black" w:hAnsi="Arial Black"/>
          <w:b/>
          <w:color w:val="auto"/>
          <w:sz w:val="24"/>
          <w:szCs w:val="24"/>
          <w:u w:val="none"/>
        </w:rPr>
      </w:pPr>
    </w:p>
    <w:p w14:paraId="3D84C96F" w14:textId="2D4C4586" w:rsidR="00DD03E3" w:rsidRDefault="00DD03E3"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4-10</w:t>
      </w:r>
    </w:p>
    <w:p w14:paraId="22CD24AA" w14:textId="77777777" w:rsidR="00DD03E3" w:rsidRPr="00E0368C" w:rsidRDefault="00DD03E3" w:rsidP="00DD03E3">
      <w:pPr>
        <w:pStyle w:val="Heading1"/>
        <w:rPr>
          <w:rFonts w:ascii="Arial Black" w:hAnsi="Arial Black"/>
          <w:b w:val="0"/>
          <w:sz w:val="28"/>
          <w:szCs w:val="28"/>
        </w:rPr>
      </w:pPr>
      <w:bookmarkStart w:id="178" w:name="_Hlk66942878"/>
      <w:r>
        <w:rPr>
          <w:rStyle w:val="font-weight-bold"/>
          <w:rFonts w:ascii="Arial Black" w:eastAsiaTheme="majorEastAsia" w:hAnsi="Arial Black"/>
          <w:sz w:val="28"/>
          <w:szCs w:val="28"/>
        </w:rPr>
        <w:t>CA: KOBE BRYANT DEATH – NEW CA STATUTE – CRIME FOR EMERGENCY RESPONDERS TAKE PHOTOS WITH PERSONAL DEVICES</w:t>
      </w:r>
    </w:p>
    <w:p w14:paraId="3304462E" w14:textId="77777777" w:rsidR="00DD03E3" w:rsidRPr="00E0368C" w:rsidRDefault="00DD03E3" w:rsidP="00DD03E3">
      <w:pPr>
        <w:pStyle w:val="NormalWeb"/>
        <w:rPr>
          <w:bCs/>
        </w:rPr>
      </w:pPr>
      <w:r w:rsidRPr="00E0368C">
        <w:rPr>
          <w:bCs/>
        </w:rPr>
        <w:t xml:space="preserve">Sept. 28, 2020: CA - Gov. Newsom Signs New Law Prompted </w:t>
      </w:r>
      <w:proofErr w:type="gramStart"/>
      <w:r w:rsidRPr="00E0368C">
        <w:rPr>
          <w:bCs/>
        </w:rPr>
        <w:t>By</w:t>
      </w:r>
      <w:proofErr w:type="gramEnd"/>
      <w:r w:rsidRPr="00E0368C">
        <w:rPr>
          <w:bCs/>
        </w:rPr>
        <w:t xml:space="preserve"> Photo Scandal </w:t>
      </w:r>
      <w:proofErr w:type="gramStart"/>
      <w:r w:rsidRPr="00E0368C">
        <w:rPr>
          <w:bCs/>
        </w:rPr>
        <w:t>In</w:t>
      </w:r>
      <w:proofErr w:type="gramEnd"/>
      <w:r w:rsidRPr="00E0368C">
        <w:rPr>
          <w:bCs/>
        </w:rPr>
        <w:t xml:space="preserve"> Crash That Killed Kobe Bryant, 8 Others </w:t>
      </w:r>
      <w:proofErr w:type="gramStart"/>
      <w:r w:rsidRPr="00E0368C">
        <w:rPr>
          <w:bCs/>
        </w:rPr>
        <w:t>In</w:t>
      </w:r>
      <w:proofErr w:type="gramEnd"/>
      <w:r w:rsidRPr="00E0368C">
        <w:rPr>
          <w:bCs/>
        </w:rPr>
        <w:t xml:space="preserve"> Calabasas - Gov. Gavin Newsom has approved legislation prompted by the helicopter crash that killed Kobe Bryant and eight others in Calabasas earlier this year. The bill </w:t>
      </w:r>
      <w:proofErr w:type="gramStart"/>
      <w:r w:rsidRPr="00E0368C">
        <w:rPr>
          <w:bCs/>
        </w:rPr>
        <w:t>signed</w:t>
      </w:r>
      <w:proofErr w:type="gramEnd"/>
      <w:r w:rsidRPr="00E0368C">
        <w:rPr>
          <w:bCs/>
        </w:rPr>
        <w:t xml:space="preserve"> Monday makes it a crime for first responders to take unauthorized photos of deceased people at the scene of an accident or crime.  Reports surfaced after the Jan. 26 crash that graphic photos of the victims were being shared by eight deputies.  Los Angeles County Sheriff Alex Villanueva said the department has a policy against taking and sharing crime scene photos, but it does not apply to accident scenes. Vanessa </w:t>
      </w:r>
      <w:hyperlink r:id="rId911" w:history="1">
        <w:r w:rsidRPr="00E0368C">
          <w:rPr>
            <w:rStyle w:val="Hyperlink"/>
            <w:rFonts w:eastAsiaTheme="majorEastAsia"/>
            <w:bCs/>
          </w:rPr>
          <w:t>Bryant has sued the sheriff</w:t>
        </w:r>
      </w:hyperlink>
      <w:r w:rsidRPr="00E0368C">
        <w:rPr>
          <w:bCs/>
        </w:rPr>
        <w:t xml:space="preserve"> in a lawsuit seeking damages for negligence, invasion of privacy and intentional infliction of emotional distress. </w:t>
      </w:r>
      <w:hyperlink r:id="rId912" w:history="1">
        <w:r w:rsidRPr="00E0368C">
          <w:rPr>
            <w:rStyle w:val="Hyperlink"/>
            <w:bCs/>
          </w:rPr>
          <w:t>https://ktla.com/news/local-news/gov-newsom-signs-new-law-prompted-by-photo-scandal-in-crash-that-killed-kobe-bryant-8-others-in-calabasas/</w:t>
        </w:r>
      </w:hyperlink>
      <w:r w:rsidRPr="00E0368C">
        <w:rPr>
          <w:bCs/>
        </w:rPr>
        <w:t xml:space="preserve"> </w:t>
      </w:r>
    </w:p>
    <w:p w14:paraId="460523EF" w14:textId="77777777" w:rsidR="00DD03E3" w:rsidRPr="00E0368C" w:rsidRDefault="00DD03E3" w:rsidP="00DD03E3">
      <w:pPr>
        <w:pStyle w:val="NormalWeb"/>
        <w:ind w:left="720"/>
      </w:pPr>
      <w:r w:rsidRPr="00E0368C">
        <w:t xml:space="preserve">CA Law: 647.9:  (a) A first responder, operating under color of authority, who responds to the scene of an accident or crime and captures the photographic image of a deceased person by any means, including, but not limited to, by use of a personal electronic device or a device belonging to their employing agency, for any purpose other than an official law enforcement purpose or a genuine public interest is guilty of a misdemeanor punishable by a fine not exceeding one thousand dollars ($1,000) per violation. </w:t>
      </w:r>
      <w:hyperlink r:id="rId913" w:history="1">
        <w:r w:rsidRPr="00987F62">
          <w:rPr>
            <w:rStyle w:val="Hyperlink"/>
          </w:rPr>
          <w:t>https://leginfo.legislature.ca.gov/faces/billTextClient.xhtml?bill_id=201920200AB2655</w:t>
        </w:r>
      </w:hyperlink>
      <w:r w:rsidRPr="00E0368C">
        <w:t xml:space="preserve"> </w:t>
      </w:r>
    </w:p>
    <w:p w14:paraId="4E405DC4" w14:textId="77777777" w:rsidR="00DD03E3" w:rsidRDefault="00DD03E3" w:rsidP="00DD03E3">
      <w:pPr>
        <w:spacing w:before="100" w:beforeAutospacing="1" w:after="100" w:afterAutospacing="1" w:line="240" w:lineRule="auto"/>
        <w:rPr>
          <w:rFonts w:ascii="Times New Roman" w:eastAsia="Times New Roman" w:hAnsi="Times New Roman"/>
          <w:b/>
          <w:bCs/>
          <w:sz w:val="24"/>
          <w:szCs w:val="24"/>
        </w:rPr>
      </w:pPr>
      <w:bookmarkStart w:id="179" w:name="_Hlk66942912"/>
      <w:bookmarkEnd w:id="178"/>
      <w:r>
        <w:rPr>
          <w:rFonts w:ascii="Times New Roman" w:eastAsia="Times New Roman" w:hAnsi="Times New Roman"/>
          <w:b/>
          <w:bCs/>
          <w:sz w:val="24"/>
          <w:szCs w:val="24"/>
        </w:rPr>
        <w:t xml:space="preserve">Legal Lesson Learned:  Fire &amp; EMS departments should have a policy or SOG regarding taking photos at scenes. </w:t>
      </w:r>
    </w:p>
    <w:p w14:paraId="4DDC9857" w14:textId="165A0F28" w:rsidR="00DD03E3" w:rsidRPr="00DD03E3" w:rsidRDefault="00DD03E3" w:rsidP="00DD03E3">
      <w:pPr>
        <w:ind w:left="720"/>
        <w:rPr>
          <w:rStyle w:val="Hyperlink"/>
          <w:rFonts w:ascii="Times New Roman" w:hAnsi="Times New Roman"/>
          <w:b/>
          <w:color w:val="auto"/>
          <w:sz w:val="24"/>
          <w:szCs w:val="24"/>
          <w:u w:val="none"/>
        </w:rPr>
      </w:pPr>
      <w:r w:rsidRPr="00DD03E3">
        <w:rPr>
          <w:rFonts w:ascii="Times New Roman" w:hAnsi="Times New Roman"/>
          <w:sz w:val="24"/>
          <w:szCs w:val="24"/>
        </w:rPr>
        <w:t xml:space="preserve">For example, see Yakima County, WA Fire District 12 policy: “All personnel are permitted to photograph an incident scene so long as the photograph is taken with a </w:t>
      </w:r>
      <w:proofErr w:type="gramStart"/>
      <w:r w:rsidRPr="00DD03E3">
        <w:rPr>
          <w:rFonts w:ascii="Times New Roman" w:hAnsi="Times New Roman"/>
          <w:sz w:val="24"/>
          <w:szCs w:val="24"/>
        </w:rPr>
        <w:t>Department</w:t>
      </w:r>
      <w:proofErr w:type="gramEnd"/>
      <w:r w:rsidRPr="00DD03E3">
        <w:rPr>
          <w:rFonts w:ascii="Times New Roman" w:hAnsi="Times New Roman"/>
          <w:sz w:val="24"/>
          <w:szCs w:val="24"/>
        </w:rPr>
        <w:t xml:space="preserve"> issued camera. a. Personal devices: cell phone cameras, video cameras, digital cameras and film cameras are not permitted to take on scene photos at any time by any member.” </w:t>
      </w:r>
      <w:hyperlink r:id="rId914" w:history="1">
        <w:r w:rsidRPr="00DD03E3">
          <w:rPr>
            <w:rStyle w:val="Hyperlink"/>
            <w:rFonts w:ascii="Times New Roman" w:hAnsi="Times New Roman"/>
            <w:sz w:val="24"/>
            <w:szCs w:val="24"/>
          </w:rPr>
          <w:t>http://www.westvalleyfire.com/default.asp?pageid=188&amp;deptid=1</w:t>
        </w:r>
      </w:hyperlink>
    </w:p>
    <w:bookmarkEnd w:id="179"/>
    <w:p w14:paraId="20092EC1" w14:textId="77777777" w:rsidR="00DD03E3" w:rsidRDefault="00DD03E3" w:rsidP="002B1283">
      <w:pPr>
        <w:rPr>
          <w:rStyle w:val="Hyperlink"/>
          <w:rFonts w:ascii="Arial Black" w:hAnsi="Arial Black"/>
          <w:b/>
          <w:color w:val="auto"/>
          <w:sz w:val="24"/>
          <w:szCs w:val="24"/>
          <w:u w:val="none"/>
        </w:rPr>
      </w:pPr>
    </w:p>
    <w:p w14:paraId="68A820C6" w14:textId="77777777" w:rsidR="00DD03E3" w:rsidRDefault="00DD03E3" w:rsidP="002B1283">
      <w:pPr>
        <w:rPr>
          <w:rStyle w:val="Hyperlink"/>
          <w:rFonts w:ascii="Arial Black" w:hAnsi="Arial Black"/>
          <w:b/>
          <w:color w:val="auto"/>
          <w:sz w:val="24"/>
          <w:szCs w:val="24"/>
          <w:u w:val="none"/>
        </w:rPr>
      </w:pPr>
    </w:p>
    <w:p w14:paraId="06E98AA9" w14:textId="1B536075" w:rsidR="00C630E7" w:rsidRDefault="00C630E7"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4-9</w:t>
      </w:r>
    </w:p>
    <w:p w14:paraId="1CD9C302" w14:textId="77777777" w:rsidR="00C630E7" w:rsidRDefault="00C630E7" w:rsidP="00C630E7">
      <w:pPr>
        <w:spacing w:before="100" w:beforeAutospacing="1" w:after="100" w:afterAutospacing="1" w:line="240" w:lineRule="auto"/>
        <w:rPr>
          <w:rFonts w:ascii="Arial Black" w:hAnsi="Arial Black" w:cstheme="minorBidi"/>
          <w:sz w:val="28"/>
          <w:szCs w:val="28"/>
        </w:rPr>
      </w:pPr>
      <w:r>
        <w:rPr>
          <w:rFonts w:ascii="Arial Black" w:hAnsi="Arial Black"/>
          <w:sz w:val="28"/>
          <w:szCs w:val="28"/>
        </w:rPr>
        <w:t>MD: PG COUNTY FIRE CHIEF – BATTALION CHIEFS TO OUTRANK VOLUNTEER CO. CHIEF - AUTHORIZED</w:t>
      </w:r>
    </w:p>
    <w:p w14:paraId="691ADB65" w14:textId="77777777" w:rsidR="00C630E7" w:rsidRDefault="00C630E7" w:rsidP="00C630E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4, 2020, in Prince George’s Volunteer Fire And Rescue Association, Inc. v. Prince George’s County, Maryland, the Court of Special Appeals of Maryland, held (3 to 0; unreported decision) that the County Fire Chief had the authority in 2016 to issue revised General Order 01-03 that elevated the rank of County Battalion Chiefs, over that of Chiefs of volunteer fire companies.   </w:t>
      </w:r>
    </w:p>
    <w:p w14:paraId="465FB052" w14:textId="77777777" w:rsidR="00C630E7" w:rsidRDefault="00C630E7" w:rsidP="00C630E7">
      <w:pPr>
        <w:spacing w:after="100" w:line="240" w:lineRule="auto"/>
        <w:ind w:left="720"/>
        <w:rPr>
          <w:rFonts w:ascii="Times New Roman" w:eastAsia="Times New Roman" w:hAnsi="Times New Roman"/>
          <w:sz w:val="24"/>
          <w:szCs w:val="24"/>
        </w:rPr>
      </w:pPr>
      <w:r>
        <w:rPr>
          <w:rFonts w:ascii="Times New Roman" w:hAnsi="Times New Roman"/>
          <w:sz w:val="24"/>
          <w:szCs w:val="24"/>
        </w:rPr>
        <w:t xml:space="preserve">“Ultimately, PGCVFRA failed to sufficiently allege that it suffered irreparable injury through the Fire Chief's revision of General Order 01-03 and its amendment of the chain of command. As noted in our discussion on PGCVFRA's governmental </w:t>
      </w:r>
      <w:proofErr w:type="gramStart"/>
      <w:r>
        <w:rPr>
          <w:rFonts w:ascii="Times New Roman" w:hAnsi="Times New Roman"/>
          <w:sz w:val="24"/>
          <w:szCs w:val="24"/>
        </w:rPr>
        <w:t>takings</w:t>
      </w:r>
      <w:proofErr w:type="gramEnd"/>
      <w:r>
        <w:rPr>
          <w:rFonts w:ascii="Times New Roman" w:hAnsi="Times New Roman"/>
          <w:sz w:val="24"/>
          <w:szCs w:val="24"/>
        </w:rPr>
        <w:t xml:space="preserve"> claim, PGCVFRA failed to establish any sort of injury. Its claims regarding potential injury are hypothetical, speculative, and depend on future—uncertain—conduct that PGCVFRA alleges the County may undertake. The speculative nature of these complaints is apparent, and these ‘mere allegations’ are insufficient to ground PGCVFRA's claim for permanent injunctive relief.” </w:t>
      </w:r>
      <w:hyperlink r:id="rId915" w:history="1">
        <w:r>
          <w:rPr>
            <w:rStyle w:val="Hyperlink"/>
            <w:sz w:val="24"/>
            <w:szCs w:val="24"/>
          </w:rPr>
          <w:t>https://www.courts.state.md.us/sites/default/files/unreported-opinions/0614s19.pdf</w:t>
        </w:r>
      </w:hyperlink>
      <w:r>
        <w:rPr>
          <w:rFonts w:ascii="Times New Roman" w:hAnsi="Times New Roman"/>
          <w:sz w:val="24"/>
          <w:szCs w:val="24"/>
        </w:rPr>
        <w:t xml:space="preserve"> </w:t>
      </w:r>
    </w:p>
    <w:p w14:paraId="5456B139" w14:textId="1ACD305B" w:rsidR="00C630E7" w:rsidRDefault="00C630E7" w:rsidP="002B1283">
      <w:pPr>
        <w:rPr>
          <w:rStyle w:val="Hyperlink"/>
          <w:rFonts w:ascii="Arial Black" w:hAnsi="Arial Black"/>
          <w:b/>
          <w:color w:val="auto"/>
          <w:sz w:val="24"/>
          <w:szCs w:val="24"/>
          <w:u w:val="none"/>
        </w:rPr>
      </w:pPr>
    </w:p>
    <w:p w14:paraId="35CD32C0" w14:textId="77777777" w:rsidR="00557CA2" w:rsidRDefault="00557CA2" w:rsidP="00557CA2">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The County Fire Chief has authority over firefighting and chain of command. </w:t>
      </w:r>
    </w:p>
    <w:p w14:paraId="1C20C1F3" w14:textId="77777777" w:rsidR="00557CA2" w:rsidRDefault="00557CA2" w:rsidP="00557CA2">
      <w:pPr>
        <w:spacing w:after="100" w:line="240" w:lineRule="auto"/>
        <w:rPr>
          <w:rFonts w:ascii="Times New Roman" w:eastAsia="Times New Roman" w:hAnsi="Times New Roman"/>
          <w:b/>
          <w:bCs/>
          <w:sz w:val="24"/>
          <w:szCs w:val="24"/>
        </w:rPr>
      </w:pPr>
    </w:p>
    <w:p w14:paraId="2FBD44B8" w14:textId="77777777" w:rsidR="00557CA2" w:rsidRDefault="00557CA2" w:rsidP="00557CA2">
      <w:pPr>
        <w:spacing w:after="100" w:line="240" w:lineRule="auto"/>
        <w:ind w:left="720"/>
        <w:rPr>
          <w:rFonts w:ascii="Times New Roman" w:eastAsiaTheme="minorHAnsi" w:hAnsi="Times New Roman"/>
          <w:sz w:val="24"/>
          <w:szCs w:val="24"/>
        </w:rPr>
      </w:pPr>
      <w:r>
        <w:rPr>
          <w:rFonts w:ascii="Times New Roman" w:eastAsia="Times New Roman" w:hAnsi="Times New Roman"/>
          <w:sz w:val="24"/>
          <w:szCs w:val="24"/>
        </w:rPr>
        <w:t xml:space="preserve">Note:  </w:t>
      </w:r>
      <w:r>
        <w:rPr>
          <w:rFonts w:ascii="Times New Roman" w:hAnsi="Times New Roman"/>
          <w:sz w:val="24"/>
          <w:szCs w:val="24"/>
        </w:rPr>
        <w:t>Under revised General Order 01-03, the relevant portion of the chain of command reads as follows:</w:t>
      </w:r>
    </w:p>
    <w:p w14:paraId="0B021E97" w14:textId="77777777" w:rsidR="00557CA2" w:rsidRDefault="00557CA2" w:rsidP="00557CA2">
      <w:pPr>
        <w:ind w:left="1440"/>
        <w:rPr>
          <w:rFonts w:ascii="Times New Roman" w:hAnsi="Times New Roman"/>
          <w:sz w:val="24"/>
          <w:szCs w:val="24"/>
        </w:rPr>
      </w:pPr>
      <w:r>
        <w:rPr>
          <w:rFonts w:ascii="Times New Roman" w:hAnsi="Times New Roman"/>
          <w:sz w:val="24"/>
          <w:szCs w:val="24"/>
        </w:rPr>
        <w:t>1. County Fire Chief</w:t>
      </w:r>
      <w:r>
        <w:rPr>
          <w:rFonts w:ascii="Times New Roman" w:hAnsi="Times New Roman"/>
          <w:sz w:val="24"/>
          <w:szCs w:val="24"/>
        </w:rPr>
        <w:br/>
        <w:t>2. Chief Deputy</w:t>
      </w:r>
      <w:r>
        <w:rPr>
          <w:rFonts w:ascii="Times New Roman" w:hAnsi="Times New Roman"/>
          <w:sz w:val="24"/>
          <w:szCs w:val="24"/>
        </w:rPr>
        <w:br/>
        <w:t>3. Deputy Fire Chief</w:t>
      </w:r>
      <w:r>
        <w:rPr>
          <w:rFonts w:ascii="Times New Roman" w:hAnsi="Times New Roman"/>
          <w:sz w:val="24"/>
          <w:szCs w:val="24"/>
        </w:rPr>
        <w:br/>
        <w:t>4. Assistant Fire Chief, Career/Volunteer</w:t>
      </w:r>
      <w:r>
        <w:rPr>
          <w:rFonts w:ascii="Times New Roman" w:hAnsi="Times New Roman"/>
          <w:sz w:val="24"/>
          <w:szCs w:val="24"/>
        </w:rPr>
        <w:br/>
        <w:t>5. Battalion Chief, Career/Volunteer</w:t>
      </w:r>
      <w:r>
        <w:rPr>
          <w:rFonts w:ascii="Times New Roman" w:hAnsi="Times New Roman"/>
          <w:sz w:val="24"/>
          <w:szCs w:val="24"/>
        </w:rPr>
        <w:br/>
        <w:t xml:space="preserve">6. Volunteer Company Chief   </w:t>
      </w:r>
    </w:p>
    <w:p w14:paraId="6B5C2EDD" w14:textId="77777777" w:rsidR="00557CA2" w:rsidRDefault="00557CA2" w:rsidP="00557CA2">
      <w:pPr>
        <w:ind w:left="720"/>
        <w:rPr>
          <w:rFonts w:ascii="Times New Roman" w:hAnsi="Times New Roman"/>
          <w:sz w:val="24"/>
          <w:szCs w:val="24"/>
        </w:rPr>
      </w:pPr>
      <w:r>
        <w:rPr>
          <w:rFonts w:ascii="Times New Roman" w:hAnsi="Times New Roman"/>
          <w:sz w:val="24"/>
          <w:szCs w:val="24"/>
        </w:rPr>
        <w:t xml:space="preserve">[Footnote 8 of the Court’s decision.] </w:t>
      </w:r>
      <w:hyperlink r:id="rId916" w:history="1">
        <w:r>
          <w:rPr>
            <w:rStyle w:val="Hyperlink"/>
            <w:sz w:val="24"/>
            <w:szCs w:val="24"/>
          </w:rPr>
          <w:t>https://www.courts.state.md.us/sites/default/files/unreported-opinions/0614s19.pdf</w:t>
        </w:r>
      </w:hyperlink>
      <w:r>
        <w:rPr>
          <w:rFonts w:ascii="Times New Roman" w:hAnsi="Times New Roman"/>
          <w:sz w:val="24"/>
          <w:szCs w:val="24"/>
        </w:rPr>
        <w:t xml:space="preserve"> </w:t>
      </w:r>
    </w:p>
    <w:p w14:paraId="4CC4D286" w14:textId="77777777" w:rsidR="00557CA2" w:rsidRDefault="00557CA2" w:rsidP="002B1283">
      <w:pPr>
        <w:rPr>
          <w:rStyle w:val="Hyperlink"/>
          <w:rFonts w:ascii="Arial Black" w:hAnsi="Arial Black"/>
          <w:b/>
          <w:color w:val="auto"/>
          <w:sz w:val="24"/>
          <w:szCs w:val="24"/>
          <w:u w:val="none"/>
        </w:rPr>
      </w:pPr>
    </w:p>
    <w:p w14:paraId="6D130E4F" w14:textId="77777777" w:rsidR="00C630E7" w:rsidRDefault="00C630E7" w:rsidP="002B1283">
      <w:pPr>
        <w:rPr>
          <w:rStyle w:val="Hyperlink"/>
          <w:rFonts w:ascii="Arial Black" w:hAnsi="Arial Black"/>
          <w:b/>
          <w:color w:val="auto"/>
          <w:sz w:val="24"/>
          <w:szCs w:val="24"/>
          <w:u w:val="none"/>
        </w:rPr>
      </w:pPr>
    </w:p>
    <w:p w14:paraId="15C2CB92" w14:textId="487935D5" w:rsidR="005F0E6D" w:rsidRDefault="005F0E6D"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4-8</w:t>
      </w:r>
    </w:p>
    <w:p w14:paraId="6C63B4BC" w14:textId="77777777" w:rsidR="005F0E6D" w:rsidRPr="003567B0" w:rsidRDefault="005F0E6D" w:rsidP="005F0E6D">
      <w:pPr>
        <w:pStyle w:val="NoSpacing"/>
        <w:rPr>
          <w:rFonts w:ascii="Arial Black" w:hAnsi="Arial Black"/>
          <w:b/>
          <w:bCs/>
          <w:sz w:val="28"/>
          <w:szCs w:val="28"/>
        </w:rPr>
      </w:pPr>
      <w:r w:rsidRPr="003567B0">
        <w:rPr>
          <w:rFonts w:ascii="Arial Black" w:hAnsi="Arial Black"/>
          <w:bCs/>
          <w:sz w:val="28"/>
          <w:szCs w:val="28"/>
        </w:rPr>
        <w:t>MD:</w:t>
      </w:r>
      <w:r>
        <w:rPr>
          <w:rFonts w:ascii="Arial Black" w:hAnsi="Arial Black"/>
          <w:bCs/>
          <w:sz w:val="28"/>
          <w:szCs w:val="28"/>
        </w:rPr>
        <w:t xml:space="preserve"> FREELANCING – OFF DUTY VOL. FF - STRUCTURE FIRE – FIRED – CAN’T APPEAL TO COUNTY PERSONNEL BOARD</w:t>
      </w:r>
    </w:p>
    <w:p w14:paraId="4819869C" w14:textId="77777777" w:rsidR="005F0E6D" w:rsidRDefault="005F0E6D" w:rsidP="005F0E6D">
      <w:pPr>
        <w:pStyle w:val="NoSpacing"/>
        <w:rPr>
          <w:rFonts w:ascii="Arial Black" w:hAnsi="Arial Black"/>
          <w:b/>
          <w:bCs/>
          <w:sz w:val="28"/>
          <w:szCs w:val="28"/>
        </w:rPr>
      </w:pPr>
    </w:p>
    <w:p w14:paraId="164DE152" w14:textId="77777777" w:rsidR="005F0E6D" w:rsidRPr="000A5D76" w:rsidRDefault="005F0E6D" w:rsidP="005F0E6D">
      <w:pPr>
        <w:pStyle w:val="NoSpacing"/>
        <w:rPr>
          <w:rFonts w:ascii="Times New Roman" w:hAnsi="Times New Roman"/>
          <w:b/>
          <w:bCs/>
          <w:sz w:val="24"/>
          <w:szCs w:val="24"/>
        </w:rPr>
      </w:pPr>
      <w:r w:rsidRPr="000A5D76">
        <w:rPr>
          <w:rFonts w:ascii="Times New Roman" w:hAnsi="Times New Roman"/>
          <w:bCs/>
          <w:sz w:val="24"/>
          <w:szCs w:val="24"/>
        </w:rPr>
        <w:t xml:space="preserve">On </w:t>
      </w:r>
      <w:bookmarkStart w:id="180" w:name="_Hlk39825854"/>
      <w:r w:rsidRPr="000A5D76">
        <w:rPr>
          <w:rFonts w:ascii="Times New Roman" w:hAnsi="Times New Roman"/>
          <w:bCs/>
          <w:sz w:val="24"/>
          <w:szCs w:val="24"/>
        </w:rPr>
        <w:t xml:space="preserve">April 9, 2020, in </w:t>
      </w:r>
      <w:r w:rsidRPr="000A5D76">
        <w:rPr>
          <w:rFonts w:ascii="Times New Roman" w:hAnsi="Times New Roman"/>
          <w:bCs/>
          <w:sz w:val="24"/>
          <w:szCs w:val="24"/>
          <w:u w:val="single"/>
        </w:rPr>
        <w:t xml:space="preserve">Ricardo Hinson v. Personnel Board </w:t>
      </w:r>
      <w:proofErr w:type="gramStart"/>
      <w:r w:rsidRPr="000A5D76">
        <w:rPr>
          <w:rFonts w:ascii="Times New Roman" w:hAnsi="Times New Roman"/>
          <w:bCs/>
          <w:sz w:val="24"/>
          <w:szCs w:val="24"/>
          <w:u w:val="single"/>
        </w:rPr>
        <w:t>Of</w:t>
      </w:r>
      <w:proofErr w:type="gramEnd"/>
      <w:r w:rsidRPr="000A5D76">
        <w:rPr>
          <w:rFonts w:ascii="Times New Roman" w:hAnsi="Times New Roman"/>
          <w:bCs/>
          <w:sz w:val="24"/>
          <w:szCs w:val="24"/>
          <w:u w:val="single"/>
        </w:rPr>
        <w:t xml:space="preserve"> Prince George’s County</w:t>
      </w:r>
      <w:bookmarkEnd w:id="180"/>
      <w:r w:rsidRPr="000A5D76">
        <w:rPr>
          <w:rFonts w:ascii="Times New Roman" w:hAnsi="Times New Roman"/>
          <w:bCs/>
          <w:sz w:val="24"/>
          <w:szCs w:val="24"/>
        </w:rPr>
        <w:t xml:space="preserve">,  the Court of Special Appeals of Maryland, held (3 to 0) in an unpublished opinion that the trial court properly dismissed the volunteer firefighter’s case; volunteers serve at will of FD, </w:t>
      </w:r>
      <w:proofErr w:type="gramStart"/>
      <w:r w:rsidRPr="000A5D76">
        <w:rPr>
          <w:rFonts w:ascii="Times New Roman" w:hAnsi="Times New Roman"/>
          <w:bCs/>
          <w:sz w:val="24"/>
          <w:szCs w:val="24"/>
        </w:rPr>
        <w:t>no right to</w:t>
      </w:r>
      <w:proofErr w:type="gramEnd"/>
      <w:r w:rsidRPr="000A5D76">
        <w:rPr>
          <w:rFonts w:ascii="Times New Roman" w:hAnsi="Times New Roman"/>
          <w:bCs/>
          <w:sz w:val="24"/>
          <w:szCs w:val="24"/>
        </w:rPr>
        <w:t xml:space="preserve"> hearing before County Personnel Board.   </w:t>
      </w:r>
    </w:p>
    <w:p w14:paraId="44C9C7AD" w14:textId="77777777" w:rsidR="005F0E6D" w:rsidRPr="000A5D76" w:rsidRDefault="005F0E6D" w:rsidP="005F0E6D">
      <w:pPr>
        <w:pStyle w:val="NoSpacing"/>
        <w:rPr>
          <w:rFonts w:ascii="Times New Roman" w:hAnsi="Times New Roman"/>
          <w:b/>
          <w:bCs/>
          <w:sz w:val="24"/>
          <w:szCs w:val="24"/>
        </w:rPr>
      </w:pPr>
    </w:p>
    <w:p w14:paraId="0BFE1D3B" w14:textId="77777777" w:rsidR="005F0E6D" w:rsidRPr="000A5D76" w:rsidRDefault="005F0E6D" w:rsidP="005F0E6D">
      <w:pPr>
        <w:pStyle w:val="NoSpacing"/>
        <w:ind w:left="720"/>
        <w:rPr>
          <w:rFonts w:ascii="Times New Roman" w:hAnsi="Times New Roman"/>
          <w:b/>
          <w:bCs/>
          <w:sz w:val="24"/>
          <w:szCs w:val="24"/>
        </w:rPr>
      </w:pPr>
      <w:r w:rsidRPr="000A5D76">
        <w:rPr>
          <w:rFonts w:ascii="Times New Roman" w:hAnsi="Times New Roman"/>
          <w:bCs/>
          <w:sz w:val="24"/>
          <w:szCs w:val="24"/>
        </w:rPr>
        <w:t xml:space="preserve">“The dispositive question in this case is whether the County Code has granted volunteer firefighters the right to appeal disciplinary actions to the Personnel Board. We agree with the County and the Personnel Board that Hinson, as a volunteer firefighter, was not a </w:t>
      </w:r>
      <w:proofErr w:type="gramStart"/>
      <w:r w:rsidRPr="000A5D76">
        <w:rPr>
          <w:rFonts w:ascii="Times New Roman" w:hAnsi="Times New Roman"/>
          <w:bCs/>
          <w:sz w:val="24"/>
          <w:szCs w:val="24"/>
        </w:rPr>
        <w:t>County</w:t>
      </w:r>
      <w:proofErr w:type="gramEnd"/>
      <w:r w:rsidRPr="000A5D76">
        <w:rPr>
          <w:rFonts w:ascii="Times New Roman" w:hAnsi="Times New Roman"/>
          <w:bCs/>
          <w:sz w:val="24"/>
          <w:szCs w:val="24"/>
        </w:rPr>
        <w:t xml:space="preserve"> employee who had the right to appeal a personnel decision to the Personnel Board. Consequently, the Personnel Board did not commit legal error in dismissing Hinson’s appeal.”</w:t>
      </w:r>
    </w:p>
    <w:bookmarkStart w:id="181" w:name="_Hlk39825871"/>
    <w:p w14:paraId="2EB40AB2" w14:textId="77777777" w:rsidR="005F0E6D" w:rsidRPr="000A5D76" w:rsidRDefault="00F2621E" w:rsidP="005F0E6D">
      <w:pPr>
        <w:pStyle w:val="NoSpacing"/>
        <w:ind w:left="720"/>
        <w:rPr>
          <w:rFonts w:ascii="Times New Roman" w:hAnsi="Times New Roman"/>
          <w:b/>
          <w:bCs/>
          <w:sz w:val="24"/>
          <w:szCs w:val="24"/>
        </w:rPr>
      </w:pPr>
      <w:r>
        <w:fldChar w:fldCharType="begin"/>
      </w:r>
      <w:r>
        <w:instrText xml:space="preserve"> HYPERLINK "https://www.courts.state.md.us/sites/default/files/unreported-opinions/1702s17.pdf" </w:instrText>
      </w:r>
      <w:r>
        <w:fldChar w:fldCharType="separate"/>
      </w:r>
      <w:r w:rsidR="005F0E6D" w:rsidRPr="000A5D76">
        <w:rPr>
          <w:rStyle w:val="Hyperlink"/>
          <w:rFonts w:ascii="Times New Roman" w:hAnsi="Times New Roman"/>
          <w:b/>
          <w:sz w:val="24"/>
          <w:szCs w:val="24"/>
        </w:rPr>
        <w:t>https://www.courts.state.md.us/sites/default/files/unreported-opinions/1702s17.pdf</w:t>
      </w:r>
      <w:r>
        <w:rPr>
          <w:rStyle w:val="Hyperlink"/>
          <w:rFonts w:ascii="Times New Roman" w:hAnsi="Times New Roman"/>
          <w:b/>
          <w:sz w:val="24"/>
          <w:szCs w:val="24"/>
        </w:rPr>
        <w:fldChar w:fldCharType="end"/>
      </w:r>
      <w:r w:rsidR="005F0E6D" w:rsidRPr="000A5D76">
        <w:rPr>
          <w:rFonts w:ascii="Times New Roman" w:hAnsi="Times New Roman"/>
          <w:bCs/>
          <w:sz w:val="24"/>
          <w:szCs w:val="24"/>
        </w:rPr>
        <w:t xml:space="preserve"> </w:t>
      </w:r>
    </w:p>
    <w:bookmarkEnd w:id="181"/>
    <w:p w14:paraId="2C7678E7" w14:textId="77777777" w:rsidR="005F0E6D" w:rsidRDefault="005F0E6D" w:rsidP="005F0E6D">
      <w:pPr>
        <w:pStyle w:val="NoSpacing"/>
        <w:rPr>
          <w:rFonts w:ascii="Times New Roman" w:hAnsi="Times New Roman"/>
          <w:b/>
          <w:bCs/>
          <w:sz w:val="24"/>
          <w:szCs w:val="24"/>
        </w:rPr>
      </w:pPr>
    </w:p>
    <w:p w14:paraId="40ED5A38" w14:textId="75D2A0F9" w:rsidR="005F0E6D" w:rsidRPr="000A5D76" w:rsidRDefault="005F0E6D" w:rsidP="005F0E6D">
      <w:pPr>
        <w:pStyle w:val="NoSpacing"/>
        <w:rPr>
          <w:rFonts w:ascii="Times New Roman" w:hAnsi="Times New Roman"/>
          <w:b/>
          <w:bCs/>
          <w:sz w:val="24"/>
          <w:szCs w:val="24"/>
        </w:rPr>
      </w:pPr>
      <w:bookmarkStart w:id="182" w:name="_Hlk40509659"/>
      <w:r w:rsidRPr="000A5D76">
        <w:rPr>
          <w:rFonts w:ascii="Times New Roman" w:hAnsi="Times New Roman"/>
          <w:b/>
          <w:bCs/>
          <w:sz w:val="24"/>
          <w:szCs w:val="24"/>
        </w:rPr>
        <w:t xml:space="preserve">Legal Lessons Learned: Volunteer firefighters serve “at will” in most states, with no right to appeal to a </w:t>
      </w:r>
      <w:proofErr w:type="gramStart"/>
      <w:r w:rsidRPr="000A5D76">
        <w:rPr>
          <w:rFonts w:ascii="Times New Roman" w:hAnsi="Times New Roman"/>
          <w:b/>
          <w:bCs/>
          <w:sz w:val="24"/>
          <w:szCs w:val="24"/>
        </w:rPr>
        <w:t>County</w:t>
      </w:r>
      <w:proofErr w:type="gramEnd"/>
      <w:r w:rsidRPr="000A5D76">
        <w:rPr>
          <w:rFonts w:ascii="Times New Roman" w:hAnsi="Times New Roman"/>
          <w:b/>
          <w:bCs/>
          <w:sz w:val="24"/>
          <w:szCs w:val="24"/>
        </w:rPr>
        <w:t xml:space="preserve"> review board.   “Freelancing” can have deadly results.</w:t>
      </w:r>
    </w:p>
    <w:bookmarkEnd w:id="182"/>
    <w:p w14:paraId="6CAAF700" w14:textId="77777777" w:rsidR="005F0E6D" w:rsidRDefault="005F0E6D" w:rsidP="005F0E6D">
      <w:pPr>
        <w:pStyle w:val="NoSpacing"/>
        <w:rPr>
          <w:b/>
          <w:bCs/>
          <w:sz w:val="24"/>
          <w:szCs w:val="24"/>
        </w:rPr>
      </w:pPr>
    </w:p>
    <w:p w14:paraId="4FB3D489" w14:textId="77777777" w:rsidR="005F0E6D" w:rsidRDefault="005F0E6D" w:rsidP="002B1283">
      <w:pPr>
        <w:rPr>
          <w:rStyle w:val="Hyperlink"/>
          <w:rFonts w:ascii="Arial Black" w:hAnsi="Arial Black"/>
          <w:b/>
          <w:color w:val="auto"/>
          <w:sz w:val="24"/>
          <w:szCs w:val="24"/>
          <w:u w:val="none"/>
        </w:rPr>
      </w:pPr>
    </w:p>
    <w:p w14:paraId="764A4029" w14:textId="77777777" w:rsidR="005F0E6D" w:rsidRDefault="005F0E6D" w:rsidP="002B1283">
      <w:pPr>
        <w:rPr>
          <w:rStyle w:val="Hyperlink"/>
          <w:rFonts w:ascii="Arial Black" w:hAnsi="Arial Black"/>
          <w:b/>
          <w:color w:val="auto"/>
          <w:sz w:val="24"/>
          <w:szCs w:val="24"/>
          <w:u w:val="none"/>
        </w:rPr>
      </w:pPr>
    </w:p>
    <w:p w14:paraId="3A378005" w14:textId="77777777" w:rsidR="005F0E6D" w:rsidRDefault="005F0E6D" w:rsidP="002B1283">
      <w:pPr>
        <w:rPr>
          <w:rStyle w:val="Hyperlink"/>
          <w:rFonts w:ascii="Arial Black" w:hAnsi="Arial Black"/>
          <w:b/>
          <w:color w:val="auto"/>
          <w:sz w:val="24"/>
          <w:szCs w:val="24"/>
          <w:u w:val="none"/>
        </w:rPr>
      </w:pPr>
    </w:p>
    <w:p w14:paraId="00F2972F" w14:textId="198C6626" w:rsidR="005F0E6D" w:rsidRDefault="005F0E6D"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4-7</w:t>
      </w:r>
    </w:p>
    <w:p w14:paraId="5655538D" w14:textId="77777777" w:rsidR="005F0E6D" w:rsidRPr="00A83387" w:rsidRDefault="005F0E6D" w:rsidP="005F0E6D">
      <w:pPr>
        <w:pStyle w:val="NoSpacing"/>
        <w:rPr>
          <w:rFonts w:ascii="Arial Black" w:hAnsi="Arial Black"/>
          <w:sz w:val="28"/>
          <w:szCs w:val="28"/>
        </w:rPr>
      </w:pPr>
      <w:r w:rsidRPr="00A83387">
        <w:rPr>
          <w:rFonts w:ascii="Arial Black" w:hAnsi="Arial Black"/>
          <w:sz w:val="28"/>
          <w:szCs w:val="28"/>
        </w:rPr>
        <w:t xml:space="preserve">NY: </w:t>
      </w:r>
      <w:r>
        <w:rPr>
          <w:rFonts w:ascii="Arial Black" w:hAnsi="Arial Black"/>
          <w:sz w:val="28"/>
          <w:szCs w:val="28"/>
        </w:rPr>
        <w:t>MASSIVE GAS LEAK – FDNY NOT EVACUATE HOUSES - BASEMENT LIGHT SWITCH, EXPLOSION – GOV. IMMUNITY</w:t>
      </w:r>
    </w:p>
    <w:p w14:paraId="22732C1B" w14:textId="77777777" w:rsidR="005F0E6D" w:rsidRDefault="005F0E6D" w:rsidP="005F0E6D">
      <w:pPr>
        <w:pStyle w:val="NoSpacing"/>
        <w:rPr>
          <w:b/>
          <w:bCs/>
          <w:sz w:val="24"/>
          <w:szCs w:val="24"/>
        </w:rPr>
      </w:pPr>
    </w:p>
    <w:p w14:paraId="552B88C9" w14:textId="187F6F44" w:rsidR="005F0E6D" w:rsidRDefault="005F0E6D" w:rsidP="005F0E6D">
      <w:pPr>
        <w:pStyle w:val="NoSpacing"/>
        <w:rPr>
          <w:rFonts w:ascii="Times New Roman" w:hAnsi="Times New Roman"/>
          <w:bCs/>
          <w:sz w:val="24"/>
          <w:szCs w:val="24"/>
        </w:rPr>
      </w:pPr>
      <w:r w:rsidRPr="000A5D76">
        <w:rPr>
          <w:rFonts w:ascii="Times New Roman" w:hAnsi="Times New Roman"/>
          <w:bCs/>
          <w:sz w:val="24"/>
          <w:szCs w:val="24"/>
        </w:rPr>
        <w:t xml:space="preserve">On Feb. 11, 2020, in </w:t>
      </w:r>
      <w:r w:rsidRPr="000A5D76">
        <w:rPr>
          <w:rFonts w:ascii="Times New Roman" w:hAnsi="Times New Roman"/>
          <w:bCs/>
          <w:sz w:val="24"/>
          <w:szCs w:val="24"/>
          <w:u w:val="single"/>
        </w:rPr>
        <w:t>State Farm Fire &amp; Casualty Insurance Company, a/s/o Charles Caccse v.  The Brooklyn Union Gas Company, d/b/a National Grid New York</w:t>
      </w:r>
      <w:r w:rsidRPr="000A5D76">
        <w:rPr>
          <w:rFonts w:ascii="Times New Roman" w:hAnsi="Times New Roman"/>
          <w:bCs/>
          <w:sz w:val="24"/>
          <w:szCs w:val="24"/>
        </w:rPr>
        <w:t xml:space="preserve">, and second lawsuit of </w:t>
      </w:r>
      <w:r w:rsidRPr="000A5D76">
        <w:rPr>
          <w:rFonts w:ascii="Times New Roman" w:hAnsi="Times New Roman"/>
          <w:bCs/>
          <w:sz w:val="24"/>
          <w:szCs w:val="24"/>
          <w:u w:val="single"/>
        </w:rPr>
        <w:t>State Farm v. The City of New York and FDNY</w:t>
      </w:r>
      <w:r w:rsidRPr="000A5D76">
        <w:rPr>
          <w:rFonts w:ascii="Times New Roman" w:hAnsi="Times New Roman"/>
          <w:bCs/>
          <w:sz w:val="24"/>
          <w:szCs w:val="24"/>
        </w:rPr>
        <w:t xml:space="preserve">, </w:t>
      </w:r>
      <w:r w:rsidRPr="000A5D76">
        <w:rPr>
          <w:rFonts w:ascii="Times New Roman" w:eastAsia="Times New Roman" w:hAnsi="Times New Roman"/>
          <w:bCs/>
          <w:sz w:val="24"/>
          <w:szCs w:val="24"/>
        </w:rPr>
        <w:t xml:space="preserve">2020 NY Slip Op 30876(U), </w:t>
      </w:r>
      <w:r w:rsidRPr="000A5D76">
        <w:rPr>
          <w:rFonts w:ascii="Times New Roman" w:hAnsi="Times New Roman"/>
          <w:bCs/>
          <w:sz w:val="24"/>
          <w:szCs w:val="24"/>
        </w:rPr>
        <w:t xml:space="preserve">Judge Tomas P. Aliotta, Supreme Court of New York (County of Richmond), </w:t>
      </w:r>
    </w:p>
    <w:p w14:paraId="022B6116" w14:textId="77777777" w:rsidR="005F0E6D" w:rsidRPr="000A5D76" w:rsidRDefault="005F0E6D" w:rsidP="005F0E6D">
      <w:pPr>
        <w:pStyle w:val="NoSpacing"/>
        <w:rPr>
          <w:rFonts w:ascii="Times New Roman" w:hAnsi="Times New Roman"/>
          <w:b/>
          <w:bCs/>
          <w:sz w:val="24"/>
          <w:szCs w:val="24"/>
        </w:rPr>
      </w:pPr>
      <w:r w:rsidRPr="000A5D76">
        <w:rPr>
          <w:rFonts w:ascii="Times New Roman" w:hAnsi="Times New Roman"/>
          <w:bCs/>
          <w:sz w:val="24"/>
          <w:szCs w:val="24"/>
        </w:rPr>
        <w:t xml:space="preserve">granted the City &amp; FD’s motion to dismiss, since FDNY was performing governmental function involving discretionary judgments, and owed no “special duty” to the injured homeowner.  The lawsuit against the gas company for defective gas mains may proceed. </w:t>
      </w:r>
    </w:p>
    <w:p w14:paraId="55384934" w14:textId="77777777" w:rsidR="005F0E6D" w:rsidRPr="000A5D76" w:rsidRDefault="005F0E6D" w:rsidP="005F0E6D">
      <w:pPr>
        <w:pStyle w:val="NoSpacing"/>
        <w:rPr>
          <w:rFonts w:ascii="Times New Roman" w:hAnsi="Times New Roman"/>
          <w:b/>
          <w:bCs/>
          <w:sz w:val="24"/>
          <w:szCs w:val="24"/>
        </w:rPr>
      </w:pPr>
    </w:p>
    <w:p w14:paraId="6B5D4348" w14:textId="77777777" w:rsidR="005F0E6D" w:rsidRPr="000A5D76" w:rsidRDefault="005F0E6D" w:rsidP="005F0E6D">
      <w:pPr>
        <w:pStyle w:val="NoSpacing"/>
        <w:ind w:left="720"/>
        <w:rPr>
          <w:rFonts w:ascii="Times New Roman" w:hAnsi="Times New Roman"/>
          <w:b/>
          <w:bCs/>
          <w:sz w:val="24"/>
          <w:szCs w:val="24"/>
        </w:rPr>
      </w:pPr>
      <w:r w:rsidRPr="000A5D76">
        <w:rPr>
          <w:rFonts w:ascii="Times New Roman" w:hAnsi="Times New Roman"/>
          <w:bCs/>
          <w:sz w:val="24"/>
          <w:szCs w:val="24"/>
        </w:rPr>
        <w:t xml:space="preserve">“[I]n the opinion of this Court, the City and the FDNY have met their prima facie burden of establishing their right to judgment as a matter of law by submitting satisfactory proof regarding their claim of governmental function immunity and that no special duty existed between them and the plaintiffs. In opposition, plaintiffs have failed to rebut that showing and raise a triable issue of fact (see Zuckerman v. City of New York, 49 NY2d 557 [1980]).  ‘When a negligence claim is asserted against a municipality, the first issue for a court to decide is whether the municipal entity was engaged in a proprietary function or acted in a governmental capacity at the time the claim arose’ (Applewhite v. </w:t>
      </w:r>
      <w:proofErr w:type="spellStart"/>
      <w:r w:rsidRPr="000A5D76">
        <w:rPr>
          <w:rFonts w:ascii="Times New Roman" w:hAnsi="Times New Roman"/>
          <w:bCs/>
          <w:sz w:val="24"/>
          <w:szCs w:val="24"/>
        </w:rPr>
        <w:t>Accuhealth</w:t>
      </w:r>
      <w:proofErr w:type="spellEnd"/>
      <w:r w:rsidRPr="000A5D76">
        <w:rPr>
          <w:rFonts w:ascii="Times New Roman" w:hAnsi="Times New Roman"/>
          <w:bCs/>
          <w:sz w:val="24"/>
          <w:szCs w:val="24"/>
        </w:rPr>
        <w:t xml:space="preserve">, Inc., 21 NY3d 420, 425 [2013]). If a municipality was acting in a governmental capacity, then the plaintiff must prove the existence of a special duty (see Applewhite, 21 AD3d at 426). Since police and fire protection are examples of long-recognized, quintessential governmental functions’ (Matter of World Trade Ctr Bombing Litig., 17 NY3d 428 [2011]), plaintiff must plead and prove the existence of a special duty beyond the obligation owed to the public at large (see Valdez v. City of New York, 18 NY3d 69 [2011]). </w:t>
      </w:r>
      <w:hyperlink r:id="rId917" w:history="1">
        <w:r w:rsidRPr="000A5D76">
          <w:rPr>
            <w:rStyle w:val="Hyperlink"/>
            <w:rFonts w:ascii="Times New Roman" w:hAnsi="Times New Roman"/>
            <w:b/>
            <w:sz w:val="24"/>
            <w:szCs w:val="24"/>
          </w:rPr>
          <w:t>https://public.fastcase.com/Wl%2B2t%2BeVuI35%2FN70vAMFZn8FExk2ons8UFiGzSPZ6Ig%2B2pF54RtCKp9IHiewQM23</w:t>
        </w:r>
      </w:hyperlink>
      <w:r w:rsidRPr="000A5D76">
        <w:rPr>
          <w:rFonts w:ascii="Times New Roman" w:hAnsi="Times New Roman"/>
          <w:bCs/>
          <w:sz w:val="24"/>
          <w:szCs w:val="24"/>
        </w:rPr>
        <w:t xml:space="preserve"> </w:t>
      </w:r>
    </w:p>
    <w:p w14:paraId="05606019" w14:textId="77777777" w:rsidR="005F0E6D" w:rsidRPr="000A5D76" w:rsidRDefault="005F0E6D" w:rsidP="005F0E6D">
      <w:pPr>
        <w:spacing w:before="100" w:beforeAutospacing="1" w:after="100" w:afterAutospacing="1" w:line="240" w:lineRule="auto"/>
        <w:rPr>
          <w:rFonts w:ascii="Times New Roman" w:eastAsia="Times New Roman" w:hAnsi="Times New Roman"/>
          <w:b/>
          <w:bCs/>
          <w:sz w:val="24"/>
          <w:szCs w:val="24"/>
        </w:rPr>
      </w:pPr>
      <w:r w:rsidRPr="000A5D76">
        <w:rPr>
          <w:rFonts w:ascii="Times New Roman" w:hAnsi="Times New Roman"/>
          <w:b/>
          <w:bCs/>
          <w:sz w:val="24"/>
          <w:szCs w:val="24"/>
        </w:rPr>
        <w:t>Legal Lessons Learned:</w:t>
      </w:r>
      <w:r w:rsidRPr="000A5D76">
        <w:rPr>
          <w:rFonts w:ascii="Times New Roman" w:eastAsia="Times New Roman" w:hAnsi="Times New Roman"/>
          <w:b/>
          <w:bCs/>
          <w:sz w:val="24"/>
          <w:szCs w:val="24"/>
        </w:rPr>
        <w:t xml:space="preserve"> Governmental immunity for discretionary decisions at an emergency scene is a very important legal doctrine. </w:t>
      </w:r>
    </w:p>
    <w:p w14:paraId="03D7B5A6" w14:textId="77777777" w:rsidR="005F0E6D" w:rsidRDefault="005F0E6D" w:rsidP="002B1283">
      <w:pPr>
        <w:rPr>
          <w:rStyle w:val="Hyperlink"/>
          <w:rFonts w:ascii="Arial Black" w:hAnsi="Arial Black"/>
          <w:b/>
          <w:color w:val="auto"/>
          <w:sz w:val="24"/>
          <w:szCs w:val="24"/>
          <w:u w:val="none"/>
        </w:rPr>
      </w:pPr>
    </w:p>
    <w:p w14:paraId="601F4BC6" w14:textId="77777777" w:rsidR="005F0E6D" w:rsidRDefault="005F0E6D" w:rsidP="002B1283">
      <w:pPr>
        <w:rPr>
          <w:rStyle w:val="Hyperlink"/>
          <w:rFonts w:ascii="Arial Black" w:hAnsi="Arial Black"/>
          <w:b/>
          <w:color w:val="auto"/>
          <w:sz w:val="24"/>
          <w:szCs w:val="24"/>
          <w:u w:val="none"/>
        </w:rPr>
      </w:pPr>
    </w:p>
    <w:p w14:paraId="3E912560" w14:textId="759E974D" w:rsidR="007C6FEF" w:rsidRDefault="007C6FE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4-6</w:t>
      </w:r>
    </w:p>
    <w:p w14:paraId="2E311A82" w14:textId="77777777" w:rsidR="007C6FEF" w:rsidRDefault="007C6FEF" w:rsidP="007C6FEF">
      <w:pPr>
        <w:rPr>
          <w:rFonts w:ascii="Arial Black" w:hAnsi="Arial Black"/>
          <w:sz w:val="28"/>
          <w:szCs w:val="28"/>
        </w:rPr>
      </w:pPr>
      <w:r>
        <w:rPr>
          <w:rFonts w:ascii="Arial Black" w:hAnsi="Arial Black"/>
          <w:sz w:val="28"/>
          <w:szCs w:val="28"/>
        </w:rPr>
        <w:t>TN: GREAT SMOKEY MOUNTAIN FIRE – GATLINBURG NOT WARNED - KILLED 14 – LAWSUIT MAY PROCEED</w:t>
      </w:r>
    </w:p>
    <w:p w14:paraId="2CD2C2A5" w14:textId="77777777" w:rsidR="007C6FEF" w:rsidRDefault="007C6FEF" w:rsidP="007C6FEF">
      <w:pPr>
        <w:pStyle w:val="NoSpacing"/>
        <w:rPr>
          <w:rFonts w:ascii="Times New Roman" w:hAnsi="Times New Roman"/>
          <w:sz w:val="24"/>
          <w:szCs w:val="24"/>
        </w:rPr>
      </w:pPr>
      <w:r>
        <w:rPr>
          <w:rFonts w:ascii="Times New Roman" w:hAnsi="Times New Roman"/>
          <w:sz w:val="24"/>
          <w:szCs w:val="24"/>
        </w:rPr>
        <w:t xml:space="preserve">On </w:t>
      </w:r>
      <w:bookmarkStart w:id="183" w:name="_Hlk39824082"/>
      <w:r>
        <w:rPr>
          <w:rFonts w:ascii="Times New Roman" w:hAnsi="Times New Roman"/>
          <w:sz w:val="24"/>
          <w:szCs w:val="24"/>
        </w:rPr>
        <w:t xml:space="preserve">Dec. 9, 2019, in </w:t>
      </w:r>
      <w:r w:rsidRPr="00FA33D8">
        <w:rPr>
          <w:rFonts w:ascii="Times New Roman" w:hAnsi="Times New Roman"/>
          <w:sz w:val="24"/>
          <w:szCs w:val="24"/>
          <w:u w:val="single"/>
        </w:rPr>
        <w:t>Michael Reed v. United States</w:t>
      </w:r>
      <w:r>
        <w:rPr>
          <w:rFonts w:ascii="Times New Roman" w:hAnsi="Times New Roman"/>
          <w:sz w:val="24"/>
          <w:szCs w:val="24"/>
        </w:rPr>
        <w:t xml:space="preserve">, </w:t>
      </w:r>
      <w:bookmarkEnd w:id="183"/>
      <w:r>
        <w:rPr>
          <w:rFonts w:ascii="Times New Roman" w:hAnsi="Times New Roman"/>
          <w:sz w:val="24"/>
          <w:szCs w:val="24"/>
        </w:rPr>
        <w:t xml:space="preserve">Senior U.S. District Court Judge Thomas W. Phillips, Eastern District of Tennessee (Knoxville Division), denied the U.S. Government’s motion to dismiss, since Federal Tort Claims Act allows lawsuit since the National Park Services’ “Fire Management Plan has mandatory mitigation actions to protect life and property (duty to warn).  </w:t>
      </w:r>
    </w:p>
    <w:p w14:paraId="2C82107B" w14:textId="77777777" w:rsidR="007C6FEF" w:rsidRDefault="007C6FEF" w:rsidP="007C6FEF">
      <w:pPr>
        <w:pStyle w:val="NoSpacing"/>
        <w:rPr>
          <w:rFonts w:ascii="Times New Roman" w:hAnsi="Times New Roman"/>
          <w:sz w:val="24"/>
          <w:szCs w:val="24"/>
        </w:rPr>
      </w:pPr>
    </w:p>
    <w:p w14:paraId="14BEFEAD" w14:textId="77777777" w:rsidR="007C6FEF" w:rsidRDefault="007C6FEF" w:rsidP="007C6FEF">
      <w:pPr>
        <w:pStyle w:val="NoSpacing"/>
        <w:ind w:left="720"/>
        <w:rPr>
          <w:rFonts w:ascii="Times New Roman" w:hAnsi="Times New Roman"/>
          <w:sz w:val="24"/>
          <w:szCs w:val="24"/>
        </w:rPr>
      </w:pPr>
      <w:r>
        <w:rPr>
          <w:rFonts w:ascii="Times New Roman" w:hAnsi="Times New Roman"/>
          <w:sz w:val="24"/>
          <w:szCs w:val="24"/>
        </w:rPr>
        <w:t>“</w:t>
      </w:r>
      <w:r w:rsidRPr="00FA33D8">
        <w:rPr>
          <w:rFonts w:ascii="Times New Roman" w:hAnsi="Times New Roman"/>
          <w:sz w:val="24"/>
          <w:szCs w:val="24"/>
        </w:rPr>
        <w:t xml:space="preserve">Section 3.3.2(C) of the FMP </w:t>
      </w:r>
      <w:r>
        <w:rPr>
          <w:rFonts w:ascii="Times New Roman" w:hAnsi="Times New Roman"/>
          <w:sz w:val="24"/>
          <w:szCs w:val="24"/>
        </w:rPr>
        <w:t xml:space="preserve">[Fire Management Plan] </w:t>
      </w:r>
      <w:r w:rsidRPr="00FA33D8">
        <w:rPr>
          <w:rFonts w:ascii="Times New Roman" w:hAnsi="Times New Roman"/>
          <w:sz w:val="24"/>
          <w:szCs w:val="24"/>
        </w:rPr>
        <w:t xml:space="preserve">states that </w:t>
      </w:r>
      <w:r>
        <w:rPr>
          <w:rFonts w:ascii="Times New Roman" w:hAnsi="Times New Roman"/>
          <w:sz w:val="24"/>
          <w:szCs w:val="24"/>
        </w:rPr>
        <w:t>‘</w:t>
      </w:r>
      <w:r w:rsidRPr="00FA33D8">
        <w:rPr>
          <w:rFonts w:ascii="Times New Roman" w:hAnsi="Times New Roman"/>
          <w:sz w:val="24"/>
          <w:szCs w:val="24"/>
        </w:rPr>
        <w:t>[f]</w:t>
      </w:r>
      <w:proofErr w:type="spellStart"/>
      <w:r w:rsidRPr="00FA33D8">
        <w:rPr>
          <w:rFonts w:ascii="Times New Roman" w:hAnsi="Times New Roman"/>
          <w:sz w:val="24"/>
          <w:szCs w:val="24"/>
        </w:rPr>
        <w:t>irefighter</w:t>
      </w:r>
      <w:proofErr w:type="spellEnd"/>
      <w:r w:rsidRPr="00FA33D8">
        <w:rPr>
          <w:rFonts w:ascii="Times New Roman" w:hAnsi="Times New Roman"/>
          <w:sz w:val="24"/>
          <w:szCs w:val="24"/>
        </w:rPr>
        <w:t xml:space="preserve"> and public safety is the first priority in all fire management activities[,]</w:t>
      </w:r>
      <w:r>
        <w:rPr>
          <w:rFonts w:ascii="Times New Roman" w:hAnsi="Times New Roman"/>
          <w:sz w:val="24"/>
          <w:szCs w:val="24"/>
        </w:rPr>
        <w:t>’</w:t>
      </w:r>
      <w:r w:rsidRPr="00FA33D8">
        <w:rPr>
          <w:rFonts w:ascii="Times New Roman" w:hAnsi="Times New Roman"/>
          <w:sz w:val="24"/>
          <w:szCs w:val="24"/>
        </w:rPr>
        <w:t xml:space="preserve"> and specifies that </w:t>
      </w:r>
      <w:r>
        <w:rPr>
          <w:rFonts w:ascii="Times New Roman" w:hAnsi="Times New Roman"/>
          <w:sz w:val="24"/>
          <w:szCs w:val="24"/>
        </w:rPr>
        <w:t>‘</w:t>
      </w:r>
      <w:r w:rsidRPr="00FA33D8">
        <w:rPr>
          <w:rFonts w:ascii="Times New Roman" w:hAnsi="Times New Roman"/>
          <w:sz w:val="24"/>
          <w:szCs w:val="24"/>
        </w:rPr>
        <w:t xml:space="preserve">Park neighbors, Park visitors and local residents </w:t>
      </w:r>
      <w:r w:rsidRPr="00FA33D8">
        <w:rPr>
          <w:rFonts w:ascii="Times New Roman" w:hAnsi="Times New Roman"/>
          <w:i/>
          <w:iCs/>
          <w:sz w:val="24"/>
          <w:szCs w:val="24"/>
        </w:rPr>
        <w:t>will be</w:t>
      </w:r>
      <w:r w:rsidRPr="00FA33D8">
        <w:rPr>
          <w:rFonts w:ascii="Times New Roman" w:hAnsi="Times New Roman"/>
          <w:sz w:val="24"/>
          <w:szCs w:val="24"/>
        </w:rPr>
        <w:t xml:space="preserve"> notified of </w:t>
      </w:r>
      <w:r w:rsidRPr="00FA33D8">
        <w:rPr>
          <w:rFonts w:ascii="Times New Roman" w:hAnsi="Times New Roman"/>
          <w:i/>
          <w:iCs/>
          <w:sz w:val="24"/>
          <w:szCs w:val="24"/>
        </w:rPr>
        <w:t>all</w:t>
      </w:r>
      <w:r w:rsidRPr="00FA33D8">
        <w:rPr>
          <w:rFonts w:ascii="Times New Roman" w:hAnsi="Times New Roman"/>
          <w:sz w:val="24"/>
          <w:szCs w:val="24"/>
        </w:rPr>
        <w:t xml:space="preserve"> planned and unplanned fire management activities that have the potential to impact them.</w:t>
      </w:r>
      <w:r>
        <w:rPr>
          <w:rFonts w:ascii="Times New Roman" w:hAnsi="Times New Roman"/>
          <w:sz w:val="24"/>
          <w:szCs w:val="24"/>
        </w:rPr>
        <w:t xml:space="preserve">’ </w:t>
      </w:r>
      <w:r w:rsidRPr="00FA33D8">
        <w:rPr>
          <w:rFonts w:ascii="Times New Roman" w:hAnsi="Times New Roman"/>
          <w:sz w:val="24"/>
          <w:szCs w:val="24"/>
        </w:rPr>
        <w:t>[</w:t>
      </w:r>
      <w:r w:rsidRPr="00FA33D8">
        <w:rPr>
          <w:rFonts w:ascii="Times New Roman" w:hAnsi="Times New Roman"/>
          <w:i/>
          <w:iCs/>
          <w:sz w:val="24"/>
          <w:szCs w:val="24"/>
        </w:rPr>
        <w:t>Id</w:t>
      </w:r>
      <w:r w:rsidRPr="00FA33D8">
        <w:rPr>
          <w:rFonts w:ascii="Times New Roman" w:hAnsi="Times New Roman"/>
          <w:sz w:val="24"/>
          <w:szCs w:val="24"/>
        </w:rPr>
        <w:t xml:space="preserve">. at 28 (emphasis added)]. Additionally, Section 4.4.2 of the FMP addresses the issue of public safety, and subsection (F) </w:t>
      </w:r>
      <w:r>
        <w:rPr>
          <w:rFonts w:ascii="Times New Roman" w:hAnsi="Times New Roman"/>
          <w:sz w:val="24"/>
          <w:szCs w:val="24"/>
        </w:rPr>
        <w:t>‘</w:t>
      </w:r>
      <w:r w:rsidRPr="00FA33D8">
        <w:rPr>
          <w:rFonts w:ascii="Times New Roman" w:hAnsi="Times New Roman"/>
          <w:sz w:val="24"/>
          <w:szCs w:val="24"/>
        </w:rPr>
        <w:t xml:space="preserve">outline[s] mitigation actions </w:t>
      </w:r>
      <w:r w:rsidRPr="00FA33D8">
        <w:rPr>
          <w:rFonts w:ascii="Times New Roman" w:hAnsi="Times New Roman"/>
          <w:i/>
          <w:iCs/>
          <w:sz w:val="24"/>
          <w:szCs w:val="24"/>
        </w:rPr>
        <w:t>required</w:t>
      </w:r>
      <w:r w:rsidRPr="00FA33D8">
        <w:rPr>
          <w:rFonts w:ascii="Times New Roman" w:hAnsi="Times New Roman"/>
          <w:sz w:val="24"/>
          <w:szCs w:val="24"/>
        </w:rPr>
        <w:t xml:space="preserve"> to protect values at risk and to ensure the safety of park staff and visitors as well as the neighboring public.</w:t>
      </w:r>
      <w:r>
        <w:rPr>
          <w:rFonts w:ascii="Times New Roman" w:hAnsi="Times New Roman"/>
          <w:sz w:val="24"/>
          <w:szCs w:val="24"/>
        </w:rPr>
        <w:t>’</w:t>
      </w:r>
      <w:r w:rsidRPr="00FA33D8">
        <w:rPr>
          <w:rFonts w:ascii="Times New Roman" w:hAnsi="Times New Roman"/>
          <w:sz w:val="24"/>
          <w:szCs w:val="24"/>
        </w:rPr>
        <w:t xml:space="preserve"> [</w:t>
      </w:r>
      <w:r w:rsidRPr="00FA33D8">
        <w:rPr>
          <w:rFonts w:ascii="Times New Roman" w:hAnsi="Times New Roman"/>
          <w:i/>
          <w:iCs/>
          <w:sz w:val="24"/>
          <w:szCs w:val="24"/>
        </w:rPr>
        <w:t>Id</w:t>
      </w:r>
      <w:r w:rsidRPr="00FA33D8">
        <w:rPr>
          <w:rFonts w:ascii="Times New Roman" w:hAnsi="Times New Roman"/>
          <w:sz w:val="24"/>
          <w:szCs w:val="24"/>
        </w:rPr>
        <w:t xml:space="preserve">. at 54-55 (emphasis added)]. Table 13, titled </w:t>
      </w:r>
      <w:r>
        <w:rPr>
          <w:rFonts w:ascii="Times New Roman" w:hAnsi="Times New Roman"/>
          <w:sz w:val="24"/>
          <w:szCs w:val="24"/>
        </w:rPr>
        <w:t>‘</w:t>
      </w:r>
      <w:r w:rsidRPr="00FA33D8">
        <w:rPr>
          <w:rFonts w:ascii="Times New Roman" w:hAnsi="Times New Roman"/>
          <w:sz w:val="24"/>
          <w:szCs w:val="24"/>
        </w:rPr>
        <w:t>Mitigations for Public Safety Issues,</w:t>
      </w:r>
      <w:r>
        <w:rPr>
          <w:rFonts w:ascii="Times New Roman" w:hAnsi="Times New Roman"/>
          <w:sz w:val="24"/>
          <w:szCs w:val="24"/>
        </w:rPr>
        <w:t>’</w:t>
      </w:r>
      <w:r w:rsidRPr="00FA33D8">
        <w:rPr>
          <w:rFonts w:ascii="Times New Roman" w:hAnsi="Times New Roman"/>
          <w:sz w:val="24"/>
          <w:szCs w:val="24"/>
        </w:rPr>
        <w:t xml:space="preserve"> then addresses various actions to be taken to protect various groups and resources. [</w:t>
      </w:r>
      <w:r w:rsidRPr="00FA33D8">
        <w:rPr>
          <w:rFonts w:ascii="Times New Roman" w:hAnsi="Times New Roman"/>
          <w:i/>
          <w:iCs/>
          <w:sz w:val="24"/>
          <w:szCs w:val="24"/>
        </w:rPr>
        <w:t>Id</w:t>
      </w:r>
      <w:r w:rsidRPr="00FA33D8">
        <w:rPr>
          <w:rFonts w:ascii="Times New Roman" w:hAnsi="Times New Roman"/>
          <w:sz w:val="24"/>
          <w:szCs w:val="24"/>
        </w:rPr>
        <w:t xml:space="preserve">. at 55]. *** Plaintiffs have cited mandatory directives to support jurisdiction over their claims based on the failure to warn about the Chimney Tops 2 fire, the Court finds that it has jurisdiction over this matter, and Defendant's motion to dismiss for lack of jurisdiction </w:t>
      </w:r>
      <w:r>
        <w:rPr>
          <w:rFonts w:ascii="Times New Roman" w:hAnsi="Times New Roman"/>
          <w:sz w:val="24"/>
          <w:szCs w:val="24"/>
        </w:rPr>
        <w:t xml:space="preserve">… </w:t>
      </w:r>
      <w:r w:rsidRPr="00FA33D8">
        <w:rPr>
          <w:rFonts w:ascii="Times New Roman" w:hAnsi="Times New Roman"/>
          <w:sz w:val="24"/>
          <w:szCs w:val="24"/>
        </w:rPr>
        <w:t xml:space="preserve">will be denied. </w:t>
      </w:r>
    </w:p>
    <w:bookmarkStart w:id="184" w:name="_Hlk39824099"/>
    <w:p w14:paraId="7E3CEAF7" w14:textId="77777777" w:rsidR="007C6FEF" w:rsidRPr="00FA33D8" w:rsidRDefault="00F2621E" w:rsidP="007C6FEF">
      <w:pPr>
        <w:pStyle w:val="NoSpacing"/>
        <w:ind w:left="720"/>
        <w:rPr>
          <w:rFonts w:ascii="Times New Roman" w:hAnsi="Times New Roman"/>
          <w:sz w:val="24"/>
          <w:szCs w:val="24"/>
        </w:rPr>
      </w:pPr>
      <w:r>
        <w:fldChar w:fldCharType="begin"/>
      </w:r>
      <w:r>
        <w:instrText xml:space="preserve"> HYPERLINK "https://www.nationalparkstraveler.org/sites/default/files/attachments/reed-chimney_tops_2_lawsuit.pdf" </w:instrText>
      </w:r>
      <w:r>
        <w:fldChar w:fldCharType="separate"/>
      </w:r>
      <w:r w:rsidR="007C6FEF" w:rsidRPr="009D5900">
        <w:rPr>
          <w:rStyle w:val="Hyperlink"/>
          <w:rFonts w:ascii="Times New Roman" w:hAnsi="Times New Roman"/>
          <w:sz w:val="24"/>
          <w:szCs w:val="24"/>
        </w:rPr>
        <w:t>https://www.nationalparkstraveler.org/sites/default/files/attachments/reed-chimney_tops_2_lawsuit.pdf</w:t>
      </w:r>
      <w:r>
        <w:rPr>
          <w:rStyle w:val="Hyperlink"/>
          <w:rFonts w:ascii="Times New Roman" w:hAnsi="Times New Roman"/>
          <w:sz w:val="24"/>
          <w:szCs w:val="24"/>
        </w:rPr>
        <w:fldChar w:fldCharType="end"/>
      </w:r>
      <w:bookmarkEnd w:id="184"/>
      <w:r w:rsidR="007C6FEF">
        <w:rPr>
          <w:rFonts w:ascii="Times New Roman" w:hAnsi="Times New Roman"/>
          <w:sz w:val="24"/>
          <w:szCs w:val="24"/>
        </w:rPr>
        <w:t xml:space="preserve"> </w:t>
      </w:r>
    </w:p>
    <w:p w14:paraId="6278688D" w14:textId="77777777" w:rsidR="009C4A80" w:rsidRDefault="009C4A80" w:rsidP="003464C5">
      <w:pPr>
        <w:rPr>
          <w:rFonts w:ascii="Arial" w:hAnsi="Arial" w:cs="Arial"/>
          <w:sz w:val="30"/>
          <w:szCs w:val="30"/>
        </w:rPr>
      </w:pPr>
    </w:p>
    <w:p w14:paraId="5B41531C" w14:textId="13F7125A" w:rsidR="003464C5" w:rsidRPr="009C4A80" w:rsidRDefault="009C4A80" w:rsidP="003464C5">
      <w:pPr>
        <w:rPr>
          <w:rStyle w:val="Hyperlink"/>
          <w:rFonts w:ascii="Times New Roman" w:hAnsi="Times New Roman"/>
          <w:b/>
          <w:bCs/>
          <w:color w:val="auto"/>
          <w:sz w:val="24"/>
          <w:szCs w:val="24"/>
          <w:u w:val="none"/>
        </w:rPr>
      </w:pPr>
      <w:r w:rsidRPr="009C4A80">
        <w:rPr>
          <w:rFonts w:ascii="Times New Roman" w:hAnsi="Times New Roman"/>
          <w:b/>
          <w:bCs/>
          <w:sz w:val="24"/>
          <w:szCs w:val="24"/>
        </w:rPr>
        <w:t>Legal Lessons Learned: “Failure to warn” establishes a cause of action under Federal Tort Claims Act. See also the After Action Report (Dec. 19, 2017): “An After Action Review has been released for the Chimney Tops 2 Fire that spread from Great Smoky Mountains National Park into the city of Gatlinburg, Tennessee a little over a year ago killing 14 people, forcing 14,000 to evacuate, destroying or damaging 2,500 structures, and burning 17,000 acres. The AAR, completed by ABS Group, was commissioned by Gatlinburg and Sevier County.”</w:t>
      </w:r>
    </w:p>
    <w:p w14:paraId="1C004A5B" w14:textId="77777777" w:rsidR="003464C5" w:rsidRDefault="003464C5" w:rsidP="002B1283">
      <w:pPr>
        <w:rPr>
          <w:rStyle w:val="Hyperlink"/>
          <w:rFonts w:ascii="Arial Black" w:hAnsi="Arial Black"/>
          <w:b/>
          <w:color w:val="auto"/>
          <w:sz w:val="24"/>
          <w:szCs w:val="24"/>
          <w:u w:val="none"/>
        </w:rPr>
      </w:pPr>
    </w:p>
    <w:p w14:paraId="1698244A" w14:textId="77777777" w:rsidR="007C6FEF" w:rsidRDefault="007C6FEF" w:rsidP="002B1283">
      <w:pPr>
        <w:rPr>
          <w:rStyle w:val="Hyperlink"/>
          <w:rFonts w:ascii="Arial Black" w:hAnsi="Arial Black"/>
          <w:b/>
          <w:color w:val="auto"/>
          <w:sz w:val="24"/>
          <w:szCs w:val="24"/>
          <w:u w:val="none"/>
        </w:rPr>
      </w:pPr>
    </w:p>
    <w:p w14:paraId="77ED83DA" w14:textId="77A1D5E8" w:rsidR="007471AF" w:rsidRDefault="007471AF"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4-5</w:t>
      </w:r>
    </w:p>
    <w:p w14:paraId="6CA1E87E" w14:textId="4ADF62CE" w:rsidR="007471AF" w:rsidRPr="00706498" w:rsidRDefault="007471AF" w:rsidP="007471AF">
      <w:pPr>
        <w:rPr>
          <w:rFonts w:ascii="Arial Black" w:hAnsi="Arial Black"/>
          <w:sz w:val="28"/>
          <w:szCs w:val="28"/>
        </w:rPr>
      </w:pPr>
      <w:r w:rsidRPr="00706498">
        <w:rPr>
          <w:rFonts w:ascii="Arial Black" w:hAnsi="Arial Black"/>
          <w:sz w:val="28"/>
          <w:szCs w:val="28"/>
        </w:rPr>
        <w:t xml:space="preserve">IN: DRONE – WOMAN FINDS DRONE IN HER YARD – ONBOARD VIDEO SHOWS NEIGHBOR CARRYING DRUGS </w:t>
      </w:r>
      <w:r>
        <w:rPr>
          <w:rFonts w:ascii="Arial Black" w:hAnsi="Arial Black"/>
          <w:sz w:val="28"/>
          <w:szCs w:val="28"/>
        </w:rPr>
        <w:t>[also filed, Chap. 1]</w:t>
      </w:r>
    </w:p>
    <w:p w14:paraId="1A611AD8" w14:textId="77777777" w:rsidR="007471AF" w:rsidRPr="009C4A80" w:rsidRDefault="007471AF" w:rsidP="007471AF">
      <w:pPr>
        <w:pStyle w:val="NoSpacing"/>
        <w:rPr>
          <w:rFonts w:ascii="Times New Roman" w:hAnsi="Times New Roman"/>
          <w:b/>
          <w:bCs/>
          <w:sz w:val="24"/>
          <w:szCs w:val="24"/>
        </w:rPr>
      </w:pPr>
      <w:r w:rsidRPr="009C4A80">
        <w:rPr>
          <w:rFonts w:ascii="Times New Roman" w:hAnsi="Times New Roman"/>
          <w:bCs/>
          <w:sz w:val="24"/>
          <w:szCs w:val="24"/>
        </w:rPr>
        <w:t xml:space="preserve">On Oct. 24, 2019, in </w:t>
      </w:r>
      <w:r w:rsidRPr="009C4A80">
        <w:rPr>
          <w:rFonts w:ascii="Times New Roman" w:hAnsi="Times New Roman"/>
          <w:bCs/>
          <w:sz w:val="24"/>
          <w:szCs w:val="24"/>
          <w:u w:val="single"/>
        </w:rPr>
        <w:t>Galen Byers v. State of Indiana</w:t>
      </w:r>
      <w:r w:rsidRPr="009C4A80">
        <w:rPr>
          <w:rFonts w:ascii="Times New Roman" w:hAnsi="Times New Roman"/>
          <w:bCs/>
          <w:sz w:val="24"/>
          <w:szCs w:val="24"/>
        </w:rPr>
        <w:t xml:space="preserve">, Court of Appeals of Indiana held (3 to 0) that the search warrant was obtained timely, and the trial court properly denied the defendant’s motion to suppress.  Criminal </w:t>
      </w:r>
      <w:proofErr w:type="gramStart"/>
      <w:r w:rsidRPr="009C4A80">
        <w:rPr>
          <w:rFonts w:ascii="Times New Roman" w:hAnsi="Times New Roman"/>
          <w:bCs/>
          <w:sz w:val="24"/>
          <w:szCs w:val="24"/>
        </w:rPr>
        <w:t>case</w:t>
      </w:r>
      <w:proofErr w:type="gramEnd"/>
      <w:r w:rsidRPr="009C4A80">
        <w:rPr>
          <w:rFonts w:ascii="Times New Roman" w:hAnsi="Times New Roman"/>
          <w:bCs/>
          <w:sz w:val="24"/>
          <w:szCs w:val="24"/>
        </w:rPr>
        <w:t xml:space="preserve"> for </w:t>
      </w:r>
      <w:proofErr w:type="gramStart"/>
      <w:r w:rsidRPr="009C4A80">
        <w:rPr>
          <w:rFonts w:ascii="Times New Roman" w:hAnsi="Times New Roman"/>
          <w:bCs/>
          <w:sz w:val="24"/>
          <w:szCs w:val="24"/>
        </w:rPr>
        <w:t>dealing</w:t>
      </w:r>
      <w:proofErr w:type="gramEnd"/>
      <w:r w:rsidRPr="009C4A80">
        <w:rPr>
          <w:rFonts w:ascii="Times New Roman" w:hAnsi="Times New Roman"/>
          <w:bCs/>
          <w:sz w:val="24"/>
          <w:szCs w:val="24"/>
        </w:rPr>
        <w:t xml:space="preserve"> methamphetamine will now be tried, unless the defendant enters a guilty plea.  </w:t>
      </w:r>
    </w:p>
    <w:p w14:paraId="1A4F87B2" w14:textId="77777777" w:rsidR="007471AF" w:rsidRPr="009C4A80" w:rsidRDefault="007471AF" w:rsidP="007471AF">
      <w:pPr>
        <w:pStyle w:val="NoSpacing"/>
        <w:rPr>
          <w:rFonts w:ascii="Times New Roman" w:hAnsi="Times New Roman"/>
          <w:b/>
          <w:bCs/>
          <w:sz w:val="24"/>
          <w:szCs w:val="24"/>
        </w:rPr>
      </w:pPr>
    </w:p>
    <w:p w14:paraId="7815661E" w14:textId="77777777" w:rsidR="007471AF" w:rsidRPr="009C4A80" w:rsidRDefault="007471AF" w:rsidP="007471AF">
      <w:pPr>
        <w:pStyle w:val="NoSpacing"/>
        <w:ind w:left="720"/>
        <w:rPr>
          <w:rFonts w:ascii="Times New Roman" w:hAnsi="Times New Roman"/>
          <w:b/>
          <w:bCs/>
          <w:sz w:val="24"/>
          <w:szCs w:val="24"/>
        </w:rPr>
      </w:pPr>
      <w:r w:rsidRPr="009C4A80">
        <w:rPr>
          <w:rFonts w:ascii="Times New Roman" w:hAnsi="Times New Roman"/>
          <w:bCs/>
          <w:sz w:val="24"/>
          <w:szCs w:val="24"/>
        </w:rPr>
        <w:t xml:space="preserve">“Moreover, while we look at the date of the video footage to determine whether probable cause existed, some lapse can also be accounted for here because [Marcie] </w:t>
      </w:r>
      <w:proofErr w:type="spellStart"/>
      <w:r w:rsidRPr="009C4A80">
        <w:rPr>
          <w:rFonts w:ascii="Times New Roman" w:hAnsi="Times New Roman"/>
          <w:bCs/>
          <w:sz w:val="24"/>
          <w:szCs w:val="24"/>
        </w:rPr>
        <w:t>Vormohr</w:t>
      </w:r>
      <w:proofErr w:type="spellEnd"/>
      <w:r w:rsidRPr="009C4A80">
        <w:rPr>
          <w:rFonts w:ascii="Times New Roman" w:hAnsi="Times New Roman"/>
          <w:bCs/>
          <w:sz w:val="24"/>
          <w:szCs w:val="24"/>
        </w:rPr>
        <w:t xml:space="preserve"> was in possession of the drone for likely at least one of those days. And, although we acknowledge that the woman in the video handled the alleged substances, the video also shows another individual—a man who </w:t>
      </w:r>
      <w:proofErr w:type="spellStart"/>
      <w:r w:rsidRPr="009C4A80">
        <w:rPr>
          <w:rFonts w:ascii="Times New Roman" w:hAnsi="Times New Roman"/>
          <w:bCs/>
          <w:sz w:val="24"/>
          <w:szCs w:val="24"/>
        </w:rPr>
        <w:t>Vormohr</w:t>
      </w:r>
      <w:proofErr w:type="spellEnd"/>
      <w:r w:rsidRPr="009C4A80">
        <w:rPr>
          <w:rFonts w:ascii="Times New Roman" w:hAnsi="Times New Roman"/>
          <w:bCs/>
          <w:sz w:val="24"/>
          <w:szCs w:val="24"/>
        </w:rPr>
        <w:t xml:space="preserve"> testified was Byers—handling the drone moments later in the same and subsequent video recordings. Based on the facts and circumstances before us, we cannot say that a four-day period between the activity and the finding of probable cause renders the warrant constitutionally stale.”</w:t>
      </w:r>
    </w:p>
    <w:p w14:paraId="67FB7E6A" w14:textId="77777777" w:rsidR="007471AF" w:rsidRPr="009C4A80" w:rsidRDefault="007471AF" w:rsidP="007471AF">
      <w:pPr>
        <w:pStyle w:val="NoSpacing"/>
        <w:ind w:left="720"/>
        <w:rPr>
          <w:rFonts w:ascii="Times New Roman" w:hAnsi="Times New Roman"/>
          <w:b/>
          <w:bCs/>
          <w:sz w:val="24"/>
          <w:szCs w:val="24"/>
        </w:rPr>
      </w:pPr>
      <w:hyperlink r:id="rId918" w:history="1">
        <w:r w:rsidRPr="009C4A80">
          <w:rPr>
            <w:rStyle w:val="Hyperlink"/>
            <w:rFonts w:ascii="Times New Roman" w:hAnsi="Times New Roman"/>
            <w:bCs/>
            <w:sz w:val="24"/>
            <w:szCs w:val="24"/>
          </w:rPr>
          <w:t>https://www.in.gov/judiciary/opinions/pdf/10241902eft.pdf</w:t>
        </w:r>
      </w:hyperlink>
      <w:r w:rsidRPr="009C4A80">
        <w:rPr>
          <w:rFonts w:ascii="Times New Roman" w:hAnsi="Times New Roman"/>
          <w:bCs/>
          <w:sz w:val="24"/>
          <w:szCs w:val="24"/>
        </w:rPr>
        <w:t xml:space="preserve"> </w:t>
      </w:r>
    </w:p>
    <w:p w14:paraId="45C8694D" w14:textId="77777777" w:rsidR="009C4A80" w:rsidRDefault="009C4A80" w:rsidP="007471AF">
      <w:pPr>
        <w:pStyle w:val="NoSpacing"/>
        <w:rPr>
          <w:rFonts w:ascii="Times New Roman" w:hAnsi="Times New Roman"/>
          <w:b/>
          <w:bCs/>
          <w:sz w:val="24"/>
          <w:szCs w:val="24"/>
        </w:rPr>
      </w:pPr>
    </w:p>
    <w:p w14:paraId="362D898A" w14:textId="23747565" w:rsidR="007471AF" w:rsidRPr="009C4A80" w:rsidRDefault="007471AF" w:rsidP="007471AF">
      <w:pPr>
        <w:pStyle w:val="NoSpacing"/>
        <w:rPr>
          <w:rFonts w:ascii="Times New Roman" w:hAnsi="Times New Roman"/>
          <w:b/>
          <w:bCs/>
          <w:sz w:val="24"/>
          <w:szCs w:val="24"/>
        </w:rPr>
      </w:pPr>
      <w:r w:rsidRPr="009C4A80">
        <w:rPr>
          <w:rFonts w:ascii="Times New Roman" w:hAnsi="Times New Roman"/>
          <w:b/>
          <w:bCs/>
          <w:sz w:val="24"/>
          <w:szCs w:val="24"/>
        </w:rPr>
        <w:t xml:space="preserve">Legal Lessons Learned:  If you are a drug dealer, be cautious of drones with video cameras. </w:t>
      </w:r>
    </w:p>
    <w:p w14:paraId="0C025598" w14:textId="55D588A2" w:rsidR="007471AF" w:rsidRDefault="007471AF" w:rsidP="007471AF">
      <w:pPr>
        <w:rPr>
          <w:rFonts w:ascii="Arial Black" w:hAnsi="Arial Black"/>
          <w:b/>
          <w:sz w:val="24"/>
          <w:szCs w:val="24"/>
        </w:rPr>
      </w:pPr>
    </w:p>
    <w:p w14:paraId="033989F1" w14:textId="77777777" w:rsidR="007471AF" w:rsidRDefault="007471AF" w:rsidP="002B1283">
      <w:pPr>
        <w:rPr>
          <w:rStyle w:val="Hyperlink"/>
          <w:rFonts w:ascii="Arial Black" w:hAnsi="Arial Black"/>
          <w:b/>
          <w:color w:val="auto"/>
          <w:sz w:val="24"/>
          <w:szCs w:val="24"/>
          <w:u w:val="none"/>
        </w:rPr>
      </w:pPr>
    </w:p>
    <w:p w14:paraId="1254A69A" w14:textId="6DE848B0" w:rsidR="00A06387" w:rsidRDefault="00A06387" w:rsidP="002B1283">
      <w:pPr>
        <w:rPr>
          <w:rStyle w:val="Hyperlink"/>
          <w:rFonts w:ascii="Arial Black" w:hAnsi="Arial Black"/>
          <w:b/>
          <w:color w:val="auto"/>
          <w:sz w:val="24"/>
          <w:szCs w:val="24"/>
          <w:u w:val="none"/>
        </w:rPr>
      </w:pPr>
      <w:r>
        <w:rPr>
          <w:rStyle w:val="Hyperlink"/>
          <w:rFonts w:ascii="Arial Black" w:hAnsi="Arial Black"/>
          <w:b/>
          <w:color w:val="auto"/>
          <w:sz w:val="24"/>
          <w:szCs w:val="24"/>
          <w:u w:val="none"/>
        </w:rPr>
        <w:t>4-4</w:t>
      </w:r>
    </w:p>
    <w:p w14:paraId="5DE28287" w14:textId="77777777" w:rsidR="00A06387" w:rsidRPr="00BA42E2" w:rsidRDefault="00A06387" w:rsidP="00A06387">
      <w:pPr>
        <w:pStyle w:val="NoSpacing"/>
        <w:rPr>
          <w:rFonts w:ascii="Arial Black" w:hAnsi="Arial Black"/>
          <w:b/>
          <w:bCs/>
          <w:sz w:val="28"/>
          <w:szCs w:val="28"/>
        </w:rPr>
      </w:pPr>
      <w:r>
        <w:rPr>
          <w:rFonts w:ascii="Arial Black" w:hAnsi="Arial Black"/>
          <w:bCs/>
          <w:sz w:val="28"/>
          <w:szCs w:val="28"/>
        </w:rPr>
        <w:t>NY:  RE-KINDLE WAREHOUSE FIRE – FD HAD TURNED OFF SPRINKLER SYSTEM – NO GOVERNMENTAL IMMUNITY</w:t>
      </w:r>
    </w:p>
    <w:p w14:paraId="55B6582C" w14:textId="77777777" w:rsidR="00A06387" w:rsidRDefault="00A06387" w:rsidP="00A06387">
      <w:pPr>
        <w:pStyle w:val="NoSpacing"/>
      </w:pPr>
    </w:p>
    <w:p w14:paraId="4F6175BD" w14:textId="37EE9D26" w:rsidR="00A06387" w:rsidRPr="009C4A80" w:rsidRDefault="00A06387" w:rsidP="00A06387">
      <w:pPr>
        <w:pStyle w:val="NoSpacing"/>
        <w:rPr>
          <w:rFonts w:ascii="Times New Roman" w:hAnsi="Times New Roman"/>
          <w:b/>
          <w:bCs/>
          <w:sz w:val="24"/>
          <w:szCs w:val="24"/>
        </w:rPr>
      </w:pPr>
      <w:r w:rsidRPr="009C4A80">
        <w:rPr>
          <w:rFonts w:ascii="Times New Roman" w:hAnsi="Times New Roman"/>
          <w:bCs/>
          <w:sz w:val="24"/>
          <w:szCs w:val="24"/>
        </w:rPr>
        <w:t xml:space="preserve">On </w:t>
      </w:r>
      <w:bookmarkStart w:id="185" w:name="_Hlk39824745"/>
      <w:r w:rsidRPr="009C4A80">
        <w:rPr>
          <w:rFonts w:ascii="Times New Roman" w:hAnsi="Times New Roman"/>
          <w:bCs/>
          <w:sz w:val="24"/>
          <w:szCs w:val="24"/>
        </w:rPr>
        <w:t xml:space="preserve">Oct. 23, 2019, in </w:t>
      </w:r>
      <w:r w:rsidRPr="009C4A80">
        <w:rPr>
          <w:rFonts w:ascii="Times New Roman" w:hAnsi="Times New Roman"/>
          <w:bCs/>
          <w:sz w:val="24"/>
          <w:szCs w:val="24"/>
          <w:u w:val="single"/>
        </w:rPr>
        <w:t>Zurick American Insurance Company v. City of New York</w:t>
      </w:r>
      <w:bookmarkEnd w:id="185"/>
      <w:r w:rsidRPr="009C4A80">
        <w:rPr>
          <w:rFonts w:ascii="Times New Roman" w:hAnsi="Times New Roman"/>
          <w:bCs/>
          <w:sz w:val="24"/>
          <w:szCs w:val="24"/>
        </w:rPr>
        <w:t xml:space="preserve">, the Supreme Court of New York, Appellate Division / Second Judicial Department held (5 to 0) that the insurance company for the warehouse may proceed with the lawsuit against the City of New York.  </w:t>
      </w:r>
    </w:p>
    <w:p w14:paraId="6380CCD4" w14:textId="77777777" w:rsidR="009C4A80" w:rsidRDefault="009C4A80" w:rsidP="00A06387">
      <w:pPr>
        <w:pStyle w:val="NoSpacing"/>
        <w:ind w:left="720"/>
        <w:rPr>
          <w:rFonts w:ascii="Times New Roman" w:hAnsi="Times New Roman"/>
          <w:bCs/>
          <w:sz w:val="24"/>
          <w:szCs w:val="24"/>
        </w:rPr>
      </w:pPr>
    </w:p>
    <w:p w14:paraId="68EEA0C2" w14:textId="288A7A41"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bCs/>
          <w:sz w:val="24"/>
          <w:szCs w:val="24"/>
        </w:rPr>
        <w:t xml:space="preserve">“Here, the plaintiffs' allegations that FDNY personnel, upon arriving at the scene and assuming control over the ongoing fire, shut off the main water supply valve to the warehouse's sprinkler systems, then certified to warehouse employees that it was safe to reenter the building when in fact the fire was still at risk of rekindling—which it did within minutes after FDNY personnel left the premises—are sufficient to establish a special relationship (see Trimble v City of Albany, 144 AD3d 1484; S.C. </w:t>
      </w:r>
      <w:proofErr w:type="spellStart"/>
      <w:r w:rsidRPr="009C4A80">
        <w:rPr>
          <w:rFonts w:ascii="Times New Roman" w:hAnsi="Times New Roman"/>
          <w:bCs/>
          <w:sz w:val="24"/>
          <w:szCs w:val="24"/>
        </w:rPr>
        <w:t>Freidfertig</w:t>
      </w:r>
      <w:proofErr w:type="spellEnd"/>
      <w:r w:rsidRPr="009C4A80">
        <w:rPr>
          <w:rFonts w:ascii="Times New Roman" w:hAnsi="Times New Roman"/>
          <w:bCs/>
          <w:sz w:val="24"/>
          <w:szCs w:val="24"/>
        </w:rPr>
        <w:t xml:space="preserve"> Bldrs. v Spano Plumbing &amp; Heating, Inc., 173 AD2d 454). Therefore, we agree with the Supreme Court's determination denying the defendant's motion to dismiss the complaint.”</w:t>
      </w:r>
    </w:p>
    <w:bookmarkStart w:id="186" w:name="_Hlk39824846"/>
    <w:p w14:paraId="76A2C813" w14:textId="38261899" w:rsidR="00A06387" w:rsidRPr="009C4A80" w:rsidRDefault="00F2621E" w:rsidP="009C4A80">
      <w:pPr>
        <w:ind w:firstLine="720"/>
        <w:rPr>
          <w:rStyle w:val="Hyperlink"/>
          <w:rFonts w:ascii="Times New Roman" w:hAnsi="Times New Roman"/>
          <w:b/>
          <w:color w:val="auto"/>
          <w:sz w:val="24"/>
          <w:szCs w:val="24"/>
          <w:u w:val="none"/>
        </w:rPr>
      </w:pPr>
      <w:r>
        <w:fldChar w:fldCharType="begin"/>
      </w:r>
      <w:r>
        <w:instrText xml:space="preserve"> HYPERLINK "https://law.justia.com/cases/new-york/appellate-division-second-department/2019/2017-08288.html" </w:instrText>
      </w:r>
      <w:r>
        <w:fldChar w:fldCharType="separate"/>
      </w:r>
      <w:r w:rsidR="009C4A80" w:rsidRPr="002F304C">
        <w:rPr>
          <w:rStyle w:val="Hyperlink"/>
          <w:rFonts w:ascii="Times New Roman" w:hAnsi="Times New Roman"/>
          <w:bCs/>
          <w:sz w:val="24"/>
          <w:szCs w:val="24"/>
        </w:rPr>
        <w:t>https://law.justia.com/cases/new-york/appellate-division-second-department/2019/2017-08288.html</w:t>
      </w:r>
      <w:r>
        <w:rPr>
          <w:rStyle w:val="Hyperlink"/>
          <w:rFonts w:ascii="Times New Roman" w:hAnsi="Times New Roman"/>
          <w:bCs/>
          <w:sz w:val="24"/>
          <w:szCs w:val="24"/>
        </w:rPr>
        <w:fldChar w:fldCharType="end"/>
      </w:r>
    </w:p>
    <w:p w14:paraId="5C2F6F78" w14:textId="412CFDA1" w:rsidR="00A06387" w:rsidRPr="009C4A80" w:rsidRDefault="00A06387" w:rsidP="00A06387">
      <w:pPr>
        <w:pStyle w:val="NormalWeb"/>
        <w:rPr>
          <w:b/>
          <w:bCs/>
        </w:rPr>
      </w:pPr>
      <w:bookmarkStart w:id="187" w:name="_Hlk40509731"/>
      <w:bookmarkEnd w:id="186"/>
      <w:r w:rsidRPr="009C4A80">
        <w:rPr>
          <w:b/>
          <w:bCs/>
        </w:rPr>
        <w:t>Legal Lessons Learned: Extreme care must be exercised when a sprinkler system is shut down</w:t>
      </w:r>
      <w:r w:rsidR="005E5044">
        <w:rPr>
          <w:b/>
          <w:bCs/>
        </w:rPr>
        <w:t>.</w:t>
      </w:r>
      <w:r w:rsidRPr="009C4A80">
        <w:rPr>
          <w:b/>
          <w:bCs/>
        </w:rPr>
        <w:t xml:space="preserve"> </w:t>
      </w:r>
    </w:p>
    <w:bookmarkEnd w:id="187"/>
    <w:p w14:paraId="0792F4E8" w14:textId="77777777" w:rsidR="00A06387" w:rsidRDefault="00A06387" w:rsidP="002B1283">
      <w:pPr>
        <w:rPr>
          <w:rStyle w:val="Hyperlink"/>
          <w:rFonts w:ascii="Arial Black" w:hAnsi="Arial Black"/>
          <w:b/>
          <w:color w:val="auto"/>
          <w:sz w:val="24"/>
          <w:szCs w:val="24"/>
          <w:u w:val="none"/>
        </w:rPr>
      </w:pPr>
    </w:p>
    <w:p w14:paraId="01530D47" w14:textId="77777777" w:rsidR="00A06387" w:rsidRDefault="00A06387" w:rsidP="002B1283">
      <w:pPr>
        <w:rPr>
          <w:rStyle w:val="Hyperlink"/>
          <w:rFonts w:ascii="Arial Black" w:hAnsi="Arial Black"/>
          <w:b/>
          <w:color w:val="auto"/>
          <w:sz w:val="24"/>
          <w:szCs w:val="24"/>
          <w:u w:val="none"/>
        </w:rPr>
      </w:pPr>
    </w:p>
    <w:p w14:paraId="072AD8B2" w14:textId="2BCA0C9F" w:rsidR="00EF1133" w:rsidRDefault="00EF1133" w:rsidP="002B1283">
      <w:pPr>
        <w:rPr>
          <w:rFonts w:ascii="Arial Black" w:hAnsi="Arial Black"/>
          <w:sz w:val="28"/>
          <w:szCs w:val="28"/>
        </w:rPr>
      </w:pPr>
      <w:r w:rsidRPr="00EF1133">
        <w:rPr>
          <w:rStyle w:val="Hyperlink"/>
          <w:rFonts w:ascii="Arial Black" w:hAnsi="Arial Black"/>
          <w:b/>
          <w:color w:val="auto"/>
          <w:sz w:val="24"/>
          <w:szCs w:val="24"/>
          <w:u w:val="none"/>
        </w:rPr>
        <w:t>4-</w:t>
      </w:r>
      <w:r>
        <w:rPr>
          <w:rStyle w:val="Hyperlink"/>
          <w:rFonts w:ascii="Arial Black" w:hAnsi="Arial Black"/>
          <w:b/>
          <w:color w:val="auto"/>
          <w:sz w:val="24"/>
          <w:szCs w:val="24"/>
          <w:u w:val="none"/>
        </w:rPr>
        <w:t>3</w:t>
      </w:r>
    </w:p>
    <w:p w14:paraId="40B3C8DD" w14:textId="690BDD04" w:rsidR="002B1283" w:rsidRDefault="002B1283" w:rsidP="002B1283">
      <w:pPr>
        <w:rPr>
          <w:rFonts w:ascii="Arial Black" w:hAnsi="Arial Black"/>
          <w:sz w:val="28"/>
          <w:szCs w:val="28"/>
        </w:rPr>
      </w:pPr>
      <w:bookmarkStart w:id="188" w:name="_Hlk39763888"/>
      <w:r>
        <w:rPr>
          <w:rFonts w:ascii="Arial Black" w:hAnsi="Arial Black"/>
          <w:sz w:val="28"/>
          <w:szCs w:val="28"/>
        </w:rPr>
        <w:t>CA:  WILDLAND FIRE IN NATIONAL FOREST – WATER TRUCK RAN OVER FF SLEEPING AT BASE CAMP – NO AUTOMATIC GOVT IMMUNITY</w:t>
      </w:r>
    </w:p>
    <w:p w14:paraId="4C2D8A8B" w14:textId="77777777" w:rsidR="002B1283" w:rsidRDefault="002B1283" w:rsidP="002B1283">
      <w:pPr>
        <w:rPr>
          <w:rStyle w:val="Hyperlink"/>
        </w:rPr>
      </w:pPr>
      <w:r w:rsidRPr="00AA1593">
        <w:rPr>
          <w:rFonts w:ascii="Times New Roman" w:hAnsi="Times New Roman"/>
          <w:sz w:val="24"/>
          <w:szCs w:val="24"/>
        </w:rPr>
        <w:t xml:space="preserve">On July 15, 2019, in </w:t>
      </w:r>
      <w:r w:rsidRPr="00AA1593">
        <w:rPr>
          <w:rFonts w:ascii="Times New Roman" w:hAnsi="Times New Roman"/>
          <w:sz w:val="24"/>
          <w:szCs w:val="24"/>
          <w:u w:val="single"/>
        </w:rPr>
        <w:t>Rebecca Megan Quigley v. Garden Valley Fire Protection District, et al.</w:t>
      </w:r>
      <w:r w:rsidRPr="00AA1593">
        <w:rPr>
          <w:rFonts w:ascii="Times New Roman" w:hAnsi="Times New Roman"/>
          <w:sz w:val="24"/>
          <w:szCs w:val="24"/>
        </w:rPr>
        <w:t xml:space="preserve">, the Supreme Court of California held (7 to 0), the Court reversed the Court of Appeals </w:t>
      </w:r>
      <w:r>
        <w:rPr>
          <w:rFonts w:ascii="Times New Roman" w:hAnsi="Times New Roman"/>
          <w:sz w:val="24"/>
          <w:szCs w:val="24"/>
        </w:rPr>
        <w:t xml:space="preserve">which had </w:t>
      </w:r>
      <w:r w:rsidRPr="00AA1593">
        <w:rPr>
          <w:rFonts w:ascii="Times New Roman" w:hAnsi="Times New Roman"/>
          <w:sz w:val="24"/>
          <w:szCs w:val="24"/>
        </w:rPr>
        <w:t xml:space="preserve">held </w:t>
      </w:r>
      <w:r>
        <w:rPr>
          <w:rFonts w:ascii="Times New Roman" w:hAnsi="Times New Roman"/>
          <w:sz w:val="24"/>
          <w:szCs w:val="24"/>
        </w:rPr>
        <w:t xml:space="preserve">that </w:t>
      </w:r>
      <w:r w:rsidRPr="00AA1593">
        <w:rPr>
          <w:rFonts w:ascii="Times New Roman" w:hAnsi="Times New Roman"/>
          <w:sz w:val="24"/>
          <w:szCs w:val="24"/>
        </w:rPr>
        <w:t xml:space="preserve">the base camp management team and their Fire Departments were automatically </w:t>
      </w:r>
      <w:r>
        <w:rPr>
          <w:rFonts w:ascii="Times New Roman" w:hAnsi="Times New Roman"/>
          <w:sz w:val="24"/>
          <w:szCs w:val="24"/>
        </w:rPr>
        <w:t xml:space="preserve">protected from liability </w:t>
      </w:r>
      <w:r w:rsidRPr="00AA1593">
        <w:rPr>
          <w:rFonts w:ascii="Times New Roman" w:hAnsi="Times New Roman"/>
          <w:sz w:val="24"/>
          <w:szCs w:val="24"/>
        </w:rPr>
        <w:t xml:space="preserve">by CA governmental immunity statute. </w:t>
      </w:r>
      <w:r>
        <w:rPr>
          <w:rFonts w:ascii="Times New Roman" w:hAnsi="Times New Roman"/>
          <w:sz w:val="24"/>
          <w:szCs w:val="24"/>
        </w:rPr>
        <w:t xml:space="preserve"> </w:t>
      </w:r>
    </w:p>
    <w:p w14:paraId="0A28E28C" w14:textId="77777777" w:rsidR="002B1283" w:rsidRDefault="002B1283" w:rsidP="002B1283">
      <w:pPr>
        <w:pStyle w:val="NoSpacing"/>
        <w:ind w:left="720"/>
        <w:rPr>
          <w:rFonts w:ascii="Times New Roman" w:hAnsi="Times New Roman"/>
          <w:sz w:val="24"/>
          <w:szCs w:val="24"/>
        </w:rPr>
      </w:pPr>
      <w:bookmarkStart w:id="189" w:name="_Hlk39765736"/>
      <w:r>
        <w:rPr>
          <w:rFonts w:ascii="Times New Roman" w:hAnsi="Times New Roman"/>
          <w:sz w:val="24"/>
          <w:szCs w:val="24"/>
        </w:rPr>
        <w:t>“</w:t>
      </w:r>
      <w:r w:rsidRPr="00AA1593">
        <w:rPr>
          <w:rFonts w:ascii="Times New Roman" w:hAnsi="Times New Roman"/>
          <w:sz w:val="24"/>
          <w:szCs w:val="24"/>
        </w:rPr>
        <w:t>If the Court of Appeal determines that section 850.4 immunity was not adequately raised in defendants’ answer, the case should be remanded to permit the trial court to decide whether to exercise its discretion to allow the belated assertion of the defense after the commencement of the trial.</w:t>
      </w:r>
      <w:r>
        <w:rPr>
          <w:rFonts w:ascii="Times New Roman" w:hAnsi="Times New Roman"/>
          <w:sz w:val="24"/>
          <w:szCs w:val="24"/>
        </w:rPr>
        <w:t>”</w:t>
      </w:r>
    </w:p>
    <w:p w14:paraId="5D87C57D" w14:textId="77777777" w:rsidR="002B1283" w:rsidRDefault="002B1283" w:rsidP="002B1283">
      <w:pPr>
        <w:ind w:firstLine="720"/>
      </w:pPr>
      <w:hyperlink r:id="rId919" w:history="1">
        <w:r w:rsidRPr="00455844">
          <w:rPr>
            <w:rStyle w:val="Hyperlink"/>
          </w:rPr>
          <w:t>https://law.justia.com/cases/california/supreme-court/2019/s242250.html</w:t>
        </w:r>
      </w:hyperlink>
      <w:bookmarkEnd w:id="189"/>
    </w:p>
    <w:bookmarkEnd w:id="188"/>
    <w:p w14:paraId="29819BF9" w14:textId="77777777" w:rsidR="002B1283" w:rsidRPr="00AA1593" w:rsidRDefault="002B1283" w:rsidP="002B1283">
      <w:pPr>
        <w:pStyle w:val="NoSpacing"/>
        <w:ind w:left="720"/>
        <w:rPr>
          <w:rFonts w:ascii="Times New Roman" w:hAnsi="Times New Roman"/>
          <w:sz w:val="24"/>
          <w:szCs w:val="24"/>
        </w:rPr>
      </w:pPr>
    </w:p>
    <w:p w14:paraId="6C495F4B" w14:textId="77777777" w:rsidR="002B1283" w:rsidRDefault="002B1283" w:rsidP="002B1283">
      <w:pPr>
        <w:rPr>
          <w:rFonts w:ascii="Times New Roman" w:hAnsi="Times New Roman"/>
          <w:b/>
          <w:bCs/>
          <w:sz w:val="24"/>
          <w:szCs w:val="24"/>
        </w:rPr>
      </w:pPr>
      <w:bookmarkStart w:id="190" w:name="_Hlk40509887"/>
      <w:r>
        <w:rPr>
          <w:rFonts w:ascii="Times New Roman" w:hAnsi="Times New Roman"/>
          <w:b/>
          <w:bCs/>
          <w:sz w:val="24"/>
          <w:szCs w:val="24"/>
        </w:rPr>
        <w:t>Legal Lessons Learned:  The injured Federal firefighter was covered by workers comp, but under CA broad governmental immunity statute, she will have a difficult time obtaining damages from these California commanders or their fire department.</w:t>
      </w:r>
    </w:p>
    <w:p w14:paraId="55D9B728" w14:textId="349B1AA6" w:rsidR="002B1283" w:rsidRDefault="005E5044" w:rsidP="002B1283">
      <w:pPr>
        <w:pStyle w:val="NoSpacing"/>
        <w:ind w:left="720"/>
      </w:pPr>
      <w:r>
        <w:rPr>
          <w:rFonts w:ascii="Times New Roman" w:hAnsi="Times New Roman"/>
          <w:sz w:val="24"/>
          <w:szCs w:val="24"/>
        </w:rPr>
        <w:t xml:space="preserve">Note: </w:t>
      </w:r>
      <w:r w:rsidR="002B1283">
        <w:rPr>
          <w:rFonts w:ascii="Times New Roman" w:hAnsi="Times New Roman"/>
          <w:sz w:val="24"/>
          <w:szCs w:val="24"/>
        </w:rPr>
        <w:t>“</w:t>
      </w:r>
      <w:r w:rsidR="002B1283" w:rsidRPr="003F6F54">
        <w:rPr>
          <w:rFonts w:ascii="Times New Roman" w:hAnsi="Times New Roman"/>
          <w:sz w:val="24"/>
          <w:szCs w:val="24"/>
        </w:rPr>
        <w:t>Government Code section 850.4(section 850.4), the provision at issue in this case,</w:t>
      </w:r>
      <w:r w:rsidR="002B1283">
        <w:rPr>
          <w:rFonts w:ascii="Times New Roman" w:hAnsi="Times New Roman"/>
          <w:sz w:val="24"/>
          <w:szCs w:val="24"/>
        </w:rPr>
        <w:t xml:space="preserve"> </w:t>
      </w:r>
      <w:r w:rsidR="002B1283" w:rsidRPr="003F6F54">
        <w:rPr>
          <w:rFonts w:ascii="Times New Roman" w:hAnsi="Times New Roman"/>
          <w:sz w:val="24"/>
          <w:szCs w:val="24"/>
        </w:rPr>
        <w:t xml:space="preserve">establishes immunity: </w:t>
      </w:r>
      <w:r w:rsidR="002B1283">
        <w:rPr>
          <w:rFonts w:ascii="Times New Roman" w:hAnsi="Times New Roman"/>
          <w:sz w:val="24"/>
          <w:szCs w:val="24"/>
        </w:rPr>
        <w:t>‘</w:t>
      </w:r>
      <w:r w:rsidR="002B1283" w:rsidRPr="003F6F54">
        <w:rPr>
          <w:rFonts w:ascii="Times New Roman" w:hAnsi="Times New Roman"/>
          <w:sz w:val="24"/>
          <w:szCs w:val="24"/>
        </w:rPr>
        <w:t>Neither a public entity, nor a public employee acting in the scope of his employment, is liable for any injury resulting from the condition of fire protection or firefighting equipment or facilities or,</w:t>
      </w:r>
      <w:r w:rsidR="002B1283">
        <w:rPr>
          <w:rFonts w:ascii="Times New Roman" w:hAnsi="Times New Roman"/>
          <w:sz w:val="24"/>
          <w:szCs w:val="24"/>
        </w:rPr>
        <w:t>’</w:t>
      </w:r>
      <w:r w:rsidR="002B1283" w:rsidRPr="003F6F54">
        <w:rPr>
          <w:rFonts w:ascii="Times New Roman" w:hAnsi="Times New Roman"/>
          <w:sz w:val="24"/>
          <w:szCs w:val="24"/>
        </w:rPr>
        <w:t xml:space="preserve"> with the exception of certain motor vehicle accidents, </w:t>
      </w:r>
      <w:r w:rsidR="002B1283">
        <w:rPr>
          <w:rFonts w:ascii="Times New Roman" w:hAnsi="Times New Roman"/>
          <w:sz w:val="24"/>
          <w:szCs w:val="24"/>
        </w:rPr>
        <w:t>‘</w:t>
      </w:r>
      <w:r w:rsidR="002B1283" w:rsidRPr="003F6F54">
        <w:rPr>
          <w:rFonts w:ascii="Times New Roman" w:hAnsi="Times New Roman"/>
          <w:sz w:val="24"/>
          <w:szCs w:val="24"/>
        </w:rPr>
        <w:t>for any injury caused in fighting fires.</w:t>
      </w:r>
      <w:r w:rsidR="002B1283">
        <w:rPr>
          <w:rFonts w:ascii="Times New Roman" w:hAnsi="Times New Roman"/>
          <w:sz w:val="24"/>
          <w:szCs w:val="24"/>
        </w:rPr>
        <w:t>’</w:t>
      </w:r>
      <w:r w:rsidR="002B1283" w:rsidRPr="003F6F54">
        <w:rPr>
          <w:rFonts w:ascii="Times New Roman" w:hAnsi="Times New Roman"/>
          <w:sz w:val="24"/>
          <w:szCs w:val="24"/>
        </w:rPr>
        <w:t xml:space="preserve"> Section 850.4 was enacted at the recommendation of the Law Revision</w:t>
      </w:r>
      <w:r w:rsidR="002B1283">
        <w:rPr>
          <w:rFonts w:ascii="Times New Roman" w:hAnsi="Times New Roman"/>
          <w:sz w:val="24"/>
          <w:szCs w:val="24"/>
        </w:rPr>
        <w:t xml:space="preserve"> </w:t>
      </w:r>
      <w:r w:rsidR="002B1283" w:rsidRPr="003F6F54">
        <w:rPr>
          <w:rFonts w:ascii="Times New Roman" w:hAnsi="Times New Roman"/>
          <w:sz w:val="24"/>
          <w:szCs w:val="24"/>
        </w:rPr>
        <w:t>Commission.</w:t>
      </w:r>
      <w:r w:rsidR="002B1283">
        <w:rPr>
          <w:rFonts w:ascii="Times New Roman" w:hAnsi="Times New Roman"/>
          <w:sz w:val="24"/>
          <w:szCs w:val="24"/>
        </w:rPr>
        <w:t xml:space="preserve"> </w:t>
      </w:r>
      <w:r w:rsidR="002B1283" w:rsidRPr="003F6F54">
        <w:rPr>
          <w:rFonts w:ascii="Times New Roman" w:hAnsi="Times New Roman"/>
          <w:sz w:val="24"/>
          <w:szCs w:val="24"/>
        </w:rPr>
        <w:t>The commission’s report to the Legislature explained</w:t>
      </w:r>
      <w:r w:rsidR="002B1283">
        <w:rPr>
          <w:rFonts w:ascii="Times New Roman" w:hAnsi="Times New Roman"/>
          <w:sz w:val="24"/>
          <w:szCs w:val="24"/>
        </w:rPr>
        <w:t xml:space="preserve"> </w:t>
      </w:r>
      <w:r w:rsidR="002B1283" w:rsidRPr="003F6F54">
        <w:rPr>
          <w:rFonts w:ascii="Times New Roman" w:hAnsi="Times New Roman"/>
          <w:sz w:val="24"/>
          <w:szCs w:val="24"/>
        </w:rPr>
        <w:t xml:space="preserve">section 850.4’s purpose as follows: </w:t>
      </w:r>
      <w:r w:rsidR="002B1283">
        <w:rPr>
          <w:rFonts w:ascii="Times New Roman" w:hAnsi="Times New Roman"/>
          <w:sz w:val="24"/>
          <w:szCs w:val="24"/>
        </w:rPr>
        <w:t>‘</w:t>
      </w:r>
      <w:r w:rsidR="002B1283" w:rsidRPr="003F6F54">
        <w:rPr>
          <w:rFonts w:ascii="Times New Roman" w:hAnsi="Times New Roman"/>
          <w:sz w:val="24"/>
          <w:szCs w:val="24"/>
        </w:rPr>
        <w:t>There are adequate incentives to careful maintenance of fire equipment without imposing tort liability; and firemen should not be deterred from any action they may</w:t>
      </w:r>
      <w:r w:rsidR="002B1283">
        <w:rPr>
          <w:rFonts w:ascii="Times New Roman" w:hAnsi="Times New Roman"/>
          <w:sz w:val="24"/>
          <w:szCs w:val="24"/>
        </w:rPr>
        <w:t xml:space="preserve"> </w:t>
      </w:r>
      <w:r w:rsidR="002B1283" w:rsidRPr="003F6F54">
        <w:rPr>
          <w:rFonts w:ascii="Times New Roman" w:hAnsi="Times New Roman"/>
          <w:sz w:val="24"/>
          <w:szCs w:val="24"/>
        </w:rPr>
        <w:t>desire to take in combatting fires by a fear that liability might be imposed if a jury believes such action to be unreasonable.</w:t>
      </w:r>
      <w:r w:rsidR="002B1283">
        <w:rPr>
          <w:rFonts w:ascii="Times New Roman" w:hAnsi="Times New Roman"/>
          <w:sz w:val="24"/>
          <w:szCs w:val="24"/>
        </w:rPr>
        <w:t>’”</w:t>
      </w:r>
    </w:p>
    <w:p w14:paraId="1C545D90" w14:textId="77777777" w:rsidR="002B1283" w:rsidRDefault="002B1283" w:rsidP="002B1283">
      <w:pPr>
        <w:ind w:firstLine="720"/>
      </w:pPr>
      <w:hyperlink r:id="rId920" w:history="1">
        <w:r w:rsidRPr="0000752C">
          <w:rPr>
            <w:rStyle w:val="Hyperlink"/>
          </w:rPr>
          <w:t>https://law.justia.com/cases/california/supreme-court/2019/s242250.html</w:t>
        </w:r>
      </w:hyperlink>
      <w:r>
        <w:t xml:space="preserve"> </w:t>
      </w:r>
    </w:p>
    <w:bookmarkEnd w:id="190"/>
    <w:p w14:paraId="71E386B5" w14:textId="77777777" w:rsidR="002B1283" w:rsidRDefault="002B1283" w:rsidP="00F326E5">
      <w:pPr>
        <w:pStyle w:val="NoSpacing"/>
        <w:rPr>
          <w:sz w:val="24"/>
          <w:szCs w:val="24"/>
        </w:rPr>
      </w:pPr>
    </w:p>
    <w:p w14:paraId="0B2ADBAF" w14:textId="344C2A9F" w:rsidR="00EF1133" w:rsidRDefault="00EF1133" w:rsidP="00EF1133">
      <w:pPr>
        <w:rPr>
          <w:rFonts w:ascii="Arial Black" w:hAnsi="Arial Black"/>
          <w:sz w:val="28"/>
          <w:szCs w:val="28"/>
        </w:rPr>
      </w:pPr>
      <w:r w:rsidRPr="00EF1133">
        <w:rPr>
          <w:rStyle w:val="Hyperlink"/>
          <w:rFonts w:ascii="Arial Black" w:hAnsi="Arial Black"/>
          <w:b/>
          <w:color w:val="auto"/>
          <w:sz w:val="24"/>
          <w:szCs w:val="24"/>
          <w:u w:val="none"/>
        </w:rPr>
        <w:t>4-</w:t>
      </w:r>
      <w:r>
        <w:rPr>
          <w:rStyle w:val="Hyperlink"/>
          <w:rFonts w:ascii="Arial Black" w:hAnsi="Arial Black"/>
          <w:b/>
          <w:color w:val="auto"/>
          <w:sz w:val="24"/>
          <w:szCs w:val="24"/>
          <w:u w:val="none"/>
        </w:rPr>
        <w:t>2</w:t>
      </w:r>
    </w:p>
    <w:p w14:paraId="06A915EE" w14:textId="21C12EBD" w:rsidR="00F326E5" w:rsidRDefault="00F326E5" w:rsidP="00F326E5">
      <w:pPr>
        <w:pStyle w:val="NoSpacing"/>
        <w:rPr>
          <w:rFonts w:ascii="Arial Black" w:hAnsi="Arial Black"/>
          <w:sz w:val="28"/>
          <w:szCs w:val="28"/>
        </w:rPr>
      </w:pPr>
      <w:r w:rsidRPr="0077539E">
        <w:rPr>
          <w:rFonts w:ascii="Arial Black" w:hAnsi="Arial Black"/>
          <w:sz w:val="28"/>
          <w:szCs w:val="28"/>
        </w:rPr>
        <w:t xml:space="preserve">GA:  </w:t>
      </w:r>
      <w:r>
        <w:rPr>
          <w:rFonts w:ascii="Arial Black" w:hAnsi="Arial Black"/>
          <w:sz w:val="28"/>
          <w:szCs w:val="28"/>
        </w:rPr>
        <w:t xml:space="preserve">DRONE VIDEO ADMISSIBLE - SHOWS ARREST DURING DEMONSTRATION WAS LAWFUL </w:t>
      </w:r>
    </w:p>
    <w:p w14:paraId="65F0CFDA" w14:textId="77777777" w:rsidR="009C4A80" w:rsidRDefault="00F326E5" w:rsidP="00F326E5">
      <w:pPr>
        <w:pStyle w:val="NoSpacing"/>
        <w:rPr>
          <w:rFonts w:ascii="Times New Roman" w:hAnsi="Times New Roman"/>
          <w:sz w:val="24"/>
          <w:szCs w:val="24"/>
        </w:rPr>
      </w:pPr>
      <w:r w:rsidRPr="009C4A80">
        <w:rPr>
          <w:rFonts w:ascii="Times New Roman" w:hAnsi="Times New Roman"/>
          <w:sz w:val="24"/>
          <w:szCs w:val="24"/>
        </w:rPr>
        <w:t xml:space="preserve">On </w:t>
      </w:r>
      <w:bookmarkStart w:id="191" w:name="_Hlk39825247"/>
      <w:r w:rsidRPr="009C4A80">
        <w:rPr>
          <w:rFonts w:ascii="Times New Roman" w:hAnsi="Times New Roman"/>
          <w:sz w:val="24"/>
          <w:szCs w:val="24"/>
        </w:rPr>
        <w:t xml:space="preserve">March 28, 2019, in </w:t>
      </w:r>
      <w:r w:rsidRPr="009C4A80">
        <w:rPr>
          <w:rFonts w:ascii="Times New Roman" w:hAnsi="Times New Roman"/>
          <w:sz w:val="24"/>
          <w:szCs w:val="24"/>
          <w:u w:val="single"/>
        </w:rPr>
        <w:t>John Ruch v. Sergeant Michelle McKenzie</w:t>
      </w:r>
      <w:bookmarkEnd w:id="191"/>
      <w:r w:rsidRPr="009C4A80">
        <w:rPr>
          <w:rFonts w:ascii="Times New Roman" w:hAnsi="Times New Roman"/>
          <w:sz w:val="24"/>
          <w:szCs w:val="24"/>
        </w:rPr>
        <w:t xml:space="preserve">, U.S. District Court judge Michael L. Brown, US District Court, Northern District of Georgia / Atlanta, granted motion for summary judgment for Sergeant McKenzie, writing:   </w:t>
      </w:r>
    </w:p>
    <w:p w14:paraId="048DB128" w14:textId="77777777" w:rsidR="009C4A80" w:rsidRDefault="009C4A80" w:rsidP="009C4A80">
      <w:pPr>
        <w:pStyle w:val="NoSpacing"/>
        <w:ind w:firstLine="720"/>
        <w:rPr>
          <w:rFonts w:ascii="Times New Roman" w:hAnsi="Times New Roman"/>
          <w:sz w:val="24"/>
          <w:szCs w:val="24"/>
        </w:rPr>
      </w:pPr>
    </w:p>
    <w:p w14:paraId="1FBAF5CC" w14:textId="6262D4E1" w:rsidR="00F326E5" w:rsidRPr="009C4A80" w:rsidRDefault="00F326E5" w:rsidP="009C4A80">
      <w:pPr>
        <w:pStyle w:val="NoSpacing"/>
        <w:ind w:left="720"/>
        <w:rPr>
          <w:rFonts w:ascii="Times New Roman" w:hAnsi="Times New Roman"/>
          <w:sz w:val="24"/>
          <w:szCs w:val="24"/>
        </w:rPr>
      </w:pPr>
      <w:r w:rsidRPr="009C4A80">
        <w:rPr>
          <w:rFonts w:ascii="Times New Roman" w:hAnsi="Times New Roman"/>
          <w:sz w:val="24"/>
          <w:szCs w:val="24"/>
        </w:rPr>
        <w:t xml:space="preserve">“The video footage shows Plaintiff step off the sidewalk in one location, walk around a group of people watching and filming the fight, and step back onto the sidewalk — directly into the area where Defendant stood protecting the </w:t>
      </w:r>
      <w:proofErr w:type="gramStart"/>
      <w:r w:rsidRPr="009C4A80">
        <w:rPr>
          <w:rFonts w:ascii="Times New Roman" w:hAnsi="Times New Roman"/>
          <w:sz w:val="24"/>
          <w:szCs w:val="24"/>
        </w:rPr>
        <w:t>officers</w:t>
      </w:r>
      <w:proofErr w:type="gramEnd"/>
      <w:r w:rsidRPr="009C4A80">
        <w:rPr>
          <w:rFonts w:ascii="Times New Roman" w:hAnsi="Times New Roman"/>
          <w:sz w:val="24"/>
          <w:szCs w:val="24"/>
        </w:rPr>
        <w:t xml:space="preserve"> making arrests. (Id. at minute mark 3:58.) Contrary to Plaintiff’s allegations, he was not standing still at the time of his arrest. He was moving toward the area Defendant was trying to secure.” </w:t>
      </w:r>
      <w:bookmarkStart w:id="192" w:name="_Hlk39825271"/>
      <w:r w:rsidR="00F2621E">
        <w:fldChar w:fldCharType="begin"/>
      </w:r>
      <w:r w:rsidR="00F2621E">
        <w:instrText xml:space="preserve"> HYPERLINK "https://cases.justia.com/federal/district-courts/georgia/gandce/1:2015cv03296/220233/141/0.pdf?ts=1553851239" </w:instrText>
      </w:r>
      <w:r w:rsidR="00F2621E">
        <w:fldChar w:fldCharType="separate"/>
      </w:r>
      <w:r w:rsidRPr="009C4A80">
        <w:rPr>
          <w:rStyle w:val="Hyperlink"/>
          <w:rFonts w:ascii="Times New Roman" w:hAnsi="Times New Roman"/>
          <w:sz w:val="24"/>
          <w:szCs w:val="24"/>
        </w:rPr>
        <w:t>https://cases.justia.com/federal/district-courts/georgia/gandce/1:2015cv03296/220233/141/0.pdf?ts=1553851239</w:t>
      </w:r>
      <w:r w:rsidR="00F2621E">
        <w:rPr>
          <w:rStyle w:val="Hyperlink"/>
          <w:rFonts w:ascii="Times New Roman" w:hAnsi="Times New Roman"/>
          <w:sz w:val="24"/>
          <w:szCs w:val="24"/>
        </w:rPr>
        <w:fldChar w:fldCharType="end"/>
      </w:r>
      <w:r w:rsidRPr="009C4A80">
        <w:rPr>
          <w:rFonts w:ascii="Times New Roman" w:hAnsi="Times New Roman"/>
          <w:sz w:val="24"/>
          <w:szCs w:val="24"/>
        </w:rPr>
        <w:t xml:space="preserve"> </w:t>
      </w:r>
      <w:bookmarkEnd w:id="192"/>
    </w:p>
    <w:p w14:paraId="731179D7" w14:textId="77777777" w:rsidR="009C4A80" w:rsidRDefault="009C4A80" w:rsidP="00F326E5">
      <w:pPr>
        <w:rPr>
          <w:rFonts w:ascii="Times New Roman" w:hAnsi="Times New Roman"/>
          <w:b/>
          <w:sz w:val="24"/>
          <w:szCs w:val="24"/>
        </w:rPr>
      </w:pPr>
    </w:p>
    <w:p w14:paraId="62745EA3" w14:textId="4AD1F0D8" w:rsidR="00F326E5" w:rsidRPr="009C4A80" w:rsidRDefault="00F326E5" w:rsidP="00F326E5">
      <w:pPr>
        <w:rPr>
          <w:rFonts w:ascii="Times New Roman" w:hAnsi="Times New Roman"/>
          <w:b/>
          <w:sz w:val="24"/>
          <w:szCs w:val="24"/>
        </w:rPr>
      </w:pPr>
      <w:r w:rsidRPr="009C4A80">
        <w:rPr>
          <w:rFonts w:ascii="Times New Roman" w:hAnsi="Times New Roman"/>
          <w:b/>
          <w:sz w:val="24"/>
          <w:szCs w:val="24"/>
        </w:rPr>
        <w:t xml:space="preserve">Legal Lessons Learned:  Videos can sometimes lead to dismissal of </w:t>
      </w:r>
      <w:proofErr w:type="gramStart"/>
      <w:r w:rsidRPr="009C4A80">
        <w:rPr>
          <w:rFonts w:ascii="Times New Roman" w:hAnsi="Times New Roman"/>
          <w:b/>
          <w:sz w:val="24"/>
          <w:szCs w:val="24"/>
        </w:rPr>
        <w:t>lawsuit</w:t>
      </w:r>
      <w:proofErr w:type="gramEnd"/>
      <w:r w:rsidRPr="009C4A80">
        <w:rPr>
          <w:rFonts w:ascii="Times New Roman" w:hAnsi="Times New Roman"/>
          <w:b/>
          <w:sz w:val="24"/>
          <w:szCs w:val="24"/>
        </w:rPr>
        <w:t>.</w:t>
      </w:r>
    </w:p>
    <w:bookmarkEnd w:id="173"/>
    <w:p w14:paraId="59717D8D" w14:textId="007C121D" w:rsidR="00F326E5" w:rsidRDefault="00F326E5" w:rsidP="00F326E5">
      <w:pPr>
        <w:rPr>
          <w:rStyle w:val="Hyperlink"/>
          <w:b/>
          <w:sz w:val="24"/>
          <w:szCs w:val="24"/>
        </w:rPr>
      </w:pPr>
    </w:p>
    <w:p w14:paraId="32CF9051" w14:textId="50F7EE6F" w:rsidR="009C4A80" w:rsidRDefault="009C4A80" w:rsidP="00F326E5">
      <w:pPr>
        <w:rPr>
          <w:rStyle w:val="Hyperlink"/>
          <w:b/>
          <w:sz w:val="24"/>
          <w:szCs w:val="24"/>
        </w:rPr>
      </w:pPr>
    </w:p>
    <w:p w14:paraId="5282FA41" w14:textId="77777777" w:rsidR="009C4A80" w:rsidRDefault="009C4A80" w:rsidP="00F326E5">
      <w:pPr>
        <w:rPr>
          <w:rStyle w:val="Hyperlink"/>
          <w:b/>
          <w:sz w:val="24"/>
          <w:szCs w:val="24"/>
        </w:rPr>
      </w:pPr>
    </w:p>
    <w:p w14:paraId="6F4D3831" w14:textId="25C4E644" w:rsidR="00EF1133" w:rsidRPr="00EF1133" w:rsidRDefault="00EF1133" w:rsidP="00F326E5">
      <w:pPr>
        <w:rPr>
          <w:rStyle w:val="Hyperlink"/>
          <w:rFonts w:ascii="Arial Black" w:hAnsi="Arial Black"/>
          <w:b/>
          <w:color w:val="auto"/>
          <w:sz w:val="24"/>
          <w:szCs w:val="24"/>
          <w:u w:val="none"/>
        </w:rPr>
      </w:pPr>
      <w:r w:rsidRPr="00EF1133">
        <w:rPr>
          <w:rStyle w:val="Hyperlink"/>
          <w:rFonts w:ascii="Arial Black" w:hAnsi="Arial Black"/>
          <w:b/>
          <w:color w:val="auto"/>
          <w:sz w:val="24"/>
          <w:szCs w:val="24"/>
          <w:u w:val="none"/>
        </w:rPr>
        <w:t>4-1</w:t>
      </w:r>
    </w:p>
    <w:p w14:paraId="71EA5D9D" w14:textId="6024D070" w:rsidR="00F326E5" w:rsidRPr="009F2867" w:rsidRDefault="00F326E5" w:rsidP="00F326E5">
      <w:pPr>
        <w:pStyle w:val="NoSpacing"/>
        <w:rPr>
          <w:rFonts w:ascii="Arial Black" w:hAnsi="Arial Black"/>
          <w:sz w:val="24"/>
          <w:szCs w:val="24"/>
        </w:rPr>
      </w:pPr>
      <w:bookmarkStart w:id="193" w:name="_Hlk7249620"/>
      <w:r w:rsidRPr="007F6024">
        <w:rPr>
          <w:rFonts w:ascii="Arial Black" w:hAnsi="Arial Black"/>
          <w:sz w:val="28"/>
          <w:szCs w:val="28"/>
        </w:rPr>
        <w:t xml:space="preserve">OH: </w:t>
      </w:r>
      <w:r>
        <w:rPr>
          <w:rFonts w:ascii="Arial Black" w:hAnsi="Arial Black"/>
          <w:sz w:val="28"/>
          <w:szCs w:val="28"/>
        </w:rPr>
        <w:t xml:space="preserve">MJ FOUND IN HOUSE FIRE – DRUG DETECTIVE NEEDED WARRANT – SCENE WAS SAFE </w:t>
      </w:r>
    </w:p>
    <w:p w14:paraId="019E5400" w14:textId="77777777" w:rsidR="009C4A80" w:rsidRDefault="00F326E5" w:rsidP="00F326E5">
      <w:pPr>
        <w:rPr>
          <w:rFonts w:ascii="Times New Roman" w:eastAsia="Times New Roman" w:hAnsi="Times New Roman"/>
          <w:sz w:val="24"/>
          <w:szCs w:val="24"/>
        </w:rPr>
      </w:pPr>
      <w:r w:rsidRPr="009C4A80">
        <w:rPr>
          <w:rFonts w:ascii="Times New Roman" w:eastAsia="Times New Roman" w:hAnsi="Times New Roman"/>
          <w:sz w:val="24"/>
          <w:szCs w:val="24"/>
        </w:rPr>
        <w:t xml:space="preserve">On Aug. 24, 2018, in </w:t>
      </w:r>
      <w:r w:rsidRPr="009C4A80">
        <w:rPr>
          <w:rFonts w:ascii="Times New Roman" w:eastAsia="Times New Roman" w:hAnsi="Times New Roman"/>
          <w:sz w:val="24"/>
          <w:szCs w:val="24"/>
          <w:u w:val="single"/>
        </w:rPr>
        <w:t>State of Ohio v. Albert N. Smith</w:t>
      </w:r>
      <w:r w:rsidRPr="009C4A80">
        <w:rPr>
          <w:rFonts w:ascii="Times New Roman" w:eastAsia="Times New Roman" w:hAnsi="Times New Roman"/>
          <w:sz w:val="24"/>
          <w:szCs w:val="24"/>
        </w:rPr>
        <w:t xml:space="preserve">, the Court of Appeals for Fifth Appellate District (Licking County) held (3 to 0) that the trial court judge properly granted defendant’s motion to suppress the marijuana and other evidence. </w:t>
      </w:r>
    </w:p>
    <w:p w14:paraId="4716569B" w14:textId="3209312F" w:rsidR="00F326E5" w:rsidRPr="009C4A80" w:rsidRDefault="00F326E5" w:rsidP="009C4A80">
      <w:pPr>
        <w:ind w:left="720" w:firstLine="60"/>
        <w:rPr>
          <w:rFonts w:ascii="Times New Roman" w:eastAsia="Times New Roman" w:hAnsi="Times New Roman"/>
          <w:sz w:val="24"/>
          <w:szCs w:val="24"/>
        </w:rPr>
      </w:pPr>
      <w:r w:rsidRPr="009C4A80">
        <w:rPr>
          <w:rFonts w:ascii="Times New Roman" w:eastAsia="Times New Roman" w:hAnsi="Times New Roman"/>
          <w:sz w:val="24"/>
          <w:szCs w:val="24"/>
        </w:rPr>
        <w:t xml:space="preserve">“Det. Thomas testified that he was assured the fire was out, and the home was safe for him to enter …. Det. Thomas also stated that he was not told that any of the evidence was in danger of being damaged by smoke, water or fire. </w:t>
      </w:r>
      <w:r w:rsidRPr="009C4A80">
        <w:rPr>
          <w:rFonts w:ascii="Times New Roman" w:hAnsi="Times New Roman"/>
          <w:sz w:val="24"/>
          <w:szCs w:val="24"/>
        </w:rPr>
        <w:t>Based on the foregoing, we</w:t>
      </w:r>
      <w:r w:rsidRPr="009C4A80">
        <w:rPr>
          <w:rFonts w:ascii="Times New Roman" w:eastAsia="Times New Roman" w:hAnsi="Times New Roman"/>
          <w:sz w:val="24"/>
          <w:szCs w:val="24"/>
        </w:rPr>
        <w:t xml:space="preserve"> do not find exigent </w:t>
      </w:r>
      <w:proofErr w:type="gramStart"/>
      <w:r w:rsidRPr="009C4A80">
        <w:rPr>
          <w:rFonts w:ascii="Times New Roman" w:eastAsia="Times New Roman" w:hAnsi="Times New Roman"/>
          <w:sz w:val="24"/>
          <w:szCs w:val="24"/>
        </w:rPr>
        <w:t>circumstances existed</w:t>
      </w:r>
      <w:proofErr w:type="gramEnd"/>
      <w:r w:rsidRPr="009C4A80">
        <w:rPr>
          <w:rFonts w:ascii="Times New Roman" w:eastAsia="Times New Roman" w:hAnsi="Times New Roman"/>
          <w:sz w:val="24"/>
          <w:szCs w:val="24"/>
        </w:rPr>
        <w:t xml:space="preserve"> that required or allowed for a warrantless search of the premises. We therefore find no error in the trial court’s suppression of the evidence collected in this matter.”</w:t>
      </w:r>
      <w:r w:rsidRPr="009C4A80">
        <w:rPr>
          <w:rFonts w:ascii="Times New Roman" w:hAnsi="Times New Roman"/>
          <w:sz w:val="24"/>
          <w:szCs w:val="24"/>
        </w:rPr>
        <w:t xml:space="preserve"> </w:t>
      </w:r>
      <w:hyperlink r:id="rId921" w:history="1">
        <w:r w:rsidRPr="009C4A80">
          <w:rPr>
            <w:rStyle w:val="Hyperlink"/>
            <w:rFonts w:ascii="Times New Roman" w:hAnsi="Times New Roman"/>
            <w:sz w:val="24"/>
            <w:szCs w:val="24"/>
          </w:rPr>
          <w:t>http://www.supremecourt.ohio.gov/rod/docs/pdf/5/2018/2018-Ohio-3436.pdf</w:t>
        </w:r>
      </w:hyperlink>
      <w:r w:rsidRPr="009C4A80">
        <w:rPr>
          <w:rFonts w:ascii="Times New Roman" w:eastAsia="Times New Roman" w:hAnsi="Times New Roman"/>
          <w:sz w:val="24"/>
          <w:szCs w:val="24"/>
        </w:rPr>
        <w:t xml:space="preserve"> </w:t>
      </w:r>
    </w:p>
    <w:p w14:paraId="3F055AD7" w14:textId="77777777" w:rsidR="00F326E5" w:rsidRPr="009C4A80" w:rsidRDefault="00F326E5" w:rsidP="00F326E5">
      <w:pPr>
        <w:rPr>
          <w:rFonts w:ascii="Times New Roman" w:eastAsia="Times New Roman" w:hAnsi="Times New Roman"/>
          <w:b/>
          <w:sz w:val="24"/>
          <w:szCs w:val="24"/>
        </w:rPr>
      </w:pPr>
      <w:r w:rsidRPr="009C4A80">
        <w:rPr>
          <w:rFonts w:ascii="Times New Roman" w:eastAsia="Times New Roman" w:hAnsi="Times New Roman"/>
          <w:b/>
          <w:sz w:val="24"/>
          <w:szCs w:val="24"/>
        </w:rPr>
        <w:t xml:space="preserve">Legal Lessons Learned:  If the structure fire has been extinguished, and the property deemed safe to enter, FD should continue to secure the property, while PD gets a search warrant. </w:t>
      </w:r>
    </w:p>
    <w:bookmarkEnd w:id="193"/>
    <w:p w14:paraId="496712ED" w14:textId="77777777" w:rsidR="00DE42DC" w:rsidRDefault="00F326E5" w:rsidP="00F326E5">
      <w:pPr>
        <w:rPr>
          <w:rFonts w:ascii="Times New Roman" w:hAnsi="Times New Roman"/>
          <w:sz w:val="24"/>
          <w:szCs w:val="24"/>
        </w:rPr>
      </w:pPr>
      <w:r w:rsidRPr="009C4A80">
        <w:rPr>
          <w:rFonts w:ascii="Times New Roman" w:hAnsi="Times New Roman"/>
          <w:sz w:val="24"/>
          <w:szCs w:val="24"/>
        </w:rPr>
        <w:br w:type="page"/>
      </w:r>
    </w:p>
    <w:p w14:paraId="5309A560" w14:textId="77777777" w:rsidR="00DE42DC" w:rsidRDefault="00DE42DC" w:rsidP="00F326E5">
      <w:pPr>
        <w:rPr>
          <w:rFonts w:ascii="Times New Roman" w:hAnsi="Times New Roman"/>
          <w:sz w:val="24"/>
          <w:szCs w:val="24"/>
        </w:rPr>
      </w:pPr>
    </w:p>
    <w:p w14:paraId="6B1959FF" w14:textId="77777777" w:rsidR="00DE42DC" w:rsidRDefault="00DE42DC" w:rsidP="00F326E5">
      <w:pPr>
        <w:rPr>
          <w:rFonts w:ascii="Times New Roman" w:hAnsi="Times New Roman"/>
          <w:sz w:val="24"/>
          <w:szCs w:val="24"/>
        </w:rPr>
      </w:pPr>
    </w:p>
    <w:p w14:paraId="684CEFC3" w14:textId="77777777" w:rsidR="005263F1" w:rsidRDefault="005263F1" w:rsidP="00F326E5">
      <w:pPr>
        <w:rPr>
          <w:rFonts w:ascii="Arial Black" w:hAnsi="Arial Black"/>
          <w:sz w:val="40"/>
          <w:szCs w:val="40"/>
        </w:rPr>
      </w:pPr>
    </w:p>
    <w:p w14:paraId="3A43B264" w14:textId="77777777" w:rsidR="005263F1" w:rsidRDefault="005263F1" w:rsidP="00F326E5">
      <w:pPr>
        <w:rPr>
          <w:rFonts w:ascii="Arial Black" w:hAnsi="Arial Black"/>
          <w:sz w:val="40"/>
          <w:szCs w:val="40"/>
        </w:rPr>
      </w:pPr>
    </w:p>
    <w:p w14:paraId="1E061D7A" w14:textId="77777777" w:rsidR="005263F1" w:rsidRDefault="005263F1" w:rsidP="00F326E5">
      <w:pPr>
        <w:rPr>
          <w:rFonts w:ascii="Arial Black" w:hAnsi="Arial Black"/>
          <w:sz w:val="40"/>
          <w:szCs w:val="40"/>
        </w:rPr>
      </w:pPr>
    </w:p>
    <w:p w14:paraId="48C76D90" w14:textId="77777777" w:rsidR="005263F1" w:rsidRDefault="005263F1" w:rsidP="00F326E5">
      <w:pPr>
        <w:rPr>
          <w:rFonts w:ascii="Arial Black" w:hAnsi="Arial Black"/>
          <w:sz w:val="40"/>
          <w:szCs w:val="40"/>
        </w:rPr>
      </w:pPr>
    </w:p>
    <w:p w14:paraId="48DBD379" w14:textId="77777777" w:rsidR="005263F1" w:rsidRDefault="005263F1" w:rsidP="00F326E5">
      <w:pPr>
        <w:rPr>
          <w:rFonts w:ascii="Arial Black" w:hAnsi="Arial Black"/>
          <w:sz w:val="40"/>
          <w:szCs w:val="40"/>
        </w:rPr>
      </w:pPr>
    </w:p>
    <w:p w14:paraId="7CA0ABAC" w14:textId="77777777" w:rsidR="005263F1" w:rsidRDefault="005263F1" w:rsidP="00F326E5">
      <w:pPr>
        <w:rPr>
          <w:rFonts w:ascii="Arial Black" w:hAnsi="Arial Black"/>
          <w:sz w:val="40"/>
          <w:szCs w:val="40"/>
        </w:rPr>
      </w:pPr>
    </w:p>
    <w:p w14:paraId="46BBA60C" w14:textId="77777777" w:rsidR="005263F1" w:rsidRDefault="005263F1" w:rsidP="00F326E5">
      <w:pPr>
        <w:rPr>
          <w:rFonts w:ascii="Arial Black" w:hAnsi="Arial Black"/>
          <w:sz w:val="40"/>
          <w:szCs w:val="40"/>
        </w:rPr>
      </w:pPr>
    </w:p>
    <w:p w14:paraId="08B77CA9" w14:textId="77777777" w:rsidR="005263F1" w:rsidRDefault="005263F1" w:rsidP="00F326E5">
      <w:pPr>
        <w:rPr>
          <w:rFonts w:ascii="Arial Black" w:hAnsi="Arial Black"/>
          <w:sz w:val="40"/>
          <w:szCs w:val="40"/>
        </w:rPr>
      </w:pPr>
    </w:p>
    <w:p w14:paraId="6FA9E4BE" w14:textId="77777777" w:rsidR="005263F1" w:rsidRDefault="005263F1" w:rsidP="00F326E5">
      <w:pPr>
        <w:rPr>
          <w:rFonts w:ascii="Arial Black" w:hAnsi="Arial Black"/>
          <w:sz w:val="40"/>
          <w:szCs w:val="40"/>
        </w:rPr>
      </w:pPr>
    </w:p>
    <w:p w14:paraId="533F9C13" w14:textId="77777777" w:rsidR="005263F1" w:rsidRDefault="005263F1" w:rsidP="00F326E5">
      <w:pPr>
        <w:rPr>
          <w:rFonts w:ascii="Arial Black" w:hAnsi="Arial Black"/>
          <w:sz w:val="40"/>
          <w:szCs w:val="40"/>
        </w:rPr>
      </w:pPr>
    </w:p>
    <w:p w14:paraId="7C8E835F" w14:textId="77777777" w:rsidR="005263F1" w:rsidRDefault="005263F1" w:rsidP="00F326E5">
      <w:pPr>
        <w:rPr>
          <w:rFonts w:ascii="Arial Black" w:hAnsi="Arial Black"/>
          <w:sz w:val="40"/>
          <w:szCs w:val="40"/>
        </w:rPr>
      </w:pPr>
    </w:p>
    <w:p w14:paraId="3E20CA32" w14:textId="77777777" w:rsidR="005263F1" w:rsidRDefault="005263F1" w:rsidP="00F326E5">
      <w:pPr>
        <w:rPr>
          <w:rFonts w:ascii="Arial Black" w:hAnsi="Arial Black"/>
          <w:sz w:val="40"/>
          <w:szCs w:val="40"/>
        </w:rPr>
      </w:pPr>
    </w:p>
    <w:p w14:paraId="2A673545" w14:textId="77777777" w:rsidR="005263F1" w:rsidRDefault="005263F1" w:rsidP="00F326E5">
      <w:pPr>
        <w:rPr>
          <w:rFonts w:ascii="Arial Black" w:hAnsi="Arial Black"/>
          <w:sz w:val="40"/>
          <w:szCs w:val="40"/>
        </w:rPr>
      </w:pPr>
    </w:p>
    <w:p w14:paraId="6BC32481" w14:textId="77777777" w:rsidR="005263F1" w:rsidRDefault="005263F1" w:rsidP="00F326E5">
      <w:pPr>
        <w:rPr>
          <w:rFonts w:ascii="Arial Black" w:hAnsi="Arial Black"/>
          <w:sz w:val="40"/>
          <w:szCs w:val="40"/>
        </w:rPr>
      </w:pPr>
    </w:p>
    <w:p w14:paraId="480FF2C6" w14:textId="77777777" w:rsidR="005263F1" w:rsidRDefault="005263F1" w:rsidP="00F326E5">
      <w:pPr>
        <w:rPr>
          <w:rFonts w:ascii="Arial Black" w:hAnsi="Arial Black"/>
          <w:sz w:val="40"/>
          <w:szCs w:val="40"/>
        </w:rPr>
      </w:pPr>
    </w:p>
    <w:p w14:paraId="310E0FCD" w14:textId="77777777" w:rsidR="005263F1" w:rsidRDefault="005263F1" w:rsidP="00F326E5">
      <w:pPr>
        <w:rPr>
          <w:rFonts w:ascii="Arial Black" w:hAnsi="Arial Black"/>
          <w:sz w:val="40"/>
          <w:szCs w:val="40"/>
        </w:rPr>
      </w:pPr>
    </w:p>
    <w:p w14:paraId="4B7ABE79" w14:textId="26E16C8C" w:rsidR="00F326E5" w:rsidRDefault="00F326E5" w:rsidP="00F326E5">
      <w:pPr>
        <w:rPr>
          <w:rFonts w:ascii="Arial Black" w:hAnsi="Arial Black"/>
          <w:sz w:val="40"/>
          <w:szCs w:val="40"/>
        </w:rPr>
      </w:pPr>
      <w:r w:rsidRPr="007732FA">
        <w:rPr>
          <w:rFonts w:ascii="Arial Black" w:hAnsi="Arial Black"/>
          <w:sz w:val="40"/>
          <w:szCs w:val="40"/>
        </w:rPr>
        <w:t>Chap. 5</w:t>
      </w:r>
      <w:r w:rsidRPr="007732FA">
        <w:rPr>
          <w:rFonts w:ascii="Arial Black" w:hAnsi="Arial Black"/>
          <w:sz w:val="40"/>
          <w:szCs w:val="40"/>
        </w:rPr>
        <w:tab/>
        <w:t>Emergency Vehicle Operations</w:t>
      </w:r>
    </w:p>
    <w:p w14:paraId="0137AAF2" w14:textId="5EC897C3" w:rsidR="00574CD1" w:rsidRDefault="00574CD1" w:rsidP="00574CD1">
      <w:pPr>
        <w:rPr>
          <w:rFonts w:ascii="Arial Black" w:hAnsi="Arial Black"/>
          <w:sz w:val="28"/>
          <w:szCs w:val="28"/>
        </w:rPr>
      </w:pPr>
      <w:bookmarkStart w:id="194" w:name="_Hlk7342650"/>
      <w:r>
        <w:rPr>
          <w:rFonts w:ascii="Arial Black" w:hAnsi="Arial Black"/>
          <w:sz w:val="28"/>
          <w:szCs w:val="28"/>
        </w:rPr>
        <w:t>5-6</w:t>
      </w:r>
      <w:r>
        <w:rPr>
          <w:rFonts w:ascii="Arial Black" w:hAnsi="Arial Black"/>
          <w:sz w:val="28"/>
          <w:szCs w:val="28"/>
        </w:rPr>
        <w:t>5</w:t>
      </w:r>
    </w:p>
    <w:p w14:paraId="58065D71" w14:textId="77777777" w:rsidR="0016116D" w:rsidRPr="00A21FFE" w:rsidRDefault="0016116D" w:rsidP="0016116D">
      <w:pPr>
        <w:pStyle w:val="NoSpacing"/>
        <w:rPr>
          <w:rFonts w:ascii="Arial Black" w:hAnsi="Arial Black"/>
          <w:b/>
          <w:sz w:val="28"/>
          <w:szCs w:val="28"/>
        </w:rPr>
      </w:pPr>
      <w:r>
        <w:rPr>
          <w:rFonts w:ascii="Arial Black" w:hAnsi="Arial Black"/>
          <w:b/>
          <w:sz w:val="28"/>
          <w:szCs w:val="28"/>
        </w:rPr>
        <w:t>TX: DRUNK RUNS INTO FIRETRUCK – 3</w:t>
      </w:r>
      <w:r w:rsidRPr="00A21FFE">
        <w:rPr>
          <w:rFonts w:ascii="Arial Black" w:hAnsi="Arial Black"/>
          <w:b/>
          <w:sz w:val="28"/>
          <w:szCs w:val="28"/>
          <w:vertAlign w:val="superscript"/>
        </w:rPr>
        <w:t>rd</w:t>
      </w:r>
      <w:r>
        <w:rPr>
          <w:rFonts w:ascii="Arial Black" w:hAnsi="Arial Black"/>
          <w:b/>
          <w:sz w:val="28"/>
          <w:szCs w:val="28"/>
        </w:rPr>
        <w:t xml:space="preserve"> CONV. – 50 YEARS</w:t>
      </w:r>
    </w:p>
    <w:p w14:paraId="073BB02A" w14:textId="77777777" w:rsidR="0016116D" w:rsidRDefault="0016116D" w:rsidP="0016116D">
      <w:pPr>
        <w:pStyle w:val="NoSpacing"/>
        <w:rPr>
          <w:b/>
        </w:rPr>
      </w:pPr>
    </w:p>
    <w:p w14:paraId="17E1F541" w14:textId="77777777" w:rsidR="0016116D" w:rsidRDefault="0016116D" w:rsidP="0016116D">
      <w:pPr>
        <w:pStyle w:val="NoSpacing"/>
      </w:pPr>
      <w:r>
        <w:t xml:space="preserve">On June 24, 2026, in </w:t>
      </w:r>
      <w:r w:rsidRPr="005830A9">
        <w:rPr>
          <w:u w:val="single"/>
        </w:rPr>
        <w:t>Dennis Lee Giddings v. The State of Texas</w:t>
      </w:r>
      <w:r>
        <w:t xml:space="preserve">, the </w:t>
      </w:r>
      <w:r w:rsidRPr="005830A9">
        <w:t>Court of Appeals of Texas, Fourth District, San Antonio</w:t>
      </w:r>
      <w:r>
        <w:t xml:space="preserve"> held (3 to 0; unpublished) that jury properly convicted the defendant </w:t>
      </w:r>
      <w:r w:rsidRPr="00D8691B">
        <w:t xml:space="preserve">for driving while intoxicated, </w:t>
      </w:r>
      <w:r>
        <w:t xml:space="preserve">two prior felony convictions, </w:t>
      </w:r>
      <w:r w:rsidRPr="00774DA1">
        <w:t xml:space="preserve">and it assessed his punishment at 50 years' confinement. </w:t>
      </w:r>
      <w:r w:rsidRPr="00766685">
        <w:t xml:space="preserve">The trial court subsequently signed a judgment of conviction that was consistent with the jury's verdict. </w:t>
      </w:r>
      <w:r>
        <w:t>The defendant on appeal argued that the firefighter testified not only what was in his accident report, but also that the defendant was combative – Court rejected this defense. The Court wrote:  “</w:t>
      </w:r>
      <w:r w:rsidRPr="00E378D5">
        <w:t>But the record does not contain any evidence that the</w:t>
      </w:r>
      <w:r>
        <w:t xml:space="preserve"> State knew Gregory planned to testify about the distance between the two vehicles or that Giddings swatted his hand away when he </w:t>
      </w:r>
      <w:proofErr w:type="gramStart"/>
      <w:r>
        <w:t>offered assistance</w:t>
      </w:r>
      <w:proofErr w:type="gramEnd"/>
      <w:r>
        <w:t>. To the contrary, the State affirmatively represented below that it, like Giddings, was hearing those details “for the first time.” Under these circumstances, the trial court did not abuse its discretion by overruling Giddings’s Article 39.14 objection.”</w:t>
      </w:r>
      <w:hyperlink r:id="rId922" w:history="1">
        <w:r w:rsidRPr="00014504">
          <w:rPr>
            <w:rStyle w:val="Hyperlink"/>
          </w:rPr>
          <w:t>https://cases.justia.com/texas/fourth-court-of-appeals/2026-04-25-00487-cr.pdf?ts=1782304969</w:t>
        </w:r>
      </w:hyperlink>
      <w:r>
        <w:t xml:space="preserve"> </w:t>
      </w:r>
    </w:p>
    <w:p w14:paraId="528A88B7" w14:textId="77777777" w:rsidR="0016116D" w:rsidRDefault="0016116D" w:rsidP="0016116D">
      <w:pPr>
        <w:pStyle w:val="NoSpacing"/>
      </w:pPr>
    </w:p>
    <w:p w14:paraId="27ABC6F9" w14:textId="77777777" w:rsidR="0016116D" w:rsidRPr="00503492" w:rsidRDefault="0016116D" w:rsidP="0016116D">
      <w:pPr>
        <w:pStyle w:val="NoSpacing"/>
        <w:rPr>
          <w:b/>
          <w:bCs/>
        </w:rPr>
      </w:pPr>
      <w:r w:rsidRPr="00503492">
        <w:rPr>
          <w:b/>
        </w:rPr>
        <w:t xml:space="preserve">FACTS: </w:t>
      </w:r>
    </w:p>
    <w:p w14:paraId="03FD06EB" w14:textId="77777777" w:rsidR="0016116D" w:rsidRDefault="0016116D" w:rsidP="0016116D">
      <w:pPr>
        <w:pStyle w:val="NoSpacing"/>
      </w:pPr>
    </w:p>
    <w:p w14:paraId="1CFF0B4A" w14:textId="77777777" w:rsidR="0016116D" w:rsidRPr="007F2543" w:rsidRDefault="0016116D" w:rsidP="0016116D">
      <w:pPr>
        <w:pStyle w:val="NoSpacing"/>
      </w:pPr>
      <w:r>
        <w:t>“</w:t>
      </w:r>
      <w:r w:rsidRPr="007F2543">
        <w:t xml:space="preserve">On July 4, 2024, Giddings was involved in an automobile collision with a City of Boerne firetruck. Giddings maintained that the firetruck hit him, while the truck's driver testified that </w:t>
      </w:r>
    </w:p>
    <w:p w14:paraId="7F60C5E9" w14:textId="77777777" w:rsidR="0016116D" w:rsidRDefault="0016116D" w:rsidP="0016116D">
      <w:pPr>
        <w:pStyle w:val="NoSpacing"/>
      </w:pPr>
      <w:r w:rsidRPr="007F2543">
        <w:t xml:space="preserve">Giddings entered his lane and collided with the back of the truck. The police officers who responded to the collision believed Giddings was intoxicated, and they arrested him. A Kendall County grand jury indicted him for driving while intoxicated, third or more. </w:t>
      </w:r>
    </w:p>
    <w:p w14:paraId="3E95660B" w14:textId="77777777" w:rsidR="0016116D" w:rsidRDefault="0016116D" w:rsidP="0016116D">
      <w:pPr>
        <w:pStyle w:val="NoSpacing"/>
      </w:pPr>
    </w:p>
    <w:p w14:paraId="04788B24" w14:textId="77777777" w:rsidR="0016116D" w:rsidRDefault="0016116D" w:rsidP="0016116D">
      <w:pPr>
        <w:pStyle w:val="NoSpacing"/>
      </w:pPr>
      <w:r>
        <w:t>***</w:t>
      </w:r>
    </w:p>
    <w:p w14:paraId="1F7EA112" w14:textId="77777777" w:rsidR="0016116D" w:rsidRDefault="0016116D" w:rsidP="0016116D">
      <w:pPr>
        <w:pStyle w:val="NoSpacing"/>
      </w:pPr>
    </w:p>
    <w:p w14:paraId="57F603D5" w14:textId="77777777" w:rsidR="0016116D" w:rsidRPr="00F503BB" w:rsidRDefault="0016116D" w:rsidP="0016116D">
      <w:pPr>
        <w:pStyle w:val="NoSpacing"/>
      </w:pPr>
      <w:r w:rsidRPr="00F503BB">
        <w:t xml:space="preserve"> Gregory testified without objection that after the collision, he noticed that Giddings's vehicle came to rest </w:t>
      </w:r>
      <w:r>
        <w:t>‘</w:t>
      </w:r>
      <w:r w:rsidRPr="00F503BB">
        <w:t>a substantial distance,</w:t>
      </w:r>
      <w:r>
        <w:t>’</w:t>
      </w:r>
      <w:r w:rsidRPr="00F503BB">
        <w:t xml:space="preserve"> which he estimated to be 1,180 </w:t>
      </w:r>
      <w:proofErr w:type="gramStart"/>
      <w:r w:rsidRPr="00F503BB">
        <w:t>feet,</w:t>
      </w:r>
      <w:proofErr w:type="gramEnd"/>
      <w:r w:rsidRPr="00F503BB">
        <w:t xml:space="preserve"> away from the </w:t>
      </w:r>
    </w:p>
    <w:p w14:paraId="13FDE97C" w14:textId="77777777" w:rsidR="0016116D" w:rsidRDefault="0016116D" w:rsidP="0016116D">
      <w:pPr>
        <w:pStyle w:val="NoSpacing"/>
      </w:pPr>
      <w:r w:rsidRPr="00F503BB">
        <w:t xml:space="preserve">firetruck and the collision site. He explained that the distance between the two vehicles led him to </w:t>
      </w:r>
      <w:proofErr w:type="gramStart"/>
      <w:r w:rsidRPr="00F503BB">
        <w:t xml:space="preserve">believe </w:t>
      </w:r>
      <w:r>
        <w:t>‘</w:t>
      </w:r>
      <w:r w:rsidRPr="00F503BB">
        <w:t>[t]hat</w:t>
      </w:r>
      <w:proofErr w:type="gramEnd"/>
      <w:r w:rsidRPr="00F503BB">
        <w:t xml:space="preserve"> there was a high rate of speed involved from [Giddings's] vehicle to have slid that far or there was just complete lack of control of the vehicle.</w:t>
      </w:r>
      <w:r>
        <w:t>’</w:t>
      </w:r>
      <w:r w:rsidRPr="00F503BB">
        <w:t xml:space="preserve"> He further testified that as he was trying to assess Giddings's physical condition after the collision, Giddings swore at him, ignored his instructions to stay seated until further assistance arrived, and </w:t>
      </w:r>
      <w:r>
        <w:t>‘</w:t>
      </w:r>
      <w:r w:rsidRPr="00F503BB">
        <w:t>swatted [his hand] away</w:t>
      </w:r>
      <w:r>
        <w:t>’</w:t>
      </w:r>
      <w:r w:rsidRPr="00F503BB">
        <w:t xml:space="preserve"> when he tried to help Giddings out of his crashed vehicle. Gregory also testified that he noticed </w:t>
      </w:r>
      <w:r>
        <w:t>‘</w:t>
      </w:r>
      <w:r w:rsidRPr="00F503BB">
        <w:t>a strong smell of alcohol coming from the vehicle.</w:t>
      </w:r>
      <w:r>
        <w:t>’”</w:t>
      </w:r>
    </w:p>
    <w:p w14:paraId="0EF2EB21" w14:textId="77777777" w:rsidR="0016116D" w:rsidRDefault="0016116D" w:rsidP="0016116D">
      <w:pPr>
        <w:pStyle w:val="NoSpacing"/>
      </w:pPr>
    </w:p>
    <w:p w14:paraId="1833037E" w14:textId="77777777" w:rsidR="0016116D" w:rsidRDefault="0016116D" w:rsidP="0016116D">
      <w:pPr>
        <w:pStyle w:val="NoSpacing"/>
        <w:rPr>
          <w:b/>
          <w:bCs/>
        </w:rPr>
      </w:pPr>
      <w:r w:rsidRPr="00193B24">
        <w:rPr>
          <w:b/>
        </w:rPr>
        <w:t xml:space="preserve">COURT HELD: </w:t>
      </w:r>
    </w:p>
    <w:p w14:paraId="7819BC95" w14:textId="77777777" w:rsidR="0016116D" w:rsidRDefault="0016116D" w:rsidP="0016116D">
      <w:pPr>
        <w:pStyle w:val="NoSpacing"/>
        <w:rPr>
          <w:b/>
          <w:bCs/>
        </w:rPr>
      </w:pPr>
    </w:p>
    <w:p w14:paraId="0E6488BB" w14:textId="77777777" w:rsidR="0016116D" w:rsidRDefault="0016116D" w:rsidP="0016116D">
      <w:pPr>
        <w:pStyle w:val="NoSpacing"/>
      </w:pPr>
      <w:r>
        <w:t>“</w:t>
      </w:r>
      <w:r w:rsidRPr="00CF41C3">
        <w:t> In his first issue, Giddings argues the State violated its discovery obligations regarding testimony from Matthew Gregory, the firefighter and EMT who was driving the firetruck and who tried to assess Giddings at the scene. Giddings contends that the State had an obligation to disclose that Gregory's trial testimony would include details not recited in his written EMT report.</w:t>
      </w:r>
    </w:p>
    <w:p w14:paraId="41DE374A" w14:textId="77777777" w:rsidR="0016116D" w:rsidRDefault="0016116D" w:rsidP="0016116D">
      <w:pPr>
        <w:pStyle w:val="NoSpacing"/>
      </w:pPr>
    </w:p>
    <w:p w14:paraId="04FBE50F" w14:textId="77777777" w:rsidR="0016116D" w:rsidRDefault="0016116D" w:rsidP="0016116D">
      <w:pPr>
        <w:pStyle w:val="NoSpacing"/>
      </w:pPr>
      <w:r>
        <w:t>***</w:t>
      </w:r>
    </w:p>
    <w:p w14:paraId="4E8F1563" w14:textId="77777777" w:rsidR="0016116D" w:rsidRDefault="0016116D" w:rsidP="0016116D">
      <w:pPr>
        <w:pStyle w:val="NoSpacing"/>
      </w:pPr>
      <w:r w:rsidRPr="006C238E">
        <w:t>Here, Gregory's testimony about the post-collision distance between the firetruck and Giddings's vehicle was corroborated by Trooper Robert Pennington, who testified that he personally observed both vehicles' positions at the scene. Like Gregory, he explained why the distance stood out to him: The firetruck remained relatively close to the area of impact, which indicated to me a normal reaction. They experienced the impact and brought the vehicle to a stop. And the red sedan [Giddings's vehicle] was a significant distance away from [sic] further down continuing in the direction it was coming from the point of impact, which told me there was either a delayed response to the impact or a failed response to the impact, that the vehicle was not intended to stop.</w:t>
      </w:r>
      <w:r>
        <w:t>”</w:t>
      </w:r>
    </w:p>
    <w:p w14:paraId="623465DB" w14:textId="77777777" w:rsidR="0016116D" w:rsidRDefault="0016116D" w:rsidP="0016116D">
      <w:pPr>
        <w:pStyle w:val="NoSpacing"/>
      </w:pPr>
    </w:p>
    <w:p w14:paraId="0F347C2C" w14:textId="77777777" w:rsidR="0016116D" w:rsidRPr="004E652D" w:rsidRDefault="0016116D" w:rsidP="0016116D">
      <w:pPr>
        <w:pStyle w:val="NoSpacing"/>
        <w:rPr>
          <w:b/>
          <w:bCs/>
        </w:rPr>
      </w:pPr>
      <w:r>
        <w:rPr>
          <w:b/>
        </w:rPr>
        <w:t xml:space="preserve">Legal lesson learned: Firefighter properly testified about conduct of the drunk driver.  </w:t>
      </w:r>
      <w:proofErr w:type="gramStart"/>
      <w:r>
        <w:rPr>
          <w:b/>
        </w:rPr>
        <w:t>Also</w:t>
      </w:r>
      <w:proofErr w:type="gramEnd"/>
      <w:r>
        <w:rPr>
          <w:b/>
        </w:rPr>
        <w:t xml:space="preserve"> in Texas the jury imposes the sentence – in this case, 50 years – confirmed by trial court judge.  </w:t>
      </w:r>
    </w:p>
    <w:p w14:paraId="6B8C4FE4" w14:textId="77777777" w:rsidR="0016116D" w:rsidRDefault="0016116D" w:rsidP="0016116D">
      <w:pPr>
        <w:rPr>
          <w:sz w:val="20"/>
          <w:szCs w:val="20"/>
        </w:rPr>
      </w:pPr>
    </w:p>
    <w:p w14:paraId="00E1C89B" w14:textId="77777777" w:rsidR="0016116D" w:rsidRDefault="0016116D" w:rsidP="0016116D">
      <w:pPr>
        <w:rPr>
          <w:sz w:val="20"/>
          <w:szCs w:val="20"/>
        </w:rPr>
      </w:pPr>
    </w:p>
    <w:p w14:paraId="6E56E459" w14:textId="61784B7D" w:rsidR="00574CD1" w:rsidRDefault="00574CD1" w:rsidP="00574CD1">
      <w:pPr>
        <w:rPr>
          <w:rFonts w:ascii="Arial Black" w:hAnsi="Arial Black"/>
          <w:sz w:val="28"/>
          <w:szCs w:val="28"/>
        </w:rPr>
      </w:pPr>
      <w:r>
        <w:rPr>
          <w:rFonts w:ascii="Arial Black" w:hAnsi="Arial Black"/>
          <w:sz w:val="28"/>
          <w:szCs w:val="28"/>
        </w:rPr>
        <w:t>5-6</w:t>
      </w:r>
      <w:r>
        <w:rPr>
          <w:rFonts w:ascii="Arial Black" w:hAnsi="Arial Black"/>
          <w:sz w:val="28"/>
          <w:szCs w:val="28"/>
        </w:rPr>
        <w:t>4</w:t>
      </w:r>
    </w:p>
    <w:p w14:paraId="6FA9AD31" w14:textId="25C88F00" w:rsidR="0016116D" w:rsidRPr="00BA4DF1" w:rsidRDefault="0016116D" w:rsidP="0016116D">
      <w:pPr>
        <w:rPr>
          <w:rFonts w:ascii="Arial Black" w:hAnsi="Arial Black"/>
          <w:b/>
          <w:sz w:val="28"/>
          <w:szCs w:val="28"/>
        </w:rPr>
      </w:pPr>
      <w:r>
        <w:rPr>
          <w:rFonts w:ascii="Arial Black" w:hAnsi="Arial Black"/>
          <w:b/>
          <w:sz w:val="28"/>
          <w:szCs w:val="28"/>
        </w:rPr>
        <w:t>OH: AMBUL RUNS OVER / KILLS REFUSING PT – CASE GO</w:t>
      </w:r>
    </w:p>
    <w:p w14:paraId="5B662BFB" w14:textId="77777777" w:rsidR="0016116D" w:rsidRPr="00AF1D9B" w:rsidRDefault="0016116D" w:rsidP="0016116D">
      <w:pPr>
        <w:rPr>
          <w:bCs/>
        </w:rPr>
      </w:pPr>
      <w:r>
        <w:t xml:space="preserve">On June 11, 2026, in </w:t>
      </w:r>
      <w:r w:rsidRPr="00AF1D9B">
        <w:rPr>
          <w:u w:val="single"/>
        </w:rPr>
        <w:t>Jessica Formoso v. City of Parma Heights, et al</w:t>
      </w:r>
      <w:r>
        <w:t xml:space="preserve">., the </w:t>
      </w:r>
      <w:r w:rsidRPr="00AF1D9B">
        <w:t>Court of Appeals of Ohio, Eighth District, Cuyahoga</w:t>
      </w:r>
      <w:r>
        <w:t xml:space="preserve"> held (3 to 0) the trial court properly denied the City’s motion to dismiss based on immunity.  The Court wrote: “We find that Formoso has sufficiently pled facts that, if true, could entitle her to relief regarding whether the Emergency Medical Personnel’s actions were negligent as well as whether they rise to the level of willful or wanton misconduct.” </w:t>
      </w:r>
      <w:hyperlink r:id="rId923" w:history="1">
        <w:r w:rsidRPr="00A41B9A">
          <w:rPr>
            <w:rStyle w:val="Hyperlink"/>
          </w:rPr>
          <w:t>https://www.supremecourt.ohio.gov/rod/docs/pdf/8/2026/2026-Ohio-2189.pdf</w:t>
        </w:r>
      </w:hyperlink>
      <w:r>
        <w:t xml:space="preserve"> </w:t>
      </w:r>
    </w:p>
    <w:p w14:paraId="79B22DB2" w14:textId="77777777" w:rsidR="0016116D" w:rsidRDefault="0016116D" w:rsidP="0016116D">
      <w:pPr>
        <w:rPr>
          <w:b/>
        </w:rPr>
      </w:pPr>
      <w:r>
        <w:rPr>
          <w:b/>
        </w:rPr>
        <w:t>FACTS:</w:t>
      </w:r>
    </w:p>
    <w:p w14:paraId="43900CFC" w14:textId="77777777" w:rsidR="0016116D" w:rsidRDefault="0016116D" w:rsidP="0016116D">
      <w:pPr>
        <w:pStyle w:val="NoSpacing"/>
      </w:pPr>
      <w:r>
        <w:t>“Formoso filed this action individually and as administrator of the estate of Gwen Laverne Guerrero, deceased … arising out of the death of her mother Gwen Laverne Guerrero (“Guerrero”). Formoso claimed that Guerrero died after she was run over by an ambulance</w:t>
      </w:r>
    </w:p>
    <w:p w14:paraId="084EFB30" w14:textId="77777777" w:rsidR="0016116D" w:rsidRDefault="0016116D" w:rsidP="0016116D">
      <w:pPr>
        <w:pStyle w:val="NoSpacing"/>
      </w:pPr>
      <w:r>
        <w:t xml:space="preserve">operated by the </w:t>
      </w:r>
      <w:proofErr w:type="gramStart"/>
      <w:r>
        <w:t>City</w:t>
      </w:r>
      <w:proofErr w:type="gramEnd"/>
      <w:r>
        <w:t>.</w:t>
      </w:r>
    </w:p>
    <w:p w14:paraId="59071988" w14:textId="77777777" w:rsidR="0016116D" w:rsidRDefault="0016116D" w:rsidP="0016116D">
      <w:pPr>
        <w:pStyle w:val="NoSpacing"/>
      </w:pPr>
    </w:p>
    <w:p w14:paraId="006B5FFC" w14:textId="77777777" w:rsidR="0016116D" w:rsidRDefault="0016116D" w:rsidP="0016116D">
      <w:pPr>
        <w:pStyle w:val="NoSpacing"/>
      </w:pPr>
      <w:r>
        <w:t>***</w:t>
      </w:r>
    </w:p>
    <w:p w14:paraId="324DF767" w14:textId="77777777" w:rsidR="0016116D" w:rsidRDefault="0016116D" w:rsidP="0016116D">
      <w:pPr>
        <w:pStyle w:val="NoSpacing"/>
      </w:pPr>
      <w:r>
        <w:t>On June 17, 2023, Parma Heights Police responded to a request for a welfare check of</w:t>
      </w:r>
    </w:p>
    <w:p w14:paraId="7418EE60" w14:textId="77777777" w:rsidR="0016116D" w:rsidRDefault="0016116D" w:rsidP="0016116D">
      <w:pPr>
        <w:pStyle w:val="NoSpacing"/>
      </w:pPr>
      <w:r>
        <w:t xml:space="preserve">Guerrero by a resident of her apartment complex over concerns of a possible head injury. Parma Heights police officers </w:t>
      </w:r>
      <w:proofErr w:type="spellStart"/>
      <w:r>
        <w:t>Percun</w:t>
      </w:r>
      <w:proofErr w:type="spellEnd"/>
      <w:r>
        <w:t xml:space="preserve"> and Smith (collectively, the “Officers”) responded to Guerrero’s apartment, ultimately kicked down her door to gain entry, and observed her lying on her bed with a large bruise on her face. Based on Guerrero’s behavior, the Officers contacted the Fire Department to request that ‘medical personnel provide care’ to Guerrero. When they arrived on scene, Hanzel and Lane … advised the Officers that they were familiar with Guerrero and had responded to her apartment in the past. They also told the Officers that ‘it was extremely difficult to establish a baseline with her because her behavior is always different.’</w:t>
      </w:r>
    </w:p>
    <w:p w14:paraId="7B7DDAE9" w14:textId="77777777" w:rsidR="0016116D" w:rsidRDefault="0016116D" w:rsidP="0016116D">
      <w:pPr>
        <w:pStyle w:val="NoSpacing"/>
      </w:pPr>
    </w:p>
    <w:p w14:paraId="264412CF" w14:textId="77777777" w:rsidR="0016116D" w:rsidRDefault="0016116D" w:rsidP="0016116D">
      <w:pPr>
        <w:pStyle w:val="NoSpacing"/>
      </w:pPr>
      <w:r>
        <w:t xml:space="preserve">The Emergency Medical Personnel examined and questioned Guerrero. They found her unstable on her feet, confused, evasive, and irritated. Hanzel ‘had to catch [Guerrero] as [she] was falling’ and noted that ‘she has a history of falls.’ The Emergency Medical Personnel advised Guerrero to go to the hospital with </w:t>
      </w:r>
      <w:proofErr w:type="gramStart"/>
      <w:r>
        <w:t>them, ‘</w:t>
      </w:r>
      <w:proofErr w:type="gramEnd"/>
      <w:r>
        <w:t>as they were concerned with her status and head injury.’ Guerrero refused.</w:t>
      </w:r>
    </w:p>
    <w:p w14:paraId="1C9253E9" w14:textId="77777777" w:rsidR="0016116D" w:rsidRDefault="0016116D" w:rsidP="0016116D">
      <w:pPr>
        <w:pStyle w:val="NoSpacing"/>
      </w:pPr>
    </w:p>
    <w:p w14:paraId="34A9DAC7" w14:textId="77777777" w:rsidR="0016116D" w:rsidRDefault="0016116D" w:rsidP="0016116D">
      <w:pPr>
        <w:pStyle w:val="NoSpacing"/>
      </w:pPr>
      <w:r>
        <w:t>After Guerrero refused treatment, both the Officers and the Emergency Medical Personnel left her residence and provided no additional care. The Emergency Medical Personnel indicated that when they left, Guerrero was outside the door to her apartment, complaining about her door being broken and fixing her rug.</w:t>
      </w:r>
    </w:p>
    <w:p w14:paraId="733AC28E" w14:textId="77777777" w:rsidR="0016116D" w:rsidRDefault="0016116D" w:rsidP="0016116D">
      <w:pPr>
        <w:pStyle w:val="NoSpacing"/>
      </w:pPr>
    </w:p>
    <w:p w14:paraId="3046BF9E" w14:textId="77777777" w:rsidR="0016116D" w:rsidRDefault="0016116D" w:rsidP="0016116D">
      <w:pPr>
        <w:pStyle w:val="NoSpacing"/>
      </w:pPr>
      <w:r>
        <w:t>While the Emergency Medical Personnel were still on the property of the apartment complex, but preparing to leave, Guerrero came out of the front entrance of her apartment and went to speak with the Emergency Medical Personnel. Despite Guerrero attempting to get the attention of the Emergency Medical Personnel by ‘pounding on the side of the ambulance,’ the ambulance,</w:t>
      </w:r>
    </w:p>
    <w:p w14:paraId="2531D7F5" w14:textId="77777777" w:rsidR="0016116D" w:rsidRDefault="0016116D" w:rsidP="0016116D">
      <w:pPr>
        <w:pStyle w:val="NoSpacing"/>
      </w:pPr>
      <w:r>
        <w:t>driven by Hanzel, ‘rapidly drove off . . . causing Guerrero to fall” and be run over by the ambulance, instantly killing her.”</w:t>
      </w:r>
    </w:p>
    <w:p w14:paraId="04369764" w14:textId="77777777" w:rsidR="0016116D" w:rsidRDefault="0016116D" w:rsidP="0016116D">
      <w:pPr>
        <w:pStyle w:val="NoSpacing"/>
      </w:pPr>
    </w:p>
    <w:p w14:paraId="3D5A9272" w14:textId="77777777" w:rsidR="0016116D" w:rsidRDefault="0016116D" w:rsidP="0016116D">
      <w:pPr>
        <w:pStyle w:val="NoSpacing"/>
      </w:pPr>
    </w:p>
    <w:p w14:paraId="56B10551" w14:textId="77777777" w:rsidR="0016116D" w:rsidRPr="00166644" w:rsidRDefault="0016116D" w:rsidP="0016116D">
      <w:pPr>
        <w:pStyle w:val="NoSpacing"/>
        <w:rPr>
          <w:b/>
          <w:bCs/>
        </w:rPr>
      </w:pPr>
      <w:r w:rsidRPr="00166644">
        <w:rPr>
          <w:b/>
        </w:rPr>
        <w:t>COURT HELD:</w:t>
      </w:r>
    </w:p>
    <w:p w14:paraId="6025CF76" w14:textId="77777777" w:rsidR="0016116D" w:rsidRDefault="0016116D" w:rsidP="0016116D">
      <w:pPr>
        <w:pStyle w:val="NoSpacing"/>
      </w:pPr>
    </w:p>
    <w:p w14:paraId="2594D64F" w14:textId="77777777" w:rsidR="0016116D" w:rsidRDefault="0016116D" w:rsidP="0016116D">
      <w:pPr>
        <w:pStyle w:val="NoSpacing"/>
      </w:pPr>
      <w:r>
        <w:t>“We find that Formoso has sufficiently pled facts that, if true, could entitle her to relief regarding whether the Emergency Medical Personnel’s actions were negligent as well as whether they rise to the level of willful or wanton misconduct. Specifically, Formoso alleged that Guerrero was ‘pounding on the side of the ambulance” when the Emergency Medical Personnel, who had previously observed her to be confused and unstable, caused her to fall and then ran her over</w:t>
      </w:r>
    </w:p>
    <w:p w14:paraId="59EE5284" w14:textId="77777777" w:rsidR="0016116D" w:rsidRDefault="0016116D" w:rsidP="0016116D">
      <w:pPr>
        <w:pStyle w:val="NoSpacing"/>
      </w:pPr>
      <w:r>
        <w:t>while rapidly driving away. We, therefore, overrule the appellants’ assignment of error with respect to the City’s liability for damages relating to the ambulance running over Guerrero.”</w:t>
      </w:r>
    </w:p>
    <w:p w14:paraId="26E0662D" w14:textId="77777777" w:rsidR="0016116D" w:rsidRDefault="0016116D" w:rsidP="0016116D">
      <w:pPr>
        <w:pStyle w:val="NoSpacing"/>
      </w:pPr>
    </w:p>
    <w:p w14:paraId="09BC861F" w14:textId="77777777" w:rsidR="0016116D" w:rsidRPr="00F93752" w:rsidRDefault="0016116D" w:rsidP="0016116D">
      <w:pPr>
        <w:pStyle w:val="NoSpacing"/>
        <w:rPr>
          <w:b/>
          <w:bCs/>
        </w:rPr>
      </w:pPr>
      <w:r w:rsidRPr="00F93752">
        <w:rPr>
          <w:b/>
        </w:rPr>
        <w:t xml:space="preserve">Legal lesson learned: </w:t>
      </w:r>
      <w:r>
        <w:rPr>
          <w:b/>
        </w:rPr>
        <w:t xml:space="preserve">Tragic set of facts; City should consider a for settlement. </w:t>
      </w:r>
    </w:p>
    <w:p w14:paraId="20720877" w14:textId="77777777" w:rsidR="0016116D" w:rsidRPr="00F93752" w:rsidRDefault="0016116D" w:rsidP="0016116D">
      <w:pPr>
        <w:pStyle w:val="NoSpacing"/>
        <w:rPr>
          <w:b/>
          <w:bCs/>
        </w:rPr>
      </w:pPr>
    </w:p>
    <w:p w14:paraId="5EEEE3BA" w14:textId="77777777" w:rsidR="0016116D" w:rsidRDefault="0016116D" w:rsidP="00CA01BF">
      <w:pPr>
        <w:rPr>
          <w:rFonts w:ascii="Arial Black" w:hAnsi="Arial Black"/>
          <w:sz w:val="28"/>
          <w:szCs w:val="28"/>
        </w:rPr>
      </w:pPr>
    </w:p>
    <w:p w14:paraId="4B0BC0B8" w14:textId="77777777" w:rsidR="0016116D" w:rsidRDefault="0016116D" w:rsidP="00CA01BF">
      <w:pPr>
        <w:rPr>
          <w:rFonts w:ascii="Arial Black" w:hAnsi="Arial Black"/>
          <w:sz w:val="28"/>
          <w:szCs w:val="28"/>
        </w:rPr>
      </w:pPr>
    </w:p>
    <w:p w14:paraId="50CCB346" w14:textId="77777777" w:rsidR="0016116D" w:rsidRDefault="0016116D" w:rsidP="00CA01BF">
      <w:pPr>
        <w:rPr>
          <w:rFonts w:ascii="Arial Black" w:hAnsi="Arial Black"/>
          <w:sz w:val="28"/>
          <w:szCs w:val="28"/>
        </w:rPr>
      </w:pPr>
    </w:p>
    <w:p w14:paraId="35768A98" w14:textId="1CED25B8" w:rsidR="00CA01BF" w:rsidRDefault="00CA01BF" w:rsidP="00CA01BF">
      <w:pPr>
        <w:rPr>
          <w:rFonts w:ascii="Arial Black" w:hAnsi="Arial Black"/>
          <w:sz w:val="28"/>
          <w:szCs w:val="28"/>
        </w:rPr>
      </w:pPr>
      <w:r>
        <w:rPr>
          <w:rFonts w:ascii="Arial Black" w:hAnsi="Arial Black"/>
          <w:sz w:val="28"/>
          <w:szCs w:val="28"/>
        </w:rPr>
        <w:t>5-63</w:t>
      </w:r>
    </w:p>
    <w:p w14:paraId="20AD16C5" w14:textId="45FA7C12" w:rsidR="00CA01BF" w:rsidRPr="00BA5B26" w:rsidRDefault="00CA01BF" w:rsidP="00CA01BF">
      <w:pPr>
        <w:rPr>
          <w:rFonts w:ascii="Arial Black" w:hAnsi="Arial Black"/>
          <w:sz w:val="28"/>
          <w:szCs w:val="28"/>
        </w:rPr>
      </w:pPr>
      <w:r>
        <w:rPr>
          <w:rFonts w:ascii="Arial Black" w:hAnsi="Arial Black"/>
          <w:sz w:val="28"/>
          <w:szCs w:val="28"/>
        </w:rPr>
        <w:t xml:space="preserve">TX: AERIAL – GROCERIES / BACKED CAR – FD “ON DUTY” </w:t>
      </w:r>
    </w:p>
    <w:p w14:paraId="2B4F3BB0" w14:textId="77777777" w:rsidR="00CA01BF" w:rsidRDefault="00CA01BF" w:rsidP="00CA01BF">
      <w:pPr>
        <w:pStyle w:val="NoSpacing"/>
        <w:rPr>
          <w:bCs/>
        </w:rPr>
      </w:pPr>
      <w:r>
        <w:t xml:space="preserve">On March 24, 2026, in </w:t>
      </w:r>
      <w:r w:rsidRPr="00C970B8">
        <w:rPr>
          <w:u w:val="single"/>
        </w:rPr>
        <w:t>The City of Houston v. Hollis F. Holmes</w:t>
      </w:r>
      <w:r>
        <w:t xml:space="preserve">, the </w:t>
      </w:r>
      <w:r w:rsidRPr="00C970B8">
        <w:t>Court of Appeals of Texas, First District</w:t>
      </w:r>
      <w:r>
        <w:t xml:space="preserve"> held (3 to 0) that trial court properly held that the four firefighters were on duty when picking up groceries for their shift, and therefore the City can be sued for damage to plaintiff’s car when they backed into her.  </w:t>
      </w:r>
      <w:hyperlink r:id="rId924" w:history="1">
        <w:r w:rsidRPr="00682DA7">
          <w:rPr>
            <w:rStyle w:val="Hyperlink"/>
          </w:rPr>
          <w:t>https://cases.justia.com/texas/first-court-of-appeals/2026-01-25-00359-cv.pdf?ts=1774367002</w:t>
        </w:r>
      </w:hyperlink>
      <w:r>
        <w:t xml:space="preserve"> </w:t>
      </w:r>
    </w:p>
    <w:p w14:paraId="19B1AAA7" w14:textId="77777777" w:rsidR="00CA01BF" w:rsidRDefault="00CA01BF" w:rsidP="00CA01BF">
      <w:pPr>
        <w:pStyle w:val="NoSpacing"/>
        <w:rPr>
          <w:bCs/>
        </w:rPr>
      </w:pPr>
    </w:p>
    <w:p w14:paraId="4FEC88BB" w14:textId="77777777" w:rsidR="00CA01BF" w:rsidRDefault="00CA01BF" w:rsidP="00CA01BF">
      <w:pPr>
        <w:pStyle w:val="NoSpacing"/>
        <w:rPr>
          <w:bCs/>
        </w:rPr>
      </w:pPr>
      <w:r>
        <w:t xml:space="preserve">THE COURT HELD: </w:t>
      </w:r>
    </w:p>
    <w:p w14:paraId="40465363" w14:textId="77777777" w:rsidR="00CA01BF" w:rsidRDefault="00CA01BF" w:rsidP="00CA01BF">
      <w:pPr>
        <w:pStyle w:val="NoSpacing"/>
        <w:rPr>
          <w:bCs/>
        </w:rPr>
      </w:pPr>
    </w:p>
    <w:p w14:paraId="64F9D48E" w14:textId="77777777" w:rsidR="00CA01BF" w:rsidRDefault="00CA01BF" w:rsidP="00CA01BF">
      <w:pPr>
        <w:pStyle w:val="NoSpacing"/>
        <w:ind w:left="720"/>
      </w:pPr>
      <w:r>
        <w:t>“</w:t>
      </w:r>
      <w:r w:rsidRPr="00377F72">
        <w:t>On September 11, 2022, at approximately 11 a.m., Houston firefighter Eugene Schifani drove a Houston Fire Department (</w:t>
      </w:r>
      <w:r>
        <w:t>‘</w:t>
      </w:r>
      <w:r w:rsidRPr="00377F72">
        <w:t>HFD</w:t>
      </w:r>
      <w:r>
        <w:t>’</w:t>
      </w:r>
      <w:r w:rsidRPr="00377F72">
        <w:t xml:space="preserve">) ladder truck to an H-E-B grocery store in Houston, Texas with three other firefighters on board. </w:t>
      </w:r>
      <w:proofErr w:type="spellStart"/>
      <w:r w:rsidRPr="00377F72">
        <w:t>Schifani</w:t>
      </w:r>
      <w:proofErr w:type="spellEnd"/>
      <w:r w:rsidRPr="00377F72">
        <w:t xml:space="preserve"> and firefighter Troy Dornak waited in the fire truck with its engine running while the two other firefighters went inside the grocery store to purchase groceries for the fire station's crew to eat during their twenty-four-hour shift. According to Schifani, the fire truck's engine remained running during the forty-five minutes the two firefighters were in the store </w:t>
      </w:r>
      <w:r>
        <w:t>‘</w:t>
      </w:r>
      <w:r w:rsidRPr="00377F72">
        <w:t>just in case we got an emergency call for a ladder truck while on our grocery run.</w:t>
      </w:r>
      <w:r>
        <w:t>’</w:t>
      </w:r>
    </w:p>
    <w:p w14:paraId="5F5C3263" w14:textId="77777777" w:rsidR="00CA01BF" w:rsidRDefault="00CA01BF" w:rsidP="00CA01BF">
      <w:pPr>
        <w:pStyle w:val="NoSpacing"/>
        <w:ind w:left="720"/>
      </w:pPr>
    </w:p>
    <w:p w14:paraId="6F05E1E5" w14:textId="77777777" w:rsidR="00CA01BF" w:rsidRDefault="00CA01BF" w:rsidP="00CA01BF">
      <w:pPr>
        <w:pStyle w:val="NoSpacing"/>
        <w:ind w:left="720"/>
      </w:pPr>
      <w:r>
        <w:t>***</w:t>
      </w:r>
    </w:p>
    <w:p w14:paraId="4FB7F78A" w14:textId="77777777" w:rsidR="00CA01BF" w:rsidRDefault="00CA01BF" w:rsidP="00CA01BF">
      <w:pPr>
        <w:pStyle w:val="NoSpacing"/>
        <w:ind w:left="720"/>
      </w:pPr>
      <w:r w:rsidRPr="003D28DE">
        <w:t xml:space="preserve">The groceries were purchased </w:t>
      </w:r>
      <w:r>
        <w:t>‘</w:t>
      </w:r>
      <w:r w:rsidRPr="003D28DE">
        <w:t xml:space="preserve">to be prepared at the station for lunch, dinner and breakfast the next day. We have twelve firefighters at Station 62 for the shift. Each firefighter chips in $25.00, so we [have] $300.00 to buy groceries for three </w:t>
      </w:r>
      <w:proofErr w:type="gramStart"/>
      <w:r w:rsidRPr="003D28DE">
        <w:t>really substantial</w:t>
      </w:r>
      <w:proofErr w:type="gramEnd"/>
      <w:r w:rsidRPr="003D28DE">
        <w:t xml:space="preserve"> meals.</w:t>
      </w:r>
      <w:r>
        <w:t>’</w:t>
      </w:r>
    </w:p>
    <w:p w14:paraId="5FA051F5" w14:textId="77777777" w:rsidR="00CA01BF" w:rsidRDefault="00CA01BF" w:rsidP="00CA01BF">
      <w:pPr>
        <w:pStyle w:val="NoSpacing"/>
        <w:ind w:left="720"/>
      </w:pPr>
    </w:p>
    <w:p w14:paraId="24750244" w14:textId="77777777" w:rsidR="00CA01BF" w:rsidRDefault="00CA01BF" w:rsidP="00CA01BF">
      <w:pPr>
        <w:pStyle w:val="NoSpacing"/>
        <w:ind w:left="720"/>
      </w:pPr>
      <w:r>
        <w:t>***</w:t>
      </w:r>
    </w:p>
    <w:p w14:paraId="37E4B183" w14:textId="77777777" w:rsidR="00CA01BF" w:rsidRDefault="00CA01BF" w:rsidP="00CA01BF">
      <w:pPr>
        <w:pStyle w:val="NoSpacing"/>
        <w:ind w:left="720"/>
      </w:pPr>
      <w:r>
        <w:t xml:space="preserve">The </w:t>
      </w:r>
      <w:proofErr w:type="gramStart"/>
      <w:r>
        <w:t>City</w:t>
      </w:r>
      <w:proofErr w:type="gramEnd"/>
      <w:r>
        <w:t xml:space="preserve"> pled in its answer, among other things, that governmental immunity barred Holmes’ claims…. In its summary judgment reply, the </w:t>
      </w:r>
      <w:proofErr w:type="gramStart"/>
      <w:r>
        <w:t>City</w:t>
      </w:r>
      <w:proofErr w:type="gramEnd"/>
      <w:r>
        <w:t xml:space="preserve"> argued </w:t>
      </w:r>
      <w:proofErr w:type="gramStart"/>
      <w:r>
        <w:t>that ‘[</w:t>
      </w:r>
      <w:proofErr w:type="gramEnd"/>
      <w:r>
        <w:t xml:space="preserve">c]o-workers tasked by other co-workers to buy groceries during the shift and every shift does not make the errand in the scope of employment;’ going to purchase groceries in </w:t>
      </w:r>
      <w:proofErr w:type="gramStart"/>
      <w:r>
        <w:t>a</w:t>
      </w:r>
      <w:proofErr w:type="gramEnd"/>
      <w:r>
        <w:t xml:space="preserve"> HFD</w:t>
      </w:r>
    </w:p>
    <w:p w14:paraId="5B7ABB04" w14:textId="77777777" w:rsidR="00CA01BF" w:rsidRDefault="00CA01BF" w:rsidP="00CA01BF">
      <w:pPr>
        <w:pStyle w:val="NoSpacing"/>
        <w:ind w:left="720"/>
      </w:pPr>
      <w:r>
        <w:t>ladder truck does not turn the errand into a ‘scope of employment endeavor;’ the</w:t>
      </w:r>
    </w:p>
    <w:p w14:paraId="0E656CC9" w14:textId="77777777" w:rsidR="00CA01BF" w:rsidRDefault="00CA01BF" w:rsidP="00CA01BF">
      <w:pPr>
        <w:pStyle w:val="NoSpacing"/>
        <w:ind w:left="720"/>
      </w:pPr>
      <w:r>
        <w:t>City does not derive benefit from the grocery run; and the grocery run was not in</w:t>
      </w:r>
    </w:p>
    <w:p w14:paraId="640B16CF" w14:textId="77777777" w:rsidR="00CA01BF" w:rsidRDefault="00CA01BF" w:rsidP="00CA01BF">
      <w:pPr>
        <w:pStyle w:val="NoSpacing"/>
        <w:ind w:left="720"/>
      </w:pPr>
      <w:r>
        <w:t>furtherance of the City’s business.</w:t>
      </w:r>
    </w:p>
    <w:p w14:paraId="18770175" w14:textId="77777777" w:rsidR="00CA01BF" w:rsidRDefault="00CA01BF" w:rsidP="00CA01BF">
      <w:pPr>
        <w:pStyle w:val="NoSpacing"/>
        <w:ind w:left="720"/>
      </w:pPr>
    </w:p>
    <w:p w14:paraId="287F9B74" w14:textId="77777777" w:rsidR="00CA01BF" w:rsidRDefault="00CA01BF" w:rsidP="00CA01BF">
      <w:pPr>
        <w:pStyle w:val="NoSpacing"/>
        <w:ind w:left="720"/>
      </w:pPr>
      <w:r>
        <w:t>***</w:t>
      </w:r>
    </w:p>
    <w:p w14:paraId="427B8296" w14:textId="77777777" w:rsidR="00CA01BF" w:rsidRDefault="00CA01BF" w:rsidP="00CA01BF">
      <w:pPr>
        <w:pStyle w:val="NoSpacing"/>
        <w:ind w:left="720"/>
      </w:pPr>
      <w:r>
        <w:t xml:space="preserve">The grocery trip was not made to purchase </w:t>
      </w:r>
      <w:proofErr w:type="spellStart"/>
      <w:r>
        <w:t>Schifani’s</w:t>
      </w:r>
      <w:proofErr w:type="spellEnd"/>
      <w:r>
        <w:t xml:space="preserve"> own personal groceries, or even just for those four firefighters with him at the store, but for the entire on-duty crew. Given that he was required to remain ready and able to cover any emergency that arose during the grocery run, there is at least a fact question as to whether he was acting in the course and scope of his employment when the fire truck struck Holmes’ car…. We affirm the trial court’s denial of the City of Houston’s motion for summary judgment.”</w:t>
      </w:r>
    </w:p>
    <w:p w14:paraId="174D9F58" w14:textId="77777777" w:rsidR="00CA01BF" w:rsidRDefault="00CA01BF" w:rsidP="00CA01BF">
      <w:pPr>
        <w:pStyle w:val="NoSpacing"/>
        <w:ind w:left="720"/>
      </w:pPr>
    </w:p>
    <w:p w14:paraId="17E6A732" w14:textId="77777777" w:rsidR="00CA01BF" w:rsidRPr="006F3C84" w:rsidRDefault="00CA01BF" w:rsidP="00CA01BF">
      <w:pPr>
        <w:rPr>
          <w:b/>
          <w:bCs/>
        </w:rPr>
      </w:pPr>
      <w:r>
        <w:rPr>
          <w:b/>
        </w:rPr>
        <w:t xml:space="preserve">Legal lesson learned: Grocery runs are part of the “course and scope of duties” of the engineer who back the aerial into her vehicle; the City’s motion for summary judgement was properly denied. </w:t>
      </w:r>
    </w:p>
    <w:p w14:paraId="06A8F3CC" w14:textId="77777777" w:rsidR="00CA01BF" w:rsidRPr="008C12EA" w:rsidRDefault="00CA01BF" w:rsidP="00CA01BF">
      <w:pPr>
        <w:pStyle w:val="NoSpacing"/>
      </w:pPr>
    </w:p>
    <w:p w14:paraId="7906B0AC" w14:textId="77777777" w:rsidR="00CA01BF" w:rsidRDefault="00CA01BF" w:rsidP="000C62A1">
      <w:pPr>
        <w:pStyle w:val="NoSpacing"/>
        <w:rPr>
          <w:rFonts w:ascii="Arial Black" w:hAnsi="Arial Black"/>
          <w:sz w:val="28"/>
          <w:szCs w:val="28"/>
        </w:rPr>
      </w:pPr>
    </w:p>
    <w:p w14:paraId="7E10E3DB" w14:textId="77777777" w:rsidR="00CA01BF" w:rsidRDefault="00CA01BF" w:rsidP="000C62A1">
      <w:pPr>
        <w:pStyle w:val="NoSpacing"/>
        <w:rPr>
          <w:rFonts w:ascii="Arial Black" w:hAnsi="Arial Black"/>
          <w:sz w:val="28"/>
          <w:szCs w:val="28"/>
        </w:rPr>
      </w:pPr>
    </w:p>
    <w:p w14:paraId="1743D773" w14:textId="77777777" w:rsidR="00CA01BF" w:rsidRDefault="00CA01BF" w:rsidP="000C62A1">
      <w:pPr>
        <w:pStyle w:val="NoSpacing"/>
        <w:rPr>
          <w:rFonts w:ascii="Arial Black" w:hAnsi="Arial Black"/>
          <w:sz w:val="28"/>
          <w:szCs w:val="28"/>
        </w:rPr>
      </w:pPr>
    </w:p>
    <w:p w14:paraId="75FE50BD" w14:textId="690245FD" w:rsidR="00B63DAD" w:rsidRDefault="00B63DAD" w:rsidP="000C62A1">
      <w:pPr>
        <w:pStyle w:val="NoSpacing"/>
        <w:rPr>
          <w:rFonts w:ascii="Arial Black" w:hAnsi="Arial Black"/>
          <w:sz w:val="28"/>
          <w:szCs w:val="28"/>
        </w:rPr>
      </w:pPr>
      <w:r>
        <w:rPr>
          <w:rFonts w:ascii="Arial Black" w:hAnsi="Arial Black"/>
          <w:sz w:val="28"/>
          <w:szCs w:val="28"/>
        </w:rPr>
        <w:t>5-62</w:t>
      </w:r>
    </w:p>
    <w:p w14:paraId="3CDAD1B5" w14:textId="77777777" w:rsidR="00B63DAD" w:rsidRDefault="00B63DAD" w:rsidP="000C62A1">
      <w:pPr>
        <w:pStyle w:val="NoSpacing"/>
        <w:rPr>
          <w:rFonts w:ascii="Arial Black" w:hAnsi="Arial Black"/>
          <w:sz w:val="28"/>
          <w:szCs w:val="28"/>
        </w:rPr>
      </w:pPr>
    </w:p>
    <w:p w14:paraId="402F8CA4" w14:textId="77777777" w:rsidR="00C24BBC" w:rsidRDefault="00C24BBC" w:rsidP="00C24BBC">
      <w:pPr>
        <w:pStyle w:val="NoSpacing"/>
        <w:rPr>
          <w:rFonts w:ascii="Arial Black" w:hAnsi="Arial Black"/>
          <w:sz w:val="28"/>
          <w:szCs w:val="28"/>
        </w:rPr>
      </w:pPr>
      <w:r>
        <w:rPr>
          <w:rFonts w:ascii="Arial Black" w:hAnsi="Arial Black"/>
          <w:sz w:val="28"/>
          <w:szCs w:val="28"/>
        </w:rPr>
        <w:t xml:space="preserve">NY: MEDIC REPORTED EMT SPEEDING – NEXT DAY RADAR </w:t>
      </w:r>
    </w:p>
    <w:p w14:paraId="7B3333FC" w14:textId="77777777" w:rsidR="00C24BBC" w:rsidRDefault="00C24BBC" w:rsidP="00C24BBC">
      <w:pPr>
        <w:pStyle w:val="NoSpacing"/>
        <w:rPr>
          <w:rFonts w:ascii="Arial Black" w:hAnsi="Arial Black"/>
          <w:sz w:val="28"/>
          <w:szCs w:val="28"/>
        </w:rPr>
      </w:pPr>
    </w:p>
    <w:p w14:paraId="765E4487" w14:textId="77777777" w:rsidR="00C24BBC" w:rsidRDefault="00C24BBC" w:rsidP="00C24BBC">
      <w:pPr>
        <w:pStyle w:val="NoSpacing"/>
      </w:pPr>
      <w:r>
        <w:t xml:space="preserve">On February 26, 2026, in </w:t>
      </w:r>
      <w:r w:rsidRPr="00E713AD">
        <w:rPr>
          <w:u w:val="single"/>
        </w:rPr>
        <w:t>Robert Kuiken v. County of Hamilton, Michael Tracy, et al</w:t>
      </w:r>
      <w:r>
        <w:t xml:space="preserve">., U.S. District Court Judge </w:t>
      </w:r>
      <w:r w:rsidRPr="009F0088">
        <w:t>Anthony Brindisi</w:t>
      </w:r>
      <w:r>
        <w:t xml:space="preserve">, United States District Court for Northern District of New York, granted the defense motion for summary judgment. The 82-year-old volunteer EMT was observed speeding and crossing center line in his personal vehicle (with a green “courtesy” light). by a Paramedic (“critical care technician”) responding from another department.  The Medic reported this to volunteer’s </w:t>
      </w:r>
      <w:proofErr w:type="gramStart"/>
      <w:r>
        <w:t>department, and</w:t>
      </w:r>
      <w:proofErr w:type="gramEnd"/>
      <w:r>
        <w:t xml:space="preserve"> made a complaint to a Deputy Sheriff.  The next day, the Deputy was running radar and recorded the EMT speeding in his private vehicle on another run and issued a citation. Court rejected plaintiff’s claim of “selective prosecution” – claiming the critical care technician falsely accused the volunteer of driving recklessly, and that the Deputy “selectively enforced vehicle and traffic laws against plaintiff the next day by charging him with traffic offenses based on false accusations.” </w:t>
      </w:r>
    </w:p>
    <w:p w14:paraId="1977E429" w14:textId="77777777" w:rsidR="00C24BBC" w:rsidRPr="00671B60" w:rsidRDefault="00C24BBC" w:rsidP="00C24BBC">
      <w:pPr>
        <w:pStyle w:val="NoSpacing"/>
      </w:pPr>
      <w:hyperlink r:id="rId925" w:history="1">
        <w:r w:rsidRPr="00671B60">
          <w:rPr>
            <w:rStyle w:val="Hyperlink"/>
          </w:rPr>
          <w:t>https://cases.justia.com/federal/district-courts/new-york/nyndce/6:2022cv01157/135604/81/0.pdf?ts=1772211450</w:t>
        </w:r>
      </w:hyperlink>
      <w:r w:rsidRPr="00671B60">
        <w:t xml:space="preserve"> </w:t>
      </w:r>
    </w:p>
    <w:p w14:paraId="2778A8C7" w14:textId="77777777" w:rsidR="00C24BBC" w:rsidRPr="00671B60" w:rsidRDefault="00C24BBC" w:rsidP="00C24BBC">
      <w:pPr>
        <w:pStyle w:val="NoSpacing"/>
      </w:pPr>
    </w:p>
    <w:p w14:paraId="5AEF9064" w14:textId="77777777" w:rsidR="00C24BBC" w:rsidRDefault="00C24BBC" w:rsidP="00C24BBC">
      <w:pPr>
        <w:pStyle w:val="NoSpacing"/>
      </w:pPr>
      <w:r>
        <w:t>The COURT HELD:  “On July 17, 2021, Tracy [</w:t>
      </w:r>
      <w:r w:rsidRPr="0077409C">
        <w:t>Michael Tracy</w:t>
      </w:r>
      <w:r>
        <w:t>; critical care technician and supervisor with the Greater  Amsterdam Volunteer Ambulance Corps] filed a complaint with Deputy O’Brien regarding plaintiff’s allegedly unsafe driving earlier that day…. Though Tracy indicated that he wanted to pursue a criminal complaint against plaintiff … the Deputy defendants informed Tracy that the Sheriff’s Office could not file charges based on Tracy’s allegations. The next day, Deputy Loomis ticketed plaintiff for speeding and for failing to comply with a lawful order….  It is undisputed that Deputy Loomis observed plaintiff speeding and witnessed him drive away from a traffic stop [</w:t>
      </w:r>
      <w:proofErr w:type="gramStart"/>
      <w:r>
        <w:t>continued on</w:t>
      </w:r>
      <w:proofErr w:type="gramEnd"/>
      <w:r>
        <w:t xml:space="preserve"> to EMS call location] on July 18, 2021…. Just as the Deputy defendants exercised independent judgment in declining to prosecute plaintiff based on Tracy’s complaint, the undisputed evidence establishes that Deputy Loomis decided to pull plaintiff over only after observing him speeding and confirming that observation with a radar.</w:t>
      </w:r>
    </w:p>
    <w:p w14:paraId="33832BB7" w14:textId="77777777" w:rsidR="00C24BBC" w:rsidRDefault="00C24BBC" w:rsidP="00C24BBC">
      <w:pPr>
        <w:pStyle w:val="NoSpacing"/>
      </w:pPr>
    </w:p>
    <w:p w14:paraId="4A30C7B9" w14:textId="77777777" w:rsidR="00C24BBC" w:rsidRDefault="00C24BBC" w:rsidP="00C24BBC">
      <w:pPr>
        <w:pStyle w:val="NoSpacing"/>
      </w:pPr>
      <w:r>
        <w:t>***</w:t>
      </w:r>
    </w:p>
    <w:p w14:paraId="4C6ADF8B" w14:textId="77777777" w:rsidR="00C24BBC" w:rsidRDefault="00C24BBC" w:rsidP="00C24BBC">
      <w:pPr>
        <w:pStyle w:val="NoSpacing"/>
      </w:pPr>
    </w:p>
    <w:p w14:paraId="3B0EC172" w14:textId="77777777" w:rsidR="00C24BBC" w:rsidRDefault="00C24BBC" w:rsidP="00C24BBC">
      <w:pPr>
        <w:pStyle w:val="NoSpacing"/>
      </w:pPr>
      <w:r>
        <w:t xml:space="preserve">On May 24, 2022, plaintiff appeared in court in connection with the July 18, 2021, traffic tickets…. After rejecting </w:t>
      </w:r>
      <w:proofErr w:type="gramStart"/>
      <w:r>
        <w:t>a number of</w:t>
      </w:r>
      <w:proofErr w:type="gramEnd"/>
      <w:r>
        <w:t xml:space="preserve"> plea deals that would have required him to plead guilty to traffic infractions, plaintiff eventually agreed to plead guilty to two parking violations on the advice of his </w:t>
      </w:r>
      <w:proofErr w:type="gramStart"/>
      <w:r>
        <w:t>attorney.”</w:t>
      </w:r>
      <w:proofErr w:type="gramEnd"/>
    </w:p>
    <w:p w14:paraId="4020061C" w14:textId="77777777" w:rsidR="00C24BBC" w:rsidRDefault="00C24BBC" w:rsidP="00C24BBC">
      <w:pPr>
        <w:pStyle w:val="NoSpacing"/>
      </w:pPr>
    </w:p>
    <w:p w14:paraId="279735E4" w14:textId="77777777" w:rsidR="00C24BBC" w:rsidRDefault="00C24BBC" w:rsidP="00C24BBC">
      <w:pPr>
        <w:pStyle w:val="NoSpacing"/>
        <w:rPr>
          <w:b/>
        </w:rPr>
      </w:pPr>
      <w:r>
        <w:rPr>
          <w:b/>
        </w:rPr>
        <w:t xml:space="preserve">Legal lesson learned: The critical care technician property reported the volunteer’s unsafe driving. </w:t>
      </w:r>
    </w:p>
    <w:p w14:paraId="6EFB3DDF" w14:textId="77777777" w:rsidR="00C24BBC" w:rsidRDefault="00C24BBC" w:rsidP="00C24BBC">
      <w:pPr>
        <w:pStyle w:val="NoSpacing"/>
        <w:rPr>
          <w:b/>
        </w:rPr>
      </w:pPr>
    </w:p>
    <w:p w14:paraId="3781903E" w14:textId="77777777" w:rsidR="00C24BBC" w:rsidRPr="008D4B87" w:rsidRDefault="00C24BBC" w:rsidP="00C24BBC">
      <w:pPr>
        <w:pStyle w:val="NoSpacing"/>
        <w:ind w:left="720"/>
        <w:rPr>
          <w:bCs/>
        </w:rPr>
      </w:pPr>
      <w:r w:rsidRPr="008D4B87">
        <w:t>Note:</w:t>
      </w:r>
      <w:r>
        <w:t xml:space="preserve">  After the first speeding incident, the volunteer was directed by his </w:t>
      </w:r>
      <w:proofErr w:type="gramStart"/>
      <w:r>
        <w:t>Department</w:t>
      </w:r>
      <w:proofErr w:type="gramEnd"/>
      <w:r>
        <w:t xml:space="preserve"> to stop making runs </w:t>
      </w:r>
      <w:r w:rsidRPr="004162FF">
        <w:t>until he was instructed to do so.</w:t>
      </w:r>
      <w:r>
        <w:t xml:space="preserve"> </w:t>
      </w:r>
      <w:r w:rsidRPr="00CC0192">
        <w:t>“Even though [p]</w:t>
      </w:r>
      <w:proofErr w:type="spellStart"/>
      <w:r w:rsidRPr="00CC0192">
        <w:t>laintiff</w:t>
      </w:r>
      <w:proofErr w:type="spellEnd"/>
      <w:r w:rsidRPr="00CC0192">
        <w:t xml:space="preserve"> never retired nor resigned, in July 2022, SVAC leadership</w:t>
      </w:r>
      <w:r>
        <w:t xml:space="preserve"> </w:t>
      </w:r>
      <w:r w:rsidRPr="00CC0192">
        <w:t>showed up at [p]</w:t>
      </w:r>
      <w:proofErr w:type="spellStart"/>
      <w:r w:rsidRPr="00CC0192">
        <w:t>laintiff’s</w:t>
      </w:r>
      <w:proofErr w:type="spellEnd"/>
      <w:r w:rsidRPr="00CC0192">
        <w:t xml:space="preserve"> house unsolicited and presented him with a framed document</w:t>
      </w:r>
      <w:r>
        <w:t xml:space="preserve"> </w:t>
      </w:r>
      <w:r w:rsidRPr="00CC0192">
        <w:t>recognizing his 41 years of service to the community of Speculator.”</w:t>
      </w:r>
    </w:p>
    <w:p w14:paraId="00877AA9" w14:textId="77777777" w:rsidR="00C24BBC" w:rsidRPr="008D4B87" w:rsidRDefault="00C24BBC" w:rsidP="00C24BBC">
      <w:pPr>
        <w:pStyle w:val="NoSpacing"/>
        <w:rPr>
          <w:bCs/>
        </w:rPr>
      </w:pPr>
    </w:p>
    <w:p w14:paraId="2983B4DC" w14:textId="77777777" w:rsidR="00B63DAD" w:rsidRDefault="00B63DAD" w:rsidP="000C62A1">
      <w:pPr>
        <w:pStyle w:val="NoSpacing"/>
        <w:rPr>
          <w:rFonts w:ascii="Arial Black" w:hAnsi="Arial Black"/>
          <w:sz w:val="28"/>
          <w:szCs w:val="28"/>
        </w:rPr>
      </w:pPr>
    </w:p>
    <w:p w14:paraId="3116AA3D" w14:textId="77777777" w:rsidR="00B63DAD" w:rsidRDefault="00B63DAD" w:rsidP="000C62A1">
      <w:pPr>
        <w:pStyle w:val="NoSpacing"/>
        <w:rPr>
          <w:rFonts w:ascii="Arial Black" w:hAnsi="Arial Black"/>
          <w:sz w:val="28"/>
          <w:szCs w:val="28"/>
        </w:rPr>
      </w:pPr>
    </w:p>
    <w:p w14:paraId="4EEF557F" w14:textId="77777777" w:rsidR="00B63DAD" w:rsidRDefault="00B63DAD" w:rsidP="000C62A1">
      <w:pPr>
        <w:pStyle w:val="NoSpacing"/>
        <w:rPr>
          <w:rFonts w:ascii="Arial Black" w:hAnsi="Arial Black"/>
          <w:sz w:val="28"/>
          <w:szCs w:val="28"/>
        </w:rPr>
      </w:pPr>
    </w:p>
    <w:p w14:paraId="7EEC6F22" w14:textId="4D8DAB3E" w:rsidR="00CF5DF6" w:rsidRDefault="00CF5DF6" w:rsidP="000C62A1">
      <w:pPr>
        <w:pStyle w:val="NoSpacing"/>
        <w:rPr>
          <w:rFonts w:ascii="Arial Black" w:hAnsi="Arial Black"/>
          <w:sz w:val="28"/>
          <w:szCs w:val="28"/>
        </w:rPr>
      </w:pPr>
      <w:r>
        <w:rPr>
          <w:rFonts w:ascii="Arial Black" w:hAnsi="Arial Black"/>
          <w:sz w:val="28"/>
          <w:szCs w:val="28"/>
        </w:rPr>
        <w:t>5-61</w:t>
      </w:r>
    </w:p>
    <w:p w14:paraId="1E11B4BD" w14:textId="77777777" w:rsidR="00CF5DF6" w:rsidRPr="00914070" w:rsidRDefault="00CF5DF6" w:rsidP="00CF5DF6">
      <w:pPr>
        <w:pStyle w:val="NoSpacing"/>
        <w:rPr>
          <w:rFonts w:ascii="Arial Black" w:hAnsi="Arial Black"/>
          <w:b/>
          <w:sz w:val="28"/>
          <w:szCs w:val="28"/>
        </w:rPr>
      </w:pPr>
      <w:r>
        <w:rPr>
          <w:rFonts w:ascii="Arial Black" w:hAnsi="Arial Black"/>
          <w:b/>
          <w:sz w:val="28"/>
          <w:szCs w:val="28"/>
        </w:rPr>
        <w:t xml:space="preserve">TX: FF DRIVING FD VEH TO WORK – ACCID. CITY NO LIAB </w:t>
      </w:r>
    </w:p>
    <w:p w14:paraId="284F8B7B" w14:textId="77777777" w:rsidR="00CF5DF6" w:rsidRDefault="00CF5DF6" w:rsidP="00CF5DF6">
      <w:pPr>
        <w:pStyle w:val="NoSpacing"/>
        <w:rPr>
          <w:b/>
        </w:rPr>
      </w:pPr>
    </w:p>
    <w:p w14:paraId="0EA6B8D7" w14:textId="77777777" w:rsidR="00CF5DF6" w:rsidRPr="00363AC0" w:rsidRDefault="00CF5DF6" w:rsidP="00CF5DF6">
      <w:pPr>
        <w:pStyle w:val="NoSpacing"/>
        <w:rPr>
          <w:bCs/>
        </w:rPr>
      </w:pPr>
      <w:r>
        <w:t xml:space="preserve">On February 10, 2026, in </w:t>
      </w:r>
      <w:r w:rsidRPr="00363AC0">
        <w:rPr>
          <w:u w:val="single"/>
        </w:rPr>
        <w:t>City of Houston v. Sheniqua Henderson</w:t>
      </w:r>
      <w:r>
        <w:t xml:space="preserve">, the </w:t>
      </w:r>
      <w:r w:rsidRPr="00363AC0">
        <w:t>Court of Appeals of Texas, Fourteenth District</w:t>
      </w:r>
      <w:r>
        <w:t xml:space="preserve"> held (3 to 0) that the trial court should have dismissed the plaintiff’s lawsuit against the City of Houston, since the firefighter was off duty when the accident occurred when he was driving to his station on September 1, 2022, at 6:19 am.  Under Texas state law a city or other governmental unit is only liable for automobile accident when it occurs “within his scope of employment.” </w:t>
      </w:r>
      <w:hyperlink r:id="rId926" w:history="1">
        <w:r w:rsidRPr="00C72C21">
          <w:rPr>
            <w:rStyle w:val="Hyperlink"/>
          </w:rPr>
          <w:t>https://cases.justia.com/texas/fourteenth-court-of-appeals/2026-14-25-00078-cv.pdf?ts=1770741693</w:t>
        </w:r>
      </w:hyperlink>
      <w:r>
        <w:t xml:space="preserve"> </w:t>
      </w:r>
    </w:p>
    <w:p w14:paraId="2D0DCAB3" w14:textId="77777777" w:rsidR="00CF5DF6" w:rsidRDefault="00CF5DF6" w:rsidP="00CF5DF6">
      <w:pPr>
        <w:pStyle w:val="NoSpacing"/>
      </w:pPr>
    </w:p>
    <w:p w14:paraId="05261085" w14:textId="77777777" w:rsidR="00CF5DF6" w:rsidRDefault="00CF5DF6" w:rsidP="00CF5DF6">
      <w:pPr>
        <w:pStyle w:val="NoSpacing"/>
      </w:pPr>
      <w:r>
        <w:t>THE COURT HELD:  “</w:t>
      </w:r>
      <w:r w:rsidRPr="00D11F00">
        <w:t xml:space="preserve"> On September 1, 2022, Henderson was driving on the service road of the North Sam Houston Parkway in Harris County. City of Houston employee and firefighter Carlos Manuel Pascualli was driving to work in a vehicle owned and provided to </w:t>
      </w:r>
      <w:proofErr w:type="spellStart"/>
      <w:r w:rsidRPr="00D11F00">
        <w:t>Pascualli</w:t>
      </w:r>
      <w:proofErr w:type="spellEnd"/>
      <w:r w:rsidRPr="00D11F00">
        <w:t xml:space="preserve"> by Houston in the lane next to Henderson, when </w:t>
      </w:r>
      <w:proofErr w:type="spellStart"/>
      <w:r w:rsidRPr="00D11F00">
        <w:t>Pascualli</w:t>
      </w:r>
      <w:proofErr w:type="spellEnd"/>
      <w:r w:rsidRPr="00D11F00">
        <w:t xml:space="preserve"> changed lanes and collided with Henderson's vehicle</w:t>
      </w:r>
      <w:r>
        <w:t xml:space="preserve">…. </w:t>
      </w:r>
      <w:proofErr w:type="spellStart"/>
      <w:r w:rsidRPr="00B60506">
        <w:t>Pascualli</w:t>
      </w:r>
      <w:proofErr w:type="spellEnd"/>
      <w:r w:rsidRPr="00B60506">
        <w:t xml:space="preserve"> provided a supporting affidavit establishing that he was </w:t>
      </w:r>
      <w:proofErr w:type="gramStart"/>
      <w:r w:rsidRPr="00B60506">
        <w:t>off-duty</w:t>
      </w:r>
      <w:proofErr w:type="gramEnd"/>
      <w:r w:rsidRPr="00B60506">
        <w:t>, not on call, and driving to start his shift at 6:30 am.</w:t>
      </w:r>
    </w:p>
    <w:p w14:paraId="2054697A" w14:textId="77777777" w:rsidR="00CF5DF6" w:rsidRDefault="00CF5DF6" w:rsidP="00CF5DF6">
      <w:pPr>
        <w:pStyle w:val="NoSpacing"/>
        <w:ind w:left="720"/>
      </w:pPr>
    </w:p>
    <w:p w14:paraId="615F38C5" w14:textId="77777777" w:rsidR="00CF5DF6" w:rsidRPr="007253B6" w:rsidRDefault="00CF5DF6" w:rsidP="00CF5DF6">
      <w:pPr>
        <w:pStyle w:val="NoSpacing"/>
        <w:ind w:left="720"/>
      </w:pPr>
      <w:r w:rsidRPr="007253B6">
        <w:t xml:space="preserve">On September 1, 2022, at approximately 6:19 am, I was traveling on North Sam Houston East Parkway Service Road, Harris County Texas, when my vehicle collided with Plaintiff's vehicle. I was traveling to Fire Station 99 located </w:t>
      </w:r>
      <w:proofErr w:type="gramStart"/>
      <w:r w:rsidRPr="007253B6">
        <w:t>in</w:t>
      </w:r>
      <w:proofErr w:type="gramEnd"/>
      <w:r w:rsidRPr="007253B6">
        <w:t xml:space="preserve"> 18580 Chanute Road, Houston, Texas 77032. At the time of the collision on September 1, 2022, I was off duty, not on call and driving to work. At the time of the collision, I was not being directed by the Houston Fire Department, or furthering Houston Fire Department business.</w:t>
      </w:r>
    </w:p>
    <w:p w14:paraId="1D11DA66" w14:textId="77777777" w:rsidR="00CF5DF6" w:rsidRDefault="00CF5DF6" w:rsidP="00CF5DF6">
      <w:pPr>
        <w:pStyle w:val="NoSpacing"/>
      </w:pPr>
    </w:p>
    <w:p w14:paraId="50F4460F" w14:textId="77777777" w:rsidR="00CF5DF6" w:rsidRDefault="00CF5DF6" w:rsidP="00CF5DF6">
      <w:pPr>
        <w:pStyle w:val="NoSpacing"/>
      </w:pPr>
      <w:r w:rsidRPr="00211E46">
        <w:t xml:space="preserve">In response, Henderson argued that </w:t>
      </w:r>
      <w:proofErr w:type="spellStart"/>
      <w:r w:rsidRPr="00211E46">
        <w:t>Pascualli's</w:t>
      </w:r>
      <w:proofErr w:type="spellEnd"/>
      <w:r w:rsidRPr="00211E46">
        <w:t xml:space="preserve"> affidavit was a sham affidavit. She further claimed that </w:t>
      </w:r>
      <w:proofErr w:type="spellStart"/>
      <w:r w:rsidRPr="00211E46">
        <w:t>Pascualli</w:t>
      </w:r>
      <w:proofErr w:type="spellEnd"/>
      <w:r w:rsidRPr="00211E46">
        <w:t xml:space="preserve"> was in the scope of his employment and that she was entitled to take his deposition. </w:t>
      </w:r>
      <w:r>
        <w:t xml:space="preserve">*** </w:t>
      </w:r>
      <w:r w:rsidRPr="00914070">
        <w:t xml:space="preserve">Tex. Civ. </w:t>
      </w:r>
      <w:proofErr w:type="spellStart"/>
      <w:r w:rsidRPr="00914070">
        <w:t>Prac</w:t>
      </w:r>
      <w:proofErr w:type="spellEnd"/>
      <w:r w:rsidRPr="00914070">
        <w:t xml:space="preserve">. &amp; Rem. Code Ann. § 101.021. A governmental unit is only liable for the negligence of its employee, </w:t>
      </w:r>
      <w:proofErr w:type="gramStart"/>
      <w:r w:rsidRPr="00914070">
        <w:t>if and when</w:t>
      </w:r>
      <w:proofErr w:type="gramEnd"/>
      <w:r w:rsidRPr="00914070">
        <w:t xml:space="preserve"> that employee is </w:t>
      </w:r>
      <w:r>
        <w:t>‘</w:t>
      </w:r>
      <w:r w:rsidRPr="00914070">
        <w:t>acting within his scope of employment.</w:t>
      </w:r>
      <w:r>
        <w:t xml:space="preserve">’ … </w:t>
      </w:r>
      <w:r w:rsidRPr="00914070">
        <w:t>Although Henderson argues that she also has a direct negligence claim against Houston, she cites no authority or statute, nor have we found any, other than Section 101.021 that waives Houston's immunity for injuries resulting from the use of a motor-driven vehicle.</w:t>
      </w:r>
      <w:r>
        <w:t>”</w:t>
      </w:r>
    </w:p>
    <w:p w14:paraId="46308078" w14:textId="77777777" w:rsidR="00CF5DF6" w:rsidRDefault="00CF5DF6" w:rsidP="00CF5DF6">
      <w:pPr>
        <w:pStyle w:val="NoSpacing"/>
      </w:pPr>
    </w:p>
    <w:p w14:paraId="4DBD5F53" w14:textId="77777777" w:rsidR="00CF5DF6" w:rsidRDefault="00CF5DF6" w:rsidP="00CF5DF6">
      <w:pPr>
        <w:pStyle w:val="NoSpacing"/>
        <w:rPr>
          <w:b/>
          <w:bCs/>
        </w:rPr>
      </w:pPr>
      <w:r w:rsidRPr="005D3975">
        <w:rPr>
          <w:b/>
        </w:rPr>
        <w:t xml:space="preserve">Legal lesson learned: </w:t>
      </w:r>
      <w:r>
        <w:rPr>
          <w:b/>
        </w:rPr>
        <w:t>Firefighter was off duty; city cannot be sued.</w:t>
      </w:r>
    </w:p>
    <w:p w14:paraId="74FEC3EC" w14:textId="77777777" w:rsidR="00CF5DF6" w:rsidRDefault="00CF5DF6" w:rsidP="00CF5DF6">
      <w:pPr>
        <w:pStyle w:val="NoSpacing"/>
      </w:pPr>
    </w:p>
    <w:p w14:paraId="4FA59353" w14:textId="77777777" w:rsidR="00CF5DF6" w:rsidRDefault="00CF5DF6" w:rsidP="000C62A1">
      <w:pPr>
        <w:pStyle w:val="NoSpacing"/>
        <w:rPr>
          <w:rFonts w:ascii="Arial Black" w:hAnsi="Arial Black"/>
          <w:sz w:val="28"/>
          <w:szCs w:val="28"/>
        </w:rPr>
      </w:pPr>
    </w:p>
    <w:p w14:paraId="236B5FE9" w14:textId="77777777" w:rsidR="00CF5DF6" w:rsidRDefault="00CF5DF6" w:rsidP="000C62A1">
      <w:pPr>
        <w:pStyle w:val="NoSpacing"/>
        <w:rPr>
          <w:rFonts w:ascii="Arial Black" w:hAnsi="Arial Black"/>
          <w:sz w:val="28"/>
          <w:szCs w:val="28"/>
        </w:rPr>
      </w:pPr>
    </w:p>
    <w:p w14:paraId="027ED139" w14:textId="77777777" w:rsidR="00CF5DF6" w:rsidRDefault="00CF5DF6" w:rsidP="000C62A1">
      <w:pPr>
        <w:pStyle w:val="NoSpacing"/>
        <w:rPr>
          <w:rFonts w:ascii="Arial Black" w:hAnsi="Arial Black"/>
          <w:sz w:val="28"/>
          <w:szCs w:val="28"/>
        </w:rPr>
      </w:pPr>
    </w:p>
    <w:p w14:paraId="1BD44A23" w14:textId="694B22B1" w:rsidR="00CC770C" w:rsidRDefault="007100AC" w:rsidP="000C62A1">
      <w:pPr>
        <w:pStyle w:val="NoSpacing"/>
        <w:rPr>
          <w:rFonts w:ascii="Arial Black" w:hAnsi="Arial Black"/>
          <w:sz w:val="28"/>
          <w:szCs w:val="28"/>
        </w:rPr>
      </w:pPr>
      <w:r>
        <w:rPr>
          <w:rFonts w:ascii="Arial Black" w:hAnsi="Arial Black"/>
          <w:sz w:val="28"/>
          <w:szCs w:val="28"/>
        </w:rPr>
        <w:t>5-60</w:t>
      </w:r>
    </w:p>
    <w:p w14:paraId="002E8A9E" w14:textId="77777777" w:rsidR="007100AC" w:rsidRDefault="007100AC" w:rsidP="000C62A1">
      <w:pPr>
        <w:pStyle w:val="NoSpacing"/>
        <w:rPr>
          <w:rFonts w:ascii="Arial Black" w:hAnsi="Arial Black"/>
          <w:sz w:val="28"/>
          <w:szCs w:val="28"/>
        </w:rPr>
      </w:pPr>
    </w:p>
    <w:p w14:paraId="60A05A40" w14:textId="77777777" w:rsidR="007100AC" w:rsidRPr="005A1845" w:rsidRDefault="007100AC" w:rsidP="007100AC">
      <w:pPr>
        <w:rPr>
          <w:rFonts w:ascii="Arial Black" w:hAnsi="Arial Black"/>
          <w:b/>
          <w:sz w:val="28"/>
          <w:szCs w:val="28"/>
        </w:rPr>
      </w:pPr>
      <w:r>
        <w:rPr>
          <w:rFonts w:ascii="Arial Black" w:hAnsi="Arial Black"/>
          <w:b/>
          <w:sz w:val="28"/>
          <w:szCs w:val="28"/>
        </w:rPr>
        <w:t>TX: AMBULANCE – IMMUNITY - PHOTO EMER LIGHTS ON</w:t>
      </w:r>
    </w:p>
    <w:p w14:paraId="02B325B7" w14:textId="77777777" w:rsidR="007100AC" w:rsidRDefault="007100AC" w:rsidP="007100AC">
      <w:pPr>
        <w:pStyle w:val="NoSpacing"/>
        <w:rPr>
          <w:bCs/>
        </w:rPr>
      </w:pPr>
      <w:r>
        <w:t xml:space="preserve">On Jan. 21, 2026, in </w:t>
      </w:r>
      <w:r w:rsidRPr="00B031E6">
        <w:rPr>
          <w:u w:val="single"/>
        </w:rPr>
        <w:t>Michelle Ojeda v. City of Grand Prairie</w:t>
      </w:r>
      <w:r>
        <w:t xml:space="preserve">, the </w:t>
      </w:r>
      <w:r w:rsidRPr="00934DC7">
        <w:t>Court of Appeals of Texas, Fifth District, Dallas</w:t>
      </w:r>
      <w:r>
        <w:t xml:space="preserve"> held (3 to 0) that trial court properly dismissed the lawsuit, since the intersection crash happened on an emergency run, lights (photo taken after the accident) and siren activated, and slowed down entering the intersection. </w:t>
      </w:r>
      <w:hyperlink r:id="rId927" w:history="1">
        <w:r w:rsidRPr="00AC5608">
          <w:rPr>
            <w:rStyle w:val="Hyperlink"/>
          </w:rPr>
          <w:t>https://cases.justia.com/texas/fifth-court-of-appeals/2026-05-24-01403-cv.pdf?ts=1769077961</w:t>
        </w:r>
      </w:hyperlink>
    </w:p>
    <w:p w14:paraId="2DBA9681" w14:textId="77777777" w:rsidR="007100AC" w:rsidRDefault="007100AC" w:rsidP="007100AC">
      <w:pPr>
        <w:pStyle w:val="NoSpacing"/>
        <w:rPr>
          <w:bCs/>
        </w:rPr>
      </w:pPr>
    </w:p>
    <w:p w14:paraId="6A2C8F1B" w14:textId="77777777" w:rsidR="007100AC" w:rsidRDefault="007100AC" w:rsidP="007100AC">
      <w:pPr>
        <w:pStyle w:val="NoSpacing"/>
        <w:rPr>
          <w:bCs/>
        </w:rPr>
      </w:pPr>
      <w:r>
        <w:t xml:space="preserve">THE COURT HELD: </w:t>
      </w:r>
    </w:p>
    <w:p w14:paraId="4A7AF126" w14:textId="77777777" w:rsidR="007100AC" w:rsidRDefault="007100AC" w:rsidP="007100AC">
      <w:pPr>
        <w:pStyle w:val="NoSpacing"/>
        <w:rPr>
          <w:bCs/>
        </w:rPr>
      </w:pPr>
    </w:p>
    <w:p w14:paraId="69821FAF" w14:textId="77777777" w:rsidR="007100AC" w:rsidRDefault="007100AC" w:rsidP="007100AC">
      <w:pPr>
        <w:pStyle w:val="NoSpacing"/>
        <w:ind w:left="720"/>
        <w:rPr>
          <w:bCs/>
        </w:rPr>
      </w:pPr>
      <w:r>
        <w:t>“</w:t>
      </w:r>
      <w:r w:rsidRPr="00492BC7">
        <w:t>In an attempt to raise a fact issue, Ojeda asserts in her briefing that the ambulance's emergency lights and siren were not activated when the ambulance entered the intersection. But the summary judgment record contains no evidence supporting this assertion and the testimony of Kildal and Herrera and the photograph of the ambulance immediately after the crash establish the emergency lights and siren were activated and in operation before and during the collision</w:t>
      </w:r>
      <w:r>
        <w:t xml:space="preserve">…. </w:t>
      </w:r>
      <w:r w:rsidRPr="00801AF4">
        <w:t>With respect to Ojeda's contention reckless disregard is shown by Kildal entering the intersection without knowing whether the light was green or red, a driver of an emergency vehicle is permitted to proceed through a red light without stopping if they do so after slowing as necessary for safe operation</w:t>
      </w:r>
      <w:r>
        <w:t xml:space="preserve">…. </w:t>
      </w:r>
      <w:r w:rsidRPr="00801AF4">
        <w:t>(citing Tex. Transp. Code § 546.001(2)).</w:t>
      </w:r>
      <w:r>
        <w:t xml:space="preserve"> *** </w:t>
      </w:r>
      <w:r w:rsidRPr="00000FE4">
        <w:t>Data obtained from the Electronic Data Recorder device in the ambulance showed Kildal slowed the ambulance down five seconds before the collision from a speed of 33.3 mph to a speed of 16.8 mph at the time of impact.</w:t>
      </w:r>
      <w:r>
        <w:t xml:space="preserve">”  *** </w:t>
      </w:r>
      <w:r w:rsidRPr="00D253AC">
        <w:t xml:space="preserve">Under this exception, the waiver of immunity under the Texas Tort Claims Act does not apply to a claim based on a governmental employee's conduct if that employee, while responding to an emergency call or reacting to an emergency situation, acts in compliance with </w:t>
      </w:r>
      <w:r>
        <w:t>‘</w:t>
      </w:r>
      <w:r w:rsidRPr="00D253AC">
        <w:t>the laws and ordinances applicable to emergency action,</w:t>
      </w:r>
      <w:r>
        <w:t>’</w:t>
      </w:r>
      <w:r w:rsidRPr="00D253AC">
        <w:t xml:space="preserve"> or in the absence of such a law or ordinance, the employee's actions are not taken </w:t>
      </w:r>
      <w:r>
        <w:t>‘</w:t>
      </w:r>
      <w:r w:rsidRPr="00D253AC">
        <w:t>with conscious indifference or reckless disregard for the safety of others.</w:t>
      </w:r>
      <w:r>
        <w:t>’</w:t>
      </w:r>
      <w:r w:rsidRPr="00D253AC">
        <w:t xml:space="preserve"> Civ. </w:t>
      </w:r>
      <w:proofErr w:type="spellStart"/>
      <w:r w:rsidRPr="00D253AC">
        <w:t>Prac</w:t>
      </w:r>
      <w:proofErr w:type="spellEnd"/>
      <w:r w:rsidRPr="00D253AC">
        <w:t>. &amp; Rem. § 101.055(2).</w:t>
      </w:r>
      <w:r>
        <w:t>”</w:t>
      </w:r>
    </w:p>
    <w:p w14:paraId="40067775" w14:textId="77777777" w:rsidR="007100AC" w:rsidRDefault="007100AC" w:rsidP="007100AC">
      <w:pPr>
        <w:pStyle w:val="NoSpacing"/>
        <w:rPr>
          <w:bCs/>
        </w:rPr>
      </w:pPr>
    </w:p>
    <w:p w14:paraId="53219925" w14:textId="77777777" w:rsidR="007100AC" w:rsidRPr="004D5620" w:rsidRDefault="007100AC" w:rsidP="007100AC">
      <w:pPr>
        <w:pStyle w:val="NoSpacing"/>
        <w:rPr>
          <w:b/>
        </w:rPr>
      </w:pPr>
      <w:r>
        <w:rPr>
          <w:b/>
        </w:rPr>
        <w:t xml:space="preserve">Legal lesson learned: After an on-duty accident, leave your siren on as you notify dispatch, and then take a photo showing your emergency lights still activated. </w:t>
      </w:r>
    </w:p>
    <w:p w14:paraId="521A93AE" w14:textId="77777777" w:rsidR="007100AC" w:rsidRDefault="007100AC" w:rsidP="000C62A1">
      <w:pPr>
        <w:pStyle w:val="NoSpacing"/>
        <w:rPr>
          <w:rFonts w:ascii="Arial Black" w:hAnsi="Arial Black"/>
          <w:sz w:val="28"/>
          <w:szCs w:val="28"/>
        </w:rPr>
      </w:pPr>
    </w:p>
    <w:p w14:paraId="626F94C9" w14:textId="77777777" w:rsidR="007100AC" w:rsidRDefault="007100AC" w:rsidP="000C62A1">
      <w:pPr>
        <w:pStyle w:val="NoSpacing"/>
        <w:rPr>
          <w:rFonts w:ascii="Arial Black" w:hAnsi="Arial Black"/>
          <w:sz w:val="28"/>
          <w:szCs w:val="28"/>
        </w:rPr>
      </w:pPr>
    </w:p>
    <w:p w14:paraId="7444A9E1" w14:textId="77777777" w:rsidR="007100AC" w:rsidRDefault="007100AC" w:rsidP="000C62A1">
      <w:pPr>
        <w:pStyle w:val="NoSpacing"/>
        <w:rPr>
          <w:rFonts w:ascii="Arial Black" w:hAnsi="Arial Black"/>
          <w:sz w:val="28"/>
          <w:szCs w:val="28"/>
        </w:rPr>
      </w:pPr>
    </w:p>
    <w:p w14:paraId="6733B22F" w14:textId="6DABD62F" w:rsidR="00CC770C" w:rsidRDefault="00CC770C" w:rsidP="000C62A1">
      <w:pPr>
        <w:pStyle w:val="NoSpacing"/>
        <w:rPr>
          <w:rFonts w:ascii="Arial Black" w:hAnsi="Arial Black"/>
          <w:sz w:val="28"/>
          <w:szCs w:val="28"/>
        </w:rPr>
      </w:pPr>
      <w:r>
        <w:rPr>
          <w:rFonts w:ascii="Arial Black" w:hAnsi="Arial Black"/>
          <w:sz w:val="28"/>
          <w:szCs w:val="28"/>
        </w:rPr>
        <w:t>5-5</w:t>
      </w:r>
      <w:r w:rsidR="00EC252C">
        <w:rPr>
          <w:rFonts w:ascii="Arial Black" w:hAnsi="Arial Black"/>
          <w:sz w:val="28"/>
          <w:szCs w:val="28"/>
        </w:rPr>
        <w:t>9</w:t>
      </w:r>
    </w:p>
    <w:p w14:paraId="133AFA35" w14:textId="77777777" w:rsidR="00EC252C" w:rsidRPr="00E62CBF" w:rsidRDefault="00EC252C" w:rsidP="00EC252C">
      <w:pPr>
        <w:rPr>
          <w:rFonts w:ascii="Arial Black" w:hAnsi="Arial Black"/>
          <w:sz w:val="28"/>
          <w:szCs w:val="28"/>
        </w:rPr>
      </w:pPr>
      <w:r>
        <w:rPr>
          <w:rFonts w:ascii="Arial Black" w:hAnsi="Arial Black"/>
          <w:sz w:val="28"/>
          <w:szCs w:val="28"/>
        </w:rPr>
        <w:t>LA: FF BAD DRIVING – NOT SUSP. WITHIN “60-DAY RULE”</w:t>
      </w:r>
    </w:p>
    <w:p w14:paraId="589D6F9C" w14:textId="77777777" w:rsidR="00EC252C" w:rsidRPr="009434D7" w:rsidRDefault="00EC252C" w:rsidP="00EC252C">
      <w:pPr>
        <w:rPr>
          <w:bCs/>
        </w:rPr>
      </w:pPr>
      <w:r>
        <w:t xml:space="preserve">On December 15, 2025, in </w:t>
      </w:r>
      <w:r w:rsidRPr="009434D7">
        <w:rPr>
          <w:u w:val="single"/>
        </w:rPr>
        <w:t>Chase Bruner v. New Orleans Fire Department</w:t>
      </w:r>
      <w:r>
        <w:t xml:space="preserve">, the </w:t>
      </w:r>
      <w:r w:rsidRPr="009434D7">
        <w:t>Court of Appeals of Louisiana, Fourth Circuit</w:t>
      </w:r>
      <w:r>
        <w:t xml:space="preserve"> held (3 to 0) that the city’s Civil Service Commission properly set aside six-day suspension because the </w:t>
      </w:r>
      <w:r w:rsidRPr="005F7F77">
        <w:t>NOFD failed to comply with sixty-day investigatory</w:t>
      </w:r>
      <w:r>
        <w:t xml:space="preserve"> </w:t>
      </w:r>
      <w:r w:rsidRPr="005F7F77">
        <w:t>timeline in the Firefighter Bill of Rights</w:t>
      </w:r>
      <w:r>
        <w:t xml:space="preserve">.  The bad driving occurred </w:t>
      </w:r>
      <w:r w:rsidRPr="00F9679A">
        <w:t>April 11, 2024</w:t>
      </w:r>
      <w:r>
        <w:t xml:space="preserve">. On April 18, </w:t>
      </w:r>
      <w:r w:rsidRPr="00874B90">
        <w:t>Major Figueroa-Camps reviewed the video of the EMS vehicles and forwarded it</w:t>
      </w:r>
      <w:r>
        <w:t xml:space="preserve"> </w:t>
      </w:r>
      <w:r w:rsidRPr="00874B90">
        <w:t>to Chief Keller</w:t>
      </w:r>
      <w:r>
        <w:t xml:space="preserve">, who on April 19 </w:t>
      </w:r>
      <w:r w:rsidRPr="00874B90">
        <w:t>notified NOFD of the incident</w:t>
      </w:r>
      <w:r>
        <w:t xml:space="preserve">.  </w:t>
      </w:r>
      <w:r w:rsidRPr="00874B90">
        <w:t xml:space="preserve"> </w:t>
      </w:r>
      <w:r>
        <w:t xml:space="preserve">The Civil Service Commission stated the 60-day clock started on April 19.  The 60-days ended </w:t>
      </w:r>
      <w:r w:rsidRPr="004E7AAB">
        <w:t>June 19, 2024</w:t>
      </w:r>
      <w:r>
        <w:t xml:space="preserve">, but Mr. Brunner was issued his suspension letter on June 21.  </w:t>
      </w:r>
      <w:hyperlink r:id="rId928" w:history="1">
        <w:r w:rsidRPr="00CB1D74">
          <w:rPr>
            <w:rStyle w:val="Hyperlink"/>
          </w:rPr>
          <w:t>https://cases.justia.com/louisiana/fourth-circuit-court-of-appeal/2025-2025-ca-0386.pdf?ts=1765847814</w:t>
        </w:r>
      </w:hyperlink>
      <w:r>
        <w:t xml:space="preserve"> </w:t>
      </w:r>
    </w:p>
    <w:p w14:paraId="2ACFA1E5" w14:textId="77777777" w:rsidR="00EC252C" w:rsidRDefault="00EC252C" w:rsidP="00EC252C">
      <w:r>
        <w:t>THE COURT HELD:</w:t>
      </w:r>
    </w:p>
    <w:p w14:paraId="7A828915" w14:textId="77777777" w:rsidR="00EC252C" w:rsidRDefault="00EC252C" w:rsidP="00EC252C">
      <w:pPr>
        <w:pStyle w:val="NoSpacing"/>
        <w:ind w:left="720"/>
      </w:pPr>
      <w:r>
        <w:t>“On April 11, 2024, Mr. Bruner had an overtime shift as an ambulance driver for New Orleans Emergency Medical Services (‘EMS’). During his shift, Mr. Bruner violated multiple traffic laws, specifically, racing another ambulance, excessive speeding and driving on the wrong side of the street. The EMS in-vehicle camera system flagged a sudden brake event, prompting EMS Major Gerardo Figueroa-</w:t>
      </w:r>
      <w:proofErr w:type="gramStart"/>
      <w:r>
        <w:t>Camps (‘</w:t>
      </w:r>
      <w:proofErr w:type="gramEnd"/>
      <w:r>
        <w:t xml:space="preserve">Major Figueroa-Camps’) to review and send the full video footage to EMS Deputy Chief Chris </w:t>
      </w:r>
      <w:proofErr w:type="gramStart"/>
      <w:r>
        <w:t>Keller (‘</w:t>
      </w:r>
      <w:proofErr w:type="gramEnd"/>
      <w:r>
        <w:t>Chief Keller’) on April 18</w:t>
      </w:r>
      <w:proofErr w:type="gramStart"/>
      <w:r>
        <w:t xml:space="preserve"> 2024</w:t>
      </w:r>
      <w:proofErr w:type="gramEnd"/>
      <w:r>
        <w:t>, and [on April 19] Chief Keller emailed NOFD about Mr. Bruner’s traffic violations.</w:t>
      </w:r>
    </w:p>
    <w:p w14:paraId="7CD1E1FC" w14:textId="77777777" w:rsidR="00EC252C" w:rsidRDefault="00EC252C" w:rsidP="00EC252C">
      <w:pPr>
        <w:pStyle w:val="NoSpacing"/>
        <w:ind w:left="720"/>
      </w:pPr>
    </w:p>
    <w:p w14:paraId="1AD78E64" w14:textId="77777777" w:rsidR="00EC252C" w:rsidRDefault="00EC252C" w:rsidP="00EC252C">
      <w:pPr>
        <w:pStyle w:val="NoSpacing"/>
        <w:ind w:left="720"/>
      </w:pPr>
      <w:r>
        <w:t>***</w:t>
      </w:r>
    </w:p>
    <w:p w14:paraId="5A7E3FF5" w14:textId="77777777" w:rsidR="00EC252C" w:rsidRDefault="00EC252C" w:rsidP="00EC252C">
      <w:pPr>
        <w:pStyle w:val="NoSpacing"/>
        <w:ind w:left="720"/>
      </w:pPr>
      <w:r>
        <w:t xml:space="preserve">On June 21, 2024, NOFD Superintendent Roman Nelson issued a letter to Mr. Bruner informing him that he was charged </w:t>
      </w:r>
      <w:proofErr w:type="gramStart"/>
      <w:r>
        <w:t>for</w:t>
      </w:r>
      <w:proofErr w:type="gramEnd"/>
      <w:r>
        <w:t xml:space="preserve"> violating NOFD Rule RR5, which requires compliance with City of New Orleans policies, specifically CAO Policy 5(R) concerning driving standards. The letter further stated that Mr. Bruner would be suspended for six hours.</w:t>
      </w:r>
    </w:p>
    <w:p w14:paraId="38688B99" w14:textId="77777777" w:rsidR="00EC252C" w:rsidRDefault="00EC252C" w:rsidP="00EC252C">
      <w:pPr>
        <w:pStyle w:val="NoSpacing"/>
        <w:ind w:left="720"/>
      </w:pPr>
    </w:p>
    <w:p w14:paraId="1DC02E26" w14:textId="77777777" w:rsidR="00EC252C" w:rsidRDefault="00EC252C" w:rsidP="00EC252C">
      <w:pPr>
        <w:pStyle w:val="NoSpacing"/>
        <w:ind w:left="720"/>
      </w:pPr>
      <w:r>
        <w:t>***</w:t>
      </w:r>
    </w:p>
    <w:p w14:paraId="70B718CE" w14:textId="77777777" w:rsidR="00EC252C" w:rsidRDefault="00EC252C" w:rsidP="00EC252C">
      <w:pPr>
        <w:pStyle w:val="NoSpacing"/>
        <w:ind w:left="720"/>
      </w:pPr>
      <w:r>
        <w:t xml:space="preserve">Mr. Bruner </w:t>
      </w:r>
      <w:proofErr w:type="gramStart"/>
      <w:r>
        <w:t>appealed</w:t>
      </w:r>
      <w:proofErr w:type="gramEnd"/>
      <w:r>
        <w:t xml:space="preserve"> his suspension to the Civil Service Commission. A hearing took place on November 15, 2024. On May 8, 2025, the Commission granted Mr. Bruner’s appeal and ordered NOFD to reimburse Mr. Bruner for all lost wages and emoluments of employment from his six-hour suspension. The Commission found that NOFD failed to comply with sixty-day investigatory timeline in the Firefighter Bill of Rights. </w:t>
      </w:r>
    </w:p>
    <w:p w14:paraId="3B3F8F19" w14:textId="77777777" w:rsidR="00EC252C" w:rsidRDefault="00EC252C" w:rsidP="00EC252C">
      <w:pPr>
        <w:pStyle w:val="NoSpacing"/>
      </w:pPr>
    </w:p>
    <w:p w14:paraId="10617A17" w14:textId="77777777" w:rsidR="00EC252C" w:rsidRDefault="00EC252C" w:rsidP="00EC252C">
      <w:pPr>
        <w:pStyle w:val="NoSpacing"/>
        <w:ind w:left="1440"/>
      </w:pPr>
    </w:p>
    <w:p w14:paraId="06958D31" w14:textId="77777777" w:rsidR="00EC252C" w:rsidRDefault="00EC252C" w:rsidP="00EC252C">
      <w:pPr>
        <w:pStyle w:val="NoSpacing"/>
        <w:ind w:left="1440"/>
      </w:pPr>
      <w:r>
        <w:t>[</w:t>
      </w:r>
      <w:r w:rsidRPr="009E64D7">
        <w:t>Louisiana Revised Statute 33:2181, known as the Firefighters Bill of Rights</w:t>
      </w:r>
      <w:r>
        <w:t>]</w:t>
      </w:r>
      <w:r w:rsidRPr="009E64D7">
        <w:t>,</w:t>
      </w:r>
    </w:p>
    <w:p w14:paraId="32563332" w14:textId="77777777" w:rsidR="00EC252C" w:rsidRDefault="00EC252C" w:rsidP="00EC252C">
      <w:pPr>
        <w:pStyle w:val="NoSpacing"/>
        <w:ind w:left="1440"/>
      </w:pPr>
      <w:proofErr w:type="gramStart"/>
      <w:r>
        <w:t>provides ‘[</w:t>
      </w:r>
      <w:proofErr w:type="gramEnd"/>
      <w:r>
        <w:t>a]</w:t>
      </w:r>
      <w:proofErr w:type="spellStart"/>
      <w:r>
        <w:t>ny</w:t>
      </w:r>
      <w:proofErr w:type="spellEnd"/>
      <w:r>
        <w:t xml:space="preserve"> investigation of a fire employee which is conducted pursuant to this Subpart shall be completed within sixty days, including the conducting of any pre-disciplinary hearing or conference.’ La. R.S. 33:2186(A). The fire department may petition the governing authority for an extension of time in which to complete its investigation upon a showing of good cause. La. R.S. 33:2186(B).” </w:t>
      </w:r>
    </w:p>
    <w:p w14:paraId="2FF6C6F4" w14:textId="77777777" w:rsidR="00EC252C" w:rsidRDefault="00EC252C" w:rsidP="00EC252C">
      <w:pPr>
        <w:pStyle w:val="NoSpacing"/>
        <w:ind w:left="1440"/>
      </w:pPr>
    </w:p>
    <w:p w14:paraId="293B448D" w14:textId="77777777" w:rsidR="00EC252C" w:rsidRDefault="00EC252C" w:rsidP="00EC252C">
      <w:pPr>
        <w:pStyle w:val="NoSpacing"/>
        <w:ind w:left="720"/>
      </w:pPr>
      <w:r>
        <w:t>***</w:t>
      </w:r>
    </w:p>
    <w:p w14:paraId="61C19AC1" w14:textId="77777777" w:rsidR="00EC252C" w:rsidRDefault="00EC252C" w:rsidP="00EC252C">
      <w:pPr>
        <w:pStyle w:val="NoSpacing"/>
        <w:ind w:left="720"/>
      </w:pPr>
    </w:p>
    <w:p w14:paraId="5B5ACD88" w14:textId="77777777" w:rsidR="00EC252C" w:rsidRDefault="00EC252C" w:rsidP="00EC252C">
      <w:pPr>
        <w:pStyle w:val="NoSpacing"/>
        <w:ind w:left="720"/>
      </w:pPr>
      <w:r>
        <w:t xml:space="preserve">The NOFD argues that the Commission’s finding was erroneous because it undermines this Court’s decision in Pitre v. </w:t>
      </w:r>
      <w:proofErr w:type="spellStart"/>
      <w:r>
        <w:t>Dep’t</w:t>
      </w:r>
      <w:proofErr w:type="spellEnd"/>
      <w:r>
        <w:t xml:space="preserve"> of Fire, 2021-0632 (La. App. 4 Cir. 2022), 338 So.3d 70 regarding when an investigation commences…. In Pitre, a firefighter was charged with making false statements during a formal investigation regarding another employee’s worker’s compensation claim. The NOFD sent a notification letter to the firefighter on July 8, </w:t>
      </w:r>
      <w:proofErr w:type="gramStart"/>
      <w:r>
        <w:t>2020</w:t>
      </w:r>
      <w:proofErr w:type="gramEnd"/>
      <w:r>
        <w:t xml:space="preserve"> and the firefighter was terminated on September 28, 2020…. </w:t>
      </w:r>
    </w:p>
    <w:p w14:paraId="458BB811" w14:textId="77777777" w:rsidR="00EC252C" w:rsidRDefault="00EC252C" w:rsidP="00EC252C">
      <w:pPr>
        <w:pStyle w:val="NoSpacing"/>
        <w:ind w:left="720"/>
      </w:pPr>
      <w:r>
        <w:t>NOFD received an enhanced video footage of the firefighter’s actions on August 7, 2020….  NOFD argued that the investigation into the firefighter did not commence until August 7, 2020…. This Court found that the investigation commenced on July 8, 2020, when NOFD conducted an interrogation, not an initial inquiry. Specifically, the</w:t>
      </w:r>
    </w:p>
    <w:p w14:paraId="1C213FF7" w14:textId="77777777" w:rsidR="00EC252C" w:rsidRDefault="00EC252C" w:rsidP="00EC252C">
      <w:pPr>
        <w:pStyle w:val="NoSpacing"/>
        <w:ind w:left="720"/>
      </w:pPr>
      <w:r>
        <w:t xml:space="preserve">notification letter was issued to the firefighter detailing that he would be interviewed in connection with an investigation for violation of the NOFD Rules and Regulations. </w:t>
      </w:r>
    </w:p>
    <w:p w14:paraId="429FADC3" w14:textId="77777777" w:rsidR="00EC252C" w:rsidRDefault="00EC252C" w:rsidP="00EC252C">
      <w:pPr>
        <w:pStyle w:val="NoSpacing"/>
        <w:ind w:left="720"/>
      </w:pPr>
    </w:p>
    <w:p w14:paraId="02D9F32D" w14:textId="77777777" w:rsidR="00EC252C" w:rsidRDefault="00EC252C" w:rsidP="00EC252C">
      <w:pPr>
        <w:pStyle w:val="NoSpacing"/>
        <w:ind w:left="720"/>
      </w:pPr>
      <w:r>
        <w:t>***</w:t>
      </w:r>
    </w:p>
    <w:p w14:paraId="7E52B6F2" w14:textId="77777777" w:rsidR="00EC252C" w:rsidRDefault="00EC252C" w:rsidP="00EC252C">
      <w:pPr>
        <w:pStyle w:val="NoSpacing"/>
        <w:ind w:left="720"/>
      </w:pPr>
    </w:p>
    <w:p w14:paraId="46416B8F" w14:textId="77777777" w:rsidR="00EC252C" w:rsidRDefault="00EC252C" w:rsidP="00EC252C">
      <w:pPr>
        <w:pStyle w:val="NoSpacing"/>
        <w:ind w:left="720"/>
      </w:pPr>
      <w:r w:rsidRPr="00B05652">
        <w:t>We do not find that the Commission’s decision undermines this Court’s</w:t>
      </w:r>
      <w:r>
        <w:t xml:space="preserve"> </w:t>
      </w:r>
      <w:r w:rsidRPr="00B05652">
        <w:t xml:space="preserve">decision in Pitre. The facts in </w:t>
      </w:r>
      <w:proofErr w:type="gramStart"/>
      <w:r w:rsidRPr="00B05652">
        <w:t>Pitre,</w:t>
      </w:r>
      <w:proofErr w:type="gramEnd"/>
      <w:r w:rsidRPr="00B05652">
        <w:t xml:space="preserve"> are distinguishable, as the investigation into</w:t>
      </w:r>
      <w:r>
        <w:t xml:space="preserve"> </w:t>
      </w:r>
      <w:r w:rsidRPr="00B05652">
        <w:t>the firefighter began when NOFD made more than an initial inquiry into the</w:t>
      </w:r>
      <w:r>
        <w:t xml:space="preserve"> </w:t>
      </w:r>
      <w:r w:rsidRPr="00B05652">
        <w:t>firefighter’s misconduct by conducting a formal interview. Here, we find that the</w:t>
      </w:r>
      <w:r>
        <w:t xml:space="preserve"> </w:t>
      </w:r>
      <w:r w:rsidRPr="00B05652">
        <w:t>investigation into Mr. Bruner commenced on April 19, 2024, when NOFD was</w:t>
      </w:r>
      <w:r>
        <w:t xml:space="preserve"> </w:t>
      </w:r>
      <w:r w:rsidRPr="00B05652">
        <w:t>informed of Mr. Bruner’s misconduct and requested, and received evidence of his</w:t>
      </w:r>
      <w:r>
        <w:t xml:space="preserve"> </w:t>
      </w:r>
      <w:r w:rsidRPr="00B05652">
        <w:t>misconduct on the same date.</w:t>
      </w:r>
      <w:r>
        <w:t>”</w:t>
      </w:r>
    </w:p>
    <w:p w14:paraId="56C83147" w14:textId="77777777" w:rsidR="00EC252C" w:rsidRDefault="00EC252C" w:rsidP="00EC252C">
      <w:pPr>
        <w:pStyle w:val="NoSpacing"/>
        <w:ind w:left="720"/>
      </w:pPr>
    </w:p>
    <w:p w14:paraId="591752F3" w14:textId="77777777" w:rsidR="00EC252C" w:rsidRPr="00B05652" w:rsidRDefault="00EC252C" w:rsidP="00EC252C">
      <w:pPr>
        <w:pStyle w:val="NoSpacing"/>
        <w:rPr>
          <w:b/>
          <w:bCs/>
        </w:rPr>
      </w:pPr>
      <w:r>
        <w:rPr>
          <w:b/>
        </w:rPr>
        <w:t xml:space="preserve">Legal </w:t>
      </w:r>
      <w:proofErr w:type="gramStart"/>
      <w:r>
        <w:rPr>
          <w:b/>
        </w:rPr>
        <w:t>lesson</w:t>
      </w:r>
      <w:proofErr w:type="gramEnd"/>
      <w:r>
        <w:rPr>
          <w:b/>
        </w:rPr>
        <w:t xml:space="preserve"> learned:  The 60-day rule can lead to confusion; be helpful if a FD policy could give specific guidance. </w:t>
      </w:r>
    </w:p>
    <w:p w14:paraId="6ED60C2A" w14:textId="77777777" w:rsidR="00EC252C" w:rsidRDefault="00EC252C" w:rsidP="00EC252C">
      <w:pPr>
        <w:rPr>
          <w:b/>
        </w:rPr>
      </w:pPr>
    </w:p>
    <w:p w14:paraId="5B1D6F12" w14:textId="66D6A7EC" w:rsidR="00EC252C" w:rsidRDefault="009D283D" w:rsidP="000C62A1">
      <w:pPr>
        <w:pStyle w:val="NoSpacing"/>
        <w:rPr>
          <w:rFonts w:ascii="Arial Black" w:hAnsi="Arial Black"/>
          <w:sz w:val="28"/>
          <w:szCs w:val="28"/>
        </w:rPr>
      </w:pPr>
      <w:r>
        <w:rPr>
          <w:rFonts w:ascii="Arial Black" w:hAnsi="Arial Black"/>
          <w:sz w:val="28"/>
          <w:szCs w:val="28"/>
        </w:rPr>
        <w:t>5-58</w:t>
      </w:r>
    </w:p>
    <w:p w14:paraId="4565709E" w14:textId="77777777" w:rsidR="003F1E51" w:rsidRDefault="003F1E51" w:rsidP="009D283D">
      <w:pPr>
        <w:pStyle w:val="NoSpacing"/>
        <w:rPr>
          <w:rFonts w:ascii="Arial Black" w:hAnsi="Arial Black"/>
          <w:sz w:val="28"/>
          <w:szCs w:val="28"/>
        </w:rPr>
      </w:pPr>
    </w:p>
    <w:p w14:paraId="0C380036" w14:textId="3C1D26C7" w:rsidR="009D283D" w:rsidRPr="00FA1AE7" w:rsidRDefault="009D283D" w:rsidP="009D283D">
      <w:pPr>
        <w:pStyle w:val="NoSpacing"/>
        <w:rPr>
          <w:rFonts w:ascii="Arial Black" w:hAnsi="Arial Black"/>
          <w:sz w:val="28"/>
          <w:szCs w:val="28"/>
        </w:rPr>
      </w:pPr>
      <w:r>
        <w:rPr>
          <w:rFonts w:ascii="Arial Black" w:hAnsi="Arial Black"/>
          <w:sz w:val="28"/>
          <w:szCs w:val="28"/>
        </w:rPr>
        <w:t xml:space="preserve">TX: CHIEF MVA DRIVING TO WORK - CITY </w:t>
      </w:r>
      <w:r w:rsidR="00F42915">
        <w:rPr>
          <w:rFonts w:ascii="Arial Black" w:hAnsi="Arial Black"/>
          <w:sz w:val="28"/>
          <w:szCs w:val="28"/>
        </w:rPr>
        <w:t xml:space="preserve">HAS </w:t>
      </w:r>
      <w:r>
        <w:rPr>
          <w:rFonts w:ascii="Arial Black" w:hAnsi="Arial Black"/>
          <w:sz w:val="28"/>
          <w:szCs w:val="28"/>
        </w:rPr>
        <w:t xml:space="preserve">IMMUNITY </w:t>
      </w:r>
    </w:p>
    <w:p w14:paraId="5B6CD67B" w14:textId="77777777" w:rsidR="009D283D" w:rsidRDefault="009D283D" w:rsidP="009D283D">
      <w:pPr>
        <w:pStyle w:val="NoSpacing"/>
      </w:pPr>
    </w:p>
    <w:p w14:paraId="796D15BB" w14:textId="77777777" w:rsidR="009D283D" w:rsidRDefault="009D283D" w:rsidP="009D283D">
      <w:pPr>
        <w:rPr>
          <w:bCs/>
        </w:rPr>
      </w:pPr>
      <w:r>
        <w:t xml:space="preserve">On December 9, 2025, in </w:t>
      </w:r>
      <w:r w:rsidRPr="00236011">
        <w:rPr>
          <w:u w:val="single"/>
        </w:rPr>
        <w:t>City of Houston v. Annie Gutierrez, et al</w:t>
      </w:r>
      <w:r>
        <w:t xml:space="preserve">., the </w:t>
      </w:r>
      <w:r w:rsidRPr="00236011">
        <w:t>Court of Appeals of Texas, Fourteenth District</w:t>
      </w:r>
      <w:r>
        <w:t xml:space="preserve"> held that trial court should have dismissed the city; under the State’s tort claims act, municipalities wave their governmental immunity for motor vehicle accidents in the performance of employee’s duties.  Under the “coming and going” rule, employees driving to work are not in the performance of their duties.  </w:t>
      </w:r>
      <w:hyperlink r:id="rId929" w:history="1">
        <w:r w:rsidRPr="00AE4181">
          <w:rPr>
            <w:rStyle w:val="Hyperlink"/>
          </w:rPr>
          <w:t>https://cases.justia.com/texas/fourteenth-court-of-appeals/2025-14-24-00811-cv.pdf?ts=1765287556</w:t>
        </w:r>
      </w:hyperlink>
      <w:r>
        <w:t xml:space="preserve"> </w:t>
      </w:r>
    </w:p>
    <w:p w14:paraId="68E79A19" w14:textId="77777777" w:rsidR="009D283D" w:rsidRDefault="009D283D" w:rsidP="009D283D">
      <w:pPr>
        <w:rPr>
          <w:bCs/>
        </w:rPr>
      </w:pPr>
      <w:r>
        <w:t>THE COURT HELD:</w:t>
      </w:r>
    </w:p>
    <w:p w14:paraId="180F91F8" w14:textId="77777777" w:rsidR="009D283D" w:rsidRPr="00354114" w:rsidRDefault="009D283D" w:rsidP="009D283D">
      <w:pPr>
        <w:pStyle w:val="NoSpacing"/>
        <w:ind w:firstLine="720"/>
      </w:pPr>
      <w:r>
        <w:t>“</w:t>
      </w:r>
      <w:r w:rsidRPr="00354114">
        <w:t>At approximately 5:30 a.m. one morning, a Chevrolet Silverado truck struck</w:t>
      </w:r>
    </w:p>
    <w:p w14:paraId="285F8540" w14:textId="77777777" w:rsidR="009D283D" w:rsidRPr="00354114" w:rsidRDefault="009D283D" w:rsidP="009D283D">
      <w:pPr>
        <w:pStyle w:val="NoSpacing"/>
        <w:ind w:firstLine="720"/>
      </w:pPr>
      <w:r w:rsidRPr="00354114">
        <w:t>the back of a car in a left-hand-turn lane on Westpark Drive in Houston. City of</w:t>
      </w:r>
    </w:p>
    <w:p w14:paraId="7387BDE4" w14:textId="77777777" w:rsidR="009D283D" w:rsidRPr="00354114" w:rsidRDefault="009D283D" w:rsidP="009D283D">
      <w:pPr>
        <w:pStyle w:val="NoSpacing"/>
        <w:ind w:firstLine="720"/>
      </w:pPr>
      <w:r w:rsidRPr="00354114">
        <w:t xml:space="preserve">Houston Fire Chief Mark Griffiths was the driver of the </w:t>
      </w:r>
      <w:proofErr w:type="gramStart"/>
      <w:r w:rsidRPr="00354114">
        <w:t>truck, which</w:t>
      </w:r>
      <w:proofErr w:type="gramEnd"/>
      <w:r w:rsidRPr="00354114">
        <w:t xml:space="preserve"> the </w:t>
      </w:r>
      <w:proofErr w:type="gramStart"/>
      <w:r w:rsidRPr="00354114">
        <w:t>City</w:t>
      </w:r>
      <w:proofErr w:type="gramEnd"/>
      <w:r w:rsidRPr="00354114">
        <w:t xml:space="preserve"> owned.</w:t>
      </w:r>
    </w:p>
    <w:p w14:paraId="398CC545" w14:textId="77777777" w:rsidR="009D283D" w:rsidRPr="00354114" w:rsidRDefault="009D283D" w:rsidP="009D283D">
      <w:pPr>
        <w:pStyle w:val="NoSpacing"/>
        <w:ind w:firstLine="720"/>
      </w:pPr>
      <w:r w:rsidRPr="00354114">
        <w:t xml:space="preserve">Appellees sued the </w:t>
      </w:r>
      <w:proofErr w:type="gramStart"/>
      <w:r w:rsidRPr="00354114">
        <w:t>City</w:t>
      </w:r>
      <w:proofErr w:type="gramEnd"/>
      <w:r w:rsidRPr="00354114">
        <w:t xml:space="preserve"> alleging personal injuries from the collision. Appellees</w:t>
      </w:r>
    </w:p>
    <w:p w14:paraId="6878C234" w14:textId="77777777" w:rsidR="009D283D" w:rsidRPr="00354114" w:rsidRDefault="009D283D" w:rsidP="009D283D">
      <w:pPr>
        <w:pStyle w:val="NoSpacing"/>
        <w:ind w:firstLine="720"/>
      </w:pPr>
      <w:r w:rsidRPr="00354114">
        <w:t xml:space="preserve">alleged Griffiths drove negligently while </w:t>
      </w:r>
      <w:proofErr w:type="gramStart"/>
      <w:r w:rsidRPr="00354114">
        <w:t>in</w:t>
      </w:r>
      <w:proofErr w:type="gramEnd"/>
      <w:r w:rsidRPr="00354114">
        <w:t xml:space="preserve"> the course and scope of his </w:t>
      </w:r>
      <w:proofErr w:type="gramStart"/>
      <w:r w:rsidRPr="00354114">
        <w:t>City</w:t>
      </w:r>
      <w:proofErr w:type="gramEnd"/>
    </w:p>
    <w:p w14:paraId="7BBF326F" w14:textId="77777777" w:rsidR="009D283D" w:rsidRPr="00354114" w:rsidRDefault="009D283D" w:rsidP="009D283D">
      <w:pPr>
        <w:pStyle w:val="NoSpacing"/>
        <w:ind w:firstLine="720"/>
      </w:pPr>
      <w:r w:rsidRPr="00354114">
        <w:t xml:space="preserve">employment at the time of the collision, and thus, the City’s immunity was </w:t>
      </w:r>
      <w:proofErr w:type="gramStart"/>
      <w:r w:rsidRPr="00354114">
        <w:t>waived</w:t>
      </w:r>
      <w:proofErr w:type="gramEnd"/>
    </w:p>
    <w:p w14:paraId="70FEBB97" w14:textId="77777777" w:rsidR="009D283D" w:rsidRPr="00354114" w:rsidRDefault="009D283D" w:rsidP="009D283D">
      <w:pPr>
        <w:pStyle w:val="NoSpacing"/>
        <w:ind w:firstLine="720"/>
      </w:pPr>
      <w:r w:rsidRPr="00354114">
        <w:t xml:space="preserve">under the Texas Torts Claims Act (“TTCA”). See Tex. Civ. </w:t>
      </w:r>
      <w:proofErr w:type="spellStart"/>
      <w:r w:rsidRPr="00354114">
        <w:t>Prac</w:t>
      </w:r>
      <w:proofErr w:type="spellEnd"/>
      <w:r w:rsidRPr="00354114">
        <w:t>. &amp; Rem. Code</w:t>
      </w:r>
    </w:p>
    <w:p w14:paraId="776F8604" w14:textId="77777777" w:rsidR="009D283D" w:rsidRDefault="009D283D" w:rsidP="009D283D">
      <w:pPr>
        <w:pStyle w:val="NoSpacing"/>
        <w:ind w:firstLine="720"/>
      </w:pPr>
      <w:r w:rsidRPr="00354114">
        <w:t>Ann. § 101.021(1).</w:t>
      </w:r>
    </w:p>
    <w:p w14:paraId="0C753287" w14:textId="77777777" w:rsidR="009D283D" w:rsidRDefault="009D283D" w:rsidP="009D283D">
      <w:pPr>
        <w:pStyle w:val="NoSpacing"/>
      </w:pPr>
    </w:p>
    <w:p w14:paraId="07202E40" w14:textId="77777777" w:rsidR="009D283D" w:rsidRDefault="009D283D" w:rsidP="009D283D">
      <w:pPr>
        <w:pStyle w:val="NoSpacing"/>
        <w:ind w:firstLine="720"/>
      </w:pPr>
      <w:r>
        <w:t>The City’s evidence showed that when this accident occurred, Griffiths was</w:t>
      </w:r>
    </w:p>
    <w:p w14:paraId="789B127B" w14:textId="77777777" w:rsidR="009D283D" w:rsidRDefault="009D283D" w:rsidP="009D283D">
      <w:pPr>
        <w:pStyle w:val="NoSpacing"/>
        <w:ind w:firstLine="720"/>
      </w:pPr>
      <w:r>
        <w:t>driving from his home. Griffiths was about ten minutes away from the fire station,</w:t>
      </w:r>
    </w:p>
    <w:p w14:paraId="7020F297" w14:textId="77777777" w:rsidR="009D283D" w:rsidRDefault="009D283D" w:rsidP="009D283D">
      <w:pPr>
        <w:pStyle w:val="NoSpacing"/>
        <w:ind w:firstLine="720"/>
      </w:pPr>
      <w:r>
        <w:t>but planned to go to the gym, then to work. Griffiths was wearing his gym clothes</w:t>
      </w:r>
    </w:p>
    <w:p w14:paraId="3B077913" w14:textId="77777777" w:rsidR="009D283D" w:rsidRDefault="009D283D" w:rsidP="009D283D">
      <w:pPr>
        <w:pStyle w:val="NoSpacing"/>
        <w:ind w:firstLine="720"/>
      </w:pPr>
      <w:r>
        <w:t>at the time of the accident. Griffiths testified his normal routine was to go to the</w:t>
      </w:r>
    </w:p>
    <w:p w14:paraId="28BCAF3C" w14:textId="77777777" w:rsidR="009D283D" w:rsidRDefault="009D283D" w:rsidP="009D283D">
      <w:pPr>
        <w:pStyle w:val="NoSpacing"/>
        <w:ind w:firstLine="720"/>
      </w:pPr>
      <w:r>
        <w:t>gym, work out, then put on his uniform and then start work.</w:t>
      </w:r>
    </w:p>
    <w:p w14:paraId="699B68C3" w14:textId="77777777" w:rsidR="009D283D" w:rsidRDefault="009D283D" w:rsidP="009D283D">
      <w:pPr>
        <w:pStyle w:val="NoSpacing"/>
      </w:pPr>
    </w:p>
    <w:p w14:paraId="0A0EE420" w14:textId="77777777" w:rsidR="009D283D" w:rsidRDefault="009D283D" w:rsidP="009D283D">
      <w:pPr>
        <w:pStyle w:val="NoSpacing"/>
        <w:ind w:firstLine="720"/>
      </w:pPr>
      <w:proofErr w:type="spellStart"/>
      <w:r>
        <w:t>Griffiths’s</w:t>
      </w:r>
      <w:proofErr w:type="spellEnd"/>
      <w:r>
        <w:t xml:space="preserve"> work hours were 6:00 a.m. to 4:00 p.m., Tuesdays through Fridays.</w:t>
      </w:r>
    </w:p>
    <w:p w14:paraId="78524696" w14:textId="77777777" w:rsidR="009D283D" w:rsidRDefault="009D283D" w:rsidP="009D283D">
      <w:pPr>
        <w:pStyle w:val="NoSpacing"/>
        <w:ind w:firstLine="720"/>
      </w:pPr>
      <w:proofErr w:type="spellStart"/>
      <w:r>
        <w:t>Griffiths’s</w:t>
      </w:r>
      <w:proofErr w:type="spellEnd"/>
      <w:r>
        <w:t xml:space="preserve"> work duties did not include responding to emergencies. Griffiths</w:t>
      </w:r>
    </w:p>
    <w:p w14:paraId="076AD3B8" w14:textId="77777777" w:rsidR="009D283D" w:rsidRDefault="009D283D" w:rsidP="009D283D">
      <w:pPr>
        <w:pStyle w:val="NoSpacing"/>
        <w:ind w:firstLine="720"/>
      </w:pPr>
      <w:r>
        <w:t>described his work as training firefighters and quality assurance of incoming calls</w:t>
      </w:r>
    </w:p>
    <w:p w14:paraId="2848EAA0" w14:textId="77777777" w:rsidR="009D283D" w:rsidRDefault="009D283D" w:rsidP="009D283D">
      <w:pPr>
        <w:ind w:firstLine="720"/>
      </w:pPr>
      <w:r>
        <w:t>and complaints.</w:t>
      </w:r>
    </w:p>
    <w:p w14:paraId="105DB91F" w14:textId="77777777" w:rsidR="009D283D" w:rsidRDefault="009D283D" w:rsidP="009D283D">
      <w:pPr>
        <w:ind w:firstLine="720"/>
      </w:pPr>
      <w:r>
        <w:t>***</w:t>
      </w:r>
    </w:p>
    <w:p w14:paraId="76938831" w14:textId="77777777" w:rsidR="009D283D" w:rsidRDefault="009D283D" w:rsidP="009D283D">
      <w:pPr>
        <w:pStyle w:val="NoSpacing"/>
        <w:ind w:firstLine="720"/>
        <w:rPr>
          <w:bCs/>
        </w:rPr>
      </w:pPr>
      <w:r w:rsidRPr="009F3681">
        <w:t>This Court recently summarized the coming-and-going rule as follows:</w:t>
      </w:r>
      <w:r>
        <w:t xml:space="preserve"> </w:t>
      </w:r>
    </w:p>
    <w:p w14:paraId="14DCA6E8" w14:textId="77777777" w:rsidR="009D283D" w:rsidRPr="009F3681" w:rsidRDefault="009D283D" w:rsidP="009D283D">
      <w:pPr>
        <w:pStyle w:val="NoSpacing"/>
        <w:ind w:left="720"/>
        <w:rPr>
          <w:bCs/>
        </w:rPr>
      </w:pPr>
      <w:r w:rsidRPr="009F3681">
        <w:t xml:space="preserve">Under the coming-and-going rule, an </w:t>
      </w:r>
      <w:r>
        <w:t>‘</w:t>
      </w:r>
      <w:r w:rsidRPr="009F3681">
        <w:t>employee is generally not acting</w:t>
      </w:r>
      <w:r>
        <w:t xml:space="preserve"> </w:t>
      </w:r>
      <w:r w:rsidRPr="009F3681">
        <w:t>within the scope of [her] employment when traveling to and from</w:t>
      </w:r>
      <w:r>
        <w:t xml:space="preserve"> </w:t>
      </w:r>
      <w:r w:rsidRPr="009F3681">
        <w:t>work.</w:t>
      </w:r>
      <w:r>
        <w:t xml:space="preserve">’ </w:t>
      </w:r>
      <w:r w:rsidRPr="009F3681">
        <w:t xml:space="preserve"> Painter v. </w:t>
      </w:r>
      <w:proofErr w:type="spellStart"/>
      <w:r w:rsidRPr="009F3681">
        <w:t>Amerimex</w:t>
      </w:r>
      <w:proofErr w:type="spellEnd"/>
      <w:r w:rsidRPr="009F3681">
        <w:t xml:space="preserve"> Drilling I, Ltd., 561 S.W.3d 125, 136 (Tex.</w:t>
      </w:r>
      <w:r>
        <w:t xml:space="preserve"> </w:t>
      </w:r>
      <w:r w:rsidRPr="009F3681">
        <w:t>2018). The coming-and-going rule reflects that an accident while</w:t>
      </w:r>
      <w:r>
        <w:t xml:space="preserve"> </w:t>
      </w:r>
      <w:r w:rsidRPr="009F3681">
        <w:t>traveling to and from work does not generally arise from a person’s</w:t>
      </w:r>
    </w:p>
    <w:p w14:paraId="6FFBC35B" w14:textId="77777777" w:rsidR="009D283D" w:rsidRPr="009F3681" w:rsidRDefault="009D283D" w:rsidP="009D283D">
      <w:pPr>
        <w:pStyle w:val="NoSpacing"/>
        <w:ind w:left="720"/>
        <w:rPr>
          <w:bCs/>
        </w:rPr>
      </w:pPr>
      <w:r w:rsidRPr="009F3681">
        <w:t xml:space="preserve">employment but instead </w:t>
      </w:r>
      <w:proofErr w:type="gramStart"/>
      <w:r w:rsidRPr="009F3681">
        <w:t>from</w:t>
      </w:r>
      <w:proofErr w:type="gramEnd"/>
      <w:r w:rsidRPr="009F3681">
        <w:t xml:space="preserve"> the risks and hazards inherent to the</w:t>
      </w:r>
      <w:r>
        <w:t xml:space="preserve"> </w:t>
      </w:r>
      <w:r w:rsidRPr="009F3681">
        <w:t xml:space="preserve">driving public. Smith v. Tex. Emp. Ins. </w:t>
      </w:r>
      <w:proofErr w:type="spellStart"/>
      <w:r w:rsidRPr="009F3681">
        <w:t>Ass’n</w:t>
      </w:r>
      <w:proofErr w:type="spellEnd"/>
      <w:r w:rsidRPr="009F3681">
        <w:t>, 105 S.W.2d 192, 193</w:t>
      </w:r>
      <w:r>
        <w:t xml:space="preserve"> </w:t>
      </w:r>
      <w:r w:rsidRPr="009F3681">
        <w:t>(Tex. [Comm’n Op.] 1937); see Cameron Int’l Corp. v. Martinez, 662</w:t>
      </w:r>
      <w:r>
        <w:t xml:space="preserve"> </w:t>
      </w:r>
      <w:r w:rsidRPr="009F3681">
        <w:t xml:space="preserve">S.W.3d 373, 376 (Tex. 2022). </w:t>
      </w:r>
      <w:r>
        <w:t>‘</w:t>
      </w:r>
      <w:r w:rsidRPr="009F3681">
        <w:t>Such travel hazards do not arise out of</w:t>
      </w:r>
      <w:r>
        <w:t xml:space="preserve"> </w:t>
      </w:r>
      <w:r w:rsidRPr="009F3681">
        <w:t>the business of an employer; thus, the law does not hold the employer</w:t>
      </w:r>
    </w:p>
    <w:p w14:paraId="2882794A" w14:textId="77777777" w:rsidR="009D283D" w:rsidRDefault="009D283D" w:rsidP="009D283D">
      <w:pPr>
        <w:pStyle w:val="NoSpacing"/>
        <w:ind w:firstLine="720"/>
        <w:rPr>
          <w:bCs/>
        </w:rPr>
      </w:pPr>
      <w:r w:rsidRPr="009F3681">
        <w:t>liable for injuries resulting from engaging in these risks.</w:t>
      </w:r>
      <w:r>
        <w:t>’</w:t>
      </w:r>
      <w:r w:rsidRPr="009F3681">
        <w:t xml:space="preserve"> Cameron,</w:t>
      </w:r>
      <w:r>
        <w:t xml:space="preserve"> </w:t>
      </w:r>
      <w:r w:rsidRPr="009F3681">
        <w:t>662 S.W.3d at 376.</w:t>
      </w:r>
      <w:r>
        <w:t>”</w:t>
      </w:r>
    </w:p>
    <w:p w14:paraId="3073CFD8" w14:textId="77777777" w:rsidR="009D283D" w:rsidRDefault="009D283D" w:rsidP="009D283D">
      <w:pPr>
        <w:pStyle w:val="NoSpacing"/>
        <w:ind w:firstLine="720"/>
        <w:rPr>
          <w:bCs/>
        </w:rPr>
      </w:pPr>
    </w:p>
    <w:p w14:paraId="65F961A4" w14:textId="77777777" w:rsidR="009D283D" w:rsidRPr="00072A0E" w:rsidRDefault="009D283D" w:rsidP="009D283D">
      <w:pPr>
        <w:pStyle w:val="NoSpacing"/>
        <w:rPr>
          <w:b/>
        </w:rPr>
      </w:pPr>
      <w:r>
        <w:rPr>
          <w:b/>
        </w:rPr>
        <w:t xml:space="preserve">Legal lesson learned: The motorist may pursue litigation against the Chief in his personal capacity, but not the city. </w:t>
      </w:r>
    </w:p>
    <w:p w14:paraId="2B23B80E" w14:textId="77777777" w:rsidR="009D283D" w:rsidRPr="00236011" w:rsidRDefault="009D283D" w:rsidP="009D283D">
      <w:pPr>
        <w:pStyle w:val="NoSpacing"/>
        <w:rPr>
          <w:bCs/>
        </w:rPr>
      </w:pPr>
    </w:p>
    <w:p w14:paraId="77A190AC" w14:textId="77777777" w:rsidR="009D283D" w:rsidRDefault="009D283D" w:rsidP="000C62A1">
      <w:pPr>
        <w:pStyle w:val="NoSpacing"/>
        <w:rPr>
          <w:rFonts w:ascii="Arial Black" w:hAnsi="Arial Black"/>
          <w:sz w:val="28"/>
          <w:szCs w:val="28"/>
        </w:rPr>
      </w:pPr>
    </w:p>
    <w:p w14:paraId="671CC357" w14:textId="77777777" w:rsidR="00CC770C" w:rsidRDefault="00CC770C" w:rsidP="000C62A1">
      <w:pPr>
        <w:pStyle w:val="NoSpacing"/>
        <w:rPr>
          <w:rFonts w:ascii="Arial Black" w:hAnsi="Arial Black"/>
          <w:sz w:val="28"/>
          <w:szCs w:val="28"/>
        </w:rPr>
      </w:pPr>
    </w:p>
    <w:p w14:paraId="7B4787A0" w14:textId="77777777" w:rsidR="00CC770C" w:rsidRDefault="00CC770C" w:rsidP="000C62A1">
      <w:pPr>
        <w:pStyle w:val="NoSpacing"/>
        <w:rPr>
          <w:rFonts w:ascii="Arial Black" w:hAnsi="Arial Black"/>
          <w:sz w:val="28"/>
          <w:szCs w:val="28"/>
        </w:rPr>
      </w:pPr>
    </w:p>
    <w:p w14:paraId="44843B33" w14:textId="77777777" w:rsidR="00CC770C" w:rsidRDefault="00CC770C" w:rsidP="000C62A1">
      <w:pPr>
        <w:pStyle w:val="NoSpacing"/>
        <w:rPr>
          <w:rFonts w:ascii="Arial Black" w:hAnsi="Arial Black"/>
          <w:sz w:val="28"/>
          <w:szCs w:val="28"/>
        </w:rPr>
      </w:pPr>
    </w:p>
    <w:p w14:paraId="6E03A7EA" w14:textId="77777777" w:rsidR="00CC770C" w:rsidRDefault="00CC770C" w:rsidP="000C62A1">
      <w:pPr>
        <w:pStyle w:val="NoSpacing"/>
        <w:rPr>
          <w:rFonts w:ascii="Arial Black" w:hAnsi="Arial Black"/>
          <w:sz w:val="28"/>
          <w:szCs w:val="28"/>
        </w:rPr>
      </w:pPr>
    </w:p>
    <w:p w14:paraId="4793D3E2" w14:textId="77777777" w:rsidR="00CC770C" w:rsidRDefault="00CC770C" w:rsidP="000C62A1">
      <w:pPr>
        <w:pStyle w:val="NoSpacing"/>
        <w:rPr>
          <w:rFonts w:ascii="Arial Black" w:hAnsi="Arial Black"/>
          <w:sz w:val="28"/>
          <w:szCs w:val="28"/>
        </w:rPr>
      </w:pPr>
    </w:p>
    <w:p w14:paraId="129C85C4" w14:textId="1D4DAA88" w:rsidR="0096096B" w:rsidRDefault="003E41BB" w:rsidP="000C62A1">
      <w:pPr>
        <w:pStyle w:val="NoSpacing"/>
        <w:rPr>
          <w:rFonts w:ascii="Arial Black" w:hAnsi="Arial Black"/>
          <w:sz w:val="28"/>
          <w:szCs w:val="28"/>
        </w:rPr>
      </w:pPr>
      <w:r>
        <w:rPr>
          <w:rFonts w:ascii="Arial Black" w:hAnsi="Arial Black"/>
          <w:sz w:val="28"/>
          <w:szCs w:val="28"/>
        </w:rPr>
        <w:t>5-57</w:t>
      </w:r>
    </w:p>
    <w:p w14:paraId="492954D3" w14:textId="77777777" w:rsidR="003E41BB" w:rsidRDefault="003E41BB" w:rsidP="000C62A1">
      <w:pPr>
        <w:pStyle w:val="NoSpacing"/>
        <w:rPr>
          <w:rFonts w:ascii="Arial Black" w:hAnsi="Arial Black"/>
          <w:sz w:val="28"/>
          <w:szCs w:val="28"/>
        </w:rPr>
      </w:pPr>
    </w:p>
    <w:p w14:paraId="755FC4FA" w14:textId="77777777" w:rsidR="003E41BB" w:rsidRPr="00D418F3" w:rsidRDefault="003E41BB" w:rsidP="003E41BB">
      <w:pPr>
        <w:rPr>
          <w:rFonts w:ascii="Arial Black" w:hAnsi="Arial Black"/>
          <w:b/>
          <w:sz w:val="28"/>
          <w:szCs w:val="28"/>
        </w:rPr>
      </w:pPr>
      <w:r>
        <w:rPr>
          <w:rFonts w:ascii="Arial Black" w:hAnsi="Arial Black"/>
          <w:b/>
          <w:sz w:val="28"/>
          <w:szCs w:val="28"/>
        </w:rPr>
        <w:t>TX: RED LIGHT – NO PROOF SLOWED DOWN - NO IMMUNITY</w:t>
      </w:r>
    </w:p>
    <w:p w14:paraId="76149E22" w14:textId="77777777" w:rsidR="003E41BB" w:rsidRPr="00B00D48" w:rsidRDefault="003E41BB" w:rsidP="003E41BB">
      <w:pPr>
        <w:rPr>
          <w:b/>
          <w:bCs/>
        </w:rPr>
      </w:pPr>
      <w:r>
        <w:t xml:space="preserve">On Nov. 13, 2025, in </w:t>
      </w:r>
      <w:r w:rsidRPr="001C357D">
        <w:rPr>
          <w:u w:val="single"/>
        </w:rPr>
        <w:t>City of Houston, Texas v. Chelsea Manning, et al</w:t>
      </w:r>
      <w:r>
        <w:t xml:space="preserve">., the </w:t>
      </w:r>
      <w:r w:rsidRPr="00C56FEE">
        <w:t>Court of Appeals of Texas, Fourteenth District</w:t>
      </w:r>
      <w:r>
        <w:t xml:space="preserve"> held (3 to 0) that the trial court properly refused to grant immunity; the City failed to present evidence that Opticom had turned light to green.  </w:t>
      </w:r>
      <w:proofErr w:type="gramStart"/>
      <w:r>
        <w:t>Also</w:t>
      </w:r>
      <w:proofErr w:type="gramEnd"/>
      <w:r>
        <w:t xml:space="preserve"> no evidence Engine slowed down at the intersection (going 45 mph in 35 mph zone). This case has previously </w:t>
      </w:r>
      <w:proofErr w:type="gramStart"/>
      <w:r>
        <w:t>be</w:t>
      </w:r>
      <w:proofErr w:type="gramEnd"/>
      <w:r>
        <w:t xml:space="preserve"> appealed to Texas Supreme Court which remanded it back to the Court of Appeals to reconsider the evidence. THE COURT WROTE:  “[FAO </w:t>
      </w:r>
      <w:r w:rsidRPr="005E1C69">
        <w:t>Wilhelm</w:t>
      </w:r>
      <w:r>
        <w:t xml:space="preserve">] </w:t>
      </w:r>
      <w:r w:rsidRPr="007E7142">
        <w:t xml:space="preserve">Schmidt said he slowed to </w:t>
      </w:r>
      <w:r>
        <w:t>‘</w:t>
      </w:r>
      <w:r w:rsidRPr="007E7142">
        <w:t>clear the intersection,</w:t>
      </w:r>
      <w:r>
        <w:t>’</w:t>
      </w:r>
      <w:r w:rsidRPr="007E7142">
        <w:t xml:space="preserve"> but, as explained, other evidence in the record indicates that he was driving 45 miles per hour </w:t>
      </w:r>
      <w:r>
        <w:t>‘</w:t>
      </w:r>
      <w:r w:rsidRPr="007E7142">
        <w:t>on some of the straightaways</w:t>
      </w:r>
      <w:r>
        <w:t>’</w:t>
      </w:r>
      <w:r w:rsidRPr="007E7142">
        <w:t xml:space="preserve"> and remained driving at 45 miles per hour—10 miles per hour over the speed limit—at the </w:t>
      </w:r>
      <w:r>
        <w:t>‘</w:t>
      </w:r>
      <w:r w:rsidRPr="007E7142">
        <w:t>time of impact.</w:t>
      </w:r>
      <w:r>
        <w:t>’</w:t>
      </w:r>
      <w:r w:rsidRPr="007E7142">
        <w:t xml:space="preserve"> which is evidence from which a reasonable juror could infer that Schmidt either did not slow the vehicle at all or did not slow it as necessary for safe operation</w:t>
      </w:r>
      <w:r>
        <w:t xml:space="preserve">…. </w:t>
      </w:r>
      <w:r w:rsidRPr="000F4DCD">
        <w:t xml:space="preserve">We conclude that the </w:t>
      </w:r>
      <w:proofErr w:type="gramStart"/>
      <w:r w:rsidRPr="000F4DCD">
        <w:t>City</w:t>
      </w:r>
      <w:proofErr w:type="gramEnd"/>
      <w:r w:rsidRPr="000F4DCD">
        <w:t xml:space="preserve"> did not meet its initial burden to prove conclusively Schmidt's good fait</w:t>
      </w:r>
      <w:r>
        <w:t xml:space="preserve">h.” </w:t>
      </w:r>
      <w:hyperlink r:id="rId930" w:history="1">
        <w:r w:rsidRPr="006C188F">
          <w:rPr>
            <w:rStyle w:val="Hyperlink"/>
            <w:b/>
          </w:rPr>
          <w:t>https://caselaw.findlaw.com/court/tx-court-of-appeals/117928954.html</w:t>
        </w:r>
      </w:hyperlink>
      <w:r w:rsidRPr="00B00D48">
        <w:rPr>
          <w:b/>
        </w:rPr>
        <w:t xml:space="preserve"> </w:t>
      </w:r>
    </w:p>
    <w:p w14:paraId="10036D2C" w14:textId="77777777" w:rsidR="003E41BB" w:rsidRDefault="003E41BB" w:rsidP="003E41BB">
      <w:pPr>
        <w:pStyle w:val="NoSpacing"/>
      </w:pPr>
    </w:p>
    <w:p w14:paraId="6E7FFD55" w14:textId="77777777" w:rsidR="003E41BB" w:rsidRDefault="003E41BB" w:rsidP="003E41BB">
      <w:r>
        <w:t xml:space="preserve">THE COURT HELD: </w:t>
      </w:r>
    </w:p>
    <w:p w14:paraId="3F26A99A" w14:textId="77777777" w:rsidR="003E41BB" w:rsidRDefault="003E41BB" w:rsidP="003E41BB">
      <w:pPr>
        <w:ind w:left="720"/>
      </w:pPr>
      <w:r>
        <w:t>“</w:t>
      </w:r>
      <w:r w:rsidRPr="005E1C69">
        <w:t xml:space="preserve">The relevant facts are familiar to both the parties and to this court, so we summarize them only briefly. A Houston Fire </w:t>
      </w:r>
      <w:proofErr w:type="gramStart"/>
      <w:r w:rsidRPr="005E1C69">
        <w:t>Department (</w:t>
      </w:r>
      <w:r>
        <w:t>‘</w:t>
      </w:r>
      <w:proofErr w:type="gramEnd"/>
      <w:r w:rsidRPr="005E1C69">
        <w:t>HFD</w:t>
      </w:r>
      <w:r>
        <w:t>’</w:t>
      </w:r>
      <w:r w:rsidRPr="005E1C69">
        <w:t>) truck driven by Engineer/Operator Wilhelm Schmidt responded to a dispatch for a dumpster fire at an apartment complex. En route, the fire truck collided with a car driven by Chelsea Manning at the intersection of Ludington Drive and Fondren Road. Also in Manning's car were three minor passengers.</w:t>
      </w:r>
    </w:p>
    <w:p w14:paraId="49455F5F" w14:textId="77777777" w:rsidR="003E41BB" w:rsidRDefault="003E41BB" w:rsidP="003E41BB">
      <w:pPr>
        <w:ind w:left="720"/>
      </w:pPr>
      <w:r>
        <w:t>***</w:t>
      </w:r>
    </w:p>
    <w:p w14:paraId="0568A4F8" w14:textId="77777777" w:rsidR="003E41BB" w:rsidRDefault="003E41BB" w:rsidP="003E41BB">
      <w:pPr>
        <w:ind w:left="720"/>
      </w:pPr>
      <w:r w:rsidRPr="004F2DF7">
        <w:t xml:space="preserve">Under section 546.001, the operator of an emergency vehicle may proceed past a red or stop signal or stop sign, after slowing as necessary for safe operation. Id. § 546.001(2). Such an operator may also exceed a maximum speed limit, except as provided by an ordinance adopted under section 545.365, </w:t>
      </w:r>
      <w:proofErr w:type="gramStart"/>
      <w:r w:rsidRPr="004F2DF7">
        <w:t>as long as</w:t>
      </w:r>
      <w:proofErr w:type="gramEnd"/>
      <w:r w:rsidRPr="004F2DF7">
        <w:t xml:space="preserve"> the operator does not endanger life or property. Id. § 546.001(3)</w:t>
      </w:r>
      <w:r>
        <w:t xml:space="preserve">…. </w:t>
      </w:r>
    </w:p>
    <w:p w14:paraId="1A8D6F53" w14:textId="77777777" w:rsidR="003E41BB" w:rsidRDefault="003E41BB" w:rsidP="003E41BB">
      <w:pPr>
        <w:ind w:left="720"/>
      </w:pPr>
      <w:r w:rsidRPr="007E7142">
        <w:t>It is also evidence from which a reasonable juror could infer that Schmidt's excessive speed endangered life or property. Based on this evidence, a factfinder could reasonably conclude that Schmidt (1) drove above the speed limit endangering life or property, (2) did not slow his speed as necessary for safe operation of the vehicle, and (3) proceeded against a red light.</w:t>
      </w:r>
    </w:p>
    <w:p w14:paraId="3EF48397" w14:textId="77777777" w:rsidR="003E41BB" w:rsidRDefault="003E41BB" w:rsidP="003E41BB">
      <w:pPr>
        <w:ind w:left="720"/>
      </w:pPr>
      <w:r>
        <w:t>***</w:t>
      </w:r>
    </w:p>
    <w:p w14:paraId="456919C9" w14:textId="77777777" w:rsidR="003E41BB" w:rsidRDefault="003E41BB" w:rsidP="003E41BB">
      <w:pPr>
        <w:pStyle w:val="NoSpacing"/>
        <w:ind w:left="720"/>
      </w:pPr>
      <w:r w:rsidRPr="00920FF6">
        <w:t xml:space="preserve">Captain Hill introduced a new fact with the City's second summary-judgment motion that was not presented in the first appeal. He explained that the fire truck was fitted with an </w:t>
      </w:r>
      <w:r>
        <w:t>‘</w:t>
      </w:r>
      <w:r w:rsidRPr="00920FF6">
        <w:t>Opticom transmitter</w:t>
      </w:r>
      <w:r>
        <w:t>’</w:t>
      </w:r>
      <w:r w:rsidRPr="00920FF6">
        <w:t xml:space="preserve"> that automatically activated when the emergency lights were turned on. </w:t>
      </w:r>
      <w:r>
        <w:t xml:space="preserve"> </w:t>
      </w:r>
      <w:r w:rsidRPr="00920FF6">
        <w:t xml:space="preserve">An Opticom transmitter </w:t>
      </w:r>
      <w:r>
        <w:t>‘</w:t>
      </w:r>
      <w:r w:rsidRPr="00920FF6">
        <w:t>grants the apparatus a temporary right of way by turning their traffic light green, and the others red.</w:t>
      </w:r>
      <w:r>
        <w:t>’</w:t>
      </w:r>
      <w:r w:rsidRPr="00920FF6">
        <w:t xml:space="preserve"> Captain Hill could tell that the Opticom transmitter was working because traffic lights in their path changed to green as they drove to the scene. Based on the Opticom transmitter's operation, Captain Hill opined that, even if Schmidt did not slow down as he approached the intersection, he still acted in good faith because </w:t>
      </w:r>
      <w:r>
        <w:t>‘</w:t>
      </w:r>
      <w:r w:rsidRPr="00920FF6">
        <w:t>the Opticom transmitter was operating and turned our light green as we approached, so we did not have to slow down for a red traffic signal.</w:t>
      </w:r>
      <w:r>
        <w:t>’</w:t>
      </w:r>
      <w:r w:rsidRPr="00920FF6">
        <w:t xml:space="preserve"> Captain Hill added that the fire truck's emergency lights were activated the entire time, and they blew the airhorn as they approached each intersection, including the one at Fondren and Ludington.</w:t>
      </w:r>
      <w:r>
        <w:t xml:space="preserve"> </w:t>
      </w:r>
      <w:r w:rsidRPr="00134CE7">
        <w:t>There is no evidence, however, that the traffic signals for Schmidt and Manning could have been green at the same time. Captain Hill testified that, when the Opticom transmitter activates a green signal for an approaching fire truck, the signals for other traffic are changed to red.</w:t>
      </w:r>
      <w:r>
        <w:t xml:space="preserve">” </w:t>
      </w:r>
    </w:p>
    <w:p w14:paraId="6C0F1D5E" w14:textId="77777777" w:rsidR="003E41BB" w:rsidRDefault="003E41BB" w:rsidP="003E41BB">
      <w:pPr>
        <w:rPr>
          <w:b/>
          <w:bCs/>
        </w:rPr>
      </w:pPr>
    </w:p>
    <w:p w14:paraId="1AE687D3" w14:textId="3EEDCA8F" w:rsidR="003E41BB" w:rsidRDefault="003E41BB" w:rsidP="003E41BB">
      <w:pPr>
        <w:rPr>
          <w:b/>
          <w:bCs/>
        </w:rPr>
      </w:pPr>
      <w:r>
        <w:rPr>
          <w:b/>
        </w:rPr>
        <w:t xml:space="preserve">Legal lesson learned: The trial court judge was not presented with proof that FAO slowed down entering the intersection, or that the Opticom had timely operated to give FAO a green light.  </w:t>
      </w:r>
    </w:p>
    <w:p w14:paraId="35AAD2A5" w14:textId="77777777" w:rsidR="003E41BB" w:rsidRDefault="003E41BB" w:rsidP="000C62A1">
      <w:pPr>
        <w:pStyle w:val="NoSpacing"/>
        <w:rPr>
          <w:rFonts w:ascii="Arial Black" w:hAnsi="Arial Black"/>
          <w:sz w:val="28"/>
          <w:szCs w:val="28"/>
        </w:rPr>
      </w:pPr>
    </w:p>
    <w:p w14:paraId="481636D7" w14:textId="77777777" w:rsidR="003E41BB" w:rsidRDefault="003E41BB" w:rsidP="000C62A1">
      <w:pPr>
        <w:pStyle w:val="NoSpacing"/>
        <w:rPr>
          <w:rFonts w:ascii="Arial Black" w:hAnsi="Arial Black"/>
          <w:sz w:val="28"/>
          <w:szCs w:val="28"/>
        </w:rPr>
      </w:pPr>
    </w:p>
    <w:p w14:paraId="72877E0D" w14:textId="77777777" w:rsidR="003E41BB" w:rsidRDefault="003E41BB" w:rsidP="000C62A1">
      <w:pPr>
        <w:pStyle w:val="NoSpacing"/>
        <w:rPr>
          <w:rFonts w:ascii="Arial Black" w:hAnsi="Arial Black"/>
          <w:sz w:val="28"/>
          <w:szCs w:val="28"/>
        </w:rPr>
      </w:pPr>
    </w:p>
    <w:p w14:paraId="1CE9B9BF" w14:textId="23AF963E" w:rsidR="003E41BB" w:rsidRDefault="003E41BB" w:rsidP="000C62A1">
      <w:pPr>
        <w:pStyle w:val="NoSpacing"/>
        <w:rPr>
          <w:rFonts w:ascii="Arial Black" w:hAnsi="Arial Black"/>
          <w:sz w:val="28"/>
          <w:szCs w:val="28"/>
        </w:rPr>
      </w:pPr>
      <w:r>
        <w:rPr>
          <w:rFonts w:ascii="Arial Black" w:hAnsi="Arial Black"/>
          <w:sz w:val="28"/>
          <w:szCs w:val="28"/>
        </w:rPr>
        <w:t>5-56</w:t>
      </w:r>
    </w:p>
    <w:p w14:paraId="63C19777" w14:textId="77777777" w:rsidR="003E41BB" w:rsidRDefault="003E41BB" w:rsidP="000C62A1">
      <w:pPr>
        <w:pStyle w:val="NoSpacing"/>
        <w:rPr>
          <w:rFonts w:ascii="Arial Black" w:hAnsi="Arial Black"/>
          <w:sz w:val="28"/>
          <w:szCs w:val="28"/>
        </w:rPr>
      </w:pPr>
    </w:p>
    <w:p w14:paraId="5D4A0353" w14:textId="77777777" w:rsidR="00CC56F9" w:rsidRPr="00491816" w:rsidRDefault="00CC56F9" w:rsidP="00CC56F9">
      <w:pPr>
        <w:pStyle w:val="NoSpacing"/>
        <w:rPr>
          <w:rFonts w:ascii="Arial Black" w:hAnsi="Arial Black"/>
          <w:sz w:val="28"/>
          <w:szCs w:val="28"/>
        </w:rPr>
      </w:pPr>
      <w:r>
        <w:rPr>
          <w:rFonts w:ascii="Arial Black" w:hAnsi="Arial Black"/>
          <w:sz w:val="28"/>
          <w:szCs w:val="28"/>
        </w:rPr>
        <w:t>TX: ENGINE – HIT CAR PULLING TO RIGHT – NO IMMUNITY</w:t>
      </w:r>
    </w:p>
    <w:p w14:paraId="7B6E6123" w14:textId="77777777" w:rsidR="00CC56F9" w:rsidRDefault="00CC56F9" w:rsidP="00CC56F9">
      <w:pPr>
        <w:pStyle w:val="NoSpacing"/>
      </w:pPr>
    </w:p>
    <w:p w14:paraId="549181B0" w14:textId="77777777" w:rsidR="00CC56F9" w:rsidRDefault="00CC56F9" w:rsidP="00CC56F9">
      <w:r>
        <w:t xml:space="preserve">On November 4, 2025, in </w:t>
      </w:r>
      <w:r w:rsidRPr="00B75D1D">
        <w:rPr>
          <w:u w:val="single"/>
        </w:rPr>
        <w:t>City of Houston</w:t>
      </w:r>
      <w:r>
        <w:rPr>
          <w:u w:val="single"/>
        </w:rPr>
        <w:t>, et al.</w:t>
      </w:r>
      <w:r w:rsidRPr="00B75D1D">
        <w:rPr>
          <w:u w:val="single"/>
        </w:rPr>
        <w:t xml:space="preserve"> v. Myauna Wright</w:t>
      </w:r>
      <w:r>
        <w:t xml:space="preserve">, the </w:t>
      </w:r>
      <w:r w:rsidRPr="00B75D1D">
        <w:t>Court of Appeals of Texas, Houston (1st Dist.)</w:t>
      </w:r>
      <w:r>
        <w:t xml:space="preserve"> held (3 to 0) that trial court judge properly denied the City’s motion to dismiss under the Texas </w:t>
      </w:r>
      <w:r w:rsidRPr="00305726">
        <w:t>doctrine of official immunity.</w:t>
      </w:r>
      <w:r>
        <w:t xml:space="preserve">  The plaintiff’s vehicle was struck by the engine on August 25, 2022.   THE COURT WROTE: “Wright sued the </w:t>
      </w:r>
      <w:proofErr w:type="gramStart"/>
      <w:r>
        <w:t>City</w:t>
      </w:r>
      <w:proofErr w:type="gramEnd"/>
      <w:r>
        <w:t xml:space="preserve"> and … [FAO] S. Obando, for damages arising from a collision between a City of Houston fire engine and her vehicle…. Wright’s pleading does not establish that Obando is entitled to official immunity because she alleged that he acted with reckless disregard, which would </w:t>
      </w:r>
      <w:r w:rsidRPr="00875355">
        <w:t xml:space="preserve">negate good </w:t>
      </w:r>
      <w:proofErr w:type="gramStart"/>
      <w:r w:rsidRPr="00875355">
        <w:t>faith.</w:t>
      </w:r>
      <w:r>
        <w:t>”</w:t>
      </w:r>
      <w:proofErr w:type="gramEnd"/>
      <w:r>
        <w:t xml:space="preserve"> </w:t>
      </w:r>
      <w:hyperlink r:id="rId931" w:history="1">
        <w:r w:rsidRPr="005B3B90">
          <w:rPr>
            <w:rStyle w:val="Hyperlink"/>
          </w:rPr>
          <w:t>https://cases.justia.com/texas/first-court-of-appeals/2025-01-24-00936-cv.pdf?ts=1762265344</w:t>
        </w:r>
      </w:hyperlink>
      <w:r>
        <w:t xml:space="preserve"> </w:t>
      </w:r>
    </w:p>
    <w:p w14:paraId="6D290E15" w14:textId="77777777" w:rsidR="00CC56F9" w:rsidRDefault="00CC56F9" w:rsidP="00CC56F9">
      <w:r>
        <w:t>THE COURT HELD:</w:t>
      </w:r>
    </w:p>
    <w:p w14:paraId="5B0E30F7" w14:textId="77777777" w:rsidR="00CC56F9" w:rsidRDefault="00CC56F9" w:rsidP="00CC56F9">
      <w:pPr>
        <w:pStyle w:val="NoSpacing"/>
        <w:ind w:left="720"/>
      </w:pPr>
      <w:r>
        <w:t xml:space="preserve">“Wright’s pleading does not establish that Obando is entitled to official immunity because she alleged that he acted with reckless disregard, which would  negate good faith. Moreover, in its </w:t>
      </w:r>
      <w:proofErr w:type="gramStart"/>
      <w:r>
        <w:t>reply brief</w:t>
      </w:r>
      <w:proofErr w:type="gramEnd"/>
      <w:r>
        <w:t xml:space="preserve">, the </w:t>
      </w:r>
      <w:proofErr w:type="gramStart"/>
      <w:r>
        <w:t>City</w:t>
      </w:r>
      <w:proofErr w:type="gramEnd"/>
      <w:r>
        <w:t xml:space="preserve"> conceded that Wright had no burden to plead facts to overcome the driver’s assertion of official immunity. Because Wright’s pleading alleges that the fire engine driver’s breach of a duty of care caused her </w:t>
      </w:r>
      <w:proofErr w:type="gramStart"/>
      <w:r>
        <w:t>damages</w:t>
      </w:r>
      <w:proofErr w:type="gramEnd"/>
      <w:r>
        <w:t>, we conclude that she alleged a waiver of immunity under the TTCA [</w:t>
      </w:r>
      <w:r w:rsidRPr="006B192D">
        <w:t>Texas Tort Claims Act</w:t>
      </w:r>
      <w:r>
        <w:t>], subject to the statutory exceptions, which we consider next. See TEX. CIV. PRAC. &amp; REM. CODE § 101.021(1).</w:t>
      </w:r>
    </w:p>
    <w:p w14:paraId="4A795EF4" w14:textId="77777777" w:rsidR="00CC56F9" w:rsidRDefault="00CC56F9" w:rsidP="00CC56F9">
      <w:pPr>
        <w:pStyle w:val="NoSpacing"/>
        <w:ind w:left="720"/>
      </w:pPr>
    </w:p>
    <w:p w14:paraId="2D3C8DB5" w14:textId="77777777" w:rsidR="00CC56F9" w:rsidRDefault="00CC56F9" w:rsidP="00CC56F9">
      <w:pPr>
        <w:pStyle w:val="NoSpacing"/>
        <w:ind w:left="720"/>
      </w:pPr>
      <w:r>
        <w:t>***</w:t>
      </w:r>
    </w:p>
    <w:p w14:paraId="07153525" w14:textId="77777777" w:rsidR="00CC56F9" w:rsidRDefault="00CC56F9" w:rsidP="00CC56F9">
      <w:pPr>
        <w:pStyle w:val="NoSpacing"/>
        <w:ind w:left="720"/>
      </w:pPr>
      <w:r>
        <w:t>A governmental employee is entitled to official immunity: (1) for the performance of discretionary duties; (2) within the scope of the employee’s authority; (3) provided the employee acts in good faith.”</w:t>
      </w:r>
    </w:p>
    <w:p w14:paraId="53A47E7E" w14:textId="77777777" w:rsidR="00CC56F9" w:rsidRDefault="00CC56F9" w:rsidP="00CC56F9">
      <w:pPr>
        <w:pStyle w:val="NoSpacing"/>
        <w:ind w:left="720"/>
      </w:pPr>
    </w:p>
    <w:p w14:paraId="68958E7F" w14:textId="77777777" w:rsidR="00CC56F9" w:rsidRDefault="00CC56F9" w:rsidP="00CC56F9">
      <w:pPr>
        <w:pStyle w:val="NoSpacing"/>
        <w:rPr>
          <w:b/>
          <w:bCs/>
        </w:rPr>
      </w:pPr>
      <w:r>
        <w:rPr>
          <w:b/>
        </w:rPr>
        <w:t>Legal lesson learned: Texas has a “good faith” exception to official immunity; many state</w:t>
      </w:r>
      <w:r>
        <w:rPr>
          <w:b/>
          <w:bCs/>
        </w:rPr>
        <w:t>s</w:t>
      </w:r>
      <w:r>
        <w:rPr>
          <w:b/>
        </w:rPr>
        <w:t xml:space="preserve"> </w:t>
      </w:r>
      <w:r w:rsidRPr="006D3B26">
        <w:rPr>
          <w:b/>
        </w:rPr>
        <w:t>use a “</w:t>
      </w:r>
      <w:r w:rsidRPr="008E532E">
        <w:rPr>
          <w:b/>
        </w:rPr>
        <w:t>willful or wanton misconduct</w:t>
      </w:r>
      <w:r w:rsidRPr="006D3B26">
        <w:rPr>
          <w:b/>
        </w:rPr>
        <w:t xml:space="preserve">” or </w:t>
      </w:r>
      <w:r>
        <w:rPr>
          <w:b/>
          <w:bCs/>
        </w:rPr>
        <w:t>si</w:t>
      </w:r>
      <w:r w:rsidRPr="006D3B26">
        <w:rPr>
          <w:b/>
        </w:rPr>
        <w:t>milar standard.</w:t>
      </w:r>
      <w:r>
        <w:t xml:space="preserve"> </w:t>
      </w:r>
    </w:p>
    <w:p w14:paraId="4C889F76" w14:textId="77777777" w:rsidR="00CC56F9" w:rsidRDefault="00CC56F9" w:rsidP="00CC56F9">
      <w:pPr>
        <w:pStyle w:val="NoSpacing"/>
        <w:rPr>
          <w:b/>
          <w:bCs/>
        </w:rPr>
      </w:pPr>
    </w:p>
    <w:p w14:paraId="305A5F57" w14:textId="77777777" w:rsidR="00CC56F9" w:rsidRPr="00B359C0" w:rsidRDefault="00CC56F9" w:rsidP="00CC56F9">
      <w:pPr>
        <w:pStyle w:val="NoSpacing"/>
        <w:ind w:left="720"/>
        <w:rPr>
          <w:b/>
        </w:rPr>
      </w:pPr>
      <w:r>
        <w:t xml:space="preserve">Note: See Ohio Revised Code, </w:t>
      </w:r>
      <w:r w:rsidRPr="00B359C0">
        <w:rPr>
          <w:b/>
        </w:rPr>
        <w:t>Section 2744.02 | Governmental functions and proprietary functions of political subdivisions</w:t>
      </w:r>
      <w:r>
        <w:rPr>
          <w:b/>
        </w:rPr>
        <w:t xml:space="preserve"> </w:t>
      </w:r>
      <w:hyperlink r:id="rId932" w:history="1">
        <w:r w:rsidRPr="009C046C">
          <w:rPr>
            <w:rStyle w:val="Hyperlink"/>
            <w:b/>
          </w:rPr>
          <w:t>https://codes.ohio.gov/ohio-revised-code/section-2744.02</w:t>
        </w:r>
      </w:hyperlink>
      <w:r>
        <w:rPr>
          <w:b/>
        </w:rPr>
        <w:t xml:space="preserve"> </w:t>
      </w:r>
    </w:p>
    <w:p w14:paraId="16084E8C" w14:textId="77777777" w:rsidR="00CC56F9" w:rsidRDefault="00CC56F9" w:rsidP="00CC56F9">
      <w:pPr>
        <w:pStyle w:val="NoSpacing"/>
      </w:pPr>
    </w:p>
    <w:p w14:paraId="57B9FE57" w14:textId="77777777" w:rsidR="00CC56F9" w:rsidRPr="008E532E" w:rsidRDefault="00CC56F9" w:rsidP="00CC56F9">
      <w:pPr>
        <w:pStyle w:val="NoSpacing"/>
        <w:ind w:left="720"/>
      </w:pPr>
      <w:r w:rsidRPr="008E532E">
        <w:t>(1) Except as otherwise provided in this division, political subdivisions are liable for injury, death, or loss to person or property caused by the negligent operation of any motor vehicle by their employees when the employees are engaged within the scope of their employment and authority. The following are full defenses to that liability:</w:t>
      </w:r>
    </w:p>
    <w:p w14:paraId="155F3343" w14:textId="77777777" w:rsidR="00CC56F9" w:rsidRPr="008E532E" w:rsidRDefault="00CC56F9" w:rsidP="00CC56F9">
      <w:pPr>
        <w:pStyle w:val="NoSpacing"/>
        <w:ind w:left="720"/>
      </w:pPr>
      <w:r w:rsidRPr="008E532E">
        <w:t>(a) A member of a municipal corporation police department or any other police agency was operating a motor vehicle while responding to an emergency call and the operation of the vehicle did not constitute willful or wanton misconduct;</w:t>
      </w:r>
    </w:p>
    <w:p w14:paraId="003E5B26" w14:textId="77777777" w:rsidR="00CC56F9" w:rsidRPr="008E532E" w:rsidRDefault="00CC56F9" w:rsidP="00CC56F9">
      <w:pPr>
        <w:pStyle w:val="NoSpacing"/>
        <w:ind w:left="720"/>
      </w:pPr>
      <w:r w:rsidRPr="008E532E">
        <w:t>(b) A member of a municipal corporation fire department or any other firefighting agency was operating a motor vehicle while engaged in duty at a fire, proceeding toward a place where a fire is in progress or is believed to be in progress, or answering any other emergency alarm and the operation of the vehicle did not constitute willful or wanton misconduct</w:t>
      </w:r>
      <w:r>
        <w:t>….</w:t>
      </w:r>
    </w:p>
    <w:p w14:paraId="733B710E" w14:textId="77777777" w:rsidR="00CC56F9" w:rsidRPr="000E4B43" w:rsidRDefault="00CC56F9" w:rsidP="00CC56F9">
      <w:pPr>
        <w:pStyle w:val="NoSpacing"/>
      </w:pPr>
    </w:p>
    <w:p w14:paraId="4A6D2564" w14:textId="77777777" w:rsidR="00CC56F9" w:rsidRDefault="00CC56F9" w:rsidP="00CC56F9">
      <w:pPr>
        <w:pStyle w:val="NoSpacing"/>
      </w:pPr>
    </w:p>
    <w:p w14:paraId="1A84374B" w14:textId="77777777" w:rsidR="00CC56F9" w:rsidRDefault="00CC56F9" w:rsidP="000C62A1">
      <w:pPr>
        <w:pStyle w:val="NoSpacing"/>
        <w:rPr>
          <w:rFonts w:ascii="Arial Black" w:hAnsi="Arial Black"/>
          <w:sz w:val="28"/>
          <w:szCs w:val="28"/>
        </w:rPr>
      </w:pPr>
    </w:p>
    <w:p w14:paraId="6C2B0064" w14:textId="77777777" w:rsidR="003E41BB" w:rsidRDefault="003E41BB" w:rsidP="000C62A1">
      <w:pPr>
        <w:pStyle w:val="NoSpacing"/>
        <w:rPr>
          <w:rFonts w:ascii="Arial Black" w:hAnsi="Arial Black"/>
          <w:sz w:val="28"/>
          <w:szCs w:val="28"/>
        </w:rPr>
      </w:pPr>
    </w:p>
    <w:p w14:paraId="207E2160" w14:textId="14DC8D72" w:rsidR="0096096B" w:rsidRDefault="0096096B" w:rsidP="000C62A1">
      <w:pPr>
        <w:pStyle w:val="NoSpacing"/>
        <w:rPr>
          <w:rFonts w:ascii="Arial Black" w:hAnsi="Arial Black"/>
          <w:sz w:val="28"/>
          <w:szCs w:val="28"/>
        </w:rPr>
      </w:pPr>
      <w:r>
        <w:rPr>
          <w:rFonts w:ascii="Arial Black" w:hAnsi="Arial Black"/>
          <w:sz w:val="28"/>
          <w:szCs w:val="28"/>
        </w:rPr>
        <w:t>5-55</w:t>
      </w:r>
    </w:p>
    <w:p w14:paraId="7261FFD7" w14:textId="77777777" w:rsidR="00547BA3" w:rsidRDefault="00547BA3" w:rsidP="0096096B">
      <w:pPr>
        <w:pStyle w:val="NoSpacing"/>
        <w:rPr>
          <w:rFonts w:ascii="Arial Black" w:hAnsi="Arial Black"/>
          <w:sz w:val="28"/>
          <w:szCs w:val="28"/>
        </w:rPr>
      </w:pPr>
    </w:p>
    <w:p w14:paraId="509BBFA5" w14:textId="705B1C85" w:rsidR="0096096B" w:rsidRPr="00457206" w:rsidRDefault="0096096B" w:rsidP="0096096B">
      <w:pPr>
        <w:pStyle w:val="NoSpacing"/>
        <w:rPr>
          <w:rFonts w:ascii="Arial Black" w:hAnsi="Arial Black"/>
          <w:sz w:val="28"/>
          <w:szCs w:val="28"/>
        </w:rPr>
      </w:pPr>
      <w:r>
        <w:rPr>
          <w:rFonts w:ascii="Arial Black" w:hAnsi="Arial Black"/>
          <w:sz w:val="28"/>
          <w:szCs w:val="28"/>
        </w:rPr>
        <w:t xml:space="preserve">LA: DRUNK HITS ENGINE – FD GETS VALUE / PLUS $50,000 </w:t>
      </w:r>
    </w:p>
    <w:p w14:paraId="021406F8" w14:textId="77777777" w:rsidR="0096096B" w:rsidRDefault="0096096B" w:rsidP="0096096B">
      <w:pPr>
        <w:pStyle w:val="NoSpacing"/>
        <w:ind w:left="720"/>
      </w:pPr>
    </w:p>
    <w:p w14:paraId="555C0C65" w14:textId="77777777" w:rsidR="0096096B" w:rsidRPr="00496071" w:rsidRDefault="0096096B" w:rsidP="0096096B">
      <w:pPr>
        <w:pStyle w:val="NoSpacing"/>
      </w:pPr>
      <w:r>
        <w:t xml:space="preserve">On Oct. 29, 2025, in </w:t>
      </w:r>
      <w:r w:rsidRPr="00296094">
        <w:rPr>
          <w:u w:val="single"/>
        </w:rPr>
        <w:t>Lafayette City-Parish Consolidated Government v. Tripple T Enterprises, Inc., and Nathan Allen Martin</w:t>
      </w:r>
      <w:r>
        <w:t xml:space="preserve">, the Court of Appeal of Louisiana, Third Circuit held (3 to 0) that the trial court judge, after a bench trial, properly awarded “exemplary” (punitive) damages of $50,000 for destruction of the Lafayette Fire Department’s 1994 Pierce engine, plus its cash value ($12,500) and loss of use damages while awaiting for new engine ($131,175).  Punitive damages were proper even though the plaintiff government suffered no physical or mental injuries; under LA, “injuries” include destruction or loss of use of property. </w:t>
      </w:r>
      <w:hyperlink r:id="rId933" w:history="1">
        <w:r w:rsidRPr="00281F77">
          <w:rPr>
            <w:rStyle w:val="Hyperlink"/>
          </w:rPr>
          <w:t>https://cases.justia.com/louisiana/third-circuit-court-of-appeal/2025-ca-0025-0267.pdf?ts=1761751417</w:t>
        </w:r>
      </w:hyperlink>
      <w:r>
        <w:t xml:space="preserve"> </w:t>
      </w:r>
    </w:p>
    <w:p w14:paraId="4754504A" w14:textId="77777777" w:rsidR="0096096B" w:rsidRDefault="0096096B" w:rsidP="0096096B">
      <w:pPr>
        <w:pStyle w:val="NoSpacing"/>
        <w:ind w:left="720"/>
      </w:pPr>
    </w:p>
    <w:p w14:paraId="08991050" w14:textId="77777777" w:rsidR="0096096B" w:rsidRDefault="0096096B" w:rsidP="0096096B">
      <w:pPr>
        <w:pStyle w:val="NoSpacing"/>
      </w:pPr>
      <w:r>
        <w:t xml:space="preserve">THE COURT HELD: </w:t>
      </w:r>
    </w:p>
    <w:p w14:paraId="73136FFA" w14:textId="77777777" w:rsidR="0096096B" w:rsidRDefault="0096096B" w:rsidP="0096096B">
      <w:pPr>
        <w:pStyle w:val="NoSpacing"/>
        <w:ind w:left="720"/>
      </w:pPr>
    </w:p>
    <w:p w14:paraId="4BBBBC63" w14:textId="77777777" w:rsidR="0096096B" w:rsidRDefault="0096096B" w:rsidP="0096096B">
      <w:pPr>
        <w:pStyle w:val="NoSpacing"/>
        <w:ind w:firstLine="720"/>
      </w:pPr>
      <w:r>
        <w:t>“Nathan Allen Martin was driving an 18-wheeler for his employer, Triple T,</w:t>
      </w:r>
    </w:p>
    <w:p w14:paraId="7C36F176" w14:textId="77777777" w:rsidR="0096096B" w:rsidRDefault="0096096B" w:rsidP="0096096B">
      <w:pPr>
        <w:pStyle w:val="NoSpacing"/>
        <w:ind w:left="720"/>
      </w:pPr>
      <w:r>
        <w:t>while intoxicated and using an electronic device. Martin was hauling a fully loaded flat-bed trailer. Meanwhile, a nearby Lafayette Fire Department firetruck was responding to a major automobile crash. The firetruck stopped on an overpass with its emergency lights activated. Martin proceeded to crash head-on into the firetruck. A firefighter was injured from jumping off the overpass to avoid being struck by Martin. His claims were settled. The firetruck was a total loss.</w:t>
      </w:r>
    </w:p>
    <w:p w14:paraId="62DA315A" w14:textId="77777777" w:rsidR="0096096B" w:rsidRDefault="0096096B" w:rsidP="0096096B">
      <w:pPr>
        <w:pStyle w:val="NoSpacing"/>
      </w:pPr>
    </w:p>
    <w:p w14:paraId="67A442B4" w14:textId="77777777" w:rsidR="0096096B" w:rsidRDefault="0096096B" w:rsidP="0096096B">
      <w:pPr>
        <w:pStyle w:val="NoSpacing"/>
        <w:ind w:firstLine="720"/>
      </w:pPr>
      <w:r>
        <w:t>At the scene of the wreck, responding officers witnessed Martin slurring his</w:t>
      </w:r>
    </w:p>
    <w:p w14:paraId="239FDAA5" w14:textId="77777777" w:rsidR="0096096B" w:rsidRDefault="0096096B" w:rsidP="0096096B">
      <w:pPr>
        <w:pStyle w:val="NoSpacing"/>
        <w:ind w:firstLine="720"/>
      </w:pPr>
      <w:r>
        <w:t>words and displaying a lack of balance. He smelled of alcohol. The officers</w:t>
      </w:r>
    </w:p>
    <w:p w14:paraId="4693AAF5" w14:textId="77777777" w:rsidR="0096096B" w:rsidRDefault="0096096B" w:rsidP="0096096B">
      <w:pPr>
        <w:pStyle w:val="NoSpacing"/>
        <w:ind w:left="720"/>
      </w:pPr>
      <w:r>
        <w:t>discovered an open whiskey bottle on the ground near the 18-wheeler, and an opened beer can with condensation inside the cab of the vehicle. Martin’s blood alcohol test showed a level of 0.11 percent, well over the 0.04 percent limit for operators of commercial motor carriers under the Federal Motor Carrier Act.</w:t>
      </w:r>
    </w:p>
    <w:p w14:paraId="2A1249A1" w14:textId="77777777" w:rsidR="0096096B" w:rsidRDefault="0096096B" w:rsidP="0096096B">
      <w:pPr>
        <w:pStyle w:val="NoSpacing"/>
      </w:pPr>
    </w:p>
    <w:p w14:paraId="1A9F6A0D" w14:textId="77777777" w:rsidR="0096096B" w:rsidRDefault="0096096B" w:rsidP="0096096B">
      <w:pPr>
        <w:pStyle w:val="NoSpacing"/>
        <w:ind w:firstLine="720"/>
      </w:pPr>
      <w:r>
        <w:t>The firetruck was a 1994 Pierce pumper truck used as a spare pumper truck</w:t>
      </w:r>
    </w:p>
    <w:p w14:paraId="70B42FEA" w14:textId="77777777" w:rsidR="0096096B" w:rsidRDefault="0096096B" w:rsidP="0096096B">
      <w:pPr>
        <w:pStyle w:val="NoSpacing"/>
        <w:ind w:firstLine="720"/>
      </w:pPr>
      <w:r>
        <w:t>for the fire department’s fleet if other trucks went offline. Employees of the fire</w:t>
      </w:r>
    </w:p>
    <w:p w14:paraId="4B9F10E1" w14:textId="77777777" w:rsidR="0096096B" w:rsidRDefault="0096096B" w:rsidP="0096096B">
      <w:pPr>
        <w:pStyle w:val="NoSpacing"/>
        <w:ind w:left="720"/>
      </w:pPr>
      <w:r>
        <w:t>department and city testified that although the cost of rental for a similar truck would have been $275 per day, the department was unwilling to accept the risk associated with leasing or buying a used replacement vehicle.</w:t>
      </w:r>
    </w:p>
    <w:p w14:paraId="30575EBB" w14:textId="77777777" w:rsidR="0096096B" w:rsidRDefault="0096096B" w:rsidP="0096096B">
      <w:pPr>
        <w:pStyle w:val="NoSpacing"/>
        <w:ind w:left="720"/>
      </w:pPr>
    </w:p>
    <w:p w14:paraId="22DA015B" w14:textId="77777777" w:rsidR="0096096B" w:rsidRDefault="0096096B" w:rsidP="0096096B">
      <w:pPr>
        <w:pStyle w:val="NoSpacing"/>
        <w:ind w:left="720"/>
      </w:pPr>
      <w:r>
        <w:t>***</w:t>
      </w:r>
    </w:p>
    <w:p w14:paraId="2072B63C" w14:textId="77777777" w:rsidR="0096096B" w:rsidRDefault="0096096B" w:rsidP="0096096B">
      <w:pPr>
        <w:pStyle w:val="NoSpacing"/>
        <w:ind w:left="720"/>
      </w:pPr>
    </w:p>
    <w:p w14:paraId="6BC5DBC9" w14:textId="77777777" w:rsidR="0096096B" w:rsidRDefault="0096096B" w:rsidP="0096096B">
      <w:pPr>
        <w:pStyle w:val="NoSpacing"/>
      </w:pPr>
      <w:r>
        <w:tab/>
      </w:r>
      <w:r>
        <w:tab/>
      </w:r>
      <w:r w:rsidRPr="00133DBA">
        <w:t>Louisiana Civil Code Article 2315.4 states, in pertinent part:</w:t>
      </w:r>
    </w:p>
    <w:p w14:paraId="208D8C82" w14:textId="77777777" w:rsidR="0096096B" w:rsidRDefault="0096096B" w:rsidP="0096096B">
      <w:pPr>
        <w:pStyle w:val="NoSpacing"/>
        <w:ind w:left="720" w:firstLine="720"/>
      </w:pPr>
      <w:proofErr w:type="gramStart"/>
      <w:r>
        <w:t>exemplary</w:t>
      </w:r>
      <w:proofErr w:type="gramEnd"/>
      <w:r>
        <w:t xml:space="preserve"> damages may be awarded upon proof that the injuries on</w:t>
      </w:r>
    </w:p>
    <w:p w14:paraId="71540CA6" w14:textId="77777777" w:rsidR="0096096B" w:rsidRDefault="0096096B" w:rsidP="0096096B">
      <w:pPr>
        <w:pStyle w:val="NoSpacing"/>
        <w:ind w:left="720" w:firstLine="720"/>
      </w:pPr>
      <w:r>
        <w:t>which the action is based were caused by a wanton or reckless disregard</w:t>
      </w:r>
    </w:p>
    <w:p w14:paraId="407629B3" w14:textId="77777777" w:rsidR="0096096B" w:rsidRDefault="0096096B" w:rsidP="0096096B">
      <w:pPr>
        <w:pStyle w:val="NoSpacing"/>
        <w:ind w:left="720" w:firstLine="720"/>
      </w:pPr>
      <w:r>
        <w:t>for the rights and safety of others by a defendant whose intoxication</w:t>
      </w:r>
    </w:p>
    <w:p w14:paraId="102A995D" w14:textId="77777777" w:rsidR="0096096B" w:rsidRDefault="0096096B" w:rsidP="0096096B">
      <w:pPr>
        <w:pStyle w:val="NoSpacing"/>
        <w:ind w:left="720" w:firstLine="720"/>
      </w:pPr>
      <w:r>
        <w:t>while operating a motor vehicle was a cause in fact of the resulting</w:t>
      </w:r>
    </w:p>
    <w:p w14:paraId="4D4A3663" w14:textId="77777777" w:rsidR="0096096B" w:rsidRDefault="0096096B" w:rsidP="0096096B">
      <w:pPr>
        <w:pStyle w:val="NoSpacing"/>
        <w:ind w:left="1440"/>
      </w:pPr>
      <w:r>
        <w:t>injuries.</w:t>
      </w:r>
    </w:p>
    <w:p w14:paraId="3315573F" w14:textId="77777777" w:rsidR="0096096B" w:rsidRDefault="0096096B" w:rsidP="0096096B">
      <w:pPr>
        <w:pStyle w:val="NoSpacing"/>
        <w:ind w:left="1440"/>
      </w:pPr>
    </w:p>
    <w:p w14:paraId="54C0D936" w14:textId="77777777" w:rsidR="0096096B" w:rsidRDefault="0096096B" w:rsidP="0096096B">
      <w:pPr>
        <w:pStyle w:val="NoSpacing"/>
        <w:ind w:left="720"/>
      </w:pPr>
      <w:r>
        <w:t>***</w:t>
      </w:r>
    </w:p>
    <w:p w14:paraId="0559D7D8" w14:textId="77777777" w:rsidR="0096096B" w:rsidRDefault="0096096B" w:rsidP="0096096B">
      <w:pPr>
        <w:pStyle w:val="NoSpacing"/>
        <w:ind w:left="1440"/>
      </w:pPr>
    </w:p>
    <w:p w14:paraId="62BA2A2C" w14:textId="77777777" w:rsidR="0096096B" w:rsidRDefault="0096096B" w:rsidP="0096096B">
      <w:pPr>
        <w:pStyle w:val="NoSpacing"/>
        <w:ind w:left="720"/>
      </w:pPr>
      <w:r>
        <w:t>The defendants claim that ‘injuries’ are limited to physical and mental injuries and are unavailable in a case with only property and loss of use damages…. We adopt the reasoning of the fourth circuit that the term ‘injuries’ is sufficiently broad to include damages from the destruction or loss of use of property.</w:t>
      </w:r>
    </w:p>
    <w:p w14:paraId="1AF0B660" w14:textId="77777777" w:rsidR="0096096B" w:rsidRDefault="0096096B" w:rsidP="0096096B">
      <w:pPr>
        <w:pStyle w:val="NoSpacing"/>
        <w:ind w:left="720"/>
      </w:pPr>
    </w:p>
    <w:p w14:paraId="1F9132EE" w14:textId="77777777" w:rsidR="0096096B" w:rsidRDefault="0096096B" w:rsidP="0096096B">
      <w:pPr>
        <w:pStyle w:val="NoSpacing"/>
        <w:ind w:left="720"/>
      </w:pPr>
      <w:r>
        <w:t>***</w:t>
      </w:r>
    </w:p>
    <w:p w14:paraId="205B94D4" w14:textId="77777777" w:rsidR="0096096B" w:rsidRDefault="0096096B" w:rsidP="0096096B">
      <w:pPr>
        <w:pStyle w:val="NoSpacing"/>
        <w:ind w:left="720"/>
      </w:pPr>
      <w:r>
        <w:t>The trial court has much discretion in fixing the amount of an exemplary</w:t>
      </w:r>
    </w:p>
    <w:p w14:paraId="74693D9D" w14:textId="77777777" w:rsidR="0096096B" w:rsidRDefault="0096096B" w:rsidP="0096096B">
      <w:pPr>
        <w:pStyle w:val="NoSpacing"/>
        <w:ind w:left="720"/>
      </w:pPr>
      <w:r>
        <w:t>damage award…. Martin’s conduct was particularly egregious in this case. Not only was he operating a vehicle while over the legal blood alcohol limit, but his vehicle was a loaded 18-wheeler. Its size and weight presented a greater threat than most vehicles. Martin was also on an electronic device. Considering all of this, we cannot say that the trial court’s award for exemplary damages was abusively high in this case.”</w:t>
      </w:r>
    </w:p>
    <w:p w14:paraId="046D9D82" w14:textId="77777777" w:rsidR="0096096B" w:rsidRDefault="0096096B" w:rsidP="0096096B">
      <w:pPr>
        <w:pStyle w:val="NoSpacing"/>
        <w:ind w:left="1440"/>
      </w:pPr>
    </w:p>
    <w:p w14:paraId="7C40463C" w14:textId="77777777" w:rsidR="0096096B" w:rsidRDefault="0096096B" w:rsidP="0096096B">
      <w:pPr>
        <w:pStyle w:val="NoSpacing"/>
        <w:rPr>
          <w:b/>
          <w:bCs/>
        </w:rPr>
      </w:pPr>
      <w:r w:rsidRPr="00DB52C3">
        <w:rPr>
          <w:b/>
        </w:rPr>
        <w:t>Legal lesson learned: Punitive damages are designed to punish</w:t>
      </w:r>
      <w:r>
        <w:rPr>
          <w:b/>
        </w:rPr>
        <w:t xml:space="preserve"> drunk</w:t>
      </w:r>
      <w:r w:rsidRPr="00DB52C3">
        <w:rPr>
          <w:b/>
        </w:rPr>
        <w:t xml:space="preserve"> drivers for </w:t>
      </w:r>
      <w:r>
        <w:rPr>
          <w:b/>
        </w:rPr>
        <w:t>“</w:t>
      </w:r>
      <w:r w:rsidRPr="00DB52C3">
        <w:rPr>
          <w:b/>
        </w:rPr>
        <w:t>wanton or reckless disregard for the rights and safety of others</w:t>
      </w:r>
      <w:r>
        <w:rPr>
          <w:b/>
        </w:rPr>
        <w:t>.”</w:t>
      </w:r>
    </w:p>
    <w:p w14:paraId="0671A38B" w14:textId="77777777" w:rsidR="0096096B" w:rsidRDefault="0096096B" w:rsidP="000C62A1">
      <w:pPr>
        <w:pStyle w:val="NoSpacing"/>
        <w:rPr>
          <w:rFonts w:ascii="Arial Black" w:hAnsi="Arial Black"/>
          <w:sz w:val="28"/>
          <w:szCs w:val="28"/>
        </w:rPr>
      </w:pPr>
    </w:p>
    <w:p w14:paraId="27B4A078" w14:textId="77777777" w:rsidR="007B0FFF" w:rsidRDefault="007B0FFF" w:rsidP="000C62A1">
      <w:pPr>
        <w:pStyle w:val="NoSpacing"/>
        <w:rPr>
          <w:rFonts w:ascii="Arial Black" w:hAnsi="Arial Black"/>
          <w:sz w:val="28"/>
          <w:szCs w:val="28"/>
        </w:rPr>
      </w:pPr>
    </w:p>
    <w:p w14:paraId="6C769C4F" w14:textId="1591A71A" w:rsidR="007B0FFF" w:rsidRDefault="007B0FFF" w:rsidP="000C62A1">
      <w:pPr>
        <w:pStyle w:val="NoSpacing"/>
        <w:rPr>
          <w:rFonts w:ascii="Arial Black" w:hAnsi="Arial Black"/>
          <w:sz w:val="28"/>
          <w:szCs w:val="28"/>
        </w:rPr>
      </w:pPr>
      <w:r>
        <w:rPr>
          <w:rFonts w:ascii="Arial Black" w:hAnsi="Arial Black"/>
          <w:sz w:val="28"/>
          <w:szCs w:val="28"/>
        </w:rPr>
        <w:t>5-54</w:t>
      </w:r>
    </w:p>
    <w:p w14:paraId="79710F41" w14:textId="77777777" w:rsidR="007B0FFF" w:rsidRDefault="007B0FFF" w:rsidP="000C62A1">
      <w:pPr>
        <w:pStyle w:val="NoSpacing"/>
        <w:rPr>
          <w:rFonts w:ascii="Arial Black" w:hAnsi="Arial Black"/>
          <w:sz w:val="28"/>
          <w:szCs w:val="28"/>
        </w:rPr>
      </w:pPr>
    </w:p>
    <w:p w14:paraId="2CDA4D6C" w14:textId="748A8259" w:rsidR="007B0FFF" w:rsidRPr="006D18C8" w:rsidRDefault="007B0FFF" w:rsidP="007B0FFF">
      <w:pPr>
        <w:pStyle w:val="NoSpacing"/>
        <w:rPr>
          <w:rFonts w:ascii="Arial Black" w:hAnsi="Arial Black"/>
          <w:bCs/>
          <w:sz w:val="28"/>
          <w:szCs w:val="28"/>
        </w:rPr>
      </w:pPr>
      <w:r>
        <w:rPr>
          <w:rFonts w:ascii="Arial Black" w:hAnsi="Arial Black"/>
          <w:sz w:val="28"/>
          <w:szCs w:val="28"/>
        </w:rPr>
        <w:t>VA: RESCUE 1 – DISP</w:t>
      </w:r>
      <w:r w:rsidR="00F47375">
        <w:rPr>
          <w:rFonts w:ascii="Arial Black" w:hAnsi="Arial Black"/>
          <w:sz w:val="28"/>
          <w:szCs w:val="28"/>
        </w:rPr>
        <w:t xml:space="preserve"> / </w:t>
      </w:r>
      <w:r>
        <w:rPr>
          <w:rFonts w:ascii="Arial Black" w:hAnsi="Arial Black"/>
          <w:sz w:val="28"/>
          <w:szCs w:val="28"/>
        </w:rPr>
        <w:t xml:space="preserve">EMER </w:t>
      </w:r>
      <w:r w:rsidR="00F47375">
        <w:rPr>
          <w:rFonts w:ascii="Arial Black" w:hAnsi="Arial Black"/>
          <w:sz w:val="28"/>
          <w:szCs w:val="28"/>
        </w:rPr>
        <w:t xml:space="preserve">OVER </w:t>
      </w:r>
      <w:r w:rsidR="002824DF">
        <w:rPr>
          <w:rFonts w:ascii="Arial Black" w:hAnsi="Arial Black"/>
          <w:sz w:val="28"/>
          <w:szCs w:val="28"/>
        </w:rPr>
        <w:t>–</w:t>
      </w:r>
      <w:r>
        <w:rPr>
          <w:rFonts w:ascii="Arial Black" w:hAnsi="Arial Black"/>
          <w:sz w:val="28"/>
          <w:szCs w:val="28"/>
        </w:rPr>
        <w:t xml:space="preserve"> </w:t>
      </w:r>
      <w:r w:rsidR="002824DF">
        <w:rPr>
          <w:rFonts w:ascii="Arial Black" w:hAnsi="Arial Black"/>
          <w:sz w:val="28"/>
          <w:szCs w:val="28"/>
        </w:rPr>
        <w:t xml:space="preserve">CONT. EMER. – JURY </w:t>
      </w:r>
      <w:r>
        <w:rPr>
          <w:rFonts w:ascii="Arial Black" w:hAnsi="Arial Black"/>
          <w:sz w:val="28"/>
          <w:szCs w:val="28"/>
        </w:rPr>
        <w:t>$500,000</w:t>
      </w:r>
    </w:p>
    <w:p w14:paraId="4DD8FA35" w14:textId="77777777" w:rsidR="007B0FFF" w:rsidRDefault="007B0FFF" w:rsidP="007B0FFF">
      <w:pPr>
        <w:pStyle w:val="NoSpacing"/>
        <w:rPr>
          <w:bCs/>
        </w:rPr>
      </w:pPr>
    </w:p>
    <w:p w14:paraId="18039228" w14:textId="77777777" w:rsidR="007B0FFF" w:rsidRDefault="007B0FFF" w:rsidP="007B0FFF">
      <w:pPr>
        <w:pStyle w:val="NoSpacing"/>
        <w:rPr>
          <w:b/>
        </w:rPr>
      </w:pPr>
      <w:r>
        <w:t xml:space="preserve">On Oct. 21, </w:t>
      </w:r>
      <w:proofErr w:type="gramStart"/>
      <w:r>
        <w:t>2025</w:t>
      </w:r>
      <w:proofErr w:type="gramEnd"/>
      <w:r>
        <w:t xml:space="preserve"> in </w:t>
      </w:r>
      <w:r w:rsidRPr="00BC24EC">
        <w:rPr>
          <w:u w:val="single"/>
        </w:rPr>
        <w:t>James Lee v. Jason Carr</w:t>
      </w:r>
      <w:r>
        <w:t xml:space="preserve"> the </w:t>
      </w:r>
      <w:r w:rsidRPr="00E1635E">
        <w:t>Court of Appeals of Virginia</w:t>
      </w:r>
      <w:r>
        <w:t xml:space="preserve"> held (2 to 1; unpublished decision) the Court </w:t>
      </w:r>
      <w:r w:rsidRPr="00F22EA8">
        <w:t>remand</w:t>
      </w:r>
      <w:r>
        <w:t>ed</w:t>
      </w:r>
      <w:r w:rsidRPr="00F22EA8">
        <w:t xml:space="preserve"> the case for a new trial limited</w:t>
      </w:r>
      <w:r>
        <w:t xml:space="preserve"> to the </w:t>
      </w:r>
      <w:proofErr w:type="gramStart"/>
      <w:r>
        <w:t>amount</w:t>
      </w:r>
      <w:proofErr w:type="gramEnd"/>
      <w:r>
        <w:t xml:space="preserve"> of damages; the finding of “gross negligence” by first jury remains against driver of Recue 1, City of Newport News. The trial court judge after jury verdict and award of $500,000, set aside the finding of “gross negligence” and the punitive damages.  Rescue 1 was responding to a motor vehicle accident in a tunnel, but Dispatch advised that “</w:t>
      </w:r>
      <w:r w:rsidRPr="00BE09B2">
        <w:t>the vehicles</w:t>
      </w:r>
      <w:r>
        <w:t xml:space="preserve"> </w:t>
      </w:r>
      <w:r w:rsidRPr="00BE09B2">
        <w:t>had been cleared in the tunnel and there was no longer an emergency situation</w:t>
      </w:r>
      <w:r>
        <w:t>.</w:t>
      </w:r>
      <w:r w:rsidRPr="00BE09B2">
        <w:t>”</w:t>
      </w:r>
      <w:r>
        <w:t xml:space="preserve">  Firefighter Carr heard the dispatch, slowed down, but continued with lights and siren.  He entered the intersection westbound u</w:t>
      </w:r>
      <w:r w:rsidRPr="00423587">
        <w:t>nable to determine</w:t>
      </w:r>
      <w:r>
        <w:t xml:space="preserve"> </w:t>
      </w:r>
      <w:r w:rsidRPr="00423587">
        <w:t>whether he had a red light because of the sun</w:t>
      </w:r>
      <w:r>
        <w:t xml:space="preserve">, and his view of southbound traffic was obstructed by a house.  On board Captain did not order Carr to go non-emergency.  City may appeal to Virginia Supreme Court – see dissenting opinion. </w:t>
      </w:r>
      <w:hyperlink r:id="rId934" w:history="1">
        <w:r w:rsidRPr="00D23E57">
          <w:rPr>
            <w:rStyle w:val="Hyperlink"/>
            <w:b/>
          </w:rPr>
          <w:t>https://cases.justia.com/virginia/court-of-appeals-unpublished/2025-0990-24-1.pdf?ts=1761062926</w:t>
        </w:r>
      </w:hyperlink>
      <w:r>
        <w:rPr>
          <w:b/>
        </w:rPr>
        <w:t xml:space="preserve"> </w:t>
      </w:r>
    </w:p>
    <w:p w14:paraId="5C0AC645" w14:textId="77777777" w:rsidR="007B0FFF" w:rsidRDefault="007B0FFF" w:rsidP="007B0FFF">
      <w:pPr>
        <w:pStyle w:val="NoSpacing"/>
        <w:rPr>
          <w:b/>
        </w:rPr>
      </w:pPr>
    </w:p>
    <w:p w14:paraId="246538AF" w14:textId="77777777" w:rsidR="007B0FFF" w:rsidRDefault="007B0FFF" w:rsidP="007B0FFF">
      <w:pPr>
        <w:pStyle w:val="NoSpacing"/>
      </w:pPr>
      <w:r>
        <w:t xml:space="preserve">  </w:t>
      </w:r>
    </w:p>
    <w:p w14:paraId="5A3C4F77" w14:textId="77777777" w:rsidR="007B0FFF" w:rsidRPr="003C445E" w:rsidRDefault="007B0FFF" w:rsidP="007B0FFF">
      <w:pPr>
        <w:pStyle w:val="NoSpacing"/>
        <w:rPr>
          <w:bCs/>
        </w:rPr>
      </w:pPr>
      <w:r>
        <w:t xml:space="preserve">THE COURT HELD: </w:t>
      </w:r>
    </w:p>
    <w:p w14:paraId="56C1636B" w14:textId="77777777" w:rsidR="007B0FFF" w:rsidRPr="003C445E" w:rsidRDefault="007B0FFF" w:rsidP="007B0FFF">
      <w:pPr>
        <w:pStyle w:val="NoSpacing"/>
        <w:rPr>
          <w:bCs/>
        </w:rPr>
      </w:pPr>
    </w:p>
    <w:p w14:paraId="540FDBE2" w14:textId="77777777" w:rsidR="007B0FFF" w:rsidRDefault="007B0FFF" w:rsidP="007B0FFF">
      <w:pPr>
        <w:pStyle w:val="NoSpacing"/>
        <w:ind w:left="720"/>
      </w:pPr>
      <w:r>
        <w:t>“This case arises from a motor vehicle accident at the traffic light-controlled intersection of 16th Street and Ivy Avenue in the City of Newport News. At the time of the accident, Carr was driving a fire department rescue truck (Rescue 1) westbound on 16th Street toward the scene of a motor vehicle accident in the Monitor-Merrimac Bridge-Tunnel. As he approached the intersection, Carr’s view of southbound traffic on Ivy Avenue was obstructed by a house. Unable to determine whether he had a red light because of the sun, Carr drove Rescue 1 into the intersection and collided with Lee’s vehicle, which had been traveling southbound on Ivy Avenue.</w:t>
      </w:r>
    </w:p>
    <w:p w14:paraId="7F734909" w14:textId="77777777" w:rsidR="007B0FFF" w:rsidRDefault="007B0FFF" w:rsidP="007B0FFF">
      <w:pPr>
        <w:pStyle w:val="NoSpacing"/>
        <w:ind w:left="720"/>
      </w:pPr>
    </w:p>
    <w:p w14:paraId="04C5D99B" w14:textId="77777777" w:rsidR="007B0FFF" w:rsidRDefault="007B0FFF" w:rsidP="007B0FFF">
      <w:pPr>
        <w:pStyle w:val="NoSpacing"/>
        <w:ind w:left="720"/>
      </w:pPr>
      <w:r>
        <w:t>***</w:t>
      </w:r>
    </w:p>
    <w:p w14:paraId="3539C230" w14:textId="77777777" w:rsidR="007B0FFF" w:rsidRDefault="007B0FFF" w:rsidP="007B0FFF">
      <w:pPr>
        <w:pStyle w:val="NoSpacing"/>
        <w:ind w:left="720"/>
      </w:pPr>
      <w:r>
        <w:t xml:space="preserve">At trial, Lee played a silent video recording of the accident. Police officer Brandon Holden went to the scene of the accident and testified that the posted speed limit in that area was 25 miles per hour. Based on his review of the video recording and his own measurements, Officer Holden estimated that Rescue 1 travelled 110 feet in about 1.9 seconds (approximately 39 miles per hour) before </w:t>
      </w:r>
      <w:proofErr w:type="gramStart"/>
      <w:r>
        <w:t>braking</w:t>
      </w:r>
      <w:proofErr w:type="gramEnd"/>
      <w:r>
        <w:t xml:space="preserve"> in the intersection crosswalk.</w:t>
      </w:r>
    </w:p>
    <w:p w14:paraId="03DB6BBB" w14:textId="77777777" w:rsidR="007B0FFF" w:rsidRDefault="007B0FFF" w:rsidP="007B0FFF">
      <w:pPr>
        <w:pStyle w:val="NoSpacing"/>
        <w:ind w:left="720"/>
      </w:pPr>
    </w:p>
    <w:p w14:paraId="13C09291" w14:textId="77777777" w:rsidR="007B0FFF" w:rsidRDefault="007B0FFF" w:rsidP="007B0FFF">
      <w:pPr>
        <w:pStyle w:val="NoSpacing"/>
        <w:ind w:left="720"/>
      </w:pPr>
      <w:r>
        <w:t>***</w:t>
      </w:r>
    </w:p>
    <w:p w14:paraId="5DC38FE7" w14:textId="77777777" w:rsidR="007B0FFF" w:rsidRDefault="007B0FFF" w:rsidP="007B0FFF">
      <w:pPr>
        <w:pStyle w:val="NoSpacing"/>
        <w:ind w:left="720"/>
      </w:pPr>
    </w:p>
    <w:p w14:paraId="327478D8" w14:textId="77777777" w:rsidR="007B0FFF" w:rsidRDefault="007B0FFF" w:rsidP="007B0FFF">
      <w:pPr>
        <w:pStyle w:val="NoSpacing"/>
        <w:ind w:firstLine="720"/>
      </w:pPr>
      <w:r>
        <w:t>Carr admitted that he told ‘the police officer’ that ‘the only reason’ he would have gone to</w:t>
      </w:r>
    </w:p>
    <w:p w14:paraId="394CCDD6" w14:textId="77777777" w:rsidR="007B0FFF" w:rsidRDefault="007B0FFF" w:rsidP="007B0FFF">
      <w:pPr>
        <w:pStyle w:val="NoSpacing"/>
        <w:ind w:left="720"/>
      </w:pPr>
      <w:proofErr w:type="gramStart"/>
      <w:r>
        <w:t>the</w:t>
      </w:r>
      <w:proofErr w:type="gramEnd"/>
      <w:r>
        <w:t xml:space="preserve"> tunnel ‘was if people [were] in the tunnel.’ He acknowledged that he had been informed before the accident that ‘the vehicles were no longer in the tunnel,’ so he expected to ‘get turn[ed] around.’ Footnote 5:</w:t>
      </w:r>
    </w:p>
    <w:p w14:paraId="52815CA3" w14:textId="77777777" w:rsidR="007B0FFF" w:rsidRDefault="007B0FFF" w:rsidP="007B0FFF">
      <w:pPr>
        <w:pStyle w:val="NoSpacing"/>
      </w:pPr>
    </w:p>
    <w:p w14:paraId="47CBC782" w14:textId="77777777" w:rsidR="007B0FFF" w:rsidRDefault="007B0FFF" w:rsidP="007B0FFF">
      <w:pPr>
        <w:pStyle w:val="NoSpacing"/>
        <w:ind w:left="1440"/>
      </w:pPr>
      <w:r>
        <w:t>Carr testified that he had to respond to the scene of the tunnel accident until someone from the police or fire department arrived at the scene and confirmed that there was ‘nothing wrong.’ According to Carr, Rescue 1’s tools may have been necessary even if the vehicles had been moved out of the tunnel.</w:t>
      </w:r>
    </w:p>
    <w:p w14:paraId="6FB1AE73" w14:textId="77777777" w:rsidR="007B0FFF" w:rsidRDefault="007B0FFF" w:rsidP="007B0FFF">
      <w:pPr>
        <w:pStyle w:val="NoSpacing"/>
        <w:ind w:left="1440"/>
      </w:pPr>
    </w:p>
    <w:p w14:paraId="0E7E6505" w14:textId="77777777" w:rsidR="007B0FFF" w:rsidRDefault="007B0FFF" w:rsidP="007B0FFF">
      <w:pPr>
        <w:pStyle w:val="NoSpacing"/>
        <w:ind w:left="720"/>
      </w:pPr>
      <w:r>
        <w:t>***</w:t>
      </w:r>
    </w:p>
    <w:p w14:paraId="21F63261" w14:textId="77777777" w:rsidR="007B0FFF" w:rsidRDefault="007B0FFF" w:rsidP="007B0FFF">
      <w:pPr>
        <w:pStyle w:val="NoSpacing"/>
      </w:pPr>
    </w:p>
    <w:p w14:paraId="7CF78A9A" w14:textId="77777777" w:rsidR="007B0FFF" w:rsidRDefault="007B0FFF" w:rsidP="007B0FFF">
      <w:pPr>
        <w:pStyle w:val="NoSpacing"/>
        <w:ind w:left="720"/>
      </w:pPr>
      <w:r>
        <w:t xml:space="preserve">The question of whether Carr exercised any care was a factual one for the jury and credible evidence supports its verdict. In best light to Lee, Carr sped the </w:t>
      </w:r>
      <w:proofErr w:type="gramStart"/>
      <w:r>
        <w:t>54,000 pound</w:t>
      </w:r>
      <w:proofErr w:type="gramEnd"/>
      <w:r>
        <w:t xml:space="preserve"> firetruck into an intersection without even knowing whether the light was red or green—or whether any vehicle was in its path. According to Lee, there was no siren—and the video supports the jury’s view that there was no effort to brake upon entering the intersection (or at any meaningful time before imminent contact). The trial court </w:t>
      </w:r>
      <w:proofErr w:type="gramStart"/>
      <w:r>
        <w:t>erred</w:t>
      </w:r>
      <w:proofErr w:type="gramEnd"/>
      <w:r>
        <w:t xml:space="preserve"> by usurping the jury’s judgment because the evidence failed to conclusively establish that Carr took any care to prevent Lee’s accident. In short, the trial court relied on its findings of fact rather than the findings of fact made by the jury. In doing so, it erred. Accordingly, we reinstate the jury’s verdict on liability…. As explained below, however, we must still vacate the jury’s award of damages and remand for a new trial on that issue.”</w:t>
      </w:r>
    </w:p>
    <w:p w14:paraId="3F8D2E35" w14:textId="77777777" w:rsidR="007B0FFF" w:rsidRDefault="007B0FFF" w:rsidP="007B0FFF">
      <w:pPr>
        <w:pStyle w:val="NoSpacing"/>
        <w:ind w:left="720"/>
      </w:pPr>
    </w:p>
    <w:p w14:paraId="26326F43" w14:textId="77777777" w:rsidR="007B0FFF" w:rsidRDefault="007B0FFF" w:rsidP="007B0FFF">
      <w:pPr>
        <w:pStyle w:val="NoSpacing"/>
        <w:rPr>
          <w:bCs/>
        </w:rPr>
      </w:pPr>
      <w:r>
        <w:t xml:space="preserve">DISSENT (Judge </w:t>
      </w:r>
      <w:r w:rsidRPr="003C2F21">
        <w:t>Mary Janipher Malveaux)</w:t>
      </w:r>
    </w:p>
    <w:p w14:paraId="77E3262B" w14:textId="77777777" w:rsidR="007B0FFF" w:rsidRDefault="007B0FFF" w:rsidP="007B0FFF">
      <w:pPr>
        <w:pStyle w:val="NoSpacing"/>
        <w:rPr>
          <w:bCs/>
        </w:rPr>
      </w:pPr>
    </w:p>
    <w:p w14:paraId="603C2EBD" w14:textId="77777777" w:rsidR="007B0FFF" w:rsidRPr="00770F67" w:rsidRDefault="007B0FFF" w:rsidP="007B0FFF">
      <w:pPr>
        <w:pStyle w:val="NoSpacing"/>
        <w:rPr>
          <w:bCs/>
        </w:rPr>
      </w:pPr>
      <w:r>
        <w:tab/>
        <w:t>“</w:t>
      </w:r>
      <w:r w:rsidRPr="00770F67">
        <w:t>But as the majority correctly recognizes, the evidence that Carr had activated</w:t>
      </w:r>
    </w:p>
    <w:p w14:paraId="7FD9F0E2" w14:textId="77777777" w:rsidR="007B0FFF" w:rsidRDefault="007B0FFF" w:rsidP="007B0FFF">
      <w:pPr>
        <w:pStyle w:val="NoSpacing"/>
        <w:ind w:left="720"/>
      </w:pPr>
      <w:r w:rsidRPr="00770F67">
        <w:t xml:space="preserve">Rescue 1’s lights </w:t>
      </w:r>
      <w:proofErr w:type="gramStart"/>
      <w:r w:rsidRPr="00770F67">
        <w:t>was</w:t>
      </w:r>
      <w:proofErr w:type="gramEnd"/>
      <w:r w:rsidRPr="00770F67">
        <w:t xml:space="preserve"> uncontroverted.</w:t>
      </w:r>
      <w:r>
        <w:t xml:space="preserve"> </w:t>
      </w:r>
      <w:r w:rsidRPr="00770F67">
        <w:t>And in Virginia, uncontroverted evidence that Carr</w:t>
      </w:r>
      <w:r>
        <w:t xml:space="preserve"> </w:t>
      </w:r>
      <w:r w:rsidRPr="00770F67">
        <w:t xml:space="preserve">exercised </w:t>
      </w:r>
      <w:r>
        <w:t>‘</w:t>
      </w:r>
      <w:r w:rsidRPr="00770F67">
        <w:t>some degree of care</w:t>
      </w:r>
      <w:r>
        <w:t>’</w:t>
      </w:r>
      <w:r w:rsidRPr="00770F67">
        <w:t xml:space="preserve"> is adequate to defeat Lee’s gross negligence claim.</w:t>
      </w:r>
      <w:r>
        <w:t>”</w:t>
      </w:r>
    </w:p>
    <w:p w14:paraId="66FB0157" w14:textId="77777777" w:rsidR="007B0FFF" w:rsidRDefault="007B0FFF" w:rsidP="007B0FFF">
      <w:pPr>
        <w:pStyle w:val="NoSpacing"/>
        <w:ind w:left="720"/>
      </w:pPr>
    </w:p>
    <w:p w14:paraId="466F4E88" w14:textId="77777777" w:rsidR="007B0FFF" w:rsidRPr="00C46342" w:rsidRDefault="007B0FFF" w:rsidP="007B0FFF">
      <w:pPr>
        <w:pStyle w:val="NoSpacing"/>
        <w:rPr>
          <w:b/>
          <w:bCs/>
        </w:rPr>
      </w:pPr>
      <w:r w:rsidRPr="00C46342">
        <w:rPr>
          <w:b/>
        </w:rPr>
        <w:t xml:space="preserve">Legal lesson learned:  When dispatch advises - “the vehicles had been cleared in the tunnel and there was no longer an emergency situation” – only proceed non-emergency. </w:t>
      </w:r>
    </w:p>
    <w:p w14:paraId="37248EC6" w14:textId="77777777" w:rsidR="007B0FFF" w:rsidRPr="00DB52C3" w:rsidRDefault="007B0FFF" w:rsidP="007B0FFF">
      <w:pPr>
        <w:pStyle w:val="NoSpacing"/>
        <w:rPr>
          <w:b/>
          <w:bCs/>
        </w:rPr>
      </w:pPr>
    </w:p>
    <w:p w14:paraId="53F30381" w14:textId="77777777" w:rsidR="007B0FFF" w:rsidRDefault="007B0FFF" w:rsidP="000C62A1">
      <w:pPr>
        <w:pStyle w:val="NoSpacing"/>
        <w:rPr>
          <w:rFonts w:ascii="Arial Black" w:hAnsi="Arial Black"/>
          <w:sz w:val="28"/>
          <w:szCs w:val="28"/>
        </w:rPr>
      </w:pPr>
    </w:p>
    <w:p w14:paraId="39695791" w14:textId="77777777" w:rsidR="0096096B" w:rsidRDefault="0096096B" w:rsidP="000C62A1">
      <w:pPr>
        <w:pStyle w:val="NoSpacing"/>
        <w:rPr>
          <w:rFonts w:ascii="Arial Black" w:hAnsi="Arial Black"/>
          <w:sz w:val="28"/>
          <w:szCs w:val="28"/>
        </w:rPr>
      </w:pPr>
    </w:p>
    <w:p w14:paraId="598798E9" w14:textId="77777777" w:rsidR="0096096B" w:rsidRDefault="0096096B" w:rsidP="000C62A1">
      <w:pPr>
        <w:pStyle w:val="NoSpacing"/>
        <w:rPr>
          <w:rFonts w:ascii="Arial Black" w:hAnsi="Arial Black"/>
          <w:sz w:val="28"/>
          <w:szCs w:val="28"/>
        </w:rPr>
      </w:pPr>
    </w:p>
    <w:p w14:paraId="3AEA1F7C" w14:textId="19512866" w:rsidR="003B3DED" w:rsidRDefault="003B3DED" w:rsidP="000C62A1">
      <w:pPr>
        <w:pStyle w:val="NoSpacing"/>
        <w:rPr>
          <w:rFonts w:ascii="Arial Black" w:hAnsi="Arial Black"/>
          <w:sz w:val="28"/>
          <w:szCs w:val="28"/>
        </w:rPr>
      </w:pPr>
      <w:r>
        <w:rPr>
          <w:rFonts w:ascii="Arial Black" w:hAnsi="Arial Black"/>
          <w:sz w:val="28"/>
          <w:szCs w:val="28"/>
        </w:rPr>
        <w:t>5-53</w:t>
      </w:r>
    </w:p>
    <w:p w14:paraId="5BB1827D" w14:textId="77777777" w:rsidR="003B3DED" w:rsidRDefault="003B3DED" w:rsidP="000C62A1">
      <w:pPr>
        <w:pStyle w:val="NoSpacing"/>
        <w:rPr>
          <w:rFonts w:ascii="Arial Black" w:hAnsi="Arial Black"/>
          <w:sz w:val="28"/>
          <w:szCs w:val="28"/>
        </w:rPr>
      </w:pPr>
    </w:p>
    <w:p w14:paraId="127E8422" w14:textId="6EE877A9" w:rsidR="000C62A1" w:rsidRDefault="000C62A1" w:rsidP="000C62A1">
      <w:pPr>
        <w:pStyle w:val="NoSpacing"/>
        <w:rPr>
          <w:rFonts w:ascii="Arial Black" w:hAnsi="Arial Black"/>
          <w:sz w:val="28"/>
          <w:szCs w:val="28"/>
        </w:rPr>
      </w:pPr>
      <w:r>
        <w:rPr>
          <w:rFonts w:ascii="Arial Black" w:hAnsi="Arial Black"/>
          <w:sz w:val="28"/>
          <w:szCs w:val="28"/>
        </w:rPr>
        <w:t xml:space="preserve">TX: AMBUL BACKED </w:t>
      </w:r>
      <w:r w:rsidR="003F3074">
        <w:rPr>
          <w:rFonts w:ascii="Arial Black" w:hAnsi="Arial Black"/>
          <w:sz w:val="28"/>
          <w:szCs w:val="28"/>
        </w:rPr>
        <w:t xml:space="preserve">INTO </w:t>
      </w:r>
      <w:r>
        <w:rPr>
          <w:rFonts w:ascii="Arial Black" w:hAnsi="Arial Black"/>
          <w:sz w:val="28"/>
          <w:szCs w:val="28"/>
        </w:rPr>
        <w:t>CAR – AVOID</w:t>
      </w:r>
      <w:r w:rsidR="00E0376C">
        <w:rPr>
          <w:rFonts w:ascii="Arial Black" w:hAnsi="Arial Black"/>
          <w:sz w:val="28"/>
          <w:szCs w:val="28"/>
        </w:rPr>
        <w:t xml:space="preserve"> </w:t>
      </w:r>
      <w:r>
        <w:rPr>
          <w:rFonts w:ascii="Arial Black" w:hAnsi="Arial Black"/>
          <w:sz w:val="28"/>
          <w:szCs w:val="28"/>
        </w:rPr>
        <w:t>FIRE TRUCKS - IMMUNITY</w:t>
      </w:r>
    </w:p>
    <w:p w14:paraId="1A9FCD04" w14:textId="77777777" w:rsidR="000C62A1" w:rsidRDefault="000C62A1" w:rsidP="000C62A1">
      <w:pPr>
        <w:pStyle w:val="NoSpacing"/>
        <w:rPr>
          <w:rFonts w:ascii="Arial Black" w:hAnsi="Arial Black"/>
          <w:sz w:val="28"/>
          <w:szCs w:val="28"/>
        </w:rPr>
      </w:pPr>
    </w:p>
    <w:p w14:paraId="7F88E2EC" w14:textId="77777777" w:rsidR="000C62A1" w:rsidRPr="00B07EC1" w:rsidRDefault="000C62A1" w:rsidP="000C62A1">
      <w:pPr>
        <w:pStyle w:val="NoSpacing"/>
        <w:rPr>
          <w:rFonts w:ascii="Times New Roman" w:hAnsi="Times New Roman"/>
          <w:sz w:val="24"/>
          <w:szCs w:val="24"/>
        </w:rPr>
      </w:pPr>
      <w:r w:rsidRPr="00B07EC1">
        <w:rPr>
          <w:rFonts w:ascii="Times New Roman" w:hAnsi="Times New Roman"/>
          <w:sz w:val="24"/>
          <w:szCs w:val="24"/>
        </w:rPr>
        <w:t xml:space="preserve">On July 22, 2025, in </w:t>
      </w:r>
      <w:r w:rsidRPr="00B07EC1">
        <w:rPr>
          <w:rFonts w:ascii="Times New Roman" w:hAnsi="Times New Roman"/>
          <w:sz w:val="24"/>
          <w:szCs w:val="24"/>
          <w:u w:val="single"/>
        </w:rPr>
        <w:t xml:space="preserve">City of Houston v. </w:t>
      </w:r>
      <w:proofErr w:type="spellStart"/>
      <w:r w:rsidRPr="00B07EC1">
        <w:rPr>
          <w:rFonts w:ascii="Times New Roman" w:hAnsi="Times New Roman"/>
          <w:sz w:val="24"/>
          <w:szCs w:val="24"/>
          <w:u w:val="single"/>
        </w:rPr>
        <w:t>Maraunjanique</w:t>
      </w:r>
      <w:proofErr w:type="spellEnd"/>
      <w:r w:rsidRPr="00B07EC1">
        <w:rPr>
          <w:rFonts w:ascii="Times New Roman" w:hAnsi="Times New Roman"/>
          <w:sz w:val="24"/>
          <w:szCs w:val="24"/>
          <w:u w:val="single"/>
        </w:rPr>
        <w:t xml:space="preserve"> Smallwood</w:t>
      </w:r>
      <w:r w:rsidRPr="00B07EC1">
        <w:rPr>
          <w:rFonts w:ascii="Times New Roman" w:hAnsi="Times New Roman"/>
          <w:sz w:val="24"/>
          <w:szCs w:val="24"/>
        </w:rPr>
        <w:t xml:space="preserve">, the Court of Appeals of Texas, Fourteenth District held (3 to 0) held that trial court should have granted the City’s motion for summary judgement, under the emergency exception of waiver of immunity under the Texas Torts Claims Act.  The ambulance driver, returning to their station, saw flames coming from a building about seven blocks away – as they went north on two lane road, they had to stop and back up for two fire engines responding to the fire.  They collided with Smallwood’s vehicle behind them.  THE COURT HELD: “We conclude the City established the TTCA’s emergency exception applies to Smallwood’s claims against the City as a matter of law and that Smallwood failed to raise a fact issue as to whether the City’s immunity was waived. *** This evidence established that Moncivais was reacting to </w:t>
      </w:r>
      <w:proofErr w:type="gramStart"/>
      <w:r w:rsidRPr="00B07EC1">
        <w:rPr>
          <w:rFonts w:ascii="Times New Roman" w:hAnsi="Times New Roman"/>
          <w:sz w:val="24"/>
          <w:szCs w:val="24"/>
        </w:rPr>
        <w:t>an emergency situation</w:t>
      </w:r>
      <w:proofErr w:type="gramEnd"/>
      <w:r w:rsidRPr="00B07EC1">
        <w:rPr>
          <w:rFonts w:ascii="Times New Roman" w:hAnsi="Times New Roman"/>
          <w:sz w:val="24"/>
          <w:szCs w:val="24"/>
        </w:rPr>
        <w:t xml:space="preserve"> when he reversed the ambulance and collided with Smallwood.” </w:t>
      </w:r>
      <w:hyperlink r:id="rId935" w:history="1">
        <w:r w:rsidRPr="00B07EC1">
          <w:rPr>
            <w:rStyle w:val="Hyperlink"/>
            <w:rFonts w:ascii="Times New Roman" w:hAnsi="Times New Roman"/>
            <w:sz w:val="24"/>
            <w:szCs w:val="24"/>
          </w:rPr>
          <w:t>https://cases.justia.com/texas/fourteenth-court-of-appeals/2025-14-24-00312-cv.pdf?ts=1753189995</w:t>
        </w:r>
      </w:hyperlink>
      <w:r w:rsidRPr="00B07EC1">
        <w:rPr>
          <w:rFonts w:ascii="Times New Roman" w:hAnsi="Times New Roman"/>
          <w:sz w:val="24"/>
          <w:szCs w:val="24"/>
        </w:rPr>
        <w:t xml:space="preserve"> </w:t>
      </w:r>
    </w:p>
    <w:p w14:paraId="41767B15" w14:textId="77777777" w:rsidR="000C62A1" w:rsidRPr="00B07EC1" w:rsidRDefault="000C62A1" w:rsidP="000C62A1">
      <w:pPr>
        <w:pStyle w:val="NoSpacing"/>
        <w:rPr>
          <w:rFonts w:ascii="Times New Roman" w:hAnsi="Times New Roman"/>
          <w:sz w:val="24"/>
          <w:szCs w:val="24"/>
        </w:rPr>
      </w:pPr>
    </w:p>
    <w:p w14:paraId="70AE720F" w14:textId="77777777" w:rsidR="00B07EC1" w:rsidRDefault="00B07EC1" w:rsidP="00B07EC1">
      <w:pPr>
        <w:pStyle w:val="NoSpacing"/>
        <w:rPr>
          <w:rFonts w:ascii="Times New Roman" w:hAnsi="Times New Roman"/>
          <w:b/>
          <w:sz w:val="24"/>
          <w:szCs w:val="24"/>
        </w:rPr>
      </w:pPr>
      <w:r w:rsidRPr="00B07EC1">
        <w:rPr>
          <w:rFonts w:ascii="Times New Roman" w:hAnsi="Times New Roman"/>
          <w:b/>
          <w:sz w:val="24"/>
          <w:szCs w:val="24"/>
        </w:rPr>
        <w:t>Legal lesson learned:  Immunity statute protects City from liability</w:t>
      </w:r>
      <w:r w:rsidRPr="00B07EC1">
        <w:rPr>
          <w:rFonts w:ascii="Times New Roman" w:hAnsi="Times New Roman"/>
          <w:b/>
          <w:bCs/>
          <w:sz w:val="24"/>
          <w:szCs w:val="24"/>
        </w:rPr>
        <w:t xml:space="preserve"> in </w:t>
      </w:r>
      <w:proofErr w:type="gramStart"/>
      <w:r w:rsidRPr="00B07EC1">
        <w:rPr>
          <w:rFonts w:ascii="Times New Roman" w:hAnsi="Times New Roman"/>
          <w:b/>
          <w:bCs/>
          <w:sz w:val="24"/>
          <w:szCs w:val="24"/>
        </w:rPr>
        <w:t>emergency situation</w:t>
      </w:r>
      <w:proofErr w:type="gramEnd"/>
      <w:r w:rsidRPr="00B07EC1">
        <w:rPr>
          <w:rFonts w:ascii="Times New Roman" w:hAnsi="Times New Roman"/>
          <w:b/>
          <w:sz w:val="24"/>
          <w:szCs w:val="24"/>
        </w:rPr>
        <w:t xml:space="preserve">, even if ambulance did not activate siren or emergency lights. </w:t>
      </w:r>
    </w:p>
    <w:p w14:paraId="24BE3A4F" w14:textId="77777777" w:rsidR="007963B6" w:rsidRDefault="007963B6" w:rsidP="00B07EC1">
      <w:pPr>
        <w:pStyle w:val="NoSpacing"/>
        <w:rPr>
          <w:rFonts w:ascii="Times New Roman" w:hAnsi="Times New Roman"/>
          <w:b/>
          <w:sz w:val="24"/>
          <w:szCs w:val="24"/>
        </w:rPr>
      </w:pPr>
    </w:p>
    <w:p w14:paraId="2B4D71FD" w14:textId="77777777" w:rsidR="007963B6" w:rsidRDefault="007963B6" w:rsidP="00B07EC1">
      <w:pPr>
        <w:pStyle w:val="NoSpacing"/>
        <w:rPr>
          <w:rFonts w:ascii="Times New Roman" w:hAnsi="Times New Roman"/>
          <w:b/>
          <w:sz w:val="24"/>
          <w:szCs w:val="24"/>
        </w:rPr>
      </w:pPr>
    </w:p>
    <w:p w14:paraId="01374262" w14:textId="1B68F8F8" w:rsidR="007963B6" w:rsidRPr="003B3DED" w:rsidRDefault="003B3DED" w:rsidP="00B07EC1">
      <w:pPr>
        <w:pStyle w:val="NoSpacing"/>
        <w:rPr>
          <w:rFonts w:ascii="Arial Black" w:hAnsi="Arial Black"/>
          <w:b/>
          <w:sz w:val="24"/>
          <w:szCs w:val="24"/>
        </w:rPr>
      </w:pPr>
      <w:r w:rsidRPr="003B3DED">
        <w:rPr>
          <w:rFonts w:ascii="Arial Black" w:hAnsi="Arial Black"/>
          <w:b/>
          <w:sz w:val="24"/>
          <w:szCs w:val="24"/>
        </w:rPr>
        <w:t>5-52</w:t>
      </w:r>
    </w:p>
    <w:p w14:paraId="6F6595A6" w14:textId="77777777" w:rsidR="003B3DED" w:rsidRDefault="003B3DED" w:rsidP="00B07EC1">
      <w:pPr>
        <w:pStyle w:val="NoSpacing"/>
        <w:rPr>
          <w:rFonts w:ascii="Times New Roman" w:hAnsi="Times New Roman"/>
          <w:b/>
          <w:sz w:val="24"/>
          <w:szCs w:val="24"/>
        </w:rPr>
      </w:pPr>
    </w:p>
    <w:p w14:paraId="5FB6D64D" w14:textId="77777777" w:rsidR="007963B6" w:rsidRDefault="007963B6" w:rsidP="007963B6">
      <w:pPr>
        <w:rPr>
          <w:rFonts w:ascii="Arial Black" w:hAnsi="Arial Black"/>
          <w:b/>
          <w:sz w:val="28"/>
          <w:szCs w:val="28"/>
        </w:rPr>
      </w:pPr>
      <w:r>
        <w:rPr>
          <w:rFonts w:ascii="Arial Black" w:hAnsi="Arial Black"/>
          <w:b/>
          <w:sz w:val="28"/>
          <w:szCs w:val="28"/>
        </w:rPr>
        <w:t>CO: AMBUL - ICE - AUTOMATIC CHAIN SYSTEM - IMMUNITY</w:t>
      </w:r>
    </w:p>
    <w:p w14:paraId="04483453" w14:textId="77777777" w:rsidR="007963B6" w:rsidRPr="003B3DED" w:rsidRDefault="007963B6" w:rsidP="007963B6">
      <w:pPr>
        <w:rPr>
          <w:rFonts w:ascii="Times New Roman" w:hAnsi="Times New Roman"/>
          <w:sz w:val="24"/>
          <w:szCs w:val="24"/>
        </w:rPr>
      </w:pPr>
      <w:r w:rsidRPr="003B3DED">
        <w:rPr>
          <w:rFonts w:ascii="Times New Roman" w:hAnsi="Times New Roman"/>
          <w:sz w:val="24"/>
          <w:szCs w:val="24"/>
        </w:rPr>
        <w:t xml:space="preserve">On July 3, 2025, in </w:t>
      </w:r>
      <w:r w:rsidRPr="003B3DED">
        <w:rPr>
          <w:rFonts w:ascii="Times New Roman" w:hAnsi="Times New Roman"/>
          <w:sz w:val="24"/>
          <w:szCs w:val="24"/>
          <w:u w:val="single"/>
        </w:rPr>
        <w:t>Jeffrey Malott v. Town of Palisade Fire Department</w:t>
      </w:r>
      <w:r w:rsidRPr="003B3DED">
        <w:rPr>
          <w:rFonts w:ascii="Times New Roman" w:hAnsi="Times New Roman"/>
          <w:b/>
          <w:sz w:val="24"/>
          <w:szCs w:val="24"/>
        </w:rPr>
        <w:t xml:space="preserve">, </w:t>
      </w:r>
      <w:r w:rsidRPr="003B3DED">
        <w:rPr>
          <w:rFonts w:ascii="Times New Roman" w:hAnsi="Times New Roman"/>
          <w:sz w:val="24"/>
          <w:szCs w:val="24"/>
        </w:rPr>
        <w:t xml:space="preserve">the Colorado Court of Appeals, Division IV. Held (3 to 0) that trial court properly dismissed the lawsuit under emergency response provision of the Colorado Governmental Immunity Act [CCIA]; ambulance driver activated the system, no proof it didn’t deploy.  Early on October 28, 2019, firefighter Corey Massey was driving Ambulance 41 </w:t>
      </w:r>
      <w:proofErr w:type="gramStart"/>
      <w:r w:rsidRPr="003B3DED">
        <w:rPr>
          <w:rFonts w:ascii="Times New Roman" w:hAnsi="Times New Roman"/>
          <w:sz w:val="24"/>
          <w:szCs w:val="24"/>
        </w:rPr>
        <w:t>responding</w:t>
      </w:r>
      <w:proofErr w:type="gramEnd"/>
      <w:r w:rsidRPr="003B3DED">
        <w:rPr>
          <w:rFonts w:ascii="Times New Roman" w:hAnsi="Times New Roman"/>
          <w:sz w:val="24"/>
          <w:szCs w:val="24"/>
        </w:rPr>
        <w:t xml:space="preserve"> red lights and siren, eastbound on I-70, for a roll-over accident.  The weather was poor, and the road conditions were icy. The ambulance was acquired in 2018 with automatic chain system that could deploy chains on the ambulance’s tires to help with traction during adverse weather conditions; the first FD vehicle with this system and Massey had never been trained on its use. He drove on the right shoulder, 5 to 10 mph, to pass stopped traffic; deployed the chain system – didn’t hear or fell anything – and slid into the right side of the Plaintiff’s vehicle.  THE COURT HELD: “Malott contends that the CGIA’s waiver of immunity for operation of a motor vehicle is broad and encompasses vehicle maintenance. Specifically, he asserts that the emergency vehicle exception doesn’t even apply here </w:t>
      </w:r>
      <w:proofErr w:type="gramStart"/>
      <w:r w:rsidRPr="003B3DED">
        <w:rPr>
          <w:rFonts w:ascii="Times New Roman" w:hAnsi="Times New Roman"/>
          <w:sz w:val="24"/>
          <w:szCs w:val="24"/>
        </w:rPr>
        <w:t>because</w:t>
      </w:r>
      <w:proofErr w:type="gramEnd"/>
      <w:r w:rsidRPr="003B3DED">
        <w:rPr>
          <w:rFonts w:ascii="Times New Roman" w:hAnsi="Times New Roman"/>
          <w:sz w:val="24"/>
          <w:szCs w:val="24"/>
        </w:rPr>
        <w:t xml:space="preserve"> the Fire Department’s failure to maintain the automatic chain system occurred before any emergency and, therefore, the Fire Department waived its immunity. We disagree…. The legislature created the emergency vehicle exception to immunize public employees from tort liability in situations requiring an immediate response…. Here, Massey was responding properly and lawfully to precisely the type of </w:t>
      </w:r>
      <w:proofErr w:type="gramStart"/>
      <w:r w:rsidRPr="003B3DED">
        <w:rPr>
          <w:rFonts w:ascii="Times New Roman" w:hAnsi="Times New Roman"/>
          <w:sz w:val="24"/>
          <w:szCs w:val="24"/>
        </w:rPr>
        <w:t>emergency situation</w:t>
      </w:r>
      <w:proofErr w:type="gramEnd"/>
      <w:r w:rsidRPr="003B3DED">
        <w:rPr>
          <w:rFonts w:ascii="Times New Roman" w:hAnsi="Times New Roman"/>
          <w:sz w:val="24"/>
          <w:szCs w:val="24"/>
        </w:rPr>
        <w:t xml:space="preserve"> the legislature envisioned when it created the emergency vehicle exception. The district court found that Massey activated Ambulance 41’s lights and sirens, acted with due regard for Malott’s safety, and did not endanger life or property, and that there was no evidence indicating that he was careless when responding to the rollover accident. Massey’s response fits squarely within the CGIA’s requirement that the operator of an emergency vehicle respond to an emergency with the vehicle’s lights and sirens on…. We,  therefore, conclude that because Massey operated Ambulance 41 properly and lawfully while responding to the emergency rollover accident, the emergency vehicle exception applies, and the Fire Department is immune under the CGIA. The district court properly dismissed Malott’s case under C.R.C.P. 12(b)(1).”  </w:t>
      </w:r>
      <w:hyperlink r:id="rId936" w:history="1">
        <w:r w:rsidRPr="003B3DED">
          <w:rPr>
            <w:rStyle w:val="Hyperlink"/>
            <w:rFonts w:ascii="Times New Roman" w:hAnsi="Times New Roman"/>
            <w:sz w:val="24"/>
            <w:szCs w:val="24"/>
          </w:rPr>
          <w:t>https://cases.justia.com/colorado/court-of-appeals/2025-24ca1544.pdf?ts=1751643339</w:t>
        </w:r>
      </w:hyperlink>
      <w:r w:rsidRPr="003B3DED">
        <w:rPr>
          <w:rFonts w:ascii="Times New Roman" w:hAnsi="Times New Roman"/>
          <w:sz w:val="24"/>
          <w:szCs w:val="24"/>
        </w:rPr>
        <w:t xml:space="preserve"> </w:t>
      </w:r>
    </w:p>
    <w:p w14:paraId="157AD64E" w14:textId="77777777" w:rsidR="003B3DED" w:rsidRPr="003B3DED" w:rsidRDefault="003B3DED" w:rsidP="003B3DED">
      <w:pPr>
        <w:pStyle w:val="NoSpacing"/>
        <w:rPr>
          <w:rFonts w:ascii="Times New Roman" w:hAnsi="Times New Roman"/>
          <w:b/>
          <w:bCs/>
          <w:sz w:val="24"/>
          <w:szCs w:val="24"/>
        </w:rPr>
      </w:pPr>
      <w:r w:rsidRPr="003B3DED">
        <w:rPr>
          <w:rFonts w:ascii="Times New Roman" w:hAnsi="Times New Roman"/>
          <w:b/>
          <w:sz w:val="24"/>
          <w:szCs w:val="24"/>
        </w:rPr>
        <w:t xml:space="preserve">Legal lesson learned:  When acquiring an emergency apparatus with an automatic chain system, train your personnel in its operation and establish a documented maintenance program. </w:t>
      </w:r>
    </w:p>
    <w:p w14:paraId="01A98743" w14:textId="77777777" w:rsidR="007963B6" w:rsidRPr="003B3DED" w:rsidRDefault="007963B6" w:rsidP="00B07EC1">
      <w:pPr>
        <w:pStyle w:val="NoSpacing"/>
        <w:rPr>
          <w:rFonts w:ascii="Times New Roman" w:hAnsi="Times New Roman"/>
          <w:b/>
          <w:bCs/>
          <w:sz w:val="24"/>
          <w:szCs w:val="24"/>
        </w:rPr>
      </w:pPr>
    </w:p>
    <w:p w14:paraId="5CB876FB" w14:textId="77777777" w:rsidR="000C62A1" w:rsidRPr="003B3DED" w:rsidRDefault="000C62A1" w:rsidP="00EF1133">
      <w:pPr>
        <w:rPr>
          <w:rFonts w:ascii="Times New Roman" w:hAnsi="Times New Roman"/>
          <w:b/>
          <w:sz w:val="24"/>
          <w:szCs w:val="24"/>
        </w:rPr>
      </w:pPr>
    </w:p>
    <w:p w14:paraId="78313300" w14:textId="77777777" w:rsidR="000C62A1" w:rsidRDefault="000C62A1" w:rsidP="00EF1133">
      <w:pPr>
        <w:rPr>
          <w:rFonts w:ascii="Arial Black" w:hAnsi="Arial Black"/>
          <w:b/>
          <w:sz w:val="24"/>
          <w:szCs w:val="24"/>
        </w:rPr>
      </w:pPr>
    </w:p>
    <w:p w14:paraId="4EC6D80A" w14:textId="57D096AC" w:rsidR="005758F6" w:rsidRDefault="00AE1943" w:rsidP="00EF1133">
      <w:pPr>
        <w:rPr>
          <w:rFonts w:ascii="Arial Black" w:hAnsi="Arial Black"/>
          <w:b/>
          <w:sz w:val="24"/>
          <w:szCs w:val="24"/>
        </w:rPr>
      </w:pPr>
      <w:r>
        <w:rPr>
          <w:rFonts w:ascii="Arial Black" w:hAnsi="Arial Black"/>
          <w:b/>
          <w:sz w:val="24"/>
          <w:szCs w:val="24"/>
        </w:rPr>
        <w:t>5-51</w:t>
      </w:r>
    </w:p>
    <w:p w14:paraId="1A40C989" w14:textId="77777777" w:rsidR="00BD4E9A" w:rsidRDefault="00BD4E9A" w:rsidP="00BD4E9A">
      <w:pPr>
        <w:pStyle w:val="NoSpacing"/>
        <w:rPr>
          <w:rFonts w:ascii="Arial Black" w:hAnsi="Arial Black"/>
          <w:sz w:val="28"/>
          <w:szCs w:val="28"/>
        </w:rPr>
      </w:pPr>
      <w:r>
        <w:rPr>
          <w:rFonts w:ascii="Arial Black" w:hAnsi="Arial Black"/>
          <w:sz w:val="28"/>
          <w:szCs w:val="28"/>
        </w:rPr>
        <w:t>TX: AMBULANCE – TRAFFIC / LEFT SHOULDER  - IMMUNITY</w:t>
      </w:r>
    </w:p>
    <w:p w14:paraId="51EA8BFB" w14:textId="77777777" w:rsidR="00BD4E9A" w:rsidRPr="00BD4E9A" w:rsidRDefault="00BD4E9A" w:rsidP="00BD4E9A">
      <w:pPr>
        <w:rPr>
          <w:rFonts w:ascii="Times New Roman" w:hAnsi="Times New Roman"/>
          <w:bCs/>
          <w:sz w:val="24"/>
          <w:szCs w:val="24"/>
        </w:rPr>
      </w:pPr>
      <w:r w:rsidRPr="00BD4E9A">
        <w:rPr>
          <w:rFonts w:ascii="Times New Roman" w:hAnsi="Times New Roman"/>
          <w:sz w:val="24"/>
          <w:szCs w:val="24"/>
        </w:rPr>
        <w:t xml:space="preserve">On April 24, 2025, in </w:t>
      </w:r>
      <w:r w:rsidRPr="00BD4E9A">
        <w:rPr>
          <w:rFonts w:ascii="Times New Roman" w:hAnsi="Times New Roman"/>
          <w:sz w:val="24"/>
          <w:szCs w:val="24"/>
          <w:u w:val="single"/>
        </w:rPr>
        <w:t xml:space="preserve">City of Houston v. </w:t>
      </w:r>
      <w:proofErr w:type="spellStart"/>
      <w:r w:rsidRPr="00BD4E9A">
        <w:rPr>
          <w:rFonts w:ascii="Times New Roman" w:hAnsi="Times New Roman"/>
          <w:sz w:val="24"/>
          <w:szCs w:val="24"/>
          <w:u w:val="single"/>
        </w:rPr>
        <w:t>Sokmen</w:t>
      </w:r>
      <w:proofErr w:type="spellEnd"/>
      <w:r w:rsidRPr="00BD4E9A">
        <w:rPr>
          <w:rFonts w:ascii="Times New Roman" w:hAnsi="Times New Roman"/>
          <w:sz w:val="24"/>
          <w:szCs w:val="24"/>
          <w:u w:val="single"/>
        </w:rPr>
        <w:t xml:space="preserve"> </w:t>
      </w:r>
      <w:proofErr w:type="spellStart"/>
      <w:r w:rsidRPr="00BD4E9A">
        <w:rPr>
          <w:rFonts w:ascii="Times New Roman" w:hAnsi="Times New Roman"/>
          <w:sz w:val="24"/>
          <w:szCs w:val="24"/>
          <w:u w:val="single"/>
        </w:rPr>
        <w:t>Chour</w:t>
      </w:r>
      <w:r w:rsidRPr="00BD4E9A">
        <w:rPr>
          <w:rFonts w:ascii="Times New Roman" w:hAnsi="Times New Roman"/>
          <w:sz w:val="24"/>
          <w:szCs w:val="24"/>
        </w:rPr>
        <w:t>ng</w:t>
      </w:r>
      <w:proofErr w:type="spellEnd"/>
      <w:r w:rsidRPr="00BD4E9A">
        <w:rPr>
          <w:rFonts w:ascii="Times New Roman" w:hAnsi="Times New Roman"/>
          <w:sz w:val="24"/>
          <w:szCs w:val="24"/>
        </w:rPr>
        <w:t xml:space="preserve">, the Court of Appeals of Texas, Fourteenth District held (3 to 0) that trial court improperly denied the City’s motion to dismiss that case.  The ambulance was transporting a stabbing victim, with red lights and siren, and because of heavy traffic moved to </w:t>
      </w:r>
      <w:proofErr w:type="gramStart"/>
      <w:r w:rsidRPr="00BD4E9A">
        <w:rPr>
          <w:rFonts w:ascii="Times New Roman" w:hAnsi="Times New Roman"/>
          <w:sz w:val="24"/>
          <w:szCs w:val="24"/>
        </w:rPr>
        <w:t>far left</w:t>
      </w:r>
      <w:proofErr w:type="gramEnd"/>
      <w:r w:rsidRPr="00BD4E9A">
        <w:rPr>
          <w:rFonts w:ascii="Times New Roman" w:hAnsi="Times New Roman"/>
          <w:sz w:val="24"/>
          <w:szCs w:val="24"/>
        </w:rPr>
        <w:t xml:space="preserve"> shoulder.  A police officer following the ambulance to the hospital observed plaintiff’s vehicle move from left lane into the shoulder area, colliding with the ambulance.  </w:t>
      </w:r>
      <w:hyperlink r:id="rId937" w:history="1">
        <w:r w:rsidRPr="00BD4E9A">
          <w:rPr>
            <w:rStyle w:val="Hyperlink"/>
            <w:rFonts w:ascii="Times New Roman" w:hAnsi="Times New Roman"/>
            <w:sz w:val="24"/>
            <w:szCs w:val="24"/>
          </w:rPr>
          <w:t>https://cases.justia.com/texas/fourteenth-court-of-appeals/2025-14-24-00251-cv.pdf?ts=1745499568</w:t>
        </w:r>
      </w:hyperlink>
      <w:r w:rsidRPr="00BD4E9A">
        <w:rPr>
          <w:rFonts w:ascii="Times New Roman" w:hAnsi="Times New Roman"/>
          <w:sz w:val="24"/>
          <w:szCs w:val="24"/>
        </w:rPr>
        <w:t xml:space="preserve"> </w:t>
      </w:r>
    </w:p>
    <w:p w14:paraId="209BF353" w14:textId="77777777" w:rsidR="00CB79E4" w:rsidRPr="00CB79E4" w:rsidRDefault="00CB79E4" w:rsidP="00CB79E4">
      <w:pPr>
        <w:pStyle w:val="NoSpacing"/>
        <w:rPr>
          <w:rFonts w:ascii="Times New Roman" w:hAnsi="Times New Roman"/>
          <w:b/>
          <w:bCs/>
          <w:sz w:val="24"/>
          <w:szCs w:val="24"/>
        </w:rPr>
      </w:pPr>
      <w:r w:rsidRPr="00CB79E4">
        <w:rPr>
          <w:rFonts w:ascii="Times New Roman" w:hAnsi="Times New Roman"/>
          <w:b/>
          <w:sz w:val="24"/>
          <w:szCs w:val="24"/>
        </w:rPr>
        <w:t xml:space="preserve">Legal Lesson Learned: Passing traffic on the left shoulder requires great care. </w:t>
      </w:r>
    </w:p>
    <w:p w14:paraId="19D28B26" w14:textId="77777777" w:rsidR="00CB79E4" w:rsidRDefault="00CB79E4" w:rsidP="00CB79E4">
      <w:pPr>
        <w:pStyle w:val="NoSpacing"/>
      </w:pPr>
    </w:p>
    <w:p w14:paraId="4285519A" w14:textId="77777777" w:rsidR="00AE1943" w:rsidRDefault="00AE1943" w:rsidP="00EF1133">
      <w:pPr>
        <w:rPr>
          <w:rFonts w:ascii="Arial Black" w:hAnsi="Arial Black"/>
          <w:b/>
          <w:sz w:val="24"/>
          <w:szCs w:val="24"/>
        </w:rPr>
      </w:pPr>
    </w:p>
    <w:p w14:paraId="62592726" w14:textId="4997C52F" w:rsidR="005758F6" w:rsidRDefault="005758F6" w:rsidP="00EF1133">
      <w:pPr>
        <w:rPr>
          <w:rFonts w:ascii="Arial Black" w:hAnsi="Arial Black"/>
          <w:b/>
          <w:sz w:val="24"/>
          <w:szCs w:val="24"/>
        </w:rPr>
      </w:pPr>
      <w:r>
        <w:rPr>
          <w:rFonts w:ascii="Arial Black" w:hAnsi="Arial Black"/>
          <w:b/>
          <w:sz w:val="24"/>
          <w:szCs w:val="24"/>
        </w:rPr>
        <w:t>5-50</w:t>
      </w:r>
    </w:p>
    <w:p w14:paraId="65BC6691" w14:textId="4A21B8D8" w:rsidR="00733BB2" w:rsidRPr="00486E8E" w:rsidRDefault="00733BB2" w:rsidP="00733BB2">
      <w:pPr>
        <w:rPr>
          <w:rFonts w:ascii="Arial Black" w:hAnsi="Arial Black"/>
          <w:bCs/>
          <w:sz w:val="28"/>
          <w:szCs w:val="28"/>
        </w:rPr>
      </w:pPr>
      <w:r>
        <w:rPr>
          <w:rFonts w:ascii="Arial Black" w:hAnsi="Arial Black"/>
          <w:sz w:val="28"/>
          <w:szCs w:val="28"/>
        </w:rPr>
        <w:t>IL: AMBUL</w:t>
      </w:r>
      <w:r w:rsidR="00C12BB0">
        <w:rPr>
          <w:rFonts w:ascii="Arial Black" w:hAnsi="Arial Black"/>
          <w:sz w:val="28"/>
          <w:szCs w:val="28"/>
        </w:rPr>
        <w:t xml:space="preserve"> - LIGHTS &amp; SIREN – DIDN’T </w:t>
      </w:r>
      <w:r>
        <w:rPr>
          <w:rFonts w:ascii="Arial Black" w:hAnsi="Arial Black"/>
          <w:bCs/>
          <w:sz w:val="28"/>
          <w:szCs w:val="28"/>
        </w:rPr>
        <w:t xml:space="preserve">STOP </w:t>
      </w:r>
      <w:r w:rsidR="00C12BB0">
        <w:rPr>
          <w:rFonts w:ascii="Arial Black" w:hAnsi="Arial Black"/>
          <w:bCs/>
          <w:sz w:val="28"/>
          <w:szCs w:val="28"/>
        </w:rPr>
        <w:t xml:space="preserve">AT </w:t>
      </w:r>
      <w:r>
        <w:rPr>
          <w:rFonts w:ascii="Arial Black" w:hAnsi="Arial Black"/>
          <w:sz w:val="28"/>
          <w:szCs w:val="28"/>
        </w:rPr>
        <w:t>STOP SIGN - IMMUNITY</w:t>
      </w:r>
    </w:p>
    <w:p w14:paraId="33EDCE6A" w14:textId="07B7C00A" w:rsidR="005758F6" w:rsidRPr="00733BB2" w:rsidRDefault="00733BB2" w:rsidP="00733BB2">
      <w:pPr>
        <w:rPr>
          <w:rFonts w:ascii="Times New Roman" w:hAnsi="Times New Roman"/>
          <w:b/>
          <w:sz w:val="24"/>
          <w:szCs w:val="24"/>
        </w:rPr>
      </w:pPr>
      <w:r w:rsidRPr="00733BB2">
        <w:rPr>
          <w:rFonts w:ascii="Times New Roman" w:hAnsi="Times New Roman"/>
          <w:sz w:val="24"/>
          <w:szCs w:val="24"/>
        </w:rPr>
        <w:t xml:space="preserve">On April 22, 2025, in </w:t>
      </w:r>
      <w:r w:rsidRPr="00733BB2">
        <w:rPr>
          <w:rFonts w:ascii="Times New Roman" w:hAnsi="Times New Roman"/>
          <w:sz w:val="24"/>
          <w:szCs w:val="24"/>
          <w:u w:val="single"/>
        </w:rPr>
        <w:t>GinaM. Postula v. Tyler D. Blackwell and City of LaSalle</w:t>
      </w:r>
      <w:r w:rsidRPr="00733BB2">
        <w:rPr>
          <w:rFonts w:ascii="Times New Roman" w:hAnsi="Times New Roman"/>
          <w:sz w:val="24"/>
          <w:szCs w:val="24"/>
        </w:rPr>
        <w:t xml:space="preserve">, the Court of Appeals of Illinois, Third District held (3 to 0) that trial court properly dismissed the lawsuit alleging negligent conduct by the ambulance EMT driver for not stopping at stop sign before entering intersection and striking side of plaintiff’s vehicle, causing personal injury.  The EMT had lights and siren </w:t>
      </w:r>
      <w:proofErr w:type="gramStart"/>
      <w:r w:rsidRPr="00733BB2">
        <w:rPr>
          <w:rFonts w:ascii="Times New Roman" w:hAnsi="Times New Roman"/>
          <w:sz w:val="24"/>
          <w:szCs w:val="24"/>
        </w:rPr>
        <w:t>activated, and</w:t>
      </w:r>
      <w:proofErr w:type="gramEnd"/>
      <w:r w:rsidRPr="00733BB2">
        <w:rPr>
          <w:rFonts w:ascii="Times New Roman" w:hAnsi="Times New Roman"/>
          <w:sz w:val="24"/>
          <w:szCs w:val="24"/>
        </w:rPr>
        <w:t xml:space="preserve"> slowed down before entering the intersection.  Under state law, emergency responders and their public employers have immunity on an emergency run, except for “willful or wanton conduct.”  The case was dismissed without pre-trial discovery, and trial court denied the plaintiff’s request to file an amended complaint alleging willful or wanton conduct, since prior case law has held that failure of emergency responder to stop at stop sign was not willful or wanton misconduct. </w:t>
      </w:r>
      <w:hyperlink r:id="rId938" w:history="1">
        <w:r w:rsidRPr="00733BB2">
          <w:rPr>
            <w:rStyle w:val="Hyperlink"/>
            <w:rFonts w:ascii="Times New Roman" w:hAnsi="Times New Roman"/>
            <w:sz w:val="24"/>
            <w:szCs w:val="24"/>
          </w:rPr>
          <w:t>https://ilcourtsaudio.blob.core.windows.net/antilles-resources/resources/95e9af0e-d4e6-4f14-9f68-6c313ea57cfa/Postula%20v.%20Blackard,%202025%20IL%20App%20(3d)%20240464-U.pdf</w:t>
        </w:r>
      </w:hyperlink>
    </w:p>
    <w:p w14:paraId="41ED5D04" w14:textId="77777777" w:rsidR="00AE1943" w:rsidRPr="00AE1943" w:rsidRDefault="00AE1943" w:rsidP="00AE1943">
      <w:pPr>
        <w:pStyle w:val="NoSpacing"/>
        <w:rPr>
          <w:rFonts w:ascii="Times New Roman" w:hAnsi="Times New Roman"/>
          <w:b/>
          <w:bCs/>
          <w:sz w:val="24"/>
          <w:szCs w:val="24"/>
        </w:rPr>
      </w:pPr>
      <w:r w:rsidRPr="00AE1943">
        <w:rPr>
          <w:rFonts w:ascii="Times New Roman" w:hAnsi="Times New Roman"/>
          <w:b/>
          <w:sz w:val="24"/>
          <w:szCs w:val="24"/>
        </w:rPr>
        <w:t xml:space="preserve">Legal Lesson Learned: </w:t>
      </w:r>
      <w:r w:rsidRPr="00AE1943">
        <w:rPr>
          <w:rFonts w:ascii="Times New Roman" w:hAnsi="Times New Roman"/>
          <w:b/>
          <w:bCs/>
          <w:sz w:val="24"/>
          <w:szCs w:val="24"/>
        </w:rPr>
        <w:t>While not required by law in most states, s</w:t>
      </w:r>
      <w:r w:rsidRPr="00AE1943">
        <w:rPr>
          <w:rFonts w:ascii="Times New Roman" w:hAnsi="Times New Roman"/>
          <w:b/>
          <w:sz w:val="24"/>
          <w:szCs w:val="24"/>
        </w:rPr>
        <w:t xml:space="preserve">ome fire and EMS departments have adopted a “full stop” policy for stop signs and red lights to help avoid personal injuries as occurred in this case. </w:t>
      </w:r>
    </w:p>
    <w:p w14:paraId="590E92E8" w14:textId="77777777" w:rsidR="005758F6" w:rsidRPr="00AE1943" w:rsidRDefault="005758F6" w:rsidP="00EF1133">
      <w:pPr>
        <w:rPr>
          <w:rFonts w:ascii="Times New Roman" w:hAnsi="Times New Roman"/>
          <w:b/>
          <w:sz w:val="24"/>
          <w:szCs w:val="24"/>
        </w:rPr>
      </w:pPr>
    </w:p>
    <w:p w14:paraId="5CE8CC4F" w14:textId="77777777" w:rsidR="00FA7646" w:rsidRDefault="00FA7646" w:rsidP="00EF1133">
      <w:pPr>
        <w:rPr>
          <w:rFonts w:ascii="Arial Black" w:hAnsi="Arial Black"/>
          <w:b/>
          <w:sz w:val="24"/>
          <w:szCs w:val="24"/>
        </w:rPr>
      </w:pPr>
    </w:p>
    <w:p w14:paraId="5EDA0975" w14:textId="113FD657" w:rsidR="002450F2" w:rsidRDefault="002450F2" w:rsidP="00EF1133">
      <w:pPr>
        <w:rPr>
          <w:rFonts w:ascii="Arial Black" w:hAnsi="Arial Black"/>
          <w:b/>
          <w:sz w:val="24"/>
          <w:szCs w:val="24"/>
        </w:rPr>
      </w:pPr>
      <w:r>
        <w:rPr>
          <w:rFonts w:ascii="Arial Black" w:hAnsi="Arial Black"/>
          <w:b/>
          <w:sz w:val="24"/>
          <w:szCs w:val="24"/>
        </w:rPr>
        <w:t>5-</w:t>
      </w:r>
      <w:r w:rsidR="002628DB">
        <w:rPr>
          <w:rFonts w:ascii="Arial Black" w:hAnsi="Arial Black"/>
          <w:b/>
          <w:sz w:val="24"/>
          <w:szCs w:val="24"/>
        </w:rPr>
        <w:t>49</w:t>
      </w:r>
    </w:p>
    <w:p w14:paraId="42588A92" w14:textId="77777777" w:rsidR="00583C7D" w:rsidRPr="0039171C" w:rsidRDefault="00583C7D" w:rsidP="00583C7D">
      <w:pPr>
        <w:rPr>
          <w:rFonts w:ascii="Arial Black" w:hAnsi="Arial Black"/>
          <w:b/>
          <w:sz w:val="28"/>
          <w:szCs w:val="28"/>
        </w:rPr>
      </w:pPr>
      <w:r>
        <w:rPr>
          <w:rFonts w:ascii="Arial Black" w:hAnsi="Arial Black"/>
          <w:b/>
          <w:sz w:val="28"/>
          <w:szCs w:val="28"/>
        </w:rPr>
        <w:t>NC: MOTORCYCLIST INTO ENGINE - TURNING – IMMUNITY</w:t>
      </w:r>
    </w:p>
    <w:p w14:paraId="59C8CB1E" w14:textId="77777777" w:rsidR="00583C7D" w:rsidRPr="00583C7D" w:rsidRDefault="00583C7D" w:rsidP="00583C7D">
      <w:pPr>
        <w:rPr>
          <w:rFonts w:ascii="Times New Roman" w:hAnsi="Times New Roman"/>
          <w:bCs/>
          <w:sz w:val="24"/>
          <w:szCs w:val="24"/>
        </w:rPr>
      </w:pPr>
      <w:r w:rsidRPr="00583C7D">
        <w:rPr>
          <w:rFonts w:ascii="Times New Roman" w:hAnsi="Times New Roman"/>
          <w:sz w:val="24"/>
          <w:szCs w:val="24"/>
        </w:rPr>
        <w:t xml:space="preserve">On April 16, 2025, in </w:t>
      </w:r>
      <w:r w:rsidRPr="00583C7D">
        <w:rPr>
          <w:rFonts w:ascii="Times New Roman" w:hAnsi="Times New Roman"/>
          <w:sz w:val="24"/>
          <w:szCs w:val="24"/>
          <w:u w:val="single"/>
        </w:rPr>
        <w:t>Robert Dustin Smith v. Teresa Lane, City of Raleigh Firefighter and City of Raleigh</w:t>
      </w:r>
      <w:r w:rsidRPr="00583C7D">
        <w:rPr>
          <w:rFonts w:ascii="Times New Roman" w:hAnsi="Times New Roman"/>
          <w:sz w:val="24"/>
          <w:szCs w:val="24"/>
        </w:rPr>
        <w:t xml:space="preserve">, the Court of Appeals of North Carolina held (3 to 0) that trial court judge improperly denied the defense motion to dismiss this lawsuit on basis of governmental immunity.  The immunity was not waived when the City purchased two excess insurance policies for combined total of $10 million.  On October 22, 2022, firefighter Teresa Lane was returning to Fire Station 9, and plaintiff was in right lane.  He claims that Lane moved from right lane to center </w:t>
      </w:r>
      <w:proofErr w:type="gramStart"/>
      <w:r w:rsidRPr="00583C7D">
        <w:rPr>
          <w:rFonts w:ascii="Times New Roman" w:hAnsi="Times New Roman"/>
          <w:sz w:val="24"/>
          <w:szCs w:val="24"/>
        </w:rPr>
        <w:t>lane, but</w:t>
      </w:r>
      <w:proofErr w:type="gramEnd"/>
      <w:r w:rsidRPr="00583C7D">
        <w:rPr>
          <w:rFonts w:ascii="Times New Roman" w:hAnsi="Times New Roman"/>
          <w:sz w:val="24"/>
          <w:szCs w:val="24"/>
        </w:rPr>
        <w:t xml:space="preserve"> went back to right lane pulling int the station without a signal; he crashed into the side of the engine, and sustained serious injuries, including amputation of one leg above the knee. </w:t>
      </w:r>
      <w:hyperlink r:id="rId939" w:history="1">
        <w:r w:rsidRPr="00583C7D">
          <w:rPr>
            <w:rStyle w:val="Hyperlink"/>
            <w:rFonts w:ascii="Times New Roman" w:hAnsi="Times New Roman"/>
            <w:sz w:val="24"/>
            <w:szCs w:val="24"/>
          </w:rPr>
          <w:t>https://cases.justia.com/north-carolina/court-of-appeals/2025-24-790.pdf?ts=1744808209</w:t>
        </w:r>
      </w:hyperlink>
      <w:r w:rsidRPr="00583C7D">
        <w:rPr>
          <w:rFonts w:ascii="Times New Roman" w:hAnsi="Times New Roman"/>
          <w:sz w:val="24"/>
          <w:szCs w:val="24"/>
        </w:rPr>
        <w:t xml:space="preserve"> </w:t>
      </w:r>
    </w:p>
    <w:p w14:paraId="503A1096" w14:textId="77777777" w:rsidR="00EE5744" w:rsidRPr="00EE5744" w:rsidRDefault="00EE5744" w:rsidP="00EE5744">
      <w:pPr>
        <w:pStyle w:val="NoSpacing"/>
        <w:rPr>
          <w:rFonts w:ascii="Times New Roman" w:hAnsi="Times New Roman"/>
          <w:b/>
          <w:sz w:val="24"/>
          <w:szCs w:val="24"/>
        </w:rPr>
      </w:pPr>
      <w:r w:rsidRPr="00EE5744">
        <w:rPr>
          <w:rFonts w:ascii="Times New Roman" w:hAnsi="Times New Roman"/>
          <w:b/>
          <w:sz w:val="24"/>
          <w:szCs w:val="24"/>
        </w:rPr>
        <w:t xml:space="preserve">Legal Lesson Learned: Governmental immunity continues even if city has purchased  excess insurance policies.   </w:t>
      </w:r>
    </w:p>
    <w:p w14:paraId="5E9B277A" w14:textId="77777777" w:rsidR="00EE5744" w:rsidRDefault="00EE5744" w:rsidP="00EE5744">
      <w:pPr>
        <w:pStyle w:val="NoSpacing"/>
      </w:pPr>
    </w:p>
    <w:p w14:paraId="2400C48D" w14:textId="77777777" w:rsidR="002450F2" w:rsidRDefault="002450F2" w:rsidP="00EF1133">
      <w:pPr>
        <w:rPr>
          <w:rFonts w:ascii="Arial Black" w:hAnsi="Arial Black"/>
          <w:b/>
          <w:sz w:val="24"/>
          <w:szCs w:val="24"/>
        </w:rPr>
      </w:pPr>
    </w:p>
    <w:p w14:paraId="0F1164BD" w14:textId="6DA9BE91" w:rsidR="00AB3819" w:rsidRDefault="00AB3819" w:rsidP="00EF1133">
      <w:pPr>
        <w:rPr>
          <w:rFonts w:ascii="Arial Black" w:hAnsi="Arial Black"/>
          <w:b/>
          <w:sz w:val="24"/>
          <w:szCs w:val="24"/>
        </w:rPr>
      </w:pPr>
      <w:r>
        <w:rPr>
          <w:rFonts w:ascii="Arial Black" w:hAnsi="Arial Black"/>
          <w:b/>
          <w:sz w:val="24"/>
          <w:szCs w:val="24"/>
        </w:rPr>
        <w:t>5-48</w:t>
      </w:r>
    </w:p>
    <w:p w14:paraId="16CD5A42" w14:textId="77777777" w:rsidR="00AB3819" w:rsidRPr="000D3550" w:rsidRDefault="00AB3819" w:rsidP="00AB3819">
      <w:pPr>
        <w:rPr>
          <w:rFonts w:ascii="Arial Black" w:hAnsi="Arial Black"/>
          <w:bCs/>
          <w:sz w:val="28"/>
          <w:szCs w:val="28"/>
        </w:rPr>
      </w:pPr>
      <w:r>
        <w:rPr>
          <w:rFonts w:ascii="Arial Black" w:hAnsi="Arial Black"/>
          <w:sz w:val="28"/>
          <w:szCs w:val="28"/>
        </w:rPr>
        <w:t>OH: “HONOR RIDE” – CIVILIAN FALLS OUT ENGINE - DIED</w:t>
      </w:r>
    </w:p>
    <w:p w14:paraId="5F0C421C" w14:textId="77777777" w:rsidR="00AB3819" w:rsidRPr="00AB3819" w:rsidRDefault="00AB3819" w:rsidP="00AB3819">
      <w:pPr>
        <w:pStyle w:val="NoSpacing"/>
        <w:rPr>
          <w:rFonts w:ascii="Times New Roman" w:hAnsi="Times New Roman"/>
          <w:bCs/>
          <w:sz w:val="24"/>
          <w:szCs w:val="24"/>
        </w:rPr>
      </w:pPr>
      <w:r w:rsidRPr="00AB3819">
        <w:rPr>
          <w:rFonts w:ascii="Times New Roman" w:hAnsi="Times New Roman"/>
          <w:sz w:val="24"/>
          <w:szCs w:val="24"/>
        </w:rPr>
        <w:t xml:space="preserve">On Jan. 23, 2025, in </w:t>
      </w:r>
      <w:r w:rsidRPr="00AB3819">
        <w:rPr>
          <w:rFonts w:ascii="Times New Roman" w:hAnsi="Times New Roman"/>
          <w:sz w:val="24"/>
          <w:szCs w:val="24"/>
          <w:u w:val="single"/>
        </w:rPr>
        <w:t xml:space="preserve">Amanda Luke, Administrator of the Estate of Marguerite Appel v. Short Creek Joint Fire </w:t>
      </w:r>
      <w:proofErr w:type="spellStart"/>
      <w:r w:rsidRPr="00AB3819">
        <w:rPr>
          <w:rFonts w:ascii="Times New Roman" w:hAnsi="Times New Roman"/>
          <w:sz w:val="24"/>
          <w:szCs w:val="24"/>
          <w:u w:val="single"/>
        </w:rPr>
        <w:t>District,et</w:t>
      </w:r>
      <w:proofErr w:type="spellEnd"/>
      <w:r w:rsidRPr="00AB3819">
        <w:rPr>
          <w:rFonts w:ascii="Times New Roman" w:hAnsi="Times New Roman"/>
          <w:sz w:val="24"/>
          <w:szCs w:val="24"/>
          <w:u w:val="single"/>
        </w:rPr>
        <w:t xml:space="preserve"> al</w:t>
      </w:r>
      <w:r w:rsidRPr="00AB3819">
        <w:rPr>
          <w:rFonts w:ascii="Times New Roman" w:hAnsi="Times New Roman"/>
          <w:sz w:val="24"/>
          <w:szCs w:val="24"/>
        </w:rPr>
        <w:t xml:space="preserve">., the Court of Appeals of Ohio, Seventh District (Jefferson County) held (2 to 1) that trial court should have dismissed the firefighters, the Fire District and the political subdivisions served by the joint Fire District in the death of civilian who fell out of rear of engine during honor ride of her step-brother (former Fire Chief).   The deceased voluntarily rode in crowded back seat of the engine without a seat belt and encouraged more passengers to enter and take the empty seat. A man crying at the scene who had been in the fire truck told the Deputy Fire Chief that Ms. Appel was standing holding the door and she grabbed the wrong handle. There was no proof of negligence in operating the engine (15-25 mph), and the driver and other firefighters who allowed crowded engine were not “reckless.” </w:t>
      </w:r>
      <w:hyperlink r:id="rId940" w:history="1">
        <w:r w:rsidRPr="00AB3819">
          <w:rPr>
            <w:rStyle w:val="Hyperlink"/>
            <w:rFonts w:ascii="Times New Roman" w:hAnsi="Times New Roman"/>
            <w:sz w:val="24"/>
            <w:szCs w:val="24"/>
          </w:rPr>
          <w:t>https://www.supremecourt.ohio.gov/rod/docs/pdf/7/2025/2025-Ohio-203.pdf</w:t>
        </w:r>
      </w:hyperlink>
      <w:r w:rsidRPr="00AB3819">
        <w:rPr>
          <w:rFonts w:ascii="Times New Roman" w:hAnsi="Times New Roman"/>
          <w:sz w:val="24"/>
          <w:szCs w:val="24"/>
        </w:rPr>
        <w:t xml:space="preserve"> </w:t>
      </w:r>
    </w:p>
    <w:p w14:paraId="7451057C" w14:textId="77777777" w:rsidR="00AB3819" w:rsidRPr="00AB3819" w:rsidRDefault="00AB3819" w:rsidP="00AB3819">
      <w:pPr>
        <w:rPr>
          <w:rFonts w:ascii="Times New Roman" w:hAnsi="Times New Roman"/>
          <w:bCs/>
          <w:sz w:val="24"/>
          <w:szCs w:val="24"/>
        </w:rPr>
      </w:pPr>
    </w:p>
    <w:p w14:paraId="634C53AA" w14:textId="77777777" w:rsidR="00AB3819" w:rsidRPr="00AB3819" w:rsidRDefault="00AB3819" w:rsidP="00AB3819">
      <w:pPr>
        <w:rPr>
          <w:rFonts w:ascii="Times New Roman" w:hAnsi="Times New Roman"/>
          <w:bCs/>
          <w:sz w:val="24"/>
          <w:szCs w:val="24"/>
        </w:rPr>
      </w:pPr>
      <w:r w:rsidRPr="00AB3819">
        <w:rPr>
          <w:rFonts w:ascii="Times New Roman" w:hAnsi="Times New Roman"/>
          <w:sz w:val="24"/>
          <w:szCs w:val="24"/>
        </w:rPr>
        <w:t>The Court wrote:</w:t>
      </w:r>
    </w:p>
    <w:p w14:paraId="02329713"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 xml:space="preserve">“Defendants-Appellants Short Creek Joint Fire District and two employees appeal the decision of the Jefferson County Common Pleas Court denying their motion for summary judgment. They claimed immunity in the lawsuit filed by Appellee Amanda Luke, individually and as administrator of the Estate of Marguerite Appel (the decedent)…. The political subdivision [which is served by the Fire District] argues there was no evidence of negligence as required for the immunity exceptions involving the operation of a motor vehicle or the performance of a proprietary function, arguing there was no breach of </w:t>
      </w:r>
      <w:proofErr w:type="gramStart"/>
      <w:r w:rsidRPr="00AB3819">
        <w:rPr>
          <w:rFonts w:ascii="Times New Roman" w:hAnsi="Times New Roman"/>
          <w:sz w:val="24"/>
          <w:szCs w:val="24"/>
        </w:rPr>
        <w:t>a duty</w:t>
      </w:r>
      <w:proofErr w:type="gramEnd"/>
      <w:r w:rsidRPr="00AB3819">
        <w:rPr>
          <w:rFonts w:ascii="Times New Roman" w:hAnsi="Times New Roman"/>
          <w:sz w:val="24"/>
          <w:szCs w:val="24"/>
        </w:rPr>
        <w:t xml:space="preserve"> that proximately caused the decedent’s injury. In arguing the lack of duty for negligence, the political subdivision emphasizes the primary assumption of the risk doctrine and argues there was no showing of recklessness as required to defeat the doctrine. We agree and find the political subdivision was entitled to summary judgment….The employees contend they are immune because their performance was not reckless as required to invoke the recklessness exception to employee immunity. It is also argued their performance was not manifestly outside the scope of employment, while pointing out this exception was not invoked by Appellee below. We agree and find the employees were entitled to summary judgment.</w:t>
      </w:r>
    </w:p>
    <w:p w14:paraId="69DA601C" w14:textId="77777777" w:rsidR="00AB3819" w:rsidRPr="00AB3819" w:rsidRDefault="00AB3819" w:rsidP="00AB3819">
      <w:pPr>
        <w:pStyle w:val="NoSpacing"/>
        <w:ind w:left="720"/>
        <w:rPr>
          <w:rFonts w:ascii="Times New Roman" w:hAnsi="Times New Roman"/>
          <w:bCs/>
          <w:sz w:val="24"/>
          <w:szCs w:val="24"/>
        </w:rPr>
      </w:pPr>
    </w:p>
    <w:p w14:paraId="79A5F274"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w:t>
      </w:r>
    </w:p>
    <w:p w14:paraId="6E534CA4" w14:textId="77777777" w:rsidR="00AB3819" w:rsidRPr="00AB3819" w:rsidRDefault="00AB3819" w:rsidP="00AB3819">
      <w:pPr>
        <w:pStyle w:val="NoSpacing"/>
        <w:ind w:left="720"/>
        <w:rPr>
          <w:rFonts w:ascii="Times New Roman" w:hAnsi="Times New Roman"/>
          <w:bCs/>
          <w:sz w:val="24"/>
          <w:szCs w:val="24"/>
        </w:rPr>
      </w:pPr>
    </w:p>
    <w:p w14:paraId="0CB01D34"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 xml:space="preserve">Chief Manbeck noted the department provided civilian rides in the past, such as driving the youth baseball team in a small parade when they won a championship and the softball team for a similar reason; Spiderman also rode in a fire truck for </w:t>
      </w:r>
      <w:proofErr w:type="gramStart"/>
      <w:r w:rsidRPr="00AB3819">
        <w:rPr>
          <w:rFonts w:ascii="Times New Roman" w:hAnsi="Times New Roman"/>
          <w:sz w:val="24"/>
          <w:szCs w:val="24"/>
        </w:rPr>
        <w:t>a Fourth</w:t>
      </w:r>
      <w:proofErr w:type="gramEnd"/>
      <w:r w:rsidRPr="00AB3819">
        <w:rPr>
          <w:rFonts w:ascii="Times New Roman" w:hAnsi="Times New Roman"/>
          <w:sz w:val="24"/>
          <w:szCs w:val="24"/>
        </w:rPr>
        <w:t xml:space="preserve"> of July parade. He was also aware such services were provided by one of the prior fire districts before the merger into a joint district…. He said SCJFD had no specific policy on civilian rides, seat belts, or abiding by recommendations from a named publication….He pointed out state law does not require seat belts for backseat passengers and it is legal to sit on the floor in the back of the truck, regardless of what a manufacturer’s warning label states. </w:t>
      </w:r>
    </w:p>
    <w:p w14:paraId="5B5CFD79" w14:textId="77777777" w:rsidR="00AB3819" w:rsidRPr="00AB3819" w:rsidRDefault="00AB3819" w:rsidP="00AB3819">
      <w:pPr>
        <w:pStyle w:val="NoSpacing"/>
        <w:ind w:left="720"/>
        <w:rPr>
          <w:rFonts w:ascii="Times New Roman" w:hAnsi="Times New Roman"/>
          <w:bCs/>
          <w:sz w:val="24"/>
          <w:szCs w:val="24"/>
        </w:rPr>
      </w:pPr>
    </w:p>
    <w:p w14:paraId="197503E5"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w:t>
      </w:r>
    </w:p>
    <w:p w14:paraId="3923221D" w14:textId="77777777" w:rsidR="00AB3819" w:rsidRPr="00AB3819" w:rsidRDefault="00AB3819" w:rsidP="00AB3819">
      <w:pPr>
        <w:pStyle w:val="NoSpacing"/>
        <w:ind w:left="720"/>
        <w:rPr>
          <w:rFonts w:ascii="Times New Roman" w:hAnsi="Times New Roman"/>
          <w:bCs/>
          <w:sz w:val="24"/>
          <w:szCs w:val="24"/>
        </w:rPr>
      </w:pPr>
    </w:p>
    <w:p w14:paraId="13E075AD" w14:textId="77777777" w:rsidR="00AB3819" w:rsidRPr="00AB3819" w:rsidRDefault="00AB3819" w:rsidP="00AB3819">
      <w:pPr>
        <w:pStyle w:val="NoSpacing"/>
        <w:ind w:left="720"/>
        <w:rPr>
          <w:rFonts w:ascii="Times New Roman" w:hAnsi="Times New Roman"/>
          <w:bCs/>
          <w:i/>
          <w:iCs/>
          <w:sz w:val="24"/>
          <w:szCs w:val="24"/>
        </w:rPr>
      </w:pPr>
      <w:r w:rsidRPr="00AB3819">
        <w:rPr>
          <w:rFonts w:ascii="Times New Roman" w:hAnsi="Times New Roman"/>
          <w:i/>
          <w:iCs/>
          <w:sz w:val="24"/>
          <w:szCs w:val="24"/>
        </w:rPr>
        <w:t xml:space="preserve">At the very least, these riders assume the risks of normal driving movements incurred </w:t>
      </w:r>
      <w:proofErr w:type="gramStart"/>
      <w:r w:rsidRPr="00AB3819">
        <w:rPr>
          <w:rFonts w:ascii="Times New Roman" w:hAnsi="Times New Roman"/>
          <w:i/>
          <w:iCs/>
          <w:sz w:val="24"/>
          <w:szCs w:val="24"/>
        </w:rPr>
        <w:t>as a result of</w:t>
      </w:r>
      <w:proofErr w:type="gramEnd"/>
      <w:r w:rsidRPr="00AB3819">
        <w:rPr>
          <w:rFonts w:ascii="Times New Roman" w:hAnsi="Times New Roman"/>
          <w:i/>
          <w:iCs/>
          <w:sz w:val="24"/>
          <w:szCs w:val="24"/>
        </w:rPr>
        <w:t xml:space="preserve"> the position they placed themselves, even if they do not assume the risk of abnormal driving movements. [Emphasis in court decision.]</w:t>
      </w:r>
    </w:p>
    <w:p w14:paraId="250F17BC" w14:textId="77777777" w:rsidR="00AB3819" w:rsidRPr="00AB3819" w:rsidRDefault="00AB3819" w:rsidP="00AB3819">
      <w:pPr>
        <w:pStyle w:val="NoSpacing"/>
        <w:ind w:left="720"/>
        <w:rPr>
          <w:rFonts w:ascii="Times New Roman" w:hAnsi="Times New Roman"/>
          <w:bCs/>
          <w:i/>
          <w:iCs/>
          <w:sz w:val="24"/>
          <w:szCs w:val="24"/>
        </w:rPr>
      </w:pPr>
    </w:p>
    <w:p w14:paraId="4F0E4F61"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w:t>
      </w:r>
    </w:p>
    <w:p w14:paraId="73080C09" w14:textId="77777777" w:rsidR="00AB3819" w:rsidRPr="00AB3819" w:rsidRDefault="00AB3819" w:rsidP="00AB3819">
      <w:pPr>
        <w:pStyle w:val="NoSpacing"/>
        <w:ind w:left="720"/>
        <w:rPr>
          <w:rFonts w:ascii="Times New Roman" w:hAnsi="Times New Roman"/>
          <w:bCs/>
          <w:sz w:val="24"/>
          <w:szCs w:val="24"/>
        </w:rPr>
      </w:pPr>
    </w:p>
    <w:p w14:paraId="16C2A045"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We conclude a person voluntarily riding in a crowded fire truck after choosing to occupy the space by the door without a seat or seat belt and then encouraging more passengers to enter instead of taking the empty seat, primarily assumes the specific risk of falling out if they lean on the door as the truck navigates a curve after the door handle is accidentally activated by the plaintiff (or another person).”</w:t>
      </w:r>
    </w:p>
    <w:p w14:paraId="438B393A" w14:textId="77777777" w:rsidR="00AB3819" w:rsidRPr="00AB3819" w:rsidRDefault="00AB3819" w:rsidP="00AB3819">
      <w:pPr>
        <w:pStyle w:val="NoSpacing"/>
        <w:ind w:left="720"/>
        <w:rPr>
          <w:rFonts w:ascii="Times New Roman" w:hAnsi="Times New Roman"/>
          <w:bCs/>
          <w:sz w:val="24"/>
          <w:szCs w:val="24"/>
        </w:rPr>
      </w:pPr>
    </w:p>
    <w:p w14:paraId="4F1F4ED2" w14:textId="77777777" w:rsidR="00AB3819" w:rsidRPr="00AB3819" w:rsidRDefault="00AB3819" w:rsidP="00AB3819">
      <w:pPr>
        <w:pStyle w:val="NoSpacing"/>
        <w:rPr>
          <w:rFonts w:ascii="Times New Roman" w:hAnsi="Times New Roman"/>
          <w:bCs/>
          <w:sz w:val="24"/>
          <w:szCs w:val="24"/>
        </w:rPr>
      </w:pPr>
      <w:r w:rsidRPr="00AB3819">
        <w:rPr>
          <w:rFonts w:ascii="Times New Roman" w:hAnsi="Times New Roman"/>
          <w:sz w:val="24"/>
          <w:szCs w:val="24"/>
        </w:rPr>
        <w:t>Dissent:</w:t>
      </w:r>
    </w:p>
    <w:p w14:paraId="7F1FA594" w14:textId="77777777" w:rsidR="00AB3819" w:rsidRPr="00AB3819" w:rsidRDefault="00AB3819" w:rsidP="00AB3819">
      <w:pPr>
        <w:pStyle w:val="NoSpacing"/>
        <w:rPr>
          <w:rFonts w:ascii="Times New Roman" w:hAnsi="Times New Roman"/>
          <w:bCs/>
          <w:sz w:val="24"/>
          <w:szCs w:val="24"/>
        </w:rPr>
      </w:pPr>
    </w:p>
    <w:p w14:paraId="7C20100E"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“I would find that Appellants owed Ms. Appel a general duty of care to ensure her</w:t>
      </w:r>
    </w:p>
    <w:p w14:paraId="7514DB80"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safety on the firetruck after John Sebring, a volunteer firefighter, encouraged her to board</w:t>
      </w:r>
    </w:p>
    <w:p w14:paraId="3C35A56D" w14:textId="77777777" w:rsidR="00AB3819" w:rsidRPr="00AB3819" w:rsidRDefault="00AB3819" w:rsidP="00AB3819">
      <w:pPr>
        <w:pStyle w:val="NoSpacing"/>
        <w:ind w:left="720"/>
        <w:rPr>
          <w:rFonts w:ascii="Times New Roman" w:hAnsi="Times New Roman"/>
          <w:bCs/>
          <w:sz w:val="24"/>
          <w:szCs w:val="24"/>
        </w:rPr>
      </w:pPr>
      <w:r w:rsidRPr="00AB3819">
        <w:rPr>
          <w:rFonts w:ascii="Times New Roman" w:hAnsi="Times New Roman"/>
          <w:sz w:val="24"/>
          <w:szCs w:val="24"/>
        </w:rPr>
        <w:t xml:space="preserve">the firetruck after Ms. Appel expressed concern about the overcrowding on the </w:t>
      </w:r>
      <w:proofErr w:type="gramStart"/>
      <w:r w:rsidRPr="00AB3819">
        <w:rPr>
          <w:rFonts w:ascii="Times New Roman" w:hAnsi="Times New Roman"/>
          <w:sz w:val="24"/>
          <w:szCs w:val="24"/>
        </w:rPr>
        <w:t>truck.}</w:t>
      </w:r>
      <w:proofErr w:type="gramEnd"/>
    </w:p>
    <w:p w14:paraId="71181E09" w14:textId="77777777" w:rsidR="00AB3819" w:rsidRPr="00AB3819" w:rsidRDefault="00AB3819" w:rsidP="00AB3819">
      <w:pPr>
        <w:pStyle w:val="NoSpacing"/>
        <w:ind w:left="720"/>
        <w:rPr>
          <w:rFonts w:ascii="Times New Roman" w:hAnsi="Times New Roman"/>
          <w:bCs/>
          <w:sz w:val="24"/>
          <w:szCs w:val="24"/>
        </w:rPr>
      </w:pPr>
    </w:p>
    <w:p w14:paraId="45453E7F" w14:textId="77777777" w:rsidR="00AB3819" w:rsidRPr="00AB3819" w:rsidRDefault="00AB3819" w:rsidP="00AB3819">
      <w:pPr>
        <w:pStyle w:val="NoSpacing"/>
        <w:rPr>
          <w:rFonts w:ascii="Times New Roman" w:hAnsi="Times New Roman"/>
          <w:b/>
          <w:sz w:val="24"/>
          <w:szCs w:val="24"/>
        </w:rPr>
      </w:pPr>
      <w:r w:rsidRPr="00AB3819">
        <w:rPr>
          <w:rFonts w:ascii="Times New Roman" w:hAnsi="Times New Roman"/>
          <w:b/>
          <w:sz w:val="24"/>
          <w:szCs w:val="24"/>
        </w:rPr>
        <w:t xml:space="preserve">Legal Lesson Learned: Tragic event that could have been avoided.  Civilians or firefighters riding in a fire engine should all be using seat belts. </w:t>
      </w:r>
    </w:p>
    <w:p w14:paraId="5C0DC1B6" w14:textId="77777777" w:rsidR="00AB3819" w:rsidRDefault="00AB3819" w:rsidP="00EF1133">
      <w:pPr>
        <w:rPr>
          <w:rFonts w:ascii="Arial Black" w:hAnsi="Arial Black"/>
          <w:b/>
          <w:sz w:val="24"/>
          <w:szCs w:val="24"/>
        </w:rPr>
      </w:pPr>
    </w:p>
    <w:p w14:paraId="59DCA56B" w14:textId="77777777" w:rsidR="00AB3819" w:rsidRDefault="00AB3819" w:rsidP="00EF1133">
      <w:pPr>
        <w:rPr>
          <w:rFonts w:ascii="Arial Black" w:hAnsi="Arial Black"/>
          <w:b/>
          <w:sz w:val="24"/>
          <w:szCs w:val="24"/>
        </w:rPr>
      </w:pPr>
    </w:p>
    <w:p w14:paraId="4CD383B4" w14:textId="77777777" w:rsidR="00AB3819" w:rsidRDefault="00AB3819" w:rsidP="00EF1133">
      <w:pPr>
        <w:rPr>
          <w:rFonts w:ascii="Arial Black" w:hAnsi="Arial Black"/>
          <w:b/>
          <w:sz w:val="24"/>
          <w:szCs w:val="24"/>
        </w:rPr>
      </w:pPr>
    </w:p>
    <w:p w14:paraId="47AD33CA" w14:textId="00C2D0DE" w:rsidR="00DE42DC" w:rsidRDefault="000B228A" w:rsidP="00EF1133">
      <w:pPr>
        <w:rPr>
          <w:rFonts w:ascii="Arial Black" w:hAnsi="Arial Black"/>
          <w:b/>
          <w:sz w:val="24"/>
          <w:szCs w:val="24"/>
        </w:rPr>
      </w:pPr>
      <w:r>
        <w:rPr>
          <w:rFonts w:ascii="Arial Black" w:hAnsi="Arial Black"/>
          <w:b/>
          <w:sz w:val="24"/>
          <w:szCs w:val="24"/>
        </w:rPr>
        <w:t>5-47</w:t>
      </w:r>
    </w:p>
    <w:p w14:paraId="1BFE0B0E" w14:textId="77777777" w:rsidR="00243663" w:rsidRDefault="00243663" w:rsidP="00243663">
      <w:pPr>
        <w:pStyle w:val="NoSpacing"/>
        <w:rPr>
          <w:rFonts w:ascii="Arial Black" w:hAnsi="Arial Black"/>
          <w:b/>
          <w:sz w:val="28"/>
          <w:szCs w:val="28"/>
        </w:rPr>
      </w:pPr>
      <w:r>
        <w:rPr>
          <w:rFonts w:ascii="Arial Black" w:hAnsi="Arial Black"/>
          <w:b/>
          <w:sz w:val="28"/>
          <w:szCs w:val="28"/>
        </w:rPr>
        <w:t xml:space="preserve">CA: MOTORCYCLIST KILLED – COLLISION FIRE ENGINE – PL’S EXPERT - FD CAPTAIN / RELATIVE  - MAY TESTIFY </w:t>
      </w:r>
    </w:p>
    <w:p w14:paraId="7BFAD992" w14:textId="77777777" w:rsidR="00243663" w:rsidRDefault="00243663" w:rsidP="00243663">
      <w:pPr>
        <w:pStyle w:val="NoSpacing"/>
        <w:rPr>
          <w:rFonts w:ascii="Arial Black" w:hAnsi="Arial Black"/>
          <w:b/>
          <w:sz w:val="28"/>
          <w:szCs w:val="28"/>
        </w:rPr>
      </w:pPr>
    </w:p>
    <w:p w14:paraId="6179ACCC" w14:textId="77777777" w:rsidR="00243663" w:rsidRPr="00127BCE" w:rsidRDefault="00243663" w:rsidP="00243663">
      <w:pPr>
        <w:pStyle w:val="NoSpacing"/>
        <w:rPr>
          <w:rFonts w:ascii="Times New Roman" w:hAnsi="Times New Roman"/>
          <w:sz w:val="24"/>
          <w:szCs w:val="24"/>
        </w:rPr>
      </w:pPr>
      <w:r w:rsidRPr="00127BCE">
        <w:rPr>
          <w:rFonts w:ascii="Times New Roman" w:hAnsi="Times New Roman"/>
          <w:sz w:val="24"/>
          <w:szCs w:val="24"/>
        </w:rPr>
        <w:t xml:space="preserve">On Nov. 7, 2024, in </w:t>
      </w:r>
      <w:r w:rsidRPr="00127BCE">
        <w:rPr>
          <w:rFonts w:ascii="Times New Roman" w:hAnsi="Times New Roman"/>
          <w:sz w:val="24"/>
          <w:szCs w:val="24"/>
          <w:u w:val="single"/>
        </w:rPr>
        <w:t>Carol Leigh Kneeshaw v. The Superior Court of Orange County; and City of Orange (Real Party in Interest</w:t>
      </w:r>
      <w:r w:rsidRPr="00127BCE">
        <w:rPr>
          <w:rFonts w:ascii="Times New Roman" w:hAnsi="Times New Roman"/>
          <w:sz w:val="24"/>
          <w:szCs w:val="24"/>
        </w:rPr>
        <w:t xml:space="preserve">), the California Court of Appeal, Fourth District, Division 3, held (3 to 0; unpublished decision) that trial court improperly excluded the Fire Captain as an expert witness for the plaintiff.  The </w:t>
      </w:r>
      <w:proofErr w:type="gramStart"/>
      <w:r w:rsidRPr="00127BCE">
        <w:rPr>
          <w:rFonts w:ascii="Times New Roman" w:hAnsi="Times New Roman"/>
          <w:sz w:val="24"/>
          <w:szCs w:val="24"/>
        </w:rPr>
        <w:t>Captain</w:t>
      </w:r>
      <w:proofErr w:type="gramEnd"/>
      <w:r w:rsidRPr="00127BCE">
        <w:rPr>
          <w:rFonts w:ascii="Times New Roman" w:hAnsi="Times New Roman"/>
          <w:sz w:val="24"/>
          <w:szCs w:val="24"/>
        </w:rPr>
        <w:t xml:space="preserve"> is also brother of the son-in-law of Christian Bardales, petitioner's co-plaintiff.  “There can be no question that Buford's basic credentials are sufficient to qualify him as an expert witness on the capabilities and operation of fire engines. While questions can be raised as to his methodology, the proper remedy is either cross-examination or a limitation on his testimony, not wholesale exclusion. Nor is bias arising from a distant familial relationship an adequate reason to exclude Buford. *** The opinions ultimately offered by Buford were that ‘the fire apparatus is not capable of making [the] maneuver described by the engine crew,’ ‘the fire apparatus is capable of making the maneuver that [certain third party witnesses] described,’ and ‘the fire apparatus is capable of making [the maneuver described by the accident reconstructionist], yet it's outside of standard operating procedures.’” </w:t>
      </w:r>
      <w:hyperlink r:id="rId941" w:history="1">
        <w:r w:rsidRPr="00127BCE">
          <w:rPr>
            <w:rStyle w:val="Hyperlink"/>
            <w:rFonts w:ascii="Times New Roman" w:hAnsi="Times New Roman"/>
            <w:sz w:val="24"/>
            <w:szCs w:val="24"/>
          </w:rPr>
          <w:t>https://casetext.com/case/kneeshaw-v-the-superior-court-of-orange-cnty</w:t>
        </w:r>
      </w:hyperlink>
      <w:r w:rsidRPr="00127BCE">
        <w:rPr>
          <w:rFonts w:ascii="Times New Roman" w:hAnsi="Times New Roman"/>
          <w:sz w:val="24"/>
          <w:szCs w:val="24"/>
        </w:rPr>
        <w:t xml:space="preserve"> </w:t>
      </w:r>
    </w:p>
    <w:p w14:paraId="23655509" w14:textId="77777777" w:rsidR="000B228A" w:rsidRPr="00127BCE" w:rsidRDefault="000B228A" w:rsidP="000B228A">
      <w:pPr>
        <w:pStyle w:val="NoSpacing"/>
        <w:rPr>
          <w:rFonts w:ascii="Times New Roman" w:hAnsi="Times New Roman"/>
          <w:sz w:val="24"/>
          <w:szCs w:val="24"/>
        </w:rPr>
      </w:pPr>
    </w:p>
    <w:p w14:paraId="5AF33DDB" w14:textId="77777777" w:rsidR="00127BCE" w:rsidRPr="00127BCE" w:rsidRDefault="00127BCE" w:rsidP="00127BCE">
      <w:pPr>
        <w:pStyle w:val="NoSpacing"/>
        <w:rPr>
          <w:rFonts w:ascii="Times New Roman" w:hAnsi="Times New Roman"/>
          <w:b/>
          <w:bCs/>
          <w:sz w:val="24"/>
          <w:szCs w:val="24"/>
        </w:rPr>
      </w:pPr>
      <w:r w:rsidRPr="00127BCE">
        <w:rPr>
          <w:rFonts w:ascii="Times New Roman" w:hAnsi="Times New Roman"/>
          <w:b/>
          <w:sz w:val="24"/>
          <w:szCs w:val="24"/>
        </w:rPr>
        <w:t xml:space="preserve">Legal Lesson Learned: A fire captain who is a certified instructor of Type 1 fire engines may testify as an expert witness (and offer his opinions), even if he is a distant relative to the plaintiffs. </w:t>
      </w:r>
    </w:p>
    <w:p w14:paraId="4098F225" w14:textId="77777777" w:rsidR="00127BCE" w:rsidRPr="00127BCE" w:rsidRDefault="00127BCE" w:rsidP="00127BCE">
      <w:pPr>
        <w:pStyle w:val="NoSpacing"/>
        <w:ind w:left="720"/>
        <w:rPr>
          <w:rFonts w:ascii="Times New Roman" w:hAnsi="Times New Roman"/>
          <w:bCs/>
          <w:sz w:val="24"/>
          <w:szCs w:val="24"/>
        </w:rPr>
      </w:pPr>
    </w:p>
    <w:p w14:paraId="468E4B62" w14:textId="77777777" w:rsidR="00127BCE" w:rsidRPr="00127BCE" w:rsidRDefault="00127BCE" w:rsidP="00127BCE">
      <w:pPr>
        <w:pStyle w:val="NoSpacing"/>
        <w:ind w:left="720"/>
        <w:rPr>
          <w:rFonts w:ascii="Times New Roman" w:hAnsi="Times New Roman"/>
          <w:sz w:val="24"/>
          <w:szCs w:val="24"/>
        </w:rPr>
      </w:pPr>
      <w:r w:rsidRPr="00127BCE">
        <w:rPr>
          <w:rFonts w:ascii="Times New Roman" w:hAnsi="Times New Roman"/>
          <w:sz w:val="24"/>
          <w:szCs w:val="24"/>
        </w:rPr>
        <w:t xml:space="preserve">Note: See this article and video; this appears to be the same incident as this case. </w:t>
      </w:r>
    </w:p>
    <w:p w14:paraId="5BEED58D" w14:textId="77777777" w:rsidR="00127BCE" w:rsidRPr="00127BCE" w:rsidRDefault="00127BCE" w:rsidP="00127BCE">
      <w:pPr>
        <w:pStyle w:val="NoSpacing"/>
        <w:ind w:left="720"/>
        <w:rPr>
          <w:rFonts w:ascii="Times New Roman" w:hAnsi="Times New Roman"/>
          <w:bCs/>
          <w:sz w:val="24"/>
          <w:szCs w:val="24"/>
        </w:rPr>
      </w:pPr>
    </w:p>
    <w:p w14:paraId="74837216" w14:textId="77777777" w:rsidR="00127BCE" w:rsidRPr="00127BCE" w:rsidRDefault="00127BCE" w:rsidP="00127BCE">
      <w:pPr>
        <w:pStyle w:val="NoSpacing"/>
        <w:ind w:left="720"/>
        <w:rPr>
          <w:rFonts w:ascii="Times New Roman" w:hAnsi="Times New Roman"/>
          <w:bCs/>
          <w:sz w:val="24"/>
          <w:szCs w:val="24"/>
        </w:rPr>
      </w:pPr>
      <w:r w:rsidRPr="00127BCE">
        <w:rPr>
          <w:rFonts w:ascii="Times New Roman" w:hAnsi="Times New Roman"/>
          <w:sz w:val="24"/>
          <w:szCs w:val="24"/>
        </w:rPr>
        <w:t xml:space="preserve">June 6, 2019: </w:t>
      </w:r>
      <w:r w:rsidRPr="00127BCE">
        <w:rPr>
          <w:rFonts w:ascii="Times New Roman" w:hAnsi="Times New Roman"/>
          <w:bCs/>
          <w:sz w:val="24"/>
          <w:szCs w:val="24"/>
        </w:rPr>
        <w:t>“Orange: Motorcyclist dies after crash with fire truck.” (</w:t>
      </w:r>
      <w:r w:rsidRPr="00127BCE">
        <w:rPr>
          <w:rFonts w:ascii="Times New Roman" w:hAnsi="Times New Roman"/>
          <w:sz w:val="24"/>
          <w:szCs w:val="24"/>
        </w:rPr>
        <w:t>KABC) -- A motorcyclist has died and three firefighters have minor injuries following a crash involving a fire truck in the city of Orange on Wednesday. According to Orange police, officers responded to the crash at about 4:41 p.m. near E. Collins Avenue and Roberto. The motorcyclist was transported to the hospital with life-threatening injuries and later died. The three firefighters were also transported with non-</w:t>
      </w:r>
      <w:proofErr w:type="gramStart"/>
      <w:r w:rsidRPr="00127BCE">
        <w:rPr>
          <w:rFonts w:ascii="Times New Roman" w:hAnsi="Times New Roman"/>
          <w:sz w:val="24"/>
          <w:szCs w:val="24"/>
        </w:rPr>
        <w:t>life threatening</w:t>
      </w:r>
      <w:proofErr w:type="gramEnd"/>
      <w:r w:rsidRPr="00127BCE">
        <w:rPr>
          <w:rFonts w:ascii="Times New Roman" w:hAnsi="Times New Roman"/>
          <w:sz w:val="24"/>
          <w:szCs w:val="24"/>
        </w:rPr>
        <w:t xml:space="preserve"> injuries, police said. It's unclear whether the fire truck had lights and sirens blaring at the time of the crash.”  </w:t>
      </w:r>
      <w:hyperlink r:id="rId942" w:history="1">
        <w:r w:rsidRPr="00127BCE">
          <w:rPr>
            <w:rStyle w:val="Hyperlink"/>
            <w:rFonts w:ascii="Times New Roman" w:hAnsi="Times New Roman"/>
            <w:sz w:val="24"/>
            <w:szCs w:val="24"/>
          </w:rPr>
          <w:t>https://abc7.com/orange-crash-fire-truck-motorcycle-and/5333918/</w:t>
        </w:r>
      </w:hyperlink>
      <w:r w:rsidRPr="00127BCE">
        <w:rPr>
          <w:rFonts w:ascii="Times New Roman" w:hAnsi="Times New Roman"/>
          <w:sz w:val="24"/>
          <w:szCs w:val="24"/>
        </w:rPr>
        <w:t xml:space="preserve"> </w:t>
      </w:r>
    </w:p>
    <w:p w14:paraId="71BCBD76" w14:textId="77777777" w:rsidR="00127BCE" w:rsidRPr="00127BCE" w:rsidRDefault="00127BCE" w:rsidP="00127BCE">
      <w:pPr>
        <w:pStyle w:val="NoSpacing"/>
        <w:ind w:left="720"/>
        <w:rPr>
          <w:rFonts w:ascii="Times New Roman" w:hAnsi="Times New Roman"/>
          <w:bCs/>
          <w:sz w:val="24"/>
          <w:szCs w:val="24"/>
        </w:rPr>
      </w:pPr>
    </w:p>
    <w:p w14:paraId="70BD414A" w14:textId="77777777" w:rsidR="00127BCE" w:rsidRPr="00127BCE" w:rsidRDefault="00127BCE" w:rsidP="00127BCE">
      <w:pPr>
        <w:pStyle w:val="NoSpacing"/>
        <w:ind w:left="720"/>
        <w:rPr>
          <w:rFonts w:ascii="Times New Roman" w:hAnsi="Times New Roman"/>
          <w:bCs/>
          <w:sz w:val="24"/>
          <w:szCs w:val="24"/>
        </w:rPr>
      </w:pPr>
      <w:r w:rsidRPr="00127BCE">
        <w:rPr>
          <w:rFonts w:ascii="Times New Roman" w:hAnsi="Times New Roman"/>
          <w:sz w:val="24"/>
          <w:szCs w:val="24"/>
        </w:rPr>
        <w:t xml:space="preserve">Video: </w:t>
      </w:r>
      <w:hyperlink r:id="rId943" w:history="1">
        <w:r w:rsidRPr="00127BCE">
          <w:rPr>
            <w:rStyle w:val="Hyperlink"/>
            <w:rFonts w:ascii="Times New Roman" w:hAnsi="Times New Roman"/>
            <w:sz w:val="24"/>
            <w:szCs w:val="24"/>
          </w:rPr>
          <w:t>https://www.youtube.com/watch?v=4rwA-whTxmQ</w:t>
        </w:r>
      </w:hyperlink>
      <w:r w:rsidRPr="00127BCE">
        <w:rPr>
          <w:rFonts w:ascii="Times New Roman" w:hAnsi="Times New Roman"/>
          <w:sz w:val="24"/>
          <w:szCs w:val="24"/>
        </w:rPr>
        <w:t xml:space="preserve"> </w:t>
      </w:r>
    </w:p>
    <w:p w14:paraId="403F642F" w14:textId="77777777" w:rsidR="00127BCE" w:rsidRDefault="00127BCE" w:rsidP="000B228A">
      <w:pPr>
        <w:pStyle w:val="NoSpacing"/>
      </w:pPr>
    </w:p>
    <w:p w14:paraId="4A07D3F4" w14:textId="77777777" w:rsidR="000B228A" w:rsidRDefault="000B228A" w:rsidP="00EF1133">
      <w:pPr>
        <w:rPr>
          <w:rFonts w:ascii="Arial Black" w:hAnsi="Arial Black"/>
          <w:b/>
          <w:sz w:val="24"/>
          <w:szCs w:val="24"/>
        </w:rPr>
      </w:pPr>
    </w:p>
    <w:p w14:paraId="04C68D6F" w14:textId="38F4EF39" w:rsidR="00DE42DC" w:rsidRDefault="00DE42DC" w:rsidP="00EF1133">
      <w:pPr>
        <w:rPr>
          <w:rFonts w:ascii="Arial Black" w:hAnsi="Arial Black"/>
          <w:b/>
          <w:sz w:val="24"/>
          <w:szCs w:val="24"/>
        </w:rPr>
      </w:pPr>
      <w:r>
        <w:rPr>
          <w:rFonts w:ascii="Arial Black" w:hAnsi="Arial Black"/>
          <w:b/>
          <w:sz w:val="24"/>
          <w:szCs w:val="24"/>
        </w:rPr>
        <w:t>5-46</w:t>
      </w:r>
    </w:p>
    <w:p w14:paraId="5385DA40" w14:textId="77777777" w:rsidR="001F2A28" w:rsidRPr="009D30FC" w:rsidRDefault="001F2A28" w:rsidP="001F2A28">
      <w:pPr>
        <w:rPr>
          <w:rFonts w:ascii="Arial Black" w:hAnsi="Arial Black"/>
          <w:b/>
          <w:bCs/>
          <w:sz w:val="28"/>
          <w:szCs w:val="28"/>
        </w:rPr>
      </w:pPr>
      <w:r w:rsidRPr="009D30FC">
        <w:rPr>
          <w:rFonts w:ascii="Arial Black" w:hAnsi="Arial Black"/>
          <w:b/>
          <w:bCs/>
          <w:sz w:val="28"/>
          <w:szCs w:val="28"/>
        </w:rPr>
        <w:t>PA: EMS LICENSE - 1-YR SUSP. REVERSED – 65 MPH / 40 ZONE – LIGHTS / SIREN - MOTORIST PULLED OUT / KILLED</w:t>
      </w:r>
    </w:p>
    <w:p w14:paraId="51E24838" w14:textId="35C84FCC" w:rsidR="001F2A28" w:rsidRPr="001F1BB0" w:rsidRDefault="001F2A28" w:rsidP="001F2A28">
      <w:pPr>
        <w:pStyle w:val="NoSpacing"/>
        <w:rPr>
          <w:rFonts w:ascii="Times New Roman" w:hAnsi="Times New Roman"/>
          <w:sz w:val="24"/>
          <w:szCs w:val="24"/>
        </w:rPr>
      </w:pPr>
      <w:r w:rsidRPr="001F1BB0">
        <w:rPr>
          <w:rFonts w:ascii="Times New Roman" w:hAnsi="Times New Roman"/>
          <w:sz w:val="24"/>
          <w:szCs w:val="24"/>
        </w:rPr>
        <w:t xml:space="preserve">On Oct. 24, </w:t>
      </w:r>
      <w:proofErr w:type="gramStart"/>
      <w:r w:rsidRPr="001F1BB0">
        <w:rPr>
          <w:rFonts w:ascii="Times New Roman" w:hAnsi="Times New Roman"/>
          <w:sz w:val="24"/>
          <w:szCs w:val="24"/>
        </w:rPr>
        <w:t>2024</w:t>
      </w:r>
      <w:proofErr w:type="gramEnd"/>
      <w:r w:rsidRPr="001F1BB0">
        <w:rPr>
          <w:rFonts w:ascii="Times New Roman" w:hAnsi="Times New Roman"/>
          <w:sz w:val="24"/>
          <w:szCs w:val="24"/>
        </w:rPr>
        <w:t xml:space="preserve"> in  </w:t>
      </w:r>
      <w:r w:rsidRPr="001F1BB0">
        <w:rPr>
          <w:rFonts w:ascii="Times New Roman" w:hAnsi="Times New Roman"/>
          <w:sz w:val="24"/>
          <w:szCs w:val="24"/>
          <w:u w:val="single"/>
        </w:rPr>
        <w:t>Steve E. Piotrowski v. Department of Health</w:t>
      </w:r>
      <w:r w:rsidRPr="001F1BB0">
        <w:rPr>
          <w:rFonts w:ascii="Times New Roman" w:hAnsi="Times New Roman"/>
          <w:sz w:val="24"/>
          <w:szCs w:val="24"/>
        </w:rPr>
        <w:t>, the Commonwealth of Pennsylvania held (3 to 0): “Steve E. Piotrowski (Piotrowski) petitions for review of an adjudication of the Department of Health (Health Department) that suspended his license as an</w:t>
      </w:r>
      <w:r w:rsidR="00594E74">
        <w:rPr>
          <w:rFonts w:ascii="Times New Roman" w:hAnsi="Times New Roman"/>
          <w:sz w:val="24"/>
          <w:szCs w:val="24"/>
        </w:rPr>
        <w:t xml:space="preserve"> </w:t>
      </w:r>
      <w:r w:rsidRPr="001F1BB0">
        <w:rPr>
          <w:rFonts w:ascii="Times New Roman" w:hAnsi="Times New Roman"/>
          <w:sz w:val="24"/>
          <w:szCs w:val="24"/>
        </w:rPr>
        <w:t xml:space="preserve">emergency medical services provider for operating an ambulance in a reckless manner. In doing so, the Health Department rejected the proposed adjudication of its hearing officer that Piotrowski’s operation of an ambulance </w:t>
      </w:r>
      <w:proofErr w:type="spellStart"/>
      <w:r w:rsidRPr="001F1BB0">
        <w:rPr>
          <w:rFonts w:ascii="Times New Roman" w:hAnsi="Times New Roman"/>
          <w:sz w:val="24"/>
          <w:szCs w:val="24"/>
        </w:rPr>
        <w:t>en</w:t>
      </w:r>
      <w:proofErr w:type="spellEnd"/>
      <w:r w:rsidRPr="001F1BB0">
        <w:rPr>
          <w:rFonts w:ascii="Times New Roman" w:hAnsi="Times New Roman"/>
          <w:sz w:val="24"/>
          <w:szCs w:val="24"/>
        </w:rPr>
        <w:t xml:space="preserve"> route to an emergency </w:t>
      </w:r>
      <w:proofErr w:type="gramStart"/>
      <w:r w:rsidRPr="001F1BB0">
        <w:rPr>
          <w:rFonts w:ascii="Times New Roman" w:hAnsi="Times New Roman"/>
          <w:sz w:val="24"/>
          <w:szCs w:val="24"/>
        </w:rPr>
        <w:t>in excess of</w:t>
      </w:r>
      <w:proofErr w:type="gramEnd"/>
      <w:r w:rsidRPr="001F1BB0">
        <w:rPr>
          <w:rFonts w:ascii="Times New Roman" w:hAnsi="Times New Roman"/>
          <w:sz w:val="24"/>
          <w:szCs w:val="24"/>
        </w:rPr>
        <w:t xml:space="preserve"> the posted speed limit did not, ipso facto, constitute reckless conduct. On appeal, Piotrowski argues that the Health Department </w:t>
      </w:r>
      <w:proofErr w:type="gramStart"/>
      <w:r w:rsidRPr="001F1BB0">
        <w:rPr>
          <w:rFonts w:ascii="Times New Roman" w:hAnsi="Times New Roman"/>
          <w:sz w:val="24"/>
          <w:szCs w:val="24"/>
        </w:rPr>
        <w:t>erred</w:t>
      </w:r>
      <w:proofErr w:type="gramEnd"/>
      <w:r w:rsidRPr="001F1BB0">
        <w:rPr>
          <w:rFonts w:ascii="Times New Roman" w:hAnsi="Times New Roman"/>
          <w:sz w:val="24"/>
          <w:szCs w:val="24"/>
        </w:rPr>
        <w:t xml:space="preserve"> in its rejection of the hearing officer’s interpretation and application of the term ‘reckless’ is set forth in Section 8121(a)(6) of the Emergency Medical Services System Act (EMS Act), 35 Pa. C.S. §8121(a)(6). After review, we reverse the Health Department’s adjudication.” </w:t>
      </w:r>
      <w:hyperlink r:id="rId944" w:history="1">
        <w:r w:rsidRPr="001F1BB0">
          <w:rPr>
            <w:rStyle w:val="Hyperlink"/>
            <w:rFonts w:ascii="Times New Roman" w:hAnsi="Times New Roman"/>
            <w:sz w:val="24"/>
            <w:szCs w:val="24"/>
          </w:rPr>
          <w:t>https://cases.justia.com/pennsylvania/commonwealth-court/2024-1232-c-d-2023.pdf?ts=1729783758</w:t>
        </w:r>
      </w:hyperlink>
      <w:r w:rsidRPr="001F1BB0">
        <w:rPr>
          <w:rFonts w:ascii="Times New Roman" w:hAnsi="Times New Roman"/>
          <w:sz w:val="24"/>
          <w:szCs w:val="24"/>
        </w:rPr>
        <w:t xml:space="preserve"> </w:t>
      </w:r>
    </w:p>
    <w:p w14:paraId="70F96415" w14:textId="77777777" w:rsidR="001F2A28" w:rsidRPr="001F1BB0" w:rsidRDefault="001F2A28" w:rsidP="001F2A28">
      <w:pPr>
        <w:pStyle w:val="NoSpacing"/>
        <w:rPr>
          <w:rFonts w:ascii="Times New Roman" w:hAnsi="Times New Roman"/>
          <w:sz w:val="24"/>
          <w:szCs w:val="24"/>
        </w:rPr>
      </w:pPr>
    </w:p>
    <w:p w14:paraId="36C9E5A8" w14:textId="77777777" w:rsidR="001F1BB0" w:rsidRPr="001F1BB0" w:rsidRDefault="001F1BB0" w:rsidP="001F1BB0">
      <w:pPr>
        <w:pStyle w:val="NoSpacing"/>
        <w:rPr>
          <w:rFonts w:ascii="Times New Roman" w:hAnsi="Times New Roman"/>
          <w:b/>
          <w:bCs/>
          <w:sz w:val="24"/>
          <w:szCs w:val="24"/>
        </w:rPr>
      </w:pPr>
      <w:r w:rsidRPr="001F1BB0">
        <w:rPr>
          <w:rFonts w:ascii="Times New Roman" w:hAnsi="Times New Roman"/>
          <w:b/>
          <w:sz w:val="24"/>
          <w:szCs w:val="24"/>
        </w:rPr>
        <w:t>Legal Lesson Learned:  Emergency run – 65 in 40 mph zone in rural area is not clearly reckless</w:t>
      </w:r>
      <w:r w:rsidRPr="001F1BB0">
        <w:rPr>
          <w:rFonts w:ascii="Times New Roman" w:hAnsi="Times New Roman"/>
          <w:b/>
          <w:bCs/>
          <w:sz w:val="24"/>
          <w:szCs w:val="24"/>
        </w:rPr>
        <w:t xml:space="preserve">. </w:t>
      </w:r>
    </w:p>
    <w:p w14:paraId="7C62346A" w14:textId="77777777" w:rsidR="00DE42DC" w:rsidRPr="001F1BB0" w:rsidRDefault="00DE42DC" w:rsidP="00EF1133">
      <w:pPr>
        <w:rPr>
          <w:rFonts w:ascii="Times New Roman" w:hAnsi="Times New Roman"/>
          <w:b/>
          <w:sz w:val="24"/>
          <w:szCs w:val="24"/>
        </w:rPr>
      </w:pPr>
    </w:p>
    <w:p w14:paraId="12095560" w14:textId="53C46569" w:rsidR="00DE42DC" w:rsidRDefault="00DE42DC" w:rsidP="00EF1133">
      <w:pPr>
        <w:rPr>
          <w:rFonts w:ascii="Arial Black" w:hAnsi="Arial Black"/>
          <w:b/>
          <w:sz w:val="24"/>
          <w:szCs w:val="24"/>
        </w:rPr>
      </w:pPr>
      <w:r>
        <w:rPr>
          <w:rFonts w:ascii="Arial Black" w:hAnsi="Arial Black"/>
          <w:b/>
          <w:sz w:val="24"/>
          <w:szCs w:val="24"/>
        </w:rPr>
        <w:t>5-45</w:t>
      </w:r>
    </w:p>
    <w:p w14:paraId="2870D18A" w14:textId="77777777" w:rsidR="00AC5D33" w:rsidRPr="009D30FC" w:rsidRDefault="00AC5D33" w:rsidP="00AC5D33">
      <w:pPr>
        <w:rPr>
          <w:rFonts w:ascii="Arial Black" w:hAnsi="Arial Black"/>
          <w:b/>
          <w:bCs/>
          <w:sz w:val="28"/>
          <w:szCs w:val="28"/>
        </w:rPr>
      </w:pPr>
      <w:r w:rsidRPr="009D30FC">
        <w:rPr>
          <w:rFonts w:ascii="Arial Black" w:hAnsi="Arial Black"/>
          <w:b/>
          <w:bCs/>
          <w:sz w:val="28"/>
          <w:szCs w:val="28"/>
        </w:rPr>
        <w:t>MI: AMBULANCE STRUCK BY MOTORIST – PATIENT DIED –EMS MAY BEEN EXCESIVE SPEED – NO IMMUNITY</w:t>
      </w:r>
    </w:p>
    <w:p w14:paraId="6D1572ED" w14:textId="77777777" w:rsidR="00AD7ECA" w:rsidRPr="00883F9B" w:rsidRDefault="00AD7ECA" w:rsidP="00AD7ECA">
      <w:pPr>
        <w:pStyle w:val="NoSpacing"/>
        <w:rPr>
          <w:rFonts w:ascii="Times New Roman" w:hAnsi="Times New Roman"/>
          <w:sz w:val="24"/>
          <w:szCs w:val="24"/>
        </w:rPr>
      </w:pPr>
      <w:r w:rsidRPr="00883F9B">
        <w:rPr>
          <w:rFonts w:ascii="Times New Roman" w:hAnsi="Times New Roman"/>
          <w:sz w:val="24"/>
          <w:szCs w:val="24"/>
        </w:rPr>
        <w:t xml:space="preserve">On Oct. 11, </w:t>
      </w:r>
      <w:proofErr w:type="gramStart"/>
      <w:r w:rsidRPr="00883F9B">
        <w:rPr>
          <w:rFonts w:ascii="Times New Roman" w:hAnsi="Times New Roman"/>
          <w:sz w:val="24"/>
          <w:szCs w:val="24"/>
        </w:rPr>
        <w:t>2024</w:t>
      </w:r>
      <w:proofErr w:type="gramEnd"/>
      <w:r w:rsidRPr="00883F9B">
        <w:rPr>
          <w:rFonts w:ascii="Times New Roman" w:hAnsi="Times New Roman"/>
          <w:sz w:val="24"/>
          <w:szCs w:val="24"/>
        </w:rPr>
        <w:t xml:space="preserve"> in Tia Gentry, personal representative of the estate of </w:t>
      </w:r>
      <w:r w:rsidRPr="00883F9B">
        <w:rPr>
          <w:rFonts w:ascii="Times New Roman" w:hAnsi="Times New Roman"/>
          <w:sz w:val="24"/>
          <w:szCs w:val="24"/>
          <w:u w:val="single"/>
        </w:rPr>
        <w:t>Delana Gentry v. Ryan Baugh; City of Detroit; et al.,</w:t>
      </w:r>
      <w:r w:rsidRPr="00883F9B">
        <w:rPr>
          <w:rFonts w:ascii="Times New Roman" w:hAnsi="Times New Roman"/>
          <w:sz w:val="24"/>
          <w:szCs w:val="24"/>
        </w:rPr>
        <w:t xml:space="preserve"> the Michigan Court of Appeals held (3 to 0): “In sum, as the record currently stands, there are genuine issues of material fact whether [firefighter] Baugh was negligent in his operation of the ambulance. The trial court accordingly did not err by denying defendants’ motion for summary disposition under MCR 2.116(C)(7) on grounds that plaintiff’s claims were barred by governmental immunity.” </w:t>
      </w:r>
      <w:hyperlink r:id="rId945" w:history="1">
        <w:r w:rsidRPr="00883F9B">
          <w:rPr>
            <w:rStyle w:val="Hyperlink"/>
            <w:rFonts w:ascii="Times New Roman" w:hAnsi="Times New Roman"/>
            <w:sz w:val="24"/>
            <w:szCs w:val="24"/>
          </w:rPr>
          <w:t>https://cases.justia.com/michigan/court-of-appeals-unpublished/2024-367862.pdf?ts=1728738006</w:t>
        </w:r>
      </w:hyperlink>
      <w:r w:rsidRPr="00883F9B">
        <w:rPr>
          <w:rFonts w:ascii="Times New Roman" w:hAnsi="Times New Roman"/>
          <w:sz w:val="24"/>
          <w:szCs w:val="24"/>
        </w:rPr>
        <w:t xml:space="preserve"> </w:t>
      </w:r>
    </w:p>
    <w:p w14:paraId="6AE6DC9D" w14:textId="77777777" w:rsidR="00AD7ECA" w:rsidRPr="00883F9B" w:rsidRDefault="00AD7ECA" w:rsidP="00AD7ECA">
      <w:pPr>
        <w:pStyle w:val="NoSpacing"/>
        <w:rPr>
          <w:rFonts w:ascii="Times New Roman" w:hAnsi="Times New Roman"/>
          <w:sz w:val="24"/>
          <w:szCs w:val="24"/>
        </w:rPr>
      </w:pPr>
    </w:p>
    <w:p w14:paraId="3F8ECE6A" w14:textId="77777777" w:rsidR="00883F9B" w:rsidRPr="00883F9B" w:rsidRDefault="00883F9B" w:rsidP="00883F9B">
      <w:pPr>
        <w:pStyle w:val="NoSpacing"/>
        <w:jc w:val="both"/>
        <w:rPr>
          <w:rFonts w:ascii="Times New Roman" w:hAnsi="Times New Roman"/>
          <w:b/>
          <w:bCs/>
          <w:sz w:val="24"/>
          <w:szCs w:val="24"/>
        </w:rPr>
      </w:pPr>
      <w:r w:rsidRPr="00883F9B">
        <w:rPr>
          <w:rFonts w:ascii="Times New Roman" w:hAnsi="Times New Roman"/>
          <w:b/>
          <w:sz w:val="24"/>
          <w:szCs w:val="24"/>
        </w:rPr>
        <w:t xml:space="preserve">Legal Lesson Learned: In deposition, </w:t>
      </w:r>
      <w:r w:rsidRPr="00883F9B">
        <w:rPr>
          <w:rFonts w:ascii="Times New Roman" w:hAnsi="Times New Roman"/>
          <w:b/>
          <w:bCs/>
          <w:sz w:val="24"/>
          <w:szCs w:val="24"/>
        </w:rPr>
        <w:t xml:space="preserve">EMS driver was not clear about speed. </w:t>
      </w:r>
      <w:r w:rsidRPr="00883F9B">
        <w:rPr>
          <w:rFonts w:ascii="Times New Roman" w:hAnsi="Times New Roman"/>
          <w:b/>
          <w:sz w:val="24"/>
          <w:szCs w:val="24"/>
        </w:rPr>
        <w:t xml:space="preserve"> </w:t>
      </w:r>
    </w:p>
    <w:p w14:paraId="71F9617A" w14:textId="77777777" w:rsidR="00DE42DC" w:rsidRPr="00883F9B" w:rsidRDefault="00DE42DC" w:rsidP="00EF1133">
      <w:pPr>
        <w:rPr>
          <w:rFonts w:ascii="Times New Roman" w:hAnsi="Times New Roman"/>
          <w:b/>
          <w:sz w:val="24"/>
          <w:szCs w:val="24"/>
        </w:rPr>
      </w:pPr>
    </w:p>
    <w:p w14:paraId="4084C568" w14:textId="77777777" w:rsidR="001F1BB0" w:rsidRDefault="001F1BB0" w:rsidP="00EF1133">
      <w:pPr>
        <w:rPr>
          <w:rFonts w:ascii="Arial Black" w:hAnsi="Arial Black"/>
          <w:b/>
          <w:sz w:val="24"/>
          <w:szCs w:val="24"/>
        </w:rPr>
      </w:pPr>
    </w:p>
    <w:p w14:paraId="7435CBD4" w14:textId="0B1CFBED" w:rsidR="00FC2C67" w:rsidRDefault="00FC2C67" w:rsidP="00EF1133">
      <w:pPr>
        <w:rPr>
          <w:rFonts w:ascii="Arial Black" w:hAnsi="Arial Black"/>
          <w:b/>
          <w:sz w:val="24"/>
          <w:szCs w:val="24"/>
        </w:rPr>
      </w:pPr>
      <w:r>
        <w:rPr>
          <w:rFonts w:ascii="Arial Black" w:hAnsi="Arial Black"/>
          <w:b/>
          <w:sz w:val="24"/>
          <w:szCs w:val="24"/>
        </w:rPr>
        <w:t>5-44</w:t>
      </w:r>
    </w:p>
    <w:p w14:paraId="632106F1" w14:textId="77777777" w:rsidR="00FC2C67" w:rsidRPr="004407E2" w:rsidRDefault="00FC2C67" w:rsidP="00FC2C67">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TX: CAPTAIN IN FD VEHICLE – STOPPED FOR GAS / MVA – CITY CAN BE SUED – EXCEPTION “GOING &amp; COMING RULE”</w:t>
      </w:r>
    </w:p>
    <w:p w14:paraId="05143EB8" w14:textId="77777777" w:rsidR="00FC2C67" w:rsidRPr="008F6524" w:rsidRDefault="00FC2C67" w:rsidP="00FC2C67">
      <w:pPr>
        <w:pStyle w:val="NormalWeb"/>
        <w:rPr>
          <w:color w:val="454545"/>
          <w:shd w:val="clear" w:color="auto" w:fill="FFFFFF"/>
        </w:rPr>
      </w:pPr>
      <w:r w:rsidRPr="008F6524">
        <w:rPr>
          <w:color w:val="454545"/>
          <w:shd w:val="clear" w:color="auto" w:fill="FFFFFF"/>
        </w:rPr>
        <w:t xml:space="preserve">On July 16, 2024, in </w:t>
      </w:r>
      <w:r w:rsidRPr="008F6524">
        <w:rPr>
          <w:color w:val="454545"/>
          <w:u w:val="single"/>
          <w:shd w:val="clear" w:color="auto" w:fill="FFFFFF"/>
        </w:rPr>
        <w:t>The City of Houston v. Amber Stoffer</w:t>
      </w:r>
      <w:r w:rsidRPr="008F6524">
        <w:rPr>
          <w:color w:val="454545"/>
          <w:shd w:val="clear" w:color="auto" w:fill="FFFFFF"/>
        </w:rPr>
        <w:t xml:space="preserve">, the Court of Appeals of Texas, First District, held (3 to 0) that trial court properly denied the City’s motion for summary judgment; under the City’s tort claim act it can be sued for damages incurred by employees “acting within the scope of employment.”  </w:t>
      </w:r>
      <w:r w:rsidRPr="008F6524">
        <w:rPr>
          <w:shd w:val="clear" w:color="auto" w:fill="FFFFFF"/>
        </w:rPr>
        <w:t>Under the “coming-and-going rule,” an employee is generally not acting within the scope of her employment when traveling to and from work</w:t>
      </w:r>
      <w:r w:rsidRPr="008F6524">
        <w:rPr>
          <w:color w:val="454545"/>
          <w:shd w:val="clear" w:color="auto" w:fill="FFFFFF"/>
        </w:rPr>
        <w:t xml:space="preserve">. However, since the </w:t>
      </w:r>
      <w:proofErr w:type="gramStart"/>
      <w:r w:rsidRPr="008F6524">
        <w:rPr>
          <w:color w:val="454545"/>
          <w:shd w:val="clear" w:color="auto" w:fill="FFFFFF"/>
        </w:rPr>
        <w:t>Captain</w:t>
      </w:r>
      <w:proofErr w:type="gramEnd"/>
      <w:r w:rsidRPr="008F6524">
        <w:rPr>
          <w:color w:val="454545"/>
          <w:shd w:val="clear" w:color="auto" w:fill="FFFFFF"/>
        </w:rPr>
        <w:t xml:space="preserve"> stopped for gas for FD vehicle, after conducting training at </w:t>
      </w:r>
      <w:proofErr w:type="gramStart"/>
      <w:r w:rsidRPr="008F6524">
        <w:rPr>
          <w:color w:val="454545"/>
          <w:shd w:val="clear" w:color="auto" w:fill="FFFFFF"/>
        </w:rPr>
        <w:t>a FD</w:t>
      </w:r>
      <w:proofErr w:type="gramEnd"/>
      <w:r w:rsidRPr="008F6524">
        <w:rPr>
          <w:color w:val="454545"/>
          <w:shd w:val="clear" w:color="auto" w:fill="FFFFFF"/>
        </w:rPr>
        <w:t xml:space="preserve"> station (the fire station pump was not working), there is a presumption she was acting within scope of her employment and jury can decide that question of fact. </w:t>
      </w:r>
      <w:hyperlink r:id="rId946" w:history="1">
        <w:r w:rsidRPr="008F6524">
          <w:rPr>
            <w:rStyle w:val="Hyperlink"/>
            <w:shd w:val="clear" w:color="auto" w:fill="FFFFFF"/>
          </w:rPr>
          <w:t>https://casetext.com/case/the-city-of-houston-v-stoffer</w:t>
        </w:r>
      </w:hyperlink>
      <w:r w:rsidRPr="008F6524">
        <w:rPr>
          <w:color w:val="454545"/>
          <w:shd w:val="clear" w:color="auto" w:fill="FFFFFF"/>
        </w:rPr>
        <w:t xml:space="preserve"> </w:t>
      </w:r>
    </w:p>
    <w:p w14:paraId="74B6D349" w14:textId="77777777" w:rsidR="00FC2C67" w:rsidRPr="008F6524" w:rsidRDefault="00FC2C67" w:rsidP="00FC2C67">
      <w:pPr>
        <w:pStyle w:val="NormalWeb"/>
        <w:rPr>
          <w:color w:val="454545"/>
          <w:shd w:val="clear" w:color="auto" w:fill="FFFFFF"/>
        </w:rPr>
      </w:pPr>
      <w:r w:rsidRPr="008F6524">
        <w:rPr>
          <w:color w:val="454545"/>
          <w:shd w:val="clear" w:color="auto" w:fill="FFFFFF"/>
        </w:rPr>
        <w:t xml:space="preserve">THE COURT HELD: </w:t>
      </w:r>
    </w:p>
    <w:p w14:paraId="24D48B70" w14:textId="77777777" w:rsidR="00FC2C67" w:rsidRDefault="00FC2C67" w:rsidP="00FC2C67">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E5330E">
        <w:rPr>
          <w:rFonts w:ascii="Times New Roman" w:hAnsi="Times New Roman"/>
          <w:sz w:val="24"/>
          <w:szCs w:val="24"/>
          <w:shd w:val="clear" w:color="auto" w:fill="FFFFFF"/>
        </w:rPr>
        <w:t>Because conflicting inferences could be drawn from Captain Tollett's affidavit and deposition testimony, and we resolve doubts in Stoffer's favor, Captain Tollett's statements that she stopped at the convenience store to refuel her city-issued vehicle is some evidence that she was not merely stopping for personal needs.</w:t>
      </w:r>
    </w:p>
    <w:p w14:paraId="08F5FB2B" w14:textId="77777777" w:rsidR="00FC2C67" w:rsidRDefault="00FC2C67" w:rsidP="00FC2C67">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5FB14BEE" w14:textId="77777777" w:rsidR="00FC2C67" w:rsidRDefault="00FC2C67" w:rsidP="00FC2C67">
      <w:pPr>
        <w:pStyle w:val="NoSpacing"/>
        <w:rPr>
          <w:rFonts w:ascii="Times New Roman" w:hAnsi="Times New Roman"/>
          <w:sz w:val="24"/>
          <w:szCs w:val="24"/>
          <w:shd w:val="clear" w:color="auto" w:fill="FFFFFF"/>
        </w:rPr>
      </w:pPr>
    </w:p>
    <w:p w14:paraId="2FBAC2DA" w14:textId="77777777" w:rsidR="00FC2C67" w:rsidRDefault="00FC2C67" w:rsidP="00FC2C67">
      <w:pPr>
        <w:pStyle w:val="NoSpacing"/>
        <w:ind w:left="720"/>
        <w:rPr>
          <w:rFonts w:ascii="Times New Roman" w:hAnsi="Times New Roman"/>
          <w:sz w:val="24"/>
          <w:szCs w:val="24"/>
          <w:shd w:val="clear" w:color="auto" w:fill="FFFFFF"/>
        </w:rPr>
      </w:pPr>
      <w:r w:rsidRPr="006924EE">
        <w:rPr>
          <w:rFonts w:ascii="Times New Roman" w:hAnsi="Times New Roman"/>
          <w:sz w:val="24"/>
          <w:szCs w:val="24"/>
          <w:shd w:val="clear" w:color="auto" w:fill="FFFFFF"/>
        </w:rPr>
        <w:t xml:space="preserve">The TTCA's limited waiver of immunity for motor vehicles only applies if the government employee was </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acting within the scope of employment</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 xml:space="preserve"> at the time of the alleged event. </w:t>
      </w:r>
      <w:hyperlink r:id="rId947" w:history="1">
        <w:r w:rsidRPr="006924EE">
          <w:rPr>
            <w:rStyle w:val="Hyperlink"/>
            <w:rFonts w:ascii="Times New Roman" w:hAnsi="Times New Roman"/>
            <w:sz w:val="24"/>
            <w:szCs w:val="24"/>
            <w:shd w:val="clear" w:color="auto" w:fill="FFFFFF"/>
          </w:rPr>
          <w:t xml:space="preserve">Tex. Civ. </w:t>
        </w:r>
        <w:proofErr w:type="spellStart"/>
        <w:r w:rsidRPr="006924EE">
          <w:rPr>
            <w:rStyle w:val="Hyperlink"/>
            <w:rFonts w:ascii="Times New Roman" w:hAnsi="Times New Roman"/>
            <w:sz w:val="24"/>
            <w:szCs w:val="24"/>
            <w:shd w:val="clear" w:color="auto" w:fill="FFFFFF"/>
          </w:rPr>
          <w:t>Prac</w:t>
        </w:r>
        <w:proofErr w:type="spellEnd"/>
        <w:r w:rsidRPr="006924EE">
          <w:rPr>
            <w:rStyle w:val="Hyperlink"/>
            <w:rFonts w:ascii="Times New Roman" w:hAnsi="Times New Roman"/>
            <w:sz w:val="24"/>
            <w:szCs w:val="24"/>
            <w:shd w:val="clear" w:color="auto" w:fill="FFFFFF"/>
          </w:rPr>
          <w:t>. &amp; Rem. Code § 101.021(1)</w:t>
        </w:r>
      </w:hyperlink>
      <w:r w:rsidRPr="006924EE">
        <w:rPr>
          <w:rFonts w:ascii="Times New Roman" w:hAnsi="Times New Roman"/>
          <w:sz w:val="24"/>
          <w:szCs w:val="24"/>
          <w:shd w:val="clear" w:color="auto" w:fill="FFFFFF"/>
        </w:rPr>
        <w:t xml:space="preserve">. The TTCA defines </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scope of employment</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 xml:space="preserve"> as </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the performance for a governmental unit of the duties of an employee's office or employment and includes being in and about the performance of a task lawfully assigned to an employee by competent authority.</w:t>
      </w:r>
      <w:r>
        <w:rPr>
          <w:rFonts w:ascii="Times New Roman" w:hAnsi="Times New Roman"/>
          <w:sz w:val="24"/>
          <w:szCs w:val="24"/>
          <w:shd w:val="clear" w:color="auto" w:fill="FFFFFF"/>
        </w:rPr>
        <w:t>’</w:t>
      </w:r>
      <w:r w:rsidRPr="006924EE">
        <w:rPr>
          <w:rFonts w:ascii="Times New Roman" w:hAnsi="Times New Roman"/>
          <w:sz w:val="24"/>
          <w:szCs w:val="24"/>
          <w:shd w:val="clear" w:color="auto" w:fill="FFFFFF"/>
        </w:rPr>
        <w:t xml:space="preserve"> </w:t>
      </w:r>
      <w:r w:rsidRPr="006924EE">
        <w:rPr>
          <w:rFonts w:ascii="Times New Roman" w:hAnsi="Times New Roman"/>
          <w:i/>
          <w:iCs/>
          <w:sz w:val="24"/>
          <w:szCs w:val="24"/>
          <w:shd w:val="clear" w:color="auto" w:fill="FFFFFF"/>
        </w:rPr>
        <w:t>Id.</w:t>
      </w:r>
      <w:r w:rsidRPr="006924EE">
        <w:rPr>
          <w:rFonts w:ascii="Times New Roman" w:hAnsi="Times New Roman"/>
          <w:sz w:val="24"/>
          <w:szCs w:val="24"/>
          <w:shd w:val="clear" w:color="auto" w:fill="FFFFFF"/>
        </w:rPr>
        <w:t xml:space="preserve"> § 101.001(5).</w:t>
      </w:r>
    </w:p>
    <w:p w14:paraId="2AD1F36C" w14:textId="77777777" w:rsidR="00FC2C67" w:rsidRDefault="00FC2C67" w:rsidP="00FC2C67">
      <w:pPr>
        <w:pStyle w:val="NoSpacing"/>
        <w:ind w:left="720"/>
        <w:rPr>
          <w:rFonts w:ascii="Times New Roman" w:hAnsi="Times New Roman"/>
          <w:sz w:val="24"/>
          <w:szCs w:val="24"/>
          <w:shd w:val="clear" w:color="auto" w:fill="FFFFFF"/>
        </w:rPr>
      </w:pPr>
    </w:p>
    <w:p w14:paraId="537441FC" w14:textId="77777777" w:rsidR="00FC2C67" w:rsidRDefault="00FC2C67" w:rsidP="00FC2C67">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2E1452E4" w14:textId="77777777" w:rsidR="00FC2C67" w:rsidRDefault="00FC2C67" w:rsidP="00FC2C67">
      <w:pPr>
        <w:pStyle w:val="NoSpacing"/>
        <w:rPr>
          <w:rFonts w:ascii="Times New Roman" w:hAnsi="Times New Roman"/>
          <w:sz w:val="24"/>
          <w:szCs w:val="24"/>
          <w:shd w:val="clear" w:color="auto" w:fill="FFFFFF"/>
        </w:rPr>
      </w:pPr>
    </w:p>
    <w:p w14:paraId="5CBCAF58" w14:textId="77777777" w:rsidR="00FC2C67" w:rsidRDefault="00FC2C67" w:rsidP="00FC2C67">
      <w:pPr>
        <w:pStyle w:val="NoSpacing"/>
        <w:ind w:left="720"/>
        <w:rPr>
          <w:rFonts w:ascii="Times New Roman" w:hAnsi="Times New Roman"/>
          <w:sz w:val="24"/>
          <w:szCs w:val="24"/>
          <w:shd w:val="clear" w:color="auto" w:fill="FFFFFF"/>
        </w:rPr>
      </w:pPr>
      <w:r w:rsidRPr="00D442E3">
        <w:rPr>
          <w:rFonts w:ascii="Times New Roman" w:hAnsi="Times New Roman"/>
          <w:sz w:val="24"/>
          <w:szCs w:val="24"/>
          <w:shd w:val="clear" w:color="auto" w:fill="FFFFFF"/>
        </w:rPr>
        <w:t xml:space="preserve">Under the </w:t>
      </w:r>
      <w:r>
        <w:rPr>
          <w:rFonts w:ascii="Times New Roman" w:hAnsi="Times New Roman"/>
          <w:sz w:val="24"/>
          <w:szCs w:val="24"/>
          <w:shd w:val="clear" w:color="auto" w:fill="FFFFFF"/>
        </w:rPr>
        <w:t>‘</w:t>
      </w:r>
      <w:r w:rsidRPr="00D442E3">
        <w:rPr>
          <w:rFonts w:ascii="Times New Roman" w:hAnsi="Times New Roman"/>
          <w:sz w:val="24"/>
          <w:szCs w:val="24"/>
          <w:shd w:val="clear" w:color="auto" w:fill="FFFFFF"/>
        </w:rPr>
        <w:t>coming-and-going rule,</w:t>
      </w:r>
      <w:r>
        <w:rPr>
          <w:rFonts w:ascii="Times New Roman" w:hAnsi="Times New Roman"/>
          <w:sz w:val="24"/>
          <w:szCs w:val="24"/>
          <w:shd w:val="clear" w:color="auto" w:fill="FFFFFF"/>
        </w:rPr>
        <w:t>’</w:t>
      </w:r>
      <w:r w:rsidRPr="00D442E3">
        <w:rPr>
          <w:rFonts w:ascii="Times New Roman" w:hAnsi="Times New Roman"/>
          <w:sz w:val="24"/>
          <w:szCs w:val="24"/>
          <w:shd w:val="clear" w:color="auto" w:fill="FFFFFF"/>
        </w:rPr>
        <w:t xml:space="preserve"> an employee is generally not acting within the scope of her employment when traveling to and from work</w:t>
      </w:r>
      <w:r>
        <w:rPr>
          <w:rFonts w:ascii="Times New Roman" w:hAnsi="Times New Roman"/>
          <w:sz w:val="24"/>
          <w:szCs w:val="24"/>
          <w:shd w:val="clear" w:color="auto" w:fill="FFFFFF"/>
        </w:rPr>
        <w:t xml:space="preserve">…. </w:t>
      </w:r>
      <w:r w:rsidRPr="00111BB5">
        <w:rPr>
          <w:rFonts w:ascii="Times New Roman" w:hAnsi="Times New Roman"/>
          <w:sz w:val="24"/>
          <w:szCs w:val="24"/>
          <w:shd w:val="clear" w:color="auto" w:fill="FFFFFF"/>
        </w:rPr>
        <w:t>However, if the vehicle involved in the accident was owned by the defendant and the driver was an employee of the defendant, a presumption arises that the driver was acting within the scope of her employment when the accident occurred.</w:t>
      </w:r>
      <w:r>
        <w:rPr>
          <w:rFonts w:ascii="Times New Roman" w:hAnsi="Times New Roman"/>
          <w:sz w:val="24"/>
          <w:szCs w:val="24"/>
          <w:shd w:val="clear" w:color="auto" w:fill="FFFFFF"/>
        </w:rPr>
        <w:t>”</w:t>
      </w:r>
    </w:p>
    <w:p w14:paraId="4D9FBDDA" w14:textId="77777777" w:rsidR="00FC2C67" w:rsidRPr="00FD2FF9" w:rsidRDefault="00FC2C67" w:rsidP="00FC2C67">
      <w:pPr>
        <w:pStyle w:val="NoSpacing"/>
        <w:ind w:left="720"/>
        <w:rPr>
          <w:rFonts w:ascii="Times New Roman" w:hAnsi="Times New Roman"/>
          <w:sz w:val="24"/>
          <w:szCs w:val="24"/>
          <w:shd w:val="clear" w:color="auto" w:fill="FFFFFF"/>
        </w:rPr>
      </w:pPr>
    </w:p>
    <w:p w14:paraId="5E544D29" w14:textId="09DF6F51" w:rsidR="00FC2C67" w:rsidRDefault="007A4CFB" w:rsidP="00EF1133">
      <w:pPr>
        <w:rPr>
          <w:rFonts w:ascii="Arial Black" w:hAnsi="Arial Black"/>
          <w:b/>
          <w:sz w:val="24"/>
          <w:szCs w:val="24"/>
        </w:rPr>
      </w:pPr>
      <w:r w:rsidRPr="00601FA7">
        <w:rPr>
          <w:rFonts w:ascii="Times New Roman" w:hAnsi="Times New Roman"/>
          <w:b/>
          <w:bCs/>
          <w:sz w:val="24"/>
          <w:szCs w:val="24"/>
          <w:shd w:val="clear" w:color="auto" w:fill="FFFFFF"/>
        </w:rPr>
        <w:t xml:space="preserve">Legal Lesson Learned: </w:t>
      </w:r>
      <w:r>
        <w:rPr>
          <w:rFonts w:ascii="Times New Roman" w:hAnsi="Times New Roman"/>
          <w:b/>
          <w:bCs/>
          <w:sz w:val="24"/>
          <w:szCs w:val="24"/>
          <w:shd w:val="clear" w:color="auto" w:fill="FFFFFF"/>
        </w:rPr>
        <w:t>The “coming and going” to work rule, where employer normally cannot be sued, doesn’t apply when employee operating FD vehicle and stopping for gas</w:t>
      </w:r>
    </w:p>
    <w:p w14:paraId="0AE89C20" w14:textId="77777777" w:rsidR="00FC2C67" w:rsidRDefault="00FC2C67" w:rsidP="00EF1133">
      <w:pPr>
        <w:rPr>
          <w:rFonts w:ascii="Arial Black" w:hAnsi="Arial Black"/>
          <w:b/>
          <w:sz w:val="24"/>
          <w:szCs w:val="24"/>
        </w:rPr>
      </w:pPr>
    </w:p>
    <w:p w14:paraId="3C58D07C" w14:textId="77777777" w:rsidR="00FC2C67" w:rsidRDefault="00FC2C67" w:rsidP="00EF1133">
      <w:pPr>
        <w:rPr>
          <w:rFonts w:ascii="Arial Black" w:hAnsi="Arial Black"/>
          <w:b/>
          <w:sz w:val="24"/>
          <w:szCs w:val="24"/>
        </w:rPr>
      </w:pPr>
    </w:p>
    <w:p w14:paraId="1780CDFF" w14:textId="18BA40E8" w:rsidR="00FC33D2" w:rsidRDefault="00FC33D2" w:rsidP="00EF1133">
      <w:pPr>
        <w:rPr>
          <w:rFonts w:ascii="Arial Black" w:hAnsi="Arial Black"/>
          <w:b/>
          <w:sz w:val="24"/>
          <w:szCs w:val="24"/>
        </w:rPr>
      </w:pPr>
      <w:r>
        <w:rPr>
          <w:rFonts w:ascii="Arial Black" w:hAnsi="Arial Black"/>
          <w:b/>
          <w:sz w:val="24"/>
          <w:szCs w:val="24"/>
        </w:rPr>
        <w:t>5-43</w:t>
      </w:r>
    </w:p>
    <w:p w14:paraId="48ED0278" w14:textId="77777777" w:rsidR="00FC33D2" w:rsidRPr="006A4945" w:rsidRDefault="00FC33D2" w:rsidP="00FC33D2">
      <w:pPr>
        <w:pStyle w:val="NormalWeb"/>
        <w:shd w:val="clear" w:color="auto" w:fill="FFFFFF"/>
        <w:spacing w:before="0" w:beforeAutospacing="0"/>
        <w:rPr>
          <w:rFonts w:ascii="Arial Black" w:hAnsi="Arial Black"/>
          <w:b/>
          <w:bCs/>
          <w:color w:val="454545"/>
          <w:sz w:val="28"/>
          <w:szCs w:val="28"/>
        </w:rPr>
      </w:pPr>
      <w:r>
        <w:rPr>
          <w:rFonts w:ascii="Arial Black" w:hAnsi="Arial Black"/>
          <w:b/>
          <w:bCs/>
          <w:color w:val="454545"/>
          <w:sz w:val="28"/>
          <w:szCs w:val="28"/>
        </w:rPr>
        <w:t>PA: MENTAL STOLE ANBULANCE – HOUR LONG LOW SPEED CHASE - 4-8 YEARS IN PRISON – LOCK THE AMBULANCE</w:t>
      </w:r>
    </w:p>
    <w:p w14:paraId="47848432" w14:textId="77777777" w:rsidR="00FC33D2" w:rsidRDefault="00FC33D2" w:rsidP="00FC33D2">
      <w:pPr>
        <w:pStyle w:val="NormalWeb"/>
      </w:pPr>
      <w:r>
        <w:rPr>
          <w:color w:val="454545"/>
        </w:rPr>
        <w:t xml:space="preserve">On March 26, 2024, in </w:t>
      </w:r>
      <w:r w:rsidRPr="0003348E">
        <w:rPr>
          <w:color w:val="454545"/>
          <w:u w:val="single"/>
        </w:rPr>
        <w:t>Commonwealth of Pennsylvania v. Mark Giwerowski</w:t>
      </w:r>
      <w:r>
        <w:rPr>
          <w:color w:val="454545"/>
        </w:rPr>
        <w:t xml:space="preserve">, the Superior Court of Pennsylvania, held (3 to 0) that sentence was appropriate. Defendant waived jury trial; </w:t>
      </w:r>
      <w:r>
        <w:t xml:space="preserve">at the trial's conclusion, the court found defendant guilty of the remaining thirty-six offenses, which included robbery of a motor vehicle, aggravated assault-attempt to cause bodily injury to police or enumerated persons, and ten other felonies. </w:t>
      </w:r>
    </w:p>
    <w:p w14:paraId="046F1801"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1D03A65" w14:textId="77777777" w:rsidR="00FC33D2" w:rsidRDefault="00FC33D2" w:rsidP="00FC33D2">
      <w:pPr>
        <w:pStyle w:val="NormalWeb"/>
        <w:ind w:left="720" w:firstLine="60"/>
      </w:pPr>
      <w:r>
        <w:t xml:space="preserve">“Finally, while the prison sentence imposed for robbery of a motor vehicle was itself above the aggravated minimum range of the sentencing guidelines, Appellant was nonetheless convicted of </w:t>
      </w:r>
      <w:r w:rsidRPr="008F6094">
        <w:rPr>
          <w:rStyle w:val="Strong"/>
          <w:rFonts w:eastAsiaTheme="majorEastAsia"/>
        </w:rPr>
        <w:t>eleven other felony offenses</w:t>
      </w:r>
      <w:r w:rsidRPr="008F6094">
        <w:rPr>
          <w:b/>
          <w:bCs/>
        </w:rPr>
        <w:t>,</w:t>
      </w:r>
      <w:r>
        <w:t xml:space="preserve"> the sentences for all of which were run concurrently. Had the trial court exercised its discretion to run them consecutively, even if each was within the standard range, Appellant could have faced more than the minimum of ten years in prison that the Commonwealth requested. </w:t>
      </w:r>
    </w:p>
    <w:p w14:paraId="6C5D126D" w14:textId="77777777" w:rsidR="00FC33D2" w:rsidRDefault="00FC33D2" w:rsidP="00FC33D2">
      <w:pPr>
        <w:pStyle w:val="NormalWeb"/>
        <w:ind w:left="720"/>
      </w:pPr>
      <w:r>
        <w:t xml:space="preserve">For all the above reasons, we do not find that the sentence imposed by the trial court was the product of an abuse of its considerable sentencing discretion, and therefore it must be upheld.”  </w:t>
      </w:r>
      <w:hyperlink r:id="rId948" w:history="1">
        <w:r w:rsidRPr="006F5A98">
          <w:rPr>
            <w:rStyle w:val="Hyperlink"/>
          </w:rPr>
          <w:t>https://public.fastcase.com/H1P9uiW3J20SFp%2BGCG%2BxLdY6%2FSfit7cxFyw3bnS%2FOidOFypRHxHWNwsmGqo4fSQEV9JpTw1bCRB2JkBf6VgjErq%2BbrT9DkyICOjdjgBVHFs%3D?utm_medium=email&amp;_hsmi=226712652&amp;_hsenc=p2ANqtz-82_plk0g72fbRvFB8NjbgL3Ik8GBcsuuIrmbdbiUiPbF7Kb8UwG6VvxYNyc-qobM2A00y-E3aXbEp-pYTE9TR3ELyYBQ&amp;utm_content=226712652&amp;utm_source=hs_email</w:t>
        </w:r>
      </w:hyperlink>
      <w:r>
        <w:t xml:space="preserve"> </w:t>
      </w:r>
    </w:p>
    <w:p w14:paraId="56D8AA4C" w14:textId="77777777" w:rsidR="00FC33D2" w:rsidRPr="00BB5CED" w:rsidRDefault="00FC33D2" w:rsidP="00FC33D2">
      <w:pPr>
        <w:pStyle w:val="NormalWeb"/>
        <w:rPr>
          <w:b/>
          <w:bCs/>
        </w:rPr>
      </w:pPr>
      <w:r w:rsidRPr="00BB5CED">
        <w:rPr>
          <w:b/>
          <w:bCs/>
        </w:rPr>
        <w:t>Legal Lesson Learned:</w:t>
      </w:r>
      <w:r>
        <w:rPr>
          <w:b/>
          <w:bCs/>
        </w:rPr>
        <w:t xml:space="preserve"> When arriving at scene of mental call, turn off the ambulance and </w:t>
      </w:r>
      <w:proofErr w:type="gramStart"/>
      <w:r>
        <w:rPr>
          <w:b/>
          <w:bCs/>
        </w:rPr>
        <w:t>secured</w:t>
      </w:r>
      <w:proofErr w:type="gramEnd"/>
      <w:r>
        <w:rPr>
          <w:b/>
          <w:bCs/>
        </w:rPr>
        <w:t xml:space="preserve"> your keys. </w:t>
      </w:r>
    </w:p>
    <w:p w14:paraId="5109FC60" w14:textId="77777777" w:rsidR="00FC33D2" w:rsidRDefault="00FC33D2" w:rsidP="00FC33D2">
      <w:pPr>
        <w:pStyle w:val="NormalWeb"/>
        <w:rPr>
          <w:rFonts w:ascii="Arial Black" w:hAnsi="Arial Black"/>
          <w:sz w:val="28"/>
          <w:szCs w:val="28"/>
        </w:rPr>
      </w:pPr>
    </w:p>
    <w:p w14:paraId="04CC0FA7" w14:textId="77777777" w:rsidR="00FC33D2" w:rsidRDefault="00FC33D2" w:rsidP="00FC33D2">
      <w:pPr>
        <w:pStyle w:val="NoSpacing"/>
        <w:ind w:left="720"/>
        <w:rPr>
          <w:rFonts w:ascii="Times New Roman" w:hAnsi="Times New Roman"/>
          <w:sz w:val="24"/>
          <w:szCs w:val="24"/>
          <w:shd w:val="clear" w:color="auto" w:fill="FFFFFF"/>
        </w:rPr>
      </w:pPr>
    </w:p>
    <w:p w14:paraId="23813889" w14:textId="77777777" w:rsidR="00FC33D2" w:rsidRDefault="00FC33D2" w:rsidP="00FC33D2">
      <w:pPr>
        <w:pStyle w:val="NoSpacing"/>
        <w:rPr>
          <w:rFonts w:ascii="Times New Roman" w:hAnsi="Times New Roman"/>
          <w:sz w:val="24"/>
          <w:szCs w:val="24"/>
        </w:rPr>
      </w:pPr>
    </w:p>
    <w:p w14:paraId="502C4026" w14:textId="77777777" w:rsidR="00FC33D2" w:rsidRPr="00FC33D2" w:rsidRDefault="00FC33D2" w:rsidP="00FC33D2">
      <w:pPr>
        <w:pStyle w:val="NormalWeb"/>
        <w:shd w:val="clear" w:color="auto" w:fill="FFFFFF"/>
        <w:spacing w:before="0" w:beforeAutospacing="0"/>
        <w:rPr>
          <w:rFonts w:ascii="Arial Black" w:hAnsi="Arial Black"/>
        </w:rPr>
      </w:pPr>
      <w:r w:rsidRPr="00FC33D2">
        <w:rPr>
          <w:rFonts w:ascii="Arial Black" w:hAnsi="Arial Black"/>
        </w:rPr>
        <w:t>5-42</w:t>
      </w:r>
    </w:p>
    <w:p w14:paraId="75FF2F4D" w14:textId="4CA5CE31" w:rsidR="00FC33D2" w:rsidRPr="009C706C" w:rsidRDefault="00FC33D2" w:rsidP="00FC33D2">
      <w:pPr>
        <w:pStyle w:val="NormalWeb"/>
        <w:shd w:val="clear" w:color="auto" w:fill="FFFFFF"/>
        <w:spacing w:before="0" w:beforeAutospacing="0"/>
        <w:rPr>
          <w:rFonts w:ascii="Arial Black" w:hAnsi="Arial Black"/>
          <w:b/>
          <w:bCs/>
          <w:color w:val="454545"/>
          <w:sz w:val="28"/>
          <w:szCs w:val="28"/>
        </w:rPr>
      </w:pPr>
      <w:r>
        <w:rPr>
          <w:rFonts w:ascii="Arial Black" w:hAnsi="Arial Black"/>
          <w:b/>
          <w:bCs/>
          <w:color w:val="454545"/>
          <w:sz w:val="28"/>
          <w:szCs w:val="28"/>
        </w:rPr>
        <w:t>TX: ENGINE TO DUMSTER FIRE – 10 MPH OVER, THROUGH RED LIGHT, COLLISION – NO GOVERNMENTAL IMMUNITY</w:t>
      </w:r>
    </w:p>
    <w:p w14:paraId="59C6A424" w14:textId="77777777" w:rsidR="00FC33D2" w:rsidRDefault="00FC33D2" w:rsidP="00FC33D2">
      <w:pPr>
        <w:pStyle w:val="NoSpacing"/>
        <w:rPr>
          <w:rFonts w:ascii="Times New Roman" w:hAnsi="Times New Roman"/>
          <w:sz w:val="24"/>
          <w:szCs w:val="24"/>
        </w:rPr>
      </w:pPr>
      <w:r>
        <w:rPr>
          <w:rFonts w:ascii="Times New Roman" w:hAnsi="Times New Roman"/>
          <w:sz w:val="24"/>
          <w:szCs w:val="24"/>
        </w:rPr>
        <w:t xml:space="preserve">On March 7, 2024, in </w:t>
      </w:r>
      <w:r w:rsidRPr="00B5059C">
        <w:rPr>
          <w:rFonts w:ascii="Times New Roman" w:hAnsi="Times New Roman"/>
          <w:sz w:val="24"/>
          <w:szCs w:val="24"/>
          <w:u w:val="single"/>
        </w:rPr>
        <w:t>City of Houston v. Chelsea Manning, et al</w:t>
      </w:r>
      <w:r>
        <w:rPr>
          <w:rFonts w:ascii="Times New Roman" w:hAnsi="Times New Roman"/>
          <w:sz w:val="24"/>
          <w:szCs w:val="24"/>
        </w:rPr>
        <w:t xml:space="preserve">., the Fourteenth Court of Appeals of Texas, held (3 to 0) that trial court properly denied their motion for summary judgment on the emergency response exception to tort liability; on this second appeal the city is again denied immunity. </w:t>
      </w:r>
    </w:p>
    <w:p w14:paraId="56BD4193" w14:textId="77777777" w:rsidR="003956F7" w:rsidRDefault="003956F7" w:rsidP="003956F7">
      <w:pPr>
        <w:pStyle w:val="NoSpacing"/>
        <w:rPr>
          <w:rFonts w:ascii="Times New Roman" w:hAnsi="Times New Roman"/>
          <w:sz w:val="24"/>
          <w:szCs w:val="24"/>
          <w:shd w:val="clear" w:color="auto" w:fill="FFFFFF"/>
        </w:rPr>
      </w:pPr>
    </w:p>
    <w:p w14:paraId="711A12B0" w14:textId="76FCAE72"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33205EC" w14:textId="77777777" w:rsidR="003956F7" w:rsidRDefault="003956F7" w:rsidP="00FC33D2">
      <w:pPr>
        <w:pStyle w:val="NoSpacing"/>
        <w:rPr>
          <w:rFonts w:ascii="Times New Roman" w:hAnsi="Times New Roman"/>
          <w:sz w:val="24"/>
          <w:szCs w:val="24"/>
        </w:rPr>
      </w:pPr>
    </w:p>
    <w:p w14:paraId="3493ECFE" w14:textId="77777777" w:rsidR="00FC33D2" w:rsidRDefault="00FC33D2" w:rsidP="00FC33D2">
      <w:pPr>
        <w:pStyle w:val="NoSpacing"/>
        <w:rPr>
          <w:rFonts w:ascii="Times New Roman" w:hAnsi="Times New Roman"/>
          <w:sz w:val="24"/>
          <w:szCs w:val="24"/>
        </w:rPr>
      </w:pPr>
    </w:p>
    <w:p w14:paraId="29F7A60A" w14:textId="77777777" w:rsidR="00FC33D2" w:rsidRPr="0011159F" w:rsidRDefault="00FC33D2" w:rsidP="00FC33D2">
      <w:pPr>
        <w:pStyle w:val="NoSpacing"/>
        <w:ind w:left="720"/>
        <w:rPr>
          <w:rFonts w:ascii="Times New Roman" w:hAnsi="Times New Roman"/>
          <w:sz w:val="24"/>
          <w:szCs w:val="24"/>
        </w:rPr>
      </w:pPr>
      <w:r>
        <w:rPr>
          <w:rFonts w:ascii="Times New Roman" w:hAnsi="Times New Roman"/>
          <w:sz w:val="24"/>
          <w:szCs w:val="24"/>
        </w:rPr>
        <w:t>“T</w:t>
      </w:r>
      <w:r w:rsidRPr="0011159F">
        <w:rPr>
          <w:rFonts w:ascii="Times New Roman" w:hAnsi="Times New Roman"/>
          <w:sz w:val="24"/>
          <w:szCs w:val="24"/>
        </w:rPr>
        <w:t>his is the second appeal by the City of Houston in this personal injury suit</w:t>
      </w:r>
    </w:p>
    <w:p w14:paraId="1CA99857" w14:textId="77777777" w:rsidR="00FC33D2" w:rsidRPr="0011159F" w:rsidRDefault="00FC33D2" w:rsidP="00FC33D2">
      <w:pPr>
        <w:pStyle w:val="NoSpacing"/>
        <w:ind w:left="720"/>
        <w:rPr>
          <w:rFonts w:ascii="Times New Roman" w:hAnsi="Times New Roman"/>
          <w:sz w:val="24"/>
          <w:szCs w:val="24"/>
        </w:rPr>
      </w:pPr>
      <w:r w:rsidRPr="0011159F">
        <w:rPr>
          <w:rFonts w:ascii="Times New Roman" w:hAnsi="Times New Roman"/>
          <w:sz w:val="24"/>
          <w:szCs w:val="24"/>
        </w:rPr>
        <w:t>arising from a collision between a fire truck and appellees’ vehicle. In the first</w:t>
      </w:r>
    </w:p>
    <w:p w14:paraId="3145F8C1" w14:textId="77777777" w:rsidR="00FC33D2" w:rsidRPr="0011159F" w:rsidRDefault="00FC33D2" w:rsidP="00FC33D2">
      <w:pPr>
        <w:pStyle w:val="NoSpacing"/>
        <w:ind w:left="720"/>
        <w:rPr>
          <w:rFonts w:ascii="Times New Roman" w:hAnsi="Times New Roman"/>
          <w:sz w:val="24"/>
          <w:szCs w:val="24"/>
        </w:rPr>
      </w:pPr>
      <w:r w:rsidRPr="0011159F">
        <w:rPr>
          <w:rFonts w:ascii="Times New Roman" w:hAnsi="Times New Roman"/>
          <w:sz w:val="24"/>
          <w:szCs w:val="24"/>
        </w:rPr>
        <w:t>appeal, the City challenged an order denying its traditional summary-judgment</w:t>
      </w:r>
    </w:p>
    <w:p w14:paraId="6464D1F6" w14:textId="77777777" w:rsidR="00FC33D2" w:rsidRPr="005E4DA9" w:rsidRDefault="00FC33D2" w:rsidP="00FC33D2">
      <w:pPr>
        <w:pStyle w:val="NoSpacing"/>
        <w:ind w:left="720"/>
        <w:rPr>
          <w:rFonts w:ascii="Times New Roman" w:hAnsi="Times New Roman"/>
          <w:sz w:val="24"/>
          <w:szCs w:val="24"/>
        </w:rPr>
      </w:pPr>
      <w:r w:rsidRPr="0011159F">
        <w:rPr>
          <w:rFonts w:ascii="Times New Roman" w:hAnsi="Times New Roman"/>
          <w:sz w:val="24"/>
          <w:szCs w:val="24"/>
        </w:rPr>
        <w:t>motion on immunity grounds. We held that a genuine and material fact questio</w:t>
      </w:r>
      <w:r>
        <w:rPr>
          <w:rFonts w:ascii="Times New Roman" w:hAnsi="Times New Roman"/>
          <w:sz w:val="24"/>
          <w:szCs w:val="24"/>
        </w:rPr>
        <w:t xml:space="preserve">n </w:t>
      </w:r>
      <w:r w:rsidRPr="005E4DA9">
        <w:rPr>
          <w:rFonts w:ascii="Times New Roman" w:hAnsi="Times New Roman"/>
          <w:sz w:val="24"/>
          <w:szCs w:val="24"/>
        </w:rPr>
        <w:t>existed as to the good-faith element of the City’s employee’s official immunity,</w:t>
      </w:r>
    </w:p>
    <w:p w14:paraId="0AD7C002" w14:textId="77777777" w:rsidR="00FC33D2" w:rsidRDefault="00FC33D2" w:rsidP="00FC33D2">
      <w:pPr>
        <w:pStyle w:val="NoSpacing"/>
        <w:ind w:left="720"/>
        <w:rPr>
          <w:rFonts w:ascii="Times New Roman" w:hAnsi="Times New Roman"/>
          <w:sz w:val="24"/>
          <w:szCs w:val="24"/>
        </w:rPr>
      </w:pPr>
      <w:r w:rsidRPr="005E4DA9">
        <w:rPr>
          <w:rFonts w:ascii="Times New Roman" w:hAnsi="Times New Roman"/>
          <w:sz w:val="24"/>
          <w:szCs w:val="24"/>
        </w:rPr>
        <w:t>and we affirmed in part the trial court’s denial of the City’s motion.</w:t>
      </w:r>
    </w:p>
    <w:p w14:paraId="11EDC6F3" w14:textId="77777777" w:rsidR="00FC33D2" w:rsidRDefault="00FC33D2" w:rsidP="00FC33D2">
      <w:pPr>
        <w:pStyle w:val="NoSpacing"/>
        <w:ind w:left="720"/>
        <w:rPr>
          <w:rFonts w:ascii="Times New Roman" w:hAnsi="Times New Roman"/>
          <w:sz w:val="24"/>
          <w:szCs w:val="24"/>
        </w:rPr>
      </w:pPr>
    </w:p>
    <w:p w14:paraId="69F610EC" w14:textId="77777777" w:rsidR="00FC33D2" w:rsidRDefault="00FC33D2" w:rsidP="00FC33D2">
      <w:pPr>
        <w:pStyle w:val="NoSpacing"/>
        <w:ind w:left="720"/>
        <w:rPr>
          <w:rFonts w:ascii="Times New Roman" w:hAnsi="Times New Roman"/>
          <w:sz w:val="24"/>
          <w:szCs w:val="24"/>
        </w:rPr>
      </w:pPr>
      <w:r>
        <w:rPr>
          <w:rFonts w:ascii="Times New Roman" w:hAnsi="Times New Roman"/>
          <w:sz w:val="24"/>
          <w:szCs w:val="24"/>
        </w:rPr>
        <w:t>***</w:t>
      </w:r>
    </w:p>
    <w:p w14:paraId="1FF413DD" w14:textId="77777777" w:rsidR="00FC33D2" w:rsidRDefault="00FC33D2" w:rsidP="00FC33D2">
      <w:pPr>
        <w:pStyle w:val="NoSpacing"/>
        <w:ind w:left="720"/>
        <w:rPr>
          <w:rFonts w:ascii="Times New Roman" w:hAnsi="Times New Roman"/>
          <w:sz w:val="24"/>
          <w:szCs w:val="24"/>
        </w:rPr>
      </w:pPr>
    </w:p>
    <w:p w14:paraId="71AACEDD" w14:textId="77777777" w:rsidR="00FC33D2" w:rsidRPr="00662D7E" w:rsidRDefault="00FC33D2" w:rsidP="00FC33D2">
      <w:pPr>
        <w:pStyle w:val="NoSpacing"/>
        <w:ind w:left="720"/>
        <w:rPr>
          <w:rFonts w:ascii="Times New Roman" w:hAnsi="Times New Roman"/>
          <w:sz w:val="24"/>
          <w:szCs w:val="24"/>
        </w:rPr>
      </w:pPr>
      <w:r w:rsidRPr="00662D7E">
        <w:rPr>
          <w:rFonts w:ascii="Times New Roman" w:hAnsi="Times New Roman"/>
          <w:sz w:val="24"/>
          <w:szCs w:val="24"/>
        </w:rPr>
        <w:t>After the first appeal, the City moved for summary judgment again on</w:t>
      </w:r>
    </w:p>
    <w:p w14:paraId="40CEDC5C" w14:textId="77777777" w:rsidR="00FC33D2" w:rsidRPr="00662D7E" w:rsidRDefault="00FC33D2" w:rsidP="00FC33D2">
      <w:pPr>
        <w:pStyle w:val="NoSpacing"/>
        <w:ind w:left="720"/>
        <w:rPr>
          <w:rFonts w:ascii="Times New Roman" w:hAnsi="Times New Roman"/>
          <w:sz w:val="24"/>
          <w:szCs w:val="24"/>
        </w:rPr>
      </w:pPr>
      <w:r w:rsidRPr="00662D7E">
        <w:rPr>
          <w:rFonts w:ascii="Times New Roman" w:hAnsi="Times New Roman"/>
          <w:sz w:val="24"/>
          <w:szCs w:val="24"/>
        </w:rPr>
        <w:t>immunity grounds, relying on its earlier evidence but adding some new evidence</w:t>
      </w:r>
    </w:p>
    <w:p w14:paraId="5AE89ACC" w14:textId="77777777" w:rsidR="00FC33D2" w:rsidRPr="00662D7E" w:rsidRDefault="00FC33D2" w:rsidP="00FC33D2">
      <w:pPr>
        <w:pStyle w:val="NoSpacing"/>
        <w:ind w:left="720"/>
        <w:rPr>
          <w:rFonts w:ascii="Times New Roman" w:hAnsi="Times New Roman"/>
          <w:sz w:val="24"/>
          <w:szCs w:val="24"/>
        </w:rPr>
      </w:pPr>
      <w:r w:rsidRPr="00662D7E">
        <w:rPr>
          <w:rFonts w:ascii="Times New Roman" w:hAnsi="Times New Roman"/>
          <w:sz w:val="24"/>
          <w:szCs w:val="24"/>
        </w:rPr>
        <w:t>and arguments. The trial court denied the City’s second motion. In this appeal, we</w:t>
      </w:r>
    </w:p>
    <w:p w14:paraId="28877B19" w14:textId="77777777" w:rsidR="00FC33D2" w:rsidRPr="00662D7E" w:rsidRDefault="00FC33D2" w:rsidP="00FC33D2">
      <w:pPr>
        <w:pStyle w:val="NoSpacing"/>
        <w:ind w:left="720"/>
        <w:rPr>
          <w:rFonts w:ascii="Times New Roman" w:hAnsi="Times New Roman"/>
          <w:sz w:val="24"/>
          <w:szCs w:val="24"/>
        </w:rPr>
      </w:pPr>
      <w:proofErr w:type="gramStart"/>
      <w:r w:rsidRPr="00662D7E">
        <w:rPr>
          <w:rFonts w:ascii="Times New Roman" w:hAnsi="Times New Roman"/>
          <w:sz w:val="24"/>
          <w:szCs w:val="24"/>
        </w:rPr>
        <w:t>again</w:t>
      </w:r>
      <w:proofErr w:type="gramEnd"/>
      <w:r w:rsidRPr="00662D7E">
        <w:rPr>
          <w:rFonts w:ascii="Times New Roman" w:hAnsi="Times New Roman"/>
          <w:sz w:val="24"/>
          <w:szCs w:val="24"/>
        </w:rPr>
        <w:t xml:space="preserve"> conclude that the City has not established conclusively that it is immune as a</w:t>
      </w:r>
    </w:p>
    <w:p w14:paraId="708A32A4" w14:textId="77777777" w:rsidR="00FC33D2" w:rsidRDefault="00FC33D2" w:rsidP="00FC33D2">
      <w:pPr>
        <w:pStyle w:val="NoSpacing"/>
        <w:ind w:left="720"/>
        <w:rPr>
          <w:rFonts w:ascii="Times New Roman" w:hAnsi="Times New Roman"/>
          <w:sz w:val="24"/>
          <w:szCs w:val="24"/>
        </w:rPr>
      </w:pPr>
      <w:r w:rsidRPr="00662D7E">
        <w:rPr>
          <w:rFonts w:ascii="Times New Roman" w:hAnsi="Times New Roman"/>
          <w:sz w:val="24"/>
          <w:szCs w:val="24"/>
        </w:rPr>
        <w:t>matter of law.</w:t>
      </w:r>
    </w:p>
    <w:p w14:paraId="00C59F24" w14:textId="77777777" w:rsidR="00FC33D2" w:rsidRDefault="00FC33D2" w:rsidP="00FC33D2">
      <w:pPr>
        <w:pStyle w:val="NoSpacing"/>
        <w:ind w:left="720"/>
        <w:rPr>
          <w:rFonts w:ascii="Times New Roman" w:hAnsi="Times New Roman"/>
          <w:sz w:val="24"/>
          <w:szCs w:val="24"/>
        </w:rPr>
      </w:pPr>
    </w:p>
    <w:p w14:paraId="3876C85F" w14:textId="77777777" w:rsidR="00FC33D2" w:rsidRDefault="00FC33D2" w:rsidP="00FC33D2">
      <w:pPr>
        <w:pStyle w:val="NoSpacing"/>
        <w:ind w:left="720"/>
        <w:rPr>
          <w:rFonts w:ascii="Times New Roman" w:hAnsi="Times New Roman"/>
          <w:sz w:val="24"/>
          <w:szCs w:val="24"/>
        </w:rPr>
      </w:pPr>
      <w:r>
        <w:rPr>
          <w:rFonts w:ascii="Times New Roman" w:hAnsi="Times New Roman"/>
          <w:sz w:val="24"/>
          <w:szCs w:val="24"/>
        </w:rPr>
        <w:t>***</w:t>
      </w:r>
    </w:p>
    <w:p w14:paraId="3FF1C95E" w14:textId="77777777" w:rsidR="00FC33D2" w:rsidRDefault="00FC33D2" w:rsidP="00FC33D2">
      <w:pPr>
        <w:pStyle w:val="NoSpacing"/>
        <w:ind w:left="720"/>
        <w:rPr>
          <w:rFonts w:ascii="Times New Roman" w:hAnsi="Times New Roman"/>
          <w:sz w:val="24"/>
          <w:szCs w:val="24"/>
        </w:rPr>
      </w:pPr>
    </w:p>
    <w:p w14:paraId="39C6ECD2" w14:textId="77777777" w:rsidR="00FC33D2" w:rsidRPr="00956F61" w:rsidRDefault="00FC33D2" w:rsidP="00FC33D2">
      <w:pPr>
        <w:pStyle w:val="NoSpacing"/>
        <w:ind w:left="720"/>
        <w:rPr>
          <w:rFonts w:ascii="Times New Roman" w:hAnsi="Times New Roman"/>
          <w:sz w:val="24"/>
          <w:szCs w:val="24"/>
        </w:rPr>
      </w:pPr>
      <w:r w:rsidRPr="00956F61">
        <w:rPr>
          <w:rFonts w:ascii="Times New Roman" w:hAnsi="Times New Roman"/>
          <w:sz w:val="24"/>
          <w:szCs w:val="24"/>
        </w:rPr>
        <w:t xml:space="preserve">Thus, fact questions exist whether the </w:t>
      </w:r>
      <w:proofErr w:type="gramStart"/>
      <w:r w:rsidRPr="00956F61">
        <w:rPr>
          <w:rFonts w:ascii="Times New Roman" w:hAnsi="Times New Roman"/>
          <w:sz w:val="24"/>
          <w:szCs w:val="24"/>
        </w:rPr>
        <w:t>City</w:t>
      </w:r>
      <w:proofErr w:type="gramEnd"/>
      <w:r w:rsidRPr="00956F61">
        <w:rPr>
          <w:rFonts w:ascii="Times New Roman" w:hAnsi="Times New Roman"/>
          <w:sz w:val="24"/>
          <w:szCs w:val="24"/>
        </w:rPr>
        <w:t xml:space="preserve"> complied with all three</w:t>
      </w:r>
      <w:r>
        <w:rPr>
          <w:rFonts w:ascii="Times New Roman" w:hAnsi="Times New Roman"/>
          <w:sz w:val="24"/>
          <w:szCs w:val="24"/>
        </w:rPr>
        <w:t xml:space="preserve"> </w:t>
      </w:r>
      <w:r w:rsidRPr="00956F61">
        <w:rPr>
          <w:rFonts w:ascii="Times New Roman" w:hAnsi="Times New Roman"/>
          <w:sz w:val="24"/>
          <w:szCs w:val="24"/>
        </w:rPr>
        <w:t>applicable laws it cited. A factfinder could reasonably conclude that Schmidt</w:t>
      </w:r>
      <w:r>
        <w:rPr>
          <w:rFonts w:ascii="Times New Roman" w:hAnsi="Times New Roman"/>
          <w:sz w:val="24"/>
          <w:szCs w:val="24"/>
        </w:rPr>
        <w:t xml:space="preserve"> </w:t>
      </w:r>
      <w:r w:rsidRPr="00956F61">
        <w:rPr>
          <w:rFonts w:ascii="Times New Roman" w:hAnsi="Times New Roman"/>
          <w:sz w:val="24"/>
          <w:szCs w:val="24"/>
        </w:rPr>
        <w:t>(1) drove above the speed limit, (2) did not slow his speed while entering the</w:t>
      </w:r>
      <w:r>
        <w:rPr>
          <w:rFonts w:ascii="Times New Roman" w:hAnsi="Times New Roman"/>
          <w:sz w:val="24"/>
          <w:szCs w:val="24"/>
        </w:rPr>
        <w:t xml:space="preserve"> </w:t>
      </w:r>
      <w:r w:rsidRPr="00956F61">
        <w:rPr>
          <w:rFonts w:ascii="Times New Roman" w:hAnsi="Times New Roman"/>
          <w:sz w:val="24"/>
          <w:szCs w:val="24"/>
        </w:rPr>
        <w:t>intersection, and (3) proceeded against a red light. Thus, disputed and material fact</w:t>
      </w:r>
      <w:r>
        <w:rPr>
          <w:rFonts w:ascii="Times New Roman" w:hAnsi="Times New Roman"/>
          <w:sz w:val="24"/>
          <w:szCs w:val="24"/>
        </w:rPr>
        <w:t xml:space="preserve"> </w:t>
      </w:r>
      <w:r w:rsidRPr="00956F61">
        <w:rPr>
          <w:rFonts w:ascii="Times New Roman" w:hAnsi="Times New Roman"/>
          <w:sz w:val="24"/>
          <w:szCs w:val="24"/>
        </w:rPr>
        <w:t>issues preclude summary judgment in the City’s favor on the emergency response</w:t>
      </w:r>
      <w:r>
        <w:rPr>
          <w:rFonts w:ascii="Times New Roman" w:hAnsi="Times New Roman"/>
          <w:sz w:val="24"/>
          <w:szCs w:val="24"/>
        </w:rPr>
        <w:t xml:space="preserve"> </w:t>
      </w:r>
      <w:proofErr w:type="gramStart"/>
      <w:r w:rsidRPr="00956F61">
        <w:rPr>
          <w:rFonts w:ascii="Times New Roman" w:hAnsi="Times New Roman"/>
          <w:sz w:val="24"/>
          <w:szCs w:val="24"/>
        </w:rPr>
        <w:t>exception.</w:t>
      </w:r>
      <w:r>
        <w:rPr>
          <w:rFonts w:ascii="Times New Roman" w:hAnsi="Times New Roman"/>
          <w:sz w:val="24"/>
          <w:szCs w:val="24"/>
        </w:rPr>
        <w:t>”</w:t>
      </w:r>
      <w:proofErr w:type="gramEnd"/>
      <w:r>
        <w:rPr>
          <w:rFonts w:ascii="Times New Roman" w:hAnsi="Times New Roman"/>
          <w:sz w:val="24"/>
          <w:szCs w:val="24"/>
        </w:rPr>
        <w:t xml:space="preserve"> </w:t>
      </w:r>
      <w:hyperlink r:id="rId949" w:history="1">
        <w:r w:rsidRPr="0090149E">
          <w:rPr>
            <w:rStyle w:val="Hyperlink"/>
            <w:rFonts w:ascii="Times New Roman" w:hAnsi="Times New Roman"/>
            <w:sz w:val="24"/>
            <w:szCs w:val="24"/>
          </w:rPr>
          <w:t>https://cases.justia.com/texas/fourteenth-court-of-appeals/2024-14-23-00087-cv.pdf?ts=1709819934</w:t>
        </w:r>
      </w:hyperlink>
      <w:r>
        <w:rPr>
          <w:rFonts w:ascii="Times New Roman" w:hAnsi="Times New Roman"/>
          <w:sz w:val="24"/>
          <w:szCs w:val="24"/>
        </w:rPr>
        <w:t xml:space="preserve"> </w:t>
      </w:r>
    </w:p>
    <w:p w14:paraId="72E9B41D" w14:textId="77777777" w:rsidR="00FC33D2" w:rsidRDefault="00FC33D2" w:rsidP="00FC33D2">
      <w:pPr>
        <w:pStyle w:val="NoSpacing"/>
        <w:ind w:left="720"/>
        <w:rPr>
          <w:rFonts w:ascii="Times New Roman" w:hAnsi="Times New Roman"/>
          <w:sz w:val="24"/>
          <w:szCs w:val="24"/>
        </w:rPr>
      </w:pPr>
    </w:p>
    <w:p w14:paraId="0AAFB88C" w14:textId="77777777" w:rsidR="00FC33D2" w:rsidRPr="00497100" w:rsidRDefault="00FC33D2" w:rsidP="00FC33D2">
      <w:pPr>
        <w:pStyle w:val="NoSpacing"/>
        <w:rPr>
          <w:b/>
          <w:bCs/>
          <w:color w:val="454545"/>
        </w:rPr>
      </w:pPr>
      <w:r w:rsidRPr="00497100">
        <w:rPr>
          <w:rFonts w:ascii="Times New Roman" w:hAnsi="Times New Roman"/>
          <w:b/>
          <w:bCs/>
          <w:sz w:val="24"/>
          <w:szCs w:val="24"/>
        </w:rPr>
        <w:t>Legal Lesson Learned:</w:t>
      </w:r>
      <w:r>
        <w:rPr>
          <w:rFonts w:ascii="Times New Roman" w:hAnsi="Times New Roman"/>
          <w:b/>
          <w:bCs/>
          <w:sz w:val="24"/>
          <w:szCs w:val="24"/>
        </w:rPr>
        <w:t xml:space="preserve"> On emergency response, proceed with due care and slow down at red lights to confirm safe to proceed.</w:t>
      </w:r>
    </w:p>
    <w:p w14:paraId="124777A7" w14:textId="77777777" w:rsidR="00FC33D2" w:rsidRPr="00497100" w:rsidRDefault="00FC33D2" w:rsidP="00FC33D2">
      <w:pPr>
        <w:pStyle w:val="NormalWeb"/>
        <w:spacing w:before="0" w:beforeAutospacing="0"/>
        <w:rPr>
          <w:b/>
          <w:bCs/>
          <w:color w:val="454545"/>
          <w:shd w:val="clear" w:color="auto" w:fill="FFFFFF"/>
        </w:rPr>
      </w:pPr>
    </w:p>
    <w:p w14:paraId="1A14ED05" w14:textId="06597828" w:rsidR="00A35726" w:rsidRDefault="00A35726" w:rsidP="00EF1133">
      <w:pPr>
        <w:rPr>
          <w:rFonts w:ascii="Arial Black" w:hAnsi="Arial Black"/>
          <w:b/>
          <w:sz w:val="24"/>
          <w:szCs w:val="24"/>
        </w:rPr>
      </w:pPr>
      <w:r>
        <w:rPr>
          <w:rFonts w:ascii="Arial Black" w:hAnsi="Arial Black"/>
          <w:b/>
          <w:sz w:val="24"/>
          <w:szCs w:val="24"/>
        </w:rPr>
        <w:t>5-41</w:t>
      </w:r>
    </w:p>
    <w:p w14:paraId="278A6B46" w14:textId="40B9F893" w:rsidR="00AD7949" w:rsidRPr="00D166AA" w:rsidRDefault="00AD7949" w:rsidP="00AD7949">
      <w:pPr>
        <w:pStyle w:val="NoSpacing"/>
        <w:rPr>
          <w:rFonts w:ascii="Arial Black" w:hAnsi="Arial Black"/>
          <w:sz w:val="28"/>
          <w:szCs w:val="28"/>
        </w:rPr>
      </w:pPr>
      <w:r>
        <w:rPr>
          <w:rFonts w:ascii="Arial Black" w:hAnsi="Arial Black"/>
          <w:sz w:val="28"/>
          <w:szCs w:val="28"/>
        </w:rPr>
        <w:t>OK: AMBULANCE SPEEDING WITH PATIENT RUNS INTO TOLL</w:t>
      </w:r>
      <w:r w:rsidR="00EC68FC">
        <w:rPr>
          <w:rFonts w:ascii="Arial Black" w:hAnsi="Arial Black"/>
          <w:sz w:val="28"/>
          <w:szCs w:val="28"/>
        </w:rPr>
        <w:t xml:space="preserve"> </w:t>
      </w:r>
      <w:r>
        <w:rPr>
          <w:rFonts w:ascii="Arial Black" w:hAnsi="Arial Black"/>
          <w:sz w:val="28"/>
          <w:szCs w:val="28"/>
        </w:rPr>
        <w:t xml:space="preserve">BOOTH – </w:t>
      </w:r>
      <w:r w:rsidR="00FE158F">
        <w:rPr>
          <w:rFonts w:ascii="Arial Black" w:hAnsi="Arial Black"/>
          <w:sz w:val="28"/>
          <w:szCs w:val="28"/>
        </w:rPr>
        <w:t xml:space="preserve">IMMUNITY - </w:t>
      </w:r>
      <w:r w:rsidR="00D25072">
        <w:rPr>
          <w:rFonts w:ascii="Arial Black" w:hAnsi="Arial Black"/>
          <w:sz w:val="28"/>
          <w:szCs w:val="28"/>
        </w:rPr>
        <w:t xml:space="preserve">TOLL BOTH OPERATOR </w:t>
      </w:r>
      <w:r>
        <w:rPr>
          <w:rFonts w:ascii="Arial Black" w:hAnsi="Arial Black"/>
          <w:sz w:val="28"/>
          <w:szCs w:val="28"/>
        </w:rPr>
        <w:t>G</w:t>
      </w:r>
      <w:r w:rsidR="00CD2ECE">
        <w:rPr>
          <w:rFonts w:ascii="Arial Black" w:hAnsi="Arial Black"/>
          <w:sz w:val="28"/>
          <w:szCs w:val="28"/>
        </w:rPr>
        <w:t>E</w:t>
      </w:r>
      <w:r>
        <w:rPr>
          <w:rFonts w:ascii="Arial Black" w:hAnsi="Arial Black"/>
          <w:sz w:val="28"/>
          <w:szCs w:val="28"/>
        </w:rPr>
        <w:t>T</w:t>
      </w:r>
      <w:r w:rsidR="00CD2ECE">
        <w:rPr>
          <w:rFonts w:ascii="Arial Black" w:hAnsi="Arial Black"/>
          <w:sz w:val="28"/>
          <w:szCs w:val="28"/>
        </w:rPr>
        <w:t>S</w:t>
      </w:r>
      <w:r>
        <w:rPr>
          <w:rFonts w:ascii="Arial Black" w:hAnsi="Arial Black"/>
          <w:sz w:val="28"/>
          <w:szCs w:val="28"/>
        </w:rPr>
        <w:t xml:space="preserve"> WORKERS COMP </w:t>
      </w:r>
    </w:p>
    <w:p w14:paraId="04421C59" w14:textId="77777777" w:rsidR="00AD7949" w:rsidRDefault="00AD7949" w:rsidP="00AD7949">
      <w:pPr>
        <w:pStyle w:val="Heading1"/>
        <w:rPr>
          <w:b w:val="0"/>
          <w:bCs w:val="0"/>
          <w:sz w:val="24"/>
          <w:szCs w:val="24"/>
          <w:u w:val="single"/>
        </w:rPr>
      </w:pPr>
      <w:r w:rsidRPr="00C07EB0">
        <w:rPr>
          <w:b w:val="0"/>
          <w:bCs w:val="0"/>
          <w:sz w:val="24"/>
          <w:szCs w:val="24"/>
        </w:rPr>
        <w:t xml:space="preserve">On Feb. 13, 2024, in </w:t>
      </w:r>
      <w:r w:rsidRPr="00C344F2">
        <w:rPr>
          <w:b w:val="0"/>
          <w:bCs w:val="0"/>
          <w:sz w:val="24"/>
          <w:szCs w:val="24"/>
          <w:u w:val="single"/>
        </w:rPr>
        <w:t>Jackson County Emergency Medical Service District v. The Honorable Kory S. Kirkland, Judge of the District Court for Grady County, State of Oklahoma</w:t>
      </w:r>
      <w:r w:rsidRPr="00C344F2">
        <w:rPr>
          <w:b w:val="0"/>
          <w:bCs w:val="0"/>
          <w:sz w:val="24"/>
          <w:szCs w:val="24"/>
        </w:rPr>
        <w:t xml:space="preserve">, </w:t>
      </w:r>
      <w:r>
        <w:rPr>
          <w:b w:val="0"/>
          <w:bCs w:val="0"/>
          <w:sz w:val="24"/>
          <w:szCs w:val="24"/>
        </w:rPr>
        <w:t xml:space="preserve">the Supreme Court of Oklahoma held (9 t0 0) that trial court improperly denied the Medical District’s motion to dismiss; it is a governmental entity of Jackson County, and under Oklahoma law, when an injured person[Shannon Garst, the injured toll-both attendant] collected worker’s comp from her employer,  </w:t>
      </w:r>
      <w:r w:rsidRPr="00247832">
        <w:rPr>
          <w:b w:val="0"/>
          <w:bCs w:val="0"/>
          <w:sz w:val="24"/>
          <w:szCs w:val="24"/>
        </w:rPr>
        <w:t>American Staff Corporation</w:t>
      </w:r>
      <w:r>
        <w:rPr>
          <w:b w:val="0"/>
          <w:bCs w:val="0"/>
          <w:sz w:val="24"/>
          <w:szCs w:val="24"/>
        </w:rPr>
        <w:t xml:space="preserve">, she cannot sue government agency. </w:t>
      </w:r>
    </w:p>
    <w:p w14:paraId="7746337B" w14:textId="77777777" w:rsidR="00AD7949" w:rsidRDefault="00AD7949" w:rsidP="00AD7949">
      <w:pPr>
        <w:pStyle w:val="Heading1"/>
        <w:rPr>
          <w:b w:val="0"/>
          <w:bCs w:val="0"/>
          <w:sz w:val="24"/>
          <w:szCs w:val="24"/>
        </w:rPr>
      </w:pPr>
      <w:r>
        <w:rPr>
          <w:b w:val="0"/>
          <w:bCs w:val="0"/>
          <w:sz w:val="24"/>
          <w:szCs w:val="24"/>
        </w:rPr>
        <w:t xml:space="preserve">The Court held:  </w:t>
      </w:r>
    </w:p>
    <w:p w14:paraId="5B31FBE1" w14:textId="77777777" w:rsidR="00AD7949" w:rsidRPr="006D7B0A" w:rsidRDefault="00AD7949" w:rsidP="00AD7949">
      <w:pPr>
        <w:pStyle w:val="NoSpacing"/>
        <w:ind w:left="720"/>
        <w:rPr>
          <w:rFonts w:ascii="Times New Roman" w:hAnsi="Times New Roman"/>
          <w:sz w:val="24"/>
          <w:szCs w:val="24"/>
        </w:rPr>
      </w:pPr>
      <w:r w:rsidRPr="006D7B0A">
        <w:rPr>
          <w:rFonts w:ascii="Times New Roman" w:hAnsi="Times New Roman"/>
          <w:sz w:val="24"/>
          <w:szCs w:val="24"/>
        </w:rPr>
        <w:t xml:space="preserve">“After an ambulance collided with a turnpike tollbooth, the injured toll-worker filed a lawsuit against the ambulance driver and her employer, the Jackson County Emergency Medical Services District. The medical district sought to dismiss the lawsuit. It argued that it was entitled to governmental immunity, and that the Governmental Tort Claims Act, 51 O.S. 2021 §155(14) applied to prohibit recovery because the toll-worker had recovered workers compensation benefits. The trial court denied the dismissal. The medical district filed an </w:t>
      </w:r>
      <w:proofErr w:type="gramStart"/>
      <w:r w:rsidRPr="006D7B0A">
        <w:rPr>
          <w:rFonts w:ascii="Times New Roman" w:hAnsi="Times New Roman"/>
          <w:sz w:val="24"/>
          <w:szCs w:val="24"/>
        </w:rPr>
        <w:t>Application</w:t>
      </w:r>
      <w:proofErr w:type="gramEnd"/>
      <w:r w:rsidRPr="006D7B0A">
        <w:rPr>
          <w:rFonts w:ascii="Times New Roman" w:hAnsi="Times New Roman"/>
          <w:sz w:val="24"/>
          <w:szCs w:val="24"/>
        </w:rPr>
        <w:t xml:space="preserve"> to Assume Original Jurisdiction and Petition for Writ of Prohibition in this Court to prevent the trial court from proceeding further. We assume original jurisdiction and grant the writ of prohibition by opinion. We hold that: 1) pursuant to the Okla. Const. art. 10, §9C, although the medical district is a unique entity, it is subject to lawsuits through its board of trustees to the same extent as any Oklahoma municipality or county; and 2) the Governmental Tort Claims Act, 51 O.S. 2021, §155(14) et seq., is applicable to preclude recovery.</w:t>
      </w:r>
      <w:r>
        <w:rPr>
          <w:rFonts w:ascii="Times New Roman" w:hAnsi="Times New Roman"/>
          <w:sz w:val="24"/>
          <w:szCs w:val="24"/>
        </w:rPr>
        <w:t xml:space="preserve">” </w:t>
      </w:r>
      <w:hyperlink r:id="rId950" w:history="1">
        <w:r w:rsidRPr="006D7B0A">
          <w:rPr>
            <w:rStyle w:val="Hyperlink"/>
            <w:rFonts w:ascii="Times New Roman" w:hAnsi="Times New Roman"/>
            <w:sz w:val="24"/>
            <w:szCs w:val="24"/>
          </w:rPr>
          <w:t>https://law.justia.com/cases/oklahoma/supreme-court/2024/121510.html</w:t>
        </w:r>
      </w:hyperlink>
      <w:r w:rsidRPr="006D7B0A">
        <w:rPr>
          <w:rFonts w:ascii="Times New Roman" w:hAnsi="Times New Roman"/>
          <w:sz w:val="24"/>
          <w:szCs w:val="24"/>
        </w:rPr>
        <w:t xml:space="preserve"> </w:t>
      </w:r>
    </w:p>
    <w:p w14:paraId="2798CCDE" w14:textId="77777777" w:rsidR="00AD7949" w:rsidRDefault="00AD7949" w:rsidP="00AD7949">
      <w:pPr>
        <w:pStyle w:val="NoSpacing"/>
        <w:rPr>
          <w:rFonts w:ascii="Times New Roman" w:hAnsi="Times New Roman"/>
          <w:sz w:val="24"/>
          <w:szCs w:val="24"/>
        </w:rPr>
      </w:pPr>
    </w:p>
    <w:p w14:paraId="2BF82A3B" w14:textId="77777777" w:rsidR="00AD7949" w:rsidRDefault="00AD7949" w:rsidP="00AD7949">
      <w:pPr>
        <w:pStyle w:val="NoSpacing"/>
      </w:pPr>
    </w:p>
    <w:p w14:paraId="50F06CEF" w14:textId="77777777" w:rsidR="00AD7949" w:rsidRPr="006D7B0A" w:rsidRDefault="00AD7949" w:rsidP="00AD7949">
      <w:pPr>
        <w:pStyle w:val="NormalWeb"/>
        <w:rPr>
          <w:b/>
          <w:bCs/>
        </w:rPr>
      </w:pPr>
      <w:r w:rsidRPr="006D7B0A">
        <w:rPr>
          <w:b/>
          <w:bCs/>
        </w:rPr>
        <w:t>Legal Lesson Learned:</w:t>
      </w:r>
      <w:r>
        <w:rPr>
          <w:b/>
          <w:bCs/>
        </w:rPr>
        <w:t xml:space="preserve"> Pay attention when operating an emergency vehicle, including when passing through a tollbooth; fortunate to have government immunity when injured persons </w:t>
      </w:r>
      <w:proofErr w:type="gramStart"/>
      <w:r>
        <w:rPr>
          <w:b/>
          <w:bCs/>
        </w:rPr>
        <w:t>receives</w:t>
      </w:r>
      <w:proofErr w:type="gramEnd"/>
      <w:r>
        <w:rPr>
          <w:b/>
          <w:bCs/>
        </w:rPr>
        <w:t xml:space="preserve"> workers compensation. </w:t>
      </w:r>
    </w:p>
    <w:p w14:paraId="365A48DF" w14:textId="77777777" w:rsidR="00A35726" w:rsidRDefault="00A35726" w:rsidP="00EF1133">
      <w:pPr>
        <w:rPr>
          <w:rFonts w:ascii="Arial Black" w:hAnsi="Arial Black"/>
          <w:b/>
          <w:sz w:val="24"/>
          <w:szCs w:val="24"/>
        </w:rPr>
      </w:pPr>
    </w:p>
    <w:p w14:paraId="304E3595" w14:textId="77777777" w:rsidR="00A35726" w:rsidRDefault="00A35726" w:rsidP="00EF1133">
      <w:pPr>
        <w:rPr>
          <w:rFonts w:ascii="Arial Black" w:hAnsi="Arial Black"/>
          <w:b/>
          <w:sz w:val="24"/>
          <w:szCs w:val="24"/>
        </w:rPr>
      </w:pPr>
    </w:p>
    <w:p w14:paraId="2E7FF696" w14:textId="2FD598A8" w:rsidR="00AF2973" w:rsidRDefault="00AF2973" w:rsidP="00EF1133">
      <w:pPr>
        <w:rPr>
          <w:rFonts w:ascii="Arial Black" w:hAnsi="Arial Black"/>
          <w:b/>
          <w:sz w:val="24"/>
          <w:szCs w:val="24"/>
        </w:rPr>
      </w:pPr>
      <w:r>
        <w:rPr>
          <w:rFonts w:ascii="Arial Black" w:hAnsi="Arial Black"/>
          <w:b/>
          <w:sz w:val="24"/>
          <w:szCs w:val="24"/>
        </w:rPr>
        <w:t>5-40</w:t>
      </w:r>
    </w:p>
    <w:p w14:paraId="5E231F2C" w14:textId="77777777" w:rsidR="001C5889" w:rsidRPr="00960419" w:rsidRDefault="001C5889" w:rsidP="001C5889">
      <w:pPr>
        <w:pStyle w:val="NormalWeb"/>
        <w:rPr>
          <w:rFonts w:ascii="Arial Black" w:hAnsi="Arial Black"/>
          <w:sz w:val="28"/>
          <w:szCs w:val="28"/>
        </w:rPr>
      </w:pPr>
      <w:r>
        <w:rPr>
          <w:rFonts w:ascii="Arial Black" w:hAnsi="Arial Black"/>
          <w:sz w:val="28"/>
          <w:szCs w:val="28"/>
        </w:rPr>
        <w:t>MO: PD OFFICER RESPONDING TO VEHICLE CHASE – 87 MPH, STOP SIGN - CRASH– RECKLESS - OFFICIAL IMMUNITY</w:t>
      </w:r>
    </w:p>
    <w:p w14:paraId="046FB9FF" w14:textId="77777777" w:rsidR="001C5889" w:rsidRDefault="001C5889" w:rsidP="001C5889">
      <w:pPr>
        <w:pStyle w:val="NormalWeb"/>
      </w:pPr>
      <w:r>
        <w:t xml:space="preserve">On Jan. 30, 2024, in </w:t>
      </w:r>
      <w:r w:rsidRPr="00AA2F98">
        <w:rPr>
          <w:u w:val="single"/>
        </w:rPr>
        <w:t>John Carlton v. Brandon Means</w:t>
      </w:r>
      <w:r>
        <w:t xml:space="preserve">, the Court of Appeals of Missouri, Eastern Division (Second Division) holds (3 to 0) that while the officer may have been reckless, he enjoys official immunity under Missouri law since there was no “malice” (improper or wrongful motive) on his part. </w:t>
      </w:r>
    </w:p>
    <w:p w14:paraId="4D3F2B66" w14:textId="77777777" w:rsidR="001C5889" w:rsidRDefault="001C5889" w:rsidP="001C5889">
      <w:pPr>
        <w:pStyle w:val="NormalWeb"/>
        <w:ind w:left="720"/>
      </w:pPr>
      <w:r>
        <w:t xml:space="preserve">“Carlton suggests he can show the requisite intent because Officer Means's conduct was </w:t>
      </w:r>
      <w:r>
        <w:rPr>
          <w:rStyle w:val="Emphasis"/>
        </w:rPr>
        <w:t>so</w:t>
      </w:r>
      <w:r>
        <w:t xml:space="preserve"> reckless and was </w:t>
      </w:r>
      <w:r>
        <w:rPr>
          <w:rStyle w:val="Emphasis"/>
        </w:rPr>
        <w:t>so</w:t>
      </w:r>
      <w:r>
        <w:t xml:space="preserve"> willfully in disregard of another's rights that a trier of fact could infer he had an improper or wrongful motive. No Missouri cases have found malice based on an inference of intent drawn solely from the recklessness of an officer's conduct in responding to an emergency. </w:t>
      </w:r>
      <w:r>
        <w:rPr>
          <w:rStyle w:val="Emphasis"/>
        </w:rPr>
        <w:t>Throneberry</w:t>
      </w:r>
      <w:r>
        <w:t xml:space="preserve"> and </w:t>
      </w:r>
      <w:r>
        <w:rPr>
          <w:rStyle w:val="Emphasis"/>
        </w:rPr>
        <w:t>Moore</w:t>
      </w:r>
      <w:r>
        <w:t xml:space="preserve">, however, noted the </w:t>
      </w:r>
      <w:r>
        <w:rPr>
          <w:rStyle w:val="Emphasis"/>
        </w:rPr>
        <w:t>lack</w:t>
      </w:r>
      <w:r>
        <w:t xml:space="preserve"> of </w:t>
      </w:r>
      <w:proofErr w:type="gramStart"/>
      <w:r>
        <w:t>any facts</w:t>
      </w:r>
      <w:proofErr w:type="gramEnd"/>
      <w:r>
        <w:t xml:space="preserve"> giving rise to such an inference, which suggests the possibility that such an inference could be drawn in appropriate circumstances.  But no such inference can be drawn from the facts or opinions in this case, even when viewed in the light most favorable to Carlton. In the context of responding to this emergency, Officer Means's act of driving over the speed limit and past a stop sign-even if reckless-did not show an intent to injure anyone, only an intent to get to the officer in need as quickly as possible.” </w:t>
      </w:r>
      <w:hyperlink r:id="rId951" w:history="1">
        <w:r w:rsidRPr="00D10854">
          <w:rPr>
            <w:rStyle w:val="Hyperlink"/>
          </w:rPr>
          <w:t>https://www.courts.mo.gov/file.jsp?id=205075</w:t>
        </w:r>
      </w:hyperlink>
      <w:r>
        <w:t xml:space="preserve"> </w:t>
      </w:r>
    </w:p>
    <w:p w14:paraId="3643BB04" w14:textId="77777777" w:rsidR="00D73F92" w:rsidRPr="00175FBA" w:rsidRDefault="00D73F92" w:rsidP="00D73F92">
      <w:pPr>
        <w:pStyle w:val="NormalWeb"/>
        <w:rPr>
          <w:b/>
          <w:bCs/>
        </w:rPr>
      </w:pPr>
      <w:r w:rsidRPr="00175FBA">
        <w:rPr>
          <w:b/>
          <w:bCs/>
        </w:rPr>
        <w:t>Legal Lesson Learned</w:t>
      </w:r>
      <w:r>
        <w:rPr>
          <w:b/>
          <w:bCs/>
        </w:rPr>
        <w:t xml:space="preserve">: This officer, and his </w:t>
      </w:r>
      <w:proofErr w:type="gramStart"/>
      <w:r>
        <w:rPr>
          <w:b/>
          <w:bCs/>
        </w:rPr>
        <w:t>City</w:t>
      </w:r>
      <w:proofErr w:type="gramEnd"/>
      <w:r>
        <w:rPr>
          <w:b/>
          <w:bCs/>
        </w:rPr>
        <w:t xml:space="preserve">, were very fortunate to escape liability for this reckless conduct. </w:t>
      </w:r>
    </w:p>
    <w:p w14:paraId="24E6E62C" w14:textId="77777777" w:rsidR="00AF2973" w:rsidRDefault="00AF2973" w:rsidP="00EF1133">
      <w:pPr>
        <w:rPr>
          <w:rFonts w:ascii="Arial Black" w:hAnsi="Arial Black"/>
          <w:b/>
          <w:sz w:val="24"/>
          <w:szCs w:val="24"/>
        </w:rPr>
      </w:pPr>
    </w:p>
    <w:p w14:paraId="77AD4061" w14:textId="068B3117" w:rsidR="00BB49C5" w:rsidRDefault="00E118E6" w:rsidP="00EF1133">
      <w:pPr>
        <w:rPr>
          <w:rFonts w:ascii="Arial Black" w:hAnsi="Arial Black"/>
          <w:b/>
          <w:sz w:val="24"/>
          <w:szCs w:val="24"/>
        </w:rPr>
      </w:pPr>
      <w:r>
        <w:rPr>
          <w:rFonts w:ascii="Arial Black" w:hAnsi="Arial Black"/>
          <w:b/>
          <w:sz w:val="24"/>
          <w:szCs w:val="24"/>
        </w:rPr>
        <w:t>5-39</w:t>
      </w:r>
    </w:p>
    <w:p w14:paraId="6893F751" w14:textId="77777777" w:rsidR="00E118E6" w:rsidRDefault="00E118E6" w:rsidP="00E118E6">
      <w:pPr>
        <w:pStyle w:val="Heading1"/>
        <w:rPr>
          <w:rFonts w:ascii="Arial Black" w:hAnsi="Arial Black"/>
          <w:b w:val="0"/>
          <w:bCs w:val="0"/>
          <w:sz w:val="28"/>
          <w:szCs w:val="28"/>
        </w:rPr>
      </w:pPr>
      <w:r>
        <w:rPr>
          <w:rFonts w:ascii="Arial Black" w:hAnsi="Arial Black"/>
          <w:sz w:val="28"/>
          <w:szCs w:val="28"/>
        </w:rPr>
        <w:t xml:space="preserve">TX: PD &amp; EMS REPORTS GAVE CITY ADEQUATE “NOTICE” PD AT FAULT INJURED MOTORIST – LAWSUIT PROCEEED </w:t>
      </w:r>
    </w:p>
    <w:p w14:paraId="0F83DB56" w14:textId="77777777" w:rsidR="00E118E6" w:rsidRPr="00556010" w:rsidRDefault="00E118E6" w:rsidP="00E118E6">
      <w:pPr>
        <w:pStyle w:val="NoSpacing"/>
        <w:rPr>
          <w:rFonts w:ascii="Times New Roman" w:hAnsi="Times New Roman"/>
          <w:sz w:val="24"/>
          <w:szCs w:val="24"/>
        </w:rPr>
      </w:pPr>
      <w:r w:rsidRPr="00556010">
        <w:rPr>
          <w:rFonts w:ascii="Times New Roman" w:hAnsi="Times New Roman"/>
          <w:sz w:val="24"/>
          <w:szCs w:val="24"/>
        </w:rPr>
        <w:t xml:space="preserve">On Dec. 28, 2023, in </w:t>
      </w:r>
      <w:r w:rsidRPr="00556010">
        <w:rPr>
          <w:rFonts w:ascii="Times New Roman" w:hAnsi="Times New Roman"/>
          <w:sz w:val="24"/>
          <w:szCs w:val="24"/>
          <w:u w:val="single"/>
        </w:rPr>
        <w:t>City of Houston v. Marvis Huff</w:t>
      </w:r>
      <w:r w:rsidRPr="00556010">
        <w:rPr>
          <w:rFonts w:ascii="Times New Roman" w:hAnsi="Times New Roman"/>
          <w:sz w:val="24"/>
          <w:szCs w:val="24"/>
        </w:rPr>
        <w:t>, the Court of Appeals of Texas, First District, held (3 to 0) that trial court judge properly denied the City’s motion for summary judgment; the personal injury lawsuit may proceed even if injured party didn’t give City formal notice of his claim within 90 days (was 60 days late). “Officer Rangel concluded in the crash report that Officer Miller improperly</w:t>
      </w:r>
      <w:r>
        <w:rPr>
          <w:rFonts w:ascii="Times New Roman" w:hAnsi="Times New Roman"/>
          <w:sz w:val="24"/>
          <w:szCs w:val="24"/>
        </w:rPr>
        <w:t xml:space="preserve"> </w:t>
      </w:r>
      <w:r w:rsidRPr="00556010">
        <w:rPr>
          <w:rFonts w:ascii="Times New Roman" w:hAnsi="Times New Roman"/>
          <w:sz w:val="24"/>
          <w:szCs w:val="24"/>
        </w:rPr>
        <w:t xml:space="preserve">turned from the wrong lane and that this improper turn was the sole contributing factor to the accident. The report does not assign any fault to Huff or to any other party—other than Miller. Thus, the report in this case does more than just imply Miller’s </w:t>
      </w:r>
      <w:proofErr w:type="gramStart"/>
      <w:r w:rsidRPr="00556010">
        <w:rPr>
          <w:rFonts w:ascii="Times New Roman" w:hAnsi="Times New Roman"/>
          <w:sz w:val="24"/>
          <w:szCs w:val="24"/>
        </w:rPr>
        <w:t>fault—</w:t>
      </w:r>
      <w:proofErr w:type="gramEnd"/>
      <w:r w:rsidRPr="00556010">
        <w:rPr>
          <w:rFonts w:ascii="Times New Roman" w:hAnsi="Times New Roman"/>
          <w:sz w:val="24"/>
          <w:szCs w:val="24"/>
        </w:rPr>
        <w:t xml:space="preserve">it expressly assigns fault to him. An incident that triggers an investigation and accident report will impute actual notice where there is evidence to connect the accident to an action or omission by the governmental unit such that it should have known of its potential </w:t>
      </w:r>
      <w:proofErr w:type="gramStart"/>
      <w:r w:rsidRPr="00556010">
        <w:rPr>
          <w:rFonts w:ascii="Times New Roman" w:hAnsi="Times New Roman"/>
          <w:sz w:val="24"/>
          <w:szCs w:val="24"/>
        </w:rPr>
        <w:t>culpability.”</w:t>
      </w:r>
      <w:proofErr w:type="gramEnd"/>
      <w:r w:rsidRPr="00556010">
        <w:rPr>
          <w:rFonts w:ascii="Times New Roman" w:hAnsi="Times New Roman"/>
          <w:sz w:val="24"/>
          <w:szCs w:val="24"/>
        </w:rPr>
        <w:t xml:space="preserve"> </w:t>
      </w:r>
      <w:hyperlink r:id="rId952" w:history="1">
        <w:r w:rsidRPr="00556010">
          <w:rPr>
            <w:rStyle w:val="Hyperlink"/>
            <w:rFonts w:ascii="Times New Roman" w:hAnsi="Times New Roman"/>
            <w:sz w:val="24"/>
            <w:szCs w:val="24"/>
          </w:rPr>
          <w:t>https://cases.justia.com/texas/first-court-of-appeals/2023-01-22-00496-cv.pdf?ts=1703769793</w:t>
        </w:r>
      </w:hyperlink>
      <w:r w:rsidRPr="00556010">
        <w:rPr>
          <w:rFonts w:ascii="Times New Roman" w:hAnsi="Times New Roman"/>
          <w:sz w:val="24"/>
          <w:szCs w:val="24"/>
        </w:rPr>
        <w:t xml:space="preserve"> </w:t>
      </w:r>
    </w:p>
    <w:p w14:paraId="080B7229" w14:textId="77777777" w:rsidR="00AB682E" w:rsidRPr="00496608" w:rsidRDefault="00AB682E" w:rsidP="00AB682E">
      <w:pPr>
        <w:pStyle w:val="NormalWeb"/>
        <w:rPr>
          <w:b/>
          <w:bCs/>
        </w:rPr>
      </w:pPr>
      <w:r w:rsidRPr="00496608">
        <w:rPr>
          <w:b/>
          <w:bCs/>
        </w:rPr>
        <w:t>Legal Lesson Learned:</w:t>
      </w:r>
      <w:r>
        <w:rPr>
          <w:b/>
          <w:bCs/>
        </w:rPr>
        <w:t xml:space="preserve"> City ordinance requiring 90- day notice can be set aside when PD and EMS reports confirmed injury. </w:t>
      </w:r>
    </w:p>
    <w:p w14:paraId="0E839265" w14:textId="77777777" w:rsidR="00E118E6" w:rsidRDefault="00E118E6" w:rsidP="00EF1133">
      <w:pPr>
        <w:rPr>
          <w:rFonts w:ascii="Arial Black" w:hAnsi="Arial Black"/>
          <w:b/>
          <w:sz w:val="24"/>
          <w:szCs w:val="24"/>
        </w:rPr>
      </w:pPr>
    </w:p>
    <w:p w14:paraId="5C1C0CD6" w14:textId="46DAA9A1" w:rsidR="007B5BD2" w:rsidRDefault="007B5BD2" w:rsidP="00EF1133">
      <w:pPr>
        <w:rPr>
          <w:rFonts w:ascii="Arial Black" w:hAnsi="Arial Black"/>
          <w:b/>
          <w:sz w:val="24"/>
          <w:szCs w:val="24"/>
        </w:rPr>
      </w:pPr>
      <w:r>
        <w:rPr>
          <w:rFonts w:ascii="Arial Black" w:hAnsi="Arial Black"/>
          <w:b/>
          <w:sz w:val="24"/>
          <w:szCs w:val="24"/>
        </w:rPr>
        <w:t>5-3</w:t>
      </w:r>
      <w:r w:rsidR="00964D1B">
        <w:rPr>
          <w:rFonts w:ascii="Arial Black" w:hAnsi="Arial Black"/>
          <w:b/>
          <w:sz w:val="24"/>
          <w:szCs w:val="24"/>
        </w:rPr>
        <w:t>8</w:t>
      </w:r>
    </w:p>
    <w:p w14:paraId="4D7D017C" w14:textId="6E9EE2A8" w:rsidR="007B5BD2" w:rsidRPr="004F3E23" w:rsidRDefault="007B5BD2" w:rsidP="007B5BD2">
      <w:pPr>
        <w:pStyle w:val="NoSpacing"/>
        <w:rPr>
          <w:rFonts w:ascii="Arial Black" w:hAnsi="Arial Black"/>
          <w:b/>
          <w:sz w:val="28"/>
          <w:szCs w:val="28"/>
        </w:rPr>
      </w:pPr>
      <w:r>
        <w:rPr>
          <w:rFonts w:ascii="Arial Black" w:hAnsi="Arial Black"/>
          <w:b/>
          <w:sz w:val="28"/>
          <w:szCs w:val="28"/>
        </w:rPr>
        <w:t>OH: AMBULANCE TURNING LEFT NON-EMER. TRANSPORT -</w:t>
      </w:r>
      <w:r w:rsidR="00107D14">
        <w:rPr>
          <w:rFonts w:ascii="Arial Black" w:hAnsi="Arial Black"/>
          <w:b/>
          <w:sz w:val="28"/>
          <w:szCs w:val="28"/>
        </w:rPr>
        <w:t xml:space="preserve"> </w:t>
      </w:r>
      <w:r>
        <w:rPr>
          <w:rFonts w:ascii="Arial Black" w:hAnsi="Arial Black"/>
          <w:b/>
          <w:sz w:val="28"/>
          <w:szCs w:val="28"/>
        </w:rPr>
        <w:t>RUNS OVER FOOT PEDESTRIAN – LAWSUIT REINSTATED</w:t>
      </w:r>
    </w:p>
    <w:p w14:paraId="4FAED434" w14:textId="77777777" w:rsidR="007B5BD2" w:rsidRDefault="007B5BD2" w:rsidP="007B5BD2">
      <w:pPr>
        <w:pStyle w:val="NoSpacing"/>
        <w:rPr>
          <w:rFonts w:ascii="Times New Roman" w:hAnsi="Times New Roman"/>
          <w:b/>
          <w:sz w:val="24"/>
          <w:szCs w:val="24"/>
        </w:rPr>
      </w:pPr>
    </w:p>
    <w:p w14:paraId="010FA6C9" w14:textId="77777777" w:rsidR="007B5BD2" w:rsidRDefault="007B5BD2" w:rsidP="007B5BD2">
      <w:pPr>
        <w:pStyle w:val="NoSpacing"/>
        <w:rPr>
          <w:rFonts w:ascii="Times New Roman" w:hAnsi="Times New Roman"/>
          <w:bCs/>
          <w:sz w:val="24"/>
          <w:szCs w:val="24"/>
        </w:rPr>
      </w:pPr>
      <w:r>
        <w:rPr>
          <w:rFonts w:ascii="Times New Roman" w:hAnsi="Times New Roman"/>
          <w:bCs/>
          <w:sz w:val="24"/>
          <w:szCs w:val="24"/>
        </w:rPr>
        <w:t xml:space="preserve">On Nov. 22, 2023, in </w:t>
      </w:r>
      <w:r w:rsidRPr="00283F31">
        <w:rPr>
          <w:rFonts w:ascii="Times New Roman" w:hAnsi="Times New Roman"/>
          <w:bCs/>
          <w:sz w:val="24"/>
          <w:szCs w:val="24"/>
          <w:u w:val="single"/>
        </w:rPr>
        <w:t>Kiranmai Parker v. City of Cleveland, et al</w:t>
      </w:r>
      <w:r>
        <w:rPr>
          <w:rFonts w:ascii="Times New Roman" w:hAnsi="Times New Roman"/>
          <w:bCs/>
          <w:sz w:val="24"/>
          <w:szCs w:val="24"/>
        </w:rPr>
        <w:t xml:space="preserve">., the Ohio Court of Appeals for Eighth Appellate District (Cuyahoga County) held (3 to 0) that the trial court improperly dismissed the lawsuit.  The ambulance driver, Ms. </w:t>
      </w:r>
      <w:r w:rsidRPr="001A0714">
        <w:rPr>
          <w:rFonts w:ascii="Times New Roman" w:hAnsi="Times New Roman"/>
          <w:bCs/>
          <w:sz w:val="24"/>
          <w:szCs w:val="24"/>
        </w:rPr>
        <w:t>Sampson-Hall</w:t>
      </w:r>
      <w:r>
        <w:rPr>
          <w:rFonts w:ascii="Times New Roman" w:hAnsi="Times New Roman"/>
          <w:bCs/>
          <w:sz w:val="24"/>
          <w:szCs w:val="24"/>
        </w:rPr>
        <w:t xml:space="preserve">, and her partner were transporting a minor injury patient to hospital and was turning left in an intersection. The pedestrian had a “walk” sign when the </w:t>
      </w:r>
      <w:r w:rsidRPr="00B02E61">
        <w:rPr>
          <w:rFonts w:ascii="Times New Roman" w:hAnsi="Times New Roman"/>
          <w:bCs/>
          <w:sz w:val="24"/>
          <w:szCs w:val="24"/>
        </w:rPr>
        <w:t>vehicle’s front left tire crushed Pakeer’s right foot, causing</w:t>
      </w:r>
      <w:r>
        <w:rPr>
          <w:rFonts w:ascii="Times New Roman" w:hAnsi="Times New Roman"/>
          <w:bCs/>
          <w:sz w:val="24"/>
          <w:szCs w:val="24"/>
        </w:rPr>
        <w:t xml:space="preserve"> </w:t>
      </w:r>
      <w:r w:rsidRPr="00B02E61">
        <w:rPr>
          <w:rFonts w:ascii="Times New Roman" w:hAnsi="Times New Roman"/>
          <w:bCs/>
          <w:sz w:val="24"/>
          <w:szCs w:val="24"/>
        </w:rPr>
        <w:t>several fractures leading to the amputation of her big toe.</w:t>
      </w:r>
      <w:r>
        <w:rPr>
          <w:rFonts w:ascii="Times New Roman" w:hAnsi="Times New Roman"/>
          <w:bCs/>
          <w:sz w:val="24"/>
          <w:szCs w:val="24"/>
        </w:rPr>
        <w:t xml:space="preserve">  </w:t>
      </w:r>
      <w:hyperlink r:id="rId953" w:history="1">
        <w:r w:rsidRPr="00821889">
          <w:rPr>
            <w:rStyle w:val="Hyperlink"/>
            <w:rFonts w:ascii="Times New Roman" w:hAnsi="Times New Roman"/>
            <w:bCs/>
            <w:sz w:val="24"/>
            <w:szCs w:val="24"/>
          </w:rPr>
          <w:t>https://www.supremecourt.ohio.gov/rod/docs/pdf/8/2023/2023-Ohio-4213.pdf</w:t>
        </w:r>
      </w:hyperlink>
      <w:r>
        <w:rPr>
          <w:rFonts w:ascii="Times New Roman" w:hAnsi="Times New Roman"/>
          <w:bCs/>
          <w:sz w:val="24"/>
          <w:szCs w:val="24"/>
        </w:rPr>
        <w:t xml:space="preserve"> </w:t>
      </w:r>
    </w:p>
    <w:p w14:paraId="507E22F8" w14:textId="77777777" w:rsidR="007B5BD2" w:rsidRDefault="007B5BD2" w:rsidP="007B5BD2">
      <w:pPr>
        <w:pStyle w:val="NoSpacing"/>
        <w:rPr>
          <w:rFonts w:ascii="Times New Roman" w:hAnsi="Times New Roman"/>
          <w:bCs/>
          <w:sz w:val="24"/>
          <w:szCs w:val="24"/>
        </w:rPr>
      </w:pPr>
    </w:p>
    <w:p w14:paraId="1210558C" w14:textId="77777777" w:rsidR="007B5BD2" w:rsidRDefault="007B5BD2" w:rsidP="007B5BD2">
      <w:pPr>
        <w:pStyle w:val="NoSpacing"/>
        <w:rPr>
          <w:rFonts w:ascii="Times New Roman" w:hAnsi="Times New Roman"/>
          <w:bCs/>
          <w:sz w:val="24"/>
          <w:szCs w:val="24"/>
        </w:rPr>
      </w:pPr>
      <w:r>
        <w:rPr>
          <w:rFonts w:ascii="Times New Roman" w:hAnsi="Times New Roman"/>
          <w:bCs/>
          <w:sz w:val="24"/>
          <w:szCs w:val="24"/>
        </w:rPr>
        <w:t xml:space="preserve">The Court wrote: </w:t>
      </w:r>
    </w:p>
    <w:p w14:paraId="17AE8573" w14:textId="77777777" w:rsidR="007B5BD2" w:rsidRDefault="007B5BD2" w:rsidP="007B5BD2">
      <w:pPr>
        <w:pStyle w:val="NoSpacing"/>
        <w:rPr>
          <w:rFonts w:ascii="Times New Roman" w:hAnsi="Times New Roman"/>
          <w:bCs/>
          <w:sz w:val="24"/>
          <w:szCs w:val="24"/>
        </w:rPr>
      </w:pPr>
    </w:p>
    <w:p w14:paraId="1D4238FD" w14:textId="77777777" w:rsidR="007B5BD2" w:rsidRDefault="007B5BD2" w:rsidP="007B5BD2">
      <w:pPr>
        <w:pStyle w:val="NoSpacing"/>
        <w:ind w:left="720"/>
        <w:rPr>
          <w:rFonts w:ascii="Times New Roman" w:hAnsi="Times New Roman"/>
          <w:bCs/>
          <w:sz w:val="24"/>
          <w:szCs w:val="24"/>
        </w:rPr>
      </w:pPr>
      <w:r>
        <w:rPr>
          <w:rFonts w:ascii="Times New Roman" w:hAnsi="Times New Roman"/>
          <w:bCs/>
          <w:sz w:val="24"/>
          <w:szCs w:val="24"/>
        </w:rPr>
        <w:t xml:space="preserve">“She </w:t>
      </w:r>
      <w:r w:rsidRPr="0081318D">
        <w:rPr>
          <w:rFonts w:ascii="Times New Roman" w:hAnsi="Times New Roman"/>
          <w:bCs/>
          <w:sz w:val="24"/>
          <w:szCs w:val="24"/>
        </w:rPr>
        <w:t xml:space="preserve">claims to have slowed but kept moving in one continuous motion, and despite the five-second delay between the pedestrian light and the yellow arrow on Chester Avenue, Sampson-Hall still collided with Pakeer. Thus, there is an issue of fact as to the timing of the traffic lights as they relate to Sampson-Hall’s travel. The pedestrian’s </w:t>
      </w:r>
      <w:r>
        <w:rPr>
          <w:rFonts w:ascii="Times New Roman" w:hAnsi="Times New Roman"/>
          <w:bCs/>
          <w:sz w:val="24"/>
          <w:szCs w:val="24"/>
        </w:rPr>
        <w:t>‘</w:t>
      </w:r>
      <w:r w:rsidRPr="0081318D">
        <w:rPr>
          <w:rFonts w:ascii="Times New Roman" w:hAnsi="Times New Roman"/>
          <w:bCs/>
          <w:sz w:val="24"/>
          <w:szCs w:val="24"/>
        </w:rPr>
        <w:t>walk</w:t>
      </w:r>
      <w:r>
        <w:rPr>
          <w:rFonts w:ascii="Times New Roman" w:hAnsi="Times New Roman"/>
          <w:bCs/>
          <w:sz w:val="24"/>
          <w:szCs w:val="24"/>
        </w:rPr>
        <w:t>’</w:t>
      </w:r>
      <w:r w:rsidRPr="0081318D">
        <w:rPr>
          <w:rFonts w:ascii="Times New Roman" w:hAnsi="Times New Roman"/>
          <w:bCs/>
          <w:sz w:val="24"/>
          <w:szCs w:val="24"/>
        </w:rPr>
        <w:t xml:space="preserve"> signal illuminates five seconds after the Chester Avenue traffic control light for turning traffic illuminates the yellow arrow. The collision undisputedly occurred after the “walk” signal illuminated and Pakeer took one or two steps into the intersection (meaning additional time passed after the walk signal was illuminated). There is enough evidence, construing the disputed evidence in Pakeer’s favor, demonstrating that she possessed the </w:t>
      </w:r>
      <w:proofErr w:type="gramStart"/>
      <w:r w:rsidRPr="0081318D">
        <w:rPr>
          <w:rFonts w:ascii="Times New Roman" w:hAnsi="Times New Roman"/>
          <w:bCs/>
          <w:sz w:val="24"/>
          <w:szCs w:val="24"/>
        </w:rPr>
        <w:t>right of</w:t>
      </w:r>
      <w:proofErr w:type="gramEnd"/>
      <w:r w:rsidRPr="0081318D">
        <w:rPr>
          <w:rFonts w:ascii="Times New Roman" w:hAnsi="Times New Roman"/>
          <w:bCs/>
          <w:sz w:val="24"/>
          <w:szCs w:val="24"/>
        </w:rPr>
        <w:t xml:space="preserve"> way to cross the street.</w:t>
      </w:r>
      <w:r>
        <w:rPr>
          <w:rFonts w:ascii="Times New Roman" w:hAnsi="Times New Roman"/>
          <w:bCs/>
          <w:sz w:val="24"/>
          <w:szCs w:val="24"/>
        </w:rPr>
        <w:t xml:space="preserve"> </w:t>
      </w:r>
      <w:r w:rsidRPr="00912610">
        <w:rPr>
          <w:rFonts w:ascii="Times New Roman" w:hAnsi="Times New Roman"/>
          <w:bCs/>
          <w:sz w:val="24"/>
          <w:szCs w:val="24"/>
        </w:rPr>
        <w:t>*** At the least, the City has not demonstrated the absence of genuine issues of material fact with respect to whether Sampson-Hall’s operation of the vehicle constituted wanton misconduct for the purposes of R.C. 2744.02(B)(1)(c). That question is one for the jury to decide based on whose version of events is deemed more credible.”</w:t>
      </w:r>
      <w:r w:rsidRPr="007428B7">
        <w:t xml:space="preserve"> </w:t>
      </w:r>
      <w:hyperlink r:id="rId954" w:history="1">
        <w:r w:rsidRPr="00821889">
          <w:rPr>
            <w:rStyle w:val="Hyperlink"/>
            <w:rFonts w:ascii="Times New Roman" w:hAnsi="Times New Roman"/>
            <w:bCs/>
            <w:sz w:val="24"/>
            <w:szCs w:val="24"/>
          </w:rPr>
          <w:t>https://www.supremecourt.ohio.gov/rod/docs/pdf/8/2023/2023-Ohio-4213.pdf</w:t>
        </w:r>
      </w:hyperlink>
      <w:r>
        <w:rPr>
          <w:rFonts w:ascii="Times New Roman" w:hAnsi="Times New Roman"/>
          <w:bCs/>
          <w:sz w:val="24"/>
          <w:szCs w:val="24"/>
        </w:rPr>
        <w:t xml:space="preserve"> </w:t>
      </w:r>
    </w:p>
    <w:p w14:paraId="1090FBD5" w14:textId="77777777" w:rsidR="007B5BD2" w:rsidRDefault="007B5BD2" w:rsidP="007B5BD2">
      <w:pPr>
        <w:pStyle w:val="NoSpacing"/>
        <w:rPr>
          <w:rFonts w:ascii="Times New Roman" w:hAnsi="Times New Roman"/>
          <w:bCs/>
          <w:sz w:val="24"/>
          <w:szCs w:val="24"/>
        </w:rPr>
      </w:pPr>
    </w:p>
    <w:p w14:paraId="2519DD84" w14:textId="77777777" w:rsidR="007B5BD2" w:rsidRDefault="007B5BD2" w:rsidP="007B5BD2">
      <w:pPr>
        <w:pStyle w:val="NoSpacing"/>
        <w:rPr>
          <w:rFonts w:ascii="Times New Roman" w:hAnsi="Times New Roman"/>
          <w:b/>
          <w:sz w:val="24"/>
          <w:szCs w:val="24"/>
        </w:rPr>
      </w:pPr>
      <w:r w:rsidRPr="007428B7">
        <w:rPr>
          <w:rFonts w:ascii="Times New Roman" w:hAnsi="Times New Roman"/>
          <w:b/>
          <w:sz w:val="24"/>
          <w:szCs w:val="24"/>
        </w:rPr>
        <w:t xml:space="preserve">Legal Lesson Learned: </w:t>
      </w:r>
      <w:r>
        <w:rPr>
          <w:rFonts w:ascii="Times New Roman" w:hAnsi="Times New Roman"/>
          <w:b/>
          <w:sz w:val="24"/>
          <w:szCs w:val="24"/>
        </w:rPr>
        <w:t>Jury will now decide if EMS driver conduct was “wanton misconduct.”</w:t>
      </w:r>
    </w:p>
    <w:p w14:paraId="269F6F49" w14:textId="77777777" w:rsidR="007B5BD2" w:rsidRDefault="007B5BD2" w:rsidP="00EF1133">
      <w:pPr>
        <w:rPr>
          <w:rFonts w:ascii="Arial Black" w:hAnsi="Arial Black"/>
          <w:b/>
          <w:sz w:val="24"/>
          <w:szCs w:val="24"/>
        </w:rPr>
      </w:pPr>
    </w:p>
    <w:p w14:paraId="23069079" w14:textId="5CFF4C79" w:rsidR="007B5BD2" w:rsidRDefault="007B5BD2" w:rsidP="00EF1133">
      <w:pPr>
        <w:rPr>
          <w:rFonts w:ascii="Arial Black" w:hAnsi="Arial Black"/>
          <w:b/>
          <w:sz w:val="24"/>
          <w:szCs w:val="24"/>
        </w:rPr>
      </w:pPr>
      <w:r>
        <w:rPr>
          <w:rFonts w:ascii="Arial Black" w:hAnsi="Arial Black"/>
          <w:b/>
          <w:sz w:val="24"/>
          <w:szCs w:val="24"/>
        </w:rPr>
        <w:t>5-3</w:t>
      </w:r>
      <w:r w:rsidR="00964D1B">
        <w:rPr>
          <w:rFonts w:ascii="Arial Black" w:hAnsi="Arial Black"/>
          <w:b/>
          <w:sz w:val="24"/>
          <w:szCs w:val="24"/>
        </w:rPr>
        <w:t>7</w:t>
      </w:r>
    </w:p>
    <w:p w14:paraId="10C981B7" w14:textId="77777777" w:rsidR="009A03D1" w:rsidRDefault="009A03D1" w:rsidP="009A03D1">
      <w:pPr>
        <w:pStyle w:val="NoSpacing"/>
        <w:rPr>
          <w:rFonts w:ascii="Arial Black" w:hAnsi="Arial Black"/>
          <w:b/>
          <w:sz w:val="28"/>
          <w:szCs w:val="28"/>
        </w:rPr>
      </w:pPr>
      <w:r>
        <w:rPr>
          <w:rFonts w:ascii="Arial Black" w:hAnsi="Arial Black"/>
          <w:b/>
          <w:sz w:val="28"/>
          <w:szCs w:val="28"/>
        </w:rPr>
        <w:t>MI: MOTORIST KILLED – PULLED LEFT INTO ENGINE GOING AGAINST TRAFFIC – 44 MPH / 35 MPH ZONE, CASE PROCEED</w:t>
      </w:r>
    </w:p>
    <w:p w14:paraId="1D821323" w14:textId="77777777" w:rsidR="009A03D1" w:rsidRDefault="009A03D1" w:rsidP="009A03D1">
      <w:pPr>
        <w:pStyle w:val="NoSpacing"/>
        <w:rPr>
          <w:rFonts w:ascii="Times New Roman" w:hAnsi="Times New Roman"/>
          <w:bCs/>
          <w:sz w:val="24"/>
          <w:szCs w:val="24"/>
        </w:rPr>
      </w:pPr>
    </w:p>
    <w:p w14:paraId="2224EE66" w14:textId="77777777" w:rsidR="009A03D1" w:rsidRDefault="009A03D1" w:rsidP="009A03D1">
      <w:pPr>
        <w:pStyle w:val="NoSpacing"/>
        <w:rPr>
          <w:rFonts w:ascii="Times New Roman" w:hAnsi="Times New Roman"/>
          <w:bCs/>
          <w:sz w:val="24"/>
          <w:szCs w:val="24"/>
        </w:rPr>
      </w:pPr>
      <w:r>
        <w:rPr>
          <w:rFonts w:ascii="Times New Roman" w:hAnsi="Times New Roman"/>
          <w:bCs/>
          <w:sz w:val="24"/>
          <w:szCs w:val="24"/>
        </w:rPr>
        <w:t xml:space="preserve">On Nov. 21, 2023, in </w:t>
      </w:r>
      <w:r w:rsidRPr="00DA24D6">
        <w:rPr>
          <w:rFonts w:ascii="Times New Roman" w:hAnsi="Times New Roman"/>
          <w:bCs/>
          <w:sz w:val="24"/>
          <w:szCs w:val="24"/>
          <w:u w:val="single"/>
        </w:rPr>
        <w:t>Harold T. Sullivan, Personal Representative of the Estate of India D. Sullivan v. Brett Matthew Stiles and the City of Detroit</w:t>
      </w:r>
      <w:r>
        <w:rPr>
          <w:rFonts w:ascii="Times New Roman" w:hAnsi="Times New Roman"/>
          <w:bCs/>
          <w:sz w:val="24"/>
          <w:szCs w:val="24"/>
        </w:rPr>
        <w:t xml:space="preserve">, the Michigan Court of Appeals held (3 to 0) that trial court improperly dismissed the lawsuit. On a run for a structure fire, because of heavy traffic the first responding engine went into the oncoming lane.  FAO Brett Stiles, driving the second engine a few seconds behind the first, was going about 44 mph in a </w:t>
      </w:r>
      <w:proofErr w:type="gramStart"/>
      <w:r>
        <w:rPr>
          <w:rFonts w:ascii="Times New Roman" w:hAnsi="Times New Roman"/>
          <w:bCs/>
          <w:sz w:val="24"/>
          <w:szCs w:val="24"/>
        </w:rPr>
        <w:t>35 mph</w:t>
      </w:r>
      <w:proofErr w:type="gramEnd"/>
      <w:r>
        <w:rPr>
          <w:rFonts w:ascii="Times New Roman" w:hAnsi="Times New Roman"/>
          <w:bCs/>
          <w:sz w:val="24"/>
          <w:szCs w:val="24"/>
        </w:rPr>
        <w:t xml:space="preserve"> area, also went into the oncoming lane.  The deceased had her left turn signal on and turned left into the second engine. </w:t>
      </w:r>
      <w:hyperlink r:id="rId955" w:history="1">
        <w:r w:rsidRPr="00553FEF">
          <w:rPr>
            <w:rStyle w:val="Hyperlink"/>
            <w:rFonts w:ascii="Times New Roman" w:hAnsi="Times New Roman"/>
            <w:bCs/>
            <w:sz w:val="24"/>
            <w:szCs w:val="24"/>
          </w:rPr>
          <w:t>https://cases.justia.com/michigan/court-of-appeals-unpublished/2023-361624.pdf?ts=1700661618</w:t>
        </w:r>
      </w:hyperlink>
    </w:p>
    <w:p w14:paraId="7F0F03E6" w14:textId="77777777" w:rsidR="007B5BD2" w:rsidRDefault="007B5BD2" w:rsidP="00EF1133">
      <w:pPr>
        <w:rPr>
          <w:rFonts w:ascii="Arial Black" w:hAnsi="Arial Black"/>
          <w:b/>
          <w:sz w:val="24"/>
          <w:szCs w:val="24"/>
        </w:rPr>
      </w:pPr>
    </w:p>
    <w:p w14:paraId="5C1998F8" w14:textId="77777777" w:rsidR="0079584F" w:rsidRPr="00532965" w:rsidRDefault="0079584F" w:rsidP="0079584F">
      <w:pPr>
        <w:pStyle w:val="NoSpacing"/>
        <w:rPr>
          <w:rFonts w:ascii="Times New Roman" w:hAnsi="Times New Roman"/>
          <w:b/>
          <w:sz w:val="24"/>
          <w:szCs w:val="24"/>
        </w:rPr>
      </w:pPr>
      <w:r w:rsidRPr="00532965">
        <w:rPr>
          <w:rFonts w:ascii="Times New Roman" w:hAnsi="Times New Roman"/>
          <w:b/>
          <w:sz w:val="24"/>
          <w:szCs w:val="24"/>
        </w:rPr>
        <w:t xml:space="preserve">Legal Lesson Learned:  </w:t>
      </w:r>
      <w:r>
        <w:rPr>
          <w:rFonts w:ascii="Times New Roman" w:hAnsi="Times New Roman"/>
          <w:b/>
          <w:sz w:val="24"/>
          <w:szCs w:val="24"/>
        </w:rPr>
        <w:t xml:space="preserve">Fire &amp; EMS Departments should have an SOG requiring very reduced speed when traveling in a lane against oncoming traffic. </w:t>
      </w:r>
    </w:p>
    <w:p w14:paraId="0FEEED7D" w14:textId="77777777" w:rsidR="0079584F" w:rsidRDefault="0079584F" w:rsidP="00EF1133">
      <w:pPr>
        <w:rPr>
          <w:rFonts w:ascii="Arial Black" w:hAnsi="Arial Black"/>
          <w:b/>
          <w:sz w:val="24"/>
          <w:szCs w:val="24"/>
        </w:rPr>
      </w:pPr>
    </w:p>
    <w:p w14:paraId="5188441E" w14:textId="79506DCB" w:rsidR="0079584F" w:rsidRDefault="0079584F" w:rsidP="00EF1133">
      <w:pPr>
        <w:rPr>
          <w:rFonts w:ascii="Arial Black" w:hAnsi="Arial Black"/>
          <w:b/>
          <w:sz w:val="24"/>
          <w:szCs w:val="24"/>
        </w:rPr>
      </w:pPr>
      <w:r>
        <w:rPr>
          <w:rFonts w:ascii="Arial Black" w:hAnsi="Arial Black"/>
          <w:b/>
          <w:sz w:val="24"/>
          <w:szCs w:val="24"/>
        </w:rPr>
        <w:t>5-3</w:t>
      </w:r>
      <w:r w:rsidR="00964D1B">
        <w:rPr>
          <w:rFonts w:ascii="Arial Black" w:hAnsi="Arial Black"/>
          <w:b/>
          <w:sz w:val="24"/>
          <w:szCs w:val="24"/>
        </w:rPr>
        <w:t>6</w:t>
      </w:r>
    </w:p>
    <w:p w14:paraId="1CFF973A" w14:textId="77777777" w:rsidR="00D753A8" w:rsidRDefault="00D753A8" w:rsidP="00D753A8">
      <w:pPr>
        <w:pStyle w:val="NoSpacing"/>
        <w:rPr>
          <w:rFonts w:ascii="Arial Black" w:hAnsi="Arial Black"/>
          <w:sz w:val="28"/>
          <w:szCs w:val="28"/>
        </w:rPr>
      </w:pPr>
      <w:r>
        <w:rPr>
          <w:rFonts w:ascii="Arial Black" w:hAnsi="Arial Black"/>
          <w:sz w:val="28"/>
          <w:szCs w:val="28"/>
        </w:rPr>
        <w:t xml:space="preserve">OH: MUTUAL AID – WATER TENDER FROM WV – BACKING, KILLED TWO CIVILIAN - NO BACKING ALARM, NO BACKER </w:t>
      </w:r>
    </w:p>
    <w:p w14:paraId="14593E93" w14:textId="77777777" w:rsidR="00D753A8" w:rsidRDefault="00D753A8" w:rsidP="00D753A8">
      <w:pPr>
        <w:pStyle w:val="NoSpacing"/>
        <w:rPr>
          <w:rFonts w:ascii="Arial Black" w:hAnsi="Arial Black"/>
          <w:sz w:val="28"/>
          <w:szCs w:val="28"/>
        </w:rPr>
      </w:pPr>
    </w:p>
    <w:p w14:paraId="3EC25136" w14:textId="77777777" w:rsidR="00D753A8" w:rsidRDefault="00D753A8" w:rsidP="00D753A8">
      <w:pPr>
        <w:pStyle w:val="NoSpacing"/>
        <w:rPr>
          <w:rFonts w:ascii="Times New Roman" w:hAnsi="Times New Roman"/>
          <w:sz w:val="24"/>
          <w:szCs w:val="24"/>
        </w:rPr>
      </w:pPr>
      <w:r>
        <w:rPr>
          <w:rFonts w:ascii="Times New Roman" w:hAnsi="Times New Roman"/>
          <w:sz w:val="24"/>
          <w:szCs w:val="24"/>
        </w:rPr>
        <w:t xml:space="preserve">On Nov. 14, 2023, in </w:t>
      </w:r>
      <w:r w:rsidRPr="00EC19D2">
        <w:rPr>
          <w:rFonts w:ascii="Times New Roman" w:hAnsi="Times New Roman"/>
          <w:sz w:val="24"/>
          <w:szCs w:val="24"/>
          <w:u w:val="single"/>
        </w:rPr>
        <w:t>Craig W. Wakefield, as the Personal Representative and Administrator of the Estate of William A. Reed, Jr. and Karolyn Reed v. Williamstown Volunteer Fire Company, et al</w:t>
      </w:r>
      <w:r w:rsidRPr="00EC19D2">
        <w:rPr>
          <w:rFonts w:ascii="Times New Roman" w:hAnsi="Times New Roman"/>
          <w:sz w:val="24"/>
          <w:szCs w:val="24"/>
        </w:rPr>
        <w:t xml:space="preserve">., </w:t>
      </w:r>
      <w:r>
        <w:rPr>
          <w:rFonts w:ascii="Times New Roman" w:hAnsi="Times New Roman"/>
          <w:sz w:val="24"/>
          <w:szCs w:val="24"/>
        </w:rPr>
        <w:t xml:space="preserve">Chief U.S. District Court Judge Algenon L. Marbley, U.S. District Court for Southern District of Ohio (Cincinnati), held that defense motion for summary judgment is denied and case will proceed with pre-trial discovery. </w:t>
      </w:r>
      <w:hyperlink r:id="rId956" w:history="1">
        <w:r w:rsidRPr="006F62A4">
          <w:rPr>
            <w:rStyle w:val="Hyperlink"/>
            <w:rFonts w:ascii="Times New Roman" w:hAnsi="Times New Roman"/>
            <w:sz w:val="24"/>
            <w:szCs w:val="24"/>
          </w:rPr>
          <w:t>https://casetext.com/case/wakefield-v-williamstown-volunteer-fire-co</w:t>
        </w:r>
      </w:hyperlink>
      <w:r>
        <w:rPr>
          <w:rFonts w:ascii="Times New Roman" w:hAnsi="Times New Roman"/>
          <w:sz w:val="24"/>
          <w:szCs w:val="24"/>
        </w:rPr>
        <w:t xml:space="preserve"> </w:t>
      </w:r>
    </w:p>
    <w:p w14:paraId="3FB26D38" w14:textId="77777777" w:rsidR="00D753A8" w:rsidRDefault="00D753A8" w:rsidP="00D753A8">
      <w:pPr>
        <w:pStyle w:val="NoSpacing"/>
        <w:rPr>
          <w:rFonts w:ascii="Times New Roman" w:hAnsi="Times New Roman"/>
          <w:sz w:val="24"/>
          <w:szCs w:val="24"/>
        </w:rPr>
      </w:pPr>
    </w:p>
    <w:p w14:paraId="3B14C6B3" w14:textId="77777777" w:rsidR="00D753A8" w:rsidRDefault="00D753A8" w:rsidP="00D753A8">
      <w:pPr>
        <w:pStyle w:val="NoSpacing"/>
        <w:rPr>
          <w:rFonts w:ascii="Times New Roman" w:hAnsi="Times New Roman"/>
          <w:sz w:val="24"/>
          <w:szCs w:val="24"/>
        </w:rPr>
      </w:pPr>
    </w:p>
    <w:p w14:paraId="4B1F9147" w14:textId="77777777" w:rsidR="00964D1B" w:rsidRPr="000760A1" w:rsidRDefault="00964D1B" w:rsidP="00964D1B">
      <w:pPr>
        <w:pStyle w:val="NoSpacing"/>
        <w:rPr>
          <w:rFonts w:ascii="Times New Roman" w:hAnsi="Times New Roman"/>
          <w:b/>
          <w:bCs/>
          <w:sz w:val="24"/>
          <w:szCs w:val="24"/>
        </w:rPr>
      </w:pPr>
      <w:r w:rsidRPr="000760A1">
        <w:rPr>
          <w:rFonts w:ascii="Times New Roman" w:hAnsi="Times New Roman"/>
          <w:b/>
          <w:bCs/>
          <w:sz w:val="24"/>
          <w:szCs w:val="24"/>
        </w:rPr>
        <w:t>Legal Lesson Learned:</w:t>
      </w:r>
      <w:r>
        <w:rPr>
          <w:rFonts w:ascii="Times New Roman" w:hAnsi="Times New Roman"/>
          <w:b/>
          <w:bCs/>
          <w:sz w:val="24"/>
          <w:szCs w:val="24"/>
        </w:rPr>
        <w:t xml:space="preserve">  When backing an emergency vehicle, have a backer; tankers  should have a backing alarm; keep mutual aid agreement current. </w:t>
      </w:r>
    </w:p>
    <w:p w14:paraId="15151C40" w14:textId="77777777" w:rsidR="00964D1B" w:rsidRDefault="00964D1B" w:rsidP="00964D1B">
      <w:pPr>
        <w:pStyle w:val="Heading1"/>
        <w:ind w:left="720"/>
        <w:rPr>
          <w:b w:val="0"/>
          <w:bCs w:val="0"/>
          <w:sz w:val="24"/>
          <w:szCs w:val="24"/>
        </w:rPr>
      </w:pPr>
      <w:r w:rsidRPr="00315F60">
        <w:rPr>
          <w:b w:val="0"/>
          <w:bCs w:val="0"/>
          <w:sz w:val="24"/>
          <w:szCs w:val="24"/>
        </w:rPr>
        <w:t xml:space="preserve">Note: See Ohio Administrative Code: Rule 4123:1-3-06 </w:t>
      </w:r>
      <w:r w:rsidRPr="00315F60">
        <w:rPr>
          <w:rStyle w:val="codes-separator"/>
          <w:rFonts w:eastAsiaTheme="majorEastAsia"/>
          <w:b w:val="0"/>
          <w:bCs w:val="0"/>
          <w:sz w:val="24"/>
          <w:szCs w:val="24"/>
        </w:rPr>
        <w:t>|</w:t>
      </w:r>
      <w:r w:rsidRPr="00315F60">
        <w:rPr>
          <w:b w:val="0"/>
          <w:bCs w:val="0"/>
          <w:sz w:val="24"/>
          <w:szCs w:val="24"/>
        </w:rPr>
        <w:t xml:space="preserve"> Motor vehicles, mechanized equipment and marine operations. </w:t>
      </w:r>
      <w:hyperlink r:id="rId957" w:history="1">
        <w:r w:rsidRPr="00315F60">
          <w:rPr>
            <w:rStyle w:val="Hyperlink"/>
            <w:b w:val="0"/>
            <w:bCs w:val="0"/>
            <w:sz w:val="24"/>
            <w:szCs w:val="24"/>
          </w:rPr>
          <w:t>https://codes.ohio.gov/ohio-administrative-code/rule-4123:1-3-06</w:t>
        </w:r>
      </w:hyperlink>
      <w:r w:rsidRPr="00315F60">
        <w:rPr>
          <w:b w:val="0"/>
          <w:bCs w:val="0"/>
          <w:sz w:val="24"/>
          <w:szCs w:val="24"/>
        </w:rPr>
        <w:t xml:space="preserve"> </w:t>
      </w:r>
    </w:p>
    <w:p w14:paraId="65E9735A" w14:textId="77777777" w:rsidR="00964D1B" w:rsidRDefault="00964D1B" w:rsidP="00964D1B">
      <w:pPr>
        <w:pStyle w:val="first-paragraph"/>
        <w:ind w:firstLine="720"/>
      </w:pPr>
      <w:r>
        <w:t>(D) Motor vehicles.</w:t>
      </w:r>
    </w:p>
    <w:p w14:paraId="47FB3510" w14:textId="77777777" w:rsidR="00964D1B" w:rsidRDefault="00964D1B" w:rsidP="00964D1B">
      <w:pPr>
        <w:pStyle w:val="first-paragraph"/>
        <w:ind w:left="720"/>
      </w:pPr>
      <w:r>
        <w:t>(1) All trucks shall be equipped with an audible warning device, in an operable condition, at the operator's station.</w:t>
      </w:r>
    </w:p>
    <w:p w14:paraId="0B2F79D6" w14:textId="77777777" w:rsidR="00964D1B" w:rsidRDefault="00964D1B" w:rsidP="00964D1B">
      <w:pPr>
        <w:pStyle w:val="first-paragraph"/>
        <w:ind w:firstLine="720"/>
      </w:pPr>
      <w:r>
        <w:t>(2) On mobile equipment having an obstructed view to the rear, the employer shall:</w:t>
      </w:r>
    </w:p>
    <w:p w14:paraId="3761C41C" w14:textId="77777777" w:rsidR="00964D1B" w:rsidRDefault="00964D1B" w:rsidP="00964D1B">
      <w:pPr>
        <w:pStyle w:val="first-paragraph"/>
        <w:ind w:firstLine="720"/>
      </w:pPr>
      <w:r>
        <w:t>(a) Provide a reverse signal alarm audible above the surrounding noise, or</w:t>
      </w:r>
    </w:p>
    <w:p w14:paraId="3CAD36F2" w14:textId="77777777" w:rsidR="00964D1B" w:rsidRDefault="00964D1B" w:rsidP="00964D1B">
      <w:pPr>
        <w:pStyle w:val="first-paragraph"/>
        <w:ind w:firstLine="720"/>
      </w:pPr>
      <w:r>
        <w:t>(b) Provide an observer to signal the assured clear distance.</w:t>
      </w:r>
    </w:p>
    <w:p w14:paraId="497D40C2" w14:textId="77777777" w:rsidR="0079584F" w:rsidRDefault="0079584F" w:rsidP="00EF1133">
      <w:pPr>
        <w:rPr>
          <w:rFonts w:ascii="Arial Black" w:hAnsi="Arial Black"/>
          <w:b/>
          <w:sz w:val="24"/>
          <w:szCs w:val="24"/>
        </w:rPr>
      </w:pPr>
    </w:p>
    <w:p w14:paraId="1B2955ED" w14:textId="0808348A" w:rsidR="00964D1B" w:rsidRDefault="00964D1B" w:rsidP="00EF1133">
      <w:pPr>
        <w:rPr>
          <w:rFonts w:ascii="Arial Black" w:hAnsi="Arial Black"/>
          <w:b/>
          <w:sz w:val="24"/>
          <w:szCs w:val="24"/>
        </w:rPr>
      </w:pPr>
      <w:r>
        <w:rPr>
          <w:rFonts w:ascii="Arial Black" w:hAnsi="Arial Black"/>
          <w:b/>
          <w:sz w:val="24"/>
          <w:szCs w:val="24"/>
        </w:rPr>
        <w:t>5-35</w:t>
      </w:r>
    </w:p>
    <w:p w14:paraId="50AFD306" w14:textId="77777777" w:rsidR="00C61041" w:rsidRPr="007C21B5" w:rsidRDefault="00C61041" w:rsidP="00C61041">
      <w:pPr>
        <w:rPr>
          <w:rFonts w:ascii="Arial Black" w:hAnsi="Arial Black"/>
          <w:b/>
          <w:bCs/>
          <w:sz w:val="28"/>
          <w:szCs w:val="28"/>
        </w:rPr>
      </w:pPr>
      <w:r>
        <w:rPr>
          <w:rFonts w:ascii="Arial Black" w:hAnsi="Arial Black"/>
          <w:b/>
          <w:bCs/>
          <w:sz w:val="28"/>
          <w:szCs w:val="28"/>
        </w:rPr>
        <w:t xml:space="preserve">TX: HOUSTON ROCKETS NBA PLAYER DRIVING FD HIGH-WATER VEHICLE - 3-DAY SUSPENSION – NO REHEARING </w:t>
      </w:r>
    </w:p>
    <w:p w14:paraId="043F7C01" w14:textId="77777777" w:rsidR="00C61041" w:rsidRDefault="00C61041" w:rsidP="00C61041">
      <w:pPr>
        <w:rPr>
          <w:rFonts w:ascii="Times New Roman" w:hAnsi="Times New Roman"/>
          <w:sz w:val="24"/>
          <w:szCs w:val="24"/>
        </w:rPr>
      </w:pPr>
      <w:r>
        <w:rPr>
          <w:rFonts w:ascii="Times New Roman" w:hAnsi="Times New Roman"/>
          <w:sz w:val="24"/>
          <w:szCs w:val="24"/>
        </w:rPr>
        <w:t xml:space="preserve">On Nov. 7, 2023, in </w:t>
      </w:r>
      <w:r w:rsidRPr="00D636AD">
        <w:rPr>
          <w:rFonts w:ascii="Times New Roman" w:hAnsi="Times New Roman"/>
          <w:sz w:val="24"/>
          <w:szCs w:val="24"/>
          <w:u w:val="single"/>
        </w:rPr>
        <w:t>City of Houston v. Steven M. Dubar</w:t>
      </w:r>
      <w:r>
        <w:rPr>
          <w:rFonts w:ascii="Times New Roman" w:hAnsi="Times New Roman"/>
          <w:sz w:val="24"/>
          <w:szCs w:val="24"/>
        </w:rPr>
        <w:t xml:space="preserve">, the Texas Fourteenth Court of Appeals denied the motion for rehearing (2 to 1) by District Chief Steven Dunbar, who received a three-day suspension for not submitting an official report about Houston Rockets personnel on board the FD’s High-Water Vehicle with a Rockets player driving the vehicle with lights and sirens activated. Dissenting Justice </w:t>
      </w:r>
      <w:r w:rsidRPr="008C7BAB">
        <w:rPr>
          <w:rFonts w:ascii="Times New Roman" w:hAnsi="Times New Roman"/>
          <w:sz w:val="24"/>
          <w:szCs w:val="24"/>
        </w:rPr>
        <w:t>Jerry Zimmerer</w:t>
      </w:r>
      <w:r>
        <w:rPr>
          <w:rFonts w:ascii="Times New Roman" w:hAnsi="Times New Roman"/>
          <w:sz w:val="24"/>
          <w:szCs w:val="24"/>
        </w:rPr>
        <w:t xml:space="preserve"> again wrote that he would give Chief Dubar another hearing. </w:t>
      </w:r>
      <w:hyperlink r:id="rId958" w:history="1">
        <w:r w:rsidRPr="007522CE">
          <w:rPr>
            <w:rStyle w:val="Hyperlink"/>
            <w:rFonts w:ascii="Times New Roman" w:hAnsi="Times New Roman"/>
            <w:sz w:val="24"/>
            <w:szCs w:val="24"/>
          </w:rPr>
          <w:t>https://search.txcourts.gov/SearchMedia.aspx?MediaVersionID=ce66bb80-60c8-4a68-9e10-0d461411b53e&amp;coa=coa14&amp;DT=Opinion&amp;MediaID=4a32394c-a506-4577-9679-e2747d0b06c4</w:t>
        </w:r>
      </w:hyperlink>
      <w:r w:rsidRPr="007522CE">
        <w:rPr>
          <w:rFonts w:ascii="Times New Roman" w:hAnsi="Times New Roman"/>
          <w:sz w:val="24"/>
          <w:szCs w:val="24"/>
        </w:rPr>
        <w:t xml:space="preserve"> </w:t>
      </w:r>
    </w:p>
    <w:p w14:paraId="3B6E0CBF" w14:textId="77777777" w:rsidR="000516E6" w:rsidRDefault="000516E6" w:rsidP="000516E6">
      <w:pPr>
        <w:rPr>
          <w:rFonts w:ascii="Times New Roman" w:hAnsi="Times New Roman"/>
          <w:b/>
          <w:bCs/>
          <w:sz w:val="24"/>
          <w:szCs w:val="24"/>
        </w:rPr>
      </w:pPr>
      <w:r w:rsidRPr="00A33895">
        <w:rPr>
          <w:rFonts w:ascii="Times New Roman" w:hAnsi="Times New Roman"/>
          <w:b/>
          <w:bCs/>
          <w:sz w:val="24"/>
          <w:szCs w:val="24"/>
        </w:rPr>
        <w:t>Legal Lesson Learned:</w:t>
      </w:r>
      <w:r>
        <w:rPr>
          <w:rFonts w:ascii="Times New Roman" w:hAnsi="Times New Roman"/>
          <w:b/>
          <w:bCs/>
          <w:sz w:val="24"/>
          <w:szCs w:val="24"/>
        </w:rPr>
        <w:t xml:space="preserve"> When sports team members or other civilians are on fire apparatus, </w:t>
      </w:r>
      <w:proofErr w:type="gramStart"/>
      <w:r>
        <w:rPr>
          <w:rFonts w:ascii="Times New Roman" w:hAnsi="Times New Roman"/>
          <w:b/>
          <w:bCs/>
          <w:sz w:val="24"/>
          <w:szCs w:val="24"/>
        </w:rPr>
        <w:t>a FD</w:t>
      </w:r>
      <w:proofErr w:type="gramEnd"/>
      <w:r>
        <w:rPr>
          <w:rFonts w:ascii="Times New Roman" w:hAnsi="Times New Roman"/>
          <w:b/>
          <w:bCs/>
          <w:sz w:val="24"/>
          <w:szCs w:val="24"/>
        </w:rPr>
        <w:t xml:space="preserve"> member must always be in control of the vehicle. </w:t>
      </w:r>
    </w:p>
    <w:p w14:paraId="3420281E" w14:textId="77777777" w:rsidR="00C61041" w:rsidRDefault="00C61041" w:rsidP="00EF1133">
      <w:pPr>
        <w:rPr>
          <w:rFonts w:ascii="Arial Black" w:hAnsi="Arial Black"/>
          <w:b/>
          <w:sz w:val="24"/>
          <w:szCs w:val="24"/>
        </w:rPr>
      </w:pPr>
    </w:p>
    <w:p w14:paraId="52295C33" w14:textId="77777777" w:rsidR="007B5BD2" w:rsidRDefault="007B5BD2" w:rsidP="00EF1133">
      <w:pPr>
        <w:rPr>
          <w:rFonts w:ascii="Arial Black" w:hAnsi="Arial Black"/>
          <w:b/>
          <w:sz w:val="24"/>
          <w:szCs w:val="24"/>
        </w:rPr>
      </w:pPr>
    </w:p>
    <w:p w14:paraId="27E45B02" w14:textId="4DE12A87" w:rsidR="00BB49C5" w:rsidRDefault="00BB49C5" w:rsidP="00EF1133">
      <w:pPr>
        <w:rPr>
          <w:rFonts w:ascii="Arial Black" w:hAnsi="Arial Black"/>
          <w:b/>
          <w:sz w:val="24"/>
          <w:szCs w:val="24"/>
        </w:rPr>
      </w:pPr>
      <w:r>
        <w:rPr>
          <w:rFonts w:ascii="Arial Black" w:hAnsi="Arial Black"/>
          <w:b/>
          <w:sz w:val="24"/>
          <w:szCs w:val="24"/>
        </w:rPr>
        <w:t>5-3</w:t>
      </w:r>
      <w:r w:rsidR="00A65FD8">
        <w:rPr>
          <w:rFonts w:ascii="Arial Black" w:hAnsi="Arial Black"/>
          <w:b/>
          <w:sz w:val="24"/>
          <w:szCs w:val="24"/>
        </w:rPr>
        <w:t>4</w:t>
      </w:r>
    </w:p>
    <w:p w14:paraId="565594C0" w14:textId="77777777" w:rsidR="00BB49C5" w:rsidRPr="006B2512" w:rsidRDefault="00BB49C5" w:rsidP="00BB49C5">
      <w:pPr>
        <w:pStyle w:val="NormalWeb"/>
        <w:rPr>
          <w:rFonts w:ascii="Arial Black" w:hAnsi="Arial Black"/>
          <w:b/>
          <w:bCs/>
          <w:sz w:val="28"/>
          <w:szCs w:val="28"/>
        </w:rPr>
      </w:pPr>
      <w:r>
        <w:rPr>
          <w:rFonts w:ascii="Arial Black" w:hAnsi="Arial Black"/>
          <w:b/>
          <w:bCs/>
          <w:sz w:val="28"/>
          <w:szCs w:val="28"/>
        </w:rPr>
        <w:t>NJ: FIRE TRUCK SHIFTED INTO GEAR DURING TRAINING – DRIVERLESS TRUCK STRUCK BUILDING – INJURED PERSON</w:t>
      </w:r>
    </w:p>
    <w:p w14:paraId="2C387B58" w14:textId="77777777" w:rsidR="00BB49C5" w:rsidRDefault="00BB49C5" w:rsidP="00BB49C5">
      <w:pPr>
        <w:pStyle w:val="NormalWeb"/>
      </w:pPr>
      <w:r>
        <w:t xml:space="preserve">On Oct. 27, 2023, in </w:t>
      </w:r>
      <w:r w:rsidRPr="0089423C">
        <w:rPr>
          <w:u w:val="single"/>
        </w:rPr>
        <w:t xml:space="preserve">Berta Abreu Flores v. North Hudson Regional Fire </w:t>
      </w:r>
      <w:proofErr w:type="gramStart"/>
      <w:r w:rsidRPr="0089423C">
        <w:rPr>
          <w:u w:val="single"/>
        </w:rPr>
        <w:t>And</w:t>
      </w:r>
      <w:proofErr w:type="gramEnd"/>
      <w:r w:rsidRPr="0089423C">
        <w:rPr>
          <w:u w:val="single"/>
        </w:rPr>
        <w:t xml:space="preserve"> Rescue, et al</w:t>
      </w:r>
      <w:r>
        <w:t xml:space="preserve">., the Superior Court of New Jersey, Appellate Division, held (3 to 0), reversed trial court and held that under NJ law the injured person may proceed with claim for continuing medical </w:t>
      </w:r>
      <w:proofErr w:type="gramStart"/>
      <w:r>
        <w:t>issue</w:t>
      </w:r>
      <w:proofErr w:type="gramEnd"/>
      <w:r>
        <w:t xml:space="preserve"> regarding loss of balance. The Court described the incident. “On March 29, 2018, a fire engine owned by defendant North Hudson Regional Fire and Rescue accidently shifted into drive during a training exercise at a fire station in Union City. Driverless, the fire engine crossed the road and struck the front of a residence opposite the firehouse. The impact damaged the building's support columns. Plaintiff Berta Abreu Flores, a sixty-five-year-old woman who had been working on the first floor of the building, was injured by the collision.” </w:t>
      </w:r>
      <w:hyperlink r:id="rId959" w:history="1">
        <w:r w:rsidRPr="0097451D">
          <w:rPr>
            <w:rStyle w:val="Hyperlink"/>
            <w:rFonts w:eastAsiaTheme="majorEastAsia"/>
          </w:rPr>
          <w:t>https://www.njcourts.gov/system/files/court-opinions/2023/a0009-22.pdf</w:t>
        </w:r>
      </w:hyperlink>
      <w:r>
        <w:t xml:space="preserve"> </w:t>
      </w:r>
    </w:p>
    <w:p w14:paraId="1C86170A" w14:textId="77777777" w:rsidR="00A65FD8" w:rsidRDefault="00A65FD8" w:rsidP="00A65FD8">
      <w:pPr>
        <w:pStyle w:val="NormalWeb"/>
        <w:rPr>
          <w:b/>
          <w:bCs/>
        </w:rPr>
      </w:pPr>
      <w:bookmarkStart w:id="195" w:name="_Hlk149717414"/>
      <w:r w:rsidRPr="0089423C">
        <w:rPr>
          <w:b/>
          <w:bCs/>
        </w:rPr>
        <w:t>Legal Lesson Learned:</w:t>
      </w:r>
      <w:r>
        <w:rPr>
          <w:b/>
          <w:bCs/>
        </w:rPr>
        <w:t xml:space="preserve"> New drivers and experienced Fire Apparatus Operators [FAOs] must always set the brake when a fire vehicle is parked.  Tire chocks should also be used when vehicle is parked. </w:t>
      </w:r>
    </w:p>
    <w:p w14:paraId="3B189D0A" w14:textId="77777777" w:rsidR="00A65FD8" w:rsidRDefault="00A65FD8" w:rsidP="00A65FD8">
      <w:pPr>
        <w:pStyle w:val="NormalWeb"/>
        <w:rPr>
          <w:b/>
          <w:bCs/>
        </w:rPr>
      </w:pPr>
    </w:p>
    <w:p w14:paraId="3EF86AA3" w14:textId="7595CA3F" w:rsidR="00A65FD8" w:rsidRDefault="00A65FD8" w:rsidP="00A65FD8">
      <w:pPr>
        <w:pStyle w:val="NormalWeb"/>
        <w:rPr>
          <w:b/>
          <w:bCs/>
        </w:rPr>
      </w:pPr>
      <w:r>
        <w:rPr>
          <w:b/>
          <w:bCs/>
        </w:rPr>
        <w:t>5-33</w:t>
      </w:r>
    </w:p>
    <w:p w14:paraId="4D37A177" w14:textId="77777777" w:rsidR="00A65FD8" w:rsidRPr="001578E0" w:rsidRDefault="00A65FD8" w:rsidP="00A65FD8">
      <w:pPr>
        <w:pStyle w:val="NormalWeb"/>
        <w:rPr>
          <w:rFonts w:ascii="Arial Black" w:hAnsi="Arial Black"/>
          <w:sz w:val="28"/>
          <w:szCs w:val="28"/>
        </w:rPr>
      </w:pPr>
      <w:r>
        <w:rPr>
          <w:rFonts w:ascii="Arial Black" w:hAnsi="Arial Black"/>
          <w:sz w:val="28"/>
          <w:szCs w:val="28"/>
        </w:rPr>
        <w:t>GA: SPEEDING MOTORIST RUNS INTO FIRE ENGINE – BUT MOTORIST EXPERT FF SHOULD SEEN HIM – CASE PROCEED</w:t>
      </w:r>
    </w:p>
    <w:p w14:paraId="73BCBA6E" w14:textId="77777777" w:rsidR="00A65FD8" w:rsidRPr="00CF75EB" w:rsidRDefault="00A65FD8" w:rsidP="00A65FD8">
      <w:pPr>
        <w:pStyle w:val="NormalWeb"/>
      </w:pPr>
      <w:r>
        <w:t xml:space="preserve">On Oct. 18, 2023, in </w:t>
      </w:r>
      <w:r w:rsidRPr="001578E0">
        <w:rPr>
          <w:u w:val="single"/>
        </w:rPr>
        <w:t>Chandler v. City of Lafayette</w:t>
      </w:r>
      <w:r>
        <w:t>, the Court of Appeals of Georgia held (3 to 0) that trial court improperly granted summary judgment to the City. The Court held:  “Because there is some evidence to show that the accident still would have occurred despite Chandler’s speeding and that both [</w:t>
      </w:r>
      <w:r w:rsidRPr="001578E0">
        <w:t>James Lamar</w:t>
      </w:r>
      <w:r>
        <w:t xml:space="preserve">] Chandler and [firefighter] Dennison should have been able to see each other before the collision, we conclude that genuine issues of material fact remain as to whether Dennison proximately caused Chandler’s injuries, and thus the trial court erred by granting summary judgment to the City.*** Moreover, Chandler’s expert testified that Dennison should have waited at the intersection or ensured that Chandler acknowledged his presence, and that Dennison failed to observe Chandler’s vehicle at the intersection. Because there is conflicting evidence as to whether Dennison slowed down as was necessary before proceeding past the red light and entering the intersection, genuine issues of material fact remain as to the City’s affirmative defense, and the trial court therefore erred to the extent that it granted summary judgment on this basis.” </w:t>
      </w:r>
      <w:hyperlink r:id="rId960" w:history="1">
        <w:r w:rsidRPr="00DC791D">
          <w:rPr>
            <w:rStyle w:val="Hyperlink"/>
            <w:rFonts w:eastAsiaTheme="majorEastAsia"/>
          </w:rPr>
          <w:t>https://cases.justia.com/georgia/court-of-appeals/2023-a23a1037.pdf?ts=1697652631</w:t>
        </w:r>
      </w:hyperlink>
      <w:r>
        <w:t xml:space="preserve"> </w:t>
      </w:r>
    </w:p>
    <w:p w14:paraId="7B31E113" w14:textId="77777777" w:rsidR="00A65FD8" w:rsidRDefault="00A65FD8" w:rsidP="00A65FD8">
      <w:pPr>
        <w:pStyle w:val="NormalWeb"/>
        <w:rPr>
          <w:b/>
          <w:bCs/>
        </w:rPr>
      </w:pPr>
      <w:r w:rsidRPr="00585D35">
        <w:rPr>
          <w:b/>
          <w:bCs/>
        </w:rPr>
        <w:t xml:space="preserve">Legal Lesson Learned: </w:t>
      </w:r>
      <w:r>
        <w:rPr>
          <w:b/>
          <w:bCs/>
        </w:rPr>
        <w:t xml:space="preserve">This case appears to be a “battle of the experts.” Some fire departments have adopted a “full stop” policy if entering against a red light, to avoid this type of litigation.  </w:t>
      </w:r>
    </w:p>
    <w:p w14:paraId="62E0CBF3" w14:textId="77777777" w:rsidR="00A65FD8" w:rsidRDefault="00A65FD8" w:rsidP="00A65FD8">
      <w:pPr>
        <w:pStyle w:val="NormalWeb"/>
        <w:rPr>
          <w:b/>
          <w:bCs/>
        </w:rPr>
      </w:pPr>
    </w:p>
    <w:bookmarkEnd w:id="195"/>
    <w:p w14:paraId="5B89F3AA" w14:textId="77777777" w:rsidR="00BB49C5" w:rsidRDefault="00BB49C5" w:rsidP="00EF1133">
      <w:pPr>
        <w:rPr>
          <w:rFonts w:ascii="Arial Black" w:hAnsi="Arial Black"/>
          <w:b/>
          <w:sz w:val="24"/>
          <w:szCs w:val="24"/>
        </w:rPr>
      </w:pPr>
    </w:p>
    <w:p w14:paraId="2FCE7B72" w14:textId="77777777" w:rsidR="00BB49C5" w:rsidRDefault="00BB49C5" w:rsidP="00EF1133">
      <w:pPr>
        <w:rPr>
          <w:rFonts w:ascii="Arial Black" w:hAnsi="Arial Black"/>
          <w:b/>
          <w:sz w:val="24"/>
          <w:szCs w:val="24"/>
        </w:rPr>
      </w:pPr>
    </w:p>
    <w:p w14:paraId="00FBA9D7" w14:textId="7E842D65" w:rsidR="009B0593" w:rsidRDefault="009B0593" w:rsidP="00EF1133">
      <w:pPr>
        <w:rPr>
          <w:rFonts w:ascii="Arial Black" w:hAnsi="Arial Black"/>
          <w:b/>
          <w:sz w:val="24"/>
          <w:szCs w:val="24"/>
        </w:rPr>
      </w:pPr>
      <w:r>
        <w:rPr>
          <w:rFonts w:ascii="Arial Black" w:hAnsi="Arial Black"/>
          <w:b/>
          <w:sz w:val="24"/>
          <w:szCs w:val="24"/>
        </w:rPr>
        <w:t>5-32</w:t>
      </w:r>
    </w:p>
    <w:p w14:paraId="3FAE011C" w14:textId="77777777" w:rsidR="009B0593" w:rsidRDefault="009B0593" w:rsidP="009B0593">
      <w:pPr>
        <w:pStyle w:val="NormalWeb"/>
        <w:rPr>
          <w:rFonts w:ascii="Arial Black" w:hAnsi="Arial Black"/>
          <w:b/>
          <w:bCs/>
          <w:sz w:val="28"/>
          <w:szCs w:val="28"/>
        </w:rPr>
      </w:pPr>
      <w:r>
        <w:rPr>
          <w:rFonts w:ascii="Arial Black" w:hAnsi="Arial Black"/>
          <w:b/>
          <w:bCs/>
          <w:sz w:val="28"/>
          <w:szCs w:val="28"/>
        </w:rPr>
        <w:t xml:space="preserve">TX: EMER. RUN – HEAVY TRAFFIC - BACKING UP ENGINE SIDE-SWIPED SUV – OFFICIAL IMMUNITY FOR FF &amp; CITY </w:t>
      </w:r>
    </w:p>
    <w:p w14:paraId="116D65DE" w14:textId="77777777" w:rsidR="009B0593" w:rsidRPr="001E2B05" w:rsidRDefault="009B0593" w:rsidP="009B0593">
      <w:pPr>
        <w:pStyle w:val="NormalWeb"/>
      </w:pPr>
      <w:r w:rsidRPr="001E2B05">
        <w:t xml:space="preserve">On Aug. 22, 2023, in </w:t>
      </w:r>
      <w:r w:rsidRPr="001E2B05">
        <w:rPr>
          <w:u w:val="single"/>
        </w:rPr>
        <w:t>City of Houston v. Emmitt Wilson</w:t>
      </w:r>
      <w:r>
        <w:t xml:space="preserve">, the Court of Appeals of Texas, Fourteenth District, reversed the </w:t>
      </w:r>
      <w:proofErr w:type="gramStart"/>
      <w:r>
        <w:t>trial court judge</w:t>
      </w:r>
      <w:proofErr w:type="gramEnd"/>
      <w:r>
        <w:t xml:space="preserve"> and ordered the lawsuit dismissed. The firefighters were responding to an accident with 18-wheeler and a sedan, and because of heavy traffic the engine had to slowly back up with a spotter on passenger side.  The engine side-swiped Mr. Wilson’s vehicle when he suddenly stopped backing up.  </w:t>
      </w:r>
    </w:p>
    <w:p w14:paraId="2CE9AF32" w14:textId="77777777" w:rsidR="009B0593" w:rsidRDefault="009B0593" w:rsidP="009B0593">
      <w:pPr>
        <w:pStyle w:val="NormalWeb"/>
        <w:ind w:firstLine="720"/>
      </w:pPr>
      <w:r w:rsidRPr="001919F6">
        <w:t xml:space="preserve">The Court held: </w:t>
      </w:r>
    </w:p>
    <w:p w14:paraId="1BF2D7D3" w14:textId="77777777" w:rsidR="009B0593" w:rsidRDefault="009B0593" w:rsidP="009B0593">
      <w:pPr>
        <w:pStyle w:val="NormalWeb"/>
        <w:ind w:left="720" w:firstLine="60"/>
      </w:pPr>
      <w:r>
        <w:t>“[Firefighter Jason] Carroll testified that when he determined he would need to back up on Wayside, he used his individual judgment to leave his emergency lights engaged but disengaged the siren so that he could hear his spotter's radio transmissions. Carroll also explained that his back up signals would sound. Wilson did not dispute that these alarms were operating at the time of the accident and admits that ‘Mr. Carroll and all the [City's] agents were responding to an emergency’ at the time of the accident.</w:t>
      </w:r>
    </w:p>
    <w:p w14:paraId="4E4E7824" w14:textId="77777777" w:rsidR="009B0593" w:rsidRDefault="009B0593" w:rsidP="009B0593">
      <w:pPr>
        <w:pStyle w:val="NormalWeb"/>
        <w:ind w:left="720" w:firstLine="60"/>
      </w:pPr>
      <w:r>
        <w:t>***</w:t>
      </w:r>
    </w:p>
    <w:p w14:paraId="3363E9A6" w14:textId="77777777" w:rsidR="009B0593" w:rsidRDefault="009B0593" w:rsidP="009B0593">
      <w:pPr>
        <w:pStyle w:val="NormalWeb"/>
        <w:ind w:left="720" w:firstLine="60"/>
        <w:rPr>
          <w:rFonts w:eastAsiaTheme="minorHAnsi"/>
          <w:kern w:val="2"/>
          <w14:ligatures w14:val="standardContextual"/>
        </w:rPr>
      </w:pPr>
      <w:r w:rsidRPr="001919F6">
        <w:rPr>
          <w:rFonts w:eastAsiaTheme="minorHAnsi"/>
          <w:kern w:val="2"/>
          <w14:ligatures w14:val="standardContextual"/>
        </w:rPr>
        <w:t xml:space="preserve">Because the evidence was uncontroverted that Carrol was operating Engine 43 in the course of an emergency response to a vehicle accident, and Carroll's affidavit illustrates the various decisions he made in the course of driving Engine 43 leading up to the collision-including determining the proper route to the accident, whether to keep the emergency siren and lights engaged while backing up, whether and how many spotters he should have while performing the reverse maneuver-we conclude that the Carrol was performing </w:t>
      </w:r>
      <w:r w:rsidRPr="001919F6">
        <w:rPr>
          <w:rFonts w:eastAsiaTheme="minorHAnsi"/>
          <w:i/>
          <w:iCs/>
          <w:kern w:val="2"/>
          <w14:ligatures w14:val="standardContextual"/>
        </w:rPr>
        <w:t>discretionary duties</w:t>
      </w:r>
      <w:r w:rsidRPr="001919F6">
        <w:rPr>
          <w:rFonts w:eastAsiaTheme="minorHAnsi"/>
          <w:kern w:val="2"/>
          <w14:ligatures w14:val="standardContextual"/>
        </w:rPr>
        <w:t xml:space="preserve"> at the time of the incident. </w:t>
      </w:r>
      <w:r w:rsidRPr="001919F6">
        <w:rPr>
          <w:rFonts w:eastAsiaTheme="minorHAnsi"/>
          <w:i/>
          <w:iCs/>
          <w:kern w:val="2"/>
          <w14:ligatures w14:val="standardContextual"/>
        </w:rPr>
        <w:t>See id</w:t>
      </w:r>
      <w:r w:rsidRPr="001919F6">
        <w:rPr>
          <w:rFonts w:eastAsiaTheme="minorHAnsi"/>
          <w:kern w:val="2"/>
          <w14:ligatures w14:val="standardContextual"/>
        </w:rPr>
        <w:t xml:space="preserve">. Thus, to the extent the trial court's denial of summary judgment was based on a finding that the City failed to conclusively establish that Carrol's acts were discretionary duties at the time of the collision, such </w:t>
      </w:r>
      <w:proofErr w:type="gramStart"/>
      <w:r w:rsidRPr="001919F6">
        <w:rPr>
          <w:rFonts w:eastAsiaTheme="minorHAnsi"/>
          <w:kern w:val="2"/>
          <w14:ligatures w14:val="standardContextual"/>
        </w:rPr>
        <w:t>finding was</w:t>
      </w:r>
      <w:proofErr w:type="gramEnd"/>
      <w:r w:rsidRPr="001919F6">
        <w:rPr>
          <w:rFonts w:eastAsiaTheme="minorHAnsi"/>
          <w:kern w:val="2"/>
          <w14:ligatures w14:val="standardContextual"/>
        </w:rPr>
        <w:t xml:space="preserve"> erroneous. We next consider the trial court's implicit finding that the City failed to conclusively establish that Carrol was acting in good faith at the time of the incident.</w:t>
      </w:r>
    </w:p>
    <w:p w14:paraId="1B0766B7" w14:textId="77777777" w:rsidR="009B0593" w:rsidRDefault="009B0593" w:rsidP="009B0593">
      <w:pPr>
        <w:pStyle w:val="NormalWeb"/>
        <w:ind w:left="720" w:firstLine="60"/>
        <w:rPr>
          <w:rFonts w:eastAsiaTheme="minorHAnsi"/>
          <w:kern w:val="2"/>
          <w14:ligatures w14:val="standardContextual"/>
        </w:rPr>
      </w:pPr>
      <w:r>
        <w:rPr>
          <w:rFonts w:eastAsiaTheme="minorHAnsi"/>
          <w:kern w:val="2"/>
          <w14:ligatures w14:val="standardContextual"/>
        </w:rPr>
        <w:t>***</w:t>
      </w:r>
    </w:p>
    <w:p w14:paraId="05FC330E" w14:textId="77777777" w:rsidR="009B0593" w:rsidRDefault="009B0593" w:rsidP="009B0593">
      <w:pPr>
        <w:pStyle w:val="NormalWeb"/>
        <w:ind w:left="720"/>
      </w:pPr>
      <w:r>
        <w:t xml:space="preserve">On this record, the </w:t>
      </w:r>
      <w:proofErr w:type="gramStart"/>
      <w:r>
        <w:t>City</w:t>
      </w:r>
      <w:proofErr w:type="gramEnd"/>
      <w:r>
        <w:t xml:space="preserve"> satisfied its burden to prove conclusively that Carroll was acting in good faith at the time in question…. The fact that Carroll had turned off his siren or that he had chosen only one spotter is unconvincing </w:t>
      </w:r>
      <w:proofErr w:type="gramStart"/>
      <w:r>
        <w:t>in light of</w:t>
      </w:r>
      <w:proofErr w:type="gramEnd"/>
      <w:r>
        <w:t xml:space="preserve"> the circumstances described in Carroll's affidavit, and thus the cases Wilson has cited are not germane to this case.” </w:t>
      </w:r>
      <w:hyperlink r:id="rId961" w:history="1">
        <w:r w:rsidRPr="00CD12AF">
          <w:rPr>
            <w:rStyle w:val="Hyperlink"/>
            <w:rFonts w:eastAsiaTheme="majorEastAsia"/>
          </w:rPr>
          <w:t>https://casetext.com/case/city-of-houston-v-wilson-1</w:t>
        </w:r>
      </w:hyperlink>
      <w:r>
        <w:t xml:space="preserve"> </w:t>
      </w:r>
    </w:p>
    <w:p w14:paraId="2A0F08EF" w14:textId="77777777" w:rsidR="009B0593" w:rsidRPr="00023C8D" w:rsidRDefault="009B0593" w:rsidP="009B0593">
      <w:pPr>
        <w:pStyle w:val="NormalWeb"/>
        <w:rPr>
          <w:b/>
          <w:bCs/>
        </w:rPr>
      </w:pPr>
      <w:r w:rsidRPr="00023C8D">
        <w:rPr>
          <w:b/>
          <w:bCs/>
        </w:rPr>
        <w:t>Legal Lesson Learned:</w:t>
      </w:r>
      <w:r>
        <w:rPr>
          <w:b/>
          <w:bCs/>
        </w:rPr>
        <w:t xml:space="preserve"> Official immunity under Texas law protects the City and the apparatus operator from liability. </w:t>
      </w:r>
    </w:p>
    <w:p w14:paraId="43C03495" w14:textId="77777777" w:rsidR="009B0593" w:rsidRDefault="009B0593" w:rsidP="00EF1133">
      <w:pPr>
        <w:rPr>
          <w:rFonts w:ascii="Arial Black" w:hAnsi="Arial Black"/>
          <w:b/>
          <w:sz w:val="24"/>
          <w:szCs w:val="24"/>
        </w:rPr>
      </w:pPr>
    </w:p>
    <w:p w14:paraId="4B9F6DBA" w14:textId="77777777" w:rsidR="009B0593" w:rsidRDefault="009B0593" w:rsidP="00EF1133">
      <w:pPr>
        <w:rPr>
          <w:rFonts w:ascii="Arial Black" w:hAnsi="Arial Black"/>
          <w:b/>
          <w:sz w:val="24"/>
          <w:szCs w:val="24"/>
        </w:rPr>
      </w:pPr>
    </w:p>
    <w:p w14:paraId="57C269F7" w14:textId="51AF42B8" w:rsidR="007A0E71" w:rsidRDefault="00FE60DA" w:rsidP="00EF1133">
      <w:pPr>
        <w:rPr>
          <w:rFonts w:ascii="Arial Black" w:hAnsi="Arial Black"/>
          <w:b/>
          <w:sz w:val="24"/>
          <w:szCs w:val="24"/>
        </w:rPr>
      </w:pPr>
      <w:r>
        <w:rPr>
          <w:rFonts w:ascii="Arial Black" w:hAnsi="Arial Black"/>
          <w:b/>
          <w:sz w:val="24"/>
          <w:szCs w:val="24"/>
        </w:rPr>
        <w:t>5-31</w:t>
      </w:r>
    </w:p>
    <w:p w14:paraId="4790ACA0" w14:textId="77777777" w:rsidR="00FE60DA" w:rsidRDefault="00FE60DA" w:rsidP="00FE60DA">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TX: EMT 65+ MPH THROUGH RED LIGHT – MVA – TEXAS  “MEDICAL LIAB” LAW REQ. EXPERT REPORT OF NEGLIGENT </w:t>
      </w:r>
    </w:p>
    <w:p w14:paraId="143B6313" w14:textId="77777777" w:rsidR="00FE60DA" w:rsidRDefault="00FE60DA" w:rsidP="00FE60DA">
      <w:pPr>
        <w:spacing w:before="100" w:beforeAutospacing="1" w:after="100" w:afterAutospacing="1" w:line="240" w:lineRule="auto"/>
        <w:rPr>
          <w:rFonts w:ascii="Times New Roman" w:hAnsi="Times New Roman"/>
          <w:sz w:val="24"/>
          <w:szCs w:val="24"/>
        </w:rPr>
      </w:pPr>
      <w:r w:rsidRPr="006E4E96">
        <w:rPr>
          <w:rFonts w:ascii="Times New Roman" w:hAnsi="Times New Roman"/>
          <w:sz w:val="24"/>
          <w:szCs w:val="24"/>
        </w:rPr>
        <w:t xml:space="preserve">On June 15, 2023, in </w:t>
      </w:r>
      <w:r w:rsidRPr="006E4E96">
        <w:rPr>
          <w:rFonts w:ascii="Times New Roman" w:hAnsi="Times New Roman"/>
          <w:sz w:val="24"/>
          <w:szCs w:val="24"/>
          <w:u w:val="single"/>
        </w:rPr>
        <w:t>City of Alvin v. Edna Fields</w:t>
      </w:r>
      <w:r w:rsidRPr="006E4E96">
        <w:rPr>
          <w:rFonts w:ascii="Times New Roman" w:hAnsi="Times New Roman"/>
          <w:sz w:val="24"/>
          <w:szCs w:val="24"/>
        </w:rPr>
        <w:t>, the Court of Appeals of Texas, First</w:t>
      </w:r>
      <w:r>
        <w:rPr>
          <w:rFonts w:ascii="Times New Roman" w:hAnsi="Times New Roman"/>
          <w:sz w:val="24"/>
          <w:szCs w:val="24"/>
        </w:rPr>
        <w:t xml:space="preserve"> </w:t>
      </w:r>
      <w:r w:rsidRPr="006E4E96">
        <w:rPr>
          <w:rFonts w:ascii="Times New Roman" w:hAnsi="Times New Roman"/>
          <w:sz w:val="24"/>
          <w:szCs w:val="24"/>
        </w:rPr>
        <w:t>District,</w:t>
      </w:r>
      <w:r>
        <w:rPr>
          <w:rFonts w:ascii="Times New Roman" w:hAnsi="Times New Roman"/>
          <w:sz w:val="24"/>
          <w:szCs w:val="24"/>
        </w:rPr>
        <w:t xml:space="preserve"> </w:t>
      </w:r>
      <w:r w:rsidRPr="006E4E96">
        <w:rPr>
          <w:rFonts w:ascii="Times New Roman" w:hAnsi="Times New Roman"/>
          <w:sz w:val="24"/>
          <w:szCs w:val="24"/>
        </w:rPr>
        <w:t>held (3 to 0) that trial court should have granted city’s motion to dismiss, because the patient claiming neck injury from the accident was required by the Texas Medical Liability Act (TMLA)</w:t>
      </w:r>
      <w:r>
        <w:rPr>
          <w:rFonts w:ascii="Times New Roman" w:hAnsi="Times New Roman"/>
          <w:sz w:val="24"/>
          <w:szCs w:val="24"/>
        </w:rPr>
        <w:t xml:space="preserve"> to file report from an expert supporting a claim of negligence by ambulance driver.  </w:t>
      </w:r>
    </w:p>
    <w:p w14:paraId="4554876D" w14:textId="77777777" w:rsidR="00FE60DA" w:rsidRDefault="00FE60DA" w:rsidP="00FE60DA">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The Court </w:t>
      </w:r>
      <w:proofErr w:type="gramStart"/>
      <w:r>
        <w:rPr>
          <w:rFonts w:ascii="Times New Roman" w:hAnsi="Times New Roman"/>
          <w:sz w:val="24"/>
          <w:szCs w:val="24"/>
        </w:rPr>
        <w:t>held: “</w:t>
      </w:r>
      <w:proofErr w:type="gramEnd"/>
      <w:r>
        <w:rPr>
          <w:rFonts w:ascii="Times New Roman" w:hAnsi="Times New Roman"/>
          <w:sz w:val="24"/>
          <w:szCs w:val="24"/>
        </w:rPr>
        <w:t xml:space="preserve">[EMT driver Beverly] </w:t>
      </w:r>
      <w:r w:rsidRPr="00CC4FAC">
        <w:rPr>
          <w:rFonts w:ascii="Times New Roman" w:eastAsia="Times New Roman" w:hAnsi="Times New Roman"/>
          <w:sz w:val="24"/>
          <w:szCs w:val="24"/>
        </w:rPr>
        <w:t xml:space="preserve">Scott testified that she entered the intersection against the red light to protect her partner, who was unrestrained because he was providing emergent health care to Fields. She also said that she was considering herself, her partner, her patient, and everyone in the vicinity </w:t>
      </w:r>
      <w:r>
        <w:rPr>
          <w:rFonts w:ascii="Times New Roman" w:eastAsia="Times New Roman" w:hAnsi="Times New Roman"/>
          <w:sz w:val="24"/>
          <w:szCs w:val="24"/>
        </w:rPr>
        <w:t>‘</w:t>
      </w:r>
      <w:r w:rsidRPr="00CC4FAC">
        <w:rPr>
          <w:rFonts w:ascii="Times New Roman" w:eastAsia="Times New Roman" w:hAnsi="Times New Roman"/>
          <w:sz w:val="24"/>
          <w:szCs w:val="24"/>
        </w:rPr>
        <w:t>while running emergency traffic.</w:t>
      </w:r>
      <w:r>
        <w:rPr>
          <w:rFonts w:ascii="Times New Roman" w:eastAsia="Times New Roman" w:hAnsi="Times New Roman"/>
          <w:sz w:val="24"/>
          <w:szCs w:val="24"/>
        </w:rPr>
        <w:t>’</w:t>
      </w:r>
      <w:r w:rsidRPr="00CC4FAC">
        <w:rPr>
          <w:rFonts w:ascii="Times New Roman" w:eastAsia="Times New Roman" w:hAnsi="Times New Roman"/>
          <w:sz w:val="24"/>
          <w:szCs w:val="24"/>
        </w:rPr>
        <w:t xml:space="preserve"> We conclude that the claim that Fields </w:t>
      </w:r>
      <w:proofErr w:type="gramStart"/>
      <w:r w:rsidRPr="00CC4FAC">
        <w:rPr>
          <w:rFonts w:ascii="Times New Roman" w:eastAsia="Times New Roman" w:hAnsi="Times New Roman"/>
          <w:sz w:val="24"/>
          <w:szCs w:val="24"/>
        </w:rPr>
        <w:t>pleaded</w:t>
      </w:r>
      <w:proofErr w:type="gramEnd"/>
      <w:r w:rsidRPr="00CC4FAC">
        <w:rPr>
          <w:rFonts w:ascii="Times New Roman" w:eastAsia="Times New Roman" w:hAnsi="Times New Roman"/>
          <w:sz w:val="24"/>
          <w:szCs w:val="24"/>
        </w:rPr>
        <w:t xml:space="preserve"> has a nexus between the alleged negligence and the provision of health care, and we hold that Fields's claim is a health care liability claim. </w:t>
      </w:r>
      <w:r w:rsidRPr="00CC4FAC">
        <w:rPr>
          <w:rFonts w:ascii="Times New Roman" w:eastAsia="Times New Roman" w:hAnsi="Times New Roman"/>
          <w:i/>
          <w:iCs/>
          <w:sz w:val="24"/>
          <w:szCs w:val="24"/>
        </w:rPr>
        <w:t>Ross</w:t>
      </w:r>
      <w:r w:rsidRPr="00CC4FAC">
        <w:rPr>
          <w:rFonts w:ascii="Times New Roman" w:eastAsia="Times New Roman" w:hAnsi="Times New Roman"/>
          <w:sz w:val="24"/>
          <w:szCs w:val="24"/>
        </w:rPr>
        <w:t xml:space="preserve">, 462 S.W.3d at 504; </w:t>
      </w:r>
      <w:r w:rsidRPr="00CC4FAC">
        <w:rPr>
          <w:rFonts w:ascii="Times New Roman" w:eastAsia="Times New Roman" w:hAnsi="Times New Roman"/>
          <w:i/>
          <w:iCs/>
          <w:sz w:val="24"/>
          <w:szCs w:val="24"/>
        </w:rPr>
        <w:t>see Coming Attractions Bridal &amp; Formal</w:t>
      </w:r>
      <w:r w:rsidRPr="00CC4FAC">
        <w:rPr>
          <w:rFonts w:ascii="Times New Roman" w:eastAsia="Times New Roman" w:hAnsi="Times New Roman"/>
          <w:sz w:val="24"/>
          <w:szCs w:val="24"/>
        </w:rPr>
        <w:t>, 595 S.W.3d at 664</w:t>
      </w:r>
      <w:r>
        <w:rPr>
          <w:rFonts w:ascii="Times New Roman" w:eastAsia="Times New Roman" w:hAnsi="Times New Roman"/>
          <w:sz w:val="24"/>
          <w:szCs w:val="24"/>
        </w:rPr>
        <w:t xml:space="preserve">. </w:t>
      </w:r>
      <w:r w:rsidRPr="00CC4FAC">
        <w:rPr>
          <w:rFonts w:ascii="Times New Roman" w:eastAsia="Times New Roman" w:hAnsi="Times New Roman"/>
          <w:sz w:val="24"/>
          <w:szCs w:val="24"/>
        </w:rPr>
        <w:t xml:space="preserve"> It is undisputed that Fields did not timely serve an expert report. </w:t>
      </w:r>
      <w:r w:rsidRPr="00CC4FAC">
        <w:rPr>
          <w:rFonts w:ascii="Times New Roman" w:eastAsia="Times New Roman" w:hAnsi="Times New Roman"/>
          <w:i/>
          <w:iCs/>
          <w:sz w:val="24"/>
          <w:szCs w:val="24"/>
        </w:rPr>
        <w:t>See</w:t>
      </w:r>
      <w:r w:rsidRPr="00CC4FAC">
        <w:rPr>
          <w:rFonts w:ascii="Times New Roman" w:eastAsia="Times New Roman" w:hAnsi="Times New Roman"/>
          <w:sz w:val="24"/>
          <w:szCs w:val="24"/>
        </w:rPr>
        <w:t xml:space="preserve"> TEX. CIV. PRAC. &amp; REM. CODE § 74.351(b). We therefore hold that the trial court erred by denying the City's motion to dismiss. We sustain the City's second issue.</w:t>
      </w:r>
      <w:r>
        <w:rPr>
          <w:rFonts w:ascii="Times New Roman" w:eastAsia="Times New Roman" w:hAnsi="Times New Roman"/>
          <w:sz w:val="24"/>
          <w:szCs w:val="24"/>
        </w:rPr>
        <w:t>”</w:t>
      </w:r>
      <w:r w:rsidRPr="00CC4FAC">
        <w:rPr>
          <w:rFonts w:ascii="Times New Roman" w:eastAsia="Times New Roman" w:hAnsi="Times New Roman"/>
          <w:sz w:val="24"/>
          <w:szCs w:val="24"/>
        </w:rPr>
        <w:t xml:space="preserve"> </w:t>
      </w:r>
      <w:hyperlink r:id="rId962" w:history="1">
        <w:r w:rsidRPr="00812663">
          <w:rPr>
            <w:rStyle w:val="Hyperlink"/>
            <w:sz w:val="24"/>
            <w:szCs w:val="24"/>
          </w:rPr>
          <w:t>https://casetext.com/case/city-of-alvin-v-fields</w:t>
        </w:r>
      </w:hyperlink>
      <w:r>
        <w:rPr>
          <w:rFonts w:ascii="Times New Roman" w:eastAsia="Times New Roman" w:hAnsi="Times New Roman"/>
          <w:sz w:val="24"/>
          <w:szCs w:val="24"/>
        </w:rPr>
        <w:t xml:space="preserve"> </w:t>
      </w:r>
    </w:p>
    <w:p w14:paraId="13F01E28" w14:textId="77777777" w:rsidR="00FE60DA" w:rsidRDefault="00FE60DA" w:rsidP="00FE60DA">
      <w:pPr>
        <w:pStyle w:val="NormalWeb"/>
        <w:rPr>
          <w:b/>
          <w:bCs/>
        </w:rPr>
      </w:pPr>
      <w:r w:rsidRPr="007D7E2D">
        <w:rPr>
          <w:b/>
          <w:bCs/>
        </w:rPr>
        <w:t xml:space="preserve">Legal Lesson Learned: </w:t>
      </w:r>
      <w:r>
        <w:rPr>
          <w:b/>
          <w:bCs/>
        </w:rPr>
        <w:t xml:space="preserve"> EMS transporting stroke victim, where time is of the essence, should still slow down from 65 MPH when entering a controlled intersection.  In many states, this would be a normal tort claim for negligence, and not a medical claim requiring expert </w:t>
      </w:r>
      <w:proofErr w:type="gramStart"/>
      <w:r>
        <w:rPr>
          <w:b/>
          <w:bCs/>
        </w:rPr>
        <w:t>report</w:t>
      </w:r>
      <w:proofErr w:type="gramEnd"/>
      <w:r>
        <w:rPr>
          <w:b/>
          <w:bCs/>
        </w:rPr>
        <w:t xml:space="preserve">. </w:t>
      </w:r>
    </w:p>
    <w:p w14:paraId="7DC1989A" w14:textId="77777777" w:rsidR="00FE60DA" w:rsidRPr="00F115F8" w:rsidRDefault="00FE60DA" w:rsidP="00FE60DA">
      <w:pPr>
        <w:pStyle w:val="Heading1"/>
        <w:ind w:left="720"/>
        <w:rPr>
          <w:b w:val="0"/>
          <w:bCs w:val="0"/>
          <w:sz w:val="24"/>
          <w:szCs w:val="24"/>
        </w:rPr>
      </w:pPr>
      <w:r w:rsidRPr="00F115F8">
        <w:rPr>
          <w:b w:val="0"/>
          <w:bCs w:val="0"/>
          <w:sz w:val="24"/>
          <w:szCs w:val="24"/>
        </w:rPr>
        <w:t xml:space="preserve">Note: Under Ohio law. Section 4511.03 </w:t>
      </w:r>
      <w:r w:rsidRPr="00F115F8">
        <w:rPr>
          <w:rStyle w:val="codes-separator"/>
          <w:b w:val="0"/>
          <w:bCs w:val="0"/>
          <w:sz w:val="24"/>
          <w:szCs w:val="24"/>
        </w:rPr>
        <w:t>|</w:t>
      </w:r>
      <w:r w:rsidRPr="00F115F8">
        <w:rPr>
          <w:b w:val="0"/>
          <w:bCs w:val="0"/>
          <w:sz w:val="24"/>
          <w:szCs w:val="24"/>
        </w:rPr>
        <w:t xml:space="preserve"> Emergency vehicles at red signal or stop sign. </w:t>
      </w:r>
      <w:hyperlink r:id="rId963" w:history="1">
        <w:r w:rsidRPr="00F115F8">
          <w:rPr>
            <w:rStyle w:val="Hyperlink"/>
            <w:b w:val="0"/>
            <w:bCs w:val="0"/>
            <w:sz w:val="24"/>
            <w:szCs w:val="24"/>
          </w:rPr>
          <w:t>https://codes.ohio.gov/ohio-revised-code/section-4511.03</w:t>
        </w:r>
      </w:hyperlink>
      <w:r w:rsidRPr="00F115F8">
        <w:rPr>
          <w:b w:val="0"/>
          <w:bCs w:val="0"/>
          <w:sz w:val="24"/>
          <w:szCs w:val="24"/>
        </w:rPr>
        <w:t xml:space="preserve"> </w:t>
      </w:r>
    </w:p>
    <w:p w14:paraId="0708555E" w14:textId="77777777" w:rsidR="00FE60DA" w:rsidRPr="007D7E2D" w:rsidRDefault="00FE60DA" w:rsidP="00FE60DA">
      <w:pPr>
        <w:pStyle w:val="NormalWeb"/>
        <w:ind w:left="1440"/>
      </w:pPr>
      <w:r>
        <w:t>“</w:t>
      </w:r>
      <w:r w:rsidRPr="007D7E2D">
        <w:t>(A) The driver of any emergency vehicle or public safety vehicle, when responding to an emergency call, upon approaching a red or stop signal or any stop sign shall slow down as necessary for safety to traffic, but may proceed cautiously past such red or stop sign or signal with due regard for the safety of all persons using the street or highway.</w:t>
      </w:r>
      <w:r>
        <w:t>”</w:t>
      </w:r>
    </w:p>
    <w:p w14:paraId="65BFAFB8" w14:textId="77777777" w:rsidR="00FE60DA" w:rsidRPr="00F115F8" w:rsidRDefault="00FE60DA" w:rsidP="00FE60DA">
      <w:pPr>
        <w:pStyle w:val="Heading1"/>
        <w:ind w:left="720"/>
        <w:rPr>
          <w:b w:val="0"/>
          <w:bCs w:val="0"/>
          <w:sz w:val="24"/>
          <w:szCs w:val="24"/>
        </w:rPr>
      </w:pPr>
      <w:r w:rsidRPr="00F115F8">
        <w:rPr>
          <w:b w:val="0"/>
          <w:bCs w:val="0"/>
          <w:sz w:val="24"/>
          <w:szCs w:val="24"/>
        </w:rPr>
        <w:t xml:space="preserve">See also Ohio Administrative Code: Rule 3335-21-12 </w:t>
      </w:r>
      <w:r w:rsidRPr="00F115F8">
        <w:rPr>
          <w:rStyle w:val="codes-separator"/>
          <w:b w:val="0"/>
          <w:bCs w:val="0"/>
          <w:sz w:val="24"/>
          <w:szCs w:val="24"/>
        </w:rPr>
        <w:t>|</w:t>
      </w:r>
      <w:r w:rsidRPr="00F115F8">
        <w:rPr>
          <w:b w:val="0"/>
          <w:bCs w:val="0"/>
          <w:sz w:val="24"/>
          <w:szCs w:val="24"/>
        </w:rPr>
        <w:t xml:space="preserve"> Emergency and public safety vehicles. </w:t>
      </w:r>
      <w:hyperlink r:id="rId964" w:history="1">
        <w:r w:rsidRPr="00F115F8">
          <w:rPr>
            <w:rStyle w:val="Hyperlink"/>
            <w:b w:val="0"/>
            <w:bCs w:val="0"/>
            <w:sz w:val="24"/>
            <w:szCs w:val="24"/>
          </w:rPr>
          <w:t>https://codes.ohio.gov/ohio-administrative-code/rule-3335-21-12</w:t>
        </w:r>
      </w:hyperlink>
      <w:r w:rsidRPr="00F115F8">
        <w:rPr>
          <w:b w:val="0"/>
          <w:bCs w:val="0"/>
          <w:sz w:val="24"/>
          <w:szCs w:val="24"/>
        </w:rPr>
        <w:t xml:space="preserve"> </w:t>
      </w:r>
    </w:p>
    <w:p w14:paraId="05C50502" w14:textId="77777777" w:rsidR="00FE60DA" w:rsidRDefault="00FE60DA" w:rsidP="00FE60DA">
      <w:pPr>
        <w:pStyle w:val="first-paragraph"/>
        <w:ind w:left="1440"/>
      </w:pPr>
      <w:r>
        <w:t>“(A) Privileges of drivers. The driver of an authorized emergency vehicle or public safety vehicle, when responding to an emergency call, or when in the pursuit of an actual or suspected violator of the law, or when responding to but not upon returning from a fire or other emergency alarm, may exercise the privileges set forth in this regulation, but subject to the conditions herein stated. The driver of an authorized emergency vehicle or public safety vehicle may:</w:t>
      </w:r>
    </w:p>
    <w:p w14:paraId="725DC510" w14:textId="77777777" w:rsidR="00FE60DA" w:rsidRDefault="00FE60DA" w:rsidP="00FE60DA">
      <w:pPr>
        <w:pStyle w:val="first-paragraph"/>
        <w:ind w:left="720" w:firstLine="720"/>
      </w:pPr>
      <w:r>
        <w:t xml:space="preserve">(1) Park or stand, irrespective of the provisions of </w:t>
      </w:r>
      <w:proofErr w:type="gramStart"/>
      <w:r>
        <w:t>these regulation</w:t>
      </w:r>
      <w:proofErr w:type="gramEnd"/>
      <w:r>
        <w:t>;</w:t>
      </w:r>
    </w:p>
    <w:p w14:paraId="125DDE84" w14:textId="77777777" w:rsidR="00FE60DA" w:rsidRDefault="00FE60DA" w:rsidP="00FE60DA">
      <w:pPr>
        <w:pStyle w:val="first-paragraph"/>
        <w:ind w:left="1440"/>
      </w:pPr>
      <w:r>
        <w:t>(2) Proceed past a red or stop signal or stop sign, but only after slowing down as may be necessary for safe operation;</w:t>
      </w:r>
    </w:p>
    <w:p w14:paraId="362E306A" w14:textId="77777777" w:rsidR="00FE60DA" w:rsidRDefault="00FE60DA" w:rsidP="00FE60DA">
      <w:pPr>
        <w:pStyle w:val="first-paragraph"/>
        <w:ind w:left="1440"/>
      </w:pPr>
      <w:r>
        <w:t>(3) Exceed the maximum speed limits so long as he or she does not endanger life or property; and</w:t>
      </w:r>
    </w:p>
    <w:p w14:paraId="250430C5" w14:textId="77777777" w:rsidR="00FE60DA" w:rsidRDefault="00FE60DA" w:rsidP="00FE60DA">
      <w:pPr>
        <w:pStyle w:val="first-paragraph"/>
        <w:ind w:left="1440"/>
      </w:pPr>
      <w:r>
        <w:t>(4) Disregard regulations governing direction of movement or turning in specified directions.”</w:t>
      </w:r>
    </w:p>
    <w:p w14:paraId="7CC1E033" w14:textId="77777777" w:rsidR="00FE60DA" w:rsidRDefault="00FE60DA" w:rsidP="00EF1133">
      <w:pPr>
        <w:rPr>
          <w:rFonts w:ascii="Arial Black" w:hAnsi="Arial Black"/>
          <w:b/>
          <w:sz w:val="24"/>
          <w:szCs w:val="24"/>
        </w:rPr>
      </w:pPr>
    </w:p>
    <w:p w14:paraId="2C5688C3" w14:textId="61493A01" w:rsidR="007A0E71" w:rsidRDefault="007A0E71" w:rsidP="00EF1133">
      <w:pPr>
        <w:rPr>
          <w:rFonts w:ascii="Arial Black" w:hAnsi="Arial Black"/>
          <w:b/>
          <w:sz w:val="24"/>
          <w:szCs w:val="24"/>
        </w:rPr>
      </w:pPr>
      <w:r>
        <w:rPr>
          <w:rFonts w:ascii="Arial Black" w:hAnsi="Arial Black"/>
          <w:b/>
          <w:sz w:val="24"/>
          <w:szCs w:val="24"/>
        </w:rPr>
        <w:t>5-30</w:t>
      </w:r>
    </w:p>
    <w:p w14:paraId="502F966D" w14:textId="77777777" w:rsidR="007A0E71" w:rsidRPr="00216C4D" w:rsidRDefault="007A0E71" w:rsidP="007A0E71">
      <w:pPr>
        <w:pStyle w:val="NoSpacing"/>
        <w:rPr>
          <w:rFonts w:ascii="Arial Black" w:hAnsi="Arial Black"/>
          <w:sz w:val="28"/>
          <w:szCs w:val="28"/>
        </w:rPr>
      </w:pPr>
      <w:r w:rsidRPr="00216C4D">
        <w:rPr>
          <w:rFonts w:ascii="Arial Black" w:hAnsi="Arial Black"/>
          <w:sz w:val="28"/>
          <w:szCs w:val="28"/>
        </w:rPr>
        <w:t xml:space="preserve">IN (4/28/2023) – BLUE LIGHTS VOL. FF – NON-VOL CITED HAVING TWO BLUE LIGHTS ON INSIDE BACK WINDOW </w:t>
      </w:r>
    </w:p>
    <w:p w14:paraId="4CAAB6A7" w14:textId="77777777" w:rsidR="007A0E71" w:rsidRDefault="007A0E71" w:rsidP="007A0E71">
      <w:pPr>
        <w:pStyle w:val="NoSpacing"/>
      </w:pPr>
    </w:p>
    <w:p w14:paraId="4C2E0374" w14:textId="77777777" w:rsidR="007A0E71" w:rsidRPr="00F76E2E" w:rsidRDefault="007A0E71" w:rsidP="007A0E71">
      <w:pPr>
        <w:pStyle w:val="NoSpacing"/>
        <w:rPr>
          <w:rFonts w:ascii="Times New Roman" w:hAnsi="Times New Roman"/>
          <w:sz w:val="24"/>
          <w:szCs w:val="24"/>
        </w:rPr>
      </w:pPr>
      <w:r w:rsidRPr="00F76E2E">
        <w:rPr>
          <w:rFonts w:ascii="Times New Roman" w:hAnsi="Times New Roman"/>
          <w:sz w:val="24"/>
          <w:szCs w:val="24"/>
          <w:u w:val="single"/>
        </w:rPr>
        <w:t>Bryan C. Falletti v. State of Indiana, Court of Appeals of Indiana</w:t>
      </w:r>
      <w:r w:rsidRPr="00F76E2E">
        <w:rPr>
          <w:rFonts w:ascii="Times New Roman" w:hAnsi="Times New Roman"/>
          <w:sz w:val="24"/>
          <w:szCs w:val="24"/>
        </w:rPr>
        <w:t xml:space="preserve">. </w:t>
      </w:r>
      <w:hyperlink r:id="rId965" w:history="1">
        <w:r w:rsidRPr="00F76E2E">
          <w:rPr>
            <w:rStyle w:val="Hyperlink"/>
            <w:rFonts w:ascii="Times New Roman" w:hAnsi="Times New Roman"/>
            <w:sz w:val="24"/>
            <w:szCs w:val="24"/>
          </w:rPr>
          <w:t>https://public.courts.in.gov/Decisions/api/Document/Opinion?Id=rJRDncpWPHQbq7P5uv2HFHli7-yY9NDpUsGFV_2xhbEFoKT6dBGW8VG2YJisX0M_0</w:t>
        </w:r>
      </w:hyperlink>
      <w:r w:rsidRPr="00F76E2E">
        <w:rPr>
          <w:rFonts w:ascii="Times New Roman" w:hAnsi="Times New Roman"/>
          <w:sz w:val="24"/>
          <w:szCs w:val="24"/>
        </w:rPr>
        <w:t xml:space="preserve"> </w:t>
      </w:r>
    </w:p>
    <w:p w14:paraId="12DE5294" w14:textId="77777777" w:rsidR="007A0E71" w:rsidRDefault="007A0E71" w:rsidP="007A0E71">
      <w:pPr>
        <w:pStyle w:val="NormalWeb"/>
        <w:rPr>
          <w:b/>
          <w:bCs/>
        </w:rPr>
      </w:pPr>
      <w:r>
        <w:rPr>
          <w:b/>
          <w:bCs/>
        </w:rPr>
        <w:t xml:space="preserve">Legal Lesson Learned: Unless you are a volunteer firefighter, may not have blue lights on top of your vehicle, or in your vehicle, in Indiana. </w:t>
      </w:r>
    </w:p>
    <w:p w14:paraId="5D6C70D2" w14:textId="77777777" w:rsidR="007A0E71" w:rsidRDefault="007A0E71" w:rsidP="00EF1133">
      <w:pPr>
        <w:rPr>
          <w:rFonts w:ascii="Arial Black" w:hAnsi="Arial Black"/>
          <w:b/>
          <w:sz w:val="24"/>
          <w:szCs w:val="24"/>
        </w:rPr>
      </w:pPr>
    </w:p>
    <w:p w14:paraId="0AA079C7" w14:textId="0EC9591D" w:rsidR="002D64A4" w:rsidRDefault="002D64A4" w:rsidP="00EF1133">
      <w:pPr>
        <w:rPr>
          <w:rFonts w:ascii="Arial Black" w:hAnsi="Arial Black"/>
          <w:b/>
          <w:sz w:val="24"/>
          <w:szCs w:val="24"/>
        </w:rPr>
      </w:pPr>
      <w:r>
        <w:rPr>
          <w:rFonts w:ascii="Arial Black" w:hAnsi="Arial Black"/>
          <w:b/>
          <w:sz w:val="24"/>
          <w:szCs w:val="24"/>
        </w:rPr>
        <w:t>5-29</w:t>
      </w:r>
    </w:p>
    <w:p w14:paraId="068DC7AC" w14:textId="77777777" w:rsidR="002D64A4" w:rsidRPr="00570961" w:rsidRDefault="002D64A4" w:rsidP="002D64A4">
      <w:pPr>
        <w:pStyle w:val="NormalWeb"/>
        <w:rPr>
          <w:rFonts w:ascii="Arial Black" w:hAnsi="Arial Black"/>
          <w:sz w:val="28"/>
          <w:szCs w:val="28"/>
        </w:rPr>
      </w:pPr>
      <w:r>
        <w:rPr>
          <w:rFonts w:ascii="Arial Black" w:hAnsi="Arial Black"/>
          <w:sz w:val="28"/>
          <w:szCs w:val="28"/>
        </w:rPr>
        <w:t xml:space="preserve">OH: ENGINE 20-25 MPH THROUGH RED LIGHT - FD &amp; TWP IMMUNITY – LAWSUIT AGAINST FF TO PROCEED </w:t>
      </w:r>
    </w:p>
    <w:p w14:paraId="0831C650" w14:textId="77777777" w:rsidR="002D64A4" w:rsidRDefault="002D64A4" w:rsidP="002D64A4">
      <w:pPr>
        <w:pStyle w:val="NormalWeb"/>
        <w:rPr>
          <w:b/>
          <w:bCs/>
        </w:rPr>
      </w:pPr>
      <w:r>
        <w:t xml:space="preserve">On Feb. 21, 2023, in </w:t>
      </w:r>
      <w:r w:rsidRPr="00E477B6">
        <w:rPr>
          <w:u w:val="single"/>
        </w:rPr>
        <w:t>Brandon Freeman v. David A. Lovejoy, et al</w:t>
      </w:r>
      <w:r>
        <w:t xml:space="preserve">., the Court of Appeals, Fifth District (Fairfield), held (3 to 0) that the trial court judge properly denied the firefighter’s motion for summary judgment in a personal injury lawsuit by a motorist who collided with the engine on April 19, 2019 in an intersection where the motorist had a green light, and the engine came through a red light.   “On April 25, 2022, the trial court granted summary judgment in favor of the Fire Department and the Township, finding the Fire Department and the Township were statutorily immune from liability as Appellant did not act in a willful or wanton manner. However, the trial court denied Appellant's motion for summary judgment, finding a genuine issue of material fact exists as to whether Appellant operated the fire engine in a reckless manner. *** Viewing the evidence in a light most favorable to Appellee, we find reasonable minds could come to different conclusions about Appellant's operation of the fire engine given the visual and sound obstructions in the area, the number of lanes of travel Appellant was crossing.” </w:t>
      </w:r>
      <w:hyperlink r:id="rId966" w:history="1">
        <w:r w:rsidRPr="00933DFB">
          <w:rPr>
            <w:rStyle w:val="Hyperlink"/>
            <w:rFonts w:eastAsiaTheme="majorEastAsia"/>
          </w:rPr>
          <w:t>https://cms7files1.revize.com/starkcountyoh/f22-16.wbh.sl.pdf</w:t>
        </w:r>
      </w:hyperlink>
      <w:r>
        <w:t xml:space="preserve"> </w:t>
      </w:r>
    </w:p>
    <w:p w14:paraId="7891A0B5" w14:textId="77777777" w:rsidR="002D64A4" w:rsidRDefault="002D64A4" w:rsidP="002D64A4">
      <w:pPr>
        <w:pStyle w:val="NormalWeb"/>
        <w:ind w:left="720"/>
      </w:pPr>
      <w:r>
        <w:t xml:space="preserve">“Pickerington Police Officer Thomas Spreen completed the Crash Report. Therein, Officer Spreen indicated the traffic was moderate, the road conditions were wet, and it was raining. Officer Spreen </w:t>
      </w:r>
      <w:proofErr w:type="gramStart"/>
      <w:r>
        <w:t>concluded</w:t>
      </w:r>
      <w:proofErr w:type="gramEnd"/>
      <w:r>
        <w:t xml:space="preserve"> Appellant [firefighter] was at fault for the accident, </w:t>
      </w:r>
      <w:proofErr w:type="gramStart"/>
      <w:r>
        <w:t>explaining</w:t>
      </w:r>
      <w:proofErr w:type="gramEnd"/>
      <w:r>
        <w:t xml:space="preserve"> Appellant entered ‘the busy intersection at an estimated speed of 20 mph to 25 mph without stopping on a red light. Therefore, I find that the driver of the fire truck did not use due regard when entering the intersection causing the accident.’ Crash Report at 8. Officer Spreen </w:t>
      </w:r>
      <w:proofErr w:type="gramStart"/>
      <w:r>
        <w:t>stated, ‘</w:t>
      </w:r>
      <w:proofErr w:type="gramEnd"/>
      <w:r>
        <w:t>From the vantage point of the Unit 2 driver [Appellee]. I found that his view or initial observation point on the fire truck was partially obstructed by the CVS building, (4) trees, landscaping and landscaping wall (photo taken). I also find that his being able to hear the (2) sets of approaching sirens from the (2) Truro emergency vehicles while approaching the intersection would also have been obstructed by the physical barriers listed.’”</w:t>
      </w:r>
    </w:p>
    <w:p w14:paraId="05CF420F" w14:textId="77777777" w:rsidR="002D64A4" w:rsidRDefault="002D64A4" w:rsidP="002D64A4">
      <w:pPr>
        <w:pStyle w:val="NormalWeb"/>
        <w:rPr>
          <w:b/>
          <w:bCs/>
        </w:rPr>
      </w:pPr>
      <w:r>
        <w:rPr>
          <w:b/>
          <w:bCs/>
        </w:rPr>
        <w:t>Legal Lesson Learned: FDs should consider adopting an SOP requiring a “full stop” at red lights.</w:t>
      </w:r>
    </w:p>
    <w:p w14:paraId="7B25E820" w14:textId="77777777" w:rsidR="002D64A4" w:rsidRDefault="002D64A4" w:rsidP="002D64A4">
      <w:pPr>
        <w:pStyle w:val="NormalWeb"/>
      </w:pPr>
    </w:p>
    <w:p w14:paraId="3AE3990F" w14:textId="06E39DF0" w:rsidR="006D2C51" w:rsidRDefault="00AE32D3" w:rsidP="00EF1133">
      <w:pPr>
        <w:rPr>
          <w:rFonts w:ascii="Arial Black" w:hAnsi="Arial Black"/>
          <w:b/>
          <w:sz w:val="24"/>
          <w:szCs w:val="24"/>
        </w:rPr>
      </w:pPr>
      <w:r>
        <w:rPr>
          <w:rFonts w:ascii="Arial Black" w:hAnsi="Arial Black"/>
          <w:b/>
          <w:sz w:val="24"/>
          <w:szCs w:val="24"/>
        </w:rPr>
        <w:t>5-28</w:t>
      </w:r>
    </w:p>
    <w:p w14:paraId="4BDDE1EB" w14:textId="77777777" w:rsidR="00B87D79" w:rsidRPr="00130410" w:rsidRDefault="00B87D79" w:rsidP="00B87D79">
      <w:pPr>
        <w:pStyle w:val="NormalWeb"/>
        <w:rPr>
          <w:rFonts w:ascii="Arial Black" w:hAnsi="Arial Black"/>
          <w:sz w:val="28"/>
          <w:szCs w:val="28"/>
        </w:rPr>
      </w:pPr>
      <w:r>
        <w:rPr>
          <w:rFonts w:ascii="Arial Black" w:hAnsi="Arial Black"/>
          <w:sz w:val="28"/>
          <w:szCs w:val="28"/>
        </w:rPr>
        <w:t>TX: AMBULANCE DRIVER CAME TO FULL STOP – SLOWLY ENTERED INTERSECTION WITH “BLIND SPOTS” - IMMUNITY</w:t>
      </w:r>
    </w:p>
    <w:p w14:paraId="1A30D734" w14:textId="77777777" w:rsidR="00B87D79" w:rsidRDefault="00B87D79" w:rsidP="00B87D79">
      <w:pPr>
        <w:pStyle w:val="NormalWeb"/>
      </w:pPr>
      <w:r>
        <w:t xml:space="preserve">On Nov. 8, 2022, in </w:t>
      </w:r>
      <w:r w:rsidRPr="00130410">
        <w:rPr>
          <w:u w:val="single"/>
        </w:rPr>
        <w:t>City of Houston v. Martha Vogel and Maria Escalante</w:t>
      </w:r>
      <w:r>
        <w:t xml:space="preserve">, the Court of Appeals of Texas, First District, held (3 to 0) that the trial court improperly denied the City’s motion to dismiss the case.  The deposition testimony of the EMT, his passenger, and civilian witnesses confirmed the ambulance driver had lights and siren operating, came to a complete stop, and slowly entered the intersection; the plaintiffs vehicle struct and rolled the ambulance. </w:t>
      </w:r>
    </w:p>
    <w:p w14:paraId="5EBCAFC5" w14:textId="77777777" w:rsidR="00B87D79" w:rsidRDefault="00B87D79" w:rsidP="00B87D79">
      <w:pPr>
        <w:pStyle w:val="NormalWeb"/>
        <w:ind w:left="720"/>
      </w:pPr>
      <w:r>
        <w:t xml:space="preserve">“Here, like in </w:t>
      </w:r>
      <w:r>
        <w:rPr>
          <w:rStyle w:val="Emphasis"/>
        </w:rPr>
        <w:t>Kuhn</w:t>
      </w:r>
      <w:r>
        <w:t xml:space="preserve">, whether the intersection was ‘blind’ did not create a material fact issue </w:t>
      </w:r>
      <w:proofErr w:type="gramStart"/>
      <w:r>
        <w:t>in light of</w:t>
      </w:r>
      <w:proofErr w:type="gramEnd"/>
      <w:r>
        <w:t xml:space="preserve"> the undisputed evidence that EMT Brooks was responding to a 9-1-1 emergency call, activated his lights and siren, came to a complete stop at the stop sign on Euel, and looked for traffic.</w:t>
      </w:r>
    </w:p>
    <w:p w14:paraId="07AFF628" w14:textId="77777777" w:rsidR="00B87D79" w:rsidRDefault="00B87D79" w:rsidP="00B87D79">
      <w:pPr>
        <w:pStyle w:val="NormalWeb"/>
        <w:ind w:left="720"/>
      </w:pPr>
      <w:r>
        <w:t>***</w:t>
      </w:r>
    </w:p>
    <w:p w14:paraId="3A362347" w14:textId="04830AFE" w:rsidR="00AE32D3" w:rsidRPr="00B87D79" w:rsidRDefault="00B87D79" w:rsidP="00B87D79">
      <w:pPr>
        <w:ind w:left="720"/>
        <w:rPr>
          <w:rFonts w:ascii="Times New Roman" w:hAnsi="Times New Roman"/>
          <w:b/>
          <w:sz w:val="24"/>
          <w:szCs w:val="24"/>
        </w:rPr>
      </w:pPr>
      <w:r w:rsidRPr="00B87D79">
        <w:rPr>
          <w:rFonts w:ascii="Times New Roman" w:hAnsi="Times New Roman"/>
          <w:sz w:val="24"/>
          <w:szCs w:val="24"/>
        </w:rPr>
        <w:t xml:space="preserve">Fogel and Escalante also asserted that their evidence raised a fact issue because it showed that EMT Brooks was reckless in entering the intersection ‘completely blind.’ They presented photographs of the intersection at issue, which they asserted ‘show EMT Brooks' view of Hardy was </w:t>
      </w:r>
      <w:r w:rsidRPr="00B87D79">
        <w:rPr>
          <w:rStyle w:val="Emphasis"/>
          <w:rFonts w:ascii="Times New Roman" w:hAnsi="Times New Roman"/>
          <w:sz w:val="24"/>
          <w:szCs w:val="24"/>
        </w:rPr>
        <w:t>completely blocked</w:t>
      </w:r>
      <w:r w:rsidRPr="00B87D79">
        <w:rPr>
          <w:rFonts w:ascii="Times New Roman" w:hAnsi="Times New Roman"/>
          <w:sz w:val="24"/>
          <w:szCs w:val="24"/>
        </w:rPr>
        <w:t xml:space="preserve"> by construction, a house, parked box trucks, trees and shrubs.’ (Emphasis added.) The record does not support their assertion. The photographs do not show that Brooks's view of Hardy was ‘completely blocked.’ Rather, the Exhibit 3 photograph shows a view of traffic on Hardy Street. Although plastic barriers and pylons appear, traffic behind them is readily visible. Their field diagram shows the stop sign located at the corner of the intersection, and the tree depicted in the photographs is shown in Exhibit 3 to be set back from the corner. There is not a house shown in the photographs attached their response to the City's plea.” </w:t>
      </w:r>
      <w:hyperlink r:id="rId967" w:history="1">
        <w:r w:rsidRPr="00B87D79">
          <w:rPr>
            <w:rStyle w:val="Hyperlink"/>
            <w:rFonts w:ascii="Times New Roman" w:eastAsiaTheme="majorEastAsia" w:hAnsi="Times New Roman"/>
            <w:sz w:val="24"/>
            <w:szCs w:val="24"/>
          </w:rPr>
          <w:t>https://casetext.com/case/city-of-hous-v-vogel</w:t>
        </w:r>
      </w:hyperlink>
    </w:p>
    <w:p w14:paraId="50671468" w14:textId="77777777" w:rsidR="00B87D79" w:rsidRDefault="00B87D79" w:rsidP="00B87D79">
      <w:pPr>
        <w:spacing w:after="100" w:line="240" w:lineRule="auto"/>
        <w:rPr>
          <w:rFonts w:ascii="Times New Roman" w:hAnsi="Times New Roman"/>
          <w:b/>
          <w:bCs/>
          <w:sz w:val="24"/>
          <w:szCs w:val="24"/>
        </w:rPr>
      </w:pPr>
      <w:r w:rsidRPr="00675A8D">
        <w:rPr>
          <w:rFonts w:ascii="Times New Roman" w:hAnsi="Times New Roman"/>
          <w:b/>
          <w:bCs/>
          <w:sz w:val="24"/>
          <w:szCs w:val="24"/>
        </w:rPr>
        <w:t>Legal Lesson Learned:</w:t>
      </w:r>
      <w:r>
        <w:rPr>
          <w:rFonts w:ascii="Times New Roman" w:hAnsi="Times New Roman"/>
          <w:b/>
          <w:bCs/>
          <w:sz w:val="24"/>
          <w:szCs w:val="24"/>
        </w:rPr>
        <w:t xml:space="preserve"> Testimony of civilian witnesses about </w:t>
      </w:r>
      <w:proofErr w:type="gramStart"/>
      <w:r>
        <w:rPr>
          <w:rFonts w:ascii="Times New Roman" w:hAnsi="Times New Roman"/>
          <w:b/>
          <w:bCs/>
          <w:sz w:val="24"/>
          <w:szCs w:val="24"/>
        </w:rPr>
        <w:t>ambulance</w:t>
      </w:r>
      <w:proofErr w:type="gramEnd"/>
      <w:r>
        <w:rPr>
          <w:rFonts w:ascii="Times New Roman" w:hAnsi="Times New Roman"/>
          <w:b/>
          <w:bCs/>
          <w:sz w:val="24"/>
          <w:szCs w:val="24"/>
        </w:rPr>
        <w:t xml:space="preserve"> coming to full stop, and slowly entering the intersection, was extremely helpful. </w:t>
      </w:r>
    </w:p>
    <w:p w14:paraId="3904177B" w14:textId="6D059BCD" w:rsidR="00AE32D3" w:rsidRDefault="00AE32D3" w:rsidP="00EF1133">
      <w:pPr>
        <w:rPr>
          <w:rFonts w:ascii="Arial Black" w:hAnsi="Arial Black"/>
          <w:b/>
          <w:sz w:val="24"/>
          <w:szCs w:val="24"/>
        </w:rPr>
      </w:pPr>
    </w:p>
    <w:p w14:paraId="0B370AAD" w14:textId="77777777" w:rsidR="00AE32D3" w:rsidRDefault="00AE32D3" w:rsidP="00EF1133">
      <w:pPr>
        <w:rPr>
          <w:rFonts w:ascii="Arial Black" w:hAnsi="Arial Black"/>
          <w:b/>
          <w:sz w:val="24"/>
          <w:szCs w:val="24"/>
        </w:rPr>
      </w:pPr>
    </w:p>
    <w:p w14:paraId="17C72C02" w14:textId="1E6349C6" w:rsidR="006D2C51" w:rsidRDefault="006D2C51" w:rsidP="00EF1133">
      <w:pPr>
        <w:rPr>
          <w:rFonts w:ascii="Arial Black" w:hAnsi="Arial Black"/>
          <w:b/>
          <w:sz w:val="24"/>
          <w:szCs w:val="24"/>
        </w:rPr>
      </w:pPr>
      <w:r>
        <w:rPr>
          <w:rFonts w:ascii="Arial Black" w:hAnsi="Arial Black"/>
          <w:b/>
          <w:sz w:val="24"/>
          <w:szCs w:val="24"/>
        </w:rPr>
        <w:t>5-27</w:t>
      </w:r>
    </w:p>
    <w:p w14:paraId="166D5F5B" w14:textId="77777777" w:rsidR="006D2C51" w:rsidRDefault="006D2C51" w:rsidP="006D2C51">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MI: EMS DRIVER SLOWED DOWN - LIGHTS &amp; SIRENS PRIOR TO RED LIGHT – WITNESS CONFIRMED - IMMUNITY </w:t>
      </w:r>
    </w:p>
    <w:p w14:paraId="7CEFE585" w14:textId="77777777" w:rsidR="006D2C51" w:rsidRPr="00317CF0" w:rsidRDefault="006D2C51" w:rsidP="006D2C51">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July 28, 2022, in </w:t>
      </w:r>
      <w:r w:rsidRPr="00317CF0">
        <w:rPr>
          <w:rFonts w:ascii="Times New Roman" w:hAnsi="Times New Roman"/>
          <w:sz w:val="24"/>
          <w:szCs w:val="24"/>
          <w:u w:val="single"/>
        </w:rPr>
        <w:t xml:space="preserve">Denise Ann Middleton v. Kenneth Arthur Temple and Ogemaw County EMS, </w:t>
      </w:r>
      <w:r>
        <w:rPr>
          <w:rFonts w:ascii="Times New Roman" w:hAnsi="Times New Roman"/>
          <w:sz w:val="24"/>
          <w:szCs w:val="24"/>
        </w:rPr>
        <w:t>the Court of Appeals of Michigan, held (3 to 0</w:t>
      </w:r>
      <w:proofErr w:type="gramStart"/>
      <w:r>
        <w:rPr>
          <w:rFonts w:ascii="Times New Roman" w:hAnsi="Times New Roman"/>
          <w:sz w:val="24"/>
          <w:szCs w:val="24"/>
        </w:rPr>
        <w:t>) on</w:t>
      </w:r>
      <w:proofErr w:type="gramEnd"/>
      <w:r>
        <w:rPr>
          <w:rFonts w:ascii="Times New Roman" w:hAnsi="Times New Roman"/>
          <w:sz w:val="24"/>
          <w:szCs w:val="24"/>
        </w:rPr>
        <w:t xml:space="preserve"> an immediate appeal by the defense, that the trial court should have granted summary judgment to EMS driver and to County EMS.  The plaintiff entered intersection on green light, said she didn’t see or hear the ambulance, and drove into left side of the ambulance.  </w:t>
      </w:r>
      <w:hyperlink r:id="rId968" w:history="1">
        <w:r w:rsidRPr="0019682E">
          <w:rPr>
            <w:rStyle w:val="Hyperlink"/>
            <w:rFonts w:ascii="Times New Roman" w:eastAsia="Times New Roman" w:hAnsi="Times New Roman"/>
            <w:sz w:val="24"/>
            <w:szCs w:val="24"/>
          </w:rPr>
          <w:t>https://www.courts.michigan.gov/4a237a/siteassets/case-documents/uploads/opinions/final/coa/20220728_c356829_27_356829.opn.pdf</w:t>
        </w:r>
      </w:hyperlink>
      <w:r>
        <w:rPr>
          <w:rFonts w:ascii="Times New Roman" w:eastAsia="Times New Roman" w:hAnsi="Times New Roman"/>
          <w:sz w:val="24"/>
          <w:szCs w:val="24"/>
        </w:rPr>
        <w:t xml:space="preserve"> </w:t>
      </w:r>
    </w:p>
    <w:p w14:paraId="1BABEC09" w14:textId="77777777" w:rsidR="006D2C51" w:rsidRPr="000625D7" w:rsidRDefault="006D2C51" w:rsidP="006D2C51">
      <w:pPr>
        <w:spacing w:before="100" w:beforeAutospacing="1" w:after="100" w:afterAutospacing="1" w:line="240" w:lineRule="auto"/>
        <w:rPr>
          <w:rFonts w:ascii="Times New Roman" w:hAnsi="Times New Roman"/>
          <w:b/>
          <w:bCs/>
          <w:sz w:val="24"/>
          <w:szCs w:val="24"/>
        </w:rPr>
      </w:pPr>
      <w:r w:rsidRPr="000625D7">
        <w:rPr>
          <w:rFonts w:ascii="Times New Roman" w:hAnsi="Times New Roman"/>
          <w:b/>
          <w:bCs/>
          <w:sz w:val="24"/>
          <w:szCs w:val="24"/>
        </w:rPr>
        <w:t>Legal Lesson Learned:</w:t>
      </w:r>
      <w:r>
        <w:rPr>
          <w:rFonts w:ascii="Times New Roman" w:hAnsi="Times New Roman"/>
          <w:b/>
          <w:bCs/>
          <w:sz w:val="24"/>
          <w:szCs w:val="24"/>
        </w:rPr>
        <w:t xml:space="preserve"> EMS driver slowed down as entering intersection against a red light as required by law; extremely helpful to have civilian witness confirm this to PD. </w:t>
      </w:r>
    </w:p>
    <w:p w14:paraId="2D8ACED1" w14:textId="77777777" w:rsidR="006D2C51" w:rsidRDefault="006D2C51" w:rsidP="006D2C51">
      <w:pPr>
        <w:pStyle w:val="Heading1"/>
        <w:ind w:left="720"/>
        <w:rPr>
          <w:b w:val="0"/>
          <w:bCs w:val="0"/>
          <w:sz w:val="24"/>
          <w:szCs w:val="24"/>
        </w:rPr>
      </w:pPr>
      <w:r w:rsidRPr="00980AEA">
        <w:rPr>
          <w:b w:val="0"/>
          <w:bCs w:val="0"/>
          <w:sz w:val="24"/>
          <w:szCs w:val="24"/>
        </w:rPr>
        <w:t xml:space="preserve">Note: See Ohio Revised Code - Section 4511.03 </w:t>
      </w:r>
      <w:r w:rsidRPr="00980AEA">
        <w:rPr>
          <w:rStyle w:val="codes-separator"/>
          <w:b w:val="0"/>
          <w:bCs w:val="0"/>
          <w:sz w:val="24"/>
          <w:szCs w:val="24"/>
        </w:rPr>
        <w:t>|</w:t>
      </w:r>
      <w:r w:rsidRPr="00980AEA">
        <w:rPr>
          <w:b w:val="0"/>
          <w:bCs w:val="0"/>
          <w:sz w:val="24"/>
          <w:szCs w:val="24"/>
        </w:rPr>
        <w:t xml:space="preserve"> Emergency vehicles at red signal or stop sign</w:t>
      </w:r>
      <w:r>
        <w:rPr>
          <w:b w:val="0"/>
          <w:bCs w:val="0"/>
          <w:sz w:val="24"/>
          <w:szCs w:val="24"/>
        </w:rPr>
        <w:t xml:space="preserve">. </w:t>
      </w:r>
      <w:hyperlink r:id="rId969" w:history="1">
        <w:r w:rsidRPr="0019682E">
          <w:rPr>
            <w:rStyle w:val="Hyperlink"/>
            <w:rFonts w:eastAsiaTheme="majorEastAsia"/>
            <w:b w:val="0"/>
            <w:bCs w:val="0"/>
            <w:sz w:val="24"/>
            <w:szCs w:val="24"/>
          </w:rPr>
          <w:t>https://codes.ohio.gov/ohio-revised-code/section-4511.03</w:t>
        </w:r>
      </w:hyperlink>
      <w:r>
        <w:rPr>
          <w:b w:val="0"/>
          <w:bCs w:val="0"/>
          <w:sz w:val="24"/>
          <w:szCs w:val="24"/>
        </w:rPr>
        <w:t xml:space="preserve"> </w:t>
      </w:r>
    </w:p>
    <w:p w14:paraId="412CEE95" w14:textId="77777777" w:rsidR="006D2C51" w:rsidRDefault="006D2C51" w:rsidP="006D2C51">
      <w:pPr>
        <w:pStyle w:val="NormalWeb"/>
        <w:ind w:left="720"/>
      </w:pPr>
      <w:r>
        <w:t>“(A) The driver of any emergency vehicle or public safety vehicle, when responding to an emergency call, upon approaching a red or stop signal or any stop sign shall slow down as necessary for safety to traffic, but may proceed cautiously past such red or stop sign or signal with due regard for the safety of all persons using the street or highway.</w:t>
      </w:r>
    </w:p>
    <w:p w14:paraId="73C9AEFB" w14:textId="77777777" w:rsidR="006D2C51" w:rsidRDefault="006D2C51" w:rsidP="006D2C51">
      <w:pPr>
        <w:pStyle w:val="NormalWeb"/>
        <w:ind w:left="720"/>
      </w:pPr>
      <w:r>
        <w:t>(B) Except as otherwise provided in this division, whoever violates this section is guilty of a minor misdemeanor. If, within one year of the offense, the offender previously has been convicted of or pleaded guilty to one predicate motor vehicle or traffic offense, whoever violates this section is guilty of a misdemeanor of the fourth degree. If, within one year of the offense, the offender previously has been convicted of two or more predicate motor vehicle or traffic offenses, whoever violates this section is guilty of a misdemeanor of the third degree.</w:t>
      </w:r>
    </w:p>
    <w:p w14:paraId="1B4ABFC2" w14:textId="77777777" w:rsidR="006D2C51" w:rsidRDefault="006D2C51" w:rsidP="006D2C51">
      <w:pPr>
        <w:pStyle w:val="NormalWeb"/>
        <w:ind w:left="720"/>
      </w:pPr>
      <w:r>
        <w:t xml:space="preserve">If the offender commits the offense while distracted and the distracting activity is a contributing factor to the commission of the offense, the offender is subject to the additional fine established under section </w:t>
      </w:r>
      <w:hyperlink r:id="rId970" w:history="1">
        <w:r>
          <w:rPr>
            <w:rStyle w:val="Hyperlink"/>
            <w:rFonts w:eastAsiaTheme="majorEastAsia"/>
          </w:rPr>
          <w:t>4511.991</w:t>
        </w:r>
      </w:hyperlink>
      <w:r>
        <w:t xml:space="preserve"> of the Revised Code.”</w:t>
      </w:r>
    </w:p>
    <w:p w14:paraId="6211EDD8" w14:textId="77777777" w:rsidR="006D2C51" w:rsidRDefault="006D2C51" w:rsidP="00EF1133">
      <w:pPr>
        <w:rPr>
          <w:rFonts w:ascii="Arial Black" w:hAnsi="Arial Black"/>
          <w:b/>
          <w:sz w:val="24"/>
          <w:szCs w:val="24"/>
        </w:rPr>
      </w:pPr>
    </w:p>
    <w:p w14:paraId="6896DDF5" w14:textId="77777777" w:rsidR="006D2C51" w:rsidRDefault="006D2C51" w:rsidP="00EF1133">
      <w:pPr>
        <w:rPr>
          <w:rFonts w:ascii="Arial Black" w:hAnsi="Arial Black"/>
          <w:b/>
          <w:sz w:val="24"/>
          <w:szCs w:val="24"/>
        </w:rPr>
      </w:pPr>
    </w:p>
    <w:p w14:paraId="554D944F" w14:textId="4EF00259" w:rsidR="00557CA2" w:rsidRDefault="0002742E" w:rsidP="00EF1133">
      <w:pPr>
        <w:rPr>
          <w:rFonts w:ascii="Arial Black" w:hAnsi="Arial Black"/>
          <w:b/>
          <w:sz w:val="24"/>
          <w:szCs w:val="24"/>
        </w:rPr>
      </w:pPr>
      <w:r>
        <w:rPr>
          <w:rFonts w:ascii="Arial Black" w:hAnsi="Arial Black"/>
          <w:b/>
          <w:sz w:val="24"/>
          <w:szCs w:val="24"/>
        </w:rPr>
        <w:t>5-26</w:t>
      </w:r>
    </w:p>
    <w:p w14:paraId="2C2906E4" w14:textId="77777777" w:rsidR="0002742E" w:rsidRPr="002D3A2F" w:rsidRDefault="0002742E" w:rsidP="0002742E">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DISPATCH REFUSES SEND PD WITHOUT SPECIFIC ADDRESS – WIFE IS DRIVING DRUNK, DIES - NO CASE</w:t>
      </w:r>
    </w:p>
    <w:p w14:paraId="3CFA2269" w14:textId="77777777" w:rsidR="0002742E" w:rsidRDefault="0002742E" w:rsidP="0002742E">
      <w:pPr>
        <w:pStyle w:val="NormalWeb"/>
      </w:pPr>
      <w:r>
        <w:t xml:space="preserve">On April 21, 2022, in </w:t>
      </w:r>
      <w:r w:rsidRPr="00EA6EC1">
        <w:rPr>
          <w:u w:val="single"/>
        </w:rPr>
        <w:t>Larry E. Schultz, Special Administrator of Estate of Laurene T. Schultz, Deceased v. St. Clair County, et al</w:t>
      </w:r>
      <w:r>
        <w:t xml:space="preserve">., the Supreme Court of Illinois held (6 to 1) that the lawsuit was properly dismissed since “the decedent's decision to drive while intoxicated was the sole proximate cause of her injuries and death.”  The Court also held that the dispatcher does not enjoy absolute immunity; under 2015 amendment of the state’s Tort Immunity Act, a dispatcher and her employer can be sued if their conduct </w:t>
      </w:r>
      <w:r w:rsidRPr="00447D07">
        <w:rPr>
          <w:rStyle w:val="Emphasis"/>
          <w:rFonts w:eastAsiaTheme="majorEastAsia"/>
        </w:rPr>
        <w:t>constitutes</w:t>
      </w:r>
      <w:r>
        <w:rPr>
          <w:rStyle w:val="Emphasis"/>
          <w:rFonts w:eastAsiaTheme="majorEastAsia"/>
        </w:rPr>
        <w:t xml:space="preserve"> “</w:t>
      </w:r>
      <w:r w:rsidRPr="00447D07">
        <w:rPr>
          <w:rStyle w:val="Emphasis"/>
          <w:rFonts w:eastAsiaTheme="majorEastAsia"/>
        </w:rPr>
        <w:t>gross negligence, recklessness, or intentional misconduct</w:t>
      </w:r>
      <w:r>
        <w:t xml:space="preserve">.”  </w:t>
      </w:r>
      <w:hyperlink r:id="rId971" w:history="1">
        <w:r w:rsidRPr="00C50FC4">
          <w:rPr>
            <w:rStyle w:val="Hyperlink"/>
          </w:rPr>
          <w:t>https://casetext.com/case/schultz-v-st-clair-cnty-2</w:t>
        </w:r>
      </w:hyperlink>
      <w:r>
        <w:t xml:space="preserve"> </w:t>
      </w:r>
    </w:p>
    <w:p w14:paraId="33942B55" w14:textId="77777777" w:rsidR="0002742E" w:rsidRPr="00AA7590" w:rsidRDefault="0002742E" w:rsidP="0002742E">
      <w:pPr>
        <w:rPr>
          <w:rFonts w:ascii="Times New Roman" w:hAnsi="Times New Roman"/>
          <w:b/>
          <w:bCs/>
          <w:sz w:val="24"/>
          <w:szCs w:val="24"/>
        </w:rPr>
      </w:pPr>
      <w:r w:rsidRPr="00AA7590">
        <w:rPr>
          <w:rFonts w:ascii="Times New Roman" w:hAnsi="Times New Roman"/>
          <w:b/>
          <w:bCs/>
          <w:sz w:val="24"/>
          <w:szCs w:val="24"/>
        </w:rPr>
        <w:t xml:space="preserve">Legal Lesson Learned: Dispatchers should be trained to alert police to a drunk driver, even if the exact current location of the driver is not known. </w:t>
      </w:r>
    </w:p>
    <w:p w14:paraId="1416B89D" w14:textId="77777777" w:rsidR="0002742E" w:rsidRDefault="0002742E" w:rsidP="00EF1133">
      <w:pPr>
        <w:rPr>
          <w:rFonts w:ascii="Arial Black" w:hAnsi="Arial Black"/>
          <w:b/>
          <w:sz w:val="24"/>
          <w:szCs w:val="24"/>
        </w:rPr>
      </w:pPr>
    </w:p>
    <w:p w14:paraId="447B3904" w14:textId="28BE314E" w:rsidR="0002742E" w:rsidRDefault="0002742E" w:rsidP="00EF1133">
      <w:pPr>
        <w:rPr>
          <w:rFonts w:ascii="Arial Black" w:hAnsi="Arial Black"/>
          <w:b/>
          <w:sz w:val="24"/>
          <w:szCs w:val="24"/>
        </w:rPr>
      </w:pPr>
      <w:r>
        <w:rPr>
          <w:rFonts w:ascii="Arial Black" w:hAnsi="Arial Black"/>
          <w:b/>
          <w:sz w:val="24"/>
          <w:szCs w:val="24"/>
        </w:rPr>
        <w:t>5-25</w:t>
      </w:r>
    </w:p>
    <w:p w14:paraId="0BD343DB" w14:textId="77777777" w:rsidR="0002742E" w:rsidRPr="00420468" w:rsidRDefault="0002742E" w:rsidP="0002742E">
      <w:pPr>
        <w:spacing w:before="100" w:beforeAutospacing="1" w:after="100" w:afterAutospacing="1" w:line="240" w:lineRule="auto"/>
        <w:rPr>
          <w:rFonts w:ascii="Arial Black" w:hAnsi="Arial Black"/>
          <w:sz w:val="28"/>
          <w:szCs w:val="28"/>
        </w:rPr>
      </w:pPr>
      <w:r>
        <w:rPr>
          <w:rFonts w:ascii="Arial Black" w:hAnsi="Arial Black"/>
          <w:sz w:val="28"/>
          <w:szCs w:val="28"/>
        </w:rPr>
        <w:t>VA: VOL. FF – NOT ALLOWED DRIVE ENGINE, SHEARED OFF COMPARTMENT DOOR – CONVICTED “UNAUTHORIZED USE”</w:t>
      </w:r>
    </w:p>
    <w:p w14:paraId="42DECD33" w14:textId="77777777" w:rsidR="0002742E" w:rsidRDefault="0002742E" w:rsidP="0002742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April 12, 2022, in </w:t>
      </w:r>
      <w:r w:rsidRPr="00681FE1">
        <w:rPr>
          <w:rFonts w:ascii="Times New Roman" w:hAnsi="Times New Roman"/>
          <w:sz w:val="24"/>
          <w:szCs w:val="24"/>
          <w:u w:val="single"/>
        </w:rPr>
        <w:t>Charles Raymond Arrington v. Commonwealth of Virginia</w:t>
      </w:r>
      <w:r>
        <w:rPr>
          <w:rFonts w:ascii="Times New Roman" w:hAnsi="Times New Roman"/>
          <w:sz w:val="24"/>
          <w:szCs w:val="24"/>
        </w:rPr>
        <w:t xml:space="preserve">, the Court of Appeals of Virginia, held (3 to 0) that the volunteer firefighter, who sheared off a compartment door left open on the engine as he backed out of station, was properly convicted of unauthorized use. </w:t>
      </w:r>
      <w:r w:rsidRPr="0065182A">
        <w:rPr>
          <w:rFonts w:ascii="Times New Roman" w:hAnsi="Times New Roman"/>
          <w:sz w:val="24"/>
          <w:szCs w:val="24"/>
        </w:rPr>
        <w:t xml:space="preserve">Arrington was indicted for the unauthorized use of a vehicle belonging to the Clifton Forge Fire Department, in violation of Code § 18.2-102. If the vehicle is worth $1, 000 or more, the crime is a Class 6 felony. At his bench trial, Arrington moved to strike the evidence, arguing that the Commonwealth failed to prove "any kind of deprivation" of possession or that Arrington had "the intent to deprive" </w:t>
      </w:r>
      <w:proofErr w:type="gramStart"/>
      <w:r w:rsidRPr="0065182A">
        <w:rPr>
          <w:rFonts w:ascii="Times New Roman" w:hAnsi="Times New Roman"/>
          <w:sz w:val="24"/>
          <w:szCs w:val="24"/>
        </w:rPr>
        <w:t>the</w:t>
      </w:r>
      <w:proofErr w:type="gramEnd"/>
      <w:r w:rsidRPr="0065182A">
        <w:rPr>
          <w:rFonts w:ascii="Times New Roman" w:hAnsi="Times New Roman"/>
          <w:sz w:val="24"/>
          <w:szCs w:val="24"/>
        </w:rPr>
        <w:t xml:space="preserve"> department of possession. The court denied the motion and found Arrington guilty as charged. The court sentenced him to twelve months' incarceration, all suspended, plus two years of unsupervised probation. Arrington was also ordered to pay $21, 947.64 in restitution to the two insurance companies that had paid the department's </w:t>
      </w:r>
      <w:proofErr w:type="gramStart"/>
      <w:r w:rsidRPr="0065182A">
        <w:rPr>
          <w:rFonts w:ascii="Times New Roman" w:hAnsi="Times New Roman"/>
          <w:sz w:val="24"/>
          <w:szCs w:val="24"/>
        </w:rPr>
        <w:t>property-damage</w:t>
      </w:r>
      <w:proofErr w:type="gramEnd"/>
      <w:r w:rsidRPr="0065182A">
        <w:rPr>
          <w:rFonts w:ascii="Times New Roman" w:hAnsi="Times New Roman"/>
          <w:sz w:val="24"/>
          <w:szCs w:val="24"/>
        </w:rPr>
        <w:t xml:space="preserve"> claims.</w:t>
      </w:r>
      <w:r>
        <w:rPr>
          <w:rFonts w:ascii="Times New Roman" w:hAnsi="Times New Roman"/>
          <w:sz w:val="24"/>
          <w:szCs w:val="24"/>
        </w:rPr>
        <w:t xml:space="preserve"> </w:t>
      </w:r>
      <w:hyperlink r:id="rId972" w:history="1">
        <w:r w:rsidRPr="00E9684A">
          <w:rPr>
            <w:rStyle w:val="Hyperlink"/>
            <w:rFonts w:ascii="Times New Roman" w:hAnsi="Times New Roman"/>
            <w:sz w:val="24"/>
            <w:szCs w:val="24"/>
          </w:rPr>
          <w:t>https://law.justia.com/cases/virginia/court-of-appeals-unpublished/2022/0124-21-3.html</w:t>
        </w:r>
      </w:hyperlink>
      <w:r>
        <w:rPr>
          <w:rFonts w:ascii="Times New Roman" w:hAnsi="Times New Roman"/>
          <w:sz w:val="24"/>
          <w:szCs w:val="24"/>
        </w:rPr>
        <w:t xml:space="preserve"> </w:t>
      </w:r>
    </w:p>
    <w:p w14:paraId="67E3DFB7" w14:textId="77777777" w:rsidR="0002742E" w:rsidRDefault="0002742E" w:rsidP="0002742E">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Legal Lesson Learned: Do not drive emergency vehicles until authorized by your FD.</w:t>
      </w:r>
    </w:p>
    <w:p w14:paraId="237648CA" w14:textId="77777777" w:rsidR="0002742E" w:rsidRDefault="0002742E" w:rsidP="00EF1133">
      <w:pPr>
        <w:rPr>
          <w:rFonts w:ascii="Arial Black" w:hAnsi="Arial Black"/>
          <w:b/>
          <w:sz w:val="24"/>
          <w:szCs w:val="24"/>
        </w:rPr>
      </w:pPr>
    </w:p>
    <w:p w14:paraId="3357719E" w14:textId="77777777" w:rsidR="0002742E" w:rsidRDefault="0002742E" w:rsidP="00EF1133">
      <w:pPr>
        <w:rPr>
          <w:rFonts w:ascii="Arial Black" w:hAnsi="Arial Black"/>
          <w:b/>
          <w:sz w:val="24"/>
          <w:szCs w:val="24"/>
        </w:rPr>
      </w:pPr>
    </w:p>
    <w:p w14:paraId="0E157562" w14:textId="77777777" w:rsidR="0002742E" w:rsidRDefault="0002742E" w:rsidP="00EF1133">
      <w:pPr>
        <w:rPr>
          <w:rFonts w:ascii="Arial Black" w:hAnsi="Arial Black"/>
          <w:b/>
          <w:sz w:val="24"/>
          <w:szCs w:val="24"/>
        </w:rPr>
      </w:pPr>
    </w:p>
    <w:p w14:paraId="1B6A1ACB" w14:textId="3CAE8447" w:rsidR="00AE6CF5" w:rsidRDefault="00AE6CF5" w:rsidP="00EF1133">
      <w:pPr>
        <w:rPr>
          <w:rFonts w:ascii="Arial Black" w:hAnsi="Arial Black"/>
          <w:b/>
          <w:sz w:val="24"/>
          <w:szCs w:val="24"/>
        </w:rPr>
      </w:pPr>
      <w:r>
        <w:rPr>
          <w:rFonts w:ascii="Arial Black" w:hAnsi="Arial Black"/>
          <w:b/>
          <w:sz w:val="24"/>
          <w:szCs w:val="24"/>
        </w:rPr>
        <w:t>5-24</w:t>
      </w:r>
    </w:p>
    <w:p w14:paraId="7166C67D" w14:textId="77777777" w:rsidR="00AE6CF5" w:rsidRDefault="00AE6CF5" w:rsidP="00AE6CF5">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TX: MEDIC USED LIGHTS / BUT NO SIREN – INTERSECTION RED LIGHT - TRUCK KILLED PATIENT – NO IMMUNITY</w:t>
      </w:r>
    </w:p>
    <w:p w14:paraId="0ED998AF" w14:textId="77777777" w:rsidR="00AE6CF5" w:rsidRDefault="00AE6CF5" w:rsidP="00AE6CF5">
      <w:pPr>
        <w:spacing w:before="100" w:beforeAutospacing="1" w:after="100" w:afterAutospacing="1" w:line="240" w:lineRule="auto"/>
        <w:rPr>
          <w:rFonts w:ascii="Times New Roman" w:eastAsia="Times New Roman" w:hAnsi="Times New Roman"/>
          <w:sz w:val="24"/>
          <w:szCs w:val="24"/>
        </w:rPr>
      </w:pPr>
      <w:r w:rsidRPr="00A7603D">
        <w:rPr>
          <w:rFonts w:ascii="Times New Roman" w:eastAsia="Times New Roman" w:hAnsi="Times New Roman"/>
          <w:sz w:val="24"/>
          <w:szCs w:val="24"/>
        </w:rPr>
        <w:t xml:space="preserve">On March 17, 2022, in </w:t>
      </w:r>
      <w:r w:rsidRPr="00A7603D">
        <w:rPr>
          <w:rFonts w:ascii="Times New Roman" w:eastAsia="Times New Roman" w:hAnsi="Times New Roman"/>
          <w:sz w:val="24"/>
          <w:szCs w:val="24"/>
          <w:u w:val="single"/>
        </w:rPr>
        <w:t>Blue Bird Medical Enterprises, LLC, d/b/a Allegiance Mobile Health and Nicole Marina Mirza</w:t>
      </w:r>
      <w:r>
        <w:rPr>
          <w:rFonts w:ascii="Times New Roman" w:eastAsia="Times New Roman" w:hAnsi="Times New Roman"/>
          <w:sz w:val="24"/>
          <w:szCs w:val="24"/>
          <w:u w:val="single"/>
        </w:rPr>
        <w:t xml:space="preserve"> v. Russell Lynn Wllis, et al.</w:t>
      </w:r>
      <w:r>
        <w:rPr>
          <w:rFonts w:ascii="Times New Roman" w:eastAsia="Times New Roman" w:hAnsi="Times New Roman"/>
          <w:sz w:val="24"/>
          <w:szCs w:val="24"/>
        </w:rPr>
        <w:t xml:space="preserve">, the Court of Appeals of Texas, Fourteenth District, held (3 to 0) that trial court properly denied the defendants’ motion to dismiss, since the plaintiffs’ expert (a very experienced medic) testified the medic on a hospital to hospital transfer “breached the standard of care” when entering intersection against a red light without a siren activated.  The lawsuit may now proceed under the Texas health care liability claim. </w:t>
      </w:r>
      <w:hyperlink r:id="rId973" w:history="1">
        <w:r w:rsidRPr="005848D2">
          <w:rPr>
            <w:rStyle w:val="Hyperlink"/>
            <w:rFonts w:ascii="Times New Roman" w:hAnsi="Times New Roman"/>
            <w:sz w:val="24"/>
            <w:szCs w:val="24"/>
          </w:rPr>
          <w:t>https://law.justia.com/cases/texas/fourteenth-court-of-appeals/2022/14-20-00566-cv.html</w:t>
        </w:r>
      </w:hyperlink>
    </w:p>
    <w:p w14:paraId="4CC31B02" w14:textId="77777777" w:rsidR="00AE6CF5" w:rsidRPr="005F6421" w:rsidRDefault="00AE6CF5" w:rsidP="00AE6CF5">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5F6421">
        <w:rPr>
          <w:rFonts w:ascii="Times New Roman" w:eastAsia="Times New Roman" w:hAnsi="Times New Roman"/>
          <w:sz w:val="24"/>
          <w:szCs w:val="24"/>
        </w:rPr>
        <w:t xml:space="preserve">Nicole Mirza was driving the ambulance, with Willis as a passenger on the rear stretcher, on FM 2004 in Brazoria County. Mirza approached a red light at the intersection of FM 2004 and State Highway 288B. Mirza entered the left-hand turn lane to pass other vehicles waiting at the red light, and she pulled into the intersection using only emergency lights with no audible siren. A pickup truck struck the ambulance, causing it to overturn. Shortly thereafter, Willis collapsed and could not be resuscitated. In the crash, Willis sustained blunt force injuries with laceration of the spleen and massive internal injuries, and the blunt force trauma caused his death. </w:t>
      </w:r>
    </w:p>
    <w:p w14:paraId="73F006B9" w14:textId="77777777" w:rsidR="00AE6CF5" w:rsidRDefault="00AE6CF5" w:rsidP="00AE6CF5">
      <w:pPr>
        <w:spacing w:after="100" w:line="240" w:lineRule="auto"/>
        <w:ind w:left="720"/>
        <w:rPr>
          <w:rFonts w:ascii="Times New Roman" w:hAnsi="Times New Roman"/>
          <w:sz w:val="24"/>
          <w:szCs w:val="24"/>
        </w:rPr>
      </w:pPr>
      <w:r w:rsidRPr="005F6421">
        <w:rPr>
          <w:rFonts w:ascii="Times New Roman" w:eastAsia="Times New Roman" w:hAnsi="Times New Roman"/>
          <w:sz w:val="24"/>
          <w:szCs w:val="24"/>
        </w:rPr>
        <w:t xml:space="preserve">The driver of the pickup truck had a green light and did not hear any siren activated on the ambulance. Three eyewitnesses at the scene confirmed that Mirza had not activated the ambulance siren by the time of the collision. The investigating police officer cited Mirza's failure to activate the siren as the only contributing factor in the crash. </w:t>
      </w:r>
      <w:r>
        <w:rPr>
          <w:rFonts w:ascii="Times New Roman" w:hAnsi="Times New Roman"/>
          <w:sz w:val="24"/>
          <w:szCs w:val="24"/>
        </w:rPr>
        <w:tab/>
      </w:r>
    </w:p>
    <w:p w14:paraId="5A3ECFBB" w14:textId="77777777" w:rsidR="00AE6CF5" w:rsidRPr="005F6421" w:rsidRDefault="00AE6CF5" w:rsidP="00AE6CF5">
      <w:pPr>
        <w:spacing w:after="100" w:line="240" w:lineRule="auto"/>
        <w:ind w:left="720"/>
        <w:rPr>
          <w:rFonts w:ascii="Times New Roman" w:eastAsia="Times New Roman" w:hAnsi="Times New Roman"/>
          <w:sz w:val="24"/>
          <w:szCs w:val="24"/>
        </w:rPr>
      </w:pPr>
      <w:r>
        <w:rPr>
          <w:rFonts w:ascii="Times New Roman" w:hAnsi="Times New Roman"/>
          <w:sz w:val="24"/>
          <w:szCs w:val="24"/>
        </w:rPr>
        <w:t>Plaintiff’s expert [</w:t>
      </w:r>
      <w:r w:rsidRPr="005F6421">
        <w:rPr>
          <w:rFonts w:ascii="Times New Roman" w:eastAsia="Times New Roman" w:hAnsi="Times New Roman"/>
          <w:sz w:val="24"/>
          <w:szCs w:val="24"/>
        </w:rPr>
        <w:t>Robert Krause</w:t>
      </w:r>
      <w:r>
        <w:rPr>
          <w:rFonts w:ascii="Times New Roman" w:eastAsia="Times New Roman" w:hAnsi="Times New Roman"/>
          <w:sz w:val="24"/>
          <w:szCs w:val="24"/>
        </w:rPr>
        <w:t xml:space="preserve">, Ed.D., has </w:t>
      </w:r>
      <w:r w:rsidRPr="005F6421">
        <w:rPr>
          <w:rFonts w:ascii="Times New Roman" w:eastAsia="Times New Roman" w:hAnsi="Times New Roman"/>
          <w:sz w:val="24"/>
          <w:szCs w:val="24"/>
        </w:rPr>
        <w:t>been a practicing paramedic for nearly four decades</w:t>
      </w:r>
      <w:r>
        <w:rPr>
          <w:rFonts w:ascii="Times New Roman" w:eastAsia="Times New Roman" w:hAnsi="Times New Roman"/>
          <w:sz w:val="24"/>
          <w:szCs w:val="24"/>
        </w:rPr>
        <w:t xml:space="preserve">] </w:t>
      </w:r>
      <w:r w:rsidRPr="00CA6457">
        <w:rPr>
          <w:rFonts w:ascii="Times New Roman" w:hAnsi="Times New Roman"/>
          <w:sz w:val="24"/>
          <w:szCs w:val="24"/>
        </w:rPr>
        <w:t xml:space="preserve">then identified the different standards of care applicable to </w:t>
      </w:r>
      <w:r>
        <w:rPr>
          <w:rFonts w:ascii="Times New Roman" w:hAnsi="Times New Roman"/>
          <w:sz w:val="24"/>
          <w:szCs w:val="24"/>
        </w:rPr>
        <w:t>‘</w:t>
      </w:r>
      <w:r w:rsidRPr="00CA6457">
        <w:rPr>
          <w:rFonts w:ascii="Times New Roman" w:hAnsi="Times New Roman"/>
          <w:sz w:val="24"/>
          <w:szCs w:val="24"/>
        </w:rPr>
        <w:t>routine</w:t>
      </w:r>
      <w:r>
        <w:rPr>
          <w:rFonts w:ascii="Times New Roman" w:hAnsi="Times New Roman"/>
          <w:sz w:val="24"/>
          <w:szCs w:val="24"/>
        </w:rPr>
        <w:t>’</w:t>
      </w:r>
      <w:r w:rsidRPr="00CA6457">
        <w:rPr>
          <w:rFonts w:ascii="Times New Roman" w:hAnsi="Times New Roman"/>
          <w:sz w:val="24"/>
          <w:szCs w:val="24"/>
        </w:rPr>
        <w:t xml:space="preserve"> transports and to </w:t>
      </w:r>
      <w:r>
        <w:rPr>
          <w:rFonts w:ascii="Times New Roman" w:hAnsi="Times New Roman"/>
          <w:sz w:val="24"/>
          <w:szCs w:val="24"/>
        </w:rPr>
        <w:t>‘</w:t>
      </w:r>
      <w:r w:rsidRPr="00CA6457">
        <w:rPr>
          <w:rFonts w:ascii="Times New Roman" w:hAnsi="Times New Roman"/>
          <w:sz w:val="24"/>
          <w:szCs w:val="24"/>
        </w:rPr>
        <w:t>true emergencies,</w:t>
      </w:r>
      <w:r>
        <w:rPr>
          <w:rFonts w:ascii="Times New Roman" w:hAnsi="Times New Roman"/>
          <w:sz w:val="24"/>
          <w:szCs w:val="24"/>
        </w:rPr>
        <w:t>’</w:t>
      </w:r>
      <w:r w:rsidRPr="00CA6457">
        <w:rPr>
          <w:rFonts w:ascii="Times New Roman" w:hAnsi="Times New Roman"/>
          <w:sz w:val="24"/>
          <w:szCs w:val="24"/>
        </w:rPr>
        <w:t xml:space="preserve"> and although he asserted that Willis's transport </w:t>
      </w:r>
      <w:r>
        <w:rPr>
          <w:rFonts w:ascii="Times New Roman" w:hAnsi="Times New Roman"/>
          <w:sz w:val="24"/>
          <w:szCs w:val="24"/>
        </w:rPr>
        <w:t>‘</w:t>
      </w:r>
      <w:r w:rsidRPr="00CA6457">
        <w:rPr>
          <w:rFonts w:ascii="Times New Roman" w:hAnsi="Times New Roman"/>
          <w:sz w:val="24"/>
          <w:szCs w:val="24"/>
        </w:rPr>
        <w:t>was not an emergency,</w:t>
      </w:r>
      <w:r>
        <w:rPr>
          <w:rFonts w:ascii="Times New Roman" w:hAnsi="Times New Roman"/>
          <w:sz w:val="24"/>
          <w:szCs w:val="24"/>
        </w:rPr>
        <w:t>’</w:t>
      </w:r>
      <w:r w:rsidRPr="00CA6457">
        <w:rPr>
          <w:rFonts w:ascii="Times New Roman" w:hAnsi="Times New Roman"/>
          <w:sz w:val="24"/>
          <w:szCs w:val="24"/>
        </w:rPr>
        <w:t xml:space="preserve"> he opined that Mirza breached both standards of care.</w:t>
      </w:r>
      <w:r>
        <w:rPr>
          <w:rFonts w:ascii="Times New Roman" w:hAnsi="Times New Roman"/>
          <w:sz w:val="24"/>
          <w:szCs w:val="24"/>
        </w:rPr>
        <w:t xml:space="preserve">” </w:t>
      </w:r>
      <w:hyperlink r:id="rId974" w:history="1">
        <w:r w:rsidRPr="005848D2">
          <w:rPr>
            <w:rStyle w:val="Hyperlink"/>
            <w:rFonts w:ascii="Times New Roman" w:hAnsi="Times New Roman"/>
            <w:sz w:val="24"/>
            <w:szCs w:val="24"/>
          </w:rPr>
          <w:t>https://law.justia.com/cases/texas/fourteenth-court-of-appeals/2022/14-20-00566-cv.html</w:t>
        </w:r>
      </w:hyperlink>
      <w:r>
        <w:rPr>
          <w:rFonts w:ascii="Times New Roman" w:hAnsi="Times New Roman"/>
          <w:sz w:val="24"/>
          <w:szCs w:val="24"/>
        </w:rPr>
        <w:t xml:space="preserve"> </w:t>
      </w:r>
    </w:p>
    <w:p w14:paraId="148A37DB" w14:textId="77777777" w:rsidR="00727951" w:rsidRPr="00BB6FE9" w:rsidRDefault="00727951" w:rsidP="00727951">
      <w:pPr>
        <w:pStyle w:val="NormalWeb"/>
        <w:rPr>
          <w:b/>
          <w:bCs/>
        </w:rPr>
      </w:pPr>
      <w:r w:rsidRPr="00BB6FE9">
        <w:rPr>
          <w:b/>
          <w:bCs/>
        </w:rPr>
        <w:t>Legal Lesson Learned:</w:t>
      </w:r>
      <w:r>
        <w:rPr>
          <w:b/>
          <w:bCs/>
        </w:rPr>
        <w:t xml:space="preserve"> When driving an ambulance, or other emergency apparatus, do not enter an intersection against a red light without both siren and lights activated. A best practice, while not required by some state laws, is to have a SOG requiring full stops at controlled intersections.</w:t>
      </w:r>
    </w:p>
    <w:p w14:paraId="2E99815E" w14:textId="77777777" w:rsidR="00AE6CF5" w:rsidRDefault="00AE6CF5" w:rsidP="00EF1133">
      <w:pPr>
        <w:rPr>
          <w:rFonts w:ascii="Arial Black" w:hAnsi="Arial Black"/>
          <w:b/>
          <w:sz w:val="24"/>
          <w:szCs w:val="24"/>
        </w:rPr>
      </w:pPr>
    </w:p>
    <w:p w14:paraId="3148A01C" w14:textId="005DEEA9" w:rsidR="00AE6CF5" w:rsidRDefault="00AE6CF5" w:rsidP="00EF1133">
      <w:pPr>
        <w:rPr>
          <w:rFonts w:ascii="Arial Black" w:hAnsi="Arial Black"/>
          <w:b/>
          <w:sz w:val="24"/>
          <w:szCs w:val="24"/>
        </w:rPr>
      </w:pPr>
      <w:r>
        <w:rPr>
          <w:rFonts w:ascii="Arial Black" w:hAnsi="Arial Black"/>
          <w:b/>
          <w:sz w:val="24"/>
          <w:szCs w:val="24"/>
        </w:rPr>
        <w:t>5-23</w:t>
      </w:r>
    </w:p>
    <w:p w14:paraId="14C7391A" w14:textId="77777777" w:rsidR="00AE6CF5" w:rsidRPr="00773F77" w:rsidRDefault="00AE6CF5" w:rsidP="00AE6CF5">
      <w:pPr>
        <w:spacing w:before="100" w:beforeAutospacing="1" w:after="100" w:afterAutospacing="1" w:line="240" w:lineRule="auto"/>
        <w:rPr>
          <w:rFonts w:ascii="Arial Black" w:eastAsia="Times New Roman" w:hAnsi="Arial Black"/>
          <w:b/>
          <w:bCs/>
          <w:color w:val="000000" w:themeColor="text1"/>
          <w:sz w:val="28"/>
          <w:szCs w:val="28"/>
        </w:rPr>
      </w:pPr>
      <w:r w:rsidRPr="00773F77">
        <w:rPr>
          <w:rFonts w:ascii="Arial Black" w:eastAsia="Times New Roman" w:hAnsi="Arial Black"/>
          <w:b/>
          <w:bCs/>
          <w:color w:val="000000" w:themeColor="text1"/>
          <w:sz w:val="28"/>
          <w:szCs w:val="28"/>
        </w:rPr>
        <w:t xml:space="preserve">TX: VOL. FF DRIVING HOME AFTER FIRE – STRUCK TWO FF CHECKING TIRE ON TANKER – ONE DIED </w:t>
      </w:r>
      <w:r>
        <w:rPr>
          <w:rFonts w:ascii="Arial Black" w:eastAsia="Times New Roman" w:hAnsi="Arial Black"/>
          <w:b/>
          <w:bCs/>
          <w:color w:val="000000" w:themeColor="text1"/>
          <w:sz w:val="28"/>
          <w:szCs w:val="28"/>
        </w:rPr>
        <w:t xml:space="preserve">- </w:t>
      </w:r>
      <w:r w:rsidRPr="00773F77">
        <w:rPr>
          <w:rFonts w:ascii="Arial Black" w:eastAsia="Times New Roman" w:hAnsi="Arial Black"/>
          <w:b/>
          <w:bCs/>
          <w:color w:val="000000" w:themeColor="text1"/>
          <w:sz w:val="28"/>
          <w:szCs w:val="28"/>
        </w:rPr>
        <w:t xml:space="preserve">NO IMMUNITY </w:t>
      </w:r>
    </w:p>
    <w:p w14:paraId="39E6660C" w14:textId="77777777" w:rsidR="00AE6CF5" w:rsidRDefault="00AE6CF5" w:rsidP="00AE6CF5">
      <w:pPr>
        <w:pStyle w:val="NormalWeb"/>
      </w:pPr>
      <w:r w:rsidRPr="004D2359">
        <w:t xml:space="preserve">On </w:t>
      </w:r>
      <w:r>
        <w:t xml:space="preserve">March 17, 2022, in </w:t>
      </w:r>
      <w:r w:rsidRPr="00055EE6">
        <w:rPr>
          <w:u w:val="single"/>
        </w:rPr>
        <w:t xml:space="preserve">John Weston Roades v. Lisa Henderson, as Administratrix of the estate of Steven Henderson, Kinsley Henderson, </w:t>
      </w:r>
      <w:proofErr w:type="spellStart"/>
      <w:r w:rsidRPr="00055EE6">
        <w:rPr>
          <w:u w:val="single"/>
        </w:rPr>
        <w:t>Koale</w:t>
      </w:r>
      <w:proofErr w:type="spellEnd"/>
      <w:r w:rsidRPr="00055EE6">
        <w:rPr>
          <w:u w:val="single"/>
        </w:rPr>
        <w:t xml:space="preserve"> Jaks and Robert Popp</w:t>
      </w:r>
      <w:r>
        <w:t xml:space="preserve">, the Court of Appeals of Texas, Thirteenth District (Corpus Christi – Edinburg), held (3 to 0) </w:t>
      </w:r>
      <w:r w:rsidRPr="008C6B39">
        <w:t xml:space="preserve">that the trial court properly denied the </w:t>
      </w:r>
      <w:r>
        <w:t xml:space="preserve">motion to dismiss by the </w:t>
      </w:r>
      <w:r w:rsidRPr="008C6B39">
        <w:t>volunteer firefighter</w:t>
      </w:r>
      <w:r>
        <w:t xml:space="preserve"> </w:t>
      </w:r>
      <w:r w:rsidRPr="008C6B39">
        <w:t xml:space="preserve">with the Louise Volunteer Fire Department (LVFD), Wharton County, Texas, </w:t>
      </w:r>
      <w:r>
        <w:t>since the Texas Tort Claims Act protects governmental “employees” (defined as “in the paid service of a governmental unit) and another provision only protects volunteer firefighters “</w:t>
      </w:r>
      <w:r w:rsidRPr="00C9048E">
        <w:rPr>
          <w:rStyle w:val="Emphasis"/>
        </w:rPr>
        <w:t>while involved in or providing an emergency response</w:t>
      </w:r>
      <w:r w:rsidRPr="00C9048E">
        <w:t xml:space="preserve"> as a member of a volunteer fire department."</w:t>
      </w:r>
      <w:r>
        <w:t xml:space="preserve"> </w:t>
      </w:r>
      <w:hyperlink r:id="rId975" w:history="1">
        <w:r w:rsidRPr="005A2A16">
          <w:rPr>
            <w:rStyle w:val="Hyperlink"/>
            <w:rFonts w:eastAsiaTheme="majorEastAsia"/>
          </w:rPr>
          <w:t>https://law.justia.com/cases/texas/thirteenth-court-of-appeals/2022/13-20-00315-cv.html</w:t>
        </w:r>
      </w:hyperlink>
      <w:r>
        <w:t xml:space="preserve"> </w:t>
      </w:r>
    </w:p>
    <w:p w14:paraId="56E5BEC3" w14:textId="77777777" w:rsidR="00AE6CF5" w:rsidRDefault="00AE6CF5" w:rsidP="00AE6CF5">
      <w:pPr>
        <w:pStyle w:val="NormalWeb"/>
        <w:ind w:left="1440"/>
      </w:pPr>
      <w:r>
        <w:t xml:space="preserve">“Here, by Roades's own account, ‘the fire was under control’ and he was travelling home in his personal vehicle when the accident occurred. Thus, it is undisputed that Roades was not involved in or providing an emergency response during or at the time of the accident. Accordingly, Roades is not entitled to </w:t>
      </w:r>
      <w:proofErr w:type="gramStart"/>
      <w:r>
        <w:t>the ‘exclusions,</w:t>
      </w:r>
      <w:proofErr w:type="gramEnd"/>
      <w:r>
        <w:t xml:space="preserve"> exceptions, immunities, and </w:t>
      </w:r>
      <w:proofErr w:type="gramStart"/>
      <w:r>
        <w:t>defenses’</w:t>
      </w:r>
      <w:proofErr w:type="gramEnd"/>
      <w:r>
        <w:t xml:space="preserve"> applicable to an employee under the TTCA. </w:t>
      </w:r>
      <w:r>
        <w:rPr>
          <w:rStyle w:val="Emphasis"/>
        </w:rPr>
        <w:t>See</w:t>
      </w:r>
      <w:r>
        <w:t xml:space="preserve"> Tex. Civ. </w:t>
      </w:r>
      <w:proofErr w:type="spellStart"/>
      <w:r>
        <w:t>Prac</w:t>
      </w:r>
      <w:proofErr w:type="spellEnd"/>
      <w:r>
        <w:t xml:space="preserve">. &amp; Rem. Code Ann. §§ 78.101(1), 78.102, 78.104.” </w:t>
      </w:r>
      <w:hyperlink r:id="rId976" w:history="1">
        <w:r w:rsidRPr="005A2A16">
          <w:rPr>
            <w:rStyle w:val="Hyperlink"/>
            <w:rFonts w:eastAsiaTheme="majorEastAsia"/>
          </w:rPr>
          <w:t>https://law.justia.com/cases/texas/thirteenth-court-of-appeals/2022/13-20-00315-cv.html</w:t>
        </w:r>
      </w:hyperlink>
      <w:r>
        <w:t xml:space="preserve"> </w:t>
      </w:r>
    </w:p>
    <w:p w14:paraId="12F41A3B" w14:textId="77777777" w:rsidR="00AE6CF5" w:rsidRDefault="00AE6CF5" w:rsidP="00AE6CF5">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Here’s an article on this tragic accident. </w:t>
      </w:r>
    </w:p>
    <w:p w14:paraId="399F0B72" w14:textId="77777777" w:rsidR="00AE6CF5" w:rsidRPr="00F908DA" w:rsidRDefault="00AE6CF5" w:rsidP="00AE6CF5">
      <w:pPr>
        <w:spacing w:before="100" w:beforeAutospacing="1" w:after="100" w:afterAutospacing="1" w:line="240" w:lineRule="auto"/>
        <w:ind w:left="1440"/>
        <w:rPr>
          <w:rFonts w:ascii="Times New Roman" w:eastAsia="Times New Roman" w:hAnsi="Times New Roman"/>
          <w:sz w:val="24"/>
          <w:szCs w:val="24"/>
        </w:rPr>
      </w:pPr>
      <w:r w:rsidRPr="00F908DA">
        <w:rPr>
          <w:rFonts w:ascii="Times New Roman" w:eastAsia="Times New Roman" w:hAnsi="Times New Roman"/>
          <w:sz w:val="24"/>
          <w:szCs w:val="24"/>
        </w:rPr>
        <w:t>On Monday, October 7, 2019, Firefighter Steven Henderson with the Louise (TX) Volunteer Fire Department and another firefighter were returning from a fire call in a tanker truck when they stopped alongside the road to inspect the front tires.  While outside the vehicle, another firefighter from the same fire department driving his personal pick-up truck, who was also at the scene of the fire call and left shortly after Henderson, did not see the truck parked in the roadway or the two firefighters standing outside of it. He subsequently hit both Henderson and the other firefighter.</w:t>
      </w:r>
      <w:r>
        <w:rPr>
          <w:rFonts w:ascii="Times New Roman" w:eastAsia="Times New Roman" w:hAnsi="Times New Roman"/>
          <w:sz w:val="24"/>
          <w:szCs w:val="24"/>
        </w:rPr>
        <w:t xml:space="preserve">” </w:t>
      </w:r>
      <w:hyperlink r:id="rId977" w:anchor="gref" w:history="1">
        <w:r w:rsidRPr="005A2A16">
          <w:rPr>
            <w:rStyle w:val="Hyperlink"/>
            <w:rFonts w:ascii="Times New Roman" w:eastAsia="Times New Roman" w:hAnsi="Times New Roman"/>
            <w:sz w:val="24"/>
            <w:szCs w:val="24"/>
          </w:rPr>
          <w:t>https://www.fireengineering.com/health-safety/tx-firefighter-dies-after-being-struck/#gref</w:t>
        </w:r>
      </w:hyperlink>
      <w:r>
        <w:rPr>
          <w:rFonts w:ascii="Times New Roman" w:eastAsia="Times New Roman" w:hAnsi="Times New Roman"/>
          <w:sz w:val="24"/>
          <w:szCs w:val="24"/>
        </w:rPr>
        <w:t xml:space="preserve"> </w:t>
      </w:r>
    </w:p>
    <w:p w14:paraId="43D5B593" w14:textId="77777777" w:rsidR="00AE6CF5" w:rsidRPr="00C9048E" w:rsidRDefault="00AE6CF5" w:rsidP="00AE6CF5">
      <w:pPr>
        <w:pStyle w:val="NormalWeb"/>
        <w:rPr>
          <w:b/>
          <w:bCs/>
        </w:rPr>
      </w:pPr>
      <w:r w:rsidRPr="00927C97">
        <w:rPr>
          <w:b/>
          <w:bCs/>
        </w:rPr>
        <w:t xml:space="preserve">Legal Lesson Learned: </w:t>
      </w:r>
      <w:r>
        <w:rPr>
          <w:b/>
          <w:bCs/>
        </w:rPr>
        <w:t xml:space="preserve">Volunteer emergency responders should carefully check the law in their state; it is a wise practice to confirm with your automobile insurance carrier that you have coverage when serving as a volunteer. </w:t>
      </w:r>
    </w:p>
    <w:p w14:paraId="2DDBEC6C" w14:textId="77777777" w:rsidR="00AE6CF5" w:rsidRDefault="00AE6CF5" w:rsidP="00EF1133">
      <w:pPr>
        <w:rPr>
          <w:rFonts w:ascii="Arial Black" w:hAnsi="Arial Black"/>
          <w:b/>
          <w:sz w:val="24"/>
          <w:szCs w:val="24"/>
        </w:rPr>
      </w:pPr>
    </w:p>
    <w:p w14:paraId="7EDAB3F2" w14:textId="54900446" w:rsidR="00B5724A" w:rsidRDefault="00B5724A" w:rsidP="00EF1133">
      <w:pPr>
        <w:rPr>
          <w:rFonts w:ascii="Arial Black" w:hAnsi="Arial Black"/>
          <w:b/>
          <w:sz w:val="24"/>
          <w:szCs w:val="24"/>
        </w:rPr>
      </w:pPr>
      <w:r>
        <w:rPr>
          <w:rFonts w:ascii="Arial Black" w:hAnsi="Arial Black"/>
          <w:b/>
          <w:sz w:val="24"/>
          <w:szCs w:val="24"/>
        </w:rPr>
        <w:t>5-22</w:t>
      </w:r>
    </w:p>
    <w:p w14:paraId="6DA16F78" w14:textId="77777777" w:rsidR="00B5724A" w:rsidRDefault="00B5724A" w:rsidP="00B5724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TX: RED LIGHT - AMBULANCE DRIVER LIGHTS &amp; SIREN DIDN’T SLOW DOWN - OBSTRUCTED VIEW – NO IMMUNITY </w:t>
      </w:r>
    </w:p>
    <w:p w14:paraId="653E5251" w14:textId="77777777" w:rsidR="00B5724A" w:rsidRPr="00CB1C4F" w:rsidRDefault="00B5724A" w:rsidP="00B5724A">
      <w:pPr>
        <w:spacing w:before="100" w:beforeAutospacing="1" w:after="100" w:afterAutospacing="1" w:line="240" w:lineRule="auto"/>
        <w:rPr>
          <w:rFonts w:ascii="Times New Roman" w:hAnsi="Times New Roman"/>
          <w:sz w:val="24"/>
          <w:szCs w:val="24"/>
        </w:rPr>
      </w:pPr>
      <w:r w:rsidRPr="00E82791">
        <w:rPr>
          <w:rFonts w:ascii="Times New Roman" w:hAnsi="Times New Roman"/>
          <w:sz w:val="24"/>
          <w:szCs w:val="24"/>
        </w:rPr>
        <w:t xml:space="preserve">On </w:t>
      </w:r>
      <w:r>
        <w:rPr>
          <w:rFonts w:ascii="Times New Roman" w:hAnsi="Times New Roman"/>
          <w:sz w:val="24"/>
          <w:szCs w:val="24"/>
        </w:rPr>
        <w:t xml:space="preserve">Dec. 30, 2021, in </w:t>
      </w:r>
      <w:proofErr w:type="spellStart"/>
      <w:r w:rsidRPr="00E82791">
        <w:rPr>
          <w:rFonts w:ascii="Times New Roman" w:hAnsi="Times New Roman"/>
          <w:sz w:val="24"/>
          <w:szCs w:val="24"/>
          <w:u w:val="single"/>
        </w:rPr>
        <w:t>Seronda</w:t>
      </w:r>
      <w:proofErr w:type="spellEnd"/>
      <w:r w:rsidRPr="00E82791">
        <w:rPr>
          <w:rFonts w:ascii="Times New Roman" w:hAnsi="Times New Roman"/>
          <w:sz w:val="24"/>
          <w:szCs w:val="24"/>
          <w:u w:val="single"/>
        </w:rPr>
        <w:t xml:space="preserve"> Gillespie and </w:t>
      </w:r>
      <w:proofErr w:type="spellStart"/>
      <w:r w:rsidRPr="00E82791">
        <w:rPr>
          <w:rFonts w:ascii="Times New Roman" w:hAnsi="Times New Roman"/>
          <w:sz w:val="24"/>
          <w:szCs w:val="24"/>
          <w:u w:val="single"/>
        </w:rPr>
        <w:t>Torondia</w:t>
      </w:r>
      <w:proofErr w:type="spellEnd"/>
      <w:r w:rsidRPr="00E82791">
        <w:rPr>
          <w:rFonts w:ascii="Times New Roman" w:hAnsi="Times New Roman"/>
          <w:sz w:val="24"/>
          <w:szCs w:val="24"/>
          <w:u w:val="single"/>
        </w:rPr>
        <w:t xml:space="preserve"> </w:t>
      </w:r>
      <w:proofErr w:type="spellStart"/>
      <w:r w:rsidRPr="00E82791">
        <w:rPr>
          <w:rFonts w:ascii="Times New Roman" w:hAnsi="Times New Roman"/>
          <w:sz w:val="24"/>
          <w:szCs w:val="24"/>
          <w:u w:val="single"/>
        </w:rPr>
        <w:t>Talber</w:t>
      </w:r>
      <w:proofErr w:type="spellEnd"/>
      <w:r w:rsidRPr="00E82791">
        <w:rPr>
          <w:rFonts w:ascii="Times New Roman" w:hAnsi="Times New Roman"/>
          <w:sz w:val="24"/>
          <w:szCs w:val="24"/>
          <w:u w:val="single"/>
        </w:rPr>
        <w:t xml:space="preserve"> v. Galveston County Health District,</w:t>
      </w:r>
      <w:r>
        <w:rPr>
          <w:rFonts w:ascii="Times New Roman" w:hAnsi="Times New Roman"/>
          <w:sz w:val="24"/>
          <w:szCs w:val="24"/>
        </w:rPr>
        <w:t xml:space="preserve"> the Court of Appeals of Texas, Fourteenth District, held (3 to 0) that trial court is reversed and lawsuit reinstated. By </w:t>
      </w:r>
      <w:proofErr w:type="gramStart"/>
      <w:r>
        <w:rPr>
          <w:rFonts w:ascii="Times New Roman" w:hAnsi="Times New Roman"/>
          <w:sz w:val="24"/>
          <w:szCs w:val="24"/>
        </w:rPr>
        <w:t>entering into</w:t>
      </w:r>
      <w:proofErr w:type="gramEnd"/>
      <w:r>
        <w:rPr>
          <w:rFonts w:ascii="Times New Roman" w:hAnsi="Times New Roman"/>
          <w:sz w:val="24"/>
          <w:szCs w:val="24"/>
        </w:rPr>
        <w:t xml:space="preserve"> the obstructed intersection without slowing down as she had for prior red lights, there is sufficient evidence of “</w:t>
      </w:r>
      <w:r w:rsidRPr="00CB1C4F">
        <w:rPr>
          <w:rFonts w:ascii="Times New Roman" w:hAnsi="Times New Roman"/>
          <w:sz w:val="24"/>
          <w:szCs w:val="24"/>
        </w:rPr>
        <w:t>reckless disregard for the safety of others."</w:t>
      </w:r>
      <w:r>
        <w:rPr>
          <w:rFonts w:ascii="Times New Roman" w:hAnsi="Times New Roman"/>
          <w:sz w:val="24"/>
          <w:szCs w:val="24"/>
        </w:rPr>
        <w:t xml:space="preserve"> The posted speed was 35 mph; paramedic was going about 40 mph. </w:t>
      </w:r>
    </w:p>
    <w:p w14:paraId="22E8D3DB" w14:textId="77777777" w:rsidR="00B5724A" w:rsidRPr="00FF02D0" w:rsidRDefault="00B5724A" w:rsidP="00B5724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FF02D0">
        <w:rPr>
          <w:rFonts w:ascii="Times New Roman" w:eastAsia="Times New Roman" w:hAnsi="Times New Roman"/>
          <w:sz w:val="24"/>
          <w:szCs w:val="24"/>
        </w:rPr>
        <w:t xml:space="preserve">The </w:t>
      </w:r>
      <w:r>
        <w:rPr>
          <w:rFonts w:ascii="Times New Roman" w:eastAsia="Times New Roman" w:hAnsi="Times New Roman"/>
          <w:sz w:val="24"/>
          <w:szCs w:val="24"/>
        </w:rPr>
        <w:t xml:space="preserve">[County Health] </w:t>
      </w:r>
      <w:r w:rsidRPr="00FF02D0">
        <w:rPr>
          <w:rFonts w:ascii="Times New Roman" w:eastAsia="Times New Roman" w:hAnsi="Times New Roman"/>
          <w:sz w:val="24"/>
          <w:szCs w:val="24"/>
        </w:rPr>
        <w:t xml:space="preserve">District presented no evidence that a reasonably prudent official could have believed that Sanders-Fletcher was justified in entering the intersection without first slowing down under these circumstances. The </w:t>
      </w:r>
      <w:proofErr w:type="gramStart"/>
      <w:r w:rsidRPr="00FF02D0">
        <w:rPr>
          <w:rFonts w:ascii="Times New Roman" w:eastAsia="Times New Roman" w:hAnsi="Times New Roman"/>
          <w:sz w:val="24"/>
          <w:szCs w:val="24"/>
        </w:rPr>
        <w:t>District</w:t>
      </w:r>
      <w:proofErr w:type="gramEnd"/>
      <w:r w:rsidRPr="00FF02D0">
        <w:rPr>
          <w:rFonts w:ascii="Times New Roman" w:eastAsia="Times New Roman" w:hAnsi="Times New Roman"/>
          <w:sz w:val="24"/>
          <w:szCs w:val="24"/>
        </w:rPr>
        <w:t xml:space="preserve"> does not contend otherwise; it merely asserts on appeal that Sanders-Fletcher is entitled to official immunity because there is no fact issue as to whether her conduct was reckless and that the video shows her cautious speed and approach through the intersection. Because there is a genuine issue of material fact as to whether Sanders-Fletcher's conduct was reckless, the </w:t>
      </w:r>
      <w:proofErr w:type="gramStart"/>
      <w:r w:rsidRPr="00FF02D0">
        <w:rPr>
          <w:rFonts w:ascii="Times New Roman" w:eastAsia="Times New Roman" w:hAnsi="Times New Roman"/>
          <w:sz w:val="24"/>
          <w:szCs w:val="24"/>
        </w:rPr>
        <w:t>District's</w:t>
      </w:r>
      <w:proofErr w:type="gramEnd"/>
      <w:r w:rsidRPr="00FF02D0">
        <w:rPr>
          <w:rFonts w:ascii="Times New Roman" w:eastAsia="Times New Roman" w:hAnsi="Times New Roman"/>
          <w:sz w:val="24"/>
          <w:szCs w:val="24"/>
        </w:rPr>
        <w:t xml:space="preserve"> official-immunity argument cannot be sustained on this basis.</w:t>
      </w:r>
      <w:r>
        <w:rPr>
          <w:rFonts w:ascii="Times New Roman" w:eastAsia="Times New Roman" w:hAnsi="Times New Roman"/>
          <w:sz w:val="24"/>
          <w:szCs w:val="24"/>
        </w:rPr>
        <w:t xml:space="preserve">” </w:t>
      </w:r>
      <w:r w:rsidRPr="00FF02D0">
        <w:rPr>
          <w:rFonts w:ascii="Times New Roman" w:eastAsia="Times New Roman" w:hAnsi="Times New Roman"/>
          <w:sz w:val="24"/>
          <w:szCs w:val="24"/>
        </w:rPr>
        <w:t xml:space="preserve"> </w:t>
      </w:r>
      <w:hyperlink r:id="rId978" w:history="1">
        <w:r w:rsidRPr="00EC5853">
          <w:rPr>
            <w:rStyle w:val="Hyperlink"/>
            <w:rFonts w:ascii="Times New Roman" w:eastAsia="Times New Roman" w:hAnsi="Times New Roman"/>
            <w:sz w:val="24"/>
            <w:szCs w:val="24"/>
          </w:rPr>
          <w:t>https://public.fastcase.com/9SKwsfNqTc6OieYDhNMyMxYFAOB%2B8Exz96lCVjgKZ3LX4kIIj1F%2BwgWx84FRdD2XxPjZrEkhT3uMWAcBEArrI0vrm%2B5Vt5gbBlhQIZhqFuE%3D</w:t>
        </w:r>
      </w:hyperlink>
      <w:r>
        <w:rPr>
          <w:rFonts w:ascii="Times New Roman" w:eastAsia="Times New Roman" w:hAnsi="Times New Roman"/>
          <w:sz w:val="24"/>
          <w:szCs w:val="24"/>
        </w:rPr>
        <w:t xml:space="preserve"> </w:t>
      </w:r>
    </w:p>
    <w:p w14:paraId="326AB7B5" w14:textId="77777777" w:rsidR="00B5724A" w:rsidRPr="002C414E" w:rsidRDefault="00B5724A" w:rsidP="00B5724A">
      <w:pPr>
        <w:spacing w:before="100" w:beforeAutospacing="1" w:after="100" w:afterAutospacing="1" w:line="240" w:lineRule="auto"/>
        <w:rPr>
          <w:rFonts w:ascii="Times New Roman" w:hAnsi="Times New Roman"/>
          <w:b/>
          <w:bCs/>
          <w:sz w:val="24"/>
          <w:szCs w:val="24"/>
        </w:rPr>
      </w:pPr>
      <w:r w:rsidRPr="002C414E">
        <w:rPr>
          <w:rFonts w:ascii="Times New Roman" w:hAnsi="Times New Roman"/>
          <w:b/>
          <w:bCs/>
          <w:sz w:val="24"/>
          <w:szCs w:val="24"/>
        </w:rPr>
        <w:t xml:space="preserve">Legal Lesson Learned: Operators of emergency vehicles should slow down when approaching a red light or stop sign, particularly if on a road with obstructed views. </w:t>
      </w:r>
    </w:p>
    <w:p w14:paraId="431666F5" w14:textId="77777777" w:rsidR="00B5724A" w:rsidRPr="002C414E" w:rsidRDefault="00B5724A" w:rsidP="00B5724A">
      <w:pPr>
        <w:pStyle w:val="Heading1"/>
        <w:ind w:left="720"/>
        <w:rPr>
          <w:b w:val="0"/>
          <w:bCs w:val="0"/>
          <w:sz w:val="24"/>
          <w:szCs w:val="24"/>
        </w:rPr>
      </w:pPr>
      <w:r w:rsidRPr="002C414E">
        <w:rPr>
          <w:b w:val="0"/>
          <w:bCs w:val="0"/>
          <w:sz w:val="24"/>
          <w:szCs w:val="24"/>
        </w:rPr>
        <w:t xml:space="preserve">Note: Ohio Revised Code Section 4511.03 </w:t>
      </w:r>
      <w:r w:rsidRPr="002C414E">
        <w:rPr>
          <w:rStyle w:val="codes-separator"/>
          <w:b w:val="0"/>
          <w:bCs w:val="0"/>
          <w:sz w:val="24"/>
          <w:szCs w:val="24"/>
        </w:rPr>
        <w:t>|</w:t>
      </w:r>
      <w:r w:rsidRPr="002C414E">
        <w:rPr>
          <w:b w:val="0"/>
          <w:bCs w:val="0"/>
          <w:sz w:val="24"/>
          <w:szCs w:val="24"/>
        </w:rPr>
        <w:t xml:space="preserve"> Emergency vehicles at red signal or stop sign. </w:t>
      </w:r>
      <w:hyperlink r:id="rId979" w:history="1">
        <w:r w:rsidRPr="002C414E">
          <w:rPr>
            <w:rFonts w:eastAsiaTheme="majorEastAsia"/>
            <w:b w:val="0"/>
            <w:bCs w:val="0"/>
            <w:sz w:val="24"/>
            <w:szCs w:val="24"/>
          </w:rPr>
          <w:t>https://codes.ohio.gov/ohio-revised-code/section-4511.03</w:t>
        </w:r>
      </w:hyperlink>
      <w:r w:rsidRPr="002C414E">
        <w:rPr>
          <w:b w:val="0"/>
          <w:bCs w:val="0"/>
          <w:sz w:val="24"/>
          <w:szCs w:val="24"/>
        </w:rPr>
        <w:t xml:space="preserve"> </w:t>
      </w:r>
    </w:p>
    <w:p w14:paraId="4D78946D" w14:textId="77777777" w:rsidR="00B5724A" w:rsidRPr="002C414E" w:rsidRDefault="00B5724A" w:rsidP="00B5724A">
      <w:pPr>
        <w:spacing w:before="100" w:beforeAutospacing="1" w:after="100" w:afterAutospacing="1" w:line="240" w:lineRule="auto"/>
        <w:ind w:left="1440"/>
        <w:rPr>
          <w:rFonts w:ascii="Times New Roman" w:eastAsia="Times New Roman" w:hAnsi="Times New Roman"/>
          <w:sz w:val="24"/>
          <w:szCs w:val="24"/>
        </w:rPr>
      </w:pPr>
      <w:r w:rsidRPr="002C414E">
        <w:rPr>
          <w:rFonts w:ascii="Times New Roman" w:hAnsi="Times New Roman"/>
          <w:sz w:val="24"/>
          <w:szCs w:val="24"/>
        </w:rPr>
        <w:t>“(A) The driver of any emergency vehicle or public safety vehicle, when responding to an emergency call, upon approaching a red or stop signal or any stop sign shall slow down as necessary for safety to traffic, but may proceed cautiously past such red or stop sign or signal with due regard for the safety of all persons using the street or highway.”</w:t>
      </w:r>
    </w:p>
    <w:p w14:paraId="6B1FF64C" w14:textId="77777777" w:rsidR="00B5724A" w:rsidRDefault="00B5724A" w:rsidP="00EF1133">
      <w:pPr>
        <w:rPr>
          <w:rFonts w:ascii="Arial Black" w:hAnsi="Arial Black"/>
          <w:b/>
          <w:sz w:val="24"/>
          <w:szCs w:val="24"/>
        </w:rPr>
      </w:pPr>
    </w:p>
    <w:p w14:paraId="30A46054" w14:textId="273659CE" w:rsidR="00BC5936" w:rsidRPr="00BC5936" w:rsidRDefault="00BC5936" w:rsidP="00EF1133">
      <w:pPr>
        <w:rPr>
          <w:rFonts w:ascii="Times New Roman" w:hAnsi="Times New Roman"/>
          <w:bCs/>
          <w:sz w:val="24"/>
          <w:szCs w:val="24"/>
        </w:rPr>
      </w:pPr>
      <w:r>
        <w:rPr>
          <w:rFonts w:ascii="Arial Black" w:hAnsi="Arial Black"/>
          <w:b/>
          <w:sz w:val="24"/>
          <w:szCs w:val="24"/>
        </w:rPr>
        <w:t xml:space="preserve">5-21 </w:t>
      </w:r>
      <w:r>
        <w:rPr>
          <w:rFonts w:ascii="Times New Roman" w:hAnsi="Times New Roman"/>
          <w:bCs/>
          <w:sz w:val="24"/>
          <w:szCs w:val="24"/>
        </w:rPr>
        <w:t>[also filed, Chap. 13]</w:t>
      </w:r>
    </w:p>
    <w:p w14:paraId="5A6B839B" w14:textId="77777777" w:rsidR="00BC5936" w:rsidRPr="002F193B" w:rsidRDefault="00BC5936" w:rsidP="00BC5936">
      <w:pPr>
        <w:pStyle w:val="NoSpacing"/>
        <w:rPr>
          <w:rFonts w:ascii="Arial Black" w:hAnsi="Arial Black"/>
          <w:sz w:val="28"/>
          <w:szCs w:val="28"/>
        </w:rPr>
      </w:pPr>
      <w:r>
        <w:rPr>
          <w:rFonts w:ascii="Arial Black" w:hAnsi="Arial Black"/>
          <w:sz w:val="28"/>
          <w:szCs w:val="28"/>
        </w:rPr>
        <w:t>WV: AMBULANCE ROLL OVER - 2 KILLED, EMT’S LAWSUIT HOSP. DISMISSED – MEDICAL CERT. OF MERIT REQUIRED</w:t>
      </w:r>
    </w:p>
    <w:p w14:paraId="69A4B9FB" w14:textId="77777777" w:rsidR="00BC5936" w:rsidRDefault="00BC5936" w:rsidP="00BC5936">
      <w:pPr>
        <w:pStyle w:val="NoSpacing"/>
      </w:pPr>
    </w:p>
    <w:p w14:paraId="6F7FC8DE" w14:textId="77777777" w:rsidR="00BC5936" w:rsidRDefault="00BC5936" w:rsidP="00BC5936">
      <w:pPr>
        <w:pStyle w:val="NoSpacing"/>
        <w:rPr>
          <w:rFonts w:ascii="Times New Roman" w:hAnsi="Times New Roman"/>
          <w:sz w:val="24"/>
          <w:szCs w:val="24"/>
        </w:rPr>
      </w:pPr>
      <w:r w:rsidRPr="00397962">
        <w:rPr>
          <w:rFonts w:ascii="Times New Roman" w:hAnsi="Times New Roman"/>
          <w:sz w:val="24"/>
          <w:szCs w:val="24"/>
        </w:rPr>
        <w:t xml:space="preserve">On May 20, 2021, in </w:t>
      </w:r>
      <w:r w:rsidRPr="00397962">
        <w:rPr>
          <w:rFonts w:ascii="Times New Roman" w:hAnsi="Times New Roman"/>
          <w:sz w:val="24"/>
          <w:szCs w:val="24"/>
          <w:u w:val="single"/>
        </w:rPr>
        <w:t>Crystal G. Brown and Tri-State Ambulance, Inc. v. Ohio Valley Health Services &amp; Education Corporation; Ohio Valley Medical Center; et al</w:t>
      </w:r>
      <w:r>
        <w:rPr>
          <w:rFonts w:ascii="Times New Roman" w:hAnsi="Times New Roman"/>
          <w:sz w:val="24"/>
          <w:szCs w:val="24"/>
        </w:rPr>
        <w:t xml:space="preserve">., the State of West Virginia Supreme Court of Appeals, </w:t>
      </w:r>
      <w:r w:rsidRPr="00FD6489">
        <w:rPr>
          <w:rStyle w:val="font-weight-bold"/>
          <w:rFonts w:ascii="Times New Roman" w:hAnsi="Times New Roman"/>
          <w:sz w:val="24"/>
          <w:szCs w:val="24"/>
        </w:rPr>
        <w:t>Brown v. Ohio Valley Health Servs. &amp; Educ. Corp. (W. Va. 202</w:t>
      </w:r>
      <w:r>
        <w:rPr>
          <w:rFonts w:ascii="Times New Roman" w:hAnsi="Times New Roman"/>
          <w:sz w:val="24"/>
          <w:szCs w:val="24"/>
        </w:rPr>
        <w:t xml:space="preserve">1, held (3 to 0) that the lawsuit was properly dismissed since the West Virginia code of medical professional liability requires both patients and others suing a health care provider 30 days </w:t>
      </w:r>
      <w:proofErr w:type="gramStart"/>
      <w:r>
        <w:rPr>
          <w:rFonts w:ascii="Times New Roman" w:hAnsi="Times New Roman"/>
          <w:sz w:val="24"/>
          <w:szCs w:val="24"/>
        </w:rPr>
        <w:t>prior</w:t>
      </w:r>
      <w:proofErr w:type="gramEnd"/>
      <w:r>
        <w:rPr>
          <w:rFonts w:ascii="Times New Roman" w:hAnsi="Times New Roman"/>
          <w:sz w:val="24"/>
          <w:szCs w:val="24"/>
        </w:rPr>
        <w:t xml:space="preserve"> written notice, and a certificate of merit by a qualified health care provider.  The EMT in her lawsuit claimed the hospital knew but failed to disclose that transporting the patient to a Columbus, OH hospital was not medically necessary to save his life and that dangerous weather was approaching; the Ambulance company’s insurance provider sought reimbursement for its settlement costs.</w:t>
      </w:r>
    </w:p>
    <w:p w14:paraId="1449E210" w14:textId="77777777" w:rsidR="00BC5936" w:rsidRPr="00FD6489" w:rsidRDefault="00BC5936" w:rsidP="00BC5936">
      <w:pPr>
        <w:spacing w:before="100" w:beforeAutospacing="1" w:after="100" w:afterAutospacing="1"/>
        <w:ind w:left="720"/>
        <w:rPr>
          <w:rFonts w:ascii="Times New Roman" w:hAnsi="Times New Roman"/>
          <w:sz w:val="24"/>
          <w:szCs w:val="24"/>
        </w:rPr>
      </w:pPr>
      <w:r>
        <w:rPr>
          <w:rFonts w:ascii="Times New Roman" w:hAnsi="Times New Roman"/>
          <w:sz w:val="24"/>
          <w:szCs w:val="24"/>
        </w:rPr>
        <w:t>“</w:t>
      </w:r>
      <w:r w:rsidRPr="00FD6489">
        <w:rPr>
          <w:rFonts w:ascii="Times New Roman" w:hAnsi="Times New Roman"/>
          <w:sz w:val="24"/>
          <w:szCs w:val="24"/>
        </w:rPr>
        <w:t xml:space="preserve">That Petitioner Brown was not the patient does not preclude application of the MPLA. [Medical Professional Liability Act].  In syllabus point 5 of </w:t>
      </w:r>
      <w:r w:rsidRPr="00FD6489">
        <w:rPr>
          <w:rFonts w:ascii="Times New Roman" w:hAnsi="Times New Roman"/>
          <w:i/>
          <w:iCs/>
          <w:sz w:val="24"/>
          <w:szCs w:val="24"/>
        </w:rPr>
        <w:t>Osbourne v</w:t>
      </w:r>
      <w:r w:rsidRPr="00FD6489">
        <w:rPr>
          <w:rFonts w:ascii="Times New Roman" w:hAnsi="Times New Roman"/>
          <w:sz w:val="24"/>
          <w:szCs w:val="24"/>
        </w:rPr>
        <w:t xml:space="preserve">. </w:t>
      </w:r>
      <w:r w:rsidRPr="00FD6489">
        <w:rPr>
          <w:rFonts w:ascii="Times New Roman" w:hAnsi="Times New Roman"/>
          <w:i/>
          <w:iCs/>
          <w:sz w:val="24"/>
          <w:szCs w:val="24"/>
        </w:rPr>
        <w:t>United States</w:t>
      </w:r>
      <w:r w:rsidRPr="00FD6489">
        <w:rPr>
          <w:rFonts w:ascii="Times New Roman" w:hAnsi="Times New Roman"/>
          <w:sz w:val="24"/>
          <w:szCs w:val="24"/>
        </w:rPr>
        <w:t xml:space="preserve">, 211 W. Va. 667, 567 S.E.2d 677 (2002), we held that the Act </w:t>
      </w:r>
      <w:r>
        <w:rPr>
          <w:rFonts w:ascii="Times New Roman" w:hAnsi="Times New Roman"/>
          <w:sz w:val="24"/>
          <w:szCs w:val="24"/>
        </w:rPr>
        <w:t>‘</w:t>
      </w:r>
      <w:r w:rsidRPr="00FD6489">
        <w:rPr>
          <w:rFonts w:ascii="Times New Roman" w:hAnsi="Times New Roman"/>
          <w:sz w:val="24"/>
          <w:szCs w:val="24"/>
        </w:rPr>
        <w:t>permits a third party to bring a cause of action against a health care provider for foreseeable injuries that were proximately caused by the health care provider's negligent treatment of a tortfeasor patient.</w:t>
      </w:r>
      <w:r>
        <w:rPr>
          <w:rFonts w:ascii="Times New Roman" w:hAnsi="Times New Roman"/>
          <w:sz w:val="24"/>
          <w:szCs w:val="24"/>
        </w:rPr>
        <w:t>’</w:t>
      </w:r>
      <w:r w:rsidRPr="00FD6489">
        <w:rPr>
          <w:rFonts w:ascii="Times New Roman" w:hAnsi="Times New Roman"/>
          <w:sz w:val="24"/>
          <w:szCs w:val="24"/>
        </w:rPr>
        <w:t xml:space="preserve"> In reaching this holding, we observed that, in defining </w:t>
      </w:r>
      <w:r>
        <w:rPr>
          <w:rFonts w:ascii="Times New Roman" w:hAnsi="Times New Roman"/>
          <w:sz w:val="24"/>
          <w:szCs w:val="24"/>
        </w:rPr>
        <w:t>‘</w:t>
      </w:r>
      <w:r w:rsidRPr="00FD6489">
        <w:rPr>
          <w:rFonts w:ascii="Times New Roman" w:hAnsi="Times New Roman"/>
          <w:sz w:val="24"/>
          <w:szCs w:val="24"/>
        </w:rPr>
        <w:t>medical professional liability</w:t>
      </w:r>
      <w:r>
        <w:rPr>
          <w:rFonts w:ascii="Times New Roman" w:hAnsi="Times New Roman"/>
          <w:sz w:val="24"/>
          <w:szCs w:val="24"/>
        </w:rPr>
        <w:t xml:space="preserve">.’” </w:t>
      </w:r>
      <w:hyperlink r:id="rId980" w:history="1">
        <w:r w:rsidRPr="007344F4">
          <w:rPr>
            <w:rStyle w:val="Hyperlink"/>
            <w:sz w:val="24"/>
            <w:szCs w:val="24"/>
          </w:rPr>
          <w:t>https://casetext.com/case/brown-v-ohio-valley-health-servs-educ-corp</w:t>
        </w:r>
      </w:hyperlink>
      <w:r>
        <w:rPr>
          <w:rFonts w:ascii="Times New Roman" w:hAnsi="Times New Roman"/>
          <w:sz w:val="24"/>
          <w:szCs w:val="24"/>
        </w:rPr>
        <w:t xml:space="preserve"> </w:t>
      </w:r>
    </w:p>
    <w:p w14:paraId="71724B90" w14:textId="77777777" w:rsidR="00BC5936" w:rsidRPr="006723F9" w:rsidRDefault="00BC5936" w:rsidP="00BC5936">
      <w:pPr>
        <w:spacing w:before="100" w:beforeAutospacing="1" w:after="100" w:afterAutospacing="1"/>
        <w:rPr>
          <w:rFonts w:ascii="Times New Roman" w:eastAsia="Times New Roman" w:hAnsi="Times New Roman"/>
          <w:b/>
          <w:bCs/>
          <w:sz w:val="24"/>
          <w:szCs w:val="24"/>
        </w:rPr>
      </w:pPr>
      <w:r w:rsidRPr="006723F9">
        <w:rPr>
          <w:rFonts w:ascii="Times New Roman" w:hAnsi="Times New Roman"/>
          <w:b/>
          <w:bCs/>
          <w:sz w:val="24"/>
          <w:szCs w:val="24"/>
        </w:rPr>
        <w:t xml:space="preserve">Legal Lesson Learned:  </w:t>
      </w:r>
      <w:r>
        <w:rPr>
          <w:rFonts w:ascii="Times New Roman" w:hAnsi="Times New Roman"/>
          <w:b/>
          <w:bCs/>
          <w:sz w:val="24"/>
          <w:szCs w:val="24"/>
        </w:rPr>
        <w:t xml:space="preserve">Lawsuit dismissed since EMT and her attorney </w:t>
      </w:r>
      <w:r w:rsidRPr="006723F9">
        <w:rPr>
          <w:rFonts w:ascii="Times New Roman" w:hAnsi="Times New Roman"/>
          <w:b/>
          <w:bCs/>
          <w:sz w:val="24"/>
          <w:szCs w:val="24"/>
        </w:rPr>
        <w:t xml:space="preserve">didn’t </w:t>
      </w:r>
      <w:r>
        <w:rPr>
          <w:rFonts w:ascii="Times New Roman" w:hAnsi="Times New Roman"/>
          <w:b/>
          <w:bCs/>
          <w:sz w:val="24"/>
          <w:szCs w:val="24"/>
        </w:rPr>
        <w:t xml:space="preserve">provide the Certificate of Merit required by the Medical Professional Liability </w:t>
      </w:r>
      <w:r w:rsidRPr="006723F9">
        <w:rPr>
          <w:rFonts w:ascii="Times New Roman" w:hAnsi="Times New Roman"/>
          <w:b/>
          <w:bCs/>
          <w:sz w:val="24"/>
          <w:szCs w:val="24"/>
        </w:rPr>
        <w:t xml:space="preserve">statute. </w:t>
      </w:r>
      <w:r>
        <w:rPr>
          <w:rFonts w:ascii="Times New Roman" w:hAnsi="Times New Roman"/>
          <w:b/>
          <w:bCs/>
          <w:sz w:val="24"/>
          <w:szCs w:val="24"/>
        </w:rPr>
        <w:t xml:space="preserve"> Similar statutes can be found throughout U.S. </w:t>
      </w:r>
    </w:p>
    <w:p w14:paraId="48C9C5A7" w14:textId="77777777" w:rsidR="00BC5936" w:rsidRDefault="00BC5936" w:rsidP="00BC5936">
      <w:pPr>
        <w:spacing w:before="100" w:beforeAutospacing="1" w:after="100" w:afterAutospacing="1"/>
        <w:ind w:left="720"/>
        <w:rPr>
          <w:rFonts w:ascii="Times New Roman" w:hAnsi="Times New Roman"/>
          <w:sz w:val="24"/>
          <w:szCs w:val="24"/>
        </w:rPr>
      </w:pPr>
      <w:r>
        <w:rPr>
          <w:rFonts w:ascii="Times New Roman" w:eastAsia="Times New Roman" w:hAnsi="Times New Roman"/>
          <w:sz w:val="24"/>
          <w:szCs w:val="24"/>
        </w:rPr>
        <w:t>Note: See this article on the roll over.</w:t>
      </w:r>
    </w:p>
    <w:p w14:paraId="7FB078B2" w14:textId="77777777" w:rsidR="00BC5936" w:rsidRPr="006C56B5" w:rsidRDefault="00BC5936" w:rsidP="00BC5936">
      <w:pPr>
        <w:ind w:left="720"/>
        <w:rPr>
          <w:rFonts w:ascii="Times New Roman" w:hAnsi="Times New Roman"/>
          <w:sz w:val="24"/>
          <w:szCs w:val="24"/>
        </w:rPr>
      </w:pPr>
      <w:r w:rsidRPr="006C56B5">
        <w:rPr>
          <w:rFonts w:ascii="Times New Roman" w:hAnsi="Times New Roman"/>
          <w:b/>
          <w:bCs/>
          <w:sz w:val="24"/>
          <w:szCs w:val="24"/>
        </w:rPr>
        <w:t>Two Dead After Ambulance Rollover</w:t>
      </w:r>
      <w:r>
        <w:rPr>
          <w:rFonts w:ascii="Times New Roman" w:hAnsi="Times New Roman"/>
          <w:sz w:val="24"/>
          <w:szCs w:val="24"/>
        </w:rPr>
        <w:t xml:space="preserve"> (Dec. 17, 2016): </w:t>
      </w:r>
      <w:hyperlink r:id="rId981" w:history="1">
        <w:r w:rsidRPr="006C56B5">
          <w:rPr>
            <w:rStyle w:val="Hyperlink"/>
            <w:sz w:val="24"/>
            <w:szCs w:val="24"/>
          </w:rPr>
          <w:t>https://www.zanesvilletimesrecorder.com/story/news/local/2016/12/17/two-dead-after-ambulance-rollover/95557626/</w:t>
        </w:r>
      </w:hyperlink>
      <w:r w:rsidRPr="006C56B5">
        <w:rPr>
          <w:rFonts w:ascii="Times New Roman" w:hAnsi="Times New Roman"/>
          <w:sz w:val="24"/>
          <w:szCs w:val="24"/>
        </w:rPr>
        <w:t xml:space="preserve"> </w:t>
      </w:r>
    </w:p>
    <w:p w14:paraId="30134D7C" w14:textId="77777777" w:rsidR="00BC5936" w:rsidRPr="006C56B5" w:rsidRDefault="00BC5936" w:rsidP="00BC5936">
      <w:pPr>
        <w:ind w:left="1440"/>
        <w:rPr>
          <w:rFonts w:ascii="Times New Roman" w:hAnsi="Times New Roman"/>
          <w:sz w:val="24"/>
          <w:szCs w:val="24"/>
        </w:rPr>
      </w:pPr>
      <w:r w:rsidRPr="006C56B5">
        <w:rPr>
          <w:rFonts w:ascii="Times New Roman" w:hAnsi="Times New Roman"/>
          <w:sz w:val="24"/>
          <w:szCs w:val="24"/>
        </w:rPr>
        <w:t>CAMBRIDGE, OH- Two people died early Saturday morning after an ambulance lost control and overturned several times, according to a release from the Cambridge Post of the Ohio Highway Patrol.</w:t>
      </w:r>
    </w:p>
    <w:p w14:paraId="6F905B98" w14:textId="77777777" w:rsidR="00BC5936" w:rsidRDefault="00BC5936" w:rsidP="00BC5936">
      <w:pPr>
        <w:pStyle w:val="gntarbp"/>
        <w:ind w:left="1440"/>
      </w:pPr>
      <w:r>
        <w:t>According to the release, shortly after 2 a.m. an ambulance, registered to Tri State Ambulance, was transporting a patient on I-70 westbound near milepost 176 when it lost control, drove off the left edge of the interstate and overturned multiple times.</w:t>
      </w:r>
    </w:p>
    <w:p w14:paraId="1016D659" w14:textId="77777777" w:rsidR="00BC5936" w:rsidRDefault="00BC5936" w:rsidP="00BC5936">
      <w:pPr>
        <w:pStyle w:val="gntarbp"/>
        <w:ind w:left="1440"/>
      </w:pPr>
      <w:r>
        <w:t>At the time of the crash, a patient and four emergency medical personnel were in the ambulance. A patient and one of the emergency personnel, both in the patient care area of the ambulance, were killed in the crash. The three other emergency personnel sustained minor injuries, which were treated at Southeastern Medical Center.</w:t>
      </w:r>
    </w:p>
    <w:p w14:paraId="5729DF2F" w14:textId="77777777" w:rsidR="00BC5936" w:rsidRPr="006C56B5" w:rsidRDefault="00BC5936" w:rsidP="00BC5936">
      <w:pPr>
        <w:pStyle w:val="gntarbp"/>
        <w:ind w:left="1440"/>
      </w:pPr>
      <w:r>
        <w:t xml:space="preserve">Killed in the crash were the patient, Dennis Calvert, 64, of Wheeling West Virginia, and emergency personnel Charles McMahan, 39, of New Matamoras. Injured in the crash </w:t>
      </w:r>
      <w:proofErr w:type="gramStart"/>
      <w:r>
        <w:t>were the driver,</w:t>
      </w:r>
      <w:proofErr w:type="gramEnd"/>
      <w:r>
        <w:t xml:space="preserve"> Crystal Brown, 33</w:t>
      </w:r>
      <w:proofErr w:type="gramStart"/>
      <w:r>
        <w:t>, of</w:t>
      </w:r>
      <w:proofErr w:type="gramEnd"/>
      <w:r>
        <w:t xml:space="preserve"> Proctor, West Virginia, passengers Jennifer Rothwell, 32, of Wheeling, West Virginia, and Randi Watson, 37, of Glen Easton, West Virginia.</w:t>
      </w:r>
    </w:p>
    <w:p w14:paraId="7C63F985" w14:textId="77777777" w:rsidR="00BC5936" w:rsidRPr="00D1078B" w:rsidRDefault="00BC5936" w:rsidP="00BC5936">
      <w:pPr>
        <w:spacing w:before="100" w:beforeAutospacing="1" w:after="100" w:afterAutospacing="1"/>
        <w:ind w:left="720"/>
        <w:rPr>
          <w:rFonts w:ascii="Times New Roman" w:hAnsi="Times New Roman"/>
          <w:sz w:val="24"/>
          <w:szCs w:val="24"/>
        </w:rPr>
      </w:pPr>
      <w:r w:rsidRPr="00D1078B">
        <w:rPr>
          <w:rFonts w:ascii="Times New Roman" w:hAnsi="Times New Roman"/>
          <w:sz w:val="24"/>
          <w:szCs w:val="24"/>
        </w:rPr>
        <w:t xml:space="preserve">The West Virginia </w:t>
      </w:r>
      <w:r w:rsidRPr="00FD6489">
        <w:rPr>
          <w:rFonts w:ascii="Times New Roman" w:hAnsi="Times New Roman"/>
          <w:sz w:val="24"/>
          <w:szCs w:val="24"/>
        </w:rPr>
        <w:t>Medical Professional Liability Act</w:t>
      </w:r>
      <w:r>
        <w:rPr>
          <w:rFonts w:ascii="Times New Roman" w:hAnsi="Times New Roman"/>
          <w:sz w:val="24"/>
          <w:szCs w:val="24"/>
        </w:rPr>
        <w:t xml:space="preserve"> provides: </w:t>
      </w:r>
      <w:hyperlink r:id="rId982" w:history="1">
        <w:r w:rsidRPr="00C15479">
          <w:rPr>
            <w:rStyle w:val="Hyperlink"/>
            <w:sz w:val="24"/>
            <w:szCs w:val="24"/>
          </w:rPr>
          <w:t>https://law.justia.com/codes/west-virginia/2017/chapter-55/article-7b/section-55-7b-6/</w:t>
        </w:r>
      </w:hyperlink>
    </w:p>
    <w:p w14:paraId="22684F4A" w14:textId="77777777" w:rsidR="00BC5936" w:rsidRPr="002F193B" w:rsidRDefault="00BC5936" w:rsidP="00BC5936">
      <w:pPr>
        <w:spacing w:before="100" w:beforeAutospacing="1" w:after="100" w:afterAutospacing="1"/>
        <w:ind w:left="1440"/>
        <w:rPr>
          <w:rFonts w:ascii="Times New Roman" w:eastAsia="Times New Roman" w:hAnsi="Times New Roman"/>
          <w:sz w:val="24"/>
          <w:szCs w:val="24"/>
        </w:rPr>
      </w:pPr>
      <w:r>
        <w:rPr>
          <w:rFonts w:ascii="Times New Roman" w:hAnsi="Times New Roman"/>
          <w:sz w:val="24"/>
          <w:szCs w:val="24"/>
        </w:rPr>
        <w:t>“</w:t>
      </w:r>
      <w:r w:rsidRPr="00D1078B">
        <w:rPr>
          <w:rFonts w:ascii="Times New Roman" w:hAnsi="Times New Roman"/>
          <w:sz w:val="24"/>
          <w:szCs w:val="24"/>
        </w:rPr>
        <w:t xml:space="preserve">(b) At least thirty days prior to the filing of a medical professional liability action against a health care provider, the claimant shall serve by certified mail, return receipt requested, a notice of claim on each health care provider the claimant will join in litigation. The notice of claim shall include a statement of the theory or theories of liability upon which a cause of action may be based, and a list of all health care providers and health care facilities to whom notices of claim are being sent, together with a screening certificate of merit. The screening certificate of merit shall be executed under oath by a health care provider qualified as an expert under the West Virginia rules of evidence and shall state with particularity: (1) The expert’s familiarity with the applicable standard of care in issue; (2) the expert’s qualifications; (3) the expert’s opinion as to how the applicable standard of care was breached; and (4) the expert’s opinion as to how the breach of the applicable standard of care resulted in injury or death. A separate screening certificate of merit must be provided for each health care provider against whom a claim is asserted. The person signing the screening certificate of merit shall have no financial interest in the underlying </w:t>
      </w:r>
      <w:proofErr w:type="gramStart"/>
      <w:r w:rsidRPr="00D1078B">
        <w:rPr>
          <w:rFonts w:ascii="Times New Roman" w:hAnsi="Times New Roman"/>
          <w:sz w:val="24"/>
          <w:szCs w:val="24"/>
        </w:rPr>
        <w:t>claim, but</w:t>
      </w:r>
      <w:proofErr w:type="gramEnd"/>
      <w:r w:rsidRPr="00D1078B">
        <w:rPr>
          <w:rFonts w:ascii="Times New Roman" w:hAnsi="Times New Roman"/>
          <w:sz w:val="24"/>
          <w:szCs w:val="24"/>
        </w:rPr>
        <w:t xml:space="preserve"> may participate as an expert witness in any judicial proceeding. Nothing in this subsection may be construed to limit the application of Rule 15 of the Rules of Civil Procedure.</w:t>
      </w:r>
    </w:p>
    <w:p w14:paraId="4AB69B2A" w14:textId="77777777" w:rsidR="00BC5936" w:rsidRDefault="00BC5936" w:rsidP="00EF1133">
      <w:pPr>
        <w:rPr>
          <w:rFonts w:ascii="Arial Black" w:hAnsi="Arial Black"/>
          <w:b/>
          <w:sz w:val="24"/>
          <w:szCs w:val="24"/>
        </w:rPr>
      </w:pPr>
    </w:p>
    <w:p w14:paraId="6158793C" w14:textId="77777777" w:rsidR="00BC5936" w:rsidRDefault="00BC5936" w:rsidP="00EF1133">
      <w:pPr>
        <w:rPr>
          <w:rFonts w:ascii="Arial Black" w:hAnsi="Arial Black"/>
          <w:b/>
          <w:sz w:val="24"/>
          <w:szCs w:val="24"/>
        </w:rPr>
      </w:pPr>
    </w:p>
    <w:p w14:paraId="0CBA9DB3" w14:textId="2D1031EF" w:rsidR="00CD5950" w:rsidRDefault="00CD5950" w:rsidP="00EF1133">
      <w:pPr>
        <w:rPr>
          <w:rFonts w:ascii="Arial Black" w:hAnsi="Arial Black"/>
          <w:b/>
          <w:sz w:val="24"/>
          <w:szCs w:val="24"/>
        </w:rPr>
      </w:pPr>
      <w:r>
        <w:rPr>
          <w:rFonts w:ascii="Arial Black" w:hAnsi="Arial Black"/>
          <w:b/>
          <w:sz w:val="24"/>
          <w:szCs w:val="24"/>
        </w:rPr>
        <w:t>5-20</w:t>
      </w:r>
    </w:p>
    <w:p w14:paraId="0671D53F" w14:textId="77777777" w:rsidR="00CD5950" w:rsidRPr="00781094" w:rsidRDefault="00CD5950" w:rsidP="00CD5950">
      <w:pPr>
        <w:pStyle w:val="NoSpacing"/>
        <w:rPr>
          <w:rFonts w:ascii="Arial Black" w:hAnsi="Arial Black"/>
          <w:sz w:val="28"/>
          <w:szCs w:val="28"/>
        </w:rPr>
      </w:pPr>
      <w:r>
        <w:rPr>
          <w:rFonts w:ascii="Arial Black" w:hAnsi="Arial Black"/>
          <w:sz w:val="28"/>
          <w:szCs w:val="28"/>
        </w:rPr>
        <w:t>MS:  VOL. FF IN ACCIDENT ON CALL – QUALIFIED IMMUNITY WAVED SINCE HIS ATTORNEY DIDN’T RAISE 14 MONTHS</w:t>
      </w:r>
    </w:p>
    <w:p w14:paraId="580E97DE" w14:textId="77777777" w:rsidR="00CD5950" w:rsidRDefault="00CD5950" w:rsidP="00CD595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Feb. 22, 2021, in </w:t>
      </w:r>
      <w:r w:rsidRPr="00781094">
        <w:rPr>
          <w:rFonts w:ascii="Times New Roman" w:eastAsia="Times New Roman" w:hAnsi="Times New Roman"/>
          <w:sz w:val="24"/>
          <w:szCs w:val="24"/>
          <w:u w:val="single"/>
        </w:rPr>
        <w:t>Brenda Cook v. Amos Taylor</w:t>
      </w:r>
      <w:r>
        <w:rPr>
          <w:rFonts w:ascii="Times New Roman" w:eastAsia="Times New Roman" w:hAnsi="Times New Roman"/>
          <w:sz w:val="24"/>
          <w:szCs w:val="24"/>
        </w:rPr>
        <w:t xml:space="preserve">, the Court of Appeals of the State of Mississippi, held (6 to 1) that the trial judge improperly granted summary judgment to the volunteer firefighter, finding that his attorney “waved” the statutory defense by not asserting it in his answer to the complaint, or for 14 months of pre-trial discovery. </w:t>
      </w:r>
    </w:p>
    <w:p w14:paraId="42E51283" w14:textId="77777777" w:rsidR="00CD5950" w:rsidRDefault="00CD5950" w:rsidP="00CD5950">
      <w:pPr>
        <w:pStyle w:val="NormalWeb"/>
        <w:ind w:left="720"/>
      </w:pPr>
      <w:r>
        <w:t>“Under the MTCA [Mississippi Tort Claims Act], a governmental employee is entitled to qualified immunity if, while engaged in ‘activities relating to . . . fire protection,’ he did not act ‘in reckless disregard of the safety and well-being of any person’ while engaged in those activities. Miss. Code Ann. § 11-46-9(1)(c).</w:t>
      </w:r>
      <w:hyperlink r:id="rId983" w:anchor="fr1" w:history="1">
        <w:r>
          <w:rPr>
            <w:rStyle w:val="Hyperlink"/>
            <w:sz w:val="20"/>
            <w:szCs w:val="20"/>
            <w:vertAlign w:val="superscript"/>
          </w:rPr>
          <w:t>1</w:t>
        </w:r>
      </w:hyperlink>
      <w:r>
        <w:t xml:space="preserve"> The MTCA defines ‘employee[s]’ to include ‘firefighters who are members of a volunteer fire department that is a political subdivision,’ Miss. Code Ann. § 11-46-1(f) (Supp. 2017), and it defines ‘political subdivision’ to include a ‘volunteer fire department that is a chartered nonprofit corporation providing emergency services under contract with a county or municipality.’ Miss. Code Ann. § 11-46-1(</w:t>
      </w:r>
      <w:proofErr w:type="spellStart"/>
      <w:r>
        <w:t>i</w:t>
      </w:r>
      <w:proofErr w:type="spellEnd"/>
      <w:r>
        <w:t>).</w:t>
      </w:r>
    </w:p>
    <w:p w14:paraId="690416E3" w14:textId="77777777" w:rsidR="00CD5950" w:rsidRDefault="00CD5950" w:rsidP="00CD5950">
      <w:pPr>
        <w:pStyle w:val="NormalWeb"/>
        <w:ind w:left="720"/>
      </w:pPr>
      <w:r>
        <w:t>***</w:t>
      </w:r>
    </w:p>
    <w:p w14:paraId="5CEEE080" w14:textId="77777777" w:rsidR="00CD5950" w:rsidRPr="00781094" w:rsidRDefault="00CD5950" w:rsidP="00CD5950">
      <w:pPr>
        <w:spacing w:before="100" w:beforeAutospacing="1" w:after="100" w:afterAutospacing="1" w:line="240" w:lineRule="auto"/>
        <w:ind w:left="720"/>
        <w:rPr>
          <w:rFonts w:ascii="Times New Roman" w:eastAsia="Times New Roman" w:hAnsi="Times New Roman"/>
          <w:sz w:val="24"/>
          <w:szCs w:val="24"/>
        </w:rPr>
      </w:pPr>
      <w:r w:rsidRPr="00AB7084">
        <w:rPr>
          <w:rFonts w:ascii="Times New Roman" w:hAnsi="Times New Roman"/>
          <w:sz w:val="24"/>
          <w:szCs w:val="24"/>
        </w:rPr>
        <w:t xml:space="preserve">For the reasons stated, we therefore find that the circuit court abused its discretion by implicitly allowing Taylor to amend his answer when it proceeded to grant Taylor's motion for summary judgment based upon a qualified immunity defense. </w:t>
      </w:r>
      <w:proofErr w:type="gramStart"/>
      <w:r w:rsidRPr="00AB7084">
        <w:rPr>
          <w:rFonts w:ascii="Times New Roman" w:hAnsi="Times New Roman"/>
          <w:sz w:val="24"/>
          <w:szCs w:val="24"/>
        </w:rPr>
        <w:t>We further</w:t>
      </w:r>
      <w:proofErr w:type="gramEnd"/>
      <w:r w:rsidRPr="00AB7084">
        <w:rPr>
          <w:rFonts w:ascii="Times New Roman" w:hAnsi="Times New Roman"/>
          <w:sz w:val="24"/>
          <w:szCs w:val="24"/>
        </w:rPr>
        <w:t xml:space="preserve"> find that Taylor waived his qualified immunity affirmative defense as a matter of law. Accordingly, the circuit court's judgment is reversed, and this case is remanded for further proceedings on Cook's negligence and negligence per se complaint against Taylor.</w:t>
      </w:r>
      <w:r>
        <w:rPr>
          <w:rFonts w:ascii="Times New Roman" w:hAnsi="Times New Roman"/>
          <w:sz w:val="24"/>
          <w:szCs w:val="24"/>
        </w:rPr>
        <w:t xml:space="preserve">” </w:t>
      </w:r>
      <w:hyperlink r:id="rId984" w:history="1">
        <w:r w:rsidRPr="00EA374E">
          <w:rPr>
            <w:rStyle w:val="Hyperlink"/>
            <w:rFonts w:ascii="Times New Roman" w:hAnsi="Times New Roman"/>
            <w:sz w:val="24"/>
            <w:szCs w:val="24"/>
          </w:rPr>
          <w:t>https://law.justia.com/cases/mississippi/court-of-appeals/2021/2019-ca-01406-coa.html</w:t>
        </w:r>
      </w:hyperlink>
      <w:r>
        <w:rPr>
          <w:rFonts w:ascii="Times New Roman" w:hAnsi="Times New Roman"/>
          <w:sz w:val="24"/>
          <w:szCs w:val="24"/>
        </w:rPr>
        <w:t xml:space="preserve"> </w:t>
      </w:r>
    </w:p>
    <w:p w14:paraId="0DE8A90B" w14:textId="4B25262C" w:rsidR="00CD5950" w:rsidRPr="00AB7084" w:rsidRDefault="00CD5950" w:rsidP="00CD5950">
      <w:pPr>
        <w:spacing w:before="100" w:beforeAutospacing="1" w:after="100" w:afterAutospacing="1" w:line="240" w:lineRule="auto"/>
        <w:rPr>
          <w:rFonts w:ascii="Times New Roman" w:eastAsia="Times New Roman" w:hAnsi="Times New Roman"/>
          <w:b/>
          <w:bCs/>
          <w:sz w:val="24"/>
          <w:szCs w:val="24"/>
        </w:rPr>
      </w:pPr>
      <w:bookmarkStart w:id="196" w:name="_Hlk65910959"/>
      <w:r w:rsidRPr="00326FC0">
        <w:rPr>
          <w:rFonts w:ascii="Times New Roman" w:hAnsi="Times New Roman"/>
          <w:b/>
          <w:bCs/>
          <w:sz w:val="24"/>
          <w:szCs w:val="24"/>
        </w:rPr>
        <w:t xml:space="preserve">Legal Lesson Learned:  Qualified immunity is an “affirmative defense” and should normally be asserted early in the litigation process, </w:t>
      </w:r>
      <w:r>
        <w:rPr>
          <w:rFonts w:ascii="Times New Roman" w:hAnsi="Times New Roman"/>
          <w:b/>
          <w:bCs/>
          <w:sz w:val="24"/>
          <w:szCs w:val="24"/>
        </w:rPr>
        <w:t xml:space="preserve">and if lawsuit not dismissed, in many jurisdictions FF can take an immediate appeal. </w:t>
      </w:r>
    </w:p>
    <w:bookmarkEnd w:id="196"/>
    <w:p w14:paraId="358690E8" w14:textId="77777777" w:rsidR="00CD5950" w:rsidRDefault="00CD5950" w:rsidP="00EF1133">
      <w:pPr>
        <w:rPr>
          <w:rFonts w:ascii="Arial Black" w:hAnsi="Arial Black"/>
          <w:b/>
          <w:sz w:val="24"/>
          <w:szCs w:val="24"/>
        </w:rPr>
      </w:pPr>
    </w:p>
    <w:p w14:paraId="3DA01B9B" w14:textId="77777777" w:rsidR="00CD5950" w:rsidRDefault="00CD5950" w:rsidP="00EF1133">
      <w:pPr>
        <w:rPr>
          <w:rFonts w:ascii="Arial Black" w:hAnsi="Arial Black"/>
          <w:b/>
          <w:sz w:val="24"/>
          <w:szCs w:val="24"/>
        </w:rPr>
      </w:pPr>
    </w:p>
    <w:p w14:paraId="0C208D9F" w14:textId="77777777" w:rsidR="00CD5950" w:rsidRDefault="00CD5950" w:rsidP="00EF1133">
      <w:pPr>
        <w:rPr>
          <w:rFonts w:ascii="Arial Black" w:hAnsi="Arial Black"/>
          <w:b/>
          <w:sz w:val="24"/>
          <w:szCs w:val="24"/>
        </w:rPr>
      </w:pPr>
    </w:p>
    <w:p w14:paraId="1205991C" w14:textId="424FD80F" w:rsidR="007D178F" w:rsidRDefault="007D178F" w:rsidP="00EF1133">
      <w:pPr>
        <w:rPr>
          <w:rFonts w:ascii="Arial Black" w:hAnsi="Arial Black"/>
          <w:b/>
          <w:sz w:val="24"/>
          <w:szCs w:val="24"/>
        </w:rPr>
      </w:pPr>
      <w:r>
        <w:rPr>
          <w:rFonts w:ascii="Arial Black" w:hAnsi="Arial Black"/>
          <w:b/>
          <w:sz w:val="24"/>
          <w:szCs w:val="24"/>
        </w:rPr>
        <w:t>5-19</w:t>
      </w:r>
    </w:p>
    <w:p w14:paraId="7970F4F1" w14:textId="77777777" w:rsidR="009E093C" w:rsidRPr="003E79B9" w:rsidRDefault="009E093C" w:rsidP="009E093C">
      <w:pPr>
        <w:pStyle w:val="NoSpacing"/>
        <w:rPr>
          <w:rFonts w:ascii="Arial Black" w:hAnsi="Arial Black"/>
          <w:sz w:val="28"/>
          <w:szCs w:val="28"/>
        </w:rPr>
      </w:pPr>
      <w:r>
        <w:rPr>
          <w:rFonts w:ascii="Arial Black" w:hAnsi="Arial Black"/>
          <w:sz w:val="28"/>
          <w:szCs w:val="28"/>
        </w:rPr>
        <w:t xml:space="preserve">MI: NON-EMERGENCY TRANSPORT – BLACK ICE, AMBULANCE ROLLED OVER DITCH – NO IMMUNITY, NON-EMERGENCY </w:t>
      </w:r>
    </w:p>
    <w:p w14:paraId="490D9070" w14:textId="77777777" w:rsidR="009E093C" w:rsidRDefault="009E093C" w:rsidP="009E093C">
      <w:pPr>
        <w:rPr>
          <w:rFonts w:ascii="Times New Roman" w:hAnsi="Times New Roman"/>
          <w:sz w:val="24"/>
          <w:szCs w:val="24"/>
        </w:rPr>
      </w:pPr>
    </w:p>
    <w:p w14:paraId="1022DADD" w14:textId="3CF61EEF" w:rsidR="009E093C" w:rsidRDefault="009E093C" w:rsidP="009E093C">
      <w:pPr>
        <w:rPr>
          <w:rFonts w:ascii="Times New Roman" w:hAnsi="Times New Roman"/>
          <w:sz w:val="24"/>
          <w:szCs w:val="24"/>
        </w:rPr>
      </w:pPr>
      <w:r>
        <w:rPr>
          <w:rFonts w:ascii="Times New Roman" w:hAnsi="Times New Roman"/>
          <w:sz w:val="24"/>
          <w:szCs w:val="24"/>
        </w:rPr>
        <w:t xml:space="preserve">On Nov. 24, 2020, in </w:t>
      </w:r>
      <w:r w:rsidRPr="003E79B9">
        <w:rPr>
          <w:rFonts w:ascii="Times New Roman" w:hAnsi="Times New Roman"/>
          <w:sz w:val="24"/>
          <w:szCs w:val="24"/>
          <w:u w:val="single"/>
        </w:rPr>
        <w:t>Charles C. Willis v. Community Emergency Medical Service, Inc. and Eric J. Norris</w:t>
      </w:r>
      <w:r>
        <w:rPr>
          <w:rFonts w:ascii="Times New Roman" w:hAnsi="Times New Roman"/>
          <w:sz w:val="24"/>
          <w:szCs w:val="24"/>
        </w:rPr>
        <w:t xml:space="preserve">, the State of Michigan Court of Appeals, held (3 to 0; unpublished decision) that lawsuit against the ambulance company and the EMT driver is reinstated, overturning trial judge’s decision that there were no material facts showing negligence.  The Court of Appeals found that there is a dispute whether EMT was driving too fast for weather conditions, with </w:t>
      </w:r>
      <w:r w:rsidRPr="00BF69CF">
        <w:rPr>
          <w:rFonts w:ascii="Times New Roman" w:hAnsi="Times New Roman"/>
          <w:sz w:val="24"/>
          <w:szCs w:val="24"/>
        </w:rPr>
        <w:t>ice on the ground and a mix of rain, snow, and sleet</w:t>
      </w:r>
      <w:r>
        <w:rPr>
          <w:rFonts w:ascii="Times New Roman" w:hAnsi="Times New Roman"/>
          <w:sz w:val="24"/>
          <w:szCs w:val="24"/>
        </w:rPr>
        <w:t xml:space="preserve">; Court also held the immunity statute for EMS does not apply to non-emergency </w:t>
      </w:r>
      <w:proofErr w:type="gramStart"/>
      <w:r>
        <w:rPr>
          <w:rFonts w:ascii="Times New Roman" w:hAnsi="Times New Roman"/>
          <w:sz w:val="24"/>
          <w:szCs w:val="24"/>
        </w:rPr>
        <w:t>transports</w:t>
      </w:r>
      <w:proofErr w:type="gramEnd"/>
      <w:r>
        <w:rPr>
          <w:rFonts w:ascii="Times New Roman" w:hAnsi="Times New Roman"/>
          <w:sz w:val="24"/>
          <w:szCs w:val="24"/>
        </w:rPr>
        <w:t xml:space="preserve">. </w:t>
      </w:r>
    </w:p>
    <w:p w14:paraId="24330A5B" w14:textId="77777777" w:rsidR="009E093C" w:rsidRDefault="009E093C" w:rsidP="009E093C">
      <w:pPr>
        <w:ind w:left="720"/>
        <w:rPr>
          <w:rFonts w:ascii="Times New Roman" w:hAnsi="Times New Roman"/>
          <w:sz w:val="24"/>
          <w:szCs w:val="24"/>
        </w:rPr>
      </w:pPr>
      <w:r>
        <w:rPr>
          <w:rFonts w:ascii="Times New Roman" w:hAnsi="Times New Roman"/>
          <w:sz w:val="24"/>
          <w:szCs w:val="24"/>
        </w:rPr>
        <w:t>“[W]</w:t>
      </w:r>
      <w:r w:rsidRPr="003B03E6">
        <w:rPr>
          <w:rFonts w:ascii="Times New Roman" w:hAnsi="Times New Roman"/>
          <w:sz w:val="24"/>
          <w:szCs w:val="24"/>
        </w:rPr>
        <w:t>e conclude that the trial court erred in granting defendants' motion for summary disposition pursuant to MCR 2.116(C)(10). Specifically, the trial court erred by failing to view the evidence in the light most favorable to plaintiff and to draw all reasonable inferences in his favor, and by weighing credibility. Plaintiff may not be able to establish his claim for negligence ultimately, but he has at least raised a genuine issue of material fact regarding whether the accident at issue occurred because Norris was negligent by driving too fast for the weather conditions. Accordingly, we reverse that portion of the trial court's order granting defendants' motion for summary disposition pursuant to MCR 2.116(C)(10).</w:t>
      </w:r>
      <w:r>
        <w:rPr>
          <w:rFonts w:ascii="Times New Roman" w:hAnsi="Times New Roman"/>
          <w:sz w:val="24"/>
          <w:szCs w:val="24"/>
        </w:rPr>
        <w:t xml:space="preserve">” </w:t>
      </w:r>
      <w:hyperlink r:id="rId985" w:history="1">
        <w:r w:rsidRPr="00D35A04">
          <w:rPr>
            <w:rStyle w:val="Hyperlink"/>
            <w:rFonts w:ascii="Times New Roman" w:hAnsi="Times New Roman"/>
            <w:sz w:val="24"/>
            <w:szCs w:val="24"/>
          </w:rPr>
          <w:t>https://law.justia.com/cases/michigan/court-of-appeals-unpublished/2020/351871.html</w:t>
        </w:r>
      </w:hyperlink>
      <w:r>
        <w:rPr>
          <w:rFonts w:ascii="Times New Roman" w:hAnsi="Times New Roman"/>
          <w:sz w:val="24"/>
          <w:szCs w:val="24"/>
        </w:rPr>
        <w:t xml:space="preserve"> </w:t>
      </w:r>
    </w:p>
    <w:p w14:paraId="2B4B66AE" w14:textId="77777777" w:rsidR="009E093C" w:rsidRPr="003404A7" w:rsidRDefault="009E093C" w:rsidP="009E093C">
      <w:pPr>
        <w:pStyle w:val="NoSpacing"/>
        <w:rPr>
          <w:rFonts w:ascii="Times New Roman" w:hAnsi="Times New Roman"/>
          <w:b/>
          <w:bCs/>
          <w:sz w:val="24"/>
          <w:szCs w:val="24"/>
        </w:rPr>
      </w:pPr>
      <w:r w:rsidRPr="003404A7">
        <w:rPr>
          <w:rFonts w:ascii="Times New Roman" w:hAnsi="Times New Roman"/>
          <w:b/>
          <w:bCs/>
          <w:sz w:val="24"/>
          <w:szCs w:val="24"/>
        </w:rPr>
        <w:t>Legal Lesson Learned:</w:t>
      </w:r>
      <w:r>
        <w:rPr>
          <w:rFonts w:ascii="Times New Roman" w:hAnsi="Times New Roman"/>
          <w:b/>
          <w:bCs/>
          <w:sz w:val="24"/>
          <w:szCs w:val="24"/>
        </w:rPr>
        <w:t xml:space="preserve"> The state’s immunity statute protects EMS only for “treatment” of a patient. </w:t>
      </w:r>
    </w:p>
    <w:p w14:paraId="4DCAD598" w14:textId="77777777" w:rsidR="009E093C" w:rsidRDefault="009E093C" w:rsidP="00EF1133">
      <w:pPr>
        <w:rPr>
          <w:rFonts w:ascii="Arial Black" w:hAnsi="Arial Black"/>
          <w:b/>
          <w:sz w:val="24"/>
          <w:szCs w:val="24"/>
        </w:rPr>
      </w:pPr>
    </w:p>
    <w:p w14:paraId="61AF6354" w14:textId="77777777" w:rsidR="007D178F" w:rsidRDefault="007D178F" w:rsidP="00EF1133">
      <w:pPr>
        <w:rPr>
          <w:rFonts w:ascii="Arial Black" w:hAnsi="Arial Black"/>
          <w:b/>
          <w:sz w:val="24"/>
          <w:szCs w:val="24"/>
        </w:rPr>
      </w:pPr>
    </w:p>
    <w:p w14:paraId="6E55ED21" w14:textId="7BCF7B05" w:rsidR="007D178F" w:rsidRDefault="007D178F" w:rsidP="00EF1133">
      <w:pPr>
        <w:rPr>
          <w:rFonts w:ascii="Arial Black" w:hAnsi="Arial Black"/>
          <w:b/>
          <w:sz w:val="24"/>
          <w:szCs w:val="24"/>
        </w:rPr>
      </w:pPr>
      <w:r>
        <w:rPr>
          <w:rFonts w:ascii="Arial Black" w:hAnsi="Arial Black"/>
          <w:b/>
          <w:sz w:val="24"/>
          <w:szCs w:val="24"/>
        </w:rPr>
        <w:t>5-18</w:t>
      </w:r>
    </w:p>
    <w:p w14:paraId="3ED15AF1" w14:textId="77777777" w:rsidR="007D178F" w:rsidRDefault="007D178F" w:rsidP="007D178F">
      <w:pPr>
        <w:pStyle w:val="NoSpacing"/>
        <w:rPr>
          <w:rFonts w:ascii="Arial Black" w:hAnsi="Arial Black"/>
          <w:sz w:val="28"/>
          <w:szCs w:val="28"/>
        </w:rPr>
      </w:pPr>
      <w:bookmarkStart w:id="197" w:name="_Hlk66946467"/>
      <w:r>
        <w:rPr>
          <w:rFonts w:ascii="Arial Black" w:hAnsi="Arial Black"/>
          <w:sz w:val="28"/>
          <w:szCs w:val="28"/>
        </w:rPr>
        <w:t>TX: AMBULANCE LEFT RUNNING AT SCENE – STOLEN, INJURED MOTORISTS – ANTI-THEFT DEVICE NOT REQUIRED – NO CASE</w:t>
      </w:r>
    </w:p>
    <w:p w14:paraId="009AB070" w14:textId="77777777" w:rsidR="007D178F" w:rsidRDefault="007D178F" w:rsidP="007D178F">
      <w:pPr>
        <w:pStyle w:val="NoSpacing"/>
        <w:rPr>
          <w:rFonts w:ascii="Arial Black" w:hAnsi="Arial Black"/>
          <w:sz w:val="28"/>
          <w:szCs w:val="28"/>
        </w:rPr>
      </w:pPr>
    </w:p>
    <w:p w14:paraId="496F66D8" w14:textId="77777777" w:rsidR="007D178F" w:rsidRDefault="007D178F" w:rsidP="007D178F">
      <w:pPr>
        <w:rPr>
          <w:rFonts w:ascii="Times New Roman" w:hAnsi="Times New Roman"/>
          <w:sz w:val="24"/>
          <w:szCs w:val="24"/>
        </w:rPr>
      </w:pPr>
      <w:r>
        <w:rPr>
          <w:rFonts w:ascii="Times New Roman" w:hAnsi="Times New Roman"/>
          <w:sz w:val="24"/>
          <w:szCs w:val="24"/>
        </w:rPr>
        <w:t xml:space="preserve">On Nov. 25, 2020, in </w:t>
      </w:r>
      <w:r w:rsidRPr="007F700A">
        <w:rPr>
          <w:rFonts w:ascii="Times New Roman" w:hAnsi="Times New Roman"/>
          <w:sz w:val="24"/>
          <w:szCs w:val="24"/>
          <w:u w:val="single"/>
        </w:rPr>
        <w:t>The City of San Antonio v. Suzanne L. Smith and Claudia Acevedo</w:t>
      </w:r>
      <w:r>
        <w:rPr>
          <w:rFonts w:ascii="Times New Roman" w:hAnsi="Times New Roman"/>
          <w:sz w:val="24"/>
          <w:szCs w:val="24"/>
        </w:rPr>
        <w:t xml:space="preserve">, the Fourth Court of Appeals, San Antonio held (3 to 0) that the trial court should have dismissed the lawsuit against the City; while an anti-theft device may be helpful when leaving an ambulance running at 3 am, the City enjoys government immunity.  The plaintiffs </w:t>
      </w:r>
      <w:proofErr w:type="gramStart"/>
      <w:r>
        <w:rPr>
          <w:rFonts w:ascii="Times New Roman" w:hAnsi="Times New Roman"/>
          <w:sz w:val="24"/>
          <w:szCs w:val="24"/>
        </w:rPr>
        <w:t>had included</w:t>
      </w:r>
      <w:proofErr w:type="gramEnd"/>
      <w:r>
        <w:rPr>
          <w:rFonts w:ascii="Times New Roman" w:hAnsi="Times New Roman"/>
          <w:sz w:val="24"/>
          <w:szCs w:val="24"/>
        </w:rPr>
        <w:t xml:space="preserve"> </w:t>
      </w:r>
      <w:r w:rsidRPr="00950AE6">
        <w:rPr>
          <w:rFonts w:ascii="Times New Roman" w:hAnsi="Times New Roman"/>
          <w:sz w:val="24"/>
          <w:szCs w:val="24"/>
        </w:rPr>
        <w:t>an affidavit from Robyn McKinley, a firefighter and paramedic in Memphis, Tennessee, who specifically advocated for the use of an anti-theft device manufactured by a company called Tremco. This device apparently is designed to make it difficult to put a vehicle into gear even though the vehicle has been left running.</w:t>
      </w:r>
      <w:r>
        <w:rPr>
          <w:rFonts w:ascii="Times New Roman" w:hAnsi="Times New Roman"/>
          <w:sz w:val="24"/>
          <w:szCs w:val="24"/>
        </w:rPr>
        <w:t>”</w:t>
      </w:r>
    </w:p>
    <w:bookmarkEnd w:id="197"/>
    <w:p w14:paraId="51C9421D" w14:textId="77777777" w:rsidR="007D178F" w:rsidRDefault="007D178F" w:rsidP="007D178F">
      <w:pPr>
        <w:pStyle w:val="NoSpacing"/>
        <w:ind w:left="720"/>
        <w:rPr>
          <w:rFonts w:ascii="Times New Roman" w:hAnsi="Times New Roman"/>
          <w:sz w:val="24"/>
          <w:szCs w:val="24"/>
        </w:rPr>
      </w:pPr>
      <w:r>
        <w:rPr>
          <w:rFonts w:ascii="Times New Roman" w:hAnsi="Times New Roman"/>
          <w:sz w:val="24"/>
          <w:szCs w:val="24"/>
        </w:rPr>
        <w:t>“</w:t>
      </w:r>
      <w:r w:rsidRPr="001C3116">
        <w:rPr>
          <w:rFonts w:ascii="Times New Roman" w:hAnsi="Times New Roman"/>
          <w:sz w:val="24"/>
          <w:szCs w:val="24"/>
        </w:rPr>
        <w:t xml:space="preserve">In the present case, Appellees allege that the ambulance was not equipped with a specific anti-theft device that may have prevented it from being stolen even though it was left running. They argue that the City thus used or provided property (the ambulance) that lacked an integral safety feature (a particular anti-theft device), thus bringing their claims within the "use or condition of personal property" waiver pursuant to </w:t>
      </w:r>
      <w:r w:rsidRPr="001C3116">
        <w:rPr>
          <w:rFonts w:ascii="Times New Roman" w:hAnsi="Times New Roman"/>
          <w:i/>
          <w:iCs/>
          <w:sz w:val="24"/>
          <w:szCs w:val="24"/>
        </w:rPr>
        <w:t>Lowe</w:t>
      </w:r>
      <w:r w:rsidRPr="001C3116">
        <w:rPr>
          <w:rFonts w:ascii="Times New Roman" w:hAnsi="Times New Roman"/>
          <w:sz w:val="24"/>
          <w:szCs w:val="24"/>
        </w:rPr>
        <w:t xml:space="preserve"> and </w:t>
      </w:r>
      <w:r w:rsidRPr="001C3116">
        <w:rPr>
          <w:rFonts w:ascii="Times New Roman" w:hAnsi="Times New Roman"/>
          <w:i/>
          <w:iCs/>
          <w:sz w:val="24"/>
          <w:szCs w:val="24"/>
        </w:rPr>
        <w:t>Robinson</w:t>
      </w:r>
      <w:r w:rsidRPr="001C3116">
        <w:rPr>
          <w:rFonts w:ascii="Times New Roman" w:hAnsi="Times New Roman"/>
          <w:sz w:val="24"/>
          <w:szCs w:val="24"/>
        </w:rPr>
        <w:t xml:space="preserve">. The </w:t>
      </w:r>
      <w:proofErr w:type="gramStart"/>
      <w:r w:rsidRPr="001C3116">
        <w:rPr>
          <w:rFonts w:ascii="Times New Roman" w:hAnsi="Times New Roman"/>
          <w:sz w:val="24"/>
          <w:szCs w:val="24"/>
        </w:rPr>
        <w:t>City</w:t>
      </w:r>
      <w:proofErr w:type="gramEnd"/>
      <w:r w:rsidRPr="001C3116">
        <w:rPr>
          <w:rFonts w:ascii="Times New Roman" w:hAnsi="Times New Roman"/>
          <w:sz w:val="24"/>
          <w:szCs w:val="24"/>
        </w:rPr>
        <w:t xml:space="preserve"> counters that Appellees' claims do not fall within that waiver because the ambulance </w:t>
      </w:r>
      <w:r w:rsidRPr="001C3116">
        <w:rPr>
          <w:rFonts w:ascii="Times New Roman" w:hAnsi="Times New Roman"/>
          <w:i/>
          <w:iCs/>
          <w:sz w:val="24"/>
          <w:szCs w:val="24"/>
        </w:rPr>
        <w:t>was</w:t>
      </w:r>
      <w:r w:rsidRPr="001C3116">
        <w:rPr>
          <w:rFonts w:ascii="Times New Roman" w:hAnsi="Times New Roman"/>
          <w:sz w:val="24"/>
          <w:szCs w:val="24"/>
        </w:rPr>
        <w:t xml:space="preserve"> equipped with anti-theft devices—door locks and an alarm—and Appellees' contention that it should also have been equipped with a different device is not cognizable under the integral safety component theory. </w:t>
      </w:r>
      <w:r w:rsidRPr="001C3116">
        <w:rPr>
          <w:rFonts w:ascii="Times New Roman" w:hAnsi="Times New Roman"/>
          <w:i/>
          <w:iCs/>
          <w:sz w:val="24"/>
          <w:szCs w:val="24"/>
        </w:rPr>
        <w:t>See Bishop</w:t>
      </w:r>
      <w:r w:rsidRPr="001C3116">
        <w:rPr>
          <w:rFonts w:ascii="Times New Roman" w:hAnsi="Times New Roman"/>
          <w:sz w:val="24"/>
          <w:szCs w:val="24"/>
        </w:rPr>
        <w:t xml:space="preserve">, 156 S.W.3d at 584 (theory applies "only when an integral safety component is entirely lacking rather than merely inadequate"). We agree with the </w:t>
      </w:r>
      <w:proofErr w:type="gramStart"/>
      <w:r w:rsidRPr="001C3116">
        <w:rPr>
          <w:rFonts w:ascii="Times New Roman" w:hAnsi="Times New Roman"/>
          <w:sz w:val="24"/>
          <w:szCs w:val="24"/>
        </w:rPr>
        <w:t>City</w:t>
      </w:r>
      <w:proofErr w:type="gramEnd"/>
      <w:r w:rsidRPr="001C3116">
        <w:rPr>
          <w:rFonts w:ascii="Times New Roman" w:hAnsi="Times New Roman"/>
          <w:sz w:val="24"/>
          <w:szCs w:val="24"/>
        </w:rPr>
        <w:t>.</w:t>
      </w:r>
    </w:p>
    <w:p w14:paraId="30FA2914" w14:textId="77777777" w:rsidR="007D178F" w:rsidRDefault="007D178F" w:rsidP="007D178F">
      <w:pPr>
        <w:pStyle w:val="NoSpacing"/>
        <w:ind w:left="720"/>
        <w:rPr>
          <w:rFonts w:ascii="Times New Roman" w:hAnsi="Times New Roman"/>
          <w:sz w:val="24"/>
          <w:szCs w:val="24"/>
        </w:rPr>
      </w:pPr>
    </w:p>
    <w:p w14:paraId="0806B63E" w14:textId="77777777" w:rsidR="007D178F" w:rsidRDefault="007D178F" w:rsidP="007D178F">
      <w:pPr>
        <w:pStyle w:val="NoSpacing"/>
        <w:ind w:left="720"/>
        <w:rPr>
          <w:rFonts w:ascii="Times New Roman" w:hAnsi="Times New Roman"/>
          <w:sz w:val="24"/>
          <w:szCs w:val="24"/>
        </w:rPr>
      </w:pPr>
      <w:r>
        <w:rPr>
          <w:rFonts w:ascii="Times New Roman" w:hAnsi="Times New Roman"/>
          <w:sz w:val="24"/>
          <w:szCs w:val="24"/>
        </w:rPr>
        <w:t>***</w:t>
      </w:r>
    </w:p>
    <w:p w14:paraId="048A1110" w14:textId="77777777" w:rsidR="007D178F" w:rsidRDefault="007D178F" w:rsidP="007D178F">
      <w:pPr>
        <w:pStyle w:val="NoSpacing"/>
        <w:ind w:left="720"/>
        <w:rPr>
          <w:rFonts w:ascii="Times New Roman" w:hAnsi="Times New Roman"/>
          <w:sz w:val="24"/>
          <w:szCs w:val="24"/>
        </w:rPr>
      </w:pPr>
    </w:p>
    <w:p w14:paraId="3FBD508E" w14:textId="77777777" w:rsidR="007D178F" w:rsidRDefault="007D178F" w:rsidP="007D178F">
      <w:pPr>
        <w:pStyle w:val="NoSpacing"/>
        <w:ind w:left="720"/>
        <w:rPr>
          <w:rFonts w:ascii="Times New Roman" w:hAnsi="Times New Roman"/>
          <w:sz w:val="24"/>
          <w:szCs w:val="24"/>
        </w:rPr>
      </w:pPr>
      <w:r w:rsidRPr="001C3116">
        <w:rPr>
          <w:rFonts w:ascii="Times New Roman" w:eastAsia="Times New Roman" w:hAnsi="Times New Roman"/>
          <w:sz w:val="24"/>
          <w:szCs w:val="24"/>
        </w:rPr>
        <w:t xml:space="preserve">[Footnote 3.]  </w:t>
      </w:r>
      <w:r w:rsidRPr="001C3116">
        <w:rPr>
          <w:rFonts w:ascii="Times New Roman" w:hAnsi="Times New Roman"/>
          <w:sz w:val="24"/>
          <w:szCs w:val="24"/>
        </w:rPr>
        <w:t xml:space="preserve">Insofar as Appellees challenge the City's decision not to equip its ambulances with the </w:t>
      </w:r>
      <w:proofErr w:type="gramStart"/>
      <w:r w:rsidRPr="001C3116">
        <w:rPr>
          <w:rFonts w:ascii="Times New Roman" w:hAnsi="Times New Roman"/>
          <w:sz w:val="24"/>
          <w:szCs w:val="24"/>
        </w:rPr>
        <w:t>particular anti-</w:t>
      </w:r>
      <w:proofErr w:type="gramEnd"/>
      <w:r w:rsidRPr="001C3116">
        <w:rPr>
          <w:rFonts w:ascii="Times New Roman" w:hAnsi="Times New Roman"/>
          <w:sz w:val="24"/>
          <w:szCs w:val="24"/>
        </w:rPr>
        <w:t xml:space="preserve">theft device they favor, which they contend is a safety feature, we note that </w:t>
      </w:r>
      <w:r>
        <w:rPr>
          <w:rFonts w:ascii="Times New Roman" w:hAnsi="Times New Roman"/>
          <w:sz w:val="24"/>
          <w:szCs w:val="24"/>
        </w:rPr>
        <w:t>‘</w:t>
      </w:r>
      <w:r w:rsidRPr="001C3116">
        <w:rPr>
          <w:rFonts w:ascii="Times New Roman" w:hAnsi="Times New Roman"/>
          <w:sz w:val="24"/>
          <w:szCs w:val="24"/>
        </w:rPr>
        <w:t>decisions about installing safety features are discretionary decisions for which the [City] may not be sued.</w:t>
      </w:r>
      <w:r>
        <w:rPr>
          <w:rFonts w:ascii="Times New Roman" w:hAnsi="Times New Roman"/>
          <w:sz w:val="24"/>
          <w:szCs w:val="24"/>
        </w:rPr>
        <w:t>’</w:t>
      </w:r>
      <w:r w:rsidRPr="001C3116">
        <w:rPr>
          <w:rFonts w:ascii="Times New Roman" w:hAnsi="Times New Roman"/>
          <w:sz w:val="24"/>
          <w:szCs w:val="24"/>
        </w:rPr>
        <w:t xml:space="preserve"> </w:t>
      </w:r>
      <w:r w:rsidRPr="001C3116">
        <w:rPr>
          <w:rFonts w:ascii="Times New Roman" w:hAnsi="Times New Roman"/>
          <w:i/>
          <w:iCs/>
          <w:sz w:val="24"/>
          <w:szCs w:val="24"/>
        </w:rPr>
        <w:t>Tex</w:t>
      </w:r>
      <w:r w:rsidRPr="001C3116">
        <w:rPr>
          <w:rFonts w:ascii="Times New Roman" w:hAnsi="Times New Roman"/>
          <w:sz w:val="24"/>
          <w:szCs w:val="24"/>
        </w:rPr>
        <w:t xml:space="preserve">. </w:t>
      </w:r>
      <w:proofErr w:type="spellStart"/>
      <w:r w:rsidRPr="001C3116">
        <w:rPr>
          <w:rFonts w:ascii="Times New Roman" w:hAnsi="Times New Roman"/>
          <w:i/>
          <w:iCs/>
          <w:sz w:val="24"/>
          <w:szCs w:val="24"/>
        </w:rPr>
        <w:t>Dep't</w:t>
      </w:r>
      <w:proofErr w:type="spellEnd"/>
      <w:r w:rsidRPr="001C3116">
        <w:rPr>
          <w:rFonts w:ascii="Times New Roman" w:hAnsi="Times New Roman"/>
          <w:i/>
          <w:iCs/>
          <w:sz w:val="24"/>
          <w:szCs w:val="24"/>
        </w:rPr>
        <w:t xml:space="preserve"> of Transp</w:t>
      </w:r>
      <w:r w:rsidRPr="001C3116">
        <w:rPr>
          <w:rFonts w:ascii="Times New Roman" w:hAnsi="Times New Roman"/>
          <w:sz w:val="24"/>
          <w:szCs w:val="24"/>
        </w:rPr>
        <w:t xml:space="preserve">. </w:t>
      </w:r>
      <w:r w:rsidRPr="001C3116">
        <w:rPr>
          <w:rFonts w:ascii="Times New Roman" w:hAnsi="Times New Roman"/>
          <w:i/>
          <w:iCs/>
          <w:sz w:val="24"/>
          <w:szCs w:val="24"/>
        </w:rPr>
        <w:t>v</w:t>
      </w:r>
      <w:r w:rsidRPr="001C3116">
        <w:rPr>
          <w:rFonts w:ascii="Times New Roman" w:hAnsi="Times New Roman"/>
          <w:sz w:val="24"/>
          <w:szCs w:val="24"/>
        </w:rPr>
        <w:t xml:space="preserve">. </w:t>
      </w:r>
      <w:r w:rsidRPr="001C3116">
        <w:rPr>
          <w:rFonts w:ascii="Times New Roman" w:hAnsi="Times New Roman"/>
          <w:i/>
          <w:iCs/>
          <w:sz w:val="24"/>
          <w:szCs w:val="24"/>
        </w:rPr>
        <w:t>Ramirez</w:t>
      </w:r>
      <w:r w:rsidRPr="001C3116">
        <w:rPr>
          <w:rFonts w:ascii="Times New Roman" w:hAnsi="Times New Roman"/>
          <w:sz w:val="24"/>
          <w:szCs w:val="24"/>
        </w:rPr>
        <w:t>, 74 S.W.3d 864, 867 (Tex. 2002).</w:t>
      </w:r>
      <w:r>
        <w:rPr>
          <w:rFonts w:ascii="Times New Roman" w:hAnsi="Times New Roman"/>
          <w:sz w:val="24"/>
          <w:szCs w:val="24"/>
        </w:rPr>
        <w:t xml:space="preserve">” </w:t>
      </w:r>
      <w:bookmarkStart w:id="198" w:name="_Hlk66946499"/>
      <w:r w:rsidR="00F00958">
        <w:fldChar w:fldCharType="begin"/>
      </w:r>
      <w:r w:rsidR="00F00958">
        <w:instrText xml:space="preserve"> HYPERLINK "https://law.justia.com/cases/texas/fourth-court-of-appeals/2020/04-20-00077-cv.html" </w:instrText>
      </w:r>
      <w:r w:rsidR="00F00958">
        <w:fldChar w:fldCharType="separate"/>
      </w:r>
      <w:r w:rsidRPr="00695F3D">
        <w:rPr>
          <w:rStyle w:val="Hyperlink"/>
          <w:rFonts w:ascii="Times New Roman" w:hAnsi="Times New Roman"/>
          <w:sz w:val="24"/>
          <w:szCs w:val="24"/>
        </w:rPr>
        <w:t>https://law.justia.com/cases/texas/fourth-court-of-appeals/2020/04-20-00077-cv.html</w:t>
      </w:r>
      <w:r w:rsidR="00F00958">
        <w:rPr>
          <w:rStyle w:val="Hyperlink"/>
          <w:rFonts w:ascii="Times New Roman" w:hAnsi="Times New Roman"/>
          <w:sz w:val="24"/>
          <w:szCs w:val="24"/>
        </w:rPr>
        <w:fldChar w:fldCharType="end"/>
      </w:r>
      <w:r>
        <w:rPr>
          <w:rFonts w:ascii="Times New Roman" w:hAnsi="Times New Roman"/>
          <w:sz w:val="24"/>
          <w:szCs w:val="24"/>
        </w:rPr>
        <w:t xml:space="preserve"> </w:t>
      </w:r>
    </w:p>
    <w:p w14:paraId="269F0D63" w14:textId="7BF43612" w:rsidR="007D178F" w:rsidRDefault="007D178F" w:rsidP="00EF1133">
      <w:pPr>
        <w:rPr>
          <w:rFonts w:ascii="Arial Black" w:hAnsi="Arial Black"/>
          <w:b/>
          <w:sz w:val="24"/>
          <w:szCs w:val="24"/>
        </w:rPr>
      </w:pPr>
    </w:p>
    <w:p w14:paraId="2AA9546F" w14:textId="77777777" w:rsidR="007D178F" w:rsidRPr="001C3116" w:rsidRDefault="007D178F" w:rsidP="007D178F">
      <w:pPr>
        <w:spacing w:before="100" w:beforeAutospacing="1" w:after="100" w:afterAutospacing="1" w:line="240" w:lineRule="auto"/>
        <w:rPr>
          <w:rFonts w:ascii="Times New Roman" w:eastAsia="Times New Roman" w:hAnsi="Times New Roman"/>
          <w:b/>
          <w:bCs/>
          <w:sz w:val="24"/>
          <w:szCs w:val="24"/>
        </w:rPr>
      </w:pPr>
      <w:r w:rsidRPr="00950AE6">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Theft of ambulances left running at the scene are increasingly common; if possible, lock the doors and take a second set of keys. </w:t>
      </w:r>
    </w:p>
    <w:p w14:paraId="3D18E7D0" w14:textId="77777777" w:rsidR="007D178F" w:rsidRDefault="007D178F" w:rsidP="007D178F">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Plaintiff’s expert suggested Tremco anti-theft device. See their ad: </w:t>
      </w:r>
      <w:hyperlink r:id="rId986" w:history="1">
        <w:r w:rsidRPr="00695F3D">
          <w:rPr>
            <w:rStyle w:val="Hyperlink"/>
            <w:rFonts w:ascii="Times New Roman" w:hAnsi="Times New Roman"/>
            <w:sz w:val="24"/>
            <w:szCs w:val="24"/>
          </w:rPr>
          <w:t>https://www.tremcopoliceproducts.com/</w:t>
        </w:r>
      </w:hyperlink>
      <w:r>
        <w:rPr>
          <w:rFonts w:ascii="Times New Roman" w:eastAsia="Times New Roman" w:hAnsi="Times New Roman"/>
          <w:sz w:val="24"/>
          <w:szCs w:val="24"/>
        </w:rPr>
        <w:t xml:space="preserve"> </w:t>
      </w:r>
    </w:p>
    <w:p w14:paraId="7F81E6F5" w14:textId="77777777" w:rsidR="007D178F" w:rsidRPr="00950AE6" w:rsidRDefault="007D178F" w:rsidP="007D178F">
      <w:pPr>
        <w:numPr>
          <w:ilvl w:val="0"/>
          <w:numId w:val="6"/>
        </w:numPr>
        <w:tabs>
          <w:tab w:val="clear" w:pos="720"/>
          <w:tab w:val="num" w:pos="360"/>
        </w:tabs>
        <w:spacing w:before="100" w:beforeAutospacing="1" w:after="100" w:afterAutospacing="1" w:line="240" w:lineRule="auto"/>
        <w:ind w:firstLine="90"/>
        <w:rPr>
          <w:rFonts w:ascii="Times New Roman" w:eastAsia="Times New Roman" w:hAnsi="Times New Roman"/>
          <w:sz w:val="24"/>
          <w:szCs w:val="24"/>
        </w:rPr>
      </w:pPr>
      <w:r w:rsidRPr="00950AE6">
        <w:rPr>
          <w:rFonts w:ascii="Times New Roman" w:eastAsia="Times New Roman" w:hAnsi="Times New Roman"/>
          <w:sz w:val="24"/>
          <w:szCs w:val="24"/>
        </w:rPr>
        <w:t>Vehicles Can Be Left Unattended While Running</w:t>
      </w:r>
    </w:p>
    <w:p w14:paraId="35864163" w14:textId="77777777" w:rsidR="007D178F" w:rsidRPr="00950AE6" w:rsidRDefault="007D178F" w:rsidP="007D178F">
      <w:pPr>
        <w:numPr>
          <w:ilvl w:val="0"/>
          <w:numId w:val="6"/>
        </w:numPr>
        <w:tabs>
          <w:tab w:val="clear" w:pos="720"/>
          <w:tab w:val="num" w:pos="360"/>
        </w:tabs>
        <w:spacing w:before="100" w:beforeAutospacing="1" w:after="100" w:afterAutospacing="1" w:line="240" w:lineRule="auto"/>
        <w:ind w:firstLine="90"/>
        <w:rPr>
          <w:rFonts w:ascii="Times New Roman" w:eastAsia="Times New Roman" w:hAnsi="Times New Roman"/>
          <w:sz w:val="24"/>
          <w:szCs w:val="24"/>
        </w:rPr>
      </w:pPr>
      <w:r w:rsidRPr="00950AE6">
        <w:rPr>
          <w:rFonts w:ascii="Times New Roman" w:eastAsia="Times New Roman" w:hAnsi="Times New Roman"/>
          <w:sz w:val="24"/>
          <w:szCs w:val="24"/>
        </w:rPr>
        <w:t>Allows Emergency Lighting &amp; Other Electronics to Operate</w:t>
      </w:r>
    </w:p>
    <w:p w14:paraId="7A873A85" w14:textId="77777777" w:rsidR="007D178F" w:rsidRPr="00950AE6" w:rsidRDefault="007D178F" w:rsidP="007D178F">
      <w:pPr>
        <w:numPr>
          <w:ilvl w:val="0"/>
          <w:numId w:val="6"/>
        </w:numPr>
        <w:tabs>
          <w:tab w:val="clear" w:pos="720"/>
          <w:tab w:val="num" w:pos="360"/>
        </w:tabs>
        <w:spacing w:before="100" w:beforeAutospacing="1" w:after="100" w:afterAutospacing="1" w:line="240" w:lineRule="auto"/>
        <w:ind w:firstLine="90"/>
        <w:rPr>
          <w:rFonts w:ascii="Times New Roman" w:eastAsia="Times New Roman" w:hAnsi="Times New Roman"/>
          <w:sz w:val="24"/>
          <w:szCs w:val="24"/>
        </w:rPr>
      </w:pPr>
      <w:r w:rsidRPr="00950AE6">
        <w:rPr>
          <w:rFonts w:ascii="Times New Roman" w:eastAsia="Times New Roman" w:hAnsi="Times New Roman"/>
          <w:sz w:val="24"/>
          <w:szCs w:val="24"/>
        </w:rPr>
        <w:t xml:space="preserve">Provides More Security at The Scene </w:t>
      </w:r>
      <w:proofErr w:type="gramStart"/>
      <w:r w:rsidRPr="00950AE6">
        <w:rPr>
          <w:rFonts w:ascii="Times New Roman" w:eastAsia="Times New Roman" w:hAnsi="Times New Roman"/>
          <w:sz w:val="24"/>
          <w:szCs w:val="24"/>
        </w:rPr>
        <w:t>Of</w:t>
      </w:r>
      <w:proofErr w:type="gramEnd"/>
      <w:r w:rsidRPr="00950AE6">
        <w:rPr>
          <w:rFonts w:ascii="Times New Roman" w:eastAsia="Times New Roman" w:hAnsi="Times New Roman"/>
          <w:sz w:val="24"/>
          <w:szCs w:val="24"/>
        </w:rPr>
        <w:t xml:space="preserve"> </w:t>
      </w:r>
      <w:proofErr w:type="gramStart"/>
      <w:r w:rsidRPr="00950AE6">
        <w:rPr>
          <w:rFonts w:ascii="Times New Roman" w:eastAsia="Times New Roman" w:hAnsi="Times New Roman"/>
          <w:sz w:val="24"/>
          <w:szCs w:val="24"/>
        </w:rPr>
        <w:t>An</w:t>
      </w:r>
      <w:proofErr w:type="gramEnd"/>
      <w:r w:rsidRPr="00950AE6">
        <w:rPr>
          <w:rFonts w:ascii="Times New Roman" w:eastAsia="Times New Roman" w:hAnsi="Times New Roman"/>
          <w:sz w:val="24"/>
          <w:szCs w:val="24"/>
        </w:rPr>
        <w:t xml:space="preserve"> Accident</w:t>
      </w:r>
    </w:p>
    <w:p w14:paraId="30DCEC11" w14:textId="77777777" w:rsidR="007D178F" w:rsidRPr="00950AE6" w:rsidRDefault="007D178F" w:rsidP="007D178F">
      <w:pPr>
        <w:numPr>
          <w:ilvl w:val="0"/>
          <w:numId w:val="6"/>
        </w:numPr>
        <w:tabs>
          <w:tab w:val="clear" w:pos="720"/>
          <w:tab w:val="num" w:pos="360"/>
        </w:tabs>
        <w:spacing w:before="100" w:beforeAutospacing="1" w:after="100" w:afterAutospacing="1" w:line="240" w:lineRule="auto"/>
        <w:ind w:firstLine="90"/>
        <w:rPr>
          <w:rFonts w:ascii="Times New Roman" w:eastAsia="Times New Roman" w:hAnsi="Times New Roman"/>
          <w:sz w:val="24"/>
          <w:szCs w:val="24"/>
        </w:rPr>
      </w:pPr>
      <w:r w:rsidRPr="00950AE6">
        <w:rPr>
          <w:rFonts w:ascii="Times New Roman" w:eastAsia="Times New Roman" w:hAnsi="Times New Roman"/>
          <w:sz w:val="24"/>
          <w:szCs w:val="24"/>
        </w:rPr>
        <w:t>Inexpensive &amp; Easy to Install – Plug N Play</w:t>
      </w:r>
      <w:r>
        <w:rPr>
          <w:rFonts w:ascii="Times New Roman" w:eastAsia="Times New Roman" w:hAnsi="Times New Roman"/>
          <w:sz w:val="24"/>
          <w:szCs w:val="24"/>
        </w:rPr>
        <w:t>.</w:t>
      </w:r>
    </w:p>
    <w:bookmarkEnd w:id="198"/>
    <w:p w14:paraId="7BA52E9F" w14:textId="77777777" w:rsidR="007D178F" w:rsidRDefault="007D178F" w:rsidP="00EF1133">
      <w:pPr>
        <w:rPr>
          <w:rFonts w:ascii="Arial Black" w:hAnsi="Arial Black"/>
          <w:b/>
          <w:sz w:val="24"/>
          <w:szCs w:val="24"/>
        </w:rPr>
      </w:pPr>
    </w:p>
    <w:p w14:paraId="4960E410" w14:textId="7176F516" w:rsidR="00557CA2" w:rsidRDefault="00557CA2" w:rsidP="00EF1133">
      <w:pPr>
        <w:rPr>
          <w:rFonts w:ascii="Arial Black" w:hAnsi="Arial Black"/>
          <w:b/>
          <w:sz w:val="24"/>
          <w:szCs w:val="24"/>
        </w:rPr>
      </w:pPr>
      <w:r>
        <w:rPr>
          <w:rFonts w:ascii="Arial Black" w:hAnsi="Arial Black"/>
          <w:b/>
          <w:sz w:val="24"/>
          <w:szCs w:val="24"/>
        </w:rPr>
        <w:t>5-17</w:t>
      </w:r>
    </w:p>
    <w:p w14:paraId="06DC5D93" w14:textId="77777777" w:rsidR="00557CA2" w:rsidRDefault="00557CA2" w:rsidP="00557CA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NY: VOL. FF IN MVA – CROSSED AGAINST RED LIGHT- NO SIREN, ONLY EMER. LIGHT - 40% LIABLE – JURY $20,000</w:t>
      </w:r>
    </w:p>
    <w:p w14:paraId="4EFE939D" w14:textId="77777777" w:rsidR="00557CA2" w:rsidRDefault="00557CA2" w:rsidP="00557CA2">
      <w:pPr>
        <w:tabs>
          <w:tab w:val="left" w:pos="6680"/>
        </w:tabs>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 19, 2020, in </w:t>
      </w:r>
      <w:r>
        <w:rPr>
          <w:rFonts w:ascii="Times New Roman" w:eastAsia="Times New Roman" w:hAnsi="Times New Roman"/>
          <w:sz w:val="24"/>
          <w:szCs w:val="24"/>
          <w:u w:val="single"/>
        </w:rPr>
        <w:t>Jeffrey K. Schleger v. Michael F. Jurcsak</w:t>
      </w:r>
      <w:r>
        <w:rPr>
          <w:rFonts w:ascii="Times New Roman" w:eastAsia="Times New Roman" w:hAnsi="Times New Roman"/>
          <w:sz w:val="24"/>
          <w:szCs w:val="24"/>
        </w:rPr>
        <w:t xml:space="preserve">, the Supreme Court of the State of New York, Appellate Division (Second Judicial Department) upheld (3 to 0) the jury’s verdict, finding plaintiff 60% liable and only awarding him $20,000 in damages. </w:t>
      </w:r>
    </w:p>
    <w:p w14:paraId="1771C541" w14:textId="77777777" w:rsidR="00557CA2" w:rsidRDefault="00557CA2" w:rsidP="00557CA2">
      <w:pPr>
        <w:tabs>
          <w:tab w:val="left" w:pos="6680"/>
        </w:tabs>
        <w:spacing w:before="100" w:beforeAutospacing="1" w:after="100" w:afterAutospacing="1" w:line="240" w:lineRule="auto"/>
        <w:ind w:left="540"/>
        <w:rPr>
          <w:rFonts w:ascii="Times New Roman" w:eastAsia="Times New Roman" w:hAnsi="Times New Roman"/>
          <w:sz w:val="24"/>
          <w:szCs w:val="24"/>
        </w:rPr>
      </w:pPr>
      <w:r>
        <w:rPr>
          <w:rFonts w:ascii="Times New Roman" w:hAnsi="Times New Roman"/>
          <w:sz w:val="24"/>
          <w:szCs w:val="24"/>
        </w:rPr>
        <w:t>“Issues of credibility are for the jury, which had the opportunity to observe the witnesses and the evidence,' and its credibility determination is entitled to deference" (</w:t>
      </w:r>
      <w:r>
        <w:rPr>
          <w:rFonts w:ascii="Times New Roman" w:hAnsi="Times New Roman"/>
          <w:i/>
          <w:iCs/>
          <w:sz w:val="24"/>
          <w:szCs w:val="24"/>
        </w:rPr>
        <w:t>id</w:t>
      </w:r>
      <w:r>
        <w:rPr>
          <w:rFonts w:ascii="Times New Roman" w:hAnsi="Times New Roman"/>
          <w:sz w:val="24"/>
          <w:szCs w:val="24"/>
        </w:rPr>
        <w:t xml:space="preserve">., quoting </w:t>
      </w:r>
      <w:r>
        <w:rPr>
          <w:rFonts w:ascii="Times New Roman" w:hAnsi="Times New Roman"/>
          <w:i/>
          <w:iCs/>
          <w:sz w:val="24"/>
          <w:szCs w:val="24"/>
        </w:rPr>
        <w:t>Aronov v Kanarek</w:t>
      </w:r>
      <w:r>
        <w:rPr>
          <w:rFonts w:ascii="Times New Roman" w:hAnsi="Times New Roman"/>
          <w:sz w:val="24"/>
          <w:szCs w:val="24"/>
        </w:rPr>
        <w:t>, 166 AD3d 574, 575 [internal quotation marks omitted]). Contrary to the plaintiff's contention, the jury's verdict on the issue of liability finding that the plaintiff was negligent and 60% at fault in the happening of the accident was not contrary to the weight of the evidence because a fair interpretation of the evidence supports the verdict (</w:t>
      </w:r>
      <w:r>
        <w:rPr>
          <w:rFonts w:ascii="Times New Roman" w:hAnsi="Times New Roman"/>
          <w:i/>
          <w:iCs/>
          <w:sz w:val="24"/>
          <w:szCs w:val="24"/>
        </w:rPr>
        <w:t xml:space="preserve">see </w:t>
      </w:r>
      <w:proofErr w:type="spellStart"/>
      <w:r>
        <w:rPr>
          <w:rFonts w:ascii="Times New Roman" w:hAnsi="Times New Roman"/>
          <w:i/>
          <w:iCs/>
          <w:sz w:val="24"/>
          <w:szCs w:val="24"/>
        </w:rPr>
        <w:t>Khaydarov</w:t>
      </w:r>
      <w:proofErr w:type="spellEnd"/>
      <w:r>
        <w:rPr>
          <w:rFonts w:ascii="Times New Roman" w:hAnsi="Times New Roman"/>
          <w:i/>
          <w:iCs/>
          <w:sz w:val="24"/>
          <w:szCs w:val="24"/>
        </w:rPr>
        <w:t xml:space="preserve"> v AK1 Group</w:t>
      </w:r>
      <w:r>
        <w:rPr>
          <w:rFonts w:ascii="Times New Roman" w:hAnsi="Times New Roman"/>
          <w:sz w:val="24"/>
          <w:szCs w:val="24"/>
        </w:rPr>
        <w:t xml:space="preserve">, </w:t>
      </w:r>
      <w:r>
        <w:rPr>
          <w:rFonts w:ascii="Times New Roman" w:hAnsi="Times New Roman"/>
          <w:i/>
          <w:iCs/>
          <w:sz w:val="24"/>
          <w:szCs w:val="24"/>
        </w:rPr>
        <w:t>Inc</w:t>
      </w:r>
      <w:r>
        <w:rPr>
          <w:rFonts w:ascii="Times New Roman" w:hAnsi="Times New Roman"/>
          <w:sz w:val="24"/>
          <w:szCs w:val="24"/>
        </w:rPr>
        <w:t xml:space="preserve">., 173 AD3d at 722; </w:t>
      </w:r>
      <w:r>
        <w:rPr>
          <w:rFonts w:ascii="Times New Roman" w:hAnsi="Times New Roman"/>
          <w:i/>
          <w:iCs/>
          <w:sz w:val="24"/>
          <w:szCs w:val="24"/>
        </w:rPr>
        <w:t>Vazquez v County of Nassau</w:t>
      </w:r>
      <w:r>
        <w:rPr>
          <w:rFonts w:ascii="Times New Roman" w:hAnsi="Times New Roman"/>
          <w:sz w:val="24"/>
          <w:szCs w:val="24"/>
        </w:rPr>
        <w:t xml:space="preserve"> 91 AD3d at 857).” </w:t>
      </w:r>
      <w:hyperlink r:id="rId987" w:history="1">
        <w:r>
          <w:rPr>
            <w:rStyle w:val="Hyperlink"/>
            <w:sz w:val="24"/>
            <w:szCs w:val="24"/>
          </w:rPr>
          <w:t>https://public.fastcase.com/Wl%2B2t%2BeVuI35%2FN70vAMFZpcMKjA7NXtV8NizS7yUss6ITpHR1n8JduscQQ47RvF2</w:t>
        </w:r>
      </w:hyperlink>
      <w:r>
        <w:rPr>
          <w:rFonts w:ascii="Times New Roman" w:hAnsi="Times New Roman"/>
          <w:sz w:val="24"/>
          <w:szCs w:val="24"/>
        </w:rPr>
        <w:t xml:space="preserve"> </w:t>
      </w:r>
    </w:p>
    <w:p w14:paraId="769603FE" w14:textId="77777777" w:rsidR="00557CA2" w:rsidRDefault="00557CA2" w:rsidP="00557CA2">
      <w:pPr>
        <w:tabs>
          <w:tab w:val="left" w:pos="3130"/>
        </w:tabs>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Fire Departments should require fire &amp; EMS personnel to use both emergency lights and sirens when entering intersection against a red light.  Volunteers should inform their personal insurance companies in writing they are using their personal vehicles to respond and request written confirmation they have coverage. </w:t>
      </w:r>
    </w:p>
    <w:p w14:paraId="0BEFBAC2" w14:textId="77777777" w:rsidR="00557CA2" w:rsidRDefault="00557CA2" w:rsidP="00EF1133">
      <w:pPr>
        <w:rPr>
          <w:rFonts w:ascii="Arial Black" w:hAnsi="Arial Black"/>
          <w:b/>
          <w:sz w:val="24"/>
          <w:szCs w:val="24"/>
        </w:rPr>
      </w:pPr>
    </w:p>
    <w:p w14:paraId="759BB1E3" w14:textId="77777777" w:rsidR="00557CA2" w:rsidRDefault="00557CA2" w:rsidP="00EF1133">
      <w:pPr>
        <w:rPr>
          <w:rFonts w:ascii="Arial Black" w:hAnsi="Arial Black"/>
          <w:b/>
          <w:sz w:val="24"/>
          <w:szCs w:val="24"/>
        </w:rPr>
      </w:pPr>
    </w:p>
    <w:p w14:paraId="2A81DF57" w14:textId="251A1B72" w:rsidR="00D94DC4" w:rsidRDefault="00A672EE" w:rsidP="00EF1133">
      <w:pPr>
        <w:rPr>
          <w:rFonts w:ascii="Arial Black" w:hAnsi="Arial Black"/>
          <w:b/>
          <w:sz w:val="24"/>
          <w:szCs w:val="24"/>
        </w:rPr>
      </w:pPr>
      <w:r>
        <w:rPr>
          <w:rFonts w:ascii="Arial Black" w:hAnsi="Arial Black"/>
          <w:b/>
          <w:sz w:val="24"/>
          <w:szCs w:val="24"/>
        </w:rPr>
        <w:t>5-16</w:t>
      </w:r>
    </w:p>
    <w:p w14:paraId="2403CFD6" w14:textId="77777777" w:rsidR="00A672EE" w:rsidRPr="0050734F" w:rsidRDefault="00A672EE" w:rsidP="00A672EE">
      <w:pPr>
        <w:spacing w:before="100" w:beforeAutospacing="1" w:after="100" w:afterAutospacing="1" w:line="240" w:lineRule="auto"/>
        <w:rPr>
          <w:rFonts w:ascii="Arial Black" w:eastAsia="Times New Roman" w:hAnsi="Arial Black"/>
          <w:sz w:val="28"/>
          <w:szCs w:val="28"/>
        </w:rPr>
      </w:pPr>
      <w:r w:rsidRPr="0050734F">
        <w:rPr>
          <w:rFonts w:ascii="Arial Black" w:eastAsia="Times New Roman" w:hAnsi="Arial Black"/>
          <w:sz w:val="28"/>
          <w:szCs w:val="28"/>
        </w:rPr>
        <w:t xml:space="preserve">NY: </w:t>
      </w:r>
      <w:r>
        <w:rPr>
          <w:rFonts w:ascii="Arial Black" w:eastAsia="Times New Roman" w:hAnsi="Arial Black"/>
          <w:sz w:val="28"/>
          <w:szCs w:val="28"/>
        </w:rPr>
        <w:t xml:space="preserve">FDNY AMBULANCE RESPONDED TO MVA – BACKED INTO VEHICE – CLAIM NOT FILED WITHIN 90 DAYS </w:t>
      </w:r>
    </w:p>
    <w:p w14:paraId="77D791DD" w14:textId="44924364" w:rsidR="00A672EE" w:rsidRDefault="00A672EE" w:rsidP="00A672EE">
      <w:pPr>
        <w:rPr>
          <w:rStyle w:val="Hyperlink"/>
          <w:rFonts w:ascii="Times New Roman" w:hAnsi="Times New Roman"/>
          <w:sz w:val="24"/>
          <w:szCs w:val="24"/>
        </w:rPr>
      </w:pPr>
      <w:r w:rsidRPr="0050734F">
        <w:rPr>
          <w:rFonts w:ascii="Times New Roman" w:eastAsia="Times New Roman" w:hAnsi="Times New Roman"/>
          <w:sz w:val="24"/>
          <w:szCs w:val="24"/>
        </w:rPr>
        <w:t>On July 15, 2020, i</w:t>
      </w:r>
      <w:r>
        <w:rPr>
          <w:rFonts w:ascii="Times New Roman" w:eastAsia="Times New Roman" w:hAnsi="Times New Roman"/>
          <w:sz w:val="24"/>
          <w:szCs w:val="24"/>
        </w:rPr>
        <w:t xml:space="preserve">n case </w:t>
      </w:r>
      <w:r w:rsidRPr="00D91ABE">
        <w:rPr>
          <w:rFonts w:ascii="Times New Roman" w:eastAsia="Times New Roman" w:hAnsi="Times New Roman"/>
          <w:sz w:val="24"/>
          <w:szCs w:val="24"/>
          <w:u w:val="single"/>
        </w:rPr>
        <w:t>In the Matter of Johanny M. Lugo et al. v. City of New York</w:t>
      </w:r>
      <w:r>
        <w:rPr>
          <w:rFonts w:ascii="Times New Roman" w:eastAsia="Times New Roman" w:hAnsi="Times New Roman"/>
          <w:b/>
          <w:bCs/>
          <w:sz w:val="24"/>
          <w:szCs w:val="24"/>
        </w:rPr>
        <w:t xml:space="preserve">, </w:t>
      </w:r>
      <w:r>
        <w:rPr>
          <w:rFonts w:ascii="Times New Roman" w:eastAsia="Times New Roman" w:hAnsi="Times New Roman"/>
          <w:sz w:val="24"/>
          <w:szCs w:val="24"/>
        </w:rPr>
        <w:t>the Supreme Court of the State of New York, Appellate Division, Second Judicial Department, upheld (5 to 0) the trial court judge’s decision dismissing her request to file a late claim. Court wrote: “</w:t>
      </w:r>
      <w:r w:rsidRPr="00D91ABE">
        <w:rPr>
          <w:rFonts w:ascii="Times New Roman" w:hAnsi="Times New Roman"/>
          <w:sz w:val="24"/>
          <w:szCs w:val="24"/>
        </w:rPr>
        <w:t>Here, the police accident report</w:t>
      </w:r>
      <w:r>
        <w:rPr>
          <w:rFonts w:ascii="Times New Roman" w:hAnsi="Times New Roman"/>
          <w:sz w:val="24"/>
          <w:szCs w:val="24"/>
        </w:rPr>
        <w:t xml:space="preserve"> </w:t>
      </w:r>
      <w:r w:rsidRPr="00D91ABE">
        <w:rPr>
          <w:rFonts w:ascii="Times New Roman" w:hAnsi="Times New Roman"/>
          <w:sz w:val="24"/>
          <w:szCs w:val="24"/>
        </w:rPr>
        <w:t>stated that the EMS vehicle caused</w:t>
      </w:r>
      <w:r>
        <w:rPr>
          <w:rFonts w:ascii="Times New Roman" w:hAnsi="Times New Roman"/>
          <w:sz w:val="24"/>
          <w:szCs w:val="24"/>
        </w:rPr>
        <w:t xml:space="preserve"> </w:t>
      </w:r>
      <w:r w:rsidRPr="00D91ABE">
        <w:rPr>
          <w:rFonts w:ascii="Times New Roman" w:hAnsi="Times New Roman"/>
          <w:sz w:val="24"/>
          <w:szCs w:val="24"/>
        </w:rPr>
        <w:t xml:space="preserve">“no damage” to the petitioner’s </w:t>
      </w:r>
      <w:proofErr w:type="gramStart"/>
      <w:r w:rsidRPr="00D91ABE">
        <w:rPr>
          <w:rFonts w:ascii="Times New Roman" w:hAnsi="Times New Roman"/>
          <w:sz w:val="24"/>
          <w:szCs w:val="24"/>
        </w:rPr>
        <w:t>vehicle, and</w:t>
      </w:r>
      <w:proofErr w:type="gramEnd"/>
      <w:r w:rsidRPr="00D91ABE">
        <w:rPr>
          <w:rFonts w:ascii="Times New Roman" w:hAnsi="Times New Roman"/>
          <w:sz w:val="24"/>
          <w:szCs w:val="24"/>
        </w:rPr>
        <w:t xml:space="preserve"> did not indicate that there was any connection between</w:t>
      </w:r>
      <w:r>
        <w:rPr>
          <w:rFonts w:ascii="Times New Roman" w:hAnsi="Times New Roman"/>
          <w:sz w:val="24"/>
          <w:szCs w:val="24"/>
        </w:rPr>
        <w:t xml:space="preserve"> </w:t>
      </w:r>
      <w:r w:rsidRPr="00D91ABE">
        <w:rPr>
          <w:rFonts w:ascii="Times New Roman" w:hAnsi="Times New Roman"/>
          <w:sz w:val="24"/>
          <w:szCs w:val="24"/>
        </w:rPr>
        <w:t>the petitioner’s alleged injuries and any negligent conduct on</w:t>
      </w:r>
      <w:r>
        <w:rPr>
          <w:rFonts w:ascii="Times New Roman" w:hAnsi="Times New Roman"/>
          <w:sz w:val="24"/>
          <w:szCs w:val="24"/>
        </w:rPr>
        <w:t xml:space="preserve"> </w:t>
      </w:r>
      <w:r w:rsidRPr="00D91ABE">
        <w:rPr>
          <w:rFonts w:ascii="Times New Roman" w:hAnsi="Times New Roman"/>
          <w:sz w:val="24"/>
          <w:szCs w:val="24"/>
        </w:rPr>
        <w:t>the</w:t>
      </w:r>
      <w:r>
        <w:rPr>
          <w:rFonts w:ascii="Times New Roman" w:hAnsi="Times New Roman"/>
          <w:sz w:val="24"/>
          <w:szCs w:val="24"/>
        </w:rPr>
        <w:t xml:space="preserve"> </w:t>
      </w:r>
      <w:r w:rsidRPr="00D91ABE">
        <w:rPr>
          <w:rFonts w:ascii="Times New Roman" w:hAnsi="Times New Roman"/>
          <w:sz w:val="24"/>
          <w:szCs w:val="24"/>
        </w:rPr>
        <w:t>part</w:t>
      </w:r>
      <w:r>
        <w:rPr>
          <w:rFonts w:ascii="Times New Roman" w:hAnsi="Times New Roman"/>
          <w:sz w:val="24"/>
          <w:szCs w:val="24"/>
        </w:rPr>
        <w:t xml:space="preserve"> </w:t>
      </w:r>
      <w:r w:rsidRPr="00D91ABE">
        <w:rPr>
          <w:rFonts w:ascii="Times New Roman" w:hAnsi="Times New Roman"/>
          <w:sz w:val="24"/>
          <w:szCs w:val="24"/>
        </w:rPr>
        <w:t>of the operator of the EMS</w:t>
      </w:r>
      <w:r>
        <w:rPr>
          <w:rFonts w:ascii="Times New Roman" w:hAnsi="Times New Roman"/>
          <w:sz w:val="24"/>
          <w:szCs w:val="24"/>
        </w:rPr>
        <w:t xml:space="preserve"> </w:t>
      </w:r>
      <w:r w:rsidRPr="00D91ABE">
        <w:rPr>
          <w:rFonts w:ascii="Times New Roman" w:hAnsi="Times New Roman"/>
          <w:sz w:val="24"/>
          <w:szCs w:val="24"/>
        </w:rPr>
        <w:t>vehicle. Thus, the petitioner failed to establish that the police accident report provided actual notice</w:t>
      </w:r>
      <w:r>
        <w:rPr>
          <w:rFonts w:ascii="Times New Roman" w:hAnsi="Times New Roman"/>
          <w:sz w:val="24"/>
          <w:szCs w:val="24"/>
        </w:rPr>
        <w:t xml:space="preserve"> </w:t>
      </w:r>
      <w:r w:rsidRPr="00D91ABE">
        <w:rPr>
          <w:rFonts w:ascii="Times New Roman" w:hAnsi="Times New Roman"/>
          <w:sz w:val="24"/>
          <w:szCs w:val="24"/>
        </w:rPr>
        <w:t>of the facts constituting the petitioner’s claim</w:t>
      </w:r>
      <w:r>
        <w:rPr>
          <w:rFonts w:ascii="Times New Roman" w:hAnsi="Times New Roman"/>
          <w:sz w:val="24"/>
          <w:szCs w:val="24"/>
        </w:rPr>
        <w:t xml:space="preserve"> </w:t>
      </w:r>
      <w:r w:rsidRPr="00D91ABE">
        <w:rPr>
          <w:rFonts w:ascii="Times New Roman" w:hAnsi="Times New Roman"/>
          <w:sz w:val="24"/>
          <w:szCs w:val="24"/>
        </w:rPr>
        <w:t xml:space="preserve">that she sustained serious injuries </w:t>
      </w:r>
      <w:proofErr w:type="gramStart"/>
      <w:r w:rsidRPr="00D91ABE">
        <w:rPr>
          <w:rFonts w:ascii="Times New Roman" w:hAnsi="Times New Roman"/>
          <w:sz w:val="24"/>
          <w:szCs w:val="24"/>
        </w:rPr>
        <w:t>as a result of</w:t>
      </w:r>
      <w:proofErr w:type="gramEnd"/>
      <w:r w:rsidRPr="00D91ABE">
        <w:rPr>
          <w:rFonts w:ascii="Times New Roman" w:hAnsi="Times New Roman"/>
          <w:sz w:val="24"/>
          <w:szCs w:val="24"/>
        </w:rPr>
        <w:t xml:space="preserve"> the</w:t>
      </w:r>
      <w:r>
        <w:rPr>
          <w:rFonts w:ascii="Times New Roman" w:hAnsi="Times New Roman"/>
          <w:sz w:val="24"/>
          <w:szCs w:val="24"/>
        </w:rPr>
        <w:t xml:space="preserve"> </w:t>
      </w:r>
      <w:r w:rsidRPr="00D91ABE">
        <w:rPr>
          <w:rFonts w:ascii="Times New Roman" w:hAnsi="Times New Roman"/>
          <w:sz w:val="24"/>
          <w:szCs w:val="24"/>
        </w:rPr>
        <w:t>City’s negligence</w:t>
      </w:r>
      <w:r>
        <w:rPr>
          <w:rFonts w:ascii="Times New Roman" w:hAnsi="Times New Roman"/>
          <w:sz w:val="24"/>
          <w:szCs w:val="24"/>
        </w:rPr>
        <w:t xml:space="preserve">….”  </w:t>
      </w:r>
      <w:hyperlink r:id="rId988" w:history="1">
        <w:r w:rsidRPr="00DD4F05">
          <w:rPr>
            <w:rStyle w:val="Hyperlink"/>
            <w:rFonts w:ascii="Times New Roman" w:hAnsi="Times New Roman"/>
            <w:sz w:val="24"/>
            <w:szCs w:val="24"/>
          </w:rPr>
          <w:t>http://www.nycourts.gov/courts/AD2/Handdowns/2020/Decisions/D63290.pdf</w:t>
        </w:r>
      </w:hyperlink>
    </w:p>
    <w:p w14:paraId="67F93CFE" w14:textId="77777777" w:rsidR="00A672EE" w:rsidRDefault="00A672EE" w:rsidP="00A672EE">
      <w:pPr>
        <w:tabs>
          <w:tab w:val="left" w:pos="3680"/>
        </w:tabs>
        <w:spacing w:before="100" w:beforeAutospacing="1" w:after="100" w:afterAutospacing="1" w:line="240" w:lineRule="auto"/>
        <w:rPr>
          <w:rFonts w:ascii="Times New Roman" w:hAnsi="Times New Roman"/>
          <w:b/>
          <w:bCs/>
          <w:sz w:val="24"/>
          <w:szCs w:val="24"/>
        </w:rPr>
      </w:pPr>
      <w:r w:rsidRPr="00DD4F05">
        <w:rPr>
          <w:rFonts w:ascii="Times New Roman" w:hAnsi="Times New Roman"/>
          <w:b/>
          <w:bCs/>
          <w:sz w:val="24"/>
          <w:szCs w:val="24"/>
        </w:rPr>
        <w:t>Legal Lesson Learned</w:t>
      </w:r>
      <w:r>
        <w:rPr>
          <w:rFonts w:ascii="Times New Roman" w:hAnsi="Times New Roman"/>
          <w:sz w:val="24"/>
          <w:szCs w:val="24"/>
        </w:rPr>
        <w:t xml:space="preserve">:  </w:t>
      </w:r>
      <w:r w:rsidRPr="00683FEB">
        <w:rPr>
          <w:rFonts w:ascii="Times New Roman" w:hAnsi="Times New Roman"/>
          <w:b/>
          <w:bCs/>
          <w:sz w:val="24"/>
          <w:szCs w:val="24"/>
        </w:rPr>
        <w:t xml:space="preserve">Courts will enforce municipal </w:t>
      </w:r>
      <w:r>
        <w:rPr>
          <w:rFonts w:ascii="Times New Roman" w:hAnsi="Times New Roman"/>
          <w:b/>
          <w:bCs/>
          <w:sz w:val="24"/>
          <w:szCs w:val="24"/>
        </w:rPr>
        <w:t>ordinances</w:t>
      </w:r>
      <w:r w:rsidRPr="00683FEB">
        <w:rPr>
          <w:rFonts w:ascii="Times New Roman" w:hAnsi="Times New Roman"/>
          <w:b/>
          <w:bCs/>
          <w:sz w:val="24"/>
          <w:szCs w:val="24"/>
        </w:rPr>
        <w:t xml:space="preserve"> requiring timely, written notice of a </w:t>
      </w:r>
      <w:r>
        <w:rPr>
          <w:rFonts w:ascii="Times New Roman" w:hAnsi="Times New Roman"/>
          <w:b/>
          <w:bCs/>
          <w:sz w:val="24"/>
          <w:szCs w:val="24"/>
        </w:rPr>
        <w:t xml:space="preserve">tort </w:t>
      </w:r>
      <w:r w:rsidRPr="00683FEB">
        <w:rPr>
          <w:rFonts w:ascii="Times New Roman" w:hAnsi="Times New Roman"/>
          <w:b/>
          <w:bCs/>
          <w:sz w:val="24"/>
          <w:szCs w:val="24"/>
        </w:rPr>
        <w:t xml:space="preserve">claim. </w:t>
      </w:r>
      <w:r>
        <w:rPr>
          <w:rFonts w:ascii="Times New Roman" w:hAnsi="Times New Roman"/>
          <w:b/>
          <w:bCs/>
          <w:sz w:val="24"/>
          <w:szCs w:val="24"/>
        </w:rPr>
        <w:t xml:space="preserve"> </w:t>
      </w:r>
    </w:p>
    <w:p w14:paraId="037D4301" w14:textId="77777777" w:rsidR="00A672EE" w:rsidRDefault="00A672EE" w:rsidP="001C563D">
      <w:pPr>
        <w:rPr>
          <w:rFonts w:ascii="Arial Black" w:hAnsi="Arial Black"/>
          <w:b/>
          <w:sz w:val="24"/>
          <w:szCs w:val="24"/>
        </w:rPr>
      </w:pPr>
    </w:p>
    <w:p w14:paraId="17F7CC47" w14:textId="5834FA90" w:rsidR="001C563D" w:rsidRPr="007105B3" w:rsidRDefault="007105B3" w:rsidP="001C563D">
      <w:pPr>
        <w:rPr>
          <w:rFonts w:ascii="Times New Roman" w:hAnsi="Times New Roman"/>
          <w:bCs/>
          <w:sz w:val="24"/>
          <w:szCs w:val="24"/>
        </w:rPr>
      </w:pPr>
      <w:r>
        <w:rPr>
          <w:rFonts w:ascii="Arial Black" w:hAnsi="Arial Black"/>
          <w:b/>
          <w:sz w:val="24"/>
          <w:szCs w:val="24"/>
        </w:rPr>
        <w:t>5-1</w:t>
      </w:r>
      <w:r w:rsidR="00A672EE">
        <w:rPr>
          <w:rFonts w:ascii="Arial Black" w:hAnsi="Arial Black"/>
          <w:b/>
          <w:sz w:val="24"/>
          <w:szCs w:val="24"/>
        </w:rPr>
        <w:t>5</w:t>
      </w:r>
      <w:r w:rsidR="001C563D">
        <w:rPr>
          <w:rFonts w:ascii="Arial Black" w:hAnsi="Arial Black"/>
          <w:b/>
          <w:sz w:val="24"/>
          <w:szCs w:val="24"/>
        </w:rPr>
        <w:t xml:space="preserve"> </w:t>
      </w:r>
      <w:r w:rsidR="001C563D" w:rsidRPr="007105B3">
        <w:rPr>
          <w:rFonts w:ascii="Times New Roman" w:hAnsi="Times New Roman"/>
          <w:bCs/>
          <w:sz w:val="24"/>
          <w:szCs w:val="24"/>
        </w:rPr>
        <w:t>[Also filed, Chap. 1</w:t>
      </w:r>
      <w:r w:rsidR="001C563D">
        <w:rPr>
          <w:rFonts w:ascii="Times New Roman" w:hAnsi="Times New Roman"/>
          <w:bCs/>
          <w:sz w:val="24"/>
          <w:szCs w:val="24"/>
        </w:rPr>
        <w:t>3</w:t>
      </w:r>
      <w:r w:rsidR="001C563D" w:rsidRPr="007105B3">
        <w:rPr>
          <w:rFonts w:ascii="Times New Roman" w:hAnsi="Times New Roman"/>
          <w:bCs/>
          <w:sz w:val="24"/>
          <w:szCs w:val="24"/>
        </w:rPr>
        <w:t>]</w:t>
      </w:r>
    </w:p>
    <w:p w14:paraId="63DB6797" w14:textId="77777777" w:rsidR="007105B3" w:rsidRDefault="007105B3" w:rsidP="007105B3">
      <w:pPr>
        <w:pStyle w:val="NoSpacing"/>
        <w:rPr>
          <w:rFonts w:ascii="Arial Black" w:hAnsi="Arial Black"/>
          <w:sz w:val="28"/>
          <w:szCs w:val="28"/>
        </w:rPr>
      </w:pPr>
      <w:r w:rsidRPr="00284D4F">
        <w:rPr>
          <w:rFonts w:ascii="Arial Black" w:hAnsi="Arial Black"/>
          <w:sz w:val="28"/>
          <w:szCs w:val="28"/>
        </w:rPr>
        <w:t xml:space="preserve">IL: </w:t>
      </w:r>
      <w:r>
        <w:rPr>
          <w:rFonts w:ascii="Arial Black" w:hAnsi="Arial Black"/>
          <w:sz w:val="28"/>
          <w:szCs w:val="28"/>
        </w:rPr>
        <w:t>PRIVATE AMBULANCE – RAN RED LIGHT WHEN DRIVING TO NON-EMERGENCY TRANSPORT - NO IMMUNITY</w:t>
      </w:r>
    </w:p>
    <w:p w14:paraId="0000839C" w14:textId="77777777" w:rsidR="007105B3" w:rsidRDefault="007105B3" w:rsidP="007105B3">
      <w:pPr>
        <w:pStyle w:val="NoSpacing"/>
        <w:rPr>
          <w:rFonts w:ascii="Arial Black" w:hAnsi="Arial Black"/>
          <w:sz w:val="28"/>
          <w:szCs w:val="28"/>
        </w:rPr>
      </w:pPr>
    </w:p>
    <w:p w14:paraId="76DA4ACE" w14:textId="00F6329E" w:rsidR="007105B3" w:rsidRPr="00700A10" w:rsidRDefault="007105B3" w:rsidP="007105B3">
      <w:pPr>
        <w:pStyle w:val="NoSpacing"/>
        <w:rPr>
          <w:rFonts w:ascii="Times New Roman" w:hAnsi="Times New Roman"/>
          <w:sz w:val="24"/>
          <w:szCs w:val="24"/>
        </w:rPr>
      </w:pPr>
      <w:r w:rsidRPr="00284D4F">
        <w:rPr>
          <w:rFonts w:ascii="Times New Roman" w:hAnsi="Times New Roman"/>
          <w:sz w:val="24"/>
          <w:szCs w:val="24"/>
        </w:rPr>
        <w:t xml:space="preserve">On </w:t>
      </w:r>
      <w:r>
        <w:rPr>
          <w:rFonts w:ascii="Times New Roman" w:hAnsi="Times New Roman"/>
          <w:sz w:val="24"/>
          <w:szCs w:val="24"/>
        </w:rPr>
        <w:t xml:space="preserve">June 18, 2020, in </w:t>
      </w:r>
      <w:r w:rsidRPr="00284D4F">
        <w:rPr>
          <w:rFonts w:ascii="Times New Roman" w:hAnsi="Times New Roman"/>
          <w:sz w:val="24"/>
          <w:szCs w:val="24"/>
          <w:u w:val="single"/>
        </w:rPr>
        <w:t>Roberto Hernandez v. Lifeline Ambulance, LLC, et al</w:t>
      </w:r>
      <w:r>
        <w:rPr>
          <w:rFonts w:ascii="Times New Roman" w:hAnsi="Times New Roman"/>
          <w:sz w:val="24"/>
          <w:szCs w:val="24"/>
        </w:rPr>
        <w:t xml:space="preserve">., the Supreme Court of State of Illinois, held (4 to 3) that the private ambulance driver and his employer are not protected under the state’s EMS immunity statute when the ambulance driver, on a non-emergency run without lights or siren, ran a red light and injured the driver of another vehicle. The ambulance had been dispatched </w:t>
      </w:r>
      <w:r w:rsidRPr="00700A10">
        <w:rPr>
          <w:rFonts w:ascii="Times New Roman" w:hAnsi="Times New Roman"/>
          <w:sz w:val="24"/>
          <w:szCs w:val="24"/>
        </w:rPr>
        <w:t>to pick up a patient for nonemergency medical transport from Symphony at Aria Post Acute Care in Hillside to Villa Park Home Dialysis in Villa Park</w:t>
      </w:r>
      <w:r>
        <w:rPr>
          <w:rFonts w:ascii="Times New Roman" w:hAnsi="Times New Roman"/>
          <w:sz w:val="24"/>
          <w:szCs w:val="24"/>
        </w:rPr>
        <w:t>. The Court’s majority held: “</w:t>
      </w:r>
      <w:r w:rsidRPr="00700A10">
        <w:rPr>
          <w:rFonts w:ascii="Times New Roman" w:hAnsi="Times New Roman"/>
          <w:sz w:val="24"/>
          <w:szCs w:val="24"/>
        </w:rPr>
        <w:t xml:space="preserve">The issue presented is whether section 3.150 of the Emergency Medical Services Systems Act (EMS Act) (210 ILCS 50/3.150 (West 2016)) provides immunity from liability—to an ambulance owner and its driver—stemming from a motor-vehicle accident caused by the negligent operation of the ambulance while </w:t>
      </w:r>
      <w:proofErr w:type="spellStart"/>
      <w:r w:rsidRPr="00700A10">
        <w:rPr>
          <w:rFonts w:ascii="Times New Roman" w:hAnsi="Times New Roman"/>
          <w:sz w:val="24"/>
          <w:szCs w:val="24"/>
        </w:rPr>
        <w:t>en</w:t>
      </w:r>
      <w:proofErr w:type="spellEnd"/>
      <w:r w:rsidRPr="00700A10">
        <w:rPr>
          <w:rFonts w:ascii="Times New Roman" w:hAnsi="Times New Roman"/>
          <w:sz w:val="24"/>
          <w:szCs w:val="24"/>
        </w:rPr>
        <w:t xml:space="preserve"> route to pick up a patient for nonemergency transportation. We answer this question in the negative, holding that defendants are not immune from liability under the circumstances of this case.</w:t>
      </w:r>
      <w:r>
        <w:rPr>
          <w:rFonts w:ascii="Times New Roman" w:hAnsi="Times New Roman"/>
          <w:sz w:val="24"/>
          <w:szCs w:val="24"/>
        </w:rPr>
        <w:t xml:space="preserve">” </w:t>
      </w:r>
      <w:hyperlink r:id="rId989" w:history="1">
        <w:r w:rsidRPr="005B0C9C">
          <w:rPr>
            <w:rStyle w:val="Hyperlink"/>
            <w:rFonts w:ascii="Times New Roman" w:hAnsi="Times New Roman"/>
            <w:sz w:val="24"/>
            <w:szCs w:val="24"/>
          </w:rPr>
          <w:t>https://courts.illinois.gov/Opinions/SupremeCourt/2020/124610.pdf</w:t>
        </w:r>
      </w:hyperlink>
      <w:r>
        <w:rPr>
          <w:rFonts w:ascii="Times New Roman" w:hAnsi="Times New Roman"/>
          <w:sz w:val="24"/>
          <w:szCs w:val="24"/>
        </w:rPr>
        <w:t xml:space="preserve"> </w:t>
      </w:r>
    </w:p>
    <w:p w14:paraId="2F74C9E2" w14:textId="77777777" w:rsidR="007105B3" w:rsidRPr="00700A10" w:rsidRDefault="007105B3" w:rsidP="007105B3">
      <w:pPr>
        <w:pStyle w:val="NoSpacing"/>
        <w:rPr>
          <w:rFonts w:ascii="Times New Roman" w:hAnsi="Times New Roman"/>
          <w:sz w:val="24"/>
          <w:szCs w:val="24"/>
        </w:rPr>
      </w:pPr>
    </w:p>
    <w:p w14:paraId="264DFFDE" w14:textId="77777777" w:rsidR="007105B3" w:rsidRPr="00700A10" w:rsidRDefault="007105B3" w:rsidP="007105B3">
      <w:pPr>
        <w:pStyle w:val="NoSpacing"/>
        <w:rPr>
          <w:rFonts w:ascii="Times New Roman" w:hAnsi="Times New Roman"/>
          <w:b/>
          <w:bCs/>
          <w:sz w:val="24"/>
          <w:szCs w:val="24"/>
        </w:rPr>
      </w:pPr>
      <w:r w:rsidRPr="00700A10">
        <w:rPr>
          <w:rFonts w:ascii="Times New Roman" w:hAnsi="Times New Roman"/>
          <w:b/>
          <w:bCs/>
          <w:sz w:val="24"/>
          <w:szCs w:val="24"/>
        </w:rPr>
        <w:t>Legal Lessons Learned:</w:t>
      </w:r>
      <w:r>
        <w:rPr>
          <w:rFonts w:ascii="Times New Roman" w:hAnsi="Times New Roman"/>
          <w:b/>
          <w:bCs/>
          <w:sz w:val="24"/>
          <w:szCs w:val="24"/>
        </w:rPr>
        <w:t xml:space="preserve"> EMS driving running a red light for a non-emergency transport should be held responsible, along with his company, for his negligent conduct. </w:t>
      </w:r>
    </w:p>
    <w:p w14:paraId="195DB726" w14:textId="77777777" w:rsidR="007105B3" w:rsidRDefault="007105B3" w:rsidP="007105B3">
      <w:pPr>
        <w:pStyle w:val="NoSpacing"/>
        <w:rPr>
          <w:rFonts w:ascii="Times New Roman" w:hAnsi="Times New Roman"/>
          <w:sz w:val="24"/>
          <w:szCs w:val="24"/>
        </w:rPr>
      </w:pPr>
    </w:p>
    <w:p w14:paraId="3B47FBEE" w14:textId="77777777" w:rsidR="007105B3" w:rsidRPr="005262A7" w:rsidRDefault="007105B3" w:rsidP="007105B3">
      <w:pPr>
        <w:pStyle w:val="NoSpacing"/>
        <w:ind w:firstLine="720"/>
        <w:rPr>
          <w:rFonts w:ascii="Times New Roman" w:hAnsi="Times New Roman"/>
          <w:sz w:val="24"/>
          <w:szCs w:val="24"/>
        </w:rPr>
      </w:pPr>
      <w:r w:rsidRPr="005262A7">
        <w:rPr>
          <w:rFonts w:ascii="Times New Roman" w:hAnsi="Times New Roman"/>
          <w:sz w:val="24"/>
          <w:szCs w:val="24"/>
        </w:rPr>
        <w:t xml:space="preserve">Note: Three dissenting Justices </w:t>
      </w:r>
      <w:r>
        <w:rPr>
          <w:rFonts w:ascii="Times New Roman" w:hAnsi="Times New Roman"/>
          <w:sz w:val="24"/>
          <w:szCs w:val="24"/>
        </w:rPr>
        <w:t>disagreed:</w:t>
      </w:r>
    </w:p>
    <w:p w14:paraId="5398AC1B" w14:textId="77777777" w:rsidR="007105B3" w:rsidRDefault="007105B3" w:rsidP="007105B3">
      <w:pPr>
        <w:pStyle w:val="NoSpacing"/>
        <w:ind w:left="720"/>
        <w:rPr>
          <w:rFonts w:ascii="Times New Roman" w:hAnsi="Times New Roman"/>
          <w:sz w:val="24"/>
          <w:szCs w:val="24"/>
        </w:rPr>
      </w:pPr>
    </w:p>
    <w:p w14:paraId="230F6F10" w14:textId="18D4006C" w:rsidR="007105B3" w:rsidRDefault="007105B3" w:rsidP="007105B3">
      <w:pPr>
        <w:pStyle w:val="NoSpacing"/>
        <w:ind w:left="720"/>
      </w:pPr>
      <w:r>
        <w:rPr>
          <w:rFonts w:ascii="Times New Roman" w:hAnsi="Times New Roman"/>
          <w:sz w:val="24"/>
          <w:szCs w:val="24"/>
        </w:rPr>
        <w:t>“</w:t>
      </w:r>
      <w:r w:rsidRPr="005262A7">
        <w:rPr>
          <w:rFonts w:ascii="Times New Roman" w:hAnsi="Times New Roman"/>
          <w:sz w:val="24"/>
          <w:szCs w:val="24"/>
        </w:rPr>
        <w:t xml:space="preserve">In the case at bar, at the time of the accident, Nicholas was rendering nonemergency medical services in the normal course of conducting his duties. Nicholas was in the process of responding to a dispatch to transport a patient to a health care facility. Driving to the patient was preparatory for and integral to delivering the medical service. Further, the accident occurred before transporting the patient to a health care facility and during defendant’s driving in response to the dispatch. Therefore, absent willful and wanton misconduct, section 3.150(a) of the EMS Act immunizes defendants for their alleged negligent acts or omissions while providing nonemergency medical </w:t>
      </w:r>
      <w:proofErr w:type="gramStart"/>
      <w:r w:rsidRPr="005262A7">
        <w:rPr>
          <w:rFonts w:ascii="Times New Roman" w:hAnsi="Times New Roman"/>
          <w:sz w:val="24"/>
          <w:szCs w:val="24"/>
        </w:rPr>
        <w:t>services</w:t>
      </w:r>
      <w:r>
        <w:t>.”</w:t>
      </w:r>
      <w:proofErr w:type="gramEnd"/>
    </w:p>
    <w:p w14:paraId="1820DBE5" w14:textId="77777777" w:rsidR="007105B3" w:rsidRDefault="007105B3" w:rsidP="007105B3">
      <w:pPr>
        <w:pStyle w:val="NoSpacing"/>
        <w:ind w:left="720"/>
      </w:pPr>
    </w:p>
    <w:p w14:paraId="35B897B6" w14:textId="77777777" w:rsidR="007105B3" w:rsidRDefault="007105B3" w:rsidP="00EF1133">
      <w:pPr>
        <w:rPr>
          <w:rFonts w:ascii="Arial Black" w:hAnsi="Arial Black"/>
          <w:b/>
          <w:sz w:val="24"/>
          <w:szCs w:val="24"/>
        </w:rPr>
      </w:pPr>
    </w:p>
    <w:p w14:paraId="4F7A9F7A" w14:textId="4E1A7FBC" w:rsidR="00D94DC4" w:rsidRDefault="00D94DC4" w:rsidP="00EF1133">
      <w:pPr>
        <w:rPr>
          <w:rFonts w:ascii="Arial Black" w:hAnsi="Arial Black"/>
          <w:b/>
          <w:sz w:val="24"/>
          <w:szCs w:val="24"/>
        </w:rPr>
      </w:pPr>
      <w:r>
        <w:rPr>
          <w:rFonts w:ascii="Arial Black" w:hAnsi="Arial Black"/>
          <w:b/>
          <w:sz w:val="24"/>
          <w:szCs w:val="24"/>
        </w:rPr>
        <w:t>5-</w:t>
      </w:r>
      <w:r w:rsidR="004E22C3">
        <w:rPr>
          <w:rFonts w:ascii="Arial Black" w:hAnsi="Arial Black"/>
          <w:b/>
          <w:sz w:val="24"/>
          <w:szCs w:val="24"/>
        </w:rPr>
        <w:t>1</w:t>
      </w:r>
      <w:r w:rsidR="00A672EE">
        <w:rPr>
          <w:rFonts w:ascii="Arial Black" w:hAnsi="Arial Black"/>
          <w:b/>
          <w:sz w:val="24"/>
          <w:szCs w:val="24"/>
        </w:rPr>
        <w:t>4</w:t>
      </w:r>
    </w:p>
    <w:p w14:paraId="4759CF39" w14:textId="77777777" w:rsidR="004E22C3" w:rsidRPr="007B3BAD" w:rsidRDefault="004E22C3" w:rsidP="004E22C3">
      <w:pPr>
        <w:spacing w:before="100" w:beforeAutospacing="1" w:after="100" w:afterAutospacing="1" w:line="240" w:lineRule="auto"/>
        <w:jc w:val="both"/>
        <w:rPr>
          <w:rFonts w:ascii="Arial Black" w:eastAsia="Times New Roman" w:hAnsi="Arial Black"/>
          <w:b/>
          <w:bCs/>
          <w:sz w:val="28"/>
          <w:szCs w:val="28"/>
        </w:rPr>
      </w:pPr>
      <w:r w:rsidRPr="007B3BAD">
        <w:rPr>
          <w:rFonts w:ascii="Arial Black" w:eastAsia="Times New Roman" w:hAnsi="Arial Black"/>
          <w:b/>
          <w:bCs/>
          <w:sz w:val="28"/>
          <w:szCs w:val="28"/>
        </w:rPr>
        <w:t xml:space="preserve">AL: </w:t>
      </w:r>
      <w:r>
        <w:rPr>
          <w:rFonts w:ascii="Arial Black" w:eastAsia="Times New Roman" w:hAnsi="Arial Black"/>
          <w:b/>
          <w:bCs/>
          <w:sz w:val="28"/>
          <w:szCs w:val="28"/>
        </w:rPr>
        <w:t>PARAMEDIC INJURED IN MVA - SETTLED WITH DRIVER $25K, BUT WITHOUT CONSENT OF MEDIC’S INSURANCE CO. – STATE FARM NO LONGER REQ. COVER “UNDERINSURED”</w:t>
      </w:r>
    </w:p>
    <w:p w14:paraId="5B6F94FF" w14:textId="77777777" w:rsidR="004E22C3" w:rsidRDefault="004E22C3" w:rsidP="004E22C3">
      <w:pPr>
        <w:spacing w:before="100" w:beforeAutospacing="1" w:after="100" w:afterAutospacing="1" w:line="240" w:lineRule="auto"/>
        <w:rPr>
          <w:rFonts w:ascii="Times New Roman" w:eastAsia="Times New Roman" w:hAnsi="Times New Roman"/>
          <w:sz w:val="24"/>
          <w:szCs w:val="24"/>
        </w:rPr>
      </w:pPr>
      <w:r w:rsidRPr="00F74356">
        <w:rPr>
          <w:rFonts w:ascii="Times New Roman" w:eastAsia="Times New Roman" w:hAnsi="Times New Roman"/>
          <w:sz w:val="24"/>
          <w:szCs w:val="24"/>
        </w:rPr>
        <w:t xml:space="preserve">On May 29, 2020, in </w:t>
      </w:r>
      <w:r w:rsidRPr="00F74356">
        <w:rPr>
          <w:rFonts w:ascii="Times New Roman" w:eastAsia="Times New Roman" w:hAnsi="Times New Roman"/>
          <w:sz w:val="24"/>
          <w:szCs w:val="24"/>
          <w:u w:val="single"/>
        </w:rPr>
        <w:t>David R. Turner v. State Farm Mutual Insurance Company</w:t>
      </w:r>
      <w:r w:rsidRPr="00F74356">
        <w:rPr>
          <w:rFonts w:ascii="Times New Roman" w:eastAsia="Times New Roman" w:hAnsi="Times New Roman"/>
          <w:sz w:val="24"/>
          <w:szCs w:val="24"/>
        </w:rPr>
        <w:t>, the Supreme Court of Alabama, upheld the trial court’s dismissal of the paramedic’s lawsuit against his own insurance company [All State].</w:t>
      </w:r>
      <w:r>
        <w:rPr>
          <w:rFonts w:ascii="Times New Roman" w:eastAsia="Times New Roman" w:hAnsi="Times New Roman"/>
          <w:sz w:val="24"/>
          <w:szCs w:val="24"/>
        </w:rPr>
        <w:t xml:space="preserve"> </w:t>
      </w:r>
      <w:hyperlink r:id="rId990" w:history="1">
        <w:r w:rsidRPr="00BA0245">
          <w:rPr>
            <w:rStyle w:val="Hyperlink"/>
            <w:sz w:val="24"/>
            <w:szCs w:val="24"/>
          </w:rPr>
          <w:t>https://acis.alabama.gov/displaydocs.cfm?no=1022968&amp;event=5S20LIXMT</w:t>
        </w:r>
      </w:hyperlink>
    </w:p>
    <w:p w14:paraId="228BC173" w14:textId="77777777" w:rsidR="004E22C3" w:rsidRPr="0071286B" w:rsidRDefault="004E22C3" w:rsidP="004E22C3">
      <w:pPr>
        <w:spacing w:before="100" w:beforeAutospacing="1" w:after="100" w:afterAutospacing="1" w:line="240" w:lineRule="auto"/>
        <w:jc w:val="both"/>
        <w:rPr>
          <w:rFonts w:ascii="Times New Roman" w:eastAsia="Times New Roman" w:hAnsi="Times New Roman"/>
          <w:b/>
          <w:bCs/>
          <w:sz w:val="24"/>
          <w:szCs w:val="24"/>
        </w:rPr>
      </w:pPr>
      <w:r w:rsidRPr="0071286B">
        <w:rPr>
          <w:rFonts w:ascii="Times New Roman" w:hAnsi="Times New Roman"/>
          <w:b/>
          <w:bCs/>
          <w:sz w:val="24"/>
          <w:szCs w:val="24"/>
        </w:rPr>
        <w:t>Legal Lessons Learned:</w:t>
      </w:r>
      <w:r>
        <w:rPr>
          <w:rFonts w:ascii="Times New Roman" w:hAnsi="Times New Roman"/>
          <w:b/>
          <w:bCs/>
          <w:sz w:val="24"/>
          <w:szCs w:val="24"/>
        </w:rPr>
        <w:t xml:space="preserve"> If injured in MVA, do not settle and release the other driver’s insurance company without the consent of your insurance company.   Since medic also covered by worker’s comp, the state fund has a right to recover from the $25K settlement.  </w:t>
      </w:r>
    </w:p>
    <w:p w14:paraId="2288998B" w14:textId="27DEB1A6" w:rsidR="00D94DC4" w:rsidRDefault="00A672EE" w:rsidP="00EF1133">
      <w:pPr>
        <w:rPr>
          <w:rFonts w:ascii="Arial Black" w:hAnsi="Arial Black"/>
          <w:b/>
          <w:sz w:val="24"/>
          <w:szCs w:val="24"/>
        </w:rPr>
      </w:pPr>
      <w:r>
        <w:rPr>
          <w:rFonts w:ascii="Arial Black" w:hAnsi="Arial Black"/>
          <w:b/>
          <w:sz w:val="24"/>
          <w:szCs w:val="24"/>
        </w:rPr>
        <w:t>5-13</w:t>
      </w:r>
    </w:p>
    <w:p w14:paraId="52A49942" w14:textId="77777777" w:rsidR="00A672EE" w:rsidRDefault="00A672EE" w:rsidP="00A672EE">
      <w:pPr>
        <w:pStyle w:val="NoSpacing"/>
        <w:rPr>
          <w:rFonts w:ascii="Arial Black" w:hAnsi="Arial Black"/>
          <w:sz w:val="28"/>
          <w:szCs w:val="28"/>
        </w:rPr>
      </w:pPr>
      <w:bookmarkStart w:id="199" w:name="_Hlk66946612"/>
      <w:r w:rsidRPr="009B0E33">
        <w:rPr>
          <w:rFonts w:ascii="Arial Black" w:hAnsi="Arial Black"/>
          <w:sz w:val="28"/>
          <w:szCs w:val="28"/>
        </w:rPr>
        <w:t>TX:</w:t>
      </w:r>
      <w:r>
        <w:rPr>
          <w:rFonts w:ascii="Arial Black" w:hAnsi="Arial Black"/>
          <w:sz w:val="28"/>
          <w:szCs w:val="28"/>
        </w:rPr>
        <w:t xml:space="preserve"> FIRETRUCK ACCIDENT AT INTERSECTION– FF DIDN’T STOP RED LIGHT / FD POLICY – NOT RECKLESS – GOVT IMMUNITY</w:t>
      </w:r>
    </w:p>
    <w:p w14:paraId="0F984B7A" w14:textId="77777777" w:rsidR="00A672EE" w:rsidRDefault="00A672EE" w:rsidP="00A672EE">
      <w:pPr>
        <w:pStyle w:val="NoSpacing"/>
        <w:rPr>
          <w:rFonts w:ascii="Arial Black" w:hAnsi="Arial Black"/>
          <w:sz w:val="28"/>
          <w:szCs w:val="28"/>
        </w:rPr>
      </w:pPr>
    </w:p>
    <w:p w14:paraId="2551EAAC" w14:textId="60943A45" w:rsidR="00A672EE" w:rsidRDefault="00A672EE" w:rsidP="00A672EE">
      <w:pPr>
        <w:rPr>
          <w:rFonts w:ascii="Arial Black" w:hAnsi="Arial Black"/>
          <w:b/>
          <w:sz w:val="24"/>
          <w:szCs w:val="24"/>
        </w:rPr>
      </w:pPr>
      <w:r w:rsidRPr="009B0E33">
        <w:rPr>
          <w:rFonts w:ascii="Times New Roman" w:hAnsi="Times New Roman"/>
          <w:sz w:val="24"/>
          <w:szCs w:val="24"/>
        </w:rPr>
        <w:t xml:space="preserve">On </w:t>
      </w:r>
      <w:r>
        <w:rPr>
          <w:rFonts w:ascii="Times New Roman" w:hAnsi="Times New Roman"/>
          <w:sz w:val="24"/>
          <w:szCs w:val="24"/>
        </w:rPr>
        <w:t xml:space="preserve">May 28, 2020, in </w:t>
      </w:r>
      <w:r w:rsidRPr="009B0E33">
        <w:rPr>
          <w:rFonts w:ascii="Times New Roman" w:hAnsi="Times New Roman"/>
          <w:sz w:val="24"/>
          <w:szCs w:val="24"/>
          <w:u w:val="single"/>
        </w:rPr>
        <w:t>The City of Kingsville v. Ermelinda Dominguez</w:t>
      </w:r>
      <w:r>
        <w:rPr>
          <w:rFonts w:ascii="Times New Roman" w:hAnsi="Times New Roman"/>
          <w:sz w:val="24"/>
          <w:szCs w:val="24"/>
        </w:rPr>
        <w:t xml:space="preserve">, the Court of Appeals, Thirteenth District of Texas (Corpus Christi – Edinburg), reversed the trial court and ordered the lawsuit dismissed since the firefighter was not driving recklessly, when on an EMS run with lights and siren, he followed an ambulance through a red light at reasonable speed. </w:t>
      </w:r>
      <w:bookmarkEnd w:id="199"/>
      <w:r>
        <w:rPr>
          <w:rFonts w:ascii="Times New Roman" w:hAnsi="Times New Roman"/>
          <w:sz w:val="24"/>
          <w:szCs w:val="24"/>
        </w:rPr>
        <w:t xml:space="preserve">The Court wrote: </w:t>
      </w:r>
      <w:r w:rsidRPr="006D72FE">
        <w:rPr>
          <w:rFonts w:ascii="Times New Roman" w:hAnsi="Times New Roman"/>
          <w:sz w:val="24"/>
          <w:szCs w:val="24"/>
        </w:rPr>
        <w:t>“[T]he fact that Mendiola violated department policy by not coming to a complete stop prior to entering the intersection is not evidence of recklessness. See Hudson, 179 S.W.3d at 700–01; see also City of Laredo v. Varela, No. 04-10-00619-CV, 2011 WL 1852439, *3–5 (Tex. App.—San Antonio May 11, 2011, no pet.) (</w:t>
      </w:r>
      <w:proofErr w:type="gramStart"/>
      <w:r w:rsidRPr="006D72FE">
        <w:rPr>
          <w:rFonts w:ascii="Times New Roman" w:hAnsi="Times New Roman"/>
          <w:sz w:val="24"/>
          <w:szCs w:val="24"/>
        </w:rPr>
        <w:t>mem</w:t>
      </w:r>
      <w:proofErr w:type="gramEnd"/>
      <w:r w:rsidRPr="006D72FE">
        <w:rPr>
          <w:rFonts w:ascii="Times New Roman" w:hAnsi="Times New Roman"/>
          <w:sz w:val="24"/>
          <w:szCs w:val="24"/>
        </w:rPr>
        <w:t>. op.) (holding that an officer’s failure to adhere to policy requiring emergency vehicles to come to complete stop did not raise fact issue as to whether officer acted with reckless disregard for the safety of others). We conclude that the undisputed facts do not demonstrate that Mendiola committed an act that he knew or should have known posed a high degree of risk of serious injury but did not care about the result.SeePerez,511 S.W.3d at 236.</w:t>
      </w:r>
      <w:r>
        <w:rPr>
          <w:rFonts w:ascii="Times New Roman" w:hAnsi="Times New Roman"/>
          <w:sz w:val="24"/>
          <w:szCs w:val="24"/>
        </w:rPr>
        <w:t xml:space="preserve"> </w:t>
      </w:r>
      <w:r w:rsidRPr="006D72FE">
        <w:rPr>
          <w:rFonts w:ascii="Times New Roman" w:hAnsi="Times New Roman"/>
          <w:sz w:val="24"/>
          <w:szCs w:val="24"/>
        </w:rPr>
        <w:t xml:space="preserve">Rather, by travelling at a speed below the speed limit, activating his siren and emergency lights and confirming that the cross-traffic was yielding, Mendiola was not acting with reckless disregard </w:t>
      </w:r>
      <w:proofErr w:type="gramStart"/>
      <w:r w:rsidRPr="006D72FE">
        <w:rPr>
          <w:rFonts w:ascii="Times New Roman" w:hAnsi="Times New Roman"/>
          <w:sz w:val="24"/>
          <w:szCs w:val="24"/>
        </w:rPr>
        <w:t>to</w:t>
      </w:r>
      <w:proofErr w:type="gramEnd"/>
      <w:r w:rsidRPr="006D72FE">
        <w:rPr>
          <w:rFonts w:ascii="Times New Roman" w:hAnsi="Times New Roman"/>
          <w:sz w:val="24"/>
          <w:szCs w:val="24"/>
        </w:rPr>
        <w:t xml:space="preserve"> others. Because the jurisdictional record fails to raise a fact issue regarding recklessness, the City retains its immunity from suit pursuant to the </w:t>
      </w:r>
      <w:r>
        <w:rPr>
          <w:rFonts w:ascii="Times New Roman" w:hAnsi="Times New Roman"/>
          <w:sz w:val="24"/>
          <w:szCs w:val="24"/>
        </w:rPr>
        <w:t>T</w:t>
      </w:r>
      <w:r w:rsidRPr="006D72FE">
        <w:rPr>
          <w:rFonts w:ascii="Times New Roman" w:hAnsi="Times New Roman"/>
          <w:sz w:val="24"/>
          <w:szCs w:val="24"/>
        </w:rPr>
        <w:t xml:space="preserve">TCA’s </w:t>
      </w:r>
      <w:r>
        <w:rPr>
          <w:rFonts w:ascii="Times New Roman" w:hAnsi="Times New Roman"/>
          <w:sz w:val="24"/>
          <w:szCs w:val="24"/>
        </w:rPr>
        <w:t xml:space="preserve">[Texas Tort Claims Act] </w:t>
      </w:r>
      <w:r w:rsidRPr="006D72FE">
        <w:rPr>
          <w:rFonts w:ascii="Times New Roman" w:hAnsi="Times New Roman"/>
          <w:sz w:val="24"/>
          <w:szCs w:val="24"/>
        </w:rPr>
        <w:t xml:space="preserve">emergency response </w:t>
      </w:r>
      <w:proofErr w:type="gramStart"/>
      <w:r w:rsidRPr="006D72FE">
        <w:rPr>
          <w:rFonts w:ascii="Times New Roman" w:hAnsi="Times New Roman"/>
          <w:sz w:val="24"/>
          <w:szCs w:val="24"/>
        </w:rPr>
        <w:t>exception.</w:t>
      </w:r>
      <w:r>
        <w:rPr>
          <w:rFonts w:ascii="Times New Roman" w:hAnsi="Times New Roman"/>
          <w:sz w:val="24"/>
          <w:szCs w:val="24"/>
        </w:rPr>
        <w:t>”</w:t>
      </w:r>
      <w:proofErr w:type="gramEnd"/>
      <w:r>
        <w:rPr>
          <w:rFonts w:ascii="Times New Roman" w:hAnsi="Times New Roman"/>
          <w:sz w:val="24"/>
          <w:szCs w:val="24"/>
        </w:rPr>
        <w:t xml:space="preserve"> </w:t>
      </w:r>
      <w:bookmarkStart w:id="200" w:name="_Hlk66946639"/>
      <w:r w:rsidR="00F00958">
        <w:fldChar w:fldCharType="begin"/>
      </w:r>
      <w:r w:rsidR="00F00958">
        <w:instrText xml:space="preserve"> HYPERLINK "https://www.txcourts.gov/media/1446920/13-19-00236-cv-city-of-kingsville-v-dominguez-memo-op.pdf" </w:instrText>
      </w:r>
      <w:r w:rsidR="00F00958">
        <w:fldChar w:fldCharType="separate"/>
      </w:r>
      <w:r w:rsidRPr="00DE6B93">
        <w:rPr>
          <w:rStyle w:val="Hyperlink"/>
          <w:rFonts w:ascii="Times New Roman" w:hAnsi="Times New Roman"/>
          <w:sz w:val="24"/>
          <w:szCs w:val="24"/>
        </w:rPr>
        <w:t>https://www.txcourts.gov/media/1446920/13-19-00236-cv-city-of-kingsville-v-dominguez-memo-op.pdf</w:t>
      </w:r>
      <w:r w:rsidR="00F00958">
        <w:rPr>
          <w:rStyle w:val="Hyperlink"/>
          <w:rFonts w:ascii="Times New Roman" w:hAnsi="Times New Roman"/>
          <w:sz w:val="24"/>
          <w:szCs w:val="24"/>
        </w:rPr>
        <w:fldChar w:fldCharType="end"/>
      </w:r>
    </w:p>
    <w:p w14:paraId="3930AD62" w14:textId="77777777" w:rsidR="00A672EE" w:rsidRPr="006D72FE" w:rsidRDefault="00A672EE" w:rsidP="00A672EE">
      <w:pPr>
        <w:pStyle w:val="NoSpacing"/>
        <w:rPr>
          <w:rFonts w:ascii="Times New Roman" w:hAnsi="Times New Roman"/>
          <w:b/>
          <w:bCs/>
          <w:sz w:val="24"/>
          <w:szCs w:val="24"/>
        </w:rPr>
      </w:pPr>
      <w:r w:rsidRPr="006D72FE">
        <w:rPr>
          <w:rFonts w:ascii="Times New Roman" w:hAnsi="Times New Roman"/>
          <w:b/>
          <w:bCs/>
          <w:sz w:val="24"/>
          <w:szCs w:val="24"/>
        </w:rPr>
        <w:t>Legal Lessons Learned:</w:t>
      </w:r>
      <w:r>
        <w:rPr>
          <w:rFonts w:ascii="Times New Roman" w:hAnsi="Times New Roman"/>
          <w:b/>
          <w:bCs/>
          <w:sz w:val="24"/>
          <w:szCs w:val="24"/>
        </w:rPr>
        <w:t xml:space="preserve"> FDs should consider including in their emergency vehicle policy those situations where one apparatus is following another through a controlled intersection. </w:t>
      </w:r>
    </w:p>
    <w:bookmarkEnd w:id="200"/>
    <w:p w14:paraId="12E93138" w14:textId="77777777" w:rsidR="00D94DC4" w:rsidRDefault="00D94DC4" w:rsidP="00EF1133">
      <w:pPr>
        <w:rPr>
          <w:rFonts w:ascii="Arial Black" w:hAnsi="Arial Black"/>
          <w:b/>
          <w:sz w:val="24"/>
          <w:szCs w:val="24"/>
        </w:rPr>
      </w:pPr>
    </w:p>
    <w:p w14:paraId="345AC58D" w14:textId="6D774043" w:rsidR="00D94DC4" w:rsidRDefault="00D94DC4" w:rsidP="00EF1133">
      <w:pPr>
        <w:rPr>
          <w:rFonts w:ascii="Arial Black" w:hAnsi="Arial Black"/>
          <w:b/>
          <w:sz w:val="24"/>
          <w:szCs w:val="24"/>
        </w:rPr>
      </w:pPr>
      <w:r>
        <w:rPr>
          <w:rFonts w:ascii="Arial Black" w:hAnsi="Arial Black"/>
          <w:b/>
          <w:sz w:val="24"/>
          <w:szCs w:val="24"/>
        </w:rPr>
        <w:t>5-12</w:t>
      </w:r>
    </w:p>
    <w:p w14:paraId="27084001" w14:textId="77777777" w:rsidR="00D94DC4" w:rsidRPr="008A7C9E" w:rsidRDefault="00D94DC4" w:rsidP="00D94DC4">
      <w:pPr>
        <w:spacing w:before="100" w:beforeAutospacing="1" w:after="100" w:afterAutospacing="1" w:line="240" w:lineRule="auto"/>
        <w:rPr>
          <w:rFonts w:ascii="Arial Black" w:eastAsia="Times New Roman" w:hAnsi="Arial Black"/>
          <w:b/>
          <w:bCs/>
          <w:sz w:val="28"/>
          <w:szCs w:val="28"/>
        </w:rPr>
      </w:pPr>
      <w:r w:rsidRPr="008A7C9E">
        <w:rPr>
          <w:rFonts w:ascii="Arial Black" w:eastAsia="Times New Roman" w:hAnsi="Arial Black"/>
          <w:b/>
          <w:bCs/>
          <w:sz w:val="28"/>
          <w:szCs w:val="28"/>
        </w:rPr>
        <w:t xml:space="preserve">TX: </w:t>
      </w:r>
      <w:r>
        <w:rPr>
          <w:rFonts w:ascii="Arial Black" w:eastAsia="Times New Roman" w:hAnsi="Arial Black"/>
          <w:b/>
          <w:bCs/>
          <w:sz w:val="28"/>
          <w:szCs w:val="28"/>
        </w:rPr>
        <w:t>MEMBER OF COMMUNITY. EMER. RESPONSE TEAM [CERT] - ILLEGALLY USING LIGHTS &amp; SIREN – CONVICTION CONFIRMED</w:t>
      </w:r>
    </w:p>
    <w:p w14:paraId="028C2FA6" w14:textId="77777777" w:rsidR="00D94DC4" w:rsidRDefault="00D94DC4" w:rsidP="00D94DC4">
      <w:pPr>
        <w:spacing w:before="100" w:beforeAutospacing="1" w:after="100" w:afterAutospacing="1" w:line="240" w:lineRule="auto"/>
        <w:rPr>
          <w:rFonts w:ascii="Times New Roman" w:hAnsi="Times New Roman"/>
          <w:sz w:val="24"/>
          <w:szCs w:val="24"/>
        </w:rPr>
      </w:pPr>
      <w:r w:rsidRPr="00726E26">
        <w:rPr>
          <w:rFonts w:ascii="Times New Roman" w:hAnsi="Times New Roman"/>
          <w:sz w:val="24"/>
          <w:szCs w:val="24"/>
        </w:rPr>
        <w:t xml:space="preserve">On April 14, 2020, in </w:t>
      </w:r>
      <w:r w:rsidRPr="00726E26">
        <w:rPr>
          <w:rFonts w:ascii="Times New Roman" w:hAnsi="Times New Roman"/>
          <w:sz w:val="24"/>
          <w:szCs w:val="24"/>
          <w:u w:val="single"/>
        </w:rPr>
        <w:t>Michael Thomas Paul v. State of Texas</w:t>
      </w:r>
      <w:r>
        <w:rPr>
          <w:rFonts w:ascii="Times New Roman" w:hAnsi="Times New Roman"/>
          <w:sz w:val="24"/>
          <w:szCs w:val="24"/>
        </w:rPr>
        <w:t xml:space="preserve">, the Court of Appeals, Seventh District of Texas at Amarillo, held (3 to 0) that defendant was properly convicted after a bench trial (not jury trial) of the </w:t>
      </w:r>
      <w:r w:rsidRPr="00726E26">
        <w:rPr>
          <w:rFonts w:ascii="Times New Roman" w:hAnsi="Times New Roman"/>
          <w:sz w:val="24"/>
          <w:szCs w:val="24"/>
        </w:rPr>
        <w:t>offense of impersonating a public servant, a third-degree felony.</w:t>
      </w:r>
      <w:r>
        <w:rPr>
          <w:rFonts w:ascii="Times New Roman" w:hAnsi="Times New Roman"/>
          <w:sz w:val="24"/>
          <w:szCs w:val="24"/>
        </w:rPr>
        <w:t xml:space="preserve"> </w:t>
      </w:r>
      <w:hyperlink r:id="rId991" w:history="1">
        <w:r w:rsidRPr="00250842">
          <w:rPr>
            <w:rStyle w:val="Hyperlink"/>
            <w:sz w:val="24"/>
            <w:szCs w:val="24"/>
          </w:rPr>
          <w:t>https://cases.justia.com/texas/seventh-court-of-appeals/2020-07-19-00027-cr.pdf?ts=1586952945</w:t>
        </w:r>
      </w:hyperlink>
      <w:r>
        <w:rPr>
          <w:rFonts w:ascii="Times New Roman" w:hAnsi="Times New Roman"/>
          <w:sz w:val="24"/>
          <w:szCs w:val="24"/>
        </w:rPr>
        <w:t xml:space="preserve"> </w:t>
      </w:r>
    </w:p>
    <w:p w14:paraId="4DDACF54" w14:textId="77777777" w:rsidR="00D94DC4" w:rsidRDefault="00D94DC4" w:rsidP="00D94DC4">
      <w:pPr>
        <w:spacing w:before="100" w:beforeAutospacing="1" w:after="100" w:afterAutospacing="1" w:line="240" w:lineRule="auto"/>
        <w:jc w:val="both"/>
        <w:rPr>
          <w:rFonts w:ascii="Times New Roman" w:hAnsi="Times New Roman"/>
          <w:b/>
          <w:bCs/>
          <w:sz w:val="24"/>
          <w:szCs w:val="24"/>
        </w:rPr>
      </w:pPr>
      <w:r w:rsidRPr="00EC01F5">
        <w:rPr>
          <w:rFonts w:ascii="Times New Roman" w:hAnsi="Times New Roman"/>
          <w:b/>
          <w:bCs/>
          <w:sz w:val="24"/>
          <w:szCs w:val="24"/>
        </w:rPr>
        <w:t>Legal Lessons Learned:</w:t>
      </w:r>
      <w:r>
        <w:rPr>
          <w:rFonts w:ascii="Times New Roman" w:hAnsi="Times New Roman"/>
          <w:b/>
          <w:bCs/>
          <w:sz w:val="24"/>
          <w:szCs w:val="24"/>
        </w:rPr>
        <w:t xml:space="preserve"> Members of CERT Teams should be reminded they are not emergency responders, and use of emergency lights &amp; sirens can lead to conviction. </w:t>
      </w:r>
    </w:p>
    <w:p w14:paraId="5E50B962" w14:textId="77777777" w:rsidR="00D94DC4" w:rsidRPr="00EC01F5" w:rsidRDefault="00D94DC4" w:rsidP="00D94DC4">
      <w:pPr>
        <w:spacing w:before="100" w:beforeAutospacing="1" w:after="100" w:afterAutospacing="1" w:line="240" w:lineRule="auto"/>
        <w:ind w:left="720"/>
        <w:jc w:val="both"/>
        <w:rPr>
          <w:rFonts w:ascii="Times New Roman" w:hAnsi="Times New Roman"/>
          <w:sz w:val="24"/>
          <w:szCs w:val="24"/>
        </w:rPr>
      </w:pPr>
      <w:r w:rsidRPr="00EC01F5">
        <w:rPr>
          <w:rFonts w:ascii="Times New Roman" w:hAnsi="Times New Roman"/>
          <w:sz w:val="24"/>
          <w:szCs w:val="24"/>
        </w:rPr>
        <w:t xml:space="preserve">Note: Defendant </w:t>
      </w:r>
      <w:r>
        <w:rPr>
          <w:rFonts w:ascii="Times New Roman" w:hAnsi="Times New Roman"/>
          <w:sz w:val="24"/>
          <w:szCs w:val="24"/>
        </w:rPr>
        <w:t xml:space="preserve">was very fortunate to receive a suspended sentence and placed on probation for three years. </w:t>
      </w:r>
    </w:p>
    <w:p w14:paraId="2C06A724" w14:textId="71E33349" w:rsidR="00C9355B" w:rsidRDefault="00C9355B" w:rsidP="00EF1133">
      <w:pPr>
        <w:rPr>
          <w:rFonts w:ascii="Arial Black" w:hAnsi="Arial Black"/>
          <w:b/>
          <w:sz w:val="24"/>
          <w:szCs w:val="24"/>
        </w:rPr>
      </w:pPr>
      <w:r>
        <w:rPr>
          <w:rFonts w:ascii="Arial Black" w:hAnsi="Arial Black"/>
          <w:b/>
          <w:sz w:val="24"/>
          <w:szCs w:val="24"/>
        </w:rPr>
        <w:t>5-11</w:t>
      </w:r>
    </w:p>
    <w:p w14:paraId="60F8F100" w14:textId="77777777" w:rsidR="00C9355B" w:rsidRPr="005E0291" w:rsidRDefault="00C9355B" w:rsidP="00C9355B">
      <w:pPr>
        <w:spacing w:before="100" w:beforeAutospacing="1" w:after="100" w:afterAutospacing="1"/>
        <w:rPr>
          <w:rFonts w:ascii="Arial Black" w:eastAsia="Times New Roman" w:hAnsi="Arial Black"/>
          <w:b/>
          <w:sz w:val="28"/>
          <w:szCs w:val="28"/>
        </w:rPr>
      </w:pPr>
      <w:bookmarkStart w:id="201" w:name="_Hlk39763993"/>
      <w:r w:rsidRPr="005E0291">
        <w:rPr>
          <w:rFonts w:ascii="Arial Black" w:eastAsia="Times New Roman" w:hAnsi="Arial Black"/>
          <w:sz w:val="28"/>
          <w:szCs w:val="28"/>
        </w:rPr>
        <w:t xml:space="preserve">LA: </w:t>
      </w:r>
      <w:r>
        <w:rPr>
          <w:rFonts w:ascii="Arial Black" w:eastAsia="Times New Roman" w:hAnsi="Arial Black"/>
          <w:sz w:val="28"/>
          <w:szCs w:val="28"/>
        </w:rPr>
        <w:t xml:space="preserve"> ENGINE EMER. RUN – FROM LEFT LANE, MADE SHARP RIGHT TURN, COLLISION – GROSS NEGLIGENCE - NO IMMUNITY</w:t>
      </w:r>
    </w:p>
    <w:p w14:paraId="49427D51" w14:textId="77777777" w:rsidR="00C9355B" w:rsidRPr="009C4A80" w:rsidRDefault="00C9355B" w:rsidP="00C9355B">
      <w:pPr>
        <w:spacing w:before="100" w:beforeAutospacing="1" w:after="100" w:afterAutospacing="1"/>
        <w:rPr>
          <w:rFonts w:ascii="Times New Roman" w:eastAsia="Times New Roman" w:hAnsi="Times New Roman"/>
          <w:b/>
          <w:sz w:val="24"/>
          <w:szCs w:val="24"/>
        </w:rPr>
      </w:pPr>
      <w:r w:rsidRPr="009C4A80">
        <w:rPr>
          <w:rFonts w:ascii="Times New Roman" w:eastAsia="Times New Roman" w:hAnsi="Times New Roman"/>
          <w:sz w:val="24"/>
          <w:szCs w:val="24"/>
        </w:rPr>
        <w:t xml:space="preserve">On Jan. 8, 2020, in </w:t>
      </w:r>
      <w:r w:rsidRPr="009C4A80">
        <w:rPr>
          <w:rFonts w:ascii="Times New Roman" w:eastAsia="Times New Roman" w:hAnsi="Times New Roman"/>
          <w:sz w:val="24"/>
          <w:szCs w:val="24"/>
          <w:u w:val="single"/>
        </w:rPr>
        <w:t>Louis Ridgel v. Mitchell Chevalier, St. Bernard Parish Fire Department, et al</w:t>
      </w:r>
      <w:r w:rsidRPr="009C4A80">
        <w:rPr>
          <w:rFonts w:ascii="Times New Roman" w:eastAsia="Times New Roman" w:hAnsi="Times New Roman"/>
          <w:sz w:val="24"/>
          <w:szCs w:val="24"/>
        </w:rPr>
        <w:t xml:space="preserve">., the LA Court of Appeals, Fourth Circuit, held (3 to 0) that the trial judge properly found that the firefighter’s sharp right turn, even if had lights and sirens on, amounted to “gross negligence” and therefore the states’ immunity statute did not apply. </w:t>
      </w:r>
    </w:p>
    <w:p w14:paraId="0D3BF24F" w14:textId="16CE70FB" w:rsidR="00C9355B" w:rsidRPr="009C4A80" w:rsidRDefault="00C9355B" w:rsidP="009C4A80">
      <w:pPr>
        <w:ind w:left="720"/>
        <w:rPr>
          <w:rFonts w:ascii="Times New Roman" w:hAnsi="Times New Roman"/>
          <w:b/>
          <w:sz w:val="24"/>
          <w:szCs w:val="24"/>
        </w:rPr>
      </w:pPr>
      <w:r w:rsidRPr="009C4A80">
        <w:rPr>
          <w:rFonts w:ascii="Times New Roman" w:hAnsi="Times New Roman"/>
          <w:bCs/>
          <w:sz w:val="24"/>
          <w:szCs w:val="24"/>
        </w:rPr>
        <w:t xml:space="preserve">“The trial court found, however, that Mr. Chevalier [FF driver] should have kept a proper lookout for other motorists on the road, specifically because he was making a right turn from the left lane. Further, the trial court determined that the evidence showed that Mr. Chevalier intended to make a quick right turn from the left lane onto West Judge Perez </w:t>
      </w:r>
      <w:proofErr w:type="gramStart"/>
      <w:r w:rsidRPr="009C4A80">
        <w:rPr>
          <w:rFonts w:ascii="Times New Roman" w:hAnsi="Times New Roman"/>
          <w:bCs/>
          <w:sz w:val="24"/>
          <w:szCs w:val="24"/>
        </w:rPr>
        <w:t>Drive, but</w:t>
      </w:r>
      <w:proofErr w:type="gramEnd"/>
      <w:r w:rsidRPr="009C4A80">
        <w:rPr>
          <w:rFonts w:ascii="Times New Roman" w:hAnsi="Times New Roman"/>
          <w:bCs/>
          <w:sz w:val="24"/>
          <w:szCs w:val="24"/>
        </w:rPr>
        <w:t xml:space="preserve"> did not ensure it was safe to make that right turn. As such, the trial court determined that Mr. Chevalier’s actions constituted gross negligence despite the immunity established by La. R.S. 32:24. We agree.  </w:t>
      </w:r>
      <w:hyperlink r:id="rId992" w:history="1">
        <w:r w:rsidRPr="009C4A80">
          <w:rPr>
            <w:rStyle w:val="Hyperlink"/>
            <w:rFonts w:ascii="Times New Roman" w:hAnsi="Times New Roman"/>
            <w:b/>
            <w:sz w:val="24"/>
            <w:szCs w:val="24"/>
          </w:rPr>
          <w:t>https://cases.justia.com/louisiana/fourth-circuit-court-of-appeal/2020-2019-ca-0250.pdf?ts=1578564502</w:t>
        </w:r>
      </w:hyperlink>
    </w:p>
    <w:p w14:paraId="5E2F24FC" w14:textId="77777777" w:rsidR="00C9355B" w:rsidRPr="009C4A80" w:rsidRDefault="00C9355B" w:rsidP="00C9355B">
      <w:pPr>
        <w:spacing w:before="100" w:beforeAutospacing="1" w:after="100" w:afterAutospacing="1"/>
        <w:rPr>
          <w:rFonts w:ascii="Times New Roman" w:hAnsi="Times New Roman"/>
          <w:b/>
          <w:bCs/>
          <w:sz w:val="24"/>
          <w:szCs w:val="24"/>
        </w:rPr>
      </w:pPr>
      <w:bookmarkStart w:id="202" w:name="_Hlk40510107"/>
      <w:bookmarkEnd w:id="201"/>
      <w:r w:rsidRPr="009C4A80">
        <w:rPr>
          <w:rFonts w:ascii="Times New Roman" w:hAnsi="Times New Roman"/>
          <w:b/>
          <w:bCs/>
          <w:sz w:val="24"/>
          <w:szCs w:val="24"/>
        </w:rPr>
        <w:t xml:space="preserve">Legal Lessons Learned:  Share these facts with your FD and discuss what steps could have been taken by both the FF driver and the </w:t>
      </w:r>
      <w:proofErr w:type="gramStart"/>
      <w:r w:rsidRPr="009C4A80">
        <w:rPr>
          <w:rFonts w:ascii="Times New Roman" w:hAnsi="Times New Roman"/>
          <w:b/>
          <w:bCs/>
          <w:sz w:val="24"/>
          <w:szCs w:val="24"/>
        </w:rPr>
        <w:t>Captain</w:t>
      </w:r>
      <w:proofErr w:type="gramEnd"/>
      <w:r w:rsidRPr="009C4A80">
        <w:rPr>
          <w:rFonts w:ascii="Times New Roman" w:hAnsi="Times New Roman"/>
          <w:b/>
          <w:bCs/>
          <w:sz w:val="24"/>
          <w:szCs w:val="24"/>
        </w:rPr>
        <w:t xml:space="preserve"> to avoid the collision.  FYI: the plaintiff claimed personal injury and was awarded total of $143,074 in damages.  </w:t>
      </w:r>
    </w:p>
    <w:bookmarkEnd w:id="202"/>
    <w:p w14:paraId="4A855BE8" w14:textId="7923C1DF" w:rsidR="00C9355B" w:rsidRPr="009C4A80" w:rsidRDefault="00C9355B" w:rsidP="00EF1133">
      <w:pPr>
        <w:rPr>
          <w:rFonts w:ascii="Times New Roman" w:hAnsi="Times New Roman"/>
          <w:b/>
          <w:sz w:val="24"/>
          <w:szCs w:val="24"/>
        </w:rPr>
      </w:pPr>
    </w:p>
    <w:p w14:paraId="6BD18C1C" w14:textId="77777777" w:rsidR="00C9355B" w:rsidRDefault="00C9355B" w:rsidP="00EF1133">
      <w:pPr>
        <w:rPr>
          <w:rFonts w:ascii="Arial Black" w:hAnsi="Arial Black"/>
          <w:b/>
          <w:sz w:val="24"/>
          <w:szCs w:val="24"/>
        </w:rPr>
      </w:pPr>
    </w:p>
    <w:p w14:paraId="70C69FEB" w14:textId="4A43F479" w:rsidR="00A06387" w:rsidRDefault="00A06387" w:rsidP="00EF1133">
      <w:pPr>
        <w:rPr>
          <w:rFonts w:ascii="Arial Black" w:hAnsi="Arial Black"/>
          <w:b/>
          <w:sz w:val="24"/>
          <w:szCs w:val="24"/>
        </w:rPr>
      </w:pPr>
      <w:r>
        <w:rPr>
          <w:rFonts w:ascii="Arial Black" w:hAnsi="Arial Black"/>
          <w:b/>
          <w:sz w:val="24"/>
          <w:szCs w:val="24"/>
        </w:rPr>
        <w:t>5-10</w:t>
      </w:r>
    </w:p>
    <w:p w14:paraId="203A74FE" w14:textId="77777777" w:rsidR="00A06387" w:rsidRDefault="00A06387" w:rsidP="00A06387">
      <w:pPr>
        <w:pStyle w:val="NoSpacing"/>
        <w:rPr>
          <w:rFonts w:ascii="Arial Black" w:hAnsi="Arial Black"/>
          <w:sz w:val="28"/>
          <w:szCs w:val="28"/>
        </w:rPr>
      </w:pPr>
      <w:r>
        <w:rPr>
          <w:rFonts w:ascii="Arial Black" w:hAnsi="Arial Black"/>
          <w:sz w:val="28"/>
          <w:szCs w:val="28"/>
        </w:rPr>
        <w:t xml:space="preserve">TX:  PD RESPONSE ROBBERY CALL – MVA – CONFLICTING REPORTS ON EMERENCY LIGHTS, LAWSUIT REINSTATED </w:t>
      </w:r>
    </w:p>
    <w:p w14:paraId="7DA6E9FE" w14:textId="77777777" w:rsidR="00A06387" w:rsidRDefault="00A06387" w:rsidP="00A06387">
      <w:pPr>
        <w:pStyle w:val="NoSpacing"/>
        <w:rPr>
          <w:rFonts w:ascii="Arial Black" w:hAnsi="Arial Black"/>
          <w:sz w:val="28"/>
          <w:szCs w:val="28"/>
        </w:rPr>
      </w:pPr>
    </w:p>
    <w:p w14:paraId="076BBE8C" w14:textId="77777777" w:rsidR="00A06387" w:rsidRPr="009C4A80" w:rsidRDefault="00A06387" w:rsidP="00A06387">
      <w:pPr>
        <w:pStyle w:val="NoSpacing"/>
        <w:rPr>
          <w:rFonts w:ascii="Times New Roman" w:hAnsi="Times New Roman"/>
          <w:b/>
          <w:bCs/>
          <w:sz w:val="24"/>
          <w:szCs w:val="24"/>
        </w:rPr>
      </w:pPr>
      <w:r w:rsidRPr="009C4A80">
        <w:rPr>
          <w:rFonts w:ascii="Times New Roman" w:hAnsi="Times New Roman"/>
          <w:bCs/>
          <w:sz w:val="24"/>
          <w:szCs w:val="24"/>
        </w:rPr>
        <w:t xml:space="preserve">On Oct. 29, 2019, in </w:t>
      </w:r>
      <w:r w:rsidRPr="009C4A80">
        <w:rPr>
          <w:rFonts w:ascii="Times New Roman" w:hAnsi="Times New Roman"/>
          <w:bCs/>
          <w:sz w:val="24"/>
          <w:szCs w:val="24"/>
          <w:u w:val="single"/>
        </w:rPr>
        <w:t>Marcia Gomez v. City of Houston</w:t>
      </w:r>
      <w:r w:rsidRPr="009C4A80">
        <w:rPr>
          <w:rFonts w:ascii="Times New Roman" w:hAnsi="Times New Roman"/>
          <w:bCs/>
          <w:sz w:val="24"/>
          <w:szCs w:val="24"/>
        </w:rPr>
        <w:t>, the Texas Fourteenth Court of Appeals held (</w:t>
      </w:r>
      <w:proofErr w:type="spellStart"/>
      <w:r w:rsidRPr="009C4A80">
        <w:rPr>
          <w:rFonts w:ascii="Times New Roman" w:hAnsi="Times New Roman"/>
          <w:bCs/>
          <w:sz w:val="24"/>
          <w:szCs w:val="24"/>
        </w:rPr>
        <w:t>en</w:t>
      </w:r>
      <w:proofErr w:type="spellEnd"/>
      <w:r w:rsidRPr="009C4A80">
        <w:rPr>
          <w:rFonts w:ascii="Times New Roman" w:hAnsi="Times New Roman"/>
          <w:bCs/>
          <w:sz w:val="24"/>
          <w:szCs w:val="24"/>
        </w:rPr>
        <w:t xml:space="preserve"> banc decision of all judges on court, vote of 6 to 3) held that the trial court improperly granted immunity to the City.  </w:t>
      </w:r>
    </w:p>
    <w:p w14:paraId="15AF2870" w14:textId="77777777" w:rsidR="00A06387" w:rsidRPr="009C4A80" w:rsidRDefault="00A06387" w:rsidP="00A06387">
      <w:pPr>
        <w:pStyle w:val="NoSpacing"/>
        <w:ind w:left="720"/>
        <w:rPr>
          <w:rFonts w:ascii="Times New Roman" w:hAnsi="Times New Roman"/>
          <w:sz w:val="24"/>
          <w:szCs w:val="24"/>
        </w:rPr>
      </w:pPr>
    </w:p>
    <w:p w14:paraId="7BAEFF84" w14:textId="5D3AF1D3"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sz w:val="24"/>
          <w:szCs w:val="24"/>
        </w:rPr>
        <w:t>“</w:t>
      </w:r>
      <w:r w:rsidRPr="009C4A80">
        <w:rPr>
          <w:rFonts w:ascii="Times New Roman" w:hAnsi="Times New Roman"/>
          <w:bCs/>
          <w:sz w:val="24"/>
          <w:szCs w:val="24"/>
        </w:rPr>
        <w:t xml:space="preserve">Thus, the City’s evidence of good faith assumes the truth of a disputed fact —that [Officer] Simmons was using his overhead emergency lights as he approached the </w:t>
      </w:r>
      <w:proofErr w:type="spellStart"/>
      <w:r w:rsidRPr="009C4A80">
        <w:rPr>
          <w:rFonts w:ascii="Times New Roman" w:hAnsi="Times New Roman"/>
          <w:bCs/>
          <w:sz w:val="24"/>
          <w:szCs w:val="24"/>
        </w:rPr>
        <w:t>Crosstimbers</w:t>
      </w:r>
      <w:proofErr w:type="spellEnd"/>
      <w:r w:rsidRPr="009C4A80">
        <w:rPr>
          <w:rFonts w:ascii="Times New Roman" w:hAnsi="Times New Roman"/>
          <w:bCs/>
          <w:sz w:val="24"/>
          <w:szCs w:val="24"/>
        </w:rPr>
        <w:t xml:space="preserve"> intersection. Simmons testified that he used overhead emergency lights continuously from the beginning of his response to the armed-robbery call, but the record contains other evidence that he did not do so. This evidence includes (1) [plaintiff] Gomez’s affidavit testimony that Simmons was not using his vehicle’s overhead emergency lights and (2) [Houston PD Accident Investigator Isaac] Jefferson’s PD accident  determination in his investigation report that Simmons was not using his vehicle’s overhead emergency lights before the collision.”  </w:t>
      </w:r>
    </w:p>
    <w:p w14:paraId="038D58F4" w14:textId="77777777" w:rsidR="00A06387" w:rsidRPr="009C4A80" w:rsidRDefault="00A06387" w:rsidP="00A06387">
      <w:pPr>
        <w:pStyle w:val="NoSpacing"/>
        <w:ind w:left="720"/>
        <w:rPr>
          <w:rFonts w:ascii="Times New Roman" w:hAnsi="Times New Roman"/>
          <w:b/>
          <w:bCs/>
          <w:sz w:val="24"/>
          <w:szCs w:val="24"/>
        </w:rPr>
      </w:pPr>
    </w:p>
    <w:p w14:paraId="609A2EA1" w14:textId="77777777"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bCs/>
          <w:sz w:val="24"/>
          <w:szCs w:val="24"/>
        </w:rPr>
        <w:t>***</w:t>
      </w:r>
    </w:p>
    <w:p w14:paraId="15FBB3DA" w14:textId="77777777"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bCs/>
          <w:sz w:val="24"/>
          <w:szCs w:val="24"/>
        </w:rPr>
        <w:t xml:space="preserve">The City did not conclusively establish Simmons’s good faith, and a material fact issue exists as to whether Simmons acted recklessly.3Therefore, we reverse the trial court’s judgment and remand the case to the trial court for further proceeding </w:t>
      </w:r>
      <w:proofErr w:type="gramStart"/>
      <w:r w:rsidRPr="009C4A80">
        <w:rPr>
          <w:rFonts w:ascii="Times New Roman" w:hAnsi="Times New Roman"/>
          <w:bCs/>
          <w:sz w:val="24"/>
          <w:szCs w:val="24"/>
        </w:rPr>
        <w:t>consistent</w:t>
      </w:r>
      <w:proofErr w:type="gramEnd"/>
      <w:r w:rsidRPr="009C4A80">
        <w:rPr>
          <w:rFonts w:ascii="Times New Roman" w:hAnsi="Times New Roman"/>
          <w:bCs/>
          <w:sz w:val="24"/>
          <w:szCs w:val="24"/>
        </w:rPr>
        <w:t xml:space="preserve"> with this opinion.</w:t>
      </w:r>
    </w:p>
    <w:p w14:paraId="742F721B" w14:textId="77777777" w:rsidR="00A06387" w:rsidRPr="009C4A80" w:rsidRDefault="00A06387" w:rsidP="00A06387">
      <w:pPr>
        <w:pStyle w:val="NoSpacing"/>
        <w:ind w:left="720"/>
        <w:rPr>
          <w:rFonts w:ascii="Times New Roman" w:hAnsi="Times New Roman"/>
          <w:b/>
          <w:bCs/>
          <w:sz w:val="24"/>
          <w:szCs w:val="24"/>
        </w:rPr>
      </w:pPr>
      <w:hyperlink r:id="rId993" w:history="1">
        <w:r w:rsidRPr="009C4A80">
          <w:rPr>
            <w:rStyle w:val="Hyperlink"/>
            <w:rFonts w:ascii="Times New Roman" w:hAnsi="Times New Roman"/>
            <w:bCs/>
            <w:sz w:val="24"/>
            <w:szCs w:val="24"/>
          </w:rPr>
          <w:t>https://cases.justia.com/texas/fourteenth-court-of-appeals/2019-14-17-00811-cv.pdf?ts=1572351542</w:t>
        </w:r>
      </w:hyperlink>
      <w:r w:rsidRPr="009C4A80">
        <w:rPr>
          <w:rFonts w:ascii="Times New Roman" w:hAnsi="Times New Roman"/>
          <w:bCs/>
          <w:sz w:val="24"/>
          <w:szCs w:val="24"/>
        </w:rPr>
        <w:t xml:space="preserve"> </w:t>
      </w:r>
    </w:p>
    <w:p w14:paraId="5B3973B0" w14:textId="77777777" w:rsidR="00A06387" w:rsidRPr="009C4A80" w:rsidRDefault="00A06387" w:rsidP="00A06387">
      <w:pPr>
        <w:pStyle w:val="NoSpacing"/>
        <w:ind w:left="720"/>
        <w:rPr>
          <w:rFonts w:ascii="Times New Roman" w:hAnsi="Times New Roman"/>
          <w:b/>
          <w:bCs/>
          <w:sz w:val="24"/>
          <w:szCs w:val="24"/>
        </w:rPr>
      </w:pPr>
      <w:r w:rsidRPr="009C4A80">
        <w:rPr>
          <w:rFonts w:ascii="Times New Roman" w:hAnsi="Times New Roman"/>
          <w:bCs/>
          <w:sz w:val="24"/>
          <w:szCs w:val="24"/>
        </w:rPr>
        <w:t xml:space="preserve"> </w:t>
      </w:r>
    </w:p>
    <w:p w14:paraId="22C8999F" w14:textId="77777777" w:rsidR="00A06387" w:rsidRPr="009C4A80" w:rsidRDefault="00A06387" w:rsidP="00A06387">
      <w:pPr>
        <w:pStyle w:val="NoSpacing"/>
        <w:rPr>
          <w:rFonts w:ascii="Times New Roman" w:hAnsi="Times New Roman"/>
          <w:b/>
          <w:bCs/>
          <w:sz w:val="24"/>
          <w:szCs w:val="24"/>
        </w:rPr>
      </w:pPr>
      <w:r w:rsidRPr="009C4A80">
        <w:rPr>
          <w:rFonts w:ascii="Times New Roman" w:hAnsi="Times New Roman"/>
          <w:b/>
          <w:bCs/>
          <w:sz w:val="24"/>
          <w:szCs w:val="24"/>
        </w:rPr>
        <w:t>Legal Lessons Learned:  Emergency response when lights &amp; siren not used, extreme care must be exercised to prove you drove with “due regard” for the safety of others</w:t>
      </w:r>
      <w:r w:rsidRPr="009C4A80">
        <w:rPr>
          <w:rFonts w:ascii="Times New Roman" w:hAnsi="Times New Roman"/>
          <w:sz w:val="24"/>
          <w:szCs w:val="24"/>
        </w:rPr>
        <w:t xml:space="preserve">. </w:t>
      </w:r>
      <w:r w:rsidRPr="009C4A80">
        <w:rPr>
          <w:rFonts w:ascii="Times New Roman" w:hAnsi="Times New Roman"/>
          <w:bCs/>
          <w:sz w:val="24"/>
          <w:szCs w:val="24"/>
        </w:rPr>
        <w:t xml:space="preserve">For example, Ohio Revised Code 4511.03, Emergency Vehicles At Red Signal Or Stop Sign, provides:  “(A) The driver of any emergency vehicle or public safety vehicle, when responding to an emergency call, upon approaching a red or stop signal or any stop sign shall slow down as necessary for safety to traffic, but may proceed cautiously past such red or stop sign or signal with due regard for the safety of all persons using the street or highway.” </w:t>
      </w:r>
      <w:hyperlink r:id="rId994" w:history="1">
        <w:r w:rsidRPr="009C4A80">
          <w:rPr>
            <w:rStyle w:val="Hyperlink"/>
            <w:rFonts w:ascii="Times New Roman" w:hAnsi="Times New Roman"/>
            <w:bCs/>
            <w:sz w:val="24"/>
            <w:szCs w:val="24"/>
          </w:rPr>
          <w:t>http://codes.ohio.gov/orc/4511.03v1</w:t>
        </w:r>
      </w:hyperlink>
      <w:r w:rsidRPr="009C4A80">
        <w:rPr>
          <w:rFonts w:ascii="Times New Roman" w:hAnsi="Times New Roman"/>
          <w:bCs/>
          <w:sz w:val="24"/>
          <w:szCs w:val="24"/>
        </w:rPr>
        <w:t xml:space="preserve"> </w:t>
      </w:r>
    </w:p>
    <w:p w14:paraId="19C11B21" w14:textId="255D36C4" w:rsidR="00A06387" w:rsidRPr="009C4A80" w:rsidRDefault="00A06387" w:rsidP="00EF1133">
      <w:pPr>
        <w:rPr>
          <w:rFonts w:ascii="Times New Roman" w:hAnsi="Times New Roman"/>
          <w:b/>
          <w:sz w:val="24"/>
          <w:szCs w:val="24"/>
        </w:rPr>
      </w:pPr>
    </w:p>
    <w:p w14:paraId="7351F4B7" w14:textId="77777777" w:rsidR="00A06387" w:rsidRDefault="00A06387" w:rsidP="00EF1133">
      <w:pPr>
        <w:rPr>
          <w:rFonts w:ascii="Arial Black" w:hAnsi="Arial Black"/>
          <w:b/>
          <w:sz w:val="24"/>
          <w:szCs w:val="24"/>
        </w:rPr>
      </w:pPr>
    </w:p>
    <w:p w14:paraId="120A335C" w14:textId="77777777" w:rsidR="00A06387" w:rsidRDefault="00A06387" w:rsidP="00EF1133">
      <w:pPr>
        <w:rPr>
          <w:rFonts w:ascii="Arial Black" w:hAnsi="Arial Black"/>
          <w:b/>
          <w:sz w:val="24"/>
          <w:szCs w:val="24"/>
        </w:rPr>
      </w:pPr>
    </w:p>
    <w:p w14:paraId="58D952EB" w14:textId="2A261541" w:rsidR="009F0F05" w:rsidRDefault="009F0F05" w:rsidP="00EF1133">
      <w:pPr>
        <w:rPr>
          <w:rFonts w:ascii="Arial Black" w:hAnsi="Arial Black"/>
          <w:b/>
          <w:sz w:val="24"/>
          <w:szCs w:val="24"/>
        </w:rPr>
      </w:pPr>
      <w:r>
        <w:rPr>
          <w:rFonts w:ascii="Arial Black" w:hAnsi="Arial Black"/>
          <w:b/>
          <w:sz w:val="24"/>
          <w:szCs w:val="24"/>
        </w:rPr>
        <w:t>5-9</w:t>
      </w:r>
    </w:p>
    <w:p w14:paraId="6F8A33AD" w14:textId="77777777" w:rsidR="009F0F05" w:rsidRPr="003D7FE9" w:rsidRDefault="009F0F05" w:rsidP="009F0F05">
      <w:pPr>
        <w:rPr>
          <w:rFonts w:ascii="Arial Black" w:hAnsi="Arial Black"/>
          <w:sz w:val="28"/>
          <w:szCs w:val="28"/>
        </w:rPr>
      </w:pPr>
      <w:bookmarkStart w:id="203" w:name="_Hlk39764089"/>
      <w:r w:rsidRPr="003D7FE9">
        <w:rPr>
          <w:rFonts w:ascii="Arial Black" w:hAnsi="Arial Black"/>
          <w:sz w:val="28"/>
          <w:szCs w:val="28"/>
        </w:rPr>
        <w:t xml:space="preserve">NY: </w:t>
      </w:r>
      <w:r>
        <w:rPr>
          <w:rFonts w:ascii="Arial Black" w:hAnsi="Arial Black"/>
          <w:sz w:val="28"/>
          <w:szCs w:val="28"/>
        </w:rPr>
        <w:t xml:space="preserve">VOL. FF INJURED ENGINE ROLLED OVER – CAN NOT SUE VOL. DRIVER OR FD - NO PROOF WILLFUL NEGLIGENCE </w:t>
      </w:r>
    </w:p>
    <w:p w14:paraId="23ED54A8" w14:textId="2D0DE6E4" w:rsidR="009F0F05" w:rsidRPr="006756B6" w:rsidRDefault="009F0F05" w:rsidP="009F0F05">
      <w:pPr>
        <w:rPr>
          <w:rFonts w:ascii="Times New Roman" w:hAnsi="Times New Roman"/>
          <w:sz w:val="24"/>
          <w:szCs w:val="24"/>
        </w:rPr>
      </w:pPr>
      <w:r w:rsidRPr="006756B6">
        <w:rPr>
          <w:rFonts w:ascii="Times New Roman" w:hAnsi="Times New Roman"/>
          <w:sz w:val="24"/>
          <w:szCs w:val="24"/>
        </w:rPr>
        <w:t xml:space="preserve">On </w:t>
      </w:r>
      <w:bookmarkStart w:id="204" w:name="_Hlk39836866"/>
      <w:r w:rsidRPr="006756B6">
        <w:rPr>
          <w:rFonts w:ascii="Times New Roman" w:hAnsi="Times New Roman"/>
          <w:sz w:val="24"/>
          <w:szCs w:val="24"/>
        </w:rPr>
        <w:t xml:space="preserve">Aug. 13, 2019, in </w:t>
      </w:r>
      <w:r w:rsidRPr="006756B6">
        <w:rPr>
          <w:rFonts w:ascii="Times New Roman" w:hAnsi="Times New Roman"/>
          <w:sz w:val="24"/>
          <w:szCs w:val="24"/>
          <w:u w:val="single"/>
        </w:rPr>
        <w:t xml:space="preserve">Robert E. Lee v. Kyle M. Verstraete and </w:t>
      </w:r>
      <w:proofErr w:type="spellStart"/>
      <w:r w:rsidRPr="006756B6">
        <w:rPr>
          <w:rFonts w:ascii="Times New Roman" w:hAnsi="Times New Roman"/>
          <w:sz w:val="24"/>
          <w:szCs w:val="24"/>
          <w:u w:val="single"/>
        </w:rPr>
        <w:t>Marbletown</w:t>
      </w:r>
      <w:proofErr w:type="spellEnd"/>
      <w:r w:rsidRPr="006756B6">
        <w:rPr>
          <w:rFonts w:ascii="Times New Roman" w:hAnsi="Times New Roman"/>
          <w:sz w:val="24"/>
          <w:szCs w:val="24"/>
          <w:u w:val="single"/>
        </w:rPr>
        <w:t xml:space="preserve"> Volunteer Fire Department, Inc, et a</w:t>
      </w:r>
      <w:r w:rsidRPr="006756B6">
        <w:rPr>
          <w:rFonts w:ascii="Times New Roman" w:hAnsi="Times New Roman"/>
          <w:sz w:val="24"/>
          <w:szCs w:val="24"/>
        </w:rPr>
        <w:t>l</w:t>
      </w:r>
      <w:bookmarkEnd w:id="204"/>
      <w:r w:rsidRPr="006756B6">
        <w:rPr>
          <w:rFonts w:ascii="Times New Roman" w:hAnsi="Times New Roman"/>
          <w:sz w:val="24"/>
          <w:szCs w:val="24"/>
        </w:rPr>
        <w:t xml:space="preserve">., Superior Court, Wayne County, 2019 NY Slip Op 29270 (N.Y. Sup. Ct., 2019), Acting Supreme Court Justice John B. Nesbitt granted defense motion to dismiss.  </w:t>
      </w:r>
    </w:p>
    <w:p w14:paraId="4E8930A3" w14:textId="628EAE52" w:rsidR="00DC51D4" w:rsidRPr="006756B6" w:rsidRDefault="009F0F05" w:rsidP="00DC51D4">
      <w:pPr>
        <w:ind w:left="720"/>
        <w:rPr>
          <w:rFonts w:ascii="Times New Roman" w:hAnsi="Times New Roman"/>
          <w:sz w:val="24"/>
          <w:szCs w:val="24"/>
        </w:rPr>
      </w:pPr>
      <w:r w:rsidRPr="006756B6">
        <w:rPr>
          <w:rFonts w:ascii="Times New Roman" w:hAnsi="Times New Roman"/>
          <w:sz w:val="24"/>
          <w:szCs w:val="24"/>
        </w:rPr>
        <w:t xml:space="preserve">“After long thought and careful analysis, the Court grants both </w:t>
      </w:r>
      <w:proofErr w:type="gramStart"/>
      <w:r w:rsidRPr="006756B6">
        <w:rPr>
          <w:rFonts w:ascii="Times New Roman" w:hAnsi="Times New Roman"/>
          <w:sz w:val="24"/>
          <w:szCs w:val="24"/>
        </w:rPr>
        <w:t>defendants</w:t>
      </w:r>
      <w:proofErr w:type="gramEnd"/>
      <w:r w:rsidR="00DC51D4">
        <w:rPr>
          <w:rFonts w:ascii="Times New Roman" w:hAnsi="Times New Roman"/>
          <w:sz w:val="24"/>
          <w:szCs w:val="24"/>
        </w:rPr>
        <w:t xml:space="preserve"> </w:t>
      </w:r>
      <w:r w:rsidRPr="006756B6">
        <w:rPr>
          <w:rFonts w:ascii="Times New Roman" w:hAnsi="Times New Roman"/>
          <w:sz w:val="24"/>
          <w:szCs w:val="24"/>
        </w:rPr>
        <w:t>motions for judgment dismissing the complaint and denying plaintiff's motion to amend the same. First, the Court finds, as a matter of law, upon the papers submitted, that plaintiff fails to demonstrate a triable issue whether the conduct of Kyle Verstraete constituted willful negligence or malfeasance.”</w:t>
      </w:r>
      <w:r w:rsidR="00DC51D4">
        <w:rPr>
          <w:rFonts w:ascii="Times New Roman" w:hAnsi="Times New Roman"/>
          <w:sz w:val="24"/>
          <w:szCs w:val="24"/>
        </w:rPr>
        <w:t xml:space="preserve">  </w:t>
      </w:r>
      <w:bookmarkStart w:id="205" w:name="_Hlk39836885"/>
      <w:r w:rsidR="00DC51D4">
        <w:fldChar w:fldCharType="begin"/>
      </w:r>
      <w:r w:rsidR="00DC51D4">
        <w:instrText xml:space="preserve"> HYPERLINK "https://law.justia.com/cases/new-york/other-courts/2019/2019-ny-slip-op-29270.html" </w:instrText>
      </w:r>
      <w:r w:rsidR="00DC51D4">
        <w:fldChar w:fldCharType="separate"/>
      </w:r>
      <w:r w:rsidR="00DC51D4" w:rsidRPr="006756B6">
        <w:rPr>
          <w:rStyle w:val="Hyperlink"/>
          <w:rFonts w:ascii="Times New Roman" w:hAnsi="Times New Roman"/>
          <w:sz w:val="24"/>
          <w:szCs w:val="24"/>
        </w:rPr>
        <w:t>https://law.justia.com/cases/new-york/other-courts/2019/2019-ny-slip-op-29270.html</w:t>
      </w:r>
      <w:r w:rsidR="00DC51D4">
        <w:rPr>
          <w:rStyle w:val="Hyperlink"/>
          <w:rFonts w:ascii="Times New Roman" w:hAnsi="Times New Roman"/>
          <w:sz w:val="24"/>
          <w:szCs w:val="24"/>
        </w:rPr>
        <w:fldChar w:fldCharType="end"/>
      </w:r>
      <w:r w:rsidR="00DC51D4" w:rsidRPr="006756B6">
        <w:rPr>
          <w:rFonts w:ascii="Times New Roman" w:hAnsi="Times New Roman"/>
          <w:sz w:val="24"/>
          <w:szCs w:val="24"/>
        </w:rPr>
        <w:t xml:space="preserve"> </w:t>
      </w:r>
    </w:p>
    <w:bookmarkEnd w:id="205"/>
    <w:p w14:paraId="62D57E95" w14:textId="001BB76F" w:rsidR="009F0F05" w:rsidRPr="006756B6" w:rsidRDefault="009F0F05" w:rsidP="009F0F05">
      <w:pPr>
        <w:ind w:left="720"/>
        <w:rPr>
          <w:rFonts w:ascii="Times New Roman" w:hAnsi="Times New Roman"/>
          <w:sz w:val="24"/>
          <w:szCs w:val="24"/>
        </w:rPr>
      </w:pPr>
    </w:p>
    <w:bookmarkEnd w:id="203"/>
    <w:p w14:paraId="694A62E5" w14:textId="640BABF1" w:rsidR="009F0F05" w:rsidRDefault="009F0F05" w:rsidP="009F0F05">
      <w:pPr>
        <w:pStyle w:val="NoSpacing"/>
        <w:rPr>
          <w:rFonts w:ascii="Times New Roman" w:hAnsi="Times New Roman"/>
          <w:b/>
          <w:bCs/>
          <w:sz w:val="24"/>
          <w:szCs w:val="24"/>
        </w:rPr>
      </w:pPr>
      <w:r>
        <w:rPr>
          <w:rFonts w:ascii="Times New Roman" w:hAnsi="Times New Roman"/>
          <w:b/>
          <w:bCs/>
          <w:sz w:val="24"/>
          <w:szCs w:val="24"/>
        </w:rPr>
        <w:t xml:space="preserve">Legal Lessons Learned: The injured volunteer firefighter’s only remedy is workers comp.  </w:t>
      </w:r>
      <w:proofErr w:type="gramStart"/>
      <w:r>
        <w:rPr>
          <w:rFonts w:ascii="Times New Roman" w:hAnsi="Times New Roman"/>
          <w:b/>
          <w:bCs/>
          <w:sz w:val="24"/>
          <w:szCs w:val="24"/>
        </w:rPr>
        <w:t>Other</w:t>
      </w:r>
      <w:proofErr w:type="gramEnd"/>
      <w:r>
        <w:rPr>
          <w:rFonts w:ascii="Times New Roman" w:hAnsi="Times New Roman"/>
          <w:b/>
          <w:bCs/>
          <w:sz w:val="24"/>
          <w:szCs w:val="24"/>
        </w:rPr>
        <w:t xml:space="preserve"> lesson - wear your seat belt.</w:t>
      </w:r>
    </w:p>
    <w:p w14:paraId="2ED036E9" w14:textId="04D753E0" w:rsidR="00E26EA8" w:rsidRDefault="00E26EA8" w:rsidP="009F0F05">
      <w:pPr>
        <w:pStyle w:val="NoSpacing"/>
        <w:rPr>
          <w:rFonts w:ascii="Times New Roman" w:hAnsi="Times New Roman"/>
          <w:b/>
          <w:bCs/>
          <w:sz w:val="24"/>
          <w:szCs w:val="24"/>
        </w:rPr>
      </w:pPr>
    </w:p>
    <w:p w14:paraId="659533B1" w14:textId="092AC4E6" w:rsidR="009F0F05" w:rsidRPr="00715CF2" w:rsidRDefault="009F0F05" w:rsidP="00EF1133">
      <w:pPr>
        <w:rPr>
          <w:rFonts w:ascii="Times New Roman" w:hAnsi="Times New Roman"/>
          <w:bCs/>
          <w:sz w:val="24"/>
          <w:szCs w:val="24"/>
        </w:rPr>
      </w:pPr>
    </w:p>
    <w:p w14:paraId="091455C7" w14:textId="77777777" w:rsidR="00715CF2" w:rsidRDefault="00715CF2" w:rsidP="00EF1133">
      <w:pPr>
        <w:rPr>
          <w:rFonts w:ascii="Arial Black" w:hAnsi="Arial Black"/>
          <w:b/>
          <w:sz w:val="24"/>
          <w:szCs w:val="24"/>
        </w:rPr>
      </w:pPr>
    </w:p>
    <w:p w14:paraId="5990C83D" w14:textId="6C2B7BBF" w:rsidR="009F0F05" w:rsidRDefault="009F0F05" w:rsidP="00EF1133">
      <w:pPr>
        <w:rPr>
          <w:rFonts w:ascii="Arial Black" w:hAnsi="Arial Black"/>
          <w:b/>
          <w:sz w:val="24"/>
          <w:szCs w:val="24"/>
        </w:rPr>
      </w:pPr>
      <w:r>
        <w:rPr>
          <w:rFonts w:ascii="Arial Black" w:hAnsi="Arial Black"/>
          <w:b/>
          <w:sz w:val="24"/>
          <w:szCs w:val="24"/>
        </w:rPr>
        <w:t>5-8</w:t>
      </w:r>
    </w:p>
    <w:p w14:paraId="092F8E23" w14:textId="77777777" w:rsidR="009F0F05" w:rsidRDefault="009F0F05" w:rsidP="009F0F05">
      <w:pPr>
        <w:rPr>
          <w:rFonts w:ascii="Arial Black" w:hAnsi="Arial Black"/>
          <w:sz w:val="28"/>
          <w:szCs w:val="28"/>
        </w:rPr>
      </w:pPr>
      <w:bookmarkStart w:id="206" w:name="_Hlk39764142"/>
      <w:r w:rsidRPr="00D803B2">
        <w:rPr>
          <w:rFonts w:ascii="Arial Black" w:hAnsi="Arial Black"/>
          <w:sz w:val="28"/>
          <w:szCs w:val="28"/>
        </w:rPr>
        <w:t xml:space="preserve">IL: </w:t>
      </w:r>
      <w:r>
        <w:rPr>
          <w:rFonts w:ascii="Arial Black" w:hAnsi="Arial Black"/>
          <w:sz w:val="28"/>
          <w:szCs w:val="28"/>
        </w:rPr>
        <w:t xml:space="preserve"> PATIENT INJURED AMBULANCE CRASH - 65 MPH WET HWY – PARAMEDIC REPRIMANDED - QUALIFIED IMMUNITY  </w:t>
      </w:r>
    </w:p>
    <w:p w14:paraId="61A2AF96" w14:textId="71F3EEFE" w:rsidR="009F0F05" w:rsidRDefault="009F0F05" w:rsidP="009F0F05">
      <w:r w:rsidRPr="004112C3">
        <w:rPr>
          <w:rFonts w:ascii="Times New Roman" w:hAnsi="Times New Roman"/>
          <w:sz w:val="24"/>
          <w:szCs w:val="24"/>
        </w:rPr>
        <w:t>On</w:t>
      </w:r>
      <w:r>
        <w:rPr>
          <w:rFonts w:ascii="Times New Roman" w:hAnsi="Times New Roman"/>
          <w:sz w:val="24"/>
          <w:szCs w:val="24"/>
        </w:rPr>
        <w:t xml:space="preserve"> Aug. 6, 2019, in </w:t>
      </w:r>
      <w:r w:rsidRPr="0030048E">
        <w:rPr>
          <w:rFonts w:ascii="Times New Roman" w:hAnsi="Times New Roman"/>
          <w:sz w:val="24"/>
          <w:szCs w:val="24"/>
          <w:u w:val="single"/>
        </w:rPr>
        <w:t>Jeremy Hicks and Isaiah Sampson (a minor) v. City of Fallon, et al.</w:t>
      </w:r>
      <w:r>
        <w:rPr>
          <w:rFonts w:ascii="Times New Roman" w:hAnsi="Times New Roman"/>
          <w:sz w:val="24"/>
          <w:szCs w:val="24"/>
        </w:rPr>
        <w:t xml:space="preserve">, </w:t>
      </w:r>
      <w:r w:rsidRPr="00A84C9A">
        <w:rPr>
          <w:rFonts w:ascii="Times New Roman" w:hAnsi="Times New Roman"/>
          <w:sz w:val="24"/>
          <w:szCs w:val="24"/>
        </w:rPr>
        <w:t xml:space="preserve">2019 Ill. App. 5th 180397, the Appellate Court of Illinois, Fifth District, held (3 to 0) that the trial court properly granted summary judgment to the </w:t>
      </w:r>
      <w:proofErr w:type="gramStart"/>
      <w:r w:rsidRPr="00A84C9A">
        <w:rPr>
          <w:rFonts w:ascii="Times New Roman" w:hAnsi="Times New Roman"/>
          <w:sz w:val="24"/>
          <w:szCs w:val="24"/>
        </w:rPr>
        <w:t>City</w:t>
      </w:r>
      <w:proofErr w:type="gramEnd"/>
      <w:r w:rsidRPr="00A84C9A">
        <w:rPr>
          <w:rFonts w:ascii="Times New Roman" w:hAnsi="Times New Roman"/>
          <w:sz w:val="24"/>
          <w:szCs w:val="24"/>
        </w:rPr>
        <w:t xml:space="preserve"> and the EMS personnel. </w:t>
      </w:r>
      <w:r w:rsidR="00AA589C">
        <w:rPr>
          <w:rFonts w:ascii="Times New Roman" w:hAnsi="Times New Roman"/>
          <w:sz w:val="24"/>
          <w:szCs w:val="24"/>
        </w:rPr>
        <w:t xml:space="preserve"> </w:t>
      </w:r>
      <w:bookmarkStart w:id="207" w:name="_Hlk39766010"/>
      <w:bookmarkEnd w:id="206"/>
      <w:r>
        <w:rPr>
          <w:rFonts w:ascii="Times New Roman" w:hAnsi="Times New Roman"/>
          <w:sz w:val="24"/>
          <w:szCs w:val="24"/>
        </w:rPr>
        <w:t xml:space="preserve">Justice Barberis wrote: </w:t>
      </w:r>
    </w:p>
    <w:p w14:paraId="27549F51" w14:textId="77777777" w:rsidR="00A84C9A" w:rsidRPr="00A84C9A" w:rsidRDefault="009F0F05" w:rsidP="00A84C9A">
      <w:pPr>
        <w:ind w:left="720"/>
        <w:rPr>
          <w:rFonts w:ascii="Times New Roman" w:hAnsi="Times New Roman"/>
          <w:sz w:val="24"/>
          <w:szCs w:val="24"/>
        </w:rPr>
      </w:pPr>
      <w:r>
        <w:rPr>
          <w:rFonts w:ascii="Times New Roman" w:hAnsi="Times New Roman"/>
          <w:sz w:val="24"/>
          <w:szCs w:val="24"/>
        </w:rPr>
        <w:t>“[P]</w:t>
      </w:r>
      <w:proofErr w:type="spellStart"/>
      <w:r w:rsidRPr="00086296">
        <w:rPr>
          <w:rFonts w:ascii="Times New Roman" w:hAnsi="Times New Roman"/>
          <w:sz w:val="24"/>
          <w:szCs w:val="24"/>
        </w:rPr>
        <w:t>laintiffs</w:t>
      </w:r>
      <w:proofErr w:type="spellEnd"/>
      <w:r w:rsidRPr="00086296">
        <w:rPr>
          <w:rFonts w:ascii="Times New Roman" w:hAnsi="Times New Roman"/>
          <w:sz w:val="24"/>
          <w:szCs w:val="24"/>
        </w:rPr>
        <w:t xml:space="preserve"> argue that Sill's</w:t>
      </w:r>
      <w:r>
        <w:rPr>
          <w:rFonts w:ascii="Times New Roman" w:hAnsi="Times New Roman"/>
          <w:sz w:val="24"/>
          <w:szCs w:val="24"/>
        </w:rPr>
        <w:t xml:space="preserve"> {paramedic] </w:t>
      </w:r>
      <w:r w:rsidRPr="00086296">
        <w:rPr>
          <w:rFonts w:ascii="Times New Roman" w:hAnsi="Times New Roman"/>
          <w:sz w:val="24"/>
          <w:szCs w:val="24"/>
        </w:rPr>
        <w:t xml:space="preserve">failure to operate the ambulance at a speed below the speed limit violated the City's policies and procedures, per Wild's deposition testimony, that required an ambulance to be operated slower in adverse conditions than it might be otherwise be operated in </w:t>
      </w:r>
      <w:proofErr w:type="spellStart"/>
      <w:r w:rsidRPr="00086296">
        <w:rPr>
          <w:rFonts w:ascii="Times New Roman" w:hAnsi="Times New Roman"/>
          <w:sz w:val="24"/>
          <w:szCs w:val="24"/>
        </w:rPr>
        <w:t>nonadverse</w:t>
      </w:r>
      <w:proofErr w:type="spellEnd"/>
      <w:r w:rsidRPr="00086296">
        <w:rPr>
          <w:rFonts w:ascii="Times New Roman" w:hAnsi="Times New Roman"/>
          <w:sz w:val="24"/>
          <w:szCs w:val="24"/>
        </w:rPr>
        <w:t xml:space="preserve"> conditions. First, we note that </w:t>
      </w:r>
      <w:r>
        <w:rPr>
          <w:rFonts w:ascii="Times New Roman" w:hAnsi="Times New Roman"/>
          <w:sz w:val="24"/>
          <w:szCs w:val="24"/>
        </w:rPr>
        <w:t>W</w:t>
      </w:r>
      <w:r w:rsidRPr="00086296">
        <w:rPr>
          <w:rFonts w:ascii="Times New Roman" w:hAnsi="Times New Roman"/>
          <w:sz w:val="24"/>
          <w:szCs w:val="24"/>
        </w:rPr>
        <w:t xml:space="preserve">ild </w:t>
      </w:r>
      <w:r>
        <w:rPr>
          <w:rFonts w:ascii="Times New Roman" w:hAnsi="Times New Roman"/>
          <w:sz w:val="24"/>
          <w:szCs w:val="24"/>
        </w:rPr>
        <w:t xml:space="preserve">[paramedic] </w:t>
      </w:r>
      <w:r w:rsidRPr="00086296">
        <w:rPr>
          <w:rFonts w:ascii="Times New Roman" w:hAnsi="Times New Roman"/>
          <w:sz w:val="24"/>
          <w:szCs w:val="24"/>
        </w:rPr>
        <w:t xml:space="preserve">testified that drivers were to maintain slower speeds during adverse weather conditions, although he was unsure whether a specific policy was in place. Moreover, our colleagues in the First District stated that a </w:t>
      </w:r>
      <w:r>
        <w:rPr>
          <w:rFonts w:ascii="Times New Roman" w:hAnsi="Times New Roman"/>
          <w:sz w:val="24"/>
          <w:szCs w:val="24"/>
        </w:rPr>
        <w:t>‘</w:t>
      </w:r>
      <w:r w:rsidRPr="00086296">
        <w:rPr>
          <w:rFonts w:ascii="Times New Roman" w:hAnsi="Times New Roman"/>
          <w:sz w:val="24"/>
          <w:szCs w:val="24"/>
        </w:rPr>
        <w:t>[v]</w:t>
      </w:r>
      <w:proofErr w:type="spellStart"/>
      <w:r w:rsidRPr="00086296">
        <w:rPr>
          <w:rFonts w:ascii="Times New Roman" w:hAnsi="Times New Roman"/>
          <w:sz w:val="24"/>
          <w:szCs w:val="24"/>
        </w:rPr>
        <w:t>iolation</w:t>
      </w:r>
      <w:proofErr w:type="spellEnd"/>
      <w:r w:rsidRPr="00086296">
        <w:rPr>
          <w:rFonts w:ascii="Times New Roman" w:hAnsi="Times New Roman"/>
          <w:sz w:val="24"/>
          <w:szCs w:val="24"/>
        </w:rPr>
        <w:t xml:space="preserve"> of self-imposed rules or internal guidelines *** 'does not normally impose a legal duty, let alone constitute evidence of negligence, or beyond that, willful and wanton conduct.' Wade v. City of Chicago, 364 Ill. App. 3d 773, 781 (2006) (quoting Morton v. City of Chicago, 286 Ill. App. 3d 444, 454 (1997)). Thus, a violation of the City's policy, if one had existed at the time of the accident, would not alone constitute evidence of willful and wanton </w:t>
      </w:r>
      <w:proofErr w:type="gramStart"/>
      <w:r w:rsidRPr="00086296">
        <w:rPr>
          <w:rFonts w:ascii="Times New Roman" w:hAnsi="Times New Roman"/>
          <w:sz w:val="24"/>
          <w:szCs w:val="24"/>
        </w:rPr>
        <w:t>conduct.</w:t>
      </w:r>
      <w:r>
        <w:rPr>
          <w:rFonts w:ascii="Times New Roman" w:hAnsi="Times New Roman"/>
          <w:sz w:val="24"/>
          <w:szCs w:val="24"/>
        </w:rPr>
        <w:t>”</w:t>
      </w:r>
      <w:proofErr w:type="gramEnd"/>
      <w:r w:rsidR="00A84C9A">
        <w:rPr>
          <w:rFonts w:ascii="Times New Roman" w:hAnsi="Times New Roman"/>
          <w:sz w:val="24"/>
          <w:szCs w:val="24"/>
        </w:rPr>
        <w:t xml:space="preserve"> </w:t>
      </w:r>
      <w:hyperlink r:id="rId995" w:history="1">
        <w:r w:rsidR="00A84C9A" w:rsidRPr="00A84C9A">
          <w:rPr>
            <w:rStyle w:val="Hyperlink"/>
            <w:rFonts w:ascii="Times New Roman" w:hAnsi="Times New Roman"/>
            <w:sz w:val="24"/>
            <w:szCs w:val="24"/>
          </w:rPr>
          <w:t>https://casetext.com/case/hicks-v-city-of-ofallon</w:t>
        </w:r>
      </w:hyperlink>
      <w:r w:rsidR="00A84C9A" w:rsidRPr="00A84C9A">
        <w:rPr>
          <w:rFonts w:ascii="Times New Roman" w:hAnsi="Times New Roman"/>
          <w:sz w:val="24"/>
          <w:szCs w:val="24"/>
        </w:rPr>
        <w:t xml:space="preserve"> </w:t>
      </w:r>
    </w:p>
    <w:p w14:paraId="2439432B" w14:textId="77777777" w:rsidR="009F0F05" w:rsidRPr="005245B1" w:rsidRDefault="009F0F05" w:rsidP="009F0F05">
      <w:pPr>
        <w:rPr>
          <w:rFonts w:ascii="Times New Roman" w:hAnsi="Times New Roman"/>
          <w:b/>
          <w:bCs/>
          <w:sz w:val="24"/>
          <w:szCs w:val="24"/>
        </w:rPr>
      </w:pPr>
      <w:bookmarkStart w:id="208" w:name="_Hlk40510205"/>
      <w:bookmarkEnd w:id="207"/>
      <w:r w:rsidRPr="005245B1">
        <w:rPr>
          <w:rFonts w:ascii="Times New Roman" w:hAnsi="Times New Roman"/>
          <w:b/>
          <w:bCs/>
          <w:sz w:val="24"/>
          <w:szCs w:val="24"/>
        </w:rPr>
        <w:t xml:space="preserve">Legal Lessons Learned: </w:t>
      </w:r>
      <w:r>
        <w:rPr>
          <w:rFonts w:ascii="Times New Roman" w:hAnsi="Times New Roman"/>
          <w:b/>
          <w:bCs/>
          <w:sz w:val="24"/>
          <w:szCs w:val="24"/>
        </w:rPr>
        <w:t xml:space="preserve">Immunity </w:t>
      </w:r>
      <w:proofErr w:type="gramStart"/>
      <w:r>
        <w:rPr>
          <w:rFonts w:ascii="Times New Roman" w:hAnsi="Times New Roman"/>
          <w:b/>
          <w:bCs/>
          <w:sz w:val="24"/>
          <w:szCs w:val="24"/>
        </w:rPr>
        <w:t>statute</w:t>
      </w:r>
      <w:proofErr w:type="gramEnd"/>
      <w:r>
        <w:rPr>
          <w:rFonts w:ascii="Times New Roman" w:hAnsi="Times New Roman"/>
          <w:b/>
          <w:bCs/>
          <w:sz w:val="24"/>
          <w:szCs w:val="24"/>
        </w:rPr>
        <w:t xml:space="preserve"> very helpful; but use caution when driving high speeds on a wet highway.  </w:t>
      </w:r>
    </w:p>
    <w:bookmarkEnd w:id="208"/>
    <w:p w14:paraId="4A9C5183" w14:textId="77777777" w:rsidR="009F0F05" w:rsidRDefault="009F0F05" w:rsidP="00EF1133">
      <w:pPr>
        <w:rPr>
          <w:rFonts w:ascii="Arial Black" w:hAnsi="Arial Black"/>
          <w:b/>
          <w:sz w:val="24"/>
          <w:szCs w:val="24"/>
        </w:rPr>
      </w:pPr>
    </w:p>
    <w:p w14:paraId="2084228C" w14:textId="27ED0317" w:rsidR="00EF1133" w:rsidRDefault="00EF1133" w:rsidP="00EF1133">
      <w:pPr>
        <w:rPr>
          <w:rFonts w:ascii="Arial Black" w:hAnsi="Arial Black"/>
          <w:sz w:val="28"/>
          <w:szCs w:val="28"/>
        </w:rPr>
      </w:pPr>
      <w:r w:rsidRPr="00EF1133">
        <w:rPr>
          <w:rFonts w:ascii="Arial Black" w:hAnsi="Arial Black"/>
          <w:b/>
          <w:sz w:val="24"/>
          <w:szCs w:val="24"/>
        </w:rPr>
        <w:t>5-</w:t>
      </w:r>
      <w:r>
        <w:rPr>
          <w:rFonts w:ascii="Arial Black" w:hAnsi="Arial Black"/>
          <w:b/>
          <w:sz w:val="24"/>
          <w:szCs w:val="24"/>
        </w:rPr>
        <w:t>7</w:t>
      </w:r>
    </w:p>
    <w:p w14:paraId="572158BB" w14:textId="1451C876" w:rsidR="00527EDF" w:rsidRDefault="00527EDF" w:rsidP="00527EDF">
      <w:pPr>
        <w:pStyle w:val="NoSpacing"/>
        <w:rPr>
          <w:rFonts w:ascii="Arial Black" w:hAnsi="Arial Black"/>
          <w:sz w:val="28"/>
          <w:szCs w:val="28"/>
        </w:rPr>
      </w:pPr>
      <w:r>
        <w:rPr>
          <w:rFonts w:ascii="Arial Black" w:hAnsi="Arial Black"/>
          <w:sz w:val="28"/>
          <w:szCs w:val="28"/>
        </w:rPr>
        <w:t xml:space="preserve">TX:  EMT LOST CONTROL AMBULANCE - INJURED ROAD GRADER – MAX LIAB. OF NOT-FOR-PROFIT CO. IS $100K  </w:t>
      </w:r>
    </w:p>
    <w:p w14:paraId="3555D47A" w14:textId="77777777" w:rsidR="00527EDF" w:rsidRDefault="00527EDF" w:rsidP="00527EDF">
      <w:pPr>
        <w:pStyle w:val="NoSpacing"/>
        <w:rPr>
          <w:rFonts w:ascii="Arial Black" w:hAnsi="Arial Black"/>
          <w:sz w:val="28"/>
          <w:szCs w:val="28"/>
        </w:rPr>
      </w:pPr>
    </w:p>
    <w:p w14:paraId="38C51E4B" w14:textId="77777777" w:rsidR="00527EDF" w:rsidRPr="004A0292" w:rsidRDefault="00527EDF" w:rsidP="00527EDF">
      <w:pPr>
        <w:pStyle w:val="NoSpacing"/>
        <w:rPr>
          <w:rFonts w:ascii="Times New Roman" w:hAnsi="Times New Roman"/>
          <w:sz w:val="24"/>
          <w:szCs w:val="24"/>
        </w:rPr>
      </w:pPr>
      <w:r w:rsidRPr="004A0292">
        <w:rPr>
          <w:rFonts w:ascii="Times New Roman" w:hAnsi="Times New Roman"/>
          <w:sz w:val="24"/>
          <w:szCs w:val="24"/>
        </w:rPr>
        <w:t xml:space="preserve">On May 23, 2019, in </w:t>
      </w:r>
      <w:r w:rsidRPr="004A0292">
        <w:rPr>
          <w:rFonts w:ascii="Times New Roman" w:hAnsi="Times New Roman"/>
          <w:sz w:val="24"/>
          <w:szCs w:val="24"/>
          <w:u w:val="single"/>
        </w:rPr>
        <w:t>Jose Roel Garcia v. Jesse Perez and South Texas Emergency Care Foundation, Inc.</w:t>
      </w:r>
      <w:r w:rsidRPr="004A0292">
        <w:rPr>
          <w:rFonts w:ascii="Times New Roman" w:hAnsi="Times New Roman"/>
          <w:sz w:val="24"/>
          <w:szCs w:val="24"/>
        </w:rPr>
        <w:t>, the Court of Appeals of Thirteenth District, Corpus Christi held (3 to 0)</w:t>
      </w:r>
    </w:p>
    <w:p w14:paraId="7D27F224" w14:textId="77777777" w:rsidR="00527EDF" w:rsidRPr="004A0292" w:rsidRDefault="00527EDF" w:rsidP="00527EDF">
      <w:pPr>
        <w:pStyle w:val="NoSpacing"/>
        <w:rPr>
          <w:rFonts w:ascii="Times New Roman" w:hAnsi="Times New Roman"/>
          <w:sz w:val="24"/>
          <w:szCs w:val="24"/>
        </w:rPr>
      </w:pPr>
    </w:p>
    <w:p w14:paraId="0081598D" w14:textId="77777777" w:rsidR="00527EDF" w:rsidRPr="004A0292" w:rsidRDefault="00527EDF" w:rsidP="00527EDF">
      <w:pPr>
        <w:pStyle w:val="NoSpacing"/>
        <w:ind w:left="720"/>
        <w:rPr>
          <w:rFonts w:ascii="Times New Roman" w:hAnsi="Times New Roman"/>
          <w:sz w:val="24"/>
          <w:szCs w:val="24"/>
        </w:rPr>
      </w:pPr>
      <w:r w:rsidRPr="004A0292">
        <w:rPr>
          <w:rFonts w:ascii="Times New Roman" w:hAnsi="Times New Roman"/>
          <w:sz w:val="24"/>
          <w:szCs w:val="24"/>
        </w:rPr>
        <w:t>“Thus, we conclude that Garcia’s argument that STEC is not an emergency service organization because it is not operated by volunteer members is not supported by the statute. Accordingly, we reject this argument.”</w:t>
      </w:r>
    </w:p>
    <w:p w14:paraId="34EA4B9A" w14:textId="113270E2" w:rsidR="00527EDF" w:rsidRDefault="00527EDF" w:rsidP="00F326E5">
      <w:pPr>
        <w:pStyle w:val="NoSpacing"/>
        <w:rPr>
          <w:sz w:val="24"/>
          <w:szCs w:val="24"/>
        </w:rPr>
      </w:pPr>
    </w:p>
    <w:p w14:paraId="0B50BC02" w14:textId="77777777" w:rsidR="00527EDF" w:rsidRPr="00E8724B" w:rsidRDefault="00527EDF" w:rsidP="00527EDF">
      <w:pPr>
        <w:pStyle w:val="HTMLPreformatted"/>
        <w:rPr>
          <w:rFonts w:ascii="Times New Roman" w:hAnsi="Times New Roman" w:cs="Times New Roman"/>
          <w:b/>
          <w:sz w:val="24"/>
          <w:szCs w:val="24"/>
        </w:rPr>
      </w:pPr>
      <w:bookmarkStart w:id="209" w:name="_Hlk10126871"/>
      <w:r w:rsidRPr="00E8724B">
        <w:rPr>
          <w:rFonts w:ascii="Times New Roman" w:hAnsi="Times New Roman" w:cs="Times New Roman"/>
          <w:b/>
          <w:sz w:val="24"/>
          <w:szCs w:val="24"/>
        </w:rPr>
        <w:t xml:space="preserve">Legal Lessons Learned: </w:t>
      </w:r>
      <w:r>
        <w:rPr>
          <w:rFonts w:ascii="Times New Roman" w:hAnsi="Times New Roman" w:cs="Times New Roman"/>
          <w:b/>
          <w:sz w:val="24"/>
          <w:szCs w:val="24"/>
        </w:rPr>
        <w:t xml:space="preserve">  Helpful to have a statutory cap on liability for volunteer and not-for-profit emergency response organizations.  This may also reduce the cost of insurance.  </w:t>
      </w:r>
    </w:p>
    <w:bookmarkEnd w:id="209"/>
    <w:p w14:paraId="33495ABD" w14:textId="77777777" w:rsidR="00527EDF" w:rsidRDefault="00527EDF" w:rsidP="00527EDF">
      <w:pPr>
        <w:pStyle w:val="NoSpacing"/>
        <w:rPr>
          <w:rFonts w:ascii="Times New Roman" w:hAnsi="Times New Roman"/>
          <w:sz w:val="24"/>
          <w:szCs w:val="24"/>
        </w:rPr>
      </w:pPr>
    </w:p>
    <w:p w14:paraId="010CFCD3" w14:textId="6A4BE911" w:rsidR="0097592D" w:rsidRDefault="0097592D" w:rsidP="00F326E5">
      <w:pPr>
        <w:pStyle w:val="NoSpacing"/>
        <w:rPr>
          <w:sz w:val="24"/>
          <w:szCs w:val="24"/>
        </w:rPr>
      </w:pPr>
    </w:p>
    <w:p w14:paraId="7D3916C7" w14:textId="77777777" w:rsidR="0097592D" w:rsidRDefault="0097592D" w:rsidP="00F326E5">
      <w:pPr>
        <w:pStyle w:val="NoSpacing"/>
        <w:rPr>
          <w:sz w:val="24"/>
          <w:szCs w:val="24"/>
        </w:rPr>
      </w:pPr>
    </w:p>
    <w:p w14:paraId="42C00D40" w14:textId="5A9B567C" w:rsidR="00527EDF" w:rsidRDefault="00EF1133" w:rsidP="00EF1133">
      <w:pPr>
        <w:rPr>
          <w:sz w:val="24"/>
          <w:szCs w:val="24"/>
        </w:rPr>
      </w:pPr>
      <w:r w:rsidRPr="00EF1133">
        <w:rPr>
          <w:rFonts w:ascii="Arial Black" w:hAnsi="Arial Black"/>
          <w:b/>
          <w:sz w:val="24"/>
          <w:szCs w:val="24"/>
        </w:rPr>
        <w:t>5-</w:t>
      </w:r>
      <w:r>
        <w:rPr>
          <w:rFonts w:ascii="Arial Black" w:hAnsi="Arial Black"/>
          <w:b/>
          <w:sz w:val="24"/>
          <w:szCs w:val="24"/>
        </w:rPr>
        <w:t>6</w:t>
      </w:r>
    </w:p>
    <w:p w14:paraId="3EEA1607" w14:textId="2A633C47" w:rsidR="00F326E5" w:rsidRDefault="002B1283" w:rsidP="00F326E5">
      <w:pPr>
        <w:pStyle w:val="NoSpacing"/>
        <w:rPr>
          <w:rFonts w:ascii="Arial Black" w:hAnsi="Arial Black"/>
          <w:sz w:val="28"/>
          <w:szCs w:val="28"/>
        </w:rPr>
      </w:pPr>
      <w:bookmarkStart w:id="210" w:name="_Hlk39764237"/>
      <w:r>
        <w:rPr>
          <w:rFonts w:ascii="Arial Black" w:hAnsi="Arial Black"/>
          <w:sz w:val="28"/>
          <w:szCs w:val="28"/>
        </w:rPr>
        <w:t>L</w:t>
      </w:r>
      <w:r w:rsidR="00F326E5">
        <w:rPr>
          <w:rFonts w:ascii="Arial Black" w:hAnsi="Arial Black"/>
          <w:sz w:val="28"/>
          <w:szCs w:val="28"/>
        </w:rPr>
        <w:t>A:  EMER. LIGHTS USED, BUT NO SIREN – CHILD NON</w:t>
      </w:r>
      <w:r w:rsidR="00A84C9A">
        <w:rPr>
          <w:rFonts w:ascii="Arial Black" w:hAnsi="Arial Black"/>
          <w:sz w:val="28"/>
          <w:szCs w:val="28"/>
        </w:rPr>
        <w:t>-</w:t>
      </w:r>
      <w:r w:rsidR="00F326E5">
        <w:rPr>
          <w:rFonts w:ascii="Arial Black" w:hAnsi="Arial Black"/>
          <w:sz w:val="28"/>
          <w:szCs w:val="28"/>
        </w:rPr>
        <w:t xml:space="preserve">BREATHER RUN - NO STATUTORY IMMUNITY </w:t>
      </w:r>
    </w:p>
    <w:p w14:paraId="355BDDDD" w14:textId="77777777" w:rsidR="00F326E5" w:rsidRPr="009C4A80" w:rsidRDefault="00F326E5" w:rsidP="00F326E5">
      <w:pPr>
        <w:pStyle w:val="NoSpacing"/>
        <w:rPr>
          <w:rFonts w:ascii="Times New Roman" w:hAnsi="Times New Roman"/>
          <w:b/>
          <w:sz w:val="24"/>
          <w:szCs w:val="24"/>
        </w:rPr>
      </w:pPr>
      <w:r w:rsidRPr="009C4A80">
        <w:rPr>
          <w:rFonts w:ascii="Times New Roman" w:hAnsi="Times New Roman"/>
          <w:sz w:val="24"/>
          <w:szCs w:val="24"/>
        </w:rPr>
        <w:t xml:space="preserve">On Feb. 22, 2019, in </w:t>
      </w:r>
      <w:r w:rsidRPr="009C4A80">
        <w:rPr>
          <w:rFonts w:ascii="Times New Roman" w:hAnsi="Times New Roman"/>
          <w:sz w:val="24"/>
          <w:szCs w:val="24"/>
          <w:u w:val="single"/>
        </w:rPr>
        <w:t xml:space="preserve">Nunzio </w:t>
      </w:r>
      <w:proofErr w:type="spellStart"/>
      <w:r w:rsidRPr="009C4A80">
        <w:rPr>
          <w:rFonts w:ascii="Times New Roman" w:hAnsi="Times New Roman"/>
          <w:sz w:val="24"/>
          <w:szCs w:val="24"/>
          <w:u w:val="single"/>
        </w:rPr>
        <w:t>Inzina</w:t>
      </w:r>
      <w:proofErr w:type="spellEnd"/>
      <w:r w:rsidRPr="009C4A80">
        <w:rPr>
          <w:rFonts w:ascii="Times New Roman" w:hAnsi="Times New Roman"/>
          <w:sz w:val="24"/>
          <w:szCs w:val="24"/>
          <w:u w:val="single"/>
        </w:rPr>
        <w:t xml:space="preserve"> &amp; Emily </w:t>
      </w:r>
      <w:proofErr w:type="spellStart"/>
      <w:r w:rsidRPr="009C4A80">
        <w:rPr>
          <w:rFonts w:ascii="Times New Roman" w:hAnsi="Times New Roman"/>
          <w:sz w:val="24"/>
          <w:szCs w:val="24"/>
          <w:u w:val="single"/>
        </w:rPr>
        <w:t>Inzina</w:t>
      </w:r>
      <w:proofErr w:type="spellEnd"/>
      <w:r w:rsidRPr="009C4A80">
        <w:rPr>
          <w:rFonts w:ascii="Times New Roman" w:hAnsi="Times New Roman"/>
          <w:sz w:val="24"/>
          <w:szCs w:val="24"/>
          <w:u w:val="single"/>
        </w:rPr>
        <w:t xml:space="preserve"> v. Troy Guitreau, et al</w:t>
      </w:r>
      <w:r w:rsidRPr="009C4A80">
        <w:rPr>
          <w:rFonts w:ascii="Times New Roman" w:hAnsi="Times New Roman"/>
          <w:sz w:val="24"/>
          <w:szCs w:val="24"/>
        </w:rPr>
        <w:t xml:space="preserve">.,  the State of Louisiana, Court of Appeal, First District (3 to 0) held that “because the trial court's finding that Mr. Guitreau's emergency lights were insufficient to warn motorists of his approach was not manifestly erroneous, the trial court properly determined that the ‘reckless disregard’ (or ‘gross negligence’) standard does not apply. Mr. Guitreau does not meet the requirements of 32:24(C) and therefore his actions must be assessed under an ordinary negligence </w:t>
      </w:r>
      <w:proofErr w:type="gramStart"/>
      <w:r w:rsidRPr="009C4A80">
        <w:rPr>
          <w:rFonts w:ascii="Times New Roman" w:hAnsi="Times New Roman"/>
          <w:sz w:val="24"/>
          <w:szCs w:val="24"/>
        </w:rPr>
        <w:t>standard.”</w:t>
      </w:r>
      <w:proofErr w:type="gramEnd"/>
      <w:r w:rsidRPr="009C4A80">
        <w:rPr>
          <w:rFonts w:ascii="Times New Roman" w:hAnsi="Times New Roman"/>
          <w:b/>
          <w:sz w:val="24"/>
          <w:szCs w:val="24"/>
        </w:rPr>
        <w:t xml:space="preserve"> </w:t>
      </w:r>
      <w:hyperlink r:id="rId996" w:history="1">
        <w:r w:rsidRPr="009C4A80">
          <w:rPr>
            <w:rStyle w:val="Hyperlink"/>
            <w:rFonts w:ascii="Times New Roman" w:hAnsi="Times New Roman"/>
            <w:sz w:val="24"/>
            <w:szCs w:val="24"/>
          </w:rPr>
          <w:t>http://www.la-fcca.org/opiniongrid/opinionpdf/2018%20CA%200905%20Decision%20Appeal.pdf</w:t>
        </w:r>
      </w:hyperlink>
      <w:r w:rsidRPr="009C4A80">
        <w:rPr>
          <w:rFonts w:ascii="Times New Roman" w:hAnsi="Times New Roman"/>
          <w:b/>
          <w:sz w:val="24"/>
          <w:szCs w:val="24"/>
        </w:rPr>
        <w:t xml:space="preserve"> </w:t>
      </w:r>
    </w:p>
    <w:bookmarkEnd w:id="210"/>
    <w:p w14:paraId="6E875164" w14:textId="77777777" w:rsidR="009C4A80" w:rsidRDefault="009C4A80" w:rsidP="00F326E5">
      <w:pPr>
        <w:pStyle w:val="NoSpacing"/>
        <w:rPr>
          <w:rFonts w:ascii="Times New Roman" w:hAnsi="Times New Roman"/>
          <w:b/>
          <w:sz w:val="24"/>
          <w:szCs w:val="24"/>
        </w:rPr>
      </w:pPr>
    </w:p>
    <w:p w14:paraId="205B4087" w14:textId="6B386BAA" w:rsidR="00F326E5" w:rsidRPr="009C4A80" w:rsidRDefault="00F326E5" w:rsidP="00F326E5">
      <w:pPr>
        <w:pStyle w:val="NoSpacing"/>
        <w:rPr>
          <w:rFonts w:ascii="Times New Roman" w:hAnsi="Times New Roman"/>
          <w:b/>
          <w:sz w:val="24"/>
          <w:szCs w:val="24"/>
        </w:rPr>
      </w:pPr>
      <w:bookmarkStart w:id="211" w:name="_Hlk40510242"/>
      <w:r w:rsidRPr="009C4A80">
        <w:rPr>
          <w:rFonts w:ascii="Times New Roman" w:hAnsi="Times New Roman"/>
          <w:b/>
          <w:sz w:val="24"/>
          <w:szCs w:val="24"/>
        </w:rPr>
        <w:t xml:space="preserve">Legal Lessons Learned: If you are in an accident responding to an emergency, and your siren was on, keep it on when calling dispatch to report the accident – the 911 Dispatch recording will help avoid litigation and liability.  </w:t>
      </w:r>
    </w:p>
    <w:bookmarkEnd w:id="211"/>
    <w:p w14:paraId="024C6EE7" w14:textId="77777777" w:rsidR="00536545" w:rsidRPr="009C4A80" w:rsidRDefault="00536545" w:rsidP="00F326E5">
      <w:pPr>
        <w:rPr>
          <w:rFonts w:ascii="Times New Roman" w:hAnsi="Times New Roman"/>
          <w:b/>
          <w:sz w:val="24"/>
          <w:szCs w:val="24"/>
        </w:rPr>
      </w:pPr>
    </w:p>
    <w:bookmarkEnd w:id="194"/>
    <w:p w14:paraId="1CD749BE" w14:textId="77777777" w:rsidR="00EF1133" w:rsidRDefault="00EF1133" w:rsidP="00F326E5">
      <w:pPr>
        <w:rPr>
          <w:rFonts w:ascii="Arial Black" w:hAnsi="Arial Black"/>
          <w:b/>
          <w:sz w:val="24"/>
          <w:szCs w:val="24"/>
        </w:rPr>
      </w:pPr>
    </w:p>
    <w:p w14:paraId="4C5758B7" w14:textId="77777777" w:rsidR="00536545" w:rsidRDefault="00536545" w:rsidP="00F326E5">
      <w:pPr>
        <w:rPr>
          <w:rFonts w:ascii="Arial Black" w:hAnsi="Arial Black"/>
          <w:b/>
          <w:sz w:val="24"/>
          <w:szCs w:val="24"/>
        </w:rPr>
      </w:pPr>
    </w:p>
    <w:p w14:paraId="059C9922" w14:textId="77777777" w:rsidR="00536545" w:rsidRDefault="00536545" w:rsidP="00F326E5">
      <w:pPr>
        <w:rPr>
          <w:rFonts w:ascii="Arial Black" w:hAnsi="Arial Black"/>
          <w:b/>
          <w:sz w:val="24"/>
          <w:szCs w:val="24"/>
        </w:rPr>
      </w:pPr>
    </w:p>
    <w:p w14:paraId="613BFFDF" w14:textId="4DF3309B" w:rsidR="00F326E5" w:rsidRDefault="00EF1133" w:rsidP="00F326E5">
      <w:pPr>
        <w:rPr>
          <w:rFonts w:ascii="Arial Black" w:hAnsi="Arial Black"/>
          <w:sz w:val="40"/>
          <w:szCs w:val="40"/>
        </w:rPr>
      </w:pPr>
      <w:r w:rsidRPr="00EF1133">
        <w:rPr>
          <w:rFonts w:ascii="Arial Black" w:hAnsi="Arial Black"/>
          <w:b/>
          <w:sz w:val="24"/>
          <w:szCs w:val="24"/>
        </w:rPr>
        <w:t>5-</w:t>
      </w:r>
      <w:r>
        <w:rPr>
          <w:rFonts w:ascii="Arial Black" w:hAnsi="Arial Black"/>
          <w:b/>
          <w:sz w:val="24"/>
          <w:szCs w:val="24"/>
        </w:rPr>
        <w:t>5</w:t>
      </w:r>
    </w:p>
    <w:p w14:paraId="55D3FF9A" w14:textId="35A3B6F2" w:rsidR="00F326E5" w:rsidRDefault="00F326E5" w:rsidP="00F326E5">
      <w:pPr>
        <w:pStyle w:val="NoSpacing"/>
        <w:rPr>
          <w:rFonts w:ascii="Arial Black" w:eastAsia="Times New Roman" w:hAnsi="Arial Black"/>
          <w:sz w:val="28"/>
          <w:szCs w:val="28"/>
        </w:rPr>
      </w:pPr>
      <w:bookmarkStart w:id="212" w:name="_Hlk7342692"/>
      <w:r>
        <w:rPr>
          <w:rFonts w:ascii="Arial Black" w:eastAsia="Times New Roman" w:hAnsi="Arial Black"/>
          <w:sz w:val="28"/>
          <w:szCs w:val="28"/>
        </w:rPr>
        <w:t>IL:  STATE IMMUNITY STATUTE PROTECTS PRIV. &amp; PUBLIC AMBULANCES – ONLY IF PATIENT ON BOARD</w:t>
      </w:r>
    </w:p>
    <w:p w14:paraId="12BBCED6" w14:textId="77777777" w:rsidR="009C4A80" w:rsidRDefault="00F326E5" w:rsidP="00F326E5">
      <w:pPr>
        <w:pStyle w:val="NoSpacing"/>
        <w:rPr>
          <w:rFonts w:ascii="Times New Roman" w:hAnsi="Times New Roman"/>
          <w:sz w:val="24"/>
          <w:szCs w:val="24"/>
        </w:rPr>
      </w:pPr>
      <w:r w:rsidRPr="009C4A80">
        <w:rPr>
          <w:rFonts w:ascii="Times New Roman" w:hAnsi="Times New Roman"/>
          <w:sz w:val="24"/>
          <w:szCs w:val="24"/>
        </w:rPr>
        <w:t xml:space="preserve">On Feb. 1, 2019, in </w:t>
      </w:r>
      <w:r w:rsidRPr="009C4A80">
        <w:rPr>
          <w:rFonts w:ascii="Times New Roman" w:hAnsi="Times New Roman"/>
          <w:sz w:val="24"/>
          <w:szCs w:val="24"/>
          <w:u w:val="single"/>
        </w:rPr>
        <w:t>Roberto Hernandez v. Lifeline Ambulance, LLC and Joshua M. Nicholas</w:t>
      </w:r>
      <w:r w:rsidRPr="009C4A80">
        <w:rPr>
          <w:rFonts w:ascii="Times New Roman" w:hAnsi="Times New Roman"/>
          <w:sz w:val="24"/>
          <w:szCs w:val="24"/>
        </w:rPr>
        <w:t>, the Appellate Court of Illinois (First District; Fifth Division) held (2 to 1):</w:t>
      </w:r>
    </w:p>
    <w:p w14:paraId="302F8D5A" w14:textId="77777777" w:rsidR="009C4A80" w:rsidRDefault="009C4A80" w:rsidP="00F326E5">
      <w:pPr>
        <w:pStyle w:val="NoSpacing"/>
        <w:rPr>
          <w:rFonts w:ascii="Times New Roman" w:hAnsi="Times New Roman"/>
          <w:sz w:val="24"/>
          <w:szCs w:val="24"/>
        </w:rPr>
      </w:pPr>
    </w:p>
    <w:p w14:paraId="41019EDF" w14:textId="2B4E75D6" w:rsidR="00F326E5" w:rsidRPr="009C4A80" w:rsidRDefault="00F326E5" w:rsidP="009C4A80">
      <w:pPr>
        <w:pStyle w:val="NoSpacing"/>
        <w:ind w:left="720"/>
        <w:rPr>
          <w:rFonts w:ascii="Times New Roman" w:eastAsia="Times New Roman" w:hAnsi="Times New Roman"/>
          <w:sz w:val="24"/>
          <w:szCs w:val="24"/>
        </w:rPr>
      </w:pPr>
      <w:r w:rsidRPr="009C4A80">
        <w:rPr>
          <w:rFonts w:ascii="Times New Roman" w:hAnsi="Times New Roman"/>
          <w:sz w:val="24"/>
          <w:szCs w:val="24"/>
        </w:rPr>
        <w:t xml:space="preserve">“As the ambulance driven by Nicholas was not transporting a patient to a health care facility at the time of the collision with the vehicle driven by the plaintiff, section 3.150(a) of the EMS Act does not provide Nicholas or Lifeline with immunity from liability for any negligent acts or omissions which proximately resulted in damages to the plaintiff. </w:t>
      </w:r>
      <w:hyperlink r:id="rId997" w:history="1">
        <w:r w:rsidRPr="009C4A80">
          <w:rPr>
            <w:rStyle w:val="Hyperlink"/>
            <w:rFonts w:ascii="Times New Roman" w:hAnsi="Times New Roman"/>
            <w:sz w:val="24"/>
            <w:szCs w:val="24"/>
          </w:rPr>
          <w:t>https://cases.justia.com/illinois/court-of-appeals-first-appellate-district/2019-1-18-0696.pdf?ts=1549320383</w:t>
        </w:r>
      </w:hyperlink>
      <w:r w:rsidRPr="009C4A80">
        <w:rPr>
          <w:rFonts w:ascii="Times New Roman" w:hAnsi="Times New Roman"/>
          <w:bCs/>
          <w:sz w:val="24"/>
          <w:szCs w:val="24"/>
        </w:rPr>
        <w:t xml:space="preserve"> </w:t>
      </w:r>
    </w:p>
    <w:p w14:paraId="5A5A83F1" w14:textId="77777777" w:rsidR="009C4A80" w:rsidRDefault="009C4A80" w:rsidP="00F326E5">
      <w:pPr>
        <w:pStyle w:val="NoSpacing"/>
        <w:rPr>
          <w:rFonts w:ascii="Times New Roman" w:hAnsi="Times New Roman"/>
          <w:b/>
          <w:sz w:val="24"/>
          <w:szCs w:val="24"/>
        </w:rPr>
      </w:pPr>
    </w:p>
    <w:p w14:paraId="7638A860" w14:textId="7C0B58CC" w:rsidR="00F326E5" w:rsidRPr="009C4A80" w:rsidRDefault="00F326E5" w:rsidP="00F326E5">
      <w:pPr>
        <w:pStyle w:val="NoSpacing"/>
        <w:rPr>
          <w:rFonts w:ascii="Times New Roman" w:hAnsi="Times New Roman"/>
          <w:b/>
          <w:sz w:val="24"/>
          <w:szCs w:val="24"/>
        </w:rPr>
      </w:pPr>
      <w:r w:rsidRPr="009C4A80">
        <w:rPr>
          <w:rFonts w:ascii="Times New Roman" w:hAnsi="Times New Roman"/>
          <w:b/>
          <w:sz w:val="24"/>
          <w:szCs w:val="24"/>
        </w:rPr>
        <w:t xml:space="preserve">Legal Lessons Learned:  The Illinois immunity statute broadly includes non-emergency </w:t>
      </w:r>
      <w:proofErr w:type="gramStart"/>
      <w:r w:rsidRPr="009C4A80">
        <w:rPr>
          <w:rFonts w:ascii="Times New Roman" w:hAnsi="Times New Roman"/>
          <w:b/>
          <w:sz w:val="24"/>
          <w:szCs w:val="24"/>
        </w:rPr>
        <w:t>transports</w:t>
      </w:r>
      <w:proofErr w:type="gramEnd"/>
      <w:r w:rsidRPr="009C4A80">
        <w:rPr>
          <w:rFonts w:ascii="Times New Roman" w:hAnsi="Times New Roman"/>
          <w:b/>
          <w:sz w:val="24"/>
          <w:szCs w:val="24"/>
        </w:rPr>
        <w:t xml:space="preserve">, but not so broad as to cover driving ambulance to pick up a patient.  Hopefully the ambulance company’s private insurance will cover both the company and its </w:t>
      </w:r>
      <w:proofErr w:type="gramStart"/>
      <w:r w:rsidRPr="009C4A80">
        <w:rPr>
          <w:rFonts w:ascii="Times New Roman" w:hAnsi="Times New Roman"/>
          <w:b/>
          <w:sz w:val="24"/>
          <w:szCs w:val="24"/>
        </w:rPr>
        <w:t>employee</w:t>
      </w:r>
      <w:proofErr w:type="gramEnd"/>
      <w:r w:rsidRPr="009C4A80">
        <w:rPr>
          <w:rFonts w:ascii="Times New Roman" w:hAnsi="Times New Roman"/>
          <w:b/>
          <w:sz w:val="24"/>
          <w:szCs w:val="24"/>
        </w:rPr>
        <w:t>.</w:t>
      </w:r>
    </w:p>
    <w:p w14:paraId="0207FDBA" w14:textId="77777777" w:rsidR="00F326E5" w:rsidRPr="009C4A80" w:rsidRDefault="00F326E5" w:rsidP="00F326E5">
      <w:pPr>
        <w:pStyle w:val="NoSpacing"/>
        <w:rPr>
          <w:rFonts w:ascii="Times New Roman" w:hAnsi="Times New Roman"/>
          <w:sz w:val="24"/>
          <w:szCs w:val="24"/>
        </w:rPr>
      </w:pPr>
      <w:bookmarkStart w:id="213" w:name="_Hlk1297730"/>
      <w:bookmarkEnd w:id="212"/>
    </w:p>
    <w:p w14:paraId="61406979" w14:textId="77777777" w:rsidR="00EF1133" w:rsidRDefault="00EF1133" w:rsidP="00EF1133">
      <w:pPr>
        <w:rPr>
          <w:rFonts w:ascii="Arial Black" w:hAnsi="Arial Black"/>
          <w:b/>
          <w:sz w:val="24"/>
          <w:szCs w:val="24"/>
        </w:rPr>
      </w:pPr>
    </w:p>
    <w:p w14:paraId="69B573DF" w14:textId="2955F262" w:rsidR="00EF1133" w:rsidRPr="00EF1133" w:rsidRDefault="00EF1133" w:rsidP="00EF1133">
      <w:pPr>
        <w:rPr>
          <w:rFonts w:ascii="Arial Black" w:hAnsi="Arial Black"/>
          <w:b/>
          <w:sz w:val="24"/>
          <w:szCs w:val="24"/>
        </w:rPr>
      </w:pPr>
      <w:r w:rsidRPr="00EF1133">
        <w:rPr>
          <w:rFonts w:ascii="Arial Black" w:hAnsi="Arial Black"/>
          <w:b/>
          <w:sz w:val="24"/>
          <w:szCs w:val="24"/>
        </w:rPr>
        <w:t>5-</w:t>
      </w:r>
      <w:r>
        <w:rPr>
          <w:rFonts w:ascii="Arial Black" w:hAnsi="Arial Black"/>
          <w:b/>
          <w:sz w:val="24"/>
          <w:szCs w:val="24"/>
        </w:rPr>
        <w:t>4</w:t>
      </w:r>
    </w:p>
    <w:p w14:paraId="03DA6A01" w14:textId="36BF1ECD" w:rsidR="00F326E5" w:rsidRPr="00EA4270" w:rsidRDefault="00F326E5" w:rsidP="00F326E5">
      <w:pPr>
        <w:pStyle w:val="NoSpacing"/>
        <w:rPr>
          <w:rFonts w:ascii="Arial Black" w:hAnsi="Arial Black"/>
          <w:sz w:val="28"/>
          <w:szCs w:val="28"/>
        </w:rPr>
      </w:pPr>
      <w:bookmarkStart w:id="214" w:name="_Hlk7342728"/>
      <w:r>
        <w:rPr>
          <w:rFonts w:ascii="Arial Black" w:hAnsi="Arial Black"/>
          <w:sz w:val="28"/>
          <w:szCs w:val="28"/>
        </w:rPr>
        <w:t xml:space="preserve">OH: </w:t>
      </w:r>
      <w:r w:rsidR="00374417">
        <w:rPr>
          <w:rFonts w:ascii="Arial Black" w:hAnsi="Arial Black"/>
          <w:sz w:val="28"/>
          <w:szCs w:val="28"/>
        </w:rPr>
        <w:t>MAN</w:t>
      </w:r>
      <w:r w:rsidRPr="00EA4270">
        <w:rPr>
          <w:rFonts w:ascii="Arial Black" w:hAnsi="Arial Black"/>
          <w:sz w:val="28"/>
          <w:szCs w:val="28"/>
        </w:rPr>
        <w:t xml:space="preserve"> KILLED BY LOOSE FIRE HOSE –</w:t>
      </w:r>
      <w:r>
        <w:rPr>
          <w:rFonts w:ascii="Arial Black" w:hAnsi="Arial Black"/>
          <w:sz w:val="28"/>
          <w:szCs w:val="28"/>
        </w:rPr>
        <w:t xml:space="preserve"> NO </w:t>
      </w:r>
      <w:r w:rsidRPr="00EA4270">
        <w:rPr>
          <w:rFonts w:ascii="Arial Black" w:hAnsi="Arial Black"/>
          <w:sz w:val="28"/>
          <w:szCs w:val="28"/>
        </w:rPr>
        <w:t>WILLFUL OR WANTON MISCONDUCT / NFPA GUIDELINES</w:t>
      </w:r>
    </w:p>
    <w:p w14:paraId="4A95E4C3" w14:textId="77777777" w:rsidR="009C4A80" w:rsidRDefault="009C4A80" w:rsidP="00F326E5">
      <w:pPr>
        <w:pStyle w:val="NoSpacing"/>
        <w:rPr>
          <w:rFonts w:ascii="Times New Roman" w:hAnsi="Times New Roman"/>
          <w:sz w:val="24"/>
          <w:szCs w:val="24"/>
        </w:rPr>
      </w:pPr>
    </w:p>
    <w:p w14:paraId="6D21564B" w14:textId="7375E58D" w:rsidR="00F326E5" w:rsidRDefault="00F326E5" w:rsidP="00F326E5">
      <w:pPr>
        <w:pStyle w:val="NoSpacing"/>
        <w:rPr>
          <w:rFonts w:ascii="Times New Roman" w:hAnsi="Times New Roman"/>
          <w:bCs/>
          <w:sz w:val="24"/>
          <w:szCs w:val="24"/>
        </w:rPr>
      </w:pPr>
      <w:r w:rsidRPr="009C4A80">
        <w:rPr>
          <w:rFonts w:ascii="Times New Roman" w:hAnsi="Times New Roman"/>
          <w:sz w:val="24"/>
          <w:szCs w:val="24"/>
        </w:rPr>
        <w:t xml:space="preserve">On </w:t>
      </w:r>
      <w:bookmarkStart w:id="215" w:name="_Hlk39827597"/>
      <w:r w:rsidRPr="009C4A80">
        <w:rPr>
          <w:rFonts w:ascii="Times New Roman" w:hAnsi="Times New Roman"/>
          <w:sz w:val="24"/>
          <w:szCs w:val="24"/>
        </w:rPr>
        <w:t xml:space="preserve">Jan. 18, </w:t>
      </w:r>
      <w:proofErr w:type="gramStart"/>
      <w:r w:rsidRPr="009C4A80">
        <w:rPr>
          <w:rFonts w:ascii="Times New Roman" w:hAnsi="Times New Roman"/>
          <w:sz w:val="24"/>
          <w:szCs w:val="24"/>
        </w:rPr>
        <w:t>2019</w:t>
      </w:r>
      <w:proofErr w:type="gramEnd"/>
      <w:r w:rsidRPr="009C4A80">
        <w:rPr>
          <w:rFonts w:ascii="Times New Roman" w:hAnsi="Times New Roman"/>
          <w:sz w:val="24"/>
          <w:szCs w:val="24"/>
        </w:rPr>
        <w:t xml:space="preserve"> in </w:t>
      </w:r>
      <w:r w:rsidRPr="009C4A80">
        <w:rPr>
          <w:rFonts w:ascii="Times New Roman" w:hAnsi="Times New Roman"/>
          <w:sz w:val="24"/>
          <w:szCs w:val="24"/>
          <w:u w:val="single"/>
        </w:rPr>
        <w:t>Linda H. Ogburn, etc., Appellant, v. City of Toledo</w:t>
      </w:r>
      <w:bookmarkEnd w:id="215"/>
      <w:r w:rsidRPr="009C4A80">
        <w:rPr>
          <w:rFonts w:ascii="Times New Roman" w:hAnsi="Times New Roman"/>
          <w:sz w:val="24"/>
          <w:szCs w:val="24"/>
        </w:rPr>
        <w:t xml:space="preserve">, Appellee., </w:t>
      </w:r>
      <w:r w:rsidRPr="009C4A80">
        <w:rPr>
          <w:rFonts w:ascii="Times New Roman" w:hAnsi="Times New Roman"/>
          <w:bCs/>
          <w:sz w:val="24"/>
          <w:szCs w:val="24"/>
        </w:rPr>
        <w:t>Court of Appeals of Ohio, Sixth District, Lucas County:</w:t>
      </w:r>
    </w:p>
    <w:p w14:paraId="0CF454D3" w14:textId="77777777" w:rsidR="009C4A80" w:rsidRPr="009C4A80" w:rsidRDefault="009C4A80" w:rsidP="00F326E5">
      <w:pPr>
        <w:pStyle w:val="NoSpacing"/>
        <w:rPr>
          <w:rFonts w:ascii="Times New Roman" w:hAnsi="Times New Roman"/>
          <w:sz w:val="24"/>
          <w:szCs w:val="24"/>
        </w:rPr>
      </w:pPr>
    </w:p>
    <w:p w14:paraId="32F86259" w14:textId="77777777" w:rsidR="00F326E5" w:rsidRPr="009C4A80" w:rsidRDefault="00F326E5" w:rsidP="00F326E5">
      <w:pPr>
        <w:pStyle w:val="NoSpacing"/>
        <w:ind w:left="720"/>
        <w:rPr>
          <w:rFonts w:ascii="Times New Roman" w:hAnsi="Times New Roman"/>
          <w:sz w:val="24"/>
          <w:szCs w:val="24"/>
        </w:rPr>
      </w:pPr>
      <w:r w:rsidRPr="009C4A80">
        <w:rPr>
          <w:rFonts w:ascii="Times New Roman" w:hAnsi="Times New Roman"/>
          <w:sz w:val="24"/>
          <w:szCs w:val="24"/>
        </w:rPr>
        <w:t xml:space="preserve">“The evidence contained in the record by way of deposition testimony reveals that the city removed the safety nets on its fire engines to facilitate firefighter safety, based upon incidents in which TFRD firefighters were tripped by the nets when they were attempting to utilize fire hoses. According to TFRD's fire maintenance officer, the nets also slowed down firefighting efforts that are time-sensitive in nature. As a result, TFRD decided to remove the safety nets and install holsters in their place. The holsters that were installed eliminated the trip hazard presented by the nets, while at the same time facilitating expedient use of the fire hoses. Since the nets were removed and the holsters installed, the city has safely completed over one million runs without a fire hose coming loose from a fire engine. To us, the fact that over one million runs have taken place without incident demonstrates that injury to others does not ordinarily follow from the removal of safety nets and installation of the </w:t>
      </w:r>
      <w:proofErr w:type="gramStart"/>
      <w:r w:rsidRPr="009C4A80">
        <w:rPr>
          <w:rFonts w:ascii="Times New Roman" w:hAnsi="Times New Roman"/>
          <w:sz w:val="24"/>
          <w:szCs w:val="24"/>
        </w:rPr>
        <w:t>holsters.”</w:t>
      </w:r>
      <w:proofErr w:type="gramEnd"/>
    </w:p>
    <w:bookmarkStart w:id="216" w:name="_Hlk39827619"/>
    <w:p w14:paraId="7DE1C7C5" w14:textId="68775843" w:rsidR="00F326E5" w:rsidRPr="009C4A80" w:rsidRDefault="00374417" w:rsidP="009C4A80">
      <w:pPr>
        <w:pStyle w:val="NoSpacing"/>
        <w:ind w:left="720"/>
        <w:rPr>
          <w:rFonts w:ascii="Times New Roman" w:hAnsi="Times New Roman"/>
          <w:sz w:val="24"/>
          <w:szCs w:val="24"/>
        </w:rPr>
      </w:pPr>
      <w:r>
        <w:fldChar w:fldCharType="begin"/>
      </w:r>
      <w:r>
        <w:instrText xml:space="preserve"> HYPERLINK "https://scholar.google.com/scholar_case?case=11320550123465325906&amp;hl=en&amp;as_sdt=6&amp;as_vis=1&amp;oi=scholarr" </w:instrText>
      </w:r>
      <w:r>
        <w:fldChar w:fldCharType="separate"/>
      </w:r>
      <w:r w:rsidR="009C4A80" w:rsidRPr="002F304C">
        <w:rPr>
          <w:rStyle w:val="Hyperlink"/>
          <w:rFonts w:ascii="Times New Roman" w:hAnsi="Times New Roman"/>
          <w:sz w:val="24"/>
          <w:szCs w:val="24"/>
        </w:rPr>
        <w:t>https://scholar.google.com/scholar_case?case=11320550123465325906&amp;hl=en&amp;as_sdt=6&amp;as_vis=1&amp;oi=scholarr</w:t>
      </w:r>
      <w:r>
        <w:rPr>
          <w:rStyle w:val="Hyperlink"/>
          <w:rFonts w:ascii="Times New Roman" w:hAnsi="Times New Roman"/>
          <w:sz w:val="24"/>
          <w:szCs w:val="24"/>
        </w:rPr>
        <w:fldChar w:fldCharType="end"/>
      </w:r>
      <w:r w:rsidR="00F326E5" w:rsidRPr="009C4A80">
        <w:rPr>
          <w:rFonts w:ascii="Times New Roman" w:hAnsi="Times New Roman"/>
          <w:sz w:val="24"/>
          <w:szCs w:val="24"/>
        </w:rPr>
        <w:t xml:space="preserve"> </w:t>
      </w:r>
    </w:p>
    <w:bookmarkEnd w:id="213"/>
    <w:bookmarkEnd w:id="216"/>
    <w:p w14:paraId="4BA6D9D4" w14:textId="77777777" w:rsidR="009C4A80" w:rsidRDefault="009C4A80" w:rsidP="00F326E5">
      <w:pPr>
        <w:pStyle w:val="NoSpacing"/>
        <w:rPr>
          <w:rFonts w:ascii="Times New Roman" w:hAnsi="Times New Roman"/>
          <w:b/>
          <w:sz w:val="24"/>
          <w:szCs w:val="24"/>
        </w:rPr>
      </w:pPr>
    </w:p>
    <w:p w14:paraId="59B9CFCB" w14:textId="1466ED35" w:rsidR="00F326E5" w:rsidRPr="009C4A80" w:rsidRDefault="00F326E5" w:rsidP="00F326E5">
      <w:pPr>
        <w:pStyle w:val="NoSpacing"/>
        <w:rPr>
          <w:rFonts w:ascii="Times New Roman" w:hAnsi="Times New Roman"/>
          <w:b/>
          <w:sz w:val="24"/>
          <w:szCs w:val="24"/>
        </w:rPr>
      </w:pPr>
      <w:r w:rsidRPr="009C4A80">
        <w:rPr>
          <w:rFonts w:ascii="Times New Roman" w:hAnsi="Times New Roman"/>
          <w:b/>
          <w:sz w:val="24"/>
          <w:szCs w:val="24"/>
        </w:rPr>
        <w:t xml:space="preserve">Legal Lessons Learned:  Secure your fire hoses; avoid similar tragedies. </w:t>
      </w:r>
    </w:p>
    <w:p w14:paraId="48658912" w14:textId="5650516E" w:rsidR="00F326E5" w:rsidRPr="009C4A80" w:rsidRDefault="00F326E5" w:rsidP="00F326E5">
      <w:pPr>
        <w:pStyle w:val="NoSpacing"/>
        <w:ind w:left="720"/>
        <w:rPr>
          <w:rFonts w:ascii="Times New Roman" w:hAnsi="Times New Roman"/>
          <w:sz w:val="24"/>
          <w:szCs w:val="24"/>
        </w:rPr>
      </w:pPr>
      <w:bookmarkStart w:id="217" w:name="_Hlk39827460"/>
      <w:bookmarkStart w:id="218" w:name="_Hlk1297666"/>
      <w:r w:rsidRPr="009C4A80">
        <w:rPr>
          <w:rFonts w:ascii="Times New Roman" w:hAnsi="Times New Roman"/>
          <w:sz w:val="24"/>
          <w:szCs w:val="24"/>
        </w:rPr>
        <w:t xml:space="preserve">See also March 7, </w:t>
      </w:r>
      <w:proofErr w:type="gramStart"/>
      <w:r w:rsidRPr="009C4A80">
        <w:rPr>
          <w:rFonts w:ascii="Times New Roman" w:hAnsi="Times New Roman"/>
          <w:sz w:val="24"/>
          <w:szCs w:val="24"/>
        </w:rPr>
        <w:t>2017</w:t>
      </w:r>
      <w:proofErr w:type="gramEnd"/>
      <w:r w:rsidRPr="009C4A80">
        <w:rPr>
          <w:rFonts w:ascii="Times New Roman" w:hAnsi="Times New Roman"/>
          <w:sz w:val="24"/>
          <w:szCs w:val="24"/>
        </w:rPr>
        <w:t xml:space="preserve"> article: “Hose Alert: A Firefighter's Commonsense Solution to a Serious Problem.” </w:t>
      </w:r>
      <w:hyperlink r:id="rId998" w:history="1">
        <w:r w:rsidRPr="009C4A80">
          <w:rPr>
            <w:rStyle w:val="Hyperlink"/>
            <w:rFonts w:ascii="Times New Roman" w:hAnsi="Times New Roman"/>
            <w:sz w:val="24"/>
            <w:szCs w:val="24"/>
          </w:rPr>
          <w:t>https://www.fireapparatusmagazine.com/articles/print/volume-22/issue-3/features/hose-alert-a-firefighter-s-commonsense-solution-to-a-serious-problem.html</w:t>
        </w:r>
      </w:hyperlink>
      <w:r w:rsidRPr="009C4A80">
        <w:rPr>
          <w:rFonts w:ascii="Times New Roman" w:hAnsi="Times New Roman"/>
          <w:sz w:val="24"/>
          <w:szCs w:val="24"/>
        </w:rPr>
        <w:t xml:space="preserve">  </w:t>
      </w:r>
    </w:p>
    <w:bookmarkEnd w:id="217"/>
    <w:p w14:paraId="4EFD87C4" w14:textId="77777777" w:rsidR="009C4A80" w:rsidRDefault="009C4A80" w:rsidP="00F326E5">
      <w:pPr>
        <w:pStyle w:val="NoSpacing"/>
        <w:ind w:left="720" w:firstLine="720"/>
        <w:rPr>
          <w:rFonts w:ascii="Times New Roman" w:hAnsi="Times New Roman"/>
          <w:sz w:val="24"/>
          <w:szCs w:val="24"/>
        </w:rPr>
      </w:pPr>
    </w:p>
    <w:p w14:paraId="7A4847B6" w14:textId="6250C0B3" w:rsidR="00F326E5" w:rsidRPr="009C4A80" w:rsidRDefault="00F326E5" w:rsidP="009C4A80">
      <w:pPr>
        <w:pStyle w:val="NoSpacing"/>
        <w:ind w:left="720"/>
        <w:rPr>
          <w:rFonts w:ascii="Times New Roman" w:hAnsi="Times New Roman"/>
          <w:sz w:val="24"/>
          <w:szCs w:val="24"/>
        </w:rPr>
      </w:pPr>
      <w:bookmarkStart w:id="219" w:name="_Hlk39827520"/>
      <w:r w:rsidRPr="009C4A80">
        <w:rPr>
          <w:rFonts w:ascii="Times New Roman" w:hAnsi="Times New Roman"/>
          <w:sz w:val="24"/>
          <w:szCs w:val="24"/>
        </w:rPr>
        <w:t xml:space="preserve">See also Jan. 29, </w:t>
      </w:r>
      <w:proofErr w:type="gramStart"/>
      <w:r w:rsidRPr="009C4A80">
        <w:rPr>
          <w:rFonts w:ascii="Times New Roman" w:hAnsi="Times New Roman"/>
          <w:sz w:val="24"/>
          <w:szCs w:val="24"/>
        </w:rPr>
        <w:t>2010</w:t>
      </w:r>
      <w:proofErr w:type="gramEnd"/>
      <w:r w:rsidRPr="009C4A80">
        <w:rPr>
          <w:rFonts w:ascii="Times New Roman" w:hAnsi="Times New Roman"/>
          <w:sz w:val="24"/>
          <w:szCs w:val="24"/>
        </w:rPr>
        <w:t xml:space="preserve"> article from MA: “Woman struck by flailing fire hose dies.” </w:t>
      </w:r>
      <w:hyperlink r:id="rId999" w:history="1">
        <w:r w:rsidRPr="009C4A80">
          <w:rPr>
            <w:rStyle w:val="Hyperlink"/>
            <w:rFonts w:ascii="Times New Roman" w:hAnsi="Times New Roman"/>
            <w:sz w:val="24"/>
            <w:szCs w:val="24"/>
          </w:rPr>
          <w:t>http://www.cnn.com/2010/US/01/29/massachusetts.fire.hose.deaths/index.html</w:t>
        </w:r>
      </w:hyperlink>
      <w:r w:rsidRPr="009C4A80">
        <w:rPr>
          <w:rFonts w:ascii="Times New Roman" w:hAnsi="Times New Roman"/>
          <w:sz w:val="24"/>
          <w:szCs w:val="24"/>
        </w:rPr>
        <w:t xml:space="preserve"> </w:t>
      </w:r>
    </w:p>
    <w:p w14:paraId="41F3F898" w14:textId="77777777" w:rsidR="00F326E5" w:rsidRPr="009C4A80" w:rsidRDefault="00F326E5" w:rsidP="00F326E5">
      <w:pPr>
        <w:pStyle w:val="NoSpacing"/>
        <w:ind w:left="720"/>
        <w:rPr>
          <w:rFonts w:ascii="Times New Roman" w:hAnsi="Times New Roman"/>
          <w:sz w:val="24"/>
          <w:szCs w:val="24"/>
        </w:rPr>
      </w:pPr>
      <w:r w:rsidRPr="009C4A80">
        <w:rPr>
          <w:rFonts w:ascii="Times New Roman" w:hAnsi="Times New Roman"/>
          <w:sz w:val="24"/>
          <w:szCs w:val="24"/>
        </w:rPr>
        <w:t xml:space="preserve">See also Sept. 15, </w:t>
      </w:r>
      <w:proofErr w:type="gramStart"/>
      <w:r w:rsidRPr="009C4A80">
        <w:rPr>
          <w:rFonts w:ascii="Times New Roman" w:hAnsi="Times New Roman"/>
          <w:sz w:val="24"/>
          <w:szCs w:val="24"/>
        </w:rPr>
        <w:t>2006</w:t>
      </w:r>
      <w:proofErr w:type="gramEnd"/>
      <w:r w:rsidRPr="009C4A80">
        <w:rPr>
          <w:rFonts w:ascii="Times New Roman" w:hAnsi="Times New Roman"/>
          <w:sz w:val="24"/>
          <w:szCs w:val="24"/>
        </w:rPr>
        <w:t xml:space="preserve"> article from PA: “Jury awards $5 million to families in fire hose accident.” </w:t>
      </w:r>
      <w:hyperlink r:id="rId1000" w:history="1">
        <w:r w:rsidRPr="009C4A80">
          <w:rPr>
            <w:rStyle w:val="Hyperlink"/>
            <w:rFonts w:ascii="Times New Roman" w:hAnsi="Times New Roman"/>
            <w:sz w:val="24"/>
            <w:szCs w:val="24"/>
          </w:rPr>
          <w:t>https://www.post-gazette.com/local/west/2006/09/15/Jury-awards-5-million-to-families-in-fire-hose-accident/stories/200609150169</w:t>
        </w:r>
      </w:hyperlink>
      <w:bookmarkEnd w:id="219"/>
      <w:r w:rsidRPr="009C4A80">
        <w:rPr>
          <w:rFonts w:ascii="Times New Roman" w:hAnsi="Times New Roman"/>
          <w:sz w:val="24"/>
          <w:szCs w:val="24"/>
        </w:rPr>
        <w:t xml:space="preserve"> </w:t>
      </w:r>
    </w:p>
    <w:bookmarkEnd w:id="218"/>
    <w:p w14:paraId="4794B337" w14:textId="77777777" w:rsidR="00F326E5" w:rsidRPr="009C4A80" w:rsidRDefault="00F326E5" w:rsidP="00F326E5">
      <w:pPr>
        <w:pStyle w:val="NoSpacing"/>
        <w:rPr>
          <w:rFonts w:ascii="Times New Roman" w:hAnsi="Times New Roman"/>
          <w:sz w:val="24"/>
          <w:szCs w:val="24"/>
        </w:rPr>
      </w:pPr>
    </w:p>
    <w:p w14:paraId="2EAC1036" w14:textId="77777777" w:rsidR="00F326E5" w:rsidRPr="009C4A80" w:rsidRDefault="00F326E5" w:rsidP="00F326E5">
      <w:pPr>
        <w:ind w:left="720"/>
        <w:rPr>
          <w:rFonts w:ascii="Times New Roman" w:eastAsia="Times New Roman" w:hAnsi="Times New Roman"/>
          <w:sz w:val="24"/>
          <w:szCs w:val="24"/>
        </w:rPr>
      </w:pPr>
      <w:bookmarkStart w:id="220" w:name="_Hlk1297617"/>
      <w:r w:rsidRPr="009C4A80">
        <w:rPr>
          <w:rFonts w:ascii="Times New Roman" w:eastAsia="Times New Roman" w:hAnsi="Times New Roman"/>
          <w:sz w:val="24"/>
          <w:szCs w:val="24"/>
        </w:rPr>
        <w:t xml:space="preserve">Note: Ohio public employees are protected by indemnification statute they acted in “good faith.” Ohio Revised Code 2744.07: “The political subdivision has the duty to defend the employee if the act or omission occurred while the employee was acting both in good faith and not manifestly outside the scope of employment or official responsibilities. *** Except as otherwise provided in this division, a political subdivision shall indemnify and hold harmless an employee in the amount of any judgment, other than a judgment for punitive or exemplary damages, that is obtained against the employee in a state or federal court or as a result of a law of a foreign jurisdiction and that is for damages for injury, death, or loss to person or property caused by an act or omission in connection with a governmental or proprietary function, if at the time of the act or omission the employee was acting in good faith and within the scope of employment or official responsibilities.”  </w:t>
      </w:r>
      <w:hyperlink r:id="rId1001" w:history="1">
        <w:r w:rsidRPr="009C4A80">
          <w:rPr>
            <w:rStyle w:val="Hyperlink"/>
            <w:rFonts w:ascii="Times New Roman" w:hAnsi="Times New Roman"/>
            <w:sz w:val="24"/>
            <w:szCs w:val="24"/>
          </w:rPr>
          <w:t>http://codes.ohio.gov/orc/2744.07</w:t>
        </w:r>
      </w:hyperlink>
      <w:r w:rsidRPr="009C4A80">
        <w:rPr>
          <w:rFonts w:ascii="Times New Roman" w:eastAsia="Times New Roman" w:hAnsi="Times New Roman"/>
          <w:sz w:val="24"/>
          <w:szCs w:val="24"/>
        </w:rPr>
        <w:t xml:space="preserve"> </w:t>
      </w:r>
    </w:p>
    <w:p w14:paraId="19F6A92F" w14:textId="77777777" w:rsidR="00F326E5" w:rsidRPr="009C4A80" w:rsidRDefault="00F326E5" w:rsidP="00F326E5">
      <w:pPr>
        <w:ind w:left="720"/>
        <w:rPr>
          <w:rFonts w:ascii="Times New Roman" w:eastAsia="Times New Roman" w:hAnsi="Times New Roman"/>
          <w:sz w:val="24"/>
          <w:szCs w:val="24"/>
        </w:rPr>
      </w:pPr>
      <w:r w:rsidRPr="009C4A80">
        <w:rPr>
          <w:rFonts w:ascii="Times New Roman" w:eastAsia="Times New Roman" w:hAnsi="Times New Roman"/>
          <w:sz w:val="24"/>
          <w:szCs w:val="24"/>
        </w:rPr>
        <w:t xml:space="preserve">Likewise, “reckless” driving by fire or EMS can lead to personal liability if case is not settled by the political subdivision. In Anderson v. Massillon, involving aerial truck killing elderly driver and his grandson, the Ohio Supreme Court in 2012 held that the aerial driver and the </w:t>
      </w:r>
      <w:proofErr w:type="gramStart"/>
      <w:r w:rsidRPr="009C4A80">
        <w:rPr>
          <w:rFonts w:ascii="Times New Roman" w:eastAsia="Times New Roman" w:hAnsi="Times New Roman"/>
          <w:sz w:val="24"/>
          <w:szCs w:val="24"/>
        </w:rPr>
        <w:t>Captain</w:t>
      </w:r>
      <w:proofErr w:type="gramEnd"/>
      <w:r w:rsidRPr="009C4A80">
        <w:rPr>
          <w:rFonts w:ascii="Times New Roman" w:eastAsia="Times New Roman" w:hAnsi="Times New Roman"/>
          <w:sz w:val="24"/>
          <w:szCs w:val="24"/>
        </w:rPr>
        <w:t xml:space="preserve"> were not entitled to immunity, but the </w:t>
      </w:r>
      <w:proofErr w:type="gramStart"/>
      <w:r w:rsidRPr="009C4A80">
        <w:rPr>
          <w:rFonts w:ascii="Times New Roman" w:eastAsia="Times New Roman" w:hAnsi="Times New Roman"/>
          <w:sz w:val="24"/>
          <w:szCs w:val="24"/>
        </w:rPr>
        <w:t>City</w:t>
      </w:r>
      <w:proofErr w:type="gramEnd"/>
      <w:r w:rsidRPr="009C4A80">
        <w:rPr>
          <w:rFonts w:ascii="Times New Roman" w:eastAsia="Times New Roman" w:hAnsi="Times New Roman"/>
          <w:sz w:val="24"/>
          <w:szCs w:val="24"/>
        </w:rPr>
        <w:t xml:space="preserve"> was immune. See video from scene: </w:t>
      </w:r>
      <w:hyperlink r:id="rId1002" w:history="1">
        <w:r w:rsidRPr="009C4A80">
          <w:rPr>
            <w:rStyle w:val="Hyperlink"/>
            <w:rFonts w:ascii="Times New Roman" w:hAnsi="Times New Roman"/>
            <w:sz w:val="24"/>
            <w:szCs w:val="24"/>
          </w:rPr>
          <w:t>https://www.youtube.com/watch?v=ga_vHeGYQ34</w:t>
        </w:r>
      </w:hyperlink>
      <w:r w:rsidRPr="009C4A80">
        <w:rPr>
          <w:rFonts w:ascii="Times New Roman" w:eastAsia="Times New Roman" w:hAnsi="Times New Roman"/>
          <w:sz w:val="24"/>
          <w:szCs w:val="24"/>
        </w:rPr>
        <w:t xml:space="preserve"> </w:t>
      </w:r>
    </w:p>
    <w:p w14:paraId="26C52114" w14:textId="77777777" w:rsidR="00F326E5" w:rsidRPr="009C4A80" w:rsidRDefault="00F326E5" w:rsidP="00F326E5">
      <w:pPr>
        <w:ind w:left="720"/>
        <w:rPr>
          <w:rFonts w:ascii="Times New Roman" w:eastAsia="Times New Roman" w:hAnsi="Times New Roman"/>
          <w:sz w:val="24"/>
          <w:szCs w:val="24"/>
        </w:rPr>
      </w:pPr>
      <w:r w:rsidRPr="009C4A80">
        <w:rPr>
          <w:rFonts w:ascii="Times New Roman" w:eastAsia="Times New Roman" w:hAnsi="Times New Roman"/>
          <w:sz w:val="24"/>
          <w:szCs w:val="24"/>
        </w:rPr>
        <w:t xml:space="preserve">The Supreme Court held: “R.C. 2744.02(B)(1)(b) provides a political subdivision with a full defense to liability for injuries caused by the operation of a fire department vehicle while engaged in duty at a fire, proceeding toward a place where a fire is in progress or is believed to be in progress, or answering any other emergency alarm if its operation does not constitute willful or wanton misconduct. R.C. 2744.03(A)(6)(b) provides immunity to employees of a political subdivision for acts that are not committed in a wanton or reckless manner.” </w:t>
      </w:r>
      <w:hyperlink r:id="rId1003" w:history="1">
        <w:r w:rsidRPr="009C4A80">
          <w:rPr>
            <w:rStyle w:val="Hyperlink"/>
            <w:rFonts w:ascii="Times New Roman" w:hAnsi="Times New Roman"/>
            <w:sz w:val="24"/>
            <w:szCs w:val="24"/>
          </w:rPr>
          <w:t>http://www.legallyspeakingohio.com/wordpress/wp-content/uploads/2013/03/anderson-v-massilon.pdf</w:t>
        </w:r>
      </w:hyperlink>
      <w:r w:rsidRPr="009C4A80">
        <w:rPr>
          <w:rFonts w:ascii="Times New Roman" w:eastAsia="Times New Roman" w:hAnsi="Times New Roman"/>
          <w:sz w:val="24"/>
          <w:szCs w:val="24"/>
        </w:rPr>
        <w:t xml:space="preserve"> </w:t>
      </w:r>
    </w:p>
    <w:p w14:paraId="7392CE29" w14:textId="77777777" w:rsidR="00F326E5" w:rsidRPr="009C4A80" w:rsidRDefault="00F326E5" w:rsidP="00F326E5">
      <w:pPr>
        <w:ind w:left="720"/>
        <w:rPr>
          <w:rFonts w:ascii="Times New Roman" w:eastAsia="Times New Roman" w:hAnsi="Times New Roman"/>
          <w:sz w:val="24"/>
          <w:szCs w:val="24"/>
        </w:rPr>
      </w:pPr>
      <w:r w:rsidRPr="009C4A80">
        <w:rPr>
          <w:rFonts w:ascii="Times New Roman" w:eastAsia="Times New Roman" w:hAnsi="Times New Roman"/>
          <w:sz w:val="24"/>
          <w:szCs w:val="24"/>
        </w:rPr>
        <w:t xml:space="preserve">Case was settled by the </w:t>
      </w:r>
      <w:proofErr w:type="gramStart"/>
      <w:r w:rsidRPr="009C4A80">
        <w:rPr>
          <w:rFonts w:ascii="Times New Roman" w:eastAsia="Times New Roman" w:hAnsi="Times New Roman"/>
          <w:sz w:val="24"/>
          <w:szCs w:val="24"/>
        </w:rPr>
        <w:t>City</w:t>
      </w:r>
      <w:proofErr w:type="gramEnd"/>
      <w:r w:rsidRPr="009C4A80">
        <w:rPr>
          <w:rFonts w:ascii="Times New Roman" w:eastAsia="Times New Roman" w:hAnsi="Times New Roman"/>
          <w:sz w:val="24"/>
          <w:szCs w:val="24"/>
        </w:rPr>
        <w:t xml:space="preserve"> in 2008 for $362,000: </w:t>
      </w:r>
      <w:hyperlink r:id="rId1004" w:history="1">
        <w:r w:rsidRPr="009C4A80">
          <w:rPr>
            <w:rStyle w:val="Hyperlink"/>
            <w:rFonts w:ascii="Times New Roman" w:hAnsi="Times New Roman"/>
            <w:sz w:val="24"/>
            <w:szCs w:val="24"/>
          </w:rPr>
          <w:t>http://www.cantonrep.com/news/20160713/massillon-family-awarded-362k-in-2008-firetruck-crash-settlement</w:t>
        </w:r>
      </w:hyperlink>
    </w:p>
    <w:bookmarkEnd w:id="214"/>
    <w:bookmarkEnd w:id="220"/>
    <w:p w14:paraId="6665C7F8" w14:textId="77777777" w:rsidR="00EF1133" w:rsidRPr="009C4A80" w:rsidRDefault="00EF1133" w:rsidP="00EF1133">
      <w:pPr>
        <w:rPr>
          <w:rFonts w:ascii="Times New Roman" w:hAnsi="Times New Roman"/>
          <w:b/>
          <w:sz w:val="24"/>
          <w:szCs w:val="24"/>
        </w:rPr>
      </w:pPr>
    </w:p>
    <w:p w14:paraId="61FBE930" w14:textId="104FF48F" w:rsidR="00F326E5" w:rsidRPr="009F2867" w:rsidRDefault="00EF1133" w:rsidP="00EF1133">
      <w:pPr>
        <w:rPr>
          <w:bCs/>
        </w:rPr>
      </w:pPr>
      <w:r w:rsidRPr="00EF1133">
        <w:rPr>
          <w:rFonts w:ascii="Arial Black" w:hAnsi="Arial Black"/>
          <w:b/>
          <w:sz w:val="24"/>
          <w:szCs w:val="24"/>
        </w:rPr>
        <w:t>5-</w:t>
      </w:r>
      <w:r>
        <w:rPr>
          <w:rFonts w:ascii="Arial Black" w:hAnsi="Arial Black"/>
          <w:b/>
          <w:sz w:val="24"/>
          <w:szCs w:val="24"/>
        </w:rPr>
        <w:t>3</w:t>
      </w:r>
    </w:p>
    <w:p w14:paraId="182DBEAA" w14:textId="0AE6B069" w:rsidR="00F326E5" w:rsidRDefault="00F326E5" w:rsidP="00F326E5">
      <w:pPr>
        <w:pStyle w:val="NoSpacing"/>
        <w:rPr>
          <w:rFonts w:ascii="Arial Black" w:hAnsi="Arial Black"/>
          <w:b/>
          <w:sz w:val="28"/>
          <w:szCs w:val="28"/>
        </w:rPr>
      </w:pPr>
      <w:bookmarkStart w:id="221" w:name="_Hlk7342765"/>
      <w:r w:rsidRPr="006A0855">
        <w:rPr>
          <w:rFonts w:ascii="Arial Black" w:hAnsi="Arial Black"/>
          <w:b/>
          <w:sz w:val="28"/>
          <w:szCs w:val="28"/>
        </w:rPr>
        <w:t>CA: DRUNK DRIVER RAN INTO FIRE ENGINE – MUST PAY FULL RESTITUTION, EVEN IF FD INSUR</w:t>
      </w:r>
      <w:r>
        <w:rPr>
          <w:rFonts w:ascii="Arial Black" w:hAnsi="Arial Black"/>
          <w:b/>
          <w:sz w:val="28"/>
          <w:szCs w:val="28"/>
        </w:rPr>
        <w:t xml:space="preserve">ED </w:t>
      </w:r>
    </w:p>
    <w:p w14:paraId="2DF84CA3" w14:textId="03776433" w:rsidR="00F326E5" w:rsidRPr="00F86024" w:rsidRDefault="00F326E5" w:rsidP="00F326E5">
      <w:pPr>
        <w:pStyle w:val="NoSpacing"/>
        <w:rPr>
          <w:b/>
          <w:sz w:val="24"/>
          <w:szCs w:val="24"/>
        </w:rPr>
      </w:pPr>
    </w:p>
    <w:p w14:paraId="39D7850A" w14:textId="77777777" w:rsidR="009C4A80" w:rsidRDefault="00F326E5" w:rsidP="00F326E5">
      <w:pPr>
        <w:pStyle w:val="NoSpacing"/>
        <w:rPr>
          <w:rFonts w:ascii="Times New Roman" w:hAnsi="Times New Roman"/>
          <w:sz w:val="24"/>
          <w:szCs w:val="24"/>
        </w:rPr>
      </w:pPr>
      <w:r w:rsidRPr="009C4A80">
        <w:rPr>
          <w:rFonts w:ascii="Times New Roman" w:hAnsi="Times New Roman"/>
          <w:sz w:val="24"/>
          <w:szCs w:val="24"/>
        </w:rPr>
        <w:t xml:space="preserve">On Jan. 15, 2019, in </w:t>
      </w:r>
      <w:r w:rsidRPr="009C4A80">
        <w:rPr>
          <w:rFonts w:ascii="Times New Roman" w:hAnsi="Times New Roman"/>
          <w:bCs/>
          <w:sz w:val="24"/>
          <w:szCs w:val="24"/>
          <w:u w:val="single"/>
        </w:rPr>
        <w:t>The People v. Christian A. Zuniga,</w:t>
      </w:r>
      <w:r w:rsidRPr="009C4A80">
        <w:rPr>
          <w:rFonts w:ascii="Times New Roman" w:hAnsi="Times New Roman"/>
          <w:bCs/>
          <w:sz w:val="24"/>
          <w:szCs w:val="24"/>
        </w:rPr>
        <w:t xml:space="preserve"> the Court of Appeal of California, First Appellate District, held 3 to 0 [unpublished opinion], </w:t>
      </w:r>
      <w:r w:rsidRPr="009C4A80">
        <w:rPr>
          <w:rFonts w:ascii="Times New Roman" w:hAnsi="Times New Roman"/>
          <w:sz w:val="24"/>
          <w:szCs w:val="24"/>
        </w:rPr>
        <w:t> </w:t>
      </w:r>
    </w:p>
    <w:p w14:paraId="51FC80C0" w14:textId="77777777" w:rsidR="009C4A80" w:rsidRDefault="009C4A80" w:rsidP="00F326E5">
      <w:pPr>
        <w:pStyle w:val="NoSpacing"/>
        <w:rPr>
          <w:rFonts w:ascii="Times New Roman" w:hAnsi="Times New Roman"/>
          <w:sz w:val="24"/>
          <w:szCs w:val="24"/>
        </w:rPr>
      </w:pPr>
    </w:p>
    <w:p w14:paraId="29A0CAA1" w14:textId="1C17A408" w:rsidR="00F326E5" w:rsidRPr="009C4A80" w:rsidRDefault="00F326E5" w:rsidP="009C4A80">
      <w:pPr>
        <w:pStyle w:val="NoSpacing"/>
        <w:ind w:left="720"/>
        <w:rPr>
          <w:rFonts w:ascii="Times New Roman" w:hAnsi="Times New Roman"/>
          <w:sz w:val="24"/>
          <w:szCs w:val="24"/>
        </w:rPr>
      </w:pPr>
      <w:r w:rsidRPr="009C4A80">
        <w:rPr>
          <w:rFonts w:ascii="Times New Roman" w:hAnsi="Times New Roman"/>
          <w:sz w:val="24"/>
          <w:szCs w:val="24"/>
        </w:rPr>
        <w:t xml:space="preserve">“We have carefully reviewed the entire record in accordance with our </w:t>
      </w:r>
      <w:r w:rsidRPr="009C4A80">
        <w:rPr>
          <w:rFonts w:ascii="Times New Roman" w:hAnsi="Times New Roman"/>
          <w:i/>
          <w:iCs/>
          <w:sz w:val="24"/>
          <w:szCs w:val="24"/>
        </w:rPr>
        <w:t>Wende</w:t>
      </w:r>
      <w:r w:rsidRPr="009C4A80">
        <w:rPr>
          <w:rFonts w:ascii="Times New Roman" w:hAnsi="Times New Roman"/>
          <w:sz w:val="24"/>
          <w:szCs w:val="24"/>
        </w:rPr>
        <w:t xml:space="preserve"> obligations, and we conclude there are no arguable issues on appeal that require further briefing. (See </w:t>
      </w:r>
      <w:r w:rsidRPr="009C4A80">
        <w:rPr>
          <w:rFonts w:ascii="Times New Roman" w:hAnsi="Times New Roman"/>
          <w:i/>
          <w:iCs/>
          <w:sz w:val="24"/>
          <w:szCs w:val="24"/>
        </w:rPr>
        <w:t>People v</w:t>
      </w:r>
      <w:r w:rsidRPr="009C4A80">
        <w:rPr>
          <w:rFonts w:ascii="Times New Roman" w:hAnsi="Times New Roman"/>
          <w:sz w:val="24"/>
          <w:szCs w:val="24"/>
        </w:rPr>
        <w:t xml:space="preserve">. </w:t>
      </w:r>
      <w:r w:rsidRPr="009C4A80">
        <w:rPr>
          <w:rFonts w:ascii="Times New Roman" w:hAnsi="Times New Roman"/>
          <w:i/>
          <w:iCs/>
          <w:sz w:val="24"/>
          <w:szCs w:val="24"/>
        </w:rPr>
        <w:t xml:space="preserve">Birkett </w:t>
      </w:r>
      <w:hyperlink r:id="rId1005" w:history="1">
        <w:r w:rsidRPr="009C4A80">
          <w:rPr>
            <w:rStyle w:val="Hyperlink"/>
            <w:rFonts w:ascii="Times New Roman" w:hAnsi="Times New Roman"/>
            <w:sz w:val="24"/>
            <w:szCs w:val="24"/>
          </w:rPr>
          <w:t>(1999) 21 Cal.4th 226</w:t>
        </w:r>
      </w:hyperlink>
      <w:r w:rsidRPr="009C4A80">
        <w:rPr>
          <w:rFonts w:ascii="Times New Roman" w:hAnsi="Times New Roman"/>
          <w:sz w:val="24"/>
          <w:szCs w:val="24"/>
        </w:rPr>
        <w:t xml:space="preserve">, 245-247 [victim entitled to restitution in the ‘full amount of the loss caused by the crime, regardless of whether, in the exercise of prudence, the victim had purchased private insurance that covered some or all of the same losses’].)” </w:t>
      </w:r>
      <w:hyperlink r:id="rId1006" w:history="1">
        <w:r w:rsidRPr="009C4A80">
          <w:rPr>
            <w:rStyle w:val="Hyperlink"/>
            <w:rFonts w:ascii="Times New Roman" w:hAnsi="Times New Roman"/>
            <w:sz w:val="24"/>
            <w:szCs w:val="24"/>
          </w:rPr>
          <w:t>http://www.courts.ca.gov/opinions/nonpub/A154587.PDF</w:t>
        </w:r>
      </w:hyperlink>
      <w:r w:rsidRPr="009C4A80">
        <w:rPr>
          <w:rFonts w:ascii="Times New Roman" w:hAnsi="Times New Roman"/>
          <w:sz w:val="24"/>
          <w:szCs w:val="24"/>
        </w:rPr>
        <w:t xml:space="preserve"> </w:t>
      </w:r>
    </w:p>
    <w:p w14:paraId="71EA2686" w14:textId="77777777" w:rsidR="009C4A80" w:rsidRDefault="009C4A80" w:rsidP="00F326E5">
      <w:pPr>
        <w:pStyle w:val="NoSpacing"/>
        <w:rPr>
          <w:rFonts w:ascii="Times New Roman" w:hAnsi="Times New Roman"/>
          <w:b/>
          <w:sz w:val="24"/>
          <w:szCs w:val="24"/>
        </w:rPr>
      </w:pPr>
    </w:p>
    <w:p w14:paraId="188A4BEC" w14:textId="5EE42847" w:rsidR="00F326E5" w:rsidRPr="009C4A80" w:rsidRDefault="00F326E5" w:rsidP="00F326E5">
      <w:pPr>
        <w:pStyle w:val="NoSpacing"/>
        <w:rPr>
          <w:rFonts w:ascii="Times New Roman" w:hAnsi="Times New Roman"/>
          <w:b/>
          <w:sz w:val="24"/>
          <w:szCs w:val="24"/>
        </w:rPr>
      </w:pPr>
      <w:r w:rsidRPr="009C4A80">
        <w:rPr>
          <w:rFonts w:ascii="Times New Roman" w:hAnsi="Times New Roman"/>
          <w:b/>
          <w:sz w:val="24"/>
          <w:szCs w:val="24"/>
        </w:rPr>
        <w:t>Legal Lessons Learned: Great lesson for this drunk driver.  The Insurance company may be entitled to a refund, if this defendant ultimately pays full amount.</w:t>
      </w:r>
    </w:p>
    <w:bookmarkEnd w:id="221"/>
    <w:p w14:paraId="711078C5" w14:textId="77777777" w:rsidR="00F326E5" w:rsidRDefault="00F326E5" w:rsidP="00F326E5">
      <w:pPr>
        <w:rPr>
          <w:rFonts w:eastAsia="Times New Roman"/>
          <w:sz w:val="24"/>
          <w:szCs w:val="24"/>
        </w:rPr>
      </w:pPr>
    </w:p>
    <w:p w14:paraId="1FF60CD6" w14:textId="2816875C" w:rsidR="00F326E5" w:rsidRDefault="00EF1133" w:rsidP="00F326E5">
      <w:pPr>
        <w:rPr>
          <w:sz w:val="24"/>
          <w:szCs w:val="24"/>
        </w:rPr>
      </w:pPr>
      <w:r w:rsidRPr="00EF1133">
        <w:rPr>
          <w:rFonts w:ascii="Arial Black" w:hAnsi="Arial Black"/>
          <w:b/>
          <w:sz w:val="24"/>
          <w:szCs w:val="24"/>
        </w:rPr>
        <w:t>5-</w:t>
      </w:r>
      <w:r>
        <w:rPr>
          <w:rFonts w:ascii="Arial Black" w:hAnsi="Arial Black"/>
          <w:b/>
          <w:sz w:val="24"/>
          <w:szCs w:val="24"/>
        </w:rPr>
        <w:t>2</w:t>
      </w:r>
    </w:p>
    <w:p w14:paraId="3D573D8B" w14:textId="4F0A5F78" w:rsidR="00F326E5" w:rsidRDefault="00F326E5" w:rsidP="00F326E5">
      <w:pPr>
        <w:rPr>
          <w:rFonts w:ascii="Arial Black" w:eastAsia="Times New Roman" w:hAnsi="Arial Black"/>
          <w:sz w:val="28"/>
          <w:szCs w:val="28"/>
        </w:rPr>
      </w:pPr>
      <w:bookmarkStart w:id="222" w:name="_Hlk7342818"/>
      <w:r>
        <w:rPr>
          <w:rFonts w:ascii="Arial Black" w:eastAsia="Times New Roman" w:hAnsi="Arial Black"/>
          <w:sz w:val="28"/>
          <w:szCs w:val="28"/>
        </w:rPr>
        <w:t>OH: EMER. VEH. OPERATOR ENTITLED TO IMMUNITY – BACKED OVER WALKER – NOT “RECKLESS”</w:t>
      </w:r>
    </w:p>
    <w:p w14:paraId="7285E0B9" w14:textId="77777777" w:rsidR="009C4A80" w:rsidRDefault="00F326E5" w:rsidP="00F326E5">
      <w:pPr>
        <w:pStyle w:val="NoSpacing"/>
        <w:rPr>
          <w:rFonts w:ascii="Times New Roman" w:hAnsi="Times New Roman"/>
          <w:sz w:val="24"/>
          <w:szCs w:val="24"/>
        </w:rPr>
      </w:pPr>
      <w:r w:rsidRPr="009C4A80">
        <w:rPr>
          <w:rFonts w:ascii="Times New Roman" w:eastAsia="Times New Roman" w:hAnsi="Times New Roman"/>
          <w:bCs/>
          <w:sz w:val="24"/>
          <w:szCs w:val="24"/>
        </w:rPr>
        <w:t xml:space="preserve">On </w:t>
      </w:r>
      <w:bookmarkStart w:id="223" w:name="_Hlk39829822"/>
      <w:r w:rsidRPr="009C4A80">
        <w:rPr>
          <w:rFonts w:ascii="Times New Roman" w:eastAsia="Times New Roman" w:hAnsi="Times New Roman"/>
          <w:bCs/>
          <w:sz w:val="24"/>
          <w:szCs w:val="24"/>
        </w:rPr>
        <w:t xml:space="preserve">Oct. 9, 2018, in </w:t>
      </w:r>
      <w:r w:rsidRPr="009C4A80">
        <w:rPr>
          <w:rFonts w:ascii="Times New Roman" w:eastAsia="Times New Roman" w:hAnsi="Times New Roman"/>
          <w:bCs/>
          <w:sz w:val="24"/>
          <w:szCs w:val="24"/>
          <w:u w:val="single"/>
        </w:rPr>
        <w:t>Riehm v. Green Springs Rural Volunteer Fire Dept</w:t>
      </w:r>
      <w:r w:rsidRPr="009C4A80">
        <w:rPr>
          <w:rFonts w:ascii="Times New Roman" w:eastAsia="Times New Roman" w:hAnsi="Times New Roman"/>
          <w:bCs/>
          <w:sz w:val="24"/>
          <w:szCs w:val="24"/>
        </w:rPr>
        <w:t>., 2018-Ohio-4075</w:t>
      </w:r>
      <w:bookmarkEnd w:id="223"/>
      <w:r w:rsidRPr="009C4A80">
        <w:rPr>
          <w:rFonts w:ascii="Times New Roman" w:eastAsia="Times New Roman" w:hAnsi="Times New Roman"/>
          <w:bCs/>
          <w:sz w:val="24"/>
          <w:szCs w:val="24"/>
        </w:rPr>
        <w:t>, the</w:t>
      </w:r>
      <w:r w:rsidRPr="009C4A80">
        <w:rPr>
          <w:rFonts w:ascii="Times New Roman" w:eastAsia="Times New Roman" w:hAnsi="Times New Roman"/>
          <w:b/>
          <w:sz w:val="24"/>
          <w:szCs w:val="24"/>
        </w:rPr>
        <w:t xml:space="preserve"> </w:t>
      </w:r>
      <w:r w:rsidRPr="009C4A80">
        <w:rPr>
          <w:rFonts w:ascii="Times New Roman" w:eastAsia="Times New Roman" w:hAnsi="Times New Roman"/>
          <w:sz w:val="24"/>
          <w:szCs w:val="24"/>
        </w:rPr>
        <w:t xml:space="preserve">Ohio Court of Appeals for Third District (Seneca County), held (2 to 1) that the trial court improperly denied the fire department, and firefighter </w:t>
      </w:r>
      <w:r w:rsidRPr="009C4A80">
        <w:rPr>
          <w:rFonts w:ascii="Times New Roman" w:hAnsi="Times New Roman"/>
          <w:sz w:val="24"/>
          <w:szCs w:val="24"/>
        </w:rPr>
        <w:t xml:space="preserve">Seth T. Knieriemen’s motions for summary judgment.  </w:t>
      </w:r>
    </w:p>
    <w:p w14:paraId="63E95956" w14:textId="77777777" w:rsidR="009C4A80" w:rsidRDefault="009C4A80" w:rsidP="00F326E5">
      <w:pPr>
        <w:pStyle w:val="NoSpacing"/>
        <w:rPr>
          <w:rFonts w:ascii="Times New Roman" w:hAnsi="Times New Roman"/>
          <w:sz w:val="24"/>
          <w:szCs w:val="24"/>
        </w:rPr>
      </w:pPr>
    </w:p>
    <w:p w14:paraId="56E0C221" w14:textId="150B0C73" w:rsidR="00F326E5" w:rsidRPr="009C4A80" w:rsidRDefault="00F326E5" w:rsidP="009C4A80">
      <w:pPr>
        <w:pStyle w:val="NoSpacing"/>
        <w:ind w:left="720"/>
        <w:rPr>
          <w:rStyle w:val="Hyperlink"/>
          <w:rFonts w:ascii="Times New Roman" w:hAnsi="Times New Roman"/>
          <w:b/>
          <w:sz w:val="24"/>
          <w:szCs w:val="24"/>
        </w:rPr>
      </w:pPr>
      <w:r w:rsidRPr="009C4A80">
        <w:rPr>
          <w:rFonts w:ascii="Times New Roman" w:hAnsi="Times New Roman"/>
          <w:sz w:val="24"/>
          <w:szCs w:val="24"/>
        </w:rPr>
        <w:t>“</w:t>
      </w:r>
      <w:r w:rsidRPr="009C4A80">
        <w:rPr>
          <w:rFonts w:ascii="Times New Roman" w:eastAsia="Times New Roman" w:hAnsi="Times New Roman"/>
          <w:sz w:val="24"/>
          <w:szCs w:val="24"/>
        </w:rPr>
        <w:t xml:space="preserve">As to Knieriemen individually, he could still be liable if his conduct constituted recklessness. Recklessness implies conduct that is substantially greater than negligence. Knieriemen’s failure to follow standard operating guidelines does not establish a genuine issue of material fact as to whether there was more than negligence here, particularly where he did not see, and perhaps could not have seen, Lorri. Knieriemen’s conduct could certainly be considered negligent, but not substantially greater than negligent. Therefore, we find that the trial court also erred on this issue.” </w:t>
      </w:r>
      <w:bookmarkStart w:id="224" w:name="_Hlk39829850"/>
      <w:r w:rsidR="00374417">
        <w:fldChar w:fldCharType="begin"/>
      </w:r>
      <w:r w:rsidR="00374417">
        <w:instrText xml:space="preserve"> HYPERLINK "https://www.courtlistener.com/pdf/2018/10/09/riehm_v._green_springs_rural_volunteer_fire_dept..pdf" </w:instrText>
      </w:r>
      <w:r w:rsidR="00374417">
        <w:fldChar w:fldCharType="separate"/>
      </w:r>
      <w:r w:rsidRPr="009C4A80">
        <w:rPr>
          <w:rStyle w:val="Hyperlink"/>
          <w:rFonts w:ascii="Times New Roman" w:hAnsi="Times New Roman"/>
          <w:sz w:val="24"/>
          <w:szCs w:val="24"/>
        </w:rPr>
        <w:t>https://www.courtlistener.com/pdf/2018/10/09/riehm_v._green_springs_rural_volunteer_fire_dept..pdf</w:t>
      </w:r>
      <w:r w:rsidR="00374417">
        <w:rPr>
          <w:rStyle w:val="Hyperlink"/>
          <w:rFonts w:ascii="Times New Roman" w:hAnsi="Times New Roman"/>
          <w:sz w:val="24"/>
          <w:szCs w:val="24"/>
        </w:rPr>
        <w:fldChar w:fldCharType="end"/>
      </w:r>
      <w:bookmarkEnd w:id="224"/>
    </w:p>
    <w:p w14:paraId="6AC4635A" w14:textId="77777777" w:rsidR="009C4A80" w:rsidRDefault="009C4A80" w:rsidP="00F326E5">
      <w:pPr>
        <w:rPr>
          <w:rFonts w:ascii="Times New Roman" w:hAnsi="Times New Roman"/>
          <w:b/>
          <w:sz w:val="24"/>
          <w:szCs w:val="24"/>
        </w:rPr>
      </w:pPr>
    </w:p>
    <w:p w14:paraId="07845484" w14:textId="0A1535FA" w:rsidR="00F326E5" w:rsidRPr="009C4A80" w:rsidRDefault="00F326E5" w:rsidP="00F326E5">
      <w:pPr>
        <w:rPr>
          <w:rFonts w:ascii="Times New Roman" w:hAnsi="Times New Roman"/>
          <w:b/>
          <w:sz w:val="24"/>
          <w:szCs w:val="24"/>
        </w:rPr>
      </w:pPr>
      <w:r w:rsidRPr="009C4A80">
        <w:rPr>
          <w:rFonts w:ascii="Times New Roman" w:hAnsi="Times New Roman"/>
          <w:b/>
          <w:sz w:val="24"/>
          <w:szCs w:val="24"/>
        </w:rPr>
        <w:t xml:space="preserve">Legal Lessons Learned:  Tragic accidents can be avoided if SOGs are followed, including using a backer.  </w:t>
      </w:r>
    </w:p>
    <w:bookmarkEnd w:id="222"/>
    <w:p w14:paraId="7AAB0E56" w14:textId="77777777" w:rsidR="00F326E5" w:rsidRDefault="00F326E5" w:rsidP="00F326E5">
      <w:pPr>
        <w:rPr>
          <w:b/>
          <w:sz w:val="24"/>
          <w:szCs w:val="24"/>
        </w:rPr>
      </w:pPr>
    </w:p>
    <w:p w14:paraId="0F51F6E6" w14:textId="45CE9A32" w:rsidR="00F326E5" w:rsidRPr="00EF1133" w:rsidRDefault="00EF1133" w:rsidP="00F326E5">
      <w:pPr>
        <w:rPr>
          <w:rFonts w:ascii="Arial Black" w:hAnsi="Arial Black"/>
          <w:b/>
          <w:sz w:val="24"/>
          <w:szCs w:val="24"/>
        </w:rPr>
      </w:pPr>
      <w:r w:rsidRPr="00EF1133">
        <w:rPr>
          <w:rFonts w:ascii="Arial Black" w:hAnsi="Arial Black"/>
          <w:b/>
          <w:sz w:val="24"/>
          <w:szCs w:val="24"/>
        </w:rPr>
        <w:t>5-1</w:t>
      </w:r>
    </w:p>
    <w:p w14:paraId="5679A08F" w14:textId="5BFD68B1" w:rsidR="00F326E5" w:rsidRPr="00103A9C" w:rsidRDefault="00F326E5" w:rsidP="00F326E5">
      <w:pPr>
        <w:rPr>
          <w:rFonts w:ascii="Arial Black" w:hAnsi="Arial Black"/>
          <w:sz w:val="28"/>
          <w:szCs w:val="28"/>
        </w:rPr>
      </w:pPr>
      <w:bookmarkStart w:id="225" w:name="_Hlk7342908"/>
      <w:r w:rsidRPr="00103A9C">
        <w:rPr>
          <w:rFonts w:ascii="Arial Black" w:hAnsi="Arial Black"/>
          <w:sz w:val="28"/>
          <w:szCs w:val="28"/>
        </w:rPr>
        <w:t>MI: A</w:t>
      </w:r>
      <w:r>
        <w:rPr>
          <w:rFonts w:ascii="Arial Black" w:hAnsi="Arial Black"/>
          <w:sz w:val="28"/>
          <w:szCs w:val="28"/>
        </w:rPr>
        <w:t>MBULANCE STRUCT DEBRIS IN ROADWAY, EMT INJURED – NOT ENTITLED TO UNINSURED MOTORIST</w:t>
      </w:r>
      <w:r w:rsidR="00EF0BEC">
        <w:rPr>
          <w:rFonts w:ascii="Arial Black" w:hAnsi="Arial Black"/>
          <w:sz w:val="28"/>
          <w:szCs w:val="28"/>
        </w:rPr>
        <w:t xml:space="preserve"> INSURANCE COVERAGE</w:t>
      </w:r>
    </w:p>
    <w:p w14:paraId="74D68AB1" w14:textId="77777777" w:rsidR="009C4A80" w:rsidRDefault="00F326E5" w:rsidP="00F326E5">
      <w:pPr>
        <w:rPr>
          <w:rFonts w:ascii="Times New Roman" w:hAnsi="Times New Roman"/>
          <w:sz w:val="24"/>
          <w:szCs w:val="24"/>
        </w:rPr>
      </w:pPr>
      <w:r w:rsidRPr="009C4A80">
        <w:rPr>
          <w:rFonts w:ascii="Times New Roman" w:hAnsi="Times New Roman"/>
          <w:sz w:val="24"/>
          <w:szCs w:val="24"/>
        </w:rPr>
        <w:t xml:space="preserve">On Feb. 27, 2018, in Jeremy </w:t>
      </w:r>
      <w:r w:rsidRPr="009C4A80">
        <w:rPr>
          <w:rFonts w:ascii="Times New Roman" w:hAnsi="Times New Roman"/>
          <w:sz w:val="24"/>
          <w:szCs w:val="24"/>
          <w:u w:val="single"/>
        </w:rPr>
        <w:t>Drouillard v. American Alternative Insurance Company</w:t>
      </w:r>
      <w:r w:rsidRPr="009C4A80">
        <w:rPr>
          <w:rFonts w:ascii="Times New Roman" w:hAnsi="Times New Roman"/>
          <w:sz w:val="24"/>
          <w:szCs w:val="24"/>
        </w:rPr>
        <w:t xml:space="preserve">, the Court of Appeals of Michigan held (2 to 1) that the insurance policy which was purchased by ambulance company does not cover such an accident.  </w:t>
      </w:r>
    </w:p>
    <w:p w14:paraId="131160F9" w14:textId="0452BAD7" w:rsidR="00F326E5" w:rsidRPr="009C4A80" w:rsidRDefault="00F326E5" w:rsidP="009C4A80">
      <w:pPr>
        <w:ind w:left="720"/>
        <w:rPr>
          <w:rFonts w:ascii="Times New Roman" w:hAnsi="Times New Roman"/>
          <w:sz w:val="24"/>
          <w:szCs w:val="24"/>
        </w:rPr>
      </w:pPr>
      <w:r w:rsidRPr="009C4A80">
        <w:rPr>
          <w:rFonts w:ascii="Times New Roman" w:hAnsi="Times New Roman"/>
          <w:sz w:val="24"/>
          <w:szCs w:val="24"/>
        </w:rPr>
        <w:t xml:space="preserve">“[T] he plain language of the contract provides uninsured motorist coverage to Drouillard [EMT passenger] only if the unidentified pickup truck caused an object to hit the insured ambulance, and not vice versa. Reviewing the pertinent </w:t>
      </w:r>
      <w:proofErr w:type="gramStart"/>
      <w:r w:rsidRPr="009C4A80">
        <w:rPr>
          <w:rFonts w:ascii="Times New Roman" w:hAnsi="Times New Roman"/>
          <w:sz w:val="24"/>
          <w:szCs w:val="24"/>
        </w:rPr>
        <w:t>section as a whole, the</w:t>
      </w:r>
      <w:proofErr w:type="gramEnd"/>
      <w:r w:rsidRPr="009C4A80">
        <w:rPr>
          <w:rFonts w:ascii="Times New Roman" w:hAnsi="Times New Roman"/>
          <w:sz w:val="24"/>
          <w:szCs w:val="24"/>
        </w:rPr>
        <w:t xml:space="preserve"> language cannot reasonably be understood in any other way. Importantly, Drouillard and Schoenberg {EMT driver] both admitted that the building materials were stationary at the time of the accident, and Schoenberg agreed that, as the driver of the ambulance, she struck the materials in the roadway. Therefore, this is not a situation in which a hit-and-run vehicle caused an object to hit the insured ambulance, and Drouillard is not entitled to uninsured motorist benefits under the terms of the </w:t>
      </w:r>
      <w:proofErr w:type="gramStart"/>
      <w:r w:rsidRPr="009C4A80">
        <w:rPr>
          <w:rFonts w:ascii="Times New Roman" w:hAnsi="Times New Roman"/>
          <w:sz w:val="24"/>
          <w:szCs w:val="24"/>
        </w:rPr>
        <w:t>policy.”</w:t>
      </w:r>
      <w:proofErr w:type="gramEnd"/>
      <w:r w:rsidRPr="009C4A80">
        <w:rPr>
          <w:rFonts w:ascii="Times New Roman" w:hAnsi="Times New Roman"/>
          <w:sz w:val="24"/>
          <w:szCs w:val="24"/>
        </w:rPr>
        <w:t xml:space="preserve"> </w:t>
      </w:r>
      <w:hyperlink r:id="rId1007" w:history="1">
        <w:r w:rsidRPr="009C4A80">
          <w:rPr>
            <w:rStyle w:val="Hyperlink"/>
            <w:rFonts w:ascii="Times New Roman" w:hAnsi="Times New Roman"/>
            <w:sz w:val="24"/>
            <w:szCs w:val="24"/>
          </w:rPr>
          <w:t>https://caselaw.findlaw.com/mi-court-of-appeals/1890718.html</w:t>
        </w:r>
      </w:hyperlink>
      <w:r w:rsidRPr="009C4A80">
        <w:rPr>
          <w:rFonts w:ascii="Times New Roman" w:hAnsi="Times New Roman"/>
          <w:sz w:val="24"/>
          <w:szCs w:val="24"/>
        </w:rPr>
        <w:t xml:space="preserve"> </w:t>
      </w:r>
    </w:p>
    <w:p w14:paraId="58B5F07F" w14:textId="5660B739" w:rsidR="00F326E5" w:rsidRDefault="00F326E5" w:rsidP="0090461E">
      <w:pPr>
        <w:rPr>
          <w:rFonts w:ascii="Arial Black" w:hAnsi="Arial Black"/>
          <w:sz w:val="40"/>
          <w:szCs w:val="40"/>
        </w:rPr>
      </w:pPr>
      <w:r w:rsidRPr="009C4A80">
        <w:rPr>
          <w:rFonts w:ascii="Times New Roman" w:hAnsi="Times New Roman"/>
          <w:b/>
          <w:sz w:val="24"/>
          <w:szCs w:val="24"/>
        </w:rPr>
        <w:t>Legal Lessons Learned:  Ask your insurance carrier how they would respond to a similar claim; if they would deny the claim, then get the insurance carrier to amend your policy or find a new carrier.</w:t>
      </w:r>
      <w:r w:rsidRPr="009F2867">
        <w:rPr>
          <w:b/>
          <w:sz w:val="24"/>
          <w:szCs w:val="24"/>
        </w:rPr>
        <w:t xml:space="preserve"> </w:t>
      </w:r>
      <w:bookmarkEnd w:id="225"/>
    </w:p>
    <w:p w14:paraId="649E036E" w14:textId="77777777" w:rsidR="0090461E" w:rsidRDefault="0090461E" w:rsidP="00F326E5">
      <w:pPr>
        <w:pStyle w:val="NoSpacing"/>
        <w:rPr>
          <w:rFonts w:ascii="Arial Black" w:hAnsi="Arial Black"/>
          <w:sz w:val="40"/>
          <w:szCs w:val="40"/>
        </w:rPr>
      </w:pPr>
    </w:p>
    <w:p w14:paraId="36C6CE7B" w14:textId="77777777" w:rsidR="0090461E" w:rsidRDefault="0090461E" w:rsidP="00F326E5">
      <w:pPr>
        <w:pStyle w:val="NoSpacing"/>
        <w:rPr>
          <w:rFonts w:ascii="Arial Black" w:hAnsi="Arial Black"/>
          <w:sz w:val="40"/>
          <w:szCs w:val="40"/>
        </w:rPr>
      </w:pPr>
    </w:p>
    <w:p w14:paraId="1081D8B7" w14:textId="77777777" w:rsidR="0090461E" w:rsidRDefault="0090461E" w:rsidP="00F326E5">
      <w:pPr>
        <w:pStyle w:val="NoSpacing"/>
        <w:rPr>
          <w:rFonts w:ascii="Arial Black" w:hAnsi="Arial Black"/>
          <w:sz w:val="40"/>
          <w:szCs w:val="40"/>
        </w:rPr>
      </w:pPr>
    </w:p>
    <w:p w14:paraId="66D50EAB" w14:textId="77777777" w:rsidR="0090461E" w:rsidRDefault="0090461E" w:rsidP="00F326E5">
      <w:pPr>
        <w:pStyle w:val="NoSpacing"/>
        <w:rPr>
          <w:rFonts w:ascii="Arial Black" w:hAnsi="Arial Black"/>
          <w:sz w:val="40"/>
          <w:szCs w:val="40"/>
        </w:rPr>
      </w:pPr>
    </w:p>
    <w:p w14:paraId="296EFA27" w14:textId="77777777" w:rsidR="0090461E" w:rsidRDefault="0090461E" w:rsidP="00F326E5">
      <w:pPr>
        <w:pStyle w:val="NoSpacing"/>
        <w:rPr>
          <w:rFonts w:ascii="Arial Black" w:hAnsi="Arial Black"/>
          <w:sz w:val="40"/>
          <w:szCs w:val="40"/>
        </w:rPr>
      </w:pPr>
    </w:p>
    <w:p w14:paraId="30B957C6" w14:textId="77777777" w:rsidR="0090461E" w:rsidRDefault="0090461E" w:rsidP="00F326E5">
      <w:pPr>
        <w:pStyle w:val="NoSpacing"/>
        <w:rPr>
          <w:rFonts w:ascii="Arial Black" w:hAnsi="Arial Black"/>
          <w:sz w:val="40"/>
          <w:szCs w:val="40"/>
        </w:rPr>
      </w:pPr>
    </w:p>
    <w:p w14:paraId="494BD50A" w14:textId="77777777" w:rsidR="0090461E" w:rsidRDefault="0090461E" w:rsidP="00F326E5">
      <w:pPr>
        <w:pStyle w:val="NoSpacing"/>
        <w:rPr>
          <w:rFonts w:ascii="Arial Black" w:hAnsi="Arial Black"/>
          <w:sz w:val="40"/>
          <w:szCs w:val="40"/>
        </w:rPr>
      </w:pPr>
    </w:p>
    <w:p w14:paraId="05451AE6" w14:textId="77777777" w:rsidR="0090461E" w:rsidRDefault="0090461E" w:rsidP="00F326E5">
      <w:pPr>
        <w:pStyle w:val="NoSpacing"/>
        <w:rPr>
          <w:rFonts w:ascii="Arial Black" w:hAnsi="Arial Black"/>
          <w:sz w:val="40"/>
          <w:szCs w:val="40"/>
        </w:rPr>
      </w:pPr>
    </w:p>
    <w:p w14:paraId="097348AB" w14:textId="77777777" w:rsidR="0090461E" w:rsidRDefault="0090461E" w:rsidP="00F326E5">
      <w:pPr>
        <w:pStyle w:val="NoSpacing"/>
        <w:rPr>
          <w:rFonts w:ascii="Arial Black" w:hAnsi="Arial Black"/>
          <w:sz w:val="40"/>
          <w:szCs w:val="40"/>
        </w:rPr>
      </w:pPr>
    </w:p>
    <w:p w14:paraId="67837476" w14:textId="77777777" w:rsidR="0090461E" w:rsidRDefault="0090461E" w:rsidP="00F326E5">
      <w:pPr>
        <w:pStyle w:val="NoSpacing"/>
        <w:rPr>
          <w:rFonts w:ascii="Arial Black" w:hAnsi="Arial Black"/>
          <w:sz w:val="40"/>
          <w:szCs w:val="40"/>
        </w:rPr>
      </w:pPr>
    </w:p>
    <w:p w14:paraId="0573D9BC" w14:textId="77777777" w:rsidR="005263F1" w:rsidRDefault="005263F1" w:rsidP="00F326E5">
      <w:pPr>
        <w:pStyle w:val="NoSpacing"/>
        <w:rPr>
          <w:rFonts w:ascii="Arial Black" w:hAnsi="Arial Black"/>
          <w:sz w:val="40"/>
          <w:szCs w:val="40"/>
        </w:rPr>
      </w:pPr>
    </w:p>
    <w:p w14:paraId="0C3B30FD" w14:textId="0982FD90" w:rsidR="0097062D" w:rsidRDefault="0097062D">
      <w:pPr>
        <w:spacing w:after="0" w:line="240" w:lineRule="auto"/>
        <w:rPr>
          <w:rFonts w:ascii="Arial Black" w:hAnsi="Arial Black"/>
          <w:sz w:val="40"/>
          <w:szCs w:val="40"/>
        </w:rPr>
      </w:pPr>
      <w:r>
        <w:rPr>
          <w:rFonts w:ascii="Arial Black" w:hAnsi="Arial Black"/>
          <w:sz w:val="40"/>
          <w:szCs w:val="40"/>
        </w:rPr>
        <w:br w:type="page"/>
      </w:r>
    </w:p>
    <w:p w14:paraId="255FC209" w14:textId="35C02436" w:rsidR="00F326E5" w:rsidRDefault="00F326E5" w:rsidP="00F326E5">
      <w:pPr>
        <w:pStyle w:val="NoSpacing"/>
        <w:rPr>
          <w:rFonts w:ascii="Arial Black" w:hAnsi="Arial Black"/>
          <w:sz w:val="40"/>
          <w:szCs w:val="40"/>
        </w:rPr>
      </w:pPr>
      <w:r w:rsidRPr="007732FA">
        <w:rPr>
          <w:rFonts w:ascii="Arial Black" w:hAnsi="Arial Black"/>
          <w:sz w:val="40"/>
          <w:szCs w:val="40"/>
        </w:rPr>
        <w:t>Chap. 6</w:t>
      </w:r>
      <w:r w:rsidRPr="007732FA">
        <w:rPr>
          <w:rFonts w:ascii="Arial Black" w:hAnsi="Arial Black"/>
          <w:sz w:val="40"/>
          <w:szCs w:val="40"/>
        </w:rPr>
        <w:tab/>
        <w:t>Employment Litigation</w:t>
      </w:r>
      <w:r w:rsidR="003F660F">
        <w:rPr>
          <w:rFonts w:ascii="Arial Black" w:hAnsi="Arial Black"/>
          <w:sz w:val="40"/>
          <w:szCs w:val="40"/>
        </w:rPr>
        <w:t>, incl</w:t>
      </w:r>
      <w:r w:rsidR="00BC5936">
        <w:rPr>
          <w:rFonts w:ascii="Arial Black" w:hAnsi="Arial Black"/>
          <w:sz w:val="40"/>
          <w:szCs w:val="40"/>
        </w:rPr>
        <w:t xml:space="preserve">. </w:t>
      </w:r>
      <w:r w:rsidR="00BB43DD">
        <w:rPr>
          <w:rFonts w:ascii="Arial Black" w:hAnsi="Arial Black"/>
          <w:sz w:val="40"/>
          <w:szCs w:val="40"/>
        </w:rPr>
        <w:t>Workers</w:t>
      </w:r>
      <w:r w:rsidR="005F0E6D">
        <w:rPr>
          <w:rFonts w:ascii="Arial Black" w:hAnsi="Arial Black"/>
          <w:sz w:val="40"/>
          <w:szCs w:val="40"/>
        </w:rPr>
        <w:t>’</w:t>
      </w:r>
      <w:r w:rsidR="00BB43DD">
        <w:rPr>
          <w:rFonts w:ascii="Arial Black" w:hAnsi="Arial Black"/>
          <w:sz w:val="40"/>
          <w:szCs w:val="40"/>
        </w:rPr>
        <w:t xml:space="preserve"> Comp</w:t>
      </w:r>
      <w:r w:rsidR="003F660F">
        <w:rPr>
          <w:rFonts w:ascii="Arial Black" w:hAnsi="Arial Black"/>
          <w:sz w:val="40"/>
          <w:szCs w:val="40"/>
        </w:rPr>
        <w:t>.</w:t>
      </w:r>
      <w:r w:rsidR="00BC5936">
        <w:rPr>
          <w:rFonts w:ascii="Arial Black" w:hAnsi="Arial Black"/>
          <w:sz w:val="40"/>
          <w:szCs w:val="40"/>
        </w:rPr>
        <w:t>, Disability</w:t>
      </w:r>
    </w:p>
    <w:p w14:paraId="1CAF88C4" w14:textId="77777777" w:rsidR="00066F05" w:rsidRDefault="00066F05" w:rsidP="00EF1133">
      <w:pPr>
        <w:rPr>
          <w:rFonts w:ascii="Arial Black" w:hAnsi="Arial Black"/>
          <w:b/>
          <w:sz w:val="24"/>
          <w:szCs w:val="24"/>
        </w:rPr>
      </w:pPr>
    </w:p>
    <w:p w14:paraId="6474727D" w14:textId="722C877B" w:rsidR="009D37DC" w:rsidRDefault="009D37DC" w:rsidP="009D37DC">
      <w:pPr>
        <w:rPr>
          <w:rFonts w:ascii="Arial Black" w:hAnsi="Arial Black"/>
          <w:b/>
          <w:sz w:val="28"/>
          <w:szCs w:val="28"/>
        </w:rPr>
      </w:pPr>
      <w:r>
        <w:rPr>
          <w:rFonts w:ascii="Arial Black" w:hAnsi="Arial Black"/>
          <w:b/>
          <w:sz w:val="28"/>
          <w:szCs w:val="28"/>
        </w:rPr>
        <w:t>6-18</w:t>
      </w:r>
      <w:r>
        <w:rPr>
          <w:rFonts w:ascii="Arial Black" w:hAnsi="Arial Black"/>
          <w:b/>
          <w:sz w:val="28"/>
          <w:szCs w:val="28"/>
        </w:rPr>
        <w:t>5</w:t>
      </w:r>
    </w:p>
    <w:p w14:paraId="61949543" w14:textId="77777777" w:rsidR="003502A8" w:rsidRDefault="003502A8" w:rsidP="003502A8">
      <w:pPr>
        <w:pStyle w:val="NoSpacing"/>
        <w:rPr>
          <w:rFonts w:ascii="Arial Black" w:hAnsi="Arial Black"/>
          <w:sz w:val="28"/>
          <w:szCs w:val="28"/>
        </w:rPr>
      </w:pPr>
      <w:r>
        <w:rPr>
          <w:rFonts w:ascii="Arial Black" w:hAnsi="Arial Black"/>
          <w:sz w:val="28"/>
          <w:szCs w:val="28"/>
        </w:rPr>
        <w:t>NY: FDNY 9/11 – FINALLY GETS 100% DISAB - SINUS / PTSD</w:t>
      </w:r>
    </w:p>
    <w:p w14:paraId="1C2F142B" w14:textId="77777777" w:rsidR="003502A8" w:rsidRDefault="003502A8" w:rsidP="003502A8">
      <w:pPr>
        <w:pStyle w:val="NoSpacing"/>
      </w:pPr>
    </w:p>
    <w:p w14:paraId="55256D84" w14:textId="77777777" w:rsidR="003502A8" w:rsidRPr="00912ACD" w:rsidRDefault="003502A8" w:rsidP="003502A8">
      <w:pPr>
        <w:pStyle w:val="NoSpacing"/>
      </w:pPr>
      <w:r>
        <w:t xml:space="preserve">On June 24, 2026, </w:t>
      </w:r>
      <w:r w:rsidRPr="005F71C9">
        <w:rPr>
          <w:u w:val="single"/>
        </w:rPr>
        <w:t>In the Matter of Gary Smiley v. Melanie Whinnery, et</w:t>
      </w:r>
      <w:r>
        <w:rPr>
          <w:u w:val="single"/>
        </w:rPr>
        <w:t xml:space="preserve"> al</w:t>
      </w:r>
      <w:r w:rsidRPr="002B619B">
        <w:t xml:space="preserve">. the </w:t>
      </w:r>
      <w:r w:rsidRPr="001B2BE2">
        <w:t>Supreme Court of the State of New York, Appellate Division, Second Judicial Department</w:t>
      </w:r>
      <w:r>
        <w:t xml:space="preserve">, held that the paramedic is entitled to 100% </w:t>
      </w:r>
      <w:r w:rsidRPr="00FA32B2">
        <w:t>performance of duty disability retirement</w:t>
      </w:r>
      <w:r>
        <w:t xml:space="preserve">. The Court rejected the Medical Board’s assertion that a medic was not physically </w:t>
      </w:r>
      <w:proofErr w:type="gramStart"/>
      <w:r>
        <w:t>disabled, and</w:t>
      </w:r>
      <w:proofErr w:type="gramEnd"/>
      <w:r>
        <w:t xml:space="preserve"> could control his sinus condition </w:t>
      </w:r>
      <w:r w:rsidRPr="00912ACD">
        <w:t>with the use of rinses and with the use of a dosing nebulizer several times per day.</w:t>
      </w:r>
      <w:r>
        <w:t xml:space="preserve"> The Court wrote: “</w:t>
      </w:r>
      <w:r w:rsidRPr="00912ACD">
        <w:t>The Medical Board failed to consider how the petitioner could have</w:t>
      </w:r>
      <w:r>
        <w:t xml:space="preserve"> </w:t>
      </w:r>
      <w:r w:rsidRPr="00912ACD">
        <w:t>managed this treatment when FDNY paramedics are required to, among other things, work for extended periods during the night or day in ambulances and to perform tasks in confined spaces.</w:t>
      </w:r>
      <w:r>
        <w:t>”</w:t>
      </w:r>
      <w:r w:rsidRPr="00BF2049">
        <w:t xml:space="preserve"> </w:t>
      </w:r>
      <w:hyperlink r:id="rId1008" w:history="1">
        <w:r w:rsidRPr="00E96FE1">
          <w:rPr>
            <w:rStyle w:val="Hyperlink"/>
          </w:rPr>
          <w:t>https://www.nycourts.gov/reporter/current/3dseries/2026/2026_03970.shtml</w:t>
        </w:r>
      </w:hyperlink>
      <w:r>
        <w:t xml:space="preserve"> </w:t>
      </w:r>
    </w:p>
    <w:p w14:paraId="17E74E20" w14:textId="77777777" w:rsidR="003502A8" w:rsidRDefault="003502A8" w:rsidP="003502A8">
      <w:pPr>
        <w:pStyle w:val="NoSpacing"/>
        <w:rPr>
          <w:b/>
          <w:bCs/>
        </w:rPr>
      </w:pPr>
    </w:p>
    <w:p w14:paraId="1FACEE0E" w14:textId="77777777" w:rsidR="003502A8" w:rsidRDefault="003502A8" w:rsidP="003502A8">
      <w:pPr>
        <w:pStyle w:val="NoSpacing"/>
        <w:rPr>
          <w:b/>
          <w:bCs/>
        </w:rPr>
      </w:pPr>
      <w:r w:rsidRPr="00902E19">
        <w:rPr>
          <w:b/>
        </w:rPr>
        <w:t>FACTS:</w:t>
      </w:r>
    </w:p>
    <w:p w14:paraId="48354D0D" w14:textId="77777777" w:rsidR="003502A8" w:rsidRDefault="003502A8" w:rsidP="003502A8">
      <w:pPr>
        <w:pStyle w:val="NoSpacing"/>
        <w:rPr>
          <w:b/>
          <w:bCs/>
        </w:rPr>
      </w:pPr>
    </w:p>
    <w:p w14:paraId="3FD9CDE1" w14:textId="77777777" w:rsidR="003502A8" w:rsidRDefault="003502A8" w:rsidP="003502A8">
      <w:pPr>
        <w:pStyle w:val="NoSpacing"/>
      </w:pPr>
      <w:r>
        <w:t>“</w:t>
      </w:r>
      <w:r w:rsidRPr="00902E19">
        <w:t>The petitioner, who was a New York City Fire Department (hereinafter FDNY) paramedic, was a first responder at the World Trade Center site following the attack on September 11, 2001. In September 2013, the petitioner applied for performance of duty disability retirement pursuant to Retirement and Social Security Law § 607-b based on injuries he suffered at the World Trade Center site (hereinafter the petitioner's application). He alleged, among other things, that he suffered from asthma, chronic sinusitis and rhinitis, prolonged post-traumatic stress disorder (hereinafter PTSD), gastroesophageal reflux disease (hereinafter GERD), and chronic dizziness and headaches.</w:t>
      </w:r>
    </w:p>
    <w:p w14:paraId="21BC08A2" w14:textId="77777777" w:rsidR="003502A8" w:rsidRDefault="003502A8" w:rsidP="003502A8">
      <w:pPr>
        <w:pStyle w:val="NoSpacing"/>
      </w:pPr>
    </w:p>
    <w:p w14:paraId="45A3E4CD" w14:textId="77777777" w:rsidR="003502A8" w:rsidRDefault="003502A8" w:rsidP="003502A8">
      <w:pPr>
        <w:pStyle w:val="NoSpacing"/>
      </w:pPr>
      <w:r>
        <w:t>***</w:t>
      </w:r>
    </w:p>
    <w:p w14:paraId="3B8D5DEC" w14:textId="77777777" w:rsidR="003502A8" w:rsidRDefault="003502A8" w:rsidP="003502A8">
      <w:pPr>
        <w:pStyle w:val="NoSpacing"/>
      </w:pPr>
      <w:r w:rsidRPr="00777C19">
        <w:t>In February 2014, the Medical Board of the New York City Employees' Retirement System (hereinafter the Medical Board) determined that the petitioner's chronic sinus disease, asthma, and GERD were not of such severity as to preclude him from performing the duties of an FDNY paramedic, and in March 2014, the Medical Board found that the documentary and clinical evidence failed to substantiate that the petitioner was disabled on mental health grounds.</w:t>
      </w:r>
    </w:p>
    <w:p w14:paraId="3958EB38" w14:textId="77777777" w:rsidR="003502A8" w:rsidRDefault="003502A8" w:rsidP="003502A8">
      <w:pPr>
        <w:pStyle w:val="NoSpacing"/>
      </w:pPr>
    </w:p>
    <w:p w14:paraId="23449DEF" w14:textId="77777777" w:rsidR="003502A8" w:rsidRDefault="003502A8" w:rsidP="003502A8">
      <w:pPr>
        <w:pStyle w:val="NoSpacing"/>
      </w:pPr>
      <w:r>
        <w:t>***</w:t>
      </w:r>
    </w:p>
    <w:p w14:paraId="1A6BA475" w14:textId="77777777" w:rsidR="003502A8" w:rsidRDefault="003502A8" w:rsidP="003502A8">
      <w:pPr>
        <w:pStyle w:val="NoSpacing"/>
      </w:pPr>
      <w:r w:rsidRPr="00E330D5">
        <w:t xml:space="preserve">In January 2017, after the petitioner commenced a proceeding pursuant to CPLR article 78 challenging the Board of </w:t>
      </w:r>
      <w:proofErr w:type="spellStart"/>
      <w:r w:rsidRPr="00E330D5">
        <w:t>Trustees's</w:t>
      </w:r>
      <w:proofErr w:type="spellEnd"/>
      <w:r w:rsidRPr="00E330D5">
        <w:t xml:space="preserve"> determination, the Supreme Court annulled the denial of the petitioner's application and remanded the matter for the Medical Board to set forth an adequate statement of the factual basis for its determination and a new determination by the Board of Trustees. </w:t>
      </w:r>
    </w:p>
    <w:p w14:paraId="2E90CCAF" w14:textId="77777777" w:rsidR="003502A8" w:rsidRDefault="003502A8" w:rsidP="003502A8">
      <w:pPr>
        <w:pStyle w:val="NoSpacing"/>
      </w:pPr>
    </w:p>
    <w:p w14:paraId="0409278D" w14:textId="77777777" w:rsidR="003502A8" w:rsidRPr="00E330D5" w:rsidRDefault="003502A8" w:rsidP="003502A8">
      <w:pPr>
        <w:pStyle w:val="NoSpacing"/>
      </w:pPr>
      <w:r w:rsidRPr="00E330D5">
        <w:t>In October 2017, after remand, the Medical Board determined that the petitioner was disabled due to PTSD and depression and recommended approval of the petitioner's application on those grounds. However, the Medical Board did not find that the petitioner's sinus condition, GERD, and asthma were of such severity as to preclude the work of an FDNY paramedic.</w:t>
      </w:r>
    </w:p>
    <w:p w14:paraId="6E3EF4C2" w14:textId="77777777" w:rsidR="003502A8" w:rsidRDefault="003502A8" w:rsidP="003502A8">
      <w:pPr>
        <w:pStyle w:val="NoSpacing"/>
      </w:pPr>
    </w:p>
    <w:p w14:paraId="00409A96" w14:textId="77777777" w:rsidR="003502A8" w:rsidRDefault="003502A8" w:rsidP="003502A8">
      <w:pPr>
        <w:pStyle w:val="NoSpacing"/>
      </w:pPr>
      <w:r w:rsidRPr="00E330D5">
        <w:t>In November 2017, the Board of Trustees approved the Medical Board's recommendation and awarded the petitioner a ¾ disability retirement benefit for depression and PTSD under Retirement and Social Security Law § 607-b.</w:t>
      </w:r>
    </w:p>
    <w:p w14:paraId="49771361" w14:textId="77777777" w:rsidR="003502A8" w:rsidRDefault="003502A8" w:rsidP="003502A8">
      <w:pPr>
        <w:pStyle w:val="NoSpacing"/>
      </w:pPr>
    </w:p>
    <w:p w14:paraId="782F547E" w14:textId="77777777" w:rsidR="003502A8" w:rsidRDefault="003502A8" w:rsidP="003502A8">
      <w:pPr>
        <w:pStyle w:val="NoSpacing"/>
      </w:pPr>
      <w:r>
        <w:t>***</w:t>
      </w:r>
    </w:p>
    <w:p w14:paraId="4AC94F59" w14:textId="77777777" w:rsidR="003502A8" w:rsidRDefault="003502A8" w:rsidP="003502A8">
      <w:pPr>
        <w:pStyle w:val="NoSpacing"/>
      </w:pPr>
      <w:r w:rsidRPr="001B4429">
        <w:t>November 30, 2020, the Board of Trustees adopted the Medical Board's recommendation and denied the petitioner's application to the extent that it was based on physical disability</w:t>
      </w:r>
      <w:r>
        <w:t xml:space="preserve">…. </w:t>
      </w:r>
      <w:r w:rsidRPr="00A05BAB">
        <w:t xml:space="preserve">In a judgment dated December 13, 2021, the Supreme Court granted the petition and annulled the November 30, </w:t>
      </w:r>
      <w:proofErr w:type="gramStart"/>
      <w:r w:rsidRPr="00A05BAB">
        <w:t>2020</w:t>
      </w:r>
      <w:proofErr w:type="gramEnd"/>
      <w:r w:rsidRPr="00A05BAB">
        <w:t xml:space="preserve"> determination. Whinnery, the Medical Board, and the Board of Trustees (hereinafter collectively the appellants) appeal.</w:t>
      </w:r>
      <w:r>
        <w:t>”</w:t>
      </w:r>
    </w:p>
    <w:p w14:paraId="27F5E0A0" w14:textId="77777777" w:rsidR="003502A8" w:rsidRDefault="003502A8" w:rsidP="003502A8">
      <w:pPr>
        <w:pStyle w:val="NoSpacing"/>
      </w:pPr>
    </w:p>
    <w:p w14:paraId="1EB7250E" w14:textId="77777777" w:rsidR="003502A8" w:rsidRPr="00E7709D" w:rsidRDefault="003502A8" w:rsidP="003502A8">
      <w:pPr>
        <w:pStyle w:val="NoSpacing"/>
        <w:rPr>
          <w:b/>
          <w:bCs/>
        </w:rPr>
      </w:pPr>
      <w:r w:rsidRPr="00E7709D">
        <w:rPr>
          <w:b/>
        </w:rPr>
        <w:t>COURT HELD:</w:t>
      </w:r>
    </w:p>
    <w:p w14:paraId="73155623" w14:textId="77777777" w:rsidR="003502A8" w:rsidRDefault="003502A8" w:rsidP="003502A8">
      <w:pPr>
        <w:pStyle w:val="NoSpacing"/>
      </w:pPr>
    </w:p>
    <w:p w14:paraId="14966492" w14:textId="77777777" w:rsidR="003502A8" w:rsidRPr="00912ACD" w:rsidRDefault="003502A8" w:rsidP="003502A8">
      <w:pPr>
        <w:pStyle w:val="NoSpacing"/>
      </w:pPr>
      <w:r>
        <w:t>“</w:t>
      </w:r>
      <w:r w:rsidRPr="00912ACD">
        <w:t xml:space="preserve">Specifically, one of the petitioner's doctors determined that the petitioner's sinus condition would be exacerbated by exposure to smoke and other irritants. The Medical Board's ear, nose, and throat examination of the petitioner and medical reports did not address this conclusion, even though, as an FDNY paramedic, the petitioner could be required to perform tasks at hazardous material scenes such as a chemical spill, an industrial fire, or another accident where smoke and other environmental irritants would be present. Additionally, the Medical Board determined that the petitioner was not disabled because his sinus conditions could be controlled with the use of rinses and with the use of a dosing nebulizer several times per day. The Medical Board failed to consider how the petitioner could </w:t>
      </w:r>
      <w:proofErr w:type="gramStart"/>
      <w:r w:rsidRPr="00912ACD">
        <w:t>have</w:t>
      </w:r>
      <w:r>
        <w:t xml:space="preserve"> </w:t>
      </w:r>
      <w:r w:rsidRPr="00912ACD">
        <w:t>managed</w:t>
      </w:r>
      <w:proofErr w:type="gramEnd"/>
      <w:r w:rsidRPr="00912ACD">
        <w:t xml:space="preserve"> this treatment when FDNY paramedics are required to, among other things, work for extended periods during the night or day in ambulances and to perform tasks in confined spaces.</w:t>
      </w:r>
    </w:p>
    <w:p w14:paraId="689CDF39" w14:textId="77777777" w:rsidR="003502A8" w:rsidRDefault="003502A8" w:rsidP="003502A8">
      <w:pPr>
        <w:pStyle w:val="NoSpacing"/>
      </w:pPr>
    </w:p>
    <w:p w14:paraId="652C71A9" w14:textId="77777777" w:rsidR="003502A8" w:rsidRPr="00912ACD" w:rsidRDefault="003502A8" w:rsidP="003502A8">
      <w:pPr>
        <w:pStyle w:val="NoSpacing"/>
      </w:pPr>
      <w:r w:rsidRPr="00912ACD">
        <w:t xml:space="preserve">Accordingly, the Supreme Court properly granted that branch of the petition which was to annul the Board of </w:t>
      </w:r>
      <w:proofErr w:type="spellStart"/>
      <w:r w:rsidRPr="00912ACD">
        <w:t>Trustees's</w:t>
      </w:r>
      <w:proofErr w:type="spellEnd"/>
      <w:r w:rsidRPr="00912ACD">
        <w:t xml:space="preserve"> determination dated November 30, 2020, and to direct the NYCERS to retire him with performance of duty disability benefits based on his World Trade Center-related qualifying physical condition.</w:t>
      </w:r>
    </w:p>
    <w:p w14:paraId="75114612" w14:textId="77777777" w:rsidR="003502A8" w:rsidRDefault="003502A8" w:rsidP="003502A8">
      <w:pPr>
        <w:pStyle w:val="NoSpacing"/>
      </w:pPr>
    </w:p>
    <w:p w14:paraId="32BA0D09" w14:textId="77777777" w:rsidR="003502A8" w:rsidRPr="00912ACD" w:rsidRDefault="003502A8" w:rsidP="003502A8">
      <w:pPr>
        <w:pStyle w:val="NoSpacing"/>
      </w:pPr>
      <w:r w:rsidRPr="00912ACD">
        <w:t>However, the appellants correctly contend that there was no basis for the Supreme Court to award the petitioner attorneys' fees, a contention that the petitioner did not oppose in his submission to this Court.</w:t>
      </w:r>
      <w:r>
        <w:t>”</w:t>
      </w:r>
    </w:p>
    <w:p w14:paraId="2692ECB6" w14:textId="77777777" w:rsidR="003502A8" w:rsidRPr="00E330D5" w:rsidRDefault="003502A8" w:rsidP="003502A8">
      <w:pPr>
        <w:pStyle w:val="NoSpacing"/>
      </w:pPr>
    </w:p>
    <w:p w14:paraId="6D8FBECF" w14:textId="77777777" w:rsidR="003502A8" w:rsidRPr="00BF2049" w:rsidRDefault="003502A8" w:rsidP="003502A8">
      <w:pPr>
        <w:pStyle w:val="NoSpacing"/>
        <w:rPr>
          <w:b/>
          <w:bCs/>
        </w:rPr>
      </w:pPr>
      <w:r>
        <w:rPr>
          <w:b/>
        </w:rPr>
        <w:t xml:space="preserve">Legal lesson learned: This was a long fight for the retired medic; </w:t>
      </w:r>
      <w:proofErr w:type="gramStart"/>
      <w:r>
        <w:rPr>
          <w:b/>
        </w:rPr>
        <w:t>fortunately</w:t>
      </w:r>
      <w:proofErr w:type="gramEnd"/>
      <w:r>
        <w:rPr>
          <w:b/>
        </w:rPr>
        <w:t xml:space="preserve"> the Court recognized using a nebulizer several </w:t>
      </w:r>
      <w:proofErr w:type="gramStart"/>
      <w:r>
        <w:rPr>
          <w:b/>
        </w:rPr>
        <w:t>time</w:t>
      </w:r>
      <w:proofErr w:type="gramEnd"/>
      <w:r>
        <w:rPr>
          <w:b/>
        </w:rPr>
        <w:t xml:space="preserve"> a day was not realistic.</w:t>
      </w:r>
    </w:p>
    <w:p w14:paraId="3E97E9FC" w14:textId="77777777" w:rsidR="003502A8" w:rsidRDefault="003502A8" w:rsidP="003502A8">
      <w:pPr>
        <w:pStyle w:val="NoSpacing"/>
      </w:pPr>
    </w:p>
    <w:p w14:paraId="64F839D8" w14:textId="77777777" w:rsidR="003502A8" w:rsidRDefault="003502A8" w:rsidP="003502A8">
      <w:pPr>
        <w:pStyle w:val="NoSpacing"/>
      </w:pPr>
    </w:p>
    <w:p w14:paraId="21CFF062" w14:textId="77777777" w:rsidR="003502A8" w:rsidRDefault="003502A8" w:rsidP="003502A8">
      <w:pPr>
        <w:pStyle w:val="NoSpacing"/>
      </w:pPr>
    </w:p>
    <w:p w14:paraId="1F7AFD59" w14:textId="359306B1" w:rsidR="009D37DC" w:rsidRDefault="009D37DC" w:rsidP="009D37DC">
      <w:pPr>
        <w:rPr>
          <w:rFonts w:ascii="Arial Black" w:hAnsi="Arial Black"/>
          <w:b/>
          <w:sz w:val="28"/>
          <w:szCs w:val="28"/>
        </w:rPr>
      </w:pPr>
      <w:r>
        <w:rPr>
          <w:rFonts w:ascii="Arial Black" w:hAnsi="Arial Black"/>
          <w:b/>
          <w:sz w:val="28"/>
          <w:szCs w:val="28"/>
        </w:rPr>
        <w:t>6-18</w:t>
      </w:r>
      <w:r>
        <w:rPr>
          <w:rFonts w:ascii="Arial Black" w:hAnsi="Arial Black"/>
          <w:b/>
          <w:sz w:val="28"/>
          <w:szCs w:val="28"/>
        </w:rPr>
        <w:t>4</w:t>
      </w:r>
    </w:p>
    <w:p w14:paraId="43F86E75" w14:textId="77777777" w:rsidR="003502A8" w:rsidRPr="00D30DC8" w:rsidRDefault="003502A8" w:rsidP="003502A8">
      <w:pPr>
        <w:rPr>
          <w:rFonts w:ascii="Arial Black" w:hAnsi="Arial Black"/>
          <w:b/>
          <w:sz w:val="28"/>
          <w:szCs w:val="28"/>
        </w:rPr>
      </w:pPr>
      <w:r>
        <w:rPr>
          <w:rFonts w:ascii="Arial Black" w:hAnsi="Arial Black"/>
          <w:b/>
          <w:sz w:val="28"/>
          <w:szCs w:val="28"/>
        </w:rPr>
        <w:t xml:space="preserve">OR: MYELOMA – RET FF / INDEP. CONT. – NO STAT PRESUMP </w:t>
      </w:r>
    </w:p>
    <w:p w14:paraId="2CB25353" w14:textId="77777777" w:rsidR="003502A8" w:rsidRPr="00DB6A9C" w:rsidRDefault="003502A8" w:rsidP="003502A8">
      <w:pPr>
        <w:rPr>
          <w:bCs/>
        </w:rPr>
      </w:pPr>
      <w:r>
        <w:t xml:space="preserve">On June 10, 2026, </w:t>
      </w:r>
      <w:r w:rsidRPr="007A1338">
        <w:rPr>
          <w:u w:val="single"/>
        </w:rPr>
        <w:t>In the Matter of the Compensation of Bradley Kastner v. City of Hillsboro</w:t>
      </w:r>
      <w:r>
        <w:t xml:space="preserve">, the </w:t>
      </w:r>
      <w:r w:rsidRPr="007A1338">
        <w:t>Court of Appeals of Oregon</w:t>
      </w:r>
      <w:r>
        <w:t xml:space="preserve"> held (3 to 0) that the firefighter (retired in 2010), now training fire and EMS, is an “independent contractor” and not entitled to the statutory presumption that his cancer was caused by his fire service. The Court wrote: </w:t>
      </w:r>
      <w:r w:rsidRPr="00DB6A9C">
        <w:t>“As substantial evidence supports the board's determination that claimant was an independent contractor during the 84 months prior to his claim, he was not entitled to the firefighter's presumption of compensability.</w:t>
      </w:r>
      <w:r>
        <w:t xml:space="preserve">” </w:t>
      </w:r>
      <w:hyperlink r:id="rId1009" w:history="1">
        <w:r w:rsidRPr="003E6F82">
          <w:rPr>
            <w:rStyle w:val="Hyperlink"/>
          </w:rPr>
          <w:t>https://www.casemine.com/judgement/us/6a2a2b87eaa021ae7251d39f</w:t>
        </w:r>
      </w:hyperlink>
      <w:r>
        <w:t xml:space="preserve"> </w:t>
      </w:r>
    </w:p>
    <w:p w14:paraId="5033624E" w14:textId="77777777" w:rsidR="003502A8" w:rsidRPr="00500F61" w:rsidRDefault="003502A8" w:rsidP="003502A8">
      <w:pPr>
        <w:rPr>
          <w:b/>
        </w:rPr>
      </w:pPr>
    </w:p>
    <w:p w14:paraId="5E4F2B4B" w14:textId="77777777" w:rsidR="003502A8" w:rsidRDefault="003502A8" w:rsidP="003502A8">
      <w:pPr>
        <w:rPr>
          <w:b/>
        </w:rPr>
      </w:pPr>
      <w:r>
        <w:rPr>
          <w:b/>
        </w:rPr>
        <w:t>FACTS:</w:t>
      </w:r>
    </w:p>
    <w:p w14:paraId="1E3CB7BC" w14:textId="77777777" w:rsidR="003502A8" w:rsidRDefault="003502A8" w:rsidP="003502A8">
      <w:pPr>
        <w:pStyle w:val="NoSpacing"/>
      </w:pPr>
      <w:r>
        <w:t>“C</w:t>
      </w:r>
      <w:r w:rsidRPr="008006D4">
        <w:t xml:space="preserve">laimant worked as a firefighter for the City of Hillsboro from 1978 until 2010, when he retired. After his retirement, claimant provided fire and emergency medical training for city employees through a series of contractual arrangements with the City of Hillsboro until 2020. Each contract described claimant as an </w:t>
      </w:r>
      <w:r>
        <w:t>‘</w:t>
      </w:r>
      <w:r w:rsidRPr="008006D4">
        <w:t>independent contractor,</w:t>
      </w:r>
      <w:r>
        <w:t>’</w:t>
      </w:r>
      <w:r w:rsidRPr="008006D4">
        <w:t xml:space="preserve"> specified the class to be taught, and stated that claimant would provide the curriculum and materials. Despite those contractual provisions, the city provided the equipment and training materials, although claimant adjusted the materials as he saw fit.</w:t>
      </w:r>
    </w:p>
    <w:p w14:paraId="1A6178D2" w14:textId="77777777" w:rsidR="003502A8" w:rsidRDefault="003502A8" w:rsidP="003502A8">
      <w:pPr>
        <w:pStyle w:val="NoSpacing"/>
      </w:pPr>
    </w:p>
    <w:p w14:paraId="2864DBBE" w14:textId="77777777" w:rsidR="003502A8" w:rsidRDefault="003502A8" w:rsidP="003502A8">
      <w:pPr>
        <w:pStyle w:val="NoSpacing"/>
      </w:pPr>
      <w:r w:rsidRPr="00ED4017">
        <w:t>Claimant filed a workers' compensation claim in 2023, seeking compensability for his myeloma through the firefighter's presumption, ORS 656.802(5Xb). The board denied the claim, determining that claimant was an independent contractor and not an employee within the 84 months prior to filing his claim, as required to obtain compensability under the firefighter's presumption. ORS 656.802(5)(e). Thus, as both parties acknowledge, the key question is whether claimant was a city employee when he was performing the contractual training services during the 84 months leading up to his claim. That question, in turn, requires us to determine whether claimant was acting as an employee, and thus subject to workers' compensation coverage, or as an independent contractor under ORS 670.600(2). Although the parties' contractual designation of claimant as an independent contractor "is not controlling, it is not to be disregarded, and 'in a close case, it may swing the balance</w:t>
      </w:r>
      <w:proofErr w:type="gramStart"/>
      <w:r w:rsidRPr="00ED4017">
        <w:t>.'"</w:t>
      </w:r>
      <w:proofErr w:type="gramEnd"/>
      <w:r w:rsidRPr="00ED4017">
        <w:t xml:space="preserve"> </w:t>
      </w:r>
      <w:proofErr w:type="spellStart"/>
      <w:r w:rsidRPr="00ED4017">
        <w:rPr>
          <w:i/>
          <w:iCs/>
        </w:rPr>
        <w:t>McQuiggin</w:t>
      </w:r>
      <w:proofErr w:type="spellEnd"/>
      <w:r w:rsidRPr="00ED4017">
        <w:rPr>
          <w:i/>
          <w:iCs/>
        </w:rPr>
        <w:t xml:space="preserve"> v. Burr,</w:t>
      </w:r>
      <w:r w:rsidRPr="00ED4017">
        <w:t xml:space="preserve"> 119 </w:t>
      </w:r>
      <w:proofErr w:type="spellStart"/>
      <w:r w:rsidRPr="00ED4017">
        <w:t>Or.App</w:t>
      </w:r>
      <w:proofErr w:type="spellEnd"/>
      <w:r w:rsidRPr="00ED4017">
        <w:t xml:space="preserve">. 202, 207, 850 P.2d 385 (1993) [350 </w:t>
      </w:r>
      <w:proofErr w:type="spellStart"/>
      <w:r w:rsidRPr="00ED4017">
        <w:t>Or.App</w:t>
      </w:r>
      <w:proofErr w:type="spellEnd"/>
      <w:r w:rsidRPr="00ED4017">
        <w:t xml:space="preserve">. 541] (quoting </w:t>
      </w:r>
      <w:r w:rsidRPr="00ED4017">
        <w:rPr>
          <w:i/>
          <w:iCs/>
        </w:rPr>
        <w:t>Henri v. SAIF,</w:t>
      </w:r>
      <w:r w:rsidRPr="00ED4017">
        <w:t xml:space="preserve"> 60 </w:t>
      </w:r>
      <w:proofErr w:type="spellStart"/>
      <w:r w:rsidRPr="00ED4017">
        <w:t>Or.App</w:t>
      </w:r>
      <w:proofErr w:type="spellEnd"/>
      <w:r w:rsidRPr="00ED4017">
        <w:t xml:space="preserve">. 587, 592, 654 P.2d 1129, </w:t>
      </w:r>
      <w:r w:rsidRPr="00ED4017">
        <w:rPr>
          <w:i/>
          <w:iCs/>
        </w:rPr>
        <w:t>rev den</w:t>
      </w:r>
      <w:r w:rsidRPr="00ED4017">
        <w:t xml:space="preserve"> 294 Or. 536 (1983)).</w:t>
      </w:r>
      <w:r>
        <w:t>”</w:t>
      </w:r>
    </w:p>
    <w:p w14:paraId="404EDE7E" w14:textId="77777777" w:rsidR="003502A8" w:rsidRDefault="003502A8" w:rsidP="003502A8">
      <w:pPr>
        <w:pStyle w:val="NoSpacing"/>
      </w:pPr>
    </w:p>
    <w:p w14:paraId="2CBA52C7" w14:textId="77777777" w:rsidR="003502A8" w:rsidRPr="00F05DCB" w:rsidRDefault="003502A8" w:rsidP="003502A8">
      <w:pPr>
        <w:pStyle w:val="NoSpacing"/>
        <w:rPr>
          <w:b/>
          <w:bCs/>
        </w:rPr>
      </w:pPr>
      <w:r w:rsidRPr="00F05DCB">
        <w:rPr>
          <w:b/>
        </w:rPr>
        <w:t>COURT HELD:</w:t>
      </w:r>
    </w:p>
    <w:p w14:paraId="03066F51" w14:textId="77777777" w:rsidR="003502A8" w:rsidRPr="00F05DCB" w:rsidRDefault="003502A8" w:rsidP="003502A8">
      <w:pPr>
        <w:pStyle w:val="NoSpacing"/>
        <w:rPr>
          <w:b/>
          <w:bCs/>
        </w:rPr>
      </w:pPr>
      <w:r w:rsidRPr="00F05DCB">
        <w:rPr>
          <w:b/>
        </w:rPr>
        <w:t xml:space="preserve"> </w:t>
      </w:r>
    </w:p>
    <w:p w14:paraId="28E933CB" w14:textId="77777777" w:rsidR="003502A8" w:rsidRDefault="003502A8" w:rsidP="003502A8">
      <w:pPr>
        <w:pStyle w:val="NoSpacing"/>
      </w:pPr>
      <w:r>
        <w:t>“</w:t>
      </w:r>
      <w:r w:rsidRPr="00F05DCB">
        <w:t xml:space="preserve">As to the element of freedom from direction or control, also known as the </w:t>
      </w:r>
      <w:r>
        <w:t>‘</w:t>
      </w:r>
      <w:r w:rsidRPr="00F05DCB">
        <w:t>right to control</w:t>
      </w:r>
      <w:r>
        <w:t>’</w:t>
      </w:r>
      <w:r w:rsidRPr="00F05DCB">
        <w:t xml:space="preserve"> element, the key question is whether the city could direct and control the means and the manner of claimant's services as opposed to simply specifying the desired result. ORS 670.600(2)(a). The </w:t>
      </w:r>
      <w:r>
        <w:t>‘</w:t>
      </w:r>
      <w:r w:rsidRPr="00F05DCB">
        <w:t xml:space="preserve">principal factors showing right </w:t>
      </w:r>
      <w:proofErr w:type="gramStart"/>
      <w:r w:rsidRPr="00F05DCB">
        <w:t>of</w:t>
      </w:r>
      <w:proofErr w:type="gramEnd"/>
      <w:r w:rsidRPr="00F05DCB">
        <w:t xml:space="preserve"> control are: (1) direct evidence of the right to or the exercise of control; (2) the method of payment; (3) the furnishing of equipment; and (4) the right to fire.</w:t>
      </w:r>
      <w:r>
        <w:t>’</w:t>
      </w:r>
      <w:r w:rsidRPr="00F05DCB">
        <w:t xml:space="preserve"> </w:t>
      </w:r>
      <w:r w:rsidRPr="00F05DCB">
        <w:rPr>
          <w:i/>
          <w:iCs/>
        </w:rPr>
        <w:t>National Maintenance Contractors v. Employment Dept,</w:t>
      </w:r>
      <w:r w:rsidRPr="00F05DCB">
        <w:t xml:space="preserve"> 288 </w:t>
      </w:r>
      <w:proofErr w:type="spellStart"/>
      <w:r w:rsidRPr="00F05DCB">
        <w:t>Or.App</w:t>
      </w:r>
      <w:proofErr w:type="spellEnd"/>
      <w:r w:rsidRPr="00F05DCB">
        <w:t xml:space="preserve">. 347, 353, 406 P.3d 133 (2017), </w:t>
      </w:r>
      <w:r w:rsidRPr="00F05DCB">
        <w:rPr>
          <w:i/>
          <w:iCs/>
        </w:rPr>
        <w:t>rev den,</w:t>
      </w:r>
      <w:r w:rsidRPr="00F05DCB">
        <w:t xml:space="preserve"> 362 Or. 508 (2018) (internal quotation marks omitted). Applying those factors, we conclude that the board's determination that the city exercised control over the result rather than the means and manner of claimant's performance is supported by substantial evidence.</w:t>
      </w:r>
    </w:p>
    <w:p w14:paraId="1574C386" w14:textId="77777777" w:rsidR="003502A8" w:rsidRDefault="003502A8" w:rsidP="003502A8">
      <w:pPr>
        <w:pStyle w:val="NoSpacing"/>
      </w:pPr>
    </w:p>
    <w:p w14:paraId="3B7DAED1" w14:textId="77777777" w:rsidR="003502A8" w:rsidRDefault="003502A8" w:rsidP="003502A8">
      <w:pPr>
        <w:pStyle w:val="NoSpacing"/>
      </w:pPr>
      <w:r w:rsidRPr="003851A6">
        <w:t>Starting with the first factor, direct evidence of the right to control, the record of any direct evidence is limited. Although the city provided the curriculum and schedule for the training of its employees, claimant could adjust that curriculum or hire a substitute if he was unavailable for the scheduled training. Thus, the board's determination that this factor is inconclusive is supported by substantial evidence. Second, as to the method of payment, claimant was not salaried but rather submitted invoices up to an amount capped by the contract. Taxes and union dues were not deducted. When claimant hired a substitute to teach in his stead, the city paid claimant, who then paid the substitute. That evidence supports the board's conclusion that that factor supports an independent contractor relationship.</w:t>
      </w:r>
      <w:r>
        <w:t>”</w:t>
      </w:r>
    </w:p>
    <w:p w14:paraId="5FA8582C" w14:textId="77777777" w:rsidR="003502A8" w:rsidRDefault="003502A8" w:rsidP="003502A8">
      <w:pPr>
        <w:pStyle w:val="NoSpacing"/>
      </w:pPr>
    </w:p>
    <w:p w14:paraId="584B7E6D" w14:textId="77777777" w:rsidR="003502A8" w:rsidRPr="005A43D1" w:rsidRDefault="003502A8" w:rsidP="003502A8">
      <w:pPr>
        <w:pStyle w:val="NoSpacing"/>
      </w:pPr>
      <w:r>
        <w:rPr>
          <w:b/>
        </w:rPr>
        <w:t xml:space="preserve">Legal lesson learned: The firefighters’ statutory presumption only applies to employees, and claim is </w:t>
      </w:r>
      <w:r w:rsidRPr="005A43D1">
        <w:rPr>
          <w:b/>
        </w:rPr>
        <w:t>filed within 84 months of retirement</w:t>
      </w:r>
      <w:r w:rsidRPr="005A43D1">
        <w:t xml:space="preserve">. </w:t>
      </w:r>
    </w:p>
    <w:p w14:paraId="633E11C2" w14:textId="77777777" w:rsidR="003502A8" w:rsidRDefault="003502A8" w:rsidP="003502A8">
      <w:pPr>
        <w:pStyle w:val="NoSpacing"/>
      </w:pPr>
    </w:p>
    <w:p w14:paraId="5F3C2A79" w14:textId="77777777" w:rsidR="003502A8" w:rsidRDefault="003502A8" w:rsidP="003502A8">
      <w:pPr>
        <w:pStyle w:val="NoSpacing"/>
      </w:pPr>
    </w:p>
    <w:p w14:paraId="3A705B4D" w14:textId="77777777" w:rsidR="003502A8" w:rsidRDefault="003502A8" w:rsidP="00EF1133">
      <w:pPr>
        <w:rPr>
          <w:rFonts w:ascii="Arial Black" w:hAnsi="Arial Black"/>
          <w:b/>
          <w:sz w:val="28"/>
          <w:szCs w:val="28"/>
        </w:rPr>
      </w:pPr>
    </w:p>
    <w:p w14:paraId="4DC6F439" w14:textId="77777777" w:rsidR="003502A8" w:rsidRDefault="003502A8" w:rsidP="00EF1133">
      <w:pPr>
        <w:rPr>
          <w:rFonts w:ascii="Arial Black" w:hAnsi="Arial Black"/>
          <w:b/>
          <w:sz w:val="28"/>
          <w:szCs w:val="28"/>
        </w:rPr>
      </w:pPr>
    </w:p>
    <w:p w14:paraId="1F3B0779" w14:textId="77777777" w:rsidR="003502A8" w:rsidRDefault="003502A8" w:rsidP="00EF1133">
      <w:pPr>
        <w:rPr>
          <w:rFonts w:ascii="Arial Black" w:hAnsi="Arial Black"/>
          <w:b/>
          <w:sz w:val="28"/>
          <w:szCs w:val="28"/>
        </w:rPr>
      </w:pPr>
    </w:p>
    <w:p w14:paraId="5C3E6AD0" w14:textId="77777777" w:rsidR="003502A8" w:rsidRDefault="003502A8" w:rsidP="00EF1133">
      <w:pPr>
        <w:rPr>
          <w:rFonts w:ascii="Arial Black" w:hAnsi="Arial Black"/>
          <w:b/>
          <w:sz w:val="28"/>
          <w:szCs w:val="28"/>
        </w:rPr>
      </w:pPr>
    </w:p>
    <w:p w14:paraId="3576C85C" w14:textId="369A65C1" w:rsidR="00AB5980" w:rsidRDefault="00312498" w:rsidP="00EF1133">
      <w:pPr>
        <w:rPr>
          <w:rFonts w:ascii="Arial Black" w:hAnsi="Arial Black"/>
          <w:b/>
          <w:sz w:val="28"/>
          <w:szCs w:val="28"/>
        </w:rPr>
      </w:pPr>
      <w:r>
        <w:rPr>
          <w:rFonts w:ascii="Arial Black" w:hAnsi="Arial Black"/>
          <w:b/>
          <w:sz w:val="28"/>
          <w:szCs w:val="28"/>
        </w:rPr>
        <w:t>6-183</w:t>
      </w:r>
    </w:p>
    <w:p w14:paraId="08AA11E4" w14:textId="77777777" w:rsidR="00AB5980" w:rsidRPr="00750C03" w:rsidRDefault="00AB5980" w:rsidP="00AB5980">
      <w:pPr>
        <w:pStyle w:val="NoSpacing"/>
        <w:rPr>
          <w:rFonts w:ascii="Arial Black" w:hAnsi="Arial Black"/>
          <w:sz w:val="28"/>
          <w:szCs w:val="28"/>
        </w:rPr>
      </w:pPr>
      <w:r>
        <w:rPr>
          <w:rFonts w:ascii="Arial Black" w:hAnsi="Arial Black"/>
          <w:sz w:val="28"/>
          <w:szCs w:val="28"/>
        </w:rPr>
        <w:t xml:space="preserve">MA: FF NOT HIRED – BACKGROUND CHECK - 3 FDs NEG </w:t>
      </w:r>
    </w:p>
    <w:p w14:paraId="7F7D053B" w14:textId="77777777" w:rsidR="00AB5980" w:rsidRDefault="00AB5980" w:rsidP="00AB5980">
      <w:pPr>
        <w:pStyle w:val="NoSpacing"/>
      </w:pPr>
    </w:p>
    <w:p w14:paraId="7A3EAB7B" w14:textId="77777777" w:rsidR="00AB5980" w:rsidRDefault="00AB5980" w:rsidP="00AB5980">
      <w:pPr>
        <w:pStyle w:val="NoSpacing"/>
      </w:pPr>
      <w:r>
        <w:t xml:space="preserve">On May 26, 2026, in </w:t>
      </w:r>
      <w:r w:rsidRPr="000A62A7">
        <w:rPr>
          <w:u w:val="single"/>
        </w:rPr>
        <w:t>Paul Defarias v. Civil Service Commission and City of Gloucester</w:t>
      </w:r>
      <w:r>
        <w:t>, the</w:t>
      </w:r>
    </w:p>
    <w:p w14:paraId="5145820C" w14:textId="77777777" w:rsidR="00AB5980" w:rsidRDefault="00AB5980" w:rsidP="00AB5980">
      <w:pPr>
        <w:pStyle w:val="NoSpacing"/>
        <w:rPr>
          <w:b/>
          <w:bCs/>
        </w:rPr>
      </w:pPr>
      <w:r w:rsidRPr="000A62A7">
        <w:t>Appeals Court of Massachusetts</w:t>
      </w:r>
      <w:r>
        <w:t xml:space="preserve"> held (3 to 0) that trial court properly affirmed the Civil Service Commission – the City of Gloucester </w:t>
      </w:r>
      <w:r w:rsidRPr="0047214A">
        <w:t>had</w:t>
      </w:r>
      <w:r>
        <w:t xml:space="preserve"> a </w:t>
      </w:r>
      <w:r w:rsidRPr="0047214A">
        <w:t xml:space="preserve">reasonable justification to bypass </w:t>
      </w:r>
      <w:proofErr w:type="spellStart"/>
      <w:r w:rsidRPr="0047214A">
        <w:t>DeFarias</w:t>
      </w:r>
      <w:proofErr w:type="spellEnd"/>
      <w:r w:rsidRPr="0047214A">
        <w:t xml:space="preserve"> for a firefighter</w:t>
      </w:r>
      <w:r>
        <w:t xml:space="preserve"> </w:t>
      </w:r>
      <w:r w:rsidRPr="0047214A">
        <w:t>position</w:t>
      </w:r>
      <w:r>
        <w:t xml:space="preserve"> (four openings posted in </w:t>
      </w:r>
      <w:r w:rsidRPr="003829BA">
        <w:t>March 2022</w:t>
      </w:r>
      <w:r>
        <w:t xml:space="preserve">), even if the detectives who conducted the background only reported on negative feedback from three prior Massachusetts FDs and not positive feedback from a Florida FD.  The detectives also </w:t>
      </w:r>
      <w:r w:rsidRPr="0062071D">
        <w:t>did not run criminal</w:t>
      </w:r>
      <w:r>
        <w:t xml:space="preserve"> </w:t>
      </w:r>
      <w:r w:rsidRPr="0062071D">
        <w:t xml:space="preserve">history and driving history checks as part of </w:t>
      </w:r>
      <w:proofErr w:type="spellStart"/>
      <w:r w:rsidRPr="0062071D">
        <w:t>DeFarias's</w:t>
      </w:r>
      <w:proofErr w:type="spellEnd"/>
      <w:r>
        <w:t xml:space="preserve"> </w:t>
      </w:r>
      <w:r w:rsidRPr="0062071D">
        <w:t>background investigation, despite it being their normal practice</w:t>
      </w:r>
      <w:r>
        <w:t xml:space="preserve"> </w:t>
      </w:r>
      <w:r w:rsidRPr="0062071D">
        <w:t>to conduct such checks.</w:t>
      </w:r>
      <w:r>
        <w:t xml:space="preserve"> They also didn’t request his personnel files from the FDs.  THE COURT WROTE: “We agree with the commission that the evidence of concern by three of </w:t>
      </w:r>
      <w:proofErr w:type="spellStart"/>
      <w:r>
        <w:t>DeFarias's</w:t>
      </w:r>
      <w:proofErr w:type="spellEnd"/>
      <w:r>
        <w:t xml:space="preserve"> former employers at relevant work experiences provided the city adequate reason not to hire him. Even if the city properly considered the positive aspects of </w:t>
      </w:r>
      <w:proofErr w:type="spellStart"/>
      <w:r>
        <w:t>DeFarias's</w:t>
      </w:r>
      <w:proofErr w:type="spellEnd"/>
      <w:r>
        <w:t xml:space="preserve"> professional history, the negative aspects nonetheless raised legitimate doubts about his suitability for a firefighter position with the city.”  </w:t>
      </w:r>
      <w:hyperlink r:id="rId1010" w:history="1">
        <w:r w:rsidRPr="00C55935">
          <w:rPr>
            <w:rStyle w:val="Hyperlink"/>
          </w:rPr>
          <w:t>https://www.mass.gov/doc/defarias-paul-v-city-of-gloucester-related-appeals-court-decision-52626/download</w:t>
        </w:r>
      </w:hyperlink>
      <w:r w:rsidRPr="00C55935">
        <w:t xml:space="preserve"> </w:t>
      </w:r>
    </w:p>
    <w:p w14:paraId="729AE3A4" w14:textId="77777777" w:rsidR="00AB5980" w:rsidRDefault="00AB5980" w:rsidP="00AB5980">
      <w:pPr>
        <w:pStyle w:val="NoSpacing"/>
        <w:rPr>
          <w:b/>
          <w:bCs/>
        </w:rPr>
      </w:pPr>
    </w:p>
    <w:p w14:paraId="3B1C1040" w14:textId="77777777" w:rsidR="00AB5980" w:rsidRPr="00C55935" w:rsidRDefault="00AB5980" w:rsidP="00AB5980">
      <w:pPr>
        <w:pStyle w:val="NoSpacing"/>
      </w:pPr>
      <w:r w:rsidRPr="00C55935">
        <w:t>THE COURT HELD:</w:t>
      </w:r>
    </w:p>
    <w:p w14:paraId="3EA842E3" w14:textId="77777777" w:rsidR="00AB5980" w:rsidRPr="00C55935" w:rsidRDefault="00AB5980" w:rsidP="00AB5980">
      <w:pPr>
        <w:pStyle w:val="NoSpacing"/>
      </w:pPr>
      <w:r w:rsidRPr="00C55935">
        <w:t xml:space="preserve"> </w:t>
      </w:r>
    </w:p>
    <w:p w14:paraId="581ADDEC" w14:textId="77777777" w:rsidR="00AB5980" w:rsidRDefault="00AB5980" w:rsidP="00AB5980">
      <w:pPr>
        <w:pStyle w:val="NoSpacing"/>
        <w:ind w:left="720"/>
      </w:pPr>
      <w:r>
        <w:t xml:space="preserve">“Much of the information the detectives collected was positive. </w:t>
      </w:r>
      <w:proofErr w:type="spellStart"/>
      <w:r>
        <w:t>DeFarias's</w:t>
      </w:r>
      <w:proofErr w:type="spellEnd"/>
      <w:r>
        <w:t xml:space="preserve"> personal references praised him as a model student, a ‘straight arrow,’ and a hard worker. His supervisor at </w:t>
      </w:r>
      <w:proofErr w:type="spellStart"/>
      <w:r>
        <w:t>Zartech</w:t>
      </w:r>
      <w:proofErr w:type="spellEnd"/>
      <w:r>
        <w:t xml:space="preserve">, where </w:t>
      </w:r>
      <w:proofErr w:type="spellStart"/>
      <w:r>
        <w:t>DeFarias</w:t>
      </w:r>
      <w:proofErr w:type="spellEnd"/>
      <w:r>
        <w:t xml:space="preserve"> is a fabrication shop technician, stated that </w:t>
      </w:r>
      <w:proofErr w:type="spellStart"/>
      <w:r>
        <w:t>DeFarias</w:t>
      </w:r>
      <w:proofErr w:type="spellEnd"/>
      <w:r>
        <w:t xml:space="preserve"> is mature, honest, and generally an ‘outstanding guy.’ In addition, the chief of the volunteer fire department of Montverde, Florida, where </w:t>
      </w:r>
      <w:proofErr w:type="spellStart"/>
      <w:r>
        <w:t>DeFarias</w:t>
      </w:r>
      <w:proofErr w:type="spellEnd"/>
      <w:r>
        <w:t xml:space="preserve"> served as an</w:t>
      </w:r>
    </w:p>
    <w:p w14:paraId="19C09050" w14:textId="77777777" w:rsidR="00AB5980" w:rsidRDefault="00AB5980" w:rsidP="00AB5980">
      <w:pPr>
        <w:pStyle w:val="NoSpacing"/>
        <w:ind w:left="720"/>
      </w:pPr>
      <w:proofErr w:type="gramStart"/>
      <w:r>
        <w:t>on</w:t>
      </w:r>
      <w:proofErr w:type="gramEnd"/>
      <w:r>
        <w:t xml:space="preserve">-call volunteer firefighter in early 2017, reported that </w:t>
      </w:r>
      <w:proofErr w:type="spellStart"/>
      <w:r>
        <w:t>DeFarias</w:t>
      </w:r>
      <w:proofErr w:type="spellEnd"/>
      <w:r>
        <w:t xml:space="preserve"> was well liked, exhibited good attendance, and had a positive work ethic.</w:t>
      </w:r>
    </w:p>
    <w:p w14:paraId="0B6CFDEB" w14:textId="77777777" w:rsidR="00AB5980" w:rsidRDefault="00AB5980" w:rsidP="00AB5980">
      <w:pPr>
        <w:pStyle w:val="NoSpacing"/>
        <w:ind w:left="720"/>
      </w:pPr>
    </w:p>
    <w:p w14:paraId="6F55E454" w14:textId="77777777" w:rsidR="00AB5980" w:rsidRDefault="00AB5980" w:rsidP="00AB5980">
      <w:pPr>
        <w:pStyle w:val="NoSpacing"/>
        <w:ind w:left="720"/>
      </w:pPr>
      <w:r>
        <w:t>***</w:t>
      </w:r>
    </w:p>
    <w:p w14:paraId="4D25610D" w14:textId="77777777" w:rsidR="00AB5980" w:rsidRDefault="00AB5980" w:rsidP="00AB5980">
      <w:pPr>
        <w:pStyle w:val="NoSpacing"/>
        <w:ind w:left="720"/>
      </w:pPr>
    </w:p>
    <w:p w14:paraId="2E09175A" w14:textId="77777777" w:rsidR="00AB5980" w:rsidRDefault="00AB5980" w:rsidP="00AB5980">
      <w:pPr>
        <w:pStyle w:val="NoSpacing"/>
        <w:ind w:left="720"/>
      </w:pPr>
      <w:proofErr w:type="spellStart"/>
      <w:r>
        <w:t>DeFarias</w:t>
      </w:r>
      <w:proofErr w:type="spellEnd"/>
      <w:r>
        <w:t xml:space="preserve"> has performed EMT or firefighting work for three </w:t>
      </w:r>
      <w:proofErr w:type="gramStart"/>
      <w:r>
        <w:t>employers</w:t>
      </w:r>
      <w:proofErr w:type="gramEnd"/>
      <w:r>
        <w:t xml:space="preserve"> in Massachusetts: Cataldo Ambulance Service (Cataldo), Beauport Ambulance Service (Beauport), and the Lynnfield fire department (Lynnfield). Each of these employers provided the detectives with ‘partly negative </w:t>
      </w:r>
      <w:proofErr w:type="gramStart"/>
      <w:r>
        <w:t>reviews’</w:t>
      </w:r>
      <w:proofErr w:type="gramEnd"/>
      <w:r>
        <w:t xml:space="preserve"> of </w:t>
      </w:r>
      <w:proofErr w:type="spellStart"/>
      <w:r>
        <w:t>DeFarias</w:t>
      </w:r>
      <w:proofErr w:type="spellEnd"/>
      <w:r>
        <w:t>. It is undisputed that Cataldo terminated DeFarias, although the circumstances of the termination were ‘hazier.’  4</w:t>
      </w:r>
    </w:p>
    <w:p w14:paraId="2DD19331" w14:textId="77777777" w:rsidR="00AB5980" w:rsidRDefault="00AB5980" w:rsidP="00AB5980">
      <w:pPr>
        <w:pStyle w:val="NoSpacing"/>
        <w:ind w:left="720"/>
      </w:pPr>
    </w:p>
    <w:p w14:paraId="5C087AD1" w14:textId="77777777" w:rsidR="00AB5980" w:rsidRDefault="00AB5980" w:rsidP="00AB5980">
      <w:pPr>
        <w:pStyle w:val="NoSpacing"/>
        <w:ind w:left="720"/>
      </w:pPr>
      <w:r>
        <w:tab/>
        <w:t xml:space="preserve">Footnote 4: </w:t>
      </w:r>
      <w:proofErr w:type="spellStart"/>
      <w:r>
        <w:t>DeFarias</w:t>
      </w:r>
      <w:proofErr w:type="spellEnd"/>
      <w:r>
        <w:t xml:space="preserve"> was suspended pending an investigation into a</w:t>
      </w:r>
    </w:p>
    <w:p w14:paraId="4C5C90B9" w14:textId="77777777" w:rsidR="00AB5980" w:rsidRDefault="00AB5980" w:rsidP="00AB5980">
      <w:pPr>
        <w:pStyle w:val="NoSpacing"/>
        <w:ind w:left="720" w:firstLine="720"/>
      </w:pPr>
      <w:r>
        <w:t>complaint about an interaction with a patient. The magistrate</w:t>
      </w:r>
    </w:p>
    <w:p w14:paraId="1628D929" w14:textId="77777777" w:rsidR="00AB5980" w:rsidRDefault="00AB5980" w:rsidP="00AB5980">
      <w:pPr>
        <w:pStyle w:val="NoSpacing"/>
        <w:ind w:left="720" w:firstLine="720"/>
      </w:pPr>
      <w:r>
        <w:t xml:space="preserve">found that </w:t>
      </w:r>
      <w:proofErr w:type="spellStart"/>
      <w:r>
        <w:t>DeFarias</w:t>
      </w:r>
      <w:proofErr w:type="spellEnd"/>
      <w:r>
        <w:t xml:space="preserve"> was terminated because he did not leave the</w:t>
      </w:r>
    </w:p>
    <w:p w14:paraId="381FA61A" w14:textId="77777777" w:rsidR="00AB5980" w:rsidRDefault="00AB5980" w:rsidP="00AB5980">
      <w:pPr>
        <w:pStyle w:val="NoSpacing"/>
        <w:ind w:left="720" w:firstLine="720"/>
      </w:pPr>
      <w:r>
        <w:t>premises promptly after being suspended and instead demanded</w:t>
      </w:r>
    </w:p>
    <w:p w14:paraId="313413BB" w14:textId="77777777" w:rsidR="00AB5980" w:rsidRDefault="00AB5980" w:rsidP="00AB5980">
      <w:pPr>
        <w:pStyle w:val="NoSpacing"/>
        <w:ind w:left="720" w:firstLine="720"/>
      </w:pPr>
      <w:r>
        <w:t>documentation about his suspension.</w:t>
      </w:r>
    </w:p>
    <w:p w14:paraId="35E5B012" w14:textId="77777777" w:rsidR="00AB5980" w:rsidRDefault="00AB5980" w:rsidP="00AB5980">
      <w:pPr>
        <w:pStyle w:val="NoSpacing"/>
        <w:ind w:left="720"/>
      </w:pPr>
    </w:p>
    <w:p w14:paraId="47A072CA" w14:textId="77777777" w:rsidR="00AB5980" w:rsidRDefault="00AB5980" w:rsidP="00AB5980">
      <w:pPr>
        <w:pStyle w:val="NoSpacing"/>
        <w:ind w:left="720"/>
      </w:pPr>
      <w:r>
        <w:t xml:space="preserve">Beauport terminated </w:t>
      </w:r>
      <w:proofErr w:type="spellStart"/>
      <w:r>
        <w:t>DeFarias</w:t>
      </w:r>
      <w:proofErr w:type="spellEnd"/>
      <w:r>
        <w:t xml:space="preserve"> due to his ‘repeated clinical </w:t>
      </w:r>
      <w:proofErr w:type="gramStart"/>
      <w:r>
        <w:t>errors’ and ‘</w:t>
      </w:r>
      <w:proofErr w:type="gramEnd"/>
      <w:r>
        <w:t xml:space="preserve">personality </w:t>
      </w:r>
      <w:proofErr w:type="gramStart"/>
      <w:r>
        <w:t>conflicts’</w:t>
      </w:r>
      <w:proofErr w:type="gramEnd"/>
      <w:r>
        <w:t xml:space="preserve"> between him and his coworkers. Similarly, a captain at Lynnfield stated that he was disinclined to hire </w:t>
      </w:r>
      <w:proofErr w:type="spellStart"/>
      <w:r>
        <w:t>DeFarias</w:t>
      </w:r>
      <w:proofErr w:type="spellEnd"/>
      <w:r>
        <w:t xml:space="preserve"> in the future because </w:t>
      </w:r>
      <w:proofErr w:type="spellStart"/>
      <w:r>
        <w:t>DeFarias</w:t>
      </w:r>
      <w:proofErr w:type="spellEnd"/>
      <w:r>
        <w:t xml:space="preserve"> had "trouble catching on" and had ‘a few issues with peers.’  Nonetheless, the captain liked DeFarias, praised his work ethic, and suggested that the city should ‘give him a shot.’</w:t>
      </w:r>
    </w:p>
    <w:p w14:paraId="71607776" w14:textId="77777777" w:rsidR="00AB5980" w:rsidRDefault="00AB5980" w:rsidP="00AB5980">
      <w:pPr>
        <w:pStyle w:val="NoSpacing"/>
        <w:ind w:left="720"/>
      </w:pPr>
    </w:p>
    <w:p w14:paraId="1CD3E008" w14:textId="77777777" w:rsidR="00AB5980" w:rsidRDefault="00AB5980" w:rsidP="00AB5980">
      <w:pPr>
        <w:pStyle w:val="NoSpacing"/>
        <w:ind w:left="720"/>
      </w:pPr>
      <w:r>
        <w:t>***</w:t>
      </w:r>
    </w:p>
    <w:p w14:paraId="0746579F" w14:textId="77777777" w:rsidR="00AB5980" w:rsidRDefault="00AB5980" w:rsidP="00AB5980">
      <w:pPr>
        <w:pStyle w:val="NoSpacing"/>
        <w:ind w:left="720"/>
      </w:pPr>
      <w:r>
        <w:t xml:space="preserve">In the future, we expect the city to conduct a thorough and unbiased investigation and write a report that includes both positive and negative findings before the interview to allow the candidate to address negative findings during the interview. But that is not the issue before us. Although the background investigation was flawed, we must evaluate whether there was substantial evidence that (1) ‘the appointing authority had a reasonable justification on the merits for deciding to bypass’ </w:t>
      </w:r>
      <w:proofErr w:type="spellStart"/>
      <w:r>
        <w:t>DeFarias</w:t>
      </w:r>
      <w:proofErr w:type="spellEnd"/>
      <w:r>
        <w:t>, and (2) ‘the flaws in the selection process are not so severe that it is impossible to evaluate the merits from the record.’" Sherman, 472 Mass. at 813.”</w:t>
      </w:r>
    </w:p>
    <w:p w14:paraId="309C1188" w14:textId="77777777" w:rsidR="00AB5980" w:rsidRDefault="00AB5980" w:rsidP="00AB5980">
      <w:pPr>
        <w:pStyle w:val="NoSpacing"/>
        <w:ind w:left="720"/>
      </w:pPr>
    </w:p>
    <w:p w14:paraId="6E594CAB" w14:textId="77777777" w:rsidR="00AB5980" w:rsidRPr="001D5D66" w:rsidRDefault="00AB5980" w:rsidP="00AB5980">
      <w:pPr>
        <w:pStyle w:val="NoSpacing"/>
        <w:rPr>
          <w:b/>
          <w:bCs/>
        </w:rPr>
      </w:pPr>
      <w:r>
        <w:rPr>
          <w:b/>
        </w:rPr>
        <w:t>Legal lesson learned: Background checks are important; include both positive and negative feedback from prior FD employers.</w:t>
      </w:r>
    </w:p>
    <w:p w14:paraId="72DF3A26" w14:textId="77777777" w:rsidR="00AB5980" w:rsidRDefault="00AB5980" w:rsidP="00AB5980">
      <w:pPr>
        <w:pStyle w:val="NoSpacing"/>
        <w:ind w:left="720"/>
      </w:pPr>
    </w:p>
    <w:p w14:paraId="78C6B1B9" w14:textId="77777777" w:rsidR="00AB5980" w:rsidRPr="00CC31B5" w:rsidRDefault="00AB5980" w:rsidP="00AB5980">
      <w:pPr>
        <w:pStyle w:val="NoSpacing"/>
        <w:ind w:left="720"/>
        <w:rPr>
          <w:bCs/>
        </w:rPr>
      </w:pPr>
      <w:r w:rsidRPr="00CC31B5">
        <w:t xml:space="preserve">Note: In Ohio, Fire Chiefs can obtain state and FBI criminal history records. </w:t>
      </w:r>
      <w:hyperlink r:id="rId1011" w:history="1">
        <w:r w:rsidRPr="00A036CD">
          <w:rPr>
            <w:rStyle w:val="Hyperlink"/>
          </w:rPr>
          <w:t>https://codes.ohio.gov/ohio-revised-code/section-505.381</w:t>
        </w:r>
      </w:hyperlink>
      <w:r>
        <w:t xml:space="preserve"> </w:t>
      </w:r>
    </w:p>
    <w:p w14:paraId="799CF207" w14:textId="77777777" w:rsidR="00AB5980" w:rsidRDefault="00AB5980" w:rsidP="00AB5980">
      <w:pPr>
        <w:pStyle w:val="NoSpacing"/>
        <w:rPr>
          <w:b/>
        </w:rPr>
      </w:pPr>
    </w:p>
    <w:p w14:paraId="14FDDF12" w14:textId="77777777" w:rsidR="00AB5980" w:rsidRPr="00425EAF" w:rsidRDefault="00AB5980" w:rsidP="00AB5980">
      <w:pPr>
        <w:pStyle w:val="NoSpacing"/>
        <w:ind w:left="720"/>
      </w:pPr>
      <w:r w:rsidRPr="00425EAF">
        <w:t>(A) The fire chief of a township or fire district may request the superintendent of BCII to conduct a criminal records check with respect to any person who is under consideration for appointment or employment as a permanent, full-time paid firefighter or any person who is under consideration for appointment as a volunteer firefighter.</w:t>
      </w:r>
    </w:p>
    <w:p w14:paraId="6A637800" w14:textId="77777777" w:rsidR="00AB5980" w:rsidRPr="00425EAF" w:rsidRDefault="00AB5980" w:rsidP="00AB5980">
      <w:pPr>
        <w:pStyle w:val="NoSpacing"/>
        <w:ind w:left="720"/>
      </w:pPr>
      <w:r w:rsidRPr="00425EAF">
        <w:t xml:space="preserve">(B)(1) The fire chief of the township or fire district may request that the superintendent of BCII obtain information from the federal bureau of investigation as a part of the criminal </w:t>
      </w:r>
      <w:proofErr w:type="gramStart"/>
      <w:r w:rsidRPr="00425EAF">
        <w:t>records check</w:t>
      </w:r>
      <w:proofErr w:type="gramEnd"/>
      <w:r w:rsidRPr="00425EAF">
        <w:t xml:space="preserve"> requested pursuant to division (A) of this section.</w:t>
      </w:r>
    </w:p>
    <w:p w14:paraId="04FF7644" w14:textId="77777777" w:rsidR="00AB5980" w:rsidRPr="00425EAF" w:rsidRDefault="00AB5980" w:rsidP="00AB5980">
      <w:pPr>
        <w:pStyle w:val="NoSpacing"/>
        <w:ind w:left="720"/>
      </w:pPr>
      <w:r w:rsidRPr="00425EAF">
        <w:t xml:space="preserve">(2) A fire chief authorized by division (A) of this section to request a criminal records check shall provide to each person for whom the fire chief intends to request a criminal records check a copy of the form prescribed pursuant to division (C)(1) of section </w:t>
      </w:r>
      <w:hyperlink r:id="rId1012" w:history="1">
        <w:r w:rsidRPr="00425EAF">
          <w:rPr>
            <w:rStyle w:val="Hyperlink"/>
            <w:color w:val="auto"/>
            <w:u w:val="none"/>
          </w:rPr>
          <w:t>109.578</w:t>
        </w:r>
      </w:hyperlink>
      <w:r w:rsidRPr="00425EAF">
        <w:t xml:space="preserve"> of the Revised Code and a standard impression sheet to obtain fingerprint impressions prescribed pursuant to division (C)(2) of section </w:t>
      </w:r>
      <w:hyperlink r:id="rId1013" w:history="1">
        <w:r w:rsidRPr="00425EAF">
          <w:rPr>
            <w:rStyle w:val="Hyperlink"/>
            <w:color w:val="auto"/>
            <w:u w:val="none"/>
          </w:rPr>
          <w:t>109.578</w:t>
        </w:r>
      </w:hyperlink>
      <w:r w:rsidRPr="00425EAF">
        <w:t xml:space="preserve"> of the Revised Code, obtain the completed form and impression sheet from the person, and forward the completed form and impression sheet to the superintendent of BCII at the time the criminal records check is requested.</w:t>
      </w:r>
    </w:p>
    <w:p w14:paraId="5768AF25" w14:textId="77777777" w:rsidR="00AB5980" w:rsidRPr="00425EAF" w:rsidRDefault="00AB5980" w:rsidP="00AB5980">
      <w:pPr>
        <w:pStyle w:val="NoSpacing"/>
        <w:ind w:left="720"/>
      </w:pPr>
      <w:r w:rsidRPr="00425EAF">
        <w:t>(3) Any person subject to a criminal records check who receives a copy of the form and a copy of the impression sheet pursuant to division (B)(2) of this section and who is requested to complete the form and provide a set of fingerprint impressions shall complete the form or provide all the information necessary to complete the form and shall provide the impression sheet with the impressions of the person's fingerprints. If a person fails to provide the information necessary to complete the form or fails to provide impressions of the person's fingerprints, the appointing authority shall not appoint or employ the person as a permanent, full-time paid firefighter or a volunteer firefighter.</w:t>
      </w:r>
    </w:p>
    <w:p w14:paraId="6614113B" w14:textId="77777777" w:rsidR="00AB5980" w:rsidRPr="00425EAF" w:rsidRDefault="00AB5980" w:rsidP="00AB5980">
      <w:pPr>
        <w:pStyle w:val="NoSpacing"/>
      </w:pPr>
    </w:p>
    <w:p w14:paraId="49183B16" w14:textId="77777777" w:rsidR="00AB5980" w:rsidRDefault="00AB5980" w:rsidP="00EF1133">
      <w:pPr>
        <w:rPr>
          <w:rFonts w:ascii="Arial Black" w:hAnsi="Arial Black"/>
          <w:b/>
          <w:sz w:val="28"/>
          <w:szCs w:val="28"/>
        </w:rPr>
      </w:pPr>
    </w:p>
    <w:p w14:paraId="1FFB59A0" w14:textId="77777777" w:rsidR="00AB5980" w:rsidRDefault="00AB5980" w:rsidP="00EF1133">
      <w:pPr>
        <w:rPr>
          <w:rFonts w:ascii="Arial Black" w:hAnsi="Arial Black"/>
          <w:b/>
          <w:sz w:val="28"/>
          <w:szCs w:val="28"/>
        </w:rPr>
      </w:pPr>
    </w:p>
    <w:p w14:paraId="53A6A14E" w14:textId="419F8698" w:rsidR="00221DD4" w:rsidRDefault="00221DD4" w:rsidP="00EF1133">
      <w:pPr>
        <w:rPr>
          <w:rFonts w:ascii="Arial Black" w:hAnsi="Arial Black"/>
          <w:b/>
          <w:sz w:val="24"/>
          <w:szCs w:val="24"/>
        </w:rPr>
      </w:pPr>
      <w:r>
        <w:rPr>
          <w:rFonts w:ascii="Arial Black" w:hAnsi="Arial Black"/>
          <w:b/>
          <w:sz w:val="28"/>
          <w:szCs w:val="28"/>
        </w:rPr>
        <w:t>6-182</w:t>
      </w:r>
    </w:p>
    <w:p w14:paraId="0C180BC4" w14:textId="77777777" w:rsidR="00893575" w:rsidRPr="00CB350E" w:rsidRDefault="00893575" w:rsidP="00893575">
      <w:pPr>
        <w:pStyle w:val="NoSpacing"/>
        <w:rPr>
          <w:rFonts w:ascii="Arial Black" w:hAnsi="Arial Black"/>
          <w:sz w:val="28"/>
          <w:szCs w:val="28"/>
        </w:rPr>
      </w:pPr>
      <w:r>
        <w:rPr>
          <w:rFonts w:ascii="Arial Black" w:hAnsi="Arial Black"/>
          <w:sz w:val="28"/>
          <w:szCs w:val="28"/>
        </w:rPr>
        <w:t>NY: FF FOOT INJURED ON FIRE BOAT – CASE PROCEED</w:t>
      </w:r>
    </w:p>
    <w:p w14:paraId="11882251" w14:textId="77777777" w:rsidR="00893575" w:rsidRDefault="00893575" w:rsidP="00893575">
      <w:pPr>
        <w:pStyle w:val="NoSpacing"/>
      </w:pPr>
    </w:p>
    <w:p w14:paraId="2E99352C" w14:textId="77777777" w:rsidR="00893575" w:rsidRDefault="00893575" w:rsidP="00893575">
      <w:pPr>
        <w:pStyle w:val="NoSpacing"/>
      </w:pPr>
      <w:r>
        <w:t xml:space="preserve">On April 30, 2026, </w:t>
      </w:r>
      <w:r w:rsidRPr="00C14F25">
        <w:rPr>
          <w:u w:val="single"/>
        </w:rPr>
        <w:t>In Re: In the Matter of the Complaint of Verplanck Fire District, et al. v. Troy Dyckman</w:t>
      </w:r>
      <w:r w:rsidRPr="00DD01C1">
        <w:t>, the</w:t>
      </w:r>
      <w:r>
        <w:t xml:space="preserve"> </w:t>
      </w:r>
      <w:r w:rsidRPr="00DD01C1">
        <w:t>United States Court of Appeals for Second District</w:t>
      </w:r>
      <w:r>
        <w:t xml:space="preserve"> (New York City) held (3 to 0) that the firefighter lawsuit seeking damages for breach of “warranty of seaworthiness may proceed under federal maritime law.  He was a volunteer firefighter while aboard 25-foot Marine I, owned by the Verplanck Fire District on August 9, </w:t>
      </w:r>
      <w:proofErr w:type="gramStart"/>
      <w:r>
        <w:t>2020</w:t>
      </w:r>
      <w:proofErr w:type="gramEnd"/>
      <w:r>
        <w:t xml:space="preserve"> to the reported site of a boat fire on the Hudson River, when he </w:t>
      </w:r>
      <w:r w:rsidRPr="00815FFD">
        <w:t xml:space="preserve">extended his leg to fend off a collision with </w:t>
      </w:r>
      <w:r>
        <w:t xml:space="preserve">West Chester County police </w:t>
      </w:r>
      <w:r w:rsidRPr="00815FFD">
        <w:t>vessel.</w:t>
      </w:r>
      <w:r>
        <w:t xml:space="preserve">  His foot was crushed between the boats; he has since undergone two surgeries. Under the New York State Volunteer Firefighters’ Benefit Law, his medical expenses are paid by the FD, plus he is paid $500 every two weeks for loss of income while injured.  Under the New York Volunteer Fireman’s statute, workers comp is his sole remedy, but federal maritime law allowing lawsuits for breach of “warranty of seaworthiness” may override that state law – case remanded for discovery.  </w:t>
      </w:r>
      <w:hyperlink r:id="rId1014" w:history="1">
        <w:r w:rsidRPr="00EF04F6">
          <w:rPr>
            <w:rStyle w:val="Hyperlink"/>
          </w:rPr>
          <w:t>https://cases.justia.com/federal/appellate-courts/ca2/23-1218/23-1218-2026-04-30.pdf?ts=1777566611</w:t>
        </w:r>
      </w:hyperlink>
      <w:r>
        <w:t xml:space="preserve"> </w:t>
      </w:r>
    </w:p>
    <w:p w14:paraId="4699B838" w14:textId="77777777" w:rsidR="00893575" w:rsidRDefault="00893575" w:rsidP="00893575">
      <w:pPr>
        <w:pStyle w:val="NoSpacing"/>
      </w:pPr>
    </w:p>
    <w:p w14:paraId="123D1104" w14:textId="77777777" w:rsidR="00893575" w:rsidRDefault="00893575" w:rsidP="00893575">
      <w:pPr>
        <w:pStyle w:val="NoSpacing"/>
      </w:pPr>
      <w:r>
        <w:t>THE COURT HELD:</w:t>
      </w:r>
    </w:p>
    <w:p w14:paraId="4BC283AB" w14:textId="77777777" w:rsidR="00893575" w:rsidRDefault="00893575" w:rsidP="00893575">
      <w:pPr>
        <w:pStyle w:val="NoSpacing"/>
      </w:pPr>
    </w:p>
    <w:p w14:paraId="00422053" w14:textId="77777777" w:rsidR="00893575" w:rsidRDefault="00893575" w:rsidP="00893575">
      <w:pPr>
        <w:pStyle w:val="NoSpacing"/>
        <w:ind w:left="720"/>
      </w:pPr>
      <w:r>
        <w:t>“[Footnote 1.] “Dyckman testified in his deposition that he went to the front of the boat to ‘get the ropes ready to tie off in the front,’ either on the instruction of a colleague or his own initiative, purportedly to secure the boat by tying it to a mooring or vessel.</w:t>
      </w:r>
    </w:p>
    <w:p w14:paraId="03DEC488" w14:textId="77777777" w:rsidR="00893575" w:rsidRDefault="00893575" w:rsidP="00893575">
      <w:pPr>
        <w:pStyle w:val="NoSpacing"/>
        <w:ind w:left="720"/>
      </w:pPr>
    </w:p>
    <w:p w14:paraId="1426479D" w14:textId="77777777" w:rsidR="00893575" w:rsidRDefault="00893575" w:rsidP="00893575">
      <w:pPr>
        <w:pStyle w:val="NoSpacing"/>
        <w:ind w:left="720"/>
      </w:pPr>
      <w:r>
        <w:t>***</w:t>
      </w:r>
    </w:p>
    <w:p w14:paraId="1B960859" w14:textId="77777777" w:rsidR="00893575" w:rsidRDefault="00893575" w:rsidP="00893575">
      <w:pPr>
        <w:pStyle w:val="NoSpacing"/>
        <w:ind w:left="720"/>
      </w:pPr>
      <w:r>
        <w:t xml:space="preserve">Nothing in the logic of </w:t>
      </w:r>
      <w:r w:rsidRPr="00546785">
        <w:rPr>
          <w:i/>
          <w:iCs/>
        </w:rPr>
        <w:t>Sieracki</w:t>
      </w:r>
      <w:r>
        <w:t xml:space="preserve"> [U.S. Supreme Court - </w:t>
      </w:r>
      <w:r w:rsidRPr="005A0F3E">
        <w:t>Seas Shipping Co. v. Sieracki, 328 U.S. 85 (1946</w:t>
      </w:r>
      <w:r>
        <w:t>] or its progeny has suggested that, while workers employed by an independent stevedoring contractor may recover from the shipowner for unseaworthy conditions, workers employed by a shipowner in its own land-based stevedoring operation may not.</w:t>
      </w:r>
    </w:p>
    <w:p w14:paraId="65CAF55D" w14:textId="77777777" w:rsidR="00893575" w:rsidRDefault="00893575" w:rsidP="00893575">
      <w:pPr>
        <w:pStyle w:val="NoSpacing"/>
        <w:ind w:left="720"/>
      </w:pPr>
    </w:p>
    <w:p w14:paraId="3633EDBB" w14:textId="77777777" w:rsidR="00893575" w:rsidRDefault="00893575" w:rsidP="00893575">
      <w:pPr>
        <w:pStyle w:val="NoSpacing"/>
        <w:ind w:left="720"/>
      </w:pPr>
      <w:r>
        <w:t>***</w:t>
      </w:r>
    </w:p>
    <w:p w14:paraId="0133E12D" w14:textId="77777777" w:rsidR="00893575" w:rsidRDefault="00893575" w:rsidP="00893575">
      <w:pPr>
        <w:pStyle w:val="NoSpacing"/>
        <w:ind w:left="720"/>
      </w:pPr>
      <w:r>
        <w:t xml:space="preserve">The relevant issue for us is whether Dyckman was covered by the Act. Dyckman, as explained below, is not covered by the Act [Limitation of Liability Act of 1851, 46 U.S.C. § 30523.]  because he is a </w:t>
      </w:r>
      <w:proofErr w:type="gramStart"/>
      <w:r>
        <w:t>governmental</w:t>
      </w:r>
      <w:proofErr w:type="gramEnd"/>
      <w:r>
        <w:t xml:space="preserve"> employee. Because he is excluded as a governmental employee, the fact that he is neither an independent contractor nor employed by one is of no significance as to whether he is or is not covered under the Act.</w:t>
      </w:r>
    </w:p>
    <w:p w14:paraId="3E521E57" w14:textId="77777777" w:rsidR="00893575" w:rsidRDefault="00893575" w:rsidP="00893575">
      <w:pPr>
        <w:pStyle w:val="NoSpacing"/>
        <w:ind w:left="720"/>
      </w:pPr>
      <w:r>
        <w:t xml:space="preserve">Footnote 2: The Limitation of Liability Act limits the liability of the owner of a vessel to the ‘value of the vessel and pending freight’ so long as the damage, loss, or personal injury was incurred ‘without the privity or knowledge of the owner.’ </w:t>
      </w:r>
    </w:p>
    <w:p w14:paraId="6F62C2C6" w14:textId="77777777" w:rsidR="00893575" w:rsidRDefault="00893575" w:rsidP="00893575">
      <w:pPr>
        <w:pStyle w:val="NoSpacing"/>
        <w:ind w:left="720"/>
      </w:pPr>
    </w:p>
    <w:p w14:paraId="3AD72310" w14:textId="77777777" w:rsidR="00893575" w:rsidRDefault="00893575" w:rsidP="00893575">
      <w:pPr>
        <w:pStyle w:val="NoSpacing"/>
        <w:ind w:left="720"/>
      </w:pPr>
      <w:r>
        <w:t>***</w:t>
      </w:r>
    </w:p>
    <w:p w14:paraId="6A68DD79" w14:textId="77777777" w:rsidR="00893575" w:rsidRDefault="00893575" w:rsidP="00893575">
      <w:pPr>
        <w:pStyle w:val="NoSpacing"/>
        <w:ind w:left="720"/>
      </w:pPr>
      <w:r>
        <w:t xml:space="preserve">We leave it to the proceedings in the district court on </w:t>
      </w:r>
      <w:proofErr w:type="gramStart"/>
      <w:r>
        <w:t>remand</w:t>
      </w:r>
      <w:proofErr w:type="gramEnd"/>
      <w:r>
        <w:t xml:space="preserve"> to determine</w:t>
      </w:r>
    </w:p>
    <w:p w14:paraId="540561CB" w14:textId="77777777" w:rsidR="00893575" w:rsidRDefault="00893575" w:rsidP="00893575">
      <w:pPr>
        <w:pStyle w:val="NoSpacing"/>
        <w:ind w:left="720"/>
      </w:pPr>
      <w:r>
        <w:t>whether this evidence should be believed and whether Dyckman was doing</w:t>
      </w:r>
    </w:p>
    <w:p w14:paraId="6D8585BB" w14:textId="77777777" w:rsidR="00893575" w:rsidRDefault="00893575" w:rsidP="00893575">
      <w:pPr>
        <w:pStyle w:val="NoSpacing"/>
        <w:ind w:left="720"/>
      </w:pPr>
      <w:r>
        <w:t>seaman’s work and incurring a seaman’s hazards.”</w:t>
      </w:r>
    </w:p>
    <w:p w14:paraId="366840BC" w14:textId="77777777" w:rsidR="00893575" w:rsidRDefault="00893575" w:rsidP="00893575">
      <w:pPr>
        <w:pStyle w:val="NoSpacing"/>
        <w:ind w:left="720"/>
      </w:pPr>
    </w:p>
    <w:p w14:paraId="5888320E" w14:textId="77777777" w:rsidR="00893575" w:rsidRPr="007F2593" w:rsidRDefault="00893575" w:rsidP="00893575">
      <w:pPr>
        <w:pStyle w:val="NoSpacing"/>
        <w:rPr>
          <w:b/>
          <w:bCs/>
        </w:rPr>
      </w:pPr>
      <w:r>
        <w:rPr>
          <w:b/>
        </w:rPr>
        <w:t xml:space="preserve">Legal lesson learned: Workers’ comp is normally only remedy for </w:t>
      </w:r>
      <w:proofErr w:type="gramStart"/>
      <w:r>
        <w:rPr>
          <w:b/>
        </w:rPr>
        <w:t>firefighter</w:t>
      </w:r>
      <w:proofErr w:type="gramEnd"/>
      <w:r>
        <w:rPr>
          <w:b/>
        </w:rPr>
        <w:t xml:space="preserve"> seeking claims against his FD. </w:t>
      </w:r>
    </w:p>
    <w:p w14:paraId="7BF5210B" w14:textId="77777777" w:rsidR="00893575" w:rsidRPr="00C14F25" w:rsidRDefault="00893575" w:rsidP="00893575">
      <w:pPr>
        <w:pStyle w:val="NoSpacing"/>
        <w:rPr>
          <w:u w:val="single"/>
        </w:rPr>
      </w:pPr>
    </w:p>
    <w:p w14:paraId="06019AA9" w14:textId="77777777" w:rsidR="00893575" w:rsidRDefault="00893575" w:rsidP="00893575">
      <w:pPr>
        <w:pStyle w:val="NoSpacing"/>
      </w:pPr>
    </w:p>
    <w:p w14:paraId="31B216A3" w14:textId="77777777" w:rsidR="0092471F" w:rsidRDefault="0092471F" w:rsidP="000624FD">
      <w:pPr>
        <w:pStyle w:val="NoSpacing"/>
        <w:rPr>
          <w:rFonts w:ascii="Arial Black" w:hAnsi="Arial Black"/>
          <w:b/>
          <w:sz w:val="28"/>
          <w:szCs w:val="28"/>
        </w:rPr>
      </w:pPr>
    </w:p>
    <w:p w14:paraId="6979F8A7" w14:textId="77777777" w:rsidR="0092471F" w:rsidRDefault="0092471F" w:rsidP="000624FD">
      <w:pPr>
        <w:pStyle w:val="NoSpacing"/>
        <w:rPr>
          <w:rFonts w:ascii="Arial Black" w:hAnsi="Arial Black"/>
          <w:b/>
          <w:sz w:val="28"/>
          <w:szCs w:val="28"/>
        </w:rPr>
      </w:pPr>
    </w:p>
    <w:p w14:paraId="7E5A09BD" w14:textId="77777777" w:rsidR="0092471F" w:rsidRDefault="0092471F" w:rsidP="000624FD">
      <w:pPr>
        <w:pStyle w:val="NoSpacing"/>
        <w:rPr>
          <w:rFonts w:ascii="Arial Black" w:hAnsi="Arial Black"/>
          <w:b/>
          <w:sz w:val="28"/>
          <w:szCs w:val="28"/>
        </w:rPr>
      </w:pPr>
    </w:p>
    <w:p w14:paraId="64226EC6" w14:textId="0745083F" w:rsidR="00035385" w:rsidRDefault="00035385" w:rsidP="000624FD">
      <w:pPr>
        <w:pStyle w:val="NoSpacing"/>
        <w:rPr>
          <w:rFonts w:ascii="Arial Black" w:hAnsi="Arial Black"/>
          <w:b/>
          <w:sz w:val="28"/>
          <w:szCs w:val="28"/>
        </w:rPr>
      </w:pPr>
      <w:r>
        <w:rPr>
          <w:rFonts w:ascii="Arial Black" w:hAnsi="Arial Black"/>
          <w:b/>
          <w:sz w:val="28"/>
          <w:szCs w:val="28"/>
        </w:rPr>
        <w:t>6-181</w:t>
      </w:r>
    </w:p>
    <w:p w14:paraId="74F3F171" w14:textId="77777777" w:rsidR="00035385" w:rsidRDefault="00035385" w:rsidP="000624FD">
      <w:pPr>
        <w:pStyle w:val="NoSpacing"/>
        <w:rPr>
          <w:rFonts w:ascii="Arial Black" w:hAnsi="Arial Black"/>
          <w:b/>
          <w:sz w:val="28"/>
          <w:szCs w:val="28"/>
        </w:rPr>
      </w:pPr>
    </w:p>
    <w:p w14:paraId="54EC177A" w14:textId="77777777" w:rsidR="007B6232" w:rsidRDefault="007B6232" w:rsidP="007B6232">
      <w:pPr>
        <w:pStyle w:val="NoSpacing"/>
        <w:rPr>
          <w:rFonts w:ascii="Arial Black" w:hAnsi="Arial Black"/>
          <w:b/>
          <w:sz w:val="28"/>
          <w:szCs w:val="28"/>
        </w:rPr>
      </w:pPr>
      <w:r>
        <w:rPr>
          <w:rFonts w:ascii="Arial Black" w:hAnsi="Arial Black"/>
          <w:b/>
          <w:sz w:val="28"/>
          <w:szCs w:val="28"/>
        </w:rPr>
        <w:t xml:space="preserve">NY: FDNY - 7 BACK INJURIES – DEGENERATIVE / NO ADR </w:t>
      </w:r>
    </w:p>
    <w:p w14:paraId="004D7752" w14:textId="77777777" w:rsidR="007B6232" w:rsidRDefault="007B6232" w:rsidP="007B6232">
      <w:pPr>
        <w:pStyle w:val="NoSpacing"/>
        <w:rPr>
          <w:rFonts w:ascii="Arial Black" w:hAnsi="Arial Black"/>
          <w:b/>
          <w:sz w:val="28"/>
          <w:szCs w:val="28"/>
        </w:rPr>
      </w:pPr>
    </w:p>
    <w:p w14:paraId="36E729A8" w14:textId="77777777" w:rsidR="007B6232" w:rsidRDefault="007B6232" w:rsidP="007B6232">
      <w:pPr>
        <w:pStyle w:val="NoSpacing"/>
      </w:pPr>
      <w:r w:rsidRPr="00426EAE">
        <w:t xml:space="preserve">On February 24, 2026, in </w:t>
      </w:r>
      <w:r w:rsidRPr="00DE0863">
        <w:rPr>
          <w:u w:val="single"/>
        </w:rPr>
        <w:t>Marcus Cevallos v. Robert Tucker, as the Fire Commissioner of the City of New York</w:t>
      </w:r>
      <w:r>
        <w:t xml:space="preserve">, Judge </w:t>
      </w:r>
      <w:r w:rsidRPr="00505C38">
        <w:t xml:space="preserve">Kathleen Waterman-Marshall, </w:t>
      </w:r>
      <w:r w:rsidRPr="00DE0863">
        <w:t>Supreme Court, New York County</w:t>
      </w:r>
      <w:r>
        <w:t xml:space="preserve">, held that plaintiff was properly awarded only ordinary disability retirement (ODR), and denied </w:t>
      </w:r>
      <w:r w:rsidRPr="009B77E9">
        <w:t>Accident Disability Retirement</w:t>
      </w:r>
      <w:r>
        <w:t xml:space="preserve"> (ADR) because his medical history revealed </w:t>
      </w:r>
      <w:r w:rsidRPr="00EC6C51">
        <w:t xml:space="preserve">degenerative changes and not </w:t>
      </w:r>
      <w:r>
        <w:t>changes cause by his workplace injuries. B</w:t>
      </w:r>
      <w:r w:rsidRPr="0058637B">
        <w:t xml:space="preserve">etween March 2014 and August 2022, </w:t>
      </w:r>
      <w:r>
        <w:t xml:space="preserve">he </w:t>
      </w:r>
      <w:r w:rsidRPr="0058637B">
        <w:t xml:space="preserve">suffered seven </w:t>
      </w:r>
      <w:r>
        <w:t xml:space="preserve">documented </w:t>
      </w:r>
      <w:proofErr w:type="gramStart"/>
      <w:r w:rsidRPr="0058637B">
        <w:t>line</w:t>
      </w:r>
      <w:proofErr w:type="gramEnd"/>
      <w:r w:rsidRPr="0058637B">
        <w:t xml:space="preserve"> of duty injuries to his back</w:t>
      </w:r>
      <w:r>
        <w:t xml:space="preserve">, but on March 29, </w:t>
      </w:r>
      <w:r w:rsidRPr="00EC6C51">
        <w:t xml:space="preserve">2014, </w:t>
      </w:r>
      <w:r>
        <w:t xml:space="preserve">he </w:t>
      </w:r>
      <w:r w:rsidRPr="00EC6C51">
        <w:t xml:space="preserve">was seen in the emergency room at Phelps Memorial </w:t>
      </w:r>
      <w:proofErr w:type="gramStart"/>
      <w:r w:rsidRPr="00EC6C51">
        <w:t xml:space="preserve">Hospital, </w:t>
      </w:r>
      <w:r>
        <w:t>and</w:t>
      </w:r>
      <w:proofErr w:type="gramEnd"/>
      <w:r>
        <w:t xml:space="preserve"> </w:t>
      </w:r>
      <w:r w:rsidRPr="00EC6C51">
        <w:t>told the examiner that he had "chronic back pain and was taking Naprosyn." This is less than a year on the job, with no previous injur</w:t>
      </w:r>
      <w:r>
        <w:t>ies</w:t>
      </w:r>
      <w:r w:rsidRPr="00EC6C51">
        <w:t xml:space="preserve"> to his back. </w:t>
      </w:r>
      <w:r>
        <w:t xml:space="preserve"> </w:t>
      </w:r>
      <w:hyperlink r:id="rId1015" w:history="1">
        <w:r w:rsidRPr="00502BCE">
          <w:rPr>
            <w:rStyle w:val="Hyperlink"/>
          </w:rPr>
          <w:t>https://cases.justia.com/new-york/other-courts/2026-2026-ny-slip-op-30695-u.pdf?ts=1773178122</w:t>
        </w:r>
      </w:hyperlink>
      <w:r>
        <w:t xml:space="preserve"> </w:t>
      </w:r>
    </w:p>
    <w:p w14:paraId="5D35D398" w14:textId="77777777" w:rsidR="007B6232" w:rsidRDefault="007B6232" w:rsidP="007B6232">
      <w:pPr>
        <w:pStyle w:val="NoSpacing"/>
      </w:pPr>
    </w:p>
    <w:p w14:paraId="750353F8" w14:textId="77777777" w:rsidR="007B6232" w:rsidRDefault="007B6232" w:rsidP="007B6232">
      <w:pPr>
        <w:pStyle w:val="NoSpacing"/>
      </w:pPr>
    </w:p>
    <w:p w14:paraId="1BB94490" w14:textId="77777777" w:rsidR="007B6232" w:rsidRDefault="007B6232" w:rsidP="007B6232">
      <w:pPr>
        <w:pStyle w:val="NoSpacing"/>
      </w:pPr>
      <w:r>
        <w:t>THE COURT HELD: “</w:t>
      </w:r>
      <w:r w:rsidRPr="000F7DF4">
        <w:t>Put simply, the Medical Board was presented with competing and arguably conflicting medical evidence concerning the cause of Mr. Cevallos' disability. By way of brief example, on the one hand, the report of Mr. Cevallos' doctor urges that there was no pre-existing condition prior to Mr. Cevallos' line of duty injuries, because he was able to pass the physical exam and the 2012 x-ray showed no structural issues. One the other hand, March 2014 medical records show that Mr. Cevallos complained of chronic back pain as the result of weightlifting, requiring medication, and various radiographic studies revealed degenerative disc herniations and bulges and the absence of an acute injury. The Medical Board was entitled to review the competing evidence and recommend that the disability was caused by degenerative disease, notwithstanding the prior line of duty injuries</w:t>
      </w:r>
      <w:r>
        <w:t>.”</w:t>
      </w:r>
    </w:p>
    <w:p w14:paraId="2D87F858" w14:textId="77777777" w:rsidR="007B6232" w:rsidRDefault="007B6232" w:rsidP="007B6232">
      <w:pPr>
        <w:pStyle w:val="NoSpacing"/>
      </w:pPr>
    </w:p>
    <w:p w14:paraId="544F0C01" w14:textId="77777777" w:rsidR="007B6232" w:rsidRPr="00037C57" w:rsidRDefault="007B6232" w:rsidP="007B6232">
      <w:pPr>
        <w:pStyle w:val="NoSpacing"/>
        <w:rPr>
          <w:b/>
          <w:bCs/>
        </w:rPr>
      </w:pPr>
      <w:r w:rsidRPr="00037C57">
        <w:rPr>
          <w:b/>
        </w:rPr>
        <w:t xml:space="preserve">Legal lesson learned: </w:t>
      </w:r>
      <w:r>
        <w:rPr>
          <w:b/>
        </w:rPr>
        <w:t xml:space="preserve">Courts will generally not “second guess” the Medical Board. </w:t>
      </w:r>
    </w:p>
    <w:p w14:paraId="778C5980" w14:textId="77777777" w:rsidR="007B6232" w:rsidRDefault="007B6232" w:rsidP="007B6232">
      <w:pPr>
        <w:pStyle w:val="NoSpacing"/>
      </w:pPr>
    </w:p>
    <w:p w14:paraId="200870D5" w14:textId="77777777" w:rsidR="00035385" w:rsidRDefault="00035385" w:rsidP="000624FD">
      <w:pPr>
        <w:pStyle w:val="NoSpacing"/>
        <w:rPr>
          <w:rFonts w:ascii="Arial Black" w:hAnsi="Arial Black"/>
          <w:b/>
          <w:sz w:val="28"/>
          <w:szCs w:val="28"/>
        </w:rPr>
      </w:pPr>
    </w:p>
    <w:p w14:paraId="6ABAAB22" w14:textId="77777777" w:rsidR="00035385" w:rsidRDefault="00035385" w:rsidP="000624FD">
      <w:pPr>
        <w:pStyle w:val="NoSpacing"/>
        <w:rPr>
          <w:rFonts w:ascii="Arial Black" w:hAnsi="Arial Black"/>
          <w:b/>
          <w:sz w:val="28"/>
          <w:szCs w:val="28"/>
        </w:rPr>
      </w:pPr>
    </w:p>
    <w:p w14:paraId="517BBB1C" w14:textId="77777777" w:rsidR="00035385" w:rsidRDefault="00035385" w:rsidP="000624FD">
      <w:pPr>
        <w:pStyle w:val="NoSpacing"/>
        <w:rPr>
          <w:rFonts w:ascii="Arial Black" w:hAnsi="Arial Black"/>
          <w:b/>
          <w:sz w:val="28"/>
          <w:szCs w:val="28"/>
        </w:rPr>
      </w:pPr>
    </w:p>
    <w:p w14:paraId="18A1AE36" w14:textId="16443396" w:rsidR="006D2F6D" w:rsidRDefault="006D2F6D" w:rsidP="000624FD">
      <w:pPr>
        <w:pStyle w:val="NoSpacing"/>
        <w:rPr>
          <w:rFonts w:ascii="Arial Black" w:hAnsi="Arial Black"/>
          <w:b/>
          <w:sz w:val="28"/>
          <w:szCs w:val="28"/>
        </w:rPr>
      </w:pPr>
      <w:r>
        <w:rPr>
          <w:rFonts w:ascii="Arial Black" w:hAnsi="Arial Black"/>
          <w:b/>
          <w:sz w:val="28"/>
          <w:szCs w:val="28"/>
        </w:rPr>
        <w:t>6-1</w:t>
      </w:r>
      <w:r w:rsidR="00977A84">
        <w:rPr>
          <w:rFonts w:ascii="Arial Black" w:hAnsi="Arial Black"/>
          <w:b/>
          <w:sz w:val="28"/>
          <w:szCs w:val="28"/>
        </w:rPr>
        <w:t>80</w:t>
      </w:r>
    </w:p>
    <w:p w14:paraId="6F955B6E" w14:textId="77777777" w:rsidR="006D2F6D" w:rsidRPr="00D908BA" w:rsidRDefault="006D2F6D" w:rsidP="006D2F6D">
      <w:pPr>
        <w:pStyle w:val="NoSpacing"/>
        <w:rPr>
          <w:rFonts w:ascii="Arial Black" w:hAnsi="Arial Black"/>
          <w:b/>
          <w:sz w:val="28"/>
          <w:szCs w:val="28"/>
        </w:rPr>
      </w:pPr>
      <w:r>
        <w:rPr>
          <w:rFonts w:ascii="Arial Black" w:hAnsi="Arial Black"/>
          <w:b/>
          <w:sz w:val="28"/>
          <w:szCs w:val="28"/>
        </w:rPr>
        <w:t>WV: RIGHT KNEE – GETS WORK COMP / SURGEON’S RPT</w:t>
      </w:r>
    </w:p>
    <w:p w14:paraId="4FE170CA" w14:textId="77777777" w:rsidR="006D2F6D" w:rsidRDefault="006D2F6D" w:rsidP="006D2F6D">
      <w:pPr>
        <w:pStyle w:val="NoSpacing"/>
        <w:rPr>
          <w:b/>
        </w:rPr>
      </w:pPr>
    </w:p>
    <w:p w14:paraId="16B0C988" w14:textId="77777777" w:rsidR="006D2F6D" w:rsidRDefault="006D2F6D" w:rsidP="006D2F6D">
      <w:pPr>
        <w:pStyle w:val="NoSpacing"/>
      </w:pPr>
      <w:r>
        <w:t xml:space="preserve">On February 27, 2026, in </w:t>
      </w:r>
      <w:r w:rsidRPr="009E3073">
        <w:rPr>
          <w:u w:val="single"/>
        </w:rPr>
        <w:t>City of Wheeling v. Cody Melsop</w:t>
      </w:r>
      <w:r>
        <w:t xml:space="preserve">, the </w:t>
      </w:r>
      <w:r w:rsidRPr="009E3073">
        <w:t>West Virginia Intermediate Court of Appeals</w:t>
      </w:r>
      <w:r>
        <w:t xml:space="preserve"> held (5 to 0) that the firefighter was entitled to worker comp;  his right knee surgery was required because of the December 21, </w:t>
      </w:r>
      <w:proofErr w:type="gramStart"/>
      <w:r>
        <w:t>2023</w:t>
      </w:r>
      <w:proofErr w:type="gramEnd"/>
      <w:r>
        <w:t xml:space="preserve"> injury carrying a tote up the stairs, not because of his </w:t>
      </w:r>
      <w:r w:rsidRPr="00B63D1A">
        <w:t>degenerative</w:t>
      </w:r>
      <w:r>
        <w:t xml:space="preserve"> knee condition.  H</w:t>
      </w:r>
      <w:r w:rsidRPr="007B64B1">
        <w:t>e was carrying a large tote with about forty pounds of supplies from the laundry room, which is downstairs, and he proceeded up the stairs</w:t>
      </w:r>
      <w:r>
        <w:t xml:space="preserve">, when </w:t>
      </w:r>
      <w:r w:rsidRPr="007B64B1">
        <w:t xml:space="preserve"> about halfway up the stairs, he felt an excruciating pain in his right knee and immediately thereafter felt a loss of stability and that his knee was weak.</w:t>
      </w:r>
      <w:r>
        <w:t xml:space="preserve">  An </w:t>
      </w:r>
      <w:r w:rsidRPr="009916E8">
        <w:t xml:space="preserve">MRI </w:t>
      </w:r>
      <w:r>
        <w:t>did r</w:t>
      </w:r>
      <w:r w:rsidRPr="009916E8">
        <w:t>eveal an irregularity at the posterior horn of the medial meniscus without displaced tearing</w:t>
      </w:r>
      <w:r>
        <w:t xml:space="preserve">, but his surgeon who performed the surgery reported the knee injury was </w:t>
      </w:r>
      <w:proofErr w:type="gramStart"/>
      <w:r>
        <w:t>as a result of</w:t>
      </w:r>
      <w:proofErr w:type="gramEnd"/>
      <w:r>
        <w:t xml:space="preserve"> the workplace in jury. The </w:t>
      </w:r>
      <w:r w:rsidRPr="001A72CC">
        <w:t>Workers' Compensation Board of Review</w:t>
      </w:r>
      <w:r>
        <w:t xml:space="preserve"> relied on the report of the surgeon, reversing the Hearing Officer who relied on the work comp retained doctor.  </w:t>
      </w:r>
      <w:hyperlink r:id="rId1016" w:history="1">
        <w:r w:rsidRPr="00CB2F3F">
          <w:rPr>
            <w:rStyle w:val="Hyperlink"/>
          </w:rPr>
          <w:t>https://www.courtswv.gov/sites/default/pubfilesmnt/2026-02/25-ICA-338_MD.pdf</w:t>
        </w:r>
      </w:hyperlink>
      <w:r>
        <w:t xml:space="preserve"> </w:t>
      </w:r>
    </w:p>
    <w:p w14:paraId="17301936" w14:textId="77777777" w:rsidR="006D2F6D" w:rsidRDefault="006D2F6D" w:rsidP="006D2F6D">
      <w:pPr>
        <w:pStyle w:val="NoSpacing"/>
      </w:pPr>
    </w:p>
    <w:p w14:paraId="2B43E5F0" w14:textId="77777777" w:rsidR="006D2F6D" w:rsidRDefault="006D2F6D" w:rsidP="006D2F6D">
      <w:pPr>
        <w:pStyle w:val="NoSpacing"/>
      </w:pPr>
      <w:r>
        <w:t>THE COURT HELD:  “</w:t>
      </w:r>
      <w:r w:rsidRPr="00B63D1A">
        <w:t xml:space="preserve">Wheeling argues that the Board erred in finding the opinion of Dr. Frank to be more credible than that of Dr. Magone based solely upon Dr. Frank's status as Mr. </w:t>
      </w:r>
      <w:proofErr w:type="spellStart"/>
      <w:r w:rsidRPr="00B63D1A">
        <w:t>Melsop's</w:t>
      </w:r>
      <w:proofErr w:type="spellEnd"/>
      <w:r w:rsidRPr="00B63D1A">
        <w:t xml:space="preserve"> treating physician and Dr. Magone only conducting a records review, when Dr. Magone's opinion is more consistent with Mr. </w:t>
      </w:r>
      <w:proofErr w:type="spellStart"/>
      <w:r w:rsidRPr="00B63D1A">
        <w:t>Melsop's</w:t>
      </w:r>
      <w:proofErr w:type="spellEnd"/>
      <w:r w:rsidRPr="00B63D1A">
        <w:t xml:space="preserve"> medical records. Wheeling further argues that Dr. Frank failed to explain the alleged causal relationship between Mr. </w:t>
      </w:r>
      <w:proofErr w:type="spellStart"/>
      <w:r w:rsidRPr="00B63D1A">
        <w:t>Melsop's</w:t>
      </w:r>
      <w:proofErr w:type="spellEnd"/>
      <w:r w:rsidRPr="00B63D1A">
        <w:t xml:space="preserve"> meniscal tear and his compensable injury, while Dr. Magone's conclusion that Mr. </w:t>
      </w:r>
      <w:proofErr w:type="spellStart"/>
      <w:r w:rsidRPr="00B63D1A">
        <w:t>Melsop's</w:t>
      </w:r>
      <w:proofErr w:type="spellEnd"/>
      <w:r w:rsidRPr="00B63D1A">
        <w:t xml:space="preserve"> tear is degenerative in nature is consistent with his medical records. Wheeling also argues that the Board's award of TTD benefits to Mr. </w:t>
      </w:r>
      <w:proofErr w:type="spellStart"/>
      <w:r w:rsidRPr="00B63D1A">
        <w:t>Melsop</w:t>
      </w:r>
      <w:proofErr w:type="spellEnd"/>
      <w:r w:rsidRPr="00B63D1A">
        <w:t xml:space="preserve"> is based upon its mischaracterization of the evidence that Mr. </w:t>
      </w:r>
      <w:proofErr w:type="spellStart"/>
      <w:r w:rsidRPr="00B63D1A">
        <w:t>Melsop's</w:t>
      </w:r>
      <w:proofErr w:type="spellEnd"/>
      <w:r w:rsidRPr="00B63D1A">
        <w:t xml:space="preserve"> work restrictions cannot be met. We disagree</w:t>
      </w:r>
      <w:r>
        <w:t xml:space="preserve">…. </w:t>
      </w:r>
      <w:r w:rsidRPr="00D25CC2">
        <w:t xml:space="preserve">Upon review, we conclude that the Board was not clearly wrong in finding that the preponderance of the medical evidence establishes that Mr. </w:t>
      </w:r>
      <w:proofErr w:type="spellStart"/>
      <w:r w:rsidRPr="00D25CC2">
        <w:t>Melsop</w:t>
      </w:r>
      <w:proofErr w:type="spellEnd"/>
      <w:r w:rsidRPr="00D25CC2">
        <w:t xml:space="preserve"> sustained a right knee medial meniscal tear </w:t>
      </w:r>
      <w:proofErr w:type="gramStart"/>
      <w:r w:rsidRPr="00D25CC2">
        <w:t>in the course of</w:t>
      </w:r>
      <w:proofErr w:type="gramEnd"/>
      <w:r w:rsidRPr="00D25CC2">
        <w:t xml:space="preserve"> and resulting from his employment.</w:t>
      </w:r>
      <w:r>
        <w:t>”</w:t>
      </w:r>
    </w:p>
    <w:p w14:paraId="66D9004D" w14:textId="77777777" w:rsidR="006D2F6D" w:rsidRDefault="006D2F6D" w:rsidP="006D2F6D">
      <w:pPr>
        <w:pStyle w:val="NoSpacing"/>
      </w:pPr>
    </w:p>
    <w:p w14:paraId="2DED7B31" w14:textId="77777777" w:rsidR="006D2F6D" w:rsidRPr="00F53B2E" w:rsidRDefault="006D2F6D" w:rsidP="006D2F6D">
      <w:pPr>
        <w:pStyle w:val="NoSpacing"/>
        <w:rPr>
          <w:b/>
          <w:bCs/>
        </w:rPr>
      </w:pPr>
      <w:r>
        <w:rPr>
          <w:b/>
        </w:rPr>
        <w:t>Legal lesson learned: Another drawn out battle between a firefighter (with some evidence of a prior degenerative condition) and his employer.</w:t>
      </w:r>
    </w:p>
    <w:p w14:paraId="0A9BCBE3" w14:textId="77777777" w:rsidR="006D2F6D" w:rsidRDefault="006D2F6D" w:rsidP="006D2F6D">
      <w:pPr>
        <w:pStyle w:val="NoSpacing"/>
      </w:pPr>
    </w:p>
    <w:p w14:paraId="15E98913" w14:textId="77777777" w:rsidR="006D2F6D" w:rsidRPr="001D2DCA" w:rsidRDefault="006D2F6D" w:rsidP="006D2F6D">
      <w:pPr>
        <w:pStyle w:val="NoSpacing"/>
        <w:ind w:left="720"/>
      </w:pPr>
      <w:r>
        <w:t>Note: “</w:t>
      </w:r>
      <w:r w:rsidRPr="001D2DCA">
        <w:t>On April 29, 2025, this Court issued a memorandum decision affirming the Board's order. See City of Wheeling v. Melsop, No. 24-ICA-379, 2025 WL 1249650 (W.Va. Ct. App. April 29, 2025) (memorandum decision). On October 21, 2025, the Supreme Court of Appeals of West Virginia affirmed this Court's decision. See City of Wheeling v. Melsop, No. 25-382, 2025 WL 2962901 (W.Va. Oct. 21, 2025) (memorandum decision).</w:t>
      </w:r>
      <w:r>
        <w:t>”</w:t>
      </w:r>
    </w:p>
    <w:p w14:paraId="0C4C8BA1" w14:textId="77777777" w:rsidR="006D2F6D" w:rsidRDefault="006D2F6D" w:rsidP="000624FD">
      <w:pPr>
        <w:pStyle w:val="NoSpacing"/>
        <w:rPr>
          <w:rFonts w:ascii="Arial Black" w:hAnsi="Arial Black"/>
          <w:b/>
          <w:sz w:val="28"/>
          <w:szCs w:val="28"/>
        </w:rPr>
      </w:pPr>
    </w:p>
    <w:p w14:paraId="512D3FEF" w14:textId="77777777" w:rsidR="000509A0" w:rsidRDefault="000509A0" w:rsidP="000624FD">
      <w:pPr>
        <w:pStyle w:val="NoSpacing"/>
        <w:rPr>
          <w:rFonts w:ascii="Arial Black" w:hAnsi="Arial Black"/>
          <w:b/>
          <w:sz w:val="28"/>
          <w:szCs w:val="28"/>
        </w:rPr>
      </w:pPr>
    </w:p>
    <w:p w14:paraId="43F796B9" w14:textId="78ADE6CE" w:rsidR="008E1D82" w:rsidRDefault="008E1D82" w:rsidP="000624FD">
      <w:pPr>
        <w:pStyle w:val="NoSpacing"/>
        <w:rPr>
          <w:rFonts w:ascii="Arial Black" w:hAnsi="Arial Black"/>
          <w:b/>
          <w:sz w:val="28"/>
          <w:szCs w:val="28"/>
        </w:rPr>
      </w:pPr>
      <w:r>
        <w:rPr>
          <w:rFonts w:ascii="Arial Black" w:hAnsi="Arial Black"/>
          <w:b/>
          <w:sz w:val="28"/>
          <w:szCs w:val="28"/>
        </w:rPr>
        <w:t>6-17</w:t>
      </w:r>
      <w:r w:rsidR="00977A84">
        <w:rPr>
          <w:rFonts w:ascii="Arial Black" w:hAnsi="Arial Black"/>
          <w:b/>
          <w:sz w:val="28"/>
          <w:szCs w:val="28"/>
        </w:rPr>
        <w:t>9</w:t>
      </w:r>
    </w:p>
    <w:p w14:paraId="611FE522" w14:textId="77777777" w:rsidR="008E1D82" w:rsidRDefault="008E1D82" w:rsidP="000624FD">
      <w:pPr>
        <w:pStyle w:val="NoSpacing"/>
        <w:rPr>
          <w:rFonts w:ascii="Arial Black" w:hAnsi="Arial Black"/>
          <w:b/>
          <w:sz w:val="28"/>
          <w:szCs w:val="28"/>
        </w:rPr>
      </w:pPr>
    </w:p>
    <w:p w14:paraId="36D916A7" w14:textId="77777777" w:rsidR="008E1D82" w:rsidRPr="00FF2EDA" w:rsidRDefault="008E1D82" w:rsidP="008E1D82">
      <w:pPr>
        <w:pStyle w:val="NoSpacing"/>
        <w:rPr>
          <w:rFonts w:ascii="Arial Black" w:hAnsi="Arial Black"/>
          <w:sz w:val="28"/>
          <w:szCs w:val="28"/>
        </w:rPr>
      </w:pPr>
      <w:r>
        <w:rPr>
          <w:rFonts w:ascii="Arial Black" w:hAnsi="Arial Black"/>
          <w:sz w:val="28"/>
          <w:szCs w:val="28"/>
        </w:rPr>
        <w:t xml:space="preserve">FL: MILITARY – NO PROMOTION “PREFERANCE” - </w:t>
      </w:r>
      <w:r w:rsidRPr="00FF2EDA">
        <w:rPr>
          <w:rFonts w:ascii="Arial Black" w:hAnsi="Arial Black"/>
          <w:sz w:val="28"/>
          <w:szCs w:val="28"/>
        </w:rPr>
        <w:t>USERRA</w:t>
      </w:r>
    </w:p>
    <w:p w14:paraId="4146C63B" w14:textId="77777777" w:rsidR="008E1D82" w:rsidRDefault="008E1D82" w:rsidP="008E1D82">
      <w:pPr>
        <w:pStyle w:val="NoSpacing"/>
      </w:pPr>
    </w:p>
    <w:p w14:paraId="532F9CCD" w14:textId="77777777" w:rsidR="008E1D82" w:rsidRDefault="008E1D82" w:rsidP="008E1D82">
      <w:pPr>
        <w:pStyle w:val="NoSpacing"/>
      </w:pPr>
      <w:r>
        <w:t xml:space="preserve">On February 17, 2026, in </w:t>
      </w:r>
      <w:r w:rsidRPr="00D36291">
        <w:rPr>
          <w:u w:val="single"/>
        </w:rPr>
        <w:t>John Kutz v. Bonita Springs Fire Control and Rescue District</w:t>
      </w:r>
      <w:r>
        <w:t>, U.S. District Court Judge Sheri Polster Chappel</w:t>
      </w:r>
      <w:r w:rsidRPr="00FE1D81">
        <w:t>, United States District Court</w:t>
      </w:r>
      <w:r>
        <w:rPr>
          <w:b/>
        </w:rPr>
        <w:t xml:space="preserve"> </w:t>
      </w:r>
      <w:r w:rsidRPr="00D66E4A">
        <w:t>for Middle District of Florida, Fort Myers Division</w:t>
      </w:r>
      <w:r>
        <w:t xml:space="preserve">, denied the defendant’s motion to dismiss, and held that there was some evidence in the Complaint that </w:t>
      </w:r>
      <w:r w:rsidRPr="00180F3F">
        <w:t xml:space="preserve">his membership in the uniformed services </w:t>
      </w:r>
      <w:r>
        <w:t>was “</w:t>
      </w:r>
      <w:r w:rsidRPr="00180F3F">
        <w:t>a motivating factor</w:t>
      </w:r>
      <w:r>
        <w:t>’</w:t>
      </w:r>
      <w:r w:rsidRPr="00180F3F">
        <w:t xml:space="preserve"> in the employer's adverse employment decision</w:t>
      </w:r>
      <w:r>
        <w:t xml:space="preserve"> to not promote him to deputy chief, in violation of the </w:t>
      </w:r>
      <w:r w:rsidRPr="00B56337">
        <w:t xml:space="preserve">Uniformed Services Employment and Reemployment Rights Act of 1994, 38 U.S.C. § 4301, </w:t>
      </w:r>
      <w:r w:rsidRPr="00B56337">
        <w:rPr>
          <w:i/>
          <w:iCs/>
        </w:rPr>
        <w:t>et seq.</w:t>
      </w:r>
      <w:r w:rsidRPr="00B56337">
        <w:t xml:space="preserve"> (</w:t>
      </w:r>
      <w:r>
        <w:t>‘</w:t>
      </w:r>
      <w:r w:rsidRPr="00B56337">
        <w:t>USERRA</w:t>
      </w:r>
      <w:r>
        <w:t>’</w:t>
      </w:r>
      <w:r w:rsidRPr="00B56337">
        <w:t>)</w:t>
      </w:r>
      <w:r>
        <w:t xml:space="preserve">.  The will now proceed to pretrial discovery, but Court also made it clear that </w:t>
      </w:r>
      <w:r w:rsidRPr="00DA3EEF">
        <w:t>while USERRA prevents the denial of promotion on the basis of military service, it does not itself provide a remedy to veterans who are not given preferences in employment decisions</w:t>
      </w:r>
      <w:r>
        <w:t xml:space="preserve">. </w:t>
      </w:r>
      <w:hyperlink r:id="rId1017" w:history="1">
        <w:r w:rsidRPr="002B0907">
          <w:rPr>
            <w:rStyle w:val="Hyperlink"/>
          </w:rPr>
          <w:t>https://public.fastcase.com/Jhe1Qn%2BmJndQYQU6z%2FeNm1SSbD0G3ZEWJh7YHZP1lKvwyFhreCu4Zs3UIv3EdnBK?utm_medium=email&amp;_hsenc=p2ANqtz-9nqm6pHuxrJA2eqp98a7_eI9fDSv0sKlRywY7jloQaZjhwJh8mlE2JmH7OUYiPvznSiiSBN3erALyoe2ilWNUf5RREvQ&amp;_hsmi=226712652&amp;utm_content=226712652&amp;utm_source=hs_email</w:t>
        </w:r>
      </w:hyperlink>
      <w:r>
        <w:t xml:space="preserve"> </w:t>
      </w:r>
    </w:p>
    <w:p w14:paraId="649F365E" w14:textId="77777777" w:rsidR="008E1D82" w:rsidRDefault="008E1D82" w:rsidP="008E1D82">
      <w:pPr>
        <w:pStyle w:val="NoSpacing"/>
      </w:pPr>
    </w:p>
    <w:p w14:paraId="4AF5A271" w14:textId="77777777" w:rsidR="008E1D82" w:rsidRPr="00900740" w:rsidRDefault="008E1D82" w:rsidP="008E1D82">
      <w:pPr>
        <w:pStyle w:val="NoSpacing"/>
      </w:pPr>
      <w:r>
        <w:t>THE COURT HELD:  “</w:t>
      </w:r>
      <w:r w:rsidRPr="00A04B82">
        <w:t>Plaintiff began his employment at Defendant in 2006. In 2015, Plaintiff joined the National Guard. Beginning in 2016, Plaintiff took a leave of absence for an unspecified period to attend basic training. In 2021, Plaintiff deployed for about a year.</w:t>
      </w:r>
      <w:r>
        <w:t xml:space="preserve"> </w:t>
      </w:r>
      <w:r w:rsidRPr="000D4F39">
        <w:t>Upon returning, he re-employed with Defendant as a lieutenant. Along with serving as a lieutenant, Plaintiff volunteered as an acting battalion chief. In doing so, he became eligible for promotion to any full-time battalion chief position</w:t>
      </w:r>
      <w:r>
        <w:t xml:space="preserve">…. </w:t>
      </w:r>
      <w:r w:rsidRPr="00474902">
        <w:t>Sometime later, Plaintiff applied for an open deputy chief position. Three other employees, Captain Kelli Wilson, Lieutenant Giovanni Zamora, and Nic Aracia, also applied</w:t>
      </w:r>
      <w:r>
        <w:t xml:space="preserve">…. </w:t>
      </w:r>
      <w:r w:rsidRPr="0072475D">
        <w:t xml:space="preserve">According to Plaintiff, his qualification of </w:t>
      </w:r>
      <w:r>
        <w:t>‘</w:t>
      </w:r>
      <w:r w:rsidRPr="0072475D">
        <w:t>Fire Officer Three</w:t>
      </w:r>
      <w:r>
        <w:t>’</w:t>
      </w:r>
      <w:r w:rsidRPr="0072475D">
        <w:t xml:space="preserve"> by the National Fire Protection Association made him more qualified than the two other candidates Defendant interviewed. Chief Dewitt acknowledged Plaintiff </w:t>
      </w:r>
      <w:r>
        <w:t>‘</w:t>
      </w:r>
      <w:r w:rsidRPr="0072475D">
        <w:t>may be more qualified</w:t>
      </w:r>
      <w:r>
        <w:t>’</w:t>
      </w:r>
      <w:r w:rsidRPr="0072475D">
        <w:t xml:space="preserve"> but indicated Captain Wilson would receive the promotion.</w:t>
      </w:r>
      <w:r>
        <w:t xml:space="preserve"> </w:t>
      </w:r>
      <w:r w:rsidRPr="00900740">
        <w:t xml:space="preserve">Plaintiff told Assistant Chief Brod that Defendant violated the law regarding veteran preference in hiring. </w:t>
      </w:r>
    </w:p>
    <w:p w14:paraId="4C65B147" w14:textId="77777777" w:rsidR="008E1D82" w:rsidRDefault="008E1D82" w:rsidP="008E1D82">
      <w:pPr>
        <w:pStyle w:val="NoSpacing"/>
      </w:pPr>
      <w:r w:rsidRPr="00787E1B">
        <w:t>On December 2, 2024, Defendant announced Captain Wilson's promotion to the deputy chief position</w:t>
      </w:r>
      <w:r>
        <w:t xml:space="preserve">…. </w:t>
      </w:r>
      <w:r w:rsidRPr="00AF4880">
        <w:t>Plaintiff's union refused to advance the grievance because the deputy chief position “was a non-bargaining position,” and the CBA does not cover Plaintiff's alleged violations.</w:t>
      </w:r>
      <w:r>
        <w:t xml:space="preserve"> *** </w:t>
      </w:r>
      <w:r w:rsidRPr="00180F3F">
        <w:t xml:space="preserve">USERRA prohibits employers from denying uniformed servicemembers “any benefit of employment . . . on the basis of” that service. 38 U.S.C. § 4311(a). To state a claim under USERRA, Plaintiff must allege (1) he qualifies as a member of the protected class of service members; (2) he suffered an adverse employment decision; and (3) his membership in the uniformed services </w:t>
      </w:r>
      <w:r>
        <w:t>‘</w:t>
      </w:r>
      <w:r w:rsidRPr="00180F3F">
        <w:t>is a motivating factor</w:t>
      </w:r>
      <w:r>
        <w:t>’</w:t>
      </w:r>
      <w:r w:rsidRPr="00180F3F">
        <w:t xml:space="preserve"> in the employer's adverse employment decision.</w:t>
      </w:r>
      <w:r>
        <w:t>”</w:t>
      </w:r>
    </w:p>
    <w:p w14:paraId="744EBDAB" w14:textId="77777777" w:rsidR="008E1D82" w:rsidRDefault="008E1D82" w:rsidP="008E1D82">
      <w:pPr>
        <w:pStyle w:val="NoSpacing"/>
      </w:pPr>
    </w:p>
    <w:p w14:paraId="0BCF30E6" w14:textId="77777777" w:rsidR="008E1D82" w:rsidRPr="00180F3F" w:rsidRDefault="008E1D82" w:rsidP="008E1D82">
      <w:pPr>
        <w:pStyle w:val="NoSpacing"/>
        <w:rPr>
          <w:b/>
          <w:bCs/>
        </w:rPr>
      </w:pPr>
      <w:r w:rsidRPr="007707BD">
        <w:rPr>
          <w:b/>
        </w:rPr>
        <w:t xml:space="preserve">Legal lesson learned: </w:t>
      </w:r>
      <w:r>
        <w:rPr>
          <w:b/>
        </w:rPr>
        <w:t xml:space="preserve">Case will now proceed to pre-trial discovery. </w:t>
      </w:r>
    </w:p>
    <w:p w14:paraId="2693B110" w14:textId="77777777" w:rsidR="008E1D82" w:rsidRDefault="008E1D82" w:rsidP="008E1D82">
      <w:pPr>
        <w:pStyle w:val="NoSpacing"/>
      </w:pPr>
    </w:p>
    <w:p w14:paraId="0AFC6D8F" w14:textId="77777777" w:rsidR="008E1D82" w:rsidRDefault="008E1D82" w:rsidP="008E1D82">
      <w:pPr>
        <w:pStyle w:val="NoSpacing"/>
        <w:ind w:left="720"/>
      </w:pPr>
      <w:r>
        <w:t>Note: Footnote 8: “</w:t>
      </w:r>
      <w:r w:rsidRPr="00DA3EEF">
        <w:t>Plaintiff alleges in the Second Amended Complaint that Defendant violated USERRA by failing to comply with Fla. Stat. § 295.09(1)(a), which affords veteran preference in hiring</w:t>
      </w:r>
      <w:r>
        <w:t xml:space="preserve">…. </w:t>
      </w:r>
      <w:r w:rsidRPr="00DA3EEF">
        <w:t xml:space="preserve">While this theory is not addressed in the parties' briefs, the Court rejects it as incognizable. </w:t>
      </w:r>
      <w:r w:rsidRPr="00DA3EEF">
        <w:rPr>
          <w:i/>
          <w:iCs/>
        </w:rPr>
        <w:t>See, e.g.</w:t>
      </w:r>
      <w:r w:rsidRPr="00DA3EEF">
        <w:t xml:space="preserve">, </w:t>
      </w:r>
      <w:r w:rsidRPr="00DA3EEF">
        <w:rPr>
          <w:i/>
          <w:iCs/>
        </w:rPr>
        <w:t>Case v. Judd</w:t>
      </w:r>
      <w:r w:rsidRPr="00DA3EEF">
        <w:t xml:space="preserve">, No. 8:19-CV-607-T-33TGW, 2019 WL 10966204, at *4 (M.D. Fla. Oct. 23, 2019) (“[T]he veteran's preference policies . . . in [Section] 295.09(1)(a) are not ‘benefits of employment' under USERRA. Having made this determination, the Court finds that Case cannot seek relief under 38 U.S.C. § 4311(a) for [defendant's] alleged failure to afford preference to veterans in promotional decisions”); </w:t>
      </w:r>
      <w:r w:rsidRPr="00DA3EEF">
        <w:rPr>
          <w:i/>
          <w:iCs/>
        </w:rPr>
        <w:t xml:space="preserve">see also Wilborn v. </w:t>
      </w:r>
      <w:proofErr w:type="spellStart"/>
      <w:r w:rsidRPr="00DA3EEF">
        <w:rPr>
          <w:i/>
          <w:iCs/>
        </w:rPr>
        <w:t>Dep't</w:t>
      </w:r>
      <w:proofErr w:type="spellEnd"/>
      <w:r w:rsidRPr="00DA3EEF">
        <w:rPr>
          <w:i/>
          <w:iCs/>
        </w:rPr>
        <w:t xml:space="preserve"> of Just.</w:t>
      </w:r>
      <w:r w:rsidRPr="00DA3EEF">
        <w:t>, 230 F.3d 1383, 2000 WL 194114, at *2 (Fed. Cir. 2000) (noting “while USERRA prevents the denial of promotion on the basis of military service, it does not itself provide a remedy to veterans who are not given preferences in employment decisions”).</w:t>
      </w:r>
    </w:p>
    <w:p w14:paraId="1103CA03" w14:textId="77777777" w:rsidR="008E1D82" w:rsidRDefault="008E1D82" w:rsidP="008E1D82">
      <w:pPr>
        <w:pStyle w:val="NoSpacing"/>
      </w:pPr>
    </w:p>
    <w:p w14:paraId="71A98F4F" w14:textId="6C1C41D1" w:rsidR="00191CD7" w:rsidRPr="00977A84" w:rsidRDefault="00191CD7" w:rsidP="008E1D82">
      <w:pPr>
        <w:pStyle w:val="NoSpacing"/>
        <w:rPr>
          <w:rFonts w:ascii="Arial Black" w:hAnsi="Arial Black"/>
          <w:sz w:val="28"/>
          <w:szCs w:val="28"/>
        </w:rPr>
      </w:pPr>
      <w:r w:rsidRPr="00977A84">
        <w:rPr>
          <w:rFonts w:ascii="Arial Black" w:hAnsi="Arial Black"/>
          <w:sz w:val="28"/>
          <w:szCs w:val="28"/>
        </w:rPr>
        <w:t>6-178</w:t>
      </w:r>
    </w:p>
    <w:p w14:paraId="49CEAA64" w14:textId="77777777" w:rsidR="00191CD7" w:rsidRDefault="00191CD7" w:rsidP="008E1D82">
      <w:pPr>
        <w:pStyle w:val="NoSpacing"/>
      </w:pPr>
    </w:p>
    <w:p w14:paraId="28DF3FC2" w14:textId="225729C1" w:rsidR="00191CD7" w:rsidRPr="00977A84" w:rsidRDefault="00191CD7" w:rsidP="00191CD7">
      <w:pPr>
        <w:pStyle w:val="NoSpacing"/>
        <w:rPr>
          <w:rFonts w:ascii="Times New Roman" w:hAnsi="Times New Roman"/>
          <w:b/>
          <w:sz w:val="24"/>
          <w:szCs w:val="24"/>
        </w:rPr>
      </w:pPr>
      <w:r>
        <w:rPr>
          <w:rFonts w:ascii="Arial Black" w:hAnsi="Arial Black"/>
          <w:b/>
          <w:sz w:val="28"/>
          <w:szCs w:val="28"/>
        </w:rPr>
        <w:t>CT: NEW DROP LAW – NOT FF UNDER 55 – CASE PROCEED</w:t>
      </w:r>
      <w:r w:rsidR="00977A84">
        <w:rPr>
          <w:rFonts w:ascii="Arial Black" w:hAnsi="Arial Black"/>
          <w:b/>
          <w:sz w:val="28"/>
          <w:szCs w:val="28"/>
        </w:rPr>
        <w:t xml:space="preserve"> </w:t>
      </w:r>
      <w:r w:rsidR="00977A84" w:rsidRPr="00977A84">
        <w:rPr>
          <w:rFonts w:ascii="Times New Roman" w:hAnsi="Times New Roman"/>
          <w:b/>
          <w:sz w:val="24"/>
          <w:szCs w:val="24"/>
        </w:rPr>
        <w:t>[also filed, Chap. 18]</w:t>
      </w:r>
    </w:p>
    <w:p w14:paraId="179DB026" w14:textId="77777777" w:rsidR="00191CD7" w:rsidRDefault="00191CD7" w:rsidP="00191CD7">
      <w:pPr>
        <w:pStyle w:val="NoSpacing"/>
      </w:pPr>
    </w:p>
    <w:p w14:paraId="177B5DE6" w14:textId="77777777" w:rsidR="00191CD7" w:rsidRDefault="00191CD7" w:rsidP="00191CD7">
      <w:pPr>
        <w:pStyle w:val="NoSpacing"/>
      </w:pPr>
      <w:r>
        <w:t xml:space="preserve">On February 4, 2026, in </w:t>
      </w:r>
      <w:r w:rsidRPr="004C7896">
        <w:rPr>
          <w:u w:val="single"/>
        </w:rPr>
        <w:t>David Dobbs, IAFF Local 834</w:t>
      </w:r>
      <w:r>
        <w:rPr>
          <w:u w:val="single"/>
        </w:rPr>
        <w:t xml:space="preserve">, et al. </w:t>
      </w:r>
      <w:r w:rsidRPr="004C7896">
        <w:rPr>
          <w:u w:val="single"/>
        </w:rPr>
        <w:t xml:space="preserve"> v. Brian Vahey, Chair of the State of Connecticut Municipal Employees Retirement Commission, et al</w:t>
      </w:r>
      <w:r w:rsidRPr="004C7896">
        <w:t>., U.S.</w:t>
      </w:r>
      <w:r>
        <w:rPr>
          <w:u w:val="single"/>
        </w:rPr>
        <w:t xml:space="preserve"> </w:t>
      </w:r>
      <w:r>
        <w:t xml:space="preserve">District Court Judge </w:t>
      </w:r>
    </w:p>
    <w:p w14:paraId="72CE0DF4" w14:textId="77777777" w:rsidR="00191CD7" w:rsidRDefault="00191CD7" w:rsidP="00191CD7">
      <w:pPr>
        <w:pStyle w:val="NoSpacing"/>
      </w:pPr>
      <w:r w:rsidRPr="004F64AC">
        <w:t xml:space="preserve">Sarala V. </w:t>
      </w:r>
      <w:proofErr w:type="spellStart"/>
      <w:r w:rsidRPr="004F64AC">
        <w:t>Nagala</w:t>
      </w:r>
      <w:proofErr w:type="spellEnd"/>
      <w:r w:rsidRPr="00357297">
        <w:t>, United States United States District Court for the District of Connecticut</w:t>
      </w:r>
      <w:r>
        <w:t>, denied the Commission’s motion to dismiss (</w:t>
      </w:r>
      <w:proofErr w:type="gramStart"/>
      <w:r>
        <w:t>and also</w:t>
      </w:r>
      <w:proofErr w:type="gramEnd"/>
      <w:r>
        <w:t xml:space="preserve"> Bridgeport firefighters and Union’s motion for preliminary injunction); case will now proceed with pre-trial discovery.  The Bridgeport firefighters and Local 834 argue that it is age discrimination under the new DROP program to allow some public safety employees (including Plaintiffs) to be eligible to retire—for instance, if they have completed twenty-five years of service—but ineligible to enter the DROP, because they are not yet age 55 and have not completed thirty years of service.  </w:t>
      </w:r>
      <w:hyperlink r:id="rId1018" w:history="1">
        <w:r w:rsidRPr="00FF19A6">
          <w:rPr>
            <w:rStyle w:val="Hyperlink"/>
          </w:rPr>
          <w:t>https://ecf.ctd.uscourts.gov/cgi-bin/show_public_doc?2025cv0824-74</w:t>
        </w:r>
      </w:hyperlink>
      <w:r>
        <w:t xml:space="preserve"> </w:t>
      </w:r>
    </w:p>
    <w:p w14:paraId="65FA3BD4" w14:textId="77777777" w:rsidR="00191CD7" w:rsidRDefault="00191CD7" w:rsidP="00191CD7">
      <w:pPr>
        <w:pStyle w:val="NoSpacing"/>
      </w:pPr>
    </w:p>
    <w:p w14:paraId="4BD62D53" w14:textId="77777777" w:rsidR="00191CD7" w:rsidRDefault="00191CD7" w:rsidP="00191CD7">
      <w:pPr>
        <w:pStyle w:val="NoSpacing"/>
      </w:pPr>
      <w:r>
        <w:t xml:space="preserve">THE COURT HELD: “Effective July 1, 2025, certain members of the Connecticut Municipal Employees’ Retirement System who are otherwise eligible to retire can elect to defer their retirement allowance, while continuing their employment for up to five years, under a Deferred Retirement Option Plan (‘DROP’)…. </w:t>
      </w:r>
      <w:r w:rsidRPr="00D22380">
        <w:t>Under the statute adopted by the Connecticut legislature, the Connecticut State Employees</w:t>
      </w:r>
      <w:r>
        <w:t xml:space="preserve"> </w:t>
      </w:r>
      <w:r w:rsidRPr="00D22380">
        <w:t xml:space="preserve">Retirement Commission </w:t>
      </w:r>
      <w:r>
        <w:t>‘</w:t>
      </w:r>
      <w:r w:rsidRPr="00D22380">
        <w:t>may create</w:t>
      </w:r>
      <w:r>
        <w:t>’</w:t>
      </w:r>
      <w:r w:rsidRPr="00D22380">
        <w:t xml:space="preserve"> a DROP, which </w:t>
      </w:r>
      <w:r>
        <w:t>‘</w:t>
      </w:r>
      <w:r w:rsidRPr="00D22380">
        <w:t>shall include a fixed period of time for</w:t>
      </w:r>
      <w:r>
        <w:t xml:space="preserve"> </w:t>
      </w:r>
      <w:r w:rsidRPr="00D22380">
        <w:t>member participation, not to exceed five years, and a specified rate of interest credit for member</w:t>
      </w:r>
      <w:r>
        <w:t xml:space="preserve"> </w:t>
      </w:r>
      <w:r w:rsidRPr="00D22380">
        <w:t>accounts.” Conn. Gen. Stat. § 7-459b(b)</w:t>
      </w:r>
      <w:r>
        <w:t xml:space="preserve">…. As relevant here, retirement-eligible firefighters may join the DROP at age 57 with five years of continuous service, at age 55 with 25 years of aggregate service, or with 30 years of aggregate service regardless of age. The Individual Plaintiffs, firefighters with the Bridgeport Fire Department,1 are eligible for retirement allowances by virtue of their tenure with the Fire Department, but are all under age 55, and therefore ineligible to join the DROP. *** First, the Court notes that Defendants’ argument about the rationality of the age classification—that it incentivizes skilled employees to delay their retirement beyond the date they are first eligible to collect pension benefits, thereby extending the period during which the employees contribute to the plan and delaying the time at which they begin to receive payments— are not in fact arguments about the rationality of the challenged age classification at all: they are simply arguments about the rationality of adopting a DROP as a whole….  </w:t>
      </w:r>
      <w:proofErr w:type="gramStart"/>
      <w:r>
        <w:t>(‘[</w:t>
      </w:r>
      <w:proofErr w:type="gramEnd"/>
      <w:r>
        <w:t>The DROP] is also intended to encourage . . . skilled employees to stick around and delay their retirement’). Defendants do not meaningfully explain why this reasoning would apply differently to retirement-eligible firefighters who are under age 55 than to those who are age 55 or older. The desire to keep skilled employees working for a longer period and to delay paying benefits applies to all employees, regardless of age, and therefore does not squarely address the age-55 requirement Plaintiffs challenge here.”</w:t>
      </w:r>
    </w:p>
    <w:p w14:paraId="7295A5E9" w14:textId="77777777" w:rsidR="00191CD7" w:rsidRDefault="00191CD7" w:rsidP="00191CD7">
      <w:pPr>
        <w:pStyle w:val="NoSpacing"/>
      </w:pPr>
    </w:p>
    <w:p w14:paraId="720AD6E6" w14:textId="77777777" w:rsidR="00191CD7" w:rsidRDefault="00191CD7" w:rsidP="00191CD7">
      <w:pPr>
        <w:pStyle w:val="NoSpacing"/>
        <w:rPr>
          <w:b/>
          <w:bCs/>
        </w:rPr>
      </w:pPr>
      <w:r w:rsidRPr="007A4F40">
        <w:rPr>
          <w:b/>
        </w:rPr>
        <w:t xml:space="preserve">Legal lesson learned: </w:t>
      </w:r>
      <w:r>
        <w:rPr>
          <w:b/>
        </w:rPr>
        <w:t xml:space="preserve">The case will now proceed with pre-trial discovery; the Commission will then likely file a motion for summary judgment that addresses the cost reasons for keeping eligibility at age 55 or older. </w:t>
      </w:r>
    </w:p>
    <w:p w14:paraId="24E32E1E" w14:textId="77777777" w:rsidR="00191CD7" w:rsidRDefault="00191CD7" w:rsidP="00191CD7">
      <w:pPr>
        <w:pStyle w:val="NoSpacing"/>
        <w:rPr>
          <w:b/>
          <w:bCs/>
        </w:rPr>
      </w:pPr>
    </w:p>
    <w:p w14:paraId="3A6CF26A" w14:textId="77777777" w:rsidR="00191CD7" w:rsidRDefault="00191CD7" w:rsidP="00191CD7">
      <w:pPr>
        <w:pStyle w:val="NoSpacing"/>
      </w:pPr>
      <w:r>
        <w:tab/>
        <w:t xml:space="preserve">Note: See Ohio DROP. </w:t>
      </w:r>
      <w:hyperlink r:id="rId1019" w:history="1">
        <w:r w:rsidRPr="00FF19A6">
          <w:rPr>
            <w:rStyle w:val="Hyperlink"/>
          </w:rPr>
          <w:t>https://www.op-f.org/files/mgdrop.pdf</w:t>
        </w:r>
      </w:hyperlink>
      <w:r>
        <w:t xml:space="preserve"> </w:t>
      </w:r>
    </w:p>
    <w:p w14:paraId="009CAB39" w14:textId="77777777" w:rsidR="00191CD7" w:rsidRDefault="00191CD7" w:rsidP="00191CD7">
      <w:pPr>
        <w:pStyle w:val="NoSpacing"/>
        <w:ind w:left="720"/>
      </w:pPr>
      <w:r>
        <w:t>“If you are eligible for a normal service retirement you can enter the DROP</w:t>
      </w:r>
    </w:p>
    <w:p w14:paraId="15614D9A" w14:textId="77777777" w:rsidR="00191CD7" w:rsidRDefault="00191CD7" w:rsidP="00191CD7">
      <w:pPr>
        <w:pStyle w:val="NoSpacing"/>
        <w:ind w:firstLine="720"/>
      </w:pPr>
      <w:r>
        <w:t>program by delaying retirement and continuing to work as a police officer or</w:t>
      </w:r>
    </w:p>
    <w:p w14:paraId="50EAC0A5" w14:textId="77777777" w:rsidR="00191CD7" w:rsidRDefault="00191CD7" w:rsidP="00191CD7">
      <w:pPr>
        <w:pStyle w:val="NoSpacing"/>
        <w:ind w:firstLine="720"/>
      </w:pPr>
      <w:r>
        <w:t>firefighter. For those who were OP&amp;F members on or before July 1, 2013,</w:t>
      </w:r>
    </w:p>
    <w:p w14:paraId="58ED6C05" w14:textId="77777777" w:rsidR="00191CD7" w:rsidRDefault="00191CD7" w:rsidP="00191CD7">
      <w:pPr>
        <w:pStyle w:val="NoSpacing"/>
        <w:ind w:firstLine="720"/>
      </w:pPr>
      <w:proofErr w:type="gramStart"/>
      <w:r>
        <w:t>normal</w:t>
      </w:r>
      <w:proofErr w:type="gramEnd"/>
      <w:r>
        <w:t xml:space="preserve"> service retirement eligibility is at least 48 years of age with at least 25 years</w:t>
      </w:r>
    </w:p>
    <w:p w14:paraId="2755D788" w14:textId="77777777" w:rsidR="00191CD7" w:rsidRDefault="00191CD7" w:rsidP="00191CD7">
      <w:pPr>
        <w:pStyle w:val="NoSpacing"/>
        <w:ind w:firstLine="720"/>
      </w:pPr>
      <w:r>
        <w:t>of service. For members hired into an OP&amp;F-covered position after July 1, 2013,</w:t>
      </w:r>
    </w:p>
    <w:p w14:paraId="233A3C79" w14:textId="77777777" w:rsidR="00191CD7" w:rsidRPr="004749CB" w:rsidRDefault="00191CD7" w:rsidP="00191CD7">
      <w:pPr>
        <w:pStyle w:val="NoSpacing"/>
        <w:ind w:firstLine="720"/>
      </w:pPr>
      <w:r>
        <w:t>normal service retirement is age 52 with at least 25 years of service.”</w:t>
      </w:r>
    </w:p>
    <w:p w14:paraId="0C2EAD0D" w14:textId="77777777" w:rsidR="00191CD7" w:rsidRDefault="00191CD7" w:rsidP="00191CD7">
      <w:pPr>
        <w:pStyle w:val="NoSpacing"/>
      </w:pPr>
    </w:p>
    <w:p w14:paraId="75B17CF3" w14:textId="77777777" w:rsidR="00191CD7" w:rsidRDefault="00191CD7" w:rsidP="00191CD7">
      <w:pPr>
        <w:pStyle w:val="NoSpacing"/>
      </w:pPr>
    </w:p>
    <w:p w14:paraId="75967A50" w14:textId="77777777" w:rsidR="00191CD7" w:rsidRDefault="00191CD7" w:rsidP="008E1D82">
      <w:pPr>
        <w:pStyle w:val="NoSpacing"/>
      </w:pPr>
    </w:p>
    <w:p w14:paraId="41908A86" w14:textId="77777777" w:rsidR="00191CD7" w:rsidRDefault="00191CD7" w:rsidP="008E1D82">
      <w:pPr>
        <w:pStyle w:val="NoSpacing"/>
      </w:pPr>
    </w:p>
    <w:p w14:paraId="458C6A5C" w14:textId="77777777" w:rsidR="008E1D82" w:rsidRDefault="008E1D82" w:rsidP="000624FD">
      <w:pPr>
        <w:pStyle w:val="NoSpacing"/>
        <w:rPr>
          <w:rFonts w:ascii="Arial Black" w:hAnsi="Arial Black"/>
          <w:b/>
          <w:sz w:val="28"/>
          <w:szCs w:val="28"/>
        </w:rPr>
      </w:pPr>
    </w:p>
    <w:p w14:paraId="0FB4758C" w14:textId="04E4A26F" w:rsidR="006D2F6D" w:rsidRDefault="00CB4012" w:rsidP="000624FD">
      <w:pPr>
        <w:pStyle w:val="NoSpacing"/>
        <w:rPr>
          <w:rFonts w:ascii="Arial Black" w:hAnsi="Arial Black"/>
          <w:b/>
          <w:sz w:val="28"/>
          <w:szCs w:val="28"/>
        </w:rPr>
      </w:pPr>
      <w:r>
        <w:rPr>
          <w:rFonts w:ascii="Arial Black" w:hAnsi="Arial Black"/>
          <w:b/>
          <w:sz w:val="28"/>
          <w:szCs w:val="28"/>
        </w:rPr>
        <w:t>6-177</w:t>
      </w:r>
    </w:p>
    <w:p w14:paraId="51A57099" w14:textId="77777777" w:rsidR="00CB4012" w:rsidRDefault="00CB4012" w:rsidP="000624FD">
      <w:pPr>
        <w:pStyle w:val="NoSpacing"/>
        <w:rPr>
          <w:rFonts w:ascii="Arial Black" w:hAnsi="Arial Black"/>
          <w:b/>
          <w:sz w:val="28"/>
          <w:szCs w:val="28"/>
        </w:rPr>
      </w:pPr>
    </w:p>
    <w:p w14:paraId="76806ADA" w14:textId="77777777" w:rsidR="00CB4012" w:rsidRDefault="00CB4012" w:rsidP="00CB4012">
      <w:pPr>
        <w:pStyle w:val="NoSpacing"/>
        <w:rPr>
          <w:rFonts w:ascii="Arial Black" w:hAnsi="Arial Black"/>
          <w:b/>
          <w:sz w:val="28"/>
          <w:szCs w:val="28"/>
        </w:rPr>
      </w:pPr>
      <w:r>
        <w:rPr>
          <w:rFonts w:ascii="Arial Black" w:hAnsi="Arial Black"/>
          <w:b/>
          <w:sz w:val="28"/>
          <w:szCs w:val="28"/>
        </w:rPr>
        <w:t>PA: COLON CANCER – TOBACCO - FAMILY HIST - NO LODD</w:t>
      </w:r>
    </w:p>
    <w:p w14:paraId="37901BB7" w14:textId="77777777" w:rsidR="00CB4012" w:rsidRDefault="00CB4012" w:rsidP="00CB4012">
      <w:pPr>
        <w:pStyle w:val="NoSpacing"/>
        <w:rPr>
          <w:bCs/>
        </w:rPr>
      </w:pPr>
    </w:p>
    <w:p w14:paraId="2E841253" w14:textId="77777777" w:rsidR="00CB4012" w:rsidRDefault="00CB4012" w:rsidP="00CB4012">
      <w:pPr>
        <w:pStyle w:val="NoSpacing"/>
      </w:pPr>
      <w:r w:rsidRPr="00ED6F9A">
        <w:t xml:space="preserve">On February 2, 2026, in </w:t>
      </w:r>
      <w:r w:rsidRPr="000768AC">
        <w:rPr>
          <w:u w:val="single"/>
        </w:rPr>
        <w:t xml:space="preserve">Estate of Thomas R. </w:t>
      </w:r>
      <w:proofErr w:type="spellStart"/>
      <w:r w:rsidRPr="000768AC">
        <w:rPr>
          <w:u w:val="single"/>
        </w:rPr>
        <w:t>Tratthen</w:t>
      </w:r>
      <w:proofErr w:type="spellEnd"/>
      <w:r w:rsidRPr="000768AC">
        <w:rPr>
          <w:u w:val="single"/>
        </w:rPr>
        <w:t xml:space="preserve"> and Lisa </w:t>
      </w:r>
      <w:proofErr w:type="spellStart"/>
      <w:r w:rsidRPr="000768AC">
        <w:rPr>
          <w:u w:val="single"/>
        </w:rPr>
        <w:t>Tratthen</w:t>
      </w:r>
      <w:proofErr w:type="spellEnd"/>
      <w:r w:rsidRPr="000768AC">
        <w:rPr>
          <w:u w:val="single"/>
        </w:rPr>
        <w:t xml:space="preserve"> v. Department of General Services</w:t>
      </w:r>
      <w:r w:rsidRPr="00137327">
        <w:t xml:space="preserve">, </w:t>
      </w:r>
      <w:r>
        <w:t xml:space="preserve">the </w:t>
      </w:r>
      <w:r w:rsidRPr="00137327">
        <w:t xml:space="preserve"> Commonwealth Court of Pennsylvania</w:t>
      </w:r>
      <w:r>
        <w:t xml:space="preserve"> held (3 to 0) that the family of the firefighter who died of colon cancer on June 4, 2018 was properly </w:t>
      </w:r>
      <w:r w:rsidRPr="00001CCE">
        <w:t>denie</w:t>
      </w:r>
      <w:r>
        <w:t xml:space="preserve">d </w:t>
      </w:r>
      <w:r w:rsidRPr="00001CCE">
        <w:t>Line of Duty Death (LODD) benefits under the Emergency and Law Enforcement Personnel Death Benefits Act (Act 101).</w:t>
      </w:r>
      <w:r>
        <w:rPr>
          <w:vertAlign w:val="superscript"/>
        </w:rPr>
        <w:t xml:space="preserve"> </w:t>
      </w:r>
      <w:r w:rsidRPr="00D9476B">
        <w:t xml:space="preserve">He worked full time for Dunmore Borough from 2000 to 2007, and </w:t>
      </w:r>
      <w:proofErr w:type="gramStart"/>
      <w:r w:rsidRPr="00D9476B">
        <w:t>part-time paid</w:t>
      </w:r>
      <w:proofErr w:type="gramEnd"/>
      <w:r w:rsidRPr="00D9476B">
        <w:t xml:space="preserve"> until June 4, 2018</w:t>
      </w:r>
      <w:r>
        <w:t xml:space="preserve">, but had </w:t>
      </w:r>
      <w:r w:rsidRPr="00217163">
        <w:t>diabetes</w:t>
      </w:r>
      <w:r>
        <w:t xml:space="preserve">, </w:t>
      </w:r>
      <w:r w:rsidRPr="00217163">
        <w:t>25-year history of smokeless tobacco use</w:t>
      </w:r>
      <w:r>
        <w:t xml:space="preserve">, and a family history of colon cancer. </w:t>
      </w:r>
      <w:hyperlink r:id="rId1020" w:history="1">
        <w:r w:rsidRPr="00734647">
          <w:rPr>
            <w:rStyle w:val="Hyperlink"/>
          </w:rPr>
          <w:t>https://www.pacourts.us/assets/opinions/Commonwealth/out/1089CD24_2-2-26.pdf?cb=1</w:t>
        </w:r>
      </w:hyperlink>
      <w:r>
        <w:t xml:space="preserve"> </w:t>
      </w:r>
    </w:p>
    <w:p w14:paraId="1BBFC1A3" w14:textId="77777777" w:rsidR="00CB4012" w:rsidRDefault="00CB4012" w:rsidP="00CB4012">
      <w:pPr>
        <w:pStyle w:val="NoSpacing"/>
      </w:pPr>
    </w:p>
    <w:p w14:paraId="267448A2" w14:textId="77777777" w:rsidR="00CB4012" w:rsidRDefault="00CB4012" w:rsidP="00CB4012">
      <w:pPr>
        <w:pStyle w:val="NoSpacing"/>
        <w:rPr>
          <w:b/>
        </w:rPr>
      </w:pPr>
      <w:r>
        <w:t>THE COURT HELD: “</w:t>
      </w:r>
      <w:r w:rsidRPr="00FB0CC5">
        <w:t>This Court agrees with the Department's reasoning. Given that the standard is whether, but for Decedent's firefighting activities, Decedent's colon cancer would not have occurred, and Petitioners did not present any evidence from which the Department could so conclude, the Department properly denied LODD benefits</w:t>
      </w:r>
      <w:r>
        <w:t xml:space="preserve">…. </w:t>
      </w:r>
      <w:r w:rsidRPr="00EA1266">
        <w:t xml:space="preserve">On July 26, 2022, the Department's Bureau of Finance and Risk Management (Bureau) denied Petitioners' LODD benefits claim. On August 17, 2022, Petitioners filed a Notice of Appeal and Request for Hearing. On May 12, 2023, Department Hearing Officer Michael T. Foerster (Hearing Officer Foerster) held a hearing at which the Bureau and Petitioners </w:t>
      </w:r>
      <w:proofErr w:type="gramStart"/>
      <w:r w:rsidRPr="00EA1266">
        <w:t>stipulated to</w:t>
      </w:r>
      <w:proofErr w:type="gramEnd"/>
      <w:r w:rsidRPr="00EA1266">
        <w:t xml:space="preserve"> certain facts and documents. In addition, the Bureau </w:t>
      </w:r>
      <w:proofErr w:type="gramStart"/>
      <w:r w:rsidRPr="00EA1266">
        <w:t>entered into</w:t>
      </w:r>
      <w:proofErr w:type="gramEnd"/>
      <w:r w:rsidRPr="00EA1266">
        <w:t xml:space="preserve"> evidence additional documents and both sides presented witnesses</w:t>
      </w:r>
      <w:r w:rsidRPr="00EA1266">
        <w:rPr>
          <w:b/>
        </w:rPr>
        <w:t>.</w:t>
      </w:r>
      <w:r>
        <w:rPr>
          <w:b/>
        </w:rPr>
        <w:t xml:space="preserve"> </w:t>
      </w:r>
    </w:p>
    <w:p w14:paraId="56132E17" w14:textId="77777777" w:rsidR="00CB4012" w:rsidRPr="00217163" w:rsidRDefault="00CB4012" w:rsidP="00CB4012">
      <w:pPr>
        <w:pStyle w:val="NoSpacing"/>
      </w:pPr>
      <w:r w:rsidRPr="0045688E">
        <w:t xml:space="preserve">Petitioners presented, inter alia, Tee Guidotti, M.D.'s (Dr. Guidotti) April 3, </w:t>
      </w:r>
      <w:proofErr w:type="gramStart"/>
      <w:r w:rsidRPr="0045688E">
        <w:t>2020</w:t>
      </w:r>
      <w:proofErr w:type="gramEnd"/>
      <w:r w:rsidRPr="0045688E">
        <w:t xml:space="preserve"> report to support Petitioners' Act 101 claim, which had also been produced in support of Decedent's claim for WC benefits. Therein, Dr. Guidotti stated: </w:t>
      </w:r>
      <w:r>
        <w:t xml:space="preserve"> </w:t>
      </w:r>
      <w:r w:rsidRPr="0045688E">
        <w:t xml:space="preserve">Given [Decedent's] long service and exposure to International Agency for Research on Cancer (IARC) Group I carcinogens in smoke, soot, diesel emissions, and building materials, I can opine, to a reasonable degree of medical certainty, that his volunteer fire service was, at a minimum, a substantial contributing factor to his diagnosis with cancer. </w:t>
      </w:r>
      <w:r>
        <w:t xml:space="preserve"> </w:t>
      </w:r>
      <w:r w:rsidRPr="0045688E">
        <w:t>Reproduced Record (R.R.) at 138a (emphasis added)</w:t>
      </w:r>
      <w:r>
        <w:t xml:space="preserve">…. </w:t>
      </w:r>
      <w:r w:rsidRPr="00217163">
        <w:t xml:space="preserve">The Bureau presented, </w:t>
      </w:r>
      <w:r w:rsidRPr="00217163">
        <w:rPr>
          <w:i/>
          <w:iCs/>
        </w:rPr>
        <w:t>inter alia</w:t>
      </w:r>
      <w:r w:rsidRPr="00217163">
        <w:t xml:space="preserve">, Howard Sandler, M.D.'s (Dr. Sandler) December 3, </w:t>
      </w:r>
      <w:proofErr w:type="gramStart"/>
      <w:r w:rsidRPr="00217163">
        <w:t>2020</w:t>
      </w:r>
      <w:proofErr w:type="gramEnd"/>
      <w:r w:rsidRPr="00217163">
        <w:t xml:space="preserve"> report authored on behalf of the insurance carrier defending against Decedent's WC claim. Therein, Dr. Sandler referenced Decedent's diabetes and his 25-year history of smokeless tobacco use, and opined: </w:t>
      </w:r>
    </w:p>
    <w:p w14:paraId="38DC0DE2" w14:textId="77777777" w:rsidR="00CB4012" w:rsidRPr="00217163" w:rsidRDefault="00CB4012" w:rsidP="00CB4012">
      <w:pPr>
        <w:pStyle w:val="NoSpacing"/>
      </w:pPr>
      <w:r w:rsidRPr="00217163">
        <w:t>[</w:t>
      </w:r>
      <w:proofErr w:type="gramStart"/>
      <w:r w:rsidRPr="00217163">
        <w:t>Decedent's</w:t>
      </w:r>
      <w:proofErr w:type="gramEnd"/>
      <w:r w:rsidRPr="00217163">
        <w:t xml:space="preserve">] diagnosed colorectal or rectal carcinomas are most likely caused by his underlying personal risk factors as discussed previously[,] such as diet, minimal physical activity, diabetes mellitus, obesity, smoking[,] and alcohol consumption. . . . [Decedent's] family history of various cancers[,] including colon cancer[,] is indeed a risk factor for the development of colorectal/rectal </w:t>
      </w:r>
      <w:proofErr w:type="gramStart"/>
      <w:r w:rsidRPr="00217163">
        <w:t>cancer.</w:t>
      </w:r>
      <w:r>
        <w:t>”</w:t>
      </w:r>
      <w:proofErr w:type="gramEnd"/>
    </w:p>
    <w:p w14:paraId="6D0D75A9" w14:textId="77777777" w:rsidR="00CB4012" w:rsidRDefault="00CB4012" w:rsidP="00CB4012">
      <w:pPr>
        <w:pStyle w:val="NoSpacing"/>
      </w:pPr>
    </w:p>
    <w:p w14:paraId="3867B713" w14:textId="77777777" w:rsidR="00CB4012" w:rsidRPr="000768AC" w:rsidRDefault="00CB4012" w:rsidP="00CB4012">
      <w:pPr>
        <w:pStyle w:val="NoSpacing"/>
        <w:rPr>
          <w:b/>
          <w:bCs/>
        </w:rPr>
      </w:pPr>
      <w:r>
        <w:rPr>
          <w:b/>
        </w:rPr>
        <w:t xml:space="preserve">Legal lesson learned: The 25-year history of smokeless tobacco use, and family history, led to denial of LODD benefits. </w:t>
      </w:r>
    </w:p>
    <w:p w14:paraId="7DE73648" w14:textId="77777777" w:rsidR="00CB4012" w:rsidRDefault="00CB4012" w:rsidP="00CB4012">
      <w:pPr>
        <w:pStyle w:val="NoSpacing"/>
      </w:pPr>
    </w:p>
    <w:p w14:paraId="2A1A54F4" w14:textId="77777777" w:rsidR="00CB4012" w:rsidRDefault="00CB4012" w:rsidP="00CB4012">
      <w:pPr>
        <w:pStyle w:val="NoSpacing"/>
      </w:pPr>
    </w:p>
    <w:p w14:paraId="187FB646" w14:textId="77777777" w:rsidR="00CB4012" w:rsidRDefault="00CB4012" w:rsidP="000624FD">
      <w:pPr>
        <w:pStyle w:val="NoSpacing"/>
        <w:rPr>
          <w:rFonts w:ascii="Arial Black" w:hAnsi="Arial Black"/>
          <w:b/>
          <w:sz w:val="28"/>
          <w:szCs w:val="28"/>
        </w:rPr>
      </w:pPr>
    </w:p>
    <w:p w14:paraId="512C3D0D" w14:textId="77777777" w:rsidR="006D2F6D" w:rsidRDefault="006D2F6D" w:rsidP="000624FD">
      <w:pPr>
        <w:pStyle w:val="NoSpacing"/>
        <w:rPr>
          <w:rFonts w:ascii="Arial Black" w:hAnsi="Arial Black"/>
          <w:b/>
          <w:sz w:val="28"/>
          <w:szCs w:val="28"/>
        </w:rPr>
      </w:pPr>
    </w:p>
    <w:p w14:paraId="095BA951" w14:textId="77777777" w:rsidR="006D2F6D" w:rsidRDefault="006D2F6D" w:rsidP="000624FD">
      <w:pPr>
        <w:pStyle w:val="NoSpacing"/>
        <w:rPr>
          <w:rFonts w:ascii="Arial Black" w:hAnsi="Arial Black"/>
          <w:b/>
          <w:sz w:val="28"/>
          <w:szCs w:val="28"/>
        </w:rPr>
      </w:pPr>
    </w:p>
    <w:p w14:paraId="08490DB9" w14:textId="292EF437" w:rsidR="007369A1" w:rsidRDefault="007369A1" w:rsidP="000624FD">
      <w:pPr>
        <w:pStyle w:val="NoSpacing"/>
        <w:rPr>
          <w:rFonts w:ascii="Arial Black" w:hAnsi="Arial Black"/>
          <w:b/>
          <w:sz w:val="28"/>
          <w:szCs w:val="28"/>
        </w:rPr>
      </w:pPr>
      <w:r>
        <w:rPr>
          <w:rFonts w:ascii="Arial Black" w:hAnsi="Arial Black"/>
          <w:b/>
          <w:sz w:val="28"/>
          <w:szCs w:val="28"/>
        </w:rPr>
        <w:t>6-176</w:t>
      </w:r>
    </w:p>
    <w:p w14:paraId="40B5F97F" w14:textId="77777777" w:rsidR="007369A1" w:rsidRDefault="007369A1" w:rsidP="007369A1">
      <w:pPr>
        <w:rPr>
          <w:rFonts w:ascii="Arial Black" w:hAnsi="Arial Black"/>
          <w:b/>
          <w:sz w:val="28"/>
          <w:szCs w:val="28"/>
        </w:rPr>
      </w:pPr>
      <w:r>
        <w:rPr>
          <w:rFonts w:ascii="Arial Black" w:hAnsi="Arial Black"/>
          <w:b/>
          <w:sz w:val="28"/>
          <w:szCs w:val="28"/>
        </w:rPr>
        <w:t>DE: BACK INJURY – “RECURRENCE” PRIOR AT ANOTHER FD</w:t>
      </w:r>
    </w:p>
    <w:p w14:paraId="20314A64" w14:textId="77777777" w:rsidR="007369A1" w:rsidRDefault="007369A1" w:rsidP="007369A1">
      <w:pPr>
        <w:rPr>
          <w:b/>
        </w:rPr>
      </w:pPr>
      <w:r w:rsidRPr="00555944">
        <w:t xml:space="preserve">On December 4, 2025, in </w:t>
      </w:r>
      <w:r w:rsidRPr="00555944">
        <w:rPr>
          <w:u w:val="single"/>
        </w:rPr>
        <w:t>Corey Ferrell v. City of Wilmington</w:t>
      </w:r>
      <w:r w:rsidRPr="00555944">
        <w:t xml:space="preserve">, </w:t>
      </w:r>
      <w:r>
        <w:t xml:space="preserve">the </w:t>
      </w:r>
      <w:r w:rsidRPr="00EA031B">
        <w:t>Supreme Court of Delaware</w:t>
      </w:r>
      <w:r>
        <w:t xml:space="preserve"> held (3 to 0) that Wilmington Fire Department had no workers comp liability for 2023 incident, where the firefighter injured his back carrying two high-rise packs (second was for his officer) up high-rise, since this was a “recurrence” of a 2015 claim settled with the </w:t>
      </w:r>
      <w:r w:rsidRPr="004B7C01">
        <w:t>Belvedere</w:t>
      </w:r>
      <w:r>
        <w:t xml:space="preserve"> Fire Department where he worked on </w:t>
      </w:r>
      <w:r w:rsidRPr="004B7C01">
        <w:t>part-time basis</w:t>
      </w:r>
      <w:r>
        <w:t xml:space="preserve">. </w:t>
      </w:r>
      <w:hyperlink r:id="rId1021" w:history="1">
        <w:r w:rsidRPr="007F05A7">
          <w:rPr>
            <w:rStyle w:val="Hyperlink"/>
            <w:b/>
          </w:rPr>
          <w:t>https://cases.justia.com/delaware/supreme-court/2025-152-2025.pdf?ts=1764862317</w:t>
        </w:r>
      </w:hyperlink>
      <w:r>
        <w:rPr>
          <w:b/>
        </w:rPr>
        <w:t xml:space="preserve"> </w:t>
      </w:r>
    </w:p>
    <w:p w14:paraId="1DFF9C39" w14:textId="77777777" w:rsidR="007369A1" w:rsidRDefault="007369A1" w:rsidP="007369A1">
      <w:pPr>
        <w:rPr>
          <w:bCs/>
        </w:rPr>
      </w:pPr>
      <w:r>
        <w:t>THE COURT HELD:</w:t>
      </w:r>
    </w:p>
    <w:p w14:paraId="7218EB87" w14:textId="77777777" w:rsidR="007369A1" w:rsidRDefault="007369A1" w:rsidP="007369A1">
      <w:pPr>
        <w:pStyle w:val="NoSpacing"/>
        <w:ind w:left="720"/>
        <w:rPr>
          <w:bCs/>
        </w:rPr>
      </w:pPr>
      <w:r>
        <w:t>“</w:t>
      </w:r>
      <w:r w:rsidRPr="005C01D2">
        <w:t>Ultimately, the Board concluded that the 2023 incident was a recurrence of</w:t>
      </w:r>
      <w:r>
        <w:t xml:space="preserve"> </w:t>
      </w:r>
      <w:r w:rsidRPr="005C01D2">
        <w:t>the injury that Ferrell sustained in 2015. In reaching that conclusion, the Board</w:t>
      </w:r>
      <w:r>
        <w:t xml:space="preserve"> </w:t>
      </w:r>
      <w:r w:rsidRPr="005C01D2">
        <w:t>placed significant weight on Dr. Matz’s opinion and testimony. The Board found</w:t>
      </w:r>
      <w:r>
        <w:t xml:space="preserve"> </w:t>
      </w:r>
      <w:r w:rsidRPr="005C01D2">
        <w:t>that the 2023 incident did not aggravate the 2015 injury and did not cause a new,</w:t>
      </w:r>
      <w:r>
        <w:t xml:space="preserve"> </w:t>
      </w:r>
      <w:r w:rsidRPr="005C01D2">
        <w:t>separately compensable injury to Ferrell. The Board agreed with Dr. Matz that a</w:t>
      </w:r>
      <w:r>
        <w:t xml:space="preserve"> </w:t>
      </w:r>
      <w:r w:rsidRPr="005C01D2">
        <w:t>comparison of Ferrell’s MRIs showed the expected progression of spinal</w:t>
      </w:r>
      <w:r>
        <w:t xml:space="preserve"> </w:t>
      </w:r>
      <w:r w:rsidRPr="005C01D2">
        <w:t>deterioration from the 2015 injury, and the Board found that the act of walking up</w:t>
      </w:r>
      <w:r>
        <w:t xml:space="preserve"> </w:t>
      </w:r>
      <w:r w:rsidRPr="005C01D2">
        <w:t xml:space="preserve">the stairs carrying the high-rise packs was not enough to create a </w:t>
      </w:r>
      <w:r>
        <w:t>‘</w:t>
      </w:r>
      <w:r w:rsidRPr="005C01D2">
        <w:t>genuine</w:t>
      </w:r>
      <w:r>
        <w:t xml:space="preserve"> </w:t>
      </w:r>
      <w:r w:rsidRPr="005C01D2">
        <w:t xml:space="preserve">intervening </w:t>
      </w:r>
      <w:proofErr w:type="gramStart"/>
      <w:r w:rsidRPr="005C01D2">
        <w:t>event.</w:t>
      </w:r>
      <w:r>
        <w:t>’</w:t>
      </w:r>
      <w:proofErr w:type="gramEnd"/>
      <w:r>
        <w:t xml:space="preserve"> </w:t>
      </w:r>
      <w:r w:rsidRPr="001B07A1">
        <w:t>The Board therefore held that liability for the 2023 incident</w:t>
      </w:r>
      <w:r>
        <w:t xml:space="preserve"> </w:t>
      </w:r>
      <w:r w:rsidRPr="002F57F5">
        <w:t>would remain under the 2015 claim and denied Ferrell’s petition for workers’</w:t>
      </w:r>
      <w:r>
        <w:t xml:space="preserve"> </w:t>
      </w:r>
      <w:r w:rsidRPr="002F57F5">
        <w:t>compensation coverage from Wilmington FD.</w:t>
      </w:r>
    </w:p>
    <w:p w14:paraId="41109C6B" w14:textId="77777777" w:rsidR="007369A1" w:rsidRDefault="007369A1" w:rsidP="007369A1">
      <w:pPr>
        <w:pStyle w:val="NoSpacing"/>
        <w:ind w:left="720"/>
        <w:rPr>
          <w:bCs/>
        </w:rPr>
      </w:pPr>
    </w:p>
    <w:p w14:paraId="354D90CF" w14:textId="77777777" w:rsidR="007369A1" w:rsidRDefault="007369A1" w:rsidP="007369A1">
      <w:pPr>
        <w:pStyle w:val="NoSpacing"/>
        <w:ind w:left="720"/>
        <w:rPr>
          <w:bCs/>
        </w:rPr>
      </w:pPr>
      <w:r>
        <w:t>***</w:t>
      </w:r>
    </w:p>
    <w:p w14:paraId="7BB92A2A" w14:textId="77777777" w:rsidR="007369A1" w:rsidRDefault="007369A1" w:rsidP="007369A1">
      <w:pPr>
        <w:pStyle w:val="NoSpacing"/>
        <w:ind w:left="720"/>
        <w:rPr>
          <w:bCs/>
        </w:rPr>
      </w:pPr>
      <w:r w:rsidRPr="000F4EBA">
        <w:t>The Board heard contrasting</w:t>
      </w:r>
      <w:r>
        <w:t xml:space="preserve"> </w:t>
      </w:r>
      <w:r w:rsidRPr="000F4EBA">
        <w:t>medical opinions from Dr. Tucker and Dr. Matz, both of whom relied on their</w:t>
      </w:r>
      <w:r>
        <w:t xml:space="preserve"> </w:t>
      </w:r>
      <w:r w:rsidRPr="000F4EBA">
        <w:t>physical evaluations of Ferrell and their comparisons of his 2015 and 2023 MRIs.</w:t>
      </w:r>
    </w:p>
    <w:p w14:paraId="09938CB7" w14:textId="77777777" w:rsidR="007369A1" w:rsidRDefault="007369A1" w:rsidP="007369A1">
      <w:pPr>
        <w:pStyle w:val="NoSpacing"/>
        <w:ind w:left="720"/>
        <w:rPr>
          <w:bCs/>
        </w:rPr>
      </w:pPr>
    </w:p>
    <w:p w14:paraId="7C89FAE7" w14:textId="77777777" w:rsidR="007369A1" w:rsidRDefault="007369A1" w:rsidP="007369A1">
      <w:pPr>
        <w:pStyle w:val="NoSpacing"/>
        <w:ind w:left="720"/>
        <w:rPr>
          <w:bCs/>
        </w:rPr>
      </w:pPr>
      <w:r>
        <w:t>***</w:t>
      </w:r>
    </w:p>
    <w:p w14:paraId="546B797C" w14:textId="77777777" w:rsidR="007369A1" w:rsidRDefault="007369A1" w:rsidP="007369A1">
      <w:pPr>
        <w:pStyle w:val="NoSpacing"/>
        <w:ind w:left="720"/>
        <w:rPr>
          <w:bCs/>
        </w:rPr>
      </w:pPr>
      <w:r w:rsidRPr="00A63172">
        <w:t>Dr. Matz is an orthopedic surgeon whom the Board found credible. In Dr.</w:t>
      </w:r>
      <w:r>
        <w:t xml:space="preserve"> </w:t>
      </w:r>
      <w:r w:rsidRPr="00A63172">
        <w:t>Matz’s opinion, the results of Ferrell’s MRIs showed that his condition was</w:t>
      </w:r>
      <w:r>
        <w:t xml:space="preserve"> </w:t>
      </w:r>
      <w:r w:rsidRPr="00A63172">
        <w:t xml:space="preserve">degenerative, not acute, and </w:t>
      </w:r>
      <w:r>
        <w:t>‘</w:t>
      </w:r>
      <w:r w:rsidRPr="00A63172">
        <w:t>the sort of progression that you would expect with the</w:t>
      </w:r>
      <w:r>
        <w:t xml:space="preserve"> </w:t>
      </w:r>
      <w:r w:rsidRPr="00A63172">
        <w:t>natural aging process.</w:t>
      </w:r>
      <w:r>
        <w:t xml:space="preserve">’ </w:t>
      </w:r>
      <w:r w:rsidRPr="00A63172">
        <w:t>The Board agreed that the MRIs—performed eight years</w:t>
      </w:r>
      <w:r>
        <w:t xml:space="preserve"> </w:t>
      </w:r>
      <w:r w:rsidRPr="00A63172">
        <w:t>apart—may have shown some worsening in Ferrell’s condition, but the progression</w:t>
      </w:r>
      <w:r>
        <w:t xml:space="preserve"> </w:t>
      </w:r>
      <w:r w:rsidRPr="00D23F0F">
        <w:t>was expected. The Board accepted Dr. Matz’s expert opinion that Ferrell’s</w:t>
      </w:r>
      <w:r>
        <w:t xml:space="preserve"> </w:t>
      </w:r>
      <w:r w:rsidRPr="00D23F0F">
        <w:t xml:space="preserve">condition was degenerative and a </w:t>
      </w:r>
      <w:r>
        <w:t>‘</w:t>
      </w:r>
      <w:r w:rsidRPr="00D23F0F">
        <w:t>slowly progressive thoracic disc disease.</w:t>
      </w:r>
      <w:r>
        <w:t>’”</w:t>
      </w:r>
    </w:p>
    <w:p w14:paraId="3A2076C5" w14:textId="77777777" w:rsidR="007369A1" w:rsidRDefault="007369A1" w:rsidP="007369A1">
      <w:pPr>
        <w:pStyle w:val="NoSpacing"/>
        <w:ind w:left="720"/>
        <w:rPr>
          <w:bCs/>
        </w:rPr>
      </w:pPr>
    </w:p>
    <w:p w14:paraId="0A792C8D" w14:textId="77777777" w:rsidR="007369A1" w:rsidRDefault="007369A1" w:rsidP="007369A1">
      <w:pPr>
        <w:pStyle w:val="NoSpacing"/>
        <w:jc w:val="both"/>
        <w:rPr>
          <w:b/>
        </w:rPr>
      </w:pPr>
      <w:r>
        <w:rPr>
          <w:b/>
        </w:rPr>
        <w:t xml:space="preserve">Legal lesson learned: Since the firefighter had settled his 2015 claim, he had no workers comp coverage for the 2023 claim. </w:t>
      </w:r>
    </w:p>
    <w:p w14:paraId="65AECD8D" w14:textId="77777777" w:rsidR="007369A1" w:rsidRDefault="007369A1" w:rsidP="007369A1">
      <w:pPr>
        <w:pStyle w:val="NoSpacing"/>
        <w:jc w:val="both"/>
        <w:rPr>
          <w:b/>
        </w:rPr>
      </w:pPr>
    </w:p>
    <w:p w14:paraId="7E107A21" w14:textId="77777777" w:rsidR="007369A1" w:rsidRPr="000A0735" w:rsidRDefault="007369A1" w:rsidP="007369A1">
      <w:pPr>
        <w:pStyle w:val="NoSpacing"/>
        <w:ind w:left="720"/>
        <w:jc w:val="both"/>
        <w:rPr>
          <w:bCs/>
        </w:rPr>
      </w:pPr>
      <w:r w:rsidRPr="000A0735">
        <w:t xml:space="preserve">Note: </w:t>
      </w:r>
      <w:r>
        <w:t>The Court wrote: “</w:t>
      </w:r>
      <w:r w:rsidRPr="000A0735">
        <w:t>In 2018, Ferrell accepted a commutation of the 2015 claim with Belvedere’s workers’</w:t>
      </w:r>
      <w:r>
        <w:t xml:space="preserve"> </w:t>
      </w:r>
      <w:r w:rsidRPr="000A0735">
        <w:t>compensation insurance carrier. The commutation globally resolved the claim and</w:t>
      </w:r>
      <w:r>
        <w:t xml:space="preserve"> </w:t>
      </w:r>
      <w:r w:rsidRPr="000A0735">
        <w:t>released the insurer from further liability with respect to the injury.</w:t>
      </w:r>
      <w:r>
        <w:t>”</w:t>
      </w:r>
    </w:p>
    <w:p w14:paraId="592A3102" w14:textId="77777777" w:rsidR="007369A1" w:rsidRDefault="007369A1" w:rsidP="007369A1">
      <w:pPr>
        <w:rPr>
          <w:rFonts w:ascii="Arial Black" w:hAnsi="Arial Black"/>
          <w:bCs/>
          <w:sz w:val="28"/>
          <w:szCs w:val="28"/>
        </w:rPr>
      </w:pPr>
    </w:p>
    <w:p w14:paraId="74D8EAD6" w14:textId="03B91F8D" w:rsidR="007369A1" w:rsidRDefault="007369A1" w:rsidP="000624FD">
      <w:pPr>
        <w:pStyle w:val="NoSpacing"/>
        <w:rPr>
          <w:rFonts w:ascii="Arial Black" w:hAnsi="Arial Black"/>
          <w:b/>
          <w:sz w:val="28"/>
          <w:szCs w:val="28"/>
        </w:rPr>
      </w:pPr>
      <w:r>
        <w:rPr>
          <w:rFonts w:ascii="Arial Black" w:hAnsi="Arial Black"/>
          <w:b/>
          <w:sz w:val="28"/>
          <w:szCs w:val="28"/>
        </w:rPr>
        <w:t>6-175</w:t>
      </w:r>
    </w:p>
    <w:p w14:paraId="3016E18C" w14:textId="77777777" w:rsidR="00EC0328" w:rsidRDefault="00EC0328" w:rsidP="000624FD">
      <w:pPr>
        <w:pStyle w:val="NoSpacing"/>
        <w:rPr>
          <w:rFonts w:ascii="Arial Black" w:hAnsi="Arial Black"/>
          <w:b/>
          <w:sz w:val="28"/>
          <w:szCs w:val="28"/>
        </w:rPr>
      </w:pPr>
    </w:p>
    <w:p w14:paraId="3E87115A" w14:textId="433F400F" w:rsidR="00EC0328" w:rsidRDefault="00EC0328" w:rsidP="00EC0328">
      <w:pPr>
        <w:rPr>
          <w:rFonts w:ascii="Arial Black" w:hAnsi="Arial Black"/>
          <w:b/>
          <w:sz w:val="28"/>
          <w:szCs w:val="28"/>
        </w:rPr>
      </w:pPr>
      <w:r>
        <w:rPr>
          <w:rFonts w:ascii="Arial Black" w:hAnsi="Arial Black"/>
          <w:b/>
          <w:sz w:val="28"/>
          <w:szCs w:val="28"/>
        </w:rPr>
        <w:t xml:space="preserve">WV: FF R-WRIST – TRIPPED </w:t>
      </w:r>
      <w:r w:rsidR="00CA4898">
        <w:rPr>
          <w:rFonts w:ascii="Arial Black" w:hAnsi="Arial Black"/>
          <w:b/>
          <w:sz w:val="28"/>
          <w:szCs w:val="28"/>
        </w:rPr>
        <w:t xml:space="preserve">IN </w:t>
      </w:r>
      <w:r>
        <w:rPr>
          <w:rFonts w:ascii="Arial Black" w:hAnsi="Arial Black"/>
          <w:b/>
          <w:sz w:val="28"/>
          <w:szCs w:val="28"/>
        </w:rPr>
        <w:t>AMBULANCE – BENEFITS CONT</w:t>
      </w:r>
    </w:p>
    <w:p w14:paraId="5EB17885" w14:textId="77777777" w:rsidR="00EC0328" w:rsidRDefault="00EC0328" w:rsidP="00EC0328">
      <w:pPr>
        <w:rPr>
          <w:bCs/>
        </w:rPr>
      </w:pPr>
      <w:r w:rsidRPr="001D4F31">
        <w:t xml:space="preserve">On December 4, 2025, in </w:t>
      </w:r>
      <w:r w:rsidRPr="001839BD">
        <w:rPr>
          <w:u w:val="single"/>
        </w:rPr>
        <w:t>City of Wheeling v. David Gilbert</w:t>
      </w:r>
      <w:r>
        <w:t xml:space="preserve">, the </w:t>
      </w:r>
      <w:r w:rsidRPr="001839BD">
        <w:t>West Virginia Intermediate Court of Appeals</w:t>
      </w:r>
      <w:r>
        <w:t xml:space="preserve"> held (3 to 0) that the Worker’s Comp Board properly reversed the hearing officer who closed the claim on November 5, 2024.  He is entitled to continued coverage for his December 1, </w:t>
      </w:r>
      <w:proofErr w:type="gramStart"/>
      <w:r>
        <w:t>2023</w:t>
      </w:r>
      <w:proofErr w:type="gramEnd"/>
      <w:r>
        <w:t xml:space="preserve"> injury of his right wrist </w:t>
      </w:r>
      <w:r w:rsidRPr="000E3282">
        <w:t xml:space="preserve">when he tripped and caught himself while getting into an ambulance. </w:t>
      </w:r>
      <w:hyperlink r:id="rId1022" w:history="1">
        <w:r w:rsidRPr="00E22D14">
          <w:rPr>
            <w:rStyle w:val="Hyperlink"/>
          </w:rPr>
          <w:t>https://www.courtswv.gov/sites/default/pubfilesmnt/2025-12/25-ICA-222_MD.pdf</w:t>
        </w:r>
      </w:hyperlink>
      <w:r>
        <w:t xml:space="preserve"> </w:t>
      </w:r>
    </w:p>
    <w:p w14:paraId="59696EEA" w14:textId="77777777" w:rsidR="00EC0328" w:rsidRDefault="00EC0328" w:rsidP="00EC0328">
      <w:pPr>
        <w:rPr>
          <w:bCs/>
        </w:rPr>
      </w:pPr>
      <w:r>
        <w:t xml:space="preserve">THE COURT HELD: </w:t>
      </w:r>
    </w:p>
    <w:p w14:paraId="3CD0F6BA" w14:textId="77777777" w:rsidR="00EC0328" w:rsidRDefault="00EC0328" w:rsidP="00EC0328">
      <w:pPr>
        <w:pStyle w:val="NoSpacing"/>
        <w:ind w:firstLine="720"/>
        <w:rPr>
          <w:bCs/>
        </w:rPr>
      </w:pPr>
      <w:r>
        <w:t>“</w:t>
      </w:r>
      <w:r w:rsidRPr="005D768D">
        <w:t>Mr. Gilbert had not worked since June 2, 2024.</w:t>
      </w:r>
    </w:p>
    <w:p w14:paraId="379610BE" w14:textId="77777777" w:rsidR="00EC0328" w:rsidRDefault="00EC0328" w:rsidP="00EC0328">
      <w:pPr>
        <w:pStyle w:val="NoSpacing"/>
        <w:ind w:firstLine="720"/>
        <w:rPr>
          <w:bCs/>
        </w:rPr>
      </w:pPr>
    </w:p>
    <w:p w14:paraId="130D1454" w14:textId="77777777" w:rsidR="00EC0328" w:rsidRDefault="00EC0328" w:rsidP="00EC0328">
      <w:pPr>
        <w:pStyle w:val="NoSpacing"/>
        <w:ind w:firstLine="720"/>
        <w:rPr>
          <w:bCs/>
        </w:rPr>
      </w:pPr>
      <w:r>
        <w:t>***</w:t>
      </w:r>
    </w:p>
    <w:p w14:paraId="77D1A30B" w14:textId="77777777" w:rsidR="00EC0328" w:rsidRPr="009B705D" w:rsidRDefault="00EC0328" w:rsidP="00EC0328">
      <w:pPr>
        <w:pStyle w:val="NoSpacing"/>
        <w:ind w:firstLine="720"/>
        <w:rPr>
          <w:bCs/>
        </w:rPr>
      </w:pPr>
      <w:r w:rsidRPr="009B705D">
        <w:t>On July 31, 2024, the claim administrator issued an order denying the addition of</w:t>
      </w:r>
    </w:p>
    <w:p w14:paraId="4068D69B" w14:textId="77777777" w:rsidR="00EC0328" w:rsidRDefault="00EC0328" w:rsidP="00EC0328">
      <w:pPr>
        <w:pStyle w:val="NoSpacing"/>
        <w:ind w:left="720"/>
        <w:rPr>
          <w:bCs/>
        </w:rPr>
      </w:pPr>
      <w:r w:rsidRPr="009B705D">
        <w:t>scapholunate instability of the right wrist and scapholunate ligament tear of the right wrist</w:t>
      </w:r>
      <w:r>
        <w:t xml:space="preserve"> </w:t>
      </w:r>
      <w:r w:rsidRPr="009B705D">
        <w:t>as compensable conditions of the claim. Mr. Gilbert protested this claim.</w:t>
      </w:r>
    </w:p>
    <w:p w14:paraId="10FDCAA8" w14:textId="77777777" w:rsidR="00EC0328" w:rsidRDefault="00EC0328" w:rsidP="00EC0328">
      <w:pPr>
        <w:pStyle w:val="NoSpacing"/>
        <w:ind w:left="720"/>
        <w:rPr>
          <w:bCs/>
        </w:rPr>
      </w:pPr>
    </w:p>
    <w:p w14:paraId="73545A68" w14:textId="77777777" w:rsidR="00EC0328" w:rsidRDefault="00EC0328" w:rsidP="00EC0328">
      <w:pPr>
        <w:pStyle w:val="NoSpacing"/>
        <w:ind w:left="720"/>
        <w:rPr>
          <w:bCs/>
        </w:rPr>
      </w:pPr>
      <w:r>
        <w:t>***</w:t>
      </w:r>
    </w:p>
    <w:p w14:paraId="061D3DA6" w14:textId="77777777" w:rsidR="00EC0328" w:rsidRPr="00A10B17" w:rsidRDefault="00EC0328" w:rsidP="00EC0328">
      <w:pPr>
        <w:pStyle w:val="NoSpacing"/>
        <w:ind w:left="720"/>
        <w:rPr>
          <w:bCs/>
        </w:rPr>
      </w:pPr>
      <w:r w:rsidRPr="00A10B17">
        <w:t>Mr. Gilbert was evaluated by Joseph Grady II, M.D., on September 6, 2024.</w:t>
      </w:r>
      <w:r>
        <w:t xml:space="preserve"> </w:t>
      </w:r>
      <w:r w:rsidRPr="00A10B17">
        <w:t>Mr. Gilbert reported pain and a shifting sensation within the radial aspect of the right wrist.</w:t>
      </w:r>
      <w:r>
        <w:t xml:space="preserve"> </w:t>
      </w:r>
      <w:r w:rsidRPr="00A10B17">
        <w:t>Dr. Grady noted that Mr. Gilbert had not worked since June 2, 2024. The assessment was</w:t>
      </w:r>
      <w:r>
        <w:t xml:space="preserve"> </w:t>
      </w:r>
      <w:r w:rsidRPr="00A10B17">
        <w:t>right wrist pain with demonstrated right scapholunate ligament tear on direct visualization</w:t>
      </w:r>
      <w:r>
        <w:t xml:space="preserve"> </w:t>
      </w:r>
      <w:r w:rsidRPr="00A10B17">
        <w:t>during arthroscopic examination. Dr. Grady opined that the right wrist sprain that occurred</w:t>
      </w:r>
      <w:r>
        <w:t xml:space="preserve"> </w:t>
      </w:r>
      <w:r w:rsidRPr="00A10B17">
        <w:t>with the initial injury had resolved, and Mr. Gilbert had reached maximum medical</w:t>
      </w:r>
      <w:r>
        <w:t xml:space="preserve"> </w:t>
      </w:r>
      <w:r w:rsidRPr="00A10B17">
        <w:t>improvement (</w:t>
      </w:r>
      <w:r>
        <w:t>‘</w:t>
      </w:r>
      <w:r w:rsidRPr="00A10B17">
        <w:t>MMI</w:t>
      </w:r>
      <w:r>
        <w:t>’</w:t>
      </w:r>
      <w:r w:rsidRPr="00A10B17">
        <w:t>) for the compensable injury. Dr. Grady further opined that Mr.</w:t>
      </w:r>
    </w:p>
    <w:p w14:paraId="2AD2B224" w14:textId="77777777" w:rsidR="00EC0328" w:rsidRDefault="00EC0328" w:rsidP="00EC0328">
      <w:pPr>
        <w:pStyle w:val="NoSpacing"/>
        <w:ind w:left="720"/>
        <w:rPr>
          <w:bCs/>
        </w:rPr>
      </w:pPr>
      <w:r w:rsidRPr="00A10B17">
        <w:t>Gilbert would have difficulty working full duty at his regular job because of the right-hand</w:t>
      </w:r>
      <w:r>
        <w:t xml:space="preserve"> </w:t>
      </w:r>
      <w:r w:rsidRPr="00A10B17">
        <w:t xml:space="preserve">pain and weakness, which Dr. Grady attributed to the </w:t>
      </w:r>
      <w:proofErr w:type="spellStart"/>
      <w:proofErr w:type="gramStart"/>
      <w:r w:rsidRPr="00A10B17">
        <w:t>non</w:t>
      </w:r>
      <w:r>
        <w:t xml:space="preserve"> </w:t>
      </w:r>
      <w:r w:rsidRPr="00A10B17">
        <w:t>compensable</w:t>
      </w:r>
      <w:proofErr w:type="spellEnd"/>
      <w:proofErr w:type="gramEnd"/>
      <w:r w:rsidRPr="00A10B17">
        <w:t xml:space="preserve"> scapholunate</w:t>
      </w:r>
      <w:r>
        <w:t xml:space="preserve"> </w:t>
      </w:r>
      <w:r w:rsidRPr="00A10B17">
        <w:t>ligament tear.</w:t>
      </w:r>
    </w:p>
    <w:p w14:paraId="7008E8B1" w14:textId="77777777" w:rsidR="00EC0328" w:rsidRDefault="00EC0328" w:rsidP="00EC0328">
      <w:pPr>
        <w:pStyle w:val="NoSpacing"/>
        <w:ind w:firstLine="720"/>
        <w:rPr>
          <w:bCs/>
        </w:rPr>
      </w:pPr>
    </w:p>
    <w:p w14:paraId="20D3B16F" w14:textId="77777777" w:rsidR="00EC0328" w:rsidRDefault="00EC0328" w:rsidP="00EC0328">
      <w:pPr>
        <w:pStyle w:val="NoSpacing"/>
        <w:ind w:firstLine="720"/>
        <w:rPr>
          <w:bCs/>
        </w:rPr>
      </w:pPr>
      <w:r>
        <w:t>***</w:t>
      </w:r>
    </w:p>
    <w:p w14:paraId="744AAEC9" w14:textId="77777777" w:rsidR="00EC0328" w:rsidRDefault="00EC0328" w:rsidP="00EC0328">
      <w:pPr>
        <w:pStyle w:val="NoSpacing"/>
        <w:ind w:firstLine="720"/>
        <w:rPr>
          <w:bCs/>
        </w:rPr>
      </w:pPr>
    </w:p>
    <w:p w14:paraId="70204F73" w14:textId="77777777" w:rsidR="00EC0328" w:rsidRPr="00A43EB0" w:rsidRDefault="00EC0328" w:rsidP="00EC0328">
      <w:pPr>
        <w:pStyle w:val="NoSpacing"/>
        <w:ind w:firstLine="720"/>
        <w:rPr>
          <w:bCs/>
        </w:rPr>
      </w:pPr>
      <w:r w:rsidRPr="00A43EB0">
        <w:t>Mr. Gilbert underwent a scapholunate ligament reconstruction, with tendon graft</w:t>
      </w:r>
    </w:p>
    <w:p w14:paraId="2294E77D" w14:textId="77777777" w:rsidR="00EC0328" w:rsidRPr="00A43EB0" w:rsidRDefault="00EC0328" w:rsidP="00EC0328">
      <w:pPr>
        <w:pStyle w:val="NoSpacing"/>
        <w:ind w:firstLine="720"/>
        <w:rPr>
          <w:bCs/>
        </w:rPr>
      </w:pPr>
      <w:r w:rsidRPr="00A43EB0">
        <w:t>and internal brace augmentation of the right wrist on September 12, 2024. The post-</w:t>
      </w:r>
    </w:p>
    <w:p w14:paraId="458171DD" w14:textId="77777777" w:rsidR="00EC0328" w:rsidRDefault="00EC0328" w:rsidP="00EC0328">
      <w:pPr>
        <w:pStyle w:val="NoSpacing"/>
        <w:ind w:firstLine="720"/>
        <w:rPr>
          <w:bCs/>
        </w:rPr>
      </w:pPr>
      <w:r w:rsidRPr="00A43EB0">
        <w:t>operative diagnosis was a complete tear of the scapholunate ligament of the right wrist.</w:t>
      </w:r>
    </w:p>
    <w:p w14:paraId="11FA01C1" w14:textId="77777777" w:rsidR="00EC0328" w:rsidRDefault="00EC0328" w:rsidP="00EC0328">
      <w:pPr>
        <w:pStyle w:val="NoSpacing"/>
        <w:ind w:firstLine="720"/>
        <w:rPr>
          <w:bCs/>
        </w:rPr>
      </w:pPr>
    </w:p>
    <w:p w14:paraId="3F22141E" w14:textId="77777777" w:rsidR="00EC0328" w:rsidRDefault="00EC0328" w:rsidP="00EC0328">
      <w:pPr>
        <w:pStyle w:val="NoSpacing"/>
        <w:ind w:firstLine="720"/>
        <w:rPr>
          <w:bCs/>
        </w:rPr>
      </w:pPr>
      <w:r>
        <w:t>***</w:t>
      </w:r>
    </w:p>
    <w:p w14:paraId="196A95EC" w14:textId="77777777" w:rsidR="00EC0328" w:rsidRDefault="00EC0328" w:rsidP="00EC0328">
      <w:pPr>
        <w:pStyle w:val="NoSpacing"/>
        <w:ind w:firstLine="720"/>
        <w:rPr>
          <w:bCs/>
        </w:rPr>
      </w:pPr>
    </w:p>
    <w:p w14:paraId="29063C1A" w14:textId="77777777" w:rsidR="00EC0328" w:rsidRPr="00596A41" w:rsidRDefault="00EC0328" w:rsidP="00EC0328">
      <w:pPr>
        <w:pStyle w:val="NoSpacing"/>
        <w:ind w:firstLine="720"/>
        <w:rPr>
          <w:bCs/>
        </w:rPr>
      </w:pPr>
      <w:r w:rsidRPr="00596A41">
        <w:t>On September 30, 2024, the claim administrator issued an order suspending Mr.</w:t>
      </w:r>
    </w:p>
    <w:p w14:paraId="6F3C8237" w14:textId="77777777" w:rsidR="00EC0328" w:rsidRPr="00596A41" w:rsidRDefault="00EC0328" w:rsidP="00EC0328">
      <w:pPr>
        <w:pStyle w:val="NoSpacing"/>
        <w:ind w:firstLine="720"/>
        <w:rPr>
          <w:bCs/>
        </w:rPr>
      </w:pPr>
      <w:r w:rsidRPr="00596A41">
        <w:t xml:space="preserve">Gilbert’s TTD benefits </w:t>
      </w:r>
      <w:proofErr w:type="gramStart"/>
      <w:r w:rsidRPr="00596A41">
        <w:t>based</w:t>
      </w:r>
      <w:proofErr w:type="gramEnd"/>
      <w:r w:rsidRPr="00596A41">
        <w:t xml:space="preserve"> upon Dr. Grady’s finding of MMI. </w:t>
      </w:r>
      <w:proofErr w:type="gramStart"/>
      <w:r w:rsidRPr="00596A41">
        <w:t>On November</w:t>
      </w:r>
      <w:proofErr w:type="gramEnd"/>
      <w:r w:rsidRPr="00596A41">
        <w:t xml:space="preserve"> 5, 2024,</w:t>
      </w:r>
    </w:p>
    <w:p w14:paraId="7F5C70D6" w14:textId="77777777" w:rsidR="00EC0328" w:rsidRPr="00596A41" w:rsidRDefault="00EC0328" w:rsidP="00EC0328">
      <w:pPr>
        <w:pStyle w:val="NoSpacing"/>
        <w:ind w:firstLine="720"/>
        <w:rPr>
          <w:bCs/>
        </w:rPr>
      </w:pPr>
      <w:proofErr w:type="gramStart"/>
      <w:r w:rsidRPr="00596A41">
        <w:t>the</w:t>
      </w:r>
      <w:proofErr w:type="gramEnd"/>
      <w:r w:rsidRPr="00596A41">
        <w:t xml:space="preserve"> claim administrator issued an order closing the claim for TTD benefits. Mr. Gilbert</w:t>
      </w:r>
    </w:p>
    <w:p w14:paraId="1861C17F" w14:textId="77777777" w:rsidR="00EC0328" w:rsidRDefault="00EC0328" w:rsidP="00EC0328">
      <w:pPr>
        <w:pStyle w:val="NoSpacing"/>
        <w:ind w:firstLine="720"/>
        <w:rPr>
          <w:bCs/>
        </w:rPr>
      </w:pPr>
      <w:r w:rsidRPr="00596A41">
        <w:t>protested this order.</w:t>
      </w:r>
    </w:p>
    <w:p w14:paraId="7948F36F" w14:textId="77777777" w:rsidR="00EC0328" w:rsidRDefault="00EC0328" w:rsidP="00EC0328">
      <w:pPr>
        <w:pStyle w:val="NoSpacing"/>
        <w:ind w:firstLine="720"/>
        <w:rPr>
          <w:bCs/>
        </w:rPr>
      </w:pPr>
    </w:p>
    <w:p w14:paraId="7EAFE268" w14:textId="77777777" w:rsidR="00EC0328" w:rsidRDefault="00EC0328" w:rsidP="00EC0328">
      <w:pPr>
        <w:pStyle w:val="NoSpacing"/>
        <w:ind w:firstLine="720"/>
        <w:rPr>
          <w:bCs/>
        </w:rPr>
      </w:pPr>
      <w:r>
        <w:t>***</w:t>
      </w:r>
    </w:p>
    <w:p w14:paraId="3C8D9E00" w14:textId="77777777" w:rsidR="00EC0328" w:rsidRDefault="00EC0328" w:rsidP="00EC0328">
      <w:pPr>
        <w:pStyle w:val="NoSpacing"/>
        <w:ind w:firstLine="720"/>
        <w:rPr>
          <w:bCs/>
        </w:rPr>
      </w:pPr>
    </w:p>
    <w:p w14:paraId="1FF34756" w14:textId="77777777" w:rsidR="00EC0328" w:rsidRPr="00433300" w:rsidRDefault="00EC0328" w:rsidP="00EC0328">
      <w:pPr>
        <w:pStyle w:val="NoSpacing"/>
        <w:ind w:firstLine="720"/>
        <w:rPr>
          <w:bCs/>
        </w:rPr>
      </w:pPr>
      <w:r w:rsidRPr="00433300">
        <w:t>Upon review, we conclude that the Board was not clearly wrong in finding that the</w:t>
      </w:r>
    </w:p>
    <w:p w14:paraId="53045FD8" w14:textId="77777777" w:rsidR="00EC0328" w:rsidRPr="00433300" w:rsidRDefault="00EC0328" w:rsidP="00EC0328">
      <w:pPr>
        <w:pStyle w:val="NoSpacing"/>
        <w:ind w:firstLine="720"/>
        <w:rPr>
          <w:bCs/>
        </w:rPr>
      </w:pPr>
      <w:r w:rsidRPr="00433300">
        <w:t>closure of the claim for TTD benefits was premature and improper. We note that TTD</w:t>
      </w:r>
    </w:p>
    <w:p w14:paraId="69DDC4BF" w14:textId="77777777" w:rsidR="00EC0328" w:rsidRPr="00433300" w:rsidRDefault="00EC0328" w:rsidP="00EC0328">
      <w:pPr>
        <w:pStyle w:val="NoSpacing"/>
        <w:ind w:firstLine="720"/>
        <w:rPr>
          <w:bCs/>
        </w:rPr>
      </w:pPr>
      <w:r w:rsidRPr="00433300">
        <w:t xml:space="preserve">payments are payable during an injured worker’s recovery period after a </w:t>
      </w:r>
      <w:proofErr w:type="gramStart"/>
      <w:r w:rsidRPr="00433300">
        <w:t>compensable</w:t>
      </w:r>
      <w:proofErr w:type="gramEnd"/>
    </w:p>
    <w:p w14:paraId="7BD1C713" w14:textId="77777777" w:rsidR="00EC0328" w:rsidRPr="00433300" w:rsidRDefault="00EC0328" w:rsidP="00EC0328">
      <w:pPr>
        <w:pStyle w:val="NoSpacing"/>
        <w:ind w:firstLine="720"/>
        <w:rPr>
          <w:bCs/>
        </w:rPr>
      </w:pPr>
      <w:r w:rsidRPr="00433300">
        <w:t>injury. Pursuant to West Virginia Code § 23-4-7a, TTD benefits are not payable once an</w:t>
      </w:r>
    </w:p>
    <w:p w14:paraId="39CF0F20" w14:textId="77777777" w:rsidR="00EC0328" w:rsidRPr="00433300" w:rsidRDefault="00EC0328" w:rsidP="00EC0328">
      <w:pPr>
        <w:pStyle w:val="NoSpacing"/>
        <w:ind w:firstLine="720"/>
        <w:rPr>
          <w:bCs/>
        </w:rPr>
      </w:pPr>
      <w:r w:rsidRPr="00433300">
        <w:t xml:space="preserve">injured worker reaches MMI, is released to return to work, or </w:t>
      </w:r>
      <w:proofErr w:type="gramStart"/>
      <w:r w:rsidRPr="00433300">
        <w:t>actually returns</w:t>
      </w:r>
      <w:proofErr w:type="gramEnd"/>
      <w:r w:rsidRPr="00433300">
        <w:t xml:space="preserve"> to work.</w:t>
      </w:r>
    </w:p>
    <w:p w14:paraId="578415C4" w14:textId="77777777" w:rsidR="00EC0328" w:rsidRDefault="00EC0328" w:rsidP="00EC0328">
      <w:pPr>
        <w:pStyle w:val="NoSpacing"/>
        <w:ind w:left="720"/>
        <w:rPr>
          <w:bCs/>
        </w:rPr>
      </w:pPr>
      <w:r w:rsidRPr="00433300">
        <w:t>Upon review, we conclude that the Board was not clearly wrong in finding that the evidence</w:t>
      </w:r>
      <w:r>
        <w:t xml:space="preserve"> </w:t>
      </w:r>
      <w:r w:rsidRPr="00433300">
        <w:t>established that the closing of the claim for TTD benefits on November 5, 2024, was</w:t>
      </w:r>
      <w:r>
        <w:t xml:space="preserve"> </w:t>
      </w:r>
      <w:r w:rsidRPr="00433300">
        <w:t>premature</w:t>
      </w:r>
      <w:r>
        <w:t>. “</w:t>
      </w:r>
    </w:p>
    <w:p w14:paraId="0143E390" w14:textId="77777777" w:rsidR="00EC0328" w:rsidRDefault="00EC0328" w:rsidP="00EC0328">
      <w:pPr>
        <w:pStyle w:val="NoSpacing"/>
        <w:ind w:left="720"/>
        <w:rPr>
          <w:bCs/>
        </w:rPr>
      </w:pPr>
    </w:p>
    <w:p w14:paraId="247DB93F" w14:textId="77777777" w:rsidR="00EC0328" w:rsidRPr="00A10B17" w:rsidRDefault="00EC0328" w:rsidP="00EC0328">
      <w:pPr>
        <w:pStyle w:val="NoSpacing"/>
        <w:rPr>
          <w:b/>
        </w:rPr>
      </w:pPr>
      <w:r>
        <w:rPr>
          <w:b/>
        </w:rPr>
        <w:t xml:space="preserve">Legal lesson learned:  Another “battle of the experts.”  Nice to read that the firefighter will have continuing coverage until he reaches MMI (Maximum Medical Improvement). </w:t>
      </w:r>
    </w:p>
    <w:p w14:paraId="00CC73E7" w14:textId="77777777" w:rsidR="00EC0328" w:rsidRDefault="00EC0328" w:rsidP="000624FD">
      <w:pPr>
        <w:pStyle w:val="NoSpacing"/>
        <w:rPr>
          <w:rFonts w:ascii="Arial Black" w:hAnsi="Arial Black"/>
          <w:b/>
          <w:sz w:val="28"/>
          <w:szCs w:val="28"/>
        </w:rPr>
      </w:pPr>
    </w:p>
    <w:p w14:paraId="1B935616" w14:textId="77777777" w:rsidR="007369A1" w:rsidRDefault="007369A1" w:rsidP="000624FD">
      <w:pPr>
        <w:pStyle w:val="NoSpacing"/>
        <w:rPr>
          <w:rFonts w:ascii="Arial Black" w:hAnsi="Arial Black"/>
          <w:b/>
          <w:sz w:val="28"/>
          <w:szCs w:val="28"/>
        </w:rPr>
      </w:pPr>
    </w:p>
    <w:p w14:paraId="6B16C6AC" w14:textId="77777777" w:rsidR="007369A1" w:rsidRDefault="007369A1" w:rsidP="000624FD">
      <w:pPr>
        <w:pStyle w:val="NoSpacing"/>
        <w:rPr>
          <w:rFonts w:ascii="Arial Black" w:hAnsi="Arial Black"/>
          <w:b/>
          <w:sz w:val="28"/>
          <w:szCs w:val="28"/>
        </w:rPr>
      </w:pPr>
    </w:p>
    <w:p w14:paraId="55973961" w14:textId="77777777" w:rsidR="007369A1" w:rsidRDefault="007369A1" w:rsidP="000624FD">
      <w:pPr>
        <w:pStyle w:val="NoSpacing"/>
        <w:rPr>
          <w:rFonts w:ascii="Arial Black" w:hAnsi="Arial Black"/>
          <w:b/>
          <w:sz w:val="28"/>
          <w:szCs w:val="28"/>
        </w:rPr>
      </w:pPr>
    </w:p>
    <w:p w14:paraId="69E06DAD" w14:textId="63D0A001" w:rsidR="00040383" w:rsidRDefault="00040383" w:rsidP="000624FD">
      <w:pPr>
        <w:pStyle w:val="NoSpacing"/>
        <w:rPr>
          <w:rFonts w:ascii="Arial Black" w:hAnsi="Arial Black"/>
          <w:b/>
          <w:sz w:val="28"/>
          <w:szCs w:val="28"/>
        </w:rPr>
      </w:pPr>
      <w:r>
        <w:rPr>
          <w:rFonts w:ascii="Arial Black" w:hAnsi="Arial Black"/>
          <w:b/>
          <w:sz w:val="28"/>
          <w:szCs w:val="28"/>
        </w:rPr>
        <w:t>6-174</w:t>
      </w:r>
    </w:p>
    <w:p w14:paraId="2FB79C9D" w14:textId="77777777" w:rsidR="00040383" w:rsidRDefault="00040383" w:rsidP="00040383">
      <w:pPr>
        <w:pStyle w:val="NoSpacing"/>
        <w:rPr>
          <w:rFonts w:ascii="Arial Black" w:hAnsi="Arial Black"/>
          <w:sz w:val="28"/>
          <w:szCs w:val="28"/>
        </w:rPr>
      </w:pPr>
      <w:r>
        <w:rPr>
          <w:rFonts w:ascii="Arial Black" w:hAnsi="Arial Black"/>
          <w:sz w:val="28"/>
          <w:szCs w:val="28"/>
        </w:rPr>
        <w:t>MD: EMT HEAD INJURY– JURY - TT 47 DAYS OFF IN 5 YRS</w:t>
      </w:r>
    </w:p>
    <w:p w14:paraId="32000FA6" w14:textId="77777777" w:rsidR="00040383" w:rsidRDefault="00040383" w:rsidP="00040383">
      <w:pPr>
        <w:pStyle w:val="NoSpacing"/>
        <w:rPr>
          <w:rFonts w:ascii="Arial Black" w:hAnsi="Arial Black"/>
          <w:sz w:val="28"/>
          <w:szCs w:val="28"/>
        </w:rPr>
      </w:pPr>
    </w:p>
    <w:p w14:paraId="47651A43" w14:textId="7679CE3B" w:rsidR="00040383" w:rsidRDefault="00040383" w:rsidP="00040383">
      <w:pPr>
        <w:pStyle w:val="NoSpacing"/>
      </w:pPr>
      <w:r>
        <w:t xml:space="preserve">On November 19, 2025, in </w:t>
      </w:r>
      <w:r w:rsidRPr="00562B80">
        <w:rPr>
          <w:u w:val="single"/>
        </w:rPr>
        <w:t>Montgomery County, Maryland v. Patricia Taylor</w:t>
      </w:r>
      <w:r>
        <w:t xml:space="preserve">, the </w:t>
      </w:r>
      <w:r w:rsidRPr="00562B80">
        <w:t>Court of Special Appeals of Maryland</w:t>
      </w:r>
      <w:r>
        <w:t xml:space="preserve"> held (4 to 0; unreported decision) that a jury properly awarded a volunteer Medic (and College instructor) temporary total disability for 47 days missed from work because of migraine headaches </w:t>
      </w:r>
      <w:r w:rsidRPr="001D7936">
        <w:t>between 2017-2021</w:t>
      </w:r>
      <w:r>
        <w:t>.  THE COURT WROTE: “</w:t>
      </w:r>
      <w:r w:rsidRPr="001D7936">
        <w:t>On August 15, 2016, Appellee Patricia Taylor, a Montgomery County EMT, sustained a head injury after she was struck by a heavy backboard during a training exercise</w:t>
      </w:r>
      <w:r>
        <w:t xml:space="preserve">…. [She] </w:t>
      </w:r>
      <w:r w:rsidRPr="009D25FA">
        <w:t>appealed the denial of her claim for temporary total disability benefits by the Maryland Workers' Compensation Commission to the Circuit Court for Montgomery County. Appellee elected a jury trial, and following the presentation of evidence and deliberations, the jury determined that she was temporarily totally disabled on the dates specified in her claim</w:t>
      </w:r>
      <w:r>
        <w:t xml:space="preserve">…. </w:t>
      </w:r>
      <w:r w:rsidRPr="00732DE9">
        <w:t> </w:t>
      </w:r>
      <w:r w:rsidRPr="00C81949">
        <w:t>Dr. Jeffrey Gaber, a board-certified internal medicine doctor</w:t>
      </w:r>
      <w:r>
        <w:t xml:space="preserve"> … </w:t>
      </w:r>
      <w:r w:rsidRPr="00732DE9">
        <w:t xml:space="preserve">testified that based on his own evaluation and in part, on a review of medical records from Appellee's internal neurologist and the county's independent medical examiner, that the accident that Appellee suffered can </w:t>
      </w:r>
      <w:r>
        <w:t>‘</w:t>
      </w:r>
      <w:r w:rsidRPr="00732DE9">
        <w:t>absolutely</w:t>
      </w:r>
      <w:r>
        <w:t>’</w:t>
      </w:r>
      <w:r w:rsidRPr="00732DE9">
        <w:t xml:space="preserve"> cause the </w:t>
      </w:r>
      <w:r>
        <w:t>‘</w:t>
      </w:r>
      <w:r w:rsidRPr="00732DE9">
        <w:t>severe</w:t>
      </w:r>
      <w:r>
        <w:t>’</w:t>
      </w:r>
      <w:r w:rsidRPr="00732DE9">
        <w:t xml:space="preserve"> post-concussive headaches that Appellee experienced.</w:t>
      </w:r>
      <w:r>
        <w:t>”</w:t>
      </w:r>
      <w:r w:rsidR="00A94598">
        <w:t xml:space="preserve"> </w:t>
      </w:r>
      <w:hyperlink r:id="rId1023" w:history="1">
        <w:r w:rsidR="00A94598" w:rsidRPr="00824C83">
          <w:rPr>
            <w:rStyle w:val="Hyperlink"/>
          </w:rPr>
          <w:t>https://thedailyrecord.com/files/2025/12/1167s24.pdf</w:t>
        </w:r>
      </w:hyperlink>
      <w:r w:rsidR="00A94598">
        <w:t xml:space="preserve"> </w:t>
      </w:r>
    </w:p>
    <w:p w14:paraId="0CAD56B5" w14:textId="77777777" w:rsidR="00040383" w:rsidRDefault="00040383" w:rsidP="00040383">
      <w:pPr>
        <w:pStyle w:val="NoSpacing"/>
      </w:pPr>
    </w:p>
    <w:p w14:paraId="70E4137A" w14:textId="77777777" w:rsidR="00040383" w:rsidRPr="00D070F3" w:rsidRDefault="00040383" w:rsidP="00040383">
      <w:pPr>
        <w:pStyle w:val="NoSpacing"/>
      </w:pPr>
      <w:r>
        <w:t xml:space="preserve">THE COURT HELD:  </w:t>
      </w:r>
    </w:p>
    <w:p w14:paraId="78CC1239" w14:textId="77777777" w:rsidR="00040383" w:rsidRDefault="00040383" w:rsidP="00040383">
      <w:pPr>
        <w:pStyle w:val="NoSpacing"/>
      </w:pPr>
    </w:p>
    <w:p w14:paraId="47E40BEB" w14:textId="77777777" w:rsidR="00040383" w:rsidRDefault="00040383" w:rsidP="00040383">
      <w:pPr>
        <w:pStyle w:val="NoSpacing"/>
        <w:ind w:left="720"/>
      </w:pPr>
      <w:r>
        <w:t>“</w:t>
      </w:r>
      <w:r w:rsidRPr="00101E58">
        <w:t xml:space="preserve">Appellee presented two witnesses, Dr. Jeffrey Gaber, a board-certified internal medicine doctor, who testified by video deposition and herself. Dr. Gaber opined that, based on his training, experience, medical evaluation, and review of Appellee's medical records, Appellee sustained a concussion </w:t>
      </w:r>
      <w:proofErr w:type="gramStart"/>
      <w:r w:rsidRPr="00101E58">
        <w:t>as a result of</w:t>
      </w:r>
      <w:proofErr w:type="gramEnd"/>
      <w:r w:rsidRPr="00101E58">
        <w:t xml:space="preserve"> a work injury on August 15, 2016. Dr. Gaber further opined that Appellee suffers from post-concussive syndrome because of the accident and that she was unable to work on days when the symptoms were severe</w:t>
      </w:r>
      <w:r>
        <w:t xml:space="preserve">…. </w:t>
      </w:r>
    </w:p>
    <w:p w14:paraId="12AA0FEA" w14:textId="77777777" w:rsidR="00040383" w:rsidRDefault="00040383" w:rsidP="00040383">
      <w:pPr>
        <w:pStyle w:val="NoSpacing"/>
        <w:ind w:left="720" w:firstLine="60"/>
      </w:pPr>
      <w:r w:rsidRPr="00101E58">
        <w:t>Dr. Gaber explained the significance of EMT Taylor's post concussive headaches and their impact on her ability to serve as a paramedic and as a full-time teacher in the education and training department at Johns Hopkins University.</w:t>
      </w:r>
      <w:r>
        <w:t>”</w:t>
      </w:r>
    </w:p>
    <w:p w14:paraId="213139CF" w14:textId="77777777" w:rsidR="00040383" w:rsidRDefault="00040383" w:rsidP="00040383">
      <w:pPr>
        <w:pStyle w:val="NoSpacing"/>
        <w:ind w:left="720" w:firstLine="60"/>
      </w:pPr>
    </w:p>
    <w:p w14:paraId="78837DB5" w14:textId="77777777" w:rsidR="00040383" w:rsidRPr="00567053" w:rsidRDefault="00040383" w:rsidP="00040383">
      <w:pPr>
        <w:pStyle w:val="NoSpacing"/>
        <w:ind w:firstLine="60"/>
        <w:rPr>
          <w:b/>
          <w:bCs/>
        </w:rPr>
      </w:pPr>
      <w:r>
        <w:rPr>
          <w:b/>
        </w:rPr>
        <w:t xml:space="preserve">Legal lesson learned:  Maryland </w:t>
      </w:r>
      <w:r>
        <w:rPr>
          <w:b/>
          <w:bCs/>
        </w:rPr>
        <w:t xml:space="preserve">has unique </w:t>
      </w:r>
      <w:r>
        <w:rPr>
          <w:b/>
        </w:rPr>
        <w:t>jury trial</w:t>
      </w:r>
      <w:r>
        <w:rPr>
          <w:b/>
          <w:bCs/>
        </w:rPr>
        <w:t xml:space="preserve">s </w:t>
      </w:r>
      <w:r>
        <w:rPr>
          <w:b/>
        </w:rPr>
        <w:t>on worker’s comp claims</w:t>
      </w:r>
      <w:r>
        <w:rPr>
          <w:b/>
          <w:bCs/>
        </w:rPr>
        <w:t xml:space="preserve">. </w:t>
      </w:r>
    </w:p>
    <w:p w14:paraId="677A7BD7" w14:textId="77777777" w:rsidR="00040383" w:rsidRDefault="00040383" w:rsidP="00040383">
      <w:pPr>
        <w:rPr>
          <w:b/>
        </w:rPr>
      </w:pPr>
    </w:p>
    <w:p w14:paraId="2182BDC9" w14:textId="77777777" w:rsidR="00040383" w:rsidRDefault="00040383" w:rsidP="000624FD">
      <w:pPr>
        <w:pStyle w:val="NoSpacing"/>
        <w:rPr>
          <w:rFonts w:ascii="Arial Black" w:hAnsi="Arial Black"/>
          <w:b/>
          <w:sz w:val="28"/>
          <w:szCs w:val="28"/>
        </w:rPr>
      </w:pPr>
    </w:p>
    <w:p w14:paraId="631B1D63" w14:textId="77777777" w:rsidR="00040383" w:rsidRDefault="00040383" w:rsidP="000624FD">
      <w:pPr>
        <w:pStyle w:val="NoSpacing"/>
        <w:rPr>
          <w:rFonts w:ascii="Arial Black" w:hAnsi="Arial Black"/>
          <w:b/>
          <w:sz w:val="28"/>
          <w:szCs w:val="28"/>
        </w:rPr>
      </w:pPr>
    </w:p>
    <w:p w14:paraId="46E247D5" w14:textId="61DC7FAE" w:rsidR="00DE3247" w:rsidRDefault="00040383" w:rsidP="000624FD">
      <w:pPr>
        <w:pStyle w:val="NoSpacing"/>
        <w:rPr>
          <w:rFonts w:ascii="Arial Black" w:hAnsi="Arial Black"/>
          <w:b/>
          <w:sz w:val="28"/>
          <w:szCs w:val="28"/>
        </w:rPr>
      </w:pPr>
      <w:r>
        <w:rPr>
          <w:rFonts w:ascii="Arial Black" w:hAnsi="Arial Black"/>
          <w:b/>
          <w:sz w:val="28"/>
          <w:szCs w:val="28"/>
        </w:rPr>
        <w:t>6-173</w:t>
      </w:r>
    </w:p>
    <w:p w14:paraId="2961EA3B" w14:textId="77777777" w:rsidR="00190EAB" w:rsidRDefault="00190EAB" w:rsidP="000624FD">
      <w:pPr>
        <w:pStyle w:val="NoSpacing"/>
        <w:rPr>
          <w:rFonts w:ascii="Arial Black" w:hAnsi="Arial Black"/>
          <w:b/>
          <w:sz w:val="28"/>
          <w:szCs w:val="28"/>
        </w:rPr>
      </w:pPr>
    </w:p>
    <w:p w14:paraId="69F6602F" w14:textId="77777777" w:rsidR="00190EAB" w:rsidRDefault="00190EAB" w:rsidP="00190EAB">
      <w:pPr>
        <w:pStyle w:val="NoSpacing"/>
        <w:rPr>
          <w:rFonts w:ascii="Arial Black" w:hAnsi="Arial Black"/>
          <w:sz w:val="28"/>
          <w:szCs w:val="28"/>
        </w:rPr>
      </w:pPr>
      <w:r>
        <w:rPr>
          <w:rFonts w:ascii="Arial Black" w:hAnsi="Arial Black"/>
          <w:sz w:val="28"/>
          <w:szCs w:val="28"/>
        </w:rPr>
        <w:t>CA: PENSION “SPIKING” – STANDBY PAY NOT COUNTED</w:t>
      </w:r>
    </w:p>
    <w:p w14:paraId="2BD4DC38" w14:textId="77777777" w:rsidR="00190EAB" w:rsidRDefault="00190EAB" w:rsidP="00190EAB">
      <w:pPr>
        <w:pStyle w:val="NoSpacing"/>
        <w:rPr>
          <w:rFonts w:ascii="Arial Black" w:hAnsi="Arial Black"/>
          <w:sz w:val="28"/>
          <w:szCs w:val="28"/>
        </w:rPr>
      </w:pPr>
    </w:p>
    <w:p w14:paraId="20110E76" w14:textId="77777777" w:rsidR="00190EAB" w:rsidRDefault="00190EAB" w:rsidP="00190EAB">
      <w:pPr>
        <w:pStyle w:val="NoSpacing"/>
      </w:pPr>
      <w:r>
        <w:t xml:space="preserve">On November 13, 2025, in </w:t>
      </w:r>
      <w:r w:rsidRPr="00FC0177">
        <w:rPr>
          <w:u w:val="single"/>
        </w:rPr>
        <w:t>Ventura County Professional Firefighters’ Association, et al. v. Ventura County Employees’ Retirement Association, et al</w:t>
      </w:r>
      <w:r>
        <w:t xml:space="preserve">., the </w:t>
      </w:r>
      <w:r w:rsidRPr="0038538F">
        <w:t>California Court of Appeals, Second District, Sixth Division</w:t>
      </w:r>
      <w:r>
        <w:t xml:space="preserve"> held (3 to 0; unpublished opinion) that pension Board since 2021 stop considering “standby pay” (where they may be called back work in an emergency) in employee pension calculation of their “annual average compensation.”  The state pension law was amended in 2013 to prevent “spiking” – “additional services rendered outside of normal working hours” no longer in pension calculation.  Three firefighter Heavy Equipment Operators, and two firefighter Aviation Managers were hired prior to the 2021 change, and these “legacy” personnel and their union </w:t>
      </w:r>
      <w:r w:rsidRPr="00224E79">
        <w:t>petitioned for a writ of mandamus in the trial court</w:t>
      </w:r>
      <w:r>
        <w:t>. THE COURT WROTE:  “PEPRA revised laws governing pension plans and amended provisions of CERL in response to a rise in ‘spiking’ and other practices used to increase retirement benefits during the representative period…. Among the types of compensation excluded are ‘[p]</w:t>
      </w:r>
      <w:proofErr w:type="spellStart"/>
      <w:r>
        <w:t>ayments</w:t>
      </w:r>
      <w:proofErr w:type="spellEnd"/>
      <w:r>
        <w:t xml:space="preserve"> for additional services rendered outside of normal working hours, whether paid in a lump sum or otherwise.’ (§ 31461, subd. (b)(3).) … T</w:t>
      </w:r>
      <w:r w:rsidRPr="00434C5F">
        <w:t>ime on standby, it must follow, is not</w:t>
      </w:r>
      <w:r>
        <w:t xml:space="preserve"> time appellants are ‘actually’ working under Article 10, but time they agree the </w:t>
      </w:r>
      <w:proofErr w:type="gramStart"/>
      <w:r>
        <w:t>District</w:t>
      </w:r>
      <w:proofErr w:type="gramEnd"/>
      <w:r>
        <w:t xml:space="preserve"> may call them back to work an unspecified number of overtime hours under Article 11…. </w:t>
      </w:r>
      <w:r w:rsidRPr="00E55F32">
        <w:t>Employees</w:t>
      </w:r>
      <w:r>
        <w:t xml:space="preserve"> </w:t>
      </w:r>
      <w:r w:rsidRPr="00E55F32">
        <w:t xml:space="preserve">are paid one quarter of their hourly wage if placed on </w:t>
      </w:r>
      <w:proofErr w:type="gramStart"/>
      <w:r w:rsidRPr="00E55F32">
        <w:t xml:space="preserve">standby </w:t>
      </w:r>
      <w:r>
        <w:t>status</w:t>
      </w:r>
      <w:proofErr w:type="gramEnd"/>
      <w:r>
        <w:t xml:space="preserve"> </w:t>
      </w:r>
      <w:r w:rsidRPr="00E55F32">
        <w:t>by their Duty Chief. If called back to work, they are paid</w:t>
      </w:r>
      <w:r>
        <w:t xml:space="preserve"> </w:t>
      </w:r>
      <w:r w:rsidRPr="00E55F32">
        <w:t>at a predetermined hourly overtime rate</w:t>
      </w:r>
      <w:r>
        <w:t xml:space="preserve">…. The [Pension] Board ratified revised pay codes in May of 2021…. The discretionary nature of standby hours is what requires us to conclude they are not hours ‘ordinarily performed…. We read these provisions as requiring appellants to accept standby </w:t>
      </w:r>
      <w:r w:rsidRPr="001A5C92">
        <w:rPr>
          <w:i/>
          <w:iCs/>
        </w:rPr>
        <w:t xml:space="preserve">if </w:t>
      </w:r>
      <w:r>
        <w:t>assigned and not as expanding their normal work hours. VCERA and the trial court</w:t>
      </w:r>
    </w:p>
    <w:p w14:paraId="49648E99" w14:textId="77777777" w:rsidR="00190EAB" w:rsidRDefault="00190EAB" w:rsidP="00190EAB">
      <w:pPr>
        <w:pStyle w:val="NoSpacing"/>
      </w:pPr>
      <w:r>
        <w:t xml:space="preserve">correctly considered standby—at least as defined in the MOA and Side Letter—as ‘additional services rendered outside of normal working hours.’ (§ 31461, subd. (b)(3).) “ </w:t>
      </w:r>
      <w:hyperlink r:id="rId1024" w:history="1">
        <w:r w:rsidRPr="00583A8C">
          <w:rPr>
            <w:rStyle w:val="Hyperlink"/>
          </w:rPr>
          <w:t>https://www4.courts.ca.gov/opinions/nonpub/B338919.PDF</w:t>
        </w:r>
      </w:hyperlink>
      <w:r>
        <w:t xml:space="preserve"> </w:t>
      </w:r>
    </w:p>
    <w:p w14:paraId="31BF533B" w14:textId="77777777" w:rsidR="00190EAB" w:rsidRDefault="00190EAB" w:rsidP="00190EAB">
      <w:pPr>
        <w:pStyle w:val="NoSpacing"/>
      </w:pPr>
    </w:p>
    <w:p w14:paraId="13E8DB7F" w14:textId="77777777" w:rsidR="00190EAB" w:rsidRDefault="00190EAB" w:rsidP="00190EAB">
      <w:pPr>
        <w:pStyle w:val="NoSpacing"/>
      </w:pPr>
      <w:r>
        <w:t>THE COURT HELD:</w:t>
      </w:r>
    </w:p>
    <w:p w14:paraId="6739618A" w14:textId="77777777" w:rsidR="00190EAB" w:rsidRDefault="00190EAB" w:rsidP="00190EAB">
      <w:pPr>
        <w:pStyle w:val="NoSpacing"/>
      </w:pPr>
    </w:p>
    <w:p w14:paraId="1F5FD323" w14:textId="77777777" w:rsidR="00190EAB" w:rsidRDefault="00190EAB" w:rsidP="00190EAB">
      <w:pPr>
        <w:pStyle w:val="NoSpacing"/>
        <w:ind w:left="720"/>
      </w:pPr>
      <w:r>
        <w:t xml:space="preserve">“VCPFA’s co-appellants are five employees of the </w:t>
      </w:r>
      <w:proofErr w:type="gramStart"/>
      <w:r>
        <w:t>District</w:t>
      </w:r>
      <w:proofErr w:type="gramEnd"/>
      <w:r>
        <w:t>: aviation managers Melvin Lovo and Jeffrey Seabrook, and heavy equipment operators Scott Price, Christopher Beery, and Ryan Winchester. They contribute a portion of every paycheck to VCERA to fund their pension benefits. CERL governs the calculation of VCERA members’ retirement allowances based on a formula comprised of an employee’s: (1) age at retirement; (2) years of service; and (3) final compensation.</w:t>
      </w:r>
    </w:p>
    <w:p w14:paraId="3A339DB0" w14:textId="77777777" w:rsidR="00190EAB" w:rsidRDefault="00190EAB" w:rsidP="00190EAB">
      <w:pPr>
        <w:pStyle w:val="NoSpacing"/>
        <w:ind w:left="720"/>
      </w:pPr>
    </w:p>
    <w:p w14:paraId="693536B6" w14:textId="77777777" w:rsidR="00190EAB" w:rsidRDefault="00190EAB" w:rsidP="00190EAB">
      <w:pPr>
        <w:pStyle w:val="NoSpacing"/>
        <w:ind w:left="720"/>
      </w:pPr>
      <w:r>
        <w:t>***</w:t>
      </w:r>
    </w:p>
    <w:p w14:paraId="3980D2C9" w14:textId="77777777" w:rsidR="00190EAB" w:rsidRDefault="00190EAB" w:rsidP="00190EAB">
      <w:pPr>
        <w:pStyle w:val="NoSpacing"/>
        <w:ind w:left="720"/>
      </w:pPr>
      <w:r>
        <w:t>Appellants are ‘legacy’ members of VCERA because they were employed by the county prior to the enactment of PEPRA in 2013…. EPRA revised laws governing pension plans and amended provisions of CERL in response to a rise in ‘spiking’ and other practices used to increase retirement benefits during the representative period.</w:t>
      </w:r>
    </w:p>
    <w:p w14:paraId="1E234DBA" w14:textId="77777777" w:rsidR="00190EAB" w:rsidRDefault="00190EAB" w:rsidP="00190EAB">
      <w:pPr>
        <w:pStyle w:val="NoSpacing"/>
        <w:ind w:left="720"/>
      </w:pPr>
    </w:p>
    <w:p w14:paraId="4B6990D7" w14:textId="77777777" w:rsidR="00190EAB" w:rsidRDefault="00190EAB" w:rsidP="00190EAB">
      <w:pPr>
        <w:pStyle w:val="NoSpacing"/>
        <w:ind w:left="720"/>
      </w:pPr>
      <w:r>
        <w:t>***</w:t>
      </w:r>
    </w:p>
    <w:p w14:paraId="2BE671C2" w14:textId="77777777" w:rsidR="00190EAB" w:rsidRDefault="00190EAB" w:rsidP="00190EAB">
      <w:pPr>
        <w:pStyle w:val="NoSpacing"/>
        <w:ind w:left="720"/>
      </w:pPr>
    </w:p>
    <w:p w14:paraId="42A6D74C" w14:textId="77777777" w:rsidR="00190EAB" w:rsidRDefault="00190EAB" w:rsidP="00190EAB">
      <w:pPr>
        <w:pStyle w:val="NoSpacing"/>
        <w:ind w:left="720"/>
      </w:pPr>
      <w:r>
        <w:t xml:space="preserve">The MOA does not differentiate between different types of standby. Appellants assert that in practice there are two types: (1) ‘ad hoc’ standby worked at the Duty Chief’s discretion when emergency conditions were forecasted; and (2) ‘scheduled’ standby that is ‘assigned, regular, and reoccurring, mandatory, and part of an employee’s normal working hours.” They allege the </w:t>
      </w:r>
      <w:proofErr w:type="gramStart"/>
      <w:r>
        <w:t>District</w:t>
      </w:r>
      <w:proofErr w:type="gramEnd"/>
      <w:r>
        <w:t xml:space="preserve"> requires them ‘to be on standby for a certain number of days each month as part of their normal </w:t>
      </w:r>
      <w:proofErr w:type="gramStart"/>
      <w:r>
        <w:t>schedules’</w:t>
      </w:r>
      <w:proofErr w:type="gramEnd"/>
      <w:r>
        <w:t xml:space="preserve"> because they have specialized skills. ‘Heavy Equipment Operator[s]’ work ‘a minimum’ of two days per week and seven days per three-week period. ‘ Aviation Manager[s]/ work an additional</w:t>
      </w:r>
    </w:p>
    <w:p w14:paraId="159E64D1" w14:textId="77777777" w:rsidR="00190EAB" w:rsidRDefault="00190EAB" w:rsidP="00190EAB">
      <w:pPr>
        <w:pStyle w:val="NoSpacing"/>
        <w:ind w:left="720"/>
      </w:pPr>
      <w:r>
        <w:t>eight hours of standby after each shift.”</w:t>
      </w:r>
    </w:p>
    <w:p w14:paraId="788E501B" w14:textId="77777777" w:rsidR="00190EAB" w:rsidRDefault="00190EAB" w:rsidP="00190EAB">
      <w:pPr>
        <w:pStyle w:val="NoSpacing"/>
        <w:ind w:firstLine="720"/>
      </w:pPr>
    </w:p>
    <w:p w14:paraId="06A42621" w14:textId="77777777" w:rsidR="00190EAB" w:rsidRPr="00CD2147" w:rsidRDefault="00190EAB" w:rsidP="00190EAB">
      <w:pPr>
        <w:pStyle w:val="NoSpacing"/>
        <w:rPr>
          <w:b/>
          <w:bCs/>
        </w:rPr>
      </w:pPr>
      <w:r>
        <w:rPr>
          <w:b/>
        </w:rPr>
        <w:t xml:space="preserve">Legal lesson learned: California law was amended in 2013 because of pension “spiking” – </w:t>
      </w:r>
      <w:r w:rsidRPr="00CD2147">
        <w:rPr>
          <w:b/>
        </w:rPr>
        <w:t>“additional services rendered outside of normal working hours” not in calculation of average annual compensation.</w:t>
      </w:r>
    </w:p>
    <w:p w14:paraId="04100214" w14:textId="77777777" w:rsidR="00190EAB" w:rsidRDefault="00190EAB" w:rsidP="000624FD">
      <w:pPr>
        <w:pStyle w:val="NoSpacing"/>
        <w:rPr>
          <w:rFonts w:ascii="Arial Black" w:hAnsi="Arial Black"/>
          <w:b/>
          <w:sz w:val="28"/>
          <w:szCs w:val="28"/>
        </w:rPr>
      </w:pPr>
    </w:p>
    <w:p w14:paraId="4185E707" w14:textId="77777777" w:rsidR="00190EAB" w:rsidRDefault="00190EAB" w:rsidP="000624FD">
      <w:pPr>
        <w:pStyle w:val="NoSpacing"/>
        <w:rPr>
          <w:rFonts w:ascii="Arial Black" w:hAnsi="Arial Black"/>
          <w:b/>
          <w:sz w:val="28"/>
          <w:szCs w:val="28"/>
        </w:rPr>
      </w:pPr>
    </w:p>
    <w:p w14:paraId="2513789F" w14:textId="77777777" w:rsidR="00190EAB" w:rsidRDefault="00190EAB" w:rsidP="000624FD">
      <w:pPr>
        <w:pStyle w:val="NoSpacing"/>
        <w:rPr>
          <w:rFonts w:ascii="Arial Black" w:hAnsi="Arial Black"/>
          <w:b/>
          <w:sz w:val="28"/>
          <w:szCs w:val="28"/>
        </w:rPr>
      </w:pPr>
    </w:p>
    <w:p w14:paraId="6A9ED24A" w14:textId="77777777" w:rsidR="00190EAB" w:rsidRDefault="00190EAB" w:rsidP="000624FD">
      <w:pPr>
        <w:pStyle w:val="NoSpacing"/>
        <w:rPr>
          <w:rFonts w:ascii="Arial Black" w:hAnsi="Arial Black"/>
          <w:b/>
          <w:sz w:val="28"/>
          <w:szCs w:val="28"/>
        </w:rPr>
      </w:pPr>
    </w:p>
    <w:p w14:paraId="0EFFD7B3" w14:textId="77777777" w:rsidR="00040383" w:rsidRDefault="00040383" w:rsidP="000624FD">
      <w:pPr>
        <w:pStyle w:val="NoSpacing"/>
        <w:rPr>
          <w:rFonts w:ascii="Arial Black" w:hAnsi="Arial Black"/>
          <w:b/>
          <w:sz w:val="28"/>
          <w:szCs w:val="28"/>
        </w:rPr>
      </w:pPr>
    </w:p>
    <w:p w14:paraId="4D41564F" w14:textId="3EF1D647" w:rsidR="00DE3247" w:rsidRDefault="005646A1" w:rsidP="000624FD">
      <w:pPr>
        <w:pStyle w:val="NoSpacing"/>
        <w:rPr>
          <w:rFonts w:ascii="Arial Black" w:hAnsi="Arial Black"/>
          <w:b/>
          <w:sz w:val="28"/>
          <w:szCs w:val="28"/>
        </w:rPr>
      </w:pPr>
      <w:r>
        <w:rPr>
          <w:rFonts w:ascii="Arial Black" w:hAnsi="Arial Black"/>
          <w:b/>
          <w:sz w:val="28"/>
          <w:szCs w:val="28"/>
        </w:rPr>
        <w:t>6-17</w:t>
      </w:r>
      <w:r w:rsidR="002A0697">
        <w:rPr>
          <w:rFonts w:ascii="Arial Black" w:hAnsi="Arial Black"/>
          <w:b/>
          <w:sz w:val="28"/>
          <w:szCs w:val="28"/>
        </w:rPr>
        <w:t>2</w:t>
      </w:r>
    </w:p>
    <w:p w14:paraId="186CA53D" w14:textId="77777777" w:rsidR="005646A1" w:rsidRDefault="005646A1" w:rsidP="000624FD">
      <w:pPr>
        <w:pStyle w:val="NoSpacing"/>
        <w:rPr>
          <w:rFonts w:ascii="Arial Black" w:hAnsi="Arial Black"/>
          <w:b/>
          <w:sz w:val="28"/>
          <w:szCs w:val="28"/>
        </w:rPr>
      </w:pPr>
    </w:p>
    <w:p w14:paraId="07CE58F2" w14:textId="3F774473" w:rsidR="00FC5BB1" w:rsidRPr="00244855" w:rsidRDefault="00FC5BB1" w:rsidP="00FC5BB1">
      <w:pPr>
        <w:pStyle w:val="NoSpacing"/>
        <w:rPr>
          <w:rFonts w:ascii="Arial Black" w:hAnsi="Arial Black"/>
          <w:sz w:val="28"/>
          <w:szCs w:val="28"/>
        </w:rPr>
      </w:pPr>
      <w:r>
        <w:rPr>
          <w:rFonts w:ascii="Arial Black" w:hAnsi="Arial Black"/>
          <w:sz w:val="28"/>
          <w:szCs w:val="28"/>
        </w:rPr>
        <w:t xml:space="preserve">AZ: BRAIN CANCER – WORK COMP </w:t>
      </w:r>
      <w:r w:rsidR="005C48CA">
        <w:rPr>
          <w:rFonts w:ascii="Arial Black" w:hAnsi="Arial Black"/>
          <w:sz w:val="28"/>
          <w:szCs w:val="28"/>
        </w:rPr>
        <w:t>COVERAGE</w:t>
      </w:r>
    </w:p>
    <w:p w14:paraId="1236FD41" w14:textId="77777777" w:rsidR="00FC5BB1" w:rsidRDefault="00FC5BB1" w:rsidP="00FC5BB1">
      <w:pPr>
        <w:pStyle w:val="NoSpacing"/>
      </w:pPr>
    </w:p>
    <w:p w14:paraId="629E6913" w14:textId="77777777" w:rsidR="00FC5BB1" w:rsidRPr="009327ED" w:rsidRDefault="00FC5BB1" w:rsidP="00FC5BB1">
      <w:pPr>
        <w:pStyle w:val="NoSpacing"/>
      </w:pPr>
      <w:r>
        <w:t xml:space="preserve">On Oct. 31, 2025, in </w:t>
      </w:r>
      <w:r w:rsidRPr="008559F1">
        <w:rPr>
          <w:u w:val="single"/>
        </w:rPr>
        <w:t>Robert Vande Krol v. The Industrial Commission of Arizona, et al</w:t>
      </w:r>
      <w:r>
        <w:t xml:space="preserve">., the </w:t>
      </w:r>
      <w:r w:rsidRPr="009327ED">
        <w:t>Court of Appeals of Arizona, First Division</w:t>
      </w:r>
      <w:r>
        <w:t xml:space="preserve"> held (3 to 1, unpublished opinion) that the medically retired firefighter from Superstition Fire Department was entitled to workers comp. by showing that </w:t>
      </w:r>
      <w:r w:rsidRPr="00C23189">
        <w:t>carcinogen</w:t>
      </w:r>
      <w:r>
        <w:t>s to which he was exposed could lead to brain cancer in general – no need to prove cause his specific type of cancer (</w:t>
      </w:r>
      <w:r w:rsidRPr="00EC6245">
        <w:t>oligodendroglioma,</w:t>
      </w:r>
      <w:r>
        <w:t xml:space="preserve">). In August 2000 as part of annual physical, a tumor </w:t>
      </w:r>
      <w:proofErr w:type="gramStart"/>
      <w:r>
        <w:t>was located in</w:t>
      </w:r>
      <w:proofErr w:type="gramEnd"/>
      <w:r>
        <w:t xml:space="preserve"> brain of this 18-year firefighter. </w:t>
      </w:r>
      <w:r w:rsidRPr="00EC6245">
        <w:t xml:space="preserve">In October 2020, Vande Krol underwent brain surgery (a right craniotomy), which successfully removed the tumor. Thereafter, </w:t>
      </w:r>
      <w:r>
        <w:t xml:space="preserve">he </w:t>
      </w:r>
      <w:r w:rsidRPr="00EC6245">
        <w:t>was diagnosed with oligodendroglioma, a rare form of brain cancer. After surgery, Vande Krol lost peripheral vision in his left eye, and he now suffers cognitive impairment, vertigo, headaches, and muscle weakness</w:t>
      </w:r>
      <w:r>
        <w:t xml:space="preserve">, and was required to take medical </w:t>
      </w:r>
      <w:r w:rsidRPr="00EC6245">
        <w:t xml:space="preserve"> retirement. </w:t>
      </w:r>
      <w:r>
        <w:t xml:space="preserve"> </w:t>
      </w:r>
      <w:hyperlink r:id="rId1025" w:history="1">
        <w:r w:rsidRPr="00822BB2">
          <w:rPr>
            <w:rStyle w:val="Hyperlink"/>
          </w:rPr>
          <w:t>https://public.fastcase.com/jaEE2PXzRXmZ99jOLMt1IiCZZZpteOfluZOkYG3wMviTSniVMo5h4kc4WRTpe6V8Jg8IM7MTKJ5SfgRKhZGl2tVI6P4U%2BnkSaEwO2dzM8Rk%3D?utm_medium=email&amp;_hsenc=p2ANqtz--UPexxOwqhUZNftyKJhb3R-qXmsyD2qvqkoufxMeh6uEfEbZVRIKhd7hzivD-PUaEhi0YeikRdDbC9teuqS6ORoDRaLQ&amp;_hsmi=226712652&amp;utm_content=226712652&amp;utm_source=hs_email</w:t>
        </w:r>
      </w:hyperlink>
      <w:r>
        <w:t xml:space="preserve"> </w:t>
      </w:r>
    </w:p>
    <w:p w14:paraId="7231DC29" w14:textId="77777777" w:rsidR="00FC5BB1" w:rsidRDefault="00FC5BB1" w:rsidP="00FC5BB1">
      <w:pPr>
        <w:pStyle w:val="NoSpacing"/>
      </w:pPr>
    </w:p>
    <w:p w14:paraId="7DD7FE10" w14:textId="77777777" w:rsidR="00FC5BB1" w:rsidRDefault="00FC5BB1" w:rsidP="00FC5BB1">
      <w:pPr>
        <w:pStyle w:val="NoSpacing"/>
      </w:pPr>
      <w:r>
        <w:t>THE COURT HELD:</w:t>
      </w:r>
    </w:p>
    <w:p w14:paraId="623A9EAD" w14:textId="77777777" w:rsidR="00FC5BB1" w:rsidRDefault="00FC5BB1" w:rsidP="00FC5BB1">
      <w:pPr>
        <w:pStyle w:val="NoSpacing"/>
        <w:ind w:left="720"/>
      </w:pPr>
    </w:p>
    <w:p w14:paraId="7DE63E37" w14:textId="77777777" w:rsidR="00FC5BB1" w:rsidRDefault="00FC5BB1" w:rsidP="00FC5BB1">
      <w:pPr>
        <w:pStyle w:val="NoSpacing"/>
        <w:ind w:left="720"/>
      </w:pPr>
      <w:r>
        <w:t>“V</w:t>
      </w:r>
      <w:r w:rsidRPr="00A43411">
        <w:t>ande Krol filed a workers' compensation claim with Superstition's insurer, Benchmark Insurance Company ("Benchmark"), stating that his brain cancer was a covered occupational disease. Benchmark denied the claim, so Vande Krol requested a hearing before an ALJ</w:t>
      </w:r>
      <w:r>
        <w:t>.</w:t>
      </w:r>
    </w:p>
    <w:p w14:paraId="04EDCF5A" w14:textId="77777777" w:rsidR="00FC5BB1" w:rsidRDefault="00FC5BB1" w:rsidP="00FC5BB1">
      <w:pPr>
        <w:pStyle w:val="NoSpacing"/>
        <w:ind w:left="720"/>
      </w:pPr>
    </w:p>
    <w:p w14:paraId="32385D7A" w14:textId="77777777" w:rsidR="00FC5BB1" w:rsidRDefault="00FC5BB1" w:rsidP="00FC5BB1">
      <w:pPr>
        <w:pStyle w:val="NoSpacing"/>
        <w:ind w:left="720"/>
      </w:pPr>
      <w:r>
        <w:t>***</w:t>
      </w:r>
    </w:p>
    <w:p w14:paraId="3766EA7C" w14:textId="77777777" w:rsidR="00FC5BB1" w:rsidRDefault="00FC5BB1" w:rsidP="00FC5BB1">
      <w:pPr>
        <w:pStyle w:val="NoSpacing"/>
      </w:pPr>
    </w:p>
    <w:p w14:paraId="023E76BC" w14:textId="77777777" w:rsidR="00FC5BB1" w:rsidRDefault="00FC5BB1" w:rsidP="00FC5BB1">
      <w:pPr>
        <w:pStyle w:val="NoSpacing"/>
        <w:ind w:left="720"/>
      </w:pPr>
      <w:r w:rsidRPr="00BA15B4">
        <w:t xml:space="preserve">At the hearing, the ALJ </w:t>
      </w:r>
      <w:r>
        <w:t xml:space="preserve">[Administrative Law Judge] </w:t>
      </w:r>
      <w:r w:rsidRPr="00BA15B4">
        <w:t xml:space="preserve">heard testimony from Vande Krol and two medical experts. Dr. Smith, a former firefighter and current physician, testified for Vande Krol. He opined that the </w:t>
      </w:r>
      <w:r>
        <w:t>‘</w:t>
      </w:r>
      <w:r w:rsidRPr="00BA15B4">
        <w:t>probable cause</w:t>
      </w:r>
      <w:r>
        <w:t>’</w:t>
      </w:r>
      <w:r w:rsidRPr="00BA15B4">
        <w:t xml:space="preserve"> of Vande Krol's brain cancer was a combination of exposure to (1) the byproducts of combustion from fires, (2) firefighting foam, (3) diesel fumes, and (4) radiation emitted from the cell tower near his fire station.</w:t>
      </w:r>
    </w:p>
    <w:p w14:paraId="315DBC0D" w14:textId="77777777" w:rsidR="00FC5BB1" w:rsidRDefault="00FC5BB1" w:rsidP="00FC5BB1">
      <w:pPr>
        <w:pStyle w:val="NoSpacing"/>
      </w:pPr>
    </w:p>
    <w:p w14:paraId="74040993" w14:textId="77777777" w:rsidR="00FC5BB1" w:rsidRDefault="00FC5BB1" w:rsidP="00FC5BB1">
      <w:pPr>
        <w:pStyle w:val="NoSpacing"/>
        <w:ind w:left="720"/>
      </w:pPr>
      <w:r w:rsidRPr="00727F96">
        <w:t xml:space="preserve">Dr. Peter Ferrara, a surgical oncologist, testified </w:t>
      </w:r>
      <w:proofErr w:type="gramStart"/>
      <w:r w:rsidRPr="00727F96">
        <w:t>for</w:t>
      </w:r>
      <w:proofErr w:type="gramEnd"/>
      <w:r w:rsidRPr="00727F96">
        <w:t xml:space="preserve"> Superstition and Benchmark (together, "Respondents"). Dr. Ferrara testified that the only </w:t>
      </w:r>
      <w:r>
        <w:t>‘</w:t>
      </w:r>
      <w:r w:rsidRPr="00727F96">
        <w:t xml:space="preserve">definite </w:t>
      </w:r>
      <w:proofErr w:type="spellStart"/>
      <w:r w:rsidRPr="00727F96">
        <w:t>caus</w:t>
      </w:r>
      <w:proofErr w:type="spellEnd"/>
      <w:r w:rsidRPr="00727F96">
        <w:t xml:space="preserve">[e] of brain </w:t>
      </w:r>
      <w:proofErr w:type="gramStart"/>
      <w:r w:rsidRPr="00727F96">
        <w:t>cancers</w:t>
      </w:r>
      <w:proofErr w:type="gramEnd"/>
      <w:r w:rsidRPr="00727F96">
        <w:t xml:space="preserve"> is ionizing radiation,</w:t>
      </w:r>
      <w:r>
        <w:t>’</w:t>
      </w:r>
      <w:r w:rsidRPr="00727F96">
        <w:t xml:space="preserve"> and there was no evidence of such exposure. Dr. Ferrara said he could not opine to a </w:t>
      </w:r>
      <w:r>
        <w:t>‘</w:t>
      </w:r>
      <w:r w:rsidRPr="00727F96">
        <w:t>reasonable degree of medical probability</w:t>
      </w:r>
      <w:r>
        <w:t>’</w:t>
      </w:r>
      <w:r w:rsidRPr="00727F96">
        <w:t xml:space="preserve"> that Vande Krol's exposure to any carcinogens commonly associated with firefighting were related to his </w:t>
      </w:r>
      <w:r>
        <w:t>‘</w:t>
      </w:r>
      <w:r w:rsidRPr="00727F96">
        <w:t>type of brain cancer.</w:t>
      </w:r>
      <w:r>
        <w:t>’</w:t>
      </w:r>
    </w:p>
    <w:p w14:paraId="59F04EDA" w14:textId="77777777" w:rsidR="00FC5BB1" w:rsidRDefault="00FC5BB1" w:rsidP="00FC5BB1">
      <w:pPr>
        <w:pStyle w:val="NoSpacing"/>
        <w:ind w:left="720"/>
      </w:pPr>
    </w:p>
    <w:p w14:paraId="730DE42C" w14:textId="77777777" w:rsidR="00FC5BB1" w:rsidRPr="00E571B4" w:rsidRDefault="00FC5BB1" w:rsidP="00FC5BB1">
      <w:pPr>
        <w:pStyle w:val="NoSpacing"/>
        <w:ind w:left="720"/>
      </w:pPr>
      <w:r>
        <w:t>***</w:t>
      </w:r>
    </w:p>
    <w:p w14:paraId="76F76A29" w14:textId="77777777" w:rsidR="00FC5BB1" w:rsidRDefault="00FC5BB1" w:rsidP="00FC5BB1">
      <w:pPr>
        <w:pStyle w:val="NoSpacing"/>
      </w:pPr>
    </w:p>
    <w:p w14:paraId="0CB0A29B" w14:textId="77777777" w:rsidR="00FC5BB1" w:rsidRDefault="00FC5BB1" w:rsidP="00FC5BB1">
      <w:pPr>
        <w:pStyle w:val="NoSpacing"/>
        <w:ind w:left="720"/>
      </w:pPr>
      <w:r w:rsidRPr="00B875CD">
        <w:t>The ALJ determined Vande Krol satisfied the requirements of A.R.S. § 23-901.01(C), save for one. Based on the ALJ's interpretation of A.R.S. § 23-901.01(C)(3), she concluded Vande Krol failed to prove that his exposure to a specific carcinogen caused his specific type of brain cancer (oligodendroglioma). And, because Vande Krol had not made that showing, the ALJ concluded Vande Krol had not suffered a compensable injury entitling him to compensation.</w:t>
      </w:r>
    </w:p>
    <w:p w14:paraId="6F5AC396" w14:textId="77777777" w:rsidR="00FC5BB1" w:rsidRDefault="00FC5BB1" w:rsidP="00FC5BB1">
      <w:pPr>
        <w:pStyle w:val="NoSpacing"/>
        <w:ind w:left="720"/>
      </w:pPr>
    </w:p>
    <w:p w14:paraId="080E42F0" w14:textId="77777777" w:rsidR="00FC5BB1" w:rsidRDefault="00FC5BB1" w:rsidP="00FC5BB1">
      <w:pPr>
        <w:pStyle w:val="NoSpacing"/>
        <w:ind w:left="720"/>
      </w:pPr>
      <w:r>
        <w:t>***</w:t>
      </w:r>
    </w:p>
    <w:p w14:paraId="262AA4F7" w14:textId="77777777" w:rsidR="00FC5BB1" w:rsidRDefault="00FC5BB1" w:rsidP="00FC5BB1">
      <w:pPr>
        <w:pStyle w:val="NoSpacing"/>
        <w:ind w:left="720"/>
      </w:pPr>
      <w:r w:rsidRPr="00006D2F">
        <w:t xml:space="preserve">Beginning in 2001, Arizona joined a growing number of states to enact a statutory presumption easing causation for firefighters with certain cancers. </w:t>
      </w:r>
      <w:r w:rsidRPr="00006D2F">
        <w:rPr>
          <w:i/>
          <w:iCs/>
        </w:rPr>
        <w:t>See</w:t>
      </w:r>
      <w:r w:rsidRPr="00006D2F">
        <w:t xml:space="preserve"> A.R.S. §§ 23-901.01(B)-(E) (2001); 2001 Ariz. Sess. Laws </w:t>
      </w:r>
      <w:proofErr w:type="spellStart"/>
      <w:r w:rsidRPr="00006D2F">
        <w:t>ch.</w:t>
      </w:r>
      <w:proofErr w:type="spellEnd"/>
      <w:r w:rsidRPr="00006D2F">
        <w:t xml:space="preserve"> 192, § 1 (1st Reg. Sess.)</w:t>
      </w:r>
      <w:r>
        <w:t xml:space="preserve">… </w:t>
      </w:r>
      <w:r w:rsidRPr="008D1591">
        <w:t xml:space="preserve">Applying our interpretation, Vande Krol's claim is subject to the presumption in (B)(1) because (everyone agrees) he had brain cancer. Under (C)(3), Vande Krol had to prove that a carcinogen or </w:t>
      </w:r>
      <w:proofErr w:type="gramStart"/>
      <w:r w:rsidRPr="008D1591">
        <w:t>carcinogens</w:t>
      </w:r>
      <w:proofErr w:type="gramEnd"/>
      <w:r w:rsidRPr="008D1591">
        <w:t xml:space="preserve"> to which he was exposed is reasonably related to the type of cancer making him eligible under (B)(1)-namely, brain cancer. He was not required to show that the carcinogens are reasonably related to some specific type, or subset, of brain cancer, like oligodendroglioma.</w:t>
      </w:r>
    </w:p>
    <w:p w14:paraId="4D075EE9" w14:textId="77777777" w:rsidR="00FC5BB1" w:rsidRDefault="00FC5BB1" w:rsidP="00FC5BB1">
      <w:pPr>
        <w:pStyle w:val="NoSpacing"/>
        <w:ind w:left="720"/>
      </w:pPr>
    </w:p>
    <w:p w14:paraId="2ED0FFEA" w14:textId="77777777" w:rsidR="00FC5BB1" w:rsidRDefault="00FC5BB1" w:rsidP="00FC5BB1">
      <w:pPr>
        <w:pStyle w:val="NoSpacing"/>
        <w:ind w:left="720"/>
      </w:pPr>
      <w:r>
        <w:t>***</w:t>
      </w:r>
    </w:p>
    <w:p w14:paraId="22F683BC" w14:textId="77777777" w:rsidR="00FC5BB1" w:rsidRDefault="00FC5BB1" w:rsidP="00FC5BB1">
      <w:pPr>
        <w:pStyle w:val="NoSpacing"/>
        <w:ind w:left="720"/>
      </w:pPr>
      <w:r w:rsidRPr="00AA1DB1">
        <w:t xml:space="preserve">We conclude that, under (C)(3), a firefighter need not show that his exposure to a carcinogen is reasonably related to his specific type of brain cancer. Instead, he must show that a carcinogen to which he was exposed is reasonably related to brain cancer </w:t>
      </w:r>
      <w:proofErr w:type="gramStart"/>
      <w:r w:rsidRPr="00AA1DB1">
        <w:t>generally.</w:t>
      </w:r>
      <w:r>
        <w:t>”</w:t>
      </w:r>
      <w:proofErr w:type="gramEnd"/>
    </w:p>
    <w:p w14:paraId="662880F6" w14:textId="77777777" w:rsidR="00FC5BB1" w:rsidRDefault="00FC5BB1" w:rsidP="00FC5BB1">
      <w:pPr>
        <w:pStyle w:val="NoSpacing"/>
        <w:ind w:left="720"/>
      </w:pPr>
    </w:p>
    <w:p w14:paraId="3AE84A04" w14:textId="1C657DB8" w:rsidR="00FC5BB1" w:rsidRDefault="00FC5BB1" w:rsidP="00FC5BB1">
      <w:pPr>
        <w:pStyle w:val="NoSpacing"/>
        <w:rPr>
          <w:b/>
          <w:bCs/>
        </w:rPr>
      </w:pPr>
      <w:r>
        <w:rPr>
          <w:b/>
        </w:rPr>
        <w:t xml:space="preserve">Lesson learned: Great decision, after a lengthy legal battle – Jan. 2021 claim; appeal to Court of Appeals, then to Arizona Supreme Court, and remand to Court of Appeals.  </w:t>
      </w:r>
    </w:p>
    <w:p w14:paraId="7C6C3D76" w14:textId="77777777" w:rsidR="00FC5BB1" w:rsidRDefault="00FC5BB1" w:rsidP="00FC5BB1">
      <w:pPr>
        <w:pStyle w:val="NoSpacing"/>
        <w:rPr>
          <w:b/>
          <w:bCs/>
        </w:rPr>
      </w:pPr>
    </w:p>
    <w:p w14:paraId="5F7ED90B" w14:textId="77777777" w:rsidR="00FC5BB1" w:rsidRPr="000F1AB9" w:rsidRDefault="00FC5BB1" w:rsidP="00FC5BB1">
      <w:pPr>
        <w:pStyle w:val="NoSpacing"/>
        <w:ind w:left="720"/>
      </w:pPr>
      <w:r w:rsidRPr="000F1AB9">
        <w:t xml:space="preserve">Note: On March 26, </w:t>
      </w:r>
      <w:proofErr w:type="gramStart"/>
      <w:r w:rsidRPr="000F1AB9">
        <w:t>2025</w:t>
      </w:r>
      <w:proofErr w:type="gramEnd"/>
      <w:r w:rsidRPr="000F1AB9">
        <w:t xml:space="preserve"> the Arizona Supreme Court (6 to 1): We hold that the 2017 statute applies to Vande Krol’s workers’ compensation claim. We vacate the court of appeals’ opinion. Because the court of appeals concluded that the 2021 statute applied, it did “not address whether the ALJ correctly interpreted the 2017 statute.”</w:t>
      </w:r>
      <w:r w:rsidRPr="003205D0">
        <w:t xml:space="preserve"> </w:t>
      </w:r>
      <w:hyperlink r:id="rId1026" w:history="1">
        <w:r w:rsidRPr="00822BB2">
          <w:rPr>
            <w:rStyle w:val="Hyperlink"/>
          </w:rPr>
          <w:t>https://cases.justia.com/arizona/supreme-court/2025-cv-23-0211-pr.pdf?ts=1743008459</w:t>
        </w:r>
      </w:hyperlink>
      <w:r>
        <w:t xml:space="preserve"> </w:t>
      </w:r>
    </w:p>
    <w:p w14:paraId="20595A88" w14:textId="77777777" w:rsidR="00FC5BB1" w:rsidRDefault="00FC5BB1" w:rsidP="00FC5BB1">
      <w:pPr>
        <w:pStyle w:val="NoSpacing"/>
        <w:ind w:left="720"/>
      </w:pPr>
    </w:p>
    <w:p w14:paraId="1EF2DD96" w14:textId="77777777" w:rsidR="00FC5BB1" w:rsidRDefault="00FC5BB1" w:rsidP="00FC5BB1">
      <w:pPr>
        <w:pStyle w:val="NoSpacing"/>
        <w:ind w:left="720"/>
        <w:rPr>
          <w:b/>
          <w:bCs/>
        </w:rPr>
      </w:pPr>
      <w:r w:rsidRPr="00F87F8E">
        <w:t>Then,</w:t>
      </w:r>
      <w:r>
        <w:t xml:space="preserve"> </w:t>
      </w:r>
      <w:r w:rsidRPr="00F87F8E">
        <w:t xml:space="preserve">in 2021, the legislature relaxed the burden on firefighters to establish </w:t>
      </w:r>
      <w:proofErr w:type="gramStart"/>
      <w:r w:rsidRPr="00F87F8E">
        <w:t>the</w:t>
      </w:r>
      <w:r>
        <w:t xml:space="preserve"> </w:t>
      </w:r>
      <w:r w:rsidRPr="00F87F8E">
        <w:t>statutory</w:t>
      </w:r>
      <w:proofErr w:type="gramEnd"/>
      <w:r w:rsidRPr="00F87F8E">
        <w:t xml:space="preserve"> presumption </w:t>
      </w:r>
      <w:proofErr w:type="gramStart"/>
      <w:r w:rsidRPr="00F87F8E">
        <w:t>and also</w:t>
      </w:r>
      <w:proofErr w:type="gramEnd"/>
      <w:r w:rsidRPr="00F87F8E">
        <w:t xml:space="preserve"> heightened the evidentiary standard </w:t>
      </w:r>
      <w:r>
        <w:t xml:space="preserve">for an employer seeking </w:t>
      </w:r>
      <w:r w:rsidRPr="00F87F8E">
        <w:t>to</w:t>
      </w:r>
      <w:r>
        <w:t xml:space="preserve"> </w:t>
      </w:r>
      <w:r w:rsidRPr="00F87F8E">
        <w:t>rebut the presumption. A.R.S. § 23-901.09 (2021) (effective Sept. 29, 2021)</w:t>
      </w:r>
      <w:r>
        <w:t xml:space="preserve"> </w:t>
      </w:r>
      <w:r w:rsidRPr="00F87F8E">
        <w:t xml:space="preserve">(“2021 statute”); 2021 Ariz. Sess. Laws </w:t>
      </w:r>
      <w:proofErr w:type="spellStart"/>
      <w:r w:rsidRPr="00F87F8E">
        <w:t>ch.</w:t>
      </w:r>
      <w:proofErr w:type="spellEnd"/>
      <w:r w:rsidRPr="00F87F8E">
        <w:t xml:space="preserve"> 229, §§ 5–6 (1st Reg. Sess.).</w:t>
      </w:r>
    </w:p>
    <w:p w14:paraId="662B9696" w14:textId="77777777" w:rsidR="00FC5BB1" w:rsidRDefault="00FC5BB1" w:rsidP="00FC5BB1">
      <w:pPr>
        <w:pStyle w:val="NoSpacing"/>
        <w:rPr>
          <w:b/>
          <w:bCs/>
        </w:rPr>
      </w:pPr>
    </w:p>
    <w:p w14:paraId="313CE331" w14:textId="77777777" w:rsidR="00FC5BB1" w:rsidRDefault="00FC5BB1" w:rsidP="00FC5BB1">
      <w:pPr>
        <w:pStyle w:val="NoSpacing"/>
        <w:ind w:left="720"/>
      </w:pPr>
      <w:r>
        <w:t xml:space="preserve">See March 26, </w:t>
      </w:r>
      <w:proofErr w:type="gramStart"/>
      <w:r>
        <w:t>2025</w:t>
      </w:r>
      <w:proofErr w:type="gramEnd"/>
      <w:r>
        <w:t xml:space="preserve"> article: </w:t>
      </w:r>
      <w:r w:rsidRPr="003812BA">
        <w:t xml:space="preserve">“Arizona Supreme Court rules in favor of firefighter in compensation claim.” </w:t>
      </w:r>
      <w:hyperlink r:id="rId1027" w:history="1">
        <w:r w:rsidRPr="00822BB2">
          <w:rPr>
            <w:rStyle w:val="Hyperlink"/>
          </w:rPr>
          <w:t>https://www.kvoa.com/news/arizona/arizona-supreme-court-rules-in-favor-of-firefighter-in-compensation-claim/article_63a696b0-5894-4bcc-94e3-966091411b00.html</w:t>
        </w:r>
      </w:hyperlink>
      <w:r>
        <w:t xml:space="preserve"> </w:t>
      </w:r>
    </w:p>
    <w:p w14:paraId="07E49B75" w14:textId="77777777" w:rsidR="00FC5BB1" w:rsidRDefault="00FC5BB1" w:rsidP="00FC5BB1">
      <w:pPr>
        <w:pStyle w:val="NoSpacing"/>
        <w:ind w:left="720"/>
      </w:pPr>
    </w:p>
    <w:p w14:paraId="682C8402" w14:textId="77777777" w:rsidR="00FC5BB1" w:rsidRDefault="00FC5BB1" w:rsidP="00FC5BB1">
      <w:pPr>
        <w:pStyle w:val="NoSpacing"/>
        <w:ind w:left="720"/>
      </w:pPr>
    </w:p>
    <w:p w14:paraId="30F7060A" w14:textId="6669CB98" w:rsidR="005646A1" w:rsidRDefault="00FC5BB1" w:rsidP="000624FD">
      <w:pPr>
        <w:pStyle w:val="NoSpacing"/>
        <w:rPr>
          <w:rFonts w:ascii="Arial Black" w:hAnsi="Arial Black"/>
          <w:b/>
          <w:sz w:val="28"/>
          <w:szCs w:val="28"/>
        </w:rPr>
      </w:pPr>
      <w:r>
        <w:rPr>
          <w:rFonts w:ascii="Arial Black" w:hAnsi="Arial Black"/>
          <w:b/>
          <w:sz w:val="28"/>
          <w:szCs w:val="28"/>
        </w:rPr>
        <w:t>6-17</w:t>
      </w:r>
      <w:r w:rsidR="002A0697">
        <w:rPr>
          <w:rFonts w:ascii="Arial Black" w:hAnsi="Arial Black"/>
          <w:b/>
          <w:sz w:val="28"/>
          <w:szCs w:val="28"/>
        </w:rPr>
        <w:t>1</w:t>
      </w:r>
    </w:p>
    <w:p w14:paraId="41D259CD" w14:textId="77777777" w:rsidR="00FC5BB1" w:rsidRDefault="00FC5BB1" w:rsidP="000624FD">
      <w:pPr>
        <w:pStyle w:val="NoSpacing"/>
        <w:rPr>
          <w:rFonts w:ascii="Arial Black" w:hAnsi="Arial Black"/>
          <w:b/>
          <w:sz w:val="28"/>
          <w:szCs w:val="28"/>
        </w:rPr>
      </w:pPr>
    </w:p>
    <w:p w14:paraId="20753664" w14:textId="77777777" w:rsidR="001F0C4C" w:rsidRPr="008C4E26" w:rsidRDefault="001F0C4C" w:rsidP="001F0C4C">
      <w:pPr>
        <w:spacing w:after="0"/>
        <w:rPr>
          <w:rFonts w:ascii="Arial Black" w:hAnsi="Arial Black"/>
          <w:b/>
          <w:sz w:val="28"/>
          <w:szCs w:val="28"/>
        </w:rPr>
      </w:pPr>
      <w:r>
        <w:rPr>
          <w:rFonts w:ascii="Arial Black" w:hAnsi="Arial Black"/>
          <w:b/>
          <w:sz w:val="28"/>
          <w:szCs w:val="28"/>
        </w:rPr>
        <w:t xml:space="preserve">WV: WRIST INJURY – THERAPIST WROTE “PRIOR ISSUES” </w:t>
      </w:r>
    </w:p>
    <w:p w14:paraId="4BB44EDA" w14:textId="77777777" w:rsidR="001F0C4C" w:rsidRDefault="001F0C4C" w:rsidP="001F0C4C">
      <w:pPr>
        <w:pStyle w:val="NoSpacing"/>
      </w:pPr>
    </w:p>
    <w:p w14:paraId="5F41E7B2" w14:textId="77777777" w:rsidR="001F0C4C" w:rsidRDefault="001F0C4C" w:rsidP="001F0C4C">
      <w:pPr>
        <w:spacing w:after="0"/>
        <w:rPr>
          <w:bCs/>
        </w:rPr>
      </w:pPr>
      <w:r>
        <w:t xml:space="preserve">On Oct. 24, 2025, in </w:t>
      </w:r>
      <w:r w:rsidRPr="00E72AD3">
        <w:rPr>
          <w:u w:val="single"/>
        </w:rPr>
        <w:t>City of Wheeling v. David Gilbert</w:t>
      </w:r>
      <w:r>
        <w:t xml:space="preserve">, the </w:t>
      </w:r>
      <w:r w:rsidRPr="00E72AD3">
        <w:t>West Virginia Intermediate Court of Appeals</w:t>
      </w:r>
      <w:r>
        <w:t xml:space="preserve"> held (3 to 0) that the </w:t>
      </w:r>
      <w:r w:rsidRPr="00554591">
        <w:t>Workers’ Compensation Board of Review</w:t>
      </w:r>
      <w:r>
        <w:t xml:space="preserve"> properly overruled the Claim Administrator, and will cover surgery for right wrist (Dec. 1, 2023 injury; X-Ray no broken bone and normal MRI; but June 3, 2024 </w:t>
      </w:r>
      <w:r w:rsidRPr="00572C02">
        <w:t>arthroscopy</w:t>
      </w:r>
      <w:r>
        <w:t xml:space="preserve"> revealed complete tear of ligament). </w:t>
      </w:r>
    </w:p>
    <w:p w14:paraId="7E628415" w14:textId="77777777" w:rsidR="001F0C4C" w:rsidRDefault="001F0C4C" w:rsidP="001F0C4C">
      <w:pPr>
        <w:spacing w:after="0"/>
        <w:rPr>
          <w:b/>
        </w:rPr>
      </w:pPr>
      <w:r>
        <w:t xml:space="preserve">The Independent Medical Examiner physician focused on notes by physical therapist that firefighter had prior issues with that right wrist.  The Board, however, relied on firefighter’s deposition testimony that he told the therapist he had prior issues with his </w:t>
      </w:r>
      <w:r w:rsidRPr="007113A0">
        <w:t>left wrist</w:t>
      </w:r>
      <w:r>
        <w:t xml:space="preserve">, and the therapist mistakenly recorded prior issues with right wrist. </w:t>
      </w:r>
      <w:hyperlink r:id="rId1028" w:history="1">
        <w:r w:rsidRPr="00E1728C">
          <w:rPr>
            <w:rStyle w:val="Hyperlink"/>
            <w:b/>
          </w:rPr>
          <w:t>https://cases.justia.com/west-virginia/intermediate-court-of-appeals/2025-25-ica-138.pdf?ts=1761335525</w:t>
        </w:r>
      </w:hyperlink>
      <w:r>
        <w:rPr>
          <w:b/>
        </w:rPr>
        <w:t xml:space="preserve"> </w:t>
      </w:r>
    </w:p>
    <w:p w14:paraId="24721377" w14:textId="77777777" w:rsidR="001F0C4C" w:rsidRDefault="001F0C4C" w:rsidP="001F0C4C">
      <w:pPr>
        <w:spacing w:after="0"/>
        <w:rPr>
          <w:bCs/>
        </w:rPr>
      </w:pPr>
    </w:p>
    <w:p w14:paraId="47617D31" w14:textId="77777777" w:rsidR="001F0C4C" w:rsidRDefault="001F0C4C" w:rsidP="001F0C4C">
      <w:pPr>
        <w:spacing w:after="0"/>
      </w:pPr>
      <w:r>
        <w:t xml:space="preserve">THE COURT HELD: </w:t>
      </w:r>
    </w:p>
    <w:p w14:paraId="020CAD27" w14:textId="77777777" w:rsidR="001F0C4C" w:rsidRDefault="001F0C4C" w:rsidP="001F0C4C">
      <w:pPr>
        <w:spacing w:after="0"/>
      </w:pPr>
    </w:p>
    <w:p w14:paraId="3B5B574F" w14:textId="77777777" w:rsidR="001F0C4C" w:rsidRDefault="001F0C4C" w:rsidP="001F0C4C">
      <w:pPr>
        <w:spacing w:after="0"/>
        <w:ind w:left="720"/>
      </w:pPr>
      <w:r>
        <w:t>“Mr. Gilbert was deposed on November 11, 2024, and testified that he injured his right wrist on December 1, 2023, when he tripped while getting into a vehicle and attempted to catch himself. Mr. Gilbert stated that he hooked his thumb on the headrest of the stretcher, which injured his wrist…. He stated that he might have mentioned that he</w:t>
      </w:r>
    </w:p>
    <w:p w14:paraId="3A3136A3" w14:textId="77777777" w:rsidR="001F0C4C" w:rsidRDefault="001F0C4C" w:rsidP="001F0C4C">
      <w:pPr>
        <w:spacing w:after="0"/>
        <w:ind w:firstLine="720"/>
      </w:pPr>
      <w:r>
        <w:t>had some prior issues with his left wrist, such as when he was rock climbing that required</w:t>
      </w:r>
    </w:p>
    <w:p w14:paraId="0D09D9E5" w14:textId="77777777" w:rsidR="001F0C4C" w:rsidRDefault="001F0C4C" w:rsidP="001F0C4C">
      <w:pPr>
        <w:spacing w:after="0"/>
        <w:ind w:left="720"/>
      </w:pPr>
      <w:r>
        <w:t xml:space="preserve">him to adjust his left wrist to use it functionally. Regarding the physical therapy note dated December 13, 2023, which reported that he had some joint instability in his right wrist prior to the compensable injury, Mr. Gilbert testified that he believed that note was based upon a miscommunication. Mr. Gilbert further testified that he was describing an issue with his left wrist and trying to say that he never had any issues with his right wrist. </w:t>
      </w:r>
    </w:p>
    <w:p w14:paraId="4DF8CF07" w14:textId="77777777" w:rsidR="001F0C4C" w:rsidRDefault="001F0C4C" w:rsidP="001F0C4C">
      <w:pPr>
        <w:spacing w:after="0"/>
        <w:ind w:left="720"/>
      </w:pPr>
    </w:p>
    <w:p w14:paraId="5D2B1928" w14:textId="77777777" w:rsidR="001F0C4C" w:rsidRDefault="001F0C4C" w:rsidP="001F0C4C">
      <w:pPr>
        <w:spacing w:after="0"/>
        <w:ind w:left="720"/>
      </w:pPr>
      <w:r>
        <w:t>***</w:t>
      </w:r>
    </w:p>
    <w:p w14:paraId="5970F6A9" w14:textId="77777777" w:rsidR="001F0C4C" w:rsidRDefault="001F0C4C" w:rsidP="001F0C4C">
      <w:pPr>
        <w:spacing w:after="0"/>
        <w:ind w:left="720"/>
      </w:pPr>
      <w:r>
        <w:t>Here, the Board found that Mr. Gilbert established with medical evidence that</w:t>
      </w:r>
    </w:p>
    <w:p w14:paraId="5DB39725" w14:textId="77777777" w:rsidR="001F0C4C" w:rsidRDefault="001F0C4C" w:rsidP="001F0C4C">
      <w:pPr>
        <w:spacing w:after="0"/>
        <w:ind w:left="720"/>
      </w:pPr>
      <w:r>
        <w:t xml:space="preserve">scapholunate instability of the right wrist and ligament tear of the scapholunate right wrist are causally related to the compensable injury. The Board further found that Mr. Gilbert’s testimony regarding the inconsistency in the occupational therapy records was credible.” </w:t>
      </w:r>
    </w:p>
    <w:p w14:paraId="4DBA59E8" w14:textId="77777777" w:rsidR="001F0C4C" w:rsidRDefault="001F0C4C" w:rsidP="001F0C4C">
      <w:pPr>
        <w:spacing w:after="0"/>
        <w:ind w:left="720"/>
      </w:pPr>
    </w:p>
    <w:p w14:paraId="0117EF9A" w14:textId="69894794" w:rsidR="001F0C4C" w:rsidRPr="002322D7" w:rsidRDefault="001F0C4C" w:rsidP="001F0C4C">
      <w:pPr>
        <w:spacing w:after="0"/>
        <w:rPr>
          <w:b/>
          <w:bCs/>
        </w:rPr>
      </w:pPr>
      <w:r>
        <w:rPr>
          <w:b/>
        </w:rPr>
        <w:t xml:space="preserve">Lesson Learned:  When speaking with physical </w:t>
      </w:r>
      <w:proofErr w:type="gramStart"/>
      <w:r>
        <w:rPr>
          <w:b/>
        </w:rPr>
        <w:t>therapist</w:t>
      </w:r>
      <w:proofErr w:type="gramEnd"/>
      <w:r>
        <w:rPr>
          <w:b/>
        </w:rPr>
        <w:t xml:space="preserve"> </w:t>
      </w:r>
      <w:proofErr w:type="gramStart"/>
      <w:r>
        <w:rPr>
          <w:b/>
        </w:rPr>
        <w:t>be</w:t>
      </w:r>
      <w:proofErr w:type="gramEnd"/>
      <w:r>
        <w:rPr>
          <w:b/>
        </w:rPr>
        <w:t xml:space="preserve"> very clear in discussing prior injuries.   </w:t>
      </w:r>
    </w:p>
    <w:p w14:paraId="0E4FA404" w14:textId="77777777" w:rsidR="001F0C4C" w:rsidRDefault="001F0C4C" w:rsidP="001F0C4C">
      <w:pPr>
        <w:spacing w:after="0"/>
        <w:rPr>
          <w:rFonts w:ascii="Arial Black" w:hAnsi="Arial Black"/>
          <w:sz w:val="28"/>
          <w:szCs w:val="28"/>
        </w:rPr>
      </w:pPr>
    </w:p>
    <w:p w14:paraId="523C3C52" w14:textId="704358B3" w:rsidR="00FC5BB1" w:rsidRDefault="001F0C4C" w:rsidP="000624FD">
      <w:pPr>
        <w:pStyle w:val="NoSpacing"/>
        <w:rPr>
          <w:rFonts w:ascii="Arial Black" w:hAnsi="Arial Black"/>
          <w:b/>
          <w:sz w:val="28"/>
          <w:szCs w:val="28"/>
        </w:rPr>
      </w:pPr>
      <w:r>
        <w:rPr>
          <w:rFonts w:ascii="Arial Black" w:hAnsi="Arial Black"/>
          <w:b/>
          <w:sz w:val="28"/>
          <w:szCs w:val="28"/>
        </w:rPr>
        <w:t>6-1</w:t>
      </w:r>
      <w:r w:rsidR="002A0697">
        <w:rPr>
          <w:rFonts w:ascii="Arial Black" w:hAnsi="Arial Black"/>
          <w:b/>
          <w:sz w:val="28"/>
          <w:szCs w:val="28"/>
        </w:rPr>
        <w:t>70</w:t>
      </w:r>
    </w:p>
    <w:p w14:paraId="773E1CDC" w14:textId="77777777" w:rsidR="007867D4" w:rsidRDefault="007867D4" w:rsidP="000624FD">
      <w:pPr>
        <w:pStyle w:val="NoSpacing"/>
        <w:rPr>
          <w:rFonts w:ascii="Arial Black" w:hAnsi="Arial Black"/>
          <w:b/>
          <w:sz w:val="28"/>
          <w:szCs w:val="28"/>
        </w:rPr>
      </w:pPr>
    </w:p>
    <w:p w14:paraId="4154BB56" w14:textId="77777777" w:rsidR="007867D4" w:rsidRDefault="007867D4" w:rsidP="007867D4">
      <w:pPr>
        <w:pStyle w:val="NoSpacing"/>
        <w:rPr>
          <w:rFonts w:ascii="Arial Black" w:hAnsi="Arial Black"/>
          <w:sz w:val="28"/>
          <w:szCs w:val="28"/>
        </w:rPr>
      </w:pPr>
      <w:r>
        <w:rPr>
          <w:rFonts w:ascii="Arial Black" w:hAnsi="Arial Black"/>
          <w:sz w:val="28"/>
          <w:szCs w:val="28"/>
        </w:rPr>
        <w:t>RI: FF CANCER DEATH –  ADDED INSURANCE IF “INJURY”</w:t>
      </w:r>
    </w:p>
    <w:p w14:paraId="6AA3AFFA" w14:textId="77777777" w:rsidR="007867D4" w:rsidRDefault="007867D4" w:rsidP="007867D4">
      <w:pPr>
        <w:pStyle w:val="NoSpacing"/>
        <w:rPr>
          <w:rFonts w:ascii="Arial Black" w:hAnsi="Arial Black"/>
          <w:sz w:val="28"/>
          <w:szCs w:val="28"/>
        </w:rPr>
      </w:pPr>
    </w:p>
    <w:p w14:paraId="24A2EC94" w14:textId="77777777" w:rsidR="007867D4" w:rsidRDefault="007867D4" w:rsidP="007867D4">
      <w:pPr>
        <w:pStyle w:val="NoSpacing"/>
      </w:pPr>
      <w:r>
        <w:t xml:space="preserve">On October 14, 2025, in </w:t>
      </w:r>
      <w:r w:rsidRPr="005765C3">
        <w:rPr>
          <w:u w:val="single"/>
        </w:rPr>
        <w:t>James L. Varin, Jr. and Tyer C. Varin v. The Prudential Insurance Company of America</w:t>
      </w:r>
      <w:r>
        <w:t xml:space="preserve">, Chief Judge John J. McConnell, Jr., United States District Court for the District of Rhode Island denied the insurance company’s motion to dismiss the lawsuit by two sons of deceased firefighter James Varin, Sr., a Providence firefighter who died of brain cancer. The family seeks a declaratory judgment that father’s death should be covered as an “injury” while insurance company claims it is a “sickness” not covered.  Under the terms of the policy, a City of Providence fire department employee has $100,000 in basic life insurance coverage (which was paid to the family), </w:t>
      </w:r>
      <w:proofErr w:type="gramStart"/>
      <w:r>
        <w:t>and also</w:t>
      </w:r>
      <w:proofErr w:type="gramEnd"/>
      <w:r>
        <w:t xml:space="preserve"> $100,000 in basic accidental death and dismemberment (“AD&amp;D”) insurance coverage.  Plaintiffs will now proceed with pre-trial discovery; the Court held that the insurance company presumably knew when negotiating the policy with the city that Rhode Island has a “statutory presumption” for firefighter cancer, and IAFF Local 799 has a similar provision in their Collective Bargaining Agreement with the city.  </w:t>
      </w:r>
      <w:hyperlink r:id="rId1029" w:history="1">
        <w:r w:rsidRPr="00F13728">
          <w:rPr>
            <w:rStyle w:val="Hyperlink"/>
          </w:rPr>
          <w:t>https://ecf.rid.uscourts.gov/cgi-bin/show_public_doc?2025cv0270-20</w:t>
        </w:r>
      </w:hyperlink>
      <w:r>
        <w:t xml:space="preserve"> </w:t>
      </w:r>
    </w:p>
    <w:p w14:paraId="195AACAE" w14:textId="77777777" w:rsidR="007867D4" w:rsidRDefault="007867D4" w:rsidP="007867D4">
      <w:pPr>
        <w:pStyle w:val="NoSpacing"/>
      </w:pPr>
    </w:p>
    <w:p w14:paraId="469F4A8E" w14:textId="77777777" w:rsidR="007867D4" w:rsidRDefault="007867D4" w:rsidP="007867D4">
      <w:pPr>
        <w:pStyle w:val="NoSpacing"/>
      </w:pPr>
      <w:r>
        <w:t>THE COURT HELD:</w:t>
      </w:r>
    </w:p>
    <w:p w14:paraId="67FBFE07" w14:textId="77777777" w:rsidR="007867D4" w:rsidRDefault="007867D4" w:rsidP="007867D4">
      <w:pPr>
        <w:pStyle w:val="NoSpacing"/>
      </w:pPr>
    </w:p>
    <w:p w14:paraId="494D4795" w14:textId="77777777" w:rsidR="007867D4" w:rsidRDefault="007867D4" w:rsidP="007867D4">
      <w:pPr>
        <w:pStyle w:val="NoSpacing"/>
        <w:ind w:left="720"/>
      </w:pPr>
      <w:r>
        <w:t xml:space="preserve">In their complaint, Plaintiffs allege that Mr. Varin’s cause of death was glioblastoma, a cancer that could be caused by carcinogenic exposure…. They also allege that Mr. Varin was exposed to carcinogens in his job as a firefighter and that his employer, the City of Providence, considers his death to be an injury in the line of duty…. Plaintiffs cite to the CBA, which states that whenever a firefighter dies from cancer, it is presumed to be an injury resulting from their firefighting duties…. In addition, they </w:t>
      </w:r>
      <w:proofErr w:type="gramStart"/>
      <w:r>
        <w:t>reference</w:t>
      </w:r>
      <w:proofErr w:type="gramEnd"/>
      <w:r>
        <w:t xml:space="preserve"> a state statute,</w:t>
      </w:r>
    </w:p>
    <w:p w14:paraId="34BFEE54" w14:textId="77777777" w:rsidR="007867D4" w:rsidRDefault="007867D4" w:rsidP="007867D4">
      <w:pPr>
        <w:pStyle w:val="NoSpacing"/>
        <w:ind w:left="720"/>
      </w:pPr>
      <w:r>
        <w:t>R.I. Gen. Laws § 45-19.1-1, which also states that firefighters are exposed to carcinogens, so cancer is a recognized occupational hazard under Rhode Island law…. At this stage of the litigation, the Court finds that these allegations are sufficient to state a claim under the policy.</w:t>
      </w:r>
    </w:p>
    <w:p w14:paraId="4226E621" w14:textId="77777777" w:rsidR="007867D4" w:rsidRDefault="007867D4" w:rsidP="007867D4">
      <w:pPr>
        <w:pStyle w:val="NoSpacing"/>
        <w:ind w:left="720"/>
      </w:pPr>
    </w:p>
    <w:p w14:paraId="6957631E" w14:textId="77777777" w:rsidR="007867D4" w:rsidRDefault="007867D4" w:rsidP="007867D4">
      <w:pPr>
        <w:pStyle w:val="NoSpacing"/>
        <w:ind w:left="720"/>
      </w:pPr>
      <w:r>
        <w:t>***</w:t>
      </w:r>
    </w:p>
    <w:p w14:paraId="58825BA6" w14:textId="77777777" w:rsidR="007867D4" w:rsidRDefault="007867D4" w:rsidP="007867D4">
      <w:pPr>
        <w:pStyle w:val="NoSpacing"/>
        <w:ind w:left="720"/>
      </w:pPr>
      <w:r>
        <w:t>It is plausible that Prudential knew what benefits the Union expected to provide its members because the CBA states that members have a $100,000 life insurance policy with a maximum of $200,000 for deaths sustained in the line of duty, and that is exactly</w:t>
      </w:r>
    </w:p>
    <w:p w14:paraId="1C02E2C6" w14:textId="77777777" w:rsidR="007867D4" w:rsidRDefault="007867D4" w:rsidP="007867D4">
      <w:pPr>
        <w:pStyle w:val="NoSpacing"/>
        <w:ind w:firstLine="720"/>
      </w:pPr>
      <w:r>
        <w:t>what the Prudential policy at issue here provides. ECF No. 1 ¶ 12; 7-2 at 9.</w:t>
      </w:r>
    </w:p>
    <w:p w14:paraId="35C275E2" w14:textId="77777777" w:rsidR="007867D4" w:rsidRDefault="007867D4" w:rsidP="007867D4">
      <w:pPr>
        <w:pStyle w:val="NoSpacing"/>
        <w:ind w:firstLine="720"/>
      </w:pPr>
    </w:p>
    <w:p w14:paraId="00314289" w14:textId="77777777" w:rsidR="007867D4" w:rsidRDefault="007867D4" w:rsidP="007867D4">
      <w:pPr>
        <w:pStyle w:val="NoSpacing"/>
        <w:ind w:firstLine="720"/>
      </w:pPr>
      <w:r>
        <w:t>***</w:t>
      </w:r>
    </w:p>
    <w:p w14:paraId="7CD236AA" w14:textId="77777777" w:rsidR="007867D4" w:rsidRDefault="007867D4" w:rsidP="007867D4">
      <w:pPr>
        <w:pStyle w:val="NoSpacing"/>
        <w:ind w:left="720"/>
      </w:pPr>
      <w:r>
        <w:t>As for the sickness exception, Prudential argues that it applies because cancer is generally recognized as a sickness not an injury….  The policy provides that a loss is not covered if it results from sickness, which is defined as ‘Any disorder of the body or mind of a Covered Person, but not an Injury.’ …  If discovery proves that Plaintiffs’ claims are covered because the Prudential policy was negotiated to cover cancer as an on-the-job injury, then their father’s cancer would be an ‘injury’ not a ‘sickness’ as defined in the policy. Therefore, the Court finds that the complaint states a claim for declaratory relief.”</w:t>
      </w:r>
    </w:p>
    <w:p w14:paraId="2788211B" w14:textId="77777777" w:rsidR="007867D4" w:rsidRDefault="007867D4" w:rsidP="007867D4">
      <w:pPr>
        <w:pStyle w:val="NoSpacing"/>
        <w:rPr>
          <w:b/>
          <w:bCs/>
        </w:rPr>
      </w:pPr>
    </w:p>
    <w:p w14:paraId="2C6AC8B9" w14:textId="66911C6C" w:rsidR="007867D4" w:rsidRPr="00960E6C" w:rsidRDefault="007867D4" w:rsidP="007867D4">
      <w:pPr>
        <w:pStyle w:val="NoSpacing"/>
        <w:rPr>
          <w:b/>
          <w:bCs/>
        </w:rPr>
      </w:pPr>
      <w:r>
        <w:rPr>
          <w:b/>
        </w:rPr>
        <w:t xml:space="preserve">Lesson learned: When City is contracting with insurance policy for firefighters, there should be a clause in the policy specifically covering firefighter cancers. </w:t>
      </w:r>
    </w:p>
    <w:p w14:paraId="17A338BA" w14:textId="77777777" w:rsidR="007867D4" w:rsidRDefault="007867D4" w:rsidP="007867D4">
      <w:pPr>
        <w:pStyle w:val="NoSpacing"/>
      </w:pPr>
    </w:p>
    <w:p w14:paraId="2B74F7D7" w14:textId="77777777" w:rsidR="007867D4" w:rsidRDefault="007867D4" w:rsidP="000624FD">
      <w:pPr>
        <w:pStyle w:val="NoSpacing"/>
        <w:rPr>
          <w:rFonts w:ascii="Arial Black" w:hAnsi="Arial Black"/>
          <w:b/>
          <w:sz w:val="28"/>
          <w:szCs w:val="28"/>
        </w:rPr>
      </w:pPr>
    </w:p>
    <w:p w14:paraId="2F065326" w14:textId="77777777" w:rsidR="00DE3247" w:rsidRDefault="00DE3247" w:rsidP="000624FD">
      <w:pPr>
        <w:pStyle w:val="NoSpacing"/>
        <w:rPr>
          <w:rFonts w:ascii="Arial Black" w:hAnsi="Arial Black"/>
          <w:b/>
          <w:sz w:val="28"/>
          <w:szCs w:val="28"/>
        </w:rPr>
      </w:pPr>
    </w:p>
    <w:p w14:paraId="3127AAA3" w14:textId="77777777" w:rsidR="00DE3247" w:rsidRDefault="00DE3247" w:rsidP="000624FD">
      <w:pPr>
        <w:pStyle w:val="NoSpacing"/>
        <w:rPr>
          <w:rFonts w:ascii="Arial Black" w:hAnsi="Arial Black"/>
          <w:b/>
          <w:sz w:val="28"/>
          <w:szCs w:val="28"/>
        </w:rPr>
      </w:pPr>
    </w:p>
    <w:p w14:paraId="36F82DB0" w14:textId="77777777" w:rsidR="00DE3247" w:rsidRDefault="00DE3247" w:rsidP="000624FD">
      <w:pPr>
        <w:pStyle w:val="NoSpacing"/>
        <w:rPr>
          <w:rFonts w:ascii="Arial Black" w:hAnsi="Arial Black"/>
          <w:b/>
          <w:sz w:val="28"/>
          <w:szCs w:val="28"/>
        </w:rPr>
      </w:pPr>
    </w:p>
    <w:p w14:paraId="27A3793F" w14:textId="053E4140" w:rsidR="000624FD" w:rsidRDefault="000624FD" w:rsidP="000624FD">
      <w:pPr>
        <w:pStyle w:val="NoSpacing"/>
        <w:rPr>
          <w:rFonts w:ascii="Arial Black" w:hAnsi="Arial Black"/>
          <w:b/>
          <w:sz w:val="28"/>
          <w:szCs w:val="28"/>
        </w:rPr>
      </w:pPr>
      <w:r>
        <w:rPr>
          <w:rFonts w:ascii="Arial Black" w:hAnsi="Arial Black"/>
          <w:b/>
          <w:sz w:val="28"/>
          <w:szCs w:val="28"/>
        </w:rPr>
        <w:t>6-16</w:t>
      </w:r>
      <w:r w:rsidR="002A0697">
        <w:rPr>
          <w:rFonts w:ascii="Arial Black" w:hAnsi="Arial Black"/>
          <w:b/>
          <w:sz w:val="28"/>
          <w:szCs w:val="28"/>
        </w:rPr>
        <w:t>9</w:t>
      </w:r>
    </w:p>
    <w:p w14:paraId="7C26530E" w14:textId="77777777" w:rsidR="000624FD" w:rsidRDefault="000624FD" w:rsidP="00424D1C">
      <w:pPr>
        <w:pStyle w:val="NoSpacing"/>
        <w:rPr>
          <w:rFonts w:ascii="Arial Black" w:hAnsi="Arial Black"/>
          <w:sz w:val="28"/>
          <w:szCs w:val="28"/>
        </w:rPr>
      </w:pPr>
    </w:p>
    <w:p w14:paraId="705E1F64" w14:textId="654D46F4" w:rsidR="00424D1C" w:rsidRDefault="00424D1C" w:rsidP="00424D1C">
      <w:pPr>
        <w:pStyle w:val="NoSpacing"/>
      </w:pPr>
      <w:r>
        <w:rPr>
          <w:rFonts w:ascii="Arial Black" w:hAnsi="Arial Black"/>
          <w:sz w:val="28"/>
          <w:szCs w:val="28"/>
        </w:rPr>
        <w:t>NC: FF AGE 54 FIRED – COMMENTS AGE - CASE PROCEED</w:t>
      </w:r>
    </w:p>
    <w:p w14:paraId="65E7203E" w14:textId="77777777" w:rsidR="00424D1C" w:rsidRDefault="00424D1C" w:rsidP="00424D1C">
      <w:pPr>
        <w:pStyle w:val="NoSpacing"/>
      </w:pPr>
    </w:p>
    <w:p w14:paraId="6ECCCE1A" w14:textId="77777777" w:rsidR="00424D1C" w:rsidRDefault="00424D1C" w:rsidP="00424D1C">
      <w:pPr>
        <w:pStyle w:val="NoSpacing"/>
      </w:pPr>
      <w:r>
        <w:t xml:space="preserve">On September 3, 2025, in </w:t>
      </w:r>
      <w:r w:rsidRPr="00A3297C">
        <w:rPr>
          <w:u w:val="single"/>
        </w:rPr>
        <w:t>Walter Kevin Carpenter v. The City of Newton, et al</w:t>
      </w:r>
      <w:r>
        <w:t xml:space="preserve">., U.S. Magistrate Judge Susan C. Rodriquez, United States District Court for Western District of North Carolina (Statesville Division) issued a report and recommendation recommended that city’s motion to dismiss be denied in part (age discrimination claim).  On June 22, 2022, the first day after Plaintiff returned from vacation, the </w:t>
      </w:r>
      <w:proofErr w:type="gramStart"/>
      <w:r>
        <w:t>City</w:t>
      </w:r>
      <w:proofErr w:type="gramEnd"/>
      <w:r>
        <w:t xml:space="preserve"> terminated Plaintiff for “abusive </w:t>
      </w:r>
      <w:r w:rsidRPr="006F631B">
        <w:t>and/or threatening language to a supervisor</w:t>
      </w:r>
      <w:r>
        <w:t>.  He claims he was joking, when heading out for vacation he texted to  his Battalion Chief, “In the famous words of Cody Lawing, F U and F U and I am out of here.”</w:t>
      </w:r>
    </w:p>
    <w:p w14:paraId="420BA4A5" w14:textId="77777777" w:rsidR="00424D1C" w:rsidRDefault="00424D1C" w:rsidP="00424D1C">
      <w:pPr>
        <w:pStyle w:val="NoSpacing"/>
      </w:pPr>
      <w:r>
        <w:t xml:space="preserve"> </w:t>
      </w:r>
    </w:p>
    <w:p w14:paraId="53B828AE" w14:textId="77777777" w:rsidR="00424D1C" w:rsidRDefault="00424D1C" w:rsidP="00424D1C">
      <w:pPr>
        <w:pStyle w:val="NoSpacing"/>
      </w:pPr>
      <w:r w:rsidRPr="00B511E1">
        <w:rPr>
          <w:b/>
        </w:rPr>
        <w:t>THE MAGISTRATE WROTE</w:t>
      </w:r>
      <w:r>
        <w:t xml:space="preserve">: “The undersigned finds Plaintiff has alleged sufficient facts that the employer took an adverse employment action under circumstances giving rise to an inference of age discrimination. Plaintiff has alleged certain derogatory comments made related to his age by those in the supervisory chain … and that Plaintiff was terminated within a month of certain comments….  This, combined with Plaintiff’s allegations related to the different responses to the similar conduct of Plaintiff and Lawing, create an inference of age discrimination at this initial stage.” </w:t>
      </w:r>
      <w:hyperlink r:id="rId1030" w:history="1">
        <w:r w:rsidRPr="00B23663">
          <w:rPr>
            <w:rStyle w:val="Hyperlink"/>
          </w:rPr>
          <w:t>https://www.govinfo.gov/content/pkg/USCOURTS-ncwd-5_24-cv-00192/pdf/USCOURTS-ncwd-5_24-cv-00192-1.pdf</w:t>
        </w:r>
      </w:hyperlink>
      <w:r>
        <w:t xml:space="preserve"> </w:t>
      </w:r>
    </w:p>
    <w:p w14:paraId="5AFD73C6" w14:textId="77777777" w:rsidR="00424D1C" w:rsidRDefault="00424D1C" w:rsidP="00424D1C">
      <w:pPr>
        <w:pStyle w:val="NoSpacing"/>
      </w:pPr>
    </w:p>
    <w:p w14:paraId="484F6798" w14:textId="77777777" w:rsidR="00424D1C" w:rsidRDefault="00424D1C" w:rsidP="00424D1C">
      <w:pPr>
        <w:pStyle w:val="NoSpacing"/>
      </w:pPr>
      <w:r w:rsidRPr="00B511E1">
        <w:rPr>
          <w:b/>
        </w:rPr>
        <w:t>KEY FACTS</w:t>
      </w:r>
      <w:r>
        <w:t>:</w:t>
      </w:r>
    </w:p>
    <w:p w14:paraId="294604F1" w14:textId="77777777" w:rsidR="00424D1C" w:rsidRDefault="00424D1C" w:rsidP="00424D1C">
      <w:pPr>
        <w:pStyle w:val="NoSpacing"/>
      </w:pPr>
    </w:p>
    <w:p w14:paraId="7E385967" w14:textId="77777777" w:rsidR="00424D1C" w:rsidRDefault="00424D1C" w:rsidP="00424D1C">
      <w:pPr>
        <w:pStyle w:val="NoSpacing"/>
        <w:ind w:left="720"/>
      </w:pPr>
      <w:r>
        <w:t>“Plaintiff alleges that Defendants made several ageist comments toward him in public, such as his supervisor, Battalion Chief Kenneth Huffman (‘Huffman’), saying, ‘We’re going to push you down the steps and you won’t recover.’ … On approximately June 4, 2022, Huffman ordered Plaintiff to respond on the ladder truck to a structure fire…. Huffman chose to put on his turnout gear and assist with the fire…. After the call, Defendant Whitener reprimanded Plaintiff for not putting on his turnout gear. Id. Plaintiff contends that he did not have an opportunity to put on his turnout gear. Id. The following day, Chief Yoder criticized Plaintiff, allegedly saying, ‘You think you don’t have to do anything but run the truck . . . [a]</w:t>
      </w:r>
      <w:proofErr w:type="spellStart"/>
      <w:r>
        <w:t>ll</w:t>
      </w:r>
      <w:proofErr w:type="spellEnd"/>
      <w:r>
        <w:t xml:space="preserve"> of the younger guys go in and actually fight fires….’</w:t>
      </w:r>
    </w:p>
    <w:p w14:paraId="52CACC0A" w14:textId="77777777" w:rsidR="00424D1C" w:rsidRDefault="00424D1C" w:rsidP="00424D1C">
      <w:pPr>
        <w:pStyle w:val="NoSpacing"/>
        <w:ind w:left="720"/>
      </w:pPr>
    </w:p>
    <w:p w14:paraId="49026CC8" w14:textId="77777777" w:rsidR="00424D1C" w:rsidRDefault="00424D1C" w:rsidP="00424D1C">
      <w:pPr>
        <w:pStyle w:val="NoSpacing"/>
        <w:ind w:left="720"/>
      </w:pPr>
      <w:r>
        <w:t>***</w:t>
      </w:r>
    </w:p>
    <w:p w14:paraId="7D1403A1" w14:textId="77777777" w:rsidR="00424D1C" w:rsidRDefault="00424D1C" w:rsidP="00424D1C">
      <w:pPr>
        <w:pStyle w:val="NoSpacing"/>
        <w:ind w:left="720"/>
      </w:pPr>
      <w:r>
        <w:t>On or about June 15, 2022, when Plaintiff was preparing to take leave for vacation, he</w:t>
      </w:r>
    </w:p>
    <w:p w14:paraId="03DC2291" w14:textId="77777777" w:rsidR="00424D1C" w:rsidRDefault="00424D1C" w:rsidP="00424D1C">
      <w:pPr>
        <w:pStyle w:val="NoSpacing"/>
        <w:ind w:left="720"/>
      </w:pPr>
      <w:r>
        <w:t>texted Huffman: ‘In the famous words of Cody Lawing, F U and F U and I am out of here.’ … Cody Lawing (‘Lawing’), an employee under the age of forty, used this phrase often to joke with various members of the Fire Department, stating the full explicative when doing so, and, at times, directing his words toward Huffman…. Lawing, however, was never terminated or reprimanded for using this language as it was known to be made in jest…. Plaintiff claims he sent the text to Huffman jokingly, and Huffman admitted he perceived the text as a joke, not a threat….</w:t>
      </w:r>
    </w:p>
    <w:p w14:paraId="2F26B785" w14:textId="77777777" w:rsidR="00424D1C" w:rsidRDefault="00424D1C" w:rsidP="00424D1C">
      <w:pPr>
        <w:pStyle w:val="NoSpacing"/>
        <w:ind w:left="720"/>
      </w:pPr>
    </w:p>
    <w:p w14:paraId="7B5B2E8C" w14:textId="77777777" w:rsidR="00424D1C" w:rsidRDefault="00424D1C" w:rsidP="00424D1C">
      <w:pPr>
        <w:pStyle w:val="NoSpacing"/>
        <w:ind w:left="720"/>
      </w:pPr>
      <w:r>
        <w:t xml:space="preserve">On June 22, 2022, the first day after Plaintiff returned from vacation, the </w:t>
      </w:r>
      <w:proofErr w:type="gramStart"/>
      <w:r>
        <w:t>City</w:t>
      </w:r>
      <w:proofErr w:type="gramEnd"/>
      <w:r>
        <w:t xml:space="preserve"> terminated</w:t>
      </w:r>
    </w:p>
    <w:p w14:paraId="7415AAC4" w14:textId="77777777" w:rsidR="00424D1C" w:rsidRDefault="00424D1C" w:rsidP="00424D1C">
      <w:pPr>
        <w:pStyle w:val="NoSpacing"/>
        <w:ind w:left="720"/>
      </w:pPr>
      <w:r>
        <w:t xml:space="preserve">Plaintiff….The City referenced personnel policy IV.10(b)(18), which prohibits ‘abusive </w:t>
      </w:r>
      <w:r w:rsidRPr="006F631B">
        <w:t>and/or threatening language to a supervisor</w:t>
      </w:r>
      <w:r>
        <w:t xml:space="preserve">’ </w:t>
      </w:r>
      <w:r w:rsidRPr="006F631B">
        <w:t>in terminating Plaintiff.</w:t>
      </w:r>
      <w:r>
        <w:t>”</w:t>
      </w:r>
    </w:p>
    <w:p w14:paraId="7E450F6B" w14:textId="77777777" w:rsidR="00424D1C" w:rsidRDefault="00424D1C" w:rsidP="00424D1C">
      <w:pPr>
        <w:pStyle w:val="NoSpacing"/>
      </w:pPr>
    </w:p>
    <w:p w14:paraId="3A6D8391" w14:textId="77777777" w:rsidR="00424D1C" w:rsidRPr="002C1CFD" w:rsidRDefault="00424D1C" w:rsidP="00424D1C">
      <w:pPr>
        <w:pStyle w:val="NoSpacing"/>
        <w:rPr>
          <w:b/>
          <w:bCs/>
        </w:rPr>
      </w:pPr>
      <w:r>
        <w:t xml:space="preserve"> </w:t>
      </w:r>
      <w:r>
        <w:rPr>
          <w:b/>
        </w:rPr>
        <w:t xml:space="preserve">Legal lesson learned:  Age-related comments can lead to litigation.  </w:t>
      </w:r>
    </w:p>
    <w:p w14:paraId="165D29B8" w14:textId="77777777" w:rsidR="00424D1C" w:rsidRDefault="00424D1C" w:rsidP="00424D1C">
      <w:pPr>
        <w:pStyle w:val="NoSpacing"/>
      </w:pPr>
    </w:p>
    <w:p w14:paraId="0F163BBB" w14:textId="77777777" w:rsidR="00424D1C" w:rsidRDefault="00424D1C" w:rsidP="00424D1C">
      <w:pPr>
        <w:pStyle w:val="NoSpacing"/>
        <w:ind w:left="720"/>
      </w:pPr>
      <w:r>
        <w:t xml:space="preserve">Note: On September 18, 2025, U.S. District Court Judge Kenneth D. Bell adopted the Magistrate’s recommendation </w:t>
      </w:r>
      <w:hyperlink r:id="rId1031" w:history="1">
        <w:r w:rsidRPr="00D0636F">
          <w:rPr>
            <w:rStyle w:val="Hyperlink"/>
          </w:rPr>
          <w:t>https://www.govinfo.gov/content/pkg/USCOURTS-ncwd-5_24-cv-00192/pdf/USCOURTS-ncwd-5_24-cv-00192-3.pdf</w:t>
        </w:r>
      </w:hyperlink>
      <w:r>
        <w:t xml:space="preserve"> </w:t>
      </w:r>
    </w:p>
    <w:p w14:paraId="5B6BA90F" w14:textId="77777777" w:rsidR="00D44956" w:rsidRDefault="00D44956" w:rsidP="00EF1133">
      <w:pPr>
        <w:rPr>
          <w:rFonts w:ascii="Arial Black" w:hAnsi="Arial Black"/>
          <w:b/>
          <w:sz w:val="24"/>
          <w:szCs w:val="24"/>
        </w:rPr>
      </w:pPr>
    </w:p>
    <w:p w14:paraId="0EDCAD5E" w14:textId="4FE382C8" w:rsidR="000624FD" w:rsidRDefault="000624FD" w:rsidP="000624FD">
      <w:pPr>
        <w:pStyle w:val="NoSpacing"/>
        <w:rPr>
          <w:rFonts w:ascii="Arial Black" w:hAnsi="Arial Black"/>
          <w:b/>
          <w:sz w:val="28"/>
          <w:szCs w:val="28"/>
        </w:rPr>
      </w:pPr>
      <w:r>
        <w:rPr>
          <w:rFonts w:ascii="Arial Black" w:hAnsi="Arial Black"/>
          <w:b/>
          <w:sz w:val="28"/>
          <w:szCs w:val="28"/>
        </w:rPr>
        <w:t>6-16</w:t>
      </w:r>
      <w:r w:rsidR="002A0697">
        <w:rPr>
          <w:rFonts w:ascii="Arial Black" w:hAnsi="Arial Black"/>
          <w:b/>
          <w:sz w:val="28"/>
          <w:szCs w:val="28"/>
        </w:rPr>
        <w:t>8</w:t>
      </w:r>
    </w:p>
    <w:p w14:paraId="6802D4E8" w14:textId="77777777" w:rsidR="000624FD" w:rsidRDefault="000624FD" w:rsidP="00782139">
      <w:pPr>
        <w:rPr>
          <w:rFonts w:ascii="Arial Black" w:hAnsi="Arial Black"/>
          <w:sz w:val="28"/>
          <w:szCs w:val="28"/>
        </w:rPr>
      </w:pPr>
    </w:p>
    <w:p w14:paraId="7151D473" w14:textId="61CBF1A9" w:rsidR="00782139" w:rsidRPr="00A83858" w:rsidRDefault="00782139" w:rsidP="00782139">
      <w:pPr>
        <w:rPr>
          <w:rFonts w:ascii="Arial Black" w:hAnsi="Arial Black"/>
          <w:bCs/>
          <w:sz w:val="28"/>
          <w:szCs w:val="28"/>
        </w:rPr>
      </w:pPr>
      <w:r>
        <w:rPr>
          <w:rFonts w:ascii="Arial Black" w:hAnsi="Arial Black"/>
          <w:sz w:val="28"/>
          <w:szCs w:val="28"/>
        </w:rPr>
        <w:t xml:space="preserve">MD: WORK COMP – JURY FF 63% WORK COMP – NOT 3% </w:t>
      </w:r>
    </w:p>
    <w:p w14:paraId="6B502694" w14:textId="77777777" w:rsidR="00782139" w:rsidRDefault="00782139" w:rsidP="00782139">
      <w:pPr>
        <w:pStyle w:val="NoSpacing"/>
        <w:rPr>
          <w:bCs/>
        </w:rPr>
      </w:pPr>
      <w:r>
        <w:t xml:space="preserve">On September 2, 2025, in </w:t>
      </w:r>
      <w:r w:rsidRPr="004D4CE6">
        <w:rPr>
          <w:u w:val="single"/>
        </w:rPr>
        <w:t>Prince George’s County, Maryland v. Bradley Schroder</w:t>
      </w:r>
      <w:r>
        <w:t xml:space="preserve">, </w:t>
      </w:r>
      <w:r w:rsidRPr="004D4CE6">
        <w:t>Court of Special Appeals of Maryland</w:t>
      </w:r>
      <w:r>
        <w:t xml:space="preserve"> held (3 to 0; unreported decision) that firefighter Bradley Schroeder was properly awarded workers’ compensation by a jury of 63% prominent partial, overturning the Work Comp Commission award of only 3%.  </w:t>
      </w:r>
    </w:p>
    <w:p w14:paraId="7CE4DDB2" w14:textId="77777777" w:rsidR="00782139" w:rsidRDefault="00782139" w:rsidP="00782139">
      <w:pPr>
        <w:pStyle w:val="NoSpacing"/>
        <w:rPr>
          <w:bCs/>
        </w:rPr>
      </w:pPr>
    </w:p>
    <w:p w14:paraId="7319DF16" w14:textId="77777777" w:rsidR="00782139" w:rsidRDefault="00782139" w:rsidP="00782139">
      <w:pPr>
        <w:pStyle w:val="NoSpacing"/>
        <w:rPr>
          <w:bCs/>
        </w:rPr>
      </w:pPr>
      <w:r w:rsidRPr="00D82473">
        <w:rPr>
          <w:b/>
        </w:rPr>
        <w:t>THE COURT HELD:</w:t>
      </w:r>
      <w:r>
        <w:t xml:space="preserve"> “</w:t>
      </w:r>
      <w:r w:rsidRPr="00694FA2">
        <w:t>We do not hold that a finding by the jury of 63% permanent partial disability was</w:t>
      </w:r>
      <w:r>
        <w:t xml:space="preserve"> </w:t>
      </w:r>
      <w:r w:rsidRPr="00694FA2">
        <w:t>grossly excessive and the trial court therefore did not abuse its discretion in denying the</w:t>
      </w:r>
      <w:r>
        <w:t xml:space="preserve"> </w:t>
      </w:r>
      <w:r w:rsidRPr="00694FA2">
        <w:t>County’s motion for a new trial.</w:t>
      </w:r>
      <w:r>
        <w:t>”</w:t>
      </w:r>
    </w:p>
    <w:p w14:paraId="42903EB6" w14:textId="77777777" w:rsidR="00782139" w:rsidRDefault="00782139" w:rsidP="00782139">
      <w:pPr>
        <w:rPr>
          <w:bCs/>
        </w:rPr>
      </w:pPr>
      <w:hyperlink r:id="rId1032" w:history="1">
        <w:r w:rsidRPr="00204094">
          <w:rPr>
            <w:rStyle w:val="Hyperlink"/>
          </w:rPr>
          <w:t>https://www.courts.state.md.us/sites/default/files/unreported-opinions/1098s22.pdf</w:t>
        </w:r>
      </w:hyperlink>
      <w:r>
        <w:t xml:space="preserve"> </w:t>
      </w:r>
    </w:p>
    <w:p w14:paraId="32C29F5D" w14:textId="77777777" w:rsidR="00782139" w:rsidRDefault="00782139" w:rsidP="00782139">
      <w:pPr>
        <w:pStyle w:val="NoSpacing"/>
        <w:rPr>
          <w:bCs/>
        </w:rPr>
      </w:pPr>
    </w:p>
    <w:p w14:paraId="6F68850E" w14:textId="77777777" w:rsidR="00782139" w:rsidRPr="00BD39E4" w:rsidRDefault="00782139" w:rsidP="00782139">
      <w:pPr>
        <w:pStyle w:val="NoSpacing"/>
        <w:rPr>
          <w:b/>
        </w:rPr>
      </w:pPr>
      <w:r w:rsidRPr="00BD39E4">
        <w:rPr>
          <w:b/>
        </w:rPr>
        <w:t>KEY FACTS:</w:t>
      </w:r>
    </w:p>
    <w:p w14:paraId="17C554DD" w14:textId="77777777" w:rsidR="00782139" w:rsidRDefault="00782139" w:rsidP="00782139">
      <w:pPr>
        <w:pStyle w:val="NoSpacing"/>
        <w:rPr>
          <w:bCs/>
        </w:rPr>
      </w:pPr>
    </w:p>
    <w:p w14:paraId="08554F9F" w14:textId="77777777" w:rsidR="00782139" w:rsidRDefault="00782139" w:rsidP="00782139">
      <w:pPr>
        <w:pStyle w:val="NoSpacing"/>
        <w:ind w:left="720"/>
        <w:rPr>
          <w:bCs/>
        </w:rPr>
      </w:pPr>
      <w:r>
        <w:t>“</w:t>
      </w:r>
      <w:r w:rsidRPr="00742BFE">
        <w:t>While working for the Prince George’s County Fire Department, Bradley</w:t>
      </w:r>
      <w:r>
        <w:t xml:space="preserve"> </w:t>
      </w:r>
      <w:r w:rsidRPr="00742BFE">
        <w:t>Schroeder, the Appellee, suffered an injury to his back during a training exercise. Based</w:t>
      </w:r>
      <w:r>
        <w:t xml:space="preserve"> </w:t>
      </w:r>
      <w:r w:rsidRPr="00742BFE">
        <w:t>on his injuries, the Appellee filed a worker’s compensation claim. The Worker’s</w:t>
      </w:r>
      <w:r>
        <w:t xml:space="preserve"> </w:t>
      </w:r>
      <w:r w:rsidRPr="00742BFE">
        <w:t>Compensation Commission found that the Appellee had a 3.5% permanent partial</w:t>
      </w:r>
      <w:r>
        <w:t xml:space="preserve"> </w:t>
      </w:r>
      <w:r w:rsidRPr="00742BFE">
        <w:t>disability. The Appellee appealed this ruling to the Circuit Court for Prince George’s</w:t>
      </w:r>
      <w:r>
        <w:t xml:space="preserve"> </w:t>
      </w:r>
      <w:r w:rsidRPr="00742BFE">
        <w:t xml:space="preserve">County. After a trial, the jury returned a verdict of 63% permanent partial disability. </w:t>
      </w:r>
      <w:proofErr w:type="gramStart"/>
      <w:r w:rsidRPr="00742BFE">
        <w:t>The</w:t>
      </w:r>
      <w:r>
        <w:t xml:space="preserve"> </w:t>
      </w:r>
      <w:r w:rsidRPr="00742BFE">
        <w:t>Prince</w:t>
      </w:r>
      <w:proofErr w:type="gramEnd"/>
      <w:r w:rsidRPr="00742BFE">
        <w:t xml:space="preserve"> George’s County Government, the County, filed a Motion for a New Trial, arguing</w:t>
      </w:r>
      <w:r>
        <w:t xml:space="preserve"> </w:t>
      </w:r>
      <w:r w:rsidRPr="00742BFE">
        <w:t>that this verdict was grossly excessive, which the trial court denied. The County appealed</w:t>
      </w:r>
      <w:r>
        <w:t xml:space="preserve"> </w:t>
      </w:r>
      <w:r w:rsidRPr="00742BFE">
        <w:t>the judgment to this Court.</w:t>
      </w:r>
    </w:p>
    <w:p w14:paraId="4BDC361E" w14:textId="77777777" w:rsidR="00782139" w:rsidRDefault="00782139" w:rsidP="00782139">
      <w:pPr>
        <w:pStyle w:val="NoSpacing"/>
        <w:ind w:firstLine="720"/>
        <w:rPr>
          <w:bCs/>
        </w:rPr>
      </w:pPr>
    </w:p>
    <w:p w14:paraId="5A14EEF2" w14:textId="77777777" w:rsidR="00782139" w:rsidRDefault="00782139" w:rsidP="00782139">
      <w:pPr>
        <w:pStyle w:val="NoSpacing"/>
        <w:ind w:firstLine="720"/>
        <w:rPr>
          <w:bCs/>
        </w:rPr>
      </w:pPr>
      <w:r>
        <w:t>***</w:t>
      </w:r>
    </w:p>
    <w:p w14:paraId="701F8FC7" w14:textId="77777777" w:rsidR="00782139" w:rsidRPr="00033701" w:rsidRDefault="00782139" w:rsidP="00782139">
      <w:pPr>
        <w:pStyle w:val="NoSpacing"/>
        <w:ind w:firstLine="720"/>
        <w:rPr>
          <w:bCs/>
        </w:rPr>
      </w:pPr>
      <w:r w:rsidRPr="00033701">
        <w:t xml:space="preserve">The Appellee began working for </w:t>
      </w:r>
      <w:proofErr w:type="gramStart"/>
      <w:r w:rsidRPr="00033701">
        <w:t>the Prince</w:t>
      </w:r>
      <w:proofErr w:type="gramEnd"/>
      <w:r w:rsidRPr="00033701">
        <w:t xml:space="preserve"> George’s County Fire Department in</w:t>
      </w:r>
    </w:p>
    <w:p w14:paraId="05DBCBA5" w14:textId="77777777" w:rsidR="00782139" w:rsidRPr="00057EA9" w:rsidRDefault="00782139" w:rsidP="00782139">
      <w:pPr>
        <w:pStyle w:val="NoSpacing"/>
        <w:ind w:left="720"/>
        <w:rPr>
          <w:bCs/>
        </w:rPr>
      </w:pPr>
      <w:r w:rsidRPr="00033701">
        <w:t>June of 2015. On January 9, 2019, he participated in a training exercise at an abandoned</w:t>
      </w:r>
      <w:r>
        <w:t xml:space="preserve"> </w:t>
      </w:r>
      <w:r w:rsidRPr="00057EA9">
        <w:t>building. Part of the training involved a series of tasks performed with full gear, with the</w:t>
      </w:r>
    </w:p>
    <w:p w14:paraId="5C202047" w14:textId="77777777" w:rsidR="00782139" w:rsidRPr="00057EA9" w:rsidRDefault="00782139" w:rsidP="00782139">
      <w:pPr>
        <w:pStyle w:val="NoSpacing"/>
        <w:ind w:firstLine="720"/>
        <w:rPr>
          <w:bCs/>
        </w:rPr>
      </w:pPr>
      <w:r w:rsidRPr="00057EA9">
        <w:t>final task being a simulation of the ceiling falling on the firefighter. This simulation</w:t>
      </w:r>
    </w:p>
    <w:p w14:paraId="57832B7E" w14:textId="77777777" w:rsidR="00782139" w:rsidRPr="00057EA9" w:rsidRDefault="00782139" w:rsidP="00782139">
      <w:pPr>
        <w:pStyle w:val="NoSpacing"/>
        <w:ind w:firstLine="720"/>
        <w:rPr>
          <w:bCs/>
        </w:rPr>
      </w:pPr>
      <w:r w:rsidRPr="00057EA9">
        <w:t>involved a heavy six-foot by ten-foot chain-link fence coming down directly on top of the</w:t>
      </w:r>
    </w:p>
    <w:p w14:paraId="5E286999" w14:textId="77777777" w:rsidR="00782139" w:rsidRPr="00057EA9" w:rsidRDefault="00782139" w:rsidP="00782139">
      <w:pPr>
        <w:pStyle w:val="NoSpacing"/>
        <w:ind w:firstLine="720"/>
        <w:rPr>
          <w:bCs/>
        </w:rPr>
      </w:pPr>
      <w:r w:rsidRPr="00057EA9">
        <w:t>firefighter. When the Appellee got to this part of the simulation, the other firefighters put</w:t>
      </w:r>
    </w:p>
    <w:p w14:paraId="4F67F0D7" w14:textId="77777777" w:rsidR="00782139" w:rsidRDefault="00782139" w:rsidP="00782139">
      <w:pPr>
        <w:pStyle w:val="NoSpacing"/>
        <w:ind w:left="720"/>
        <w:rPr>
          <w:bCs/>
        </w:rPr>
      </w:pPr>
      <w:r w:rsidRPr="00057EA9">
        <w:t>the fence down on him. The Appellee threw it off and knelt on all fours on the ground. The</w:t>
      </w:r>
      <w:r>
        <w:t xml:space="preserve"> </w:t>
      </w:r>
      <w:r w:rsidRPr="00057EA9">
        <w:t>instructor then jumped on the Appellee’s back and the Appellee flattened out on the floor,</w:t>
      </w:r>
      <w:r>
        <w:t xml:space="preserve"> </w:t>
      </w:r>
      <w:r w:rsidRPr="00057EA9">
        <w:t>held down by the others until he called for a mayday on his radio. The Appellee’s back</w:t>
      </w:r>
      <w:r>
        <w:t xml:space="preserve"> </w:t>
      </w:r>
      <w:r w:rsidRPr="00057EA9">
        <w:t>began to hurt immediately after this exercise.</w:t>
      </w:r>
    </w:p>
    <w:p w14:paraId="618F5546" w14:textId="77777777" w:rsidR="00782139" w:rsidRDefault="00782139" w:rsidP="00782139">
      <w:pPr>
        <w:pStyle w:val="NoSpacing"/>
        <w:ind w:left="720"/>
        <w:rPr>
          <w:bCs/>
        </w:rPr>
      </w:pPr>
    </w:p>
    <w:p w14:paraId="52C75138" w14:textId="77777777" w:rsidR="00782139" w:rsidRDefault="00782139" w:rsidP="00782139">
      <w:pPr>
        <w:pStyle w:val="NoSpacing"/>
        <w:ind w:left="720"/>
        <w:rPr>
          <w:bCs/>
        </w:rPr>
      </w:pPr>
      <w:r>
        <w:t>***</w:t>
      </w:r>
    </w:p>
    <w:p w14:paraId="4383B5AC" w14:textId="77777777" w:rsidR="00782139" w:rsidRPr="00E2647D" w:rsidRDefault="00782139" w:rsidP="00782139">
      <w:pPr>
        <w:pStyle w:val="NoSpacing"/>
        <w:ind w:left="720"/>
        <w:rPr>
          <w:bCs/>
        </w:rPr>
      </w:pPr>
      <w:r w:rsidRPr="00E2647D">
        <w:t>The Appellee filed a worker’s compensation claim. A hearing was held by the</w:t>
      </w:r>
      <w:r>
        <w:t xml:space="preserve"> </w:t>
      </w:r>
      <w:r w:rsidRPr="00E2647D">
        <w:t>Workers’ Compensation Commission on September 25, 2020. By this time, the Appellee</w:t>
      </w:r>
    </w:p>
    <w:p w14:paraId="2EDD69A4" w14:textId="77777777" w:rsidR="00782139" w:rsidRPr="00E2647D" w:rsidRDefault="00782139" w:rsidP="00782139">
      <w:pPr>
        <w:pStyle w:val="NoSpacing"/>
        <w:ind w:left="720"/>
        <w:rPr>
          <w:bCs/>
        </w:rPr>
      </w:pPr>
      <w:r w:rsidRPr="00E2647D">
        <w:t>had returned to his full duties. However, he was not working any voluntary overtime like</w:t>
      </w:r>
    </w:p>
    <w:p w14:paraId="7F2A9077" w14:textId="77777777" w:rsidR="00782139" w:rsidRPr="00E2647D" w:rsidRDefault="00782139" w:rsidP="00782139">
      <w:pPr>
        <w:pStyle w:val="NoSpacing"/>
        <w:ind w:left="720"/>
        <w:rPr>
          <w:bCs/>
        </w:rPr>
      </w:pPr>
      <w:proofErr w:type="gramStart"/>
      <w:r w:rsidRPr="00E2647D">
        <w:t>he</w:t>
      </w:r>
      <w:proofErr w:type="gramEnd"/>
      <w:r w:rsidRPr="00E2647D">
        <w:t xml:space="preserve"> had prior to his injuries because he needed to rest his back. His injuries prevented him</w:t>
      </w:r>
    </w:p>
    <w:p w14:paraId="1EF527E8" w14:textId="77777777" w:rsidR="00782139" w:rsidRPr="00E2647D" w:rsidRDefault="00782139" w:rsidP="00782139">
      <w:pPr>
        <w:pStyle w:val="NoSpacing"/>
        <w:ind w:left="720"/>
        <w:rPr>
          <w:bCs/>
        </w:rPr>
      </w:pPr>
      <w:r w:rsidRPr="00E2647D">
        <w:t>from playing softball and golf. The Appellee said that at the time of the hearing his</w:t>
      </w:r>
    </w:p>
    <w:p w14:paraId="3E08C0BB" w14:textId="77777777" w:rsidR="00782139" w:rsidRPr="00C06A4E" w:rsidRDefault="00782139" w:rsidP="00782139">
      <w:pPr>
        <w:pStyle w:val="NoSpacing"/>
        <w:ind w:left="720"/>
        <w:rPr>
          <w:bCs/>
        </w:rPr>
      </w:pPr>
      <w:r w:rsidRPr="00E2647D">
        <w:t>symptoms had not resolved. The Appellee said he still had pain during 24-hour shifts,</w:t>
      </w:r>
      <w:r>
        <w:t xml:space="preserve"> </w:t>
      </w:r>
      <w:r w:rsidRPr="00C06A4E">
        <w:t>especially when he was crawling around. The pain was shooting pain down his back and</w:t>
      </w:r>
    </w:p>
    <w:p w14:paraId="70D68A6A" w14:textId="77777777" w:rsidR="00782139" w:rsidRDefault="00782139" w:rsidP="00782139">
      <w:pPr>
        <w:pStyle w:val="NoSpacing"/>
        <w:ind w:left="720"/>
        <w:rPr>
          <w:bCs/>
        </w:rPr>
      </w:pPr>
      <w:r w:rsidRPr="00C06A4E">
        <w:t>he experienced stiffness between his shoulder blades.</w:t>
      </w:r>
      <w:r>
        <w:t>”</w:t>
      </w:r>
    </w:p>
    <w:p w14:paraId="71890575" w14:textId="77777777" w:rsidR="00782139" w:rsidRDefault="00782139" w:rsidP="00782139">
      <w:pPr>
        <w:pStyle w:val="NoSpacing"/>
        <w:rPr>
          <w:bCs/>
        </w:rPr>
      </w:pPr>
    </w:p>
    <w:p w14:paraId="30A34A92" w14:textId="77777777" w:rsidR="00782139" w:rsidRPr="00552F88" w:rsidRDefault="00782139" w:rsidP="00782139">
      <w:pPr>
        <w:pStyle w:val="NoSpacing"/>
        <w:rPr>
          <w:b/>
        </w:rPr>
      </w:pPr>
      <w:r>
        <w:rPr>
          <w:b/>
        </w:rPr>
        <w:t xml:space="preserve">Legal lesson learned:  Maryland law provides for jury to increase Work Comp award. </w:t>
      </w:r>
    </w:p>
    <w:p w14:paraId="2FABEA8C" w14:textId="77777777" w:rsidR="00782139" w:rsidRDefault="00782139" w:rsidP="00EF1133">
      <w:pPr>
        <w:rPr>
          <w:rFonts w:ascii="Arial Black" w:hAnsi="Arial Black"/>
          <w:b/>
          <w:sz w:val="24"/>
          <w:szCs w:val="24"/>
        </w:rPr>
      </w:pPr>
    </w:p>
    <w:p w14:paraId="4DB6EBA5" w14:textId="77777777" w:rsidR="005E6D64" w:rsidRDefault="005E6D64" w:rsidP="00EF1133">
      <w:pPr>
        <w:rPr>
          <w:rFonts w:ascii="Arial Black" w:hAnsi="Arial Black"/>
          <w:b/>
          <w:sz w:val="24"/>
          <w:szCs w:val="24"/>
        </w:rPr>
      </w:pPr>
    </w:p>
    <w:p w14:paraId="5810C630" w14:textId="376F9DAE" w:rsidR="000624FD" w:rsidRDefault="000624FD" w:rsidP="000624FD">
      <w:pPr>
        <w:pStyle w:val="NoSpacing"/>
        <w:rPr>
          <w:rFonts w:ascii="Arial Black" w:hAnsi="Arial Black"/>
          <w:b/>
          <w:sz w:val="28"/>
          <w:szCs w:val="28"/>
        </w:rPr>
      </w:pPr>
      <w:r>
        <w:rPr>
          <w:rFonts w:ascii="Arial Black" w:hAnsi="Arial Black"/>
          <w:b/>
          <w:sz w:val="28"/>
          <w:szCs w:val="28"/>
        </w:rPr>
        <w:t>6-16</w:t>
      </w:r>
      <w:r w:rsidR="002A0697">
        <w:rPr>
          <w:rFonts w:ascii="Arial Black" w:hAnsi="Arial Black"/>
          <w:b/>
          <w:sz w:val="28"/>
          <w:szCs w:val="28"/>
        </w:rPr>
        <w:t>7</w:t>
      </w:r>
    </w:p>
    <w:p w14:paraId="65DF2835" w14:textId="77777777" w:rsidR="000624FD" w:rsidRDefault="000624FD" w:rsidP="005E6D64">
      <w:pPr>
        <w:pStyle w:val="NoSpacing"/>
        <w:rPr>
          <w:rFonts w:ascii="Arial Black" w:hAnsi="Arial Black"/>
          <w:sz w:val="28"/>
          <w:szCs w:val="28"/>
        </w:rPr>
      </w:pPr>
    </w:p>
    <w:p w14:paraId="2FDED63F" w14:textId="40D6DB7C" w:rsidR="005E6D64" w:rsidRPr="00606633" w:rsidRDefault="005E6D64" w:rsidP="005E6D64">
      <w:pPr>
        <w:pStyle w:val="NoSpacing"/>
        <w:rPr>
          <w:rFonts w:ascii="Arial Black" w:hAnsi="Arial Black"/>
          <w:sz w:val="28"/>
          <w:szCs w:val="28"/>
        </w:rPr>
      </w:pPr>
      <w:r>
        <w:rPr>
          <w:rFonts w:ascii="Arial Black" w:hAnsi="Arial Black"/>
          <w:sz w:val="28"/>
          <w:szCs w:val="28"/>
        </w:rPr>
        <w:t xml:space="preserve">NY: WIDOW – </w:t>
      </w:r>
      <w:r w:rsidR="007A51E6">
        <w:rPr>
          <w:rFonts w:ascii="Arial Black" w:hAnsi="Arial Black"/>
          <w:sz w:val="28"/>
          <w:szCs w:val="28"/>
        </w:rPr>
        <w:t xml:space="preserve">LODD </w:t>
      </w:r>
      <w:r w:rsidR="00042C6A">
        <w:rPr>
          <w:rFonts w:ascii="Arial Black" w:hAnsi="Arial Black"/>
          <w:sz w:val="28"/>
          <w:szCs w:val="28"/>
        </w:rPr>
        <w:t xml:space="preserve">BENEFITS </w:t>
      </w:r>
      <w:r w:rsidR="00693E53">
        <w:rPr>
          <w:rFonts w:ascii="Arial Black" w:hAnsi="Arial Black"/>
          <w:sz w:val="28"/>
          <w:szCs w:val="28"/>
        </w:rPr>
        <w:t>–</w:t>
      </w:r>
      <w:r w:rsidR="00042C6A">
        <w:rPr>
          <w:rFonts w:ascii="Arial Black" w:hAnsi="Arial Black"/>
          <w:sz w:val="28"/>
          <w:szCs w:val="28"/>
        </w:rPr>
        <w:t xml:space="preserve"> </w:t>
      </w:r>
      <w:r>
        <w:rPr>
          <w:rFonts w:ascii="Arial Black" w:hAnsi="Arial Black"/>
          <w:sz w:val="28"/>
          <w:szCs w:val="28"/>
        </w:rPr>
        <w:t>CARDIAC</w:t>
      </w:r>
      <w:r w:rsidR="00693E53">
        <w:rPr>
          <w:rFonts w:ascii="Arial Black" w:hAnsi="Arial Black"/>
          <w:sz w:val="28"/>
          <w:szCs w:val="28"/>
        </w:rPr>
        <w:t xml:space="preserve"> – NY </w:t>
      </w:r>
      <w:r>
        <w:rPr>
          <w:rFonts w:ascii="Arial Black" w:hAnsi="Arial Black"/>
          <w:sz w:val="28"/>
          <w:szCs w:val="28"/>
        </w:rPr>
        <w:t xml:space="preserve">HEART BILL – EVEN IF COCAINE </w:t>
      </w:r>
    </w:p>
    <w:p w14:paraId="12CE0DD3" w14:textId="77777777" w:rsidR="005E6D64" w:rsidRDefault="005E6D64" w:rsidP="005E6D64">
      <w:pPr>
        <w:pStyle w:val="NoSpacing"/>
      </w:pPr>
    </w:p>
    <w:p w14:paraId="05F51074" w14:textId="77777777" w:rsidR="005E6D64" w:rsidRDefault="005E6D64" w:rsidP="005E6D64">
      <w:pPr>
        <w:pStyle w:val="NoSpacing"/>
        <w:rPr>
          <w:bCs/>
        </w:rPr>
      </w:pPr>
      <w:r>
        <w:t xml:space="preserve">On Aug. 26, 2025, in </w:t>
      </w:r>
      <w:r w:rsidRPr="00B80F96">
        <w:rPr>
          <w:u w:val="single"/>
        </w:rPr>
        <w:t>Deborah Morrison-Morgan v. Robert Tucker, The Board of Trustees of the New York City Fire Department</w:t>
      </w:r>
      <w:r>
        <w:t xml:space="preserve">, the </w:t>
      </w:r>
      <w:r w:rsidRPr="00B80F96">
        <w:t xml:space="preserve">Supreme Court, </w:t>
      </w:r>
      <w:r>
        <w:t xml:space="preserve">Justice Jeffrey H. Pearlman, Supreme Court, </w:t>
      </w:r>
      <w:r w:rsidRPr="00B80F96">
        <w:t>New York County</w:t>
      </w:r>
      <w:r>
        <w:t xml:space="preserve"> held (unpublished decision) that the widow is entitled to line-of-duty death benefits under the Heart Bill’s statutory presumption, even if autopsy revealed cocaine.  </w:t>
      </w:r>
    </w:p>
    <w:p w14:paraId="2584D97B" w14:textId="77777777" w:rsidR="005E6D64" w:rsidRDefault="005E6D64" w:rsidP="005E6D64">
      <w:pPr>
        <w:pStyle w:val="NoSpacing"/>
        <w:rPr>
          <w:bCs/>
        </w:rPr>
      </w:pPr>
    </w:p>
    <w:p w14:paraId="74980505" w14:textId="77777777" w:rsidR="005E6D64" w:rsidRDefault="005E6D64" w:rsidP="005E6D64">
      <w:pPr>
        <w:pStyle w:val="NoSpacing"/>
      </w:pPr>
      <w:r w:rsidRPr="002B48FE">
        <w:rPr>
          <w:b/>
        </w:rPr>
        <w:t>THE COURT HELD:</w:t>
      </w:r>
      <w:r>
        <w:t xml:space="preserve"> “[W]hen Decedent joined the FDNY, he passed his physical examination … revealed no heart conditions. Decedent died while serving as an FDNY firefighter and his autopsy report listed cardiomegaly and coronary atherosclerosis, moderate, both heart diseases…. These facts plainly qualify Petitioner for the statutory presumption that t</w:t>
      </w:r>
      <w:r w:rsidRPr="00430B2A">
        <w:t>he Heart Bill provides.</w:t>
      </w:r>
      <w:r>
        <w:t xml:space="preserve">”  </w:t>
      </w:r>
      <w:hyperlink r:id="rId1033" w:history="1">
        <w:r w:rsidRPr="008D04E3">
          <w:rPr>
            <w:rStyle w:val="Hyperlink"/>
          </w:rPr>
          <w:t>https://cases.justia.com/new-york/other-courts/2025-2025-ny-slip-op-33207-u.pdf?ts=1757714614</w:t>
        </w:r>
      </w:hyperlink>
      <w:r>
        <w:t xml:space="preserve"> </w:t>
      </w:r>
    </w:p>
    <w:p w14:paraId="070579A5" w14:textId="77777777" w:rsidR="005E6D64" w:rsidRDefault="005E6D64" w:rsidP="005E6D64">
      <w:pPr>
        <w:rPr>
          <w:bCs/>
        </w:rPr>
      </w:pPr>
    </w:p>
    <w:p w14:paraId="781866E9" w14:textId="77777777" w:rsidR="005E6D64" w:rsidRPr="002B48FE" w:rsidRDefault="005E6D64" w:rsidP="005E6D64">
      <w:pPr>
        <w:rPr>
          <w:b/>
        </w:rPr>
      </w:pPr>
      <w:r w:rsidRPr="002B48FE">
        <w:rPr>
          <w:b/>
        </w:rPr>
        <w:t>KEY FACTS:</w:t>
      </w:r>
    </w:p>
    <w:p w14:paraId="5B30ECC8" w14:textId="77777777" w:rsidR="005E6D64" w:rsidRPr="007B337D" w:rsidRDefault="005E6D64" w:rsidP="005E6D64">
      <w:pPr>
        <w:pStyle w:val="NoSpacing"/>
        <w:ind w:firstLine="720"/>
        <w:rPr>
          <w:bCs/>
        </w:rPr>
      </w:pPr>
      <w:r>
        <w:t>“</w:t>
      </w:r>
      <w:r w:rsidRPr="007B337D">
        <w:t>Petitioner is the widow and beneficiary</w:t>
      </w:r>
      <w:r>
        <w:t xml:space="preserve"> </w:t>
      </w:r>
      <w:r w:rsidRPr="007B337D">
        <w:t>of</w:t>
      </w:r>
      <w:r>
        <w:t xml:space="preserve"> </w:t>
      </w:r>
      <w:r w:rsidRPr="007B337D">
        <w:t>FDNY Firefighter John P. Morgan</w:t>
      </w:r>
    </w:p>
    <w:p w14:paraId="7EF8A379" w14:textId="77777777" w:rsidR="005E6D64" w:rsidRPr="007B337D" w:rsidRDefault="005E6D64" w:rsidP="005E6D64">
      <w:pPr>
        <w:pStyle w:val="NoSpacing"/>
        <w:ind w:left="720"/>
        <w:rPr>
          <w:bCs/>
        </w:rPr>
      </w:pPr>
      <w:r w:rsidRPr="007B337D">
        <w:t>(</w:t>
      </w:r>
      <w:r>
        <w:t>‘</w:t>
      </w:r>
      <w:r w:rsidRPr="007B337D">
        <w:t>Decedent</w:t>
      </w:r>
      <w:r>
        <w:t>’</w:t>
      </w:r>
      <w:r w:rsidRPr="007B337D">
        <w:t xml:space="preserve">). Decedent served as a Firefighter in the FDNY from August 5, </w:t>
      </w:r>
      <w:proofErr w:type="gramStart"/>
      <w:r w:rsidRPr="007B337D">
        <w:t>2007</w:t>
      </w:r>
      <w:proofErr w:type="gramEnd"/>
      <w:r w:rsidRPr="007B337D">
        <w:t xml:space="preserve"> continuously</w:t>
      </w:r>
      <w:r>
        <w:t xml:space="preserve"> </w:t>
      </w:r>
      <w:r w:rsidRPr="007B337D">
        <w:t>until his death on July 4, 2024. On June 17, 2023, the FDNY Bureau</w:t>
      </w:r>
    </w:p>
    <w:p w14:paraId="23A44B99" w14:textId="77777777" w:rsidR="005E6D64" w:rsidRDefault="005E6D64" w:rsidP="005E6D64">
      <w:pPr>
        <w:pStyle w:val="NoSpacing"/>
        <w:ind w:left="720"/>
        <w:rPr>
          <w:bCs/>
        </w:rPr>
      </w:pPr>
      <w:r w:rsidRPr="007B337D">
        <w:t>Of</w:t>
      </w:r>
      <w:r>
        <w:t xml:space="preserve"> </w:t>
      </w:r>
      <w:r w:rsidRPr="007B337D">
        <w:t xml:space="preserve">Health </w:t>
      </w:r>
      <w:proofErr w:type="gramStart"/>
      <w:r w:rsidRPr="007B337D">
        <w:t>Services</w:t>
      </w:r>
      <w:r>
        <w:t xml:space="preserve"> </w:t>
      </w:r>
      <w:r w:rsidRPr="005516F1">
        <w:t>(</w:t>
      </w:r>
      <w:r>
        <w:t>‘</w:t>
      </w:r>
      <w:proofErr w:type="gramEnd"/>
      <w:r w:rsidRPr="005516F1">
        <w:t>BHS</w:t>
      </w:r>
      <w:r>
        <w:t>’</w:t>
      </w:r>
      <w:r w:rsidRPr="005516F1">
        <w:t xml:space="preserve">) examined Decedent due to a </w:t>
      </w:r>
      <w:proofErr w:type="gramStart"/>
      <w:r w:rsidRPr="005516F1">
        <w:t>service connected</w:t>
      </w:r>
      <w:proofErr w:type="gramEnd"/>
      <w:r w:rsidRPr="005516F1">
        <w:t xml:space="preserve"> injury. Pet. </w:t>
      </w:r>
      <w:proofErr w:type="spellStart"/>
      <w:r w:rsidRPr="005516F1">
        <w:t>Exh</w:t>
      </w:r>
      <w:proofErr w:type="spellEnd"/>
      <w:r w:rsidRPr="005516F1">
        <w:t>. A., NYSCEF Doc. No.</w:t>
      </w:r>
      <w:r>
        <w:t xml:space="preserve"> </w:t>
      </w:r>
      <w:r w:rsidRPr="005516F1">
        <w:t>3. In BHS's Examination Report, decedent's blood pressure reading was 157/98, a reading</w:t>
      </w:r>
      <w:r>
        <w:t xml:space="preserve"> </w:t>
      </w:r>
      <w:r w:rsidRPr="005516F1">
        <w:t>consistent with Stage II Hypertension. Id. On July 1, 2023, a BHS Clinic-Triage report measured</w:t>
      </w:r>
      <w:r>
        <w:t xml:space="preserve"> </w:t>
      </w:r>
      <w:r w:rsidRPr="005516F1">
        <w:t>Decedent's blood pressure at 157/98, also consistent with Stage II Hypertension</w:t>
      </w:r>
      <w:r>
        <w:t xml:space="preserve">…. </w:t>
      </w:r>
      <w:r w:rsidRPr="005516F1">
        <w:t>Decedent died on July 4, 2023, during active service; an autopsy reported</w:t>
      </w:r>
      <w:r>
        <w:t xml:space="preserve"> </w:t>
      </w:r>
      <w:r w:rsidRPr="005516F1">
        <w:t xml:space="preserve">the cause of death as </w:t>
      </w:r>
      <w:r>
        <w:t>‘</w:t>
      </w:r>
      <w:r w:rsidRPr="005516F1">
        <w:t>cardiomegaly with recent cocaine use" with pathological diagnoses</w:t>
      </w:r>
      <w:r>
        <w:t xml:space="preserve"> </w:t>
      </w:r>
      <w:r w:rsidRPr="005516F1">
        <w:t>including</w:t>
      </w:r>
      <w:r>
        <w:t xml:space="preserve">’ </w:t>
      </w:r>
      <w:r w:rsidRPr="005516F1">
        <w:t>coronary atherosclerosis, moderate</w:t>
      </w:r>
      <w:r>
        <w:t>….’</w:t>
      </w:r>
      <w:r w:rsidRPr="005516F1">
        <w:t xml:space="preserve"> </w:t>
      </w:r>
    </w:p>
    <w:p w14:paraId="70F5031F" w14:textId="77777777" w:rsidR="005E6D64" w:rsidRDefault="005E6D64" w:rsidP="005E6D64">
      <w:pPr>
        <w:pStyle w:val="NoSpacing"/>
        <w:ind w:left="720"/>
        <w:rPr>
          <w:bCs/>
        </w:rPr>
      </w:pPr>
    </w:p>
    <w:p w14:paraId="0285B49A" w14:textId="77777777" w:rsidR="005E6D64" w:rsidRPr="00ED7AB1" w:rsidRDefault="005E6D64" w:rsidP="005E6D64">
      <w:pPr>
        <w:pStyle w:val="NoSpacing"/>
        <w:ind w:left="720"/>
        <w:rPr>
          <w:bCs/>
        </w:rPr>
      </w:pPr>
      <w:r w:rsidRPr="00ED7AB1">
        <w:t>Petitioner filed an Application for Administrative Line-of-Duty Pension with the FDF on</w:t>
      </w:r>
    </w:p>
    <w:p w14:paraId="5E6E20A1" w14:textId="77777777" w:rsidR="005E6D64" w:rsidRDefault="005E6D64" w:rsidP="005E6D64">
      <w:pPr>
        <w:pStyle w:val="NoSpacing"/>
        <w:ind w:left="720"/>
        <w:rPr>
          <w:bCs/>
        </w:rPr>
      </w:pPr>
      <w:r w:rsidRPr="00ED7AB1">
        <w:t>September 11, 2023</w:t>
      </w:r>
      <w:r>
        <w:t>….</w:t>
      </w:r>
      <w:r w:rsidRPr="00ED7AB1">
        <w:t xml:space="preserve"> On January 2, 2024, the FPF Medical</w:t>
      </w:r>
      <w:r>
        <w:t xml:space="preserve"> </w:t>
      </w:r>
      <w:r w:rsidRPr="00ED7AB1">
        <w:t xml:space="preserve">Board declined Petitioner's application on the grounds that it was </w:t>
      </w:r>
      <w:r>
        <w:t>‘</w:t>
      </w:r>
      <w:r w:rsidRPr="00ED7AB1">
        <w:t>not possible to define the</w:t>
      </w:r>
      <w:r>
        <w:t xml:space="preserve"> </w:t>
      </w:r>
      <w:r w:rsidRPr="00ED7AB1">
        <w:t>basis for [Decedent]'s death ... [as] cardiomegaly ... does not define the etiology of his death.</w:t>
      </w:r>
      <w:r>
        <w:t xml:space="preserve">’ … </w:t>
      </w:r>
      <w:r w:rsidRPr="00ED7AB1">
        <w:t xml:space="preserve">The Medical Board further cited </w:t>
      </w:r>
      <w:r>
        <w:t>‘</w:t>
      </w:r>
      <w:r w:rsidRPr="00ED7AB1">
        <w:t>evidence of recent cocaine use</w:t>
      </w:r>
      <w:r>
        <w:t xml:space="preserve">’ </w:t>
      </w:r>
      <w:r w:rsidRPr="00ED7AB1">
        <w:t>as a factor obscuring Decedent's cause of death. Id. On May 29, 2024, the Board of Trustees</w:t>
      </w:r>
      <w:r>
        <w:t xml:space="preserve"> </w:t>
      </w:r>
      <w:r w:rsidRPr="00ED7AB1">
        <w:t xml:space="preserve">denied Petitioner's application based on the Medical Board </w:t>
      </w:r>
      <w:proofErr w:type="gramStart"/>
      <w:r w:rsidRPr="00ED7AB1">
        <w:t>recommendation.</w:t>
      </w:r>
      <w:r>
        <w:t>”</w:t>
      </w:r>
      <w:proofErr w:type="gramEnd"/>
    </w:p>
    <w:p w14:paraId="41E6B288" w14:textId="77777777" w:rsidR="005E6D64" w:rsidRDefault="005E6D64" w:rsidP="005E6D64">
      <w:pPr>
        <w:pStyle w:val="NoSpacing"/>
        <w:rPr>
          <w:b/>
          <w:bCs/>
        </w:rPr>
      </w:pPr>
    </w:p>
    <w:p w14:paraId="4A5BE76B" w14:textId="77777777" w:rsidR="005E6D64" w:rsidRPr="00466C63" w:rsidRDefault="005E6D64" w:rsidP="005E6D64">
      <w:pPr>
        <w:pStyle w:val="NoSpacing"/>
        <w:rPr>
          <w:b/>
          <w:bCs/>
        </w:rPr>
      </w:pPr>
      <w:r>
        <w:rPr>
          <w:b/>
        </w:rPr>
        <w:t>Legal lesson learned</w:t>
      </w:r>
      <w:proofErr w:type="gramStart"/>
      <w:r>
        <w:rPr>
          <w:b/>
        </w:rPr>
        <w:t>: The</w:t>
      </w:r>
      <w:r>
        <w:rPr>
          <w:b/>
          <w:bCs/>
        </w:rPr>
        <w:t xml:space="preserve"> </w:t>
      </w:r>
      <w:r>
        <w:rPr>
          <w:b/>
        </w:rPr>
        <w:t>statutory</w:t>
      </w:r>
      <w:proofErr w:type="gramEnd"/>
      <w:r>
        <w:rPr>
          <w:b/>
        </w:rPr>
        <w:t xml:space="preserve"> presumption in the Heart Bill controls, even if there is evidence of cocaine use. </w:t>
      </w:r>
    </w:p>
    <w:p w14:paraId="7019FBD4" w14:textId="77777777" w:rsidR="005E6D64" w:rsidRDefault="005E6D64" w:rsidP="00EF1133">
      <w:pPr>
        <w:rPr>
          <w:rFonts w:ascii="Arial Black" w:hAnsi="Arial Black"/>
          <w:b/>
          <w:sz w:val="24"/>
          <w:szCs w:val="24"/>
        </w:rPr>
      </w:pPr>
    </w:p>
    <w:p w14:paraId="28943BD2" w14:textId="77777777" w:rsidR="00D44956" w:rsidRDefault="00D44956" w:rsidP="00EF1133">
      <w:pPr>
        <w:rPr>
          <w:rFonts w:ascii="Arial Black" w:hAnsi="Arial Black"/>
          <w:b/>
          <w:sz w:val="24"/>
          <w:szCs w:val="24"/>
        </w:rPr>
      </w:pPr>
    </w:p>
    <w:p w14:paraId="15FB7053" w14:textId="67D0D791" w:rsidR="002F205D" w:rsidRDefault="002F205D" w:rsidP="0086215E">
      <w:pPr>
        <w:pStyle w:val="NoSpacing"/>
        <w:rPr>
          <w:rFonts w:ascii="Arial Black" w:hAnsi="Arial Black"/>
          <w:b/>
          <w:sz w:val="28"/>
          <w:szCs w:val="28"/>
        </w:rPr>
      </w:pPr>
      <w:r>
        <w:rPr>
          <w:rFonts w:ascii="Arial Black" w:hAnsi="Arial Black"/>
          <w:b/>
          <w:sz w:val="28"/>
          <w:szCs w:val="28"/>
        </w:rPr>
        <w:t>6-16</w:t>
      </w:r>
      <w:r w:rsidR="002A0697">
        <w:rPr>
          <w:rFonts w:ascii="Arial Black" w:hAnsi="Arial Black"/>
          <w:b/>
          <w:sz w:val="28"/>
          <w:szCs w:val="28"/>
        </w:rPr>
        <w:t>6</w:t>
      </w:r>
    </w:p>
    <w:p w14:paraId="24B5C097" w14:textId="77777777" w:rsidR="002F205D" w:rsidRDefault="002F205D" w:rsidP="0086215E">
      <w:pPr>
        <w:pStyle w:val="NoSpacing"/>
        <w:rPr>
          <w:rFonts w:ascii="Arial Black" w:hAnsi="Arial Black"/>
          <w:b/>
          <w:sz w:val="28"/>
          <w:szCs w:val="28"/>
        </w:rPr>
      </w:pPr>
    </w:p>
    <w:p w14:paraId="0C0308E4" w14:textId="6A10E1DD" w:rsidR="0086215E" w:rsidRPr="0084729D" w:rsidRDefault="0086215E" w:rsidP="0086215E">
      <w:pPr>
        <w:pStyle w:val="NoSpacing"/>
        <w:rPr>
          <w:rFonts w:ascii="Arial Black" w:hAnsi="Arial Black"/>
          <w:b/>
          <w:sz w:val="28"/>
          <w:szCs w:val="28"/>
        </w:rPr>
      </w:pPr>
      <w:r>
        <w:rPr>
          <w:rFonts w:ascii="Arial Black" w:hAnsi="Arial Black"/>
          <w:b/>
          <w:sz w:val="28"/>
          <w:szCs w:val="28"/>
        </w:rPr>
        <w:t xml:space="preserve">IL: FF BACK INJURY – NOT CREDIBLE CLAIM </w:t>
      </w:r>
    </w:p>
    <w:p w14:paraId="6B78C973" w14:textId="77777777" w:rsidR="0086215E" w:rsidRDefault="0086215E" w:rsidP="0086215E">
      <w:pPr>
        <w:pStyle w:val="NoSpacing"/>
        <w:rPr>
          <w:bCs/>
        </w:rPr>
      </w:pPr>
    </w:p>
    <w:p w14:paraId="68F032A4" w14:textId="13D52A94" w:rsidR="003B3DED" w:rsidRPr="00483671" w:rsidRDefault="0086215E" w:rsidP="0086215E">
      <w:pPr>
        <w:pStyle w:val="NoSpacing"/>
        <w:rPr>
          <w:rFonts w:ascii="Times New Roman" w:hAnsi="Times New Roman"/>
          <w:sz w:val="24"/>
          <w:szCs w:val="24"/>
        </w:rPr>
      </w:pPr>
      <w:r w:rsidRPr="00483671">
        <w:rPr>
          <w:rFonts w:ascii="Times New Roman" w:hAnsi="Times New Roman"/>
          <w:sz w:val="24"/>
          <w:szCs w:val="24"/>
        </w:rPr>
        <w:t xml:space="preserve">On July 25, 2025, in </w:t>
      </w:r>
      <w:r w:rsidRPr="00483671">
        <w:rPr>
          <w:rFonts w:ascii="Times New Roman" w:hAnsi="Times New Roman"/>
          <w:sz w:val="24"/>
          <w:szCs w:val="24"/>
          <w:u w:val="single"/>
        </w:rPr>
        <w:t>Nicholas Witteman v. Brookfield Firefighters’ Pension Fund</w:t>
      </w:r>
      <w:r w:rsidRPr="00483671">
        <w:rPr>
          <w:rFonts w:ascii="Times New Roman" w:hAnsi="Times New Roman"/>
          <w:sz w:val="24"/>
          <w:szCs w:val="24"/>
        </w:rPr>
        <w:t xml:space="preserve">, the Court of Appeals of Illinois, First District, Sixth Division held (3 to 0) that the Board properly denied the firefighter a line-of-duty pension; only receive disability pension.  His credibility was challenged by testimony of fellow firefighters; patient used Hoyer Lift to put himself on stretcher; firefighter [and union President] never said he was injured, went on two more runs. THE COURT WROTE: “The Board concluded that Witteman was disabled </w:t>
      </w:r>
      <w:proofErr w:type="gramStart"/>
      <w:r w:rsidRPr="00483671">
        <w:rPr>
          <w:rFonts w:ascii="Times New Roman" w:hAnsi="Times New Roman"/>
          <w:sz w:val="24"/>
          <w:szCs w:val="24"/>
        </w:rPr>
        <w:t>but,</w:t>
      </w:r>
      <w:proofErr w:type="gramEnd"/>
      <w:r w:rsidRPr="00483671">
        <w:rPr>
          <w:rFonts w:ascii="Times New Roman" w:hAnsi="Times New Roman"/>
          <w:sz w:val="24"/>
          <w:szCs w:val="24"/>
        </w:rPr>
        <w:t xml:space="preserve"> based on his demeanor and credibility, as well as the testimony of others, determined that he did not injure his back by lifting the patient and, thus, unrelated to his job.” </w:t>
      </w:r>
      <w:hyperlink r:id="rId1034" w:history="1">
        <w:r w:rsidRPr="00483671">
          <w:rPr>
            <w:rStyle w:val="Hyperlink"/>
            <w:rFonts w:ascii="Times New Roman" w:hAnsi="Times New Roman"/>
            <w:sz w:val="24"/>
            <w:szCs w:val="24"/>
          </w:rPr>
          <w:t>https://ilcourtsaudio.blob.core.windows.net/antilles-resources/resources/f07642b7-1e8b-438e-bd0d-cfbc858fbc9b/Witteman%20v.%20Brookfield%20Firefighters%20Pension%20Fund%202025%20IL%20App%20(1st)%20241278.pdf</w:t>
        </w:r>
      </w:hyperlink>
    </w:p>
    <w:p w14:paraId="2FF8AC72" w14:textId="77777777" w:rsidR="00483671" w:rsidRPr="00483671" w:rsidRDefault="00483671" w:rsidP="00483671">
      <w:pPr>
        <w:pStyle w:val="NoSpacing"/>
        <w:rPr>
          <w:rFonts w:ascii="Times New Roman" w:hAnsi="Times New Roman"/>
          <w:b/>
          <w:sz w:val="24"/>
          <w:szCs w:val="24"/>
        </w:rPr>
      </w:pPr>
      <w:r w:rsidRPr="00483671">
        <w:rPr>
          <w:rFonts w:ascii="Times New Roman" w:hAnsi="Times New Roman"/>
          <w:b/>
          <w:sz w:val="24"/>
          <w:szCs w:val="24"/>
        </w:rPr>
        <w:t xml:space="preserve">Legal lesson learned:  If injured on the job, inform your crew and your officer and promptly complete an injury form. </w:t>
      </w:r>
    </w:p>
    <w:p w14:paraId="41C14ECB" w14:textId="77777777" w:rsidR="00483671" w:rsidRPr="00483671" w:rsidRDefault="00483671" w:rsidP="0086215E">
      <w:pPr>
        <w:pStyle w:val="NoSpacing"/>
        <w:rPr>
          <w:rFonts w:ascii="Times New Roman" w:hAnsi="Times New Roman"/>
          <w:sz w:val="24"/>
          <w:szCs w:val="24"/>
        </w:rPr>
      </w:pPr>
    </w:p>
    <w:p w14:paraId="100DF6E5" w14:textId="77777777" w:rsidR="003B3DED" w:rsidRDefault="003B3DED" w:rsidP="007C4C98">
      <w:pPr>
        <w:pStyle w:val="NoSpacing"/>
        <w:rPr>
          <w:rFonts w:ascii="Arial Black" w:hAnsi="Arial Black"/>
          <w:sz w:val="28"/>
          <w:szCs w:val="28"/>
        </w:rPr>
      </w:pPr>
    </w:p>
    <w:p w14:paraId="6C7208BE" w14:textId="77777777" w:rsidR="003B3DED" w:rsidRDefault="003B3DED" w:rsidP="007C4C98">
      <w:pPr>
        <w:pStyle w:val="NoSpacing"/>
        <w:rPr>
          <w:rFonts w:ascii="Arial Black" w:hAnsi="Arial Black"/>
          <w:sz w:val="28"/>
          <w:szCs w:val="28"/>
        </w:rPr>
      </w:pPr>
    </w:p>
    <w:p w14:paraId="101C00A3" w14:textId="785AC5F7" w:rsidR="007C4C98" w:rsidRDefault="007C4C98" w:rsidP="007C4C98">
      <w:pPr>
        <w:pStyle w:val="NoSpacing"/>
        <w:rPr>
          <w:rFonts w:ascii="Arial Black" w:hAnsi="Arial Black"/>
          <w:sz w:val="28"/>
          <w:szCs w:val="28"/>
        </w:rPr>
      </w:pPr>
      <w:r>
        <w:rPr>
          <w:rFonts w:ascii="Arial Black" w:hAnsi="Arial Black"/>
          <w:sz w:val="28"/>
          <w:szCs w:val="28"/>
        </w:rPr>
        <w:t>6-16</w:t>
      </w:r>
      <w:r w:rsidR="002A0697">
        <w:rPr>
          <w:rFonts w:ascii="Arial Black" w:hAnsi="Arial Black"/>
          <w:sz w:val="28"/>
          <w:szCs w:val="28"/>
        </w:rPr>
        <w:t>5</w:t>
      </w:r>
    </w:p>
    <w:p w14:paraId="30FA5F05" w14:textId="77777777" w:rsidR="007C4C98" w:rsidRDefault="007C4C98" w:rsidP="00462481">
      <w:pPr>
        <w:rPr>
          <w:rFonts w:ascii="Arial Black" w:hAnsi="Arial Black"/>
          <w:b/>
          <w:sz w:val="28"/>
          <w:szCs w:val="28"/>
        </w:rPr>
      </w:pPr>
    </w:p>
    <w:p w14:paraId="45D8DCF5" w14:textId="7622D2B5" w:rsidR="00462481" w:rsidRDefault="00462481" w:rsidP="00462481">
      <w:pPr>
        <w:rPr>
          <w:rFonts w:ascii="Arial Black" w:hAnsi="Arial Black"/>
          <w:b/>
          <w:sz w:val="28"/>
          <w:szCs w:val="28"/>
        </w:rPr>
      </w:pPr>
      <w:r>
        <w:rPr>
          <w:rFonts w:ascii="Arial Black" w:hAnsi="Arial Black"/>
          <w:b/>
          <w:sz w:val="28"/>
          <w:szCs w:val="28"/>
        </w:rPr>
        <w:t xml:space="preserve">IL: HEARING LOSS – FF JOB WAS “CONTRIBUTING FACTOR” </w:t>
      </w:r>
    </w:p>
    <w:p w14:paraId="2BA16B63" w14:textId="77777777" w:rsidR="00462481" w:rsidRPr="00E82675" w:rsidRDefault="00462481" w:rsidP="00462481">
      <w:pPr>
        <w:pStyle w:val="NoSpacing"/>
        <w:rPr>
          <w:rFonts w:ascii="Times New Roman" w:hAnsi="Times New Roman"/>
          <w:sz w:val="24"/>
          <w:szCs w:val="24"/>
        </w:rPr>
      </w:pPr>
      <w:r w:rsidRPr="00E82675">
        <w:rPr>
          <w:rFonts w:ascii="Times New Roman" w:hAnsi="Times New Roman"/>
          <w:sz w:val="24"/>
          <w:szCs w:val="24"/>
        </w:rPr>
        <w:t xml:space="preserve">On June 27, 2025, in The </w:t>
      </w:r>
      <w:r w:rsidRPr="00E82675">
        <w:rPr>
          <w:rFonts w:ascii="Times New Roman" w:hAnsi="Times New Roman"/>
          <w:sz w:val="24"/>
          <w:szCs w:val="24"/>
          <w:u w:val="single"/>
        </w:rPr>
        <w:t>Village of Schaumburg v. The Village of Schaumburg Firefighters’ Pension Fund, and Phillip Reid, et al</w:t>
      </w:r>
      <w:r w:rsidRPr="00E82675">
        <w:rPr>
          <w:rFonts w:ascii="Times New Roman" w:hAnsi="Times New Roman"/>
          <w:sz w:val="24"/>
          <w:szCs w:val="24"/>
        </w:rPr>
        <w:t xml:space="preserve">., the Court of Appeals of Illinois, First District, Sixth Division held (3 to 0) that the Pension Board, upon order of Circuit Court judge, properly reconsidered their previous denial of the duty caused injury pension, and awarded the improved pension.  Phillip Reid served 32 years as a firefighter, and part-time at another fire department.  He developed hearing loss in 2009 and began wearing hearing aids.  In January 2017, he applied for a line-of-duty disability pension and retired, claiming that the noise from his job as a Village firefighter caused his hearing loss.  THE COURT HELD: “The record supports the Board’s conclusion that Ried suffered from a hearing loss disability and his duty-related activities were a contributing or exacerbating factor. We do not reweigh the evidence or independently assess the facts…. Thus, the Board’s decision to grant Ried a line of duty disability pension was not against the manifest weight of the evidence.” </w:t>
      </w:r>
      <w:hyperlink r:id="rId1035" w:history="1">
        <w:r w:rsidRPr="00E82675">
          <w:rPr>
            <w:rStyle w:val="Hyperlink"/>
            <w:rFonts w:ascii="Times New Roman" w:hAnsi="Times New Roman"/>
            <w:sz w:val="24"/>
            <w:szCs w:val="24"/>
          </w:rPr>
          <w:t>https://ilcourtsaudio.blob.core.windows.net/antilles-resources/resources/b97cd9d5-bd7a-4b80-8ae7-ba3200915f21/Village%20of%20Schaumburg%20v.%20VoS%20Firefighters%E2%80%99%20Pension%20Fund%202025%20IL%20App%20(1st)%20241764.pdf</w:t>
        </w:r>
      </w:hyperlink>
      <w:r w:rsidRPr="00E82675">
        <w:rPr>
          <w:rFonts w:ascii="Times New Roman" w:hAnsi="Times New Roman"/>
          <w:sz w:val="24"/>
          <w:szCs w:val="24"/>
        </w:rPr>
        <w:t xml:space="preserve"> </w:t>
      </w:r>
    </w:p>
    <w:p w14:paraId="3EFA355D" w14:textId="77777777" w:rsidR="00E82675" w:rsidRPr="00E82675" w:rsidRDefault="00E82675" w:rsidP="00E82675">
      <w:pPr>
        <w:pStyle w:val="NoSpacing"/>
        <w:rPr>
          <w:rFonts w:ascii="Times New Roman" w:hAnsi="Times New Roman"/>
          <w:b/>
          <w:sz w:val="24"/>
          <w:szCs w:val="24"/>
        </w:rPr>
      </w:pPr>
    </w:p>
    <w:p w14:paraId="472F9133" w14:textId="02D1A02B" w:rsidR="00E82675" w:rsidRPr="00E82675" w:rsidRDefault="00E82675" w:rsidP="00E82675">
      <w:pPr>
        <w:pStyle w:val="NoSpacing"/>
        <w:rPr>
          <w:rFonts w:ascii="Times New Roman" w:hAnsi="Times New Roman"/>
          <w:b/>
          <w:bCs/>
          <w:sz w:val="24"/>
          <w:szCs w:val="24"/>
        </w:rPr>
      </w:pPr>
      <w:r w:rsidRPr="00E82675">
        <w:rPr>
          <w:rFonts w:ascii="Times New Roman" w:hAnsi="Times New Roman"/>
          <w:b/>
          <w:sz w:val="24"/>
          <w:szCs w:val="24"/>
        </w:rPr>
        <w:t xml:space="preserve">Legal lesson learned: It was a classic “battle of the experts.”  Many states have enacted a “statutory presumption” that certain illnesses, such as cancer and heart disease, are caused by the job to avoid these types of extended legal battles. </w:t>
      </w:r>
    </w:p>
    <w:p w14:paraId="06E22EAB" w14:textId="77777777" w:rsidR="00E82675" w:rsidRPr="00E82675" w:rsidRDefault="00E82675" w:rsidP="00E82675">
      <w:pPr>
        <w:pStyle w:val="NoSpacing"/>
        <w:rPr>
          <w:rFonts w:ascii="Times New Roman" w:hAnsi="Times New Roman"/>
          <w:sz w:val="24"/>
          <w:szCs w:val="24"/>
        </w:rPr>
      </w:pPr>
    </w:p>
    <w:p w14:paraId="2E250122" w14:textId="77777777" w:rsidR="00E82675" w:rsidRPr="00E82675" w:rsidRDefault="00E82675" w:rsidP="00E82675">
      <w:pPr>
        <w:ind w:left="720"/>
        <w:rPr>
          <w:rFonts w:ascii="Times New Roman" w:hAnsi="Times New Roman"/>
          <w:bCs/>
          <w:sz w:val="24"/>
          <w:szCs w:val="24"/>
        </w:rPr>
      </w:pPr>
      <w:r w:rsidRPr="00E82675">
        <w:rPr>
          <w:rFonts w:ascii="Times New Roman" w:hAnsi="Times New Roman"/>
          <w:sz w:val="24"/>
          <w:szCs w:val="24"/>
        </w:rPr>
        <w:t xml:space="preserve">Note: See Illinois House Bill 3392 (filed 2023) seeking to include hearing loss to the list of diseases for which certain firefighters may be eligible for an occupational disease disability pension. </w:t>
      </w:r>
      <w:hyperlink r:id="rId1036" w:history="1">
        <w:r w:rsidRPr="00E82675">
          <w:rPr>
            <w:rStyle w:val="Hyperlink"/>
            <w:rFonts w:ascii="Times New Roman" w:hAnsi="Times New Roman"/>
            <w:sz w:val="24"/>
            <w:szCs w:val="24"/>
          </w:rPr>
          <w:t>https://www.ilga.gov/legislation/BillStatus.asp?DocNum=3392&amp;GAID=17&amp;DocTypeID=HB&amp;LegId=148558&amp;SessionID=112&amp;GA=103</w:t>
        </w:r>
      </w:hyperlink>
    </w:p>
    <w:p w14:paraId="33433332" w14:textId="77777777" w:rsidR="00462481" w:rsidRPr="00E82675" w:rsidRDefault="00462481" w:rsidP="00015CB5">
      <w:pPr>
        <w:rPr>
          <w:rFonts w:ascii="Times New Roman" w:hAnsi="Times New Roman"/>
          <w:b/>
          <w:sz w:val="24"/>
          <w:szCs w:val="24"/>
        </w:rPr>
      </w:pPr>
    </w:p>
    <w:p w14:paraId="5D391A12" w14:textId="77777777" w:rsidR="00462481" w:rsidRDefault="00462481" w:rsidP="00015CB5">
      <w:pPr>
        <w:rPr>
          <w:rFonts w:ascii="Arial Black" w:hAnsi="Arial Black"/>
          <w:b/>
          <w:sz w:val="28"/>
          <w:szCs w:val="28"/>
        </w:rPr>
      </w:pPr>
    </w:p>
    <w:p w14:paraId="3BC77956" w14:textId="231EC196" w:rsidR="007C4C98" w:rsidRDefault="007C4C98" w:rsidP="007C4C98">
      <w:pPr>
        <w:pStyle w:val="NoSpacing"/>
        <w:rPr>
          <w:rFonts w:ascii="Arial Black" w:hAnsi="Arial Black"/>
          <w:sz w:val="28"/>
          <w:szCs w:val="28"/>
        </w:rPr>
      </w:pPr>
      <w:r>
        <w:rPr>
          <w:rFonts w:ascii="Arial Black" w:hAnsi="Arial Black"/>
          <w:sz w:val="28"/>
          <w:szCs w:val="28"/>
        </w:rPr>
        <w:t>6-16</w:t>
      </w:r>
      <w:r w:rsidR="002A0697">
        <w:rPr>
          <w:rFonts w:ascii="Arial Black" w:hAnsi="Arial Black"/>
          <w:sz w:val="28"/>
          <w:szCs w:val="28"/>
        </w:rPr>
        <w:t>4</w:t>
      </w:r>
    </w:p>
    <w:p w14:paraId="69757A7D" w14:textId="77777777" w:rsidR="007C4C98" w:rsidRDefault="007C4C98" w:rsidP="00015CB5">
      <w:pPr>
        <w:rPr>
          <w:rFonts w:ascii="Arial Black" w:hAnsi="Arial Black"/>
          <w:b/>
          <w:sz w:val="28"/>
          <w:szCs w:val="28"/>
        </w:rPr>
      </w:pPr>
    </w:p>
    <w:p w14:paraId="216DC94F" w14:textId="07C34688" w:rsidR="00015CB5" w:rsidRPr="00453B8C" w:rsidRDefault="00015CB5" w:rsidP="00015CB5">
      <w:pPr>
        <w:rPr>
          <w:rFonts w:ascii="Arial Black" w:hAnsi="Arial Black"/>
          <w:b/>
          <w:sz w:val="28"/>
          <w:szCs w:val="28"/>
        </w:rPr>
      </w:pPr>
      <w:r>
        <w:rPr>
          <w:rFonts w:ascii="Arial Black" w:hAnsi="Arial Black"/>
          <w:b/>
          <w:sz w:val="28"/>
          <w:szCs w:val="28"/>
        </w:rPr>
        <w:t>WA: MILITARY LEAVE - 21 DAYS PAY/ FY – STATE LAW</w:t>
      </w:r>
    </w:p>
    <w:p w14:paraId="0BD09CD1" w14:textId="77777777" w:rsidR="00015CB5" w:rsidRPr="005A4D75" w:rsidRDefault="00015CB5" w:rsidP="00015CB5">
      <w:pPr>
        <w:pStyle w:val="NoSpacing"/>
        <w:rPr>
          <w:rFonts w:ascii="Times New Roman" w:hAnsi="Times New Roman"/>
          <w:sz w:val="24"/>
          <w:szCs w:val="24"/>
        </w:rPr>
      </w:pPr>
      <w:r w:rsidRPr="005A4D75">
        <w:rPr>
          <w:rFonts w:ascii="Times New Roman" w:hAnsi="Times New Roman"/>
          <w:sz w:val="24"/>
          <w:szCs w:val="24"/>
        </w:rPr>
        <w:t xml:space="preserve">On June 26, 2025, in </w:t>
      </w:r>
      <w:r w:rsidRPr="005A4D75">
        <w:rPr>
          <w:rFonts w:ascii="Times New Roman" w:hAnsi="Times New Roman"/>
          <w:sz w:val="24"/>
          <w:szCs w:val="24"/>
          <w:u w:val="single"/>
        </w:rPr>
        <w:t>Travis Bearden v. City of Ocean Shores, et al</w:t>
      </w:r>
      <w:r w:rsidRPr="005A4D75">
        <w:rPr>
          <w:rFonts w:ascii="Times New Roman" w:hAnsi="Times New Roman"/>
          <w:sz w:val="24"/>
          <w:szCs w:val="24"/>
        </w:rPr>
        <w:t>., the Supreme Court of Washington held (</w:t>
      </w:r>
      <w:proofErr w:type="spellStart"/>
      <w:r w:rsidRPr="005A4D75">
        <w:rPr>
          <w:rFonts w:ascii="Times New Roman" w:hAnsi="Times New Roman"/>
          <w:sz w:val="24"/>
          <w:szCs w:val="24"/>
        </w:rPr>
        <w:t>en</w:t>
      </w:r>
      <w:proofErr w:type="spellEnd"/>
      <w:r w:rsidRPr="005A4D75">
        <w:rPr>
          <w:rFonts w:ascii="Times New Roman" w:hAnsi="Times New Roman"/>
          <w:sz w:val="24"/>
          <w:szCs w:val="24"/>
        </w:rPr>
        <w:t xml:space="preserve"> banc; all 9 Justices) held that under State law firefighters and other public employees are entitled to 21 days of paid leave when on Reserve or Active duty during each military fiscal year.  Firefighter Travis Bearden has filed a lawsuit in federal court under USERRA when he was not paid the 21 days while on Active duty in Army Reserve for 273 days (August 2020-May 2021) and was therefore not scheduled to work at the fire department.  The State Supreme Court responded to a question for the U.S. Court of Appeals for the 9</w:t>
      </w:r>
      <w:r w:rsidRPr="005A4D75">
        <w:rPr>
          <w:rFonts w:ascii="Times New Roman" w:hAnsi="Times New Roman"/>
          <w:sz w:val="24"/>
          <w:szCs w:val="24"/>
          <w:vertAlign w:val="superscript"/>
        </w:rPr>
        <w:t>th</w:t>
      </w:r>
      <w:r w:rsidRPr="005A4D75">
        <w:rPr>
          <w:rFonts w:ascii="Times New Roman" w:hAnsi="Times New Roman"/>
          <w:sz w:val="24"/>
          <w:szCs w:val="24"/>
        </w:rPr>
        <w:t xml:space="preserve"> Circuit (San Francisco) confirming he is entitled to the 21 days paid leave under state law. THE COURT HELD: “According to the city’s reading of the statute, employers would not have to pay paid military leave at all because once they know an employee will be absent, they would not place them on the schedule. That cannot be what the legislature intended when it </w:t>
      </w:r>
      <w:proofErr w:type="gramStart"/>
      <w:r w:rsidRPr="005A4D75">
        <w:rPr>
          <w:rFonts w:ascii="Times New Roman" w:hAnsi="Times New Roman"/>
          <w:sz w:val="24"/>
          <w:szCs w:val="24"/>
        </w:rPr>
        <w:t>provided that</w:t>
      </w:r>
      <w:proofErr w:type="gramEnd"/>
      <w:r w:rsidRPr="005A4D75">
        <w:rPr>
          <w:rFonts w:ascii="Times New Roman" w:hAnsi="Times New Roman"/>
          <w:sz w:val="24"/>
          <w:szCs w:val="24"/>
        </w:rPr>
        <w:t xml:space="preserve"> service members are entitled to and granted military leave that must be charged to </w:t>
      </w:r>
      <w:proofErr w:type="gramStart"/>
      <w:r w:rsidRPr="005A4D75">
        <w:rPr>
          <w:rFonts w:ascii="Times New Roman" w:hAnsi="Times New Roman"/>
          <w:sz w:val="24"/>
          <w:szCs w:val="24"/>
        </w:rPr>
        <w:t>days</w:t>
      </w:r>
      <w:proofErr w:type="gramEnd"/>
      <w:r w:rsidRPr="005A4D75">
        <w:rPr>
          <w:rFonts w:ascii="Times New Roman" w:hAnsi="Times New Roman"/>
          <w:sz w:val="24"/>
          <w:szCs w:val="24"/>
        </w:rPr>
        <w:t xml:space="preserve"> they are scheduled to work. No rational employer would schedule an employee to work when they know that employee would not be present and, therefore, no employee could ever claim the paid military leave to which they are entitled under RCW 38.40.060.”</w:t>
      </w:r>
    </w:p>
    <w:p w14:paraId="50A3070C" w14:textId="5D1CAB7B" w:rsidR="005263F1" w:rsidRPr="005A4D75" w:rsidRDefault="00015CB5" w:rsidP="00015CB5">
      <w:pPr>
        <w:pStyle w:val="NoSpacing"/>
        <w:rPr>
          <w:rFonts w:ascii="Times New Roman" w:hAnsi="Times New Roman"/>
          <w:sz w:val="24"/>
          <w:szCs w:val="24"/>
        </w:rPr>
      </w:pPr>
      <w:hyperlink r:id="rId1037" w:history="1">
        <w:r w:rsidRPr="005A4D75">
          <w:rPr>
            <w:rStyle w:val="Hyperlink"/>
            <w:rFonts w:ascii="Times New Roman" w:hAnsi="Times New Roman"/>
            <w:sz w:val="24"/>
            <w:szCs w:val="24"/>
          </w:rPr>
          <w:t>https://cases.justia.com/washington/supreme-court/2025-103-121-1.pdf?ts=1750950890</w:t>
        </w:r>
      </w:hyperlink>
    </w:p>
    <w:p w14:paraId="02D71073" w14:textId="77777777" w:rsidR="005263F1" w:rsidRPr="005A4D75" w:rsidRDefault="005263F1" w:rsidP="00683497">
      <w:pPr>
        <w:pStyle w:val="NoSpacing"/>
        <w:rPr>
          <w:rFonts w:ascii="Times New Roman" w:hAnsi="Times New Roman"/>
          <w:sz w:val="24"/>
          <w:szCs w:val="24"/>
        </w:rPr>
      </w:pPr>
    </w:p>
    <w:p w14:paraId="7A0709B2" w14:textId="77777777" w:rsidR="005A4D75" w:rsidRPr="005A4D75" w:rsidRDefault="005A4D75" w:rsidP="005A4D75">
      <w:pPr>
        <w:pStyle w:val="NoSpacing"/>
        <w:rPr>
          <w:rFonts w:ascii="Times New Roman" w:hAnsi="Times New Roman"/>
          <w:b/>
          <w:bCs/>
          <w:sz w:val="24"/>
          <w:szCs w:val="24"/>
        </w:rPr>
      </w:pPr>
      <w:r w:rsidRPr="005A4D75">
        <w:rPr>
          <w:rFonts w:ascii="Times New Roman" w:hAnsi="Times New Roman"/>
          <w:b/>
          <w:sz w:val="24"/>
          <w:szCs w:val="24"/>
        </w:rPr>
        <w:t>Legal lesson learned:  Hopefully the City will not settle his USERRA lawsuit in Federal Court, pay his lost reimbursement and his attorney fees.</w:t>
      </w:r>
      <w:r w:rsidRPr="005A4D75">
        <w:rPr>
          <w:rFonts w:ascii="Times New Roman" w:hAnsi="Times New Roman"/>
          <w:sz w:val="24"/>
          <w:szCs w:val="24"/>
        </w:rPr>
        <w:t xml:space="preserve"> </w:t>
      </w:r>
    </w:p>
    <w:p w14:paraId="7B0BE3B4" w14:textId="77777777" w:rsidR="005A4D75" w:rsidRPr="005A4D75" w:rsidRDefault="005A4D75" w:rsidP="005A4D75">
      <w:pPr>
        <w:pStyle w:val="NoSpacing"/>
        <w:rPr>
          <w:rFonts w:ascii="Times New Roman" w:hAnsi="Times New Roman"/>
          <w:sz w:val="24"/>
          <w:szCs w:val="24"/>
        </w:rPr>
      </w:pPr>
    </w:p>
    <w:p w14:paraId="122B5BEA" w14:textId="77777777" w:rsidR="005A4D75" w:rsidRPr="005A4D75" w:rsidRDefault="005A4D75" w:rsidP="005A4D75">
      <w:pPr>
        <w:pStyle w:val="NoSpacing"/>
        <w:ind w:left="720"/>
        <w:rPr>
          <w:rFonts w:ascii="Times New Roman" w:hAnsi="Times New Roman"/>
          <w:sz w:val="24"/>
          <w:szCs w:val="24"/>
        </w:rPr>
      </w:pPr>
      <w:r w:rsidRPr="005A4D75">
        <w:rPr>
          <w:rFonts w:ascii="Times New Roman" w:hAnsi="Times New Roman"/>
          <w:sz w:val="24"/>
          <w:szCs w:val="24"/>
        </w:rPr>
        <w:t>Note:  See U.S. Department of Labor – “A Guide to the Uniformed Services</w:t>
      </w:r>
      <w:r w:rsidRPr="005A4D75">
        <w:rPr>
          <w:rFonts w:ascii="Times New Roman" w:hAnsi="Times New Roman"/>
          <w:sz w:val="24"/>
          <w:szCs w:val="24"/>
        </w:rPr>
        <w:br/>
        <w:t xml:space="preserve">Employment and Reemployment Rights Act.” </w:t>
      </w:r>
      <w:hyperlink r:id="rId1038" w:anchor="ch21" w:history="1">
        <w:r w:rsidRPr="005A4D75">
          <w:rPr>
            <w:rStyle w:val="Hyperlink"/>
            <w:rFonts w:ascii="Times New Roman" w:hAnsi="Times New Roman"/>
            <w:sz w:val="24"/>
            <w:szCs w:val="24"/>
          </w:rPr>
          <w:t>https://www.dol.gov/agencies/vets/programs/userra/USERRA-Pocket-Guide#ch21</w:t>
        </w:r>
      </w:hyperlink>
      <w:r w:rsidRPr="005A4D75">
        <w:rPr>
          <w:rFonts w:ascii="Times New Roman" w:hAnsi="Times New Roman"/>
          <w:sz w:val="24"/>
          <w:szCs w:val="24"/>
        </w:rPr>
        <w:t xml:space="preserve"> </w:t>
      </w:r>
    </w:p>
    <w:p w14:paraId="2471ECA9" w14:textId="77777777" w:rsidR="005A4D75" w:rsidRPr="005A4D75" w:rsidRDefault="005A4D75" w:rsidP="005A4D75">
      <w:pPr>
        <w:pStyle w:val="NoSpacing"/>
        <w:rPr>
          <w:rFonts w:ascii="Times New Roman" w:hAnsi="Times New Roman"/>
          <w:sz w:val="24"/>
          <w:szCs w:val="24"/>
        </w:rPr>
      </w:pPr>
    </w:p>
    <w:p w14:paraId="4190E244" w14:textId="77777777" w:rsidR="005A4D75" w:rsidRPr="005A4D75" w:rsidRDefault="005A4D75" w:rsidP="005A4D75">
      <w:pPr>
        <w:pStyle w:val="NoSpacing"/>
        <w:ind w:left="720"/>
        <w:rPr>
          <w:rFonts w:ascii="Times New Roman" w:hAnsi="Times New Roman"/>
          <w:sz w:val="24"/>
          <w:szCs w:val="24"/>
        </w:rPr>
      </w:pPr>
      <w:r w:rsidRPr="005A4D75">
        <w:rPr>
          <w:rFonts w:ascii="Times New Roman" w:hAnsi="Times New Roman"/>
          <w:sz w:val="24"/>
          <w:szCs w:val="24"/>
        </w:rPr>
        <w:t>“Awards of attorney fees, expert witness fees, and other litigation expenses to successful plaintiffs who retain private counsel may be made at the court’s discretion.”</w:t>
      </w:r>
    </w:p>
    <w:p w14:paraId="6E45207E" w14:textId="77777777" w:rsidR="005A4D75" w:rsidRDefault="005A4D75" w:rsidP="005A4D75">
      <w:pPr>
        <w:rPr>
          <w:bCs/>
        </w:rPr>
      </w:pPr>
    </w:p>
    <w:p w14:paraId="5CC8619D" w14:textId="49E0191F" w:rsidR="007C4C98" w:rsidRDefault="007C4C98" w:rsidP="007C4C98">
      <w:pPr>
        <w:pStyle w:val="NoSpacing"/>
        <w:rPr>
          <w:rFonts w:ascii="Arial Black" w:hAnsi="Arial Black"/>
          <w:sz w:val="28"/>
          <w:szCs w:val="28"/>
        </w:rPr>
      </w:pPr>
      <w:r>
        <w:rPr>
          <w:rFonts w:ascii="Arial Black" w:hAnsi="Arial Black"/>
          <w:sz w:val="28"/>
          <w:szCs w:val="28"/>
        </w:rPr>
        <w:t>6-16</w:t>
      </w:r>
      <w:r w:rsidR="002A0697">
        <w:rPr>
          <w:rFonts w:ascii="Arial Black" w:hAnsi="Arial Black"/>
          <w:sz w:val="28"/>
          <w:szCs w:val="28"/>
        </w:rPr>
        <w:t>3</w:t>
      </w:r>
    </w:p>
    <w:p w14:paraId="738552DA" w14:textId="77777777" w:rsidR="007C4C98" w:rsidRDefault="007C4C98" w:rsidP="00683497">
      <w:pPr>
        <w:pStyle w:val="NoSpacing"/>
        <w:rPr>
          <w:rFonts w:ascii="Arial Black" w:hAnsi="Arial Black"/>
          <w:sz w:val="28"/>
          <w:szCs w:val="28"/>
        </w:rPr>
      </w:pPr>
    </w:p>
    <w:p w14:paraId="3D8CC82F" w14:textId="77777777" w:rsidR="00B571BC" w:rsidRDefault="00B571BC" w:rsidP="00B571BC">
      <w:pPr>
        <w:rPr>
          <w:rFonts w:ascii="Arial Black" w:hAnsi="Arial Black"/>
          <w:bCs/>
          <w:sz w:val="28"/>
          <w:szCs w:val="28"/>
        </w:rPr>
      </w:pPr>
      <w:r>
        <w:rPr>
          <w:rFonts w:ascii="Arial Black" w:hAnsi="Arial Black"/>
          <w:sz w:val="28"/>
          <w:szCs w:val="28"/>
        </w:rPr>
        <w:t xml:space="preserve">MA: FF VOL. RESIGNED – </w:t>
      </w:r>
      <w:r>
        <w:rPr>
          <w:rFonts w:ascii="Arial Black" w:hAnsi="Arial Black"/>
          <w:bCs/>
          <w:sz w:val="28"/>
          <w:szCs w:val="28"/>
        </w:rPr>
        <w:t>NO RIGHT TO</w:t>
      </w:r>
      <w:r>
        <w:rPr>
          <w:rFonts w:ascii="Arial Black" w:hAnsi="Arial Black"/>
          <w:sz w:val="28"/>
          <w:szCs w:val="28"/>
        </w:rPr>
        <w:t xml:space="preserve"> GROUP HEALTH </w:t>
      </w:r>
    </w:p>
    <w:p w14:paraId="69953CAE" w14:textId="5CE898FA" w:rsidR="006325EF" w:rsidRPr="007A2A30" w:rsidRDefault="00B571BC" w:rsidP="00B571BC">
      <w:pPr>
        <w:pStyle w:val="NoSpacing"/>
        <w:rPr>
          <w:rFonts w:ascii="Times New Roman" w:hAnsi="Times New Roman"/>
          <w:sz w:val="24"/>
          <w:szCs w:val="24"/>
        </w:rPr>
      </w:pPr>
      <w:r w:rsidRPr="007A2A30">
        <w:rPr>
          <w:rFonts w:ascii="Times New Roman" w:hAnsi="Times New Roman"/>
          <w:sz w:val="24"/>
          <w:szCs w:val="24"/>
        </w:rPr>
        <w:t xml:space="preserve">On June 18, 2025, in </w:t>
      </w:r>
      <w:r w:rsidRPr="007A2A30">
        <w:rPr>
          <w:rFonts w:ascii="Times New Roman" w:hAnsi="Times New Roman"/>
          <w:sz w:val="24"/>
          <w:szCs w:val="24"/>
          <w:u w:val="single"/>
        </w:rPr>
        <w:t>Michael Cannata v. Town of Mashpee</w:t>
      </w:r>
      <w:r w:rsidRPr="007A2A30">
        <w:rPr>
          <w:rFonts w:ascii="Times New Roman" w:hAnsi="Times New Roman"/>
          <w:sz w:val="24"/>
          <w:szCs w:val="24"/>
        </w:rPr>
        <w:t xml:space="preserve">, the Supreme Judicial Court of Massachusetts, Barnstable held (7 to 0) that the trial court properly granted the Town’s motion to dismiss; the firefighter voluntarily resigned in 2004 after 10 years on the fire department and did not elect to continue paying for group health insurance.  When he reached age 55 in 2021, the Town had no legal obligation to allow him to enroll in the group </w:t>
      </w:r>
      <w:proofErr w:type="gramStart"/>
      <w:r w:rsidRPr="007A2A30">
        <w:rPr>
          <w:rFonts w:ascii="Times New Roman" w:hAnsi="Times New Roman"/>
          <w:sz w:val="24"/>
          <w:szCs w:val="24"/>
        </w:rPr>
        <w:t>plan, but</w:t>
      </w:r>
      <w:proofErr w:type="gramEnd"/>
      <w:r w:rsidRPr="007A2A30">
        <w:rPr>
          <w:rFonts w:ascii="Times New Roman" w:hAnsi="Times New Roman"/>
          <w:sz w:val="24"/>
          <w:szCs w:val="24"/>
        </w:rPr>
        <w:t xml:space="preserve"> could have done so.  THE COURT HELD: “We conclude that G. L. c. 32B, § 9, neither requires nor prohibits a municipality from enrolling individuals like Cannata. Accordingly, the third paragraph of the statute does not govern this case, and the judge erred in holding otherwise. Municipalities may -- but are not obligated to -- allow such individuals to enroll in group health insurance upon </w:t>
      </w:r>
      <w:proofErr w:type="gramStart"/>
      <w:r w:rsidRPr="007A2A30">
        <w:rPr>
          <w:rFonts w:ascii="Times New Roman" w:hAnsi="Times New Roman"/>
          <w:sz w:val="24"/>
          <w:szCs w:val="24"/>
        </w:rPr>
        <w:t>retirement.”</w:t>
      </w:r>
      <w:proofErr w:type="gramEnd"/>
      <w:r w:rsidRPr="007A2A30">
        <w:rPr>
          <w:rFonts w:ascii="Times New Roman" w:hAnsi="Times New Roman"/>
          <w:sz w:val="24"/>
          <w:szCs w:val="24"/>
        </w:rPr>
        <w:t xml:space="preserve">  </w:t>
      </w:r>
      <w:hyperlink r:id="rId1039" w:history="1">
        <w:r w:rsidRPr="007A2A30">
          <w:rPr>
            <w:rStyle w:val="Hyperlink"/>
            <w:rFonts w:ascii="Times New Roman" w:hAnsi="Times New Roman"/>
            <w:sz w:val="24"/>
            <w:szCs w:val="24"/>
          </w:rPr>
          <w:t>https://www.socialaw.com/services/slip-opinions/slip-opinion-details/michael-cannata-vs.-town-of-mashpee</w:t>
        </w:r>
      </w:hyperlink>
    </w:p>
    <w:p w14:paraId="7BB9C507" w14:textId="77777777" w:rsidR="007A2A30" w:rsidRDefault="007A2A30" w:rsidP="007A2A30">
      <w:pPr>
        <w:rPr>
          <w:rFonts w:ascii="Times New Roman" w:hAnsi="Times New Roman"/>
          <w:b/>
          <w:sz w:val="24"/>
          <w:szCs w:val="24"/>
        </w:rPr>
      </w:pPr>
    </w:p>
    <w:p w14:paraId="78A304E8" w14:textId="2D8C5586" w:rsidR="007A2A30" w:rsidRPr="007A2A30" w:rsidRDefault="007A2A30" w:rsidP="007A2A30">
      <w:pPr>
        <w:rPr>
          <w:rFonts w:ascii="Times New Roman" w:hAnsi="Times New Roman"/>
          <w:b/>
          <w:bCs/>
          <w:sz w:val="24"/>
          <w:szCs w:val="24"/>
        </w:rPr>
      </w:pPr>
      <w:r w:rsidRPr="007A2A30">
        <w:rPr>
          <w:rFonts w:ascii="Times New Roman" w:hAnsi="Times New Roman"/>
          <w:b/>
          <w:sz w:val="24"/>
          <w:szCs w:val="24"/>
        </w:rPr>
        <w:t xml:space="preserve">Legal lesson learned:  Prior to resigning or retiring, confirm with HR your rights to continued group health insurance. </w:t>
      </w:r>
    </w:p>
    <w:p w14:paraId="21028487" w14:textId="77777777" w:rsidR="007A2A30" w:rsidRDefault="007A2A30" w:rsidP="00B571BC">
      <w:pPr>
        <w:pStyle w:val="NoSpacing"/>
        <w:rPr>
          <w:rFonts w:ascii="Times New Roman" w:hAnsi="Times New Roman"/>
          <w:sz w:val="24"/>
          <w:szCs w:val="24"/>
        </w:rPr>
      </w:pPr>
    </w:p>
    <w:p w14:paraId="5AA4A549" w14:textId="77777777" w:rsidR="007C4C98" w:rsidRDefault="007C4C98" w:rsidP="007F03DE">
      <w:pPr>
        <w:rPr>
          <w:rFonts w:ascii="Arial Black" w:hAnsi="Arial Black"/>
          <w:b/>
          <w:sz w:val="28"/>
          <w:szCs w:val="28"/>
        </w:rPr>
      </w:pPr>
    </w:p>
    <w:p w14:paraId="6CD7A283" w14:textId="257BD3A0" w:rsidR="007C4C98" w:rsidRDefault="007C4C98" w:rsidP="007C4C98">
      <w:pPr>
        <w:pStyle w:val="NoSpacing"/>
        <w:rPr>
          <w:rFonts w:ascii="Arial Black" w:hAnsi="Arial Black"/>
          <w:sz w:val="28"/>
          <w:szCs w:val="28"/>
        </w:rPr>
      </w:pPr>
      <w:r>
        <w:rPr>
          <w:rFonts w:ascii="Arial Black" w:hAnsi="Arial Black"/>
          <w:sz w:val="28"/>
          <w:szCs w:val="28"/>
        </w:rPr>
        <w:t>6-16</w:t>
      </w:r>
      <w:r w:rsidR="002A0697">
        <w:rPr>
          <w:rFonts w:ascii="Arial Black" w:hAnsi="Arial Black"/>
          <w:sz w:val="28"/>
          <w:szCs w:val="28"/>
        </w:rPr>
        <w:t>2</w:t>
      </w:r>
    </w:p>
    <w:p w14:paraId="4ECEC13A" w14:textId="77777777" w:rsidR="007C4C98" w:rsidRDefault="007C4C98" w:rsidP="007F03DE">
      <w:pPr>
        <w:rPr>
          <w:rFonts w:ascii="Arial Black" w:hAnsi="Arial Black"/>
          <w:b/>
          <w:sz w:val="28"/>
          <w:szCs w:val="28"/>
        </w:rPr>
      </w:pPr>
    </w:p>
    <w:p w14:paraId="6F4F2639" w14:textId="7965BB48" w:rsidR="007F03DE" w:rsidRDefault="007F03DE" w:rsidP="007F03DE">
      <w:pPr>
        <w:rPr>
          <w:rFonts w:ascii="Arial Black" w:hAnsi="Arial Black"/>
          <w:b/>
          <w:sz w:val="28"/>
          <w:szCs w:val="28"/>
        </w:rPr>
      </w:pPr>
      <w:r>
        <w:rPr>
          <w:rFonts w:ascii="Arial Black" w:hAnsi="Arial Black"/>
          <w:b/>
          <w:sz w:val="28"/>
          <w:szCs w:val="28"/>
        </w:rPr>
        <w:t xml:space="preserve">NV: HEART - 8-YR AFTER RETIRED - TOTAL DISAB PENSION </w:t>
      </w:r>
    </w:p>
    <w:p w14:paraId="4A7A53D0" w14:textId="77777777" w:rsidR="007F03DE" w:rsidRPr="007C4C98" w:rsidRDefault="007F03DE" w:rsidP="007F03DE">
      <w:pPr>
        <w:pStyle w:val="NoSpacing"/>
        <w:rPr>
          <w:rFonts w:ascii="Times New Roman" w:hAnsi="Times New Roman"/>
          <w:sz w:val="24"/>
          <w:szCs w:val="24"/>
        </w:rPr>
      </w:pPr>
      <w:r w:rsidRPr="007C4C98">
        <w:rPr>
          <w:rFonts w:ascii="Times New Roman" w:hAnsi="Times New Roman"/>
          <w:sz w:val="24"/>
          <w:szCs w:val="24"/>
        </w:rPr>
        <w:t xml:space="preserve">On June 12, 2025, in </w:t>
      </w:r>
      <w:r w:rsidRPr="007C4C98">
        <w:rPr>
          <w:rFonts w:ascii="Times New Roman" w:hAnsi="Times New Roman"/>
          <w:sz w:val="24"/>
          <w:szCs w:val="24"/>
          <w:u w:val="single"/>
        </w:rPr>
        <w:t>City of Las Vegas and CCMSI v. Peggy Munson</w:t>
      </w:r>
      <w:r w:rsidRPr="007C4C98">
        <w:rPr>
          <w:rFonts w:ascii="Times New Roman" w:hAnsi="Times New Roman"/>
          <w:sz w:val="24"/>
          <w:szCs w:val="24"/>
        </w:rPr>
        <w:t xml:space="preserve">, the Court at Ms. Munson’s request published it prior unpublished order, granting her worker’s comp - permanent total disability – for disabling heart disease in 2021, eight years after retirement.  In 2015, the Nevada Legislature restricted heart benefits to cover only medical expenses, not wages, unless the firefighter had 20 years of service.  She met that requirement , having worked from November 1992 until February 2013, and is therefore entitled to 66 2/3 percent of the average monthly </w:t>
      </w:r>
      <w:proofErr w:type="gramStart"/>
      <w:r w:rsidRPr="007C4C98">
        <w:rPr>
          <w:rFonts w:ascii="Times New Roman" w:hAnsi="Times New Roman"/>
          <w:sz w:val="24"/>
          <w:szCs w:val="24"/>
        </w:rPr>
        <w:t>wage for wages</w:t>
      </w:r>
      <w:proofErr w:type="gramEnd"/>
      <w:r w:rsidRPr="007C4C98">
        <w:rPr>
          <w:rFonts w:ascii="Times New Roman" w:hAnsi="Times New Roman"/>
          <w:sz w:val="24"/>
          <w:szCs w:val="24"/>
        </w:rPr>
        <w:t xml:space="preserve"> earned in 2013.  THE COURT HELD: “Because section 6 of S.B. 153, as enacted, constitutes binding law, NRS 617.457(14) does not apply to Munson, and thus the statute did not preclude her from seeking permanent total disability benefits if she had ‘completed at least 20 years of creditable service’ as a firefighter at the time section 6 became effective in 2015, regardless of when she became disabled.” </w:t>
      </w:r>
    </w:p>
    <w:p w14:paraId="76CB4626" w14:textId="51EE3D2F" w:rsidR="007F03DE" w:rsidRPr="007C4C98" w:rsidRDefault="007F03DE" w:rsidP="007F03DE">
      <w:pPr>
        <w:pStyle w:val="NoSpacing"/>
        <w:rPr>
          <w:rFonts w:ascii="Times New Roman" w:hAnsi="Times New Roman"/>
          <w:sz w:val="24"/>
          <w:szCs w:val="24"/>
        </w:rPr>
      </w:pPr>
      <w:r w:rsidRPr="007C4C98">
        <w:rPr>
          <w:rFonts w:ascii="Times New Roman" w:hAnsi="Times New Roman"/>
          <w:sz w:val="24"/>
          <w:szCs w:val="24"/>
        </w:rPr>
        <w:t xml:space="preserve"> </w:t>
      </w:r>
      <w:hyperlink r:id="rId1040" w:history="1">
        <w:r w:rsidRPr="007C4C98">
          <w:rPr>
            <w:rStyle w:val="Hyperlink"/>
            <w:rFonts w:ascii="Times New Roman" w:hAnsi="Times New Roman"/>
            <w:sz w:val="24"/>
            <w:szCs w:val="24"/>
          </w:rPr>
          <w:t>file:///C:/Users/lawre/Downloads/25-26180-1.pdf</w:t>
        </w:r>
      </w:hyperlink>
    </w:p>
    <w:p w14:paraId="369813A7" w14:textId="77777777" w:rsidR="007C4C98" w:rsidRPr="007C4C98" w:rsidRDefault="007C4C98" w:rsidP="007F03DE">
      <w:pPr>
        <w:pStyle w:val="NoSpacing"/>
        <w:rPr>
          <w:rFonts w:ascii="Times New Roman" w:hAnsi="Times New Roman"/>
          <w:sz w:val="24"/>
          <w:szCs w:val="24"/>
        </w:rPr>
      </w:pPr>
    </w:p>
    <w:p w14:paraId="44FEE055" w14:textId="77777777" w:rsidR="007C4C98" w:rsidRPr="007C4C98" w:rsidRDefault="007C4C98" w:rsidP="007C4C98">
      <w:pPr>
        <w:pStyle w:val="NoSpacing"/>
        <w:rPr>
          <w:rFonts w:ascii="Times New Roman" w:hAnsi="Times New Roman"/>
          <w:b/>
          <w:sz w:val="24"/>
          <w:szCs w:val="24"/>
        </w:rPr>
      </w:pPr>
      <w:r w:rsidRPr="007C4C98">
        <w:rPr>
          <w:rFonts w:ascii="Times New Roman" w:hAnsi="Times New Roman"/>
          <w:b/>
          <w:sz w:val="24"/>
          <w:szCs w:val="24"/>
        </w:rPr>
        <w:t xml:space="preserve">Legal lesson learned: Very nice of the court to now publish their earlier unpublished decision in favor of this retiree. </w:t>
      </w:r>
    </w:p>
    <w:p w14:paraId="00F104E2" w14:textId="77777777" w:rsidR="007C4C98" w:rsidRPr="007C4C98" w:rsidRDefault="007C4C98" w:rsidP="007C4C98">
      <w:pPr>
        <w:pStyle w:val="NoSpacing"/>
        <w:ind w:left="720"/>
        <w:rPr>
          <w:rFonts w:ascii="Times New Roman" w:hAnsi="Times New Roman"/>
          <w:bCs/>
          <w:sz w:val="24"/>
          <w:szCs w:val="24"/>
        </w:rPr>
      </w:pPr>
    </w:p>
    <w:p w14:paraId="39550A13" w14:textId="77777777" w:rsidR="007C4C98" w:rsidRPr="007C4C98" w:rsidRDefault="007C4C98" w:rsidP="007C4C98">
      <w:pPr>
        <w:ind w:left="720"/>
        <w:rPr>
          <w:rFonts w:ascii="Times New Roman" w:hAnsi="Times New Roman"/>
          <w:bCs/>
          <w:sz w:val="24"/>
          <w:szCs w:val="24"/>
        </w:rPr>
      </w:pPr>
      <w:r w:rsidRPr="007C4C98">
        <w:rPr>
          <w:rFonts w:ascii="Times New Roman" w:hAnsi="Times New Roman"/>
          <w:sz w:val="24"/>
          <w:szCs w:val="24"/>
        </w:rPr>
        <w:t xml:space="preserve">Note: Section 6 of S.B. 153 provides: </w:t>
      </w:r>
      <w:hyperlink r:id="rId1041" w:history="1">
        <w:r w:rsidRPr="007C4C98">
          <w:rPr>
            <w:rStyle w:val="Hyperlink"/>
            <w:rFonts w:ascii="Times New Roman" w:hAnsi="Times New Roman"/>
            <w:sz w:val="24"/>
            <w:szCs w:val="24"/>
          </w:rPr>
          <w:t>https://www.leg.state.nv.us/App/NELIS/REL/82nd2023/Bill/9844/Overview</w:t>
        </w:r>
      </w:hyperlink>
      <w:r w:rsidRPr="007C4C98">
        <w:rPr>
          <w:rFonts w:ascii="Times New Roman" w:hAnsi="Times New Roman"/>
          <w:sz w:val="24"/>
          <w:szCs w:val="24"/>
        </w:rPr>
        <w:t xml:space="preserve">  </w:t>
      </w:r>
    </w:p>
    <w:p w14:paraId="0E7048AF" w14:textId="77777777" w:rsidR="007C4C98" w:rsidRPr="007C4C98" w:rsidRDefault="007C4C98" w:rsidP="007C4C98">
      <w:pPr>
        <w:pStyle w:val="NoSpacing"/>
        <w:ind w:left="720" w:firstLine="720"/>
        <w:rPr>
          <w:rFonts w:ascii="Times New Roman" w:hAnsi="Times New Roman"/>
          <w:bCs/>
          <w:sz w:val="24"/>
          <w:szCs w:val="24"/>
        </w:rPr>
      </w:pPr>
      <w:r w:rsidRPr="007C4C98">
        <w:rPr>
          <w:rFonts w:ascii="Times New Roman" w:hAnsi="Times New Roman"/>
          <w:sz w:val="24"/>
          <w:szCs w:val="24"/>
        </w:rPr>
        <w:t>The amendatory provisions of this act:</w:t>
      </w:r>
    </w:p>
    <w:p w14:paraId="04A10EFC" w14:textId="77777777" w:rsidR="007C4C98" w:rsidRPr="007C4C98" w:rsidRDefault="007C4C98" w:rsidP="007C4C98">
      <w:pPr>
        <w:pStyle w:val="NoSpacing"/>
        <w:ind w:left="720" w:firstLine="720"/>
        <w:rPr>
          <w:rFonts w:ascii="Times New Roman" w:hAnsi="Times New Roman"/>
          <w:bCs/>
          <w:sz w:val="24"/>
          <w:szCs w:val="24"/>
        </w:rPr>
      </w:pPr>
      <w:r w:rsidRPr="007C4C98">
        <w:rPr>
          <w:rFonts w:ascii="Times New Roman" w:hAnsi="Times New Roman"/>
          <w:sz w:val="24"/>
          <w:szCs w:val="24"/>
        </w:rPr>
        <w:t>1. Apply only to disablement which occurs on</w:t>
      </w:r>
    </w:p>
    <w:p w14:paraId="31C88FDF" w14:textId="77777777" w:rsidR="007C4C98" w:rsidRPr="007C4C98" w:rsidRDefault="007C4C98" w:rsidP="007C4C98">
      <w:pPr>
        <w:pStyle w:val="NoSpacing"/>
        <w:ind w:left="720" w:firstLine="720"/>
        <w:rPr>
          <w:rFonts w:ascii="Times New Roman" w:hAnsi="Times New Roman"/>
          <w:bCs/>
          <w:sz w:val="24"/>
          <w:szCs w:val="24"/>
        </w:rPr>
      </w:pPr>
      <w:r w:rsidRPr="007C4C98">
        <w:rPr>
          <w:rFonts w:ascii="Times New Roman" w:hAnsi="Times New Roman"/>
          <w:sz w:val="24"/>
          <w:szCs w:val="24"/>
        </w:rPr>
        <w:t>or after the effective date of this section; and</w:t>
      </w:r>
    </w:p>
    <w:p w14:paraId="76442BEF" w14:textId="77777777" w:rsidR="007C4C98" w:rsidRPr="007C4C98" w:rsidRDefault="007C4C98" w:rsidP="007C4C98">
      <w:pPr>
        <w:pStyle w:val="NoSpacing"/>
        <w:ind w:left="1440"/>
        <w:rPr>
          <w:rFonts w:ascii="Times New Roman" w:hAnsi="Times New Roman"/>
          <w:bCs/>
          <w:sz w:val="24"/>
          <w:szCs w:val="24"/>
        </w:rPr>
      </w:pPr>
      <w:r w:rsidRPr="007C4C98">
        <w:rPr>
          <w:rFonts w:ascii="Times New Roman" w:hAnsi="Times New Roman"/>
          <w:sz w:val="24"/>
          <w:szCs w:val="24"/>
        </w:rPr>
        <w:t xml:space="preserve">2. Do not apply to any person who, on the effective date </w:t>
      </w:r>
    </w:p>
    <w:p w14:paraId="30566C6E" w14:textId="77777777" w:rsidR="007C4C98" w:rsidRPr="007C4C98" w:rsidRDefault="007C4C98" w:rsidP="007C4C98">
      <w:pPr>
        <w:pStyle w:val="NoSpacing"/>
        <w:ind w:left="1440"/>
        <w:rPr>
          <w:rFonts w:ascii="Times New Roman" w:hAnsi="Times New Roman"/>
          <w:bCs/>
          <w:sz w:val="24"/>
          <w:szCs w:val="24"/>
        </w:rPr>
      </w:pPr>
      <w:r w:rsidRPr="007C4C98">
        <w:rPr>
          <w:rFonts w:ascii="Times New Roman" w:hAnsi="Times New Roman"/>
          <w:sz w:val="24"/>
          <w:szCs w:val="24"/>
        </w:rPr>
        <w:t xml:space="preserve">of this section, has completed at least 20 years of creditable </w:t>
      </w:r>
    </w:p>
    <w:p w14:paraId="7E8A947E" w14:textId="77777777" w:rsidR="007C4C98" w:rsidRPr="007C4C98" w:rsidRDefault="007C4C98" w:rsidP="007C4C98">
      <w:pPr>
        <w:pStyle w:val="NoSpacing"/>
        <w:ind w:left="1440"/>
        <w:rPr>
          <w:rFonts w:ascii="Times New Roman" w:hAnsi="Times New Roman"/>
          <w:bCs/>
          <w:sz w:val="24"/>
          <w:szCs w:val="24"/>
        </w:rPr>
      </w:pPr>
      <w:r w:rsidRPr="007C4C98">
        <w:rPr>
          <w:rFonts w:ascii="Times New Roman" w:hAnsi="Times New Roman"/>
          <w:sz w:val="24"/>
          <w:szCs w:val="24"/>
        </w:rPr>
        <w:t>service . . . as a . . firefighter . . . in this State.</w:t>
      </w:r>
    </w:p>
    <w:p w14:paraId="667F842F" w14:textId="77777777" w:rsidR="007C4C98" w:rsidRPr="007A2A30" w:rsidRDefault="007C4C98" w:rsidP="007F03DE">
      <w:pPr>
        <w:pStyle w:val="NoSpacing"/>
        <w:rPr>
          <w:rFonts w:ascii="Times New Roman" w:hAnsi="Times New Roman"/>
          <w:sz w:val="24"/>
          <w:szCs w:val="24"/>
        </w:rPr>
      </w:pPr>
    </w:p>
    <w:p w14:paraId="1987FA7D" w14:textId="77777777" w:rsidR="006325EF" w:rsidRDefault="006325EF" w:rsidP="00683497">
      <w:pPr>
        <w:pStyle w:val="NoSpacing"/>
        <w:rPr>
          <w:rFonts w:ascii="Arial Black" w:hAnsi="Arial Black"/>
          <w:sz w:val="28"/>
          <w:szCs w:val="28"/>
        </w:rPr>
      </w:pPr>
    </w:p>
    <w:p w14:paraId="07C213B1" w14:textId="77777777" w:rsidR="005263F1" w:rsidRDefault="005263F1" w:rsidP="00683497">
      <w:pPr>
        <w:pStyle w:val="NoSpacing"/>
        <w:rPr>
          <w:rFonts w:ascii="Arial Black" w:hAnsi="Arial Black"/>
          <w:sz w:val="28"/>
          <w:szCs w:val="28"/>
        </w:rPr>
      </w:pPr>
    </w:p>
    <w:p w14:paraId="60B11BA5" w14:textId="0CE63C41" w:rsidR="0090461E" w:rsidRDefault="0090461E" w:rsidP="00683497">
      <w:pPr>
        <w:pStyle w:val="NoSpacing"/>
        <w:rPr>
          <w:rFonts w:ascii="Arial Black" w:hAnsi="Arial Black"/>
          <w:sz w:val="28"/>
          <w:szCs w:val="28"/>
        </w:rPr>
      </w:pPr>
      <w:r>
        <w:rPr>
          <w:rFonts w:ascii="Arial Black" w:hAnsi="Arial Black"/>
          <w:sz w:val="28"/>
          <w:szCs w:val="28"/>
        </w:rPr>
        <w:t>6-16</w:t>
      </w:r>
      <w:r w:rsidR="002A0697">
        <w:rPr>
          <w:rFonts w:ascii="Arial Black" w:hAnsi="Arial Black"/>
          <w:sz w:val="28"/>
          <w:szCs w:val="28"/>
        </w:rPr>
        <w:t>1</w:t>
      </w:r>
    </w:p>
    <w:p w14:paraId="40676CCC" w14:textId="77777777" w:rsidR="0090461E" w:rsidRDefault="0090461E" w:rsidP="00683497">
      <w:pPr>
        <w:pStyle w:val="NoSpacing"/>
        <w:rPr>
          <w:rFonts w:ascii="Arial Black" w:hAnsi="Arial Black"/>
          <w:sz w:val="28"/>
          <w:szCs w:val="28"/>
        </w:rPr>
      </w:pPr>
    </w:p>
    <w:p w14:paraId="38FDD922" w14:textId="7CF4A11A" w:rsidR="00683497" w:rsidRDefault="00683497" w:rsidP="00683497">
      <w:pPr>
        <w:pStyle w:val="NoSpacing"/>
        <w:rPr>
          <w:rFonts w:ascii="Arial Black" w:hAnsi="Arial Black"/>
          <w:sz w:val="28"/>
          <w:szCs w:val="28"/>
        </w:rPr>
      </w:pPr>
      <w:r w:rsidRPr="006F2B87">
        <w:rPr>
          <w:rFonts w:ascii="Arial Black" w:hAnsi="Arial Black"/>
          <w:sz w:val="28"/>
          <w:szCs w:val="28"/>
        </w:rPr>
        <w:t>KY: MEDIC MVA - WORK COMP</w:t>
      </w:r>
      <w:r w:rsidR="00D116D3">
        <w:rPr>
          <w:rFonts w:ascii="Arial Black" w:hAnsi="Arial Black"/>
          <w:sz w:val="28"/>
          <w:szCs w:val="28"/>
        </w:rPr>
        <w:t xml:space="preserve"> / CAN ALSO SUE </w:t>
      </w:r>
      <w:r w:rsidRPr="006F2B87">
        <w:rPr>
          <w:rFonts w:ascii="Arial Black" w:hAnsi="Arial Black"/>
          <w:sz w:val="28"/>
          <w:szCs w:val="28"/>
        </w:rPr>
        <w:t>“UNINSURED MOTORIST”</w:t>
      </w:r>
    </w:p>
    <w:p w14:paraId="5DE86FA7" w14:textId="39103F0C" w:rsidR="00D116D3" w:rsidRPr="006F2B87" w:rsidRDefault="00D116D3" w:rsidP="00683497">
      <w:pPr>
        <w:pStyle w:val="NoSpacing"/>
        <w:rPr>
          <w:rFonts w:ascii="Arial Black" w:hAnsi="Arial Black"/>
          <w:sz w:val="28"/>
          <w:szCs w:val="28"/>
        </w:rPr>
      </w:pPr>
      <w:hyperlink r:id="rId1042" w:history="1">
        <w:r w:rsidRPr="00683497">
          <w:rPr>
            <w:rStyle w:val="Hyperlink"/>
            <w:rFonts w:ascii="Times New Roman" w:hAnsi="Times New Roman"/>
            <w:sz w:val="24"/>
            <w:szCs w:val="24"/>
          </w:rPr>
          <w:t>https://cases.justia.com/kentucky/court-of-appeals/2025-2024-ca-0152-mr.pdf?ts=1748009113</w:t>
        </w:r>
      </w:hyperlink>
    </w:p>
    <w:p w14:paraId="7D7FC876" w14:textId="77777777" w:rsidR="00683497" w:rsidRPr="006F2B87" w:rsidRDefault="00683497" w:rsidP="00683497">
      <w:pPr>
        <w:pStyle w:val="NoSpacing"/>
      </w:pPr>
    </w:p>
    <w:p w14:paraId="2A3A5247" w14:textId="77777777" w:rsidR="00683497" w:rsidRPr="00683497" w:rsidRDefault="00683497" w:rsidP="00683497">
      <w:pPr>
        <w:pStyle w:val="NoSpacing"/>
        <w:rPr>
          <w:rFonts w:ascii="Times New Roman" w:hAnsi="Times New Roman"/>
          <w:bCs/>
          <w:sz w:val="24"/>
          <w:szCs w:val="24"/>
        </w:rPr>
      </w:pPr>
      <w:r w:rsidRPr="00683497">
        <w:rPr>
          <w:rFonts w:ascii="Times New Roman" w:hAnsi="Times New Roman"/>
          <w:sz w:val="24"/>
          <w:szCs w:val="24"/>
        </w:rPr>
        <w:t xml:space="preserve">On May 25, 2025, in </w:t>
      </w:r>
      <w:r w:rsidRPr="00683497">
        <w:rPr>
          <w:rFonts w:ascii="Times New Roman" w:hAnsi="Times New Roman"/>
          <w:sz w:val="24"/>
          <w:szCs w:val="24"/>
          <w:u w:val="single"/>
        </w:rPr>
        <w:t xml:space="preserve">Scott Preston v. Nationwide Insurance Company and Kentucky Association of Counties </w:t>
      </w:r>
      <w:proofErr w:type="gramStart"/>
      <w:r w:rsidRPr="00683497">
        <w:rPr>
          <w:rFonts w:ascii="Times New Roman" w:hAnsi="Times New Roman"/>
          <w:sz w:val="24"/>
          <w:szCs w:val="24"/>
          <w:u w:val="single"/>
        </w:rPr>
        <w:t>And</w:t>
      </w:r>
      <w:proofErr w:type="gramEnd"/>
      <w:r w:rsidRPr="00683497">
        <w:rPr>
          <w:rFonts w:ascii="Times New Roman" w:hAnsi="Times New Roman"/>
          <w:sz w:val="24"/>
          <w:szCs w:val="24"/>
          <w:u w:val="single"/>
        </w:rPr>
        <w:t xml:space="preserve"> All Lines Fund</w:t>
      </w:r>
      <w:r w:rsidRPr="00683497">
        <w:rPr>
          <w:rFonts w:ascii="Times New Roman" w:hAnsi="Times New Roman"/>
          <w:sz w:val="24"/>
          <w:szCs w:val="24"/>
        </w:rPr>
        <w:t xml:space="preserve">, the Court of Appeals of Kentucky held (3 to 0) that trial court improperly dismissed Preston’s lawsuit against KALF’s, which has a $60,000 policy limit for uninsured motorist claims.  While Preston is covered by worker’s comp, he may pursue claims not covered by worker’s comp. </w:t>
      </w:r>
    </w:p>
    <w:p w14:paraId="1A732791" w14:textId="77777777" w:rsidR="00683497" w:rsidRPr="00683497" w:rsidRDefault="00683497" w:rsidP="00683497">
      <w:pPr>
        <w:pStyle w:val="NoSpacing"/>
        <w:rPr>
          <w:rFonts w:ascii="Times New Roman" w:hAnsi="Times New Roman"/>
          <w:bCs/>
          <w:sz w:val="24"/>
          <w:szCs w:val="24"/>
        </w:rPr>
      </w:pPr>
    </w:p>
    <w:p w14:paraId="4EC19AE0" w14:textId="77777777" w:rsidR="00683497" w:rsidRPr="00683497" w:rsidRDefault="00683497" w:rsidP="00683497">
      <w:pPr>
        <w:pStyle w:val="NoSpacing"/>
        <w:rPr>
          <w:rFonts w:ascii="Times New Roman" w:hAnsi="Times New Roman"/>
          <w:bCs/>
          <w:sz w:val="24"/>
          <w:szCs w:val="24"/>
        </w:rPr>
      </w:pPr>
      <w:r w:rsidRPr="00683497">
        <w:rPr>
          <w:rFonts w:ascii="Times New Roman" w:hAnsi="Times New Roman"/>
          <w:sz w:val="24"/>
          <w:szCs w:val="24"/>
        </w:rPr>
        <w:t xml:space="preserve">The Court wrote: “However, any jury award for lost wages and permanent impairment not duplicated by the workers’ compensation award would be recoverable by Preston under KALF’s UIM policy, as would any award for pain and suffering, as it is not an item of damages covered by workers’ compensation.” </w:t>
      </w:r>
      <w:hyperlink r:id="rId1043" w:history="1">
        <w:r w:rsidRPr="00683497">
          <w:rPr>
            <w:rStyle w:val="Hyperlink"/>
            <w:rFonts w:ascii="Times New Roman" w:hAnsi="Times New Roman"/>
            <w:sz w:val="24"/>
            <w:szCs w:val="24"/>
          </w:rPr>
          <w:t>https://cases.justia.com/kentucky/court-of-appeals/2025-2024-ca-0152-mr.pdf?ts=1748009113</w:t>
        </w:r>
      </w:hyperlink>
      <w:r w:rsidRPr="00683497">
        <w:rPr>
          <w:rFonts w:ascii="Times New Roman" w:hAnsi="Times New Roman"/>
          <w:sz w:val="24"/>
          <w:szCs w:val="24"/>
        </w:rPr>
        <w:t xml:space="preserve"> </w:t>
      </w:r>
    </w:p>
    <w:p w14:paraId="125999A8" w14:textId="77777777" w:rsidR="00575946" w:rsidRDefault="00575946" w:rsidP="00575946">
      <w:pPr>
        <w:pStyle w:val="NoSpacing"/>
        <w:rPr>
          <w:rFonts w:ascii="Times New Roman" w:hAnsi="Times New Roman"/>
          <w:b/>
          <w:sz w:val="24"/>
          <w:szCs w:val="24"/>
        </w:rPr>
      </w:pPr>
    </w:p>
    <w:p w14:paraId="706F4653" w14:textId="198B5C1E" w:rsidR="00575946" w:rsidRDefault="00575946" w:rsidP="00575946">
      <w:pPr>
        <w:pStyle w:val="NoSpacing"/>
        <w:rPr>
          <w:rFonts w:ascii="Times New Roman" w:hAnsi="Times New Roman"/>
          <w:b/>
          <w:sz w:val="24"/>
          <w:szCs w:val="24"/>
        </w:rPr>
      </w:pPr>
      <w:r w:rsidRPr="00575946">
        <w:rPr>
          <w:rFonts w:ascii="Times New Roman" w:hAnsi="Times New Roman"/>
          <w:b/>
          <w:sz w:val="24"/>
          <w:szCs w:val="24"/>
        </w:rPr>
        <w:t xml:space="preserve">Legal Lesson Learned: The pension plan was </w:t>
      </w:r>
      <w:proofErr w:type="gramStart"/>
      <w:r w:rsidRPr="00575946">
        <w:rPr>
          <w:rFonts w:ascii="Times New Roman" w:hAnsi="Times New Roman"/>
          <w:b/>
          <w:sz w:val="24"/>
          <w:szCs w:val="24"/>
        </w:rPr>
        <w:t>clear,</w:t>
      </w:r>
      <w:proofErr w:type="gramEnd"/>
      <w:r w:rsidRPr="00575946">
        <w:rPr>
          <w:rFonts w:ascii="Times New Roman" w:hAnsi="Times New Roman"/>
          <w:b/>
          <w:sz w:val="24"/>
          <w:szCs w:val="24"/>
        </w:rPr>
        <w:t xml:space="preserve"> three physicians must certify total disability. </w:t>
      </w:r>
    </w:p>
    <w:p w14:paraId="53C57AC5" w14:textId="77777777" w:rsidR="006E00CC" w:rsidRDefault="006E00CC" w:rsidP="00575946">
      <w:pPr>
        <w:pStyle w:val="NoSpacing"/>
        <w:rPr>
          <w:rFonts w:ascii="Times New Roman" w:hAnsi="Times New Roman"/>
          <w:b/>
          <w:sz w:val="24"/>
          <w:szCs w:val="24"/>
        </w:rPr>
      </w:pPr>
    </w:p>
    <w:p w14:paraId="181DB2A7" w14:textId="77777777" w:rsidR="006E00CC" w:rsidRDefault="006E00CC" w:rsidP="00575946">
      <w:pPr>
        <w:pStyle w:val="NoSpacing"/>
        <w:rPr>
          <w:rFonts w:ascii="Times New Roman" w:hAnsi="Times New Roman"/>
          <w:b/>
          <w:sz w:val="24"/>
          <w:szCs w:val="24"/>
        </w:rPr>
      </w:pPr>
    </w:p>
    <w:p w14:paraId="3D4E37E5" w14:textId="77777777" w:rsidR="006E00CC" w:rsidRDefault="006E00CC" w:rsidP="00575946">
      <w:pPr>
        <w:pStyle w:val="NoSpacing"/>
        <w:rPr>
          <w:rFonts w:ascii="Times New Roman" w:hAnsi="Times New Roman"/>
          <w:b/>
          <w:sz w:val="24"/>
          <w:szCs w:val="24"/>
        </w:rPr>
      </w:pPr>
    </w:p>
    <w:p w14:paraId="27539B55" w14:textId="77777777" w:rsidR="00C74618" w:rsidRDefault="00C74618" w:rsidP="00575946">
      <w:pPr>
        <w:pStyle w:val="NoSpacing"/>
        <w:rPr>
          <w:rFonts w:ascii="Times New Roman" w:hAnsi="Times New Roman"/>
          <w:b/>
          <w:bCs/>
          <w:sz w:val="24"/>
          <w:szCs w:val="24"/>
        </w:rPr>
      </w:pPr>
    </w:p>
    <w:p w14:paraId="2907EC9C" w14:textId="2D39DC69" w:rsidR="0090461E" w:rsidRDefault="0090461E" w:rsidP="00411F2A">
      <w:pPr>
        <w:pStyle w:val="NoSpacing"/>
        <w:rPr>
          <w:rFonts w:ascii="Arial Black" w:hAnsi="Arial Black"/>
          <w:sz w:val="28"/>
          <w:szCs w:val="28"/>
        </w:rPr>
      </w:pPr>
      <w:r>
        <w:rPr>
          <w:rFonts w:ascii="Arial Black" w:hAnsi="Arial Black"/>
          <w:sz w:val="28"/>
          <w:szCs w:val="28"/>
        </w:rPr>
        <w:t>6-1</w:t>
      </w:r>
      <w:r w:rsidR="002A0697">
        <w:rPr>
          <w:rFonts w:ascii="Arial Black" w:hAnsi="Arial Black"/>
          <w:sz w:val="28"/>
          <w:szCs w:val="28"/>
        </w:rPr>
        <w:t>60</w:t>
      </w:r>
    </w:p>
    <w:p w14:paraId="78E758F6" w14:textId="77777777" w:rsidR="0090461E" w:rsidRDefault="0090461E" w:rsidP="00411F2A">
      <w:pPr>
        <w:pStyle w:val="NoSpacing"/>
        <w:rPr>
          <w:rFonts w:ascii="Arial Black" w:hAnsi="Arial Black"/>
          <w:sz w:val="28"/>
          <w:szCs w:val="28"/>
        </w:rPr>
      </w:pPr>
    </w:p>
    <w:p w14:paraId="7F7C32D9" w14:textId="300CDF82" w:rsidR="00411F2A" w:rsidRPr="006F2B87" w:rsidRDefault="00411F2A" w:rsidP="00411F2A">
      <w:pPr>
        <w:pStyle w:val="NoSpacing"/>
        <w:rPr>
          <w:rFonts w:ascii="Arial Black" w:hAnsi="Arial Black"/>
          <w:sz w:val="28"/>
          <w:szCs w:val="28"/>
        </w:rPr>
      </w:pPr>
      <w:r w:rsidRPr="006F2B87">
        <w:rPr>
          <w:rFonts w:ascii="Arial Black" w:hAnsi="Arial Black"/>
          <w:sz w:val="28"/>
          <w:szCs w:val="28"/>
        </w:rPr>
        <w:t>CT: DISAB. PENSION FOR HEARING LOSS DENIED – 3 MDs</w:t>
      </w:r>
    </w:p>
    <w:p w14:paraId="5AB7B27B" w14:textId="77777777" w:rsidR="00411F2A" w:rsidRPr="006F2B87" w:rsidRDefault="00411F2A" w:rsidP="00411F2A">
      <w:pPr>
        <w:pStyle w:val="NoSpacing"/>
      </w:pPr>
    </w:p>
    <w:p w14:paraId="5446F811" w14:textId="77777777" w:rsidR="00411F2A" w:rsidRPr="00411F2A" w:rsidRDefault="00411F2A" w:rsidP="00411F2A">
      <w:pPr>
        <w:pStyle w:val="NoSpacing"/>
        <w:rPr>
          <w:rFonts w:ascii="Times New Roman" w:hAnsi="Times New Roman"/>
          <w:bCs/>
          <w:sz w:val="24"/>
          <w:szCs w:val="24"/>
        </w:rPr>
      </w:pPr>
      <w:r w:rsidRPr="00411F2A">
        <w:rPr>
          <w:rFonts w:ascii="Times New Roman" w:hAnsi="Times New Roman"/>
          <w:sz w:val="24"/>
          <w:szCs w:val="24"/>
        </w:rPr>
        <w:t xml:space="preserve">On May 15, 2025, in </w:t>
      </w:r>
      <w:r w:rsidRPr="00411F2A">
        <w:rPr>
          <w:rFonts w:ascii="Times New Roman" w:hAnsi="Times New Roman"/>
          <w:sz w:val="24"/>
          <w:szCs w:val="24"/>
          <w:u w:val="single"/>
        </w:rPr>
        <w:t>Kenneth Lombardi v. Town of Westport</w:t>
      </w:r>
      <w:r w:rsidRPr="00411F2A">
        <w:rPr>
          <w:rFonts w:ascii="Times New Roman" w:hAnsi="Times New Roman"/>
          <w:sz w:val="24"/>
          <w:szCs w:val="24"/>
        </w:rPr>
        <w:t xml:space="preserve">, the Court of Appeals of Connecticut held (3 to 0) that the Pension Board properly denied the firefighter a disability pension; he retired June 1, </w:t>
      </w:r>
      <w:proofErr w:type="gramStart"/>
      <w:r w:rsidRPr="00411F2A">
        <w:rPr>
          <w:rFonts w:ascii="Times New Roman" w:hAnsi="Times New Roman"/>
          <w:sz w:val="24"/>
          <w:szCs w:val="24"/>
        </w:rPr>
        <w:t>2017</w:t>
      </w:r>
      <w:proofErr w:type="gramEnd"/>
      <w:r w:rsidRPr="00411F2A">
        <w:rPr>
          <w:rFonts w:ascii="Times New Roman" w:hAnsi="Times New Roman"/>
          <w:sz w:val="24"/>
          <w:szCs w:val="24"/>
        </w:rPr>
        <w:t xml:space="preserve"> and claimed an on-the-job ear injury in 2004 entitled him to disability pension.  The pension plan required three (3) physicians to certify total disability, and the third doctor found he could still perform 90% of his job.  </w:t>
      </w:r>
    </w:p>
    <w:p w14:paraId="41A786C8" w14:textId="77777777" w:rsidR="00411F2A" w:rsidRPr="00411F2A" w:rsidRDefault="00411F2A" w:rsidP="00411F2A">
      <w:pPr>
        <w:pStyle w:val="NoSpacing"/>
        <w:rPr>
          <w:rFonts w:ascii="Times New Roman" w:hAnsi="Times New Roman"/>
          <w:bCs/>
          <w:sz w:val="24"/>
          <w:szCs w:val="24"/>
        </w:rPr>
      </w:pPr>
    </w:p>
    <w:p w14:paraId="52EA81FE" w14:textId="77777777" w:rsidR="00411F2A" w:rsidRPr="00411F2A" w:rsidRDefault="00411F2A" w:rsidP="00411F2A">
      <w:pPr>
        <w:pStyle w:val="NoSpacing"/>
        <w:rPr>
          <w:rFonts w:ascii="Times New Roman" w:hAnsi="Times New Roman"/>
          <w:bCs/>
          <w:sz w:val="24"/>
          <w:szCs w:val="24"/>
        </w:rPr>
      </w:pPr>
      <w:r w:rsidRPr="00411F2A">
        <w:rPr>
          <w:rFonts w:ascii="Times New Roman" w:hAnsi="Times New Roman"/>
          <w:sz w:val="24"/>
          <w:szCs w:val="24"/>
        </w:rPr>
        <w:t xml:space="preserve">The Court wrote: “To aid in its determination of whether the plaintiff qualified for a disability retirement pension, the board accepted and considered medical evaluations from two physicians selected by the plaintiff, who opined that the plaintiff ‘’suffered from permanent hearing disabilities rendering him unfit for duty as a fire-fighter.’’ In addition, the board referred the plaintiff to Craig Hecht, a physician, for an independent examination. ‘’Hecht’s findings were consistent with the conclusions of [the other two physicians], except [for] Hecht’s conclusion that the plaintiff could perform ‘90 percent of his job responsibilities’ . . . . In </w:t>
      </w:r>
      <w:proofErr w:type="gramStart"/>
      <w:r w:rsidRPr="00411F2A">
        <w:rPr>
          <w:rFonts w:ascii="Times New Roman" w:hAnsi="Times New Roman"/>
          <w:sz w:val="24"/>
          <w:szCs w:val="24"/>
        </w:rPr>
        <w:t>December,</w:t>
      </w:r>
      <w:proofErr w:type="gramEnd"/>
      <w:r w:rsidRPr="00411F2A">
        <w:rPr>
          <w:rFonts w:ascii="Times New Roman" w:hAnsi="Times New Roman"/>
          <w:sz w:val="24"/>
          <w:szCs w:val="24"/>
        </w:rPr>
        <w:t xml:space="preserve"> 2017, the board denied the plaintiff’s request for a disability retirement pension. *** Accordingly, there exists no genuine issue of material fact that the plaintiff was not entitled to a disability retirement pension on the basis that he did not have certifications from at least three physicians.”  </w:t>
      </w:r>
      <w:hyperlink r:id="rId1044" w:history="1">
        <w:r w:rsidRPr="00411F2A">
          <w:rPr>
            <w:rStyle w:val="Hyperlink"/>
            <w:rFonts w:ascii="Times New Roman" w:hAnsi="Times New Roman"/>
            <w:sz w:val="24"/>
            <w:szCs w:val="24"/>
          </w:rPr>
          <w:t>https://www.jud.ct.gov/external/supapp/Cases/AROap/AP232/AP232.214.pdf</w:t>
        </w:r>
      </w:hyperlink>
      <w:r w:rsidRPr="00411F2A">
        <w:rPr>
          <w:rFonts w:ascii="Times New Roman" w:hAnsi="Times New Roman"/>
          <w:sz w:val="24"/>
          <w:szCs w:val="24"/>
        </w:rPr>
        <w:t xml:space="preserve"> </w:t>
      </w:r>
    </w:p>
    <w:p w14:paraId="5B8DF7FB" w14:textId="77777777" w:rsidR="00575946" w:rsidRPr="00411F2A" w:rsidRDefault="00575946" w:rsidP="00EF1133">
      <w:pPr>
        <w:rPr>
          <w:rFonts w:ascii="Times New Roman" w:hAnsi="Times New Roman"/>
          <w:b/>
          <w:sz w:val="24"/>
          <w:szCs w:val="24"/>
        </w:rPr>
      </w:pPr>
    </w:p>
    <w:p w14:paraId="2341891A" w14:textId="77777777" w:rsidR="0010642B" w:rsidRPr="006F2B87" w:rsidRDefault="0010642B" w:rsidP="0010642B">
      <w:pPr>
        <w:pStyle w:val="NoSpacing"/>
        <w:rPr>
          <w:b/>
          <w:bCs/>
        </w:rPr>
      </w:pPr>
      <w:r w:rsidRPr="0010642B">
        <w:rPr>
          <w:rFonts w:ascii="Times New Roman" w:hAnsi="Times New Roman"/>
          <w:b/>
          <w:sz w:val="24"/>
          <w:szCs w:val="24"/>
        </w:rPr>
        <w:t>Legal Lesson Learned: The pension plan was clear</w:t>
      </w:r>
      <w:r w:rsidRPr="0010642B">
        <w:rPr>
          <w:rFonts w:ascii="Times New Roman" w:hAnsi="Times New Roman"/>
          <w:b/>
          <w:bCs/>
          <w:sz w:val="24"/>
          <w:szCs w:val="24"/>
        </w:rPr>
        <w:t xml:space="preserve">; </w:t>
      </w:r>
      <w:r w:rsidRPr="0010642B">
        <w:rPr>
          <w:rFonts w:ascii="Times New Roman" w:hAnsi="Times New Roman"/>
          <w:b/>
          <w:sz w:val="24"/>
          <w:szCs w:val="24"/>
        </w:rPr>
        <w:t xml:space="preserve"> three physicians must certify total disability</w:t>
      </w:r>
      <w:r w:rsidRPr="006F2B87">
        <w:rPr>
          <w:b/>
        </w:rPr>
        <w:t xml:space="preserve">. </w:t>
      </w:r>
    </w:p>
    <w:p w14:paraId="2A04E333" w14:textId="77777777" w:rsidR="00744788" w:rsidRDefault="00744788" w:rsidP="00EF1133">
      <w:pPr>
        <w:rPr>
          <w:rFonts w:ascii="Arial Black" w:hAnsi="Arial Black"/>
          <w:b/>
          <w:sz w:val="24"/>
          <w:szCs w:val="24"/>
        </w:rPr>
      </w:pPr>
    </w:p>
    <w:p w14:paraId="29CA7718" w14:textId="302C12D0" w:rsidR="00F0728A" w:rsidRDefault="0090461E" w:rsidP="00EF1133">
      <w:pPr>
        <w:rPr>
          <w:rFonts w:ascii="Arial Black" w:hAnsi="Arial Black"/>
          <w:b/>
          <w:sz w:val="24"/>
          <w:szCs w:val="24"/>
        </w:rPr>
      </w:pPr>
      <w:r>
        <w:rPr>
          <w:rFonts w:ascii="Arial Black" w:hAnsi="Arial Black"/>
          <w:b/>
          <w:sz w:val="24"/>
          <w:szCs w:val="24"/>
        </w:rPr>
        <w:t>6-15</w:t>
      </w:r>
      <w:r w:rsidR="002A0697">
        <w:rPr>
          <w:rFonts w:ascii="Arial Black" w:hAnsi="Arial Black"/>
          <w:b/>
          <w:sz w:val="24"/>
          <w:szCs w:val="24"/>
        </w:rPr>
        <w:t>9</w:t>
      </w:r>
    </w:p>
    <w:p w14:paraId="36166260" w14:textId="77777777" w:rsidR="00F0728A" w:rsidRPr="006F2B87" w:rsidRDefault="00F0728A" w:rsidP="00F0728A">
      <w:pPr>
        <w:pStyle w:val="NoSpacing"/>
        <w:rPr>
          <w:rFonts w:ascii="Arial Black" w:hAnsi="Arial Black"/>
          <w:bCs/>
          <w:sz w:val="28"/>
          <w:szCs w:val="28"/>
        </w:rPr>
      </w:pPr>
      <w:r w:rsidRPr="006F2B87">
        <w:rPr>
          <w:rFonts w:ascii="Arial Black" w:hAnsi="Arial Black"/>
          <w:sz w:val="28"/>
          <w:szCs w:val="28"/>
        </w:rPr>
        <w:t xml:space="preserve">LA:  CAPT DIED FLU / MRSA – </w:t>
      </w:r>
      <w:r>
        <w:rPr>
          <w:rFonts w:ascii="Arial Black" w:hAnsi="Arial Black"/>
          <w:sz w:val="28"/>
          <w:szCs w:val="28"/>
        </w:rPr>
        <w:t xml:space="preserve">STATUTORY PRESUMPTION </w:t>
      </w:r>
    </w:p>
    <w:p w14:paraId="13C8DF69" w14:textId="77777777" w:rsidR="00F0728A" w:rsidRDefault="00F0728A" w:rsidP="00F0728A">
      <w:pPr>
        <w:pStyle w:val="NoSpacing"/>
      </w:pPr>
    </w:p>
    <w:p w14:paraId="2776D5F0" w14:textId="77777777" w:rsidR="00693E53" w:rsidRDefault="00F0728A" w:rsidP="00693E53">
      <w:pPr>
        <w:rPr>
          <w:rFonts w:ascii="Times New Roman" w:hAnsi="Times New Roman"/>
          <w:sz w:val="24"/>
          <w:szCs w:val="24"/>
        </w:rPr>
      </w:pPr>
      <w:r w:rsidRPr="00F0728A">
        <w:rPr>
          <w:rFonts w:ascii="Times New Roman" w:hAnsi="Times New Roman"/>
          <w:sz w:val="24"/>
          <w:szCs w:val="24"/>
        </w:rPr>
        <w:t xml:space="preserve">On May 6, 2025, in </w:t>
      </w:r>
      <w:r w:rsidRPr="00F0728A">
        <w:rPr>
          <w:rFonts w:ascii="Times New Roman" w:hAnsi="Times New Roman"/>
          <w:sz w:val="24"/>
          <w:szCs w:val="24"/>
          <w:u w:val="single"/>
        </w:rPr>
        <w:t>Roy D. Magee (deceased) / Wallace Magee and Clara Caston Filey v. City of New Orlean Fire Department</w:t>
      </w:r>
      <w:r w:rsidRPr="00F0728A">
        <w:rPr>
          <w:rFonts w:ascii="Times New Roman" w:hAnsi="Times New Roman"/>
          <w:sz w:val="24"/>
          <w:szCs w:val="24"/>
        </w:rPr>
        <w:t xml:space="preserve">, the Court of Appeals of Louisiana, Fourth Circuit held (3 to 0) that the Office of Workers’ Compensation properly found that the firefighter, who died from influenza A and MRSA pneumonia (methicillin-resistant staphylococcus aureus), was covered by the Firefighter's Heart and Lung Act, and his father and mother each can receive $75,000, and medical and funeral expenses (but not attorney fees).   </w:t>
      </w:r>
      <w:hyperlink r:id="rId1045" w:history="1">
        <w:r w:rsidR="00693E53" w:rsidRPr="00F0728A">
          <w:rPr>
            <w:rStyle w:val="Hyperlink"/>
            <w:rFonts w:ascii="Times New Roman" w:hAnsi="Times New Roman"/>
            <w:sz w:val="24"/>
            <w:szCs w:val="24"/>
          </w:rPr>
          <w:t>https://cases.justia.com/louisiana/fourth-circuit-court-of-appeal/2025-2024-ca-0747.pdf?ts=1746576943</w:t>
        </w:r>
      </w:hyperlink>
    </w:p>
    <w:p w14:paraId="1C2F6D27" w14:textId="14FA2FDB" w:rsidR="00F0728A" w:rsidRPr="00F0728A" w:rsidRDefault="00F0728A" w:rsidP="00F0728A">
      <w:pPr>
        <w:pStyle w:val="NoSpacing"/>
        <w:rPr>
          <w:rFonts w:ascii="Times New Roman" w:hAnsi="Times New Roman"/>
          <w:bCs/>
          <w:sz w:val="24"/>
          <w:szCs w:val="24"/>
        </w:rPr>
      </w:pPr>
    </w:p>
    <w:p w14:paraId="627B38DF" w14:textId="77777777" w:rsidR="00F0728A" w:rsidRPr="00F0728A" w:rsidRDefault="00F0728A" w:rsidP="00F0728A">
      <w:pPr>
        <w:pStyle w:val="NoSpacing"/>
        <w:rPr>
          <w:rFonts w:ascii="Times New Roman" w:hAnsi="Times New Roman"/>
          <w:bCs/>
          <w:sz w:val="24"/>
          <w:szCs w:val="24"/>
        </w:rPr>
      </w:pPr>
    </w:p>
    <w:p w14:paraId="5A70B167" w14:textId="2C41BCB2" w:rsidR="00F0728A" w:rsidRDefault="00F0728A" w:rsidP="00F0728A">
      <w:pPr>
        <w:rPr>
          <w:rFonts w:ascii="Times New Roman" w:hAnsi="Times New Roman"/>
          <w:sz w:val="24"/>
          <w:szCs w:val="24"/>
        </w:rPr>
      </w:pPr>
      <w:r w:rsidRPr="00F0728A">
        <w:rPr>
          <w:rFonts w:ascii="Times New Roman" w:hAnsi="Times New Roman"/>
          <w:sz w:val="24"/>
          <w:szCs w:val="24"/>
        </w:rPr>
        <w:t xml:space="preserve">The Court wrote:  “In October 2014, Captain Troy Magee (‘Captain Magee’), who had been employed as a Hazmat firefighter with the NOFD for 13 years, was in New Mexico attending a week-long firefighter training course. On the final day of training, he became extremely ill and had to be transported by ambulance to the hospital. His medical condition worsened and required a helicopter transfer to another hospital's intensive care unit. Captain Magee was diagnosed with acute respiratory distress and multifocal pneumonia. He remained in intensive care for four days and later died on October 27, 2014. Dr. Keith Hutchinson (‘Dr. Hutchinson’), the critical care physician who treated Captain Magee, was present when he died and completed the discharge summary. Dr. Hutchinson listed the cause of death as ‘acute respiratory distress syndrome, secondary to influenza A, and H3/MRSA pneumonia.’ ***  The Firefighter's Heart and Lung Act ("Act"), set forth in La. R.S. 33:2581, states: "Any disease or infirmity of the heart and lungs which develops during a period of employment in the classified fire service of Louisiana shall be classified as a disease or infirmity connected with employment.”  </w:t>
      </w:r>
      <w:hyperlink r:id="rId1046" w:history="1">
        <w:r w:rsidRPr="00F0728A">
          <w:rPr>
            <w:rStyle w:val="Hyperlink"/>
            <w:rFonts w:ascii="Times New Roman" w:hAnsi="Times New Roman"/>
            <w:sz w:val="24"/>
            <w:szCs w:val="24"/>
          </w:rPr>
          <w:t>https://cases.justia.com/louisiana/fourth-circuit-court-of-appeal/2025-2024-ca-0747.pdf?ts=1746576943</w:t>
        </w:r>
      </w:hyperlink>
    </w:p>
    <w:p w14:paraId="5085F9DC" w14:textId="77777777" w:rsidR="00A0378C" w:rsidRPr="00A0378C" w:rsidRDefault="00A0378C" w:rsidP="00A0378C">
      <w:pPr>
        <w:pStyle w:val="NoSpacing"/>
        <w:rPr>
          <w:rFonts w:ascii="Times New Roman" w:hAnsi="Times New Roman"/>
          <w:b/>
          <w:bCs/>
          <w:sz w:val="24"/>
          <w:szCs w:val="24"/>
        </w:rPr>
      </w:pPr>
      <w:r w:rsidRPr="00A0378C">
        <w:rPr>
          <w:rFonts w:ascii="Times New Roman" w:hAnsi="Times New Roman"/>
          <w:b/>
          <w:sz w:val="24"/>
          <w:szCs w:val="24"/>
        </w:rPr>
        <w:t xml:space="preserve">Legal Lesson Learned: The statutory presumption in the Firefighter's Heart and Lung Act is very broad. </w:t>
      </w:r>
    </w:p>
    <w:p w14:paraId="3ECF5154" w14:textId="77777777" w:rsidR="00A0378C" w:rsidRPr="00A0378C" w:rsidRDefault="00A0378C" w:rsidP="00A0378C">
      <w:pPr>
        <w:pStyle w:val="NoSpacing"/>
        <w:rPr>
          <w:rFonts w:ascii="Times New Roman" w:hAnsi="Times New Roman"/>
          <w:b/>
          <w:bCs/>
          <w:sz w:val="24"/>
          <w:szCs w:val="24"/>
        </w:rPr>
      </w:pPr>
    </w:p>
    <w:p w14:paraId="57EA3F29" w14:textId="77777777" w:rsidR="00A0378C" w:rsidRDefault="00A0378C" w:rsidP="00F0728A">
      <w:pPr>
        <w:rPr>
          <w:rFonts w:ascii="Times New Roman" w:hAnsi="Times New Roman"/>
          <w:b/>
          <w:sz w:val="24"/>
          <w:szCs w:val="24"/>
        </w:rPr>
      </w:pPr>
    </w:p>
    <w:p w14:paraId="7B5156A7" w14:textId="77777777" w:rsidR="002F63E3" w:rsidRDefault="002F63E3" w:rsidP="00F0728A">
      <w:pPr>
        <w:rPr>
          <w:rFonts w:ascii="Times New Roman" w:hAnsi="Times New Roman"/>
          <w:b/>
          <w:sz w:val="24"/>
          <w:szCs w:val="24"/>
        </w:rPr>
      </w:pPr>
    </w:p>
    <w:p w14:paraId="6E9A77C3" w14:textId="77777777" w:rsidR="00744788" w:rsidRDefault="00744788" w:rsidP="00EF1133">
      <w:pPr>
        <w:rPr>
          <w:rFonts w:ascii="Arial Black" w:hAnsi="Arial Black"/>
          <w:b/>
          <w:sz w:val="24"/>
          <w:szCs w:val="24"/>
        </w:rPr>
      </w:pPr>
    </w:p>
    <w:p w14:paraId="70951456" w14:textId="5DC5491B" w:rsidR="00CB79E4" w:rsidRDefault="00CB79E4" w:rsidP="00EF1133">
      <w:pPr>
        <w:rPr>
          <w:rFonts w:ascii="Arial Black" w:hAnsi="Arial Black"/>
          <w:b/>
          <w:sz w:val="24"/>
          <w:szCs w:val="24"/>
        </w:rPr>
      </w:pPr>
      <w:r>
        <w:rPr>
          <w:rFonts w:ascii="Arial Black" w:hAnsi="Arial Black"/>
          <w:b/>
          <w:sz w:val="24"/>
          <w:szCs w:val="24"/>
        </w:rPr>
        <w:t>6-15</w:t>
      </w:r>
      <w:r w:rsidR="002A0697">
        <w:rPr>
          <w:rFonts w:ascii="Arial Black" w:hAnsi="Arial Black"/>
          <w:b/>
          <w:sz w:val="24"/>
          <w:szCs w:val="24"/>
        </w:rPr>
        <w:t>8</w:t>
      </w:r>
    </w:p>
    <w:p w14:paraId="20264B8A" w14:textId="77777777" w:rsidR="00981C5A" w:rsidRPr="009041B2" w:rsidRDefault="00981C5A" w:rsidP="00981C5A">
      <w:pPr>
        <w:pStyle w:val="NoSpacing"/>
        <w:rPr>
          <w:rFonts w:ascii="Arial Black" w:hAnsi="Arial Black"/>
          <w:sz w:val="28"/>
          <w:szCs w:val="28"/>
        </w:rPr>
      </w:pPr>
      <w:r>
        <w:rPr>
          <w:rFonts w:ascii="Arial Black" w:hAnsi="Arial Black"/>
          <w:sz w:val="28"/>
          <w:szCs w:val="28"/>
        </w:rPr>
        <w:t>WV: FF KNEE – 40 LBS SUPPLIES UP STAIRS – WORK COMP</w:t>
      </w:r>
    </w:p>
    <w:p w14:paraId="782CAB52" w14:textId="77777777" w:rsidR="00981C5A" w:rsidRDefault="00981C5A" w:rsidP="00981C5A">
      <w:pPr>
        <w:pStyle w:val="NoSpacing"/>
      </w:pPr>
    </w:p>
    <w:p w14:paraId="64B55FD9" w14:textId="77777777" w:rsidR="00981C5A" w:rsidRPr="00981C5A" w:rsidRDefault="00981C5A" w:rsidP="00981C5A">
      <w:pPr>
        <w:rPr>
          <w:rFonts w:ascii="Times New Roman" w:hAnsi="Times New Roman"/>
          <w:sz w:val="24"/>
          <w:szCs w:val="24"/>
        </w:rPr>
      </w:pPr>
      <w:r w:rsidRPr="00981C5A">
        <w:rPr>
          <w:rFonts w:ascii="Times New Roman" w:hAnsi="Times New Roman"/>
          <w:sz w:val="24"/>
          <w:szCs w:val="24"/>
        </w:rPr>
        <w:t xml:space="preserve">On April 29, 2025, in </w:t>
      </w:r>
      <w:r w:rsidRPr="00981C5A">
        <w:rPr>
          <w:rFonts w:ascii="Times New Roman" w:hAnsi="Times New Roman"/>
          <w:sz w:val="24"/>
          <w:szCs w:val="24"/>
          <w:u w:val="single"/>
        </w:rPr>
        <w:t>City of Wheeling v. Cody Melsop</w:t>
      </w:r>
      <w:r w:rsidRPr="00981C5A">
        <w:rPr>
          <w:rFonts w:ascii="Times New Roman" w:hAnsi="Times New Roman"/>
          <w:sz w:val="24"/>
          <w:szCs w:val="24"/>
        </w:rPr>
        <w:t xml:space="preserve">, the West Virginia Intermediate Court of Appeals held (3 to 0) that the Workers Comp Board properly reversed the claim administrator; the injury was work related since he was carrying a tote with 40 pounds of supplies up 17 steps at the fire station when he felt pain in his right knee.  While an MRI revealed significant cartilage loss, the injury occurred on duty.  </w:t>
      </w:r>
      <w:hyperlink r:id="rId1047" w:history="1">
        <w:r w:rsidRPr="00981C5A">
          <w:rPr>
            <w:rStyle w:val="Hyperlink"/>
            <w:rFonts w:ascii="Times New Roman" w:hAnsi="Times New Roman"/>
            <w:sz w:val="24"/>
            <w:szCs w:val="24"/>
          </w:rPr>
          <w:t>https://cases.justia.com/west-virginia/intermediate-court-of-appeals/2025-24-ica-379.pdf?ts=1745964757</w:t>
        </w:r>
      </w:hyperlink>
      <w:r w:rsidRPr="00981C5A">
        <w:rPr>
          <w:rFonts w:ascii="Times New Roman" w:hAnsi="Times New Roman"/>
          <w:sz w:val="24"/>
          <w:szCs w:val="24"/>
        </w:rPr>
        <w:t xml:space="preserve"> </w:t>
      </w:r>
    </w:p>
    <w:p w14:paraId="77DF5FE8" w14:textId="77777777" w:rsidR="0062764C" w:rsidRPr="0062764C" w:rsidRDefault="0062764C" w:rsidP="0062764C">
      <w:pPr>
        <w:pStyle w:val="NoSpacing"/>
        <w:rPr>
          <w:rFonts w:ascii="Times New Roman" w:hAnsi="Times New Roman"/>
          <w:b/>
          <w:bCs/>
          <w:sz w:val="24"/>
          <w:szCs w:val="24"/>
        </w:rPr>
      </w:pPr>
      <w:r w:rsidRPr="0062764C">
        <w:rPr>
          <w:rFonts w:ascii="Times New Roman" w:hAnsi="Times New Roman"/>
          <w:b/>
          <w:sz w:val="24"/>
          <w:szCs w:val="24"/>
        </w:rPr>
        <w:t>Legal Lesson Learned: The firefighter was injured performing fire station duties.</w:t>
      </w:r>
    </w:p>
    <w:p w14:paraId="2AB2FF4B" w14:textId="77777777" w:rsidR="00CB79E4" w:rsidRPr="0062764C" w:rsidRDefault="00CB79E4" w:rsidP="00EF1133">
      <w:pPr>
        <w:rPr>
          <w:rFonts w:ascii="Times New Roman" w:hAnsi="Times New Roman"/>
          <w:b/>
          <w:sz w:val="24"/>
          <w:szCs w:val="24"/>
        </w:rPr>
      </w:pPr>
    </w:p>
    <w:p w14:paraId="4913FBA1" w14:textId="77777777" w:rsidR="002A0697" w:rsidRDefault="002A0697" w:rsidP="00EF1133">
      <w:pPr>
        <w:rPr>
          <w:rFonts w:ascii="Arial Black" w:hAnsi="Arial Black"/>
          <w:b/>
          <w:sz w:val="24"/>
          <w:szCs w:val="24"/>
        </w:rPr>
      </w:pPr>
    </w:p>
    <w:p w14:paraId="2C6F8D82" w14:textId="3119E286" w:rsidR="00CB79E4" w:rsidRDefault="002A0697" w:rsidP="00EF1133">
      <w:pPr>
        <w:rPr>
          <w:rFonts w:ascii="Arial Black" w:hAnsi="Arial Black"/>
          <w:b/>
          <w:sz w:val="24"/>
          <w:szCs w:val="24"/>
        </w:rPr>
      </w:pPr>
      <w:r>
        <w:rPr>
          <w:rFonts w:ascii="Arial Black" w:hAnsi="Arial Black"/>
          <w:b/>
          <w:sz w:val="24"/>
          <w:szCs w:val="24"/>
        </w:rPr>
        <w:t>6-157</w:t>
      </w:r>
    </w:p>
    <w:p w14:paraId="64E28150" w14:textId="77777777" w:rsidR="0090461E" w:rsidRPr="006F2B87" w:rsidRDefault="0090461E" w:rsidP="0090461E">
      <w:pPr>
        <w:pStyle w:val="NoSpacing"/>
        <w:rPr>
          <w:rFonts w:ascii="Arial Black" w:hAnsi="Arial Black"/>
          <w:b/>
          <w:bCs/>
          <w:sz w:val="28"/>
          <w:szCs w:val="28"/>
        </w:rPr>
      </w:pPr>
      <w:r w:rsidRPr="006F2B87">
        <w:rPr>
          <w:rFonts w:ascii="Arial Black" w:hAnsi="Arial Black"/>
          <w:b/>
          <w:sz w:val="28"/>
          <w:szCs w:val="28"/>
        </w:rPr>
        <w:t xml:space="preserve">NY: GROUND ZERO – FF’s </w:t>
      </w:r>
      <w:r>
        <w:rPr>
          <w:rFonts w:ascii="Arial Black" w:hAnsi="Arial Black"/>
          <w:b/>
          <w:sz w:val="28"/>
          <w:szCs w:val="28"/>
        </w:rPr>
        <w:t xml:space="preserve">LUNGS - </w:t>
      </w:r>
      <w:r w:rsidRPr="006F2B87">
        <w:rPr>
          <w:rFonts w:ascii="Arial Black" w:hAnsi="Arial Black"/>
          <w:b/>
          <w:sz w:val="28"/>
          <w:szCs w:val="28"/>
        </w:rPr>
        <w:t xml:space="preserve">WIFE GET </w:t>
      </w:r>
      <w:r>
        <w:rPr>
          <w:rFonts w:ascii="Arial Black" w:hAnsi="Arial Black"/>
          <w:b/>
          <w:sz w:val="28"/>
          <w:szCs w:val="28"/>
        </w:rPr>
        <w:t xml:space="preserve">WTC </w:t>
      </w:r>
      <w:r w:rsidRPr="006F2B87">
        <w:rPr>
          <w:rFonts w:ascii="Arial Black" w:hAnsi="Arial Black"/>
          <w:b/>
          <w:sz w:val="28"/>
          <w:szCs w:val="28"/>
        </w:rPr>
        <w:t xml:space="preserve">BENEFITS </w:t>
      </w:r>
    </w:p>
    <w:p w14:paraId="6087B686" w14:textId="77777777" w:rsidR="0090461E" w:rsidRDefault="0090461E" w:rsidP="0090461E">
      <w:pPr>
        <w:pStyle w:val="NoSpacing"/>
        <w:rPr>
          <w:bCs/>
        </w:rPr>
      </w:pPr>
    </w:p>
    <w:p w14:paraId="51721210" w14:textId="77777777" w:rsidR="0090461E" w:rsidRPr="002F63E3" w:rsidRDefault="0090461E" w:rsidP="0090461E">
      <w:pPr>
        <w:pStyle w:val="NoSpacing"/>
        <w:rPr>
          <w:rFonts w:ascii="Times New Roman" w:hAnsi="Times New Roman"/>
          <w:bCs/>
          <w:sz w:val="24"/>
          <w:szCs w:val="24"/>
        </w:rPr>
      </w:pPr>
      <w:r w:rsidRPr="002F63E3">
        <w:rPr>
          <w:rFonts w:ascii="Times New Roman" w:hAnsi="Times New Roman"/>
          <w:sz w:val="24"/>
          <w:szCs w:val="24"/>
        </w:rPr>
        <w:t xml:space="preserve">On April 11, 2025, </w:t>
      </w:r>
      <w:r w:rsidRPr="002F63E3">
        <w:rPr>
          <w:rFonts w:ascii="Times New Roman" w:hAnsi="Times New Roman"/>
          <w:sz w:val="24"/>
          <w:szCs w:val="24"/>
          <w:u w:val="single"/>
        </w:rPr>
        <w:t>In the matter of the Application of Susan Michlik-Klipp v. Board of Trustees of the Fire Department of the City of New York</w:t>
      </w:r>
      <w:r w:rsidRPr="002F63E3">
        <w:rPr>
          <w:rFonts w:ascii="Times New Roman" w:hAnsi="Times New Roman"/>
          <w:sz w:val="24"/>
          <w:szCs w:val="24"/>
        </w:rPr>
        <w:t xml:space="preserve">, the Supreme Court, New York County, New York, Judge Leslie A. Stroth, reversed the Board, holding the denial of World Trade Center death benefits to widow of FDNY firefighter Kenneth Klipp was “arbitrary and capricious.”  He joined the FDNY in 1985 and retired in 2016; he died on November 3, 2020. </w:t>
      </w:r>
    </w:p>
    <w:p w14:paraId="202BD26C" w14:textId="77777777" w:rsidR="0090461E" w:rsidRPr="002F63E3" w:rsidRDefault="0090461E" w:rsidP="0090461E">
      <w:pPr>
        <w:pStyle w:val="NoSpacing"/>
        <w:rPr>
          <w:rFonts w:ascii="Times New Roman" w:hAnsi="Times New Roman"/>
          <w:bCs/>
          <w:sz w:val="24"/>
          <w:szCs w:val="24"/>
        </w:rPr>
      </w:pPr>
    </w:p>
    <w:p w14:paraId="4C342E35" w14:textId="77777777" w:rsidR="0090461E" w:rsidRPr="002F63E3" w:rsidRDefault="0090461E" w:rsidP="0090461E">
      <w:pPr>
        <w:pStyle w:val="NoSpacing"/>
        <w:rPr>
          <w:rFonts w:ascii="Times New Roman" w:hAnsi="Times New Roman"/>
          <w:b/>
          <w:bCs/>
          <w:sz w:val="24"/>
          <w:szCs w:val="24"/>
        </w:rPr>
      </w:pPr>
      <w:r w:rsidRPr="002F63E3">
        <w:rPr>
          <w:rFonts w:ascii="Times New Roman" w:hAnsi="Times New Roman"/>
          <w:sz w:val="24"/>
          <w:szCs w:val="24"/>
        </w:rPr>
        <w:t xml:space="preserve">The Court wrote: “During his employment of over 30 years with FDNY, firefighter Klipp responded to the World Trade Center site after the terrorist attack on September 11, </w:t>
      </w:r>
      <w:proofErr w:type="gramStart"/>
      <w:r w:rsidRPr="002F63E3">
        <w:rPr>
          <w:rFonts w:ascii="Times New Roman" w:hAnsi="Times New Roman"/>
          <w:sz w:val="24"/>
          <w:szCs w:val="24"/>
        </w:rPr>
        <w:t>2001</w:t>
      </w:r>
      <w:proofErr w:type="gramEnd"/>
      <w:r w:rsidRPr="002F63E3">
        <w:rPr>
          <w:rFonts w:ascii="Times New Roman" w:hAnsi="Times New Roman"/>
          <w:sz w:val="24"/>
          <w:szCs w:val="24"/>
        </w:rPr>
        <w:t xml:space="preserve"> and ‘spent sufficient time . . . to qualify for WTC retirement benefits under the New York City Administrative Code and the New York State Retirement and Social Security Law.’ *** In support of her application, petitioner submitted, among other things, firefighter Klipp's medical records and two reports from board certified cardiologist Dr. Bruce Charash, F.A.C.C.</w:t>
      </w:r>
      <w:hyperlink r:id="rId1048" w:anchor="footnote_2" w:history="1">
        <w:r w:rsidRPr="002F63E3">
          <w:rPr>
            <w:rStyle w:val="Hyperlink"/>
            <w:rFonts w:ascii="Times New Roman" w:hAnsi="Times New Roman"/>
            <w:sz w:val="24"/>
            <w:szCs w:val="24"/>
            <w:vertAlign w:val="superscript"/>
          </w:rPr>
          <w:t>2</w:t>
        </w:r>
      </w:hyperlink>
      <w:r w:rsidRPr="002F63E3">
        <w:rPr>
          <w:rFonts w:ascii="Times New Roman" w:hAnsi="Times New Roman"/>
          <w:sz w:val="24"/>
          <w:szCs w:val="24"/>
        </w:rPr>
        <w:t xml:space="preserve">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dated February 17, </w:t>
      </w:r>
      <w:proofErr w:type="gramStart"/>
      <w:r w:rsidRPr="002F63E3">
        <w:rPr>
          <w:rFonts w:ascii="Times New Roman" w:hAnsi="Times New Roman"/>
          <w:sz w:val="24"/>
          <w:szCs w:val="24"/>
        </w:rPr>
        <w:t>2022</w:t>
      </w:r>
      <w:proofErr w:type="gramEnd"/>
      <w:r w:rsidRPr="002F63E3">
        <w:rPr>
          <w:rFonts w:ascii="Times New Roman" w:hAnsi="Times New Roman"/>
          <w:sz w:val="24"/>
          <w:szCs w:val="24"/>
        </w:rPr>
        <w:t xml:space="preserve"> and October 7, 2022….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reviewed firefighter Klipp's medical records and opined that his death was a ‘direct consequence of his exposure to inhaled particles due to his work at Ground Zero after 9/11’….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emphasized that firefighter Klipp ‘should have had a normal pulmonary performance’ with his normal cardiac status and an absence of obstructive lung disease ….Yet,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opined that firefighter Klipp had a ‘catastrophic lung collapse’ in 2020, and his exposure to inhaled toxins while working at Ground Zero after 9/11 resulted in ‘a degradation of his lungs and a damage to the local architecture of his lungs’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opined that exposure to inhaled toxins thus damaged firefighter Klipp's lungs on the ‘tissue level; creating a local state of immune compromise’ that lead to his death ….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further emphasized that firefighter Klipp's CT scan from October 18, </w:t>
      </w:r>
      <w:proofErr w:type="gramStart"/>
      <w:r w:rsidRPr="002F63E3">
        <w:rPr>
          <w:rFonts w:ascii="Times New Roman" w:hAnsi="Times New Roman"/>
          <w:sz w:val="24"/>
          <w:szCs w:val="24"/>
        </w:rPr>
        <w:t>2020</w:t>
      </w:r>
      <w:proofErr w:type="gramEnd"/>
      <w:r w:rsidRPr="002F63E3">
        <w:rPr>
          <w:rFonts w:ascii="Times New Roman" w:hAnsi="Times New Roman"/>
          <w:sz w:val="24"/>
          <w:szCs w:val="24"/>
        </w:rPr>
        <w:t xml:space="preserve"> showed that firefighter Klipp had ‘pneumoconiosis caused by inorganic dust,’ which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described as damage to the tissue and a ‘disruption of the local lung tissue architecture,’ associated with the lung's inability to fight infections ….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concluded that firefighter Klipp demonstrated ‘a significant failure of his lungs" to fight infections as demonstrated by his </w:t>
      </w:r>
      <w:proofErr w:type="spellStart"/>
      <w:r w:rsidRPr="002F63E3">
        <w:rPr>
          <w:rFonts w:ascii="Times New Roman" w:hAnsi="Times New Roman"/>
          <w:sz w:val="24"/>
          <w:szCs w:val="24"/>
        </w:rPr>
        <w:t>extubation</w:t>
      </w:r>
      <w:proofErr w:type="spellEnd"/>
      <w:r w:rsidRPr="002F63E3">
        <w:rPr>
          <w:rFonts w:ascii="Times New Roman" w:hAnsi="Times New Roman"/>
          <w:sz w:val="24"/>
          <w:szCs w:val="24"/>
        </w:rPr>
        <w:t xml:space="preserve"> on “9/25/19" and re-intubation on "9/27/19" …. Dr. </w:t>
      </w:r>
      <w:proofErr w:type="spellStart"/>
      <w:r w:rsidRPr="002F63E3">
        <w:rPr>
          <w:rFonts w:ascii="Times New Roman" w:hAnsi="Times New Roman"/>
          <w:sz w:val="24"/>
          <w:szCs w:val="24"/>
        </w:rPr>
        <w:t>Charash</w:t>
      </w:r>
      <w:proofErr w:type="spellEnd"/>
      <w:r w:rsidRPr="002F63E3">
        <w:rPr>
          <w:rFonts w:ascii="Times New Roman" w:hAnsi="Times New Roman"/>
          <w:sz w:val="24"/>
          <w:szCs w:val="24"/>
        </w:rPr>
        <w:t xml:space="preserve"> determined that firefighter Klipp died due to his damaged lungs and their inability to fight infections.’  *** To the contrary, the medical board's speculative conclusion that firefighter Klipp died ‘as a consequence of a cerebral vascular accident, in the face of defined hypertension and hypertensive heart disease, with multiple systemic complications"’(NYSCEF Doc No. 49, p. 4) is not supported by firefighter Klipp's medical records.”  </w:t>
      </w:r>
      <w:hyperlink r:id="rId1049" w:history="1">
        <w:r w:rsidRPr="002F63E3">
          <w:rPr>
            <w:rStyle w:val="Hyperlink"/>
            <w:rFonts w:ascii="Times New Roman" w:hAnsi="Times New Roman"/>
            <w:sz w:val="24"/>
            <w:szCs w:val="24"/>
          </w:rPr>
          <w:t>https://caselaw.findlaw.com/court/ny-supreme-court/117196656.html</w:t>
        </w:r>
      </w:hyperlink>
      <w:r w:rsidRPr="002F63E3">
        <w:rPr>
          <w:rFonts w:ascii="Times New Roman" w:hAnsi="Times New Roman"/>
          <w:sz w:val="24"/>
          <w:szCs w:val="24"/>
        </w:rPr>
        <w:t xml:space="preserve"> </w:t>
      </w:r>
    </w:p>
    <w:p w14:paraId="08DD9135" w14:textId="77777777" w:rsidR="0090461E" w:rsidRPr="002F63E3" w:rsidRDefault="0090461E" w:rsidP="0090461E">
      <w:pPr>
        <w:pStyle w:val="NoSpacing"/>
        <w:rPr>
          <w:rFonts w:ascii="Times New Roman" w:hAnsi="Times New Roman"/>
          <w:bCs/>
          <w:sz w:val="24"/>
          <w:szCs w:val="24"/>
        </w:rPr>
      </w:pPr>
    </w:p>
    <w:p w14:paraId="37184B96" w14:textId="77777777" w:rsidR="0090461E" w:rsidRPr="0090461E" w:rsidRDefault="0090461E" w:rsidP="0090461E">
      <w:pPr>
        <w:pStyle w:val="NoSpacing"/>
        <w:rPr>
          <w:rFonts w:ascii="Times New Roman" w:hAnsi="Times New Roman"/>
          <w:b/>
          <w:bCs/>
          <w:sz w:val="24"/>
          <w:szCs w:val="24"/>
        </w:rPr>
      </w:pPr>
      <w:r w:rsidRPr="0090461E">
        <w:rPr>
          <w:rFonts w:ascii="Times New Roman" w:hAnsi="Times New Roman"/>
          <w:b/>
          <w:sz w:val="24"/>
          <w:szCs w:val="24"/>
        </w:rPr>
        <w:t xml:space="preserve">Legal Lesson Learned: The NY Administrative Code creates a presumption that the retiree's death was </w:t>
      </w:r>
      <w:r w:rsidRPr="0090461E">
        <w:rPr>
          <w:rFonts w:ascii="Times New Roman" w:hAnsi="Times New Roman"/>
          <w:b/>
          <w:bCs/>
          <w:sz w:val="24"/>
          <w:szCs w:val="24"/>
        </w:rPr>
        <w:t>“</w:t>
      </w:r>
      <w:r w:rsidRPr="0090461E">
        <w:rPr>
          <w:rFonts w:ascii="Times New Roman" w:hAnsi="Times New Roman"/>
          <w:b/>
          <w:sz w:val="24"/>
          <w:szCs w:val="24"/>
        </w:rPr>
        <w:t>a natural and proximate result of</w:t>
      </w:r>
      <w:r w:rsidRPr="0090461E">
        <w:rPr>
          <w:rFonts w:ascii="Times New Roman" w:hAnsi="Times New Roman"/>
          <w:b/>
          <w:bCs/>
          <w:sz w:val="24"/>
          <w:szCs w:val="24"/>
        </w:rPr>
        <w:t>”</w:t>
      </w:r>
      <w:r w:rsidRPr="0090461E">
        <w:rPr>
          <w:rFonts w:ascii="Times New Roman" w:hAnsi="Times New Roman"/>
          <w:b/>
          <w:sz w:val="24"/>
          <w:szCs w:val="24"/>
        </w:rPr>
        <w:t xml:space="preserve"> their participation in the WTC rescue, recovery or cleanup operations.</w:t>
      </w:r>
    </w:p>
    <w:p w14:paraId="3A188F36" w14:textId="77777777" w:rsidR="0090461E" w:rsidRPr="0090461E" w:rsidRDefault="0090461E" w:rsidP="0090461E">
      <w:pPr>
        <w:pStyle w:val="NoSpacing"/>
        <w:rPr>
          <w:rFonts w:ascii="Times New Roman" w:hAnsi="Times New Roman"/>
          <w:sz w:val="24"/>
          <w:szCs w:val="24"/>
        </w:rPr>
      </w:pPr>
    </w:p>
    <w:p w14:paraId="5B3ADCAA" w14:textId="77777777" w:rsidR="0090461E" w:rsidRPr="00F0728A" w:rsidRDefault="0090461E" w:rsidP="0090461E">
      <w:pPr>
        <w:rPr>
          <w:rFonts w:ascii="Times New Roman" w:hAnsi="Times New Roman"/>
          <w:b/>
          <w:sz w:val="24"/>
          <w:szCs w:val="24"/>
        </w:rPr>
      </w:pPr>
    </w:p>
    <w:p w14:paraId="4EFD423A" w14:textId="77777777" w:rsidR="0090461E" w:rsidRDefault="0090461E" w:rsidP="00EF1133">
      <w:pPr>
        <w:rPr>
          <w:rFonts w:ascii="Arial Black" w:hAnsi="Arial Black"/>
          <w:b/>
          <w:sz w:val="24"/>
          <w:szCs w:val="24"/>
        </w:rPr>
      </w:pPr>
    </w:p>
    <w:p w14:paraId="393812F2" w14:textId="223A2A25" w:rsidR="00130523" w:rsidRDefault="00130523" w:rsidP="00EF1133">
      <w:pPr>
        <w:rPr>
          <w:rFonts w:ascii="Arial Black" w:hAnsi="Arial Black"/>
          <w:b/>
          <w:sz w:val="24"/>
          <w:szCs w:val="24"/>
        </w:rPr>
      </w:pPr>
      <w:r>
        <w:rPr>
          <w:rFonts w:ascii="Arial Black" w:hAnsi="Arial Black"/>
          <w:b/>
          <w:sz w:val="24"/>
          <w:szCs w:val="24"/>
        </w:rPr>
        <w:t>6-156</w:t>
      </w:r>
    </w:p>
    <w:p w14:paraId="72AAF748" w14:textId="77777777" w:rsidR="00130523" w:rsidRPr="00FF013C" w:rsidRDefault="00130523" w:rsidP="00130523">
      <w:pPr>
        <w:pStyle w:val="NoSpacing"/>
        <w:rPr>
          <w:rFonts w:ascii="Arial Black" w:hAnsi="Arial Black"/>
          <w:bCs/>
          <w:sz w:val="28"/>
          <w:szCs w:val="28"/>
        </w:rPr>
      </w:pPr>
      <w:r>
        <w:rPr>
          <w:rFonts w:ascii="Arial Black" w:hAnsi="Arial Black"/>
          <w:sz w:val="28"/>
          <w:szCs w:val="28"/>
        </w:rPr>
        <w:t>PA: THROAT CANCER – COVERED – LIST OF HIS RUNS</w:t>
      </w:r>
    </w:p>
    <w:p w14:paraId="23DD7C72" w14:textId="77777777" w:rsidR="00130523" w:rsidRPr="00130523" w:rsidRDefault="00130523" w:rsidP="00130523">
      <w:pPr>
        <w:pStyle w:val="NoSpacing"/>
        <w:rPr>
          <w:rFonts w:ascii="Times New Roman" w:hAnsi="Times New Roman"/>
          <w:bCs/>
          <w:sz w:val="24"/>
          <w:szCs w:val="24"/>
        </w:rPr>
      </w:pPr>
    </w:p>
    <w:p w14:paraId="02FBDB7D" w14:textId="77777777" w:rsidR="00130523" w:rsidRPr="00130523" w:rsidRDefault="00130523" w:rsidP="00130523">
      <w:pPr>
        <w:pStyle w:val="NoSpacing"/>
        <w:rPr>
          <w:rFonts w:ascii="Times New Roman" w:hAnsi="Times New Roman"/>
          <w:bCs/>
          <w:sz w:val="24"/>
          <w:szCs w:val="24"/>
        </w:rPr>
      </w:pPr>
      <w:r w:rsidRPr="00130523">
        <w:rPr>
          <w:rFonts w:ascii="Times New Roman" w:hAnsi="Times New Roman"/>
          <w:sz w:val="24"/>
          <w:szCs w:val="24"/>
        </w:rPr>
        <w:t xml:space="preserve">On April 1, 2025, in </w:t>
      </w:r>
      <w:r w:rsidRPr="00130523">
        <w:rPr>
          <w:rFonts w:ascii="Times New Roman" w:hAnsi="Times New Roman"/>
          <w:sz w:val="24"/>
          <w:szCs w:val="24"/>
          <w:u w:val="single"/>
        </w:rPr>
        <w:t>Lake Ariel Volunteer Fire Company, Petitioner v. Alex Rae (Workers' Compensation Appeal Board), Respondent</w:t>
      </w:r>
      <w:r w:rsidRPr="00130523">
        <w:rPr>
          <w:rFonts w:ascii="Times New Roman" w:hAnsi="Times New Roman"/>
          <w:sz w:val="24"/>
          <w:szCs w:val="24"/>
        </w:rPr>
        <w:t xml:space="preserve">, the Commonwealth Court of Pennsylvania held (3 to 0; unpublished decision) that the 72-year-old firefighter, having been active volunteer for over 28 years in NY and PA, was properly awarded workers comp.  In March 2021, Claimant was diagnosed with oral cancer.  Claimant prepared a report of his runs from the website,  </w:t>
      </w:r>
      <w:hyperlink r:id="rId1050" w:history="1">
        <w:r w:rsidRPr="00130523">
          <w:rPr>
            <w:rStyle w:val="Hyperlink"/>
            <w:rFonts w:ascii="Times New Roman" w:hAnsi="Times New Roman"/>
            <w:sz w:val="24"/>
            <w:szCs w:val="24"/>
          </w:rPr>
          <w:t>https://www.iamresponding.com/</w:t>
        </w:r>
      </w:hyperlink>
      <w:r w:rsidRPr="00130523">
        <w:rPr>
          <w:rFonts w:ascii="Times New Roman" w:hAnsi="Times New Roman"/>
          <w:sz w:val="24"/>
          <w:szCs w:val="24"/>
        </w:rPr>
        <w:t xml:space="preserve"> and testimony of expert witness. The WCJ found “the opinions of Dr. Guidotti [firefighter’s expert] more credible than the testimony of [Dr.] Goldsmith to the extent their testimony is inconsistent,” citing Dr. Guidotti’s status as a highly credentialed medical doctor with numerous certifications. </w:t>
      </w:r>
      <w:hyperlink r:id="rId1051" w:history="1">
        <w:r w:rsidRPr="00130523">
          <w:rPr>
            <w:rStyle w:val="Hyperlink"/>
            <w:rFonts w:ascii="Times New Roman" w:hAnsi="Times New Roman"/>
            <w:sz w:val="24"/>
            <w:szCs w:val="24"/>
          </w:rPr>
          <w:t>https://cases.justia.com/pennsylvania/commonwealth-court/2025-92-c-d-2024.pdf?ts=1743522170</w:t>
        </w:r>
      </w:hyperlink>
      <w:r w:rsidRPr="00130523">
        <w:rPr>
          <w:rFonts w:ascii="Times New Roman" w:hAnsi="Times New Roman"/>
          <w:sz w:val="24"/>
          <w:szCs w:val="24"/>
        </w:rPr>
        <w:t xml:space="preserve"> </w:t>
      </w:r>
    </w:p>
    <w:p w14:paraId="131FF51F" w14:textId="77777777" w:rsidR="00130523" w:rsidRPr="00130523" w:rsidRDefault="00130523" w:rsidP="00130523">
      <w:pPr>
        <w:pStyle w:val="NoSpacing"/>
        <w:rPr>
          <w:rFonts w:ascii="Times New Roman" w:hAnsi="Times New Roman"/>
          <w:bCs/>
          <w:sz w:val="24"/>
          <w:szCs w:val="24"/>
        </w:rPr>
      </w:pPr>
    </w:p>
    <w:p w14:paraId="4C0B6E45" w14:textId="77777777" w:rsidR="00130523" w:rsidRPr="00130523" w:rsidRDefault="00130523" w:rsidP="00130523">
      <w:pPr>
        <w:pStyle w:val="NoSpacing"/>
        <w:ind w:left="720"/>
        <w:rPr>
          <w:rFonts w:ascii="Times New Roman" w:hAnsi="Times New Roman"/>
          <w:bCs/>
          <w:sz w:val="24"/>
          <w:szCs w:val="24"/>
        </w:rPr>
      </w:pPr>
      <w:r w:rsidRPr="00130523">
        <w:rPr>
          <w:rFonts w:ascii="Times New Roman" w:hAnsi="Times New Roman"/>
          <w:sz w:val="24"/>
          <w:szCs w:val="24"/>
        </w:rPr>
        <w:t xml:space="preserve">“Alex Rae (Claimant) was diagnosed with various cancers after decades of being a firefighter, most recently as a volunteer for the Lake Ariel Volunteer Fire Company (Employer). Certain cancers are known to have a causal connection to firefighting, and so the legislature created a presumption that those cancers are caused by being a firefighter for purposes of the occupational disease provisions of the Workers’ Compensation Act (Act). A Workers’ Compensation Judge (WCJ) granted Claimant’s Claim Petition awarding benefits, and the Workers’ Compensation Appeal Board (Board) affirmed. </w:t>
      </w:r>
    </w:p>
    <w:p w14:paraId="6D922CE6" w14:textId="77777777" w:rsidR="00130523" w:rsidRPr="00130523" w:rsidRDefault="00130523" w:rsidP="00130523">
      <w:pPr>
        <w:pStyle w:val="NoSpacing"/>
        <w:ind w:left="720"/>
        <w:rPr>
          <w:rFonts w:ascii="Times New Roman" w:hAnsi="Times New Roman"/>
          <w:bCs/>
          <w:sz w:val="24"/>
          <w:szCs w:val="24"/>
        </w:rPr>
      </w:pPr>
    </w:p>
    <w:p w14:paraId="1BD1599C" w14:textId="77777777" w:rsidR="00130523" w:rsidRPr="00130523" w:rsidRDefault="00130523" w:rsidP="00130523">
      <w:pPr>
        <w:pStyle w:val="NoSpacing"/>
        <w:ind w:left="720"/>
        <w:rPr>
          <w:rFonts w:ascii="Times New Roman" w:hAnsi="Times New Roman"/>
          <w:bCs/>
          <w:sz w:val="24"/>
          <w:szCs w:val="24"/>
        </w:rPr>
      </w:pPr>
      <w:r w:rsidRPr="00130523">
        <w:rPr>
          <w:rFonts w:ascii="Times New Roman" w:hAnsi="Times New Roman"/>
          <w:sz w:val="24"/>
          <w:szCs w:val="24"/>
        </w:rPr>
        <w:t>***</w:t>
      </w:r>
    </w:p>
    <w:p w14:paraId="4967786F" w14:textId="77777777" w:rsidR="00130523" w:rsidRPr="00130523" w:rsidRDefault="00130523" w:rsidP="00130523">
      <w:pPr>
        <w:pStyle w:val="NoSpacing"/>
        <w:ind w:left="720"/>
        <w:rPr>
          <w:rFonts w:ascii="Times New Roman" w:hAnsi="Times New Roman"/>
          <w:b/>
          <w:sz w:val="24"/>
          <w:szCs w:val="24"/>
        </w:rPr>
      </w:pPr>
    </w:p>
    <w:p w14:paraId="21840E19" w14:textId="77777777" w:rsidR="00130523" w:rsidRPr="00130523" w:rsidRDefault="00130523" w:rsidP="00130523">
      <w:pPr>
        <w:pStyle w:val="NoSpacing"/>
        <w:ind w:left="720"/>
        <w:rPr>
          <w:rFonts w:ascii="Times New Roman" w:hAnsi="Times New Roman"/>
          <w:bCs/>
          <w:sz w:val="24"/>
          <w:szCs w:val="24"/>
        </w:rPr>
      </w:pPr>
      <w:r w:rsidRPr="00130523">
        <w:rPr>
          <w:rFonts w:ascii="Times New Roman" w:hAnsi="Times New Roman"/>
          <w:sz w:val="24"/>
          <w:szCs w:val="24"/>
        </w:rPr>
        <w:t xml:space="preserve">Employer argues Claimant did not show, by competent, substantial evidence, that Claimant was exposed to carcinogens. Instead of presenting </w:t>
      </w:r>
      <w:proofErr w:type="spellStart"/>
      <w:r w:rsidRPr="00130523">
        <w:rPr>
          <w:rFonts w:ascii="Times New Roman" w:hAnsi="Times New Roman"/>
          <w:sz w:val="24"/>
          <w:szCs w:val="24"/>
        </w:rPr>
        <w:t>PennFIRS</w:t>
      </w:r>
      <w:proofErr w:type="spellEnd"/>
      <w:r w:rsidRPr="00130523">
        <w:rPr>
          <w:rFonts w:ascii="Times New Roman" w:hAnsi="Times New Roman"/>
          <w:sz w:val="24"/>
          <w:szCs w:val="24"/>
        </w:rPr>
        <w:t xml:space="preserve"> reports, as provided by Section 301(f) of the Act, Claimant only presented lay testimony and</w:t>
      </w:r>
    </w:p>
    <w:p w14:paraId="621D8B67"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 xml:space="preserve">data from the </w:t>
      </w:r>
      <w:proofErr w:type="gramStart"/>
      <w:r w:rsidRPr="00130523">
        <w:rPr>
          <w:rFonts w:ascii="Times New Roman" w:hAnsi="Times New Roman"/>
          <w:sz w:val="24"/>
          <w:szCs w:val="24"/>
        </w:rPr>
        <w:t>website, ‘</w:t>
      </w:r>
      <w:proofErr w:type="gramEnd"/>
      <w:r w:rsidRPr="00130523">
        <w:rPr>
          <w:rFonts w:ascii="Times New Roman" w:hAnsi="Times New Roman"/>
          <w:sz w:val="24"/>
          <w:szCs w:val="24"/>
        </w:rPr>
        <w:t xml:space="preserve">iamresponding.com.’ Unlike the </w:t>
      </w:r>
      <w:proofErr w:type="spellStart"/>
      <w:r w:rsidRPr="00130523">
        <w:rPr>
          <w:rFonts w:ascii="Times New Roman" w:hAnsi="Times New Roman"/>
          <w:sz w:val="24"/>
          <w:szCs w:val="24"/>
        </w:rPr>
        <w:t>PennFIRS</w:t>
      </w:r>
      <w:proofErr w:type="spellEnd"/>
      <w:r w:rsidRPr="00130523">
        <w:rPr>
          <w:rFonts w:ascii="Times New Roman" w:hAnsi="Times New Roman"/>
          <w:sz w:val="24"/>
          <w:szCs w:val="24"/>
        </w:rPr>
        <w:t xml:space="preserve"> reports or other</w:t>
      </w:r>
    </w:p>
    <w:p w14:paraId="2279E2B5"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reports that the Court has found to be sufficient, Employer argues the data here only</w:t>
      </w:r>
    </w:p>
    <w:p w14:paraId="38FB0FFF"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includes a date, station name, and reference to an unspecified ‘scene,’ which could</w:t>
      </w:r>
    </w:p>
    <w:p w14:paraId="12A1861A"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be a fire or not. Furthermore, Employer posits that to the extent Claimant testified</w:t>
      </w:r>
    </w:p>
    <w:p w14:paraId="59A24C77"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to make up any deficiencies in the data, this Court has rejected lay testimony as</w:t>
      </w:r>
    </w:p>
    <w:p w14:paraId="425C53D6"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sufficient under the Act.</w:t>
      </w:r>
    </w:p>
    <w:p w14:paraId="6B091414" w14:textId="77777777" w:rsidR="00130523" w:rsidRPr="00130523" w:rsidRDefault="00130523" w:rsidP="00130523">
      <w:pPr>
        <w:pStyle w:val="NoSpacing"/>
        <w:ind w:firstLine="720"/>
        <w:rPr>
          <w:rFonts w:ascii="Times New Roman" w:hAnsi="Times New Roman"/>
          <w:bCs/>
          <w:sz w:val="24"/>
          <w:szCs w:val="24"/>
        </w:rPr>
      </w:pPr>
    </w:p>
    <w:p w14:paraId="56542D37"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w:t>
      </w:r>
    </w:p>
    <w:p w14:paraId="76576AD2" w14:textId="77777777" w:rsidR="00130523" w:rsidRPr="00130523" w:rsidRDefault="00130523" w:rsidP="00130523">
      <w:pPr>
        <w:pStyle w:val="NoSpacing"/>
        <w:ind w:left="720"/>
        <w:rPr>
          <w:rFonts w:ascii="Times New Roman" w:hAnsi="Times New Roman"/>
          <w:bCs/>
          <w:sz w:val="24"/>
          <w:szCs w:val="24"/>
        </w:rPr>
      </w:pPr>
      <w:r w:rsidRPr="00130523">
        <w:rPr>
          <w:rFonts w:ascii="Times New Roman" w:hAnsi="Times New Roman"/>
          <w:sz w:val="24"/>
          <w:szCs w:val="24"/>
        </w:rPr>
        <w:t>The incident participation report was provided by Employer, and given Claimant’s credible testimony and the WCJ’s findings, we agree with the Board that ‘the purpose of the provision was served.’ (Board Op. at 16.) Like the Board, we will not disturb the</w:t>
      </w:r>
    </w:p>
    <w:p w14:paraId="12AA044F" w14:textId="77777777" w:rsidR="00130523" w:rsidRPr="00130523" w:rsidRDefault="00130523" w:rsidP="00130523">
      <w:pPr>
        <w:pStyle w:val="NoSpacing"/>
        <w:ind w:firstLine="720"/>
        <w:rPr>
          <w:rFonts w:ascii="Times New Roman" w:hAnsi="Times New Roman"/>
          <w:bCs/>
          <w:sz w:val="24"/>
          <w:szCs w:val="24"/>
        </w:rPr>
      </w:pPr>
      <w:r w:rsidRPr="00130523">
        <w:rPr>
          <w:rFonts w:ascii="Times New Roman" w:hAnsi="Times New Roman"/>
          <w:sz w:val="24"/>
          <w:szCs w:val="24"/>
        </w:rPr>
        <w:t>WCJ’s determination.:</w:t>
      </w:r>
    </w:p>
    <w:p w14:paraId="1F7414A8" w14:textId="77777777" w:rsidR="00130523" w:rsidRPr="00130523" w:rsidRDefault="00130523" w:rsidP="00130523">
      <w:pPr>
        <w:pStyle w:val="NoSpacing"/>
        <w:ind w:firstLine="720"/>
        <w:rPr>
          <w:rFonts w:ascii="Times New Roman" w:hAnsi="Times New Roman"/>
          <w:bCs/>
          <w:sz w:val="24"/>
          <w:szCs w:val="24"/>
        </w:rPr>
      </w:pPr>
    </w:p>
    <w:p w14:paraId="43492F39" w14:textId="77777777" w:rsidR="00130523" w:rsidRPr="00130523" w:rsidRDefault="00130523" w:rsidP="00130523">
      <w:pPr>
        <w:pStyle w:val="NoSpacing"/>
        <w:rPr>
          <w:rFonts w:ascii="Times New Roman" w:hAnsi="Times New Roman"/>
          <w:b/>
          <w:sz w:val="24"/>
          <w:szCs w:val="24"/>
        </w:rPr>
      </w:pPr>
      <w:r w:rsidRPr="00130523">
        <w:rPr>
          <w:rFonts w:ascii="Times New Roman" w:hAnsi="Times New Roman"/>
          <w:b/>
          <w:sz w:val="24"/>
          <w:szCs w:val="24"/>
        </w:rPr>
        <w:t xml:space="preserve">Legal Lesson Learned: Keep a personal record of all runs where you have been exposed to smoke and other hazardous items.  </w:t>
      </w:r>
    </w:p>
    <w:p w14:paraId="0575782B" w14:textId="77777777" w:rsidR="001F58ED" w:rsidRDefault="001F58ED" w:rsidP="00EF1133">
      <w:pPr>
        <w:rPr>
          <w:rFonts w:ascii="Arial Black" w:hAnsi="Arial Black"/>
          <w:b/>
          <w:sz w:val="24"/>
          <w:szCs w:val="24"/>
        </w:rPr>
      </w:pPr>
    </w:p>
    <w:p w14:paraId="31CE11F5" w14:textId="78BCFE52" w:rsidR="009506CE" w:rsidRDefault="009506CE" w:rsidP="00EF1133">
      <w:pPr>
        <w:rPr>
          <w:rFonts w:ascii="Arial Black" w:hAnsi="Arial Black"/>
          <w:b/>
          <w:sz w:val="24"/>
          <w:szCs w:val="24"/>
        </w:rPr>
      </w:pPr>
      <w:r>
        <w:rPr>
          <w:rFonts w:ascii="Arial Black" w:hAnsi="Arial Black"/>
          <w:b/>
          <w:sz w:val="24"/>
          <w:szCs w:val="24"/>
        </w:rPr>
        <w:t>6-155</w:t>
      </w:r>
    </w:p>
    <w:p w14:paraId="092ECF35" w14:textId="77777777" w:rsidR="00BA2BFB" w:rsidRDefault="00BA2BFB" w:rsidP="00BA2BFB">
      <w:pPr>
        <w:pStyle w:val="NoSpacing"/>
        <w:rPr>
          <w:rFonts w:ascii="Arial Black" w:hAnsi="Arial Black"/>
          <w:b/>
          <w:bCs/>
          <w:sz w:val="28"/>
          <w:szCs w:val="28"/>
        </w:rPr>
      </w:pPr>
      <w:r>
        <w:rPr>
          <w:rFonts w:ascii="Arial Black" w:hAnsi="Arial Black"/>
          <w:b/>
          <w:sz w:val="28"/>
          <w:szCs w:val="28"/>
        </w:rPr>
        <w:t xml:space="preserve">LA: WORK COMP – TOTALLY DISAB - CITY PAY $2K PENALTY  </w:t>
      </w:r>
    </w:p>
    <w:p w14:paraId="63CFC96B" w14:textId="77777777" w:rsidR="00BA2BFB" w:rsidRPr="0080750A" w:rsidRDefault="00BA2BFB" w:rsidP="00BA2BFB">
      <w:pPr>
        <w:pStyle w:val="NoSpacing"/>
        <w:rPr>
          <w:rFonts w:ascii="Times New Roman" w:hAnsi="Times New Roman"/>
          <w:sz w:val="24"/>
          <w:szCs w:val="24"/>
        </w:rPr>
      </w:pPr>
    </w:p>
    <w:p w14:paraId="356EEB4F" w14:textId="77777777" w:rsidR="00BA2BFB" w:rsidRPr="0080750A" w:rsidRDefault="00BA2BFB" w:rsidP="00BA2BFB">
      <w:pPr>
        <w:pStyle w:val="NoSpacing"/>
        <w:rPr>
          <w:rFonts w:ascii="Times New Roman" w:hAnsi="Times New Roman"/>
          <w:b/>
          <w:sz w:val="24"/>
          <w:szCs w:val="24"/>
        </w:rPr>
      </w:pPr>
      <w:r w:rsidRPr="0080750A">
        <w:rPr>
          <w:rFonts w:ascii="Times New Roman" w:hAnsi="Times New Roman"/>
          <w:sz w:val="24"/>
          <w:szCs w:val="24"/>
        </w:rPr>
        <w:t xml:space="preserve">On March 28, 2025, in </w:t>
      </w:r>
      <w:r w:rsidRPr="0080750A">
        <w:rPr>
          <w:rFonts w:ascii="Times New Roman" w:hAnsi="Times New Roman"/>
          <w:sz w:val="24"/>
          <w:szCs w:val="24"/>
          <w:u w:val="single"/>
        </w:rPr>
        <w:t>Mark Shubert v. City of New Orleans</w:t>
      </w:r>
      <w:r w:rsidRPr="0080750A">
        <w:rPr>
          <w:rFonts w:ascii="Times New Roman" w:hAnsi="Times New Roman"/>
          <w:sz w:val="24"/>
          <w:szCs w:val="24"/>
        </w:rPr>
        <w:t xml:space="preserve">, the Court of Appeal of Louisiana, Fourth Circuit, held (3 to 0) that the worker’s comp judge properly held that the City was “arbitrary and capricious” in reducing his weekly benefits.   The </w:t>
      </w:r>
      <w:proofErr w:type="gramStart"/>
      <w:r w:rsidRPr="0080750A">
        <w:rPr>
          <w:rFonts w:ascii="Times New Roman" w:hAnsi="Times New Roman"/>
          <w:sz w:val="24"/>
          <w:szCs w:val="24"/>
        </w:rPr>
        <w:t>City</w:t>
      </w:r>
      <w:proofErr w:type="gramEnd"/>
      <w:r w:rsidRPr="0080750A">
        <w:rPr>
          <w:rFonts w:ascii="Times New Roman" w:hAnsi="Times New Roman"/>
          <w:sz w:val="24"/>
          <w:szCs w:val="24"/>
        </w:rPr>
        <w:t xml:space="preserve"> contends that no evidence supported the Worker’s Comp Judge’s finding that Mr. Shubert was totally disabled from all work after March 25, 2019.  The firefighter was limited to lifting only 10 pounds and no sitting or standing more than 20 minutes. He wisely kept a detailed list of jobs to which he applied and was rejected, including CarMax customer service rep.  The Court of Appeals agreed with the workers comp judge that City must reinstate </w:t>
      </w:r>
      <w:proofErr w:type="gramStart"/>
      <w:r w:rsidRPr="0080750A">
        <w:rPr>
          <w:rFonts w:ascii="Times New Roman" w:hAnsi="Times New Roman"/>
          <w:sz w:val="24"/>
          <w:szCs w:val="24"/>
        </w:rPr>
        <w:t>his</w:t>
      </w:r>
      <w:proofErr w:type="gramEnd"/>
      <w:r w:rsidRPr="0080750A">
        <w:rPr>
          <w:rFonts w:ascii="Times New Roman" w:hAnsi="Times New Roman"/>
          <w:sz w:val="24"/>
          <w:szCs w:val="24"/>
        </w:rPr>
        <w:t xml:space="preserve"> weekly benefits back to $630 [from $448.07], pay a penalty of $2,000, plus attorney fees for the work comp trial ($4,000) and attorney fees for the appeal ($2,500).  </w:t>
      </w:r>
      <w:hyperlink r:id="rId1052" w:history="1">
        <w:r w:rsidRPr="0080750A">
          <w:rPr>
            <w:rStyle w:val="Hyperlink"/>
            <w:rFonts w:ascii="Times New Roman" w:hAnsi="Times New Roman"/>
            <w:b/>
            <w:sz w:val="24"/>
            <w:szCs w:val="24"/>
          </w:rPr>
          <w:t>https://caselaw.findlaw.com/court/la-court-of-appeal/117104839.html</w:t>
        </w:r>
      </w:hyperlink>
      <w:r w:rsidRPr="0080750A">
        <w:rPr>
          <w:rFonts w:ascii="Times New Roman" w:hAnsi="Times New Roman"/>
          <w:b/>
          <w:sz w:val="24"/>
          <w:szCs w:val="24"/>
        </w:rPr>
        <w:t xml:space="preserve"> </w:t>
      </w:r>
    </w:p>
    <w:p w14:paraId="2024A053" w14:textId="77777777" w:rsidR="0080750A" w:rsidRPr="0080750A" w:rsidRDefault="0080750A" w:rsidP="0080750A">
      <w:pPr>
        <w:pStyle w:val="NoSpacing"/>
        <w:rPr>
          <w:rFonts w:ascii="Times New Roman" w:hAnsi="Times New Roman"/>
          <w:b/>
          <w:sz w:val="24"/>
          <w:szCs w:val="24"/>
        </w:rPr>
      </w:pPr>
    </w:p>
    <w:p w14:paraId="520C5C7E" w14:textId="14807C13" w:rsidR="0080750A" w:rsidRPr="0080750A" w:rsidRDefault="0080750A" w:rsidP="0080750A">
      <w:pPr>
        <w:pStyle w:val="NoSpacing"/>
        <w:rPr>
          <w:rFonts w:ascii="Times New Roman" w:hAnsi="Times New Roman"/>
          <w:b/>
          <w:bCs/>
          <w:sz w:val="24"/>
          <w:szCs w:val="24"/>
        </w:rPr>
      </w:pPr>
      <w:r w:rsidRPr="0080750A">
        <w:rPr>
          <w:rFonts w:ascii="Times New Roman" w:hAnsi="Times New Roman"/>
          <w:b/>
          <w:sz w:val="24"/>
          <w:szCs w:val="24"/>
        </w:rPr>
        <w:t xml:space="preserve">Legal Lesson Learned:  They firefighter wisely kept a log of all positions to which he applied. </w:t>
      </w:r>
    </w:p>
    <w:p w14:paraId="4134F82E" w14:textId="77777777" w:rsidR="009506CE" w:rsidRDefault="009506CE" w:rsidP="00EF1133">
      <w:pPr>
        <w:rPr>
          <w:rFonts w:ascii="Arial Black" w:hAnsi="Arial Black"/>
          <w:b/>
          <w:sz w:val="24"/>
          <w:szCs w:val="24"/>
        </w:rPr>
      </w:pPr>
    </w:p>
    <w:p w14:paraId="33DD8028" w14:textId="77777777" w:rsidR="009506CE" w:rsidRDefault="009506CE" w:rsidP="00EF1133">
      <w:pPr>
        <w:rPr>
          <w:rFonts w:ascii="Arial Black" w:hAnsi="Arial Black"/>
          <w:b/>
          <w:sz w:val="24"/>
          <w:szCs w:val="24"/>
        </w:rPr>
      </w:pPr>
    </w:p>
    <w:p w14:paraId="4D8A5CDC" w14:textId="2821CDB6" w:rsidR="00986728" w:rsidRDefault="00924257" w:rsidP="00EF1133">
      <w:pPr>
        <w:rPr>
          <w:rFonts w:ascii="Arial Black" w:hAnsi="Arial Black"/>
          <w:b/>
          <w:sz w:val="24"/>
          <w:szCs w:val="24"/>
        </w:rPr>
      </w:pPr>
      <w:r>
        <w:rPr>
          <w:rFonts w:ascii="Arial Black" w:hAnsi="Arial Black"/>
          <w:b/>
          <w:sz w:val="24"/>
          <w:szCs w:val="24"/>
        </w:rPr>
        <w:t>6-154</w:t>
      </w:r>
    </w:p>
    <w:p w14:paraId="7428FDC4" w14:textId="77777777" w:rsidR="00433EE5" w:rsidRPr="00FF57DC" w:rsidRDefault="00433EE5" w:rsidP="00433EE5">
      <w:pPr>
        <w:pStyle w:val="NoSpacing"/>
        <w:rPr>
          <w:rFonts w:ascii="Arial Black" w:hAnsi="Arial Black"/>
          <w:bCs/>
          <w:sz w:val="28"/>
          <w:szCs w:val="28"/>
        </w:rPr>
      </w:pPr>
      <w:r>
        <w:rPr>
          <w:rFonts w:ascii="Arial Black" w:hAnsi="Arial Black"/>
          <w:sz w:val="28"/>
          <w:szCs w:val="28"/>
        </w:rPr>
        <w:t>AR: BRAIN CANCER – 2021 LAW NOT RETROACTIVE</w:t>
      </w:r>
    </w:p>
    <w:p w14:paraId="639C47BB" w14:textId="77777777" w:rsidR="00433EE5" w:rsidRDefault="00433EE5" w:rsidP="00433EE5">
      <w:pPr>
        <w:pStyle w:val="NoSpacing"/>
        <w:rPr>
          <w:bCs/>
        </w:rPr>
      </w:pPr>
    </w:p>
    <w:p w14:paraId="7D78B0C3" w14:textId="77777777" w:rsidR="00433EE5" w:rsidRPr="009506CE" w:rsidRDefault="00433EE5" w:rsidP="00433EE5">
      <w:pPr>
        <w:pStyle w:val="NoSpacing"/>
        <w:rPr>
          <w:rFonts w:ascii="Times New Roman" w:hAnsi="Times New Roman"/>
          <w:bCs/>
          <w:sz w:val="24"/>
          <w:szCs w:val="24"/>
        </w:rPr>
      </w:pPr>
      <w:r w:rsidRPr="009506CE">
        <w:rPr>
          <w:rFonts w:ascii="Times New Roman" w:hAnsi="Times New Roman"/>
          <w:sz w:val="24"/>
          <w:szCs w:val="24"/>
        </w:rPr>
        <w:t xml:space="preserve">On March 26, 2025, in </w:t>
      </w:r>
      <w:r w:rsidRPr="009506CE">
        <w:rPr>
          <w:rFonts w:ascii="Times New Roman" w:hAnsi="Times New Roman"/>
          <w:sz w:val="24"/>
          <w:szCs w:val="24"/>
          <w:u w:val="single"/>
        </w:rPr>
        <w:t>Robert Vande Krol v. The Industrial Commission of Arizona, et al</w:t>
      </w:r>
      <w:r w:rsidRPr="009506CE">
        <w:rPr>
          <w:rFonts w:ascii="Times New Roman" w:hAnsi="Times New Roman"/>
          <w:sz w:val="24"/>
          <w:szCs w:val="24"/>
        </w:rPr>
        <w:t xml:space="preserve">., the </w:t>
      </w:r>
    </w:p>
    <w:p w14:paraId="1A223542" w14:textId="77777777" w:rsidR="00433EE5" w:rsidRPr="009506CE" w:rsidRDefault="00433EE5" w:rsidP="00433EE5">
      <w:pPr>
        <w:pStyle w:val="NoSpacing"/>
        <w:rPr>
          <w:rFonts w:ascii="Times New Roman" w:hAnsi="Times New Roman"/>
          <w:bCs/>
          <w:sz w:val="24"/>
          <w:szCs w:val="24"/>
        </w:rPr>
      </w:pPr>
      <w:r w:rsidRPr="009506CE">
        <w:rPr>
          <w:rFonts w:ascii="Times New Roman" w:hAnsi="Times New Roman"/>
          <w:sz w:val="24"/>
          <w:szCs w:val="24"/>
        </w:rPr>
        <w:t xml:space="preserve">Supreme Court of the State of Arizona held (6 to 1) that the firefighter. with 18 years of service. was not entitled to workers compensation because he filed his claim 8 months prior to the effective date of the 2021 statute that put burden of proof on the employer to prove it was not caused by the job.  The Court agreed with the Worker’s Comp Administrative Law Judge that the 2017 stature applied. The ALJ explained that while there is not much research regarding the causes of the unusual brain cancer - oligodendroglioma, “[t]he only known cause is ionizing radiation, which is not present in this case.”  Dr. Ferrara testified that the only known cause of oligodendroglioma is ionizing radiation, and Vande Krol’s record did not show exposure to that form of radiation.  The state’s 2021 statute, where the employer had to prove the cancer was not job related, did not specifically state it was retroactive for pending claims.  </w:t>
      </w:r>
      <w:hyperlink r:id="rId1053" w:history="1">
        <w:r w:rsidRPr="009506CE">
          <w:rPr>
            <w:rStyle w:val="Hyperlink"/>
            <w:rFonts w:ascii="Times New Roman" w:hAnsi="Times New Roman"/>
            <w:sz w:val="24"/>
            <w:szCs w:val="24"/>
          </w:rPr>
          <w:t>https://cases.justia.com/arizona/supreme-court/2025-cv-23-0211-pr.pdf?ts=1743008459</w:t>
        </w:r>
      </w:hyperlink>
      <w:r w:rsidRPr="009506CE">
        <w:rPr>
          <w:rFonts w:ascii="Times New Roman" w:hAnsi="Times New Roman"/>
          <w:sz w:val="24"/>
          <w:szCs w:val="24"/>
        </w:rPr>
        <w:t xml:space="preserve"> </w:t>
      </w:r>
    </w:p>
    <w:p w14:paraId="1C232474" w14:textId="77777777" w:rsidR="00924257" w:rsidRPr="009506CE" w:rsidRDefault="00924257" w:rsidP="00EF1133">
      <w:pPr>
        <w:rPr>
          <w:rFonts w:ascii="Times New Roman" w:hAnsi="Times New Roman"/>
          <w:b/>
          <w:sz w:val="24"/>
          <w:szCs w:val="24"/>
        </w:rPr>
      </w:pPr>
    </w:p>
    <w:p w14:paraId="011D9585" w14:textId="77777777" w:rsidR="009506CE" w:rsidRPr="009506CE" w:rsidRDefault="009506CE" w:rsidP="009506CE">
      <w:pPr>
        <w:pStyle w:val="NoSpacing"/>
        <w:rPr>
          <w:rFonts w:ascii="Times New Roman" w:hAnsi="Times New Roman"/>
          <w:b/>
          <w:sz w:val="24"/>
          <w:szCs w:val="24"/>
        </w:rPr>
      </w:pPr>
      <w:r w:rsidRPr="009506CE">
        <w:rPr>
          <w:rFonts w:ascii="Times New Roman" w:hAnsi="Times New Roman"/>
          <w:b/>
          <w:sz w:val="24"/>
          <w:szCs w:val="24"/>
        </w:rPr>
        <w:t xml:space="preserve">Legal Lesson Learned: The 2021 statute is very helpful to firefighters; it is a shame that the legislature did not specifically include a provision holding it was retroactive to pending claims. </w:t>
      </w:r>
    </w:p>
    <w:p w14:paraId="66FDB48E" w14:textId="77777777" w:rsidR="009506CE" w:rsidRPr="009506CE" w:rsidRDefault="009506CE" w:rsidP="009506CE">
      <w:pPr>
        <w:pStyle w:val="NoSpacing"/>
        <w:rPr>
          <w:rFonts w:ascii="Times New Roman" w:hAnsi="Times New Roman"/>
          <w:bCs/>
          <w:sz w:val="24"/>
          <w:szCs w:val="24"/>
        </w:rPr>
      </w:pPr>
    </w:p>
    <w:p w14:paraId="2E048FFE" w14:textId="77777777" w:rsidR="009506CE" w:rsidRPr="009506CE" w:rsidRDefault="009506CE" w:rsidP="009506CE">
      <w:pPr>
        <w:pStyle w:val="NoSpacing"/>
        <w:rPr>
          <w:rFonts w:ascii="Times New Roman" w:hAnsi="Times New Roman"/>
          <w:bCs/>
          <w:sz w:val="24"/>
          <w:szCs w:val="24"/>
        </w:rPr>
      </w:pPr>
      <w:r w:rsidRPr="009506CE">
        <w:rPr>
          <w:rFonts w:ascii="Times New Roman" w:hAnsi="Times New Roman"/>
          <w:sz w:val="24"/>
          <w:szCs w:val="24"/>
        </w:rPr>
        <w:tab/>
        <w:t>Note: Dissenting Justice Montgomery wrote:</w:t>
      </w:r>
    </w:p>
    <w:p w14:paraId="0014D181" w14:textId="77777777" w:rsidR="009506CE" w:rsidRPr="009506CE" w:rsidRDefault="009506CE" w:rsidP="009506CE">
      <w:pPr>
        <w:pStyle w:val="NoSpacing"/>
        <w:rPr>
          <w:rFonts w:ascii="Times New Roman" w:hAnsi="Times New Roman"/>
          <w:bCs/>
          <w:sz w:val="24"/>
          <w:szCs w:val="24"/>
        </w:rPr>
      </w:pPr>
    </w:p>
    <w:p w14:paraId="39B5E741" w14:textId="77777777" w:rsidR="009506CE" w:rsidRPr="009506CE" w:rsidRDefault="009506CE" w:rsidP="009506CE">
      <w:pPr>
        <w:pStyle w:val="NoSpacing"/>
        <w:ind w:left="720"/>
        <w:rPr>
          <w:rFonts w:ascii="Times New Roman" w:hAnsi="Times New Roman"/>
          <w:bCs/>
          <w:sz w:val="24"/>
          <w:szCs w:val="24"/>
        </w:rPr>
      </w:pPr>
      <w:r w:rsidRPr="009506CE">
        <w:rPr>
          <w:rFonts w:ascii="Times New Roman" w:hAnsi="Times New Roman"/>
          <w:sz w:val="24"/>
          <w:szCs w:val="24"/>
        </w:rPr>
        <w:t>“As amended in 2021, § 23-901.09(A)(1) provides: ‘Any disease, infirmity or impairment of a firefighter’s . . . health that is caused by brain . . . cancer . . . and that results in disability or death is presumed to be an occupational disease . . . and is deemed to arise out of employment.’ § 23-901.09(A)(1) (2021) (the “Presumption”)….  And § 23-901.09(C) specifies that the Presumption applies to firefighters who are: 1) currently in service, and 2) aged sixty-five or younger and diagnosed with brain cancer not more than fifteen years after their last date of employment as a firefighter…. The Amendments also made changes to sections of title 20 that permitted insurers to raise statewide insurance rates and adjust premiums related to firefighter workers’ compensation claims brought</w:t>
      </w:r>
    </w:p>
    <w:p w14:paraId="12757498" w14:textId="77777777" w:rsidR="009506CE" w:rsidRPr="009506CE" w:rsidRDefault="009506CE" w:rsidP="009506CE">
      <w:pPr>
        <w:pStyle w:val="NoSpacing"/>
        <w:ind w:left="720"/>
        <w:rPr>
          <w:rFonts w:ascii="Times New Roman" w:hAnsi="Times New Roman"/>
          <w:bCs/>
          <w:sz w:val="24"/>
          <w:szCs w:val="24"/>
        </w:rPr>
      </w:pPr>
      <w:r w:rsidRPr="009506CE">
        <w:rPr>
          <w:rFonts w:ascii="Times New Roman" w:hAnsi="Times New Roman"/>
          <w:sz w:val="24"/>
          <w:szCs w:val="24"/>
        </w:rPr>
        <w:t xml:space="preserve">under the Presumption. See 2021 Ariz. Sess. Laws </w:t>
      </w:r>
      <w:proofErr w:type="spellStart"/>
      <w:r w:rsidRPr="009506CE">
        <w:rPr>
          <w:rFonts w:ascii="Times New Roman" w:hAnsi="Times New Roman"/>
          <w:sz w:val="24"/>
          <w:szCs w:val="24"/>
        </w:rPr>
        <w:t>ch.</w:t>
      </w:r>
      <w:proofErr w:type="spellEnd"/>
      <w:r w:rsidRPr="009506CE">
        <w:rPr>
          <w:rFonts w:ascii="Times New Roman" w:hAnsi="Times New Roman"/>
          <w:sz w:val="24"/>
          <w:szCs w:val="24"/>
        </w:rPr>
        <w:t xml:space="preserve"> 229, §§ 1–3 (1st Reg.</w:t>
      </w:r>
    </w:p>
    <w:p w14:paraId="3F06B360" w14:textId="77777777" w:rsidR="009506CE" w:rsidRDefault="009506CE" w:rsidP="009506CE">
      <w:pPr>
        <w:pStyle w:val="NoSpacing"/>
        <w:ind w:left="720"/>
        <w:rPr>
          <w:bCs/>
        </w:rPr>
      </w:pPr>
      <w:r w:rsidRPr="009506CE">
        <w:rPr>
          <w:rFonts w:ascii="Times New Roman" w:hAnsi="Times New Roman"/>
          <w:sz w:val="24"/>
          <w:szCs w:val="24"/>
        </w:rPr>
        <w:t xml:space="preserve">Sess.).  Accordingly, I would affirm the court of appeals’ conclusion, albeit with different reasoning, and set aside the ALJ’s decision.”  </w:t>
      </w:r>
      <w:hyperlink r:id="rId1054" w:history="1">
        <w:r w:rsidRPr="009506CE">
          <w:rPr>
            <w:rStyle w:val="Hyperlink"/>
            <w:rFonts w:ascii="Times New Roman" w:hAnsi="Times New Roman"/>
            <w:sz w:val="24"/>
            <w:szCs w:val="24"/>
          </w:rPr>
          <w:t>https://cases.justia.com/arizona/supreme-court/2025-cv-23-0211-pr.pdf?ts=1743008459</w:t>
        </w:r>
      </w:hyperlink>
      <w:r>
        <w:t xml:space="preserve"> </w:t>
      </w:r>
    </w:p>
    <w:p w14:paraId="09CFB9F5" w14:textId="77777777" w:rsidR="009506CE" w:rsidRDefault="009506CE" w:rsidP="00EF1133">
      <w:pPr>
        <w:rPr>
          <w:rFonts w:ascii="Arial Black" w:hAnsi="Arial Black"/>
          <w:b/>
          <w:sz w:val="24"/>
          <w:szCs w:val="24"/>
        </w:rPr>
      </w:pPr>
    </w:p>
    <w:p w14:paraId="023E5752" w14:textId="77777777" w:rsidR="00924257" w:rsidRDefault="00924257" w:rsidP="00EF1133">
      <w:pPr>
        <w:rPr>
          <w:rFonts w:ascii="Arial Black" w:hAnsi="Arial Black"/>
          <w:b/>
          <w:sz w:val="24"/>
          <w:szCs w:val="24"/>
        </w:rPr>
      </w:pPr>
    </w:p>
    <w:p w14:paraId="71DC4519" w14:textId="66B32925" w:rsidR="00986728" w:rsidRDefault="00986728" w:rsidP="00EF1133">
      <w:pPr>
        <w:rPr>
          <w:rFonts w:ascii="Arial Black" w:hAnsi="Arial Black"/>
          <w:b/>
          <w:sz w:val="24"/>
          <w:szCs w:val="24"/>
        </w:rPr>
      </w:pPr>
      <w:r>
        <w:rPr>
          <w:rFonts w:ascii="Arial Black" w:hAnsi="Arial Black"/>
          <w:b/>
          <w:sz w:val="24"/>
          <w:szCs w:val="24"/>
        </w:rPr>
        <w:t>6-153</w:t>
      </w:r>
    </w:p>
    <w:p w14:paraId="4517BC2F" w14:textId="77777777" w:rsidR="00986728" w:rsidRPr="00457642" w:rsidRDefault="00986728" w:rsidP="00986728">
      <w:pPr>
        <w:pStyle w:val="NoSpacing"/>
        <w:rPr>
          <w:rFonts w:ascii="Arial Black" w:hAnsi="Arial Black"/>
          <w:b/>
          <w:sz w:val="28"/>
          <w:szCs w:val="28"/>
        </w:rPr>
      </w:pPr>
      <w:r>
        <w:rPr>
          <w:rFonts w:ascii="Arial Black" w:hAnsi="Arial Black"/>
          <w:b/>
          <w:sz w:val="28"/>
          <w:szCs w:val="28"/>
        </w:rPr>
        <w:t xml:space="preserve">PA: FF DIED CANCER – WIFE GETS 51% WAGE / 9 YR FIGHT </w:t>
      </w:r>
    </w:p>
    <w:p w14:paraId="3A9B30FD" w14:textId="77777777" w:rsidR="00986728" w:rsidRDefault="00986728" w:rsidP="00986728">
      <w:pPr>
        <w:pStyle w:val="NoSpacing"/>
        <w:rPr>
          <w:bCs/>
        </w:rPr>
      </w:pPr>
    </w:p>
    <w:p w14:paraId="352E1CE8" w14:textId="6EB3328C" w:rsidR="00986728" w:rsidRPr="00924257" w:rsidRDefault="00986728" w:rsidP="00986728">
      <w:pPr>
        <w:rPr>
          <w:rFonts w:ascii="Times New Roman" w:hAnsi="Times New Roman"/>
          <w:sz w:val="24"/>
          <w:szCs w:val="24"/>
        </w:rPr>
      </w:pPr>
      <w:r w:rsidRPr="00924257">
        <w:rPr>
          <w:rFonts w:ascii="Times New Roman" w:hAnsi="Times New Roman"/>
          <w:sz w:val="24"/>
          <w:szCs w:val="24"/>
        </w:rPr>
        <w:t xml:space="preserve">On March 19, 2025, in </w:t>
      </w:r>
      <w:r w:rsidRPr="00924257">
        <w:rPr>
          <w:rFonts w:ascii="Times New Roman" w:hAnsi="Times New Roman"/>
          <w:sz w:val="24"/>
          <w:szCs w:val="24"/>
          <w:u w:val="single"/>
        </w:rPr>
        <w:t>City of Philadelphia v. Larry Thompson (Workers’ Compensation Appeal Board)</w:t>
      </w:r>
      <w:r w:rsidRPr="00924257">
        <w:rPr>
          <w:rFonts w:ascii="Times New Roman" w:hAnsi="Times New Roman"/>
          <w:sz w:val="24"/>
          <w:szCs w:val="24"/>
        </w:rPr>
        <w:t xml:space="preserve">, the Commonwealth Court of Pennsylvania held (3 to 0; unpublished decision) upheld the award of work related death benefits to the wife of a 25-year Philadelphia firefighter; he died  on May 11, 2013 of non-Hodgkin’s lymphoma, and she filed her claim in 2016.  The City has fought her claim for 9 years -  including appealing May 4, </w:t>
      </w:r>
      <w:proofErr w:type="gramStart"/>
      <w:r w:rsidRPr="00924257">
        <w:rPr>
          <w:rFonts w:ascii="Times New Roman" w:hAnsi="Times New Roman"/>
          <w:sz w:val="24"/>
          <w:szCs w:val="24"/>
        </w:rPr>
        <w:t>2018</w:t>
      </w:r>
      <w:proofErr w:type="gramEnd"/>
      <w:r w:rsidRPr="00924257">
        <w:rPr>
          <w:rFonts w:ascii="Times New Roman" w:hAnsi="Times New Roman"/>
          <w:sz w:val="24"/>
          <w:szCs w:val="24"/>
        </w:rPr>
        <w:t xml:space="preserve"> ruling in her favor by Workers Comp Judge, and WC Board ruling in her favor on July 21, 2021, and their petition to this Court. </w:t>
      </w:r>
      <w:hyperlink r:id="rId1055" w:history="1">
        <w:r w:rsidRPr="00924257">
          <w:rPr>
            <w:rStyle w:val="Hyperlink"/>
            <w:rFonts w:ascii="Times New Roman" w:hAnsi="Times New Roman"/>
            <w:sz w:val="24"/>
            <w:szCs w:val="24"/>
          </w:rPr>
          <w:t>https://cases.justia.com/pennsylvania/commonwealth-court/2025-923-c-d-2021.pdf?ts=1742398374</w:t>
        </w:r>
      </w:hyperlink>
    </w:p>
    <w:p w14:paraId="194DED79" w14:textId="77777777" w:rsidR="00F93AE8" w:rsidRPr="00F93AE8" w:rsidRDefault="00F93AE8" w:rsidP="00F93AE8">
      <w:pPr>
        <w:pStyle w:val="NoSpacing"/>
        <w:rPr>
          <w:rFonts w:ascii="Times New Roman" w:hAnsi="Times New Roman"/>
          <w:b/>
          <w:sz w:val="24"/>
          <w:szCs w:val="24"/>
        </w:rPr>
      </w:pPr>
      <w:r w:rsidRPr="00F93AE8">
        <w:rPr>
          <w:rFonts w:ascii="Times New Roman" w:hAnsi="Times New Roman"/>
          <w:b/>
          <w:sz w:val="24"/>
          <w:szCs w:val="24"/>
        </w:rPr>
        <w:t xml:space="preserve">Legal Lesson Learned: Keep records of your exposure to fires and hazardous materials, to support testimony by your expert witness. </w:t>
      </w:r>
    </w:p>
    <w:p w14:paraId="5D9C074F" w14:textId="77777777" w:rsidR="00F93AE8" w:rsidRPr="00063B93" w:rsidRDefault="00F93AE8" w:rsidP="00F93AE8">
      <w:pPr>
        <w:pStyle w:val="NoSpacing"/>
        <w:rPr>
          <w:b/>
        </w:rPr>
      </w:pPr>
    </w:p>
    <w:p w14:paraId="34602CFA" w14:textId="77777777" w:rsidR="00924257" w:rsidRPr="00063B93" w:rsidRDefault="00924257" w:rsidP="00924257">
      <w:pPr>
        <w:pStyle w:val="NoSpacing"/>
        <w:rPr>
          <w:b/>
        </w:rPr>
      </w:pPr>
    </w:p>
    <w:p w14:paraId="6A1A2CE8" w14:textId="77777777" w:rsidR="00986728" w:rsidRDefault="00986728" w:rsidP="00EF1133">
      <w:pPr>
        <w:rPr>
          <w:rFonts w:ascii="Arial Black" w:hAnsi="Arial Black"/>
          <w:b/>
          <w:sz w:val="24"/>
          <w:szCs w:val="24"/>
        </w:rPr>
      </w:pPr>
    </w:p>
    <w:p w14:paraId="5E111C04" w14:textId="2A53C0DA" w:rsidR="00045450" w:rsidRDefault="00BF6F6C" w:rsidP="00EF1133">
      <w:pPr>
        <w:rPr>
          <w:rFonts w:ascii="Arial Black" w:hAnsi="Arial Black"/>
          <w:b/>
          <w:sz w:val="24"/>
          <w:szCs w:val="24"/>
        </w:rPr>
      </w:pPr>
      <w:r>
        <w:rPr>
          <w:rFonts w:ascii="Arial Black" w:hAnsi="Arial Black"/>
          <w:b/>
          <w:sz w:val="24"/>
          <w:szCs w:val="24"/>
        </w:rPr>
        <w:t>6-152</w:t>
      </w:r>
    </w:p>
    <w:p w14:paraId="46DF1A05" w14:textId="77777777" w:rsidR="000A5F54" w:rsidRPr="000B7F2C" w:rsidRDefault="000A5F54" w:rsidP="000A5F54">
      <w:pPr>
        <w:rPr>
          <w:rFonts w:ascii="Arial Black" w:hAnsi="Arial Black"/>
          <w:b/>
          <w:sz w:val="28"/>
          <w:szCs w:val="28"/>
        </w:rPr>
      </w:pPr>
      <w:r w:rsidRPr="000B7F2C">
        <w:rPr>
          <w:rFonts w:ascii="Arial Black" w:hAnsi="Arial Black"/>
          <w:b/>
          <w:sz w:val="28"/>
          <w:szCs w:val="28"/>
        </w:rPr>
        <w:t xml:space="preserve">IL: </w:t>
      </w:r>
      <w:r>
        <w:rPr>
          <w:rFonts w:ascii="Arial Black" w:hAnsi="Arial Black"/>
          <w:b/>
          <w:sz w:val="28"/>
          <w:szCs w:val="28"/>
        </w:rPr>
        <w:t xml:space="preserve">DIAB. </w:t>
      </w:r>
      <w:r w:rsidRPr="000B7F2C">
        <w:rPr>
          <w:rFonts w:ascii="Arial Black" w:hAnsi="Arial Black"/>
          <w:b/>
          <w:sz w:val="28"/>
          <w:szCs w:val="28"/>
        </w:rPr>
        <w:t xml:space="preserve">HEALTH INSUR </w:t>
      </w:r>
      <w:r>
        <w:rPr>
          <w:rFonts w:ascii="Arial Black" w:hAnsi="Arial Black"/>
          <w:b/>
          <w:sz w:val="28"/>
          <w:szCs w:val="28"/>
        </w:rPr>
        <w:t xml:space="preserve">IF </w:t>
      </w:r>
      <w:r w:rsidRPr="000B7F2C">
        <w:rPr>
          <w:rFonts w:ascii="Arial Black" w:hAnsi="Arial Black"/>
          <w:b/>
          <w:sz w:val="28"/>
          <w:szCs w:val="28"/>
        </w:rPr>
        <w:t xml:space="preserve">“EMERGENCY” </w:t>
      </w:r>
      <w:r>
        <w:rPr>
          <w:rFonts w:ascii="Arial Black" w:hAnsi="Arial Black"/>
          <w:b/>
          <w:sz w:val="28"/>
          <w:szCs w:val="28"/>
        </w:rPr>
        <w:t xml:space="preserve">-  </w:t>
      </w:r>
      <w:r w:rsidRPr="000B7F2C">
        <w:rPr>
          <w:rFonts w:ascii="Arial Black" w:hAnsi="Arial Black"/>
          <w:b/>
          <w:sz w:val="28"/>
          <w:szCs w:val="28"/>
        </w:rPr>
        <w:t>LIFT</w:t>
      </w:r>
      <w:r>
        <w:rPr>
          <w:rFonts w:ascii="Arial Black" w:hAnsi="Arial Black"/>
          <w:b/>
          <w:sz w:val="28"/>
          <w:szCs w:val="28"/>
        </w:rPr>
        <w:t xml:space="preserve"> PT</w:t>
      </w:r>
    </w:p>
    <w:p w14:paraId="77F600DD" w14:textId="77777777" w:rsidR="000A5F54" w:rsidRPr="000A5F54" w:rsidRDefault="000A5F54" w:rsidP="000A5F54">
      <w:pPr>
        <w:rPr>
          <w:rFonts w:ascii="Times New Roman" w:hAnsi="Times New Roman"/>
          <w:sz w:val="24"/>
          <w:szCs w:val="24"/>
        </w:rPr>
      </w:pPr>
      <w:r w:rsidRPr="000A5F54">
        <w:rPr>
          <w:rFonts w:ascii="Times New Roman" w:hAnsi="Times New Roman"/>
          <w:sz w:val="24"/>
          <w:szCs w:val="24"/>
        </w:rPr>
        <w:t xml:space="preserve">On Feb. 20, 2925, in </w:t>
      </w:r>
      <w:r w:rsidRPr="000A5F54">
        <w:rPr>
          <w:rFonts w:ascii="Times New Roman" w:hAnsi="Times New Roman"/>
          <w:sz w:val="24"/>
          <w:szCs w:val="24"/>
          <w:u w:val="single"/>
        </w:rPr>
        <w:t>Charles R. Ford v. Village of Northbrook, et al</w:t>
      </w:r>
      <w:r w:rsidRPr="000A5F54">
        <w:rPr>
          <w:rFonts w:ascii="Times New Roman" w:hAnsi="Times New Roman"/>
          <w:sz w:val="24"/>
          <w:szCs w:val="24"/>
        </w:rPr>
        <w:t xml:space="preserve">., the Court of Appeals of Illinois, First District, Fourth Division, held (3 to 0) that the trial court correctly held the firefighter was met the definition of the health insurance statute – he was injured in “response to what is reasonably believed to be an emergency.” The had responded non-fire emergent to a “person feeling week” – and found patient (325-pounds, 65-years old) sitting on the toilet with two family members holding her upright.  They used a stair chair, moved her the ambulance, and transported her red lights and siren.   While moving her to hospital bed he felt pain in his right shoulder.  The shoulder showed no fracture or dislocation, but Mr. Ford had a narrowing of his cervical spine in certain areas. An MRI also showed a narrowing of Mr. Ford’s cervical spine, and he received a line-of-duty pension, but the Village denied health insurance since the emergency transport had concluded.   </w:t>
      </w:r>
      <w:hyperlink r:id="rId1056" w:history="1">
        <w:r w:rsidRPr="000A5F54">
          <w:rPr>
            <w:rStyle w:val="Hyperlink"/>
            <w:rFonts w:ascii="Times New Roman" w:hAnsi="Times New Roman"/>
            <w:sz w:val="24"/>
            <w:szCs w:val="24"/>
          </w:rPr>
          <w:t>https://ilcourtsaudio.blob.core.windows.net/antilles-resources/resources/09ac8ced-f502-4e22-9f67-a03c9e14d801/Ford%20v.%20Village%20of%20Northbrook,%202025%20IL%20App%20(1st)%20231952-U.pdf</w:t>
        </w:r>
      </w:hyperlink>
      <w:r w:rsidRPr="000A5F54">
        <w:rPr>
          <w:rFonts w:ascii="Times New Roman" w:hAnsi="Times New Roman"/>
          <w:sz w:val="24"/>
          <w:szCs w:val="24"/>
        </w:rPr>
        <w:t xml:space="preserve"> </w:t>
      </w:r>
    </w:p>
    <w:p w14:paraId="338C1054" w14:textId="77777777" w:rsidR="000A5F54" w:rsidRPr="000A5F54" w:rsidRDefault="000A5F54" w:rsidP="000A5F54">
      <w:pPr>
        <w:rPr>
          <w:rFonts w:ascii="Times New Roman" w:hAnsi="Times New Roman"/>
          <w:sz w:val="24"/>
          <w:szCs w:val="24"/>
        </w:rPr>
      </w:pPr>
      <w:r w:rsidRPr="000A5F54">
        <w:rPr>
          <w:rFonts w:ascii="Times New Roman" w:hAnsi="Times New Roman"/>
          <w:sz w:val="24"/>
          <w:szCs w:val="24"/>
        </w:rPr>
        <w:t>The Court wrote:</w:t>
      </w:r>
    </w:p>
    <w:p w14:paraId="1F5B2BAD" w14:textId="77777777" w:rsidR="000A5F54" w:rsidRPr="000A5F54" w:rsidRDefault="000A5F54" w:rsidP="000A5F54">
      <w:pPr>
        <w:pStyle w:val="NoSpacing"/>
        <w:ind w:firstLine="720"/>
        <w:rPr>
          <w:rFonts w:ascii="Times New Roman" w:hAnsi="Times New Roman"/>
          <w:sz w:val="24"/>
          <w:szCs w:val="24"/>
        </w:rPr>
      </w:pPr>
      <w:r w:rsidRPr="000A5F54">
        <w:rPr>
          <w:rFonts w:ascii="Times New Roman" w:hAnsi="Times New Roman"/>
          <w:sz w:val="24"/>
          <w:szCs w:val="24"/>
        </w:rPr>
        <w:t>“The circuit court granted Mr. Ford’s writ of certiorari, finding that the Village’s</w:t>
      </w:r>
    </w:p>
    <w:p w14:paraId="07A7586E" w14:textId="77777777" w:rsidR="000A5F54" w:rsidRPr="000A5F54" w:rsidRDefault="000A5F54" w:rsidP="000A5F54">
      <w:pPr>
        <w:pStyle w:val="NoSpacing"/>
        <w:ind w:left="720"/>
        <w:rPr>
          <w:rFonts w:ascii="Times New Roman" w:hAnsi="Times New Roman"/>
          <w:sz w:val="24"/>
          <w:szCs w:val="24"/>
        </w:rPr>
      </w:pPr>
      <w:r w:rsidRPr="000A5F54">
        <w:rPr>
          <w:rFonts w:ascii="Times New Roman" w:hAnsi="Times New Roman"/>
          <w:sz w:val="24"/>
          <w:szCs w:val="24"/>
        </w:rPr>
        <w:t>determination that Mr. Ford was not injured while responding to what he reasonably believed to be an emergency was clearly erroneous. The court observed that the medical records showed that the patient presented with pale skin, was on numerous medications, was complaining of pain, and was given oxygen in the ambulance. The court noted at the time Mr. Ford was injured while transferring the patient, he did not have a diagnosis for the patient, did not know the cause of her pain, and could not have known if the emergency had passed. The court determined that it was reasonable for Mr. Ford to believe that the emergency was ongoing. The court therefore reversed the decision of the Village and instructed the Village to provide Mr. Ford health insurance benefits under the Act.</w:t>
      </w:r>
    </w:p>
    <w:p w14:paraId="39F81980" w14:textId="77777777" w:rsidR="000A5F54" w:rsidRPr="000A5F54" w:rsidRDefault="000A5F54" w:rsidP="000A5F54">
      <w:pPr>
        <w:pStyle w:val="NoSpacing"/>
        <w:rPr>
          <w:rFonts w:ascii="Times New Roman" w:hAnsi="Times New Roman"/>
          <w:sz w:val="24"/>
          <w:szCs w:val="24"/>
        </w:rPr>
      </w:pPr>
    </w:p>
    <w:p w14:paraId="7DF71D69" w14:textId="77777777" w:rsidR="000A5F54" w:rsidRPr="000A5F54" w:rsidRDefault="000A5F54" w:rsidP="000A5F54">
      <w:pPr>
        <w:pStyle w:val="NoSpacing"/>
        <w:ind w:firstLine="720"/>
        <w:rPr>
          <w:rFonts w:ascii="Times New Roman" w:hAnsi="Times New Roman"/>
          <w:sz w:val="24"/>
          <w:szCs w:val="24"/>
        </w:rPr>
      </w:pPr>
      <w:r w:rsidRPr="000A5F54">
        <w:rPr>
          <w:rFonts w:ascii="Times New Roman" w:hAnsi="Times New Roman"/>
          <w:sz w:val="24"/>
          <w:szCs w:val="24"/>
        </w:rPr>
        <w:t>***</w:t>
      </w:r>
    </w:p>
    <w:p w14:paraId="0C304427" w14:textId="77777777" w:rsidR="000A5F54" w:rsidRPr="000A5F54" w:rsidRDefault="000A5F54" w:rsidP="000A5F54">
      <w:pPr>
        <w:pStyle w:val="NoSpacing"/>
        <w:ind w:firstLine="720"/>
        <w:rPr>
          <w:rFonts w:ascii="Times New Roman" w:hAnsi="Times New Roman"/>
          <w:sz w:val="24"/>
          <w:szCs w:val="24"/>
        </w:rPr>
      </w:pPr>
      <w:r w:rsidRPr="000A5F54">
        <w:rPr>
          <w:rFonts w:ascii="Times New Roman" w:hAnsi="Times New Roman"/>
          <w:sz w:val="24"/>
          <w:szCs w:val="24"/>
        </w:rPr>
        <w:t xml:space="preserve">Accordingly, we find that these facts establish that Mr. Ford was injured </w:t>
      </w:r>
      <w:proofErr w:type="gramStart"/>
      <w:r w:rsidRPr="000A5F54">
        <w:rPr>
          <w:rFonts w:ascii="Times New Roman" w:hAnsi="Times New Roman"/>
          <w:sz w:val="24"/>
          <w:szCs w:val="24"/>
        </w:rPr>
        <w:t>as a result of</w:t>
      </w:r>
      <w:proofErr w:type="gramEnd"/>
      <w:r w:rsidRPr="000A5F54">
        <w:rPr>
          <w:rFonts w:ascii="Times New Roman" w:hAnsi="Times New Roman"/>
          <w:sz w:val="24"/>
          <w:szCs w:val="24"/>
        </w:rPr>
        <w:t xml:space="preserve"> his</w:t>
      </w:r>
    </w:p>
    <w:p w14:paraId="32B33B26" w14:textId="77777777" w:rsidR="000A5F54" w:rsidRPr="000A5F54" w:rsidRDefault="000A5F54" w:rsidP="000A5F54">
      <w:pPr>
        <w:pStyle w:val="NoSpacing"/>
        <w:ind w:left="720"/>
        <w:rPr>
          <w:rFonts w:ascii="Times New Roman" w:hAnsi="Times New Roman"/>
          <w:sz w:val="24"/>
          <w:szCs w:val="24"/>
        </w:rPr>
      </w:pPr>
      <w:r w:rsidRPr="000A5F54">
        <w:rPr>
          <w:rFonts w:ascii="Times New Roman" w:hAnsi="Times New Roman"/>
          <w:sz w:val="24"/>
          <w:szCs w:val="24"/>
        </w:rPr>
        <w:t>response to what he reasonably believed to be an emergency. We are therefore left with the definite and firm conviction that the Village’s finding to the contrary was clearly erroneous. We find that, under the circumstances of this case, Mr. Ford was entitled to benefits under section 10 of the Act and we affirm the judgment of the circuit court reversing the decision of the Village.”</w:t>
      </w:r>
    </w:p>
    <w:p w14:paraId="20F0F660" w14:textId="77777777" w:rsidR="000A5F54" w:rsidRPr="000A5F54" w:rsidRDefault="000A5F54" w:rsidP="000A5F54">
      <w:pPr>
        <w:pStyle w:val="NoSpacing"/>
        <w:rPr>
          <w:rFonts w:ascii="Times New Roman" w:hAnsi="Times New Roman"/>
          <w:sz w:val="24"/>
          <w:szCs w:val="24"/>
        </w:rPr>
      </w:pPr>
    </w:p>
    <w:p w14:paraId="572884FC" w14:textId="77777777" w:rsidR="000A5F54" w:rsidRPr="000A5F54" w:rsidRDefault="000A5F54" w:rsidP="000A5F54">
      <w:pPr>
        <w:pStyle w:val="NoSpacing"/>
        <w:rPr>
          <w:rFonts w:ascii="Times New Roman" w:hAnsi="Times New Roman"/>
          <w:b/>
          <w:bCs/>
          <w:sz w:val="24"/>
          <w:szCs w:val="24"/>
        </w:rPr>
      </w:pPr>
      <w:r w:rsidRPr="000A5F54">
        <w:rPr>
          <w:rFonts w:ascii="Times New Roman" w:hAnsi="Times New Roman"/>
          <w:b/>
          <w:sz w:val="24"/>
          <w:szCs w:val="24"/>
        </w:rPr>
        <w:t xml:space="preserve">Legal Lesson Learned:  The firefighter won his appeal; court viewed the entirety of the EMS run as an emergency, including the transport and lifting her on hospital bed. </w:t>
      </w:r>
    </w:p>
    <w:p w14:paraId="7732FD32" w14:textId="77777777" w:rsidR="00BF6F6C" w:rsidRPr="000A5F54" w:rsidRDefault="00BF6F6C" w:rsidP="00EF1133">
      <w:pPr>
        <w:rPr>
          <w:rFonts w:ascii="Times New Roman" w:hAnsi="Times New Roman"/>
          <w:b/>
          <w:sz w:val="24"/>
          <w:szCs w:val="24"/>
        </w:rPr>
      </w:pPr>
    </w:p>
    <w:p w14:paraId="22AAFD78" w14:textId="77777777" w:rsidR="00045450" w:rsidRPr="000A5F54" w:rsidRDefault="00045450" w:rsidP="00EF1133">
      <w:pPr>
        <w:rPr>
          <w:rFonts w:ascii="Times New Roman" w:hAnsi="Times New Roman"/>
          <w:b/>
          <w:sz w:val="24"/>
          <w:szCs w:val="24"/>
        </w:rPr>
      </w:pPr>
    </w:p>
    <w:p w14:paraId="3D7D6216" w14:textId="3755CAC7" w:rsidR="00045450" w:rsidRDefault="00045450" w:rsidP="00EF1133">
      <w:pPr>
        <w:rPr>
          <w:rFonts w:ascii="Arial Black" w:hAnsi="Arial Black"/>
          <w:b/>
          <w:sz w:val="24"/>
          <w:szCs w:val="24"/>
        </w:rPr>
      </w:pPr>
      <w:r>
        <w:rPr>
          <w:rFonts w:ascii="Arial Black" w:hAnsi="Arial Black"/>
          <w:b/>
          <w:sz w:val="24"/>
          <w:szCs w:val="24"/>
        </w:rPr>
        <w:t>6-151</w:t>
      </w:r>
    </w:p>
    <w:p w14:paraId="1684856A" w14:textId="77777777" w:rsidR="00045450" w:rsidRPr="000B7F2C" w:rsidRDefault="00045450" w:rsidP="00045450">
      <w:pPr>
        <w:rPr>
          <w:rFonts w:ascii="Arial Black" w:hAnsi="Arial Black"/>
          <w:sz w:val="28"/>
          <w:szCs w:val="28"/>
        </w:rPr>
      </w:pPr>
      <w:r w:rsidRPr="000B7F2C">
        <w:rPr>
          <w:rFonts w:ascii="Arial Black" w:hAnsi="Arial Black"/>
          <w:sz w:val="28"/>
          <w:szCs w:val="28"/>
        </w:rPr>
        <w:t>MO: CARPEL TUNNEL –</w:t>
      </w:r>
      <w:r>
        <w:rPr>
          <w:rFonts w:ascii="Arial Black" w:hAnsi="Arial Black"/>
          <w:sz w:val="28"/>
          <w:szCs w:val="28"/>
        </w:rPr>
        <w:t xml:space="preserve"> </w:t>
      </w:r>
      <w:r w:rsidRPr="000B7F2C">
        <w:rPr>
          <w:rFonts w:ascii="Arial Black" w:hAnsi="Arial Black"/>
          <w:sz w:val="28"/>
          <w:szCs w:val="28"/>
        </w:rPr>
        <w:t>3 MDs AGREE</w:t>
      </w:r>
      <w:r>
        <w:rPr>
          <w:rFonts w:ascii="Arial Black" w:hAnsi="Arial Black"/>
          <w:sz w:val="28"/>
          <w:szCs w:val="28"/>
        </w:rPr>
        <w:t xml:space="preserve"> </w:t>
      </w:r>
      <w:r w:rsidRPr="000B7F2C">
        <w:rPr>
          <w:rFonts w:ascii="Arial Black" w:hAnsi="Arial Black"/>
          <w:sz w:val="28"/>
          <w:szCs w:val="28"/>
        </w:rPr>
        <w:t xml:space="preserve">“DUTY-RELATED” </w:t>
      </w:r>
    </w:p>
    <w:p w14:paraId="74FEE003" w14:textId="77777777" w:rsidR="00045450" w:rsidRPr="00045450" w:rsidRDefault="00045450" w:rsidP="00045450">
      <w:pPr>
        <w:rPr>
          <w:rFonts w:ascii="Times New Roman" w:hAnsi="Times New Roman"/>
          <w:sz w:val="24"/>
          <w:szCs w:val="24"/>
        </w:rPr>
      </w:pPr>
      <w:r w:rsidRPr="00045450">
        <w:rPr>
          <w:rFonts w:ascii="Times New Roman" w:hAnsi="Times New Roman"/>
          <w:sz w:val="24"/>
          <w:szCs w:val="24"/>
        </w:rPr>
        <w:t xml:space="preserve">On Feb. 19, 2025, in </w:t>
      </w:r>
      <w:r w:rsidRPr="00045450">
        <w:rPr>
          <w:rFonts w:ascii="Times New Roman" w:hAnsi="Times New Roman"/>
          <w:sz w:val="24"/>
          <w:szCs w:val="24"/>
          <w:u w:val="single"/>
        </w:rPr>
        <w:t>State of Missouri ex rel. Jeremy Starr v. Board of Trustees for the Firefighter’s Pension System of the City of Kansas City, Missouri</w:t>
      </w:r>
      <w:r w:rsidRPr="00045450">
        <w:rPr>
          <w:rFonts w:ascii="Times New Roman" w:hAnsi="Times New Roman"/>
          <w:sz w:val="24"/>
          <w:szCs w:val="24"/>
        </w:rPr>
        <w:t xml:space="preserve">, the Court of Appeals of Missouri, Western District, Second Division, held (3 to 0) the Circuit Court correctly reversed the Board, and awarded him a “duty-related” disability pension.  Jeremy Starr served on the Kansas City fire department for 18.5 years. Three medical experts - plaintiff’s treating physician and the Boards’ two independent medical examiners – all agreed the carpal tunnel “substantially caused by actual performance of [Starr’s] duty as a firefighter.”  </w:t>
      </w:r>
      <w:hyperlink r:id="rId1057" w:history="1">
        <w:r w:rsidRPr="00045450">
          <w:rPr>
            <w:rStyle w:val="Hyperlink"/>
            <w:rFonts w:ascii="Times New Roman" w:hAnsi="Times New Roman"/>
            <w:sz w:val="24"/>
            <w:szCs w:val="24"/>
          </w:rPr>
          <w:t>https://cases.justia.com/missouri/court-of-appeals/2025-wd87111.pdf?ts=1739982610</w:t>
        </w:r>
      </w:hyperlink>
      <w:r w:rsidRPr="00045450">
        <w:rPr>
          <w:rFonts w:ascii="Times New Roman" w:hAnsi="Times New Roman"/>
          <w:sz w:val="24"/>
          <w:szCs w:val="24"/>
        </w:rPr>
        <w:t xml:space="preserve"> </w:t>
      </w:r>
    </w:p>
    <w:p w14:paraId="70E4CF3E" w14:textId="77777777" w:rsidR="00045450" w:rsidRPr="00045450" w:rsidRDefault="00045450" w:rsidP="00045450">
      <w:pPr>
        <w:pStyle w:val="NoSpacing"/>
        <w:rPr>
          <w:rFonts w:ascii="Times New Roman" w:hAnsi="Times New Roman"/>
          <w:sz w:val="24"/>
          <w:szCs w:val="24"/>
        </w:rPr>
      </w:pPr>
      <w:r w:rsidRPr="00045450">
        <w:rPr>
          <w:rFonts w:ascii="Times New Roman" w:hAnsi="Times New Roman"/>
          <w:sz w:val="24"/>
          <w:szCs w:val="24"/>
        </w:rPr>
        <w:t>The Court wrote:</w:t>
      </w:r>
    </w:p>
    <w:p w14:paraId="14EF7CFB" w14:textId="77777777" w:rsidR="00045450" w:rsidRPr="00045450" w:rsidRDefault="00045450" w:rsidP="00045450">
      <w:pPr>
        <w:pStyle w:val="NoSpacing"/>
        <w:rPr>
          <w:rFonts w:ascii="Times New Roman" w:hAnsi="Times New Roman"/>
          <w:sz w:val="24"/>
          <w:szCs w:val="24"/>
        </w:rPr>
      </w:pPr>
    </w:p>
    <w:p w14:paraId="429A5B9C"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“The Pension Board rejected the opinions of Starr’s treating physician and</w:t>
      </w:r>
    </w:p>
    <w:p w14:paraId="36B952E1"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the Medical Board doctors, and consequently found that Starr had failed to</w:t>
      </w:r>
    </w:p>
    <w:p w14:paraId="7EAD4818"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satisfy his burden to prove work-relatedness, based primarily on two factors:</w:t>
      </w:r>
    </w:p>
    <w:p w14:paraId="58B3B010"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 xml:space="preserve">(1) that Starr had overstated his use of </w:t>
      </w:r>
      <w:proofErr w:type="gramStart"/>
      <w:r w:rsidRPr="00045450">
        <w:rPr>
          <w:rFonts w:ascii="Times New Roman" w:hAnsi="Times New Roman"/>
          <w:sz w:val="24"/>
          <w:szCs w:val="24"/>
        </w:rPr>
        <w:t>particular vibrating</w:t>
      </w:r>
      <w:proofErr w:type="gramEnd"/>
      <w:r w:rsidRPr="00045450">
        <w:rPr>
          <w:rFonts w:ascii="Times New Roman" w:hAnsi="Times New Roman"/>
          <w:sz w:val="24"/>
          <w:szCs w:val="24"/>
        </w:rPr>
        <w:t xml:space="preserve"> equipment (driving a</w:t>
      </w:r>
    </w:p>
    <w:p w14:paraId="00762CA9"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pumper truck; using power tools and chainsaws); and (2) that Starr had been on</w:t>
      </w:r>
    </w:p>
    <w:p w14:paraId="509BF083"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modified duty, and was therefore not exposed to the rigors of fire suppression</w:t>
      </w:r>
    </w:p>
    <w:p w14:paraId="0966B660"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work, for half the time in the twenty-seven months before his disability</w:t>
      </w:r>
    </w:p>
    <w:p w14:paraId="446F2537"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manifested.</w:t>
      </w:r>
    </w:p>
    <w:p w14:paraId="76F38C7D" w14:textId="77777777" w:rsidR="00045450" w:rsidRPr="00045450" w:rsidRDefault="00045450" w:rsidP="00045450">
      <w:pPr>
        <w:pStyle w:val="NoSpacing"/>
        <w:rPr>
          <w:rFonts w:ascii="Times New Roman" w:hAnsi="Times New Roman"/>
          <w:sz w:val="24"/>
          <w:szCs w:val="24"/>
        </w:rPr>
      </w:pPr>
    </w:p>
    <w:p w14:paraId="78618B9F" w14:textId="77777777" w:rsidR="00045450" w:rsidRPr="00045450" w:rsidRDefault="00045450" w:rsidP="00045450">
      <w:pPr>
        <w:pStyle w:val="NoSpacing"/>
        <w:ind w:firstLine="720"/>
        <w:rPr>
          <w:rFonts w:ascii="Times New Roman" w:hAnsi="Times New Roman"/>
          <w:sz w:val="24"/>
          <w:szCs w:val="24"/>
        </w:rPr>
      </w:pPr>
      <w:r w:rsidRPr="00045450">
        <w:rPr>
          <w:rFonts w:ascii="Times New Roman" w:hAnsi="Times New Roman"/>
          <w:sz w:val="24"/>
          <w:szCs w:val="24"/>
        </w:rPr>
        <w:t>***</w:t>
      </w:r>
    </w:p>
    <w:p w14:paraId="51364879" w14:textId="77777777" w:rsidR="00045450" w:rsidRPr="00045450" w:rsidRDefault="00045450" w:rsidP="00045450">
      <w:pPr>
        <w:pStyle w:val="NoSpacing"/>
        <w:rPr>
          <w:rFonts w:ascii="Times New Roman" w:hAnsi="Times New Roman"/>
          <w:sz w:val="24"/>
          <w:szCs w:val="24"/>
        </w:rPr>
      </w:pPr>
    </w:p>
    <w:p w14:paraId="2A873196" w14:textId="77777777" w:rsidR="00045450" w:rsidRPr="00045450" w:rsidRDefault="00045450" w:rsidP="00045450">
      <w:pPr>
        <w:pStyle w:val="NoSpacing"/>
        <w:ind w:left="720"/>
        <w:rPr>
          <w:rFonts w:ascii="Times New Roman" w:hAnsi="Times New Roman"/>
          <w:sz w:val="24"/>
          <w:szCs w:val="24"/>
        </w:rPr>
      </w:pPr>
      <w:r w:rsidRPr="00045450">
        <w:rPr>
          <w:rFonts w:ascii="Times New Roman" w:hAnsi="Times New Roman"/>
          <w:sz w:val="24"/>
          <w:szCs w:val="24"/>
        </w:rPr>
        <w:t xml:space="preserve">The Pension Board’s conclusion that Starr had failed to prove that his disability was work related is unsupported by sufficient competent </w:t>
      </w:r>
      <w:proofErr w:type="gramStart"/>
      <w:r w:rsidRPr="00045450">
        <w:rPr>
          <w:rFonts w:ascii="Times New Roman" w:hAnsi="Times New Roman"/>
          <w:sz w:val="24"/>
          <w:szCs w:val="24"/>
        </w:rPr>
        <w:t>evidence, and</w:t>
      </w:r>
      <w:proofErr w:type="gramEnd"/>
      <w:r w:rsidRPr="00045450">
        <w:rPr>
          <w:rFonts w:ascii="Times New Roman" w:hAnsi="Times New Roman"/>
          <w:sz w:val="24"/>
          <w:szCs w:val="24"/>
        </w:rPr>
        <w:t xml:space="preserve"> must be reversed.”</w:t>
      </w:r>
    </w:p>
    <w:p w14:paraId="1F8602FD" w14:textId="77777777" w:rsidR="00045450" w:rsidRPr="00045450" w:rsidRDefault="00045450" w:rsidP="00045450">
      <w:pPr>
        <w:pStyle w:val="NoSpacing"/>
        <w:rPr>
          <w:rFonts w:ascii="Times New Roman" w:hAnsi="Times New Roman"/>
          <w:b/>
          <w:sz w:val="24"/>
          <w:szCs w:val="24"/>
        </w:rPr>
      </w:pPr>
    </w:p>
    <w:p w14:paraId="732D5FED" w14:textId="77777777" w:rsidR="00045450" w:rsidRPr="00045450" w:rsidRDefault="00045450" w:rsidP="00045450">
      <w:pPr>
        <w:pStyle w:val="NoSpacing"/>
        <w:rPr>
          <w:rFonts w:ascii="Times New Roman" w:hAnsi="Times New Roman"/>
          <w:b/>
          <w:sz w:val="24"/>
          <w:szCs w:val="24"/>
        </w:rPr>
      </w:pPr>
      <w:r w:rsidRPr="00045450">
        <w:rPr>
          <w:rFonts w:ascii="Times New Roman" w:hAnsi="Times New Roman"/>
          <w:b/>
          <w:sz w:val="24"/>
          <w:szCs w:val="24"/>
        </w:rPr>
        <w:t xml:space="preserve">Legal Lesson Learned: The Board improperly rejected the conclusion of its two independent medical examiners. </w:t>
      </w:r>
    </w:p>
    <w:p w14:paraId="2EC5F3E5" w14:textId="77777777" w:rsidR="00045450" w:rsidRPr="00045450" w:rsidRDefault="00045450" w:rsidP="00045450">
      <w:pPr>
        <w:rPr>
          <w:rFonts w:ascii="Times New Roman" w:hAnsi="Times New Roman"/>
          <w:sz w:val="24"/>
          <w:szCs w:val="24"/>
        </w:rPr>
      </w:pPr>
    </w:p>
    <w:p w14:paraId="2EB2997C" w14:textId="77777777" w:rsidR="002A0697" w:rsidRDefault="002A0697" w:rsidP="00B572BA">
      <w:pPr>
        <w:rPr>
          <w:rFonts w:ascii="Arial Black" w:hAnsi="Arial Black"/>
          <w:sz w:val="28"/>
          <w:szCs w:val="28"/>
        </w:rPr>
      </w:pPr>
    </w:p>
    <w:p w14:paraId="4B4B1694" w14:textId="34DF0E37" w:rsidR="002A0697" w:rsidRDefault="002A0697" w:rsidP="00B572BA">
      <w:pPr>
        <w:rPr>
          <w:rFonts w:ascii="Arial Black" w:hAnsi="Arial Black"/>
          <w:sz w:val="28"/>
          <w:szCs w:val="28"/>
        </w:rPr>
      </w:pPr>
      <w:r>
        <w:rPr>
          <w:rFonts w:ascii="Arial Black" w:hAnsi="Arial Black"/>
          <w:sz w:val="28"/>
          <w:szCs w:val="28"/>
        </w:rPr>
        <w:t>6-150</w:t>
      </w:r>
    </w:p>
    <w:p w14:paraId="0980842A" w14:textId="0641017D" w:rsidR="00B572BA" w:rsidRPr="000B7F2C" w:rsidRDefault="00B572BA" w:rsidP="00B572BA">
      <w:pPr>
        <w:rPr>
          <w:rFonts w:ascii="Arial Black" w:hAnsi="Arial Black"/>
          <w:sz w:val="28"/>
          <w:szCs w:val="28"/>
        </w:rPr>
      </w:pPr>
      <w:r w:rsidRPr="000B7F2C">
        <w:rPr>
          <w:rFonts w:ascii="Arial Black" w:hAnsi="Arial Black"/>
          <w:sz w:val="28"/>
          <w:szCs w:val="28"/>
        </w:rPr>
        <w:t>AR: PTSD –</w:t>
      </w:r>
      <w:r w:rsidR="00125039">
        <w:rPr>
          <w:rFonts w:ascii="Arial Black" w:hAnsi="Arial Black"/>
          <w:sz w:val="28"/>
          <w:szCs w:val="28"/>
        </w:rPr>
        <w:t xml:space="preserve"> ADMIN. LAW JUDGE - </w:t>
      </w:r>
      <w:r w:rsidRPr="000B7F2C">
        <w:rPr>
          <w:rFonts w:ascii="Arial Black" w:hAnsi="Arial Black"/>
          <w:sz w:val="28"/>
          <w:szCs w:val="28"/>
        </w:rPr>
        <w:t xml:space="preserve">1 YR </w:t>
      </w:r>
      <w:r w:rsidR="00E869C9">
        <w:rPr>
          <w:rFonts w:ascii="Arial Black" w:hAnsi="Arial Black"/>
          <w:sz w:val="28"/>
          <w:szCs w:val="28"/>
        </w:rPr>
        <w:t>OF</w:t>
      </w:r>
      <w:r w:rsidRPr="000B7F2C">
        <w:rPr>
          <w:rFonts w:ascii="Arial Black" w:hAnsi="Arial Black"/>
          <w:sz w:val="28"/>
          <w:szCs w:val="28"/>
        </w:rPr>
        <w:t xml:space="preserve"> “DIAGNOSIS” TO FILE WORK COMP</w:t>
      </w:r>
      <w:r>
        <w:rPr>
          <w:rFonts w:ascii="Arial Black" w:hAnsi="Arial Black"/>
          <w:sz w:val="28"/>
          <w:szCs w:val="28"/>
        </w:rPr>
        <w:t xml:space="preserve"> </w:t>
      </w:r>
      <w:r w:rsidR="00E869C9">
        <w:rPr>
          <w:rFonts w:ascii="Arial Black" w:hAnsi="Arial Black"/>
          <w:sz w:val="28"/>
          <w:szCs w:val="28"/>
        </w:rPr>
        <w:t xml:space="preserve"> </w:t>
      </w:r>
      <w:r>
        <w:rPr>
          <w:rFonts w:ascii="Arial Black" w:hAnsi="Arial Black"/>
          <w:sz w:val="28"/>
          <w:szCs w:val="28"/>
        </w:rPr>
        <w:t>[also filed, Chap. 15]</w:t>
      </w:r>
    </w:p>
    <w:p w14:paraId="225AF9A1" w14:textId="606024C8" w:rsidR="00B572BA" w:rsidRPr="00144037" w:rsidRDefault="00B572BA" w:rsidP="00B572BA">
      <w:pPr>
        <w:rPr>
          <w:rFonts w:ascii="Times New Roman" w:hAnsi="Times New Roman"/>
          <w:sz w:val="24"/>
          <w:szCs w:val="24"/>
        </w:rPr>
      </w:pPr>
      <w:r w:rsidRPr="00144037">
        <w:rPr>
          <w:rFonts w:ascii="Times New Roman" w:hAnsi="Times New Roman"/>
          <w:sz w:val="24"/>
          <w:szCs w:val="24"/>
        </w:rPr>
        <w:t xml:space="preserve">On January 27, 2025, in </w:t>
      </w:r>
      <w:r w:rsidRPr="00144037">
        <w:rPr>
          <w:rFonts w:ascii="Times New Roman" w:hAnsi="Times New Roman"/>
          <w:sz w:val="24"/>
          <w:szCs w:val="24"/>
          <w:u w:val="single"/>
        </w:rPr>
        <w:t>City of Tucson v. The Industrial Commission of Arizona; Christopher Mercer, Respondent Employee</w:t>
      </w:r>
      <w:r w:rsidRPr="00144037">
        <w:rPr>
          <w:rFonts w:ascii="Times New Roman" w:hAnsi="Times New Roman"/>
          <w:sz w:val="24"/>
          <w:szCs w:val="24"/>
        </w:rPr>
        <w:t>, the Court of Appeals of Arizona, Second Division, (3 to 0; unpublished decision) upheld the Administrative Law Judge who ruled the 1-</w:t>
      </w:r>
      <w:r w:rsidR="00125039">
        <w:rPr>
          <w:rFonts w:ascii="Times New Roman" w:hAnsi="Times New Roman"/>
          <w:sz w:val="24"/>
          <w:szCs w:val="24"/>
        </w:rPr>
        <w:t>y</w:t>
      </w:r>
      <w:r w:rsidRPr="00144037">
        <w:rPr>
          <w:rFonts w:ascii="Times New Roman" w:hAnsi="Times New Roman"/>
          <w:sz w:val="24"/>
          <w:szCs w:val="24"/>
        </w:rPr>
        <w:t xml:space="preserve">ear statute of limitations to file worker’s comp claim starts when the official diagnosis of PTSD has been made, not when employee has sought help for mental issues.  Time line: In 2017, with anger issues, his Captain suggested he see a psychiatrist; met six times between 2017 and 2021; in 2020 moved to slower station; April 2022 attended music festival off duty and helped female patient who feel 15 feet; that night at home threatened suicide including pulling trigger of 9 mil firearm (presumably unloaded); hospitalized 28 days at facility for first responders where for first time was diagnosed with PTSD; filed works comp claim July 30, 2022.  </w:t>
      </w:r>
      <w:hyperlink r:id="rId1058" w:history="1">
        <w:r w:rsidRPr="00144037">
          <w:rPr>
            <w:rStyle w:val="Hyperlink"/>
            <w:rFonts w:ascii="Times New Roman" w:hAnsi="Times New Roman"/>
            <w:sz w:val="24"/>
            <w:szCs w:val="24"/>
          </w:rPr>
          <w:t>https://cases.justia.com/arizona/court-of-appeals-division-two-unpublished/2025-2-ca-ic-2024-0003.pdf?ts=1738026580</w:t>
        </w:r>
      </w:hyperlink>
      <w:r w:rsidRPr="00144037">
        <w:rPr>
          <w:rFonts w:ascii="Times New Roman" w:hAnsi="Times New Roman"/>
          <w:sz w:val="24"/>
          <w:szCs w:val="24"/>
        </w:rPr>
        <w:t xml:space="preserve"> </w:t>
      </w:r>
    </w:p>
    <w:p w14:paraId="17275C13" w14:textId="77777777" w:rsidR="00B572BA" w:rsidRPr="00144037" w:rsidRDefault="00B572BA" w:rsidP="00B572BA">
      <w:pPr>
        <w:rPr>
          <w:rFonts w:ascii="Times New Roman" w:hAnsi="Times New Roman"/>
          <w:sz w:val="24"/>
          <w:szCs w:val="24"/>
        </w:rPr>
      </w:pPr>
    </w:p>
    <w:p w14:paraId="5C03FC6C" w14:textId="77777777" w:rsidR="00B572BA" w:rsidRPr="00144037" w:rsidRDefault="00B572BA" w:rsidP="00B572BA">
      <w:pPr>
        <w:pStyle w:val="NoSpacing"/>
        <w:rPr>
          <w:rFonts w:ascii="Times New Roman" w:hAnsi="Times New Roman"/>
          <w:sz w:val="24"/>
          <w:szCs w:val="24"/>
        </w:rPr>
      </w:pPr>
      <w:r w:rsidRPr="00144037">
        <w:rPr>
          <w:rFonts w:ascii="Times New Roman" w:hAnsi="Times New Roman"/>
          <w:sz w:val="24"/>
          <w:szCs w:val="24"/>
        </w:rPr>
        <w:t xml:space="preserve">The Court wrote: </w:t>
      </w:r>
    </w:p>
    <w:p w14:paraId="1FF7ABEE" w14:textId="77777777" w:rsidR="00B572BA" w:rsidRPr="00144037" w:rsidRDefault="00B572BA" w:rsidP="00B572BA">
      <w:pPr>
        <w:pStyle w:val="NoSpacing"/>
        <w:rPr>
          <w:rFonts w:ascii="Times New Roman" w:hAnsi="Times New Roman"/>
          <w:sz w:val="24"/>
          <w:szCs w:val="24"/>
        </w:rPr>
      </w:pPr>
    </w:p>
    <w:p w14:paraId="7B8B8420" w14:textId="77777777" w:rsidR="00B572BA" w:rsidRPr="00144037" w:rsidRDefault="00B572BA" w:rsidP="00B572BA">
      <w:pPr>
        <w:pStyle w:val="NoSpacing"/>
        <w:ind w:left="720"/>
        <w:rPr>
          <w:rFonts w:ascii="Times New Roman" w:hAnsi="Times New Roman"/>
          <w:sz w:val="24"/>
          <w:szCs w:val="24"/>
        </w:rPr>
      </w:pPr>
      <w:r w:rsidRPr="00144037">
        <w:rPr>
          <w:rFonts w:ascii="Times New Roman" w:hAnsi="Times New Roman"/>
          <w:sz w:val="24"/>
          <w:szCs w:val="24"/>
        </w:rPr>
        <w:t>“The ALJ determined that he was never ‘officially diagnosed with PTSD’ until April 2022, and there was ‘insufficient evidence to find that his symptoms had become serious and acute enough to meet the diagnosis for PTSD’ before then. The ALJ further explained that April 2022 was also the point at which Mercer first required inpatient psychiatric treatment and first became unable to return to work. Accordingly, the ALJ determined that Mercer’s July 2022 ICA claim was timely.</w:t>
      </w:r>
    </w:p>
    <w:p w14:paraId="3258C872" w14:textId="77777777" w:rsidR="00B572BA" w:rsidRPr="00144037" w:rsidRDefault="00B572BA" w:rsidP="00B572BA">
      <w:pPr>
        <w:pStyle w:val="NoSpacing"/>
        <w:rPr>
          <w:rFonts w:ascii="Times New Roman" w:hAnsi="Times New Roman"/>
          <w:sz w:val="24"/>
          <w:szCs w:val="24"/>
        </w:rPr>
      </w:pPr>
    </w:p>
    <w:p w14:paraId="130E8AF8" w14:textId="77777777" w:rsidR="00B572BA" w:rsidRPr="00144037" w:rsidRDefault="00B572BA" w:rsidP="00B572BA">
      <w:pPr>
        <w:pStyle w:val="NoSpacing"/>
        <w:ind w:firstLine="720"/>
        <w:rPr>
          <w:rFonts w:ascii="Times New Roman" w:hAnsi="Times New Roman"/>
          <w:sz w:val="24"/>
          <w:szCs w:val="24"/>
        </w:rPr>
      </w:pPr>
      <w:r w:rsidRPr="00144037">
        <w:rPr>
          <w:rFonts w:ascii="Times New Roman" w:hAnsi="Times New Roman"/>
          <w:sz w:val="24"/>
          <w:szCs w:val="24"/>
        </w:rPr>
        <w:t>***</w:t>
      </w:r>
    </w:p>
    <w:p w14:paraId="2FF5FF7F" w14:textId="77777777" w:rsidR="00B572BA" w:rsidRPr="00144037" w:rsidRDefault="00B572BA" w:rsidP="00B572BA">
      <w:pPr>
        <w:pStyle w:val="NoSpacing"/>
        <w:rPr>
          <w:rFonts w:ascii="Times New Roman" w:hAnsi="Times New Roman"/>
          <w:sz w:val="24"/>
          <w:szCs w:val="24"/>
        </w:rPr>
      </w:pPr>
    </w:p>
    <w:p w14:paraId="0B5775D8" w14:textId="77777777" w:rsidR="00B572BA" w:rsidRPr="00144037" w:rsidRDefault="00B572BA" w:rsidP="00B572BA">
      <w:pPr>
        <w:pStyle w:val="NoSpacing"/>
        <w:ind w:left="720"/>
        <w:rPr>
          <w:rFonts w:ascii="Times New Roman" w:hAnsi="Times New Roman"/>
          <w:sz w:val="24"/>
          <w:szCs w:val="24"/>
        </w:rPr>
      </w:pPr>
      <w:r w:rsidRPr="00144037">
        <w:rPr>
          <w:rFonts w:ascii="Times New Roman" w:hAnsi="Times New Roman"/>
          <w:sz w:val="24"/>
          <w:szCs w:val="24"/>
        </w:rPr>
        <w:t>[T]</w:t>
      </w:r>
      <w:proofErr w:type="gramStart"/>
      <w:r w:rsidRPr="00144037">
        <w:rPr>
          <w:rFonts w:ascii="Times New Roman" w:hAnsi="Times New Roman"/>
          <w:sz w:val="24"/>
          <w:szCs w:val="24"/>
        </w:rPr>
        <w:t>he</w:t>
      </w:r>
      <w:proofErr w:type="gramEnd"/>
      <w:r w:rsidRPr="00144037">
        <w:rPr>
          <w:rFonts w:ascii="Times New Roman" w:hAnsi="Times New Roman"/>
          <w:sz w:val="24"/>
          <w:szCs w:val="24"/>
        </w:rPr>
        <w:t xml:space="preserve"> City contends it produced expert testimony that Mercer’s PTSD was diagnosable prior to July 2021, it has satisfied some portion of the test for the accrual of mental injuries. Not so.” </w:t>
      </w:r>
    </w:p>
    <w:p w14:paraId="3550969E" w14:textId="77777777" w:rsidR="00B572BA" w:rsidRPr="00144037" w:rsidRDefault="00B572BA" w:rsidP="00B572BA">
      <w:pPr>
        <w:pStyle w:val="NoSpacing"/>
        <w:rPr>
          <w:rFonts w:ascii="Times New Roman" w:hAnsi="Times New Roman"/>
          <w:b/>
          <w:bCs/>
          <w:sz w:val="24"/>
          <w:szCs w:val="24"/>
        </w:rPr>
      </w:pPr>
    </w:p>
    <w:p w14:paraId="6FAEF93F" w14:textId="77777777" w:rsidR="00B572BA" w:rsidRPr="00144037" w:rsidRDefault="00B572BA" w:rsidP="00B572BA">
      <w:pPr>
        <w:pStyle w:val="NoSpacing"/>
        <w:rPr>
          <w:rFonts w:ascii="Times New Roman" w:hAnsi="Times New Roman"/>
          <w:b/>
          <w:bCs/>
          <w:sz w:val="24"/>
          <w:szCs w:val="24"/>
        </w:rPr>
      </w:pPr>
      <w:r w:rsidRPr="00144037">
        <w:rPr>
          <w:rFonts w:ascii="Times New Roman" w:hAnsi="Times New Roman"/>
          <w:b/>
          <w:sz w:val="24"/>
          <w:szCs w:val="24"/>
        </w:rPr>
        <w:t xml:space="preserve">Legal Lesson Learned: Excellent decision; city can’t force employees to file workers comp claim when they are merely seeking assistance. </w:t>
      </w:r>
    </w:p>
    <w:p w14:paraId="4C954BAA" w14:textId="77777777" w:rsidR="00045450" w:rsidRPr="00045450" w:rsidRDefault="00045450" w:rsidP="00EF1133">
      <w:pPr>
        <w:rPr>
          <w:rFonts w:ascii="Times New Roman" w:hAnsi="Times New Roman"/>
          <w:b/>
          <w:sz w:val="24"/>
          <w:szCs w:val="24"/>
        </w:rPr>
      </w:pPr>
    </w:p>
    <w:p w14:paraId="4DFD8CE9" w14:textId="77777777" w:rsidR="00045450" w:rsidRDefault="00045450" w:rsidP="00EF1133">
      <w:pPr>
        <w:rPr>
          <w:rFonts w:ascii="Arial Black" w:hAnsi="Arial Black"/>
          <w:b/>
          <w:sz w:val="24"/>
          <w:szCs w:val="24"/>
        </w:rPr>
      </w:pPr>
    </w:p>
    <w:p w14:paraId="7EE5F35D" w14:textId="6D2524AC" w:rsidR="00AF0D0A" w:rsidRDefault="00AF0D0A" w:rsidP="00EF1133">
      <w:pPr>
        <w:rPr>
          <w:rFonts w:ascii="Arial Black" w:hAnsi="Arial Black"/>
          <w:b/>
          <w:sz w:val="24"/>
          <w:szCs w:val="24"/>
        </w:rPr>
      </w:pPr>
      <w:r>
        <w:rPr>
          <w:rFonts w:ascii="Arial Black" w:hAnsi="Arial Black"/>
          <w:b/>
          <w:sz w:val="24"/>
          <w:szCs w:val="24"/>
        </w:rPr>
        <w:t>6-1</w:t>
      </w:r>
      <w:r w:rsidR="002A0697">
        <w:rPr>
          <w:rFonts w:ascii="Arial Black" w:hAnsi="Arial Black"/>
          <w:b/>
          <w:sz w:val="24"/>
          <w:szCs w:val="24"/>
        </w:rPr>
        <w:t>49</w:t>
      </w:r>
    </w:p>
    <w:p w14:paraId="3836D6EE" w14:textId="77777777" w:rsidR="00AF0D0A" w:rsidRPr="00386040" w:rsidRDefault="00AF0D0A" w:rsidP="00AF0D0A">
      <w:pPr>
        <w:pStyle w:val="NoSpacing"/>
        <w:rPr>
          <w:rFonts w:ascii="Arial Black" w:hAnsi="Arial Black"/>
          <w:sz w:val="28"/>
          <w:szCs w:val="28"/>
        </w:rPr>
      </w:pPr>
      <w:r>
        <w:rPr>
          <w:rFonts w:ascii="Arial Black" w:hAnsi="Arial Black"/>
          <w:sz w:val="28"/>
          <w:szCs w:val="28"/>
        </w:rPr>
        <w:t xml:space="preserve">NJ: FF BROKE ANKLE – ORDIN. DISAB., NOT “UNEXPECTED”   </w:t>
      </w:r>
    </w:p>
    <w:p w14:paraId="2AE0466C" w14:textId="77777777" w:rsidR="00AF0D0A" w:rsidRPr="00AF0D0A" w:rsidRDefault="00AF0D0A" w:rsidP="00AF0D0A">
      <w:pPr>
        <w:pStyle w:val="NoSpacing"/>
        <w:rPr>
          <w:rFonts w:ascii="Times New Roman" w:hAnsi="Times New Roman"/>
          <w:sz w:val="24"/>
          <w:szCs w:val="24"/>
        </w:rPr>
      </w:pPr>
    </w:p>
    <w:p w14:paraId="78FA6E87" w14:textId="77777777" w:rsidR="00AF0D0A" w:rsidRPr="00AF0D0A" w:rsidRDefault="00AF0D0A" w:rsidP="00AF0D0A">
      <w:pPr>
        <w:pStyle w:val="NoSpacing"/>
        <w:rPr>
          <w:rFonts w:ascii="Times New Roman" w:hAnsi="Times New Roman"/>
          <w:sz w:val="24"/>
          <w:szCs w:val="24"/>
        </w:rPr>
      </w:pPr>
      <w:r w:rsidRPr="00AF0D0A">
        <w:rPr>
          <w:rFonts w:ascii="Times New Roman" w:hAnsi="Times New Roman"/>
          <w:sz w:val="24"/>
          <w:szCs w:val="24"/>
        </w:rPr>
        <w:t xml:space="preserve">On Jan. 17, 2025, in </w:t>
      </w:r>
      <w:r w:rsidRPr="00AF0D0A">
        <w:rPr>
          <w:rFonts w:ascii="Times New Roman" w:hAnsi="Times New Roman"/>
          <w:sz w:val="24"/>
          <w:szCs w:val="24"/>
          <w:u w:val="single"/>
        </w:rPr>
        <w:t>Roberto Villarreal-Rio v. Board of Trustees, Police and Fireman’s Retirement System</w:t>
      </w:r>
      <w:r w:rsidRPr="00AF0D0A">
        <w:rPr>
          <w:rFonts w:ascii="Times New Roman" w:hAnsi="Times New Roman"/>
          <w:sz w:val="24"/>
          <w:szCs w:val="24"/>
        </w:rPr>
        <w:t xml:space="preserve">, the Superior Court of New Jersey, held (2 to 0; unpublished decision) that the retirement board properly held the firefighter was not entitled to Accidental Disability Retirement (72.7%), but only Ordinary Disability Retirement (43.6%); must be a traumatic event injured because of an “unexpected happening.”  </w:t>
      </w:r>
      <w:hyperlink r:id="rId1059" w:history="1">
        <w:r w:rsidRPr="00AF0D0A">
          <w:rPr>
            <w:rStyle w:val="Hyperlink"/>
            <w:rFonts w:ascii="Times New Roman" w:hAnsi="Times New Roman"/>
            <w:sz w:val="24"/>
            <w:szCs w:val="24"/>
          </w:rPr>
          <w:t>https://www.njcourts.gov/system/files/court-opinions/2025/a0585-22.pdf</w:t>
        </w:r>
      </w:hyperlink>
      <w:r w:rsidRPr="00AF0D0A">
        <w:rPr>
          <w:rFonts w:ascii="Times New Roman" w:hAnsi="Times New Roman"/>
          <w:sz w:val="24"/>
          <w:szCs w:val="24"/>
        </w:rPr>
        <w:t xml:space="preserve"> </w:t>
      </w:r>
    </w:p>
    <w:p w14:paraId="3A6F3451" w14:textId="77777777" w:rsidR="00AF0D0A" w:rsidRPr="00AF0D0A" w:rsidRDefault="00AF0D0A" w:rsidP="00AF0D0A">
      <w:pPr>
        <w:pStyle w:val="NoSpacing"/>
        <w:rPr>
          <w:rFonts w:ascii="Times New Roman" w:hAnsi="Times New Roman"/>
          <w:sz w:val="24"/>
          <w:szCs w:val="24"/>
        </w:rPr>
      </w:pPr>
    </w:p>
    <w:p w14:paraId="5736EA41" w14:textId="77777777" w:rsidR="00AF0D0A" w:rsidRPr="00AF0D0A" w:rsidRDefault="00AF0D0A" w:rsidP="00AF0D0A">
      <w:pPr>
        <w:pStyle w:val="NoSpacing"/>
        <w:rPr>
          <w:rFonts w:ascii="Times New Roman" w:hAnsi="Times New Roman"/>
          <w:sz w:val="24"/>
          <w:szCs w:val="24"/>
        </w:rPr>
      </w:pPr>
      <w:r w:rsidRPr="00AF0D0A">
        <w:rPr>
          <w:rFonts w:ascii="Times New Roman" w:hAnsi="Times New Roman"/>
          <w:sz w:val="24"/>
          <w:szCs w:val="24"/>
        </w:rPr>
        <w:tab/>
        <w:t xml:space="preserve">The Court held: </w:t>
      </w:r>
    </w:p>
    <w:p w14:paraId="70C5AFDA" w14:textId="77777777" w:rsidR="00AF0D0A" w:rsidRPr="00AF0D0A" w:rsidRDefault="00AF0D0A" w:rsidP="00AF0D0A">
      <w:pPr>
        <w:pStyle w:val="NoSpacing"/>
        <w:rPr>
          <w:rFonts w:ascii="Times New Roman" w:hAnsi="Times New Roman"/>
          <w:sz w:val="24"/>
          <w:szCs w:val="24"/>
        </w:rPr>
      </w:pPr>
    </w:p>
    <w:p w14:paraId="6AF84224" w14:textId="77777777" w:rsidR="00AF0D0A" w:rsidRPr="00AF0D0A" w:rsidRDefault="00AF0D0A" w:rsidP="00AF0D0A">
      <w:pPr>
        <w:pStyle w:val="NoSpacing"/>
        <w:ind w:left="720"/>
        <w:rPr>
          <w:rFonts w:ascii="Times New Roman" w:hAnsi="Times New Roman"/>
          <w:sz w:val="24"/>
          <w:szCs w:val="24"/>
        </w:rPr>
      </w:pPr>
      <w:r w:rsidRPr="00AF0D0A">
        <w:rPr>
          <w:rFonts w:ascii="Times New Roman" w:hAnsi="Times New Roman"/>
          <w:sz w:val="24"/>
          <w:szCs w:val="24"/>
        </w:rPr>
        <w:t xml:space="preserve">“On September 22, 2017, petitioner, along with the </w:t>
      </w:r>
      <w:proofErr w:type="gramStart"/>
      <w:r w:rsidRPr="00AF0D0A">
        <w:rPr>
          <w:rFonts w:ascii="Times New Roman" w:hAnsi="Times New Roman"/>
          <w:sz w:val="24"/>
          <w:szCs w:val="24"/>
        </w:rPr>
        <w:t>Captain</w:t>
      </w:r>
      <w:proofErr w:type="gramEnd"/>
      <w:r w:rsidRPr="00AF0D0A">
        <w:rPr>
          <w:rFonts w:ascii="Times New Roman" w:hAnsi="Times New Roman"/>
          <w:sz w:val="24"/>
          <w:szCs w:val="24"/>
        </w:rPr>
        <w:t xml:space="preserve"> and another firefighter, responded to a call for an electrical fire in a basement. According to petitioner, when they arrived at the scene, a bookshelf was blocking the door to the basement. Therefore, the Captain asked him to retrieve additional feet of hose from the truck so they could access another entrance to the basement to reach the fire. The truck was parked at the bottom of the driveway, about one hundred feet from the building. As he returned with the extra feet of hose, petitioner stated he twisted his ankle and fell on the driveway. He stated that he did not recall what caused him to twist his ankle.</w:t>
      </w:r>
    </w:p>
    <w:p w14:paraId="510E5A56" w14:textId="77777777" w:rsidR="00AF0D0A" w:rsidRPr="00AF0D0A" w:rsidRDefault="00AF0D0A" w:rsidP="00AF0D0A">
      <w:pPr>
        <w:pStyle w:val="NoSpacing"/>
        <w:ind w:left="720"/>
        <w:rPr>
          <w:rFonts w:ascii="Times New Roman" w:hAnsi="Times New Roman"/>
          <w:sz w:val="24"/>
          <w:szCs w:val="24"/>
        </w:rPr>
      </w:pPr>
    </w:p>
    <w:p w14:paraId="2EAC6771" w14:textId="77777777" w:rsidR="00AF0D0A" w:rsidRPr="00AF0D0A" w:rsidRDefault="00AF0D0A" w:rsidP="00AF0D0A">
      <w:pPr>
        <w:pStyle w:val="NoSpacing"/>
        <w:ind w:left="720"/>
        <w:rPr>
          <w:rFonts w:ascii="Times New Roman" w:hAnsi="Times New Roman"/>
          <w:sz w:val="24"/>
          <w:szCs w:val="24"/>
        </w:rPr>
      </w:pPr>
      <w:r w:rsidRPr="00AF0D0A">
        <w:rPr>
          <w:rFonts w:ascii="Times New Roman" w:hAnsi="Times New Roman"/>
          <w:sz w:val="24"/>
          <w:szCs w:val="24"/>
        </w:rPr>
        <w:t>***</w:t>
      </w:r>
    </w:p>
    <w:p w14:paraId="2709177E" w14:textId="77777777" w:rsidR="00AF0D0A" w:rsidRPr="00AF0D0A" w:rsidRDefault="00AF0D0A" w:rsidP="00AF0D0A">
      <w:pPr>
        <w:pStyle w:val="NoSpacing"/>
        <w:ind w:left="720"/>
        <w:rPr>
          <w:rFonts w:ascii="Times New Roman" w:hAnsi="Times New Roman"/>
          <w:sz w:val="24"/>
          <w:szCs w:val="24"/>
        </w:rPr>
      </w:pPr>
    </w:p>
    <w:p w14:paraId="22D71484" w14:textId="77777777" w:rsidR="00AF0D0A" w:rsidRPr="00AF0D0A" w:rsidRDefault="00AF0D0A" w:rsidP="00AF0D0A">
      <w:pPr>
        <w:pStyle w:val="NoSpacing"/>
        <w:ind w:left="720"/>
        <w:rPr>
          <w:rFonts w:ascii="Times New Roman" w:hAnsi="Times New Roman"/>
          <w:sz w:val="24"/>
          <w:szCs w:val="24"/>
        </w:rPr>
      </w:pPr>
      <w:r w:rsidRPr="00AF0D0A">
        <w:rPr>
          <w:rFonts w:ascii="Times New Roman" w:hAnsi="Times New Roman"/>
          <w:sz w:val="24"/>
          <w:szCs w:val="24"/>
        </w:rPr>
        <w:t>Here, petitioner has not demonstrated an ‘unexpected happening’ that caused him to injure his ankle. He testified regarding his training and the specific duties of his job which included loading and unloading equipment, laying and connecting hoses, and preparing for the delivery of water discharge lines…. The evidence reflects petitioner was performing his usual job duties when he was injured. Dragging a hose up a driveway is not an unexpected event in his line of work.”</w:t>
      </w:r>
    </w:p>
    <w:p w14:paraId="303ADA54" w14:textId="77777777" w:rsidR="00AF0D0A" w:rsidRPr="00AF0D0A" w:rsidRDefault="00AF0D0A" w:rsidP="00AF0D0A">
      <w:pPr>
        <w:pStyle w:val="NoSpacing"/>
        <w:rPr>
          <w:rFonts w:ascii="Times New Roman" w:hAnsi="Times New Roman"/>
          <w:sz w:val="24"/>
          <w:szCs w:val="24"/>
        </w:rPr>
      </w:pPr>
    </w:p>
    <w:p w14:paraId="5CD6A234" w14:textId="77777777" w:rsidR="00AF0D0A" w:rsidRPr="00AF0D0A" w:rsidRDefault="00AF0D0A" w:rsidP="00AF0D0A">
      <w:pPr>
        <w:pStyle w:val="NoSpacing"/>
        <w:rPr>
          <w:rFonts w:ascii="Times New Roman" w:hAnsi="Times New Roman"/>
          <w:sz w:val="24"/>
          <w:szCs w:val="24"/>
        </w:rPr>
      </w:pPr>
      <w:r w:rsidRPr="00AF0D0A">
        <w:rPr>
          <w:rFonts w:ascii="Times New Roman" w:hAnsi="Times New Roman"/>
          <w:b/>
          <w:sz w:val="24"/>
          <w:szCs w:val="24"/>
        </w:rPr>
        <w:t>Legal Lesson Learned</w:t>
      </w:r>
      <w:r w:rsidRPr="00AF0D0A">
        <w:rPr>
          <w:rFonts w:ascii="Times New Roman" w:hAnsi="Times New Roman"/>
          <w:sz w:val="24"/>
          <w:szCs w:val="24"/>
        </w:rPr>
        <w:t xml:space="preserve">:  Under NJ statute and case law, public employees are only entitled to enhanced retirement for traumatic injuries from “unexpecting happening” such as a police officer shot pursuing a suspect or a librarian hit by falling bookshelf while restocking books.  </w:t>
      </w:r>
    </w:p>
    <w:p w14:paraId="31198EFE" w14:textId="77777777" w:rsidR="00AF0D0A" w:rsidRPr="00AF0D0A" w:rsidRDefault="00AF0D0A" w:rsidP="00AF0D0A">
      <w:pPr>
        <w:pStyle w:val="NoSpacing"/>
        <w:rPr>
          <w:rFonts w:ascii="Times New Roman" w:hAnsi="Times New Roman"/>
          <w:sz w:val="24"/>
          <w:szCs w:val="24"/>
        </w:rPr>
      </w:pPr>
    </w:p>
    <w:p w14:paraId="3C8F618B" w14:textId="77777777" w:rsidR="00AF0D0A" w:rsidRPr="00AF0D0A" w:rsidRDefault="00AF0D0A" w:rsidP="00AF0D0A">
      <w:pPr>
        <w:pStyle w:val="NoSpacing"/>
        <w:ind w:left="720"/>
        <w:rPr>
          <w:rFonts w:ascii="Times New Roman" w:hAnsi="Times New Roman"/>
          <w:sz w:val="24"/>
          <w:szCs w:val="24"/>
        </w:rPr>
      </w:pPr>
      <w:r w:rsidRPr="00AF0D0A">
        <w:rPr>
          <w:rFonts w:ascii="Times New Roman" w:hAnsi="Times New Roman"/>
          <w:sz w:val="24"/>
          <w:szCs w:val="24"/>
        </w:rPr>
        <w:t xml:space="preserve">Note:  See NJ public employee retirement bulletin.  </w:t>
      </w:r>
      <w:hyperlink r:id="rId1060" w:history="1">
        <w:r w:rsidRPr="00AF0D0A">
          <w:rPr>
            <w:rStyle w:val="Hyperlink"/>
            <w:rFonts w:ascii="Times New Roman" w:hAnsi="Times New Roman"/>
            <w:sz w:val="24"/>
            <w:szCs w:val="24"/>
          </w:rPr>
          <w:t>https://www.nj.gov/treasury/pensions/documents/factsheets/fact15.pdf</w:t>
        </w:r>
      </w:hyperlink>
      <w:r w:rsidRPr="00AF0D0A">
        <w:rPr>
          <w:rFonts w:ascii="Times New Roman" w:hAnsi="Times New Roman"/>
          <w:sz w:val="24"/>
          <w:szCs w:val="24"/>
        </w:rPr>
        <w:t xml:space="preserve"> </w:t>
      </w:r>
    </w:p>
    <w:p w14:paraId="639DDEF8" w14:textId="77777777" w:rsidR="00AF0D0A" w:rsidRPr="00AF0D0A" w:rsidRDefault="00AF0D0A" w:rsidP="00AF0D0A">
      <w:pPr>
        <w:pStyle w:val="NoSpacing"/>
        <w:rPr>
          <w:rFonts w:ascii="Times New Roman" w:hAnsi="Times New Roman"/>
          <w:sz w:val="24"/>
          <w:szCs w:val="24"/>
        </w:rPr>
      </w:pPr>
    </w:p>
    <w:p w14:paraId="3A7FC941" w14:textId="77777777" w:rsidR="00AF0D0A" w:rsidRDefault="00AF0D0A" w:rsidP="00AF0D0A">
      <w:pPr>
        <w:pStyle w:val="NoSpacing"/>
      </w:pPr>
    </w:p>
    <w:p w14:paraId="297F019B" w14:textId="5BA60FB8" w:rsidR="00AF0D0A" w:rsidRDefault="00AF0D0A"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8</w:t>
      </w:r>
    </w:p>
    <w:p w14:paraId="5437276C" w14:textId="77777777" w:rsidR="00D93C20" w:rsidRPr="00FC011D" w:rsidRDefault="00D93C20" w:rsidP="00D93C20">
      <w:pPr>
        <w:rPr>
          <w:rFonts w:ascii="Arial Black" w:hAnsi="Arial Black"/>
          <w:b/>
          <w:sz w:val="28"/>
          <w:szCs w:val="28"/>
        </w:rPr>
      </w:pPr>
      <w:r>
        <w:rPr>
          <w:rFonts w:ascii="Arial Black" w:hAnsi="Arial Black"/>
          <w:b/>
          <w:sz w:val="28"/>
          <w:szCs w:val="28"/>
        </w:rPr>
        <w:t>WV: HEARING LOSS – 17.5% COAL MINER – NO ADDED PPD</w:t>
      </w:r>
    </w:p>
    <w:p w14:paraId="62F0338C" w14:textId="77777777" w:rsidR="00D93C20" w:rsidRPr="00BE4CD4" w:rsidRDefault="00D93C20" w:rsidP="00D93C20">
      <w:pPr>
        <w:pStyle w:val="NoSpacing"/>
        <w:rPr>
          <w:rFonts w:ascii="Times New Roman" w:hAnsi="Times New Roman"/>
          <w:sz w:val="24"/>
          <w:szCs w:val="24"/>
        </w:rPr>
      </w:pPr>
      <w:r w:rsidRPr="00BE4CD4">
        <w:rPr>
          <w:rFonts w:ascii="Times New Roman" w:hAnsi="Times New Roman"/>
          <w:sz w:val="24"/>
          <w:szCs w:val="24"/>
        </w:rPr>
        <w:t xml:space="preserve">On Jan. 14, 2025, in </w:t>
      </w:r>
      <w:r w:rsidRPr="00BE4CD4">
        <w:rPr>
          <w:rFonts w:ascii="Times New Roman" w:hAnsi="Times New Roman"/>
          <w:sz w:val="24"/>
          <w:szCs w:val="24"/>
          <w:u w:val="single"/>
        </w:rPr>
        <w:t>Wilburn T. Preece, Jr. v. Kermit Volunteer Fire Department</w:t>
      </w:r>
      <w:r w:rsidRPr="00BE4CD4">
        <w:rPr>
          <w:rFonts w:ascii="Times New Roman" w:hAnsi="Times New Roman"/>
          <w:sz w:val="24"/>
          <w:szCs w:val="24"/>
        </w:rPr>
        <w:t xml:space="preserve">, the Supreme Court of Appeals of West Virginia held (5 to 0) that the WV Workers’ Compensation Board properly denied the Fire Chief’s claim for progressive hearing loss on Sept. 11, 2023.  In 2015 he was awarded 17.5% permanent partial disability (PPD) from his years working as a coal miner.  He became full time Fire Chief in 2014 and in 2020 claimed 23% PPD (responded to 90% of the 300 – 500 calls per year). The Board rejected his claim on Sept. 11, 2023, after the Chief was examined by two experts – neither found fire service was clearly the cause of additional hearing loss. The Chief appealed to the WV Intermediate Court of Appeals, which upheld the Board on March 25, 2024.  </w:t>
      </w:r>
      <w:hyperlink r:id="rId1061" w:history="1">
        <w:r w:rsidRPr="00BE4CD4">
          <w:rPr>
            <w:rStyle w:val="Hyperlink"/>
            <w:rFonts w:ascii="Times New Roman" w:hAnsi="Times New Roman"/>
            <w:sz w:val="24"/>
            <w:szCs w:val="24"/>
          </w:rPr>
          <w:t>https://cases.justia.com/west-virginia/supreme-court/2025-24-266.pdf?ts=1736880091</w:t>
        </w:r>
      </w:hyperlink>
      <w:r w:rsidRPr="00BE4CD4">
        <w:rPr>
          <w:rFonts w:ascii="Times New Roman" w:hAnsi="Times New Roman"/>
          <w:sz w:val="24"/>
          <w:szCs w:val="24"/>
        </w:rPr>
        <w:t xml:space="preserve"> </w:t>
      </w:r>
    </w:p>
    <w:p w14:paraId="33F66F7B" w14:textId="77777777" w:rsidR="00D93C20" w:rsidRPr="00BE4CD4" w:rsidRDefault="00D93C20" w:rsidP="00D93C20">
      <w:pPr>
        <w:pStyle w:val="NoSpacing"/>
        <w:rPr>
          <w:rFonts w:ascii="Times New Roman" w:hAnsi="Times New Roman"/>
          <w:sz w:val="24"/>
          <w:szCs w:val="24"/>
        </w:rPr>
      </w:pPr>
    </w:p>
    <w:p w14:paraId="101F918F" w14:textId="77777777" w:rsidR="00D93C20" w:rsidRPr="00BE4CD4" w:rsidRDefault="00D93C20" w:rsidP="00D93C20">
      <w:pPr>
        <w:pStyle w:val="NoSpacing"/>
        <w:rPr>
          <w:rFonts w:ascii="Times New Roman" w:hAnsi="Times New Roman"/>
          <w:sz w:val="24"/>
          <w:szCs w:val="24"/>
        </w:rPr>
      </w:pPr>
      <w:r w:rsidRPr="00BE4CD4">
        <w:rPr>
          <w:rFonts w:ascii="Times New Roman" w:hAnsi="Times New Roman"/>
          <w:sz w:val="24"/>
          <w:szCs w:val="24"/>
        </w:rPr>
        <w:t xml:space="preserve">The State Supreme Court wrote: </w:t>
      </w:r>
    </w:p>
    <w:p w14:paraId="261FE68E" w14:textId="77777777" w:rsidR="00D93C20" w:rsidRPr="00BE4CD4" w:rsidRDefault="00D93C20" w:rsidP="00D93C20">
      <w:pPr>
        <w:pStyle w:val="NoSpacing"/>
        <w:rPr>
          <w:rFonts w:ascii="Times New Roman" w:hAnsi="Times New Roman"/>
          <w:sz w:val="24"/>
          <w:szCs w:val="24"/>
        </w:rPr>
      </w:pPr>
    </w:p>
    <w:p w14:paraId="30DC93A1" w14:textId="77777777" w:rsidR="00D93C20" w:rsidRPr="00BE4CD4" w:rsidRDefault="00D93C20" w:rsidP="00D93C20">
      <w:pPr>
        <w:pStyle w:val="NoSpacing"/>
        <w:ind w:firstLine="720"/>
        <w:rPr>
          <w:rFonts w:ascii="Times New Roman" w:hAnsi="Times New Roman"/>
          <w:sz w:val="24"/>
          <w:szCs w:val="24"/>
        </w:rPr>
      </w:pPr>
      <w:r w:rsidRPr="00BE4CD4">
        <w:rPr>
          <w:rFonts w:ascii="Times New Roman" w:hAnsi="Times New Roman"/>
          <w:sz w:val="24"/>
          <w:szCs w:val="24"/>
        </w:rPr>
        <w:t>“The claimant argues that the ICA was clearly wrong in finding that the report of Joseph</w:t>
      </w:r>
    </w:p>
    <w:p w14:paraId="19184A41"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Touma, M.D., was insufficient to establish that his occupation, as the fire chief, caused additional hearing loss. The claimant asserts that Dr. Touma’s report is the only credible medical evidence of record concerning whether he has additional </w:t>
      </w:r>
      <w:proofErr w:type="gramStart"/>
      <w:r w:rsidRPr="00BE4CD4">
        <w:rPr>
          <w:rFonts w:ascii="Times New Roman" w:hAnsi="Times New Roman"/>
          <w:sz w:val="24"/>
          <w:szCs w:val="24"/>
        </w:rPr>
        <w:t>noise induced</w:t>
      </w:r>
      <w:proofErr w:type="gramEnd"/>
      <w:r w:rsidRPr="00BE4CD4">
        <w:rPr>
          <w:rFonts w:ascii="Times New Roman" w:hAnsi="Times New Roman"/>
          <w:sz w:val="24"/>
          <w:szCs w:val="24"/>
        </w:rPr>
        <w:t xml:space="preserve"> impairment </w:t>
      </w:r>
      <w:proofErr w:type="gramStart"/>
      <w:r w:rsidRPr="00BE4CD4">
        <w:rPr>
          <w:rFonts w:ascii="Times New Roman" w:hAnsi="Times New Roman"/>
          <w:sz w:val="24"/>
          <w:szCs w:val="24"/>
        </w:rPr>
        <w:t>as a result of</w:t>
      </w:r>
      <w:proofErr w:type="gramEnd"/>
      <w:r w:rsidRPr="00BE4CD4">
        <w:rPr>
          <w:rFonts w:ascii="Times New Roman" w:hAnsi="Times New Roman"/>
          <w:sz w:val="24"/>
          <w:szCs w:val="24"/>
        </w:rPr>
        <w:t xml:space="preserve"> his work. As such, the claimant believes that Dr. Touma’s recommended impairment award of 23% should have been granted by the ICA. The employer counters by arguing that Dr. Touma did not consider the claimant’s nonoccupational factors that could contribute to hearing loss. Because the Board of Review found that Dr. Touma’s report was unpersuasive on the basis that he failed to consider whether the claimant’s progressive hearing loss was due to causes other than occupational noise exposure, the employer contends that the ICA correctly affirmed the Board of Review’s order.”</w:t>
      </w:r>
    </w:p>
    <w:p w14:paraId="53E54D05" w14:textId="77777777" w:rsidR="00D93C20" w:rsidRPr="00BE4CD4" w:rsidRDefault="00D93C20" w:rsidP="00D93C20">
      <w:pPr>
        <w:pStyle w:val="NoSpacing"/>
        <w:ind w:left="720"/>
        <w:rPr>
          <w:rFonts w:ascii="Times New Roman" w:hAnsi="Times New Roman"/>
          <w:sz w:val="24"/>
          <w:szCs w:val="24"/>
        </w:rPr>
      </w:pPr>
    </w:p>
    <w:p w14:paraId="1EC89581" w14:textId="77777777" w:rsidR="00D93C20" w:rsidRPr="00BE4CD4" w:rsidRDefault="00D93C20" w:rsidP="00D93C20">
      <w:pPr>
        <w:pStyle w:val="NoSpacing"/>
        <w:rPr>
          <w:rFonts w:ascii="Times New Roman" w:hAnsi="Times New Roman"/>
          <w:sz w:val="24"/>
          <w:szCs w:val="24"/>
        </w:rPr>
      </w:pPr>
      <w:r w:rsidRPr="00BE4CD4">
        <w:rPr>
          <w:rFonts w:ascii="Times New Roman" w:hAnsi="Times New Roman"/>
          <w:sz w:val="24"/>
          <w:szCs w:val="24"/>
        </w:rPr>
        <w:t>The Intermediate Court of Appeals described the Chief’s prior work history.</w:t>
      </w:r>
    </w:p>
    <w:p w14:paraId="101C43CB" w14:textId="77777777" w:rsidR="00D93C20" w:rsidRPr="00BE4CD4" w:rsidRDefault="00D93C20" w:rsidP="00D93C20">
      <w:pPr>
        <w:pStyle w:val="NoSpacing"/>
        <w:rPr>
          <w:rFonts w:ascii="Times New Roman" w:hAnsi="Times New Roman"/>
          <w:sz w:val="24"/>
          <w:szCs w:val="24"/>
        </w:rPr>
      </w:pPr>
    </w:p>
    <w:p w14:paraId="276172A1"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“In 2014, Mr. Preece began working as fire chief full-time for the KVFD. In a previous claim, Mr. Preece was granted a 17.5% PPD award in 2015 for occupational hearing loss related to his employment with another employer for whom he worked as a coal miner. Mr. Preece filed an Employees’ and Physicians’ Report of Occupational Hearing Loss dated August 25, 2020; indicating that he has occupational hearing loss due to noise exposure related to his employment at KVFD. </w:t>
      </w:r>
    </w:p>
    <w:p w14:paraId="60774096" w14:textId="77777777" w:rsidR="00D93C20" w:rsidRPr="00BE4CD4" w:rsidRDefault="00D93C20" w:rsidP="00D93C20">
      <w:pPr>
        <w:pStyle w:val="NoSpacing"/>
        <w:ind w:left="720"/>
        <w:rPr>
          <w:rFonts w:ascii="Times New Roman" w:hAnsi="Times New Roman"/>
          <w:sz w:val="24"/>
          <w:szCs w:val="24"/>
        </w:rPr>
      </w:pPr>
    </w:p>
    <w:p w14:paraId="59F599E0"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 </w:t>
      </w:r>
    </w:p>
    <w:p w14:paraId="3E1D08FB" w14:textId="77777777" w:rsidR="00D93C20" w:rsidRPr="00BE4CD4" w:rsidRDefault="00D93C20" w:rsidP="00D93C20">
      <w:pPr>
        <w:pStyle w:val="NoSpacing"/>
        <w:ind w:left="720"/>
        <w:rPr>
          <w:rFonts w:ascii="Times New Roman" w:hAnsi="Times New Roman"/>
          <w:sz w:val="24"/>
          <w:szCs w:val="24"/>
        </w:rPr>
      </w:pPr>
    </w:p>
    <w:p w14:paraId="7AEE6085"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Mr. Preece was deposed on May 13, 2022. Mr. Preece indicated that his job as fire chief required him to be at the fire station </w:t>
      </w:r>
      <w:proofErr w:type="gramStart"/>
      <w:r w:rsidRPr="00BE4CD4">
        <w:rPr>
          <w:rFonts w:ascii="Times New Roman" w:hAnsi="Times New Roman"/>
          <w:sz w:val="24"/>
          <w:szCs w:val="24"/>
        </w:rPr>
        <w:t>on a daily basis</w:t>
      </w:r>
      <w:proofErr w:type="gramEnd"/>
      <w:r w:rsidRPr="00BE4CD4">
        <w:rPr>
          <w:rFonts w:ascii="Times New Roman" w:hAnsi="Times New Roman"/>
          <w:sz w:val="24"/>
          <w:szCs w:val="24"/>
        </w:rPr>
        <w:t>. Mr. Preece testified that he answered 90% of the calls received by the fire department and that during the calls he would be exposed to loud noise from the sirens. Mr. Preece further testified that the fire department answers between 300 and 500 calls each year and that answering a call could take between twenty and thirty minutes wherein he would be exposed to the noise from the engine and siren.</w:t>
      </w:r>
    </w:p>
    <w:p w14:paraId="25F9B844" w14:textId="77777777" w:rsidR="00D93C20" w:rsidRPr="00BE4CD4" w:rsidRDefault="00D93C20" w:rsidP="00D93C20">
      <w:pPr>
        <w:pStyle w:val="NoSpacing"/>
        <w:ind w:left="720"/>
        <w:rPr>
          <w:rFonts w:ascii="Times New Roman" w:hAnsi="Times New Roman"/>
          <w:sz w:val="24"/>
          <w:szCs w:val="24"/>
        </w:rPr>
      </w:pPr>
    </w:p>
    <w:p w14:paraId="781EDC8B"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w:t>
      </w:r>
    </w:p>
    <w:p w14:paraId="52FFCA83"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Mr. Preece was evaluated by David Phillips, M.D., who drafted a report dated</w:t>
      </w:r>
    </w:p>
    <w:p w14:paraId="3A08F3E8"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December 14, 2022. Dr. Phillips found that Mr. Preece had a total of 22% whole person</w:t>
      </w:r>
    </w:p>
    <w:p w14:paraId="0481EFD7"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impairment (“WPI”) related to hearing loss. Dr. Phillips noted that Mr. Preece has a</w:t>
      </w:r>
    </w:p>
    <w:p w14:paraId="07DAB572"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medical history of diabetes, hypertension, and elevated cholesterol, all of which can</w:t>
      </w:r>
    </w:p>
    <w:p w14:paraId="6C6F7B93"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contribute to progressive hearing loss. Thus, Dr. Phillips attributed 17.5% of Mr. Preece’s</w:t>
      </w:r>
    </w:p>
    <w:p w14:paraId="0BE4BA34"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hearing loss to prior mining occupational noise exposure and 4.5% to nonoccupational</w:t>
      </w:r>
    </w:p>
    <w:p w14:paraId="60C823D9"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factors. Dr. Philips did not acknowledge Mr. Preece’s employment at KVFD or </w:t>
      </w:r>
      <w:proofErr w:type="gramStart"/>
      <w:r w:rsidRPr="00BE4CD4">
        <w:rPr>
          <w:rFonts w:ascii="Times New Roman" w:hAnsi="Times New Roman"/>
          <w:sz w:val="24"/>
          <w:szCs w:val="24"/>
        </w:rPr>
        <w:t>opine about</w:t>
      </w:r>
      <w:proofErr w:type="gramEnd"/>
      <w:r w:rsidRPr="00BE4CD4">
        <w:rPr>
          <w:rFonts w:ascii="Times New Roman" w:hAnsi="Times New Roman"/>
          <w:sz w:val="24"/>
          <w:szCs w:val="24"/>
        </w:rPr>
        <w:t xml:space="preserve"> any potential impairment related to noise exposure from KVFD. </w:t>
      </w:r>
    </w:p>
    <w:p w14:paraId="79141631" w14:textId="77777777" w:rsidR="00D93C20" w:rsidRPr="00BE4CD4" w:rsidRDefault="00D93C20" w:rsidP="00D93C20">
      <w:pPr>
        <w:pStyle w:val="NoSpacing"/>
        <w:ind w:left="720"/>
        <w:rPr>
          <w:rFonts w:ascii="Times New Roman" w:hAnsi="Times New Roman"/>
          <w:sz w:val="24"/>
          <w:szCs w:val="24"/>
        </w:rPr>
      </w:pPr>
    </w:p>
    <w:p w14:paraId="12A45841"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On March 29, 2023, Mr. Preece was examined by Joseph Touma, M.D. Dr. Touma found that Mr. Preece had a total of 23% WPI for hearing loss related to occupational noise exposure. Dr. Touma’s report indicates that adjustments were made for non-noise related</w:t>
      </w:r>
    </w:p>
    <w:p w14:paraId="45DA723B"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impairment, but the report does not give any further details regarding those adjustments.</w:t>
      </w:r>
    </w:p>
    <w:p w14:paraId="685D193F"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Dr. Touma opined that Mr. Preece’s worsening hearing loss “may” be due to subsequent</w:t>
      </w:r>
    </w:p>
    <w:p w14:paraId="569E8198"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noise exposure from his new work environment with KVFD. Dr. Touma further opined</w:t>
      </w:r>
    </w:p>
    <w:p w14:paraId="19DE79CA" w14:textId="77777777" w:rsidR="00D93C20" w:rsidRPr="00BE4CD4" w:rsidRDefault="00D93C20" w:rsidP="00D93C20">
      <w:pPr>
        <w:pStyle w:val="NoSpacing"/>
        <w:ind w:left="720"/>
        <w:rPr>
          <w:rFonts w:ascii="Times New Roman" w:hAnsi="Times New Roman"/>
          <w:sz w:val="24"/>
          <w:szCs w:val="24"/>
        </w:rPr>
      </w:pPr>
      <w:r w:rsidRPr="00BE4CD4">
        <w:rPr>
          <w:rFonts w:ascii="Times New Roman" w:hAnsi="Times New Roman"/>
          <w:sz w:val="24"/>
          <w:szCs w:val="24"/>
        </w:rPr>
        <w:t xml:space="preserve">that Mr. Preece had no preexisting conditions that could have contributed to his progressive hearing </w:t>
      </w:r>
      <w:proofErr w:type="gramStart"/>
      <w:r w:rsidRPr="00BE4CD4">
        <w:rPr>
          <w:rFonts w:ascii="Times New Roman" w:hAnsi="Times New Roman"/>
          <w:sz w:val="24"/>
          <w:szCs w:val="24"/>
        </w:rPr>
        <w:t>loss.”</w:t>
      </w:r>
      <w:proofErr w:type="gramEnd"/>
      <w:r w:rsidRPr="00BE4CD4">
        <w:rPr>
          <w:rFonts w:ascii="Times New Roman" w:hAnsi="Times New Roman"/>
          <w:sz w:val="24"/>
          <w:szCs w:val="24"/>
        </w:rPr>
        <w:t xml:space="preserve"> </w:t>
      </w:r>
      <w:hyperlink r:id="rId1062" w:history="1">
        <w:r w:rsidRPr="00BE4CD4">
          <w:rPr>
            <w:rStyle w:val="Hyperlink"/>
            <w:rFonts w:ascii="Times New Roman" w:hAnsi="Times New Roman"/>
            <w:sz w:val="24"/>
            <w:szCs w:val="24"/>
          </w:rPr>
          <w:t>https://www.courtswv.gov/sites/default/pubfilesmnt/2024-03/23-ICA-446_MD.pdf</w:t>
        </w:r>
      </w:hyperlink>
      <w:r w:rsidRPr="00BE4CD4">
        <w:rPr>
          <w:rFonts w:ascii="Times New Roman" w:hAnsi="Times New Roman"/>
          <w:sz w:val="24"/>
          <w:szCs w:val="24"/>
        </w:rPr>
        <w:t xml:space="preserve"> </w:t>
      </w:r>
    </w:p>
    <w:p w14:paraId="06F2FE7F" w14:textId="77777777" w:rsidR="00D93C20" w:rsidRPr="00BE4CD4" w:rsidRDefault="00D93C20" w:rsidP="00D93C20">
      <w:pPr>
        <w:pStyle w:val="NoSpacing"/>
        <w:rPr>
          <w:rFonts w:ascii="Times New Roman" w:hAnsi="Times New Roman"/>
          <w:sz w:val="24"/>
          <w:szCs w:val="24"/>
        </w:rPr>
      </w:pPr>
    </w:p>
    <w:p w14:paraId="331A05E2" w14:textId="77777777" w:rsidR="00D93C20" w:rsidRPr="00BE4CD4" w:rsidRDefault="00D93C20" w:rsidP="00D93C20">
      <w:pPr>
        <w:pStyle w:val="NoSpacing"/>
        <w:ind w:left="720"/>
        <w:rPr>
          <w:rFonts w:ascii="Times New Roman" w:hAnsi="Times New Roman"/>
          <w:sz w:val="24"/>
          <w:szCs w:val="24"/>
        </w:rPr>
      </w:pPr>
    </w:p>
    <w:p w14:paraId="08608E57" w14:textId="77777777" w:rsidR="00D93C20" w:rsidRPr="00BE4CD4" w:rsidRDefault="00D93C20" w:rsidP="00D93C20">
      <w:pPr>
        <w:pStyle w:val="NoSpacing"/>
        <w:rPr>
          <w:rFonts w:ascii="Times New Roman" w:hAnsi="Times New Roman"/>
          <w:b/>
          <w:bCs/>
          <w:sz w:val="24"/>
          <w:szCs w:val="24"/>
        </w:rPr>
      </w:pPr>
      <w:r w:rsidRPr="00BE4CD4">
        <w:rPr>
          <w:rFonts w:ascii="Times New Roman" w:hAnsi="Times New Roman"/>
          <w:b/>
          <w:sz w:val="24"/>
          <w:szCs w:val="24"/>
        </w:rPr>
        <w:t xml:space="preserve">Legal Lesson Learned: Hearing loss is clearly an issue in the fire service; wearing hearing protection on all emergency runs should be mandatory.  To prove workplace loss, claimants should retain an expert who will record load noise exposure at fire and other scenes. </w:t>
      </w:r>
    </w:p>
    <w:p w14:paraId="64F1A625" w14:textId="77777777" w:rsidR="00AF0D0A" w:rsidRDefault="00AF0D0A" w:rsidP="00EF1133">
      <w:pPr>
        <w:rPr>
          <w:rFonts w:ascii="Arial Black" w:hAnsi="Arial Black"/>
          <w:b/>
          <w:sz w:val="24"/>
          <w:szCs w:val="24"/>
        </w:rPr>
      </w:pPr>
    </w:p>
    <w:p w14:paraId="32521D32" w14:textId="77777777" w:rsidR="00AF0D0A" w:rsidRDefault="00AF0D0A" w:rsidP="00EF1133">
      <w:pPr>
        <w:rPr>
          <w:rFonts w:ascii="Arial Black" w:hAnsi="Arial Black"/>
          <w:b/>
          <w:sz w:val="24"/>
          <w:szCs w:val="24"/>
        </w:rPr>
      </w:pPr>
    </w:p>
    <w:p w14:paraId="30499DCB" w14:textId="1EA3752D" w:rsidR="006634F6" w:rsidRDefault="006634F6"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7</w:t>
      </w:r>
    </w:p>
    <w:p w14:paraId="3E73A28D" w14:textId="77777777" w:rsidR="00BF6110" w:rsidRPr="00FA067C" w:rsidRDefault="00BF6110" w:rsidP="00BF6110">
      <w:pPr>
        <w:pStyle w:val="NoSpacing"/>
        <w:rPr>
          <w:rFonts w:ascii="Arial Black" w:hAnsi="Arial Black"/>
          <w:b/>
          <w:sz w:val="28"/>
          <w:szCs w:val="28"/>
        </w:rPr>
      </w:pPr>
      <w:r>
        <w:rPr>
          <w:rFonts w:ascii="Arial Black" w:hAnsi="Arial Black"/>
          <w:b/>
          <w:sz w:val="28"/>
          <w:szCs w:val="28"/>
        </w:rPr>
        <w:t>PA: LUNG CANCER – CITY PAY WIFE 10% PENALTY</w:t>
      </w:r>
    </w:p>
    <w:p w14:paraId="752FCA0B" w14:textId="77777777" w:rsidR="00BF6110" w:rsidRDefault="00BF6110" w:rsidP="00BF6110">
      <w:pPr>
        <w:pStyle w:val="NoSpacing"/>
        <w:rPr>
          <w:b/>
        </w:rPr>
      </w:pPr>
    </w:p>
    <w:p w14:paraId="45670B7F" w14:textId="77777777" w:rsidR="00BF6110" w:rsidRPr="00BF6110" w:rsidRDefault="00BF6110" w:rsidP="00BF6110">
      <w:pPr>
        <w:pStyle w:val="NoSpacing"/>
        <w:rPr>
          <w:rFonts w:ascii="Times New Roman" w:hAnsi="Times New Roman"/>
          <w:bCs/>
          <w:sz w:val="24"/>
          <w:szCs w:val="24"/>
        </w:rPr>
      </w:pPr>
      <w:r w:rsidRPr="00BF6110">
        <w:rPr>
          <w:rFonts w:ascii="Times New Roman" w:hAnsi="Times New Roman"/>
          <w:sz w:val="24"/>
          <w:szCs w:val="24"/>
        </w:rPr>
        <w:t xml:space="preserve">On Dec. 24, 2024, in </w:t>
      </w:r>
      <w:r w:rsidRPr="00BF6110">
        <w:rPr>
          <w:rFonts w:ascii="Times New Roman" w:hAnsi="Times New Roman"/>
          <w:sz w:val="24"/>
          <w:szCs w:val="24"/>
          <w:u w:val="single"/>
        </w:rPr>
        <w:t>City of Philadelphia v. Wayne Deloatch and Independence Blue Cross</w:t>
      </w:r>
      <w:r w:rsidRPr="00BF6110">
        <w:rPr>
          <w:rFonts w:ascii="Times New Roman" w:hAnsi="Times New Roman"/>
          <w:sz w:val="24"/>
          <w:szCs w:val="24"/>
        </w:rPr>
        <w:t xml:space="preserve"> (Workers’ Compensation Appeal Board), the Commonwealth Court of Pennsylvania held (3 to 0) that City must reimburse the firefighter’s insurance company $124,680.22 for medical benefits paid to the firefighter, plus interest back to 2014, and also pay a 10% penalty to the wife of the deceased firefighter.  The Court referenced the PA statutory presumption law (July 7, 2011) in holding that the firefighter’s wife will receive 51% of Deloatch’s average weekly wage as of his death on September 26, 2019.</w:t>
      </w:r>
    </w:p>
    <w:p w14:paraId="1D30D896" w14:textId="77777777" w:rsidR="00BF6110" w:rsidRPr="00BF6110" w:rsidRDefault="00BF6110" w:rsidP="00BF6110">
      <w:pPr>
        <w:pStyle w:val="NoSpacing"/>
        <w:rPr>
          <w:rFonts w:ascii="Times New Roman" w:hAnsi="Times New Roman"/>
          <w:bCs/>
          <w:sz w:val="24"/>
          <w:szCs w:val="24"/>
        </w:rPr>
      </w:pPr>
    </w:p>
    <w:p w14:paraId="75F1B6F9" w14:textId="77777777" w:rsidR="00BF6110" w:rsidRPr="00BF6110" w:rsidRDefault="00BF6110" w:rsidP="00BF6110">
      <w:pPr>
        <w:pStyle w:val="NoSpacing"/>
        <w:rPr>
          <w:rFonts w:ascii="Times New Roman" w:hAnsi="Times New Roman"/>
          <w:bCs/>
          <w:sz w:val="24"/>
          <w:szCs w:val="24"/>
        </w:rPr>
      </w:pPr>
      <w:r w:rsidRPr="00BF6110">
        <w:rPr>
          <w:rFonts w:ascii="Times New Roman" w:hAnsi="Times New Roman"/>
          <w:sz w:val="24"/>
          <w:szCs w:val="24"/>
        </w:rPr>
        <w:t>The Court wrote:</w:t>
      </w:r>
    </w:p>
    <w:p w14:paraId="55056F68" w14:textId="77777777" w:rsidR="00BF6110" w:rsidRPr="00BF6110" w:rsidRDefault="00BF6110" w:rsidP="00BF6110">
      <w:pPr>
        <w:pStyle w:val="NoSpacing"/>
        <w:rPr>
          <w:rFonts w:ascii="Times New Roman" w:hAnsi="Times New Roman"/>
          <w:bCs/>
          <w:sz w:val="24"/>
          <w:szCs w:val="24"/>
        </w:rPr>
      </w:pPr>
    </w:p>
    <w:p w14:paraId="391B417C" w14:textId="4C8FD9D9" w:rsidR="006634F6" w:rsidRPr="00BF6110" w:rsidRDefault="00BF6110" w:rsidP="00BF6110">
      <w:pPr>
        <w:ind w:left="720"/>
        <w:rPr>
          <w:rFonts w:ascii="Times New Roman" w:hAnsi="Times New Roman"/>
          <w:b/>
          <w:sz w:val="24"/>
          <w:szCs w:val="24"/>
        </w:rPr>
      </w:pPr>
      <w:r w:rsidRPr="00BF6110">
        <w:rPr>
          <w:rFonts w:ascii="Times New Roman" w:hAnsi="Times New Roman"/>
          <w:sz w:val="24"/>
          <w:szCs w:val="24"/>
        </w:rPr>
        <w:t xml:space="preserve">“Accordingly, because Insurer is entitled to interest on its subrogation lien, and the subrogation lien was established as of October 21, 2014, when Insurer introduced it before WCJ [Worker’s Comp Judge] Timm, WCJ Lawrence did not err by ordering Employer to pay interest on the subrogation lien from October 21, 2014.” </w:t>
      </w:r>
      <w:hyperlink r:id="rId1063" w:history="1">
        <w:r w:rsidRPr="00BF6110">
          <w:rPr>
            <w:rStyle w:val="Hyperlink"/>
            <w:rFonts w:ascii="Times New Roman" w:hAnsi="Times New Roman"/>
            <w:sz w:val="24"/>
            <w:szCs w:val="24"/>
          </w:rPr>
          <w:t>https://cases.justia.com/pennsylvania/commonwealth-court/2024-541-and-589-c-d-2022.pdf?ts=1735057731</w:t>
        </w:r>
      </w:hyperlink>
    </w:p>
    <w:p w14:paraId="3445CF49" w14:textId="77777777" w:rsidR="00922A0A" w:rsidRDefault="00922A0A" w:rsidP="00922A0A">
      <w:pPr>
        <w:pStyle w:val="NoSpacing"/>
        <w:ind w:left="720"/>
        <w:rPr>
          <w:bCs/>
        </w:rPr>
      </w:pPr>
    </w:p>
    <w:p w14:paraId="752DE9A6" w14:textId="77777777" w:rsidR="00922A0A" w:rsidRPr="00922A0A" w:rsidRDefault="00922A0A" w:rsidP="00922A0A">
      <w:pPr>
        <w:pStyle w:val="NoSpacing"/>
        <w:rPr>
          <w:rFonts w:ascii="Times New Roman" w:hAnsi="Times New Roman"/>
          <w:bCs/>
          <w:sz w:val="24"/>
          <w:szCs w:val="24"/>
        </w:rPr>
      </w:pPr>
      <w:r w:rsidRPr="00922A0A">
        <w:rPr>
          <w:rFonts w:ascii="Times New Roman" w:hAnsi="Times New Roman"/>
          <w:sz w:val="24"/>
          <w:szCs w:val="24"/>
        </w:rPr>
        <w:t>HOLDING:</w:t>
      </w:r>
    </w:p>
    <w:p w14:paraId="7D69861A" w14:textId="77777777" w:rsidR="00922A0A" w:rsidRPr="00922A0A" w:rsidRDefault="00922A0A" w:rsidP="00922A0A">
      <w:pPr>
        <w:pStyle w:val="NoSpacing"/>
        <w:rPr>
          <w:rFonts w:ascii="Times New Roman" w:hAnsi="Times New Roman"/>
          <w:bCs/>
          <w:sz w:val="24"/>
          <w:szCs w:val="24"/>
        </w:rPr>
      </w:pPr>
    </w:p>
    <w:p w14:paraId="544A9CF0" w14:textId="77777777" w:rsidR="00922A0A" w:rsidRPr="00922A0A" w:rsidRDefault="00922A0A" w:rsidP="00922A0A">
      <w:pPr>
        <w:pStyle w:val="NoSpacing"/>
        <w:ind w:left="720"/>
        <w:rPr>
          <w:rFonts w:ascii="Times New Roman" w:hAnsi="Times New Roman"/>
          <w:bCs/>
          <w:sz w:val="24"/>
          <w:szCs w:val="24"/>
        </w:rPr>
      </w:pPr>
      <w:r w:rsidRPr="00922A0A">
        <w:rPr>
          <w:rFonts w:ascii="Times New Roman" w:hAnsi="Times New Roman"/>
          <w:sz w:val="24"/>
          <w:szCs w:val="24"/>
        </w:rPr>
        <w:t>“Once this Court reversed the Board’s opinion and order, the granting of the underlying Claim Petition was reinstated; thus, the ‘entitlement to medical expenses or a lien for</w:t>
      </w:r>
    </w:p>
    <w:p w14:paraId="4D738904" w14:textId="77777777" w:rsidR="00922A0A" w:rsidRPr="00922A0A" w:rsidRDefault="00922A0A" w:rsidP="00922A0A">
      <w:pPr>
        <w:pStyle w:val="NoSpacing"/>
        <w:ind w:left="720"/>
        <w:rPr>
          <w:rFonts w:ascii="Times New Roman" w:hAnsi="Times New Roman"/>
          <w:bCs/>
          <w:sz w:val="24"/>
          <w:szCs w:val="24"/>
        </w:rPr>
      </w:pPr>
      <w:r w:rsidRPr="00922A0A">
        <w:rPr>
          <w:rFonts w:ascii="Times New Roman" w:hAnsi="Times New Roman"/>
          <w:sz w:val="24"/>
          <w:szCs w:val="24"/>
        </w:rPr>
        <w:t xml:space="preserve">medical expenses paid on [Deloatch’s] behalf’ was also reinstated…. Accordingly, Insurer did not waive its right to seek subrogation by not appealing from the Board’s December 11, </w:t>
      </w:r>
      <w:proofErr w:type="gramStart"/>
      <w:r w:rsidRPr="00922A0A">
        <w:rPr>
          <w:rFonts w:ascii="Times New Roman" w:hAnsi="Times New Roman"/>
          <w:sz w:val="24"/>
          <w:szCs w:val="24"/>
        </w:rPr>
        <w:t>2018</w:t>
      </w:r>
      <w:proofErr w:type="gramEnd"/>
      <w:r w:rsidRPr="00922A0A">
        <w:rPr>
          <w:rFonts w:ascii="Times New Roman" w:hAnsi="Times New Roman"/>
          <w:sz w:val="24"/>
          <w:szCs w:val="24"/>
        </w:rPr>
        <w:t xml:space="preserve"> opinion and order.”</w:t>
      </w:r>
    </w:p>
    <w:p w14:paraId="645C3285" w14:textId="77777777" w:rsidR="00922A0A" w:rsidRPr="00922A0A" w:rsidRDefault="00922A0A" w:rsidP="00922A0A">
      <w:pPr>
        <w:pStyle w:val="NoSpacing"/>
        <w:ind w:left="720"/>
        <w:rPr>
          <w:rFonts w:ascii="Times New Roman" w:hAnsi="Times New Roman"/>
          <w:bCs/>
          <w:sz w:val="24"/>
          <w:szCs w:val="24"/>
        </w:rPr>
      </w:pPr>
    </w:p>
    <w:p w14:paraId="400B10E0" w14:textId="77777777" w:rsidR="00922A0A" w:rsidRPr="00922A0A" w:rsidRDefault="00922A0A" w:rsidP="00922A0A">
      <w:pPr>
        <w:pStyle w:val="NoSpacing"/>
        <w:rPr>
          <w:rFonts w:ascii="Times New Roman" w:hAnsi="Times New Roman"/>
          <w:b/>
          <w:sz w:val="24"/>
          <w:szCs w:val="24"/>
        </w:rPr>
      </w:pPr>
      <w:r w:rsidRPr="00922A0A">
        <w:rPr>
          <w:rFonts w:ascii="Times New Roman" w:hAnsi="Times New Roman"/>
          <w:b/>
          <w:sz w:val="24"/>
          <w:szCs w:val="24"/>
        </w:rPr>
        <w:t xml:space="preserve">Legal Lesson Learned:  Employers continue to litigate firefighter cancer claims despite a statutory presumption. </w:t>
      </w:r>
    </w:p>
    <w:p w14:paraId="0393452F" w14:textId="77777777" w:rsidR="00922A0A" w:rsidRPr="00922A0A" w:rsidRDefault="00922A0A" w:rsidP="00922A0A">
      <w:pPr>
        <w:pStyle w:val="NoSpacing"/>
        <w:ind w:left="720"/>
        <w:rPr>
          <w:rFonts w:ascii="Times New Roman" w:hAnsi="Times New Roman"/>
          <w:bCs/>
          <w:sz w:val="24"/>
          <w:szCs w:val="24"/>
        </w:rPr>
      </w:pPr>
    </w:p>
    <w:p w14:paraId="2327851C" w14:textId="77777777" w:rsidR="009C6350" w:rsidRDefault="009C6350" w:rsidP="00EF1133">
      <w:pPr>
        <w:rPr>
          <w:rFonts w:ascii="Arial Black" w:hAnsi="Arial Black"/>
          <w:b/>
          <w:sz w:val="24"/>
          <w:szCs w:val="24"/>
        </w:rPr>
      </w:pPr>
    </w:p>
    <w:p w14:paraId="0AEEE8B9" w14:textId="67D3D261" w:rsidR="003B4DA5" w:rsidRDefault="003B4DA5"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6</w:t>
      </w:r>
    </w:p>
    <w:p w14:paraId="20E82761" w14:textId="77777777" w:rsidR="002972FF" w:rsidRPr="00CB1548" w:rsidRDefault="002972FF" w:rsidP="002972FF">
      <w:pPr>
        <w:pStyle w:val="NoSpacing"/>
        <w:rPr>
          <w:rFonts w:ascii="Arial Black" w:hAnsi="Arial Black"/>
          <w:b/>
          <w:sz w:val="28"/>
          <w:szCs w:val="28"/>
        </w:rPr>
      </w:pPr>
      <w:r>
        <w:rPr>
          <w:rFonts w:ascii="Arial Black" w:hAnsi="Arial Black"/>
          <w:b/>
          <w:sz w:val="28"/>
          <w:szCs w:val="28"/>
        </w:rPr>
        <w:t xml:space="preserve">IL: PROSTATE CANCER – NO WORKER’S COMP – FAMILY HISTORY – CONFLICTING EXPERTS / SCIENTIFIC STUDIES </w:t>
      </w:r>
    </w:p>
    <w:p w14:paraId="053B73B5" w14:textId="77777777" w:rsidR="002972FF" w:rsidRDefault="002972FF" w:rsidP="002972FF">
      <w:pPr>
        <w:pStyle w:val="NoSpacing"/>
        <w:ind w:firstLine="720"/>
        <w:rPr>
          <w:b/>
        </w:rPr>
      </w:pPr>
    </w:p>
    <w:p w14:paraId="09B1789E" w14:textId="54D29476" w:rsidR="003B4DA5" w:rsidRPr="00C1151D" w:rsidRDefault="002972FF" w:rsidP="002972FF">
      <w:pPr>
        <w:rPr>
          <w:rStyle w:val="Hyperlink"/>
          <w:rFonts w:ascii="Times New Roman" w:hAnsi="Times New Roman"/>
          <w:sz w:val="24"/>
          <w:szCs w:val="24"/>
        </w:rPr>
      </w:pPr>
      <w:r w:rsidRPr="00C1151D">
        <w:rPr>
          <w:rFonts w:ascii="Times New Roman" w:hAnsi="Times New Roman"/>
          <w:sz w:val="24"/>
          <w:szCs w:val="24"/>
        </w:rPr>
        <w:t xml:space="preserve">On Nov. 22, 2024, in </w:t>
      </w:r>
      <w:r w:rsidRPr="00C1151D">
        <w:rPr>
          <w:rFonts w:ascii="Times New Roman" w:hAnsi="Times New Roman"/>
          <w:sz w:val="24"/>
          <w:szCs w:val="24"/>
          <w:u w:val="single"/>
        </w:rPr>
        <w:t>Thomas Mangiameli v. The Illinois Workers’ Compensation Commission, et al. (Village of Hoffman Estates)</w:t>
      </w:r>
      <w:r w:rsidRPr="00C1151D">
        <w:rPr>
          <w:rFonts w:ascii="Times New Roman" w:hAnsi="Times New Roman"/>
          <w:sz w:val="24"/>
          <w:szCs w:val="24"/>
        </w:rPr>
        <w:t xml:space="preserve">, the Appellate Court of Illinois, First District, Worker’s Compensation Di vision (held 2 to 1, unpublished decision) held that the retired firefighter was properly denied worker’s comp. for his prostate cancer (cancer detected in 2017; he retired in 2018).  The Court wrote: “We agree with the dissent that the Act affords special protections to  firefighters ‘because Illinois values the vital services provided by them and because it is understood that, due to the nature of their work, they come into contact with carcinogens, chemicals, pathogens, and other substances which are detrimental to their health and to which the ordinary person is not regularly exposed.’ We note, however, that </w:t>
      </w:r>
      <w:proofErr w:type="gramStart"/>
      <w:r w:rsidRPr="00C1151D">
        <w:rPr>
          <w:rFonts w:ascii="Times New Roman" w:hAnsi="Times New Roman"/>
          <w:sz w:val="24"/>
          <w:szCs w:val="24"/>
        </w:rPr>
        <w:t>the</w:t>
      </w:r>
      <w:r w:rsidRPr="00C1151D">
        <w:rPr>
          <w:rFonts w:ascii="Times New Roman" w:hAnsi="Times New Roman"/>
          <w:bCs/>
          <w:sz w:val="24"/>
          <w:szCs w:val="24"/>
        </w:rPr>
        <w:t xml:space="preserve"> </w:t>
      </w:r>
      <w:r w:rsidRPr="00C1151D">
        <w:rPr>
          <w:rFonts w:ascii="Times New Roman" w:hAnsi="Times New Roman"/>
          <w:sz w:val="24"/>
          <w:szCs w:val="24"/>
        </w:rPr>
        <w:t>scientific</w:t>
      </w:r>
      <w:proofErr w:type="gramEnd"/>
      <w:r w:rsidRPr="00C1151D">
        <w:rPr>
          <w:rFonts w:ascii="Times New Roman" w:hAnsi="Times New Roman"/>
          <w:sz w:val="24"/>
          <w:szCs w:val="24"/>
        </w:rPr>
        <w:t xml:space="preserve"> studies, </w:t>
      </w:r>
      <w:proofErr w:type="gramStart"/>
      <w:r w:rsidRPr="00C1151D">
        <w:rPr>
          <w:rFonts w:ascii="Times New Roman" w:hAnsi="Times New Roman"/>
          <w:sz w:val="24"/>
          <w:szCs w:val="24"/>
        </w:rPr>
        <w:t>at this point in time</w:t>
      </w:r>
      <w:proofErr w:type="gramEnd"/>
      <w:r w:rsidRPr="00C1151D">
        <w:rPr>
          <w:rFonts w:ascii="Times New Roman" w:hAnsi="Times New Roman"/>
          <w:sz w:val="24"/>
          <w:szCs w:val="24"/>
        </w:rPr>
        <w:t xml:space="preserve">, regarding the correlation between the development of prostate cancer and the occupation of a firefighter are evolving. We reiterate that, in the present case, claimant had a family history of prostate cancer which doubled his risk for developing the cancer. Under these circumstances, we will not usurp the function of the Commission to weigh the evidence and make credibility determinations.” </w:t>
      </w:r>
      <w:hyperlink r:id="rId1064" w:history="1">
        <w:r w:rsidRPr="00C1151D">
          <w:rPr>
            <w:rStyle w:val="Hyperlink"/>
            <w:rFonts w:ascii="Times New Roman" w:hAnsi="Times New Roman"/>
            <w:sz w:val="24"/>
            <w:szCs w:val="24"/>
          </w:rPr>
          <w:t>https://ilcourtsaudio.blob.core.windows.net/antilles-resources/resources/19fc956b-c59f-4d15-932a-20de8f3f1feb/Mangiameli%20v.%20Illinois%20Workers%27%20Compensation%20Comm%27n,%202024%20IL%20App%20(1st)%20231397WC-U.pdf</w:t>
        </w:r>
      </w:hyperlink>
    </w:p>
    <w:p w14:paraId="478E3430" w14:textId="4AF28117" w:rsidR="00C1151D" w:rsidRPr="00C1151D" w:rsidRDefault="00C1151D" w:rsidP="00BE6A72">
      <w:pPr>
        <w:pStyle w:val="NoSpacing"/>
        <w:rPr>
          <w:rFonts w:ascii="Times New Roman" w:hAnsi="Times New Roman"/>
          <w:bCs/>
          <w:sz w:val="24"/>
          <w:szCs w:val="24"/>
        </w:rPr>
      </w:pPr>
      <w:r w:rsidRPr="00C1151D">
        <w:rPr>
          <w:rFonts w:ascii="Times New Roman" w:hAnsi="Times New Roman"/>
          <w:bCs/>
          <w:sz w:val="24"/>
          <w:szCs w:val="24"/>
        </w:rPr>
        <w:t>Dissent.</w:t>
      </w:r>
    </w:p>
    <w:p w14:paraId="604EBC82" w14:textId="77777777" w:rsidR="00C1151D" w:rsidRPr="00C1151D" w:rsidRDefault="00C1151D" w:rsidP="00BE6A72">
      <w:pPr>
        <w:pStyle w:val="NoSpacing"/>
        <w:rPr>
          <w:rFonts w:ascii="Times New Roman" w:hAnsi="Times New Roman"/>
          <w:b/>
          <w:sz w:val="24"/>
          <w:szCs w:val="24"/>
        </w:rPr>
      </w:pPr>
    </w:p>
    <w:p w14:paraId="384EABBF" w14:textId="3574E3AA" w:rsidR="00BE6A72" w:rsidRPr="00C1151D" w:rsidRDefault="00BE6A72" w:rsidP="00BE6A72">
      <w:pPr>
        <w:pStyle w:val="NoSpacing"/>
        <w:rPr>
          <w:rFonts w:ascii="Times New Roman" w:hAnsi="Times New Roman"/>
          <w:b/>
          <w:sz w:val="24"/>
          <w:szCs w:val="24"/>
        </w:rPr>
      </w:pPr>
      <w:r w:rsidRPr="00C1151D">
        <w:rPr>
          <w:rFonts w:ascii="Times New Roman" w:hAnsi="Times New Roman"/>
          <w:b/>
          <w:sz w:val="24"/>
          <w:szCs w:val="24"/>
        </w:rPr>
        <w:t xml:space="preserve">Legal Lesson Learned: Conflicting experts and scientific studies; court won’t overturn Commission. </w:t>
      </w:r>
    </w:p>
    <w:p w14:paraId="2CFB1B2F" w14:textId="77777777" w:rsidR="00BE6A72" w:rsidRPr="00C1151D" w:rsidRDefault="00BE6A72" w:rsidP="002972FF">
      <w:pPr>
        <w:rPr>
          <w:rFonts w:ascii="Times New Roman" w:hAnsi="Times New Roman"/>
          <w:b/>
          <w:sz w:val="24"/>
          <w:szCs w:val="24"/>
        </w:rPr>
      </w:pPr>
    </w:p>
    <w:p w14:paraId="08AB4E82" w14:textId="77777777" w:rsidR="003B4DA5" w:rsidRDefault="003B4DA5" w:rsidP="00EF1133">
      <w:pPr>
        <w:rPr>
          <w:rFonts w:ascii="Arial Black" w:hAnsi="Arial Black"/>
          <w:b/>
          <w:sz w:val="24"/>
          <w:szCs w:val="24"/>
        </w:rPr>
      </w:pPr>
    </w:p>
    <w:p w14:paraId="78BDDF17" w14:textId="4EC4E100" w:rsidR="009C6350" w:rsidRDefault="009C6350"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5</w:t>
      </w:r>
    </w:p>
    <w:p w14:paraId="18C0D0F9" w14:textId="77777777" w:rsidR="00A25CDF" w:rsidRDefault="00A25CDF" w:rsidP="00A25CDF">
      <w:pPr>
        <w:pStyle w:val="NoSpacing"/>
        <w:rPr>
          <w:b/>
        </w:rPr>
      </w:pPr>
      <w:r>
        <w:rPr>
          <w:rFonts w:ascii="Arial Black" w:hAnsi="Arial Black"/>
          <w:b/>
          <w:sz w:val="28"/>
          <w:szCs w:val="28"/>
        </w:rPr>
        <w:t>PA: LEUKEMIA – VOL. FF GETS WORKERS COMP – DIESEL EXHAUST / BENZENE - EVEN IF FEW INTERIOR FIRES</w:t>
      </w:r>
    </w:p>
    <w:p w14:paraId="381D8D91" w14:textId="77777777" w:rsidR="00A25CDF" w:rsidRDefault="00A25CDF" w:rsidP="00A25CDF">
      <w:pPr>
        <w:pStyle w:val="NoSpacing"/>
        <w:ind w:firstLine="720"/>
        <w:rPr>
          <w:b/>
        </w:rPr>
      </w:pPr>
    </w:p>
    <w:p w14:paraId="60CCB47D" w14:textId="77777777" w:rsidR="00A25CDF" w:rsidRPr="003B4DA5" w:rsidRDefault="00A25CDF" w:rsidP="00A25CDF">
      <w:pPr>
        <w:pStyle w:val="NoSpacing"/>
        <w:rPr>
          <w:rFonts w:ascii="Times New Roman" w:hAnsi="Times New Roman"/>
          <w:sz w:val="24"/>
          <w:szCs w:val="24"/>
        </w:rPr>
      </w:pPr>
      <w:r w:rsidRPr="003B4DA5">
        <w:rPr>
          <w:rFonts w:ascii="Times New Roman" w:hAnsi="Times New Roman"/>
          <w:sz w:val="24"/>
          <w:szCs w:val="24"/>
        </w:rPr>
        <w:t xml:space="preserve">On Nov. 19, 2024, in </w:t>
      </w:r>
      <w:r w:rsidRPr="003B4DA5">
        <w:rPr>
          <w:rFonts w:ascii="Times New Roman" w:hAnsi="Times New Roman"/>
          <w:sz w:val="24"/>
          <w:szCs w:val="24"/>
          <w:u w:val="single"/>
        </w:rPr>
        <w:t>Borough of Hollidaysburg v. Paul Detwiler (Workers’ Compensation Appeal Board</w:t>
      </w:r>
      <w:r w:rsidRPr="003B4DA5">
        <w:rPr>
          <w:rFonts w:ascii="Times New Roman" w:hAnsi="Times New Roman"/>
          <w:sz w:val="24"/>
          <w:szCs w:val="24"/>
        </w:rPr>
        <w:t>), Commonwealth Court of Pennsylvania held (2 to 1) that the firefighter was properly awarded worker’s comp.  The Court wrote: “The second prong of 301(f)’s test for the presumption requires a claimant to ‘establish a direct exposure to a carcinogen referred to in [S]</w:t>
      </w:r>
      <w:proofErr w:type="spellStart"/>
      <w:r w:rsidRPr="003B4DA5">
        <w:rPr>
          <w:rFonts w:ascii="Times New Roman" w:hAnsi="Times New Roman"/>
          <w:sz w:val="24"/>
          <w:szCs w:val="24"/>
        </w:rPr>
        <w:t>ection</w:t>
      </w:r>
      <w:proofErr w:type="spellEnd"/>
      <w:r w:rsidRPr="003B4DA5">
        <w:rPr>
          <w:rFonts w:ascii="Times New Roman" w:hAnsi="Times New Roman"/>
          <w:sz w:val="24"/>
          <w:szCs w:val="24"/>
        </w:rPr>
        <w:t xml:space="preserve"> 108(r) relating to cancer by a firefighter.’ The relevant carcinogen in this case is benzene.”</w:t>
      </w:r>
    </w:p>
    <w:p w14:paraId="2834FDD2" w14:textId="77777777" w:rsidR="00A25CDF" w:rsidRPr="003B4DA5" w:rsidRDefault="00A25CDF" w:rsidP="00A25CDF">
      <w:pPr>
        <w:pStyle w:val="NoSpacing"/>
        <w:rPr>
          <w:rFonts w:ascii="Times New Roman" w:hAnsi="Times New Roman"/>
          <w:bCs/>
          <w:sz w:val="24"/>
          <w:szCs w:val="24"/>
        </w:rPr>
      </w:pPr>
      <w:hyperlink r:id="rId1065" w:history="1">
        <w:r w:rsidRPr="003B4DA5">
          <w:rPr>
            <w:rStyle w:val="Hyperlink"/>
            <w:rFonts w:ascii="Times New Roman" w:hAnsi="Times New Roman"/>
            <w:sz w:val="24"/>
            <w:szCs w:val="24"/>
          </w:rPr>
          <w:t>https://cases.justia.com/pennsylvania/commonwealth-court/2024-739-c-d-2023.pdf?ts=1732034168</w:t>
        </w:r>
      </w:hyperlink>
      <w:r w:rsidRPr="003B4DA5">
        <w:rPr>
          <w:rFonts w:ascii="Times New Roman" w:hAnsi="Times New Roman"/>
          <w:sz w:val="24"/>
          <w:szCs w:val="24"/>
        </w:rPr>
        <w:t xml:space="preserve"> </w:t>
      </w:r>
    </w:p>
    <w:p w14:paraId="6F3AF292" w14:textId="77777777" w:rsidR="003B4DA5" w:rsidRDefault="003B4DA5" w:rsidP="00EF1133">
      <w:pPr>
        <w:rPr>
          <w:rFonts w:ascii="Times New Roman" w:hAnsi="Times New Roman"/>
          <w:bCs/>
          <w:sz w:val="24"/>
          <w:szCs w:val="24"/>
        </w:rPr>
      </w:pPr>
    </w:p>
    <w:p w14:paraId="3345F1E2" w14:textId="3C85AC97" w:rsidR="003B4DA5" w:rsidRPr="003B4DA5" w:rsidRDefault="003B4DA5" w:rsidP="00EF1133">
      <w:pPr>
        <w:rPr>
          <w:rFonts w:ascii="Times New Roman" w:hAnsi="Times New Roman"/>
          <w:bCs/>
          <w:sz w:val="24"/>
          <w:szCs w:val="24"/>
        </w:rPr>
      </w:pPr>
      <w:r w:rsidRPr="003B4DA5">
        <w:rPr>
          <w:rFonts w:ascii="Times New Roman" w:hAnsi="Times New Roman"/>
          <w:bCs/>
          <w:sz w:val="24"/>
          <w:szCs w:val="24"/>
        </w:rPr>
        <w:t>Dissent</w:t>
      </w:r>
    </w:p>
    <w:p w14:paraId="382EF0C8" w14:textId="77777777" w:rsidR="003B4DA5" w:rsidRPr="003B4DA5" w:rsidRDefault="003B4DA5" w:rsidP="003B4DA5">
      <w:pPr>
        <w:pStyle w:val="NoSpacing"/>
        <w:rPr>
          <w:rFonts w:ascii="Times New Roman" w:hAnsi="Times New Roman"/>
          <w:b/>
          <w:sz w:val="24"/>
          <w:szCs w:val="24"/>
        </w:rPr>
      </w:pPr>
      <w:r w:rsidRPr="003B4DA5">
        <w:rPr>
          <w:rFonts w:ascii="Times New Roman" w:hAnsi="Times New Roman"/>
          <w:b/>
          <w:sz w:val="24"/>
          <w:szCs w:val="24"/>
        </w:rPr>
        <w:t xml:space="preserve">Legal Lesson Learned: With the state’s statutory presumption, there is no requirement that the firefighter prove he had extensive interior firefighting experience. </w:t>
      </w:r>
    </w:p>
    <w:p w14:paraId="451B022A" w14:textId="77777777" w:rsidR="003B4DA5" w:rsidRDefault="003B4DA5" w:rsidP="00EF1133">
      <w:pPr>
        <w:rPr>
          <w:rFonts w:ascii="Arial Black" w:hAnsi="Arial Black"/>
          <w:b/>
          <w:sz w:val="24"/>
          <w:szCs w:val="24"/>
        </w:rPr>
      </w:pPr>
    </w:p>
    <w:p w14:paraId="0AABA937" w14:textId="77777777" w:rsidR="009C6350" w:rsidRDefault="009C6350" w:rsidP="00EF1133">
      <w:pPr>
        <w:rPr>
          <w:rFonts w:ascii="Arial Black" w:hAnsi="Arial Black"/>
          <w:b/>
          <w:sz w:val="24"/>
          <w:szCs w:val="24"/>
        </w:rPr>
      </w:pPr>
    </w:p>
    <w:p w14:paraId="22FE6C5D" w14:textId="16C899D8" w:rsidR="009C2906" w:rsidRDefault="009C2906"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4</w:t>
      </w:r>
    </w:p>
    <w:p w14:paraId="6F169179" w14:textId="77777777" w:rsidR="00840283" w:rsidRPr="009E40D5" w:rsidRDefault="00840283" w:rsidP="00840283">
      <w:pPr>
        <w:pStyle w:val="NoSpacing"/>
        <w:rPr>
          <w:rFonts w:ascii="Arial Black" w:hAnsi="Arial Black"/>
          <w:sz w:val="28"/>
          <w:szCs w:val="28"/>
        </w:rPr>
      </w:pPr>
      <w:r>
        <w:rPr>
          <w:rFonts w:ascii="Arial Black" w:hAnsi="Arial Black"/>
          <w:sz w:val="28"/>
          <w:szCs w:val="28"/>
        </w:rPr>
        <w:t xml:space="preserve">IL:  ON-DUTY PENSION - 2 ANKLE INJURIES – NEVER FULLY RECOVERED / DIDN’T HIDE ALSO FARMER – BOARD REV. </w:t>
      </w:r>
    </w:p>
    <w:p w14:paraId="4FD7D00F" w14:textId="77777777" w:rsidR="00840283" w:rsidRDefault="00840283" w:rsidP="00840283">
      <w:pPr>
        <w:pStyle w:val="NoSpacing"/>
      </w:pPr>
    </w:p>
    <w:p w14:paraId="2555A817" w14:textId="77777777" w:rsidR="00840283" w:rsidRPr="00456DFA" w:rsidRDefault="00840283" w:rsidP="00840283">
      <w:pPr>
        <w:pStyle w:val="NoSpacing"/>
        <w:rPr>
          <w:rFonts w:ascii="Times New Roman" w:hAnsi="Times New Roman"/>
          <w:sz w:val="24"/>
          <w:szCs w:val="24"/>
        </w:rPr>
      </w:pPr>
      <w:r w:rsidRPr="00456DFA">
        <w:rPr>
          <w:rFonts w:ascii="Times New Roman" w:hAnsi="Times New Roman"/>
          <w:sz w:val="24"/>
          <w:szCs w:val="24"/>
        </w:rPr>
        <w:t xml:space="preserve">On Nov. 15, 2024, in </w:t>
      </w:r>
      <w:r w:rsidRPr="00456DFA">
        <w:rPr>
          <w:rFonts w:ascii="Times New Roman" w:hAnsi="Times New Roman"/>
          <w:sz w:val="24"/>
          <w:szCs w:val="24"/>
          <w:u w:val="single"/>
        </w:rPr>
        <w:t>Timothy R. Barz v. The Village of Hazel Crest Firefighters Pension Fund, et al</w:t>
      </w:r>
      <w:r w:rsidRPr="00456DFA">
        <w:rPr>
          <w:rFonts w:ascii="Times New Roman" w:hAnsi="Times New Roman"/>
          <w:sz w:val="24"/>
          <w:szCs w:val="24"/>
        </w:rPr>
        <w:t xml:space="preserve">., the Appellate Courts of Illinois, First District held (3 to 0) that trail court judge properly overruled the Pension Board, which had only granted him a non-duty disability pension of 50% of his salary.  The Court wrote: “It is clear to us that the Board denied Barz an on-duty pension because it thought he lied to the medical treaters and evaluators about his farming operation by not disclosing it. Barz testified he mentioned it, and it is clear from the medical records and surveillance videos that at least some of the medical providers knew he was walking on uneven surfaces at home, working in his yard, operating equipment, and keeping active overall. No one testified Barz lied or concealed anything.” </w:t>
      </w:r>
      <w:hyperlink r:id="rId1066" w:history="1">
        <w:r w:rsidRPr="00456DFA">
          <w:rPr>
            <w:rStyle w:val="Hyperlink"/>
            <w:rFonts w:ascii="Times New Roman" w:hAnsi="Times New Roman"/>
            <w:sz w:val="24"/>
            <w:szCs w:val="24"/>
          </w:rPr>
          <w:t>https://ilcourtsaudio.blob.core.windows.net/antilles-resources/resources/cb295fe3-77b3-494e-ba2f-aabcd601915c/Barz%20v.%20Village%20of%20Hazel%20Crest%20Firefighters%20Pension%20Fund,%202024%20IL%20App%20(1st)%20240137-U.pdf</w:t>
        </w:r>
      </w:hyperlink>
      <w:r w:rsidRPr="00456DFA">
        <w:rPr>
          <w:rFonts w:ascii="Times New Roman" w:hAnsi="Times New Roman"/>
          <w:sz w:val="24"/>
          <w:szCs w:val="24"/>
        </w:rPr>
        <w:t xml:space="preserve"> </w:t>
      </w:r>
    </w:p>
    <w:p w14:paraId="621E4F9F" w14:textId="77777777" w:rsidR="00840283" w:rsidRPr="00456DFA" w:rsidRDefault="00840283" w:rsidP="00840283">
      <w:pPr>
        <w:pStyle w:val="NoSpacing"/>
        <w:rPr>
          <w:rFonts w:ascii="Times New Roman" w:hAnsi="Times New Roman"/>
          <w:sz w:val="24"/>
          <w:szCs w:val="24"/>
        </w:rPr>
      </w:pPr>
    </w:p>
    <w:p w14:paraId="6B89879F" w14:textId="77777777" w:rsidR="00456DFA" w:rsidRPr="00456DFA" w:rsidRDefault="00456DFA" w:rsidP="00456DFA">
      <w:pPr>
        <w:pStyle w:val="NoSpacing"/>
        <w:rPr>
          <w:rFonts w:ascii="Times New Roman" w:hAnsi="Times New Roman"/>
          <w:b/>
          <w:sz w:val="24"/>
          <w:szCs w:val="24"/>
        </w:rPr>
      </w:pPr>
      <w:r w:rsidRPr="00456DFA">
        <w:rPr>
          <w:rFonts w:ascii="Times New Roman" w:hAnsi="Times New Roman"/>
          <w:b/>
          <w:sz w:val="24"/>
          <w:szCs w:val="24"/>
        </w:rPr>
        <w:t>Legal Lesson Learned:   Board reversed – “no competent evidence supports the Board’s findings that Barz fully recovered following his second 2018 injury.”</w:t>
      </w:r>
    </w:p>
    <w:p w14:paraId="4E4C1E4B" w14:textId="77777777" w:rsidR="009C2906" w:rsidRPr="00456DFA" w:rsidRDefault="009C2906" w:rsidP="00EF1133">
      <w:pPr>
        <w:rPr>
          <w:rFonts w:ascii="Times New Roman" w:hAnsi="Times New Roman"/>
          <w:b/>
          <w:sz w:val="24"/>
          <w:szCs w:val="24"/>
        </w:rPr>
      </w:pPr>
    </w:p>
    <w:p w14:paraId="463BF82F" w14:textId="2D718893" w:rsidR="005D74B5" w:rsidRDefault="00066F05" w:rsidP="00EF1133">
      <w:pPr>
        <w:rPr>
          <w:rFonts w:ascii="Arial Black" w:hAnsi="Arial Black"/>
          <w:b/>
          <w:sz w:val="24"/>
          <w:szCs w:val="24"/>
        </w:rPr>
      </w:pPr>
      <w:r>
        <w:rPr>
          <w:rFonts w:ascii="Arial Black" w:hAnsi="Arial Black"/>
          <w:b/>
          <w:sz w:val="24"/>
          <w:szCs w:val="24"/>
        </w:rPr>
        <w:t>6-14</w:t>
      </w:r>
      <w:r w:rsidR="002A0697">
        <w:rPr>
          <w:rFonts w:ascii="Arial Black" w:hAnsi="Arial Black"/>
          <w:b/>
          <w:sz w:val="24"/>
          <w:szCs w:val="24"/>
        </w:rPr>
        <w:t>3</w:t>
      </w:r>
    </w:p>
    <w:p w14:paraId="4CB0663C" w14:textId="0772E0B1" w:rsidR="00311857" w:rsidRPr="004E2ADB" w:rsidRDefault="00311857" w:rsidP="00311857">
      <w:pPr>
        <w:pStyle w:val="NoSpacing"/>
        <w:rPr>
          <w:rFonts w:ascii="Arial Black" w:hAnsi="Arial Black"/>
          <w:b/>
          <w:bCs/>
          <w:sz w:val="28"/>
          <w:szCs w:val="28"/>
        </w:rPr>
      </w:pPr>
      <w:r w:rsidRPr="004E2ADB">
        <w:rPr>
          <w:rFonts w:ascii="Arial Black" w:hAnsi="Arial Black"/>
          <w:b/>
          <w:bCs/>
          <w:sz w:val="28"/>
          <w:szCs w:val="28"/>
        </w:rPr>
        <w:t xml:space="preserve">VA: AGE DISCRIMINATION NOT PROVEN – BC AGE </w:t>
      </w:r>
      <w:r w:rsidR="00D704A4" w:rsidRPr="004E2ADB">
        <w:rPr>
          <w:rFonts w:ascii="Arial Black" w:hAnsi="Arial Black"/>
          <w:b/>
          <w:bCs/>
          <w:sz w:val="28"/>
          <w:szCs w:val="28"/>
        </w:rPr>
        <w:t>58</w:t>
      </w:r>
      <w:r w:rsidRPr="004E2ADB">
        <w:rPr>
          <w:rFonts w:ascii="Arial Black" w:hAnsi="Arial Black"/>
          <w:b/>
          <w:bCs/>
          <w:sz w:val="28"/>
          <w:szCs w:val="28"/>
        </w:rPr>
        <w:t xml:space="preserve"> – FIRED FOR UNAUTHORIZED PURCHASE OF BRUSH TRUCK </w:t>
      </w:r>
    </w:p>
    <w:p w14:paraId="264EECAE" w14:textId="77777777" w:rsidR="00311857" w:rsidRPr="00FC6D48" w:rsidRDefault="00311857" w:rsidP="00311857">
      <w:pPr>
        <w:pStyle w:val="NoSpacing"/>
        <w:rPr>
          <w:rFonts w:ascii="Times New Roman" w:hAnsi="Times New Roman"/>
          <w:sz w:val="24"/>
          <w:szCs w:val="24"/>
        </w:rPr>
      </w:pPr>
    </w:p>
    <w:p w14:paraId="3CDAA3BB" w14:textId="77777777" w:rsidR="00311857" w:rsidRPr="00FC6D48" w:rsidRDefault="00311857" w:rsidP="00311857">
      <w:pPr>
        <w:pStyle w:val="NoSpacing"/>
        <w:rPr>
          <w:rFonts w:ascii="Times New Roman" w:hAnsi="Times New Roman"/>
          <w:sz w:val="24"/>
          <w:szCs w:val="24"/>
        </w:rPr>
      </w:pPr>
      <w:r w:rsidRPr="00FC6D48">
        <w:rPr>
          <w:rFonts w:ascii="Times New Roman" w:hAnsi="Times New Roman"/>
          <w:sz w:val="24"/>
          <w:szCs w:val="24"/>
        </w:rPr>
        <w:t xml:space="preserve">On Oct. 25, 2024, in </w:t>
      </w:r>
      <w:r w:rsidRPr="00FC6D48">
        <w:rPr>
          <w:rFonts w:ascii="Times New Roman" w:hAnsi="Times New Roman"/>
          <w:sz w:val="24"/>
          <w:szCs w:val="24"/>
          <w:u w:val="single"/>
        </w:rPr>
        <w:t>Clay O’Neal Fitzgerald v. Botetourt County, Virginia</w:t>
      </w:r>
      <w:r w:rsidRPr="00FC6D48">
        <w:rPr>
          <w:rFonts w:ascii="Times New Roman" w:hAnsi="Times New Roman"/>
          <w:sz w:val="24"/>
          <w:szCs w:val="24"/>
        </w:rPr>
        <w:t xml:space="preserve">, the U.S. Court of Appeals for the Fourth Circuit (Richmond, VA) held (3 to 0; unpublished opinion): “Plaintiff-appellant Clay O’Neal Fitzgerald alleges that his former employer, Botetourt County, Virginia, terminated him in retaliation for his complaints about age discrimination. The district court granted Botetourt County’s motion for summary judgment, finding that Fitzgerald failed to produce sufficient evidence under the McDonnell Douglas framework to show that the County’s proffered justification for terminating him was pretextual. Because we agree that no reasonable jury could conclude that the County’s legitimate non-retaliatory reason for Fitzgerald’s termination was mere pretext, we affirm. *** Per the County, Fitzgerald neither had ‘authority to make [the purchase] [$37,500 Ford pickup truck for neighboring volunteer fire department] nor did [he] seek or receive appropriate authorization.” </w:t>
      </w:r>
      <w:hyperlink r:id="rId1067" w:history="1">
        <w:r w:rsidRPr="00FC6D48">
          <w:rPr>
            <w:rStyle w:val="Hyperlink"/>
            <w:rFonts w:ascii="Times New Roman" w:hAnsi="Times New Roman"/>
            <w:sz w:val="24"/>
            <w:szCs w:val="24"/>
          </w:rPr>
          <w:t>https://www.ca4.uscourts.gov/opinions/221081.U.pdf</w:t>
        </w:r>
      </w:hyperlink>
      <w:r w:rsidRPr="00FC6D48">
        <w:rPr>
          <w:rFonts w:ascii="Times New Roman" w:hAnsi="Times New Roman"/>
          <w:sz w:val="24"/>
          <w:szCs w:val="24"/>
        </w:rPr>
        <w:t xml:space="preserve"> </w:t>
      </w:r>
    </w:p>
    <w:p w14:paraId="10A0BE1D" w14:textId="77777777" w:rsidR="00FC6D48" w:rsidRPr="00FC6D48" w:rsidRDefault="00FC6D48" w:rsidP="00FC6D48">
      <w:pPr>
        <w:pStyle w:val="NoSpacing"/>
        <w:rPr>
          <w:rFonts w:ascii="Times New Roman" w:hAnsi="Times New Roman"/>
          <w:b/>
          <w:sz w:val="24"/>
          <w:szCs w:val="24"/>
        </w:rPr>
      </w:pPr>
    </w:p>
    <w:p w14:paraId="02D47389" w14:textId="67AA703D" w:rsidR="00FC6D48" w:rsidRPr="00FC6D48" w:rsidRDefault="00FC6D48" w:rsidP="00FC6D48">
      <w:pPr>
        <w:pStyle w:val="NoSpacing"/>
        <w:rPr>
          <w:rFonts w:ascii="Times New Roman" w:hAnsi="Times New Roman"/>
          <w:b/>
          <w:bCs/>
          <w:sz w:val="24"/>
          <w:szCs w:val="24"/>
        </w:rPr>
      </w:pPr>
      <w:r w:rsidRPr="00FC6D48">
        <w:rPr>
          <w:rFonts w:ascii="Times New Roman" w:hAnsi="Times New Roman"/>
          <w:b/>
          <w:sz w:val="24"/>
          <w:szCs w:val="24"/>
        </w:rPr>
        <w:t>Legal Lesson Learned: County terminate</w:t>
      </w:r>
      <w:r w:rsidRPr="00FC6D48">
        <w:rPr>
          <w:rFonts w:ascii="Times New Roman" w:hAnsi="Times New Roman"/>
          <w:b/>
          <w:bCs/>
          <w:sz w:val="24"/>
          <w:szCs w:val="24"/>
        </w:rPr>
        <w:t xml:space="preserve">d </w:t>
      </w:r>
      <w:r w:rsidRPr="00FC6D48">
        <w:rPr>
          <w:rFonts w:ascii="Times New Roman" w:hAnsi="Times New Roman"/>
          <w:b/>
          <w:sz w:val="24"/>
          <w:szCs w:val="24"/>
        </w:rPr>
        <w:t>for unauthorized purchase of truck</w:t>
      </w:r>
      <w:r w:rsidRPr="00FC6D48">
        <w:rPr>
          <w:rFonts w:ascii="Times New Roman" w:hAnsi="Times New Roman"/>
          <w:b/>
          <w:bCs/>
          <w:sz w:val="24"/>
          <w:szCs w:val="24"/>
        </w:rPr>
        <w:t xml:space="preserve">; not age of Battalion Chief. </w:t>
      </w:r>
    </w:p>
    <w:p w14:paraId="03553F8A" w14:textId="77777777" w:rsidR="00FC6D48" w:rsidRDefault="00FC6D48" w:rsidP="006C4AD8">
      <w:pPr>
        <w:pStyle w:val="NormalWeb"/>
        <w:spacing w:before="0" w:beforeAutospacing="0"/>
        <w:rPr>
          <w:rFonts w:ascii="Arial Black" w:hAnsi="Arial Black"/>
          <w:b/>
          <w:bCs/>
          <w:color w:val="454545"/>
          <w:sz w:val="28"/>
          <w:szCs w:val="28"/>
          <w:shd w:val="clear" w:color="auto" w:fill="FFFFFF"/>
        </w:rPr>
      </w:pPr>
    </w:p>
    <w:p w14:paraId="060FFB7D" w14:textId="605C99E5" w:rsidR="00066F05" w:rsidRDefault="00066F0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6-14</w:t>
      </w:r>
      <w:r w:rsidR="002A0697">
        <w:rPr>
          <w:rFonts w:ascii="Arial Black" w:hAnsi="Arial Black"/>
          <w:b/>
          <w:bCs/>
          <w:color w:val="454545"/>
          <w:sz w:val="28"/>
          <w:szCs w:val="28"/>
          <w:shd w:val="clear" w:color="auto" w:fill="FFFFFF"/>
        </w:rPr>
        <w:t>2</w:t>
      </w:r>
    </w:p>
    <w:p w14:paraId="20E999E7" w14:textId="77777777" w:rsidR="00AD5EF8" w:rsidRPr="004E2ADB" w:rsidRDefault="00AD5EF8" w:rsidP="00AD5EF8">
      <w:pPr>
        <w:rPr>
          <w:rFonts w:ascii="Arial Black" w:hAnsi="Arial Black"/>
          <w:b/>
          <w:bCs/>
          <w:sz w:val="28"/>
          <w:szCs w:val="28"/>
        </w:rPr>
      </w:pPr>
      <w:r w:rsidRPr="004E2ADB">
        <w:rPr>
          <w:rFonts w:ascii="Arial Black" w:hAnsi="Arial Black"/>
          <w:b/>
          <w:bCs/>
          <w:sz w:val="28"/>
          <w:szCs w:val="28"/>
        </w:rPr>
        <w:t xml:space="preserve">OH: CINCINNATI FF – THYROID CANCER – STATUTORY PRESUMPTION WAS CAUSED BY JOB </w:t>
      </w:r>
    </w:p>
    <w:p w14:paraId="7AF1C5D6" w14:textId="65CCBA29" w:rsidR="00AD5EF8" w:rsidRPr="00F23ECF" w:rsidRDefault="00AD5EF8" w:rsidP="00AD5EF8">
      <w:pPr>
        <w:pStyle w:val="NoSpacing"/>
        <w:rPr>
          <w:rFonts w:ascii="Times New Roman" w:hAnsi="Times New Roman"/>
          <w:sz w:val="24"/>
          <w:szCs w:val="24"/>
        </w:rPr>
      </w:pPr>
      <w:r w:rsidRPr="00F23ECF">
        <w:rPr>
          <w:rFonts w:ascii="Times New Roman" w:hAnsi="Times New Roman"/>
          <w:sz w:val="24"/>
          <w:szCs w:val="24"/>
        </w:rPr>
        <w:t xml:space="preserve">On Oct. 10, 2024, in </w:t>
      </w:r>
      <w:r w:rsidRPr="00F23ECF">
        <w:rPr>
          <w:rFonts w:ascii="Times New Roman" w:hAnsi="Times New Roman"/>
          <w:sz w:val="24"/>
          <w:szCs w:val="24"/>
          <w:u w:val="single"/>
        </w:rPr>
        <w:t>State ex rel. City of Cincinnati v. Industrial Commission of Ohio (re: claimant, Joshua K. Knoechel</w:t>
      </w:r>
      <w:r w:rsidRPr="00F23ECF">
        <w:rPr>
          <w:rFonts w:ascii="Times New Roman" w:hAnsi="Times New Roman"/>
          <w:sz w:val="24"/>
          <w:szCs w:val="24"/>
        </w:rPr>
        <w:t>), the Ohio Court of Appeals for the Tenth Appellate District held (3 to 0):  “Relator, the City of Cincinnati, commenced this original action requesting this court to issue a writ of mandamus ordering respondent, the Industrial Commission of</w:t>
      </w:r>
    </w:p>
    <w:p w14:paraId="08EF269E" w14:textId="28B0BAAF" w:rsidR="00AD5EF8" w:rsidRPr="00F23ECF" w:rsidRDefault="00AD5EF8" w:rsidP="00AD5EF8">
      <w:pPr>
        <w:pStyle w:val="NoSpacing"/>
        <w:rPr>
          <w:rFonts w:ascii="Times New Roman" w:hAnsi="Times New Roman"/>
          <w:sz w:val="24"/>
          <w:szCs w:val="24"/>
        </w:rPr>
      </w:pPr>
      <w:r w:rsidRPr="00F23ECF">
        <w:rPr>
          <w:rFonts w:ascii="Times New Roman" w:hAnsi="Times New Roman"/>
          <w:sz w:val="24"/>
          <w:szCs w:val="24"/>
        </w:rPr>
        <w:t xml:space="preserve">Ohio (“commission”), to vacate its order exercising continuing jurisdiction to allow the workers’ compensation claim of claimant, Joshua K. Knoechel, for papillary thyroid cancer and to reinstate the March 11, </w:t>
      </w:r>
      <w:proofErr w:type="gramStart"/>
      <w:r w:rsidRPr="00F23ECF">
        <w:rPr>
          <w:rFonts w:ascii="Times New Roman" w:hAnsi="Times New Roman"/>
          <w:sz w:val="24"/>
          <w:szCs w:val="24"/>
        </w:rPr>
        <w:t>2022</w:t>
      </w:r>
      <w:proofErr w:type="gramEnd"/>
      <w:r w:rsidRPr="00F23ECF">
        <w:rPr>
          <w:rFonts w:ascii="Times New Roman" w:hAnsi="Times New Roman"/>
          <w:sz w:val="24"/>
          <w:szCs w:val="24"/>
        </w:rPr>
        <w:t xml:space="preserve"> order of the Staff Hearing Officer (‘SHO’) denying the claim. [Court agreed with Magistrate, who recommended] that this court should deny the employer’s petition for writ of mandamus.” </w:t>
      </w:r>
      <w:hyperlink r:id="rId1068" w:history="1">
        <w:r w:rsidRPr="00F23ECF">
          <w:rPr>
            <w:rStyle w:val="Hyperlink"/>
            <w:rFonts w:ascii="Times New Roman" w:hAnsi="Times New Roman"/>
            <w:sz w:val="24"/>
            <w:szCs w:val="24"/>
          </w:rPr>
          <w:t>https://cases.justia.com/ohio/tenth-district-court-of-appeals/2024-22ap-431.pdf?ts=1728583884</w:t>
        </w:r>
      </w:hyperlink>
      <w:r w:rsidRPr="00F23ECF">
        <w:rPr>
          <w:rFonts w:ascii="Times New Roman" w:hAnsi="Times New Roman"/>
          <w:sz w:val="24"/>
          <w:szCs w:val="24"/>
        </w:rPr>
        <w:t xml:space="preserve"> </w:t>
      </w:r>
    </w:p>
    <w:p w14:paraId="3B16020B" w14:textId="77777777" w:rsidR="00F23ECF" w:rsidRPr="00F23ECF" w:rsidRDefault="00F23ECF" w:rsidP="00F23ECF">
      <w:pPr>
        <w:pStyle w:val="NoSpacing"/>
        <w:rPr>
          <w:rFonts w:ascii="Times New Roman" w:hAnsi="Times New Roman"/>
          <w:b/>
          <w:sz w:val="24"/>
          <w:szCs w:val="24"/>
        </w:rPr>
      </w:pPr>
    </w:p>
    <w:p w14:paraId="223D5A0D" w14:textId="1117048B" w:rsidR="00F23ECF" w:rsidRPr="00F23ECF" w:rsidRDefault="00F23ECF" w:rsidP="00F23ECF">
      <w:pPr>
        <w:pStyle w:val="NoSpacing"/>
        <w:rPr>
          <w:rFonts w:ascii="Times New Roman" w:hAnsi="Times New Roman"/>
          <w:b/>
          <w:bCs/>
          <w:sz w:val="24"/>
          <w:szCs w:val="24"/>
        </w:rPr>
      </w:pPr>
      <w:r w:rsidRPr="00F23ECF">
        <w:rPr>
          <w:rFonts w:ascii="Times New Roman" w:hAnsi="Times New Roman"/>
          <w:b/>
          <w:sz w:val="24"/>
          <w:szCs w:val="24"/>
        </w:rPr>
        <w:t xml:space="preserve">Legal Lesson Learned: Statutory presumption that cancer was caused by the job; employer’s expert report did not overcome this presumption. </w:t>
      </w:r>
    </w:p>
    <w:p w14:paraId="10D6F9E4" w14:textId="77777777" w:rsidR="00F23ECF" w:rsidRPr="00F23ECF" w:rsidRDefault="00F23ECF" w:rsidP="006C4AD8">
      <w:pPr>
        <w:pStyle w:val="NormalWeb"/>
        <w:spacing w:before="0" w:beforeAutospacing="0"/>
        <w:rPr>
          <w:b/>
          <w:bCs/>
          <w:color w:val="454545"/>
          <w:shd w:val="clear" w:color="auto" w:fill="FFFFFF"/>
        </w:rPr>
      </w:pPr>
    </w:p>
    <w:p w14:paraId="0838296B" w14:textId="77777777" w:rsidR="00FC6D48" w:rsidRDefault="00FC6D48" w:rsidP="006C4AD8">
      <w:pPr>
        <w:pStyle w:val="NormalWeb"/>
        <w:spacing w:before="0" w:beforeAutospacing="0"/>
        <w:rPr>
          <w:rFonts w:ascii="Arial Black" w:hAnsi="Arial Black"/>
          <w:b/>
          <w:bCs/>
          <w:color w:val="454545"/>
          <w:sz w:val="28"/>
          <w:szCs w:val="28"/>
          <w:shd w:val="clear" w:color="auto" w:fill="FFFFFF"/>
        </w:rPr>
      </w:pPr>
    </w:p>
    <w:p w14:paraId="732AC63F" w14:textId="63C0B554" w:rsidR="00066F05" w:rsidRDefault="00066F0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6-14</w:t>
      </w:r>
      <w:r w:rsidR="002A0697">
        <w:rPr>
          <w:rFonts w:ascii="Arial Black" w:hAnsi="Arial Black"/>
          <w:b/>
          <w:bCs/>
          <w:color w:val="454545"/>
          <w:sz w:val="28"/>
          <w:szCs w:val="28"/>
          <w:shd w:val="clear" w:color="auto" w:fill="FFFFFF"/>
        </w:rPr>
        <w:t>1</w:t>
      </w:r>
    </w:p>
    <w:p w14:paraId="78888F58" w14:textId="77777777" w:rsidR="007506C7" w:rsidRPr="004E2ADB" w:rsidRDefault="007506C7" w:rsidP="007506C7">
      <w:pPr>
        <w:pStyle w:val="NoSpacing"/>
        <w:rPr>
          <w:rFonts w:ascii="Arial Black" w:hAnsi="Arial Black"/>
          <w:b/>
          <w:bCs/>
          <w:sz w:val="28"/>
          <w:szCs w:val="28"/>
        </w:rPr>
      </w:pPr>
      <w:r w:rsidRPr="004E2ADB">
        <w:rPr>
          <w:rFonts w:ascii="Arial Black" w:hAnsi="Arial Black"/>
          <w:b/>
          <w:bCs/>
          <w:sz w:val="28"/>
          <w:szCs w:val="28"/>
        </w:rPr>
        <w:t xml:space="preserve">OH: PROSTATE CANCER – 25 YRS ON JOB BEFORE RETIRED – AWARDED PERMANENT PARTIAL DISABILITY  </w:t>
      </w:r>
    </w:p>
    <w:p w14:paraId="29F02A84" w14:textId="77777777" w:rsidR="007506C7" w:rsidRPr="00067499" w:rsidRDefault="007506C7" w:rsidP="007506C7">
      <w:pPr>
        <w:pStyle w:val="NoSpacing"/>
        <w:rPr>
          <w:rFonts w:ascii="Times New Roman" w:hAnsi="Times New Roman"/>
          <w:b/>
          <w:bCs/>
          <w:sz w:val="24"/>
          <w:szCs w:val="24"/>
        </w:rPr>
      </w:pPr>
    </w:p>
    <w:p w14:paraId="7482D31A" w14:textId="780E0433" w:rsidR="001E7A60" w:rsidRPr="00067499" w:rsidRDefault="001E7A60" w:rsidP="001E7A60">
      <w:pPr>
        <w:pStyle w:val="NoSpacing"/>
        <w:rPr>
          <w:rStyle w:val="Hyperlink"/>
          <w:rFonts w:ascii="Times New Roman" w:hAnsi="Times New Roman"/>
        </w:rPr>
      </w:pPr>
      <w:r w:rsidRPr="00067499">
        <w:rPr>
          <w:rFonts w:ascii="Times New Roman" w:hAnsi="Times New Roman"/>
        </w:rPr>
        <w:t xml:space="preserve">On Oct. 17, 2024, in </w:t>
      </w:r>
      <w:r w:rsidRPr="00067499">
        <w:rPr>
          <w:rFonts w:ascii="Times New Roman" w:hAnsi="Times New Roman"/>
          <w:u w:val="single"/>
        </w:rPr>
        <w:t>State ex rel. City of Cincinnati v. Industrial Commission of Ohio (re: claimant Michael K. Hines</w:t>
      </w:r>
      <w:r w:rsidRPr="00067499">
        <w:rPr>
          <w:rFonts w:ascii="Times New Roman" w:hAnsi="Times New Roman"/>
        </w:rPr>
        <w:t xml:space="preserve">), the Cour of Appeals of Ohio, Tenth Appellate District. held (3 to 0): </w:t>
      </w:r>
      <w:r w:rsidR="007179A1" w:rsidRPr="00067499">
        <w:rPr>
          <w:rFonts w:ascii="Times New Roman" w:hAnsi="Times New Roman"/>
        </w:rPr>
        <w:t xml:space="preserve"> </w:t>
      </w:r>
      <w:r w:rsidRPr="00067499">
        <w:rPr>
          <w:rFonts w:ascii="Times New Roman" w:hAnsi="Times New Roman"/>
        </w:rPr>
        <w:t>“The magistrate determined the commission correctly applied R.C. 4123.57 in determining claimant is entitled to PPD compensation. Thus, the magistrate recommends this court deny</w:t>
      </w:r>
      <w:r w:rsidR="007179A1" w:rsidRPr="00067499">
        <w:rPr>
          <w:rFonts w:ascii="Times New Roman" w:hAnsi="Times New Roman"/>
        </w:rPr>
        <w:t xml:space="preserve"> </w:t>
      </w:r>
      <w:r w:rsidRPr="00067499">
        <w:rPr>
          <w:rFonts w:ascii="Times New Roman" w:hAnsi="Times New Roman"/>
        </w:rPr>
        <w:t xml:space="preserve">employer’s petition for a writ of mandamus. *** Upon review, we find no error of law or other defect on the face of the magistrate’s decision. Therefore, we adopt the magistrate’s decision as our own, including findings of fact and conclusions of law, and we deny employer’s petition for a writ of mandamus.” </w:t>
      </w:r>
      <w:hyperlink r:id="rId1069" w:history="1">
        <w:r w:rsidRPr="00067499">
          <w:rPr>
            <w:rStyle w:val="Hyperlink"/>
            <w:rFonts w:ascii="Times New Roman" w:hAnsi="Times New Roman"/>
          </w:rPr>
          <w:t>https://www.supremecourt.ohio.gov/rod/docs/pdf/10/2024/2024-Ohio-5010.pdf</w:t>
        </w:r>
      </w:hyperlink>
    </w:p>
    <w:p w14:paraId="6333D5F4" w14:textId="77777777" w:rsidR="007179A1" w:rsidRPr="00067499" w:rsidRDefault="007179A1" w:rsidP="007179A1">
      <w:pPr>
        <w:pStyle w:val="NoSpacing"/>
        <w:rPr>
          <w:rFonts w:ascii="Times New Roman" w:hAnsi="Times New Roman"/>
          <w:b/>
        </w:rPr>
      </w:pPr>
    </w:p>
    <w:p w14:paraId="29DB39F8" w14:textId="043E4042" w:rsidR="007179A1" w:rsidRPr="00067499" w:rsidRDefault="007179A1" w:rsidP="007179A1">
      <w:pPr>
        <w:pStyle w:val="NoSpacing"/>
        <w:rPr>
          <w:rFonts w:ascii="Times New Roman" w:hAnsi="Times New Roman"/>
          <w:b/>
          <w:bCs/>
        </w:rPr>
      </w:pPr>
      <w:r w:rsidRPr="00067499">
        <w:rPr>
          <w:rFonts w:ascii="Times New Roman" w:hAnsi="Times New Roman"/>
          <w:b/>
        </w:rPr>
        <w:t xml:space="preserve">Legal Lesson Learned: Statutory presumption that prostate cancer caused by the job. </w:t>
      </w:r>
    </w:p>
    <w:p w14:paraId="5A4B9C29" w14:textId="77777777" w:rsidR="007179A1" w:rsidRPr="00067499" w:rsidRDefault="007179A1" w:rsidP="007179A1">
      <w:pPr>
        <w:pStyle w:val="NoSpacing"/>
        <w:rPr>
          <w:rFonts w:ascii="Times New Roman" w:hAnsi="Times New Roman"/>
          <w:bCs/>
          <w:sz w:val="28"/>
          <w:szCs w:val="28"/>
        </w:rPr>
      </w:pPr>
    </w:p>
    <w:p w14:paraId="72316945" w14:textId="77777777" w:rsidR="002A0697" w:rsidRDefault="002A0697" w:rsidP="006C4AD8">
      <w:pPr>
        <w:pStyle w:val="NormalWeb"/>
        <w:spacing w:before="0" w:beforeAutospacing="0"/>
        <w:rPr>
          <w:rFonts w:ascii="Arial Black" w:hAnsi="Arial Black"/>
          <w:b/>
          <w:bCs/>
          <w:color w:val="454545"/>
          <w:sz w:val="28"/>
          <w:szCs w:val="28"/>
          <w:shd w:val="clear" w:color="auto" w:fill="FFFFFF"/>
        </w:rPr>
      </w:pPr>
    </w:p>
    <w:p w14:paraId="37315153" w14:textId="6F92EA3F" w:rsidR="00E13EDA" w:rsidRDefault="00066F0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6-14</w:t>
      </w:r>
      <w:r w:rsidR="002A0697">
        <w:rPr>
          <w:rFonts w:ascii="Arial Black" w:hAnsi="Arial Black"/>
          <w:b/>
          <w:bCs/>
          <w:color w:val="454545"/>
          <w:sz w:val="28"/>
          <w:szCs w:val="28"/>
          <w:shd w:val="clear" w:color="auto" w:fill="FFFFFF"/>
        </w:rPr>
        <w:t>0</w:t>
      </w:r>
    </w:p>
    <w:p w14:paraId="617E65E9" w14:textId="77777777" w:rsidR="00EC0331" w:rsidRPr="004E2ADB" w:rsidRDefault="00EC0331" w:rsidP="00EC0331">
      <w:pPr>
        <w:pStyle w:val="NoSpacing"/>
        <w:rPr>
          <w:rFonts w:ascii="Arial Black" w:hAnsi="Arial Black"/>
          <w:b/>
          <w:bCs/>
          <w:sz w:val="28"/>
          <w:szCs w:val="28"/>
        </w:rPr>
      </w:pPr>
      <w:r w:rsidRPr="004E2ADB">
        <w:rPr>
          <w:rFonts w:ascii="Arial Black" w:hAnsi="Arial Black"/>
          <w:b/>
          <w:bCs/>
          <w:sz w:val="28"/>
          <w:szCs w:val="28"/>
        </w:rPr>
        <w:t>PA: FF – COLON CANCER / KIDNEY DISEASE – STATUTORY PRESUMPTION FOR CANCER – GETS WORK COMP.</w:t>
      </w:r>
    </w:p>
    <w:p w14:paraId="49187B54" w14:textId="77777777" w:rsidR="00EC0331" w:rsidRPr="004E2ADB" w:rsidRDefault="00EC0331" w:rsidP="00EC0331">
      <w:pPr>
        <w:pStyle w:val="NoSpacing"/>
        <w:rPr>
          <w:rFonts w:ascii="Arial Black" w:hAnsi="Arial Black"/>
          <w:sz w:val="28"/>
          <w:szCs w:val="28"/>
        </w:rPr>
      </w:pPr>
    </w:p>
    <w:p w14:paraId="4B401DA2" w14:textId="77777777" w:rsidR="00EC0331" w:rsidRPr="00084D68" w:rsidRDefault="00EC0331" w:rsidP="00EC0331">
      <w:pPr>
        <w:pStyle w:val="NoSpacing"/>
        <w:rPr>
          <w:rFonts w:ascii="Times New Roman" w:hAnsi="Times New Roman"/>
          <w:sz w:val="24"/>
          <w:szCs w:val="24"/>
          <w:u w:val="single"/>
        </w:rPr>
      </w:pPr>
      <w:r w:rsidRPr="00084D68">
        <w:rPr>
          <w:rFonts w:ascii="Times New Roman" w:hAnsi="Times New Roman"/>
          <w:sz w:val="24"/>
          <w:szCs w:val="24"/>
        </w:rPr>
        <w:t xml:space="preserve">On Oct. 10, 2024, in </w:t>
      </w:r>
      <w:r w:rsidRPr="00084D68">
        <w:rPr>
          <w:rFonts w:ascii="Times New Roman" w:hAnsi="Times New Roman"/>
          <w:sz w:val="24"/>
          <w:szCs w:val="24"/>
          <w:u w:val="single"/>
        </w:rPr>
        <w:t>West Conshohocken Borough v. David Markland (Workers’ :</w:t>
      </w:r>
    </w:p>
    <w:p w14:paraId="75BD9AB4" w14:textId="77777777" w:rsidR="00EC0331" w:rsidRPr="00084D68" w:rsidRDefault="00EC0331" w:rsidP="00EC0331">
      <w:pPr>
        <w:pStyle w:val="NoSpacing"/>
        <w:rPr>
          <w:rFonts w:ascii="Times New Roman" w:hAnsi="Times New Roman"/>
          <w:sz w:val="24"/>
          <w:szCs w:val="24"/>
        </w:rPr>
      </w:pPr>
      <w:r w:rsidRPr="00084D68">
        <w:rPr>
          <w:rFonts w:ascii="Times New Roman" w:hAnsi="Times New Roman"/>
          <w:sz w:val="24"/>
          <w:szCs w:val="24"/>
          <w:u w:val="single"/>
        </w:rPr>
        <w:t>Compensation Appeal Board</w:t>
      </w:r>
      <w:r w:rsidRPr="00084D68">
        <w:rPr>
          <w:rFonts w:ascii="Times New Roman" w:hAnsi="Times New Roman"/>
          <w:sz w:val="24"/>
          <w:szCs w:val="24"/>
        </w:rPr>
        <w:t>), the Commonwealth Court of Pennsylvania held (6 to 1): “West Conshohocken Borough (Employer) petitions for review of the November 18, 2022 opinion and order (Order) of the Workers’ Compensation Appeal Board (Board) that affirmed the Workers’ Compensation Judge’s (WCJ) May 2, 2022 decision and order (Decision) granting the Claim Petition that David Markland (Claimant) filed under the Workers’ Compensation Act (Act).After</w:t>
      </w:r>
    </w:p>
    <w:p w14:paraId="05E4D6D7" w14:textId="77777777" w:rsidR="00EC0331" w:rsidRPr="00084D68" w:rsidRDefault="00EC0331" w:rsidP="00EC0331">
      <w:pPr>
        <w:pStyle w:val="NoSpacing"/>
        <w:rPr>
          <w:rFonts w:ascii="Times New Roman" w:hAnsi="Times New Roman"/>
          <w:sz w:val="24"/>
          <w:szCs w:val="24"/>
        </w:rPr>
      </w:pPr>
      <w:r w:rsidRPr="00084D68">
        <w:rPr>
          <w:rFonts w:ascii="Times New Roman" w:hAnsi="Times New Roman"/>
          <w:sz w:val="24"/>
          <w:szCs w:val="24"/>
        </w:rPr>
        <w:t>careful review, we affirm.”</w:t>
      </w:r>
    </w:p>
    <w:p w14:paraId="11ED62A2" w14:textId="3712BBDD" w:rsidR="00067499" w:rsidRPr="00084D68" w:rsidRDefault="00EC0331" w:rsidP="00EC0331">
      <w:pPr>
        <w:pStyle w:val="NormalWeb"/>
        <w:spacing w:before="0" w:beforeAutospacing="0"/>
        <w:rPr>
          <w:rStyle w:val="Hyperlink"/>
        </w:rPr>
      </w:pPr>
      <w:hyperlink r:id="rId1070" w:history="1">
        <w:r w:rsidRPr="00084D68">
          <w:rPr>
            <w:rStyle w:val="Hyperlink"/>
          </w:rPr>
          <w:t>https://www.pacourts.us/assets/opinions/Commonwealth/out/1382CD22_10-10-24.pdf?cb=1</w:t>
        </w:r>
      </w:hyperlink>
    </w:p>
    <w:p w14:paraId="22FA04F5" w14:textId="77777777" w:rsidR="00084D68" w:rsidRPr="00084D68" w:rsidRDefault="00084D68" w:rsidP="00084D68">
      <w:pPr>
        <w:pStyle w:val="NoSpacing"/>
        <w:rPr>
          <w:rFonts w:ascii="Times New Roman" w:hAnsi="Times New Roman"/>
          <w:b/>
          <w:bCs/>
          <w:sz w:val="24"/>
          <w:szCs w:val="24"/>
        </w:rPr>
      </w:pPr>
      <w:r w:rsidRPr="00084D68">
        <w:rPr>
          <w:rFonts w:ascii="Times New Roman" w:hAnsi="Times New Roman"/>
          <w:b/>
          <w:sz w:val="24"/>
          <w:szCs w:val="24"/>
        </w:rPr>
        <w:t>Legal Lesson Learned: Employer failed to prove a</w:t>
      </w:r>
      <w:r w:rsidRPr="00084D68">
        <w:rPr>
          <w:rFonts w:ascii="Times New Roman" w:hAnsi="Times New Roman"/>
          <w:b/>
          <w:bCs/>
          <w:sz w:val="24"/>
          <w:szCs w:val="24"/>
        </w:rPr>
        <w:t>nother</w:t>
      </w:r>
      <w:r w:rsidRPr="00084D68">
        <w:rPr>
          <w:rFonts w:ascii="Times New Roman" w:hAnsi="Times New Roman"/>
          <w:b/>
          <w:sz w:val="24"/>
          <w:szCs w:val="24"/>
        </w:rPr>
        <w:t xml:space="preserve"> “specific, non-firefighting cause” of the colon cancer. </w:t>
      </w:r>
    </w:p>
    <w:p w14:paraId="67B6684E" w14:textId="77777777" w:rsidR="00067499" w:rsidRDefault="00067499" w:rsidP="006C4AD8">
      <w:pPr>
        <w:pStyle w:val="NormalWeb"/>
        <w:spacing w:before="0" w:beforeAutospacing="0"/>
        <w:rPr>
          <w:rFonts w:ascii="Arial Black" w:hAnsi="Arial Black"/>
          <w:b/>
          <w:bCs/>
          <w:color w:val="454545"/>
          <w:sz w:val="28"/>
          <w:szCs w:val="28"/>
          <w:shd w:val="clear" w:color="auto" w:fill="FFFFFF"/>
        </w:rPr>
      </w:pPr>
    </w:p>
    <w:p w14:paraId="5E514763" w14:textId="7EC1C6F0" w:rsidR="00E13EDA" w:rsidRDefault="00066F0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w:t>
      </w:r>
      <w:r w:rsidR="002A0697">
        <w:rPr>
          <w:rFonts w:ascii="Arial Black" w:hAnsi="Arial Black"/>
          <w:b/>
          <w:bCs/>
          <w:color w:val="454545"/>
          <w:sz w:val="28"/>
          <w:szCs w:val="28"/>
          <w:shd w:val="clear" w:color="auto" w:fill="FFFFFF"/>
        </w:rPr>
        <w:t>39</w:t>
      </w:r>
    </w:p>
    <w:p w14:paraId="5CCEE1B4" w14:textId="77777777" w:rsidR="001713FB" w:rsidRPr="004E2ADB" w:rsidRDefault="001713FB" w:rsidP="001713FB">
      <w:pPr>
        <w:pStyle w:val="NoSpacing"/>
        <w:rPr>
          <w:rFonts w:ascii="Arial Black" w:hAnsi="Arial Black"/>
          <w:b/>
          <w:bCs/>
          <w:sz w:val="28"/>
          <w:szCs w:val="28"/>
        </w:rPr>
      </w:pPr>
      <w:r w:rsidRPr="004E2ADB">
        <w:rPr>
          <w:rFonts w:ascii="Arial Black" w:hAnsi="Arial Black"/>
          <w:b/>
          <w:bCs/>
          <w:sz w:val="28"/>
          <w:szCs w:val="28"/>
        </w:rPr>
        <w:t>LA: HEART DISEASE – STATUTORY PRESUMPTION – NEW ORLEANS FF RECEIVES WORKERS COMP. &amp; ATTY FEES</w:t>
      </w:r>
    </w:p>
    <w:p w14:paraId="07B5ADFB" w14:textId="77777777" w:rsidR="001713FB" w:rsidRPr="00903FC7" w:rsidRDefault="001713FB" w:rsidP="001713FB">
      <w:pPr>
        <w:pStyle w:val="NoSpacing"/>
        <w:rPr>
          <w:rFonts w:ascii="Times New Roman" w:hAnsi="Times New Roman"/>
          <w:b/>
          <w:bCs/>
          <w:sz w:val="24"/>
          <w:szCs w:val="24"/>
        </w:rPr>
      </w:pPr>
    </w:p>
    <w:p w14:paraId="7F75CE85" w14:textId="554F7FE7" w:rsidR="001713FB" w:rsidRPr="00903FC7" w:rsidRDefault="001713FB" w:rsidP="001713FB">
      <w:pPr>
        <w:pStyle w:val="NoSpacing"/>
        <w:rPr>
          <w:rFonts w:ascii="Times New Roman" w:hAnsi="Times New Roman"/>
          <w:sz w:val="24"/>
          <w:szCs w:val="24"/>
        </w:rPr>
      </w:pPr>
      <w:r w:rsidRPr="00903FC7">
        <w:rPr>
          <w:rFonts w:ascii="Times New Roman" w:hAnsi="Times New Roman"/>
          <w:sz w:val="24"/>
          <w:szCs w:val="24"/>
        </w:rPr>
        <w:t xml:space="preserve">On Oct. 4, 2024, in </w:t>
      </w:r>
      <w:r w:rsidRPr="00903FC7">
        <w:rPr>
          <w:rFonts w:ascii="Times New Roman" w:hAnsi="Times New Roman"/>
          <w:sz w:val="24"/>
          <w:szCs w:val="24"/>
          <w:u w:val="single"/>
        </w:rPr>
        <w:t>Kenneth Prevost v. City of New Orleans Fire Department</w:t>
      </w:r>
      <w:r w:rsidRPr="00903FC7">
        <w:rPr>
          <w:rFonts w:ascii="Times New Roman" w:hAnsi="Times New Roman"/>
          <w:sz w:val="24"/>
          <w:szCs w:val="24"/>
        </w:rPr>
        <w:t xml:space="preserve">, the Louisiana Court of Appeal, </w:t>
      </w:r>
      <w:proofErr w:type="spellStart"/>
      <w:r w:rsidRPr="00903FC7">
        <w:rPr>
          <w:rFonts w:ascii="Times New Roman" w:hAnsi="Times New Roman"/>
          <w:sz w:val="24"/>
          <w:szCs w:val="24"/>
        </w:rPr>
        <w:t>Forth</w:t>
      </w:r>
      <w:proofErr w:type="spellEnd"/>
      <w:r w:rsidRPr="00903FC7">
        <w:rPr>
          <w:rFonts w:ascii="Times New Roman" w:hAnsi="Times New Roman"/>
          <w:sz w:val="24"/>
          <w:szCs w:val="24"/>
        </w:rPr>
        <w:t xml:space="preserve"> Circuit, held (3 to 0): “This is a workers’ compensation case. Defendant-Appellant, the New Orleans Fire Department (‘NOFD’) appeals the May 20, 2022 judgment rendered by the workers’ compensation judge (‘WCJ’), which found the claim filed by</w:t>
      </w:r>
      <w:r w:rsidR="00903FC7">
        <w:rPr>
          <w:rFonts w:ascii="Times New Roman" w:hAnsi="Times New Roman"/>
          <w:sz w:val="24"/>
          <w:szCs w:val="24"/>
        </w:rPr>
        <w:t xml:space="preserve"> </w:t>
      </w:r>
      <w:r w:rsidRPr="00903FC7">
        <w:rPr>
          <w:rFonts w:ascii="Times New Roman" w:hAnsi="Times New Roman"/>
          <w:sz w:val="24"/>
          <w:szCs w:val="24"/>
        </w:rPr>
        <w:t>Plaintiff-Appellee, Kenneth Prevost (‘Prevost’), under the Fireman’s Heart and Lung Act was compensable and awarded Prevost $2,000.00 in penalties and $3,500.00 in attorney’s fees.</w:t>
      </w:r>
      <w:r w:rsidR="00903FC7">
        <w:rPr>
          <w:rFonts w:ascii="Times New Roman" w:hAnsi="Times New Roman"/>
          <w:sz w:val="24"/>
          <w:szCs w:val="24"/>
        </w:rPr>
        <w:t xml:space="preserve"> </w:t>
      </w:r>
      <w:r w:rsidRPr="00903FC7">
        <w:rPr>
          <w:rFonts w:ascii="Times New Roman" w:hAnsi="Times New Roman"/>
          <w:sz w:val="24"/>
          <w:szCs w:val="24"/>
        </w:rPr>
        <w:t>For the following reasons, we affirm.”</w:t>
      </w:r>
    </w:p>
    <w:p w14:paraId="6580B861" w14:textId="77777777" w:rsidR="001713FB" w:rsidRPr="00903FC7" w:rsidRDefault="001713FB" w:rsidP="001713FB">
      <w:pPr>
        <w:pStyle w:val="NoSpacing"/>
        <w:rPr>
          <w:rFonts w:ascii="Times New Roman" w:hAnsi="Times New Roman"/>
          <w:sz w:val="24"/>
          <w:szCs w:val="24"/>
        </w:rPr>
      </w:pPr>
      <w:hyperlink r:id="rId1071" w:history="1">
        <w:r w:rsidRPr="00903FC7">
          <w:rPr>
            <w:rStyle w:val="Hyperlink"/>
            <w:rFonts w:ascii="Times New Roman" w:hAnsi="Times New Roman"/>
            <w:sz w:val="24"/>
            <w:szCs w:val="24"/>
          </w:rPr>
          <w:t>https://cases.justia.com/louisiana/fourth-circuit-court-of-appeal/2024-2024-ca-0114.pdf?ts=1727828103</w:t>
        </w:r>
      </w:hyperlink>
      <w:r w:rsidRPr="00903FC7">
        <w:rPr>
          <w:rFonts w:ascii="Times New Roman" w:hAnsi="Times New Roman"/>
          <w:sz w:val="24"/>
          <w:szCs w:val="24"/>
        </w:rPr>
        <w:t xml:space="preserve"> </w:t>
      </w:r>
    </w:p>
    <w:p w14:paraId="1D7E6594" w14:textId="77777777" w:rsidR="00903FC7" w:rsidRPr="00903FC7" w:rsidRDefault="00903FC7" w:rsidP="00903FC7">
      <w:pPr>
        <w:pStyle w:val="NoSpacing"/>
        <w:rPr>
          <w:rFonts w:ascii="Times New Roman" w:hAnsi="Times New Roman"/>
          <w:b/>
          <w:sz w:val="24"/>
          <w:szCs w:val="24"/>
        </w:rPr>
      </w:pPr>
    </w:p>
    <w:p w14:paraId="1F8BD6DF" w14:textId="39C03357" w:rsidR="00903FC7" w:rsidRPr="00903FC7" w:rsidRDefault="00903FC7" w:rsidP="00903FC7">
      <w:pPr>
        <w:pStyle w:val="NoSpacing"/>
        <w:rPr>
          <w:rFonts w:ascii="Times New Roman" w:hAnsi="Times New Roman"/>
          <w:b/>
          <w:bCs/>
          <w:sz w:val="24"/>
          <w:szCs w:val="24"/>
        </w:rPr>
      </w:pPr>
      <w:r w:rsidRPr="00903FC7">
        <w:rPr>
          <w:rFonts w:ascii="Times New Roman" w:hAnsi="Times New Roman"/>
          <w:b/>
          <w:sz w:val="24"/>
          <w:szCs w:val="24"/>
        </w:rPr>
        <w:t xml:space="preserve">Legal Lesson Learned: </w:t>
      </w:r>
      <w:r w:rsidRPr="00903FC7">
        <w:rPr>
          <w:rFonts w:ascii="Times New Roman" w:hAnsi="Times New Roman"/>
          <w:b/>
          <w:bCs/>
          <w:sz w:val="24"/>
          <w:szCs w:val="24"/>
        </w:rPr>
        <w:t>Heart disease, including d</w:t>
      </w:r>
      <w:r w:rsidRPr="00903FC7">
        <w:rPr>
          <w:rFonts w:ascii="Times New Roman" w:hAnsi="Times New Roman"/>
          <w:b/>
          <w:sz w:val="24"/>
          <w:szCs w:val="24"/>
        </w:rPr>
        <w:t>efective heart valve covered by statutory presumption.</w:t>
      </w:r>
    </w:p>
    <w:p w14:paraId="5C5AB984" w14:textId="77777777" w:rsidR="00903FC7" w:rsidRPr="00903FC7" w:rsidRDefault="00903FC7" w:rsidP="006C4AD8">
      <w:pPr>
        <w:pStyle w:val="NormalWeb"/>
        <w:spacing w:before="0" w:beforeAutospacing="0"/>
        <w:rPr>
          <w:b/>
          <w:bCs/>
          <w:color w:val="454545"/>
          <w:shd w:val="clear" w:color="auto" w:fill="FFFFFF"/>
        </w:rPr>
      </w:pPr>
    </w:p>
    <w:p w14:paraId="5AC760B0" w14:textId="77777777" w:rsidR="00B97A1B" w:rsidRDefault="00B97A1B" w:rsidP="006C4AD8">
      <w:pPr>
        <w:pStyle w:val="NormalWeb"/>
        <w:spacing w:before="0" w:beforeAutospacing="0"/>
        <w:rPr>
          <w:rFonts w:ascii="Arial Black" w:hAnsi="Arial Black"/>
          <w:b/>
          <w:bCs/>
          <w:color w:val="454545"/>
          <w:sz w:val="28"/>
          <w:szCs w:val="28"/>
          <w:shd w:val="clear" w:color="auto" w:fill="FFFFFF"/>
        </w:rPr>
      </w:pPr>
    </w:p>
    <w:p w14:paraId="633C599C" w14:textId="77777777" w:rsidR="00B97A1B" w:rsidRDefault="00B97A1B" w:rsidP="006C4AD8">
      <w:pPr>
        <w:pStyle w:val="NormalWeb"/>
        <w:spacing w:before="0" w:beforeAutospacing="0"/>
        <w:rPr>
          <w:rFonts w:ascii="Arial Black" w:hAnsi="Arial Black"/>
          <w:b/>
          <w:bCs/>
          <w:color w:val="454545"/>
          <w:sz w:val="28"/>
          <w:szCs w:val="28"/>
          <w:shd w:val="clear" w:color="auto" w:fill="FFFFFF"/>
        </w:rPr>
      </w:pPr>
    </w:p>
    <w:p w14:paraId="177B4407" w14:textId="62FDA3BC" w:rsidR="00525E67" w:rsidRDefault="00525E67"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w:t>
      </w:r>
      <w:r w:rsidR="00447612">
        <w:rPr>
          <w:rFonts w:ascii="Arial Black" w:hAnsi="Arial Black"/>
          <w:b/>
          <w:bCs/>
          <w:color w:val="454545"/>
          <w:sz w:val="28"/>
          <w:szCs w:val="28"/>
          <w:shd w:val="clear" w:color="auto" w:fill="FFFFFF"/>
        </w:rPr>
        <w:t>3</w:t>
      </w:r>
      <w:r w:rsidR="002A0697">
        <w:rPr>
          <w:rFonts w:ascii="Arial Black" w:hAnsi="Arial Black"/>
          <w:b/>
          <w:bCs/>
          <w:color w:val="454545"/>
          <w:sz w:val="28"/>
          <w:szCs w:val="28"/>
          <w:shd w:val="clear" w:color="auto" w:fill="FFFFFF"/>
        </w:rPr>
        <w:t>8</w:t>
      </w:r>
    </w:p>
    <w:p w14:paraId="00297654" w14:textId="77777777" w:rsidR="00E0229F" w:rsidRPr="007955D5" w:rsidRDefault="00E0229F" w:rsidP="00E0229F">
      <w:pPr>
        <w:rPr>
          <w:rFonts w:ascii="Arial Black" w:hAnsi="Arial Black"/>
          <w:sz w:val="28"/>
        </w:rPr>
      </w:pPr>
      <w:r>
        <w:rPr>
          <w:rFonts w:ascii="Arial Black" w:hAnsi="Arial Black"/>
          <w:sz w:val="28"/>
        </w:rPr>
        <w:t>IL: CAPTAIN WITH NECK CANCER – DENIED “LINE-OF-DUTY” PENSION – NO PROOF THAT SMOKE WAS CAUSE</w:t>
      </w:r>
    </w:p>
    <w:p w14:paraId="51AD2C7C" w14:textId="77777777" w:rsidR="00E0229F" w:rsidRPr="00E0229F" w:rsidRDefault="00E0229F" w:rsidP="00E0229F">
      <w:pPr>
        <w:pStyle w:val="NoSpacing"/>
        <w:rPr>
          <w:rFonts w:ascii="Times New Roman" w:hAnsi="Times New Roman"/>
          <w:sz w:val="24"/>
          <w:szCs w:val="24"/>
        </w:rPr>
      </w:pPr>
      <w:r w:rsidRPr="00E0229F">
        <w:rPr>
          <w:rFonts w:ascii="Times New Roman" w:hAnsi="Times New Roman"/>
          <w:sz w:val="24"/>
          <w:szCs w:val="24"/>
        </w:rPr>
        <w:t xml:space="preserve">On September 30, 2024, in </w:t>
      </w:r>
      <w:r w:rsidRPr="00E0229F">
        <w:rPr>
          <w:rFonts w:ascii="Times New Roman" w:hAnsi="Times New Roman"/>
          <w:sz w:val="24"/>
          <w:szCs w:val="24"/>
          <w:u w:val="single"/>
        </w:rPr>
        <w:t>Edward G. Sobczyk v. Board of Trustees of the Rockford Firefighters’ Pension Fund,</w:t>
      </w:r>
      <w:r w:rsidRPr="00E0229F">
        <w:rPr>
          <w:rFonts w:ascii="Times New Roman" w:hAnsi="Times New Roman"/>
          <w:sz w:val="24"/>
          <w:szCs w:val="24"/>
        </w:rPr>
        <w:t xml:space="preserve"> the Court of Appeals of Illinois, Fourth District, held (3 to 0) that the Board properly denied the </w:t>
      </w:r>
      <w:proofErr w:type="gramStart"/>
      <w:r w:rsidRPr="00E0229F">
        <w:rPr>
          <w:rFonts w:ascii="Times New Roman" w:hAnsi="Times New Roman"/>
          <w:sz w:val="24"/>
          <w:szCs w:val="24"/>
        </w:rPr>
        <w:t>Captain’s</w:t>
      </w:r>
      <w:proofErr w:type="gramEnd"/>
      <w:r w:rsidRPr="00E0229F">
        <w:rPr>
          <w:rFonts w:ascii="Times New Roman" w:hAnsi="Times New Roman"/>
          <w:sz w:val="24"/>
          <w:szCs w:val="24"/>
        </w:rPr>
        <w:t xml:space="preserve"> application for line-of-duty pensions.  The Court wrote: “And even though plaintiff asserted ‘that smoke ‘could be a cause or factor in the</w:t>
      </w:r>
    </w:p>
    <w:p w14:paraId="7B90852F" w14:textId="77777777" w:rsidR="00E0229F" w:rsidRPr="00E0229F" w:rsidRDefault="00E0229F" w:rsidP="00E0229F">
      <w:pPr>
        <w:pStyle w:val="NoSpacing"/>
        <w:rPr>
          <w:rFonts w:ascii="Times New Roman" w:hAnsi="Times New Roman"/>
          <w:sz w:val="24"/>
          <w:szCs w:val="24"/>
        </w:rPr>
      </w:pPr>
      <w:r w:rsidRPr="00E0229F">
        <w:rPr>
          <w:rFonts w:ascii="Times New Roman" w:hAnsi="Times New Roman"/>
          <w:sz w:val="24"/>
          <w:szCs w:val="24"/>
        </w:rPr>
        <w:t>development’ of his cancer,’ the Board determined plaintiff failed to ‘come forward with</w:t>
      </w:r>
    </w:p>
    <w:p w14:paraId="72525920" w14:textId="77777777" w:rsidR="00E0229F" w:rsidRPr="00E0229F" w:rsidRDefault="00E0229F" w:rsidP="00E0229F">
      <w:pPr>
        <w:pStyle w:val="NoSpacing"/>
        <w:rPr>
          <w:rFonts w:ascii="Times New Roman" w:hAnsi="Times New Roman"/>
          <w:sz w:val="24"/>
          <w:szCs w:val="24"/>
        </w:rPr>
      </w:pPr>
      <w:r w:rsidRPr="00E0229F">
        <w:rPr>
          <w:rFonts w:ascii="Times New Roman" w:hAnsi="Times New Roman"/>
          <w:sz w:val="24"/>
          <w:szCs w:val="24"/>
        </w:rPr>
        <w:t xml:space="preserve">sufficient evidence that smoke was a cause in his cancer.’” </w:t>
      </w:r>
      <w:hyperlink r:id="rId1072" w:history="1">
        <w:r w:rsidRPr="00E0229F">
          <w:rPr>
            <w:rStyle w:val="Hyperlink"/>
            <w:rFonts w:ascii="Times New Roman" w:hAnsi="Times New Roman"/>
            <w:sz w:val="24"/>
            <w:szCs w:val="24"/>
          </w:rPr>
          <w:t>https://ilcourtsaudio.blob.core.windows.net/antilles-resources/resources/6872cb37-ae61-4b36-815c-de4cd8130990/Sobczyk%20v.%20Board%20of%20Trustees%20of%20the%20Rockford%20Firefighters%e2%80%99%20Pension%20Fund,%202024%20IL%20App%20(4th)%20240261-U.pdf</w:t>
        </w:r>
      </w:hyperlink>
      <w:r w:rsidRPr="00E0229F">
        <w:rPr>
          <w:rFonts w:ascii="Times New Roman" w:hAnsi="Times New Roman"/>
          <w:sz w:val="24"/>
          <w:szCs w:val="24"/>
        </w:rPr>
        <w:t xml:space="preserve"> </w:t>
      </w:r>
    </w:p>
    <w:p w14:paraId="5C3226F8" w14:textId="77777777" w:rsidR="00E0229F" w:rsidRPr="00E0229F" w:rsidRDefault="00E0229F" w:rsidP="00E0229F">
      <w:pPr>
        <w:pStyle w:val="NoSpacing"/>
        <w:rPr>
          <w:rFonts w:ascii="Times New Roman" w:hAnsi="Times New Roman"/>
          <w:sz w:val="24"/>
          <w:szCs w:val="24"/>
        </w:rPr>
      </w:pPr>
    </w:p>
    <w:p w14:paraId="0B0DEC29" w14:textId="77777777" w:rsidR="00E0229F" w:rsidRPr="00E0229F" w:rsidRDefault="00E0229F" w:rsidP="00E0229F">
      <w:pPr>
        <w:pStyle w:val="NoSpacing"/>
        <w:rPr>
          <w:rFonts w:ascii="Times New Roman" w:hAnsi="Times New Roman"/>
          <w:sz w:val="24"/>
          <w:szCs w:val="24"/>
        </w:rPr>
      </w:pPr>
      <w:r w:rsidRPr="00E0229F">
        <w:rPr>
          <w:rFonts w:ascii="Times New Roman" w:hAnsi="Times New Roman"/>
          <w:sz w:val="24"/>
          <w:szCs w:val="24"/>
        </w:rPr>
        <w:t>THE COURT HELD:</w:t>
      </w:r>
    </w:p>
    <w:p w14:paraId="3029A23C" w14:textId="77777777" w:rsidR="00E0229F" w:rsidRPr="00E0229F" w:rsidRDefault="00E0229F" w:rsidP="00E0229F">
      <w:pPr>
        <w:pStyle w:val="NoSpacing"/>
        <w:rPr>
          <w:rFonts w:ascii="Times New Roman" w:hAnsi="Times New Roman"/>
          <w:sz w:val="24"/>
          <w:szCs w:val="24"/>
        </w:rPr>
      </w:pPr>
    </w:p>
    <w:p w14:paraId="48419A42"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“The Board also received the reports and testimony of four doctors. Plaintiff called</w:t>
      </w:r>
    </w:p>
    <w:p w14:paraId="17C7B43D"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 xml:space="preserve">Dr. Peter Orris, a physician trained in occupational and internal medicine, as a retained expert. The other three </w:t>
      </w:r>
      <w:proofErr w:type="gramStart"/>
      <w:r w:rsidRPr="00E0229F">
        <w:rPr>
          <w:rFonts w:ascii="Times New Roman" w:hAnsi="Times New Roman"/>
          <w:sz w:val="24"/>
          <w:szCs w:val="24"/>
        </w:rPr>
        <w:t>doctors—</w:t>
      </w:r>
      <w:proofErr w:type="gramEnd"/>
      <w:r w:rsidRPr="00E0229F">
        <w:rPr>
          <w:rFonts w:ascii="Times New Roman" w:hAnsi="Times New Roman"/>
          <w:sz w:val="24"/>
          <w:szCs w:val="24"/>
        </w:rPr>
        <w:t>Dr. Nicholas Campbell, Dr. Daniel Samo, and Dr. Elliot Lieberman— served as the Board’s IMEs.</w:t>
      </w:r>
    </w:p>
    <w:p w14:paraId="635A4EF7" w14:textId="77777777" w:rsidR="00E0229F" w:rsidRPr="00E0229F" w:rsidRDefault="00E0229F" w:rsidP="00E0229F">
      <w:pPr>
        <w:pStyle w:val="NoSpacing"/>
        <w:ind w:left="720"/>
        <w:rPr>
          <w:rFonts w:ascii="Times New Roman" w:hAnsi="Times New Roman"/>
          <w:sz w:val="24"/>
          <w:szCs w:val="24"/>
        </w:rPr>
      </w:pPr>
    </w:p>
    <w:p w14:paraId="1A944C86"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w:t>
      </w:r>
    </w:p>
    <w:p w14:paraId="46486EA5"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In February 2023, the Board issued its written decision and order. In relevant part,</w:t>
      </w:r>
    </w:p>
    <w:p w14:paraId="63C99218"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the Board determined plaintiff failed to show ‘that his act or acts of duty, or the cumulative effects thereof, caused or contributed to his disability,’ and he further failed to show ‘that his cancer was related to his service as a firefighter.’ In coming to its conclusion, the Board acknowledged the differences of opinion between the IMEs and Dr. Orris but afforded ‘paramount weight to the opinion of Dr. Campbell’ because he was ‘a board-certified oncologist and therefore in the best position to opine on the cause of the [plaintiff’s] cancer.’</w:t>
      </w:r>
    </w:p>
    <w:p w14:paraId="46F6A0F9" w14:textId="77777777" w:rsidR="00E0229F" w:rsidRPr="00E0229F" w:rsidRDefault="00E0229F" w:rsidP="00E0229F">
      <w:pPr>
        <w:pStyle w:val="NoSpacing"/>
        <w:ind w:left="720"/>
        <w:rPr>
          <w:rFonts w:ascii="Times New Roman" w:hAnsi="Times New Roman"/>
          <w:sz w:val="24"/>
          <w:szCs w:val="24"/>
        </w:rPr>
      </w:pPr>
    </w:p>
    <w:p w14:paraId="7E8A4CC4"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w:t>
      </w:r>
    </w:p>
    <w:p w14:paraId="1AAFF304" w14:textId="77777777" w:rsidR="00E0229F" w:rsidRPr="00E0229F" w:rsidRDefault="00E0229F" w:rsidP="00E0229F">
      <w:pPr>
        <w:pStyle w:val="NoSpacing"/>
        <w:ind w:left="720"/>
        <w:rPr>
          <w:rFonts w:ascii="Times New Roman" w:hAnsi="Times New Roman"/>
          <w:sz w:val="24"/>
          <w:szCs w:val="24"/>
        </w:rPr>
      </w:pPr>
    </w:p>
    <w:p w14:paraId="6B0AA503" w14:textId="77777777" w:rsidR="00E0229F" w:rsidRPr="00E0229F" w:rsidRDefault="00E0229F" w:rsidP="00E0229F">
      <w:pPr>
        <w:pStyle w:val="NoSpacing"/>
        <w:ind w:left="720"/>
        <w:rPr>
          <w:rFonts w:ascii="Times New Roman" w:hAnsi="Times New Roman"/>
          <w:sz w:val="24"/>
          <w:szCs w:val="24"/>
        </w:rPr>
      </w:pPr>
      <w:r w:rsidRPr="00E0229F">
        <w:rPr>
          <w:rFonts w:ascii="Times New Roman" w:hAnsi="Times New Roman"/>
          <w:sz w:val="24"/>
          <w:szCs w:val="24"/>
        </w:rPr>
        <w:t xml:space="preserve">Dr. Nicholas Campbell is a board-certified oncologist specializing in thoracic, head, and neck malignancies. Dr. Campbell ruled out plaintiff’s firefighting duties as a contributing cause of plaintiff’s cancer based on the type of cancer plaintiff had. According to Dr. </w:t>
      </w:r>
      <w:proofErr w:type="gramStart"/>
      <w:r w:rsidRPr="00E0229F">
        <w:rPr>
          <w:rFonts w:ascii="Times New Roman" w:hAnsi="Times New Roman"/>
          <w:sz w:val="24"/>
          <w:szCs w:val="24"/>
        </w:rPr>
        <w:t>Campbell, ‘</w:t>
      </w:r>
      <w:proofErr w:type="gramEnd"/>
      <w:r w:rsidRPr="00E0229F">
        <w:rPr>
          <w:rFonts w:ascii="Times New Roman" w:hAnsi="Times New Roman"/>
          <w:sz w:val="24"/>
          <w:szCs w:val="24"/>
        </w:rPr>
        <w:t xml:space="preserve">p16 is a well-known and highly reproducible molecule for which pathologists routinely test head [and] neck cancers.’ Plaintiff’s tumors tested ‘strongly positive for this molecule,’ and Dr. Campbell concluded plaintiff’s cancer ‘was not caused by heat, radiation, or a known carcinogen that he would have been exposed to at work.’ Dr. Campbell </w:t>
      </w:r>
      <w:proofErr w:type="gramStart"/>
      <w:r w:rsidRPr="00E0229F">
        <w:rPr>
          <w:rFonts w:ascii="Times New Roman" w:hAnsi="Times New Roman"/>
          <w:sz w:val="24"/>
          <w:szCs w:val="24"/>
        </w:rPr>
        <w:t>explained, ‘</w:t>
      </w:r>
      <w:proofErr w:type="gramEnd"/>
      <w:r w:rsidRPr="00E0229F">
        <w:rPr>
          <w:rFonts w:ascii="Times New Roman" w:hAnsi="Times New Roman"/>
          <w:sz w:val="24"/>
          <w:szCs w:val="24"/>
        </w:rPr>
        <w:t xml:space="preserve">p16 positivity, especially when diffusely positive on a specimen as [plaintiff’s] samples were, is pathognomonic for a cancer caused by HPV. Other cancers that are not HPV related in the head [and] neck can rarely be seen to be p16 </w:t>
      </w:r>
      <w:proofErr w:type="gramStart"/>
      <w:r w:rsidRPr="00E0229F">
        <w:rPr>
          <w:rFonts w:ascii="Times New Roman" w:hAnsi="Times New Roman"/>
          <w:sz w:val="24"/>
          <w:szCs w:val="24"/>
        </w:rPr>
        <w:t>positive, but</w:t>
      </w:r>
      <w:proofErr w:type="gramEnd"/>
      <w:r w:rsidRPr="00E0229F">
        <w:rPr>
          <w:rFonts w:ascii="Times New Roman" w:hAnsi="Times New Roman"/>
          <w:sz w:val="24"/>
          <w:szCs w:val="24"/>
        </w:rPr>
        <w:t xml:space="preserve"> usually have a primary lesion that is found.’ Dr. Campbell also explained why the negative results of plaintiff’s metastasized samples for the HPV 16 and 18 genotypes did not change his opinion. According to Dr. </w:t>
      </w:r>
      <w:proofErr w:type="gramStart"/>
      <w:r w:rsidRPr="00E0229F">
        <w:rPr>
          <w:rFonts w:ascii="Times New Roman" w:hAnsi="Times New Roman"/>
          <w:sz w:val="24"/>
          <w:szCs w:val="24"/>
        </w:rPr>
        <w:t>Campbell, ‘</w:t>
      </w:r>
      <w:proofErr w:type="gramEnd"/>
      <w:r w:rsidRPr="00E0229F">
        <w:rPr>
          <w:rFonts w:ascii="Times New Roman" w:hAnsi="Times New Roman"/>
          <w:sz w:val="24"/>
          <w:szCs w:val="24"/>
        </w:rPr>
        <w:t>when cancers spread and metastasize, they become more deranged” and “will oftentimes lose the HPV positivity.’ And because plaintiff’s initial biopsy samples were diffusely positive for the p16 molecule, Dr. Campbell reasoned that ‘[t]his would be sort of the one tumor type to get that you can’t really pin on anything else,’ other than HPV.”</w:t>
      </w:r>
    </w:p>
    <w:p w14:paraId="126945A6" w14:textId="77777777" w:rsidR="00E0229F" w:rsidRPr="00E0229F" w:rsidRDefault="00E0229F" w:rsidP="00E0229F">
      <w:pPr>
        <w:pStyle w:val="NoSpacing"/>
        <w:rPr>
          <w:rFonts w:ascii="Times New Roman" w:hAnsi="Times New Roman"/>
          <w:sz w:val="24"/>
          <w:szCs w:val="24"/>
        </w:rPr>
      </w:pPr>
    </w:p>
    <w:p w14:paraId="13E11A92" w14:textId="77777777" w:rsidR="00E0229F" w:rsidRPr="00E0229F" w:rsidRDefault="00E0229F" w:rsidP="00E0229F">
      <w:pPr>
        <w:pStyle w:val="NoSpacing"/>
        <w:rPr>
          <w:rFonts w:ascii="Times New Roman" w:hAnsi="Times New Roman"/>
          <w:sz w:val="24"/>
          <w:szCs w:val="24"/>
        </w:rPr>
      </w:pPr>
    </w:p>
    <w:p w14:paraId="3DC51640" w14:textId="77777777" w:rsidR="00E0229F" w:rsidRPr="00E0229F" w:rsidRDefault="00E0229F" w:rsidP="00E0229F">
      <w:pPr>
        <w:rPr>
          <w:rFonts w:ascii="Times New Roman" w:hAnsi="Times New Roman"/>
          <w:b/>
          <w:bCs/>
          <w:sz w:val="24"/>
          <w:szCs w:val="24"/>
        </w:rPr>
      </w:pPr>
      <w:r w:rsidRPr="00E0229F">
        <w:rPr>
          <w:rFonts w:ascii="Times New Roman" w:hAnsi="Times New Roman"/>
          <w:b/>
          <w:bCs/>
          <w:sz w:val="24"/>
          <w:szCs w:val="24"/>
        </w:rPr>
        <w:t xml:space="preserve">Legal Lesson Learned:  Another case involving “battle of experts” where Pension Board relied on their experts.  Where SCBA during overhaul if smoky environment.  </w:t>
      </w:r>
    </w:p>
    <w:p w14:paraId="4CF36C77" w14:textId="77777777" w:rsidR="00E0229F" w:rsidRDefault="00E0229F" w:rsidP="00E0229F"/>
    <w:p w14:paraId="6B24DC6F" w14:textId="77777777" w:rsidR="00E0229F" w:rsidRDefault="00E0229F" w:rsidP="006C4AD8">
      <w:pPr>
        <w:pStyle w:val="NormalWeb"/>
        <w:spacing w:before="0" w:beforeAutospacing="0"/>
        <w:rPr>
          <w:rFonts w:ascii="Arial Black" w:hAnsi="Arial Black"/>
          <w:b/>
          <w:bCs/>
          <w:color w:val="454545"/>
          <w:sz w:val="28"/>
          <w:szCs w:val="28"/>
          <w:shd w:val="clear" w:color="auto" w:fill="FFFFFF"/>
        </w:rPr>
      </w:pPr>
    </w:p>
    <w:p w14:paraId="26E1D17B" w14:textId="77777777" w:rsidR="00525E67" w:rsidRDefault="00525E67" w:rsidP="006C4AD8">
      <w:pPr>
        <w:pStyle w:val="NormalWeb"/>
        <w:spacing w:before="0" w:beforeAutospacing="0"/>
        <w:rPr>
          <w:rFonts w:ascii="Arial Black" w:hAnsi="Arial Black"/>
          <w:b/>
          <w:bCs/>
          <w:color w:val="454545"/>
          <w:sz w:val="28"/>
          <w:szCs w:val="28"/>
          <w:shd w:val="clear" w:color="auto" w:fill="FFFFFF"/>
        </w:rPr>
      </w:pPr>
    </w:p>
    <w:p w14:paraId="1FB1BDF4" w14:textId="04AAFF3F" w:rsidR="00FF0339" w:rsidRDefault="00FF0339"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7</w:t>
      </w:r>
    </w:p>
    <w:p w14:paraId="32AD24CE" w14:textId="77777777" w:rsidR="00525E67" w:rsidRPr="0047626B" w:rsidRDefault="00525E67" w:rsidP="00525E67">
      <w:pPr>
        <w:rPr>
          <w:rFonts w:ascii="Arial Black" w:hAnsi="Arial Black"/>
          <w:b/>
          <w:bCs/>
          <w:sz w:val="28"/>
        </w:rPr>
      </w:pPr>
      <w:r>
        <w:rPr>
          <w:rFonts w:ascii="Arial Black" w:hAnsi="Arial Black"/>
          <w:b/>
          <w:bCs/>
          <w:sz w:val="28"/>
        </w:rPr>
        <w:t xml:space="preserve">CT: FIRE CHIEF – CITY CHARTER “PENSION OFFSET” - 75% DISABILITY PENSION OFFSET / WIFE NO MORE WORK COMP </w:t>
      </w:r>
    </w:p>
    <w:p w14:paraId="3769B752" w14:textId="77777777" w:rsidR="00525E67" w:rsidRPr="00525E67" w:rsidRDefault="00525E67" w:rsidP="00525E67">
      <w:pPr>
        <w:pStyle w:val="NoSpacing"/>
        <w:rPr>
          <w:rFonts w:ascii="Times New Roman" w:hAnsi="Times New Roman"/>
          <w:sz w:val="24"/>
          <w:szCs w:val="24"/>
        </w:rPr>
      </w:pPr>
      <w:r w:rsidRPr="00525E67">
        <w:rPr>
          <w:rFonts w:ascii="Times New Roman" w:hAnsi="Times New Roman"/>
          <w:sz w:val="24"/>
          <w:szCs w:val="24"/>
        </w:rPr>
        <w:t xml:space="preserve">On Sept. 24, 2024, in </w:t>
      </w:r>
      <w:r w:rsidRPr="00525E67">
        <w:rPr>
          <w:rFonts w:ascii="Times New Roman" w:hAnsi="Times New Roman"/>
          <w:sz w:val="24"/>
          <w:szCs w:val="24"/>
          <w:u w:val="single"/>
        </w:rPr>
        <w:t>City of Waterbury v. Janet Brennan, et al</w:t>
      </w:r>
      <w:r w:rsidRPr="00525E67">
        <w:rPr>
          <w:rFonts w:ascii="Times New Roman" w:hAnsi="Times New Roman"/>
          <w:sz w:val="24"/>
          <w:szCs w:val="24"/>
        </w:rPr>
        <w:t xml:space="preserve">., the Connecticut Appellant Court held (9 to 0) that the trial court properly granted summary judgment to the city.  Fire Chief Thomas Brennan had a heart attack in 1993 and was awarded worker’s comp; he retired on disability pension in 1995 (75%).  He died in 2006, having received monthly pension payments </w:t>
      </w:r>
      <w:proofErr w:type="gramStart"/>
      <w:r w:rsidRPr="00525E67">
        <w:rPr>
          <w:rFonts w:ascii="Times New Roman" w:hAnsi="Times New Roman"/>
          <w:sz w:val="24"/>
          <w:szCs w:val="24"/>
        </w:rPr>
        <w:t>and also</w:t>
      </w:r>
      <w:proofErr w:type="gramEnd"/>
      <w:r w:rsidRPr="00525E67">
        <w:rPr>
          <w:rFonts w:ascii="Times New Roman" w:hAnsi="Times New Roman"/>
          <w:sz w:val="24"/>
          <w:szCs w:val="24"/>
        </w:rPr>
        <w:t xml:space="preserve"> two worker’s comp lump sum payments in 1997 and 1999.   The </w:t>
      </w:r>
      <w:proofErr w:type="gramStart"/>
      <w:r w:rsidRPr="00525E67">
        <w:rPr>
          <w:rFonts w:ascii="Times New Roman" w:hAnsi="Times New Roman"/>
          <w:sz w:val="24"/>
          <w:szCs w:val="24"/>
        </w:rPr>
        <w:t>City</w:t>
      </w:r>
      <w:proofErr w:type="gramEnd"/>
      <w:r w:rsidRPr="00525E67">
        <w:rPr>
          <w:rFonts w:ascii="Times New Roman" w:hAnsi="Times New Roman"/>
          <w:sz w:val="24"/>
          <w:szCs w:val="24"/>
        </w:rPr>
        <w:t xml:space="preserve"> in 2005 asked Court to confirm no further worker’s comp payments were due to his widow. The City Charter provides that worker’s comp. obligations are to be “offset” by pension payments paid to the retiree.  The Court wrote: “As our Supreme Court observed in Russo v. Waterbury, 304 Conn. 710, 714, 41 A.3d 1033 (2012), § 2761 of the city charter ‘‘allows the city to offset the . . . pension benefits [of municipal employees] based on their heart and hypertension benefits’’ under § 7-433c.”</w:t>
      </w:r>
    </w:p>
    <w:p w14:paraId="6DAA9F60" w14:textId="77777777" w:rsidR="00525E67" w:rsidRPr="00525E67" w:rsidRDefault="00525E67" w:rsidP="00525E67">
      <w:pPr>
        <w:pStyle w:val="NoSpacing"/>
        <w:rPr>
          <w:rFonts w:ascii="Times New Roman" w:hAnsi="Times New Roman"/>
          <w:sz w:val="24"/>
          <w:szCs w:val="24"/>
        </w:rPr>
      </w:pPr>
      <w:hyperlink r:id="rId1073" w:history="1">
        <w:r w:rsidRPr="00525E67">
          <w:rPr>
            <w:rStyle w:val="Hyperlink"/>
            <w:rFonts w:ascii="Times New Roman" w:hAnsi="Times New Roman"/>
            <w:sz w:val="24"/>
            <w:szCs w:val="24"/>
          </w:rPr>
          <w:t>https://www.jud.ct.gov/external/supapp/Cases/AROap/AP228/AP228.307.pdf</w:t>
        </w:r>
      </w:hyperlink>
      <w:r w:rsidRPr="00525E67">
        <w:rPr>
          <w:rFonts w:ascii="Times New Roman" w:hAnsi="Times New Roman"/>
          <w:sz w:val="24"/>
          <w:szCs w:val="24"/>
        </w:rPr>
        <w:t xml:space="preserve"> </w:t>
      </w:r>
    </w:p>
    <w:p w14:paraId="45B116DE" w14:textId="77777777" w:rsidR="00525E67" w:rsidRPr="00525E67" w:rsidRDefault="00525E67" w:rsidP="00525E67">
      <w:pPr>
        <w:pStyle w:val="NoSpacing"/>
        <w:jc w:val="both"/>
        <w:rPr>
          <w:rFonts w:ascii="Times New Roman" w:hAnsi="Times New Roman"/>
          <w:sz w:val="24"/>
          <w:szCs w:val="24"/>
        </w:rPr>
      </w:pPr>
    </w:p>
    <w:p w14:paraId="35C71931" w14:textId="77777777" w:rsidR="00525E67" w:rsidRPr="00525E67" w:rsidRDefault="00525E67" w:rsidP="00525E67">
      <w:pPr>
        <w:pStyle w:val="NoSpacing"/>
        <w:rPr>
          <w:rFonts w:ascii="Times New Roman" w:hAnsi="Times New Roman"/>
          <w:sz w:val="24"/>
          <w:szCs w:val="24"/>
        </w:rPr>
      </w:pPr>
      <w:r w:rsidRPr="00525E67">
        <w:rPr>
          <w:rFonts w:ascii="Times New Roman" w:hAnsi="Times New Roman"/>
          <w:sz w:val="24"/>
          <w:szCs w:val="24"/>
        </w:rPr>
        <w:t xml:space="preserve"> THE COURT HELD: </w:t>
      </w:r>
    </w:p>
    <w:p w14:paraId="321E3EC6" w14:textId="77777777" w:rsidR="00525E67" w:rsidRPr="00525E67" w:rsidRDefault="00525E67" w:rsidP="00525E67">
      <w:pPr>
        <w:pStyle w:val="NoSpacing"/>
        <w:rPr>
          <w:rFonts w:ascii="Times New Roman" w:hAnsi="Times New Roman"/>
          <w:sz w:val="24"/>
          <w:szCs w:val="24"/>
        </w:rPr>
      </w:pPr>
    </w:p>
    <w:p w14:paraId="4D5B00D4" w14:textId="77777777" w:rsidR="00525E67" w:rsidRPr="00525E67" w:rsidRDefault="00525E67" w:rsidP="00525E67">
      <w:pPr>
        <w:pStyle w:val="NoSpacing"/>
        <w:ind w:left="720"/>
        <w:rPr>
          <w:rFonts w:ascii="Times New Roman" w:hAnsi="Times New Roman"/>
          <w:sz w:val="24"/>
          <w:szCs w:val="24"/>
        </w:rPr>
      </w:pPr>
      <w:r w:rsidRPr="00525E67">
        <w:rPr>
          <w:rFonts w:ascii="Times New Roman" w:hAnsi="Times New Roman"/>
          <w:sz w:val="24"/>
          <w:szCs w:val="24"/>
        </w:rPr>
        <w:t>“In this action for declaratory relief, the defendant Janet Brennan appeals from the judgment of the trial court rendered in favor of the plaintiff, the city of Waterbury (city). On appeal, the defendant claims that the court improperly denied her motion for summary judgment and, relatedly, that it improperly granted the motion for summary judgment filed by the city. We affirm the judgment of the trial court.</w:t>
      </w:r>
    </w:p>
    <w:p w14:paraId="373BA91F" w14:textId="77777777" w:rsidR="00525E67" w:rsidRPr="00525E67" w:rsidRDefault="00525E67" w:rsidP="00525E67">
      <w:pPr>
        <w:pStyle w:val="NoSpacing"/>
        <w:rPr>
          <w:rFonts w:ascii="Times New Roman" w:hAnsi="Times New Roman"/>
          <w:sz w:val="24"/>
          <w:szCs w:val="24"/>
        </w:rPr>
      </w:pPr>
    </w:p>
    <w:p w14:paraId="06D3D784" w14:textId="77777777" w:rsidR="00525E67" w:rsidRPr="00525E67" w:rsidRDefault="00525E67" w:rsidP="00525E67">
      <w:pPr>
        <w:pStyle w:val="NoSpacing"/>
        <w:ind w:firstLine="720"/>
        <w:rPr>
          <w:rFonts w:ascii="Times New Roman" w:hAnsi="Times New Roman"/>
          <w:sz w:val="24"/>
          <w:szCs w:val="24"/>
        </w:rPr>
      </w:pPr>
      <w:r w:rsidRPr="00525E67">
        <w:rPr>
          <w:rFonts w:ascii="Times New Roman" w:hAnsi="Times New Roman"/>
          <w:sz w:val="24"/>
          <w:szCs w:val="24"/>
        </w:rPr>
        <w:t>***</w:t>
      </w:r>
    </w:p>
    <w:p w14:paraId="07FFA0D9" w14:textId="77777777" w:rsidR="00525E67" w:rsidRPr="00525E67" w:rsidRDefault="00525E67" w:rsidP="00525E67">
      <w:pPr>
        <w:ind w:left="720"/>
        <w:rPr>
          <w:rFonts w:ascii="Times New Roman" w:hAnsi="Times New Roman"/>
          <w:sz w:val="24"/>
          <w:szCs w:val="24"/>
        </w:rPr>
      </w:pPr>
      <w:r w:rsidRPr="00525E67">
        <w:rPr>
          <w:rFonts w:ascii="Times New Roman" w:hAnsi="Times New Roman"/>
          <w:sz w:val="24"/>
          <w:szCs w:val="24"/>
        </w:rPr>
        <w:t xml:space="preserve">The city commenced the present action by service of process on December 24, 2015. The gist of its complaint was that, due to a pension offset provision in </w:t>
      </w:r>
      <w:proofErr w:type="gramStart"/>
      <w:r w:rsidRPr="00525E67">
        <w:rPr>
          <w:rFonts w:ascii="Times New Roman" w:hAnsi="Times New Roman"/>
          <w:sz w:val="24"/>
          <w:szCs w:val="24"/>
        </w:rPr>
        <w:t>the 1967</w:t>
      </w:r>
      <w:proofErr w:type="gramEnd"/>
      <w:r w:rsidRPr="00525E67">
        <w:rPr>
          <w:rFonts w:ascii="Times New Roman" w:hAnsi="Times New Roman"/>
          <w:sz w:val="24"/>
          <w:szCs w:val="24"/>
        </w:rPr>
        <w:t xml:space="preserve"> Waterbury city charter (city charter), no further heart and hypertension payments were due to the defendant.</w:t>
      </w:r>
    </w:p>
    <w:p w14:paraId="74CA59A7" w14:textId="77777777" w:rsidR="00525E67" w:rsidRPr="00525E67" w:rsidRDefault="00525E67" w:rsidP="00525E67">
      <w:pPr>
        <w:ind w:firstLine="720"/>
        <w:rPr>
          <w:rFonts w:ascii="Times New Roman" w:hAnsi="Times New Roman"/>
          <w:sz w:val="24"/>
          <w:szCs w:val="24"/>
        </w:rPr>
      </w:pPr>
      <w:r w:rsidRPr="00525E67">
        <w:rPr>
          <w:rFonts w:ascii="Times New Roman" w:hAnsi="Times New Roman"/>
          <w:sz w:val="24"/>
          <w:szCs w:val="24"/>
        </w:rPr>
        <w:t>***</w:t>
      </w:r>
    </w:p>
    <w:p w14:paraId="11DE5E0C" w14:textId="77777777" w:rsidR="00525E67" w:rsidRPr="00525E67" w:rsidRDefault="00525E67" w:rsidP="00525E67">
      <w:pPr>
        <w:pStyle w:val="NoSpacing"/>
        <w:ind w:left="720"/>
        <w:rPr>
          <w:rFonts w:ascii="Times New Roman" w:hAnsi="Times New Roman"/>
          <w:sz w:val="24"/>
          <w:szCs w:val="24"/>
        </w:rPr>
      </w:pPr>
      <w:r w:rsidRPr="00525E67">
        <w:rPr>
          <w:rFonts w:ascii="Times New Roman" w:hAnsi="Times New Roman"/>
          <w:sz w:val="24"/>
          <w:szCs w:val="24"/>
        </w:rPr>
        <w:t xml:space="preserve">Section 2761 of the city charter provides: ‘’No payments of retirement, disability or death benefits shall be allowed or paid under the provisions of this act so long or for such period as payments are being made by [the city] under the provisions of the General Statutes relating to workers’ compensation except when such payments would exceed the payments made under the provisions of the Workers’ Compensation Act. In such cases the pensioner shall receive, in addition to his payments under the Workers’ Compensation </w:t>
      </w:r>
      <w:proofErr w:type="gramStart"/>
      <w:r w:rsidRPr="00525E67">
        <w:rPr>
          <w:rFonts w:ascii="Times New Roman" w:hAnsi="Times New Roman"/>
          <w:sz w:val="24"/>
          <w:szCs w:val="24"/>
        </w:rPr>
        <w:t>Act</w:t>
      </w:r>
      <w:proofErr w:type="gramEnd"/>
      <w:r w:rsidRPr="00525E67">
        <w:rPr>
          <w:rFonts w:ascii="Times New Roman" w:hAnsi="Times New Roman"/>
          <w:sz w:val="24"/>
          <w:szCs w:val="24"/>
        </w:rPr>
        <w:t xml:space="preserve"> the difference between that amount and the amount which he would have received under the provisions of this </w:t>
      </w:r>
      <w:proofErr w:type="gramStart"/>
      <w:r w:rsidRPr="00525E67">
        <w:rPr>
          <w:rFonts w:ascii="Times New Roman" w:hAnsi="Times New Roman"/>
          <w:sz w:val="24"/>
          <w:szCs w:val="24"/>
        </w:rPr>
        <w:t>act.’</w:t>
      </w:r>
      <w:proofErr w:type="gramEnd"/>
      <w:r w:rsidRPr="00525E67">
        <w:rPr>
          <w:rFonts w:ascii="Times New Roman" w:hAnsi="Times New Roman"/>
          <w:sz w:val="24"/>
          <w:szCs w:val="24"/>
        </w:rPr>
        <w:t>’ In Russo v. Waterbury, supra, 304 Conn. 714, our Supreme Court concluded that § 2761 of the city charter ’allows the city to offset the . . . pension benefits [of municipal employees] based on their heart and hypertension benefits’’ under § 7-433c.’”</w:t>
      </w:r>
    </w:p>
    <w:p w14:paraId="1ACAA7F0" w14:textId="77777777" w:rsidR="00525E67" w:rsidRPr="00525E67" w:rsidRDefault="00525E67" w:rsidP="00525E67">
      <w:pPr>
        <w:pStyle w:val="NoSpacing"/>
        <w:ind w:left="720"/>
        <w:rPr>
          <w:rFonts w:ascii="Times New Roman" w:hAnsi="Times New Roman"/>
          <w:sz w:val="24"/>
          <w:szCs w:val="24"/>
        </w:rPr>
      </w:pPr>
    </w:p>
    <w:p w14:paraId="6B9950CA" w14:textId="77777777" w:rsidR="00525E67" w:rsidRPr="00525E67" w:rsidRDefault="00525E67" w:rsidP="00525E67">
      <w:pPr>
        <w:pStyle w:val="NoSpacing"/>
        <w:rPr>
          <w:rFonts w:ascii="Times New Roman" w:hAnsi="Times New Roman"/>
          <w:sz w:val="24"/>
          <w:szCs w:val="24"/>
        </w:rPr>
      </w:pPr>
    </w:p>
    <w:p w14:paraId="1DA4930A" w14:textId="77777777" w:rsidR="00525E67" w:rsidRPr="00525E67" w:rsidRDefault="00525E67" w:rsidP="00525E67">
      <w:pPr>
        <w:rPr>
          <w:rFonts w:ascii="Times New Roman" w:hAnsi="Times New Roman"/>
          <w:sz w:val="24"/>
          <w:szCs w:val="24"/>
        </w:rPr>
      </w:pPr>
    </w:p>
    <w:p w14:paraId="4DA998E9" w14:textId="77777777" w:rsidR="00525E67" w:rsidRPr="00525E67" w:rsidRDefault="00525E67" w:rsidP="00525E67">
      <w:pPr>
        <w:rPr>
          <w:rFonts w:ascii="Times New Roman" w:hAnsi="Times New Roman"/>
          <w:b/>
          <w:bCs/>
          <w:sz w:val="24"/>
          <w:szCs w:val="24"/>
        </w:rPr>
      </w:pPr>
      <w:r w:rsidRPr="00525E67">
        <w:rPr>
          <w:rFonts w:ascii="Times New Roman" w:hAnsi="Times New Roman"/>
          <w:b/>
          <w:bCs/>
          <w:sz w:val="24"/>
          <w:szCs w:val="24"/>
        </w:rPr>
        <w:t xml:space="preserve">Legal Lesson Learned: A City Charter can provide for “offset” so the city will not be required to pay both workers comp and pension. </w:t>
      </w:r>
    </w:p>
    <w:p w14:paraId="7E5BF7E9" w14:textId="77777777" w:rsidR="00525E67" w:rsidRDefault="00525E67" w:rsidP="00525E67"/>
    <w:p w14:paraId="6E9E6046" w14:textId="229DE5E2" w:rsidR="003F2075" w:rsidRDefault="003F207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6</w:t>
      </w:r>
    </w:p>
    <w:p w14:paraId="77CDEA8F" w14:textId="77777777" w:rsidR="00C81642" w:rsidRDefault="00C81642" w:rsidP="00C81642">
      <w:pPr>
        <w:pStyle w:val="NoSpacing"/>
        <w:rPr>
          <w:rFonts w:ascii="Aptos Black" w:hAnsi="Aptos Black"/>
          <w:sz w:val="28"/>
        </w:rPr>
      </w:pPr>
      <w:r>
        <w:rPr>
          <w:rFonts w:ascii="Arial Black" w:hAnsi="Arial Black"/>
          <w:sz w:val="28"/>
        </w:rPr>
        <w:t xml:space="preserve">MA: BOSTON FF – MUSLIM – REFUSED COVID WEEKLY TESTING OR VACINATION – NO UNEMPLOYMENT </w:t>
      </w:r>
    </w:p>
    <w:p w14:paraId="31AC6C68" w14:textId="77777777" w:rsidR="00C81642" w:rsidRDefault="00C81642" w:rsidP="00C81642">
      <w:pPr>
        <w:pStyle w:val="NoSpacing"/>
        <w:rPr>
          <w:rFonts w:ascii="Aptos Black" w:hAnsi="Aptos Black"/>
          <w:sz w:val="28"/>
        </w:rPr>
      </w:pPr>
    </w:p>
    <w:p w14:paraId="3EC7A062" w14:textId="77777777" w:rsidR="00C81642" w:rsidRPr="00C81642" w:rsidRDefault="00C81642" w:rsidP="00C81642">
      <w:pPr>
        <w:pStyle w:val="NoSpacing"/>
        <w:rPr>
          <w:rFonts w:ascii="Times New Roman" w:hAnsi="Times New Roman"/>
          <w:sz w:val="24"/>
          <w:szCs w:val="24"/>
        </w:rPr>
      </w:pPr>
      <w:r w:rsidRPr="00C81642">
        <w:rPr>
          <w:rFonts w:ascii="Times New Roman" w:hAnsi="Times New Roman"/>
          <w:sz w:val="24"/>
          <w:szCs w:val="24"/>
        </w:rPr>
        <w:t xml:space="preserve">On August 28, 2024, in </w:t>
      </w:r>
      <w:r w:rsidRPr="00C81642">
        <w:rPr>
          <w:rFonts w:ascii="Times New Roman" w:hAnsi="Times New Roman"/>
          <w:sz w:val="24"/>
          <w:szCs w:val="24"/>
          <w:u w:val="single"/>
        </w:rPr>
        <w:t>Michael Browder v. Department of Unemployment Assistance</w:t>
      </w:r>
      <w:r w:rsidRPr="00C81642">
        <w:rPr>
          <w:rFonts w:ascii="Times New Roman" w:hAnsi="Times New Roman"/>
          <w:sz w:val="24"/>
          <w:szCs w:val="24"/>
        </w:rPr>
        <w:t xml:space="preserve">, the Appeals Court of Massachusetts held (3 to 0) that the former Boston firefighter was not entitled to unemployment compensation.  The Court wrote: “As directed, the [unemployment hearing] examiner made one additional finding: </w:t>
      </w:r>
    </w:p>
    <w:p w14:paraId="0B6097D6" w14:textId="77777777" w:rsidR="00C81642" w:rsidRPr="00C81642" w:rsidRDefault="00C81642" w:rsidP="00C81642">
      <w:pPr>
        <w:pStyle w:val="NoSpacing"/>
        <w:ind w:left="720"/>
        <w:rPr>
          <w:rFonts w:ascii="Times New Roman" w:hAnsi="Times New Roman"/>
          <w:sz w:val="24"/>
          <w:szCs w:val="24"/>
        </w:rPr>
      </w:pPr>
    </w:p>
    <w:p w14:paraId="13ADA41E" w14:textId="77777777" w:rsidR="00C81642" w:rsidRPr="00C81642" w:rsidRDefault="00C81642" w:rsidP="00C81642">
      <w:pPr>
        <w:pStyle w:val="NoSpacing"/>
        <w:ind w:left="720"/>
        <w:rPr>
          <w:rFonts w:ascii="Times New Roman" w:hAnsi="Times New Roman"/>
          <w:sz w:val="24"/>
          <w:szCs w:val="24"/>
        </w:rPr>
      </w:pPr>
      <w:r w:rsidRPr="00C81642">
        <w:rPr>
          <w:rFonts w:ascii="Times New Roman" w:hAnsi="Times New Roman"/>
          <w:sz w:val="24"/>
          <w:szCs w:val="24"/>
        </w:rPr>
        <w:t>‘Since being placed on an employer-imposed leave of absence, [Browder] has not been actively seeking work because he only wants to be a firefighter and feels that other municipalities would not hire him because of his vaccination status.’ Adopting the review examiner's factual findings in their entirety, the board reached a different conclusion: Browder was neither totally nor partially unemployed under G. L. c. 151A, §§ 1 (r) and 29, and was therefore ineligible for unemployment benefits.</w:t>
      </w:r>
    </w:p>
    <w:p w14:paraId="077DCF4B" w14:textId="77777777" w:rsidR="00C81642" w:rsidRPr="00C81642" w:rsidRDefault="00C81642" w:rsidP="00C81642">
      <w:pPr>
        <w:pStyle w:val="NoSpacing"/>
        <w:rPr>
          <w:rFonts w:ascii="Times New Roman" w:hAnsi="Times New Roman"/>
          <w:sz w:val="24"/>
          <w:szCs w:val="24"/>
        </w:rPr>
      </w:pPr>
    </w:p>
    <w:p w14:paraId="00863329" w14:textId="77777777" w:rsidR="00C81642" w:rsidRPr="00C81642" w:rsidRDefault="00C81642" w:rsidP="00C81642">
      <w:pPr>
        <w:pStyle w:val="NoSpacing"/>
        <w:rPr>
          <w:rFonts w:ascii="Times New Roman" w:hAnsi="Times New Roman"/>
          <w:sz w:val="24"/>
          <w:szCs w:val="24"/>
        </w:rPr>
      </w:pPr>
      <w:r w:rsidRPr="00C81642">
        <w:rPr>
          <w:rFonts w:ascii="Times New Roman" w:hAnsi="Times New Roman"/>
          <w:sz w:val="24"/>
          <w:szCs w:val="24"/>
        </w:rPr>
        <w:t xml:space="preserve">In the BMC [Boston Municipal Court], Browder argued that the board failed to provide a full remand hearing with an opportunity for Browder to testify and submit evidence of his search for work. While the remand procedure employed by the board does indeed appear unorthodox, Browder's principal brief provides no legal authority demonstrating that the procedure violated any statute, regulation, or Browder's due process rights. Nor does he provide any basis for us to conclude that the board's decision, to which we owe substantial deference, was arbitrary or capricious, was not based on correct legal principles, or was not supported by substantial </w:t>
      </w:r>
      <w:proofErr w:type="gramStart"/>
      <w:r w:rsidRPr="00C81642">
        <w:rPr>
          <w:rFonts w:ascii="Times New Roman" w:hAnsi="Times New Roman"/>
          <w:sz w:val="24"/>
          <w:szCs w:val="24"/>
        </w:rPr>
        <w:t>evidence.”</w:t>
      </w:r>
      <w:proofErr w:type="gramEnd"/>
      <w:r w:rsidRPr="00C81642">
        <w:rPr>
          <w:rFonts w:ascii="Times New Roman" w:hAnsi="Times New Roman"/>
          <w:sz w:val="24"/>
          <w:szCs w:val="24"/>
        </w:rPr>
        <w:t xml:space="preserve"> </w:t>
      </w:r>
      <w:hyperlink r:id="rId1074" w:history="1">
        <w:r w:rsidRPr="00C81642">
          <w:rPr>
            <w:rStyle w:val="Hyperlink"/>
            <w:rFonts w:ascii="Times New Roman" w:hAnsi="Times New Roman"/>
            <w:sz w:val="24"/>
            <w:szCs w:val="24"/>
          </w:rPr>
          <w:t>https://caselaw.findlaw.com/court/ma-court-of-appeals/116528710.html</w:t>
        </w:r>
      </w:hyperlink>
      <w:r w:rsidRPr="00C81642">
        <w:rPr>
          <w:rFonts w:ascii="Times New Roman" w:hAnsi="Times New Roman"/>
          <w:sz w:val="24"/>
          <w:szCs w:val="24"/>
        </w:rPr>
        <w:t xml:space="preserve"> </w:t>
      </w:r>
    </w:p>
    <w:p w14:paraId="3765673D" w14:textId="77777777" w:rsidR="00C81642" w:rsidRPr="00C81642" w:rsidRDefault="00C81642" w:rsidP="00C81642">
      <w:pPr>
        <w:pStyle w:val="NoSpacing"/>
        <w:rPr>
          <w:rFonts w:ascii="Times New Roman" w:hAnsi="Times New Roman"/>
          <w:sz w:val="24"/>
          <w:szCs w:val="24"/>
        </w:rPr>
      </w:pPr>
    </w:p>
    <w:p w14:paraId="4836639B" w14:textId="77777777" w:rsidR="00C81642" w:rsidRPr="00C81642" w:rsidRDefault="00C81642" w:rsidP="00C81642">
      <w:pPr>
        <w:pStyle w:val="NoSpacing"/>
        <w:rPr>
          <w:rFonts w:ascii="Times New Roman" w:hAnsi="Times New Roman"/>
          <w:sz w:val="24"/>
          <w:szCs w:val="24"/>
        </w:rPr>
      </w:pPr>
      <w:r w:rsidRPr="00C81642">
        <w:rPr>
          <w:rFonts w:ascii="Times New Roman" w:hAnsi="Times New Roman"/>
          <w:sz w:val="24"/>
          <w:szCs w:val="24"/>
        </w:rPr>
        <w:t>THE COURT HELD:</w:t>
      </w:r>
    </w:p>
    <w:p w14:paraId="69980B72" w14:textId="77777777" w:rsidR="00C81642" w:rsidRPr="00C81642" w:rsidRDefault="00C81642" w:rsidP="00C81642">
      <w:pPr>
        <w:pStyle w:val="NoSpacing"/>
        <w:rPr>
          <w:rFonts w:ascii="Times New Roman" w:hAnsi="Times New Roman"/>
          <w:sz w:val="24"/>
          <w:szCs w:val="24"/>
        </w:rPr>
      </w:pPr>
    </w:p>
    <w:p w14:paraId="08FC01F7" w14:textId="77777777" w:rsidR="00C81642" w:rsidRPr="00C81642" w:rsidRDefault="00C81642" w:rsidP="00C81642">
      <w:pPr>
        <w:pStyle w:val="NoSpacing"/>
        <w:ind w:left="720"/>
        <w:rPr>
          <w:rFonts w:ascii="Times New Roman" w:hAnsi="Times New Roman"/>
          <w:sz w:val="24"/>
          <w:szCs w:val="24"/>
        </w:rPr>
      </w:pPr>
      <w:r w:rsidRPr="00C81642">
        <w:rPr>
          <w:rFonts w:ascii="Times New Roman" w:hAnsi="Times New Roman"/>
          <w:sz w:val="24"/>
          <w:szCs w:val="24"/>
        </w:rPr>
        <w:t>“The judge had no obligation to take Browder's testimony, as the administrative agency is the sole finder of fact and judicial review is based on the administrative record. See Curtis v. Commissioner of the Div. of Unemployment Assistance, 68 Mass. App. Ct. 516, 519 (2007). Live testimony is not necessary where the claims of irregularities in the agency procedure can be decided on the record.”</w:t>
      </w:r>
    </w:p>
    <w:p w14:paraId="46E40346" w14:textId="77777777" w:rsidR="00C81642" w:rsidRPr="00C81642" w:rsidRDefault="00C81642" w:rsidP="00C81642">
      <w:pPr>
        <w:pStyle w:val="NoSpacing"/>
        <w:rPr>
          <w:rFonts w:ascii="Times New Roman" w:hAnsi="Times New Roman"/>
          <w:sz w:val="24"/>
          <w:szCs w:val="24"/>
        </w:rPr>
      </w:pPr>
    </w:p>
    <w:p w14:paraId="7BBB6E83" w14:textId="77777777" w:rsidR="00C81642" w:rsidRPr="00C81642" w:rsidRDefault="00C81642" w:rsidP="00C81642">
      <w:pPr>
        <w:pStyle w:val="NoSpacing"/>
        <w:ind w:left="720"/>
        <w:rPr>
          <w:rFonts w:ascii="Times New Roman" w:hAnsi="Times New Roman"/>
          <w:sz w:val="24"/>
          <w:szCs w:val="24"/>
        </w:rPr>
      </w:pPr>
    </w:p>
    <w:p w14:paraId="608B8821" w14:textId="77777777" w:rsidR="00C81642" w:rsidRPr="00C81642" w:rsidRDefault="00C81642" w:rsidP="00C81642">
      <w:pPr>
        <w:pStyle w:val="NoSpacing"/>
        <w:rPr>
          <w:rFonts w:ascii="Times New Roman" w:hAnsi="Times New Roman"/>
          <w:b/>
          <w:bCs/>
          <w:sz w:val="24"/>
          <w:szCs w:val="24"/>
        </w:rPr>
      </w:pPr>
      <w:r w:rsidRPr="00C81642">
        <w:rPr>
          <w:rFonts w:ascii="Times New Roman" w:hAnsi="Times New Roman"/>
          <w:b/>
          <w:bCs/>
          <w:sz w:val="24"/>
          <w:szCs w:val="24"/>
        </w:rPr>
        <w:t xml:space="preserve">Legal Lesson Learned:  Unemployment denied for failure to comply with COVID safety precautions. </w:t>
      </w:r>
    </w:p>
    <w:p w14:paraId="63F25398" w14:textId="77777777" w:rsidR="00C81642" w:rsidRDefault="00C81642" w:rsidP="00C81642">
      <w:pPr>
        <w:pStyle w:val="NoSpacing"/>
        <w:rPr>
          <w:szCs w:val="24"/>
        </w:rPr>
      </w:pPr>
    </w:p>
    <w:p w14:paraId="56D0DD75" w14:textId="77777777" w:rsidR="003F2075" w:rsidRDefault="003F2075" w:rsidP="006C4AD8">
      <w:pPr>
        <w:pStyle w:val="NormalWeb"/>
        <w:spacing w:before="0" w:beforeAutospacing="0"/>
        <w:rPr>
          <w:rFonts w:ascii="Arial Black" w:hAnsi="Arial Black"/>
          <w:b/>
          <w:bCs/>
          <w:color w:val="454545"/>
          <w:sz w:val="28"/>
          <w:szCs w:val="28"/>
          <w:shd w:val="clear" w:color="auto" w:fill="FFFFFF"/>
        </w:rPr>
      </w:pPr>
    </w:p>
    <w:p w14:paraId="5E37FC36" w14:textId="5D974DE5" w:rsidR="004F15A5" w:rsidRDefault="004F15A5"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5</w:t>
      </w:r>
    </w:p>
    <w:p w14:paraId="2A191D1D" w14:textId="77777777" w:rsidR="004B21EA" w:rsidRPr="00F5128A" w:rsidRDefault="004B21EA" w:rsidP="004B21EA">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IL: FF LINE-OF-DUTY KNEE INJURY – 6 YRS LITIGATION – GETS HEALTH INSURANCE – REIMBURSED PRIVATE PAY</w:t>
      </w:r>
    </w:p>
    <w:p w14:paraId="207EA74C" w14:textId="77777777" w:rsidR="004B21EA" w:rsidRDefault="004B21EA" w:rsidP="004B21EA">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On July 29, 2024, in </w:t>
      </w:r>
      <w:r w:rsidRPr="00C81CE6">
        <w:rPr>
          <w:rFonts w:ascii="Times New Roman" w:hAnsi="Times New Roman"/>
          <w:sz w:val="24"/>
          <w:szCs w:val="24"/>
          <w:u w:val="single"/>
          <w:shd w:val="clear" w:color="auto" w:fill="FFFFFF"/>
        </w:rPr>
        <w:t xml:space="preserve">Benno </w:t>
      </w:r>
      <w:proofErr w:type="spellStart"/>
      <w:r w:rsidRPr="00C81CE6">
        <w:rPr>
          <w:rFonts w:ascii="Times New Roman" w:hAnsi="Times New Roman"/>
          <w:sz w:val="24"/>
          <w:szCs w:val="24"/>
          <w:u w:val="single"/>
          <w:shd w:val="clear" w:color="auto" w:fill="FFFFFF"/>
        </w:rPr>
        <w:t>Ceyer</w:t>
      </w:r>
      <w:proofErr w:type="spellEnd"/>
      <w:r w:rsidRPr="00C81CE6">
        <w:rPr>
          <w:rFonts w:ascii="Times New Roman" w:hAnsi="Times New Roman"/>
          <w:sz w:val="24"/>
          <w:szCs w:val="24"/>
          <w:u w:val="single"/>
          <w:shd w:val="clear" w:color="auto" w:fill="FFFFFF"/>
        </w:rPr>
        <w:t>, et al. v. The City of Berwyn</w:t>
      </w:r>
      <w:r>
        <w:rPr>
          <w:rFonts w:ascii="Times New Roman" w:hAnsi="Times New Roman"/>
          <w:sz w:val="24"/>
          <w:szCs w:val="24"/>
          <w:shd w:val="clear" w:color="auto" w:fill="FFFFFF"/>
        </w:rPr>
        <w:t xml:space="preserve">, the Court of Appeals of Illinois, First District, First Division, held (3 to 0) that the FF is entitled to reimbursement for the private insurance costs he purchased (Oct. 11, 2008 – Feb. 15, 2015), when the city’s Pension Fund denied his disability claim. </w:t>
      </w:r>
      <w:r w:rsidRPr="003E3404">
        <w:rPr>
          <w:rFonts w:ascii="Times New Roman" w:hAnsi="Times New Roman"/>
          <w:sz w:val="24"/>
          <w:szCs w:val="24"/>
          <w:shd w:val="clear" w:color="auto" w:fill="FFFFFF"/>
        </w:rPr>
        <w:t xml:space="preserve">Under section 10 of the </w:t>
      </w:r>
      <w:r>
        <w:rPr>
          <w:rFonts w:ascii="Times New Roman" w:hAnsi="Times New Roman"/>
          <w:sz w:val="24"/>
          <w:szCs w:val="24"/>
          <w:shd w:val="clear" w:color="auto" w:fill="FFFFFF"/>
        </w:rPr>
        <w:t xml:space="preserve">state’s </w:t>
      </w:r>
      <w:r w:rsidRPr="003E3404">
        <w:rPr>
          <w:rFonts w:ascii="Times New Roman" w:hAnsi="Times New Roman"/>
          <w:sz w:val="24"/>
          <w:szCs w:val="24"/>
          <w:shd w:val="clear" w:color="auto" w:fill="FFFFFF"/>
        </w:rPr>
        <w:t>Public Safety Employee Benefits Act (Act) (820 ILCS 320/10</w:t>
      </w:r>
      <w:r>
        <w:rPr>
          <w:rFonts w:ascii="Times New Roman" w:hAnsi="Times New Roman"/>
          <w:sz w:val="24"/>
          <w:szCs w:val="24"/>
          <w:shd w:val="clear" w:color="auto" w:fill="FFFFFF"/>
        </w:rPr>
        <w:t xml:space="preserve"> </w:t>
      </w:r>
      <w:r w:rsidRPr="003E3404">
        <w:rPr>
          <w:rFonts w:ascii="Times New Roman" w:hAnsi="Times New Roman"/>
          <w:sz w:val="24"/>
          <w:szCs w:val="24"/>
          <w:shd w:val="clear" w:color="auto" w:fill="FFFFFF"/>
        </w:rPr>
        <w:t>(West 2018)), firefighters who suffer a catastrophic injur</w:t>
      </w:r>
      <w:r>
        <w:rPr>
          <w:rFonts w:ascii="Times New Roman" w:hAnsi="Times New Roman"/>
          <w:sz w:val="24"/>
          <w:szCs w:val="24"/>
          <w:shd w:val="clear" w:color="auto" w:fill="FFFFFF"/>
        </w:rPr>
        <w:t>y</w:t>
      </w:r>
      <w:r w:rsidRPr="003E3404">
        <w:rPr>
          <w:rFonts w:ascii="Times New Roman" w:hAnsi="Times New Roman"/>
          <w:sz w:val="24"/>
          <w:szCs w:val="24"/>
          <w:shd w:val="clear" w:color="auto" w:fill="FFFFFF"/>
        </w:rPr>
        <w:t xml:space="preserve"> in responding to an emergency are</w:t>
      </w:r>
      <w:r>
        <w:rPr>
          <w:rFonts w:ascii="Times New Roman" w:hAnsi="Times New Roman"/>
          <w:sz w:val="24"/>
          <w:szCs w:val="24"/>
          <w:shd w:val="clear" w:color="auto" w:fill="FFFFFF"/>
        </w:rPr>
        <w:t xml:space="preserve"> </w:t>
      </w:r>
      <w:r w:rsidRPr="003E3404">
        <w:rPr>
          <w:rFonts w:ascii="Times New Roman" w:hAnsi="Times New Roman"/>
          <w:sz w:val="24"/>
          <w:szCs w:val="24"/>
          <w:shd w:val="clear" w:color="auto" w:fill="FFFFFF"/>
        </w:rPr>
        <w:t xml:space="preserve">entitled to payment of health insurance premiums by their employer. </w:t>
      </w:r>
      <w:r>
        <w:rPr>
          <w:rFonts w:ascii="Times New Roman" w:hAnsi="Times New Roman"/>
          <w:sz w:val="24"/>
          <w:szCs w:val="24"/>
          <w:shd w:val="clear" w:color="auto" w:fill="FFFFFF"/>
        </w:rPr>
        <w:t xml:space="preserve">When the city Pension Fund initially denied him coverage.  The Trial Court judge found that the Pension Fund hearing officer, instead of being “neutral” hearing officer, was also an attorney for the Fund.  The retired FF opened his own business, </w:t>
      </w:r>
      <w:r w:rsidRPr="008C7351">
        <w:rPr>
          <w:rFonts w:ascii="Times New Roman" w:hAnsi="Times New Roman"/>
          <w:sz w:val="24"/>
          <w:szCs w:val="24"/>
          <w:shd w:val="clear" w:color="auto" w:fill="FFFFFF"/>
        </w:rPr>
        <w:t>Weimer Machine (WM)</w:t>
      </w:r>
      <w:r>
        <w:rPr>
          <w:rFonts w:ascii="Times New Roman" w:hAnsi="Times New Roman"/>
          <w:sz w:val="24"/>
          <w:szCs w:val="24"/>
          <w:shd w:val="clear" w:color="auto" w:fill="FFFFFF"/>
        </w:rPr>
        <w:t xml:space="preserve">, which reimbursed health insurance for his two employees; he had no obligation to have the company reimburse himself, and from 2008 – 2015 he purchased his own private insurance. </w:t>
      </w:r>
      <w:hyperlink r:id="rId1075" w:history="1">
        <w:r w:rsidRPr="0013187C">
          <w:rPr>
            <w:rStyle w:val="Hyperlink"/>
            <w:rFonts w:ascii="Times New Roman" w:hAnsi="Times New Roman"/>
            <w:sz w:val="24"/>
            <w:szCs w:val="24"/>
            <w:shd w:val="clear" w:color="auto" w:fill="FFFFFF"/>
          </w:rPr>
          <w:t>https://ilcourtsaudio.blob.core.windows.net/antilles-resources/resources/b3c62d52-1215-4e2d-8145-22ad48aed626/Ceyer%20v.%20City%20of%20Berwyn,%202024%20IL%20App%20(1st)%20231538.pdf</w:t>
        </w:r>
      </w:hyperlink>
      <w:r>
        <w:rPr>
          <w:rFonts w:ascii="Times New Roman" w:hAnsi="Times New Roman"/>
          <w:sz w:val="24"/>
          <w:szCs w:val="24"/>
          <w:shd w:val="clear" w:color="auto" w:fill="FFFFFF"/>
        </w:rPr>
        <w:t xml:space="preserve"> </w:t>
      </w:r>
    </w:p>
    <w:p w14:paraId="35E4C635" w14:textId="77777777" w:rsidR="004B21EA" w:rsidRDefault="004B21EA" w:rsidP="004B21EA">
      <w:pPr>
        <w:pStyle w:val="NoSpacing"/>
        <w:rPr>
          <w:rFonts w:ascii="Times New Roman" w:hAnsi="Times New Roman"/>
          <w:sz w:val="24"/>
          <w:szCs w:val="24"/>
          <w:shd w:val="clear" w:color="auto" w:fill="FFFFFF"/>
        </w:rPr>
      </w:pPr>
    </w:p>
    <w:p w14:paraId="2494B08E" w14:textId="77777777" w:rsidR="004B21EA" w:rsidRDefault="004B21EA" w:rsidP="004B21EA">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7745EE21" w14:textId="77777777" w:rsidR="004B21EA" w:rsidRDefault="004B21EA" w:rsidP="004B21EA">
      <w:pPr>
        <w:pStyle w:val="NoSpacing"/>
        <w:rPr>
          <w:rFonts w:ascii="Times New Roman" w:hAnsi="Times New Roman"/>
          <w:sz w:val="24"/>
          <w:szCs w:val="24"/>
          <w:shd w:val="clear" w:color="auto" w:fill="FFFFFF"/>
        </w:rPr>
      </w:pPr>
    </w:p>
    <w:p w14:paraId="50CD712E" w14:textId="77777777" w:rsidR="004B21EA" w:rsidRPr="00E37A14" w:rsidRDefault="004B21EA" w:rsidP="004B21EA">
      <w:pPr>
        <w:pStyle w:val="NoSpacing"/>
        <w:ind w:firstLine="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E37A14">
        <w:rPr>
          <w:rFonts w:ascii="Times New Roman" w:hAnsi="Times New Roman"/>
          <w:sz w:val="24"/>
          <w:szCs w:val="24"/>
          <w:shd w:val="clear" w:color="auto" w:fill="FFFFFF"/>
        </w:rPr>
        <w:t xml:space="preserve">The record reflects that, at all relevant times, </w:t>
      </w:r>
      <w:proofErr w:type="spellStart"/>
      <w:r w:rsidRPr="00E37A14">
        <w:rPr>
          <w:rFonts w:ascii="Times New Roman" w:hAnsi="Times New Roman"/>
          <w:sz w:val="24"/>
          <w:szCs w:val="24"/>
          <w:shd w:val="clear" w:color="auto" w:fill="FFFFFF"/>
        </w:rPr>
        <w:t>Ceyer</w:t>
      </w:r>
      <w:proofErr w:type="spellEnd"/>
      <w:r w:rsidRPr="00E37A14">
        <w:rPr>
          <w:rFonts w:ascii="Times New Roman" w:hAnsi="Times New Roman"/>
          <w:sz w:val="24"/>
          <w:szCs w:val="24"/>
          <w:shd w:val="clear" w:color="auto" w:fill="FFFFFF"/>
        </w:rPr>
        <w:t xml:space="preserve"> has been covered under the City’s</w:t>
      </w:r>
    </w:p>
    <w:p w14:paraId="747BE207" w14:textId="77777777" w:rsidR="004B21EA" w:rsidRDefault="004B21EA" w:rsidP="004B21EA">
      <w:pPr>
        <w:pStyle w:val="NoSpacing"/>
        <w:ind w:left="720"/>
        <w:rPr>
          <w:rFonts w:ascii="Times New Roman" w:hAnsi="Times New Roman"/>
          <w:sz w:val="24"/>
          <w:szCs w:val="24"/>
          <w:shd w:val="clear" w:color="auto" w:fill="FFFFFF"/>
        </w:rPr>
      </w:pPr>
      <w:r w:rsidRPr="00E37A14">
        <w:rPr>
          <w:rFonts w:ascii="Times New Roman" w:hAnsi="Times New Roman"/>
          <w:sz w:val="24"/>
          <w:szCs w:val="24"/>
          <w:shd w:val="clear" w:color="auto" w:fill="FFFFFF"/>
        </w:rPr>
        <w:t>group health insurance plan. He paid his own premiums from September 2008 to May 2015,</w:t>
      </w:r>
      <w:r>
        <w:rPr>
          <w:rFonts w:ascii="Times New Roman" w:hAnsi="Times New Roman"/>
          <w:sz w:val="24"/>
          <w:szCs w:val="24"/>
          <w:shd w:val="clear" w:color="auto" w:fill="FFFFFF"/>
        </w:rPr>
        <w:t xml:space="preserve"> </w:t>
      </w:r>
      <w:r w:rsidRPr="00E37A14">
        <w:rPr>
          <w:rFonts w:ascii="Times New Roman" w:hAnsi="Times New Roman"/>
          <w:sz w:val="24"/>
          <w:szCs w:val="24"/>
          <w:shd w:val="clear" w:color="auto" w:fill="FFFFFF"/>
        </w:rPr>
        <w:t xml:space="preserve">after which the </w:t>
      </w:r>
      <w:proofErr w:type="gramStart"/>
      <w:r w:rsidRPr="00E37A14">
        <w:rPr>
          <w:rFonts w:ascii="Times New Roman" w:hAnsi="Times New Roman"/>
          <w:sz w:val="24"/>
          <w:szCs w:val="24"/>
          <w:shd w:val="clear" w:color="auto" w:fill="FFFFFF"/>
        </w:rPr>
        <w:t>City</w:t>
      </w:r>
      <w:proofErr w:type="gramEnd"/>
      <w:r w:rsidRPr="00E37A14">
        <w:rPr>
          <w:rFonts w:ascii="Times New Roman" w:hAnsi="Times New Roman"/>
          <w:sz w:val="24"/>
          <w:szCs w:val="24"/>
          <w:shd w:val="clear" w:color="auto" w:fill="FFFFFF"/>
        </w:rPr>
        <w:t xml:space="preserve"> commenced making payments under the Act. At no time did </w:t>
      </w:r>
      <w:proofErr w:type="spellStart"/>
      <w:r w:rsidRPr="00E37A14">
        <w:rPr>
          <w:rFonts w:ascii="Times New Roman" w:hAnsi="Times New Roman"/>
          <w:sz w:val="24"/>
          <w:szCs w:val="24"/>
          <w:shd w:val="clear" w:color="auto" w:fill="FFFFFF"/>
        </w:rPr>
        <w:t>Ceyer</w:t>
      </w:r>
      <w:proofErr w:type="spellEnd"/>
      <w:r w:rsidRPr="00E37A14">
        <w:rPr>
          <w:rFonts w:ascii="Times New Roman" w:hAnsi="Times New Roman"/>
          <w:sz w:val="24"/>
          <w:szCs w:val="24"/>
          <w:shd w:val="clear" w:color="auto" w:fill="FFFFFF"/>
        </w:rPr>
        <w:t xml:space="preserve"> receive</w:t>
      </w:r>
      <w:r>
        <w:rPr>
          <w:rFonts w:ascii="Times New Roman" w:hAnsi="Times New Roman"/>
          <w:sz w:val="24"/>
          <w:szCs w:val="24"/>
          <w:shd w:val="clear" w:color="auto" w:fill="FFFFFF"/>
        </w:rPr>
        <w:t xml:space="preserve"> </w:t>
      </w:r>
      <w:r w:rsidRPr="00E37A14">
        <w:rPr>
          <w:rFonts w:ascii="Times New Roman" w:hAnsi="Times New Roman"/>
          <w:sz w:val="24"/>
          <w:szCs w:val="24"/>
          <w:shd w:val="clear" w:color="auto" w:fill="FFFFFF"/>
        </w:rPr>
        <w:t>health insurance through WM, nor did he receive reimbursement from WM for the cost of the</w:t>
      </w:r>
      <w:r>
        <w:rPr>
          <w:rFonts w:ascii="Times New Roman" w:hAnsi="Times New Roman"/>
          <w:sz w:val="24"/>
          <w:szCs w:val="24"/>
          <w:shd w:val="clear" w:color="auto" w:fill="FFFFFF"/>
        </w:rPr>
        <w:t xml:space="preserve"> </w:t>
      </w:r>
      <w:r w:rsidRPr="00E37A14">
        <w:rPr>
          <w:rFonts w:ascii="Times New Roman" w:hAnsi="Times New Roman"/>
          <w:sz w:val="24"/>
          <w:szCs w:val="24"/>
          <w:shd w:val="clear" w:color="auto" w:fill="FFFFFF"/>
        </w:rPr>
        <w:t xml:space="preserve">premiums that he paid. The City nevertheless argues that </w:t>
      </w:r>
      <w:proofErr w:type="spellStart"/>
      <w:r w:rsidRPr="00E37A14">
        <w:rPr>
          <w:rFonts w:ascii="Times New Roman" w:hAnsi="Times New Roman"/>
          <w:sz w:val="24"/>
          <w:szCs w:val="24"/>
          <w:shd w:val="clear" w:color="auto" w:fill="FFFFFF"/>
        </w:rPr>
        <w:t>Ceyer</w:t>
      </w:r>
      <w:proofErr w:type="spellEnd"/>
      <w:r w:rsidRPr="00E37A14">
        <w:rPr>
          <w:rFonts w:ascii="Times New Roman" w:hAnsi="Times New Roman"/>
          <w:sz w:val="24"/>
          <w:szCs w:val="24"/>
          <w:shd w:val="clear" w:color="auto" w:fill="FFFFFF"/>
        </w:rPr>
        <w:t xml:space="preserve"> had </w:t>
      </w:r>
      <w:r>
        <w:rPr>
          <w:rFonts w:ascii="Times New Roman" w:hAnsi="Times New Roman"/>
          <w:sz w:val="24"/>
          <w:szCs w:val="24"/>
          <w:shd w:val="clear" w:color="auto" w:fill="FFFFFF"/>
        </w:rPr>
        <w:t>‘</w:t>
      </w:r>
      <w:r w:rsidRPr="00E37A14">
        <w:rPr>
          <w:rFonts w:ascii="Times New Roman" w:hAnsi="Times New Roman"/>
          <w:sz w:val="24"/>
          <w:szCs w:val="24"/>
          <w:shd w:val="clear" w:color="auto" w:fill="FFFFFF"/>
        </w:rPr>
        <w:t>access to health insurance</w:t>
      </w:r>
      <w:r>
        <w:rPr>
          <w:rFonts w:ascii="Times New Roman" w:hAnsi="Times New Roman"/>
          <w:sz w:val="24"/>
          <w:szCs w:val="24"/>
          <w:shd w:val="clear" w:color="auto" w:fill="FFFFFF"/>
        </w:rPr>
        <w:t xml:space="preserve"> </w:t>
      </w:r>
      <w:r w:rsidRPr="00E37A14">
        <w:rPr>
          <w:rFonts w:ascii="Times New Roman" w:hAnsi="Times New Roman"/>
          <w:sz w:val="24"/>
          <w:szCs w:val="24"/>
          <w:shd w:val="clear" w:color="auto" w:fill="FFFFFF"/>
        </w:rPr>
        <w:t>through [his] employer</w:t>
      </w:r>
      <w:r>
        <w:rPr>
          <w:rFonts w:ascii="Times New Roman" w:hAnsi="Times New Roman"/>
          <w:sz w:val="24"/>
          <w:szCs w:val="24"/>
          <w:shd w:val="clear" w:color="auto" w:fill="FFFFFF"/>
        </w:rPr>
        <w:t>’</w:t>
      </w:r>
      <w:r w:rsidRPr="00E37A14">
        <w:rPr>
          <w:rFonts w:ascii="Times New Roman" w:hAnsi="Times New Roman"/>
          <w:sz w:val="24"/>
          <w:szCs w:val="24"/>
          <w:shd w:val="clear" w:color="auto" w:fill="FFFFFF"/>
        </w:rPr>
        <w:t xml:space="preserve"> because WM paid health insurance premiums for two of its employees,</w:t>
      </w:r>
      <w:r>
        <w:rPr>
          <w:rFonts w:ascii="Times New Roman" w:hAnsi="Times New Roman"/>
          <w:sz w:val="24"/>
          <w:szCs w:val="24"/>
          <w:shd w:val="clear" w:color="auto" w:fill="FFFFFF"/>
        </w:rPr>
        <w:t xml:space="preserve"> </w:t>
      </w:r>
      <w:r w:rsidRPr="00E37A14">
        <w:rPr>
          <w:rFonts w:ascii="Times New Roman" w:hAnsi="Times New Roman"/>
          <w:sz w:val="24"/>
          <w:szCs w:val="24"/>
          <w:shd w:val="clear" w:color="auto" w:fill="FFFFFF"/>
        </w:rPr>
        <w:t xml:space="preserve">Pietraszewski and Rausch, and could therefore theoretically have done the same for </w:t>
      </w:r>
      <w:proofErr w:type="spellStart"/>
      <w:r w:rsidRPr="00E37A14">
        <w:rPr>
          <w:rFonts w:ascii="Times New Roman" w:hAnsi="Times New Roman"/>
          <w:sz w:val="24"/>
          <w:szCs w:val="24"/>
          <w:shd w:val="clear" w:color="auto" w:fill="FFFFFF"/>
        </w:rPr>
        <w:t>Ceyer</w:t>
      </w:r>
      <w:proofErr w:type="spellEnd"/>
      <w:r w:rsidRPr="00E37A14">
        <w:rPr>
          <w:rFonts w:ascii="Times New Roman" w:hAnsi="Times New Roman"/>
          <w:sz w:val="24"/>
          <w:szCs w:val="24"/>
          <w:shd w:val="clear" w:color="auto" w:fill="FFFFFF"/>
        </w:rPr>
        <w:t>.</w:t>
      </w:r>
    </w:p>
    <w:p w14:paraId="4F9B0B19" w14:textId="77777777" w:rsidR="004B21EA" w:rsidRDefault="004B21EA" w:rsidP="004B21EA">
      <w:pPr>
        <w:pStyle w:val="NoSpacing"/>
        <w:rPr>
          <w:rFonts w:ascii="Times New Roman" w:hAnsi="Times New Roman"/>
          <w:sz w:val="24"/>
          <w:szCs w:val="24"/>
          <w:shd w:val="clear" w:color="auto" w:fill="FFFFFF"/>
        </w:rPr>
      </w:pPr>
    </w:p>
    <w:p w14:paraId="0A058EEF" w14:textId="77777777" w:rsidR="004B21EA" w:rsidRPr="00B33896" w:rsidRDefault="004B21EA" w:rsidP="004B21EA">
      <w:pPr>
        <w:pStyle w:val="NoSpacing"/>
        <w:ind w:firstLine="720"/>
        <w:rPr>
          <w:rFonts w:ascii="Times New Roman" w:hAnsi="Times New Roman"/>
          <w:sz w:val="24"/>
          <w:szCs w:val="24"/>
          <w:shd w:val="clear" w:color="auto" w:fill="FFFFFF"/>
        </w:rPr>
      </w:pPr>
      <w:r>
        <w:rPr>
          <w:rFonts w:ascii="Times New Roman" w:hAnsi="Times New Roman"/>
          <w:sz w:val="24"/>
          <w:szCs w:val="24"/>
          <w:shd w:val="clear" w:color="auto" w:fill="FFFFFF"/>
        </w:rPr>
        <w:t>W</w:t>
      </w:r>
      <w:r w:rsidRPr="00B33896">
        <w:rPr>
          <w:rFonts w:ascii="Times New Roman" w:hAnsi="Times New Roman"/>
          <w:sz w:val="24"/>
          <w:szCs w:val="24"/>
          <w:shd w:val="clear" w:color="auto" w:fill="FFFFFF"/>
        </w:rPr>
        <w:t xml:space="preserve">e disagree. As the trial court aptly </w:t>
      </w:r>
      <w:proofErr w:type="gramStart"/>
      <w:r w:rsidRPr="00B33896">
        <w:rPr>
          <w:rFonts w:ascii="Times New Roman" w:hAnsi="Times New Roman"/>
          <w:sz w:val="24"/>
          <w:szCs w:val="24"/>
          <w:shd w:val="clear" w:color="auto" w:fill="FFFFFF"/>
        </w:rPr>
        <w:t xml:space="preserve">stated, </w:t>
      </w:r>
      <w:r>
        <w:rPr>
          <w:rFonts w:ascii="Times New Roman" w:hAnsi="Times New Roman"/>
          <w:sz w:val="24"/>
          <w:szCs w:val="24"/>
          <w:shd w:val="clear" w:color="auto" w:fill="FFFFFF"/>
        </w:rPr>
        <w:t>‘</w:t>
      </w:r>
      <w:proofErr w:type="gramEnd"/>
      <w:r w:rsidRPr="00B33896">
        <w:rPr>
          <w:rFonts w:ascii="Times New Roman" w:hAnsi="Times New Roman"/>
          <w:sz w:val="24"/>
          <w:szCs w:val="24"/>
          <w:shd w:val="clear" w:color="auto" w:fill="FFFFFF"/>
        </w:rPr>
        <w:t xml:space="preserve">to find that </w:t>
      </w:r>
      <w:r>
        <w:rPr>
          <w:rFonts w:ascii="Times New Roman" w:hAnsi="Times New Roman"/>
          <w:sz w:val="24"/>
          <w:szCs w:val="24"/>
          <w:shd w:val="clear" w:color="auto" w:fill="FFFFFF"/>
        </w:rPr>
        <w:t>‘</w:t>
      </w:r>
      <w:r w:rsidRPr="00B33896">
        <w:rPr>
          <w:rFonts w:ascii="Times New Roman" w:hAnsi="Times New Roman"/>
          <w:sz w:val="24"/>
          <w:szCs w:val="24"/>
          <w:shd w:val="clear" w:color="auto" w:fill="FFFFFF"/>
        </w:rPr>
        <w:t>payable from any other source</w:t>
      </w:r>
      <w:r>
        <w:rPr>
          <w:rFonts w:ascii="Times New Roman" w:hAnsi="Times New Roman"/>
          <w:sz w:val="24"/>
          <w:szCs w:val="24"/>
          <w:shd w:val="clear" w:color="auto" w:fill="FFFFFF"/>
        </w:rPr>
        <w:t>’</w:t>
      </w:r>
    </w:p>
    <w:p w14:paraId="124919EE" w14:textId="77777777" w:rsidR="004B21EA" w:rsidRPr="00D6540F" w:rsidRDefault="004B21EA" w:rsidP="004B21EA">
      <w:pPr>
        <w:pStyle w:val="NoSpacing"/>
        <w:ind w:left="720"/>
        <w:rPr>
          <w:rFonts w:ascii="Times New Roman" w:hAnsi="Times New Roman"/>
          <w:sz w:val="24"/>
          <w:szCs w:val="24"/>
          <w:shd w:val="clear" w:color="auto" w:fill="FFFFFF"/>
        </w:rPr>
      </w:pPr>
      <w:r w:rsidRPr="00B33896">
        <w:rPr>
          <w:rFonts w:ascii="Times New Roman" w:hAnsi="Times New Roman"/>
          <w:sz w:val="24"/>
          <w:szCs w:val="24"/>
          <w:shd w:val="clear" w:color="auto" w:fill="FFFFFF"/>
        </w:rPr>
        <w:t>under [the Act] includes a beneficiary’s individual capacity to go buy themselves insurance</w:t>
      </w:r>
      <w:r>
        <w:rPr>
          <w:rFonts w:ascii="Times New Roman" w:hAnsi="Times New Roman"/>
          <w:sz w:val="24"/>
          <w:szCs w:val="24"/>
          <w:shd w:val="clear" w:color="auto" w:fill="FFFFFF"/>
        </w:rPr>
        <w:t xml:space="preserve"> </w:t>
      </w:r>
      <w:r w:rsidRPr="00FF07E8">
        <w:rPr>
          <w:rFonts w:ascii="Times New Roman" w:hAnsi="Times New Roman"/>
          <w:sz w:val="24"/>
          <w:szCs w:val="24"/>
          <w:shd w:val="clear" w:color="auto" w:fill="FFFFFF"/>
        </w:rPr>
        <w:t>would be inconsistent with the purpose of [the Act].</w:t>
      </w:r>
      <w:r>
        <w:rPr>
          <w:rFonts w:ascii="Times New Roman" w:hAnsi="Times New Roman"/>
          <w:sz w:val="24"/>
          <w:szCs w:val="24"/>
          <w:shd w:val="clear" w:color="auto" w:fill="FFFFFF"/>
        </w:rPr>
        <w:t>’</w:t>
      </w:r>
      <w:r w:rsidRPr="00FF07E8">
        <w:rPr>
          <w:rFonts w:ascii="Times New Roman" w:hAnsi="Times New Roman"/>
          <w:sz w:val="24"/>
          <w:szCs w:val="24"/>
          <w:shd w:val="clear" w:color="auto" w:fill="FFFFFF"/>
        </w:rPr>
        <w:t xml:space="preserve"> Indeed, such an interpretation would</w:t>
      </w:r>
      <w:r>
        <w:rPr>
          <w:rFonts w:ascii="Times New Roman" w:hAnsi="Times New Roman"/>
          <w:sz w:val="24"/>
          <w:szCs w:val="24"/>
          <w:shd w:val="clear" w:color="auto" w:fill="FFFFFF"/>
        </w:rPr>
        <w:t xml:space="preserve"> </w:t>
      </w:r>
      <w:r w:rsidRPr="00FF07E8">
        <w:rPr>
          <w:rFonts w:ascii="Times New Roman" w:hAnsi="Times New Roman"/>
          <w:sz w:val="24"/>
          <w:szCs w:val="24"/>
          <w:shd w:val="clear" w:color="auto" w:fill="FFFFFF"/>
        </w:rPr>
        <w:t xml:space="preserve">entirely vitiate the statute. We will not interpret a statute </w:t>
      </w:r>
      <w:r>
        <w:rPr>
          <w:rFonts w:ascii="Times New Roman" w:hAnsi="Times New Roman"/>
          <w:sz w:val="24"/>
          <w:szCs w:val="24"/>
          <w:shd w:val="clear" w:color="auto" w:fill="FFFFFF"/>
        </w:rPr>
        <w:t>‘</w:t>
      </w:r>
      <w:r w:rsidRPr="00FF07E8">
        <w:rPr>
          <w:rFonts w:ascii="Times New Roman" w:hAnsi="Times New Roman"/>
          <w:sz w:val="24"/>
          <w:szCs w:val="24"/>
          <w:shd w:val="clear" w:color="auto" w:fill="FFFFFF"/>
        </w:rPr>
        <w:t>in a manner that makes [it]</w:t>
      </w:r>
      <w:r>
        <w:rPr>
          <w:rFonts w:ascii="Times New Roman" w:hAnsi="Times New Roman"/>
          <w:sz w:val="24"/>
          <w:szCs w:val="24"/>
          <w:shd w:val="clear" w:color="auto" w:fill="FFFFFF"/>
        </w:rPr>
        <w:t xml:space="preserve"> </w:t>
      </w:r>
      <w:r w:rsidRPr="00FF07E8">
        <w:rPr>
          <w:rFonts w:ascii="Times New Roman" w:hAnsi="Times New Roman"/>
          <w:sz w:val="24"/>
          <w:szCs w:val="24"/>
          <w:shd w:val="clear" w:color="auto" w:fill="FFFFFF"/>
        </w:rPr>
        <w:t>meaningless.</w:t>
      </w:r>
      <w:r>
        <w:rPr>
          <w:rFonts w:ascii="Times New Roman" w:hAnsi="Times New Roman"/>
          <w:sz w:val="24"/>
          <w:szCs w:val="24"/>
          <w:shd w:val="clear" w:color="auto" w:fill="FFFFFF"/>
        </w:rPr>
        <w:t>’</w:t>
      </w:r>
      <w:r w:rsidRPr="00FF07E8">
        <w:rPr>
          <w:rFonts w:ascii="Times New Roman" w:hAnsi="Times New Roman"/>
          <w:sz w:val="24"/>
          <w:szCs w:val="24"/>
          <w:shd w:val="clear" w:color="auto" w:fill="FFFFFF"/>
        </w:rPr>
        <w:t xml:space="preserve"> Boucher v. 111 East Chestnut Condominium </w:t>
      </w:r>
      <w:proofErr w:type="spellStart"/>
      <w:r w:rsidRPr="00FF07E8">
        <w:rPr>
          <w:rFonts w:ascii="Times New Roman" w:hAnsi="Times New Roman"/>
          <w:sz w:val="24"/>
          <w:szCs w:val="24"/>
          <w:shd w:val="clear" w:color="auto" w:fill="FFFFFF"/>
        </w:rPr>
        <w:t>Ass’n</w:t>
      </w:r>
      <w:proofErr w:type="spellEnd"/>
      <w:r w:rsidRPr="00FF07E8">
        <w:rPr>
          <w:rFonts w:ascii="Times New Roman" w:hAnsi="Times New Roman"/>
          <w:sz w:val="24"/>
          <w:szCs w:val="24"/>
          <w:shd w:val="clear" w:color="auto" w:fill="FFFFFF"/>
        </w:rPr>
        <w:t>, 2018 IL App (1st) 162233,¶ 18.</w:t>
      </w:r>
    </w:p>
    <w:p w14:paraId="566F128C" w14:textId="77777777" w:rsidR="004F15A5" w:rsidRDefault="004F15A5" w:rsidP="006C4AD8">
      <w:pPr>
        <w:pStyle w:val="NormalWeb"/>
        <w:spacing w:before="0" w:beforeAutospacing="0"/>
        <w:rPr>
          <w:rFonts w:ascii="Arial Black" w:hAnsi="Arial Black"/>
          <w:b/>
          <w:bCs/>
          <w:color w:val="454545"/>
          <w:sz w:val="28"/>
          <w:szCs w:val="28"/>
          <w:shd w:val="clear" w:color="auto" w:fill="FFFFFF"/>
        </w:rPr>
      </w:pPr>
    </w:p>
    <w:p w14:paraId="3B88B171" w14:textId="77777777" w:rsidR="00E16202" w:rsidRDefault="00E16202" w:rsidP="00E16202">
      <w:pPr>
        <w:pStyle w:val="NoSpacing"/>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Legal Lesson Learned: It is a shame to have 6 years of litigation to receive disability retirement health insurance. </w:t>
      </w:r>
    </w:p>
    <w:p w14:paraId="060C1B83" w14:textId="77777777" w:rsidR="00E16202" w:rsidRDefault="00E16202" w:rsidP="00E16202">
      <w:pPr>
        <w:pStyle w:val="NoSpacing"/>
        <w:rPr>
          <w:rFonts w:ascii="Times New Roman" w:hAnsi="Times New Roman"/>
          <w:b/>
          <w:bCs/>
          <w:sz w:val="24"/>
          <w:szCs w:val="24"/>
          <w:shd w:val="clear" w:color="auto" w:fill="FFFFFF"/>
        </w:rPr>
      </w:pPr>
    </w:p>
    <w:p w14:paraId="198833CE" w14:textId="77777777" w:rsidR="00E16202" w:rsidRDefault="00E16202" w:rsidP="00E16202">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 xml:space="preserve">Note: Under the State statute, he was entitled to free insurance for a line-of-duty injury. </w:t>
      </w:r>
    </w:p>
    <w:p w14:paraId="193816B1" w14:textId="77777777" w:rsidR="00E16202" w:rsidRPr="00C13929" w:rsidRDefault="00E16202" w:rsidP="00E16202">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[Footnote 1.] “</w:t>
      </w:r>
      <w:r w:rsidRPr="00C13929">
        <w:rPr>
          <w:rFonts w:ascii="Times New Roman" w:hAnsi="Times New Roman"/>
          <w:sz w:val="24"/>
          <w:szCs w:val="24"/>
          <w:shd w:val="clear" w:color="auto" w:fill="FFFFFF"/>
        </w:rPr>
        <w:t xml:space="preserve">A </w:t>
      </w:r>
      <w:r>
        <w:rPr>
          <w:rFonts w:ascii="Times New Roman" w:hAnsi="Times New Roman"/>
          <w:sz w:val="24"/>
          <w:szCs w:val="24"/>
          <w:shd w:val="clear" w:color="auto" w:fill="FFFFFF"/>
        </w:rPr>
        <w:t>‘</w:t>
      </w:r>
      <w:r w:rsidRPr="00C13929">
        <w:rPr>
          <w:rFonts w:ascii="Times New Roman" w:hAnsi="Times New Roman"/>
          <w:sz w:val="24"/>
          <w:szCs w:val="24"/>
          <w:shd w:val="clear" w:color="auto" w:fill="FFFFFF"/>
        </w:rPr>
        <w:t>catastrophic injury</w:t>
      </w:r>
      <w:r>
        <w:rPr>
          <w:rFonts w:ascii="Times New Roman" w:hAnsi="Times New Roman"/>
          <w:sz w:val="24"/>
          <w:szCs w:val="24"/>
          <w:shd w:val="clear" w:color="auto" w:fill="FFFFFF"/>
        </w:rPr>
        <w:t>’</w:t>
      </w:r>
      <w:r w:rsidRPr="00C13929">
        <w:rPr>
          <w:rFonts w:ascii="Times New Roman" w:hAnsi="Times New Roman"/>
          <w:sz w:val="24"/>
          <w:szCs w:val="24"/>
          <w:shd w:val="clear" w:color="auto" w:fill="FFFFFF"/>
        </w:rPr>
        <w:t xml:space="preserve"> is defined as </w:t>
      </w:r>
      <w:r>
        <w:rPr>
          <w:rFonts w:ascii="Times New Roman" w:hAnsi="Times New Roman"/>
          <w:sz w:val="24"/>
          <w:szCs w:val="24"/>
          <w:shd w:val="clear" w:color="auto" w:fill="FFFFFF"/>
        </w:rPr>
        <w:t>‘</w:t>
      </w:r>
      <w:r w:rsidRPr="00C13929">
        <w:rPr>
          <w:rFonts w:ascii="Times New Roman" w:hAnsi="Times New Roman"/>
          <w:sz w:val="24"/>
          <w:szCs w:val="24"/>
          <w:shd w:val="clear" w:color="auto" w:fill="FFFFFF"/>
        </w:rPr>
        <w:t>an injury resulting in a line-of-duty disability</w:t>
      </w:r>
      <w:r>
        <w:rPr>
          <w:rFonts w:ascii="Times New Roman" w:hAnsi="Times New Roman"/>
          <w:sz w:val="24"/>
          <w:szCs w:val="24"/>
          <w:shd w:val="clear" w:color="auto" w:fill="FFFFFF"/>
        </w:rPr>
        <w:t>’</w:t>
      </w:r>
      <w:r w:rsidRPr="00C13929">
        <w:rPr>
          <w:rFonts w:ascii="Times New Roman" w:hAnsi="Times New Roman"/>
          <w:sz w:val="24"/>
          <w:szCs w:val="24"/>
          <w:shd w:val="clear" w:color="auto" w:fill="FFFFFF"/>
        </w:rPr>
        <w:t xml:space="preserve"> under</w:t>
      </w:r>
      <w:r>
        <w:rPr>
          <w:rFonts w:ascii="Times New Roman" w:hAnsi="Times New Roman"/>
          <w:sz w:val="24"/>
          <w:szCs w:val="24"/>
          <w:shd w:val="clear" w:color="auto" w:fill="FFFFFF"/>
        </w:rPr>
        <w:t xml:space="preserve"> </w:t>
      </w:r>
      <w:r w:rsidRPr="00C13929">
        <w:rPr>
          <w:rFonts w:ascii="Times New Roman" w:hAnsi="Times New Roman"/>
          <w:sz w:val="24"/>
          <w:szCs w:val="24"/>
          <w:shd w:val="clear" w:color="auto" w:fill="FFFFFF"/>
        </w:rPr>
        <w:t>section 4-110 of the Illinois Pension Code (40 ILCS 5/4-110 (West 2000)). Krohe v. City of Bloomington,</w:t>
      </w:r>
      <w:r>
        <w:rPr>
          <w:rFonts w:ascii="Times New Roman" w:hAnsi="Times New Roman"/>
          <w:sz w:val="24"/>
          <w:szCs w:val="24"/>
          <w:shd w:val="clear" w:color="auto" w:fill="FFFFFF"/>
        </w:rPr>
        <w:t xml:space="preserve"> </w:t>
      </w:r>
      <w:r w:rsidRPr="00C13929">
        <w:rPr>
          <w:rFonts w:ascii="Times New Roman" w:hAnsi="Times New Roman"/>
          <w:sz w:val="24"/>
          <w:szCs w:val="24"/>
          <w:shd w:val="clear" w:color="auto" w:fill="FFFFFF"/>
        </w:rPr>
        <w:t>204 Ill. 2d 392, 400 (2003).</w:t>
      </w:r>
    </w:p>
    <w:p w14:paraId="32247426" w14:textId="77777777" w:rsidR="00E16202" w:rsidRDefault="00E16202" w:rsidP="006C4AD8">
      <w:pPr>
        <w:pStyle w:val="NormalWeb"/>
        <w:spacing w:before="0" w:beforeAutospacing="0"/>
        <w:rPr>
          <w:rFonts w:ascii="Arial Black" w:hAnsi="Arial Black"/>
          <w:b/>
          <w:bCs/>
          <w:color w:val="454545"/>
          <w:sz w:val="28"/>
          <w:szCs w:val="28"/>
          <w:shd w:val="clear" w:color="auto" w:fill="FFFFFF"/>
        </w:rPr>
      </w:pPr>
    </w:p>
    <w:p w14:paraId="6568EAA9" w14:textId="77777777" w:rsidR="004F15A5" w:rsidRDefault="004F15A5" w:rsidP="006C4AD8">
      <w:pPr>
        <w:pStyle w:val="NormalWeb"/>
        <w:spacing w:before="0" w:beforeAutospacing="0"/>
        <w:rPr>
          <w:rFonts w:ascii="Arial Black" w:hAnsi="Arial Black"/>
          <w:b/>
          <w:bCs/>
          <w:color w:val="454545"/>
          <w:sz w:val="28"/>
          <w:szCs w:val="28"/>
          <w:shd w:val="clear" w:color="auto" w:fill="FFFFFF"/>
        </w:rPr>
      </w:pPr>
    </w:p>
    <w:p w14:paraId="499DFDDE" w14:textId="707FABAB" w:rsidR="00562A25" w:rsidRDefault="00364F21"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4</w:t>
      </w:r>
    </w:p>
    <w:p w14:paraId="6D78F0FA" w14:textId="77777777" w:rsidR="00364F21" w:rsidRDefault="00364F21" w:rsidP="00364F21">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LA: NEW TIMEKEEPING SYSTEM – ALL FF REQUIRED FINGERPRINTS - UPHELD BY U.S. DISTRICT COURT</w:t>
      </w:r>
    </w:p>
    <w:p w14:paraId="53C1AAEB" w14:textId="77777777" w:rsidR="00364F21" w:rsidRPr="0071601A" w:rsidRDefault="00364F21" w:rsidP="00364F21">
      <w:pPr>
        <w:pStyle w:val="NormalWeb"/>
        <w:rPr>
          <w:shd w:val="clear" w:color="auto" w:fill="FFFFFF"/>
        </w:rPr>
      </w:pPr>
      <w:r w:rsidRPr="0071601A">
        <w:rPr>
          <w:color w:val="454545"/>
          <w:shd w:val="clear" w:color="auto" w:fill="FFFFFF"/>
        </w:rPr>
        <w:t xml:space="preserve">On July 22, 2024, in </w:t>
      </w:r>
      <w:proofErr w:type="spellStart"/>
      <w:r w:rsidRPr="0071601A">
        <w:rPr>
          <w:color w:val="454545"/>
          <w:u w:val="single"/>
          <w:shd w:val="clear" w:color="auto" w:fill="FFFFFF"/>
        </w:rPr>
        <w:t>Chistopher</w:t>
      </w:r>
      <w:proofErr w:type="spellEnd"/>
      <w:r w:rsidRPr="0071601A">
        <w:rPr>
          <w:color w:val="454545"/>
          <w:u w:val="single"/>
          <w:shd w:val="clear" w:color="auto" w:fill="FFFFFF"/>
        </w:rPr>
        <w:t xml:space="preserve"> Perre, et al. v. East Bank Consolidated Special Service Fire Protection Section</w:t>
      </w:r>
      <w:r w:rsidRPr="0071601A">
        <w:rPr>
          <w:color w:val="454545"/>
          <w:shd w:val="clear" w:color="auto" w:fill="FFFFFF"/>
        </w:rPr>
        <w:t>, five firefighters filed a lawsuit challenging new “</w:t>
      </w:r>
      <w:r w:rsidRPr="0071601A">
        <w:rPr>
          <w:shd w:val="clear" w:color="auto" w:fill="FFFFFF"/>
        </w:rPr>
        <w:t xml:space="preserve">Kronos” timekeeping security system where </w:t>
      </w:r>
      <w:r w:rsidRPr="0071601A">
        <w:rPr>
          <w:color w:val="454545"/>
          <w:shd w:val="clear" w:color="auto" w:fill="FFFFFF"/>
        </w:rPr>
        <w:t>their fingerprints must be taken.  U.S. District Court Judge Wendy B. Vitter, in a lengthy decision reviewing U.S. Supreme Court and lower court decisions, dismissed the lawsuit.  “</w:t>
      </w:r>
      <w:r w:rsidRPr="0071601A">
        <w:rPr>
          <w:shd w:val="clear" w:color="auto" w:fill="FFFFFF"/>
        </w:rPr>
        <w:t>However, even assuming such mandatory fingerprint collection qualifies as a Fourth Amendment search, Plaintiffs fail to show that the search was unreasonable… The intrusion undertaken by Defendants therefore satisfies the legitimate government interest in timekeeping and ensuring that public funds related to employee salaries are used for their intended purpose. The fingerprinting policy was justified at its inception.”</w:t>
      </w:r>
      <w:r w:rsidRPr="0071601A">
        <w:t xml:space="preserve"> </w:t>
      </w:r>
      <w:hyperlink r:id="rId1076" w:history="1">
        <w:r w:rsidRPr="0071601A">
          <w:rPr>
            <w:rStyle w:val="Hyperlink"/>
            <w:shd w:val="clear" w:color="auto" w:fill="FFFFFF"/>
          </w:rPr>
          <w:t>https://cases.justia.com/federal/district-courts/louisiana/laedce/2:2023cv00439/259406/50/0.pdf?ts=1721728516</w:t>
        </w:r>
      </w:hyperlink>
      <w:r w:rsidRPr="0071601A">
        <w:rPr>
          <w:shd w:val="clear" w:color="auto" w:fill="FFFFFF"/>
        </w:rPr>
        <w:t xml:space="preserve"> </w:t>
      </w:r>
    </w:p>
    <w:p w14:paraId="47C6DC34" w14:textId="77777777" w:rsidR="00364F21" w:rsidRDefault="00364F21" w:rsidP="00364F21">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32FA80C5" w14:textId="77777777" w:rsidR="00364F21" w:rsidRDefault="00364F21" w:rsidP="00364F21">
      <w:pPr>
        <w:pStyle w:val="NoSpacing"/>
        <w:rPr>
          <w:rFonts w:ascii="Times New Roman" w:hAnsi="Times New Roman"/>
          <w:sz w:val="24"/>
          <w:szCs w:val="24"/>
          <w:shd w:val="clear" w:color="auto" w:fill="FFFFFF"/>
        </w:rPr>
      </w:pPr>
    </w:p>
    <w:p w14:paraId="4F2AE327" w14:textId="77777777" w:rsidR="00364F21" w:rsidRDefault="00364F21" w:rsidP="00364F21">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E01FC6">
        <w:rPr>
          <w:rFonts w:ascii="Times New Roman" w:hAnsi="Times New Roman"/>
          <w:sz w:val="24"/>
          <w:szCs w:val="24"/>
          <w:shd w:val="clear" w:color="auto" w:fill="FFFFFF"/>
        </w:rPr>
        <w:t xml:space="preserve">While the fingerprinting in this case likely constituted a search under </w:t>
      </w:r>
      <w:r w:rsidRPr="00E01FC6">
        <w:rPr>
          <w:rFonts w:ascii="Times New Roman" w:hAnsi="Times New Roman"/>
          <w:i/>
          <w:iCs/>
          <w:sz w:val="24"/>
          <w:szCs w:val="24"/>
          <w:shd w:val="clear" w:color="auto" w:fill="FFFFFF"/>
        </w:rPr>
        <w:t>Jones</w:t>
      </w:r>
      <w:r w:rsidRPr="00E01FC6">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 xml:space="preserve">the search did not run afoul of the Fourth Amendment. The scope of the </w:t>
      </w:r>
      <w:proofErr w:type="gramStart"/>
      <w:r w:rsidRPr="00E01FC6">
        <w:rPr>
          <w:rFonts w:ascii="Times New Roman" w:hAnsi="Times New Roman"/>
          <w:sz w:val="24"/>
          <w:szCs w:val="24"/>
          <w:shd w:val="clear" w:color="auto" w:fill="FFFFFF"/>
        </w:rPr>
        <w:t>particular</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intrusion</w:t>
      </w:r>
      <w:proofErr w:type="gramEnd"/>
      <w:r w:rsidRPr="00E01FC6">
        <w:rPr>
          <w:rFonts w:ascii="Times New Roman" w:hAnsi="Times New Roman"/>
          <w:sz w:val="24"/>
          <w:szCs w:val="24"/>
          <w:shd w:val="clear" w:color="auto" w:fill="FFFFFF"/>
        </w:rPr>
        <w:t xml:space="preserve"> and the </w:t>
      </w:r>
      <w:proofErr w:type="gramStart"/>
      <w:r w:rsidRPr="00E01FC6">
        <w:rPr>
          <w:rFonts w:ascii="Times New Roman" w:hAnsi="Times New Roman"/>
          <w:sz w:val="24"/>
          <w:szCs w:val="24"/>
          <w:shd w:val="clear" w:color="auto" w:fill="FFFFFF"/>
        </w:rPr>
        <w:t>manner in which</w:t>
      </w:r>
      <w:proofErr w:type="gramEnd"/>
      <w:r w:rsidRPr="00E01FC6">
        <w:rPr>
          <w:rFonts w:ascii="Times New Roman" w:hAnsi="Times New Roman"/>
          <w:sz w:val="24"/>
          <w:szCs w:val="24"/>
          <w:shd w:val="clear" w:color="auto" w:fill="FFFFFF"/>
        </w:rPr>
        <w:t xml:space="preserve"> it was collected in this case were minimal. The</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timekeeping justification for the intrusion constitutes a legitimate work-related,</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non</w:t>
      </w:r>
      <w:r>
        <w:rPr>
          <w:rFonts w:ascii="Times New Roman" w:hAnsi="Times New Roman"/>
          <w:sz w:val="24"/>
          <w:szCs w:val="24"/>
          <w:shd w:val="clear" w:color="auto" w:fill="FFFFFF"/>
        </w:rPr>
        <w:t>-</w:t>
      </w:r>
      <w:r w:rsidRPr="00E01FC6">
        <w:rPr>
          <w:rFonts w:ascii="Times New Roman" w:hAnsi="Times New Roman"/>
          <w:sz w:val="24"/>
          <w:szCs w:val="24"/>
          <w:shd w:val="clear" w:color="auto" w:fill="FFFFFF"/>
        </w:rPr>
        <w:t>investigatory intrusion that satisfies the reasonableness standard in terms of its</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inception and scope. Therefore, the fingerprinting of Plaintiffs was not an</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unreasonable search in violation of the Fourth Amendment. Because the Plaintiffs</w:t>
      </w:r>
      <w:r>
        <w:rPr>
          <w:rFonts w:ascii="Times New Roman" w:hAnsi="Times New Roman"/>
          <w:sz w:val="24"/>
          <w:szCs w:val="24"/>
          <w:shd w:val="clear" w:color="auto" w:fill="FFFFFF"/>
        </w:rPr>
        <w:t xml:space="preserve"> </w:t>
      </w:r>
      <w:r w:rsidRPr="00E01FC6">
        <w:rPr>
          <w:rFonts w:ascii="Times New Roman" w:hAnsi="Times New Roman"/>
          <w:sz w:val="24"/>
          <w:szCs w:val="24"/>
          <w:shd w:val="clear" w:color="auto" w:fill="FFFFFF"/>
        </w:rPr>
        <w:t xml:space="preserve">cannot demonstrate an underlying constitutional violation, their § 1983 </w:t>
      </w:r>
      <w:r w:rsidRPr="004220C8">
        <w:rPr>
          <w:rFonts w:ascii="Times New Roman" w:hAnsi="Times New Roman"/>
          <w:i/>
          <w:iCs/>
          <w:sz w:val="24"/>
          <w:szCs w:val="24"/>
          <w:shd w:val="clear" w:color="auto" w:fill="FFFFFF"/>
        </w:rPr>
        <w:t xml:space="preserve">Monell </w:t>
      </w:r>
      <w:r w:rsidRPr="004220C8">
        <w:rPr>
          <w:rFonts w:ascii="Times New Roman" w:hAnsi="Times New Roman"/>
          <w:sz w:val="24"/>
          <w:szCs w:val="24"/>
          <w:shd w:val="clear" w:color="auto" w:fill="FFFFFF"/>
        </w:rPr>
        <w:t>claims against the Defendants necessarily fail. Likewise, the Plaintiffs’ Louisiana</w:t>
      </w:r>
      <w:r>
        <w:rPr>
          <w:rFonts w:ascii="Times New Roman" w:hAnsi="Times New Roman"/>
          <w:sz w:val="24"/>
          <w:szCs w:val="24"/>
          <w:shd w:val="clear" w:color="auto" w:fill="FFFFFF"/>
        </w:rPr>
        <w:t xml:space="preserve"> </w:t>
      </w:r>
      <w:r w:rsidRPr="004220C8">
        <w:rPr>
          <w:rFonts w:ascii="Times New Roman" w:hAnsi="Times New Roman"/>
          <w:sz w:val="24"/>
          <w:szCs w:val="24"/>
          <w:shd w:val="clear" w:color="auto" w:fill="FFFFFF"/>
        </w:rPr>
        <w:t>constitutional claims also fail.</w:t>
      </w:r>
      <w:r>
        <w:rPr>
          <w:rFonts w:ascii="Times New Roman" w:hAnsi="Times New Roman"/>
          <w:sz w:val="24"/>
          <w:szCs w:val="24"/>
          <w:shd w:val="clear" w:color="auto" w:fill="FFFFFF"/>
        </w:rPr>
        <w:t>”</w:t>
      </w:r>
    </w:p>
    <w:p w14:paraId="30960912" w14:textId="77777777" w:rsidR="004F15A5" w:rsidRDefault="004F15A5" w:rsidP="004F15A5">
      <w:pPr>
        <w:pStyle w:val="NoSpacing"/>
        <w:rPr>
          <w:rFonts w:ascii="Times New Roman" w:hAnsi="Times New Roman"/>
          <w:b/>
          <w:bCs/>
          <w:sz w:val="24"/>
          <w:szCs w:val="24"/>
          <w:shd w:val="clear" w:color="auto" w:fill="FFFFFF"/>
        </w:rPr>
      </w:pPr>
    </w:p>
    <w:p w14:paraId="173CA355" w14:textId="160DF5A9" w:rsidR="004F15A5" w:rsidRPr="005136BE" w:rsidRDefault="004F15A5" w:rsidP="004F15A5">
      <w:pPr>
        <w:pStyle w:val="NoSpacing"/>
        <w:rPr>
          <w:rFonts w:ascii="Times New Roman" w:hAnsi="Times New Roman"/>
          <w:b/>
          <w:bCs/>
          <w:sz w:val="24"/>
          <w:szCs w:val="24"/>
          <w:shd w:val="clear" w:color="auto" w:fill="FFFFFF"/>
        </w:rPr>
      </w:pPr>
      <w:r>
        <w:rPr>
          <w:rFonts w:ascii="Times New Roman" w:hAnsi="Times New Roman"/>
          <w:b/>
          <w:bCs/>
          <w:sz w:val="24"/>
          <w:szCs w:val="24"/>
          <w:shd w:val="clear" w:color="auto" w:fill="FFFFFF"/>
        </w:rPr>
        <w:t>Legal Lesson Learned: There is little case law on fingerprinting of employees; this decision is extremely well researched.</w:t>
      </w:r>
    </w:p>
    <w:p w14:paraId="5170BFBF" w14:textId="0C52AEC7" w:rsidR="00364F21" w:rsidRDefault="004F15A5" w:rsidP="004F15A5">
      <w:pPr>
        <w:pStyle w:val="NormalWeb"/>
        <w:spacing w:before="0" w:beforeAutospacing="0"/>
        <w:rPr>
          <w:rFonts w:ascii="Arial Black" w:hAnsi="Arial Black"/>
          <w:b/>
          <w:bCs/>
          <w:color w:val="454545"/>
          <w:sz w:val="28"/>
          <w:szCs w:val="28"/>
          <w:shd w:val="clear" w:color="auto" w:fill="FFFFFF"/>
        </w:rPr>
      </w:pPr>
      <w:r w:rsidRPr="0071601A">
        <w:rPr>
          <w:color w:val="454545"/>
          <w:shd w:val="clear" w:color="auto" w:fill="FFFFFF"/>
        </w:rPr>
        <w:t xml:space="preserve">Note: See the </w:t>
      </w:r>
      <w:r>
        <w:rPr>
          <w:color w:val="454545"/>
          <w:shd w:val="clear" w:color="auto" w:fill="FFFFFF"/>
        </w:rPr>
        <w:t>“</w:t>
      </w:r>
      <w:r w:rsidRPr="0071601A">
        <w:rPr>
          <w:color w:val="454545"/>
          <w:shd w:val="clear" w:color="auto" w:fill="FFFFFF"/>
        </w:rPr>
        <w:t>Kronos</w:t>
      </w:r>
      <w:r>
        <w:rPr>
          <w:color w:val="454545"/>
          <w:shd w:val="clear" w:color="auto" w:fill="FFFFFF"/>
        </w:rPr>
        <w:t>”</w:t>
      </w:r>
      <w:r w:rsidRPr="0071601A">
        <w:rPr>
          <w:color w:val="454545"/>
          <w:shd w:val="clear" w:color="auto" w:fill="FFFFFF"/>
        </w:rPr>
        <w:t xml:space="preserve"> timekeeping system. </w:t>
      </w:r>
      <w:hyperlink r:id="rId1077" w:history="1">
        <w:r w:rsidRPr="0071601A">
          <w:rPr>
            <w:rStyle w:val="Hyperlink"/>
            <w:shd w:val="clear" w:color="auto" w:fill="FFFFFF"/>
          </w:rPr>
          <w:t>https://www.360connect.com/product-blog/kronos-time-and-attendance-system-types-features-pricing/</w:t>
        </w:r>
      </w:hyperlink>
    </w:p>
    <w:p w14:paraId="06D5BBD6" w14:textId="77777777" w:rsidR="00562A25" w:rsidRDefault="00562A25" w:rsidP="006C4AD8">
      <w:pPr>
        <w:pStyle w:val="NormalWeb"/>
        <w:spacing w:before="0" w:beforeAutospacing="0"/>
        <w:rPr>
          <w:rFonts w:ascii="Arial Black" w:hAnsi="Arial Black"/>
          <w:b/>
          <w:bCs/>
          <w:color w:val="454545"/>
          <w:sz w:val="28"/>
          <w:szCs w:val="28"/>
          <w:shd w:val="clear" w:color="auto" w:fill="FFFFFF"/>
        </w:rPr>
      </w:pPr>
    </w:p>
    <w:p w14:paraId="4E0DF329" w14:textId="77777777" w:rsidR="00562A25" w:rsidRDefault="00562A25" w:rsidP="006C4AD8">
      <w:pPr>
        <w:pStyle w:val="NormalWeb"/>
        <w:spacing w:before="0" w:beforeAutospacing="0"/>
        <w:rPr>
          <w:rFonts w:ascii="Arial Black" w:hAnsi="Arial Black"/>
          <w:b/>
          <w:bCs/>
          <w:color w:val="454545"/>
          <w:sz w:val="28"/>
          <w:szCs w:val="28"/>
          <w:shd w:val="clear" w:color="auto" w:fill="FFFFFF"/>
        </w:rPr>
      </w:pPr>
    </w:p>
    <w:p w14:paraId="75C35C2D" w14:textId="020C7F5B" w:rsidR="00C63CEB" w:rsidRDefault="009F02E2"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3</w:t>
      </w:r>
    </w:p>
    <w:p w14:paraId="24C3F924" w14:textId="77777777" w:rsidR="00A905C2" w:rsidRPr="000F466D" w:rsidRDefault="00A905C2" w:rsidP="00A905C2">
      <w:pPr>
        <w:pStyle w:val="NormalWeb"/>
        <w:rPr>
          <w:rFonts w:ascii="Arial Black" w:hAnsi="Arial Black"/>
          <w:sz w:val="28"/>
          <w:szCs w:val="28"/>
        </w:rPr>
      </w:pPr>
      <w:r>
        <w:rPr>
          <w:rFonts w:ascii="Arial Black" w:hAnsi="Arial Black"/>
          <w:sz w:val="28"/>
          <w:szCs w:val="28"/>
        </w:rPr>
        <w:t>IL: CORONARY ARTERY DISEASE – LT. 28 YEARS FIRE SERVICE – CAN’T PROVE CAUSED BY JOB – NO WORK COMP</w:t>
      </w:r>
    </w:p>
    <w:p w14:paraId="0D39A263" w14:textId="77777777" w:rsidR="00A905C2" w:rsidRDefault="00A905C2" w:rsidP="00A905C2">
      <w:pPr>
        <w:pStyle w:val="NormalWeb"/>
      </w:pPr>
      <w:r>
        <w:t xml:space="preserve">On May 24, 2024, in </w:t>
      </w:r>
      <w:r w:rsidRPr="00110426">
        <w:rPr>
          <w:u w:val="single"/>
        </w:rPr>
        <w:t>Jerry Faruzzi v. The Illinois Workers Compensation Commission</w:t>
      </w:r>
      <w:r>
        <w:t xml:space="preserve">, the Court of Appeals of Illinois, First District, Workers’ Compensation Commission Division, held (5 to 0) that the firefighter failed to prove the artery disease was caused by the job. The Court held: </w:t>
      </w:r>
    </w:p>
    <w:p w14:paraId="77176E4D" w14:textId="77777777" w:rsidR="00A905C2" w:rsidRDefault="00A905C2" w:rsidP="00A905C2">
      <w:pPr>
        <w:pStyle w:val="NormalWeb"/>
        <w:ind w:left="720" w:firstLine="60"/>
      </w:pPr>
      <w:r>
        <w:t>“The claimant argues that Dr. Moisan's testimony that the claimant's firefighting activities contributed in part to his development of coronary artery disease is a judicial admission by the Village based on Dr. Moisan's position as medical director for the Village's fire department. We disagree…. As noted earlier, Dr. Moisan's causation opinion is hardly unequivocal. When asked directly whether the claimant's coronary artery disease was caused or contributed to by his firefighting duties, Dr. Moisan stated: ‘I can't know that</w:t>
      </w:r>
      <w:proofErr w:type="gramStart"/>
      <w:r>
        <w:t>.</w:t>
      </w:r>
      <w:proofErr w:type="gramEnd"/>
      <w:r>
        <w:t xml:space="preserve"> I can't exclude it.’” </w:t>
      </w:r>
      <w:hyperlink r:id="rId1078" w:history="1">
        <w:r w:rsidRPr="00F80308">
          <w:rPr>
            <w:rStyle w:val="Hyperlink"/>
          </w:rPr>
          <w:t>https://ilcourtsaudio.blob.core.windows.net/antilles-resources/resources/db67e7e2-0717-4638-8c31-3e01bcc193d9/Faruzzi%20v.%20Illinois%20Workers%27%20Compensation%20Comm%27n,%202024%20IL%20App%20(1st)%20231896WC-U.pdf</w:t>
        </w:r>
      </w:hyperlink>
      <w:r>
        <w:t xml:space="preserve"> </w:t>
      </w:r>
    </w:p>
    <w:p w14:paraId="2C422B3B" w14:textId="77777777" w:rsidR="009C6DC9" w:rsidRDefault="009C6DC9" w:rsidP="009C6DC9">
      <w:pPr>
        <w:pStyle w:val="NormalWeb"/>
        <w:rPr>
          <w:b/>
          <w:bCs/>
        </w:rPr>
      </w:pPr>
      <w:r>
        <w:rPr>
          <w:b/>
          <w:bCs/>
        </w:rPr>
        <w:t xml:space="preserve">Legal Lesson Learned:  Extremely difficult to prove coronary artery disease caused by the job. </w:t>
      </w:r>
    </w:p>
    <w:p w14:paraId="01812EC9" w14:textId="77777777" w:rsidR="009C6DC9" w:rsidRPr="009E5A90" w:rsidRDefault="009C6DC9" w:rsidP="009C6DC9">
      <w:pPr>
        <w:pStyle w:val="Heading1"/>
        <w:ind w:left="720"/>
        <w:rPr>
          <w:sz w:val="24"/>
          <w:szCs w:val="24"/>
        </w:rPr>
      </w:pPr>
      <w:r w:rsidRPr="009E5A90">
        <w:rPr>
          <w:sz w:val="24"/>
          <w:szCs w:val="24"/>
        </w:rPr>
        <w:t xml:space="preserve">Note: In Ohio, the legislature has enacted a “statutory presumption” law for certain firefighter diseases.  Section 4123.68 </w:t>
      </w:r>
      <w:r w:rsidRPr="009E5A90">
        <w:rPr>
          <w:rStyle w:val="codes-separator"/>
          <w:rFonts w:eastAsiaTheme="minorHAnsi"/>
          <w:sz w:val="24"/>
          <w:szCs w:val="24"/>
        </w:rPr>
        <w:t>|</w:t>
      </w:r>
      <w:r w:rsidRPr="009E5A90">
        <w:rPr>
          <w:sz w:val="24"/>
          <w:szCs w:val="24"/>
        </w:rPr>
        <w:t xml:space="preserve"> Schedule of compensable occupational diseases. </w:t>
      </w:r>
      <w:hyperlink r:id="rId1079" w:history="1">
        <w:r w:rsidRPr="00F80308">
          <w:rPr>
            <w:rStyle w:val="Hyperlink"/>
            <w:sz w:val="24"/>
            <w:szCs w:val="24"/>
          </w:rPr>
          <w:t>https://codes.ohio.gov/ohio-revised-code/section-4123.68</w:t>
        </w:r>
      </w:hyperlink>
      <w:r>
        <w:rPr>
          <w:sz w:val="24"/>
          <w:szCs w:val="24"/>
        </w:rPr>
        <w:t xml:space="preserve"> </w:t>
      </w:r>
    </w:p>
    <w:p w14:paraId="53EC78E9" w14:textId="77777777" w:rsidR="009C6DC9" w:rsidRDefault="009C6DC9" w:rsidP="009C6DC9">
      <w:pPr>
        <w:pStyle w:val="NormalWeb"/>
        <w:ind w:left="720"/>
      </w:pPr>
      <w:r>
        <w:t>For example:</w:t>
      </w:r>
    </w:p>
    <w:p w14:paraId="31E75CB6" w14:textId="77777777" w:rsidR="009C6DC9" w:rsidRDefault="009C6DC9" w:rsidP="009C6DC9">
      <w:pPr>
        <w:pStyle w:val="NormalWeb"/>
        <w:ind w:left="1440"/>
      </w:pPr>
      <w:r>
        <w:t>“(W) Cardiovascular, pulmonary, or respiratory diseases incurred by firefighters or police officers following exposure to heat, smoke, toxic gases, chemical fumes and other toxic substances: Any cardiovascular, pulmonary, or respiratory disease of a firefighter or police officer caused or induced by the cumulative effect of exposure to heat, the inhalation of smoke, toxic gases, chemical fumes and other toxic substances in the performance of the firefighter's or police officer's duty constitutes a presumption, which may be refuted by affirmative evidence, that such occurred in the course of and arising out of the firefighter's or police officer's employment.</w:t>
      </w:r>
    </w:p>
    <w:p w14:paraId="13DC7DCC" w14:textId="77777777" w:rsidR="009C6DC9" w:rsidRPr="00797268" w:rsidRDefault="009C6DC9" w:rsidP="009C6DC9">
      <w:pPr>
        <w:pStyle w:val="NormalWeb"/>
        <w:ind w:left="1440"/>
      </w:pPr>
      <w:r>
        <w:t>***</w:t>
      </w:r>
    </w:p>
    <w:p w14:paraId="0CD2C01F" w14:textId="77777777" w:rsidR="009C6DC9" w:rsidRPr="00EE37D5" w:rsidRDefault="009C6DC9" w:rsidP="009C6DC9">
      <w:pPr>
        <w:pStyle w:val="NormalWeb"/>
        <w:ind w:left="1440"/>
        <w:rPr>
          <w:b/>
          <w:bCs/>
        </w:rPr>
      </w:pPr>
      <w:r>
        <w:t xml:space="preserve">(X)(1) Cancer contracted by a firefighter: Cancer contracted by a firefighter who has been assigned to at least six years of hazardous duty as a firefighter constitutes a presumption that the cancer was contracted in the course of and arising out of the firefighter's employment if the firefighter was exposed to an agent classified by the international agency for research on cancer or its successor organization as a group 1 or 2A carcinogen.” </w:t>
      </w:r>
    </w:p>
    <w:p w14:paraId="0C2123E8" w14:textId="77777777" w:rsidR="009C6DC9" w:rsidRDefault="009C6DC9" w:rsidP="009C6DC9">
      <w:pPr>
        <w:pStyle w:val="NormalWeb"/>
        <w:ind w:left="720"/>
      </w:pPr>
      <w:r>
        <w:t xml:space="preserve">See IAFF list of states with statutory presumption laws. </w:t>
      </w:r>
      <w:hyperlink r:id="rId1080" w:history="1">
        <w:r w:rsidRPr="00F80308">
          <w:rPr>
            <w:rStyle w:val="Hyperlink"/>
          </w:rPr>
          <w:t>https://www.iaff.org/presumptive-health/</w:t>
        </w:r>
      </w:hyperlink>
      <w:r>
        <w:t xml:space="preserve"> </w:t>
      </w:r>
    </w:p>
    <w:p w14:paraId="278DA56C" w14:textId="77777777" w:rsidR="009F02E2" w:rsidRDefault="009F02E2" w:rsidP="006C4AD8">
      <w:pPr>
        <w:pStyle w:val="NormalWeb"/>
        <w:spacing w:before="0" w:beforeAutospacing="0"/>
        <w:rPr>
          <w:rFonts w:ascii="Arial Black" w:hAnsi="Arial Black"/>
          <w:b/>
          <w:bCs/>
          <w:color w:val="454545"/>
          <w:sz w:val="28"/>
          <w:szCs w:val="28"/>
          <w:shd w:val="clear" w:color="auto" w:fill="FFFFFF"/>
        </w:rPr>
      </w:pPr>
    </w:p>
    <w:p w14:paraId="31C637F1" w14:textId="2CC1D7DF" w:rsidR="00C63CEB" w:rsidRDefault="00C63CEB"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2</w:t>
      </w:r>
    </w:p>
    <w:p w14:paraId="16ECB341" w14:textId="77777777" w:rsidR="00DC3D8E" w:rsidRDefault="00DC3D8E" w:rsidP="00DC3D8E">
      <w:pPr>
        <w:pStyle w:val="NormalWeb"/>
        <w:spacing w:before="0" w:beforeAutospacing="0"/>
        <w:rPr>
          <w:rFonts w:ascii="Arial Black" w:hAnsi="Arial Black"/>
          <w:b/>
          <w:bCs/>
          <w:color w:val="454545"/>
          <w:sz w:val="28"/>
          <w:szCs w:val="28"/>
          <w:shd w:val="clear" w:color="auto" w:fill="FFFFFF"/>
        </w:rPr>
      </w:pPr>
      <w:r w:rsidRPr="009E0BBC">
        <w:rPr>
          <w:rFonts w:ascii="Arial Black" w:hAnsi="Arial Black"/>
          <w:b/>
          <w:bCs/>
          <w:color w:val="454545"/>
          <w:sz w:val="28"/>
          <w:szCs w:val="28"/>
          <w:shd w:val="clear" w:color="auto" w:fill="FFFFFF"/>
        </w:rPr>
        <w:t xml:space="preserve">PA: </w:t>
      </w:r>
      <w:r>
        <w:rPr>
          <w:rFonts w:ascii="Arial Black" w:hAnsi="Arial Black"/>
          <w:b/>
          <w:bCs/>
          <w:color w:val="454545"/>
          <w:sz w:val="28"/>
          <w:szCs w:val="28"/>
          <w:shd w:val="clear" w:color="auto" w:fill="FFFFFF"/>
        </w:rPr>
        <w:t xml:space="preserve">PHILADELPHIA FF - </w:t>
      </w:r>
      <w:r w:rsidRPr="009E0BBC">
        <w:rPr>
          <w:rFonts w:ascii="Arial Black" w:hAnsi="Arial Black"/>
          <w:b/>
          <w:bCs/>
          <w:color w:val="454545"/>
          <w:sz w:val="28"/>
          <w:szCs w:val="28"/>
          <w:shd w:val="clear" w:color="auto" w:fill="FFFFFF"/>
        </w:rPr>
        <w:t xml:space="preserve">TRANSGENDER </w:t>
      </w:r>
      <w:r>
        <w:rPr>
          <w:rFonts w:ascii="Arial Black" w:hAnsi="Arial Black"/>
          <w:b/>
          <w:bCs/>
          <w:color w:val="454545"/>
          <w:sz w:val="28"/>
          <w:szCs w:val="28"/>
          <w:shd w:val="clear" w:color="auto" w:fill="FFFFFF"/>
        </w:rPr>
        <w:t xml:space="preserve">FEMALE - DENIED </w:t>
      </w:r>
      <w:r w:rsidRPr="009E0BBC">
        <w:rPr>
          <w:rFonts w:ascii="Arial Black" w:hAnsi="Arial Black"/>
          <w:b/>
          <w:bCs/>
          <w:color w:val="454545"/>
          <w:sz w:val="28"/>
          <w:szCs w:val="28"/>
          <w:shd w:val="clear" w:color="auto" w:fill="FFFFFF"/>
        </w:rPr>
        <w:t>INSUR</w:t>
      </w:r>
      <w:r>
        <w:rPr>
          <w:rFonts w:ascii="Arial Black" w:hAnsi="Arial Black"/>
          <w:b/>
          <w:bCs/>
          <w:color w:val="454545"/>
          <w:sz w:val="28"/>
          <w:szCs w:val="28"/>
          <w:shd w:val="clear" w:color="auto" w:fill="FFFFFF"/>
        </w:rPr>
        <w:t>. “FACIAL SURGERY” – CASE DISMISSED / CAN REFILE</w:t>
      </w:r>
    </w:p>
    <w:p w14:paraId="11A5892D" w14:textId="77777777" w:rsidR="00DC3D8E" w:rsidRDefault="00DC3D8E" w:rsidP="00DC3D8E">
      <w:pPr>
        <w:pStyle w:val="NormalWeb"/>
        <w:spacing w:before="0" w:beforeAutospacing="0"/>
      </w:pPr>
      <w:r w:rsidRPr="000B7D4B">
        <w:rPr>
          <w:color w:val="454545"/>
          <w:shd w:val="clear" w:color="auto" w:fill="FFFFFF"/>
        </w:rPr>
        <w:t xml:space="preserve">On May 16, 2024, in </w:t>
      </w:r>
      <w:r w:rsidRPr="00885806">
        <w:rPr>
          <w:color w:val="454545"/>
          <w:u w:val="single"/>
          <w:shd w:val="clear" w:color="auto" w:fill="FFFFFF"/>
        </w:rPr>
        <w:t>Jane Doe [not actual name] v. City of Philadelphia, Independent Blue Cross, Firefighters’ &amp; Paramedics Union, IADD Local 22</w:t>
      </w:r>
      <w:r>
        <w:rPr>
          <w:color w:val="454545"/>
          <w:shd w:val="clear" w:color="auto" w:fill="FFFFFF"/>
        </w:rPr>
        <w:t>, the plaintiff, a member of the FD for three decades, was denied insurance coverage for “</w:t>
      </w:r>
      <w:r>
        <w:t xml:space="preserve">facial feminization surgery.”  </w:t>
      </w:r>
      <w:r>
        <w:rPr>
          <w:color w:val="454545"/>
          <w:shd w:val="clear" w:color="auto" w:fill="FFFFFF"/>
        </w:rPr>
        <w:t xml:space="preserve">United States District Court Judge </w:t>
      </w:r>
      <w:r>
        <w:t>Wendy Beetlestone granted the defendants’ motion to dismiss her lawsuit since it is not specific regarding alleged unlawful conduct of each of the three defendants, but the dismissal is “without prejudice” meaning she can refile with a more specific Complaint.  The plaintiff had filed an EEOC complaint and received a “Right to Sue” letter from EEOC, so she has properly taken steps to file a lawsuit. The Court held:</w:t>
      </w:r>
    </w:p>
    <w:p w14:paraId="168C3E8B" w14:textId="77777777" w:rsidR="00DC3D8E" w:rsidRDefault="00DC3D8E" w:rsidP="00DC3D8E">
      <w:pPr>
        <w:pStyle w:val="NormalWeb"/>
        <w:ind w:left="720"/>
      </w:pPr>
      <w:r>
        <w:t xml:space="preserve">“Here, Doe levies most of her allegations against Defendants as a whole, without identifying the conduct for which the </w:t>
      </w:r>
      <w:proofErr w:type="gramStart"/>
      <w:r>
        <w:t>City</w:t>
      </w:r>
      <w:proofErr w:type="gramEnd"/>
      <w:r>
        <w:t xml:space="preserve"> specifically is responsible. The only non-conclusory allegations against the City are that: (1) it employed Doe; (2) as her employer, the City was ‘responsible for the provision of benefits to [her] including employer-sponsored healthcare benefits;’ (3) the City funded that plan; and, (4) ‘[</w:t>
      </w:r>
      <w:proofErr w:type="spellStart"/>
      <w:r>
        <w:t>i</w:t>
      </w:r>
      <w:proofErr w:type="spellEnd"/>
      <w:r>
        <w:t xml:space="preserve">]t is believed and therefore averred that’ the City, along with the other Defendants ‘exercised extensive control over benefits,’ including health insurance. The key allegations relating to Defendants' liability-that they denied Doe health insurance coverage for treatments necessary to treat her gender dysphoria and misapplied her policy's cosmetic surgery exclusion in doing so-do not distinguish between the conduct of the City, Independence Blue Cross, and Local 22. The Amended Complaint therefore does not </w:t>
      </w:r>
      <w:proofErr w:type="gramStart"/>
      <w:r>
        <w:t>plead</w:t>
      </w:r>
      <w:proofErr w:type="gramEnd"/>
      <w:r>
        <w:t xml:space="preserve"> facts sufficient to show that Doe is plausibly entitled to relief from the City.</w:t>
      </w:r>
    </w:p>
    <w:p w14:paraId="1D482102" w14:textId="77777777" w:rsidR="00DC3D8E" w:rsidRDefault="00DC3D8E" w:rsidP="00DC3D8E">
      <w:pPr>
        <w:pStyle w:val="NormalWeb"/>
        <w:ind w:left="720"/>
      </w:pPr>
      <w:r>
        <w:t>***</w:t>
      </w:r>
    </w:p>
    <w:p w14:paraId="7326FA47" w14:textId="77777777" w:rsidR="00DC3D8E" w:rsidRDefault="00DC3D8E" w:rsidP="00DC3D8E">
      <w:pPr>
        <w:pStyle w:val="NormalWeb"/>
        <w:spacing w:before="0" w:beforeAutospacing="0"/>
        <w:ind w:left="720" w:firstLine="60"/>
      </w:pPr>
      <w:r>
        <w:t xml:space="preserve">For the foregoing reasons, the City of Philadelphia's Motion to Dismiss will be granted, and Doe's Amended Complaint will be dismissed without prejudice.”  </w:t>
      </w:r>
      <w:hyperlink r:id="rId1081" w:history="1">
        <w:r w:rsidRPr="00DF21B2">
          <w:rPr>
            <w:rStyle w:val="Hyperlink"/>
          </w:rPr>
          <w:t>https://casetext.com/case/doe-v-city-of-philadelphia-5</w:t>
        </w:r>
      </w:hyperlink>
      <w:r>
        <w:t xml:space="preserve"> </w:t>
      </w:r>
    </w:p>
    <w:p w14:paraId="4352044C" w14:textId="77777777" w:rsidR="009F02E2" w:rsidRPr="007D3354" w:rsidRDefault="009F02E2" w:rsidP="009F02E2">
      <w:pPr>
        <w:pStyle w:val="NormalWeb"/>
        <w:spacing w:before="0" w:beforeAutospacing="0"/>
        <w:rPr>
          <w:b/>
          <w:bCs/>
          <w:color w:val="454545"/>
          <w:shd w:val="clear" w:color="auto" w:fill="FFFFFF"/>
        </w:rPr>
      </w:pPr>
      <w:r w:rsidRPr="007D3354">
        <w:rPr>
          <w:b/>
          <w:bCs/>
        </w:rPr>
        <w:t xml:space="preserve">Legal Lesson Learned: This lawsuit will likely be refiled, focusing on the Insurance Company’s cosmetic surgery exclusion. </w:t>
      </w:r>
    </w:p>
    <w:p w14:paraId="3C7BA024" w14:textId="77777777" w:rsidR="009F02E2" w:rsidRDefault="009F02E2" w:rsidP="009F02E2">
      <w:pPr>
        <w:pStyle w:val="NormalWeb"/>
        <w:spacing w:before="0" w:beforeAutospacing="0"/>
        <w:ind w:left="720"/>
        <w:rPr>
          <w:b/>
          <w:bCs/>
          <w:color w:val="454545"/>
          <w:shd w:val="clear" w:color="auto" w:fill="FFFFFF"/>
        </w:rPr>
      </w:pPr>
      <w:r w:rsidRPr="007E1F50">
        <w:rPr>
          <w:color w:val="000000" w:themeColor="text1"/>
          <w:shd w:val="clear" w:color="auto" w:fill="FFFFFF"/>
        </w:rPr>
        <w:t>Note: See this abstract (Aug. 12, 2023):</w:t>
      </w:r>
      <w:r w:rsidRPr="007E1F50">
        <w:rPr>
          <w:b/>
          <w:bCs/>
          <w:color w:val="000000" w:themeColor="text1"/>
          <w:shd w:val="clear" w:color="auto" w:fill="FFFFFF"/>
        </w:rPr>
        <w:t xml:space="preserve"> </w:t>
      </w:r>
      <w:r>
        <w:rPr>
          <w:b/>
          <w:bCs/>
          <w:color w:val="000000" w:themeColor="text1"/>
          <w:shd w:val="clear" w:color="auto" w:fill="FFFFFF"/>
        </w:rPr>
        <w:t>“</w:t>
      </w:r>
      <w:r w:rsidRPr="007E1F50">
        <w:rPr>
          <w:color w:val="000000" w:themeColor="text1"/>
        </w:rPr>
        <w:t>The Limited Coverage of Facial Feminization Surgery in the United States: A Literature Review of Policy Constraints and Implications</w:t>
      </w:r>
      <w:r>
        <w:rPr>
          <w:color w:val="000000" w:themeColor="text1"/>
        </w:rPr>
        <w:t xml:space="preserve">.” </w:t>
      </w:r>
      <w:hyperlink r:id="rId1082" w:history="1">
        <w:r w:rsidRPr="00DF21B2">
          <w:rPr>
            <w:rStyle w:val="Hyperlink"/>
          </w:rPr>
          <w:t>https://www.ncbi.nlm.nih.gov/pmc/articles/PMC10455106/</w:t>
        </w:r>
      </w:hyperlink>
      <w:r>
        <w:t xml:space="preserve"> </w:t>
      </w:r>
    </w:p>
    <w:p w14:paraId="6DBB5852" w14:textId="77777777" w:rsidR="009F02E2" w:rsidRDefault="009F02E2" w:rsidP="009F02E2">
      <w:pPr>
        <w:pStyle w:val="NormalWeb"/>
        <w:spacing w:before="0" w:beforeAutospacing="0"/>
        <w:ind w:left="1440"/>
        <w:rPr>
          <w:b/>
          <w:bCs/>
          <w:color w:val="454545"/>
          <w:shd w:val="clear" w:color="auto" w:fill="FFFFFF"/>
        </w:rPr>
      </w:pPr>
      <w:r>
        <w:t xml:space="preserve">“In 2014, the Department of Human Health Services (HHS) lifted the transgender exclusion policy, leading to an increase in policies regarding GASs for both private and state insurance. However, there are differences in medical necessity requirements among policies, which may not align with the World Professional Association for Transgender Health (WPATH) criteria. States that prohibit exclusion tend to offer better coverage for FFS. These states are mainly located in the western and northeast regions, whereas states in the southern and middle east regions have less coverage. Among the procedures, chondrolaryngoplasty is the most covered, while facial and cervical rhytidectomy are the least covered. To enhance transgender care, it is crucial to reach a consensus on how to offer coverage for facial feminization surgery. However, there is a lack of adequate research on this topic, and there is a need for resources and tools to assess the results of FFS procedures.” </w:t>
      </w:r>
    </w:p>
    <w:p w14:paraId="47383A6C" w14:textId="77777777" w:rsidR="009F02E2" w:rsidRDefault="009F02E2" w:rsidP="009F02E2">
      <w:pPr>
        <w:pStyle w:val="NormalWeb"/>
        <w:spacing w:before="0" w:beforeAutospacing="0"/>
        <w:ind w:left="720"/>
        <w:rPr>
          <w:color w:val="454545"/>
          <w:shd w:val="clear" w:color="auto" w:fill="FFFFFF"/>
        </w:rPr>
      </w:pPr>
      <w:r w:rsidRPr="00546DEF">
        <w:rPr>
          <w:color w:val="454545"/>
          <w:shd w:val="clear" w:color="auto" w:fill="FFFFFF"/>
        </w:rPr>
        <w:t>See also</w:t>
      </w:r>
      <w:r>
        <w:rPr>
          <w:color w:val="454545"/>
          <w:shd w:val="clear" w:color="auto" w:fill="FFFFFF"/>
        </w:rPr>
        <w:t xml:space="preserve">:  May 13, </w:t>
      </w:r>
      <w:proofErr w:type="gramStart"/>
      <w:r>
        <w:rPr>
          <w:color w:val="454545"/>
          <w:shd w:val="clear" w:color="auto" w:fill="FFFFFF"/>
        </w:rPr>
        <w:t>2024</w:t>
      </w:r>
      <w:proofErr w:type="gramEnd"/>
      <w:r>
        <w:rPr>
          <w:color w:val="454545"/>
          <w:shd w:val="clear" w:color="auto" w:fill="FFFFFF"/>
        </w:rPr>
        <w:t xml:space="preserve"> decision by U.S. Court of Appeals for the 11</w:t>
      </w:r>
      <w:r w:rsidRPr="00BF4B65">
        <w:rPr>
          <w:color w:val="454545"/>
          <w:shd w:val="clear" w:color="auto" w:fill="FFFFFF"/>
          <w:vertAlign w:val="superscript"/>
        </w:rPr>
        <w:t>th</w:t>
      </w:r>
      <w:r>
        <w:rPr>
          <w:color w:val="454545"/>
          <w:shd w:val="clear" w:color="auto" w:fill="FFFFFF"/>
        </w:rPr>
        <w:t xml:space="preserve"> Circuit, </w:t>
      </w:r>
      <w:r w:rsidRPr="007F4E32">
        <w:rPr>
          <w:color w:val="454545"/>
          <w:u w:val="single"/>
          <w:shd w:val="clear" w:color="auto" w:fill="FFFFFF"/>
        </w:rPr>
        <w:t>Anna Lang v. Houston County, Georg</w:t>
      </w:r>
      <w:r>
        <w:rPr>
          <w:color w:val="454545"/>
          <w:u w:val="single"/>
          <w:shd w:val="clear" w:color="auto" w:fill="FFFFFF"/>
        </w:rPr>
        <w:t>ia</w:t>
      </w:r>
      <w:r>
        <w:rPr>
          <w:color w:val="454545"/>
          <w:shd w:val="clear" w:color="auto" w:fill="FFFFFF"/>
        </w:rPr>
        <w:t xml:space="preserve">: </w:t>
      </w:r>
    </w:p>
    <w:p w14:paraId="53262C28" w14:textId="77777777" w:rsidR="009F02E2" w:rsidRPr="00C65EDF" w:rsidRDefault="009F02E2" w:rsidP="009F02E2">
      <w:pPr>
        <w:pStyle w:val="NoSpacing"/>
        <w:ind w:left="1440"/>
        <w:rPr>
          <w:rFonts w:ascii="Times New Roman" w:hAnsi="Times New Roman"/>
          <w:sz w:val="24"/>
          <w:szCs w:val="24"/>
          <w:shd w:val="clear" w:color="auto" w:fill="FFFFFF"/>
        </w:rPr>
      </w:pPr>
      <w:r>
        <w:rPr>
          <w:rFonts w:ascii="Times New Roman" w:hAnsi="Times New Roman"/>
          <w:sz w:val="24"/>
          <w:szCs w:val="24"/>
          <w:shd w:val="clear" w:color="auto" w:fill="FFFFFF"/>
        </w:rPr>
        <w:t>“</w:t>
      </w:r>
      <w:r w:rsidRPr="005C61F2">
        <w:rPr>
          <w:rFonts w:ascii="Times New Roman" w:hAnsi="Times New Roman"/>
          <w:sz w:val="24"/>
          <w:szCs w:val="24"/>
          <w:shd w:val="clear" w:color="auto" w:fill="FFFFFF"/>
        </w:rPr>
        <w:t>Anna Lange is a transgender woman</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Lange was formally diagnosed with gender dysphoria by a</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healthcare provider in 2017. The next year, Lange informed the</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Sheriff’s Office that she was transgender and would be living as a</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woman. Following her formal diagnosis, Lange’s healthcare providers started her on a treatment plan to align her physical characteristics with her gender identity. The plan comprised of hormone</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therapy and gender-affirming surgery, both of which are shown to</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alleviate symptoms of gender dysphoria. In 2018, her healthcare</w:t>
      </w:r>
    </w:p>
    <w:p w14:paraId="7A78DC16" w14:textId="77777777" w:rsidR="009F02E2" w:rsidRPr="00C65EDF" w:rsidRDefault="009F02E2" w:rsidP="009F02E2">
      <w:pPr>
        <w:pStyle w:val="NoSpacing"/>
        <w:ind w:left="1440"/>
        <w:rPr>
          <w:rFonts w:ascii="Times New Roman" w:hAnsi="Times New Roman"/>
          <w:sz w:val="24"/>
          <w:szCs w:val="24"/>
          <w:shd w:val="clear" w:color="auto" w:fill="FFFFFF"/>
        </w:rPr>
      </w:pPr>
      <w:r w:rsidRPr="00C65EDF">
        <w:rPr>
          <w:rFonts w:ascii="Times New Roman" w:hAnsi="Times New Roman"/>
          <w:sz w:val="24"/>
          <w:szCs w:val="24"/>
          <w:shd w:val="clear" w:color="auto" w:fill="FFFFFF"/>
        </w:rPr>
        <w:t>providers determined that a vaginoplasty—a surgical procedure to</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feminize her genitals—was medically necessary.</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 xml:space="preserve">Lange turned to her health insurance to cover her </w:t>
      </w:r>
      <w:proofErr w:type="gramStart"/>
      <w:r w:rsidRPr="00C65EDF">
        <w:rPr>
          <w:rFonts w:ascii="Times New Roman" w:hAnsi="Times New Roman"/>
          <w:sz w:val="24"/>
          <w:szCs w:val="24"/>
          <w:shd w:val="clear" w:color="auto" w:fill="FFFFFF"/>
        </w:rPr>
        <w:t>medically</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necessary</w:t>
      </w:r>
      <w:proofErr w:type="gramEnd"/>
      <w:r w:rsidRPr="00C65EDF">
        <w:rPr>
          <w:rFonts w:ascii="Times New Roman" w:hAnsi="Times New Roman"/>
          <w:sz w:val="24"/>
          <w:szCs w:val="24"/>
          <w:shd w:val="clear" w:color="auto" w:fill="FFFFFF"/>
        </w:rPr>
        <w:t xml:space="preserve"> surgery. However, Lange’s request for coverage was </w:t>
      </w:r>
      <w:r>
        <w:rPr>
          <w:rFonts w:ascii="Times New Roman" w:hAnsi="Times New Roman"/>
          <w:sz w:val="24"/>
          <w:szCs w:val="24"/>
          <w:shd w:val="clear" w:color="auto" w:fill="FFFFFF"/>
        </w:rPr>
        <w:t>denied</w:t>
      </w:r>
      <w:r w:rsidRPr="00C65EDF">
        <w:rPr>
          <w:rFonts w:ascii="Times New Roman" w:hAnsi="Times New Roman"/>
          <w:sz w:val="24"/>
          <w:szCs w:val="24"/>
          <w:shd w:val="clear" w:color="auto" w:fill="FFFFFF"/>
        </w:rPr>
        <w:t xml:space="preserve"> based on the Health Plan’s exclusion of </w:t>
      </w:r>
      <w:r>
        <w:rPr>
          <w:rFonts w:ascii="Times New Roman" w:hAnsi="Times New Roman"/>
          <w:sz w:val="24"/>
          <w:szCs w:val="24"/>
          <w:shd w:val="clear" w:color="auto" w:fill="FFFFFF"/>
        </w:rPr>
        <w:t>‘</w:t>
      </w:r>
      <w:r w:rsidRPr="00C65EDF">
        <w:rPr>
          <w:rFonts w:ascii="Times New Roman" w:hAnsi="Times New Roman"/>
          <w:sz w:val="24"/>
          <w:szCs w:val="24"/>
          <w:shd w:val="clear" w:color="auto" w:fill="FFFFFF"/>
        </w:rPr>
        <w:t>[d]rugs for sex change</w:t>
      </w:r>
    </w:p>
    <w:p w14:paraId="09A024DE" w14:textId="77777777" w:rsidR="009F02E2" w:rsidRPr="007A5B05" w:rsidRDefault="009F02E2" w:rsidP="009F02E2">
      <w:pPr>
        <w:pStyle w:val="NoSpacing"/>
        <w:ind w:left="1440"/>
        <w:rPr>
          <w:rFonts w:ascii="Times New Roman" w:hAnsi="Times New Roman"/>
          <w:sz w:val="24"/>
          <w:szCs w:val="24"/>
          <w:shd w:val="clear" w:color="auto" w:fill="FFFFFF"/>
        </w:rPr>
      </w:pPr>
      <w:r w:rsidRPr="00C65EDF">
        <w:rPr>
          <w:rFonts w:ascii="Times New Roman" w:hAnsi="Times New Roman"/>
          <w:sz w:val="24"/>
          <w:szCs w:val="24"/>
          <w:shd w:val="clear" w:color="auto" w:fill="FFFFFF"/>
        </w:rPr>
        <w:t>surgery</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 xml:space="preserve">and </w:t>
      </w:r>
      <w:r>
        <w:rPr>
          <w:rFonts w:ascii="Times New Roman" w:hAnsi="Times New Roman"/>
          <w:sz w:val="24"/>
          <w:szCs w:val="24"/>
          <w:shd w:val="clear" w:color="auto" w:fill="FFFFFF"/>
        </w:rPr>
        <w:t>‘</w:t>
      </w:r>
      <w:r w:rsidRPr="00C65EDF">
        <w:rPr>
          <w:rFonts w:ascii="Times New Roman" w:hAnsi="Times New Roman"/>
          <w:sz w:val="24"/>
          <w:szCs w:val="24"/>
          <w:shd w:val="clear" w:color="auto" w:fill="FFFFFF"/>
        </w:rPr>
        <w:t>[s]</w:t>
      </w:r>
      <w:proofErr w:type="spellStart"/>
      <w:r w:rsidRPr="00C65EDF">
        <w:rPr>
          <w:rFonts w:ascii="Times New Roman" w:hAnsi="Times New Roman"/>
          <w:sz w:val="24"/>
          <w:szCs w:val="24"/>
          <w:shd w:val="clear" w:color="auto" w:fill="FFFFFF"/>
        </w:rPr>
        <w:t>ervices</w:t>
      </w:r>
      <w:proofErr w:type="spellEnd"/>
      <w:r w:rsidRPr="00C65EDF">
        <w:rPr>
          <w:rFonts w:ascii="Times New Roman" w:hAnsi="Times New Roman"/>
          <w:sz w:val="24"/>
          <w:szCs w:val="24"/>
          <w:shd w:val="clear" w:color="auto" w:fill="FFFFFF"/>
        </w:rPr>
        <w:t xml:space="preserve"> and supplies for a sex change and/or the</w:t>
      </w:r>
      <w:r>
        <w:rPr>
          <w:rFonts w:ascii="Times New Roman" w:hAnsi="Times New Roman"/>
          <w:sz w:val="24"/>
          <w:szCs w:val="24"/>
          <w:shd w:val="clear" w:color="auto" w:fill="FFFFFF"/>
        </w:rPr>
        <w:t xml:space="preserve"> </w:t>
      </w:r>
      <w:r w:rsidRPr="00C65EDF">
        <w:rPr>
          <w:rFonts w:ascii="Times New Roman" w:hAnsi="Times New Roman"/>
          <w:sz w:val="24"/>
          <w:szCs w:val="24"/>
          <w:shd w:val="clear" w:color="auto" w:fill="FFFFFF"/>
        </w:rPr>
        <w:t>reversal of a sex change</w:t>
      </w:r>
      <w:r>
        <w:rPr>
          <w:rFonts w:ascii="Times New Roman" w:hAnsi="Times New Roman"/>
          <w:sz w:val="24"/>
          <w:szCs w:val="24"/>
          <w:shd w:val="clear" w:color="auto" w:fill="FFFFFF"/>
        </w:rPr>
        <w:t>’</w:t>
      </w:r>
      <w:r w:rsidRPr="00C65EDF">
        <w:rPr>
          <w:rFonts w:ascii="Times New Roman" w:hAnsi="Times New Roman"/>
          <w:sz w:val="24"/>
          <w:szCs w:val="24"/>
          <w:shd w:val="clear" w:color="auto" w:fill="FFFFFF"/>
        </w:rPr>
        <w:t xml:space="preserve"> (together, the Exclusion)</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In granting summary judgment to Lange on the Title VII</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claim, the district court found the Exclusion facially discriminatory</w:t>
      </w:r>
    </w:p>
    <w:p w14:paraId="5FB30946" w14:textId="77777777" w:rsidR="009F02E2" w:rsidRDefault="009F02E2" w:rsidP="009F02E2">
      <w:pPr>
        <w:pStyle w:val="NoSpacing"/>
        <w:ind w:left="1440"/>
        <w:rPr>
          <w:rFonts w:ascii="Times New Roman" w:hAnsi="Times New Roman"/>
          <w:sz w:val="24"/>
          <w:szCs w:val="24"/>
          <w:shd w:val="clear" w:color="auto" w:fill="FFFFFF"/>
        </w:rPr>
      </w:pPr>
      <w:r w:rsidRPr="007A5B05">
        <w:rPr>
          <w:rFonts w:ascii="Times New Roman" w:hAnsi="Times New Roman"/>
          <w:sz w:val="24"/>
          <w:szCs w:val="24"/>
          <w:shd w:val="clear" w:color="auto" w:fill="FFFFFF"/>
        </w:rPr>
        <w:t>as a matter of law. The Title VII claim then proceeded to trial, and</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a jury awarded Lange $60,000 in damages. After trial, the district</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court entered an order declaring that the Exclusion violated Title</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VII and permanently enjoined the Sheriff and Houston County</w:t>
      </w:r>
      <w:r>
        <w:rPr>
          <w:rFonts w:ascii="Times New Roman" w:hAnsi="Times New Roman"/>
          <w:sz w:val="24"/>
          <w:szCs w:val="24"/>
          <w:shd w:val="clear" w:color="auto" w:fill="FFFFFF"/>
        </w:rPr>
        <w:t xml:space="preserve"> </w:t>
      </w:r>
      <w:r w:rsidRPr="007A5B05">
        <w:rPr>
          <w:rFonts w:ascii="Times New Roman" w:hAnsi="Times New Roman"/>
          <w:sz w:val="24"/>
          <w:szCs w:val="24"/>
          <w:shd w:val="clear" w:color="auto" w:fill="FFFFFF"/>
        </w:rPr>
        <w:t xml:space="preserve">from any further enforcement or application of the </w:t>
      </w:r>
      <w:proofErr w:type="gramStart"/>
      <w:r w:rsidRPr="007A5B05">
        <w:rPr>
          <w:rFonts w:ascii="Times New Roman" w:hAnsi="Times New Roman"/>
          <w:sz w:val="24"/>
          <w:szCs w:val="24"/>
          <w:shd w:val="clear" w:color="auto" w:fill="FFFFFF"/>
        </w:rPr>
        <w:t>Exclusion.</w:t>
      </w:r>
      <w:r>
        <w:rPr>
          <w:rFonts w:ascii="Times New Roman" w:hAnsi="Times New Roman"/>
          <w:sz w:val="24"/>
          <w:szCs w:val="24"/>
          <w:shd w:val="clear" w:color="auto" w:fill="FFFFFF"/>
        </w:rPr>
        <w:t>”</w:t>
      </w:r>
      <w:proofErr w:type="gramEnd"/>
    </w:p>
    <w:p w14:paraId="7277BE35" w14:textId="77777777" w:rsidR="009F02E2" w:rsidRDefault="009F02E2" w:rsidP="009F02E2">
      <w:pPr>
        <w:pStyle w:val="NoSpacing"/>
        <w:ind w:left="1440"/>
        <w:rPr>
          <w:rFonts w:ascii="Times New Roman" w:hAnsi="Times New Roman"/>
          <w:sz w:val="24"/>
          <w:szCs w:val="24"/>
          <w:shd w:val="clear" w:color="auto" w:fill="FFFFFF"/>
        </w:rPr>
      </w:pPr>
    </w:p>
    <w:p w14:paraId="76C8FA27" w14:textId="77777777" w:rsidR="009F02E2" w:rsidRDefault="009F02E2" w:rsidP="009F02E2">
      <w:pPr>
        <w:pStyle w:val="NoSpacing"/>
        <w:ind w:left="1440"/>
        <w:rPr>
          <w:rFonts w:ascii="Times New Roman" w:hAnsi="Times New Roman"/>
          <w:sz w:val="24"/>
          <w:szCs w:val="24"/>
          <w:shd w:val="clear" w:color="auto" w:fill="FFFFFF"/>
        </w:rPr>
      </w:pPr>
      <w:r>
        <w:rPr>
          <w:rFonts w:ascii="Times New Roman" w:hAnsi="Times New Roman"/>
          <w:sz w:val="24"/>
          <w:szCs w:val="24"/>
          <w:shd w:val="clear" w:color="auto" w:fill="FFFFFF"/>
        </w:rPr>
        <w:t>The 11</w:t>
      </w:r>
      <w:r w:rsidRPr="007A5B05">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agreed:</w:t>
      </w:r>
    </w:p>
    <w:p w14:paraId="17319099" w14:textId="77777777" w:rsidR="009F02E2" w:rsidRDefault="009F02E2" w:rsidP="009F02E2">
      <w:pPr>
        <w:pStyle w:val="NoSpacing"/>
        <w:ind w:left="1440"/>
        <w:rPr>
          <w:rFonts w:ascii="Times New Roman" w:hAnsi="Times New Roman"/>
          <w:sz w:val="24"/>
          <w:szCs w:val="24"/>
          <w:shd w:val="clear" w:color="auto" w:fill="FFFFFF"/>
        </w:rPr>
      </w:pPr>
    </w:p>
    <w:p w14:paraId="6384FCBF" w14:textId="77777777" w:rsidR="009F02E2" w:rsidRPr="00017ECB" w:rsidRDefault="009F02E2" w:rsidP="009F02E2">
      <w:pPr>
        <w:pStyle w:val="NoSpacing"/>
        <w:ind w:left="1440"/>
        <w:rPr>
          <w:rFonts w:ascii="Times New Roman" w:hAnsi="Times New Roman"/>
          <w:sz w:val="24"/>
          <w:szCs w:val="24"/>
          <w:shd w:val="clear" w:color="auto" w:fill="FFFFFF"/>
        </w:rPr>
      </w:pPr>
      <w:r>
        <w:rPr>
          <w:rFonts w:ascii="Times New Roman" w:hAnsi="Times New Roman"/>
          <w:sz w:val="24"/>
          <w:szCs w:val="24"/>
          <w:shd w:val="clear" w:color="auto" w:fill="FFFFFF"/>
        </w:rPr>
        <w:t>“[W]</w:t>
      </w:r>
      <w:r w:rsidRPr="00017ECB">
        <w:rPr>
          <w:rFonts w:ascii="Times New Roman" w:hAnsi="Times New Roman"/>
          <w:sz w:val="24"/>
          <w:szCs w:val="24"/>
          <w:shd w:val="clear" w:color="auto" w:fill="FFFFFF"/>
        </w:rPr>
        <w:t>e conclude that the district court was correct in finding that the Exclusion violated Title VII. There is no genuine dispute of fact or law</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as to whether the Exclusion unlawfully discriminates against Lange</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and other transgender persons. The Exclusion is a blanket denial</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of coverage for gender-affirming surgery. Health Plan participants</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who are transgender are the only participants who would seek gender-affirming surgery. Because transgender persons are the only</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plan participants who qualify for gender-affirming surgery, the plan</w:t>
      </w:r>
      <w:r>
        <w:rPr>
          <w:rFonts w:ascii="Times New Roman" w:hAnsi="Times New Roman"/>
          <w:sz w:val="24"/>
          <w:szCs w:val="24"/>
          <w:shd w:val="clear" w:color="auto" w:fill="FFFFFF"/>
        </w:rPr>
        <w:t xml:space="preserve"> </w:t>
      </w:r>
      <w:r w:rsidRPr="00017ECB">
        <w:rPr>
          <w:rFonts w:ascii="Times New Roman" w:hAnsi="Times New Roman"/>
          <w:sz w:val="24"/>
          <w:szCs w:val="24"/>
          <w:shd w:val="clear" w:color="auto" w:fill="FFFFFF"/>
        </w:rPr>
        <w:t>denies health care coverage based on transgender status.</w:t>
      </w:r>
      <w:r>
        <w:rPr>
          <w:rFonts w:ascii="Times New Roman" w:hAnsi="Times New Roman"/>
          <w:sz w:val="24"/>
          <w:szCs w:val="24"/>
          <w:shd w:val="clear" w:color="auto" w:fill="FFFFFF"/>
        </w:rPr>
        <w:t xml:space="preserve">” </w:t>
      </w:r>
      <w:hyperlink r:id="rId1083" w:history="1">
        <w:r w:rsidRPr="003E1588">
          <w:rPr>
            <w:rStyle w:val="Hyperlink"/>
            <w:rFonts w:ascii="Times New Roman" w:hAnsi="Times New Roman"/>
            <w:sz w:val="24"/>
            <w:szCs w:val="24"/>
            <w:shd w:val="clear" w:color="auto" w:fill="FFFFFF"/>
          </w:rPr>
          <w:t>https://media.ca11.uscourts.gov/opinions/pub/files/202213626.pdf</w:t>
        </w:r>
      </w:hyperlink>
      <w:r>
        <w:rPr>
          <w:rFonts w:ascii="Times New Roman" w:hAnsi="Times New Roman"/>
          <w:sz w:val="24"/>
          <w:szCs w:val="24"/>
          <w:shd w:val="clear" w:color="auto" w:fill="FFFFFF"/>
        </w:rPr>
        <w:t xml:space="preserve"> </w:t>
      </w:r>
    </w:p>
    <w:p w14:paraId="3669E115" w14:textId="77777777" w:rsidR="00DC3D8E" w:rsidRDefault="00DC3D8E" w:rsidP="006C4AD8">
      <w:pPr>
        <w:pStyle w:val="NormalWeb"/>
        <w:spacing w:before="0" w:beforeAutospacing="0"/>
        <w:rPr>
          <w:rFonts w:ascii="Arial Black" w:hAnsi="Arial Black"/>
          <w:b/>
          <w:bCs/>
          <w:color w:val="454545"/>
          <w:sz w:val="28"/>
          <w:szCs w:val="28"/>
          <w:shd w:val="clear" w:color="auto" w:fill="FFFFFF"/>
        </w:rPr>
      </w:pPr>
    </w:p>
    <w:p w14:paraId="355E5168" w14:textId="77777777" w:rsidR="00C63CEB" w:rsidRDefault="00C63CEB" w:rsidP="006C4AD8">
      <w:pPr>
        <w:pStyle w:val="NormalWeb"/>
        <w:spacing w:before="0" w:beforeAutospacing="0"/>
        <w:rPr>
          <w:rFonts w:ascii="Arial Black" w:hAnsi="Arial Black"/>
          <w:b/>
          <w:bCs/>
          <w:color w:val="454545"/>
          <w:sz w:val="28"/>
          <w:szCs w:val="28"/>
          <w:shd w:val="clear" w:color="auto" w:fill="FFFFFF"/>
        </w:rPr>
      </w:pPr>
    </w:p>
    <w:p w14:paraId="155CB732" w14:textId="754EF3A1" w:rsidR="003F14B8" w:rsidRDefault="003F14B8"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1</w:t>
      </w:r>
    </w:p>
    <w:p w14:paraId="6299ACD8" w14:textId="77777777" w:rsidR="00E018F9" w:rsidRPr="00DC6B8D" w:rsidRDefault="00E018F9" w:rsidP="00E018F9">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NJ: EMT SLIPPED ON ICE – RETIRED – ACCIDENTAL DISABILITY PENSION DENIED – NOT “UNEXPECTED” </w:t>
      </w:r>
    </w:p>
    <w:p w14:paraId="3C88B6B5" w14:textId="77777777" w:rsidR="00E018F9" w:rsidRDefault="00E018F9" w:rsidP="00E018F9">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May 14, 2024, in </w:t>
      </w:r>
      <w:r w:rsidRPr="00530983">
        <w:rPr>
          <w:rFonts w:ascii="Times New Roman" w:eastAsia="Times New Roman" w:hAnsi="Times New Roman"/>
          <w:sz w:val="24"/>
          <w:szCs w:val="24"/>
          <w:u w:val="single"/>
        </w:rPr>
        <w:t>Dennis McCool v. Board of Trustees, Public Employees’ Retirement System</w:t>
      </w:r>
      <w:r>
        <w:rPr>
          <w:rFonts w:ascii="Times New Roman" w:eastAsia="Times New Roman" w:hAnsi="Times New Roman"/>
          <w:sz w:val="24"/>
          <w:szCs w:val="24"/>
        </w:rPr>
        <w:t>, the Superior Court of New Jersey, Appellate Division, upheld the Board and the Administrative Law Judge decision denying ADR [accidental disability pension] benefits. ADR is 72.7% of base salary at time of traumatic event, ordinary is 43.6% of final average salary.</w:t>
      </w:r>
      <w:r w:rsidRPr="0084019C">
        <w:t xml:space="preserve"> </w:t>
      </w:r>
      <w:hyperlink r:id="rId1084" w:history="1">
        <w:r w:rsidRPr="008C767B">
          <w:rPr>
            <w:rStyle w:val="Hyperlink"/>
            <w:rFonts w:ascii="Times New Roman" w:eastAsia="Times New Roman" w:hAnsi="Times New Roman"/>
            <w:sz w:val="24"/>
            <w:szCs w:val="24"/>
          </w:rPr>
          <w:t>https://www.nj.gov/treasury/pensions/documents/factsheets/fact15.pdf</w:t>
        </w:r>
      </w:hyperlink>
      <w:r>
        <w:rPr>
          <w:rFonts w:ascii="Times New Roman" w:eastAsia="Times New Roman" w:hAnsi="Times New Roman"/>
          <w:sz w:val="24"/>
          <w:szCs w:val="24"/>
        </w:rPr>
        <w:t xml:space="preserve">.  The Court held (3 to 0): </w:t>
      </w:r>
    </w:p>
    <w:p w14:paraId="63D6083B" w14:textId="77777777" w:rsidR="00E018F9" w:rsidRPr="00560FAA" w:rsidRDefault="00E018F9" w:rsidP="00E018F9">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w:t>
      </w:r>
      <w:r w:rsidRPr="00560FAA">
        <w:rPr>
          <w:rFonts w:ascii="Times New Roman" w:eastAsia="Times New Roman" w:hAnsi="Times New Roman"/>
          <w:sz w:val="24"/>
          <w:szCs w:val="24"/>
        </w:rPr>
        <w:t xml:space="preserve">On January 4, 2019, petitioner applied for ADR benefits. In his application he wrote: </w:t>
      </w:r>
    </w:p>
    <w:p w14:paraId="2506AE68" w14:textId="77777777" w:rsidR="00E018F9" w:rsidRPr="00560FAA" w:rsidRDefault="00E018F9" w:rsidP="00E018F9">
      <w:pPr>
        <w:spacing w:after="100" w:line="240" w:lineRule="auto"/>
        <w:ind w:left="1440"/>
        <w:rPr>
          <w:rFonts w:ascii="Times New Roman" w:eastAsia="Times New Roman" w:hAnsi="Times New Roman"/>
          <w:sz w:val="24"/>
          <w:szCs w:val="24"/>
        </w:rPr>
      </w:pPr>
      <w:r w:rsidRPr="00560FAA">
        <w:rPr>
          <w:rFonts w:ascii="Times New Roman" w:eastAsia="Times New Roman" w:hAnsi="Times New Roman"/>
          <w:sz w:val="24"/>
          <w:szCs w:val="24"/>
        </w:rPr>
        <w:t>On January 9</w:t>
      </w:r>
      <w:proofErr w:type="gramStart"/>
      <w:r w:rsidRPr="00560FAA">
        <w:rPr>
          <w:rFonts w:ascii="Times New Roman" w:eastAsia="Times New Roman" w:hAnsi="Times New Roman"/>
          <w:sz w:val="24"/>
          <w:szCs w:val="24"/>
        </w:rPr>
        <w:t xml:space="preserve"> 2018</w:t>
      </w:r>
      <w:proofErr w:type="gramEnd"/>
      <w:r w:rsidRPr="00560FAA">
        <w:rPr>
          <w:rFonts w:ascii="Times New Roman" w:eastAsia="Times New Roman" w:hAnsi="Times New Roman"/>
          <w:sz w:val="24"/>
          <w:szCs w:val="24"/>
        </w:rPr>
        <w:t xml:space="preserve">[,] I slipped on icy snowy steps returning to vehicle from assisting a patient into residence[,] which resulted in a large piece of disc shearing off and compressing [my] sciatic nerve. I then underwent multiple surgeries and now have permanent nerve damage[,] a spinal nerve stimulator[,] and limited mobility. </w:t>
      </w:r>
    </w:p>
    <w:p w14:paraId="0C5D7FA3" w14:textId="77777777" w:rsidR="00E018F9" w:rsidRDefault="00E018F9" w:rsidP="00E018F9">
      <w:pPr>
        <w:spacing w:before="100" w:beforeAutospacing="1" w:after="100" w:afterAutospacing="1" w:line="240" w:lineRule="auto"/>
        <w:ind w:left="540"/>
        <w:rPr>
          <w:rFonts w:ascii="Times New Roman" w:eastAsia="Times New Roman" w:hAnsi="Times New Roman"/>
          <w:sz w:val="24"/>
          <w:szCs w:val="24"/>
        </w:rPr>
      </w:pPr>
      <w:r w:rsidRPr="00560FAA">
        <w:rPr>
          <w:rFonts w:ascii="Times New Roman" w:eastAsia="Times New Roman" w:hAnsi="Times New Roman"/>
          <w:sz w:val="24"/>
          <w:szCs w:val="24"/>
        </w:rPr>
        <w:t xml:space="preserve">On October 17, 2019, the Board denied McCool's application for ADR benefits because his disability was not the result of a traumatic event that was </w:t>
      </w:r>
      <w:r>
        <w:rPr>
          <w:rFonts w:ascii="Times New Roman" w:eastAsia="Times New Roman" w:hAnsi="Times New Roman"/>
          <w:sz w:val="24"/>
          <w:szCs w:val="24"/>
        </w:rPr>
        <w:t>‘</w:t>
      </w:r>
      <w:r w:rsidRPr="00560FAA">
        <w:rPr>
          <w:rFonts w:ascii="Times New Roman" w:eastAsia="Times New Roman" w:hAnsi="Times New Roman"/>
          <w:sz w:val="24"/>
          <w:szCs w:val="24"/>
        </w:rPr>
        <w:t>undesigned and unexpected.</w:t>
      </w:r>
      <w:r>
        <w:rPr>
          <w:rFonts w:ascii="Times New Roman" w:eastAsia="Times New Roman" w:hAnsi="Times New Roman"/>
          <w:sz w:val="24"/>
          <w:szCs w:val="24"/>
        </w:rPr>
        <w:t>’</w:t>
      </w:r>
    </w:p>
    <w:p w14:paraId="79F63800" w14:textId="77777777" w:rsidR="00E018F9" w:rsidRDefault="00E018F9" w:rsidP="00E018F9">
      <w:pPr>
        <w:spacing w:before="100" w:beforeAutospacing="1" w:after="100" w:afterAutospacing="1" w:line="240" w:lineRule="auto"/>
        <w:ind w:left="540"/>
        <w:rPr>
          <w:rFonts w:ascii="Times New Roman" w:eastAsia="Times New Roman" w:hAnsi="Times New Roman"/>
          <w:sz w:val="24"/>
          <w:szCs w:val="24"/>
        </w:rPr>
      </w:pPr>
      <w:r>
        <w:rPr>
          <w:rFonts w:ascii="Times New Roman" w:eastAsia="Times New Roman" w:hAnsi="Times New Roman"/>
          <w:sz w:val="24"/>
          <w:szCs w:val="24"/>
        </w:rPr>
        <w:t>***</w:t>
      </w:r>
    </w:p>
    <w:p w14:paraId="75CF4325" w14:textId="77777777" w:rsidR="00E018F9" w:rsidRDefault="00E018F9" w:rsidP="00E018F9">
      <w:pPr>
        <w:pStyle w:val="NormalWeb"/>
        <w:ind w:left="540"/>
      </w:pPr>
      <w:r>
        <w:t xml:space="preserve">McCool's contention that his case is </w:t>
      </w:r>
      <w:proofErr w:type="gramStart"/>
      <w:r>
        <w:t>similar to</w:t>
      </w:r>
      <w:proofErr w:type="gramEnd"/>
      <w:r>
        <w:t xml:space="preserve"> </w:t>
      </w:r>
      <w:r>
        <w:rPr>
          <w:rStyle w:val="Emphasis"/>
          <w:rFonts w:eastAsiaTheme="majorEastAsia"/>
        </w:rPr>
        <w:t>Richardson</w:t>
      </w:r>
      <w:r>
        <w:t xml:space="preserve"> and </w:t>
      </w:r>
      <w:r>
        <w:rPr>
          <w:rStyle w:val="Emphasis"/>
          <w:rFonts w:eastAsiaTheme="majorEastAsia"/>
        </w:rPr>
        <w:t>Moran v. Board of Trustees, Police &amp;Firemen's Retirement System</w:t>
      </w:r>
      <w:r>
        <w:t xml:space="preserve">, 438 </w:t>
      </w:r>
      <w:proofErr w:type="spellStart"/>
      <w:r>
        <w:t>N.J.Super</w:t>
      </w:r>
      <w:proofErr w:type="spellEnd"/>
      <w:r>
        <w:t xml:space="preserve">. 346 (App. Div. 2014), is not convincing. In </w:t>
      </w:r>
      <w:r>
        <w:rPr>
          <w:rStyle w:val="Emphasis"/>
          <w:rFonts w:eastAsiaTheme="majorEastAsia"/>
        </w:rPr>
        <w:t>Richardson</w:t>
      </w:r>
      <w:r>
        <w:t xml:space="preserve">, a corrections officer was injured while attempting to subdue an inmate. 192 N.J. at 193. There, the officer straddled the inmate to hold him down. </w:t>
      </w:r>
      <w:r>
        <w:rPr>
          <w:rStyle w:val="Emphasis"/>
          <w:rFonts w:eastAsiaTheme="majorEastAsia"/>
        </w:rPr>
        <w:t>Ibid.</w:t>
      </w:r>
      <w:r>
        <w:t xml:space="preserve"> The inmate continued to kick, punch, and throw his body around, and eventually pulled himself loose. </w:t>
      </w:r>
      <w:r>
        <w:rPr>
          <w:rStyle w:val="Emphasis"/>
          <w:rFonts w:eastAsiaTheme="majorEastAsia"/>
        </w:rPr>
        <w:t>Ibid.</w:t>
      </w:r>
      <w:r>
        <w:t xml:space="preserve"> The inmate then forcefully jerked up from the ground and knocked the officer backward, injuring him. </w:t>
      </w:r>
      <w:r>
        <w:rPr>
          <w:rStyle w:val="Emphasis"/>
          <w:rFonts w:eastAsiaTheme="majorEastAsia"/>
        </w:rPr>
        <w:t>Ibid.</w:t>
      </w:r>
      <w:r>
        <w:t xml:space="preserve"> </w:t>
      </w:r>
    </w:p>
    <w:p w14:paraId="2B4FD90E" w14:textId="77777777" w:rsidR="00E018F9" w:rsidRDefault="00E018F9" w:rsidP="00E018F9">
      <w:pPr>
        <w:pStyle w:val="NormalWeb"/>
        <w:ind w:left="540"/>
      </w:pPr>
      <w:r>
        <w:t xml:space="preserve">In </w:t>
      </w:r>
      <w:r>
        <w:rPr>
          <w:rStyle w:val="Emphasis"/>
          <w:rFonts w:eastAsiaTheme="majorEastAsia"/>
        </w:rPr>
        <w:t>Moran,</w:t>
      </w:r>
      <w:r>
        <w:t xml:space="preserve"> the court found an undesigned and unexpected event occurred when a ‘combination of unusual circumstances . . . led to [the member's] injury.’ 438 </w:t>
      </w:r>
      <w:proofErr w:type="spellStart"/>
      <w:r>
        <w:t>N.J.Super</w:t>
      </w:r>
      <w:proofErr w:type="spellEnd"/>
      <w:r>
        <w:t xml:space="preserve">. at 354. In that case, a firefighter was injured after kicking down a door to a burning building because he heard voices yelling from inside. </w:t>
      </w:r>
      <w:r>
        <w:rPr>
          <w:rStyle w:val="Emphasis"/>
          <w:rFonts w:eastAsiaTheme="majorEastAsia"/>
        </w:rPr>
        <w:t>Id.</w:t>
      </w:r>
      <w:r>
        <w:t xml:space="preserve"> at 349-50. The firefighter was part of the ‘engine company’ that brought </w:t>
      </w:r>
      <w:proofErr w:type="gramStart"/>
      <w:r>
        <w:t>hoses</w:t>
      </w:r>
      <w:proofErr w:type="gramEnd"/>
      <w:r>
        <w:t xml:space="preserve"> to burning buildings and not part of the ‘truck company’ that brought equipment used to forcibly enter buildings. </w:t>
      </w:r>
      <w:r>
        <w:rPr>
          <w:rStyle w:val="Emphasis"/>
          <w:rFonts w:eastAsiaTheme="majorEastAsia"/>
        </w:rPr>
        <w:t>Id.</w:t>
      </w:r>
      <w:r>
        <w:t xml:space="preserve"> at 349. The ‘truck company’ was running late so the firefighter attempted to rescue victims trapped inside the building despite not having the proper equipment. </w:t>
      </w:r>
      <w:r>
        <w:rPr>
          <w:rStyle w:val="Emphasis"/>
          <w:rFonts w:eastAsiaTheme="majorEastAsia"/>
        </w:rPr>
        <w:t>Id.</w:t>
      </w:r>
      <w:r>
        <w:t xml:space="preserve"> at 354. We concluded the firefighter's injury was caused by an undesigned and unexpected event because the firefighter faced unusual circumstances, including the presence of victims inside the burning building, the "truck company's" delay, and the lack of equipment to break down the door. </w:t>
      </w:r>
      <w:r>
        <w:rPr>
          <w:rStyle w:val="Emphasis"/>
          <w:rFonts w:eastAsiaTheme="majorEastAsia"/>
        </w:rPr>
        <w:t>Ibid.</w:t>
      </w:r>
      <w:r>
        <w:t xml:space="preserve"> </w:t>
      </w:r>
    </w:p>
    <w:p w14:paraId="3146B63E" w14:textId="77777777" w:rsidR="00E018F9" w:rsidRDefault="00E018F9" w:rsidP="00E018F9">
      <w:pPr>
        <w:pStyle w:val="NormalWeb"/>
        <w:ind w:left="540"/>
      </w:pPr>
      <w:r>
        <w:t xml:space="preserve">Unlike in </w:t>
      </w:r>
      <w:r>
        <w:rPr>
          <w:rStyle w:val="Emphasis"/>
          <w:rFonts w:eastAsiaTheme="majorEastAsia"/>
        </w:rPr>
        <w:t>Richardson</w:t>
      </w:r>
      <w:r>
        <w:t xml:space="preserve"> and </w:t>
      </w:r>
      <w:r>
        <w:rPr>
          <w:rStyle w:val="Emphasis"/>
          <w:rFonts w:eastAsiaTheme="majorEastAsia"/>
        </w:rPr>
        <w:t>Moran</w:t>
      </w:r>
      <w:r>
        <w:t xml:space="preserve">, petitioner's injury did not result from an ‘unexpected happening.’ He did not face unusual circumstances like in </w:t>
      </w:r>
      <w:r>
        <w:rPr>
          <w:rStyle w:val="Emphasis"/>
          <w:rFonts w:eastAsiaTheme="majorEastAsia"/>
        </w:rPr>
        <w:t>Moran</w:t>
      </w:r>
      <w:r>
        <w:t xml:space="preserve">; nor was he injured as </w:t>
      </w:r>
      <w:proofErr w:type="spellStart"/>
      <w:proofErr w:type="gramStart"/>
      <w:r>
        <w:t>a</w:t>
      </w:r>
      <w:proofErr w:type="spellEnd"/>
      <w:proofErr w:type="gramEnd"/>
      <w:r>
        <w:t xml:space="preserve"> individual like in </w:t>
      </w:r>
      <w:r>
        <w:rPr>
          <w:rStyle w:val="Emphasis"/>
          <w:rFonts w:eastAsiaTheme="majorEastAsia"/>
        </w:rPr>
        <w:t>Richardson</w:t>
      </w:r>
      <w:r>
        <w:t xml:space="preserve">. After considering </w:t>
      </w:r>
      <w:proofErr w:type="gramStart"/>
      <w:r>
        <w:t>all of</w:t>
      </w:r>
      <w:proofErr w:type="gramEnd"/>
      <w:r>
        <w:t xml:space="preserve"> the evidence presented and the applicable legal standards, the ALJ determined McCool failed to prove by a preponderance of the evidence his disability was caused by an undesigned and unexpected event. The ALJ's decision was based on ample findings supported by substantial credible evidence in the record and was not arbitrary, capricious, or unreasonable. We discern no basis to disturb the Board's decision </w:t>
      </w:r>
      <w:proofErr w:type="gramStart"/>
      <w:r>
        <w:t>adopting</w:t>
      </w:r>
      <w:proofErr w:type="gramEnd"/>
      <w:r>
        <w:t xml:space="preserve"> the ALJ's findings and </w:t>
      </w:r>
      <w:proofErr w:type="gramStart"/>
      <w:r>
        <w:t>denying</w:t>
      </w:r>
      <w:proofErr w:type="gramEnd"/>
      <w:r>
        <w:t xml:space="preserve"> McCool's application for ADR benefits. </w:t>
      </w:r>
    </w:p>
    <w:p w14:paraId="00CA3F4B" w14:textId="77777777" w:rsidR="00E018F9" w:rsidRPr="00560FAA" w:rsidRDefault="00E018F9" w:rsidP="00E018F9">
      <w:pPr>
        <w:pStyle w:val="NormalWeb"/>
        <w:ind w:left="540"/>
      </w:pPr>
      <w:r>
        <w:t xml:space="preserve">The Board's decision is supported by sufficient credible evidence on the </w:t>
      </w:r>
      <w:proofErr w:type="gramStart"/>
      <w:r>
        <w:t>record as a whole</w:t>
      </w:r>
      <w:proofErr w:type="gramEnd"/>
      <w:r>
        <w:t xml:space="preserve">. </w:t>
      </w:r>
      <w:r>
        <w:rPr>
          <w:rStyle w:val="Emphasis"/>
          <w:rFonts w:eastAsiaTheme="majorEastAsia"/>
        </w:rPr>
        <w:t>R.</w:t>
      </w:r>
      <w:r>
        <w:t xml:space="preserve"> 2:11-3(e)(1)(D). To the extent we have not otherwise addressed McCool's arguments, they are without sufficient merit to warrant discussion in a written opinion. </w:t>
      </w:r>
      <w:r>
        <w:rPr>
          <w:rStyle w:val="Emphasis"/>
          <w:rFonts w:eastAsiaTheme="majorEastAsia"/>
        </w:rPr>
        <w:t>R.</w:t>
      </w:r>
      <w:r>
        <w:t xml:space="preserve"> 2:11-3(e)(1)(E).”</w:t>
      </w:r>
      <w:r w:rsidRPr="00C602E7">
        <w:t xml:space="preserve"> </w:t>
      </w:r>
      <w:hyperlink r:id="rId1085" w:history="1">
        <w:r w:rsidRPr="008C767B">
          <w:rPr>
            <w:rStyle w:val="Hyperlink"/>
          </w:rPr>
          <w:t>https://www.njcourts.gov/system/files/court-opinions/2024/a3332-21.pdf</w:t>
        </w:r>
      </w:hyperlink>
      <w:r>
        <w:t xml:space="preserve"> </w:t>
      </w:r>
      <w:r w:rsidRPr="00560FAA">
        <w:t xml:space="preserve"> </w:t>
      </w:r>
    </w:p>
    <w:p w14:paraId="45BCA169" w14:textId="77777777" w:rsidR="00C63CEB" w:rsidRPr="001D4B2A" w:rsidRDefault="00C63CEB" w:rsidP="00C63CEB">
      <w:pPr>
        <w:pStyle w:val="NormalWeb"/>
        <w:rPr>
          <w:b/>
          <w:bCs/>
        </w:rPr>
      </w:pPr>
      <w:r w:rsidRPr="001D4B2A">
        <w:rPr>
          <w:b/>
          <w:bCs/>
        </w:rPr>
        <w:t>Legal Lesson Learned:</w:t>
      </w:r>
      <w:r>
        <w:rPr>
          <w:b/>
          <w:bCs/>
        </w:rPr>
        <w:t xml:space="preserve"> Enhanced accidental disability pension for traumatic injury is limited to those injuries that are an “unexpected.”</w:t>
      </w:r>
    </w:p>
    <w:p w14:paraId="30E88095" w14:textId="77777777" w:rsidR="00E018F9" w:rsidRDefault="00E018F9" w:rsidP="006C4AD8">
      <w:pPr>
        <w:pStyle w:val="NormalWeb"/>
        <w:spacing w:before="0" w:beforeAutospacing="0"/>
        <w:rPr>
          <w:rFonts w:ascii="Arial Black" w:hAnsi="Arial Black"/>
          <w:b/>
          <w:bCs/>
          <w:color w:val="454545"/>
          <w:sz w:val="28"/>
          <w:szCs w:val="28"/>
          <w:shd w:val="clear" w:color="auto" w:fill="FFFFFF"/>
        </w:rPr>
      </w:pPr>
    </w:p>
    <w:p w14:paraId="3611B9F0" w14:textId="77777777" w:rsidR="003F14B8" w:rsidRDefault="003F14B8" w:rsidP="006C4AD8">
      <w:pPr>
        <w:pStyle w:val="NormalWeb"/>
        <w:spacing w:before="0" w:beforeAutospacing="0"/>
        <w:rPr>
          <w:rFonts w:ascii="Arial Black" w:hAnsi="Arial Black"/>
          <w:b/>
          <w:bCs/>
          <w:color w:val="454545"/>
          <w:sz w:val="28"/>
          <w:szCs w:val="28"/>
          <w:shd w:val="clear" w:color="auto" w:fill="FFFFFF"/>
        </w:rPr>
      </w:pPr>
    </w:p>
    <w:p w14:paraId="2459F776" w14:textId="03652378" w:rsidR="0060031B" w:rsidRDefault="0060031B"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6-13</w:t>
      </w:r>
      <w:r w:rsidR="002A0697">
        <w:rPr>
          <w:rFonts w:ascii="Arial Black" w:hAnsi="Arial Black"/>
          <w:b/>
          <w:bCs/>
          <w:color w:val="454545"/>
          <w:sz w:val="28"/>
          <w:szCs w:val="28"/>
          <w:shd w:val="clear" w:color="auto" w:fill="FFFFFF"/>
        </w:rPr>
        <w:t>0</w:t>
      </w:r>
    </w:p>
    <w:p w14:paraId="56260724" w14:textId="7A6C35D4" w:rsidR="006C4AD8" w:rsidRDefault="006C4AD8" w:rsidP="006C4AD8">
      <w:pPr>
        <w:pStyle w:val="NormalWeb"/>
        <w:spacing w:before="0" w:beforeAutospacing="0"/>
        <w:rPr>
          <w:b/>
          <w:bCs/>
          <w:color w:val="454545"/>
          <w:shd w:val="clear" w:color="auto" w:fill="FFFFFF"/>
        </w:rPr>
      </w:pPr>
      <w:r>
        <w:rPr>
          <w:rFonts w:ascii="Arial Black" w:hAnsi="Arial Black"/>
          <w:b/>
          <w:bCs/>
          <w:color w:val="454545"/>
          <w:sz w:val="28"/>
          <w:szCs w:val="28"/>
          <w:shd w:val="clear" w:color="auto" w:fill="FFFFFF"/>
        </w:rPr>
        <w:t xml:space="preserve">WV: VOL. FIRE CHIEF HEARING LOSS AS COAL MINOR (17.5%) – CLAIM ADDITIONAL LOSS FD DENIED / DIABETES  </w:t>
      </w:r>
    </w:p>
    <w:p w14:paraId="0BECCF51" w14:textId="77777777" w:rsidR="006C4AD8" w:rsidRDefault="006C4AD8" w:rsidP="006C4AD8">
      <w:pPr>
        <w:pStyle w:val="NoSpacing"/>
        <w:rPr>
          <w:rFonts w:ascii="Times New Roman" w:hAnsi="Times New Roman"/>
          <w:sz w:val="24"/>
          <w:szCs w:val="24"/>
        </w:rPr>
      </w:pPr>
      <w:r>
        <w:rPr>
          <w:rFonts w:ascii="Times New Roman" w:hAnsi="Times New Roman"/>
          <w:sz w:val="24"/>
          <w:szCs w:val="24"/>
        </w:rPr>
        <w:t xml:space="preserve">On March 25, 2024, in </w:t>
      </w:r>
      <w:r w:rsidRPr="00D22B5A">
        <w:rPr>
          <w:rFonts w:ascii="Times New Roman" w:hAnsi="Times New Roman"/>
          <w:sz w:val="24"/>
          <w:szCs w:val="24"/>
          <w:u w:val="single"/>
        </w:rPr>
        <w:t>Wilburn T. Preece, Jr. v. Kermit Volunteer Fire Department</w:t>
      </w:r>
      <w:r>
        <w:rPr>
          <w:rFonts w:ascii="Times New Roman" w:hAnsi="Times New Roman"/>
          <w:sz w:val="24"/>
          <w:szCs w:val="24"/>
        </w:rPr>
        <w:t xml:space="preserve">, the West Virginia Intermediate Court of Appeals upheld (3 to 0) the Administrative Law Judge, and the </w:t>
      </w:r>
      <w:r w:rsidRPr="00AD6935">
        <w:rPr>
          <w:rFonts w:ascii="Times New Roman" w:hAnsi="Times New Roman"/>
          <w:sz w:val="24"/>
          <w:szCs w:val="24"/>
        </w:rPr>
        <w:t xml:space="preserve">Workers' Compensation Board of Review </w:t>
      </w:r>
      <w:r>
        <w:rPr>
          <w:rFonts w:ascii="Times New Roman" w:hAnsi="Times New Roman"/>
          <w:sz w:val="24"/>
          <w:szCs w:val="24"/>
        </w:rPr>
        <w:t xml:space="preserve">decision denying him additional worker’s comp.  He had previously been granted 17.5% </w:t>
      </w:r>
      <w:r w:rsidRPr="00781DB6">
        <w:rPr>
          <w:rFonts w:ascii="Times New Roman" w:hAnsi="Times New Roman"/>
          <w:sz w:val="24"/>
          <w:szCs w:val="24"/>
        </w:rPr>
        <w:t>permanent partial disability</w:t>
      </w:r>
      <w:r>
        <w:rPr>
          <w:rFonts w:ascii="Times New Roman" w:hAnsi="Times New Roman"/>
          <w:sz w:val="24"/>
          <w:szCs w:val="24"/>
        </w:rPr>
        <w:t xml:space="preserve"> (PPD)</w:t>
      </w:r>
      <w:r w:rsidRPr="00781DB6">
        <w:rPr>
          <w:rFonts w:ascii="Times New Roman" w:hAnsi="Times New Roman"/>
          <w:sz w:val="24"/>
          <w:szCs w:val="24"/>
        </w:rPr>
        <w:t xml:space="preserve"> award</w:t>
      </w:r>
      <w:r>
        <w:rPr>
          <w:rFonts w:ascii="Times New Roman" w:hAnsi="Times New Roman"/>
          <w:sz w:val="24"/>
          <w:szCs w:val="24"/>
        </w:rPr>
        <w:t xml:space="preserve"> in 2015 related to work as a minor and failed to prove additional hearing loss (22%) was due to service starting in 2014 as the Fire Chief at the volunteer fire department.  </w:t>
      </w:r>
    </w:p>
    <w:p w14:paraId="4D4D7809" w14:textId="77777777" w:rsidR="003956F7" w:rsidRDefault="003956F7" w:rsidP="003956F7">
      <w:pPr>
        <w:pStyle w:val="NoSpacing"/>
        <w:rPr>
          <w:rFonts w:ascii="Times New Roman" w:hAnsi="Times New Roman"/>
          <w:sz w:val="24"/>
          <w:szCs w:val="24"/>
          <w:shd w:val="clear" w:color="auto" w:fill="FFFFFF"/>
        </w:rPr>
      </w:pPr>
    </w:p>
    <w:p w14:paraId="5A819468" w14:textId="16978171"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9520472" w14:textId="77777777" w:rsidR="003956F7" w:rsidRPr="00781DB6" w:rsidRDefault="003956F7" w:rsidP="006C4AD8">
      <w:pPr>
        <w:pStyle w:val="NoSpacing"/>
        <w:rPr>
          <w:rFonts w:ascii="Times New Roman" w:hAnsi="Times New Roman"/>
          <w:sz w:val="24"/>
          <w:szCs w:val="24"/>
        </w:rPr>
      </w:pPr>
    </w:p>
    <w:p w14:paraId="44F45D83" w14:textId="77777777" w:rsidR="006C4AD8" w:rsidRPr="00FD334E" w:rsidRDefault="006C4AD8" w:rsidP="006C4AD8">
      <w:pPr>
        <w:pStyle w:val="NoSpacing"/>
        <w:ind w:left="720"/>
        <w:rPr>
          <w:rFonts w:ascii="Times New Roman" w:hAnsi="Times New Roman"/>
          <w:sz w:val="24"/>
          <w:szCs w:val="24"/>
        </w:rPr>
      </w:pPr>
      <w:r w:rsidRPr="00FD334E">
        <w:rPr>
          <w:rFonts w:ascii="Times New Roman" w:hAnsi="Times New Roman"/>
          <w:sz w:val="24"/>
          <w:szCs w:val="24"/>
        </w:rPr>
        <w:t xml:space="preserve">“Mr. Preece was evaluated by David Phillips, M.D., who drafted a report dated December 14, 2022. Dr. Phillips found that Mr. Preece had a total of 22% </w:t>
      </w:r>
      <w:proofErr w:type="gramStart"/>
      <w:r w:rsidRPr="00FD334E">
        <w:rPr>
          <w:rFonts w:ascii="Times New Roman" w:hAnsi="Times New Roman"/>
          <w:sz w:val="24"/>
          <w:szCs w:val="24"/>
        </w:rPr>
        <w:t>whole</w:t>
      </w:r>
      <w:proofErr w:type="gramEnd"/>
      <w:r w:rsidRPr="00FD334E">
        <w:rPr>
          <w:rFonts w:ascii="Times New Roman" w:hAnsi="Times New Roman"/>
          <w:sz w:val="24"/>
          <w:szCs w:val="24"/>
        </w:rPr>
        <w:t xml:space="preserve"> </w:t>
      </w:r>
      <w:proofErr w:type="gramStart"/>
      <w:r w:rsidRPr="00FD334E">
        <w:rPr>
          <w:rFonts w:ascii="Times New Roman" w:hAnsi="Times New Roman"/>
          <w:sz w:val="24"/>
          <w:szCs w:val="24"/>
        </w:rPr>
        <w:t>person</w:t>
      </w:r>
      <w:proofErr w:type="gramEnd"/>
      <w:r w:rsidRPr="00FD334E">
        <w:rPr>
          <w:rFonts w:ascii="Times New Roman" w:hAnsi="Times New Roman"/>
          <w:sz w:val="24"/>
          <w:szCs w:val="24"/>
        </w:rPr>
        <w:t xml:space="preserve"> </w:t>
      </w:r>
      <w:proofErr w:type="gramStart"/>
      <w:r w:rsidRPr="00FD334E">
        <w:rPr>
          <w:rFonts w:ascii="Times New Roman" w:hAnsi="Times New Roman"/>
          <w:sz w:val="24"/>
          <w:szCs w:val="24"/>
        </w:rPr>
        <w:t>impairment (</w:t>
      </w:r>
      <w:r>
        <w:rPr>
          <w:rFonts w:ascii="Times New Roman" w:hAnsi="Times New Roman"/>
          <w:sz w:val="24"/>
          <w:szCs w:val="24"/>
        </w:rPr>
        <w:t>‘</w:t>
      </w:r>
      <w:proofErr w:type="gramEnd"/>
      <w:r w:rsidRPr="00FD334E">
        <w:rPr>
          <w:rFonts w:ascii="Times New Roman" w:hAnsi="Times New Roman"/>
          <w:sz w:val="24"/>
          <w:szCs w:val="24"/>
        </w:rPr>
        <w:t>WPI</w:t>
      </w:r>
      <w:r>
        <w:rPr>
          <w:rFonts w:ascii="Times New Roman" w:hAnsi="Times New Roman"/>
          <w:sz w:val="24"/>
          <w:szCs w:val="24"/>
        </w:rPr>
        <w:t>’</w:t>
      </w:r>
      <w:r w:rsidRPr="00FD334E">
        <w:rPr>
          <w:rFonts w:ascii="Times New Roman" w:hAnsi="Times New Roman"/>
          <w:sz w:val="24"/>
          <w:szCs w:val="24"/>
        </w:rPr>
        <w:t>) related to hearing loss. Dr. Phillips noted that Mr. Preece has a medical history of diabetes, hypertension, and elevated cholesterol, all of which can contribute to progressive hearing loss. Thus, Dr. Phillips attributed 17.5% of Mr. Preece's hearing loss to prior mining occupational noise exposure and 4.5% to nonoccupational factors.</w:t>
      </w:r>
    </w:p>
    <w:p w14:paraId="6DB453C9" w14:textId="77777777" w:rsidR="006C4AD8" w:rsidRPr="00AA7464" w:rsidRDefault="006C4AD8" w:rsidP="006C4AD8">
      <w:pPr>
        <w:pStyle w:val="NoSpacing"/>
        <w:ind w:left="720"/>
        <w:rPr>
          <w:rFonts w:ascii="Times New Roman" w:hAnsi="Times New Roman"/>
          <w:sz w:val="24"/>
          <w:szCs w:val="24"/>
        </w:rPr>
      </w:pPr>
    </w:p>
    <w:p w14:paraId="39FF471F" w14:textId="77777777" w:rsidR="006C4AD8" w:rsidRDefault="006C4AD8" w:rsidP="006C4AD8">
      <w:pPr>
        <w:pStyle w:val="NoSpacing"/>
        <w:ind w:left="720"/>
        <w:rPr>
          <w:rFonts w:ascii="Times New Roman" w:hAnsi="Times New Roman"/>
          <w:sz w:val="24"/>
          <w:szCs w:val="24"/>
        </w:rPr>
      </w:pPr>
      <w:r>
        <w:rPr>
          <w:rFonts w:ascii="Times New Roman" w:hAnsi="Times New Roman"/>
          <w:sz w:val="24"/>
          <w:szCs w:val="24"/>
        </w:rPr>
        <w:t>***</w:t>
      </w:r>
    </w:p>
    <w:p w14:paraId="115848E8" w14:textId="77777777" w:rsidR="006C4AD8" w:rsidRDefault="006C4AD8" w:rsidP="006C4AD8">
      <w:pPr>
        <w:pStyle w:val="NoSpacing"/>
        <w:ind w:left="720"/>
        <w:rPr>
          <w:rFonts w:ascii="Times New Roman" w:hAnsi="Times New Roman"/>
          <w:sz w:val="24"/>
          <w:szCs w:val="24"/>
        </w:rPr>
      </w:pPr>
    </w:p>
    <w:p w14:paraId="02F19B31" w14:textId="77777777" w:rsidR="006C4AD8" w:rsidRPr="00215DCD" w:rsidRDefault="006C4AD8" w:rsidP="006C4AD8">
      <w:pPr>
        <w:pStyle w:val="NoSpacing"/>
        <w:ind w:left="720"/>
        <w:rPr>
          <w:rFonts w:ascii="Times New Roman" w:hAnsi="Times New Roman"/>
          <w:b/>
          <w:bCs/>
          <w:color w:val="454545"/>
          <w:sz w:val="24"/>
          <w:szCs w:val="24"/>
          <w:shd w:val="clear" w:color="auto" w:fill="FFFFFF"/>
        </w:rPr>
      </w:pPr>
      <w:r w:rsidRPr="00215DCD">
        <w:rPr>
          <w:rFonts w:ascii="Times New Roman" w:hAnsi="Times New Roman"/>
          <w:sz w:val="24"/>
          <w:szCs w:val="24"/>
        </w:rPr>
        <w:t xml:space="preserve">Upon review, we cannot conclude that the Board was clearly wrong in finding that Mr. Preece failed to establish that his job as fire chief has caused additional hearing loss. As the Supreme Court of Appeals of West Virginia has set forth, "[t]he 'clearly wrong' and the 'arbitrary and capricious' standards of review are deferential ones which presume an agency's actions are valid as long as the decision is supported by substantial evidence or </w:t>
      </w:r>
      <w:proofErr w:type="gramStart"/>
      <w:r w:rsidRPr="00215DCD">
        <w:rPr>
          <w:rFonts w:ascii="Times New Roman" w:hAnsi="Times New Roman"/>
          <w:sz w:val="24"/>
          <w:szCs w:val="24"/>
        </w:rPr>
        <w:t>by</w:t>
      </w:r>
      <w:proofErr w:type="gramEnd"/>
      <w:r w:rsidRPr="00215DCD">
        <w:rPr>
          <w:rFonts w:ascii="Times New Roman" w:hAnsi="Times New Roman"/>
          <w:sz w:val="24"/>
          <w:szCs w:val="24"/>
        </w:rPr>
        <w:t xml:space="preserve"> a rational basis." Syl. Pt. 3, </w:t>
      </w:r>
      <w:r w:rsidRPr="00215DCD">
        <w:rPr>
          <w:rStyle w:val="Emphasis"/>
          <w:rFonts w:ascii="Times New Roman" w:hAnsi="Times New Roman"/>
          <w:sz w:val="24"/>
          <w:szCs w:val="24"/>
        </w:rPr>
        <w:t>In re Queen</w:t>
      </w:r>
      <w:r w:rsidRPr="00215DCD">
        <w:rPr>
          <w:rFonts w:ascii="Times New Roman" w:hAnsi="Times New Roman"/>
          <w:sz w:val="24"/>
          <w:szCs w:val="24"/>
        </w:rPr>
        <w:t>, 196 W.Va. 442, 473 S.E.2d 483 (1996). With this deferential standard of review in mind, we cannot conclude that the Board was clearly wrong in affirming the claim administrator's order rejecting the claim.</w:t>
      </w:r>
      <w:r>
        <w:rPr>
          <w:rFonts w:ascii="Times New Roman" w:hAnsi="Times New Roman"/>
          <w:sz w:val="24"/>
          <w:szCs w:val="24"/>
        </w:rPr>
        <w:t>”</w:t>
      </w:r>
      <w:r w:rsidRPr="000A3EB7">
        <w:t xml:space="preserve"> </w:t>
      </w:r>
      <w:hyperlink r:id="rId1086" w:history="1">
        <w:r w:rsidRPr="007E7996">
          <w:rPr>
            <w:rStyle w:val="Hyperlink"/>
            <w:rFonts w:ascii="Times New Roman" w:hAnsi="Times New Roman"/>
            <w:sz w:val="24"/>
            <w:szCs w:val="24"/>
          </w:rPr>
          <w:t>https://public.fastcase.com/H1P9uiW3J20SFp%2BGCG%2BxLadhvM%2BTk6CyYLUbfEuOSnynNWxAhyJMu40rylJQnWa9?utm_medium=email&amp;_hsmi=226712652&amp;_hsenc=p2ANqtz-_Dihe0VmJESjxgjqn36kOhagQU45bmN7CEHRIuj2470_KUhcV7wrW-Y9ruG8-Hj5g_txVmqO_R_d6e-gS-IENa_oPFKQ&amp;utm_content=226712652&amp;utm_source=hs_email</w:t>
        </w:r>
      </w:hyperlink>
      <w:r>
        <w:rPr>
          <w:rFonts w:ascii="Times New Roman" w:hAnsi="Times New Roman"/>
          <w:sz w:val="24"/>
          <w:szCs w:val="24"/>
        </w:rPr>
        <w:t xml:space="preserve"> </w:t>
      </w:r>
    </w:p>
    <w:p w14:paraId="09DB4F0A" w14:textId="77777777" w:rsidR="006C4AD8" w:rsidRDefault="006C4AD8" w:rsidP="006C4AD8">
      <w:pPr>
        <w:pStyle w:val="NoSpacing"/>
        <w:rPr>
          <w:rFonts w:ascii="Times New Roman" w:hAnsi="Times New Roman"/>
          <w:sz w:val="24"/>
          <w:szCs w:val="24"/>
        </w:rPr>
      </w:pPr>
    </w:p>
    <w:p w14:paraId="3D73FADE" w14:textId="77777777" w:rsidR="006C4AD8" w:rsidRDefault="006C4AD8" w:rsidP="006C4AD8">
      <w:pPr>
        <w:pStyle w:val="NoSpacing"/>
        <w:rPr>
          <w:rFonts w:ascii="Times New Roman" w:hAnsi="Times New Roman"/>
          <w:sz w:val="24"/>
          <w:szCs w:val="24"/>
        </w:rPr>
      </w:pPr>
    </w:p>
    <w:p w14:paraId="2994A667" w14:textId="77777777" w:rsidR="006C4AD8" w:rsidRPr="008B6467" w:rsidRDefault="006C4AD8" w:rsidP="006C4AD8">
      <w:pPr>
        <w:pStyle w:val="NormalWeb"/>
        <w:rPr>
          <w:b/>
          <w:bCs/>
        </w:rPr>
      </w:pPr>
      <w:r w:rsidRPr="008B6467">
        <w:rPr>
          <w:b/>
          <w:bCs/>
        </w:rPr>
        <w:t>Legal Lesson Learned: Hearing loss can be attributed to multiple factors, including diabetes, hypertension, and elevated cholesterol.</w:t>
      </w:r>
    </w:p>
    <w:p w14:paraId="46C0753D" w14:textId="77777777" w:rsidR="006C4AD8" w:rsidRDefault="006C4AD8" w:rsidP="006C4AD8">
      <w:pPr>
        <w:pStyle w:val="NoSpacing"/>
        <w:rPr>
          <w:rFonts w:ascii="Times New Roman" w:hAnsi="Times New Roman"/>
          <w:sz w:val="24"/>
          <w:szCs w:val="24"/>
        </w:rPr>
      </w:pPr>
    </w:p>
    <w:p w14:paraId="605E8B5C" w14:textId="77777777" w:rsidR="006C4AD8" w:rsidRDefault="006C4AD8" w:rsidP="006C4AD8">
      <w:pPr>
        <w:pStyle w:val="NormalWeb"/>
        <w:spacing w:before="0" w:beforeAutospacing="0"/>
        <w:rPr>
          <w:b/>
          <w:bCs/>
          <w:color w:val="454545"/>
          <w:shd w:val="clear" w:color="auto" w:fill="FFFFFF"/>
        </w:rPr>
      </w:pPr>
    </w:p>
    <w:p w14:paraId="26153F56" w14:textId="387FF3E1" w:rsidR="006C4AD8" w:rsidRDefault="0060031B"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6-1</w:t>
      </w:r>
      <w:r w:rsidR="002A0697">
        <w:rPr>
          <w:rFonts w:ascii="Arial Black" w:hAnsi="Arial Black"/>
          <w:b/>
          <w:bCs/>
          <w:color w:val="454545"/>
          <w:sz w:val="28"/>
          <w:szCs w:val="28"/>
          <w:shd w:val="clear" w:color="auto" w:fill="FFFFFF"/>
        </w:rPr>
        <w:t>29</w:t>
      </w:r>
    </w:p>
    <w:p w14:paraId="586D680E" w14:textId="77777777" w:rsidR="006C4AD8" w:rsidRDefault="006C4AD8" w:rsidP="006C4AD8">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TX:  PANCREATIC CANCER NOT COVERD UNDER FF PRESUMPTION LAW – WIDOW DENIED WORK COMP</w:t>
      </w:r>
    </w:p>
    <w:p w14:paraId="783DCD94" w14:textId="77777777" w:rsidR="006C4AD8" w:rsidRDefault="006C4AD8" w:rsidP="006C4AD8">
      <w:pPr>
        <w:pStyle w:val="NormalWeb"/>
        <w:rPr>
          <w:color w:val="454545"/>
          <w:shd w:val="clear" w:color="auto" w:fill="FFFFFF"/>
        </w:rPr>
      </w:pPr>
      <w:r>
        <w:rPr>
          <w:color w:val="454545"/>
          <w:shd w:val="clear" w:color="auto" w:fill="FFFFFF"/>
        </w:rPr>
        <w:t xml:space="preserve">On March 7, 2024, in </w:t>
      </w:r>
      <w:r w:rsidRPr="003F27FF">
        <w:rPr>
          <w:color w:val="454545"/>
          <w:u w:val="single"/>
          <w:shd w:val="clear" w:color="auto" w:fill="FFFFFF"/>
        </w:rPr>
        <w:t>City of Stephenville v. Anna Belew, et al</w:t>
      </w:r>
      <w:r>
        <w:rPr>
          <w:color w:val="454545"/>
          <w:shd w:val="clear" w:color="auto" w:fill="FFFFFF"/>
        </w:rPr>
        <w:t xml:space="preserve">., the Eleventh Court of Appeals of Texas, held (3 to 0) in a lengthy decision, that the City’s appeal is granted, reversing the award of workers comp death benefits to widow of </w:t>
      </w:r>
      <w:r w:rsidRPr="00DF56EC">
        <w:rPr>
          <w:color w:val="454545"/>
          <w:shd w:val="clear" w:color="auto" w:fill="FFFFFF"/>
        </w:rPr>
        <w:t>Michael Belew, a firefighter for the City of</w:t>
      </w:r>
      <w:r>
        <w:rPr>
          <w:color w:val="454545"/>
          <w:shd w:val="clear" w:color="auto" w:fill="FFFFFF"/>
        </w:rPr>
        <w:t xml:space="preserve"> </w:t>
      </w:r>
      <w:r w:rsidRPr="00DF56EC">
        <w:rPr>
          <w:color w:val="454545"/>
          <w:shd w:val="clear" w:color="auto" w:fill="FFFFFF"/>
        </w:rPr>
        <w:t>Stephenville who passed away in 2014 after a battle with pancreatic</w:t>
      </w:r>
      <w:r>
        <w:rPr>
          <w:color w:val="454545"/>
          <w:shd w:val="clear" w:color="auto" w:fill="FFFFFF"/>
        </w:rPr>
        <w:t xml:space="preserve"> </w:t>
      </w:r>
      <w:r w:rsidRPr="00DF56EC">
        <w:rPr>
          <w:color w:val="454545"/>
          <w:shd w:val="clear" w:color="auto" w:fill="FFFFFF"/>
        </w:rPr>
        <w:t>cancer.</w:t>
      </w:r>
    </w:p>
    <w:p w14:paraId="04920658"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604A790" w14:textId="77777777" w:rsidR="006C4AD8" w:rsidRDefault="006C4AD8" w:rsidP="006C4AD8">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B55288">
        <w:rPr>
          <w:rFonts w:ascii="Times New Roman" w:hAnsi="Times New Roman"/>
          <w:sz w:val="24"/>
          <w:szCs w:val="24"/>
          <w:shd w:val="clear" w:color="auto" w:fill="FFFFFF"/>
        </w:rPr>
        <w:t xml:space="preserve">The IARC </w:t>
      </w:r>
      <w:r w:rsidRPr="00B81F19">
        <w:rPr>
          <w:rFonts w:ascii="Times New Roman" w:hAnsi="Times New Roman"/>
          <w:sz w:val="24"/>
          <w:szCs w:val="24"/>
          <w:shd w:val="clear" w:color="auto" w:fill="FFFFFF"/>
        </w:rPr>
        <w:t>[</w:t>
      </w:r>
      <w:r w:rsidRPr="00B81F19">
        <w:rPr>
          <w:rFonts w:ascii="Times New Roman" w:hAnsi="Times New Roman"/>
          <w:sz w:val="24"/>
          <w:szCs w:val="24"/>
        </w:rPr>
        <w:t>International Agency for Research on Cancer</w:t>
      </w:r>
      <w:r>
        <w:t xml:space="preserve">] </w:t>
      </w:r>
      <w:r w:rsidRPr="00B55288">
        <w:rPr>
          <w:rFonts w:ascii="Times New Roman" w:hAnsi="Times New Roman"/>
          <w:sz w:val="24"/>
          <w:szCs w:val="24"/>
          <w:shd w:val="clear" w:color="auto" w:fill="FFFFFF"/>
        </w:rPr>
        <w:t>is the cancer research agency of the World Health Organization.</w:t>
      </w:r>
      <w:r>
        <w:rPr>
          <w:rFonts w:ascii="Times New Roman" w:hAnsi="Times New Roman"/>
          <w:sz w:val="24"/>
          <w:szCs w:val="24"/>
          <w:shd w:val="clear" w:color="auto" w:fill="FFFFFF"/>
        </w:rPr>
        <w:t xml:space="preserve"> </w:t>
      </w:r>
      <w:r w:rsidRPr="00B55288">
        <w:rPr>
          <w:rFonts w:ascii="Times New Roman" w:hAnsi="Times New Roman"/>
          <w:sz w:val="24"/>
          <w:szCs w:val="24"/>
          <w:shd w:val="clear" w:color="auto" w:fill="FFFFFF"/>
        </w:rPr>
        <w:t>The IARC conducts critical reviews and evaluations on the carcinogenicity of a wide</w:t>
      </w:r>
      <w:r>
        <w:rPr>
          <w:rFonts w:ascii="Times New Roman" w:hAnsi="Times New Roman"/>
          <w:sz w:val="24"/>
          <w:szCs w:val="24"/>
          <w:shd w:val="clear" w:color="auto" w:fill="FFFFFF"/>
        </w:rPr>
        <w:t xml:space="preserve"> </w:t>
      </w:r>
      <w:r w:rsidRPr="00B55288">
        <w:rPr>
          <w:rFonts w:ascii="Times New Roman" w:hAnsi="Times New Roman"/>
          <w:sz w:val="24"/>
          <w:szCs w:val="24"/>
          <w:shd w:val="clear" w:color="auto" w:fill="FFFFFF"/>
        </w:rPr>
        <w:t>range of human exposures. These are done by a working group of experts in the</w:t>
      </w:r>
      <w:r>
        <w:rPr>
          <w:rFonts w:ascii="Times New Roman" w:hAnsi="Times New Roman"/>
          <w:sz w:val="24"/>
          <w:szCs w:val="24"/>
          <w:shd w:val="clear" w:color="auto" w:fill="FFFFFF"/>
        </w:rPr>
        <w:t xml:space="preserve"> </w:t>
      </w:r>
      <w:r w:rsidRPr="00B55288">
        <w:rPr>
          <w:rFonts w:ascii="Times New Roman" w:hAnsi="Times New Roman"/>
          <w:sz w:val="24"/>
          <w:szCs w:val="24"/>
          <w:shd w:val="clear" w:color="auto" w:fill="FFFFFF"/>
        </w:rPr>
        <w:t>subject field and the IARC publishes the results of this working group’s evaluations</w:t>
      </w:r>
      <w:r>
        <w:rPr>
          <w:rFonts w:ascii="Times New Roman" w:hAnsi="Times New Roman"/>
          <w:sz w:val="24"/>
          <w:szCs w:val="24"/>
          <w:shd w:val="clear" w:color="auto" w:fill="FFFFFF"/>
        </w:rPr>
        <w:t xml:space="preserve"> </w:t>
      </w:r>
      <w:r w:rsidRPr="00B55288">
        <w:rPr>
          <w:rFonts w:ascii="Times New Roman" w:hAnsi="Times New Roman"/>
          <w:sz w:val="24"/>
          <w:szCs w:val="24"/>
          <w:shd w:val="clear" w:color="auto" w:fill="FFFFFF"/>
        </w:rPr>
        <w:t>in monographs.</w:t>
      </w:r>
    </w:p>
    <w:p w14:paraId="2B9D48CF" w14:textId="77777777" w:rsidR="006C4AD8" w:rsidRDefault="006C4AD8" w:rsidP="006C4AD8">
      <w:pPr>
        <w:pStyle w:val="NoSpacing"/>
        <w:ind w:left="720"/>
        <w:rPr>
          <w:rFonts w:ascii="Times New Roman" w:hAnsi="Times New Roman"/>
          <w:sz w:val="24"/>
          <w:szCs w:val="24"/>
          <w:shd w:val="clear" w:color="auto" w:fill="FFFFFF"/>
        </w:rPr>
      </w:pPr>
    </w:p>
    <w:p w14:paraId="4BFEECAA" w14:textId="77777777" w:rsidR="006C4AD8" w:rsidRDefault="006C4AD8" w:rsidP="006C4AD8">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0DCA09D5" w14:textId="77777777" w:rsidR="006C4AD8" w:rsidRDefault="006C4AD8" w:rsidP="006C4AD8">
      <w:pPr>
        <w:pStyle w:val="NoSpacing"/>
        <w:ind w:left="720"/>
        <w:rPr>
          <w:rFonts w:ascii="Times New Roman" w:hAnsi="Times New Roman"/>
          <w:sz w:val="24"/>
          <w:szCs w:val="24"/>
          <w:shd w:val="clear" w:color="auto" w:fill="FFFFFF"/>
        </w:rPr>
      </w:pPr>
    </w:p>
    <w:p w14:paraId="1AE7DC37" w14:textId="77777777" w:rsidR="006C4AD8" w:rsidRDefault="006C4AD8" w:rsidP="006C4AD8">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A</w:t>
      </w:r>
      <w:r w:rsidRPr="003E7505">
        <w:rPr>
          <w:rFonts w:ascii="Times New Roman" w:hAnsi="Times New Roman"/>
          <w:sz w:val="24"/>
          <w:szCs w:val="24"/>
          <w:shd w:val="clear" w:color="auto" w:fill="FFFFFF"/>
        </w:rPr>
        <w:t xml:space="preserve">ppellees </w:t>
      </w:r>
      <w:r>
        <w:rPr>
          <w:rFonts w:ascii="Times New Roman" w:hAnsi="Times New Roman"/>
          <w:sz w:val="24"/>
          <w:szCs w:val="24"/>
          <w:shd w:val="clear" w:color="auto" w:fill="FFFFFF"/>
        </w:rPr>
        <w:t xml:space="preserve">[widow and family] </w:t>
      </w:r>
      <w:r w:rsidRPr="003E7505">
        <w:rPr>
          <w:rFonts w:ascii="Times New Roman" w:hAnsi="Times New Roman"/>
          <w:sz w:val="24"/>
          <w:szCs w:val="24"/>
          <w:shd w:val="clear" w:color="auto" w:fill="FFFFFF"/>
        </w:rPr>
        <w:t>did not proffer any</w:t>
      </w:r>
      <w:r>
        <w:rPr>
          <w:rFonts w:ascii="Times New Roman" w:hAnsi="Times New Roman"/>
          <w:sz w:val="24"/>
          <w:szCs w:val="24"/>
          <w:shd w:val="clear" w:color="auto" w:fill="FFFFFF"/>
        </w:rPr>
        <w:t xml:space="preserve"> </w:t>
      </w:r>
      <w:r w:rsidRPr="003E7505">
        <w:rPr>
          <w:rFonts w:ascii="Times New Roman" w:hAnsi="Times New Roman"/>
          <w:sz w:val="24"/>
          <w:szCs w:val="24"/>
          <w:shd w:val="clear" w:color="auto" w:fill="FFFFFF"/>
        </w:rPr>
        <w:t>expert testimony or opinions, or other evidence for that matter, to explain and</w:t>
      </w:r>
      <w:r>
        <w:rPr>
          <w:rFonts w:ascii="Times New Roman" w:hAnsi="Times New Roman"/>
          <w:sz w:val="24"/>
          <w:szCs w:val="24"/>
          <w:shd w:val="clear" w:color="auto" w:fill="FFFFFF"/>
        </w:rPr>
        <w:t xml:space="preserve"> </w:t>
      </w:r>
      <w:r w:rsidRPr="003E7505">
        <w:rPr>
          <w:rFonts w:ascii="Times New Roman" w:hAnsi="Times New Roman"/>
          <w:sz w:val="24"/>
          <w:szCs w:val="24"/>
          <w:shd w:val="clear" w:color="auto" w:fill="FFFFFF"/>
        </w:rPr>
        <w:t>support their nuanced argument that individual studies within the Monograph</w:t>
      </w:r>
      <w:r>
        <w:rPr>
          <w:rFonts w:ascii="Times New Roman" w:hAnsi="Times New Roman"/>
          <w:sz w:val="24"/>
          <w:szCs w:val="24"/>
          <w:shd w:val="clear" w:color="auto" w:fill="FFFFFF"/>
        </w:rPr>
        <w:t xml:space="preserve"> </w:t>
      </w:r>
      <w:r w:rsidRPr="003E7505">
        <w:rPr>
          <w:rFonts w:ascii="Times New Roman" w:hAnsi="Times New Roman"/>
          <w:sz w:val="24"/>
          <w:szCs w:val="24"/>
          <w:shd w:val="clear" w:color="auto" w:fill="FFFFFF"/>
        </w:rPr>
        <w:t xml:space="preserve">indicate that the IARC has </w:t>
      </w:r>
      <w:r>
        <w:rPr>
          <w:rFonts w:ascii="Times New Roman" w:hAnsi="Times New Roman"/>
          <w:sz w:val="24"/>
          <w:szCs w:val="24"/>
          <w:shd w:val="clear" w:color="auto" w:fill="FFFFFF"/>
        </w:rPr>
        <w:t>‘</w:t>
      </w:r>
      <w:r w:rsidRPr="003E7505">
        <w:rPr>
          <w:rFonts w:ascii="Times New Roman" w:hAnsi="Times New Roman"/>
          <w:sz w:val="24"/>
          <w:szCs w:val="24"/>
          <w:shd w:val="clear" w:color="auto" w:fill="FFFFFF"/>
        </w:rPr>
        <w:t>determined</w:t>
      </w:r>
      <w:r>
        <w:rPr>
          <w:rFonts w:ascii="Times New Roman" w:hAnsi="Times New Roman"/>
          <w:sz w:val="24"/>
          <w:szCs w:val="24"/>
          <w:shd w:val="clear" w:color="auto" w:fill="FFFFFF"/>
        </w:rPr>
        <w:t>’</w:t>
      </w:r>
      <w:r w:rsidRPr="003E7505">
        <w:rPr>
          <w:rFonts w:ascii="Times New Roman" w:hAnsi="Times New Roman"/>
          <w:sz w:val="24"/>
          <w:szCs w:val="24"/>
          <w:shd w:val="clear" w:color="auto" w:fill="FFFFFF"/>
        </w:rPr>
        <w:t xml:space="preserve"> pancreatic cancer to be a type of cancer that</w:t>
      </w:r>
      <w:r>
        <w:rPr>
          <w:rFonts w:ascii="Times New Roman" w:hAnsi="Times New Roman"/>
          <w:sz w:val="24"/>
          <w:szCs w:val="24"/>
          <w:shd w:val="clear" w:color="auto" w:fill="FFFFFF"/>
        </w:rPr>
        <w:t xml:space="preserve"> i</w:t>
      </w:r>
      <w:r w:rsidRPr="00296A1A">
        <w:rPr>
          <w:rFonts w:ascii="Times New Roman" w:hAnsi="Times New Roman"/>
          <w:sz w:val="24"/>
          <w:szCs w:val="24"/>
          <w:shd w:val="clear" w:color="auto" w:fill="FFFFFF"/>
        </w:rPr>
        <w:t>s covered by the statute.</w:t>
      </w:r>
      <w:r>
        <w:rPr>
          <w:rFonts w:ascii="Times New Roman" w:hAnsi="Times New Roman"/>
          <w:sz w:val="24"/>
          <w:szCs w:val="24"/>
          <w:shd w:val="clear" w:color="auto" w:fill="FFFFFF"/>
        </w:rPr>
        <w:t xml:space="preserve"> </w:t>
      </w:r>
      <w:r w:rsidRPr="005A181E">
        <w:rPr>
          <w:rFonts w:ascii="Times New Roman" w:hAnsi="Times New Roman"/>
          <w:sz w:val="24"/>
          <w:szCs w:val="24"/>
          <w:shd w:val="clear" w:color="auto" w:fill="FFFFFF"/>
        </w:rPr>
        <w:t xml:space="preserve">On the other hand, the </w:t>
      </w:r>
      <w:proofErr w:type="gramStart"/>
      <w:r w:rsidRPr="005A181E">
        <w:rPr>
          <w:rFonts w:ascii="Times New Roman" w:hAnsi="Times New Roman"/>
          <w:sz w:val="24"/>
          <w:szCs w:val="24"/>
          <w:shd w:val="clear" w:color="auto" w:fill="FFFFFF"/>
        </w:rPr>
        <w:t>City</w:t>
      </w:r>
      <w:proofErr w:type="gramEnd"/>
      <w:r w:rsidRPr="005A181E">
        <w:rPr>
          <w:rFonts w:ascii="Times New Roman" w:hAnsi="Times New Roman"/>
          <w:sz w:val="24"/>
          <w:szCs w:val="24"/>
          <w:shd w:val="clear" w:color="auto" w:fill="FFFFFF"/>
        </w:rPr>
        <w:t xml:space="preserve"> presented the affidavits of two qualified experts,</w:t>
      </w:r>
      <w:r>
        <w:rPr>
          <w:rFonts w:ascii="Times New Roman" w:hAnsi="Times New Roman"/>
          <w:sz w:val="24"/>
          <w:szCs w:val="24"/>
          <w:shd w:val="clear" w:color="auto" w:fill="FFFFFF"/>
        </w:rPr>
        <w:t xml:space="preserve"> </w:t>
      </w:r>
      <w:r w:rsidRPr="005A181E">
        <w:rPr>
          <w:rFonts w:ascii="Times New Roman" w:hAnsi="Times New Roman"/>
          <w:sz w:val="24"/>
          <w:szCs w:val="24"/>
          <w:shd w:val="clear" w:color="auto" w:fill="FFFFFF"/>
        </w:rPr>
        <w:t>each of whom opined that the IARC has not determined that pancreatic cancer is a</w:t>
      </w:r>
      <w:r>
        <w:rPr>
          <w:rFonts w:ascii="Times New Roman" w:hAnsi="Times New Roman"/>
          <w:sz w:val="24"/>
          <w:szCs w:val="24"/>
          <w:shd w:val="clear" w:color="auto" w:fill="FFFFFF"/>
        </w:rPr>
        <w:t xml:space="preserve"> </w:t>
      </w:r>
      <w:r w:rsidRPr="005A181E">
        <w:rPr>
          <w:rFonts w:ascii="Times New Roman" w:hAnsi="Times New Roman"/>
          <w:sz w:val="24"/>
          <w:szCs w:val="24"/>
          <w:shd w:val="clear" w:color="auto" w:fill="FFFFFF"/>
        </w:rPr>
        <w:t>type of cancer that is covered by the statut</w:t>
      </w:r>
      <w:r>
        <w:rPr>
          <w:rFonts w:ascii="Times New Roman" w:hAnsi="Times New Roman"/>
          <w:sz w:val="24"/>
          <w:szCs w:val="24"/>
          <w:shd w:val="clear" w:color="auto" w:fill="FFFFFF"/>
        </w:rPr>
        <w:t>e.”</w:t>
      </w:r>
    </w:p>
    <w:p w14:paraId="4BF7E76C" w14:textId="77777777" w:rsidR="006C4AD8" w:rsidRDefault="006C4AD8" w:rsidP="006C4AD8">
      <w:pPr>
        <w:pStyle w:val="NoSpacing"/>
        <w:ind w:left="720"/>
        <w:rPr>
          <w:rFonts w:ascii="Times New Roman" w:hAnsi="Times New Roman"/>
          <w:sz w:val="24"/>
          <w:szCs w:val="24"/>
          <w:shd w:val="clear" w:color="auto" w:fill="FFFFFF"/>
        </w:rPr>
      </w:pPr>
    </w:p>
    <w:p w14:paraId="00B926BA" w14:textId="77777777" w:rsidR="006C4AD8" w:rsidRPr="00E362EA" w:rsidRDefault="006C4AD8" w:rsidP="006C4AD8">
      <w:pPr>
        <w:pStyle w:val="NoSpacing"/>
        <w:rPr>
          <w:rFonts w:ascii="Times New Roman" w:hAnsi="Times New Roman"/>
          <w:b/>
          <w:bCs/>
          <w:sz w:val="24"/>
          <w:szCs w:val="24"/>
          <w:shd w:val="clear" w:color="auto" w:fill="FFFFFF"/>
        </w:rPr>
      </w:pPr>
      <w:r w:rsidRPr="00E362EA">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Under the firefighter statutory presumption law must show that IARC has classified the cancer as likely caused by the job. </w:t>
      </w:r>
    </w:p>
    <w:p w14:paraId="5A0F5B46" w14:textId="77777777" w:rsidR="006C4AD8" w:rsidRDefault="006C4AD8" w:rsidP="006C4AD8">
      <w:pPr>
        <w:pStyle w:val="NoSpacing"/>
        <w:rPr>
          <w:rFonts w:ascii="Times New Roman" w:hAnsi="Times New Roman"/>
          <w:sz w:val="24"/>
          <w:szCs w:val="24"/>
          <w:shd w:val="clear" w:color="auto" w:fill="FFFFFF"/>
        </w:rPr>
      </w:pPr>
    </w:p>
    <w:p w14:paraId="1A2D84FE" w14:textId="77777777" w:rsidR="006C4AD8" w:rsidRDefault="006C4AD8" w:rsidP="006C4AD8">
      <w:pPr>
        <w:pStyle w:val="NoSpacing"/>
        <w:rPr>
          <w:rFonts w:ascii="Times New Roman" w:hAnsi="Times New Roman"/>
          <w:sz w:val="24"/>
          <w:szCs w:val="24"/>
          <w:shd w:val="clear" w:color="auto" w:fill="FFFFFF"/>
        </w:rPr>
      </w:pPr>
    </w:p>
    <w:p w14:paraId="5F53CD2D" w14:textId="77777777" w:rsidR="006C4AD8" w:rsidRDefault="006C4AD8" w:rsidP="006C4AD8">
      <w:pPr>
        <w:pStyle w:val="NoSpacing"/>
        <w:rPr>
          <w:rFonts w:ascii="Times New Roman" w:hAnsi="Times New Roman"/>
          <w:sz w:val="24"/>
          <w:szCs w:val="24"/>
        </w:rPr>
      </w:pPr>
    </w:p>
    <w:p w14:paraId="2CF32D70" w14:textId="77777777" w:rsidR="006C4AD8" w:rsidRDefault="006C4AD8" w:rsidP="006C4AD8">
      <w:pPr>
        <w:pStyle w:val="NoSpacing"/>
        <w:rPr>
          <w:rFonts w:ascii="Times New Roman" w:hAnsi="Times New Roman"/>
          <w:sz w:val="24"/>
          <w:szCs w:val="24"/>
        </w:rPr>
      </w:pPr>
    </w:p>
    <w:p w14:paraId="1ED1FA8F" w14:textId="0B56C466" w:rsidR="0060031B" w:rsidRPr="0060031B" w:rsidRDefault="0060031B" w:rsidP="006C4AD8">
      <w:pPr>
        <w:pStyle w:val="NormalWeb"/>
        <w:spacing w:before="0" w:beforeAutospacing="0"/>
        <w:rPr>
          <w:rFonts w:ascii="Arial Black" w:hAnsi="Arial Black"/>
          <w:b/>
          <w:bCs/>
        </w:rPr>
      </w:pPr>
      <w:r w:rsidRPr="0060031B">
        <w:rPr>
          <w:rFonts w:ascii="Arial Black" w:hAnsi="Arial Black"/>
          <w:b/>
          <w:bCs/>
        </w:rPr>
        <w:t>6-1</w:t>
      </w:r>
      <w:r w:rsidR="00D11FBB">
        <w:rPr>
          <w:rFonts w:ascii="Arial Black" w:hAnsi="Arial Black"/>
          <w:b/>
          <w:bCs/>
        </w:rPr>
        <w:t>2</w:t>
      </w:r>
      <w:r w:rsidR="002A0697">
        <w:rPr>
          <w:rFonts w:ascii="Arial Black" w:hAnsi="Arial Black"/>
          <w:b/>
          <w:bCs/>
        </w:rPr>
        <w:t>8</w:t>
      </w:r>
    </w:p>
    <w:p w14:paraId="3CDF6C58" w14:textId="1D77FA81" w:rsidR="006C4AD8" w:rsidRDefault="006C4AD8" w:rsidP="006C4AD8">
      <w:pPr>
        <w:pStyle w:val="NormalWeb"/>
        <w:spacing w:before="0" w:beforeAutospacing="0"/>
        <w:rPr>
          <w:rFonts w:ascii="Arial Black" w:hAnsi="Arial Black"/>
          <w:sz w:val="28"/>
          <w:szCs w:val="28"/>
        </w:rPr>
      </w:pPr>
      <w:r>
        <w:rPr>
          <w:rFonts w:ascii="Arial Black" w:hAnsi="Arial Black"/>
          <w:sz w:val="28"/>
          <w:szCs w:val="28"/>
        </w:rPr>
        <w:t>WI: PART-TIME CAPTAIN LOST TITLE – ALL OFFICERS MUST APPROVED COMMISSION - DUE PROCESS CASE PROCEED</w:t>
      </w:r>
    </w:p>
    <w:p w14:paraId="624C2DFB" w14:textId="77777777" w:rsidR="006C4AD8" w:rsidRDefault="006C4AD8" w:rsidP="006C4AD8">
      <w:pPr>
        <w:pStyle w:val="NormalWeb"/>
        <w:spacing w:before="0" w:beforeAutospacing="0"/>
      </w:pPr>
      <w:r>
        <w:t xml:space="preserve">On March 20, 2024, in </w:t>
      </w:r>
      <w:r w:rsidRPr="008A4F1E">
        <w:rPr>
          <w:u w:val="single"/>
        </w:rPr>
        <w:t>Richard Haffner v. Joshua Bell, The City of New Richmond, et al.</w:t>
      </w:r>
      <w:r>
        <w:t xml:space="preserve">, United States District Court Judge James D. Peterson, U.S. District Court for Western District of Wisconsin, held that Fire Chief Joshua Bell is dismissed since he enjoys qualified immunity, the part-time Captain was denied due process in loss of his rank. </w:t>
      </w:r>
    </w:p>
    <w:p w14:paraId="468119D8"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6E1D770" w14:textId="77777777" w:rsidR="003956F7" w:rsidRDefault="003956F7" w:rsidP="006C4AD8">
      <w:pPr>
        <w:pStyle w:val="NormalWeb"/>
        <w:spacing w:before="0" w:beforeAutospacing="0"/>
        <w:ind w:left="720"/>
      </w:pPr>
    </w:p>
    <w:p w14:paraId="1F8CD100" w14:textId="7A165C5A" w:rsidR="006C4AD8" w:rsidRDefault="006C4AD8" w:rsidP="006C4AD8">
      <w:pPr>
        <w:pStyle w:val="NormalWeb"/>
        <w:spacing w:before="0" w:beforeAutospacing="0"/>
        <w:ind w:left="720"/>
      </w:pPr>
      <w:r>
        <w:t xml:space="preserve">“For years, the City of New Richmond elected the subordinate officers in its fire department without the formal approval of the city's Police and Fire Commission. This process did not conform to state law. In 2021, the city brought its promotion practices into compliance, and it authorized its fire chief, defendant Joshua Bell, to start fresh with a new slate of officers. Plaintiff Richard Haffner is a part-time firefighter with the department. At the time of the change in promotion practice, he was a captain and the health and safety officer. But he was not among those whom Bell chose as new officers. Haffner contends that defendants demoted him from his officer positions without providing </w:t>
      </w:r>
      <w:proofErr w:type="gramStart"/>
      <w:r>
        <w:t>him</w:t>
      </w:r>
      <w:proofErr w:type="gramEnd"/>
      <w:r>
        <w:t xml:space="preserve"> the procedural protection he was due under state law, violating his right to due process under the Fourteenth Amendment.</w:t>
      </w:r>
    </w:p>
    <w:p w14:paraId="783AA62B" w14:textId="77777777" w:rsidR="006C4AD8" w:rsidRPr="004628C1" w:rsidRDefault="006C4AD8" w:rsidP="006C4AD8">
      <w:pPr>
        <w:pStyle w:val="NormalWeb"/>
        <w:spacing w:before="0" w:beforeAutospacing="0"/>
        <w:ind w:left="720"/>
        <w:rPr>
          <w:rFonts w:ascii="Arial Black" w:hAnsi="Arial Black"/>
          <w:sz w:val="28"/>
          <w:szCs w:val="28"/>
        </w:rPr>
      </w:pPr>
      <w:r>
        <w:t>***</w:t>
      </w:r>
    </w:p>
    <w:p w14:paraId="7D05B029" w14:textId="77777777" w:rsidR="006C4AD8" w:rsidRDefault="006C4AD8" w:rsidP="006C4AD8">
      <w:pPr>
        <w:ind w:left="720"/>
        <w:rPr>
          <w:rFonts w:ascii="Times New Roman" w:hAnsi="Times New Roman"/>
          <w:sz w:val="24"/>
          <w:szCs w:val="24"/>
        </w:rPr>
      </w:pPr>
      <w:r w:rsidRPr="004628C1">
        <w:rPr>
          <w:rFonts w:ascii="Times New Roman" w:hAnsi="Times New Roman"/>
          <w:sz w:val="24"/>
          <w:szCs w:val="24"/>
        </w:rPr>
        <w:t xml:space="preserve">Under </w:t>
      </w:r>
      <w:proofErr w:type="gramStart"/>
      <w:r w:rsidRPr="004628C1">
        <w:rPr>
          <w:rStyle w:val="Emphasis"/>
          <w:rFonts w:ascii="Times New Roman" w:hAnsi="Times New Roman"/>
          <w:sz w:val="24"/>
          <w:szCs w:val="24"/>
        </w:rPr>
        <w:t>Loudermill</w:t>
      </w:r>
      <w:r w:rsidRPr="004628C1">
        <w:rPr>
          <w:rFonts w:ascii="Times New Roman" w:hAnsi="Times New Roman"/>
          <w:sz w:val="24"/>
          <w:szCs w:val="24"/>
        </w:rPr>
        <w:t xml:space="preserve">, </w:t>
      </w:r>
      <w:r>
        <w:rPr>
          <w:rFonts w:ascii="Times New Roman" w:hAnsi="Times New Roman"/>
          <w:sz w:val="24"/>
          <w:szCs w:val="24"/>
        </w:rPr>
        <w:t>‘</w:t>
      </w:r>
      <w:proofErr w:type="gramEnd"/>
      <w:r w:rsidRPr="004628C1">
        <w:rPr>
          <w:rFonts w:ascii="Times New Roman" w:hAnsi="Times New Roman"/>
          <w:sz w:val="24"/>
          <w:szCs w:val="24"/>
        </w:rPr>
        <w:t xml:space="preserve">some kind of </w:t>
      </w:r>
      <w:proofErr w:type="gramStart"/>
      <w:r w:rsidRPr="004628C1">
        <w:rPr>
          <w:rFonts w:ascii="Times New Roman" w:hAnsi="Times New Roman"/>
          <w:sz w:val="24"/>
          <w:szCs w:val="24"/>
        </w:rPr>
        <w:t>a hearing</w:t>
      </w:r>
      <w:r>
        <w:rPr>
          <w:rFonts w:ascii="Times New Roman" w:hAnsi="Times New Roman"/>
          <w:sz w:val="24"/>
          <w:szCs w:val="24"/>
        </w:rPr>
        <w:t>’</w:t>
      </w:r>
      <w:proofErr w:type="gramEnd"/>
      <w:r w:rsidRPr="004628C1">
        <w:rPr>
          <w:rFonts w:ascii="Times New Roman" w:hAnsi="Times New Roman"/>
          <w:sz w:val="24"/>
          <w:szCs w:val="24"/>
        </w:rPr>
        <w:t xml:space="preserve"> is required before discharging an employee with a property interest. 470 U.S. at 542. The court need not define the minimum procedural requirement here other than to say that it is more than the nothing that Haffner got.</w:t>
      </w:r>
    </w:p>
    <w:p w14:paraId="5E440E80" w14:textId="77777777" w:rsidR="006C4AD8" w:rsidRDefault="006C4AD8" w:rsidP="006C4AD8">
      <w:pPr>
        <w:ind w:left="720"/>
        <w:rPr>
          <w:rFonts w:ascii="Times New Roman" w:hAnsi="Times New Roman"/>
          <w:sz w:val="24"/>
          <w:szCs w:val="24"/>
        </w:rPr>
      </w:pPr>
      <w:r>
        <w:rPr>
          <w:rFonts w:ascii="Times New Roman" w:hAnsi="Times New Roman"/>
          <w:sz w:val="24"/>
          <w:szCs w:val="24"/>
        </w:rPr>
        <w:t>***</w:t>
      </w:r>
    </w:p>
    <w:p w14:paraId="73ED3D35" w14:textId="77777777" w:rsidR="006C4AD8" w:rsidRPr="00F803ED" w:rsidRDefault="006C4AD8" w:rsidP="006C4AD8">
      <w:pPr>
        <w:ind w:left="720"/>
        <w:rPr>
          <w:rFonts w:ascii="Times New Roman" w:hAnsi="Times New Roman"/>
          <w:sz w:val="24"/>
          <w:szCs w:val="24"/>
        </w:rPr>
      </w:pPr>
      <w:r>
        <w:t> </w:t>
      </w:r>
      <w:r w:rsidRPr="006B660C">
        <w:rPr>
          <w:rFonts w:ascii="Times New Roman" w:hAnsi="Times New Roman"/>
          <w:sz w:val="24"/>
          <w:szCs w:val="24"/>
        </w:rPr>
        <w:t>Defendants' argument is based on a statutory interpretation. In essence, defendants contend that the statutory protections in § 62.13(5)(</w:t>
      </w:r>
      <w:proofErr w:type="spellStart"/>
      <w:r w:rsidRPr="006B660C">
        <w:rPr>
          <w:rFonts w:ascii="Times New Roman" w:hAnsi="Times New Roman"/>
          <w:sz w:val="24"/>
          <w:szCs w:val="24"/>
        </w:rPr>
        <w:t>em</w:t>
      </w:r>
      <w:proofErr w:type="spellEnd"/>
      <w:r w:rsidRPr="006B660C">
        <w:rPr>
          <w:rFonts w:ascii="Times New Roman" w:hAnsi="Times New Roman"/>
          <w:sz w:val="24"/>
          <w:szCs w:val="24"/>
        </w:rPr>
        <w:t xml:space="preserve">) are available only to officers whose hiring or promotion was approved by the commission, as required by § 62.13(4)(a). Nothing in the text of the statute supports </w:t>
      </w:r>
      <w:proofErr w:type="gramStart"/>
      <w:r w:rsidRPr="006B660C">
        <w:rPr>
          <w:rFonts w:ascii="Times New Roman" w:hAnsi="Times New Roman"/>
          <w:sz w:val="24"/>
          <w:szCs w:val="24"/>
        </w:rPr>
        <w:t>such a</w:t>
      </w:r>
      <w:proofErr w:type="gramEnd"/>
      <w:r w:rsidRPr="006B660C">
        <w:rPr>
          <w:rFonts w:ascii="Times New Roman" w:hAnsi="Times New Roman"/>
          <w:sz w:val="24"/>
          <w:szCs w:val="24"/>
        </w:rPr>
        <w:t xml:space="preserve"> reading. And this interpretation would allow a municipality to avoid affording job protection to its firefighters and law enforcement officers simply by withholding commission approval of their hiring and promotion. This is an absurd result that frustrates the purpose of the statute, so the court must reject the defendants' interpretation.</w:t>
      </w:r>
      <w:r>
        <w:rPr>
          <w:rFonts w:ascii="Times New Roman" w:hAnsi="Times New Roman"/>
          <w:sz w:val="24"/>
          <w:szCs w:val="24"/>
        </w:rPr>
        <w:t xml:space="preserve">” </w:t>
      </w:r>
      <w:hyperlink r:id="rId1087" w:history="1">
        <w:r w:rsidRPr="001C375D">
          <w:rPr>
            <w:rStyle w:val="Hyperlink"/>
            <w:rFonts w:ascii="Times New Roman" w:hAnsi="Times New Roman"/>
            <w:sz w:val="24"/>
            <w:szCs w:val="24"/>
          </w:rPr>
          <w:t>https://public.fastcase.com/H1P9uiW3J20SFp%2BGCG%2BxLTokB0aoklJy6U6lHfy%2FfW4XgHUeDnfzCtV2IraSxfBK?utm_medium=email&amp;_hsmi=226712652&amp;_hsenc=p2ANqtz-_gim38WUKhev0Avzaj483M_b7fed8rsJvlzMdOQbFB_Jpk5Z-</w:t>
        </w:r>
      </w:hyperlink>
      <w:r>
        <w:rPr>
          <w:rFonts w:ascii="Times New Roman" w:hAnsi="Times New Roman"/>
          <w:sz w:val="24"/>
          <w:szCs w:val="24"/>
        </w:rPr>
        <w:t xml:space="preserve"> </w:t>
      </w:r>
    </w:p>
    <w:p w14:paraId="28C92297" w14:textId="77777777" w:rsidR="0060031B" w:rsidRPr="00681787" w:rsidRDefault="0060031B" w:rsidP="0060031B">
      <w:pPr>
        <w:pStyle w:val="NormalWeb"/>
        <w:spacing w:before="0" w:beforeAutospacing="0"/>
        <w:rPr>
          <w:b/>
          <w:bCs/>
        </w:rPr>
      </w:pPr>
      <w:r>
        <w:rPr>
          <w:b/>
          <w:bCs/>
        </w:rPr>
        <w:t>Legal Lesson Learned: Provide due process (such as a hearing before Commission) before removing officer’s title.</w:t>
      </w:r>
    </w:p>
    <w:p w14:paraId="6F882CA7" w14:textId="77777777" w:rsidR="006C4AD8" w:rsidRDefault="006C4AD8" w:rsidP="00EF1133">
      <w:pPr>
        <w:rPr>
          <w:rFonts w:ascii="Arial Black" w:hAnsi="Arial Black"/>
          <w:b/>
          <w:sz w:val="24"/>
          <w:szCs w:val="24"/>
        </w:rPr>
      </w:pPr>
    </w:p>
    <w:p w14:paraId="0E390E3B" w14:textId="373D02EC" w:rsidR="00AD7949" w:rsidRDefault="00AD7949"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7</w:t>
      </w:r>
    </w:p>
    <w:p w14:paraId="037D73FF" w14:textId="77777777" w:rsidR="00C42282" w:rsidRPr="00461960" w:rsidRDefault="00C42282" w:rsidP="00C42282">
      <w:pPr>
        <w:pStyle w:val="NormalWeb"/>
        <w:rPr>
          <w:rFonts w:ascii="Arial Black" w:hAnsi="Arial Black"/>
          <w:b/>
          <w:bCs/>
          <w:sz w:val="28"/>
          <w:szCs w:val="28"/>
        </w:rPr>
      </w:pPr>
      <w:r>
        <w:rPr>
          <w:rFonts w:ascii="Arial Black" w:hAnsi="Arial Black"/>
          <w:b/>
          <w:bCs/>
          <w:sz w:val="28"/>
          <w:szCs w:val="28"/>
        </w:rPr>
        <w:t>NY: FDNY FF – ALLERGIC REACTION TO COVID 2</w:t>
      </w:r>
      <w:r w:rsidRPr="00D16292">
        <w:rPr>
          <w:rFonts w:ascii="Arial Black" w:hAnsi="Arial Black"/>
          <w:b/>
          <w:bCs/>
          <w:sz w:val="28"/>
          <w:szCs w:val="28"/>
          <w:vertAlign w:val="superscript"/>
        </w:rPr>
        <w:t>ND</w:t>
      </w:r>
      <w:r>
        <w:rPr>
          <w:rFonts w:ascii="Arial Black" w:hAnsi="Arial Black"/>
          <w:b/>
          <w:bCs/>
          <w:sz w:val="28"/>
          <w:szCs w:val="28"/>
        </w:rPr>
        <w:t xml:space="preserve"> SHOT – FORCED RETIRE – NOT “ACCIDENTAL” DISAB. RETIREMENT</w:t>
      </w:r>
    </w:p>
    <w:p w14:paraId="7ED7C0D8" w14:textId="77777777" w:rsidR="00C42282" w:rsidRDefault="00C42282" w:rsidP="00C42282">
      <w:pPr>
        <w:pStyle w:val="NormalWeb"/>
      </w:pPr>
      <w:r w:rsidRPr="008E4A59">
        <w:t xml:space="preserve">On Feb. 12, 2024, in </w:t>
      </w:r>
      <w:r w:rsidRPr="00BB0CE6">
        <w:rPr>
          <w:u w:val="single"/>
        </w:rPr>
        <w:t>O'Brian Pastran v. New York City Fire Pension Fund</w:t>
      </w:r>
      <w:r>
        <w:t xml:space="preserve">, Judge Arlene P. Bluth, Supreme Court, New York County, held that two Medical Boards voted to award the firefighter “ordinary” disability retirement, not accidental (75%) and there in not sufficient medical basis to reverse the Boards decision.  </w:t>
      </w:r>
    </w:p>
    <w:p w14:paraId="360E1C0D" w14:textId="77777777" w:rsidR="00C42282" w:rsidRPr="008E4A59" w:rsidRDefault="00C42282" w:rsidP="00C42282">
      <w:pPr>
        <w:pStyle w:val="NormalWeb"/>
      </w:pPr>
      <w:r>
        <w:t>The Judge held:</w:t>
      </w:r>
    </w:p>
    <w:p w14:paraId="5656E2AE" w14:textId="77777777" w:rsidR="00C42282" w:rsidRDefault="00C42282" w:rsidP="00C42282">
      <w:pPr>
        <w:ind w:left="720"/>
        <w:rPr>
          <w:rFonts w:ascii="Times New Roman" w:hAnsi="Times New Roman"/>
          <w:sz w:val="24"/>
          <w:szCs w:val="24"/>
        </w:rPr>
      </w:pPr>
      <w:r>
        <w:rPr>
          <w:rFonts w:ascii="Times New Roman" w:hAnsi="Times New Roman"/>
          <w:sz w:val="24"/>
          <w:szCs w:val="24"/>
        </w:rPr>
        <w:t>“</w:t>
      </w:r>
      <w:r w:rsidRPr="00461960">
        <w:rPr>
          <w:rFonts w:ascii="Times New Roman" w:hAnsi="Times New Roman"/>
          <w:sz w:val="24"/>
          <w:szCs w:val="24"/>
        </w:rPr>
        <w:t>Although it appears the Board of Trustees seriously considered granting petitioner ADR, petitioner unfortunately did not prevail in the final vote. That this Court may have significant admiration for petitioner's many years of service for the FDNY and compassion for his current physical ailments is not a sufficient basis upon which this Court can substitute its own judgment for that of respondents.</w:t>
      </w:r>
      <w:r>
        <w:rPr>
          <w:rFonts w:ascii="Times New Roman" w:hAnsi="Times New Roman"/>
          <w:sz w:val="24"/>
          <w:szCs w:val="24"/>
        </w:rPr>
        <w:t xml:space="preserve">” </w:t>
      </w:r>
      <w:hyperlink r:id="rId1088" w:history="1">
        <w:r w:rsidRPr="00644350">
          <w:rPr>
            <w:rStyle w:val="Hyperlink"/>
            <w:rFonts w:ascii="Times New Roman" w:hAnsi="Times New Roman"/>
            <w:sz w:val="24"/>
            <w:szCs w:val="24"/>
          </w:rPr>
          <w:t>https://casetext.com/case/pastrana-v-nyc-fire-pension-fund</w:t>
        </w:r>
      </w:hyperlink>
      <w:r>
        <w:rPr>
          <w:rFonts w:ascii="Times New Roman" w:hAnsi="Times New Roman"/>
          <w:sz w:val="24"/>
          <w:szCs w:val="24"/>
        </w:rPr>
        <w:t xml:space="preserve"> </w:t>
      </w:r>
    </w:p>
    <w:p w14:paraId="2C907A06" w14:textId="77777777" w:rsidR="00C42282" w:rsidRDefault="00C42282" w:rsidP="00C42282">
      <w:pPr>
        <w:pStyle w:val="NormalWeb"/>
      </w:pPr>
      <w:r w:rsidRPr="00195947">
        <w:rPr>
          <w:b/>
          <w:bCs/>
        </w:rPr>
        <w:t>Legal Lesson Learned:</w:t>
      </w:r>
      <w:r>
        <w:rPr>
          <w:b/>
          <w:bCs/>
        </w:rPr>
        <w:t xml:space="preserve"> To receive accidental disability retirement (75%), the firefighter must prove he became permanently incapacitated (physically or mentally) as result of an on-the-job accident not due to his willful negligence. </w:t>
      </w:r>
      <w:hyperlink r:id="rId1089" w:history="1">
        <w:r w:rsidRPr="00E8503C">
          <w:rPr>
            <w:rStyle w:val="Hyperlink"/>
          </w:rPr>
          <w:t>https://www.osc.ny.gov/retirement/publications/1512/accidental-disability</w:t>
        </w:r>
      </w:hyperlink>
      <w:r w:rsidRPr="00E8503C">
        <w:t xml:space="preserve"> </w:t>
      </w:r>
    </w:p>
    <w:p w14:paraId="38556BD6" w14:textId="77777777" w:rsidR="00C42282" w:rsidRDefault="00C42282" w:rsidP="00EF1133">
      <w:pPr>
        <w:rPr>
          <w:rFonts w:ascii="Arial Black" w:hAnsi="Arial Black"/>
          <w:b/>
          <w:sz w:val="24"/>
          <w:szCs w:val="24"/>
        </w:rPr>
      </w:pPr>
    </w:p>
    <w:p w14:paraId="63B478E1" w14:textId="77777777" w:rsidR="00AD7949" w:rsidRDefault="00AD7949" w:rsidP="00EF1133">
      <w:pPr>
        <w:rPr>
          <w:rFonts w:ascii="Arial Black" w:hAnsi="Arial Black"/>
          <w:b/>
          <w:sz w:val="24"/>
          <w:szCs w:val="24"/>
        </w:rPr>
      </w:pPr>
    </w:p>
    <w:p w14:paraId="43F9A71C" w14:textId="29BFB144" w:rsidR="00D73F92" w:rsidRDefault="00D73F92"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6</w:t>
      </w:r>
    </w:p>
    <w:p w14:paraId="07C0FC7C" w14:textId="77777777" w:rsidR="00255984" w:rsidRDefault="00255984" w:rsidP="00255984">
      <w:pPr>
        <w:pStyle w:val="NoSpacing"/>
        <w:rPr>
          <w:rFonts w:ascii="Arial Black" w:hAnsi="Arial Black"/>
          <w:sz w:val="28"/>
          <w:szCs w:val="28"/>
        </w:rPr>
      </w:pPr>
      <w:r>
        <w:rPr>
          <w:rFonts w:ascii="Arial Black" w:hAnsi="Arial Black"/>
          <w:sz w:val="28"/>
          <w:szCs w:val="28"/>
        </w:rPr>
        <w:t>VA: FF FRACTURED HIP 2014 – SCREWS – 6 YRS LATER TOTAL HIP – DENIED TEMP. TOTAL / PERM. IMPAIRMENT</w:t>
      </w:r>
    </w:p>
    <w:p w14:paraId="11A2CB62" w14:textId="77777777" w:rsidR="00255984" w:rsidRDefault="00255984" w:rsidP="00255984">
      <w:pPr>
        <w:pStyle w:val="NoSpacing"/>
        <w:rPr>
          <w:rFonts w:ascii="Arial Black" w:hAnsi="Arial Black"/>
          <w:sz w:val="28"/>
          <w:szCs w:val="28"/>
        </w:rPr>
      </w:pPr>
    </w:p>
    <w:p w14:paraId="2D613A21" w14:textId="77777777" w:rsidR="00255984" w:rsidRDefault="00255984" w:rsidP="00255984">
      <w:pPr>
        <w:pStyle w:val="NoSpacing"/>
        <w:rPr>
          <w:rFonts w:ascii="Times New Roman" w:hAnsi="Times New Roman"/>
          <w:sz w:val="24"/>
          <w:szCs w:val="24"/>
        </w:rPr>
      </w:pPr>
      <w:r>
        <w:rPr>
          <w:rFonts w:ascii="Times New Roman" w:hAnsi="Times New Roman"/>
          <w:sz w:val="24"/>
          <w:szCs w:val="24"/>
        </w:rPr>
        <w:t xml:space="preserve">On Jan. 30, 2024, in </w:t>
      </w:r>
      <w:r w:rsidRPr="00A14439">
        <w:rPr>
          <w:rFonts w:ascii="Times New Roman" w:hAnsi="Times New Roman"/>
          <w:sz w:val="24"/>
          <w:szCs w:val="24"/>
          <w:u w:val="single"/>
        </w:rPr>
        <w:t>Joshua Stanton v. Virginia Beach – Fire Operations</w:t>
      </w:r>
      <w:r>
        <w:rPr>
          <w:rFonts w:ascii="Times New Roman" w:hAnsi="Times New Roman"/>
          <w:sz w:val="24"/>
          <w:szCs w:val="24"/>
        </w:rPr>
        <w:t xml:space="preserve">, the Court of Appeals of Virginia, held (3 to 0) that Virginia Worker’s Compensation Commission properly held that the firefighter was not entitled to temporary total and permanent impairment coverage for a “changed condition.”  On Aug. 30, </w:t>
      </w:r>
      <w:proofErr w:type="gramStart"/>
      <w:r>
        <w:rPr>
          <w:rFonts w:ascii="Times New Roman" w:hAnsi="Times New Roman"/>
          <w:sz w:val="24"/>
          <w:szCs w:val="24"/>
        </w:rPr>
        <w:t>2014</w:t>
      </w:r>
      <w:proofErr w:type="gramEnd"/>
      <w:r>
        <w:rPr>
          <w:rFonts w:ascii="Times New Roman" w:hAnsi="Times New Roman"/>
          <w:sz w:val="24"/>
          <w:szCs w:val="24"/>
        </w:rPr>
        <w:t xml:space="preserve"> he fractured his hip on duty (3 screws), and </w:t>
      </w:r>
      <w:proofErr w:type="gramStart"/>
      <w:r>
        <w:rPr>
          <w:rFonts w:ascii="Times New Roman" w:hAnsi="Times New Roman"/>
          <w:sz w:val="24"/>
          <w:szCs w:val="24"/>
        </w:rPr>
        <w:t>returned</w:t>
      </w:r>
      <w:proofErr w:type="gramEnd"/>
      <w:r>
        <w:rPr>
          <w:rFonts w:ascii="Times New Roman" w:hAnsi="Times New Roman"/>
          <w:sz w:val="24"/>
          <w:szCs w:val="24"/>
        </w:rPr>
        <w:t xml:space="preserve"> full duty Sept. 2015.  He then worked full duty for net six </w:t>
      </w:r>
      <w:proofErr w:type="gramStart"/>
      <w:r>
        <w:rPr>
          <w:rFonts w:ascii="Times New Roman" w:hAnsi="Times New Roman"/>
          <w:sz w:val="24"/>
          <w:szCs w:val="24"/>
        </w:rPr>
        <w:t>year</w:t>
      </w:r>
      <w:proofErr w:type="gramEnd"/>
      <w:r>
        <w:rPr>
          <w:rFonts w:ascii="Times New Roman" w:hAnsi="Times New Roman"/>
          <w:sz w:val="24"/>
          <w:szCs w:val="24"/>
        </w:rPr>
        <w:t>, until he needed total hip replacement Aug. 31, 2021; on light duty until returned full duty Nov. 2021.  The Court agreed with the Commission - his claim for t</w:t>
      </w:r>
      <w:r w:rsidRPr="005A7E8F">
        <w:rPr>
          <w:rFonts w:ascii="Times New Roman" w:hAnsi="Times New Roman"/>
          <w:sz w:val="24"/>
          <w:szCs w:val="24"/>
        </w:rPr>
        <w:t xml:space="preserve">emporary total disability and permanent impairment </w:t>
      </w:r>
      <w:r>
        <w:rPr>
          <w:rFonts w:ascii="Times New Roman" w:hAnsi="Times New Roman"/>
          <w:sz w:val="24"/>
          <w:szCs w:val="24"/>
        </w:rPr>
        <w:t xml:space="preserve">were </w:t>
      </w:r>
      <w:r w:rsidRPr="005A7E8F">
        <w:rPr>
          <w:rFonts w:ascii="Times New Roman" w:hAnsi="Times New Roman"/>
          <w:sz w:val="24"/>
          <w:szCs w:val="24"/>
        </w:rPr>
        <w:t>untimely</w:t>
      </w:r>
      <w:r>
        <w:rPr>
          <w:rFonts w:ascii="Times New Roman" w:hAnsi="Times New Roman"/>
          <w:sz w:val="24"/>
          <w:szCs w:val="24"/>
        </w:rPr>
        <w:t xml:space="preserve"> since not made with two </w:t>
      </w:r>
      <w:proofErr w:type="gramStart"/>
      <w:r>
        <w:rPr>
          <w:rFonts w:ascii="Times New Roman" w:hAnsi="Times New Roman"/>
          <w:sz w:val="24"/>
          <w:szCs w:val="24"/>
        </w:rPr>
        <w:t>year</w:t>
      </w:r>
      <w:proofErr w:type="gramEnd"/>
      <w:r>
        <w:rPr>
          <w:rFonts w:ascii="Times New Roman" w:hAnsi="Times New Roman"/>
          <w:sz w:val="24"/>
          <w:szCs w:val="24"/>
        </w:rPr>
        <w:t xml:space="preserve"> of last </w:t>
      </w:r>
      <w:proofErr w:type="gramStart"/>
      <w:r>
        <w:rPr>
          <w:rFonts w:ascii="Times New Roman" w:hAnsi="Times New Roman"/>
          <w:sz w:val="24"/>
          <w:szCs w:val="24"/>
        </w:rPr>
        <w:t>workers</w:t>
      </w:r>
      <w:proofErr w:type="gramEnd"/>
      <w:r>
        <w:rPr>
          <w:rFonts w:ascii="Times New Roman" w:hAnsi="Times New Roman"/>
          <w:sz w:val="24"/>
          <w:szCs w:val="24"/>
        </w:rPr>
        <w:t xml:space="preserve"> comp payment (six years prior).</w:t>
      </w:r>
    </w:p>
    <w:p w14:paraId="05FFE16D" w14:textId="77777777" w:rsidR="00255984" w:rsidRDefault="00255984" w:rsidP="00255984">
      <w:pPr>
        <w:pStyle w:val="NoSpacing"/>
        <w:rPr>
          <w:rFonts w:ascii="Times New Roman" w:hAnsi="Times New Roman"/>
          <w:sz w:val="24"/>
          <w:szCs w:val="24"/>
        </w:rPr>
      </w:pPr>
    </w:p>
    <w:p w14:paraId="4477D97B" w14:textId="77777777" w:rsidR="00255984" w:rsidRDefault="00255984" w:rsidP="00255984">
      <w:pPr>
        <w:pStyle w:val="NoSpacing"/>
        <w:ind w:left="720"/>
        <w:rPr>
          <w:rFonts w:ascii="Times New Roman" w:hAnsi="Times New Roman"/>
          <w:sz w:val="24"/>
          <w:szCs w:val="24"/>
        </w:rPr>
      </w:pPr>
      <w:r>
        <w:rPr>
          <w:rFonts w:ascii="Times New Roman" w:hAnsi="Times New Roman"/>
          <w:sz w:val="24"/>
          <w:szCs w:val="24"/>
        </w:rPr>
        <w:t>“T</w:t>
      </w:r>
      <w:r w:rsidRPr="00CB1BAF">
        <w:rPr>
          <w:rFonts w:ascii="Times New Roman" w:hAnsi="Times New Roman"/>
          <w:sz w:val="24"/>
          <w:szCs w:val="24"/>
        </w:rPr>
        <w:t>hus, September of 2015 was the last time that</w:t>
      </w:r>
      <w:r>
        <w:rPr>
          <w:rFonts w:ascii="Times New Roman" w:hAnsi="Times New Roman"/>
          <w:sz w:val="24"/>
          <w:szCs w:val="24"/>
        </w:rPr>
        <w:t xml:space="preserve"> </w:t>
      </w:r>
      <w:r w:rsidRPr="00CB1BAF">
        <w:rPr>
          <w:rFonts w:ascii="Times New Roman" w:hAnsi="Times New Roman"/>
          <w:sz w:val="24"/>
          <w:szCs w:val="24"/>
        </w:rPr>
        <w:t xml:space="preserve">Stanton received compensation </w:t>
      </w:r>
      <w:r>
        <w:rPr>
          <w:rFonts w:ascii="Times New Roman" w:hAnsi="Times New Roman"/>
          <w:sz w:val="24"/>
          <w:szCs w:val="24"/>
        </w:rPr>
        <w:t>‘</w:t>
      </w:r>
      <w:r w:rsidRPr="00CB1BAF">
        <w:rPr>
          <w:rFonts w:ascii="Times New Roman" w:hAnsi="Times New Roman"/>
          <w:sz w:val="24"/>
          <w:szCs w:val="24"/>
        </w:rPr>
        <w:t>pursuant to an award.</w:t>
      </w:r>
      <w:r>
        <w:rPr>
          <w:rFonts w:ascii="Times New Roman" w:hAnsi="Times New Roman"/>
          <w:sz w:val="24"/>
          <w:szCs w:val="24"/>
        </w:rPr>
        <w:t>’</w:t>
      </w:r>
      <w:r w:rsidRPr="00CB1BAF">
        <w:rPr>
          <w:rFonts w:ascii="Times New Roman" w:hAnsi="Times New Roman"/>
          <w:sz w:val="24"/>
          <w:szCs w:val="24"/>
        </w:rPr>
        <w:t xml:space="preserve"> As a result, the two-year statute of</w:t>
      </w:r>
      <w:r>
        <w:rPr>
          <w:rFonts w:ascii="Times New Roman" w:hAnsi="Times New Roman"/>
          <w:sz w:val="24"/>
          <w:szCs w:val="24"/>
        </w:rPr>
        <w:t xml:space="preserve"> </w:t>
      </w:r>
      <w:r w:rsidRPr="00CB1BAF">
        <w:rPr>
          <w:rFonts w:ascii="Times New Roman" w:hAnsi="Times New Roman"/>
          <w:sz w:val="24"/>
          <w:szCs w:val="24"/>
        </w:rPr>
        <w:t>limitations period under Code § 65.2-708(A) began in September of 2015, and any tolling of</w:t>
      </w:r>
      <w:r>
        <w:rPr>
          <w:rFonts w:ascii="Times New Roman" w:hAnsi="Times New Roman"/>
          <w:sz w:val="24"/>
          <w:szCs w:val="24"/>
        </w:rPr>
        <w:t xml:space="preserve"> </w:t>
      </w:r>
      <w:r w:rsidRPr="00CB1BAF">
        <w:rPr>
          <w:rFonts w:ascii="Times New Roman" w:hAnsi="Times New Roman"/>
          <w:sz w:val="24"/>
          <w:szCs w:val="24"/>
        </w:rPr>
        <w:t>subsection (A) due to the fulfillment of the conditions described in subsection (C) would need to</w:t>
      </w:r>
      <w:r>
        <w:rPr>
          <w:rFonts w:ascii="Times New Roman" w:hAnsi="Times New Roman"/>
          <w:sz w:val="24"/>
          <w:szCs w:val="24"/>
        </w:rPr>
        <w:t xml:space="preserve"> </w:t>
      </w:r>
      <w:r w:rsidRPr="00CB1BAF">
        <w:rPr>
          <w:rFonts w:ascii="Times New Roman" w:hAnsi="Times New Roman"/>
          <w:sz w:val="24"/>
          <w:szCs w:val="24"/>
        </w:rPr>
        <w:t>have occurred in the following 24 months. Since Stanton was not placed on light duty again until</w:t>
      </w:r>
      <w:r>
        <w:rPr>
          <w:rFonts w:ascii="Times New Roman" w:hAnsi="Times New Roman"/>
          <w:sz w:val="24"/>
          <w:szCs w:val="24"/>
        </w:rPr>
        <w:t xml:space="preserve"> </w:t>
      </w:r>
      <w:r w:rsidRPr="00CB1BAF">
        <w:rPr>
          <w:rFonts w:ascii="Times New Roman" w:hAnsi="Times New Roman"/>
          <w:sz w:val="24"/>
          <w:szCs w:val="24"/>
        </w:rPr>
        <w:t>six years later in October of 2021 after undergoing hip replacement surgery, he may have fulfilled</w:t>
      </w:r>
      <w:r>
        <w:rPr>
          <w:rFonts w:ascii="Times New Roman" w:hAnsi="Times New Roman"/>
          <w:sz w:val="24"/>
          <w:szCs w:val="24"/>
        </w:rPr>
        <w:t xml:space="preserve"> </w:t>
      </w:r>
      <w:r w:rsidRPr="00CB1BAF">
        <w:rPr>
          <w:rFonts w:ascii="Times New Roman" w:hAnsi="Times New Roman"/>
          <w:sz w:val="24"/>
          <w:szCs w:val="24"/>
        </w:rPr>
        <w:t>the conditions as expressed in subsection (C), but he did so outside of the statute of limitations of</w:t>
      </w:r>
      <w:r>
        <w:rPr>
          <w:rFonts w:ascii="Times New Roman" w:hAnsi="Times New Roman"/>
          <w:sz w:val="24"/>
          <w:szCs w:val="24"/>
        </w:rPr>
        <w:t xml:space="preserve"> </w:t>
      </w:r>
      <w:r w:rsidRPr="00CB1BAF">
        <w:rPr>
          <w:rFonts w:ascii="Times New Roman" w:hAnsi="Times New Roman"/>
          <w:sz w:val="24"/>
          <w:szCs w:val="24"/>
        </w:rPr>
        <w:t>subsection (A). Therefore, we find no error in the Commission’s finding and affirm the</w:t>
      </w:r>
      <w:r>
        <w:rPr>
          <w:rFonts w:ascii="Times New Roman" w:hAnsi="Times New Roman"/>
          <w:sz w:val="24"/>
          <w:szCs w:val="24"/>
        </w:rPr>
        <w:t xml:space="preserve"> </w:t>
      </w:r>
      <w:r w:rsidRPr="000E7188">
        <w:rPr>
          <w:rFonts w:ascii="Times New Roman" w:hAnsi="Times New Roman"/>
          <w:sz w:val="24"/>
          <w:szCs w:val="24"/>
        </w:rPr>
        <w:t>Commission’s decision</w:t>
      </w:r>
      <w:r>
        <w:rPr>
          <w:rFonts w:ascii="Times New Roman" w:hAnsi="Times New Roman"/>
          <w:sz w:val="24"/>
          <w:szCs w:val="24"/>
        </w:rPr>
        <w:t xml:space="preserve">.” </w:t>
      </w:r>
      <w:hyperlink r:id="rId1090" w:history="1">
        <w:r w:rsidRPr="00665549">
          <w:rPr>
            <w:rStyle w:val="Hyperlink"/>
            <w:rFonts w:ascii="Times New Roman" w:hAnsi="Times New Roman"/>
            <w:sz w:val="24"/>
            <w:szCs w:val="24"/>
          </w:rPr>
          <w:t>https://cases.justia.com/virginia/court-of-appeals-published/2024-0344-23-1.pdf?ts=1706633278</w:t>
        </w:r>
      </w:hyperlink>
      <w:r>
        <w:rPr>
          <w:rFonts w:ascii="Times New Roman" w:hAnsi="Times New Roman"/>
          <w:sz w:val="24"/>
          <w:szCs w:val="24"/>
        </w:rPr>
        <w:t xml:space="preserve"> </w:t>
      </w:r>
    </w:p>
    <w:p w14:paraId="4C187E9F" w14:textId="77777777" w:rsidR="00D73F92" w:rsidRDefault="00D73F92" w:rsidP="00EF1133">
      <w:pPr>
        <w:rPr>
          <w:rFonts w:ascii="Arial Black" w:hAnsi="Arial Black"/>
          <w:b/>
          <w:sz w:val="24"/>
          <w:szCs w:val="24"/>
        </w:rPr>
      </w:pPr>
    </w:p>
    <w:p w14:paraId="07C249E1" w14:textId="77777777" w:rsidR="00A763AF" w:rsidRPr="001662AE" w:rsidRDefault="00A763AF" w:rsidP="00A763AF">
      <w:pPr>
        <w:pStyle w:val="NoSpacing"/>
        <w:rPr>
          <w:rFonts w:ascii="Times New Roman" w:hAnsi="Times New Roman"/>
          <w:b/>
          <w:bCs/>
          <w:sz w:val="24"/>
          <w:szCs w:val="24"/>
        </w:rPr>
      </w:pPr>
      <w:r w:rsidRPr="001662AE">
        <w:rPr>
          <w:rFonts w:ascii="Times New Roman" w:hAnsi="Times New Roman"/>
          <w:b/>
          <w:bCs/>
          <w:sz w:val="24"/>
          <w:szCs w:val="24"/>
        </w:rPr>
        <w:t xml:space="preserve">Legal Lesson Learned: The parties agreed that if he had received a prosthesis in 2014, instead of three screws, then a “repair replacement” of the prosthesis in 2021 would have been covered. </w:t>
      </w:r>
    </w:p>
    <w:p w14:paraId="22254842" w14:textId="77777777" w:rsidR="000C0691" w:rsidRDefault="000C0691" w:rsidP="00EF1133">
      <w:pPr>
        <w:rPr>
          <w:rFonts w:ascii="Arial Black" w:hAnsi="Arial Black"/>
          <w:b/>
          <w:sz w:val="24"/>
          <w:szCs w:val="24"/>
        </w:rPr>
      </w:pPr>
    </w:p>
    <w:p w14:paraId="3FB7A6E0" w14:textId="77777777" w:rsidR="00D73F92" w:rsidRDefault="00D73F92" w:rsidP="00EF1133">
      <w:pPr>
        <w:rPr>
          <w:rFonts w:ascii="Arial Black" w:hAnsi="Arial Black"/>
          <w:b/>
          <w:sz w:val="24"/>
          <w:szCs w:val="24"/>
        </w:rPr>
      </w:pPr>
    </w:p>
    <w:p w14:paraId="54FAEB81" w14:textId="77777777" w:rsidR="00D73F92" w:rsidRDefault="00D73F92" w:rsidP="00EF1133">
      <w:pPr>
        <w:rPr>
          <w:rFonts w:ascii="Arial Black" w:hAnsi="Arial Black"/>
          <w:b/>
          <w:sz w:val="24"/>
          <w:szCs w:val="24"/>
        </w:rPr>
      </w:pPr>
    </w:p>
    <w:p w14:paraId="338BCD41" w14:textId="77777777" w:rsidR="002744EE" w:rsidRDefault="002744EE" w:rsidP="00EF1133">
      <w:pPr>
        <w:rPr>
          <w:rFonts w:ascii="Arial Black" w:hAnsi="Arial Black"/>
          <w:b/>
          <w:sz w:val="24"/>
          <w:szCs w:val="24"/>
        </w:rPr>
      </w:pPr>
    </w:p>
    <w:p w14:paraId="0E824F22" w14:textId="449FD04F" w:rsidR="00F33E0E" w:rsidRDefault="004668C7"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5</w:t>
      </w:r>
    </w:p>
    <w:p w14:paraId="7A744957" w14:textId="77777777" w:rsidR="00542190" w:rsidRDefault="00542190" w:rsidP="00542190">
      <w:pPr>
        <w:pStyle w:val="NormalWeb"/>
        <w:rPr>
          <w:rFonts w:ascii="Arial Black" w:hAnsi="Arial Black"/>
          <w:sz w:val="28"/>
          <w:szCs w:val="28"/>
        </w:rPr>
      </w:pPr>
      <w:r>
        <w:rPr>
          <w:rFonts w:ascii="Arial Black" w:hAnsi="Arial Black"/>
          <w:sz w:val="28"/>
          <w:szCs w:val="28"/>
        </w:rPr>
        <w:t xml:space="preserve">TN: PTSD - </w:t>
      </w:r>
      <w:r w:rsidRPr="003C4F4B">
        <w:rPr>
          <w:rFonts w:ascii="Arial Black" w:hAnsi="Arial Black"/>
          <w:sz w:val="28"/>
          <w:szCs w:val="28"/>
        </w:rPr>
        <w:t>CHATTANOOGA</w:t>
      </w:r>
      <w:r>
        <w:rPr>
          <w:rFonts w:ascii="Arial Black" w:hAnsi="Arial Black"/>
          <w:sz w:val="28"/>
          <w:szCs w:val="28"/>
        </w:rPr>
        <w:t xml:space="preserve"> – COURT ORDERS FIRE &amp; POLICE FUND GRANT FF JOB-RELATED DISAB. PENSION </w:t>
      </w:r>
    </w:p>
    <w:p w14:paraId="5A2E8631" w14:textId="77777777" w:rsidR="00542190" w:rsidRDefault="00542190" w:rsidP="00542190">
      <w:pPr>
        <w:pStyle w:val="NormalWeb"/>
      </w:pPr>
      <w:r>
        <w:t xml:space="preserve">On Dec. 18, 2023, in </w:t>
      </w:r>
      <w:r w:rsidRPr="001D0F2C">
        <w:rPr>
          <w:u w:val="single"/>
        </w:rPr>
        <w:t xml:space="preserve">Matthew Long v. Chattanooga Fire </w:t>
      </w:r>
      <w:proofErr w:type="gramStart"/>
      <w:r w:rsidRPr="001D0F2C">
        <w:rPr>
          <w:u w:val="single"/>
        </w:rPr>
        <w:t>And</w:t>
      </w:r>
      <w:proofErr w:type="gramEnd"/>
      <w:r w:rsidRPr="001D0F2C">
        <w:rPr>
          <w:u w:val="single"/>
        </w:rPr>
        <w:t xml:space="preserve"> Police Fund</w:t>
      </w:r>
      <w:r>
        <w:t>, the Court of Appeals of Tennessee held (3 to 0) that trial court judge properly ordered the Fund a job-</w:t>
      </w:r>
      <w:proofErr w:type="gramStart"/>
      <w:r>
        <w:t>related disability</w:t>
      </w:r>
      <w:proofErr w:type="gramEnd"/>
      <w:r>
        <w:t xml:space="preserve"> pension for firefighter’s PTSD. Board’s policy requiring proof of “undesigned and unexpected” traumatic event makes it impossible for most fire and police to receive pension. The Court wrote: “The Policy provides that an applicant can only obtain benefits for a job-related disability based on PTSD if the disability “is a direct result of a traumatic event that is . . . b. undesigned and unexpected[.]” However, the Policy makes no effort to define the term ‘unexpected,’ nor is that term defined in any controlling legal authority or caselaw. As a result, this portion of the Policy is ambiguous.  *** Here, “unexpected” is not defined in the Plan, and there is no binding Tennessee caselaw construing a similar plan provision. Yet, the Fund essentially argues that the term “unexpected” should be construed to mean that the event giving rise to benefits is entirely unforeseeable.” *** Accordingly, the Board relied on an undefined, ambiguous term in the Plan to deny Long’s benefits and then offered no explanation as to its reasoning. Inasmuch as the Board construed the Plan’s terms in favor of the Fund, instead of in favor of Long, its decision was arbitrary, capricious, and contrary to Tennessee law.” </w:t>
      </w:r>
      <w:hyperlink r:id="rId1091" w:history="1">
        <w:r w:rsidRPr="0044657D">
          <w:rPr>
            <w:rStyle w:val="Hyperlink"/>
          </w:rPr>
          <w:t>https://cases.justia.com/tennessee/court-of-appeals/2023-e2022-01151-coa-r3-cv.pdf?ts=1703121841</w:t>
        </w:r>
      </w:hyperlink>
      <w:r>
        <w:t xml:space="preserve"> </w:t>
      </w:r>
    </w:p>
    <w:p w14:paraId="3C3CF2C0" w14:textId="77777777" w:rsidR="002744EE" w:rsidRPr="00EE0B9A" w:rsidRDefault="002744EE" w:rsidP="002744EE">
      <w:pPr>
        <w:pStyle w:val="NoSpacing"/>
        <w:rPr>
          <w:rFonts w:ascii="Times New Roman" w:hAnsi="Times New Roman"/>
          <w:b/>
          <w:bCs/>
          <w:sz w:val="24"/>
          <w:szCs w:val="24"/>
        </w:rPr>
      </w:pPr>
      <w:r w:rsidRPr="00EE0B9A">
        <w:rPr>
          <w:rFonts w:ascii="Times New Roman" w:hAnsi="Times New Roman"/>
          <w:b/>
          <w:bCs/>
          <w:sz w:val="24"/>
          <w:szCs w:val="24"/>
        </w:rPr>
        <w:t xml:space="preserve">Legal Lesson Learned: </w:t>
      </w:r>
      <w:r>
        <w:rPr>
          <w:rFonts w:ascii="Times New Roman" w:hAnsi="Times New Roman"/>
          <w:b/>
          <w:bCs/>
          <w:sz w:val="24"/>
          <w:szCs w:val="24"/>
        </w:rPr>
        <w:t xml:space="preserve"> The Board needs to better define “unexpected” traumatic events that will be covered for PTSD disability pension. </w:t>
      </w:r>
    </w:p>
    <w:p w14:paraId="09398639" w14:textId="77777777" w:rsidR="002744EE" w:rsidRDefault="002744EE" w:rsidP="002744EE">
      <w:pPr>
        <w:pStyle w:val="NoSpacing"/>
        <w:rPr>
          <w:rFonts w:ascii="Times New Roman" w:hAnsi="Times New Roman"/>
          <w:sz w:val="24"/>
          <w:szCs w:val="24"/>
        </w:rPr>
      </w:pPr>
    </w:p>
    <w:p w14:paraId="7EDEF459" w14:textId="77777777" w:rsidR="002744EE" w:rsidRDefault="002744EE" w:rsidP="002744EE">
      <w:pPr>
        <w:pStyle w:val="NoSpacing"/>
        <w:ind w:left="720"/>
      </w:pPr>
      <w:r>
        <w:rPr>
          <w:rFonts w:ascii="Times New Roman" w:hAnsi="Times New Roman"/>
          <w:sz w:val="24"/>
          <w:szCs w:val="24"/>
        </w:rPr>
        <w:t xml:space="preserve">Note: See video of oral argument before Court of Appeals in this case. </w:t>
      </w:r>
      <w:hyperlink r:id="rId1092" w:anchor="fpstate=ive&amp;vld=cid:c519e51a,vid:fx8S8hEp9_s,st:0" w:history="1">
        <w:r w:rsidRPr="00A7078E">
          <w:rPr>
            <w:rStyle w:val="Hyperlink"/>
          </w:rPr>
          <w:t>https://www.google.com/search?channel=frsc&amp;client=firefox-b-1-d&amp;q=MATTHEW+LONG+v.+CHATTANOOGA+FIRE+AND+POLICE+PENSION+FUND+No.+E2022-01151-COA-R3-CV+%7C+June+20%2C+2023+Session+%7C+#fpstate=ive&amp;vld=cid:c519e51a,vid:fx8S8hEp9_s,st:0</w:t>
        </w:r>
      </w:hyperlink>
    </w:p>
    <w:p w14:paraId="37A4F4F8" w14:textId="77777777" w:rsidR="004668C7" w:rsidRDefault="004668C7" w:rsidP="00EF1133">
      <w:pPr>
        <w:rPr>
          <w:rFonts w:ascii="Arial Black" w:hAnsi="Arial Black"/>
          <w:b/>
          <w:sz w:val="24"/>
          <w:szCs w:val="24"/>
        </w:rPr>
      </w:pPr>
    </w:p>
    <w:p w14:paraId="07D20297" w14:textId="77777777" w:rsidR="004668C7" w:rsidRDefault="004668C7" w:rsidP="00EF1133">
      <w:pPr>
        <w:rPr>
          <w:rFonts w:ascii="Arial Black" w:hAnsi="Arial Black"/>
          <w:b/>
          <w:sz w:val="24"/>
          <w:szCs w:val="24"/>
        </w:rPr>
      </w:pPr>
    </w:p>
    <w:p w14:paraId="4D7F707D" w14:textId="4A4A40B3" w:rsidR="00554962" w:rsidRDefault="00554962"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4</w:t>
      </w:r>
    </w:p>
    <w:p w14:paraId="71156FBD" w14:textId="77777777" w:rsidR="00F33E0E" w:rsidRPr="008F275A" w:rsidRDefault="00F33E0E" w:rsidP="00F33E0E">
      <w:pPr>
        <w:pStyle w:val="NormalWeb"/>
        <w:rPr>
          <w:rFonts w:ascii="Arial Black" w:hAnsi="Arial Black"/>
          <w:sz w:val="28"/>
          <w:szCs w:val="28"/>
        </w:rPr>
      </w:pPr>
      <w:r>
        <w:rPr>
          <w:rFonts w:ascii="Arial Black" w:hAnsi="Arial Black"/>
          <w:sz w:val="28"/>
          <w:szCs w:val="28"/>
        </w:rPr>
        <w:t>FL: FF HEART REPLACEMENT – STATUTORY PRESUMPTION -  COUNTY FAILED PROVE CAUSED BY OFF DUTY COVID-19</w:t>
      </w:r>
    </w:p>
    <w:p w14:paraId="2108FE6D" w14:textId="5E6CA530" w:rsidR="00F33E0E" w:rsidRPr="00F33E0E" w:rsidRDefault="00F33E0E" w:rsidP="00F33E0E">
      <w:pPr>
        <w:rPr>
          <w:rFonts w:ascii="Times New Roman" w:hAnsi="Times New Roman"/>
          <w:b/>
          <w:sz w:val="24"/>
          <w:szCs w:val="24"/>
        </w:rPr>
      </w:pPr>
      <w:r w:rsidRPr="00F33E0E">
        <w:rPr>
          <w:rFonts w:ascii="Times New Roman" w:hAnsi="Times New Roman"/>
          <w:sz w:val="24"/>
          <w:szCs w:val="24"/>
        </w:rPr>
        <w:t xml:space="preserve">On Dec. 13, 2023, in </w:t>
      </w:r>
      <w:r w:rsidRPr="00F33E0E">
        <w:rPr>
          <w:rFonts w:ascii="Times New Roman" w:hAnsi="Times New Roman"/>
          <w:sz w:val="24"/>
          <w:szCs w:val="24"/>
          <w:u w:val="single"/>
        </w:rPr>
        <w:t>Seminole County, Florisa and John Eastern Company, Inc. v. Chad Braden</w:t>
      </w:r>
      <w:r w:rsidRPr="00F33E0E">
        <w:rPr>
          <w:rFonts w:ascii="Times New Roman" w:hAnsi="Times New Roman"/>
          <w:sz w:val="24"/>
          <w:szCs w:val="24"/>
        </w:rPr>
        <w:t xml:space="preserve">, the Florida Court of Appeals, First District, held (3 to 0) that the Judge of Compensation Claims (JCC), properly awarded workers' compensation benefits to firefighter Chad Braden. The Court wrote: “Rather, we consider only whether Seminole County met its burden to overcome the statutory burden of work causation. Under these facts, we find competent evidence supports the JCC's determination that Seminole County failed to rebut the statutory presumption.”  </w:t>
      </w:r>
      <w:hyperlink r:id="rId1093" w:history="1">
        <w:r w:rsidRPr="00F33E0E">
          <w:rPr>
            <w:rStyle w:val="Hyperlink"/>
            <w:rFonts w:ascii="Times New Roman" w:hAnsi="Times New Roman"/>
            <w:sz w:val="24"/>
            <w:szCs w:val="24"/>
          </w:rPr>
          <w:t>https://public.fastcase.com/ZZhmr5v9wN%2FXOe5IsQ%2FqD597Cj8vEFtFKU6dv%2BnWYID0RND2DGxx0gwPm3LnKjbN?utm_medium=email&amp;_hsmi=226712652&amp;_hsenc=p2ANqtz-9VqkDv3iEaCOhGJ0e7W649YKVFgXPPT1K4rwfEfIma89pOhcAxwCchfIpHNeRMlfH4gAwQhfXkNV3ClRJYpxBL670A4g&amp;utm_content=226712652&amp;utm_source=hs_email</w:t>
        </w:r>
      </w:hyperlink>
    </w:p>
    <w:p w14:paraId="16EEA3AE" w14:textId="77777777" w:rsidR="004668C7" w:rsidRDefault="004668C7" w:rsidP="004668C7">
      <w:pPr>
        <w:pStyle w:val="NormalWeb"/>
        <w:rPr>
          <w:b/>
          <w:bCs/>
        </w:rPr>
      </w:pPr>
      <w:r w:rsidRPr="000664E1">
        <w:rPr>
          <w:b/>
          <w:bCs/>
        </w:rPr>
        <w:t>Legal Lesson Learned:</w:t>
      </w:r>
      <w:r>
        <w:rPr>
          <w:b/>
          <w:bCs/>
        </w:rPr>
        <w:t xml:space="preserve"> The FL statutory presumption properly puts burden on employer to prove heart issues were not caused by the job. </w:t>
      </w:r>
    </w:p>
    <w:p w14:paraId="26524411" w14:textId="77777777" w:rsidR="00554962" w:rsidRDefault="00554962" w:rsidP="00EF1133">
      <w:pPr>
        <w:rPr>
          <w:rFonts w:ascii="Arial Black" w:hAnsi="Arial Black"/>
          <w:b/>
          <w:sz w:val="24"/>
          <w:szCs w:val="24"/>
        </w:rPr>
      </w:pPr>
    </w:p>
    <w:p w14:paraId="46A0881E" w14:textId="77777777" w:rsidR="00554962" w:rsidRDefault="00554962" w:rsidP="00EF1133">
      <w:pPr>
        <w:rPr>
          <w:rFonts w:ascii="Arial Black" w:hAnsi="Arial Black"/>
          <w:b/>
          <w:sz w:val="24"/>
          <w:szCs w:val="24"/>
        </w:rPr>
      </w:pPr>
    </w:p>
    <w:p w14:paraId="49277BC9" w14:textId="28637DCA" w:rsidR="00841FB9" w:rsidRDefault="00841FB9"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3</w:t>
      </w:r>
    </w:p>
    <w:p w14:paraId="5A5776CA" w14:textId="77777777" w:rsidR="00841FB9" w:rsidRDefault="00841FB9" w:rsidP="00841FB9">
      <w:pPr>
        <w:pStyle w:val="NormalWeb"/>
        <w:rPr>
          <w:rFonts w:ascii="Arial Black" w:hAnsi="Arial Black"/>
          <w:b/>
          <w:bCs/>
          <w:sz w:val="28"/>
          <w:szCs w:val="28"/>
        </w:rPr>
      </w:pPr>
      <w:r>
        <w:rPr>
          <w:rFonts w:ascii="Arial Black" w:hAnsi="Arial Black"/>
          <w:b/>
          <w:bCs/>
          <w:sz w:val="28"/>
          <w:szCs w:val="28"/>
        </w:rPr>
        <w:t xml:space="preserve">OR: PROSTATE CANCER – STAUTORY PRESUMPTION – EMPLOYER FAILED TO OVERCOME PRESUMPTION </w:t>
      </w:r>
    </w:p>
    <w:p w14:paraId="68750709" w14:textId="77777777" w:rsidR="00841FB9" w:rsidRDefault="00841FB9" w:rsidP="00841FB9">
      <w:pPr>
        <w:pStyle w:val="NormalWeb"/>
      </w:pPr>
      <w:r w:rsidRPr="00561FB7">
        <w:t xml:space="preserve">On Dec. 6, 2023, </w:t>
      </w:r>
      <w:r w:rsidRPr="00532D49">
        <w:rPr>
          <w:u w:val="single"/>
        </w:rPr>
        <w:t xml:space="preserve">In the Matter of the Compensation of Stephen Smith;  Marion County Fire </w:t>
      </w:r>
      <w:proofErr w:type="gramStart"/>
      <w:r w:rsidRPr="00532D49">
        <w:rPr>
          <w:u w:val="single"/>
        </w:rPr>
        <w:t>District #1</w:t>
      </w:r>
      <w:proofErr w:type="gramEnd"/>
      <w:r w:rsidRPr="00532D49">
        <w:rPr>
          <w:u w:val="single"/>
        </w:rPr>
        <w:t xml:space="preserve"> v. Stephen Smith</w:t>
      </w:r>
      <w:r>
        <w:t xml:space="preserve">, the Court of Appeals of Oregon held (3 to 0; nonprecedential memorandum </w:t>
      </w:r>
      <w:proofErr w:type="spellStart"/>
      <w:r>
        <w:t>opinio</w:t>
      </w:r>
      <w:proofErr w:type="spellEnd"/>
      <w:r>
        <w:t xml:space="preserve">) that the Workers’ Compensation Board properly held for the firefighter.  The Court wrote: “This case concerns whether the Workers' Compensation Board (board) properly construed and applied the so-called ‘firefighter's presumption’ when it reversed employer's denial of claimant's occupational disease claim. *** The board reasoned that Dr. Beer's opinion was largely based on the conclusion that the causes of prostate cancer are unknown. The board correctly noted that in </w:t>
      </w:r>
      <w:r>
        <w:rPr>
          <w:rStyle w:val="Emphasis"/>
        </w:rPr>
        <w:t>Thompson,</w:t>
      </w:r>
      <w:r>
        <w:t xml:space="preserve"> the Supreme Court held that </w:t>
      </w:r>
      <w:proofErr w:type="gramStart"/>
      <w:r>
        <w:t>an</w:t>
      </w:r>
      <w:proofErr w:type="gramEnd"/>
      <w:r>
        <w:t xml:space="preserve"> opinion that the cause of a condition is unknown is "a confession of an inability to identify a cause," rather than evidence that the condition was not related to employment. </w:t>
      </w:r>
      <w:r>
        <w:rPr>
          <w:rStyle w:val="Emphasis"/>
        </w:rPr>
        <w:t>Thompson,</w:t>
      </w:r>
      <w:r>
        <w:t xml:space="preserve"> 360 Or at 168. The board went on to note several internal inconsistencies in Dr. Beer's opinion that left the board unpersuaded by the opinion. We conclude that the board's representation of Dr. Beer's opinion is reasonable and supported by substantial evidence. While employer characterizes Dr. Beer's opinion differently, we are not convinced that the board was required to view the opinion the way employer urges. The board reasonably could find, for the reasons the board stated, that Dr. Beer's evidence did not meet employer's burden of persuasion.” </w:t>
      </w:r>
      <w:hyperlink r:id="rId1094" w:history="1">
        <w:r w:rsidRPr="002D5A3E">
          <w:rPr>
            <w:rStyle w:val="Hyperlink"/>
          </w:rPr>
          <w:t>https://casetext.com/case/marion-cnty-fire-dist-1-v-smith-in-re-smith</w:t>
        </w:r>
      </w:hyperlink>
      <w:r>
        <w:t xml:space="preserve"> </w:t>
      </w:r>
    </w:p>
    <w:p w14:paraId="0A3917F7" w14:textId="77777777" w:rsidR="00554962" w:rsidRDefault="00554962" w:rsidP="00554962">
      <w:pPr>
        <w:pStyle w:val="NormalWeb"/>
        <w:rPr>
          <w:b/>
          <w:bCs/>
        </w:rPr>
      </w:pPr>
      <w:r w:rsidRPr="006C2F5A">
        <w:rPr>
          <w:b/>
          <w:bCs/>
        </w:rPr>
        <w:t>Legal Lesson Learned:</w:t>
      </w:r>
      <w:r>
        <w:rPr>
          <w:b/>
          <w:bCs/>
        </w:rPr>
        <w:t xml:space="preserve"> With the statutory presumption, the employer failed to rebut the presumption that the firefighter’s prostate cancer resulted from his employment as a firefighter. </w:t>
      </w:r>
    </w:p>
    <w:p w14:paraId="4B59223E" w14:textId="77777777" w:rsidR="00554962" w:rsidRPr="00F54637" w:rsidRDefault="00554962" w:rsidP="00554962">
      <w:pPr>
        <w:pStyle w:val="NormalWeb"/>
        <w:ind w:left="720"/>
      </w:pPr>
      <w:r w:rsidRPr="00F54637">
        <w:t>Note: The Court</w:t>
      </w:r>
      <w:r>
        <w:t xml:space="preserve"> of Appeals</w:t>
      </w:r>
      <w:r w:rsidRPr="00F54637">
        <w:t xml:space="preserve"> on same date</w:t>
      </w:r>
      <w:r>
        <w:t>, Dec. 6, 2023,</w:t>
      </w:r>
      <w:r w:rsidRPr="00F54637">
        <w:t xml:space="preserve"> upheld the award to another</w:t>
      </w:r>
      <w:r>
        <w:t xml:space="preserve"> Oregon</w:t>
      </w:r>
      <w:r w:rsidRPr="00F54637">
        <w:t xml:space="preserve"> firefighter</w:t>
      </w:r>
      <w:r>
        <w:t xml:space="preserve"> with another fire department. In the Matter of the Compensation of Robert M. Shannon, Claimant. v. Robert M. Shannon. North Douglas County Fire &amp; EMS. </w:t>
      </w:r>
      <w:hyperlink r:id="rId1095" w:history="1">
        <w:r w:rsidRPr="002D5A3E">
          <w:rPr>
            <w:rStyle w:val="Hyperlink"/>
          </w:rPr>
          <w:t>https://casetext.com/case/n-douglas-cnty-fire-ems-v-shannon-in-re-shannon</w:t>
        </w:r>
      </w:hyperlink>
      <w:r w:rsidRPr="00F54637">
        <w:t xml:space="preserve"> </w:t>
      </w:r>
    </w:p>
    <w:p w14:paraId="77F84341" w14:textId="77777777" w:rsidR="00554962" w:rsidRDefault="00554962" w:rsidP="00841FB9">
      <w:pPr>
        <w:pStyle w:val="NormalWeb"/>
      </w:pPr>
    </w:p>
    <w:p w14:paraId="3EDB32F1" w14:textId="1088390B" w:rsidR="000516E6" w:rsidRDefault="000516E6"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2</w:t>
      </w:r>
    </w:p>
    <w:p w14:paraId="2D565E84" w14:textId="77777777" w:rsidR="001B28A9" w:rsidRDefault="001B28A9" w:rsidP="001B28A9">
      <w:pPr>
        <w:pStyle w:val="NormalWeb"/>
        <w:rPr>
          <w:rFonts w:ascii="Arial Black" w:hAnsi="Arial Black"/>
          <w:sz w:val="28"/>
          <w:szCs w:val="28"/>
        </w:rPr>
      </w:pPr>
      <w:r>
        <w:rPr>
          <w:rFonts w:ascii="Arial Black" w:hAnsi="Arial Black"/>
          <w:sz w:val="28"/>
          <w:szCs w:val="28"/>
        </w:rPr>
        <w:t>CO: FF HAND INJURED - LIGHT DUTY / RETIRED - MUST FILE EEOC CHARGE IN 300 DAYS AFTER INFORMED FD RETIRING</w:t>
      </w:r>
    </w:p>
    <w:p w14:paraId="121C83CD" w14:textId="6574C3D2" w:rsidR="000516E6" w:rsidRDefault="001B28A9" w:rsidP="001B28A9">
      <w:pPr>
        <w:rPr>
          <w:rStyle w:val="Hyperlink"/>
          <w:rFonts w:ascii="Times New Roman" w:hAnsi="Times New Roman"/>
          <w:sz w:val="24"/>
          <w:szCs w:val="24"/>
        </w:rPr>
      </w:pPr>
      <w:r w:rsidRPr="001B28A9">
        <w:rPr>
          <w:rFonts w:ascii="Times New Roman" w:hAnsi="Times New Roman"/>
          <w:sz w:val="24"/>
          <w:szCs w:val="24"/>
        </w:rPr>
        <w:t xml:space="preserve">On Nov. 13, 2023, in </w:t>
      </w:r>
      <w:r w:rsidRPr="001B28A9">
        <w:rPr>
          <w:rFonts w:ascii="Times New Roman" w:hAnsi="Times New Roman"/>
          <w:sz w:val="24"/>
          <w:szCs w:val="24"/>
          <w:u w:val="single"/>
        </w:rPr>
        <w:t>David Perez v. City and County of Denver</w:t>
      </w:r>
      <w:r w:rsidRPr="001B28A9">
        <w:rPr>
          <w:rFonts w:ascii="Times New Roman" w:hAnsi="Times New Roman"/>
          <w:sz w:val="24"/>
          <w:szCs w:val="24"/>
        </w:rPr>
        <w:t xml:space="preserve">, the U.S. Court of Appeals for Tenth Circuit (Denver) held (3 to 0) that trial court properly dismissed the lawsuit for failure to timely file charge with EEOC.  The firefighter represented himself (pro se) instead of retaining an attorney. He also failed to timely file the lawsuit (90 days) when he </w:t>
      </w:r>
      <w:proofErr w:type="gramStart"/>
      <w:r w:rsidRPr="001B28A9">
        <w:rPr>
          <w:rFonts w:ascii="Times New Roman" w:hAnsi="Times New Roman"/>
          <w:sz w:val="24"/>
          <w:szCs w:val="24"/>
        </w:rPr>
        <w:t>received “</w:t>
      </w:r>
      <w:proofErr w:type="gramEnd"/>
      <w:r w:rsidRPr="001B28A9">
        <w:rPr>
          <w:rFonts w:ascii="Times New Roman" w:hAnsi="Times New Roman"/>
          <w:sz w:val="24"/>
          <w:szCs w:val="24"/>
        </w:rPr>
        <w:t xml:space="preserve">Right </w:t>
      </w:r>
      <w:proofErr w:type="gramStart"/>
      <w:r w:rsidRPr="001B28A9">
        <w:rPr>
          <w:rFonts w:ascii="Times New Roman" w:hAnsi="Times New Roman"/>
          <w:sz w:val="24"/>
          <w:szCs w:val="24"/>
        </w:rPr>
        <w:t>To</w:t>
      </w:r>
      <w:proofErr w:type="gramEnd"/>
      <w:r w:rsidRPr="001B28A9">
        <w:rPr>
          <w:rFonts w:ascii="Times New Roman" w:hAnsi="Times New Roman"/>
          <w:sz w:val="24"/>
          <w:szCs w:val="24"/>
        </w:rPr>
        <w:t xml:space="preserve"> Sue” letter from EEOC. </w:t>
      </w:r>
      <w:hyperlink r:id="rId1096" w:history="1">
        <w:r w:rsidRPr="001B28A9">
          <w:rPr>
            <w:rStyle w:val="Hyperlink"/>
            <w:rFonts w:ascii="Times New Roman" w:hAnsi="Times New Roman"/>
            <w:sz w:val="24"/>
            <w:szCs w:val="24"/>
          </w:rPr>
          <w:t>https://casetext.com/case/perez-v-city-of-denver-4</w:t>
        </w:r>
      </w:hyperlink>
    </w:p>
    <w:p w14:paraId="52201B1B" w14:textId="77777777" w:rsidR="0079037C" w:rsidRDefault="0079037C" w:rsidP="0079037C">
      <w:pPr>
        <w:pStyle w:val="NormalWeb"/>
        <w:rPr>
          <w:b/>
          <w:bCs/>
        </w:rPr>
      </w:pPr>
      <w:r w:rsidRPr="00863139">
        <w:rPr>
          <w:b/>
          <w:bCs/>
        </w:rPr>
        <w:t xml:space="preserve">Legal Lesson Learned: </w:t>
      </w:r>
      <w:r>
        <w:rPr>
          <w:b/>
          <w:bCs/>
        </w:rPr>
        <w:t xml:space="preserve">The time requirements for filing charge with </w:t>
      </w:r>
      <w:proofErr w:type="gramStart"/>
      <w:r>
        <w:rPr>
          <w:b/>
          <w:bCs/>
        </w:rPr>
        <w:t>EEOC, and</w:t>
      </w:r>
      <w:proofErr w:type="gramEnd"/>
      <w:r>
        <w:rPr>
          <w:b/>
          <w:bCs/>
        </w:rPr>
        <w:t xml:space="preserve"> then filing lawsuit after right-to-sue EEOC letter must be followed; even by those handling case pro se (no attorney).</w:t>
      </w:r>
    </w:p>
    <w:p w14:paraId="30CA0B4B" w14:textId="77777777" w:rsidR="0079037C" w:rsidRPr="001B28A9" w:rsidRDefault="0079037C" w:rsidP="001B28A9">
      <w:pPr>
        <w:rPr>
          <w:rFonts w:ascii="Times New Roman" w:hAnsi="Times New Roman"/>
          <w:b/>
          <w:sz w:val="24"/>
          <w:szCs w:val="24"/>
        </w:rPr>
      </w:pPr>
    </w:p>
    <w:p w14:paraId="3CF2A6BC" w14:textId="77777777" w:rsidR="000516E6" w:rsidRDefault="000516E6" w:rsidP="00EF1133">
      <w:pPr>
        <w:rPr>
          <w:rFonts w:ascii="Arial Black" w:hAnsi="Arial Black"/>
          <w:b/>
          <w:sz w:val="24"/>
          <w:szCs w:val="24"/>
        </w:rPr>
      </w:pPr>
    </w:p>
    <w:p w14:paraId="0BDF3C95" w14:textId="70D82113" w:rsidR="00A65FD8" w:rsidRDefault="00A65FD8"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1</w:t>
      </w:r>
    </w:p>
    <w:p w14:paraId="629D2590" w14:textId="77777777" w:rsidR="00A65FD8" w:rsidRPr="00EE3B90" w:rsidRDefault="00A65FD8" w:rsidP="00A65FD8">
      <w:pPr>
        <w:pStyle w:val="NormalWeb"/>
        <w:rPr>
          <w:rFonts w:ascii="Arial Black" w:hAnsi="Arial Black"/>
          <w:b/>
          <w:bCs/>
          <w:sz w:val="28"/>
          <w:szCs w:val="28"/>
        </w:rPr>
      </w:pPr>
      <w:r>
        <w:rPr>
          <w:rFonts w:ascii="Arial Black" w:hAnsi="Arial Black"/>
          <w:b/>
          <w:bCs/>
          <w:sz w:val="28"/>
          <w:szCs w:val="28"/>
        </w:rPr>
        <w:t xml:space="preserve">FL: FF DIED BRAIN CANCER – WIDOW ENTITLED TO $150,000 DEATH BENEFITS –PLUS THE PRIOR $25K </w:t>
      </w:r>
    </w:p>
    <w:p w14:paraId="41B6FC13" w14:textId="77777777" w:rsidR="00A65FD8" w:rsidRDefault="00A65FD8" w:rsidP="00A65FD8">
      <w:pPr>
        <w:pStyle w:val="NormalWeb"/>
      </w:pPr>
      <w:r>
        <w:t xml:space="preserve">On Oct. 25, 2023, in </w:t>
      </w:r>
      <w:r w:rsidRPr="00353608">
        <w:rPr>
          <w:u w:val="single"/>
        </w:rPr>
        <w:t>Christy Siena v. Orange County Fire Rescue / CCMSI</w:t>
      </w:r>
      <w:r>
        <w:t xml:space="preserve">, the Florida Court of Appeals, First District, held (3 to 0) that the Worker’s Comp. Judge of Compensation Claims is reversed, and widow is entitled to $150, 000. Under Florida statute, a </w:t>
      </w:r>
      <w:proofErr w:type="gramStart"/>
      <w:r>
        <w:t>firefighter</w:t>
      </w:r>
      <w:proofErr w:type="gramEnd"/>
      <w:r>
        <w:t xml:space="preserve"> when diagnosed with </w:t>
      </w:r>
      <w:proofErr w:type="gramStart"/>
      <w:r>
        <w:t>cancer</w:t>
      </w:r>
      <w:proofErr w:type="gramEnd"/>
      <w:r>
        <w:t xml:space="preserve"> is entitled to a one-time cash payout of $25,000.  Eric Siena received that amount when he was diagnosed with glioblastoma in January 2020; he died in May of 2021. The Court held: “In this appeal we consider whether receipt of medical, indemnity, and death benefits through section 112.1816, Florida Statutes, bars receipt of death benefits under section 440.16, Florida Statutes. We conclude that it does not and set aside the order below.” </w:t>
      </w:r>
      <w:hyperlink r:id="rId1097" w:history="1">
        <w:r w:rsidRPr="00956CFD">
          <w:rPr>
            <w:rStyle w:val="Hyperlink"/>
            <w:rFonts w:eastAsiaTheme="majorEastAsia"/>
          </w:rPr>
          <w:t>https://caselaw.findlaw.com/court/fl-district-court-of-appeal/115346402.html</w:t>
        </w:r>
      </w:hyperlink>
      <w:r>
        <w:t xml:space="preserve"> </w:t>
      </w:r>
    </w:p>
    <w:p w14:paraId="0C2780B5" w14:textId="77777777" w:rsidR="00A65FD8" w:rsidRDefault="00A65FD8" w:rsidP="00A65FD8">
      <w:pPr>
        <w:pStyle w:val="defaultstyledtext-tl066j-0"/>
        <w:rPr>
          <w:b/>
          <w:bCs/>
        </w:rPr>
      </w:pPr>
      <w:r w:rsidRPr="00C71B53">
        <w:rPr>
          <w:b/>
          <w:bCs/>
        </w:rPr>
        <w:t xml:space="preserve">Legal Lesson Learned: </w:t>
      </w:r>
      <w:r>
        <w:rPr>
          <w:b/>
          <w:bCs/>
        </w:rPr>
        <w:t>The Court has properly examined the legislative intent when interpreting the statutes.</w:t>
      </w:r>
    </w:p>
    <w:p w14:paraId="62814FA2" w14:textId="77777777" w:rsidR="00A65FD8" w:rsidRDefault="00A65FD8" w:rsidP="00A65FD8">
      <w:pPr>
        <w:pStyle w:val="NormalWeb"/>
        <w:ind w:left="720"/>
      </w:pPr>
      <w:r w:rsidRPr="009C192C">
        <w:t>Note:</w:t>
      </w:r>
      <w:r>
        <w:rPr>
          <w:b/>
          <w:bCs/>
        </w:rPr>
        <w:t xml:space="preserve"> </w:t>
      </w:r>
      <w:r>
        <w:t xml:space="preserve">See Oct. 25, </w:t>
      </w:r>
      <w:proofErr w:type="gramStart"/>
      <w:r>
        <w:t>2023</w:t>
      </w:r>
      <w:proofErr w:type="gramEnd"/>
      <w:r>
        <w:t xml:space="preserve"> article, “</w:t>
      </w:r>
      <w:r w:rsidRPr="00C71B53">
        <w:t xml:space="preserve">Appeals court ruling paves way for Orange County firefighter’s widow to seek workers’ comp payout.” </w:t>
      </w:r>
      <w:hyperlink r:id="rId1098" w:history="1">
        <w:r w:rsidRPr="00956CFD">
          <w:rPr>
            <w:rStyle w:val="Hyperlink"/>
            <w:rFonts w:eastAsiaTheme="majorEastAsia"/>
          </w:rPr>
          <w:t>https://www.wftv.com/news/local/appeals-court-ruling-paves-way-orange-county-firefighters-widow-seek-workers-comp-payout/QFOHSP22XNHLXLGDFDZYKLTKMM/</w:t>
        </w:r>
      </w:hyperlink>
      <w:r>
        <w:t xml:space="preserve"> </w:t>
      </w:r>
    </w:p>
    <w:p w14:paraId="15D8D651" w14:textId="77777777" w:rsidR="00A65FD8" w:rsidRDefault="00A65FD8" w:rsidP="00A65FD8">
      <w:pPr>
        <w:pStyle w:val="NormalWeb"/>
        <w:ind w:left="720"/>
      </w:pPr>
      <w:r>
        <w:t>ORANGE COUNTY, Fla. — A First District Court of Appeals judge has ruled in favor of an Orange County firefighter’s widow, who was fighting for payment promised to her under state law after her husband died of work-related cancer.</w:t>
      </w:r>
    </w:p>
    <w:p w14:paraId="3AA29A72" w14:textId="77777777" w:rsidR="00A65FD8" w:rsidRDefault="00A65FD8" w:rsidP="00A65FD8">
      <w:pPr>
        <w:pStyle w:val="defaultstyledtext-tl066j-0"/>
        <w:ind w:left="720"/>
      </w:pPr>
      <w:r>
        <w:t>The ruling clears the way for her to petition for $150,000 in workers’ compensation benefits related to her husband’s death; something Orange County had questioned whether she was entitled to seek because her husband had accepted a one-time $25,000 payout when he was first diagnosed with work-related brain cancer.</w:t>
      </w:r>
    </w:p>
    <w:p w14:paraId="0B0BEA06" w14:textId="77777777" w:rsidR="00A65FD8" w:rsidRDefault="00A65FD8" w:rsidP="00A65FD8">
      <w:pPr>
        <w:pStyle w:val="defaultstyledtext-tl066j-0"/>
        <w:ind w:left="720"/>
      </w:pPr>
      <w:r>
        <w:t>Eric Siena was on the top of his game as an Orange County firefighter before being diagnosed with glioblastoma in January 2020. The devastating brain cancer would take his life in May of 2021.</w:t>
      </w:r>
    </w:p>
    <w:p w14:paraId="631D9D27" w14:textId="77777777" w:rsidR="00A65FD8" w:rsidRDefault="00A65FD8" w:rsidP="00A65FD8">
      <w:pPr>
        <w:pStyle w:val="defaultstyledtext-tl066j-0"/>
        <w:ind w:left="720"/>
      </w:pPr>
      <w:r>
        <w:t>His wife Christy, who was also a first responder, was left alone to fight the system instead of fires.</w:t>
      </w:r>
    </w:p>
    <w:p w14:paraId="0222CB1F" w14:textId="77777777" w:rsidR="00A65FD8" w:rsidRDefault="00A65FD8" w:rsidP="00A65FD8">
      <w:pPr>
        <w:pStyle w:val="defaultstyledtext-tl066j-0"/>
        <w:ind w:left="720"/>
      </w:pPr>
      <w:r>
        <w:t>‘There’s not another decision in the state that has dealt with this issue so far,’ attorney Geoff Bichler said during a previous interview with 9 Investigates. Bichler has been fighting with Siena for the $150,000 payment, arguing that because each portion of the payout is covered by separate portions of the statute, receiving one does not prevent descendants from applying for the other.</w:t>
      </w:r>
    </w:p>
    <w:p w14:paraId="0BD71199" w14:textId="77777777" w:rsidR="00A65FD8" w:rsidRDefault="00A65FD8" w:rsidP="00A65FD8">
      <w:pPr>
        <w:pStyle w:val="defaultstyledtext-tl066j-0"/>
        <w:ind w:left="720"/>
      </w:pPr>
      <w:r>
        <w:t xml:space="preserve">‘Most employers are operating from the assumption that if they pay this benefit, they’re off the hook for worker’s compensation, and we do not agree with that,’ Bichler </w:t>
      </w:r>
      <w:proofErr w:type="gramStart"/>
      <w:r>
        <w:t>said.”</w:t>
      </w:r>
      <w:proofErr w:type="gramEnd"/>
    </w:p>
    <w:p w14:paraId="71FF1A34" w14:textId="77777777" w:rsidR="00A65FD8" w:rsidRDefault="00A65FD8" w:rsidP="00EF1133">
      <w:pPr>
        <w:rPr>
          <w:rFonts w:ascii="Arial Black" w:hAnsi="Arial Black"/>
          <w:b/>
          <w:sz w:val="24"/>
          <w:szCs w:val="24"/>
        </w:rPr>
      </w:pPr>
    </w:p>
    <w:p w14:paraId="67D2BEEB" w14:textId="7DD21865" w:rsidR="00A65FD8" w:rsidRDefault="00A65FD8" w:rsidP="00EF1133">
      <w:pPr>
        <w:rPr>
          <w:rFonts w:ascii="Arial Black" w:hAnsi="Arial Black"/>
          <w:b/>
          <w:sz w:val="24"/>
          <w:szCs w:val="24"/>
        </w:rPr>
      </w:pPr>
      <w:r>
        <w:rPr>
          <w:rFonts w:ascii="Arial Black" w:hAnsi="Arial Black"/>
          <w:b/>
          <w:sz w:val="24"/>
          <w:szCs w:val="24"/>
        </w:rPr>
        <w:t>6-12</w:t>
      </w:r>
      <w:r w:rsidR="002A0697">
        <w:rPr>
          <w:rFonts w:ascii="Arial Black" w:hAnsi="Arial Black"/>
          <w:b/>
          <w:sz w:val="24"/>
          <w:szCs w:val="24"/>
        </w:rPr>
        <w:t>0</w:t>
      </w:r>
    </w:p>
    <w:p w14:paraId="1570C17B" w14:textId="77777777" w:rsidR="00A65FD8" w:rsidRDefault="00A65FD8" w:rsidP="00A65FD8">
      <w:pPr>
        <w:pStyle w:val="NormalWeb"/>
        <w:rPr>
          <w:rFonts w:ascii="Arial Black" w:hAnsi="Arial Black"/>
          <w:b/>
          <w:bCs/>
          <w:sz w:val="28"/>
          <w:szCs w:val="28"/>
        </w:rPr>
      </w:pPr>
      <w:r>
        <w:rPr>
          <w:rFonts w:ascii="Arial Black" w:hAnsi="Arial Black"/>
          <w:b/>
          <w:bCs/>
          <w:sz w:val="28"/>
          <w:szCs w:val="28"/>
        </w:rPr>
        <w:t>OH: CINCINNATI FF – THYROID CANCER – OHIO STATUTORY PRESUMPTION – FF FINALLY WINS WORKERS COMP.</w:t>
      </w:r>
    </w:p>
    <w:p w14:paraId="21BB4C59" w14:textId="77777777" w:rsidR="00A65FD8" w:rsidRDefault="00A65FD8" w:rsidP="00A65FD8">
      <w:pPr>
        <w:pStyle w:val="NormalWeb"/>
      </w:pPr>
      <w:r>
        <w:t xml:space="preserve">On </w:t>
      </w:r>
      <w:proofErr w:type="gramStart"/>
      <w:r>
        <w:t>Oct,</w:t>
      </w:r>
      <w:proofErr w:type="gramEnd"/>
      <w:r>
        <w:t xml:space="preserve"> 5, 2023, in </w:t>
      </w:r>
      <w:r>
        <w:rPr>
          <w:u w:val="single"/>
        </w:rPr>
        <w:t>State ex rel. City of Cincinnati v. Industrial Commission of Ohio  (Joseph C. Conley)</w:t>
      </w:r>
      <w:r>
        <w:t xml:space="preserve">, the Ohio Court of Appeals, Tenth District, refused the City’s petition for a writ of mandamus, and upheld the Industrial Commission’s award of workers comp for the firefighter. The Court held: “Although Dr. [Rafid] </w:t>
      </w:r>
      <w:proofErr w:type="spellStart"/>
      <w:r>
        <w:t>Kakel</w:t>
      </w:r>
      <w:proofErr w:type="spellEnd"/>
      <w:r>
        <w:t xml:space="preserve">, M.D. </w:t>
      </w:r>
      <w:proofErr w:type="spellStart"/>
      <w:r>
        <w:t>Kakel</w:t>
      </w:r>
      <w:proofErr w:type="spellEnd"/>
      <w:r>
        <w:t xml:space="preserve"> opined that Conley's exposure to the carcinogens may not have been the cause of Conley's thyroid cancer, Dr. </w:t>
      </w:r>
      <w:proofErr w:type="spellStart"/>
      <w:r>
        <w:t>Kakel's</w:t>
      </w:r>
      <w:proofErr w:type="spellEnd"/>
      <w:r>
        <w:t xml:space="preserve"> report did not show by a preponderance of competent scientific evidence that Conley's exposure to the carcinogens </w:t>
      </w:r>
      <w:r>
        <w:rPr>
          <w:rStyle w:val="Emphasis"/>
        </w:rPr>
        <w:t>did not or could not have</w:t>
      </w:r>
      <w:r>
        <w:t xml:space="preserve"> caused Conley's thyroid cancer. Thus, because Cincinnati put forth insufficient evidence to rebut the statutory presumption in R.C. 4123.68(X), the SHO's [Staff Hearing Officer] order contained a clear mistake of law.” </w:t>
      </w:r>
      <w:hyperlink r:id="rId1099" w:history="1">
        <w:r>
          <w:rPr>
            <w:rStyle w:val="Hyperlink"/>
          </w:rPr>
          <w:t>https://casetext.com/case/state-ex-rel-city-of-cincinnati-v-indus-commn-of-ohio</w:t>
        </w:r>
      </w:hyperlink>
      <w:r>
        <w:t xml:space="preserve"> </w:t>
      </w:r>
    </w:p>
    <w:p w14:paraId="6A39C5A4" w14:textId="77777777" w:rsidR="00A65FD8" w:rsidRDefault="00A65FD8" w:rsidP="00A65FD8">
      <w:pPr>
        <w:pStyle w:val="NormalWeb"/>
        <w:rPr>
          <w:b/>
          <w:bCs/>
        </w:rPr>
      </w:pPr>
      <w:r>
        <w:rPr>
          <w:b/>
          <w:bCs/>
        </w:rPr>
        <w:t xml:space="preserve">Legal Lesson Learned:  It was a three-year fight, with numerous appeals, but the firefighter was victorious under the Ohio statutory presumption statute. </w:t>
      </w:r>
    </w:p>
    <w:p w14:paraId="520402E3" w14:textId="77777777" w:rsidR="00A65FD8" w:rsidRDefault="00A65FD8" w:rsidP="00EF1133">
      <w:pPr>
        <w:rPr>
          <w:rFonts w:ascii="Arial Black" w:hAnsi="Arial Black"/>
          <w:b/>
          <w:sz w:val="24"/>
          <w:szCs w:val="24"/>
        </w:rPr>
      </w:pPr>
    </w:p>
    <w:p w14:paraId="4136FF35" w14:textId="50D8AC96" w:rsidR="00A65FD8" w:rsidRDefault="00A65FD8" w:rsidP="00EF1133">
      <w:pPr>
        <w:rPr>
          <w:rFonts w:ascii="Arial Black" w:hAnsi="Arial Black"/>
          <w:b/>
          <w:sz w:val="24"/>
          <w:szCs w:val="24"/>
        </w:rPr>
      </w:pPr>
      <w:r>
        <w:rPr>
          <w:rFonts w:ascii="Arial Black" w:hAnsi="Arial Black"/>
          <w:b/>
          <w:sz w:val="24"/>
          <w:szCs w:val="24"/>
        </w:rPr>
        <w:t>6-1</w:t>
      </w:r>
      <w:r w:rsidR="002A0697">
        <w:rPr>
          <w:rFonts w:ascii="Arial Black" w:hAnsi="Arial Black"/>
          <w:b/>
          <w:sz w:val="24"/>
          <w:szCs w:val="24"/>
        </w:rPr>
        <w:t>19</w:t>
      </w:r>
    </w:p>
    <w:p w14:paraId="4FEAD6CC" w14:textId="77777777" w:rsidR="00832745" w:rsidRPr="00BF3F98" w:rsidRDefault="00832745" w:rsidP="00832745">
      <w:pPr>
        <w:pStyle w:val="NormalWeb"/>
        <w:rPr>
          <w:rFonts w:ascii="Arial Black" w:hAnsi="Arial Black"/>
          <w:b/>
          <w:bCs/>
          <w:sz w:val="28"/>
          <w:szCs w:val="28"/>
        </w:rPr>
      </w:pPr>
      <w:r w:rsidRPr="00BF3F98">
        <w:rPr>
          <w:rFonts w:ascii="Arial Black" w:hAnsi="Arial Black"/>
          <w:b/>
          <w:bCs/>
          <w:sz w:val="28"/>
          <w:szCs w:val="28"/>
        </w:rPr>
        <w:t>PA: VOL. FF WITH CHRONIC LYMPHOCTIC LEUKEMIA [CLE] – DENIED WORK COMP - NO MEDICAL STUDIES LINKED JOB</w:t>
      </w:r>
    </w:p>
    <w:p w14:paraId="1253D223" w14:textId="7F3F2034" w:rsidR="00A65FD8" w:rsidRDefault="00832745" w:rsidP="00832745">
      <w:pPr>
        <w:rPr>
          <w:rFonts w:ascii="Arial Black" w:hAnsi="Arial Black"/>
          <w:b/>
          <w:sz w:val="24"/>
          <w:szCs w:val="24"/>
        </w:rPr>
      </w:pPr>
      <w:r w:rsidRPr="00BF3F98">
        <w:rPr>
          <w:rFonts w:ascii="Times New Roman" w:hAnsi="Times New Roman"/>
          <w:sz w:val="24"/>
          <w:szCs w:val="24"/>
        </w:rPr>
        <w:t xml:space="preserve">On April 14, 2023, </w:t>
      </w:r>
      <w:r w:rsidRPr="00BF3F98">
        <w:rPr>
          <w:rFonts w:ascii="Times New Roman" w:hAnsi="Times New Roman"/>
          <w:sz w:val="24"/>
          <w:szCs w:val="24"/>
          <w:u w:val="single"/>
        </w:rPr>
        <w:t>in Nicholas Caruccio v. Shrewsbury Borough (Workers’ Compensation Appeal Board)</w:t>
      </w:r>
      <w:r w:rsidRPr="00BF3F98">
        <w:rPr>
          <w:rFonts w:ascii="Times New Roman" w:hAnsi="Times New Roman"/>
          <w:sz w:val="24"/>
          <w:szCs w:val="24"/>
        </w:rPr>
        <w:t xml:space="preserve">, the Commonwealth Court of Pennsylvania held (3 to 0; unpublished opinion) that even though PA has a firefighter statutory presumption law, the Workers Comp administrative law judge properly concluded there is no medical evidence that CLE was caused by his exposure to carcinogens.  The Court held: “Based on our review of the evidence, and the WCJ’s findings and credibility determinations, Claimant was unable to establish Section 108(r) general causation. In other words, based on the credited evidence, Claimant failed to demonstrate that his exposure to several IARC Group 1 carcinogens possibly caused his CLL.  In this case, Claimant’s expert, Dr. Guidotti, conceded that there is no specific epidemiological evidence demonstrating a link between CLL and exposure to benzene, TCE, or dioxins. Report of Dr. Guidotti at 5-6. *** In response, Dr. Sandler [employer’s expert] noted his agreement with Dr. Guidotti that ‘there is no scientific/medical literature, comprehensive assessments and meta-analyses to show a causal relationship between possible firefighter </w:t>
      </w:r>
      <w:proofErr w:type="gramStart"/>
      <w:r w:rsidRPr="00BF3F98">
        <w:rPr>
          <w:rFonts w:ascii="Times New Roman" w:hAnsi="Times New Roman"/>
          <w:sz w:val="24"/>
          <w:szCs w:val="24"/>
        </w:rPr>
        <w:t>exposures</w:t>
      </w:r>
      <w:proofErr w:type="gramEnd"/>
      <w:r w:rsidRPr="00BF3F98">
        <w:rPr>
          <w:rFonts w:ascii="Times New Roman" w:hAnsi="Times New Roman"/>
          <w:sz w:val="24"/>
          <w:szCs w:val="24"/>
        </w:rPr>
        <w:t xml:space="preserve"> especially those potentially received as a volunteer firefighter and the development of CLL/SCL.’ Report of Dr. Sandler at 7 (double emphasis in original). *** As in Malone, the WCJ considered the evidence and made a reasoned decision to credit one expert opinion over another. Cf. Malone. In this case, the WCJ found Dr. Sandler’s opinion credible and rejected the opinion of Dr. Guidotti. This decision was neither arbitrary nor capricious and is supported by substantial evidence of record. See Morocho, 167 A.3d at 858 n.4; Kriebel, 29 A.3d at 769. We therefore decline to overturn the WCJ’s findings on appeal.”</w:t>
      </w:r>
      <w:hyperlink r:id="rId1100" w:history="1">
        <w:r w:rsidRPr="00BF3F98">
          <w:rPr>
            <w:rStyle w:val="Hyperlink"/>
            <w:rFonts w:ascii="Times New Roman" w:eastAsiaTheme="majorEastAsia" w:hAnsi="Times New Roman"/>
            <w:sz w:val="24"/>
            <w:szCs w:val="24"/>
          </w:rPr>
          <w:t>https://www.pacourts.us/assets/opinions/Commonwealth/out/726CD22_10-3-23.pdf?cb=1</w:t>
        </w:r>
      </w:hyperlink>
    </w:p>
    <w:p w14:paraId="44D4881D" w14:textId="77777777" w:rsidR="00832745" w:rsidRPr="000755D1" w:rsidRDefault="00832745" w:rsidP="00832745">
      <w:pPr>
        <w:pStyle w:val="NormalWeb"/>
        <w:rPr>
          <w:b/>
          <w:bCs/>
        </w:rPr>
      </w:pPr>
      <w:r w:rsidRPr="000755D1">
        <w:rPr>
          <w:b/>
          <w:bCs/>
        </w:rPr>
        <w:t xml:space="preserve">Legal Lesson Learned: </w:t>
      </w:r>
      <w:r>
        <w:rPr>
          <w:b/>
          <w:bCs/>
        </w:rPr>
        <w:t xml:space="preserve">Firefighters with cancer still must provide credible evidence that Group 1 carcinogens can cause their cancer. </w:t>
      </w:r>
    </w:p>
    <w:p w14:paraId="0CAA0922" w14:textId="77777777" w:rsidR="00A65FD8" w:rsidRDefault="00A65FD8" w:rsidP="00EF1133">
      <w:pPr>
        <w:rPr>
          <w:rFonts w:ascii="Arial Black" w:hAnsi="Arial Black"/>
          <w:b/>
          <w:sz w:val="24"/>
          <w:szCs w:val="24"/>
        </w:rPr>
      </w:pPr>
    </w:p>
    <w:p w14:paraId="47BD11BD" w14:textId="77777777" w:rsidR="00A65FD8" w:rsidRDefault="00A65FD8" w:rsidP="00EF1133">
      <w:pPr>
        <w:rPr>
          <w:rFonts w:ascii="Arial Black" w:hAnsi="Arial Black"/>
          <w:b/>
          <w:sz w:val="24"/>
          <w:szCs w:val="24"/>
        </w:rPr>
      </w:pPr>
    </w:p>
    <w:p w14:paraId="327490B6" w14:textId="757CF6A1" w:rsidR="00411936" w:rsidRDefault="00411936"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8</w:t>
      </w:r>
    </w:p>
    <w:p w14:paraId="6D93090B" w14:textId="77777777" w:rsidR="00411936" w:rsidRPr="009850B1" w:rsidRDefault="00411936" w:rsidP="00411936">
      <w:pPr>
        <w:pStyle w:val="NormalWeb"/>
        <w:rPr>
          <w:rFonts w:ascii="Arial Black" w:hAnsi="Arial Black"/>
          <w:sz w:val="28"/>
          <w:szCs w:val="28"/>
        </w:rPr>
      </w:pPr>
      <w:r>
        <w:rPr>
          <w:rFonts w:ascii="Arial Black" w:hAnsi="Arial Black"/>
          <w:sz w:val="28"/>
          <w:szCs w:val="28"/>
        </w:rPr>
        <w:t>AR: FF BRAIN CANCER 2020 – NEW STATE LAW IN 2021  STATUTORY PRESUMPTION – COVERED UNDER NEW LAW</w:t>
      </w:r>
    </w:p>
    <w:p w14:paraId="3CCECDFA" w14:textId="77777777" w:rsidR="00411936" w:rsidRDefault="00411936" w:rsidP="00411936">
      <w:pPr>
        <w:pStyle w:val="NormalWeb"/>
      </w:pPr>
      <w:r>
        <w:t>On July 11, 2023</w:t>
      </w:r>
      <w:proofErr w:type="gramStart"/>
      <w:r>
        <w:t>, in</w:t>
      </w:r>
      <w:proofErr w:type="gramEnd"/>
      <w:r>
        <w:t xml:space="preserve"> </w:t>
      </w:r>
      <w:r w:rsidRPr="001E5789">
        <w:rPr>
          <w:u w:val="single"/>
        </w:rPr>
        <w:t>Robert Vande Krol v. The Industrial Commission of Arizona, et al</w:t>
      </w:r>
      <w:r>
        <w:t xml:space="preserve">., the Court of Appeals of Arizona, First Division, held (3 to 0) that the Industrial Commission’s Administrative Law Judge incorrectly applied 2017 statute where there was no statutory presumption. The firefighter (18 years on the job; age 50 when cancer was detected); when the ALJ held the 3-day hearing the new 2021 statutory presumption statute was in effect.  The Court held this was a “procedural” change in law, and ALJ should have followed it.  The FF is entitled to workers comp coverage unless the insurance company for the FD has clear and convincing evidence that cancer was not caused by the job. </w:t>
      </w:r>
    </w:p>
    <w:p w14:paraId="64C0C7B6" w14:textId="77777777" w:rsidR="00411936" w:rsidRDefault="00411936" w:rsidP="00411936">
      <w:pPr>
        <w:pStyle w:val="NormalWeb"/>
      </w:pPr>
      <w:r>
        <w:t>The Court held:</w:t>
      </w:r>
    </w:p>
    <w:p w14:paraId="52BA6D6E" w14:textId="77777777" w:rsidR="00411936" w:rsidRDefault="00411936" w:rsidP="00411936">
      <w:pPr>
        <w:pStyle w:val="NormalWeb"/>
      </w:pPr>
      <w:r>
        <w:t xml:space="preserve">“The 2021 statute contains a </w:t>
      </w:r>
      <w:r>
        <w:rPr>
          <w:rStyle w:val="Emphasis"/>
        </w:rPr>
        <w:t>procedural</w:t>
      </w:r>
      <w:r>
        <w:t xml:space="preserve"> presumption-the presumption is rebuttable and disappears with clear and convincing evidence of ‘a specific cause of the cancer other than an occupational exposure to a carcinogen.’ A.R.S. § 23-901.09(E). *** Arizona's workers' compensation system provides covered firefighters with benefits for workplace injuries. Yet not all firefighting injuries are alike. Physical injuries stemming from perceptible dangers (like burns or smoke inhalation from rushing into a burning building) are easily provable. Occupational diseases stemming from imperceptible dangers (like cancer from inhaling carcinogens or other noxious chemicals) are more difficult (if not impossible) to prove, particularly as to causation. *** We conclude the 2021 statute applies to Vande Krol's workers' compensation claim, and we, therefore, need not address whether the ALJ correctly interpreted the 2017 statute. Because </w:t>
      </w:r>
      <w:proofErr w:type="gramStart"/>
      <w:r>
        <w:t>the ALJ</w:t>
      </w:r>
      <w:proofErr w:type="gramEnd"/>
      <w:r>
        <w:t xml:space="preserve"> did not apply the 2021 statute, we set aside the award of non-compensation. The parties and the ALJ all correctly agreed Vande Krol satisfied the elements necessary to invoke the presumption in the 2021 statute. We </w:t>
      </w:r>
      <w:proofErr w:type="gramStart"/>
      <w:r>
        <w:t>remand to allow the</w:t>
      </w:r>
      <w:proofErr w:type="gramEnd"/>
      <w:r>
        <w:t xml:space="preserve"> ALJ </w:t>
      </w:r>
      <w:proofErr w:type="gramStart"/>
      <w:r>
        <w:t>to determine</w:t>
      </w:r>
      <w:proofErr w:type="gramEnd"/>
      <w:r>
        <w:t xml:space="preserve"> in the first instance whether Benchmark [Insurance Company] presented clear and convincing evidence to rebut the presumption. *** Distilled down, we apply a rather straightforward framework: applying a new procedural statute to a future procedure is not applying the statute retroactively and is generally permissible.”  </w:t>
      </w:r>
      <w:hyperlink r:id="rId1101" w:history="1">
        <w:r w:rsidRPr="007B2850">
          <w:rPr>
            <w:rStyle w:val="Hyperlink"/>
            <w:rFonts w:eastAsiaTheme="majorEastAsia"/>
          </w:rPr>
          <w:t>https://public.fastcase.com/ZZhmr5v9wN%2FXOe5IsQ%2FqD%2FaLdDTUZ9Bp4i3kiVRF7d97YDP9rIPdBi21RNkcNkR5tUpl7J0i2aSQMqXbficIjpy79lKVHToNjy22tiJ4vWE%3D?utm_medium=email&amp;_hsmi=226712652&amp;_hsenc=p2ANqtz-9MD5NcRenWzxZK3r0B0IWrLCE0j3XNAkXqR3ZxFb7wcv_xjopQQNgTmJWg80Fq-GGoAscEcs0qRLFtSd9eSgTH9vCqyg&amp;utm_content=226712652&amp;utm_source=hs_email</w:t>
        </w:r>
      </w:hyperlink>
      <w:r>
        <w:t xml:space="preserve"> </w:t>
      </w:r>
    </w:p>
    <w:p w14:paraId="78DE78FC" w14:textId="77777777" w:rsidR="00411936" w:rsidRDefault="00411936" w:rsidP="00411936">
      <w:pPr>
        <w:pStyle w:val="NormalWeb"/>
        <w:rPr>
          <w:b/>
          <w:bCs/>
        </w:rPr>
      </w:pPr>
      <w:r w:rsidRPr="00321A87">
        <w:rPr>
          <w:b/>
          <w:bCs/>
        </w:rPr>
        <w:t xml:space="preserve">Legal Lesson Learned: </w:t>
      </w:r>
      <w:r>
        <w:rPr>
          <w:b/>
          <w:bCs/>
        </w:rPr>
        <w:t xml:space="preserve">Great decision; firefighter is protected by the new “procedural” statutory presumption law. </w:t>
      </w:r>
    </w:p>
    <w:p w14:paraId="1FB392FF" w14:textId="77777777" w:rsidR="00411936" w:rsidRDefault="00411936" w:rsidP="00EF1133">
      <w:pPr>
        <w:rPr>
          <w:rFonts w:ascii="Arial Black" w:hAnsi="Arial Black"/>
          <w:b/>
          <w:sz w:val="24"/>
          <w:szCs w:val="24"/>
        </w:rPr>
      </w:pPr>
    </w:p>
    <w:p w14:paraId="09C954F4" w14:textId="77777777" w:rsidR="00411936" w:rsidRDefault="00411936" w:rsidP="00EF1133">
      <w:pPr>
        <w:rPr>
          <w:rFonts w:ascii="Arial Black" w:hAnsi="Arial Black"/>
          <w:b/>
          <w:sz w:val="24"/>
          <w:szCs w:val="24"/>
        </w:rPr>
      </w:pPr>
    </w:p>
    <w:p w14:paraId="177B68CD" w14:textId="0D2217C8" w:rsidR="00FE60DA" w:rsidRDefault="00BC4628"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7</w:t>
      </w:r>
    </w:p>
    <w:p w14:paraId="27FBE35E" w14:textId="77777777" w:rsidR="00BC4628" w:rsidRDefault="00BC4628" w:rsidP="00BC4628">
      <w:pPr>
        <w:spacing w:before="100" w:beforeAutospacing="1" w:after="100" w:afterAutospacing="1" w:line="240" w:lineRule="auto"/>
        <w:rPr>
          <w:rFonts w:ascii="Arial Black" w:hAnsi="Arial Black"/>
          <w:sz w:val="28"/>
          <w:szCs w:val="28"/>
        </w:rPr>
      </w:pPr>
      <w:r>
        <w:rPr>
          <w:rFonts w:ascii="Arial Black" w:hAnsi="Arial Black"/>
          <w:sz w:val="28"/>
          <w:szCs w:val="28"/>
        </w:rPr>
        <w:t>PA: KIDNEY CANCER AFTER HE RETIRED - 37 YRS CITY FF - NOW TWP FIRE MARSHAL – CITY’S WORK. COMP. LIABLE</w:t>
      </w:r>
    </w:p>
    <w:p w14:paraId="054E5A67" w14:textId="77777777" w:rsidR="00BC4628" w:rsidRDefault="00BC4628" w:rsidP="00BC4628">
      <w:pPr>
        <w:pStyle w:val="NormalWeb"/>
      </w:pPr>
      <w:r>
        <w:t xml:space="preserve">On July 6, 2023, in </w:t>
      </w:r>
      <w:r w:rsidRPr="009B0261">
        <w:rPr>
          <w:u w:val="single"/>
        </w:rPr>
        <w:t>City of Chester v. John Gresch and Nether Providence Township (Workers’ Compensation Appeal Board)</w:t>
      </w:r>
      <w:r>
        <w:t xml:space="preserve">, the Commonwealth Court of Pennsylvania, held (3 to 0; unpublished decision) that the Worker’s Compensation Board properly held that the City, not the Township, must </w:t>
      </w:r>
      <w:proofErr w:type="gramStart"/>
      <w:r>
        <w:t>covered</w:t>
      </w:r>
      <w:proofErr w:type="gramEnd"/>
      <w:r>
        <w:t xml:space="preserve"> his disability claim. </w:t>
      </w:r>
    </w:p>
    <w:p w14:paraId="29EEDF4F" w14:textId="77777777" w:rsidR="00BC4628" w:rsidRPr="009B0261" w:rsidRDefault="00BC4628" w:rsidP="00BC4628">
      <w:pPr>
        <w:pStyle w:val="NormalWeb"/>
      </w:pPr>
      <w:r w:rsidRPr="009B0261">
        <w:t xml:space="preserve">The Court held: </w:t>
      </w:r>
      <w:r>
        <w:t>“</w:t>
      </w:r>
      <w:r w:rsidRPr="009B0261">
        <w:t xml:space="preserve">Although Claimant worked for the Township more recently, for two years immediately preceding his diagnosis, Claimant credibly testified that he responded to six or seven fires in total while employed by the Township. In contrast, Claimant responded to 12 fires per month while employed by the </w:t>
      </w:r>
      <w:proofErr w:type="gramStart"/>
      <w:r w:rsidRPr="009B0261">
        <w:t>City</w:t>
      </w:r>
      <w:proofErr w:type="gramEnd"/>
      <w:r w:rsidRPr="009B0261">
        <w:t xml:space="preserve">. It is therefore obvious that Claimant's actual exposure to the relevant group 1 carcinogens was far greater while employed by the </w:t>
      </w:r>
      <w:proofErr w:type="gramStart"/>
      <w:r w:rsidRPr="009B0261">
        <w:t>City</w:t>
      </w:r>
      <w:proofErr w:type="gramEnd"/>
      <w:r w:rsidRPr="009B0261">
        <w:t xml:space="preserve"> than the Township. Thus, the </w:t>
      </w:r>
      <w:proofErr w:type="gramStart"/>
      <w:r w:rsidRPr="009B0261">
        <w:t>City</w:t>
      </w:r>
      <w:proofErr w:type="gramEnd"/>
      <w:r w:rsidRPr="009B0261">
        <w:t xml:space="preserve"> is liable for the payment of Claimant's workers' compensation </w:t>
      </w:r>
      <w:proofErr w:type="gramStart"/>
      <w:r w:rsidRPr="009B0261">
        <w:t>benefits.</w:t>
      </w:r>
      <w:r>
        <w:t>”</w:t>
      </w:r>
      <w:proofErr w:type="gramEnd"/>
      <w:r>
        <w:t xml:space="preserve"> </w:t>
      </w:r>
      <w:hyperlink r:id="rId1102" w:history="1">
        <w:r w:rsidRPr="00812663">
          <w:rPr>
            <w:rStyle w:val="Hyperlink"/>
          </w:rPr>
          <w:t>https://law.justia.com/cases/pennsylvania/commonwealth-court/2023/1040-c-d-2021.html</w:t>
        </w:r>
      </w:hyperlink>
      <w:r>
        <w:t xml:space="preserve"> </w:t>
      </w:r>
    </w:p>
    <w:p w14:paraId="08711EE1" w14:textId="77777777" w:rsidR="00BC4628" w:rsidRDefault="00BC4628" w:rsidP="00BC4628">
      <w:pPr>
        <w:spacing w:before="100" w:beforeAutospacing="1" w:after="100" w:afterAutospacing="1" w:line="240" w:lineRule="auto"/>
        <w:rPr>
          <w:rFonts w:ascii="Times New Roman" w:hAnsi="Times New Roman"/>
          <w:b/>
          <w:bCs/>
          <w:sz w:val="24"/>
          <w:szCs w:val="24"/>
        </w:rPr>
      </w:pPr>
      <w:r w:rsidRPr="009B0261">
        <w:rPr>
          <w:rFonts w:ascii="Times New Roman" w:hAnsi="Times New Roman"/>
          <w:b/>
          <w:bCs/>
          <w:sz w:val="24"/>
          <w:szCs w:val="24"/>
        </w:rPr>
        <w:t xml:space="preserve">Legal Lesson Learned: </w:t>
      </w:r>
      <w:r>
        <w:rPr>
          <w:rFonts w:ascii="Times New Roman" w:hAnsi="Times New Roman"/>
          <w:b/>
          <w:bCs/>
          <w:sz w:val="24"/>
          <w:szCs w:val="24"/>
        </w:rPr>
        <w:t xml:space="preserve">Another case where a city’s worker’s comp representative seeks to avoid clear legal obligation. </w:t>
      </w:r>
    </w:p>
    <w:p w14:paraId="1151AE43" w14:textId="77777777" w:rsidR="00FE60DA" w:rsidRDefault="00FE60DA" w:rsidP="00EF1133">
      <w:pPr>
        <w:rPr>
          <w:rFonts w:ascii="Arial Black" w:hAnsi="Arial Black"/>
          <w:b/>
          <w:sz w:val="24"/>
          <w:szCs w:val="24"/>
        </w:rPr>
      </w:pPr>
    </w:p>
    <w:p w14:paraId="32288A8D" w14:textId="73D31D4E" w:rsidR="00BC4628" w:rsidRDefault="00BC4628"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6</w:t>
      </w:r>
    </w:p>
    <w:p w14:paraId="08FC405A" w14:textId="77777777" w:rsidR="00BC4628" w:rsidRDefault="00BC4628" w:rsidP="00BC4628">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NJ: FF / EMT INJURED BACK MOVING PT TO HOSPITAL BED – ORDINARY DISABILITY – NOT A “TRAUMATIC EVENT”</w:t>
      </w:r>
    </w:p>
    <w:p w14:paraId="503D7544" w14:textId="77777777" w:rsidR="00BC4628" w:rsidRDefault="00BC4628" w:rsidP="00BC462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June 30, 2023, in </w:t>
      </w:r>
      <w:r w:rsidRPr="00A33FA3">
        <w:rPr>
          <w:rFonts w:ascii="Times New Roman" w:eastAsia="Times New Roman" w:hAnsi="Times New Roman"/>
          <w:sz w:val="24"/>
          <w:szCs w:val="24"/>
          <w:u w:val="single"/>
        </w:rPr>
        <w:t>John Karolinski v. Board of Trustees, Public Employees’ Retirement System</w:t>
      </w:r>
      <w:r>
        <w:rPr>
          <w:rFonts w:ascii="Times New Roman" w:eastAsia="Times New Roman" w:hAnsi="Times New Roman"/>
          <w:sz w:val="24"/>
          <w:szCs w:val="24"/>
        </w:rPr>
        <w:t xml:space="preserve">, the Superior Court of New Jersey, Appellate Division, held (2 to 0) that while the firefighter / EMT is entitled to ordinary disability retirement benefits, he is not entitled to accidental benefits for a “traumatic event.”  </w:t>
      </w:r>
      <w:r w:rsidRPr="00A33FA3">
        <w:rPr>
          <w:rFonts w:ascii="Times New Roman" w:eastAsia="Times New Roman" w:hAnsi="Times New Roman"/>
          <w:sz w:val="24"/>
          <w:szCs w:val="24"/>
        </w:rPr>
        <w:t xml:space="preserve">The </w:t>
      </w:r>
      <w:r>
        <w:rPr>
          <w:rFonts w:ascii="Times New Roman" w:eastAsia="Times New Roman" w:hAnsi="Times New Roman"/>
          <w:sz w:val="24"/>
          <w:szCs w:val="24"/>
        </w:rPr>
        <w:t xml:space="preserve">Court agreed with the </w:t>
      </w:r>
      <w:r w:rsidRPr="00A33FA3">
        <w:rPr>
          <w:rFonts w:ascii="Times New Roman" w:eastAsia="Times New Roman" w:hAnsi="Times New Roman"/>
          <w:sz w:val="24"/>
          <w:szCs w:val="24"/>
        </w:rPr>
        <w:t>Administrative Law Judge</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there</w:t>
      </w:r>
      <w:proofErr w:type="gramEnd"/>
      <w:r>
        <w:rPr>
          <w:rFonts w:ascii="Times New Roman" w:eastAsia="Times New Roman" w:hAnsi="Times New Roman"/>
          <w:sz w:val="24"/>
          <w:szCs w:val="24"/>
        </w:rPr>
        <w:t xml:space="preserve"> firefighter was performing </w:t>
      </w:r>
      <w:proofErr w:type="gramStart"/>
      <w:r>
        <w:rPr>
          <w:rFonts w:ascii="Times New Roman" w:eastAsia="Times New Roman" w:hAnsi="Times New Roman"/>
          <w:sz w:val="24"/>
          <w:szCs w:val="24"/>
        </w:rPr>
        <w:t>task</w:t>
      </w:r>
      <w:proofErr w:type="gramEnd"/>
      <w:r>
        <w:rPr>
          <w:rFonts w:ascii="Times New Roman" w:eastAsia="Times New Roman" w:hAnsi="Times New Roman"/>
          <w:sz w:val="24"/>
          <w:szCs w:val="24"/>
        </w:rPr>
        <w:t xml:space="preserve"> he had done many times.</w:t>
      </w:r>
    </w:p>
    <w:p w14:paraId="60C890DC" w14:textId="77777777" w:rsidR="00BC4628" w:rsidRPr="00A33FA3" w:rsidRDefault="00BC4628" w:rsidP="00BC462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The Court held: </w:t>
      </w:r>
      <w:r>
        <w:rPr>
          <w:rFonts w:ascii="Times New Roman" w:hAnsi="Times New Roman"/>
          <w:sz w:val="24"/>
          <w:szCs w:val="24"/>
        </w:rPr>
        <w:t>“</w:t>
      </w:r>
      <w:r w:rsidRPr="00A33FA3">
        <w:rPr>
          <w:rFonts w:ascii="Times New Roman" w:hAnsi="Times New Roman"/>
          <w:sz w:val="24"/>
          <w:szCs w:val="24"/>
        </w:rPr>
        <w:t>Petitioner testified he was injured while transferring a patient from a stretcher to the catheterization table, a job duty he had performed ‘hundreds of time[s]’ and was trained to do. It was petitioner's work effort that caused his disability. He stated it was common for patients to be ‘freaking out.</w:t>
      </w:r>
      <w:r>
        <w:rPr>
          <w:rFonts w:ascii="Times New Roman" w:hAnsi="Times New Roman"/>
          <w:sz w:val="24"/>
          <w:szCs w:val="24"/>
        </w:rPr>
        <w:t xml:space="preserve">’ </w:t>
      </w:r>
      <w:r w:rsidRPr="00A33FA3">
        <w:rPr>
          <w:rFonts w:ascii="Times New Roman" w:hAnsi="Times New Roman"/>
          <w:sz w:val="24"/>
          <w:szCs w:val="24"/>
        </w:rPr>
        <w:t xml:space="preserve">Therefore, it was not unexpected for a patient to be uncooperative during the transfer process. Moreover, he </w:t>
      </w:r>
      <w:proofErr w:type="gramStart"/>
      <w:r w:rsidRPr="00A33FA3">
        <w:rPr>
          <w:rFonts w:ascii="Times New Roman" w:hAnsi="Times New Roman"/>
          <w:sz w:val="24"/>
          <w:szCs w:val="24"/>
        </w:rPr>
        <w:t>testified</w:t>
      </w:r>
      <w:proofErr w:type="gramEnd"/>
      <w:r w:rsidRPr="00A33FA3">
        <w:rPr>
          <w:rFonts w:ascii="Times New Roman" w:hAnsi="Times New Roman"/>
          <w:sz w:val="24"/>
          <w:szCs w:val="24"/>
        </w:rPr>
        <w:t xml:space="preserve"> the way in which he transfers a patient-using a double </w:t>
      </w:r>
      <w:proofErr w:type="gramStart"/>
      <w:r w:rsidRPr="00A33FA3">
        <w:rPr>
          <w:rFonts w:ascii="Times New Roman" w:hAnsi="Times New Roman"/>
          <w:sz w:val="24"/>
          <w:szCs w:val="24"/>
        </w:rPr>
        <w:t>sheet-‘</w:t>
      </w:r>
      <w:proofErr w:type="gramEnd"/>
      <w:r w:rsidRPr="00A33FA3">
        <w:rPr>
          <w:rFonts w:ascii="Times New Roman" w:hAnsi="Times New Roman"/>
          <w:sz w:val="24"/>
          <w:szCs w:val="24"/>
        </w:rPr>
        <w:t xml:space="preserve">makes it a lot easier to move . . . a patient </w:t>
      </w:r>
      <w:proofErr w:type="gramStart"/>
      <w:r w:rsidRPr="00A33FA3">
        <w:rPr>
          <w:rFonts w:ascii="Times New Roman" w:hAnsi="Times New Roman"/>
          <w:sz w:val="24"/>
          <w:szCs w:val="24"/>
        </w:rPr>
        <w:t>that[] [</w:t>
      </w:r>
      <w:proofErr w:type="gramEnd"/>
      <w:r w:rsidRPr="00A33FA3">
        <w:rPr>
          <w:rFonts w:ascii="Times New Roman" w:hAnsi="Times New Roman"/>
          <w:sz w:val="24"/>
          <w:szCs w:val="24"/>
        </w:rPr>
        <w:t>is] not cooperating.’ It was not an ‘unexpected happening’ that petitioner would need to help a patient to prevent a fall during a transfer.”</w:t>
      </w:r>
      <w:r>
        <w:rPr>
          <w:rFonts w:ascii="Times New Roman" w:hAnsi="Times New Roman"/>
          <w:sz w:val="24"/>
          <w:szCs w:val="24"/>
        </w:rPr>
        <w:t xml:space="preserve"> </w:t>
      </w:r>
      <w:hyperlink r:id="rId1103" w:history="1">
        <w:r w:rsidRPr="00812663">
          <w:rPr>
            <w:rStyle w:val="Hyperlink"/>
            <w:sz w:val="24"/>
            <w:szCs w:val="24"/>
          </w:rPr>
          <w:t>https://www.njcourts.gov/system/files/court-opinions/2023/a3333-21.pdf</w:t>
        </w:r>
      </w:hyperlink>
      <w:r>
        <w:rPr>
          <w:rFonts w:ascii="Times New Roman" w:eastAsia="Times New Roman" w:hAnsi="Times New Roman"/>
          <w:sz w:val="24"/>
          <w:szCs w:val="24"/>
        </w:rPr>
        <w:t xml:space="preserve"> </w:t>
      </w:r>
    </w:p>
    <w:p w14:paraId="35D0F98C" w14:textId="77777777" w:rsidR="00BC4628" w:rsidRPr="00954CB5" w:rsidRDefault="00BC4628" w:rsidP="00BC4628">
      <w:pPr>
        <w:spacing w:before="100" w:beforeAutospacing="1" w:after="100" w:afterAutospacing="1" w:line="240" w:lineRule="auto"/>
        <w:rPr>
          <w:rFonts w:ascii="Times New Roman" w:eastAsia="Times New Roman" w:hAnsi="Times New Roman"/>
          <w:b/>
          <w:bCs/>
          <w:sz w:val="24"/>
          <w:szCs w:val="24"/>
        </w:rPr>
      </w:pPr>
      <w:r w:rsidRPr="00954CB5">
        <w:rPr>
          <w:rFonts w:ascii="Times New Roman" w:hAnsi="Times New Roman"/>
          <w:b/>
          <w:bCs/>
          <w:sz w:val="24"/>
          <w:szCs w:val="24"/>
        </w:rPr>
        <w:t xml:space="preserve">Legal Lesson Learned: Under NJ law, accidental disability </w:t>
      </w:r>
      <w:r>
        <w:rPr>
          <w:rFonts w:ascii="Times New Roman" w:hAnsi="Times New Roman"/>
          <w:b/>
          <w:bCs/>
          <w:sz w:val="24"/>
          <w:szCs w:val="24"/>
        </w:rPr>
        <w:t xml:space="preserve">with enhanced compensation </w:t>
      </w:r>
      <w:r w:rsidRPr="00954CB5">
        <w:rPr>
          <w:rFonts w:ascii="Times New Roman" w:hAnsi="Times New Roman"/>
          <w:b/>
          <w:bCs/>
          <w:sz w:val="24"/>
          <w:szCs w:val="24"/>
        </w:rPr>
        <w:t>is only for fire &amp; EMS personnel "permanently and totally disabled as a direct result of a traumatic event occurring during and as a result of the performance of [their] regular or assigned duties.”</w:t>
      </w:r>
    </w:p>
    <w:p w14:paraId="10277B32" w14:textId="77777777" w:rsidR="00BC4628" w:rsidRDefault="00BC4628" w:rsidP="00EF1133">
      <w:pPr>
        <w:rPr>
          <w:rFonts w:ascii="Arial Black" w:hAnsi="Arial Black"/>
          <w:b/>
          <w:sz w:val="24"/>
          <w:szCs w:val="24"/>
        </w:rPr>
      </w:pPr>
    </w:p>
    <w:p w14:paraId="00D2A871" w14:textId="6213896E" w:rsidR="00BC4628" w:rsidRDefault="00BC4628"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5</w:t>
      </w:r>
    </w:p>
    <w:p w14:paraId="25C2ED0E" w14:textId="77777777" w:rsidR="00BC4628" w:rsidRPr="00FE3A79" w:rsidRDefault="00BC4628" w:rsidP="00BC4628">
      <w:pPr>
        <w:pStyle w:val="NormalWeb"/>
        <w:rPr>
          <w:rFonts w:ascii="Arial Black" w:hAnsi="Arial Black"/>
          <w:sz w:val="28"/>
          <w:szCs w:val="28"/>
        </w:rPr>
      </w:pPr>
      <w:r>
        <w:rPr>
          <w:rFonts w:ascii="Arial Black" w:hAnsi="Arial Black"/>
          <w:sz w:val="28"/>
          <w:szCs w:val="28"/>
        </w:rPr>
        <w:t>RI: RETIRED PROVIDENCE FF – CANCER – COVERED BY STATE’S DISABILITY, EVEN IF CITY HAS RETIREMENT PLAN</w:t>
      </w:r>
    </w:p>
    <w:p w14:paraId="420CF6DF" w14:textId="77777777" w:rsidR="00BC4628" w:rsidRDefault="00BC4628" w:rsidP="00BC4628">
      <w:pPr>
        <w:pStyle w:val="NormalWeb"/>
      </w:pPr>
      <w:r>
        <w:t xml:space="preserve">On June 26, 2023, in </w:t>
      </w:r>
      <w:r w:rsidRPr="00FE3A79">
        <w:rPr>
          <w:u w:val="single"/>
        </w:rPr>
        <w:t xml:space="preserve">The Providence Retired Police </w:t>
      </w:r>
      <w:proofErr w:type="gramStart"/>
      <w:r w:rsidRPr="00FE3A79">
        <w:rPr>
          <w:u w:val="single"/>
        </w:rPr>
        <w:t>And</w:t>
      </w:r>
      <w:proofErr w:type="gramEnd"/>
      <w:r w:rsidRPr="00FE3A79">
        <w:rPr>
          <w:u w:val="single"/>
        </w:rPr>
        <w:t xml:space="preserve"> Firefighter’s Association v. The City of Providence</w:t>
      </w:r>
      <w:r>
        <w:t xml:space="preserve">, Judge </w:t>
      </w:r>
      <w:r w:rsidRPr="00FE3A79">
        <w:t>R. David Cruise</w:t>
      </w:r>
      <w:r>
        <w:t xml:space="preserve">, Superior Court of Rhode Island, held that retired Providence firefighters, who develop cancer, are covered for disability benefits under the state’s 1986 statutory presumption law, even though City of Providence does not participate in the State’s “Municipal Employee Retirement System” and in 2008 enacted its own statutory presumption ordinance under its retirement plan.  </w:t>
      </w:r>
    </w:p>
    <w:p w14:paraId="0667991D" w14:textId="77777777" w:rsidR="00BC4628" w:rsidRDefault="00BC4628" w:rsidP="00BC4628">
      <w:pPr>
        <w:pStyle w:val="NormalWeb"/>
      </w:pPr>
      <w:r>
        <w:t>The Court held: “</w:t>
      </w:r>
      <w:r w:rsidRPr="00981B02">
        <w:t xml:space="preserve">The Court agrees with Plaintiff that our Supreme Court's decision in </w:t>
      </w:r>
      <w:r w:rsidRPr="00981B02">
        <w:rPr>
          <w:rStyle w:val="Emphasis"/>
          <w:rFonts w:eastAsiaTheme="majorEastAsia"/>
        </w:rPr>
        <w:t>East Providence</w:t>
      </w:r>
      <w:r w:rsidRPr="00981B02">
        <w:t xml:space="preserve"> </w:t>
      </w:r>
      <w:r w:rsidRPr="004F140E">
        <w:t>[</w:t>
      </w:r>
      <w:r w:rsidRPr="004F140E">
        <w:rPr>
          <w:rStyle w:val="Emphasis"/>
          <w:rFonts w:eastAsiaTheme="majorEastAsia"/>
        </w:rPr>
        <w:t>v. IAFF Local,</w:t>
      </w:r>
      <w:r w:rsidRPr="004F140E">
        <w:t xml:space="preserve"> 850, 982 A.2d 1281 (R.I. 2009)],</w:t>
      </w:r>
      <w:r>
        <w:t xml:space="preserve"> s</w:t>
      </w:r>
      <w:r w:rsidRPr="00981B02">
        <w:t xml:space="preserve">upports that § 45-19.1-3 does not restrict its application to only firefighters of municipalities that participate in the MERS…. Furthermore, it is apparent that § 45-19.1-3 was intended to provide cancer disability benefits to </w:t>
      </w:r>
      <w:r w:rsidRPr="00981B02">
        <w:rPr>
          <w:rStyle w:val="Emphasis"/>
          <w:rFonts w:eastAsiaTheme="majorEastAsia"/>
        </w:rPr>
        <w:t>all</w:t>
      </w:r>
      <w:r w:rsidRPr="00981B02">
        <w:t xml:space="preserve"> firefighters in the State, in accordance with the legislative intent and our Supreme Court's explanation in </w:t>
      </w:r>
      <w:r w:rsidRPr="00981B02">
        <w:rPr>
          <w:rStyle w:val="Emphasis"/>
          <w:rFonts w:eastAsiaTheme="majorEastAsia"/>
        </w:rPr>
        <w:t>East Providence</w:t>
      </w:r>
      <w:r w:rsidRPr="00981B02">
        <w:t>, and it would be absurd for the Court to conclude that Providence firefighters are excluded from said benefits when § 45-19.1-3 is meant to apply to all firefighters.</w:t>
      </w:r>
      <w:r>
        <w:t xml:space="preserve">” </w:t>
      </w:r>
      <w:hyperlink r:id="rId1104" w:history="1">
        <w:r w:rsidRPr="00812663">
          <w:rPr>
            <w:rStyle w:val="Hyperlink"/>
          </w:rPr>
          <w:t>https://casetext.com/case/the-providence-retired-police-firefighters-assn-v-city-of-providence</w:t>
        </w:r>
      </w:hyperlink>
      <w:r>
        <w:t xml:space="preserve"> </w:t>
      </w:r>
    </w:p>
    <w:p w14:paraId="4385A2DC" w14:textId="77777777" w:rsidR="00BC4628" w:rsidRDefault="00BC4628" w:rsidP="00BC4628">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state-wide retirement system fortunately includes a statutory presumption for cancer that includes retirees. </w:t>
      </w:r>
    </w:p>
    <w:p w14:paraId="78C5A6F6" w14:textId="77777777" w:rsidR="00BC4628" w:rsidRPr="00F115F8" w:rsidRDefault="00BC4628" w:rsidP="00BC4628">
      <w:pPr>
        <w:pStyle w:val="Heading1"/>
        <w:ind w:left="720"/>
        <w:rPr>
          <w:b w:val="0"/>
          <w:bCs w:val="0"/>
          <w:sz w:val="24"/>
          <w:szCs w:val="24"/>
        </w:rPr>
      </w:pPr>
      <w:r w:rsidRPr="00F115F8">
        <w:rPr>
          <w:b w:val="0"/>
          <w:bCs w:val="0"/>
          <w:kern w:val="0"/>
          <w:sz w:val="24"/>
          <w:szCs w:val="24"/>
        </w:rPr>
        <w:t xml:space="preserve">Note: See July 5, </w:t>
      </w:r>
      <w:proofErr w:type="gramStart"/>
      <w:r w:rsidRPr="00F115F8">
        <w:rPr>
          <w:b w:val="0"/>
          <w:bCs w:val="0"/>
          <w:kern w:val="0"/>
          <w:sz w:val="24"/>
          <w:szCs w:val="24"/>
        </w:rPr>
        <w:t>2023</w:t>
      </w:r>
      <w:proofErr w:type="gramEnd"/>
      <w:r w:rsidRPr="00F115F8">
        <w:rPr>
          <w:b w:val="0"/>
          <w:bCs w:val="0"/>
          <w:kern w:val="0"/>
          <w:sz w:val="24"/>
          <w:szCs w:val="24"/>
        </w:rPr>
        <w:t xml:space="preserve"> article on the case, “</w:t>
      </w:r>
      <w:r w:rsidRPr="00F115F8">
        <w:rPr>
          <w:b w:val="0"/>
          <w:bCs w:val="0"/>
          <w:sz w:val="24"/>
          <w:szCs w:val="24"/>
        </w:rPr>
        <w:t xml:space="preserve">Retired Providence firefighters not barred from cancer benefits.” </w:t>
      </w:r>
      <w:hyperlink r:id="rId1105" w:history="1">
        <w:r w:rsidRPr="00F115F8">
          <w:rPr>
            <w:rStyle w:val="Hyperlink"/>
            <w:b w:val="0"/>
            <w:bCs w:val="0"/>
            <w:sz w:val="24"/>
            <w:szCs w:val="24"/>
          </w:rPr>
          <w:t>https://rilawyersweekly.com/blog/2023/07/05/retired-providence-firefighters-not-barred-from-cancer-benefits/</w:t>
        </w:r>
      </w:hyperlink>
      <w:r w:rsidRPr="00F115F8">
        <w:rPr>
          <w:b w:val="0"/>
          <w:bCs w:val="0"/>
          <w:sz w:val="24"/>
          <w:szCs w:val="24"/>
        </w:rPr>
        <w:t xml:space="preserve"> </w:t>
      </w:r>
    </w:p>
    <w:p w14:paraId="6D74B9CB" w14:textId="77777777" w:rsidR="00BC4628" w:rsidRDefault="00BC4628" w:rsidP="00EF1133">
      <w:pPr>
        <w:rPr>
          <w:rFonts w:ascii="Arial Black" w:hAnsi="Arial Black"/>
          <w:b/>
          <w:sz w:val="24"/>
          <w:szCs w:val="24"/>
        </w:rPr>
      </w:pPr>
    </w:p>
    <w:p w14:paraId="09F4F789" w14:textId="4BCAF48C" w:rsidR="00FE60DA" w:rsidRDefault="00BC4628"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4</w:t>
      </w:r>
    </w:p>
    <w:p w14:paraId="3280DD8E" w14:textId="77777777" w:rsidR="00BC4628" w:rsidRDefault="00BC4628" w:rsidP="00BC4628">
      <w:pPr>
        <w:pStyle w:val="NormalWeb"/>
        <w:rPr>
          <w:rFonts w:ascii="Arial Black" w:hAnsi="Arial Black"/>
          <w:sz w:val="28"/>
          <w:szCs w:val="28"/>
        </w:rPr>
      </w:pPr>
      <w:r>
        <w:rPr>
          <w:rFonts w:ascii="Arial Black" w:hAnsi="Arial Black"/>
          <w:sz w:val="28"/>
          <w:szCs w:val="28"/>
        </w:rPr>
        <w:t>CT: PART-TIME FF – HEART - SEEKS DISABILITY BONUS PAID FF HIRED PRIOR JULY 1, 1996 – AVER. 20 HRS / WEEK</w:t>
      </w:r>
    </w:p>
    <w:p w14:paraId="13697E2D" w14:textId="77777777" w:rsidR="00BC4628" w:rsidRDefault="00BC4628" w:rsidP="00BC4628">
      <w:pPr>
        <w:pStyle w:val="NormalWeb"/>
      </w:pPr>
      <w:r>
        <w:t xml:space="preserve">On June 20, 2023, in </w:t>
      </w:r>
      <w:r w:rsidRPr="00993113">
        <w:rPr>
          <w:u w:val="single"/>
        </w:rPr>
        <w:t xml:space="preserve">Christopher A. Clark v. Town of Waterford, </w:t>
      </w:r>
      <w:proofErr w:type="spellStart"/>
      <w:r w:rsidRPr="00993113">
        <w:rPr>
          <w:u w:val="single"/>
        </w:rPr>
        <w:t>Cohanzie</w:t>
      </w:r>
      <w:proofErr w:type="spellEnd"/>
      <w:r w:rsidRPr="00993113">
        <w:rPr>
          <w:u w:val="single"/>
        </w:rPr>
        <w:t xml:space="preserve"> Fire Department, et al.</w:t>
      </w:r>
      <w:r>
        <w:t xml:space="preserve">, the Supreme Court of Connecticut, held (6 to 1) </w:t>
      </w:r>
      <w:r w:rsidRPr="00221594">
        <w:t>that the Town correctly contended that</w:t>
      </w:r>
      <w:r>
        <w:t xml:space="preserve"> a state statute awarding municipal police and firefighters hired prior to July 1, 1996 with enhanced benefits for heart </w:t>
      </w:r>
      <w:r w:rsidRPr="005B1FFB">
        <w:t>or hypertension disease</w:t>
      </w:r>
      <w:r>
        <w:t xml:space="preserve"> (get benefits as if they suffered on duty personal injury), but only if they worked an average of 20 hours a week or more. Case </w:t>
      </w:r>
      <w:proofErr w:type="gramStart"/>
      <w:r>
        <w:t>remanded</w:t>
      </w:r>
      <w:proofErr w:type="gramEnd"/>
      <w:r>
        <w:t xml:space="preserve"> to determine if he met this hourly requirement when he served as a part-time firefighter starting in 1992.</w:t>
      </w:r>
    </w:p>
    <w:p w14:paraId="511A3487" w14:textId="77777777" w:rsidR="00BC4628" w:rsidRPr="00993113" w:rsidRDefault="00BC4628" w:rsidP="00BC4628">
      <w:pPr>
        <w:pStyle w:val="NormalWeb"/>
      </w:pPr>
      <w:r>
        <w:t>The Court held: “</w:t>
      </w:r>
      <w:r w:rsidRPr="005B1FFB">
        <w:t xml:space="preserve">Because the </w:t>
      </w:r>
      <w:r>
        <w:t xml:space="preserve">[Workers Comp.] </w:t>
      </w:r>
      <w:r w:rsidRPr="005B1FFB">
        <w:t>commissioner did not apply the correct legal standard in failing to make a finding as to whether the plaintiff had customarily worked the requisite twenty hours per week prior to his hiring as a full-time firefighter, the plaintiff is entitled to have the commissioner decide that factual issue</w:t>
      </w:r>
      <w:r>
        <w:t xml:space="preserve">.” </w:t>
      </w:r>
      <w:hyperlink r:id="rId1106" w:history="1">
        <w:r w:rsidRPr="00812663">
          <w:rPr>
            <w:rStyle w:val="Hyperlink"/>
          </w:rPr>
          <w:t>https://casetext.com/case/clark-v-town-of-waterford-1</w:t>
        </w:r>
      </w:hyperlink>
      <w:r>
        <w:t xml:space="preserve"> </w:t>
      </w:r>
    </w:p>
    <w:p w14:paraId="5DD3720F" w14:textId="77777777" w:rsidR="00BC4628" w:rsidRPr="00295415" w:rsidRDefault="00BC4628" w:rsidP="00BC4628">
      <w:pPr>
        <w:pStyle w:val="NormalWeb"/>
        <w:rPr>
          <w:b/>
          <w:bCs/>
        </w:rPr>
      </w:pPr>
      <w:r w:rsidRPr="00295415">
        <w:rPr>
          <w:b/>
          <w:bCs/>
        </w:rPr>
        <w:t xml:space="preserve">Legal Lesson Learned: </w:t>
      </w:r>
      <w:r>
        <w:rPr>
          <w:b/>
          <w:bCs/>
        </w:rPr>
        <w:t>This is unusual decision; per the Dissent, the Court is reversing 70 years of history awarding disability benefits to all uniformed members of municipal fire departments.</w:t>
      </w:r>
    </w:p>
    <w:p w14:paraId="13CBA0BD" w14:textId="77777777" w:rsidR="00BC4628" w:rsidRPr="00F115F8" w:rsidRDefault="00BC4628" w:rsidP="00BC4628">
      <w:pPr>
        <w:pStyle w:val="Heading1"/>
        <w:ind w:left="720"/>
        <w:rPr>
          <w:b w:val="0"/>
          <w:bCs w:val="0"/>
          <w:sz w:val="24"/>
          <w:szCs w:val="24"/>
        </w:rPr>
      </w:pPr>
      <w:r w:rsidRPr="00F115F8">
        <w:rPr>
          <w:b w:val="0"/>
          <w:bCs w:val="0"/>
          <w:sz w:val="24"/>
          <w:szCs w:val="24"/>
        </w:rPr>
        <w:t xml:space="preserve">Note: See June 26, </w:t>
      </w:r>
      <w:proofErr w:type="gramStart"/>
      <w:r w:rsidRPr="00F115F8">
        <w:rPr>
          <w:b w:val="0"/>
          <w:bCs w:val="0"/>
          <w:sz w:val="24"/>
          <w:szCs w:val="24"/>
        </w:rPr>
        <w:t>2023</w:t>
      </w:r>
      <w:proofErr w:type="gramEnd"/>
      <w:r w:rsidRPr="00F115F8">
        <w:rPr>
          <w:b w:val="0"/>
          <w:bCs w:val="0"/>
          <w:sz w:val="24"/>
          <w:szCs w:val="24"/>
        </w:rPr>
        <w:t xml:space="preserve"> article, “Connecticut High Court Nixes Workers’ Comp for Firefighter </w:t>
      </w:r>
      <w:proofErr w:type="gramStart"/>
      <w:r w:rsidRPr="00F115F8">
        <w:rPr>
          <w:b w:val="0"/>
          <w:bCs w:val="0"/>
          <w:sz w:val="24"/>
          <w:szCs w:val="24"/>
        </w:rPr>
        <w:t>With</w:t>
      </w:r>
      <w:proofErr w:type="gramEnd"/>
      <w:r w:rsidRPr="00F115F8">
        <w:rPr>
          <w:b w:val="0"/>
          <w:bCs w:val="0"/>
          <w:sz w:val="24"/>
          <w:szCs w:val="24"/>
        </w:rPr>
        <w:t xml:space="preserve"> Heart Condition.” </w:t>
      </w:r>
      <w:hyperlink r:id="rId1107" w:history="1">
        <w:r w:rsidRPr="00F115F8">
          <w:rPr>
            <w:rStyle w:val="Hyperlink"/>
            <w:b w:val="0"/>
            <w:bCs w:val="0"/>
            <w:sz w:val="24"/>
            <w:szCs w:val="24"/>
          </w:rPr>
          <w:t>https://www.insurancejournal.com/news/east/2023/06/26/727250.htm#</w:t>
        </w:r>
      </w:hyperlink>
      <w:r w:rsidRPr="00F115F8">
        <w:rPr>
          <w:b w:val="0"/>
          <w:bCs w:val="0"/>
          <w:sz w:val="24"/>
          <w:szCs w:val="24"/>
        </w:rPr>
        <w:t xml:space="preserve"> </w:t>
      </w:r>
    </w:p>
    <w:p w14:paraId="61B687B4" w14:textId="77777777" w:rsidR="00BC4628" w:rsidRDefault="00BC4628" w:rsidP="00EF1133">
      <w:pPr>
        <w:rPr>
          <w:rFonts w:ascii="Arial Black" w:hAnsi="Arial Black"/>
          <w:b/>
          <w:sz w:val="24"/>
          <w:szCs w:val="24"/>
        </w:rPr>
      </w:pPr>
    </w:p>
    <w:p w14:paraId="580EF268" w14:textId="77777777" w:rsidR="00FE60DA" w:rsidRDefault="00FE60DA" w:rsidP="00EF1133">
      <w:pPr>
        <w:rPr>
          <w:rFonts w:ascii="Arial Black" w:hAnsi="Arial Black"/>
          <w:b/>
          <w:sz w:val="24"/>
          <w:szCs w:val="24"/>
        </w:rPr>
      </w:pPr>
    </w:p>
    <w:p w14:paraId="674FB872" w14:textId="778F9BC4" w:rsidR="00477016" w:rsidRDefault="00477016"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3</w:t>
      </w:r>
    </w:p>
    <w:p w14:paraId="3DF14A5F" w14:textId="77777777" w:rsidR="00477016" w:rsidRPr="00683B6E" w:rsidRDefault="00477016" w:rsidP="00477016">
      <w:pPr>
        <w:pStyle w:val="NormalWeb"/>
        <w:rPr>
          <w:rStyle w:val="markedcontent"/>
          <w:rFonts w:ascii="Arial Black" w:hAnsi="Arial Black"/>
          <w:sz w:val="28"/>
          <w:szCs w:val="28"/>
        </w:rPr>
      </w:pPr>
      <w:bookmarkStart w:id="226" w:name="_Hlk136859176"/>
      <w:r>
        <w:rPr>
          <w:rStyle w:val="markedcontent"/>
          <w:rFonts w:ascii="Arial Black" w:hAnsi="Arial Black"/>
          <w:sz w:val="28"/>
          <w:szCs w:val="28"/>
        </w:rPr>
        <w:t xml:space="preserve">MI:  ARMY FF NOT PROMOTED CAPTAIN – RATED BELOW 2 OTHERS – NO RETALITION / COMMENTS HIS “B-SIZE BRA” </w:t>
      </w:r>
    </w:p>
    <w:bookmarkEnd w:id="226"/>
    <w:p w14:paraId="6CBEFE58" w14:textId="77777777" w:rsidR="00477016" w:rsidRDefault="00477016" w:rsidP="00477016">
      <w:pPr>
        <w:pStyle w:val="NormalWeb"/>
      </w:pPr>
      <w:r>
        <w:rPr>
          <w:rStyle w:val="markedcontent"/>
        </w:rPr>
        <w:t xml:space="preserve">On June 2, 2023, in </w:t>
      </w:r>
      <w:r w:rsidRPr="00CD5BF6">
        <w:rPr>
          <w:rStyle w:val="markedcontent"/>
          <w:u w:val="single"/>
        </w:rPr>
        <w:t>Joe Dasilva v. Mark Esper, et al</w:t>
      </w:r>
      <w:r>
        <w:rPr>
          <w:rStyle w:val="markedcontent"/>
        </w:rPr>
        <w:t xml:space="preserve">., U.S. District Court Judge Mark A. </w:t>
      </w:r>
      <w:proofErr w:type="spellStart"/>
      <w:r>
        <w:rPr>
          <w:rStyle w:val="markedcontent"/>
        </w:rPr>
        <w:t>Golsmith</w:t>
      </w:r>
      <w:proofErr w:type="spellEnd"/>
      <w:r>
        <w:rPr>
          <w:rStyle w:val="markedcontent"/>
        </w:rPr>
        <w:t xml:space="preserve">, U.S. District Court for Eastern District of Michigan, Southern Division, granted U.S, Army’s motion for summary judgment, dismissing the lawsuit by the firefighter / EMT.  He claimed that the Chief of the Fire Division, </w:t>
      </w:r>
      <w:r>
        <w:t xml:space="preserve">Martin Potter, </w:t>
      </w:r>
      <w:r>
        <w:rPr>
          <w:rStyle w:val="markedcontent"/>
        </w:rPr>
        <w:t xml:space="preserve">who served on the three-member promotion panel in 2019, denied him promotion because he had filed EEOC complaints against him in 2017 and 2018 after comments  such as, </w:t>
      </w:r>
      <w:r>
        <w:t xml:space="preserve">“I bet you can wear a B-sized bra.” </w:t>
      </w:r>
      <w:hyperlink r:id="rId1108" w:history="1">
        <w:r w:rsidRPr="005E5A42">
          <w:rPr>
            <w:rStyle w:val="Hyperlink"/>
          </w:rPr>
          <w:t>https://casetext.com/case/dasilva-v-esper-1</w:t>
        </w:r>
      </w:hyperlink>
      <w:r>
        <w:t xml:space="preserve"> </w:t>
      </w:r>
    </w:p>
    <w:p w14:paraId="76305C05" w14:textId="77777777" w:rsidR="00477016" w:rsidRDefault="00477016" w:rsidP="00477016">
      <w:pPr>
        <w:pStyle w:val="NormalWeb"/>
        <w:ind w:left="720"/>
      </w:pPr>
      <w:r>
        <w:t>“Dasilva alleges that Potter created a hostile work environment by sexually harassing him…. According to Dasilva, Potter ‘continuously’ told him from 2008 until 2018, ‘I bet you can wear a B-sized bra….’ Potter also allegedly once asked Dasilva how much breast implants cost and once stated, ‘Hey, Dasilva [bet] you can . . . hold this pencil under . . . your breasts</w:t>
      </w:r>
      <w:proofErr w:type="gramStart"/>
      <w:r>
        <w:t>…..</w:t>
      </w:r>
      <w:proofErr w:type="gramEnd"/>
      <w:r>
        <w:t>”’ Dasilva further asserts that Potter retaliated against him for reporting the sexual harassment. *** The Army asserts that Dasilva was not selected for the position of captain because he was less qualified than the candidate who was selected, Shane Biehl…. The three individuals who interviewed and rated Dasilva's abilities when Dasilva applied for the position-Potter, Assistant Chief Adam Todd, and Assistant Chief Lesley Tillman-submitted declarations stating that they did not deem Dasilva qualified for the position…. The rating criteria sheets attached to the declarations show that all three individuals rated Dasilva the second lowest of the eight individuals who applied for the position</w:t>
      </w:r>
      <w:proofErr w:type="gramStart"/>
      <w:r>
        <w:t>…..</w:t>
      </w:r>
      <w:proofErr w:type="gramEnd"/>
      <w:r>
        <w:t xml:space="preserve"> Out of 110 total points, they scored the highest-scoring applicant between 48-52 points higher than Dasilva…. The interview rating sheets attached to the declarations show that Potter and Tillman found that Dasilva did not demonstrate leadership performance skills….Todd's interview rating sheet shows that Todd found that Dasilva lacked evidence of numerous performance skills, including leadership, customer service, motivating others, team building, and ‘planning, prioritizing, and goal setting…..’ It also states that Dasilva ‘does not demonstrate abilities needed to effectively lead at the GS-8 level’ and ‘should continue to improve and work </w:t>
      </w:r>
      <w:proofErr w:type="spellStart"/>
      <w:r>
        <w:t>towar</w:t>
      </w:r>
      <w:proofErr w:type="spellEnd"/>
      <w:r>
        <w:t>[d] engaging in activity to help….’ Defendants' reason for not promoting Dasilva to captain-that he was not qualified-satisfies their burden of proof at this stage.”</w:t>
      </w:r>
    </w:p>
    <w:p w14:paraId="384714F1" w14:textId="77777777" w:rsidR="00477016" w:rsidRPr="000D14A8" w:rsidRDefault="00477016" w:rsidP="00477016">
      <w:pPr>
        <w:pStyle w:val="NormalWeb"/>
        <w:rPr>
          <w:b/>
          <w:bCs/>
        </w:rPr>
      </w:pPr>
      <w:r w:rsidRPr="000D14A8">
        <w:rPr>
          <w:b/>
          <w:bCs/>
        </w:rPr>
        <w:t>Legal Lesson Learned:</w:t>
      </w:r>
      <w:r>
        <w:rPr>
          <w:b/>
          <w:bCs/>
        </w:rPr>
        <w:t xml:space="preserve"> Promotion panel score sheets carry great weight.  FD officers need to be cautious about comments on firefighter appearance – male or female. </w:t>
      </w:r>
    </w:p>
    <w:p w14:paraId="0F43FA98" w14:textId="77777777" w:rsidR="00477016" w:rsidRDefault="00477016" w:rsidP="00EF1133">
      <w:pPr>
        <w:rPr>
          <w:rFonts w:ascii="Arial Black" w:hAnsi="Arial Black"/>
          <w:b/>
          <w:sz w:val="24"/>
          <w:szCs w:val="24"/>
        </w:rPr>
      </w:pPr>
    </w:p>
    <w:p w14:paraId="1CE03F25" w14:textId="3875709E" w:rsidR="00477016" w:rsidRDefault="00477016"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2</w:t>
      </w:r>
    </w:p>
    <w:p w14:paraId="2271E22E" w14:textId="77777777" w:rsidR="00477016" w:rsidRPr="00907F57" w:rsidRDefault="00477016" w:rsidP="00477016">
      <w:pPr>
        <w:pStyle w:val="NormalWeb"/>
        <w:rPr>
          <w:rFonts w:ascii="Arial Black" w:hAnsi="Arial Black"/>
          <w:sz w:val="28"/>
          <w:szCs w:val="28"/>
        </w:rPr>
      </w:pPr>
      <w:bookmarkStart w:id="227" w:name="_Hlk136859401"/>
      <w:r>
        <w:rPr>
          <w:rFonts w:ascii="Arial Black" w:hAnsi="Arial Black"/>
          <w:sz w:val="28"/>
          <w:szCs w:val="28"/>
        </w:rPr>
        <w:t xml:space="preserve">IL: GAY CHICAGO FF – CLAIMS FEMALE MGR. ASKED FOR SEX / HARASSED – CITY SLOW INVEST. - CASE PROCEED </w:t>
      </w:r>
    </w:p>
    <w:bookmarkEnd w:id="227"/>
    <w:p w14:paraId="05FEBEC7" w14:textId="77777777" w:rsidR="00477016" w:rsidRDefault="00477016" w:rsidP="00477016">
      <w:pPr>
        <w:pStyle w:val="NormalWeb"/>
      </w:pPr>
      <w:r>
        <w:t xml:space="preserve">On May 18, 2023, in </w:t>
      </w:r>
      <w:r w:rsidRPr="001D0C15">
        <w:rPr>
          <w:u w:val="single"/>
        </w:rPr>
        <w:t>James Mundo v. City of Chicago and Janice Hogan</w:t>
      </w:r>
      <w:r>
        <w:t xml:space="preserve">, U.S. District Court Judge Matthew F. Kennelly, U.S. District Court for Northern District of Illinois, Eastern Division, denied the City’s motion for summary judgment on firefighter’s asserts a hostile work environment claim under Title VII of the Civil Rights Act of 1964.   The Court described allegations.  </w:t>
      </w:r>
      <w:hyperlink r:id="rId1109" w:history="1">
        <w:r w:rsidRPr="00B93E1E">
          <w:rPr>
            <w:rStyle w:val="Hyperlink"/>
            <w:rFonts w:eastAsiaTheme="majorEastAsia"/>
          </w:rPr>
          <w:t>https://public.fastcase.com/ZZhmr5v9wN%2FXOe5IsQ%2FqD20iR7BWmLId4hSDI3nXqVWgPhPXw%2BQtkDECKs6HrcpaaA0bYVe7yei9SfZEfso10IPB%2B%2BM5XAOSsASvTO6V770%3D?utm_medium=email&amp;_hsmi=226712652&amp;_hsenc=p2ANqtz-8Ok8gGNpyLe8hTDi80EaJgVLaHo-pifPeTe8oohUIZEvo8GKO7wbe6cb01t7sw656xUcVdVRiPGkXPM8qU1b5G_smouQ&amp;utm_content=226712652&amp;utm_source=hs_email</w:t>
        </w:r>
      </w:hyperlink>
      <w:r>
        <w:t xml:space="preserve"> </w:t>
      </w:r>
    </w:p>
    <w:p w14:paraId="18E99763" w14:textId="77777777" w:rsidR="00477016" w:rsidRDefault="00477016" w:rsidP="00477016">
      <w:pPr>
        <w:pStyle w:val="NormalWeb"/>
        <w:ind w:left="720"/>
      </w:pPr>
      <w:r>
        <w:t xml:space="preserve">“On October 5, 2018, Mundo and his husband Dave met with Malec [Steven Malec, the Assistant Commissioner of Internal Affairs] over lunch. During their meeting, Mundo handed Malec a </w:t>
      </w:r>
      <w:proofErr w:type="gramStart"/>
      <w:r>
        <w:t>six page</w:t>
      </w:r>
      <w:proofErr w:type="gramEnd"/>
      <w:r>
        <w:t xml:space="preserve">, typed document listing </w:t>
      </w:r>
      <w:proofErr w:type="gramStart"/>
      <w:r>
        <w:t>a number of</w:t>
      </w:r>
      <w:proofErr w:type="gramEnd"/>
      <w:r>
        <w:t xml:space="preserve"> instances of sexual harassment that he said he had experienced at Hogan's hands. *** The entries range from October 1, </w:t>
      </w:r>
      <w:proofErr w:type="gramStart"/>
      <w:r>
        <w:t>2016</w:t>
      </w:r>
      <w:proofErr w:type="gramEnd"/>
      <w:r>
        <w:t xml:space="preserve"> to October 11, 2018. The reported incidents include, among other things: Hogan repeatedly asking Mundo to have sex with her and to masturbate in front of her (and on one occasion, onto her phone); hitting Mundo over the head; undressing in front of him at least twenty times; making comments about her genitalia and comparing it to a flower; saying that she and Mundo would be perfect together if he wasn't gay; using homophobic slurs; saying that she needed to ‘get laid; and threatening to send Mundo back to the field if he didn't comply with her demands. *** Deputy Commissioner Vasquez and </w:t>
      </w:r>
      <w:proofErr w:type="spellStart"/>
      <w:r>
        <w:t>DeCamp</w:t>
      </w:r>
      <w:proofErr w:type="spellEnd"/>
      <w:r>
        <w:t xml:space="preserve"> did not sit down with Hogan </w:t>
      </w:r>
      <w:r w:rsidRPr="001D0C15">
        <w:t>[Deputy Chief of L</w:t>
      </w:r>
      <w:r>
        <w:t xml:space="preserve">abor Relations Division] until a month after Mundo made his official complaint, and in the interim they allowed her to remain in her then-current position. After their interview, Vasquez and </w:t>
      </w:r>
      <w:proofErr w:type="spellStart"/>
      <w:r>
        <w:t>DeCamp</w:t>
      </w:r>
      <w:proofErr w:type="spellEnd"/>
      <w:r>
        <w:t xml:space="preserve"> allowed Hogan to move back to her career service rank of firefighter/paramedic despite her admission that she had engaged in some of the conduct that Mundo accused her of. Moreover, the EEO Division did not begin conducting interviews </w:t>
      </w:r>
      <w:proofErr w:type="gramStart"/>
      <w:r>
        <w:t>of</w:t>
      </w:r>
      <w:proofErr w:type="gramEnd"/>
      <w:r>
        <w:t xml:space="preserve"> </w:t>
      </w:r>
      <w:proofErr w:type="gramStart"/>
      <w:r>
        <w:t>the parties</w:t>
      </w:r>
      <w:proofErr w:type="gramEnd"/>
      <w:r>
        <w:t xml:space="preserve"> and witnesses until another month after that (December 2018). Nor did the EEO Division complete its investigation until over a year and one-half later, on July 10, 2020. And despite Commander Ford's statement that he found Hogan's conduct to be ‘egregious,’ she did not serve her suspension until almost seven months later, on January 29, 2021. Finally, although Hogan and Mundo ceased working together the very same </w:t>
      </w:r>
      <w:proofErr w:type="gramStart"/>
      <w:r>
        <w:t>day</w:t>
      </w:r>
      <w:proofErr w:type="gramEnd"/>
      <w:r>
        <w:t xml:space="preserve"> he made his complaint to Malec, a reasonable jury could find that was due to Mundo taking medical leave, not any remedial action on the City's part.” </w:t>
      </w:r>
    </w:p>
    <w:p w14:paraId="12B7E07B" w14:textId="77777777" w:rsidR="00477016" w:rsidRPr="00DB7D01" w:rsidRDefault="00477016" w:rsidP="00477016">
      <w:pPr>
        <w:pStyle w:val="NormalWeb"/>
        <w:rPr>
          <w:b/>
          <w:bCs/>
        </w:rPr>
      </w:pPr>
      <w:r w:rsidRPr="00DB7D01">
        <w:rPr>
          <w:b/>
          <w:bCs/>
        </w:rPr>
        <w:t>Legal Lesson Learned:</w:t>
      </w:r>
      <w:r>
        <w:rPr>
          <w:b/>
          <w:bCs/>
        </w:rPr>
        <w:t xml:space="preserve"> Internal complaints </w:t>
      </w:r>
      <w:proofErr w:type="gramStart"/>
      <w:r>
        <w:rPr>
          <w:b/>
          <w:bCs/>
        </w:rPr>
        <w:t>of</w:t>
      </w:r>
      <w:proofErr w:type="gramEnd"/>
      <w:r>
        <w:rPr>
          <w:b/>
          <w:bCs/>
        </w:rPr>
        <w:t xml:space="preserve"> hostile work environment should be promptly investigated and corrective action taken.</w:t>
      </w:r>
    </w:p>
    <w:p w14:paraId="0DDAEAE4" w14:textId="77777777" w:rsidR="00477016" w:rsidRDefault="00477016" w:rsidP="00EF1133">
      <w:pPr>
        <w:rPr>
          <w:rFonts w:ascii="Arial Black" w:hAnsi="Arial Black"/>
          <w:b/>
          <w:sz w:val="24"/>
          <w:szCs w:val="24"/>
        </w:rPr>
      </w:pPr>
    </w:p>
    <w:p w14:paraId="276F88CF" w14:textId="6675FE0D" w:rsidR="007A0E71" w:rsidRDefault="007A0E71" w:rsidP="00EF1133">
      <w:pPr>
        <w:rPr>
          <w:rFonts w:ascii="Arial Black" w:hAnsi="Arial Black"/>
          <w:b/>
          <w:sz w:val="24"/>
          <w:szCs w:val="24"/>
        </w:rPr>
      </w:pPr>
      <w:r>
        <w:rPr>
          <w:rFonts w:ascii="Arial Black" w:hAnsi="Arial Black"/>
          <w:b/>
          <w:sz w:val="24"/>
          <w:szCs w:val="24"/>
        </w:rPr>
        <w:t>6-11</w:t>
      </w:r>
      <w:r w:rsidR="002A0697">
        <w:rPr>
          <w:rFonts w:ascii="Arial Black" w:hAnsi="Arial Black"/>
          <w:b/>
          <w:sz w:val="24"/>
          <w:szCs w:val="24"/>
        </w:rPr>
        <w:t>1</w:t>
      </w:r>
    </w:p>
    <w:p w14:paraId="37BAE7AE" w14:textId="33BCFCED" w:rsidR="007A0E71" w:rsidRPr="00806668" w:rsidRDefault="007A0E71" w:rsidP="007A0E71">
      <w:pPr>
        <w:pStyle w:val="NoSpacing"/>
        <w:rPr>
          <w:rFonts w:ascii="Arial Black" w:hAnsi="Arial Black"/>
          <w:sz w:val="28"/>
          <w:szCs w:val="28"/>
        </w:rPr>
      </w:pPr>
      <w:r w:rsidRPr="00806668">
        <w:rPr>
          <w:rFonts w:ascii="Arial Black" w:hAnsi="Arial Black"/>
          <w:sz w:val="28"/>
          <w:szCs w:val="28"/>
        </w:rPr>
        <w:t>KY</w:t>
      </w:r>
      <w:r w:rsidR="00CF133C">
        <w:rPr>
          <w:rFonts w:ascii="Arial Black" w:hAnsi="Arial Black"/>
          <w:sz w:val="28"/>
          <w:szCs w:val="28"/>
        </w:rPr>
        <w:t xml:space="preserve">: </w:t>
      </w:r>
      <w:r w:rsidRPr="00806668">
        <w:rPr>
          <w:rFonts w:ascii="Arial Black" w:hAnsi="Arial Black"/>
          <w:sz w:val="28"/>
          <w:szCs w:val="28"/>
        </w:rPr>
        <w:t>FF</w:t>
      </w:r>
      <w:r>
        <w:rPr>
          <w:rFonts w:ascii="Arial Black" w:hAnsi="Arial Black"/>
          <w:sz w:val="28"/>
          <w:szCs w:val="28"/>
        </w:rPr>
        <w:t xml:space="preserve"> HAD BOTH KNEES REPLACED – WORK RELATED TRAUMA - PERMANENT PARTIAL D</w:t>
      </w:r>
      <w:r w:rsidRPr="00806668">
        <w:rPr>
          <w:rFonts w:ascii="Arial Black" w:hAnsi="Arial Black"/>
          <w:sz w:val="28"/>
          <w:szCs w:val="28"/>
        </w:rPr>
        <w:t xml:space="preserve">ISABILITY </w:t>
      </w:r>
    </w:p>
    <w:p w14:paraId="1856D14F" w14:textId="77777777" w:rsidR="007A0E71" w:rsidRDefault="007A0E71" w:rsidP="007A0E71">
      <w:pPr>
        <w:pStyle w:val="NoSpacing"/>
      </w:pPr>
    </w:p>
    <w:p w14:paraId="55A88808" w14:textId="77777777" w:rsidR="007A0E71" w:rsidRDefault="007A0E71" w:rsidP="007A0E71">
      <w:pPr>
        <w:pStyle w:val="NoSpacing"/>
        <w:rPr>
          <w:rFonts w:ascii="Times New Roman" w:hAnsi="Times New Roman"/>
          <w:sz w:val="24"/>
          <w:szCs w:val="24"/>
        </w:rPr>
      </w:pPr>
      <w:r w:rsidRPr="003C1643">
        <w:rPr>
          <w:rFonts w:ascii="Times New Roman" w:hAnsi="Times New Roman"/>
          <w:sz w:val="24"/>
          <w:szCs w:val="24"/>
          <w:u w:val="single"/>
        </w:rPr>
        <w:t>Lexington Fayette Urban County Government v. Michael Gosper, et al</w:t>
      </w:r>
      <w:r w:rsidRPr="003C1643">
        <w:rPr>
          <w:rFonts w:ascii="Times New Roman" w:hAnsi="Times New Roman"/>
          <w:sz w:val="24"/>
          <w:szCs w:val="24"/>
        </w:rPr>
        <w:t xml:space="preserve">., Supreme Court of Kentucky, </w:t>
      </w:r>
      <w:hyperlink r:id="rId1110" w:history="1">
        <w:r w:rsidRPr="003C1643">
          <w:rPr>
            <w:rStyle w:val="Hyperlink"/>
            <w:rFonts w:ascii="Times New Roman" w:hAnsi="Times New Roman"/>
            <w:sz w:val="24"/>
            <w:szCs w:val="24"/>
          </w:rPr>
          <w:t>https://casetext.com/case/lexington-fayette-urban-cnty-govt-v-gosper-1</w:t>
        </w:r>
      </w:hyperlink>
      <w:r w:rsidRPr="003C1643">
        <w:rPr>
          <w:rFonts w:ascii="Times New Roman" w:hAnsi="Times New Roman"/>
          <w:sz w:val="24"/>
          <w:szCs w:val="24"/>
        </w:rPr>
        <w:t xml:space="preserve"> </w:t>
      </w:r>
    </w:p>
    <w:p w14:paraId="1926DC56" w14:textId="6DB0242B" w:rsidR="00546A79" w:rsidRPr="003C1643" w:rsidRDefault="00CF133C" w:rsidP="007A0E71">
      <w:pPr>
        <w:pStyle w:val="NoSpacing"/>
        <w:rPr>
          <w:rFonts w:ascii="Times New Roman" w:hAnsi="Times New Roman"/>
          <w:sz w:val="24"/>
          <w:szCs w:val="24"/>
        </w:rPr>
      </w:pPr>
      <w:r>
        <w:rPr>
          <w:rFonts w:ascii="Times New Roman" w:hAnsi="Times New Roman"/>
          <w:sz w:val="24"/>
          <w:szCs w:val="24"/>
        </w:rPr>
        <w:t>4/27/2023</w:t>
      </w:r>
    </w:p>
    <w:p w14:paraId="3D778DEC" w14:textId="77777777" w:rsidR="007A0E71" w:rsidRPr="003C1643" w:rsidRDefault="007A0E71" w:rsidP="007A0E71">
      <w:pPr>
        <w:pStyle w:val="NoSpacing"/>
        <w:rPr>
          <w:rFonts w:ascii="Times New Roman" w:hAnsi="Times New Roman"/>
          <w:sz w:val="24"/>
          <w:szCs w:val="24"/>
        </w:rPr>
      </w:pPr>
    </w:p>
    <w:p w14:paraId="5C421277" w14:textId="77777777" w:rsidR="007A0E71" w:rsidRDefault="007A0E71" w:rsidP="007A0E71">
      <w:pPr>
        <w:pStyle w:val="NormalWeb"/>
        <w:rPr>
          <w:b/>
          <w:bCs/>
        </w:rPr>
      </w:pPr>
      <w:r>
        <w:rPr>
          <w:b/>
          <w:bCs/>
        </w:rPr>
        <w:t xml:space="preserve">Legal Lesson Learned: Testimony concerning 18 years of strenuous on duty activities was important. </w:t>
      </w:r>
    </w:p>
    <w:p w14:paraId="2F99BB80" w14:textId="77777777" w:rsidR="007A0E71" w:rsidRDefault="007A0E71" w:rsidP="00EF1133">
      <w:pPr>
        <w:rPr>
          <w:rFonts w:ascii="Arial Black" w:hAnsi="Arial Black"/>
          <w:b/>
          <w:sz w:val="24"/>
          <w:szCs w:val="24"/>
        </w:rPr>
      </w:pPr>
    </w:p>
    <w:p w14:paraId="0E702D2D" w14:textId="1D09652C" w:rsidR="007A0E71" w:rsidRDefault="007A0E71" w:rsidP="00EF1133">
      <w:pPr>
        <w:rPr>
          <w:rFonts w:ascii="Arial Black" w:hAnsi="Arial Black"/>
          <w:b/>
          <w:sz w:val="24"/>
          <w:szCs w:val="24"/>
        </w:rPr>
      </w:pPr>
      <w:r>
        <w:rPr>
          <w:rFonts w:ascii="Arial Black" w:hAnsi="Arial Black"/>
          <w:b/>
          <w:sz w:val="24"/>
          <w:szCs w:val="24"/>
        </w:rPr>
        <w:t>6-1</w:t>
      </w:r>
      <w:r w:rsidR="00227BDE">
        <w:rPr>
          <w:rFonts w:ascii="Arial Black" w:hAnsi="Arial Black"/>
          <w:b/>
          <w:sz w:val="24"/>
          <w:szCs w:val="24"/>
        </w:rPr>
        <w:t>1</w:t>
      </w:r>
      <w:r w:rsidR="002A0697">
        <w:rPr>
          <w:rFonts w:ascii="Arial Black" w:hAnsi="Arial Black"/>
          <w:b/>
          <w:sz w:val="24"/>
          <w:szCs w:val="24"/>
        </w:rPr>
        <w:t>0</w:t>
      </w:r>
    </w:p>
    <w:p w14:paraId="65F4DD95" w14:textId="33E24254" w:rsidR="007A0E71" w:rsidRPr="000218A8" w:rsidRDefault="007A0E71" w:rsidP="007A0E71">
      <w:pPr>
        <w:pStyle w:val="NoSpacing"/>
        <w:rPr>
          <w:rFonts w:ascii="Arial Black" w:hAnsi="Arial Black"/>
          <w:sz w:val="28"/>
          <w:szCs w:val="28"/>
        </w:rPr>
      </w:pPr>
      <w:r w:rsidRPr="000218A8">
        <w:rPr>
          <w:rFonts w:ascii="Arial Black" w:hAnsi="Arial Black"/>
          <w:sz w:val="28"/>
          <w:szCs w:val="28"/>
        </w:rPr>
        <w:t>TX</w:t>
      </w:r>
      <w:r w:rsidR="00CF133C">
        <w:rPr>
          <w:rFonts w:ascii="Arial Black" w:hAnsi="Arial Black"/>
          <w:sz w:val="28"/>
          <w:szCs w:val="28"/>
        </w:rPr>
        <w:t xml:space="preserve">: </w:t>
      </w:r>
      <w:r w:rsidRPr="000218A8">
        <w:rPr>
          <w:rFonts w:ascii="Arial Black" w:hAnsi="Arial Black"/>
          <w:sz w:val="28"/>
          <w:szCs w:val="28"/>
        </w:rPr>
        <w:t xml:space="preserve">FF NOT HIRED BY SAN ANTONIO FD – </w:t>
      </w:r>
      <w:r>
        <w:rPr>
          <w:rFonts w:ascii="Arial Black" w:hAnsi="Arial Black"/>
          <w:sz w:val="28"/>
          <w:szCs w:val="28"/>
        </w:rPr>
        <w:t>ONLY CITY EMPLOYEES CAN APPEAL CITY</w:t>
      </w:r>
      <w:r w:rsidRPr="000218A8">
        <w:rPr>
          <w:rFonts w:ascii="Arial Black" w:hAnsi="Arial Black"/>
          <w:sz w:val="28"/>
          <w:szCs w:val="28"/>
        </w:rPr>
        <w:t xml:space="preserve"> CIVIL SERVICE COMM.</w:t>
      </w:r>
    </w:p>
    <w:p w14:paraId="7DE57EFB" w14:textId="77777777" w:rsidR="007A0E71" w:rsidRDefault="007A0E71" w:rsidP="007A0E71">
      <w:pPr>
        <w:pStyle w:val="NoSpacing"/>
      </w:pPr>
    </w:p>
    <w:p w14:paraId="68456BED" w14:textId="77777777" w:rsidR="007A0E71" w:rsidRDefault="007A0E71" w:rsidP="007A0E71">
      <w:pPr>
        <w:pStyle w:val="NoSpacing"/>
        <w:rPr>
          <w:rFonts w:ascii="Times New Roman" w:hAnsi="Times New Roman"/>
          <w:sz w:val="24"/>
          <w:szCs w:val="24"/>
        </w:rPr>
      </w:pPr>
      <w:r w:rsidRPr="003C1643">
        <w:rPr>
          <w:rFonts w:ascii="Times New Roman" w:hAnsi="Times New Roman"/>
          <w:sz w:val="24"/>
          <w:szCs w:val="24"/>
          <w:u w:val="single"/>
        </w:rPr>
        <w:t xml:space="preserve">The City of San Antonio Fire Fighters’ </w:t>
      </w:r>
      <w:proofErr w:type="gramStart"/>
      <w:r w:rsidRPr="003C1643">
        <w:rPr>
          <w:rFonts w:ascii="Times New Roman" w:hAnsi="Times New Roman"/>
          <w:sz w:val="24"/>
          <w:szCs w:val="24"/>
          <w:u w:val="single"/>
        </w:rPr>
        <w:t>And</w:t>
      </w:r>
      <w:proofErr w:type="gramEnd"/>
      <w:r w:rsidRPr="003C1643">
        <w:rPr>
          <w:rFonts w:ascii="Times New Roman" w:hAnsi="Times New Roman"/>
          <w:sz w:val="24"/>
          <w:szCs w:val="24"/>
          <w:u w:val="single"/>
        </w:rPr>
        <w:t xml:space="preserve"> Police Officers’ Civil Service Commission, et al. v. Gabriel Saenz</w:t>
      </w:r>
      <w:r w:rsidRPr="003C1643">
        <w:rPr>
          <w:rFonts w:ascii="Times New Roman" w:hAnsi="Times New Roman"/>
          <w:sz w:val="24"/>
          <w:szCs w:val="24"/>
        </w:rPr>
        <w:t xml:space="preserve">, Court of Appeals of Texas, Fourth District, San Antonio. </w:t>
      </w:r>
      <w:hyperlink r:id="rId1111" w:history="1">
        <w:r w:rsidRPr="003C1643">
          <w:rPr>
            <w:rStyle w:val="Hyperlink"/>
            <w:rFonts w:ascii="Times New Roman" w:hAnsi="Times New Roman"/>
            <w:sz w:val="24"/>
            <w:szCs w:val="24"/>
          </w:rPr>
          <w:t>https://law.justia.com/cases/texas/fourth-court-of-appeals/2023/04-22-00347-cv.html</w:t>
        </w:r>
      </w:hyperlink>
      <w:r w:rsidRPr="003C1643">
        <w:rPr>
          <w:rFonts w:ascii="Times New Roman" w:hAnsi="Times New Roman"/>
          <w:sz w:val="24"/>
          <w:szCs w:val="24"/>
        </w:rPr>
        <w:t xml:space="preserve"> </w:t>
      </w:r>
    </w:p>
    <w:p w14:paraId="4E8C2112" w14:textId="6AF60273" w:rsidR="00CF133C" w:rsidRPr="003C1643" w:rsidRDefault="00CF133C" w:rsidP="007A0E71">
      <w:pPr>
        <w:pStyle w:val="NoSpacing"/>
        <w:rPr>
          <w:rFonts w:ascii="Times New Roman" w:hAnsi="Times New Roman"/>
          <w:sz w:val="24"/>
          <w:szCs w:val="24"/>
        </w:rPr>
      </w:pPr>
      <w:r>
        <w:rPr>
          <w:rFonts w:ascii="Times New Roman" w:hAnsi="Times New Roman"/>
          <w:sz w:val="24"/>
          <w:szCs w:val="24"/>
        </w:rPr>
        <w:t>4/27/2023</w:t>
      </w:r>
    </w:p>
    <w:p w14:paraId="764E7DCA" w14:textId="77777777" w:rsidR="007A0E71" w:rsidRDefault="007A0E71" w:rsidP="00EF1133">
      <w:pPr>
        <w:rPr>
          <w:rFonts w:ascii="Arial Black" w:hAnsi="Arial Black"/>
          <w:b/>
          <w:sz w:val="24"/>
          <w:szCs w:val="24"/>
        </w:rPr>
      </w:pPr>
    </w:p>
    <w:p w14:paraId="789FE2D2" w14:textId="77777777" w:rsidR="007A0E71" w:rsidRDefault="007A0E71" w:rsidP="007A0E71">
      <w:pPr>
        <w:pStyle w:val="NormalWeb"/>
        <w:rPr>
          <w:b/>
          <w:bCs/>
        </w:rPr>
      </w:pPr>
      <w:r>
        <w:rPr>
          <w:b/>
          <w:bCs/>
        </w:rPr>
        <w:t xml:space="preserve">Legal Lesson Learned: Civil Service Commission appeals are only for city employees. </w:t>
      </w:r>
    </w:p>
    <w:p w14:paraId="3BBDBA46" w14:textId="77777777" w:rsidR="007A0E71" w:rsidRDefault="007A0E71" w:rsidP="00EF1133">
      <w:pPr>
        <w:rPr>
          <w:rFonts w:ascii="Arial Black" w:hAnsi="Arial Black"/>
          <w:b/>
          <w:sz w:val="24"/>
          <w:szCs w:val="24"/>
        </w:rPr>
      </w:pPr>
    </w:p>
    <w:p w14:paraId="11FAC368" w14:textId="77777777" w:rsidR="007A0E71" w:rsidRDefault="007A0E71" w:rsidP="00EF1133">
      <w:pPr>
        <w:rPr>
          <w:rFonts w:ascii="Arial Black" w:hAnsi="Arial Black"/>
          <w:b/>
          <w:sz w:val="24"/>
          <w:szCs w:val="24"/>
        </w:rPr>
      </w:pPr>
    </w:p>
    <w:p w14:paraId="67FE4841" w14:textId="20EF6AD5" w:rsidR="007A0E71" w:rsidRDefault="007A0E71" w:rsidP="00EF1133">
      <w:pPr>
        <w:rPr>
          <w:rFonts w:ascii="Arial Black" w:hAnsi="Arial Black"/>
          <w:b/>
          <w:sz w:val="24"/>
          <w:szCs w:val="24"/>
        </w:rPr>
      </w:pPr>
      <w:r>
        <w:rPr>
          <w:rFonts w:ascii="Arial Black" w:hAnsi="Arial Black"/>
          <w:b/>
          <w:sz w:val="24"/>
          <w:szCs w:val="24"/>
        </w:rPr>
        <w:t>6-1</w:t>
      </w:r>
      <w:r w:rsidR="00B877B2">
        <w:rPr>
          <w:rFonts w:ascii="Arial Black" w:hAnsi="Arial Black"/>
          <w:b/>
          <w:sz w:val="24"/>
          <w:szCs w:val="24"/>
        </w:rPr>
        <w:t>09</w:t>
      </w:r>
    </w:p>
    <w:p w14:paraId="0DAACF9B" w14:textId="77777777" w:rsidR="007A0E71" w:rsidRPr="009A765C" w:rsidRDefault="007A0E71" w:rsidP="007A0E71">
      <w:pPr>
        <w:pStyle w:val="NoSpacing"/>
        <w:rPr>
          <w:rFonts w:ascii="Arial Black" w:hAnsi="Arial Black"/>
          <w:sz w:val="28"/>
          <w:szCs w:val="28"/>
        </w:rPr>
      </w:pPr>
      <w:r w:rsidRPr="009A765C">
        <w:rPr>
          <w:rFonts w:ascii="Arial Black" w:hAnsi="Arial Black"/>
          <w:sz w:val="28"/>
          <w:szCs w:val="28"/>
        </w:rPr>
        <w:t xml:space="preserve">IL (4/24/2023) – FF - LEUKEMIA – </w:t>
      </w:r>
      <w:r>
        <w:rPr>
          <w:rFonts w:ascii="Arial Black" w:hAnsi="Arial Black"/>
          <w:sz w:val="28"/>
          <w:szCs w:val="28"/>
        </w:rPr>
        <w:t xml:space="preserve">RECEIVES </w:t>
      </w:r>
      <w:r w:rsidRPr="009A765C">
        <w:rPr>
          <w:rFonts w:ascii="Arial Black" w:hAnsi="Arial Black"/>
          <w:sz w:val="28"/>
          <w:szCs w:val="28"/>
        </w:rPr>
        <w:t>LINE OF DUTY DISABILTY PENSION &amp; PAID HEALTH INSURANCE</w:t>
      </w:r>
    </w:p>
    <w:p w14:paraId="6CEB268D" w14:textId="77777777" w:rsidR="007A0E71" w:rsidRDefault="007A0E71" w:rsidP="007A0E71">
      <w:pPr>
        <w:pStyle w:val="NoSpacing"/>
      </w:pPr>
    </w:p>
    <w:p w14:paraId="022ED0F9" w14:textId="5178084E" w:rsidR="007A0E71" w:rsidRDefault="007A0E71" w:rsidP="007A0E71">
      <w:r w:rsidRPr="003C1643">
        <w:rPr>
          <w:rFonts w:ascii="Times New Roman" w:hAnsi="Times New Roman"/>
          <w:sz w:val="24"/>
          <w:szCs w:val="24"/>
          <w:u w:val="single"/>
        </w:rPr>
        <w:t xml:space="preserve">James Ivetic, on behalf of his spouse, Nancy </w:t>
      </w:r>
      <w:proofErr w:type="spellStart"/>
      <w:r w:rsidRPr="003C1643">
        <w:rPr>
          <w:rFonts w:ascii="Times New Roman" w:hAnsi="Times New Roman"/>
          <w:sz w:val="24"/>
          <w:szCs w:val="24"/>
          <w:u w:val="single"/>
        </w:rPr>
        <w:t>Ivetic</w:t>
      </w:r>
      <w:proofErr w:type="spellEnd"/>
      <w:r w:rsidRPr="003C1643">
        <w:rPr>
          <w:rFonts w:ascii="Times New Roman" w:hAnsi="Times New Roman"/>
          <w:sz w:val="24"/>
          <w:szCs w:val="24"/>
          <w:u w:val="single"/>
        </w:rPr>
        <w:t xml:space="preserve"> v. Bensenville Fire Protection District No. 2</w:t>
      </w:r>
      <w:r w:rsidRPr="003C1643">
        <w:rPr>
          <w:rFonts w:ascii="Times New Roman" w:hAnsi="Times New Roman"/>
          <w:sz w:val="24"/>
          <w:szCs w:val="24"/>
        </w:rPr>
        <w:t xml:space="preserve">, Court of Appeals of Illinois, First District, First Division. </w:t>
      </w:r>
      <w:hyperlink r:id="rId1112" w:history="1">
        <w:r w:rsidR="002A0697" w:rsidRPr="00792717">
          <w:rPr>
            <w:rStyle w:val="Hyperlink"/>
            <w:rFonts w:ascii="Times New Roman" w:hAnsi="Times New Roman"/>
            <w:sz w:val="24"/>
            <w:szCs w:val="24"/>
          </w:rPr>
          <w:t>https://ilcourtsaudio.blob.core.windows.net/antilles- resources/resources/467a406e-7cd0-4d26-a9c9-2d169ea7237c/Ivetic%20v.%20Bensenville%20Fire%20Protection%20District%20No.3,%202023%20IL%20App%20(1st)%20220879-U.pdf</w:t>
        </w:r>
      </w:hyperlink>
    </w:p>
    <w:p w14:paraId="4A250EC2" w14:textId="13D1E9C5" w:rsidR="002A0697" w:rsidRDefault="002A0697" w:rsidP="007A0E71">
      <w:pPr>
        <w:rPr>
          <w:rFonts w:ascii="Arial Black" w:hAnsi="Arial Black"/>
          <w:b/>
          <w:sz w:val="24"/>
          <w:szCs w:val="24"/>
        </w:rPr>
      </w:pPr>
      <w:r>
        <w:t>4/24/2023</w:t>
      </w:r>
    </w:p>
    <w:p w14:paraId="3B30B91E" w14:textId="77777777" w:rsidR="007A0E71" w:rsidRPr="003C1643" w:rsidRDefault="007A0E71" w:rsidP="007A0E71">
      <w:pPr>
        <w:pStyle w:val="NormalWeb"/>
        <w:rPr>
          <w:b/>
          <w:bCs/>
        </w:rPr>
      </w:pPr>
      <w:r w:rsidRPr="003C1643">
        <w:rPr>
          <w:b/>
          <w:bCs/>
        </w:rPr>
        <w:t xml:space="preserve">Legal Lesson Learned:  Firefighter entitled to health insurance benefit for him and his wife. </w:t>
      </w:r>
    </w:p>
    <w:p w14:paraId="4020FE30" w14:textId="77777777" w:rsidR="007A0E71" w:rsidRDefault="007A0E71" w:rsidP="00EF1133">
      <w:pPr>
        <w:rPr>
          <w:rFonts w:ascii="Arial Black" w:hAnsi="Arial Black"/>
          <w:b/>
          <w:sz w:val="24"/>
          <w:szCs w:val="24"/>
        </w:rPr>
      </w:pPr>
    </w:p>
    <w:p w14:paraId="64F4A4DB" w14:textId="070A2BB9" w:rsidR="007A0E71" w:rsidRDefault="007A0E71" w:rsidP="00EF1133">
      <w:pPr>
        <w:rPr>
          <w:rFonts w:ascii="Arial Black" w:hAnsi="Arial Black"/>
          <w:b/>
          <w:sz w:val="24"/>
          <w:szCs w:val="24"/>
        </w:rPr>
      </w:pPr>
      <w:r>
        <w:rPr>
          <w:rFonts w:ascii="Arial Black" w:hAnsi="Arial Black"/>
          <w:b/>
          <w:sz w:val="24"/>
          <w:szCs w:val="24"/>
        </w:rPr>
        <w:t>6-10</w:t>
      </w:r>
      <w:r w:rsidR="00B877B2">
        <w:rPr>
          <w:rFonts w:ascii="Arial Black" w:hAnsi="Arial Black"/>
          <w:b/>
          <w:sz w:val="24"/>
          <w:szCs w:val="24"/>
        </w:rPr>
        <w:t>8</w:t>
      </w:r>
    </w:p>
    <w:p w14:paraId="1803F61E" w14:textId="17EC8C9E" w:rsidR="007A0E71" w:rsidRPr="00A23E14" w:rsidRDefault="007A0E71" w:rsidP="007A0E71">
      <w:pPr>
        <w:pStyle w:val="NoSpacing"/>
        <w:rPr>
          <w:rFonts w:ascii="Arial Black" w:hAnsi="Arial Black"/>
          <w:sz w:val="28"/>
          <w:szCs w:val="28"/>
        </w:rPr>
      </w:pPr>
      <w:r w:rsidRPr="00A23E14">
        <w:rPr>
          <w:rFonts w:ascii="Arial Black" w:hAnsi="Arial Black"/>
          <w:sz w:val="28"/>
          <w:szCs w:val="28"/>
        </w:rPr>
        <w:t>PA</w:t>
      </w:r>
      <w:r w:rsidR="00B877B2">
        <w:rPr>
          <w:rFonts w:ascii="Arial Black" w:hAnsi="Arial Black"/>
          <w:sz w:val="28"/>
          <w:szCs w:val="28"/>
        </w:rPr>
        <w:t xml:space="preserve">: </w:t>
      </w:r>
      <w:r w:rsidRPr="00A23E14">
        <w:rPr>
          <w:rFonts w:ascii="Arial Black" w:hAnsi="Arial Black"/>
          <w:sz w:val="28"/>
          <w:szCs w:val="28"/>
        </w:rPr>
        <w:t xml:space="preserve">FF RIGHT SHOULDER </w:t>
      </w:r>
      <w:r>
        <w:rPr>
          <w:rFonts w:ascii="Arial Black" w:hAnsi="Arial Black"/>
          <w:sz w:val="28"/>
          <w:szCs w:val="28"/>
        </w:rPr>
        <w:t xml:space="preserve">INJURY </w:t>
      </w:r>
      <w:r w:rsidRPr="00A23E14">
        <w:rPr>
          <w:rFonts w:ascii="Arial Black" w:hAnsi="Arial Black"/>
          <w:sz w:val="28"/>
          <w:szCs w:val="28"/>
        </w:rPr>
        <w:t xml:space="preserve">– LIGHT DUTY UNTIL </w:t>
      </w:r>
      <w:r>
        <w:rPr>
          <w:rFonts w:ascii="Arial Black" w:hAnsi="Arial Black"/>
          <w:sz w:val="28"/>
          <w:szCs w:val="28"/>
        </w:rPr>
        <w:t xml:space="preserve">FELT HE HAD </w:t>
      </w:r>
      <w:r w:rsidRPr="00A23E14">
        <w:rPr>
          <w:rFonts w:ascii="Arial Black" w:hAnsi="Arial Black"/>
          <w:sz w:val="28"/>
          <w:szCs w:val="28"/>
        </w:rPr>
        <w:t>RETIRE</w:t>
      </w:r>
      <w:r>
        <w:rPr>
          <w:rFonts w:ascii="Arial Black" w:hAnsi="Arial Black"/>
          <w:sz w:val="28"/>
          <w:szCs w:val="28"/>
        </w:rPr>
        <w:t xml:space="preserve"> – DISABILITY BENEFITS </w:t>
      </w:r>
    </w:p>
    <w:p w14:paraId="6B058F79" w14:textId="77777777" w:rsidR="007A0E71" w:rsidRDefault="007A0E71" w:rsidP="007A0E71">
      <w:pPr>
        <w:pStyle w:val="NoSpacing"/>
      </w:pPr>
    </w:p>
    <w:p w14:paraId="4F5E0619" w14:textId="77777777" w:rsidR="007A0E71" w:rsidRPr="003C1643" w:rsidRDefault="007A0E71" w:rsidP="007A0E71">
      <w:pPr>
        <w:pStyle w:val="NoSpacing"/>
        <w:rPr>
          <w:rFonts w:ascii="Times New Roman" w:hAnsi="Times New Roman"/>
          <w:sz w:val="24"/>
          <w:szCs w:val="24"/>
        </w:rPr>
      </w:pPr>
      <w:r w:rsidRPr="003C1643">
        <w:rPr>
          <w:rFonts w:ascii="Times New Roman" w:hAnsi="Times New Roman"/>
          <w:sz w:val="24"/>
          <w:szCs w:val="24"/>
          <w:u w:val="single"/>
        </w:rPr>
        <w:t>City of Wilkes-Barre v. Thomas Snyder (Workers’ Compensation Appeal Board)</w:t>
      </w:r>
      <w:r w:rsidRPr="003C1643">
        <w:rPr>
          <w:rFonts w:ascii="Times New Roman" w:hAnsi="Times New Roman"/>
          <w:sz w:val="24"/>
          <w:szCs w:val="24"/>
        </w:rPr>
        <w:t xml:space="preserve">, Commonwealth Court of Pennsylvania. </w:t>
      </w:r>
      <w:hyperlink r:id="rId1113" w:history="1">
        <w:r w:rsidRPr="003C1643">
          <w:rPr>
            <w:rStyle w:val="Hyperlink"/>
            <w:rFonts w:ascii="Times New Roman" w:hAnsi="Times New Roman"/>
            <w:sz w:val="24"/>
            <w:szCs w:val="24"/>
          </w:rPr>
          <w:t>https://casetext.com/case/city-of-wilkes-barre-v-snyder</w:t>
        </w:r>
      </w:hyperlink>
      <w:r w:rsidRPr="003C1643">
        <w:rPr>
          <w:rFonts w:ascii="Times New Roman" w:hAnsi="Times New Roman"/>
          <w:sz w:val="24"/>
          <w:szCs w:val="24"/>
        </w:rPr>
        <w:t xml:space="preserve"> </w:t>
      </w:r>
    </w:p>
    <w:p w14:paraId="651CD1B5" w14:textId="478AD09D" w:rsidR="007A0E71" w:rsidRPr="003C1643" w:rsidRDefault="007A0E71" w:rsidP="007A0E71">
      <w:pPr>
        <w:pStyle w:val="NoSpacing"/>
        <w:rPr>
          <w:rFonts w:ascii="Times New Roman" w:hAnsi="Times New Roman"/>
          <w:sz w:val="24"/>
          <w:szCs w:val="24"/>
        </w:rPr>
      </w:pPr>
      <w:r w:rsidRPr="003C1643">
        <w:rPr>
          <w:rFonts w:ascii="Times New Roman" w:hAnsi="Times New Roman"/>
          <w:sz w:val="24"/>
          <w:szCs w:val="24"/>
        </w:rPr>
        <w:t>[Unpublished Decision.]</w:t>
      </w:r>
      <w:r w:rsidR="00B877B2">
        <w:rPr>
          <w:rFonts w:ascii="Times New Roman" w:hAnsi="Times New Roman"/>
          <w:sz w:val="24"/>
          <w:szCs w:val="24"/>
        </w:rPr>
        <w:t xml:space="preserve"> 4/20/2023</w:t>
      </w:r>
    </w:p>
    <w:p w14:paraId="499A7814" w14:textId="77777777" w:rsidR="007A0E71" w:rsidRDefault="007A0E71" w:rsidP="00EF1133">
      <w:pPr>
        <w:rPr>
          <w:rFonts w:ascii="Arial Black" w:hAnsi="Arial Black"/>
          <w:b/>
          <w:sz w:val="24"/>
          <w:szCs w:val="24"/>
        </w:rPr>
      </w:pPr>
    </w:p>
    <w:p w14:paraId="74918EA5" w14:textId="77777777" w:rsidR="007A0E71" w:rsidRPr="003C1643" w:rsidRDefault="007A0E71" w:rsidP="007A0E71">
      <w:pPr>
        <w:pStyle w:val="NoSpacing"/>
        <w:rPr>
          <w:rFonts w:ascii="Times New Roman" w:hAnsi="Times New Roman"/>
          <w:b/>
          <w:bCs/>
          <w:sz w:val="24"/>
          <w:szCs w:val="24"/>
        </w:rPr>
      </w:pPr>
      <w:r w:rsidRPr="003C1643">
        <w:rPr>
          <w:rFonts w:ascii="Times New Roman" w:hAnsi="Times New Roman"/>
          <w:b/>
          <w:bCs/>
          <w:sz w:val="24"/>
          <w:szCs w:val="24"/>
        </w:rPr>
        <w:t xml:space="preserve">Legal Lesson Learned:  If injury will not allow you to return full duty, document with management the need for disability retirement. </w:t>
      </w:r>
    </w:p>
    <w:p w14:paraId="337A440E" w14:textId="77777777" w:rsidR="007A0E71" w:rsidRDefault="007A0E71" w:rsidP="00EF1133">
      <w:pPr>
        <w:rPr>
          <w:rFonts w:ascii="Arial Black" w:hAnsi="Arial Black"/>
          <w:b/>
          <w:sz w:val="24"/>
          <w:szCs w:val="24"/>
        </w:rPr>
      </w:pPr>
    </w:p>
    <w:p w14:paraId="2F7A68ED" w14:textId="7B4FA9D4" w:rsidR="007A0E71" w:rsidRDefault="007A0E71"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7</w:t>
      </w:r>
    </w:p>
    <w:p w14:paraId="7901C0E7" w14:textId="77777777" w:rsidR="00B877B2" w:rsidRDefault="007A0E71" w:rsidP="007A0E71">
      <w:pPr>
        <w:pStyle w:val="NoSpacing"/>
        <w:rPr>
          <w:rFonts w:ascii="Arial Black" w:hAnsi="Arial Black"/>
          <w:sz w:val="28"/>
          <w:szCs w:val="28"/>
        </w:rPr>
      </w:pPr>
      <w:r w:rsidRPr="00811A7B">
        <w:rPr>
          <w:rFonts w:ascii="Arial Black" w:hAnsi="Arial Black"/>
          <w:sz w:val="28"/>
          <w:szCs w:val="28"/>
        </w:rPr>
        <w:t>NY</w:t>
      </w:r>
      <w:r w:rsidR="00FF7C63">
        <w:rPr>
          <w:rFonts w:ascii="Arial Black" w:hAnsi="Arial Black"/>
          <w:sz w:val="28"/>
          <w:szCs w:val="28"/>
        </w:rPr>
        <w:t xml:space="preserve">: </w:t>
      </w:r>
    </w:p>
    <w:p w14:paraId="72A4DAD9" w14:textId="180BD2F1" w:rsidR="007A0E71" w:rsidRPr="00811A7B" w:rsidRDefault="007A0E71" w:rsidP="007A0E71">
      <w:pPr>
        <w:pStyle w:val="NoSpacing"/>
        <w:rPr>
          <w:rFonts w:ascii="Arial Black" w:hAnsi="Arial Black"/>
          <w:sz w:val="28"/>
          <w:szCs w:val="28"/>
        </w:rPr>
      </w:pPr>
      <w:r w:rsidRPr="00811A7B">
        <w:rPr>
          <w:rFonts w:ascii="Arial Black" w:hAnsi="Arial Black"/>
          <w:sz w:val="28"/>
          <w:szCs w:val="28"/>
        </w:rPr>
        <w:t xml:space="preserve">FDNY – </w:t>
      </w:r>
      <w:r>
        <w:rPr>
          <w:rFonts w:ascii="Arial Black" w:hAnsi="Arial Black"/>
          <w:sz w:val="28"/>
          <w:szCs w:val="28"/>
        </w:rPr>
        <w:t xml:space="preserve">HIP </w:t>
      </w:r>
      <w:r w:rsidRPr="00811A7B">
        <w:rPr>
          <w:rFonts w:ascii="Arial Black" w:hAnsi="Arial Black"/>
          <w:sz w:val="28"/>
          <w:szCs w:val="28"/>
        </w:rPr>
        <w:t xml:space="preserve">INJURY AT FIRE </w:t>
      </w:r>
      <w:r>
        <w:rPr>
          <w:rFonts w:ascii="Arial Black" w:hAnsi="Arial Black"/>
          <w:sz w:val="28"/>
          <w:szCs w:val="28"/>
        </w:rPr>
        <w:t>–</w:t>
      </w:r>
      <w:r w:rsidRPr="00811A7B">
        <w:rPr>
          <w:rFonts w:ascii="Arial Black" w:hAnsi="Arial Black"/>
          <w:sz w:val="28"/>
          <w:szCs w:val="28"/>
        </w:rPr>
        <w:t xml:space="preserve"> </w:t>
      </w:r>
      <w:r>
        <w:rPr>
          <w:rFonts w:ascii="Arial Black" w:hAnsi="Arial Black"/>
          <w:sz w:val="28"/>
          <w:szCs w:val="28"/>
        </w:rPr>
        <w:t xml:space="preserve">ORDINARY DISABILITY - </w:t>
      </w:r>
      <w:r w:rsidRPr="00811A7B">
        <w:rPr>
          <w:rFonts w:ascii="Arial Black" w:hAnsi="Arial Black"/>
          <w:sz w:val="28"/>
          <w:szCs w:val="28"/>
        </w:rPr>
        <w:t>NO</w:t>
      </w:r>
      <w:r>
        <w:rPr>
          <w:rFonts w:ascii="Arial Black" w:hAnsi="Arial Black"/>
          <w:sz w:val="28"/>
          <w:szCs w:val="28"/>
        </w:rPr>
        <w:t>T</w:t>
      </w:r>
      <w:r w:rsidRPr="00811A7B">
        <w:rPr>
          <w:rFonts w:ascii="Arial Black" w:hAnsi="Arial Black"/>
          <w:sz w:val="28"/>
          <w:szCs w:val="28"/>
        </w:rPr>
        <w:t xml:space="preserve"> ACCIDENTAL DISAB</w:t>
      </w:r>
      <w:r>
        <w:rPr>
          <w:rFonts w:ascii="Arial Black" w:hAnsi="Arial Black"/>
          <w:sz w:val="28"/>
          <w:szCs w:val="28"/>
        </w:rPr>
        <w:t xml:space="preserve"> - </w:t>
      </w:r>
      <w:r w:rsidRPr="00811A7B">
        <w:rPr>
          <w:rFonts w:ascii="Arial Black" w:hAnsi="Arial Black"/>
          <w:sz w:val="28"/>
          <w:szCs w:val="28"/>
        </w:rPr>
        <w:t xml:space="preserve">DEGENERATIVE </w:t>
      </w:r>
      <w:r>
        <w:rPr>
          <w:rFonts w:ascii="Arial Black" w:hAnsi="Arial Black"/>
          <w:sz w:val="28"/>
          <w:szCs w:val="28"/>
        </w:rPr>
        <w:t>HIP</w:t>
      </w:r>
    </w:p>
    <w:p w14:paraId="396C9EAF" w14:textId="77777777" w:rsidR="007A0E71" w:rsidRDefault="007A0E71" w:rsidP="007A0E71">
      <w:pPr>
        <w:pStyle w:val="NoSpacing"/>
      </w:pPr>
    </w:p>
    <w:p w14:paraId="17107020" w14:textId="77777777" w:rsidR="007A0E71" w:rsidRPr="003C1643" w:rsidRDefault="007A0E71" w:rsidP="007A0E71">
      <w:pPr>
        <w:pStyle w:val="NoSpacing"/>
        <w:rPr>
          <w:rFonts w:ascii="Times New Roman" w:hAnsi="Times New Roman"/>
          <w:sz w:val="24"/>
          <w:szCs w:val="24"/>
        </w:rPr>
      </w:pPr>
      <w:r w:rsidRPr="003C1643">
        <w:rPr>
          <w:rFonts w:ascii="Times New Roman" w:hAnsi="Times New Roman"/>
          <w:sz w:val="24"/>
          <w:szCs w:val="24"/>
          <w:u w:val="single"/>
        </w:rPr>
        <w:t>Kevin Barnabee v. The New York City Fire Pension Fund, et al</w:t>
      </w:r>
      <w:r w:rsidRPr="003C1643">
        <w:rPr>
          <w:rFonts w:ascii="Times New Roman" w:hAnsi="Times New Roman"/>
          <w:sz w:val="24"/>
          <w:szCs w:val="24"/>
        </w:rPr>
        <w:t xml:space="preserve">., Supreme Court, New York County. </w:t>
      </w:r>
      <w:hyperlink r:id="rId1114" w:history="1">
        <w:r w:rsidRPr="003C1643">
          <w:rPr>
            <w:rStyle w:val="Hyperlink"/>
            <w:rFonts w:ascii="Times New Roman" w:hAnsi="Times New Roman"/>
            <w:sz w:val="24"/>
            <w:szCs w:val="24"/>
          </w:rPr>
          <w:t>https://casetext.com/case/barnabee-v-the-nyc-fire-pension-fund</w:t>
        </w:r>
      </w:hyperlink>
      <w:r w:rsidRPr="003C1643">
        <w:rPr>
          <w:rFonts w:ascii="Times New Roman" w:hAnsi="Times New Roman"/>
          <w:sz w:val="24"/>
          <w:szCs w:val="24"/>
        </w:rPr>
        <w:t xml:space="preserve"> </w:t>
      </w:r>
    </w:p>
    <w:p w14:paraId="6CAA3937" w14:textId="2EB8A533" w:rsidR="007A0E71" w:rsidRPr="003C1643" w:rsidRDefault="00FF7C63" w:rsidP="007A0E71">
      <w:pPr>
        <w:pStyle w:val="NoSpacing"/>
        <w:rPr>
          <w:rFonts w:ascii="Times New Roman" w:hAnsi="Times New Roman"/>
          <w:sz w:val="24"/>
          <w:szCs w:val="24"/>
        </w:rPr>
      </w:pPr>
      <w:r>
        <w:rPr>
          <w:rFonts w:ascii="Times New Roman" w:hAnsi="Times New Roman"/>
          <w:sz w:val="24"/>
          <w:szCs w:val="24"/>
        </w:rPr>
        <w:t>4/10/2023</w:t>
      </w:r>
    </w:p>
    <w:p w14:paraId="106CBA1F" w14:textId="77777777" w:rsidR="00227BDE" w:rsidRPr="003C1643" w:rsidRDefault="00227BDE" w:rsidP="00227BDE">
      <w:pPr>
        <w:pStyle w:val="NormalWeb"/>
        <w:rPr>
          <w:b/>
          <w:bCs/>
        </w:rPr>
      </w:pPr>
      <w:r w:rsidRPr="003C1643">
        <w:rPr>
          <w:b/>
          <w:bCs/>
        </w:rPr>
        <w:t xml:space="preserve">Legal Lesson Learned: Degenerative hip medical history does not qualify for accidental disability benefits. </w:t>
      </w:r>
    </w:p>
    <w:p w14:paraId="3E98453C" w14:textId="77777777" w:rsidR="007A0E71" w:rsidRDefault="007A0E71" w:rsidP="00EF1133">
      <w:pPr>
        <w:rPr>
          <w:rFonts w:ascii="Arial Black" w:hAnsi="Arial Black"/>
          <w:b/>
          <w:sz w:val="24"/>
          <w:szCs w:val="24"/>
        </w:rPr>
      </w:pPr>
    </w:p>
    <w:p w14:paraId="233259AC" w14:textId="77777777" w:rsidR="007A0E71" w:rsidRDefault="007A0E71" w:rsidP="00EF1133">
      <w:pPr>
        <w:rPr>
          <w:rFonts w:ascii="Arial Black" w:hAnsi="Arial Black"/>
          <w:b/>
          <w:sz w:val="24"/>
          <w:szCs w:val="24"/>
        </w:rPr>
      </w:pPr>
    </w:p>
    <w:p w14:paraId="1F029A0F" w14:textId="7AFD8C3F" w:rsidR="003F788B" w:rsidRDefault="003F788B"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6</w:t>
      </w:r>
    </w:p>
    <w:p w14:paraId="129A4EBF" w14:textId="77777777" w:rsidR="003F788B" w:rsidRDefault="003F788B" w:rsidP="003F788B">
      <w:pPr>
        <w:pStyle w:val="NormalWeb"/>
        <w:rPr>
          <w:rFonts w:ascii="Arial Black" w:hAnsi="Arial Black"/>
          <w:sz w:val="28"/>
          <w:szCs w:val="28"/>
        </w:rPr>
      </w:pPr>
      <w:r>
        <w:rPr>
          <w:rFonts w:ascii="Arial Black" w:hAnsi="Arial Black"/>
          <w:sz w:val="28"/>
          <w:szCs w:val="28"/>
        </w:rPr>
        <w:t xml:space="preserve">IL: PART-TIME FF – CLAIMED RETALIATION FOR SUPPORTING MAYOR’S OPPONENT IN 2005 – NO CASE  </w:t>
      </w:r>
    </w:p>
    <w:p w14:paraId="44CB9ED2" w14:textId="77777777" w:rsidR="003F788B" w:rsidRDefault="003F788B" w:rsidP="003F788B">
      <w:pPr>
        <w:pStyle w:val="NormalWeb"/>
      </w:pPr>
      <w:r>
        <w:t xml:space="preserve">On March 30, 2023, in </w:t>
      </w:r>
      <w:r>
        <w:rPr>
          <w:u w:val="single"/>
        </w:rPr>
        <w:t>Brian E. Carroll v. City of Oak Forest</w:t>
      </w:r>
      <w:r>
        <w:t xml:space="preserve">, U.S. District Court Judge L. Jorge Alonso, U.S., District Court for Northern District of Illinois, Eastern District, granted the City’s motion for summary judgment; insufficient evidence of “retaliation because of his political activities while he was employed as a part-time firefighter with the City of Oak Forest.” </w:t>
      </w:r>
    </w:p>
    <w:p w14:paraId="5298C949" w14:textId="77777777" w:rsidR="003F788B" w:rsidRDefault="003F788B" w:rsidP="003F788B">
      <w:pPr>
        <w:pStyle w:val="NormalWeb"/>
        <w:ind w:left="720"/>
      </w:pPr>
      <w:r>
        <w:t xml:space="preserve">The Court described his claims: “In 2005, Carroll and his father, Edward Carroll, campaigned for a candidate running against JoAnn Kelly, one of the mayoral candidates for the City of Oak Forest at that time. Edward Carroll was an outspoken member of the Oak Forest political community who served as an alderman and a three-term commissioner of the Oak Forest Board of Fire and Police Commissioners (hereafter the ‘Board’)….Carroll claims that, because of his campaigning and political affiliations, he has been harassed and retaliated against while working as a part-time firefighter with the Oak Forest Fire Department. To wit, he claims that he was subjected to general harassment within the department; made fun of for his reaction to his mother passing away in 2006; threatened with ‘blackballing,’ termination, and other reprimands; not allowed to join the South Suburban Emergency Response Team; refused accommodations for light-duty work after an injury in 2019; and refused additional hours for part-time firefighters in the department in 2019.”  He also claimed he was improperly denied an opportunity to take full-time exam in 2018 (he was not eligible; over age 35), having failed 2014 written exam.  </w:t>
      </w:r>
      <w:hyperlink r:id="rId1115" w:history="1">
        <w:r>
          <w:rPr>
            <w:rStyle w:val="Hyperlink"/>
          </w:rPr>
          <w:t>https://public.fastcase.com/J%2FJP6pdidelsXxEE4k%2BLMqXEJeUJZsYN8XwYWOyUlC0GPh%2F%2Bwkq0xl5anyRaTE9QaHRZkEBmW2yHOKZORN4PlxYhmnon1IB%2FHyIvmx43UH0%3D?utm_medium=email&amp;_hsmi=226712652&amp;_hsenc=p2ANqtz-9rfqpJ9UH1QBxXvlnF05ow2K3pkk0BVnTTX6Sp6SY3f-pdahd0e2LayjJ1D5QImVRxXi3oa7lL84FVoA8yZRWqxdZ-pA&amp;utm_content=226712652&amp;utm_source=hs_email</w:t>
        </w:r>
      </w:hyperlink>
      <w:r>
        <w:t xml:space="preserve"> </w:t>
      </w:r>
    </w:p>
    <w:p w14:paraId="4A6EDE0B" w14:textId="77777777" w:rsidR="003F788B" w:rsidRDefault="003F788B" w:rsidP="003F788B">
      <w:pPr>
        <w:pStyle w:val="NormalWeb"/>
        <w:ind w:left="720"/>
      </w:pPr>
      <w:r>
        <w:t>“Even if the Court reached the merits, however, Carroll does not come forward with sufficient evidence to sustain a First Amendment claim based on the alleged pre-2017 acts of retaliation. For starters, his claim about general harassment is too vague to survive summary judgment.</w:t>
      </w:r>
    </w:p>
    <w:p w14:paraId="1A4934C0" w14:textId="77777777" w:rsidR="003F788B" w:rsidRDefault="003F788B" w:rsidP="003F788B">
      <w:pPr>
        <w:pStyle w:val="NormalWeb"/>
        <w:ind w:left="720"/>
      </w:pPr>
      <w:r>
        <w:t>***</w:t>
      </w:r>
    </w:p>
    <w:p w14:paraId="05795AAF" w14:textId="77777777" w:rsidR="003F788B" w:rsidRDefault="003F788B" w:rsidP="003F788B">
      <w:pPr>
        <w:pStyle w:val="NormalWeb"/>
        <w:ind w:left="720"/>
      </w:pPr>
      <w:r>
        <w:t xml:space="preserve">Likewise, the record does not demonstrate any retaliation related to the 2014 firefighter exam. Any such claim suffers from a causation deficiency because the Board allowed Carroll to sit for the exam and he did not pass it because he failed the written portion. He does not dispute that he failed the written portion or assert that the Board purposefully failed him because of his political activities. Instead, he claims that comments directed toward him by Nagel “rattled” him and prevented him from passing the written portion of the test. But the Court finds that no reasonable juror could infer that he failed to pass the exam because of Nagel's comment, even if the comment was rude or disparaging. </w:t>
      </w:r>
      <w:r>
        <w:rPr>
          <w:rStyle w:val="Emphasis"/>
        </w:rPr>
        <w:t>See Riley v. City of Kokomo</w:t>
      </w:r>
      <w:r>
        <w:t>, 909 F.3d 182, 192 (7th Cir. 2018) (declining to draw an unreasonable inference at summary judgment).”</w:t>
      </w:r>
    </w:p>
    <w:p w14:paraId="1B989024" w14:textId="77777777" w:rsidR="003F788B" w:rsidRDefault="003F788B" w:rsidP="003F788B">
      <w:pPr>
        <w:pStyle w:val="NormalWeb"/>
        <w:rPr>
          <w:b/>
          <w:bCs/>
        </w:rPr>
      </w:pPr>
      <w:r>
        <w:rPr>
          <w:b/>
          <w:bCs/>
        </w:rPr>
        <w:t xml:space="preserve">Legal Lesson Learned: The plaintiff failed to prove retaliation for his 2005 political activities; his allegations of harassment were too vague.  </w:t>
      </w:r>
    </w:p>
    <w:p w14:paraId="46DE8121" w14:textId="77777777" w:rsidR="003F788B" w:rsidRDefault="003F788B" w:rsidP="003F788B">
      <w:pPr>
        <w:pStyle w:val="NormalWeb"/>
      </w:pPr>
    </w:p>
    <w:p w14:paraId="3D3AC4BD" w14:textId="4154263D" w:rsidR="003F788B" w:rsidRDefault="003F788B"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5</w:t>
      </w:r>
    </w:p>
    <w:p w14:paraId="79E86101" w14:textId="77777777" w:rsidR="003F788B" w:rsidRDefault="003F788B" w:rsidP="003F788B">
      <w:pPr>
        <w:pStyle w:val="NormalWeb"/>
        <w:rPr>
          <w:rFonts w:ascii="Arial Black" w:hAnsi="Arial Black"/>
          <w:sz w:val="28"/>
          <w:szCs w:val="28"/>
        </w:rPr>
      </w:pPr>
      <w:r>
        <w:rPr>
          <w:rFonts w:ascii="Arial Black" w:hAnsi="Arial Black"/>
          <w:sz w:val="28"/>
          <w:szCs w:val="28"/>
        </w:rPr>
        <w:t>IL:  FF STROKE – GETS ON DUTY DISABILITY PENSION – BLOOD THINNER 3 YRS PRIOR – STATUTORY PRESUMPTION</w:t>
      </w:r>
    </w:p>
    <w:p w14:paraId="62DE527B" w14:textId="77777777" w:rsidR="003F788B" w:rsidRDefault="003F788B" w:rsidP="003F788B">
      <w:pPr>
        <w:pStyle w:val="NormalWeb"/>
      </w:pPr>
      <w:r>
        <w:t xml:space="preserve">On March 22, 2023, in </w:t>
      </w:r>
      <w:r>
        <w:rPr>
          <w:u w:val="single"/>
        </w:rPr>
        <w:t>The City of East Peoria, Illinois v. Charles Melton II</w:t>
      </w:r>
      <w:r>
        <w:t xml:space="preserve">, the Court of Appeals of Illinois, Fourth District, upheld the decision of the Board of Trustees of the Firefighter’s Pension Fund of the City of East Peoria, which voted “three to two in favor of an oral motion to find that the disability resulted from service as a firefighter, entitling him to an       occupational disease disability pension.” Lieutenant Melton (age 56) was at home on March 11, </w:t>
      </w:r>
      <w:proofErr w:type="gramStart"/>
      <w:r>
        <w:t>2020</w:t>
      </w:r>
      <w:proofErr w:type="gramEnd"/>
      <w:r>
        <w:t xml:space="preserve"> and suffered right cerebellar ischemic stroke and has fully recovered but must remain on blood thinner rest of his life. Per NFPA 1582, he was not allowed to return to full duty for one year, and FD had no light duty. On July 8, 2020, he applied for an occupational disease disability pension. The Pension Board majority vote relied on report of one of three Independent Medical Experts who reviewed his file (none did physical exam or testified before the Board) that "one cannot discount the cumulative effects of active-duty firefighting in regard to his stroke."  The City </w:t>
      </w:r>
      <w:proofErr w:type="gramStart"/>
      <w:r>
        <w:t>appealed</w:t>
      </w:r>
      <w:proofErr w:type="gramEnd"/>
      <w:r>
        <w:t xml:space="preserve"> the Pension Board’s decision. </w:t>
      </w:r>
    </w:p>
    <w:p w14:paraId="060F20EA" w14:textId="77777777" w:rsidR="003F788B" w:rsidRDefault="003F788B" w:rsidP="003F788B">
      <w:pPr>
        <w:pStyle w:val="NormalWeb"/>
      </w:pPr>
      <w:r>
        <w:t xml:space="preserve">The Court of Appeals ruled </w:t>
      </w:r>
      <w:proofErr w:type="gramStart"/>
      <w:r>
        <w:t>the</w:t>
      </w:r>
      <w:proofErr w:type="gramEnd"/>
      <w:r>
        <w:t xml:space="preserve"> Independent Medical Experts were not required by state law to physically examine the firefighter.  The Court also held he was entitled to a work-related disability pension, referencing state statutory presumption statute.  </w:t>
      </w:r>
    </w:p>
    <w:p w14:paraId="0D6E5786" w14:textId="77777777" w:rsidR="003F788B" w:rsidRDefault="003F788B" w:rsidP="003F788B">
      <w:pPr>
        <w:pStyle w:val="NormalWeb"/>
        <w:ind w:left="720"/>
      </w:pPr>
      <w:r>
        <w:t xml:space="preserve">“We conclude that the Board's finding that Melton's stroke resulted from his ‘service as a firefighter’ was not against the manifest weight of the evidence.”  *** Melton himself does not dispute that he had numerous preexisting conditions that could have contributed to the stroke. However, a firefighter is ‘not required to prove that a duty-related accident or illness was the primary or originating cause of his disability; rather, he only needed to prove that a duty-related accident or illness aggravated, contributed, or exacerbated his disability.’ </w:t>
      </w:r>
      <w:r>
        <w:rPr>
          <w:rStyle w:val="Emphasis"/>
        </w:rPr>
        <w:t>Covello v. Village of Schaumburg Firefighters' Pension Fund</w:t>
      </w:r>
      <w:r>
        <w:t xml:space="preserve">, 2018 IL App (1st) 172350, ¶ 43. In other words, Melton did not have to prove that his stroke resulted solely from his firefighting duties. Though the City disputes that Melton demonstrated that he was subject to hazardous work conditions, Melton testified that his duties included being on firefighting calls and that he performed </w:t>
      </w:r>
      <w:proofErr w:type="gramStart"/>
      <w:r>
        <w:t>all of</w:t>
      </w:r>
      <w:proofErr w:type="gramEnd"/>
      <w:r>
        <w:t xml:space="preserve"> the duties listed in the job description for his position. The occupational disease disability statute itself, section 4-110.1, includes legislative findings that firefighters are exposed to dangerous conditions </w:t>
      </w:r>
      <w:proofErr w:type="gramStart"/>
      <w:r>
        <w:t>as a result of</w:t>
      </w:r>
      <w:proofErr w:type="gramEnd"/>
      <w:r>
        <w:t xml:space="preserve"> their employment. See also </w:t>
      </w:r>
      <w:r>
        <w:rPr>
          <w:rStyle w:val="Emphasis"/>
        </w:rPr>
        <w:t>Bremer v. City of Rockford</w:t>
      </w:r>
      <w:r>
        <w:t>, 2016 IL 119889, ¶ 31 ("[S]</w:t>
      </w:r>
      <w:proofErr w:type="spellStart"/>
      <w:r>
        <w:t>ection</w:t>
      </w:r>
      <w:proofErr w:type="spellEnd"/>
      <w:r>
        <w:t xml:space="preserve"> 4-110.1 recognizes that firefighters work in dangerous conditions and provides compensation when a firefighter contracts one of the listed diseases from repeated exposure to those conditions over a set period of time."); </w:t>
      </w:r>
      <w:r>
        <w:rPr>
          <w:rStyle w:val="Emphasis"/>
        </w:rPr>
        <w:t>Lindemulder</w:t>
      </w:r>
      <w:r>
        <w:t xml:space="preserve">, 408 Ill.App.3d at 503 ("Courts are not empowered to adjudicate the accuracy of legislative findings, but must accord great deference to the legislature's fact-finding authority."). As these diseases are recognized as possibly resulting from repeated exposures over long periods of time, that Melton suffered the stroke at home as opposed to while at work does not undermine his claim.” </w:t>
      </w:r>
      <w:hyperlink r:id="rId1116" w:history="1">
        <w:r>
          <w:rPr>
            <w:rStyle w:val="Hyperlink"/>
          </w:rPr>
          <w:t>https://public.fastcase.com/J%2FJP6pdidelsXxEE4k%2BLMk0xZflerRl5zZ1fWOEI5mhvpVlhWjp%2F9QDqlOI9DDnF8Aa9%2BfFIJaxfznSW2LItCr2%2FIZnHCYIIWW3H5dl8900%3D?utm_medium=email&amp;_hsmi=226712652&amp;_hsenc=p2ANqtz-9FKeS83U96VoJDZ5OFHU1pICbtYjQvhKtRkoV1KLCJmMon6gHAySjMj0YQylycLU_jnNetJR4aMTbAa4E7Rm7YwE3nmg&amp;utm_content=226712652&amp;utm_source=hs_email</w:t>
        </w:r>
      </w:hyperlink>
      <w:r>
        <w:t xml:space="preserve"> </w:t>
      </w:r>
    </w:p>
    <w:p w14:paraId="5D207117" w14:textId="77777777" w:rsidR="003F788B" w:rsidRDefault="003F788B" w:rsidP="003F788B">
      <w:pPr>
        <w:pStyle w:val="NormalWeb"/>
      </w:pPr>
      <w:r>
        <w:t>One of three IME, Dr. Williamson-Link, wrote a helpful report:</w:t>
      </w:r>
    </w:p>
    <w:p w14:paraId="409F6F26" w14:textId="77777777" w:rsidR="003F788B" w:rsidRDefault="003F788B" w:rsidP="003F788B">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“Dr. Jeffrey D. Williamson-Link, who was board certified in occupational medicine, similarly outlined Melton's medical history. </w:t>
      </w:r>
      <w:proofErr w:type="gramStart"/>
      <w:r>
        <w:rPr>
          <w:rFonts w:ascii="Times New Roman" w:eastAsia="Times New Roman" w:hAnsi="Times New Roman"/>
          <w:sz w:val="24"/>
          <w:szCs w:val="24"/>
        </w:rPr>
        <w:t>On the subject of the</w:t>
      </w:r>
      <w:proofErr w:type="gramEnd"/>
      <w:r>
        <w:rPr>
          <w:rFonts w:ascii="Times New Roman" w:eastAsia="Times New Roman" w:hAnsi="Times New Roman"/>
          <w:sz w:val="24"/>
          <w:szCs w:val="24"/>
        </w:rPr>
        <w:t xml:space="preserve"> nature and extent of any disability, Williamson-Link stated that Melton suffered from a cerebellar infarction that would, under NFPA 1582, require a waiting period of at least 12 months and </w:t>
      </w:r>
      <w:proofErr w:type="gramStart"/>
      <w:r>
        <w:rPr>
          <w:rFonts w:ascii="Times New Roman" w:eastAsia="Times New Roman" w:hAnsi="Times New Roman"/>
          <w:sz w:val="24"/>
          <w:szCs w:val="24"/>
        </w:rPr>
        <w:t>meeting</w:t>
      </w:r>
      <w:proofErr w:type="gramEnd"/>
      <w:r>
        <w:rPr>
          <w:rFonts w:ascii="Times New Roman" w:eastAsia="Times New Roman" w:hAnsi="Times New Roman"/>
          <w:sz w:val="24"/>
          <w:szCs w:val="24"/>
        </w:rPr>
        <w:t xml:space="preserve"> additional criteria before being considered to return to active duty without limitations or restrictions. ‘Additionally [Melton was] also on long term anticoagulation treatment for history of Factor V Leiden and Pulmonary Embolism which would restrict him from performing Essential Job Task #8 which involves climbing ladders, operating from heights and uneven surfaces.’ The lifelong need to remain on anticoagulation would prevent him from being "able to be </w:t>
      </w:r>
      <w:proofErr w:type="gramStart"/>
      <w:r>
        <w:rPr>
          <w:rFonts w:ascii="Times New Roman" w:eastAsia="Times New Roman" w:hAnsi="Times New Roman"/>
          <w:sz w:val="24"/>
          <w:szCs w:val="24"/>
        </w:rPr>
        <w:t>cleared</w:t>
      </w:r>
      <w:proofErr w:type="gramEnd"/>
      <w:r>
        <w:rPr>
          <w:rFonts w:ascii="Times New Roman" w:eastAsia="Times New Roman" w:hAnsi="Times New Roman"/>
          <w:sz w:val="24"/>
          <w:szCs w:val="24"/>
        </w:rPr>
        <w:t xml:space="preserve"> for full firefighting duties.’ In response to the question of whether any disabilities were the result of service as a firefighter, Williamson-Link wrote: </w:t>
      </w:r>
    </w:p>
    <w:p w14:paraId="3F77DEF2"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‘It is my medical opinion that one cannot discount the cumulative effects of active duty of Firefighting </w:t>
      </w:r>
      <w:proofErr w:type="gramStart"/>
      <w:r>
        <w:rPr>
          <w:rFonts w:ascii="Times New Roman" w:eastAsia="Times New Roman" w:hAnsi="Times New Roman"/>
          <w:sz w:val="24"/>
          <w:szCs w:val="24"/>
        </w:rPr>
        <w:t>in regards to</w:t>
      </w:r>
      <w:proofErr w:type="gramEnd"/>
      <w:r>
        <w:rPr>
          <w:rFonts w:ascii="Times New Roman" w:eastAsia="Times New Roman" w:hAnsi="Times New Roman"/>
          <w:sz w:val="24"/>
          <w:szCs w:val="24"/>
        </w:rPr>
        <w:t xml:space="preserve"> his stroke. Though the firefighter did have other risk factors, the occupational stressors of active firefighting </w:t>
      </w:r>
      <w:proofErr w:type="gramStart"/>
      <w:r>
        <w:rPr>
          <w:rFonts w:ascii="Times New Roman" w:eastAsia="Times New Roman" w:hAnsi="Times New Roman"/>
          <w:sz w:val="24"/>
          <w:szCs w:val="24"/>
        </w:rPr>
        <w:t>is</w:t>
      </w:r>
      <w:proofErr w:type="gramEnd"/>
      <w:r>
        <w:rPr>
          <w:rFonts w:ascii="Times New Roman" w:eastAsia="Times New Roman" w:hAnsi="Times New Roman"/>
          <w:sz w:val="24"/>
          <w:szCs w:val="24"/>
        </w:rPr>
        <w:t xml:space="preserve"> well-documented and its effects on the Cardiovascular System. </w:t>
      </w:r>
      <w:proofErr w:type="gramStart"/>
      <w:r>
        <w:rPr>
          <w:rFonts w:ascii="Times New Roman" w:eastAsia="Times New Roman" w:hAnsi="Times New Roman"/>
          <w:sz w:val="24"/>
          <w:szCs w:val="24"/>
        </w:rPr>
        <w:t>Additionally</w:t>
      </w:r>
      <w:proofErr w:type="gramEnd"/>
      <w:r>
        <w:rPr>
          <w:rFonts w:ascii="Times New Roman" w:eastAsia="Times New Roman" w:hAnsi="Times New Roman"/>
          <w:sz w:val="24"/>
          <w:szCs w:val="24"/>
        </w:rPr>
        <w:t xml:space="preserve"> the Firefighter has a history of Factor V </w:t>
      </w:r>
      <w:proofErr w:type="gramStart"/>
      <w:r>
        <w:rPr>
          <w:rFonts w:ascii="Times New Roman" w:eastAsia="Times New Roman" w:hAnsi="Times New Roman"/>
          <w:sz w:val="24"/>
          <w:szCs w:val="24"/>
        </w:rPr>
        <w:t>Leiden, and</w:t>
      </w:r>
      <w:proofErr w:type="gramEnd"/>
      <w:r>
        <w:rPr>
          <w:rFonts w:ascii="Times New Roman" w:eastAsia="Times New Roman" w:hAnsi="Times New Roman"/>
          <w:sz w:val="24"/>
          <w:szCs w:val="24"/>
        </w:rPr>
        <w:t xml:space="preserve"> has subsequently developed Pulmonary Embolism. Based on the review of the medical records, this appears to be a genetic disorder and would not be considered to be part of cumulative effects of active duty." </w:t>
      </w:r>
    </w:p>
    <w:p w14:paraId="74B0B118" w14:textId="77777777" w:rsidR="003F788B" w:rsidRDefault="003F788B" w:rsidP="003F788B">
      <w:pPr>
        <w:pStyle w:val="NormalWeb"/>
        <w:ind w:left="720"/>
        <w:rPr>
          <w:b/>
          <w:bCs/>
        </w:rPr>
      </w:pPr>
      <w:r>
        <w:t xml:space="preserve"> </w:t>
      </w:r>
      <w:r>
        <w:rPr>
          <w:b/>
          <w:bCs/>
        </w:rPr>
        <w:t xml:space="preserve">Legal Lesson Learned: The Court relied on language in the Illinois statutory presumption statute. </w:t>
      </w:r>
    </w:p>
    <w:p w14:paraId="3986D4FD" w14:textId="77777777" w:rsidR="003F788B" w:rsidRDefault="003F788B" w:rsidP="003F788B">
      <w:pPr>
        <w:pStyle w:val="NormalWeb"/>
        <w:ind w:left="1440"/>
        <w:rPr>
          <w:kern w:val="36"/>
        </w:rPr>
      </w:pPr>
      <w:r>
        <w:t xml:space="preserve">Note: See Ohio Revised Code, </w:t>
      </w:r>
      <w:r>
        <w:rPr>
          <w:kern w:val="36"/>
        </w:rPr>
        <w:t xml:space="preserve">Section 4123.68 | Schedule of compensable occupational diseases. </w:t>
      </w:r>
      <w:hyperlink r:id="rId1117" w:history="1">
        <w:r>
          <w:rPr>
            <w:rStyle w:val="Hyperlink"/>
          </w:rPr>
          <w:t>https://codes.ohio.gov/ohio-revised-code/section-4123.68</w:t>
        </w:r>
      </w:hyperlink>
      <w:r>
        <w:rPr>
          <w:kern w:val="36"/>
        </w:rPr>
        <w:t xml:space="preserve">. </w:t>
      </w:r>
      <w:r>
        <w:t>(W) Cardiovascular, pulmonary, or respiratory diseases incurred by firefighters or police officers following exposure to heat, smoke, toxic gases, chemical fumes and other toxic substances: Any cardiovascular, pulmonary, or respiratory disease of a firefighter or police officer caused or induced by the cumulative effect of exposure to heat, the inhalation of smoke, toxic gases, chemical fumes and other toxic substances in the performance of the firefighter's or police officer's duty constitutes a presumption, which may be refuted by affirmative evidence, that such occurred in the course of and arising out of the firefighter's or police officer's employment.”</w:t>
      </w:r>
    </w:p>
    <w:p w14:paraId="58C63217" w14:textId="77777777" w:rsidR="003F788B" w:rsidRDefault="003F788B" w:rsidP="00EF1133">
      <w:pPr>
        <w:rPr>
          <w:rFonts w:ascii="Arial Black" w:hAnsi="Arial Black"/>
          <w:b/>
          <w:sz w:val="24"/>
          <w:szCs w:val="24"/>
        </w:rPr>
      </w:pPr>
    </w:p>
    <w:p w14:paraId="798294AE" w14:textId="7C8702B0" w:rsidR="00EF1133" w:rsidRDefault="002D64A4"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4</w:t>
      </w:r>
    </w:p>
    <w:p w14:paraId="756D8721" w14:textId="77777777" w:rsidR="002D64A4" w:rsidRDefault="002D64A4" w:rsidP="002D64A4">
      <w:pPr>
        <w:pStyle w:val="NormalWeb"/>
        <w:rPr>
          <w:rFonts w:ascii="Arial Black" w:hAnsi="Arial Black"/>
          <w:sz w:val="28"/>
          <w:szCs w:val="28"/>
        </w:rPr>
      </w:pPr>
      <w:bookmarkStart w:id="228" w:name="_Hlk129180485"/>
      <w:r>
        <w:rPr>
          <w:rFonts w:ascii="Arial Black" w:hAnsi="Arial Black"/>
          <w:sz w:val="28"/>
          <w:szCs w:val="28"/>
        </w:rPr>
        <w:t>LA: NASAL CANCER – FF WINS WORK COMP – STATUTORY PRESUMPTION – “CANNOT RULE OUT” CAUSED BY THE JOB</w:t>
      </w:r>
    </w:p>
    <w:p w14:paraId="05E5FE18" w14:textId="77777777" w:rsidR="002D64A4" w:rsidRDefault="002D64A4" w:rsidP="002D64A4">
      <w:pPr>
        <w:pStyle w:val="NormalWeb"/>
      </w:pPr>
      <w:r>
        <w:t xml:space="preserve">On March 1, 2023, in </w:t>
      </w:r>
      <w:r w:rsidRPr="00AF372B">
        <w:rPr>
          <w:u w:val="single"/>
        </w:rPr>
        <w:t>James Schexnayder v. Jefferson Parish Fire Department</w:t>
      </w:r>
      <w:r>
        <w:t xml:space="preserve">, the Court of Appeals of Louisiana, Fifth Circuit held (3 to 0) that Office of Workers Comp (OWC) judge erred in dismissing claimant's </w:t>
      </w:r>
      <w:proofErr w:type="gramStart"/>
      <w:r>
        <w:t>petition</w:t>
      </w:r>
      <w:proofErr w:type="gramEnd"/>
      <w:r>
        <w:t xml:space="preserve"> and we reverse the judgment appealed, based on the state “statutory presumption” law for firefighters who have cancer.  “In this case, it is undisputed that claimant has been employed in the classified service as a firefighter for the Jefferson Parish Fire Department for more than 31 years and is still employed as a professional firefighter with the Parish and actively fighting fires today. Therefore, he is clearly entitled to the presumption set forth in the Cancer Act. Upon review of all evidence presented at trial, we find that the Parish did not rebut the presumption sufficiently to dismiss claimant's petition. Although the Parish put forth evidence to demonstrate that the type of lymphoma claimant has been diagnosed with is generally caused by the EBV virus, the claimant presented evidence that such a diagnosis is multifactorial and that the etiology is complicated. The evidence claimant introduced clearly demonstrated that claimant's employment could not be ruled out as a contributing factor to his disease.” </w:t>
      </w:r>
      <w:hyperlink r:id="rId1118" w:history="1">
        <w:r w:rsidRPr="003C2BFF">
          <w:rPr>
            <w:rStyle w:val="Hyperlink"/>
            <w:rFonts w:eastAsiaTheme="majorEastAsia"/>
          </w:rPr>
          <w:t>https://www.fifthcircuit.org/dmzdocs/OI/PO/2023/E7D4F8B7-C22B-4814-BFD0-4E0FF0BBD0BE.pdf</w:t>
        </w:r>
      </w:hyperlink>
      <w:r>
        <w:t xml:space="preserve"> </w:t>
      </w:r>
    </w:p>
    <w:p w14:paraId="635190FE" w14:textId="77777777" w:rsidR="002D64A4" w:rsidRDefault="002D64A4" w:rsidP="002D64A4">
      <w:pPr>
        <w:pStyle w:val="NormalWeb"/>
        <w:ind w:left="720"/>
      </w:pPr>
      <w:r>
        <w:t xml:space="preserve">“The [Firefighter Cancer] Act embodies the social policy of the state which recognizes that firemen are subjected during their career to the hazards of smoke, heat, and nauseous fumes from all kinds of toxic chemicals…. The legislature recognized that this exposure could cause a fireman to become the victim of cancer and the presumption relieves the claimant from the necessity of proving an occupational causation of the disease. </w:t>
      </w:r>
    </w:p>
    <w:p w14:paraId="4B345BE8" w14:textId="77777777" w:rsidR="002D64A4" w:rsidRDefault="002D64A4" w:rsidP="002D64A4">
      <w:pPr>
        <w:pStyle w:val="NormalWeb"/>
        <w:ind w:left="720"/>
      </w:pPr>
      <w:r>
        <w:t>***</w:t>
      </w:r>
    </w:p>
    <w:p w14:paraId="32B6A1E2" w14:textId="77777777" w:rsidR="002D64A4" w:rsidRDefault="002D64A4" w:rsidP="002D64A4">
      <w:pPr>
        <w:pStyle w:val="NormalWeb"/>
        <w:ind w:left="720"/>
      </w:pPr>
      <w:r>
        <w:t>We find the evidence presented at trial could not rule out that claimant's more than 30-year employment actively fighting fires could not have contributed to his diagnoses of lymphoma in this case. Consequently, we find the OWJ was clearly erroneous in dismissing claimant's 1008.”</w:t>
      </w:r>
    </w:p>
    <w:p w14:paraId="236D2356" w14:textId="49EE32DB" w:rsidR="002D64A4" w:rsidRDefault="002D64A4" w:rsidP="002D64A4">
      <w:pPr>
        <w:pStyle w:val="NormalWeb"/>
        <w:rPr>
          <w:b/>
          <w:bCs/>
        </w:rPr>
      </w:pPr>
      <w:r w:rsidRPr="006C7ECC">
        <w:rPr>
          <w:b/>
          <w:bCs/>
        </w:rPr>
        <w:t>Legal Lesson Learned:</w:t>
      </w:r>
      <w:r>
        <w:rPr>
          <w:b/>
          <w:bCs/>
        </w:rPr>
        <w:t xml:space="preserve"> Another case where the “statutory presumption” was the deciding factor.  FF should keep records of fires and other chemical exposures.  </w:t>
      </w:r>
    </w:p>
    <w:p w14:paraId="5221CE81" w14:textId="58C50AE5" w:rsidR="002D64A4" w:rsidRDefault="002D64A4" w:rsidP="002D64A4">
      <w:pPr>
        <w:pStyle w:val="NormalWeb"/>
        <w:rPr>
          <w:b/>
          <w:bCs/>
        </w:rPr>
      </w:pPr>
    </w:p>
    <w:p w14:paraId="1A3FCAEF" w14:textId="693E0F9C" w:rsidR="002D64A4" w:rsidRPr="00FF0339" w:rsidRDefault="002D64A4" w:rsidP="002D64A4">
      <w:pPr>
        <w:pStyle w:val="NormalWeb"/>
        <w:rPr>
          <w:rFonts w:ascii="Arial Black" w:hAnsi="Arial Black"/>
          <w:sz w:val="28"/>
          <w:szCs w:val="28"/>
        </w:rPr>
      </w:pPr>
      <w:r w:rsidRPr="00FF0339">
        <w:rPr>
          <w:rFonts w:ascii="Arial Black" w:hAnsi="Arial Black"/>
          <w:sz w:val="28"/>
          <w:szCs w:val="28"/>
        </w:rPr>
        <w:t>6-10</w:t>
      </w:r>
      <w:r w:rsidR="00FF7C63">
        <w:rPr>
          <w:rFonts w:ascii="Arial Black" w:hAnsi="Arial Black"/>
          <w:sz w:val="28"/>
          <w:szCs w:val="28"/>
        </w:rPr>
        <w:t>3</w:t>
      </w:r>
    </w:p>
    <w:p w14:paraId="27ADF6EA" w14:textId="77777777" w:rsidR="002D64A4" w:rsidRPr="001377C6" w:rsidRDefault="002D64A4" w:rsidP="002D64A4">
      <w:pPr>
        <w:pStyle w:val="NormalWeb"/>
        <w:rPr>
          <w:rFonts w:ascii="Arial Black" w:hAnsi="Arial Black"/>
          <w:b/>
          <w:bCs/>
          <w:sz w:val="28"/>
          <w:szCs w:val="28"/>
        </w:rPr>
      </w:pPr>
      <w:r>
        <w:rPr>
          <w:rFonts w:ascii="Arial Black" w:hAnsi="Arial Black"/>
          <w:b/>
          <w:bCs/>
          <w:sz w:val="28"/>
          <w:szCs w:val="28"/>
        </w:rPr>
        <w:t>MA: FIRE CHIEF CONTRACT NOT RENEWED AFTER 5</w:t>
      </w:r>
      <w:r w:rsidRPr="001377C6">
        <w:rPr>
          <w:rFonts w:ascii="Arial Black" w:hAnsi="Arial Black"/>
          <w:b/>
          <w:bCs/>
          <w:sz w:val="28"/>
          <w:szCs w:val="28"/>
          <w:vertAlign w:val="superscript"/>
        </w:rPr>
        <w:t>th</w:t>
      </w:r>
      <w:r>
        <w:rPr>
          <w:rFonts w:ascii="Arial Black" w:hAnsi="Arial Black"/>
          <w:b/>
          <w:bCs/>
          <w:sz w:val="28"/>
          <w:szCs w:val="28"/>
        </w:rPr>
        <w:t xml:space="preserve"> YEARS – DIDN’T HAVE LIFETIME APPOINTMENT</w:t>
      </w:r>
    </w:p>
    <w:p w14:paraId="57E63D28" w14:textId="77777777" w:rsidR="002D64A4" w:rsidRPr="001377C6" w:rsidRDefault="002D64A4" w:rsidP="002D64A4">
      <w:pPr>
        <w:pStyle w:val="NormalWeb"/>
      </w:pPr>
      <w:r>
        <w:t xml:space="preserve">On Feb. 24, 2023, in </w:t>
      </w:r>
      <w:r w:rsidRPr="001377C6">
        <w:rPr>
          <w:u w:val="single"/>
        </w:rPr>
        <w:t>Mark Tetreault v. Board of Selectmen of Lynnfield</w:t>
      </w:r>
      <w:r>
        <w:t xml:space="preserve">, the Appeals Court of Massachusetts, Essex, held (3 to 0) that that the town did not violate the “strong chief” statute, the town charter, or the town's personnel bylaws by electing in 2018 not to renew Tetreault's contract.  </w:t>
      </w:r>
      <w:r w:rsidRPr="00EF4D33">
        <w:t>The</w:t>
      </w:r>
      <w:r>
        <w:t xml:space="preserve"> Court noted: “Tetreault suggests that its purpose was to protect fire chiefs from ‘political machinations’ and to allow them independence in the discharge of their duties. He argues that this purpose would be undermined by our interpretation. We disagree. ***  Even if the strong chief statute could be interpreted to provide fire chiefs with lifetime tenure -- a doubtful proposition -- Tetreault waived any such statutory right by </w:t>
      </w:r>
      <w:proofErr w:type="gramStart"/>
      <w:r>
        <w:t>entering into</w:t>
      </w:r>
      <w:proofErr w:type="gramEnd"/>
      <w:r>
        <w:t xml:space="preserve"> the employment contract. When he did so, he knew that the contract had language and terms that conflicted with what he professes was his belief about the meaning of the strong chief statute. As we have said, however, nothing would prohibit a fire chief from </w:t>
      </w:r>
      <w:proofErr w:type="gramStart"/>
      <w:r>
        <w:t>entering into</w:t>
      </w:r>
      <w:proofErr w:type="gramEnd"/>
      <w:r>
        <w:t xml:space="preserve"> an employment contract on terms that differ from the strong chief statute, and G. L. c. 41, § 108O, expressly permits that course of action.” </w:t>
      </w:r>
      <w:hyperlink r:id="rId1119" w:history="1">
        <w:r w:rsidRPr="00CE4DCE">
          <w:rPr>
            <w:rStyle w:val="Hyperlink"/>
            <w:rFonts w:eastAsiaTheme="majorEastAsia"/>
          </w:rPr>
          <w:t>https://www.socialaw.com/services/slip-opinions/slip-opinion-details/mark-tetreault-vs.-board-of-selectmen-of-lynnfield</w:t>
        </w:r>
      </w:hyperlink>
      <w:r>
        <w:t xml:space="preserve"> </w:t>
      </w:r>
    </w:p>
    <w:p w14:paraId="36C512AE" w14:textId="77777777" w:rsidR="002D64A4" w:rsidRDefault="002D64A4" w:rsidP="002D64A4">
      <w:pPr>
        <w:pStyle w:val="NormalWeb"/>
        <w:ind w:left="720"/>
      </w:pPr>
      <w:r>
        <w:t xml:space="preserve">“In December 2013, the board appointed Tetreault as the town's fire chief ‘subject to the successful negotiation of an employment contract.’ During those negotiations, in discussing the contract provision that he </w:t>
      </w:r>
      <w:proofErr w:type="gramStart"/>
      <w:r>
        <w:t>serve</w:t>
      </w:r>
      <w:proofErr w:type="gramEnd"/>
      <w:r>
        <w:t xml:space="preserve"> as an employee at will during an initial six-month probationary period, Tetreault told the town administrator that it was his understanding that under the strong chief statute, a chief ‘only could be terminated for cause.’ Tetreault asked to include in the contract language that provided that ‘[n]</w:t>
      </w:r>
      <w:proofErr w:type="spellStart"/>
      <w:r>
        <w:t>othing</w:t>
      </w:r>
      <w:proofErr w:type="spellEnd"/>
      <w:r>
        <w:t xml:space="preserve"> in this agreement shall diminish the authority, duty, and protections granted under [G. L. c. 48, § 42],’ and that the contract was ‘in accordance with [G. L. c. 41, § 108O].’ The town administrator declined to do so, and no reference to either statute was included in the contract.”</w:t>
      </w:r>
    </w:p>
    <w:p w14:paraId="416A6D4F" w14:textId="77777777" w:rsidR="002D64A4" w:rsidRDefault="002D64A4" w:rsidP="002D64A4">
      <w:pPr>
        <w:pStyle w:val="NormalWeb"/>
        <w:rPr>
          <w:b/>
          <w:bCs/>
        </w:rPr>
      </w:pPr>
      <w:r w:rsidRPr="00577551">
        <w:rPr>
          <w:b/>
          <w:bCs/>
        </w:rPr>
        <w:t>Legal Lesson Learned:</w:t>
      </w:r>
      <w:r>
        <w:rPr>
          <w:b/>
          <w:bCs/>
        </w:rPr>
        <w:t xml:space="preserve"> Fire Chiefs when negotiating an employment contract should have a clear provision on basis for non-renewal of the contract; wise to have an attorney review. </w:t>
      </w:r>
    </w:p>
    <w:p w14:paraId="409649A0" w14:textId="77777777" w:rsidR="002D64A4" w:rsidRPr="006C7ECC" w:rsidRDefault="002D64A4" w:rsidP="002D64A4">
      <w:pPr>
        <w:pStyle w:val="NormalWeb"/>
        <w:rPr>
          <w:b/>
          <w:bCs/>
        </w:rPr>
      </w:pPr>
    </w:p>
    <w:bookmarkEnd w:id="228"/>
    <w:p w14:paraId="1F96F92E" w14:textId="77777777" w:rsidR="002D64A4" w:rsidRDefault="002D64A4" w:rsidP="00EF1133">
      <w:pPr>
        <w:rPr>
          <w:rFonts w:ascii="Arial Black" w:hAnsi="Arial Black"/>
          <w:b/>
          <w:sz w:val="24"/>
          <w:szCs w:val="24"/>
        </w:rPr>
      </w:pPr>
    </w:p>
    <w:p w14:paraId="416F9D9E" w14:textId="01A68C81" w:rsidR="007959C9" w:rsidRDefault="008A4533"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2</w:t>
      </w:r>
    </w:p>
    <w:p w14:paraId="1808E9E0" w14:textId="77777777" w:rsidR="008A4533" w:rsidRPr="00E81735" w:rsidRDefault="008A4533" w:rsidP="008A4533">
      <w:pPr>
        <w:pStyle w:val="NormalWeb"/>
        <w:rPr>
          <w:rFonts w:ascii="Arial Black" w:hAnsi="Arial Black"/>
          <w:sz w:val="28"/>
          <w:szCs w:val="28"/>
        </w:rPr>
      </w:pPr>
      <w:r>
        <w:rPr>
          <w:rFonts w:ascii="Arial Black" w:hAnsi="Arial Black"/>
          <w:sz w:val="28"/>
          <w:szCs w:val="28"/>
        </w:rPr>
        <w:t xml:space="preserve">PA: VOLUNTEER FF – KIDNEY / COLON CANCER – GETS WORK COMP UNDER PA “STATUTORY PRESUMPTION” </w:t>
      </w:r>
    </w:p>
    <w:p w14:paraId="2900FECC" w14:textId="77777777" w:rsidR="008A4533" w:rsidRDefault="008A4533" w:rsidP="008A4533">
      <w:pPr>
        <w:pStyle w:val="NormalWeb"/>
      </w:pPr>
      <w:r>
        <w:t xml:space="preserve">On Jan. 10, 2023, in </w:t>
      </w:r>
      <w:r w:rsidRPr="00FE6967">
        <w:rPr>
          <w:u w:val="single"/>
        </w:rPr>
        <w:t>Volunteer Fire Companies of Lower Saucon v. David Cawley (Workers’ Compensation Appeal Board</w:t>
      </w:r>
      <w:r>
        <w:t xml:space="preserve">,  the Commonwealth Court of Pennsylvania held (3 to 0; unpublished opinion) that the Administrative Law Judge, and the Appeal Board, both properly held that the volunteer firefighter, with over 20 years of service, and over 1,000 fires, who worked in Fire Station that did not extract diesel smoke, was entitled to worker’s comp for his kidney and colon cancers. Under the PA statutory presumption statute, firefighters with over 4 years on the job, with no cancer when they joined fire service, only had to </w:t>
      </w:r>
      <w:r w:rsidRPr="00FE6967">
        <w:t>prove</w:t>
      </w:r>
      <w:r>
        <w:t xml:space="preserve"> a</w:t>
      </w:r>
      <w:r w:rsidRPr="00FE6967">
        <w:rPr>
          <w:b/>
          <w:bCs/>
        </w:rPr>
        <w:t xml:space="preserve"> “</w:t>
      </w:r>
      <w:r w:rsidRPr="00FE6967">
        <w:rPr>
          <w:rStyle w:val="Strong"/>
        </w:rPr>
        <w:t>general causative link between the claimant</w:t>
      </w:r>
      <w:r w:rsidRPr="00FE6967">
        <w:rPr>
          <w:b/>
          <w:bCs/>
        </w:rPr>
        <w:t>'</w:t>
      </w:r>
      <w:r w:rsidRPr="00FE6967">
        <w:rPr>
          <w:rStyle w:val="Strong"/>
        </w:rPr>
        <w:t>s type of cancer and a Group 1 carcinogen</w:t>
      </w:r>
      <w:r w:rsidRPr="00FE6967">
        <w:rPr>
          <w:b/>
          <w:bCs/>
        </w:rPr>
        <w:t>.”</w:t>
      </w:r>
      <w:r>
        <w:t xml:space="preserve"> The Court held: “In other words, the claimant </w:t>
      </w:r>
      <w:r>
        <w:rPr>
          <w:rStyle w:val="Emphasis"/>
        </w:rPr>
        <w:t>must produce evidence that it is possible</w:t>
      </w:r>
      <w:r>
        <w:t xml:space="preserve"> that the carcinogen in question caused the type of cancer with which the claimant is afflicted. It does </w:t>
      </w:r>
      <w:r>
        <w:rPr>
          <w:rStyle w:val="Emphasis"/>
        </w:rPr>
        <w:t xml:space="preserve">not require the claimant to prove that the identified Group 1 carcinogen </w:t>
      </w:r>
      <w:proofErr w:type="gramStart"/>
      <w:r>
        <w:rPr>
          <w:rStyle w:val="Emphasis"/>
        </w:rPr>
        <w:t>actually</w:t>
      </w:r>
      <w:r>
        <w:t xml:space="preserve"> caused</w:t>
      </w:r>
      <w:proofErr w:type="gramEnd"/>
      <w:r>
        <w:t xml:space="preserve"> claimant's cancer.”</w:t>
      </w:r>
      <w:hyperlink r:id="rId1120" w:history="1">
        <w:r w:rsidRPr="00D25822">
          <w:rPr>
            <w:rStyle w:val="Hyperlink"/>
          </w:rPr>
          <w:t>https://law.justia.com/cases/pennsylvania/commonwealth-court/2023/12-c-d-2022.html</w:t>
        </w:r>
      </w:hyperlink>
      <w:r>
        <w:t xml:space="preserve"> </w:t>
      </w:r>
    </w:p>
    <w:p w14:paraId="263B8DB9" w14:textId="77777777" w:rsidR="008A4533" w:rsidRDefault="008A4533" w:rsidP="008A4533">
      <w:pPr>
        <w:pStyle w:val="NormalWeb"/>
        <w:ind w:left="720"/>
      </w:pPr>
      <w:r>
        <w:t xml:space="preserve">“Here, Claimant testified that he has always worked at the same firehouse, which operates three diesel-powered vehicles, and it does not have a diesel fuel emissions capture system….  He could see and smell diesel fuel emissions on every fire call for approximately five to eight minutes before the trucks pulled out of the firehouse, during which time he was not wearing breathing protection. …  He was also exposed while the trucks are running at every fire scene…. Claimant recalled that the firehouse apparatus door, walls, and ceiling were covered in diesel fuel soot, which he periodically participated in cleaning without being given personal protective equipment. </w:t>
      </w:r>
    </w:p>
    <w:p w14:paraId="55B8B77A" w14:textId="77777777" w:rsidR="008A4533" w:rsidRDefault="008A4533" w:rsidP="008A4533">
      <w:pPr>
        <w:pStyle w:val="NormalWeb"/>
        <w:ind w:left="720" w:firstLine="60"/>
      </w:pPr>
      <w:r>
        <w:t>Claimant described that he fought at least 1,000 interior and exterior fires over the years, including house, car, trash, brush, and warehouse fires…. Claimant presented Employer's pre-</w:t>
      </w:r>
      <w:proofErr w:type="spellStart"/>
      <w:r>
        <w:t>PennFIRS</w:t>
      </w:r>
      <w:proofErr w:type="spellEnd"/>
      <w:r>
        <w:t xml:space="preserve"> and </w:t>
      </w:r>
      <w:proofErr w:type="spellStart"/>
      <w:r>
        <w:t>PennFIRS</w:t>
      </w:r>
      <w:proofErr w:type="spellEnd"/>
      <w:r>
        <w:t xml:space="preserve"> reports reflecting his firefighting since 1979. He stated that he participated in all firefighting stages, including: the attack phase (entry, search, rescue, ventilation and suppression), the overhaul phase, the salvage phase, and the fire investigation phase, all of which exposed him to soot and smoke…. Claimant explained that, although firefighters now use self-contained breathing apparatuses (SCBAs) for all types of fires and phases, for the first 20 years or so of his service, SCBAs were not used for exterior fires, car fires, overhaul, or salvage.</w:t>
      </w:r>
    </w:p>
    <w:p w14:paraId="2A63AD88" w14:textId="77777777" w:rsidR="008A4533" w:rsidRDefault="008A4533" w:rsidP="008A4533">
      <w:pPr>
        <w:pStyle w:val="NormalWeb"/>
        <w:ind w:left="720" w:firstLine="60"/>
        <w:rPr>
          <w:rStyle w:val="Emphasis"/>
        </w:rPr>
      </w:pPr>
      <w:r>
        <w:t>***</w:t>
      </w:r>
    </w:p>
    <w:p w14:paraId="4D051345" w14:textId="77777777" w:rsidR="008A4533" w:rsidRDefault="008A4533" w:rsidP="008A4533">
      <w:pPr>
        <w:pStyle w:val="NormalWeb"/>
        <w:ind w:left="720"/>
      </w:pPr>
      <w:r>
        <w:t xml:space="preserve">“The express language of </w:t>
      </w:r>
      <w:r>
        <w:rPr>
          <w:rStyle w:val="Strong"/>
        </w:rPr>
        <w:t>Section 108(r)</w:t>
      </w:r>
      <w:r>
        <w:t xml:space="preserve"> [</w:t>
      </w:r>
      <w:r>
        <w:rPr>
          <w:rStyle w:val="Strong"/>
        </w:rPr>
        <w:t>of the Act</w:t>
      </w:r>
      <w:r>
        <w:t xml:space="preserve">], namely that the claimant has a ‘cancer . . . which is caused by exposure to a known (Group 1) carcinogen’ clearly imposes an initial burden of causation on the claimant. Importantly, however, the provision </w:t>
      </w:r>
      <w:r>
        <w:rPr>
          <w:rStyle w:val="Strong"/>
        </w:rPr>
        <w:t>only requires the claimant to establish a general causative link between the claimant</w:t>
      </w:r>
      <w:r>
        <w:t>'</w:t>
      </w:r>
      <w:r>
        <w:rPr>
          <w:rStyle w:val="Strong"/>
        </w:rPr>
        <w:t>s type of cancer and a Group 1 carcinogen</w:t>
      </w:r>
      <w:r>
        <w:t>…. Section 108(r) [of the Act] embodies a legislative acknowledgement that firefighting is a dangerous occupation that routinely exposes firefighters to Group 1 carcinogens that are known to cause various types of cancers. The ‘general causation’ requirement under Section 108(r) [of the Act] constitutes a recognition that different types of cancers have different etiologies, and it weeds out claims for compensation for cancers with no known link to Group 1 carcinogens. The burden imposed by Section 108(r) [of the Act] is not a heavy burden.”</w:t>
      </w:r>
    </w:p>
    <w:p w14:paraId="56C1283D" w14:textId="77777777" w:rsidR="008A4533" w:rsidRPr="005B7454" w:rsidRDefault="008A4533" w:rsidP="008A4533">
      <w:pPr>
        <w:pStyle w:val="NormalWeb"/>
        <w:rPr>
          <w:b/>
          <w:bCs/>
        </w:rPr>
      </w:pPr>
      <w:r w:rsidRPr="005B7454">
        <w:rPr>
          <w:b/>
          <w:bCs/>
        </w:rPr>
        <w:t>Legal Lesson Learned:</w:t>
      </w:r>
      <w:r>
        <w:rPr>
          <w:b/>
          <w:bCs/>
        </w:rPr>
        <w:t xml:space="preserve"> Statutory presumption statute in Pennsylvania, and many other states, is very helpful.   </w:t>
      </w:r>
    </w:p>
    <w:p w14:paraId="4B3194C2" w14:textId="77777777" w:rsidR="008A4533" w:rsidRDefault="008A4533" w:rsidP="008A4533">
      <w:pPr>
        <w:pStyle w:val="NormalWeb"/>
      </w:pPr>
    </w:p>
    <w:p w14:paraId="29711B73" w14:textId="7336E4EA" w:rsidR="008A4533" w:rsidRDefault="008A4533" w:rsidP="00EF1133">
      <w:pPr>
        <w:rPr>
          <w:rFonts w:ascii="Arial Black" w:hAnsi="Arial Black"/>
          <w:b/>
          <w:sz w:val="24"/>
          <w:szCs w:val="24"/>
        </w:rPr>
      </w:pPr>
    </w:p>
    <w:p w14:paraId="1BF8D28E" w14:textId="1737D3C0" w:rsidR="008A4533" w:rsidRDefault="008A4533"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1</w:t>
      </w:r>
    </w:p>
    <w:p w14:paraId="48019C73" w14:textId="00DBCD29" w:rsidR="008A4533" w:rsidRDefault="008A4533" w:rsidP="00EF1133">
      <w:pPr>
        <w:rPr>
          <w:rFonts w:ascii="Arial Black" w:hAnsi="Arial Black"/>
          <w:b/>
          <w:sz w:val="24"/>
          <w:szCs w:val="24"/>
        </w:rPr>
      </w:pPr>
    </w:p>
    <w:p w14:paraId="218EEB18" w14:textId="77777777" w:rsidR="008A4533" w:rsidRPr="00BF0E9D" w:rsidRDefault="008A4533" w:rsidP="008A4533">
      <w:pPr>
        <w:pStyle w:val="NormalWeb"/>
        <w:rPr>
          <w:rFonts w:ascii="Arial Black" w:hAnsi="Arial Black"/>
          <w:sz w:val="28"/>
          <w:szCs w:val="28"/>
        </w:rPr>
      </w:pPr>
      <w:r>
        <w:rPr>
          <w:rFonts w:ascii="Arial Black" w:hAnsi="Arial Black"/>
          <w:sz w:val="28"/>
          <w:szCs w:val="28"/>
        </w:rPr>
        <w:t>AL:  ASSISTANT FIRE CHIEF – ARRESTED DOMESTIC VIOLENCE - RETIRED “IMMEDIATELY” – NOT FORCED</w:t>
      </w:r>
    </w:p>
    <w:p w14:paraId="02DDBE6B" w14:textId="77777777" w:rsidR="008A4533" w:rsidRDefault="008A4533" w:rsidP="008A4533">
      <w:pPr>
        <w:pStyle w:val="NormalWeb"/>
      </w:pPr>
      <w:r>
        <w:t xml:space="preserve">On Jan. 6, 2023, in </w:t>
      </w:r>
      <w:r w:rsidRPr="00BF0E9D">
        <w:rPr>
          <w:u w:val="single"/>
        </w:rPr>
        <w:t>Kenneth Bolling v. City of Montgomery</w:t>
      </w:r>
      <w:r>
        <w:t xml:space="preserve">, U.S. District Court Judge A. Austin Huffaker, Jr., U.S. District Court for Middle District of Alabama (Northern Division), held that after holding a bench trial May 16-17, 2022 and July 11, 2022, he found that Assistant Fire Bolling’s allegation that Fire Chief directed him to immediate resign after his arrest for domestic violence was not credible.  Bolling was second in command at the FD, 33 years of service, was arrested on June 27, </w:t>
      </w:r>
      <w:proofErr w:type="gramStart"/>
      <w:r>
        <w:t>2018</w:t>
      </w:r>
      <w:proofErr w:type="gramEnd"/>
      <w:r>
        <w:t xml:space="preserve"> for alleged domestic violence against his former girlfriend the night before.  When released from jail after 12-hour mandatory hold, he first called the City’s retirement specialist for estimate of his retirement payout.  He then met with Fire Chief </w:t>
      </w:r>
      <w:proofErr w:type="spellStart"/>
      <w:r>
        <w:t>Miford</w:t>
      </w:r>
      <w:proofErr w:type="spellEnd"/>
      <w:r>
        <w:t xml:space="preserve"> Jordan, and Chief of Staff Chief of Staff John Petrey, and signed a suspension with pay document.  He then when to retirement specialist, obtained retirement document, and signed for “immediate retirement” (not giving 7-days’ notice led to forfeiture of accrued leave and sick time). The Court held:  “And finally, and perhaps most persuasively, on the morning he turned himself into the city police-</w:t>
      </w:r>
      <w:r>
        <w:rPr>
          <w:rStyle w:val="Emphasis"/>
        </w:rPr>
        <w:t>before</w:t>
      </w:r>
      <w:r>
        <w:t xml:space="preserve"> his parking lot discussion with Chief Jordan and </w:t>
      </w:r>
      <w:r>
        <w:rPr>
          <w:rStyle w:val="Emphasis"/>
        </w:rPr>
        <w:t>before</w:t>
      </w:r>
      <w:r>
        <w:t xml:space="preserve"> the Petrey office meeting-Bolling called city retirement specialist Kim Neese to obtain an estimate of retirement benefit payouts should he decide to retire immediately. This uncoerced, self-initiated action supports the inference that Bolling intended to resign (or at least was seriously considering it) prior to any discussion with Chief Jordan and Petrey about his termination and supposed loss of retirement benefits.” </w:t>
      </w:r>
      <w:hyperlink r:id="rId1121" w:history="1">
        <w:r w:rsidRPr="00D25822">
          <w:rPr>
            <w:rStyle w:val="Hyperlink"/>
          </w:rPr>
          <w:t>https://public.fastcase.com/J%2FJP6pdidelsXxEE4k%2BLMqkdD5%2F9vomvqFlCkCXbHBZeshVe9dMO69n26VvOOGQ0AfFNIJdHHotvSTHs4WCcjg4h%2FMs%2B3ZGL0GmuYT%2B2kk4%3D?utm_medium=email&amp;_hsmi=226712652&amp;_hsenc=p2ANqtz-9blRBfGvWcvPfjP94U0OWp5xjRToJRFC1FgT4HNxkVt3pCFWJPlaIDL-9MMTlNfF1ZXM41l3Otj_VuO__ziHrFsLR4IQ&amp;utm_content=226712652&amp;utm_source=hs_email</w:t>
        </w:r>
      </w:hyperlink>
      <w:r>
        <w:t xml:space="preserve"> </w:t>
      </w:r>
    </w:p>
    <w:p w14:paraId="0FDEBDAB" w14:textId="77777777" w:rsidR="008A4533" w:rsidRDefault="008A4533" w:rsidP="008A4533">
      <w:pPr>
        <w:pStyle w:val="NormalWeb"/>
        <w:ind w:left="720"/>
      </w:pPr>
      <w:r>
        <w:t xml:space="preserve">“According to Chief Jordan, in the parking garage and on the way to Petrey's office, Bolling kept repeating that he should not have gone over to his </w:t>
      </w:r>
      <w:proofErr w:type="spellStart"/>
      <w:proofErr w:type="gramStart"/>
      <w:r>
        <w:t>ex girlfriend’s</w:t>
      </w:r>
      <w:proofErr w:type="spellEnd"/>
      <w:proofErr w:type="gramEnd"/>
      <w:r>
        <w:t xml:space="preserve"> house. Chief Jordan also testified that the two did not talk about anything related to Bolling's employment status at the time.  According to Bolling, the discussion was somewhat different. Per Bolling, Chief Jordan approached Bolling in the parking lot, hugged him, and told him, “They [are] going to fire you.” Chief Jordan also said, “Bolling, I'm talking to you like a brother [T]here </w:t>
      </w:r>
      <w:proofErr w:type="spellStart"/>
      <w:r>
        <w:t>ain't</w:t>
      </w:r>
      <w:proofErr w:type="spellEnd"/>
      <w:r>
        <w:t xml:space="preserve"> no fighting this.” </w:t>
      </w:r>
    </w:p>
    <w:p w14:paraId="6F1EFA16" w14:textId="77777777" w:rsidR="008A4533" w:rsidRDefault="008A4533" w:rsidP="008A4533">
      <w:pPr>
        <w:pStyle w:val="NormalWeb"/>
        <w:ind w:left="720"/>
      </w:pPr>
      <w:r>
        <w:t>***</w:t>
      </w:r>
    </w:p>
    <w:p w14:paraId="126D1698" w14:textId="77777777" w:rsidR="008A4533" w:rsidRDefault="008A4533" w:rsidP="008A4533">
      <w:pPr>
        <w:pStyle w:val="NormalWeb"/>
        <w:ind w:left="720"/>
      </w:pPr>
      <w:r>
        <w:t>Chief Jordan further testified that he never told Bolling that he was being terminated, that he should resign, or that he would lose his benefits if he did not resign. Simply put, according to Chief Jordan, they never discussed resignation or termination whatsoever during the meeting. This version of events was fully corroborated by Petrey, who reiterated in his testimony that Bolling was put on administrative leave without ever discussing resignation, retirement, or termination, and that Bolling acknowledged being put on administrative leave while an investigation into the arrest was conducted.</w:t>
      </w:r>
    </w:p>
    <w:p w14:paraId="7E0872FF" w14:textId="77777777" w:rsidR="008A4533" w:rsidRDefault="008A4533" w:rsidP="008A4533">
      <w:pPr>
        <w:pStyle w:val="NormalWeb"/>
        <w:ind w:left="720"/>
      </w:pPr>
      <w:r>
        <w:t>***</w:t>
      </w:r>
    </w:p>
    <w:p w14:paraId="2530A02B" w14:textId="77777777" w:rsidR="008A4533" w:rsidRDefault="008A4533" w:rsidP="008A4533">
      <w:pPr>
        <w:pStyle w:val="NormalWeb"/>
        <w:ind w:left="720"/>
      </w:pPr>
      <w:r>
        <w:t xml:space="preserve">Footnote 2: </w:t>
      </w:r>
      <w:r w:rsidRPr="009B4536">
        <w:t>From Bolling's standpoint, resignation ended any city investigation into the domestic violence incident over which criminal charges had been initiated and therefore Bolling would have avoided having to sit and answer questions during the interview about the incident as well as the other incidents, allegations, and convictions of domestic violence against Bolling over the years, and arguably would have allowed him to separate in good standing. During the trial, there was much testimony and evidence about other domestic violations incidents, criminal charges and convictions against Bolling. The Court fails to see the relevancy of his domestic violence history other than the impact it may have had in his decision to resign, effective immediately.</w:t>
      </w:r>
    </w:p>
    <w:p w14:paraId="557D4B17" w14:textId="77777777" w:rsidR="008A4533" w:rsidRPr="009B4536" w:rsidRDefault="008A4533" w:rsidP="008A4533">
      <w:pPr>
        <w:pStyle w:val="NormalWeb"/>
        <w:rPr>
          <w:b/>
          <w:bCs/>
        </w:rPr>
      </w:pPr>
      <w:r w:rsidRPr="009B4536">
        <w:rPr>
          <w:b/>
          <w:bCs/>
        </w:rPr>
        <w:t>Legal Lesson Learned:</w:t>
      </w:r>
      <w:r>
        <w:rPr>
          <w:b/>
          <w:bCs/>
        </w:rPr>
        <w:t xml:space="preserve"> Do not make hasty retirement decisions.</w:t>
      </w:r>
    </w:p>
    <w:p w14:paraId="42B69768" w14:textId="77777777" w:rsidR="008A4533" w:rsidRDefault="008A4533" w:rsidP="008A4533">
      <w:pPr>
        <w:pStyle w:val="NormalWeb"/>
        <w:ind w:left="720"/>
      </w:pPr>
      <w:r>
        <w:t xml:space="preserve">Note:  The Court is an earlier decision in this case , April 2, 2020, wrote: “Bolling has never been convicted of domestic violence, but he has been charged with domestic violence at least eight times during his career.” </w:t>
      </w:r>
      <w:hyperlink r:id="rId1122" w:history="1">
        <w:r w:rsidRPr="00D25822">
          <w:rPr>
            <w:rStyle w:val="Hyperlink"/>
          </w:rPr>
          <w:t>https://casetext.com/case/bolling-v-city-of-montgomery</w:t>
        </w:r>
      </w:hyperlink>
      <w:r>
        <w:t xml:space="preserve"> </w:t>
      </w:r>
    </w:p>
    <w:p w14:paraId="71DB59C1" w14:textId="77777777" w:rsidR="008A4533" w:rsidRDefault="008A4533" w:rsidP="008A4533">
      <w:pPr>
        <w:pStyle w:val="NormalWeb"/>
        <w:ind w:left="720"/>
      </w:pPr>
    </w:p>
    <w:p w14:paraId="0B5A4828" w14:textId="77777777" w:rsidR="008A4533" w:rsidRDefault="008A4533" w:rsidP="00EF1133">
      <w:pPr>
        <w:rPr>
          <w:rFonts w:ascii="Arial Black" w:hAnsi="Arial Black"/>
          <w:b/>
          <w:sz w:val="24"/>
          <w:szCs w:val="24"/>
        </w:rPr>
      </w:pPr>
    </w:p>
    <w:p w14:paraId="4F9C9290" w14:textId="77777777" w:rsidR="007959C9" w:rsidRDefault="007959C9" w:rsidP="00EF1133">
      <w:pPr>
        <w:rPr>
          <w:rFonts w:ascii="Arial Black" w:hAnsi="Arial Black"/>
          <w:b/>
          <w:sz w:val="24"/>
          <w:szCs w:val="24"/>
        </w:rPr>
      </w:pPr>
    </w:p>
    <w:p w14:paraId="742E3D60" w14:textId="2011C56F" w:rsidR="00BA3CDE" w:rsidRDefault="00BA3CDE" w:rsidP="00EF1133">
      <w:pPr>
        <w:rPr>
          <w:rFonts w:ascii="Arial Black" w:hAnsi="Arial Black"/>
          <w:b/>
          <w:sz w:val="24"/>
          <w:szCs w:val="24"/>
        </w:rPr>
      </w:pPr>
      <w:r>
        <w:rPr>
          <w:rFonts w:ascii="Arial Black" w:hAnsi="Arial Black"/>
          <w:b/>
          <w:sz w:val="24"/>
          <w:szCs w:val="24"/>
        </w:rPr>
        <w:t>6-10</w:t>
      </w:r>
      <w:r w:rsidR="00FF7C63">
        <w:rPr>
          <w:rFonts w:ascii="Arial Black" w:hAnsi="Arial Black"/>
          <w:b/>
          <w:sz w:val="24"/>
          <w:szCs w:val="24"/>
        </w:rPr>
        <w:t>0</w:t>
      </w:r>
    </w:p>
    <w:p w14:paraId="6A11D359" w14:textId="77777777" w:rsidR="00BA3CDE" w:rsidRPr="003B67CB" w:rsidRDefault="00BA3CDE" w:rsidP="00BA3CDE">
      <w:pPr>
        <w:pStyle w:val="NormalWeb"/>
        <w:rPr>
          <w:rFonts w:ascii="Arial Black" w:hAnsi="Arial Black"/>
          <w:b/>
          <w:bCs/>
          <w:sz w:val="28"/>
          <w:szCs w:val="28"/>
        </w:rPr>
      </w:pPr>
      <w:r>
        <w:rPr>
          <w:rFonts w:ascii="Arial Black" w:hAnsi="Arial Black"/>
          <w:b/>
          <w:bCs/>
          <w:sz w:val="28"/>
          <w:szCs w:val="28"/>
        </w:rPr>
        <w:t xml:space="preserve">NJ: FF BACK INJURY CARRYING PATIENT – NOT “UNEXPECTED” - DENIED ACCID. DISABILIY PENSION </w:t>
      </w:r>
    </w:p>
    <w:p w14:paraId="48E5E5DB" w14:textId="77777777" w:rsidR="00BA3CDE" w:rsidRDefault="00BA3CDE" w:rsidP="00BA3CDE">
      <w:pPr>
        <w:pStyle w:val="NormalWeb"/>
      </w:pPr>
      <w:r>
        <w:t xml:space="preserve">On Dec. 16, 2022, in </w:t>
      </w:r>
      <w:r w:rsidRPr="003B67CB">
        <w:rPr>
          <w:u w:val="single"/>
        </w:rPr>
        <w:t>Dennis Coaxum v. Board of Trustees, Police and Firemen’s Retirement System</w:t>
      </w:r>
      <w:r>
        <w:t xml:space="preserve">, the Superior Court of New Jersey, Appellate Division, held (2 to 0) that the Administrative Law Judge properly concluded that the injury suffered by the Atlantic City firefighter was not "undesigned and unexpected” as required under State law for accidental disability retirement benefits (ADRB).  The ALJ found Dennis failed to satisfy, by a preponderance of the evidence, the July 18, </w:t>
      </w:r>
      <w:proofErr w:type="gramStart"/>
      <w:r>
        <w:t>2017</w:t>
      </w:r>
      <w:proofErr w:type="gramEnd"/>
      <w:r>
        <w:t xml:space="preserve"> incident was "undesigned and unexpected."  Additionally, the ALJ questioned Dennis' credibility given his lack of disclosure about the patient grabbing the railing on any form or to any doctor prior to his testimony.</w:t>
      </w:r>
    </w:p>
    <w:p w14:paraId="36AFEB4F" w14:textId="77777777" w:rsidR="00BA3CDE" w:rsidRDefault="00BA3CDE" w:rsidP="00BA3CDE">
      <w:pPr>
        <w:pStyle w:val="NormalWeb"/>
        <w:ind w:left="720"/>
      </w:pPr>
      <w:r>
        <w:t xml:space="preserve">“Dennis was performing his normal job duties on the date of the incident. He had been trained to transport people to medical facilities. While the utilization of a stair chair was more common and preferable, Dennis had been supplied with and trained to use a Reeves Sleeve and had utilized it to move patients on previous occasions. He conceded he was trained to move patients in different types of areas and under different circumstances. He testified he was trained to lift things over his head as a firefighter. The record is bereft of any indication Dennis' injury arose from anything other than ordinary strenuous work effort.” </w:t>
      </w:r>
      <w:hyperlink r:id="rId1123" w:history="1">
        <w:r w:rsidRPr="00237809">
          <w:rPr>
            <w:rStyle w:val="Hyperlink"/>
            <w:rFonts w:eastAsiaTheme="majorEastAsia"/>
          </w:rPr>
          <w:t>https://casetext.com/case/coaxum-v-bd-of-trs</w:t>
        </w:r>
      </w:hyperlink>
      <w:r>
        <w:t xml:space="preserve"> </w:t>
      </w:r>
    </w:p>
    <w:p w14:paraId="15E30CFE" w14:textId="77777777" w:rsidR="00BA3CDE" w:rsidRDefault="00BA3CDE" w:rsidP="00BA3CDE">
      <w:pPr>
        <w:pStyle w:val="NormalWeb"/>
        <w:rPr>
          <w:b/>
          <w:bCs/>
        </w:rPr>
      </w:pPr>
      <w:r w:rsidRPr="000502FD">
        <w:rPr>
          <w:b/>
          <w:bCs/>
        </w:rPr>
        <w:t>Legal Lesson Learned:</w:t>
      </w:r>
      <w:r>
        <w:rPr>
          <w:b/>
          <w:bCs/>
        </w:rPr>
        <w:t xml:space="preserve">  Thoroughly document in all reports that the patient grabbed the railing. </w:t>
      </w:r>
    </w:p>
    <w:p w14:paraId="63A9C5F9" w14:textId="77777777" w:rsidR="00BA3CDE" w:rsidRDefault="00BA3CDE" w:rsidP="00EF1133">
      <w:pPr>
        <w:rPr>
          <w:rFonts w:ascii="Arial Black" w:hAnsi="Arial Black"/>
          <w:b/>
          <w:sz w:val="24"/>
          <w:szCs w:val="24"/>
        </w:rPr>
      </w:pPr>
    </w:p>
    <w:p w14:paraId="02D6A6EE" w14:textId="77777777" w:rsidR="00BA3CDE" w:rsidRDefault="00BA3CDE" w:rsidP="00EF1133">
      <w:pPr>
        <w:rPr>
          <w:rFonts w:ascii="Arial Black" w:hAnsi="Arial Black"/>
          <w:b/>
          <w:sz w:val="24"/>
          <w:szCs w:val="24"/>
        </w:rPr>
      </w:pPr>
    </w:p>
    <w:p w14:paraId="2B74590B" w14:textId="28FE1369" w:rsidR="006C79BE" w:rsidRDefault="006C79BE" w:rsidP="00EF1133">
      <w:pPr>
        <w:rPr>
          <w:rFonts w:ascii="Arial Black" w:hAnsi="Arial Black"/>
          <w:b/>
          <w:sz w:val="24"/>
          <w:szCs w:val="24"/>
        </w:rPr>
      </w:pPr>
      <w:r>
        <w:rPr>
          <w:rFonts w:ascii="Arial Black" w:hAnsi="Arial Black"/>
          <w:b/>
          <w:sz w:val="24"/>
          <w:szCs w:val="24"/>
        </w:rPr>
        <w:t>6-</w:t>
      </w:r>
      <w:r w:rsidR="00FF7C63">
        <w:rPr>
          <w:rFonts w:ascii="Arial Black" w:hAnsi="Arial Black"/>
          <w:b/>
          <w:sz w:val="24"/>
          <w:szCs w:val="24"/>
        </w:rPr>
        <w:t>99</w:t>
      </w:r>
    </w:p>
    <w:p w14:paraId="15A77FF6" w14:textId="77777777" w:rsidR="006C79BE" w:rsidRPr="00E86687" w:rsidRDefault="006C79BE" w:rsidP="006C79BE">
      <w:pPr>
        <w:rPr>
          <w:rFonts w:ascii="Arial Black" w:hAnsi="Arial Black"/>
          <w:sz w:val="28"/>
          <w:szCs w:val="28"/>
        </w:rPr>
      </w:pPr>
      <w:r>
        <w:rPr>
          <w:rFonts w:ascii="Arial Black" w:hAnsi="Arial Black"/>
          <w:sz w:val="28"/>
          <w:szCs w:val="28"/>
        </w:rPr>
        <w:t>SC: FF BACK INJURY - WORKERS COMP AWARDED FOR “REPETITIVE TRAUMA INJURY” – ALJ REVERSED</w:t>
      </w:r>
    </w:p>
    <w:p w14:paraId="55E4B2CB" w14:textId="77777777" w:rsidR="006C79BE" w:rsidRDefault="006C79BE" w:rsidP="006C79BE">
      <w:pPr>
        <w:pStyle w:val="NormalWeb"/>
      </w:pPr>
      <w:r w:rsidRPr="00E86687">
        <w:t xml:space="preserve">On Dec. 7, 2022, </w:t>
      </w:r>
      <w:r>
        <w:t xml:space="preserve">in </w:t>
      </w:r>
      <w:r w:rsidRPr="00E86687">
        <w:rPr>
          <w:u w:val="single"/>
        </w:rPr>
        <w:t>Nicholas B. Thompson v. Bluffton Township Fire District, et al</w:t>
      </w:r>
      <w:r>
        <w:t xml:space="preserve">., the Court of Appeals of South Carolina, held (3 to 0) that Administrative Law Judge is reversed, since there is substantial evidence of repetitive trauma injury caused by his work as a firefighter. He began experiencing back pain in </w:t>
      </w:r>
      <w:proofErr w:type="gramStart"/>
      <w:r>
        <w:t>2014, but</w:t>
      </w:r>
      <w:proofErr w:type="gramEnd"/>
      <w:r>
        <w:t xml:space="preserve"> was able to perform firefighter duties. </w:t>
      </w:r>
      <w:r w:rsidRPr="00E86687">
        <w:t xml:space="preserve">In 2016, Thompson </w:t>
      </w:r>
      <w:r>
        <w:t xml:space="preserve">identified </w:t>
      </w:r>
      <w:r w:rsidRPr="00E86687">
        <w:t xml:space="preserve">three specific instances where his back pain was "significant" at work. </w:t>
      </w:r>
      <w:r>
        <w:t xml:space="preserve">In </w:t>
      </w:r>
      <w:r w:rsidRPr="00E86687">
        <w:t xml:space="preserve">late spring of 2016, Thompson responded to a "lift and assist call" to help a four-hundred-pound woman rise from the floor of her home. </w:t>
      </w:r>
      <w:r>
        <w:t xml:space="preserve"> On </w:t>
      </w:r>
      <w:r w:rsidRPr="00E86687">
        <w:t>July 9, 2016</w:t>
      </w:r>
      <w:r>
        <w:t xml:space="preserve">, he </w:t>
      </w:r>
      <w:r w:rsidRPr="00E86687">
        <w:t>was at the scene of a large house fire (the Belfair Fire)</w:t>
      </w:r>
      <w:r>
        <w:t xml:space="preserve"> where he handled high-pressure hose and replaced SCBAs.  In October 2016, he used chains in </w:t>
      </w:r>
      <w:r w:rsidRPr="00E86687">
        <w:t>aftermath of Hurricane Matthew</w:t>
      </w:r>
      <w:r>
        <w:t xml:space="preserve">. In January 2017, Thompson reported to his Battalion Chief that his back pain was affecting his ability to do his job and underwent MRI that revealed he had a bulging disc, disc degeneration, and nerve impingement in his lower back. The Court was particularly critical of ALJ’s criticism that </w:t>
      </w:r>
      <w:proofErr w:type="gramStart"/>
      <w:r>
        <w:t>firefighter</w:t>
      </w:r>
      <w:proofErr w:type="gramEnd"/>
      <w:r>
        <w:t xml:space="preserve"> did not file reports of injury from these incidents.  </w:t>
      </w:r>
    </w:p>
    <w:p w14:paraId="41ABF8F4" w14:textId="77777777" w:rsidR="006C79BE" w:rsidRDefault="006C79BE" w:rsidP="006C79BE">
      <w:pPr>
        <w:pStyle w:val="NormalWeb"/>
        <w:ind w:left="720"/>
      </w:pPr>
      <w:r>
        <w:t>“</w:t>
      </w:r>
      <w:r w:rsidRPr="00BF6A0E">
        <w:rPr>
          <w:rStyle w:val="markedcontent"/>
        </w:rPr>
        <w:t>We find Thompson, although</w:t>
      </w:r>
      <w:r>
        <w:rPr>
          <w:rStyle w:val="markedcontent"/>
        </w:rPr>
        <w:t xml:space="preserve"> </w:t>
      </w:r>
      <w:r w:rsidRPr="00BF6A0E">
        <w:rPr>
          <w:rStyle w:val="markedcontent"/>
        </w:rPr>
        <w:t>experiencing and receiving treatment for back pain from 2014 until 2016, could not</w:t>
      </w:r>
      <w:r>
        <w:rPr>
          <w:rStyle w:val="markedcontent"/>
        </w:rPr>
        <w:t xml:space="preserve"> </w:t>
      </w:r>
      <w:r w:rsidRPr="00BF6A0E">
        <w:rPr>
          <w:rStyle w:val="markedcontent"/>
        </w:rPr>
        <w:t>have reasonably known it was a compensable repetitive trauma injury until February</w:t>
      </w:r>
      <w:r>
        <w:rPr>
          <w:rStyle w:val="markedcontent"/>
        </w:rPr>
        <w:t xml:space="preserve"> </w:t>
      </w:r>
      <w:r w:rsidRPr="00BF6A0E">
        <w:rPr>
          <w:rStyle w:val="markedcontent"/>
        </w:rPr>
        <w:t>2017, when the pain from his gradual onset injury became so intense that he was</w:t>
      </w:r>
      <w:r>
        <w:rPr>
          <w:rStyle w:val="markedcontent"/>
        </w:rPr>
        <w:t xml:space="preserve"> </w:t>
      </w:r>
      <w:r w:rsidRPr="00BF6A0E">
        <w:rPr>
          <w:rStyle w:val="markedcontent"/>
        </w:rPr>
        <w:t>unable to complete daily duties as a firefighter and he sought medical treatment from</w:t>
      </w:r>
      <w:r>
        <w:rPr>
          <w:rStyle w:val="markedcontent"/>
        </w:rPr>
        <w:t xml:space="preserve"> </w:t>
      </w:r>
      <w:r w:rsidRPr="00BF6A0E">
        <w:rPr>
          <w:rStyle w:val="markedcontent"/>
        </w:rPr>
        <w:t>Dr. Cramer</w:t>
      </w:r>
      <w:r>
        <w:rPr>
          <w:rStyle w:val="markedcontent"/>
        </w:rPr>
        <w:t xml:space="preserve">…. </w:t>
      </w:r>
      <w:r w:rsidRPr="00E73268">
        <w:t xml:space="preserve">We also find Thompson presented competent medical evidence </w:t>
      </w:r>
      <w:r>
        <w:t>‘</w:t>
      </w:r>
      <w:r w:rsidRPr="00E73268">
        <w:t>that there is a direct causal relationship between the condition under which the work is performed and the injury.</w:t>
      </w:r>
      <w:r>
        <w:t>’</w:t>
      </w:r>
      <w:r w:rsidRPr="00E73268">
        <w:t xml:space="preserve"> § 42-1-172(D). Dr. Lindley was under no misapprehension about the duties Thompson was required to perform as a firefighter when giving his opinion about the cause of Thompson's repetitive trauma injury, and it was his expert medical opinion-recited in both his July 11, 2017 letter and in his sworn deposition testimony-that to a reasonable degree of medical certainty, Thompson's repeated activity of picking up heavy objects and people caused Thompson's L4-5 disc protrusion with radiculopathy, nerve impingement, and bowel and bladder issues.</w:t>
      </w:r>
      <w:r>
        <w:t xml:space="preserve">” </w:t>
      </w:r>
      <w:hyperlink r:id="rId1124" w:history="1">
        <w:r w:rsidRPr="00622894">
          <w:rPr>
            <w:rStyle w:val="Hyperlink"/>
          </w:rPr>
          <w:t>https://law.justia.com/cases/south-carolina/court-of-appeals/2022/2022-up-437.html</w:t>
        </w:r>
      </w:hyperlink>
      <w:r>
        <w:t xml:space="preserve"> </w:t>
      </w:r>
    </w:p>
    <w:p w14:paraId="7D7A6EFF" w14:textId="77777777" w:rsidR="006C79BE" w:rsidRPr="00E73268" w:rsidRDefault="006C79BE" w:rsidP="006C79BE">
      <w:pPr>
        <w:rPr>
          <w:rFonts w:ascii="Times New Roman" w:hAnsi="Times New Roman"/>
          <w:b/>
          <w:bCs/>
          <w:sz w:val="24"/>
          <w:szCs w:val="24"/>
        </w:rPr>
      </w:pPr>
      <w:r w:rsidRPr="00E73268">
        <w:rPr>
          <w:rFonts w:ascii="Times New Roman" w:hAnsi="Times New Roman"/>
          <w:b/>
          <w:bCs/>
          <w:sz w:val="24"/>
          <w:szCs w:val="24"/>
        </w:rPr>
        <w:t>Legal Lesson Learned:</w:t>
      </w:r>
      <w:r>
        <w:rPr>
          <w:rFonts w:ascii="Times New Roman" w:hAnsi="Times New Roman"/>
          <w:b/>
          <w:bCs/>
          <w:sz w:val="24"/>
          <w:szCs w:val="24"/>
        </w:rPr>
        <w:t xml:space="preserve"> Excellent decision based on substantial testimony about the firefighter’s strenuous job duties. </w:t>
      </w:r>
    </w:p>
    <w:p w14:paraId="5D011BFB" w14:textId="77777777" w:rsidR="006C79BE" w:rsidRDefault="006C79BE" w:rsidP="006C79BE">
      <w:pPr>
        <w:pStyle w:val="NormalWeb"/>
      </w:pPr>
    </w:p>
    <w:p w14:paraId="1E574966" w14:textId="77777777" w:rsidR="006C79BE" w:rsidRDefault="006C79BE" w:rsidP="00EF1133">
      <w:pPr>
        <w:rPr>
          <w:rFonts w:ascii="Arial Black" w:hAnsi="Arial Black"/>
          <w:b/>
          <w:sz w:val="24"/>
          <w:szCs w:val="24"/>
        </w:rPr>
      </w:pPr>
    </w:p>
    <w:p w14:paraId="7F2960A1" w14:textId="77777777" w:rsidR="006C79BE" w:rsidRDefault="006C79BE" w:rsidP="00EF1133">
      <w:pPr>
        <w:rPr>
          <w:rFonts w:ascii="Arial Black" w:hAnsi="Arial Black"/>
          <w:b/>
          <w:sz w:val="24"/>
          <w:szCs w:val="24"/>
        </w:rPr>
      </w:pPr>
    </w:p>
    <w:p w14:paraId="7D617C63" w14:textId="77777777" w:rsidR="006C79BE" w:rsidRDefault="006C79BE" w:rsidP="00EF1133">
      <w:pPr>
        <w:rPr>
          <w:rFonts w:ascii="Arial Black" w:hAnsi="Arial Black"/>
          <w:b/>
          <w:sz w:val="24"/>
          <w:szCs w:val="24"/>
        </w:rPr>
      </w:pPr>
    </w:p>
    <w:p w14:paraId="3596749D" w14:textId="06B31B61" w:rsidR="00B87D79" w:rsidRDefault="00B87D79"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8</w:t>
      </w:r>
    </w:p>
    <w:p w14:paraId="6A018D38" w14:textId="77777777" w:rsidR="00B87D79" w:rsidRDefault="00B87D79" w:rsidP="00B87D79">
      <w:pPr>
        <w:pStyle w:val="NormalWeb"/>
        <w:rPr>
          <w:rFonts w:ascii="Arial Black" w:hAnsi="Arial Black"/>
          <w:sz w:val="28"/>
          <w:szCs w:val="28"/>
        </w:rPr>
      </w:pPr>
      <w:r>
        <w:rPr>
          <w:rFonts w:ascii="Arial Black" w:hAnsi="Arial Black"/>
          <w:sz w:val="28"/>
          <w:szCs w:val="28"/>
        </w:rPr>
        <w:t>IL: FIRE CHIEF – SEVERANCE – PENSION MUST INCLUDE 4 ½ MONTHS ON PAID LEAVE AND 3% PAY INCREASE FOR FF</w:t>
      </w:r>
    </w:p>
    <w:p w14:paraId="58938F75" w14:textId="77777777" w:rsidR="00B87D79" w:rsidRDefault="00B87D79" w:rsidP="00B87D79">
      <w:pPr>
        <w:pStyle w:val="NormalWeb"/>
      </w:pPr>
      <w:r>
        <w:t xml:space="preserve">On Nov. 30, 2022, in </w:t>
      </w:r>
      <w:r w:rsidRPr="00CE1473">
        <w:rPr>
          <w:u w:val="single"/>
        </w:rPr>
        <w:t>Kenneth Brucki v. Orland Fire Protection District, et al</w:t>
      </w:r>
      <w:r>
        <w:t xml:space="preserve">., the Court of Appeals of Illinois, Third Division, held (3 to 0) that Pension Board is reversed; the Fire Chief’s pension should be increased based on his salary with 3% increase to $186,449 (from $181,220), and shall include his pay while on administrative leave. The Fire Chief had been under investigation and “Brucki agreed to pay $12,500 as reimbursement for charges on the </w:t>
      </w:r>
      <w:proofErr w:type="gramStart"/>
      <w:r>
        <w:t>District's</w:t>
      </w:r>
      <w:proofErr w:type="gramEnd"/>
      <w:r>
        <w:t xml:space="preserve"> credit cards.”</w:t>
      </w:r>
    </w:p>
    <w:p w14:paraId="2FF36DD9" w14:textId="77777777" w:rsidR="00B87D79" w:rsidRDefault="00B87D79" w:rsidP="00B87D79">
      <w:pPr>
        <w:pStyle w:val="NormalWeb"/>
        <w:ind w:left="720"/>
      </w:pPr>
      <w:r>
        <w:t xml:space="preserve">“After his 50th birthday in October 2017, Brucki was entitled to a pension. In his pension application, he listed his last day worked as January 4, 2016, and his annual pensionable salary as $186,449, which included the 3% adjustment on January 1, 2016. The pension fund submitted paperwork indicating that his last day was August 20, 2015, and his salary was $181,220. </w:t>
      </w:r>
    </w:p>
    <w:p w14:paraId="28C9D85A" w14:textId="77777777" w:rsidR="00B87D79" w:rsidRDefault="00B87D79" w:rsidP="00B87D79">
      <w:pPr>
        <w:pStyle w:val="NormalWeb"/>
        <w:ind w:left="720"/>
      </w:pPr>
      <w:r>
        <w:t>***</w:t>
      </w:r>
    </w:p>
    <w:p w14:paraId="643BED0A" w14:textId="627DC936" w:rsidR="00B87D79" w:rsidRPr="00B87D79" w:rsidRDefault="00B87D79" w:rsidP="00B87D79">
      <w:pPr>
        <w:ind w:left="720"/>
        <w:rPr>
          <w:rFonts w:ascii="Times New Roman" w:hAnsi="Times New Roman"/>
          <w:b/>
          <w:sz w:val="24"/>
          <w:szCs w:val="24"/>
        </w:rPr>
      </w:pPr>
      <w:r w:rsidRPr="00B87D79">
        <w:rPr>
          <w:rFonts w:ascii="Times New Roman" w:hAnsi="Times New Roman"/>
          <w:sz w:val="24"/>
          <w:szCs w:val="24"/>
        </w:rPr>
        <w:t xml:space="preserve">We thus reverse the decision of the Board and the circuit court and remand with instructions to recalculate and award pension benefits to Brucki based on a final date of service of January 4, 2016, and an annual salary amount which includes the 3% adjustment - $186,449.” </w:t>
      </w:r>
      <w:hyperlink r:id="rId1125" w:history="1">
        <w:r w:rsidRPr="00B87D79">
          <w:rPr>
            <w:rStyle w:val="Hyperlink"/>
            <w:rFonts w:ascii="Times New Roman" w:eastAsiaTheme="majorEastAsia" w:hAnsi="Times New Roman"/>
            <w:sz w:val="24"/>
            <w:szCs w:val="24"/>
          </w:rPr>
          <w:t>https://ilcourtsaudio.blob.core.windows.net/antilles-resources/resources/aec16a44-b27a-4304-97c1-5c133043b2dd/Brucki%20v.%20Orland%20Fire%20Protection%20District,%202022%20IL%20App%20(1st)%20220288-U.pdf</w:t>
        </w:r>
      </w:hyperlink>
    </w:p>
    <w:p w14:paraId="75695449" w14:textId="77777777" w:rsidR="00B87D79" w:rsidRPr="00F058AD" w:rsidRDefault="00B87D79" w:rsidP="00B87D79">
      <w:pPr>
        <w:pStyle w:val="NormalWeb"/>
        <w:rPr>
          <w:b/>
          <w:bCs/>
        </w:rPr>
      </w:pPr>
      <w:r w:rsidRPr="00F058AD">
        <w:rPr>
          <w:b/>
          <w:bCs/>
        </w:rPr>
        <w:t>Legal Lesson Learned:</w:t>
      </w:r>
      <w:r>
        <w:rPr>
          <w:b/>
          <w:bCs/>
        </w:rPr>
        <w:t xml:space="preserve"> When negotiating a severance agreement with 4 ½ months of paid leave, the parties should include a clause regarding how those </w:t>
      </w:r>
      <w:proofErr w:type="gramStart"/>
      <w:r>
        <w:rPr>
          <w:b/>
          <w:bCs/>
        </w:rPr>
        <w:t>months</w:t>
      </w:r>
      <w:proofErr w:type="gramEnd"/>
      <w:r>
        <w:rPr>
          <w:b/>
          <w:bCs/>
        </w:rPr>
        <w:t xml:space="preserve"> and any pay increases would impact pension calculations. </w:t>
      </w:r>
    </w:p>
    <w:p w14:paraId="64D36E47" w14:textId="77777777" w:rsidR="00B87D79" w:rsidRPr="00F058AD" w:rsidRDefault="00B87D79" w:rsidP="00B87D79">
      <w:pPr>
        <w:pStyle w:val="Heading1"/>
        <w:ind w:left="720"/>
        <w:rPr>
          <w:b w:val="0"/>
          <w:bCs w:val="0"/>
          <w:sz w:val="24"/>
          <w:szCs w:val="24"/>
        </w:rPr>
      </w:pPr>
      <w:r w:rsidRPr="00F058AD">
        <w:rPr>
          <w:b w:val="0"/>
          <w:bCs w:val="0"/>
          <w:sz w:val="24"/>
          <w:szCs w:val="24"/>
        </w:rPr>
        <w:t xml:space="preserve">Note: See Aug. 23, </w:t>
      </w:r>
      <w:proofErr w:type="gramStart"/>
      <w:r w:rsidRPr="00F058AD">
        <w:rPr>
          <w:b w:val="0"/>
          <w:bCs w:val="0"/>
          <w:sz w:val="24"/>
          <w:szCs w:val="24"/>
        </w:rPr>
        <w:t>2011</w:t>
      </w:r>
      <w:proofErr w:type="gramEnd"/>
      <w:r w:rsidRPr="00F058AD">
        <w:rPr>
          <w:b w:val="0"/>
          <w:bCs w:val="0"/>
          <w:sz w:val="24"/>
          <w:szCs w:val="24"/>
        </w:rPr>
        <w:t xml:space="preserve"> article, Orland fire chief retires under cloud: 'I didn't do anything wrong.' </w:t>
      </w:r>
      <w:hyperlink r:id="rId1126" w:history="1">
        <w:r w:rsidRPr="00F058AD">
          <w:rPr>
            <w:rStyle w:val="Hyperlink"/>
            <w:rFonts w:eastAsiaTheme="majorEastAsia"/>
            <w:b w:val="0"/>
            <w:bCs w:val="0"/>
            <w:sz w:val="24"/>
            <w:szCs w:val="24"/>
          </w:rPr>
          <w:t>https://www.chicagotribune.com/news/breaking/chi-retiring-orland-fire-chief-i-didnt-do-anything-wrong-20110823-story.html</w:t>
        </w:r>
      </w:hyperlink>
      <w:r w:rsidRPr="00F058AD">
        <w:rPr>
          <w:b w:val="0"/>
          <w:bCs w:val="0"/>
          <w:sz w:val="24"/>
          <w:szCs w:val="24"/>
        </w:rPr>
        <w:t xml:space="preserve"> </w:t>
      </w:r>
    </w:p>
    <w:p w14:paraId="3437C912" w14:textId="77777777" w:rsidR="00B87D79" w:rsidRDefault="00B87D79" w:rsidP="00EF1133">
      <w:pPr>
        <w:rPr>
          <w:rFonts w:ascii="Arial Black" w:hAnsi="Arial Black"/>
          <w:b/>
          <w:sz w:val="24"/>
          <w:szCs w:val="24"/>
        </w:rPr>
      </w:pPr>
    </w:p>
    <w:p w14:paraId="636D96E9" w14:textId="77777777" w:rsidR="00B87D79" w:rsidRDefault="00B87D79" w:rsidP="00EF1133">
      <w:pPr>
        <w:rPr>
          <w:rFonts w:ascii="Arial Black" w:hAnsi="Arial Black"/>
          <w:b/>
          <w:sz w:val="24"/>
          <w:szCs w:val="24"/>
        </w:rPr>
      </w:pPr>
    </w:p>
    <w:p w14:paraId="77EF82F8" w14:textId="77777777" w:rsidR="00B87D79" w:rsidRDefault="00B87D79" w:rsidP="00EF1133">
      <w:pPr>
        <w:rPr>
          <w:rFonts w:ascii="Arial Black" w:hAnsi="Arial Black"/>
          <w:b/>
          <w:sz w:val="24"/>
          <w:szCs w:val="24"/>
        </w:rPr>
      </w:pPr>
    </w:p>
    <w:p w14:paraId="0EE088C5" w14:textId="5F553AA2" w:rsidR="00B87D79" w:rsidRDefault="00B87D79"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7</w:t>
      </w:r>
    </w:p>
    <w:p w14:paraId="6FB0873B" w14:textId="77777777" w:rsidR="00B87D79" w:rsidRDefault="00B87D79" w:rsidP="00B87D79">
      <w:pPr>
        <w:pStyle w:val="NormalWeb"/>
        <w:rPr>
          <w:rFonts w:ascii="Arial Black" w:hAnsi="Arial Black"/>
          <w:sz w:val="28"/>
          <w:szCs w:val="28"/>
        </w:rPr>
      </w:pPr>
      <w:r>
        <w:rPr>
          <w:rFonts w:ascii="Arial Black" w:hAnsi="Arial Black"/>
          <w:sz w:val="28"/>
          <w:szCs w:val="28"/>
        </w:rPr>
        <w:t>IL: FF STROKE AT HOME – “CUMULATIVE EFFECTS OF ACTIVE DUTY” – OCCUP. DISEASE DISABILITY PENSION</w:t>
      </w:r>
    </w:p>
    <w:p w14:paraId="6240D2E6" w14:textId="77777777" w:rsidR="00B87D79" w:rsidRDefault="00B87D79" w:rsidP="00B87D79">
      <w:pPr>
        <w:pStyle w:val="NormalWeb"/>
      </w:pPr>
      <w:r>
        <w:t xml:space="preserve">On Nov. 29, 2022, in </w:t>
      </w:r>
      <w:r w:rsidRPr="009F7136">
        <w:rPr>
          <w:u w:val="single"/>
        </w:rPr>
        <w:t>The City of East Peoria, Illinois v. Charles Melton, II, et al</w:t>
      </w:r>
      <w:r>
        <w:t xml:space="preserve">., the Court of Appeals of Illinois, Fourth District, held (3 to 0) that the Pension Board properly held that the 56-year-old Lieutenant was entitled to the disability pension. NFPA </w:t>
      </w:r>
      <w:proofErr w:type="gramStart"/>
      <w:r>
        <w:t>requires wait</w:t>
      </w:r>
      <w:proofErr w:type="gramEnd"/>
      <w:r>
        <w:t xml:space="preserve"> one year after stroke to return to work; but he can’t ever return since on blood thinner from 2017 pulmonary embolism. City argued that the stroke was not caused by the job, but from blood thinner,  but Board had three physicians review his medical records (not statutory requirement they give him physical exam) and a physician </w:t>
      </w:r>
      <w:proofErr w:type="gramStart"/>
      <w:r>
        <w:t>said</w:t>
      </w:r>
      <w:proofErr w:type="gramEnd"/>
      <w:r>
        <w:t xml:space="preserve"> “</w:t>
      </w:r>
      <w:r w:rsidRPr="009F7136">
        <w:t xml:space="preserve">cannot discount the cumulative effects of active duty of Firefighting </w:t>
      </w:r>
      <w:proofErr w:type="gramStart"/>
      <w:r w:rsidRPr="009F7136">
        <w:t>in regards to</w:t>
      </w:r>
      <w:proofErr w:type="gramEnd"/>
      <w:r w:rsidRPr="009F7136">
        <w:t xml:space="preserve"> his stroke.</w:t>
      </w:r>
      <w:r>
        <w:t xml:space="preserve">” </w:t>
      </w:r>
    </w:p>
    <w:p w14:paraId="6BE7B41E" w14:textId="77777777" w:rsidR="00B87D79" w:rsidRDefault="00B87D79" w:rsidP="00B87D79">
      <w:pPr>
        <w:pStyle w:val="NormalWeb"/>
        <w:ind w:left="720"/>
      </w:pPr>
      <w:r>
        <w:t xml:space="preserve">“The Board argues that Melton's pre-existing medical conditions, including his prior voluntary use of anticoagulants, does not disqualify him from receiving an occupational disease pension. The Board argues that there was no evidence that Melton was prohibited from performing full unrestricted duties prior to his stroke and that he continued those duties even after voluntarily beginning the medications in 2017. The Board argues that there is no dispute that Melton suffered a stroke, and </w:t>
      </w:r>
      <w:proofErr w:type="gramStart"/>
      <w:r>
        <w:t>as a result of</w:t>
      </w:r>
      <w:proofErr w:type="gramEnd"/>
      <w:r>
        <w:t xml:space="preserve"> the stroke he thereafter was prescribed a mandatory, higher dose of anticoagulants that he must take for the rest of his life.</w:t>
      </w:r>
    </w:p>
    <w:p w14:paraId="32F5D8B0" w14:textId="77777777" w:rsidR="00B87D79" w:rsidRDefault="00B87D79" w:rsidP="00B87D79">
      <w:pPr>
        <w:pStyle w:val="NormalWeb"/>
        <w:ind w:left="720"/>
      </w:pPr>
      <w:r>
        <w:t>***</w:t>
      </w:r>
    </w:p>
    <w:p w14:paraId="1C86A019" w14:textId="77777777" w:rsidR="00B87D79" w:rsidRPr="009F7136" w:rsidRDefault="00B87D79" w:rsidP="00B87D79">
      <w:pPr>
        <w:pStyle w:val="NormalWeb"/>
        <w:ind w:left="720"/>
      </w:pPr>
      <w:r>
        <w:t xml:space="preserve">We conclude that the Board's finding that Melton's stroke resulted from his ‘service as a firefighter’ was not against the manifest weight of the evidence.” </w:t>
      </w:r>
      <w:hyperlink r:id="rId1127" w:history="1">
        <w:r w:rsidRPr="00736457">
          <w:rPr>
            <w:rStyle w:val="Hyperlink"/>
            <w:rFonts w:eastAsiaTheme="majorEastAsia"/>
          </w:rPr>
          <w:t>https://ilcourtsaudio.blob.core.windows.net/antilles-resources/resources/afeb172a-b7f7-45e5-889d-a00b38f164df/City%20of%20East%20Peoria%20v.%20Melton,%202022%20IL%20App%20(4th)%20220281-U.pdf</w:t>
        </w:r>
      </w:hyperlink>
      <w:r>
        <w:t xml:space="preserve"> </w:t>
      </w:r>
    </w:p>
    <w:p w14:paraId="49D66FC6" w14:textId="77777777" w:rsidR="00B87D79" w:rsidRPr="006C71D8" w:rsidRDefault="00B87D79" w:rsidP="00B87D79">
      <w:pPr>
        <w:pStyle w:val="NormalWeb"/>
        <w:rPr>
          <w:b/>
          <w:bCs/>
        </w:rPr>
      </w:pPr>
      <w:r w:rsidRPr="006C71D8">
        <w:rPr>
          <w:b/>
          <w:bCs/>
        </w:rPr>
        <w:t>Legal Lesson Learned: The Board relied on physician’s report that “</w:t>
      </w:r>
      <w:r w:rsidRPr="009F7136">
        <w:rPr>
          <w:b/>
          <w:bCs/>
        </w:rPr>
        <w:t xml:space="preserve">cannot discount the cumulative effects of active duty of Firefighting </w:t>
      </w:r>
      <w:proofErr w:type="gramStart"/>
      <w:r w:rsidRPr="009F7136">
        <w:rPr>
          <w:b/>
          <w:bCs/>
        </w:rPr>
        <w:t>in regards</w:t>
      </w:r>
      <w:r>
        <w:rPr>
          <w:b/>
          <w:bCs/>
        </w:rPr>
        <w:t xml:space="preserve"> </w:t>
      </w:r>
      <w:r w:rsidRPr="009F7136">
        <w:rPr>
          <w:b/>
          <w:bCs/>
        </w:rPr>
        <w:t>to</w:t>
      </w:r>
      <w:proofErr w:type="gramEnd"/>
      <w:r w:rsidRPr="009F7136">
        <w:rPr>
          <w:b/>
          <w:bCs/>
        </w:rPr>
        <w:t xml:space="preserve"> his stroke.</w:t>
      </w:r>
      <w:r w:rsidRPr="006C71D8">
        <w:rPr>
          <w:b/>
          <w:bCs/>
        </w:rPr>
        <w:t xml:space="preserve">” </w:t>
      </w:r>
    </w:p>
    <w:p w14:paraId="2EE9A954" w14:textId="31D0CDD7" w:rsidR="00804F3A" w:rsidRDefault="00804F3A"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6</w:t>
      </w:r>
    </w:p>
    <w:p w14:paraId="48121EE9" w14:textId="77777777" w:rsidR="00804F3A" w:rsidRPr="00815A5D" w:rsidRDefault="00804F3A" w:rsidP="00804F3A">
      <w:pPr>
        <w:pStyle w:val="NormalWeb"/>
        <w:rPr>
          <w:rFonts w:ascii="Arial Black" w:hAnsi="Arial Black"/>
          <w:b/>
          <w:bCs/>
          <w:sz w:val="28"/>
          <w:szCs w:val="28"/>
        </w:rPr>
      </w:pPr>
      <w:r>
        <w:rPr>
          <w:rFonts w:ascii="Arial Black" w:hAnsi="Arial Black"/>
          <w:b/>
          <w:bCs/>
          <w:sz w:val="28"/>
          <w:szCs w:val="28"/>
        </w:rPr>
        <w:t xml:space="preserve">NY: FF ON DUTY INJURED RIGHT HIP – MRI SHOWED HISTORY JOINT DISEASE – NO ACCIDENTAL DISAB. </w:t>
      </w:r>
    </w:p>
    <w:p w14:paraId="7A389ABF" w14:textId="77777777" w:rsidR="00804F3A" w:rsidRDefault="00804F3A" w:rsidP="00804F3A">
      <w:pPr>
        <w:pStyle w:val="NormalWeb"/>
      </w:pPr>
      <w:r w:rsidRPr="00AC10D4">
        <w:t xml:space="preserve">On </w:t>
      </w:r>
      <w:r>
        <w:t xml:space="preserve">Oct. 26, 2022, </w:t>
      </w:r>
      <w:r w:rsidRPr="00AC10D4">
        <w:rPr>
          <w:u w:val="single"/>
        </w:rPr>
        <w:t>In the Matter of Joseph M. Kearney v. Daniel A. Nigro, et al.,</w:t>
      </w:r>
      <w:r>
        <w:t xml:space="preserve"> the Supreme Court of New York held (4 to 0), 2022 NY Slip Op 06007, that the Pension Fund properly denied the firefighter’s application for accidental disability retirement benefits and retired him on ordinary disability retirement benefits. Although the firefighter was disabled due to his right hip injury, this disabling condition was causally related to chronic degenerative joint disease, not a work-related injury. </w:t>
      </w:r>
    </w:p>
    <w:p w14:paraId="689583E0" w14:textId="77777777" w:rsidR="00804F3A" w:rsidRPr="00AC10D4" w:rsidRDefault="00804F3A" w:rsidP="00804F3A">
      <w:pPr>
        <w:pStyle w:val="NormalWeb"/>
        <w:ind w:left="720"/>
        <w:rPr>
          <w:b/>
          <w:bCs/>
        </w:rPr>
      </w:pPr>
      <w:r w:rsidRPr="00AC10D4">
        <w:rPr>
          <w:rFonts w:eastAsiaTheme="minorHAnsi"/>
        </w:rPr>
        <w:t xml:space="preserve">Here, the Medical Board's initial determination that the petitioner's </w:t>
      </w:r>
      <w:r>
        <w:rPr>
          <w:rFonts w:eastAsiaTheme="minorHAnsi"/>
        </w:rPr>
        <w:t>‘</w:t>
      </w:r>
      <w:r w:rsidRPr="00AC10D4">
        <w:rPr>
          <w:rFonts w:eastAsiaTheme="minorHAnsi"/>
        </w:rPr>
        <w:t>right hip disability is causally related to Chronic Degenerative Joint Disease,</w:t>
      </w:r>
      <w:r>
        <w:rPr>
          <w:rFonts w:eastAsiaTheme="minorHAnsi"/>
        </w:rPr>
        <w:t>’</w:t>
      </w:r>
      <w:r w:rsidRPr="00AC10D4">
        <w:rPr>
          <w:rFonts w:eastAsiaTheme="minorHAnsi"/>
        </w:rPr>
        <w:t xml:space="preserve"> which remained unchanged upon further consideration, was supported by credible evidence, consisting of the results of the MRI performed on August 14, 2015</w:t>
      </w:r>
      <w:r>
        <w:rPr>
          <w:rFonts w:eastAsiaTheme="minorHAnsi"/>
        </w:rPr>
        <w:t xml:space="preserve">…. </w:t>
      </w:r>
      <w:r w:rsidRPr="00AC10D4">
        <w:rPr>
          <w:rFonts w:eastAsiaTheme="minorHAnsi"/>
        </w:rPr>
        <w:t>Accordingly, it cannot be determined as a matter of law that the petitioner's disability was caused by his May 2015 accident. Moreover, contrary to the petitioner's contention, the record does not support a determination, as a matter of law, that his pre-existing degenerative condition was exacerbated by the accident</w:t>
      </w:r>
      <w:r>
        <w:rPr>
          <w:rFonts w:eastAsiaTheme="minorHAnsi"/>
        </w:rPr>
        <w:t>….”</w:t>
      </w:r>
      <w:hyperlink r:id="rId1128" w:history="1">
        <w:r w:rsidRPr="007662E8">
          <w:rPr>
            <w:rStyle w:val="Hyperlink"/>
            <w:rFonts w:eastAsiaTheme="minorHAnsi"/>
          </w:rPr>
          <w:t>https://caselaw.findlaw.com/ny-supreme-court/1972528.html</w:t>
        </w:r>
      </w:hyperlink>
      <w:r>
        <w:rPr>
          <w:rFonts w:eastAsiaTheme="minorHAnsi"/>
        </w:rPr>
        <w:t xml:space="preserve"> </w:t>
      </w:r>
    </w:p>
    <w:p w14:paraId="5C8C09D1" w14:textId="77777777" w:rsidR="00804F3A" w:rsidRPr="00AC10D4" w:rsidRDefault="00804F3A" w:rsidP="00804F3A">
      <w:pPr>
        <w:pStyle w:val="NormalWeb"/>
        <w:rPr>
          <w:b/>
          <w:bCs/>
        </w:rPr>
      </w:pPr>
      <w:r>
        <w:rPr>
          <w:b/>
          <w:bCs/>
        </w:rPr>
        <w:t xml:space="preserve">Legal Lesson Learned:  Hip replacement was not due to a work-related injury; ordinary retirement. </w:t>
      </w:r>
    </w:p>
    <w:p w14:paraId="4DF195F1" w14:textId="77777777" w:rsidR="00804F3A" w:rsidRDefault="00804F3A" w:rsidP="00EF1133">
      <w:pPr>
        <w:rPr>
          <w:rFonts w:ascii="Arial Black" w:hAnsi="Arial Black"/>
          <w:b/>
          <w:sz w:val="24"/>
          <w:szCs w:val="24"/>
        </w:rPr>
      </w:pPr>
    </w:p>
    <w:p w14:paraId="25DA10C3" w14:textId="77777777" w:rsidR="00804F3A" w:rsidRDefault="00804F3A" w:rsidP="00EF1133">
      <w:pPr>
        <w:rPr>
          <w:rFonts w:ascii="Arial Black" w:hAnsi="Arial Black"/>
          <w:b/>
          <w:sz w:val="24"/>
          <w:szCs w:val="24"/>
        </w:rPr>
      </w:pPr>
    </w:p>
    <w:p w14:paraId="670C6C59" w14:textId="13184F2C" w:rsidR="00E8117B" w:rsidRDefault="00E8117B"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5</w:t>
      </w:r>
    </w:p>
    <w:p w14:paraId="03FF7C59" w14:textId="77777777" w:rsidR="00E8117B" w:rsidRDefault="00E8117B" w:rsidP="00E8117B">
      <w:pPr>
        <w:pStyle w:val="NormalWeb"/>
        <w:rPr>
          <w:rFonts w:ascii="Arial Black" w:hAnsi="Arial Black"/>
          <w:b/>
          <w:bCs/>
          <w:sz w:val="28"/>
          <w:szCs w:val="28"/>
        </w:rPr>
      </w:pPr>
      <w:r>
        <w:rPr>
          <w:rFonts w:ascii="Arial Black" w:hAnsi="Arial Black"/>
          <w:b/>
          <w:bCs/>
          <w:sz w:val="28"/>
          <w:szCs w:val="28"/>
        </w:rPr>
        <w:t>NY: ON-THE-JOB FOOT INJURY / SHOULDER INJURY - NOT UNEPECTED “ACCIDENTS” – NO DISABILITY RETIREMENT</w:t>
      </w:r>
    </w:p>
    <w:p w14:paraId="7B521BF3" w14:textId="77777777" w:rsidR="00E8117B" w:rsidRPr="00E8117B" w:rsidRDefault="00E8117B" w:rsidP="00E8117B">
      <w:pPr>
        <w:pStyle w:val="NormalWeb"/>
      </w:pPr>
      <w:r w:rsidRPr="00E8117B">
        <w:t xml:space="preserve">On Sept. 29, 2022, in </w:t>
      </w:r>
      <w:r w:rsidRPr="00E8117B">
        <w:rPr>
          <w:u w:val="single"/>
        </w:rPr>
        <w:t>Matter of Elaine R. Berman v. Thomas P. DiNapoli, State Comptroller</w:t>
      </w:r>
      <w:r w:rsidRPr="00E8117B">
        <w:t xml:space="preserve">, the  Supreme Court of New York, Third Department, held (5 to 0) that souse of a deceased firefighter was not entitled to accidental disability payments. The Court agreed with the Hearing Officer that the firefighter’s foot injury and back injury occurred </w:t>
      </w:r>
      <w:proofErr w:type="gramStart"/>
      <w:r w:rsidRPr="00E8117B">
        <w:t>during the course of</w:t>
      </w:r>
      <w:proofErr w:type="gramEnd"/>
      <w:r w:rsidRPr="00E8117B">
        <w:t xml:space="preserve"> routine employment duties and were a risk inherent in the performance thereof.  </w:t>
      </w:r>
    </w:p>
    <w:p w14:paraId="152B2C6D" w14:textId="18072D45" w:rsidR="00E8117B" w:rsidRPr="00E8117B" w:rsidRDefault="00E8117B" w:rsidP="00E8117B">
      <w:pPr>
        <w:rPr>
          <w:rFonts w:ascii="Times New Roman" w:hAnsi="Times New Roman"/>
          <w:b/>
          <w:sz w:val="24"/>
          <w:szCs w:val="24"/>
        </w:rPr>
      </w:pPr>
      <w:r w:rsidRPr="00E8117B">
        <w:rPr>
          <w:rFonts w:ascii="Times New Roman" w:hAnsi="Times New Roman"/>
          <w:sz w:val="24"/>
          <w:szCs w:val="24"/>
        </w:rPr>
        <w:t xml:space="preserve">“Petitioner's burden was to demonstrate that decedent's disability arose out of an accident, which, for purposes of the Retirement and Social Security Law, is defined as ‘a sudden, fortuitous mischance, unexpected, out of the ordinary, and injurious in impact.’ *** </w:t>
      </w:r>
      <w:r w:rsidRPr="00E8117B">
        <w:rPr>
          <w:rFonts w:ascii="Times New Roman" w:eastAsiaTheme="minorHAnsi" w:hAnsi="Times New Roman"/>
          <w:sz w:val="24"/>
          <w:szCs w:val="24"/>
        </w:rPr>
        <w:t>His resulting injury was not caused by a sudden and unexpected event. As such, substantial evidence supports respondent's finding that the incident did not constitute an accident.”</w:t>
      </w:r>
      <w:hyperlink r:id="rId1129" w:history="1">
        <w:r w:rsidRPr="00E8117B">
          <w:rPr>
            <w:rStyle w:val="Hyperlink"/>
            <w:rFonts w:ascii="Times New Roman" w:hAnsi="Times New Roman"/>
            <w:sz w:val="24"/>
            <w:szCs w:val="24"/>
          </w:rPr>
          <w:t>https://public.fastcase.com/J%2FJP6pdidelsXxEE4k%2BLMgZsxRPxIagHaOxK3V7dyuXFeFyB6fz1Dln4tTh4Jm%2FUrhr8rAmwFuGj0jKVlSZT92lB7laeHNqW0rDlXNrGxCk%3D?utm_medium=email&amp;_hsmi=226712652&amp;_hsenc=p2ANqtz-88sbIkrx-fKIJNKIHom0LKoVEBAjtP4sRnfpcv7MlL8ga8F7YTwpRtQY7XbucL3D6C1qELcyLUMrsKcjyI3sLUlue5QA&amp;utm_content=226712652&amp;utm_source=hs_email</w:t>
        </w:r>
      </w:hyperlink>
    </w:p>
    <w:p w14:paraId="2B0451A4" w14:textId="77777777" w:rsidR="00E8117B" w:rsidRDefault="00E8117B" w:rsidP="00E8117B">
      <w:pPr>
        <w:pStyle w:val="NormalWeb"/>
        <w:rPr>
          <w:b/>
          <w:bCs/>
        </w:rPr>
      </w:pPr>
      <w:r>
        <w:rPr>
          <w:b/>
          <w:bCs/>
        </w:rPr>
        <w:t>Legal Lesson Learned: In New York, accidental disability retirement benefits are only for on-the-job accidents that are “sudden, fortuitous mischance, unexpected, out of the ordinary, and injurious in impact.”</w:t>
      </w:r>
    </w:p>
    <w:p w14:paraId="022D6364" w14:textId="300D3511" w:rsidR="00E8117B" w:rsidRDefault="00E8117B" w:rsidP="00EF1133">
      <w:pPr>
        <w:rPr>
          <w:rFonts w:ascii="Arial Black" w:hAnsi="Arial Black"/>
          <w:b/>
          <w:sz w:val="24"/>
          <w:szCs w:val="24"/>
        </w:rPr>
      </w:pPr>
    </w:p>
    <w:p w14:paraId="05B9903E" w14:textId="6DC5C59E" w:rsidR="00E8117B" w:rsidRDefault="00E8117B"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4</w:t>
      </w:r>
    </w:p>
    <w:p w14:paraId="0E5E2E01" w14:textId="77777777" w:rsidR="00E8117B" w:rsidRDefault="00E8117B" w:rsidP="00E8117B">
      <w:pPr>
        <w:pStyle w:val="NormalWeb"/>
        <w:rPr>
          <w:rFonts w:ascii="Arial Black" w:hAnsi="Arial Black"/>
          <w:b/>
          <w:bCs/>
          <w:sz w:val="28"/>
          <w:szCs w:val="28"/>
        </w:rPr>
      </w:pPr>
      <w:r>
        <w:rPr>
          <w:rFonts w:ascii="Arial Black" w:hAnsi="Arial Black"/>
          <w:b/>
          <w:bCs/>
          <w:sz w:val="28"/>
          <w:szCs w:val="28"/>
        </w:rPr>
        <w:t xml:space="preserve">IL: FF KIDNEY CANCER – WINS WORKERS COMP – REBUTTABLE PRESUMPTION STATUTE, EXPERT OPINION  </w:t>
      </w:r>
    </w:p>
    <w:p w14:paraId="4E179B9A" w14:textId="77777777" w:rsidR="00E8117B" w:rsidRDefault="00E8117B" w:rsidP="00E8117B">
      <w:pPr>
        <w:pStyle w:val="NormalWeb"/>
      </w:pPr>
      <w:r>
        <w:t xml:space="preserve">On Sept. 15, 2022, in </w:t>
      </w:r>
      <w:r>
        <w:rPr>
          <w:u w:val="single"/>
        </w:rPr>
        <w:t>City of Springfield v. The Illinois Workers’ Compensation Commission et al. (Matt Wood)</w:t>
      </w:r>
      <w:r>
        <w:t xml:space="preserve">, the Court of Appeals of Illinois, Fourth District (Workers; Compensation Commission Division) held (5 to 0) that the arbitrator and the Worker’s Comp Commission properly held that the firefighter was entitled to workers comp under the Illinois “rebuttable presumption” statute. </w:t>
      </w:r>
    </w:p>
    <w:p w14:paraId="7AB94878" w14:textId="77777777" w:rsidR="00E8117B" w:rsidRDefault="00E8117B" w:rsidP="00E8117B">
      <w:pPr>
        <w:pStyle w:val="NormalWeb"/>
        <w:ind w:left="720"/>
      </w:pPr>
      <w:r>
        <w:t xml:space="preserve">“[T]he Commission's finding that the claimant's kidney cancer arose out of and in the course of his employment was not against the manifest weight of the evidence. *** The arbitrator found that given the claimant [Matt Wood] was a firefighter for about 16 years on September 6, 2013, and he had kidney cancer that resulted in a disability, his kidney cancer shall be rebuttably presumed to (1) arise out of and in the course of his employment and (2) be causally connected to the hazards or exposures of the employment (820 ILCS 310/1(d) (West 2012)).” </w:t>
      </w:r>
      <w:hyperlink r:id="rId1130" w:history="1">
        <w:r w:rsidRPr="0078619C">
          <w:rPr>
            <w:rStyle w:val="Hyperlink"/>
          </w:rPr>
          <w:t>https://ilcourtsaudio.blob.core.windows.net/antilles-resources/resources/eba608df-6fa9-4d1a-8a11-f48abce29596/City%20of%20Springfield%20v.%20Illinois%20Workers'%20Compensation%20Comm'n,%202022%20IL%20App%20(4th)%20210604WC-U.pdf</w:t>
        </w:r>
      </w:hyperlink>
    </w:p>
    <w:p w14:paraId="097419E2" w14:textId="77777777" w:rsidR="00E8117B" w:rsidRDefault="00E8117B" w:rsidP="00E8117B">
      <w:pPr>
        <w:pStyle w:val="NormalWeb"/>
        <w:rPr>
          <w:b/>
          <w:bCs/>
        </w:rPr>
      </w:pPr>
      <w:r>
        <w:rPr>
          <w:b/>
          <w:bCs/>
        </w:rPr>
        <w:t xml:space="preserve">Legal Lesson Learned: Having an expert who has studied firefighter </w:t>
      </w:r>
      <w:proofErr w:type="gramStart"/>
      <w:r>
        <w:rPr>
          <w:b/>
          <w:bCs/>
        </w:rPr>
        <w:t>cancers</w:t>
      </w:r>
      <w:proofErr w:type="gramEnd"/>
      <w:r>
        <w:rPr>
          <w:b/>
          <w:bCs/>
        </w:rPr>
        <w:t xml:space="preserve"> is essential when presenting a workers’ compensation claim. </w:t>
      </w:r>
    </w:p>
    <w:p w14:paraId="4611AF32" w14:textId="77777777" w:rsidR="00E8117B" w:rsidRDefault="00E8117B" w:rsidP="00E8117B">
      <w:pPr>
        <w:pStyle w:val="NormalWeb"/>
        <w:ind w:left="720"/>
      </w:pPr>
      <w:r>
        <w:t xml:space="preserve">Note: The Court cited Firefighter Matt Wood’s testimony about changes in protocol in wearing SCBAs during overhaul and other cancer prevention SOGs.  </w:t>
      </w:r>
    </w:p>
    <w:p w14:paraId="2F7ADE91" w14:textId="77777777" w:rsidR="00E8117B" w:rsidRDefault="00E8117B" w:rsidP="00E8117B">
      <w:pPr>
        <w:pStyle w:val="NormalWeb"/>
        <w:ind w:left="720"/>
      </w:pPr>
      <w:r>
        <w:t xml:space="preserve">“The claimant testified that his firefighting duties were the same while in all three positions, which included actively fighting fires. He stated that he responded to approximately four fires per month. The claimant responded to fires at residential homes, structural fires, building fires, and fires in cars, rubbish, and brush. When he responded to a fire, he wore his bunker gear, which consisted of a fire suit, pants, coat, helmet, gloves, hat, mask, and a self-contained breathing apparatus (SCBA), which is a backpack that carries a cylinder holding air. The claimant testified that new procedures went into effect four years ago and now firefighters would keep their SCBA on until an </w:t>
      </w:r>
      <w:proofErr w:type="gramStart"/>
      <w:r>
        <w:t>on shift</w:t>
      </w:r>
      <w:proofErr w:type="gramEnd"/>
      <w:r>
        <w:t xml:space="preserve"> safety officer determined with a Lower Explosive Limit (LEL) monitor, that all gas levels were within normal range and it was safe to take the equipment off. He stated that this resulted in the firefighters' masks remaining on much longer while they were performing their overhaul duties. Other changes also went into effect at that time, such as the firefighters having a spare set of gear ready and wet wipes at the scene to clean their face, neck, and hands.” </w:t>
      </w:r>
      <w:hyperlink r:id="rId1131" w:history="1">
        <w:r>
          <w:rPr>
            <w:rStyle w:val="Hyperlink"/>
          </w:rPr>
          <w:t>https://ilcourtsaudio.blob.core.windows.net/antilles-resources/resources/eba608df-6fa9-4d1a-8a11-f48abce29596/City%20of%20Springfield%20v.%20Illinois%20Workers'%20Compensation%20Comm'n,%202022%20IL%20App%20(4th)%20210604WC-U.pdf</w:t>
        </w:r>
      </w:hyperlink>
      <w:r>
        <w:t xml:space="preserve"> </w:t>
      </w:r>
    </w:p>
    <w:p w14:paraId="17B92C82" w14:textId="77777777" w:rsidR="00E8117B" w:rsidRDefault="00E8117B" w:rsidP="00E8117B">
      <w:pPr>
        <w:pStyle w:val="NormalWeb"/>
        <w:ind w:left="1440"/>
      </w:pPr>
    </w:p>
    <w:p w14:paraId="35ED23CF" w14:textId="77777777" w:rsidR="00E8117B" w:rsidRPr="00CB79E4" w:rsidRDefault="00E8117B" w:rsidP="00E8117B">
      <w:pPr>
        <w:pStyle w:val="NormalWeb"/>
        <w:ind w:firstLine="720"/>
      </w:pPr>
      <w:r w:rsidRPr="00CB79E4">
        <w:t xml:space="preserve">Illinois Rebuttable Presumption: </w:t>
      </w:r>
    </w:p>
    <w:p w14:paraId="658398F5" w14:textId="77777777" w:rsidR="00E8117B" w:rsidRPr="00CB79E4" w:rsidRDefault="00E8117B" w:rsidP="00E8117B">
      <w:pPr>
        <w:pStyle w:val="NormalWeb"/>
        <w:ind w:left="720"/>
      </w:pPr>
      <w:r w:rsidRPr="00CB79E4">
        <w:t>“</w:t>
      </w:r>
      <w:r w:rsidRPr="00CB79E4">
        <w:rPr>
          <w:rStyle w:val="HTMLCode"/>
          <w:rFonts w:ascii="Times New Roman" w:eastAsiaTheme="majorEastAsia" w:hAnsi="Times New Roman" w:cs="Times New Roman"/>
          <w:sz w:val="24"/>
          <w:szCs w:val="24"/>
        </w:rPr>
        <w:t xml:space="preserve">Any condition or impairment of health of an employee employed as a firefighter, emergency medical technician (EMT), emergency medical technician-intermediate (EMT-I), advanced emergency medical technician (A-EMT), or paramedic which results directly or indirectly from any bloodborne pathogen, lung or respiratory disease or condition, heart or vascular disease or condition, hypertension, tuberculosis, or cancer resulting in any disability (temporary, permanent, total, or partial) to the employee shall be rebuttably presumed to arise out of and in the course of the employee's firefighting, EMT, EMT-I, A-EMT, or paramedic employment and, further, shall be rebuttably presumed to be causally connected to the hazards or exposures of the employment. This presumption shall also apply to any hernia or hearing loss suffered by an employee employed as a firefighter, EMT, EMT-I, A-EMT, or paramedic. However, this presumption shall not apply to any employee who has been employed as a firefighter, EMT, EMT-I, A-EMT, or paramedic for less than 5 years at the time he or she files an Application for Adjustment of Claim concerning this condition or impairment with the Illinois Workers' Compensation Commission.” </w:t>
      </w:r>
      <w:hyperlink r:id="rId1132" w:history="1">
        <w:r w:rsidRPr="00CB79E4">
          <w:rPr>
            <w:rStyle w:val="Hyperlink"/>
          </w:rPr>
          <w:t>https://www.ilga.gov/legislation/ilcs/ilcs3.asp?ActID=2431&amp;ChapterID=68</w:t>
        </w:r>
      </w:hyperlink>
      <w:r w:rsidRPr="00CB79E4">
        <w:rPr>
          <w:rStyle w:val="HTMLCode"/>
          <w:rFonts w:ascii="Times New Roman" w:eastAsiaTheme="majorEastAsia" w:hAnsi="Times New Roman" w:cs="Times New Roman"/>
          <w:sz w:val="24"/>
          <w:szCs w:val="24"/>
        </w:rPr>
        <w:t xml:space="preserve"> </w:t>
      </w:r>
    </w:p>
    <w:p w14:paraId="5F1A488D" w14:textId="77777777" w:rsidR="00E8117B" w:rsidRDefault="00E8117B" w:rsidP="00EF1133">
      <w:pPr>
        <w:rPr>
          <w:rFonts w:ascii="Arial Black" w:hAnsi="Arial Black"/>
          <w:b/>
          <w:sz w:val="24"/>
          <w:szCs w:val="24"/>
        </w:rPr>
      </w:pPr>
    </w:p>
    <w:p w14:paraId="222DBE32" w14:textId="77777777" w:rsidR="00E8117B" w:rsidRDefault="00E8117B" w:rsidP="00EF1133">
      <w:pPr>
        <w:rPr>
          <w:rFonts w:ascii="Arial Black" w:hAnsi="Arial Black"/>
          <w:b/>
          <w:sz w:val="24"/>
          <w:szCs w:val="24"/>
        </w:rPr>
      </w:pPr>
    </w:p>
    <w:p w14:paraId="4E134FD3" w14:textId="02D03CAE" w:rsidR="006D2C51" w:rsidRDefault="006D2C51"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3</w:t>
      </w:r>
    </w:p>
    <w:p w14:paraId="2F7B079B" w14:textId="77777777" w:rsidR="006C4BDE" w:rsidRDefault="006C4BDE" w:rsidP="006C4BDE">
      <w:pPr>
        <w:spacing w:before="100" w:beforeAutospacing="1" w:after="100" w:afterAutospacing="1" w:line="240" w:lineRule="auto"/>
        <w:rPr>
          <w:rFonts w:ascii="Arial Black" w:hAnsi="Arial Black"/>
          <w:sz w:val="28"/>
          <w:szCs w:val="28"/>
        </w:rPr>
      </w:pPr>
      <w:r>
        <w:rPr>
          <w:rFonts w:ascii="Arial Black" w:hAnsi="Arial Black"/>
          <w:sz w:val="28"/>
          <w:szCs w:val="28"/>
        </w:rPr>
        <w:t>NY: FDNY KNEE INJURY – 7</w:t>
      </w:r>
      <w:r w:rsidRPr="00D97113">
        <w:rPr>
          <w:rFonts w:ascii="Arial Black" w:hAnsi="Arial Black"/>
          <w:sz w:val="28"/>
          <w:szCs w:val="28"/>
          <w:vertAlign w:val="superscript"/>
        </w:rPr>
        <w:t>th</w:t>
      </w:r>
      <w:r>
        <w:rPr>
          <w:rFonts w:ascii="Arial Black" w:hAnsi="Arial Black"/>
          <w:sz w:val="28"/>
          <w:szCs w:val="28"/>
        </w:rPr>
        <w:t xml:space="preserve"> ON JOB - BUT ARTHRITIS - COURT AWARDS 75% ACCIDENTAL DISAB. RETIREMENT </w:t>
      </w:r>
    </w:p>
    <w:p w14:paraId="1DDF8872" w14:textId="77777777" w:rsidR="006C4BDE" w:rsidRDefault="006C4BDE" w:rsidP="006C4BD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11, 2022, in </w:t>
      </w:r>
      <w:r w:rsidRPr="000836BE">
        <w:rPr>
          <w:rFonts w:ascii="Times New Roman" w:hAnsi="Times New Roman"/>
          <w:sz w:val="24"/>
          <w:szCs w:val="24"/>
          <w:u w:val="single"/>
        </w:rPr>
        <w:t>David J. Lamar v. Daniel Nigro, the Board of Trustees of the New York City Fire Department, et al</w:t>
      </w:r>
      <w:r>
        <w:rPr>
          <w:rFonts w:ascii="Times New Roman" w:hAnsi="Times New Roman"/>
          <w:sz w:val="24"/>
          <w:szCs w:val="24"/>
        </w:rPr>
        <w:t xml:space="preserve">., the Supreme Court, New York County held (2 to 0; unpublished opinion) granted the retired firefighter’s </w:t>
      </w:r>
      <w:r w:rsidRPr="000836BE">
        <w:rPr>
          <w:rFonts w:ascii="Times New Roman" w:hAnsi="Times New Roman"/>
          <w:sz w:val="24"/>
          <w:szCs w:val="24"/>
        </w:rPr>
        <w:t>petition to reverse respondents' determination denying petitioner's application for accident disability retirement (</w:t>
      </w:r>
      <w:r>
        <w:rPr>
          <w:rFonts w:ascii="Times New Roman" w:hAnsi="Times New Roman"/>
          <w:sz w:val="24"/>
          <w:szCs w:val="24"/>
        </w:rPr>
        <w:t>‘</w:t>
      </w:r>
      <w:r w:rsidRPr="000836BE">
        <w:rPr>
          <w:rFonts w:ascii="Times New Roman" w:hAnsi="Times New Roman"/>
          <w:sz w:val="24"/>
          <w:szCs w:val="24"/>
        </w:rPr>
        <w:t>ADR</w:t>
      </w:r>
      <w:r>
        <w:rPr>
          <w:rFonts w:ascii="Times New Roman" w:hAnsi="Times New Roman"/>
          <w:sz w:val="24"/>
          <w:szCs w:val="24"/>
        </w:rPr>
        <w:t>’</w:t>
      </w:r>
      <w:r w:rsidRPr="000836BE">
        <w:rPr>
          <w:rFonts w:ascii="Times New Roman" w:hAnsi="Times New Roman"/>
          <w:sz w:val="24"/>
          <w:szCs w:val="24"/>
        </w:rPr>
        <w:t>) benefits</w:t>
      </w:r>
      <w:r>
        <w:rPr>
          <w:rFonts w:ascii="Times New Roman" w:hAnsi="Times New Roman"/>
          <w:sz w:val="24"/>
          <w:szCs w:val="24"/>
        </w:rPr>
        <w:t xml:space="preserve"> [$75%] </w:t>
      </w:r>
      <w:r w:rsidRPr="000836BE">
        <w:rPr>
          <w:rFonts w:ascii="Times New Roman" w:hAnsi="Times New Roman"/>
          <w:sz w:val="24"/>
          <w:szCs w:val="24"/>
        </w:rPr>
        <w:t>is granted and he is entitled to benefits retroactive to his date of retirement.</w:t>
      </w:r>
      <w:r>
        <w:rPr>
          <w:rFonts w:ascii="Times New Roman" w:hAnsi="Times New Roman"/>
          <w:sz w:val="24"/>
          <w:szCs w:val="24"/>
        </w:rPr>
        <w:t xml:space="preserve">  </w:t>
      </w:r>
      <w:hyperlink r:id="rId1133" w:history="1">
        <w:r w:rsidRPr="00355029">
          <w:rPr>
            <w:rStyle w:val="Hyperlink"/>
            <w:rFonts w:ascii="Times New Roman" w:eastAsia="Times New Roman" w:hAnsi="Times New Roman"/>
            <w:sz w:val="24"/>
            <w:szCs w:val="24"/>
          </w:rPr>
          <w:t>https://cases.justia.com/new-york/other-courts/2022-2022-ny-slip-op-32197-u.pdf?ts=1657833320</w:t>
        </w:r>
      </w:hyperlink>
    </w:p>
    <w:p w14:paraId="46B4B6F5" w14:textId="77777777" w:rsidR="006C4BDE" w:rsidRPr="00134EB1" w:rsidRDefault="006C4BDE" w:rsidP="006C4BDE">
      <w:pPr>
        <w:spacing w:before="100" w:beforeAutospacing="1" w:after="100" w:afterAutospacing="1" w:line="240" w:lineRule="auto"/>
        <w:rPr>
          <w:rFonts w:ascii="Times New Roman" w:eastAsia="Times New Roman" w:hAnsi="Times New Roman"/>
          <w:b/>
          <w:bCs/>
          <w:sz w:val="24"/>
          <w:szCs w:val="24"/>
        </w:rPr>
      </w:pPr>
      <w:r w:rsidRPr="00134EB1">
        <w:rPr>
          <w:rFonts w:ascii="Times New Roman" w:eastAsia="Times New Roman" w:hAnsi="Times New Roman"/>
          <w:b/>
          <w:bCs/>
          <w:sz w:val="24"/>
          <w:szCs w:val="24"/>
        </w:rPr>
        <w:t xml:space="preserve">Legal Lesson Learned: Nice to see Court recognizing </w:t>
      </w:r>
      <w:r w:rsidRPr="00134EB1">
        <w:rPr>
          <w:rFonts w:ascii="Times New Roman" w:hAnsi="Times New Roman"/>
          <w:b/>
          <w:bCs/>
          <w:sz w:val="24"/>
          <w:szCs w:val="24"/>
        </w:rPr>
        <w:t>that “years pass</w:t>
      </w:r>
      <w:r>
        <w:rPr>
          <w:rFonts w:ascii="Times New Roman" w:hAnsi="Times New Roman"/>
          <w:b/>
          <w:bCs/>
          <w:sz w:val="24"/>
          <w:szCs w:val="24"/>
        </w:rPr>
        <w:t xml:space="preserve"> </w:t>
      </w:r>
      <w:r w:rsidRPr="00134EB1">
        <w:rPr>
          <w:rFonts w:ascii="Times New Roman" w:hAnsi="Times New Roman"/>
          <w:b/>
          <w:bCs/>
          <w:sz w:val="24"/>
          <w:szCs w:val="24"/>
        </w:rPr>
        <w:t xml:space="preserve">and knees can get worse due to degenerative conditions,” but firefighter still entitled to ADR because this was clearly aggravated by </w:t>
      </w:r>
      <w:proofErr w:type="spellStart"/>
      <w:proofErr w:type="gramStart"/>
      <w:r w:rsidRPr="00134EB1">
        <w:rPr>
          <w:rFonts w:ascii="Times New Roman" w:hAnsi="Times New Roman"/>
          <w:b/>
          <w:bCs/>
          <w:sz w:val="24"/>
          <w:szCs w:val="24"/>
        </w:rPr>
        <w:t>a</w:t>
      </w:r>
      <w:proofErr w:type="spellEnd"/>
      <w:proofErr w:type="gramEnd"/>
      <w:r w:rsidRPr="00134EB1">
        <w:rPr>
          <w:rFonts w:ascii="Times New Roman" w:hAnsi="Times New Roman"/>
          <w:b/>
          <w:bCs/>
          <w:sz w:val="24"/>
          <w:szCs w:val="24"/>
        </w:rPr>
        <w:t xml:space="preserve"> on-the-job injury. </w:t>
      </w:r>
    </w:p>
    <w:p w14:paraId="146AE8C0" w14:textId="77777777" w:rsidR="006D2C51" w:rsidRDefault="006D2C51" w:rsidP="00EF1133">
      <w:pPr>
        <w:rPr>
          <w:rFonts w:ascii="Arial Black" w:hAnsi="Arial Black"/>
          <w:b/>
          <w:sz w:val="24"/>
          <w:szCs w:val="24"/>
        </w:rPr>
      </w:pPr>
    </w:p>
    <w:p w14:paraId="5E96F905" w14:textId="41F57F97" w:rsidR="007F3F5A" w:rsidRDefault="007F3F5A"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2</w:t>
      </w:r>
    </w:p>
    <w:p w14:paraId="2B5D5AD2" w14:textId="77777777" w:rsidR="007F3F5A" w:rsidRDefault="007F3F5A" w:rsidP="007F3F5A">
      <w:pPr>
        <w:spacing w:before="100" w:beforeAutospacing="1" w:after="100" w:afterAutospacing="1" w:line="240" w:lineRule="auto"/>
        <w:rPr>
          <w:rStyle w:val="markedcontent"/>
          <w:rFonts w:ascii="Arial Black" w:hAnsi="Arial Black"/>
          <w:sz w:val="28"/>
          <w:szCs w:val="28"/>
        </w:rPr>
      </w:pPr>
      <w:r>
        <w:rPr>
          <w:rStyle w:val="markedcontent"/>
          <w:rFonts w:ascii="Arial Black" w:hAnsi="Arial Black"/>
          <w:b/>
          <w:bCs/>
          <w:sz w:val="28"/>
          <w:szCs w:val="28"/>
        </w:rPr>
        <w:t>U.S. SUP. CT:  USERRA – TX STATE TROOPER RETURNING FROM IRAQ – LUNG ISSUES – CAN SUE IN STATE COURT</w:t>
      </w:r>
    </w:p>
    <w:p w14:paraId="3771FD9C" w14:textId="77777777" w:rsidR="007F3F5A" w:rsidRDefault="007F3F5A" w:rsidP="007F3F5A">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June 29, 2022, in </w:t>
      </w:r>
      <w:r>
        <w:rPr>
          <w:rStyle w:val="markedcontent"/>
          <w:rFonts w:ascii="Times New Roman" w:hAnsi="Times New Roman"/>
          <w:sz w:val="24"/>
          <w:szCs w:val="24"/>
          <w:u w:val="single"/>
        </w:rPr>
        <w:t>Torres v. Texas Department of Public Safety</w:t>
      </w:r>
      <w:r>
        <w:rPr>
          <w:rStyle w:val="markedcontent"/>
          <w:rFonts w:ascii="Times New Roman" w:hAnsi="Times New Roman"/>
          <w:sz w:val="24"/>
          <w:szCs w:val="24"/>
        </w:rPr>
        <w:t xml:space="preserve">, the U.S. Supreme Court held (4 to 0) that the former State Trooper can sue his employer in state court for violation of USERRA [Uniformed Services Employment and Reemployment Rights Act of 1994]; he is not required to sue in federal court.  Le Roy Torres returned from active military service in Iraq with lung issues from “burn pits” and </w:t>
      </w:r>
      <w:r>
        <w:rPr>
          <w:rFonts w:ascii="Times New Roman" w:hAnsi="Times New Roman"/>
          <w:sz w:val="24"/>
          <w:szCs w:val="24"/>
        </w:rPr>
        <w:t xml:space="preserve">but requested to be placed in a different position other than as a state trooper, since his lung damage precluded him from performing </w:t>
      </w:r>
      <w:proofErr w:type="gramStart"/>
      <w:r>
        <w:rPr>
          <w:rFonts w:ascii="Times New Roman" w:hAnsi="Times New Roman"/>
          <w:sz w:val="24"/>
          <w:szCs w:val="24"/>
        </w:rPr>
        <w:t>all of</w:t>
      </w:r>
      <w:proofErr w:type="gramEnd"/>
      <w:r>
        <w:rPr>
          <w:rFonts w:ascii="Times New Roman" w:hAnsi="Times New Roman"/>
          <w:sz w:val="24"/>
          <w:szCs w:val="24"/>
        </w:rPr>
        <w:t xml:space="preserve"> his duties. DPS declined the request and offered him a temporary position as a state trooper, stating that if he did not report to duty, his employment would be terminated. Torres resigned. He </w:t>
      </w:r>
      <w:proofErr w:type="gramStart"/>
      <w:r>
        <w:rPr>
          <w:rFonts w:ascii="Times New Roman" w:hAnsi="Times New Roman"/>
          <w:sz w:val="24"/>
          <w:szCs w:val="24"/>
        </w:rPr>
        <w:t>sued</w:t>
      </w:r>
      <w:proofErr w:type="gramEnd"/>
      <w:r>
        <w:rPr>
          <w:rFonts w:ascii="Times New Roman" w:hAnsi="Times New Roman"/>
          <w:sz w:val="24"/>
          <w:szCs w:val="24"/>
        </w:rPr>
        <w:t xml:space="preserve"> in state court, but Texas court of appeals said that </w:t>
      </w:r>
      <w:proofErr w:type="gramStart"/>
      <w:r>
        <w:rPr>
          <w:rFonts w:ascii="Times New Roman" w:hAnsi="Times New Roman"/>
          <w:sz w:val="24"/>
          <w:szCs w:val="24"/>
        </w:rPr>
        <w:t>he</w:t>
      </w:r>
      <w:proofErr w:type="gramEnd"/>
      <w:r>
        <w:rPr>
          <w:rFonts w:ascii="Times New Roman" w:hAnsi="Times New Roman"/>
          <w:sz w:val="24"/>
          <w:szCs w:val="24"/>
        </w:rPr>
        <w:t xml:space="preserve"> only remedy is in federal court.  The lawsuit will now proceed in State </w:t>
      </w:r>
      <w:proofErr w:type="gramStart"/>
      <w:r>
        <w:rPr>
          <w:rFonts w:ascii="Times New Roman" w:hAnsi="Times New Roman"/>
          <w:sz w:val="24"/>
          <w:szCs w:val="24"/>
        </w:rPr>
        <w:t>court</w:t>
      </w:r>
      <w:proofErr w:type="gramEnd"/>
      <w:r>
        <w:rPr>
          <w:rFonts w:ascii="Times New Roman" w:hAnsi="Times New Roman"/>
          <w:sz w:val="24"/>
          <w:szCs w:val="24"/>
        </w:rPr>
        <w:t xml:space="preserve"> and a jury will be asked to award damages. </w:t>
      </w:r>
      <w:hyperlink r:id="rId1134" w:history="1">
        <w:r>
          <w:rPr>
            <w:rStyle w:val="Hyperlink"/>
            <w:sz w:val="24"/>
            <w:szCs w:val="24"/>
          </w:rPr>
          <w:t>https://www.supremecourt.gov/opinions/21pdf/20-603_o758.pdf</w:t>
        </w:r>
      </w:hyperlink>
      <w:r>
        <w:rPr>
          <w:rStyle w:val="markedcontent"/>
          <w:rFonts w:ascii="Times New Roman" w:hAnsi="Times New Roman"/>
          <w:sz w:val="24"/>
          <w:szCs w:val="24"/>
        </w:rPr>
        <w:t xml:space="preserve"> </w:t>
      </w:r>
    </w:p>
    <w:p w14:paraId="7706807C" w14:textId="77777777" w:rsidR="007F3F5A" w:rsidRDefault="007F3F5A" w:rsidP="007F3F5A">
      <w:pPr>
        <w:spacing w:before="100" w:beforeAutospacing="1" w:after="100" w:afterAutospacing="1" w:line="240" w:lineRule="auto"/>
        <w:rPr>
          <w:b/>
          <w:bCs/>
        </w:rPr>
      </w:pPr>
      <w:r>
        <w:rPr>
          <w:rStyle w:val="markedcontent"/>
          <w:rFonts w:ascii="Times New Roman" w:hAnsi="Times New Roman"/>
          <w:b/>
          <w:bCs/>
          <w:sz w:val="24"/>
          <w:szCs w:val="24"/>
        </w:rPr>
        <w:t xml:space="preserve">Legal Lesson Learned: Fire &amp; EMS departments must comply with USERRA, and failure to comply can lead to lawsuits in State court with a jury awarding </w:t>
      </w:r>
      <w:proofErr w:type="gramStart"/>
      <w:r>
        <w:rPr>
          <w:rStyle w:val="markedcontent"/>
          <w:rFonts w:ascii="Times New Roman" w:hAnsi="Times New Roman"/>
          <w:b/>
          <w:bCs/>
          <w:sz w:val="24"/>
          <w:szCs w:val="24"/>
        </w:rPr>
        <w:t>damages</w:t>
      </w:r>
      <w:proofErr w:type="gramEnd"/>
      <w:r>
        <w:rPr>
          <w:rStyle w:val="markedcontent"/>
          <w:rFonts w:ascii="Times New Roman" w:hAnsi="Times New Roman"/>
          <w:b/>
          <w:bCs/>
          <w:sz w:val="24"/>
          <w:szCs w:val="24"/>
        </w:rPr>
        <w:t xml:space="preserve">. </w:t>
      </w:r>
    </w:p>
    <w:p w14:paraId="78E849A2" w14:textId="77777777" w:rsidR="007F3F5A" w:rsidRDefault="007F3F5A" w:rsidP="00EF1133">
      <w:pPr>
        <w:rPr>
          <w:rFonts w:ascii="Arial Black" w:hAnsi="Arial Black"/>
          <w:b/>
          <w:sz w:val="24"/>
          <w:szCs w:val="24"/>
        </w:rPr>
      </w:pPr>
    </w:p>
    <w:p w14:paraId="46FA1073" w14:textId="6F05E5E0" w:rsidR="00FC62FF" w:rsidRDefault="00FC62FF"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1</w:t>
      </w:r>
      <w:r w:rsidR="00156E5D">
        <w:rPr>
          <w:rFonts w:ascii="Arial Black" w:hAnsi="Arial Black"/>
          <w:b/>
          <w:sz w:val="24"/>
          <w:szCs w:val="24"/>
        </w:rPr>
        <w:t xml:space="preserve"> [also filed, Chap. 17]</w:t>
      </w:r>
    </w:p>
    <w:p w14:paraId="3D614908" w14:textId="77777777" w:rsidR="00FC62FF" w:rsidRDefault="00FC62FF" w:rsidP="00FC62FF">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OH: FIRE CHIEF “RETIRE / REHIRE” NEXT DAY IS LAWFUL – CIVIL SERVICE POSTING JOB ONLY WHEN A “VACANCY” </w:t>
      </w:r>
    </w:p>
    <w:p w14:paraId="583B9C62" w14:textId="77777777" w:rsidR="00FC62FF" w:rsidRDefault="00FC62FF" w:rsidP="00FC62F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27, 2022, in </w:t>
      </w:r>
      <w:r>
        <w:rPr>
          <w:rFonts w:ascii="Times New Roman" w:hAnsi="Times New Roman"/>
          <w:sz w:val="24"/>
          <w:szCs w:val="24"/>
          <w:u w:val="single"/>
        </w:rPr>
        <w:t xml:space="preserve">State of Ohio ex re. The International Association of Fire Fighters, Local 1536, AFL-CIO v. John Barbush, In His Official Capacity </w:t>
      </w:r>
      <w:proofErr w:type="gramStart"/>
      <w:r>
        <w:rPr>
          <w:rFonts w:ascii="Times New Roman" w:hAnsi="Times New Roman"/>
          <w:sz w:val="24"/>
          <w:szCs w:val="24"/>
          <w:u w:val="single"/>
        </w:rPr>
        <w:t>As</w:t>
      </w:r>
      <w:proofErr w:type="gramEnd"/>
      <w:r>
        <w:rPr>
          <w:rFonts w:ascii="Times New Roman" w:hAnsi="Times New Roman"/>
          <w:sz w:val="24"/>
          <w:szCs w:val="24"/>
          <w:u w:val="single"/>
        </w:rPr>
        <w:t xml:space="preserve"> Maor </w:t>
      </w:r>
      <w:proofErr w:type="gramStart"/>
      <w:r>
        <w:rPr>
          <w:rFonts w:ascii="Times New Roman" w:hAnsi="Times New Roman"/>
          <w:sz w:val="24"/>
          <w:szCs w:val="24"/>
          <w:u w:val="single"/>
        </w:rPr>
        <w:t>And</w:t>
      </w:r>
      <w:proofErr w:type="gramEnd"/>
      <w:r>
        <w:rPr>
          <w:rFonts w:ascii="Times New Roman" w:hAnsi="Times New Roman"/>
          <w:sz w:val="24"/>
          <w:szCs w:val="24"/>
          <w:u w:val="single"/>
        </w:rPr>
        <w:t xml:space="preserve"> Director </w:t>
      </w:r>
      <w:proofErr w:type="gramStart"/>
      <w:r>
        <w:rPr>
          <w:rFonts w:ascii="Times New Roman" w:hAnsi="Times New Roman"/>
          <w:sz w:val="24"/>
          <w:szCs w:val="24"/>
          <w:u w:val="single"/>
        </w:rPr>
        <w:t>Of</w:t>
      </w:r>
      <w:proofErr w:type="gramEnd"/>
      <w:r>
        <w:rPr>
          <w:rFonts w:ascii="Times New Roman" w:hAnsi="Times New Roman"/>
          <w:sz w:val="24"/>
          <w:szCs w:val="24"/>
          <w:u w:val="single"/>
        </w:rPr>
        <w:t xml:space="preserve"> Public Safety, et. al., and James G. Powers</w:t>
      </w:r>
      <w:r>
        <w:rPr>
          <w:rFonts w:ascii="Times New Roman" w:hAnsi="Times New Roman"/>
          <w:sz w:val="24"/>
          <w:szCs w:val="24"/>
        </w:rPr>
        <w:t xml:space="preserve">, the Court of Appeals of Ohio, Eleventh District (Lake County), held (2 to 1) that trial court properly held that there was no “vacancy” in the Fire Chiefs position since he retired on Jan. 6, 2020, and was rehired the next day. Local 1536 argued [and the Dissenting Judge agreed] that the position should have been </w:t>
      </w:r>
      <w:proofErr w:type="gramStart"/>
      <w:r>
        <w:rPr>
          <w:rFonts w:ascii="Times New Roman" w:hAnsi="Times New Roman"/>
          <w:sz w:val="24"/>
          <w:szCs w:val="24"/>
        </w:rPr>
        <w:t>submitted</w:t>
      </w:r>
      <w:proofErr w:type="gramEnd"/>
      <w:r>
        <w:rPr>
          <w:rFonts w:ascii="Times New Roman" w:hAnsi="Times New Roman"/>
          <w:sz w:val="24"/>
          <w:szCs w:val="24"/>
        </w:rPr>
        <w:t xml:space="preserve"> the City’s Civil Service Commission, and the position filled through a competitive promotional examination process where four Captains were eligible to apply. </w:t>
      </w:r>
      <w:hyperlink r:id="rId1135" w:history="1">
        <w:r>
          <w:rPr>
            <w:rStyle w:val="Hyperlink"/>
            <w:sz w:val="24"/>
            <w:szCs w:val="24"/>
          </w:rPr>
          <w:t>https://www.leagle.com/decision/inohco20220627386</w:t>
        </w:r>
      </w:hyperlink>
      <w:r>
        <w:rPr>
          <w:rFonts w:ascii="Times New Roman" w:hAnsi="Times New Roman"/>
          <w:sz w:val="24"/>
          <w:szCs w:val="24"/>
        </w:rPr>
        <w:t xml:space="preserve"> </w:t>
      </w:r>
    </w:p>
    <w:p w14:paraId="0B204B03" w14:textId="77777777" w:rsidR="00156E5D" w:rsidRDefault="00156E5D" w:rsidP="00156E5D">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In Ohio, other fire chiefs have also done “retire / rehire.” </w:t>
      </w:r>
    </w:p>
    <w:p w14:paraId="70EA6FE7" w14:textId="77777777" w:rsidR="00156E5D" w:rsidRPr="00102BDF" w:rsidRDefault="00156E5D" w:rsidP="00156E5D">
      <w:pPr>
        <w:pStyle w:val="Heading1"/>
        <w:ind w:left="720"/>
        <w:rPr>
          <w:b w:val="0"/>
          <w:bCs w:val="0"/>
          <w:sz w:val="24"/>
          <w:szCs w:val="24"/>
        </w:rPr>
      </w:pPr>
      <w:r w:rsidRPr="00102BDF">
        <w:rPr>
          <w:b w:val="0"/>
          <w:bCs w:val="0"/>
          <w:sz w:val="24"/>
          <w:szCs w:val="24"/>
        </w:rPr>
        <w:t xml:space="preserve">For example, see: “Fairfield able to rehire retired fire chief” (March 15, 2011): </w:t>
      </w:r>
      <w:hyperlink r:id="rId1136" w:history="1">
        <w:r w:rsidRPr="00102BDF">
          <w:rPr>
            <w:rStyle w:val="Hyperlink"/>
            <w:b w:val="0"/>
            <w:bCs w:val="0"/>
            <w:sz w:val="24"/>
            <w:szCs w:val="24"/>
          </w:rPr>
          <w:t>https://www.journal-news.com/news/local/fairfield-able-rehire-retired-fire-chief/JMPkJQCqJ2eIDqbu2eI8RK/</w:t>
        </w:r>
      </w:hyperlink>
      <w:r w:rsidRPr="00102BDF">
        <w:rPr>
          <w:b w:val="0"/>
          <w:bCs w:val="0"/>
          <w:sz w:val="24"/>
          <w:szCs w:val="24"/>
        </w:rPr>
        <w:t xml:space="preserve"> </w:t>
      </w:r>
    </w:p>
    <w:p w14:paraId="6CD3EB80" w14:textId="77777777" w:rsidR="00156E5D" w:rsidRPr="00102BDF" w:rsidRDefault="00156E5D" w:rsidP="00156E5D">
      <w:pPr>
        <w:pStyle w:val="Heading1"/>
        <w:ind w:left="720"/>
        <w:rPr>
          <w:b w:val="0"/>
          <w:bCs w:val="0"/>
          <w:sz w:val="24"/>
          <w:szCs w:val="24"/>
        </w:rPr>
      </w:pPr>
      <w:r w:rsidRPr="00102BDF">
        <w:rPr>
          <w:b w:val="0"/>
          <w:bCs w:val="0"/>
          <w:sz w:val="24"/>
          <w:szCs w:val="24"/>
        </w:rPr>
        <w:t xml:space="preserve">“West Carrollton to rehire fire chief after Valentine’s week retirement” (Feb. 13, 2019): </w:t>
      </w:r>
      <w:hyperlink r:id="rId1137" w:history="1">
        <w:r w:rsidRPr="00102BDF">
          <w:rPr>
            <w:rStyle w:val="Hyperlink"/>
            <w:b w:val="0"/>
            <w:bCs w:val="0"/>
            <w:sz w:val="24"/>
            <w:szCs w:val="24"/>
          </w:rPr>
          <w:t>https://www.daytondailynews.com/news/west-carrollton-rehire-fire-chief-after-valentine-week-retirement/XSsYoJpSmxdkIIZtoGUpzJ/</w:t>
        </w:r>
      </w:hyperlink>
      <w:r w:rsidRPr="00102BDF">
        <w:rPr>
          <w:b w:val="0"/>
          <w:bCs w:val="0"/>
          <w:sz w:val="24"/>
          <w:szCs w:val="24"/>
        </w:rPr>
        <w:t xml:space="preserve"> </w:t>
      </w:r>
    </w:p>
    <w:p w14:paraId="7E877B0F" w14:textId="77777777" w:rsidR="00FC62FF" w:rsidRDefault="00FC62FF" w:rsidP="00EF1133">
      <w:pPr>
        <w:rPr>
          <w:rFonts w:ascii="Arial Black" w:hAnsi="Arial Black"/>
          <w:b/>
          <w:sz w:val="24"/>
          <w:szCs w:val="24"/>
        </w:rPr>
      </w:pPr>
    </w:p>
    <w:p w14:paraId="363F5A16" w14:textId="77777777" w:rsidR="00FC62FF" w:rsidRDefault="00FC62FF" w:rsidP="00EF1133">
      <w:pPr>
        <w:rPr>
          <w:rFonts w:ascii="Arial Black" w:hAnsi="Arial Black"/>
          <w:b/>
          <w:sz w:val="24"/>
          <w:szCs w:val="24"/>
        </w:rPr>
      </w:pPr>
    </w:p>
    <w:p w14:paraId="57258129" w14:textId="77777777" w:rsidR="00FC62FF" w:rsidRDefault="00FC62FF" w:rsidP="00EF1133">
      <w:pPr>
        <w:rPr>
          <w:rFonts w:ascii="Arial Black" w:hAnsi="Arial Black"/>
          <w:b/>
          <w:sz w:val="24"/>
          <w:szCs w:val="24"/>
        </w:rPr>
      </w:pPr>
    </w:p>
    <w:p w14:paraId="29759BB5" w14:textId="6108A0CF" w:rsidR="0002742E" w:rsidRDefault="0002742E" w:rsidP="00EF1133">
      <w:pPr>
        <w:rPr>
          <w:rFonts w:ascii="Arial Black" w:hAnsi="Arial Black"/>
          <w:b/>
          <w:sz w:val="24"/>
          <w:szCs w:val="24"/>
        </w:rPr>
      </w:pPr>
      <w:r>
        <w:rPr>
          <w:rFonts w:ascii="Arial Black" w:hAnsi="Arial Black"/>
          <w:b/>
          <w:sz w:val="24"/>
          <w:szCs w:val="24"/>
        </w:rPr>
        <w:t>6-9</w:t>
      </w:r>
      <w:r w:rsidR="00FF7C63">
        <w:rPr>
          <w:rFonts w:ascii="Arial Black" w:hAnsi="Arial Black"/>
          <w:b/>
          <w:sz w:val="24"/>
          <w:szCs w:val="24"/>
        </w:rPr>
        <w:t>0</w:t>
      </w:r>
    </w:p>
    <w:p w14:paraId="5306DDBC" w14:textId="77777777" w:rsidR="0002742E" w:rsidRPr="00A8477F" w:rsidRDefault="0002742E" w:rsidP="0002742E">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b/>
          <w:bCs/>
          <w:sz w:val="28"/>
          <w:szCs w:val="28"/>
        </w:rPr>
        <w:t xml:space="preserve">ID: FF DIED LEUKEMIA – WIDOW WINS WORKER COMP APPEAL - STATE SUP. CT. STAUTORY </w:t>
      </w:r>
      <w:r>
        <w:rPr>
          <w:rFonts w:ascii="Arial Black" w:eastAsia="Times New Roman" w:hAnsi="Arial Black"/>
          <w:sz w:val="28"/>
          <w:szCs w:val="28"/>
        </w:rPr>
        <w:t>PRESUMPTION</w:t>
      </w:r>
    </w:p>
    <w:p w14:paraId="49754685" w14:textId="77777777" w:rsidR="0002742E" w:rsidRPr="00241167" w:rsidRDefault="0002742E" w:rsidP="0002742E">
      <w:pPr>
        <w:spacing w:before="100" w:beforeAutospacing="1" w:after="100" w:afterAutospacing="1" w:line="240" w:lineRule="auto"/>
        <w:rPr>
          <w:rFonts w:ascii="Times New Roman" w:eastAsia="Times New Roman" w:hAnsi="Times New Roman"/>
          <w:sz w:val="24"/>
          <w:szCs w:val="24"/>
        </w:rPr>
      </w:pPr>
      <w:r w:rsidRPr="00A8477F">
        <w:rPr>
          <w:rFonts w:ascii="Times New Roman" w:eastAsia="Times New Roman" w:hAnsi="Times New Roman"/>
          <w:sz w:val="24"/>
          <w:szCs w:val="24"/>
        </w:rPr>
        <w:t xml:space="preserve">On </w:t>
      </w:r>
      <w:r>
        <w:rPr>
          <w:rFonts w:ascii="Times New Roman" w:eastAsia="Times New Roman" w:hAnsi="Times New Roman"/>
          <w:sz w:val="24"/>
          <w:szCs w:val="24"/>
        </w:rPr>
        <w:t xml:space="preserve">April 29, 2022, in </w:t>
      </w:r>
      <w:r w:rsidRPr="00241167">
        <w:rPr>
          <w:rFonts w:ascii="Times New Roman" w:eastAsia="Times New Roman" w:hAnsi="Times New Roman"/>
          <w:sz w:val="24"/>
          <w:szCs w:val="24"/>
          <w:u w:val="single"/>
        </w:rPr>
        <w:t>Richard Nelson v. City of Pocatello</w:t>
      </w:r>
      <w:r>
        <w:rPr>
          <w:rFonts w:ascii="Times New Roman" w:eastAsia="Times New Roman" w:hAnsi="Times New Roman"/>
          <w:sz w:val="24"/>
          <w:szCs w:val="24"/>
        </w:rPr>
        <w:t xml:space="preserve">, the Supreme Court of Idaho held (5 to 0) that the 2016 statutory presumption statute is </w:t>
      </w:r>
      <w:proofErr w:type="gramStart"/>
      <w:r>
        <w:rPr>
          <w:rFonts w:ascii="Times New Roman" w:eastAsia="Times New Roman" w:hAnsi="Times New Roman"/>
          <w:sz w:val="24"/>
          <w:szCs w:val="24"/>
        </w:rPr>
        <w:t>constitutional</w:t>
      </w:r>
      <w:proofErr w:type="gramEnd"/>
      <w:r>
        <w:rPr>
          <w:rFonts w:ascii="Times New Roman" w:eastAsia="Times New Roman" w:hAnsi="Times New Roman"/>
          <w:sz w:val="24"/>
          <w:szCs w:val="24"/>
        </w:rPr>
        <w:t xml:space="preserve"> and the Industrial Commission properly held that the </w:t>
      </w:r>
      <w:proofErr w:type="gramStart"/>
      <w:r>
        <w:rPr>
          <w:rFonts w:ascii="Times New Roman" w:eastAsia="Times New Roman" w:hAnsi="Times New Roman"/>
          <w:sz w:val="24"/>
          <w:szCs w:val="24"/>
        </w:rPr>
        <w:t>City</w:t>
      </w:r>
      <w:proofErr w:type="gramEnd"/>
      <w:r>
        <w:rPr>
          <w:rFonts w:ascii="Times New Roman" w:eastAsia="Times New Roman" w:hAnsi="Times New Roman"/>
          <w:sz w:val="24"/>
          <w:szCs w:val="24"/>
        </w:rPr>
        <w:t xml:space="preserve"> failed to present “substantial evidence” to rebut that presumption.  Richard Nelson served </w:t>
      </w:r>
      <w:proofErr w:type="gramStart"/>
      <w:r>
        <w:rPr>
          <w:rFonts w:ascii="Times New Roman" w:eastAsia="Times New Roman" w:hAnsi="Times New Roman"/>
          <w:sz w:val="24"/>
          <w:szCs w:val="24"/>
        </w:rPr>
        <w:t>21-years</w:t>
      </w:r>
      <w:proofErr w:type="gramEnd"/>
      <w:r>
        <w:rPr>
          <w:rFonts w:ascii="Times New Roman" w:eastAsia="Times New Roman" w:hAnsi="Times New Roman"/>
          <w:sz w:val="24"/>
          <w:szCs w:val="24"/>
        </w:rPr>
        <w:t xml:space="preserve"> as a career firefighter, retired in 2014 and in 2018 was diagnosed with </w:t>
      </w:r>
      <w:r w:rsidRPr="00241167">
        <w:rPr>
          <w:rFonts w:ascii="Times New Roman" w:hAnsi="Times New Roman"/>
          <w:sz w:val="24"/>
          <w:szCs w:val="24"/>
        </w:rPr>
        <w:t>early-stage chronic lymphocytic leukemia ("CLL")</w:t>
      </w:r>
      <w:r>
        <w:rPr>
          <w:rFonts w:ascii="Times New Roman" w:hAnsi="Times New Roman"/>
          <w:sz w:val="24"/>
          <w:szCs w:val="24"/>
        </w:rPr>
        <w:t xml:space="preserve">.  </w:t>
      </w:r>
      <w:hyperlink r:id="rId1138" w:history="1">
        <w:r w:rsidRPr="00C50FC4">
          <w:rPr>
            <w:rStyle w:val="Hyperlink"/>
            <w:rFonts w:ascii="Times New Roman" w:hAnsi="Times New Roman"/>
            <w:sz w:val="24"/>
            <w:szCs w:val="24"/>
          </w:rPr>
          <w:t>https://isc.idaho.gov/opinions/49171.pdf</w:t>
        </w:r>
      </w:hyperlink>
      <w:r>
        <w:rPr>
          <w:rFonts w:ascii="Times New Roman" w:hAnsi="Times New Roman"/>
          <w:sz w:val="24"/>
          <w:szCs w:val="24"/>
        </w:rPr>
        <w:t xml:space="preserve"> </w:t>
      </w:r>
    </w:p>
    <w:p w14:paraId="1359ADF3" w14:textId="77777777" w:rsidR="0002742E" w:rsidRPr="008066A3" w:rsidRDefault="0002742E" w:rsidP="0002742E">
      <w:pPr>
        <w:spacing w:before="100" w:beforeAutospacing="1" w:after="100" w:afterAutospacing="1" w:line="240" w:lineRule="auto"/>
        <w:ind w:left="90"/>
        <w:rPr>
          <w:rFonts w:ascii="Times New Roman" w:hAnsi="Times New Roman"/>
          <w:b/>
          <w:bCs/>
          <w:sz w:val="24"/>
          <w:szCs w:val="24"/>
        </w:rPr>
      </w:pPr>
      <w:r w:rsidRPr="008066A3">
        <w:rPr>
          <w:rFonts w:ascii="Times New Roman" w:hAnsi="Times New Roman"/>
          <w:b/>
          <w:bCs/>
          <w:sz w:val="24"/>
          <w:szCs w:val="24"/>
        </w:rPr>
        <w:t xml:space="preserve">Legal Lesson Learned: </w:t>
      </w:r>
      <w:r>
        <w:rPr>
          <w:rFonts w:ascii="Times New Roman" w:hAnsi="Times New Roman"/>
          <w:b/>
          <w:bCs/>
          <w:sz w:val="24"/>
          <w:szCs w:val="24"/>
        </w:rPr>
        <w:t xml:space="preserve">Excellent decision; Court also cited IAFF brief listing numerous decisions in other states upholding firefighter cancer statutory presumptions. </w:t>
      </w:r>
    </w:p>
    <w:p w14:paraId="2F6BAC63" w14:textId="77777777" w:rsidR="0002742E" w:rsidRDefault="0002742E" w:rsidP="00EF1133">
      <w:pPr>
        <w:rPr>
          <w:rFonts w:ascii="Arial Black" w:hAnsi="Arial Black"/>
          <w:b/>
          <w:sz w:val="24"/>
          <w:szCs w:val="24"/>
        </w:rPr>
      </w:pPr>
    </w:p>
    <w:p w14:paraId="1AC37D27" w14:textId="01A63BB3" w:rsidR="0002742E" w:rsidRDefault="0002742E" w:rsidP="00EF1133">
      <w:pPr>
        <w:rPr>
          <w:rFonts w:ascii="Arial Black" w:hAnsi="Arial Black"/>
          <w:b/>
          <w:sz w:val="24"/>
          <w:szCs w:val="24"/>
        </w:rPr>
      </w:pPr>
      <w:r>
        <w:rPr>
          <w:rFonts w:ascii="Arial Black" w:hAnsi="Arial Black"/>
          <w:b/>
          <w:sz w:val="24"/>
          <w:szCs w:val="24"/>
        </w:rPr>
        <w:t>6-</w:t>
      </w:r>
      <w:r w:rsidR="00FF7C63">
        <w:rPr>
          <w:rFonts w:ascii="Arial Black" w:hAnsi="Arial Black"/>
          <w:b/>
          <w:sz w:val="24"/>
          <w:szCs w:val="24"/>
        </w:rPr>
        <w:t>89</w:t>
      </w:r>
    </w:p>
    <w:p w14:paraId="1F4CF0CE" w14:textId="77777777" w:rsidR="0002742E" w:rsidRPr="00C42D64" w:rsidRDefault="0002742E" w:rsidP="0002742E">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b/>
          <w:bCs/>
          <w:sz w:val="28"/>
          <w:szCs w:val="28"/>
        </w:rPr>
        <w:t xml:space="preserve">NV: FF RE-INJURED SHOULDER – CAN RE-OPEN WORKERS </w:t>
      </w:r>
      <w:r w:rsidRPr="00C42D64">
        <w:rPr>
          <w:rFonts w:ascii="Arial Black" w:eastAsia="Times New Roman" w:hAnsi="Arial Black"/>
          <w:sz w:val="28"/>
          <w:szCs w:val="28"/>
        </w:rPr>
        <w:t xml:space="preserve">COMP CLAIM BECAUSE </w:t>
      </w:r>
      <w:r>
        <w:rPr>
          <w:rFonts w:ascii="Arial Black" w:eastAsia="Times New Roman" w:hAnsi="Arial Black"/>
          <w:sz w:val="28"/>
          <w:szCs w:val="28"/>
        </w:rPr>
        <w:t xml:space="preserve">HE </w:t>
      </w:r>
      <w:r w:rsidRPr="00C42D64">
        <w:rPr>
          <w:rFonts w:ascii="Arial Black" w:eastAsia="Times New Roman" w:hAnsi="Arial Black"/>
          <w:sz w:val="28"/>
          <w:szCs w:val="28"/>
        </w:rPr>
        <w:t xml:space="preserve">LOST </w:t>
      </w:r>
      <w:r>
        <w:rPr>
          <w:rFonts w:ascii="Arial Black" w:eastAsia="Times New Roman" w:hAnsi="Arial Black"/>
          <w:sz w:val="28"/>
          <w:szCs w:val="28"/>
        </w:rPr>
        <w:t>INCOME</w:t>
      </w:r>
      <w:r w:rsidRPr="00C42D64">
        <w:rPr>
          <w:rFonts w:ascii="Arial Black" w:eastAsia="Times New Roman" w:hAnsi="Arial Black"/>
          <w:sz w:val="28"/>
          <w:szCs w:val="28"/>
        </w:rPr>
        <w:t xml:space="preserve"> </w:t>
      </w:r>
      <w:r>
        <w:rPr>
          <w:rFonts w:ascii="Arial Black" w:eastAsia="Times New Roman" w:hAnsi="Arial Black"/>
          <w:sz w:val="28"/>
          <w:szCs w:val="28"/>
        </w:rPr>
        <w:t xml:space="preserve">FIRST INJURY </w:t>
      </w:r>
    </w:p>
    <w:p w14:paraId="65BED98A" w14:textId="77777777" w:rsidR="0002742E" w:rsidRDefault="0002742E" w:rsidP="0002742E">
      <w:pPr>
        <w:spacing w:before="100" w:beforeAutospacing="1" w:after="100" w:afterAutospacing="1" w:line="240" w:lineRule="auto"/>
        <w:rPr>
          <w:rFonts w:ascii="Times New Roman" w:eastAsia="Times New Roman" w:hAnsi="Times New Roman"/>
          <w:sz w:val="24"/>
          <w:szCs w:val="24"/>
        </w:rPr>
      </w:pPr>
      <w:r w:rsidRPr="00C42D64">
        <w:rPr>
          <w:rFonts w:ascii="Times New Roman" w:eastAsia="Times New Roman" w:hAnsi="Times New Roman"/>
          <w:sz w:val="24"/>
          <w:szCs w:val="24"/>
        </w:rPr>
        <w:t xml:space="preserve">On </w:t>
      </w:r>
      <w:r>
        <w:rPr>
          <w:rFonts w:ascii="Times New Roman" w:eastAsia="Times New Roman" w:hAnsi="Times New Roman"/>
          <w:sz w:val="24"/>
          <w:szCs w:val="24"/>
        </w:rPr>
        <w:t xml:space="preserve">April 20, 2022, in </w:t>
      </w:r>
      <w:r w:rsidRPr="00C42D64">
        <w:rPr>
          <w:rFonts w:ascii="Times New Roman" w:eastAsia="Times New Roman" w:hAnsi="Times New Roman"/>
          <w:sz w:val="24"/>
          <w:szCs w:val="24"/>
          <w:u w:val="single"/>
        </w:rPr>
        <w:t>City of Henderson, et al. v. Jason Law</w:t>
      </w:r>
      <w:r>
        <w:rPr>
          <w:rFonts w:ascii="Times New Roman" w:eastAsia="Times New Roman" w:hAnsi="Times New Roman"/>
          <w:sz w:val="24"/>
          <w:szCs w:val="24"/>
        </w:rPr>
        <w:t xml:space="preserve">, the Court of Appeals of Nevada, held (3 to 0), unpublished decision, that the firefighter under state law was entitled to re-open his claim for “lifetime” since he lost wage during the first injury – overtime pay while on light duty.  The firefighter injured his left shoulder on duty in 2021, and for two months while on light duty he was not eligible for overtime; in Aug. 2016 he reinjured it in a </w:t>
      </w:r>
      <w:proofErr w:type="gramStart"/>
      <w:r>
        <w:rPr>
          <w:rFonts w:ascii="Times New Roman" w:eastAsia="Times New Roman" w:hAnsi="Times New Roman"/>
          <w:sz w:val="24"/>
          <w:szCs w:val="24"/>
        </w:rPr>
        <w:t>firefighters</w:t>
      </w:r>
      <w:proofErr w:type="gramEnd"/>
      <w:r>
        <w:rPr>
          <w:rFonts w:ascii="Times New Roman" w:eastAsia="Times New Roman" w:hAnsi="Times New Roman"/>
          <w:sz w:val="24"/>
          <w:szCs w:val="24"/>
        </w:rPr>
        <w:t xml:space="preserve"> versus police officers football game. </w:t>
      </w:r>
      <w:hyperlink r:id="rId1139" w:history="1">
        <w:r w:rsidRPr="00C50FC4">
          <w:rPr>
            <w:rStyle w:val="Hyperlink"/>
            <w:rFonts w:ascii="Times New Roman" w:eastAsia="Times New Roman" w:hAnsi="Times New Roman"/>
            <w:sz w:val="24"/>
            <w:szCs w:val="24"/>
          </w:rPr>
          <w:t>https://casetext.com/case/city-of-henderson-v-law</w:t>
        </w:r>
      </w:hyperlink>
      <w:r>
        <w:rPr>
          <w:rFonts w:ascii="Times New Roman" w:eastAsia="Times New Roman" w:hAnsi="Times New Roman"/>
          <w:sz w:val="24"/>
          <w:szCs w:val="24"/>
        </w:rPr>
        <w:t xml:space="preserve">  </w:t>
      </w:r>
    </w:p>
    <w:p w14:paraId="466F4150" w14:textId="77777777" w:rsidR="0009438D" w:rsidRDefault="0002742E" w:rsidP="0002742E">
      <w:pPr>
        <w:spacing w:before="100" w:beforeAutospacing="1" w:after="100" w:afterAutospacing="1" w:line="240" w:lineRule="auto"/>
        <w:rPr>
          <w:rFonts w:ascii="Times New Roman" w:eastAsia="Times New Roman" w:hAnsi="Times New Roman"/>
          <w:b/>
          <w:bCs/>
          <w:sz w:val="24"/>
          <w:szCs w:val="24"/>
        </w:rPr>
      </w:pPr>
      <w:r w:rsidRPr="00B174B3">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Under this decision, </w:t>
      </w:r>
      <w:proofErr w:type="gramStart"/>
      <w:r>
        <w:rPr>
          <w:rFonts w:ascii="Times New Roman" w:eastAsia="Times New Roman" w:hAnsi="Times New Roman"/>
          <w:b/>
          <w:bCs/>
          <w:sz w:val="24"/>
          <w:szCs w:val="24"/>
        </w:rPr>
        <w:t>loss wages</w:t>
      </w:r>
      <w:proofErr w:type="gramEnd"/>
      <w:r>
        <w:rPr>
          <w:rFonts w:ascii="Times New Roman" w:eastAsia="Times New Roman" w:hAnsi="Times New Roman"/>
          <w:b/>
          <w:bCs/>
          <w:sz w:val="24"/>
          <w:szCs w:val="24"/>
        </w:rPr>
        <w:t xml:space="preserve"> </w:t>
      </w:r>
      <w:proofErr w:type="gramStart"/>
      <w:r>
        <w:rPr>
          <w:rFonts w:ascii="Times New Roman" w:eastAsia="Times New Roman" w:hAnsi="Times New Roman"/>
          <w:b/>
          <w:bCs/>
          <w:sz w:val="24"/>
          <w:szCs w:val="24"/>
        </w:rPr>
        <w:t>includes</w:t>
      </w:r>
      <w:proofErr w:type="gramEnd"/>
      <w:r>
        <w:rPr>
          <w:rFonts w:ascii="Times New Roman" w:eastAsia="Times New Roman" w:hAnsi="Times New Roman"/>
          <w:b/>
          <w:bCs/>
          <w:sz w:val="24"/>
          <w:szCs w:val="24"/>
        </w:rPr>
        <w:t xml:space="preserve"> loss of overtime pay.  </w:t>
      </w:r>
    </w:p>
    <w:p w14:paraId="156E99C6" w14:textId="7B602E4D" w:rsidR="0009438D" w:rsidRPr="0009438D" w:rsidRDefault="0009438D" w:rsidP="0009438D">
      <w:pPr>
        <w:spacing w:before="100" w:beforeAutospacing="1" w:after="100" w:afterAutospacing="1" w:line="240" w:lineRule="auto"/>
        <w:ind w:left="720"/>
      </w:pPr>
      <w:r w:rsidRPr="0009438D">
        <w:rPr>
          <w:rFonts w:ascii="Times New Roman" w:eastAsia="Times New Roman" w:hAnsi="Times New Roman"/>
          <w:sz w:val="24"/>
          <w:szCs w:val="24"/>
        </w:rPr>
        <w:t xml:space="preserve">Note: To avoid workers </w:t>
      </w:r>
      <w:proofErr w:type="gramStart"/>
      <w:r w:rsidRPr="0009438D">
        <w:rPr>
          <w:rFonts w:ascii="Times New Roman" w:eastAsia="Times New Roman" w:hAnsi="Times New Roman"/>
          <w:sz w:val="24"/>
          <w:szCs w:val="24"/>
        </w:rPr>
        <w:t>comp liability</w:t>
      </w:r>
      <w:proofErr w:type="gramEnd"/>
      <w:r w:rsidRPr="0009438D">
        <w:rPr>
          <w:rFonts w:ascii="Times New Roman" w:eastAsia="Times New Roman" w:hAnsi="Times New Roman"/>
          <w:sz w:val="24"/>
          <w:szCs w:val="24"/>
        </w:rPr>
        <w:t xml:space="preserve"> for personnel playing in off-duty sporting events, some employers will require </w:t>
      </w:r>
      <w:proofErr w:type="gramStart"/>
      <w:r w:rsidRPr="0009438D">
        <w:rPr>
          <w:rFonts w:ascii="Times New Roman" w:eastAsia="Times New Roman" w:hAnsi="Times New Roman"/>
          <w:sz w:val="24"/>
          <w:szCs w:val="24"/>
        </w:rPr>
        <w:t>employee</w:t>
      </w:r>
      <w:proofErr w:type="gramEnd"/>
      <w:r w:rsidRPr="0009438D">
        <w:rPr>
          <w:rFonts w:ascii="Times New Roman" w:eastAsia="Times New Roman" w:hAnsi="Times New Roman"/>
          <w:sz w:val="24"/>
          <w:szCs w:val="24"/>
        </w:rPr>
        <w:t xml:space="preserve"> to sign a waiver. </w:t>
      </w:r>
      <w:r>
        <w:rPr>
          <w:rFonts w:ascii="Times New Roman" w:eastAsia="Times New Roman" w:hAnsi="Times New Roman"/>
          <w:sz w:val="24"/>
          <w:szCs w:val="24"/>
        </w:rPr>
        <w:t xml:space="preserve">See Ohio BWC: </w:t>
      </w:r>
      <w:r>
        <w:rPr>
          <w:rFonts w:ascii="Times New Roman" w:hAnsi="Times New Roman"/>
          <w:sz w:val="24"/>
          <w:szCs w:val="24"/>
        </w:rPr>
        <w:t>“</w:t>
      </w:r>
      <w:r w:rsidRPr="0009438D">
        <w:rPr>
          <w:rFonts w:ascii="Times New Roman" w:hAnsi="Times New Roman"/>
          <w:sz w:val="24"/>
          <w:szCs w:val="24"/>
        </w:rPr>
        <w:t xml:space="preserve">It's BWC's policy that an injury or disability incurred during voluntary participation in an employer sponsored recreation or fitness activity is </w:t>
      </w:r>
      <w:r w:rsidRPr="0009438D">
        <w:rPr>
          <w:rStyle w:val="Strong"/>
          <w:rFonts w:ascii="Times New Roman" w:hAnsi="Times New Roman"/>
          <w:sz w:val="24"/>
          <w:szCs w:val="24"/>
        </w:rPr>
        <w:t>not</w:t>
      </w:r>
      <w:r w:rsidRPr="0009438D">
        <w:rPr>
          <w:rFonts w:ascii="Times New Roman" w:hAnsi="Times New Roman"/>
          <w:sz w:val="24"/>
          <w:szCs w:val="24"/>
        </w:rPr>
        <w:t xml:space="preserve"> compensable</w:t>
      </w:r>
      <w:r w:rsidRPr="0009438D">
        <w:rPr>
          <w:rStyle w:val="Strong"/>
          <w:rFonts w:ascii="Times New Roman" w:hAnsi="Times New Roman"/>
          <w:sz w:val="24"/>
          <w:szCs w:val="24"/>
        </w:rPr>
        <w:t xml:space="preserve"> if </w:t>
      </w:r>
      <w:r w:rsidRPr="0009438D">
        <w:rPr>
          <w:rFonts w:ascii="Times New Roman" w:hAnsi="Times New Roman"/>
          <w:sz w:val="24"/>
          <w:szCs w:val="24"/>
        </w:rPr>
        <w:t>the injured worker signed a waiver of the right to workers' compensation benefits prior to engaging in the recreation or fitness activity.</w:t>
      </w:r>
      <w:r>
        <w:rPr>
          <w:rFonts w:ascii="Times New Roman" w:hAnsi="Times New Roman"/>
          <w:sz w:val="24"/>
          <w:szCs w:val="24"/>
        </w:rPr>
        <w:t xml:space="preserve">” </w:t>
      </w:r>
      <w:hyperlink r:id="rId1140" w:history="1">
        <w:r w:rsidRPr="00107D95">
          <w:rPr>
            <w:rStyle w:val="Hyperlink"/>
            <w:rFonts w:ascii="Times New Roman" w:hAnsi="Times New Roman"/>
            <w:sz w:val="24"/>
            <w:szCs w:val="24"/>
          </w:rPr>
          <w:t>https://info.bwc.ohio.gov/for-employers/workers-compensation-claims/recreational-waiver</w:t>
        </w:r>
      </w:hyperlink>
      <w:r>
        <w:rPr>
          <w:rFonts w:ascii="Times New Roman" w:hAnsi="Times New Roman"/>
          <w:sz w:val="24"/>
          <w:szCs w:val="24"/>
        </w:rPr>
        <w:t xml:space="preserve"> </w:t>
      </w:r>
    </w:p>
    <w:p w14:paraId="4F7A5F60" w14:textId="77777777" w:rsidR="0002742E" w:rsidRDefault="0002742E" w:rsidP="00EF1133">
      <w:pPr>
        <w:rPr>
          <w:rFonts w:ascii="Arial Black" w:hAnsi="Arial Black"/>
          <w:b/>
          <w:sz w:val="24"/>
          <w:szCs w:val="24"/>
        </w:rPr>
      </w:pPr>
    </w:p>
    <w:p w14:paraId="1CFC6FD3" w14:textId="45A014E4" w:rsidR="00727951" w:rsidRDefault="00727951"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8</w:t>
      </w:r>
    </w:p>
    <w:p w14:paraId="788BC477" w14:textId="77777777" w:rsidR="00727951" w:rsidRPr="00421F16" w:rsidRDefault="00727951" w:rsidP="00727951">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CA: FF PAY - CITY COUNCIL DOES NOT HAVE TO COMPARE PAY FF IN 5 CITIES – “MEASURE F” UNENFORCEABLE</w:t>
      </w:r>
    </w:p>
    <w:p w14:paraId="24FCF342" w14:textId="77777777" w:rsidR="00727951" w:rsidRDefault="00727951" w:rsidP="0072795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24, 2022, in </w:t>
      </w:r>
      <w:r w:rsidRPr="00421F16">
        <w:rPr>
          <w:rFonts w:ascii="Times New Roman" w:eastAsia="Times New Roman" w:hAnsi="Times New Roman"/>
          <w:sz w:val="24"/>
          <w:szCs w:val="24"/>
          <w:u w:val="single"/>
        </w:rPr>
        <w:t>Pacifica Firefighters Association v. City of Pacifica</w:t>
      </w:r>
      <w:r>
        <w:rPr>
          <w:rFonts w:ascii="Times New Roman" w:eastAsia="Times New Roman" w:hAnsi="Times New Roman"/>
          <w:sz w:val="24"/>
          <w:szCs w:val="24"/>
        </w:rPr>
        <w:t xml:space="preserve">, the California Court of Appeals, First District (Second Division) held (3 to 0) that the trial court judge properly denied the FF Association’s petition requiring the City to follow “Measure F” after an impasse in negotiations in 2019.  </w:t>
      </w:r>
      <w:hyperlink r:id="rId1141" w:history="1">
        <w:r w:rsidRPr="00B25BE6">
          <w:rPr>
            <w:rStyle w:val="Hyperlink"/>
            <w:rFonts w:ascii="Times New Roman" w:eastAsia="Times New Roman" w:hAnsi="Times New Roman"/>
            <w:sz w:val="24"/>
            <w:szCs w:val="24"/>
          </w:rPr>
          <w:t>https://law.justia.com/cases/california/court-of-appeal/2022/a161575.html</w:t>
        </w:r>
      </w:hyperlink>
      <w:r>
        <w:rPr>
          <w:rFonts w:ascii="Times New Roman" w:eastAsia="Times New Roman" w:hAnsi="Times New Roman"/>
          <w:sz w:val="24"/>
          <w:szCs w:val="24"/>
        </w:rPr>
        <w:t xml:space="preserve"> </w:t>
      </w:r>
    </w:p>
    <w:p w14:paraId="170CDF5B" w14:textId="77777777" w:rsidR="00727951" w:rsidRDefault="00727951" w:rsidP="00727951">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036D7B">
        <w:rPr>
          <w:rFonts w:ascii="Times New Roman" w:hAnsi="Times New Roman"/>
          <w:sz w:val="24"/>
          <w:szCs w:val="24"/>
        </w:rPr>
        <w:t xml:space="preserve">Measure F addresses the compensation of employees in a single city department; the voters sought to ensure that if negotiations failed, firefighters in Pacifica would receive compensation commensurate with that of firefighters in neighboring cities. Laudable as their purpose may have been, the voters were considering one part of a complicated puzzle in isolation. Voters do not have access to the detailed financial information necessary to see the puzzle as a whole and weigh competing demands on a finite city treasury. In specifically directing the </w:t>
      </w:r>
      <w:r>
        <w:rPr>
          <w:rFonts w:ascii="Times New Roman" w:hAnsi="Times New Roman"/>
          <w:sz w:val="24"/>
          <w:szCs w:val="24"/>
        </w:rPr>
        <w:t>‘</w:t>
      </w:r>
      <w:r w:rsidRPr="00036D7B">
        <w:rPr>
          <w:rFonts w:ascii="Times New Roman" w:hAnsi="Times New Roman"/>
          <w:sz w:val="24"/>
          <w:szCs w:val="24"/>
        </w:rPr>
        <w:t>city council</w:t>
      </w:r>
      <w:r>
        <w:rPr>
          <w:rFonts w:ascii="Times New Roman" w:hAnsi="Times New Roman"/>
          <w:sz w:val="24"/>
          <w:szCs w:val="24"/>
        </w:rPr>
        <w:t>’</w:t>
      </w:r>
      <w:r w:rsidRPr="00036D7B">
        <w:rPr>
          <w:rFonts w:ascii="Times New Roman" w:hAnsi="Times New Roman"/>
          <w:sz w:val="24"/>
          <w:szCs w:val="24"/>
        </w:rPr>
        <w:t xml:space="preserve"> to </w:t>
      </w:r>
      <w:r>
        <w:rPr>
          <w:rFonts w:ascii="Times New Roman" w:hAnsi="Times New Roman"/>
          <w:sz w:val="24"/>
          <w:szCs w:val="24"/>
        </w:rPr>
        <w:t>‘</w:t>
      </w:r>
      <w:r w:rsidRPr="00036D7B">
        <w:rPr>
          <w:rFonts w:ascii="Times New Roman" w:hAnsi="Times New Roman"/>
          <w:sz w:val="24"/>
          <w:szCs w:val="24"/>
        </w:rPr>
        <w:t>fix the compensation of all appointive officers and employees</w:t>
      </w:r>
      <w:r>
        <w:rPr>
          <w:rFonts w:ascii="Times New Roman" w:hAnsi="Times New Roman"/>
          <w:sz w:val="24"/>
          <w:szCs w:val="24"/>
        </w:rPr>
        <w:t>’</w:t>
      </w:r>
      <w:r w:rsidRPr="00036D7B">
        <w:rPr>
          <w:rFonts w:ascii="Times New Roman" w:hAnsi="Times New Roman"/>
          <w:sz w:val="24"/>
          <w:szCs w:val="24"/>
        </w:rPr>
        <w:t xml:space="preserve"> (§ 36506), the Legislature must have intended to avoid the disruption to city operations that could result if the electorate could require a general law city to pay its firefighters higher salaries than the city council deemed appropriate by requiring salaries no less than those in another jurisdiction.</w:t>
      </w:r>
      <w:r>
        <w:rPr>
          <w:rFonts w:ascii="Times New Roman" w:hAnsi="Times New Roman"/>
          <w:sz w:val="24"/>
          <w:szCs w:val="24"/>
        </w:rPr>
        <w:t xml:space="preserve"> </w:t>
      </w:r>
      <w:r w:rsidRPr="00036D7B">
        <w:rPr>
          <w:rFonts w:ascii="Times New Roman" w:hAnsi="Times New Roman"/>
          <w:sz w:val="24"/>
          <w:szCs w:val="24"/>
        </w:rPr>
        <w:t xml:space="preserve">We therefore agree with the trial court that Measure F is unenforceable as a usurpation of authority the Legislature granted exclusively to the city </w:t>
      </w:r>
      <w:proofErr w:type="gramStart"/>
      <w:r w:rsidRPr="00036D7B">
        <w:rPr>
          <w:rFonts w:ascii="Times New Roman" w:hAnsi="Times New Roman"/>
          <w:sz w:val="24"/>
          <w:szCs w:val="24"/>
        </w:rPr>
        <w:t>council.</w:t>
      </w:r>
      <w:r>
        <w:rPr>
          <w:rFonts w:ascii="Times New Roman" w:hAnsi="Times New Roman"/>
          <w:sz w:val="24"/>
          <w:szCs w:val="24"/>
        </w:rPr>
        <w:t>”</w:t>
      </w:r>
      <w:proofErr w:type="gramEnd"/>
      <w:r>
        <w:rPr>
          <w:rFonts w:ascii="Times New Roman" w:hAnsi="Times New Roman"/>
          <w:sz w:val="24"/>
          <w:szCs w:val="24"/>
        </w:rPr>
        <w:t xml:space="preserve"> </w:t>
      </w:r>
      <w:hyperlink r:id="rId1142" w:history="1">
        <w:r w:rsidRPr="00B25BE6">
          <w:rPr>
            <w:rStyle w:val="Hyperlink"/>
            <w:rFonts w:ascii="Times New Roman" w:eastAsia="Times New Roman" w:hAnsi="Times New Roman"/>
            <w:sz w:val="24"/>
            <w:szCs w:val="24"/>
          </w:rPr>
          <w:t>https://law.justia.com/cases/california/court-of-appeal/2022/a161575.html</w:t>
        </w:r>
      </w:hyperlink>
      <w:r>
        <w:rPr>
          <w:rFonts w:ascii="Times New Roman" w:eastAsia="Times New Roman" w:hAnsi="Times New Roman"/>
          <w:sz w:val="24"/>
          <w:szCs w:val="24"/>
        </w:rPr>
        <w:t xml:space="preserve"> </w:t>
      </w:r>
    </w:p>
    <w:p w14:paraId="1675592E" w14:textId="77777777" w:rsidR="00727951" w:rsidRDefault="00727951" w:rsidP="00727951">
      <w:pPr>
        <w:spacing w:before="100" w:beforeAutospacing="1" w:after="100" w:afterAutospacing="1" w:line="240" w:lineRule="auto"/>
        <w:rPr>
          <w:rFonts w:ascii="Times New Roman" w:eastAsia="Times New Roman" w:hAnsi="Times New Roman"/>
          <w:b/>
          <w:bCs/>
          <w:sz w:val="24"/>
          <w:szCs w:val="24"/>
        </w:rPr>
      </w:pPr>
      <w:r w:rsidRPr="00036D7B">
        <w:rPr>
          <w:rFonts w:ascii="Times New Roman" w:eastAsia="Times New Roman" w:hAnsi="Times New Roman"/>
          <w:b/>
          <w:bCs/>
          <w:sz w:val="24"/>
          <w:szCs w:val="24"/>
        </w:rPr>
        <w:t xml:space="preserve">Legal Lesson Learned: </w:t>
      </w:r>
      <w:r w:rsidRPr="00DC6AC7">
        <w:rPr>
          <w:rFonts w:ascii="Times New Roman" w:eastAsia="Times New Roman" w:hAnsi="Times New Roman"/>
          <w:b/>
          <w:bCs/>
          <w:sz w:val="24"/>
          <w:szCs w:val="24"/>
        </w:rPr>
        <w:t xml:space="preserve">The </w:t>
      </w:r>
      <w:r>
        <w:rPr>
          <w:rFonts w:ascii="Times New Roman" w:eastAsia="Times New Roman" w:hAnsi="Times New Roman"/>
          <w:b/>
          <w:bCs/>
          <w:sz w:val="24"/>
          <w:szCs w:val="24"/>
        </w:rPr>
        <w:t>California</w:t>
      </w:r>
      <w:r w:rsidRPr="00DC6AC7">
        <w:rPr>
          <w:rFonts w:ascii="Times New Roman" w:eastAsia="Times New Roman" w:hAnsi="Times New Roman"/>
          <w:b/>
          <w:bCs/>
          <w:sz w:val="24"/>
          <w:szCs w:val="24"/>
        </w:rPr>
        <w:t xml:space="preserve"> legislature has enacted procedures when the parties are at an impasse in negotiations</w:t>
      </w:r>
      <w:r>
        <w:rPr>
          <w:rFonts w:ascii="Times New Roman" w:eastAsia="Times New Roman" w:hAnsi="Times New Roman"/>
          <w:b/>
          <w:bCs/>
          <w:sz w:val="24"/>
          <w:szCs w:val="24"/>
        </w:rPr>
        <w:t>, and city voters cannot overturn those provisions.</w:t>
      </w:r>
      <w:r w:rsidRPr="00DC6AC7">
        <w:rPr>
          <w:rFonts w:ascii="Times New Roman" w:eastAsia="Times New Roman" w:hAnsi="Times New Roman"/>
          <w:b/>
          <w:bCs/>
          <w:sz w:val="24"/>
          <w:szCs w:val="24"/>
        </w:rPr>
        <w:t xml:space="preserve"> </w:t>
      </w:r>
    </w:p>
    <w:p w14:paraId="0977A79C" w14:textId="2EEAEB2A" w:rsidR="00727951" w:rsidRDefault="00727951" w:rsidP="00727951">
      <w:pPr>
        <w:rPr>
          <w:rFonts w:ascii="Arial Black" w:hAnsi="Arial Black"/>
          <w:b/>
          <w:sz w:val="24"/>
          <w:szCs w:val="24"/>
        </w:rPr>
      </w:pPr>
      <w:r w:rsidRPr="0039112E">
        <w:rPr>
          <w:rFonts w:ascii="Times New Roman" w:eastAsia="Times New Roman" w:hAnsi="Times New Roman"/>
          <w:sz w:val="24"/>
          <w:szCs w:val="24"/>
        </w:rPr>
        <w:t>Note: “</w:t>
      </w:r>
      <w:r w:rsidRPr="0039112E">
        <w:rPr>
          <w:rFonts w:ascii="Times New Roman" w:hAnsi="Times New Roman"/>
          <w:sz w:val="24"/>
          <w:szCs w:val="24"/>
        </w:rPr>
        <w:t xml:space="preserve">The Meyers-Milias-Brown Act (1968) governs the labor-management relations in California local government, including cities, counties, and most special districts.” </w:t>
      </w:r>
      <w:hyperlink r:id="rId1143" w:history="1">
        <w:r w:rsidRPr="0039112E">
          <w:rPr>
            <w:rStyle w:val="Hyperlink"/>
            <w:rFonts w:ascii="Times New Roman" w:hAnsi="Times New Roman"/>
            <w:sz w:val="24"/>
            <w:szCs w:val="24"/>
          </w:rPr>
          <w:t>https://capeunion.org/contracts/meyers-milias-brown-act</w:t>
        </w:r>
      </w:hyperlink>
    </w:p>
    <w:p w14:paraId="7FBFE8AF" w14:textId="77777777" w:rsidR="00727951" w:rsidRDefault="00727951" w:rsidP="00EF1133">
      <w:pPr>
        <w:rPr>
          <w:rFonts w:ascii="Arial Black" w:hAnsi="Arial Black"/>
          <w:b/>
          <w:sz w:val="24"/>
          <w:szCs w:val="24"/>
        </w:rPr>
      </w:pPr>
    </w:p>
    <w:p w14:paraId="60736E6A" w14:textId="77777777" w:rsidR="00727951" w:rsidRDefault="00727951" w:rsidP="00EF1133">
      <w:pPr>
        <w:rPr>
          <w:rFonts w:ascii="Arial Black" w:hAnsi="Arial Black"/>
          <w:b/>
          <w:sz w:val="24"/>
          <w:szCs w:val="24"/>
        </w:rPr>
      </w:pPr>
    </w:p>
    <w:p w14:paraId="3649F5DE" w14:textId="230CC917" w:rsidR="009A3D9F" w:rsidRDefault="009A3D9F"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7</w:t>
      </w:r>
    </w:p>
    <w:p w14:paraId="35683431" w14:textId="77777777" w:rsidR="009A3D9F" w:rsidRPr="006122C5" w:rsidRDefault="009A3D9F" w:rsidP="009A3D9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STATE “CATASTROPHIC INJURY” BENEFITS – CITY CAN’T DENY TO FF / PD WHO CAN DO “GAINFUL WORK”</w:t>
      </w:r>
    </w:p>
    <w:p w14:paraId="79A7036E" w14:textId="77777777" w:rsidR="009A3D9F" w:rsidRDefault="009A3D9F" w:rsidP="009A3D9F">
      <w:pPr>
        <w:spacing w:before="100" w:beforeAutospacing="1" w:after="100" w:afterAutospacing="1" w:line="240" w:lineRule="auto"/>
        <w:rPr>
          <w:rFonts w:ascii="Times New Roman" w:eastAsia="Times New Roman" w:hAnsi="Times New Roman"/>
          <w:sz w:val="24"/>
          <w:szCs w:val="24"/>
        </w:rPr>
      </w:pPr>
      <w:r w:rsidRPr="004E0E0D">
        <w:rPr>
          <w:rFonts w:ascii="Times New Roman" w:eastAsia="Times New Roman" w:hAnsi="Times New Roman"/>
          <w:sz w:val="24"/>
          <w:szCs w:val="24"/>
        </w:rPr>
        <w:t>On Jan. 21, 2022</w:t>
      </w:r>
      <w:r>
        <w:rPr>
          <w:rFonts w:ascii="Times New Roman" w:eastAsia="Times New Roman" w:hAnsi="Times New Roman"/>
          <w:sz w:val="24"/>
          <w:szCs w:val="24"/>
        </w:rPr>
        <w:t xml:space="preserve">, </w:t>
      </w:r>
      <w:r w:rsidRPr="004E0E0D">
        <w:rPr>
          <w:rFonts w:ascii="Times New Roman" w:eastAsia="Times New Roman" w:hAnsi="Times New Roman"/>
          <w:sz w:val="24"/>
          <w:szCs w:val="24"/>
        </w:rPr>
        <w:t xml:space="preserve">in </w:t>
      </w:r>
      <w:r w:rsidRPr="004E0E0D">
        <w:rPr>
          <w:rFonts w:ascii="Times New Roman" w:eastAsia="Times New Roman" w:hAnsi="Times New Roman"/>
          <w:sz w:val="24"/>
          <w:szCs w:val="24"/>
          <w:u w:val="single"/>
        </w:rPr>
        <w:t>IAFF Local 50 v. The City of Peoria</w:t>
      </w:r>
      <w:r w:rsidRPr="004E0E0D">
        <w:rPr>
          <w:rFonts w:ascii="Times New Roman" w:eastAsia="Times New Roman" w:hAnsi="Times New Roman"/>
          <w:sz w:val="24"/>
          <w:szCs w:val="24"/>
        </w:rPr>
        <w:t>, the Supreme Court of Illinois held (7 to 0)</w:t>
      </w:r>
      <w:r>
        <w:rPr>
          <w:rFonts w:ascii="Times New Roman" w:eastAsia="Times New Roman" w:hAnsi="Times New Roman"/>
          <w:sz w:val="24"/>
          <w:szCs w:val="24"/>
        </w:rPr>
        <w:t>, that the city does not have “home rule” authority to enact an ordinance restricting state pension law for career firefighters and police officers. “</w:t>
      </w:r>
      <w:r w:rsidRPr="00E32542">
        <w:rPr>
          <w:rFonts w:ascii="Times New Roman" w:eastAsia="Times New Roman" w:hAnsi="Times New Roman"/>
          <w:sz w:val="24"/>
          <w:szCs w:val="24"/>
        </w:rPr>
        <w:t>Under the ordinance, if a firefighter can volunteer part-time as a store greeter, he or she will not be considered to have suffered a catastrophic injury-even if that firefighter is not compensated.</w:t>
      </w:r>
      <w:r>
        <w:rPr>
          <w:rFonts w:ascii="Times New Roman" w:eastAsia="Times New Roman" w:hAnsi="Times New Roman"/>
          <w:sz w:val="24"/>
          <w:szCs w:val="24"/>
        </w:rPr>
        <w:t xml:space="preserve">” The Illinois 1997 </w:t>
      </w:r>
      <w:r w:rsidRPr="00302251">
        <w:rPr>
          <w:rFonts w:ascii="Times New Roman" w:eastAsia="Times New Roman" w:hAnsi="Times New Roman"/>
          <w:sz w:val="24"/>
          <w:szCs w:val="24"/>
        </w:rPr>
        <w:t>Public Safety Employee Benefits Act</w:t>
      </w:r>
      <w:r>
        <w:rPr>
          <w:rFonts w:ascii="Times New Roman" w:eastAsia="Times New Roman" w:hAnsi="Times New Roman"/>
          <w:sz w:val="24"/>
          <w:szCs w:val="24"/>
        </w:rPr>
        <w:t xml:space="preserve">, as interpreted by state Supreme Court, covers injured firefighters and police </w:t>
      </w:r>
      <w:proofErr w:type="gramStart"/>
      <w:r>
        <w:rPr>
          <w:rFonts w:ascii="Times New Roman" w:eastAsia="Times New Roman" w:hAnsi="Times New Roman"/>
          <w:sz w:val="24"/>
          <w:szCs w:val="24"/>
        </w:rPr>
        <w:t>who can</w:t>
      </w:r>
      <w:proofErr w:type="gramEnd"/>
      <w:r>
        <w:rPr>
          <w:rFonts w:ascii="Times New Roman" w:eastAsia="Times New Roman" w:hAnsi="Times New Roman"/>
          <w:sz w:val="24"/>
          <w:szCs w:val="24"/>
        </w:rPr>
        <w:t xml:space="preserve"> no longer perform their public safety jobs, but may be able to do other work. Their employer “</w:t>
      </w:r>
      <w:r w:rsidRPr="00BB5C6D">
        <w:rPr>
          <w:rFonts w:ascii="Times New Roman" w:eastAsia="Times New Roman" w:hAnsi="Times New Roman"/>
          <w:sz w:val="24"/>
          <w:szCs w:val="24"/>
        </w:rPr>
        <w:t>shall pay the entire premium of the employer's health insurance plan for the injured employee, the injured employee's spouse, and for each dependent child of the injured employee."</w:t>
      </w:r>
      <w:r>
        <w:rPr>
          <w:rFonts w:ascii="Times New Roman" w:eastAsia="Times New Roman" w:hAnsi="Times New Roman"/>
          <w:sz w:val="24"/>
          <w:szCs w:val="24"/>
        </w:rPr>
        <w:t xml:space="preserve"> </w:t>
      </w:r>
      <w:hyperlink r:id="rId1144" w:history="1">
        <w:r w:rsidRPr="00A83547">
          <w:rPr>
            <w:rStyle w:val="Hyperlink"/>
          </w:rPr>
          <w:t>https://ilcourtsaudio.blob.core.windows.net/antilles-resources/resources/51e43aff-4d85-414d-b8bb-128a5f970896/Int%20Assn%20of%20Fire%20Fighters,%20Local%2050%20v.%20City%20of%20Peoria,%202021%20IL%20127040.pdf</w:t>
        </w:r>
      </w:hyperlink>
    </w:p>
    <w:p w14:paraId="358BF0D0" w14:textId="77777777" w:rsidR="009A3D9F" w:rsidRPr="00302251" w:rsidRDefault="009A3D9F" w:rsidP="009A3D9F">
      <w:pPr>
        <w:spacing w:before="100" w:beforeAutospacing="1" w:after="100" w:afterAutospacing="1" w:line="240" w:lineRule="auto"/>
        <w:rPr>
          <w:rFonts w:ascii="Times New Roman" w:eastAsia="Times New Roman" w:hAnsi="Times New Roman"/>
          <w:b/>
          <w:bCs/>
          <w:sz w:val="24"/>
          <w:szCs w:val="24"/>
        </w:rPr>
      </w:pPr>
      <w:r w:rsidRPr="00A62F01">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Court prevented this “Home Rule” city from seeking to avoid financial obligations under the state statute.</w:t>
      </w:r>
    </w:p>
    <w:p w14:paraId="45930D0B" w14:textId="77777777" w:rsidR="009A3D9F" w:rsidRDefault="009A3D9F" w:rsidP="00EF1133">
      <w:pPr>
        <w:rPr>
          <w:rFonts w:ascii="Arial Black" w:hAnsi="Arial Black"/>
          <w:b/>
          <w:sz w:val="24"/>
          <w:szCs w:val="24"/>
        </w:rPr>
      </w:pPr>
    </w:p>
    <w:p w14:paraId="577D9922" w14:textId="77777777" w:rsidR="009A3D9F" w:rsidRDefault="009A3D9F" w:rsidP="00EF1133">
      <w:pPr>
        <w:rPr>
          <w:rFonts w:ascii="Arial Black" w:hAnsi="Arial Black"/>
          <w:b/>
          <w:sz w:val="24"/>
          <w:szCs w:val="24"/>
        </w:rPr>
      </w:pPr>
    </w:p>
    <w:p w14:paraId="1E5CDFAB" w14:textId="023C63E4" w:rsidR="00433119" w:rsidRDefault="00433119"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6</w:t>
      </w:r>
    </w:p>
    <w:p w14:paraId="1CCC98C0" w14:textId="77777777" w:rsidR="00433119" w:rsidRDefault="00433119" w:rsidP="0043311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IL: PENSION - INJURED MOVING WATERBOTTLES AT STATION – FF GETS PENSION FOR “ACT OF DUTY” INJURIES </w:t>
      </w:r>
    </w:p>
    <w:p w14:paraId="700CAF20" w14:textId="77777777" w:rsidR="00433119" w:rsidRDefault="00433119" w:rsidP="00433119">
      <w:pPr>
        <w:spacing w:before="100" w:beforeAutospacing="1" w:after="100" w:afterAutospacing="1" w:line="240" w:lineRule="auto"/>
        <w:rPr>
          <w:rFonts w:ascii="Times New Roman" w:eastAsia="Times New Roman" w:hAnsi="Times New Roman"/>
          <w:sz w:val="24"/>
          <w:szCs w:val="24"/>
        </w:rPr>
      </w:pPr>
      <w:r w:rsidRPr="00945A33">
        <w:rPr>
          <w:rFonts w:ascii="Times New Roman" w:eastAsia="Times New Roman" w:hAnsi="Times New Roman"/>
          <w:sz w:val="24"/>
          <w:szCs w:val="24"/>
        </w:rPr>
        <w:t xml:space="preserve">On </w:t>
      </w:r>
      <w:r>
        <w:rPr>
          <w:rFonts w:ascii="Times New Roman" w:eastAsia="Times New Roman" w:hAnsi="Times New Roman"/>
          <w:sz w:val="24"/>
          <w:szCs w:val="24"/>
        </w:rPr>
        <w:t xml:space="preserve">Dec. 28, 2021, in </w:t>
      </w:r>
      <w:r w:rsidRPr="00945A33">
        <w:rPr>
          <w:rFonts w:ascii="Times New Roman" w:eastAsia="Times New Roman" w:hAnsi="Times New Roman"/>
          <w:sz w:val="24"/>
          <w:szCs w:val="24"/>
          <w:u w:val="single"/>
        </w:rPr>
        <w:t>The Village of Roselle v. The Board of Trustees of the Roselle Firefighters’ Pension Fund, and Ryan Case</w:t>
      </w:r>
      <w:r>
        <w:rPr>
          <w:rFonts w:ascii="Times New Roman" w:eastAsia="Times New Roman" w:hAnsi="Times New Roman"/>
          <w:sz w:val="24"/>
          <w:szCs w:val="24"/>
        </w:rPr>
        <w:t xml:space="preserve">, the Court of Appeals of Illinois, Second District, held (3 to 0) that the Circuit Court judge had improperly reversed the Board of </w:t>
      </w:r>
      <w:proofErr w:type="gramStart"/>
      <w:r>
        <w:rPr>
          <w:rFonts w:ascii="Times New Roman" w:eastAsia="Times New Roman" w:hAnsi="Times New Roman"/>
          <w:sz w:val="24"/>
          <w:szCs w:val="24"/>
        </w:rPr>
        <w:t>Trustees</w:t>
      </w:r>
      <w:proofErr w:type="gramEnd"/>
      <w:r>
        <w:rPr>
          <w:rFonts w:ascii="Times New Roman" w:eastAsia="Times New Roman" w:hAnsi="Times New Roman"/>
          <w:sz w:val="24"/>
          <w:szCs w:val="24"/>
        </w:rPr>
        <w:t xml:space="preserve"> decision, and firefighter Ryan Case is entitled to a disability pension.  His failure to inform the Village of prior back problems when working at four prior fire department is not a defense; it was the back injury on Sept. 18, </w:t>
      </w:r>
      <w:proofErr w:type="gramStart"/>
      <w:r>
        <w:rPr>
          <w:rFonts w:ascii="Times New Roman" w:eastAsia="Times New Roman" w:hAnsi="Times New Roman"/>
          <w:sz w:val="24"/>
          <w:szCs w:val="24"/>
        </w:rPr>
        <w:t>2016</w:t>
      </w:r>
      <w:proofErr w:type="gramEnd"/>
      <w:r>
        <w:rPr>
          <w:rFonts w:ascii="Times New Roman" w:eastAsia="Times New Roman" w:hAnsi="Times New Roman"/>
          <w:sz w:val="24"/>
          <w:szCs w:val="24"/>
        </w:rPr>
        <w:t xml:space="preserve"> when moving the bottles which led to the disability</w:t>
      </w:r>
    </w:p>
    <w:p w14:paraId="567D37A5" w14:textId="31A7535D" w:rsidR="00433119" w:rsidRDefault="00433119" w:rsidP="00433119">
      <w:pPr>
        <w:ind w:left="720"/>
        <w:rPr>
          <w:rFonts w:ascii="Arial Black" w:hAnsi="Arial Black"/>
          <w:b/>
          <w:sz w:val="24"/>
          <w:szCs w:val="24"/>
        </w:rPr>
      </w:pPr>
      <w:r>
        <w:rPr>
          <w:rFonts w:ascii="Times New Roman" w:eastAsia="Times New Roman" w:hAnsi="Times New Roman"/>
          <w:sz w:val="24"/>
          <w:szCs w:val="24"/>
        </w:rPr>
        <w:t>“</w:t>
      </w:r>
      <w:r w:rsidRPr="00526A4D">
        <w:rPr>
          <w:rFonts w:ascii="Times New Roman" w:eastAsia="Times New Roman" w:hAnsi="Times New Roman"/>
          <w:sz w:val="24"/>
          <w:szCs w:val="24"/>
        </w:rPr>
        <w:t xml:space="preserve">As for the Village's assertion that the Board applied too broad a definition of </w:t>
      </w:r>
      <w:r>
        <w:rPr>
          <w:rFonts w:ascii="Times New Roman" w:eastAsia="Times New Roman" w:hAnsi="Times New Roman"/>
          <w:sz w:val="24"/>
          <w:szCs w:val="24"/>
        </w:rPr>
        <w:t>‘</w:t>
      </w:r>
      <w:r w:rsidRPr="00526A4D">
        <w:rPr>
          <w:rFonts w:ascii="Times New Roman" w:eastAsia="Times New Roman" w:hAnsi="Times New Roman"/>
          <w:sz w:val="24"/>
          <w:szCs w:val="24"/>
        </w:rPr>
        <w:t>act of duty,</w:t>
      </w:r>
      <w:r>
        <w:rPr>
          <w:rFonts w:ascii="Times New Roman" w:eastAsia="Times New Roman" w:hAnsi="Times New Roman"/>
          <w:sz w:val="24"/>
          <w:szCs w:val="24"/>
        </w:rPr>
        <w:t>’</w:t>
      </w:r>
      <w:r w:rsidRPr="00526A4D">
        <w:rPr>
          <w:rFonts w:ascii="Times New Roman" w:eastAsia="Times New Roman" w:hAnsi="Times New Roman"/>
          <w:sz w:val="24"/>
          <w:szCs w:val="24"/>
        </w:rPr>
        <w:t xml:space="preserve"> that complaint is more properly directed at the General Assembly, which chose to define the term</w:t>
      </w:r>
      <w:r w:rsidRPr="00945A33">
        <w:rPr>
          <w:rFonts w:ascii="Times New Roman" w:eastAsia="Times New Roman" w:hAnsi="Times New Roman"/>
          <w:sz w:val="24"/>
          <w:szCs w:val="24"/>
        </w:rPr>
        <w:t xml:space="preserve"> </w:t>
      </w:r>
      <w:r w:rsidRPr="00526A4D">
        <w:rPr>
          <w:rFonts w:ascii="Times New Roman" w:eastAsia="Times New Roman" w:hAnsi="Times New Roman"/>
          <w:sz w:val="24"/>
          <w:szCs w:val="24"/>
        </w:rPr>
        <w:t>broadly. The Board's duty was not to craft its own, narrower definition but to apply the definition provided in the Code. The Board did just that, and we find no error in its decision.</w:t>
      </w:r>
      <w:r>
        <w:rPr>
          <w:rFonts w:ascii="Times New Roman" w:eastAsia="Times New Roman" w:hAnsi="Times New Roman"/>
          <w:sz w:val="24"/>
          <w:szCs w:val="24"/>
        </w:rPr>
        <w:t xml:space="preserve">”  </w:t>
      </w:r>
      <w:hyperlink r:id="rId1145" w:history="1">
        <w:r w:rsidRPr="00EC5853">
          <w:rPr>
            <w:rStyle w:val="Hyperlink"/>
            <w:rFonts w:ascii="Times New Roman" w:eastAsia="Times New Roman" w:hAnsi="Times New Roman"/>
            <w:sz w:val="24"/>
            <w:szCs w:val="24"/>
          </w:rPr>
          <w:t>https://ilcourtsaudio.blob.core.windows.net/antilles-resources/resources/2cab1835-a4bd-4f15-be52-5bbea6ed2024/Roselle%20v.%20BOT%20of%20the%20Roselle%20Firefighters%20Pension%20Fund,%202021%20IL%20App%20(2d)%20200360.pdf</w:t>
        </w:r>
      </w:hyperlink>
    </w:p>
    <w:p w14:paraId="2BBAF51B" w14:textId="77777777" w:rsidR="00433119" w:rsidRPr="00FB5E08" w:rsidRDefault="00433119" w:rsidP="00433119">
      <w:pPr>
        <w:spacing w:before="100" w:beforeAutospacing="1" w:after="100" w:afterAutospacing="1" w:line="240" w:lineRule="auto"/>
        <w:rPr>
          <w:rFonts w:ascii="Times New Roman" w:eastAsia="Times New Roman" w:hAnsi="Times New Roman"/>
          <w:b/>
          <w:bCs/>
          <w:sz w:val="24"/>
          <w:szCs w:val="24"/>
        </w:rPr>
      </w:pPr>
      <w:r w:rsidRPr="00FB5E08">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To avoid “surprises” concerning medical conditions of new hires, Fire Departments can (1) require release of prior medical records, and (2) condition hiring on passing medical examination.  </w:t>
      </w:r>
    </w:p>
    <w:p w14:paraId="71013C7A" w14:textId="77777777" w:rsidR="00433119" w:rsidRDefault="00433119" w:rsidP="00EF1133">
      <w:pPr>
        <w:rPr>
          <w:rFonts w:ascii="Arial Black" w:hAnsi="Arial Black"/>
          <w:b/>
          <w:sz w:val="24"/>
          <w:szCs w:val="24"/>
        </w:rPr>
      </w:pPr>
    </w:p>
    <w:p w14:paraId="1C27CF9C" w14:textId="2C99124D" w:rsidR="00433119" w:rsidRDefault="00433119"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5</w:t>
      </w:r>
    </w:p>
    <w:p w14:paraId="0D58B441" w14:textId="77777777" w:rsidR="00433119" w:rsidRPr="00635F06" w:rsidRDefault="00433119" w:rsidP="00433119">
      <w:pPr>
        <w:spacing w:before="100" w:beforeAutospacing="1" w:after="100" w:afterAutospacing="1" w:line="240" w:lineRule="auto"/>
        <w:rPr>
          <w:rFonts w:ascii="Arial Black" w:hAnsi="Arial Black"/>
          <w:sz w:val="28"/>
          <w:szCs w:val="28"/>
        </w:rPr>
      </w:pPr>
      <w:r>
        <w:rPr>
          <w:rFonts w:ascii="Arial Black" w:hAnsi="Arial Black"/>
          <w:sz w:val="28"/>
          <w:szCs w:val="28"/>
        </w:rPr>
        <w:t>IL: INJURED CHICAGO FFs PENSION - FREE AGE 65 – THEN MUST USE MEDICARE – PAY FOR ANY SUPPLEMENTAL</w:t>
      </w:r>
    </w:p>
    <w:p w14:paraId="1F07CA27" w14:textId="77777777" w:rsidR="00433119" w:rsidRPr="00FA3336" w:rsidRDefault="00433119" w:rsidP="00433119">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23, 2021, in </w:t>
      </w:r>
      <w:r w:rsidRPr="0089175F">
        <w:rPr>
          <w:rFonts w:ascii="Times New Roman" w:hAnsi="Times New Roman"/>
          <w:sz w:val="24"/>
          <w:szCs w:val="24"/>
          <w:u w:val="single"/>
        </w:rPr>
        <w:t>Thomas Barry, et al. v. City of Chicago</w:t>
      </w:r>
      <w:r>
        <w:rPr>
          <w:rFonts w:ascii="Times New Roman" w:hAnsi="Times New Roman"/>
          <w:sz w:val="24"/>
          <w:szCs w:val="24"/>
        </w:rPr>
        <w:t xml:space="preserve">, the Court of Appeals of Illinois, First District (Fourth Division) held (3 to 0) that the City’s obligation to provide premium-free participation in its group plan for active-duty firefighters ended when the plaintiffs became eligible for Medicare. Unfortunately, the </w:t>
      </w:r>
      <w:proofErr w:type="gramStart"/>
      <w:r w:rsidRPr="00FA3336">
        <w:rPr>
          <w:rFonts w:ascii="Times New Roman" w:hAnsi="Times New Roman"/>
          <w:sz w:val="24"/>
          <w:szCs w:val="24"/>
        </w:rPr>
        <w:t>City</w:t>
      </w:r>
      <w:proofErr w:type="gramEnd"/>
      <w:r w:rsidRPr="00FA3336">
        <w:rPr>
          <w:rFonts w:ascii="Times New Roman" w:hAnsi="Times New Roman"/>
          <w:sz w:val="24"/>
          <w:szCs w:val="24"/>
        </w:rPr>
        <w:t xml:space="preserve"> </w:t>
      </w:r>
      <w:r>
        <w:rPr>
          <w:rFonts w:ascii="Times New Roman" w:hAnsi="Times New Roman"/>
          <w:sz w:val="24"/>
          <w:szCs w:val="24"/>
        </w:rPr>
        <w:t xml:space="preserve">had also </w:t>
      </w:r>
      <w:r w:rsidRPr="00FA3336">
        <w:rPr>
          <w:rFonts w:ascii="Times New Roman" w:hAnsi="Times New Roman"/>
          <w:sz w:val="24"/>
          <w:szCs w:val="24"/>
        </w:rPr>
        <w:t>allowed plaintiffs to participate in its Medicare supplement retiree health care plan until that plan was discontinued in December 2016.</w:t>
      </w:r>
    </w:p>
    <w:p w14:paraId="08E2F7EA" w14:textId="77777777" w:rsidR="00433119" w:rsidRPr="00635F06" w:rsidRDefault="00433119" w:rsidP="00433119">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635F06">
        <w:rPr>
          <w:rFonts w:ascii="Times New Roman" w:eastAsia="Times New Roman" w:hAnsi="Times New Roman"/>
          <w:sz w:val="24"/>
          <w:szCs w:val="24"/>
        </w:rPr>
        <w:t xml:space="preserve">We reject plaintiffs' argument that the Act guarantees lifetime premium-free health insurance under the City's group plan because the Act neither references Medicare nor states that benefits cease at a certain age. This argument seeks to add words to the Act that the legislature did not use and fails to </w:t>
      </w:r>
      <w:proofErr w:type="gramStart"/>
      <w:r w:rsidRPr="00635F06">
        <w:rPr>
          <w:rFonts w:ascii="Times New Roman" w:eastAsia="Times New Roman" w:hAnsi="Times New Roman"/>
          <w:sz w:val="24"/>
          <w:szCs w:val="24"/>
        </w:rPr>
        <w:t>construe</w:t>
      </w:r>
      <w:proofErr w:type="gramEnd"/>
      <w:r w:rsidRPr="00635F06">
        <w:rPr>
          <w:rFonts w:ascii="Times New Roman" w:eastAsia="Times New Roman" w:hAnsi="Times New Roman"/>
          <w:sz w:val="24"/>
          <w:szCs w:val="24"/>
        </w:rPr>
        <w:t xml:space="preserve"> the entire statute coherently. Although the Act does guarantee that injured firefighters will always have some type of health insurance coverage, whether from their former employer or another source like Medicare, the Act never states that premium-free coverage under the employer's group plan must last a lifetime. </w:t>
      </w:r>
      <w:r w:rsidRPr="00635F06">
        <w:rPr>
          <w:rFonts w:ascii="Times New Roman" w:hAnsi="Times New Roman"/>
          <w:sz w:val="24"/>
          <w:szCs w:val="24"/>
        </w:rPr>
        <w:t>Instead, section 10(a)(1) of the Act explicitly limits the employer's obligation to pay premiums for its group health insurance plan when benefits are payable from any other source. The public employer's obligation to pay the premiums is not reduced based on the beneficiaries' age per se but rather based on the existence of benefits payable "from any other source." 820 ILCS 320/10(a)(1) (West 2018).</w:t>
      </w:r>
      <w:r>
        <w:rPr>
          <w:rFonts w:ascii="Times New Roman" w:hAnsi="Times New Roman"/>
          <w:sz w:val="24"/>
          <w:szCs w:val="24"/>
        </w:rPr>
        <w:t xml:space="preserve">” </w:t>
      </w:r>
      <w:hyperlink r:id="rId1146" w:history="1">
        <w:r w:rsidRPr="00EC5853">
          <w:rPr>
            <w:rStyle w:val="Hyperlink"/>
            <w:rFonts w:ascii="Times New Roman" w:hAnsi="Times New Roman"/>
            <w:sz w:val="24"/>
            <w:szCs w:val="24"/>
          </w:rPr>
          <w:t>https://casetext.com/case/barry-v-the-city-of-chicago</w:t>
        </w:r>
      </w:hyperlink>
      <w:r>
        <w:rPr>
          <w:rFonts w:ascii="Times New Roman" w:hAnsi="Times New Roman"/>
          <w:sz w:val="24"/>
          <w:szCs w:val="24"/>
        </w:rPr>
        <w:t xml:space="preserve"> </w:t>
      </w:r>
    </w:p>
    <w:p w14:paraId="3A68F6F5" w14:textId="77777777" w:rsidR="00433119" w:rsidRDefault="00433119" w:rsidP="00433119">
      <w:pPr>
        <w:spacing w:before="100" w:beforeAutospacing="1" w:after="100" w:afterAutospacing="1" w:line="240" w:lineRule="auto"/>
        <w:rPr>
          <w:rFonts w:ascii="Times New Roman" w:eastAsia="Times New Roman" w:hAnsi="Times New Roman"/>
          <w:b/>
          <w:bCs/>
          <w:sz w:val="24"/>
          <w:szCs w:val="24"/>
        </w:rPr>
      </w:pPr>
      <w:r w:rsidRPr="00C10A06">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The medically retired firefighters must pay for Medicare supplemental retiree health care insurance.  </w:t>
      </w:r>
    </w:p>
    <w:p w14:paraId="431A8464" w14:textId="77777777" w:rsidR="00433119" w:rsidRDefault="00433119" w:rsidP="00EF1133">
      <w:pPr>
        <w:rPr>
          <w:rFonts w:ascii="Arial Black" w:hAnsi="Arial Black"/>
          <w:b/>
          <w:sz w:val="24"/>
          <w:szCs w:val="24"/>
        </w:rPr>
      </w:pPr>
    </w:p>
    <w:p w14:paraId="0D3FC633" w14:textId="75CC3222" w:rsidR="00433119" w:rsidRDefault="00433119"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4</w:t>
      </w:r>
    </w:p>
    <w:p w14:paraId="7A128F32" w14:textId="77777777" w:rsidR="00433119" w:rsidRPr="005B2B58" w:rsidRDefault="00433119" w:rsidP="0043311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PA: ASTHMA / LUNG ISSUES - 11 YEARS FIRE SCENES PHOTOS - WORKERS COMP IF CAN PROVE JOB CAUSED</w:t>
      </w:r>
    </w:p>
    <w:p w14:paraId="350C6707" w14:textId="77777777" w:rsidR="00433119" w:rsidRPr="0096799C" w:rsidRDefault="00433119" w:rsidP="00433119">
      <w:pPr>
        <w:rPr>
          <w:rFonts w:ascii="Times New Roman" w:hAnsi="Times New Roman"/>
          <w:sz w:val="24"/>
          <w:szCs w:val="24"/>
        </w:rPr>
      </w:pPr>
      <w:r w:rsidRPr="0096799C">
        <w:rPr>
          <w:rFonts w:ascii="Times New Roman" w:hAnsi="Times New Roman"/>
          <w:sz w:val="24"/>
          <w:szCs w:val="24"/>
        </w:rPr>
        <w:t xml:space="preserve">On Dec. 23, 2021, in </w:t>
      </w:r>
      <w:r w:rsidRPr="0096799C">
        <w:rPr>
          <w:rFonts w:ascii="Times New Roman" w:hAnsi="Times New Roman"/>
          <w:sz w:val="24"/>
          <w:szCs w:val="24"/>
          <w:u w:val="single"/>
        </w:rPr>
        <w:t xml:space="preserve">Peter </w:t>
      </w:r>
      <w:proofErr w:type="spellStart"/>
      <w:r w:rsidRPr="0096799C">
        <w:rPr>
          <w:rFonts w:ascii="Times New Roman" w:hAnsi="Times New Roman"/>
          <w:sz w:val="24"/>
          <w:szCs w:val="24"/>
          <w:u w:val="single"/>
        </w:rPr>
        <w:t>DiLaqua</w:t>
      </w:r>
      <w:proofErr w:type="spellEnd"/>
      <w:r w:rsidRPr="0096799C">
        <w:rPr>
          <w:rFonts w:ascii="Times New Roman" w:hAnsi="Times New Roman"/>
          <w:sz w:val="24"/>
          <w:szCs w:val="24"/>
          <w:u w:val="single"/>
        </w:rPr>
        <w:t xml:space="preserve"> v. City of Philadelphia Fire Department</w:t>
      </w:r>
      <w:r w:rsidRPr="0096799C">
        <w:rPr>
          <w:rFonts w:ascii="Times New Roman" w:hAnsi="Times New Roman"/>
          <w:sz w:val="24"/>
          <w:szCs w:val="24"/>
        </w:rPr>
        <w:t xml:space="preserve">, the Commonwealth Court of Pennsylvania held (3 to 0) that the firefighters’ claim is remanded for further evidence to be presented to the Workers Comp Judge; the court reversed the Workers’ Compensation Review Board that had overturned the WCJ’s finding that the firefighter’s asthma and RADS (Reactive Airways Dysfunction Syndrome) were job related. </w:t>
      </w:r>
    </w:p>
    <w:p w14:paraId="78F8C10A" w14:textId="37D946BE" w:rsidR="00433119" w:rsidRDefault="00433119" w:rsidP="00433119">
      <w:pPr>
        <w:ind w:left="720"/>
        <w:rPr>
          <w:rFonts w:ascii="Arial Black" w:hAnsi="Arial Black"/>
          <w:b/>
          <w:sz w:val="24"/>
          <w:szCs w:val="24"/>
        </w:rPr>
      </w:pPr>
      <w:r>
        <w:rPr>
          <w:rFonts w:ascii="Times New Roman" w:hAnsi="Times New Roman"/>
          <w:sz w:val="24"/>
          <w:szCs w:val="24"/>
        </w:rPr>
        <w:t>“</w:t>
      </w:r>
      <w:r w:rsidRPr="00AE0D89">
        <w:rPr>
          <w:rFonts w:ascii="Times New Roman" w:hAnsi="Times New Roman"/>
          <w:sz w:val="24"/>
          <w:szCs w:val="24"/>
        </w:rPr>
        <w:t>At the WCJ hearings, Claimant testified</w:t>
      </w:r>
      <w:r>
        <w:rPr>
          <w:rFonts w:ascii="Times New Roman" w:hAnsi="Times New Roman"/>
          <w:sz w:val="24"/>
          <w:szCs w:val="24"/>
          <w:vertAlign w:val="superscript"/>
        </w:rPr>
        <w:t xml:space="preserve"> </w:t>
      </w:r>
      <w:r w:rsidRPr="00AE0D89">
        <w:rPr>
          <w:rFonts w:ascii="Times New Roman" w:hAnsi="Times New Roman"/>
          <w:sz w:val="24"/>
          <w:szCs w:val="24"/>
        </w:rPr>
        <w:t>that, although Employer provided respiratory protection equipment when he fought fires for the first two years of his employment, Employer did not provide such equipment when he photographed fire scenes for the VCU</w:t>
      </w:r>
      <w:r>
        <w:rPr>
          <w:rFonts w:ascii="Times New Roman" w:hAnsi="Times New Roman"/>
          <w:sz w:val="24"/>
          <w:szCs w:val="24"/>
        </w:rPr>
        <w:t xml:space="preserve"> </w:t>
      </w:r>
      <w:r w:rsidRPr="00AE0D89">
        <w:rPr>
          <w:rFonts w:ascii="Times New Roman" w:hAnsi="Times New Roman"/>
          <w:sz w:val="24"/>
          <w:szCs w:val="24"/>
        </w:rPr>
        <w:t>[Visual Communication Unit ]….</w:t>
      </w:r>
      <w:r>
        <w:t xml:space="preserve"> </w:t>
      </w:r>
      <w:r w:rsidRPr="00AE0D89">
        <w:rPr>
          <w:rFonts w:ascii="Times New Roman" w:hAnsi="Times New Roman"/>
          <w:sz w:val="24"/>
          <w:szCs w:val="24"/>
        </w:rPr>
        <w:t>Claimant estimated that he photographed 8 to 10 multiple-alarm fires per year and, over time, he photographed 50 to 70 rooms where deaths occurred</w:t>
      </w:r>
      <w:r>
        <w:rPr>
          <w:rFonts w:ascii="Times New Roman" w:hAnsi="Times New Roman"/>
          <w:sz w:val="24"/>
          <w:szCs w:val="24"/>
        </w:rPr>
        <w:t xml:space="preserve">…. </w:t>
      </w:r>
      <w:r w:rsidRPr="00AE0D89">
        <w:rPr>
          <w:rFonts w:ascii="Times New Roman" w:hAnsi="Times New Roman"/>
          <w:sz w:val="24"/>
          <w:szCs w:val="24"/>
        </w:rPr>
        <w:t>Claimant explained that, for multiple alarm fires, he would be at a scene for 8 to 10 hours and, relative to death investigations, he would be at a fire scene for at least 6 hours</w:t>
      </w:r>
      <w:r>
        <w:rPr>
          <w:rFonts w:ascii="Times New Roman" w:hAnsi="Times New Roman"/>
          <w:sz w:val="24"/>
          <w:szCs w:val="24"/>
        </w:rPr>
        <w:t xml:space="preserve">…. </w:t>
      </w:r>
      <w:r w:rsidRPr="00AE0D89">
        <w:rPr>
          <w:rFonts w:ascii="Times New Roman" w:hAnsi="Times New Roman"/>
          <w:sz w:val="24"/>
          <w:szCs w:val="24"/>
        </w:rPr>
        <w:t>Here, key to the Board's and this Court's review is whether Claimant proved his entitlement to WC benefits. Specifically, whether he proved the injury he alleged in the Claim Petition, and whether it was causally related to his employment (or he was entitled to the Presumption). Because those issues cannot be resolved by this Court, this matter must be remanded to the Board and the WCJ for application of the correct legal principles.</w:t>
      </w:r>
      <w:r>
        <w:rPr>
          <w:rFonts w:ascii="Times New Roman" w:hAnsi="Times New Roman"/>
          <w:sz w:val="24"/>
          <w:szCs w:val="24"/>
        </w:rPr>
        <w:t xml:space="preserve">” </w:t>
      </w:r>
      <w:hyperlink r:id="rId1147" w:history="1">
        <w:r w:rsidRPr="00EC5853">
          <w:rPr>
            <w:rStyle w:val="Hyperlink"/>
            <w:rFonts w:ascii="Times New Roman" w:hAnsi="Times New Roman"/>
            <w:sz w:val="24"/>
            <w:szCs w:val="24"/>
          </w:rPr>
          <w:t>https://casetext.com/case/dilaqua-v-city-of-philadelphia-fire-dept-workers-comp-appeal-board</w:t>
        </w:r>
      </w:hyperlink>
    </w:p>
    <w:p w14:paraId="3F2F2D5D" w14:textId="77777777" w:rsidR="00433119" w:rsidRPr="00927BF6" w:rsidRDefault="00433119" w:rsidP="00433119">
      <w:pPr>
        <w:pStyle w:val="NormalWeb"/>
        <w:rPr>
          <w:b/>
          <w:bCs/>
        </w:rPr>
      </w:pPr>
      <w:r w:rsidRPr="00927BF6">
        <w:rPr>
          <w:b/>
          <w:bCs/>
        </w:rPr>
        <w:t>Legal Lesson Learned:</w:t>
      </w:r>
      <w:r>
        <w:rPr>
          <w:b/>
          <w:bCs/>
        </w:rPr>
        <w:t xml:space="preserve"> PA has a helpful statutory presumption for diseases of lungs for </w:t>
      </w:r>
      <w:proofErr w:type="gramStart"/>
      <w:r>
        <w:rPr>
          <w:b/>
          <w:bCs/>
        </w:rPr>
        <w:t>firefighter</w:t>
      </w:r>
      <w:proofErr w:type="gramEnd"/>
      <w:r>
        <w:rPr>
          <w:b/>
          <w:bCs/>
        </w:rPr>
        <w:t xml:space="preserve"> with four or more years of service. </w:t>
      </w:r>
    </w:p>
    <w:p w14:paraId="0FEC2BC5" w14:textId="77777777" w:rsidR="00433119" w:rsidRDefault="00433119" w:rsidP="00433119">
      <w:pPr>
        <w:ind w:left="720"/>
        <w:rPr>
          <w:rFonts w:ascii="Times New Roman" w:hAnsi="Times New Roman"/>
          <w:sz w:val="24"/>
          <w:szCs w:val="24"/>
        </w:rPr>
      </w:pPr>
      <w:r>
        <w:rPr>
          <w:rFonts w:ascii="Times New Roman" w:hAnsi="Times New Roman"/>
          <w:sz w:val="24"/>
          <w:szCs w:val="24"/>
        </w:rPr>
        <w:t xml:space="preserve">Note:  See Ohio Revised Code 742.38, statutory presumption: </w:t>
      </w:r>
      <w:hyperlink r:id="rId1148" w:history="1">
        <w:r w:rsidRPr="001E7A1B">
          <w:rPr>
            <w:rStyle w:val="Hyperlink"/>
            <w:rFonts w:ascii="Times New Roman" w:hAnsi="Times New Roman"/>
            <w:sz w:val="24"/>
            <w:szCs w:val="24"/>
          </w:rPr>
          <w:t>https://codes.ohio.gov/ohio-revised-code/section-742.38</w:t>
        </w:r>
      </w:hyperlink>
      <w:r>
        <w:rPr>
          <w:rFonts w:ascii="Times New Roman" w:hAnsi="Times New Roman"/>
          <w:sz w:val="24"/>
          <w:szCs w:val="24"/>
        </w:rPr>
        <w:t xml:space="preserve"> </w:t>
      </w:r>
    </w:p>
    <w:p w14:paraId="7257D604" w14:textId="77777777" w:rsidR="00433119" w:rsidRPr="00971F78" w:rsidRDefault="00433119" w:rsidP="00433119">
      <w:pPr>
        <w:ind w:left="1440"/>
        <w:rPr>
          <w:rFonts w:ascii="Times New Roman" w:hAnsi="Times New Roman"/>
          <w:b/>
          <w:bCs/>
          <w:sz w:val="24"/>
          <w:szCs w:val="24"/>
        </w:rPr>
      </w:pPr>
      <w:r w:rsidRPr="00971F78">
        <w:rPr>
          <w:rFonts w:ascii="Times New Roman" w:hAnsi="Times New Roman"/>
          <w:sz w:val="24"/>
          <w:szCs w:val="24"/>
        </w:rPr>
        <w:t>(3)(a) A member of the fund [Ohio police and fire pension fund]</w:t>
      </w:r>
      <w:r>
        <w:t xml:space="preserve"> </w:t>
      </w:r>
      <w:r w:rsidRPr="00971F78">
        <w:rPr>
          <w:rFonts w:ascii="Times New Roman" w:hAnsi="Times New Roman"/>
          <w:sz w:val="24"/>
          <w:szCs w:val="24"/>
        </w:rPr>
        <w:t xml:space="preserve">who is permanently disabled as a result of heart disease or any cardiovascular or respiratory disease of a chronic nature, which disease or any evidence of which disease was not revealed by the physical examination passed by the member on entry into the department or another examination specified in rules the board adopts under section </w:t>
      </w:r>
      <w:hyperlink r:id="rId1149" w:history="1">
        <w:r w:rsidRPr="00971F78">
          <w:rPr>
            <w:rStyle w:val="Hyperlink"/>
            <w:rFonts w:ascii="Times New Roman" w:hAnsi="Times New Roman"/>
            <w:sz w:val="24"/>
            <w:szCs w:val="24"/>
          </w:rPr>
          <w:t>742.10</w:t>
        </w:r>
      </w:hyperlink>
      <w:r w:rsidRPr="00971F78">
        <w:rPr>
          <w:rFonts w:ascii="Times New Roman" w:hAnsi="Times New Roman"/>
          <w:sz w:val="24"/>
          <w:szCs w:val="24"/>
        </w:rPr>
        <w:t xml:space="preserve"> of the Revised Code, is presumed to have incurred the disease while performing the member's official duties, unless the contrary is shown by competent evidence. The board may waive the requirement that the absence of disease be evidenced by a physical examination if competent medical evidence of a type specified in rules adopted under section </w:t>
      </w:r>
      <w:hyperlink r:id="rId1150" w:history="1">
        <w:r w:rsidRPr="00971F78">
          <w:rPr>
            <w:rStyle w:val="Hyperlink"/>
            <w:rFonts w:ascii="Times New Roman" w:hAnsi="Times New Roman"/>
            <w:sz w:val="24"/>
            <w:szCs w:val="24"/>
          </w:rPr>
          <w:t>742.10</w:t>
        </w:r>
      </w:hyperlink>
      <w:r w:rsidRPr="00971F78">
        <w:rPr>
          <w:rFonts w:ascii="Times New Roman" w:hAnsi="Times New Roman"/>
          <w:sz w:val="24"/>
          <w:szCs w:val="24"/>
        </w:rPr>
        <w:t xml:space="preserve"> of the Revised Code is submitted documenting that the disease was not evident prior to or at the time of entry into the department.</w:t>
      </w:r>
    </w:p>
    <w:p w14:paraId="2C5B5AA1" w14:textId="77777777" w:rsidR="00433119" w:rsidRDefault="00433119" w:rsidP="00EF1133">
      <w:pPr>
        <w:rPr>
          <w:rFonts w:ascii="Arial Black" w:hAnsi="Arial Black"/>
          <w:b/>
          <w:sz w:val="24"/>
          <w:szCs w:val="24"/>
        </w:rPr>
      </w:pPr>
    </w:p>
    <w:p w14:paraId="5561F4C0" w14:textId="4D97F2F3" w:rsidR="00B5724A" w:rsidRDefault="00B5724A"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3</w:t>
      </w:r>
    </w:p>
    <w:p w14:paraId="27072C7B" w14:textId="77777777" w:rsidR="00B5724A" w:rsidRDefault="00B5724A" w:rsidP="00B5724A">
      <w:pPr>
        <w:spacing w:before="100" w:beforeAutospacing="1" w:after="100" w:afterAutospacing="1" w:line="240" w:lineRule="auto"/>
        <w:rPr>
          <w:rFonts w:ascii="Arial Black" w:eastAsia="Times New Roman" w:hAnsi="Arial Black"/>
          <w:sz w:val="28"/>
          <w:szCs w:val="28"/>
        </w:rPr>
      </w:pPr>
      <w:bookmarkStart w:id="229" w:name="_Hlk92113959"/>
      <w:r>
        <w:rPr>
          <w:rFonts w:ascii="Arial Black" w:eastAsia="Times New Roman" w:hAnsi="Arial Black"/>
          <w:sz w:val="28"/>
          <w:szCs w:val="28"/>
        </w:rPr>
        <w:t>PA: FF DIED LUNG CANCER – HEAVY SMOKER - 40% INCREASE - WIFE NO WORKERS COMP DEATH BENEFITS</w:t>
      </w:r>
    </w:p>
    <w:bookmarkEnd w:id="229"/>
    <w:p w14:paraId="59423BFB" w14:textId="77777777" w:rsidR="00B5724A" w:rsidRDefault="00B5724A" w:rsidP="00B5724A">
      <w:pPr>
        <w:spacing w:before="100" w:beforeAutospacing="1" w:after="100" w:afterAutospacing="1" w:line="240" w:lineRule="auto"/>
      </w:pPr>
      <w:r>
        <w:rPr>
          <w:rFonts w:ascii="Times New Roman" w:eastAsia="Times New Roman" w:hAnsi="Times New Roman"/>
          <w:sz w:val="24"/>
          <w:szCs w:val="24"/>
        </w:rPr>
        <w:t xml:space="preserve">On Dec. 13, 2021, in </w:t>
      </w:r>
      <w:r w:rsidRPr="00BF2980">
        <w:rPr>
          <w:rFonts w:ascii="Times New Roman" w:eastAsia="Times New Roman" w:hAnsi="Times New Roman"/>
          <w:sz w:val="24"/>
          <w:szCs w:val="24"/>
          <w:u w:val="single"/>
        </w:rPr>
        <w:t>Vincent Regan v. City of Philadelphia (Workers’ Compensation Appeal Board</w:t>
      </w:r>
      <w:r>
        <w:rPr>
          <w:rFonts w:ascii="Times New Roman" w:eastAsia="Times New Roman" w:hAnsi="Times New Roman"/>
          <w:sz w:val="24"/>
          <w:szCs w:val="24"/>
          <w:u w:val="single"/>
        </w:rPr>
        <w:t>)</w:t>
      </w:r>
      <w:r>
        <w:rPr>
          <w:rFonts w:ascii="Times New Roman" w:eastAsia="Times New Roman" w:hAnsi="Times New Roman"/>
          <w:sz w:val="24"/>
          <w:szCs w:val="24"/>
        </w:rPr>
        <w:t xml:space="preserve">, the Commonwealth Court of Pennsylvania held (3 to 0) that the widow of Vincent Regan is not entitled to workers compensation, since the Administrative Law Judge found the city’s expert witness very credible. He </w:t>
      </w:r>
      <w:r w:rsidRPr="00BB487E">
        <w:rPr>
          <w:rFonts w:ascii="Times New Roman" w:eastAsia="Times New Roman" w:hAnsi="Times New Roman"/>
          <w:sz w:val="24"/>
          <w:szCs w:val="24"/>
        </w:rPr>
        <w:t>stated</w:t>
      </w:r>
      <w:r>
        <w:rPr>
          <w:rFonts w:ascii="Times New Roman" w:eastAsia="Times New Roman" w:hAnsi="Times New Roman"/>
          <w:sz w:val="24"/>
          <w:szCs w:val="24"/>
        </w:rPr>
        <w:t xml:space="preserve"> </w:t>
      </w:r>
      <w:r w:rsidRPr="00BB487E">
        <w:rPr>
          <w:rFonts w:ascii="Times New Roman" w:eastAsia="Times New Roman" w:hAnsi="Times New Roman"/>
          <w:sz w:val="24"/>
          <w:szCs w:val="24"/>
        </w:rPr>
        <w:t xml:space="preserve">that </w:t>
      </w:r>
      <w:r>
        <w:rPr>
          <w:rFonts w:ascii="Times New Roman" w:eastAsia="Times New Roman" w:hAnsi="Times New Roman"/>
          <w:sz w:val="24"/>
          <w:szCs w:val="24"/>
        </w:rPr>
        <w:t>“</w:t>
      </w:r>
      <w:r w:rsidRPr="00BB487E">
        <w:rPr>
          <w:rFonts w:ascii="Times New Roman" w:eastAsia="Times New Roman" w:hAnsi="Times New Roman"/>
          <w:sz w:val="24"/>
          <w:szCs w:val="24"/>
        </w:rPr>
        <w:t xml:space="preserve">medical records revealed that Decedent began smoking at age 16, and quit at age 68 in 2008, with a 40- to 50-pack per year history of tobacco use. He said that the effect of a 40-pack per year history will increase the risk of lung cancer by 40 </w:t>
      </w:r>
      <w:proofErr w:type="gramStart"/>
      <w:r w:rsidRPr="00BB487E">
        <w:rPr>
          <w:rFonts w:ascii="Times New Roman" w:eastAsia="Times New Roman" w:hAnsi="Times New Roman"/>
          <w:sz w:val="24"/>
          <w:szCs w:val="24"/>
        </w:rPr>
        <w:t>times.</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The PA statutory presumption law for firefighters was “fully rebutted” by the City’s expert.   </w:t>
      </w:r>
    </w:p>
    <w:p w14:paraId="5D03E918" w14:textId="77777777" w:rsidR="00B5724A" w:rsidRPr="0080447D" w:rsidRDefault="00B5724A" w:rsidP="00B5724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80447D">
        <w:rPr>
          <w:rFonts w:ascii="Times New Roman" w:eastAsia="Times New Roman" w:hAnsi="Times New Roman"/>
          <w:sz w:val="24"/>
          <w:szCs w:val="24"/>
        </w:rPr>
        <w:t xml:space="preserve">Because the WCJ's credibility determinations were not made arbitrarily and capriciously and her findings are supported by substantial evidence, the WCJ's decision cannot be disturbed on appeal. </w:t>
      </w:r>
      <w:r w:rsidRPr="0080447D">
        <w:rPr>
          <w:rFonts w:ascii="Times New Roman" w:eastAsia="Times New Roman" w:hAnsi="Times New Roman"/>
          <w:i/>
          <w:iCs/>
          <w:sz w:val="24"/>
          <w:szCs w:val="24"/>
        </w:rPr>
        <w:t>Id.</w:t>
      </w:r>
      <w:r w:rsidRPr="0080447D">
        <w:rPr>
          <w:rFonts w:ascii="Times New Roman" w:eastAsia="Times New Roman" w:hAnsi="Times New Roman"/>
          <w:sz w:val="24"/>
          <w:szCs w:val="24"/>
        </w:rPr>
        <w:t xml:space="preserve"> Further, we conclude that the WCJ's decision sets forth an adequate explanation of her reasons for accepting and rejecting </w:t>
      </w:r>
      <w:proofErr w:type="gramStart"/>
      <w:r w:rsidRPr="0080447D">
        <w:rPr>
          <w:rFonts w:ascii="Times New Roman" w:eastAsia="Times New Roman" w:hAnsi="Times New Roman"/>
          <w:sz w:val="24"/>
          <w:szCs w:val="24"/>
        </w:rPr>
        <w:t>evidence, and</w:t>
      </w:r>
      <w:proofErr w:type="gramEnd"/>
      <w:r w:rsidRPr="0080447D">
        <w:rPr>
          <w:rFonts w:ascii="Times New Roman" w:eastAsia="Times New Roman" w:hAnsi="Times New Roman"/>
          <w:sz w:val="24"/>
          <w:szCs w:val="24"/>
        </w:rPr>
        <w:t xml:space="preserve"> therefore satisfies the reasoned decision requirements of Section 422(a) of the Act. </w:t>
      </w:r>
      <w:r w:rsidRPr="0080447D">
        <w:rPr>
          <w:rFonts w:ascii="Times New Roman" w:eastAsia="Times New Roman" w:hAnsi="Times New Roman"/>
          <w:i/>
          <w:iCs/>
          <w:sz w:val="24"/>
          <w:szCs w:val="24"/>
        </w:rPr>
        <w:t>See id.</w:t>
      </w:r>
      <w:r w:rsidRPr="0080447D">
        <w:rPr>
          <w:rFonts w:ascii="Times New Roman" w:eastAsia="Times New Roman" w:hAnsi="Times New Roman"/>
          <w:sz w:val="24"/>
          <w:szCs w:val="24"/>
        </w:rPr>
        <w:t xml:space="preserve"> at 1089 (noting that Section 422(a) does not require </w:t>
      </w:r>
      <w:r>
        <w:rPr>
          <w:rFonts w:ascii="Times New Roman" w:eastAsia="Times New Roman" w:hAnsi="Times New Roman"/>
          <w:sz w:val="24"/>
          <w:szCs w:val="24"/>
        </w:rPr>
        <w:t>‘</w:t>
      </w:r>
      <w:r w:rsidRPr="0080447D">
        <w:rPr>
          <w:rFonts w:ascii="Times New Roman" w:eastAsia="Times New Roman" w:hAnsi="Times New Roman"/>
          <w:sz w:val="24"/>
          <w:szCs w:val="24"/>
        </w:rPr>
        <w:t>adequate reasons,</w:t>
      </w:r>
      <w:r>
        <w:rPr>
          <w:rFonts w:ascii="Times New Roman" w:eastAsia="Times New Roman" w:hAnsi="Times New Roman"/>
          <w:sz w:val="24"/>
          <w:szCs w:val="24"/>
        </w:rPr>
        <w:t>’</w:t>
      </w:r>
      <w:r w:rsidRPr="0080447D">
        <w:rPr>
          <w:rFonts w:ascii="Times New Roman" w:eastAsia="Times New Roman" w:hAnsi="Times New Roman"/>
          <w:sz w:val="24"/>
          <w:szCs w:val="24"/>
        </w:rPr>
        <w:t xml:space="preserve"> but an adequate explanation for those reasons, </w:t>
      </w:r>
      <w:proofErr w:type="gramStart"/>
      <w:r w:rsidRPr="0080447D">
        <w:rPr>
          <w:rFonts w:ascii="Times New Roman" w:eastAsia="Times New Roman" w:hAnsi="Times New Roman"/>
          <w:sz w:val="24"/>
          <w:szCs w:val="24"/>
        </w:rPr>
        <w:t>in order for</w:t>
      </w:r>
      <w:proofErr w:type="gramEnd"/>
      <w:r w:rsidRPr="0080447D">
        <w:rPr>
          <w:rFonts w:ascii="Times New Roman" w:eastAsia="Times New Roman" w:hAnsi="Times New Roman"/>
          <w:sz w:val="24"/>
          <w:szCs w:val="24"/>
        </w:rPr>
        <w:t xml:space="preserve"> appellate review to be meaningful). </w:t>
      </w:r>
      <w:r>
        <w:rPr>
          <w:rFonts w:ascii="Times New Roman" w:eastAsia="Times New Roman" w:hAnsi="Times New Roman"/>
          <w:sz w:val="24"/>
          <w:szCs w:val="24"/>
        </w:rPr>
        <w:t xml:space="preserve">“ </w:t>
      </w:r>
      <w:hyperlink r:id="rId1151" w:history="1">
        <w:r w:rsidRPr="00EC5853">
          <w:rPr>
            <w:rStyle w:val="Hyperlink"/>
            <w:rFonts w:ascii="Times New Roman" w:eastAsia="Times New Roman" w:hAnsi="Times New Roman"/>
            <w:sz w:val="24"/>
            <w:szCs w:val="24"/>
          </w:rPr>
          <w:t>https://casetext.com/case/regan-v-city-of-philadelphia-workers-comp-appeal-board</w:t>
        </w:r>
      </w:hyperlink>
      <w:r>
        <w:rPr>
          <w:rFonts w:ascii="Times New Roman" w:eastAsia="Times New Roman" w:hAnsi="Times New Roman"/>
          <w:sz w:val="24"/>
          <w:szCs w:val="24"/>
        </w:rPr>
        <w:t xml:space="preserve"> </w:t>
      </w:r>
    </w:p>
    <w:p w14:paraId="38606B72" w14:textId="77777777" w:rsidR="00433119" w:rsidRPr="009459BB" w:rsidRDefault="00433119" w:rsidP="00433119">
      <w:pPr>
        <w:spacing w:before="100" w:beforeAutospacing="1" w:after="100" w:afterAutospacing="1" w:line="240" w:lineRule="auto"/>
        <w:rPr>
          <w:rFonts w:ascii="Times New Roman" w:eastAsia="Times New Roman" w:hAnsi="Times New Roman"/>
          <w:b/>
          <w:bCs/>
          <w:sz w:val="24"/>
          <w:szCs w:val="24"/>
        </w:rPr>
      </w:pPr>
      <w:r w:rsidRPr="009459BB">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The statutory presumption for firefighters can be overcome by expert testimony, including evidence the firefighter was a heavy smoker. </w:t>
      </w:r>
    </w:p>
    <w:p w14:paraId="6606C2B6" w14:textId="77777777" w:rsidR="00433119" w:rsidRDefault="00433119" w:rsidP="00433119">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Ohio statutory presumption includes provision on firefighter use of tobacco products. </w:t>
      </w:r>
      <w:proofErr w:type="gramStart"/>
      <w:r>
        <w:rPr>
          <w:rFonts w:ascii="Times New Roman" w:eastAsia="Times New Roman" w:hAnsi="Times New Roman"/>
          <w:sz w:val="24"/>
          <w:szCs w:val="24"/>
        </w:rPr>
        <w:t>Ohio Rev. Code 4123.68,</w:t>
      </w:r>
      <w:proofErr w:type="gramEnd"/>
      <w:r>
        <w:rPr>
          <w:rFonts w:ascii="Times New Roman" w:eastAsia="Times New Roman" w:hAnsi="Times New Roman"/>
          <w:sz w:val="24"/>
          <w:szCs w:val="24"/>
        </w:rPr>
        <w:t xml:space="preserve"> includes following. </w:t>
      </w:r>
      <w:r w:rsidRPr="00223FC1">
        <w:t xml:space="preserve"> </w:t>
      </w:r>
      <w:hyperlink r:id="rId1152" w:history="1">
        <w:r w:rsidRPr="003A1264">
          <w:rPr>
            <w:rFonts w:ascii="Times New Roman" w:eastAsia="Times New Roman" w:hAnsi="Times New Roman"/>
            <w:sz w:val="24"/>
            <w:szCs w:val="24"/>
          </w:rPr>
          <w:t>https://codes.ohio.gov/ohio-revised-code/section-4123.68</w:t>
        </w:r>
      </w:hyperlink>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w:t>
      </w:r>
      <w:proofErr w:type="spellEnd"/>
    </w:p>
    <w:p w14:paraId="2C68B934" w14:textId="77777777" w:rsidR="00433119" w:rsidRDefault="00433119" w:rsidP="00433119">
      <w:pPr>
        <w:spacing w:before="100" w:beforeAutospacing="1" w:after="100" w:afterAutospacing="1" w:line="240" w:lineRule="auto"/>
        <w:ind w:left="1440"/>
        <w:rPr>
          <w:rFonts w:ascii="Times New Roman" w:hAnsi="Times New Roman"/>
          <w:sz w:val="24"/>
          <w:szCs w:val="24"/>
        </w:rPr>
      </w:pPr>
      <w:r>
        <w:rPr>
          <w:rFonts w:ascii="Times New Roman" w:hAnsi="Times New Roman"/>
          <w:sz w:val="24"/>
          <w:szCs w:val="24"/>
        </w:rPr>
        <w:t>“</w:t>
      </w:r>
      <w:r w:rsidRPr="00223FC1">
        <w:rPr>
          <w:rFonts w:ascii="Times New Roman" w:hAnsi="Times New Roman"/>
          <w:sz w:val="24"/>
          <w:szCs w:val="24"/>
        </w:rPr>
        <w:t>(X)(1) Cancer contracted by a firefighter: Cancer contracted by a firefighter who has been assigned to at least six years of hazardous duty as a firefighter constitutes a presumption that the cancer was contracted in the course of and arising out of the firefighter's employment if the firefighter was exposed to an agent classified by the international agency for research on cancer or its successor organization as a group 1 or 2A carcinogen.</w:t>
      </w:r>
    </w:p>
    <w:p w14:paraId="4895C7BF" w14:textId="77777777" w:rsidR="00433119" w:rsidRPr="00223FC1" w:rsidRDefault="00433119" w:rsidP="00433119">
      <w:pPr>
        <w:spacing w:before="100" w:beforeAutospacing="1" w:after="100" w:afterAutospacing="1" w:line="240" w:lineRule="auto"/>
        <w:ind w:left="1440"/>
        <w:rPr>
          <w:rFonts w:ascii="Times New Roman" w:eastAsia="Times New Roman" w:hAnsi="Times New Roman"/>
          <w:sz w:val="24"/>
          <w:szCs w:val="24"/>
        </w:rPr>
      </w:pPr>
      <w:r w:rsidRPr="00223FC1">
        <w:rPr>
          <w:rFonts w:ascii="Times New Roman" w:eastAsia="Times New Roman" w:hAnsi="Times New Roman"/>
          <w:sz w:val="24"/>
          <w:szCs w:val="24"/>
        </w:rPr>
        <w:t>(2) The presumption described in division (X)(1) of this section is rebuttable in any of the following situations:</w:t>
      </w:r>
    </w:p>
    <w:p w14:paraId="351CCBA5" w14:textId="77777777" w:rsidR="00433119" w:rsidRPr="00223FC1" w:rsidRDefault="00433119" w:rsidP="00433119">
      <w:pPr>
        <w:spacing w:before="100" w:beforeAutospacing="1" w:after="100" w:afterAutospacing="1" w:line="240" w:lineRule="auto"/>
        <w:ind w:left="1440"/>
        <w:rPr>
          <w:rFonts w:ascii="Times New Roman" w:eastAsia="Times New Roman" w:hAnsi="Times New Roman"/>
          <w:sz w:val="24"/>
          <w:szCs w:val="24"/>
        </w:rPr>
      </w:pPr>
      <w:r w:rsidRPr="00223FC1">
        <w:rPr>
          <w:rFonts w:ascii="Times New Roman" w:eastAsia="Times New Roman" w:hAnsi="Times New Roman"/>
          <w:sz w:val="24"/>
          <w:szCs w:val="24"/>
        </w:rPr>
        <w:t xml:space="preserve">(a) There is evidence that the firefighter's exposure, outside the scope of the firefighter's official duties, to cigarettes, tobacco products, or other conditions presenting an extremely high risk for the development of the cancer alleged, was probably a significant factor in the cause or progression of the </w:t>
      </w:r>
      <w:proofErr w:type="gramStart"/>
      <w:r w:rsidRPr="00223FC1">
        <w:rPr>
          <w:rFonts w:ascii="Times New Roman" w:eastAsia="Times New Roman" w:hAnsi="Times New Roman"/>
          <w:sz w:val="24"/>
          <w:szCs w:val="24"/>
        </w:rPr>
        <w:t>cancer.</w:t>
      </w:r>
      <w:r>
        <w:rPr>
          <w:rFonts w:ascii="Times New Roman" w:eastAsia="Times New Roman" w:hAnsi="Times New Roman"/>
          <w:sz w:val="24"/>
          <w:szCs w:val="24"/>
        </w:rPr>
        <w:t>”</w:t>
      </w:r>
      <w:proofErr w:type="gramEnd"/>
    </w:p>
    <w:p w14:paraId="02F22A35" w14:textId="1F49D307" w:rsidR="00B5724A" w:rsidRDefault="00B5724A" w:rsidP="00EF1133">
      <w:pPr>
        <w:rPr>
          <w:rFonts w:ascii="Arial Black" w:hAnsi="Arial Black"/>
          <w:b/>
          <w:sz w:val="24"/>
          <w:szCs w:val="24"/>
        </w:rPr>
      </w:pPr>
    </w:p>
    <w:p w14:paraId="6E31679E" w14:textId="77777777" w:rsidR="00B5724A" w:rsidRDefault="00B5724A" w:rsidP="00EF1133">
      <w:pPr>
        <w:rPr>
          <w:rFonts w:ascii="Arial Black" w:hAnsi="Arial Black"/>
          <w:b/>
          <w:sz w:val="24"/>
          <w:szCs w:val="24"/>
        </w:rPr>
      </w:pPr>
    </w:p>
    <w:p w14:paraId="0F9DB5E0" w14:textId="321AB88B" w:rsidR="00B5724A" w:rsidRDefault="00B5724A"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2</w:t>
      </w:r>
    </w:p>
    <w:p w14:paraId="3E61DE8B" w14:textId="77777777" w:rsidR="00B5724A" w:rsidRDefault="00B5724A" w:rsidP="00B5724A">
      <w:pPr>
        <w:pStyle w:val="Heading1"/>
        <w:ind w:left="90"/>
        <w:rPr>
          <w:rFonts w:ascii="Arial Black" w:hAnsi="Arial Black"/>
          <w:b w:val="0"/>
          <w:bCs w:val="0"/>
          <w:sz w:val="28"/>
          <w:szCs w:val="28"/>
        </w:rPr>
      </w:pPr>
      <w:r>
        <w:rPr>
          <w:rFonts w:ascii="Arial Black" w:hAnsi="Arial Black"/>
          <w:b w:val="0"/>
          <w:bCs w:val="0"/>
          <w:sz w:val="28"/>
          <w:szCs w:val="28"/>
        </w:rPr>
        <w:t xml:space="preserve">WA: HEART - RETIRED FF - FAILED TO HAVE CARDIOLOGIST TESTIFY HEART CONDITION CAUSE EARLY SYMPTOMS </w:t>
      </w:r>
    </w:p>
    <w:p w14:paraId="4BA36305" w14:textId="77777777" w:rsidR="00B5724A" w:rsidRDefault="00B5724A" w:rsidP="00B5724A">
      <w:pPr>
        <w:pStyle w:val="Heading1"/>
        <w:rPr>
          <w:b w:val="0"/>
          <w:bCs w:val="0"/>
          <w:sz w:val="24"/>
          <w:szCs w:val="24"/>
        </w:rPr>
      </w:pPr>
      <w:r>
        <w:rPr>
          <w:b w:val="0"/>
          <w:bCs w:val="0"/>
          <w:sz w:val="24"/>
          <w:szCs w:val="24"/>
        </w:rPr>
        <w:t xml:space="preserve">On Dec. 7, 2021, in </w:t>
      </w:r>
      <w:r w:rsidRPr="009E02C5">
        <w:rPr>
          <w:b w:val="0"/>
          <w:bCs w:val="0"/>
          <w:sz w:val="24"/>
          <w:szCs w:val="24"/>
          <w:u w:val="single"/>
        </w:rPr>
        <w:t xml:space="preserve">Larry Spohn v. Department of Labor </w:t>
      </w:r>
      <w:proofErr w:type="gramStart"/>
      <w:r w:rsidRPr="009E02C5">
        <w:rPr>
          <w:b w:val="0"/>
          <w:bCs w:val="0"/>
          <w:sz w:val="24"/>
          <w:szCs w:val="24"/>
          <w:u w:val="single"/>
        </w:rPr>
        <w:t>And</w:t>
      </w:r>
      <w:proofErr w:type="gramEnd"/>
      <w:r w:rsidRPr="009E02C5">
        <w:rPr>
          <w:b w:val="0"/>
          <w:bCs w:val="0"/>
          <w:sz w:val="24"/>
          <w:szCs w:val="24"/>
          <w:u w:val="single"/>
        </w:rPr>
        <w:t xml:space="preserve"> Industries</w:t>
      </w:r>
      <w:r>
        <w:rPr>
          <w:b w:val="0"/>
          <w:bCs w:val="0"/>
          <w:sz w:val="24"/>
          <w:szCs w:val="24"/>
        </w:rPr>
        <w:t>, the Court of Appeals of Washington, Division 2, held (3 to 0) that trial court is reversed and should not have granted the firefighter’s claim for workers comp.  The firefighter (firefighter from 1990 to 2013) submitted his application for benefits in 2017, his “</w:t>
      </w:r>
      <w:r w:rsidRPr="00154601">
        <w:rPr>
          <w:b w:val="0"/>
          <w:bCs w:val="0"/>
          <w:sz w:val="24"/>
          <w:szCs w:val="24"/>
        </w:rPr>
        <w:t>application for benefits failed to include a physician's report or medical proof. The Department notified Spohn that it had not received the provider's section of the application four separate times.</w:t>
      </w:r>
      <w:r>
        <w:rPr>
          <w:b w:val="0"/>
          <w:bCs w:val="0"/>
          <w:sz w:val="24"/>
          <w:szCs w:val="24"/>
        </w:rPr>
        <w:t xml:space="preserve">”  </w:t>
      </w:r>
    </w:p>
    <w:p w14:paraId="561A9F91" w14:textId="77777777" w:rsidR="00B5724A" w:rsidRPr="00D038EE" w:rsidRDefault="00B5724A" w:rsidP="00B5724A">
      <w:pPr>
        <w:ind w:left="720"/>
        <w:rPr>
          <w:rFonts w:ascii="Times New Roman" w:hAnsi="Times New Roman"/>
          <w:sz w:val="24"/>
          <w:szCs w:val="24"/>
        </w:rPr>
      </w:pPr>
      <w:r w:rsidRPr="00D038EE">
        <w:rPr>
          <w:rFonts w:ascii="Times New Roman" w:hAnsi="Times New Roman"/>
          <w:sz w:val="24"/>
          <w:szCs w:val="24"/>
        </w:rPr>
        <w:t xml:space="preserve">“Spohn contends that he is entitled to the presumption in RCW 51.32.185(1)(a)(ii) because he provided evidence that he suffered shortness of breath, fatigue, and other symptoms with 72 hours of exposure to smoke, fumes, or toxic substances and within 24 hours of strenuous physical exertion due to firefighting activities. But experiencing symptoms that could reflect a heart condition is not sufficient to trigger the presumption in RCW 51.32.185(1)(a)(ii) without a doctor providing a medical opinion that those symptoms were caused by a heart condition. As our Supreme Court has recognized, testimony about symptoms is not a substitute for a doctor's testimony that the symptoms were evidence of a specific health condition. Gorre, 184 Wn.2d at 38. Medical testimony is required to connect the symptoms that Spohn experienced to a heart problem. Spohn has not provided any admissible medical evidence that the symptoms he experienced were related to a heart problem.” </w:t>
      </w:r>
      <w:hyperlink r:id="rId1153" w:history="1">
        <w:r w:rsidRPr="00EC5853">
          <w:rPr>
            <w:rStyle w:val="Hyperlink"/>
            <w:rFonts w:ascii="Times New Roman" w:hAnsi="Times New Roman"/>
            <w:sz w:val="24"/>
            <w:szCs w:val="24"/>
          </w:rPr>
          <w:t>https://law.justia.com/cases/washington/court-of-appeals-division-ii/2021/54914-0.html</w:t>
        </w:r>
      </w:hyperlink>
      <w:r>
        <w:rPr>
          <w:rFonts w:ascii="Times New Roman" w:hAnsi="Times New Roman"/>
          <w:sz w:val="24"/>
          <w:szCs w:val="24"/>
        </w:rPr>
        <w:t xml:space="preserve"> </w:t>
      </w:r>
    </w:p>
    <w:p w14:paraId="239E2266" w14:textId="77777777" w:rsidR="00B5724A" w:rsidRPr="000B3190" w:rsidRDefault="00B5724A" w:rsidP="00B5724A">
      <w:pPr>
        <w:pStyle w:val="Heading1"/>
        <w:rPr>
          <w:sz w:val="24"/>
          <w:szCs w:val="24"/>
        </w:rPr>
      </w:pPr>
      <w:r w:rsidRPr="000B3190">
        <w:rPr>
          <w:sz w:val="24"/>
          <w:szCs w:val="24"/>
        </w:rPr>
        <w:t>Legal Lesson Learned:  The for</w:t>
      </w:r>
      <w:r>
        <w:rPr>
          <w:sz w:val="24"/>
          <w:szCs w:val="24"/>
        </w:rPr>
        <w:t>mer</w:t>
      </w:r>
      <w:r w:rsidRPr="000B3190">
        <w:rPr>
          <w:sz w:val="24"/>
          <w:szCs w:val="24"/>
        </w:rPr>
        <w:t xml:space="preserve"> firefighter never provided medical testimony to support his claim. </w:t>
      </w:r>
    </w:p>
    <w:p w14:paraId="7E3A65AA" w14:textId="77777777" w:rsidR="00B5724A" w:rsidRDefault="00B5724A" w:rsidP="00EF1133">
      <w:pPr>
        <w:rPr>
          <w:rFonts w:ascii="Arial Black" w:hAnsi="Arial Black"/>
          <w:b/>
          <w:sz w:val="24"/>
          <w:szCs w:val="24"/>
        </w:rPr>
      </w:pPr>
    </w:p>
    <w:p w14:paraId="1394245F" w14:textId="77777777" w:rsidR="00B5724A" w:rsidRDefault="00B5724A" w:rsidP="00EF1133">
      <w:pPr>
        <w:rPr>
          <w:rFonts w:ascii="Arial Black" w:hAnsi="Arial Black"/>
          <w:b/>
          <w:sz w:val="24"/>
          <w:szCs w:val="24"/>
        </w:rPr>
      </w:pPr>
    </w:p>
    <w:p w14:paraId="74AE0AF9" w14:textId="1DD86925" w:rsidR="00D43015" w:rsidRDefault="00D43015"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1</w:t>
      </w:r>
    </w:p>
    <w:p w14:paraId="1EB675A9" w14:textId="77777777" w:rsidR="00D43015" w:rsidRPr="001C0F6C" w:rsidRDefault="00D43015" w:rsidP="00D43015">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WA: BLADDER CANCER – FF WINS WORKERS COMP. COVERAGE – STATUTORY PRESUMPTION ALL CANCERS</w:t>
      </w:r>
    </w:p>
    <w:p w14:paraId="58CC980E" w14:textId="77777777" w:rsidR="00D43015" w:rsidRDefault="00D43015" w:rsidP="00D43015">
      <w:pPr>
        <w:spacing w:before="100" w:beforeAutospacing="1" w:after="100" w:afterAutospacing="1" w:line="240" w:lineRule="auto"/>
        <w:rPr>
          <w:rFonts w:ascii="Times New Roman" w:hAnsi="Times New Roman"/>
          <w:sz w:val="24"/>
          <w:szCs w:val="24"/>
        </w:rPr>
      </w:pPr>
      <w:r w:rsidRPr="001C0F6C">
        <w:rPr>
          <w:rFonts w:ascii="Times New Roman" w:eastAsia="Times New Roman" w:hAnsi="Times New Roman"/>
          <w:sz w:val="24"/>
          <w:szCs w:val="24"/>
        </w:rPr>
        <w:t xml:space="preserve">On </w:t>
      </w:r>
      <w:r>
        <w:rPr>
          <w:rFonts w:ascii="Times New Roman" w:eastAsia="Times New Roman" w:hAnsi="Times New Roman"/>
          <w:sz w:val="24"/>
          <w:szCs w:val="24"/>
        </w:rPr>
        <w:t xml:space="preserve">Nov. 9, 2021, in </w:t>
      </w:r>
      <w:r w:rsidRPr="001C0F6C">
        <w:rPr>
          <w:rFonts w:ascii="Times New Roman" w:eastAsia="Times New Roman" w:hAnsi="Times New Roman"/>
          <w:sz w:val="24"/>
          <w:szCs w:val="24"/>
          <w:u w:val="single"/>
        </w:rPr>
        <w:t xml:space="preserve">Stephen T. Bradley v. City of Olympia and Department of Labor </w:t>
      </w:r>
      <w:proofErr w:type="gramStart"/>
      <w:r w:rsidRPr="001C0F6C">
        <w:rPr>
          <w:rFonts w:ascii="Times New Roman" w:eastAsia="Times New Roman" w:hAnsi="Times New Roman"/>
          <w:sz w:val="24"/>
          <w:szCs w:val="24"/>
          <w:u w:val="single"/>
        </w:rPr>
        <w:t>And</w:t>
      </w:r>
      <w:proofErr w:type="gramEnd"/>
      <w:r w:rsidRPr="001C0F6C">
        <w:rPr>
          <w:rFonts w:ascii="Times New Roman" w:eastAsia="Times New Roman" w:hAnsi="Times New Roman"/>
          <w:sz w:val="24"/>
          <w:szCs w:val="24"/>
          <w:u w:val="single"/>
        </w:rPr>
        <w:t xml:space="preserve"> Industries</w:t>
      </w:r>
      <w:r>
        <w:rPr>
          <w:rFonts w:ascii="Times New Roman" w:eastAsia="Times New Roman" w:hAnsi="Times New Roman"/>
          <w:sz w:val="24"/>
          <w:szCs w:val="24"/>
        </w:rPr>
        <w:t xml:space="preserve">, the Court of Appeals of Washington, Division 2, held (3 to 0) that a Superior Court judge properly determined that the firefighter was entitled to workers comp coverage under the state statute, </w:t>
      </w:r>
      <w:r w:rsidRPr="00B014FB">
        <w:rPr>
          <w:rFonts w:ascii="Times New Roman" w:hAnsi="Times New Roman"/>
          <w:sz w:val="24"/>
          <w:szCs w:val="24"/>
        </w:rPr>
        <w:t>RCW 51.32.185(1)(a)(iii).</w:t>
      </w:r>
      <w:r>
        <w:rPr>
          <w:rFonts w:ascii="Times New Roman" w:hAnsi="Times New Roman"/>
          <w:sz w:val="24"/>
          <w:szCs w:val="24"/>
        </w:rPr>
        <w:t xml:space="preserve">  The City argued that firefighting “in general” does not cause bladder cancer, but that is not sufficient to rebut the statutory presumption.  The statute covers all cancers. </w:t>
      </w:r>
    </w:p>
    <w:p w14:paraId="3BF22BC0" w14:textId="77777777" w:rsidR="00D43015" w:rsidRDefault="00D43015" w:rsidP="00D4301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B014FB">
        <w:rPr>
          <w:rFonts w:ascii="Times New Roman" w:hAnsi="Times New Roman"/>
          <w:sz w:val="24"/>
          <w:szCs w:val="24"/>
        </w:rPr>
        <w:t xml:space="preserve">(1)(a) In the case of firefighters as defined in RCW </w:t>
      </w:r>
      <w:hyperlink r:id="rId1154" w:history="1">
        <w:r w:rsidRPr="00B014FB">
          <w:rPr>
            <w:rStyle w:val="Hyperlink"/>
            <w:rFonts w:ascii="Times New Roman" w:hAnsi="Times New Roman"/>
            <w:sz w:val="24"/>
            <w:szCs w:val="24"/>
          </w:rPr>
          <w:t>41.26.030</w:t>
        </w:r>
      </w:hyperlink>
      <w:r w:rsidRPr="00B014FB">
        <w:rPr>
          <w:rFonts w:ascii="Times New Roman" w:hAnsi="Times New Roman"/>
          <w:sz w:val="24"/>
          <w:szCs w:val="24"/>
        </w:rPr>
        <w:t>(17) (a), (b), (c), and (h) who are covered under this title and firefighters, including supervisors, employed on a full-time, fully compensated basis as a firefighter of a private sector employer's fire department that includes over fifty such firefighters, and public employee fire investigators, there shall exist a prima facie presumption that: (</w:t>
      </w:r>
      <w:proofErr w:type="spellStart"/>
      <w:r w:rsidRPr="00B014FB">
        <w:rPr>
          <w:rFonts w:ascii="Times New Roman" w:hAnsi="Times New Roman"/>
          <w:sz w:val="24"/>
          <w:szCs w:val="24"/>
        </w:rPr>
        <w:t>i</w:t>
      </w:r>
      <w:proofErr w:type="spellEnd"/>
      <w:r w:rsidRPr="00B014FB">
        <w:rPr>
          <w:rFonts w:ascii="Times New Roman" w:hAnsi="Times New Roman"/>
          <w:sz w:val="24"/>
          <w:szCs w:val="24"/>
        </w:rPr>
        <w:t xml:space="preserve">) Respiratory disease; (ii) any heart problems, experienced within seventy-two hours of exposure to smoke, fumes, or toxic substances, or experienced within twenty-four hours of strenuous physical exertion due to firefighting activities; (iii) cancer; and (iv) infectious diseases are occupational diseases under RCW </w:t>
      </w:r>
      <w:hyperlink r:id="rId1155" w:history="1">
        <w:r w:rsidRPr="00B014FB">
          <w:rPr>
            <w:rStyle w:val="Hyperlink"/>
            <w:rFonts w:ascii="Times New Roman" w:hAnsi="Times New Roman"/>
            <w:sz w:val="24"/>
            <w:szCs w:val="24"/>
          </w:rPr>
          <w:t>51.08.140</w:t>
        </w:r>
      </w:hyperlink>
      <w:r w:rsidRPr="00B014FB">
        <w:rPr>
          <w:rFonts w:ascii="Times New Roman" w:hAnsi="Times New Roman"/>
          <w:sz w:val="24"/>
          <w:szCs w:val="24"/>
        </w:rPr>
        <w:t>.</w:t>
      </w:r>
      <w:r>
        <w:rPr>
          <w:rFonts w:ascii="Times New Roman" w:hAnsi="Times New Roman"/>
          <w:sz w:val="24"/>
          <w:szCs w:val="24"/>
        </w:rPr>
        <w:t xml:space="preserve">” </w:t>
      </w:r>
      <w:hyperlink r:id="rId1156" w:history="1">
        <w:r w:rsidRPr="00316766">
          <w:rPr>
            <w:rStyle w:val="Hyperlink"/>
            <w:rFonts w:ascii="Times New Roman" w:hAnsi="Times New Roman"/>
            <w:sz w:val="24"/>
            <w:szCs w:val="24"/>
          </w:rPr>
          <w:t>https://apps.leg.wa.gov/rcw/default.aspx?cite=51.32.185</w:t>
        </w:r>
      </w:hyperlink>
      <w:r>
        <w:rPr>
          <w:rFonts w:ascii="Times New Roman" w:hAnsi="Times New Roman"/>
          <w:sz w:val="24"/>
          <w:szCs w:val="24"/>
        </w:rPr>
        <w:t xml:space="preserve"> </w:t>
      </w:r>
    </w:p>
    <w:p w14:paraId="54853659" w14:textId="77777777" w:rsidR="00D43015" w:rsidRPr="00B014FB" w:rsidRDefault="00D43015" w:rsidP="00D43015">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The Court held:</w:t>
      </w:r>
    </w:p>
    <w:p w14:paraId="1582C6C2" w14:textId="77777777" w:rsidR="00D43015" w:rsidRDefault="00D43015" w:rsidP="00D43015">
      <w:pPr>
        <w:spacing w:before="100" w:beforeAutospacing="1" w:after="100" w:afterAutospacing="1" w:line="240" w:lineRule="auto"/>
        <w:ind w:left="720"/>
        <w:rPr>
          <w:rFonts w:ascii="Times New Roman" w:hAnsi="Times New Roman"/>
          <w:sz w:val="24"/>
          <w:szCs w:val="24"/>
        </w:rPr>
      </w:pPr>
      <w:r w:rsidRPr="008B2ECB">
        <w:rPr>
          <w:rFonts w:ascii="Times New Roman" w:hAnsi="Times New Roman"/>
          <w:sz w:val="24"/>
          <w:szCs w:val="24"/>
        </w:rPr>
        <w:t xml:space="preserve">“DLI denied Bradley's workers' compensation claim, and Bradley filed a petition for review with the Board of Industrial Insurance Appeals (Board). To rebut the RCW 51.32.185(1)(a) presumption, the </w:t>
      </w:r>
      <w:proofErr w:type="gramStart"/>
      <w:r w:rsidRPr="008B2ECB">
        <w:rPr>
          <w:rFonts w:ascii="Times New Roman" w:hAnsi="Times New Roman"/>
          <w:sz w:val="24"/>
          <w:szCs w:val="24"/>
        </w:rPr>
        <w:t>City</w:t>
      </w:r>
      <w:proofErr w:type="gramEnd"/>
      <w:r w:rsidRPr="008B2ECB">
        <w:rPr>
          <w:rFonts w:ascii="Times New Roman" w:hAnsi="Times New Roman"/>
          <w:sz w:val="24"/>
          <w:szCs w:val="24"/>
        </w:rPr>
        <w:t xml:space="preserve"> presented medical evidence that firefighting activities </w:t>
      </w:r>
      <w:r w:rsidRPr="008B2ECB">
        <w:rPr>
          <w:rStyle w:val="Emphasis"/>
          <w:rFonts w:ascii="Times New Roman" w:hAnsi="Times New Roman"/>
          <w:sz w:val="24"/>
          <w:szCs w:val="24"/>
        </w:rPr>
        <w:t>in general</w:t>
      </w:r>
      <w:r w:rsidRPr="008B2ECB">
        <w:rPr>
          <w:rFonts w:ascii="Times New Roman" w:hAnsi="Times New Roman"/>
          <w:sz w:val="24"/>
          <w:szCs w:val="24"/>
        </w:rPr>
        <w:t xml:space="preserve"> do not cause bladder cancer. The Board affirmed DLI's denial, finding that the </w:t>
      </w:r>
      <w:proofErr w:type="gramStart"/>
      <w:r w:rsidRPr="008B2ECB">
        <w:rPr>
          <w:rFonts w:ascii="Times New Roman" w:hAnsi="Times New Roman"/>
          <w:sz w:val="24"/>
          <w:szCs w:val="24"/>
        </w:rPr>
        <w:t>City</w:t>
      </w:r>
      <w:proofErr w:type="gramEnd"/>
      <w:r w:rsidRPr="008B2ECB">
        <w:rPr>
          <w:rFonts w:ascii="Times New Roman" w:hAnsi="Times New Roman"/>
          <w:sz w:val="24"/>
          <w:szCs w:val="24"/>
        </w:rPr>
        <w:t xml:space="preserve"> had rebutted the statutory presumption. On appeal, the superior court granted summary judgment in favor of Bradley on the grounds that the City's medical evidence could not rebut the RCW 51.32.185(1)(a) presumption.</w:t>
      </w:r>
    </w:p>
    <w:p w14:paraId="550FAC75" w14:textId="77777777" w:rsidR="00D43015" w:rsidRDefault="00D43015" w:rsidP="00D43015">
      <w:pPr>
        <w:spacing w:before="100" w:beforeAutospacing="1" w:after="100" w:afterAutospacing="1" w:line="240" w:lineRule="auto"/>
        <w:ind w:left="720"/>
        <w:rPr>
          <w:rFonts w:ascii="Times New Roman" w:hAnsi="Times New Roman"/>
          <w:sz w:val="24"/>
          <w:szCs w:val="24"/>
        </w:rPr>
      </w:pPr>
      <w:r w:rsidRPr="000C3B96">
        <w:rPr>
          <w:rFonts w:ascii="Times New Roman" w:hAnsi="Times New Roman"/>
          <w:sz w:val="24"/>
          <w:szCs w:val="24"/>
        </w:rPr>
        <w:t xml:space="preserve">We hold that an employer cannot rebut the presumption under RCW 51.32.185(1)(a) with evidence that firefighting activities </w:t>
      </w:r>
      <w:r w:rsidRPr="000C3B96">
        <w:rPr>
          <w:rStyle w:val="Emphasis"/>
          <w:rFonts w:ascii="Times New Roman" w:hAnsi="Times New Roman"/>
          <w:sz w:val="24"/>
          <w:szCs w:val="24"/>
        </w:rPr>
        <w:t>in general</w:t>
      </w:r>
      <w:r w:rsidRPr="000C3B96">
        <w:rPr>
          <w:rFonts w:ascii="Times New Roman" w:hAnsi="Times New Roman"/>
          <w:sz w:val="24"/>
          <w:szCs w:val="24"/>
        </w:rPr>
        <w:t xml:space="preserve"> do not cause bladder cancer. Instead, to avoid summary judgment an employer must present sufficient evidence that the individual claimant's bladder cancer was caused by nonoccupational factors. Here, summary judgment was appropriate because the City failed to present evidence that created a genuine issue of material fact as to whether nonoccupational factors caused Bradley's bladder cancer.</w:t>
      </w:r>
      <w:r>
        <w:rPr>
          <w:rFonts w:ascii="Times New Roman" w:hAnsi="Times New Roman"/>
          <w:sz w:val="24"/>
          <w:szCs w:val="24"/>
        </w:rPr>
        <w:t xml:space="preserve">” </w:t>
      </w:r>
      <w:hyperlink r:id="rId1157" w:history="1">
        <w:r w:rsidRPr="00316766">
          <w:rPr>
            <w:rStyle w:val="Hyperlink"/>
            <w:rFonts w:ascii="Times New Roman" w:hAnsi="Times New Roman"/>
            <w:sz w:val="24"/>
            <w:szCs w:val="24"/>
          </w:rPr>
          <w:t>https://casetext.com/case/bradley-v-city-of-olympia</w:t>
        </w:r>
      </w:hyperlink>
      <w:r>
        <w:rPr>
          <w:rFonts w:ascii="Times New Roman" w:hAnsi="Times New Roman"/>
          <w:sz w:val="24"/>
          <w:szCs w:val="24"/>
        </w:rPr>
        <w:t xml:space="preserve"> </w:t>
      </w:r>
    </w:p>
    <w:p w14:paraId="25394401" w14:textId="77777777" w:rsidR="00D43015" w:rsidRPr="00502D61" w:rsidRDefault="00D43015" w:rsidP="00D43015">
      <w:pPr>
        <w:spacing w:before="100" w:beforeAutospacing="1" w:after="100" w:afterAutospacing="1" w:line="240" w:lineRule="auto"/>
        <w:rPr>
          <w:rFonts w:ascii="Times New Roman" w:eastAsia="Times New Roman" w:hAnsi="Times New Roman"/>
          <w:b/>
          <w:bCs/>
          <w:sz w:val="24"/>
          <w:szCs w:val="24"/>
        </w:rPr>
      </w:pPr>
      <w:r w:rsidRPr="00502D61">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Great decision reflecting why a statutory presumption is extremely helpful in firefighter cancer claims. </w:t>
      </w:r>
    </w:p>
    <w:p w14:paraId="4C5C8FA0" w14:textId="77777777" w:rsidR="00D43015" w:rsidRDefault="00D43015" w:rsidP="00EF1133">
      <w:pPr>
        <w:rPr>
          <w:rFonts w:ascii="Arial Black" w:hAnsi="Arial Black"/>
          <w:b/>
          <w:sz w:val="24"/>
          <w:szCs w:val="24"/>
        </w:rPr>
      </w:pPr>
    </w:p>
    <w:p w14:paraId="0532651D" w14:textId="77777777" w:rsidR="00D43015" w:rsidRDefault="00D43015" w:rsidP="00EF1133">
      <w:pPr>
        <w:rPr>
          <w:rFonts w:ascii="Arial Black" w:hAnsi="Arial Black"/>
          <w:b/>
          <w:sz w:val="24"/>
          <w:szCs w:val="24"/>
        </w:rPr>
      </w:pPr>
    </w:p>
    <w:p w14:paraId="132C3C9F" w14:textId="1E9E7F85" w:rsidR="0082055F" w:rsidRDefault="0082055F" w:rsidP="00EF1133">
      <w:pPr>
        <w:rPr>
          <w:rFonts w:ascii="Arial Black" w:hAnsi="Arial Black"/>
          <w:b/>
          <w:sz w:val="24"/>
          <w:szCs w:val="24"/>
        </w:rPr>
      </w:pPr>
      <w:r>
        <w:rPr>
          <w:rFonts w:ascii="Arial Black" w:hAnsi="Arial Black"/>
          <w:b/>
          <w:sz w:val="24"/>
          <w:szCs w:val="24"/>
        </w:rPr>
        <w:t>6-8</w:t>
      </w:r>
      <w:r w:rsidR="00FF7C63">
        <w:rPr>
          <w:rFonts w:ascii="Arial Black" w:hAnsi="Arial Black"/>
          <w:b/>
          <w:sz w:val="24"/>
          <w:szCs w:val="24"/>
        </w:rPr>
        <w:t>0</w:t>
      </w:r>
    </w:p>
    <w:p w14:paraId="7F8105E0" w14:textId="77777777" w:rsidR="0082055F" w:rsidRDefault="0082055F" w:rsidP="0082055F">
      <w:pPr>
        <w:spacing w:before="100" w:beforeAutospacing="1" w:after="100" w:afterAutospacing="1" w:line="240" w:lineRule="auto"/>
        <w:rPr>
          <w:rFonts w:ascii="Arial Black" w:hAnsi="Arial Black"/>
          <w:sz w:val="28"/>
          <w:szCs w:val="28"/>
        </w:rPr>
      </w:pPr>
      <w:r>
        <w:rPr>
          <w:rFonts w:ascii="Arial Black" w:hAnsi="Arial Black"/>
          <w:sz w:val="28"/>
          <w:szCs w:val="28"/>
        </w:rPr>
        <w:t>RI: STATE PENSION BOARD – CAN’T RECOUP $129,000 OVERPAY 15 RETIRED FF – WAITED 6 YEARS INFORM THEM</w:t>
      </w:r>
    </w:p>
    <w:p w14:paraId="13CB6DE5" w14:textId="77777777" w:rsidR="0082055F" w:rsidRDefault="0082055F" w:rsidP="0082055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Oct. 25, 2021, in </w:t>
      </w:r>
      <w:r w:rsidRPr="009967FA">
        <w:rPr>
          <w:rFonts w:ascii="Times New Roman" w:hAnsi="Times New Roman"/>
          <w:sz w:val="24"/>
          <w:szCs w:val="24"/>
          <w:u w:val="single"/>
        </w:rPr>
        <w:t>Frank Andre, et al. v. Employee’s Retirement System of Ohio</w:t>
      </w:r>
      <w:r>
        <w:rPr>
          <w:rFonts w:ascii="Times New Roman" w:hAnsi="Times New Roman"/>
          <w:sz w:val="24"/>
          <w:szCs w:val="24"/>
        </w:rPr>
        <w:t xml:space="preserve">, the Judge Susan E. McGuirl, Superior Court of Rhode Island, Providence, held that while the North Providence Fire Department’s CBA provided that FF overtime pay be reported to State Pension Board as part of their regular wages, this violated state law and must be stopped, but the Board knew of the problem since 2011 and never informed retirees until 2017. </w:t>
      </w:r>
    </w:p>
    <w:p w14:paraId="7E43A60E" w14:textId="77777777" w:rsidR="0082055F" w:rsidRPr="009967FA" w:rsidRDefault="0082055F" w:rsidP="0082055F">
      <w:pPr>
        <w:spacing w:before="100" w:beforeAutospacing="1" w:after="100" w:afterAutospacing="1" w:line="240" w:lineRule="auto"/>
        <w:ind w:left="720"/>
        <w:rPr>
          <w:rFonts w:ascii="Times New Roman" w:eastAsia="Times New Roman" w:hAnsi="Times New Roman"/>
          <w:sz w:val="24"/>
          <w:szCs w:val="24"/>
        </w:rPr>
      </w:pPr>
      <w:r w:rsidRPr="000F1C37">
        <w:rPr>
          <w:rFonts w:ascii="Times New Roman" w:eastAsia="Times New Roman" w:hAnsi="Times New Roman"/>
          <w:sz w:val="24"/>
          <w:szCs w:val="24"/>
        </w:rPr>
        <w:t>“</w:t>
      </w:r>
      <w:r w:rsidRPr="00A71871">
        <w:rPr>
          <w:rFonts w:ascii="Times New Roman" w:eastAsia="Times New Roman" w:hAnsi="Times New Roman"/>
          <w:sz w:val="24"/>
          <w:szCs w:val="24"/>
        </w:rPr>
        <w:t>The record reflects that, in total, the fifteen Petitioners would be required to pay back $129, 286.64</w:t>
      </w:r>
      <w:r w:rsidRPr="000F1C37">
        <w:rPr>
          <w:rFonts w:ascii="Times New Roman" w:eastAsia="Times New Roman" w:hAnsi="Times New Roman"/>
          <w:sz w:val="24"/>
          <w:szCs w:val="24"/>
        </w:rPr>
        <w:t xml:space="preserve">. </w:t>
      </w:r>
      <w:r w:rsidRPr="000F1C37">
        <w:rPr>
          <w:rFonts w:ascii="Times New Roman" w:hAnsi="Times New Roman"/>
          <w:sz w:val="24"/>
          <w:szCs w:val="24"/>
        </w:rPr>
        <w:t>As discussed above, ERSRI had discovered the mistaken overpayment of benefits by early 2011, as evidenced when its internal legal counsel reached out to the Town for assistance in correcting the matter</w:t>
      </w:r>
      <w:r>
        <w:rPr>
          <w:rFonts w:ascii="Times New Roman" w:hAnsi="Times New Roman"/>
          <w:sz w:val="24"/>
          <w:szCs w:val="24"/>
        </w:rPr>
        <w:t xml:space="preserve">…. </w:t>
      </w:r>
      <w:r w:rsidRPr="000F1C37">
        <w:rPr>
          <w:rFonts w:ascii="Times New Roman" w:hAnsi="Times New Roman"/>
          <w:sz w:val="24"/>
          <w:szCs w:val="24"/>
        </w:rPr>
        <w:t>It was not until April and May 2017 that ERSRI informed Petitioners of the overpayments, their cessation, and the recoupment of the overpaid benefits</w:t>
      </w:r>
      <w:r>
        <w:rPr>
          <w:rFonts w:ascii="Times New Roman" w:hAnsi="Times New Roman"/>
          <w:sz w:val="24"/>
          <w:szCs w:val="24"/>
        </w:rPr>
        <w:t xml:space="preserve">… </w:t>
      </w:r>
      <w:r w:rsidRPr="000F1C37">
        <w:rPr>
          <w:rFonts w:ascii="Times New Roman" w:hAnsi="Times New Roman"/>
          <w:sz w:val="24"/>
          <w:szCs w:val="24"/>
        </w:rPr>
        <w:t xml:space="preserve"> In the interim, Petitioners </w:t>
      </w:r>
      <w:proofErr w:type="gramStart"/>
      <w:r w:rsidRPr="000F1C37">
        <w:rPr>
          <w:rFonts w:ascii="Times New Roman" w:hAnsi="Times New Roman"/>
          <w:sz w:val="24"/>
          <w:szCs w:val="24"/>
        </w:rPr>
        <w:t>had continued</w:t>
      </w:r>
      <w:proofErr w:type="gramEnd"/>
      <w:r w:rsidRPr="000F1C37">
        <w:rPr>
          <w:rFonts w:ascii="Times New Roman" w:hAnsi="Times New Roman"/>
          <w:sz w:val="24"/>
          <w:szCs w:val="24"/>
        </w:rPr>
        <w:t xml:space="preserve"> to receive those benefits.</w:t>
      </w:r>
      <w:r>
        <w:rPr>
          <w:rFonts w:ascii="Times New Roman" w:hAnsi="Times New Roman"/>
          <w:sz w:val="24"/>
          <w:szCs w:val="24"/>
        </w:rPr>
        <w:t xml:space="preserve"> *** </w:t>
      </w:r>
      <w:r w:rsidRPr="009967FA">
        <w:rPr>
          <w:rFonts w:ascii="Times New Roman" w:eastAsia="Times New Roman" w:hAnsi="Times New Roman"/>
          <w:sz w:val="24"/>
          <w:szCs w:val="24"/>
        </w:rPr>
        <w:t>While the above emails indicate that ERSRI was in sporadic contact with the Town regarding the need for recalculations, this Court is troubled by the lengthy and recurring gaps between those communications. ERSRI knew that with each pension check they drew, Petitioners received what it considered to be improper benefits. Accordingly, ERSRI needed to act with diligence and expedition to obtain the information required. This Court also notes the apparent lack of urgency with which ERSRI sought to notify Petitioners of the issue, as Petitioners could have been informed of the potential change to their pensions before the exact adjustments were determined.</w:t>
      </w:r>
      <w:r>
        <w:rPr>
          <w:rFonts w:ascii="Times New Roman" w:eastAsia="Times New Roman" w:hAnsi="Times New Roman"/>
          <w:sz w:val="24"/>
          <w:szCs w:val="24"/>
        </w:rPr>
        <w:t xml:space="preserve"> </w:t>
      </w:r>
      <w:r w:rsidRPr="00DF1C6F">
        <w:rPr>
          <w:rFonts w:ascii="Times New Roman" w:eastAsia="Times New Roman" w:hAnsi="Times New Roman"/>
          <w:sz w:val="24"/>
          <w:szCs w:val="24"/>
        </w:rPr>
        <w:t xml:space="preserve">*** </w:t>
      </w:r>
      <w:r w:rsidRPr="00DF1C6F">
        <w:rPr>
          <w:rFonts w:ascii="Times New Roman" w:hAnsi="Times New Roman"/>
          <w:sz w:val="24"/>
          <w:szCs w:val="24"/>
        </w:rPr>
        <w:t>In conclusion, while the Board's interpretation of § 36-8-1(8) as excluding longevity payments calculated with reference to overtime was not an error of law, the Board's decision to unilaterally recoup the overpaid benefits from Petitioners is barred by the doctrines of laches and equitable estoppel. Accordingly, Petitioners' appeal is sustained, and the decision of the Board is hereby reversed. Counsel shall submit the appropriate order for entry.</w:t>
      </w:r>
      <w:r>
        <w:t xml:space="preserve"> </w:t>
      </w:r>
      <w:hyperlink r:id="rId1158" w:history="1">
        <w:r w:rsidRPr="007148A2">
          <w:rPr>
            <w:rStyle w:val="Hyperlink"/>
            <w:sz w:val="24"/>
            <w:szCs w:val="24"/>
          </w:rPr>
          <w:t>https://public.fastcase.com/9SKwsfNqTc6OieYDhNMyM7K54qMUE6VagvA5ZeUquJVblXNtT5CMEmLb%2FOI9awGykkKYC2JU7RwfzsQEOAIcP6T5leBqhSKOtHvIUfiLV%2Fs%3D</w:t>
        </w:r>
      </w:hyperlink>
      <w:r>
        <w:rPr>
          <w:rFonts w:ascii="Times New Roman" w:eastAsia="Times New Roman" w:hAnsi="Times New Roman"/>
          <w:sz w:val="24"/>
          <w:szCs w:val="24"/>
        </w:rPr>
        <w:t xml:space="preserve"> </w:t>
      </w:r>
    </w:p>
    <w:p w14:paraId="3FC2E16A" w14:textId="77777777" w:rsidR="0082055F" w:rsidRPr="00DF1C6F" w:rsidRDefault="0082055F" w:rsidP="0082055F">
      <w:pPr>
        <w:spacing w:before="100" w:beforeAutospacing="1" w:after="100" w:afterAutospacing="1" w:line="240" w:lineRule="auto"/>
        <w:rPr>
          <w:rFonts w:ascii="Times New Roman" w:hAnsi="Times New Roman"/>
          <w:b/>
          <w:bCs/>
          <w:sz w:val="24"/>
          <w:szCs w:val="24"/>
        </w:rPr>
      </w:pPr>
      <w:r w:rsidRPr="00DF1C6F">
        <w:rPr>
          <w:rFonts w:ascii="Times New Roman" w:hAnsi="Times New Roman"/>
          <w:b/>
          <w:bCs/>
          <w:sz w:val="24"/>
          <w:szCs w:val="24"/>
        </w:rPr>
        <w:t>Legal Lesson Learned:</w:t>
      </w:r>
      <w:r>
        <w:rPr>
          <w:rFonts w:ascii="Times New Roman" w:hAnsi="Times New Roman"/>
          <w:b/>
          <w:bCs/>
          <w:sz w:val="24"/>
          <w:szCs w:val="24"/>
        </w:rPr>
        <w:t xml:space="preserve"> Nice to see decision that six-year delay by Pension Board protects retirees from forced payback.  State may appeal this decision. </w:t>
      </w:r>
    </w:p>
    <w:p w14:paraId="732ADF62" w14:textId="77777777" w:rsidR="0082055F" w:rsidRDefault="0082055F" w:rsidP="00EF1133">
      <w:pPr>
        <w:rPr>
          <w:rFonts w:ascii="Arial Black" w:hAnsi="Arial Black"/>
          <w:b/>
          <w:sz w:val="24"/>
          <w:szCs w:val="24"/>
        </w:rPr>
      </w:pPr>
    </w:p>
    <w:p w14:paraId="64DA7A95" w14:textId="10F4E3AA" w:rsidR="0082055F" w:rsidRDefault="0082055F" w:rsidP="00EF1133">
      <w:pPr>
        <w:rPr>
          <w:rFonts w:ascii="Arial Black" w:hAnsi="Arial Black"/>
          <w:b/>
          <w:sz w:val="24"/>
          <w:szCs w:val="24"/>
        </w:rPr>
      </w:pPr>
      <w:r>
        <w:rPr>
          <w:rFonts w:ascii="Arial Black" w:hAnsi="Arial Black"/>
          <w:b/>
          <w:sz w:val="24"/>
          <w:szCs w:val="24"/>
        </w:rPr>
        <w:t>6-</w:t>
      </w:r>
      <w:r w:rsidR="00FF7C63">
        <w:rPr>
          <w:rFonts w:ascii="Arial Black" w:hAnsi="Arial Black"/>
          <w:b/>
          <w:sz w:val="24"/>
          <w:szCs w:val="24"/>
        </w:rPr>
        <w:t>79</w:t>
      </w:r>
    </w:p>
    <w:p w14:paraId="31C9F5E3" w14:textId="77777777" w:rsidR="0082055F" w:rsidRDefault="0082055F" w:rsidP="0082055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MT: VOLUNTEER FD IS OWNED BY TOWN – “BUDGET-STRAPPED” TOWN HAS RIGHT TO MANAGE FD BUDGET</w:t>
      </w:r>
    </w:p>
    <w:p w14:paraId="2BEAE154" w14:textId="77777777" w:rsidR="0082055F" w:rsidRPr="0073357D" w:rsidRDefault="0082055F" w:rsidP="0082055F">
      <w:pPr>
        <w:spacing w:before="100" w:beforeAutospacing="1" w:after="100" w:afterAutospacing="1" w:line="240" w:lineRule="auto"/>
        <w:rPr>
          <w:rFonts w:ascii="Times New Roman" w:eastAsia="Times New Roman" w:hAnsi="Times New Roman"/>
          <w:sz w:val="24"/>
          <w:szCs w:val="24"/>
        </w:rPr>
      </w:pPr>
      <w:r w:rsidRPr="00306BD3">
        <w:rPr>
          <w:rFonts w:ascii="Times New Roman" w:eastAsia="Times New Roman" w:hAnsi="Times New Roman"/>
          <w:sz w:val="24"/>
          <w:szCs w:val="24"/>
        </w:rPr>
        <w:t xml:space="preserve">On </w:t>
      </w:r>
      <w:r>
        <w:rPr>
          <w:rFonts w:ascii="Times New Roman" w:eastAsia="Times New Roman" w:hAnsi="Times New Roman"/>
          <w:sz w:val="24"/>
          <w:szCs w:val="24"/>
        </w:rPr>
        <w:t xml:space="preserve">Oct. 19, 2021, in </w:t>
      </w:r>
      <w:r w:rsidRPr="00306BD3">
        <w:rPr>
          <w:rFonts w:ascii="Times New Roman" w:eastAsia="Times New Roman" w:hAnsi="Times New Roman"/>
          <w:sz w:val="24"/>
          <w:szCs w:val="24"/>
          <w:u w:val="single"/>
        </w:rPr>
        <w:t>Town of Ekalaka v, Ekalaka Volunteer Fire Department, Inc</w:t>
      </w:r>
      <w:r>
        <w:rPr>
          <w:rFonts w:ascii="Times New Roman" w:eastAsia="Times New Roman" w:hAnsi="Times New Roman"/>
          <w:sz w:val="24"/>
          <w:szCs w:val="24"/>
        </w:rPr>
        <w:t>., the Supreme Court of Montana held (5 to 0) that District Court judge properly granted summary judgment to the Town. It’s all about the money: “[B]</w:t>
      </w:r>
      <w:proofErr w:type="spellStart"/>
      <w:r w:rsidRPr="0073357D">
        <w:rPr>
          <w:rFonts w:ascii="Times New Roman" w:hAnsi="Times New Roman"/>
          <w:sz w:val="24"/>
          <w:szCs w:val="24"/>
        </w:rPr>
        <w:t>eginning</w:t>
      </w:r>
      <w:proofErr w:type="spellEnd"/>
      <w:r w:rsidRPr="0073357D">
        <w:rPr>
          <w:rFonts w:ascii="Times New Roman" w:hAnsi="Times New Roman"/>
          <w:sz w:val="24"/>
          <w:szCs w:val="24"/>
        </w:rPr>
        <w:t xml:space="preserve"> around 2014, the contract money in the Department’s separate coffers began to swell and outmatch that coming from Town and community funds. The Department now contends that the budget-strapped Town is trying to seize the assets of a private association</w:t>
      </w:r>
      <w:r>
        <w:rPr>
          <w:rFonts w:ascii="Times New Roman" w:hAnsi="Times New Roman"/>
          <w:sz w:val="24"/>
          <w:szCs w:val="24"/>
        </w:rPr>
        <w:t xml:space="preserve">.” </w:t>
      </w:r>
    </w:p>
    <w:p w14:paraId="6CD32183" w14:textId="77777777" w:rsidR="0082055F" w:rsidRPr="008147C2" w:rsidRDefault="0082055F" w:rsidP="0082055F">
      <w:pPr>
        <w:spacing w:before="100" w:beforeAutospacing="1" w:after="100" w:afterAutospacing="1" w:line="240" w:lineRule="auto"/>
        <w:ind w:left="720"/>
        <w:rPr>
          <w:rFonts w:ascii="Times New Roman" w:eastAsia="Times New Roman" w:hAnsi="Times New Roman"/>
          <w:sz w:val="24"/>
          <w:szCs w:val="24"/>
        </w:rPr>
      </w:pPr>
      <w:r w:rsidRPr="008147C2">
        <w:rPr>
          <w:rFonts w:ascii="Times New Roman" w:eastAsia="Times New Roman" w:hAnsi="Times New Roman"/>
          <w:sz w:val="24"/>
          <w:szCs w:val="24"/>
        </w:rPr>
        <w:t>“</w:t>
      </w:r>
      <w:r w:rsidRPr="008147C2">
        <w:rPr>
          <w:rFonts w:ascii="Times New Roman" w:hAnsi="Times New Roman"/>
          <w:sz w:val="24"/>
          <w:szCs w:val="24"/>
        </w:rPr>
        <w:t xml:space="preserve">The Town acknowledges its technically improper department oversight, but it also cites ways in which its management of the department has conformed to what </w:t>
      </w:r>
      <w:r w:rsidRPr="008147C2">
        <w:rPr>
          <w:rStyle w:val="Emphasis"/>
          <w:rFonts w:ascii="Times New Roman" w:hAnsi="Times New Roman"/>
          <w:sz w:val="24"/>
          <w:szCs w:val="24"/>
        </w:rPr>
        <w:t>only</w:t>
      </w:r>
      <w:r w:rsidRPr="008147C2">
        <w:rPr>
          <w:rFonts w:ascii="Times New Roman" w:hAnsi="Times New Roman"/>
          <w:sz w:val="24"/>
          <w:szCs w:val="24"/>
        </w:rPr>
        <w:t xml:space="preserve"> municipalities can do. For example, the town provides workers compensation insurance through the Montana Municipal Interlocal Authority, which is exclusive to municipal departments. The Town has also maintained property and liability insurance on the Department's vehicles and equipment.</w:t>
      </w:r>
    </w:p>
    <w:p w14:paraId="7AB9A229" w14:textId="77777777" w:rsidR="0082055F" w:rsidRDefault="0082055F" w:rsidP="0082055F">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E8EFD99" w14:textId="77777777" w:rsidR="0082055F" w:rsidRDefault="0082055F" w:rsidP="0082055F">
      <w:pPr>
        <w:spacing w:before="100" w:beforeAutospacing="1" w:after="100" w:afterAutospacing="1" w:line="240" w:lineRule="auto"/>
        <w:ind w:left="720"/>
        <w:rPr>
          <w:rFonts w:ascii="Times New Roman" w:eastAsia="Times New Roman" w:hAnsi="Times New Roman"/>
          <w:sz w:val="24"/>
          <w:szCs w:val="24"/>
        </w:rPr>
      </w:pPr>
      <w:proofErr w:type="gramStart"/>
      <w:r w:rsidRPr="00306BD3">
        <w:rPr>
          <w:rFonts w:ascii="Times New Roman" w:eastAsia="Times New Roman" w:hAnsi="Times New Roman"/>
          <w:sz w:val="24"/>
          <w:szCs w:val="24"/>
        </w:rPr>
        <w:t>At most, what</w:t>
      </w:r>
      <w:proofErr w:type="gramEnd"/>
      <w:r w:rsidRPr="00306BD3">
        <w:rPr>
          <w:rFonts w:ascii="Times New Roman" w:eastAsia="Times New Roman" w:hAnsi="Times New Roman"/>
          <w:sz w:val="24"/>
          <w:szCs w:val="24"/>
        </w:rPr>
        <w:t xml:space="preserve"> much of this evidence proves is that Ekalaka's volunteer fire department acted with an amount of delegated independence over the decades that the Town does not contest, and perhaps that some individual volunteers misperceived or lacked the language to correctly describe its municipal ownership. It is not unusual for two parts of a Town's government to interact with each other in ways that require arms-length language, nor is it odd for a fire department to thank its town government for support. Additionally, every piece of evidence the Department presents must be weighed against contrary evidence from the Town, including the perceptions and actions of former Department leaders; the Town's establishment of a relief association under state laws on municipalities; the impressions of third parties like the vehicle donors; mutual aid agreements that exist between </w:t>
      </w:r>
      <w:r w:rsidRPr="00306BD3">
        <w:rPr>
          <w:rFonts w:ascii="Times New Roman" w:eastAsia="Times New Roman" w:hAnsi="Times New Roman"/>
          <w:i/>
          <w:iCs/>
          <w:sz w:val="24"/>
          <w:szCs w:val="24"/>
        </w:rPr>
        <w:t>the Town</w:t>
      </w:r>
      <w:r w:rsidRPr="00306BD3">
        <w:rPr>
          <w:rFonts w:ascii="Times New Roman" w:eastAsia="Times New Roman" w:hAnsi="Times New Roman"/>
          <w:sz w:val="24"/>
          <w:szCs w:val="24"/>
        </w:rPr>
        <w:t xml:space="preserve"> and Carter County, even if arranged or signed by the fire chief; and municipal fire department reports the Town has sent to the Montana State Auditor. </w:t>
      </w:r>
    </w:p>
    <w:p w14:paraId="0EA3B66B" w14:textId="77777777" w:rsidR="0082055F" w:rsidRDefault="0082055F" w:rsidP="0082055F">
      <w:pPr>
        <w:spacing w:before="100" w:beforeAutospacing="1" w:after="100" w:afterAutospacing="1" w:line="240" w:lineRule="auto"/>
        <w:ind w:left="720"/>
        <w:rPr>
          <w:rFonts w:ascii="Times New Roman" w:hAnsi="Times New Roman"/>
          <w:sz w:val="24"/>
          <w:szCs w:val="24"/>
        </w:rPr>
      </w:pPr>
      <w:r w:rsidRPr="00306BD3">
        <w:rPr>
          <w:rFonts w:ascii="Times New Roman" w:hAnsi="Times New Roman"/>
          <w:sz w:val="24"/>
          <w:szCs w:val="24"/>
        </w:rPr>
        <w:t xml:space="preserve">The documentary evidence from the parties overwhelmingly weighs toward declaratory judgment affirming the duly established municipal department. The evidence that the Department claims </w:t>
      </w:r>
      <w:proofErr w:type="gramStart"/>
      <w:r w:rsidRPr="00306BD3">
        <w:rPr>
          <w:rFonts w:ascii="Times New Roman" w:hAnsi="Times New Roman"/>
          <w:sz w:val="24"/>
          <w:szCs w:val="24"/>
        </w:rPr>
        <w:t>exemplifies</w:t>
      </w:r>
      <w:proofErr w:type="gramEnd"/>
      <w:r w:rsidRPr="00306BD3">
        <w:rPr>
          <w:rFonts w:ascii="Times New Roman" w:hAnsi="Times New Roman"/>
          <w:sz w:val="24"/>
          <w:szCs w:val="24"/>
        </w:rPr>
        <w:t xml:space="preserve"> its practical legal sovereignty is equivocal at best, and the Department cites no legal authority for the notion that individual beliefs or vocabulary can excise an agency from town government. As the District Court noted, the Town's extensive financial and managerial delegation to the Department may be ill-advised and </w:t>
      </w:r>
      <w:proofErr w:type="gramStart"/>
      <w:r w:rsidRPr="00306BD3">
        <w:rPr>
          <w:rFonts w:ascii="Times New Roman" w:hAnsi="Times New Roman"/>
          <w:sz w:val="24"/>
          <w:szCs w:val="24"/>
        </w:rPr>
        <w:t>may be</w:t>
      </w:r>
      <w:proofErr w:type="gramEnd"/>
      <w:r w:rsidRPr="00306BD3">
        <w:rPr>
          <w:rFonts w:ascii="Times New Roman" w:hAnsi="Times New Roman"/>
          <w:sz w:val="24"/>
          <w:szCs w:val="24"/>
        </w:rPr>
        <w:t xml:space="preserve"> worth reconsidering</w:t>
      </w:r>
      <w:proofErr w:type="gramStart"/>
      <w:r w:rsidRPr="00306BD3">
        <w:rPr>
          <w:rFonts w:ascii="Times New Roman" w:hAnsi="Times New Roman"/>
          <w:sz w:val="24"/>
          <w:szCs w:val="24"/>
        </w:rPr>
        <w:t>-this</w:t>
      </w:r>
      <w:proofErr w:type="gramEnd"/>
      <w:r w:rsidRPr="00306BD3">
        <w:rPr>
          <w:rFonts w:ascii="Times New Roman" w:hAnsi="Times New Roman"/>
          <w:sz w:val="24"/>
          <w:szCs w:val="24"/>
        </w:rPr>
        <w:t xml:space="preserve"> controversy is proof enough of the pitfalls. But a small municipality's somewhat casual oversight of its volunteer fire department does not give that department a license to declare itself divested.</w:t>
      </w:r>
      <w:r>
        <w:rPr>
          <w:rFonts w:ascii="Times New Roman" w:hAnsi="Times New Roman"/>
          <w:sz w:val="24"/>
          <w:szCs w:val="24"/>
        </w:rPr>
        <w:t xml:space="preserve">” </w:t>
      </w:r>
      <w:hyperlink r:id="rId1159" w:history="1">
        <w:r w:rsidRPr="00764F47">
          <w:rPr>
            <w:rStyle w:val="Hyperlink"/>
            <w:sz w:val="24"/>
            <w:szCs w:val="24"/>
          </w:rPr>
          <w:t>https://cases.justia.com/montana/supreme-court/2021-da-20-0594.pdf?ts=1634679339</w:t>
        </w:r>
      </w:hyperlink>
      <w:r>
        <w:rPr>
          <w:rFonts w:ascii="Times New Roman" w:hAnsi="Times New Roman"/>
          <w:sz w:val="24"/>
          <w:szCs w:val="24"/>
        </w:rPr>
        <w:t xml:space="preserve"> </w:t>
      </w:r>
    </w:p>
    <w:p w14:paraId="65B61863" w14:textId="77777777" w:rsidR="0082055F" w:rsidRPr="00A7736E" w:rsidRDefault="0082055F" w:rsidP="0082055F">
      <w:pPr>
        <w:spacing w:before="100" w:beforeAutospacing="1" w:after="100" w:afterAutospacing="1" w:line="240" w:lineRule="auto"/>
        <w:rPr>
          <w:rFonts w:ascii="Times New Roman" w:eastAsia="Times New Roman" w:hAnsi="Times New Roman"/>
          <w:b/>
          <w:bCs/>
          <w:sz w:val="24"/>
          <w:szCs w:val="24"/>
        </w:rPr>
      </w:pPr>
      <w:r w:rsidRPr="008147C2">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Volunteer fire departments should have a clear understanding </w:t>
      </w:r>
      <w:proofErr w:type="gramStart"/>
      <w:r>
        <w:rPr>
          <w:rFonts w:ascii="Times New Roman" w:eastAsia="Times New Roman" w:hAnsi="Times New Roman"/>
          <w:b/>
          <w:bCs/>
          <w:sz w:val="24"/>
          <w:szCs w:val="24"/>
        </w:rPr>
        <w:t>on</w:t>
      </w:r>
      <w:proofErr w:type="gramEnd"/>
      <w:r>
        <w:rPr>
          <w:rFonts w:ascii="Times New Roman" w:eastAsia="Times New Roman" w:hAnsi="Times New Roman"/>
          <w:b/>
          <w:bCs/>
          <w:sz w:val="24"/>
          <w:szCs w:val="24"/>
        </w:rPr>
        <w:t xml:space="preserve"> the legal status of that department. </w:t>
      </w:r>
    </w:p>
    <w:p w14:paraId="0CBB6666" w14:textId="77777777" w:rsidR="0082055F" w:rsidRDefault="0082055F" w:rsidP="00EF1133">
      <w:pPr>
        <w:rPr>
          <w:rFonts w:ascii="Arial Black" w:hAnsi="Arial Black"/>
          <w:b/>
          <w:sz w:val="24"/>
          <w:szCs w:val="24"/>
        </w:rPr>
      </w:pPr>
    </w:p>
    <w:p w14:paraId="1CC71435" w14:textId="4F2AD901" w:rsidR="00BD1702" w:rsidRDefault="00BD1702"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8</w:t>
      </w:r>
    </w:p>
    <w:p w14:paraId="3F3A9334" w14:textId="77777777" w:rsidR="00BD1702" w:rsidRDefault="00BD1702" w:rsidP="00BD1702">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OH: CLEVELAND LOCAL 93 – PUBLIC RECORDS - CHIEF’S E-MAILS - FOUR DOC. WERE NOT “ATTY-CLIENT PRIVILEGED” </w:t>
      </w:r>
    </w:p>
    <w:p w14:paraId="452DFC25" w14:textId="77777777" w:rsidR="00BD1702" w:rsidRDefault="00BD1702" w:rsidP="00BD1702">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Oct. 7, 2021, in </w:t>
      </w:r>
      <w:r>
        <w:rPr>
          <w:rFonts w:ascii="Times New Roman" w:eastAsia="Times New Roman" w:hAnsi="Times New Roman"/>
          <w:sz w:val="24"/>
          <w:szCs w:val="24"/>
          <w:u w:val="single"/>
        </w:rPr>
        <w:t>Association of Cleveland Fire Fighters IAFF Local 93 v. City of Cleveland, Department of Law</w:t>
      </w:r>
      <w:r>
        <w:rPr>
          <w:rFonts w:ascii="Times New Roman" w:eastAsia="Times New Roman" w:hAnsi="Times New Roman"/>
          <w:sz w:val="24"/>
          <w:szCs w:val="24"/>
        </w:rPr>
        <w:t xml:space="preserve">, </w:t>
      </w:r>
      <w:r>
        <w:rPr>
          <w:rStyle w:val="font-weight-bold"/>
          <w:rFonts w:ascii="Times New Roman" w:hAnsi="Times New Roman"/>
        </w:rPr>
        <w:t xml:space="preserve">2021 Ohio 3602 (Ohio App. 2021), </w:t>
      </w:r>
      <w:r>
        <w:rPr>
          <w:rFonts w:ascii="Times New Roman" w:eastAsia="Times New Roman" w:hAnsi="Times New Roman"/>
          <w:sz w:val="24"/>
          <w:szCs w:val="24"/>
        </w:rPr>
        <w:t>the Court of Appeals of Ohio, 8</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District, Cuyahoga County, held (3 to 0) that the four e-mails marked “Attorney-Client Privileged” </w:t>
      </w:r>
      <w:r>
        <w:rPr>
          <w:rFonts w:ascii="Times New Roman" w:hAnsi="Times New Roman"/>
          <w:sz w:val="24"/>
          <w:szCs w:val="24"/>
        </w:rPr>
        <w:t xml:space="preserve">relative to an early morning fire that had occurred in the city on January 26, 2020 were in fact, after in camera review, not privileged. The Ohio Court of Claims granted </w:t>
      </w:r>
      <w:r>
        <w:rPr>
          <w:rFonts w:ascii="Times New Roman" w:eastAsia="Times New Roman" w:hAnsi="Times New Roman"/>
          <w:sz w:val="24"/>
          <w:szCs w:val="24"/>
        </w:rPr>
        <w:t xml:space="preserve">Local 93’s </w:t>
      </w:r>
      <w:r>
        <w:rPr>
          <w:rFonts w:ascii="Times New Roman" w:hAnsi="Times New Roman"/>
          <w:sz w:val="24"/>
          <w:szCs w:val="24"/>
        </w:rPr>
        <w:t xml:space="preserve">public-records request for emails that city of Cleveland Fire Chief Angelo Calvillo (‘Chief Calvillo’ or ‘the Chief’) sent, received, and was copied on from January 26, 2020, through February 5, 2020, including four marked “Attorney-Client Privileged.” </w:t>
      </w:r>
    </w:p>
    <w:p w14:paraId="102EF182" w14:textId="77777777" w:rsidR="00BD1702" w:rsidRDefault="00BD1702" w:rsidP="00BD1702">
      <w:pPr>
        <w:spacing w:after="100" w:line="240" w:lineRule="auto"/>
        <w:ind w:left="810"/>
        <w:rPr>
          <w:rFonts w:ascii="Times New Roman" w:hAnsi="Times New Roman"/>
          <w:sz w:val="24"/>
          <w:szCs w:val="24"/>
        </w:rPr>
      </w:pPr>
      <w:r>
        <w:rPr>
          <w:rFonts w:ascii="Times New Roman" w:hAnsi="Times New Roman"/>
          <w:sz w:val="24"/>
          <w:szCs w:val="24"/>
        </w:rPr>
        <w:t>“Upon review, the first three subject emails did not fall squarely within the attorney-client privilege. They did not seek any kind of legal advice. For example, the one email naming Menzalora as the primary recipient related to a scheduling matter.</w:t>
      </w:r>
    </w:p>
    <w:p w14:paraId="73F3C870" w14:textId="77777777" w:rsidR="00BD1702" w:rsidRDefault="00BD1702" w:rsidP="00BD1702">
      <w:pPr>
        <w:spacing w:after="100" w:line="240" w:lineRule="auto"/>
        <w:ind w:left="810"/>
        <w:rPr>
          <w:rFonts w:ascii="Times New Roman" w:hAnsi="Times New Roman"/>
          <w:sz w:val="24"/>
          <w:szCs w:val="24"/>
        </w:rPr>
      </w:pPr>
      <w:r>
        <w:rPr>
          <w:rFonts w:ascii="Times New Roman" w:hAnsi="Times New Roman"/>
          <w:sz w:val="24"/>
          <w:szCs w:val="24"/>
        </w:rPr>
        <w:t>***</w:t>
      </w:r>
    </w:p>
    <w:p w14:paraId="6A5D6413" w14:textId="77777777" w:rsidR="00BD1702" w:rsidRDefault="00BD1702" w:rsidP="00BD1702">
      <w:pPr>
        <w:spacing w:after="100" w:line="240" w:lineRule="auto"/>
        <w:ind w:left="810"/>
        <w:rPr>
          <w:rFonts w:ascii="Times New Roman" w:hAnsi="Times New Roman"/>
          <w:sz w:val="24"/>
          <w:szCs w:val="24"/>
        </w:rPr>
      </w:pPr>
      <w:r>
        <w:rPr>
          <w:rFonts w:ascii="Times New Roman" w:hAnsi="Times New Roman"/>
          <w:sz w:val="24"/>
          <w:szCs w:val="24"/>
        </w:rPr>
        <w:t xml:space="preserve">The fourth email that was from Chief Calvillo to the Assistant Chief, Division of Fire, is the trickiest. Although Menzalora was copied on the email, the greeting of the email was solely to the Assistant Chief, and the body asked only for the Assistant Chiefs review of a document…. Further, the header in the subject line of the </w:t>
      </w:r>
      <w:proofErr w:type="gramStart"/>
      <w:r>
        <w:rPr>
          <w:rFonts w:ascii="Times New Roman" w:hAnsi="Times New Roman"/>
          <w:sz w:val="24"/>
          <w:szCs w:val="24"/>
        </w:rPr>
        <w:t>emails</w:t>
      </w:r>
      <w:proofErr w:type="gramEnd"/>
      <w:r>
        <w:rPr>
          <w:rFonts w:ascii="Times New Roman" w:hAnsi="Times New Roman"/>
          <w:sz w:val="24"/>
          <w:szCs w:val="24"/>
        </w:rPr>
        <w:t xml:space="preserve"> that they were ‘Attorney-Client </w:t>
      </w:r>
      <w:proofErr w:type="gramStart"/>
      <w:r>
        <w:rPr>
          <w:rFonts w:ascii="Times New Roman" w:hAnsi="Times New Roman"/>
          <w:sz w:val="24"/>
          <w:szCs w:val="24"/>
        </w:rPr>
        <w:t>privilege’</w:t>
      </w:r>
      <w:proofErr w:type="gramEnd"/>
      <w:r>
        <w:rPr>
          <w:rFonts w:ascii="Times New Roman" w:hAnsi="Times New Roman"/>
          <w:sz w:val="24"/>
          <w:szCs w:val="24"/>
        </w:rPr>
        <w:t xml:space="preserve"> do not make them so. The content of the emails </w:t>
      </w:r>
      <w:proofErr w:type="gramStart"/>
      <w:r>
        <w:rPr>
          <w:rFonts w:ascii="Times New Roman" w:hAnsi="Times New Roman"/>
          <w:sz w:val="24"/>
          <w:szCs w:val="24"/>
        </w:rPr>
        <w:t>has to</w:t>
      </w:r>
      <w:proofErr w:type="gramEnd"/>
      <w:r>
        <w:rPr>
          <w:rFonts w:ascii="Times New Roman" w:hAnsi="Times New Roman"/>
          <w:sz w:val="24"/>
          <w:szCs w:val="24"/>
        </w:rPr>
        <w:t xml:space="preserve"> involve attorney-client-privileged information, and our de novo review shows that they did not contain privileged information.</w:t>
      </w:r>
    </w:p>
    <w:p w14:paraId="1BD5229E" w14:textId="77777777" w:rsidR="00BD1702" w:rsidRDefault="00BD1702" w:rsidP="00BD1702">
      <w:pPr>
        <w:spacing w:after="100" w:line="240" w:lineRule="auto"/>
        <w:ind w:left="810"/>
        <w:rPr>
          <w:rFonts w:ascii="Times New Roman" w:hAnsi="Times New Roman"/>
          <w:sz w:val="24"/>
          <w:szCs w:val="24"/>
        </w:rPr>
      </w:pPr>
      <w:r>
        <w:rPr>
          <w:rFonts w:ascii="Times New Roman" w:hAnsi="Times New Roman"/>
          <w:sz w:val="24"/>
          <w:szCs w:val="24"/>
        </w:rPr>
        <w:t>***</w:t>
      </w:r>
    </w:p>
    <w:p w14:paraId="5A9DC896" w14:textId="77777777" w:rsidR="00BD1702" w:rsidRDefault="00BD1702" w:rsidP="00BD1702">
      <w:pPr>
        <w:spacing w:after="100" w:line="240" w:lineRule="auto"/>
        <w:ind w:left="810"/>
        <w:rPr>
          <w:rFonts w:ascii="Times New Roman" w:hAnsi="Times New Roman"/>
          <w:sz w:val="24"/>
          <w:szCs w:val="24"/>
        </w:rPr>
      </w:pPr>
      <w:r>
        <w:rPr>
          <w:rFonts w:ascii="Times New Roman" w:hAnsi="Times New Roman"/>
          <w:sz w:val="24"/>
          <w:szCs w:val="24"/>
        </w:rPr>
        <w:t xml:space="preserve">Upon review, we decline to award attorney fees to Local 93. The record does not demonstrate that the city ‘obviously filed the appeal with the intent to either delay compliance with the Court of Claims' order from which the appeal is taken for no reasonable cause or [to] unduly harass’ Local 93.” </w:t>
      </w:r>
      <w:hyperlink r:id="rId1160" w:history="1">
        <w:r>
          <w:rPr>
            <w:rStyle w:val="Hyperlink"/>
            <w:sz w:val="24"/>
            <w:szCs w:val="24"/>
          </w:rPr>
          <w:t>https://www.leagle.com/decision/inohco20211007389</w:t>
        </w:r>
      </w:hyperlink>
    </w:p>
    <w:p w14:paraId="1A43F41A" w14:textId="77777777" w:rsidR="00BD1702" w:rsidRDefault="00BD1702" w:rsidP="00BD1702">
      <w:pPr>
        <w:tabs>
          <w:tab w:val="left" w:pos="2760"/>
        </w:tabs>
        <w:spacing w:after="100"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The burden is on the City to prove the documents meet the Attorney-Client Privilege.  Judges [or in Ohio, Special Masters with Ohio Court of Claims] will normally conduct an </w:t>
      </w:r>
      <w:proofErr w:type="gramStart"/>
      <w:r>
        <w:rPr>
          <w:rFonts w:ascii="Times New Roman" w:hAnsi="Times New Roman"/>
          <w:b/>
          <w:bCs/>
          <w:sz w:val="24"/>
          <w:szCs w:val="24"/>
        </w:rPr>
        <w:t>in camera</w:t>
      </w:r>
      <w:proofErr w:type="gramEnd"/>
      <w:r>
        <w:rPr>
          <w:rFonts w:ascii="Times New Roman" w:hAnsi="Times New Roman"/>
          <w:b/>
          <w:bCs/>
          <w:sz w:val="24"/>
          <w:szCs w:val="24"/>
        </w:rPr>
        <w:t xml:space="preserve"> review of the documents claimed to be </w:t>
      </w:r>
      <w:proofErr w:type="gramStart"/>
      <w:r>
        <w:rPr>
          <w:rFonts w:ascii="Times New Roman" w:hAnsi="Times New Roman"/>
          <w:b/>
          <w:bCs/>
          <w:sz w:val="24"/>
          <w:szCs w:val="24"/>
        </w:rPr>
        <w:t>privileged, and</w:t>
      </w:r>
      <w:proofErr w:type="gramEnd"/>
      <w:r>
        <w:rPr>
          <w:rFonts w:ascii="Times New Roman" w:hAnsi="Times New Roman"/>
          <w:b/>
          <w:bCs/>
          <w:sz w:val="24"/>
          <w:szCs w:val="24"/>
        </w:rPr>
        <w:t xml:space="preserve"> then seal the documents for review by Court of Appeals. </w:t>
      </w:r>
    </w:p>
    <w:p w14:paraId="2929F529" w14:textId="77777777" w:rsidR="00BD1702" w:rsidRDefault="00BD1702" w:rsidP="00EF1133">
      <w:pPr>
        <w:rPr>
          <w:rFonts w:ascii="Arial Black" w:hAnsi="Arial Black"/>
          <w:b/>
          <w:sz w:val="24"/>
          <w:szCs w:val="24"/>
        </w:rPr>
      </w:pPr>
    </w:p>
    <w:p w14:paraId="009FF946" w14:textId="77777777" w:rsidR="00BD1702" w:rsidRDefault="00BD1702" w:rsidP="00EF1133">
      <w:pPr>
        <w:rPr>
          <w:rFonts w:ascii="Arial Black" w:hAnsi="Arial Black"/>
          <w:b/>
          <w:sz w:val="24"/>
          <w:szCs w:val="24"/>
        </w:rPr>
      </w:pPr>
    </w:p>
    <w:p w14:paraId="64B5056D" w14:textId="35982584" w:rsidR="00BD263B" w:rsidRDefault="00BD263B"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7</w:t>
      </w:r>
    </w:p>
    <w:p w14:paraId="5DF128AA" w14:textId="77777777" w:rsidR="00BD263B" w:rsidRDefault="00BD263B" w:rsidP="00BD263B">
      <w:pPr>
        <w:pStyle w:val="articleparagraph"/>
        <w:rPr>
          <w:rFonts w:ascii="Arial Black" w:hAnsi="Arial Black"/>
          <w:sz w:val="28"/>
          <w:szCs w:val="28"/>
        </w:rPr>
      </w:pPr>
      <w:bookmarkStart w:id="230" w:name="_Hlk81842050"/>
      <w:r>
        <w:rPr>
          <w:rFonts w:ascii="Arial Black" w:hAnsi="Arial Black"/>
          <w:sz w:val="28"/>
          <w:szCs w:val="28"/>
        </w:rPr>
        <w:t>OH:  BATTALION CHIEF’s 1</w:t>
      </w:r>
      <w:r w:rsidRPr="00CF76A9">
        <w:rPr>
          <w:rFonts w:ascii="Arial Black" w:hAnsi="Arial Black"/>
          <w:sz w:val="28"/>
          <w:szCs w:val="28"/>
          <w:vertAlign w:val="superscript"/>
        </w:rPr>
        <w:t>st</w:t>
      </w:r>
      <w:r>
        <w:rPr>
          <w:rFonts w:ascii="Arial Black" w:hAnsi="Arial Black"/>
          <w:sz w:val="28"/>
          <w:szCs w:val="28"/>
        </w:rPr>
        <w:t xml:space="preserve"> AMENDMENT RIGHTS - NEW CHIEF LACKED EMS CE HOURS – LAWSUIT PROCEED</w:t>
      </w:r>
    </w:p>
    <w:bookmarkEnd w:id="230"/>
    <w:p w14:paraId="07B1D9F4" w14:textId="77777777" w:rsidR="00BD263B" w:rsidRDefault="00BD263B" w:rsidP="00BD263B">
      <w:pPr>
        <w:pStyle w:val="articleparagraph"/>
      </w:pPr>
      <w:r>
        <w:t xml:space="preserve">On Sept. 1, 2021, in </w:t>
      </w:r>
      <w:r w:rsidRPr="00F10437">
        <w:rPr>
          <w:u w:val="single"/>
        </w:rPr>
        <w:t>Sean DeCrane v. Edward Eckart, in his official and individual capacities; City of Cleveland</w:t>
      </w:r>
      <w:r>
        <w:t>, the U.S. Court of Appeals for the 6</w:t>
      </w:r>
      <w:r w:rsidRPr="00F10437">
        <w:rPr>
          <w:vertAlign w:val="superscript"/>
        </w:rPr>
        <w:t>th</w:t>
      </w:r>
      <w:r>
        <w:t xml:space="preserve"> Circuit (Cincinnati) held (3 to 0) that a retired Cleveland Battalion Chief’s lawsuit may proceed against the City and the Assistant Safety Director for retaliation, and trial court correctly denied the Safety Director’s motion for summary judgment since he does not enjoy qualified immunity.   The Battalion Chief was a candidate for Fire Chief, and when not selected, he warned the city that the new Fire Chief [</w:t>
      </w:r>
      <w:r w:rsidRPr="0046342A">
        <w:rPr>
          <w:rStyle w:val="markedcontent"/>
        </w:rPr>
        <w:t>Daryl McGinnis</w:t>
      </w:r>
      <w:r>
        <w:rPr>
          <w:rStyle w:val="markedcontent"/>
        </w:rPr>
        <w:t>, who later was suspended and then retired]</w:t>
      </w:r>
      <w:r w:rsidRPr="0046342A">
        <w:rPr>
          <w:rStyle w:val="markedcontent"/>
        </w:rPr>
        <w:t xml:space="preserve">, </w:t>
      </w:r>
      <w:r>
        <w:t xml:space="preserve">lacked continuing education hours for his EMT certificate.  Someone in the Training Division [not DeCrane] then leaked to the Press about the new Fire Chief’s lack of CE hours, and Sean DeCrane claims retaliation started against him. </w:t>
      </w:r>
    </w:p>
    <w:p w14:paraId="4D031119" w14:textId="77777777" w:rsidR="00BD263B" w:rsidRPr="0046342A" w:rsidRDefault="00BD263B" w:rsidP="00BD263B">
      <w:pPr>
        <w:pStyle w:val="articleparagraph"/>
        <w:ind w:left="720"/>
      </w:pPr>
      <w:r>
        <w:rPr>
          <w:rStyle w:val="markedcontent"/>
        </w:rPr>
        <w:t>“</w:t>
      </w:r>
      <w:r w:rsidRPr="0046342A">
        <w:rPr>
          <w:rStyle w:val="markedcontent"/>
        </w:rPr>
        <w:t xml:space="preserve">Someone in the City of Cleveland’s fire department leaked embarrassing information to the media about its chief’s insufficient training hours. Sean DeCrane, the director of the Fire Training Academy, was not that person. But, according to DeCrane, Edward Eckart thought he was. DeCrane alleges that Eckart facilitated several harmful personnel actions against him because of this mistaken </w:t>
      </w:r>
      <w:proofErr w:type="gramStart"/>
      <w:r w:rsidRPr="0046342A">
        <w:rPr>
          <w:rStyle w:val="markedcontent"/>
        </w:rPr>
        <w:t>belief—all</w:t>
      </w:r>
      <w:proofErr w:type="gramEnd"/>
      <w:r w:rsidRPr="0046342A">
        <w:rPr>
          <w:rStyle w:val="markedcontent"/>
        </w:rPr>
        <w:t xml:space="preserve"> in violation of the First Amendment. Eckart’s response? He argues that the First Amendment does not protect speech made as part of an employee’s government job, see Garcetti v. Ceballos, 547 U.S. 410, </w:t>
      </w:r>
      <w:r w:rsidRPr="0046342A">
        <w:br/>
      </w:r>
      <w:r w:rsidRPr="0046342A">
        <w:rPr>
          <w:rStyle w:val="markedcontent"/>
        </w:rPr>
        <w:t>421–22 (2006), and that DeCrane would have leaked the information pursuant to his job duties as the training director. The district court denied Eckart qualified immunity on this argument, holding that our precedent clearly established that DeCrane would have tipped off the media as a private citizen rather than a public employee. We agree and affirm this part of the court’s decision. We dismiss Eckart’s other two arguments for lack of jurisdiction in this appeal’s interlocutory posture.</w:t>
      </w:r>
      <w:r>
        <w:rPr>
          <w:rStyle w:val="markedcontent"/>
        </w:rPr>
        <w:t xml:space="preserve">”  </w:t>
      </w:r>
      <w:hyperlink r:id="rId1161" w:history="1">
        <w:r w:rsidRPr="00843DBD">
          <w:rPr>
            <w:rStyle w:val="Hyperlink"/>
          </w:rPr>
          <w:t>https://www.opn.ca6.uscourts.gov/opinions.pdf/21a0204p-06.pdf</w:t>
        </w:r>
      </w:hyperlink>
      <w:r>
        <w:rPr>
          <w:rStyle w:val="markedcontent"/>
        </w:rPr>
        <w:t xml:space="preserve"> </w:t>
      </w:r>
    </w:p>
    <w:p w14:paraId="48815E18" w14:textId="77777777" w:rsidR="00BD263B" w:rsidRPr="00F74717" w:rsidRDefault="00BD263B" w:rsidP="00BD263B">
      <w:pPr>
        <w:rPr>
          <w:rStyle w:val="markedcontent"/>
          <w:rFonts w:ascii="Times New Roman" w:hAnsi="Times New Roman"/>
          <w:b/>
          <w:bCs/>
          <w:sz w:val="24"/>
          <w:szCs w:val="24"/>
        </w:rPr>
      </w:pPr>
      <w:r w:rsidRPr="00DA62BE">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Important decision. While firefighters and police officers only have “limited” First Amendment rights to post information on social media concerning internal FD matters, but if a city official retaliates against an employee for speech protected by the First Amendment, the employee may sue even if the official </w:t>
      </w:r>
      <w:r w:rsidRPr="00F74717">
        <w:rPr>
          <w:rStyle w:val="markedcontent"/>
          <w:rFonts w:ascii="Times New Roman" w:hAnsi="Times New Roman"/>
          <w:b/>
          <w:bCs/>
          <w:i/>
          <w:iCs/>
          <w:sz w:val="24"/>
          <w:szCs w:val="24"/>
        </w:rPr>
        <w:t xml:space="preserve">incorrectly </w:t>
      </w:r>
      <w:r>
        <w:rPr>
          <w:rStyle w:val="markedcontent"/>
          <w:rFonts w:ascii="Times New Roman" w:hAnsi="Times New Roman"/>
          <w:b/>
          <w:bCs/>
          <w:sz w:val="24"/>
          <w:szCs w:val="24"/>
        </w:rPr>
        <w:t xml:space="preserve">believed the employee had leaked information to the press.  </w:t>
      </w:r>
    </w:p>
    <w:p w14:paraId="26038D3F" w14:textId="77777777" w:rsidR="00BD263B" w:rsidRPr="00DC7DCB" w:rsidRDefault="00BD263B" w:rsidP="00BD263B">
      <w:pPr>
        <w:ind w:left="720"/>
        <w:rPr>
          <w:rFonts w:ascii="Times New Roman" w:hAnsi="Times New Roman"/>
          <w:sz w:val="24"/>
          <w:szCs w:val="24"/>
        </w:rPr>
      </w:pPr>
      <w:r w:rsidRPr="00DC7DCB">
        <w:rPr>
          <w:rFonts w:ascii="Times New Roman" w:hAnsi="Times New Roman"/>
          <w:sz w:val="24"/>
          <w:szCs w:val="24"/>
        </w:rPr>
        <w:t xml:space="preserve">Note: See Sept. 2, </w:t>
      </w:r>
      <w:proofErr w:type="gramStart"/>
      <w:r w:rsidRPr="00DC7DCB">
        <w:rPr>
          <w:rFonts w:ascii="Times New Roman" w:hAnsi="Times New Roman"/>
          <w:sz w:val="24"/>
          <w:szCs w:val="24"/>
        </w:rPr>
        <w:t>2021</w:t>
      </w:r>
      <w:proofErr w:type="gramEnd"/>
      <w:r w:rsidRPr="00DC7DCB">
        <w:rPr>
          <w:rFonts w:ascii="Times New Roman" w:hAnsi="Times New Roman"/>
          <w:sz w:val="24"/>
          <w:szCs w:val="24"/>
        </w:rPr>
        <w:t xml:space="preserve"> article, “Federal appellate court upholds First Amendment case brought by retired Cleveland battalion chief.” </w:t>
      </w:r>
      <w:hyperlink r:id="rId1162" w:history="1">
        <w:r w:rsidRPr="00DC7DCB">
          <w:rPr>
            <w:rStyle w:val="Hyperlink"/>
            <w:sz w:val="24"/>
            <w:szCs w:val="24"/>
          </w:rPr>
          <w:t>https://www.cleveland.com/cityhall/2021/09/federal-appellate-court-upholds-first-amendment-case-brought-against-cleveland-by-retired-battalion-chief.html</w:t>
        </w:r>
      </w:hyperlink>
      <w:r w:rsidRPr="00DC7DCB">
        <w:rPr>
          <w:rFonts w:ascii="Times New Roman" w:hAnsi="Times New Roman"/>
          <w:sz w:val="24"/>
          <w:szCs w:val="24"/>
        </w:rPr>
        <w:t xml:space="preserve"> </w:t>
      </w:r>
    </w:p>
    <w:p w14:paraId="714E6B26" w14:textId="77777777" w:rsidR="00BD263B" w:rsidRPr="00DC7DCB" w:rsidRDefault="00BD263B" w:rsidP="00BD263B">
      <w:pPr>
        <w:pStyle w:val="Heading1"/>
        <w:ind w:left="720"/>
        <w:rPr>
          <w:b w:val="0"/>
          <w:bCs w:val="0"/>
          <w:sz w:val="24"/>
          <w:szCs w:val="24"/>
        </w:rPr>
      </w:pPr>
      <w:r w:rsidRPr="00DC7DCB">
        <w:rPr>
          <w:b w:val="0"/>
          <w:bCs w:val="0"/>
          <w:sz w:val="24"/>
          <w:szCs w:val="24"/>
        </w:rPr>
        <w:t xml:space="preserve">See Aug. 4, </w:t>
      </w:r>
      <w:proofErr w:type="gramStart"/>
      <w:r w:rsidRPr="00DC7DCB">
        <w:rPr>
          <w:b w:val="0"/>
          <w:bCs w:val="0"/>
          <w:sz w:val="24"/>
          <w:szCs w:val="24"/>
        </w:rPr>
        <w:t>2013</w:t>
      </w:r>
      <w:proofErr w:type="gramEnd"/>
      <w:r w:rsidRPr="00DC7DCB">
        <w:rPr>
          <w:b w:val="0"/>
          <w:bCs w:val="0"/>
          <w:sz w:val="24"/>
          <w:szCs w:val="24"/>
        </w:rPr>
        <w:t xml:space="preserve"> article, </w:t>
      </w:r>
      <w:r>
        <w:rPr>
          <w:b w:val="0"/>
          <w:bCs w:val="0"/>
          <w:sz w:val="24"/>
          <w:szCs w:val="24"/>
        </w:rPr>
        <w:t>“</w:t>
      </w:r>
      <w:r w:rsidRPr="00DC7DCB">
        <w:rPr>
          <w:b w:val="0"/>
          <w:bCs w:val="0"/>
          <w:sz w:val="24"/>
          <w:szCs w:val="24"/>
        </w:rPr>
        <w:t>Cleveland Fire Chief Daryl McGinnis retires two weeks after being relieved of duties</w:t>
      </w:r>
      <w:r>
        <w:rPr>
          <w:b w:val="0"/>
          <w:bCs w:val="0"/>
          <w:sz w:val="24"/>
          <w:szCs w:val="24"/>
        </w:rPr>
        <w:t>.”  “</w:t>
      </w:r>
      <w:r w:rsidRPr="00DC7DCB">
        <w:rPr>
          <w:b w:val="0"/>
          <w:bCs w:val="0"/>
          <w:sz w:val="24"/>
          <w:szCs w:val="24"/>
        </w:rPr>
        <w:t>A city review of McGinnis' training records revealed that between 2009-12 he had completed only 22 of the required 40 hours of continuing education. The city reported the information a week after The Plain Dealer asked to review his training records.</w:t>
      </w:r>
      <w:r>
        <w:rPr>
          <w:b w:val="0"/>
          <w:bCs w:val="0"/>
          <w:sz w:val="24"/>
          <w:szCs w:val="24"/>
        </w:rPr>
        <w:t xml:space="preserve">” </w:t>
      </w:r>
      <w:hyperlink r:id="rId1163" w:history="1">
        <w:r w:rsidRPr="00843DBD">
          <w:rPr>
            <w:rStyle w:val="Hyperlink"/>
            <w:sz w:val="24"/>
            <w:szCs w:val="24"/>
          </w:rPr>
          <w:t>https://www.cleveland.com/metro/2013/08/cleveland_fire_chief_daryl_mcg.html</w:t>
        </w:r>
      </w:hyperlink>
      <w:r>
        <w:rPr>
          <w:b w:val="0"/>
          <w:bCs w:val="0"/>
          <w:sz w:val="24"/>
          <w:szCs w:val="24"/>
        </w:rPr>
        <w:t xml:space="preserve"> </w:t>
      </w:r>
    </w:p>
    <w:p w14:paraId="3CF389CE" w14:textId="77777777" w:rsidR="00BD263B" w:rsidRDefault="00BD263B" w:rsidP="00EF1133">
      <w:pPr>
        <w:rPr>
          <w:rFonts w:ascii="Arial Black" w:hAnsi="Arial Black"/>
          <w:b/>
          <w:sz w:val="24"/>
          <w:szCs w:val="24"/>
        </w:rPr>
      </w:pPr>
    </w:p>
    <w:p w14:paraId="7C8B3FBF" w14:textId="6035D54A" w:rsidR="005217D5" w:rsidRDefault="005217D5"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6</w:t>
      </w:r>
    </w:p>
    <w:p w14:paraId="47E0D5F1" w14:textId="77777777" w:rsidR="005217D5" w:rsidRDefault="005217D5" w:rsidP="00B20474">
      <w:pPr>
        <w:pStyle w:val="Heading1"/>
        <w:rPr>
          <w:rFonts w:ascii="Arial Black" w:hAnsi="Arial Black"/>
          <w:b w:val="0"/>
          <w:bCs w:val="0"/>
          <w:sz w:val="28"/>
          <w:szCs w:val="28"/>
        </w:rPr>
      </w:pPr>
      <w:r w:rsidRPr="00CB17BF">
        <w:rPr>
          <w:rFonts w:ascii="Arial Black" w:hAnsi="Arial Black"/>
          <w:b w:val="0"/>
          <w:bCs w:val="0"/>
          <w:sz w:val="28"/>
          <w:szCs w:val="28"/>
        </w:rPr>
        <w:t xml:space="preserve">CT: </w:t>
      </w:r>
      <w:r>
        <w:rPr>
          <w:rFonts w:ascii="Arial Black" w:hAnsi="Arial Black"/>
          <w:b w:val="0"/>
          <w:bCs w:val="0"/>
          <w:sz w:val="28"/>
          <w:szCs w:val="28"/>
        </w:rPr>
        <w:t>HEART ATTACK - STATUTORY PRESUMPTION FOR “MEMBERS” MUNICIPAL FD - PART-TIMERS COVERED</w:t>
      </w:r>
    </w:p>
    <w:p w14:paraId="177C602F" w14:textId="77777777" w:rsidR="005217D5" w:rsidRDefault="005217D5" w:rsidP="005217D5">
      <w:pPr>
        <w:pStyle w:val="Heading1"/>
        <w:ind w:left="720"/>
        <w:rPr>
          <w:b w:val="0"/>
          <w:bCs w:val="0"/>
          <w:sz w:val="24"/>
          <w:szCs w:val="24"/>
        </w:rPr>
      </w:pPr>
      <w:r>
        <w:rPr>
          <w:b w:val="0"/>
          <w:bCs w:val="0"/>
          <w:sz w:val="24"/>
          <w:szCs w:val="24"/>
        </w:rPr>
        <w:t xml:space="preserve">On July 27, 2021, in </w:t>
      </w:r>
      <w:r w:rsidRPr="00711A5D">
        <w:rPr>
          <w:b w:val="0"/>
          <w:bCs w:val="0"/>
          <w:sz w:val="24"/>
          <w:szCs w:val="24"/>
          <w:u w:val="single"/>
        </w:rPr>
        <w:t xml:space="preserve">Christopher A. Clark v. Town of Waterford, </w:t>
      </w:r>
      <w:proofErr w:type="spellStart"/>
      <w:r w:rsidRPr="00711A5D">
        <w:rPr>
          <w:b w:val="0"/>
          <w:bCs w:val="0"/>
          <w:sz w:val="24"/>
          <w:szCs w:val="24"/>
          <w:u w:val="single"/>
        </w:rPr>
        <w:t>Cohanzie</w:t>
      </w:r>
      <w:proofErr w:type="spellEnd"/>
      <w:r w:rsidRPr="00711A5D">
        <w:rPr>
          <w:b w:val="0"/>
          <w:bCs w:val="0"/>
          <w:sz w:val="24"/>
          <w:szCs w:val="24"/>
          <w:u w:val="single"/>
        </w:rPr>
        <w:t xml:space="preserve"> Fire </w:t>
      </w:r>
      <w:r w:rsidRPr="007400FB">
        <w:rPr>
          <w:b w:val="0"/>
          <w:bCs w:val="0"/>
          <w:sz w:val="24"/>
          <w:szCs w:val="24"/>
          <w:u w:val="single"/>
        </w:rPr>
        <w:t>Department</w:t>
      </w:r>
      <w:r w:rsidRPr="00E20B80">
        <w:rPr>
          <w:b w:val="0"/>
          <w:bCs w:val="0"/>
          <w:sz w:val="24"/>
          <w:szCs w:val="24"/>
        </w:rPr>
        <w:t xml:space="preserve">, </w:t>
      </w:r>
      <w:r>
        <w:rPr>
          <w:b w:val="0"/>
          <w:bCs w:val="0"/>
          <w:sz w:val="24"/>
          <w:szCs w:val="24"/>
        </w:rPr>
        <w:t xml:space="preserve">the Court of Appeals of Connecticut held (3 to 0) that </w:t>
      </w:r>
      <w:r w:rsidRPr="00711A5D">
        <w:rPr>
          <w:b w:val="0"/>
          <w:bCs w:val="0"/>
          <w:sz w:val="24"/>
          <w:szCs w:val="24"/>
        </w:rPr>
        <w:t>Workers' Compensation Commissioner</w:t>
      </w:r>
      <w:r>
        <w:rPr>
          <w:b w:val="0"/>
          <w:bCs w:val="0"/>
          <w:sz w:val="24"/>
          <w:szCs w:val="24"/>
        </w:rPr>
        <w:t xml:space="preserve"> correctly held that the part-time firefighter was a “uniformed member” of a municipal fire department who passed a pre-hire medical exam and therefore covered under the </w:t>
      </w:r>
      <w:r w:rsidRPr="009D0C21">
        <w:rPr>
          <w:b w:val="0"/>
          <w:bCs w:val="0"/>
          <w:sz w:val="24"/>
          <w:szCs w:val="24"/>
        </w:rPr>
        <w:t>Heart and Hypertension Act</w:t>
      </w:r>
      <w:r>
        <w:rPr>
          <w:b w:val="0"/>
          <w:bCs w:val="0"/>
          <w:sz w:val="24"/>
          <w:szCs w:val="24"/>
        </w:rPr>
        <w:t xml:space="preserve">, even if he wasn’t eligible for retirement pension since he didn’t work an average of 20 hours per week or more.  </w:t>
      </w:r>
    </w:p>
    <w:p w14:paraId="1982B88E" w14:textId="77777777" w:rsidR="005217D5" w:rsidRDefault="005217D5" w:rsidP="005217D5">
      <w:pPr>
        <w:pStyle w:val="Heading1"/>
        <w:ind w:left="1440"/>
        <w:rPr>
          <w:b w:val="0"/>
          <w:bCs w:val="0"/>
          <w:sz w:val="24"/>
          <w:szCs w:val="24"/>
        </w:rPr>
      </w:pPr>
      <w:r>
        <w:rPr>
          <w:b w:val="0"/>
          <w:bCs w:val="0"/>
          <w:sz w:val="24"/>
          <w:szCs w:val="24"/>
        </w:rPr>
        <w:t>“</w:t>
      </w:r>
      <w:r w:rsidRPr="00D553CE">
        <w:rPr>
          <w:b w:val="0"/>
          <w:bCs w:val="0"/>
          <w:sz w:val="24"/>
          <w:szCs w:val="24"/>
        </w:rPr>
        <w:t xml:space="preserve">On appeal before us, the town claims that the board erred when it affirmed the commissioner's award because it failed to apply the definition of the term </w:t>
      </w:r>
      <w:r w:rsidRPr="00D553CE">
        <w:rPr>
          <w:rStyle w:val="Emphasis"/>
          <w:b w:val="0"/>
          <w:bCs w:val="0"/>
          <w:sz w:val="24"/>
          <w:szCs w:val="24"/>
        </w:rPr>
        <w:t>member</w:t>
      </w:r>
      <w:r w:rsidRPr="00D553CE">
        <w:rPr>
          <w:b w:val="0"/>
          <w:bCs w:val="0"/>
          <w:sz w:val="24"/>
          <w:szCs w:val="24"/>
        </w:rPr>
        <w:t xml:space="preserve"> provided in § 7-425 (5) when considering whether the plaintiff was </w:t>
      </w:r>
      <w:r>
        <w:rPr>
          <w:b w:val="0"/>
          <w:bCs w:val="0"/>
          <w:sz w:val="24"/>
          <w:szCs w:val="24"/>
        </w:rPr>
        <w:t>‘</w:t>
      </w:r>
      <w:r w:rsidRPr="00D553CE">
        <w:rPr>
          <w:b w:val="0"/>
          <w:bCs w:val="0"/>
          <w:sz w:val="24"/>
          <w:szCs w:val="24"/>
        </w:rPr>
        <w:t>a uniformed member of a paid municipal fire department'</w:t>
      </w:r>
      <w:r>
        <w:rPr>
          <w:b w:val="0"/>
          <w:bCs w:val="0"/>
          <w:sz w:val="24"/>
          <w:szCs w:val="24"/>
        </w:rPr>
        <w:t>’</w:t>
      </w:r>
      <w:r w:rsidRPr="00D553CE">
        <w:rPr>
          <w:b w:val="0"/>
          <w:bCs w:val="0"/>
          <w:sz w:val="24"/>
          <w:szCs w:val="24"/>
        </w:rPr>
        <w:t xml:space="preserve"> eligible for benefits pursuant to § 7-433c. We disagree.</w:t>
      </w:r>
    </w:p>
    <w:p w14:paraId="46EECC05" w14:textId="77777777" w:rsidR="005217D5" w:rsidRDefault="005217D5" w:rsidP="005217D5">
      <w:pPr>
        <w:pStyle w:val="Heading1"/>
        <w:ind w:left="1440"/>
        <w:rPr>
          <w:b w:val="0"/>
          <w:bCs w:val="0"/>
          <w:sz w:val="24"/>
          <w:szCs w:val="24"/>
        </w:rPr>
      </w:pPr>
      <w:r>
        <w:rPr>
          <w:b w:val="0"/>
          <w:bCs w:val="0"/>
          <w:sz w:val="24"/>
          <w:szCs w:val="24"/>
        </w:rPr>
        <w:t>***</w:t>
      </w:r>
    </w:p>
    <w:p w14:paraId="5215AAA4" w14:textId="77777777" w:rsidR="005217D5" w:rsidRPr="00CB17BF" w:rsidRDefault="005217D5" w:rsidP="005217D5">
      <w:pPr>
        <w:pStyle w:val="Heading1"/>
        <w:ind w:left="1440"/>
        <w:rPr>
          <w:b w:val="0"/>
          <w:bCs w:val="0"/>
          <w:sz w:val="24"/>
          <w:szCs w:val="24"/>
        </w:rPr>
      </w:pPr>
      <w:r w:rsidRPr="00CB17BF">
        <w:rPr>
          <w:b w:val="0"/>
          <w:bCs w:val="0"/>
          <w:sz w:val="24"/>
          <w:szCs w:val="24"/>
        </w:rPr>
        <w:t xml:space="preserve">Consequently, § 7-433c requires all municipal employers, as defined in General Statutes § 7-467, to pay compensation and medical care to any </w:t>
      </w:r>
      <w:r>
        <w:rPr>
          <w:b w:val="0"/>
          <w:bCs w:val="0"/>
          <w:sz w:val="24"/>
          <w:szCs w:val="24"/>
        </w:rPr>
        <w:t>‘</w:t>
      </w:r>
      <w:r w:rsidRPr="00CB17BF">
        <w:rPr>
          <w:b w:val="0"/>
          <w:bCs w:val="0"/>
          <w:sz w:val="24"/>
          <w:szCs w:val="24"/>
        </w:rPr>
        <w:t>uniformed member of a paid municipal fire department or regular member of a paid municipal police department</w:t>
      </w:r>
      <w:r>
        <w:rPr>
          <w:b w:val="0"/>
          <w:bCs w:val="0"/>
          <w:sz w:val="24"/>
          <w:szCs w:val="24"/>
        </w:rPr>
        <w:t>’</w:t>
      </w:r>
      <w:r w:rsidRPr="00CB17BF">
        <w:rPr>
          <w:b w:val="0"/>
          <w:bCs w:val="0"/>
          <w:sz w:val="24"/>
          <w:szCs w:val="24"/>
        </w:rPr>
        <w:t xml:space="preserve"> who suffers any condition or impairment of health caused by hypertension or heart disease resulting in death or temporary or permanent, total or partial disability, or dependents, as the case may be.</w:t>
      </w:r>
      <w:r>
        <w:rPr>
          <w:b w:val="0"/>
          <w:bCs w:val="0"/>
          <w:sz w:val="24"/>
          <w:szCs w:val="24"/>
        </w:rPr>
        <w:t xml:space="preserve">” </w:t>
      </w:r>
      <w:hyperlink r:id="rId1164" w:history="1">
        <w:r w:rsidRPr="00D66E15">
          <w:rPr>
            <w:rStyle w:val="Hyperlink"/>
            <w:sz w:val="24"/>
            <w:szCs w:val="24"/>
          </w:rPr>
          <w:t>https://casetext.com/case/clark-v-town-of-waterford</w:t>
        </w:r>
      </w:hyperlink>
      <w:r>
        <w:rPr>
          <w:b w:val="0"/>
          <w:bCs w:val="0"/>
          <w:sz w:val="24"/>
          <w:szCs w:val="24"/>
        </w:rPr>
        <w:t xml:space="preserve"> </w:t>
      </w:r>
    </w:p>
    <w:p w14:paraId="03955DD3" w14:textId="77777777" w:rsidR="005217D5" w:rsidRDefault="005217D5" w:rsidP="005217D5">
      <w:pPr>
        <w:pStyle w:val="Heading1"/>
        <w:ind w:left="720"/>
        <w:rPr>
          <w:sz w:val="24"/>
          <w:szCs w:val="24"/>
        </w:rPr>
      </w:pPr>
      <w:r w:rsidRPr="0021201E">
        <w:rPr>
          <w:sz w:val="24"/>
          <w:szCs w:val="24"/>
        </w:rPr>
        <w:t>Legal Lesson Learned:</w:t>
      </w:r>
      <w:r>
        <w:rPr>
          <w:sz w:val="24"/>
          <w:szCs w:val="24"/>
        </w:rPr>
        <w:t xml:space="preserve"> Statutory presumptions for heart attacks are very helpful, and in Connecticut now applies to career, part-time, and volunteer firefighters who have passed a pre-employment physical.   </w:t>
      </w:r>
    </w:p>
    <w:p w14:paraId="143D28D8" w14:textId="77777777" w:rsidR="005217D5" w:rsidRDefault="005217D5" w:rsidP="005217D5">
      <w:pPr>
        <w:pStyle w:val="NormalWeb"/>
        <w:ind w:left="1440" w:hanging="720"/>
      </w:pPr>
      <w:r w:rsidRPr="00DD5072">
        <w:t xml:space="preserve">Note: </w:t>
      </w:r>
      <w:r w:rsidRPr="00DD5072">
        <w:tab/>
      </w:r>
    </w:p>
    <w:p w14:paraId="09549AFF" w14:textId="77777777" w:rsidR="005217D5" w:rsidRDefault="005217D5" w:rsidP="005217D5">
      <w:pPr>
        <w:pStyle w:val="Heading1"/>
        <w:ind w:left="1440"/>
        <w:rPr>
          <w:sz w:val="24"/>
          <w:szCs w:val="24"/>
        </w:rPr>
      </w:pPr>
      <w:r w:rsidRPr="00F66A5F">
        <w:rPr>
          <w:b w:val="0"/>
          <w:bCs w:val="0"/>
          <w:sz w:val="24"/>
          <w:szCs w:val="24"/>
        </w:rPr>
        <w:t>Check the law in your state: IAFF Presumptive Health Initiative:</w:t>
      </w:r>
      <w:r>
        <w:rPr>
          <w:b w:val="0"/>
          <w:bCs w:val="0"/>
          <w:sz w:val="24"/>
          <w:szCs w:val="24"/>
        </w:rPr>
        <w:t xml:space="preserve"> </w:t>
      </w:r>
      <w:hyperlink r:id="rId1165" w:history="1">
        <w:r w:rsidRPr="004A379F">
          <w:rPr>
            <w:rStyle w:val="Hyperlink"/>
            <w:sz w:val="24"/>
            <w:szCs w:val="24"/>
          </w:rPr>
          <w:t>https://www.iaff.org/presumptive-health/</w:t>
        </w:r>
      </w:hyperlink>
      <w:r>
        <w:rPr>
          <w:b w:val="0"/>
          <w:bCs w:val="0"/>
          <w:sz w:val="24"/>
          <w:szCs w:val="24"/>
        </w:rPr>
        <w:t xml:space="preserve">. </w:t>
      </w:r>
    </w:p>
    <w:p w14:paraId="0DCAE8C7" w14:textId="77777777" w:rsidR="005217D5" w:rsidRPr="006C4B78" w:rsidRDefault="005217D5" w:rsidP="005217D5">
      <w:pPr>
        <w:pStyle w:val="NormalWeb"/>
        <w:ind w:left="1440"/>
        <w:rPr>
          <w:b/>
          <w:bCs/>
        </w:rPr>
      </w:pPr>
      <w:r>
        <w:t>“</w:t>
      </w:r>
      <w:r w:rsidRPr="006C4B78">
        <w:t xml:space="preserve">Connecticut's Heart and Hypertension Act was signed into law in </w:t>
      </w:r>
      <w:proofErr w:type="gramStart"/>
      <w:r w:rsidRPr="006C4B78">
        <w:t>1977, and</w:t>
      </w:r>
      <w:proofErr w:type="gramEnd"/>
      <w:r w:rsidRPr="006C4B78">
        <w:t xml:space="preserve"> allows firefighters and police officers with hypertension and heart disease to receive benefits equivalent to those found in </w:t>
      </w:r>
      <w:hyperlink r:id="rId1166" w:history="1">
        <w:r w:rsidRPr="006C4B78">
          <w:rPr>
            <w:rStyle w:val="Hyperlink"/>
          </w:rPr>
          <w:t xml:space="preserve">workers' compensation </w:t>
        </w:r>
      </w:hyperlink>
      <w:r w:rsidRPr="006C4B78">
        <w:t>without the burden of proving that the condition was in fact caused by their work.</w:t>
      </w:r>
      <w:r>
        <w:rPr>
          <w:b/>
          <w:bCs/>
        </w:rPr>
        <w:t xml:space="preserve"> </w:t>
      </w:r>
      <w:r w:rsidRPr="006C4B78">
        <w:t>Eligibility for compensation under the Heart and Hypertension Act requires that the recipient be a current or former police officer or firefighter, and that a pre-employment physical was conducted that showed no signs of either hypertension or heart disease.</w:t>
      </w:r>
      <w:r>
        <w:t>”</w:t>
      </w:r>
      <w:hyperlink r:id="rId1167" w:history="1">
        <w:r w:rsidRPr="003612CA">
          <w:rPr>
            <w:rStyle w:val="Hyperlink"/>
          </w:rPr>
          <w:t>https://www.schafer-and-schafer.com/workers-compensation/heart-and-hypertension/</w:t>
        </w:r>
      </w:hyperlink>
      <w:r>
        <w:rPr>
          <w:b/>
          <w:bCs/>
        </w:rPr>
        <w:t xml:space="preserve"> </w:t>
      </w:r>
    </w:p>
    <w:p w14:paraId="3C50E05A" w14:textId="77777777" w:rsidR="005217D5" w:rsidRPr="006C4B78" w:rsidRDefault="005217D5" w:rsidP="005217D5">
      <w:pPr>
        <w:pStyle w:val="Heading1"/>
        <w:ind w:left="1440"/>
        <w:rPr>
          <w:b w:val="0"/>
          <w:bCs w:val="0"/>
          <w:sz w:val="24"/>
          <w:szCs w:val="24"/>
        </w:rPr>
      </w:pPr>
      <w:r>
        <w:rPr>
          <w:b w:val="0"/>
          <w:bCs w:val="0"/>
          <w:sz w:val="24"/>
          <w:szCs w:val="24"/>
        </w:rPr>
        <w:t xml:space="preserve">Volunteer firefighters are now also covered, </w:t>
      </w:r>
      <w:r w:rsidRPr="006C4B78">
        <w:rPr>
          <w:b w:val="0"/>
          <w:bCs w:val="0"/>
          <w:sz w:val="24"/>
          <w:szCs w:val="24"/>
        </w:rPr>
        <w:t>“provided such member had previously successfully passed a physical examination by a licensed physician appointed by such department or ambulance service which examination failed to reveal any evidence of such condition.</w:t>
      </w:r>
      <w:r>
        <w:rPr>
          <w:b w:val="0"/>
          <w:bCs w:val="0"/>
          <w:sz w:val="24"/>
          <w:szCs w:val="24"/>
        </w:rPr>
        <w:t xml:space="preserve">” </w:t>
      </w:r>
      <w:hyperlink r:id="rId1168" w:history="1">
        <w:r w:rsidRPr="003612CA">
          <w:rPr>
            <w:rStyle w:val="Hyperlink"/>
            <w:sz w:val="24"/>
            <w:szCs w:val="24"/>
          </w:rPr>
          <w:t>https://wcc.state.ct.us/law/rel-stat/2009/7-314a.htm</w:t>
        </w:r>
      </w:hyperlink>
      <w:r>
        <w:rPr>
          <w:b w:val="0"/>
          <w:bCs w:val="0"/>
          <w:sz w:val="24"/>
          <w:szCs w:val="24"/>
        </w:rPr>
        <w:t xml:space="preserve"> </w:t>
      </w:r>
    </w:p>
    <w:p w14:paraId="05BBB02B" w14:textId="77777777" w:rsidR="005217D5" w:rsidRDefault="005217D5" w:rsidP="005217D5">
      <w:pPr>
        <w:pStyle w:val="Heading1"/>
        <w:ind w:left="1440"/>
        <w:rPr>
          <w:b w:val="0"/>
          <w:bCs w:val="0"/>
          <w:sz w:val="24"/>
          <w:szCs w:val="24"/>
        </w:rPr>
      </w:pPr>
      <w:r>
        <w:rPr>
          <w:b w:val="0"/>
          <w:bCs w:val="0"/>
          <w:sz w:val="24"/>
          <w:szCs w:val="24"/>
        </w:rPr>
        <w:t xml:space="preserve">April 13, 2021: Watch Appellate argument in this case: </w:t>
      </w:r>
      <w:hyperlink r:id="rId1169" w:history="1">
        <w:r w:rsidRPr="00D66E15">
          <w:rPr>
            <w:rStyle w:val="Hyperlink"/>
            <w:sz w:val="24"/>
            <w:szCs w:val="24"/>
          </w:rPr>
          <w:t>https://www.youtube.com/watch?v=-Y6r01Pmcaw</w:t>
        </w:r>
      </w:hyperlink>
      <w:r>
        <w:rPr>
          <w:b w:val="0"/>
          <w:bCs w:val="0"/>
          <w:sz w:val="24"/>
          <w:szCs w:val="24"/>
        </w:rPr>
        <w:t xml:space="preserve"> </w:t>
      </w:r>
    </w:p>
    <w:p w14:paraId="2A422DB9" w14:textId="77777777" w:rsidR="005217D5" w:rsidRDefault="005217D5" w:rsidP="00EF1133">
      <w:pPr>
        <w:rPr>
          <w:rFonts w:ascii="Arial Black" w:hAnsi="Arial Black"/>
          <w:b/>
          <w:sz w:val="24"/>
          <w:szCs w:val="24"/>
        </w:rPr>
      </w:pPr>
    </w:p>
    <w:p w14:paraId="4037BB38" w14:textId="77777777" w:rsidR="005217D5" w:rsidRDefault="005217D5" w:rsidP="00EF1133">
      <w:pPr>
        <w:rPr>
          <w:rFonts w:ascii="Arial Black" w:hAnsi="Arial Black"/>
          <w:b/>
          <w:sz w:val="24"/>
          <w:szCs w:val="24"/>
        </w:rPr>
      </w:pPr>
    </w:p>
    <w:p w14:paraId="5F7DD42E" w14:textId="23001047" w:rsidR="00F27CD5" w:rsidRDefault="00F27CD5"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5</w:t>
      </w:r>
    </w:p>
    <w:p w14:paraId="23D9175B" w14:textId="77777777" w:rsidR="00F27CD5" w:rsidRPr="00AA1475" w:rsidRDefault="00F27CD5" w:rsidP="00F27CD5">
      <w:pPr>
        <w:pStyle w:val="NoSpacing"/>
        <w:rPr>
          <w:rFonts w:ascii="Arial Black" w:hAnsi="Arial Black"/>
          <w:sz w:val="28"/>
          <w:szCs w:val="28"/>
        </w:rPr>
      </w:pPr>
      <w:r w:rsidRPr="00AA1475">
        <w:rPr>
          <w:rFonts w:ascii="Arial Black" w:hAnsi="Arial Black"/>
          <w:sz w:val="28"/>
          <w:szCs w:val="28"/>
        </w:rPr>
        <w:t xml:space="preserve">NY: FF </w:t>
      </w:r>
      <w:r>
        <w:rPr>
          <w:rFonts w:ascii="Arial Black" w:hAnsi="Arial Black"/>
          <w:sz w:val="28"/>
          <w:szCs w:val="28"/>
        </w:rPr>
        <w:t xml:space="preserve">RIGHT </w:t>
      </w:r>
      <w:r w:rsidRPr="00AA1475">
        <w:rPr>
          <w:rFonts w:ascii="Arial Black" w:hAnsi="Arial Black"/>
          <w:sz w:val="28"/>
          <w:szCs w:val="28"/>
        </w:rPr>
        <w:t>SHOULDER INJUR</w:t>
      </w:r>
      <w:r>
        <w:rPr>
          <w:rFonts w:ascii="Arial Black" w:hAnsi="Arial Black"/>
          <w:sz w:val="28"/>
          <w:szCs w:val="28"/>
        </w:rPr>
        <w:t>IES – NONE QUALIFY FOR “ACCIDENTAL DISABILITY RETIREMENT [75% TAX FREE]</w:t>
      </w:r>
    </w:p>
    <w:p w14:paraId="5A61C59D" w14:textId="77777777" w:rsidR="00F27CD5" w:rsidRDefault="00F27CD5" w:rsidP="00F27CD5">
      <w:pPr>
        <w:pStyle w:val="NoSpacing"/>
      </w:pPr>
    </w:p>
    <w:p w14:paraId="73E703C7" w14:textId="77777777" w:rsidR="00F27CD5" w:rsidRPr="008A3320" w:rsidRDefault="00F27CD5" w:rsidP="00F27CD5">
      <w:pPr>
        <w:pStyle w:val="NoSpacing"/>
        <w:rPr>
          <w:rFonts w:ascii="Times New Roman" w:hAnsi="Times New Roman"/>
          <w:sz w:val="24"/>
          <w:szCs w:val="24"/>
        </w:rPr>
      </w:pPr>
      <w:r w:rsidRPr="008A3320">
        <w:rPr>
          <w:rFonts w:ascii="Times New Roman" w:hAnsi="Times New Roman"/>
          <w:sz w:val="24"/>
          <w:szCs w:val="24"/>
        </w:rPr>
        <w:t xml:space="preserve">On May 20, 2021, </w:t>
      </w:r>
      <w:r w:rsidRPr="008A3320">
        <w:rPr>
          <w:rFonts w:ascii="Times New Roman" w:hAnsi="Times New Roman"/>
          <w:sz w:val="24"/>
          <w:szCs w:val="24"/>
          <w:u w:val="single"/>
        </w:rPr>
        <w:t>In the Matter of Bernard McGoey v. Thomas P. DiNapoli, as State Comptroller</w:t>
      </w:r>
      <w:r w:rsidRPr="008A3320">
        <w:rPr>
          <w:rFonts w:ascii="Times New Roman" w:hAnsi="Times New Roman"/>
          <w:sz w:val="24"/>
          <w:szCs w:val="24"/>
        </w:rPr>
        <w:t xml:space="preserve">, </w:t>
      </w:r>
      <w:r w:rsidRPr="008A3320">
        <w:rPr>
          <w:rStyle w:val="font-weight-bold"/>
          <w:rFonts w:ascii="Times New Roman" w:hAnsi="Times New Roman"/>
          <w:sz w:val="24"/>
          <w:szCs w:val="24"/>
        </w:rPr>
        <w:t xml:space="preserve">2021 NY Slip Op 3235 (N.Y. App. Div. 2021), </w:t>
      </w:r>
      <w:r w:rsidRPr="008A3320">
        <w:rPr>
          <w:rFonts w:ascii="Times New Roman" w:hAnsi="Times New Roman"/>
          <w:sz w:val="24"/>
          <w:szCs w:val="24"/>
        </w:rPr>
        <w:t xml:space="preserve">the Appellate Division of the Supreme Court of the State of New York, held (3 to 0) that the New York State and Local Police and Fire Retirement System correctly held that the three </w:t>
      </w:r>
      <w:r>
        <w:rPr>
          <w:rFonts w:ascii="Times New Roman" w:hAnsi="Times New Roman"/>
          <w:sz w:val="24"/>
          <w:szCs w:val="24"/>
        </w:rPr>
        <w:t>incidents, including being hit by ice from building,</w:t>
      </w:r>
      <w:r w:rsidRPr="008A3320">
        <w:rPr>
          <w:rFonts w:ascii="Times New Roman" w:hAnsi="Times New Roman"/>
          <w:sz w:val="24"/>
          <w:szCs w:val="24"/>
        </w:rPr>
        <w:t xml:space="preserve"> were part of the normal risks of firefighting, and did not constitute “accidents” within the meaning of state statute, which requires proof of "a sudden, fortuitous mischance, unexpected, out of the ordinary, and injurious in impact."</w:t>
      </w:r>
      <w:r>
        <w:rPr>
          <w:rFonts w:ascii="Times New Roman" w:hAnsi="Times New Roman"/>
          <w:sz w:val="24"/>
          <w:szCs w:val="24"/>
        </w:rPr>
        <w:t xml:space="preserve">  Under NY law, if he has proven an injury from an accident, he would receive a </w:t>
      </w:r>
      <w:r w:rsidRPr="007F639D">
        <w:rPr>
          <w:rFonts w:ascii="Times New Roman" w:hAnsi="Times New Roman"/>
          <w:sz w:val="24"/>
          <w:szCs w:val="24"/>
        </w:rPr>
        <w:t xml:space="preserve">tax-free pension of 75% of their </w:t>
      </w:r>
      <w:r>
        <w:rPr>
          <w:rFonts w:ascii="Times New Roman" w:hAnsi="Times New Roman"/>
          <w:sz w:val="24"/>
          <w:szCs w:val="24"/>
        </w:rPr>
        <w:t>f</w:t>
      </w:r>
      <w:r w:rsidRPr="007F639D">
        <w:rPr>
          <w:rFonts w:ascii="Times New Roman" w:hAnsi="Times New Roman"/>
          <w:sz w:val="24"/>
          <w:szCs w:val="24"/>
        </w:rPr>
        <w:t xml:space="preserve">inal </w:t>
      </w:r>
      <w:r>
        <w:rPr>
          <w:rFonts w:ascii="Times New Roman" w:hAnsi="Times New Roman"/>
          <w:sz w:val="24"/>
          <w:szCs w:val="24"/>
        </w:rPr>
        <w:t>a</w:t>
      </w:r>
      <w:r w:rsidRPr="007F639D">
        <w:rPr>
          <w:rFonts w:ascii="Times New Roman" w:hAnsi="Times New Roman"/>
          <w:sz w:val="24"/>
          <w:szCs w:val="24"/>
        </w:rPr>
        <w:t xml:space="preserve">verage </w:t>
      </w:r>
      <w:r>
        <w:rPr>
          <w:rFonts w:ascii="Times New Roman" w:hAnsi="Times New Roman"/>
          <w:sz w:val="24"/>
          <w:szCs w:val="24"/>
        </w:rPr>
        <w:t>s</w:t>
      </w:r>
      <w:r w:rsidRPr="007F639D">
        <w:rPr>
          <w:rFonts w:ascii="Times New Roman" w:hAnsi="Times New Roman"/>
          <w:sz w:val="24"/>
          <w:szCs w:val="24"/>
        </w:rPr>
        <w:t>alary</w:t>
      </w:r>
      <w:r>
        <w:rPr>
          <w:rFonts w:ascii="Times New Roman" w:hAnsi="Times New Roman"/>
          <w:sz w:val="24"/>
          <w:szCs w:val="24"/>
        </w:rPr>
        <w:t>.</w:t>
      </w:r>
    </w:p>
    <w:p w14:paraId="0088F124" w14:textId="77777777" w:rsidR="00F27CD5" w:rsidRPr="008A3320" w:rsidRDefault="00F27CD5" w:rsidP="00F27CD5">
      <w:pPr>
        <w:pStyle w:val="NormalWeb"/>
        <w:ind w:left="360"/>
      </w:pPr>
      <w:r>
        <w:t>“</w:t>
      </w:r>
      <w:r w:rsidRPr="008A3320">
        <w:t>Petitioner does not dispute, and the record indeed establishes, that petitioner was engaged in the performance of his ordinary firefighting duties during each of the foregoing incidents. *** It also is well established that encountering smoke, water, tangled hose lines, reduced visibility and debris — as well as the corresponding threat of tripping or falling due to such conditions</w:t>
      </w:r>
      <w:r>
        <w:t xml:space="preserve"> … </w:t>
      </w:r>
      <w:r w:rsidRPr="008A3320">
        <w:t>are all risks inherent in the performance of a firefighter's duties</w:t>
      </w:r>
      <w:r>
        <w:t>….</w:t>
      </w:r>
      <w:r w:rsidRPr="008A3320">
        <w:t xml:space="preserve"> </w:t>
      </w:r>
      <w:hyperlink r:id="rId1170" w:history="1">
        <w:r w:rsidRPr="007344F4">
          <w:rPr>
            <w:rStyle w:val="Hyperlink"/>
          </w:rPr>
          <w:t>https://law.justia.com/cases/new-york/appellate-division-third-department/2021/532333.html</w:t>
        </w:r>
      </w:hyperlink>
      <w:r>
        <w:t xml:space="preserve"> </w:t>
      </w:r>
    </w:p>
    <w:p w14:paraId="13023B9A" w14:textId="77777777" w:rsidR="00F27CD5" w:rsidRPr="00E72984" w:rsidRDefault="00F27CD5" w:rsidP="00F27CD5">
      <w:pPr>
        <w:pStyle w:val="NoSpacing"/>
        <w:rPr>
          <w:rFonts w:ascii="Times New Roman" w:hAnsi="Times New Roman"/>
          <w:b/>
          <w:bCs/>
          <w:sz w:val="24"/>
          <w:szCs w:val="24"/>
        </w:rPr>
      </w:pPr>
      <w:r w:rsidRPr="00E72984">
        <w:rPr>
          <w:rFonts w:ascii="Times New Roman" w:hAnsi="Times New Roman"/>
          <w:b/>
          <w:bCs/>
          <w:sz w:val="24"/>
          <w:szCs w:val="24"/>
        </w:rPr>
        <w:t>Legal Lesson Learned:</w:t>
      </w:r>
      <w:r>
        <w:rPr>
          <w:rFonts w:ascii="Times New Roman" w:hAnsi="Times New Roman"/>
          <w:b/>
          <w:bCs/>
          <w:sz w:val="24"/>
          <w:szCs w:val="24"/>
        </w:rPr>
        <w:t xml:space="preserve"> To receive a tax-free pension of 75% of final average salary, the firefighter had to prove injury from a sudden, unexpected occurrence that was not a risk inherent in the job.   </w:t>
      </w:r>
    </w:p>
    <w:p w14:paraId="57B53B11" w14:textId="77777777" w:rsidR="00F27CD5" w:rsidRDefault="00F27CD5" w:rsidP="00F27CD5">
      <w:pPr>
        <w:pStyle w:val="NoSpacing"/>
        <w:rPr>
          <w:rFonts w:ascii="Times New Roman" w:hAnsi="Times New Roman"/>
          <w:sz w:val="24"/>
          <w:szCs w:val="24"/>
        </w:rPr>
      </w:pPr>
    </w:p>
    <w:p w14:paraId="5EA7D6E3" w14:textId="77777777" w:rsidR="00F27CD5" w:rsidRDefault="00F27CD5" w:rsidP="00F27CD5">
      <w:pPr>
        <w:pStyle w:val="NoSpacing"/>
        <w:ind w:left="720"/>
        <w:rPr>
          <w:rFonts w:ascii="Times New Roman" w:hAnsi="Times New Roman"/>
          <w:sz w:val="24"/>
          <w:szCs w:val="24"/>
        </w:rPr>
      </w:pPr>
      <w:r>
        <w:rPr>
          <w:rFonts w:ascii="Times New Roman" w:hAnsi="Times New Roman"/>
          <w:sz w:val="24"/>
          <w:szCs w:val="24"/>
        </w:rPr>
        <w:t xml:space="preserve">Note: </w:t>
      </w:r>
    </w:p>
    <w:p w14:paraId="67EBA8E4" w14:textId="77777777" w:rsidR="00F27CD5" w:rsidRDefault="00F27CD5" w:rsidP="00F27CD5">
      <w:pPr>
        <w:pStyle w:val="NoSpacing"/>
        <w:ind w:left="720"/>
        <w:rPr>
          <w:rFonts w:ascii="Times New Roman" w:hAnsi="Times New Roman"/>
          <w:sz w:val="24"/>
          <w:szCs w:val="24"/>
        </w:rPr>
      </w:pPr>
    </w:p>
    <w:p w14:paraId="56BB1848" w14:textId="77777777" w:rsidR="00F27CD5" w:rsidRPr="005F1FB2" w:rsidRDefault="00F27CD5" w:rsidP="00F27CD5">
      <w:pPr>
        <w:pStyle w:val="Heading3"/>
        <w:ind w:left="720"/>
        <w:rPr>
          <w:rFonts w:ascii="Times New Roman" w:hAnsi="Times New Roman" w:cs="Times New Roman"/>
        </w:rPr>
      </w:pPr>
      <w:r w:rsidRPr="005F1FB2">
        <w:rPr>
          <w:rFonts w:ascii="Times New Roman" w:hAnsi="Times New Roman" w:cs="Times New Roman"/>
          <w:color w:val="auto"/>
        </w:rPr>
        <w:t>See article: NEW YORK COURTS CLARIFY DEFINITION OF 'ACCIDENT' FOR DISABILITY RETIREMENT PURPOSES (Oct. 12, 2018)</w:t>
      </w:r>
      <w:r>
        <w:rPr>
          <w:rFonts w:ascii="Times New Roman" w:hAnsi="Times New Roman" w:cs="Times New Roman"/>
          <w:color w:val="auto"/>
        </w:rPr>
        <w:t xml:space="preserve">: </w:t>
      </w:r>
      <w:hyperlink r:id="rId1171" w:history="1">
        <w:r w:rsidRPr="005F1FB2">
          <w:rPr>
            <w:rStyle w:val="Hyperlink"/>
            <w:rFonts w:cs="Times New Roman"/>
          </w:rPr>
          <w:t>https://www.alexdell.com/news/79/NEW-YORK-COURTS-CLARIFY-DEFINITION-OF-ACCIDENT-FOR-DISABILITY-RETIREMENT-PURPOSES/</w:t>
        </w:r>
      </w:hyperlink>
    </w:p>
    <w:p w14:paraId="629F59BF" w14:textId="77777777" w:rsidR="00F27CD5" w:rsidRDefault="00F27CD5" w:rsidP="00F27CD5">
      <w:pPr>
        <w:pStyle w:val="NoSpacing"/>
        <w:ind w:left="720"/>
        <w:rPr>
          <w:rFonts w:ascii="Times New Roman" w:hAnsi="Times New Roman"/>
          <w:sz w:val="24"/>
          <w:szCs w:val="24"/>
        </w:rPr>
      </w:pPr>
    </w:p>
    <w:p w14:paraId="1642DB31" w14:textId="77777777" w:rsidR="00F27CD5" w:rsidRDefault="00F27CD5" w:rsidP="00F27CD5">
      <w:pPr>
        <w:pStyle w:val="NoSpacing"/>
        <w:ind w:left="1440"/>
        <w:rPr>
          <w:rFonts w:ascii="Times New Roman" w:hAnsi="Times New Roman"/>
          <w:sz w:val="24"/>
          <w:szCs w:val="24"/>
        </w:rPr>
      </w:pPr>
      <w:r>
        <w:rPr>
          <w:rFonts w:ascii="Times New Roman" w:hAnsi="Times New Roman"/>
          <w:sz w:val="24"/>
          <w:szCs w:val="24"/>
        </w:rPr>
        <w:t>“</w:t>
      </w:r>
      <w:r w:rsidRPr="007F639D">
        <w:rPr>
          <w:rFonts w:ascii="Times New Roman" w:hAnsi="Times New Roman"/>
          <w:sz w:val="24"/>
          <w:szCs w:val="24"/>
        </w:rPr>
        <w:t>In New York State, police officers and firefighters</w:t>
      </w:r>
      <w:r>
        <w:rPr>
          <w:rFonts w:ascii="Times New Roman" w:hAnsi="Times New Roman"/>
          <w:sz w:val="24"/>
          <w:szCs w:val="24"/>
        </w:rPr>
        <w:t xml:space="preserve"> </w:t>
      </w:r>
      <w:r w:rsidRPr="007F639D">
        <w:rPr>
          <w:rFonts w:ascii="Times New Roman" w:hAnsi="Times New Roman"/>
          <w:sz w:val="24"/>
          <w:szCs w:val="24"/>
        </w:rPr>
        <w:t xml:space="preserve">who are rendered permanently disabled as the result of an on-the-job </w:t>
      </w:r>
      <w:r>
        <w:rPr>
          <w:rFonts w:ascii="Times New Roman" w:hAnsi="Times New Roman"/>
          <w:sz w:val="24"/>
          <w:szCs w:val="24"/>
        </w:rPr>
        <w:t>‘</w:t>
      </w:r>
      <w:r w:rsidRPr="007F639D">
        <w:rPr>
          <w:rFonts w:ascii="Times New Roman" w:hAnsi="Times New Roman"/>
          <w:sz w:val="24"/>
          <w:szCs w:val="24"/>
        </w:rPr>
        <w:t>accident</w:t>
      </w:r>
      <w:r>
        <w:rPr>
          <w:rFonts w:ascii="Times New Roman" w:hAnsi="Times New Roman"/>
          <w:sz w:val="24"/>
          <w:szCs w:val="24"/>
        </w:rPr>
        <w:t>’</w:t>
      </w:r>
      <w:r w:rsidRPr="007F639D">
        <w:rPr>
          <w:rFonts w:ascii="Times New Roman" w:hAnsi="Times New Roman"/>
          <w:sz w:val="24"/>
          <w:szCs w:val="24"/>
        </w:rPr>
        <w:t xml:space="preserve"> are eligible to receive a tax-free pension of 75% of their Final Average Salary. To qualify, the first responder needs to demonstrate that their work injury meets the definition of an </w:t>
      </w:r>
      <w:r>
        <w:rPr>
          <w:rFonts w:ascii="Times New Roman" w:hAnsi="Times New Roman"/>
          <w:sz w:val="24"/>
          <w:szCs w:val="24"/>
        </w:rPr>
        <w:t>‘</w:t>
      </w:r>
      <w:r w:rsidRPr="007F639D">
        <w:rPr>
          <w:rFonts w:ascii="Times New Roman" w:hAnsi="Times New Roman"/>
          <w:sz w:val="24"/>
          <w:szCs w:val="24"/>
        </w:rPr>
        <w:t xml:space="preserve">accident” as defined over time by New York State courts. An </w:t>
      </w:r>
      <w:r>
        <w:rPr>
          <w:rFonts w:ascii="Times New Roman" w:hAnsi="Times New Roman"/>
          <w:sz w:val="24"/>
          <w:szCs w:val="24"/>
        </w:rPr>
        <w:t>‘</w:t>
      </w:r>
      <w:r w:rsidRPr="007F639D">
        <w:rPr>
          <w:rFonts w:ascii="Times New Roman" w:hAnsi="Times New Roman"/>
          <w:sz w:val="24"/>
          <w:szCs w:val="24"/>
        </w:rPr>
        <w:t>accident</w:t>
      </w:r>
      <w:r>
        <w:rPr>
          <w:rFonts w:ascii="Times New Roman" w:hAnsi="Times New Roman"/>
          <w:sz w:val="24"/>
          <w:szCs w:val="24"/>
        </w:rPr>
        <w:t>’</w:t>
      </w:r>
      <w:r w:rsidRPr="007F639D">
        <w:rPr>
          <w:rFonts w:ascii="Times New Roman" w:hAnsi="Times New Roman"/>
          <w:sz w:val="24"/>
          <w:szCs w:val="24"/>
        </w:rPr>
        <w:t xml:space="preserve"> is a sudden, unexpected occurrence that was not a risk inherent in the work performed. For years, this definition of an </w:t>
      </w:r>
      <w:r>
        <w:rPr>
          <w:rFonts w:ascii="Times New Roman" w:hAnsi="Times New Roman"/>
          <w:sz w:val="24"/>
          <w:szCs w:val="24"/>
        </w:rPr>
        <w:t>‘</w:t>
      </w:r>
      <w:r w:rsidRPr="007F639D">
        <w:rPr>
          <w:rFonts w:ascii="Times New Roman" w:hAnsi="Times New Roman"/>
          <w:sz w:val="24"/>
          <w:szCs w:val="24"/>
        </w:rPr>
        <w:t>accident</w:t>
      </w:r>
      <w:r>
        <w:rPr>
          <w:rFonts w:ascii="Times New Roman" w:hAnsi="Times New Roman"/>
          <w:sz w:val="24"/>
          <w:szCs w:val="24"/>
        </w:rPr>
        <w:t>’</w:t>
      </w:r>
      <w:r w:rsidRPr="007F639D">
        <w:rPr>
          <w:rFonts w:ascii="Times New Roman" w:hAnsi="Times New Roman"/>
          <w:sz w:val="24"/>
          <w:szCs w:val="24"/>
        </w:rPr>
        <w:t xml:space="preserve"> has been fraught with ambiguity and has led to inconsistent decisions, many of which involve cases where the employee was injured as the result of a misstep or fall.</w:t>
      </w:r>
      <w:r>
        <w:rPr>
          <w:rFonts w:ascii="Times New Roman" w:hAnsi="Times New Roman"/>
          <w:sz w:val="24"/>
          <w:szCs w:val="24"/>
        </w:rPr>
        <w:t xml:space="preserve"> </w:t>
      </w:r>
    </w:p>
    <w:p w14:paraId="1DDFA25F" w14:textId="77777777" w:rsidR="00F27CD5" w:rsidRDefault="00F27CD5" w:rsidP="00F27CD5">
      <w:pPr>
        <w:pStyle w:val="NoSpacing"/>
        <w:ind w:left="720"/>
        <w:rPr>
          <w:rFonts w:ascii="Times New Roman" w:hAnsi="Times New Roman"/>
          <w:sz w:val="24"/>
          <w:szCs w:val="24"/>
        </w:rPr>
      </w:pPr>
    </w:p>
    <w:p w14:paraId="2764D980" w14:textId="77777777" w:rsidR="00F27CD5" w:rsidRDefault="00F27CD5" w:rsidP="00F27CD5">
      <w:pPr>
        <w:pStyle w:val="NoSpacing"/>
        <w:ind w:left="720" w:firstLine="720"/>
        <w:rPr>
          <w:rFonts w:ascii="Times New Roman" w:hAnsi="Times New Roman"/>
          <w:sz w:val="24"/>
          <w:szCs w:val="24"/>
        </w:rPr>
      </w:pPr>
      <w:r>
        <w:rPr>
          <w:rFonts w:ascii="Times New Roman" w:hAnsi="Times New Roman"/>
          <w:sz w:val="24"/>
          <w:szCs w:val="24"/>
        </w:rPr>
        <w:t>***</w:t>
      </w:r>
    </w:p>
    <w:p w14:paraId="62F8C5CF" w14:textId="77777777" w:rsidR="00F27CD5" w:rsidRDefault="00F27CD5" w:rsidP="00F27CD5">
      <w:pPr>
        <w:pStyle w:val="NoSpacing"/>
        <w:ind w:left="1440"/>
        <w:rPr>
          <w:rFonts w:ascii="Times New Roman" w:hAnsi="Times New Roman"/>
          <w:sz w:val="24"/>
          <w:szCs w:val="24"/>
        </w:rPr>
      </w:pPr>
      <w:r w:rsidRPr="007F639D">
        <w:rPr>
          <w:rFonts w:ascii="Times New Roman" w:hAnsi="Times New Roman"/>
          <w:sz w:val="24"/>
          <w:szCs w:val="24"/>
        </w:rPr>
        <w:t xml:space="preserve">On February 13, 2018, the New York State Court of Appeals – the highest court in New York – decided two important cases involving applications for accidental disability retirement benefits. In </w:t>
      </w:r>
      <w:r w:rsidRPr="007F639D">
        <w:rPr>
          <w:rFonts w:ascii="Times New Roman" w:hAnsi="Times New Roman"/>
          <w:sz w:val="24"/>
          <w:szCs w:val="24"/>
          <w:u w:val="single"/>
        </w:rPr>
        <w:t>Kelly v. DiNapoli</w:t>
      </w:r>
      <w:r w:rsidRPr="007F639D">
        <w:rPr>
          <w:rFonts w:ascii="Times New Roman" w:hAnsi="Times New Roman"/>
          <w:sz w:val="24"/>
          <w:szCs w:val="24"/>
        </w:rPr>
        <w:t xml:space="preserve"> and </w:t>
      </w:r>
      <w:r w:rsidRPr="007F639D">
        <w:rPr>
          <w:rFonts w:ascii="Times New Roman" w:hAnsi="Times New Roman"/>
          <w:sz w:val="24"/>
          <w:szCs w:val="24"/>
          <w:u w:val="single"/>
        </w:rPr>
        <w:t>Sica v. DiNapoli</w:t>
      </w:r>
      <w:r w:rsidRPr="007F639D">
        <w:rPr>
          <w:rFonts w:ascii="Times New Roman" w:hAnsi="Times New Roman"/>
          <w:sz w:val="24"/>
          <w:szCs w:val="24"/>
        </w:rPr>
        <w:t xml:space="preserve">, the Court ruled that it would no longer require injured workers to demonstrate that they were injured as the result of a hazard that was not </w:t>
      </w:r>
      <w:r>
        <w:rPr>
          <w:rFonts w:ascii="Times New Roman" w:hAnsi="Times New Roman"/>
          <w:sz w:val="24"/>
          <w:szCs w:val="24"/>
        </w:rPr>
        <w:t>‘</w:t>
      </w:r>
      <w:r w:rsidRPr="007F639D">
        <w:rPr>
          <w:rFonts w:ascii="Times New Roman" w:hAnsi="Times New Roman"/>
          <w:sz w:val="24"/>
          <w:szCs w:val="24"/>
        </w:rPr>
        <w:t>readily observable.</w:t>
      </w:r>
      <w:r>
        <w:rPr>
          <w:rFonts w:ascii="Times New Roman" w:hAnsi="Times New Roman"/>
          <w:sz w:val="24"/>
          <w:szCs w:val="24"/>
        </w:rPr>
        <w:t>’</w:t>
      </w:r>
      <w:r w:rsidRPr="007F639D">
        <w:rPr>
          <w:rFonts w:ascii="Times New Roman" w:hAnsi="Times New Roman"/>
          <w:sz w:val="24"/>
          <w:szCs w:val="24"/>
        </w:rPr>
        <w:t xml:space="preserve"> Previously, applications for accidental disability retirement benefits were often denied simply because the hazard that caused the disabling injury was deemed </w:t>
      </w:r>
      <w:r>
        <w:rPr>
          <w:rFonts w:ascii="Times New Roman" w:hAnsi="Times New Roman"/>
          <w:sz w:val="24"/>
          <w:szCs w:val="24"/>
        </w:rPr>
        <w:t>‘</w:t>
      </w:r>
      <w:r w:rsidRPr="007F639D">
        <w:rPr>
          <w:rFonts w:ascii="Times New Roman" w:hAnsi="Times New Roman"/>
          <w:sz w:val="24"/>
          <w:szCs w:val="24"/>
        </w:rPr>
        <w:t>readily observable,</w:t>
      </w:r>
      <w:r>
        <w:rPr>
          <w:rFonts w:ascii="Times New Roman" w:hAnsi="Times New Roman"/>
          <w:sz w:val="24"/>
          <w:szCs w:val="24"/>
        </w:rPr>
        <w:t>’</w:t>
      </w:r>
      <w:r w:rsidRPr="007F639D">
        <w:rPr>
          <w:rFonts w:ascii="Times New Roman" w:hAnsi="Times New Roman"/>
          <w:sz w:val="24"/>
          <w:szCs w:val="24"/>
        </w:rPr>
        <w:t xml:space="preserve"> even if the injured worker did not actually see it at the time of their injury.</w:t>
      </w:r>
      <w:r>
        <w:rPr>
          <w:rFonts w:ascii="Times New Roman" w:hAnsi="Times New Roman"/>
          <w:sz w:val="24"/>
          <w:szCs w:val="24"/>
        </w:rPr>
        <w:t xml:space="preserve">” </w:t>
      </w:r>
    </w:p>
    <w:p w14:paraId="632BD6B7" w14:textId="77777777" w:rsidR="00F27CD5" w:rsidRDefault="00F27CD5" w:rsidP="00EF1133">
      <w:pPr>
        <w:rPr>
          <w:rFonts w:ascii="Arial Black" w:hAnsi="Arial Black"/>
          <w:b/>
          <w:sz w:val="24"/>
          <w:szCs w:val="24"/>
        </w:rPr>
      </w:pPr>
    </w:p>
    <w:p w14:paraId="0ABFE0A2" w14:textId="58AB2841" w:rsidR="00F27CD5" w:rsidRDefault="00F27CD5"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4</w:t>
      </w:r>
    </w:p>
    <w:p w14:paraId="235441FE" w14:textId="77777777" w:rsidR="00F27CD5" w:rsidRDefault="00F27CD5" w:rsidP="00F27CD5">
      <w:pPr>
        <w:pStyle w:val="NoSpacing"/>
        <w:rPr>
          <w:rFonts w:ascii="Arial Black" w:hAnsi="Arial Black"/>
          <w:sz w:val="28"/>
          <w:szCs w:val="28"/>
        </w:rPr>
      </w:pPr>
      <w:r>
        <w:rPr>
          <w:rFonts w:ascii="Arial Black" w:hAnsi="Arial Black"/>
          <w:sz w:val="28"/>
          <w:szCs w:val="28"/>
        </w:rPr>
        <w:t xml:space="preserve">NJ: FF INJURED KNEE - SLIPPED ICE AT FIRE – PRE-EXISTING ARTHRITIS - “ACCIDENTAL DISABILITY” DENIED </w:t>
      </w:r>
    </w:p>
    <w:p w14:paraId="727461B8" w14:textId="77777777" w:rsidR="00F27CD5" w:rsidRDefault="00F27CD5" w:rsidP="00F27CD5">
      <w:pPr>
        <w:pStyle w:val="NoSpacing"/>
        <w:rPr>
          <w:rStyle w:val="font-weight-bold"/>
          <w:rFonts w:ascii="Times New Roman" w:hAnsi="Times New Roman"/>
          <w:sz w:val="24"/>
          <w:szCs w:val="24"/>
        </w:rPr>
      </w:pPr>
      <w:r>
        <w:rPr>
          <w:rFonts w:ascii="Times New Roman" w:hAnsi="Times New Roman"/>
          <w:sz w:val="24"/>
          <w:szCs w:val="24"/>
        </w:rPr>
        <w:t xml:space="preserve">On May 20, 2021, in </w:t>
      </w:r>
      <w:r w:rsidRPr="00330426">
        <w:rPr>
          <w:rFonts w:ascii="Times New Roman" w:hAnsi="Times New Roman"/>
          <w:sz w:val="24"/>
          <w:szCs w:val="24"/>
          <w:u w:val="single"/>
        </w:rPr>
        <w:t xml:space="preserve">Matthew Davis v. Board of Trustees, Police </w:t>
      </w:r>
      <w:proofErr w:type="gramStart"/>
      <w:r w:rsidRPr="00330426">
        <w:rPr>
          <w:rFonts w:ascii="Times New Roman" w:hAnsi="Times New Roman"/>
          <w:sz w:val="24"/>
          <w:szCs w:val="24"/>
          <w:u w:val="single"/>
        </w:rPr>
        <w:t>And</w:t>
      </w:r>
      <w:proofErr w:type="gramEnd"/>
      <w:r w:rsidRPr="00330426">
        <w:rPr>
          <w:rFonts w:ascii="Times New Roman" w:hAnsi="Times New Roman"/>
          <w:sz w:val="24"/>
          <w:szCs w:val="24"/>
          <w:u w:val="single"/>
        </w:rPr>
        <w:t xml:space="preserve"> Firemen’s Retirement System</w:t>
      </w:r>
      <w:r>
        <w:rPr>
          <w:rFonts w:ascii="Times New Roman" w:hAnsi="Times New Roman"/>
          <w:sz w:val="24"/>
          <w:szCs w:val="24"/>
        </w:rPr>
        <w:t xml:space="preserve">, the Superior Court of New Jersey, Appellate Division, </w:t>
      </w:r>
      <w:r w:rsidRPr="00330426">
        <w:rPr>
          <w:rStyle w:val="font-weight-bold"/>
          <w:rFonts w:ascii="Times New Roman" w:hAnsi="Times New Roman"/>
          <w:sz w:val="24"/>
          <w:szCs w:val="24"/>
        </w:rPr>
        <w:t xml:space="preserve">Davis v. Bd. of </w:t>
      </w:r>
      <w:proofErr w:type="spellStart"/>
      <w:r w:rsidRPr="00330426">
        <w:rPr>
          <w:rStyle w:val="font-weight-bold"/>
          <w:rFonts w:ascii="Times New Roman" w:hAnsi="Times New Roman"/>
          <w:sz w:val="24"/>
          <w:szCs w:val="24"/>
        </w:rPr>
        <w:t>Trs</w:t>
      </w:r>
      <w:proofErr w:type="spellEnd"/>
      <w:r w:rsidRPr="00330426">
        <w:rPr>
          <w:rStyle w:val="font-weight-bold"/>
          <w:rFonts w:ascii="Times New Roman" w:hAnsi="Times New Roman"/>
          <w:sz w:val="24"/>
          <w:szCs w:val="24"/>
        </w:rPr>
        <w:t>. (N.J. Super. App. Div. 2021)</w:t>
      </w:r>
      <w:r>
        <w:rPr>
          <w:rStyle w:val="font-weight-bold"/>
          <w:rFonts w:ascii="Times New Roman" w:hAnsi="Times New Roman"/>
          <w:sz w:val="24"/>
          <w:szCs w:val="24"/>
        </w:rPr>
        <w:t xml:space="preserve">, in unpublished decision, held (3 to 0) that the firefighter was not entitled to extra “accidental” disability benefits, only ordinary disability, since the 2015 injury was caused by the arthritis and lack of stability in his right knee from the 2005 skiing accident and ACL surgery. </w:t>
      </w:r>
    </w:p>
    <w:p w14:paraId="2EA24C42" w14:textId="75D5D5BD" w:rsidR="00F27CD5" w:rsidRDefault="00F27CD5" w:rsidP="00F27CD5">
      <w:pPr>
        <w:rPr>
          <w:rFonts w:ascii="Arial Black" w:hAnsi="Arial Black"/>
          <w:b/>
          <w:sz w:val="24"/>
          <w:szCs w:val="24"/>
        </w:rPr>
      </w:pPr>
      <w:r>
        <w:rPr>
          <w:rFonts w:ascii="Times New Roman" w:eastAsia="Times New Roman" w:hAnsi="Times New Roman"/>
          <w:sz w:val="24"/>
          <w:szCs w:val="24"/>
        </w:rPr>
        <w:t>“</w:t>
      </w:r>
      <w:r w:rsidRPr="00E26351">
        <w:rPr>
          <w:rFonts w:ascii="Times New Roman" w:eastAsia="Times New Roman" w:hAnsi="Times New Roman"/>
          <w:sz w:val="24"/>
          <w:szCs w:val="24"/>
        </w:rPr>
        <w:t xml:space="preserve">The Board stated that, under </w:t>
      </w:r>
      <w:r w:rsidRPr="00E26351">
        <w:rPr>
          <w:rFonts w:ascii="Times New Roman" w:eastAsia="Times New Roman" w:hAnsi="Times New Roman"/>
          <w:sz w:val="24"/>
          <w:szCs w:val="24"/>
          <w:u w:val="single"/>
        </w:rPr>
        <w:t>Gerba v. Board of Trustees, Public Employees' Retirement System</w:t>
      </w:r>
      <w:r w:rsidRPr="00E26351">
        <w:rPr>
          <w:rFonts w:ascii="Times New Roman" w:eastAsia="Times New Roman" w:hAnsi="Times New Roman"/>
          <w:sz w:val="24"/>
          <w:szCs w:val="24"/>
        </w:rPr>
        <w:t>, 83 N.J. 174, 186 (1980), an individual does not qualify for accidental disability benefits if the disability is caused by an underlying condition, which has not been directly caused, but is only aggravated or ignited by the traumatic event. The Board concluded that the evidence showed that the 2015 incident merely aggravated or ignited Davis's long-standing pre-existing arthritis. Therefore, he is not entitled to accidental disability retirement benefits. There is sufficient credible evidence in the record to support the Board's findings.</w:t>
      </w:r>
      <w:r>
        <w:rPr>
          <w:rFonts w:ascii="Times New Roman" w:eastAsia="Times New Roman" w:hAnsi="Times New Roman"/>
          <w:sz w:val="24"/>
          <w:szCs w:val="24"/>
        </w:rPr>
        <w:t xml:space="preserve">” </w:t>
      </w:r>
      <w:hyperlink r:id="rId1172" w:history="1">
        <w:r w:rsidRPr="007344F4">
          <w:rPr>
            <w:rStyle w:val="Hyperlink"/>
            <w:sz w:val="24"/>
            <w:szCs w:val="24"/>
          </w:rPr>
          <w:t>https://njcourts.gov/attorneys/assets/opinions/appellate/unpublished/a4070-18.pdf</w:t>
        </w:r>
      </w:hyperlink>
    </w:p>
    <w:p w14:paraId="1B1FF44D" w14:textId="77777777" w:rsidR="00F27CD5" w:rsidRPr="00D96A67" w:rsidRDefault="00F27CD5" w:rsidP="00F27CD5">
      <w:pPr>
        <w:pStyle w:val="NormalWeb"/>
        <w:rPr>
          <w:b/>
          <w:bCs/>
        </w:rPr>
      </w:pPr>
      <w:r w:rsidRPr="00D96A67">
        <w:rPr>
          <w:b/>
          <w:bCs/>
        </w:rPr>
        <w:t>Legal Lesson Learned:</w:t>
      </w:r>
      <w:r>
        <w:rPr>
          <w:b/>
          <w:bCs/>
        </w:rPr>
        <w:t xml:space="preserve"> This was a classic “battle of the experts.” An agency’s decision to accept or reject an expert’s testimony will generally be upheld by Courts on appeal. </w:t>
      </w:r>
    </w:p>
    <w:p w14:paraId="508F6A6C" w14:textId="77777777" w:rsidR="00F27CD5" w:rsidRDefault="00F27CD5" w:rsidP="00EF1133">
      <w:pPr>
        <w:rPr>
          <w:rFonts w:ascii="Arial Black" w:hAnsi="Arial Black"/>
          <w:b/>
          <w:sz w:val="24"/>
          <w:szCs w:val="24"/>
        </w:rPr>
      </w:pPr>
    </w:p>
    <w:p w14:paraId="7D9A14E1" w14:textId="77777777" w:rsidR="00F27CD5" w:rsidRDefault="00F27CD5" w:rsidP="00EF1133">
      <w:pPr>
        <w:rPr>
          <w:rFonts w:ascii="Arial Black" w:hAnsi="Arial Black"/>
          <w:b/>
          <w:sz w:val="24"/>
          <w:szCs w:val="24"/>
        </w:rPr>
      </w:pPr>
    </w:p>
    <w:p w14:paraId="2BFECD75" w14:textId="05B02F13" w:rsidR="00F27CD5" w:rsidRDefault="00F27CD5"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3</w:t>
      </w:r>
    </w:p>
    <w:p w14:paraId="1B212B2D" w14:textId="77777777" w:rsidR="00F27CD5" w:rsidRDefault="00F27CD5" w:rsidP="00F27CD5">
      <w:pPr>
        <w:pStyle w:val="NoSpacing"/>
        <w:rPr>
          <w:rFonts w:ascii="Arial Black" w:hAnsi="Arial Black"/>
          <w:sz w:val="28"/>
          <w:szCs w:val="28"/>
        </w:rPr>
      </w:pPr>
      <w:r>
        <w:rPr>
          <w:rFonts w:ascii="Arial Black" w:hAnsi="Arial Black"/>
          <w:sz w:val="28"/>
          <w:szCs w:val="28"/>
        </w:rPr>
        <w:t>LA: CITY MUST PAY $1.6 BACKPAY TO CURRENT / RETIRED FF – STATE LAW REQ. “LONGEVITY” PAY AFTER 3 YEARS</w:t>
      </w:r>
    </w:p>
    <w:p w14:paraId="62822132" w14:textId="77777777" w:rsidR="00F27CD5" w:rsidRDefault="00F27CD5" w:rsidP="00F27CD5">
      <w:pPr>
        <w:pStyle w:val="text"/>
      </w:pPr>
      <w:r w:rsidRPr="001B4D08">
        <w:t xml:space="preserve">On </w:t>
      </w:r>
      <w:r>
        <w:t xml:space="preserve">May 13, 2021, in </w:t>
      </w:r>
      <w:r w:rsidRPr="001B4D08">
        <w:rPr>
          <w:u w:val="single"/>
        </w:rPr>
        <w:t>Arnold Lowther, et al. v. Town of Bastrop</w:t>
      </w:r>
      <w:r>
        <w:t xml:space="preserve">, the Supreme Court of Louisiana held (6 to 1) that the </w:t>
      </w:r>
      <w:proofErr w:type="gramStart"/>
      <w:r>
        <w:t>City</w:t>
      </w:r>
      <w:proofErr w:type="gramEnd"/>
      <w:r>
        <w:t xml:space="preserve"> must pay $1,673,805 in backpay to 32 current and former firefighters; </w:t>
      </w:r>
      <w:r w:rsidRPr="0059197A">
        <w:t xml:space="preserve">Louisiana law states that firefighters will receive longevity pay after three continuous years of service. </w:t>
      </w:r>
    </w:p>
    <w:p w14:paraId="35405411" w14:textId="77777777" w:rsidR="00F27CD5" w:rsidRDefault="00F27CD5" w:rsidP="00F27CD5">
      <w:pPr>
        <w:pStyle w:val="NormalWeb"/>
        <w:ind w:left="720"/>
      </w:pPr>
      <w:r>
        <w:t>“</w:t>
      </w:r>
      <w:r w:rsidRPr="0059197A">
        <w:t>The action requested by the Firefighters' amended petition for a writ of mandamus is the City's ministerial duty to appropriate funds necessary to satisfy the May 2019 judgment as required by La. Const. art. VI, § 14(A)(2)(e), La. R.S. 33:1992(A), La. R.S. 33:1992(B), and La. R.S. 33:1969.</w:t>
      </w:r>
      <w:bookmarkStart w:id="231" w:name="fn6"/>
      <w:r w:rsidRPr="0059197A">
        <w:rPr>
          <w:vertAlign w:val="superscript"/>
        </w:rPr>
        <w:fldChar w:fldCharType="begin"/>
      </w:r>
      <w:r w:rsidRPr="0059197A">
        <w:rPr>
          <w:vertAlign w:val="superscript"/>
        </w:rPr>
        <w:instrText xml:space="preserve"> HYPERLINK "https://public.fastcase.com/" \l "fr6" </w:instrText>
      </w:r>
      <w:r w:rsidRPr="0059197A">
        <w:rPr>
          <w:vertAlign w:val="superscript"/>
        </w:rPr>
      </w:r>
      <w:r w:rsidRPr="0059197A">
        <w:rPr>
          <w:vertAlign w:val="superscript"/>
        </w:rPr>
        <w:fldChar w:fldCharType="separate"/>
      </w:r>
      <w:r w:rsidRPr="0059197A">
        <w:rPr>
          <w:rStyle w:val="Hyperlink"/>
          <w:vertAlign w:val="superscript"/>
        </w:rPr>
        <w:t>6</w:t>
      </w:r>
      <w:r w:rsidRPr="0059197A">
        <w:rPr>
          <w:vertAlign w:val="superscript"/>
        </w:rPr>
        <w:fldChar w:fldCharType="end"/>
      </w:r>
      <w:bookmarkEnd w:id="231"/>
      <w:r w:rsidRPr="0059197A">
        <w:t xml:space="preserve"> Accordingly, we find the Firefighters' allegations that the City has failed to perform this duty state a valid cause of action.</w:t>
      </w:r>
      <w:r>
        <w:t xml:space="preserve">” </w:t>
      </w:r>
      <w:hyperlink r:id="rId1173" w:history="1">
        <w:r w:rsidRPr="00416E6F">
          <w:rPr>
            <w:rStyle w:val="Hyperlink"/>
          </w:rPr>
          <w:t>https://www.lasc.org/Opinions/2021/20-1231.C.OPN.pdf</w:t>
        </w:r>
      </w:hyperlink>
      <w:r>
        <w:t xml:space="preserve"> </w:t>
      </w:r>
    </w:p>
    <w:p w14:paraId="19602926" w14:textId="77777777" w:rsidR="00F27CD5" w:rsidRDefault="00F27CD5" w:rsidP="00F27CD5">
      <w:pPr>
        <w:spacing w:before="100" w:beforeAutospacing="1" w:after="100" w:afterAutospacing="1"/>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court-ordered </w:t>
      </w:r>
      <w:proofErr w:type="gramStart"/>
      <w:r>
        <w:rPr>
          <w:rFonts w:ascii="Times New Roman" w:eastAsia="Times New Roman" w:hAnsi="Times New Roman"/>
          <w:b/>
          <w:bCs/>
          <w:sz w:val="24"/>
          <w:szCs w:val="24"/>
        </w:rPr>
        <w:t>back pay</w:t>
      </w:r>
      <w:proofErr w:type="gramEnd"/>
      <w:r>
        <w:rPr>
          <w:rFonts w:ascii="Times New Roman" w:eastAsia="Times New Roman" w:hAnsi="Times New Roman"/>
          <w:b/>
          <w:bCs/>
          <w:sz w:val="24"/>
          <w:szCs w:val="24"/>
        </w:rPr>
        <w:t xml:space="preserve"> award must be honored.</w:t>
      </w:r>
    </w:p>
    <w:p w14:paraId="1917693B" w14:textId="77777777" w:rsidR="00F27CD5" w:rsidRDefault="00F27CD5" w:rsidP="00F27CD5">
      <w:pPr>
        <w:pStyle w:val="text"/>
        <w:ind w:left="720"/>
      </w:pPr>
      <w:r>
        <w:t xml:space="preserve">Note: On March 20, 2021, the City held a special election and citizens voted for a 1.4 mil property tax to pay the judgment. </w:t>
      </w:r>
      <w:hyperlink r:id="rId1174" w:history="1">
        <w:r w:rsidRPr="00416E6F">
          <w:rPr>
            <w:rStyle w:val="Hyperlink"/>
          </w:rPr>
          <w:t>https://www.knoe.com/2021/03/21/bastrop-passes-14-million-property-tax/</w:t>
        </w:r>
      </w:hyperlink>
      <w:r>
        <w:t xml:space="preserve"> </w:t>
      </w:r>
    </w:p>
    <w:p w14:paraId="322CBF6C" w14:textId="77777777" w:rsidR="00F27CD5" w:rsidRDefault="00F27CD5" w:rsidP="00F27CD5">
      <w:pPr>
        <w:spacing w:before="100" w:beforeAutospacing="1" w:after="100" w:afterAutospacing="1"/>
        <w:ind w:left="720"/>
      </w:pPr>
      <w:r>
        <w:rPr>
          <w:rFonts w:ascii="Times New Roman" w:eastAsia="Times New Roman" w:hAnsi="Times New Roman"/>
          <w:sz w:val="24"/>
          <w:szCs w:val="24"/>
        </w:rPr>
        <w:t xml:space="preserve">See also: </w:t>
      </w:r>
      <w:r w:rsidRPr="00E42885">
        <w:rPr>
          <w:rFonts w:ascii="Times New Roman" w:eastAsia="Times New Roman" w:hAnsi="Times New Roman"/>
          <w:sz w:val="24"/>
          <w:szCs w:val="24"/>
        </w:rPr>
        <w:t xml:space="preserve">May 6, 2019: </w:t>
      </w:r>
      <w:r>
        <w:rPr>
          <w:rFonts w:ascii="Times New Roman" w:eastAsia="Times New Roman" w:hAnsi="Times New Roman"/>
          <w:sz w:val="24"/>
          <w:szCs w:val="24"/>
        </w:rPr>
        <w:t>“</w:t>
      </w:r>
      <w:r w:rsidRPr="00E42885">
        <w:rPr>
          <w:rFonts w:ascii="Times New Roman" w:hAnsi="Times New Roman"/>
          <w:sz w:val="24"/>
          <w:szCs w:val="24"/>
        </w:rPr>
        <w:t>Bastrop ordered to pay more than $1.6 million to firemen after lawsuit</w:t>
      </w:r>
      <w:r>
        <w:rPr>
          <w:rFonts w:ascii="Times New Roman" w:hAnsi="Times New Roman"/>
          <w:sz w:val="24"/>
          <w:szCs w:val="24"/>
        </w:rPr>
        <w:t xml:space="preserve">.” </w:t>
      </w:r>
      <w:hyperlink r:id="rId1175" w:history="1">
        <w:r w:rsidRPr="00416E6F">
          <w:rPr>
            <w:rStyle w:val="Hyperlink"/>
          </w:rPr>
          <w:t>https://www.knoe.com/content/news/Bastrop-ordered-to-pay-more-than-16-million-to-firemen-after-lawsuit-509570521.html</w:t>
        </w:r>
      </w:hyperlink>
    </w:p>
    <w:p w14:paraId="0EDEF9C8" w14:textId="79B8548B" w:rsidR="00F27CD5" w:rsidRDefault="00F27CD5" w:rsidP="00F27CD5">
      <w:pPr>
        <w:ind w:left="720"/>
        <w:rPr>
          <w:rFonts w:ascii="Arial Black" w:hAnsi="Arial Black"/>
          <w:b/>
          <w:sz w:val="24"/>
          <w:szCs w:val="24"/>
        </w:rPr>
      </w:pPr>
      <w:r w:rsidRPr="001F5FAA">
        <w:rPr>
          <w:rFonts w:ascii="Times New Roman" w:hAnsi="Times New Roman"/>
          <w:sz w:val="24"/>
          <w:szCs w:val="24"/>
        </w:rPr>
        <w:t xml:space="preserve">April 22, 2019: TV </w:t>
      </w:r>
      <w:r>
        <w:rPr>
          <w:rFonts w:ascii="Times New Roman" w:hAnsi="Times New Roman"/>
          <w:sz w:val="24"/>
          <w:szCs w:val="24"/>
        </w:rPr>
        <w:t>v</w:t>
      </w:r>
      <w:r w:rsidRPr="001F5FAA">
        <w:rPr>
          <w:rFonts w:ascii="Times New Roman" w:hAnsi="Times New Roman"/>
          <w:sz w:val="24"/>
          <w:szCs w:val="24"/>
        </w:rPr>
        <w:t>ideo</w:t>
      </w:r>
      <w:r>
        <w:rPr>
          <w:rFonts w:ascii="Times New Roman" w:hAnsi="Times New Roman"/>
          <w:sz w:val="24"/>
          <w:szCs w:val="24"/>
        </w:rPr>
        <w:t xml:space="preserve"> interview current Mayor</w:t>
      </w:r>
      <w:r w:rsidRPr="001F5FAA">
        <w:rPr>
          <w:rFonts w:ascii="Times New Roman" w:hAnsi="Times New Roman"/>
          <w:sz w:val="24"/>
          <w:szCs w:val="24"/>
        </w:rPr>
        <w:t xml:space="preserve">, “Bastrop firefighters fighting for their pay, the mayor says they deserve it.” : </w:t>
      </w:r>
      <w:hyperlink r:id="rId1176" w:history="1">
        <w:r w:rsidRPr="001F5FAA">
          <w:rPr>
            <w:rStyle w:val="Hyperlink"/>
            <w:sz w:val="24"/>
            <w:szCs w:val="24"/>
          </w:rPr>
          <w:t>https://www.myarklamiss.com/news/local-news/bastrop-firefighters-fighting-for-their-pay-the-mayor-says-they-deserve-it/</w:t>
        </w:r>
      </w:hyperlink>
    </w:p>
    <w:p w14:paraId="1311D0E7" w14:textId="77777777" w:rsidR="00F27CD5" w:rsidRDefault="00F27CD5" w:rsidP="00EF1133">
      <w:pPr>
        <w:rPr>
          <w:rFonts w:ascii="Arial Black" w:hAnsi="Arial Black"/>
          <w:b/>
          <w:sz w:val="24"/>
          <w:szCs w:val="24"/>
        </w:rPr>
      </w:pPr>
    </w:p>
    <w:p w14:paraId="6B591346" w14:textId="7C30A5CE" w:rsidR="00BD263B" w:rsidRDefault="00BD263B"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2</w:t>
      </w:r>
    </w:p>
    <w:p w14:paraId="3E678A48" w14:textId="77777777" w:rsidR="00BD263B" w:rsidRPr="007A4A18" w:rsidRDefault="00BD263B" w:rsidP="00BD263B">
      <w:pPr>
        <w:pStyle w:val="Heading1"/>
        <w:rPr>
          <w:rFonts w:ascii="Arial Black" w:hAnsi="Arial Black"/>
          <w:b w:val="0"/>
          <w:bCs w:val="0"/>
          <w:sz w:val="28"/>
          <w:szCs w:val="28"/>
        </w:rPr>
      </w:pPr>
      <w:bookmarkStart w:id="232" w:name="_Hlk81842110"/>
      <w:r>
        <w:rPr>
          <w:rFonts w:ascii="Arial Black" w:hAnsi="Arial Black"/>
          <w:b w:val="0"/>
          <w:bCs w:val="0"/>
          <w:sz w:val="28"/>
          <w:szCs w:val="28"/>
        </w:rPr>
        <w:t>MD: BALTIMORE – PENSION 20 YEARS TO 25 YEARS – COLA – BUT CITY MUST PAY $31 MILLION PRIOR RETIREES</w:t>
      </w:r>
    </w:p>
    <w:bookmarkEnd w:id="232"/>
    <w:p w14:paraId="2530D116" w14:textId="77777777" w:rsidR="00BD263B" w:rsidRPr="000A6C3C" w:rsidRDefault="00BD263B" w:rsidP="00BD263B">
      <w:pPr>
        <w:pStyle w:val="Heading1"/>
        <w:rPr>
          <w:rStyle w:val="markedcontent"/>
          <w:b w:val="0"/>
          <w:bCs w:val="0"/>
          <w:sz w:val="24"/>
          <w:szCs w:val="24"/>
        </w:rPr>
      </w:pPr>
      <w:r>
        <w:rPr>
          <w:b w:val="0"/>
          <w:bCs w:val="0"/>
          <w:sz w:val="24"/>
          <w:szCs w:val="24"/>
        </w:rPr>
        <w:t xml:space="preserve">On Aug. 16, 2021, in </w:t>
      </w:r>
      <w:r w:rsidRPr="001A7E4B">
        <w:rPr>
          <w:b w:val="0"/>
          <w:bCs w:val="0"/>
          <w:sz w:val="24"/>
          <w:szCs w:val="24"/>
          <w:u w:val="single"/>
        </w:rPr>
        <w:t>Robert F. Cherry, Jr. et al. v. Mayor and City Council of Baltimore City</w:t>
      </w:r>
      <w:r>
        <w:rPr>
          <w:b w:val="0"/>
          <w:bCs w:val="0"/>
          <w:sz w:val="24"/>
          <w:szCs w:val="24"/>
        </w:rPr>
        <w:t>, the Court of Appeals of Maryland, held (7 to 0) in a class action that the city made “</w:t>
      </w:r>
      <w:r w:rsidRPr="001A7E4B">
        <w:rPr>
          <w:rStyle w:val="markedcontent"/>
          <w:b w:val="0"/>
          <w:bCs w:val="0"/>
          <w:sz w:val="24"/>
          <w:szCs w:val="24"/>
        </w:rPr>
        <w:t>reasonable and necessary prospective change</w:t>
      </w:r>
      <w:r>
        <w:rPr>
          <w:rStyle w:val="markedcontent"/>
          <w:b w:val="0"/>
          <w:bCs w:val="0"/>
          <w:sz w:val="24"/>
          <w:szCs w:val="24"/>
        </w:rPr>
        <w:t xml:space="preserve">s” to protect the retirement plan for current firefighters and police officers.  </w:t>
      </w:r>
      <w:r w:rsidRPr="001A7E4B">
        <w:rPr>
          <w:rStyle w:val="markedcontent"/>
          <w:b w:val="0"/>
          <w:bCs w:val="0"/>
          <w:sz w:val="24"/>
          <w:szCs w:val="24"/>
        </w:rPr>
        <w:t>“Most notably, it replaced a variable post-retirement cost-of-living adjustment that was based entirely on the investment performance of Plan assets with a guaranteed, tiered cost-of-living adjustment that is not market-driven.</w:t>
      </w:r>
      <w:r>
        <w:rPr>
          <w:rStyle w:val="markedcontent"/>
          <w:b w:val="0"/>
          <w:bCs w:val="0"/>
          <w:sz w:val="24"/>
          <w:szCs w:val="24"/>
        </w:rPr>
        <w:t xml:space="preserve">”  Service time was also expanded. </w:t>
      </w:r>
    </w:p>
    <w:p w14:paraId="5CD2062B" w14:textId="77777777" w:rsidR="00BD263B" w:rsidRDefault="00BD263B" w:rsidP="00BD263B">
      <w:pPr>
        <w:pStyle w:val="Heading1"/>
        <w:ind w:left="720"/>
        <w:rPr>
          <w:rStyle w:val="markedcontent"/>
          <w:b w:val="0"/>
          <w:bCs w:val="0"/>
          <w:sz w:val="24"/>
          <w:szCs w:val="24"/>
        </w:rPr>
      </w:pPr>
      <w:r>
        <w:rPr>
          <w:rStyle w:val="markedcontent"/>
          <w:b w:val="0"/>
          <w:bCs w:val="0"/>
          <w:sz w:val="24"/>
          <w:szCs w:val="24"/>
        </w:rPr>
        <w:t>“</w:t>
      </w:r>
      <w:r w:rsidRPr="001A7E4B">
        <w:rPr>
          <w:rStyle w:val="markedcontent"/>
          <w:b w:val="0"/>
          <w:bCs w:val="0"/>
          <w:sz w:val="24"/>
          <w:szCs w:val="24"/>
        </w:rPr>
        <w:t xml:space="preserve">Over the course of time, governing bodies of large cities face many challenges. One </w:t>
      </w:r>
      <w:r w:rsidRPr="001A7E4B">
        <w:rPr>
          <w:b w:val="0"/>
          <w:bCs w:val="0"/>
          <w:sz w:val="24"/>
          <w:szCs w:val="24"/>
        </w:rPr>
        <w:br/>
      </w:r>
      <w:r w:rsidRPr="001A7E4B">
        <w:rPr>
          <w:rStyle w:val="markedcontent"/>
          <w:b w:val="0"/>
          <w:bCs w:val="0"/>
          <w:sz w:val="24"/>
          <w:szCs w:val="24"/>
        </w:rPr>
        <w:t>such challenge that some cities and other local governments may confront is how to change a public pension plan that is actuarially unsound. Often, the public employees who participate in these plans are represented by unions that register legitimate objections to proposed modifications. Taking such action in the face of opposition by public employees can be difficult politically. The challenge is magnified when the city is in dire financial straits. In such a situation, the city may have to choose between the lesser of two evils: change the plan without the consent, and to the consternation, of employees who have devoted their careers to public service; or keep the plan as is and put the city deeper into debt, perhaps even risking financial ruin. In 2010, Baltimore City faced this choice.</w:t>
      </w:r>
    </w:p>
    <w:p w14:paraId="00437CE9" w14:textId="77777777" w:rsidR="00BD263B" w:rsidRDefault="00BD263B" w:rsidP="00BD263B">
      <w:pPr>
        <w:rPr>
          <w:rFonts w:ascii="Arial Black" w:hAnsi="Arial Black"/>
          <w:b/>
          <w:sz w:val="24"/>
          <w:szCs w:val="24"/>
        </w:rPr>
      </w:pPr>
      <w:r w:rsidRPr="001A7E4B">
        <w:rPr>
          <w:rStyle w:val="markedcontent"/>
          <w:sz w:val="24"/>
          <w:szCs w:val="24"/>
        </w:rPr>
        <w:t xml:space="preserve">The record makes clear that the </w:t>
      </w:r>
      <w:proofErr w:type="gramStart"/>
      <w:r w:rsidRPr="001A7E4B">
        <w:rPr>
          <w:rStyle w:val="markedcontent"/>
          <w:sz w:val="24"/>
          <w:szCs w:val="24"/>
        </w:rPr>
        <w:t>City</w:t>
      </w:r>
      <w:proofErr w:type="gramEnd"/>
      <w:r w:rsidRPr="001A7E4B">
        <w:rPr>
          <w:rStyle w:val="markedcontent"/>
          <w:sz w:val="24"/>
          <w:szCs w:val="24"/>
        </w:rPr>
        <w:t xml:space="preserve"> took no pleasure in modifying the Plan with </w:t>
      </w:r>
      <w:r w:rsidRPr="001A7E4B">
        <w:rPr>
          <w:sz w:val="24"/>
          <w:szCs w:val="24"/>
        </w:rPr>
        <w:br/>
      </w:r>
      <w:r w:rsidRPr="001A7E4B">
        <w:rPr>
          <w:rStyle w:val="markedcontent"/>
          <w:sz w:val="24"/>
          <w:szCs w:val="24"/>
        </w:rPr>
        <w:t xml:space="preserve">the enactment of Ordinance 10-306. The City was faced with a lose-lose proposition: either change the terms of the Plan and incur the wrath of its </w:t>
      </w:r>
      <w:proofErr w:type="gramStart"/>
      <w:r w:rsidRPr="001A7E4B">
        <w:rPr>
          <w:rStyle w:val="markedcontent"/>
          <w:sz w:val="24"/>
          <w:szCs w:val="24"/>
        </w:rPr>
        <w:t>members, or</w:t>
      </w:r>
      <w:proofErr w:type="gramEnd"/>
      <w:r w:rsidRPr="001A7E4B">
        <w:rPr>
          <w:rStyle w:val="markedcontent"/>
          <w:sz w:val="24"/>
          <w:szCs w:val="24"/>
        </w:rPr>
        <w:t xml:space="preserve"> allow the unsustainable Plan eventually to consume itself from within, harming the Plan members and all City residents. The </w:t>
      </w:r>
      <w:proofErr w:type="gramStart"/>
      <w:r w:rsidRPr="001A7E4B">
        <w:rPr>
          <w:rStyle w:val="markedcontent"/>
          <w:sz w:val="24"/>
          <w:szCs w:val="24"/>
        </w:rPr>
        <w:t>City</w:t>
      </w:r>
      <w:proofErr w:type="gramEnd"/>
      <w:r w:rsidRPr="001A7E4B">
        <w:rPr>
          <w:rStyle w:val="markedcontent"/>
          <w:sz w:val="24"/>
          <w:szCs w:val="24"/>
        </w:rPr>
        <w:t xml:space="preserve"> opted for the former approach. As to the Active Sub-class, Ordinance 10-306’s changes made reasonable and necessary prospective changes. Thus, the City did not breach its contract with the Active Sub-class. However, the Ordinance retrospectively divested Retired and Retirement-Eligible members of the benefits they had earned by reaching Service Retirement eligibility. The City breached its contract with those Sub-classes and is liable for damages to the members as calculated and ordered by the circuit </w:t>
      </w:r>
      <w:proofErr w:type="gramStart"/>
      <w:r w:rsidRPr="001A7E4B">
        <w:rPr>
          <w:rStyle w:val="markedcontent"/>
          <w:sz w:val="24"/>
          <w:szCs w:val="24"/>
        </w:rPr>
        <w:t>court.</w:t>
      </w:r>
      <w:r>
        <w:rPr>
          <w:rStyle w:val="markedcontent"/>
          <w:sz w:val="24"/>
          <w:szCs w:val="24"/>
        </w:rPr>
        <w:t>”</w:t>
      </w:r>
      <w:proofErr w:type="gramEnd"/>
      <w:r>
        <w:rPr>
          <w:rStyle w:val="markedcontent"/>
          <w:sz w:val="24"/>
          <w:szCs w:val="24"/>
        </w:rPr>
        <w:t xml:space="preserve"> </w:t>
      </w:r>
      <w:hyperlink r:id="rId1177" w:history="1">
        <w:r w:rsidRPr="00EE73D5">
          <w:rPr>
            <w:rStyle w:val="Hyperlink"/>
            <w:sz w:val="24"/>
            <w:szCs w:val="24"/>
          </w:rPr>
          <w:t>https://www.courts.state.md.us/data/opinions/coa/2021/36a20.pdf</w:t>
        </w:r>
      </w:hyperlink>
    </w:p>
    <w:p w14:paraId="2A178C2E" w14:textId="77777777" w:rsidR="00BD263B" w:rsidRPr="007B0E98" w:rsidRDefault="00BD263B" w:rsidP="00BD263B">
      <w:pPr>
        <w:pStyle w:val="NormalWeb"/>
        <w:tabs>
          <w:tab w:val="left" w:pos="2890"/>
        </w:tabs>
        <w:rPr>
          <w:b/>
          <w:bCs/>
        </w:rPr>
      </w:pPr>
      <w:r w:rsidRPr="007B0E98">
        <w:rPr>
          <w:rStyle w:val="markedcontent"/>
          <w:b/>
          <w:bCs/>
        </w:rPr>
        <w:t>Legal Lesson Learned</w:t>
      </w:r>
      <w:r>
        <w:rPr>
          <w:rStyle w:val="markedcontent"/>
          <w:b/>
          <w:bCs/>
        </w:rPr>
        <w:t xml:space="preserve">: Changing retirement plans can be painful and impact morale of current </w:t>
      </w:r>
      <w:proofErr w:type="gramStart"/>
      <w:r>
        <w:rPr>
          <w:rStyle w:val="markedcontent"/>
          <w:b/>
          <w:bCs/>
        </w:rPr>
        <w:t>employees, but</w:t>
      </w:r>
      <w:proofErr w:type="gramEnd"/>
      <w:r>
        <w:rPr>
          <w:rStyle w:val="markedcontent"/>
          <w:b/>
          <w:bCs/>
        </w:rPr>
        <w:t xml:space="preserve"> may be lawful under state laws. </w:t>
      </w:r>
    </w:p>
    <w:p w14:paraId="64697FF3" w14:textId="77777777" w:rsidR="00BD263B" w:rsidRPr="007B0E98" w:rsidRDefault="00BD263B" w:rsidP="00BD263B">
      <w:pPr>
        <w:pStyle w:val="Heading1"/>
        <w:ind w:left="720"/>
        <w:rPr>
          <w:b w:val="0"/>
          <w:sz w:val="24"/>
          <w:szCs w:val="24"/>
        </w:rPr>
      </w:pPr>
      <w:r w:rsidRPr="007B0E98">
        <w:rPr>
          <w:b w:val="0"/>
          <w:sz w:val="24"/>
          <w:szCs w:val="24"/>
        </w:rPr>
        <w:t xml:space="preserve">Note: See Aug. 16, </w:t>
      </w:r>
      <w:proofErr w:type="gramStart"/>
      <w:r w:rsidRPr="007B0E98">
        <w:rPr>
          <w:b w:val="0"/>
          <w:sz w:val="24"/>
          <w:szCs w:val="24"/>
        </w:rPr>
        <w:t>2021</w:t>
      </w:r>
      <w:proofErr w:type="gramEnd"/>
      <w:r w:rsidRPr="007B0E98">
        <w:rPr>
          <w:b w:val="0"/>
          <w:sz w:val="24"/>
          <w:szCs w:val="24"/>
        </w:rPr>
        <w:t xml:space="preserve"> article, “Baltimore police and fire unions frustrated by appeals court ruling upholding city’s right to raise retirement age.” </w:t>
      </w:r>
      <w:hyperlink r:id="rId1178" w:history="1">
        <w:r w:rsidRPr="007B0E98">
          <w:rPr>
            <w:rStyle w:val="Hyperlink"/>
            <w:sz w:val="24"/>
            <w:szCs w:val="24"/>
          </w:rPr>
          <w:t>https://www.baltimoresun.com/maryland/baltimore-city/bs-md-ci-lawsuit-opinion-20210817-vlhba6nhe5dnfayycibxat2sli-story.html</w:t>
        </w:r>
      </w:hyperlink>
      <w:r w:rsidRPr="007B0E98">
        <w:rPr>
          <w:b w:val="0"/>
          <w:sz w:val="24"/>
          <w:szCs w:val="24"/>
        </w:rPr>
        <w:t xml:space="preserve">  </w:t>
      </w:r>
    </w:p>
    <w:p w14:paraId="3E5E72CE" w14:textId="77777777" w:rsidR="00BD263B" w:rsidRPr="007B0E98" w:rsidRDefault="00BD263B" w:rsidP="00BD263B">
      <w:pPr>
        <w:pStyle w:val="NormalWeb"/>
        <w:ind w:left="720"/>
        <w:rPr>
          <w:bCs/>
        </w:rPr>
      </w:pPr>
      <w:r>
        <w:t xml:space="preserve">“The Court of Appeals ruling affirmed the lower court’s computation of $31 million in damages to retirees who had already earned their pensions…. The lawsuit came after the city, facing a staggering budget shortfall following the 2008 financial crises, changed its pension plan to require police and firefighters to serve 25 years instead of 20 </w:t>
      </w:r>
      <w:proofErr w:type="gramStart"/>
      <w:r>
        <w:t>in order to</w:t>
      </w:r>
      <w:proofErr w:type="gramEnd"/>
      <w:r>
        <w:t xml:space="preserve"> retire and get benefits.”</w:t>
      </w:r>
    </w:p>
    <w:p w14:paraId="2388490F" w14:textId="77777777" w:rsidR="00BD263B" w:rsidRDefault="00BD263B" w:rsidP="00EF1133">
      <w:pPr>
        <w:rPr>
          <w:rFonts w:ascii="Arial Black" w:hAnsi="Arial Black"/>
          <w:b/>
          <w:sz w:val="24"/>
          <w:szCs w:val="24"/>
        </w:rPr>
      </w:pPr>
    </w:p>
    <w:p w14:paraId="01930713" w14:textId="0CE5ADAE" w:rsidR="0077274E" w:rsidRDefault="0077274E"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1</w:t>
      </w:r>
    </w:p>
    <w:p w14:paraId="771AB435" w14:textId="77777777" w:rsidR="0077274E" w:rsidRPr="000A707F" w:rsidRDefault="0077274E" w:rsidP="0077274E">
      <w:pPr>
        <w:rPr>
          <w:rFonts w:ascii="Arial Black" w:hAnsi="Arial Black"/>
          <w:sz w:val="28"/>
          <w:szCs w:val="28"/>
        </w:rPr>
      </w:pPr>
      <w:r>
        <w:rPr>
          <w:rFonts w:ascii="Arial Black" w:hAnsi="Arial Black"/>
          <w:sz w:val="28"/>
          <w:szCs w:val="28"/>
        </w:rPr>
        <w:t>OH: PROMOTION EXAM CAPTAIN – “DISTRACTED, BORED, SLEEPING” EVALUATORS – BUT NO RIGHT TO PROMOTION</w:t>
      </w:r>
    </w:p>
    <w:p w14:paraId="56805AA0" w14:textId="77777777" w:rsidR="0077274E" w:rsidRDefault="0077274E" w:rsidP="0077274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April 14, 2021, in </w:t>
      </w:r>
      <w:r w:rsidRPr="000A707F">
        <w:rPr>
          <w:rFonts w:ascii="Times New Roman" w:hAnsi="Times New Roman"/>
          <w:sz w:val="24"/>
          <w:szCs w:val="24"/>
          <w:u w:val="single"/>
        </w:rPr>
        <w:t>State of Ohio, Ex Rel. Jeffrey Neal v. City of Cincinnati</w:t>
      </w:r>
      <w:r>
        <w:rPr>
          <w:rFonts w:ascii="Times New Roman" w:hAnsi="Times New Roman"/>
          <w:sz w:val="24"/>
          <w:szCs w:val="24"/>
        </w:rPr>
        <w:t xml:space="preserve">, the Ohio Court of Appeals, First Appellate District (Hamilton County) held (3 to 0) that the trial court improperly ordered the City to promote Lt. Neal, Cincinnati Fire Department.   Even if the testing process was flawed in the oral portions (tactical and interview portions} by distracted evaluators, he failed to show a “clear legal right” to the promotion.  In addition, he scored </w:t>
      </w:r>
      <w:r w:rsidRPr="006A44A9">
        <w:rPr>
          <w:rFonts w:ascii="Times New Roman" w:hAnsi="Times New Roman"/>
          <w:sz w:val="24"/>
          <w:szCs w:val="24"/>
        </w:rPr>
        <w:t>42</w:t>
      </w:r>
      <w:r w:rsidRPr="006A44A9">
        <w:rPr>
          <w:rFonts w:ascii="Times New Roman" w:hAnsi="Times New Roman"/>
          <w:sz w:val="24"/>
          <w:szCs w:val="24"/>
          <w:vertAlign w:val="superscript"/>
        </w:rPr>
        <w:t>nd</w:t>
      </w:r>
      <w:r>
        <w:rPr>
          <w:rFonts w:ascii="Times New Roman" w:hAnsi="Times New Roman"/>
          <w:sz w:val="24"/>
          <w:szCs w:val="24"/>
        </w:rPr>
        <w:t xml:space="preserve"> </w:t>
      </w:r>
      <w:r w:rsidRPr="006A44A9">
        <w:rPr>
          <w:rFonts w:ascii="Times New Roman" w:hAnsi="Times New Roman"/>
          <w:sz w:val="24"/>
          <w:szCs w:val="24"/>
        </w:rPr>
        <w:t>out of 54</w:t>
      </w:r>
      <w:r>
        <w:rPr>
          <w:rFonts w:ascii="Times New Roman" w:hAnsi="Times New Roman"/>
          <w:sz w:val="24"/>
          <w:szCs w:val="24"/>
        </w:rPr>
        <w:t xml:space="preserve"> </w:t>
      </w:r>
      <w:r w:rsidRPr="006A44A9">
        <w:rPr>
          <w:rFonts w:ascii="Times New Roman" w:hAnsi="Times New Roman"/>
          <w:sz w:val="24"/>
          <w:szCs w:val="24"/>
        </w:rPr>
        <w:t xml:space="preserve">applicants, with only the top 25 qualifying for promotion. </w:t>
      </w:r>
    </w:p>
    <w:p w14:paraId="15219241" w14:textId="77777777" w:rsidR="0077274E" w:rsidRDefault="0077274E" w:rsidP="0077274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C76A19">
        <w:rPr>
          <w:rFonts w:ascii="Times New Roman" w:hAnsi="Times New Roman"/>
          <w:sz w:val="24"/>
          <w:szCs w:val="24"/>
        </w:rPr>
        <w:t>Lt.</w:t>
      </w:r>
      <w:r>
        <w:rPr>
          <w:rFonts w:ascii="Times New Roman" w:hAnsi="Times New Roman"/>
          <w:sz w:val="24"/>
          <w:szCs w:val="24"/>
        </w:rPr>
        <w:t xml:space="preserve"> </w:t>
      </w:r>
      <w:r w:rsidRPr="00C76A19">
        <w:rPr>
          <w:rFonts w:ascii="Times New Roman" w:hAnsi="Times New Roman"/>
          <w:sz w:val="24"/>
          <w:szCs w:val="24"/>
        </w:rPr>
        <w:t>Neal disputed</w:t>
      </w:r>
      <w:r>
        <w:rPr>
          <w:rFonts w:ascii="Times New Roman" w:hAnsi="Times New Roman"/>
          <w:sz w:val="24"/>
          <w:szCs w:val="24"/>
        </w:rPr>
        <w:t xml:space="preserve"> </w:t>
      </w:r>
      <w:r w:rsidRPr="00C76A19">
        <w:rPr>
          <w:rFonts w:ascii="Times New Roman" w:hAnsi="Times New Roman"/>
          <w:sz w:val="24"/>
          <w:szCs w:val="24"/>
        </w:rPr>
        <w:t>his exam results, specifically challenging the administration of the tactical and interview portions. These portions of the exam involved, among other things, Lt.</w:t>
      </w:r>
      <w:r>
        <w:rPr>
          <w:rFonts w:ascii="Times New Roman" w:hAnsi="Times New Roman"/>
          <w:sz w:val="24"/>
          <w:szCs w:val="24"/>
        </w:rPr>
        <w:t xml:space="preserve"> </w:t>
      </w:r>
      <w:r w:rsidRPr="00C76A19">
        <w:rPr>
          <w:rFonts w:ascii="Times New Roman" w:hAnsi="Times New Roman"/>
          <w:sz w:val="24"/>
          <w:szCs w:val="24"/>
        </w:rPr>
        <w:t>Neal orally responding to questions posed by assessors. He alleged that the interruptions</w:t>
      </w:r>
      <w:r>
        <w:rPr>
          <w:rFonts w:ascii="Times New Roman" w:hAnsi="Times New Roman"/>
          <w:sz w:val="24"/>
          <w:szCs w:val="24"/>
        </w:rPr>
        <w:t xml:space="preserve"> </w:t>
      </w:r>
      <w:r w:rsidRPr="00C76A19">
        <w:rPr>
          <w:rFonts w:ascii="Times New Roman" w:hAnsi="Times New Roman"/>
          <w:sz w:val="24"/>
          <w:szCs w:val="24"/>
        </w:rPr>
        <w:t>began during the tactical portion, after an</w:t>
      </w:r>
      <w:r>
        <w:rPr>
          <w:rFonts w:ascii="Times New Roman" w:hAnsi="Times New Roman"/>
          <w:sz w:val="24"/>
          <w:szCs w:val="24"/>
        </w:rPr>
        <w:t xml:space="preserve"> </w:t>
      </w:r>
      <w:r w:rsidRPr="00C76A19">
        <w:rPr>
          <w:rFonts w:ascii="Times New Roman" w:hAnsi="Times New Roman"/>
          <w:sz w:val="24"/>
          <w:szCs w:val="24"/>
        </w:rPr>
        <w:t>assessor’s phone went off. Because the phone</w:t>
      </w:r>
      <w:r>
        <w:rPr>
          <w:rFonts w:ascii="Times New Roman" w:hAnsi="Times New Roman"/>
          <w:sz w:val="24"/>
          <w:szCs w:val="24"/>
        </w:rPr>
        <w:t xml:space="preserve"> </w:t>
      </w:r>
      <w:r w:rsidRPr="00C76A19">
        <w:rPr>
          <w:rFonts w:ascii="Times New Roman" w:hAnsi="Times New Roman"/>
          <w:sz w:val="24"/>
          <w:szCs w:val="24"/>
        </w:rPr>
        <w:t>was located across the room in a backpack, the assessor waltzed</w:t>
      </w:r>
      <w:r>
        <w:rPr>
          <w:rFonts w:ascii="Times New Roman" w:hAnsi="Times New Roman"/>
          <w:sz w:val="24"/>
          <w:szCs w:val="24"/>
        </w:rPr>
        <w:t xml:space="preserve"> </w:t>
      </w:r>
      <w:r w:rsidRPr="00C76A19">
        <w:rPr>
          <w:rFonts w:ascii="Times New Roman" w:hAnsi="Times New Roman"/>
          <w:sz w:val="24"/>
          <w:szCs w:val="24"/>
        </w:rPr>
        <w:t>over</w:t>
      </w:r>
      <w:r>
        <w:rPr>
          <w:rFonts w:ascii="Times New Roman" w:hAnsi="Times New Roman"/>
          <w:sz w:val="24"/>
          <w:szCs w:val="24"/>
        </w:rPr>
        <w:t xml:space="preserve"> </w:t>
      </w:r>
      <w:r w:rsidRPr="00C76A19">
        <w:rPr>
          <w:rFonts w:ascii="Times New Roman" w:hAnsi="Times New Roman"/>
          <w:sz w:val="24"/>
          <w:szCs w:val="24"/>
        </w:rPr>
        <w:t>to the backpack, rummaging around before locating the phone to silence it.</w:t>
      </w:r>
      <w:r>
        <w:rPr>
          <w:rFonts w:ascii="Times New Roman" w:hAnsi="Times New Roman"/>
          <w:sz w:val="24"/>
          <w:szCs w:val="24"/>
        </w:rPr>
        <w:t xml:space="preserve"> </w:t>
      </w:r>
      <w:r w:rsidRPr="00C76A19">
        <w:rPr>
          <w:rFonts w:ascii="Times New Roman" w:hAnsi="Times New Roman"/>
          <w:sz w:val="24"/>
          <w:szCs w:val="24"/>
        </w:rPr>
        <w:t>Incredibly, the assessor allegedly spent considerable time reading texts from the phone</w:t>
      </w:r>
      <w:r>
        <w:rPr>
          <w:rFonts w:ascii="Times New Roman" w:hAnsi="Times New Roman"/>
          <w:sz w:val="24"/>
          <w:szCs w:val="24"/>
        </w:rPr>
        <w:t xml:space="preserve"> </w:t>
      </w:r>
      <w:r w:rsidRPr="00C76A19">
        <w:rPr>
          <w:rFonts w:ascii="Times New Roman" w:hAnsi="Times New Roman"/>
          <w:sz w:val="24"/>
          <w:szCs w:val="24"/>
        </w:rPr>
        <w:t>before wandering</w:t>
      </w:r>
      <w:r>
        <w:rPr>
          <w:rFonts w:ascii="Times New Roman" w:hAnsi="Times New Roman"/>
          <w:sz w:val="24"/>
          <w:szCs w:val="24"/>
        </w:rPr>
        <w:t xml:space="preserve"> </w:t>
      </w:r>
      <w:r w:rsidRPr="00C76A19">
        <w:rPr>
          <w:rFonts w:ascii="Times New Roman" w:hAnsi="Times New Roman"/>
          <w:sz w:val="24"/>
          <w:szCs w:val="24"/>
        </w:rPr>
        <w:t>back to the table. And once there, the phone</w:t>
      </w:r>
      <w:r>
        <w:rPr>
          <w:rFonts w:ascii="Times New Roman" w:hAnsi="Times New Roman"/>
          <w:sz w:val="24"/>
          <w:szCs w:val="24"/>
        </w:rPr>
        <w:t xml:space="preserve"> </w:t>
      </w:r>
      <w:r w:rsidRPr="00C76A19">
        <w:rPr>
          <w:rFonts w:ascii="Times New Roman" w:hAnsi="Times New Roman"/>
          <w:sz w:val="24"/>
          <w:szCs w:val="24"/>
        </w:rPr>
        <w:t>repeatedly vibrated, prompting the distracted assessor to engage with the phone and respond to messages, while presumably ignoring Lt. Neal. All of this occurred during an exam where phones were not permitted</w:t>
      </w:r>
      <w:r>
        <w:rPr>
          <w:rFonts w:ascii="Times New Roman" w:hAnsi="Times New Roman"/>
          <w:sz w:val="24"/>
          <w:szCs w:val="24"/>
        </w:rPr>
        <w:t xml:space="preserve"> </w:t>
      </w:r>
      <w:r w:rsidRPr="00C76A19">
        <w:rPr>
          <w:rFonts w:ascii="Times New Roman" w:hAnsi="Times New Roman"/>
          <w:sz w:val="24"/>
          <w:szCs w:val="24"/>
        </w:rPr>
        <w:t>(for obvious reasons, as this episode illustrates).</w:t>
      </w:r>
    </w:p>
    <w:p w14:paraId="43F49131" w14:textId="77777777" w:rsidR="0077274E" w:rsidRDefault="0077274E" w:rsidP="0077274E">
      <w:pPr>
        <w:ind w:left="720"/>
        <w:rPr>
          <w:rFonts w:ascii="Times New Roman" w:hAnsi="Times New Roman"/>
          <w:sz w:val="24"/>
          <w:szCs w:val="24"/>
        </w:rPr>
      </w:pPr>
      <w:r w:rsidRPr="00C76A19">
        <w:rPr>
          <w:rFonts w:ascii="Times New Roman" w:hAnsi="Times New Roman"/>
          <w:sz w:val="24"/>
          <w:szCs w:val="24"/>
        </w:rPr>
        <w:t>These distractions allegedly spilled over to</w:t>
      </w:r>
      <w:r>
        <w:rPr>
          <w:rFonts w:ascii="Times New Roman" w:hAnsi="Times New Roman"/>
          <w:sz w:val="24"/>
          <w:szCs w:val="24"/>
        </w:rPr>
        <w:t xml:space="preserve"> </w:t>
      </w:r>
      <w:r w:rsidRPr="00C76A19">
        <w:rPr>
          <w:rFonts w:ascii="Times New Roman" w:hAnsi="Times New Roman"/>
          <w:sz w:val="24"/>
          <w:szCs w:val="24"/>
        </w:rPr>
        <w:t>the interview portion as well. At one point, an</w:t>
      </w:r>
      <w:r>
        <w:rPr>
          <w:rFonts w:ascii="Times New Roman" w:hAnsi="Times New Roman"/>
          <w:sz w:val="24"/>
          <w:szCs w:val="24"/>
        </w:rPr>
        <w:t xml:space="preserve"> </w:t>
      </w:r>
      <w:r w:rsidRPr="00C76A19">
        <w:rPr>
          <w:rFonts w:ascii="Times New Roman" w:hAnsi="Times New Roman"/>
          <w:sz w:val="24"/>
          <w:szCs w:val="24"/>
        </w:rPr>
        <w:t>assessor was responding to a text message during the entirety of</w:t>
      </w:r>
      <w:r>
        <w:rPr>
          <w:rFonts w:ascii="Times New Roman" w:hAnsi="Times New Roman"/>
          <w:sz w:val="24"/>
          <w:szCs w:val="24"/>
        </w:rPr>
        <w:t xml:space="preserve"> </w:t>
      </w:r>
      <w:r w:rsidRPr="00C76A19">
        <w:rPr>
          <w:rFonts w:ascii="Times New Roman" w:hAnsi="Times New Roman"/>
          <w:sz w:val="24"/>
          <w:szCs w:val="24"/>
        </w:rPr>
        <w:t>Lt.</w:t>
      </w:r>
      <w:r>
        <w:rPr>
          <w:rFonts w:ascii="Times New Roman" w:hAnsi="Times New Roman"/>
          <w:sz w:val="24"/>
          <w:szCs w:val="24"/>
        </w:rPr>
        <w:t xml:space="preserve"> </w:t>
      </w:r>
      <w:r w:rsidRPr="00C76A19">
        <w:rPr>
          <w:rFonts w:ascii="Times New Roman" w:hAnsi="Times New Roman"/>
          <w:sz w:val="24"/>
          <w:szCs w:val="24"/>
        </w:rPr>
        <w:t>Neal’s</w:t>
      </w:r>
      <w:r>
        <w:rPr>
          <w:rFonts w:ascii="Times New Roman" w:hAnsi="Times New Roman"/>
          <w:sz w:val="24"/>
          <w:szCs w:val="24"/>
        </w:rPr>
        <w:t xml:space="preserve"> </w:t>
      </w:r>
      <w:r w:rsidRPr="00C76A19">
        <w:rPr>
          <w:rFonts w:ascii="Times New Roman" w:hAnsi="Times New Roman"/>
          <w:sz w:val="24"/>
          <w:szCs w:val="24"/>
        </w:rPr>
        <w:t>answer to a question. To make matters worse, another assessor allegedly dozed off</w:t>
      </w:r>
      <w:r>
        <w:rPr>
          <w:rFonts w:ascii="Times New Roman" w:hAnsi="Times New Roman"/>
          <w:sz w:val="24"/>
          <w:szCs w:val="24"/>
        </w:rPr>
        <w:t xml:space="preserve"> </w:t>
      </w:r>
      <w:r w:rsidRPr="00C76A19">
        <w:rPr>
          <w:rFonts w:ascii="Times New Roman" w:hAnsi="Times New Roman"/>
          <w:sz w:val="24"/>
          <w:szCs w:val="24"/>
        </w:rPr>
        <w:t>for some</w:t>
      </w:r>
      <w:r>
        <w:rPr>
          <w:rFonts w:ascii="Times New Roman" w:hAnsi="Times New Roman"/>
          <w:sz w:val="24"/>
          <w:szCs w:val="24"/>
        </w:rPr>
        <w:t xml:space="preserve"> </w:t>
      </w:r>
      <w:proofErr w:type="gramStart"/>
      <w:r w:rsidRPr="00C76A19">
        <w:rPr>
          <w:rFonts w:ascii="Times New Roman" w:hAnsi="Times New Roman"/>
          <w:sz w:val="24"/>
          <w:szCs w:val="24"/>
        </w:rPr>
        <w:t>period of</w:t>
      </w:r>
      <w:r>
        <w:rPr>
          <w:rFonts w:ascii="Times New Roman" w:hAnsi="Times New Roman"/>
          <w:sz w:val="24"/>
          <w:szCs w:val="24"/>
        </w:rPr>
        <w:t xml:space="preserve"> </w:t>
      </w:r>
      <w:r w:rsidRPr="00C76A19">
        <w:rPr>
          <w:rFonts w:ascii="Times New Roman" w:hAnsi="Times New Roman"/>
          <w:sz w:val="24"/>
          <w:szCs w:val="24"/>
        </w:rPr>
        <w:t>time</w:t>
      </w:r>
      <w:proofErr w:type="gramEnd"/>
      <w:r w:rsidRPr="00C76A19">
        <w:rPr>
          <w:rFonts w:ascii="Times New Roman" w:hAnsi="Times New Roman"/>
          <w:sz w:val="24"/>
          <w:szCs w:val="24"/>
        </w:rPr>
        <w:t>. In sum,</w:t>
      </w:r>
      <w:r>
        <w:rPr>
          <w:rFonts w:ascii="Times New Roman" w:hAnsi="Times New Roman"/>
          <w:sz w:val="24"/>
          <w:szCs w:val="24"/>
        </w:rPr>
        <w:t xml:space="preserve"> </w:t>
      </w:r>
      <w:proofErr w:type="spellStart"/>
      <w:r w:rsidRPr="00C76A19">
        <w:rPr>
          <w:rFonts w:ascii="Times New Roman" w:hAnsi="Times New Roman"/>
          <w:sz w:val="24"/>
          <w:szCs w:val="24"/>
        </w:rPr>
        <w:t>Lt.Neal</w:t>
      </w:r>
      <w:proofErr w:type="spellEnd"/>
      <w:r>
        <w:rPr>
          <w:rFonts w:ascii="Times New Roman" w:hAnsi="Times New Roman"/>
          <w:sz w:val="24"/>
          <w:szCs w:val="24"/>
        </w:rPr>
        <w:t xml:space="preserve"> </w:t>
      </w:r>
      <w:r w:rsidRPr="00C76A19">
        <w:rPr>
          <w:rFonts w:ascii="Times New Roman" w:hAnsi="Times New Roman"/>
          <w:sz w:val="24"/>
          <w:szCs w:val="24"/>
        </w:rPr>
        <w:t>concludes</w:t>
      </w:r>
      <w:r>
        <w:rPr>
          <w:rFonts w:ascii="Times New Roman" w:hAnsi="Times New Roman"/>
          <w:sz w:val="24"/>
          <w:szCs w:val="24"/>
        </w:rPr>
        <w:t xml:space="preserve"> </w:t>
      </w:r>
      <w:r w:rsidRPr="00C76A19">
        <w:rPr>
          <w:rFonts w:ascii="Times New Roman" w:hAnsi="Times New Roman"/>
          <w:sz w:val="24"/>
          <w:szCs w:val="24"/>
        </w:rPr>
        <w:t>that these repeated distractions placed</w:t>
      </w:r>
      <w:r>
        <w:rPr>
          <w:rFonts w:ascii="Times New Roman" w:hAnsi="Times New Roman"/>
          <w:sz w:val="24"/>
          <w:szCs w:val="24"/>
        </w:rPr>
        <w:t xml:space="preserve"> </w:t>
      </w:r>
      <w:r w:rsidRPr="00C76A19">
        <w:rPr>
          <w:rFonts w:ascii="Times New Roman" w:hAnsi="Times New Roman"/>
          <w:sz w:val="24"/>
          <w:szCs w:val="24"/>
        </w:rPr>
        <w:t>him at a considerable disadvantage for the tactical and interview portions of the exam</w:t>
      </w:r>
      <w:r>
        <w:rPr>
          <w:rFonts w:ascii="Times New Roman" w:hAnsi="Times New Roman"/>
          <w:sz w:val="24"/>
          <w:szCs w:val="24"/>
        </w:rPr>
        <w:t xml:space="preserve"> </w:t>
      </w:r>
      <w:r w:rsidRPr="00C76A19">
        <w:rPr>
          <w:rFonts w:ascii="Times New Roman" w:hAnsi="Times New Roman"/>
          <w:sz w:val="24"/>
          <w:szCs w:val="24"/>
        </w:rPr>
        <w:t>because, so far as he is aware and the record discloses, other applicants did not encounter similar distractions. As a result, he challenges the legitimacy of the testing process.</w:t>
      </w:r>
    </w:p>
    <w:p w14:paraId="1872ECE1" w14:textId="77777777" w:rsidR="0077274E" w:rsidRDefault="0077274E" w:rsidP="0077274E">
      <w:pPr>
        <w:ind w:left="720"/>
        <w:rPr>
          <w:rFonts w:ascii="Times New Roman" w:hAnsi="Times New Roman"/>
          <w:sz w:val="24"/>
          <w:szCs w:val="24"/>
        </w:rPr>
      </w:pPr>
      <w:r>
        <w:rPr>
          <w:rFonts w:ascii="Times New Roman" w:hAnsi="Times New Roman"/>
          <w:sz w:val="24"/>
          <w:szCs w:val="24"/>
        </w:rPr>
        <w:t>***</w:t>
      </w:r>
    </w:p>
    <w:p w14:paraId="0BF632AE" w14:textId="77777777" w:rsidR="0077274E" w:rsidRPr="006A44A9" w:rsidRDefault="0077274E" w:rsidP="0077274E">
      <w:pPr>
        <w:ind w:left="720"/>
        <w:rPr>
          <w:rFonts w:ascii="Times New Roman" w:hAnsi="Times New Roman"/>
          <w:sz w:val="24"/>
          <w:szCs w:val="24"/>
        </w:rPr>
      </w:pPr>
      <w:r w:rsidRPr="006A44A9">
        <w:rPr>
          <w:rFonts w:ascii="Times New Roman" w:hAnsi="Times New Roman"/>
          <w:sz w:val="24"/>
          <w:szCs w:val="24"/>
        </w:rPr>
        <w:t xml:space="preserve">But therein lies the problem: Lt. Neal did not request a new exam. Nor is that the relief the trial court granted. Instead, Lt. Neal requested—and the trial court ordered—that he be promoted to captain. R.C. 124.45 thus fails to support the relief ordered by the trial court, which explains Lt. Neal’s avoidance of that provision. </w:t>
      </w:r>
    </w:p>
    <w:p w14:paraId="7F0306DD" w14:textId="77777777" w:rsidR="0077274E" w:rsidRDefault="0077274E" w:rsidP="0077274E">
      <w:pPr>
        <w:ind w:left="720"/>
        <w:rPr>
          <w:rFonts w:ascii="Times New Roman" w:hAnsi="Times New Roman"/>
          <w:sz w:val="24"/>
          <w:szCs w:val="24"/>
        </w:rPr>
      </w:pPr>
      <w:r w:rsidRPr="006A44A9">
        <w:rPr>
          <w:rFonts w:ascii="Times New Roman" w:hAnsi="Times New Roman"/>
          <w:sz w:val="24"/>
          <w:szCs w:val="24"/>
        </w:rPr>
        <w:t>It also is worth pausing for a moment to further illustrate the disconnect between a</w:t>
      </w:r>
      <w:r>
        <w:rPr>
          <w:rFonts w:ascii="Times New Roman" w:hAnsi="Times New Roman"/>
          <w:sz w:val="24"/>
          <w:szCs w:val="24"/>
        </w:rPr>
        <w:t xml:space="preserve"> </w:t>
      </w:r>
      <w:r w:rsidRPr="006A44A9">
        <w:rPr>
          <w:rFonts w:ascii="Times New Roman" w:hAnsi="Times New Roman"/>
          <w:sz w:val="24"/>
          <w:szCs w:val="24"/>
        </w:rPr>
        <w:t>flawed testing environment and awarding Lt.</w:t>
      </w:r>
      <w:r>
        <w:rPr>
          <w:rFonts w:ascii="Times New Roman" w:hAnsi="Times New Roman"/>
          <w:sz w:val="24"/>
          <w:szCs w:val="24"/>
        </w:rPr>
        <w:t xml:space="preserve"> </w:t>
      </w:r>
      <w:r w:rsidRPr="006A44A9">
        <w:rPr>
          <w:rFonts w:ascii="Times New Roman" w:hAnsi="Times New Roman"/>
          <w:sz w:val="24"/>
          <w:szCs w:val="24"/>
        </w:rPr>
        <w:t>Neal the promotion. Given Lt. Neal’s</w:t>
      </w:r>
      <w:r>
        <w:rPr>
          <w:rFonts w:ascii="Times New Roman" w:hAnsi="Times New Roman"/>
          <w:sz w:val="24"/>
          <w:szCs w:val="24"/>
        </w:rPr>
        <w:t xml:space="preserve"> </w:t>
      </w:r>
      <w:r w:rsidRPr="006A44A9">
        <w:rPr>
          <w:rFonts w:ascii="Times New Roman" w:hAnsi="Times New Roman"/>
          <w:sz w:val="24"/>
          <w:szCs w:val="24"/>
        </w:rPr>
        <w:t>scores during the untainted portions</w:t>
      </w:r>
      <w:r>
        <w:rPr>
          <w:rFonts w:ascii="Times New Roman" w:hAnsi="Times New Roman"/>
          <w:sz w:val="24"/>
          <w:szCs w:val="24"/>
        </w:rPr>
        <w:t xml:space="preserve"> </w:t>
      </w:r>
      <w:r w:rsidRPr="006A44A9">
        <w:rPr>
          <w:rFonts w:ascii="Times New Roman" w:hAnsi="Times New Roman"/>
          <w:sz w:val="24"/>
          <w:szCs w:val="24"/>
        </w:rPr>
        <w:t>of the test, they suggest that he would not have qualified for promotion even under an ideal testing environment.</w:t>
      </w:r>
      <w:r>
        <w:rPr>
          <w:rFonts w:ascii="Times New Roman" w:hAnsi="Times New Roman"/>
          <w:sz w:val="24"/>
          <w:szCs w:val="24"/>
        </w:rPr>
        <w:t xml:space="preserve">” </w:t>
      </w:r>
      <w:hyperlink r:id="rId1179" w:history="1">
        <w:r w:rsidRPr="0041276B">
          <w:rPr>
            <w:rStyle w:val="Hyperlink"/>
            <w:rFonts w:ascii="Times New Roman" w:hAnsi="Times New Roman"/>
            <w:sz w:val="24"/>
            <w:szCs w:val="24"/>
          </w:rPr>
          <w:t>https://www.hamiltoncountyohio.gov/UserFiles/Servers/Server_3788196/File/releases/2021/C-200202_04142021.pdf</w:t>
        </w:r>
      </w:hyperlink>
    </w:p>
    <w:p w14:paraId="07465937" w14:textId="77777777" w:rsidR="0077274E" w:rsidRDefault="0077274E" w:rsidP="0077274E">
      <w:pPr>
        <w:rPr>
          <w:rFonts w:ascii="Times New Roman" w:hAnsi="Times New Roman"/>
          <w:b/>
          <w:bCs/>
          <w:sz w:val="24"/>
          <w:szCs w:val="24"/>
        </w:rPr>
      </w:pPr>
      <w:r w:rsidRPr="00E15ABE">
        <w:rPr>
          <w:rFonts w:ascii="Times New Roman" w:hAnsi="Times New Roman"/>
          <w:b/>
          <w:bCs/>
          <w:sz w:val="24"/>
          <w:szCs w:val="24"/>
        </w:rPr>
        <w:t>Legal Lesson Learned:</w:t>
      </w:r>
      <w:r>
        <w:rPr>
          <w:rFonts w:ascii="Times New Roman" w:hAnsi="Times New Roman"/>
          <w:b/>
          <w:bCs/>
          <w:sz w:val="24"/>
          <w:szCs w:val="24"/>
        </w:rPr>
        <w:t xml:space="preserve"> These examiners should be reprimanded and removed from further promotion boards. </w:t>
      </w:r>
    </w:p>
    <w:p w14:paraId="30D94316" w14:textId="77777777" w:rsidR="0077274E" w:rsidRDefault="0077274E" w:rsidP="0077274E">
      <w:pPr>
        <w:ind w:left="720"/>
        <w:rPr>
          <w:rFonts w:ascii="Times New Roman" w:hAnsi="Times New Roman"/>
          <w:sz w:val="24"/>
          <w:szCs w:val="24"/>
        </w:rPr>
      </w:pPr>
      <w:r w:rsidRPr="00E15ABE">
        <w:rPr>
          <w:rFonts w:ascii="Times New Roman" w:hAnsi="Times New Roman"/>
          <w:sz w:val="24"/>
          <w:szCs w:val="24"/>
        </w:rPr>
        <w:t>Note:</w:t>
      </w:r>
      <w:r>
        <w:rPr>
          <w:rFonts w:ascii="Times New Roman" w:hAnsi="Times New Roman"/>
          <w:b/>
          <w:bCs/>
          <w:sz w:val="24"/>
          <w:szCs w:val="24"/>
        </w:rPr>
        <w:t xml:space="preserve"> </w:t>
      </w:r>
      <w:r>
        <w:rPr>
          <w:rFonts w:ascii="Times New Roman" w:hAnsi="Times New Roman"/>
          <w:sz w:val="24"/>
          <w:szCs w:val="24"/>
        </w:rPr>
        <w:t xml:space="preserve">In the </w:t>
      </w:r>
      <w:r w:rsidRPr="00DD3AC9">
        <w:rPr>
          <w:rFonts w:ascii="Times New Roman" w:hAnsi="Times New Roman"/>
          <w:sz w:val="24"/>
          <w:szCs w:val="24"/>
          <w:u w:val="single"/>
        </w:rPr>
        <w:t>Lanter</w:t>
      </w:r>
      <w:r>
        <w:rPr>
          <w:rFonts w:ascii="Times New Roman" w:hAnsi="Times New Roman"/>
          <w:sz w:val="24"/>
          <w:szCs w:val="24"/>
        </w:rPr>
        <w:t xml:space="preserve"> case referenced by the Court, </w:t>
      </w:r>
      <w:r w:rsidRPr="00DD3AC9">
        <w:rPr>
          <w:rFonts w:ascii="Times New Roman" w:hAnsi="Times New Roman"/>
          <w:sz w:val="24"/>
          <w:szCs w:val="24"/>
          <w:u w:val="single"/>
        </w:rPr>
        <w:t>State of Ohio, Ex Re. Timothy Lanter v. City of Cincinnati</w:t>
      </w:r>
      <w:r>
        <w:rPr>
          <w:rFonts w:ascii="Times New Roman" w:hAnsi="Times New Roman"/>
          <w:sz w:val="24"/>
          <w:szCs w:val="24"/>
        </w:rPr>
        <w:t xml:space="preserve"> (Oct. 21, 2020) concerned a mandamus action filed by Cincinnati Police Sergeant Timothy Lanter; where the Ohio Court of Appeals reversed a trial judge who had granted relief to the Sergeant. </w:t>
      </w:r>
    </w:p>
    <w:p w14:paraId="19EF6E00" w14:textId="77777777" w:rsidR="0077274E" w:rsidRDefault="0077274E" w:rsidP="0077274E">
      <w:pPr>
        <w:ind w:left="1440"/>
        <w:rPr>
          <w:rFonts w:ascii="Times New Roman" w:hAnsi="Times New Roman"/>
          <w:sz w:val="24"/>
          <w:szCs w:val="24"/>
        </w:rPr>
      </w:pPr>
      <w:r>
        <w:rPr>
          <w:rFonts w:ascii="Times New Roman" w:hAnsi="Times New Roman"/>
          <w:sz w:val="24"/>
          <w:szCs w:val="24"/>
        </w:rPr>
        <w:t>“</w:t>
      </w:r>
      <w:r w:rsidRPr="00DD3AC9">
        <w:rPr>
          <w:rFonts w:ascii="Times New Roman" w:hAnsi="Times New Roman"/>
          <w:sz w:val="24"/>
          <w:szCs w:val="24"/>
        </w:rPr>
        <w:t xml:space="preserve">This dispute arises over an episode allegedly colored by racist overtones. Daryl Spivey, an </w:t>
      </w:r>
      <w:proofErr w:type="gramStart"/>
      <w:r w:rsidRPr="00DD3AC9">
        <w:rPr>
          <w:rFonts w:ascii="Times New Roman" w:hAnsi="Times New Roman"/>
          <w:sz w:val="24"/>
          <w:szCs w:val="24"/>
        </w:rPr>
        <w:t>African-American</w:t>
      </w:r>
      <w:proofErr w:type="gramEnd"/>
      <w:r w:rsidRPr="00DD3AC9">
        <w:rPr>
          <w:rFonts w:ascii="Times New Roman" w:hAnsi="Times New Roman"/>
          <w:sz w:val="24"/>
          <w:szCs w:val="24"/>
        </w:rPr>
        <w:t xml:space="preserve">, worked as a security guard at a building where the elevators cannot be accessed without entering a security code. Needing to use those elevators, Sergeant Lanter approached Mr. Spivey and asked him to enter the security code. Mr. Spivey complied, but he alleges that Sergeant Lanter responded with: </w:t>
      </w:r>
      <w:r>
        <w:rPr>
          <w:rFonts w:ascii="Times New Roman" w:hAnsi="Times New Roman"/>
          <w:sz w:val="24"/>
          <w:szCs w:val="24"/>
        </w:rPr>
        <w:t>‘</w:t>
      </w:r>
      <w:r w:rsidRPr="00DD3AC9">
        <w:rPr>
          <w:rFonts w:ascii="Times New Roman" w:hAnsi="Times New Roman"/>
          <w:sz w:val="24"/>
          <w:szCs w:val="24"/>
        </w:rPr>
        <w:t>Thanks, boy, I appreciate it.</w:t>
      </w:r>
      <w:r>
        <w:rPr>
          <w:rFonts w:ascii="Times New Roman" w:hAnsi="Times New Roman"/>
          <w:sz w:val="24"/>
          <w:szCs w:val="24"/>
        </w:rPr>
        <w:t>’</w:t>
      </w:r>
      <w:r w:rsidRPr="00DD3AC9">
        <w:rPr>
          <w:rFonts w:ascii="Times New Roman" w:hAnsi="Times New Roman"/>
          <w:sz w:val="24"/>
          <w:szCs w:val="24"/>
        </w:rPr>
        <w:t xml:space="preserve"> Mr. Spivey immediately complained to his supervisor and filed a discrimination complaint with the CCA</w:t>
      </w:r>
      <w:r>
        <w:rPr>
          <w:rFonts w:ascii="Times New Roman" w:hAnsi="Times New Roman"/>
          <w:sz w:val="24"/>
          <w:szCs w:val="24"/>
        </w:rPr>
        <w:t>.</w:t>
      </w:r>
    </w:p>
    <w:p w14:paraId="115BA2A9" w14:textId="77777777" w:rsidR="0077274E" w:rsidRDefault="0077274E" w:rsidP="0077274E">
      <w:pPr>
        <w:ind w:left="1440"/>
        <w:rPr>
          <w:rFonts w:ascii="Times New Roman" w:hAnsi="Times New Roman"/>
          <w:sz w:val="24"/>
          <w:szCs w:val="24"/>
        </w:rPr>
      </w:pPr>
      <w:r>
        <w:rPr>
          <w:rFonts w:ascii="Times New Roman" w:hAnsi="Times New Roman"/>
          <w:sz w:val="24"/>
          <w:szCs w:val="24"/>
        </w:rPr>
        <w:t>***</w:t>
      </w:r>
    </w:p>
    <w:p w14:paraId="037BEAC4" w14:textId="77777777" w:rsidR="0077274E" w:rsidRPr="00B61592" w:rsidRDefault="0077274E" w:rsidP="0077274E">
      <w:pPr>
        <w:ind w:left="1440"/>
        <w:rPr>
          <w:rFonts w:ascii="Times New Roman" w:hAnsi="Times New Roman"/>
          <w:sz w:val="24"/>
          <w:szCs w:val="24"/>
        </w:rPr>
      </w:pPr>
      <w:r w:rsidRPr="00B61592">
        <w:rPr>
          <w:rFonts w:ascii="Times New Roman" w:hAnsi="Times New Roman"/>
          <w:sz w:val="24"/>
          <w:szCs w:val="24"/>
        </w:rPr>
        <w:t>The</w:t>
      </w:r>
      <w:r>
        <w:rPr>
          <w:rFonts w:ascii="Times New Roman" w:hAnsi="Times New Roman"/>
          <w:sz w:val="24"/>
          <w:szCs w:val="24"/>
        </w:rPr>
        <w:t xml:space="preserve"> [trial judge in the Hamilton County Court of Common Pleas]</w:t>
      </w:r>
      <w:r w:rsidRPr="00B61592">
        <w:rPr>
          <w:rFonts w:ascii="Times New Roman" w:hAnsi="Times New Roman"/>
          <w:sz w:val="24"/>
          <w:szCs w:val="24"/>
        </w:rPr>
        <w:t xml:space="preserve"> overturned the CCA’s report in the administrative review, determining that the CCA’s findings were not supported by a preponderance of substantial evidence, in part pointing to the conflicting stories of Mr. </w:t>
      </w:r>
      <w:proofErr w:type="spellStart"/>
      <w:r w:rsidRPr="00B61592">
        <w:rPr>
          <w:rFonts w:ascii="Times New Roman" w:hAnsi="Times New Roman"/>
          <w:sz w:val="24"/>
          <w:szCs w:val="24"/>
        </w:rPr>
        <w:t>Vandehatert</w:t>
      </w:r>
      <w:proofErr w:type="spellEnd"/>
      <w:r w:rsidRPr="00B61592">
        <w:rPr>
          <w:rFonts w:ascii="Times New Roman" w:hAnsi="Times New Roman"/>
          <w:sz w:val="24"/>
          <w:szCs w:val="24"/>
        </w:rPr>
        <w:t xml:space="preserve">. But the court dismissed Sergeant Lanter’s mandamus petition because the administrative appeal provided an adequate remedy at law. The City </w:t>
      </w:r>
      <w:proofErr w:type="gramStart"/>
      <w:r w:rsidRPr="00B61592">
        <w:rPr>
          <w:rFonts w:ascii="Times New Roman" w:hAnsi="Times New Roman"/>
          <w:sz w:val="24"/>
          <w:szCs w:val="24"/>
        </w:rPr>
        <w:t>appealed</w:t>
      </w:r>
      <w:proofErr w:type="gramEnd"/>
      <w:r w:rsidRPr="00B61592">
        <w:rPr>
          <w:rFonts w:ascii="Times New Roman" w:hAnsi="Times New Roman"/>
          <w:sz w:val="24"/>
          <w:szCs w:val="24"/>
        </w:rPr>
        <w:t xml:space="preserve"> the trial court’s review of the CCA’s report, prompting Sergeant Lanter to cross-appeal the dismissal of the mandamus petition.</w:t>
      </w:r>
    </w:p>
    <w:p w14:paraId="43EA0B9D" w14:textId="77777777" w:rsidR="0077274E" w:rsidRDefault="0077274E" w:rsidP="0077274E">
      <w:pPr>
        <w:ind w:left="1440"/>
        <w:rPr>
          <w:rFonts w:ascii="Times New Roman" w:hAnsi="Times New Roman"/>
          <w:sz w:val="24"/>
          <w:szCs w:val="24"/>
        </w:rPr>
      </w:pPr>
      <w:r>
        <w:rPr>
          <w:rFonts w:ascii="Times New Roman" w:hAnsi="Times New Roman"/>
          <w:sz w:val="24"/>
          <w:szCs w:val="24"/>
        </w:rPr>
        <w:t>***</w:t>
      </w:r>
    </w:p>
    <w:p w14:paraId="04CC5889" w14:textId="77777777" w:rsidR="0077274E" w:rsidRDefault="0077274E" w:rsidP="0077274E">
      <w:pPr>
        <w:ind w:left="1440"/>
        <w:rPr>
          <w:rFonts w:ascii="Times New Roman" w:hAnsi="Times New Roman"/>
          <w:sz w:val="24"/>
          <w:szCs w:val="24"/>
        </w:rPr>
      </w:pPr>
      <w:r>
        <w:rPr>
          <w:rFonts w:ascii="Times New Roman" w:hAnsi="Times New Roman"/>
          <w:sz w:val="24"/>
          <w:szCs w:val="24"/>
        </w:rPr>
        <w:t xml:space="preserve">[The Ohio Court of Appeals] ruled: </w:t>
      </w:r>
    </w:p>
    <w:p w14:paraId="2E6D32B9" w14:textId="77777777" w:rsidR="0077274E" w:rsidRPr="00E15ABE" w:rsidRDefault="0077274E" w:rsidP="0077274E">
      <w:pPr>
        <w:ind w:left="1440"/>
        <w:rPr>
          <w:rFonts w:ascii="Times New Roman" w:hAnsi="Times New Roman"/>
          <w:b/>
          <w:bCs/>
          <w:sz w:val="24"/>
          <w:szCs w:val="24"/>
        </w:rPr>
      </w:pPr>
      <w:r w:rsidRPr="00E15ABE">
        <w:rPr>
          <w:rFonts w:ascii="Times New Roman" w:hAnsi="Times New Roman"/>
          <w:sz w:val="24"/>
          <w:szCs w:val="24"/>
        </w:rPr>
        <w:t xml:space="preserve">The city of Cincinnati created the Citizen Complaint Authority (CCA) as part of a settlement agreement to a federal lawsuit alleging racial discrimination within the Cincinnati Police Department. The purpose of the CCA is to provide independent review, reporting, and recommendations concerning citizen complaints about police conduct. After the CCA sustained a charge of discrimination against Cincinnati police sergeant Timothy Lanter, the police department investigated the matter anew and rejected the CCA’s conclusions, which meant that Sergeant Lanter suffered no adverse employment consequences. Nevertheless, he initiated this litigation seeking to overturn the CCA’s recommendation, and the trial court obliged. We conclude, however, that the trial court lacked subject matter jurisdiction because the matter before the CCA cannot qualify as a </w:t>
      </w:r>
      <w:r>
        <w:rPr>
          <w:rFonts w:ascii="Times New Roman" w:hAnsi="Times New Roman"/>
          <w:sz w:val="24"/>
          <w:szCs w:val="24"/>
        </w:rPr>
        <w:t>‘</w:t>
      </w:r>
      <w:r w:rsidRPr="00E15ABE">
        <w:rPr>
          <w:rFonts w:ascii="Times New Roman" w:hAnsi="Times New Roman"/>
          <w:sz w:val="24"/>
          <w:szCs w:val="24"/>
        </w:rPr>
        <w:t>quasi-judicial</w:t>
      </w:r>
      <w:r>
        <w:rPr>
          <w:rFonts w:ascii="Times New Roman" w:hAnsi="Times New Roman"/>
          <w:sz w:val="24"/>
          <w:szCs w:val="24"/>
        </w:rPr>
        <w:t>’</w:t>
      </w:r>
      <w:r w:rsidRPr="00E15ABE">
        <w:rPr>
          <w:rFonts w:ascii="Times New Roman" w:hAnsi="Times New Roman"/>
          <w:sz w:val="24"/>
          <w:szCs w:val="24"/>
        </w:rPr>
        <w:t xml:space="preserve"> proceeding capable of review by a common pleas court.</w:t>
      </w:r>
      <w:r>
        <w:rPr>
          <w:rFonts w:ascii="Times New Roman" w:hAnsi="Times New Roman"/>
          <w:sz w:val="24"/>
          <w:szCs w:val="24"/>
        </w:rPr>
        <w:t xml:space="preserve">” </w:t>
      </w:r>
      <w:hyperlink r:id="rId1180" w:history="1">
        <w:r w:rsidRPr="0041276B">
          <w:rPr>
            <w:rStyle w:val="Hyperlink"/>
            <w:rFonts w:ascii="Times New Roman" w:hAnsi="Times New Roman"/>
            <w:sz w:val="24"/>
            <w:szCs w:val="24"/>
          </w:rPr>
          <w:t>https://law.justia.com/cases/ohio/first-district-court-of-appeals/2020/c-190708.html</w:t>
        </w:r>
      </w:hyperlink>
      <w:r>
        <w:rPr>
          <w:sz w:val="21"/>
          <w:szCs w:val="21"/>
        </w:rPr>
        <w:t xml:space="preserve"> </w:t>
      </w:r>
      <w:r>
        <w:rPr>
          <w:rFonts w:ascii="Times New Roman" w:hAnsi="Times New Roman"/>
          <w:b/>
          <w:bCs/>
          <w:sz w:val="24"/>
          <w:szCs w:val="24"/>
        </w:rPr>
        <w:t xml:space="preserve"> </w:t>
      </w:r>
    </w:p>
    <w:p w14:paraId="2A749BB0" w14:textId="77777777" w:rsidR="0077274E" w:rsidRDefault="0077274E" w:rsidP="00EF1133">
      <w:pPr>
        <w:rPr>
          <w:rFonts w:ascii="Arial Black" w:hAnsi="Arial Black"/>
          <w:b/>
          <w:sz w:val="24"/>
          <w:szCs w:val="24"/>
        </w:rPr>
      </w:pPr>
    </w:p>
    <w:p w14:paraId="7F50840F" w14:textId="77777777" w:rsidR="0077274E" w:rsidRDefault="0077274E" w:rsidP="00EF1133">
      <w:pPr>
        <w:rPr>
          <w:rFonts w:ascii="Arial Black" w:hAnsi="Arial Black"/>
          <w:b/>
          <w:sz w:val="24"/>
          <w:szCs w:val="24"/>
        </w:rPr>
      </w:pPr>
    </w:p>
    <w:p w14:paraId="14CF9559" w14:textId="77777777" w:rsidR="0077274E" w:rsidRDefault="0077274E" w:rsidP="00EF1133">
      <w:pPr>
        <w:rPr>
          <w:rFonts w:ascii="Arial Black" w:hAnsi="Arial Black"/>
          <w:b/>
          <w:sz w:val="24"/>
          <w:szCs w:val="24"/>
        </w:rPr>
      </w:pPr>
    </w:p>
    <w:p w14:paraId="41248A67" w14:textId="768BB41E" w:rsidR="0077274E" w:rsidRDefault="0077274E" w:rsidP="00EF1133">
      <w:pPr>
        <w:rPr>
          <w:rFonts w:ascii="Arial Black" w:hAnsi="Arial Black"/>
          <w:b/>
          <w:sz w:val="24"/>
          <w:szCs w:val="24"/>
        </w:rPr>
      </w:pPr>
      <w:r>
        <w:rPr>
          <w:rFonts w:ascii="Arial Black" w:hAnsi="Arial Black"/>
          <w:b/>
          <w:sz w:val="24"/>
          <w:szCs w:val="24"/>
        </w:rPr>
        <w:t>6-7</w:t>
      </w:r>
      <w:r w:rsidR="00FF7C63">
        <w:rPr>
          <w:rFonts w:ascii="Arial Black" w:hAnsi="Arial Black"/>
          <w:b/>
          <w:sz w:val="24"/>
          <w:szCs w:val="24"/>
        </w:rPr>
        <w:t>0</w:t>
      </w:r>
    </w:p>
    <w:p w14:paraId="5BC67768" w14:textId="77777777" w:rsidR="0077274E" w:rsidRPr="00FB1BAB" w:rsidRDefault="0077274E" w:rsidP="0077274E">
      <w:pPr>
        <w:pStyle w:val="Heading1"/>
        <w:rPr>
          <w:rFonts w:ascii="Arial Black" w:hAnsi="Arial Black"/>
          <w:sz w:val="28"/>
          <w:szCs w:val="28"/>
        </w:rPr>
      </w:pPr>
      <w:r>
        <w:rPr>
          <w:rFonts w:ascii="Arial Black" w:hAnsi="Arial Black"/>
          <w:sz w:val="28"/>
          <w:szCs w:val="28"/>
        </w:rPr>
        <w:t xml:space="preserve">MO: CARDIAC ARREST AT FORD MOTOR – COMPANY EMER. RESP. TEAM INADEQUATE - WORK COMP. ONLY REMEDY </w:t>
      </w:r>
    </w:p>
    <w:p w14:paraId="67DFADEA" w14:textId="77777777" w:rsidR="0077274E" w:rsidRDefault="0077274E" w:rsidP="0077274E">
      <w:pPr>
        <w:spacing w:before="100" w:beforeAutospacing="1" w:after="100" w:afterAutospacing="1" w:line="240" w:lineRule="auto"/>
        <w:rPr>
          <w:rFonts w:ascii="Times New Roman" w:hAnsi="Times New Roman"/>
          <w:sz w:val="24"/>
          <w:szCs w:val="24"/>
        </w:rPr>
      </w:pPr>
      <w:r w:rsidRPr="00FB1BAB">
        <w:rPr>
          <w:rFonts w:ascii="Times New Roman" w:hAnsi="Times New Roman"/>
          <w:sz w:val="24"/>
          <w:szCs w:val="24"/>
        </w:rPr>
        <w:t xml:space="preserve">On April 13, 2021, in </w:t>
      </w:r>
      <w:r w:rsidRPr="00FB1BAB">
        <w:rPr>
          <w:rFonts w:ascii="Times New Roman" w:hAnsi="Times New Roman"/>
          <w:sz w:val="24"/>
          <w:szCs w:val="24"/>
          <w:u w:val="single"/>
        </w:rPr>
        <w:t xml:space="preserve">Nancy J. </w:t>
      </w:r>
      <w:proofErr w:type="spellStart"/>
      <w:r w:rsidRPr="00FB1BAB">
        <w:rPr>
          <w:rFonts w:ascii="Times New Roman" w:hAnsi="Times New Roman"/>
          <w:sz w:val="24"/>
          <w:szCs w:val="24"/>
          <w:u w:val="single"/>
        </w:rPr>
        <w:t>Ducoulombier</w:t>
      </w:r>
      <w:proofErr w:type="spellEnd"/>
      <w:r w:rsidRPr="00FB1BAB">
        <w:rPr>
          <w:rFonts w:ascii="Times New Roman" w:hAnsi="Times New Roman"/>
          <w:sz w:val="24"/>
          <w:szCs w:val="24"/>
          <w:u w:val="single"/>
        </w:rPr>
        <w:t xml:space="preserve"> v. Ford Motor Company</w:t>
      </w:r>
      <w:r w:rsidRPr="00FB1BAB">
        <w:rPr>
          <w:rFonts w:ascii="Times New Roman" w:hAnsi="Times New Roman"/>
          <w:sz w:val="24"/>
          <w:szCs w:val="24"/>
        </w:rPr>
        <w:t xml:space="preserve">, </w:t>
      </w:r>
      <w:r>
        <w:rPr>
          <w:rFonts w:ascii="Times New Roman" w:hAnsi="Times New Roman"/>
          <w:sz w:val="24"/>
          <w:szCs w:val="24"/>
        </w:rPr>
        <w:t xml:space="preserve">the Missouri Court of Appeal (Western District) held (3 to 0) that the trial court properly granted Ford Motor Company’s motion for summary judgment.  The wife’s sole remedy is Worker’s Compensation, not a jury trial seeking damages, even if the Ford Company’s Emergency Response Team members were slow in calling 911, or slow in moving the patient to a location where responding EMS could </w:t>
      </w:r>
      <w:proofErr w:type="gramStart"/>
      <w:r>
        <w:rPr>
          <w:rFonts w:ascii="Times New Roman" w:hAnsi="Times New Roman"/>
          <w:sz w:val="24"/>
          <w:szCs w:val="24"/>
        </w:rPr>
        <w:t>being</w:t>
      </w:r>
      <w:proofErr w:type="gramEnd"/>
      <w:r>
        <w:rPr>
          <w:rFonts w:ascii="Times New Roman" w:hAnsi="Times New Roman"/>
          <w:sz w:val="24"/>
          <w:szCs w:val="24"/>
        </w:rPr>
        <w:t xml:space="preserve"> treatment.  </w:t>
      </w:r>
    </w:p>
    <w:p w14:paraId="0B1FE1BF" w14:textId="77777777" w:rsidR="0077274E" w:rsidRDefault="0077274E" w:rsidP="0077274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123691">
        <w:rPr>
          <w:rFonts w:ascii="Times New Roman" w:hAnsi="Times New Roman"/>
          <w:sz w:val="24"/>
          <w:szCs w:val="24"/>
        </w:rPr>
        <w:t xml:space="preserve">Appellant's petition alleges that Ford's negligence caused Mr. </w:t>
      </w:r>
      <w:proofErr w:type="spellStart"/>
      <w:r w:rsidRPr="00123691">
        <w:rPr>
          <w:rFonts w:ascii="Times New Roman" w:hAnsi="Times New Roman"/>
          <w:sz w:val="24"/>
          <w:szCs w:val="24"/>
        </w:rPr>
        <w:t>Ducoulombier's</w:t>
      </w:r>
      <w:proofErr w:type="spellEnd"/>
      <w:r w:rsidRPr="00123691">
        <w:rPr>
          <w:rFonts w:ascii="Times New Roman" w:hAnsi="Times New Roman"/>
          <w:sz w:val="24"/>
          <w:szCs w:val="24"/>
        </w:rPr>
        <w:t xml:space="preserve"> death. More specifically, it alleges that Ford failed to have properly trained responders for Mr. </w:t>
      </w:r>
      <w:proofErr w:type="spellStart"/>
      <w:r w:rsidRPr="00123691">
        <w:rPr>
          <w:rFonts w:ascii="Times New Roman" w:hAnsi="Times New Roman"/>
          <w:sz w:val="24"/>
          <w:szCs w:val="24"/>
        </w:rPr>
        <w:t>Ducoulombier's</w:t>
      </w:r>
      <w:proofErr w:type="spellEnd"/>
      <w:r w:rsidRPr="00123691">
        <w:rPr>
          <w:rFonts w:ascii="Times New Roman" w:hAnsi="Times New Roman"/>
          <w:sz w:val="24"/>
          <w:szCs w:val="24"/>
        </w:rPr>
        <w:t xml:space="preserve"> on-site medical emergency, failed to ensure that the employees who administered CPR to Mr. </w:t>
      </w:r>
      <w:proofErr w:type="spellStart"/>
      <w:r w:rsidRPr="00123691">
        <w:rPr>
          <w:rFonts w:ascii="Times New Roman" w:hAnsi="Times New Roman"/>
          <w:sz w:val="24"/>
          <w:szCs w:val="24"/>
        </w:rPr>
        <w:t>Ducoulombier</w:t>
      </w:r>
      <w:proofErr w:type="spellEnd"/>
      <w:r w:rsidRPr="00123691">
        <w:rPr>
          <w:rFonts w:ascii="Times New Roman" w:hAnsi="Times New Roman"/>
          <w:sz w:val="24"/>
          <w:szCs w:val="24"/>
        </w:rPr>
        <w:t xml:space="preserve"> were properly trained, failed to equip its employees and Emergency Response Team members with proper equipment and devices to be used in Mr. </w:t>
      </w:r>
      <w:proofErr w:type="spellStart"/>
      <w:r w:rsidRPr="00123691">
        <w:rPr>
          <w:rFonts w:ascii="Times New Roman" w:hAnsi="Times New Roman"/>
          <w:sz w:val="24"/>
          <w:szCs w:val="24"/>
        </w:rPr>
        <w:t>Ducoulombier's</w:t>
      </w:r>
      <w:proofErr w:type="spellEnd"/>
      <w:r w:rsidRPr="00123691">
        <w:rPr>
          <w:rFonts w:ascii="Times New Roman" w:hAnsi="Times New Roman"/>
          <w:sz w:val="24"/>
          <w:szCs w:val="24"/>
        </w:rPr>
        <w:t xml:space="preserve"> cardiac life support, and failed to plan for interfacing with community EMS responders for on-site emergencies thereby hindering EMS responders in reaching Mr. </w:t>
      </w:r>
      <w:proofErr w:type="spellStart"/>
      <w:r w:rsidRPr="00123691">
        <w:rPr>
          <w:rFonts w:ascii="Times New Roman" w:hAnsi="Times New Roman"/>
          <w:sz w:val="24"/>
          <w:szCs w:val="24"/>
        </w:rPr>
        <w:t>Ducoulombier</w:t>
      </w:r>
      <w:proofErr w:type="spellEnd"/>
      <w:r w:rsidRPr="00123691">
        <w:rPr>
          <w:rFonts w:ascii="Times New Roman" w:hAnsi="Times New Roman"/>
          <w:sz w:val="24"/>
          <w:szCs w:val="24"/>
        </w:rPr>
        <w:t xml:space="preserve">. </w:t>
      </w:r>
      <w:proofErr w:type="gramStart"/>
      <w:r w:rsidRPr="00123691">
        <w:rPr>
          <w:rFonts w:ascii="Times New Roman" w:hAnsi="Times New Roman"/>
          <w:sz w:val="24"/>
          <w:szCs w:val="24"/>
        </w:rPr>
        <w:t>Further, that</w:t>
      </w:r>
      <w:proofErr w:type="gramEnd"/>
      <w:r w:rsidRPr="00123691">
        <w:rPr>
          <w:rFonts w:ascii="Times New Roman" w:hAnsi="Times New Roman"/>
          <w:sz w:val="24"/>
          <w:szCs w:val="24"/>
        </w:rPr>
        <w:t xml:space="preserve"> Ford did not provide enough Emergency Response Team members within various areas of the plant </w:t>
      </w:r>
      <w:proofErr w:type="gramStart"/>
      <w:r w:rsidRPr="00123691">
        <w:rPr>
          <w:rFonts w:ascii="Times New Roman" w:hAnsi="Times New Roman"/>
          <w:sz w:val="24"/>
          <w:szCs w:val="24"/>
        </w:rPr>
        <w:t>so as to</w:t>
      </w:r>
      <w:proofErr w:type="gramEnd"/>
      <w:r w:rsidRPr="00123691">
        <w:rPr>
          <w:rFonts w:ascii="Times New Roman" w:hAnsi="Times New Roman"/>
          <w:sz w:val="24"/>
          <w:szCs w:val="24"/>
        </w:rPr>
        <w:t xml:space="preserve"> properly respond to </w:t>
      </w:r>
      <w:proofErr w:type="gramStart"/>
      <w:r w:rsidRPr="00123691">
        <w:rPr>
          <w:rFonts w:ascii="Times New Roman" w:hAnsi="Times New Roman"/>
          <w:sz w:val="24"/>
          <w:szCs w:val="24"/>
        </w:rPr>
        <w:t xml:space="preserve">Mr. </w:t>
      </w:r>
      <w:proofErr w:type="spellStart"/>
      <w:r w:rsidRPr="00123691">
        <w:rPr>
          <w:rFonts w:ascii="Times New Roman" w:hAnsi="Times New Roman"/>
          <w:sz w:val="24"/>
          <w:szCs w:val="24"/>
        </w:rPr>
        <w:t>Ducoulombier</w:t>
      </w:r>
      <w:proofErr w:type="spellEnd"/>
      <w:r w:rsidRPr="00123691">
        <w:rPr>
          <w:rFonts w:ascii="Times New Roman" w:hAnsi="Times New Roman"/>
          <w:sz w:val="24"/>
          <w:szCs w:val="24"/>
        </w:rPr>
        <w:t>, and</w:t>
      </w:r>
      <w:proofErr w:type="gramEnd"/>
      <w:r w:rsidRPr="00123691">
        <w:rPr>
          <w:rFonts w:ascii="Times New Roman" w:hAnsi="Times New Roman"/>
          <w:sz w:val="24"/>
          <w:szCs w:val="24"/>
        </w:rPr>
        <w:t xml:space="preserve"> did not provide the Emergency Response Team members it had with appropriate vehicles to transport Mr. </w:t>
      </w:r>
      <w:proofErr w:type="spellStart"/>
      <w:r w:rsidRPr="00123691">
        <w:rPr>
          <w:rFonts w:ascii="Times New Roman" w:hAnsi="Times New Roman"/>
          <w:sz w:val="24"/>
          <w:szCs w:val="24"/>
        </w:rPr>
        <w:t>Ducoulombier</w:t>
      </w:r>
      <w:proofErr w:type="spellEnd"/>
      <w:r w:rsidRPr="00123691">
        <w:rPr>
          <w:rFonts w:ascii="Times New Roman" w:hAnsi="Times New Roman"/>
          <w:sz w:val="24"/>
          <w:szCs w:val="24"/>
        </w:rPr>
        <w:t xml:space="preserve"> to a rendezvous point. </w:t>
      </w:r>
      <w:proofErr w:type="gramStart"/>
      <w:r w:rsidRPr="00123691">
        <w:rPr>
          <w:rFonts w:ascii="Times New Roman" w:hAnsi="Times New Roman"/>
          <w:sz w:val="24"/>
          <w:szCs w:val="24"/>
        </w:rPr>
        <w:t>Finally, that</w:t>
      </w:r>
      <w:proofErr w:type="gramEnd"/>
      <w:r w:rsidRPr="00123691">
        <w:rPr>
          <w:rFonts w:ascii="Times New Roman" w:hAnsi="Times New Roman"/>
          <w:sz w:val="24"/>
          <w:szCs w:val="24"/>
        </w:rPr>
        <w:t xml:space="preserve"> Ford failed to timely notify community EMS responders of Mr. </w:t>
      </w:r>
      <w:proofErr w:type="spellStart"/>
      <w:r w:rsidRPr="00123691">
        <w:rPr>
          <w:rFonts w:ascii="Times New Roman" w:hAnsi="Times New Roman"/>
          <w:sz w:val="24"/>
          <w:szCs w:val="24"/>
        </w:rPr>
        <w:t>Ducoulombier's</w:t>
      </w:r>
      <w:proofErr w:type="spellEnd"/>
      <w:r w:rsidRPr="00123691">
        <w:rPr>
          <w:rFonts w:ascii="Times New Roman" w:hAnsi="Times New Roman"/>
          <w:sz w:val="24"/>
          <w:szCs w:val="24"/>
        </w:rPr>
        <w:t xml:space="preserve"> medical emergency and request their assistance in rendering care.</w:t>
      </w:r>
    </w:p>
    <w:p w14:paraId="612419E7" w14:textId="77777777" w:rsidR="0077274E" w:rsidRPr="00123691" w:rsidRDefault="0077274E" w:rsidP="0077274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10291A1" w14:textId="77777777" w:rsidR="0077274E" w:rsidRPr="00FB1BAB" w:rsidRDefault="0077274E" w:rsidP="0077274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B</w:t>
      </w:r>
      <w:r w:rsidRPr="00FB1BAB">
        <w:rPr>
          <w:rFonts w:ascii="Times New Roman" w:hAnsi="Times New Roman"/>
          <w:sz w:val="24"/>
          <w:szCs w:val="24"/>
        </w:rPr>
        <w:t xml:space="preserve">ased on the factual allegations set forth in Appellant's pleadings, the same is true here. Mr. </w:t>
      </w:r>
      <w:proofErr w:type="spellStart"/>
      <w:r w:rsidRPr="00FB1BAB">
        <w:rPr>
          <w:rFonts w:ascii="Times New Roman" w:hAnsi="Times New Roman"/>
          <w:sz w:val="24"/>
          <w:szCs w:val="24"/>
        </w:rPr>
        <w:t>Ducoulombier's</w:t>
      </w:r>
      <w:proofErr w:type="spellEnd"/>
      <w:r w:rsidRPr="00FB1BAB">
        <w:rPr>
          <w:rFonts w:ascii="Times New Roman" w:hAnsi="Times New Roman"/>
          <w:sz w:val="24"/>
          <w:szCs w:val="24"/>
        </w:rPr>
        <w:t xml:space="preserve"> presence and purpose for being on Ford's premises on February 25, 2016, was solely due to his employment. As such, exclusive statutory authority to consider the cause and extent of alleged injuries arising from Mr. </w:t>
      </w:r>
      <w:proofErr w:type="spellStart"/>
      <w:r w:rsidRPr="00FB1BAB">
        <w:rPr>
          <w:rFonts w:ascii="Times New Roman" w:hAnsi="Times New Roman"/>
          <w:sz w:val="24"/>
          <w:szCs w:val="24"/>
        </w:rPr>
        <w:t>Ducoulombier's</w:t>
      </w:r>
      <w:proofErr w:type="spellEnd"/>
      <w:r w:rsidRPr="00FB1BAB">
        <w:rPr>
          <w:rFonts w:ascii="Times New Roman" w:hAnsi="Times New Roman"/>
          <w:sz w:val="24"/>
          <w:szCs w:val="24"/>
        </w:rPr>
        <w:t xml:space="preserve"> presence at his workplace lies with the Labor and Industrial Relations Commission.</w:t>
      </w:r>
      <w:r>
        <w:rPr>
          <w:rFonts w:ascii="Times New Roman" w:hAnsi="Times New Roman"/>
          <w:sz w:val="24"/>
          <w:szCs w:val="24"/>
        </w:rPr>
        <w:t xml:space="preserve">” </w:t>
      </w:r>
      <w:hyperlink r:id="rId1181" w:history="1">
        <w:r w:rsidRPr="0041276B">
          <w:rPr>
            <w:rStyle w:val="Hyperlink"/>
            <w:rFonts w:ascii="Times New Roman" w:hAnsi="Times New Roman"/>
            <w:sz w:val="24"/>
            <w:szCs w:val="24"/>
          </w:rPr>
          <w:t>https://law.justia.com/cases/missouri/court-of-appeals/2021/wd83430.html</w:t>
        </w:r>
      </w:hyperlink>
      <w:r>
        <w:rPr>
          <w:rFonts w:ascii="Times New Roman" w:hAnsi="Times New Roman"/>
          <w:sz w:val="24"/>
          <w:szCs w:val="24"/>
        </w:rPr>
        <w:t xml:space="preserve"> </w:t>
      </w:r>
    </w:p>
    <w:p w14:paraId="16488130" w14:textId="77777777" w:rsidR="0077274E" w:rsidRDefault="0077274E" w:rsidP="0077274E">
      <w:pPr>
        <w:spacing w:before="100" w:beforeAutospacing="1" w:after="100" w:afterAutospacing="1" w:line="240" w:lineRule="auto"/>
        <w:rPr>
          <w:rFonts w:ascii="Times New Roman" w:hAnsi="Times New Roman"/>
          <w:b/>
          <w:bCs/>
          <w:sz w:val="24"/>
          <w:szCs w:val="24"/>
        </w:rPr>
      </w:pPr>
      <w:r w:rsidRPr="003B387C">
        <w:rPr>
          <w:rFonts w:ascii="Times New Roman" w:hAnsi="Times New Roman"/>
          <w:b/>
          <w:bCs/>
          <w:sz w:val="24"/>
          <w:szCs w:val="24"/>
        </w:rPr>
        <w:t>Legal Lesson Learned:</w:t>
      </w:r>
      <w:r>
        <w:rPr>
          <w:rFonts w:ascii="Times New Roman" w:hAnsi="Times New Roman"/>
          <w:b/>
          <w:bCs/>
          <w:sz w:val="24"/>
          <w:szCs w:val="24"/>
        </w:rPr>
        <w:t xml:space="preserve">  For workplace injuries and death, workers comp. is normally the exclusive remedy. </w:t>
      </w:r>
    </w:p>
    <w:p w14:paraId="7690D01C" w14:textId="77777777" w:rsidR="0077274E" w:rsidRPr="00F97B96" w:rsidRDefault="0077274E" w:rsidP="0077274E">
      <w:pPr>
        <w:pStyle w:val="Heading1"/>
        <w:ind w:left="720"/>
        <w:rPr>
          <w:b w:val="0"/>
          <w:bCs w:val="0"/>
          <w:sz w:val="24"/>
          <w:szCs w:val="24"/>
        </w:rPr>
      </w:pPr>
      <w:r w:rsidRPr="00F97B96">
        <w:rPr>
          <w:b w:val="0"/>
          <w:bCs w:val="0"/>
          <w:sz w:val="24"/>
          <w:szCs w:val="24"/>
        </w:rPr>
        <w:t xml:space="preserve">Note:  Some states allow lawsuits against employers for “intentional torts.”  Ohio has a very limited statute. Ohio Revised Code 2745.01, “Liability of employer for intentional tort - intent to injure required - exceptions.” </w:t>
      </w:r>
      <w:hyperlink r:id="rId1182" w:history="1">
        <w:r w:rsidRPr="00F97B96">
          <w:rPr>
            <w:rStyle w:val="Hyperlink"/>
            <w:sz w:val="24"/>
            <w:szCs w:val="24"/>
          </w:rPr>
          <w:t>https://codes.ohio.gov/ohio-revised-code/section-2745.01</w:t>
        </w:r>
      </w:hyperlink>
      <w:r w:rsidRPr="00F97B96">
        <w:rPr>
          <w:b w:val="0"/>
          <w:bCs w:val="0"/>
          <w:sz w:val="24"/>
          <w:szCs w:val="24"/>
        </w:rPr>
        <w:t xml:space="preserve"> </w:t>
      </w:r>
    </w:p>
    <w:p w14:paraId="2C8CB72D" w14:textId="77777777" w:rsidR="0077274E" w:rsidRPr="003B387C" w:rsidRDefault="0077274E" w:rsidP="0077274E">
      <w:pPr>
        <w:spacing w:before="100" w:beforeAutospacing="1" w:after="100" w:afterAutospacing="1" w:line="240" w:lineRule="auto"/>
        <w:ind w:left="720"/>
        <w:rPr>
          <w:rFonts w:ascii="Times New Roman" w:eastAsia="Times New Roman" w:hAnsi="Times New Roman"/>
          <w:sz w:val="24"/>
          <w:szCs w:val="24"/>
        </w:rPr>
      </w:pPr>
      <w:r w:rsidRPr="003B387C">
        <w:rPr>
          <w:rFonts w:ascii="Times New Roman" w:eastAsia="Times New Roman" w:hAnsi="Times New Roman"/>
          <w:sz w:val="24"/>
          <w:szCs w:val="24"/>
        </w:rPr>
        <w:t>(A) In an action brought against an employer by an employee, or by the dependent survivors of a deceased employee, for damages resulting from an intentional tort committed by the employer during the course of employment, the employer shall not be liable unless the plaintiff proves that the employer committed the tortious act with the intent to injure another or with the belief that the injury was substantially certain to occur.</w:t>
      </w:r>
    </w:p>
    <w:p w14:paraId="2D5BF1EC" w14:textId="77777777" w:rsidR="0077274E" w:rsidRPr="003B387C" w:rsidRDefault="0077274E" w:rsidP="0077274E">
      <w:pPr>
        <w:spacing w:before="100" w:beforeAutospacing="1" w:after="100" w:afterAutospacing="1" w:line="240" w:lineRule="auto"/>
        <w:ind w:left="720"/>
        <w:rPr>
          <w:rFonts w:ascii="Times New Roman" w:eastAsia="Times New Roman" w:hAnsi="Times New Roman"/>
          <w:sz w:val="24"/>
          <w:szCs w:val="24"/>
        </w:rPr>
      </w:pPr>
      <w:r w:rsidRPr="003B387C">
        <w:rPr>
          <w:rFonts w:ascii="Times New Roman" w:eastAsia="Times New Roman" w:hAnsi="Times New Roman"/>
          <w:sz w:val="24"/>
          <w:szCs w:val="24"/>
        </w:rPr>
        <w:t>(B) As used in this section, "substantially certain" means that an employer acts with deliberate intent to cause an employee to suffer an injury, a disease, a condition, or death.</w:t>
      </w:r>
    </w:p>
    <w:p w14:paraId="3B5CA388" w14:textId="77777777" w:rsidR="0077274E" w:rsidRPr="003B387C" w:rsidRDefault="0077274E" w:rsidP="0077274E">
      <w:pPr>
        <w:spacing w:before="100" w:beforeAutospacing="1" w:after="100" w:afterAutospacing="1" w:line="240" w:lineRule="auto"/>
        <w:ind w:left="720"/>
        <w:rPr>
          <w:rFonts w:ascii="Times New Roman" w:eastAsia="Times New Roman" w:hAnsi="Times New Roman"/>
          <w:sz w:val="24"/>
          <w:szCs w:val="24"/>
        </w:rPr>
      </w:pPr>
      <w:r w:rsidRPr="003B387C">
        <w:rPr>
          <w:rFonts w:ascii="Times New Roman" w:eastAsia="Times New Roman" w:hAnsi="Times New Roman"/>
          <w:sz w:val="24"/>
          <w:szCs w:val="24"/>
        </w:rPr>
        <w:t>(C) Deliberate removal by an employer of an equipment safety guard or deliberate misrepresentation of a toxic or hazardous substance creates a rebuttable presumption that the removal or misrepresentation was committed with intent to injure another if an injury or an occupational disease or condition occurs as a direct result.</w:t>
      </w:r>
    </w:p>
    <w:p w14:paraId="6BFA661B" w14:textId="77777777" w:rsidR="0077274E" w:rsidRPr="003B387C" w:rsidRDefault="0077274E" w:rsidP="0077274E">
      <w:pPr>
        <w:spacing w:before="100" w:beforeAutospacing="1" w:after="100" w:afterAutospacing="1" w:line="240" w:lineRule="auto"/>
        <w:ind w:left="720"/>
        <w:rPr>
          <w:rFonts w:ascii="Times New Roman" w:eastAsia="Times New Roman" w:hAnsi="Times New Roman"/>
          <w:sz w:val="24"/>
          <w:szCs w:val="24"/>
        </w:rPr>
      </w:pPr>
      <w:r w:rsidRPr="003B387C">
        <w:rPr>
          <w:rFonts w:ascii="Times New Roman" w:eastAsia="Times New Roman" w:hAnsi="Times New Roman"/>
          <w:sz w:val="24"/>
          <w:szCs w:val="24"/>
        </w:rPr>
        <w:t xml:space="preserve">(D) This section does not apply to claims arising </w:t>
      </w:r>
      <w:proofErr w:type="gramStart"/>
      <w:r w:rsidRPr="003B387C">
        <w:rPr>
          <w:rFonts w:ascii="Times New Roman" w:eastAsia="Times New Roman" w:hAnsi="Times New Roman"/>
          <w:sz w:val="24"/>
          <w:szCs w:val="24"/>
        </w:rPr>
        <w:t>during the course of</w:t>
      </w:r>
      <w:proofErr w:type="gramEnd"/>
      <w:r w:rsidRPr="003B387C">
        <w:rPr>
          <w:rFonts w:ascii="Times New Roman" w:eastAsia="Times New Roman" w:hAnsi="Times New Roman"/>
          <w:sz w:val="24"/>
          <w:szCs w:val="24"/>
        </w:rPr>
        <w:t xml:space="preserve"> employment involving discrimination, civil rights, retaliation, harassment in violation of Chapter 4112. of the Revised Code, intentional infliction of emotional distress not compensable under Chapters 4121. and 4123. of the Revised Code, contract, promissory estoppel, or defamation.</w:t>
      </w:r>
    </w:p>
    <w:p w14:paraId="322BF799" w14:textId="69FA7D36" w:rsidR="0077274E" w:rsidRDefault="00F27CD5" w:rsidP="00EF1133">
      <w:pPr>
        <w:rPr>
          <w:rFonts w:ascii="Arial Black" w:hAnsi="Arial Black"/>
          <w:b/>
          <w:sz w:val="24"/>
          <w:szCs w:val="24"/>
        </w:rPr>
      </w:pPr>
      <w:r>
        <w:rPr>
          <w:rFonts w:ascii="Arial Black" w:hAnsi="Arial Black"/>
          <w:b/>
          <w:sz w:val="24"/>
          <w:szCs w:val="24"/>
        </w:rPr>
        <w:t>6-</w:t>
      </w:r>
      <w:r w:rsidR="00FF7C63">
        <w:rPr>
          <w:rFonts w:ascii="Arial Black" w:hAnsi="Arial Black"/>
          <w:b/>
          <w:sz w:val="24"/>
          <w:szCs w:val="24"/>
        </w:rPr>
        <w:t>69</w:t>
      </w:r>
    </w:p>
    <w:p w14:paraId="7EA85C1B" w14:textId="77777777" w:rsidR="00F27CD5" w:rsidRPr="00AC6430" w:rsidRDefault="00F27CD5" w:rsidP="00F27CD5">
      <w:pPr>
        <w:pStyle w:val="NoSpacing"/>
        <w:rPr>
          <w:rFonts w:ascii="Arial Black" w:hAnsi="Arial Black"/>
          <w:sz w:val="28"/>
          <w:szCs w:val="28"/>
        </w:rPr>
      </w:pPr>
      <w:r>
        <w:rPr>
          <w:rFonts w:ascii="Arial Black" w:hAnsi="Arial Black"/>
          <w:sz w:val="28"/>
          <w:szCs w:val="28"/>
        </w:rPr>
        <w:t>LA: HEARING LOSS – GRADUAL LOSS OVER CAREER - MED. COVERAGE, BUT NOT PERMANENT PARTIAL DIABILITY</w:t>
      </w:r>
    </w:p>
    <w:p w14:paraId="1BE2649B" w14:textId="77777777" w:rsidR="00F27CD5" w:rsidRDefault="00F27CD5" w:rsidP="00F27CD5">
      <w:pPr>
        <w:pStyle w:val="NoSpacing"/>
        <w:rPr>
          <w:rFonts w:ascii="Times New Roman" w:hAnsi="Times New Roman"/>
          <w:sz w:val="24"/>
          <w:szCs w:val="24"/>
        </w:rPr>
      </w:pPr>
    </w:p>
    <w:p w14:paraId="573A5E42" w14:textId="77777777" w:rsidR="00F27CD5" w:rsidRPr="00AC6430" w:rsidRDefault="00F27CD5" w:rsidP="00F27CD5">
      <w:pPr>
        <w:pStyle w:val="NoSpacing"/>
        <w:rPr>
          <w:rFonts w:ascii="Times New Roman" w:hAnsi="Times New Roman"/>
          <w:sz w:val="24"/>
          <w:szCs w:val="24"/>
        </w:rPr>
      </w:pPr>
      <w:r w:rsidRPr="00AC6430">
        <w:rPr>
          <w:rFonts w:ascii="Times New Roman" w:hAnsi="Times New Roman"/>
          <w:sz w:val="24"/>
          <w:szCs w:val="24"/>
        </w:rPr>
        <w:t xml:space="preserve">On March 24, 2021, in </w:t>
      </w:r>
      <w:r w:rsidRPr="00AC6430">
        <w:rPr>
          <w:rFonts w:ascii="Times New Roman" w:hAnsi="Times New Roman"/>
          <w:sz w:val="24"/>
          <w:szCs w:val="24"/>
          <w:u w:val="single"/>
        </w:rPr>
        <w:t>James J. Hartman, Jr. vs. Bernard Parish Fire Department &amp; FARA</w:t>
      </w:r>
      <w:r w:rsidRPr="00AC6430">
        <w:rPr>
          <w:rFonts w:ascii="Times New Roman" w:hAnsi="Times New Roman"/>
          <w:sz w:val="24"/>
          <w:szCs w:val="24"/>
        </w:rPr>
        <w:t xml:space="preserve">, the Louisiana Supreme Court held (7 to 0) that a gradual loss of hearing by a District Chief does not meet the state’s statute requiring an explosion or other permanent hearing loss “solely due to a single traumatic accident.”  </w:t>
      </w:r>
      <w:r>
        <w:rPr>
          <w:rFonts w:ascii="Times New Roman" w:hAnsi="Times New Roman"/>
          <w:sz w:val="24"/>
          <w:szCs w:val="24"/>
        </w:rPr>
        <w:t xml:space="preserve">He is entitled to </w:t>
      </w:r>
      <w:proofErr w:type="gramStart"/>
      <w:r>
        <w:rPr>
          <w:rFonts w:ascii="Times New Roman" w:hAnsi="Times New Roman"/>
          <w:sz w:val="24"/>
          <w:szCs w:val="24"/>
        </w:rPr>
        <w:t>continuing</w:t>
      </w:r>
      <w:proofErr w:type="gramEnd"/>
      <w:r>
        <w:rPr>
          <w:rFonts w:ascii="Times New Roman" w:hAnsi="Times New Roman"/>
          <w:sz w:val="24"/>
          <w:szCs w:val="24"/>
        </w:rPr>
        <w:t xml:space="preserve"> medical coverage. </w:t>
      </w:r>
    </w:p>
    <w:p w14:paraId="753EDC8B" w14:textId="77777777" w:rsidR="00F27CD5" w:rsidRDefault="00F27CD5" w:rsidP="00F27CD5">
      <w:pPr>
        <w:pStyle w:val="NoSpacing"/>
        <w:rPr>
          <w:rFonts w:ascii="Times New Roman" w:hAnsi="Times New Roman"/>
          <w:sz w:val="24"/>
          <w:szCs w:val="24"/>
        </w:rPr>
      </w:pPr>
    </w:p>
    <w:p w14:paraId="079FC725" w14:textId="77777777" w:rsidR="00F27CD5" w:rsidRPr="00C14B60" w:rsidRDefault="00F27CD5" w:rsidP="00F27CD5">
      <w:pPr>
        <w:pStyle w:val="NoSpacing"/>
        <w:ind w:left="720"/>
        <w:rPr>
          <w:rFonts w:ascii="Times New Roman" w:hAnsi="Times New Roman"/>
          <w:color w:val="303030"/>
          <w:sz w:val="24"/>
          <w:szCs w:val="24"/>
        </w:rPr>
      </w:pPr>
      <w:r w:rsidRPr="00C14B60">
        <w:rPr>
          <w:rFonts w:ascii="Times New Roman" w:hAnsi="Times New Roman"/>
          <w:sz w:val="24"/>
          <w:szCs w:val="24"/>
        </w:rPr>
        <w:t xml:space="preserve">“Applying instead the clear and unambiguous words of the statute, we find that the medical evidence in this case establishes that Mr. Hartman’s hearing loss did not result solely from a single traumatic accident and, thus, he is not entitled to permanent partial disability benefits pursuant to La. R.S. 23:1221(4)(p).” </w:t>
      </w:r>
      <w:hyperlink r:id="rId1183" w:history="1">
        <w:r w:rsidRPr="00C14B60">
          <w:rPr>
            <w:rStyle w:val="Hyperlink"/>
            <w:sz w:val="24"/>
            <w:szCs w:val="24"/>
          </w:rPr>
          <w:t>https://www.lasc.org/Opinions/2021/20-0693.C.OPN.pdf</w:t>
        </w:r>
      </w:hyperlink>
      <w:r w:rsidRPr="00C14B60">
        <w:rPr>
          <w:rFonts w:ascii="Times New Roman" w:hAnsi="Times New Roman"/>
          <w:color w:val="303030"/>
          <w:sz w:val="24"/>
          <w:szCs w:val="24"/>
        </w:rPr>
        <w:t xml:space="preserve"> </w:t>
      </w:r>
    </w:p>
    <w:p w14:paraId="4BE49C89" w14:textId="77777777" w:rsidR="00F27CD5" w:rsidRPr="00AD1A4D" w:rsidRDefault="00F27CD5" w:rsidP="00F27CD5">
      <w:pPr>
        <w:pStyle w:val="NoSpacing"/>
        <w:rPr>
          <w:rFonts w:ascii="Times New Roman" w:hAnsi="Times New Roman"/>
          <w:b/>
          <w:bCs/>
          <w:sz w:val="24"/>
          <w:szCs w:val="24"/>
        </w:rPr>
      </w:pPr>
      <w:r w:rsidRPr="00AD1A4D">
        <w:rPr>
          <w:rFonts w:ascii="Times New Roman" w:hAnsi="Times New Roman"/>
          <w:b/>
          <w:bCs/>
          <w:sz w:val="24"/>
          <w:szCs w:val="24"/>
        </w:rPr>
        <w:t>Legal Lesson Learned:</w:t>
      </w:r>
      <w:r>
        <w:rPr>
          <w:rFonts w:ascii="Times New Roman" w:hAnsi="Times New Roman"/>
          <w:b/>
          <w:bCs/>
          <w:sz w:val="24"/>
          <w:szCs w:val="24"/>
        </w:rPr>
        <w:t xml:space="preserve"> The state statute limits partial disability compensation only if caused by a single traumatic accident. Time to “lobby” the legislature to broaden the statute. </w:t>
      </w:r>
    </w:p>
    <w:p w14:paraId="1C560811" w14:textId="77777777" w:rsidR="00F27CD5" w:rsidRDefault="00F27CD5" w:rsidP="00F27CD5">
      <w:pPr>
        <w:pStyle w:val="NormalWeb"/>
      </w:pPr>
      <w:r>
        <w:rPr>
          <w:sz w:val="38"/>
          <w:szCs w:val="38"/>
        </w:rPr>
        <w:tab/>
      </w:r>
      <w:r>
        <w:t xml:space="preserve">Note: </w:t>
      </w:r>
    </w:p>
    <w:p w14:paraId="2B8034EA" w14:textId="77777777" w:rsidR="00F27CD5" w:rsidRPr="00CC6D9B" w:rsidRDefault="00F27CD5" w:rsidP="00F27CD5">
      <w:pPr>
        <w:pStyle w:val="Heading1"/>
        <w:ind w:left="720"/>
        <w:rPr>
          <w:sz w:val="24"/>
          <w:szCs w:val="24"/>
        </w:rPr>
      </w:pPr>
      <w:r w:rsidRPr="00CB33A6">
        <w:rPr>
          <w:sz w:val="24"/>
          <w:szCs w:val="24"/>
        </w:rPr>
        <w:t xml:space="preserve">Ohio Revised Code: Section 4123.57 </w:t>
      </w:r>
      <w:r w:rsidRPr="00CB33A6">
        <w:rPr>
          <w:rStyle w:val="codes-separator"/>
          <w:sz w:val="24"/>
          <w:szCs w:val="24"/>
        </w:rPr>
        <w:t>|</w:t>
      </w:r>
      <w:r w:rsidRPr="00CB33A6">
        <w:rPr>
          <w:sz w:val="24"/>
          <w:szCs w:val="24"/>
        </w:rPr>
        <w:t xml:space="preserve"> Partial disability compensation</w:t>
      </w:r>
      <w:r w:rsidRPr="00CC6D9B">
        <w:rPr>
          <w:sz w:val="24"/>
          <w:szCs w:val="24"/>
        </w:rPr>
        <w:t>.</w:t>
      </w:r>
      <w:r>
        <w:rPr>
          <w:sz w:val="24"/>
          <w:szCs w:val="24"/>
        </w:rPr>
        <w:t xml:space="preserve"> </w:t>
      </w:r>
      <w:hyperlink r:id="rId1184" w:history="1">
        <w:r w:rsidRPr="00C724D5">
          <w:rPr>
            <w:rStyle w:val="Hyperlink"/>
            <w:sz w:val="24"/>
            <w:szCs w:val="24"/>
          </w:rPr>
          <w:t>https://codes.ohio.gov/ohio-revised-code/section-4123.57</w:t>
        </w:r>
      </w:hyperlink>
      <w:r>
        <w:rPr>
          <w:sz w:val="24"/>
          <w:szCs w:val="24"/>
        </w:rPr>
        <w:t xml:space="preserve"> </w:t>
      </w:r>
    </w:p>
    <w:p w14:paraId="707ACC72" w14:textId="77777777" w:rsidR="00F27CD5" w:rsidRDefault="00F27CD5" w:rsidP="00F27CD5">
      <w:pPr>
        <w:pStyle w:val="NormalWeb"/>
        <w:ind w:left="1440" w:firstLine="720"/>
      </w:pPr>
      <w:r>
        <w:t>“</w:t>
      </w:r>
      <w:r w:rsidRPr="00CC6D9B">
        <w:t>For the permanent and total loss of hearing, one hundred twenty-five weeks; but, except pursuant to the next preceding paragraph, in no case shall an award of compensation be made for less than permanent and total loss of hearing.</w:t>
      </w:r>
      <w:r>
        <w:t>”</w:t>
      </w:r>
    </w:p>
    <w:p w14:paraId="320230A5" w14:textId="77777777" w:rsidR="00F27CD5" w:rsidRPr="00AD1A4D" w:rsidRDefault="00F27CD5" w:rsidP="00F27CD5">
      <w:pPr>
        <w:pStyle w:val="NormalWeb"/>
        <w:ind w:left="720"/>
      </w:pPr>
      <w:r>
        <w:t xml:space="preserve">See also: </w:t>
      </w:r>
      <w:hyperlink r:id="rId1185" w:history="1">
        <w:r w:rsidRPr="00C724D5">
          <w:rPr>
            <w:rStyle w:val="Hyperlink"/>
          </w:rPr>
          <w:t>https://www.monastlaw.com/blog/ohio-workers-compensation-for-hearing-loss.cfm</w:t>
        </w:r>
      </w:hyperlink>
      <w:r>
        <w:t xml:space="preserve"> </w:t>
      </w:r>
    </w:p>
    <w:p w14:paraId="1910EDE7" w14:textId="77777777" w:rsidR="00F27CD5" w:rsidRPr="00AD1A4D" w:rsidRDefault="00F27CD5" w:rsidP="00F27CD5">
      <w:pPr>
        <w:pStyle w:val="NormalWeb"/>
        <w:ind w:left="1170"/>
      </w:pPr>
      <w:r>
        <w:t>“</w:t>
      </w:r>
      <w:r w:rsidRPr="00AD1A4D">
        <w:t xml:space="preserve">Under workers’ compensation law in Ohio, hearing loss is a </w:t>
      </w:r>
      <w:hyperlink r:id="rId1186" w:history="1">
        <w:r w:rsidRPr="00AD1A4D">
          <w:rPr>
            <w:rStyle w:val="Hyperlink"/>
          </w:rPr>
          <w:t>scheduled loss</w:t>
        </w:r>
      </w:hyperlink>
      <w:r w:rsidRPr="00AD1A4D">
        <w:t>, meaning compensation is awarded based on a set schedule. Depending on the extent of your hearing loss, you may obtain benefits for a specific number of weeks:</w:t>
      </w:r>
    </w:p>
    <w:p w14:paraId="39838718" w14:textId="77777777" w:rsidR="00F27CD5" w:rsidRPr="00AD1A4D" w:rsidRDefault="00F27CD5" w:rsidP="00F27CD5">
      <w:pPr>
        <w:numPr>
          <w:ilvl w:val="0"/>
          <w:numId w:val="10"/>
        </w:numPr>
        <w:tabs>
          <w:tab w:val="clear" w:pos="720"/>
          <w:tab w:val="num" w:pos="900"/>
        </w:tabs>
        <w:spacing w:before="100" w:beforeAutospacing="1" w:after="100" w:afterAutospacing="1" w:line="240" w:lineRule="auto"/>
        <w:ind w:firstLine="450"/>
        <w:rPr>
          <w:rFonts w:ascii="Times New Roman" w:hAnsi="Times New Roman"/>
          <w:sz w:val="24"/>
          <w:szCs w:val="24"/>
        </w:rPr>
      </w:pPr>
      <w:r w:rsidRPr="00AD1A4D">
        <w:rPr>
          <w:rFonts w:ascii="Times New Roman" w:hAnsi="Times New Roman"/>
          <w:sz w:val="24"/>
          <w:szCs w:val="24"/>
        </w:rPr>
        <w:t>25 weeks for permanent and total loss of hearing in one ear</w:t>
      </w:r>
    </w:p>
    <w:p w14:paraId="05E264D6" w14:textId="77777777" w:rsidR="00F27CD5" w:rsidRPr="00AD1A4D" w:rsidRDefault="00F27CD5" w:rsidP="00F27CD5">
      <w:pPr>
        <w:numPr>
          <w:ilvl w:val="0"/>
          <w:numId w:val="10"/>
        </w:numPr>
        <w:tabs>
          <w:tab w:val="clear" w:pos="720"/>
          <w:tab w:val="num" w:pos="900"/>
        </w:tabs>
        <w:spacing w:before="100" w:beforeAutospacing="1" w:after="100" w:afterAutospacing="1" w:line="240" w:lineRule="auto"/>
        <w:ind w:firstLine="450"/>
        <w:rPr>
          <w:rFonts w:ascii="Times New Roman" w:hAnsi="Times New Roman"/>
          <w:sz w:val="24"/>
          <w:szCs w:val="24"/>
        </w:rPr>
      </w:pPr>
      <w:r w:rsidRPr="00AD1A4D">
        <w:rPr>
          <w:rFonts w:ascii="Times New Roman" w:hAnsi="Times New Roman"/>
          <w:sz w:val="24"/>
          <w:szCs w:val="24"/>
        </w:rPr>
        <w:t>125 weeks for complete loss of hearing in both ears</w:t>
      </w:r>
    </w:p>
    <w:p w14:paraId="5943134C" w14:textId="77777777" w:rsidR="00F27CD5" w:rsidRDefault="00F27CD5" w:rsidP="00F27CD5">
      <w:pPr>
        <w:pStyle w:val="NormalWeb"/>
        <w:ind w:left="1170"/>
      </w:pPr>
      <w:r w:rsidRPr="00AD1A4D">
        <w:t xml:space="preserve">No award is </w:t>
      </w:r>
      <w:proofErr w:type="gramStart"/>
      <w:r w:rsidRPr="00AD1A4D">
        <w:t>made</w:t>
      </w:r>
      <w:proofErr w:type="gramEnd"/>
      <w:r w:rsidRPr="00AD1A4D">
        <w:t xml:space="preserve"> for anything less than permanent and total loss of hearing in at least one ear. Your benefits can include compensation for up to 100% of the statewide average weekly wage. This amount is determined annually</w:t>
      </w:r>
      <w:r>
        <w:t xml:space="preserve">.” </w:t>
      </w:r>
    </w:p>
    <w:p w14:paraId="5689C71C" w14:textId="77777777" w:rsidR="00F27CD5" w:rsidRDefault="00F27CD5" w:rsidP="00EF1133">
      <w:pPr>
        <w:rPr>
          <w:rFonts w:ascii="Arial Black" w:hAnsi="Arial Black"/>
          <w:b/>
          <w:sz w:val="24"/>
          <w:szCs w:val="24"/>
        </w:rPr>
      </w:pPr>
    </w:p>
    <w:p w14:paraId="3B347FB9" w14:textId="77777777" w:rsidR="0077274E" w:rsidRDefault="0077274E" w:rsidP="00EF1133">
      <w:pPr>
        <w:rPr>
          <w:rFonts w:ascii="Arial Black" w:hAnsi="Arial Black"/>
          <w:b/>
          <w:sz w:val="24"/>
          <w:szCs w:val="24"/>
        </w:rPr>
      </w:pPr>
    </w:p>
    <w:p w14:paraId="1FA1E0E7" w14:textId="4984267B" w:rsidR="00831847" w:rsidRDefault="00831847" w:rsidP="00EF1133">
      <w:pPr>
        <w:rPr>
          <w:rFonts w:ascii="Arial Black" w:hAnsi="Arial Black"/>
          <w:b/>
          <w:sz w:val="24"/>
          <w:szCs w:val="24"/>
        </w:rPr>
      </w:pPr>
      <w:r>
        <w:rPr>
          <w:rFonts w:ascii="Arial Black" w:hAnsi="Arial Black"/>
          <w:b/>
          <w:sz w:val="24"/>
          <w:szCs w:val="24"/>
        </w:rPr>
        <w:t>6-6</w:t>
      </w:r>
      <w:r w:rsidR="00FF7C63">
        <w:rPr>
          <w:rFonts w:ascii="Arial Black" w:hAnsi="Arial Black"/>
          <w:b/>
          <w:sz w:val="24"/>
          <w:szCs w:val="24"/>
        </w:rPr>
        <w:t>8</w:t>
      </w:r>
    </w:p>
    <w:p w14:paraId="6DD3BEA7" w14:textId="77777777" w:rsidR="00831847" w:rsidRPr="00E0778E" w:rsidRDefault="00831847" w:rsidP="00831847">
      <w:pPr>
        <w:pStyle w:val="NoSpacing"/>
        <w:rPr>
          <w:rFonts w:ascii="Arial Black" w:hAnsi="Arial Black"/>
          <w:sz w:val="28"/>
          <w:szCs w:val="28"/>
        </w:rPr>
      </w:pPr>
      <w:r>
        <w:rPr>
          <w:rFonts w:ascii="Arial Black" w:hAnsi="Arial Black"/>
          <w:sz w:val="28"/>
          <w:szCs w:val="28"/>
        </w:rPr>
        <w:t>IL: FF RETIRED AT MANADATORY AGE OF 65 – PENSION - CANNOT THEN ALSO RECEIVE UNEMPLOYMENT COMP</w:t>
      </w:r>
    </w:p>
    <w:p w14:paraId="6F45EBAD" w14:textId="77777777" w:rsidR="00831847" w:rsidRDefault="00831847" w:rsidP="0083184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16, 2021, in </w:t>
      </w:r>
      <w:r w:rsidRPr="00E0778E">
        <w:rPr>
          <w:rFonts w:ascii="Times New Roman" w:eastAsia="Times New Roman" w:hAnsi="Times New Roman"/>
          <w:sz w:val="24"/>
          <w:szCs w:val="24"/>
          <w:u w:val="single"/>
        </w:rPr>
        <w:t>Prospect Heights Fire Protection District v. The Department of Employment Security</w:t>
      </w:r>
      <w:r>
        <w:rPr>
          <w:rFonts w:ascii="Times New Roman" w:eastAsia="Times New Roman" w:hAnsi="Times New Roman"/>
          <w:sz w:val="24"/>
          <w:szCs w:val="24"/>
          <w:u w:val="single"/>
        </w:rPr>
        <w:t xml:space="preserve"> (Robert J. </w:t>
      </w:r>
      <w:proofErr w:type="spellStart"/>
      <w:r>
        <w:rPr>
          <w:rFonts w:ascii="Times New Roman" w:eastAsia="Times New Roman" w:hAnsi="Times New Roman"/>
          <w:sz w:val="24"/>
          <w:szCs w:val="24"/>
          <w:u w:val="single"/>
        </w:rPr>
        <w:t>Pyzyna</w:t>
      </w:r>
      <w:proofErr w:type="spellEnd"/>
      <w:r>
        <w:rPr>
          <w:rFonts w:ascii="Times New Roman" w:eastAsia="Times New Roman" w:hAnsi="Times New Roman"/>
          <w:sz w:val="24"/>
          <w:szCs w:val="24"/>
          <w:u w:val="single"/>
        </w:rPr>
        <w:t>)</w:t>
      </w:r>
      <w:r w:rsidRPr="00E0778E">
        <w:rPr>
          <w:rFonts w:ascii="Times New Roman" w:eastAsia="Times New Roman" w:hAnsi="Times New Roman"/>
          <w:sz w:val="24"/>
          <w:szCs w:val="24"/>
          <w:u w:val="single"/>
        </w:rPr>
        <w:t>, et al</w:t>
      </w:r>
      <w:r>
        <w:rPr>
          <w:rFonts w:ascii="Times New Roman" w:eastAsia="Times New Roman" w:hAnsi="Times New Roman"/>
          <w:sz w:val="24"/>
          <w:szCs w:val="24"/>
        </w:rPr>
        <w:t xml:space="preserve">., the Appellate Court of Illinois, First Judicial District (Second Division) held (3 to 0), </w:t>
      </w:r>
      <w:r w:rsidRPr="00F50861">
        <w:rPr>
          <w:rFonts w:ascii="Times New Roman" w:hAnsi="Times New Roman"/>
          <w:sz w:val="24"/>
          <w:szCs w:val="24"/>
        </w:rPr>
        <w:t>2021 IL App (1st) 182525</w:t>
      </w:r>
      <w:r>
        <w:rPr>
          <w:rFonts w:ascii="Times New Roman" w:eastAsia="Times New Roman" w:hAnsi="Times New Roman"/>
          <w:sz w:val="24"/>
          <w:szCs w:val="24"/>
        </w:rPr>
        <w:t xml:space="preserve">, that career firefighter Robert Pyzyna, who retired in Nov. 2017 when he reached mandatory retirement age 65, and began drawing a pension, should have not receive unemployment benefits since he was never “laid off.”  This is an important decision for Illinois fire service since it resolves an issue of “first impression.”  Note: </w:t>
      </w:r>
      <w:proofErr w:type="gramStart"/>
      <w:r>
        <w:rPr>
          <w:rFonts w:ascii="Times New Roman" w:eastAsia="Times New Roman" w:hAnsi="Times New Roman"/>
          <w:sz w:val="24"/>
          <w:szCs w:val="24"/>
        </w:rPr>
        <w:t>His is</w:t>
      </w:r>
      <w:proofErr w:type="gramEnd"/>
      <w:r>
        <w:rPr>
          <w:rFonts w:ascii="Times New Roman" w:eastAsia="Times New Roman" w:hAnsi="Times New Roman"/>
          <w:sz w:val="24"/>
          <w:szCs w:val="24"/>
        </w:rPr>
        <w:t xml:space="preserve"> current weekly income is $1,467.27; the unemployment benefit would have been $449.  While an Illinois statute would normally prevent applicants </w:t>
      </w:r>
      <w:proofErr w:type="gramStart"/>
      <w:r>
        <w:rPr>
          <w:rFonts w:ascii="Times New Roman" w:eastAsia="Times New Roman" w:hAnsi="Times New Roman"/>
          <w:sz w:val="24"/>
          <w:szCs w:val="24"/>
        </w:rPr>
        <w:t>to receive</w:t>
      </w:r>
      <w:proofErr w:type="gramEnd"/>
      <w:r>
        <w:rPr>
          <w:rFonts w:ascii="Times New Roman" w:eastAsia="Times New Roman" w:hAnsi="Times New Roman"/>
          <w:sz w:val="24"/>
          <w:szCs w:val="24"/>
        </w:rPr>
        <w:t xml:space="preserve"> unemployment comp if they are already making is excess of that amount, the Court decision was issued so other FF will not pursue such claims. </w:t>
      </w:r>
    </w:p>
    <w:p w14:paraId="686F31F9" w14:textId="77777777" w:rsidR="00831847" w:rsidRDefault="00831847" w:rsidP="00831847">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D82A44">
        <w:rPr>
          <w:rFonts w:ascii="Times New Roman" w:eastAsia="Times New Roman" w:hAnsi="Times New Roman"/>
          <w:sz w:val="24"/>
          <w:szCs w:val="24"/>
        </w:rPr>
        <w:t>Here, the issue raised in this appeal is one of first impression, and we find that resolving the issue would aid IDES officials in performing their duties and in properly applying the law. As such, we find that the</w:t>
      </w:r>
      <w:r>
        <w:rPr>
          <w:rFonts w:ascii="Times New Roman" w:eastAsia="Times New Roman" w:hAnsi="Times New Roman"/>
          <w:sz w:val="24"/>
          <w:szCs w:val="24"/>
        </w:rPr>
        <w:t xml:space="preserve"> </w:t>
      </w:r>
      <w:r w:rsidRPr="00D82A44">
        <w:rPr>
          <w:rFonts w:ascii="Times New Roman" w:eastAsia="Times New Roman" w:hAnsi="Times New Roman"/>
          <w:sz w:val="24"/>
          <w:szCs w:val="24"/>
        </w:rPr>
        <w:t xml:space="preserve">second prong of the public interest exception is also satisfied. </w:t>
      </w:r>
      <w:r w:rsidRPr="007A0047">
        <w:rPr>
          <w:rFonts w:ascii="Times New Roman" w:hAnsi="Times New Roman"/>
          <w:sz w:val="24"/>
          <w:szCs w:val="24"/>
        </w:rPr>
        <w:t xml:space="preserve">Finally, with respect to the third factor, given the large number of firefighters employed in this state, we believe that absent a ruling on this issue, questions about the interplay between the Fire Protection Act's mandatory retirement provision and the Unemployment Act are likely to </w:t>
      </w:r>
      <w:proofErr w:type="gramStart"/>
      <w:r w:rsidRPr="007A0047">
        <w:rPr>
          <w:rFonts w:ascii="Times New Roman" w:hAnsi="Times New Roman"/>
          <w:sz w:val="24"/>
          <w:szCs w:val="24"/>
        </w:rPr>
        <w:t>reoccur</w:t>
      </w:r>
      <w:proofErr w:type="gramEnd"/>
      <w:r w:rsidRPr="007A0047">
        <w:rPr>
          <w:rFonts w:ascii="Times New Roman" w:hAnsi="Times New Roman"/>
          <w:sz w:val="24"/>
          <w:szCs w:val="24"/>
        </w:rPr>
        <w:t>.</w:t>
      </w:r>
    </w:p>
    <w:p w14:paraId="0CDD0D7A" w14:textId="77777777" w:rsidR="00831847" w:rsidRDefault="00831847" w:rsidP="00831847">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175ACA01" w14:textId="77777777" w:rsidR="00831847" w:rsidRPr="00F50861" w:rsidRDefault="00831847" w:rsidP="00831847">
      <w:pPr>
        <w:spacing w:before="100" w:beforeAutospacing="1" w:after="100" w:afterAutospacing="1" w:line="240" w:lineRule="auto"/>
        <w:ind w:left="720"/>
        <w:rPr>
          <w:rFonts w:ascii="Times New Roman" w:hAnsi="Times New Roman"/>
          <w:sz w:val="24"/>
          <w:szCs w:val="24"/>
        </w:rPr>
      </w:pPr>
      <w:r w:rsidRPr="00F50861">
        <w:rPr>
          <w:rFonts w:ascii="Times New Roman" w:hAnsi="Times New Roman"/>
          <w:sz w:val="24"/>
          <w:szCs w:val="24"/>
        </w:rPr>
        <w:t>We conclude that an Illinois firefighter who leaves his or her place of employment upon reaching the mandatory retirement age of 65 does so voluntarily absent good cause attributable to the employer and is not eligible to seek unemployment benefits pursuant to the Unemployment Act. Accordingly, we affirm the circuit court judgment reversing the contrary conclusion reached by the Board in this case.</w:t>
      </w:r>
      <w:r>
        <w:rPr>
          <w:rFonts w:ascii="Times New Roman" w:hAnsi="Times New Roman"/>
          <w:sz w:val="24"/>
          <w:szCs w:val="24"/>
        </w:rPr>
        <w:t xml:space="preserve">” </w:t>
      </w:r>
      <w:hyperlink r:id="rId1187" w:history="1">
        <w:r w:rsidRPr="00AB20E4">
          <w:rPr>
            <w:rStyle w:val="Hyperlink"/>
            <w:sz w:val="24"/>
            <w:szCs w:val="24"/>
          </w:rPr>
          <w:t>https://casetext.com/case/prospect-heights-fire-prot-dist-v-dept-of-empt-sec</w:t>
        </w:r>
      </w:hyperlink>
      <w:r>
        <w:rPr>
          <w:rFonts w:ascii="Times New Roman" w:hAnsi="Times New Roman"/>
          <w:sz w:val="24"/>
          <w:szCs w:val="24"/>
        </w:rPr>
        <w:t xml:space="preserve"> </w:t>
      </w:r>
    </w:p>
    <w:p w14:paraId="040E9525" w14:textId="77777777" w:rsidR="00831847" w:rsidRPr="00D82A44" w:rsidRDefault="00831847" w:rsidP="00831847">
      <w:pPr>
        <w:spacing w:before="100" w:beforeAutospacing="1" w:after="100" w:afterAutospacing="1" w:line="240" w:lineRule="auto"/>
        <w:rPr>
          <w:rFonts w:ascii="Times New Roman" w:eastAsia="Times New Roman" w:hAnsi="Times New Roman"/>
          <w:b/>
          <w:bCs/>
          <w:sz w:val="24"/>
          <w:szCs w:val="24"/>
        </w:rPr>
      </w:pPr>
      <w:r w:rsidRPr="0087635A">
        <w:rPr>
          <w:rFonts w:ascii="Times New Roman" w:hAnsi="Times New Roman"/>
          <w:b/>
          <w:bCs/>
          <w:sz w:val="24"/>
          <w:szCs w:val="24"/>
        </w:rPr>
        <w:t>Legal Lesson Learned:</w:t>
      </w:r>
      <w:r>
        <w:rPr>
          <w:rFonts w:ascii="Times New Roman" w:hAnsi="Times New Roman"/>
          <w:b/>
          <w:bCs/>
          <w:sz w:val="24"/>
          <w:szCs w:val="24"/>
        </w:rPr>
        <w:t xml:space="preserve">  Excellent court decision that hopefully will prevent other Illinois firefighters from pursuing unemployment claims after their retirement at age 65. </w:t>
      </w:r>
    </w:p>
    <w:p w14:paraId="3E7C7067" w14:textId="77777777" w:rsidR="00831847" w:rsidRDefault="00831847" w:rsidP="00831847">
      <w:pPr>
        <w:pStyle w:val="NoSpacing"/>
        <w:ind w:left="720"/>
        <w:rPr>
          <w:rFonts w:ascii="Times New Roman" w:hAnsi="Times New Roman"/>
          <w:sz w:val="24"/>
          <w:szCs w:val="24"/>
        </w:rPr>
      </w:pPr>
      <w:r>
        <w:rPr>
          <w:rFonts w:ascii="Times New Roman" w:hAnsi="Times New Roman"/>
          <w:sz w:val="24"/>
          <w:szCs w:val="24"/>
        </w:rPr>
        <w:t xml:space="preserve">Note – Mandatory Retirement: </w:t>
      </w:r>
    </w:p>
    <w:p w14:paraId="46F0EF97" w14:textId="77777777" w:rsidR="00831847" w:rsidRDefault="00831847" w:rsidP="00831847">
      <w:pPr>
        <w:pStyle w:val="NoSpacing"/>
        <w:ind w:left="720"/>
        <w:rPr>
          <w:rFonts w:ascii="Times New Roman" w:hAnsi="Times New Roman"/>
          <w:sz w:val="24"/>
          <w:szCs w:val="24"/>
        </w:rPr>
      </w:pPr>
    </w:p>
    <w:p w14:paraId="24245B55" w14:textId="77777777" w:rsidR="00831847" w:rsidRDefault="00831847" w:rsidP="00831847">
      <w:pPr>
        <w:pStyle w:val="NoSpacing"/>
        <w:ind w:left="720"/>
        <w:rPr>
          <w:rFonts w:ascii="Times New Roman" w:hAnsi="Times New Roman"/>
          <w:color w:val="000000"/>
          <w:sz w:val="24"/>
          <w:szCs w:val="24"/>
        </w:rPr>
      </w:pPr>
      <w:r>
        <w:rPr>
          <w:rFonts w:ascii="Times New Roman" w:hAnsi="Times New Roman"/>
          <w:color w:val="000000"/>
          <w:sz w:val="24"/>
          <w:szCs w:val="24"/>
        </w:rPr>
        <w:t>“</w:t>
      </w:r>
      <w:r w:rsidRPr="0087635A">
        <w:rPr>
          <w:rFonts w:ascii="Times New Roman" w:hAnsi="Times New Roman"/>
          <w:color w:val="000000"/>
          <w:sz w:val="24"/>
          <w:szCs w:val="24"/>
        </w:rPr>
        <w:t xml:space="preserve">After Congress in 1996 permitted age caps for police and fire personnel, Chicago restored its mandatory retirement age of 63 for firefighters. Having lost on their ADEA claim, they asserted that their forced retirements violated due process. The appellate panel held that </w:t>
      </w:r>
      <w:proofErr w:type="gramStart"/>
      <w:r w:rsidRPr="0087635A">
        <w:rPr>
          <w:rFonts w:ascii="Times New Roman" w:hAnsi="Times New Roman"/>
          <w:color w:val="000000"/>
          <w:sz w:val="24"/>
          <w:szCs w:val="24"/>
        </w:rPr>
        <w:t>an involuntary</w:t>
      </w:r>
      <w:proofErr w:type="gramEnd"/>
      <w:r w:rsidRPr="0087635A">
        <w:rPr>
          <w:rFonts w:ascii="Times New Roman" w:hAnsi="Times New Roman"/>
          <w:color w:val="000000"/>
          <w:sz w:val="24"/>
          <w:szCs w:val="24"/>
        </w:rPr>
        <w:t xml:space="preserve"> retirement is not a discharge and the bargaining agreement did not give firefighters a protected property interest in continued employment regardless of their age. Minch v. City of Chicago, #05-2702, 2007 U.S. App. Lexis 11260, 181 LRRM (BNA) 3089 (7th Cir.).</w:t>
      </w:r>
      <w:r>
        <w:rPr>
          <w:rFonts w:ascii="Times New Roman" w:hAnsi="Times New Roman"/>
          <w:color w:val="000000"/>
          <w:sz w:val="24"/>
          <w:szCs w:val="24"/>
        </w:rPr>
        <w:t xml:space="preserve">” </w:t>
      </w:r>
      <w:hyperlink r:id="rId1188" w:history="1">
        <w:r w:rsidRPr="00AB20E4">
          <w:rPr>
            <w:rStyle w:val="Hyperlink"/>
            <w:sz w:val="24"/>
            <w:szCs w:val="24"/>
          </w:rPr>
          <w:t>http://www.aele.org/law/Digests/empl6.html</w:t>
        </w:r>
      </w:hyperlink>
      <w:r>
        <w:rPr>
          <w:rFonts w:ascii="Times New Roman" w:hAnsi="Times New Roman"/>
          <w:color w:val="000000"/>
          <w:sz w:val="24"/>
          <w:szCs w:val="24"/>
        </w:rPr>
        <w:t xml:space="preserve"> </w:t>
      </w:r>
    </w:p>
    <w:p w14:paraId="21D09FCD" w14:textId="77777777" w:rsidR="00831847" w:rsidRDefault="00831847" w:rsidP="00831847">
      <w:pPr>
        <w:pStyle w:val="NoSpacing"/>
        <w:ind w:left="720"/>
        <w:rPr>
          <w:rFonts w:ascii="Times New Roman" w:hAnsi="Times New Roman"/>
          <w:color w:val="000000"/>
          <w:sz w:val="24"/>
          <w:szCs w:val="24"/>
        </w:rPr>
      </w:pPr>
    </w:p>
    <w:p w14:paraId="5B8F3FBB" w14:textId="77777777" w:rsidR="00831847" w:rsidRDefault="00831847" w:rsidP="00831847">
      <w:pPr>
        <w:pStyle w:val="NoSpacing"/>
        <w:ind w:left="720"/>
        <w:rPr>
          <w:rFonts w:ascii="Times New Roman" w:hAnsi="Times New Roman"/>
          <w:color w:val="000000"/>
          <w:sz w:val="24"/>
          <w:szCs w:val="24"/>
        </w:rPr>
      </w:pPr>
      <w:r>
        <w:rPr>
          <w:rFonts w:ascii="Times New Roman" w:hAnsi="Times New Roman"/>
          <w:color w:val="000000"/>
          <w:sz w:val="24"/>
          <w:szCs w:val="24"/>
        </w:rPr>
        <w:t>***</w:t>
      </w:r>
    </w:p>
    <w:p w14:paraId="218CD4FB" w14:textId="77777777" w:rsidR="00831847" w:rsidRDefault="00831847" w:rsidP="00831847">
      <w:pPr>
        <w:pStyle w:val="NoSpacing"/>
        <w:ind w:left="720"/>
        <w:rPr>
          <w:rFonts w:ascii="Times New Roman" w:hAnsi="Times New Roman"/>
          <w:color w:val="000000"/>
          <w:sz w:val="24"/>
          <w:szCs w:val="24"/>
        </w:rPr>
      </w:pPr>
    </w:p>
    <w:p w14:paraId="32D3782D" w14:textId="77777777" w:rsidR="00831847" w:rsidRDefault="00831847" w:rsidP="00831847">
      <w:pPr>
        <w:pStyle w:val="NoSpacing"/>
        <w:ind w:left="720"/>
        <w:rPr>
          <w:rFonts w:ascii="Times New Roman" w:hAnsi="Times New Roman"/>
          <w:sz w:val="24"/>
          <w:szCs w:val="24"/>
        </w:rPr>
      </w:pPr>
      <w:r w:rsidRPr="00990608">
        <w:rPr>
          <w:rFonts w:ascii="Times New Roman" w:hAnsi="Times New Roman"/>
          <w:color w:val="000000"/>
          <w:sz w:val="24"/>
          <w:szCs w:val="24"/>
        </w:rPr>
        <w:t xml:space="preserve">U.S. Department of Interior firefighters: </w:t>
      </w:r>
      <w:r>
        <w:rPr>
          <w:rFonts w:ascii="Times New Roman" w:hAnsi="Times New Roman"/>
          <w:color w:val="000000"/>
          <w:sz w:val="24"/>
          <w:szCs w:val="24"/>
        </w:rPr>
        <w:t>“</w:t>
      </w:r>
      <w:r>
        <w:rPr>
          <w:rFonts w:ascii="Times New Roman" w:hAnsi="Times New Roman"/>
          <w:sz w:val="24"/>
          <w:szCs w:val="24"/>
        </w:rPr>
        <w:t xml:space="preserve">The </w:t>
      </w:r>
      <w:r w:rsidRPr="00990608">
        <w:rPr>
          <w:rFonts w:ascii="Times New Roman" w:hAnsi="Times New Roman"/>
          <w:sz w:val="24"/>
          <w:szCs w:val="24"/>
        </w:rPr>
        <w:t>mandatory retirement age, with</w:t>
      </w:r>
      <w:r>
        <w:rPr>
          <w:rFonts w:ascii="Times New Roman" w:hAnsi="Times New Roman"/>
          <w:sz w:val="24"/>
          <w:szCs w:val="24"/>
        </w:rPr>
        <w:t xml:space="preserve"> </w:t>
      </w:r>
      <w:r w:rsidRPr="00990608">
        <w:rPr>
          <w:rFonts w:ascii="Times New Roman" w:hAnsi="Times New Roman"/>
          <w:sz w:val="24"/>
          <w:szCs w:val="24"/>
        </w:rPr>
        <w:t>20 years covered service</w:t>
      </w:r>
      <w:r>
        <w:rPr>
          <w:rFonts w:ascii="Times New Roman" w:hAnsi="Times New Roman"/>
          <w:sz w:val="24"/>
          <w:szCs w:val="24"/>
        </w:rPr>
        <w:t xml:space="preserve"> </w:t>
      </w:r>
      <w:r w:rsidRPr="00990608">
        <w:rPr>
          <w:rFonts w:ascii="Times New Roman" w:hAnsi="Times New Roman"/>
          <w:sz w:val="24"/>
          <w:szCs w:val="24"/>
        </w:rPr>
        <w:t>is:</w:t>
      </w:r>
      <w:r>
        <w:rPr>
          <w:rFonts w:ascii="Times New Roman" w:hAnsi="Times New Roman"/>
          <w:sz w:val="24"/>
          <w:szCs w:val="24"/>
        </w:rPr>
        <w:t xml:space="preserve"> </w:t>
      </w:r>
      <w:r w:rsidRPr="00990608">
        <w:rPr>
          <w:rFonts w:ascii="Times New Roman" w:hAnsi="Times New Roman"/>
          <w:sz w:val="24"/>
          <w:szCs w:val="24"/>
        </w:rPr>
        <w:t>Firefighters and Law Enforcement Officers - age 57, or any</w:t>
      </w:r>
      <w:r>
        <w:rPr>
          <w:rFonts w:ascii="Times New Roman" w:hAnsi="Times New Roman"/>
          <w:sz w:val="24"/>
          <w:szCs w:val="24"/>
        </w:rPr>
        <w:t xml:space="preserve"> </w:t>
      </w:r>
      <w:r w:rsidRPr="00990608">
        <w:rPr>
          <w:rFonts w:ascii="Times New Roman" w:hAnsi="Times New Roman"/>
          <w:sz w:val="24"/>
          <w:szCs w:val="24"/>
        </w:rPr>
        <w:t>time after age 57, upon reaching 20 years</w:t>
      </w:r>
      <w:r>
        <w:rPr>
          <w:rFonts w:ascii="Times New Roman" w:hAnsi="Times New Roman"/>
          <w:sz w:val="24"/>
          <w:szCs w:val="24"/>
        </w:rPr>
        <w:t xml:space="preserve"> </w:t>
      </w:r>
      <w:r w:rsidRPr="00990608">
        <w:rPr>
          <w:rFonts w:ascii="Times New Roman" w:hAnsi="Times New Roman"/>
          <w:sz w:val="24"/>
          <w:szCs w:val="24"/>
        </w:rPr>
        <w:t>covered service.</w:t>
      </w:r>
      <w:r>
        <w:rPr>
          <w:rFonts w:ascii="Times New Roman" w:hAnsi="Times New Roman"/>
          <w:sz w:val="24"/>
          <w:szCs w:val="24"/>
        </w:rPr>
        <w:t xml:space="preserve">” </w:t>
      </w:r>
      <w:hyperlink r:id="rId1189" w:history="1">
        <w:r w:rsidRPr="00AB20E4">
          <w:rPr>
            <w:rStyle w:val="Hyperlink"/>
            <w:sz w:val="24"/>
            <w:szCs w:val="24"/>
          </w:rPr>
          <w:t>https://www.doi.gov/sites/doi.gov/files/migrated/flert/training/upload/General-FF-LEO-Retirement-Information-Pamphlet.pdf</w:t>
        </w:r>
      </w:hyperlink>
      <w:r>
        <w:rPr>
          <w:rFonts w:ascii="Times New Roman" w:hAnsi="Times New Roman"/>
          <w:sz w:val="24"/>
          <w:szCs w:val="24"/>
        </w:rPr>
        <w:t xml:space="preserve"> </w:t>
      </w:r>
    </w:p>
    <w:p w14:paraId="75B62BC3" w14:textId="77777777" w:rsidR="00831847" w:rsidRDefault="00831847" w:rsidP="00831847">
      <w:pPr>
        <w:pStyle w:val="NoSpacing"/>
        <w:ind w:left="720"/>
        <w:rPr>
          <w:rFonts w:ascii="Times New Roman" w:hAnsi="Times New Roman"/>
          <w:color w:val="000000"/>
          <w:sz w:val="24"/>
          <w:szCs w:val="24"/>
        </w:rPr>
      </w:pPr>
    </w:p>
    <w:p w14:paraId="68B9DABD" w14:textId="77777777" w:rsidR="00831847" w:rsidRPr="00990608" w:rsidRDefault="00831847" w:rsidP="00831847">
      <w:pPr>
        <w:pStyle w:val="NoSpacing"/>
        <w:ind w:left="720"/>
        <w:rPr>
          <w:rFonts w:ascii="Times New Roman" w:hAnsi="Times New Roman"/>
          <w:color w:val="000000"/>
          <w:sz w:val="24"/>
          <w:szCs w:val="24"/>
        </w:rPr>
      </w:pPr>
      <w:r>
        <w:rPr>
          <w:rFonts w:ascii="Times New Roman" w:hAnsi="Times New Roman"/>
          <w:color w:val="000000"/>
          <w:sz w:val="24"/>
          <w:szCs w:val="24"/>
        </w:rPr>
        <w:t>***</w:t>
      </w:r>
    </w:p>
    <w:p w14:paraId="3D096B16" w14:textId="77777777" w:rsidR="00831847" w:rsidRPr="00990608" w:rsidRDefault="00831847" w:rsidP="00831847">
      <w:pPr>
        <w:pStyle w:val="NoSpacing"/>
        <w:rPr>
          <w:rFonts w:ascii="Times New Roman" w:hAnsi="Times New Roman"/>
          <w:sz w:val="24"/>
          <w:szCs w:val="24"/>
        </w:rPr>
      </w:pPr>
    </w:p>
    <w:p w14:paraId="2D5E1072" w14:textId="77777777" w:rsidR="00831847" w:rsidRDefault="00831847" w:rsidP="00831847">
      <w:pPr>
        <w:pStyle w:val="NoSpacing"/>
        <w:ind w:left="720"/>
        <w:rPr>
          <w:rFonts w:ascii="Times New Roman" w:hAnsi="Times New Roman"/>
          <w:sz w:val="24"/>
          <w:szCs w:val="24"/>
        </w:rPr>
      </w:pPr>
      <w:r>
        <w:rPr>
          <w:rFonts w:ascii="Times New Roman" w:hAnsi="Times New Roman"/>
          <w:sz w:val="24"/>
          <w:szCs w:val="24"/>
        </w:rPr>
        <w:t>March 6, 2012: “</w:t>
      </w:r>
      <w:r w:rsidRPr="00990608">
        <w:rPr>
          <w:rFonts w:ascii="Times New Roman" w:hAnsi="Times New Roman"/>
          <w:sz w:val="24"/>
          <w:szCs w:val="24"/>
        </w:rPr>
        <w:t xml:space="preserve">Many states made changes to retirement benefits for uniformed personnel in the wake of the recession. Table 2 shows changes made in 12 states from 2010 to 2011. Some moved to 25 and out plans; new uniformed hires in various classes of employment in Arizona, Connecticut, Hawaii, Maryland, New Jersey, and Rhode Island were placed in 25 and out plans. In 2010 new hazardous duty personnel in Louisiana began in a 25 and out plan, as well. Six other states set higher retirement ages and/or service requirements for some uniformed personnel. Florida, for example, adopted a 60/30 plan for its new special risk class employees and Massachusetts increased retirement ages for three out of four types of law enforcement employees to 50 and 55. In Illinois new uniformed employees of Downstate and Chicago will be required to reach the age of 55 and have at least 10 </w:t>
      </w:r>
      <w:proofErr w:type="spellStart"/>
      <w:r w:rsidRPr="00990608">
        <w:rPr>
          <w:rFonts w:ascii="Times New Roman" w:hAnsi="Times New Roman"/>
          <w:sz w:val="24"/>
          <w:szCs w:val="24"/>
        </w:rPr>
        <w:t>years service</w:t>
      </w:r>
      <w:proofErr w:type="spellEnd"/>
      <w:r w:rsidRPr="00990608">
        <w:rPr>
          <w:rFonts w:ascii="Times New Roman" w:hAnsi="Times New Roman"/>
          <w:sz w:val="24"/>
          <w:szCs w:val="24"/>
        </w:rPr>
        <w:t xml:space="preserve"> to claim a pension.</w:t>
      </w:r>
      <w:r>
        <w:rPr>
          <w:rFonts w:ascii="Times New Roman" w:hAnsi="Times New Roman"/>
          <w:sz w:val="24"/>
          <w:szCs w:val="24"/>
        </w:rPr>
        <w:t xml:space="preserve">” </w:t>
      </w:r>
      <w:hyperlink r:id="rId1190" w:history="1">
        <w:r w:rsidRPr="00AB20E4">
          <w:rPr>
            <w:rStyle w:val="Hyperlink"/>
            <w:sz w:val="24"/>
            <w:szCs w:val="24"/>
          </w:rPr>
          <w:t>https://cbcny.org/research/pension-reform-firefighters-will-not-be-running-burning-buildings-age-65</w:t>
        </w:r>
      </w:hyperlink>
      <w:r>
        <w:rPr>
          <w:rFonts w:ascii="Times New Roman" w:hAnsi="Times New Roman"/>
          <w:sz w:val="24"/>
          <w:szCs w:val="24"/>
        </w:rPr>
        <w:t xml:space="preserve"> </w:t>
      </w:r>
    </w:p>
    <w:p w14:paraId="0CA9BD02" w14:textId="77777777" w:rsidR="00831847" w:rsidRDefault="00831847" w:rsidP="00831847">
      <w:pPr>
        <w:pStyle w:val="NoSpacing"/>
        <w:ind w:left="720"/>
        <w:rPr>
          <w:rFonts w:ascii="Times New Roman" w:hAnsi="Times New Roman"/>
          <w:sz w:val="24"/>
          <w:szCs w:val="24"/>
        </w:rPr>
      </w:pPr>
    </w:p>
    <w:p w14:paraId="66C4B62A" w14:textId="77777777" w:rsidR="00831847" w:rsidRPr="00990608" w:rsidRDefault="00831847" w:rsidP="00831847">
      <w:pPr>
        <w:pStyle w:val="NoSpacing"/>
        <w:ind w:left="720"/>
        <w:rPr>
          <w:rFonts w:ascii="Times New Roman" w:hAnsi="Times New Roman"/>
          <w:sz w:val="24"/>
          <w:szCs w:val="24"/>
        </w:rPr>
      </w:pPr>
      <w:r>
        <w:rPr>
          <w:rFonts w:ascii="Times New Roman" w:hAnsi="Times New Roman"/>
          <w:sz w:val="24"/>
          <w:szCs w:val="24"/>
        </w:rPr>
        <w:t>***</w:t>
      </w:r>
    </w:p>
    <w:p w14:paraId="238D4B31" w14:textId="77777777" w:rsidR="00831847" w:rsidRPr="00990608" w:rsidRDefault="00831847" w:rsidP="00831847">
      <w:pPr>
        <w:pStyle w:val="NoSpacing"/>
        <w:ind w:left="720"/>
        <w:rPr>
          <w:rFonts w:ascii="Times New Roman" w:hAnsi="Times New Roman"/>
          <w:sz w:val="24"/>
          <w:szCs w:val="24"/>
        </w:rPr>
      </w:pPr>
    </w:p>
    <w:p w14:paraId="7E8A59C8" w14:textId="77777777" w:rsidR="00831847" w:rsidRDefault="00831847" w:rsidP="00831847">
      <w:pPr>
        <w:pStyle w:val="NoSpacing"/>
        <w:ind w:left="720"/>
        <w:rPr>
          <w:rFonts w:ascii="Times New Roman" w:hAnsi="Times New Roman"/>
          <w:sz w:val="24"/>
          <w:szCs w:val="24"/>
        </w:rPr>
      </w:pPr>
      <w:r>
        <w:rPr>
          <w:rFonts w:ascii="Times New Roman" w:hAnsi="Times New Roman"/>
          <w:sz w:val="24"/>
          <w:szCs w:val="24"/>
        </w:rPr>
        <w:t xml:space="preserve">March 2, 2002:  </w:t>
      </w:r>
      <w:r w:rsidRPr="0087635A">
        <w:rPr>
          <w:rFonts w:ascii="Times New Roman" w:hAnsi="Times New Roman"/>
          <w:sz w:val="24"/>
          <w:szCs w:val="24"/>
        </w:rPr>
        <w:t>Federal firefighters have a mandatory retirement age of 57. In California the age is 60 and in Chicago, it's 63. Connecticut state law puts the issue under local control.</w:t>
      </w:r>
      <w:r>
        <w:rPr>
          <w:rFonts w:ascii="Times New Roman" w:hAnsi="Times New Roman"/>
          <w:sz w:val="24"/>
          <w:szCs w:val="24"/>
        </w:rPr>
        <w:t xml:space="preserve"> </w:t>
      </w:r>
      <w:hyperlink r:id="rId1191" w:history="1">
        <w:r w:rsidRPr="00AB20E4">
          <w:rPr>
            <w:rStyle w:val="Hyperlink"/>
            <w:sz w:val="24"/>
            <w:szCs w:val="24"/>
          </w:rPr>
          <w:t>https://www.courant.com/news/connecticut/hc-xpm-2002-03-02-0203020027-story.html</w:t>
        </w:r>
      </w:hyperlink>
      <w:r>
        <w:rPr>
          <w:rFonts w:ascii="Times New Roman" w:hAnsi="Times New Roman"/>
          <w:sz w:val="24"/>
          <w:szCs w:val="24"/>
        </w:rPr>
        <w:t xml:space="preserve"> </w:t>
      </w:r>
    </w:p>
    <w:p w14:paraId="1CA35CB2" w14:textId="77777777" w:rsidR="00831847" w:rsidRDefault="00831847" w:rsidP="00831847">
      <w:pPr>
        <w:pStyle w:val="NoSpacing"/>
        <w:ind w:left="720"/>
        <w:rPr>
          <w:rFonts w:ascii="Times New Roman" w:hAnsi="Times New Roman"/>
          <w:sz w:val="24"/>
          <w:szCs w:val="24"/>
        </w:rPr>
      </w:pPr>
    </w:p>
    <w:p w14:paraId="4227E910" w14:textId="77777777" w:rsidR="00831847" w:rsidRDefault="00831847" w:rsidP="00831847">
      <w:pPr>
        <w:pStyle w:val="NoSpacing"/>
        <w:ind w:left="720"/>
        <w:rPr>
          <w:rFonts w:ascii="Times New Roman" w:hAnsi="Times New Roman"/>
          <w:sz w:val="24"/>
          <w:szCs w:val="24"/>
        </w:rPr>
      </w:pPr>
      <w:r>
        <w:rPr>
          <w:rFonts w:ascii="Times New Roman" w:hAnsi="Times New Roman"/>
          <w:sz w:val="24"/>
          <w:szCs w:val="24"/>
        </w:rPr>
        <w:t>***</w:t>
      </w:r>
    </w:p>
    <w:p w14:paraId="1024E0D5" w14:textId="77777777" w:rsidR="00831847" w:rsidRDefault="00831847" w:rsidP="00831847">
      <w:pPr>
        <w:pStyle w:val="NoSpacing"/>
        <w:rPr>
          <w:rFonts w:ascii="Times New Roman" w:hAnsi="Times New Roman"/>
          <w:sz w:val="24"/>
          <w:szCs w:val="24"/>
        </w:rPr>
      </w:pPr>
    </w:p>
    <w:p w14:paraId="71D212EF" w14:textId="77777777" w:rsidR="00831847" w:rsidRPr="006E0916" w:rsidRDefault="00831847" w:rsidP="00831847">
      <w:pPr>
        <w:pStyle w:val="NoSpacing"/>
        <w:ind w:left="720"/>
        <w:rPr>
          <w:rFonts w:ascii="Times New Roman" w:hAnsi="Times New Roman"/>
          <w:sz w:val="24"/>
          <w:szCs w:val="24"/>
        </w:rPr>
      </w:pPr>
      <w:r>
        <w:rPr>
          <w:rFonts w:ascii="Times New Roman" w:hAnsi="Times New Roman"/>
          <w:sz w:val="24"/>
          <w:szCs w:val="24"/>
        </w:rPr>
        <w:t>Aug. 3, 2001: “</w:t>
      </w:r>
      <w:r w:rsidRPr="006E0916">
        <w:rPr>
          <w:rFonts w:ascii="Times New Roman" w:hAnsi="Times New Roman"/>
          <w:sz w:val="24"/>
          <w:szCs w:val="24"/>
        </w:rPr>
        <w:t xml:space="preserve">Federal firefighters will be able to stay on the job until they are 57, under a law President Bush signed on Monday. Under </w:t>
      </w:r>
      <w:proofErr w:type="gramStart"/>
      <w:r w:rsidRPr="006E0916">
        <w:rPr>
          <w:rFonts w:ascii="Times New Roman" w:hAnsi="Times New Roman"/>
          <w:sz w:val="24"/>
          <w:szCs w:val="24"/>
        </w:rPr>
        <w:t>a previous</w:t>
      </w:r>
      <w:proofErr w:type="gramEnd"/>
      <w:r w:rsidRPr="006E0916">
        <w:rPr>
          <w:rFonts w:ascii="Times New Roman" w:hAnsi="Times New Roman"/>
          <w:sz w:val="24"/>
          <w:szCs w:val="24"/>
        </w:rPr>
        <w:t xml:space="preserve"> law, the mandatory retirement age for firefighters was 55. Firefighters must serve for 20 years to receive full retirement benefits.</w:t>
      </w:r>
      <w:r>
        <w:rPr>
          <w:rFonts w:ascii="Times New Roman" w:hAnsi="Times New Roman"/>
          <w:sz w:val="24"/>
          <w:szCs w:val="24"/>
        </w:rPr>
        <w:t xml:space="preserve">” </w:t>
      </w:r>
      <w:hyperlink r:id="rId1192" w:history="1">
        <w:r w:rsidRPr="00AB20E4">
          <w:rPr>
            <w:rStyle w:val="Hyperlink"/>
            <w:sz w:val="24"/>
            <w:szCs w:val="24"/>
          </w:rPr>
          <w:t>https://www.govexec.com/pay-benefits/2001/08/firefighter-retirement-age-rises-to-57/9846/</w:t>
        </w:r>
      </w:hyperlink>
      <w:r>
        <w:rPr>
          <w:rFonts w:ascii="Times New Roman" w:hAnsi="Times New Roman"/>
          <w:sz w:val="24"/>
          <w:szCs w:val="24"/>
        </w:rPr>
        <w:t xml:space="preserve"> </w:t>
      </w:r>
    </w:p>
    <w:p w14:paraId="02649629" w14:textId="67E15864" w:rsidR="00831847" w:rsidRDefault="00831847" w:rsidP="00EF1133">
      <w:pPr>
        <w:rPr>
          <w:rFonts w:ascii="Arial Black" w:hAnsi="Arial Black"/>
          <w:b/>
          <w:sz w:val="24"/>
          <w:szCs w:val="24"/>
        </w:rPr>
      </w:pPr>
    </w:p>
    <w:p w14:paraId="4B08E8B2" w14:textId="2FD3C284" w:rsidR="00831847" w:rsidRDefault="00831847" w:rsidP="00EF1133">
      <w:pPr>
        <w:rPr>
          <w:rFonts w:ascii="Arial Black" w:hAnsi="Arial Black"/>
          <w:b/>
          <w:sz w:val="24"/>
          <w:szCs w:val="24"/>
        </w:rPr>
      </w:pPr>
    </w:p>
    <w:p w14:paraId="69DA113A" w14:textId="77777777" w:rsidR="00831847" w:rsidRDefault="00831847" w:rsidP="00EF1133">
      <w:pPr>
        <w:rPr>
          <w:rFonts w:ascii="Arial Black" w:hAnsi="Arial Black"/>
          <w:b/>
          <w:sz w:val="24"/>
          <w:szCs w:val="24"/>
        </w:rPr>
      </w:pPr>
    </w:p>
    <w:p w14:paraId="7CBC5F7A" w14:textId="0A65C499" w:rsidR="00831847" w:rsidRDefault="00831847" w:rsidP="00EF1133">
      <w:pPr>
        <w:rPr>
          <w:rFonts w:ascii="Arial Black" w:hAnsi="Arial Black"/>
          <w:b/>
          <w:sz w:val="24"/>
          <w:szCs w:val="24"/>
        </w:rPr>
      </w:pPr>
      <w:r>
        <w:rPr>
          <w:rFonts w:ascii="Arial Black" w:hAnsi="Arial Black"/>
          <w:b/>
          <w:sz w:val="24"/>
          <w:szCs w:val="24"/>
        </w:rPr>
        <w:t>6-6</w:t>
      </w:r>
      <w:r w:rsidR="00FF7C63">
        <w:rPr>
          <w:rFonts w:ascii="Arial Black" w:hAnsi="Arial Black"/>
          <w:b/>
          <w:sz w:val="24"/>
          <w:szCs w:val="24"/>
        </w:rPr>
        <w:t>7</w:t>
      </w:r>
    </w:p>
    <w:p w14:paraId="26B5369C" w14:textId="77777777" w:rsidR="00831847" w:rsidRPr="00BC1F41" w:rsidRDefault="00831847" w:rsidP="00831847">
      <w:pPr>
        <w:pStyle w:val="NoSpacing"/>
        <w:rPr>
          <w:rFonts w:ascii="Arial Black" w:hAnsi="Arial Black"/>
          <w:sz w:val="28"/>
          <w:szCs w:val="28"/>
        </w:rPr>
      </w:pPr>
      <w:r>
        <w:rPr>
          <w:rFonts w:ascii="Arial Black" w:hAnsi="Arial Black"/>
          <w:sz w:val="28"/>
          <w:szCs w:val="28"/>
        </w:rPr>
        <w:t xml:space="preserve">PA:  INDEMNIFICATION DENIED – OFF DUTY PD CHASED &amp; PUNCHED 16-YR-OLD SMASHED PUMPKINS AT PD HOME </w:t>
      </w:r>
    </w:p>
    <w:p w14:paraId="10FCC555" w14:textId="77777777" w:rsidR="00831847" w:rsidRPr="00D91F44" w:rsidRDefault="00831847" w:rsidP="00831847">
      <w:pPr>
        <w:pStyle w:val="Heading1"/>
        <w:rPr>
          <w:b w:val="0"/>
          <w:bCs w:val="0"/>
          <w:sz w:val="24"/>
          <w:szCs w:val="24"/>
        </w:rPr>
      </w:pPr>
      <w:r>
        <w:rPr>
          <w:b w:val="0"/>
          <w:bCs w:val="0"/>
          <w:sz w:val="24"/>
          <w:szCs w:val="24"/>
        </w:rPr>
        <w:t xml:space="preserve">On March 10, 2021, in </w:t>
      </w:r>
      <w:r w:rsidRPr="00BC1F41">
        <w:rPr>
          <w:b w:val="0"/>
          <w:bCs w:val="0"/>
          <w:sz w:val="24"/>
          <w:szCs w:val="24"/>
          <w:u w:val="single"/>
        </w:rPr>
        <w:t>Shane McGuire, on behalf of Colby Neidig v. City of Pittsburg</w:t>
      </w:r>
      <w:r>
        <w:rPr>
          <w:b w:val="0"/>
          <w:bCs w:val="0"/>
          <w:sz w:val="24"/>
          <w:szCs w:val="24"/>
        </w:rPr>
        <w:t>, the Commonwealth Court of Pennsylvania, held (3 to 0) that an off-duty police officer (Neidig) was not entitled to indemnification by the City since he was not acting “within the score of his office or duties when he chased a 16-year-old juvenile (McGuire) who had smashed pumpkins on the officer’s front porch, punched the juvenile in the face, and held him until police arrived.    The lawsuit proceeded in Federal court for violation of juvenile’s federal constitutional rights under 42 U.S.C. 1983 and the jury “</w:t>
      </w:r>
      <w:r w:rsidRPr="00396E8F">
        <w:rPr>
          <w:b w:val="0"/>
          <w:bCs w:val="0"/>
          <w:sz w:val="24"/>
          <w:szCs w:val="24"/>
        </w:rPr>
        <w:t>specifically concluded that Neidig acted under color of state law</w:t>
      </w:r>
      <w:r>
        <w:rPr>
          <w:b w:val="0"/>
          <w:bCs w:val="0"/>
          <w:sz w:val="24"/>
          <w:szCs w:val="24"/>
        </w:rPr>
        <w:t>.” The juvenile then sued City of Pittsburg (with officer’s permission) in state court to pay the judgment, but after a 4-day jury trial, the jury found City had no obligation to indemnify the officer, “</w:t>
      </w:r>
      <w:r w:rsidRPr="00D91F44">
        <w:rPr>
          <w:b w:val="0"/>
          <w:bCs w:val="0"/>
          <w:sz w:val="24"/>
          <w:szCs w:val="24"/>
        </w:rPr>
        <w:t>concluding that Neidig had not acted within the scope of his duties when he struck McGuire.</w:t>
      </w:r>
      <w:r>
        <w:rPr>
          <w:b w:val="0"/>
          <w:bCs w:val="0"/>
          <w:sz w:val="24"/>
          <w:szCs w:val="24"/>
        </w:rPr>
        <w:t>”</w:t>
      </w:r>
    </w:p>
    <w:p w14:paraId="4C2B0C5E" w14:textId="77777777" w:rsidR="00831847" w:rsidRPr="001A09F3" w:rsidRDefault="00831847" w:rsidP="00831847">
      <w:pPr>
        <w:pStyle w:val="Heading1"/>
        <w:ind w:left="720"/>
        <w:rPr>
          <w:b w:val="0"/>
          <w:bCs w:val="0"/>
          <w:sz w:val="24"/>
          <w:szCs w:val="24"/>
        </w:rPr>
      </w:pPr>
      <w:r>
        <w:rPr>
          <w:b w:val="0"/>
          <w:bCs w:val="0"/>
          <w:sz w:val="24"/>
          <w:szCs w:val="24"/>
        </w:rPr>
        <w:t>“</w:t>
      </w:r>
      <w:r w:rsidRPr="00DF22C9">
        <w:rPr>
          <w:b w:val="0"/>
          <w:bCs w:val="0"/>
          <w:sz w:val="24"/>
          <w:szCs w:val="24"/>
        </w:rPr>
        <w:t>This Court emphasizes</w:t>
      </w:r>
      <w:r>
        <w:rPr>
          <w:b w:val="0"/>
          <w:bCs w:val="0"/>
          <w:sz w:val="24"/>
          <w:szCs w:val="24"/>
        </w:rPr>
        <w:t xml:space="preserve"> </w:t>
      </w:r>
      <w:r w:rsidRPr="00DF22C9">
        <w:rPr>
          <w:b w:val="0"/>
          <w:bCs w:val="0"/>
          <w:sz w:val="24"/>
          <w:szCs w:val="24"/>
        </w:rPr>
        <w:t>that</w:t>
      </w:r>
      <w:r>
        <w:rPr>
          <w:b w:val="0"/>
          <w:bCs w:val="0"/>
          <w:sz w:val="24"/>
          <w:szCs w:val="24"/>
        </w:rPr>
        <w:t xml:space="preserve"> </w:t>
      </w:r>
      <w:r w:rsidRPr="00DF22C9">
        <w:rPr>
          <w:b w:val="0"/>
          <w:bCs w:val="0"/>
          <w:sz w:val="24"/>
          <w:szCs w:val="24"/>
        </w:rPr>
        <w:t xml:space="preserve">under Section 8548(a) of the </w:t>
      </w:r>
      <w:r>
        <w:rPr>
          <w:b w:val="0"/>
          <w:bCs w:val="0"/>
          <w:sz w:val="24"/>
          <w:szCs w:val="24"/>
        </w:rPr>
        <w:t xml:space="preserve">[PA] </w:t>
      </w:r>
      <w:r w:rsidRPr="00DF22C9">
        <w:rPr>
          <w:b w:val="0"/>
          <w:bCs w:val="0"/>
          <w:sz w:val="24"/>
          <w:szCs w:val="24"/>
        </w:rPr>
        <w:t>Tort Claims Act, a municipality need only indemnify an employee if that employee was acting within the scope of his office or duties</w:t>
      </w:r>
      <w:r>
        <w:rPr>
          <w:b w:val="0"/>
          <w:bCs w:val="0"/>
          <w:sz w:val="24"/>
          <w:szCs w:val="24"/>
        </w:rPr>
        <w:t xml:space="preserve"> </w:t>
      </w:r>
      <w:r w:rsidRPr="00DF22C9">
        <w:rPr>
          <w:b w:val="0"/>
          <w:bCs w:val="0"/>
          <w:sz w:val="24"/>
          <w:szCs w:val="24"/>
        </w:rPr>
        <w:t>at the time the employee caused the injury.</w:t>
      </w:r>
      <w:r>
        <w:rPr>
          <w:b w:val="0"/>
          <w:bCs w:val="0"/>
          <w:sz w:val="24"/>
          <w:szCs w:val="24"/>
        </w:rPr>
        <w:t xml:space="preserve"> </w:t>
      </w:r>
      <w:r w:rsidRPr="00DF22C9">
        <w:rPr>
          <w:b w:val="0"/>
          <w:bCs w:val="0"/>
          <w:sz w:val="24"/>
          <w:szCs w:val="24"/>
        </w:rPr>
        <w:t>Because the jury properly</w:t>
      </w:r>
      <w:r>
        <w:rPr>
          <w:b w:val="0"/>
          <w:bCs w:val="0"/>
          <w:sz w:val="24"/>
          <w:szCs w:val="24"/>
        </w:rPr>
        <w:t xml:space="preserve"> </w:t>
      </w:r>
      <w:r w:rsidRPr="00DF22C9">
        <w:rPr>
          <w:b w:val="0"/>
          <w:bCs w:val="0"/>
          <w:sz w:val="24"/>
          <w:szCs w:val="24"/>
        </w:rPr>
        <w:t>determined that Neidig acted beyond the scope of his employment, and the jury did not reach the willful misconduct issue, this Court need not address McGuire’s willful misconduct arguments</w:t>
      </w:r>
      <w:r>
        <w:rPr>
          <w:b w:val="0"/>
          <w:bCs w:val="0"/>
          <w:sz w:val="24"/>
          <w:szCs w:val="24"/>
        </w:rPr>
        <w:t xml:space="preserve">…. </w:t>
      </w:r>
      <w:r w:rsidRPr="00DF22C9">
        <w:rPr>
          <w:b w:val="0"/>
          <w:bCs w:val="0"/>
          <w:sz w:val="24"/>
          <w:szCs w:val="24"/>
        </w:rPr>
        <w:t xml:space="preserve">For </w:t>
      </w:r>
      <w:proofErr w:type="gramStart"/>
      <w:r w:rsidRPr="00DF22C9">
        <w:rPr>
          <w:b w:val="0"/>
          <w:bCs w:val="0"/>
          <w:sz w:val="24"/>
          <w:szCs w:val="24"/>
        </w:rPr>
        <w:t>all of</w:t>
      </w:r>
      <w:proofErr w:type="gramEnd"/>
      <w:r w:rsidRPr="00DF22C9">
        <w:rPr>
          <w:b w:val="0"/>
          <w:bCs w:val="0"/>
          <w:sz w:val="24"/>
          <w:szCs w:val="24"/>
        </w:rPr>
        <w:t xml:space="preserve"> the above reasons, the trial court’s order is </w:t>
      </w:r>
      <w:proofErr w:type="gramStart"/>
      <w:r w:rsidRPr="00DF22C9">
        <w:rPr>
          <w:b w:val="0"/>
          <w:bCs w:val="0"/>
          <w:sz w:val="24"/>
          <w:szCs w:val="24"/>
        </w:rPr>
        <w:t>affirmed.</w:t>
      </w:r>
      <w:r>
        <w:rPr>
          <w:b w:val="0"/>
          <w:bCs w:val="0"/>
          <w:sz w:val="24"/>
          <w:szCs w:val="24"/>
        </w:rPr>
        <w:t>”</w:t>
      </w:r>
      <w:proofErr w:type="gramEnd"/>
      <w:r>
        <w:rPr>
          <w:b w:val="0"/>
          <w:bCs w:val="0"/>
          <w:sz w:val="24"/>
          <w:szCs w:val="24"/>
        </w:rPr>
        <w:t xml:space="preserve"> </w:t>
      </w:r>
      <w:hyperlink r:id="rId1193" w:history="1">
        <w:r w:rsidRPr="001A09F3">
          <w:rPr>
            <w:rStyle w:val="Hyperlink"/>
            <w:b w:val="0"/>
            <w:bCs w:val="0"/>
            <w:sz w:val="24"/>
            <w:szCs w:val="24"/>
          </w:rPr>
          <w:t>http://www.pacourts.us/assets/opinions/Commonwealth/out/141CD20_3-10-21.pdf?cb=1</w:t>
        </w:r>
      </w:hyperlink>
      <w:r w:rsidRPr="001A09F3">
        <w:rPr>
          <w:b w:val="0"/>
          <w:bCs w:val="0"/>
          <w:sz w:val="24"/>
          <w:szCs w:val="24"/>
        </w:rPr>
        <w:t xml:space="preserve"> </w:t>
      </w:r>
    </w:p>
    <w:p w14:paraId="29F1601F" w14:textId="77777777" w:rsidR="00831847" w:rsidRDefault="00831847" w:rsidP="00831847">
      <w:pPr>
        <w:rPr>
          <w:rFonts w:ascii="Times New Roman" w:hAnsi="Times New Roman"/>
          <w:b/>
          <w:bCs/>
          <w:sz w:val="24"/>
          <w:szCs w:val="24"/>
        </w:rPr>
      </w:pPr>
      <w:r w:rsidRPr="00BA4149">
        <w:rPr>
          <w:rFonts w:ascii="Times New Roman" w:hAnsi="Times New Roman"/>
          <w:b/>
          <w:bCs/>
          <w:sz w:val="24"/>
          <w:szCs w:val="24"/>
        </w:rPr>
        <w:t>Legal Lesson Learned:</w:t>
      </w:r>
      <w:r>
        <w:rPr>
          <w:rFonts w:ascii="Times New Roman" w:hAnsi="Times New Roman"/>
          <w:b/>
          <w:bCs/>
          <w:sz w:val="24"/>
          <w:szCs w:val="24"/>
        </w:rPr>
        <w:t xml:space="preserve">  Indemnification is important for emergency responders, including Fire &amp; EMS.   This decision was reportedly a matter of “first-impression” in PA; in Ohio, the Ohio Supreme Court held that individuals who successfully sue police officers may not then sue the officer’s city to collect the judgment, only the officers may sue. </w:t>
      </w:r>
      <w:r w:rsidRPr="00E3717D">
        <w:rPr>
          <w:rFonts w:ascii="Times New Roman" w:hAnsi="Times New Roman"/>
          <w:b/>
          <w:bCs/>
          <w:sz w:val="24"/>
          <w:szCs w:val="24"/>
          <w:u w:val="single"/>
        </w:rPr>
        <w:t>Ayers v. Cleveland</w:t>
      </w:r>
      <w:r w:rsidRPr="00E3717D">
        <w:rPr>
          <w:rFonts w:ascii="Times New Roman" w:hAnsi="Times New Roman"/>
          <w:b/>
          <w:bCs/>
          <w:sz w:val="24"/>
          <w:szCs w:val="24"/>
        </w:rPr>
        <w:t>, 160 Ohio St.3d 288, 2020-Ohio-1047 (March 25, 2020),</w:t>
      </w:r>
      <w:r w:rsidRPr="00E3717D">
        <w:t xml:space="preserve"> </w:t>
      </w:r>
      <w:hyperlink r:id="rId1194" w:history="1">
        <w:r w:rsidRPr="007A690F">
          <w:rPr>
            <w:rStyle w:val="Hyperlink"/>
            <w:rFonts w:ascii="Times New Roman" w:hAnsi="Times New Roman"/>
            <w:sz w:val="24"/>
            <w:szCs w:val="24"/>
          </w:rPr>
          <w:t>https://www.supremecourt.ohio.gov/rod/docs/pdf/0/2020/2020-Ohio-1047.pdf</w:t>
        </w:r>
      </w:hyperlink>
      <w:r>
        <w:rPr>
          <w:rStyle w:val="Hyperlink"/>
          <w:sz w:val="24"/>
          <w:szCs w:val="24"/>
        </w:rPr>
        <w:t xml:space="preserve"> </w:t>
      </w:r>
    </w:p>
    <w:p w14:paraId="2C015357" w14:textId="77777777" w:rsidR="00831847" w:rsidRDefault="00831847" w:rsidP="00831847">
      <w:pPr>
        <w:pStyle w:val="Heading1"/>
        <w:ind w:left="720"/>
        <w:rPr>
          <w:b w:val="0"/>
          <w:bCs w:val="0"/>
          <w:sz w:val="24"/>
          <w:szCs w:val="24"/>
        </w:rPr>
      </w:pPr>
      <w:r w:rsidRPr="00E3717D">
        <w:rPr>
          <w:b w:val="0"/>
          <w:bCs w:val="0"/>
          <w:sz w:val="24"/>
          <w:szCs w:val="24"/>
        </w:rPr>
        <w:t xml:space="preserve">Note: </w:t>
      </w:r>
    </w:p>
    <w:p w14:paraId="49E6EE6C" w14:textId="77777777" w:rsidR="00831847" w:rsidRPr="00E3717D" w:rsidRDefault="00831847" w:rsidP="00831847">
      <w:pPr>
        <w:pStyle w:val="Heading1"/>
        <w:ind w:left="720"/>
        <w:rPr>
          <w:b w:val="0"/>
          <w:bCs w:val="0"/>
          <w:sz w:val="24"/>
          <w:szCs w:val="24"/>
        </w:rPr>
      </w:pPr>
      <w:r>
        <w:rPr>
          <w:b w:val="0"/>
          <w:bCs w:val="0"/>
          <w:sz w:val="24"/>
          <w:szCs w:val="24"/>
        </w:rPr>
        <w:t xml:space="preserve">On Dec. 16, 2020, the </w:t>
      </w:r>
      <w:r w:rsidRPr="00E3717D">
        <w:rPr>
          <w:b w:val="0"/>
          <w:bCs w:val="0"/>
          <w:sz w:val="24"/>
          <w:szCs w:val="24"/>
        </w:rPr>
        <w:t xml:space="preserve">City of Cincinnati confirmed it will indemnify Dispatchers and Police sued in death of high school students who called 911 when back seat of </w:t>
      </w:r>
      <w:proofErr w:type="spellStart"/>
      <w:r w:rsidRPr="00E3717D">
        <w:rPr>
          <w:b w:val="0"/>
          <w:bCs w:val="0"/>
          <w:sz w:val="24"/>
          <w:szCs w:val="24"/>
        </w:rPr>
        <w:t>mini van</w:t>
      </w:r>
      <w:proofErr w:type="spellEnd"/>
      <w:r w:rsidRPr="00E3717D">
        <w:rPr>
          <w:b w:val="0"/>
          <w:bCs w:val="0"/>
          <w:sz w:val="24"/>
          <w:szCs w:val="24"/>
        </w:rPr>
        <w:t xml:space="preserve"> trapped him.  </w:t>
      </w:r>
      <w:r>
        <w:rPr>
          <w:b w:val="0"/>
          <w:bCs w:val="0"/>
          <w:sz w:val="24"/>
          <w:szCs w:val="24"/>
        </w:rPr>
        <w:t>“</w:t>
      </w:r>
      <w:r w:rsidRPr="00E3717D">
        <w:rPr>
          <w:b w:val="0"/>
          <w:bCs w:val="0"/>
          <w:sz w:val="24"/>
          <w:szCs w:val="24"/>
        </w:rPr>
        <w:t>Kyle Plush wrongful death lawsuit can proceed against 5 Cincinnati employees, appeals court says.</w:t>
      </w:r>
      <w:r>
        <w:rPr>
          <w:b w:val="0"/>
          <w:bCs w:val="0"/>
          <w:sz w:val="24"/>
          <w:szCs w:val="24"/>
        </w:rPr>
        <w:t xml:space="preserve">” </w:t>
      </w:r>
      <w:hyperlink r:id="rId1195" w:history="1">
        <w:r w:rsidRPr="00C72D50">
          <w:rPr>
            <w:rStyle w:val="Hyperlink"/>
            <w:b w:val="0"/>
            <w:bCs w:val="0"/>
            <w:sz w:val="24"/>
            <w:szCs w:val="24"/>
          </w:rPr>
          <w:t>https://www.fox19.com/2020/12/16/kyle-plush-wrongful-death-lawsuit-can-proceed-against-cincinnati-employees-appeals-court-says/</w:t>
        </w:r>
      </w:hyperlink>
      <w:r w:rsidRPr="00E3717D">
        <w:rPr>
          <w:b w:val="0"/>
          <w:bCs w:val="0"/>
          <w:sz w:val="24"/>
          <w:szCs w:val="24"/>
        </w:rPr>
        <w:t xml:space="preserve"> “The city indemnifies employees in their official capacities, meaning the city would be liable for any judgment or settlement involving the employees in their official capacities.” </w:t>
      </w:r>
    </w:p>
    <w:p w14:paraId="3B557974" w14:textId="77777777" w:rsidR="00831847" w:rsidRDefault="00831847" w:rsidP="00831847">
      <w:pPr>
        <w:pStyle w:val="NoSpacing"/>
        <w:ind w:left="720"/>
        <w:rPr>
          <w:rFonts w:ascii="Times New Roman" w:hAnsi="Times New Roman"/>
          <w:sz w:val="24"/>
          <w:szCs w:val="24"/>
        </w:rPr>
      </w:pPr>
      <w:r w:rsidRPr="003F7A4F">
        <w:rPr>
          <w:rFonts w:ascii="Times New Roman" w:hAnsi="Times New Roman"/>
          <w:sz w:val="24"/>
          <w:szCs w:val="24"/>
        </w:rPr>
        <w:t xml:space="preserve">See </w:t>
      </w:r>
      <w:r w:rsidRPr="005C57DC">
        <w:rPr>
          <w:rFonts w:ascii="Times New Roman" w:hAnsi="Times New Roman"/>
          <w:sz w:val="24"/>
          <w:szCs w:val="24"/>
        </w:rPr>
        <w:t xml:space="preserve">Ohio Supreme Court decision in </w:t>
      </w:r>
      <w:r w:rsidRPr="005C57DC">
        <w:rPr>
          <w:rFonts w:ascii="Times New Roman" w:hAnsi="Times New Roman"/>
          <w:sz w:val="24"/>
          <w:szCs w:val="24"/>
          <w:u w:val="single"/>
        </w:rPr>
        <w:t>Ayers v. Cleveland</w:t>
      </w:r>
      <w:r w:rsidRPr="003F7A4F">
        <w:rPr>
          <w:rFonts w:ascii="Times New Roman" w:hAnsi="Times New Roman"/>
          <w:sz w:val="24"/>
          <w:szCs w:val="24"/>
        </w:rPr>
        <w:t xml:space="preserve">, 160 Ohio St.3d 288, 2020-Ohio-1047 (March 25, 2020), </w:t>
      </w:r>
      <w:r>
        <w:rPr>
          <w:rFonts w:ascii="Times New Roman" w:hAnsi="Times New Roman"/>
          <w:sz w:val="24"/>
          <w:szCs w:val="24"/>
        </w:rPr>
        <w:t xml:space="preserve">holding that only employees can sue for indemnification; they cannot assign that right to the person who won a judgment against the employee [in this case, David Ayers, who after a decade in prison was released on a federal habeas corpus claim in 2011]. </w:t>
      </w:r>
    </w:p>
    <w:p w14:paraId="59213746" w14:textId="77777777" w:rsidR="00831847" w:rsidRDefault="00831847" w:rsidP="00831847">
      <w:pPr>
        <w:pStyle w:val="NoSpacing"/>
        <w:ind w:firstLine="720"/>
        <w:rPr>
          <w:rFonts w:ascii="Times New Roman" w:hAnsi="Times New Roman"/>
          <w:sz w:val="24"/>
          <w:szCs w:val="24"/>
        </w:rPr>
      </w:pPr>
      <w:hyperlink r:id="rId1196" w:history="1">
        <w:r w:rsidRPr="006A29A3">
          <w:rPr>
            <w:rStyle w:val="Hyperlink"/>
            <w:sz w:val="24"/>
            <w:szCs w:val="24"/>
          </w:rPr>
          <w:t>https://www.supremecourt.ohio.gov/rod/docs/pdf/0/2020/2020-Ohio-1047.pdf</w:t>
        </w:r>
      </w:hyperlink>
      <w:r w:rsidRPr="003F7A4F">
        <w:rPr>
          <w:rFonts w:ascii="Times New Roman" w:hAnsi="Times New Roman"/>
          <w:sz w:val="24"/>
          <w:szCs w:val="24"/>
        </w:rPr>
        <w:t xml:space="preserve"> </w:t>
      </w:r>
    </w:p>
    <w:p w14:paraId="6A5253FD" w14:textId="77777777" w:rsidR="00831847" w:rsidRPr="003F7A4F" w:rsidRDefault="00831847" w:rsidP="00831847">
      <w:pPr>
        <w:pStyle w:val="NoSpacing"/>
        <w:ind w:firstLine="720"/>
        <w:rPr>
          <w:rFonts w:ascii="Times New Roman" w:hAnsi="Times New Roman"/>
          <w:sz w:val="24"/>
          <w:szCs w:val="24"/>
        </w:rPr>
      </w:pPr>
    </w:p>
    <w:p w14:paraId="736D0FC3" w14:textId="77777777" w:rsidR="00831847" w:rsidRPr="00263A1A" w:rsidRDefault="00831847" w:rsidP="00831847">
      <w:pPr>
        <w:ind w:left="1440"/>
        <w:rPr>
          <w:rFonts w:ascii="Times New Roman" w:hAnsi="Times New Roman"/>
          <w:sz w:val="24"/>
          <w:szCs w:val="24"/>
        </w:rPr>
      </w:pPr>
      <w:r>
        <w:rPr>
          <w:rFonts w:ascii="Times New Roman" w:hAnsi="Times New Roman"/>
          <w:sz w:val="24"/>
          <w:szCs w:val="24"/>
        </w:rPr>
        <w:t>“</w:t>
      </w:r>
      <w:r w:rsidRPr="003F7A4F">
        <w:rPr>
          <w:rFonts w:ascii="Times New Roman" w:hAnsi="Times New Roman"/>
          <w:sz w:val="24"/>
          <w:szCs w:val="24"/>
        </w:rPr>
        <w:t xml:space="preserve">After a trial that involved only claims against </w:t>
      </w:r>
      <w:r>
        <w:rPr>
          <w:rFonts w:ascii="Times New Roman" w:hAnsi="Times New Roman"/>
          <w:sz w:val="24"/>
          <w:szCs w:val="24"/>
        </w:rPr>
        <w:t xml:space="preserve">[Detectives] </w:t>
      </w:r>
      <w:proofErr w:type="spellStart"/>
      <w:r w:rsidRPr="003F7A4F">
        <w:rPr>
          <w:rFonts w:ascii="Times New Roman" w:hAnsi="Times New Roman"/>
          <w:sz w:val="24"/>
          <w:szCs w:val="24"/>
        </w:rPr>
        <w:t>Cipo</w:t>
      </w:r>
      <w:proofErr w:type="spellEnd"/>
      <w:r w:rsidRPr="003F7A4F">
        <w:rPr>
          <w:rFonts w:ascii="Times New Roman" w:hAnsi="Times New Roman"/>
          <w:sz w:val="24"/>
          <w:szCs w:val="24"/>
        </w:rPr>
        <w:t xml:space="preserve"> and Kovach, the jury returned a verdict in Ayers’s favor finding that </w:t>
      </w:r>
      <w:proofErr w:type="spellStart"/>
      <w:r w:rsidRPr="003F7A4F">
        <w:rPr>
          <w:rFonts w:ascii="Times New Roman" w:hAnsi="Times New Roman"/>
          <w:sz w:val="24"/>
          <w:szCs w:val="24"/>
        </w:rPr>
        <w:t>Cipo</w:t>
      </w:r>
      <w:proofErr w:type="spellEnd"/>
      <w:r w:rsidRPr="003F7A4F">
        <w:rPr>
          <w:rFonts w:ascii="Times New Roman" w:hAnsi="Times New Roman"/>
          <w:sz w:val="24"/>
          <w:szCs w:val="24"/>
        </w:rPr>
        <w:t xml:space="preserve"> and Kovach had violated Ayers’s federal constitutional rights. The district court entered a judgment against the detectives in the amount of $13,210,000 and later increased the amount by awarding costs and attorney fees. The detectives twice offered to assign to Ayers any indemnification claims that they might have against the city in exchange for an agreement by Ayers to forgo collection efforts against the detectives personally. Ayers rejected each offer.</w:t>
      </w:r>
      <w:r>
        <w:rPr>
          <w:rFonts w:ascii="Times New Roman" w:hAnsi="Times New Roman"/>
          <w:sz w:val="24"/>
          <w:szCs w:val="24"/>
        </w:rPr>
        <w:t xml:space="preserve"> *** [Ayers filed lawsuit in Ohio. </w:t>
      </w:r>
      <w:r w:rsidRPr="003F7A4F">
        <w:rPr>
          <w:rFonts w:ascii="Times New Roman" w:hAnsi="Times New Roman"/>
          <w:sz w:val="24"/>
          <w:szCs w:val="24"/>
        </w:rPr>
        <w:t>The common pleas court granted Ayers’s motion for summary judgment after concluding that R.C. 2744.07(A)(2) requires Cleveland to indemnify the officers and pay the judgment.</w:t>
      </w:r>
      <w:r>
        <w:rPr>
          <w:rFonts w:ascii="Times New Roman" w:hAnsi="Times New Roman"/>
          <w:sz w:val="24"/>
          <w:szCs w:val="24"/>
        </w:rPr>
        <w:t xml:space="preserve"> *** </w:t>
      </w:r>
      <w:r w:rsidRPr="00263A1A">
        <w:rPr>
          <w:rFonts w:ascii="Times New Roman" w:hAnsi="Times New Roman"/>
          <w:sz w:val="24"/>
          <w:szCs w:val="24"/>
        </w:rPr>
        <w:t>The Eighth District Court of Appeals reversed in a two-to-one decision. 2017-Ohio-8571, 99 N.E.3d 1269, ¶ 50. The majority concluded that Ayers, as a judgment creditor, does not have standing to bring a private cause of action against the city to enforce the city’s obligations to its employees.</w:t>
      </w:r>
      <w:r>
        <w:rPr>
          <w:rFonts w:ascii="Times New Roman" w:hAnsi="Times New Roman"/>
          <w:sz w:val="24"/>
          <w:szCs w:val="24"/>
        </w:rPr>
        <w:t xml:space="preserve"> *** [Ohio Supreme Court held]</w:t>
      </w:r>
      <w:r w:rsidRPr="00263A1A">
        <w:rPr>
          <w:rFonts w:ascii="Times New Roman" w:hAnsi="Times New Roman"/>
          <w:sz w:val="24"/>
          <w:szCs w:val="24"/>
        </w:rPr>
        <w:t>Based on the unambiguous language of the statute, which serves only to indemnify an employee</w:t>
      </w:r>
      <w:r>
        <w:rPr>
          <w:rFonts w:ascii="Times New Roman" w:hAnsi="Times New Roman"/>
          <w:sz w:val="24"/>
          <w:szCs w:val="24"/>
        </w:rPr>
        <w:t xml:space="preserve"> </w:t>
      </w:r>
      <w:r w:rsidRPr="00263A1A">
        <w:rPr>
          <w:rFonts w:ascii="Times New Roman" w:hAnsi="Times New Roman"/>
          <w:sz w:val="24"/>
          <w:szCs w:val="24"/>
        </w:rPr>
        <w:t xml:space="preserve">and does not vest any rights in third parties connected to the employee, we conclude that R.C. 2744.07(A)(2) does not permit a judgment creditor to proceed directly against an </w:t>
      </w:r>
      <w:proofErr w:type="gramStart"/>
      <w:r w:rsidRPr="00263A1A">
        <w:rPr>
          <w:rFonts w:ascii="Times New Roman" w:hAnsi="Times New Roman"/>
          <w:sz w:val="24"/>
          <w:szCs w:val="24"/>
        </w:rPr>
        <w:t>indemnitor.</w:t>
      </w:r>
      <w:r>
        <w:rPr>
          <w:rFonts w:ascii="Times New Roman" w:hAnsi="Times New Roman"/>
          <w:sz w:val="24"/>
          <w:szCs w:val="24"/>
        </w:rPr>
        <w:t>”</w:t>
      </w:r>
      <w:proofErr w:type="gramEnd"/>
    </w:p>
    <w:p w14:paraId="3A029989" w14:textId="77777777" w:rsidR="00831847" w:rsidRDefault="00831847" w:rsidP="00831847">
      <w:pPr>
        <w:ind w:left="720"/>
        <w:rPr>
          <w:rFonts w:ascii="Times New Roman" w:hAnsi="Times New Roman"/>
          <w:sz w:val="24"/>
          <w:szCs w:val="24"/>
        </w:rPr>
      </w:pPr>
    </w:p>
    <w:p w14:paraId="10C8F39D" w14:textId="77777777" w:rsidR="00831847" w:rsidRDefault="00831847" w:rsidP="00831847">
      <w:pPr>
        <w:ind w:left="720"/>
        <w:rPr>
          <w:rFonts w:ascii="Times New Roman" w:eastAsia="Times New Roman" w:hAnsi="Times New Roman"/>
          <w:sz w:val="24"/>
          <w:szCs w:val="24"/>
        </w:rPr>
      </w:pPr>
      <w:r w:rsidRPr="007A690F">
        <w:rPr>
          <w:rFonts w:ascii="Times New Roman" w:eastAsia="Times New Roman" w:hAnsi="Times New Roman"/>
          <w:sz w:val="24"/>
          <w:szCs w:val="24"/>
        </w:rPr>
        <w:t xml:space="preserve">See also Ohio Revised Code 2744.07(A)(2) - Defending and indemnifying employees: </w:t>
      </w:r>
      <w:hyperlink r:id="rId1197" w:history="1">
        <w:r w:rsidRPr="006A29A3">
          <w:rPr>
            <w:rStyle w:val="Hyperlink"/>
            <w:sz w:val="24"/>
            <w:szCs w:val="24"/>
          </w:rPr>
          <w:t>http://codes.ohio.gov/orc/2744.07</w:t>
        </w:r>
      </w:hyperlink>
      <w:r>
        <w:rPr>
          <w:rFonts w:ascii="Times New Roman" w:eastAsia="Times New Roman" w:hAnsi="Times New Roman"/>
          <w:sz w:val="24"/>
          <w:szCs w:val="24"/>
        </w:rPr>
        <w:t xml:space="preserve"> </w:t>
      </w:r>
    </w:p>
    <w:p w14:paraId="08369585" w14:textId="77777777" w:rsidR="00831847" w:rsidRPr="003F7A4F" w:rsidRDefault="00831847" w:rsidP="00831847">
      <w:pPr>
        <w:spacing w:before="100" w:beforeAutospacing="1" w:after="100" w:afterAutospacing="1" w:line="240" w:lineRule="auto"/>
        <w:ind w:firstLine="720"/>
        <w:rPr>
          <w:rFonts w:ascii="Times New Roman" w:eastAsia="Times New Roman" w:hAnsi="Times New Roman"/>
          <w:sz w:val="24"/>
          <w:szCs w:val="24"/>
        </w:rPr>
      </w:pPr>
      <w:r w:rsidRPr="003F7A4F">
        <w:rPr>
          <w:rFonts w:ascii="Times New Roman" w:eastAsia="Times New Roman" w:hAnsi="Times New Roman"/>
          <w:sz w:val="24"/>
          <w:szCs w:val="24"/>
        </w:rPr>
        <w:t xml:space="preserve">(A) </w:t>
      </w:r>
    </w:p>
    <w:p w14:paraId="3112CDBC" w14:textId="77777777" w:rsidR="00831847" w:rsidRPr="003F7A4F" w:rsidRDefault="00831847" w:rsidP="00831847">
      <w:pPr>
        <w:spacing w:before="100" w:beforeAutospacing="1" w:after="100" w:afterAutospacing="1" w:line="240" w:lineRule="auto"/>
        <w:ind w:left="720"/>
        <w:rPr>
          <w:rFonts w:ascii="Times New Roman" w:eastAsia="Times New Roman" w:hAnsi="Times New Roman"/>
          <w:sz w:val="24"/>
          <w:szCs w:val="24"/>
        </w:rPr>
      </w:pPr>
      <w:r w:rsidRPr="003F7A4F">
        <w:rPr>
          <w:rFonts w:ascii="Times New Roman" w:eastAsia="Times New Roman" w:hAnsi="Times New Roman"/>
          <w:sz w:val="24"/>
          <w:szCs w:val="24"/>
        </w:rPr>
        <w:t xml:space="preserve">(1) Except as otherwise provided in division (A)(2) of this section, a political subdivision shall provide for the defense of an employee, in any state or federal court, in any civil action or proceeding which contains an allegation for damages for injury, death, or loss to person or property caused by an act or omission of the employee in connection with a governmental or proprietary function. Amounts expended by a political subdivision in the defense of its employees shall be from funds appropriated for this purpose or from proceeds of insurance. </w:t>
      </w:r>
    </w:p>
    <w:p w14:paraId="396B6489" w14:textId="77777777" w:rsidR="00831847" w:rsidRPr="003F7A4F" w:rsidRDefault="00831847" w:rsidP="00831847">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3F7A4F">
        <w:rPr>
          <w:rFonts w:ascii="Times New Roman" w:eastAsia="Times New Roman" w:hAnsi="Times New Roman"/>
          <w:sz w:val="24"/>
          <w:szCs w:val="24"/>
        </w:rPr>
        <w:t xml:space="preserve">2) A political subdivision does not have the duty to provide for the defense of an employee under division (A)(1) of this section if any of the following </w:t>
      </w:r>
      <w:proofErr w:type="gramStart"/>
      <w:r w:rsidRPr="003F7A4F">
        <w:rPr>
          <w:rFonts w:ascii="Times New Roman" w:eastAsia="Times New Roman" w:hAnsi="Times New Roman"/>
          <w:sz w:val="24"/>
          <w:szCs w:val="24"/>
        </w:rPr>
        <w:t>apply</w:t>
      </w:r>
      <w:proofErr w:type="gramEnd"/>
      <w:r w:rsidRPr="003F7A4F">
        <w:rPr>
          <w:rFonts w:ascii="Times New Roman" w:eastAsia="Times New Roman" w:hAnsi="Times New Roman"/>
          <w:sz w:val="24"/>
          <w:szCs w:val="24"/>
        </w:rPr>
        <w:t xml:space="preserve">: </w:t>
      </w:r>
    </w:p>
    <w:p w14:paraId="67FCC14C" w14:textId="77777777" w:rsidR="00831847" w:rsidRPr="003F7A4F" w:rsidRDefault="00831847" w:rsidP="00831847">
      <w:pPr>
        <w:spacing w:before="100" w:beforeAutospacing="1" w:after="100" w:afterAutospacing="1" w:line="240" w:lineRule="auto"/>
        <w:ind w:firstLine="720"/>
        <w:rPr>
          <w:rFonts w:ascii="Times New Roman" w:eastAsia="Times New Roman" w:hAnsi="Times New Roman"/>
          <w:sz w:val="24"/>
          <w:szCs w:val="24"/>
        </w:rPr>
      </w:pPr>
      <w:r w:rsidRPr="003F7A4F">
        <w:rPr>
          <w:rFonts w:ascii="Times New Roman" w:eastAsia="Times New Roman" w:hAnsi="Times New Roman"/>
          <w:sz w:val="24"/>
          <w:szCs w:val="24"/>
        </w:rPr>
        <w:t xml:space="preserve">(a) The act or omission occurred while the employee was not acting in good faith. </w:t>
      </w:r>
    </w:p>
    <w:p w14:paraId="66905F2B" w14:textId="77777777" w:rsidR="00831847" w:rsidRPr="003F7A4F" w:rsidRDefault="00831847" w:rsidP="00831847">
      <w:pPr>
        <w:spacing w:before="100" w:beforeAutospacing="1" w:after="100" w:afterAutospacing="1" w:line="240" w:lineRule="auto"/>
        <w:ind w:left="720"/>
        <w:rPr>
          <w:rFonts w:ascii="Times New Roman" w:eastAsia="Times New Roman" w:hAnsi="Times New Roman"/>
          <w:sz w:val="24"/>
          <w:szCs w:val="24"/>
        </w:rPr>
      </w:pPr>
      <w:r w:rsidRPr="003F7A4F">
        <w:rPr>
          <w:rFonts w:ascii="Times New Roman" w:eastAsia="Times New Roman" w:hAnsi="Times New Roman"/>
          <w:sz w:val="24"/>
          <w:szCs w:val="24"/>
        </w:rPr>
        <w:t xml:space="preserve">(b) The act or omission occurred while the employee was acting manifestly outside the scope of the employee's employment or official responsibilities. </w:t>
      </w:r>
    </w:p>
    <w:p w14:paraId="4B9FD74D" w14:textId="77777777" w:rsidR="00831847" w:rsidRDefault="00831847" w:rsidP="00831847">
      <w:pPr>
        <w:pStyle w:val="NoSpacing"/>
        <w:rPr>
          <w:rFonts w:ascii="Times New Roman" w:hAnsi="Times New Roman"/>
          <w:sz w:val="24"/>
          <w:szCs w:val="24"/>
        </w:rPr>
      </w:pPr>
    </w:p>
    <w:p w14:paraId="4E138747" w14:textId="77777777" w:rsidR="00831847" w:rsidRPr="00831847" w:rsidRDefault="00831847" w:rsidP="00831847">
      <w:pPr>
        <w:pStyle w:val="Heading2"/>
        <w:ind w:left="720"/>
        <w:rPr>
          <w:rFonts w:ascii="Times New Roman" w:hAnsi="Times New Roman"/>
          <w:b w:val="0"/>
          <w:bCs w:val="0"/>
          <w:i w:val="0"/>
          <w:iCs w:val="0"/>
          <w:sz w:val="24"/>
          <w:szCs w:val="24"/>
        </w:rPr>
      </w:pPr>
      <w:r w:rsidRPr="00831847">
        <w:rPr>
          <w:rFonts w:ascii="Times New Roman" w:hAnsi="Times New Roman"/>
          <w:b w:val="0"/>
          <w:bCs w:val="0"/>
          <w:i w:val="0"/>
          <w:iCs w:val="0"/>
          <w:sz w:val="24"/>
          <w:szCs w:val="24"/>
        </w:rPr>
        <w:t>See also:  Ohio Revised Code 9.87 - Indemnification of public officers and employees.</w:t>
      </w:r>
    </w:p>
    <w:p w14:paraId="5E39949E" w14:textId="77777777" w:rsidR="00831847" w:rsidRPr="00831847" w:rsidRDefault="00831847" w:rsidP="00831847">
      <w:pPr>
        <w:ind w:left="720"/>
        <w:rPr>
          <w:rFonts w:ascii="Times New Roman" w:hAnsi="Times New Roman"/>
          <w:sz w:val="24"/>
          <w:szCs w:val="24"/>
        </w:rPr>
      </w:pPr>
      <w:hyperlink r:id="rId1198" w:history="1">
        <w:r w:rsidRPr="00831847">
          <w:rPr>
            <w:rStyle w:val="Hyperlink"/>
            <w:rFonts w:ascii="Times New Roman" w:hAnsi="Times New Roman"/>
            <w:sz w:val="24"/>
            <w:szCs w:val="24"/>
          </w:rPr>
          <w:t>https://codes.ohio.gov/orc/gp9.87</w:t>
        </w:r>
      </w:hyperlink>
      <w:r w:rsidRPr="00831847">
        <w:rPr>
          <w:rFonts w:ascii="Times New Roman" w:hAnsi="Times New Roman"/>
          <w:sz w:val="24"/>
          <w:szCs w:val="24"/>
        </w:rPr>
        <w:t xml:space="preserve"> </w:t>
      </w:r>
    </w:p>
    <w:p w14:paraId="62076BD4" w14:textId="77777777" w:rsidR="00831847" w:rsidRPr="00A30466" w:rsidRDefault="00831847" w:rsidP="00831847">
      <w:pPr>
        <w:spacing w:before="100" w:beforeAutospacing="1" w:after="100" w:afterAutospacing="1" w:line="240" w:lineRule="auto"/>
        <w:ind w:left="1440"/>
        <w:rPr>
          <w:rFonts w:ascii="Times New Roman" w:eastAsia="Times New Roman" w:hAnsi="Times New Roman"/>
          <w:sz w:val="24"/>
          <w:szCs w:val="24"/>
        </w:rPr>
      </w:pPr>
      <w:proofErr w:type="gramStart"/>
      <w:r>
        <w:rPr>
          <w:rFonts w:ascii="Times New Roman" w:eastAsia="Times New Roman" w:hAnsi="Times New Roman"/>
          <w:sz w:val="24"/>
          <w:szCs w:val="24"/>
        </w:rPr>
        <w:t>“</w:t>
      </w:r>
      <w:r w:rsidRPr="00A30466">
        <w:rPr>
          <w:rFonts w:ascii="Times New Roman" w:eastAsia="Times New Roman" w:hAnsi="Times New Roman"/>
          <w:sz w:val="24"/>
          <w:szCs w:val="24"/>
        </w:rPr>
        <w:t>(B) The</w:t>
      </w:r>
      <w:proofErr w:type="gramEnd"/>
      <w:r w:rsidRPr="00A30466">
        <w:rPr>
          <w:rFonts w:ascii="Times New Roman" w:eastAsia="Times New Roman" w:hAnsi="Times New Roman"/>
          <w:sz w:val="24"/>
          <w:szCs w:val="24"/>
        </w:rPr>
        <w:t xml:space="preserve"> state shall not indemnify an officer or employee under any of the following circumstances: </w:t>
      </w:r>
    </w:p>
    <w:p w14:paraId="51C09C93" w14:textId="77777777" w:rsidR="00831847" w:rsidRDefault="00831847" w:rsidP="00831847">
      <w:pPr>
        <w:spacing w:before="100" w:beforeAutospacing="1" w:after="100" w:afterAutospacing="1" w:line="240" w:lineRule="auto"/>
        <w:ind w:left="1440"/>
        <w:rPr>
          <w:rFonts w:ascii="Times New Roman" w:eastAsia="Times New Roman" w:hAnsi="Times New Roman"/>
          <w:sz w:val="24"/>
          <w:szCs w:val="24"/>
        </w:rPr>
      </w:pPr>
      <w:r w:rsidRPr="00A30466">
        <w:rPr>
          <w:rFonts w:ascii="Times New Roman" w:eastAsia="Times New Roman" w:hAnsi="Times New Roman"/>
          <w:sz w:val="24"/>
          <w:szCs w:val="24"/>
        </w:rPr>
        <w:t xml:space="preserve">(2) When the officer or employee acts manifestly outside the scope of the officer's or employee's employment or official responsibilities, with malicious purpose, in bad faith, or in a wanton or reckless manner, as determined by the employer of the officer or employee or by the attorney </w:t>
      </w:r>
      <w:proofErr w:type="gramStart"/>
      <w:r w:rsidRPr="00A30466">
        <w:rPr>
          <w:rFonts w:ascii="Times New Roman" w:eastAsia="Times New Roman" w:hAnsi="Times New Roman"/>
          <w:sz w:val="24"/>
          <w:szCs w:val="24"/>
        </w:rPr>
        <w:t>general.</w:t>
      </w:r>
      <w:r>
        <w:rPr>
          <w:rFonts w:ascii="Times New Roman" w:eastAsia="Times New Roman" w:hAnsi="Times New Roman"/>
          <w:sz w:val="24"/>
          <w:szCs w:val="24"/>
        </w:rPr>
        <w:t>”</w:t>
      </w:r>
      <w:proofErr w:type="gramEnd"/>
    </w:p>
    <w:p w14:paraId="4E0B7E19" w14:textId="77777777" w:rsidR="00831847" w:rsidRDefault="00831847" w:rsidP="00EF1133">
      <w:pPr>
        <w:rPr>
          <w:rFonts w:ascii="Arial Black" w:hAnsi="Arial Black"/>
          <w:b/>
          <w:sz w:val="24"/>
          <w:szCs w:val="24"/>
        </w:rPr>
      </w:pPr>
    </w:p>
    <w:p w14:paraId="7C51AFC5" w14:textId="77777777" w:rsidR="00831847" w:rsidRDefault="00831847" w:rsidP="00EF1133">
      <w:pPr>
        <w:rPr>
          <w:rFonts w:ascii="Arial Black" w:hAnsi="Arial Black"/>
          <w:b/>
          <w:sz w:val="24"/>
          <w:szCs w:val="24"/>
        </w:rPr>
      </w:pPr>
    </w:p>
    <w:p w14:paraId="6A2B6C76" w14:textId="77777777" w:rsidR="00B03268" w:rsidRDefault="00B03268" w:rsidP="00EF1133">
      <w:pPr>
        <w:rPr>
          <w:rFonts w:ascii="Arial Black" w:hAnsi="Arial Black"/>
          <w:b/>
          <w:sz w:val="24"/>
          <w:szCs w:val="24"/>
        </w:rPr>
      </w:pPr>
    </w:p>
    <w:p w14:paraId="7F7F002D" w14:textId="77777777" w:rsidR="00B03268" w:rsidRDefault="00B03268" w:rsidP="00EF1133">
      <w:pPr>
        <w:rPr>
          <w:rFonts w:ascii="Arial Black" w:hAnsi="Arial Black"/>
          <w:b/>
          <w:sz w:val="24"/>
          <w:szCs w:val="24"/>
        </w:rPr>
      </w:pPr>
    </w:p>
    <w:p w14:paraId="5F6646DF" w14:textId="3FF75820" w:rsidR="00CD5950" w:rsidRDefault="00CD5950" w:rsidP="00EF1133">
      <w:pPr>
        <w:rPr>
          <w:rFonts w:ascii="Arial Black" w:hAnsi="Arial Black"/>
          <w:b/>
          <w:sz w:val="24"/>
          <w:szCs w:val="24"/>
        </w:rPr>
      </w:pPr>
      <w:r>
        <w:rPr>
          <w:rFonts w:ascii="Arial Black" w:hAnsi="Arial Black"/>
          <w:b/>
          <w:sz w:val="24"/>
          <w:szCs w:val="24"/>
        </w:rPr>
        <w:t>6-6</w:t>
      </w:r>
      <w:r w:rsidR="00FF7C63">
        <w:rPr>
          <w:rFonts w:ascii="Arial Black" w:hAnsi="Arial Black"/>
          <w:b/>
          <w:sz w:val="24"/>
          <w:szCs w:val="24"/>
        </w:rPr>
        <w:t>6</w:t>
      </w:r>
    </w:p>
    <w:p w14:paraId="3BC4ABE8" w14:textId="77777777" w:rsidR="00CD5950" w:rsidRPr="00E6324D" w:rsidRDefault="00CD5950" w:rsidP="00CD5950">
      <w:pPr>
        <w:spacing w:before="100" w:beforeAutospacing="1" w:after="100" w:afterAutospacing="1" w:line="240" w:lineRule="auto"/>
        <w:rPr>
          <w:rFonts w:ascii="Arial Black" w:hAnsi="Arial Black"/>
          <w:sz w:val="28"/>
          <w:szCs w:val="28"/>
        </w:rPr>
      </w:pPr>
      <w:bookmarkStart w:id="233" w:name="_Hlk66946865"/>
      <w:r>
        <w:rPr>
          <w:rFonts w:ascii="Arial Black" w:hAnsi="Arial Black"/>
          <w:sz w:val="28"/>
          <w:szCs w:val="28"/>
        </w:rPr>
        <w:t>WA: FF HEART ATTACK - STATUTORY PRESUMPTION – LATER MORE STENTS - ALSO COVERED, ATTORNEY FEES</w:t>
      </w:r>
    </w:p>
    <w:p w14:paraId="0303AC44" w14:textId="77777777" w:rsidR="00CD5950" w:rsidRDefault="00CD5950" w:rsidP="00CD5950">
      <w:pPr>
        <w:spacing w:before="100" w:beforeAutospacing="1" w:after="100" w:afterAutospacing="1" w:line="240" w:lineRule="auto"/>
        <w:rPr>
          <w:rFonts w:ascii="Times New Roman" w:hAnsi="Times New Roman"/>
          <w:sz w:val="24"/>
          <w:szCs w:val="24"/>
        </w:rPr>
      </w:pPr>
      <w:r w:rsidRPr="00750087">
        <w:rPr>
          <w:rFonts w:ascii="Times New Roman" w:hAnsi="Times New Roman"/>
          <w:sz w:val="24"/>
          <w:szCs w:val="24"/>
        </w:rPr>
        <w:t xml:space="preserve">On Feb. 9, 2021, in </w:t>
      </w:r>
      <w:r w:rsidRPr="00750087">
        <w:rPr>
          <w:rFonts w:ascii="Times New Roman" w:hAnsi="Times New Roman"/>
          <w:sz w:val="24"/>
          <w:szCs w:val="24"/>
          <w:u w:val="single"/>
        </w:rPr>
        <w:t xml:space="preserve">Calvin Johnson v. Department </w:t>
      </w:r>
      <w:r>
        <w:rPr>
          <w:rFonts w:ascii="Times New Roman" w:hAnsi="Times New Roman"/>
          <w:sz w:val="24"/>
          <w:szCs w:val="24"/>
          <w:u w:val="single"/>
        </w:rPr>
        <w:t>o</w:t>
      </w:r>
      <w:r w:rsidRPr="00750087">
        <w:rPr>
          <w:rFonts w:ascii="Times New Roman" w:hAnsi="Times New Roman"/>
          <w:sz w:val="24"/>
          <w:szCs w:val="24"/>
          <w:u w:val="single"/>
        </w:rPr>
        <w:t xml:space="preserve">f Labor </w:t>
      </w:r>
      <w:r>
        <w:rPr>
          <w:rFonts w:ascii="Times New Roman" w:hAnsi="Times New Roman"/>
          <w:sz w:val="24"/>
          <w:szCs w:val="24"/>
          <w:u w:val="single"/>
        </w:rPr>
        <w:t>A</w:t>
      </w:r>
      <w:r w:rsidRPr="00750087">
        <w:rPr>
          <w:rFonts w:ascii="Times New Roman" w:hAnsi="Times New Roman"/>
          <w:sz w:val="24"/>
          <w:szCs w:val="24"/>
          <w:u w:val="single"/>
        </w:rPr>
        <w:t>nd Industries</w:t>
      </w:r>
      <w:r>
        <w:rPr>
          <w:rFonts w:ascii="Times New Roman" w:hAnsi="Times New Roman"/>
          <w:sz w:val="24"/>
          <w:szCs w:val="24"/>
        </w:rPr>
        <w:t xml:space="preserve">, the Court of Appeals of the State of Washington (Division II) ruled (3 to 0) that the State’s statutory presumption of firefighter heart attacks covers workers comp. not only for the first heart attack in 2015, but also for subsequent need in 2016 for further stents; he is also entitled to reimbursement of attorney fees for his successful appeal of the denial of coverage on the second event. The statutory presumption applies to “any </w:t>
      </w:r>
      <w:r w:rsidRPr="006178BF">
        <w:rPr>
          <w:rFonts w:ascii="Times New Roman" w:hAnsi="Times New Roman"/>
          <w:sz w:val="24"/>
          <w:szCs w:val="24"/>
        </w:rPr>
        <w:t>heart problems</w:t>
      </w:r>
      <w:r>
        <w:rPr>
          <w:rFonts w:ascii="Times New Roman" w:hAnsi="Times New Roman"/>
          <w:sz w:val="24"/>
          <w:szCs w:val="24"/>
        </w:rPr>
        <w:t xml:space="preserve">, </w:t>
      </w:r>
      <w:r w:rsidRPr="006178BF">
        <w:rPr>
          <w:rFonts w:ascii="Times New Roman" w:hAnsi="Times New Roman"/>
          <w:sz w:val="24"/>
          <w:szCs w:val="24"/>
        </w:rPr>
        <w:t>experienced within seventy-two hours of exposure to smoke, fumes, or toxic substances, or experienced within twenty-four hours of strenuous physical exertion due to firefighting activities</w:t>
      </w:r>
      <w:r>
        <w:rPr>
          <w:rFonts w:ascii="Times New Roman" w:hAnsi="Times New Roman"/>
          <w:sz w:val="24"/>
          <w:szCs w:val="24"/>
        </w:rPr>
        <w:t>.”</w:t>
      </w:r>
    </w:p>
    <w:bookmarkEnd w:id="233"/>
    <w:p w14:paraId="3EF45D08" w14:textId="77777777" w:rsidR="00CD5950" w:rsidRDefault="00CD5950" w:rsidP="00CD5950">
      <w:pPr>
        <w:pStyle w:val="NoSpacing"/>
        <w:ind w:left="720"/>
        <w:rPr>
          <w:rFonts w:ascii="Times New Roman" w:hAnsi="Times New Roman"/>
          <w:sz w:val="24"/>
          <w:szCs w:val="24"/>
        </w:rPr>
      </w:pPr>
      <w:r>
        <w:rPr>
          <w:rFonts w:ascii="Times New Roman" w:hAnsi="Times New Roman"/>
          <w:sz w:val="24"/>
          <w:szCs w:val="24"/>
        </w:rPr>
        <w:t>“</w:t>
      </w:r>
      <w:r w:rsidRPr="00880D79">
        <w:rPr>
          <w:rFonts w:ascii="Times New Roman" w:hAnsi="Times New Roman"/>
          <w:sz w:val="24"/>
          <w:szCs w:val="24"/>
        </w:rPr>
        <w:t>On April 15, 2015, Johnson had a myocardial infarction, commonly referred to as a heart attack. He had experienced physical exertion and exposure to diesel fumes before the heart attack. After Johnson filed an accident report to open a claim, the Department applied to Johnson's claim the presumption that heart problems arising 72 hours from exposure to fumes or 24 hours from exertion are occupational diseases. It then allowed Johnson's claim under RCW 51.32.185. The Department provided treatment and other benefits to Johnson. The Department then closed Johnson's claim on January 21, 2016, with no permanent or partial disability.</w:t>
      </w:r>
    </w:p>
    <w:p w14:paraId="3FA1DBD1" w14:textId="77777777" w:rsidR="00CD5950" w:rsidRDefault="00CD5950" w:rsidP="00CD5950">
      <w:pPr>
        <w:pStyle w:val="NoSpacing"/>
        <w:ind w:left="720"/>
        <w:rPr>
          <w:rFonts w:ascii="Times New Roman" w:hAnsi="Times New Roman"/>
          <w:sz w:val="24"/>
          <w:szCs w:val="24"/>
        </w:rPr>
      </w:pPr>
    </w:p>
    <w:p w14:paraId="3F7ABE96" w14:textId="77777777" w:rsidR="00CD5950" w:rsidRDefault="00CD5950" w:rsidP="00CD5950">
      <w:pPr>
        <w:pStyle w:val="NoSpacing"/>
        <w:ind w:left="720"/>
        <w:rPr>
          <w:rFonts w:ascii="Times New Roman" w:hAnsi="Times New Roman"/>
          <w:sz w:val="24"/>
          <w:szCs w:val="24"/>
        </w:rPr>
      </w:pPr>
      <w:r>
        <w:rPr>
          <w:rFonts w:ascii="Times New Roman" w:hAnsi="Times New Roman"/>
          <w:sz w:val="24"/>
          <w:szCs w:val="24"/>
        </w:rPr>
        <w:t>***</w:t>
      </w:r>
    </w:p>
    <w:p w14:paraId="62EE5C47" w14:textId="77777777" w:rsidR="00CD5950" w:rsidRPr="00880D79" w:rsidRDefault="00CD5950" w:rsidP="00CD5950">
      <w:pPr>
        <w:spacing w:before="100" w:beforeAutospacing="1" w:after="100" w:afterAutospacing="1" w:line="240" w:lineRule="auto"/>
        <w:ind w:left="720"/>
        <w:rPr>
          <w:rFonts w:ascii="Times New Roman" w:hAnsi="Times New Roman"/>
          <w:sz w:val="24"/>
          <w:szCs w:val="24"/>
        </w:rPr>
      </w:pPr>
      <w:r w:rsidRPr="00880D79">
        <w:rPr>
          <w:rFonts w:ascii="Times New Roman" w:hAnsi="Times New Roman"/>
          <w:sz w:val="24"/>
          <w:szCs w:val="24"/>
        </w:rPr>
        <w:t>We hold that under the facts presented and the plain language of RCW 51.32.185(9)(a), Johnson's claim to reopen was a claim for benefits entitling him to an award of attorney fees and costs incurred before the Board. Because Johnson is entitled to a fee award, we affirm the superior court's order requiring the Department to pay Johnson reasonable attorney fees and costs incurred before the Board. We also award Johnson reasonable appellate fees and costs as the prevailing party in this appeal.</w:t>
      </w:r>
      <w:r>
        <w:rPr>
          <w:rFonts w:ascii="Times New Roman" w:hAnsi="Times New Roman"/>
          <w:sz w:val="24"/>
          <w:szCs w:val="24"/>
        </w:rPr>
        <w:t xml:space="preserve">” </w:t>
      </w:r>
      <w:bookmarkStart w:id="234" w:name="_Hlk66946891"/>
      <w:r w:rsidR="00F00958">
        <w:fldChar w:fldCharType="begin"/>
      </w:r>
      <w:r w:rsidR="00F00958">
        <w:instrText xml:space="preserve"> HYPERLINK "https://law.justia.com/cases/washington/court-of-appeals-division-ii/2021/53761-3.html" </w:instrText>
      </w:r>
      <w:r w:rsidR="00F00958">
        <w:fldChar w:fldCharType="separate"/>
      </w:r>
      <w:r w:rsidRPr="00FE7279">
        <w:rPr>
          <w:rStyle w:val="Hyperlink"/>
          <w:rFonts w:ascii="Times New Roman" w:hAnsi="Times New Roman"/>
          <w:sz w:val="24"/>
          <w:szCs w:val="24"/>
        </w:rPr>
        <w:t>https://law.justia.com/cases/washington/court-of-appeals-division-ii/2021/53761-3.html</w:t>
      </w:r>
      <w:r w:rsidR="00F00958">
        <w:rPr>
          <w:rStyle w:val="Hyperlink"/>
          <w:rFonts w:ascii="Times New Roman" w:hAnsi="Times New Roman"/>
          <w:sz w:val="24"/>
          <w:szCs w:val="24"/>
        </w:rPr>
        <w:fldChar w:fldCharType="end"/>
      </w:r>
      <w:r>
        <w:rPr>
          <w:rFonts w:ascii="Times New Roman" w:hAnsi="Times New Roman"/>
          <w:sz w:val="24"/>
          <w:szCs w:val="24"/>
        </w:rPr>
        <w:t xml:space="preserve"> </w:t>
      </w:r>
    </w:p>
    <w:p w14:paraId="2C0FBEC4" w14:textId="77777777" w:rsidR="00CD5950" w:rsidRPr="00880D79" w:rsidRDefault="00CD5950" w:rsidP="00CD5950">
      <w:pPr>
        <w:spacing w:before="100" w:beforeAutospacing="1" w:after="100" w:afterAutospacing="1" w:line="240" w:lineRule="auto"/>
        <w:rPr>
          <w:rFonts w:ascii="Times New Roman" w:eastAsia="Times New Roman" w:hAnsi="Times New Roman"/>
          <w:b/>
          <w:bCs/>
          <w:sz w:val="24"/>
          <w:szCs w:val="24"/>
        </w:rPr>
      </w:pPr>
      <w:r w:rsidRPr="00880D79">
        <w:rPr>
          <w:rFonts w:ascii="Times New Roman" w:hAnsi="Times New Roman"/>
          <w:b/>
          <w:bCs/>
          <w:sz w:val="24"/>
          <w:szCs w:val="24"/>
        </w:rPr>
        <w:t>Legal Lesson Learned:</w:t>
      </w:r>
      <w:r>
        <w:rPr>
          <w:rFonts w:ascii="Times New Roman" w:hAnsi="Times New Roman"/>
          <w:b/>
          <w:bCs/>
          <w:sz w:val="24"/>
          <w:szCs w:val="24"/>
        </w:rPr>
        <w:t xml:space="preserve">  The State of Washington’s statutory presumption applies to heart attacks, and subsequent heart problems. </w:t>
      </w:r>
    </w:p>
    <w:p w14:paraId="731638BF" w14:textId="77777777" w:rsidR="00CD5950" w:rsidRDefault="00CD5950" w:rsidP="00CD595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See State of Washington statute: RCW 51.32.185, “Occupational diseases – presumption of occupational disease for firefighters and fire investigators.” </w:t>
      </w:r>
      <w:hyperlink r:id="rId1199" w:history="1">
        <w:r w:rsidRPr="00FE7279">
          <w:rPr>
            <w:rStyle w:val="Hyperlink"/>
            <w:rFonts w:ascii="Times New Roman" w:hAnsi="Times New Roman"/>
            <w:sz w:val="24"/>
            <w:szCs w:val="24"/>
          </w:rPr>
          <w:t>https://apps.leg.wa.gov/rcw/default.aspx?cite=51.32.185</w:t>
        </w:r>
      </w:hyperlink>
      <w:r>
        <w:rPr>
          <w:rFonts w:ascii="Times New Roman" w:hAnsi="Times New Roman"/>
          <w:sz w:val="24"/>
          <w:szCs w:val="24"/>
        </w:rPr>
        <w:t xml:space="preserve"> </w:t>
      </w:r>
    </w:p>
    <w:p w14:paraId="368BE588" w14:textId="77777777" w:rsidR="00CD5950" w:rsidRPr="006178BF" w:rsidRDefault="00CD5950" w:rsidP="00CD5950">
      <w:pPr>
        <w:spacing w:before="100" w:beforeAutospacing="1" w:after="100" w:afterAutospacing="1" w:line="240" w:lineRule="auto"/>
        <w:ind w:left="720"/>
        <w:rPr>
          <w:rFonts w:ascii="Times New Roman" w:hAnsi="Times New Roman"/>
          <w:sz w:val="24"/>
          <w:szCs w:val="24"/>
        </w:rPr>
      </w:pPr>
      <w:r w:rsidRPr="006178BF">
        <w:rPr>
          <w:rFonts w:ascii="Times New Roman" w:hAnsi="Times New Roman"/>
          <w:sz w:val="24"/>
          <w:szCs w:val="24"/>
        </w:rPr>
        <w:t xml:space="preserve">(1)(a) In the case of firefighters as defined in RCW </w:t>
      </w:r>
      <w:hyperlink r:id="rId1200" w:history="1">
        <w:r w:rsidRPr="006178BF">
          <w:rPr>
            <w:rStyle w:val="Hyperlink"/>
            <w:rFonts w:ascii="Times New Roman" w:hAnsi="Times New Roman"/>
            <w:sz w:val="24"/>
            <w:szCs w:val="24"/>
          </w:rPr>
          <w:t>41.26.030</w:t>
        </w:r>
      </w:hyperlink>
      <w:r w:rsidRPr="006178BF">
        <w:rPr>
          <w:rFonts w:ascii="Times New Roman" w:hAnsi="Times New Roman"/>
          <w:sz w:val="24"/>
          <w:szCs w:val="24"/>
        </w:rPr>
        <w:t>(17) (a), (b), (c), and (h) who are covered under this title and firefighters, including supervisors, employed on a full-time, fully compensated basis as a firefighter of a private sector employer's fire department that includes over fifty such firefighters, and public employee fire investigators, there shall exist a prima facie presumption that: (</w:t>
      </w:r>
      <w:proofErr w:type="spellStart"/>
      <w:r w:rsidRPr="006178BF">
        <w:rPr>
          <w:rFonts w:ascii="Times New Roman" w:hAnsi="Times New Roman"/>
          <w:sz w:val="24"/>
          <w:szCs w:val="24"/>
        </w:rPr>
        <w:t>i</w:t>
      </w:r>
      <w:proofErr w:type="spellEnd"/>
      <w:r w:rsidRPr="006178BF">
        <w:rPr>
          <w:rFonts w:ascii="Times New Roman" w:hAnsi="Times New Roman"/>
          <w:sz w:val="24"/>
          <w:szCs w:val="24"/>
        </w:rPr>
        <w:t xml:space="preserve">) Respiratory disease; (ii) any heart problems, experienced within seventy-two hours of exposure to smoke, fumes, or toxic substances, or experienced within twenty-four hours of strenuous physical exertion due to firefighting activities; (iii) cancer; and (iv) infectious diseases are occupational diseases under RCW </w:t>
      </w:r>
      <w:hyperlink r:id="rId1201" w:history="1">
        <w:r w:rsidRPr="006178BF">
          <w:rPr>
            <w:rStyle w:val="Hyperlink"/>
            <w:rFonts w:ascii="Times New Roman" w:hAnsi="Times New Roman"/>
            <w:sz w:val="24"/>
            <w:szCs w:val="24"/>
          </w:rPr>
          <w:t>51.08.140</w:t>
        </w:r>
      </w:hyperlink>
      <w:r w:rsidRPr="006178BF">
        <w:rPr>
          <w:rFonts w:ascii="Times New Roman" w:hAnsi="Times New Roman"/>
          <w:sz w:val="24"/>
          <w:szCs w:val="24"/>
        </w:rPr>
        <w:t xml:space="preserve">.  </w:t>
      </w:r>
    </w:p>
    <w:bookmarkEnd w:id="234"/>
    <w:p w14:paraId="35348AFC" w14:textId="285F4DF1" w:rsidR="00CD5950" w:rsidRDefault="00CD5950" w:rsidP="00EF1133">
      <w:pPr>
        <w:rPr>
          <w:rFonts w:ascii="Arial Black" w:hAnsi="Arial Black"/>
          <w:b/>
          <w:sz w:val="24"/>
          <w:szCs w:val="24"/>
        </w:rPr>
      </w:pPr>
      <w:r>
        <w:rPr>
          <w:rFonts w:ascii="Arial Black" w:hAnsi="Arial Black"/>
          <w:b/>
          <w:sz w:val="24"/>
          <w:szCs w:val="24"/>
        </w:rPr>
        <w:t>6-6</w:t>
      </w:r>
      <w:r w:rsidR="00FF7C63">
        <w:rPr>
          <w:rFonts w:ascii="Arial Black" w:hAnsi="Arial Black"/>
          <w:b/>
          <w:sz w:val="24"/>
          <w:szCs w:val="24"/>
        </w:rPr>
        <w:t>5</w:t>
      </w:r>
    </w:p>
    <w:p w14:paraId="3C7D2126" w14:textId="77777777" w:rsidR="00CD5950" w:rsidRPr="00F05C54" w:rsidRDefault="00CD5950" w:rsidP="00CD5950">
      <w:pPr>
        <w:pStyle w:val="NormalWeb"/>
        <w:rPr>
          <w:rFonts w:ascii="Arial Black" w:hAnsi="Arial Black"/>
          <w:sz w:val="28"/>
          <w:szCs w:val="28"/>
        </w:rPr>
      </w:pPr>
      <w:bookmarkStart w:id="235" w:name="_Hlk66947419"/>
      <w:r>
        <w:rPr>
          <w:rFonts w:ascii="Arial Black" w:hAnsi="Arial Black"/>
          <w:sz w:val="28"/>
          <w:szCs w:val="28"/>
        </w:rPr>
        <w:t>NV: LIGHT DUTY - CAPTAIN SHOULDER INJURY - REFUSED LIGHT DUTY AFTER SURGERY – TTD PAYMENTS STOPPED</w:t>
      </w:r>
    </w:p>
    <w:p w14:paraId="276D8919" w14:textId="77777777" w:rsidR="00CD5950" w:rsidRDefault="00CD5950" w:rsidP="00CD5950">
      <w:pPr>
        <w:pStyle w:val="NormalWeb"/>
      </w:pPr>
      <w:r>
        <w:t xml:space="preserve">On Feb. 4, 2021, in </w:t>
      </w:r>
      <w:r w:rsidRPr="00E77AA2">
        <w:rPr>
          <w:u w:val="single"/>
        </w:rPr>
        <w:t>Vance Taylor v. Truckee Meadows Fire Protection District</w:t>
      </w:r>
      <w:r>
        <w:t xml:space="preserve">, the Supreme Court of the State of Nevada, held (3 to 0) that the FD’s offer of temporary, light-duty employment (40-hour work week; secretarial duties) was reasonable and in compliance with Nevada law. even if the new schedule required they get a babysitter, and even if he found the secretarial work to “demeaning or humiliating to him.” The Court held that the workers comp administrator was justified in terminating the firefighter’s temporary total disability benefits. </w:t>
      </w:r>
    </w:p>
    <w:bookmarkEnd w:id="235"/>
    <w:p w14:paraId="303149D7" w14:textId="77777777" w:rsidR="00CD5950" w:rsidRDefault="00CD5950" w:rsidP="00CD5950">
      <w:pPr>
        <w:pStyle w:val="NormalWeb"/>
        <w:ind w:left="720"/>
      </w:pPr>
      <w:r>
        <w:t>“Taylor contends that the temporary, light-duty employment offer of secretarial work was not ‘substantially similar’ to his preinjury position in location, hours, or benefits and was thus not a reasonable offer in accordance with NRS 616C.475. He further argues that the offer was not reasonable because it involved different job duties and a different chain of command than his preinjury position and because it was humiliating work. We disagree.</w:t>
      </w:r>
    </w:p>
    <w:p w14:paraId="6DEA9B10" w14:textId="77777777" w:rsidR="00CD5950" w:rsidRDefault="00CD5950" w:rsidP="00CD5950">
      <w:pPr>
        <w:pStyle w:val="NormalWeb"/>
        <w:ind w:firstLine="720"/>
      </w:pPr>
      <w:r>
        <w:t>***</w:t>
      </w:r>
    </w:p>
    <w:p w14:paraId="388D595A" w14:textId="393DEFD9" w:rsidR="00CD5950" w:rsidRDefault="00CD5950" w:rsidP="00CD5950">
      <w:pPr>
        <w:spacing w:before="100" w:beforeAutospacing="1" w:after="100" w:afterAutospacing="1" w:line="240" w:lineRule="auto"/>
        <w:ind w:left="720"/>
        <w:rPr>
          <w:rFonts w:ascii="Times New Roman" w:eastAsia="Times New Roman" w:hAnsi="Times New Roman"/>
          <w:sz w:val="24"/>
          <w:szCs w:val="24"/>
        </w:rPr>
      </w:pPr>
      <w:r w:rsidRPr="00F05C54">
        <w:rPr>
          <w:rFonts w:ascii="Times New Roman" w:eastAsia="Times New Roman" w:hAnsi="Times New Roman"/>
          <w:sz w:val="24"/>
          <w:szCs w:val="24"/>
        </w:rPr>
        <w:t>Notwithstanding the requirement to consider a light-duty employment offer's schedule, we conclude that the light-duty job offered to Taylor was substantially similar to his preinjury firefighter job in terms of hours. Taylor's preinjury employment required that he work 48 hours on and 96 hours off. The offered light-duty job required Taylor to work a typical administrative schedule, from 8 a.m. to 5 p.m. Monday through</w:t>
      </w:r>
      <w:r>
        <w:rPr>
          <w:rFonts w:ascii="Times New Roman" w:eastAsia="Times New Roman" w:hAnsi="Times New Roman"/>
          <w:sz w:val="24"/>
          <w:szCs w:val="24"/>
        </w:rPr>
        <w:t xml:space="preserve"> </w:t>
      </w:r>
      <w:r w:rsidRPr="00F05C54">
        <w:rPr>
          <w:rFonts w:ascii="Times New Roman" w:eastAsia="Times New Roman" w:hAnsi="Times New Roman"/>
          <w:sz w:val="24"/>
          <w:szCs w:val="24"/>
        </w:rPr>
        <w:t>Friday, totaling 40 hours a week. Although the administrative schedule was not identical to Taylor's firefighter schedule, it also did not require him to work unusual hours or an atypical timetable.</w:t>
      </w:r>
    </w:p>
    <w:p w14:paraId="21A99775" w14:textId="77777777" w:rsidR="00CD5950" w:rsidRDefault="00CD5950" w:rsidP="00CD5950">
      <w:pPr>
        <w:pStyle w:val="NormalWeb"/>
      </w:pPr>
      <w:r>
        <w:tab/>
        <w:t>***</w:t>
      </w:r>
    </w:p>
    <w:p w14:paraId="02241B1B" w14:textId="77777777" w:rsidR="00CD5950" w:rsidRDefault="00CD5950" w:rsidP="00CD5950">
      <w:pPr>
        <w:pStyle w:val="NormalWeb"/>
        <w:ind w:left="720"/>
      </w:pPr>
      <w:r>
        <w:t xml:space="preserve">We further reject Taylor's contention that the administrative position was demeaning or humiliating to him. Secretaries and their assistants perform the necessary everyday tasks that are required to run organizations and businesses. The mere fact that an employee feels that a position is beneath him or her does not make the offer unreasonable or invalid.”  </w:t>
      </w:r>
      <w:bookmarkStart w:id="236" w:name="_Hlk66947486"/>
      <w:r w:rsidR="00F00958">
        <w:fldChar w:fldCharType="begin"/>
      </w:r>
      <w:r w:rsidR="00F00958">
        <w:instrText xml:space="preserve"> HYPERLINK "https://law.justia.com/cases/nevada/supreme-court/2021/78971.html" </w:instrText>
      </w:r>
      <w:r w:rsidR="00F00958">
        <w:fldChar w:fldCharType="separate"/>
      </w:r>
      <w:r w:rsidRPr="00B07E35">
        <w:rPr>
          <w:rStyle w:val="Hyperlink"/>
        </w:rPr>
        <w:t>https://law.justia.com/cases/nevada/supreme-court/2021/78971.html</w:t>
      </w:r>
      <w:r w:rsidR="00F00958">
        <w:rPr>
          <w:rStyle w:val="Hyperlink"/>
        </w:rPr>
        <w:fldChar w:fldCharType="end"/>
      </w:r>
    </w:p>
    <w:p w14:paraId="0E688D60" w14:textId="77777777" w:rsidR="00CD5950" w:rsidRPr="00015E59" w:rsidRDefault="00CD5950" w:rsidP="00CD5950">
      <w:pPr>
        <w:pStyle w:val="NormalWeb"/>
        <w:rPr>
          <w:b/>
          <w:bCs/>
        </w:rPr>
      </w:pPr>
      <w:bookmarkStart w:id="237" w:name="_Hlk66947464"/>
      <w:bookmarkEnd w:id="236"/>
      <w:r w:rsidRPr="00015E59">
        <w:rPr>
          <w:b/>
          <w:bCs/>
        </w:rPr>
        <w:t>Legal Lesson Learned:</w:t>
      </w:r>
      <w:r>
        <w:rPr>
          <w:b/>
          <w:bCs/>
        </w:rPr>
        <w:t xml:space="preserve">  The Nevada statute is designed to ‘encourage” employees to accept light duty and get back to full duty as soon as possible. </w:t>
      </w:r>
    </w:p>
    <w:p w14:paraId="5C045BF0" w14:textId="77777777" w:rsidR="00CD5950" w:rsidRDefault="00CD5950" w:rsidP="00CD5950">
      <w:pPr>
        <w:pStyle w:val="NormalWeb"/>
        <w:ind w:left="720"/>
      </w:pPr>
      <w:r>
        <w:t>Note: The FD offered him same gross wages during light duty.</w:t>
      </w:r>
    </w:p>
    <w:p w14:paraId="2E47EBA4" w14:textId="77777777" w:rsidR="00CD5950" w:rsidRPr="00F05C54" w:rsidRDefault="00CD5950" w:rsidP="00CD5950">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F05C54">
        <w:rPr>
          <w:rFonts w:ascii="Times New Roman" w:eastAsia="Times New Roman" w:hAnsi="Times New Roman"/>
          <w:sz w:val="24"/>
          <w:szCs w:val="24"/>
        </w:rPr>
        <w:t>The gross wage that Taylor would have received if he had accepted the temporary, light-duty employment offer was an average of his past 12-week wage history and amounted to $10,115 a month. Taylor argues that the light-duty employment offer was invalid because it did not include overtime pay and did not provide an ability to bank holiday compensatory time. The record shows, however, that the 12-week period used to calculate the offered wage included two holidays, as well as a significant amount of overtime pay—189 hours to be exact. We conclude that because holiday time and overtime pay were included in this gross</w:t>
      </w:r>
      <w:r>
        <w:rPr>
          <w:rFonts w:ascii="Times New Roman" w:eastAsia="Times New Roman" w:hAnsi="Times New Roman"/>
          <w:sz w:val="24"/>
          <w:szCs w:val="24"/>
        </w:rPr>
        <w:t xml:space="preserve"> </w:t>
      </w:r>
      <w:r w:rsidRPr="00F05C54">
        <w:rPr>
          <w:rFonts w:ascii="Times New Roman" w:eastAsia="Times New Roman" w:hAnsi="Times New Roman"/>
          <w:sz w:val="24"/>
          <w:szCs w:val="24"/>
        </w:rPr>
        <w:t xml:space="preserve">wage, the light-duty position provided a substantially similar wage and the same employment benefits as the preinjury </w:t>
      </w:r>
      <w:proofErr w:type="gramStart"/>
      <w:r w:rsidRPr="00F05C54">
        <w:rPr>
          <w:rFonts w:ascii="Times New Roman" w:eastAsia="Times New Roman" w:hAnsi="Times New Roman"/>
          <w:sz w:val="24"/>
          <w:szCs w:val="24"/>
        </w:rPr>
        <w:t>position.</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
    <w:bookmarkEnd w:id="237"/>
    <w:p w14:paraId="5822E6F5" w14:textId="2DA066DE" w:rsidR="00CD5950" w:rsidRDefault="00CD5950" w:rsidP="00EF1133">
      <w:pPr>
        <w:rPr>
          <w:rFonts w:ascii="Arial Black" w:hAnsi="Arial Black"/>
          <w:b/>
          <w:sz w:val="24"/>
          <w:szCs w:val="24"/>
        </w:rPr>
      </w:pPr>
      <w:r>
        <w:rPr>
          <w:rFonts w:ascii="Arial Black" w:hAnsi="Arial Black"/>
          <w:b/>
          <w:sz w:val="24"/>
          <w:szCs w:val="24"/>
        </w:rPr>
        <w:t>6-6</w:t>
      </w:r>
      <w:r w:rsidR="00FF7C63">
        <w:rPr>
          <w:rFonts w:ascii="Arial Black" w:hAnsi="Arial Black"/>
          <w:b/>
          <w:sz w:val="24"/>
          <w:szCs w:val="24"/>
        </w:rPr>
        <w:t>4</w:t>
      </w:r>
    </w:p>
    <w:p w14:paraId="11C9155F" w14:textId="77777777" w:rsidR="00CD5950" w:rsidRDefault="00CD5950" w:rsidP="00CD5950">
      <w:pPr>
        <w:rPr>
          <w:rFonts w:ascii="Arial Black" w:hAnsi="Arial Black"/>
          <w:sz w:val="28"/>
          <w:szCs w:val="28"/>
        </w:rPr>
      </w:pPr>
      <w:r>
        <w:rPr>
          <w:rFonts w:ascii="Arial Black" w:hAnsi="Arial Black"/>
          <w:sz w:val="28"/>
          <w:szCs w:val="28"/>
        </w:rPr>
        <w:t>IL: “CATASTROPHIC INJURY” – LIFETIME HEALTH INSURANCE UNDER STATE LAW – CITY CAN’T RE-DEFINE QUALIFICATIONS</w:t>
      </w:r>
    </w:p>
    <w:p w14:paraId="6A45872B" w14:textId="77777777" w:rsidR="00CD5950" w:rsidRDefault="00CD5950" w:rsidP="00CD5950">
      <w:pPr>
        <w:rPr>
          <w:rFonts w:ascii="Times New Roman" w:hAnsi="Times New Roman"/>
          <w:sz w:val="24"/>
          <w:szCs w:val="24"/>
        </w:rPr>
      </w:pPr>
      <w:r>
        <w:rPr>
          <w:rFonts w:ascii="Times New Roman" w:hAnsi="Times New Roman"/>
          <w:sz w:val="24"/>
          <w:szCs w:val="24"/>
        </w:rPr>
        <w:t xml:space="preserve">On Feb. 1, 2021, in </w:t>
      </w:r>
      <w:r w:rsidRPr="009836FC">
        <w:rPr>
          <w:rFonts w:ascii="Times New Roman" w:hAnsi="Times New Roman"/>
          <w:sz w:val="24"/>
          <w:szCs w:val="24"/>
          <w:u w:val="single"/>
        </w:rPr>
        <w:t>IAFF Local 50 v. The City of Peoria</w:t>
      </w:r>
      <w:r>
        <w:rPr>
          <w:rFonts w:ascii="Times New Roman" w:hAnsi="Times New Roman"/>
          <w:sz w:val="24"/>
          <w:szCs w:val="24"/>
        </w:rPr>
        <w:t xml:space="preserve">, the Appellate Court of Illinois (Third District) held (3 to 0) that the Circuit Court of Peoria County properly awarded summary judgment to the IAFF, holding that the City cannot enact an ordinance that seeks to define (and therefore limit) the state’s </w:t>
      </w:r>
      <w:r w:rsidRPr="009836FC">
        <w:rPr>
          <w:rFonts w:ascii="Times New Roman" w:hAnsi="Times New Roman"/>
          <w:sz w:val="24"/>
          <w:szCs w:val="24"/>
        </w:rPr>
        <w:t>Public Safety Employee Benefits Act (Act)</w:t>
      </w:r>
      <w:r>
        <w:rPr>
          <w:rFonts w:ascii="Times New Roman" w:hAnsi="Times New Roman"/>
          <w:sz w:val="24"/>
          <w:szCs w:val="24"/>
        </w:rPr>
        <w:t xml:space="preserve">, particularly after Illinois Supreme Court has already reviewed the state law and its legislative history.  </w:t>
      </w:r>
    </w:p>
    <w:p w14:paraId="085F7C87" w14:textId="77777777" w:rsidR="00CD5950" w:rsidRDefault="00CD5950" w:rsidP="00CD5950">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0331B7">
        <w:rPr>
          <w:rFonts w:ascii="Times New Roman" w:eastAsia="Times New Roman" w:hAnsi="Times New Roman"/>
          <w:sz w:val="24"/>
          <w:szCs w:val="24"/>
        </w:rPr>
        <w:t xml:space="preserve">Peoria City Code § 2-350(b) (amended June 12, 2018). </w:t>
      </w:r>
      <w:r>
        <w:rPr>
          <w:rFonts w:ascii="Times New Roman" w:eastAsia="Times New Roman" w:hAnsi="Times New Roman"/>
          <w:sz w:val="24"/>
          <w:szCs w:val="24"/>
        </w:rPr>
        <w:t>‘</w:t>
      </w:r>
      <w:r w:rsidRPr="000331B7">
        <w:rPr>
          <w:rFonts w:ascii="Times New Roman" w:eastAsia="Times New Roman" w:hAnsi="Times New Roman"/>
          <w:sz w:val="24"/>
          <w:szCs w:val="24"/>
        </w:rPr>
        <w:t>Catastrophic injury</w:t>
      </w:r>
      <w:r>
        <w:rPr>
          <w:rFonts w:ascii="Times New Roman" w:eastAsia="Times New Roman" w:hAnsi="Times New Roman"/>
          <w:sz w:val="24"/>
          <w:szCs w:val="24"/>
        </w:rPr>
        <w:t>’</w:t>
      </w:r>
      <w:r w:rsidRPr="000331B7">
        <w:rPr>
          <w:rFonts w:ascii="Times New Roman" w:eastAsia="Times New Roman" w:hAnsi="Times New Roman"/>
          <w:sz w:val="24"/>
          <w:szCs w:val="24"/>
        </w:rPr>
        <w:t xml:space="preserve"> is defined as </w:t>
      </w:r>
      <w:r>
        <w:rPr>
          <w:rFonts w:ascii="Times New Roman" w:eastAsia="Times New Roman" w:hAnsi="Times New Roman"/>
          <w:sz w:val="24"/>
          <w:szCs w:val="24"/>
        </w:rPr>
        <w:t>‘</w:t>
      </w:r>
      <w:r w:rsidRPr="000331B7">
        <w:rPr>
          <w:rFonts w:ascii="Times New Roman" w:eastAsia="Times New Roman" w:hAnsi="Times New Roman"/>
          <w:sz w:val="24"/>
          <w:szCs w:val="24"/>
        </w:rPr>
        <w:t>[a]n injury, the direct and proximate consequences of which permanently prevent an individual from performing any gainful work.</w:t>
      </w:r>
      <w:r>
        <w:rPr>
          <w:rFonts w:ascii="Times New Roman" w:eastAsia="Times New Roman" w:hAnsi="Times New Roman"/>
          <w:sz w:val="24"/>
          <w:szCs w:val="24"/>
        </w:rPr>
        <w:t>’</w:t>
      </w:r>
      <w:r w:rsidRPr="000331B7">
        <w:rPr>
          <w:rFonts w:ascii="Times New Roman" w:eastAsia="Times New Roman" w:hAnsi="Times New Roman"/>
          <w:sz w:val="24"/>
          <w:szCs w:val="24"/>
        </w:rPr>
        <w:t xml:space="preserve"> </w:t>
      </w:r>
      <w:r w:rsidRPr="000331B7">
        <w:rPr>
          <w:rFonts w:ascii="Times New Roman" w:eastAsia="Times New Roman" w:hAnsi="Times New Roman"/>
          <w:i/>
          <w:iCs/>
          <w:sz w:val="24"/>
          <w:szCs w:val="24"/>
        </w:rPr>
        <w:t>Id</w:t>
      </w:r>
      <w:r w:rsidRPr="000331B7">
        <w:rPr>
          <w:rFonts w:ascii="Times New Roman" w:eastAsia="Times New Roman" w:hAnsi="Times New Roman"/>
          <w:sz w:val="24"/>
          <w:szCs w:val="24"/>
        </w:rPr>
        <w:t xml:space="preserve">. </w:t>
      </w:r>
      <w:r>
        <w:rPr>
          <w:rFonts w:ascii="Times New Roman" w:eastAsia="Times New Roman" w:hAnsi="Times New Roman"/>
          <w:sz w:val="24"/>
          <w:szCs w:val="24"/>
        </w:rPr>
        <w:t>‘</w:t>
      </w:r>
      <w:r w:rsidRPr="000331B7">
        <w:rPr>
          <w:rFonts w:ascii="Times New Roman" w:eastAsia="Times New Roman" w:hAnsi="Times New Roman"/>
          <w:sz w:val="24"/>
          <w:szCs w:val="24"/>
        </w:rPr>
        <w:t>Gainful work</w:t>
      </w:r>
      <w:r>
        <w:rPr>
          <w:rFonts w:ascii="Times New Roman" w:eastAsia="Times New Roman" w:hAnsi="Times New Roman"/>
          <w:sz w:val="24"/>
          <w:szCs w:val="24"/>
        </w:rPr>
        <w:t>’</w:t>
      </w:r>
      <w:r w:rsidRPr="000331B7">
        <w:rPr>
          <w:rFonts w:ascii="Times New Roman" w:eastAsia="Times New Roman" w:hAnsi="Times New Roman"/>
          <w:sz w:val="24"/>
          <w:szCs w:val="24"/>
        </w:rPr>
        <w:t xml:space="preserve"> is defined as </w:t>
      </w:r>
      <w:r>
        <w:rPr>
          <w:rFonts w:ascii="Times New Roman" w:eastAsia="Times New Roman" w:hAnsi="Times New Roman"/>
          <w:sz w:val="24"/>
          <w:szCs w:val="24"/>
        </w:rPr>
        <w:t>‘</w:t>
      </w:r>
      <w:r w:rsidRPr="000331B7">
        <w:rPr>
          <w:rFonts w:ascii="Times New Roman" w:eastAsia="Times New Roman" w:hAnsi="Times New Roman"/>
          <w:sz w:val="24"/>
          <w:szCs w:val="24"/>
        </w:rPr>
        <w:t>[f]</w:t>
      </w:r>
      <w:proofErr w:type="spellStart"/>
      <w:r w:rsidRPr="000331B7">
        <w:rPr>
          <w:rFonts w:ascii="Times New Roman" w:eastAsia="Times New Roman" w:hAnsi="Times New Roman"/>
          <w:sz w:val="24"/>
          <w:szCs w:val="24"/>
        </w:rPr>
        <w:t>ull</w:t>
      </w:r>
      <w:proofErr w:type="spellEnd"/>
      <w:r w:rsidRPr="000331B7">
        <w:rPr>
          <w:rFonts w:ascii="Times New Roman" w:eastAsia="Times New Roman" w:hAnsi="Times New Roman"/>
          <w:sz w:val="24"/>
          <w:szCs w:val="24"/>
        </w:rPr>
        <w:t xml:space="preserve">- or part-time </w:t>
      </w:r>
      <w:proofErr w:type="gramStart"/>
      <w:r w:rsidRPr="000331B7">
        <w:rPr>
          <w:rFonts w:ascii="Times New Roman" w:eastAsia="Times New Roman" w:hAnsi="Times New Roman"/>
          <w:sz w:val="24"/>
          <w:szCs w:val="24"/>
        </w:rPr>
        <w:t>activity</w:t>
      </w:r>
      <w:proofErr w:type="gramEnd"/>
      <w:r w:rsidRPr="000331B7">
        <w:rPr>
          <w:rFonts w:ascii="Times New Roman" w:eastAsia="Times New Roman" w:hAnsi="Times New Roman"/>
          <w:sz w:val="24"/>
          <w:szCs w:val="24"/>
        </w:rPr>
        <w:t xml:space="preserve"> that actually is compensated or commonly is compensated.</w:t>
      </w:r>
      <w:r>
        <w:rPr>
          <w:rFonts w:ascii="Times New Roman" w:eastAsia="Times New Roman" w:hAnsi="Times New Roman"/>
          <w:sz w:val="24"/>
          <w:szCs w:val="24"/>
        </w:rPr>
        <w:t>’</w:t>
      </w:r>
      <w:r w:rsidRPr="000331B7">
        <w:rPr>
          <w:rFonts w:ascii="Times New Roman" w:eastAsia="Times New Roman" w:hAnsi="Times New Roman"/>
          <w:sz w:val="24"/>
          <w:szCs w:val="24"/>
        </w:rPr>
        <w:t xml:space="preserve"> </w:t>
      </w:r>
      <w:r w:rsidRPr="000331B7">
        <w:rPr>
          <w:rFonts w:ascii="Times New Roman" w:eastAsia="Times New Roman" w:hAnsi="Times New Roman"/>
          <w:i/>
          <w:iCs/>
          <w:sz w:val="24"/>
          <w:szCs w:val="24"/>
        </w:rPr>
        <w:t>Id</w:t>
      </w:r>
      <w:r w:rsidRPr="000331B7">
        <w:rPr>
          <w:rFonts w:ascii="Times New Roman" w:eastAsia="Times New Roman" w:hAnsi="Times New Roman"/>
          <w:sz w:val="24"/>
          <w:szCs w:val="24"/>
        </w:rPr>
        <w:t xml:space="preserve">. "Injury" is defined </w:t>
      </w:r>
      <w:proofErr w:type="gramStart"/>
      <w:r w:rsidRPr="000331B7">
        <w:rPr>
          <w:rFonts w:ascii="Times New Roman" w:eastAsia="Times New Roman" w:hAnsi="Times New Roman"/>
          <w:sz w:val="24"/>
          <w:szCs w:val="24"/>
        </w:rPr>
        <w:t>as:</w:t>
      </w:r>
      <w:r>
        <w:rPr>
          <w:rFonts w:ascii="Times New Roman" w:eastAsia="Times New Roman" w:hAnsi="Times New Roman"/>
          <w:sz w:val="24"/>
          <w:szCs w:val="24"/>
        </w:rPr>
        <w:t xml:space="preserve"> ‘</w:t>
      </w:r>
      <w:proofErr w:type="gramEnd"/>
      <w:r w:rsidRPr="000331B7">
        <w:rPr>
          <w:rFonts w:ascii="Times New Roman" w:eastAsia="Times New Roman" w:hAnsi="Times New Roman"/>
          <w:sz w:val="24"/>
          <w:szCs w:val="24"/>
        </w:rPr>
        <w:t>A traumatic physical wound *** directly and proximately caused by external force ***, chemicals, electricity, climatic conditions, infectious disease, radiation, virus, or bacteria, but does not include:</w:t>
      </w:r>
      <w:r>
        <w:rPr>
          <w:rFonts w:ascii="Times New Roman" w:eastAsia="Times New Roman" w:hAnsi="Times New Roman"/>
          <w:sz w:val="24"/>
          <w:szCs w:val="24"/>
        </w:rPr>
        <w:t xml:space="preserve"> </w:t>
      </w:r>
    </w:p>
    <w:p w14:paraId="5238FCD7" w14:textId="77777777" w:rsidR="00CD5950" w:rsidRDefault="00CD5950" w:rsidP="00CD5950">
      <w:pPr>
        <w:spacing w:before="100" w:beforeAutospacing="1" w:after="100" w:afterAutospacing="1" w:line="240" w:lineRule="auto"/>
        <w:ind w:left="1440"/>
        <w:rPr>
          <w:rFonts w:ascii="Times New Roman" w:eastAsia="Times New Roman" w:hAnsi="Times New Roman"/>
          <w:sz w:val="24"/>
          <w:szCs w:val="24"/>
        </w:rPr>
      </w:pPr>
      <w:r w:rsidRPr="000331B7">
        <w:rPr>
          <w:rFonts w:ascii="Times New Roman" w:eastAsia="Times New Roman" w:hAnsi="Times New Roman"/>
          <w:sz w:val="24"/>
          <w:szCs w:val="24"/>
        </w:rPr>
        <w:t>(1) Any occupational disease; or</w:t>
      </w:r>
      <w:r w:rsidRPr="000331B7">
        <w:rPr>
          <w:rFonts w:ascii="Times New Roman" w:eastAsia="Times New Roman" w:hAnsi="Times New Roman"/>
          <w:sz w:val="24"/>
          <w:szCs w:val="24"/>
        </w:rPr>
        <w:br/>
      </w:r>
      <w:r w:rsidRPr="000331B7">
        <w:rPr>
          <w:rFonts w:ascii="Times New Roman" w:eastAsia="Times New Roman" w:hAnsi="Times New Roman"/>
          <w:sz w:val="24"/>
          <w:szCs w:val="24"/>
        </w:rPr>
        <w:br/>
        <w:t>(2) Any condition of the body caused or occasioned by stress or strain.</w:t>
      </w:r>
    </w:p>
    <w:p w14:paraId="6F48ADFA" w14:textId="77777777" w:rsidR="00CD5950" w:rsidRDefault="00CD5950" w:rsidP="00CD5950">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063E6CB9" w14:textId="5DBD5DCD" w:rsidR="00CD5950" w:rsidRPr="000331B7" w:rsidRDefault="00CD5950" w:rsidP="00CD5950">
      <w:pPr>
        <w:spacing w:before="100" w:beforeAutospacing="1" w:after="100" w:afterAutospacing="1" w:line="240" w:lineRule="auto"/>
        <w:ind w:left="720"/>
        <w:rPr>
          <w:rFonts w:ascii="Times New Roman" w:eastAsia="Times New Roman" w:hAnsi="Times New Roman"/>
          <w:sz w:val="24"/>
          <w:szCs w:val="24"/>
        </w:rPr>
      </w:pPr>
      <w:r w:rsidRPr="000331B7">
        <w:rPr>
          <w:rFonts w:ascii="Times New Roman" w:hAnsi="Times New Roman"/>
          <w:sz w:val="24"/>
          <w:szCs w:val="24"/>
        </w:rPr>
        <w:t xml:space="preserve">We conclude that the City's definitions of </w:t>
      </w:r>
      <w:r>
        <w:rPr>
          <w:rFonts w:ascii="Times New Roman" w:hAnsi="Times New Roman"/>
          <w:sz w:val="24"/>
          <w:szCs w:val="24"/>
        </w:rPr>
        <w:t>‘</w:t>
      </w:r>
      <w:r w:rsidRPr="000331B7">
        <w:rPr>
          <w:rFonts w:ascii="Times New Roman" w:hAnsi="Times New Roman"/>
          <w:sz w:val="24"/>
          <w:szCs w:val="24"/>
        </w:rPr>
        <w:t>catastrophic injury,</w:t>
      </w:r>
      <w:r>
        <w:rPr>
          <w:rFonts w:ascii="Times New Roman" w:hAnsi="Times New Roman"/>
          <w:sz w:val="24"/>
          <w:szCs w:val="24"/>
        </w:rPr>
        <w:t>’</w:t>
      </w:r>
      <w:r w:rsidRPr="000331B7">
        <w:rPr>
          <w:rFonts w:ascii="Times New Roman" w:hAnsi="Times New Roman"/>
          <w:sz w:val="24"/>
          <w:szCs w:val="24"/>
        </w:rPr>
        <w:t xml:space="preserve"> </w:t>
      </w:r>
      <w:r>
        <w:rPr>
          <w:rFonts w:ascii="Times New Roman" w:hAnsi="Times New Roman"/>
          <w:sz w:val="24"/>
          <w:szCs w:val="24"/>
        </w:rPr>
        <w:t>‘</w:t>
      </w:r>
      <w:r w:rsidRPr="000331B7">
        <w:rPr>
          <w:rFonts w:ascii="Times New Roman" w:hAnsi="Times New Roman"/>
          <w:sz w:val="24"/>
          <w:szCs w:val="24"/>
        </w:rPr>
        <w:t>injury,</w:t>
      </w:r>
      <w:r>
        <w:rPr>
          <w:rFonts w:ascii="Times New Roman" w:hAnsi="Times New Roman"/>
          <w:sz w:val="24"/>
          <w:szCs w:val="24"/>
        </w:rPr>
        <w:t>’</w:t>
      </w:r>
      <w:r w:rsidRPr="000331B7">
        <w:rPr>
          <w:rFonts w:ascii="Times New Roman" w:hAnsi="Times New Roman"/>
          <w:sz w:val="24"/>
          <w:szCs w:val="24"/>
        </w:rPr>
        <w:t xml:space="preserve"> and </w:t>
      </w:r>
      <w:r>
        <w:rPr>
          <w:rFonts w:ascii="Times New Roman" w:hAnsi="Times New Roman"/>
          <w:sz w:val="24"/>
          <w:szCs w:val="24"/>
        </w:rPr>
        <w:t>‘</w:t>
      </w:r>
      <w:r w:rsidRPr="000331B7">
        <w:rPr>
          <w:rFonts w:ascii="Times New Roman" w:hAnsi="Times New Roman"/>
          <w:sz w:val="24"/>
          <w:szCs w:val="24"/>
        </w:rPr>
        <w:t>gainful work</w:t>
      </w:r>
      <w:r>
        <w:rPr>
          <w:rFonts w:ascii="Times New Roman" w:hAnsi="Times New Roman"/>
          <w:sz w:val="24"/>
          <w:szCs w:val="24"/>
        </w:rPr>
        <w:t>’</w:t>
      </w:r>
      <w:r w:rsidRPr="000331B7">
        <w:rPr>
          <w:rFonts w:ascii="Times New Roman" w:hAnsi="Times New Roman"/>
          <w:sz w:val="24"/>
          <w:szCs w:val="24"/>
        </w:rPr>
        <w:t xml:space="preserve"> were inconsistent with the substantive requirements of the Act, and the ordinance was not a valid exercise of home rule authority.</w:t>
      </w:r>
      <w:r>
        <w:rPr>
          <w:rFonts w:ascii="Times New Roman" w:hAnsi="Times New Roman"/>
          <w:sz w:val="24"/>
          <w:szCs w:val="24"/>
        </w:rPr>
        <w:t xml:space="preserve">” </w:t>
      </w:r>
      <w:hyperlink r:id="rId1202" w:history="1">
        <w:r w:rsidRPr="002013DF">
          <w:rPr>
            <w:rStyle w:val="Hyperlink"/>
            <w:rFonts w:ascii="Times New Roman" w:hAnsi="Times New Roman"/>
            <w:sz w:val="24"/>
            <w:szCs w:val="24"/>
          </w:rPr>
          <w:t>https://public.fastcase.com/Wl%2B2t%2BeVuI35%2FN70vAMFZhBwSznuAn%2FrUV3euz1vpuZ8G42r7l80quvA5s5OcZyT</w:t>
        </w:r>
      </w:hyperlink>
      <w:r>
        <w:rPr>
          <w:rFonts w:ascii="Times New Roman" w:hAnsi="Times New Roman"/>
          <w:sz w:val="24"/>
          <w:szCs w:val="24"/>
        </w:rPr>
        <w:t xml:space="preserve"> </w:t>
      </w:r>
    </w:p>
    <w:p w14:paraId="3CFE1194" w14:textId="77777777" w:rsidR="00CD5950" w:rsidRPr="00AB7084" w:rsidRDefault="00CD5950" w:rsidP="00CD5950">
      <w:pPr>
        <w:spacing w:before="100" w:beforeAutospacing="1" w:after="100" w:afterAutospacing="1" w:line="240" w:lineRule="auto"/>
        <w:ind w:left="720"/>
        <w:rPr>
          <w:rFonts w:ascii="Times New Roman" w:eastAsia="Times New Roman" w:hAnsi="Times New Roman"/>
          <w:sz w:val="24"/>
          <w:szCs w:val="24"/>
        </w:rPr>
      </w:pPr>
      <w:r w:rsidRPr="00EC6D3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Cities under their “home rule” authority cannot enact an ordinance limiting or defining health benefits provided under state statute.  </w:t>
      </w:r>
    </w:p>
    <w:p w14:paraId="005095DB" w14:textId="77777777" w:rsidR="00CD5950" w:rsidRDefault="00CD5950" w:rsidP="00EF1133">
      <w:pPr>
        <w:rPr>
          <w:rFonts w:ascii="Arial Black" w:hAnsi="Arial Black"/>
          <w:b/>
          <w:sz w:val="24"/>
          <w:szCs w:val="24"/>
        </w:rPr>
      </w:pPr>
    </w:p>
    <w:p w14:paraId="6D58EE4E" w14:textId="377283A5" w:rsidR="007F3C7D" w:rsidRDefault="007F3C7D" w:rsidP="00EF1133">
      <w:pPr>
        <w:rPr>
          <w:rFonts w:ascii="Arial Black" w:hAnsi="Arial Black"/>
          <w:b/>
          <w:sz w:val="24"/>
          <w:szCs w:val="24"/>
        </w:rPr>
      </w:pPr>
      <w:r>
        <w:rPr>
          <w:rFonts w:ascii="Arial Black" w:hAnsi="Arial Black"/>
          <w:b/>
          <w:sz w:val="24"/>
          <w:szCs w:val="24"/>
        </w:rPr>
        <w:t>6-6</w:t>
      </w:r>
      <w:r w:rsidR="008F02C3">
        <w:rPr>
          <w:rFonts w:ascii="Arial Black" w:hAnsi="Arial Black"/>
          <w:b/>
          <w:sz w:val="24"/>
          <w:szCs w:val="24"/>
        </w:rPr>
        <w:t>3</w:t>
      </w:r>
    </w:p>
    <w:p w14:paraId="37ECCA80" w14:textId="77777777" w:rsidR="007F3C7D" w:rsidRPr="003F7EAE" w:rsidRDefault="007F3C7D" w:rsidP="007F3C7D">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ME: TOWN’S CHARTER REQUIRES EMPLOYEES &amp; VOL. FF TO RESIGN IN ORDER TO RUN FOR ELECTION – FED. JUDGE UPHOLDS</w:t>
      </w:r>
    </w:p>
    <w:p w14:paraId="122156B6" w14:textId="77777777" w:rsidR="007F3C7D" w:rsidRDefault="007F3C7D" w:rsidP="007F3C7D">
      <w:pPr>
        <w:rPr>
          <w:rFonts w:ascii="Times New Roman" w:hAnsi="Times New Roman"/>
          <w:sz w:val="24"/>
          <w:szCs w:val="24"/>
        </w:rPr>
      </w:pPr>
      <w:r>
        <w:rPr>
          <w:rFonts w:ascii="Times New Roman" w:hAnsi="Times New Roman"/>
          <w:sz w:val="24"/>
          <w:szCs w:val="24"/>
        </w:rPr>
        <w:t xml:space="preserve">On Jan. 21, 2021, in </w:t>
      </w:r>
      <w:r w:rsidRPr="00DC7AB1">
        <w:rPr>
          <w:rFonts w:ascii="Times New Roman" w:hAnsi="Times New Roman"/>
          <w:sz w:val="24"/>
          <w:szCs w:val="24"/>
          <w:u w:val="single"/>
        </w:rPr>
        <w:t>Megan Casey</w:t>
      </w:r>
      <w:r>
        <w:rPr>
          <w:rFonts w:ascii="Times New Roman" w:hAnsi="Times New Roman"/>
          <w:sz w:val="24"/>
          <w:szCs w:val="24"/>
          <w:u w:val="single"/>
        </w:rPr>
        <w:t xml:space="preserve">, </w:t>
      </w:r>
      <w:r w:rsidRPr="00DC7AB1">
        <w:rPr>
          <w:rFonts w:ascii="Times New Roman" w:hAnsi="Times New Roman"/>
          <w:sz w:val="24"/>
          <w:szCs w:val="24"/>
          <w:u w:val="single"/>
        </w:rPr>
        <w:t>et al. v. Town of Yarmouth</w:t>
      </w:r>
      <w:r>
        <w:rPr>
          <w:rFonts w:ascii="Times New Roman" w:hAnsi="Times New Roman"/>
          <w:sz w:val="24"/>
          <w:szCs w:val="24"/>
        </w:rPr>
        <w:t xml:space="preserve">, U.S. District Court Judge George Z. Singal, U.S. District Court, District of Maine held that the Town’s Charter Amendment is constitutional based on the “balancing” test in U.S. Supreme Court’s decision in Pickering v. Board of Education, 391 U.S. 563 (1968).  The Charter Amendment was passed by referendum of voters in Nov. 2018, supported by a group calling itself </w:t>
      </w:r>
      <w:r w:rsidRPr="003575D4">
        <w:rPr>
          <w:rFonts w:ascii="Times New Roman" w:hAnsi="Times New Roman"/>
          <w:sz w:val="24"/>
          <w:szCs w:val="24"/>
        </w:rPr>
        <w:t>"Yarmouth Citizens for Responsible Government</w:t>
      </w:r>
      <w:r>
        <w:rPr>
          <w:rFonts w:ascii="Times New Roman" w:hAnsi="Times New Roman"/>
          <w:sz w:val="24"/>
          <w:szCs w:val="24"/>
        </w:rPr>
        <w:t>.,</w:t>
      </w:r>
      <w:r w:rsidRPr="003575D4">
        <w:rPr>
          <w:rFonts w:ascii="Times New Roman" w:hAnsi="Times New Roman"/>
          <w:sz w:val="24"/>
          <w:szCs w:val="24"/>
        </w:rPr>
        <w:t>"</w:t>
      </w:r>
      <w:r>
        <w:rPr>
          <w:rFonts w:ascii="Times New Roman" w:hAnsi="Times New Roman"/>
          <w:sz w:val="24"/>
          <w:szCs w:val="24"/>
        </w:rPr>
        <w:t xml:space="preserve"> seeking to avoid any conflict of interest by prohibiting any Town employee [apparently this includes volunteer firefighters], current teachers from serving on Council.  Judge also held that the volunteer firefighter Mark </w:t>
      </w:r>
      <w:proofErr w:type="spellStart"/>
      <w:r>
        <w:rPr>
          <w:rFonts w:ascii="Times New Roman" w:hAnsi="Times New Roman"/>
          <w:sz w:val="24"/>
          <w:szCs w:val="24"/>
        </w:rPr>
        <w:t>Reinsborough</w:t>
      </w:r>
      <w:proofErr w:type="spellEnd"/>
      <w:r>
        <w:rPr>
          <w:rFonts w:ascii="Times New Roman" w:hAnsi="Times New Roman"/>
          <w:sz w:val="24"/>
          <w:szCs w:val="24"/>
        </w:rPr>
        <w:t xml:space="preserve"> [as well as his wife, and his father, a former volunteer firefighter] lacked “standing” since none expressed a current intent to run for Council. </w:t>
      </w:r>
    </w:p>
    <w:p w14:paraId="24083F2A" w14:textId="77777777" w:rsidR="007F3C7D" w:rsidRPr="00933346" w:rsidRDefault="007F3C7D" w:rsidP="007F3C7D">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“[T]</w:t>
      </w:r>
      <w:r w:rsidRPr="00865711">
        <w:rPr>
          <w:rFonts w:ascii="Times New Roman" w:hAnsi="Times New Roman"/>
          <w:sz w:val="24"/>
          <w:szCs w:val="24"/>
        </w:rPr>
        <w:t xml:space="preserve">he Supreme Court </w:t>
      </w:r>
      <w:r>
        <w:rPr>
          <w:rFonts w:ascii="Times New Roman" w:hAnsi="Times New Roman"/>
          <w:sz w:val="24"/>
          <w:szCs w:val="24"/>
        </w:rPr>
        <w:t xml:space="preserve">in </w:t>
      </w:r>
      <w:r w:rsidRPr="00924AEC">
        <w:rPr>
          <w:rFonts w:ascii="Times New Roman" w:hAnsi="Times New Roman"/>
          <w:sz w:val="24"/>
          <w:szCs w:val="24"/>
          <w:u w:val="single"/>
        </w:rPr>
        <w:t>Pickering</w:t>
      </w:r>
      <w:r>
        <w:rPr>
          <w:rFonts w:ascii="Times New Roman" w:hAnsi="Times New Roman"/>
          <w:sz w:val="24"/>
          <w:szCs w:val="24"/>
        </w:rPr>
        <w:t xml:space="preserve"> ‘</w:t>
      </w:r>
      <w:r w:rsidRPr="00865711">
        <w:rPr>
          <w:rFonts w:ascii="Times New Roman" w:hAnsi="Times New Roman"/>
          <w:sz w:val="24"/>
          <w:szCs w:val="24"/>
        </w:rPr>
        <w:t>declared that citizens do not surrender their First Amendment rights by accepting public employment.</w:t>
      </w:r>
      <w:r>
        <w:rPr>
          <w:rFonts w:ascii="Times New Roman" w:hAnsi="Times New Roman"/>
          <w:sz w:val="24"/>
          <w:szCs w:val="24"/>
        </w:rPr>
        <w:t>’</w:t>
      </w:r>
      <w:r w:rsidRPr="00865711">
        <w:rPr>
          <w:rFonts w:ascii="Times New Roman" w:hAnsi="Times New Roman"/>
          <w:sz w:val="24"/>
          <w:szCs w:val="24"/>
        </w:rPr>
        <w:t xml:space="preserve"> </w:t>
      </w:r>
      <w:r w:rsidRPr="00865711">
        <w:rPr>
          <w:rFonts w:ascii="Times New Roman" w:hAnsi="Times New Roman"/>
          <w:sz w:val="24"/>
          <w:szCs w:val="24"/>
          <w:u w:val="single"/>
        </w:rPr>
        <w:t>Lane v. Franks</w:t>
      </w:r>
      <w:r w:rsidRPr="00865711">
        <w:rPr>
          <w:rFonts w:ascii="Times New Roman" w:hAnsi="Times New Roman"/>
          <w:sz w:val="24"/>
          <w:szCs w:val="24"/>
        </w:rPr>
        <w:t xml:space="preserve">, 573 U.S. 228, 231 (2014) (describing </w:t>
      </w:r>
      <w:r w:rsidRPr="00865711">
        <w:rPr>
          <w:rFonts w:ascii="Times New Roman" w:hAnsi="Times New Roman"/>
          <w:sz w:val="24"/>
          <w:szCs w:val="24"/>
          <w:u w:val="single"/>
        </w:rPr>
        <w:t>Pickering</w:t>
      </w:r>
      <w:r w:rsidRPr="00865711">
        <w:rPr>
          <w:rFonts w:ascii="Times New Roman" w:hAnsi="Times New Roman"/>
          <w:sz w:val="24"/>
          <w:szCs w:val="24"/>
        </w:rPr>
        <w:t>). However, the Court found that it was necessary "</w:t>
      </w:r>
      <w:r>
        <w:rPr>
          <w:rFonts w:ascii="Times New Roman" w:hAnsi="Times New Roman"/>
          <w:sz w:val="24"/>
          <w:szCs w:val="24"/>
        </w:rPr>
        <w:t>t</w:t>
      </w:r>
      <w:r w:rsidRPr="00865711">
        <w:rPr>
          <w:rFonts w:ascii="Times New Roman" w:hAnsi="Times New Roman"/>
          <w:sz w:val="24"/>
          <w:szCs w:val="24"/>
        </w:rPr>
        <w:t xml:space="preserve">o . . . balance between the interests of the [employee], as a citizen, in commenting upon matters of public concern and the interest of the [government], as an employer, in promoting the efficiency of the public services it </w:t>
      </w:r>
      <w:proofErr w:type="gramStart"/>
      <w:r w:rsidRPr="00865711">
        <w:rPr>
          <w:rFonts w:ascii="Times New Roman" w:hAnsi="Times New Roman"/>
          <w:sz w:val="24"/>
          <w:szCs w:val="24"/>
        </w:rPr>
        <w:t>performs</w:t>
      </w:r>
      <w:proofErr w:type="gramEnd"/>
      <w:r w:rsidRPr="00865711">
        <w:rPr>
          <w:rFonts w:ascii="Times New Roman" w:hAnsi="Times New Roman"/>
          <w:sz w:val="24"/>
          <w:szCs w:val="24"/>
        </w:rPr>
        <w:t xml:space="preserve"> through its employees.</w:t>
      </w:r>
      <w:r>
        <w:rPr>
          <w:rFonts w:ascii="Times New Roman" w:hAnsi="Times New Roman"/>
          <w:sz w:val="24"/>
          <w:szCs w:val="24"/>
        </w:rPr>
        <w:t>’</w:t>
      </w:r>
      <w:r w:rsidRPr="00865711">
        <w:rPr>
          <w:rFonts w:ascii="Times New Roman" w:hAnsi="Times New Roman"/>
          <w:sz w:val="24"/>
          <w:szCs w:val="24"/>
        </w:rPr>
        <w:t xml:space="preserve"> </w:t>
      </w:r>
      <w:r w:rsidRPr="00865711">
        <w:rPr>
          <w:rFonts w:ascii="Times New Roman" w:hAnsi="Times New Roman"/>
          <w:sz w:val="24"/>
          <w:szCs w:val="24"/>
          <w:u w:val="single"/>
        </w:rPr>
        <w:t>Pickering</w:t>
      </w:r>
      <w:r w:rsidRPr="00865711">
        <w:rPr>
          <w:rFonts w:ascii="Times New Roman" w:hAnsi="Times New Roman"/>
          <w:sz w:val="24"/>
          <w:szCs w:val="24"/>
        </w:rPr>
        <w:t>, 391 U.S. at 568.</w:t>
      </w:r>
      <w:r>
        <w:rPr>
          <w:rFonts w:ascii="Times New Roman" w:hAnsi="Times New Roman"/>
          <w:sz w:val="24"/>
          <w:szCs w:val="24"/>
        </w:rPr>
        <w:t xml:space="preserve"> </w:t>
      </w:r>
      <w:hyperlink r:id="rId1203" w:history="1">
        <w:r w:rsidRPr="00563FF7">
          <w:rPr>
            <w:rStyle w:val="Hyperlink"/>
            <w:rFonts w:ascii="Times New Roman" w:eastAsia="Times New Roman" w:hAnsi="Times New Roman"/>
            <w:sz w:val="24"/>
            <w:szCs w:val="24"/>
          </w:rPr>
          <w:t>https://public.fastcase.com/Wl%2B2t%2BeVuI35%2FN70vAMFZiwHTxExttVvxvtro3%2Fx3JKRataF5Ade5ddShAB2khcY</w:t>
        </w:r>
      </w:hyperlink>
      <w:r>
        <w:rPr>
          <w:rFonts w:ascii="Times New Roman" w:eastAsia="Times New Roman" w:hAnsi="Times New Roman"/>
          <w:sz w:val="24"/>
          <w:szCs w:val="24"/>
        </w:rPr>
        <w:t xml:space="preserve"> </w:t>
      </w:r>
    </w:p>
    <w:p w14:paraId="26386CB8" w14:textId="77777777" w:rsidR="007F3C7D" w:rsidRDefault="007F3C7D" w:rsidP="007F3C7D">
      <w:pPr>
        <w:rPr>
          <w:rFonts w:ascii="Times New Roman" w:hAnsi="Times New Roman"/>
          <w:b/>
          <w:bCs/>
          <w:sz w:val="24"/>
          <w:szCs w:val="24"/>
        </w:rPr>
      </w:pPr>
      <w:r w:rsidRPr="00590EE6">
        <w:rPr>
          <w:rFonts w:ascii="Times New Roman" w:hAnsi="Times New Roman"/>
          <w:b/>
          <w:bCs/>
          <w:sz w:val="24"/>
          <w:szCs w:val="24"/>
        </w:rPr>
        <w:t>Legal Lesson Learned:</w:t>
      </w:r>
      <w:r>
        <w:rPr>
          <w:rFonts w:ascii="Times New Roman" w:hAnsi="Times New Roman"/>
          <w:b/>
          <w:bCs/>
          <w:sz w:val="24"/>
          <w:szCs w:val="24"/>
        </w:rPr>
        <w:t xml:space="preserve">  In many states, there are statutes prohibiting elected officials from voting on matters that could be a “conflict of interest.”  It is rather unusual to see a Charter that prohibits public employees from also serving on Council. </w:t>
      </w:r>
    </w:p>
    <w:p w14:paraId="5DAF944D" w14:textId="77777777" w:rsidR="007F3C7D" w:rsidRPr="00C745B6" w:rsidRDefault="007F3C7D" w:rsidP="007F3C7D">
      <w:pPr>
        <w:ind w:left="720"/>
        <w:rPr>
          <w:rFonts w:ascii="Times New Roman" w:hAnsi="Times New Roman"/>
          <w:sz w:val="24"/>
          <w:szCs w:val="24"/>
        </w:rPr>
      </w:pPr>
      <w:r w:rsidRPr="008B3CA3">
        <w:rPr>
          <w:rFonts w:ascii="Times New Roman" w:hAnsi="Times New Roman"/>
          <w:sz w:val="24"/>
          <w:szCs w:val="24"/>
        </w:rPr>
        <w:t xml:space="preserve">Note:  </w:t>
      </w:r>
      <w:r w:rsidRPr="00C745B6">
        <w:rPr>
          <w:rFonts w:ascii="Times New Roman" w:hAnsi="Times New Roman"/>
          <w:sz w:val="24"/>
          <w:szCs w:val="24"/>
        </w:rPr>
        <w:t xml:space="preserve">The ACLU of Maine brought this lawsuit, and in their </w:t>
      </w:r>
      <w:r>
        <w:rPr>
          <w:rFonts w:ascii="Times New Roman" w:hAnsi="Times New Roman"/>
          <w:sz w:val="24"/>
          <w:szCs w:val="24"/>
        </w:rPr>
        <w:t xml:space="preserve">Aug. 27, </w:t>
      </w:r>
      <w:proofErr w:type="gramStart"/>
      <w:r>
        <w:rPr>
          <w:rFonts w:ascii="Times New Roman" w:hAnsi="Times New Roman"/>
          <w:sz w:val="24"/>
          <w:szCs w:val="24"/>
        </w:rPr>
        <w:t>2019</w:t>
      </w:r>
      <w:proofErr w:type="gramEnd"/>
      <w:r>
        <w:rPr>
          <w:rFonts w:ascii="Times New Roman" w:hAnsi="Times New Roman"/>
          <w:sz w:val="24"/>
          <w:szCs w:val="24"/>
        </w:rPr>
        <w:t xml:space="preserve"> </w:t>
      </w:r>
      <w:r w:rsidRPr="00C745B6">
        <w:rPr>
          <w:rFonts w:ascii="Times New Roman" w:hAnsi="Times New Roman"/>
          <w:sz w:val="24"/>
          <w:szCs w:val="24"/>
        </w:rPr>
        <w:t xml:space="preserve">Press Release stated: </w:t>
      </w:r>
      <w:r>
        <w:rPr>
          <w:rFonts w:ascii="Times New Roman" w:hAnsi="Times New Roman"/>
          <w:sz w:val="24"/>
          <w:szCs w:val="24"/>
        </w:rPr>
        <w:t>“</w:t>
      </w:r>
      <w:r w:rsidRPr="00C745B6">
        <w:rPr>
          <w:rFonts w:ascii="Times New Roman" w:hAnsi="Times New Roman"/>
          <w:sz w:val="24"/>
          <w:szCs w:val="24"/>
        </w:rPr>
        <w:t xml:space="preserve">Courts have consistently held that restrictions like the one adopted by Yarmouth must serve a substantial public interest, and Maine law even specifically anticipates that </w:t>
      </w:r>
      <w:proofErr w:type="gramStart"/>
      <w:r w:rsidRPr="00C745B6">
        <w:rPr>
          <w:rFonts w:ascii="Times New Roman" w:hAnsi="Times New Roman"/>
          <w:sz w:val="24"/>
          <w:szCs w:val="24"/>
        </w:rPr>
        <w:t>school</w:t>
      </w:r>
      <w:r>
        <w:rPr>
          <w:rFonts w:ascii="Times New Roman" w:hAnsi="Times New Roman"/>
          <w:sz w:val="24"/>
          <w:szCs w:val="24"/>
        </w:rPr>
        <w:t xml:space="preserve"> </w:t>
      </w:r>
      <w:r w:rsidRPr="00C745B6">
        <w:rPr>
          <w:rFonts w:ascii="Times New Roman" w:hAnsi="Times New Roman"/>
          <w:sz w:val="24"/>
          <w:szCs w:val="24"/>
        </w:rPr>
        <w:t>teachers</w:t>
      </w:r>
      <w:proofErr w:type="gramEnd"/>
      <w:r w:rsidRPr="00C745B6">
        <w:rPr>
          <w:rFonts w:ascii="Times New Roman" w:hAnsi="Times New Roman"/>
          <w:sz w:val="24"/>
          <w:szCs w:val="24"/>
        </w:rPr>
        <w:t xml:space="preserve"> can and will serve as municipal officers. In August 2017, the town’s own legal counsel concluded that prohibiting town or school employees from serving on the town council could violate their First Amendment rights.</w:t>
      </w:r>
      <w:r>
        <w:rPr>
          <w:rFonts w:ascii="Times New Roman" w:hAnsi="Times New Roman"/>
          <w:sz w:val="24"/>
          <w:szCs w:val="24"/>
        </w:rPr>
        <w:t xml:space="preserve">” </w:t>
      </w:r>
      <w:hyperlink r:id="rId1204" w:history="1">
        <w:r w:rsidRPr="00563FF7">
          <w:rPr>
            <w:rStyle w:val="Hyperlink"/>
            <w:rFonts w:ascii="Times New Roman" w:hAnsi="Times New Roman"/>
            <w:sz w:val="24"/>
            <w:szCs w:val="24"/>
          </w:rPr>
          <w:t>https://www.aclumaine.org/en/press-releases/yarmouth-residents-aclu-challenge-new-restrictions-who-can-run-town-council</w:t>
        </w:r>
      </w:hyperlink>
      <w:r>
        <w:rPr>
          <w:rFonts w:ascii="Times New Roman" w:hAnsi="Times New Roman"/>
          <w:sz w:val="24"/>
          <w:szCs w:val="24"/>
        </w:rPr>
        <w:t xml:space="preserve"> </w:t>
      </w:r>
    </w:p>
    <w:p w14:paraId="33D9366C" w14:textId="77777777" w:rsidR="007F3C7D" w:rsidRPr="008B3CA3" w:rsidRDefault="007F3C7D" w:rsidP="007F3C7D">
      <w:pPr>
        <w:ind w:firstLine="720"/>
        <w:rPr>
          <w:rFonts w:ascii="Times New Roman" w:hAnsi="Times New Roman"/>
          <w:sz w:val="24"/>
          <w:szCs w:val="24"/>
        </w:rPr>
      </w:pPr>
      <w:r>
        <w:rPr>
          <w:rFonts w:ascii="Times New Roman" w:hAnsi="Times New Roman"/>
          <w:sz w:val="24"/>
          <w:szCs w:val="24"/>
        </w:rPr>
        <w:t xml:space="preserve">See:  </w:t>
      </w:r>
      <w:r w:rsidRPr="008B3CA3">
        <w:rPr>
          <w:rFonts w:ascii="Times New Roman" w:hAnsi="Times New Roman"/>
          <w:sz w:val="24"/>
          <w:szCs w:val="24"/>
        </w:rPr>
        <w:t>Ohio Ethics Commission Opinion 91-002 (Aug. 21, 1991)</w:t>
      </w:r>
    </w:p>
    <w:p w14:paraId="2F09AF04" w14:textId="77777777" w:rsidR="007F3C7D" w:rsidRPr="008B3CA3" w:rsidRDefault="007F3C7D" w:rsidP="007F3C7D">
      <w:pPr>
        <w:ind w:left="720"/>
        <w:rPr>
          <w:rFonts w:ascii="Times New Roman" w:hAnsi="Times New Roman"/>
          <w:b/>
          <w:bCs/>
          <w:sz w:val="24"/>
          <w:szCs w:val="24"/>
        </w:rPr>
      </w:pPr>
      <w:r>
        <w:rPr>
          <w:rFonts w:ascii="Times New Roman" w:hAnsi="Times New Roman"/>
          <w:sz w:val="24"/>
          <w:szCs w:val="24"/>
        </w:rPr>
        <w:t>“[T]</w:t>
      </w:r>
      <w:r w:rsidRPr="008B3CA3">
        <w:rPr>
          <w:rFonts w:ascii="Times New Roman" w:hAnsi="Times New Roman"/>
          <w:sz w:val="24"/>
          <w:szCs w:val="24"/>
        </w:rPr>
        <w:t>he Revised Code do not prohibit a city council member from serving as an unpaid volunteer paramedic with the fire department of the city, provided he receives no definite and direct personal pecuniary benefit from such service; and, (3) Division (D) of Section 102.03 of the Revised Code prohibits a city council member who serves as an unpaid volunteer paramedic with the fire department of the city from voting, deliberating, participating in discussions, or otherwise using the authority or influence of his office, either formally or informally, with regard to matters affecting the fire department and its personnel.</w:t>
      </w:r>
      <w:r>
        <w:rPr>
          <w:rFonts w:ascii="Times New Roman" w:hAnsi="Times New Roman"/>
          <w:sz w:val="24"/>
          <w:szCs w:val="24"/>
        </w:rPr>
        <w:t xml:space="preserve">” </w:t>
      </w:r>
      <w:hyperlink r:id="rId1205" w:history="1">
        <w:r w:rsidRPr="00563FF7">
          <w:rPr>
            <w:rStyle w:val="Hyperlink"/>
            <w:rFonts w:ascii="Times New Roman" w:hAnsi="Times New Roman"/>
            <w:sz w:val="24"/>
            <w:szCs w:val="24"/>
          </w:rPr>
          <w:t>https://www.ethics.ohio.gov/advice/opinions/91-002.pdf</w:t>
        </w:r>
      </w:hyperlink>
      <w:r>
        <w:rPr>
          <w:rFonts w:ascii="Times New Roman" w:hAnsi="Times New Roman"/>
          <w:sz w:val="24"/>
          <w:szCs w:val="24"/>
        </w:rPr>
        <w:t xml:space="preserve"> </w:t>
      </w:r>
    </w:p>
    <w:p w14:paraId="24E9A620" w14:textId="3296DFFC" w:rsidR="007F3C7D" w:rsidRDefault="007F3C7D" w:rsidP="00EF1133">
      <w:pPr>
        <w:rPr>
          <w:rFonts w:ascii="Arial Black" w:hAnsi="Arial Black"/>
          <w:b/>
          <w:sz w:val="24"/>
          <w:szCs w:val="24"/>
        </w:rPr>
      </w:pPr>
    </w:p>
    <w:p w14:paraId="611B8F86" w14:textId="77777777" w:rsidR="007F3C7D" w:rsidRDefault="007F3C7D" w:rsidP="00EF1133">
      <w:pPr>
        <w:rPr>
          <w:rFonts w:ascii="Arial Black" w:hAnsi="Arial Black"/>
          <w:b/>
          <w:sz w:val="24"/>
          <w:szCs w:val="24"/>
        </w:rPr>
      </w:pPr>
    </w:p>
    <w:p w14:paraId="2E7813D9" w14:textId="4AC5F615" w:rsidR="007F3C7D" w:rsidRDefault="007F3C7D" w:rsidP="00EF1133">
      <w:pPr>
        <w:rPr>
          <w:rFonts w:ascii="Arial Black" w:hAnsi="Arial Black"/>
          <w:b/>
          <w:sz w:val="24"/>
          <w:szCs w:val="24"/>
        </w:rPr>
      </w:pPr>
      <w:r>
        <w:rPr>
          <w:rFonts w:ascii="Arial Black" w:hAnsi="Arial Black"/>
          <w:b/>
          <w:sz w:val="24"/>
          <w:szCs w:val="24"/>
        </w:rPr>
        <w:t>6-6</w:t>
      </w:r>
      <w:r w:rsidR="008F02C3">
        <w:rPr>
          <w:rFonts w:ascii="Arial Black" w:hAnsi="Arial Black"/>
          <w:b/>
          <w:sz w:val="24"/>
          <w:szCs w:val="24"/>
        </w:rPr>
        <w:t>2</w:t>
      </w:r>
    </w:p>
    <w:p w14:paraId="137733F0" w14:textId="77777777" w:rsidR="007F3C7D" w:rsidRPr="00507F4B" w:rsidRDefault="007F3C7D" w:rsidP="007F3C7D">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PA: PROSTATE CANCER – FF DENIED WORKERS COMP – CANCER IS MORE FROM AGE - NOT GROUP I CARCINOGENS</w:t>
      </w:r>
    </w:p>
    <w:p w14:paraId="5F10369B" w14:textId="77777777" w:rsidR="007F3C7D" w:rsidRDefault="007F3C7D" w:rsidP="007F3C7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Jan. 6, 2021, in </w:t>
      </w:r>
      <w:r w:rsidRPr="003A1FC5">
        <w:rPr>
          <w:rFonts w:ascii="Times New Roman" w:eastAsia="Times New Roman" w:hAnsi="Times New Roman"/>
          <w:sz w:val="24"/>
          <w:szCs w:val="24"/>
          <w:u w:val="single"/>
        </w:rPr>
        <w:t>Michael Malone v. Workers’ Compensation Appeal Board (City of Philadelphia)</w:t>
      </w:r>
      <w:r>
        <w:rPr>
          <w:rFonts w:ascii="Times New Roman" w:eastAsia="Times New Roman" w:hAnsi="Times New Roman"/>
          <w:sz w:val="24"/>
          <w:szCs w:val="24"/>
        </w:rPr>
        <w:t xml:space="preserve">, the Commonwealth Court of Pennsylvania held (3 to 0; unreported decision) that the finding by the Workers Compensation Judge that the firefighters’ expert witness failed to show that </w:t>
      </w:r>
      <w:r w:rsidRPr="00D5248C">
        <w:rPr>
          <w:rFonts w:ascii="Times New Roman" w:eastAsia="Times New Roman" w:hAnsi="Times New Roman"/>
          <w:sz w:val="24"/>
          <w:szCs w:val="24"/>
        </w:rPr>
        <w:t>prostate cancer is caused by Group 1 carcinogens.</w:t>
      </w:r>
      <w:r>
        <w:rPr>
          <w:rFonts w:ascii="Times New Roman" w:eastAsia="Times New Roman" w:hAnsi="Times New Roman"/>
          <w:sz w:val="24"/>
          <w:szCs w:val="24"/>
        </w:rPr>
        <w:t xml:space="preserve"> In 2011, the State enacted a statutory presumption for firefighter cancer, but firefighters must still introduce evidence that the firefighter’s particular cancer [prostate cancer] is caused by the job.  </w:t>
      </w:r>
    </w:p>
    <w:p w14:paraId="3C335A22" w14:textId="77777777" w:rsidR="007F3C7D" w:rsidRDefault="007F3C7D" w:rsidP="007F3C7D">
      <w:pPr>
        <w:spacing w:before="100" w:beforeAutospacing="1" w:after="100" w:afterAutospacing="1" w:line="240" w:lineRule="auto"/>
        <w:ind w:left="720"/>
        <w:rPr>
          <w:rFonts w:ascii="Times New Roman" w:hAnsi="Times New Roman"/>
          <w:sz w:val="24"/>
          <w:szCs w:val="24"/>
        </w:rPr>
      </w:pPr>
      <w:r w:rsidRPr="008E2249">
        <w:rPr>
          <w:rFonts w:ascii="Times New Roman" w:eastAsia="Times New Roman" w:hAnsi="Times New Roman"/>
          <w:sz w:val="24"/>
          <w:szCs w:val="24"/>
        </w:rPr>
        <w:t>“</w:t>
      </w:r>
      <w:r w:rsidRPr="008E2249">
        <w:rPr>
          <w:rFonts w:ascii="Times New Roman" w:hAnsi="Times New Roman"/>
          <w:sz w:val="24"/>
          <w:szCs w:val="24"/>
        </w:rPr>
        <w:t xml:space="preserve">In the March 2, </w:t>
      </w:r>
      <w:proofErr w:type="gramStart"/>
      <w:r w:rsidRPr="008E2249">
        <w:rPr>
          <w:rFonts w:ascii="Times New Roman" w:hAnsi="Times New Roman"/>
          <w:sz w:val="24"/>
          <w:szCs w:val="24"/>
        </w:rPr>
        <w:t>2018</w:t>
      </w:r>
      <w:proofErr w:type="gramEnd"/>
      <w:r w:rsidRPr="008E2249">
        <w:rPr>
          <w:rFonts w:ascii="Times New Roman" w:hAnsi="Times New Roman"/>
          <w:sz w:val="24"/>
          <w:szCs w:val="24"/>
        </w:rPr>
        <w:t xml:space="preserve"> Decision, the WCJ found that Claimant did not establish that his prostate cancer was caused by his work as a firefighter and denied the Claim Petition. In doing so, the WCJ found Claimant's testimony wholly credible, noting that Employer did not dispute Claimant's description of his firefighting duties and experiences, presumably including the exposure to smoke and diesel exhaust of which Claimant testified. (Mar. 2, </w:t>
      </w:r>
      <w:proofErr w:type="gramStart"/>
      <w:r w:rsidRPr="008E2249">
        <w:rPr>
          <w:rFonts w:ascii="Times New Roman" w:hAnsi="Times New Roman"/>
          <w:sz w:val="24"/>
          <w:szCs w:val="24"/>
        </w:rPr>
        <w:t>2018</w:t>
      </w:r>
      <w:proofErr w:type="gramEnd"/>
      <w:r w:rsidRPr="008E2249">
        <w:rPr>
          <w:rFonts w:ascii="Times New Roman" w:hAnsi="Times New Roman"/>
          <w:sz w:val="24"/>
          <w:szCs w:val="24"/>
        </w:rPr>
        <w:t xml:space="preserve"> WCJ Decision, FOF ¶ 8.) Concerning the medical testimony, the WCJ found that Claimant's evidence did not establish that any IARC Group 1 carcinogens are known to cause prostate cancer.</w:t>
      </w:r>
    </w:p>
    <w:p w14:paraId="1915B14E" w14:textId="77777777" w:rsidR="007F3C7D" w:rsidRPr="008E2249" w:rsidRDefault="007F3C7D" w:rsidP="007F3C7D">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p>
    <w:p w14:paraId="703FC6D7" w14:textId="77777777" w:rsidR="007F3C7D" w:rsidRPr="003A1FC5" w:rsidRDefault="007F3C7D" w:rsidP="007F3C7D">
      <w:pPr>
        <w:spacing w:before="100" w:beforeAutospacing="1" w:after="100" w:afterAutospacing="1" w:line="240" w:lineRule="auto"/>
        <w:ind w:left="720"/>
        <w:rPr>
          <w:rFonts w:ascii="Times New Roman" w:hAnsi="Times New Roman"/>
          <w:sz w:val="24"/>
          <w:szCs w:val="24"/>
        </w:rPr>
      </w:pPr>
      <w:r w:rsidRPr="003A1FC5">
        <w:rPr>
          <w:rFonts w:ascii="Times New Roman" w:hAnsi="Times New Roman"/>
          <w:sz w:val="24"/>
          <w:szCs w:val="24"/>
        </w:rPr>
        <w:t xml:space="preserve">As we have discussed, </w:t>
      </w:r>
      <w:proofErr w:type="gramStart"/>
      <w:r w:rsidRPr="003A1FC5">
        <w:rPr>
          <w:rFonts w:ascii="Times New Roman" w:hAnsi="Times New Roman"/>
          <w:sz w:val="24"/>
          <w:szCs w:val="24"/>
        </w:rPr>
        <w:t>the WCJ's</w:t>
      </w:r>
      <w:proofErr w:type="gramEnd"/>
      <w:r w:rsidRPr="003A1FC5">
        <w:rPr>
          <w:rFonts w:ascii="Times New Roman" w:hAnsi="Times New Roman"/>
          <w:sz w:val="24"/>
          <w:szCs w:val="24"/>
        </w:rPr>
        <w:t xml:space="preserve"> decision not to credit Dr. Singer's testimony was an exercise of discretion accompanied by a reasoned explanation, and it must, therefore, stand. We conclude that Claimant has not met his initial burden of demonstrating general causation under Section 108(r) of the Act, and he has not established that his cancer is an occupational disease under that </w:t>
      </w:r>
      <w:proofErr w:type="gramStart"/>
      <w:r w:rsidRPr="003A1FC5">
        <w:rPr>
          <w:rFonts w:ascii="Times New Roman" w:hAnsi="Times New Roman"/>
          <w:sz w:val="24"/>
          <w:szCs w:val="24"/>
        </w:rPr>
        <w:t>section.</w:t>
      </w:r>
      <w:r>
        <w:rPr>
          <w:rFonts w:ascii="Times New Roman" w:hAnsi="Times New Roman"/>
          <w:sz w:val="24"/>
          <w:szCs w:val="24"/>
        </w:rPr>
        <w:t>”</w:t>
      </w:r>
      <w:proofErr w:type="gramEnd"/>
      <w:r>
        <w:rPr>
          <w:rFonts w:ascii="Times New Roman" w:hAnsi="Times New Roman"/>
          <w:sz w:val="24"/>
          <w:szCs w:val="24"/>
        </w:rPr>
        <w:t xml:space="preserve"> </w:t>
      </w:r>
      <w:hyperlink r:id="rId1206" w:history="1">
        <w:r w:rsidRPr="00FA40FF">
          <w:rPr>
            <w:rStyle w:val="Hyperlink"/>
            <w:rFonts w:ascii="Times New Roman" w:hAnsi="Times New Roman"/>
            <w:sz w:val="24"/>
            <w:szCs w:val="24"/>
          </w:rPr>
          <w:t>https://casetext.com/case/malone-v-workers-comp-appeal-bd</w:t>
        </w:r>
      </w:hyperlink>
      <w:r>
        <w:rPr>
          <w:rFonts w:ascii="Times New Roman" w:hAnsi="Times New Roman"/>
          <w:sz w:val="24"/>
          <w:szCs w:val="24"/>
        </w:rPr>
        <w:t xml:space="preserve"> </w:t>
      </w:r>
    </w:p>
    <w:p w14:paraId="69BAD818" w14:textId="77777777" w:rsidR="007F3C7D" w:rsidRDefault="007F3C7D" w:rsidP="007F3C7D">
      <w:pPr>
        <w:rPr>
          <w:rFonts w:ascii="Times New Roman" w:hAnsi="Times New Roman"/>
          <w:b/>
          <w:bCs/>
          <w:sz w:val="24"/>
          <w:szCs w:val="24"/>
        </w:rPr>
      </w:pPr>
      <w:r w:rsidRPr="008E2249">
        <w:rPr>
          <w:rFonts w:ascii="Times New Roman" w:hAnsi="Times New Roman"/>
          <w:b/>
          <w:bCs/>
          <w:sz w:val="24"/>
          <w:szCs w:val="24"/>
        </w:rPr>
        <w:t>Legal Lesson Learned:</w:t>
      </w:r>
      <w:r>
        <w:rPr>
          <w:rFonts w:ascii="Times New Roman" w:hAnsi="Times New Roman"/>
          <w:b/>
          <w:bCs/>
          <w:sz w:val="24"/>
          <w:szCs w:val="24"/>
        </w:rPr>
        <w:t xml:space="preserve"> Even though PA has a statutory presumption, the firefighter must still present expert testimony connecting his </w:t>
      </w:r>
      <w:proofErr w:type="gramStart"/>
      <w:r>
        <w:rPr>
          <w:rFonts w:ascii="Times New Roman" w:hAnsi="Times New Roman"/>
          <w:b/>
          <w:bCs/>
          <w:sz w:val="24"/>
          <w:szCs w:val="24"/>
        </w:rPr>
        <w:t>particular cancer</w:t>
      </w:r>
      <w:proofErr w:type="gramEnd"/>
      <w:r>
        <w:rPr>
          <w:rFonts w:ascii="Times New Roman" w:hAnsi="Times New Roman"/>
          <w:b/>
          <w:bCs/>
          <w:sz w:val="24"/>
          <w:szCs w:val="24"/>
        </w:rPr>
        <w:t xml:space="preserve"> with occupational exposures.  </w:t>
      </w:r>
    </w:p>
    <w:p w14:paraId="4000FA71" w14:textId="77777777" w:rsidR="007F3C7D" w:rsidRPr="008E2249" w:rsidRDefault="007F3C7D" w:rsidP="007F3C7D">
      <w:pPr>
        <w:ind w:left="720"/>
        <w:rPr>
          <w:rFonts w:ascii="Times New Roman" w:hAnsi="Times New Roman"/>
          <w:sz w:val="24"/>
          <w:szCs w:val="24"/>
        </w:rPr>
      </w:pPr>
      <w:r w:rsidRPr="005344DB">
        <w:rPr>
          <w:rFonts w:ascii="Times New Roman" w:hAnsi="Times New Roman"/>
          <w:sz w:val="24"/>
          <w:szCs w:val="24"/>
        </w:rPr>
        <w:t>Note:</w:t>
      </w:r>
      <w:r>
        <w:rPr>
          <w:rFonts w:ascii="Times New Roman" w:hAnsi="Times New Roman"/>
          <w:b/>
          <w:bCs/>
          <w:sz w:val="24"/>
          <w:szCs w:val="24"/>
        </w:rPr>
        <w:t xml:space="preserve"> </w:t>
      </w:r>
      <w:r w:rsidRPr="008E2249">
        <w:rPr>
          <w:rFonts w:ascii="Times New Roman" w:hAnsi="Times New Roman"/>
          <w:sz w:val="24"/>
          <w:szCs w:val="24"/>
        </w:rPr>
        <w:t>PA Supreme Court explained in another case involving malignant melanoma</w:t>
      </w:r>
      <w:r>
        <w:rPr>
          <w:rFonts w:ascii="Times New Roman" w:hAnsi="Times New Roman"/>
          <w:sz w:val="24"/>
          <w:szCs w:val="24"/>
        </w:rPr>
        <w:t xml:space="preserve"> where workers comp was granted. </w:t>
      </w:r>
      <w:r w:rsidRPr="008E2249">
        <w:rPr>
          <w:rFonts w:ascii="Times New Roman" w:hAnsi="Times New Roman"/>
          <w:sz w:val="24"/>
          <w:szCs w:val="24"/>
        </w:rPr>
        <w:t xml:space="preserve">"In other words, the claimant must produce evidence that it is </w:t>
      </w:r>
      <w:r w:rsidRPr="008E2249">
        <w:rPr>
          <w:rFonts w:ascii="Times New Roman" w:hAnsi="Times New Roman"/>
          <w:b/>
          <w:bCs/>
          <w:sz w:val="24"/>
          <w:szCs w:val="24"/>
        </w:rPr>
        <w:t>possible</w:t>
      </w:r>
      <w:r w:rsidRPr="008E2249">
        <w:rPr>
          <w:rFonts w:ascii="Times New Roman" w:hAnsi="Times New Roman"/>
          <w:sz w:val="24"/>
          <w:szCs w:val="24"/>
        </w:rPr>
        <w:t xml:space="preserve"> that the carcinogen in question caused the type of cancer with which the claimant is afflicted."</w:t>
      </w:r>
      <w:r>
        <w:rPr>
          <w:rFonts w:ascii="Times New Roman" w:hAnsi="Times New Roman"/>
          <w:sz w:val="24"/>
          <w:szCs w:val="24"/>
        </w:rPr>
        <w:t xml:space="preserve"> </w:t>
      </w:r>
      <w:r w:rsidRPr="008E2249">
        <w:rPr>
          <w:rFonts w:ascii="Times New Roman" w:hAnsi="Times New Roman"/>
          <w:sz w:val="24"/>
          <w:szCs w:val="24"/>
        </w:rPr>
        <w:t xml:space="preserve">See City of Phila. Fire </w:t>
      </w:r>
      <w:proofErr w:type="spellStart"/>
      <w:r w:rsidRPr="008E2249">
        <w:rPr>
          <w:rFonts w:ascii="Times New Roman" w:hAnsi="Times New Roman"/>
          <w:sz w:val="24"/>
          <w:szCs w:val="24"/>
        </w:rPr>
        <w:t>Dep't</w:t>
      </w:r>
      <w:proofErr w:type="spellEnd"/>
      <w:r w:rsidRPr="008E2249">
        <w:rPr>
          <w:rFonts w:ascii="Times New Roman" w:hAnsi="Times New Roman"/>
          <w:sz w:val="24"/>
          <w:szCs w:val="24"/>
        </w:rPr>
        <w:t xml:space="preserve"> v. Workers' Comp. Appeal Bd. (Sladek), 195 A.3d 197 (Pa. 2018) (Sladek II).</w:t>
      </w:r>
    </w:p>
    <w:p w14:paraId="0094A635" w14:textId="77777777" w:rsidR="007F3C7D" w:rsidRDefault="007F3C7D" w:rsidP="007F3C7D">
      <w:pPr>
        <w:ind w:left="720"/>
        <w:rPr>
          <w:rFonts w:ascii="Times New Roman" w:hAnsi="Times New Roman"/>
          <w:sz w:val="24"/>
          <w:szCs w:val="24"/>
        </w:rPr>
      </w:pPr>
      <w:r>
        <w:rPr>
          <w:rFonts w:ascii="Times New Roman" w:hAnsi="Times New Roman"/>
          <w:sz w:val="24"/>
          <w:szCs w:val="24"/>
        </w:rPr>
        <w:t>See PA Statutory Presumption:</w:t>
      </w:r>
    </w:p>
    <w:p w14:paraId="61B8FAF8" w14:textId="77777777" w:rsidR="007F3C7D" w:rsidRPr="00507F4B" w:rsidRDefault="007F3C7D" w:rsidP="007F3C7D">
      <w:pPr>
        <w:ind w:left="1440" w:firstLine="60"/>
        <w:rPr>
          <w:rFonts w:ascii="Times New Roman" w:eastAsia="Times New Roman" w:hAnsi="Times New Roman"/>
          <w:sz w:val="24"/>
          <w:szCs w:val="24"/>
        </w:rPr>
      </w:pPr>
      <w:r w:rsidRPr="00507F4B">
        <w:rPr>
          <w:rFonts w:ascii="Times New Roman" w:eastAsia="Times New Roman" w:hAnsi="Times New Roman"/>
          <w:sz w:val="24"/>
          <w:szCs w:val="24"/>
        </w:rPr>
        <w:t>Section 301(f) was added to the Act by Section 2 of the Act of July 7, 2011, P.L. 251, and provides, in pertinent part, as follows:</w:t>
      </w:r>
    </w:p>
    <w:p w14:paraId="1080F362" w14:textId="77777777" w:rsidR="007F3C7D" w:rsidRPr="00507F4B" w:rsidRDefault="007F3C7D" w:rsidP="007F3C7D">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507F4B">
        <w:rPr>
          <w:rFonts w:ascii="Times New Roman" w:eastAsia="Times New Roman" w:hAnsi="Times New Roman"/>
          <w:sz w:val="24"/>
          <w:szCs w:val="24"/>
        </w:rPr>
        <w:t>Compensation pursuant to cancer suffered by a firefighter shall only be to those firefighters who have served four or more years in continuous firefighting duties, who can establish direct exposure to a carcinogen referred to in section 108(r) relating to cancer by a firefighter and have successfully passed a physical examination prior to asserting a claim under this subsection or prior to engaging in firefighting duties and the examination failed to reveal any evidence of the condition of cancer. The presumption of this subsection may be rebutted by substantial competent evidence that shows that the firefighter's cancer was not caused by the occupation of firefighting. . . .</w:t>
      </w:r>
      <w:r>
        <w:rPr>
          <w:rFonts w:ascii="Times New Roman" w:eastAsia="Times New Roman" w:hAnsi="Times New Roman"/>
          <w:sz w:val="24"/>
          <w:szCs w:val="24"/>
        </w:rPr>
        <w:t xml:space="preserve"> </w:t>
      </w:r>
      <w:r w:rsidRPr="00507F4B">
        <w:rPr>
          <w:rFonts w:ascii="Times New Roman" w:eastAsia="Times New Roman" w:hAnsi="Times New Roman"/>
          <w:sz w:val="24"/>
          <w:szCs w:val="24"/>
        </w:rPr>
        <w:t>The presumption provided for under this subsection shall only apply to claims made within the first three hundred weeks [after the last date of employment in an occupation or industry to which a claimant was exposed to the hazards of disease].</w:t>
      </w:r>
      <w:r>
        <w:rPr>
          <w:rFonts w:ascii="Times New Roman" w:eastAsia="Times New Roman" w:hAnsi="Times New Roman"/>
          <w:sz w:val="24"/>
          <w:szCs w:val="24"/>
        </w:rPr>
        <w:t>”</w:t>
      </w:r>
    </w:p>
    <w:p w14:paraId="04E3D4AC" w14:textId="77777777" w:rsidR="007F3C7D" w:rsidRDefault="007F3C7D" w:rsidP="00EF1133">
      <w:pPr>
        <w:rPr>
          <w:rFonts w:ascii="Arial Black" w:hAnsi="Arial Black"/>
          <w:b/>
          <w:sz w:val="24"/>
          <w:szCs w:val="24"/>
        </w:rPr>
      </w:pPr>
    </w:p>
    <w:p w14:paraId="40B27EAF" w14:textId="31BFCF26" w:rsidR="007F3C7D" w:rsidRDefault="007F3C7D" w:rsidP="00EF1133">
      <w:pPr>
        <w:rPr>
          <w:rFonts w:ascii="Arial Black" w:hAnsi="Arial Black"/>
          <w:b/>
          <w:sz w:val="24"/>
          <w:szCs w:val="24"/>
        </w:rPr>
      </w:pPr>
      <w:r>
        <w:rPr>
          <w:rFonts w:ascii="Arial Black" w:hAnsi="Arial Black"/>
          <w:b/>
          <w:sz w:val="24"/>
          <w:szCs w:val="24"/>
        </w:rPr>
        <w:t>6-6</w:t>
      </w:r>
      <w:r w:rsidR="008F02C3">
        <w:rPr>
          <w:rFonts w:ascii="Arial Black" w:hAnsi="Arial Black"/>
          <w:b/>
          <w:sz w:val="24"/>
          <w:szCs w:val="24"/>
        </w:rPr>
        <w:t>1</w:t>
      </w:r>
    </w:p>
    <w:p w14:paraId="676DF236" w14:textId="77777777" w:rsidR="007F3C7D" w:rsidRPr="00A8166B" w:rsidRDefault="007F3C7D" w:rsidP="007F3C7D">
      <w:pPr>
        <w:spacing w:before="100" w:beforeAutospacing="1" w:after="100" w:afterAutospacing="1" w:line="240" w:lineRule="auto"/>
        <w:rPr>
          <w:rFonts w:ascii="Arial Black" w:hAnsi="Arial Black"/>
          <w:sz w:val="28"/>
          <w:szCs w:val="28"/>
        </w:rPr>
      </w:pPr>
      <w:r>
        <w:rPr>
          <w:rFonts w:ascii="Arial Black" w:hAnsi="Arial Black"/>
          <w:sz w:val="28"/>
          <w:szCs w:val="28"/>
        </w:rPr>
        <w:t>NY: APPLICANT TO FDNY – 5 POINTS “RESIDENCY CREDITS” – AMENDED TAX RETURN INSUFFICIENT PROOF RESIDENCY</w:t>
      </w:r>
    </w:p>
    <w:p w14:paraId="3F269E95" w14:textId="5AEB727F" w:rsidR="007F3C7D" w:rsidRDefault="007F3C7D" w:rsidP="007F3C7D">
      <w:pPr>
        <w:spacing w:before="100" w:beforeAutospacing="1" w:after="100" w:afterAutospacing="1" w:line="240" w:lineRule="auto"/>
        <w:rPr>
          <w:rFonts w:ascii="Times New Roman" w:hAnsi="Times New Roman"/>
          <w:sz w:val="24"/>
          <w:szCs w:val="24"/>
        </w:rPr>
      </w:pPr>
      <w:r w:rsidRPr="00A8166B">
        <w:rPr>
          <w:rFonts w:ascii="Times New Roman" w:hAnsi="Times New Roman"/>
          <w:sz w:val="24"/>
          <w:szCs w:val="24"/>
        </w:rPr>
        <w:t xml:space="preserve">On </w:t>
      </w:r>
      <w:r>
        <w:rPr>
          <w:rFonts w:ascii="Times New Roman" w:hAnsi="Times New Roman"/>
          <w:sz w:val="24"/>
          <w:szCs w:val="24"/>
        </w:rPr>
        <w:t xml:space="preserve">Dec. 28, 2020, </w:t>
      </w:r>
      <w:r w:rsidRPr="00A8166B">
        <w:rPr>
          <w:rFonts w:ascii="Times New Roman" w:hAnsi="Times New Roman"/>
          <w:sz w:val="24"/>
          <w:szCs w:val="24"/>
        </w:rPr>
        <w:t xml:space="preserve">in </w:t>
      </w:r>
      <w:r w:rsidRPr="00A8166B">
        <w:rPr>
          <w:rFonts w:ascii="Times New Roman" w:hAnsi="Times New Roman"/>
          <w:sz w:val="24"/>
          <w:szCs w:val="24"/>
          <w:u w:val="single"/>
        </w:rPr>
        <w:t>John P. Atwell v. New Your City Fire Department, et al</w:t>
      </w:r>
      <w:r>
        <w:rPr>
          <w:rFonts w:ascii="Times New Roman" w:hAnsi="Times New Roman"/>
          <w:sz w:val="24"/>
          <w:szCs w:val="24"/>
        </w:rPr>
        <w:t xml:space="preserve">., Justice Carol E. Edmead, Supreme Court of the State of New York (New York County), </w:t>
      </w:r>
      <w:r w:rsidRPr="001B0200">
        <w:rPr>
          <w:rFonts w:ascii="Times New Roman" w:hAnsi="Times New Roman"/>
          <w:sz w:val="24"/>
          <w:szCs w:val="24"/>
        </w:rPr>
        <w:t>2020 NY Slip Op 34353(U)</w:t>
      </w:r>
      <w:r>
        <w:rPr>
          <w:rFonts w:ascii="Times New Roman" w:hAnsi="Times New Roman"/>
          <w:sz w:val="24"/>
          <w:szCs w:val="24"/>
        </w:rPr>
        <w:t xml:space="preserve">, dismissed the applicant’s petition to overturn the decision of the FD’s Candidate Investigation Division (CID); the Notice Of Examination Notice advised applicants that amended tax returns are not sufficient proof of residency in the city.  His score on the </w:t>
      </w:r>
      <w:proofErr w:type="gramStart"/>
      <w:r>
        <w:rPr>
          <w:rFonts w:ascii="Times New Roman" w:hAnsi="Times New Roman"/>
          <w:sz w:val="24"/>
          <w:szCs w:val="24"/>
        </w:rPr>
        <w:t>Computer</w:t>
      </w:r>
      <w:proofErr w:type="gramEnd"/>
      <w:r>
        <w:rPr>
          <w:rFonts w:ascii="Times New Roman" w:hAnsi="Times New Roman"/>
          <w:sz w:val="24"/>
          <w:szCs w:val="24"/>
        </w:rPr>
        <w:t xml:space="preserve">-Based Test of 99, without the 5 extra residency points, moved him on the hiring list from 552 to 5594.  </w:t>
      </w:r>
    </w:p>
    <w:p w14:paraId="479E9611" w14:textId="77777777" w:rsidR="007F3C7D" w:rsidRPr="001B0200" w:rsidRDefault="007F3C7D" w:rsidP="007F3C7D">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r w:rsidRPr="001B0200">
        <w:rPr>
          <w:rFonts w:ascii="Times New Roman" w:hAnsi="Times New Roman"/>
          <w:sz w:val="24"/>
          <w:szCs w:val="24"/>
        </w:rPr>
        <w:t xml:space="preserve">Here, there was plainly a </w:t>
      </w:r>
      <w:r>
        <w:rPr>
          <w:rFonts w:ascii="Times New Roman" w:hAnsi="Times New Roman"/>
          <w:sz w:val="24"/>
          <w:szCs w:val="24"/>
        </w:rPr>
        <w:t>‘</w:t>
      </w:r>
      <w:r w:rsidRPr="001B0200">
        <w:rPr>
          <w:rFonts w:ascii="Times New Roman" w:hAnsi="Times New Roman"/>
          <w:sz w:val="24"/>
          <w:szCs w:val="24"/>
        </w:rPr>
        <w:t xml:space="preserve">rational </w:t>
      </w:r>
      <w:proofErr w:type="spellStart"/>
      <w:r w:rsidRPr="001B0200">
        <w:rPr>
          <w:rFonts w:ascii="Times New Roman" w:hAnsi="Times New Roman"/>
          <w:sz w:val="24"/>
          <w:szCs w:val="24"/>
        </w:rPr>
        <w:t>basis</w:t>
      </w:r>
      <w:r>
        <w:rPr>
          <w:rFonts w:ascii="Times New Roman" w:hAnsi="Times New Roman"/>
          <w:sz w:val="24"/>
          <w:szCs w:val="24"/>
        </w:rPr>
        <w:t>’</w:t>
      </w:r>
      <w:proofErr w:type="spellEnd"/>
      <w:r>
        <w:rPr>
          <w:rFonts w:ascii="Times New Roman" w:hAnsi="Times New Roman"/>
          <w:sz w:val="24"/>
          <w:szCs w:val="24"/>
        </w:rPr>
        <w:t xml:space="preserve"> </w:t>
      </w:r>
      <w:r w:rsidRPr="001B0200">
        <w:rPr>
          <w:rFonts w:ascii="Times New Roman" w:hAnsi="Times New Roman"/>
          <w:sz w:val="24"/>
          <w:szCs w:val="24"/>
        </w:rPr>
        <w:t xml:space="preserve">for the CID's decision to deny Atwell's application for a residency credit, since the evidence in the administrative record regarding Atwell's alleged NYC residency only included his amended tax return. As noted earlier, the rules set forth in the NOA </w:t>
      </w:r>
      <w:r>
        <w:rPr>
          <w:rFonts w:ascii="Times New Roman" w:hAnsi="Times New Roman"/>
          <w:sz w:val="24"/>
          <w:szCs w:val="24"/>
        </w:rPr>
        <w:t xml:space="preserve">[Notice </w:t>
      </w:r>
      <w:proofErr w:type="gramStart"/>
      <w:r>
        <w:rPr>
          <w:rFonts w:ascii="Times New Roman" w:hAnsi="Times New Roman"/>
          <w:sz w:val="24"/>
          <w:szCs w:val="24"/>
        </w:rPr>
        <w:t>Of</w:t>
      </w:r>
      <w:proofErr w:type="gramEnd"/>
      <w:r>
        <w:rPr>
          <w:rFonts w:ascii="Times New Roman" w:hAnsi="Times New Roman"/>
          <w:sz w:val="24"/>
          <w:szCs w:val="24"/>
        </w:rPr>
        <w:t xml:space="preserve"> Examination] </w:t>
      </w:r>
      <w:r w:rsidRPr="001B0200">
        <w:rPr>
          <w:rFonts w:ascii="Times New Roman" w:hAnsi="Times New Roman"/>
          <w:sz w:val="24"/>
          <w:szCs w:val="24"/>
        </w:rPr>
        <w:t xml:space="preserve">plainly provided that the FDNY would not consider amended tax returns as proof of residency. </w:t>
      </w:r>
      <w:r w:rsidRPr="001B0200">
        <w:rPr>
          <w:rFonts w:ascii="Times New Roman" w:hAnsi="Times New Roman"/>
          <w:i/>
          <w:iCs/>
          <w:sz w:val="24"/>
          <w:szCs w:val="24"/>
        </w:rPr>
        <w:t>See</w:t>
      </w:r>
      <w:r w:rsidRPr="001B0200">
        <w:rPr>
          <w:rFonts w:ascii="Times New Roman" w:hAnsi="Times New Roman"/>
          <w:sz w:val="24"/>
          <w:szCs w:val="24"/>
        </w:rPr>
        <w:t xml:space="preserve"> verified answer, exhibit 1. Therefore, the court concludes that the CID's decision to deny Atwell's application for </w:t>
      </w:r>
      <w:proofErr w:type="gramStart"/>
      <w:r w:rsidRPr="001B0200">
        <w:rPr>
          <w:rFonts w:ascii="Times New Roman" w:hAnsi="Times New Roman"/>
          <w:sz w:val="24"/>
          <w:szCs w:val="24"/>
        </w:rPr>
        <w:t>a residency</w:t>
      </w:r>
      <w:proofErr w:type="gramEnd"/>
      <w:r w:rsidRPr="001B0200">
        <w:rPr>
          <w:rFonts w:ascii="Times New Roman" w:hAnsi="Times New Roman"/>
          <w:sz w:val="24"/>
          <w:szCs w:val="24"/>
        </w:rPr>
        <w:t xml:space="preserve"> credit on his FDNY examination was not arbitrary and capricious. For </w:t>
      </w:r>
      <w:proofErr w:type="gramStart"/>
      <w:r w:rsidRPr="001B0200">
        <w:rPr>
          <w:rFonts w:ascii="Times New Roman" w:hAnsi="Times New Roman"/>
          <w:sz w:val="24"/>
          <w:szCs w:val="24"/>
        </w:rPr>
        <w:t>all of</w:t>
      </w:r>
      <w:proofErr w:type="gramEnd"/>
      <w:r w:rsidRPr="001B0200">
        <w:rPr>
          <w:rFonts w:ascii="Times New Roman" w:hAnsi="Times New Roman"/>
          <w:sz w:val="24"/>
          <w:szCs w:val="24"/>
        </w:rPr>
        <w:t xml:space="preserve"> the foregoing reasons, the court denies so much of Atwell's Article 78 petition as pertained to the FDNY's denial decision.</w:t>
      </w:r>
      <w:r>
        <w:rPr>
          <w:rFonts w:ascii="Times New Roman" w:hAnsi="Times New Roman"/>
          <w:sz w:val="24"/>
          <w:szCs w:val="24"/>
        </w:rPr>
        <w:t xml:space="preserve">” </w:t>
      </w:r>
      <w:hyperlink r:id="rId1207" w:history="1">
        <w:r w:rsidRPr="002F4AC3">
          <w:rPr>
            <w:rStyle w:val="Hyperlink"/>
            <w:rFonts w:ascii="Times New Roman" w:hAnsi="Times New Roman"/>
            <w:sz w:val="24"/>
            <w:szCs w:val="24"/>
          </w:rPr>
          <w:t>https://law.justia.com/cases/new-york/other-courts/2020/2020-ny-slip-op-34353-u.html</w:t>
        </w:r>
      </w:hyperlink>
      <w:r>
        <w:rPr>
          <w:rFonts w:ascii="Times New Roman" w:hAnsi="Times New Roman"/>
          <w:sz w:val="24"/>
          <w:szCs w:val="24"/>
        </w:rPr>
        <w:t xml:space="preserve"> </w:t>
      </w:r>
    </w:p>
    <w:p w14:paraId="78A5FFC9" w14:textId="77777777" w:rsidR="007F3C7D" w:rsidRPr="00B34D05" w:rsidRDefault="007F3C7D" w:rsidP="007F3C7D">
      <w:pPr>
        <w:spacing w:before="100" w:beforeAutospacing="1" w:after="100" w:afterAutospacing="1" w:line="240" w:lineRule="auto"/>
        <w:rPr>
          <w:rFonts w:ascii="Times New Roman" w:eastAsia="Times New Roman" w:hAnsi="Times New Roman"/>
          <w:b/>
          <w:bCs/>
          <w:sz w:val="24"/>
          <w:szCs w:val="24"/>
        </w:rPr>
      </w:pPr>
      <w:r w:rsidRPr="00B34D05">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Applicants need to read and follow the Notice of Examination; if he had “alternate proof of residency” he should have submitted it at the time of the exam. </w:t>
      </w:r>
    </w:p>
    <w:p w14:paraId="30001FBB" w14:textId="77777777" w:rsidR="007F3C7D" w:rsidRDefault="007F3C7D" w:rsidP="00EF1133">
      <w:pPr>
        <w:rPr>
          <w:rFonts w:ascii="Arial Black" w:hAnsi="Arial Black"/>
          <w:b/>
          <w:sz w:val="24"/>
          <w:szCs w:val="24"/>
        </w:rPr>
      </w:pPr>
    </w:p>
    <w:p w14:paraId="6A24C010" w14:textId="5F03AD6D" w:rsidR="005E132A" w:rsidRDefault="005E132A" w:rsidP="00EF1133">
      <w:pPr>
        <w:rPr>
          <w:rFonts w:ascii="Arial Black" w:hAnsi="Arial Black"/>
          <w:b/>
          <w:sz w:val="24"/>
          <w:szCs w:val="24"/>
        </w:rPr>
      </w:pPr>
      <w:r>
        <w:rPr>
          <w:rFonts w:ascii="Arial Black" w:hAnsi="Arial Black"/>
          <w:b/>
          <w:sz w:val="24"/>
          <w:szCs w:val="24"/>
        </w:rPr>
        <w:t>6-6</w:t>
      </w:r>
      <w:r w:rsidR="008F02C3">
        <w:rPr>
          <w:rFonts w:ascii="Arial Black" w:hAnsi="Arial Black"/>
          <w:b/>
          <w:sz w:val="24"/>
          <w:szCs w:val="24"/>
        </w:rPr>
        <w:t>0</w:t>
      </w:r>
    </w:p>
    <w:p w14:paraId="1BECE2AA" w14:textId="77777777" w:rsidR="005E132A" w:rsidRPr="00A5637B" w:rsidRDefault="005E132A" w:rsidP="005E132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OH:  BC’s RETALIATION CASE NOT REINSTATED – CLAIMED CITY INVEST. TRAINING DIV. – PRESS “LEAK” FIRE CHIEF LACKED CE </w:t>
      </w:r>
    </w:p>
    <w:p w14:paraId="69C04D00" w14:textId="77777777" w:rsidR="005E132A" w:rsidRDefault="005E132A" w:rsidP="005E132A">
      <w:pPr>
        <w:spacing w:after="100"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23, 2020, in </w:t>
      </w:r>
      <w:r w:rsidRPr="00872791">
        <w:rPr>
          <w:rFonts w:ascii="Times New Roman" w:eastAsia="Times New Roman" w:hAnsi="Times New Roman"/>
          <w:sz w:val="24"/>
          <w:szCs w:val="24"/>
          <w:u w:val="single"/>
        </w:rPr>
        <w:t>Sean DeCrane v. Edward J. Eckart, et al.</w:t>
      </w:r>
      <w:r>
        <w:rPr>
          <w:rFonts w:ascii="Times New Roman" w:eastAsia="Times New Roman" w:hAnsi="Times New Roman"/>
          <w:sz w:val="24"/>
          <w:szCs w:val="24"/>
        </w:rPr>
        <w:t xml:space="preserve">, U.S. Senior District Court Judge Christopher A. Boyko, U.S. District Court, Northern District of Ohio (Eastern Division), has denied his motion for reconsideration of the May 13, </w:t>
      </w:r>
      <w:proofErr w:type="gramStart"/>
      <w:r>
        <w:rPr>
          <w:rFonts w:ascii="Times New Roman" w:eastAsia="Times New Roman" w:hAnsi="Times New Roman"/>
          <w:sz w:val="24"/>
          <w:szCs w:val="24"/>
        </w:rPr>
        <w:t>2020</w:t>
      </w:r>
      <w:proofErr w:type="gramEnd"/>
      <w:r>
        <w:rPr>
          <w:rFonts w:ascii="Times New Roman" w:eastAsia="Times New Roman" w:hAnsi="Times New Roman"/>
          <w:sz w:val="24"/>
          <w:szCs w:val="24"/>
        </w:rPr>
        <w:t xml:space="preserve"> dismissal of his law</w:t>
      </w:r>
      <w:r>
        <w:rPr>
          <w:rFonts w:ascii="Times New Roman" w:eastAsia="Times New Roman" w:hAnsi="Times New Roman"/>
          <w:sz w:val="24"/>
          <w:szCs w:val="24"/>
        </w:rPr>
        <w:softHyphen/>
        <w:t xml:space="preserve">suit claiming retaliation.  He claimed the </w:t>
      </w:r>
      <w:proofErr w:type="gramStart"/>
      <w:r>
        <w:rPr>
          <w:rFonts w:ascii="Times New Roman" w:eastAsia="Times New Roman" w:hAnsi="Times New Roman"/>
          <w:sz w:val="24"/>
          <w:szCs w:val="24"/>
        </w:rPr>
        <w:t>City</w:t>
      </w:r>
      <w:proofErr w:type="gramEnd"/>
      <w:r>
        <w:rPr>
          <w:rFonts w:ascii="Times New Roman" w:eastAsia="Times New Roman" w:hAnsi="Times New Roman"/>
          <w:sz w:val="24"/>
          <w:szCs w:val="24"/>
        </w:rPr>
        <w:t xml:space="preserve"> thought he was the Press leaker and in retaliation started a City “Office of Integrity Control” investigation of the Training Division which he then managed.  </w:t>
      </w:r>
    </w:p>
    <w:p w14:paraId="1156F084" w14:textId="77777777" w:rsidR="005E132A" w:rsidRPr="0047468C" w:rsidRDefault="005E132A" w:rsidP="005E132A">
      <w:pPr>
        <w:spacing w:after="100" w:line="240" w:lineRule="auto"/>
        <w:ind w:left="720"/>
        <w:rPr>
          <w:rFonts w:ascii="Times New Roman" w:eastAsia="Times New Roman" w:hAnsi="Times New Roman"/>
          <w:sz w:val="24"/>
          <w:szCs w:val="24"/>
        </w:rPr>
      </w:pPr>
      <w:r>
        <w:t>“</w:t>
      </w:r>
      <w:r w:rsidRPr="0047468C">
        <w:rPr>
          <w:rFonts w:ascii="Times New Roman" w:hAnsi="Times New Roman"/>
          <w:sz w:val="24"/>
          <w:szCs w:val="24"/>
        </w:rPr>
        <w:t>Plaintiff argued as follows</w:t>
      </w:r>
      <w:r>
        <w:rPr>
          <w:rFonts w:ascii="Times New Roman" w:hAnsi="Times New Roman"/>
          <w:sz w:val="24"/>
          <w:szCs w:val="24"/>
        </w:rPr>
        <w:t>:</w:t>
      </w:r>
    </w:p>
    <w:p w14:paraId="4F55A090" w14:textId="77777777" w:rsidR="005E132A" w:rsidRPr="00A5637B" w:rsidRDefault="005E132A" w:rsidP="005E132A">
      <w:pPr>
        <w:spacing w:after="100" w:line="240" w:lineRule="auto"/>
        <w:ind w:left="1440"/>
        <w:rPr>
          <w:rFonts w:ascii="Times New Roman" w:eastAsia="Times New Roman" w:hAnsi="Times New Roman"/>
          <w:sz w:val="24"/>
          <w:szCs w:val="24"/>
        </w:rPr>
      </w:pPr>
      <w:r w:rsidRPr="00A5637B">
        <w:rPr>
          <w:rFonts w:ascii="Times New Roman" w:eastAsia="Times New Roman" w:hAnsi="Times New Roman"/>
          <w:sz w:val="24"/>
          <w:szCs w:val="24"/>
        </w:rPr>
        <w:t xml:space="preserve">The </w:t>
      </w:r>
      <w:proofErr w:type="gramStart"/>
      <w:r w:rsidRPr="00A5637B">
        <w:rPr>
          <w:rFonts w:ascii="Times New Roman" w:eastAsia="Times New Roman" w:hAnsi="Times New Roman"/>
          <w:sz w:val="24"/>
          <w:szCs w:val="24"/>
        </w:rPr>
        <w:t>City</w:t>
      </w:r>
      <w:proofErr w:type="gramEnd"/>
      <w:r w:rsidRPr="00A5637B">
        <w:rPr>
          <w:rFonts w:ascii="Times New Roman" w:eastAsia="Times New Roman" w:hAnsi="Times New Roman"/>
          <w:sz w:val="24"/>
          <w:szCs w:val="24"/>
        </w:rPr>
        <w:t xml:space="preserve"> engaged in a </w:t>
      </w:r>
      <w:proofErr w:type="gramStart"/>
      <w:r w:rsidRPr="00A5637B">
        <w:rPr>
          <w:rFonts w:ascii="Times New Roman" w:eastAsia="Times New Roman" w:hAnsi="Times New Roman"/>
          <w:sz w:val="24"/>
          <w:szCs w:val="24"/>
        </w:rPr>
        <w:t>years</w:t>
      </w:r>
      <w:proofErr w:type="gramEnd"/>
      <w:r w:rsidRPr="00A5637B">
        <w:rPr>
          <w:rFonts w:ascii="Times New Roman" w:eastAsia="Times New Roman" w:hAnsi="Times New Roman"/>
          <w:sz w:val="24"/>
          <w:szCs w:val="24"/>
        </w:rPr>
        <w:t xml:space="preserve">-long pattern of retaliation against DeCrane, fueled by </w:t>
      </w:r>
      <w:r>
        <w:rPr>
          <w:rFonts w:ascii="Times New Roman" w:eastAsia="Times New Roman" w:hAnsi="Times New Roman"/>
          <w:sz w:val="24"/>
          <w:szCs w:val="24"/>
        </w:rPr>
        <w:t xml:space="preserve">[Assistant Safety Director] </w:t>
      </w:r>
      <w:r w:rsidRPr="00A5637B">
        <w:rPr>
          <w:rFonts w:ascii="Times New Roman" w:eastAsia="Times New Roman" w:hAnsi="Times New Roman"/>
          <w:sz w:val="24"/>
          <w:szCs w:val="24"/>
        </w:rPr>
        <w:t>Eckart</w:t>
      </w:r>
      <w:r>
        <w:rPr>
          <w:rFonts w:ascii="Times New Roman" w:eastAsia="Times New Roman" w:hAnsi="Times New Roman"/>
          <w:sz w:val="24"/>
          <w:szCs w:val="24"/>
        </w:rPr>
        <w:t>’</w:t>
      </w:r>
      <w:r w:rsidRPr="00A5637B">
        <w:rPr>
          <w:rFonts w:ascii="Times New Roman" w:eastAsia="Times New Roman" w:hAnsi="Times New Roman"/>
          <w:sz w:val="24"/>
          <w:szCs w:val="24"/>
        </w:rPr>
        <w:t>s and Mayor Jackson</w:t>
      </w:r>
      <w:r>
        <w:rPr>
          <w:rFonts w:ascii="Times New Roman" w:eastAsia="Times New Roman" w:hAnsi="Times New Roman"/>
          <w:sz w:val="24"/>
          <w:szCs w:val="24"/>
        </w:rPr>
        <w:t>’</w:t>
      </w:r>
      <w:r w:rsidRPr="00A5637B">
        <w:rPr>
          <w:rFonts w:ascii="Times New Roman" w:eastAsia="Times New Roman" w:hAnsi="Times New Roman"/>
          <w:sz w:val="24"/>
          <w:szCs w:val="24"/>
        </w:rPr>
        <w:t>s irritation with DeCrane</w:t>
      </w:r>
      <w:r>
        <w:rPr>
          <w:rFonts w:ascii="Times New Roman" w:eastAsia="Times New Roman" w:hAnsi="Times New Roman"/>
          <w:sz w:val="24"/>
          <w:szCs w:val="24"/>
        </w:rPr>
        <w:t>’</w:t>
      </w:r>
      <w:r w:rsidRPr="00A5637B">
        <w:rPr>
          <w:rFonts w:ascii="Times New Roman" w:eastAsia="Times New Roman" w:hAnsi="Times New Roman"/>
          <w:sz w:val="24"/>
          <w:szCs w:val="24"/>
        </w:rPr>
        <w:t>s protected activity, both real and suspected. Jackson made clear his feelings about the McGinnis leak, leading Defendants to then act against DeCrane with impunity. The City</w:t>
      </w:r>
      <w:r>
        <w:rPr>
          <w:rFonts w:ascii="Times New Roman" w:eastAsia="Times New Roman" w:hAnsi="Times New Roman"/>
          <w:sz w:val="24"/>
          <w:szCs w:val="24"/>
        </w:rPr>
        <w:t>’</w:t>
      </w:r>
      <w:r w:rsidRPr="00A5637B">
        <w:rPr>
          <w:rFonts w:ascii="Times New Roman" w:eastAsia="Times New Roman" w:hAnsi="Times New Roman"/>
          <w:sz w:val="24"/>
          <w:szCs w:val="24"/>
        </w:rPr>
        <w:t>s failure to train most officials on employees</w:t>
      </w:r>
      <w:r>
        <w:rPr>
          <w:rFonts w:ascii="Times New Roman" w:eastAsia="Times New Roman" w:hAnsi="Times New Roman"/>
          <w:sz w:val="24"/>
          <w:szCs w:val="24"/>
        </w:rPr>
        <w:t>’</w:t>
      </w:r>
      <w:r w:rsidRPr="00A5637B">
        <w:rPr>
          <w:rFonts w:ascii="Times New Roman" w:eastAsia="Times New Roman" w:hAnsi="Times New Roman"/>
          <w:sz w:val="24"/>
          <w:szCs w:val="24"/>
        </w:rPr>
        <w:t xml:space="preserve"> First Amendment rights contributed to the retaliatory activity as well. And the retaliation</w:t>
      </w:r>
      <w:r>
        <w:rPr>
          <w:rFonts w:ascii="Times New Roman" w:eastAsia="Times New Roman" w:hAnsi="Times New Roman"/>
          <w:sz w:val="24"/>
          <w:szCs w:val="24"/>
        </w:rPr>
        <w:t>’</w:t>
      </w:r>
      <w:r w:rsidRPr="00A5637B">
        <w:rPr>
          <w:rFonts w:ascii="Times New Roman" w:eastAsia="Times New Roman" w:hAnsi="Times New Roman"/>
          <w:sz w:val="24"/>
          <w:szCs w:val="24"/>
        </w:rPr>
        <w:t xml:space="preserve">s length </w:t>
      </w:r>
      <w:r>
        <w:rPr>
          <w:rFonts w:ascii="Times New Roman" w:eastAsia="Times New Roman" w:hAnsi="Times New Roman"/>
          <w:sz w:val="24"/>
          <w:szCs w:val="24"/>
        </w:rPr>
        <w:t>–</w:t>
      </w:r>
      <w:r w:rsidRPr="00A5637B">
        <w:rPr>
          <w:rFonts w:ascii="Times New Roman" w:eastAsia="Times New Roman" w:hAnsi="Times New Roman"/>
          <w:sz w:val="24"/>
          <w:szCs w:val="24"/>
        </w:rPr>
        <w:t xml:space="preserve"> in terms of time and the measures taken </w:t>
      </w:r>
      <w:r>
        <w:rPr>
          <w:rFonts w:ascii="Times New Roman" w:eastAsia="Times New Roman" w:hAnsi="Times New Roman"/>
          <w:sz w:val="24"/>
          <w:szCs w:val="24"/>
        </w:rPr>
        <w:t>–</w:t>
      </w:r>
      <w:r w:rsidRPr="00A5637B">
        <w:rPr>
          <w:rFonts w:ascii="Times New Roman" w:eastAsia="Times New Roman" w:hAnsi="Times New Roman"/>
          <w:sz w:val="24"/>
          <w:szCs w:val="24"/>
        </w:rPr>
        <w:t xml:space="preserve"> demonstrates the City</w:t>
      </w:r>
      <w:r>
        <w:rPr>
          <w:rFonts w:ascii="Times New Roman" w:eastAsia="Times New Roman" w:hAnsi="Times New Roman"/>
          <w:sz w:val="24"/>
          <w:szCs w:val="24"/>
        </w:rPr>
        <w:t>’</w:t>
      </w:r>
      <w:r w:rsidRPr="00A5637B">
        <w:rPr>
          <w:rFonts w:ascii="Times New Roman" w:eastAsia="Times New Roman" w:hAnsi="Times New Roman"/>
          <w:sz w:val="24"/>
          <w:szCs w:val="24"/>
        </w:rPr>
        <w:t>s deliberate indifference to DeCrane</w:t>
      </w:r>
      <w:r>
        <w:rPr>
          <w:rFonts w:ascii="Times New Roman" w:eastAsia="Times New Roman" w:hAnsi="Times New Roman"/>
          <w:sz w:val="24"/>
          <w:szCs w:val="24"/>
        </w:rPr>
        <w:t>’</w:t>
      </w:r>
      <w:r w:rsidRPr="00A5637B">
        <w:rPr>
          <w:rFonts w:ascii="Times New Roman" w:eastAsia="Times New Roman" w:hAnsi="Times New Roman"/>
          <w:sz w:val="24"/>
          <w:szCs w:val="24"/>
        </w:rPr>
        <w:t>s rights. (ECF DKT #151, p.27).</w:t>
      </w:r>
    </w:p>
    <w:p w14:paraId="22FD9F63" w14:textId="77777777" w:rsidR="005E132A" w:rsidRDefault="005E132A" w:rsidP="005E132A">
      <w:pPr>
        <w:spacing w:before="100" w:beforeAutospacing="1" w:after="100" w:afterAutospacing="1" w:line="240" w:lineRule="auto"/>
        <w:ind w:left="720"/>
        <w:rPr>
          <w:rFonts w:ascii="Times New Roman" w:eastAsia="Times New Roman" w:hAnsi="Times New Roman"/>
          <w:sz w:val="24"/>
          <w:szCs w:val="24"/>
        </w:rPr>
      </w:pPr>
      <w:r w:rsidRPr="00A5637B">
        <w:rPr>
          <w:rFonts w:ascii="Times New Roman" w:eastAsia="Times New Roman" w:hAnsi="Times New Roman"/>
          <w:sz w:val="24"/>
          <w:szCs w:val="24"/>
        </w:rPr>
        <w:t xml:space="preserve">Aside from these declarations, Plaintiff offered no citations (not even in a footnote) to any </w:t>
      </w:r>
      <w:proofErr w:type="gramStart"/>
      <w:r w:rsidRPr="00A5637B">
        <w:rPr>
          <w:rFonts w:ascii="Times New Roman" w:eastAsia="Times New Roman" w:hAnsi="Times New Roman"/>
          <w:sz w:val="24"/>
          <w:szCs w:val="24"/>
        </w:rPr>
        <w:t>previously-detailed</w:t>
      </w:r>
      <w:proofErr w:type="gramEnd"/>
      <w:r w:rsidRPr="00A5637B">
        <w:rPr>
          <w:rFonts w:ascii="Times New Roman" w:eastAsia="Times New Roman" w:hAnsi="Times New Roman"/>
          <w:sz w:val="24"/>
          <w:szCs w:val="24"/>
        </w:rPr>
        <w:t xml:space="preserve"> facts to illustrate a policy, a final </w:t>
      </w:r>
      <w:proofErr w:type="gramStart"/>
      <w:r w:rsidRPr="00A5637B">
        <w:rPr>
          <w:rFonts w:ascii="Times New Roman" w:eastAsia="Times New Roman" w:hAnsi="Times New Roman"/>
          <w:sz w:val="24"/>
          <w:szCs w:val="24"/>
        </w:rPr>
        <w:t>policy-maker</w:t>
      </w:r>
      <w:proofErr w:type="gramEnd"/>
      <w:r w:rsidRPr="00A5637B">
        <w:rPr>
          <w:rFonts w:ascii="Times New Roman" w:eastAsia="Times New Roman" w:hAnsi="Times New Roman"/>
          <w:sz w:val="24"/>
          <w:szCs w:val="24"/>
        </w:rPr>
        <w:t xml:space="preserve"> (particularly as </w:t>
      </w:r>
      <w:proofErr w:type="gramStart"/>
      <w:r w:rsidRPr="00A5637B">
        <w:rPr>
          <w:rFonts w:ascii="Times New Roman" w:eastAsia="Times New Roman" w:hAnsi="Times New Roman"/>
          <w:sz w:val="24"/>
          <w:szCs w:val="24"/>
        </w:rPr>
        <w:t>relates</w:t>
      </w:r>
      <w:proofErr w:type="gramEnd"/>
      <w:r w:rsidRPr="00A5637B">
        <w:rPr>
          <w:rFonts w:ascii="Times New Roman" w:eastAsia="Times New Roman" w:hAnsi="Times New Roman"/>
          <w:sz w:val="24"/>
          <w:szCs w:val="24"/>
        </w:rPr>
        <w:t xml:space="preserve"> to Defendant Eckart), deficient training, nor tolerance of, or indifference to, constitutional violations.</w:t>
      </w:r>
      <w:r>
        <w:rPr>
          <w:rFonts w:ascii="Times New Roman" w:eastAsia="Times New Roman" w:hAnsi="Times New Roman"/>
          <w:sz w:val="24"/>
          <w:szCs w:val="24"/>
        </w:rPr>
        <w:t xml:space="preserve">  </w:t>
      </w:r>
      <w:hyperlink r:id="rId1208" w:history="1">
        <w:r w:rsidRPr="008505F4">
          <w:rPr>
            <w:rStyle w:val="Hyperlink"/>
          </w:rPr>
          <w:t>https://www.leagle.com/decision/infdco20201228943</w:t>
        </w:r>
      </w:hyperlink>
      <w:r>
        <w:rPr>
          <w:rFonts w:ascii="Times New Roman" w:eastAsia="Times New Roman" w:hAnsi="Times New Roman"/>
          <w:sz w:val="24"/>
          <w:szCs w:val="24"/>
        </w:rPr>
        <w:t xml:space="preserve"> </w:t>
      </w:r>
    </w:p>
    <w:p w14:paraId="5411E2FE" w14:textId="77777777" w:rsidR="005E132A" w:rsidRDefault="005E132A" w:rsidP="005E132A">
      <w:pPr>
        <w:pStyle w:val="Heading1"/>
        <w:rPr>
          <w:sz w:val="24"/>
          <w:szCs w:val="24"/>
        </w:rPr>
      </w:pPr>
      <w:r w:rsidRPr="00DD2400">
        <w:rPr>
          <w:sz w:val="24"/>
          <w:szCs w:val="24"/>
        </w:rPr>
        <w:t xml:space="preserve">Legal Lesson Learned: </w:t>
      </w:r>
      <w:r>
        <w:rPr>
          <w:sz w:val="24"/>
          <w:szCs w:val="24"/>
        </w:rPr>
        <w:t xml:space="preserve">The U.S. Supreme Court has placed a heavy burden on plaintiffs suing cities and other municipalities for </w:t>
      </w:r>
      <w:r w:rsidRPr="00DD2400">
        <w:rPr>
          <w:sz w:val="24"/>
          <w:szCs w:val="24"/>
        </w:rPr>
        <w:t xml:space="preserve">deprivation of </w:t>
      </w:r>
      <w:r>
        <w:rPr>
          <w:sz w:val="24"/>
          <w:szCs w:val="24"/>
        </w:rPr>
        <w:t>f</w:t>
      </w:r>
      <w:r w:rsidRPr="00DD2400">
        <w:rPr>
          <w:sz w:val="24"/>
          <w:szCs w:val="24"/>
        </w:rPr>
        <w:t>ederal Constitutional rights under 42 USC 1983</w:t>
      </w:r>
      <w:r>
        <w:rPr>
          <w:sz w:val="24"/>
          <w:szCs w:val="24"/>
        </w:rPr>
        <w:t xml:space="preserve">.   Need to prove that a city policy or a city “final policy maker” is indifferent to constitutional violations. </w:t>
      </w:r>
    </w:p>
    <w:p w14:paraId="4D3E17D1" w14:textId="77777777" w:rsidR="005E132A" w:rsidRDefault="005E132A" w:rsidP="005E132A">
      <w:pPr>
        <w:pStyle w:val="Heading1"/>
        <w:ind w:firstLine="720"/>
        <w:rPr>
          <w:b w:val="0"/>
          <w:bCs w:val="0"/>
          <w:sz w:val="24"/>
          <w:szCs w:val="24"/>
        </w:rPr>
      </w:pPr>
      <w:r>
        <w:rPr>
          <w:b w:val="0"/>
          <w:bCs w:val="0"/>
          <w:sz w:val="24"/>
          <w:szCs w:val="24"/>
        </w:rPr>
        <w:t xml:space="preserve">Note: See these Press articles about the Cleveland FD. </w:t>
      </w:r>
    </w:p>
    <w:p w14:paraId="62249C31" w14:textId="77777777" w:rsidR="005E132A" w:rsidRPr="00721AFF" w:rsidRDefault="005E132A" w:rsidP="005E132A">
      <w:pPr>
        <w:pStyle w:val="Heading1"/>
        <w:ind w:left="720"/>
        <w:rPr>
          <w:b w:val="0"/>
          <w:bCs w:val="0"/>
          <w:sz w:val="24"/>
          <w:szCs w:val="24"/>
        </w:rPr>
      </w:pPr>
      <w:r w:rsidRPr="00691C9E">
        <w:rPr>
          <w:b w:val="0"/>
          <w:bCs w:val="0"/>
          <w:sz w:val="24"/>
          <w:szCs w:val="24"/>
        </w:rPr>
        <w:t>Aug. 14, 2013: “Cleveland Fire Chief to Retire Friday.</w:t>
      </w:r>
      <w:r>
        <w:rPr>
          <w:b w:val="0"/>
          <w:bCs w:val="0"/>
          <w:sz w:val="24"/>
          <w:szCs w:val="24"/>
        </w:rPr>
        <w:t xml:space="preserve">” </w:t>
      </w:r>
      <w:hyperlink r:id="rId1209" w:history="1">
        <w:r w:rsidRPr="00721AFF">
          <w:rPr>
            <w:rStyle w:val="Hyperlink"/>
            <w:b w:val="0"/>
            <w:bCs w:val="0"/>
            <w:sz w:val="24"/>
            <w:szCs w:val="24"/>
          </w:rPr>
          <w:t>https://fox8.com/news/cleveland-fire-chief-to-retire-friday/</w:t>
        </w:r>
      </w:hyperlink>
      <w:r w:rsidRPr="00721AFF">
        <w:rPr>
          <w:b w:val="0"/>
          <w:bCs w:val="0"/>
          <w:sz w:val="24"/>
          <w:szCs w:val="24"/>
        </w:rPr>
        <w:t xml:space="preserve"> </w:t>
      </w:r>
    </w:p>
    <w:p w14:paraId="3188F9E4" w14:textId="77777777" w:rsidR="005E132A" w:rsidRPr="00721AFF" w:rsidRDefault="005E132A" w:rsidP="005E132A">
      <w:pPr>
        <w:pStyle w:val="Heading1"/>
        <w:ind w:left="720"/>
        <w:rPr>
          <w:b w:val="0"/>
          <w:bCs w:val="0"/>
          <w:sz w:val="24"/>
          <w:szCs w:val="24"/>
        </w:rPr>
      </w:pPr>
      <w:r>
        <w:rPr>
          <w:b w:val="0"/>
          <w:bCs w:val="0"/>
          <w:sz w:val="24"/>
          <w:szCs w:val="24"/>
        </w:rPr>
        <w:t xml:space="preserve">Oct. 31, 2016: </w:t>
      </w:r>
      <w:r w:rsidRPr="00691C9E">
        <w:rPr>
          <w:b w:val="0"/>
          <w:bCs w:val="0"/>
          <w:sz w:val="24"/>
          <w:szCs w:val="24"/>
        </w:rPr>
        <w:t>“Retired Cleveland Fire Division battalion chief files First Amendment-retaliation suit against City &amp; senior public-safety officials.</w:t>
      </w:r>
      <w:r>
        <w:rPr>
          <w:b w:val="0"/>
          <w:bCs w:val="0"/>
          <w:sz w:val="24"/>
          <w:szCs w:val="24"/>
        </w:rPr>
        <w:t>”</w:t>
      </w:r>
      <w:r w:rsidRPr="00691C9E">
        <w:rPr>
          <w:b w:val="0"/>
          <w:bCs w:val="0"/>
          <w:sz w:val="24"/>
          <w:szCs w:val="24"/>
        </w:rPr>
        <w:t xml:space="preserve"> </w:t>
      </w:r>
      <w:hyperlink r:id="rId1210" w:history="1">
        <w:r w:rsidRPr="00721AFF">
          <w:rPr>
            <w:rStyle w:val="Hyperlink"/>
            <w:b w:val="0"/>
            <w:bCs w:val="0"/>
            <w:sz w:val="24"/>
            <w:szCs w:val="24"/>
          </w:rPr>
          <w:t>https://www.chandralaw.com/blog/retired-cleveland-fire-division-battalion-chief-files-first-amendment-retaliation-suit-against-city-senior-public-safety-officials</w:t>
        </w:r>
      </w:hyperlink>
      <w:r w:rsidRPr="00721AFF">
        <w:rPr>
          <w:b w:val="0"/>
          <w:bCs w:val="0"/>
          <w:sz w:val="24"/>
          <w:szCs w:val="24"/>
        </w:rPr>
        <w:t xml:space="preserve"> </w:t>
      </w:r>
    </w:p>
    <w:p w14:paraId="2110C89D" w14:textId="77777777" w:rsidR="005E132A" w:rsidRDefault="005E132A" w:rsidP="00EF1133">
      <w:pPr>
        <w:rPr>
          <w:rFonts w:ascii="Arial Black" w:hAnsi="Arial Black"/>
          <w:b/>
          <w:sz w:val="24"/>
          <w:szCs w:val="24"/>
        </w:rPr>
      </w:pPr>
    </w:p>
    <w:p w14:paraId="711C5C5B" w14:textId="755259BB" w:rsidR="005E132A" w:rsidRDefault="005E132A" w:rsidP="00EF1133">
      <w:pPr>
        <w:rPr>
          <w:rFonts w:ascii="Arial Black" w:hAnsi="Arial Black"/>
          <w:b/>
          <w:sz w:val="24"/>
          <w:szCs w:val="24"/>
        </w:rPr>
      </w:pPr>
      <w:r>
        <w:rPr>
          <w:rFonts w:ascii="Arial Black" w:hAnsi="Arial Black"/>
          <w:b/>
          <w:sz w:val="24"/>
          <w:szCs w:val="24"/>
        </w:rPr>
        <w:t>6-</w:t>
      </w:r>
      <w:r w:rsidR="008F02C3">
        <w:rPr>
          <w:rFonts w:ascii="Arial Black" w:hAnsi="Arial Black"/>
          <w:b/>
          <w:sz w:val="24"/>
          <w:szCs w:val="24"/>
        </w:rPr>
        <w:t>59</w:t>
      </w:r>
    </w:p>
    <w:p w14:paraId="3B72369B" w14:textId="77777777" w:rsidR="00737B49" w:rsidRDefault="00737B49" w:rsidP="00737B49">
      <w:pPr>
        <w:tabs>
          <w:tab w:val="left" w:pos="667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14, 2020, in </w:t>
      </w:r>
      <w:r>
        <w:rPr>
          <w:rFonts w:ascii="Times New Roman" w:hAnsi="Times New Roman"/>
          <w:sz w:val="24"/>
          <w:szCs w:val="24"/>
          <w:u w:val="single"/>
        </w:rPr>
        <w:t>Sean T. Heneghan v. City of Evanston</w:t>
      </w:r>
      <w:r>
        <w:rPr>
          <w:rFonts w:ascii="Times New Roman" w:hAnsi="Times New Roman"/>
          <w:sz w:val="24"/>
          <w:szCs w:val="24"/>
        </w:rPr>
        <w:t>, the Appellate Court of Illinois, First District (First Division), held (3 to 0; unpublished decision) that the City properly denied the firefighter life-time health benefits since he was not responding to an emergency when he and his partner were performing ventilation, the saw malfunctioned, he retrieved an ax from the ground, lost his balance when peeling off roof cover with the ax and severely injured both feet when he fell off the roof.  The Illinois statute provides for life-time insurance or firefighters and family who are killed or suffer catastrophic injury responding to “what is reasonably believed to be an emergency.”</w:t>
      </w:r>
    </w:p>
    <w:p w14:paraId="27A59A2C" w14:textId="77777777" w:rsidR="00737B49" w:rsidRDefault="00737B49" w:rsidP="00737B49">
      <w:pPr>
        <w:tabs>
          <w:tab w:val="left" w:pos="6670"/>
        </w:tabs>
        <w:spacing w:before="100" w:beforeAutospacing="1" w:after="100" w:afterAutospacing="1" w:line="240" w:lineRule="auto"/>
        <w:ind w:left="630"/>
        <w:rPr>
          <w:rFonts w:ascii="Times New Roman" w:hAnsi="Times New Roman"/>
          <w:sz w:val="24"/>
          <w:szCs w:val="24"/>
        </w:rPr>
      </w:pPr>
      <w:r>
        <w:rPr>
          <w:rFonts w:ascii="Times New Roman" w:hAnsi="Times New Roman"/>
          <w:sz w:val="24"/>
          <w:szCs w:val="24"/>
        </w:rPr>
        <w:t>“Plaintiff argues that he was responding to what he reasonably believed to be an emergency when the saw failed during the exercise. We are not persuaded by this argument.</w:t>
      </w:r>
    </w:p>
    <w:p w14:paraId="171856DD" w14:textId="77777777" w:rsidR="00737B49" w:rsidRDefault="00737B49" w:rsidP="00737B49">
      <w:pPr>
        <w:spacing w:before="100" w:beforeAutospacing="1" w:after="100" w:afterAutospacing="1" w:line="240" w:lineRule="auto"/>
        <w:ind w:left="630"/>
        <w:rPr>
          <w:rFonts w:ascii="Times New Roman" w:hAnsi="Times New Roman"/>
          <w:sz w:val="24"/>
          <w:szCs w:val="24"/>
        </w:rPr>
      </w:pPr>
      <w:r>
        <w:rPr>
          <w:rFonts w:ascii="Times New Roman" w:hAnsi="Times New Roman"/>
          <w:sz w:val="24"/>
          <w:szCs w:val="24"/>
        </w:rPr>
        <w:t xml:space="preserve">The failure of the </w:t>
      </w:r>
      <w:proofErr w:type="gramStart"/>
      <w:r>
        <w:rPr>
          <w:rFonts w:ascii="Times New Roman" w:hAnsi="Times New Roman"/>
          <w:sz w:val="24"/>
          <w:szCs w:val="24"/>
        </w:rPr>
        <w:t>saw</w:t>
      </w:r>
      <w:proofErr w:type="gramEnd"/>
      <w:r>
        <w:rPr>
          <w:rFonts w:ascii="Times New Roman" w:hAnsi="Times New Roman"/>
          <w:sz w:val="24"/>
          <w:szCs w:val="24"/>
        </w:rPr>
        <w:t xml:space="preserve"> was certainly an unforeseen development and could reasonably be regarded as an emergency. If the vent covers were not removed, then the firefighters inside the structure would be in imminent danger from fire and explosions. However, plaintiff was able to climb from the roof, retrieve his axe, return to the roof, and pry open the first vent cover. The emergency that plaintiff describes was the failure of the saw and his belief that the vent covers could not be opened. That emergency ended once plaintiff was able to successfully pry open this first cover with his axe.</w:t>
      </w:r>
    </w:p>
    <w:p w14:paraId="1BC91DB3" w14:textId="77777777" w:rsidR="00737B49" w:rsidRDefault="00737B49" w:rsidP="00737B49">
      <w:pPr>
        <w:spacing w:before="100" w:beforeAutospacing="1" w:after="100" w:afterAutospacing="1" w:line="240" w:lineRule="auto"/>
        <w:ind w:left="630"/>
        <w:rPr>
          <w:rFonts w:ascii="Times New Roman" w:hAnsi="Times New Roman"/>
          <w:sz w:val="24"/>
          <w:szCs w:val="24"/>
        </w:rPr>
      </w:pPr>
      <w:r>
        <w:rPr>
          <w:rFonts w:ascii="Times New Roman" w:hAnsi="Times New Roman"/>
          <w:sz w:val="24"/>
          <w:szCs w:val="24"/>
        </w:rPr>
        <w:t>***</w:t>
      </w:r>
    </w:p>
    <w:p w14:paraId="0D852576" w14:textId="77777777" w:rsidR="00737B49" w:rsidRDefault="00737B49" w:rsidP="00737B49">
      <w:pPr>
        <w:spacing w:before="100" w:beforeAutospacing="1" w:after="100" w:afterAutospacing="1" w:line="240" w:lineRule="auto"/>
        <w:ind w:left="630"/>
        <w:rPr>
          <w:rFonts w:ascii="Times New Roman" w:eastAsia="Times New Roman" w:hAnsi="Times New Roman"/>
          <w:sz w:val="24"/>
          <w:szCs w:val="24"/>
        </w:rPr>
      </w:pPr>
      <w:r>
        <w:rPr>
          <w:rFonts w:ascii="Times New Roman" w:eastAsia="Times New Roman" w:hAnsi="Times New Roman"/>
          <w:sz w:val="24"/>
          <w:szCs w:val="24"/>
        </w:rPr>
        <w:t xml:space="preserve">Once he had a suitable replacement for the saw, he was able to continue with the rest of the exercise. He could not reasonably believe that his fellow firefighters were still in imminent danger after finding a replacement tool. He also would have known that it was possible </w:t>
      </w:r>
      <w:proofErr w:type="gramStart"/>
      <w:r>
        <w:rPr>
          <w:rFonts w:ascii="Times New Roman" w:eastAsia="Times New Roman" w:hAnsi="Times New Roman"/>
          <w:sz w:val="24"/>
          <w:szCs w:val="24"/>
        </w:rPr>
        <w:t>the open</w:t>
      </w:r>
      <w:proofErr w:type="gramEnd"/>
      <w:r>
        <w:rPr>
          <w:rFonts w:ascii="Times New Roman" w:eastAsia="Times New Roman" w:hAnsi="Times New Roman"/>
          <w:sz w:val="24"/>
          <w:szCs w:val="24"/>
        </w:rPr>
        <w:t xml:space="preserve"> the remaining vent with his axe. More importantly, he was not injured because of his actions addressing the saw's </w:t>
      </w:r>
      <w:proofErr w:type="gramStart"/>
      <w:r>
        <w:rPr>
          <w:rFonts w:ascii="Times New Roman" w:eastAsia="Times New Roman" w:hAnsi="Times New Roman"/>
          <w:sz w:val="24"/>
          <w:szCs w:val="24"/>
        </w:rPr>
        <w:t>failure.”</w:t>
      </w:r>
      <w:proofErr w:type="gramEnd"/>
      <w:r>
        <w:rPr>
          <w:rFonts w:ascii="Times New Roman" w:eastAsia="Times New Roman" w:hAnsi="Times New Roman"/>
          <w:sz w:val="24"/>
          <w:szCs w:val="24"/>
        </w:rPr>
        <w:t xml:space="preserve"> </w:t>
      </w:r>
      <w:hyperlink r:id="rId1211" w:history="1">
        <w:r>
          <w:rPr>
            <w:rStyle w:val="Hyperlink"/>
          </w:rPr>
          <w:t>https://casetext.com/case/heneghan-v-city-of-evanston</w:t>
        </w:r>
      </w:hyperlink>
      <w:r>
        <w:rPr>
          <w:rFonts w:ascii="Times New Roman" w:eastAsia="Times New Roman" w:hAnsi="Times New Roman"/>
          <w:sz w:val="24"/>
          <w:szCs w:val="24"/>
        </w:rPr>
        <w:t xml:space="preserve"> </w:t>
      </w:r>
    </w:p>
    <w:p w14:paraId="4B99668C" w14:textId="77777777" w:rsidR="00737B49" w:rsidRDefault="00737B49" w:rsidP="00737B4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Legal Lesson Learned: Terrible injury, but facts clearly show did not occur during an “emergency.”</w:t>
      </w:r>
    </w:p>
    <w:p w14:paraId="56FFDA15" w14:textId="77777777" w:rsidR="00737B49" w:rsidRDefault="00737B49" w:rsidP="00737B49">
      <w:pPr>
        <w:spacing w:before="100" w:beforeAutospacing="1" w:after="100" w:afterAutospacing="1" w:line="240" w:lineRule="auto"/>
        <w:ind w:left="720"/>
        <w:rPr>
          <w:rFonts w:asciiTheme="minorHAnsi" w:hAnsiTheme="minorHAnsi" w:cstheme="minorBidi"/>
        </w:rPr>
      </w:pPr>
      <w:r>
        <w:rPr>
          <w:rFonts w:ascii="Times New Roman" w:hAnsi="Times New Roman"/>
          <w:sz w:val="24"/>
          <w:szCs w:val="24"/>
        </w:rPr>
        <w:t xml:space="preserve">Note:  The Court referenced that Illinois case law does support life-time medical coverage during a training exercise if there is a true emergency. </w:t>
      </w:r>
      <w:r>
        <w:rPr>
          <w:rFonts w:ascii="Times New Roman" w:hAnsi="Times New Roman"/>
          <w:sz w:val="24"/>
          <w:szCs w:val="24"/>
          <w:u w:val="single"/>
        </w:rPr>
        <w:t>Gaffney v. Board of Trustees of Orland Fire Protection District</w:t>
      </w:r>
      <w:r>
        <w:rPr>
          <w:rFonts w:ascii="Times New Roman" w:hAnsi="Times New Roman"/>
          <w:sz w:val="24"/>
          <w:szCs w:val="24"/>
        </w:rPr>
        <w:t xml:space="preserve">, 2012 IL 110012, May 29, 2012, Illinois Supreme Court: </w:t>
      </w:r>
      <w:hyperlink r:id="rId1212" w:history="1">
        <w:r>
          <w:rPr>
            <w:rStyle w:val="Hyperlink"/>
          </w:rPr>
          <w:t>https://courts.illinois.gov/opinions/SupremeCourt/2012/110012.pdf</w:t>
        </w:r>
      </w:hyperlink>
      <w:r>
        <w:t xml:space="preserve"> </w:t>
      </w:r>
    </w:p>
    <w:p w14:paraId="779F75AC" w14:textId="11A9219B" w:rsidR="00737B49" w:rsidRDefault="00737B49" w:rsidP="00737B49">
      <w:pPr>
        <w:rPr>
          <w:rStyle w:val="Hyperlink"/>
        </w:rPr>
      </w:pPr>
      <w:r>
        <w:rPr>
          <w:rFonts w:ascii="Times New Roman" w:hAnsi="Times New Roman"/>
          <w:sz w:val="24"/>
          <w:szCs w:val="24"/>
        </w:rPr>
        <w:t xml:space="preserve">“Gaffney was injured during a live fire training exercise on the third floor of a building. Gaffney wore full fire gear for the exercise, and his battalion chief instructed him to treat the exercise as an actual emergency. As the crew was moving the fire hose from the second floor to the third floor, it became entangled. The smoke from the fire left no visibility. Gaffney followed the hose back down to the second floor and discovered that it was hooked around a loveseat. When Gaffney flipped the loveseat backward, he injured his shoulder. The court held that Gaffney's training exercise became an emergency when the hose became entangled. </w:t>
      </w:r>
      <w:r>
        <w:rPr>
          <w:rFonts w:ascii="Times New Roman" w:hAnsi="Times New Roman"/>
          <w:i/>
          <w:iCs/>
          <w:sz w:val="24"/>
          <w:szCs w:val="24"/>
        </w:rPr>
        <w:t>Id</w:t>
      </w:r>
      <w:r>
        <w:rPr>
          <w:rFonts w:ascii="Times New Roman" w:hAnsi="Times New Roman"/>
          <w:sz w:val="24"/>
          <w:szCs w:val="24"/>
        </w:rPr>
        <w:t xml:space="preserve">. ¶ 66. This unforeseen development involved imminent danger and required an urgent response because it left the crew ‘stranded on the stairwell to the third floor </w:t>
      </w:r>
      <w:r>
        <w:rPr>
          <w:rFonts w:ascii="Times New Roman" w:eastAsia="Times New Roman" w:hAnsi="Times New Roman"/>
          <w:sz w:val="24"/>
          <w:szCs w:val="24"/>
        </w:rPr>
        <w:t>of the burning building with no visibility and no water to put out the fire.</w:t>
      </w:r>
      <w:r>
        <w:rPr>
          <w:rFonts w:ascii="Times New Roman" w:hAnsi="Times New Roman"/>
          <w:sz w:val="24"/>
          <w:szCs w:val="24"/>
        </w:rPr>
        <w:t>’”</w:t>
      </w:r>
      <w:r>
        <w:t xml:space="preserve"> </w:t>
      </w:r>
      <w:hyperlink r:id="rId1213" w:history="1">
        <w:r>
          <w:rPr>
            <w:rStyle w:val="Hyperlink"/>
          </w:rPr>
          <w:t>https://casetext.com/case/heneghan-v-city-of-evanston</w:t>
        </w:r>
      </w:hyperlink>
    </w:p>
    <w:p w14:paraId="207AFA86" w14:textId="28E99789" w:rsidR="00737B49" w:rsidRDefault="00737B49" w:rsidP="00737B49">
      <w:pPr>
        <w:rPr>
          <w:rStyle w:val="Hyperlink"/>
        </w:rPr>
      </w:pPr>
    </w:p>
    <w:p w14:paraId="138B301C" w14:textId="77777777" w:rsidR="00737B49" w:rsidRDefault="00737B49" w:rsidP="00737B49">
      <w:pPr>
        <w:spacing w:before="100" w:beforeAutospacing="1" w:after="100" w:afterAutospacing="1" w:line="240" w:lineRule="auto"/>
        <w:rPr>
          <w:rFonts w:ascii="Arial Black" w:hAnsi="Arial Black"/>
          <w:sz w:val="28"/>
          <w:szCs w:val="28"/>
        </w:rPr>
      </w:pPr>
    </w:p>
    <w:p w14:paraId="5C3EFBA4" w14:textId="77777777" w:rsidR="00737B49" w:rsidRDefault="00737B49" w:rsidP="00737B49">
      <w:pPr>
        <w:spacing w:before="100" w:beforeAutospacing="1" w:after="100" w:afterAutospacing="1" w:line="240" w:lineRule="auto"/>
        <w:rPr>
          <w:rFonts w:ascii="Arial Black" w:hAnsi="Arial Black"/>
          <w:sz w:val="28"/>
          <w:szCs w:val="28"/>
        </w:rPr>
      </w:pPr>
    </w:p>
    <w:p w14:paraId="38B69A42" w14:textId="5A7C67F8" w:rsidR="00737B49" w:rsidRDefault="00737B49" w:rsidP="00737B49">
      <w:pPr>
        <w:spacing w:before="100" w:beforeAutospacing="1" w:after="100" w:afterAutospacing="1" w:line="240" w:lineRule="auto"/>
        <w:rPr>
          <w:rFonts w:ascii="Arial Black" w:hAnsi="Arial Black"/>
          <w:sz w:val="28"/>
          <w:szCs w:val="28"/>
        </w:rPr>
      </w:pPr>
      <w:r>
        <w:rPr>
          <w:rFonts w:ascii="Arial Black" w:hAnsi="Arial Black"/>
          <w:sz w:val="28"/>
          <w:szCs w:val="28"/>
        </w:rPr>
        <w:t>6-5</w:t>
      </w:r>
      <w:r w:rsidR="008F02C3">
        <w:rPr>
          <w:rFonts w:ascii="Arial Black" w:hAnsi="Arial Black"/>
          <w:sz w:val="28"/>
          <w:szCs w:val="28"/>
        </w:rPr>
        <w:t>8</w:t>
      </w:r>
    </w:p>
    <w:p w14:paraId="25825208" w14:textId="7748A388" w:rsidR="00737B49" w:rsidRPr="00950C0A" w:rsidRDefault="00737B49" w:rsidP="00737B49">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MA: INTERNAL INVESTIGATION – EMPLOYEES PROVIDE INFO – CONDITIONALLY PROTECTED FROM DEFAMATION </w:t>
      </w:r>
    </w:p>
    <w:p w14:paraId="1391B508" w14:textId="77777777" w:rsidR="00737B49" w:rsidRDefault="00737B49" w:rsidP="00737B49">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10, 2020, in </w:t>
      </w:r>
      <w:r w:rsidRPr="005202DF">
        <w:rPr>
          <w:rFonts w:ascii="Times New Roman" w:hAnsi="Times New Roman"/>
          <w:sz w:val="24"/>
          <w:szCs w:val="24"/>
          <w:u w:val="single"/>
        </w:rPr>
        <w:t>Diane Lawless v, Cheryl Estrella</w:t>
      </w:r>
      <w:r>
        <w:rPr>
          <w:rFonts w:ascii="Times New Roman" w:hAnsi="Times New Roman"/>
          <w:sz w:val="24"/>
          <w:szCs w:val="24"/>
        </w:rPr>
        <w:t xml:space="preserve">, the Massachusetts Court of Appeals held (3 to 0) that the trial court properly granted summary judgment and dismissed the lawsuit filed by the former Town Treasurer against a Senior Clerk who provided investigators with a 6-page e-mail documenting misconduct by the Treasurer. </w:t>
      </w:r>
    </w:p>
    <w:p w14:paraId="57DAA941" w14:textId="77777777" w:rsidR="00737B49" w:rsidRPr="005202DF" w:rsidRDefault="00737B49" w:rsidP="00737B49">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5202DF">
        <w:rPr>
          <w:rFonts w:ascii="Times New Roman" w:hAnsi="Times New Roman"/>
          <w:sz w:val="24"/>
          <w:szCs w:val="24"/>
        </w:rPr>
        <w:t>We conclude that an opinion based on disclosed, nondefamatory facts is not defamatory and that many of the allegedly defamatory statements constitute such opinions.</w:t>
      </w:r>
      <w:r>
        <w:rPr>
          <w:rFonts w:ascii="Times New Roman" w:hAnsi="Times New Roman"/>
          <w:sz w:val="24"/>
          <w:szCs w:val="24"/>
        </w:rPr>
        <w:t xml:space="preserve"> </w:t>
      </w:r>
      <w:proofErr w:type="gramStart"/>
      <w:r w:rsidRPr="005202DF">
        <w:rPr>
          <w:rFonts w:ascii="Times New Roman" w:hAnsi="Times New Roman"/>
          <w:sz w:val="24"/>
          <w:szCs w:val="24"/>
        </w:rPr>
        <w:t>Further</w:t>
      </w:r>
      <w:proofErr w:type="gramEnd"/>
      <w:r w:rsidRPr="005202DF">
        <w:rPr>
          <w:rFonts w:ascii="Times New Roman" w:hAnsi="Times New Roman"/>
          <w:sz w:val="24"/>
          <w:szCs w:val="24"/>
        </w:rPr>
        <w:t xml:space="preserve"> concluding that an employee has a conditional privilege to provide information concerning another employee upon the request of a supervisor and that the plaintiff failed to raise a genuine issue of material fact that would allow a jury to find that this privilege was abused regarding the other statements, we affirm</w:t>
      </w:r>
      <w:r>
        <w:rPr>
          <w:rFonts w:ascii="Times New Roman" w:hAnsi="Times New Roman"/>
          <w:sz w:val="24"/>
          <w:szCs w:val="24"/>
        </w:rPr>
        <w:t xml:space="preserve">.” </w:t>
      </w:r>
      <w:hyperlink r:id="rId1214" w:history="1">
        <w:r w:rsidRPr="007F3E99">
          <w:rPr>
            <w:rStyle w:val="Hyperlink"/>
            <w:rFonts w:ascii="Times New Roman" w:hAnsi="Times New Roman"/>
            <w:sz w:val="24"/>
            <w:szCs w:val="24"/>
          </w:rPr>
          <w:t>https://www.massmunilaw.org/wp-content/uploads/2020/12/DIANE-LAWLESS-v.-CHERYL-ESTRELLA.pdf</w:t>
        </w:r>
      </w:hyperlink>
      <w:r>
        <w:rPr>
          <w:rFonts w:ascii="Times New Roman" w:hAnsi="Times New Roman"/>
          <w:sz w:val="24"/>
          <w:szCs w:val="24"/>
        </w:rPr>
        <w:t xml:space="preserve"> </w:t>
      </w:r>
    </w:p>
    <w:p w14:paraId="1273528A" w14:textId="77777777" w:rsidR="00737B49" w:rsidRDefault="00737B49" w:rsidP="00737B49">
      <w:pPr>
        <w:spacing w:before="100" w:beforeAutospacing="1" w:after="100" w:afterAutospacing="1" w:line="240" w:lineRule="auto"/>
        <w:rPr>
          <w:rFonts w:ascii="Times New Roman" w:hAnsi="Times New Roman"/>
          <w:b/>
          <w:bCs/>
          <w:sz w:val="24"/>
          <w:szCs w:val="24"/>
        </w:rPr>
      </w:pPr>
      <w:r w:rsidRPr="005202DF">
        <w:rPr>
          <w:rFonts w:ascii="Times New Roman" w:hAnsi="Times New Roman"/>
          <w:b/>
          <w:bCs/>
          <w:sz w:val="24"/>
          <w:szCs w:val="24"/>
        </w:rPr>
        <w:t>Legal Lesson Learned:</w:t>
      </w:r>
      <w:r>
        <w:rPr>
          <w:rFonts w:ascii="Times New Roman" w:hAnsi="Times New Roman"/>
          <w:b/>
          <w:bCs/>
          <w:sz w:val="24"/>
          <w:szCs w:val="24"/>
        </w:rPr>
        <w:t xml:space="preserve"> Internal investigations of a public official will often involve co-workers providing statements.  The “conditional privilege” is an important protection of these co-workers.</w:t>
      </w:r>
    </w:p>
    <w:p w14:paraId="6D3234E6" w14:textId="77777777" w:rsidR="00737B49" w:rsidRPr="005D50F1" w:rsidRDefault="00737B49" w:rsidP="00737B49">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The Court of Appeals referenced a Fire Department case where a co-worker also enjoyed protection from defamation lawsuit under the “conditional privilege.”  Kevin Barrows v. Wareham Fire District (Mass Court of Appeals; Oct. 12, 2012). </w:t>
      </w:r>
      <w:hyperlink r:id="rId1215" w:history="1">
        <w:r w:rsidRPr="007F3E99">
          <w:rPr>
            <w:rStyle w:val="Hyperlink"/>
          </w:rPr>
          <w:t>http://masscases.com/cases/app/82/82massappct623.html</w:t>
        </w:r>
      </w:hyperlink>
      <w:r>
        <w:t xml:space="preserve"> </w:t>
      </w:r>
    </w:p>
    <w:p w14:paraId="4946449C" w14:textId="77777777" w:rsidR="005E132A" w:rsidRDefault="005E132A" w:rsidP="00EF1133">
      <w:pPr>
        <w:rPr>
          <w:rFonts w:ascii="Arial Black" w:hAnsi="Arial Black"/>
          <w:b/>
          <w:sz w:val="24"/>
          <w:szCs w:val="24"/>
        </w:rPr>
      </w:pPr>
    </w:p>
    <w:p w14:paraId="2FEF57CE" w14:textId="77777777" w:rsidR="00737B49" w:rsidRDefault="00737B49" w:rsidP="00EF1133">
      <w:pPr>
        <w:rPr>
          <w:rFonts w:ascii="Arial Black" w:hAnsi="Arial Black"/>
          <w:b/>
          <w:sz w:val="24"/>
          <w:szCs w:val="24"/>
        </w:rPr>
      </w:pPr>
    </w:p>
    <w:p w14:paraId="259B3C9D" w14:textId="7679324B" w:rsidR="005E132A" w:rsidRDefault="005E132A"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7</w:t>
      </w:r>
    </w:p>
    <w:p w14:paraId="61010149" w14:textId="77777777" w:rsidR="00737B49" w:rsidRDefault="00737B49" w:rsidP="00737B49">
      <w:pPr>
        <w:pStyle w:val="NoSpacing"/>
        <w:rPr>
          <w:rFonts w:ascii="Arial Black" w:eastAsiaTheme="minorHAnsi" w:hAnsi="Arial Black" w:cstheme="minorBidi"/>
          <w:sz w:val="28"/>
          <w:szCs w:val="28"/>
        </w:rPr>
      </w:pPr>
      <w:r>
        <w:rPr>
          <w:rFonts w:ascii="Arial Black" w:hAnsi="Arial Black"/>
          <w:sz w:val="28"/>
          <w:szCs w:val="28"/>
        </w:rPr>
        <w:t>WV: EMT INJURED SHOULDER - FIRED 16 MO. LATER FOR FALSIFICATION DOC. – JURY DECIDED NO RETALIATION</w:t>
      </w:r>
    </w:p>
    <w:p w14:paraId="7E9B45ED" w14:textId="77777777" w:rsidR="00737B49" w:rsidRDefault="00737B49" w:rsidP="00737B49">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Dec. 7, 2020, in </w:t>
      </w:r>
      <w:r>
        <w:rPr>
          <w:rFonts w:ascii="Times New Roman" w:eastAsia="Times New Roman" w:hAnsi="Times New Roman"/>
          <w:sz w:val="24"/>
          <w:szCs w:val="24"/>
          <w:u w:val="single"/>
        </w:rPr>
        <w:t>Terri Smith v. Kanawha County Emergency Ambulance Authority</w:t>
      </w:r>
      <w:r>
        <w:rPr>
          <w:rFonts w:ascii="Times New Roman" w:eastAsia="Times New Roman" w:hAnsi="Times New Roman"/>
          <w:sz w:val="24"/>
          <w:szCs w:val="24"/>
        </w:rPr>
        <w:t xml:space="preserve">, the State of West Virginia Supreme Court of Appeals, held (3 to 2) that after a four-day jury trial the jury held for the employer, and the Court of Appeals held there were no errors in the jury instructions.  The Court also held there was no need to schedule oral argument by counsel (2 Justices disagreed).  The Court did not describe the document that was allegedly falsified.  </w:t>
      </w:r>
    </w:p>
    <w:p w14:paraId="25D69155" w14:textId="77777777" w:rsidR="00737B49" w:rsidRDefault="00737B49" w:rsidP="00737B49">
      <w:pPr>
        <w:spacing w:before="100" w:beforeAutospacing="1" w:after="100" w:afterAutospacing="1" w:line="240" w:lineRule="auto"/>
        <w:ind w:left="720"/>
        <w:rPr>
          <w:rFonts w:ascii="Times New Roman" w:eastAsiaTheme="minorHAnsi" w:hAnsi="Times New Roman"/>
          <w:sz w:val="24"/>
          <w:szCs w:val="24"/>
        </w:rPr>
      </w:pPr>
      <w:r>
        <w:rPr>
          <w:rFonts w:ascii="Times New Roman" w:hAnsi="Times New Roman"/>
          <w:sz w:val="24"/>
          <w:szCs w:val="24"/>
        </w:rPr>
        <w:t>“There is no dispute that petitioner sustained an on-the-job injury or that she instituted proceedings under the Workers' Compensation Act. However, the jury was asked to determine whether the filing of that workers' compensation claim was a ‘significant factor in the employer's decision to discharge’ and found that it was not.</w:t>
      </w:r>
    </w:p>
    <w:p w14:paraId="339223A6" w14:textId="77777777" w:rsidR="00737B49" w:rsidRDefault="00737B49" w:rsidP="00737B49">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The jury had the opportunity to observe the witnesses during their testimony and examine </w:t>
      </w:r>
      <w:proofErr w:type="gramStart"/>
      <w:r>
        <w:rPr>
          <w:rFonts w:ascii="Times New Roman" w:hAnsi="Times New Roman"/>
          <w:sz w:val="24"/>
          <w:szCs w:val="24"/>
        </w:rPr>
        <w:t>all of</w:t>
      </w:r>
      <w:proofErr w:type="gramEnd"/>
      <w:r>
        <w:rPr>
          <w:rFonts w:ascii="Times New Roman" w:hAnsi="Times New Roman"/>
          <w:sz w:val="24"/>
          <w:szCs w:val="24"/>
        </w:rPr>
        <w:t xml:space="preserve"> the evidence presented. The jury's finding that petitioner's filing of a workers' compensation claim was not a significant factor in her termination satisfies this Court's previously established standard, as petitioner was required to show that it was a significant factor </w:t>
      </w:r>
      <w:proofErr w:type="gramStart"/>
      <w:r>
        <w:rPr>
          <w:rFonts w:ascii="Times New Roman" w:hAnsi="Times New Roman"/>
          <w:sz w:val="24"/>
          <w:szCs w:val="24"/>
        </w:rPr>
        <w:t>in order to</w:t>
      </w:r>
      <w:proofErr w:type="gramEnd"/>
      <w:r>
        <w:rPr>
          <w:rFonts w:ascii="Times New Roman" w:hAnsi="Times New Roman"/>
          <w:sz w:val="24"/>
          <w:szCs w:val="24"/>
        </w:rPr>
        <w:t xml:space="preserve"> establish a prima facie case of discrimination. Syl. Pt. 1, </w:t>
      </w:r>
      <w:r>
        <w:rPr>
          <w:rFonts w:ascii="Times New Roman" w:hAnsi="Times New Roman"/>
          <w:i/>
          <w:iCs/>
          <w:sz w:val="24"/>
          <w:szCs w:val="24"/>
        </w:rPr>
        <w:t>Powell</w:t>
      </w:r>
      <w:r>
        <w:rPr>
          <w:rFonts w:ascii="Times New Roman" w:hAnsi="Times New Roman"/>
          <w:sz w:val="24"/>
          <w:szCs w:val="24"/>
        </w:rPr>
        <w:t xml:space="preserve">, 184 W.Va. at 701, 403 S.E.2d at 718. Therefore, we will not overturn the jury's verdict in favor of respondent on this </w:t>
      </w:r>
      <w:proofErr w:type="gramStart"/>
      <w:r>
        <w:rPr>
          <w:rFonts w:ascii="Times New Roman" w:hAnsi="Times New Roman"/>
          <w:sz w:val="24"/>
          <w:szCs w:val="24"/>
        </w:rPr>
        <w:t>ground.”</w:t>
      </w:r>
      <w:proofErr w:type="gramEnd"/>
      <w:r>
        <w:rPr>
          <w:rFonts w:ascii="Times New Roman" w:hAnsi="Times New Roman"/>
          <w:sz w:val="24"/>
          <w:szCs w:val="24"/>
        </w:rPr>
        <w:t xml:space="preserve"> </w:t>
      </w:r>
      <w:hyperlink r:id="rId1216" w:history="1">
        <w:r>
          <w:rPr>
            <w:rStyle w:val="Hyperlink"/>
          </w:rPr>
          <w:t>https://www.courtlistener.com/opinion/4836452/terri-smith-v-kanawha-county-emergency-ambulance-authority/</w:t>
        </w:r>
      </w:hyperlink>
      <w:r>
        <w:rPr>
          <w:rFonts w:ascii="Times New Roman" w:hAnsi="Times New Roman"/>
          <w:sz w:val="24"/>
          <w:szCs w:val="24"/>
        </w:rPr>
        <w:t xml:space="preserve">? </w:t>
      </w:r>
    </w:p>
    <w:p w14:paraId="5D7D330A" w14:textId="77777777" w:rsidR="00737B49" w:rsidRDefault="00737B49" w:rsidP="00737B49">
      <w:pPr>
        <w:pStyle w:val="NormalWeb"/>
        <w:rPr>
          <w:b/>
          <w:bCs/>
        </w:rPr>
      </w:pPr>
      <w:r>
        <w:rPr>
          <w:b/>
          <w:bCs/>
        </w:rPr>
        <w:t xml:space="preserve">Legal Lesson Learned: Under West Virginia statute, the employee must prove that the workers’ compensation claim was a “significant factor in the employer’s decision to discharge” the employee.  </w:t>
      </w:r>
    </w:p>
    <w:p w14:paraId="35F4EBBA" w14:textId="271BF514" w:rsidR="00737B49" w:rsidRDefault="00737B49" w:rsidP="00737B49">
      <w:pPr>
        <w:ind w:left="720"/>
        <w:rPr>
          <w:rFonts w:ascii="Arial Black" w:hAnsi="Arial Black"/>
          <w:b/>
          <w:sz w:val="24"/>
          <w:szCs w:val="24"/>
        </w:rPr>
      </w:pPr>
      <w:r>
        <w:rPr>
          <w:rFonts w:ascii="Times New Roman" w:hAnsi="Times New Roman"/>
          <w:sz w:val="24"/>
          <w:szCs w:val="24"/>
        </w:rPr>
        <w:t xml:space="preserve">Note: See Jan. 25, </w:t>
      </w:r>
      <w:proofErr w:type="gramStart"/>
      <w:r>
        <w:rPr>
          <w:rFonts w:ascii="Times New Roman" w:hAnsi="Times New Roman"/>
          <w:sz w:val="24"/>
          <w:szCs w:val="24"/>
        </w:rPr>
        <w:t>2017</w:t>
      </w:r>
      <w:proofErr w:type="gramEnd"/>
      <w:r>
        <w:rPr>
          <w:rFonts w:ascii="Times New Roman" w:hAnsi="Times New Roman"/>
          <w:sz w:val="24"/>
          <w:szCs w:val="24"/>
        </w:rPr>
        <w:t xml:space="preserve"> article: “Ambulance service worker blames multiple defendants for injuries.”  *** “According to the complaint, on Dec. 31, 2014, </w:t>
      </w:r>
      <w:proofErr w:type="gramStart"/>
      <w:r>
        <w:rPr>
          <w:rFonts w:ascii="Times New Roman" w:hAnsi="Times New Roman"/>
          <w:sz w:val="24"/>
          <w:szCs w:val="24"/>
        </w:rPr>
        <w:t>as a result of</w:t>
      </w:r>
      <w:proofErr w:type="gramEnd"/>
      <w:r>
        <w:rPr>
          <w:rFonts w:ascii="Times New Roman" w:hAnsi="Times New Roman"/>
          <w:sz w:val="24"/>
          <w:szCs w:val="24"/>
        </w:rPr>
        <w:t xml:space="preserve"> the defendants' negligence, Smith was seriously injured while lifting an obese patient she was required to transport from the Charleston Area Medical Center. The plaintiff alleges the defendants failed to provide sufficient staff and other resources to safely lift the obese patient.” </w:t>
      </w:r>
      <w:hyperlink r:id="rId1217" w:history="1">
        <w:r>
          <w:rPr>
            <w:rStyle w:val="Hyperlink"/>
          </w:rPr>
          <w:t>https://wvrecord.com/stories/511075521-ambulance-service-worker-blames-multiple-defendants-for-injuries</w:t>
        </w:r>
      </w:hyperlink>
    </w:p>
    <w:p w14:paraId="61538E8B" w14:textId="77777777" w:rsidR="005E132A" w:rsidRDefault="005E132A" w:rsidP="00EF1133">
      <w:pPr>
        <w:rPr>
          <w:rFonts w:ascii="Arial Black" w:hAnsi="Arial Black"/>
          <w:b/>
          <w:sz w:val="24"/>
          <w:szCs w:val="24"/>
        </w:rPr>
      </w:pPr>
    </w:p>
    <w:p w14:paraId="1E960E05" w14:textId="3C9006D4" w:rsidR="009E093C" w:rsidRDefault="009E093C"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6</w:t>
      </w:r>
    </w:p>
    <w:p w14:paraId="61C2B7D2" w14:textId="77777777" w:rsidR="009E093C" w:rsidRPr="00E24ECF" w:rsidRDefault="009E093C" w:rsidP="009E093C">
      <w:pPr>
        <w:pStyle w:val="NoSpacing"/>
        <w:rPr>
          <w:rFonts w:ascii="Arial Black" w:hAnsi="Arial Black"/>
          <w:sz w:val="28"/>
          <w:szCs w:val="28"/>
        </w:rPr>
      </w:pPr>
      <w:r>
        <w:rPr>
          <w:rFonts w:ascii="Arial Black" w:hAnsi="Arial Black"/>
          <w:sz w:val="28"/>
          <w:szCs w:val="28"/>
        </w:rPr>
        <w:t>MO: MANDATORY AGE 65 RETIREMENT – CITY POLICE DEPT - LAWFUL UNDER FEDERAL ADEA FOR POLICE / FIRE</w:t>
      </w:r>
    </w:p>
    <w:p w14:paraId="0612D3BA" w14:textId="77777777" w:rsidR="009E093C" w:rsidRDefault="009E093C" w:rsidP="009E093C">
      <w:pPr>
        <w:pStyle w:val="NormalWeb"/>
      </w:pPr>
      <w:r>
        <w:t xml:space="preserve">On Nov. 16, 2020, in </w:t>
      </w:r>
      <w:r w:rsidRPr="003C0A09">
        <w:rPr>
          <w:u w:val="single"/>
        </w:rPr>
        <w:t>Michael Caruso v. St. Louis, Missouri</w:t>
      </w:r>
      <w:r>
        <w:t xml:space="preserve">, U.S. Magistrate Judge Shirley P. Mensah, U.S. District Court, Eastern District of Missouri (Eastern Division), granted the City’s motion to dismiss; the City has a mandatory age 65 for its police officers, and while occasionally they will grant a one-year extension, there is no requirement to do so.  This is authorized under the federal ADEA, Age Discrimination in Employment Act amendments in 1986; see also EEOC guidance: </w:t>
      </w:r>
      <w:hyperlink r:id="rId1218" w:history="1">
        <w:r w:rsidRPr="00D74D0C">
          <w:rPr>
            <w:rStyle w:val="Hyperlink"/>
          </w:rPr>
          <w:t>https://www.eeoc.gov/statutes/age-discrimination-employment-act-1967</w:t>
        </w:r>
      </w:hyperlink>
      <w:r>
        <w:t xml:space="preserve">  </w:t>
      </w:r>
    </w:p>
    <w:p w14:paraId="1B513148" w14:textId="77777777" w:rsidR="009E093C" w:rsidRPr="003C0A09" w:rsidRDefault="009E093C" w:rsidP="009E093C">
      <w:pPr>
        <w:pStyle w:val="NormalWeb"/>
        <w:ind w:left="720"/>
      </w:pPr>
      <w:r>
        <w:t xml:space="preserve">“Defendant concedes Plaintiff was terminated because of his age but argues Plaintiff's discharge fell within an exemption in the ADEA that allows state and local governments to set a mandatory retirement age for police officers provided certain requirements are met. Specifically, under 29 U.S.C.§ 623(j), state and local governments are allowed to set mandatory retirement ages for firefighters and law enforcement officers if the following two requirements are met: First, the discharge must have been pursuant to a state or local law requiring mandatory retirement by a certain age; and, second, the discharge must be pursuant to a bona fide retirement plan that is not a subterfuge for impermissible age discrimination. 29 U.S.C. § 623(j)(1)-(2). </w:t>
      </w:r>
      <w:r w:rsidRPr="00E24ECF">
        <w:t xml:space="preserve"> To satisfy the first</w:t>
      </w:r>
      <w:r>
        <w:t xml:space="preserve"> </w:t>
      </w:r>
      <w:r w:rsidRPr="00E24ECF">
        <w:t xml:space="preserve">requirement, the mandatory retirement law must </w:t>
      </w:r>
      <w:r w:rsidRPr="00E24ECF">
        <w:rPr>
          <w:i/>
          <w:iCs/>
        </w:rPr>
        <w:t>either</w:t>
      </w:r>
      <w:r w:rsidRPr="00E24ECF">
        <w:t xml:space="preserve"> have been in effect on March 3, </w:t>
      </w:r>
      <w:proofErr w:type="gramStart"/>
      <w:r w:rsidRPr="00E24ECF">
        <w:t>1983</w:t>
      </w:r>
      <w:proofErr w:type="gramEnd"/>
      <w:r w:rsidRPr="00E24ECF">
        <w:t xml:space="preserve"> </w:t>
      </w:r>
      <w:r w:rsidRPr="00E24ECF">
        <w:rPr>
          <w:i/>
          <w:iCs/>
        </w:rPr>
        <w:t>or</w:t>
      </w:r>
      <w:r w:rsidRPr="00E24ECF">
        <w:t xml:space="preserve"> must have been enacted after September 30, 1996; and, if the latter, the discharge must occur no earlier than age fifty-five. </w:t>
      </w:r>
      <w:r w:rsidRPr="00E24ECF">
        <w:rPr>
          <w:i/>
          <w:iCs/>
        </w:rPr>
        <w:t>See Correa-Ruiz v</w:t>
      </w:r>
      <w:r w:rsidRPr="00E24ECF">
        <w:t xml:space="preserve">. </w:t>
      </w:r>
      <w:r w:rsidRPr="00E24ECF">
        <w:rPr>
          <w:i/>
          <w:iCs/>
        </w:rPr>
        <w:t>Fortuno</w:t>
      </w:r>
      <w:r w:rsidRPr="00E24ECF">
        <w:t>, 572 F.3d 1, 9 (1st Cir. 2009) (construing 29 U.S.C.</w:t>
      </w:r>
      <w:r>
        <w:t xml:space="preserve"> </w:t>
      </w:r>
      <w:r w:rsidRPr="00E24ECF">
        <w:t xml:space="preserve">§623(j)(1)(A) and (B)(ii) to mean the discharge must have been </w:t>
      </w:r>
      <w:r>
        <w:t>‘</w:t>
      </w:r>
      <w:r w:rsidRPr="00E24ECF">
        <w:t xml:space="preserve">pursuant to a mandatory retirement plan that </w:t>
      </w:r>
      <w:r w:rsidRPr="00E24ECF">
        <w:rPr>
          <w:i/>
          <w:iCs/>
        </w:rPr>
        <w:t>either</w:t>
      </w:r>
      <w:r w:rsidRPr="00E24ECF">
        <w:t xml:space="preserve"> was in effect on March 3, 1983 </w:t>
      </w:r>
      <w:r w:rsidRPr="00E24ECF">
        <w:rPr>
          <w:i/>
          <w:iCs/>
        </w:rPr>
        <w:t>or</w:t>
      </w:r>
      <w:r w:rsidRPr="00E24ECF">
        <w:t xml:space="preserve"> was enacted after September 30, 1996. The only-age related limitation on the latter option is that the discharge occurs no earlier than age fifty-five.</w:t>
      </w:r>
      <w:r>
        <w:t>’</w:t>
      </w:r>
      <w:r w:rsidRPr="00E24ECF">
        <w:t>).</w:t>
      </w:r>
      <w:r>
        <w:t xml:space="preserve"> </w:t>
      </w:r>
      <w:hyperlink r:id="rId1219" w:history="1">
        <w:r w:rsidRPr="003C0A09">
          <w:rPr>
            <w:rStyle w:val="Hyperlink"/>
          </w:rPr>
          <w:t>https://public.fastcase.com/Wl%2B2t%2BeVuI35%2FN70vAMFZjoMXHbjadZDEq7kSjk%2BwtWPLJ9YZycRPzxEYilorv6v</w:t>
        </w:r>
      </w:hyperlink>
      <w:r w:rsidRPr="003C0A09">
        <w:t xml:space="preserve"> </w:t>
      </w:r>
    </w:p>
    <w:p w14:paraId="22DBC5E7" w14:textId="77777777" w:rsidR="009E093C" w:rsidRDefault="009E093C" w:rsidP="009E093C">
      <w:pPr>
        <w:spacing w:before="100" w:beforeAutospacing="1" w:after="100" w:afterAutospacing="1" w:line="240" w:lineRule="auto"/>
        <w:rPr>
          <w:rFonts w:ascii="Times New Roman" w:eastAsia="Times New Roman" w:hAnsi="Times New Roman"/>
          <w:b/>
          <w:bCs/>
          <w:sz w:val="24"/>
          <w:szCs w:val="24"/>
        </w:rPr>
      </w:pPr>
      <w:r w:rsidRPr="00D53EBE">
        <w:rPr>
          <w:rFonts w:ascii="Times New Roman" w:hAnsi="Times New Roman"/>
          <w:b/>
          <w:bCs/>
          <w:sz w:val="24"/>
          <w:szCs w:val="24"/>
        </w:rPr>
        <w:t>Legal Lesson Learned:</w:t>
      </w:r>
      <w:r w:rsidRPr="00D53EBE">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Federal ADEA statute, amended 1986, authorizes mandatory retirement ages for police and fire. </w:t>
      </w:r>
    </w:p>
    <w:p w14:paraId="6443F067" w14:textId="77777777" w:rsidR="009E093C" w:rsidRPr="003C0A09" w:rsidRDefault="009E093C" w:rsidP="009E093C">
      <w:pPr>
        <w:spacing w:before="100" w:beforeAutospacing="1" w:after="100" w:afterAutospacing="1" w:line="240" w:lineRule="auto"/>
        <w:ind w:left="1440"/>
        <w:rPr>
          <w:rFonts w:ascii="Times New Roman" w:eastAsia="Times New Roman" w:hAnsi="Times New Roman"/>
          <w:sz w:val="24"/>
          <w:szCs w:val="24"/>
        </w:rPr>
      </w:pPr>
      <w:r w:rsidRPr="00D53EBE">
        <w:rPr>
          <w:rFonts w:ascii="Times New Roman" w:eastAsia="Times New Roman" w:hAnsi="Times New Roman"/>
          <w:sz w:val="24"/>
          <w:szCs w:val="24"/>
        </w:rPr>
        <w:t>Note: See Congressional testimony</w:t>
      </w:r>
      <w:r>
        <w:rPr>
          <w:rFonts w:ascii="Times New Roman" w:eastAsia="Times New Roman" w:hAnsi="Times New Roman"/>
          <w:sz w:val="24"/>
          <w:szCs w:val="24"/>
        </w:rPr>
        <w:t>, March 12,</w:t>
      </w:r>
      <w:r w:rsidRPr="00D53EBE">
        <w:rPr>
          <w:rFonts w:ascii="Times New Roman" w:eastAsia="Times New Roman" w:hAnsi="Times New Roman"/>
          <w:sz w:val="24"/>
          <w:szCs w:val="24"/>
        </w:rPr>
        <w:t xml:space="preserve"> 1986</w:t>
      </w:r>
      <w:r>
        <w:rPr>
          <w:rFonts w:ascii="Times New Roman" w:eastAsia="Times New Roman" w:hAnsi="Times New Roman"/>
          <w:sz w:val="24"/>
          <w:szCs w:val="24"/>
        </w:rPr>
        <w:t>, on the proposed exemptions to the ADEA for police and fire.  “</w:t>
      </w:r>
      <w:r w:rsidRPr="00D53EBE">
        <w:rPr>
          <w:rFonts w:ascii="Times New Roman" w:hAnsi="Times New Roman"/>
          <w:sz w:val="24"/>
          <w:szCs w:val="24"/>
        </w:rPr>
        <w:t xml:space="preserve">Air traffic controllers, for instance, must retire at age 56, foreign service officers at age 65, and Federal firefighters and law enforcement officers, including employees of the FBI, Secret Service, and Federal Prison System, must retire at the age of 55. </w:t>
      </w:r>
      <w:hyperlink r:id="rId1220" w:history="1">
        <w:r w:rsidRPr="002F20C3">
          <w:rPr>
            <w:rStyle w:val="Hyperlink"/>
            <w:rFonts w:ascii="Times New Roman" w:hAnsi="Times New Roman"/>
            <w:sz w:val="24"/>
            <w:szCs w:val="24"/>
          </w:rPr>
          <w:t>https://www.ncjrs.gov/pdffiles1/Digitization/103277NCJRS.pdf</w:t>
        </w:r>
      </w:hyperlink>
      <w:r>
        <w:rPr>
          <w:rFonts w:ascii="Times New Roman" w:hAnsi="Times New Roman"/>
          <w:sz w:val="24"/>
          <w:szCs w:val="24"/>
        </w:rPr>
        <w:t xml:space="preserve"> </w:t>
      </w:r>
    </w:p>
    <w:p w14:paraId="2BCB2F69" w14:textId="77777777" w:rsidR="009E093C" w:rsidRDefault="009E093C" w:rsidP="00EF1133">
      <w:pPr>
        <w:rPr>
          <w:rFonts w:ascii="Arial Black" w:hAnsi="Arial Black"/>
          <w:b/>
          <w:sz w:val="24"/>
          <w:szCs w:val="24"/>
        </w:rPr>
      </w:pPr>
    </w:p>
    <w:p w14:paraId="2D648636" w14:textId="77777777" w:rsidR="009E093C" w:rsidRDefault="009E093C" w:rsidP="00EF1133">
      <w:pPr>
        <w:rPr>
          <w:rFonts w:ascii="Arial Black" w:hAnsi="Arial Black"/>
          <w:b/>
          <w:sz w:val="24"/>
          <w:szCs w:val="24"/>
        </w:rPr>
      </w:pPr>
    </w:p>
    <w:p w14:paraId="61699EB5" w14:textId="3CFB7D1A" w:rsidR="009E093C" w:rsidRDefault="009E093C"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5</w:t>
      </w:r>
    </w:p>
    <w:p w14:paraId="7445A0E6" w14:textId="77777777" w:rsidR="009E093C" w:rsidRPr="00DF42AC" w:rsidRDefault="009E093C" w:rsidP="009E093C">
      <w:pPr>
        <w:pStyle w:val="NoSpacing"/>
        <w:rPr>
          <w:rFonts w:ascii="Arial Black" w:hAnsi="Arial Black"/>
          <w:sz w:val="28"/>
          <w:szCs w:val="28"/>
        </w:rPr>
      </w:pPr>
      <w:r>
        <w:rPr>
          <w:rFonts w:ascii="Arial Black" w:hAnsi="Arial Black"/>
          <w:sz w:val="28"/>
          <w:szCs w:val="28"/>
        </w:rPr>
        <w:t xml:space="preserve">NJ: PENSION SURVIVOR BENEFITS – ONLY IF FEMALE WAS MARRIED TO MALE FF OR “SAME SEX DOMESTIC PARTNER” </w:t>
      </w:r>
    </w:p>
    <w:p w14:paraId="2E3A87CC" w14:textId="77777777" w:rsidR="009E093C" w:rsidRDefault="009E093C" w:rsidP="009E093C">
      <w:pPr>
        <w:pStyle w:val="NoSpacing"/>
      </w:pPr>
    </w:p>
    <w:p w14:paraId="16787AD9" w14:textId="77777777" w:rsidR="009E093C" w:rsidRDefault="009E093C" w:rsidP="009E093C">
      <w:pPr>
        <w:rPr>
          <w:rFonts w:ascii="Times New Roman" w:hAnsi="Times New Roman"/>
          <w:sz w:val="24"/>
          <w:szCs w:val="24"/>
        </w:rPr>
      </w:pPr>
      <w:r w:rsidRPr="00D60D8C">
        <w:rPr>
          <w:rFonts w:ascii="Times New Roman" w:hAnsi="Times New Roman"/>
          <w:sz w:val="24"/>
          <w:szCs w:val="24"/>
        </w:rPr>
        <w:t xml:space="preserve">On Nov. 5, 2020, </w:t>
      </w:r>
      <w:r>
        <w:rPr>
          <w:rFonts w:ascii="Times New Roman" w:hAnsi="Times New Roman"/>
          <w:sz w:val="24"/>
          <w:szCs w:val="24"/>
        </w:rPr>
        <w:t xml:space="preserve">in </w:t>
      </w:r>
      <w:r w:rsidRPr="00D60D8C">
        <w:rPr>
          <w:rFonts w:ascii="Times New Roman" w:hAnsi="Times New Roman"/>
          <w:sz w:val="24"/>
          <w:szCs w:val="24"/>
          <w:u w:val="single"/>
        </w:rPr>
        <w:t>The Matter Of Board Of Trustees Of The Police And Firemen’s Retirement System Of New Jersey – Denial Of Dolores Ortega’s Right To Receive Survivor Benefits</w:t>
      </w:r>
      <w:r>
        <w:rPr>
          <w:rFonts w:ascii="Times New Roman" w:hAnsi="Times New Roman"/>
          <w:sz w:val="24"/>
          <w:szCs w:val="24"/>
        </w:rPr>
        <w:t xml:space="preserve">, the Superior Court of New Jersey Appellate Division, held (3 to 0; unpublished decision) that Ms. Ortega did not qualify for survivor benefits because she was not the member’s widow. </w:t>
      </w:r>
    </w:p>
    <w:p w14:paraId="270D933A" w14:textId="77777777" w:rsidR="009E093C" w:rsidRDefault="009E093C" w:rsidP="009E093C">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CB3AF5">
        <w:rPr>
          <w:rFonts w:ascii="Times New Roman" w:hAnsi="Times New Roman"/>
          <w:sz w:val="24"/>
          <w:szCs w:val="24"/>
        </w:rPr>
        <w:t xml:space="preserve">Contrary to appellant's contention, the statutory and regulatory scheme did not discriminate against her </w:t>
      </w:r>
      <w:proofErr w:type="gramStart"/>
      <w:r w:rsidRPr="00CB3AF5">
        <w:rPr>
          <w:rFonts w:ascii="Times New Roman" w:hAnsi="Times New Roman"/>
          <w:sz w:val="24"/>
          <w:szCs w:val="24"/>
        </w:rPr>
        <w:t>on the basis of</w:t>
      </w:r>
      <w:proofErr w:type="gramEnd"/>
      <w:r w:rsidRPr="00CB3AF5">
        <w:rPr>
          <w:rFonts w:ascii="Times New Roman" w:hAnsi="Times New Roman"/>
          <w:sz w:val="24"/>
          <w:szCs w:val="24"/>
        </w:rPr>
        <w:t xml:space="preserve"> her gender. Because she and Koncsol were of opposite sexes, they were free to marry, which would have enabled her to qualify for the </w:t>
      </w:r>
      <w:proofErr w:type="gramStart"/>
      <w:r w:rsidRPr="00CB3AF5">
        <w:rPr>
          <w:rFonts w:ascii="Times New Roman" w:hAnsi="Times New Roman"/>
          <w:sz w:val="24"/>
          <w:szCs w:val="24"/>
        </w:rPr>
        <w:t>survivor</w:t>
      </w:r>
      <w:proofErr w:type="gramEnd"/>
      <w:r w:rsidRPr="00CB3AF5">
        <w:rPr>
          <w:rFonts w:ascii="Times New Roman" w:hAnsi="Times New Roman"/>
          <w:sz w:val="24"/>
          <w:szCs w:val="24"/>
        </w:rPr>
        <w:t xml:space="preserve"> benefit. On the other hand, same-sex couples could not marry when the Act went into effect and, therefore, the Legislature wanted to provide a mechanism limited to them in the Act to ensure that these individuals would have the same right to this benefit as an opposite-sex couple. Thus, there was </w:t>
      </w:r>
      <w:r>
        <w:rPr>
          <w:rFonts w:ascii="Times New Roman" w:hAnsi="Times New Roman"/>
          <w:sz w:val="24"/>
          <w:szCs w:val="24"/>
        </w:rPr>
        <w:t>‘</w:t>
      </w:r>
      <w:r w:rsidRPr="00CB3AF5">
        <w:rPr>
          <w:rFonts w:ascii="Times New Roman" w:hAnsi="Times New Roman"/>
          <w:sz w:val="24"/>
          <w:szCs w:val="24"/>
        </w:rPr>
        <w:t xml:space="preserve">a clear and rational </w:t>
      </w:r>
      <w:proofErr w:type="spellStart"/>
      <w:r w:rsidRPr="00CB3AF5">
        <w:rPr>
          <w:rFonts w:ascii="Times New Roman" w:hAnsi="Times New Roman"/>
          <w:sz w:val="24"/>
          <w:szCs w:val="24"/>
        </w:rPr>
        <w:t>basis</w:t>
      </w:r>
      <w:r>
        <w:rPr>
          <w:rFonts w:ascii="Times New Roman" w:hAnsi="Times New Roman"/>
          <w:sz w:val="24"/>
          <w:szCs w:val="24"/>
        </w:rPr>
        <w:t>’</w:t>
      </w:r>
      <w:proofErr w:type="spellEnd"/>
      <w:r w:rsidRPr="00CB3AF5">
        <w:rPr>
          <w:rFonts w:ascii="Times New Roman" w:hAnsi="Times New Roman"/>
          <w:sz w:val="24"/>
          <w:szCs w:val="24"/>
        </w:rPr>
        <w:t xml:space="preserve"> underlying the Legislature's decision to </w:t>
      </w:r>
      <w:r>
        <w:rPr>
          <w:rFonts w:ascii="Times New Roman" w:hAnsi="Times New Roman"/>
          <w:sz w:val="24"/>
          <w:szCs w:val="24"/>
        </w:rPr>
        <w:t>‘</w:t>
      </w:r>
      <w:proofErr w:type="spellStart"/>
      <w:r w:rsidRPr="00CB3AF5">
        <w:rPr>
          <w:rFonts w:ascii="Times New Roman" w:hAnsi="Times New Roman"/>
          <w:sz w:val="24"/>
          <w:szCs w:val="24"/>
        </w:rPr>
        <w:t>mak</w:t>
      </w:r>
      <w:proofErr w:type="spellEnd"/>
      <w:r w:rsidRPr="00CB3AF5">
        <w:rPr>
          <w:rFonts w:ascii="Times New Roman" w:hAnsi="Times New Roman"/>
          <w:sz w:val="24"/>
          <w:szCs w:val="24"/>
        </w:rPr>
        <w:t>[e] certain health and pension benefits available to dependent domestic partners only in the case of domestic partnerships in which both persons are of the same sex . . . .</w:t>
      </w:r>
      <w:r>
        <w:rPr>
          <w:rFonts w:ascii="Times New Roman" w:hAnsi="Times New Roman"/>
          <w:sz w:val="24"/>
          <w:szCs w:val="24"/>
        </w:rPr>
        <w:t>’</w:t>
      </w:r>
      <w:r w:rsidRPr="00CB3AF5">
        <w:rPr>
          <w:rFonts w:ascii="Times New Roman" w:hAnsi="Times New Roman"/>
          <w:sz w:val="24"/>
          <w:szCs w:val="24"/>
        </w:rPr>
        <w:t xml:space="preserve"> N.J.S.A. 26:8A-2(e).</w:t>
      </w:r>
      <w:r>
        <w:rPr>
          <w:rFonts w:ascii="Times New Roman" w:hAnsi="Times New Roman"/>
          <w:sz w:val="24"/>
          <w:szCs w:val="24"/>
        </w:rPr>
        <w:t xml:space="preserve">” </w:t>
      </w:r>
      <w:hyperlink r:id="rId1221" w:history="1">
        <w:r w:rsidRPr="00D35A04">
          <w:rPr>
            <w:rStyle w:val="Hyperlink"/>
            <w:rFonts w:ascii="Times New Roman" w:hAnsi="Times New Roman"/>
            <w:sz w:val="24"/>
            <w:szCs w:val="24"/>
          </w:rPr>
          <w:t>https://public.fastcase.com/Wl%2B2t%2BeVuI35%2FN70vAMFZvIVF%2BSpwi61gSoehD%2F89NWJSNvj394DBr50iS5GXrLH</w:t>
        </w:r>
      </w:hyperlink>
      <w:r>
        <w:rPr>
          <w:rFonts w:ascii="Times New Roman" w:hAnsi="Times New Roman"/>
          <w:sz w:val="24"/>
          <w:szCs w:val="24"/>
        </w:rPr>
        <w:t xml:space="preserve"> </w:t>
      </w:r>
    </w:p>
    <w:p w14:paraId="5D24A226" w14:textId="77777777" w:rsidR="009E093C" w:rsidRPr="00DF42AC" w:rsidRDefault="009E093C" w:rsidP="009E093C">
      <w:pPr>
        <w:spacing w:before="100" w:beforeAutospacing="1" w:after="100" w:afterAutospacing="1" w:line="240" w:lineRule="auto"/>
        <w:rPr>
          <w:rFonts w:ascii="Times New Roman" w:eastAsia="Times New Roman" w:hAnsi="Times New Roman"/>
          <w:b/>
          <w:bCs/>
          <w:sz w:val="24"/>
          <w:szCs w:val="24"/>
        </w:rPr>
      </w:pPr>
      <w:r w:rsidRPr="00CB3AF5">
        <w:rPr>
          <w:rFonts w:ascii="Times New Roman" w:hAnsi="Times New Roman"/>
          <w:b/>
          <w:bCs/>
          <w:sz w:val="24"/>
          <w:szCs w:val="24"/>
        </w:rPr>
        <w:t>Legal Lesson Learned:</w:t>
      </w:r>
      <w:r>
        <w:rPr>
          <w:rFonts w:ascii="Times New Roman" w:hAnsi="Times New Roman"/>
          <w:b/>
          <w:bCs/>
          <w:sz w:val="24"/>
          <w:szCs w:val="24"/>
        </w:rPr>
        <w:t xml:space="preserve">  It would have been helpful if the state retirement Board had promptly notified the </w:t>
      </w:r>
      <w:proofErr w:type="gramStart"/>
      <w:r>
        <w:rPr>
          <w:rFonts w:ascii="Times New Roman" w:hAnsi="Times New Roman"/>
          <w:b/>
          <w:bCs/>
          <w:sz w:val="24"/>
          <w:szCs w:val="24"/>
        </w:rPr>
        <w:t>firefighter,</w:t>
      </w:r>
      <w:proofErr w:type="gramEnd"/>
      <w:r>
        <w:rPr>
          <w:rFonts w:ascii="Times New Roman" w:hAnsi="Times New Roman"/>
          <w:b/>
          <w:bCs/>
          <w:sz w:val="24"/>
          <w:szCs w:val="24"/>
        </w:rPr>
        <w:t xml:space="preserve"> when he submitted his change of beneficiary, that he had to marry Dolores Ortega. </w:t>
      </w:r>
    </w:p>
    <w:p w14:paraId="3EED1EFF" w14:textId="77777777" w:rsidR="009E093C" w:rsidRDefault="009E093C" w:rsidP="00EF1133">
      <w:pPr>
        <w:rPr>
          <w:rFonts w:ascii="Arial Black" w:hAnsi="Arial Black"/>
          <w:b/>
          <w:sz w:val="24"/>
          <w:szCs w:val="24"/>
        </w:rPr>
      </w:pPr>
    </w:p>
    <w:p w14:paraId="67E054B3" w14:textId="77777777" w:rsidR="009E093C" w:rsidRDefault="009E093C" w:rsidP="00EF1133">
      <w:pPr>
        <w:rPr>
          <w:rFonts w:ascii="Arial Black" w:hAnsi="Arial Black"/>
          <w:b/>
          <w:sz w:val="24"/>
          <w:szCs w:val="24"/>
        </w:rPr>
      </w:pPr>
    </w:p>
    <w:p w14:paraId="7B22431A" w14:textId="77777777" w:rsidR="00B03268" w:rsidRDefault="00B03268" w:rsidP="00EF1133">
      <w:pPr>
        <w:rPr>
          <w:rFonts w:ascii="Arial Black" w:hAnsi="Arial Black"/>
          <w:b/>
          <w:sz w:val="24"/>
          <w:szCs w:val="24"/>
        </w:rPr>
      </w:pPr>
    </w:p>
    <w:p w14:paraId="56ABCC56" w14:textId="61240802" w:rsidR="009E093C" w:rsidRDefault="009E093C"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4</w:t>
      </w:r>
    </w:p>
    <w:p w14:paraId="0EA378CC" w14:textId="77777777" w:rsidR="009E093C" w:rsidRDefault="009E093C" w:rsidP="009E093C">
      <w:pPr>
        <w:pStyle w:val="NoSpacing"/>
        <w:rPr>
          <w:rFonts w:ascii="Arial Black" w:hAnsi="Arial Black"/>
          <w:sz w:val="28"/>
          <w:szCs w:val="28"/>
        </w:rPr>
      </w:pPr>
      <w:r>
        <w:rPr>
          <w:rFonts w:ascii="Arial Black" w:hAnsi="Arial Black"/>
          <w:sz w:val="28"/>
          <w:szCs w:val="28"/>
        </w:rPr>
        <w:t xml:space="preserve">DE:  WHISTLEBLOWER CASE DISMISSED – FIRE CHIEF CONVICTED, TO PRISON, BUT MONEY STOLEN NOT CITY FUNDS </w:t>
      </w:r>
    </w:p>
    <w:p w14:paraId="305DF530" w14:textId="77777777" w:rsidR="009E093C" w:rsidRDefault="009E093C" w:rsidP="009E093C">
      <w:pPr>
        <w:pStyle w:val="NoSpacing"/>
        <w:rPr>
          <w:rFonts w:ascii="Times New Roman" w:hAnsi="Times New Roman"/>
          <w:sz w:val="24"/>
          <w:szCs w:val="24"/>
        </w:rPr>
      </w:pPr>
    </w:p>
    <w:p w14:paraId="1F940C6E" w14:textId="77777777" w:rsidR="009E093C" w:rsidRPr="00BF6BAF" w:rsidRDefault="009E093C" w:rsidP="009E093C">
      <w:pPr>
        <w:pStyle w:val="NoSpacing"/>
        <w:rPr>
          <w:rFonts w:ascii="Times New Roman" w:hAnsi="Times New Roman"/>
          <w:sz w:val="24"/>
          <w:szCs w:val="24"/>
        </w:rPr>
      </w:pPr>
      <w:r w:rsidRPr="00BF6BAF">
        <w:rPr>
          <w:rFonts w:ascii="Times New Roman" w:hAnsi="Times New Roman"/>
          <w:sz w:val="24"/>
          <w:szCs w:val="24"/>
        </w:rPr>
        <w:t xml:space="preserve">On Oct. 29, 2020, in </w:t>
      </w:r>
      <w:r w:rsidRPr="00BF6BAF">
        <w:rPr>
          <w:rFonts w:ascii="Times New Roman" w:hAnsi="Times New Roman"/>
          <w:sz w:val="24"/>
          <w:szCs w:val="24"/>
          <w:u w:val="single"/>
        </w:rPr>
        <w:t>Thomas Hayman, Jr. v. City of Willington, et al</w:t>
      </w:r>
      <w:r w:rsidRPr="00BF6BAF">
        <w:rPr>
          <w:rFonts w:ascii="Times New Roman" w:hAnsi="Times New Roman"/>
          <w:sz w:val="24"/>
          <w:szCs w:val="24"/>
        </w:rPr>
        <w:t>., U.S. District Court Judge Vivian L. Medinilla granted the City’s motion to dismiss</w:t>
      </w:r>
      <w:r>
        <w:rPr>
          <w:rFonts w:ascii="Times New Roman" w:hAnsi="Times New Roman"/>
          <w:sz w:val="24"/>
          <w:szCs w:val="24"/>
        </w:rPr>
        <w:t xml:space="preserve"> federal Whistleblower lawsuit for his termination for alleged retaliation</w:t>
      </w:r>
      <w:r w:rsidRPr="00BF6BAF">
        <w:rPr>
          <w:rFonts w:ascii="Times New Roman" w:hAnsi="Times New Roman"/>
          <w:sz w:val="24"/>
          <w:szCs w:val="24"/>
        </w:rPr>
        <w:t xml:space="preserve">, since the theft of money by the Fire Chief was not from the </w:t>
      </w:r>
      <w:proofErr w:type="gramStart"/>
      <w:r w:rsidRPr="00BF6BAF">
        <w:rPr>
          <w:rFonts w:ascii="Times New Roman" w:hAnsi="Times New Roman"/>
          <w:sz w:val="24"/>
          <w:szCs w:val="24"/>
        </w:rPr>
        <w:t>City</w:t>
      </w:r>
      <w:proofErr w:type="gramEnd"/>
      <w:r>
        <w:rPr>
          <w:rFonts w:ascii="Times New Roman" w:hAnsi="Times New Roman"/>
          <w:sz w:val="24"/>
          <w:szCs w:val="24"/>
        </w:rPr>
        <w:t xml:space="preserve">.  The money </w:t>
      </w:r>
      <w:r w:rsidRPr="00BF6BAF">
        <w:rPr>
          <w:rFonts w:ascii="Times New Roman" w:hAnsi="Times New Roman"/>
          <w:sz w:val="24"/>
          <w:szCs w:val="24"/>
        </w:rPr>
        <w:t xml:space="preserve">was from “Gallant Blazers Organization,” where </w:t>
      </w:r>
      <w:r>
        <w:rPr>
          <w:rFonts w:ascii="Times New Roman" w:hAnsi="Times New Roman"/>
          <w:sz w:val="24"/>
          <w:szCs w:val="24"/>
        </w:rPr>
        <w:t xml:space="preserve">Fire Chief </w:t>
      </w:r>
      <w:r w:rsidRPr="00BF6BAF">
        <w:rPr>
          <w:rFonts w:ascii="Times New Roman" w:hAnsi="Times New Roman"/>
          <w:sz w:val="24"/>
          <w:szCs w:val="24"/>
        </w:rPr>
        <w:t xml:space="preserve">was President of this professional development group that helped minority firefighters in Wilmington.  See April 26, </w:t>
      </w:r>
      <w:proofErr w:type="gramStart"/>
      <w:r w:rsidRPr="00BF6BAF">
        <w:rPr>
          <w:rFonts w:ascii="Times New Roman" w:hAnsi="Times New Roman"/>
          <w:sz w:val="24"/>
          <w:szCs w:val="24"/>
        </w:rPr>
        <w:t>2019</w:t>
      </w:r>
      <w:proofErr w:type="gramEnd"/>
      <w:r w:rsidRPr="00BF6BAF">
        <w:rPr>
          <w:rFonts w:ascii="Times New Roman" w:hAnsi="Times New Roman"/>
          <w:sz w:val="24"/>
          <w:szCs w:val="24"/>
        </w:rPr>
        <w:t xml:space="preserve"> article: “Former Wilmington fire Chief Anthony Goode gets prison time for theft.” </w:t>
      </w:r>
      <w:hyperlink r:id="rId1222" w:history="1">
        <w:r w:rsidRPr="00BF6BAF">
          <w:rPr>
            <w:rStyle w:val="Hyperlink"/>
            <w:rFonts w:ascii="Times New Roman" w:hAnsi="Times New Roman"/>
            <w:sz w:val="24"/>
            <w:szCs w:val="24"/>
          </w:rPr>
          <w:t>https://www.delawareonline.com/story/news/2019/04/26/former-wilmington-fire-chief-gets-prison-time-theft/3588123002/</w:t>
        </w:r>
      </w:hyperlink>
      <w:r w:rsidRPr="00BF6BAF">
        <w:rPr>
          <w:rFonts w:ascii="Times New Roman" w:hAnsi="Times New Roman"/>
          <w:sz w:val="24"/>
          <w:szCs w:val="24"/>
        </w:rPr>
        <w:t xml:space="preserve"> </w:t>
      </w:r>
    </w:p>
    <w:p w14:paraId="0DAD9136" w14:textId="77777777" w:rsidR="009E093C" w:rsidRDefault="009E093C" w:rsidP="009E093C">
      <w:pPr>
        <w:pStyle w:val="NoSpacing"/>
        <w:rPr>
          <w:rFonts w:ascii="Times New Roman" w:hAnsi="Times New Roman"/>
          <w:sz w:val="24"/>
          <w:szCs w:val="24"/>
        </w:rPr>
      </w:pPr>
    </w:p>
    <w:p w14:paraId="56A86F66" w14:textId="77777777" w:rsidR="009E093C" w:rsidRDefault="009E093C" w:rsidP="009E093C">
      <w:pPr>
        <w:ind w:left="720"/>
        <w:rPr>
          <w:rFonts w:ascii="Times New Roman" w:hAnsi="Times New Roman"/>
          <w:sz w:val="24"/>
          <w:szCs w:val="24"/>
        </w:rPr>
      </w:pPr>
      <w:r>
        <w:rPr>
          <w:rFonts w:ascii="Times New Roman" w:hAnsi="Times New Roman"/>
          <w:sz w:val="24"/>
          <w:szCs w:val="24"/>
        </w:rPr>
        <w:t>“</w:t>
      </w:r>
      <w:r w:rsidRPr="001A3F57">
        <w:rPr>
          <w:rFonts w:ascii="Times New Roman" w:hAnsi="Times New Roman"/>
          <w:sz w:val="24"/>
          <w:szCs w:val="24"/>
        </w:rPr>
        <w:t xml:space="preserve">Accordingly, to state a claim under the Whistleblower Protection Act, Plaintiff must show that any alleged retaliation was for reporting: (1) a violation of financial management or accounting standards; (2) that the violation was related to funds or assets under the control of his </w:t>
      </w:r>
      <w:proofErr w:type="spellStart"/>
      <w:r w:rsidRPr="001A3F57">
        <w:rPr>
          <w:rFonts w:ascii="Times New Roman" w:hAnsi="Times New Roman"/>
          <w:sz w:val="24"/>
          <w:szCs w:val="24"/>
        </w:rPr>
        <w:t>employer;</w:t>
      </w:r>
      <w:bookmarkStart w:id="238" w:name="fn19"/>
      <w:r w:rsidRPr="001A3F57">
        <w:rPr>
          <w:rFonts w:ascii="Times New Roman" w:hAnsi="Times New Roman"/>
          <w:sz w:val="24"/>
          <w:szCs w:val="24"/>
          <w:vertAlign w:val="superscript"/>
        </w:rPr>
        <w:fldChar w:fldCharType="begin"/>
      </w:r>
      <w:r w:rsidRPr="001A3F57">
        <w:rPr>
          <w:rFonts w:ascii="Times New Roman" w:hAnsi="Times New Roman"/>
          <w:sz w:val="24"/>
          <w:szCs w:val="24"/>
          <w:vertAlign w:val="superscript"/>
        </w:rPr>
        <w:instrText xml:space="preserve"> HYPERLINK "https://public.fastcase.com/" \l "fr19" </w:instrText>
      </w:r>
      <w:r w:rsidRPr="001A3F57">
        <w:rPr>
          <w:rFonts w:ascii="Times New Roman" w:hAnsi="Times New Roman"/>
          <w:sz w:val="24"/>
          <w:szCs w:val="24"/>
          <w:vertAlign w:val="superscript"/>
        </w:rPr>
      </w:r>
      <w:r w:rsidRPr="001A3F57">
        <w:rPr>
          <w:rFonts w:ascii="Times New Roman" w:hAnsi="Times New Roman"/>
          <w:sz w:val="24"/>
          <w:szCs w:val="24"/>
          <w:vertAlign w:val="superscript"/>
        </w:rPr>
        <w:fldChar w:fldCharType="separate"/>
      </w:r>
      <w:r w:rsidR="00814FB6">
        <w:rPr>
          <w:rStyle w:val="Hyperlink"/>
        </w:rPr>
        <w:t>https</w:t>
      </w:r>
      <w:proofErr w:type="spellEnd"/>
      <w:r w:rsidR="00814FB6">
        <w:rPr>
          <w:rStyle w:val="Hyperlink"/>
        </w:rPr>
        <w:t>://public.fastcase.com/ - fr19</w:t>
      </w:r>
      <w:r w:rsidRPr="001A3F57">
        <w:rPr>
          <w:rFonts w:ascii="Times New Roman" w:hAnsi="Times New Roman"/>
          <w:sz w:val="24"/>
          <w:szCs w:val="24"/>
          <w:vertAlign w:val="superscript"/>
        </w:rPr>
        <w:fldChar w:fldCharType="end"/>
      </w:r>
      <w:bookmarkEnd w:id="238"/>
      <w:r>
        <w:rPr>
          <w:rFonts w:ascii="Times New Roman" w:hAnsi="Times New Roman"/>
          <w:sz w:val="24"/>
          <w:szCs w:val="24"/>
          <w:vertAlign w:val="superscript"/>
        </w:rPr>
        <w:t xml:space="preserve"> </w:t>
      </w:r>
      <w:r w:rsidRPr="001A3F57">
        <w:rPr>
          <w:rFonts w:ascii="Times New Roman" w:hAnsi="Times New Roman"/>
          <w:sz w:val="24"/>
          <w:szCs w:val="24"/>
        </w:rPr>
        <w:t xml:space="preserve">and (3) that the violation was due to an act or omission of his employer or an agent </w:t>
      </w:r>
      <w:proofErr w:type="spellStart"/>
      <w:r w:rsidRPr="001A3F57">
        <w:rPr>
          <w:rFonts w:ascii="Times New Roman" w:hAnsi="Times New Roman"/>
          <w:sz w:val="24"/>
          <w:szCs w:val="24"/>
        </w:rPr>
        <w:t>thereof.</w:t>
      </w:r>
      <w:bookmarkStart w:id="239" w:name="fn20"/>
      <w:r w:rsidRPr="001A3F57">
        <w:rPr>
          <w:rFonts w:ascii="Times New Roman" w:hAnsi="Times New Roman"/>
          <w:sz w:val="24"/>
          <w:szCs w:val="24"/>
          <w:vertAlign w:val="superscript"/>
        </w:rPr>
        <w:fldChar w:fldCharType="begin"/>
      </w:r>
      <w:r w:rsidRPr="001A3F57">
        <w:rPr>
          <w:rFonts w:ascii="Times New Roman" w:hAnsi="Times New Roman"/>
          <w:sz w:val="24"/>
          <w:szCs w:val="24"/>
          <w:vertAlign w:val="superscript"/>
        </w:rPr>
        <w:instrText xml:space="preserve"> HYPERLINK "https://public.fastcase.com/" \l "fr20" </w:instrText>
      </w:r>
      <w:r w:rsidRPr="001A3F57">
        <w:rPr>
          <w:rFonts w:ascii="Times New Roman" w:hAnsi="Times New Roman"/>
          <w:sz w:val="24"/>
          <w:szCs w:val="24"/>
          <w:vertAlign w:val="superscript"/>
        </w:rPr>
      </w:r>
      <w:r w:rsidRPr="001A3F57">
        <w:rPr>
          <w:rFonts w:ascii="Times New Roman" w:hAnsi="Times New Roman"/>
          <w:sz w:val="24"/>
          <w:szCs w:val="24"/>
          <w:vertAlign w:val="superscript"/>
        </w:rPr>
        <w:fldChar w:fldCharType="separate"/>
      </w:r>
      <w:r w:rsidR="00814FB6">
        <w:rPr>
          <w:rStyle w:val="Hyperlink"/>
        </w:rPr>
        <w:t>https</w:t>
      </w:r>
      <w:proofErr w:type="spellEnd"/>
      <w:r w:rsidR="00814FB6">
        <w:rPr>
          <w:rStyle w:val="Hyperlink"/>
        </w:rPr>
        <w:t>://public.fastcase.com/ - fr20</w:t>
      </w:r>
      <w:r w:rsidRPr="001A3F57">
        <w:rPr>
          <w:rFonts w:ascii="Times New Roman" w:hAnsi="Times New Roman"/>
          <w:sz w:val="24"/>
          <w:szCs w:val="24"/>
          <w:vertAlign w:val="superscript"/>
        </w:rPr>
        <w:fldChar w:fldCharType="end"/>
      </w:r>
      <w:bookmarkEnd w:id="239"/>
      <w:r>
        <w:rPr>
          <w:rFonts w:ascii="Times New Roman" w:hAnsi="Times New Roman"/>
          <w:sz w:val="24"/>
          <w:szCs w:val="24"/>
          <w:vertAlign w:val="superscript"/>
        </w:rPr>
        <w:t xml:space="preserve"> </w:t>
      </w:r>
      <w:r w:rsidRPr="001A3F57">
        <w:rPr>
          <w:rFonts w:ascii="Times New Roman" w:hAnsi="Times New Roman"/>
          <w:sz w:val="24"/>
          <w:szCs w:val="24"/>
        </w:rPr>
        <w:t>Plaintiff fails to satisfy prongs two and three.</w:t>
      </w:r>
    </w:p>
    <w:p w14:paraId="16C69165" w14:textId="77777777" w:rsidR="009E093C" w:rsidRDefault="009E093C" w:rsidP="009E093C">
      <w:pPr>
        <w:ind w:left="720"/>
        <w:rPr>
          <w:rFonts w:ascii="Times New Roman" w:hAnsi="Times New Roman"/>
          <w:sz w:val="24"/>
          <w:szCs w:val="24"/>
        </w:rPr>
      </w:pPr>
      <w:r>
        <w:rPr>
          <w:rFonts w:ascii="Times New Roman" w:hAnsi="Times New Roman"/>
          <w:sz w:val="24"/>
          <w:szCs w:val="24"/>
        </w:rPr>
        <w:t>***</w:t>
      </w:r>
    </w:p>
    <w:p w14:paraId="5AC49466" w14:textId="77777777" w:rsidR="009E093C" w:rsidRDefault="009E093C" w:rsidP="009E093C">
      <w:pPr>
        <w:pStyle w:val="NoSpacing"/>
        <w:ind w:left="720"/>
        <w:rPr>
          <w:rFonts w:ascii="Times New Roman" w:hAnsi="Times New Roman"/>
          <w:sz w:val="24"/>
          <w:szCs w:val="24"/>
        </w:rPr>
      </w:pPr>
      <w:r w:rsidRPr="001A3F57">
        <w:rPr>
          <w:rFonts w:ascii="Times New Roman" w:hAnsi="Times New Roman"/>
          <w:sz w:val="24"/>
          <w:szCs w:val="24"/>
        </w:rPr>
        <w:t xml:space="preserve">Following an investigation, public records </w:t>
      </w:r>
      <w:proofErr w:type="gramStart"/>
      <w:r w:rsidRPr="001A3F57">
        <w:rPr>
          <w:rFonts w:ascii="Times New Roman" w:hAnsi="Times New Roman"/>
          <w:sz w:val="24"/>
          <w:szCs w:val="24"/>
        </w:rPr>
        <w:t>reflect</w:t>
      </w:r>
      <w:proofErr w:type="gramEnd"/>
      <w:r w:rsidRPr="001A3F57">
        <w:rPr>
          <w:rFonts w:ascii="Times New Roman" w:hAnsi="Times New Roman"/>
          <w:sz w:val="24"/>
          <w:szCs w:val="24"/>
        </w:rPr>
        <w:t xml:space="preserve"> that the DOJ brought criminal charges including criminal racketeering and theft against Goode, who subsequently pled guilty to theft of $50,000 or more and unlawful use of a payment card. In 2019, he was sentenced to one year in prison followed by a period of probation</w:t>
      </w:r>
      <w:r>
        <w:rPr>
          <w:rFonts w:ascii="Times New Roman" w:hAnsi="Times New Roman"/>
          <w:sz w:val="24"/>
          <w:szCs w:val="24"/>
        </w:rPr>
        <w:t xml:space="preserve"> </w:t>
      </w:r>
      <w:r w:rsidRPr="001A3F57">
        <w:rPr>
          <w:rFonts w:ascii="Times New Roman" w:hAnsi="Times New Roman"/>
          <w:sz w:val="24"/>
          <w:szCs w:val="24"/>
        </w:rPr>
        <w:t xml:space="preserve">and </w:t>
      </w:r>
      <w:proofErr w:type="gramStart"/>
      <w:r w:rsidRPr="001A3F57">
        <w:rPr>
          <w:rFonts w:ascii="Times New Roman" w:hAnsi="Times New Roman"/>
          <w:sz w:val="24"/>
          <w:szCs w:val="24"/>
        </w:rPr>
        <w:t>repay</w:t>
      </w:r>
      <w:proofErr w:type="gramEnd"/>
      <w:r w:rsidRPr="001A3F57">
        <w:rPr>
          <w:rFonts w:ascii="Times New Roman" w:hAnsi="Times New Roman"/>
          <w:sz w:val="24"/>
          <w:szCs w:val="24"/>
        </w:rPr>
        <w:t xml:space="preserve"> the Gallant Blazers more than $</w:t>
      </w:r>
      <w:proofErr w:type="gramStart"/>
      <w:r w:rsidRPr="001A3F57">
        <w:rPr>
          <w:rFonts w:ascii="Times New Roman" w:hAnsi="Times New Roman"/>
          <w:sz w:val="24"/>
          <w:szCs w:val="24"/>
        </w:rPr>
        <w:t>62,000.</w:t>
      </w:r>
      <w:r>
        <w:rPr>
          <w:rFonts w:ascii="Times New Roman" w:hAnsi="Times New Roman"/>
          <w:sz w:val="24"/>
          <w:szCs w:val="24"/>
        </w:rPr>
        <w:t>”</w:t>
      </w:r>
      <w:proofErr w:type="gramEnd"/>
      <w:r>
        <w:rPr>
          <w:rFonts w:ascii="Times New Roman" w:hAnsi="Times New Roman"/>
          <w:sz w:val="24"/>
          <w:szCs w:val="24"/>
        </w:rPr>
        <w:t xml:space="preserve">  [Footnote 3.]</w:t>
      </w:r>
    </w:p>
    <w:p w14:paraId="427DFC8C" w14:textId="77777777" w:rsidR="009E093C" w:rsidRPr="001A3F57" w:rsidRDefault="009E093C" w:rsidP="009E093C">
      <w:pPr>
        <w:pStyle w:val="NoSpacing"/>
        <w:ind w:left="720"/>
        <w:rPr>
          <w:rFonts w:ascii="Times New Roman" w:hAnsi="Times New Roman"/>
          <w:sz w:val="24"/>
          <w:szCs w:val="24"/>
        </w:rPr>
      </w:pPr>
      <w:hyperlink r:id="rId1223" w:history="1">
        <w:r w:rsidRPr="00BA14DC">
          <w:rPr>
            <w:rStyle w:val="Hyperlink"/>
            <w:rFonts w:ascii="Times New Roman" w:hAnsi="Times New Roman"/>
            <w:sz w:val="24"/>
            <w:szCs w:val="24"/>
          </w:rPr>
          <w:t>https://casetext.com/case/hayman-v-city-of-wilmington</w:t>
        </w:r>
      </w:hyperlink>
      <w:r>
        <w:rPr>
          <w:rFonts w:ascii="Times New Roman" w:hAnsi="Times New Roman"/>
          <w:sz w:val="24"/>
          <w:szCs w:val="24"/>
        </w:rPr>
        <w:t xml:space="preserve"> </w:t>
      </w:r>
    </w:p>
    <w:p w14:paraId="764E6B7C" w14:textId="77777777" w:rsidR="009E093C" w:rsidRPr="00500FB1" w:rsidRDefault="009E093C" w:rsidP="009E093C">
      <w:pPr>
        <w:pStyle w:val="NoSpacing"/>
        <w:tabs>
          <w:tab w:val="left" w:pos="7640"/>
        </w:tabs>
        <w:rPr>
          <w:rFonts w:ascii="Times New Roman" w:hAnsi="Times New Roman"/>
          <w:sz w:val="24"/>
          <w:szCs w:val="24"/>
        </w:rPr>
      </w:pPr>
    </w:p>
    <w:p w14:paraId="55985BD9" w14:textId="77777777" w:rsidR="009E093C" w:rsidRDefault="009E093C" w:rsidP="009E093C">
      <w:pPr>
        <w:pStyle w:val="Heading1"/>
        <w:rPr>
          <w:b w:val="0"/>
          <w:bCs w:val="0"/>
          <w:sz w:val="24"/>
          <w:szCs w:val="24"/>
        </w:rPr>
      </w:pPr>
      <w:r w:rsidRPr="00885D66">
        <w:rPr>
          <w:sz w:val="24"/>
          <w:szCs w:val="24"/>
        </w:rPr>
        <w:t>Legal Lesson Learned: It is unfortunate that the firefighter did not retain legal counsel.</w:t>
      </w:r>
      <w:r w:rsidRPr="00885D66">
        <w:rPr>
          <w:b w:val="0"/>
          <w:bCs w:val="0"/>
          <w:sz w:val="24"/>
          <w:szCs w:val="24"/>
        </w:rPr>
        <w:t xml:space="preserve">  </w:t>
      </w:r>
    </w:p>
    <w:p w14:paraId="51088426" w14:textId="77777777" w:rsidR="009E093C" w:rsidRPr="007668F4" w:rsidRDefault="009E093C" w:rsidP="009E093C">
      <w:pPr>
        <w:pStyle w:val="Heading1"/>
        <w:ind w:left="720"/>
        <w:rPr>
          <w:b w:val="0"/>
          <w:bCs w:val="0"/>
          <w:sz w:val="24"/>
          <w:szCs w:val="24"/>
        </w:rPr>
      </w:pPr>
      <w:r>
        <w:rPr>
          <w:b w:val="0"/>
          <w:bCs w:val="0"/>
          <w:sz w:val="24"/>
          <w:szCs w:val="24"/>
        </w:rPr>
        <w:t xml:space="preserve">Note: </w:t>
      </w:r>
      <w:r w:rsidRPr="00885D66">
        <w:rPr>
          <w:b w:val="0"/>
          <w:bCs w:val="0"/>
          <w:sz w:val="24"/>
          <w:szCs w:val="24"/>
        </w:rPr>
        <w:t xml:space="preserve">If there were any federal funds involved in the theft, </w:t>
      </w:r>
      <w:r>
        <w:rPr>
          <w:b w:val="0"/>
          <w:bCs w:val="0"/>
          <w:sz w:val="24"/>
          <w:szCs w:val="24"/>
        </w:rPr>
        <w:t xml:space="preserve">plaintiff </w:t>
      </w:r>
      <w:r w:rsidRPr="00885D66">
        <w:rPr>
          <w:b w:val="0"/>
          <w:bCs w:val="0"/>
          <w:sz w:val="24"/>
          <w:szCs w:val="24"/>
        </w:rPr>
        <w:t>could have filed a civil whistleblower claim under seal</w:t>
      </w:r>
      <w:r>
        <w:rPr>
          <w:b w:val="0"/>
          <w:bCs w:val="0"/>
          <w:sz w:val="24"/>
          <w:szCs w:val="24"/>
        </w:rPr>
        <w:t xml:space="preserve">, and then </w:t>
      </w:r>
      <w:r w:rsidRPr="00885D66">
        <w:rPr>
          <w:b w:val="0"/>
          <w:bCs w:val="0"/>
          <w:sz w:val="24"/>
          <w:szCs w:val="24"/>
        </w:rPr>
        <w:t>U.S. Attorney’s Office in Delaware</w:t>
      </w:r>
      <w:r>
        <w:rPr>
          <w:b w:val="0"/>
          <w:bCs w:val="0"/>
          <w:sz w:val="24"/>
          <w:szCs w:val="24"/>
        </w:rPr>
        <w:t xml:space="preserve"> and FBI could help  pursue his civil action. </w:t>
      </w:r>
      <w:r w:rsidRPr="00885D66">
        <w:rPr>
          <w:b w:val="0"/>
          <w:bCs w:val="0"/>
          <w:sz w:val="24"/>
          <w:szCs w:val="24"/>
        </w:rPr>
        <w:t xml:space="preserve"> </w:t>
      </w:r>
      <w:r>
        <w:rPr>
          <w:b w:val="0"/>
          <w:bCs w:val="0"/>
          <w:sz w:val="24"/>
          <w:szCs w:val="24"/>
        </w:rPr>
        <w:t>“</w:t>
      </w:r>
      <w:r w:rsidRPr="00C03B09">
        <w:rPr>
          <w:b w:val="0"/>
          <w:bCs w:val="0"/>
          <w:sz w:val="24"/>
          <w:szCs w:val="24"/>
        </w:rPr>
        <w:t>In FY2019, qui tam whistleblowers received $272 million in rewards</w:t>
      </w:r>
      <w:r>
        <w:rPr>
          <w:b w:val="0"/>
          <w:bCs w:val="0"/>
          <w:sz w:val="24"/>
          <w:szCs w:val="24"/>
        </w:rPr>
        <w:t>.”</w:t>
      </w:r>
      <w:r w:rsidRPr="00C03B09">
        <w:t xml:space="preserve"> </w:t>
      </w:r>
      <w:r w:rsidRPr="00C03B09">
        <w:rPr>
          <w:i/>
          <w:iCs/>
          <w:sz w:val="24"/>
          <w:szCs w:val="24"/>
        </w:rPr>
        <w:t>Department of Justice Report Shows Whistleblowers Consistently Rewarded through Qui Tam Lawsuits</w:t>
      </w:r>
      <w:r>
        <w:rPr>
          <w:i/>
          <w:iCs/>
          <w:sz w:val="24"/>
          <w:szCs w:val="24"/>
        </w:rPr>
        <w:t xml:space="preserve">. </w:t>
      </w:r>
      <w:hyperlink r:id="rId1224" w:history="1">
        <w:r w:rsidRPr="007668F4">
          <w:rPr>
            <w:rStyle w:val="Hyperlink"/>
            <w:b w:val="0"/>
            <w:bCs w:val="0"/>
            <w:sz w:val="24"/>
            <w:szCs w:val="24"/>
          </w:rPr>
          <w:t>https://www.natlawreview.com/article/department-justice-report-shows-whistleblowers-consistently-rewarded-through-qui-tam</w:t>
        </w:r>
      </w:hyperlink>
      <w:r w:rsidRPr="007668F4">
        <w:rPr>
          <w:b w:val="0"/>
          <w:bCs w:val="0"/>
          <w:sz w:val="24"/>
          <w:szCs w:val="24"/>
        </w:rPr>
        <w:t xml:space="preserve"> </w:t>
      </w:r>
    </w:p>
    <w:p w14:paraId="4EC28A5C" w14:textId="77777777" w:rsidR="009E093C" w:rsidRDefault="009E093C" w:rsidP="009E093C">
      <w:pPr>
        <w:pStyle w:val="Heading1"/>
        <w:ind w:left="1440" w:hanging="720"/>
        <w:rPr>
          <w:b w:val="0"/>
          <w:bCs w:val="0"/>
          <w:sz w:val="24"/>
          <w:szCs w:val="24"/>
        </w:rPr>
      </w:pPr>
      <w:r>
        <w:rPr>
          <w:b w:val="0"/>
          <w:bCs w:val="0"/>
          <w:sz w:val="24"/>
          <w:szCs w:val="24"/>
        </w:rPr>
        <w:t xml:space="preserve">The State of Delaware also has a whistleblower protection statute. It provides, in part:  </w:t>
      </w:r>
    </w:p>
    <w:p w14:paraId="1842BC1F" w14:textId="77777777" w:rsidR="009E093C" w:rsidRPr="007668F4" w:rsidRDefault="009E093C" w:rsidP="009E093C">
      <w:pPr>
        <w:pStyle w:val="Heading1"/>
        <w:ind w:left="1440"/>
        <w:rPr>
          <w:b w:val="0"/>
          <w:bCs w:val="0"/>
          <w:sz w:val="24"/>
          <w:szCs w:val="24"/>
        </w:rPr>
      </w:pPr>
      <w:r>
        <w:rPr>
          <w:b w:val="0"/>
          <w:bCs w:val="0"/>
          <w:sz w:val="24"/>
          <w:szCs w:val="24"/>
        </w:rPr>
        <w:t>“</w:t>
      </w:r>
      <w:r w:rsidRPr="00C03B09">
        <w:rPr>
          <w:b w:val="0"/>
          <w:bCs w:val="0"/>
          <w:sz w:val="24"/>
          <w:szCs w:val="24"/>
        </w:rPr>
        <w:t>A court, in rendering a judgment in an action brought under this chapter, shall order, as the court considers appropriate, reinstatement of the employee, the payment of back wages, full reinstatement of fringe benefits and seniority rights, expungement of records relating to the disciplinary action or discharge, actual damages, or any combination of these remedies. A court may also award, as part of a judgment in an action brought under this chapter, all or a portion of the costs of litigation, including attorneys’ fees, if the court determines that such an award is appropriate.</w:t>
      </w:r>
      <w:r>
        <w:rPr>
          <w:b w:val="0"/>
          <w:bCs w:val="0"/>
          <w:sz w:val="24"/>
          <w:szCs w:val="24"/>
        </w:rPr>
        <w:t xml:space="preserve">” </w:t>
      </w:r>
      <w:hyperlink r:id="rId1225" w:history="1">
        <w:r w:rsidRPr="007668F4">
          <w:rPr>
            <w:rStyle w:val="Hyperlink"/>
            <w:b w:val="0"/>
            <w:bCs w:val="0"/>
            <w:sz w:val="24"/>
            <w:szCs w:val="24"/>
          </w:rPr>
          <w:t>https://delcode.delaware.gov/title19/c017/index.shtml</w:t>
        </w:r>
      </w:hyperlink>
      <w:r w:rsidRPr="007668F4">
        <w:rPr>
          <w:b w:val="0"/>
          <w:bCs w:val="0"/>
          <w:sz w:val="24"/>
          <w:szCs w:val="24"/>
        </w:rPr>
        <w:t xml:space="preserve"> </w:t>
      </w:r>
    </w:p>
    <w:p w14:paraId="5337BCCA" w14:textId="77777777" w:rsidR="009E093C" w:rsidRDefault="009E093C" w:rsidP="009E093C">
      <w:pPr>
        <w:rPr>
          <w:rFonts w:ascii="Times New Roman" w:hAnsi="Times New Roman"/>
          <w:sz w:val="24"/>
          <w:szCs w:val="24"/>
        </w:rPr>
      </w:pPr>
    </w:p>
    <w:p w14:paraId="3449CF53" w14:textId="77777777" w:rsidR="009E093C" w:rsidRDefault="009E093C" w:rsidP="00EF1133">
      <w:pPr>
        <w:rPr>
          <w:rFonts w:ascii="Arial Black" w:hAnsi="Arial Black"/>
          <w:b/>
          <w:sz w:val="24"/>
          <w:szCs w:val="24"/>
        </w:rPr>
      </w:pPr>
    </w:p>
    <w:p w14:paraId="5BB4AF46" w14:textId="77777777" w:rsidR="009E093C" w:rsidRDefault="009E093C" w:rsidP="00EF1133">
      <w:pPr>
        <w:rPr>
          <w:rFonts w:ascii="Arial Black" w:hAnsi="Arial Black"/>
          <w:b/>
          <w:sz w:val="24"/>
          <w:szCs w:val="24"/>
        </w:rPr>
      </w:pPr>
    </w:p>
    <w:p w14:paraId="7330DF42" w14:textId="41CE56AD" w:rsidR="009E093C" w:rsidRDefault="009E093C"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3</w:t>
      </w:r>
    </w:p>
    <w:p w14:paraId="3862857D" w14:textId="77777777" w:rsidR="009E093C" w:rsidRDefault="009E093C" w:rsidP="009E093C">
      <w:pPr>
        <w:pStyle w:val="NoSpacing"/>
        <w:rPr>
          <w:rFonts w:ascii="Arial Black" w:hAnsi="Arial Black"/>
          <w:sz w:val="28"/>
          <w:szCs w:val="28"/>
        </w:rPr>
      </w:pPr>
      <w:r>
        <w:rPr>
          <w:rFonts w:ascii="Arial Black" w:hAnsi="Arial Black"/>
          <w:sz w:val="28"/>
          <w:szCs w:val="28"/>
        </w:rPr>
        <w:t>MI: DEPUTY SHERIFF REPORTED MISUSE DRUG FORFEITURE FUNDS – 1</w:t>
      </w:r>
      <w:r w:rsidRPr="00EB4193">
        <w:rPr>
          <w:rFonts w:ascii="Arial Black" w:hAnsi="Arial Black"/>
          <w:sz w:val="28"/>
          <w:szCs w:val="28"/>
          <w:vertAlign w:val="superscript"/>
        </w:rPr>
        <w:t>st</w:t>
      </w:r>
      <w:r>
        <w:rPr>
          <w:rFonts w:ascii="Arial Black" w:hAnsi="Arial Black"/>
          <w:sz w:val="28"/>
          <w:szCs w:val="28"/>
        </w:rPr>
        <w:t xml:space="preserve"> AMEND. ONLY IF SPEAKING AS “PRIVATE CITIZEN” </w:t>
      </w:r>
    </w:p>
    <w:p w14:paraId="36A7E55A" w14:textId="77777777" w:rsidR="009E093C" w:rsidRDefault="009E093C" w:rsidP="009E093C">
      <w:pPr>
        <w:pStyle w:val="NoSpacing"/>
        <w:rPr>
          <w:rFonts w:ascii="Arial Black" w:hAnsi="Arial Black"/>
          <w:sz w:val="28"/>
          <w:szCs w:val="28"/>
        </w:rPr>
      </w:pPr>
    </w:p>
    <w:p w14:paraId="62167879" w14:textId="77777777" w:rsidR="009E093C" w:rsidRDefault="009E093C" w:rsidP="009E093C">
      <w:pPr>
        <w:pStyle w:val="NoSpacing"/>
        <w:rPr>
          <w:rFonts w:ascii="Times New Roman" w:hAnsi="Times New Roman"/>
          <w:sz w:val="24"/>
          <w:szCs w:val="24"/>
        </w:rPr>
      </w:pPr>
      <w:r>
        <w:rPr>
          <w:rFonts w:ascii="Times New Roman" w:hAnsi="Times New Roman"/>
          <w:sz w:val="24"/>
          <w:szCs w:val="24"/>
        </w:rPr>
        <w:t xml:space="preserve">On Oct. 9, 2020, in </w:t>
      </w:r>
      <w:r w:rsidRPr="00FE06D1">
        <w:rPr>
          <w:rFonts w:ascii="Times New Roman" w:hAnsi="Times New Roman"/>
          <w:sz w:val="24"/>
          <w:szCs w:val="24"/>
          <w:u w:val="single"/>
        </w:rPr>
        <w:t>Garrett De</w:t>
      </w:r>
      <w:r>
        <w:rPr>
          <w:rFonts w:ascii="Times New Roman" w:hAnsi="Times New Roman"/>
          <w:sz w:val="24"/>
          <w:szCs w:val="24"/>
          <w:u w:val="single"/>
        </w:rPr>
        <w:t>W</w:t>
      </w:r>
      <w:r w:rsidRPr="00FE06D1">
        <w:rPr>
          <w:rFonts w:ascii="Times New Roman" w:hAnsi="Times New Roman"/>
          <w:sz w:val="24"/>
          <w:szCs w:val="24"/>
          <w:u w:val="single"/>
        </w:rPr>
        <w:t xml:space="preserve">yse v. </w:t>
      </w:r>
      <w:r>
        <w:rPr>
          <w:rFonts w:ascii="Times New Roman" w:hAnsi="Times New Roman"/>
          <w:sz w:val="24"/>
          <w:szCs w:val="24"/>
          <w:u w:val="single"/>
        </w:rPr>
        <w:t xml:space="preserve">William L. Federspiel, Heather Beyerlein, and </w:t>
      </w:r>
      <w:r w:rsidRPr="00FE06D1">
        <w:rPr>
          <w:rFonts w:ascii="Times New Roman" w:hAnsi="Times New Roman"/>
          <w:sz w:val="24"/>
          <w:szCs w:val="24"/>
          <w:u w:val="single"/>
        </w:rPr>
        <w:t>County of Saginaw, et al</w:t>
      </w:r>
      <w:r>
        <w:rPr>
          <w:rFonts w:ascii="Times New Roman" w:hAnsi="Times New Roman"/>
          <w:sz w:val="24"/>
          <w:szCs w:val="24"/>
        </w:rPr>
        <w:t>., the U.S. Court of Appeals for 6</w:t>
      </w:r>
      <w:r w:rsidRPr="00FE06D1">
        <w:rPr>
          <w:rFonts w:ascii="Times New Roman" w:hAnsi="Times New Roman"/>
          <w:sz w:val="24"/>
          <w:szCs w:val="24"/>
          <w:vertAlign w:val="superscript"/>
        </w:rPr>
        <w:t>th</w:t>
      </w:r>
      <w:r>
        <w:rPr>
          <w:rFonts w:ascii="Times New Roman" w:hAnsi="Times New Roman"/>
          <w:sz w:val="24"/>
          <w:szCs w:val="24"/>
        </w:rPr>
        <w:t xml:space="preserve"> Circuit (Cincinnati), held (3 to 0; unreported decision) the trial court judge properly dismissed the First Amendment retaliation lawsuit by Deputy who reported to County Finance Director possible misuse of drug forfeiture funds.  The Deputy </w:t>
      </w:r>
      <w:proofErr w:type="gramStart"/>
      <w:r>
        <w:rPr>
          <w:rFonts w:ascii="Times New Roman" w:hAnsi="Times New Roman"/>
          <w:sz w:val="24"/>
          <w:szCs w:val="24"/>
        </w:rPr>
        <w:t>was in charge of</w:t>
      </w:r>
      <w:proofErr w:type="gramEnd"/>
      <w:r>
        <w:rPr>
          <w:rFonts w:ascii="Times New Roman" w:hAnsi="Times New Roman"/>
          <w:sz w:val="24"/>
          <w:szCs w:val="24"/>
        </w:rPr>
        <w:t xml:space="preserve"> Property &amp; Evidence Room and was reporting on an item related to his official duties; he was not “speaking” as a private citizen reporting on an item of great public concern.   </w:t>
      </w:r>
    </w:p>
    <w:p w14:paraId="13189E70" w14:textId="77777777" w:rsidR="009E093C" w:rsidRDefault="009E093C" w:rsidP="009E093C">
      <w:pPr>
        <w:pStyle w:val="NoSpacing"/>
        <w:rPr>
          <w:rFonts w:ascii="Times New Roman" w:hAnsi="Times New Roman"/>
          <w:sz w:val="24"/>
          <w:szCs w:val="24"/>
        </w:rPr>
      </w:pPr>
    </w:p>
    <w:p w14:paraId="3282F86B" w14:textId="77777777" w:rsidR="009E093C" w:rsidRDefault="009E093C" w:rsidP="009E093C">
      <w:pPr>
        <w:pStyle w:val="NoSpacing"/>
        <w:ind w:left="720"/>
        <w:rPr>
          <w:rFonts w:ascii="Times New Roman" w:hAnsi="Times New Roman"/>
          <w:sz w:val="24"/>
          <w:szCs w:val="24"/>
        </w:rPr>
      </w:pPr>
      <w:r>
        <w:rPr>
          <w:rFonts w:ascii="Times New Roman" w:hAnsi="Times New Roman"/>
          <w:sz w:val="24"/>
          <w:szCs w:val="24"/>
        </w:rPr>
        <w:t>“</w:t>
      </w:r>
      <w:r w:rsidRPr="002D5EC1">
        <w:rPr>
          <w:rFonts w:ascii="Times New Roman" w:hAnsi="Times New Roman"/>
          <w:sz w:val="24"/>
          <w:szCs w:val="24"/>
        </w:rPr>
        <w:t>In reaching this</w:t>
      </w:r>
      <w:r>
        <w:rPr>
          <w:rFonts w:ascii="Times New Roman" w:hAnsi="Times New Roman"/>
          <w:sz w:val="24"/>
          <w:szCs w:val="24"/>
        </w:rPr>
        <w:t xml:space="preserve"> </w:t>
      </w:r>
      <w:r w:rsidRPr="002D5EC1">
        <w:rPr>
          <w:rFonts w:ascii="Times New Roman" w:hAnsi="Times New Roman"/>
          <w:sz w:val="24"/>
          <w:szCs w:val="24"/>
        </w:rPr>
        <w:t>outcome, we do not question DeWyse’s motivation, nor</w:t>
      </w:r>
      <w:r>
        <w:rPr>
          <w:rFonts w:ascii="Times New Roman" w:hAnsi="Times New Roman"/>
          <w:sz w:val="24"/>
          <w:szCs w:val="24"/>
        </w:rPr>
        <w:t xml:space="preserve"> </w:t>
      </w:r>
      <w:r w:rsidRPr="002D5EC1">
        <w:rPr>
          <w:rFonts w:ascii="Times New Roman" w:hAnsi="Times New Roman"/>
          <w:sz w:val="24"/>
          <w:szCs w:val="24"/>
        </w:rPr>
        <w:t>do we</w:t>
      </w:r>
      <w:r>
        <w:rPr>
          <w:rFonts w:ascii="Times New Roman" w:hAnsi="Times New Roman"/>
          <w:sz w:val="24"/>
          <w:szCs w:val="24"/>
        </w:rPr>
        <w:t xml:space="preserve"> </w:t>
      </w:r>
      <w:r w:rsidRPr="002D5EC1">
        <w:rPr>
          <w:rFonts w:ascii="Times New Roman" w:hAnsi="Times New Roman"/>
          <w:sz w:val="24"/>
          <w:szCs w:val="24"/>
        </w:rPr>
        <w:t>condone</w:t>
      </w:r>
      <w:r>
        <w:rPr>
          <w:rFonts w:ascii="Times New Roman" w:hAnsi="Times New Roman"/>
          <w:sz w:val="24"/>
          <w:szCs w:val="24"/>
        </w:rPr>
        <w:t xml:space="preserve"> </w:t>
      </w:r>
      <w:r w:rsidRPr="002D5EC1">
        <w:rPr>
          <w:rFonts w:ascii="Times New Roman" w:hAnsi="Times New Roman"/>
          <w:sz w:val="24"/>
          <w:szCs w:val="24"/>
        </w:rPr>
        <w:t>disciplining</w:t>
      </w:r>
      <w:r>
        <w:rPr>
          <w:rFonts w:ascii="Times New Roman" w:hAnsi="Times New Roman"/>
          <w:sz w:val="24"/>
          <w:szCs w:val="24"/>
        </w:rPr>
        <w:t xml:space="preserve"> </w:t>
      </w:r>
      <w:r w:rsidRPr="002D5EC1">
        <w:rPr>
          <w:rFonts w:ascii="Times New Roman" w:hAnsi="Times New Roman"/>
          <w:sz w:val="24"/>
          <w:szCs w:val="24"/>
        </w:rPr>
        <w:t>public employees</w:t>
      </w:r>
      <w:r>
        <w:rPr>
          <w:rFonts w:ascii="Times New Roman" w:hAnsi="Times New Roman"/>
          <w:sz w:val="24"/>
          <w:szCs w:val="24"/>
        </w:rPr>
        <w:t xml:space="preserve"> </w:t>
      </w:r>
      <w:r w:rsidRPr="002D5EC1">
        <w:rPr>
          <w:rFonts w:ascii="Times New Roman" w:hAnsi="Times New Roman"/>
          <w:sz w:val="24"/>
          <w:szCs w:val="24"/>
        </w:rPr>
        <w:t>for raising concerns about government mismanagement or</w:t>
      </w:r>
      <w:r>
        <w:rPr>
          <w:rFonts w:ascii="Times New Roman" w:hAnsi="Times New Roman"/>
          <w:sz w:val="24"/>
          <w:szCs w:val="24"/>
        </w:rPr>
        <w:t xml:space="preserve"> </w:t>
      </w:r>
      <w:r w:rsidRPr="002D5EC1">
        <w:rPr>
          <w:rFonts w:ascii="Times New Roman" w:hAnsi="Times New Roman"/>
          <w:sz w:val="24"/>
          <w:szCs w:val="24"/>
        </w:rPr>
        <w:t>corruption.</w:t>
      </w:r>
      <w:r>
        <w:rPr>
          <w:rFonts w:ascii="Times New Roman" w:hAnsi="Times New Roman"/>
          <w:sz w:val="24"/>
          <w:szCs w:val="24"/>
        </w:rPr>
        <w:t xml:space="preserve"> </w:t>
      </w:r>
      <w:r w:rsidRPr="002D5EC1">
        <w:rPr>
          <w:rFonts w:ascii="Times New Roman" w:hAnsi="Times New Roman"/>
          <w:sz w:val="24"/>
          <w:szCs w:val="24"/>
        </w:rPr>
        <w:t>See Mayhew, 859 F.3d at 466.</w:t>
      </w:r>
      <w:r>
        <w:rPr>
          <w:rFonts w:ascii="Times New Roman" w:hAnsi="Times New Roman"/>
          <w:sz w:val="24"/>
          <w:szCs w:val="24"/>
        </w:rPr>
        <w:t xml:space="preserve"> </w:t>
      </w:r>
      <w:r w:rsidRPr="002D5EC1">
        <w:rPr>
          <w:rFonts w:ascii="Times New Roman" w:hAnsi="Times New Roman"/>
          <w:sz w:val="24"/>
          <w:szCs w:val="24"/>
        </w:rPr>
        <w:t>But</w:t>
      </w:r>
      <w:r>
        <w:rPr>
          <w:rFonts w:ascii="Times New Roman" w:hAnsi="Times New Roman"/>
          <w:sz w:val="24"/>
          <w:szCs w:val="24"/>
        </w:rPr>
        <w:t xml:space="preserve"> </w:t>
      </w:r>
      <w:r w:rsidRPr="002D5EC1">
        <w:rPr>
          <w:rFonts w:ascii="Times New Roman" w:hAnsi="Times New Roman"/>
          <w:sz w:val="24"/>
          <w:szCs w:val="24"/>
        </w:rPr>
        <w:t>in this public employment setting, laudable intent</w:t>
      </w:r>
      <w:r>
        <w:rPr>
          <w:rFonts w:ascii="Times New Roman" w:hAnsi="Times New Roman"/>
          <w:sz w:val="24"/>
          <w:szCs w:val="24"/>
        </w:rPr>
        <w:t xml:space="preserve"> </w:t>
      </w:r>
      <w:r w:rsidRPr="002D5EC1">
        <w:rPr>
          <w:rFonts w:ascii="Times New Roman" w:hAnsi="Times New Roman"/>
          <w:sz w:val="24"/>
          <w:szCs w:val="24"/>
        </w:rPr>
        <w:t>alone</w:t>
      </w:r>
      <w:r>
        <w:rPr>
          <w:rFonts w:ascii="Times New Roman" w:hAnsi="Times New Roman"/>
          <w:sz w:val="24"/>
          <w:szCs w:val="24"/>
        </w:rPr>
        <w:t xml:space="preserve"> </w:t>
      </w:r>
      <w:r w:rsidRPr="002D5EC1">
        <w:rPr>
          <w:rFonts w:ascii="Times New Roman" w:hAnsi="Times New Roman"/>
          <w:sz w:val="24"/>
          <w:szCs w:val="24"/>
        </w:rPr>
        <w:t>is not enough to secure First Amendment protection. See Haddad, 910 F.3d at 249–50. As</w:t>
      </w:r>
      <w:r>
        <w:rPr>
          <w:rFonts w:ascii="Times New Roman" w:hAnsi="Times New Roman"/>
          <w:sz w:val="24"/>
          <w:szCs w:val="24"/>
        </w:rPr>
        <w:t xml:space="preserve"> </w:t>
      </w:r>
      <w:r w:rsidRPr="002D5EC1">
        <w:rPr>
          <w:rFonts w:ascii="Times New Roman" w:hAnsi="Times New Roman"/>
          <w:sz w:val="24"/>
          <w:szCs w:val="24"/>
        </w:rPr>
        <w:t>DeWyse’s communications</w:t>
      </w:r>
      <w:r>
        <w:rPr>
          <w:rFonts w:ascii="Times New Roman" w:hAnsi="Times New Roman"/>
          <w:sz w:val="24"/>
          <w:szCs w:val="24"/>
        </w:rPr>
        <w:t xml:space="preserve"> </w:t>
      </w:r>
      <w:r w:rsidRPr="002D5EC1">
        <w:rPr>
          <w:rFonts w:ascii="Times New Roman" w:hAnsi="Times New Roman"/>
          <w:sz w:val="24"/>
          <w:szCs w:val="24"/>
        </w:rPr>
        <w:t>fell within the scope of his employment and were</w:t>
      </w:r>
      <w:r>
        <w:rPr>
          <w:rFonts w:ascii="Times New Roman" w:hAnsi="Times New Roman"/>
          <w:sz w:val="24"/>
          <w:szCs w:val="24"/>
        </w:rPr>
        <w:t xml:space="preserve"> </w:t>
      </w:r>
      <w:r w:rsidRPr="002D5EC1">
        <w:rPr>
          <w:rFonts w:ascii="Times New Roman" w:hAnsi="Times New Roman"/>
          <w:sz w:val="24"/>
          <w:szCs w:val="24"/>
        </w:rPr>
        <w:t>made pursuant to his assigned duties, he</w:t>
      </w:r>
      <w:r>
        <w:rPr>
          <w:rFonts w:ascii="Times New Roman" w:hAnsi="Times New Roman"/>
          <w:sz w:val="24"/>
          <w:szCs w:val="24"/>
        </w:rPr>
        <w:t xml:space="preserve"> </w:t>
      </w:r>
      <w:r w:rsidRPr="002D5EC1">
        <w:rPr>
          <w:rFonts w:ascii="Times New Roman" w:hAnsi="Times New Roman"/>
          <w:sz w:val="24"/>
          <w:szCs w:val="24"/>
        </w:rPr>
        <w:t>spoke as a public employee, meaning</w:t>
      </w:r>
      <w:r>
        <w:rPr>
          <w:rFonts w:ascii="Times New Roman" w:hAnsi="Times New Roman"/>
          <w:sz w:val="24"/>
          <w:szCs w:val="24"/>
        </w:rPr>
        <w:t xml:space="preserve"> </w:t>
      </w:r>
      <w:r w:rsidRPr="002D5EC1">
        <w:rPr>
          <w:rFonts w:ascii="Times New Roman" w:hAnsi="Times New Roman"/>
          <w:sz w:val="24"/>
          <w:szCs w:val="24"/>
        </w:rPr>
        <w:t>his speech is unprotected.</w:t>
      </w:r>
      <w:r>
        <w:rPr>
          <w:rFonts w:ascii="Times New Roman" w:hAnsi="Times New Roman"/>
          <w:sz w:val="24"/>
          <w:szCs w:val="24"/>
        </w:rPr>
        <w:t xml:space="preserve">” </w:t>
      </w:r>
      <w:hyperlink r:id="rId1226" w:history="1">
        <w:r w:rsidRPr="00AA126E">
          <w:rPr>
            <w:rStyle w:val="Hyperlink"/>
            <w:rFonts w:ascii="Times New Roman" w:hAnsi="Times New Roman"/>
            <w:sz w:val="24"/>
            <w:szCs w:val="24"/>
          </w:rPr>
          <w:t>https://www.opn.ca6.uscourts.gov/opinions.pdf/20a0579n-06.pdf</w:t>
        </w:r>
      </w:hyperlink>
      <w:r>
        <w:rPr>
          <w:rFonts w:ascii="Times New Roman" w:hAnsi="Times New Roman"/>
          <w:sz w:val="24"/>
          <w:szCs w:val="24"/>
        </w:rPr>
        <w:t xml:space="preserve"> </w:t>
      </w:r>
    </w:p>
    <w:p w14:paraId="09F5DE6C" w14:textId="538036CD" w:rsidR="009E093C" w:rsidRDefault="009E093C" w:rsidP="00EF1133">
      <w:pPr>
        <w:rPr>
          <w:rFonts w:ascii="Arial Black" w:hAnsi="Arial Black"/>
          <w:b/>
          <w:sz w:val="24"/>
          <w:szCs w:val="24"/>
        </w:rPr>
      </w:pPr>
    </w:p>
    <w:p w14:paraId="75AAE181" w14:textId="77777777" w:rsidR="009E093C" w:rsidRDefault="009E093C" w:rsidP="009E093C">
      <w:pPr>
        <w:pStyle w:val="NoSpacing"/>
        <w:rPr>
          <w:rFonts w:ascii="Times New Roman" w:hAnsi="Times New Roman"/>
          <w:b/>
          <w:bCs/>
          <w:sz w:val="24"/>
          <w:szCs w:val="24"/>
        </w:rPr>
      </w:pPr>
      <w:r w:rsidRPr="00323F41">
        <w:rPr>
          <w:rFonts w:ascii="Times New Roman" w:hAnsi="Times New Roman"/>
          <w:b/>
          <w:bCs/>
          <w:sz w:val="24"/>
          <w:szCs w:val="24"/>
        </w:rPr>
        <w:t>Legal Lesson Learned:</w:t>
      </w:r>
      <w:r>
        <w:rPr>
          <w:rFonts w:ascii="Times New Roman" w:hAnsi="Times New Roman"/>
          <w:b/>
          <w:bCs/>
          <w:sz w:val="24"/>
          <w:szCs w:val="24"/>
        </w:rPr>
        <w:t xml:space="preserve"> If the Deputy Sheriff had gone to his union, County Prosecutor, FBI or County Commissioners, then his “speech” may have been protected.</w:t>
      </w:r>
    </w:p>
    <w:p w14:paraId="379A06FA" w14:textId="77777777" w:rsidR="009E093C" w:rsidRDefault="009E093C" w:rsidP="009E093C">
      <w:pPr>
        <w:pStyle w:val="NoSpacing"/>
        <w:rPr>
          <w:rFonts w:ascii="Times New Roman" w:hAnsi="Times New Roman"/>
          <w:b/>
          <w:bCs/>
          <w:sz w:val="24"/>
          <w:szCs w:val="24"/>
        </w:rPr>
      </w:pPr>
    </w:p>
    <w:p w14:paraId="2B0A7B10" w14:textId="77777777" w:rsidR="009E093C" w:rsidRPr="00EA56DC" w:rsidRDefault="009E093C" w:rsidP="009E093C">
      <w:pPr>
        <w:pStyle w:val="NoSpacing"/>
        <w:ind w:left="720"/>
        <w:rPr>
          <w:rFonts w:ascii="Times New Roman" w:hAnsi="Times New Roman"/>
          <w:sz w:val="24"/>
          <w:szCs w:val="24"/>
        </w:rPr>
      </w:pPr>
      <w:r w:rsidRPr="00EA56DC">
        <w:rPr>
          <w:rFonts w:ascii="Times New Roman" w:hAnsi="Times New Roman"/>
          <w:sz w:val="24"/>
          <w:szCs w:val="24"/>
        </w:rPr>
        <w:t>Note: The 6</w:t>
      </w:r>
      <w:r w:rsidRPr="00EA56DC">
        <w:rPr>
          <w:rFonts w:ascii="Times New Roman" w:hAnsi="Times New Roman"/>
          <w:sz w:val="24"/>
          <w:szCs w:val="24"/>
          <w:vertAlign w:val="superscript"/>
        </w:rPr>
        <w:t>th</w:t>
      </w:r>
      <w:r w:rsidRPr="00EA56DC">
        <w:rPr>
          <w:rFonts w:ascii="Times New Roman" w:hAnsi="Times New Roman"/>
          <w:sz w:val="24"/>
          <w:szCs w:val="24"/>
        </w:rPr>
        <w:t xml:space="preserve"> Circuit </w:t>
      </w:r>
      <w:r>
        <w:rPr>
          <w:rFonts w:ascii="Times New Roman" w:hAnsi="Times New Roman"/>
          <w:sz w:val="24"/>
          <w:szCs w:val="24"/>
        </w:rPr>
        <w:t xml:space="preserve">judges in this case </w:t>
      </w:r>
      <w:r w:rsidRPr="00EA56DC">
        <w:rPr>
          <w:rFonts w:ascii="Times New Roman" w:hAnsi="Times New Roman"/>
          <w:sz w:val="24"/>
          <w:szCs w:val="24"/>
        </w:rPr>
        <w:t xml:space="preserve">described </w:t>
      </w:r>
      <w:r>
        <w:rPr>
          <w:rFonts w:ascii="Times New Roman" w:hAnsi="Times New Roman"/>
          <w:sz w:val="24"/>
          <w:szCs w:val="24"/>
        </w:rPr>
        <w:t xml:space="preserve">a </w:t>
      </w:r>
      <w:r w:rsidRPr="00EA56DC">
        <w:rPr>
          <w:rFonts w:ascii="Times New Roman" w:hAnsi="Times New Roman"/>
          <w:sz w:val="24"/>
          <w:szCs w:val="24"/>
        </w:rPr>
        <w:t>recent decision where public employee was protected by 1</w:t>
      </w:r>
      <w:r w:rsidRPr="00EA56DC">
        <w:rPr>
          <w:rFonts w:ascii="Times New Roman" w:hAnsi="Times New Roman"/>
          <w:sz w:val="24"/>
          <w:szCs w:val="24"/>
          <w:vertAlign w:val="superscript"/>
        </w:rPr>
        <w:t>st</w:t>
      </w:r>
      <w:r w:rsidRPr="00EA56DC">
        <w:rPr>
          <w:rFonts w:ascii="Times New Roman" w:hAnsi="Times New Roman"/>
          <w:sz w:val="24"/>
          <w:szCs w:val="24"/>
        </w:rPr>
        <w:t xml:space="preserve"> Amendment. </w:t>
      </w:r>
    </w:p>
    <w:p w14:paraId="4C1FF146" w14:textId="77777777" w:rsidR="009E093C" w:rsidRDefault="009E093C" w:rsidP="009E093C">
      <w:pPr>
        <w:pStyle w:val="NoSpacing"/>
        <w:ind w:left="720"/>
        <w:rPr>
          <w:rFonts w:ascii="Times New Roman" w:hAnsi="Times New Roman"/>
          <w:sz w:val="24"/>
          <w:szCs w:val="24"/>
        </w:rPr>
      </w:pPr>
    </w:p>
    <w:p w14:paraId="0077E9D1" w14:textId="77777777" w:rsidR="009E093C" w:rsidRPr="00323F41" w:rsidRDefault="009E093C" w:rsidP="009E093C">
      <w:pPr>
        <w:pStyle w:val="NoSpacing"/>
        <w:ind w:left="1440"/>
        <w:rPr>
          <w:rFonts w:ascii="Times New Roman" w:hAnsi="Times New Roman"/>
          <w:sz w:val="24"/>
          <w:szCs w:val="24"/>
        </w:rPr>
      </w:pPr>
      <w:r>
        <w:rPr>
          <w:rFonts w:ascii="Times New Roman" w:hAnsi="Times New Roman"/>
          <w:sz w:val="24"/>
          <w:szCs w:val="24"/>
        </w:rPr>
        <w:t>“</w:t>
      </w:r>
      <w:r w:rsidRPr="00323F41">
        <w:rPr>
          <w:rFonts w:ascii="Times New Roman" w:hAnsi="Times New Roman"/>
          <w:sz w:val="24"/>
          <w:szCs w:val="24"/>
        </w:rPr>
        <w:t>Our recent decision,</w:t>
      </w:r>
      <w:r>
        <w:rPr>
          <w:rFonts w:ascii="Times New Roman" w:hAnsi="Times New Roman"/>
          <w:sz w:val="24"/>
          <w:szCs w:val="24"/>
        </w:rPr>
        <w:t xml:space="preserve"> </w:t>
      </w:r>
      <w:r w:rsidRPr="00323F41">
        <w:rPr>
          <w:rFonts w:ascii="Times New Roman" w:hAnsi="Times New Roman"/>
          <w:sz w:val="24"/>
          <w:szCs w:val="24"/>
        </w:rPr>
        <w:t xml:space="preserve">Mertins v. City of Mount Clemens, 817 F. </w:t>
      </w:r>
      <w:proofErr w:type="spellStart"/>
      <w:r w:rsidRPr="00323F41">
        <w:rPr>
          <w:rFonts w:ascii="Times New Roman" w:hAnsi="Times New Roman"/>
          <w:sz w:val="24"/>
          <w:szCs w:val="24"/>
        </w:rPr>
        <w:t>App’x</w:t>
      </w:r>
      <w:proofErr w:type="spellEnd"/>
      <w:r w:rsidRPr="00323F41">
        <w:rPr>
          <w:rFonts w:ascii="Times New Roman" w:hAnsi="Times New Roman"/>
          <w:sz w:val="24"/>
          <w:szCs w:val="24"/>
        </w:rPr>
        <w:t xml:space="preserve"> 126 (6</w:t>
      </w:r>
      <w:r w:rsidRPr="00753DA9">
        <w:rPr>
          <w:rFonts w:ascii="Times New Roman" w:hAnsi="Times New Roman"/>
          <w:sz w:val="24"/>
          <w:szCs w:val="24"/>
          <w:vertAlign w:val="superscript"/>
        </w:rPr>
        <w:t>th</w:t>
      </w:r>
      <w:r w:rsidRPr="00323F41">
        <w:rPr>
          <w:rFonts w:ascii="Times New Roman" w:hAnsi="Times New Roman"/>
          <w:sz w:val="24"/>
          <w:szCs w:val="24"/>
        </w:rPr>
        <w:t xml:space="preserve"> Cir. 2020),</w:t>
      </w:r>
      <w:r>
        <w:rPr>
          <w:rFonts w:ascii="Times New Roman" w:hAnsi="Times New Roman"/>
          <w:sz w:val="24"/>
          <w:szCs w:val="24"/>
        </w:rPr>
        <w:t xml:space="preserve"> </w:t>
      </w:r>
      <w:r w:rsidRPr="00323F41">
        <w:rPr>
          <w:rFonts w:ascii="Times New Roman" w:hAnsi="Times New Roman"/>
          <w:sz w:val="24"/>
          <w:szCs w:val="24"/>
        </w:rPr>
        <w:t>does not counsel otherwise. There, a city finance department employee discovered the city was overbilling residents for utilities</w:t>
      </w:r>
      <w:r>
        <w:rPr>
          <w:rFonts w:ascii="Times New Roman" w:hAnsi="Times New Roman"/>
          <w:sz w:val="24"/>
          <w:szCs w:val="24"/>
        </w:rPr>
        <w:t>….</w:t>
      </w:r>
      <w:r w:rsidRPr="00323F41">
        <w:rPr>
          <w:rFonts w:ascii="Times New Roman" w:hAnsi="Times New Roman"/>
          <w:sz w:val="24"/>
          <w:szCs w:val="24"/>
        </w:rPr>
        <w:t>Yet when the employee raised the issue with her supervisors, she was subjected to reprimands and harassment</w:t>
      </w:r>
      <w:r>
        <w:rPr>
          <w:rFonts w:ascii="Times New Roman" w:hAnsi="Times New Roman"/>
          <w:sz w:val="24"/>
          <w:szCs w:val="24"/>
        </w:rPr>
        <w:t>…</w:t>
      </w:r>
      <w:r w:rsidRPr="00323F41">
        <w:rPr>
          <w:rFonts w:ascii="Times New Roman" w:hAnsi="Times New Roman"/>
          <w:sz w:val="24"/>
          <w:szCs w:val="24"/>
        </w:rPr>
        <w:t xml:space="preserve"> The employee then raised these same concerns with her union, local prosecutors, the FBI, and city commissioners. Id.</w:t>
      </w:r>
      <w:r>
        <w:rPr>
          <w:rFonts w:ascii="Times New Roman" w:hAnsi="Times New Roman"/>
          <w:sz w:val="24"/>
          <w:szCs w:val="24"/>
        </w:rPr>
        <w:t xml:space="preserve"> </w:t>
      </w:r>
      <w:r w:rsidRPr="00323F41">
        <w:rPr>
          <w:rFonts w:ascii="Times New Roman" w:hAnsi="Times New Roman"/>
          <w:sz w:val="24"/>
          <w:szCs w:val="24"/>
        </w:rPr>
        <w:t>At the same time, she continued to face discipline from her supervisors. Id.</w:t>
      </w:r>
      <w:r>
        <w:rPr>
          <w:rFonts w:ascii="Times New Roman" w:hAnsi="Times New Roman"/>
          <w:sz w:val="24"/>
          <w:szCs w:val="24"/>
        </w:rPr>
        <w:t xml:space="preserve"> </w:t>
      </w:r>
      <w:r w:rsidRPr="00323F41">
        <w:rPr>
          <w:rFonts w:ascii="Times New Roman" w:hAnsi="Times New Roman"/>
          <w:sz w:val="24"/>
          <w:szCs w:val="24"/>
        </w:rPr>
        <w:t xml:space="preserve">The employee eventually filed a First Amendment retaliation claim against her supervisors, and we later reversed the district court’s grant of summary judgment for the </w:t>
      </w:r>
      <w:proofErr w:type="gramStart"/>
      <w:r w:rsidRPr="00323F41">
        <w:rPr>
          <w:rFonts w:ascii="Times New Roman" w:hAnsi="Times New Roman"/>
          <w:sz w:val="24"/>
          <w:szCs w:val="24"/>
        </w:rPr>
        <w:t>defendants.</w:t>
      </w:r>
      <w:r>
        <w:rPr>
          <w:rFonts w:ascii="Times New Roman" w:hAnsi="Times New Roman"/>
          <w:sz w:val="24"/>
          <w:szCs w:val="24"/>
        </w:rPr>
        <w:t>”</w:t>
      </w:r>
      <w:proofErr w:type="gramEnd"/>
      <w:r>
        <w:rPr>
          <w:rFonts w:ascii="Times New Roman" w:hAnsi="Times New Roman"/>
          <w:sz w:val="24"/>
          <w:szCs w:val="24"/>
        </w:rPr>
        <w:t xml:space="preserve">   [June 5, </w:t>
      </w:r>
      <w:proofErr w:type="gramStart"/>
      <w:r>
        <w:rPr>
          <w:rFonts w:ascii="Times New Roman" w:hAnsi="Times New Roman"/>
          <w:sz w:val="24"/>
          <w:szCs w:val="24"/>
        </w:rPr>
        <w:t>2020</w:t>
      </w:r>
      <w:proofErr w:type="gramEnd"/>
      <w:r>
        <w:rPr>
          <w:rFonts w:ascii="Times New Roman" w:hAnsi="Times New Roman"/>
          <w:sz w:val="24"/>
          <w:szCs w:val="24"/>
        </w:rPr>
        <w:t xml:space="preserve"> decision of 6</w:t>
      </w:r>
      <w:r w:rsidRPr="000C02CA">
        <w:rPr>
          <w:rFonts w:ascii="Times New Roman" w:hAnsi="Times New Roman"/>
          <w:sz w:val="24"/>
          <w:szCs w:val="24"/>
          <w:vertAlign w:val="superscript"/>
        </w:rPr>
        <w:t>th</w:t>
      </w:r>
      <w:r>
        <w:rPr>
          <w:rFonts w:ascii="Times New Roman" w:hAnsi="Times New Roman"/>
          <w:sz w:val="24"/>
          <w:szCs w:val="24"/>
        </w:rPr>
        <w:t xml:space="preserve"> Circuit: </w:t>
      </w:r>
      <w:hyperlink r:id="rId1227" w:history="1">
        <w:r w:rsidRPr="00AA126E">
          <w:rPr>
            <w:rStyle w:val="Hyperlink"/>
            <w:rFonts w:ascii="Times New Roman" w:hAnsi="Times New Roman"/>
            <w:sz w:val="24"/>
            <w:szCs w:val="24"/>
          </w:rPr>
          <w:t>https://law.justia.com/cases/federal/appellate-courts/ca6/19-1416/19-1416-2020-06-05.html</w:t>
        </w:r>
      </w:hyperlink>
      <w:r>
        <w:rPr>
          <w:rFonts w:ascii="Times New Roman" w:hAnsi="Times New Roman"/>
          <w:sz w:val="24"/>
          <w:szCs w:val="24"/>
        </w:rPr>
        <w:t xml:space="preserve">] </w:t>
      </w:r>
    </w:p>
    <w:p w14:paraId="1351B32C" w14:textId="77777777" w:rsidR="009E093C" w:rsidRDefault="009E093C" w:rsidP="009E093C">
      <w:pPr>
        <w:pStyle w:val="NoSpacing"/>
        <w:rPr>
          <w:rFonts w:ascii="Times New Roman" w:hAnsi="Times New Roman"/>
          <w:b/>
          <w:bCs/>
          <w:sz w:val="24"/>
          <w:szCs w:val="24"/>
        </w:rPr>
      </w:pPr>
    </w:p>
    <w:p w14:paraId="405353F6" w14:textId="77777777" w:rsidR="009E093C" w:rsidRDefault="009E093C" w:rsidP="009E093C">
      <w:pPr>
        <w:pStyle w:val="NoSpacing"/>
        <w:ind w:left="1440"/>
      </w:pPr>
      <w:r w:rsidRPr="000C02CA">
        <w:rPr>
          <w:rFonts w:ascii="Times New Roman" w:hAnsi="Times New Roman"/>
          <w:sz w:val="24"/>
          <w:szCs w:val="24"/>
        </w:rPr>
        <w:t xml:space="preserve">Many states have enacted whistleblower protection statutes. </w:t>
      </w:r>
      <w:r w:rsidRPr="00323F41">
        <w:rPr>
          <w:rFonts w:ascii="Times New Roman" w:hAnsi="Times New Roman"/>
          <w:sz w:val="24"/>
          <w:szCs w:val="24"/>
        </w:rPr>
        <w:t xml:space="preserve">For example: </w:t>
      </w:r>
      <w:r>
        <w:rPr>
          <w:rFonts w:ascii="Times New Roman" w:hAnsi="Times New Roman"/>
          <w:sz w:val="24"/>
          <w:szCs w:val="24"/>
        </w:rPr>
        <w:t>Ohio Revised Code</w:t>
      </w:r>
      <w:r w:rsidRPr="00323F41">
        <w:rPr>
          <w:rFonts w:ascii="Times New Roman" w:hAnsi="Times New Roman"/>
          <w:sz w:val="24"/>
          <w:szCs w:val="24"/>
        </w:rPr>
        <w:t xml:space="preserve"> 4113.52</w:t>
      </w:r>
      <w:r>
        <w:rPr>
          <w:rFonts w:ascii="Times New Roman" w:hAnsi="Times New Roman"/>
          <w:sz w:val="24"/>
          <w:szCs w:val="24"/>
        </w:rPr>
        <w:t>, ”</w:t>
      </w:r>
      <w:r w:rsidRPr="00323F41">
        <w:rPr>
          <w:rFonts w:ascii="Times New Roman" w:hAnsi="Times New Roman"/>
          <w:sz w:val="24"/>
          <w:szCs w:val="24"/>
        </w:rPr>
        <w:t>Reporting violation of law by employer or fellow employee</w:t>
      </w:r>
      <w:r>
        <w:t>.”</w:t>
      </w:r>
    </w:p>
    <w:p w14:paraId="57C8D374" w14:textId="77777777" w:rsidR="009E093C" w:rsidRDefault="009E093C" w:rsidP="009E093C">
      <w:pPr>
        <w:pStyle w:val="NormalWeb"/>
        <w:ind w:left="1830"/>
      </w:pPr>
      <w:r>
        <w:t xml:space="preserve">“(1)  (a) If an employee becomes aware in the course of the employee’s employment of a violation of any state or federal statute or any ordinance or regulation of a political subdivision that the employee’s employer has authority to correct, and the employee reasonably believes that the violation is a criminal offense that is likely to cause an imminent risk of physical harm to persons or a hazard to public health or safety , a felony, or an improper solicitation for a contribution, the employee orally shall notify the employee’s supervisor or other responsible officer of the employee’s employer of the violation and subsequently shall file with that supervisor or officer a written report that provides sufficient detail to identify and describe the violation. If the employer does not correct the violation or make a reasonable and good faith effort to correct the violation within twenty-four hours after the oral notification or the receipt of the report, whichever is earlier, the employee may file a written report that provides sufficient detail to identify and describe the violation with the prosecuting authority of the county or municipal corporation where the violation occurred, with a peace officer, with the inspector general if the violation is within the inspector general’s jurisdiction, or with any other appropriate public official or agency that has regulatory authority over the employer and the industry, trade, or business in which the employer is engaged.”  </w:t>
      </w:r>
      <w:hyperlink r:id="rId1228" w:history="1">
        <w:r w:rsidRPr="00AA126E">
          <w:rPr>
            <w:rStyle w:val="Hyperlink"/>
          </w:rPr>
          <w:t>http://codes.ohio.gov/orc/4113.52</w:t>
        </w:r>
      </w:hyperlink>
      <w:r>
        <w:t xml:space="preserve"> </w:t>
      </w:r>
    </w:p>
    <w:p w14:paraId="4E64EB72" w14:textId="77777777" w:rsidR="009E093C" w:rsidRDefault="009E093C" w:rsidP="009E093C">
      <w:pPr>
        <w:pStyle w:val="NoSpacing"/>
        <w:ind w:left="720" w:firstLine="720"/>
        <w:rPr>
          <w:rFonts w:ascii="Times New Roman" w:hAnsi="Times New Roman"/>
          <w:sz w:val="24"/>
          <w:szCs w:val="24"/>
        </w:rPr>
      </w:pPr>
      <w:r>
        <w:rPr>
          <w:rFonts w:ascii="Times New Roman" w:hAnsi="Times New Roman"/>
          <w:sz w:val="24"/>
          <w:szCs w:val="24"/>
        </w:rPr>
        <w:t xml:space="preserve">See also other Ohio statutes:  </w:t>
      </w:r>
    </w:p>
    <w:p w14:paraId="10A95A3F" w14:textId="77777777" w:rsidR="009E093C" w:rsidRDefault="009E093C" w:rsidP="009E093C">
      <w:pPr>
        <w:pStyle w:val="NoSpacing"/>
        <w:ind w:left="720" w:firstLine="720"/>
        <w:rPr>
          <w:rFonts w:ascii="Times New Roman" w:hAnsi="Times New Roman"/>
          <w:sz w:val="24"/>
          <w:szCs w:val="24"/>
        </w:rPr>
      </w:pPr>
    </w:p>
    <w:p w14:paraId="4BF7D098" w14:textId="77777777" w:rsidR="009E093C" w:rsidRPr="00323F41" w:rsidRDefault="009E093C" w:rsidP="009E093C">
      <w:pPr>
        <w:pStyle w:val="NoSpacing"/>
        <w:ind w:left="1440"/>
        <w:rPr>
          <w:rFonts w:ascii="Times New Roman" w:hAnsi="Times New Roman"/>
          <w:b/>
          <w:bCs/>
          <w:sz w:val="24"/>
          <w:szCs w:val="24"/>
        </w:rPr>
      </w:pPr>
      <w:r>
        <w:rPr>
          <w:rFonts w:ascii="Times New Roman" w:hAnsi="Times New Roman"/>
          <w:sz w:val="24"/>
          <w:szCs w:val="24"/>
        </w:rPr>
        <w:t>“</w:t>
      </w:r>
      <w:r w:rsidRPr="00323F41">
        <w:rPr>
          <w:rFonts w:ascii="Times New Roman" w:hAnsi="Times New Roman"/>
          <w:sz w:val="24"/>
          <w:szCs w:val="24"/>
        </w:rPr>
        <w:t>Ohio has a general whistleblower protection statute that protects whistleblowers who report suspected felonies, crimes that may cause physical harm, and crimes that may produce a hazard to the public health or safety. Also, several other Ohio statutes contain anti-retaliation provisions. Employees who engage in protected activities under laws in the following subject areas are protected from retaliation: abuse or neglect of residents at health-care facility, discrimination, minimum wage, wage discrimination, and workers</w:t>
      </w:r>
      <w:r>
        <w:rPr>
          <w:rFonts w:ascii="Times New Roman" w:hAnsi="Times New Roman"/>
          <w:sz w:val="24"/>
          <w:szCs w:val="24"/>
        </w:rPr>
        <w:t>’</w:t>
      </w:r>
      <w:r w:rsidRPr="00323F41">
        <w:rPr>
          <w:rFonts w:ascii="Times New Roman" w:hAnsi="Times New Roman"/>
          <w:sz w:val="24"/>
          <w:szCs w:val="24"/>
        </w:rPr>
        <w:t xml:space="preserve"> compensation.” </w:t>
      </w:r>
      <w:hyperlink r:id="rId1229" w:history="1">
        <w:r w:rsidRPr="00323F41">
          <w:rPr>
            <w:rStyle w:val="Hyperlink"/>
            <w:rFonts w:ascii="Times New Roman" w:hAnsi="Times New Roman"/>
            <w:sz w:val="24"/>
            <w:szCs w:val="24"/>
          </w:rPr>
          <w:t>https://www.workplacefairness.org/whistleblower-retaliation-claim-OH</w:t>
        </w:r>
      </w:hyperlink>
      <w:r w:rsidRPr="00323F41">
        <w:rPr>
          <w:rFonts w:ascii="Times New Roman" w:hAnsi="Times New Roman"/>
          <w:sz w:val="24"/>
          <w:szCs w:val="24"/>
        </w:rPr>
        <w:t xml:space="preserve"> </w:t>
      </w:r>
    </w:p>
    <w:p w14:paraId="78C3413E" w14:textId="77777777" w:rsidR="009E093C" w:rsidRDefault="009E093C" w:rsidP="00EF1133">
      <w:pPr>
        <w:rPr>
          <w:rFonts w:ascii="Arial Black" w:hAnsi="Arial Black"/>
          <w:b/>
          <w:sz w:val="24"/>
          <w:szCs w:val="24"/>
        </w:rPr>
      </w:pPr>
    </w:p>
    <w:p w14:paraId="3ED44651" w14:textId="77777777" w:rsidR="009E093C" w:rsidRDefault="009E093C" w:rsidP="00EF1133">
      <w:pPr>
        <w:rPr>
          <w:rFonts w:ascii="Arial Black" w:hAnsi="Arial Black"/>
          <w:b/>
          <w:sz w:val="24"/>
          <w:szCs w:val="24"/>
        </w:rPr>
      </w:pPr>
    </w:p>
    <w:p w14:paraId="70F1EBC6" w14:textId="77777777" w:rsidR="009E093C" w:rsidRDefault="009E093C" w:rsidP="00EF1133">
      <w:pPr>
        <w:rPr>
          <w:rFonts w:ascii="Arial Black" w:hAnsi="Arial Black"/>
          <w:b/>
          <w:sz w:val="24"/>
          <w:szCs w:val="24"/>
        </w:rPr>
      </w:pPr>
    </w:p>
    <w:p w14:paraId="330431A7" w14:textId="15C107A1" w:rsidR="00DD03E3" w:rsidRDefault="00DD03E3" w:rsidP="00EF1133">
      <w:pPr>
        <w:rPr>
          <w:rFonts w:ascii="Arial Black" w:hAnsi="Arial Black"/>
          <w:b/>
          <w:sz w:val="24"/>
          <w:szCs w:val="24"/>
        </w:rPr>
      </w:pPr>
      <w:r>
        <w:rPr>
          <w:rFonts w:ascii="Arial Black" w:hAnsi="Arial Black"/>
          <w:b/>
          <w:sz w:val="24"/>
          <w:szCs w:val="24"/>
        </w:rPr>
        <w:t>6-5</w:t>
      </w:r>
      <w:r w:rsidR="008F02C3">
        <w:rPr>
          <w:rFonts w:ascii="Arial Black" w:hAnsi="Arial Black"/>
          <w:b/>
          <w:sz w:val="24"/>
          <w:szCs w:val="24"/>
        </w:rPr>
        <w:t>2</w:t>
      </w:r>
    </w:p>
    <w:p w14:paraId="11CDA428" w14:textId="77777777" w:rsidR="00DD03E3" w:rsidRPr="001A1A8E" w:rsidRDefault="00DD03E3" w:rsidP="00DD03E3">
      <w:pPr>
        <w:pStyle w:val="NormalWeb"/>
        <w:rPr>
          <w:rFonts w:ascii="Arial Black" w:hAnsi="Arial Black"/>
          <w:sz w:val="28"/>
          <w:szCs w:val="28"/>
        </w:rPr>
      </w:pPr>
      <w:r w:rsidRPr="001A1A8E">
        <w:rPr>
          <w:rFonts w:ascii="Arial Black" w:hAnsi="Arial Black"/>
          <w:sz w:val="28"/>
          <w:szCs w:val="28"/>
        </w:rPr>
        <w:t>NJ:</w:t>
      </w:r>
      <w:r>
        <w:rPr>
          <w:rFonts w:ascii="Arial Black" w:hAnsi="Arial Black"/>
          <w:sz w:val="28"/>
          <w:szCs w:val="28"/>
        </w:rPr>
        <w:t xml:space="preserve"> RECRUIT FIRED AFTER GRADUATION – PRIOR TO ACADEMY HAD ALTERED INSURANCE CARD TO SHOW ADDRESS IN CITY - REINSTATED</w:t>
      </w:r>
    </w:p>
    <w:p w14:paraId="191F5C43" w14:textId="77777777" w:rsidR="00DD03E3" w:rsidRDefault="00DD03E3" w:rsidP="00DD03E3">
      <w:pPr>
        <w:spacing w:before="100" w:beforeAutospacing="1" w:after="100" w:afterAutospacing="1" w:line="240" w:lineRule="auto"/>
        <w:rPr>
          <w:rFonts w:ascii="Times New Roman" w:eastAsia="Times New Roman" w:hAnsi="Times New Roman"/>
          <w:sz w:val="24"/>
          <w:szCs w:val="24"/>
        </w:rPr>
      </w:pPr>
      <w:r w:rsidRPr="001A48DE">
        <w:rPr>
          <w:rFonts w:ascii="Times New Roman" w:eastAsia="Times New Roman" w:hAnsi="Times New Roman"/>
          <w:sz w:val="24"/>
          <w:szCs w:val="24"/>
        </w:rPr>
        <w:t xml:space="preserve">On Oct. 19, 2020, </w:t>
      </w:r>
      <w:r w:rsidRPr="001A48DE">
        <w:rPr>
          <w:rFonts w:ascii="Times New Roman" w:eastAsia="Times New Roman" w:hAnsi="Times New Roman"/>
          <w:sz w:val="24"/>
          <w:szCs w:val="24"/>
          <w:u w:val="single"/>
        </w:rPr>
        <w:t>In The Matter of Christopher D’Amico, City of Plainfield, Fire Department</w:t>
      </w:r>
      <w:r>
        <w:rPr>
          <w:rFonts w:ascii="Times New Roman" w:eastAsia="Times New Roman" w:hAnsi="Times New Roman"/>
          <w:sz w:val="24"/>
          <w:szCs w:val="24"/>
          <w:u w:val="single"/>
        </w:rPr>
        <w:t xml:space="preserve">, </w:t>
      </w:r>
      <w:r>
        <w:rPr>
          <w:rFonts w:ascii="Times New Roman" w:eastAsia="Times New Roman" w:hAnsi="Times New Roman"/>
          <w:sz w:val="24"/>
          <w:szCs w:val="24"/>
        </w:rPr>
        <w:t>the Superior Court of New Jersey, Appellate Division, held (2 to 0) in unpublished decision, that  the New Jersey Civil Service Commission, based on the findings of their Administrative Law Judge, properly ordered the City to rehire the firefighter, with back and seniority rights. The Fire Chief also supported the re-hire decision.</w:t>
      </w:r>
    </w:p>
    <w:p w14:paraId="632345FD" w14:textId="77777777" w:rsidR="00DD03E3" w:rsidRPr="001A48DE" w:rsidRDefault="00DD03E3" w:rsidP="00DD03E3">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1A48DE">
        <w:rPr>
          <w:rFonts w:ascii="Times New Roman" w:hAnsi="Times New Roman"/>
          <w:sz w:val="24"/>
          <w:szCs w:val="24"/>
        </w:rPr>
        <w:t xml:space="preserve">After reviewing the City's exceptions, the Commission agreed with the ALJ. It held D'Amico provided his true address on the card and the addition of correct information on the document did not indicate a lack of character or morals to be a firefighter. Even if it were, the Commission concluded the </w:t>
      </w:r>
      <w:proofErr w:type="gramStart"/>
      <w:r w:rsidRPr="001A48DE">
        <w:rPr>
          <w:rFonts w:ascii="Times New Roman" w:hAnsi="Times New Roman"/>
          <w:sz w:val="24"/>
          <w:szCs w:val="24"/>
        </w:rPr>
        <w:t>City</w:t>
      </w:r>
      <w:proofErr w:type="gramEnd"/>
      <w:r w:rsidRPr="001A48DE">
        <w:rPr>
          <w:rFonts w:ascii="Times New Roman" w:hAnsi="Times New Roman"/>
          <w:sz w:val="24"/>
          <w:szCs w:val="24"/>
        </w:rPr>
        <w:t xml:space="preserve"> was aware of the altered document in May 2017, before D'Amico was hired and attended the fire academy. In addition, because D'Amico was on the job for only three or four hours at the time he was terminated, the Commission concluded the </w:t>
      </w:r>
      <w:proofErr w:type="gramStart"/>
      <w:r w:rsidRPr="001A48DE">
        <w:rPr>
          <w:rFonts w:ascii="Times New Roman" w:hAnsi="Times New Roman"/>
          <w:sz w:val="24"/>
          <w:szCs w:val="24"/>
        </w:rPr>
        <w:t>City</w:t>
      </w:r>
      <w:proofErr w:type="gramEnd"/>
      <w:r w:rsidRPr="001A48DE">
        <w:rPr>
          <w:rFonts w:ascii="Times New Roman" w:hAnsi="Times New Roman"/>
          <w:sz w:val="24"/>
          <w:szCs w:val="24"/>
        </w:rPr>
        <w:t xml:space="preserve"> had the burden of proving D'Amico was guilty of the charges. Based on its findings, the Commission reinstated D'Amico, and awarded him back pay, benefits, and seniority status.</w:t>
      </w:r>
      <w:r>
        <w:rPr>
          <w:rFonts w:ascii="Times New Roman" w:hAnsi="Times New Roman"/>
          <w:sz w:val="24"/>
          <w:szCs w:val="24"/>
        </w:rPr>
        <w:t xml:space="preserve">” </w:t>
      </w:r>
      <w:hyperlink r:id="rId1230" w:history="1">
        <w:r w:rsidRPr="003B2E68">
          <w:rPr>
            <w:rStyle w:val="Hyperlink"/>
            <w:rFonts w:ascii="Times New Roman" w:hAnsi="Times New Roman"/>
            <w:sz w:val="24"/>
            <w:szCs w:val="24"/>
          </w:rPr>
          <w:t>https://public.fastcase.com/Wl%2B2t%2BeVuI35%2FN70vAMFZt8kW6J16QTt9TZ%2FuwcLGfAQlmvmDCIs7SYJL9UeqqRt</w:t>
        </w:r>
      </w:hyperlink>
      <w:r>
        <w:rPr>
          <w:rFonts w:ascii="Times New Roman" w:hAnsi="Times New Roman"/>
          <w:sz w:val="24"/>
          <w:szCs w:val="24"/>
        </w:rPr>
        <w:t xml:space="preserve"> </w:t>
      </w:r>
    </w:p>
    <w:p w14:paraId="764015A2" w14:textId="77777777" w:rsidR="00DD03E3" w:rsidRDefault="00DD03E3" w:rsidP="00DD03E3">
      <w:pPr>
        <w:spacing w:before="100" w:beforeAutospacing="1" w:after="100" w:afterAutospacing="1" w:line="240" w:lineRule="auto"/>
        <w:rPr>
          <w:rFonts w:ascii="Times New Roman" w:eastAsia="Times New Roman" w:hAnsi="Times New Roman"/>
          <w:b/>
          <w:bCs/>
          <w:sz w:val="24"/>
          <w:szCs w:val="24"/>
        </w:rPr>
      </w:pPr>
      <w:r w:rsidRPr="006D1272">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Civil Service Commissions can perform valuable service; Courts will normally uphold unless “arbitrary, capricious, unreasonable, or lacked sufficient credible evidence in the record. </w:t>
      </w:r>
    </w:p>
    <w:p w14:paraId="138AECDA" w14:textId="77777777" w:rsidR="00DD03E3" w:rsidRDefault="00DD03E3" w:rsidP="00DD03E3">
      <w:pPr>
        <w:spacing w:before="100" w:beforeAutospacing="1" w:after="100" w:afterAutospacing="1" w:line="240" w:lineRule="auto"/>
        <w:ind w:left="720"/>
        <w:rPr>
          <w:rFonts w:ascii="Times New Roman" w:hAnsi="Times New Roman"/>
          <w:sz w:val="24"/>
          <w:szCs w:val="24"/>
        </w:rPr>
      </w:pPr>
      <w:r w:rsidRPr="006F79CC">
        <w:rPr>
          <w:rFonts w:ascii="Times New Roman" w:eastAsia="Times New Roman" w:hAnsi="Times New Roman"/>
          <w:sz w:val="24"/>
          <w:szCs w:val="24"/>
        </w:rPr>
        <w:t>Note:</w:t>
      </w:r>
      <w:r>
        <w:rPr>
          <w:rFonts w:ascii="Times New Roman" w:eastAsia="Times New Roman" w:hAnsi="Times New Roman"/>
          <w:b/>
          <w:bCs/>
          <w:sz w:val="24"/>
          <w:szCs w:val="24"/>
        </w:rPr>
        <w:t xml:space="preserve"> </w:t>
      </w:r>
      <w:r w:rsidRPr="006D1272">
        <w:rPr>
          <w:rFonts w:ascii="Times New Roman" w:hAnsi="Times New Roman"/>
          <w:sz w:val="24"/>
          <w:szCs w:val="24"/>
        </w:rPr>
        <w:t>The Ohio Supreme Court, in Lima v State,</w:t>
      </w:r>
      <w:r>
        <w:rPr>
          <w:rFonts w:ascii="Times New Roman" w:hAnsi="Times New Roman"/>
          <w:sz w:val="24"/>
          <w:szCs w:val="24"/>
        </w:rPr>
        <w:t xml:space="preserve"> on June 10, 2009, </w:t>
      </w:r>
      <w:r w:rsidRPr="006D1272">
        <w:rPr>
          <w:rFonts w:ascii="Times New Roman" w:hAnsi="Times New Roman"/>
          <w:sz w:val="24"/>
          <w:szCs w:val="24"/>
        </w:rPr>
        <w:t>2009-Ohio-2597, held 5-2 that a state law</w:t>
      </w:r>
      <w:r>
        <w:rPr>
          <w:rFonts w:ascii="Times New Roman" w:hAnsi="Times New Roman"/>
          <w:sz w:val="24"/>
          <w:szCs w:val="24"/>
        </w:rPr>
        <w:t xml:space="preserve"> </w:t>
      </w:r>
      <w:r w:rsidRPr="006D1272">
        <w:rPr>
          <w:rFonts w:ascii="Times New Roman" w:hAnsi="Times New Roman"/>
          <w:sz w:val="24"/>
          <w:szCs w:val="24"/>
        </w:rPr>
        <w:t>prohibiting general residency requirements for public</w:t>
      </w:r>
      <w:r>
        <w:rPr>
          <w:rFonts w:ascii="Times New Roman" w:hAnsi="Times New Roman"/>
          <w:sz w:val="24"/>
          <w:szCs w:val="24"/>
        </w:rPr>
        <w:t xml:space="preserve"> </w:t>
      </w:r>
      <w:r w:rsidRPr="006D1272">
        <w:rPr>
          <w:rFonts w:ascii="Times New Roman" w:hAnsi="Times New Roman"/>
          <w:sz w:val="24"/>
          <w:szCs w:val="24"/>
        </w:rPr>
        <w:t>employees is valid and supersedes local laws</w:t>
      </w:r>
      <w:r>
        <w:rPr>
          <w:rFonts w:ascii="Times New Roman" w:hAnsi="Times New Roman"/>
          <w:sz w:val="24"/>
          <w:szCs w:val="24"/>
        </w:rPr>
        <w:t xml:space="preserve"> that might require residency.  </w:t>
      </w:r>
      <w:hyperlink r:id="rId1231" w:history="1">
        <w:r w:rsidRPr="003B2E68">
          <w:rPr>
            <w:rStyle w:val="Hyperlink"/>
            <w:rFonts w:ascii="Times New Roman" w:hAnsi="Times New Roman"/>
            <w:sz w:val="24"/>
            <w:szCs w:val="24"/>
          </w:rPr>
          <w:t>https://www.supremecourt.ohio.gov/rod/docs/pdf/0/2009/2009-Ohio-2597.pdf</w:t>
        </w:r>
      </w:hyperlink>
      <w:r>
        <w:rPr>
          <w:rFonts w:ascii="Times New Roman" w:hAnsi="Times New Roman"/>
          <w:sz w:val="24"/>
          <w:szCs w:val="24"/>
        </w:rPr>
        <w:t xml:space="preserve"> </w:t>
      </w:r>
    </w:p>
    <w:p w14:paraId="53AD2A8E" w14:textId="77777777" w:rsidR="00DD03E3" w:rsidRPr="00B5449A" w:rsidRDefault="00DD03E3" w:rsidP="00DD03E3">
      <w:pPr>
        <w:spacing w:before="100" w:beforeAutospacing="1" w:after="100" w:afterAutospacing="1" w:line="240" w:lineRule="auto"/>
        <w:ind w:left="720"/>
        <w:rPr>
          <w:rFonts w:ascii="Times New Roman" w:eastAsia="Times New Roman" w:hAnsi="Times New Roman"/>
          <w:sz w:val="24"/>
          <w:szCs w:val="24"/>
        </w:rPr>
      </w:pPr>
      <w:r w:rsidRPr="00B5449A">
        <w:rPr>
          <w:rFonts w:ascii="Times New Roman" w:eastAsia="Times New Roman" w:hAnsi="Times New Roman"/>
          <w:sz w:val="24"/>
          <w:szCs w:val="24"/>
        </w:rPr>
        <w:t>For Ohio firefighters</w:t>
      </w:r>
      <w:r>
        <w:rPr>
          <w:rFonts w:ascii="Times New Roman" w:eastAsia="Times New Roman" w:hAnsi="Times New Roman"/>
          <w:sz w:val="24"/>
          <w:szCs w:val="24"/>
        </w:rPr>
        <w:t xml:space="preserve"> and other emergency responders</w:t>
      </w:r>
      <w:r w:rsidRPr="00B5449A">
        <w:rPr>
          <w:rFonts w:ascii="Times New Roman" w:eastAsia="Times New Roman" w:hAnsi="Times New Roman"/>
          <w:sz w:val="24"/>
          <w:szCs w:val="24"/>
        </w:rPr>
        <w:t xml:space="preserve">, </w:t>
      </w:r>
      <w:r>
        <w:rPr>
          <w:rFonts w:ascii="Times New Roman" w:eastAsia="Times New Roman" w:hAnsi="Times New Roman"/>
          <w:sz w:val="24"/>
          <w:szCs w:val="24"/>
        </w:rPr>
        <w:t xml:space="preserve">a </w:t>
      </w:r>
      <w:r w:rsidRPr="00B5449A">
        <w:rPr>
          <w:rFonts w:ascii="Times New Roman" w:eastAsia="Times New Roman" w:hAnsi="Times New Roman"/>
          <w:sz w:val="24"/>
          <w:szCs w:val="24"/>
        </w:rPr>
        <w:t xml:space="preserve">political subdivision may require </w:t>
      </w:r>
      <w:r>
        <w:rPr>
          <w:rFonts w:ascii="Times New Roman" w:eastAsia="Times New Roman" w:hAnsi="Times New Roman"/>
          <w:sz w:val="24"/>
          <w:szCs w:val="24"/>
        </w:rPr>
        <w:t xml:space="preserve">that they </w:t>
      </w:r>
      <w:r w:rsidRPr="00B5449A">
        <w:rPr>
          <w:rFonts w:ascii="Times New Roman" w:eastAsia="Times New Roman" w:hAnsi="Times New Roman"/>
          <w:sz w:val="24"/>
          <w:szCs w:val="24"/>
        </w:rPr>
        <w:t>live in the county or adjacent county</w:t>
      </w:r>
      <w:r>
        <w:rPr>
          <w:rFonts w:ascii="Times New Roman" w:eastAsia="Times New Roman" w:hAnsi="Times New Roman"/>
          <w:sz w:val="24"/>
          <w:szCs w:val="24"/>
        </w:rPr>
        <w:t xml:space="preserve">. </w:t>
      </w:r>
      <w:r w:rsidRPr="00B5449A">
        <w:rPr>
          <w:rFonts w:ascii="Times New Roman" w:eastAsia="Times New Roman" w:hAnsi="Times New Roman"/>
          <w:sz w:val="24"/>
          <w:szCs w:val="24"/>
        </w:rPr>
        <w:t xml:space="preserve"> ORC 9.481: </w:t>
      </w:r>
      <w:hyperlink r:id="rId1232" w:history="1">
        <w:r w:rsidRPr="00B5449A">
          <w:rPr>
            <w:rStyle w:val="Hyperlink"/>
            <w:rFonts w:ascii="Times New Roman" w:eastAsia="Times New Roman" w:hAnsi="Times New Roman"/>
            <w:sz w:val="24"/>
            <w:szCs w:val="24"/>
          </w:rPr>
          <w:t>http://codes.ohio.gov/orc/gp9.481</w:t>
        </w:r>
      </w:hyperlink>
      <w:r w:rsidRPr="00B5449A">
        <w:rPr>
          <w:rFonts w:ascii="Times New Roman" w:eastAsia="Times New Roman" w:hAnsi="Times New Roman"/>
          <w:sz w:val="24"/>
          <w:szCs w:val="24"/>
        </w:rPr>
        <w:t xml:space="preserve"> </w:t>
      </w:r>
    </w:p>
    <w:p w14:paraId="35466EBD" w14:textId="77777777" w:rsidR="00DD03E3" w:rsidRPr="006D1272" w:rsidRDefault="00DD03E3" w:rsidP="00DD03E3">
      <w:pPr>
        <w:spacing w:before="100" w:beforeAutospacing="1" w:after="100" w:afterAutospacing="1" w:line="240" w:lineRule="auto"/>
        <w:ind w:left="1440"/>
        <w:rPr>
          <w:rFonts w:ascii="Times New Roman" w:eastAsia="Times New Roman" w:hAnsi="Times New Roman"/>
          <w:b/>
          <w:bCs/>
          <w:sz w:val="24"/>
          <w:szCs w:val="24"/>
        </w:rPr>
      </w:pPr>
      <w:r>
        <w:rPr>
          <w:rFonts w:ascii="Times New Roman" w:hAnsi="Times New Roman"/>
          <w:sz w:val="24"/>
          <w:szCs w:val="24"/>
        </w:rPr>
        <w:t>“</w:t>
      </w:r>
      <w:r w:rsidRPr="00B5449A">
        <w:rPr>
          <w:rFonts w:ascii="Times New Roman" w:hAnsi="Times New Roman"/>
          <w:sz w:val="24"/>
          <w:szCs w:val="24"/>
        </w:rPr>
        <w:t xml:space="preserve">To ensure adequate response times by certain employees of political subdivisions to emergencies or disasters while ensuring that those employees generally are free to reside throughout the state, the electors of any political subdivision may file an initiative petition to submit a local law to the electorate, or the legislative authority of the political subdivision may adopt an ordinance or resolution, that requires any individual employed by that political subdivision, as a condition of employment, to reside either in the county where the political subdivision is located or in any adjacent county in this state. </w:t>
      </w:r>
      <w:r>
        <w:rPr>
          <w:rFonts w:ascii="Times New Roman" w:hAnsi="Times New Roman"/>
          <w:sz w:val="24"/>
          <w:szCs w:val="24"/>
        </w:rPr>
        <w:t>“</w:t>
      </w:r>
    </w:p>
    <w:p w14:paraId="6CEB703A" w14:textId="77777777" w:rsidR="00F824FE" w:rsidRPr="00033598" w:rsidRDefault="00F824FE" w:rsidP="00F824FE">
      <w:pPr>
        <w:spacing w:before="100" w:beforeAutospacing="1" w:after="100" w:afterAutospacing="1" w:line="240" w:lineRule="auto"/>
        <w:rPr>
          <w:rFonts w:ascii="Times New Roman" w:eastAsia="Times New Roman" w:hAnsi="Times New Roman"/>
          <w:b/>
          <w:bCs/>
          <w:sz w:val="24"/>
          <w:szCs w:val="24"/>
        </w:rPr>
      </w:pPr>
      <w:r w:rsidRPr="00033598">
        <w:rPr>
          <w:rFonts w:ascii="Times New Roman" w:hAnsi="Times New Roman"/>
          <w:b/>
          <w:bCs/>
          <w:sz w:val="24"/>
          <w:szCs w:val="24"/>
        </w:rPr>
        <w:t>Legal Lessons Learned</w:t>
      </w:r>
      <w:r>
        <w:rPr>
          <w:rFonts w:ascii="Times New Roman" w:hAnsi="Times New Roman"/>
          <w:b/>
          <w:bCs/>
          <w:sz w:val="24"/>
          <w:szCs w:val="24"/>
        </w:rPr>
        <w:t xml:space="preserve">:  If unclear about records being requested, City had obligation to request clarification. </w:t>
      </w:r>
    </w:p>
    <w:p w14:paraId="1F3D3F8F" w14:textId="77777777" w:rsidR="00F824FE" w:rsidRDefault="00F824FE" w:rsidP="00F824FE">
      <w:pPr>
        <w:spacing w:before="100" w:beforeAutospacing="1" w:after="100" w:afterAutospacing="1" w:line="240" w:lineRule="auto"/>
        <w:ind w:firstLine="720"/>
        <w:rPr>
          <w:rFonts w:ascii="Times New Roman" w:hAnsi="Times New Roman"/>
          <w:sz w:val="24"/>
          <w:szCs w:val="24"/>
        </w:rPr>
      </w:pPr>
      <w:r>
        <w:rPr>
          <w:rFonts w:ascii="Times New Roman" w:hAnsi="Times New Roman"/>
          <w:sz w:val="24"/>
          <w:szCs w:val="24"/>
        </w:rPr>
        <w:t xml:space="preserve">Note: </w:t>
      </w:r>
    </w:p>
    <w:p w14:paraId="0BBC0660" w14:textId="77777777" w:rsidR="00F824FE" w:rsidRDefault="00F824FE" w:rsidP="00F824F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RECOVER ONLY FILING FEE: Ohio Rev. Code Section 2743.75(F)(3)(b): </w:t>
      </w:r>
      <w:hyperlink r:id="rId1233" w:history="1">
        <w:r w:rsidRPr="005E64DB">
          <w:rPr>
            <w:rStyle w:val="Hyperlink"/>
            <w:rFonts w:ascii="Times New Roman" w:hAnsi="Times New Roman"/>
            <w:sz w:val="24"/>
            <w:szCs w:val="24"/>
          </w:rPr>
          <w:t>http://codes.ohio.gov/orc/2743.75</w:t>
        </w:r>
      </w:hyperlink>
    </w:p>
    <w:p w14:paraId="474D57E8" w14:textId="77777777" w:rsidR="00F824FE" w:rsidRDefault="00F824FE" w:rsidP="00F824FE">
      <w:pPr>
        <w:spacing w:before="100" w:beforeAutospacing="1" w:after="100" w:afterAutospacing="1" w:line="240" w:lineRule="auto"/>
        <w:ind w:left="720"/>
        <w:rPr>
          <w:rFonts w:ascii="Times New Roman" w:hAnsi="Times New Roman"/>
          <w:sz w:val="24"/>
          <w:szCs w:val="24"/>
        </w:rPr>
      </w:pPr>
      <w:r w:rsidRPr="003801C1">
        <w:rPr>
          <w:rFonts w:ascii="Times New Roman" w:hAnsi="Times New Roman"/>
          <w:sz w:val="24"/>
          <w:szCs w:val="24"/>
        </w:rPr>
        <w:t xml:space="preserve">(b) The aggrieved person shall be entitled to recover from the public office or person responsible for the public records the amount of the filing fee of twenty-five dollars and any other costs associated with the action that are incurred by the aggrieved person, but shall not be entitled to recover attorney's fees, except that division (G)(2) of this section applies if an appeal is taken under division (G)(1) of this section. </w:t>
      </w:r>
    </w:p>
    <w:p w14:paraId="7D32409C" w14:textId="77777777" w:rsidR="00F824FE" w:rsidRDefault="00F824FE" w:rsidP="00F824FE">
      <w:pPr>
        <w:spacing w:before="100" w:beforeAutospacing="1" w:after="100" w:afterAutospacing="1" w:line="240" w:lineRule="auto"/>
        <w:ind w:left="720"/>
        <w:rPr>
          <w:rFonts w:ascii="Times New Roman" w:hAnsi="Times New Roman"/>
          <w:sz w:val="24"/>
          <w:szCs w:val="24"/>
        </w:rPr>
      </w:pPr>
    </w:p>
    <w:p w14:paraId="0BE59F01" w14:textId="77777777" w:rsidR="00F824FE" w:rsidRPr="00D2685F" w:rsidRDefault="00F824FE" w:rsidP="00F824F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RECOVER ATTORNEY FEES:  Section </w:t>
      </w:r>
      <w:r w:rsidRPr="00D2685F">
        <w:rPr>
          <w:rFonts w:ascii="Times New Roman" w:hAnsi="Times New Roman"/>
          <w:sz w:val="24"/>
          <w:szCs w:val="24"/>
        </w:rPr>
        <w:t xml:space="preserve">149.43: </w:t>
      </w:r>
      <w:hyperlink r:id="rId1234" w:history="1">
        <w:r w:rsidRPr="005E64DB">
          <w:rPr>
            <w:rStyle w:val="Hyperlink"/>
            <w:rFonts w:ascii="Times New Roman" w:hAnsi="Times New Roman"/>
            <w:sz w:val="24"/>
            <w:szCs w:val="24"/>
          </w:rPr>
          <w:t>https://law.justia.com/codes/ohio/2006/orc/jd_14943-4d7.html</w:t>
        </w:r>
      </w:hyperlink>
      <w:r w:rsidRPr="00D2685F">
        <w:rPr>
          <w:rFonts w:ascii="Times New Roman" w:hAnsi="Times New Roman"/>
          <w:sz w:val="24"/>
          <w:szCs w:val="24"/>
        </w:rPr>
        <w:t xml:space="preserve"> </w:t>
      </w:r>
    </w:p>
    <w:p w14:paraId="0311A66F" w14:textId="77777777" w:rsidR="00F824FE" w:rsidRPr="00033598" w:rsidRDefault="00F824FE" w:rsidP="00F824FE">
      <w:pPr>
        <w:spacing w:before="100" w:beforeAutospacing="1" w:after="100" w:afterAutospacing="1" w:line="240" w:lineRule="auto"/>
        <w:ind w:left="720"/>
        <w:rPr>
          <w:rFonts w:ascii="Times New Roman" w:hAnsi="Times New Roman"/>
          <w:sz w:val="24"/>
          <w:szCs w:val="24"/>
        </w:rPr>
      </w:pPr>
      <w:r w:rsidRPr="00033598">
        <w:rPr>
          <w:rFonts w:ascii="Times New Roman" w:hAnsi="Times New Roman"/>
          <w:sz w:val="24"/>
          <w:szCs w:val="24"/>
        </w:rPr>
        <w:t>(C)  If a person allegedly is aggrieved by the failure of a public office to promptly prepare a public record and to make it available to the person for inspection in accordance with division (B) of this section, or if a person who has requested a copy of a public record allegedly is aggrieved by the failure of a public office or the person responsible for the public record to make a copy available to the person allegedly aggrieved in accordance with division (B) of this section, the person allegedly aggrieved may commence a mandamus action to obtain a judgment that orders the public office or the person responsible for the public record to comply with division (B) of this section and that awards reasonable attorney's fees to the person that instituted the mandamus action. The mandamus action may be commenced in the court of common pleas of the county in which division (B) of this section allegedly was not complied with, in the supreme court pursuant to its original jurisdiction under Section 2 of Article IV, Ohio Constitution, or in the court of appeals for the appellate district in which division (B) of this section allegedly was not complied with pursuant to its original jurisdiction under Section 3 of Article IV, Ohio Constitution. </w:t>
      </w:r>
    </w:p>
    <w:p w14:paraId="44E05360" w14:textId="77777777" w:rsidR="00F824FE" w:rsidRDefault="00F824FE" w:rsidP="00EF1133">
      <w:pPr>
        <w:rPr>
          <w:rFonts w:ascii="Arial Black" w:hAnsi="Arial Black"/>
          <w:b/>
          <w:sz w:val="24"/>
          <w:szCs w:val="24"/>
        </w:rPr>
      </w:pPr>
    </w:p>
    <w:p w14:paraId="0CF2D171" w14:textId="77777777" w:rsidR="00F824FE" w:rsidRDefault="00F824FE" w:rsidP="00EF1133">
      <w:pPr>
        <w:rPr>
          <w:rFonts w:ascii="Arial Black" w:hAnsi="Arial Black"/>
          <w:b/>
          <w:sz w:val="24"/>
          <w:szCs w:val="24"/>
        </w:rPr>
      </w:pPr>
    </w:p>
    <w:p w14:paraId="4457B992" w14:textId="5F38466E" w:rsidR="00F824FE" w:rsidRDefault="00F824FE" w:rsidP="00EF1133">
      <w:pPr>
        <w:rPr>
          <w:rFonts w:ascii="Arial Black" w:hAnsi="Arial Black"/>
          <w:b/>
          <w:sz w:val="24"/>
          <w:szCs w:val="24"/>
        </w:rPr>
      </w:pPr>
      <w:r>
        <w:rPr>
          <w:rFonts w:ascii="Arial Black" w:hAnsi="Arial Black"/>
          <w:b/>
          <w:sz w:val="24"/>
          <w:szCs w:val="24"/>
        </w:rPr>
        <w:t>6-51</w:t>
      </w:r>
    </w:p>
    <w:p w14:paraId="2813E3F4" w14:textId="77777777" w:rsidR="00F824FE" w:rsidRDefault="00F824FE" w:rsidP="00F824FE">
      <w:pPr>
        <w:spacing w:before="100" w:beforeAutospacing="1" w:after="100" w:afterAutospacing="1" w:line="240" w:lineRule="auto"/>
        <w:rPr>
          <w:rFonts w:ascii="Arial Black" w:hAnsi="Arial Black"/>
          <w:sz w:val="28"/>
          <w:szCs w:val="28"/>
        </w:rPr>
      </w:pPr>
      <w:r>
        <w:rPr>
          <w:rFonts w:ascii="Arial Black" w:hAnsi="Arial Black"/>
          <w:sz w:val="28"/>
          <w:szCs w:val="28"/>
        </w:rPr>
        <w:t>OH:  CLEVELAND LOCAL 93 – PUBLIC RECORDS REQUEST FOR FD’s 2019 EXPENSE REPORTS – CITY RESPONSE WAS INADEQUATE</w:t>
      </w:r>
    </w:p>
    <w:p w14:paraId="1E1CC502" w14:textId="77777777" w:rsidR="00F824FE" w:rsidRDefault="00F824FE" w:rsidP="00F824FE">
      <w:pPr>
        <w:spacing w:before="100" w:beforeAutospacing="1" w:after="100" w:afterAutospacing="1" w:line="240" w:lineRule="auto"/>
        <w:rPr>
          <w:rFonts w:ascii="Times New Roman" w:hAnsi="Times New Roman"/>
          <w:sz w:val="24"/>
          <w:szCs w:val="24"/>
        </w:rPr>
      </w:pPr>
      <w:r w:rsidRPr="005713F8">
        <w:rPr>
          <w:rFonts w:ascii="Times New Roman" w:hAnsi="Times New Roman"/>
          <w:sz w:val="24"/>
          <w:szCs w:val="24"/>
        </w:rPr>
        <w:t xml:space="preserve">On Sept. 22, 2020, in </w:t>
      </w:r>
      <w:r w:rsidRPr="005713F8">
        <w:rPr>
          <w:rFonts w:ascii="Times New Roman" w:hAnsi="Times New Roman"/>
          <w:sz w:val="24"/>
          <w:szCs w:val="24"/>
          <w:u w:val="single"/>
        </w:rPr>
        <w:t>Association of Cleveland Fire Fighters IAFF Local 93 v. City of Cleveland,</w:t>
      </w:r>
      <w:r>
        <w:rPr>
          <w:rFonts w:ascii="Times New Roman" w:hAnsi="Times New Roman"/>
          <w:sz w:val="24"/>
          <w:szCs w:val="24"/>
        </w:rPr>
        <w:t xml:space="preserve"> Court of Claims of Ohio, Special Master Jeff Clark, after mediation, published his Report and Recommendations to the Court of Claim, findings that City failed to promptly produce Excel records showing 2019 expense records [Dec. 31, 2019 request; City produced some financial records Feb. 12, 2020, but FD expense records not produced until May 20, 2020].  If the City was unclear about the records being </w:t>
      </w:r>
      <w:proofErr w:type="gramStart"/>
      <w:r>
        <w:rPr>
          <w:rFonts w:ascii="Times New Roman" w:hAnsi="Times New Roman"/>
          <w:sz w:val="24"/>
          <w:szCs w:val="24"/>
        </w:rPr>
        <w:t>requested</w:t>
      </w:r>
      <w:proofErr w:type="gramEnd"/>
      <w:r>
        <w:rPr>
          <w:rFonts w:ascii="Times New Roman" w:hAnsi="Times New Roman"/>
          <w:sz w:val="24"/>
          <w:szCs w:val="24"/>
        </w:rPr>
        <w:t xml:space="preserve"> it had obligation under Ohio code to ask Local 93 to clarify.  The only remedy, however, is $25 filing fee under Ohio Revised Code </w:t>
      </w:r>
      <w:r w:rsidRPr="003801C1">
        <w:rPr>
          <w:rFonts w:ascii="Times New Roman" w:hAnsi="Times New Roman"/>
          <w:sz w:val="24"/>
          <w:szCs w:val="24"/>
        </w:rPr>
        <w:t>2743.75(F)(3)(b).</w:t>
      </w:r>
      <w:r>
        <w:rPr>
          <w:rFonts w:ascii="Times New Roman" w:hAnsi="Times New Roman"/>
          <w:sz w:val="24"/>
          <w:szCs w:val="24"/>
        </w:rPr>
        <w:t xml:space="preserve"> </w:t>
      </w:r>
      <w:proofErr w:type="gramStart"/>
      <w:r>
        <w:rPr>
          <w:rFonts w:ascii="Times New Roman" w:hAnsi="Times New Roman"/>
          <w:sz w:val="24"/>
          <w:szCs w:val="24"/>
        </w:rPr>
        <w:t>In order to</w:t>
      </w:r>
      <w:proofErr w:type="gramEnd"/>
      <w:r>
        <w:rPr>
          <w:rFonts w:ascii="Times New Roman" w:hAnsi="Times New Roman"/>
          <w:sz w:val="24"/>
          <w:szCs w:val="24"/>
        </w:rPr>
        <w:t xml:space="preserve"> recover </w:t>
      </w:r>
      <w:proofErr w:type="spellStart"/>
      <w:proofErr w:type="gramStart"/>
      <w:r>
        <w:rPr>
          <w:rFonts w:ascii="Times New Roman" w:hAnsi="Times New Roman"/>
          <w:sz w:val="24"/>
          <w:szCs w:val="24"/>
        </w:rPr>
        <w:t>attorneys</w:t>
      </w:r>
      <w:proofErr w:type="spellEnd"/>
      <w:proofErr w:type="gramEnd"/>
      <w:r>
        <w:rPr>
          <w:rFonts w:ascii="Times New Roman" w:hAnsi="Times New Roman"/>
          <w:sz w:val="24"/>
          <w:szCs w:val="24"/>
        </w:rPr>
        <w:t xml:space="preserve"> fees, Local 93 </w:t>
      </w:r>
      <w:proofErr w:type="gramStart"/>
      <w:r>
        <w:rPr>
          <w:rFonts w:ascii="Times New Roman" w:hAnsi="Times New Roman"/>
          <w:sz w:val="24"/>
          <w:szCs w:val="24"/>
        </w:rPr>
        <w:t>would have had</w:t>
      </w:r>
      <w:proofErr w:type="gramEnd"/>
      <w:r>
        <w:rPr>
          <w:rFonts w:ascii="Times New Roman" w:hAnsi="Times New Roman"/>
          <w:sz w:val="24"/>
          <w:szCs w:val="24"/>
        </w:rPr>
        <w:t xml:space="preserve"> to file a mandamus action in Court of Common Pleas under Section 149.43.  </w:t>
      </w:r>
    </w:p>
    <w:p w14:paraId="50BEAE80" w14:textId="77777777" w:rsidR="00F824FE" w:rsidRPr="00D2685F" w:rsidRDefault="00F824FE" w:rsidP="00F824F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D2685F">
        <w:rPr>
          <w:rFonts w:ascii="Times New Roman" w:hAnsi="Times New Roman"/>
          <w:sz w:val="24"/>
          <w:szCs w:val="24"/>
        </w:rPr>
        <w:t xml:space="preserve">Presented with a request that it considered ambiguous, Cleveland had an obligation to </w:t>
      </w:r>
      <w:r>
        <w:rPr>
          <w:rFonts w:ascii="Times New Roman" w:hAnsi="Times New Roman"/>
          <w:sz w:val="24"/>
          <w:szCs w:val="24"/>
        </w:rPr>
        <w:t>‘</w:t>
      </w:r>
      <w:r w:rsidRPr="00D2685F">
        <w:rPr>
          <w:rFonts w:ascii="Times New Roman" w:hAnsi="Times New Roman"/>
          <w:sz w:val="24"/>
          <w:szCs w:val="24"/>
        </w:rPr>
        <w:t>provide the requester with an opportunity to revise the request by informing the requester of the manner in which records are maintained by the public office and accessed in the ordinary course of the public office's or person's duties.</w:t>
      </w:r>
      <w:r>
        <w:rPr>
          <w:rFonts w:ascii="Times New Roman" w:hAnsi="Times New Roman"/>
          <w:sz w:val="24"/>
          <w:szCs w:val="24"/>
        </w:rPr>
        <w:t>’</w:t>
      </w:r>
      <w:r w:rsidRPr="00D2685F">
        <w:rPr>
          <w:rFonts w:ascii="Times New Roman" w:hAnsi="Times New Roman"/>
          <w:sz w:val="24"/>
          <w:szCs w:val="24"/>
        </w:rPr>
        <w:t xml:space="preserve"> R.C. 149.43(B)(2). When Local 93 contacted Cleveland on February 12, 2020 and objected that the record provided was not the record that it sought, Cleveland's proper response was not to offer that Local 93 could send another email (Response at 4), but instead to affirmatively </w:t>
      </w:r>
      <w:r w:rsidRPr="00D2685F">
        <w:rPr>
          <w:rFonts w:ascii="Times New Roman" w:hAnsi="Times New Roman"/>
          <w:i/>
          <w:iCs/>
          <w:sz w:val="24"/>
          <w:szCs w:val="24"/>
        </w:rPr>
        <w:t>inform</w:t>
      </w:r>
      <w:r w:rsidRPr="00D2685F">
        <w:rPr>
          <w:rFonts w:ascii="Times New Roman" w:hAnsi="Times New Roman"/>
          <w:sz w:val="24"/>
          <w:szCs w:val="24"/>
        </w:rPr>
        <w:t xml:space="preserve"> Local 93 of the manner in which itemized expense reports for the Cleveland Division of Fire were maintained and accessed in the ordinary course of duty. As demonstrated in the record, Cleveland kept and used more than one such report.</w:t>
      </w:r>
      <w:r>
        <w:rPr>
          <w:rFonts w:ascii="Times New Roman" w:hAnsi="Times New Roman"/>
          <w:sz w:val="24"/>
          <w:szCs w:val="24"/>
        </w:rPr>
        <w:t xml:space="preserve">” </w:t>
      </w:r>
      <w:hyperlink r:id="rId1235" w:history="1">
        <w:r w:rsidRPr="005E64DB">
          <w:rPr>
            <w:rStyle w:val="Hyperlink"/>
            <w:rFonts w:ascii="Times New Roman" w:hAnsi="Times New Roman"/>
            <w:sz w:val="24"/>
            <w:szCs w:val="24"/>
          </w:rPr>
          <w:t>https://scholar.google.com/scholar_case?case=5871380462060471996&amp;q=Association+of+Cleveland+Fire+Fighters+IAFF+Local+93+v.+City+of+Cleveland,&amp;hl=en&amp;as_sdt=6,36&amp;as_vis=1</w:t>
        </w:r>
      </w:hyperlink>
      <w:r>
        <w:rPr>
          <w:rFonts w:ascii="Times New Roman" w:hAnsi="Times New Roman"/>
          <w:sz w:val="24"/>
          <w:szCs w:val="24"/>
        </w:rPr>
        <w:t xml:space="preserve"> </w:t>
      </w:r>
    </w:p>
    <w:p w14:paraId="7964B8D6" w14:textId="77777777" w:rsidR="00F824FE" w:rsidRDefault="00F824FE" w:rsidP="00EF1133">
      <w:pPr>
        <w:rPr>
          <w:rFonts w:ascii="Arial Black" w:hAnsi="Arial Black"/>
          <w:b/>
          <w:sz w:val="24"/>
          <w:szCs w:val="24"/>
        </w:rPr>
      </w:pPr>
    </w:p>
    <w:p w14:paraId="11EBBBC4" w14:textId="77777777" w:rsidR="00F824FE" w:rsidRDefault="00F824FE" w:rsidP="00EF1133">
      <w:pPr>
        <w:rPr>
          <w:rFonts w:ascii="Arial Black" w:hAnsi="Arial Black"/>
          <w:b/>
          <w:sz w:val="24"/>
          <w:szCs w:val="24"/>
        </w:rPr>
      </w:pPr>
    </w:p>
    <w:p w14:paraId="5ADB23E1" w14:textId="77777777" w:rsidR="00F824FE" w:rsidRDefault="00F824FE" w:rsidP="00EF1133">
      <w:pPr>
        <w:rPr>
          <w:rFonts w:ascii="Arial Black" w:hAnsi="Arial Black"/>
          <w:b/>
          <w:sz w:val="24"/>
          <w:szCs w:val="24"/>
        </w:rPr>
      </w:pPr>
    </w:p>
    <w:p w14:paraId="259B3B12" w14:textId="1B8F1311" w:rsidR="00557CA2" w:rsidRDefault="00557CA2" w:rsidP="00EF1133">
      <w:pPr>
        <w:rPr>
          <w:rFonts w:ascii="Arial Black" w:hAnsi="Arial Black"/>
          <w:b/>
          <w:sz w:val="24"/>
          <w:szCs w:val="24"/>
        </w:rPr>
      </w:pPr>
      <w:r>
        <w:rPr>
          <w:rFonts w:ascii="Arial Black" w:hAnsi="Arial Black"/>
          <w:b/>
          <w:sz w:val="24"/>
          <w:szCs w:val="24"/>
        </w:rPr>
        <w:t>6-50</w:t>
      </w:r>
    </w:p>
    <w:p w14:paraId="22465E70" w14:textId="77777777" w:rsidR="00557CA2" w:rsidRDefault="00557CA2" w:rsidP="00557CA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MD: EMT NECK INJURY – STATE STATUTE INCLUDED PARAMEDICS, FF BUT NOT “EMTs” – SHE IS COVERED</w:t>
      </w:r>
    </w:p>
    <w:p w14:paraId="00A1BD24" w14:textId="77777777" w:rsidR="00557CA2" w:rsidRDefault="00557CA2" w:rsidP="00557CA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 26, 2020, in </w:t>
      </w:r>
      <w:r>
        <w:rPr>
          <w:rFonts w:ascii="Times New Roman" w:eastAsia="Times New Roman" w:hAnsi="Times New Roman"/>
          <w:sz w:val="24"/>
          <w:szCs w:val="24"/>
          <w:u w:val="single"/>
        </w:rPr>
        <w:t>Ashley N. Downer v. Baltimore County, Maryland</w:t>
      </w:r>
      <w:r>
        <w:rPr>
          <w:rFonts w:ascii="Times New Roman" w:eastAsia="Times New Roman" w:hAnsi="Times New Roman"/>
          <w:sz w:val="24"/>
          <w:szCs w:val="24"/>
        </w:rPr>
        <w:t xml:space="preserve">, the Court of Special Appeals of Maryland, held (3 to 0) that EMTs are covered by the 1987 statute that awards increased compensation to a “public safety employee” injured on the job, even though the statute did not specifically include EMTs in its definitions [receives two-thirds of her average weekly wage, instead of one-third].  The Court reversed the Circuit Court trial judge and held: </w:t>
      </w:r>
    </w:p>
    <w:p w14:paraId="57E1C85F" w14:textId="77777777"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Pr>
          <w:rFonts w:ascii="Times New Roman" w:hAnsi="Times New Roman"/>
          <w:sz w:val="24"/>
          <w:szCs w:val="24"/>
        </w:rPr>
        <w:t xml:space="preserve">The Court concludes that the term "paramedic" was used by the legislature in accordance with its commonly understood </w:t>
      </w:r>
      <w:proofErr w:type="gramStart"/>
      <w:r>
        <w:rPr>
          <w:rFonts w:ascii="Times New Roman" w:hAnsi="Times New Roman"/>
          <w:sz w:val="24"/>
          <w:szCs w:val="24"/>
        </w:rPr>
        <w:t>meaning,  and</w:t>
      </w:r>
      <w:proofErr w:type="gramEnd"/>
      <w:r>
        <w:rPr>
          <w:rFonts w:ascii="Times New Roman" w:hAnsi="Times New Roman"/>
          <w:sz w:val="24"/>
          <w:szCs w:val="24"/>
        </w:rPr>
        <w:t xml:space="preserve"> includes persons who are also known as emergency medical technicians.</w:t>
      </w:r>
      <w:r>
        <w:rPr>
          <w:rFonts w:ascii="Times New Roman" w:eastAsia="Times New Roman" w:hAnsi="Times New Roman"/>
          <w:sz w:val="24"/>
          <w:szCs w:val="24"/>
        </w:rPr>
        <w:t xml:space="preserve"> *** </w:t>
      </w:r>
      <w:r>
        <w:rPr>
          <w:rFonts w:ascii="Times New Roman" w:hAnsi="Times New Roman"/>
          <w:sz w:val="24"/>
          <w:szCs w:val="24"/>
        </w:rPr>
        <w:t>We conclude that Ms. Downer should have been considered a public safety employee within the definition of LE § 9-628(a)(1).”</w:t>
      </w:r>
      <w:r>
        <w:rPr>
          <w:rFonts w:ascii="Times New Roman" w:eastAsia="Times New Roman" w:hAnsi="Times New Roman"/>
          <w:sz w:val="24"/>
          <w:szCs w:val="24"/>
        </w:rPr>
        <w:t xml:space="preserve"> </w:t>
      </w:r>
      <w:hyperlink r:id="rId1236" w:history="1">
        <w:r>
          <w:rPr>
            <w:rStyle w:val="Hyperlink"/>
            <w:sz w:val="24"/>
            <w:szCs w:val="24"/>
          </w:rPr>
          <w:t>https://law.justia.com/cases/maryland/court-of-special-appeals/2020/2498-17.html</w:t>
        </w:r>
      </w:hyperlink>
      <w:r>
        <w:rPr>
          <w:rFonts w:ascii="Times New Roman" w:eastAsia="Times New Roman" w:hAnsi="Times New Roman"/>
          <w:sz w:val="24"/>
          <w:szCs w:val="24"/>
        </w:rPr>
        <w:t xml:space="preserve"> </w:t>
      </w:r>
    </w:p>
    <w:p w14:paraId="7721E80A" w14:textId="77777777" w:rsidR="00557CA2" w:rsidRDefault="00557CA2" w:rsidP="00557CA2">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Nice to see Court broadly interpreting a workers compensation statute broadly. </w:t>
      </w:r>
    </w:p>
    <w:p w14:paraId="62CEC2DE" w14:textId="77777777" w:rsidR="00557CA2" w:rsidRDefault="00557CA2" w:rsidP="00EF1133">
      <w:pPr>
        <w:rPr>
          <w:rFonts w:ascii="Arial Black" w:hAnsi="Arial Black"/>
          <w:b/>
          <w:sz w:val="24"/>
          <w:szCs w:val="24"/>
        </w:rPr>
      </w:pPr>
    </w:p>
    <w:p w14:paraId="2701FB75" w14:textId="4F35ECEB" w:rsidR="00557CA2" w:rsidRDefault="00557CA2" w:rsidP="00EF1133">
      <w:pPr>
        <w:rPr>
          <w:rFonts w:ascii="Arial Black" w:hAnsi="Arial Black"/>
          <w:b/>
          <w:sz w:val="24"/>
          <w:szCs w:val="24"/>
        </w:rPr>
      </w:pPr>
      <w:r>
        <w:rPr>
          <w:rFonts w:ascii="Arial Black" w:hAnsi="Arial Black"/>
          <w:b/>
          <w:sz w:val="24"/>
          <w:szCs w:val="24"/>
        </w:rPr>
        <w:t>6-49</w:t>
      </w:r>
    </w:p>
    <w:p w14:paraId="08E1822B" w14:textId="77777777" w:rsidR="00557CA2" w:rsidRDefault="00557CA2" w:rsidP="00557CA2">
      <w:pPr>
        <w:spacing w:before="100" w:beforeAutospacing="1" w:after="100" w:afterAutospacing="1" w:line="240" w:lineRule="auto"/>
        <w:rPr>
          <w:rFonts w:ascii="Arial Black" w:hAnsi="Arial Black" w:cstheme="minorBidi"/>
          <w:sz w:val="28"/>
          <w:szCs w:val="28"/>
        </w:rPr>
      </w:pPr>
      <w:r>
        <w:rPr>
          <w:rFonts w:ascii="Arial Black" w:hAnsi="Arial Black"/>
          <w:sz w:val="28"/>
          <w:szCs w:val="28"/>
        </w:rPr>
        <w:t>WA: FF HEART ATTACK – FAMILY HISTORY - JURY FOUND CAUSED BY PLAQUE – STAT. PRESUMPTION OVERCOME</w:t>
      </w:r>
    </w:p>
    <w:p w14:paraId="4E4B7234" w14:textId="77777777" w:rsidR="00557CA2" w:rsidRDefault="00557CA2" w:rsidP="00557CA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18, 2020, in </w:t>
      </w:r>
      <w:r>
        <w:rPr>
          <w:rFonts w:ascii="Times New Roman" w:hAnsi="Times New Roman"/>
          <w:sz w:val="24"/>
          <w:szCs w:val="24"/>
          <w:u w:val="single"/>
        </w:rPr>
        <w:t xml:space="preserve">Andrew P. Leitner v. City of Tacoma and Department of Labor </w:t>
      </w:r>
      <w:proofErr w:type="gramStart"/>
      <w:r>
        <w:rPr>
          <w:rFonts w:ascii="Times New Roman" w:hAnsi="Times New Roman"/>
          <w:sz w:val="24"/>
          <w:szCs w:val="24"/>
          <w:u w:val="single"/>
        </w:rPr>
        <w:t>And</w:t>
      </w:r>
      <w:proofErr w:type="gramEnd"/>
      <w:r>
        <w:rPr>
          <w:rFonts w:ascii="Times New Roman" w:hAnsi="Times New Roman"/>
          <w:sz w:val="24"/>
          <w:szCs w:val="24"/>
          <w:u w:val="single"/>
        </w:rPr>
        <w:t xml:space="preserve"> Industries</w:t>
      </w:r>
      <w:r>
        <w:rPr>
          <w:rFonts w:ascii="Times New Roman" w:hAnsi="Times New Roman"/>
          <w:sz w:val="24"/>
          <w:szCs w:val="24"/>
        </w:rPr>
        <w:t xml:space="preserve">, the Court of Appeals of the State of Washington, Division II, held (3 to 0; unpublished decision) that the trial court gave a proper instruction to the jury, and the jury’s verdict will not be reversed. </w:t>
      </w:r>
    </w:p>
    <w:p w14:paraId="3F6912C7" w14:textId="77777777" w:rsidR="00557CA2" w:rsidRDefault="00557CA2" w:rsidP="00557CA2">
      <w:pPr>
        <w:pStyle w:val="NormalWeb"/>
        <w:ind w:left="720"/>
      </w:pPr>
      <w:r>
        <w:t xml:space="preserve">“Ultimately, the question of whether Leitner's other heart problems qualified for application of the statutory presumption was a factual question for the jury. The question of whether the Board incorrectly applied the presumption by failing to address Leitner's other heart problems was also a question for the jury. Therefore, we conclude that Leitner's argument that the superior court erred by failing to reverse or modify the Board's findings and decision lacks merit.”   </w:t>
      </w:r>
      <w:hyperlink r:id="rId1237" w:history="1">
        <w:r>
          <w:rPr>
            <w:rStyle w:val="Hyperlink"/>
            <w:rFonts w:eastAsiaTheme="majorEastAsia"/>
          </w:rPr>
          <w:t>https://law.justia.com/cases/washington/court-of-appeals-division-ii/2020/52908-4.html</w:t>
        </w:r>
      </w:hyperlink>
    </w:p>
    <w:p w14:paraId="3F5314E1" w14:textId="77777777" w:rsidR="00557CA2" w:rsidRDefault="00557CA2" w:rsidP="00557CA2">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Lessons Learned: Under the State of Washington statute, the employer can seek a jury trial on the issue of the cause of a firefighter’s heart attack. </w:t>
      </w:r>
    </w:p>
    <w:p w14:paraId="7154E4B6" w14:textId="77777777" w:rsidR="00557CA2" w:rsidRDefault="00557CA2" w:rsidP="00557CA2">
      <w:pPr>
        <w:spacing w:before="100" w:beforeAutospacing="1" w:after="100" w:afterAutospacing="1" w:line="240" w:lineRule="auto"/>
        <w:ind w:left="720"/>
        <w:rPr>
          <w:rFonts w:ascii="Times New Roman" w:eastAsiaTheme="minorHAnsi" w:hAnsi="Times New Roman"/>
          <w:sz w:val="24"/>
          <w:szCs w:val="24"/>
        </w:rPr>
      </w:pPr>
      <w:r>
        <w:rPr>
          <w:rFonts w:ascii="Times New Roman" w:hAnsi="Times New Roman"/>
          <w:sz w:val="24"/>
          <w:szCs w:val="24"/>
        </w:rPr>
        <w:t xml:space="preserve">Note: The State of Washington statutory presumption, RCW 51.32.185: </w:t>
      </w:r>
      <w:hyperlink r:id="rId1238" w:history="1">
        <w:r>
          <w:rPr>
            <w:rStyle w:val="Hyperlink"/>
            <w:sz w:val="24"/>
            <w:szCs w:val="24"/>
          </w:rPr>
          <w:t>https://app.leg.wa.gov/rcw/default.aspx?cite=51.32.185</w:t>
        </w:r>
      </w:hyperlink>
      <w:r>
        <w:rPr>
          <w:rFonts w:ascii="Times New Roman" w:hAnsi="Times New Roman"/>
          <w:sz w:val="24"/>
          <w:szCs w:val="24"/>
        </w:rPr>
        <w:t xml:space="preserve"> </w:t>
      </w:r>
    </w:p>
    <w:p w14:paraId="66E45073" w14:textId="0D87694C" w:rsidR="00557CA2" w:rsidRDefault="00557CA2" w:rsidP="00557CA2">
      <w:pPr>
        <w:ind w:left="1440"/>
        <w:rPr>
          <w:rFonts w:ascii="Times New Roman" w:hAnsi="Times New Roman"/>
          <w:sz w:val="24"/>
          <w:szCs w:val="24"/>
        </w:rPr>
      </w:pPr>
      <w:r>
        <w:rPr>
          <w:rFonts w:ascii="Times New Roman" w:hAnsi="Times New Roman"/>
          <w:sz w:val="24"/>
          <w:szCs w:val="24"/>
        </w:rPr>
        <w:t xml:space="preserve">(1)(a) In the case of firefighters as defined in RCW </w:t>
      </w:r>
      <w:hyperlink r:id="rId1239" w:history="1">
        <w:r>
          <w:rPr>
            <w:rStyle w:val="Hyperlink"/>
            <w:sz w:val="24"/>
            <w:szCs w:val="24"/>
          </w:rPr>
          <w:t>41.26.030</w:t>
        </w:r>
      </w:hyperlink>
      <w:r>
        <w:rPr>
          <w:rFonts w:ascii="Times New Roman" w:hAnsi="Times New Roman"/>
          <w:sz w:val="24"/>
          <w:szCs w:val="24"/>
        </w:rPr>
        <w:t>(17) (a), (b), (c), and (h) who are covered under this title and firefighters, including supervisors, employed on a full-time, fully compensated basis as a firefighter of a private sector employer's fire department that includes over fifty such firefighters, and public employee fire investigators, there shall exist a prima facie presumption that: (</w:t>
      </w:r>
      <w:proofErr w:type="spellStart"/>
      <w:r>
        <w:rPr>
          <w:rFonts w:ascii="Times New Roman" w:hAnsi="Times New Roman"/>
          <w:sz w:val="24"/>
          <w:szCs w:val="24"/>
        </w:rPr>
        <w:t>i</w:t>
      </w:r>
      <w:proofErr w:type="spellEnd"/>
      <w:r>
        <w:rPr>
          <w:rFonts w:ascii="Times New Roman" w:hAnsi="Times New Roman"/>
          <w:sz w:val="24"/>
          <w:szCs w:val="24"/>
        </w:rPr>
        <w:t xml:space="preserve">) Respiratory disease; (ii) any heart problems, experienced within seventy-two hours of exposure to smoke, fumes, or toxic substances, or experienced within twenty-four hours of strenuous physical exertion due to firefighting activities; (iii) cancer; and (iv) infectious diseases are occupational diseases under RCW </w:t>
      </w:r>
      <w:hyperlink r:id="rId1240" w:history="1">
        <w:r>
          <w:rPr>
            <w:rStyle w:val="Hyperlink"/>
            <w:sz w:val="24"/>
            <w:szCs w:val="24"/>
          </w:rPr>
          <w:t>51.08.140</w:t>
        </w:r>
      </w:hyperlink>
      <w:r>
        <w:rPr>
          <w:rFonts w:ascii="Times New Roman" w:hAnsi="Times New Roman"/>
          <w:sz w:val="24"/>
          <w:szCs w:val="24"/>
        </w:rPr>
        <w:t>.</w:t>
      </w:r>
    </w:p>
    <w:p w14:paraId="5FEF2910" w14:textId="77777777" w:rsidR="00557CA2" w:rsidRDefault="00557CA2" w:rsidP="00557CA2">
      <w:pPr>
        <w:pStyle w:val="NormalWeb"/>
        <w:ind w:left="720"/>
      </w:pPr>
      <w:r>
        <w:t>On April 24, 2019, the Governor signed an amendment to the statute, including additional cancers covered by the statutory presumption:</w:t>
      </w:r>
    </w:p>
    <w:p w14:paraId="0B6A523C" w14:textId="75072A1E" w:rsidR="00557CA2" w:rsidRDefault="00557CA2" w:rsidP="00557CA2">
      <w:pPr>
        <w:rPr>
          <w:rFonts w:ascii="Arial Black" w:hAnsi="Arial Black"/>
          <w:b/>
          <w:sz w:val="24"/>
          <w:szCs w:val="24"/>
        </w:rPr>
      </w:pPr>
      <w:r>
        <w:t xml:space="preserve">(10)(a)The director must create an advisory committee on occupational disease presumptions. The purposes of the advisory30committee are to review scientific evidence and to make recommendations to the legislature on additional diseases or disorders for inclusion under this section. </w:t>
      </w:r>
      <w:hyperlink r:id="rId1241" w:history="1">
        <w:r>
          <w:rPr>
            <w:rStyle w:val="Hyperlink"/>
            <w:rFonts w:eastAsiaTheme="majorEastAsia"/>
          </w:rPr>
          <w:t>http://lawfilesext.leg.wa.gov/biennium/2019-20/Pdf/Bills/Session%20Laws/House/1913.SL.pdf?cite=2019%20c%20133%20%C2%A7%201</w:t>
        </w:r>
      </w:hyperlink>
    </w:p>
    <w:p w14:paraId="4FCF79B5" w14:textId="77777777" w:rsidR="00557CA2" w:rsidRDefault="00557CA2" w:rsidP="00EF1133">
      <w:pPr>
        <w:rPr>
          <w:rFonts w:ascii="Arial Black" w:hAnsi="Arial Black"/>
          <w:b/>
          <w:sz w:val="24"/>
          <w:szCs w:val="24"/>
        </w:rPr>
      </w:pPr>
    </w:p>
    <w:p w14:paraId="1EFB8E91" w14:textId="12187865" w:rsidR="006B2083" w:rsidRDefault="006B2083" w:rsidP="00EF1133">
      <w:pPr>
        <w:rPr>
          <w:rFonts w:ascii="Arial Black" w:hAnsi="Arial Black"/>
          <w:b/>
          <w:sz w:val="24"/>
          <w:szCs w:val="24"/>
        </w:rPr>
      </w:pPr>
      <w:r>
        <w:rPr>
          <w:rFonts w:ascii="Arial Black" w:hAnsi="Arial Black"/>
          <w:b/>
          <w:sz w:val="24"/>
          <w:szCs w:val="24"/>
        </w:rPr>
        <w:t>6-48</w:t>
      </w:r>
    </w:p>
    <w:p w14:paraId="741951BD" w14:textId="77777777" w:rsidR="006B2083" w:rsidRPr="00683FEB" w:rsidRDefault="006B2083" w:rsidP="006B2083">
      <w:pPr>
        <w:pStyle w:val="NoSpacing"/>
        <w:rPr>
          <w:rFonts w:ascii="Arial Black" w:hAnsi="Arial Black"/>
          <w:sz w:val="28"/>
          <w:szCs w:val="28"/>
        </w:rPr>
      </w:pPr>
      <w:r w:rsidRPr="00683FEB">
        <w:rPr>
          <w:rFonts w:ascii="Arial Black" w:hAnsi="Arial Black"/>
          <w:sz w:val="28"/>
          <w:szCs w:val="28"/>
        </w:rPr>
        <w:t>NY:</w:t>
      </w:r>
      <w:r>
        <w:rPr>
          <w:rFonts w:ascii="Arial Black" w:hAnsi="Arial Black"/>
          <w:sz w:val="28"/>
          <w:szCs w:val="28"/>
        </w:rPr>
        <w:t xml:space="preserve"> FF WITH BAD HIP -– CLAIMED ON DUTY INJURY CAUSED – DEGENTIVE HISTORY - GETS ONLY “ORDINARY” PENSION</w:t>
      </w:r>
    </w:p>
    <w:p w14:paraId="0A61C137" w14:textId="77777777" w:rsidR="006B2083" w:rsidRDefault="006B2083" w:rsidP="006B2083">
      <w:pPr>
        <w:pStyle w:val="NoSpacing"/>
        <w:rPr>
          <w:rFonts w:ascii="Times New Roman" w:hAnsi="Times New Roman"/>
          <w:sz w:val="24"/>
          <w:szCs w:val="24"/>
        </w:rPr>
      </w:pPr>
    </w:p>
    <w:p w14:paraId="633E10B4" w14:textId="77777777" w:rsidR="006B2083" w:rsidRDefault="006B2083" w:rsidP="006B2083">
      <w:pPr>
        <w:pStyle w:val="NoSpacing"/>
        <w:rPr>
          <w:rFonts w:ascii="Times New Roman" w:hAnsi="Times New Roman"/>
          <w:sz w:val="24"/>
          <w:szCs w:val="24"/>
        </w:rPr>
      </w:pPr>
      <w:r w:rsidRPr="00D32613">
        <w:rPr>
          <w:rFonts w:ascii="Times New Roman" w:hAnsi="Times New Roman"/>
          <w:sz w:val="24"/>
          <w:szCs w:val="24"/>
        </w:rPr>
        <w:t xml:space="preserve">On July 15, 2020, in the case of </w:t>
      </w:r>
      <w:r w:rsidRPr="00D32613">
        <w:rPr>
          <w:rFonts w:ascii="Times New Roman" w:hAnsi="Times New Roman"/>
          <w:sz w:val="24"/>
          <w:szCs w:val="24"/>
          <w:u w:val="single"/>
        </w:rPr>
        <w:t>In the Matter of Robert Giuliano v. New York Fire Department Pension Fund, et al</w:t>
      </w:r>
      <w:r w:rsidRPr="00D32613">
        <w:rPr>
          <w:rFonts w:ascii="Times New Roman" w:hAnsi="Times New Roman"/>
          <w:sz w:val="24"/>
          <w:szCs w:val="24"/>
        </w:rPr>
        <w:t xml:space="preserve">., </w:t>
      </w:r>
      <w:r w:rsidRPr="00D32613">
        <w:rPr>
          <w:rFonts w:ascii="Times New Roman" w:eastAsia="Times New Roman" w:hAnsi="Times New Roman"/>
          <w:sz w:val="24"/>
          <w:szCs w:val="24"/>
        </w:rPr>
        <w:t>the Supreme Court of the State of New York, Appellate Division, Second</w:t>
      </w:r>
      <w:r>
        <w:rPr>
          <w:rFonts w:ascii="Times New Roman" w:eastAsia="Times New Roman" w:hAnsi="Times New Roman"/>
          <w:sz w:val="24"/>
          <w:szCs w:val="24"/>
        </w:rPr>
        <w:t xml:space="preserve"> </w:t>
      </w:r>
      <w:r w:rsidRPr="00D32613">
        <w:rPr>
          <w:rFonts w:ascii="Times New Roman" w:eastAsia="Times New Roman" w:hAnsi="Times New Roman"/>
          <w:sz w:val="24"/>
          <w:szCs w:val="24"/>
        </w:rPr>
        <w:t xml:space="preserve">Judicial Department, upheld (5 to 0) the trial court’s decision denying the firefighter’s </w:t>
      </w:r>
      <w:r w:rsidRPr="00D32613">
        <w:rPr>
          <w:rFonts w:ascii="Times New Roman" w:hAnsi="Times New Roman"/>
          <w:sz w:val="24"/>
          <w:szCs w:val="24"/>
        </w:rPr>
        <w:t>application for accidental disability retirement benefits; while he and his surgeon claimed likely caused by on the job injury, MRI showed degenerative history.</w:t>
      </w:r>
      <w:r>
        <w:rPr>
          <w:rFonts w:ascii="Times New Roman" w:hAnsi="Times New Roman"/>
          <w:sz w:val="24"/>
          <w:szCs w:val="24"/>
        </w:rPr>
        <w:t xml:space="preserve"> Court wrote: “</w:t>
      </w:r>
      <w:r w:rsidRPr="00FB2CC3">
        <w:rPr>
          <w:rFonts w:ascii="Times New Roman" w:hAnsi="Times New Roman"/>
          <w:sz w:val="24"/>
          <w:szCs w:val="24"/>
        </w:rPr>
        <w:t>The Medical Board’s findings differ from</w:t>
      </w:r>
      <w:r>
        <w:rPr>
          <w:rFonts w:ascii="Times New Roman" w:hAnsi="Times New Roman"/>
          <w:sz w:val="24"/>
          <w:szCs w:val="24"/>
        </w:rPr>
        <w:t xml:space="preserve"> </w:t>
      </w:r>
      <w:r w:rsidRPr="00FB2CC3">
        <w:rPr>
          <w:rFonts w:ascii="Times New Roman" w:hAnsi="Times New Roman"/>
          <w:sz w:val="24"/>
          <w:szCs w:val="24"/>
        </w:rPr>
        <w:t>those of</w:t>
      </w:r>
      <w:r>
        <w:rPr>
          <w:rFonts w:ascii="Times New Roman" w:hAnsi="Times New Roman"/>
          <w:sz w:val="24"/>
          <w:szCs w:val="24"/>
        </w:rPr>
        <w:t xml:space="preserve"> </w:t>
      </w:r>
      <w:r w:rsidRPr="00FB2CC3">
        <w:rPr>
          <w:rFonts w:ascii="Times New Roman" w:hAnsi="Times New Roman"/>
          <w:sz w:val="24"/>
          <w:szCs w:val="24"/>
        </w:rPr>
        <w:t>the petitioner’s</w:t>
      </w:r>
      <w:r>
        <w:rPr>
          <w:rFonts w:ascii="Times New Roman" w:hAnsi="Times New Roman"/>
          <w:sz w:val="24"/>
          <w:szCs w:val="24"/>
        </w:rPr>
        <w:t xml:space="preserve"> </w:t>
      </w:r>
      <w:r w:rsidRPr="00FB2CC3">
        <w:rPr>
          <w:rFonts w:ascii="Times New Roman" w:hAnsi="Times New Roman"/>
          <w:sz w:val="24"/>
          <w:szCs w:val="24"/>
        </w:rPr>
        <w:t>surgeon,</w:t>
      </w:r>
      <w:r>
        <w:rPr>
          <w:rFonts w:ascii="Times New Roman" w:hAnsi="Times New Roman"/>
          <w:sz w:val="24"/>
          <w:szCs w:val="24"/>
        </w:rPr>
        <w:t xml:space="preserve"> </w:t>
      </w:r>
      <w:r w:rsidRPr="00FB2CC3">
        <w:rPr>
          <w:rFonts w:ascii="Times New Roman" w:hAnsi="Times New Roman"/>
          <w:sz w:val="24"/>
          <w:szCs w:val="24"/>
        </w:rPr>
        <w:t>who found that it was likely that the petitioner’s condition was causally</w:t>
      </w:r>
      <w:r>
        <w:rPr>
          <w:rFonts w:ascii="Times New Roman" w:hAnsi="Times New Roman"/>
          <w:sz w:val="24"/>
          <w:szCs w:val="24"/>
        </w:rPr>
        <w:t xml:space="preserve"> </w:t>
      </w:r>
      <w:r w:rsidRPr="00FB2CC3">
        <w:rPr>
          <w:rFonts w:ascii="Times New Roman" w:hAnsi="Times New Roman"/>
          <w:sz w:val="24"/>
          <w:szCs w:val="24"/>
        </w:rPr>
        <w:t xml:space="preserve">related to work injuries and that the petitioner may have exacerbated a pre-existing condition. However, </w:t>
      </w:r>
      <w:r>
        <w:rPr>
          <w:rFonts w:ascii="Times New Roman" w:hAnsi="Times New Roman"/>
          <w:sz w:val="24"/>
          <w:szCs w:val="24"/>
        </w:rPr>
        <w:t>‘</w:t>
      </w:r>
      <w:r w:rsidRPr="00FB2CC3">
        <w:rPr>
          <w:rFonts w:ascii="Times New Roman" w:hAnsi="Times New Roman"/>
          <w:sz w:val="24"/>
          <w:szCs w:val="24"/>
        </w:rPr>
        <w:t>[w]here conflicting medical evidence and medical reports are presented to the Medical</w:t>
      </w:r>
      <w:r>
        <w:rPr>
          <w:rFonts w:ascii="Times New Roman" w:hAnsi="Times New Roman"/>
          <w:sz w:val="24"/>
          <w:szCs w:val="24"/>
        </w:rPr>
        <w:t xml:space="preserve"> </w:t>
      </w:r>
      <w:r w:rsidRPr="00FB2CC3">
        <w:rPr>
          <w:rFonts w:ascii="Times New Roman" w:hAnsi="Times New Roman"/>
          <w:sz w:val="24"/>
          <w:szCs w:val="24"/>
        </w:rPr>
        <w:t>Board, it is solely within the province of the Medical Board to resolve such conflicts</w:t>
      </w:r>
      <w:r>
        <w:rPr>
          <w:rFonts w:ascii="Times New Roman" w:hAnsi="Times New Roman"/>
          <w:sz w:val="24"/>
          <w:szCs w:val="24"/>
        </w:rPr>
        <w:t xml:space="preserve">.’” </w:t>
      </w:r>
    </w:p>
    <w:p w14:paraId="5F13AC4B" w14:textId="77777777" w:rsidR="006B2083" w:rsidRDefault="006B2083" w:rsidP="006B2083">
      <w:pPr>
        <w:pStyle w:val="NoSpacing"/>
        <w:rPr>
          <w:rFonts w:ascii="Times New Roman" w:hAnsi="Times New Roman"/>
          <w:sz w:val="24"/>
          <w:szCs w:val="24"/>
        </w:rPr>
      </w:pPr>
      <w:hyperlink r:id="rId1242" w:history="1">
        <w:r w:rsidRPr="000603D4">
          <w:rPr>
            <w:rStyle w:val="Hyperlink"/>
            <w:rFonts w:ascii="Times New Roman" w:hAnsi="Times New Roman"/>
            <w:sz w:val="24"/>
            <w:szCs w:val="24"/>
          </w:rPr>
          <w:t>http://www.nycourts.gov/courts/AD2/Handdowns/2020/Decisions/D63333.pdf</w:t>
        </w:r>
      </w:hyperlink>
      <w:r>
        <w:rPr>
          <w:rFonts w:ascii="Times New Roman" w:hAnsi="Times New Roman"/>
          <w:sz w:val="24"/>
          <w:szCs w:val="24"/>
        </w:rPr>
        <w:t xml:space="preserve"> </w:t>
      </w:r>
    </w:p>
    <w:p w14:paraId="0A2161B7" w14:textId="77777777" w:rsidR="006B2083" w:rsidRDefault="006B2083" w:rsidP="006B2083">
      <w:pPr>
        <w:pStyle w:val="NoSpacing"/>
        <w:rPr>
          <w:rFonts w:ascii="Times New Roman" w:hAnsi="Times New Roman"/>
          <w:b/>
          <w:bCs/>
          <w:sz w:val="24"/>
          <w:szCs w:val="24"/>
        </w:rPr>
      </w:pPr>
    </w:p>
    <w:p w14:paraId="338F91CF" w14:textId="6B3C7A01" w:rsidR="006B2083" w:rsidRPr="00D32613" w:rsidRDefault="006B2083" w:rsidP="006B2083">
      <w:pPr>
        <w:pStyle w:val="NoSpacing"/>
        <w:rPr>
          <w:rFonts w:ascii="Times New Roman" w:hAnsi="Times New Roman"/>
          <w:b/>
          <w:bCs/>
          <w:sz w:val="24"/>
          <w:szCs w:val="24"/>
        </w:rPr>
      </w:pPr>
      <w:r w:rsidRPr="00D32613">
        <w:rPr>
          <w:rFonts w:ascii="Times New Roman" w:hAnsi="Times New Roman"/>
          <w:b/>
          <w:bCs/>
          <w:sz w:val="24"/>
          <w:szCs w:val="24"/>
        </w:rPr>
        <w:t xml:space="preserve">Legal Lesson Learned: </w:t>
      </w:r>
      <w:r>
        <w:rPr>
          <w:rFonts w:ascii="Times New Roman" w:hAnsi="Times New Roman"/>
          <w:b/>
          <w:bCs/>
          <w:sz w:val="24"/>
          <w:szCs w:val="24"/>
        </w:rPr>
        <w:t>Appellate courts will generally follow the findings of a Medical Board, supported by medical documentation.</w:t>
      </w:r>
    </w:p>
    <w:p w14:paraId="40D48217" w14:textId="77777777" w:rsidR="006B2083" w:rsidRDefault="006B2083" w:rsidP="00EF1133">
      <w:pPr>
        <w:rPr>
          <w:rFonts w:ascii="Arial Black" w:hAnsi="Arial Black"/>
          <w:b/>
          <w:sz w:val="24"/>
          <w:szCs w:val="24"/>
        </w:rPr>
      </w:pPr>
    </w:p>
    <w:p w14:paraId="13FB72E8" w14:textId="77777777" w:rsidR="006B2083" w:rsidRDefault="006B2083" w:rsidP="00EF1133">
      <w:pPr>
        <w:rPr>
          <w:rFonts w:ascii="Arial Black" w:hAnsi="Arial Black"/>
          <w:b/>
          <w:sz w:val="24"/>
          <w:szCs w:val="24"/>
        </w:rPr>
      </w:pPr>
    </w:p>
    <w:p w14:paraId="6A85CBAE" w14:textId="77777777" w:rsidR="006B2083" w:rsidRDefault="006B2083" w:rsidP="00EF1133">
      <w:pPr>
        <w:rPr>
          <w:rFonts w:ascii="Arial Black" w:hAnsi="Arial Black"/>
          <w:b/>
          <w:sz w:val="24"/>
          <w:szCs w:val="24"/>
        </w:rPr>
      </w:pPr>
    </w:p>
    <w:p w14:paraId="27B9AF9A" w14:textId="3073EE32" w:rsidR="006B2083" w:rsidRDefault="006B2083" w:rsidP="00EF1133">
      <w:pPr>
        <w:rPr>
          <w:rFonts w:ascii="Arial Black" w:hAnsi="Arial Black"/>
          <w:b/>
          <w:sz w:val="24"/>
          <w:szCs w:val="24"/>
        </w:rPr>
      </w:pPr>
      <w:r>
        <w:rPr>
          <w:rFonts w:ascii="Arial Black" w:hAnsi="Arial Black"/>
          <w:b/>
          <w:sz w:val="24"/>
          <w:szCs w:val="24"/>
        </w:rPr>
        <w:t>6-47</w:t>
      </w:r>
    </w:p>
    <w:p w14:paraId="38923EA9" w14:textId="77777777" w:rsidR="006B2083" w:rsidRDefault="006B2083" w:rsidP="006B2083">
      <w:pPr>
        <w:pStyle w:val="NoSpacing"/>
        <w:rPr>
          <w:rFonts w:ascii="Arial" w:hAnsi="Arial" w:cs="Arial"/>
          <w:sz w:val="30"/>
          <w:szCs w:val="30"/>
        </w:rPr>
      </w:pPr>
      <w:r w:rsidRPr="00244752">
        <w:rPr>
          <w:rFonts w:ascii="Arial Black" w:hAnsi="Arial Black"/>
          <w:sz w:val="28"/>
          <w:szCs w:val="28"/>
        </w:rPr>
        <w:t>R</w:t>
      </w:r>
      <w:r>
        <w:rPr>
          <w:rFonts w:ascii="Arial Black" w:hAnsi="Arial Black"/>
          <w:sz w:val="28"/>
          <w:szCs w:val="28"/>
        </w:rPr>
        <w:t>I: FISCAL EMERGENCY – FIRE &amp; POLICE RETIREES MUST NOW ENROLL IN MEDICARE - CITY MUST PAY GAP COVERAGE</w:t>
      </w:r>
    </w:p>
    <w:p w14:paraId="5D7ABA6D" w14:textId="77777777" w:rsidR="006B2083" w:rsidRDefault="006B2083" w:rsidP="006B2083">
      <w:pPr>
        <w:pStyle w:val="NoSpacing"/>
        <w:rPr>
          <w:rFonts w:ascii="Times New Roman" w:hAnsi="Times New Roman"/>
          <w:sz w:val="24"/>
          <w:szCs w:val="24"/>
        </w:rPr>
      </w:pPr>
    </w:p>
    <w:p w14:paraId="484ECA0E" w14:textId="77777777" w:rsidR="006B2083" w:rsidRPr="004473E9" w:rsidRDefault="006B2083" w:rsidP="006B2083">
      <w:pPr>
        <w:pStyle w:val="NoSpacing"/>
        <w:rPr>
          <w:rFonts w:ascii="Times New Roman" w:hAnsi="Times New Roman"/>
          <w:sz w:val="24"/>
          <w:szCs w:val="24"/>
        </w:rPr>
      </w:pPr>
      <w:r w:rsidRPr="004473E9">
        <w:rPr>
          <w:rFonts w:ascii="Times New Roman" w:hAnsi="Times New Roman"/>
          <w:sz w:val="24"/>
          <w:szCs w:val="24"/>
        </w:rPr>
        <w:t xml:space="preserve">On June 30, 2020, in </w:t>
      </w:r>
      <w:r w:rsidRPr="004473E9">
        <w:rPr>
          <w:rFonts w:ascii="Times New Roman" w:hAnsi="Times New Roman"/>
          <w:sz w:val="24"/>
          <w:szCs w:val="24"/>
          <w:u w:val="single"/>
        </w:rPr>
        <w:t>Manuel Andrews, Jr. et al. v. James Lombardi, Treasurer of the City of Providence, Rhode Island</w:t>
      </w:r>
      <w:r w:rsidRPr="004473E9">
        <w:rPr>
          <w:rFonts w:ascii="Times New Roman" w:hAnsi="Times New Roman"/>
          <w:sz w:val="24"/>
          <w:szCs w:val="24"/>
        </w:rPr>
        <w:t xml:space="preserve">, the Supreme Court of Rhode Island held (5 to 0) that the 2011 state statute authorizing municipalities to require retirees at age 65 to go on Medicare Part A was lawful, but the City of Providence must also pay for retiree supplemental benefits under Medicare Parts B &amp; D, as the City had agreed in a settlement with some of the retirees. The Court wrote: </w:t>
      </w:r>
      <w:r>
        <w:rPr>
          <w:rFonts w:ascii="Times New Roman" w:hAnsi="Times New Roman"/>
          <w:sz w:val="24"/>
          <w:szCs w:val="24"/>
        </w:rPr>
        <w:t>“</w:t>
      </w:r>
      <w:r w:rsidRPr="004473E9">
        <w:rPr>
          <w:rFonts w:ascii="Times New Roman" w:hAnsi="Times New Roman"/>
          <w:sz w:val="24"/>
          <w:szCs w:val="24"/>
        </w:rPr>
        <w:t>We are convinced nevertheless that the controversy ought to be resolved by awarding the plaintiffs the same remedies for health care</w:t>
      </w:r>
      <w:r>
        <w:rPr>
          <w:rFonts w:ascii="Times New Roman" w:hAnsi="Times New Roman"/>
          <w:sz w:val="24"/>
          <w:szCs w:val="24"/>
        </w:rPr>
        <w:t xml:space="preserve"> </w:t>
      </w:r>
      <w:r w:rsidRPr="004473E9">
        <w:rPr>
          <w:rFonts w:ascii="Times New Roman" w:hAnsi="Times New Roman"/>
          <w:sz w:val="24"/>
          <w:szCs w:val="24"/>
        </w:rPr>
        <w:t>as provided in the 2011 lawsuit’s settlement agreement</w:t>
      </w:r>
      <w:r>
        <w:rPr>
          <w:rFonts w:ascii="Times New Roman" w:hAnsi="Times New Roman"/>
          <w:sz w:val="24"/>
          <w:szCs w:val="24"/>
        </w:rPr>
        <w:t xml:space="preserve"> </w:t>
      </w:r>
      <w:r w:rsidRPr="004473E9">
        <w:rPr>
          <w:rFonts w:ascii="Times New Roman" w:hAnsi="Times New Roman"/>
          <w:sz w:val="24"/>
          <w:szCs w:val="24"/>
        </w:rPr>
        <w:t>approved in the 2013 Final and Consent Judgment. It is nothing more than what the City has agreed to provide for the opt-in retirees and indeed</w:t>
      </w:r>
      <w:r>
        <w:rPr>
          <w:rFonts w:ascii="Times New Roman" w:hAnsi="Times New Roman"/>
          <w:sz w:val="24"/>
          <w:szCs w:val="24"/>
        </w:rPr>
        <w:t xml:space="preserve"> </w:t>
      </w:r>
      <w:r w:rsidRPr="004473E9">
        <w:rPr>
          <w:rFonts w:ascii="Times New Roman" w:hAnsi="Times New Roman"/>
          <w:sz w:val="24"/>
          <w:szCs w:val="24"/>
        </w:rPr>
        <w:t>is contemplated in the 2011 Medicare Ordinance,</w:t>
      </w:r>
      <w:r>
        <w:rPr>
          <w:rFonts w:ascii="Times New Roman" w:hAnsi="Times New Roman"/>
          <w:sz w:val="24"/>
          <w:szCs w:val="24"/>
        </w:rPr>
        <w:t xml:space="preserve"> </w:t>
      </w:r>
      <w:r w:rsidRPr="004473E9">
        <w:rPr>
          <w:rFonts w:ascii="Times New Roman" w:hAnsi="Times New Roman"/>
          <w:sz w:val="24"/>
          <w:szCs w:val="24"/>
        </w:rPr>
        <w:t xml:space="preserve">which allows for the City’s payment of </w:t>
      </w:r>
      <w:r>
        <w:rPr>
          <w:rFonts w:ascii="Times New Roman" w:hAnsi="Times New Roman"/>
          <w:sz w:val="24"/>
          <w:szCs w:val="24"/>
        </w:rPr>
        <w:t>‘</w:t>
      </w:r>
      <w:r w:rsidRPr="004473E9">
        <w:rPr>
          <w:rFonts w:ascii="Times New Roman" w:hAnsi="Times New Roman"/>
          <w:sz w:val="24"/>
          <w:szCs w:val="24"/>
        </w:rPr>
        <w:t>Medicare supplement or gap coverage</w:t>
      </w:r>
      <w:r>
        <w:rPr>
          <w:rFonts w:ascii="Times New Roman" w:hAnsi="Times New Roman"/>
          <w:sz w:val="24"/>
          <w:szCs w:val="24"/>
        </w:rPr>
        <w:t>’</w:t>
      </w:r>
      <w:r w:rsidRPr="004473E9">
        <w:rPr>
          <w:rFonts w:ascii="Times New Roman" w:hAnsi="Times New Roman"/>
          <w:sz w:val="24"/>
          <w:szCs w:val="24"/>
        </w:rPr>
        <w:t xml:space="preserve"> when </w:t>
      </w:r>
      <w:r>
        <w:rPr>
          <w:rFonts w:ascii="Times New Roman" w:hAnsi="Times New Roman"/>
          <w:sz w:val="24"/>
          <w:szCs w:val="24"/>
        </w:rPr>
        <w:t>‘</w:t>
      </w:r>
      <w:r w:rsidRPr="004473E9">
        <w:rPr>
          <w:rFonts w:ascii="Times New Roman" w:hAnsi="Times New Roman"/>
          <w:sz w:val="24"/>
          <w:szCs w:val="24"/>
        </w:rPr>
        <w:t>otherwise provided by ordinance or contract.</w:t>
      </w:r>
      <w:r>
        <w:rPr>
          <w:rFonts w:ascii="Times New Roman" w:hAnsi="Times New Roman"/>
          <w:sz w:val="24"/>
          <w:szCs w:val="24"/>
        </w:rPr>
        <w:t>’”</w:t>
      </w:r>
      <w:r w:rsidRPr="004473E9">
        <w:t xml:space="preserve"> </w:t>
      </w:r>
      <w:hyperlink r:id="rId1243" w:anchor="search=Manuel%20Andrews%2C%20Jr" w:history="1">
        <w:r w:rsidRPr="00BC34AA">
          <w:rPr>
            <w:rStyle w:val="Hyperlink"/>
            <w:rFonts w:ascii="Times New Roman" w:hAnsi="Times New Roman"/>
            <w:sz w:val="24"/>
            <w:szCs w:val="24"/>
          </w:rPr>
          <w:t>https://www.courts.ri.gov/Courts/SupremeCourt/SupremeOpinions/17-255,256,257,260.pdf#search=Manuel%20Andrews%2C%20Jr</w:t>
        </w:r>
      </w:hyperlink>
      <w:r>
        <w:rPr>
          <w:rFonts w:ascii="Times New Roman" w:hAnsi="Times New Roman"/>
          <w:sz w:val="24"/>
          <w:szCs w:val="24"/>
        </w:rPr>
        <w:t xml:space="preserve"> </w:t>
      </w:r>
    </w:p>
    <w:p w14:paraId="5DEB734B" w14:textId="77777777" w:rsidR="006B2083" w:rsidRDefault="006B2083" w:rsidP="006B2083">
      <w:pPr>
        <w:pStyle w:val="NoSpacing"/>
        <w:rPr>
          <w:rFonts w:ascii="Times New Roman" w:hAnsi="Times New Roman"/>
          <w:b/>
          <w:bCs/>
          <w:sz w:val="24"/>
          <w:szCs w:val="24"/>
        </w:rPr>
      </w:pPr>
    </w:p>
    <w:p w14:paraId="4236FDB0" w14:textId="3C3BD1C6" w:rsidR="006B2083" w:rsidRPr="0002321F" w:rsidRDefault="006B2083" w:rsidP="006B2083">
      <w:pPr>
        <w:pStyle w:val="NoSpacing"/>
        <w:rPr>
          <w:rFonts w:ascii="Times New Roman" w:hAnsi="Times New Roman"/>
          <w:b/>
          <w:bCs/>
          <w:sz w:val="24"/>
          <w:szCs w:val="24"/>
        </w:rPr>
      </w:pPr>
      <w:r w:rsidRPr="0002321F">
        <w:rPr>
          <w:rFonts w:ascii="Times New Roman" w:hAnsi="Times New Roman"/>
          <w:b/>
          <w:bCs/>
          <w:sz w:val="24"/>
          <w:szCs w:val="24"/>
        </w:rPr>
        <w:t>Legal Lesson Learned:</w:t>
      </w:r>
      <w:r>
        <w:rPr>
          <w:rFonts w:ascii="Times New Roman" w:hAnsi="Times New Roman"/>
          <w:b/>
          <w:bCs/>
          <w:sz w:val="24"/>
          <w:szCs w:val="24"/>
        </w:rPr>
        <w:t xml:space="preserve"> State can enact a statute authorizing municipalities to require retirees to switch to Medicare coverage, but litigation may lead to settlements and Court decisions requiring the “gap” insurance is also paid by the municipality. </w:t>
      </w:r>
    </w:p>
    <w:p w14:paraId="14635816" w14:textId="77777777" w:rsidR="006B2083" w:rsidRDefault="006B2083" w:rsidP="00EF1133">
      <w:pPr>
        <w:rPr>
          <w:rFonts w:ascii="Arial Black" w:hAnsi="Arial Black"/>
          <w:b/>
          <w:sz w:val="24"/>
          <w:szCs w:val="24"/>
        </w:rPr>
      </w:pPr>
    </w:p>
    <w:p w14:paraId="248BAEE2" w14:textId="77777777" w:rsidR="006B2083" w:rsidRDefault="006B2083" w:rsidP="00EF1133">
      <w:pPr>
        <w:rPr>
          <w:rFonts w:ascii="Arial Black" w:hAnsi="Arial Black"/>
          <w:b/>
          <w:sz w:val="24"/>
          <w:szCs w:val="24"/>
        </w:rPr>
      </w:pPr>
    </w:p>
    <w:p w14:paraId="0A7E2A5E" w14:textId="77777777" w:rsidR="006B2083" w:rsidRDefault="006B2083" w:rsidP="00EF1133">
      <w:pPr>
        <w:rPr>
          <w:rFonts w:ascii="Arial Black" w:hAnsi="Arial Black"/>
          <w:b/>
          <w:sz w:val="24"/>
          <w:szCs w:val="24"/>
        </w:rPr>
      </w:pPr>
    </w:p>
    <w:p w14:paraId="716809E7" w14:textId="1DC0DA29" w:rsidR="007105B3" w:rsidRDefault="007105B3" w:rsidP="00EF1133">
      <w:pPr>
        <w:rPr>
          <w:rFonts w:ascii="Arial Black" w:hAnsi="Arial Black"/>
          <w:b/>
          <w:sz w:val="24"/>
          <w:szCs w:val="24"/>
        </w:rPr>
      </w:pPr>
      <w:r>
        <w:rPr>
          <w:rFonts w:ascii="Arial Black" w:hAnsi="Arial Black"/>
          <w:b/>
          <w:sz w:val="24"/>
          <w:szCs w:val="24"/>
        </w:rPr>
        <w:t>6-46</w:t>
      </w:r>
    </w:p>
    <w:p w14:paraId="46930089" w14:textId="77777777" w:rsidR="007105B3" w:rsidRPr="004F5401" w:rsidRDefault="007105B3" w:rsidP="007105B3">
      <w:pPr>
        <w:pStyle w:val="NoSpacing"/>
        <w:rPr>
          <w:rFonts w:ascii="Arial Black" w:hAnsi="Arial Black"/>
          <w:sz w:val="28"/>
          <w:szCs w:val="28"/>
        </w:rPr>
      </w:pPr>
      <w:r w:rsidRPr="004F5401">
        <w:rPr>
          <w:rFonts w:ascii="Arial Black" w:hAnsi="Arial Black"/>
          <w:sz w:val="28"/>
          <w:szCs w:val="28"/>
        </w:rPr>
        <w:t xml:space="preserve">OH: </w:t>
      </w:r>
      <w:r>
        <w:rPr>
          <w:rFonts w:ascii="Arial Black" w:hAnsi="Arial Black"/>
          <w:sz w:val="28"/>
          <w:szCs w:val="28"/>
        </w:rPr>
        <w:t xml:space="preserve">FF SUES MAYOR – FIRST AMEND. RIGHT POST YARD SIGNS – UPSET CITY INSPECTOR DIDN’T FIND DEFECTS NEW HOME </w:t>
      </w:r>
    </w:p>
    <w:p w14:paraId="108853C0" w14:textId="77777777" w:rsidR="007105B3" w:rsidRDefault="007105B3" w:rsidP="007105B3">
      <w:pPr>
        <w:pStyle w:val="NoSpacing"/>
        <w:rPr>
          <w:rFonts w:ascii="Times New Roman" w:hAnsi="Times New Roman"/>
          <w:sz w:val="24"/>
          <w:szCs w:val="24"/>
        </w:rPr>
      </w:pPr>
    </w:p>
    <w:p w14:paraId="1BAD5EE1" w14:textId="04906921" w:rsidR="007105B3" w:rsidRDefault="007105B3" w:rsidP="007105B3">
      <w:pPr>
        <w:rPr>
          <w:rStyle w:val="Hyperlink"/>
          <w:rFonts w:ascii="Times New Roman" w:hAnsi="Times New Roman"/>
          <w:sz w:val="24"/>
          <w:szCs w:val="24"/>
        </w:rPr>
      </w:pPr>
      <w:r w:rsidRPr="008263A3">
        <w:rPr>
          <w:rFonts w:ascii="Times New Roman" w:hAnsi="Times New Roman"/>
          <w:sz w:val="24"/>
          <w:szCs w:val="24"/>
        </w:rPr>
        <w:t xml:space="preserve">On </w:t>
      </w:r>
      <w:r>
        <w:rPr>
          <w:rFonts w:ascii="Times New Roman" w:hAnsi="Times New Roman"/>
          <w:sz w:val="24"/>
          <w:szCs w:val="24"/>
        </w:rPr>
        <w:t xml:space="preserve">June 22, 2020, in </w:t>
      </w:r>
      <w:r w:rsidRPr="008263A3">
        <w:rPr>
          <w:rFonts w:ascii="Times New Roman" w:hAnsi="Times New Roman"/>
          <w:sz w:val="24"/>
          <w:szCs w:val="24"/>
          <w:u w:val="single"/>
        </w:rPr>
        <w:t>Scott Solarz v. James Gaven &amp; City of Olmstead Falls</w:t>
      </w:r>
      <w:r>
        <w:rPr>
          <w:rFonts w:ascii="Times New Roman" w:hAnsi="Times New Roman"/>
          <w:sz w:val="24"/>
          <w:szCs w:val="24"/>
        </w:rPr>
        <w:t xml:space="preserve">, U.S. District Court Judge Christopher A Boyko, U.S. District Court for Northern District of Ohio (Eastern Division), denied the </w:t>
      </w:r>
      <w:proofErr w:type="gramStart"/>
      <w:r>
        <w:rPr>
          <w:rFonts w:ascii="Times New Roman" w:hAnsi="Times New Roman"/>
          <w:sz w:val="24"/>
          <w:szCs w:val="24"/>
        </w:rPr>
        <w:t>Mayor’s</w:t>
      </w:r>
      <w:proofErr w:type="gramEnd"/>
      <w:r>
        <w:rPr>
          <w:rFonts w:ascii="Times New Roman" w:hAnsi="Times New Roman"/>
          <w:sz w:val="24"/>
          <w:szCs w:val="24"/>
        </w:rPr>
        <w:t xml:space="preserve"> motion to dismiss based on qualified immunity, but did dismiss the </w:t>
      </w:r>
      <w:proofErr w:type="gramStart"/>
      <w:r>
        <w:rPr>
          <w:rFonts w:ascii="Times New Roman" w:hAnsi="Times New Roman"/>
          <w:sz w:val="24"/>
          <w:szCs w:val="24"/>
        </w:rPr>
        <w:t>City</w:t>
      </w:r>
      <w:proofErr w:type="gramEnd"/>
      <w:r>
        <w:rPr>
          <w:rFonts w:ascii="Times New Roman" w:hAnsi="Times New Roman"/>
          <w:sz w:val="24"/>
          <w:szCs w:val="24"/>
        </w:rPr>
        <w:t xml:space="preserve"> on basis of governmental immunity. as a defendant. Court wrote: “</w:t>
      </w:r>
      <w:r w:rsidRPr="004F5401">
        <w:rPr>
          <w:rFonts w:ascii="Times New Roman" w:eastAsia="Times New Roman" w:hAnsi="Times New Roman"/>
          <w:sz w:val="24"/>
          <w:szCs w:val="24"/>
        </w:rPr>
        <w:t>On May 14, 2019, Plaintiff attended a City Council meeting</w:t>
      </w:r>
      <w:r>
        <w:rPr>
          <w:rFonts w:ascii="Times New Roman" w:eastAsia="Times New Roman" w:hAnsi="Times New Roman"/>
          <w:sz w:val="24"/>
          <w:szCs w:val="24"/>
        </w:rPr>
        <w:t xml:space="preserve"> [he lives in City of Olmstead </w:t>
      </w:r>
      <w:proofErr w:type="gramStart"/>
      <w:r>
        <w:rPr>
          <w:rFonts w:ascii="Times New Roman" w:eastAsia="Times New Roman" w:hAnsi="Times New Roman"/>
          <w:sz w:val="24"/>
          <w:szCs w:val="24"/>
        </w:rPr>
        <w:t>Falls, and</w:t>
      </w:r>
      <w:proofErr w:type="gramEnd"/>
      <w:r>
        <w:rPr>
          <w:rFonts w:ascii="Times New Roman" w:eastAsia="Times New Roman" w:hAnsi="Times New Roman"/>
          <w:sz w:val="24"/>
          <w:szCs w:val="24"/>
        </w:rPr>
        <w:t xml:space="preserve"> is a firefighter with City of Rocky River]</w:t>
      </w:r>
      <w:r w:rsidRPr="004F5401">
        <w:rPr>
          <w:rFonts w:ascii="Times New Roman" w:eastAsia="Times New Roman" w:hAnsi="Times New Roman"/>
          <w:sz w:val="24"/>
          <w:szCs w:val="24"/>
        </w:rPr>
        <w:t xml:space="preserve">. Allegedly, Plaintiff and Defendant Graven had a heated exchange over the improper inspection </w:t>
      </w:r>
      <w:r>
        <w:rPr>
          <w:rFonts w:ascii="Times New Roman" w:eastAsia="Times New Roman" w:hAnsi="Times New Roman"/>
          <w:sz w:val="24"/>
          <w:szCs w:val="24"/>
        </w:rPr>
        <w:t xml:space="preserve">[of his home in 2016] </w:t>
      </w:r>
      <w:r w:rsidRPr="004F5401">
        <w:rPr>
          <w:rFonts w:ascii="Times New Roman" w:eastAsia="Times New Roman" w:hAnsi="Times New Roman"/>
          <w:sz w:val="24"/>
          <w:szCs w:val="24"/>
        </w:rPr>
        <w:t>and the refusal to provide Plaintiff with reimbursement</w:t>
      </w:r>
      <w:r>
        <w:rPr>
          <w:rFonts w:ascii="Times New Roman" w:eastAsia="Times New Roman" w:hAnsi="Times New Roman"/>
          <w:sz w:val="24"/>
          <w:szCs w:val="24"/>
        </w:rPr>
        <w:t xml:space="preserve"> [for cost of arbitration with builder]</w:t>
      </w:r>
      <w:r w:rsidRPr="004F5401">
        <w:rPr>
          <w:rFonts w:ascii="Times New Roman" w:eastAsia="Times New Roman" w:hAnsi="Times New Roman"/>
          <w:sz w:val="24"/>
          <w:szCs w:val="24"/>
        </w:rPr>
        <w:t xml:space="preserve">. Plaintiff felt the </w:t>
      </w:r>
      <w:proofErr w:type="gramStart"/>
      <w:r w:rsidRPr="004F5401">
        <w:rPr>
          <w:rFonts w:ascii="Times New Roman" w:eastAsia="Times New Roman" w:hAnsi="Times New Roman"/>
          <w:sz w:val="24"/>
          <w:szCs w:val="24"/>
        </w:rPr>
        <w:t>Mayor</w:t>
      </w:r>
      <w:proofErr w:type="gramEnd"/>
      <w:r w:rsidRPr="004F5401">
        <w:rPr>
          <w:rFonts w:ascii="Times New Roman" w:eastAsia="Times New Roman" w:hAnsi="Times New Roman"/>
          <w:sz w:val="24"/>
          <w:szCs w:val="24"/>
        </w:rPr>
        <w:t xml:space="preserve"> treated him disrespectfully and caused him to suffer public humiliation.</w:t>
      </w:r>
      <w:r>
        <w:rPr>
          <w:rFonts w:ascii="Times New Roman" w:eastAsia="Times New Roman" w:hAnsi="Times New Roman"/>
          <w:sz w:val="24"/>
          <w:szCs w:val="24"/>
        </w:rPr>
        <w:t xml:space="preserve"> </w:t>
      </w:r>
      <w:r w:rsidRPr="004F5401">
        <w:rPr>
          <w:rFonts w:ascii="Times New Roman" w:eastAsia="Times New Roman" w:hAnsi="Times New Roman"/>
          <w:sz w:val="24"/>
          <w:szCs w:val="24"/>
        </w:rPr>
        <w:t xml:space="preserve"> In June of 2019, Plaintiff created </w:t>
      </w:r>
      <w:proofErr w:type="gramStart"/>
      <w:r w:rsidRPr="004F5401">
        <w:rPr>
          <w:rFonts w:ascii="Times New Roman" w:eastAsia="Times New Roman" w:hAnsi="Times New Roman"/>
          <w:sz w:val="24"/>
          <w:szCs w:val="24"/>
        </w:rPr>
        <w:t>three</w:t>
      </w:r>
      <w:r>
        <w:rPr>
          <w:rFonts w:ascii="Times New Roman" w:eastAsia="Times New Roman" w:hAnsi="Times New Roman"/>
          <w:sz w:val="24"/>
          <w:szCs w:val="24"/>
        </w:rPr>
        <w:t xml:space="preserve"> </w:t>
      </w:r>
      <w:r w:rsidRPr="004F5401">
        <w:rPr>
          <w:rFonts w:ascii="Times New Roman" w:eastAsia="Times New Roman" w:hAnsi="Times New Roman"/>
          <w:sz w:val="24"/>
          <w:szCs w:val="24"/>
        </w:rPr>
        <w:t>yard</w:t>
      </w:r>
      <w:proofErr w:type="gramEnd"/>
      <w:r w:rsidRPr="004F5401">
        <w:rPr>
          <w:rFonts w:ascii="Times New Roman" w:eastAsia="Times New Roman" w:hAnsi="Times New Roman"/>
          <w:sz w:val="24"/>
          <w:szCs w:val="24"/>
        </w:rPr>
        <w:t xml:space="preserve"> signs - one was placed in his yard and the others in his two friends' yards. The signs </w:t>
      </w:r>
      <w:proofErr w:type="gramStart"/>
      <w:r w:rsidRPr="004F5401">
        <w:rPr>
          <w:rFonts w:ascii="Times New Roman" w:eastAsia="Times New Roman" w:hAnsi="Times New Roman"/>
          <w:sz w:val="24"/>
          <w:szCs w:val="24"/>
        </w:rPr>
        <w:t xml:space="preserve">read: </w:t>
      </w:r>
      <w:r>
        <w:rPr>
          <w:rFonts w:ascii="Times New Roman" w:eastAsia="Times New Roman" w:hAnsi="Times New Roman"/>
          <w:sz w:val="24"/>
          <w:szCs w:val="24"/>
        </w:rPr>
        <w:t>‘</w:t>
      </w:r>
      <w:proofErr w:type="gramEnd"/>
      <w:r w:rsidRPr="004F5401">
        <w:rPr>
          <w:rFonts w:ascii="Times New Roman" w:eastAsia="Times New Roman" w:hAnsi="Times New Roman"/>
          <w:sz w:val="24"/>
          <w:szCs w:val="24"/>
        </w:rPr>
        <w:t>VETERANS AND FIRE FIGHTERS AGAINST NO HONOR MAYOR GRAVEN.</w:t>
      </w:r>
      <w:r>
        <w:rPr>
          <w:rFonts w:ascii="Times New Roman" w:eastAsia="Times New Roman" w:hAnsi="Times New Roman"/>
          <w:sz w:val="24"/>
          <w:szCs w:val="24"/>
        </w:rPr>
        <w:t xml:space="preserve">’ *** </w:t>
      </w:r>
      <w:r w:rsidRPr="004F5401">
        <w:rPr>
          <w:rFonts w:ascii="Times New Roman" w:eastAsia="Times New Roman" w:hAnsi="Times New Roman"/>
          <w:sz w:val="24"/>
          <w:szCs w:val="24"/>
        </w:rPr>
        <w:t xml:space="preserve">According to the Complaint, </w:t>
      </w:r>
      <w:proofErr w:type="gramStart"/>
      <w:r w:rsidRPr="004F5401">
        <w:rPr>
          <w:rFonts w:ascii="Times New Roman" w:eastAsia="Times New Roman" w:hAnsi="Times New Roman"/>
          <w:sz w:val="24"/>
          <w:szCs w:val="24"/>
        </w:rPr>
        <w:t>in an effort to</w:t>
      </w:r>
      <w:proofErr w:type="gramEnd"/>
      <w:r w:rsidRPr="004F5401">
        <w:rPr>
          <w:rFonts w:ascii="Times New Roman" w:eastAsia="Times New Roman" w:hAnsi="Times New Roman"/>
          <w:sz w:val="24"/>
          <w:szCs w:val="24"/>
        </w:rPr>
        <w:t xml:space="preserve"> punish Plaintiff and to force him to remove</w:t>
      </w:r>
      <w:r>
        <w:rPr>
          <w:rFonts w:ascii="Times New Roman" w:eastAsia="Times New Roman" w:hAnsi="Times New Roman"/>
          <w:sz w:val="24"/>
          <w:szCs w:val="24"/>
        </w:rPr>
        <w:t xml:space="preserve"> </w:t>
      </w:r>
      <w:r w:rsidRPr="004F5401">
        <w:rPr>
          <w:rFonts w:ascii="Times New Roman" w:eastAsia="Times New Roman" w:hAnsi="Times New Roman"/>
          <w:sz w:val="24"/>
          <w:szCs w:val="24"/>
        </w:rPr>
        <w:t>the signs, Defendant Graven</w:t>
      </w:r>
      <w:r>
        <w:rPr>
          <w:rFonts w:ascii="Times New Roman" w:eastAsia="Times New Roman" w:hAnsi="Times New Roman"/>
          <w:sz w:val="24"/>
          <w:szCs w:val="24"/>
        </w:rPr>
        <w:t xml:space="preserve"> … </w:t>
      </w:r>
      <w:r w:rsidRPr="004F5401">
        <w:rPr>
          <w:rFonts w:ascii="Times New Roman" w:eastAsia="Times New Roman" w:hAnsi="Times New Roman"/>
          <w:sz w:val="24"/>
          <w:szCs w:val="24"/>
        </w:rPr>
        <w:t>contacted the Mayor of the City of Rocky River, the Fire Chief for the City of Rocky River, and Plaintiff's union president on or about June 29, 2019.</w:t>
      </w:r>
      <w:r>
        <w:rPr>
          <w:rFonts w:ascii="Times New Roman" w:eastAsia="Times New Roman" w:hAnsi="Times New Roman"/>
          <w:sz w:val="24"/>
          <w:szCs w:val="24"/>
        </w:rPr>
        <w:t xml:space="preserve"> *** </w:t>
      </w:r>
      <w:r w:rsidRPr="00897312">
        <w:rPr>
          <w:rFonts w:ascii="Times New Roman" w:hAnsi="Times New Roman"/>
          <w:sz w:val="24"/>
          <w:szCs w:val="24"/>
        </w:rPr>
        <w:t>Throughout the Complaint, Plaintiff alleges that Graven acted in his official capacity and/or under color of state law</w:t>
      </w:r>
      <w:r>
        <w:rPr>
          <w:rFonts w:ascii="Times New Roman" w:hAnsi="Times New Roman"/>
          <w:sz w:val="24"/>
          <w:szCs w:val="24"/>
        </w:rPr>
        <w:t>…</w:t>
      </w:r>
      <w:r w:rsidRPr="00897312">
        <w:rPr>
          <w:rFonts w:ascii="Times New Roman" w:hAnsi="Times New Roman"/>
          <w:sz w:val="24"/>
          <w:szCs w:val="24"/>
        </w:rPr>
        <w:t xml:space="preserve">. A mayor is a "person" who is constitutionally subject to liability under § 1983. </w:t>
      </w:r>
      <w:r w:rsidRPr="00897312">
        <w:rPr>
          <w:rFonts w:ascii="Times New Roman" w:hAnsi="Times New Roman"/>
          <w:i/>
          <w:iCs/>
          <w:sz w:val="24"/>
          <w:szCs w:val="24"/>
        </w:rPr>
        <w:t>Monell v</w:t>
      </w:r>
      <w:r w:rsidRPr="00897312">
        <w:rPr>
          <w:rFonts w:ascii="Times New Roman" w:hAnsi="Times New Roman"/>
          <w:sz w:val="24"/>
          <w:szCs w:val="24"/>
        </w:rPr>
        <w:t xml:space="preserve">. </w:t>
      </w:r>
      <w:r w:rsidRPr="00897312">
        <w:rPr>
          <w:rFonts w:ascii="Times New Roman" w:hAnsi="Times New Roman"/>
          <w:i/>
          <w:iCs/>
          <w:sz w:val="24"/>
          <w:szCs w:val="24"/>
        </w:rPr>
        <w:t>Department of Social Services</w:t>
      </w:r>
      <w:r w:rsidRPr="00897312">
        <w:rPr>
          <w:rFonts w:ascii="Times New Roman" w:hAnsi="Times New Roman"/>
          <w:sz w:val="24"/>
          <w:szCs w:val="24"/>
        </w:rPr>
        <w:t>, 436 U.S. 658 (1978).</w:t>
      </w:r>
      <w:r>
        <w:rPr>
          <w:rFonts w:ascii="Times New Roman" w:hAnsi="Times New Roman"/>
          <w:sz w:val="24"/>
          <w:szCs w:val="24"/>
        </w:rPr>
        <w:t xml:space="preserve"> *** T</w:t>
      </w:r>
      <w:r w:rsidRPr="00897312">
        <w:rPr>
          <w:rFonts w:ascii="Times New Roman" w:hAnsi="Times New Roman"/>
          <w:sz w:val="24"/>
          <w:szCs w:val="24"/>
        </w:rPr>
        <w:t>he Court concludes that, without some factual elucidation, it cannot find that Defendant Graven is entitled to qualified immunity.</w:t>
      </w:r>
      <w:r>
        <w:rPr>
          <w:rFonts w:ascii="Times New Roman" w:hAnsi="Times New Roman"/>
          <w:sz w:val="24"/>
          <w:szCs w:val="24"/>
        </w:rPr>
        <w:t xml:space="preserve">” </w:t>
      </w:r>
      <w:hyperlink r:id="rId1244" w:history="1">
        <w:r w:rsidRPr="0037669D">
          <w:rPr>
            <w:rStyle w:val="Hyperlink"/>
            <w:rFonts w:ascii="Times New Roman" w:hAnsi="Times New Roman"/>
            <w:sz w:val="24"/>
            <w:szCs w:val="24"/>
          </w:rPr>
          <w:t>https://public.fastcase.com/Wl%2B2t%2BeVuI35%2FN70vAMFZp5steAbFsjz8D5zs28wLVD2J2xhMYzUEH8PyP%2BVbQO%2B</w:t>
        </w:r>
      </w:hyperlink>
    </w:p>
    <w:p w14:paraId="6F2BF62F" w14:textId="77777777" w:rsidR="007105B3" w:rsidRDefault="007105B3" w:rsidP="007105B3">
      <w:pPr>
        <w:pStyle w:val="NoSpacing"/>
        <w:rPr>
          <w:rFonts w:ascii="Times New Roman" w:hAnsi="Times New Roman"/>
          <w:b/>
          <w:bCs/>
          <w:sz w:val="24"/>
          <w:szCs w:val="24"/>
        </w:rPr>
      </w:pPr>
    </w:p>
    <w:p w14:paraId="221CF47D" w14:textId="54FFAA0F" w:rsidR="007105B3" w:rsidRDefault="007105B3" w:rsidP="007105B3">
      <w:pPr>
        <w:pStyle w:val="NoSpacing"/>
        <w:rPr>
          <w:rFonts w:ascii="Times New Roman" w:hAnsi="Times New Roman"/>
          <w:b/>
          <w:bCs/>
          <w:sz w:val="24"/>
          <w:szCs w:val="24"/>
        </w:rPr>
      </w:pPr>
      <w:r w:rsidRPr="00C254E9">
        <w:rPr>
          <w:rFonts w:ascii="Times New Roman" w:hAnsi="Times New Roman"/>
          <w:b/>
          <w:bCs/>
          <w:sz w:val="24"/>
          <w:szCs w:val="24"/>
        </w:rPr>
        <w:t>Legal Lessons Learned:</w:t>
      </w:r>
      <w:r>
        <w:rPr>
          <w:rFonts w:ascii="Times New Roman" w:hAnsi="Times New Roman"/>
          <w:b/>
          <w:bCs/>
          <w:sz w:val="24"/>
          <w:szCs w:val="24"/>
        </w:rPr>
        <w:t xml:space="preserve"> Firefighters enjoy First Amendment rights to post yard signs involving personal matters; only limited rights concerning fire department matters.  </w:t>
      </w:r>
    </w:p>
    <w:p w14:paraId="4BDC1EE0" w14:textId="77777777" w:rsidR="007105B3" w:rsidRDefault="007105B3" w:rsidP="007105B3">
      <w:pPr>
        <w:pStyle w:val="NoSpacing"/>
        <w:rPr>
          <w:rFonts w:ascii="Times New Roman" w:hAnsi="Times New Roman"/>
          <w:b/>
          <w:bCs/>
          <w:sz w:val="24"/>
          <w:szCs w:val="24"/>
        </w:rPr>
      </w:pPr>
    </w:p>
    <w:p w14:paraId="56994B72" w14:textId="77777777" w:rsidR="007105B3" w:rsidRPr="00F65042" w:rsidRDefault="007105B3" w:rsidP="007105B3">
      <w:pPr>
        <w:pStyle w:val="NoSpacing"/>
        <w:ind w:left="720"/>
        <w:rPr>
          <w:rFonts w:ascii="Times New Roman" w:hAnsi="Times New Roman"/>
          <w:b/>
          <w:bCs/>
          <w:sz w:val="24"/>
          <w:szCs w:val="24"/>
        </w:rPr>
      </w:pPr>
      <w:r w:rsidRPr="00572796">
        <w:rPr>
          <w:rFonts w:ascii="Times New Roman" w:hAnsi="Times New Roman"/>
          <w:sz w:val="24"/>
          <w:szCs w:val="24"/>
        </w:rPr>
        <w:t xml:space="preserve">Note: City of Olmstead Falls was dismissed from </w:t>
      </w:r>
      <w:r>
        <w:rPr>
          <w:rFonts w:ascii="Times New Roman" w:hAnsi="Times New Roman"/>
          <w:sz w:val="24"/>
          <w:szCs w:val="24"/>
        </w:rPr>
        <w:t xml:space="preserve">lawsuit since this case did not involve any City policy or ordinances, based on the </w:t>
      </w:r>
      <w:r w:rsidRPr="00572796">
        <w:rPr>
          <w:rFonts w:ascii="Times New Roman" w:hAnsi="Times New Roman"/>
          <w:sz w:val="24"/>
          <w:szCs w:val="24"/>
        </w:rPr>
        <w:t xml:space="preserve">U.S. Supreme Court decision in </w:t>
      </w:r>
      <w:r w:rsidRPr="00F65042">
        <w:rPr>
          <w:rStyle w:val="Strong"/>
          <w:rFonts w:ascii="Times New Roman" w:hAnsi="Times New Roman"/>
          <w:b w:val="0"/>
          <w:bCs w:val="0"/>
          <w:sz w:val="24"/>
          <w:szCs w:val="24"/>
          <w:u w:val="single"/>
        </w:rPr>
        <w:t xml:space="preserve">Monell v. Department of Soc. </w:t>
      </w:r>
      <w:proofErr w:type="spellStart"/>
      <w:r w:rsidRPr="00F65042">
        <w:rPr>
          <w:rStyle w:val="Strong"/>
          <w:rFonts w:ascii="Times New Roman" w:hAnsi="Times New Roman"/>
          <w:b w:val="0"/>
          <w:bCs w:val="0"/>
          <w:sz w:val="24"/>
          <w:szCs w:val="24"/>
          <w:u w:val="single"/>
        </w:rPr>
        <w:t>Svcs</w:t>
      </w:r>
      <w:proofErr w:type="spellEnd"/>
      <w:r w:rsidRPr="00F65042">
        <w:rPr>
          <w:rStyle w:val="Strong"/>
          <w:rFonts w:ascii="Times New Roman" w:hAnsi="Times New Roman"/>
          <w:b w:val="0"/>
          <w:bCs w:val="0"/>
          <w:sz w:val="24"/>
          <w:szCs w:val="24"/>
        </w:rPr>
        <w:t xml:space="preserve">., 436 U.S. 658 (1978), where the New York City Board of Education forced pregnant teachers to take medical leave before such leave was required for medical reasons.  The U.S. Supreme Court held that NYC can be sued for damages for their unconstitutional policy, which the city wisely dropped. </w:t>
      </w:r>
      <w:hyperlink r:id="rId1245" w:history="1">
        <w:r w:rsidRPr="00F65042">
          <w:rPr>
            <w:rStyle w:val="Hyperlink"/>
            <w:rFonts w:ascii="Times New Roman" w:hAnsi="Times New Roman"/>
            <w:b/>
            <w:bCs/>
            <w:sz w:val="24"/>
            <w:szCs w:val="24"/>
          </w:rPr>
          <w:t>https://supreme.justia.com/cases/federal/us/436/658/</w:t>
        </w:r>
      </w:hyperlink>
      <w:r w:rsidRPr="00F65042">
        <w:rPr>
          <w:rStyle w:val="Strong"/>
          <w:rFonts w:ascii="Times New Roman" w:hAnsi="Times New Roman"/>
          <w:b w:val="0"/>
          <w:bCs w:val="0"/>
          <w:sz w:val="24"/>
          <w:szCs w:val="24"/>
        </w:rPr>
        <w:t xml:space="preserve"> </w:t>
      </w:r>
      <w:r w:rsidRPr="00F65042">
        <w:rPr>
          <w:rFonts w:ascii="Times New Roman" w:hAnsi="Times New Roman"/>
          <w:b/>
          <w:bCs/>
          <w:sz w:val="24"/>
          <w:szCs w:val="24"/>
        </w:rPr>
        <w:t xml:space="preserve">  </w:t>
      </w:r>
    </w:p>
    <w:p w14:paraId="756E88BB" w14:textId="2C8073E8" w:rsidR="007105B3" w:rsidRDefault="007105B3" w:rsidP="007105B3">
      <w:pPr>
        <w:rPr>
          <w:rStyle w:val="Hyperlink"/>
          <w:rFonts w:ascii="Times New Roman" w:hAnsi="Times New Roman"/>
          <w:sz w:val="24"/>
          <w:szCs w:val="24"/>
        </w:rPr>
      </w:pPr>
    </w:p>
    <w:p w14:paraId="56EB5C6D" w14:textId="77777777" w:rsidR="007105B3" w:rsidRDefault="007105B3" w:rsidP="007105B3">
      <w:pPr>
        <w:rPr>
          <w:rFonts w:ascii="Arial Black" w:hAnsi="Arial Black"/>
          <w:b/>
          <w:sz w:val="24"/>
          <w:szCs w:val="24"/>
        </w:rPr>
      </w:pPr>
    </w:p>
    <w:p w14:paraId="41FE17E2" w14:textId="3F50D94E" w:rsidR="006744D3" w:rsidRDefault="006744D3" w:rsidP="00EF1133">
      <w:pPr>
        <w:rPr>
          <w:rFonts w:ascii="Arial Black" w:hAnsi="Arial Black"/>
          <w:b/>
          <w:sz w:val="24"/>
          <w:szCs w:val="24"/>
        </w:rPr>
      </w:pPr>
      <w:r>
        <w:rPr>
          <w:rFonts w:ascii="Arial Black" w:hAnsi="Arial Black"/>
          <w:b/>
          <w:sz w:val="24"/>
          <w:szCs w:val="24"/>
        </w:rPr>
        <w:t>6-45</w:t>
      </w:r>
    </w:p>
    <w:p w14:paraId="404F3775" w14:textId="77777777" w:rsidR="006744D3" w:rsidRPr="00575185" w:rsidRDefault="006744D3" w:rsidP="006744D3">
      <w:pPr>
        <w:spacing w:after="0" w:line="240" w:lineRule="auto"/>
        <w:jc w:val="both"/>
        <w:rPr>
          <w:rFonts w:ascii="Arial Black" w:eastAsia="Times New Roman" w:hAnsi="Arial Black"/>
          <w:b/>
          <w:bCs/>
          <w:sz w:val="28"/>
          <w:szCs w:val="28"/>
        </w:rPr>
      </w:pPr>
      <w:r w:rsidRPr="00575185">
        <w:rPr>
          <w:rFonts w:ascii="Arial Black" w:eastAsia="Times New Roman" w:hAnsi="Arial Black"/>
          <w:b/>
          <w:bCs/>
          <w:sz w:val="28"/>
          <w:szCs w:val="28"/>
        </w:rPr>
        <w:t xml:space="preserve">MD:  FF </w:t>
      </w:r>
      <w:r>
        <w:rPr>
          <w:rFonts w:ascii="Arial Black" w:eastAsia="Times New Roman" w:hAnsi="Arial Black"/>
          <w:b/>
          <w:bCs/>
          <w:sz w:val="28"/>
          <w:szCs w:val="28"/>
        </w:rPr>
        <w:t xml:space="preserve">WITH </w:t>
      </w:r>
      <w:r w:rsidRPr="00575185">
        <w:rPr>
          <w:rFonts w:ascii="Arial Black" w:eastAsia="Times New Roman" w:hAnsi="Arial Black"/>
          <w:b/>
          <w:bCs/>
          <w:sz w:val="28"/>
          <w:szCs w:val="28"/>
        </w:rPr>
        <w:t>HERNIA</w:t>
      </w:r>
      <w:r>
        <w:rPr>
          <w:rFonts w:ascii="Arial Black" w:eastAsia="Times New Roman" w:hAnsi="Arial Black"/>
          <w:b/>
          <w:bCs/>
          <w:sz w:val="28"/>
          <w:szCs w:val="28"/>
        </w:rPr>
        <w:t xml:space="preserve"> – DENIED WORKERS COMP – IN MARYLAND JUST “SPRAIN” – NOT OCCPATIONAL DISEASE UNLESS CAUSED BY “ACCIDENTAL PERSONAL INJURY” </w:t>
      </w:r>
    </w:p>
    <w:p w14:paraId="3A0F5194" w14:textId="77777777" w:rsidR="006744D3" w:rsidRPr="00025F21" w:rsidRDefault="006744D3" w:rsidP="006744D3">
      <w:pPr>
        <w:spacing w:after="0" w:line="240" w:lineRule="auto"/>
        <w:ind w:left="720"/>
        <w:jc w:val="both"/>
        <w:rPr>
          <w:rFonts w:ascii="Times New Roman" w:eastAsia="Times New Roman" w:hAnsi="Times New Roman"/>
          <w:sz w:val="27"/>
          <w:szCs w:val="27"/>
        </w:rPr>
      </w:pPr>
    </w:p>
    <w:p w14:paraId="78B97EF1" w14:textId="77777777" w:rsidR="006744D3" w:rsidRDefault="006744D3" w:rsidP="006744D3">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On May 28, 2020, in </w:t>
      </w:r>
      <w:r w:rsidRPr="00575185">
        <w:rPr>
          <w:rFonts w:ascii="Times New Roman" w:eastAsia="Times New Roman" w:hAnsi="Times New Roman"/>
          <w:sz w:val="24"/>
          <w:szCs w:val="24"/>
          <w:u w:val="single"/>
        </w:rPr>
        <w:t>Justin Greer v. Montgomery County, Maryland</w:t>
      </w:r>
      <w:r>
        <w:rPr>
          <w:rFonts w:ascii="Times New Roman" w:eastAsia="Times New Roman" w:hAnsi="Times New Roman"/>
          <w:sz w:val="24"/>
          <w:szCs w:val="24"/>
        </w:rPr>
        <w:t xml:space="preserve">, the Court of Special Appeals of Maryland held (3 to 0) that the Workers Compensation Commission, and the trial court properly denied the firefighter’s workers comp claim for inguinal (groin area) hernia. </w:t>
      </w:r>
      <w:hyperlink r:id="rId1246" w:history="1">
        <w:r w:rsidRPr="003F3822">
          <w:rPr>
            <w:rStyle w:val="Hyperlink"/>
            <w:sz w:val="24"/>
            <w:szCs w:val="24"/>
          </w:rPr>
          <w:t>https://mdcourts.gov/data/opinions/cosa/2020/3381s18.pdf</w:t>
        </w:r>
      </w:hyperlink>
      <w:r>
        <w:rPr>
          <w:rFonts w:ascii="Times New Roman" w:eastAsia="Times New Roman" w:hAnsi="Times New Roman"/>
          <w:sz w:val="24"/>
          <w:szCs w:val="24"/>
        </w:rPr>
        <w:t xml:space="preserve"> </w:t>
      </w:r>
    </w:p>
    <w:p w14:paraId="74ED129D" w14:textId="77777777" w:rsidR="006744D3" w:rsidRDefault="006744D3" w:rsidP="006744D3">
      <w:pPr>
        <w:spacing w:after="0" w:line="240" w:lineRule="auto"/>
        <w:jc w:val="both"/>
        <w:rPr>
          <w:rFonts w:ascii="Times New Roman" w:hAnsi="Times New Roman"/>
          <w:b/>
          <w:bCs/>
          <w:sz w:val="24"/>
          <w:szCs w:val="24"/>
        </w:rPr>
      </w:pPr>
    </w:p>
    <w:p w14:paraId="493DD709" w14:textId="361C40C2" w:rsidR="006744D3" w:rsidRDefault="006744D3" w:rsidP="006744D3">
      <w:pPr>
        <w:spacing w:after="0" w:line="240" w:lineRule="auto"/>
        <w:jc w:val="both"/>
        <w:rPr>
          <w:rFonts w:ascii="Times New Roman" w:hAnsi="Times New Roman"/>
          <w:b/>
          <w:bCs/>
          <w:sz w:val="24"/>
          <w:szCs w:val="24"/>
        </w:rPr>
      </w:pPr>
      <w:r w:rsidRPr="001759E2">
        <w:rPr>
          <w:rFonts w:ascii="Times New Roman" w:hAnsi="Times New Roman"/>
          <w:b/>
          <w:bCs/>
          <w:sz w:val="24"/>
          <w:szCs w:val="24"/>
        </w:rPr>
        <w:t>Legal Lessons Learned:</w:t>
      </w:r>
      <w:r>
        <w:rPr>
          <w:rFonts w:ascii="Times New Roman" w:hAnsi="Times New Roman"/>
          <w:b/>
          <w:bCs/>
          <w:sz w:val="24"/>
          <w:szCs w:val="24"/>
        </w:rPr>
        <w:t xml:space="preserve"> Courts when reviewing administrative agency decisions will generally give deference to the agency’s interpretation of a statute enforced by that agency.  </w:t>
      </w:r>
    </w:p>
    <w:p w14:paraId="01273A2A" w14:textId="77777777" w:rsidR="006744D3" w:rsidRDefault="006744D3" w:rsidP="00EF1133">
      <w:pPr>
        <w:rPr>
          <w:rFonts w:ascii="Arial Black" w:hAnsi="Arial Black"/>
          <w:b/>
          <w:sz w:val="24"/>
          <w:szCs w:val="24"/>
        </w:rPr>
      </w:pPr>
    </w:p>
    <w:p w14:paraId="7B97B02B" w14:textId="77777777" w:rsidR="006744D3" w:rsidRDefault="006744D3" w:rsidP="00EF1133">
      <w:pPr>
        <w:rPr>
          <w:rFonts w:ascii="Arial Black" w:hAnsi="Arial Black"/>
          <w:b/>
          <w:sz w:val="24"/>
          <w:szCs w:val="24"/>
        </w:rPr>
      </w:pPr>
    </w:p>
    <w:p w14:paraId="0D5E6818" w14:textId="4BE7182F" w:rsidR="004E22C3" w:rsidRDefault="004E22C3" w:rsidP="00EF1133">
      <w:pPr>
        <w:rPr>
          <w:rFonts w:ascii="Arial Black" w:hAnsi="Arial Black"/>
          <w:b/>
          <w:sz w:val="24"/>
          <w:szCs w:val="24"/>
        </w:rPr>
      </w:pPr>
      <w:r>
        <w:rPr>
          <w:rFonts w:ascii="Arial Black" w:hAnsi="Arial Black"/>
          <w:b/>
          <w:sz w:val="24"/>
          <w:szCs w:val="24"/>
        </w:rPr>
        <w:t>6-44</w:t>
      </w:r>
    </w:p>
    <w:p w14:paraId="72871779" w14:textId="77777777" w:rsidR="004E22C3" w:rsidRPr="00970612" w:rsidRDefault="004E22C3" w:rsidP="004E22C3">
      <w:pPr>
        <w:spacing w:before="100" w:beforeAutospacing="1" w:after="100" w:afterAutospacing="1" w:line="240" w:lineRule="auto"/>
        <w:jc w:val="both"/>
        <w:rPr>
          <w:rFonts w:ascii="Arial Black" w:eastAsia="Times New Roman" w:hAnsi="Arial Black"/>
          <w:b/>
          <w:bCs/>
          <w:sz w:val="28"/>
          <w:szCs w:val="28"/>
        </w:rPr>
      </w:pPr>
      <w:r w:rsidRPr="00970612">
        <w:rPr>
          <w:rFonts w:ascii="Arial Black" w:eastAsia="Times New Roman" w:hAnsi="Arial Black"/>
          <w:b/>
          <w:bCs/>
          <w:sz w:val="28"/>
          <w:szCs w:val="28"/>
        </w:rPr>
        <w:t>OR:</w:t>
      </w:r>
      <w:r>
        <w:rPr>
          <w:rFonts w:ascii="Arial Black" w:eastAsia="Times New Roman" w:hAnsi="Arial Black"/>
          <w:b/>
          <w:bCs/>
          <w:sz w:val="28"/>
          <w:szCs w:val="28"/>
        </w:rPr>
        <w:t xml:space="preserve"> WORKERS COMP DENIED – FF WITH NON-HODGKIN’S LYMPHOMA – MEDICAL EXPERT DID NOT ESTABLISH THAT SMOKE EXPOSURE WAS MAJOR CONTRIBUTING CAUSE</w:t>
      </w:r>
    </w:p>
    <w:p w14:paraId="439C6C4D" w14:textId="077BE0DE" w:rsidR="004E22C3" w:rsidRDefault="004E22C3" w:rsidP="004E22C3">
      <w:pPr>
        <w:spacing w:before="100" w:beforeAutospacing="1" w:after="100" w:afterAutospacing="1" w:line="240" w:lineRule="auto"/>
        <w:jc w:val="both"/>
        <w:rPr>
          <w:rFonts w:ascii="Times New Roman" w:hAnsi="Times New Roman"/>
          <w:sz w:val="24"/>
          <w:szCs w:val="24"/>
        </w:rPr>
      </w:pPr>
      <w:r w:rsidRPr="00970612">
        <w:rPr>
          <w:rFonts w:ascii="Times New Roman" w:eastAsia="Times New Roman" w:hAnsi="Times New Roman"/>
          <w:sz w:val="24"/>
          <w:szCs w:val="24"/>
        </w:rPr>
        <w:t xml:space="preserve">On May 21, 2020, </w:t>
      </w:r>
      <w:r w:rsidRPr="00970612">
        <w:rPr>
          <w:rFonts w:ascii="Times New Roman" w:hAnsi="Times New Roman"/>
          <w:sz w:val="24"/>
          <w:szCs w:val="24"/>
          <w:u w:val="single"/>
        </w:rPr>
        <w:t xml:space="preserve">In </w:t>
      </w:r>
      <w:proofErr w:type="gramStart"/>
      <w:r w:rsidRPr="00970612">
        <w:rPr>
          <w:rFonts w:ascii="Times New Roman" w:hAnsi="Times New Roman"/>
          <w:sz w:val="24"/>
          <w:szCs w:val="24"/>
          <w:u w:val="single"/>
        </w:rPr>
        <w:t>The</w:t>
      </w:r>
      <w:proofErr w:type="gramEnd"/>
      <w:r w:rsidRPr="00970612">
        <w:rPr>
          <w:rFonts w:ascii="Times New Roman" w:hAnsi="Times New Roman"/>
          <w:sz w:val="24"/>
          <w:szCs w:val="24"/>
          <w:u w:val="single"/>
        </w:rPr>
        <w:t xml:space="preserve"> Matter </w:t>
      </w:r>
      <w:proofErr w:type="gramStart"/>
      <w:r w:rsidRPr="00970612">
        <w:rPr>
          <w:rFonts w:ascii="Times New Roman" w:hAnsi="Times New Roman"/>
          <w:sz w:val="24"/>
          <w:szCs w:val="24"/>
          <w:u w:val="single"/>
        </w:rPr>
        <w:t>Of</w:t>
      </w:r>
      <w:proofErr w:type="gramEnd"/>
      <w:r w:rsidRPr="00970612">
        <w:rPr>
          <w:rFonts w:ascii="Times New Roman" w:hAnsi="Times New Roman"/>
          <w:sz w:val="24"/>
          <w:szCs w:val="24"/>
          <w:u w:val="single"/>
        </w:rPr>
        <w:t xml:space="preserve"> </w:t>
      </w:r>
      <w:proofErr w:type="gramStart"/>
      <w:r w:rsidRPr="00970612">
        <w:rPr>
          <w:rFonts w:ascii="Times New Roman" w:hAnsi="Times New Roman"/>
          <w:sz w:val="24"/>
          <w:szCs w:val="24"/>
          <w:u w:val="single"/>
        </w:rPr>
        <w:t>The</w:t>
      </w:r>
      <w:proofErr w:type="gramEnd"/>
      <w:r w:rsidRPr="00970612">
        <w:rPr>
          <w:rFonts w:ascii="Times New Roman" w:hAnsi="Times New Roman"/>
          <w:sz w:val="24"/>
          <w:szCs w:val="24"/>
          <w:u w:val="single"/>
        </w:rPr>
        <w:t xml:space="preserve"> Compensation </w:t>
      </w:r>
      <w:proofErr w:type="gramStart"/>
      <w:r w:rsidRPr="00970612">
        <w:rPr>
          <w:rFonts w:ascii="Times New Roman" w:hAnsi="Times New Roman"/>
          <w:sz w:val="24"/>
          <w:szCs w:val="24"/>
          <w:u w:val="single"/>
        </w:rPr>
        <w:t>Of</w:t>
      </w:r>
      <w:proofErr w:type="gramEnd"/>
      <w:r w:rsidRPr="00970612">
        <w:rPr>
          <w:rFonts w:ascii="Times New Roman" w:hAnsi="Times New Roman"/>
          <w:sz w:val="24"/>
          <w:szCs w:val="24"/>
          <w:u w:val="single"/>
        </w:rPr>
        <w:t xml:space="preserve"> Alvin D. Rohrscheib, Claimant</w:t>
      </w:r>
      <w:r>
        <w:rPr>
          <w:b/>
          <w:bCs/>
        </w:rPr>
        <w:t xml:space="preserve">,  </w:t>
      </w:r>
      <w:r w:rsidRPr="00685BD9">
        <w:rPr>
          <w:rFonts w:ascii="Times New Roman" w:eastAsia="Times New Roman" w:hAnsi="Times New Roman"/>
          <w:sz w:val="24"/>
          <w:szCs w:val="24"/>
        </w:rPr>
        <w:t xml:space="preserve">72 </w:t>
      </w:r>
      <w:r w:rsidRPr="002F309C">
        <w:rPr>
          <w:rFonts w:ascii="Times New Roman" w:eastAsia="Times New Roman" w:hAnsi="Times New Roman"/>
          <w:sz w:val="24"/>
          <w:szCs w:val="24"/>
        </w:rPr>
        <w:t>Van Natta 421, WCB Case No. 18-02473</w:t>
      </w:r>
      <w:r>
        <w:rPr>
          <w:rFonts w:ascii="Times New Roman" w:eastAsia="Times New Roman" w:hAnsi="Times New Roman"/>
          <w:sz w:val="24"/>
          <w:szCs w:val="24"/>
        </w:rPr>
        <w:t xml:space="preserve">, </w:t>
      </w:r>
      <w:r>
        <w:rPr>
          <w:b/>
          <w:bCs/>
        </w:rPr>
        <w:t xml:space="preserve"> </w:t>
      </w:r>
      <w:r w:rsidRPr="00970612">
        <w:rPr>
          <w:rFonts w:ascii="Times New Roman" w:hAnsi="Times New Roman"/>
          <w:sz w:val="24"/>
          <w:szCs w:val="24"/>
        </w:rPr>
        <w:t>the Oregon Workers' Compensation Division</w:t>
      </w:r>
      <w:r>
        <w:rPr>
          <w:rFonts w:ascii="Times New Roman" w:hAnsi="Times New Roman"/>
          <w:sz w:val="24"/>
          <w:szCs w:val="24"/>
        </w:rPr>
        <w:t xml:space="preserve">, Reviewing Panel upheld (2 to 0) the Administrative Law Judge </w:t>
      </w:r>
      <w:r w:rsidRPr="00970612">
        <w:rPr>
          <w:rFonts w:ascii="Times New Roman" w:hAnsi="Times New Roman"/>
          <w:sz w:val="24"/>
          <w:szCs w:val="24"/>
        </w:rPr>
        <w:t>order that upheld the self-insured employer's denials of his occupational disease claim for non-Hodgkin's lymphoma</w:t>
      </w:r>
      <w:r>
        <w:rPr>
          <w:rFonts w:ascii="Times New Roman" w:hAnsi="Times New Roman"/>
          <w:sz w:val="24"/>
          <w:szCs w:val="24"/>
        </w:rPr>
        <w:t xml:space="preserve">.  </w:t>
      </w:r>
      <w:hyperlink r:id="rId1247" w:history="1">
        <w:r w:rsidR="006744D3" w:rsidRPr="00E74BA3">
          <w:rPr>
            <w:rStyle w:val="Hyperlink"/>
            <w:rFonts w:ascii="Times New Roman" w:hAnsi="Times New Roman"/>
            <w:sz w:val="24"/>
            <w:szCs w:val="24"/>
          </w:rPr>
          <w:t>https://public.fastcase.com/Wl%2B2t%2BeVuI35%2FN70vAMFZmh5C6Al26quhK4NpqFpqP3dNIvTBMbQP47YmW18oezY</w:t>
        </w:r>
      </w:hyperlink>
      <w:r w:rsidR="006744D3">
        <w:rPr>
          <w:rFonts w:ascii="Times New Roman" w:hAnsi="Times New Roman"/>
          <w:sz w:val="24"/>
          <w:szCs w:val="24"/>
        </w:rPr>
        <w:t xml:space="preserve"> </w:t>
      </w:r>
    </w:p>
    <w:p w14:paraId="088DFF40" w14:textId="77777777" w:rsidR="006744D3" w:rsidRDefault="006744D3" w:rsidP="006744D3">
      <w:pPr>
        <w:spacing w:before="100" w:beforeAutospacing="1" w:after="100" w:afterAutospacing="1" w:line="240" w:lineRule="auto"/>
        <w:rPr>
          <w:rFonts w:ascii="Times New Roman" w:eastAsia="Times New Roman" w:hAnsi="Times New Roman"/>
          <w:b/>
          <w:bCs/>
          <w:sz w:val="24"/>
          <w:szCs w:val="24"/>
        </w:rPr>
      </w:pPr>
      <w:r w:rsidRPr="00970612">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Many states have now enacted statutory presumption laws, including Oregon.  </w:t>
      </w:r>
      <w:hyperlink r:id="rId1248" w:history="1">
        <w:r w:rsidRPr="00E26203">
          <w:rPr>
            <w:rStyle w:val="Hyperlink"/>
            <w:sz w:val="24"/>
            <w:szCs w:val="24"/>
          </w:rPr>
          <w:t>https://www.firstrespondercenter.org/cancer/toolsresources/presumptive-legislation-firefighter-cancer-state/</w:t>
        </w:r>
      </w:hyperlink>
      <w:r>
        <w:rPr>
          <w:rFonts w:ascii="Times New Roman" w:eastAsia="Times New Roman" w:hAnsi="Times New Roman"/>
          <w:b/>
          <w:bCs/>
          <w:sz w:val="24"/>
          <w:szCs w:val="24"/>
        </w:rPr>
        <w:t xml:space="preserve">  </w:t>
      </w:r>
    </w:p>
    <w:p w14:paraId="4A85E050" w14:textId="77777777" w:rsidR="006744D3" w:rsidRDefault="006744D3" w:rsidP="006744D3">
      <w:pPr>
        <w:pStyle w:val="Heading3"/>
        <w:ind w:left="1440"/>
        <w:jc w:val="both"/>
        <w:rPr>
          <w:rFonts w:ascii="Times New Roman" w:hAnsi="Times New Roman" w:cs="Times New Roman"/>
          <w:color w:val="auto"/>
        </w:rPr>
      </w:pPr>
      <w:r w:rsidRPr="002F309C">
        <w:rPr>
          <w:rFonts w:ascii="Times New Roman" w:eastAsia="Times New Roman" w:hAnsi="Times New Roman" w:cs="Times New Roman"/>
          <w:color w:val="auto"/>
        </w:rPr>
        <w:t>Note: See article, Jan. 4, 2010,</w:t>
      </w:r>
      <w:r w:rsidRPr="002F309C">
        <w:rPr>
          <w:rFonts w:ascii="Times New Roman" w:eastAsia="Times New Roman" w:hAnsi="Times New Roman" w:cs="Times New Roman"/>
          <w:b/>
          <w:bCs/>
          <w:color w:val="auto"/>
        </w:rPr>
        <w:t xml:space="preserve"> “</w:t>
      </w:r>
      <w:r w:rsidRPr="002F309C">
        <w:rPr>
          <w:rFonts w:ascii="Times New Roman" w:hAnsi="Times New Roman" w:cs="Times New Roman"/>
          <w:color w:val="auto"/>
        </w:rPr>
        <w:t>Oregon's Expanded Cancer Presumption Law Takes Effect,</w:t>
      </w:r>
      <w:r>
        <w:rPr>
          <w:rFonts w:ascii="Times New Roman" w:hAnsi="Times New Roman" w:cs="Times New Roman"/>
          <w:color w:val="auto"/>
        </w:rPr>
        <w:t xml:space="preserve"> s</w:t>
      </w:r>
      <w:r w:rsidRPr="002F309C">
        <w:rPr>
          <w:rFonts w:ascii="Times New Roman" w:hAnsi="Times New Roman" w:cs="Times New Roman"/>
          <w:color w:val="auto"/>
        </w:rPr>
        <w:t>igned by Gov. Ted Kulongoski last March, the law added 12 types of cancer to existing firefighter presumptions for employment-caused occupational diseases under workers' comp.</w:t>
      </w:r>
      <w:r>
        <w:rPr>
          <w:rFonts w:ascii="Times New Roman" w:hAnsi="Times New Roman" w:cs="Times New Roman"/>
          <w:color w:val="auto"/>
        </w:rPr>
        <w:t>”</w:t>
      </w:r>
      <w:r w:rsidRPr="002F309C">
        <w:t xml:space="preserve"> </w:t>
      </w:r>
      <w:r w:rsidRPr="002F309C">
        <w:rPr>
          <w:rFonts w:ascii="Times New Roman" w:hAnsi="Times New Roman" w:cs="Times New Roman"/>
          <w:color w:val="auto"/>
        </w:rPr>
        <w:t>[including non-Hodgkin's lymphoma]</w:t>
      </w:r>
      <w:r>
        <w:rPr>
          <w:rFonts w:ascii="Times New Roman" w:hAnsi="Times New Roman" w:cs="Times New Roman"/>
          <w:color w:val="auto"/>
        </w:rPr>
        <w:t>.</w:t>
      </w:r>
    </w:p>
    <w:p w14:paraId="0CFB4165" w14:textId="77777777" w:rsidR="006744D3" w:rsidRPr="006744D3" w:rsidRDefault="006744D3" w:rsidP="006744D3">
      <w:pPr>
        <w:pStyle w:val="Heading3"/>
        <w:ind w:left="1440"/>
        <w:jc w:val="both"/>
        <w:rPr>
          <w:rFonts w:ascii="Times New Roman" w:eastAsia="Times New Roman" w:hAnsi="Times New Roman" w:cs="Times New Roman"/>
          <w:b/>
          <w:bCs/>
        </w:rPr>
      </w:pPr>
      <w:hyperlink r:id="rId1249" w:history="1">
        <w:r w:rsidRPr="006744D3">
          <w:rPr>
            <w:rStyle w:val="Hyperlink"/>
            <w:rFonts w:ascii="Times New Roman" w:hAnsi="Times New Roman" w:cs="Times New Roman"/>
          </w:rPr>
          <w:t>https://ohsonline.com/articles/2010/01/04/expanded-cancer-presumption-law.aspx</w:t>
        </w:r>
      </w:hyperlink>
    </w:p>
    <w:p w14:paraId="557487B5" w14:textId="77777777" w:rsidR="004E22C3" w:rsidRDefault="004E22C3" w:rsidP="00EF1133">
      <w:pPr>
        <w:rPr>
          <w:rFonts w:ascii="Arial Black" w:hAnsi="Arial Black"/>
          <w:b/>
          <w:sz w:val="24"/>
          <w:szCs w:val="24"/>
        </w:rPr>
      </w:pPr>
    </w:p>
    <w:p w14:paraId="232FEADC" w14:textId="77777777" w:rsidR="004E22C3" w:rsidRDefault="004E22C3" w:rsidP="00EF1133">
      <w:pPr>
        <w:rPr>
          <w:rFonts w:ascii="Arial Black" w:hAnsi="Arial Black"/>
          <w:b/>
          <w:sz w:val="24"/>
          <w:szCs w:val="24"/>
        </w:rPr>
      </w:pPr>
    </w:p>
    <w:p w14:paraId="5E1B444F" w14:textId="77777777" w:rsidR="00B03268" w:rsidRDefault="00B03268" w:rsidP="00EF1133">
      <w:pPr>
        <w:rPr>
          <w:rFonts w:ascii="Arial Black" w:hAnsi="Arial Black"/>
          <w:b/>
          <w:sz w:val="24"/>
          <w:szCs w:val="24"/>
        </w:rPr>
      </w:pPr>
    </w:p>
    <w:p w14:paraId="5DE15349" w14:textId="77777777" w:rsidR="00B03268" w:rsidRDefault="00B03268" w:rsidP="00EF1133">
      <w:pPr>
        <w:rPr>
          <w:rFonts w:ascii="Arial Black" w:hAnsi="Arial Black"/>
          <w:b/>
          <w:sz w:val="24"/>
          <w:szCs w:val="24"/>
        </w:rPr>
      </w:pPr>
    </w:p>
    <w:p w14:paraId="73C7402E" w14:textId="571864D6" w:rsidR="004E22C3" w:rsidRDefault="004E22C3" w:rsidP="00EF1133">
      <w:pPr>
        <w:rPr>
          <w:rFonts w:ascii="Arial Black" w:hAnsi="Arial Black"/>
          <w:b/>
          <w:sz w:val="24"/>
          <w:szCs w:val="24"/>
        </w:rPr>
      </w:pPr>
      <w:r>
        <w:rPr>
          <w:rFonts w:ascii="Arial Black" w:hAnsi="Arial Black"/>
          <w:b/>
          <w:sz w:val="24"/>
          <w:szCs w:val="24"/>
        </w:rPr>
        <w:t>6-43</w:t>
      </w:r>
    </w:p>
    <w:p w14:paraId="7525322D" w14:textId="77777777" w:rsidR="004E22C3" w:rsidRPr="003A738E" w:rsidRDefault="004E22C3" w:rsidP="004E22C3">
      <w:pPr>
        <w:spacing w:before="100" w:beforeAutospacing="1" w:after="100" w:afterAutospacing="1" w:line="240" w:lineRule="auto"/>
        <w:jc w:val="both"/>
        <w:rPr>
          <w:rFonts w:ascii="Arial Black" w:eastAsia="Times New Roman" w:hAnsi="Arial Black"/>
          <w:b/>
          <w:bCs/>
          <w:sz w:val="28"/>
          <w:szCs w:val="28"/>
        </w:rPr>
      </w:pPr>
      <w:r w:rsidRPr="003A738E">
        <w:rPr>
          <w:rFonts w:ascii="Arial Black" w:eastAsia="Times New Roman" w:hAnsi="Arial Black"/>
          <w:b/>
          <w:bCs/>
          <w:sz w:val="28"/>
          <w:szCs w:val="28"/>
        </w:rPr>
        <w:t xml:space="preserve">LA: </w:t>
      </w:r>
      <w:r>
        <w:rPr>
          <w:rFonts w:ascii="Arial Black" w:eastAsia="Times New Roman" w:hAnsi="Arial Black"/>
          <w:b/>
          <w:bCs/>
          <w:sz w:val="28"/>
          <w:szCs w:val="28"/>
        </w:rPr>
        <w:t>HEARING LOSS – WORKERS COMP DENIED – UNDER LOUISIANA LAW ONLY IF LOSS FROM A SINGLE TRAUMATIC ACCIDENT</w:t>
      </w:r>
    </w:p>
    <w:p w14:paraId="2F02E46F" w14:textId="77777777" w:rsidR="004E22C3" w:rsidRPr="00685BD9" w:rsidRDefault="004E22C3" w:rsidP="004E22C3">
      <w:pPr>
        <w:pStyle w:val="NoSpacing"/>
        <w:rPr>
          <w:rFonts w:ascii="Times New Roman" w:hAnsi="Times New Roman"/>
          <w:sz w:val="24"/>
          <w:szCs w:val="24"/>
        </w:rPr>
      </w:pPr>
      <w:r w:rsidRPr="00685BD9">
        <w:rPr>
          <w:rFonts w:ascii="Times New Roman" w:hAnsi="Times New Roman"/>
          <w:sz w:val="24"/>
          <w:szCs w:val="24"/>
        </w:rPr>
        <w:t xml:space="preserve">On May 20, 2020, in </w:t>
      </w:r>
      <w:r w:rsidRPr="00685BD9">
        <w:rPr>
          <w:rFonts w:ascii="Times New Roman" w:hAnsi="Times New Roman"/>
          <w:sz w:val="24"/>
          <w:szCs w:val="24"/>
          <w:u w:val="single"/>
        </w:rPr>
        <w:t>James L. Hartman, Jr. v. St. Bernard Parish Fire Department, et al</w:t>
      </w:r>
      <w:r w:rsidRPr="00685BD9">
        <w:rPr>
          <w:rFonts w:ascii="Times New Roman" w:hAnsi="Times New Roman"/>
          <w:sz w:val="24"/>
          <w:szCs w:val="24"/>
        </w:rPr>
        <w:t>., the Court of Appeals, Fourth Circuit, State of Louisiana, affirmed the Office of Workers’ Compensation judge, deny benefits to District Chief Hartman.</w:t>
      </w:r>
    </w:p>
    <w:p w14:paraId="1D023916" w14:textId="77777777" w:rsidR="004E22C3" w:rsidRPr="003A738E" w:rsidRDefault="004E22C3" w:rsidP="004E22C3">
      <w:pPr>
        <w:pStyle w:val="NoSpacing"/>
      </w:pPr>
      <w:hyperlink r:id="rId1250" w:history="1">
        <w:r w:rsidRPr="00685BD9">
          <w:rPr>
            <w:rStyle w:val="Hyperlink"/>
            <w:rFonts w:ascii="Times New Roman" w:eastAsia="Times New Roman" w:hAnsi="Times New Roman"/>
            <w:sz w:val="24"/>
            <w:szCs w:val="24"/>
          </w:rPr>
          <w:t>http://41af3k34gprx4f6bg12df75i.wpengine.netdna-cdn.com/wp-content/uploads/sites/19/2020/05/Hartman-v.-St.-Bernard-Parish-Fire-Dep_t_-2020-La.-App.pdf</w:t>
        </w:r>
      </w:hyperlink>
      <w:r>
        <w:t xml:space="preserve"> </w:t>
      </w:r>
    </w:p>
    <w:p w14:paraId="4E386935" w14:textId="77777777" w:rsidR="004E22C3" w:rsidRPr="00EF0D90" w:rsidRDefault="004E22C3" w:rsidP="004E22C3">
      <w:pPr>
        <w:spacing w:before="100" w:beforeAutospacing="1" w:after="100" w:afterAutospacing="1" w:line="240" w:lineRule="auto"/>
        <w:jc w:val="both"/>
        <w:rPr>
          <w:rFonts w:ascii="Times New Roman" w:hAnsi="Times New Roman"/>
          <w:b/>
          <w:bCs/>
          <w:sz w:val="24"/>
          <w:szCs w:val="24"/>
        </w:rPr>
      </w:pPr>
      <w:r w:rsidRPr="00EF0D90">
        <w:rPr>
          <w:rFonts w:ascii="Times New Roman" w:hAnsi="Times New Roman"/>
          <w:b/>
          <w:bCs/>
          <w:sz w:val="24"/>
          <w:szCs w:val="24"/>
        </w:rPr>
        <w:t>Legal Lessons Learned: Where hearing protection when on apparatus using siren, or near equipment with load noises.</w:t>
      </w:r>
    </w:p>
    <w:p w14:paraId="2737F3A7" w14:textId="77777777" w:rsidR="004E22C3" w:rsidRDefault="004E22C3" w:rsidP="00EF1133">
      <w:pPr>
        <w:rPr>
          <w:rFonts w:ascii="Arial Black" w:hAnsi="Arial Black"/>
          <w:b/>
          <w:sz w:val="24"/>
          <w:szCs w:val="24"/>
        </w:rPr>
      </w:pPr>
    </w:p>
    <w:p w14:paraId="7B1EB2ED" w14:textId="77777777" w:rsidR="004E22C3" w:rsidRDefault="004E22C3" w:rsidP="00EF1133">
      <w:pPr>
        <w:rPr>
          <w:rFonts w:ascii="Arial Black" w:hAnsi="Arial Black"/>
          <w:b/>
          <w:sz w:val="24"/>
          <w:szCs w:val="24"/>
        </w:rPr>
      </w:pPr>
    </w:p>
    <w:p w14:paraId="2490850D" w14:textId="288B17D9" w:rsidR="004E22C3" w:rsidRDefault="004E22C3" w:rsidP="00EF1133">
      <w:pPr>
        <w:rPr>
          <w:rFonts w:ascii="Arial Black" w:hAnsi="Arial Black"/>
          <w:b/>
          <w:sz w:val="24"/>
          <w:szCs w:val="24"/>
        </w:rPr>
      </w:pPr>
      <w:r>
        <w:rPr>
          <w:rFonts w:ascii="Arial Black" w:hAnsi="Arial Black"/>
          <w:b/>
          <w:sz w:val="24"/>
          <w:szCs w:val="24"/>
        </w:rPr>
        <w:t>6-42</w:t>
      </w:r>
    </w:p>
    <w:p w14:paraId="3F9CEED3" w14:textId="77777777" w:rsidR="004E22C3" w:rsidRPr="00450CB3" w:rsidRDefault="004E22C3" w:rsidP="004E22C3">
      <w:pPr>
        <w:spacing w:before="100" w:beforeAutospacing="1" w:after="100" w:afterAutospacing="1" w:line="240" w:lineRule="auto"/>
        <w:rPr>
          <w:rFonts w:ascii="Arial Black" w:hAnsi="Arial Black" w:cs="Arial"/>
          <w:sz w:val="28"/>
          <w:szCs w:val="28"/>
        </w:rPr>
      </w:pPr>
      <w:r w:rsidRPr="00450CB3">
        <w:rPr>
          <w:rFonts w:ascii="Arial Black" w:hAnsi="Arial Black" w:cs="Arial"/>
          <w:sz w:val="28"/>
          <w:szCs w:val="28"/>
        </w:rPr>
        <w:t xml:space="preserve">PA: </w:t>
      </w:r>
      <w:r>
        <w:rPr>
          <w:rFonts w:ascii="Arial Black" w:hAnsi="Arial Black" w:cs="Arial"/>
          <w:sz w:val="28"/>
          <w:szCs w:val="28"/>
        </w:rPr>
        <w:t xml:space="preserve">KIDNEY CANCER – FF RETIRED 2006, KIDNEY CANCER / SURGERY IN 2015 – PA 2011 STATUTORY PRESUMPTION LAW ALLOWS COVERAGE BACK TO 600 WEEKS  </w:t>
      </w:r>
    </w:p>
    <w:p w14:paraId="1BB9BD39" w14:textId="0282FA8F" w:rsidR="004E22C3" w:rsidRDefault="004E22C3" w:rsidP="004E22C3">
      <w:pPr>
        <w:rPr>
          <w:rFonts w:ascii="Arial Black" w:hAnsi="Arial Black"/>
          <w:b/>
          <w:sz w:val="24"/>
          <w:szCs w:val="24"/>
        </w:rPr>
      </w:pPr>
      <w:r w:rsidRPr="00450CB3">
        <w:rPr>
          <w:rFonts w:ascii="Times New Roman" w:hAnsi="Times New Roman"/>
          <w:sz w:val="24"/>
          <w:szCs w:val="24"/>
        </w:rPr>
        <w:t xml:space="preserve">On May 6, 2020, in </w:t>
      </w:r>
      <w:r w:rsidRPr="00450CB3">
        <w:rPr>
          <w:rFonts w:ascii="Times New Roman" w:hAnsi="Times New Roman"/>
          <w:sz w:val="24"/>
          <w:szCs w:val="24"/>
          <w:u w:val="single"/>
        </w:rPr>
        <w:t>City of Johnstown v. Workers’ Compensation Appeals Board</w:t>
      </w:r>
      <w:r>
        <w:rPr>
          <w:rFonts w:ascii="Times New Roman" w:hAnsi="Times New Roman"/>
          <w:sz w:val="24"/>
          <w:szCs w:val="24"/>
        </w:rPr>
        <w:t xml:space="preserve"> (Michael Sevanick), the Commonwealth Court of Pennsylvania held (3 to 0) in unreported decision that </w:t>
      </w:r>
      <w:r w:rsidRPr="00BD099B">
        <w:rPr>
          <w:rFonts w:ascii="Times New Roman" w:hAnsi="Times New Roman"/>
          <w:sz w:val="24"/>
          <w:szCs w:val="24"/>
        </w:rPr>
        <w:t>“Claimant timely filed his Petition, and it was supported by the substantial, competent evidence of record. The WCJ and the Board correctly applied the standards set out in the Act</w:t>
      </w:r>
      <w:r>
        <w:rPr>
          <w:rFonts w:ascii="Times New Roman" w:hAnsi="Times New Roman"/>
          <w:sz w:val="24"/>
          <w:szCs w:val="24"/>
        </w:rPr>
        <w:t xml:space="preserve"> </w:t>
      </w:r>
      <w:r w:rsidRPr="00BD099B">
        <w:rPr>
          <w:rFonts w:ascii="Times New Roman" w:hAnsi="Times New Roman"/>
          <w:sz w:val="24"/>
          <w:szCs w:val="24"/>
        </w:rPr>
        <w:t>and in the pertinent case law.”</w:t>
      </w:r>
      <w:r>
        <w:rPr>
          <w:rFonts w:ascii="Times New Roman" w:hAnsi="Times New Roman"/>
          <w:sz w:val="24"/>
          <w:szCs w:val="24"/>
        </w:rPr>
        <w:t xml:space="preserve"> </w:t>
      </w:r>
      <w:hyperlink r:id="rId1251" w:anchor="search=%22Sevanick%22" w:history="1">
        <w:r w:rsidRPr="008C168C">
          <w:rPr>
            <w:rStyle w:val="Hyperlink"/>
            <w:sz w:val="24"/>
            <w:szCs w:val="24"/>
          </w:rPr>
          <w:t>http://www.pacourts.us/assets/opinions/Commonwealth/out/1156cd19_5-6-20.pdf#search=%22Sevanick%22</w:t>
        </w:r>
      </w:hyperlink>
    </w:p>
    <w:p w14:paraId="2462C1EB" w14:textId="77777777" w:rsidR="004E22C3" w:rsidRPr="00F200DE" w:rsidRDefault="004E22C3" w:rsidP="004E22C3">
      <w:pPr>
        <w:spacing w:before="100" w:beforeAutospacing="1" w:after="100" w:afterAutospacing="1" w:line="240" w:lineRule="auto"/>
        <w:rPr>
          <w:rFonts w:ascii="Times New Roman" w:hAnsi="Times New Roman"/>
          <w:b/>
          <w:bCs/>
          <w:sz w:val="24"/>
          <w:szCs w:val="24"/>
        </w:rPr>
      </w:pPr>
      <w:r w:rsidRPr="00F200DE">
        <w:rPr>
          <w:rFonts w:ascii="Times New Roman" w:hAnsi="Times New Roman"/>
          <w:b/>
          <w:bCs/>
          <w:sz w:val="24"/>
          <w:szCs w:val="24"/>
        </w:rPr>
        <w:t>Legal Lessons Learned:</w:t>
      </w:r>
      <w:r>
        <w:rPr>
          <w:rFonts w:ascii="Times New Roman" w:hAnsi="Times New Roman"/>
          <w:b/>
          <w:bCs/>
          <w:sz w:val="24"/>
          <w:szCs w:val="24"/>
        </w:rPr>
        <w:t xml:space="preserve"> Fortunately, PA has enacted a statutory presumption statute that includes firefighters who retired within 600 weeks prior to enactment of the statute. </w:t>
      </w:r>
    </w:p>
    <w:p w14:paraId="61AA1F94" w14:textId="77777777" w:rsidR="004E22C3" w:rsidRDefault="004E22C3" w:rsidP="00EF1133">
      <w:pPr>
        <w:rPr>
          <w:rFonts w:ascii="Arial Black" w:hAnsi="Arial Black"/>
          <w:b/>
          <w:sz w:val="24"/>
          <w:szCs w:val="24"/>
        </w:rPr>
      </w:pPr>
    </w:p>
    <w:p w14:paraId="6DB5995D" w14:textId="0D75221B" w:rsidR="002147DA" w:rsidRDefault="002147DA" w:rsidP="00EF1133">
      <w:pPr>
        <w:rPr>
          <w:rFonts w:ascii="Arial Black" w:hAnsi="Arial Black"/>
          <w:b/>
          <w:sz w:val="24"/>
          <w:szCs w:val="24"/>
        </w:rPr>
      </w:pPr>
      <w:r>
        <w:rPr>
          <w:rFonts w:ascii="Arial Black" w:hAnsi="Arial Black"/>
          <w:b/>
          <w:sz w:val="24"/>
          <w:szCs w:val="24"/>
        </w:rPr>
        <w:t>6-41</w:t>
      </w:r>
    </w:p>
    <w:p w14:paraId="6F7E75C0" w14:textId="77777777" w:rsidR="002147DA" w:rsidRDefault="002147DA" w:rsidP="002147DA">
      <w:pPr>
        <w:pStyle w:val="NoSpacing"/>
        <w:rPr>
          <w:b/>
          <w:bCs/>
          <w:sz w:val="24"/>
          <w:szCs w:val="24"/>
        </w:rPr>
      </w:pPr>
      <w:bookmarkStart w:id="240" w:name="_Hlk39764354"/>
      <w:r w:rsidRPr="00FF2F39">
        <w:rPr>
          <w:rFonts w:ascii="Arial Black" w:hAnsi="Arial Black"/>
          <w:sz w:val="28"/>
          <w:szCs w:val="28"/>
        </w:rPr>
        <w:t>KY:</w:t>
      </w:r>
      <w:r>
        <w:rPr>
          <w:rFonts w:ascii="Arial Black" w:hAnsi="Arial Black"/>
          <w:sz w:val="28"/>
          <w:szCs w:val="28"/>
        </w:rPr>
        <w:t xml:space="preserve">  HARASSMENT OF ATHEIST FF – SUPERVISOR TOOK NO ACTION, URGED RESIGN - RETALIATION CASE REINSTATED</w:t>
      </w:r>
    </w:p>
    <w:p w14:paraId="6178327F" w14:textId="77777777" w:rsidR="002147DA" w:rsidRDefault="002147DA" w:rsidP="002147DA">
      <w:pPr>
        <w:pStyle w:val="NoSpacing"/>
        <w:rPr>
          <w:b/>
          <w:bCs/>
          <w:sz w:val="24"/>
          <w:szCs w:val="24"/>
        </w:rPr>
      </w:pPr>
    </w:p>
    <w:p w14:paraId="5B3613C4" w14:textId="77777777" w:rsidR="002147DA" w:rsidRPr="000A5D76" w:rsidRDefault="002147DA" w:rsidP="002147DA">
      <w:pPr>
        <w:pStyle w:val="NoSpacing"/>
        <w:tabs>
          <w:tab w:val="left" w:pos="7070"/>
        </w:tabs>
        <w:rPr>
          <w:rFonts w:ascii="Times New Roman" w:hAnsi="Times New Roman"/>
          <w:b/>
          <w:bCs/>
          <w:sz w:val="24"/>
          <w:szCs w:val="24"/>
        </w:rPr>
      </w:pPr>
      <w:r w:rsidRPr="000A5D76">
        <w:rPr>
          <w:rFonts w:ascii="Times New Roman" w:hAnsi="Times New Roman"/>
          <w:bCs/>
          <w:sz w:val="24"/>
          <w:szCs w:val="24"/>
        </w:rPr>
        <w:t xml:space="preserve">On April 22, 2020, in </w:t>
      </w:r>
      <w:r w:rsidRPr="000A5D76">
        <w:rPr>
          <w:rFonts w:ascii="Times New Roman" w:hAnsi="Times New Roman"/>
          <w:bCs/>
          <w:sz w:val="24"/>
          <w:szCs w:val="24"/>
          <w:u w:val="single"/>
        </w:rPr>
        <w:t>Jeffery Queen v. City of Bowling Green, KY</w:t>
      </w:r>
      <w:r w:rsidRPr="000A5D76">
        <w:rPr>
          <w:rFonts w:ascii="Times New Roman" w:hAnsi="Times New Roman"/>
          <w:bCs/>
          <w:sz w:val="24"/>
          <w:szCs w:val="24"/>
        </w:rPr>
        <w:t>, the U.S. Court of Appeals for the 6</w:t>
      </w:r>
      <w:r w:rsidRPr="000A5D76">
        <w:rPr>
          <w:rFonts w:ascii="Times New Roman" w:hAnsi="Times New Roman"/>
          <w:bCs/>
          <w:sz w:val="24"/>
          <w:szCs w:val="24"/>
          <w:vertAlign w:val="superscript"/>
        </w:rPr>
        <w:t>th</w:t>
      </w:r>
      <w:r w:rsidRPr="000A5D76">
        <w:rPr>
          <w:rFonts w:ascii="Times New Roman" w:hAnsi="Times New Roman"/>
          <w:bCs/>
          <w:sz w:val="24"/>
          <w:szCs w:val="24"/>
        </w:rPr>
        <w:t xml:space="preserve"> Circuit (Cincinnati) held (3 to 0) that the U.S. District Court judge in Bowling Green improperly dismissed the retaliation lawsuit against the plaintiff’s supervisor.  The firefighter worked at Bowling Green FD for five years, and after one year he complained to his </w:t>
      </w:r>
      <w:proofErr w:type="gramStart"/>
      <w:r w:rsidRPr="000A5D76">
        <w:rPr>
          <w:rFonts w:ascii="Times New Roman" w:hAnsi="Times New Roman"/>
          <w:bCs/>
          <w:sz w:val="24"/>
          <w:szCs w:val="24"/>
        </w:rPr>
        <w:t>Supervisor</w:t>
      </w:r>
      <w:proofErr w:type="gramEnd"/>
      <w:r w:rsidRPr="000A5D76">
        <w:rPr>
          <w:rFonts w:ascii="Times New Roman" w:hAnsi="Times New Roman"/>
          <w:bCs/>
          <w:sz w:val="24"/>
          <w:szCs w:val="24"/>
        </w:rPr>
        <w:t xml:space="preserve">.  He was urged to quit, and no corrective action was taken; he finally resigned in </w:t>
      </w:r>
      <w:proofErr w:type="gramStart"/>
      <w:r w:rsidRPr="000A5D76">
        <w:rPr>
          <w:rFonts w:ascii="Times New Roman" w:hAnsi="Times New Roman"/>
          <w:bCs/>
          <w:sz w:val="24"/>
          <w:szCs w:val="24"/>
        </w:rPr>
        <w:t>May,</w:t>
      </w:r>
      <w:proofErr w:type="gramEnd"/>
      <w:r w:rsidRPr="000A5D76">
        <w:rPr>
          <w:rFonts w:ascii="Times New Roman" w:hAnsi="Times New Roman"/>
          <w:bCs/>
          <w:sz w:val="24"/>
          <w:szCs w:val="24"/>
        </w:rPr>
        <w:t xml:space="preserve"> 2016. </w:t>
      </w:r>
    </w:p>
    <w:p w14:paraId="44A13A0B" w14:textId="77777777" w:rsidR="002147DA" w:rsidRPr="000A5D76" w:rsidRDefault="002147DA" w:rsidP="002147DA">
      <w:pPr>
        <w:pStyle w:val="NoSpacing"/>
        <w:ind w:left="720"/>
        <w:rPr>
          <w:rFonts w:ascii="Times New Roman" w:hAnsi="Times New Roman"/>
          <w:b/>
          <w:bCs/>
          <w:sz w:val="24"/>
          <w:szCs w:val="24"/>
        </w:rPr>
      </w:pPr>
    </w:p>
    <w:p w14:paraId="783C8ACA" w14:textId="77777777" w:rsidR="002147DA" w:rsidRPr="000A5D76" w:rsidRDefault="002147DA" w:rsidP="002147DA">
      <w:pPr>
        <w:pStyle w:val="NoSpacing"/>
        <w:ind w:left="720"/>
        <w:rPr>
          <w:rFonts w:ascii="Times New Roman" w:hAnsi="Times New Roman"/>
          <w:b/>
          <w:bCs/>
          <w:sz w:val="24"/>
          <w:szCs w:val="24"/>
        </w:rPr>
      </w:pPr>
      <w:r w:rsidRPr="000A5D76">
        <w:rPr>
          <w:rFonts w:ascii="Times New Roman" w:hAnsi="Times New Roman"/>
          <w:bCs/>
          <w:sz w:val="24"/>
          <w:szCs w:val="24"/>
        </w:rPr>
        <w:t xml:space="preserve">“A reasonable jury could conclude that [the Supervisor] Rockrohr’s subsequent conduct after receiving Queen’s complaint about the harassment he faced at the Bowling Green Fire Department (which conduct included Rockrohr’s suggestion that Queen ‘should get employment elsewhere’  because ‘things [were] not working out’) went far enough to amount to a materially adverse action. Indeed, Rockrohr’s specific admonition made directly to Queen that he ‘should get employment elsewhere’ could be interpreted by reasonable jurors to convey the message that Queen was no longer welcome at the Fire Department, thus amounting to a constructive termination of Queen’s </w:t>
      </w:r>
      <w:proofErr w:type="gramStart"/>
      <w:r w:rsidRPr="000A5D76">
        <w:rPr>
          <w:rFonts w:ascii="Times New Roman" w:hAnsi="Times New Roman"/>
          <w:bCs/>
          <w:sz w:val="24"/>
          <w:szCs w:val="24"/>
        </w:rPr>
        <w:t>employment.”</w:t>
      </w:r>
      <w:proofErr w:type="gramEnd"/>
    </w:p>
    <w:p w14:paraId="45A55C92" w14:textId="77777777" w:rsidR="002147DA" w:rsidRPr="000A5D76" w:rsidRDefault="002147DA" w:rsidP="002147DA">
      <w:pPr>
        <w:pStyle w:val="NoSpacing"/>
        <w:ind w:left="720"/>
        <w:rPr>
          <w:rFonts w:ascii="Times New Roman" w:hAnsi="Times New Roman"/>
          <w:b/>
          <w:bCs/>
          <w:sz w:val="24"/>
          <w:szCs w:val="24"/>
        </w:rPr>
      </w:pPr>
      <w:hyperlink r:id="rId1252" w:history="1">
        <w:r w:rsidRPr="000A5D76">
          <w:rPr>
            <w:rStyle w:val="Hyperlink"/>
            <w:rFonts w:ascii="Times New Roman" w:hAnsi="Times New Roman"/>
            <w:b/>
            <w:sz w:val="24"/>
            <w:szCs w:val="24"/>
          </w:rPr>
          <w:t>https://www.opn.ca6.uscourts.gov/opinions.pdf/20a0123p-06.pdf</w:t>
        </w:r>
      </w:hyperlink>
      <w:r w:rsidRPr="000A5D76">
        <w:rPr>
          <w:rFonts w:ascii="Times New Roman" w:hAnsi="Times New Roman"/>
          <w:bCs/>
          <w:sz w:val="24"/>
          <w:szCs w:val="24"/>
        </w:rPr>
        <w:t xml:space="preserve"> </w:t>
      </w:r>
    </w:p>
    <w:bookmarkEnd w:id="240"/>
    <w:p w14:paraId="0FC60F57" w14:textId="77777777" w:rsidR="002147DA" w:rsidRDefault="002147DA" w:rsidP="002147DA">
      <w:pPr>
        <w:pStyle w:val="NoSpacing"/>
        <w:rPr>
          <w:rFonts w:ascii="Times New Roman" w:hAnsi="Times New Roman"/>
          <w:b/>
          <w:bCs/>
          <w:sz w:val="24"/>
          <w:szCs w:val="24"/>
        </w:rPr>
      </w:pPr>
    </w:p>
    <w:p w14:paraId="08754EA9" w14:textId="73D4EBCB" w:rsidR="002147DA" w:rsidRPr="000A5D76" w:rsidRDefault="002147DA" w:rsidP="002147DA">
      <w:pPr>
        <w:pStyle w:val="NoSpacing"/>
        <w:rPr>
          <w:rFonts w:ascii="Times New Roman" w:hAnsi="Times New Roman"/>
          <w:b/>
          <w:bCs/>
          <w:sz w:val="24"/>
          <w:szCs w:val="24"/>
        </w:rPr>
      </w:pPr>
      <w:bookmarkStart w:id="241" w:name="_Hlk40510447"/>
      <w:r w:rsidRPr="000A5D76">
        <w:rPr>
          <w:rFonts w:ascii="Times New Roman" w:hAnsi="Times New Roman"/>
          <w:b/>
          <w:bCs/>
          <w:sz w:val="24"/>
          <w:szCs w:val="24"/>
        </w:rPr>
        <w:t xml:space="preserve">Legal Lessons Learned: When a firefighter complains of harassment, the </w:t>
      </w:r>
      <w:r w:rsidR="00C4249D">
        <w:rPr>
          <w:rFonts w:ascii="Times New Roman" w:hAnsi="Times New Roman"/>
          <w:b/>
          <w:bCs/>
          <w:sz w:val="24"/>
          <w:szCs w:val="24"/>
        </w:rPr>
        <w:t xml:space="preserve">FD Officer should promptly advise the Fire </w:t>
      </w:r>
      <w:proofErr w:type="gramStart"/>
      <w:r w:rsidR="00C4249D">
        <w:rPr>
          <w:rFonts w:ascii="Times New Roman" w:hAnsi="Times New Roman"/>
          <w:b/>
          <w:bCs/>
          <w:sz w:val="24"/>
          <w:szCs w:val="24"/>
        </w:rPr>
        <w:t xml:space="preserve">Chief, </w:t>
      </w:r>
      <w:r w:rsidRPr="000A5D76">
        <w:rPr>
          <w:rFonts w:ascii="Times New Roman" w:hAnsi="Times New Roman"/>
          <w:b/>
          <w:bCs/>
          <w:sz w:val="24"/>
          <w:szCs w:val="24"/>
        </w:rPr>
        <w:t>and</w:t>
      </w:r>
      <w:proofErr w:type="gramEnd"/>
      <w:r w:rsidRPr="000A5D76">
        <w:rPr>
          <w:rFonts w:ascii="Times New Roman" w:hAnsi="Times New Roman"/>
          <w:b/>
          <w:bCs/>
          <w:sz w:val="24"/>
          <w:szCs w:val="24"/>
        </w:rPr>
        <w:t xml:space="preserve"> promptly investigate and stop any harassment behavior. </w:t>
      </w:r>
    </w:p>
    <w:bookmarkEnd w:id="241"/>
    <w:p w14:paraId="6F2563DF" w14:textId="77777777" w:rsidR="002147DA" w:rsidRDefault="002147DA" w:rsidP="00EF1133">
      <w:pPr>
        <w:rPr>
          <w:rFonts w:ascii="Arial Black" w:hAnsi="Arial Black"/>
          <w:b/>
          <w:sz w:val="24"/>
          <w:szCs w:val="24"/>
        </w:rPr>
      </w:pPr>
    </w:p>
    <w:p w14:paraId="4C39DB1C" w14:textId="77777777" w:rsidR="002147DA" w:rsidRDefault="002147DA" w:rsidP="00EF1133">
      <w:pPr>
        <w:rPr>
          <w:rFonts w:ascii="Arial Black" w:hAnsi="Arial Black"/>
          <w:b/>
          <w:sz w:val="24"/>
          <w:szCs w:val="24"/>
        </w:rPr>
      </w:pPr>
    </w:p>
    <w:p w14:paraId="697CCD76" w14:textId="6AC96BCF" w:rsidR="002147DA" w:rsidRDefault="002147DA" w:rsidP="00EF1133">
      <w:pPr>
        <w:rPr>
          <w:rFonts w:ascii="Arial Black" w:hAnsi="Arial Black"/>
          <w:b/>
          <w:sz w:val="24"/>
          <w:szCs w:val="24"/>
        </w:rPr>
      </w:pPr>
      <w:r>
        <w:rPr>
          <w:rFonts w:ascii="Arial Black" w:hAnsi="Arial Black"/>
          <w:b/>
          <w:sz w:val="24"/>
          <w:szCs w:val="24"/>
        </w:rPr>
        <w:t>6-40</w:t>
      </w:r>
    </w:p>
    <w:p w14:paraId="780420E9" w14:textId="77777777" w:rsidR="002147DA" w:rsidRDefault="002147DA" w:rsidP="002147DA">
      <w:pPr>
        <w:pStyle w:val="NoSpacing"/>
        <w:rPr>
          <w:rFonts w:ascii="Arial Black" w:hAnsi="Arial Black"/>
          <w:sz w:val="28"/>
          <w:szCs w:val="28"/>
        </w:rPr>
      </w:pPr>
      <w:bookmarkStart w:id="242" w:name="_Hlk39764432"/>
      <w:r>
        <w:rPr>
          <w:rFonts w:ascii="Arial Black" w:hAnsi="Arial Black"/>
          <w:sz w:val="28"/>
          <w:szCs w:val="28"/>
        </w:rPr>
        <w:t xml:space="preserve">AR: WORKER’S COMP DENIED - TESTICULAR CANCER – HAD AS YOUTH – NOT COVERED BY PRESUMPTION STATUTE </w:t>
      </w:r>
    </w:p>
    <w:p w14:paraId="516F8082" w14:textId="77777777" w:rsidR="002147DA" w:rsidRDefault="002147DA" w:rsidP="002147DA">
      <w:pPr>
        <w:pStyle w:val="NoSpacing"/>
        <w:ind w:left="720"/>
        <w:rPr>
          <w:b/>
          <w:bCs/>
          <w:sz w:val="24"/>
          <w:szCs w:val="24"/>
        </w:rPr>
      </w:pPr>
    </w:p>
    <w:p w14:paraId="3DA1CA6D" w14:textId="77777777" w:rsidR="002147DA" w:rsidRPr="000A5D76" w:rsidRDefault="002147DA" w:rsidP="002147DA">
      <w:pPr>
        <w:pStyle w:val="NoSpacing"/>
        <w:rPr>
          <w:rFonts w:ascii="Times New Roman" w:hAnsi="Times New Roman"/>
          <w:b/>
          <w:bCs/>
          <w:sz w:val="24"/>
          <w:szCs w:val="24"/>
        </w:rPr>
      </w:pPr>
      <w:r w:rsidRPr="000A5D76">
        <w:rPr>
          <w:rFonts w:ascii="Times New Roman" w:hAnsi="Times New Roman"/>
          <w:bCs/>
          <w:sz w:val="24"/>
          <w:szCs w:val="24"/>
        </w:rPr>
        <w:t xml:space="preserve">On April 21, 2020, </w:t>
      </w:r>
      <w:r w:rsidRPr="000A5D76">
        <w:rPr>
          <w:rFonts w:ascii="Times New Roman" w:hAnsi="Times New Roman"/>
          <w:bCs/>
          <w:sz w:val="24"/>
          <w:szCs w:val="24"/>
          <w:u w:val="single"/>
        </w:rPr>
        <w:t>Wesley Forbach v. The Industrial Commission of Arizona &amp; City of Flagstaff</w:t>
      </w:r>
      <w:r w:rsidRPr="000A5D76">
        <w:rPr>
          <w:rFonts w:ascii="Times New Roman" w:hAnsi="Times New Roman"/>
          <w:bCs/>
          <w:sz w:val="24"/>
          <w:szCs w:val="24"/>
        </w:rPr>
        <w:t xml:space="preserve">, the Arizona Court of Appeal (Division One), held in unpublished opinion (3 to 0) that his surgery for removal of left testicle was not covered by worker’s comp.  The Arizona statutory presumption statute requires proof that the “carcinogen is reasonably related to the cancer.” The proof was particularly difficult in this case since the firefighter as a </w:t>
      </w:r>
      <w:proofErr w:type="gramStart"/>
      <w:r w:rsidRPr="000A5D76">
        <w:rPr>
          <w:rFonts w:ascii="Times New Roman" w:hAnsi="Times New Roman"/>
          <w:bCs/>
          <w:sz w:val="24"/>
          <w:szCs w:val="24"/>
        </w:rPr>
        <w:t>teenage</w:t>
      </w:r>
      <w:proofErr w:type="gramEnd"/>
      <w:r w:rsidRPr="000A5D76">
        <w:rPr>
          <w:rFonts w:ascii="Times New Roman" w:hAnsi="Times New Roman"/>
          <w:bCs/>
          <w:sz w:val="24"/>
          <w:szCs w:val="24"/>
        </w:rPr>
        <w:t xml:space="preserve"> had testicular cancer and his right testicle was removed.</w:t>
      </w:r>
    </w:p>
    <w:p w14:paraId="02DF9137" w14:textId="77777777" w:rsidR="002147DA" w:rsidRPr="000A5D76" w:rsidRDefault="002147DA" w:rsidP="002147DA">
      <w:pPr>
        <w:pStyle w:val="NoSpacing"/>
        <w:ind w:left="720"/>
        <w:rPr>
          <w:rFonts w:ascii="Times New Roman" w:hAnsi="Times New Roman"/>
          <w:b/>
          <w:bCs/>
          <w:sz w:val="24"/>
          <w:szCs w:val="24"/>
        </w:rPr>
      </w:pPr>
    </w:p>
    <w:p w14:paraId="55D2A7BF" w14:textId="77777777" w:rsidR="002147DA" w:rsidRPr="000A5D76" w:rsidRDefault="002147DA" w:rsidP="002147DA">
      <w:pPr>
        <w:pStyle w:val="NoSpacing"/>
        <w:ind w:left="720"/>
        <w:rPr>
          <w:rFonts w:ascii="Times New Roman" w:hAnsi="Times New Roman"/>
          <w:b/>
          <w:bCs/>
          <w:sz w:val="24"/>
          <w:szCs w:val="24"/>
        </w:rPr>
      </w:pPr>
      <w:r w:rsidRPr="000A5D76">
        <w:rPr>
          <w:rFonts w:ascii="Times New Roman" w:hAnsi="Times New Roman"/>
          <w:bCs/>
          <w:sz w:val="24"/>
          <w:szCs w:val="24"/>
        </w:rPr>
        <w:t>“The Administrative Law Judge (‘ALJ’) determined that Forbach was not entitled to a statutory presumption in his favor and, therefore, had not established a causal connection between his disease and his employment. We affirm.”</w:t>
      </w:r>
    </w:p>
    <w:p w14:paraId="0D7A3025" w14:textId="77777777" w:rsidR="002147DA" w:rsidRPr="000A5D76" w:rsidRDefault="002147DA" w:rsidP="002147DA">
      <w:pPr>
        <w:pStyle w:val="NoSpacing"/>
        <w:ind w:left="720"/>
        <w:rPr>
          <w:rFonts w:ascii="Times New Roman" w:hAnsi="Times New Roman"/>
          <w:b/>
          <w:bCs/>
          <w:sz w:val="24"/>
          <w:szCs w:val="24"/>
        </w:rPr>
      </w:pPr>
      <w:hyperlink r:id="rId1253" w:history="1">
        <w:r w:rsidRPr="000A5D76">
          <w:rPr>
            <w:rStyle w:val="Hyperlink"/>
            <w:rFonts w:ascii="Times New Roman" w:hAnsi="Times New Roman"/>
            <w:b/>
            <w:sz w:val="24"/>
            <w:szCs w:val="24"/>
          </w:rPr>
          <w:t>https://www.azcourts.gov/Portals/0/OpinionFiles/Div1/2020/1%20CA-IC%2019-0036%20-%20Forbach.pdf</w:t>
        </w:r>
      </w:hyperlink>
      <w:r w:rsidRPr="000A5D76">
        <w:rPr>
          <w:rFonts w:ascii="Times New Roman" w:hAnsi="Times New Roman"/>
          <w:bCs/>
          <w:sz w:val="24"/>
          <w:szCs w:val="24"/>
        </w:rPr>
        <w:t xml:space="preserve"> </w:t>
      </w:r>
    </w:p>
    <w:bookmarkEnd w:id="242"/>
    <w:p w14:paraId="394C0AF5" w14:textId="77777777" w:rsidR="002147DA" w:rsidRDefault="002147DA" w:rsidP="002147DA">
      <w:pPr>
        <w:pStyle w:val="NoSpacing"/>
        <w:rPr>
          <w:rFonts w:ascii="Times New Roman" w:hAnsi="Times New Roman"/>
          <w:b/>
          <w:bCs/>
          <w:sz w:val="24"/>
          <w:szCs w:val="24"/>
        </w:rPr>
      </w:pPr>
    </w:p>
    <w:p w14:paraId="21A9C70B" w14:textId="2B50B759" w:rsidR="002147DA" w:rsidRPr="000A5D76" w:rsidRDefault="002147DA" w:rsidP="002147DA">
      <w:pPr>
        <w:pStyle w:val="NoSpacing"/>
        <w:rPr>
          <w:rFonts w:ascii="Times New Roman" w:hAnsi="Times New Roman"/>
          <w:b/>
          <w:bCs/>
          <w:sz w:val="24"/>
          <w:szCs w:val="24"/>
        </w:rPr>
      </w:pPr>
      <w:bookmarkStart w:id="243" w:name="_Hlk40510494"/>
      <w:r w:rsidRPr="000A5D76">
        <w:rPr>
          <w:rFonts w:ascii="Times New Roman" w:hAnsi="Times New Roman"/>
          <w:b/>
          <w:bCs/>
          <w:sz w:val="24"/>
          <w:szCs w:val="24"/>
        </w:rPr>
        <w:t xml:space="preserve">Legal Lessons Learned:  Firefighters should keep a list of runs where they have been exposed to smoke or </w:t>
      </w:r>
      <w:r w:rsidR="00C4249D">
        <w:rPr>
          <w:rFonts w:ascii="Times New Roman" w:hAnsi="Times New Roman"/>
          <w:b/>
          <w:bCs/>
          <w:sz w:val="24"/>
          <w:szCs w:val="24"/>
        </w:rPr>
        <w:t xml:space="preserve">other </w:t>
      </w:r>
      <w:r w:rsidRPr="000A5D76">
        <w:rPr>
          <w:rFonts w:ascii="Times New Roman" w:hAnsi="Times New Roman"/>
          <w:b/>
          <w:bCs/>
          <w:sz w:val="24"/>
          <w:szCs w:val="24"/>
        </w:rPr>
        <w:t xml:space="preserve">chemicals, but even with such a list, without a State statutory presumption statute that specifically includes testicular cancer, it is very difficult to prove what caused this </w:t>
      </w:r>
      <w:proofErr w:type="gramStart"/>
      <w:r w:rsidRPr="000A5D76">
        <w:rPr>
          <w:rFonts w:ascii="Times New Roman" w:hAnsi="Times New Roman"/>
          <w:b/>
          <w:bCs/>
          <w:sz w:val="24"/>
          <w:szCs w:val="24"/>
        </w:rPr>
        <w:t>particular cancer</w:t>
      </w:r>
      <w:proofErr w:type="gramEnd"/>
      <w:r w:rsidRPr="000A5D76">
        <w:rPr>
          <w:rFonts w:ascii="Times New Roman" w:hAnsi="Times New Roman"/>
          <w:b/>
          <w:bCs/>
          <w:sz w:val="24"/>
          <w:szCs w:val="24"/>
        </w:rPr>
        <w:t xml:space="preserve">. </w:t>
      </w:r>
    </w:p>
    <w:bookmarkEnd w:id="243"/>
    <w:p w14:paraId="0945C119" w14:textId="77777777" w:rsidR="002147DA" w:rsidRPr="000A5D76" w:rsidRDefault="002147DA" w:rsidP="002147DA">
      <w:pPr>
        <w:pStyle w:val="NoSpacing"/>
        <w:rPr>
          <w:rFonts w:ascii="Times New Roman" w:hAnsi="Times New Roman"/>
          <w:sz w:val="24"/>
          <w:szCs w:val="24"/>
        </w:rPr>
      </w:pPr>
    </w:p>
    <w:p w14:paraId="540D963A" w14:textId="77777777" w:rsidR="002147DA" w:rsidRPr="000A5D76" w:rsidRDefault="002147DA" w:rsidP="002147DA">
      <w:pPr>
        <w:pStyle w:val="NoSpacing"/>
        <w:ind w:left="720"/>
        <w:rPr>
          <w:rFonts w:ascii="Times New Roman" w:hAnsi="Times New Roman"/>
          <w:b/>
          <w:bCs/>
          <w:sz w:val="24"/>
          <w:szCs w:val="24"/>
        </w:rPr>
      </w:pPr>
      <w:r w:rsidRPr="000A5D76">
        <w:rPr>
          <w:rFonts w:ascii="Times New Roman" w:hAnsi="Times New Roman"/>
          <w:bCs/>
          <w:sz w:val="24"/>
          <w:szCs w:val="24"/>
        </w:rPr>
        <w:t xml:space="preserve">Note: Court described the Arizona statutory presumption.  </w:t>
      </w:r>
    </w:p>
    <w:p w14:paraId="2849071D" w14:textId="77777777" w:rsidR="002147DA" w:rsidRPr="000A5D76" w:rsidRDefault="002147DA" w:rsidP="002147DA">
      <w:pPr>
        <w:pStyle w:val="NoSpacing"/>
        <w:ind w:left="720"/>
        <w:rPr>
          <w:rFonts w:ascii="Times New Roman" w:hAnsi="Times New Roman"/>
          <w:b/>
          <w:bCs/>
          <w:sz w:val="24"/>
          <w:szCs w:val="24"/>
        </w:rPr>
      </w:pPr>
    </w:p>
    <w:p w14:paraId="14A2A76C" w14:textId="77777777" w:rsidR="002147DA" w:rsidRPr="000A5D76" w:rsidRDefault="002147DA" w:rsidP="002147DA">
      <w:pPr>
        <w:pStyle w:val="NoSpacing"/>
        <w:ind w:left="1440"/>
        <w:rPr>
          <w:rFonts w:ascii="Times New Roman" w:hAnsi="Times New Roman"/>
          <w:b/>
          <w:bCs/>
          <w:sz w:val="24"/>
          <w:szCs w:val="24"/>
        </w:rPr>
      </w:pPr>
      <w:r w:rsidRPr="000A5D76">
        <w:rPr>
          <w:rFonts w:ascii="Times New Roman" w:hAnsi="Times New Roman"/>
          <w:bCs/>
          <w:sz w:val="24"/>
          <w:szCs w:val="24"/>
        </w:rPr>
        <w:t>“Starting in 2001, with a significant amendment in 2017, the Legislature created a statutory presumption of industrial causation for firefighters and police officers who contract certain diseases under certain conditions. *** Arizona Revised Statutes section 23-901.01(B) lists diseases that, if contracted by firefighters or police officers, will be presumed to be occupational diseases that arose out of employment if the four requirements in subsection (C) of the statute are met….</w:t>
      </w:r>
    </w:p>
    <w:p w14:paraId="3EFDA371" w14:textId="77777777" w:rsidR="002147DA" w:rsidRPr="000A5D76" w:rsidRDefault="002147DA" w:rsidP="002147DA">
      <w:pPr>
        <w:pStyle w:val="NoSpacing"/>
        <w:rPr>
          <w:rFonts w:ascii="Times New Roman" w:hAnsi="Times New Roman"/>
          <w:b/>
          <w:bCs/>
          <w:sz w:val="24"/>
          <w:szCs w:val="24"/>
        </w:rPr>
      </w:pPr>
    </w:p>
    <w:p w14:paraId="2373EB49" w14:textId="77777777" w:rsidR="002147DA" w:rsidRPr="000A5D76" w:rsidRDefault="002147DA" w:rsidP="002147DA">
      <w:pPr>
        <w:pStyle w:val="NoSpacing"/>
        <w:ind w:left="2160"/>
        <w:rPr>
          <w:rFonts w:ascii="Times New Roman" w:hAnsi="Times New Roman"/>
          <w:b/>
          <w:bCs/>
          <w:sz w:val="24"/>
          <w:szCs w:val="24"/>
        </w:rPr>
      </w:pPr>
      <w:r>
        <w:rPr>
          <w:rFonts w:ascii="Times New Roman" w:hAnsi="Times New Roman"/>
          <w:bCs/>
          <w:sz w:val="24"/>
          <w:szCs w:val="24"/>
        </w:rPr>
        <w:t>“</w:t>
      </w:r>
      <w:r w:rsidRPr="000A5D76">
        <w:rPr>
          <w:rFonts w:ascii="Times New Roman" w:hAnsi="Times New Roman"/>
          <w:bCs/>
          <w:sz w:val="24"/>
          <w:szCs w:val="24"/>
        </w:rPr>
        <w:t>3. The firefighter or peace officer was [</w:t>
      </w:r>
      <w:proofErr w:type="spellStart"/>
      <w:r w:rsidRPr="000A5D76">
        <w:rPr>
          <w:rFonts w:ascii="Times New Roman" w:hAnsi="Times New Roman"/>
          <w:bCs/>
          <w:sz w:val="24"/>
          <w:szCs w:val="24"/>
        </w:rPr>
        <w:t>i</w:t>
      </w:r>
      <w:proofErr w:type="spellEnd"/>
      <w:r w:rsidRPr="000A5D76">
        <w:rPr>
          <w:rFonts w:ascii="Times New Roman" w:hAnsi="Times New Roman"/>
          <w:bCs/>
          <w:sz w:val="24"/>
          <w:szCs w:val="24"/>
        </w:rPr>
        <w:t>]exposed to a known carcinogen as defined by the international agency for research on cancer and [ii] informed the department of this exposure, and [iii] the carcinogen is reasonably related to the cancer.”</w:t>
      </w:r>
    </w:p>
    <w:p w14:paraId="6C23509B" w14:textId="5D13BC10" w:rsidR="002147DA" w:rsidRDefault="002147DA" w:rsidP="00EF1133">
      <w:pPr>
        <w:rPr>
          <w:rFonts w:ascii="Arial Black" w:hAnsi="Arial Black"/>
          <w:b/>
          <w:sz w:val="24"/>
          <w:szCs w:val="24"/>
        </w:rPr>
      </w:pPr>
    </w:p>
    <w:p w14:paraId="5922A0C8" w14:textId="207EF2DF" w:rsidR="002147DA" w:rsidRDefault="002147DA" w:rsidP="00EF1133">
      <w:pPr>
        <w:rPr>
          <w:rFonts w:ascii="Arial Black" w:hAnsi="Arial Black"/>
          <w:b/>
          <w:sz w:val="24"/>
          <w:szCs w:val="24"/>
        </w:rPr>
      </w:pPr>
    </w:p>
    <w:p w14:paraId="4138232A" w14:textId="77777777" w:rsidR="002147DA" w:rsidRDefault="002147DA" w:rsidP="00EF1133">
      <w:pPr>
        <w:rPr>
          <w:rFonts w:ascii="Arial Black" w:hAnsi="Arial Black"/>
          <w:b/>
          <w:sz w:val="24"/>
          <w:szCs w:val="24"/>
        </w:rPr>
      </w:pPr>
    </w:p>
    <w:p w14:paraId="1EB2C408" w14:textId="73E32585" w:rsidR="002147DA" w:rsidRDefault="002147DA" w:rsidP="00EF1133">
      <w:pPr>
        <w:rPr>
          <w:rFonts w:ascii="Arial Black" w:hAnsi="Arial Black"/>
          <w:b/>
          <w:sz w:val="24"/>
          <w:szCs w:val="24"/>
        </w:rPr>
      </w:pPr>
      <w:r>
        <w:rPr>
          <w:rFonts w:ascii="Arial Black" w:hAnsi="Arial Black"/>
          <w:b/>
          <w:sz w:val="24"/>
          <w:szCs w:val="24"/>
        </w:rPr>
        <w:t>6-39</w:t>
      </w:r>
    </w:p>
    <w:p w14:paraId="37FF7DA4" w14:textId="3B071FAC" w:rsidR="002147DA" w:rsidRPr="00AC4AF3" w:rsidRDefault="002147DA" w:rsidP="002147DA">
      <w:pPr>
        <w:pStyle w:val="NoSpacing"/>
        <w:rPr>
          <w:rFonts w:ascii="Arial Black" w:hAnsi="Arial Black"/>
          <w:sz w:val="28"/>
          <w:szCs w:val="28"/>
        </w:rPr>
      </w:pPr>
      <w:bookmarkStart w:id="244" w:name="_Hlk39764496"/>
      <w:r w:rsidRPr="00AC4AF3">
        <w:rPr>
          <w:rFonts w:ascii="Arial Black" w:hAnsi="Arial Black"/>
          <w:sz w:val="28"/>
          <w:szCs w:val="28"/>
        </w:rPr>
        <w:t xml:space="preserve">NC: </w:t>
      </w:r>
      <w:r>
        <w:rPr>
          <w:rFonts w:ascii="Arial Black" w:hAnsi="Arial Black"/>
          <w:sz w:val="28"/>
          <w:szCs w:val="28"/>
        </w:rPr>
        <w:t>WORKER’S COMP - DENIED FOR HEARING LOSS – MINOR MVA AMBULANCE - BACK INJURY WAS COVERED</w:t>
      </w:r>
    </w:p>
    <w:p w14:paraId="5F83D9B6" w14:textId="77777777" w:rsidR="002147DA" w:rsidRDefault="002147DA" w:rsidP="002147DA">
      <w:pPr>
        <w:pStyle w:val="NoSpacing"/>
        <w:rPr>
          <w:b/>
          <w:bCs/>
          <w:sz w:val="24"/>
          <w:szCs w:val="24"/>
        </w:rPr>
      </w:pPr>
    </w:p>
    <w:p w14:paraId="604412DA" w14:textId="77777777" w:rsidR="002147DA" w:rsidRPr="000A5D76" w:rsidRDefault="002147DA" w:rsidP="002147DA">
      <w:pPr>
        <w:pStyle w:val="NoSpacing"/>
        <w:rPr>
          <w:rFonts w:ascii="Times New Roman" w:hAnsi="Times New Roman"/>
          <w:b/>
          <w:bCs/>
          <w:sz w:val="24"/>
          <w:szCs w:val="24"/>
        </w:rPr>
      </w:pPr>
      <w:r w:rsidRPr="000A5D76">
        <w:rPr>
          <w:rFonts w:ascii="Times New Roman" w:hAnsi="Times New Roman"/>
          <w:bCs/>
          <w:sz w:val="24"/>
          <w:szCs w:val="24"/>
        </w:rPr>
        <w:t xml:space="preserve">On April 7, 2020, in </w:t>
      </w:r>
      <w:r w:rsidRPr="000A5D76">
        <w:rPr>
          <w:rFonts w:ascii="Times New Roman" w:hAnsi="Times New Roman"/>
          <w:bCs/>
          <w:sz w:val="24"/>
          <w:szCs w:val="24"/>
          <w:u w:val="single"/>
        </w:rPr>
        <w:t xml:space="preserve">Travis Martin v. WakeMed &amp; Key Risk Management Services, </w:t>
      </w:r>
      <w:r w:rsidRPr="000A5D76">
        <w:rPr>
          <w:rFonts w:ascii="Times New Roman" w:hAnsi="Times New Roman"/>
          <w:bCs/>
          <w:sz w:val="24"/>
          <w:szCs w:val="24"/>
        </w:rPr>
        <w:t xml:space="preserve">the Court of Appeals of North Carolina held (3 to 0) in an unpublished opinion that the North Carolina Industrial Compensation properly denied the EMT’s claim for loss of hearing in both ears. </w:t>
      </w:r>
    </w:p>
    <w:p w14:paraId="2E941913" w14:textId="77777777" w:rsidR="002147DA" w:rsidRPr="000A5D76" w:rsidRDefault="002147DA" w:rsidP="002147DA">
      <w:pPr>
        <w:pStyle w:val="NoSpacing"/>
        <w:rPr>
          <w:rFonts w:ascii="Times New Roman" w:hAnsi="Times New Roman"/>
          <w:b/>
          <w:bCs/>
          <w:sz w:val="24"/>
          <w:szCs w:val="24"/>
        </w:rPr>
      </w:pPr>
    </w:p>
    <w:p w14:paraId="0292CC9E" w14:textId="77777777" w:rsidR="002147DA" w:rsidRPr="000A5D76" w:rsidRDefault="002147DA" w:rsidP="002147DA">
      <w:pPr>
        <w:pStyle w:val="NoSpacing"/>
        <w:ind w:left="720"/>
        <w:rPr>
          <w:rFonts w:ascii="Times New Roman" w:hAnsi="Times New Roman"/>
          <w:b/>
          <w:bCs/>
          <w:sz w:val="24"/>
          <w:szCs w:val="24"/>
        </w:rPr>
      </w:pPr>
      <w:r w:rsidRPr="000A5D76">
        <w:rPr>
          <w:rFonts w:ascii="Times New Roman" w:hAnsi="Times New Roman"/>
          <w:bCs/>
          <w:sz w:val="24"/>
          <w:szCs w:val="24"/>
        </w:rPr>
        <w:t>“The Commission found that the record evidence, including plaintiff’s testimony, did not reveal plaintiff ever discussing a loud noise or a certain degree of noise during the motor vehicle accident sufficient to cause plaintiff to sustain asymmetric bilateral hearing loss. Moreover, the motor vehicle collision on 13 April 2016 “’resulted in only minimal damage to [the vehicle plaintiff was driving].’ Based on the preponderance of evidence in view of the entire record, the Commission found that ‘insufficient evidence exists to establish a causal connection between the 13 April 2016 motor vehicle accident and [p]</w:t>
      </w:r>
      <w:proofErr w:type="spellStart"/>
      <w:r w:rsidRPr="000A5D76">
        <w:rPr>
          <w:rFonts w:ascii="Times New Roman" w:hAnsi="Times New Roman"/>
          <w:bCs/>
          <w:sz w:val="24"/>
          <w:szCs w:val="24"/>
        </w:rPr>
        <w:t>laintiff’s</w:t>
      </w:r>
      <w:proofErr w:type="spellEnd"/>
      <w:r w:rsidRPr="000A5D76">
        <w:rPr>
          <w:rFonts w:ascii="Times New Roman" w:hAnsi="Times New Roman"/>
          <w:bCs/>
          <w:sz w:val="24"/>
          <w:szCs w:val="24"/>
        </w:rPr>
        <w:t xml:space="preserve"> alleged injury to his ears, including bilateral hearing loss.” </w:t>
      </w:r>
      <w:hyperlink r:id="rId1254" w:history="1">
        <w:r w:rsidRPr="000A5D76">
          <w:rPr>
            <w:rStyle w:val="Hyperlink"/>
            <w:rFonts w:ascii="Times New Roman" w:hAnsi="Times New Roman"/>
            <w:b/>
            <w:sz w:val="24"/>
            <w:szCs w:val="24"/>
          </w:rPr>
          <w:t>https://appellate.nccourts.org/opinions/?c=2&amp;pdf=38946</w:t>
        </w:r>
      </w:hyperlink>
      <w:r w:rsidRPr="000A5D76">
        <w:rPr>
          <w:rFonts w:ascii="Times New Roman" w:hAnsi="Times New Roman"/>
          <w:bCs/>
          <w:sz w:val="24"/>
          <w:szCs w:val="24"/>
        </w:rPr>
        <w:t xml:space="preserve"> </w:t>
      </w:r>
    </w:p>
    <w:bookmarkEnd w:id="244"/>
    <w:p w14:paraId="5D759841" w14:textId="77777777" w:rsidR="002147DA" w:rsidRDefault="002147DA" w:rsidP="002147DA">
      <w:pPr>
        <w:pStyle w:val="NoSpacing"/>
        <w:rPr>
          <w:rFonts w:ascii="Times New Roman" w:hAnsi="Times New Roman"/>
          <w:b/>
          <w:bCs/>
          <w:sz w:val="24"/>
          <w:szCs w:val="24"/>
        </w:rPr>
      </w:pPr>
    </w:p>
    <w:p w14:paraId="6F12067E" w14:textId="18C1CA2B" w:rsidR="002147DA" w:rsidRPr="000A5D76" w:rsidRDefault="002147DA" w:rsidP="002147DA">
      <w:pPr>
        <w:pStyle w:val="NoSpacing"/>
        <w:rPr>
          <w:rFonts w:ascii="Times New Roman" w:hAnsi="Times New Roman"/>
          <w:b/>
          <w:bCs/>
          <w:sz w:val="24"/>
          <w:szCs w:val="24"/>
        </w:rPr>
      </w:pPr>
      <w:bookmarkStart w:id="245" w:name="_Hlk40510594"/>
      <w:r w:rsidRPr="000A5D76">
        <w:rPr>
          <w:rFonts w:ascii="Times New Roman" w:hAnsi="Times New Roman"/>
          <w:b/>
          <w:bCs/>
          <w:sz w:val="24"/>
          <w:szCs w:val="24"/>
        </w:rPr>
        <w:t xml:space="preserve">Legal Lessons Learned:  With a minor MVA, it is difficult to understand the EMT’s claim that he lost hearing in both ears. </w:t>
      </w:r>
    </w:p>
    <w:bookmarkEnd w:id="245"/>
    <w:p w14:paraId="218FFA19" w14:textId="77777777" w:rsidR="002147DA" w:rsidRPr="000A5D76" w:rsidRDefault="002147DA" w:rsidP="002147DA">
      <w:pPr>
        <w:pStyle w:val="NoSpacing"/>
        <w:rPr>
          <w:rFonts w:ascii="Times New Roman" w:hAnsi="Times New Roman"/>
          <w:b/>
          <w:bCs/>
          <w:sz w:val="24"/>
          <w:szCs w:val="24"/>
        </w:rPr>
      </w:pPr>
    </w:p>
    <w:p w14:paraId="52DCF66F" w14:textId="77777777" w:rsidR="002147DA" w:rsidRDefault="002147DA" w:rsidP="00EF1133">
      <w:pPr>
        <w:rPr>
          <w:rFonts w:ascii="Arial Black" w:hAnsi="Arial Black"/>
          <w:b/>
          <w:sz w:val="24"/>
          <w:szCs w:val="24"/>
        </w:rPr>
      </w:pPr>
    </w:p>
    <w:p w14:paraId="107D2CBC" w14:textId="77777777" w:rsidR="002147DA" w:rsidRDefault="002147DA" w:rsidP="00EF1133">
      <w:pPr>
        <w:rPr>
          <w:rFonts w:ascii="Arial Black" w:hAnsi="Arial Black"/>
          <w:b/>
          <w:sz w:val="24"/>
          <w:szCs w:val="24"/>
        </w:rPr>
      </w:pPr>
    </w:p>
    <w:p w14:paraId="31257DA4" w14:textId="01E6DB71" w:rsidR="002147DA" w:rsidRDefault="002147DA" w:rsidP="00EF1133">
      <w:pPr>
        <w:rPr>
          <w:rFonts w:ascii="Arial Black" w:hAnsi="Arial Black"/>
          <w:b/>
          <w:sz w:val="24"/>
          <w:szCs w:val="24"/>
        </w:rPr>
      </w:pPr>
      <w:r>
        <w:rPr>
          <w:rFonts w:ascii="Arial Black" w:hAnsi="Arial Black"/>
          <w:b/>
          <w:sz w:val="24"/>
          <w:szCs w:val="24"/>
        </w:rPr>
        <w:t>6-38</w:t>
      </w:r>
    </w:p>
    <w:p w14:paraId="0A0CEA28" w14:textId="77777777" w:rsidR="002147DA" w:rsidRPr="00B71D71" w:rsidRDefault="002147DA" w:rsidP="002147DA">
      <w:pPr>
        <w:pStyle w:val="NoSpacing"/>
        <w:rPr>
          <w:rFonts w:ascii="Arial Black" w:hAnsi="Arial Black"/>
          <w:sz w:val="28"/>
          <w:szCs w:val="28"/>
        </w:rPr>
      </w:pPr>
      <w:r w:rsidRPr="00B71D71">
        <w:rPr>
          <w:rFonts w:ascii="Arial Black" w:hAnsi="Arial Black"/>
          <w:sz w:val="28"/>
          <w:szCs w:val="28"/>
        </w:rPr>
        <w:t xml:space="preserve">MD: </w:t>
      </w:r>
      <w:r>
        <w:rPr>
          <w:rFonts w:ascii="Arial Black" w:hAnsi="Arial Black"/>
          <w:sz w:val="28"/>
          <w:szCs w:val="28"/>
        </w:rPr>
        <w:t xml:space="preserve"> WORKER’S COMP – GRANTED FOR ANKLE INJURY – AFTER SHIFT SPENT NIGHT AT STATION – AUTHORIZED</w:t>
      </w:r>
    </w:p>
    <w:p w14:paraId="3AD8DA83" w14:textId="38226C02" w:rsidR="002147DA" w:rsidRDefault="002147DA" w:rsidP="002147D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April 7, 2020, in </w:t>
      </w:r>
      <w:r w:rsidRPr="00EC156E">
        <w:rPr>
          <w:rFonts w:ascii="Times New Roman" w:eastAsia="Times New Roman" w:hAnsi="Times New Roman"/>
          <w:sz w:val="24"/>
          <w:szCs w:val="24"/>
          <w:u w:val="single"/>
        </w:rPr>
        <w:t>Montgomery County, Maryland v. John T. Maloney</w:t>
      </w:r>
      <w:r>
        <w:rPr>
          <w:rFonts w:ascii="Times New Roman" w:eastAsia="Times New Roman" w:hAnsi="Times New Roman"/>
          <w:sz w:val="24"/>
          <w:szCs w:val="24"/>
        </w:rPr>
        <w:t xml:space="preserve">, the Court of Special Appeals of Maryland, held (3 to 0) that the FF, even though he was off duty, was entitled to workers comp, confirming the holdings of both the Workers Compensation Commission, and Circuit Court judge who held evidentiary hearing.    </w:t>
      </w:r>
    </w:p>
    <w:p w14:paraId="2C4397C7" w14:textId="77777777" w:rsidR="002147DA" w:rsidRDefault="002147DA" w:rsidP="002147D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B71D71">
        <w:rPr>
          <w:rFonts w:ascii="Times New Roman" w:eastAsia="Times New Roman" w:hAnsi="Times New Roman"/>
          <w:sz w:val="24"/>
          <w:szCs w:val="24"/>
        </w:rPr>
        <w:t xml:space="preserve">In Maryland, employers must compensate </w:t>
      </w:r>
      <w:r>
        <w:rPr>
          <w:rFonts w:ascii="Times New Roman" w:eastAsia="Times New Roman" w:hAnsi="Times New Roman"/>
          <w:sz w:val="24"/>
          <w:szCs w:val="24"/>
        </w:rPr>
        <w:t>‘</w:t>
      </w:r>
      <w:r w:rsidRPr="00B71D71">
        <w:rPr>
          <w:rFonts w:ascii="Times New Roman" w:eastAsia="Times New Roman" w:hAnsi="Times New Roman"/>
          <w:sz w:val="24"/>
          <w:szCs w:val="24"/>
        </w:rPr>
        <w:t>covered employee[s]</w:t>
      </w:r>
      <w:r>
        <w:rPr>
          <w:rFonts w:ascii="Times New Roman" w:eastAsia="Times New Roman" w:hAnsi="Times New Roman"/>
          <w:sz w:val="24"/>
          <w:szCs w:val="24"/>
        </w:rPr>
        <w:t>’</w:t>
      </w:r>
      <w:r w:rsidRPr="00B71D71">
        <w:rPr>
          <w:rFonts w:ascii="Times New Roman" w:eastAsia="Times New Roman" w:hAnsi="Times New Roman"/>
          <w:sz w:val="24"/>
          <w:szCs w:val="24"/>
        </w:rPr>
        <w:t xml:space="preserve"> for certain accidental personal injuries. Lab. &amp; </w:t>
      </w:r>
      <w:proofErr w:type="spellStart"/>
      <w:r w:rsidRPr="00B71D71">
        <w:rPr>
          <w:rFonts w:ascii="Times New Roman" w:eastAsia="Times New Roman" w:hAnsi="Times New Roman"/>
          <w:sz w:val="24"/>
          <w:szCs w:val="24"/>
        </w:rPr>
        <w:t>Empl</w:t>
      </w:r>
      <w:proofErr w:type="spellEnd"/>
      <w:r w:rsidRPr="00B71D71">
        <w:rPr>
          <w:rFonts w:ascii="Times New Roman" w:eastAsia="Times New Roman" w:hAnsi="Times New Roman"/>
          <w:sz w:val="24"/>
          <w:szCs w:val="24"/>
        </w:rPr>
        <w:t xml:space="preserve">. § 9-501. A compensable </w:t>
      </w:r>
      <w:r>
        <w:rPr>
          <w:rFonts w:ascii="Times New Roman" w:eastAsia="Times New Roman" w:hAnsi="Times New Roman"/>
          <w:sz w:val="24"/>
          <w:szCs w:val="24"/>
        </w:rPr>
        <w:t>‘</w:t>
      </w:r>
      <w:r w:rsidRPr="00B71D71">
        <w:rPr>
          <w:rFonts w:ascii="Times New Roman" w:eastAsia="Times New Roman" w:hAnsi="Times New Roman"/>
          <w:sz w:val="24"/>
          <w:szCs w:val="24"/>
        </w:rPr>
        <w:t>accidental personal injury</w:t>
      </w:r>
      <w:r>
        <w:rPr>
          <w:rFonts w:ascii="Times New Roman" w:eastAsia="Times New Roman" w:hAnsi="Times New Roman"/>
          <w:sz w:val="24"/>
          <w:szCs w:val="24"/>
        </w:rPr>
        <w:t>’</w:t>
      </w:r>
      <w:r w:rsidRPr="00B71D71">
        <w:rPr>
          <w:rFonts w:ascii="Times New Roman" w:eastAsia="Times New Roman" w:hAnsi="Times New Roman"/>
          <w:sz w:val="24"/>
          <w:szCs w:val="24"/>
        </w:rPr>
        <w:t xml:space="preserve"> is one that </w:t>
      </w:r>
      <w:r>
        <w:rPr>
          <w:rFonts w:ascii="Times New Roman" w:eastAsia="Times New Roman" w:hAnsi="Times New Roman"/>
          <w:sz w:val="24"/>
          <w:szCs w:val="24"/>
        </w:rPr>
        <w:t>‘</w:t>
      </w:r>
      <w:r w:rsidRPr="00B71D71">
        <w:rPr>
          <w:rFonts w:ascii="Times New Roman" w:eastAsia="Times New Roman" w:hAnsi="Times New Roman"/>
          <w:sz w:val="24"/>
          <w:szCs w:val="24"/>
        </w:rPr>
        <w:t>arises out of and in the course of employment.</w:t>
      </w:r>
      <w:r>
        <w:rPr>
          <w:rFonts w:ascii="Times New Roman" w:eastAsia="Times New Roman" w:hAnsi="Times New Roman"/>
          <w:sz w:val="24"/>
          <w:szCs w:val="24"/>
        </w:rPr>
        <w:t>’</w:t>
      </w:r>
      <w:r w:rsidRPr="00B71D71">
        <w:rPr>
          <w:rFonts w:ascii="Times New Roman" w:eastAsia="Times New Roman" w:hAnsi="Times New Roman"/>
          <w:sz w:val="24"/>
          <w:szCs w:val="24"/>
        </w:rPr>
        <w:t xml:space="preserve"> Lab. &amp; </w:t>
      </w:r>
      <w:proofErr w:type="spellStart"/>
      <w:r w:rsidRPr="00B71D71">
        <w:rPr>
          <w:rFonts w:ascii="Times New Roman" w:eastAsia="Times New Roman" w:hAnsi="Times New Roman"/>
          <w:sz w:val="24"/>
          <w:szCs w:val="24"/>
        </w:rPr>
        <w:t>Empl</w:t>
      </w:r>
      <w:proofErr w:type="spellEnd"/>
      <w:r w:rsidRPr="00B71D71">
        <w:rPr>
          <w:rFonts w:ascii="Times New Roman" w:eastAsia="Times New Roman" w:hAnsi="Times New Roman"/>
          <w:sz w:val="24"/>
          <w:szCs w:val="24"/>
        </w:rPr>
        <w:t xml:space="preserve">. § 9-101(b). At the end of the </w:t>
      </w:r>
      <w:r w:rsidRPr="00B71D71">
        <w:rPr>
          <w:rFonts w:ascii="Times New Roman" w:eastAsia="Times New Roman" w:hAnsi="Times New Roman"/>
          <w:i/>
          <w:iCs/>
          <w:sz w:val="24"/>
          <w:szCs w:val="24"/>
        </w:rPr>
        <w:t>de novo</w:t>
      </w:r>
      <w:r w:rsidRPr="00B71D71">
        <w:rPr>
          <w:rFonts w:ascii="Times New Roman" w:eastAsia="Times New Roman" w:hAnsi="Times New Roman"/>
          <w:sz w:val="24"/>
          <w:szCs w:val="24"/>
        </w:rPr>
        <w:t xml:space="preserve"> evidentiary hearing, the circuit court concluded that Maloney's firehouse injury met these criteria—that it arose out of and in the course of his employment. The County's second appellate contention is that this conclusion by the circuit court was in error. To support its position, the County focuses mainly on the </w:t>
      </w:r>
      <w:proofErr w:type="gramStart"/>
      <w:r w:rsidRPr="00B71D71">
        <w:rPr>
          <w:rFonts w:ascii="Times New Roman" w:eastAsia="Times New Roman" w:hAnsi="Times New Roman"/>
          <w:sz w:val="24"/>
          <w:szCs w:val="24"/>
        </w:rPr>
        <w:t>facts</w:t>
      </w:r>
      <w:proofErr w:type="gramEnd"/>
      <w:r>
        <w:rPr>
          <w:rFonts w:ascii="Times New Roman" w:eastAsia="Times New Roman" w:hAnsi="Times New Roman"/>
          <w:sz w:val="24"/>
          <w:szCs w:val="24"/>
        </w:rPr>
        <w:t xml:space="preserve"> </w:t>
      </w:r>
      <w:r w:rsidRPr="00B71D71">
        <w:rPr>
          <w:rFonts w:ascii="Times New Roman" w:eastAsia="Times New Roman" w:hAnsi="Times New Roman"/>
          <w:sz w:val="24"/>
          <w:szCs w:val="24"/>
        </w:rPr>
        <w:t>that Maloney was not on duty when he was injured, that he was not required to stay at Station 33 that night, and that he chose to stay there for his own convenience.</w:t>
      </w:r>
      <w:r>
        <w:rPr>
          <w:rFonts w:ascii="Times New Roman" w:eastAsia="Times New Roman" w:hAnsi="Times New Roman"/>
          <w:sz w:val="24"/>
          <w:szCs w:val="24"/>
        </w:rPr>
        <w:t xml:space="preserve"> </w:t>
      </w:r>
      <w:r w:rsidRPr="00B71D71">
        <w:rPr>
          <w:rFonts w:ascii="Times New Roman" w:eastAsia="Times New Roman" w:hAnsi="Times New Roman"/>
          <w:sz w:val="24"/>
          <w:szCs w:val="24"/>
        </w:rPr>
        <w:t>  These arguments are not persuasive.</w:t>
      </w:r>
      <w:r>
        <w:rPr>
          <w:rFonts w:ascii="Times New Roman" w:eastAsia="Times New Roman" w:hAnsi="Times New Roman"/>
          <w:sz w:val="24"/>
          <w:szCs w:val="24"/>
        </w:rPr>
        <w:t xml:space="preserve">” </w:t>
      </w:r>
      <w:hyperlink r:id="rId1255" w:history="1">
        <w:r w:rsidRPr="000B08B8">
          <w:rPr>
            <w:rStyle w:val="Hyperlink"/>
            <w:rFonts w:ascii="Times New Roman" w:hAnsi="Times New Roman"/>
            <w:sz w:val="24"/>
            <w:szCs w:val="24"/>
          </w:rPr>
          <w:t>https://public.fastcase.com/Wl%2B2t%2BeVuI35%2FN70vAMFZv4uc1sCbMG5dFxJ8lan7QREifr4yKlj8U3C7mB5N4Yr</w:t>
        </w:r>
      </w:hyperlink>
      <w:r>
        <w:rPr>
          <w:rFonts w:ascii="Times New Roman" w:eastAsia="Times New Roman" w:hAnsi="Times New Roman"/>
          <w:sz w:val="24"/>
          <w:szCs w:val="24"/>
        </w:rPr>
        <w:t xml:space="preserve"> </w:t>
      </w:r>
    </w:p>
    <w:p w14:paraId="73810425" w14:textId="77777777" w:rsidR="002147DA" w:rsidRPr="000A5D76" w:rsidRDefault="002147DA" w:rsidP="002147DA">
      <w:pPr>
        <w:pStyle w:val="NoSpacing"/>
        <w:rPr>
          <w:rFonts w:ascii="Times New Roman" w:eastAsia="Times New Roman" w:hAnsi="Times New Roman"/>
          <w:b/>
          <w:bCs/>
          <w:sz w:val="24"/>
          <w:szCs w:val="24"/>
        </w:rPr>
      </w:pPr>
      <w:r w:rsidRPr="000A5D76">
        <w:rPr>
          <w:rFonts w:ascii="Times New Roman" w:hAnsi="Times New Roman"/>
          <w:b/>
          <w:bCs/>
          <w:sz w:val="24"/>
          <w:szCs w:val="24"/>
        </w:rPr>
        <w:t xml:space="preserve">Legal Lessons Learned: Given the fact that off duty firefighters are routinely allowed to spend the night at a station, it is hard to understand why the County fought this claim. </w:t>
      </w:r>
    </w:p>
    <w:p w14:paraId="092C001F" w14:textId="77777777" w:rsidR="002147DA" w:rsidRDefault="002147DA" w:rsidP="00EF1133">
      <w:pPr>
        <w:rPr>
          <w:rFonts w:ascii="Arial Black" w:hAnsi="Arial Black"/>
          <w:b/>
          <w:sz w:val="24"/>
          <w:szCs w:val="24"/>
        </w:rPr>
      </w:pPr>
    </w:p>
    <w:p w14:paraId="6D5B2668" w14:textId="0651BF7E" w:rsidR="005F0E6D" w:rsidRDefault="005F0E6D" w:rsidP="00EF1133">
      <w:pPr>
        <w:rPr>
          <w:rFonts w:ascii="Arial Black" w:hAnsi="Arial Black"/>
          <w:b/>
          <w:sz w:val="24"/>
          <w:szCs w:val="24"/>
        </w:rPr>
      </w:pPr>
      <w:r>
        <w:rPr>
          <w:rFonts w:ascii="Arial Black" w:hAnsi="Arial Black"/>
          <w:b/>
          <w:sz w:val="24"/>
          <w:szCs w:val="24"/>
        </w:rPr>
        <w:t>6-37</w:t>
      </w:r>
    </w:p>
    <w:p w14:paraId="7CDDC22B" w14:textId="77777777" w:rsidR="002147DA" w:rsidRPr="00B21DE4" w:rsidRDefault="002147DA" w:rsidP="002147DA">
      <w:pPr>
        <w:pStyle w:val="NoSpacing"/>
        <w:rPr>
          <w:rFonts w:ascii="Arial Black" w:hAnsi="Arial Black"/>
          <w:sz w:val="28"/>
          <w:szCs w:val="28"/>
        </w:rPr>
      </w:pPr>
      <w:r w:rsidRPr="00B21DE4">
        <w:rPr>
          <w:rFonts w:ascii="Arial Black" w:hAnsi="Arial Black"/>
          <w:sz w:val="28"/>
          <w:szCs w:val="28"/>
        </w:rPr>
        <w:t>IL</w:t>
      </w:r>
      <w:r>
        <w:rPr>
          <w:rFonts w:ascii="Arial Black" w:hAnsi="Arial Black"/>
          <w:sz w:val="28"/>
          <w:szCs w:val="28"/>
        </w:rPr>
        <w:t xml:space="preserve">:  VILLAGE RESIDENCY REQ. – FIRED – MARRIED CHICAGO TEACHER, PRIMARY RESIDENCE NOT MOTHER’S HOUSE </w:t>
      </w:r>
    </w:p>
    <w:p w14:paraId="7569A9FB" w14:textId="536481C6" w:rsidR="002147DA" w:rsidRDefault="002147DA" w:rsidP="002147D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March 31, 2020, in </w:t>
      </w:r>
      <w:r w:rsidRPr="00B21DE4">
        <w:rPr>
          <w:rFonts w:ascii="Times New Roman" w:hAnsi="Times New Roman"/>
          <w:sz w:val="24"/>
          <w:szCs w:val="24"/>
          <w:u w:val="single"/>
        </w:rPr>
        <w:t>Anthony Figueroa v. The Board of Fire And Police Commissioners Of The Village of Melrose Park, Illinois</w:t>
      </w:r>
      <w:r>
        <w:rPr>
          <w:rFonts w:ascii="Times New Roman" w:hAnsi="Times New Roman"/>
          <w:sz w:val="24"/>
          <w:szCs w:val="24"/>
        </w:rPr>
        <w:t xml:space="preserve">, the Appellate Court of Illinois (First District) held (3 to 0) in unpublished decision, held that the trial judge in Circuit Court properly refused to overturn the Board’s decision to terminate the firefighter’s employment, even though he showed he had part-time residency in his mother’s home in the Village.  The room he used in his mother’s house was also used by his mother. </w:t>
      </w:r>
    </w:p>
    <w:p w14:paraId="35F115CA" w14:textId="71AB0BD3" w:rsidR="002147DA" w:rsidRDefault="002147DA" w:rsidP="002147DA">
      <w:pPr>
        <w:ind w:left="720"/>
        <w:rPr>
          <w:rFonts w:ascii="Arial Black" w:hAnsi="Arial Black"/>
          <w:b/>
          <w:sz w:val="24"/>
          <w:szCs w:val="24"/>
        </w:rPr>
      </w:pPr>
      <w:r>
        <w:rPr>
          <w:rFonts w:ascii="Times New Roman" w:hAnsi="Times New Roman"/>
          <w:sz w:val="24"/>
          <w:szCs w:val="24"/>
        </w:rPr>
        <w:t>“</w:t>
      </w:r>
      <w:r w:rsidRPr="00B21DE4">
        <w:rPr>
          <w:rFonts w:ascii="Times New Roman" w:hAnsi="Times New Roman"/>
          <w:sz w:val="24"/>
          <w:szCs w:val="24"/>
        </w:rPr>
        <w:t xml:space="preserve">Giving the statutory language its plain and ordinary meaning, the Village’s residency requirement clearly and unambiguously </w:t>
      </w:r>
      <w:proofErr w:type="gramStart"/>
      <w:r w:rsidRPr="00B21DE4">
        <w:rPr>
          <w:rFonts w:ascii="Times New Roman" w:hAnsi="Times New Roman"/>
          <w:sz w:val="24"/>
          <w:szCs w:val="24"/>
        </w:rPr>
        <w:t>provided that</w:t>
      </w:r>
      <w:proofErr w:type="gramEnd"/>
      <w:r w:rsidRPr="00B21DE4">
        <w:rPr>
          <w:rFonts w:ascii="Times New Roman" w:hAnsi="Times New Roman"/>
          <w:sz w:val="24"/>
          <w:szCs w:val="24"/>
        </w:rPr>
        <w:t xml:space="preserve"> Figueroa had to live within the boundaries of the Village in a home that was his primary or most important residence throughout his period of employment. Contrary to Figueroa’s argument on appeal, the record establishes that the Board did not erroneously construe the ordinance to mean that he could not have more than one residence.</w:t>
      </w:r>
      <w:r>
        <w:rPr>
          <w:rFonts w:ascii="Times New Roman" w:hAnsi="Times New Roman"/>
          <w:sz w:val="24"/>
          <w:szCs w:val="24"/>
        </w:rPr>
        <w:t xml:space="preserve">”  </w:t>
      </w:r>
      <w:hyperlink r:id="rId1256" w:history="1">
        <w:r w:rsidRPr="00656322">
          <w:rPr>
            <w:rStyle w:val="Hyperlink"/>
            <w:rFonts w:ascii="Times New Roman" w:hAnsi="Times New Roman"/>
            <w:sz w:val="24"/>
            <w:szCs w:val="24"/>
          </w:rPr>
          <w:t>https://courts.illinois.gov/R23_Orders/AppellateCourt/2020/1stDistrict/1181708_R23.pdf</w:t>
        </w:r>
      </w:hyperlink>
    </w:p>
    <w:p w14:paraId="3C2361A7" w14:textId="77777777" w:rsidR="002147DA" w:rsidRPr="00AE3A49" w:rsidRDefault="002147DA" w:rsidP="002147DA">
      <w:pPr>
        <w:tabs>
          <w:tab w:val="left" w:pos="2930"/>
        </w:tabs>
        <w:spacing w:before="100" w:beforeAutospacing="1" w:after="100" w:afterAutospacing="1" w:line="240" w:lineRule="auto"/>
        <w:rPr>
          <w:rFonts w:ascii="Times New Roman" w:hAnsi="Times New Roman"/>
          <w:b/>
          <w:bCs/>
          <w:sz w:val="24"/>
          <w:szCs w:val="24"/>
        </w:rPr>
      </w:pPr>
      <w:r w:rsidRPr="00AE3A49">
        <w:rPr>
          <w:rFonts w:ascii="Times New Roman" w:hAnsi="Times New Roman"/>
          <w:b/>
          <w:bCs/>
          <w:sz w:val="24"/>
          <w:szCs w:val="24"/>
        </w:rPr>
        <w:t xml:space="preserve">Legal Lessons Learned: If the FF had purchased a home, or leased an apartment in the Village, took all his mail there, and kept Fire Chief informed, there may have never been charges brought. </w:t>
      </w:r>
    </w:p>
    <w:p w14:paraId="34660BE6" w14:textId="77777777" w:rsidR="002147DA" w:rsidRPr="00AE3A49" w:rsidRDefault="002147DA" w:rsidP="002147DA">
      <w:pPr>
        <w:pStyle w:val="NoSpacing"/>
        <w:ind w:left="720"/>
        <w:rPr>
          <w:rFonts w:ascii="Times New Roman" w:hAnsi="Times New Roman"/>
          <w:b/>
          <w:bCs/>
          <w:sz w:val="24"/>
          <w:szCs w:val="24"/>
        </w:rPr>
      </w:pPr>
      <w:r w:rsidRPr="00AE3A49">
        <w:rPr>
          <w:rFonts w:ascii="Times New Roman" w:hAnsi="Times New Roman"/>
          <w:bCs/>
          <w:sz w:val="24"/>
          <w:szCs w:val="24"/>
        </w:rPr>
        <w:t xml:space="preserve">Note: Some states, including Ohio, have abolished local residency requirements for emergency responders.  See Ohio Revised Code 9.481, “reside either in the county where the political subdivision is located or in any adjacent county in this state.” </w:t>
      </w:r>
      <w:hyperlink r:id="rId1257" w:history="1">
        <w:r w:rsidRPr="00AE3A49">
          <w:rPr>
            <w:rStyle w:val="Hyperlink"/>
            <w:rFonts w:ascii="Times New Roman" w:hAnsi="Times New Roman"/>
            <w:b/>
            <w:sz w:val="24"/>
            <w:szCs w:val="24"/>
          </w:rPr>
          <w:t>http://codes.ohio.gov/orc/gp9.481</w:t>
        </w:r>
      </w:hyperlink>
      <w:r w:rsidRPr="00AE3A49">
        <w:rPr>
          <w:rFonts w:ascii="Times New Roman" w:hAnsi="Times New Roman"/>
          <w:bCs/>
          <w:sz w:val="24"/>
          <w:szCs w:val="24"/>
        </w:rPr>
        <w:t xml:space="preserve"> </w:t>
      </w:r>
    </w:p>
    <w:p w14:paraId="3263228A" w14:textId="77777777" w:rsidR="005F0E6D" w:rsidRDefault="005F0E6D" w:rsidP="00EF1133">
      <w:pPr>
        <w:rPr>
          <w:rFonts w:ascii="Arial Black" w:hAnsi="Arial Black"/>
          <w:b/>
          <w:sz w:val="24"/>
          <w:szCs w:val="24"/>
        </w:rPr>
      </w:pPr>
    </w:p>
    <w:p w14:paraId="0FECC280" w14:textId="5CDD5718" w:rsidR="007540BD" w:rsidRDefault="007540BD" w:rsidP="00EF1133">
      <w:pPr>
        <w:rPr>
          <w:rFonts w:ascii="Arial Black" w:hAnsi="Arial Black"/>
          <w:b/>
          <w:sz w:val="24"/>
          <w:szCs w:val="24"/>
        </w:rPr>
      </w:pPr>
      <w:r>
        <w:rPr>
          <w:rFonts w:ascii="Arial Black" w:hAnsi="Arial Black"/>
          <w:b/>
          <w:sz w:val="24"/>
          <w:szCs w:val="24"/>
        </w:rPr>
        <w:t>6-36</w:t>
      </w:r>
    </w:p>
    <w:p w14:paraId="5B00557E" w14:textId="77777777" w:rsidR="007540BD" w:rsidRPr="00E81CA1" w:rsidRDefault="007540BD" w:rsidP="007540BD">
      <w:pPr>
        <w:spacing w:before="100" w:beforeAutospacing="1" w:after="100" w:afterAutospacing="1" w:line="240" w:lineRule="auto"/>
        <w:rPr>
          <w:rFonts w:ascii="Arial Black" w:eastAsia="Times New Roman" w:hAnsi="Arial Black"/>
          <w:b/>
          <w:bCs/>
          <w:sz w:val="28"/>
          <w:szCs w:val="28"/>
        </w:rPr>
      </w:pPr>
      <w:r w:rsidRPr="00E81CA1">
        <w:rPr>
          <w:rFonts w:ascii="Arial Black" w:eastAsia="Times New Roman" w:hAnsi="Arial Black"/>
          <w:b/>
          <w:bCs/>
          <w:sz w:val="28"/>
          <w:szCs w:val="28"/>
        </w:rPr>
        <w:t xml:space="preserve">TX: </w:t>
      </w:r>
      <w:r>
        <w:rPr>
          <w:rFonts w:ascii="Arial Black" w:eastAsia="Times New Roman" w:hAnsi="Arial Black"/>
          <w:b/>
          <w:bCs/>
          <w:sz w:val="28"/>
          <w:szCs w:val="28"/>
        </w:rPr>
        <w:t xml:space="preserve"> TESTICULAR CANCER – FF WORKERS COMP – CITY FAILED TO RAISE DEFENSE THAT FF DIDN’T FILE CLAIM WITHIN 1-YEAR </w:t>
      </w:r>
    </w:p>
    <w:p w14:paraId="36DCB9FC" w14:textId="77777777" w:rsidR="007540BD" w:rsidRDefault="007540BD" w:rsidP="007540BD">
      <w:pPr>
        <w:spacing w:before="100" w:beforeAutospacing="1" w:after="100" w:afterAutospacing="1" w:line="240" w:lineRule="auto"/>
        <w:rPr>
          <w:rFonts w:ascii="Times New Roman" w:eastAsia="Times New Roman" w:hAnsi="Times New Roman"/>
          <w:sz w:val="24"/>
          <w:szCs w:val="24"/>
        </w:rPr>
      </w:pPr>
      <w:r w:rsidRPr="009A62F9">
        <w:rPr>
          <w:rFonts w:ascii="Times New Roman" w:eastAsia="Times New Roman" w:hAnsi="Times New Roman"/>
          <w:sz w:val="24"/>
          <w:szCs w:val="24"/>
        </w:rPr>
        <w:t xml:space="preserve">On March 25, 2020, in </w:t>
      </w:r>
      <w:r w:rsidRPr="009A62F9">
        <w:rPr>
          <w:rFonts w:ascii="Times New Roman" w:eastAsia="Times New Roman" w:hAnsi="Times New Roman"/>
          <w:sz w:val="24"/>
          <w:szCs w:val="24"/>
          <w:u w:val="single"/>
        </w:rPr>
        <w:t>City of Dallas v. Gregory D. Thompson</w:t>
      </w:r>
      <w:r>
        <w:rPr>
          <w:rFonts w:ascii="Times New Roman" w:eastAsia="Times New Roman" w:hAnsi="Times New Roman"/>
          <w:sz w:val="24"/>
          <w:szCs w:val="24"/>
        </w:rPr>
        <w:t xml:space="preserve">, the Court of Appeals, Twelfth Court of Appeals District, Tyler, Texas held (3 to 0) that the firefighter is entitled to workers compensation coverage for his cancer. </w:t>
      </w:r>
    </w:p>
    <w:p w14:paraId="4CD7D203" w14:textId="77777777" w:rsidR="007540BD" w:rsidRDefault="007540BD" w:rsidP="007540BD">
      <w:pPr>
        <w:pStyle w:val="NoSpacing"/>
        <w:ind w:left="720"/>
        <w:rPr>
          <w:rFonts w:ascii="Times New Roman" w:hAnsi="Times New Roman"/>
          <w:bCs/>
          <w:sz w:val="24"/>
          <w:szCs w:val="24"/>
        </w:rPr>
      </w:pPr>
      <w:r w:rsidRPr="007C7258">
        <w:rPr>
          <w:rFonts w:ascii="Times New Roman" w:hAnsi="Times New Roman"/>
          <w:bCs/>
          <w:sz w:val="24"/>
          <w:szCs w:val="24"/>
        </w:rPr>
        <w:t xml:space="preserve">“The record supports the ALJ’s determination that Dallas did not raise its defense regarding Thompson’s failure to file a claim within one year of his injury within a reasonable amount of time after it became </w:t>
      </w:r>
    </w:p>
    <w:p w14:paraId="0EA09249" w14:textId="77777777" w:rsidR="007540BD" w:rsidRDefault="007540BD" w:rsidP="007540BD">
      <w:pPr>
        <w:pStyle w:val="NoSpacing"/>
        <w:rPr>
          <w:rFonts w:ascii="Times New Roman" w:hAnsi="Times New Roman"/>
          <w:bCs/>
          <w:sz w:val="24"/>
          <w:szCs w:val="24"/>
        </w:rPr>
      </w:pPr>
    </w:p>
    <w:p w14:paraId="4118C227" w14:textId="77777777" w:rsidR="007540BD" w:rsidRDefault="007540BD" w:rsidP="007540BD">
      <w:pPr>
        <w:pStyle w:val="NoSpacing"/>
        <w:rPr>
          <w:rFonts w:ascii="Times New Roman" w:hAnsi="Times New Roman"/>
          <w:bCs/>
          <w:sz w:val="24"/>
          <w:szCs w:val="24"/>
        </w:rPr>
      </w:pPr>
    </w:p>
    <w:p w14:paraId="6DDD1E84" w14:textId="77777777" w:rsidR="007540BD" w:rsidRDefault="007540BD" w:rsidP="007540BD">
      <w:pPr>
        <w:pStyle w:val="NoSpacing"/>
        <w:ind w:left="720"/>
        <w:rPr>
          <w:rFonts w:ascii="Times New Roman" w:hAnsi="Times New Roman"/>
          <w:bCs/>
          <w:sz w:val="24"/>
          <w:szCs w:val="24"/>
        </w:rPr>
      </w:pPr>
      <w:r w:rsidRPr="007C7258">
        <w:rPr>
          <w:rFonts w:ascii="Times New Roman" w:hAnsi="Times New Roman"/>
          <w:bCs/>
          <w:sz w:val="24"/>
          <w:szCs w:val="24"/>
        </w:rPr>
        <w:t xml:space="preserve">available. Therefore, Thompson showed as a matter of law that Dallas waived its one-year defense. Accordingly, the trial court did not err in denying Dallas’s motion for summary judgment and granting </w:t>
      </w:r>
    </w:p>
    <w:p w14:paraId="56E8B1AD" w14:textId="77777777" w:rsidR="007540BD" w:rsidRPr="007C7258" w:rsidRDefault="007540BD" w:rsidP="007540BD">
      <w:pPr>
        <w:pStyle w:val="NoSpacing"/>
        <w:ind w:left="720"/>
        <w:rPr>
          <w:rFonts w:ascii="Times New Roman" w:eastAsia="Times New Roman" w:hAnsi="Times New Roman"/>
          <w:b/>
          <w:bCs/>
          <w:sz w:val="24"/>
          <w:szCs w:val="24"/>
        </w:rPr>
      </w:pPr>
      <w:r w:rsidRPr="007C7258">
        <w:rPr>
          <w:rFonts w:ascii="Times New Roman" w:hAnsi="Times New Roman"/>
          <w:bCs/>
          <w:sz w:val="24"/>
          <w:szCs w:val="24"/>
        </w:rPr>
        <w:t xml:space="preserve">Thompson’s cross-motion for summary judgment.” </w:t>
      </w:r>
      <w:hyperlink r:id="rId1258" w:history="1">
        <w:r w:rsidRPr="007C7258">
          <w:rPr>
            <w:rStyle w:val="Hyperlink"/>
            <w:rFonts w:ascii="Times New Roman" w:hAnsi="Times New Roman"/>
            <w:b/>
            <w:sz w:val="24"/>
            <w:szCs w:val="24"/>
          </w:rPr>
          <w:t>http://www.search.txcourts.gov/SearchMedia.aspx?MediaVersionID=0d5f8f8d-dca0-42cf-9f3d-0b9f0ec4a868&amp;coa=coa12&amp;DT=Opinion&amp;MediaID=3cca35a6-dea2-4898-8844-a6d0a0f59f70</w:t>
        </w:r>
      </w:hyperlink>
    </w:p>
    <w:p w14:paraId="37F52047" w14:textId="77777777" w:rsidR="007540BD" w:rsidRPr="007C7258" w:rsidRDefault="007540BD" w:rsidP="007540BD">
      <w:pPr>
        <w:pStyle w:val="NoSpacing"/>
        <w:rPr>
          <w:rFonts w:ascii="Times New Roman" w:hAnsi="Times New Roman"/>
          <w:b/>
          <w:bCs/>
          <w:sz w:val="24"/>
          <w:szCs w:val="24"/>
        </w:rPr>
      </w:pPr>
    </w:p>
    <w:p w14:paraId="218A7C68" w14:textId="334F6FB2" w:rsidR="007540BD" w:rsidRDefault="007540BD" w:rsidP="00EF1133">
      <w:pPr>
        <w:rPr>
          <w:rFonts w:ascii="Arial Black" w:hAnsi="Arial Black"/>
          <w:b/>
          <w:sz w:val="24"/>
          <w:szCs w:val="24"/>
        </w:rPr>
      </w:pPr>
      <w:r w:rsidRPr="007C7258">
        <w:rPr>
          <w:rFonts w:ascii="Times New Roman" w:hAnsi="Times New Roman"/>
          <w:b/>
          <w:bCs/>
          <w:sz w:val="24"/>
          <w:szCs w:val="24"/>
        </w:rPr>
        <w:t>Legal Lessons Learned:  Many states have now enacted a “statutory presumption” regarding firefighter cancer</w:t>
      </w:r>
      <w:r w:rsidRPr="007C7258">
        <w:rPr>
          <w:rFonts w:ascii="Times New Roman" w:hAnsi="Times New Roman"/>
          <w:sz w:val="24"/>
          <w:szCs w:val="24"/>
        </w:rPr>
        <w:t xml:space="preserve">.  </w:t>
      </w:r>
      <w:r w:rsidRPr="007C7258">
        <w:rPr>
          <w:rFonts w:ascii="Times New Roman" w:hAnsi="Times New Roman"/>
          <w:bCs/>
          <w:sz w:val="24"/>
          <w:szCs w:val="24"/>
        </w:rPr>
        <w:t xml:space="preserve">See list of 33 states with statutory presumption statutes: </w:t>
      </w:r>
      <w:hyperlink r:id="rId1259" w:history="1">
        <w:r w:rsidRPr="007C7258">
          <w:rPr>
            <w:rStyle w:val="Hyperlink"/>
            <w:rFonts w:ascii="Times New Roman" w:hAnsi="Times New Roman"/>
            <w:b/>
            <w:sz w:val="24"/>
            <w:szCs w:val="24"/>
          </w:rPr>
          <w:t>https://www.firstrespondercenter.org/cancer/toolsresources/presumptive-legislation-firefighter-cancer-state/</w:t>
        </w:r>
      </w:hyperlink>
    </w:p>
    <w:p w14:paraId="3645B285" w14:textId="77777777" w:rsidR="007540BD" w:rsidRDefault="007540BD" w:rsidP="00A06387">
      <w:pPr>
        <w:pStyle w:val="NoSpacing"/>
        <w:rPr>
          <w:rFonts w:ascii="Arial Black" w:hAnsi="Arial Black"/>
          <w:sz w:val="28"/>
          <w:szCs w:val="28"/>
        </w:rPr>
      </w:pPr>
    </w:p>
    <w:p w14:paraId="39FFD0B3" w14:textId="0880F60A" w:rsidR="007540BD" w:rsidRDefault="007540BD" w:rsidP="00A06387">
      <w:pPr>
        <w:pStyle w:val="NoSpacing"/>
        <w:rPr>
          <w:rFonts w:ascii="Arial Black" w:hAnsi="Arial Black"/>
          <w:sz w:val="28"/>
          <w:szCs w:val="28"/>
        </w:rPr>
      </w:pPr>
      <w:r>
        <w:rPr>
          <w:rFonts w:ascii="Arial Black" w:hAnsi="Arial Black"/>
          <w:sz w:val="28"/>
          <w:szCs w:val="28"/>
        </w:rPr>
        <w:t>6-35</w:t>
      </w:r>
    </w:p>
    <w:p w14:paraId="566B8DA9" w14:textId="772676CA" w:rsidR="007540BD" w:rsidRDefault="007540BD" w:rsidP="00A06387">
      <w:pPr>
        <w:pStyle w:val="NoSpacing"/>
        <w:rPr>
          <w:rFonts w:ascii="Arial Black" w:hAnsi="Arial Black"/>
          <w:sz w:val="28"/>
          <w:szCs w:val="28"/>
        </w:rPr>
      </w:pPr>
    </w:p>
    <w:p w14:paraId="2ABB613A" w14:textId="77777777" w:rsidR="007540BD" w:rsidRPr="001456AA" w:rsidRDefault="007540BD" w:rsidP="007540BD">
      <w:pPr>
        <w:pStyle w:val="NoSpacing"/>
        <w:rPr>
          <w:rFonts w:ascii="Arial Black" w:hAnsi="Arial Black"/>
          <w:sz w:val="28"/>
          <w:szCs w:val="28"/>
        </w:rPr>
      </w:pPr>
      <w:r w:rsidRPr="001456AA">
        <w:rPr>
          <w:rFonts w:ascii="Arial Black" w:hAnsi="Arial Black"/>
          <w:sz w:val="28"/>
          <w:szCs w:val="28"/>
        </w:rPr>
        <w:t xml:space="preserve">IL: </w:t>
      </w:r>
      <w:r>
        <w:rPr>
          <w:rFonts w:ascii="Arial Black" w:hAnsi="Arial Black"/>
          <w:sz w:val="28"/>
          <w:szCs w:val="28"/>
        </w:rPr>
        <w:t>MANDATORY RETIREMENT FOR CHICAGO FF – AGE 63 – FF’S AGE DISCRIMINATION CASE DISMISSED</w:t>
      </w:r>
    </w:p>
    <w:p w14:paraId="718DBCBE" w14:textId="77777777" w:rsidR="007540BD" w:rsidRDefault="007540BD" w:rsidP="007540BD">
      <w:pPr>
        <w:pStyle w:val="NoSpacing"/>
      </w:pPr>
    </w:p>
    <w:p w14:paraId="658EBA95" w14:textId="77777777" w:rsidR="007540BD" w:rsidRPr="00E32D40" w:rsidRDefault="007540BD" w:rsidP="007540BD">
      <w:pPr>
        <w:pStyle w:val="NoSpacing"/>
        <w:rPr>
          <w:rFonts w:ascii="Times New Roman" w:hAnsi="Times New Roman"/>
          <w:b/>
          <w:bCs/>
          <w:sz w:val="24"/>
          <w:szCs w:val="24"/>
        </w:rPr>
      </w:pPr>
      <w:r w:rsidRPr="00E32D40">
        <w:rPr>
          <w:rFonts w:ascii="Times New Roman" w:hAnsi="Times New Roman"/>
          <w:bCs/>
          <w:sz w:val="24"/>
          <w:szCs w:val="24"/>
        </w:rPr>
        <w:t xml:space="preserve">On March 25, 2020, in </w:t>
      </w:r>
      <w:r w:rsidRPr="00E32D40">
        <w:rPr>
          <w:rFonts w:ascii="Times New Roman" w:hAnsi="Times New Roman"/>
          <w:bCs/>
          <w:sz w:val="24"/>
          <w:szCs w:val="24"/>
          <w:u w:val="single"/>
        </w:rPr>
        <w:t>Gerald Barry v. City of Chicago</w:t>
      </w:r>
      <w:r w:rsidRPr="00E32D40">
        <w:rPr>
          <w:rFonts w:ascii="Times New Roman" w:hAnsi="Times New Roman"/>
          <w:bCs/>
          <w:sz w:val="24"/>
          <w:szCs w:val="24"/>
        </w:rPr>
        <w:t xml:space="preserve">, U.S. District Court Judge John Robert Blakey, U.S. District Court for the Northern District of Illinois, Eastern Division, granted the City’s motion to dismiss.  This is his fourth amended complaint; the first three were dismissed because he failed to file an EEOC complaint within 300 days of the alleged discriminatory events.   </w:t>
      </w:r>
    </w:p>
    <w:p w14:paraId="2F98E62F" w14:textId="77777777" w:rsidR="007540BD" w:rsidRDefault="007540BD" w:rsidP="007540BD">
      <w:pPr>
        <w:pStyle w:val="NoSpacing"/>
        <w:rPr>
          <w:b/>
          <w:bCs/>
          <w:sz w:val="24"/>
          <w:szCs w:val="24"/>
        </w:rPr>
      </w:pPr>
    </w:p>
    <w:p w14:paraId="17C35CD0"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“Consistent with this new allegation, the operative complaint alleges that, on April 1, 2018, Plaintiff ‘lost the health care coverage that he had from the City of Chicago, resulting in a significant diminishment of his benefits.’ [39] at 5. He alleges that the loss of health care benefits is ‘consequential to the misapplication of the Mandatory Retirement Ordinance’ and that the City's decision to take away his health care coverage violates his rights under the ‘Lilly Ledbetter amendment to the Equal Pay Act.’</w:t>
      </w:r>
    </w:p>
    <w:p w14:paraId="3CCC52D5" w14:textId="77777777" w:rsidR="007540BD" w:rsidRPr="007C7258" w:rsidRDefault="007540BD" w:rsidP="007540BD">
      <w:pPr>
        <w:pStyle w:val="NoSpacing"/>
        <w:ind w:left="720"/>
        <w:rPr>
          <w:rFonts w:ascii="Times New Roman" w:hAnsi="Times New Roman"/>
          <w:b/>
          <w:bCs/>
          <w:sz w:val="24"/>
          <w:szCs w:val="24"/>
        </w:rPr>
      </w:pPr>
    </w:p>
    <w:p w14:paraId="059282DC"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w:t>
      </w:r>
    </w:p>
    <w:p w14:paraId="60B2DE5A" w14:textId="77777777" w:rsidR="007540BD" w:rsidRPr="007C7258" w:rsidRDefault="007540BD" w:rsidP="007540BD">
      <w:pPr>
        <w:pStyle w:val="NoSpacing"/>
        <w:ind w:left="720"/>
        <w:rPr>
          <w:rFonts w:ascii="Times New Roman" w:hAnsi="Times New Roman"/>
          <w:b/>
          <w:bCs/>
          <w:sz w:val="24"/>
          <w:szCs w:val="24"/>
        </w:rPr>
      </w:pPr>
    </w:p>
    <w:p w14:paraId="490917E2"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Thus, to state a claim under the ADEA, Plaintiff must at least allege that age was the reason for the challenged adverse employment action. </w:t>
      </w:r>
      <w:r w:rsidRPr="007C7258">
        <w:rPr>
          <w:rFonts w:ascii="Times New Roman" w:hAnsi="Times New Roman"/>
          <w:bCs/>
          <w:i/>
          <w:iCs/>
          <w:sz w:val="24"/>
          <w:szCs w:val="24"/>
        </w:rPr>
        <w:t>E</w:t>
      </w:r>
      <w:r w:rsidRPr="007C7258">
        <w:rPr>
          <w:rFonts w:ascii="Times New Roman" w:hAnsi="Times New Roman"/>
          <w:bCs/>
          <w:sz w:val="24"/>
          <w:szCs w:val="24"/>
        </w:rPr>
        <w:t>.</w:t>
      </w:r>
      <w:r w:rsidRPr="007C7258">
        <w:rPr>
          <w:rFonts w:ascii="Times New Roman" w:hAnsi="Times New Roman"/>
          <w:bCs/>
          <w:i/>
          <w:iCs/>
          <w:sz w:val="24"/>
          <w:szCs w:val="24"/>
        </w:rPr>
        <w:t>g</w:t>
      </w:r>
      <w:r w:rsidRPr="007C7258">
        <w:rPr>
          <w:rFonts w:ascii="Times New Roman" w:hAnsi="Times New Roman"/>
          <w:bCs/>
          <w:sz w:val="24"/>
          <w:szCs w:val="24"/>
        </w:rPr>
        <w:t xml:space="preserve">., </w:t>
      </w:r>
      <w:r w:rsidRPr="007C7258">
        <w:rPr>
          <w:rFonts w:ascii="Times New Roman" w:hAnsi="Times New Roman"/>
          <w:bCs/>
          <w:i/>
          <w:iCs/>
          <w:sz w:val="24"/>
          <w:szCs w:val="24"/>
        </w:rPr>
        <w:t>Gross v</w:t>
      </w:r>
      <w:r w:rsidRPr="007C7258">
        <w:rPr>
          <w:rFonts w:ascii="Times New Roman" w:hAnsi="Times New Roman"/>
          <w:bCs/>
          <w:sz w:val="24"/>
          <w:szCs w:val="24"/>
        </w:rPr>
        <w:t xml:space="preserve">. </w:t>
      </w:r>
      <w:r w:rsidRPr="007C7258">
        <w:rPr>
          <w:rFonts w:ascii="Times New Roman" w:hAnsi="Times New Roman"/>
          <w:bCs/>
          <w:i/>
          <w:iCs/>
          <w:sz w:val="24"/>
          <w:szCs w:val="24"/>
        </w:rPr>
        <w:t>FBL Fin</w:t>
      </w:r>
      <w:r w:rsidRPr="007C7258">
        <w:rPr>
          <w:rFonts w:ascii="Times New Roman" w:hAnsi="Times New Roman"/>
          <w:bCs/>
          <w:sz w:val="24"/>
          <w:szCs w:val="24"/>
        </w:rPr>
        <w:t xml:space="preserve">. </w:t>
      </w:r>
      <w:r w:rsidRPr="007C7258">
        <w:rPr>
          <w:rFonts w:ascii="Times New Roman" w:hAnsi="Times New Roman"/>
          <w:bCs/>
          <w:i/>
          <w:iCs/>
          <w:sz w:val="24"/>
          <w:szCs w:val="24"/>
        </w:rPr>
        <w:t>Servs</w:t>
      </w:r>
      <w:r w:rsidRPr="007C7258">
        <w:rPr>
          <w:rFonts w:ascii="Times New Roman" w:hAnsi="Times New Roman"/>
          <w:bCs/>
          <w:sz w:val="24"/>
          <w:szCs w:val="24"/>
        </w:rPr>
        <w:t xml:space="preserve">., </w:t>
      </w:r>
      <w:r w:rsidRPr="007C7258">
        <w:rPr>
          <w:rFonts w:ascii="Times New Roman" w:hAnsi="Times New Roman"/>
          <w:bCs/>
          <w:i/>
          <w:iCs/>
          <w:sz w:val="24"/>
          <w:szCs w:val="24"/>
        </w:rPr>
        <w:t>Inc</w:t>
      </w:r>
      <w:r w:rsidRPr="007C7258">
        <w:rPr>
          <w:rFonts w:ascii="Times New Roman" w:hAnsi="Times New Roman"/>
          <w:bCs/>
          <w:sz w:val="24"/>
          <w:szCs w:val="24"/>
        </w:rPr>
        <w:t xml:space="preserve">., 557 U.S. 167, 180 (2009). And such an allegation is wholly absent here. Plaintiff checked the box marked ‘age’ on the Court's form employment discrimination complaint, </w:t>
      </w:r>
      <w:r w:rsidRPr="007C7258">
        <w:rPr>
          <w:rFonts w:ascii="Times New Roman" w:hAnsi="Times New Roman"/>
          <w:bCs/>
          <w:i/>
          <w:iCs/>
          <w:sz w:val="24"/>
          <w:szCs w:val="24"/>
        </w:rPr>
        <w:t>see</w:t>
      </w:r>
      <w:r w:rsidRPr="007C7258">
        <w:rPr>
          <w:rFonts w:ascii="Times New Roman" w:hAnsi="Times New Roman"/>
          <w:bCs/>
          <w:sz w:val="24"/>
          <w:szCs w:val="24"/>
        </w:rPr>
        <w:t xml:space="preserve"> [39] at 3; Case No. 19 C 2275, [1] at 3, but he fails to allege any facts to support an age discrimination claim. He alleges that the loss of health care coverage ‘was a violation of his rights under the Lilly Ledbetter amendment to the Equal Pay Act,’ [39] at 5; [1] at 5, but he does not say why or how. He alleges that the loss of health care: resulted ‘from the discriminatory mandatory retirement on April 16, 2016’; was ‘consequential to the misapplication of the Mandatory Retirement Ordinance’; and was part of a "continual effort of discrimination." [39] at 5; [1] at 5. But he never explains why the forced retirement constituted </w:t>
      </w:r>
      <w:proofErr w:type="gramStart"/>
      <w:r w:rsidRPr="007C7258">
        <w:rPr>
          <w:rFonts w:ascii="Times New Roman" w:hAnsi="Times New Roman"/>
          <w:bCs/>
          <w:sz w:val="24"/>
          <w:szCs w:val="24"/>
        </w:rPr>
        <w:t>a discriminatory</w:t>
      </w:r>
      <w:proofErr w:type="gramEnd"/>
      <w:r w:rsidRPr="007C7258">
        <w:rPr>
          <w:rFonts w:ascii="Times New Roman" w:hAnsi="Times New Roman"/>
          <w:bCs/>
          <w:sz w:val="24"/>
          <w:szCs w:val="24"/>
        </w:rPr>
        <w:t xml:space="preserve"> action or how the </w:t>
      </w:r>
      <w:proofErr w:type="gramStart"/>
      <w:r w:rsidRPr="007C7258">
        <w:rPr>
          <w:rFonts w:ascii="Times New Roman" w:hAnsi="Times New Roman"/>
          <w:bCs/>
          <w:sz w:val="24"/>
          <w:szCs w:val="24"/>
        </w:rPr>
        <w:t>City</w:t>
      </w:r>
      <w:proofErr w:type="gramEnd"/>
      <w:r w:rsidRPr="007C7258">
        <w:rPr>
          <w:rFonts w:ascii="Times New Roman" w:hAnsi="Times New Roman"/>
          <w:bCs/>
          <w:sz w:val="24"/>
          <w:szCs w:val="24"/>
        </w:rPr>
        <w:t xml:space="preserve"> misapplied the MRO.</w:t>
      </w:r>
    </w:p>
    <w:p w14:paraId="7CE6163C" w14:textId="77777777" w:rsidR="007540BD" w:rsidRPr="007C7258" w:rsidRDefault="007540BD" w:rsidP="007540BD">
      <w:pPr>
        <w:pStyle w:val="NoSpacing"/>
        <w:ind w:left="720"/>
        <w:rPr>
          <w:rFonts w:ascii="Times New Roman" w:hAnsi="Times New Roman"/>
          <w:b/>
          <w:bCs/>
          <w:sz w:val="24"/>
          <w:szCs w:val="24"/>
        </w:rPr>
      </w:pPr>
      <w:hyperlink r:id="rId1260" w:history="1">
        <w:r w:rsidRPr="007C7258">
          <w:rPr>
            <w:rStyle w:val="Hyperlink"/>
            <w:rFonts w:ascii="Times New Roman" w:hAnsi="Times New Roman"/>
            <w:b/>
            <w:sz w:val="24"/>
            <w:szCs w:val="24"/>
          </w:rPr>
          <w:t>https://public.fastcase.com/Wl%2B2t%2BeVuI35%2FN70vAMFZqIZGQiBixrRs%2FhIZFdJSEICCexWSoup5Rgc2fSfyUDA</w:t>
        </w:r>
      </w:hyperlink>
      <w:r w:rsidRPr="007C7258">
        <w:rPr>
          <w:rFonts w:ascii="Times New Roman" w:hAnsi="Times New Roman"/>
          <w:bCs/>
          <w:sz w:val="24"/>
          <w:szCs w:val="24"/>
        </w:rPr>
        <w:t xml:space="preserve"> </w:t>
      </w:r>
    </w:p>
    <w:p w14:paraId="21EFF389" w14:textId="77777777" w:rsidR="007540BD" w:rsidRPr="007C7258" w:rsidRDefault="007540BD" w:rsidP="007540BD">
      <w:pPr>
        <w:pStyle w:val="NoSpacing"/>
        <w:ind w:left="720"/>
        <w:rPr>
          <w:rFonts w:ascii="Times New Roman" w:hAnsi="Times New Roman"/>
          <w:b/>
          <w:bCs/>
          <w:sz w:val="24"/>
          <w:szCs w:val="24"/>
        </w:rPr>
      </w:pPr>
    </w:p>
    <w:p w14:paraId="0D5E8C70"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Note: “As of December 31, 2000, the CFD’s compulsory retirement age is 63 for firefighters. There is no current compulsory retirement age for paramedics.” </w:t>
      </w:r>
      <w:hyperlink r:id="rId1261" w:history="1">
        <w:r w:rsidRPr="007C7258">
          <w:rPr>
            <w:rStyle w:val="Hyperlink"/>
            <w:rFonts w:ascii="Times New Roman" w:hAnsi="Times New Roman"/>
            <w:b/>
            <w:sz w:val="24"/>
            <w:szCs w:val="24"/>
          </w:rPr>
          <w:t>https://www.fabf.org/PDF/SummaryOfBenefits.pdf</w:t>
        </w:r>
      </w:hyperlink>
    </w:p>
    <w:p w14:paraId="7F3E6AF7" w14:textId="77777777" w:rsidR="007540BD" w:rsidRPr="007C7258" w:rsidRDefault="007540BD" w:rsidP="007540BD">
      <w:pPr>
        <w:pStyle w:val="NoSpacing"/>
        <w:ind w:left="720"/>
        <w:rPr>
          <w:rFonts w:ascii="Times New Roman" w:hAnsi="Times New Roman"/>
          <w:b/>
          <w:bCs/>
          <w:sz w:val="24"/>
          <w:szCs w:val="24"/>
        </w:rPr>
      </w:pPr>
    </w:p>
    <w:p w14:paraId="7D3E9A7A" w14:textId="77777777" w:rsidR="007540BD" w:rsidRPr="007C7258" w:rsidRDefault="007540BD" w:rsidP="007540BD">
      <w:pPr>
        <w:pStyle w:val="NoSpacing"/>
        <w:rPr>
          <w:rFonts w:ascii="Times New Roman" w:hAnsi="Times New Roman"/>
          <w:b/>
          <w:bCs/>
          <w:sz w:val="24"/>
          <w:szCs w:val="24"/>
        </w:rPr>
      </w:pPr>
      <w:r w:rsidRPr="007C7258">
        <w:rPr>
          <w:rFonts w:ascii="Times New Roman" w:hAnsi="Times New Roman"/>
          <w:b/>
          <w:bCs/>
          <w:sz w:val="24"/>
          <w:szCs w:val="24"/>
        </w:rPr>
        <w:t xml:space="preserve">Legal Lessons Learned: </w:t>
      </w:r>
      <w:r>
        <w:rPr>
          <w:rFonts w:ascii="Times New Roman" w:hAnsi="Times New Roman"/>
          <w:b/>
          <w:bCs/>
          <w:sz w:val="24"/>
          <w:szCs w:val="24"/>
        </w:rPr>
        <w:t xml:space="preserve">A city ordinance mandating a </w:t>
      </w:r>
      <w:r w:rsidRPr="007C7258">
        <w:rPr>
          <w:rFonts w:ascii="Times New Roman" w:hAnsi="Times New Roman"/>
          <w:b/>
          <w:bCs/>
          <w:sz w:val="24"/>
          <w:szCs w:val="24"/>
        </w:rPr>
        <w:t xml:space="preserve">retirement age for firefighters does not violate the Age Discrimination in Employment Act of 1967, or the </w:t>
      </w:r>
      <w:r w:rsidRPr="007C7258">
        <w:rPr>
          <w:rFonts w:ascii="Times New Roman" w:eastAsia="Times New Roman" w:hAnsi="Times New Roman"/>
          <w:b/>
          <w:bCs/>
          <w:sz w:val="24"/>
          <w:szCs w:val="24"/>
        </w:rPr>
        <w:t>Lilly Ledbetter Fair Pay Act of 2009.</w:t>
      </w:r>
    </w:p>
    <w:p w14:paraId="19A820E4" w14:textId="77777777" w:rsidR="007540BD" w:rsidRDefault="007540BD" w:rsidP="00A06387">
      <w:pPr>
        <w:pStyle w:val="NoSpacing"/>
        <w:rPr>
          <w:rFonts w:ascii="Arial Black" w:hAnsi="Arial Black"/>
          <w:sz w:val="28"/>
          <w:szCs w:val="28"/>
        </w:rPr>
      </w:pPr>
    </w:p>
    <w:p w14:paraId="72A3C127" w14:textId="77777777" w:rsidR="007540BD" w:rsidRDefault="007540BD" w:rsidP="00A06387">
      <w:pPr>
        <w:pStyle w:val="NoSpacing"/>
        <w:rPr>
          <w:rFonts w:ascii="Arial Black" w:hAnsi="Arial Black"/>
          <w:sz w:val="28"/>
          <w:szCs w:val="28"/>
        </w:rPr>
      </w:pPr>
    </w:p>
    <w:p w14:paraId="2432ADEA" w14:textId="77777777" w:rsidR="007540BD" w:rsidRDefault="007540BD" w:rsidP="00A06387">
      <w:pPr>
        <w:pStyle w:val="NoSpacing"/>
        <w:rPr>
          <w:rFonts w:ascii="Arial Black" w:hAnsi="Arial Black"/>
          <w:sz w:val="28"/>
          <w:szCs w:val="28"/>
        </w:rPr>
      </w:pPr>
    </w:p>
    <w:p w14:paraId="33A2F0A2" w14:textId="0F35F633" w:rsidR="007540BD" w:rsidRDefault="007540BD" w:rsidP="00A06387">
      <w:pPr>
        <w:pStyle w:val="NoSpacing"/>
        <w:rPr>
          <w:rFonts w:ascii="Arial Black" w:hAnsi="Arial Black"/>
          <w:sz w:val="28"/>
          <w:szCs w:val="28"/>
        </w:rPr>
      </w:pPr>
      <w:r>
        <w:rPr>
          <w:rFonts w:ascii="Arial Black" w:hAnsi="Arial Black"/>
          <w:sz w:val="28"/>
          <w:szCs w:val="28"/>
        </w:rPr>
        <w:t>6-34</w:t>
      </w:r>
    </w:p>
    <w:p w14:paraId="7BC4ED62" w14:textId="4CD3CFB2" w:rsidR="007540BD" w:rsidRDefault="007540BD" w:rsidP="00A06387">
      <w:pPr>
        <w:pStyle w:val="NoSpacing"/>
        <w:rPr>
          <w:rFonts w:ascii="Arial Black" w:hAnsi="Arial Black"/>
          <w:sz w:val="28"/>
          <w:szCs w:val="28"/>
        </w:rPr>
      </w:pPr>
    </w:p>
    <w:p w14:paraId="7C603A6D" w14:textId="77777777" w:rsidR="007540BD" w:rsidRPr="00651DAF" w:rsidRDefault="007540BD" w:rsidP="007540BD">
      <w:pPr>
        <w:pStyle w:val="NoSpacing"/>
        <w:rPr>
          <w:rFonts w:ascii="Arial Black" w:hAnsi="Arial Black"/>
          <w:b/>
          <w:bCs/>
          <w:sz w:val="28"/>
          <w:szCs w:val="28"/>
        </w:rPr>
      </w:pPr>
      <w:r w:rsidRPr="00651DAF">
        <w:rPr>
          <w:rFonts w:ascii="Arial Black" w:hAnsi="Arial Black"/>
          <w:bCs/>
          <w:sz w:val="28"/>
          <w:szCs w:val="28"/>
        </w:rPr>
        <w:t xml:space="preserve">CT: </w:t>
      </w:r>
      <w:r>
        <w:rPr>
          <w:rFonts w:ascii="Arial Black" w:hAnsi="Arial Black"/>
          <w:bCs/>
          <w:sz w:val="28"/>
          <w:szCs w:val="28"/>
        </w:rPr>
        <w:t xml:space="preserve">RETIRED FF – WORKER’S COMP FOR HYPERTENSION – NOW CORONARY ARTERY DISEASE IS ALSO COVERED </w:t>
      </w:r>
    </w:p>
    <w:p w14:paraId="12AE5452" w14:textId="77777777" w:rsidR="007540BD" w:rsidRDefault="007540BD" w:rsidP="007540BD">
      <w:pPr>
        <w:pStyle w:val="NoSpacing"/>
        <w:rPr>
          <w:b/>
          <w:bCs/>
          <w:sz w:val="24"/>
          <w:szCs w:val="24"/>
        </w:rPr>
      </w:pPr>
    </w:p>
    <w:p w14:paraId="44E596D8" w14:textId="77777777" w:rsidR="007540BD" w:rsidRPr="00E0273B" w:rsidRDefault="007540BD" w:rsidP="007540BD">
      <w:pPr>
        <w:pStyle w:val="NoSpacing"/>
        <w:rPr>
          <w:rFonts w:ascii="Times New Roman" w:hAnsi="Times New Roman"/>
          <w:b/>
          <w:bCs/>
          <w:sz w:val="24"/>
          <w:szCs w:val="24"/>
        </w:rPr>
      </w:pPr>
      <w:r w:rsidRPr="00E0273B">
        <w:rPr>
          <w:rFonts w:ascii="Times New Roman" w:hAnsi="Times New Roman"/>
          <w:bCs/>
          <w:sz w:val="24"/>
          <w:szCs w:val="24"/>
        </w:rPr>
        <w:t xml:space="preserve">On March 10, 2020, in </w:t>
      </w:r>
      <w:r w:rsidRPr="00E0273B">
        <w:rPr>
          <w:rFonts w:ascii="Times New Roman" w:hAnsi="Times New Roman"/>
          <w:bCs/>
          <w:sz w:val="24"/>
          <w:szCs w:val="24"/>
          <w:u w:val="single"/>
        </w:rPr>
        <w:t>John Coughlin v. Stamford Fire Department, et al</w:t>
      </w:r>
      <w:r w:rsidRPr="00E0273B">
        <w:rPr>
          <w:rFonts w:ascii="Times New Roman" w:hAnsi="Times New Roman"/>
          <w:bCs/>
          <w:sz w:val="24"/>
          <w:szCs w:val="24"/>
        </w:rPr>
        <w:t xml:space="preserve">., the Supreme Court of Connecticut held (7 to 0) that a firefighter who had a compensable </w:t>
      </w:r>
      <w:proofErr w:type="gramStart"/>
      <w:r w:rsidRPr="00E0273B">
        <w:rPr>
          <w:rFonts w:ascii="Times New Roman" w:hAnsi="Times New Roman"/>
          <w:bCs/>
          <w:sz w:val="24"/>
          <w:szCs w:val="24"/>
        </w:rPr>
        <w:t>workers</w:t>
      </w:r>
      <w:proofErr w:type="gramEnd"/>
      <w:r w:rsidRPr="00E0273B">
        <w:rPr>
          <w:rFonts w:ascii="Times New Roman" w:hAnsi="Times New Roman"/>
          <w:bCs/>
          <w:sz w:val="24"/>
          <w:szCs w:val="24"/>
        </w:rPr>
        <w:t xml:space="preserve"> comp claim approved in 2011, and retired in 2013, is also covered for heart disease detected after his retirement. </w:t>
      </w:r>
    </w:p>
    <w:p w14:paraId="36D8BA21" w14:textId="77777777" w:rsidR="007540BD" w:rsidRDefault="007540BD" w:rsidP="007540BD">
      <w:pPr>
        <w:pStyle w:val="NoSpacing"/>
        <w:rPr>
          <w:b/>
          <w:bCs/>
          <w:sz w:val="24"/>
          <w:szCs w:val="24"/>
        </w:rPr>
      </w:pPr>
    </w:p>
    <w:p w14:paraId="56277D7C" w14:textId="43100AFC" w:rsidR="007540BD" w:rsidRDefault="007540BD" w:rsidP="007540BD">
      <w:pPr>
        <w:pStyle w:val="NoSpacing"/>
        <w:ind w:left="720"/>
        <w:rPr>
          <w:rFonts w:ascii="Times New Roman" w:hAnsi="Times New Roman"/>
          <w:bCs/>
          <w:sz w:val="24"/>
          <w:szCs w:val="24"/>
        </w:rPr>
      </w:pPr>
      <w:r w:rsidRPr="007C7258">
        <w:rPr>
          <w:rFonts w:ascii="Times New Roman" w:hAnsi="Times New Roman"/>
          <w:bCs/>
          <w:sz w:val="24"/>
          <w:szCs w:val="24"/>
        </w:rPr>
        <w:t>“The plaintiff responds that his heart disease claim was timely because it flowed from his compensable claim for hypertension, and neither a plain reading of § 7-433c nor this court’s interpretation of that statute requires</w:t>
      </w:r>
    </w:p>
    <w:p w14:paraId="4405D616" w14:textId="77777777" w:rsidR="007540BD" w:rsidRDefault="007540BD" w:rsidP="007540BD">
      <w:pPr>
        <w:pStyle w:val="NoSpacing"/>
        <w:ind w:left="720"/>
        <w:rPr>
          <w:rFonts w:ascii="Times New Roman" w:hAnsi="Times New Roman"/>
          <w:bCs/>
          <w:sz w:val="24"/>
          <w:szCs w:val="24"/>
        </w:rPr>
      </w:pPr>
      <w:r w:rsidRPr="007C7258">
        <w:rPr>
          <w:rFonts w:ascii="Times New Roman" w:hAnsi="Times New Roman"/>
          <w:bCs/>
          <w:sz w:val="24"/>
          <w:szCs w:val="24"/>
        </w:rPr>
        <w:t xml:space="preserve">hypertension and heart disease to be treated as separate diseases when they are causally related. We agree with the plaintiff and, accordingly, affirm the decision of the board. </w:t>
      </w:r>
    </w:p>
    <w:p w14:paraId="2EF2F43E" w14:textId="77777777" w:rsidR="007540BD" w:rsidRDefault="007540BD" w:rsidP="007540BD">
      <w:pPr>
        <w:pStyle w:val="NoSpacing"/>
        <w:ind w:firstLine="720"/>
        <w:rPr>
          <w:rFonts w:ascii="Times New Roman" w:hAnsi="Times New Roman"/>
          <w:bCs/>
          <w:sz w:val="24"/>
          <w:szCs w:val="24"/>
        </w:rPr>
      </w:pPr>
    </w:p>
    <w:p w14:paraId="3990B7BB" w14:textId="77777777" w:rsidR="007540BD" w:rsidRPr="007C7258" w:rsidRDefault="007540BD" w:rsidP="007540BD">
      <w:pPr>
        <w:pStyle w:val="NoSpacing"/>
        <w:ind w:firstLine="720"/>
        <w:rPr>
          <w:rFonts w:ascii="Times New Roman" w:hAnsi="Times New Roman"/>
          <w:b/>
          <w:bCs/>
          <w:sz w:val="24"/>
          <w:szCs w:val="24"/>
        </w:rPr>
      </w:pPr>
      <w:r w:rsidRPr="007C7258">
        <w:rPr>
          <w:rFonts w:ascii="Times New Roman" w:hAnsi="Times New Roman"/>
          <w:bCs/>
          <w:sz w:val="24"/>
          <w:szCs w:val="24"/>
        </w:rPr>
        <w:t>***</w:t>
      </w:r>
    </w:p>
    <w:p w14:paraId="7FE5462A" w14:textId="77777777" w:rsidR="007540BD" w:rsidRPr="007C7258" w:rsidRDefault="007540BD" w:rsidP="007540BD">
      <w:pPr>
        <w:pStyle w:val="NoSpacing"/>
        <w:rPr>
          <w:rFonts w:ascii="Times New Roman" w:hAnsi="Times New Roman"/>
          <w:b/>
          <w:bCs/>
          <w:sz w:val="24"/>
          <w:szCs w:val="24"/>
        </w:rPr>
      </w:pPr>
    </w:p>
    <w:p w14:paraId="19C1B32B"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It follows that a claim for a heart disease that occurred after an initial compensable claim for hypertension pursuant to § 7-433c may qualify for benefits without the need to file a new notice of claim, </w:t>
      </w:r>
      <w:proofErr w:type="gramStart"/>
      <w:r w:rsidRPr="007C7258">
        <w:rPr>
          <w:rFonts w:ascii="Times New Roman" w:hAnsi="Times New Roman"/>
          <w:bCs/>
          <w:sz w:val="24"/>
          <w:szCs w:val="24"/>
        </w:rPr>
        <w:t>as long as</w:t>
      </w:r>
      <w:proofErr w:type="gramEnd"/>
      <w:r w:rsidRPr="007C7258">
        <w:rPr>
          <w:rFonts w:ascii="Times New Roman" w:hAnsi="Times New Roman"/>
          <w:bCs/>
          <w:sz w:val="24"/>
          <w:szCs w:val="24"/>
        </w:rPr>
        <w:t xml:space="preserve"> there is a causal connection between the two injuries, as required by the act.</w:t>
      </w:r>
    </w:p>
    <w:p w14:paraId="3703407A" w14:textId="77777777" w:rsidR="007540BD" w:rsidRPr="007C7258" w:rsidRDefault="007540BD" w:rsidP="007540BD">
      <w:pPr>
        <w:pStyle w:val="NoSpacing"/>
        <w:ind w:firstLine="720"/>
        <w:rPr>
          <w:rFonts w:ascii="Times New Roman" w:hAnsi="Times New Roman"/>
          <w:b/>
          <w:bCs/>
          <w:sz w:val="24"/>
          <w:szCs w:val="24"/>
        </w:rPr>
      </w:pPr>
      <w:hyperlink r:id="rId1262" w:history="1">
        <w:r w:rsidRPr="007C7258">
          <w:rPr>
            <w:rStyle w:val="Hyperlink"/>
            <w:rFonts w:ascii="Times New Roman" w:hAnsi="Times New Roman"/>
            <w:b/>
            <w:sz w:val="24"/>
            <w:szCs w:val="24"/>
          </w:rPr>
          <w:t>https://www.jud.ct.gov/external/supapp/Cases/AROcr/CR334/334CR12.pdf</w:t>
        </w:r>
      </w:hyperlink>
      <w:r w:rsidRPr="007C7258">
        <w:rPr>
          <w:rFonts w:ascii="Times New Roman" w:hAnsi="Times New Roman"/>
          <w:bCs/>
          <w:sz w:val="24"/>
          <w:szCs w:val="24"/>
        </w:rPr>
        <w:t xml:space="preserve"> </w:t>
      </w:r>
    </w:p>
    <w:p w14:paraId="74D3CCAF" w14:textId="6D5823C3" w:rsidR="007540BD" w:rsidRDefault="007540BD" w:rsidP="00A06387">
      <w:pPr>
        <w:pStyle w:val="NoSpacing"/>
        <w:rPr>
          <w:rFonts w:ascii="Arial Black" w:hAnsi="Arial Black"/>
          <w:sz w:val="28"/>
          <w:szCs w:val="28"/>
        </w:rPr>
      </w:pPr>
    </w:p>
    <w:p w14:paraId="432E327A" w14:textId="77777777" w:rsidR="007540BD" w:rsidRPr="007C7258" w:rsidRDefault="007540BD" w:rsidP="007540BD">
      <w:pPr>
        <w:spacing w:before="100" w:beforeAutospacing="1" w:after="100" w:afterAutospacing="1" w:line="240" w:lineRule="auto"/>
        <w:rPr>
          <w:rFonts w:ascii="Times New Roman" w:eastAsia="Times New Roman" w:hAnsi="Times New Roman"/>
          <w:b/>
          <w:bCs/>
          <w:sz w:val="24"/>
          <w:szCs w:val="24"/>
        </w:rPr>
      </w:pPr>
      <w:r w:rsidRPr="007C7258">
        <w:rPr>
          <w:rFonts w:ascii="Times New Roman" w:eastAsia="Times New Roman" w:hAnsi="Times New Roman"/>
          <w:b/>
          <w:bCs/>
          <w:sz w:val="24"/>
          <w:szCs w:val="24"/>
        </w:rPr>
        <w:t xml:space="preserve">Legal Lessons Learned:  A helpful decision that makes lots of sense; clear relationship between hypertension and </w:t>
      </w:r>
      <w:r>
        <w:rPr>
          <w:rFonts w:ascii="Times New Roman" w:eastAsia="Times New Roman" w:hAnsi="Times New Roman"/>
          <w:b/>
          <w:bCs/>
          <w:sz w:val="24"/>
          <w:szCs w:val="24"/>
        </w:rPr>
        <w:t xml:space="preserve">later having </w:t>
      </w:r>
      <w:r w:rsidRPr="007C7258">
        <w:rPr>
          <w:rFonts w:ascii="Times New Roman" w:eastAsia="Times New Roman" w:hAnsi="Times New Roman"/>
          <w:b/>
          <w:bCs/>
          <w:sz w:val="24"/>
          <w:szCs w:val="24"/>
        </w:rPr>
        <w:t>coronary heart disease.</w:t>
      </w:r>
    </w:p>
    <w:p w14:paraId="6960D73D" w14:textId="77777777" w:rsidR="007540BD" w:rsidRDefault="007540BD" w:rsidP="00A06387">
      <w:pPr>
        <w:pStyle w:val="NoSpacing"/>
        <w:rPr>
          <w:rFonts w:ascii="Arial Black" w:hAnsi="Arial Black"/>
          <w:sz w:val="28"/>
          <w:szCs w:val="28"/>
        </w:rPr>
      </w:pPr>
    </w:p>
    <w:p w14:paraId="60BBE562" w14:textId="77777777" w:rsidR="007540BD" w:rsidRDefault="007540BD" w:rsidP="00A06387">
      <w:pPr>
        <w:pStyle w:val="NoSpacing"/>
        <w:rPr>
          <w:rFonts w:ascii="Arial Black" w:hAnsi="Arial Black"/>
          <w:sz w:val="28"/>
          <w:szCs w:val="28"/>
        </w:rPr>
      </w:pPr>
    </w:p>
    <w:p w14:paraId="0313E65B" w14:textId="0CF65231" w:rsidR="00663160" w:rsidRDefault="00997329" w:rsidP="00A06387">
      <w:pPr>
        <w:pStyle w:val="NoSpacing"/>
        <w:rPr>
          <w:rFonts w:ascii="Arial Black" w:hAnsi="Arial Black"/>
          <w:sz w:val="28"/>
          <w:szCs w:val="28"/>
        </w:rPr>
      </w:pPr>
      <w:r>
        <w:rPr>
          <w:rFonts w:ascii="Arial Black" w:hAnsi="Arial Black"/>
          <w:sz w:val="28"/>
          <w:szCs w:val="28"/>
        </w:rPr>
        <w:t>6-33</w:t>
      </w:r>
    </w:p>
    <w:p w14:paraId="5561702C" w14:textId="16193B9A" w:rsidR="00997329" w:rsidRDefault="00997329" w:rsidP="00A06387">
      <w:pPr>
        <w:pStyle w:val="NoSpacing"/>
        <w:rPr>
          <w:rFonts w:ascii="Arial Black" w:hAnsi="Arial Black"/>
          <w:sz w:val="28"/>
          <w:szCs w:val="28"/>
        </w:rPr>
      </w:pPr>
    </w:p>
    <w:p w14:paraId="214B212A" w14:textId="77777777" w:rsidR="00997329" w:rsidRPr="00455FEE" w:rsidRDefault="00997329" w:rsidP="00997329">
      <w:pPr>
        <w:pStyle w:val="NoSpacing"/>
        <w:rPr>
          <w:rFonts w:ascii="Arial Black" w:hAnsi="Arial Black"/>
          <w:sz w:val="28"/>
          <w:szCs w:val="28"/>
        </w:rPr>
      </w:pPr>
      <w:r w:rsidRPr="00455FEE">
        <w:rPr>
          <w:rFonts w:ascii="Arial Black" w:hAnsi="Arial Black"/>
          <w:sz w:val="28"/>
          <w:szCs w:val="28"/>
        </w:rPr>
        <w:t xml:space="preserve">LA: </w:t>
      </w:r>
      <w:r>
        <w:rPr>
          <w:rFonts w:ascii="Arial Black" w:hAnsi="Arial Black"/>
          <w:sz w:val="28"/>
          <w:szCs w:val="28"/>
        </w:rPr>
        <w:t xml:space="preserve">RIDING OUT-OF-RANK – INJUNCTION UPHELD - FD MAY NOT THREATEN FF WITH DISCIPLINE FOR REFUSING </w:t>
      </w:r>
    </w:p>
    <w:p w14:paraId="5A43FAFC" w14:textId="77777777" w:rsidR="00997329" w:rsidRPr="00465FB3" w:rsidRDefault="00997329" w:rsidP="00997329">
      <w:pPr>
        <w:spacing w:before="100" w:beforeAutospacing="1" w:after="100" w:afterAutospacing="1" w:line="240" w:lineRule="auto"/>
        <w:rPr>
          <w:rFonts w:ascii="Times New Roman" w:eastAsia="Times New Roman" w:hAnsi="Times New Roman"/>
          <w:sz w:val="24"/>
          <w:szCs w:val="24"/>
        </w:rPr>
      </w:pPr>
      <w:r w:rsidRPr="00465FB3">
        <w:rPr>
          <w:rFonts w:ascii="Times New Roman" w:eastAsia="Times New Roman" w:hAnsi="Times New Roman"/>
          <w:sz w:val="24"/>
          <w:szCs w:val="24"/>
        </w:rPr>
        <w:t xml:space="preserve">On March 4, 2020, in </w:t>
      </w:r>
      <w:r w:rsidRPr="00465FB3">
        <w:rPr>
          <w:rFonts w:ascii="Times New Roman" w:eastAsia="Times New Roman" w:hAnsi="Times New Roman"/>
          <w:sz w:val="24"/>
          <w:szCs w:val="24"/>
          <w:u w:val="single"/>
        </w:rPr>
        <w:t>Brian Drumm, et al. v. City of Kenner</w:t>
      </w:r>
      <w:r w:rsidRPr="00465FB3">
        <w:rPr>
          <w:rFonts w:ascii="Times New Roman" w:eastAsia="Times New Roman" w:hAnsi="Times New Roman"/>
          <w:sz w:val="24"/>
          <w:szCs w:val="24"/>
        </w:rPr>
        <w:t>, the Fifth Circuit Court of Appeals of Louisiana upheld (2 to 1) the trial court’s injunction.</w:t>
      </w:r>
    </w:p>
    <w:p w14:paraId="611040D6" w14:textId="4B39DEE1" w:rsidR="00997329" w:rsidRDefault="00997329" w:rsidP="00997329">
      <w:pPr>
        <w:pStyle w:val="NoSpacing"/>
        <w:ind w:left="720"/>
        <w:rPr>
          <w:rStyle w:val="Hyperlink"/>
          <w:rFonts w:ascii="Times New Roman" w:hAnsi="Times New Roman"/>
          <w:bCs/>
          <w:sz w:val="24"/>
          <w:szCs w:val="24"/>
        </w:rPr>
      </w:pPr>
      <w:r w:rsidRPr="00465FB3">
        <w:rPr>
          <w:rFonts w:ascii="Times New Roman" w:hAnsi="Times New Roman"/>
          <w:bCs/>
          <w:sz w:val="24"/>
          <w:szCs w:val="24"/>
        </w:rPr>
        <w:t xml:space="preserve">“Kenner’s position, that the Fire Chief may force persons to work jobs outside their class against their will under threat of disciplinary action denies the existence of a voluntary, contractual agreement of employment in which both parties may freely negotiate their duties and responsibilities. Recognizing that plaintiffs’ employment with Kenner is a voluntary, contractual agreement, we conclude that the ‘appointment’ referenced in La. R.S. 33:2496 is </w:t>
      </w:r>
      <w:proofErr w:type="gramStart"/>
      <w:r w:rsidRPr="00465FB3">
        <w:rPr>
          <w:rFonts w:ascii="Times New Roman" w:hAnsi="Times New Roman"/>
          <w:bCs/>
          <w:sz w:val="24"/>
          <w:szCs w:val="24"/>
        </w:rPr>
        <w:t>in the nature of an</w:t>
      </w:r>
      <w:proofErr w:type="gramEnd"/>
      <w:r w:rsidRPr="00465FB3">
        <w:rPr>
          <w:rFonts w:ascii="Times New Roman" w:hAnsi="Times New Roman"/>
          <w:bCs/>
          <w:sz w:val="24"/>
          <w:szCs w:val="24"/>
        </w:rPr>
        <w:t xml:space="preserve"> offer and acceptance of employment. Forcing an employee to work out of class against his will under threat of discipline or other employment action is an unlawful act, and therefore plaintiffs were not required to show irreparable harm. Accordingly, we find Kenner’s argument that the district court legally erred in granting the preliminary injunction is without merit. </w:t>
      </w:r>
      <w:hyperlink r:id="rId1263" w:history="1">
        <w:r w:rsidRPr="00465FB3">
          <w:rPr>
            <w:rStyle w:val="Hyperlink"/>
            <w:rFonts w:ascii="Times New Roman" w:hAnsi="Times New Roman"/>
            <w:bCs/>
            <w:sz w:val="24"/>
            <w:szCs w:val="24"/>
          </w:rPr>
          <w:t>http://www.fifthcircuit.org/dmzdocs/OI/PO/2020/54FCDF86-AA62-4720-B56D-B5FDC85663B0.pdf</w:t>
        </w:r>
      </w:hyperlink>
    </w:p>
    <w:p w14:paraId="092731D0" w14:textId="77777777" w:rsidR="00997329" w:rsidRDefault="00997329" w:rsidP="00997329">
      <w:pPr>
        <w:pStyle w:val="NoSpacing"/>
        <w:rPr>
          <w:rFonts w:ascii="Times New Roman" w:hAnsi="Times New Roman"/>
          <w:b/>
          <w:bCs/>
          <w:sz w:val="24"/>
          <w:szCs w:val="24"/>
        </w:rPr>
      </w:pPr>
    </w:p>
    <w:p w14:paraId="4E36EDF7" w14:textId="2D5AA2E0" w:rsidR="00997329" w:rsidRPr="00465FB3" w:rsidRDefault="00997329" w:rsidP="00997329">
      <w:pPr>
        <w:pStyle w:val="NoSpacing"/>
        <w:rPr>
          <w:rFonts w:ascii="Times New Roman" w:hAnsi="Times New Roman"/>
          <w:b/>
          <w:bCs/>
          <w:sz w:val="24"/>
          <w:szCs w:val="24"/>
        </w:rPr>
      </w:pPr>
      <w:r w:rsidRPr="00465FB3">
        <w:rPr>
          <w:rFonts w:ascii="Times New Roman" w:hAnsi="Times New Roman"/>
          <w:b/>
          <w:bCs/>
          <w:sz w:val="24"/>
          <w:szCs w:val="24"/>
        </w:rPr>
        <w:t>Legal Lessons Learned:  Riding-out-rank is quite common in career FDs and is obviously a method to reduce overtime costs. The Court noted this testimony:  “The interim Fire Chief testified that when he needed a captain for a shift, he did not ask already qualified captains to step in temporarily because paying them overtime is more expensive than paying lower ranked employees an extra $1.16/hour to work out of class.”</w:t>
      </w:r>
    </w:p>
    <w:p w14:paraId="2C53FE97" w14:textId="77777777" w:rsidR="00997329" w:rsidRPr="00465FB3" w:rsidRDefault="00997329" w:rsidP="00997329">
      <w:pPr>
        <w:pStyle w:val="NoSpacing"/>
        <w:ind w:left="720"/>
        <w:rPr>
          <w:rFonts w:ascii="Times New Roman" w:hAnsi="Times New Roman"/>
          <w:sz w:val="24"/>
          <w:szCs w:val="24"/>
        </w:rPr>
      </w:pPr>
    </w:p>
    <w:p w14:paraId="06282C44" w14:textId="77777777" w:rsidR="00997329" w:rsidRDefault="00997329" w:rsidP="00997329">
      <w:pPr>
        <w:pStyle w:val="NoSpacing"/>
        <w:rPr>
          <w:rFonts w:ascii="Arial Black" w:hAnsi="Arial Black"/>
          <w:sz w:val="28"/>
          <w:szCs w:val="28"/>
        </w:rPr>
      </w:pPr>
    </w:p>
    <w:p w14:paraId="03EADC05" w14:textId="77777777" w:rsidR="00997329" w:rsidRDefault="00997329" w:rsidP="00A06387">
      <w:pPr>
        <w:pStyle w:val="NoSpacing"/>
        <w:rPr>
          <w:rFonts w:ascii="Arial Black" w:hAnsi="Arial Black"/>
          <w:sz w:val="28"/>
          <w:szCs w:val="28"/>
        </w:rPr>
      </w:pPr>
    </w:p>
    <w:p w14:paraId="0365AE14" w14:textId="19F5C09C" w:rsidR="00663160" w:rsidRDefault="00663160" w:rsidP="00A06387">
      <w:pPr>
        <w:pStyle w:val="NoSpacing"/>
        <w:rPr>
          <w:rFonts w:ascii="Arial Black" w:hAnsi="Arial Black"/>
          <w:sz w:val="28"/>
          <w:szCs w:val="28"/>
        </w:rPr>
      </w:pPr>
      <w:r>
        <w:rPr>
          <w:rFonts w:ascii="Arial Black" w:hAnsi="Arial Black"/>
          <w:sz w:val="28"/>
          <w:szCs w:val="28"/>
        </w:rPr>
        <w:t>6-32</w:t>
      </w:r>
    </w:p>
    <w:p w14:paraId="53A88647" w14:textId="77777777" w:rsidR="00663160" w:rsidRDefault="00663160" w:rsidP="00A06387">
      <w:pPr>
        <w:pStyle w:val="NoSpacing"/>
        <w:rPr>
          <w:rFonts w:ascii="Arial Black" w:hAnsi="Arial Black"/>
          <w:sz w:val="28"/>
          <w:szCs w:val="28"/>
        </w:rPr>
      </w:pPr>
    </w:p>
    <w:p w14:paraId="47E311C1" w14:textId="77777777" w:rsidR="00997329" w:rsidRPr="00D7391F" w:rsidRDefault="00997329" w:rsidP="00997329">
      <w:pPr>
        <w:pStyle w:val="NoSpacing"/>
        <w:rPr>
          <w:rFonts w:ascii="Arial Black" w:hAnsi="Arial Black"/>
          <w:sz w:val="28"/>
          <w:szCs w:val="28"/>
        </w:rPr>
      </w:pPr>
      <w:r w:rsidRPr="00D7391F">
        <w:rPr>
          <w:rFonts w:ascii="Arial Black" w:hAnsi="Arial Black"/>
          <w:sz w:val="28"/>
          <w:szCs w:val="28"/>
        </w:rPr>
        <w:t>NC</w:t>
      </w:r>
      <w:r>
        <w:rPr>
          <w:rFonts w:ascii="Arial Black" w:hAnsi="Arial Black"/>
          <w:sz w:val="28"/>
          <w:szCs w:val="28"/>
        </w:rPr>
        <w:t>:  FIREFIGHTER / ALSO FD BOARD MEMBER – OPPOSED NEW AERIAL - FIRED – FREE SPEECH LAWSUIT TO PROCEED</w:t>
      </w:r>
    </w:p>
    <w:p w14:paraId="6D2CFDBD" w14:textId="77777777" w:rsidR="00997329" w:rsidRPr="00465FB3" w:rsidRDefault="00997329" w:rsidP="00997329">
      <w:pPr>
        <w:spacing w:before="100" w:beforeAutospacing="1" w:after="100" w:afterAutospacing="1" w:line="240" w:lineRule="auto"/>
        <w:rPr>
          <w:rFonts w:ascii="Times New Roman" w:eastAsia="Times New Roman" w:hAnsi="Times New Roman"/>
          <w:sz w:val="24"/>
          <w:szCs w:val="24"/>
        </w:rPr>
      </w:pPr>
      <w:r w:rsidRPr="00465FB3">
        <w:rPr>
          <w:rFonts w:ascii="Times New Roman" w:eastAsia="Times New Roman" w:hAnsi="Times New Roman"/>
          <w:sz w:val="24"/>
          <w:szCs w:val="24"/>
        </w:rPr>
        <w:t xml:space="preserve">On March 2, 2020, in </w:t>
      </w:r>
      <w:r w:rsidRPr="00465FB3">
        <w:rPr>
          <w:rFonts w:ascii="Times New Roman" w:eastAsia="Times New Roman" w:hAnsi="Times New Roman"/>
          <w:sz w:val="24"/>
          <w:szCs w:val="24"/>
          <w:u w:val="single"/>
        </w:rPr>
        <w:t xml:space="preserve">Michael Cole v. Andrew Weatherman &amp; Lake Norman Volunteer Fire </w:t>
      </w:r>
      <w:proofErr w:type="gramStart"/>
      <w:r w:rsidRPr="00465FB3">
        <w:rPr>
          <w:rFonts w:ascii="Times New Roman" w:eastAsia="Times New Roman" w:hAnsi="Times New Roman"/>
          <w:sz w:val="24"/>
          <w:szCs w:val="24"/>
          <w:u w:val="single"/>
        </w:rPr>
        <w:t>And</w:t>
      </w:r>
      <w:proofErr w:type="gramEnd"/>
      <w:r w:rsidRPr="00465FB3">
        <w:rPr>
          <w:rFonts w:ascii="Times New Roman" w:eastAsia="Times New Roman" w:hAnsi="Times New Roman"/>
          <w:sz w:val="24"/>
          <w:szCs w:val="24"/>
          <w:u w:val="single"/>
        </w:rPr>
        <w:t xml:space="preserve"> Rescue Department</w:t>
      </w:r>
      <w:r w:rsidRPr="00465FB3">
        <w:rPr>
          <w:rFonts w:ascii="Times New Roman" w:eastAsia="Times New Roman" w:hAnsi="Times New Roman"/>
          <w:sz w:val="24"/>
          <w:szCs w:val="24"/>
        </w:rPr>
        <w:t xml:space="preserve">, et al., U.S. District Court Judge Kenneth D. Ball, Western District of North Carolina (Statesville Division) held that the lawsuit may proceed; plaintiff was one of 20 paid firefighters on this “volunteer” fire department. </w:t>
      </w:r>
    </w:p>
    <w:p w14:paraId="1FEB7762" w14:textId="36A0BDB8" w:rsidR="00997329" w:rsidRPr="00465FB3" w:rsidRDefault="00997329" w:rsidP="00997329">
      <w:pPr>
        <w:spacing w:before="100" w:beforeAutospacing="1" w:after="100" w:afterAutospacing="1" w:line="240" w:lineRule="auto"/>
        <w:ind w:left="720"/>
        <w:rPr>
          <w:rFonts w:ascii="Times New Roman" w:eastAsia="Times New Roman" w:hAnsi="Times New Roman"/>
          <w:sz w:val="24"/>
          <w:szCs w:val="24"/>
        </w:rPr>
      </w:pPr>
      <w:r w:rsidRPr="00465FB3">
        <w:rPr>
          <w:rFonts w:ascii="Times New Roman" w:eastAsia="Times New Roman" w:hAnsi="Times New Roman"/>
          <w:sz w:val="24"/>
          <w:szCs w:val="24"/>
        </w:rPr>
        <w:t xml:space="preserve">“Defendants contend that Plaintiff's free speech claim fails because he was speaking as an employee on an internal LKNVFD[Lake Norman Volunteer Fire &amp; Rescue Department] matter. The Court disagrees. Plaintiff's Amended Complaint alleges that he was a member of ‘the statutorily authorized commission of the fire protection district, which administered the taxes levied for and appropriated to it by the County.’ (Doc. No. 13, at ¶ 11). This Board is comprised of employees and volunteers of the LKNVFD as well as members of the community at large. </w:t>
      </w:r>
      <w:r w:rsidRPr="00465FB3">
        <w:rPr>
          <w:rFonts w:ascii="Times New Roman" w:eastAsia="Times New Roman" w:hAnsi="Times New Roman"/>
          <w:i/>
          <w:iCs/>
          <w:sz w:val="24"/>
          <w:szCs w:val="24"/>
        </w:rPr>
        <w:t>Id</w:t>
      </w:r>
      <w:r w:rsidRPr="00465FB3">
        <w:rPr>
          <w:rFonts w:ascii="Times New Roman" w:eastAsia="Times New Roman" w:hAnsi="Times New Roman"/>
          <w:sz w:val="24"/>
          <w:szCs w:val="24"/>
        </w:rPr>
        <w:t xml:space="preserve">. Even though Plaintiff was an employee of LKNVFD, Plaintiff alleges that his statements opposing the purchase of the new truck were made as a citizen duly elected to the board and not as a firefighter exercising his job duties as an employee of LKNVFD. His comments on the wasteful expenditure of public money appropriated from a special tax levy on property in the fire protection district are adequately alleged to be a public matter, not purely an internal employment issue. </w:t>
      </w:r>
      <w:r w:rsidRPr="00465FB3">
        <w:rPr>
          <w:rFonts w:ascii="Times New Roman" w:eastAsia="Times New Roman" w:hAnsi="Times New Roman"/>
          <w:i/>
          <w:iCs/>
          <w:sz w:val="24"/>
          <w:szCs w:val="24"/>
        </w:rPr>
        <w:t>See Pickering v</w:t>
      </w:r>
      <w:r w:rsidRPr="00465FB3">
        <w:rPr>
          <w:rFonts w:ascii="Times New Roman" w:eastAsia="Times New Roman" w:hAnsi="Times New Roman"/>
          <w:sz w:val="24"/>
          <w:szCs w:val="24"/>
        </w:rPr>
        <w:t xml:space="preserve">. </w:t>
      </w:r>
      <w:r w:rsidRPr="00465FB3">
        <w:rPr>
          <w:rFonts w:ascii="Times New Roman" w:eastAsia="Times New Roman" w:hAnsi="Times New Roman"/>
          <w:i/>
          <w:iCs/>
          <w:sz w:val="24"/>
          <w:szCs w:val="24"/>
        </w:rPr>
        <w:t>Bd</w:t>
      </w:r>
      <w:r w:rsidRPr="00465FB3">
        <w:rPr>
          <w:rFonts w:ascii="Times New Roman" w:eastAsia="Times New Roman" w:hAnsi="Times New Roman"/>
          <w:sz w:val="24"/>
          <w:szCs w:val="24"/>
        </w:rPr>
        <w:t xml:space="preserve">. </w:t>
      </w:r>
      <w:r w:rsidRPr="00465FB3">
        <w:rPr>
          <w:rFonts w:ascii="Times New Roman" w:eastAsia="Times New Roman" w:hAnsi="Times New Roman"/>
          <w:i/>
          <w:iCs/>
          <w:sz w:val="24"/>
          <w:szCs w:val="24"/>
        </w:rPr>
        <w:t>of Educ</w:t>
      </w:r>
      <w:r w:rsidRPr="00465FB3">
        <w:rPr>
          <w:rFonts w:ascii="Times New Roman" w:eastAsia="Times New Roman" w:hAnsi="Times New Roman"/>
          <w:sz w:val="24"/>
          <w:szCs w:val="24"/>
        </w:rPr>
        <w:t xml:space="preserve">., 391 U.S. 563, (1968) (holding that a teacher's concerns about a school board's use of tax dollars was a matter of public concern); </w:t>
      </w:r>
      <w:proofErr w:type="spellStart"/>
      <w:r w:rsidRPr="00465FB3">
        <w:rPr>
          <w:rFonts w:ascii="Times New Roman" w:eastAsia="Times New Roman" w:hAnsi="Times New Roman"/>
          <w:i/>
          <w:iCs/>
          <w:sz w:val="24"/>
          <w:szCs w:val="24"/>
        </w:rPr>
        <w:t>Urofsky</w:t>
      </w:r>
      <w:proofErr w:type="spellEnd"/>
      <w:r w:rsidRPr="00465FB3">
        <w:rPr>
          <w:rFonts w:ascii="Times New Roman" w:eastAsia="Times New Roman" w:hAnsi="Times New Roman"/>
          <w:i/>
          <w:iCs/>
          <w:sz w:val="24"/>
          <w:szCs w:val="24"/>
        </w:rPr>
        <w:t xml:space="preserve"> v</w:t>
      </w:r>
      <w:r w:rsidRPr="00465FB3">
        <w:rPr>
          <w:rFonts w:ascii="Times New Roman" w:eastAsia="Times New Roman" w:hAnsi="Times New Roman"/>
          <w:sz w:val="24"/>
          <w:szCs w:val="24"/>
        </w:rPr>
        <w:t xml:space="preserve">. </w:t>
      </w:r>
      <w:r w:rsidRPr="00465FB3">
        <w:rPr>
          <w:rFonts w:ascii="Times New Roman" w:eastAsia="Times New Roman" w:hAnsi="Times New Roman"/>
          <w:i/>
          <w:iCs/>
          <w:sz w:val="24"/>
          <w:szCs w:val="24"/>
        </w:rPr>
        <w:t>Gilmore</w:t>
      </w:r>
      <w:r w:rsidRPr="00465FB3">
        <w:rPr>
          <w:rFonts w:ascii="Times New Roman" w:eastAsia="Times New Roman" w:hAnsi="Times New Roman"/>
          <w:sz w:val="24"/>
          <w:szCs w:val="24"/>
        </w:rPr>
        <w:t>, 216 F.3d 401, 406-07 (4th Cir. 2000) (</w:t>
      </w:r>
      <w:proofErr w:type="spellStart"/>
      <w:r w:rsidRPr="00465FB3">
        <w:rPr>
          <w:rFonts w:ascii="Times New Roman" w:eastAsia="Times New Roman" w:hAnsi="Times New Roman"/>
          <w:sz w:val="24"/>
          <w:szCs w:val="24"/>
        </w:rPr>
        <w:t>en</w:t>
      </w:r>
      <w:proofErr w:type="spellEnd"/>
      <w:r w:rsidRPr="00465FB3">
        <w:rPr>
          <w:rFonts w:ascii="Times New Roman" w:eastAsia="Times New Roman" w:hAnsi="Times New Roman"/>
          <w:sz w:val="24"/>
          <w:szCs w:val="24"/>
        </w:rPr>
        <w:t xml:space="preserve"> banc) (noting speech upon matters of ‘social, political, or other interest to a community’ is protected under the First Amendment). </w:t>
      </w:r>
      <w:hyperlink r:id="rId1264" w:history="1">
        <w:r w:rsidRPr="00465FB3">
          <w:rPr>
            <w:rStyle w:val="Hyperlink"/>
            <w:rFonts w:ascii="Times New Roman" w:eastAsia="Times New Roman" w:hAnsi="Times New Roman"/>
            <w:sz w:val="24"/>
            <w:szCs w:val="24"/>
          </w:rPr>
          <w:t>https://public.fastcase.com/Wl%2B2t%2BeVuI35%2FN70vAMFZnbY8dI3hkArUDoxTqO4WI%2Fa6TeM7CmZuz1%2Ftkv0oKJ0</w:t>
        </w:r>
      </w:hyperlink>
      <w:r w:rsidRPr="00465FB3">
        <w:rPr>
          <w:rFonts w:ascii="Times New Roman" w:eastAsia="Times New Roman" w:hAnsi="Times New Roman"/>
          <w:sz w:val="24"/>
          <w:szCs w:val="24"/>
        </w:rPr>
        <w:t xml:space="preserve"> </w:t>
      </w:r>
    </w:p>
    <w:p w14:paraId="79F275FA" w14:textId="77777777" w:rsidR="00997329" w:rsidRPr="00465FB3" w:rsidRDefault="00997329" w:rsidP="00997329">
      <w:pPr>
        <w:pStyle w:val="NoSpacing"/>
        <w:rPr>
          <w:rFonts w:ascii="Times New Roman" w:hAnsi="Times New Roman"/>
          <w:b/>
          <w:bCs/>
          <w:sz w:val="24"/>
          <w:szCs w:val="24"/>
        </w:rPr>
      </w:pPr>
      <w:r w:rsidRPr="00465FB3">
        <w:rPr>
          <w:rFonts w:ascii="Times New Roman" w:hAnsi="Times New Roman"/>
          <w:b/>
          <w:bCs/>
          <w:sz w:val="24"/>
          <w:szCs w:val="24"/>
        </w:rPr>
        <w:t xml:space="preserve">Legal Lessons Learned: Another decision reviewing the U.S. Supreme Court’s “balancing test.”  FD </w:t>
      </w:r>
      <w:proofErr w:type="gramStart"/>
      <w:r w:rsidRPr="00465FB3">
        <w:rPr>
          <w:rFonts w:ascii="Times New Roman" w:hAnsi="Times New Roman"/>
          <w:b/>
          <w:bCs/>
          <w:sz w:val="24"/>
          <w:szCs w:val="24"/>
        </w:rPr>
        <w:t>need</w:t>
      </w:r>
      <w:proofErr w:type="gramEnd"/>
      <w:r w:rsidRPr="00465FB3">
        <w:rPr>
          <w:rFonts w:ascii="Times New Roman" w:hAnsi="Times New Roman"/>
          <w:b/>
          <w:bCs/>
          <w:sz w:val="24"/>
          <w:szCs w:val="24"/>
        </w:rPr>
        <w:t xml:space="preserve"> to use extreme caution in terminating a firefighter for speaking on matters of public concern, particularly if they also serve on the FD’s Board. </w:t>
      </w:r>
    </w:p>
    <w:p w14:paraId="65A4F446" w14:textId="77777777" w:rsidR="00997329" w:rsidRPr="00465FB3" w:rsidRDefault="00997329" w:rsidP="00997329">
      <w:pPr>
        <w:spacing w:before="100" w:beforeAutospacing="1" w:after="100" w:afterAutospacing="1" w:line="240" w:lineRule="auto"/>
        <w:rPr>
          <w:rFonts w:ascii="Times New Roman" w:eastAsia="Times New Roman" w:hAnsi="Times New Roman"/>
          <w:b/>
          <w:bCs/>
          <w:sz w:val="24"/>
          <w:szCs w:val="24"/>
        </w:rPr>
      </w:pPr>
    </w:p>
    <w:p w14:paraId="07630A86" w14:textId="77777777" w:rsidR="00663160" w:rsidRDefault="00663160" w:rsidP="00A06387">
      <w:pPr>
        <w:pStyle w:val="NoSpacing"/>
        <w:rPr>
          <w:rFonts w:ascii="Arial Black" w:hAnsi="Arial Black"/>
          <w:sz w:val="28"/>
          <w:szCs w:val="28"/>
        </w:rPr>
      </w:pPr>
    </w:p>
    <w:p w14:paraId="328BC352" w14:textId="77777777" w:rsidR="00663160" w:rsidRDefault="00663160" w:rsidP="00A06387">
      <w:pPr>
        <w:pStyle w:val="NoSpacing"/>
        <w:rPr>
          <w:rFonts w:ascii="Arial Black" w:hAnsi="Arial Black"/>
          <w:sz w:val="28"/>
          <w:szCs w:val="28"/>
        </w:rPr>
      </w:pPr>
    </w:p>
    <w:p w14:paraId="6F146580" w14:textId="77777777" w:rsidR="00B03268" w:rsidRDefault="00B03268" w:rsidP="00A06387">
      <w:pPr>
        <w:pStyle w:val="NoSpacing"/>
        <w:rPr>
          <w:rFonts w:ascii="Arial Black" w:hAnsi="Arial Black"/>
          <w:sz w:val="28"/>
          <w:szCs w:val="28"/>
        </w:rPr>
      </w:pPr>
    </w:p>
    <w:p w14:paraId="0FC4E5E4" w14:textId="702FA686" w:rsidR="00663160" w:rsidRDefault="00663160" w:rsidP="00A06387">
      <w:pPr>
        <w:pStyle w:val="NoSpacing"/>
        <w:rPr>
          <w:rFonts w:ascii="Arial Black" w:hAnsi="Arial Black"/>
          <w:sz w:val="28"/>
          <w:szCs w:val="28"/>
        </w:rPr>
      </w:pPr>
      <w:r>
        <w:rPr>
          <w:rFonts w:ascii="Arial Black" w:hAnsi="Arial Black"/>
          <w:sz w:val="28"/>
          <w:szCs w:val="28"/>
        </w:rPr>
        <w:t>6-31</w:t>
      </w:r>
    </w:p>
    <w:p w14:paraId="6C9E9F66" w14:textId="1C55F183" w:rsidR="00663160" w:rsidRDefault="00663160" w:rsidP="00A06387">
      <w:pPr>
        <w:pStyle w:val="NoSpacing"/>
        <w:rPr>
          <w:rFonts w:ascii="Arial Black" w:hAnsi="Arial Black"/>
          <w:sz w:val="28"/>
          <w:szCs w:val="28"/>
        </w:rPr>
      </w:pPr>
    </w:p>
    <w:p w14:paraId="7788273E" w14:textId="77777777" w:rsidR="00663160" w:rsidRPr="00504D9F" w:rsidRDefault="00663160" w:rsidP="00663160">
      <w:pPr>
        <w:pStyle w:val="NoSpacing"/>
        <w:rPr>
          <w:rFonts w:ascii="Arial Black" w:hAnsi="Arial Black"/>
          <w:b/>
          <w:bCs/>
          <w:sz w:val="28"/>
          <w:szCs w:val="28"/>
        </w:rPr>
      </w:pPr>
      <w:r>
        <w:rPr>
          <w:rFonts w:ascii="Arial Black" w:hAnsi="Arial Black"/>
          <w:bCs/>
          <w:sz w:val="28"/>
          <w:szCs w:val="28"/>
        </w:rPr>
        <w:t>OH: CAPTAIN PROMOTION – SENIORITY POINTS ONLY FOR THOSE SCORED AT LEAST 70 – NEW SELECTION</w:t>
      </w:r>
    </w:p>
    <w:p w14:paraId="3D56695E" w14:textId="77777777" w:rsidR="00663160" w:rsidRPr="00465FB3" w:rsidRDefault="00663160" w:rsidP="00663160">
      <w:pPr>
        <w:pStyle w:val="Heading1"/>
        <w:rPr>
          <w:b w:val="0"/>
          <w:bCs w:val="0"/>
          <w:sz w:val="24"/>
          <w:szCs w:val="24"/>
        </w:rPr>
      </w:pPr>
      <w:r w:rsidRPr="00465FB3">
        <w:rPr>
          <w:b w:val="0"/>
          <w:bCs w:val="0"/>
          <w:sz w:val="24"/>
          <w:szCs w:val="24"/>
        </w:rPr>
        <w:t xml:space="preserve">On Feb. 5, 2020, in </w:t>
      </w:r>
      <w:r w:rsidRPr="00465FB3">
        <w:rPr>
          <w:b w:val="0"/>
          <w:bCs w:val="0"/>
          <w:sz w:val="24"/>
          <w:szCs w:val="24"/>
          <w:u w:val="single"/>
        </w:rPr>
        <w:t xml:space="preserve">State ex rel. Michael A. </w:t>
      </w:r>
      <w:proofErr w:type="spellStart"/>
      <w:r w:rsidRPr="00465FB3">
        <w:rPr>
          <w:b w:val="0"/>
          <w:bCs w:val="0"/>
          <w:sz w:val="24"/>
          <w:szCs w:val="24"/>
          <w:u w:val="single"/>
        </w:rPr>
        <w:t>Rimroth</w:t>
      </w:r>
      <w:proofErr w:type="spellEnd"/>
      <w:r w:rsidRPr="00465FB3">
        <w:rPr>
          <w:b w:val="0"/>
          <w:bCs w:val="0"/>
          <w:sz w:val="24"/>
          <w:szCs w:val="24"/>
          <w:u w:val="single"/>
        </w:rPr>
        <w:t xml:space="preserve"> v. City of Harrison</w:t>
      </w:r>
      <w:r w:rsidRPr="00465FB3">
        <w:rPr>
          <w:b w:val="0"/>
          <w:bCs w:val="0"/>
          <w:sz w:val="24"/>
          <w:szCs w:val="24"/>
        </w:rPr>
        <w:t xml:space="preserve">, the Ohio Court of Appeals for the First District (Hamilton County), held (3 to 0) that the promotion of the candidate who only scored 65 was inappropriate, since only the two candidates (plaintiff and one other) who scored 70 or higher were entitled to added points for seniority.  The Court reversed the trial judge’s order for a new written test, since the test was fair.  Case sent back to the city’s Civil Service Commission, and Mayor can now make a new promotion decision between plaintiff (scored 74) and the other candidate (scored 75).  </w:t>
      </w:r>
    </w:p>
    <w:p w14:paraId="3714FEA9" w14:textId="77777777" w:rsidR="00663160" w:rsidRPr="00465FB3" w:rsidRDefault="00663160" w:rsidP="00663160">
      <w:pPr>
        <w:pStyle w:val="NoSpacing"/>
        <w:ind w:left="720"/>
        <w:rPr>
          <w:rFonts w:ascii="Times New Roman" w:hAnsi="Times New Roman"/>
          <w:b/>
          <w:bCs/>
          <w:sz w:val="24"/>
          <w:szCs w:val="24"/>
        </w:rPr>
      </w:pPr>
      <w:r w:rsidRPr="00465FB3">
        <w:rPr>
          <w:rFonts w:ascii="Times New Roman" w:hAnsi="Times New Roman"/>
          <w:bCs/>
          <w:sz w:val="24"/>
          <w:szCs w:val="24"/>
        </w:rPr>
        <w:t xml:space="preserve">“[Michael] </w:t>
      </w:r>
      <w:proofErr w:type="spellStart"/>
      <w:r w:rsidRPr="00465FB3">
        <w:rPr>
          <w:rFonts w:ascii="Times New Roman" w:hAnsi="Times New Roman"/>
          <w:bCs/>
          <w:sz w:val="24"/>
          <w:szCs w:val="24"/>
        </w:rPr>
        <w:t>Rimroth</w:t>
      </w:r>
      <w:proofErr w:type="spellEnd"/>
      <w:r w:rsidRPr="00465FB3">
        <w:rPr>
          <w:rFonts w:ascii="Times New Roman" w:hAnsi="Times New Roman"/>
          <w:bCs/>
          <w:sz w:val="24"/>
          <w:szCs w:val="24"/>
        </w:rPr>
        <w:t xml:space="preserve"> was a firefighter employed by the city of Harrison. On April 4, 2015, he took the written promotional examination for the position of fire captain, along with firefighters Dennis Helcher and Cameron Kugler. Kugler received a score of 75, </w:t>
      </w:r>
      <w:proofErr w:type="spellStart"/>
      <w:r w:rsidRPr="00465FB3">
        <w:rPr>
          <w:rFonts w:ascii="Times New Roman" w:hAnsi="Times New Roman"/>
          <w:bCs/>
          <w:sz w:val="24"/>
          <w:szCs w:val="24"/>
        </w:rPr>
        <w:t>Rimroth</w:t>
      </w:r>
      <w:proofErr w:type="spellEnd"/>
      <w:r w:rsidRPr="00465FB3">
        <w:rPr>
          <w:rFonts w:ascii="Times New Roman" w:hAnsi="Times New Roman"/>
          <w:bCs/>
          <w:sz w:val="24"/>
          <w:szCs w:val="24"/>
        </w:rPr>
        <w:t xml:space="preserve"> received a 74, and </w:t>
      </w:r>
      <w:proofErr w:type="spellStart"/>
      <w:r w:rsidRPr="00465FB3">
        <w:rPr>
          <w:rFonts w:ascii="Times New Roman" w:hAnsi="Times New Roman"/>
          <w:bCs/>
          <w:sz w:val="24"/>
          <w:szCs w:val="24"/>
        </w:rPr>
        <w:t>Helcher</w:t>
      </w:r>
      <w:proofErr w:type="spellEnd"/>
      <w:r w:rsidRPr="00465FB3">
        <w:rPr>
          <w:rFonts w:ascii="Times New Roman" w:hAnsi="Times New Roman"/>
          <w:bCs/>
          <w:sz w:val="24"/>
          <w:szCs w:val="24"/>
        </w:rPr>
        <w:t xml:space="preserve"> received a 65. </w:t>
      </w:r>
      <w:proofErr w:type="gramStart"/>
      <w:r w:rsidRPr="00465FB3">
        <w:rPr>
          <w:rFonts w:ascii="Times New Roman" w:hAnsi="Times New Roman"/>
          <w:bCs/>
          <w:sz w:val="24"/>
          <w:szCs w:val="24"/>
        </w:rPr>
        <w:t>A passing</w:t>
      </w:r>
      <w:proofErr w:type="gramEnd"/>
      <w:r w:rsidRPr="00465FB3">
        <w:rPr>
          <w:rFonts w:ascii="Times New Roman" w:hAnsi="Times New Roman"/>
          <w:bCs/>
          <w:sz w:val="24"/>
          <w:szCs w:val="24"/>
        </w:rPr>
        <w:t xml:space="preserve"> score for the examination was 70. As a result, only Kugler and </w:t>
      </w:r>
      <w:proofErr w:type="spellStart"/>
      <w:r w:rsidRPr="00465FB3">
        <w:rPr>
          <w:rFonts w:ascii="Times New Roman" w:hAnsi="Times New Roman"/>
          <w:bCs/>
          <w:sz w:val="24"/>
          <w:szCs w:val="24"/>
        </w:rPr>
        <w:t>Rimroth</w:t>
      </w:r>
      <w:proofErr w:type="spellEnd"/>
      <w:r w:rsidRPr="00465FB3">
        <w:rPr>
          <w:rFonts w:ascii="Times New Roman" w:hAnsi="Times New Roman"/>
          <w:bCs/>
          <w:sz w:val="24"/>
          <w:szCs w:val="24"/>
        </w:rPr>
        <w:t xml:space="preserve"> were listed as having passed the examination. ***  In this case, both sides agree that it was inappropriate for the commission to include the service credit before determining if the candidates received a passing score. We agree with this consensus. The issue that remains is determining if the trial court's remedy was proper and, if not, what remedy lies for the violation of the statute. *** The proper remedy, therefore, is to remand the cause to the civil service commission for the appropriate award of credit to only those individuals who had received a passing score on the written examination: Kugler and </w:t>
      </w:r>
      <w:proofErr w:type="spellStart"/>
      <w:r w:rsidRPr="00465FB3">
        <w:rPr>
          <w:rFonts w:ascii="Times New Roman" w:hAnsi="Times New Roman"/>
          <w:bCs/>
          <w:sz w:val="24"/>
          <w:szCs w:val="24"/>
        </w:rPr>
        <w:t>Rimroth</w:t>
      </w:r>
      <w:proofErr w:type="spellEnd"/>
      <w:r w:rsidRPr="00465FB3">
        <w:rPr>
          <w:rFonts w:ascii="Times New Roman" w:hAnsi="Times New Roman"/>
          <w:bCs/>
          <w:sz w:val="24"/>
          <w:szCs w:val="24"/>
        </w:rPr>
        <w:t xml:space="preserve">. Once those scores are calculated, the commission should forward the resulting list for further </w:t>
      </w:r>
      <w:proofErr w:type="gramStart"/>
      <w:r w:rsidRPr="00465FB3">
        <w:rPr>
          <w:rFonts w:ascii="Times New Roman" w:hAnsi="Times New Roman"/>
          <w:bCs/>
          <w:sz w:val="24"/>
          <w:szCs w:val="24"/>
        </w:rPr>
        <w:t>consideration.”</w:t>
      </w:r>
      <w:proofErr w:type="gramEnd"/>
      <w:r w:rsidRPr="00465FB3">
        <w:rPr>
          <w:rFonts w:ascii="Times New Roman" w:hAnsi="Times New Roman"/>
          <w:bCs/>
          <w:sz w:val="24"/>
          <w:szCs w:val="24"/>
        </w:rPr>
        <w:t xml:space="preserve"> </w:t>
      </w:r>
      <w:hyperlink r:id="rId1265" w:history="1">
        <w:r w:rsidRPr="00465FB3">
          <w:rPr>
            <w:rStyle w:val="Hyperlink"/>
            <w:rFonts w:ascii="Times New Roman" w:hAnsi="Times New Roman"/>
            <w:bCs/>
            <w:sz w:val="24"/>
            <w:szCs w:val="24"/>
          </w:rPr>
          <w:t>https://www.leagle.com/decision/inohco20200205714</w:t>
        </w:r>
      </w:hyperlink>
      <w:r w:rsidRPr="00465FB3">
        <w:rPr>
          <w:rFonts w:ascii="Times New Roman" w:hAnsi="Times New Roman"/>
          <w:bCs/>
          <w:sz w:val="24"/>
          <w:szCs w:val="24"/>
        </w:rPr>
        <w:t xml:space="preserve"> </w:t>
      </w:r>
    </w:p>
    <w:p w14:paraId="281EDFF8" w14:textId="61AC8D19" w:rsidR="00663160" w:rsidRDefault="00663160" w:rsidP="00A06387">
      <w:pPr>
        <w:pStyle w:val="NoSpacing"/>
        <w:rPr>
          <w:rFonts w:ascii="Arial Black" w:hAnsi="Arial Black"/>
          <w:sz w:val="28"/>
          <w:szCs w:val="28"/>
        </w:rPr>
      </w:pPr>
    </w:p>
    <w:p w14:paraId="32E1884A" w14:textId="77777777" w:rsidR="00663160" w:rsidRPr="00465FB3" w:rsidRDefault="00663160" w:rsidP="00663160">
      <w:pPr>
        <w:pStyle w:val="NoSpacing"/>
        <w:tabs>
          <w:tab w:val="left" w:pos="2880"/>
        </w:tabs>
        <w:rPr>
          <w:rFonts w:ascii="Times New Roman" w:eastAsia="Times New Roman" w:hAnsi="Times New Roman"/>
          <w:b/>
          <w:bCs/>
          <w:sz w:val="24"/>
          <w:szCs w:val="24"/>
        </w:rPr>
      </w:pPr>
      <w:r w:rsidRPr="00465FB3">
        <w:rPr>
          <w:rFonts w:ascii="Times New Roman" w:hAnsi="Times New Roman"/>
          <w:b/>
          <w:bCs/>
          <w:sz w:val="24"/>
          <w:szCs w:val="24"/>
        </w:rPr>
        <w:t xml:space="preserve">Legal Lessons Learned: Promotion processes should clearly specify when seniority and military credits can be added to test scores. </w:t>
      </w:r>
    </w:p>
    <w:p w14:paraId="33ADF01E" w14:textId="11364D1C" w:rsidR="00663160" w:rsidRDefault="00663160" w:rsidP="00A06387">
      <w:pPr>
        <w:pStyle w:val="NoSpacing"/>
        <w:rPr>
          <w:rFonts w:ascii="Arial Black" w:hAnsi="Arial Black"/>
          <w:sz w:val="28"/>
          <w:szCs w:val="28"/>
        </w:rPr>
      </w:pPr>
      <w:r>
        <w:rPr>
          <w:rFonts w:ascii="Arial Black" w:hAnsi="Arial Black"/>
          <w:sz w:val="28"/>
          <w:szCs w:val="28"/>
        </w:rPr>
        <w:t xml:space="preserve"> </w:t>
      </w:r>
    </w:p>
    <w:p w14:paraId="091AFC41" w14:textId="77777777" w:rsidR="00663160" w:rsidRDefault="00663160" w:rsidP="00A06387">
      <w:pPr>
        <w:pStyle w:val="NoSpacing"/>
        <w:rPr>
          <w:rFonts w:ascii="Arial Black" w:hAnsi="Arial Black"/>
          <w:sz w:val="28"/>
          <w:szCs w:val="28"/>
        </w:rPr>
      </w:pPr>
    </w:p>
    <w:p w14:paraId="5D3EECC4" w14:textId="77777777" w:rsidR="00663160" w:rsidRDefault="00663160" w:rsidP="00A06387">
      <w:pPr>
        <w:pStyle w:val="NoSpacing"/>
        <w:rPr>
          <w:rFonts w:ascii="Arial Black" w:hAnsi="Arial Black"/>
          <w:sz w:val="28"/>
          <w:szCs w:val="28"/>
        </w:rPr>
      </w:pPr>
    </w:p>
    <w:p w14:paraId="72A34ECB" w14:textId="6B4BFD3D" w:rsidR="00C9355B" w:rsidRDefault="00C9355B" w:rsidP="00A06387">
      <w:pPr>
        <w:pStyle w:val="NoSpacing"/>
        <w:rPr>
          <w:rFonts w:ascii="Arial Black" w:hAnsi="Arial Black"/>
          <w:sz w:val="28"/>
          <w:szCs w:val="28"/>
        </w:rPr>
      </w:pPr>
      <w:r>
        <w:rPr>
          <w:rFonts w:ascii="Arial Black" w:hAnsi="Arial Black"/>
          <w:sz w:val="28"/>
          <w:szCs w:val="28"/>
        </w:rPr>
        <w:t>6-</w:t>
      </w:r>
      <w:r w:rsidR="00177094">
        <w:rPr>
          <w:rFonts w:ascii="Arial Black" w:hAnsi="Arial Black"/>
          <w:sz w:val="28"/>
          <w:szCs w:val="28"/>
        </w:rPr>
        <w:t>30</w:t>
      </w:r>
    </w:p>
    <w:p w14:paraId="6D154D02" w14:textId="65382B1A" w:rsidR="00C9355B" w:rsidRDefault="00C9355B" w:rsidP="00A06387">
      <w:pPr>
        <w:pStyle w:val="NoSpacing"/>
        <w:rPr>
          <w:rFonts w:ascii="Arial Black" w:hAnsi="Arial Black"/>
          <w:sz w:val="28"/>
          <w:szCs w:val="28"/>
        </w:rPr>
      </w:pPr>
    </w:p>
    <w:p w14:paraId="76C0F5C0" w14:textId="77777777" w:rsidR="00C9355B" w:rsidRDefault="00C9355B" w:rsidP="00C9355B">
      <w:pPr>
        <w:pStyle w:val="NoSpacing"/>
        <w:rPr>
          <w:rFonts w:ascii="Arial Black" w:hAnsi="Arial Black"/>
          <w:b/>
          <w:bCs/>
          <w:sz w:val="28"/>
          <w:szCs w:val="28"/>
        </w:rPr>
      </w:pPr>
      <w:r>
        <w:rPr>
          <w:rFonts w:ascii="Arial Black" w:hAnsi="Arial Black"/>
          <w:bCs/>
          <w:sz w:val="28"/>
          <w:szCs w:val="28"/>
        </w:rPr>
        <w:t xml:space="preserve">IL: HOUSE FIRE - FF FELL BACKWARDS, INJURED HER BACK – AWARDED LINE-OF-DUTY PENSION – CITY APPEAL DENIED </w:t>
      </w:r>
    </w:p>
    <w:p w14:paraId="63A0CA8C" w14:textId="77777777" w:rsidR="00C9355B" w:rsidRDefault="00C9355B" w:rsidP="00C9355B">
      <w:pPr>
        <w:pStyle w:val="NoSpacing"/>
        <w:rPr>
          <w:b/>
          <w:bCs/>
          <w:sz w:val="24"/>
          <w:szCs w:val="24"/>
        </w:rPr>
      </w:pPr>
    </w:p>
    <w:p w14:paraId="2A874A2E" w14:textId="77777777" w:rsidR="00C9355B" w:rsidRPr="00695030" w:rsidRDefault="00C9355B" w:rsidP="00C9355B">
      <w:pPr>
        <w:pStyle w:val="NoSpacing"/>
        <w:rPr>
          <w:rFonts w:ascii="Times New Roman" w:hAnsi="Times New Roman"/>
          <w:b/>
          <w:bCs/>
          <w:sz w:val="24"/>
          <w:szCs w:val="24"/>
        </w:rPr>
      </w:pPr>
      <w:r w:rsidRPr="00695030">
        <w:rPr>
          <w:rFonts w:ascii="Times New Roman" w:hAnsi="Times New Roman"/>
          <w:bCs/>
          <w:sz w:val="24"/>
          <w:szCs w:val="24"/>
        </w:rPr>
        <w:t xml:space="preserve">On Jan. 27, 2020, in </w:t>
      </w:r>
      <w:r w:rsidRPr="00695030">
        <w:rPr>
          <w:rFonts w:ascii="Times New Roman" w:hAnsi="Times New Roman"/>
          <w:bCs/>
          <w:sz w:val="24"/>
          <w:szCs w:val="24"/>
          <w:u w:val="single"/>
        </w:rPr>
        <w:t>City of Peoria v. The Firefighters Pension Fund of the City of Peoria and Angela Allen</w:t>
      </w:r>
      <w:r w:rsidRPr="00695030">
        <w:rPr>
          <w:rFonts w:ascii="Times New Roman" w:hAnsi="Times New Roman"/>
          <w:bCs/>
          <w:sz w:val="24"/>
          <w:szCs w:val="24"/>
        </w:rPr>
        <w:t xml:space="preserve">, the Appellate Court of Illinois, Third District, held (3 to 0) upheld the decision of the Board of Trustees of the pension fund to award line-of-duty death benefits. The city sought to reverse the Trustees, arguing the firefighter had a psychological disorder not caused by her fall. </w:t>
      </w:r>
    </w:p>
    <w:p w14:paraId="2335A114" w14:textId="77777777" w:rsidR="00C9355B" w:rsidRPr="00695030" w:rsidRDefault="00C9355B" w:rsidP="00C9355B">
      <w:pPr>
        <w:pStyle w:val="NoSpacing"/>
        <w:rPr>
          <w:rFonts w:ascii="Times New Roman" w:hAnsi="Times New Roman"/>
          <w:b/>
          <w:bCs/>
          <w:sz w:val="24"/>
          <w:szCs w:val="24"/>
        </w:rPr>
      </w:pPr>
    </w:p>
    <w:p w14:paraId="5B7131FD" w14:textId="77777777" w:rsidR="00C9355B" w:rsidRPr="00695030" w:rsidRDefault="00C9355B" w:rsidP="00C9355B">
      <w:pPr>
        <w:pStyle w:val="NoSpacing"/>
        <w:ind w:left="720"/>
        <w:rPr>
          <w:rFonts w:ascii="Times New Roman" w:hAnsi="Times New Roman"/>
          <w:b/>
          <w:bCs/>
          <w:sz w:val="24"/>
          <w:szCs w:val="24"/>
        </w:rPr>
      </w:pPr>
      <w:r w:rsidRPr="00695030">
        <w:rPr>
          <w:rFonts w:ascii="Times New Roman" w:hAnsi="Times New Roman"/>
          <w:bCs/>
          <w:sz w:val="24"/>
          <w:szCs w:val="24"/>
        </w:rPr>
        <w:t xml:space="preserve">“In reaching that conclusion, we reject the City's assertion that the Pension Board somehow erred by finding that Allen was disabled due to her psychological conditions when Allen's specific allegation in her disability pension application was that she was disabled due to a vestibular/ocular motor disorder. Although Allen listed her condition in the application as a vestibular/ocular motor disorder, many of the symptoms that Allen also listed in the application as being from a vestibular disorder were the same symptoms that Allen was found to be suffering from </w:t>
      </w:r>
      <w:proofErr w:type="gramStart"/>
      <w:r w:rsidRPr="00695030">
        <w:rPr>
          <w:rFonts w:ascii="Times New Roman" w:hAnsi="Times New Roman"/>
          <w:bCs/>
          <w:sz w:val="24"/>
          <w:szCs w:val="24"/>
        </w:rPr>
        <w:t>as a result of</w:t>
      </w:r>
      <w:proofErr w:type="gramEnd"/>
      <w:r w:rsidRPr="00695030">
        <w:rPr>
          <w:rFonts w:ascii="Times New Roman" w:hAnsi="Times New Roman"/>
          <w:bCs/>
          <w:sz w:val="24"/>
          <w:szCs w:val="24"/>
        </w:rPr>
        <w:t xml:space="preserve"> her psychological disorders. Thus, we believe that Allen sufficiently alleged the nature of her disability in her disability pension application. Indeed, the City has made no argument on appeal that it was surprised by the evidence presented or that the </w:t>
      </w:r>
      <w:proofErr w:type="gramStart"/>
      <w:r w:rsidRPr="00695030">
        <w:rPr>
          <w:rFonts w:ascii="Times New Roman" w:hAnsi="Times New Roman"/>
          <w:bCs/>
          <w:sz w:val="24"/>
          <w:szCs w:val="24"/>
        </w:rPr>
        <w:t>manner in which</w:t>
      </w:r>
      <w:proofErr w:type="gramEnd"/>
      <w:r w:rsidRPr="00695030">
        <w:rPr>
          <w:rFonts w:ascii="Times New Roman" w:hAnsi="Times New Roman"/>
          <w:bCs/>
          <w:sz w:val="24"/>
          <w:szCs w:val="24"/>
        </w:rPr>
        <w:t xml:space="preserve"> Allen's condition was described in the application somehow deprived the City of a fair opportunity to prepare for the hearing before the Pension Board.” </w:t>
      </w:r>
      <w:hyperlink r:id="rId1266" w:history="1">
        <w:r w:rsidRPr="00695030">
          <w:rPr>
            <w:rStyle w:val="Hyperlink"/>
            <w:rFonts w:ascii="Times New Roman" w:hAnsi="Times New Roman"/>
            <w:b/>
            <w:sz w:val="24"/>
            <w:szCs w:val="24"/>
          </w:rPr>
          <w:t>https://courts.illinois.gov/R23_Orders/AppellateCourt/2020/3rdDistrict/3190055_R23.pdf</w:t>
        </w:r>
      </w:hyperlink>
      <w:r w:rsidRPr="00695030">
        <w:rPr>
          <w:rFonts w:ascii="Times New Roman" w:hAnsi="Times New Roman"/>
          <w:bCs/>
          <w:sz w:val="24"/>
          <w:szCs w:val="24"/>
        </w:rPr>
        <w:t xml:space="preserve"> </w:t>
      </w:r>
    </w:p>
    <w:p w14:paraId="3F8AF809" w14:textId="77777777" w:rsidR="00C9355B" w:rsidRDefault="00C9355B" w:rsidP="00C9355B">
      <w:pPr>
        <w:pStyle w:val="NoSpacing"/>
        <w:rPr>
          <w:rFonts w:ascii="Times New Roman" w:hAnsi="Times New Roman"/>
          <w:b/>
          <w:bCs/>
          <w:sz w:val="24"/>
          <w:szCs w:val="24"/>
        </w:rPr>
      </w:pPr>
    </w:p>
    <w:p w14:paraId="72F4B7C5" w14:textId="313B0065" w:rsidR="00C9355B" w:rsidRPr="00695030" w:rsidRDefault="00C9355B" w:rsidP="00C9355B">
      <w:pPr>
        <w:pStyle w:val="NoSpacing"/>
        <w:rPr>
          <w:rFonts w:ascii="Times New Roman" w:hAnsi="Times New Roman"/>
          <w:b/>
          <w:bCs/>
          <w:sz w:val="24"/>
          <w:szCs w:val="24"/>
        </w:rPr>
      </w:pPr>
      <w:r w:rsidRPr="00695030">
        <w:rPr>
          <w:rFonts w:ascii="Times New Roman" w:hAnsi="Times New Roman"/>
          <w:b/>
          <w:bCs/>
          <w:sz w:val="24"/>
          <w:szCs w:val="24"/>
        </w:rPr>
        <w:t xml:space="preserve">Legal Lessons Learned:  </w:t>
      </w:r>
      <w:r>
        <w:rPr>
          <w:rFonts w:ascii="Times New Roman" w:hAnsi="Times New Roman"/>
          <w:b/>
          <w:bCs/>
          <w:sz w:val="24"/>
          <w:szCs w:val="24"/>
        </w:rPr>
        <w:t xml:space="preserve">Under </w:t>
      </w:r>
      <w:r w:rsidRPr="00695030">
        <w:rPr>
          <w:rFonts w:ascii="Times New Roman" w:hAnsi="Times New Roman"/>
          <w:b/>
          <w:bCs/>
          <w:sz w:val="24"/>
          <w:szCs w:val="24"/>
        </w:rPr>
        <w:t>Illinois statute and court precedents</w:t>
      </w:r>
      <w:r>
        <w:rPr>
          <w:rFonts w:ascii="Times New Roman" w:hAnsi="Times New Roman"/>
          <w:b/>
          <w:bCs/>
          <w:sz w:val="24"/>
          <w:szCs w:val="24"/>
        </w:rPr>
        <w:t xml:space="preserve">, </w:t>
      </w:r>
      <w:r w:rsidRPr="00695030">
        <w:rPr>
          <w:rFonts w:ascii="Times New Roman" w:hAnsi="Times New Roman"/>
          <w:b/>
          <w:bCs/>
          <w:sz w:val="24"/>
          <w:szCs w:val="24"/>
        </w:rPr>
        <w:t xml:space="preserve">pension applications by firefighters must be “liberally construed” in favor of the firefighter. </w:t>
      </w:r>
    </w:p>
    <w:p w14:paraId="36DA7B82" w14:textId="77777777" w:rsidR="00C9355B" w:rsidRDefault="00C9355B" w:rsidP="00A06387">
      <w:pPr>
        <w:pStyle w:val="NoSpacing"/>
        <w:rPr>
          <w:rFonts w:ascii="Arial Black" w:hAnsi="Arial Black"/>
          <w:sz w:val="28"/>
          <w:szCs w:val="28"/>
        </w:rPr>
      </w:pPr>
    </w:p>
    <w:p w14:paraId="43495ADD" w14:textId="77777777" w:rsidR="00B03268" w:rsidRDefault="00B03268" w:rsidP="00A06387">
      <w:pPr>
        <w:pStyle w:val="NoSpacing"/>
        <w:rPr>
          <w:rFonts w:ascii="Arial Black" w:hAnsi="Arial Black"/>
          <w:sz w:val="28"/>
          <w:szCs w:val="28"/>
        </w:rPr>
      </w:pPr>
    </w:p>
    <w:p w14:paraId="2E0F56D3" w14:textId="768E11AF" w:rsidR="00C9355B" w:rsidRDefault="00C9355B" w:rsidP="00A06387">
      <w:pPr>
        <w:pStyle w:val="NoSpacing"/>
        <w:rPr>
          <w:rFonts w:ascii="Arial Black" w:hAnsi="Arial Black"/>
          <w:sz w:val="28"/>
          <w:szCs w:val="28"/>
        </w:rPr>
      </w:pPr>
      <w:r>
        <w:rPr>
          <w:rFonts w:ascii="Arial Black" w:hAnsi="Arial Black"/>
          <w:sz w:val="28"/>
          <w:szCs w:val="28"/>
        </w:rPr>
        <w:t>6-29</w:t>
      </w:r>
    </w:p>
    <w:p w14:paraId="2F4A87B0" w14:textId="77777777" w:rsidR="00C9355B" w:rsidRDefault="00C9355B" w:rsidP="00C9355B">
      <w:pPr>
        <w:spacing w:before="100" w:beforeAutospacing="1" w:after="100" w:afterAutospacing="1"/>
        <w:rPr>
          <w:rFonts w:ascii="Arial Black" w:eastAsia="Times New Roman" w:hAnsi="Arial Black"/>
          <w:bCs/>
          <w:sz w:val="28"/>
          <w:szCs w:val="28"/>
        </w:rPr>
      </w:pPr>
      <w:r w:rsidRPr="005463FA">
        <w:rPr>
          <w:rFonts w:ascii="Arial Black" w:eastAsia="Times New Roman" w:hAnsi="Arial Black"/>
          <w:bCs/>
          <w:sz w:val="28"/>
          <w:szCs w:val="28"/>
        </w:rPr>
        <w:t xml:space="preserve">IL: </w:t>
      </w:r>
      <w:r>
        <w:rPr>
          <w:rFonts w:ascii="Arial Black" w:eastAsia="Times New Roman" w:hAnsi="Arial Black"/>
          <w:bCs/>
          <w:sz w:val="28"/>
          <w:szCs w:val="28"/>
        </w:rPr>
        <w:t>PARAMEDIC LIFTING WEIGHTS – CLAIMED RIGHT FOOT INJURY – LATER VIDEOTAPED WORKING OUT, WALKING OK – CLAIM DENIED</w:t>
      </w:r>
    </w:p>
    <w:p w14:paraId="5793B94E" w14:textId="71B5CDF1" w:rsidR="00C9355B" w:rsidRDefault="00C9355B" w:rsidP="00E40E39">
      <w:pPr>
        <w:spacing w:before="100" w:beforeAutospacing="1" w:after="100" w:afterAutospacing="1"/>
        <w:rPr>
          <w:rFonts w:ascii="Times New Roman" w:hAnsi="Times New Roman"/>
          <w:bCs/>
          <w:sz w:val="24"/>
          <w:szCs w:val="24"/>
        </w:rPr>
      </w:pPr>
      <w:r w:rsidRPr="004236BE">
        <w:rPr>
          <w:rFonts w:ascii="Times New Roman" w:eastAsia="Times New Roman" w:hAnsi="Times New Roman"/>
          <w:sz w:val="24"/>
          <w:szCs w:val="24"/>
        </w:rPr>
        <w:t xml:space="preserve">On Dec. 27, 2019, in </w:t>
      </w:r>
      <w:r w:rsidRPr="004236BE">
        <w:rPr>
          <w:rFonts w:ascii="Times New Roman" w:eastAsia="Times New Roman" w:hAnsi="Times New Roman"/>
          <w:sz w:val="24"/>
          <w:szCs w:val="24"/>
          <w:u w:val="single"/>
        </w:rPr>
        <w:t>Brian Isenhardt v. Illinois Workers’ Compensation Commission</w:t>
      </w:r>
      <w:r w:rsidRPr="004236BE">
        <w:rPr>
          <w:rFonts w:ascii="Times New Roman" w:eastAsia="Times New Roman" w:hAnsi="Times New Roman"/>
          <w:sz w:val="24"/>
          <w:szCs w:val="24"/>
        </w:rPr>
        <w:t xml:space="preserve">, the Appellate Court of Illinois, First District / Workers’ Compensation Commission Division, held (5 to 0) that the Commission had properly denied the firefighter’s claim.  </w:t>
      </w:r>
    </w:p>
    <w:p w14:paraId="5938BA74" w14:textId="77777777" w:rsidR="00C9355B" w:rsidRPr="004236BE" w:rsidRDefault="00C9355B" w:rsidP="00C9355B">
      <w:pPr>
        <w:spacing w:before="100" w:beforeAutospacing="1" w:after="100" w:afterAutospacing="1"/>
        <w:ind w:left="720"/>
        <w:rPr>
          <w:rFonts w:ascii="Times New Roman" w:hAnsi="Times New Roman"/>
          <w:b/>
          <w:bCs/>
          <w:sz w:val="24"/>
          <w:szCs w:val="24"/>
        </w:rPr>
      </w:pPr>
      <w:r w:rsidRPr="004236BE">
        <w:rPr>
          <w:rFonts w:ascii="Times New Roman" w:hAnsi="Times New Roman"/>
          <w:bCs/>
          <w:sz w:val="24"/>
          <w:szCs w:val="24"/>
        </w:rPr>
        <w:t xml:space="preserve">“The Village also called Erik Ekstrom, a private investigator hired to investigate the claimant. Ekstrom testified that, during his surveillance on January 13, 2015, he observed the claimant walking with a normal gait, taking out the trash, and performing chest exercises at the gym. According to Ekstrom, on January 15, 2015, he observed the claimant walking with a usual gait without the assistance of crutches on his entrance and exit from the gym. He also observed the claimant on the treadmill, lifting </w:t>
      </w:r>
      <w:proofErr w:type="gramStart"/>
      <w:r w:rsidRPr="004236BE">
        <w:rPr>
          <w:rFonts w:ascii="Times New Roman" w:hAnsi="Times New Roman"/>
          <w:bCs/>
          <w:sz w:val="24"/>
          <w:szCs w:val="24"/>
        </w:rPr>
        <w:t>50 to 70 pound</w:t>
      </w:r>
      <w:proofErr w:type="gramEnd"/>
      <w:r w:rsidRPr="004236BE">
        <w:rPr>
          <w:rFonts w:ascii="Times New Roman" w:hAnsi="Times New Roman"/>
          <w:bCs/>
          <w:sz w:val="24"/>
          <w:szCs w:val="24"/>
        </w:rPr>
        <w:t xml:space="preserve"> weights above his head, while simultaneously </w:t>
      </w:r>
      <w:proofErr w:type="spellStart"/>
      <w:r w:rsidRPr="004236BE">
        <w:rPr>
          <w:rFonts w:ascii="Times New Roman" w:hAnsi="Times New Roman"/>
          <w:bCs/>
          <w:sz w:val="24"/>
          <w:szCs w:val="24"/>
        </w:rPr>
        <w:t>lexing</w:t>
      </w:r>
      <w:proofErr w:type="spellEnd"/>
      <w:r w:rsidRPr="004236BE">
        <w:rPr>
          <w:rFonts w:ascii="Times New Roman" w:hAnsi="Times New Roman"/>
          <w:bCs/>
          <w:sz w:val="24"/>
          <w:szCs w:val="24"/>
        </w:rPr>
        <w:t xml:space="preserve"> both ankles and standing on his “tippy toes,” without appearing to be in pain. Ekstrom recorded video during his surveillance, and a DVD of that video was admitted into evidence. </w:t>
      </w:r>
    </w:p>
    <w:p w14:paraId="7055DB2A" w14:textId="77777777" w:rsidR="00C9355B" w:rsidRPr="004236BE" w:rsidRDefault="00C9355B" w:rsidP="00C9355B">
      <w:pPr>
        <w:spacing w:before="100" w:beforeAutospacing="1" w:after="100" w:afterAutospacing="1"/>
        <w:ind w:left="720"/>
        <w:rPr>
          <w:rFonts w:ascii="Times New Roman" w:eastAsia="Times New Roman" w:hAnsi="Times New Roman"/>
          <w:b/>
          <w:bCs/>
          <w:sz w:val="24"/>
          <w:szCs w:val="24"/>
        </w:rPr>
      </w:pPr>
      <w:r w:rsidRPr="004236BE">
        <w:rPr>
          <w:rFonts w:ascii="Times New Roman" w:hAnsi="Times New Roman"/>
          <w:bCs/>
          <w:sz w:val="24"/>
          <w:szCs w:val="24"/>
        </w:rPr>
        <w:t>***</w:t>
      </w:r>
    </w:p>
    <w:p w14:paraId="28C5D119" w14:textId="77777777" w:rsidR="00C9355B" w:rsidRPr="004236BE" w:rsidRDefault="00C9355B" w:rsidP="00C9355B">
      <w:pPr>
        <w:pStyle w:val="NoSpacing"/>
        <w:ind w:left="720"/>
        <w:rPr>
          <w:rFonts w:ascii="Times New Roman" w:hAnsi="Times New Roman"/>
          <w:b/>
          <w:bCs/>
          <w:sz w:val="24"/>
          <w:szCs w:val="24"/>
        </w:rPr>
      </w:pPr>
      <w:r w:rsidRPr="004236BE">
        <w:rPr>
          <w:rFonts w:ascii="Times New Roman" w:hAnsi="Times New Roman"/>
          <w:bCs/>
          <w:sz w:val="24"/>
          <w:szCs w:val="24"/>
        </w:rPr>
        <w:t xml:space="preserve">The Commission found the claimant’s testimony not credible and found his ‘subjective complaints’ of pain ‘questionable’ based on his ankle and foot MRIs, which did not reveal any acute pathology, as well as the testimonies of both [HR employee] Majda and Eriksom, who observed the claimant, subsequent to November 8, 2014, weightlifting and walking normally without assistance or apparent pain.” </w:t>
      </w:r>
      <w:hyperlink r:id="rId1267" w:history="1">
        <w:r w:rsidRPr="004236BE">
          <w:rPr>
            <w:rStyle w:val="Hyperlink"/>
            <w:rFonts w:ascii="Times New Roman" w:hAnsi="Times New Roman"/>
            <w:b/>
            <w:sz w:val="24"/>
            <w:szCs w:val="24"/>
          </w:rPr>
          <w:t>https://courts.illinois.gov/R23_Orders/WorkersComp/2020/1190373WC_R23.pdf</w:t>
        </w:r>
      </w:hyperlink>
      <w:r w:rsidRPr="004236BE">
        <w:rPr>
          <w:rFonts w:ascii="Times New Roman" w:hAnsi="Times New Roman"/>
          <w:bCs/>
          <w:sz w:val="24"/>
          <w:szCs w:val="24"/>
        </w:rPr>
        <w:t xml:space="preserve"> </w:t>
      </w:r>
    </w:p>
    <w:p w14:paraId="68909A50" w14:textId="77777777" w:rsidR="00C9355B" w:rsidRDefault="00C9355B" w:rsidP="00C9355B">
      <w:pPr>
        <w:pStyle w:val="NoSpacing"/>
        <w:tabs>
          <w:tab w:val="left" w:pos="3210"/>
        </w:tabs>
        <w:rPr>
          <w:rFonts w:ascii="Times New Roman" w:hAnsi="Times New Roman"/>
          <w:b/>
          <w:bCs/>
          <w:sz w:val="24"/>
          <w:szCs w:val="24"/>
        </w:rPr>
      </w:pPr>
    </w:p>
    <w:p w14:paraId="5F243CEE" w14:textId="0C425A58" w:rsidR="00C9355B" w:rsidRPr="004236BE" w:rsidRDefault="00C9355B" w:rsidP="00C9355B">
      <w:pPr>
        <w:pStyle w:val="NoSpacing"/>
        <w:tabs>
          <w:tab w:val="left" w:pos="3210"/>
        </w:tabs>
        <w:rPr>
          <w:rFonts w:ascii="Times New Roman" w:hAnsi="Times New Roman"/>
          <w:b/>
          <w:bCs/>
          <w:sz w:val="24"/>
          <w:szCs w:val="24"/>
        </w:rPr>
      </w:pPr>
      <w:r w:rsidRPr="004236BE">
        <w:rPr>
          <w:rFonts w:ascii="Times New Roman" w:hAnsi="Times New Roman"/>
          <w:b/>
          <w:bCs/>
          <w:sz w:val="24"/>
          <w:szCs w:val="24"/>
        </w:rPr>
        <w:t>Legal Lessons Learned:  The private investigator’s video, and the report of the independent medical examiner</w:t>
      </w:r>
      <w:r>
        <w:rPr>
          <w:rFonts w:ascii="Times New Roman" w:hAnsi="Times New Roman"/>
          <w:b/>
          <w:bCs/>
          <w:sz w:val="24"/>
          <w:szCs w:val="24"/>
        </w:rPr>
        <w:t>, and testimony by HR employee, all</w:t>
      </w:r>
      <w:r w:rsidRPr="004236BE">
        <w:rPr>
          <w:rFonts w:ascii="Times New Roman" w:hAnsi="Times New Roman"/>
          <w:b/>
          <w:bCs/>
          <w:sz w:val="24"/>
          <w:szCs w:val="24"/>
        </w:rPr>
        <w:t xml:space="preserve"> led to denial of the claim. </w:t>
      </w:r>
    </w:p>
    <w:p w14:paraId="6D995B25" w14:textId="77777777" w:rsidR="00C9355B" w:rsidRDefault="00C9355B" w:rsidP="00A06387">
      <w:pPr>
        <w:pStyle w:val="NoSpacing"/>
        <w:rPr>
          <w:rFonts w:ascii="Arial Black" w:hAnsi="Arial Black"/>
          <w:sz w:val="28"/>
          <w:szCs w:val="28"/>
        </w:rPr>
      </w:pPr>
    </w:p>
    <w:p w14:paraId="27D8882C" w14:textId="38ECBFAD" w:rsidR="00C9355B" w:rsidRDefault="00C9355B" w:rsidP="00A06387">
      <w:pPr>
        <w:pStyle w:val="NoSpacing"/>
        <w:rPr>
          <w:rFonts w:ascii="Arial Black" w:hAnsi="Arial Black"/>
          <w:sz w:val="28"/>
          <w:szCs w:val="28"/>
        </w:rPr>
      </w:pPr>
    </w:p>
    <w:p w14:paraId="6D821275" w14:textId="320AFEB4" w:rsidR="00C9355B" w:rsidRDefault="00C9355B" w:rsidP="00A06387">
      <w:pPr>
        <w:pStyle w:val="NoSpacing"/>
        <w:rPr>
          <w:rFonts w:ascii="Arial Black" w:hAnsi="Arial Black"/>
          <w:sz w:val="28"/>
          <w:szCs w:val="28"/>
        </w:rPr>
      </w:pPr>
    </w:p>
    <w:p w14:paraId="6AD9FDF4" w14:textId="77777777" w:rsidR="00C9355B" w:rsidRDefault="00C9355B" w:rsidP="00A06387">
      <w:pPr>
        <w:pStyle w:val="NoSpacing"/>
        <w:rPr>
          <w:rFonts w:ascii="Arial Black" w:hAnsi="Arial Black"/>
          <w:sz w:val="28"/>
          <w:szCs w:val="28"/>
        </w:rPr>
      </w:pPr>
    </w:p>
    <w:p w14:paraId="1BB8B635" w14:textId="77777777" w:rsidR="00F27CD5" w:rsidRDefault="00F27CD5" w:rsidP="00A06387">
      <w:pPr>
        <w:pStyle w:val="NoSpacing"/>
        <w:rPr>
          <w:rFonts w:ascii="Arial Black" w:hAnsi="Arial Black"/>
          <w:sz w:val="28"/>
          <w:szCs w:val="28"/>
        </w:rPr>
      </w:pPr>
    </w:p>
    <w:p w14:paraId="35303F2E" w14:textId="4AB1A2A0" w:rsidR="007C6FEF" w:rsidRDefault="007C6FEF" w:rsidP="00A06387">
      <w:pPr>
        <w:pStyle w:val="NoSpacing"/>
        <w:rPr>
          <w:rFonts w:ascii="Arial Black" w:hAnsi="Arial Black"/>
          <w:sz w:val="28"/>
          <w:szCs w:val="28"/>
        </w:rPr>
      </w:pPr>
      <w:r>
        <w:rPr>
          <w:rFonts w:ascii="Arial Black" w:hAnsi="Arial Black"/>
          <w:sz w:val="28"/>
          <w:szCs w:val="28"/>
        </w:rPr>
        <w:t>6-28</w:t>
      </w:r>
    </w:p>
    <w:p w14:paraId="526835EF" w14:textId="5C60C775" w:rsidR="007C6FEF" w:rsidRDefault="007C6FEF" w:rsidP="00A06387">
      <w:pPr>
        <w:pStyle w:val="NoSpacing"/>
        <w:rPr>
          <w:rFonts w:ascii="Arial Black" w:hAnsi="Arial Black"/>
          <w:sz w:val="28"/>
          <w:szCs w:val="28"/>
        </w:rPr>
      </w:pPr>
    </w:p>
    <w:p w14:paraId="6B8E3B07" w14:textId="77777777" w:rsidR="007C6FEF" w:rsidRPr="00B01F90" w:rsidRDefault="007C6FEF" w:rsidP="007C6FEF">
      <w:pPr>
        <w:rPr>
          <w:rFonts w:ascii="Arial Black" w:hAnsi="Arial Black"/>
          <w:sz w:val="28"/>
          <w:szCs w:val="28"/>
        </w:rPr>
      </w:pPr>
      <w:r w:rsidRPr="00B01F90">
        <w:rPr>
          <w:rFonts w:ascii="Arial Black" w:hAnsi="Arial Black"/>
          <w:sz w:val="28"/>
          <w:szCs w:val="28"/>
        </w:rPr>
        <w:t>PA</w:t>
      </w:r>
      <w:r>
        <w:rPr>
          <w:rFonts w:ascii="Arial Black" w:hAnsi="Arial Black"/>
          <w:sz w:val="28"/>
          <w:szCs w:val="28"/>
        </w:rPr>
        <w:t xml:space="preserve">: </w:t>
      </w:r>
      <w:r w:rsidRPr="00B01F90">
        <w:rPr>
          <w:rFonts w:ascii="Arial Black" w:hAnsi="Arial Black"/>
          <w:sz w:val="28"/>
          <w:szCs w:val="28"/>
        </w:rPr>
        <w:t>PHIL</w:t>
      </w:r>
      <w:r>
        <w:rPr>
          <w:rFonts w:ascii="Arial Black" w:hAnsi="Arial Black"/>
          <w:sz w:val="28"/>
          <w:szCs w:val="28"/>
        </w:rPr>
        <w:t xml:space="preserve">ADEPHIA </w:t>
      </w:r>
      <w:r w:rsidRPr="00B01F90">
        <w:rPr>
          <w:rFonts w:ascii="Arial Black" w:hAnsi="Arial Black"/>
          <w:sz w:val="28"/>
          <w:szCs w:val="28"/>
        </w:rPr>
        <w:t xml:space="preserve">FF WITH LUNG CANCER – SMOKER </w:t>
      </w:r>
      <w:r>
        <w:rPr>
          <w:rFonts w:ascii="Arial Black" w:hAnsi="Arial Black"/>
          <w:sz w:val="28"/>
          <w:szCs w:val="28"/>
        </w:rPr>
        <w:t>–</w:t>
      </w:r>
      <w:r w:rsidRPr="00B01F90">
        <w:rPr>
          <w:rFonts w:ascii="Arial Black" w:hAnsi="Arial Black"/>
          <w:sz w:val="28"/>
          <w:szCs w:val="28"/>
        </w:rPr>
        <w:t xml:space="preserve"> </w:t>
      </w:r>
      <w:r>
        <w:rPr>
          <w:rFonts w:ascii="Arial Black" w:hAnsi="Arial Black"/>
          <w:sz w:val="28"/>
          <w:szCs w:val="28"/>
        </w:rPr>
        <w:t xml:space="preserve">WILL RECEIVE WORKERS COMP BENEFITS – 2011 </w:t>
      </w:r>
      <w:r w:rsidRPr="00B01F90">
        <w:rPr>
          <w:rFonts w:ascii="Arial Black" w:hAnsi="Arial Black"/>
          <w:sz w:val="28"/>
          <w:szCs w:val="28"/>
        </w:rPr>
        <w:t>STATUTORY PRESUMPTION</w:t>
      </w:r>
      <w:r>
        <w:rPr>
          <w:rFonts w:ascii="Arial Black" w:hAnsi="Arial Black"/>
          <w:sz w:val="28"/>
          <w:szCs w:val="28"/>
        </w:rPr>
        <w:t xml:space="preserve"> LAW</w:t>
      </w:r>
    </w:p>
    <w:p w14:paraId="4A7B614C" w14:textId="77777777" w:rsidR="007C6FEF" w:rsidRDefault="007C6FEF" w:rsidP="007C6FEF">
      <w:pPr>
        <w:rPr>
          <w:rFonts w:ascii="Times New Roman" w:hAnsi="Times New Roman"/>
          <w:sz w:val="24"/>
          <w:szCs w:val="24"/>
        </w:rPr>
      </w:pPr>
      <w:r w:rsidRPr="00B01F90">
        <w:rPr>
          <w:rFonts w:ascii="Times New Roman" w:hAnsi="Times New Roman"/>
          <w:sz w:val="24"/>
          <w:szCs w:val="24"/>
        </w:rPr>
        <w:t xml:space="preserve">On Jan. 3, 2020, in </w:t>
      </w:r>
      <w:r w:rsidRPr="00B01F90">
        <w:rPr>
          <w:rFonts w:ascii="Times New Roman" w:hAnsi="Times New Roman"/>
          <w:sz w:val="24"/>
          <w:szCs w:val="24"/>
          <w:u w:val="single"/>
        </w:rPr>
        <w:t>Wayne Deloatch v. Workers’ Compensation Appeal Board (City of Philadelphia)</w:t>
      </w:r>
      <w:r>
        <w:rPr>
          <w:rFonts w:ascii="Times New Roman" w:hAnsi="Times New Roman"/>
          <w:sz w:val="24"/>
          <w:szCs w:val="24"/>
        </w:rPr>
        <w:t xml:space="preserve">, the Commonwealth Court of Pennsylvania held (3 to 0) that the firefighter is entitled to benefits.  </w:t>
      </w:r>
    </w:p>
    <w:p w14:paraId="7A506DDB" w14:textId="77777777" w:rsidR="007C6FEF" w:rsidRPr="00F56F6D" w:rsidRDefault="007C6FEF" w:rsidP="007C6FEF">
      <w:pPr>
        <w:spacing w:before="100" w:beforeAutospacing="1" w:after="100" w:afterAutospacing="1" w:line="240" w:lineRule="auto"/>
        <w:ind w:left="720"/>
        <w:rPr>
          <w:rFonts w:ascii="Times New Roman" w:eastAsia="Times New Roman" w:hAnsi="Times New Roman"/>
          <w:sz w:val="24"/>
          <w:szCs w:val="24"/>
        </w:rPr>
      </w:pPr>
      <w:r w:rsidRPr="00B01F90">
        <w:rPr>
          <w:rFonts w:ascii="Times New Roman" w:eastAsia="Times New Roman" w:hAnsi="Times New Roman"/>
          <w:sz w:val="24"/>
          <w:szCs w:val="24"/>
        </w:rPr>
        <w:t>“</w:t>
      </w:r>
      <w:r w:rsidRPr="00B01F90">
        <w:rPr>
          <w:rFonts w:ascii="Times New Roman" w:hAnsi="Times New Roman"/>
          <w:sz w:val="24"/>
          <w:szCs w:val="24"/>
        </w:rPr>
        <w:t>During Claimant's firefighting career (20 years), he fought approximately 200-300 fires, including building, house, car, dumpster, trash, grass, and field fires, which exposed him to smoke.</w:t>
      </w:r>
      <w:r>
        <w:rPr>
          <w:rFonts w:ascii="Times New Roman" w:hAnsi="Times New Roman"/>
          <w:sz w:val="24"/>
          <w:szCs w:val="24"/>
        </w:rPr>
        <w:t xml:space="preserve"> *** </w:t>
      </w:r>
      <w:r w:rsidRPr="00B01F90">
        <w:rPr>
          <w:rFonts w:ascii="Times New Roman" w:eastAsia="Times New Roman" w:hAnsi="Times New Roman"/>
          <w:sz w:val="24"/>
          <w:szCs w:val="24"/>
        </w:rPr>
        <w:t>Claimant did not use the SCBA during exterior firefighting—</w:t>
      </w:r>
      <w:r w:rsidRPr="00B01F90">
        <w:rPr>
          <w:rFonts w:ascii="Times New Roman" w:eastAsia="Times New Roman" w:hAnsi="Times New Roman"/>
          <w:i/>
          <w:iCs/>
          <w:sz w:val="24"/>
          <w:szCs w:val="24"/>
        </w:rPr>
        <w:t>i</w:t>
      </w:r>
      <w:r w:rsidRPr="00B01F90">
        <w:rPr>
          <w:rFonts w:ascii="Times New Roman" w:eastAsia="Times New Roman" w:hAnsi="Times New Roman"/>
          <w:sz w:val="24"/>
          <w:szCs w:val="24"/>
        </w:rPr>
        <w:t>.</w:t>
      </w:r>
      <w:r w:rsidRPr="00B01F90">
        <w:rPr>
          <w:rFonts w:ascii="Times New Roman" w:eastAsia="Times New Roman" w:hAnsi="Times New Roman"/>
          <w:i/>
          <w:iCs/>
          <w:sz w:val="24"/>
          <w:szCs w:val="24"/>
        </w:rPr>
        <w:t>e</w:t>
      </w:r>
      <w:r w:rsidRPr="00B01F90">
        <w:rPr>
          <w:rFonts w:ascii="Times New Roman" w:eastAsia="Times New Roman" w:hAnsi="Times New Roman"/>
          <w:sz w:val="24"/>
          <w:szCs w:val="24"/>
        </w:rPr>
        <w:t xml:space="preserve">., outdoor firefighting—or overhaul, which entailed </w:t>
      </w:r>
      <w:r>
        <w:rPr>
          <w:rFonts w:ascii="Times New Roman" w:eastAsia="Times New Roman" w:hAnsi="Times New Roman"/>
          <w:sz w:val="24"/>
          <w:szCs w:val="24"/>
        </w:rPr>
        <w:t>‘</w:t>
      </w:r>
      <w:r w:rsidRPr="00B01F90">
        <w:rPr>
          <w:rFonts w:ascii="Times New Roman" w:eastAsia="Times New Roman" w:hAnsi="Times New Roman"/>
          <w:sz w:val="24"/>
          <w:szCs w:val="24"/>
        </w:rPr>
        <w:t>ripping of walls, ceilings, searching for any hidden fire and extinguishing that if it's visible.</w:t>
      </w:r>
      <w:r>
        <w:rPr>
          <w:rFonts w:ascii="Times New Roman" w:eastAsia="Times New Roman" w:hAnsi="Times New Roman"/>
          <w:sz w:val="24"/>
          <w:szCs w:val="24"/>
        </w:rPr>
        <w:t xml:space="preserve">’… </w:t>
      </w:r>
      <w:r w:rsidRPr="00B01F90">
        <w:rPr>
          <w:rFonts w:ascii="Times New Roman" w:eastAsia="Times New Roman" w:hAnsi="Times New Roman"/>
          <w:sz w:val="24"/>
          <w:szCs w:val="24"/>
        </w:rPr>
        <w:t>After exposure to each fire incident, Claimant's body would be coated in soot, and Claimant would often find soot in his nasal secretions up to a week after exposure</w:t>
      </w:r>
      <w:r>
        <w:rPr>
          <w:rFonts w:ascii="Times New Roman" w:eastAsia="Times New Roman" w:hAnsi="Times New Roman"/>
          <w:sz w:val="24"/>
          <w:szCs w:val="24"/>
        </w:rPr>
        <w:t xml:space="preserve">…. </w:t>
      </w:r>
      <w:r w:rsidRPr="00B01F90">
        <w:rPr>
          <w:rFonts w:ascii="Times New Roman" w:eastAsia="Times New Roman" w:hAnsi="Times New Roman"/>
          <w:sz w:val="24"/>
          <w:szCs w:val="24"/>
        </w:rPr>
        <w:t>Claimant further testified that he stopped smoking cigarettes in 2011, but had a 30 to 35-year-long smoking history</w:t>
      </w:r>
      <w:r>
        <w:rPr>
          <w:rFonts w:ascii="Times New Roman" w:eastAsia="Times New Roman" w:hAnsi="Times New Roman"/>
          <w:sz w:val="24"/>
          <w:szCs w:val="24"/>
        </w:rPr>
        <w:t xml:space="preserve">… </w:t>
      </w:r>
      <w:r w:rsidRPr="00B01F90">
        <w:rPr>
          <w:rFonts w:ascii="Times New Roman" w:eastAsia="Times New Roman" w:hAnsi="Times New Roman"/>
          <w:sz w:val="24"/>
          <w:szCs w:val="24"/>
        </w:rPr>
        <w:t>During that period, Claimant recalled smoking only one pack of cigarettes per week</w:t>
      </w:r>
      <w:r>
        <w:rPr>
          <w:rFonts w:ascii="Times New Roman" w:eastAsia="Times New Roman" w:hAnsi="Times New Roman"/>
          <w:sz w:val="24"/>
          <w:szCs w:val="24"/>
        </w:rPr>
        <w:t xml:space="preserve">…. </w:t>
      </w:r>
      <w:r w:rsidRPr="00B01F90">
        <w:rPr>
          <w:rFonts w:ascii="Times New Roman" w:eastAsia="Times New Roman" w:hAnsi="Times New Roman"/>
          <w:sz w:val="24"/>
          <w:szCs w:val="24"/>
        </w:rPr>
        <w:t xml:space="preserve">Firefighters were permitted to smoke in the fire stations, and Claimant worked with smokers during his career as a firefighter. </w:t>
      </w:r>
      <w:r>
        <w:rPr>
          <w:rFonts w:ascii="Times New Roman" w:eastAsia="Times New Roman" w:hAnsi="Times New Roman"/>
          <w:sz w:val="24"/>
          <w:szCs w:val="24"/>
        </w:rPr>
        <w:t xml:space="preserve">*** </w:t>
      </w:r>
      <w:r w:rsidRPr="00F56F6D">
        <w:rPr>
          <w:rFonts w:ascii="Times New Roman" w:eastAsia="Times New Roman" w:hAnsi="Times New Roman"/>
          <w:sz w:val="24"/>
          <w:szCs w:val="24"/>
        </w:rPr>
        <w:t>For the reasons set forth above, Claimant established that he was entitled to the statutory presumption under Section 301(f) of the Act, being that his lung cancer was caused by the occupation of firefighting. Employer failed to rebut the statutory presumption with substantial competent evidence that Claimant's</w:t>
      </w:r>
      <w:r>
        <w:rPr>
          <w:rFonts w:ascii="Times New Roman" w:eastAsia="Times New Roman" w:hAnsi="Times New Roman"/>
          <w:sz w:val="24"/>
          <w:szCs w:val="24"/>
        </w:rPr>
        <w:t xml:space="preserve"> </w:t>
      </w:r>
      <w:r w:rsidRPr="00F56F6D">
        <w:rPr>
          <w:rFonts w:ascii="Times New Roman" w:eastAsia="Times New Roman" w:hAnsi="Times New Roman"/>
          <w:sz w:val="24"/>
          <w:szCs w:val="24"/>
        </w:rPr>
        <w:t xml:space="preserve">cancer was caused by something other than his workplace exposure to IARC Group 1 carcinogens linked to lung cancer. </w:t>
      </w:r>
      <w:hyperlink r:id="rId1268" w:history="1">
        <w:r w:rsidRPr="00B01F90">
          <w:rPr>
            <w:rStyle w:val="Hyperlink"/>
            <w:rFonts w:ascii="Times New Roman" w:eastAsia="Times New Roman" w:hAnsi="Times New Roman"/>
            <w:sz w:val="24"/>
            <w:szCs w:val="24"/>
          </w:rPr>
          <w:t>https://public.fastcase.com/Wl%2B2t%2BeVuI35%2FN70vAMFZi2NtCwkTvdiKyrWKXTmtjwARSxGp50rXf7QoqUpwr%2BO</w:t>
        </w:r>
      </w:hyperlink>
      <w:r w:rsidRPr="00B01F90">
        <w:rPr>
          <w:rFonts w:ascii="Times New Roman" w:eastAsia="Times New Roman" w:hAnsi="Times New Roman"/>
          <w:sz w:val="24"/>
          <w:szCs w:val="24"/>
        </w:rPr>
        <w:t xml:space="preserve"> </w:t>
      </w:r>
    </w:p>
    <w:p w14:paraId="07D0AD1F" w14:textId="77777777" w:rsidR="007C6FEF" w:rsidRDefault="007C6FEF" w:rsidP="00A06387">
      <w:pPr>
        <w:pStyle w:val="NoSpacing"/>
        <w:rPr>
          <w:rFonts w:ascii="Arial Black" w:hAnsi="Arial Black"/>
          <w:sz w:val="28"/>
          <w:szCs w:val="28"/>
        </w:rPr>
      </w:pPr>
    </w:p>
    <w:p w14:paraId="3F6E0C59" w14:textId="77777777" w:rsidR="007C6FEF" w:rsidRDefault="007C6FEF" w:rsidP="00A06387">
      <w:pPr>
        <w:pStyle w:val="NoSpacing"/>
        <w:rPr>
          <w:rFonts w:ascii="Arial Black" w:hAnsi="Arial Black"/>
          <w:sz w:val="28"/>
          <w:szCs w:val="28"/>
        </w:rPr>
      </w:pPr>
    </w:p>
    <w:p w14:paraId="54CC9EBF" w14:textId="77777777" w:rsidR="007C6FEF" w:rsidRDefault="007C6FEF" w:rsidP="00A06387">
      <w:pPr>
        <w:pStyle w:val="NoSpacing"/>
        <w:rPr>
          <w:rFonts w:ascii="Arial Black" w:hAnsi="Arial Black"/>
          <w:sz w:val="28"/>
          <w:szCs w:val="28"/>
        </w:rPr>
      </w:pPr>
    </w:p>
    <w:p w14:paraId="1BF140C3" w14:textId="7BDC7DA2" w:rsidR="007C6FEF" w:rsidRDefault="007C6FEF" w:rsidP="00A06387">
      <w:pPr>
        <w:pStyle w:val="NoSpacing"/>
        <w:rPr>
          <w:rFonts w:ascii="Arial Black" w:hAnsi="Arial Black"/>
          <w:sz w:val="28"/>
          <w:szCs w:val="28"/>
        </w:rPr>
      </w:pPr>
      <w:r>
        <w:rPr>
          <w:rFonts w:ascii="Arial Black" w:hAnsi="Arial Black"/>
          <w:sz w:val="28"/>
          <w:szCs w:val="28"/>
        </w:rPr>
        <w:t>6-27</w:t>
      </w:r>
    </w:p>
    <w:p w14:paraId="2FD1BD7D" w14:textId="3EF71137" w:rsidR="007C6FEF" w:rsidRDefault="007C6FEF" w:rsidP="007C6FEF">
      <w:pPr>
        <w:rPr>
          <w:rFonts w:ascii="Arial Black" w:hAnsi="Arial Black"/>
          <w:sz w:val="28"/>
          <w:szCs w:val="28"/>
        </w:rPr>
      </w:pPr>
      <w:r w:rsidRPr="00407E0E">
        <w:rPr>
          <w:rFonts w:ascii="Arial Black" w:hAnsi="Arial Black"/>
          <w:sz w:val="28"/>
          <w:szCs w:val="28"/>
        </w:rPr>
        <w:t>RI:</w:t>
      </w:r>
      <w:r>
        <w:rPr>
          <w:rFonts w:ascii="Arial Black" w:hAnsi="Arial Black"/>
          <w:sz w:val="28"/>
          <w:szCs w:val="28"/>
        </w:rPr>
        <w:t xml:space="preserve"> CRANSTON FF – 20 YRS ON FD - DIED COLON CANCER 2017 – RI SUPREME COURT DENIES WIDOW ACCIDENTAL DISABILITY PENSION</w:t>
      </w:r>
    </w:p>
    <w:p w14:paraId="1C5F38B5" w14:textId="77777777" w:rsidR="007C6FEF" w:rsidRDefault="007C6FEF" w:rsidP="007C6FEF">
      <w:pPr>
        <w:rPr>
          <w:b/>
          <w:bCs/>
        </w:rPr>
      </w:pPr>
      <w:r w:rsidRPr="00212873">
        <w:rPr>
          <w:rFonts w:ascii="Times New Roman" w:hAnsi="Times New Roman"/>
          <w:sz w:val="24"/>
          <w:szCs w:val="24"/>
        </w:rPr>
        <w:t xml:space="preserve">On Dec. 18, </w:t>
      </w:r>
      <w:proofErr w:type="gramStart"/>
      <w:r w:rsidRPr="00212873">
        <w:rPr>
          <w:rFonts w:ascii="Times New Roman" w:hAnsi="Times New Roman"/>
          <w:sz w:val="24"/>
          <w:szCs w:val="24"/>
        </w:rPr>
        <w:t>2019</w:t>
      </w:r>
      <w:proofErr w:type="gramEnd"/>
      <w:r w:rsidRPr="00212873">
        <w:rPr>
          <w:rFonts w:ascii="Times New Roman" w:hAnsi="Times New Roman"/>
          <w:sz w:val="24"/>
          <w:szCs w:val="24"/>
        </w:rPr>
        <w:t xml:space="preserve"> in </w:t>
      </w:r>
      <w:r w:rsidRPr="00212873">
        <w:rPr>
          <w:rFonts w:ascii="Times New Roman" w:hAnsi="Times New Roman"/>
          <w:sz w:val="24"/>
          <w:szCs w:val="24"/>
          <w:u w:val="single"/>
        </w:rPr>
        <w:t>Corrine A. Lang as Executrix of Estate of Kevin Land v. Municipal Employees’ Retirement System of Rhode Island</w:t>
      </w:r>
      <w:r w:rsidRPr="00212873">
        <w:rPr>
          <w:rFonts w:ascii="Times New Roman" w:hAnsi="Times New Roman"/>
          <w:sz w:val="24"/>
          <w:szCs w:val="24"/>
        </w:rPr>
        <w:t xml:space="preserve">, the Supreme Court of Rode Island </w:t>
      </w:r>
      <w:r>
        <w:rPr>
          <w:rFonts w:ascii="Times New Roman" w:hAnsi="Times New Roman"/>
          <w:sz w:val="24"/>
          <w:szCs w:val="24"/>
        </w:rPr>
        <w:t xml:space="preserve">ruled </w:t>
      </w:r>
      <w:r w:rsidRPr="00212873">
        <w:rPr>
          <w:rFonts w:ascii="Times New Roman" w:hAnsi="Times New Roman"/>
          <w:sz w:val="24"/>
          <w:szCs w:val="24"/>
        </w:rPr>
        <w:t>(4 to 1)</w:t>
      </w:r>
      <w:r>
        <w:rPr>
          <w:rFonts w:ascii="Times New Roman" w:hAnsi="Times New Roman"/>
          <w:sz w:val="24"/>
          <w:szCs w:val="24"/>
        </w:rPr>
        <w:t xml:space="preserve"> that the widow was not entitled to an award of accidental disability benefits, reversing the </w:t>
      </w:r>
      <w:r w:rsidRPr="00212873">
        <w:rPr>
          <w:rFonts w:ascii="Times New Roman" w:hAnsi="Times New Roman"/>
          <w:sz w:val="24"/>
          <w:szCs w:val="24"/>
        </w:rPr>
        <w:t>Appellate Division of the Workers’ Compensation Court</w:t>
      </w:r>
      <w:r>
        <w:rPr>
          <w:rFonts w:ascii="Times New Roman" w:hAnsi="Times New Roman"/>
          <w:sz w:val="24"/>
          <w:szCs w:val="24"/>
        </w:rPr>
        <w:t>.</w:t>
      </w:r>
    </w:p>
    <w:p w14:paraId="0E961C8B" w14:textId="0C0F387F" w:rsidR="007C6FEF" w:rsidRDefault="007C6FEF" w:rsidP="009F1927">
      <w:pPr>
        <w:pStyle w:val="NoSpacing"/>
        <w:ind w:left="720"/>
        <w:rPr>
          <w:rFonts w:ascii="Arial Black" w:hAnsi="Arial Black"/>
          <w:sz w:val="28"/>
          <w:szCs w:val="28"/>
        </w:rPr>
      </w:pPr>
      <w:r>
        <w:rPr>
          <w:rFonts w:ascii="Times New Roman" w:hAnsi="Times New Roman"/>
          <w:sz w:val="24"/>
          <w:szCs w:val="24"/>
        </w:rPr>
        <w:t>“</w:t>
      </w:r>
      <w:r w:rsidRPr="00212873">
        <w:rPr>
          <w:rFonts w:ascii="Times New Roman" w:hAnsi="Times New Roman"/>
          <w:sz w:val="24"/>
          <w:szCs w:val="24"/>
        </w:rPr>
        <w:t>To conclude that the language in § 45-19.1-1 creates a conclusive presumption would not only render the statutory definition of occupational cancer in § 45-19.1-2(d) meaningless</w:t>
      </w:r>
      <w:r>
        <w:rPr>
          <w:rFonts w:ascii="Times New Roman" w:hAnsi="Times New Roman"/>
          <w:sz w:val="24"/>
          <w:szCs w:val="24"/>
        </w:rPr>
        <w:t xml:space="preserve"> </w:t>
      </w:r>
      <w:r w:rsidRPr="00212873">
        <w:rPr>
          <w:rFonts w:ascii="Times New Roman" w:hAnsi="Times New Roman"/>
          <w:sz w:val="24"/>
          <w:szCs w:val="24"/>
        </w:rPr>
        <w:t xml:space="preserve">and create a right not found within the </w:t>
      </w:r>
      <w:proofErr w:type="gramStart"/>
      <w:r w:rsidRPr="00212873">
        <w:rPr>
          <w:rFonts w:ascii="Times New Roman" w:hAnsi="Times New Roman"/>
          <w:sz w:val="24"/>
          <w:szCs w:val="24"/>
        </w:rPr>
        <w:t>statute,</w:t>
      </w:r>
      <w:r>
        <w:rPr>
          <w:rFonts w:ascii="Times New Roman" w:hAnsi="Times New Roman"/>
          <w:sz w:val="24"/>
          <w:szCs w:val="24"/>
        </w:rPr>
        <w:t xml:space="preserve"> </w:t>
      </w:r>
      <w:r w:rsidRPr="00212873">
        <w:rPr>
          <w:rFonts w:ascii="Times New Roman" w:hAnsi="Times New Roman"/>
          <w:sz w:val="24"/>
          <w:szCs w:val="24"/>
        </w:rPr>
        <w:t>but</w:t>
      </w:r>
      <w:proofErr w:type="gramEnd"/>
      <w:r w:rsidRPr="00212873">
        <w:rPr>
          <w:rFonts w:ascii="Times New Roman" w:hAnsi="Times New Roman"/>
          <w:sz w:val="24"/>
          <w:szCs w:val="24"/>
        </w:rPr>
        <w:t xml:space="preserve"> would also construe the statute to reach an absurd result. For example, a conclusive presumption that all cancers in firefighters are occupational cancers would mean that a firefighter who</w:t>
      </w:r>
      <w:r>
        <w:rPr>
          <w:rFonts w:ascii="Times New Roman" w:hAnsi="Times New Roman"/>
          <w:sz w:val="24"/>
          <w:szCs w:val="24"/>
        </w:rPr>
        <w:t xml:space="preserve"> </w:t>
      </w:r>
      <w:r w:rsidRPr="00212873">
        <w:rPr>
          <w:rFonts w:ascii="Times New Roman" w:hAnsi="Times New Roman"/>
          <w:sz w:val="24"/>
          <w:szCs w:val="24"/>
        </w:rPr>
        <w:t>smoked four packs</w:t>
      </w:r>
      <w:r>
        <w:rPr>
          <w:rFonts w:ascii="Times New Roman" w:hAnsi="Times New Roman"/>
          <w:sz w:val="24"/>
          <w:szCs w:val="24"/>
        </w:rPr>
        <w:t xml:space="preserve"> </w:t>
      </w:r>
      <w:r w:rsidRPr="00212873">
        <w:rPr>
          <w:rFonts w:ascii="Times New Roman" w:hAnsi="Times New Roman"/>
          <w:sz w:val="24"/>
          <w:szCs w:val="24"/>
        </w:rPr>
        <w:t>of cigarettes a day</w:t>
      </w:r>
      <w:r>
        <w:rPr>
          <w:rFonts w:ascii="Times New Roman" w:hAnsi="Times New Roman"/>
          <w:sz w:val="24"/>
          <w:szCs w:val="24"/>
        </w:rPr>
        <w:t xml:space="preserve"> </w:t>
      </w:r>
      <w:r w:rsidRPr="00212873">
        <w:rPr>
          <w:rFonts w:ascii="Times New Roman" w:hAnsi="Times New Roman"/>
          <w:sz w:val="24"/>
          <w:szCs w:val="24"/>
        </w:rPr>
        <w:t>for decades</w:t>
      </w:r>
      <w:r>
        <w:rPr>
          <w:rFonts w:ascii="Times New Roman" w:hAnsi="Times New Roman"/>
          <w:sz w:val="24"/>
          <w:szCs w:val="24"/>
        </w:rPr>
        <w:t xml:space="preserve"> </w:t>
      </w:r>
      <w:r w:rsidRPr="00212873">
        <w:rPr>
          <w:rFonts w:ascii="Times New Roman" w:hAnsi="Times New Roman"/>
          <w:sz w:val="24"/>
          <w:szCs w:val="24"/>
        </w:rPr>
        <w:t>would receive an occupational cancer disability benefit despite not having proved</w:t>
      </w:r>
      <w:r>
        <w:rPr>
          <w:rFonts w:ascii="Times New Roman" w:hAnsi="Times New Roman"/>
          <w:sz w:val="24"/>
          <w:szCs w:val="24"/>
        </w:rPr>
        <w:t xml:space="preserve"> </w:t>
      </w:r>
      <w:r w:rsidRPr="00212873">
        <w:rPr>
          <w:rFonts w:ascii="Times New Roman" w:hAnsi="Times New Roman"/>
          <w:sz w:val="24"/>
          <w:szCs w:val="24"/>
        </w:rPr>
        <w:t>that his cancer was related</w:t>
      </w:r>
      <w:r>
        <w:rPr>
          <w:rFonts w:ascii="Times New Roman" w:hAnsi="Times New Roman"/>
          <w:sz w:val="24"/>
          <w:szCs w:val="24"/>
        </w:rPr>
        <w:t xml:space="preserve"> </w:t>
      </w:r>
      <w:r w:rsidRPr="00212873">
        <w:rPr>
          <w:rFonts w:ascii="Times New Roman" w:hAnsi="Times New Roman"/>
          <w:sz w:val="24"/>
          <w:szCs w:val="24"/>
        </w:rPr>
        <w:t>to exposure on the job.</w:t>
      </w:r>
      <w:r>
        <w:rPr>
          <w:rFonts w:ascii="Times New Roman" w:hAnsi="Times New Roman"/>
          <w:sz w:val="24"/>
          <w:szCs w:val="24"/>
        </w:rPr>
        <w:t xml:space="preserve"> </w:t>
      </w:r>
      <w:r w:rsidRPr="00212873">
        <w:rPr>
          <w:rFonts w:ascii="Times New Roman" w:hAnsi="Times New Roman"/>
          <w:sz w:val="24"/>
          <w:szCs w:val="24"/>
        </w:rPr>
        <w:t xml:space="preserve">Similarly, a conclusive presumption would provide occupational cancer benefits to a firefighter who contracted cancer </w:t>
      </w:r>
      <w:proofErr w:type="gramStart"/>
      <w:r w:rsidRPr="00212873">
        <w:rPr>
          <w:rFonts w:ascii="Times New Roman" w:hAnsi="Times New Roman"/>
          <w:sz w:val="24"/>
          <w:szCs w:val="24"/>
        </w:rPr>
        <w:t>as a result of</w:t>
      </w:r>
      <w:proofErr w:type="gramEnd"/>
      <w:r w:rsidRPr="00212873">
        <w:rPr>
          <w:rFonts w:ascii="Times New Roman" w:hAnsi="Times New Roman"/>
          <w:sz w:val="24"/>
          <w:szCs w:val="24"/>
        </w:rPr>
        <w:t xml:space="preserve"> exposure to</w:t>
      </w:r>
      <w:r>
        <w:rPr>
          <w:rFonts w:ascii="Times New Roman" w:hAnsi="Times New Roman"/>
          <w:sz w:val="24"/>
          <w:szCs w:val="24"/>
        </w:rPr>
        <w:t xml:space="preserve"> </w:t>
      </w:r>
      <w:r w:rsidRPr="00212873">
        <w:rPr>
          <w:rFonts w:ascii="Times New Roman" w:hAnsi="Times New Roman"/>
          <w:sz w:val="24"/>
          <w:szCs w:val="24"/>
        </w:rPr>
        <w:t>pesticides while landscaping in his</w:t>
      </w:r>
      <w:r>
        <w:rPr>
          <w:rFonts w:ascii="Times New Roman" w:hAnsi="Times New Roman"/>
          <w:sz w:val="24"/>
          <w:szCs w:val="24"/>
        </w:rPr>
        <w:t xml:space="preserve"> </w:t>
      </w:r>
      <w:r w:rsidRPr="00212873">
        <w:rPr>
          <w:rFonts w:ascii="Times New Roman" w:hAnsi="Times New Roman"/>
          <w:sz w:val="24"/>
          <w:szCs w:val="24"/>
        </w:rPr>
        <w:t>or her</w:t>
      </w:r>
      <w:r>
        <w:rPr>
          <w:rFonts w:ascii="Times New Roman" w:hAnsi="Times New Roman"/>
          <w:sz w:val="24"/>
          <w:szCs w:val="24"/>
        </w:rPr>
        <w:t xml:space="preserve"> </w:t>
      </w:r>
      <w:r w:rsidRPr="00212873">
        <w:rPr>
          <w:rFonts w:ascii="Times New Roman" w:hAnsi="Times New Roman"/>
          <w:sz w:val="24"/>
          <w:szCs w:val="24"/>
        </w:rPr>
        <w:t>yard.</w:t>
      </w:r>
      <w:r>
        <w:rPr>
          <w:rFonts w:ascii="Times New Roman" w:hAnsi="Times New Roman"/>
          <w:sz w:val="24"/>
          <w:szCs w:val="24"/>
        </w:rPr>
        <w:t xml:space="preserve"> </w:t>
      </w:r>
      <w:r w:rsidRPr="00212873">
        <w:rPr>
          <w:rFonts w:ascii="Times New Roman" w:hAnsi="Times New Roman"/>
          <w:sz w:val="24"/>
          <w:szCs w:val="24"/>
        </w:rPr>
        <w:t>We do not believe the General Assembly would have extended such broad</w:t>
      </w:r>
      <w:r>
        <w:rPr>
          <w:rFonts w:ascii="Times New Roman" w:hAnsi="Times New Roman"/>
          <w:sz w:val="24"/>
          <w:szCs w:val="24"/>
        </w:rPr>
        <w:t xml:space="preserve"> </w:t>
      </w:r>
      <w:r w:rsidRPr="00212873">
        <w:rPr>
          <w:rFonts w:ascii="Times New Roman" w:hAnsi="Times New Roman"/>
          <w:sz w:val="24"/>
          <w:szCs w:val="24"/>
        </w:rPr>
        <w:t>benefits to all firefighters without expressly providing for</w:t>
      </w:r>
      <w:r>
        <w:rPr>
          <w:rFonts w:ascii="Times New Roman" w:hAnsi="Times New Roman"/>
          <w:sz w:val="24"/>
          <w:szCs w:val="24"/>
        </w:rPr>
        <w:t xml:space="preserve"> </w:t>
      </w:r>
      <w:r w:rsidRPr="00212873">
        <w:rPr>
          <w:rFonts w:ascii="Times New Roman" w:hAnsi="Times New Roman"/>
          <w:sz w:val="24"/>
          <w:szCs w:val="24"/>
        </w:rPr>
        <w:t>such</w:t>
      </w:r>
      <w:r>
        <w:rPr>
          <w:rFonts w:ascii="Times New Roman" w:hAnsi="Times New Roman"/>
          <w:sz w:val="24"/>
          <w:szCs w:val="24"/>
        </w:rPr>
        <w:t xml:space="preserve"> </w:t>
      </w:r>
      <w:r w:rsidRPr="00212873">
        <w:rPr>
          <w:rFonts w:ascii="Times New Roman" w:hAnsi="Times New Roman"/>
          <w:sz w:val="24"/>
          <w:szCs w:val="24"/>
        </w:rPr>
        <w:t>in clear and unambiguous language.</w:t>
      </w:r>
      <w:r>
        <w:rPr>
          <w:rFonts w:ascii="Times New Roman" w:hAnsi="Times New Roman"/>
          <w:sz w:val="24"/>
          <w:szCs w:val="24"/>
        </w:rPr>
        <w:t xml:space="preserve">” </w:t>
      </w:r>
      <w:hyperlink r:id="rId1269" w:history="1">
        <w:r w:rsidRPr="005F7F38">
          <w:rPr>
            <w:rStyle w:val="Hyperlink"/>
            <w:rFonts w:ascii="Times New Roman" w:hAnsi="Times New Roman"/>
            <w:sz w:val="24"/>
            <w:szCs w:val="24"/>
          </w:rPr>
          <w:t>https://www.courts.ri.gov/Courts/SupremeCourt/SupremeOpinions/17-295.pdf</w:t>
        </w:r>
      </w:hyperlink>
    </w:p>
    <w:p w14:paraId="078BFD58" w14:textId="38B0BF00" w:rsidR="007C6FEF" w:rsidRDefault="007C6FEF" w:rsidP="00A06387">
      <w:pPr>
        <w:pStyle w:val="NoSpacing"/>
        <w:rPr>
          <w:rFonts w:ascii="Arial Black" w:hAnsi="Arial Black"/>
          <w:sz w:val="28"/>
          <w:szCs w:val="28"/>
        </w:rPr>
      </w:pPr>
    </w:p>
    <w:p w14:paraId="6F9C3319" w14:textId="14D33386" w:rsidR="009F1927" w:rsidRPr="009F1927" w:rsidRDefault="009F1927" w:rsidP="00A06387">
      <w:pPr>
        <w:pStyle w:val="NoSpacing"/>
        <w:rPr>
          <w:rFonts w:ascii="Times New Roman" w:hAnsi="Times New Roman"/>
          <w:b/>
          <w:bCs/>
          <w:sz w:val="24"/>
          <w:szCs w:val="24"/>
        </w:rPr>
      </w:pPr>
      <w:r w:rsidRPr="009F1927">
        <w:rPr>
          <w:rFonts w:ascii="Times New Roman" w:hAnsi="Times New Roman"/>
          <w:b/>
          <w:bCs/>
          <w:sz w:val="24"/>
          <w:szCs w:val="24"/>
        </w:rPr>
        <w:t>Legal Lessons Learned:</w:t>
      </w:r>
      <w:r>
        <w:rPr>
          <w:rFonts w:ascii="Times New Roman" w:hAnsi="Times New Roman"/>
          <w:b/>
          <w:bCs/>
          <w:sz w:val="24"/>
          <w:szCs w:val="24"/>
        </w:rPr>
        <w:t xml:space="preserve"> </w:t>
      </w:r>
      <w:r w:rsidRPr="009F1927">
        <w:rPr>
          <w:rFonts w:ascii="Times New Roman" w:hAnsi="Times New Roman"/>
          <w:b/>
          <w:bCs/>
          <w:sz w:val="24"/>
          <w:szCs w:val="24"/>
        </w:rPr>
        <w:t>Hopefully the Rhode Island legislature will promptly amend the statutory presumption statute</w:t>
      </w:r>
      <w:r>
        <w:rPr>
          <w:rFonts w:ascii="Times New Roman" w:hAnsi="Times New Roman"/>
          <w:b/>
          <w:bCs/>
          <w:sz w:val="24"/>
          <w:szCs w:val="24"/>
        </w:rPr>
        <w:t xml:space="preserve"> t</w:t>
      </w:r>
      <w:r w:rsidRPr="009F1927">
        <w:rPr>
          <w:rFonts w:ascii="Times New Roman" w:hAnsi="Times New Roman"/>
          <w:b/>
          <w:bCs/>
          <w:sz w:val="24"/>
          <w:szCs w:val="24"/>
        </w:rPr>
        <w:t xml:space="preserve">o clarify the burden of proof when firefighters have can </w:t>
      </w:r>
      <w:r>
        <w:rPr>
          <w:rFonts w:ascii="Times New Roman" w:hAnsi="Times New Roman"/>
          <w:b/>
          <w:bCs/>
          <w:sz w:val="24"/>
          <w:szCs w:val="24"/>
        </w:rPr>
        <w:t>be entitled to coverage.</w:t>
      </w:r>
    </w:p>
    <w:p w14:paraId="2C46F1A3" w14:textId="77777777" w:rsidR="009F1927" w:rsidRDefault="009F1927" w:rsidP="003464C5">
      <w:pPr>
        <w:rPr>
          <w:rFonts w:ascii="Times New Roman" w:hAnsi="Times New Roman"/>
          <w:bCs/>
          <w:sz w:val="24"/>
          <w:szCs w:val="24"/>
        </w:rPr>
      </w:pPr>
    </w:p>
    <w:p w14:paraId="557F7C5C" w14:textId="77777777" w:rsidR="007C6FEF" w:rsidRDefault="007C6FEF" w:rsidP="00A06387">
      <w:pPr>
        <w:pStyle w:val="NoSpacing"/>
        <w:rPr>
          <w:rFonts w:ascii="Arial Black" w:hAnsi="Arial Black"/>
          <w:sz w:val="28"/>
          <w:szCs w:val="28"/>
        </w:rPr>
      </w:pPr>
    </w:p>
    <w:p w14:paraId="29B521B5" w14:textId="2082D058" w:rsidR="00A52325" w:rsidRDefault="00A52325" w:rsidP="00A06387">
      <w:pPr>
        <w:pStyle w:val="NoSpacing"/>
        <w:rPr>
          <w:rFonts w:ascii="Arial Black" w:hAnsi="Arial Black"/>
          <w:sz w:val="28"/>
          <w:szCs w:val="28"/>
        </w:rPr>
      </w:pPr>
      <w:r>
        <w:rPr>
          <w:rFonts w:ascii="Arial Black" w:hAnsi="Arial Black"/>
          <w:sz w:val="28"/>
          <w:szCs w:val="28"/>
        </w:rPr>
        <w:t>6-26</w:t>
      </w:r>
    </w:p>
    <w:p w14:paraId="704048D5" w14:textId="6D3719CC" w:rsidR="00A52325" w:rsidRDefault="00A52325" w:rsidP="00A06387">
      <w:pPr>
        <w:pStyle w:val="NoSpacing"/>
        <w:rPr>
          <w:rFonts w:ascii="Arial Black" w:hAnsi="Arial Black"/>
          <w:sz w:val="28"/>
          <w:szCs w:val="28"/>
        </w:rPr>
      </w:pPr>
    </w:p>
    <w:p w14:paraId="00F9FC01" w14:textId="77777777" w:rsidR="00A52325" w:rsidRDefault="00A52325" w:rsidP="00A52325">
      <w:pPr>
        <w:pStyle w:val="NoSpacing"/>
        <w:rPr>
          <w:rFonts w:ascii="Arial Black" w:hAnsi="Arial Black" w:cstheme="minorBidi"/>
          <w:sz w:val="28"/>
          <w:szCs w:val="28"/>
        </w:rPr>
      </w:pPr>
      <w:r>
        <w:rPr>
          <w:rFonts w:ascii="Arial Black" w:hAnsi="Arial Black"/>
          <w:sz w:val="28"/>
          <w:szCs w:val="28"/>
        </w:rPr>
        <w:t xml:space="preserve">NY:  FDNY FF RESIGNED – PLED GUILTY TO FELONY - LYING TO FBI &amp; DOJ – NO RIGHT TO REINSTATEMENT </w:t>
      </w:r>
    </w:p>
    <w:p w14:paraId="11456ED5" w14:textId="77777777" w:rsidR="00A52325" w:rsidRDefault="00A52325" w:rsidP="00A52325">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8, 2019, in </w:t>
      </w:r>
      <w:r>
        <w:rPr>
          <w:rFonts w:ascii="Times New Roman" w:hAnsi="Times New Roman"/>
          <w:sz w:val="24"/>
          <w:szCs w:val="24"/>
          <w:u w:val="single"/>
        </w:rPr>
        <w:t xml:space="preserve">Stephen </w:t>
      </w:r>
      <w:proofErr w:type="spellStart"/>
      <w:r>
        <w:rPr>
          <w:rFonts w:ascii="Times New Roman" w:hAnsi="Times New Roman"/>
          <w:sz w:val="24"/>
          <w:szCs w:val="24"/>
          <w:u w:val="single"/>
        </w:rPr>
        <w:t>Mcanulty</w:t>
      </w:r>
      <w:proofErr w:type="spellEnd"/>
      <w:r>
        <w:rPr>
          <w:rFonts w:ascii="Times New Roman" w:hAnsi="Times New Roman"/>
          <w:sz w:val="24"/>
          <w:szCs w:val="24"/>
          <w:u w:val="single"/>
        </w:rPr>
        <w:t xml:space="preserve"> v. Fire Department of City of New York</w:t>
      </w:r>
      <w:r>
        <w:rPr>
          <w:rFonts w:ascii="Times New Roman" w:hAnsi="Times New Roman"/>
          <w:sz w:val="24"/>
          <w:szCs w:val="24"/>
        </w:rPr>
        <w:t>, NY Supreme Court / Kings County (Judge Katherine A. Levine), the judge held the FDNY had no obligation to rehire the firefighter eight years after he resigned.</w:t>
      </w:r>
    </w:p>
    <w:p w14:paraId="2FB9AB43" w14:textId="77777777" w:rsidR="00A52325" w:rsidRDefault="00A52325" w:rsidP="00A5232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“In sum, petitioner has not shown that the FDNY in any way violated lawful </w:t>
      </w:r>
      <w:proofErr w:type="gramStart"/>
      <w:r>
        <w:rPr>
          <w:rFonts w:ascii="Times New Roman" w:hAnsi="Times New Roman"/>
          <w:sz w:val="24"/>
          <w:szCs w:val="24"/>
        </w:rPr>
        <w:t>procedure, or</w:t>
      </w:r>
      <w:proofErr w:type="gramEnd"/>
      <w:r>
        <w:rPr>
          <w:rFonts w:ascii="Times New Roman" w:hAnsi="Times New Roman"/>
          <w:sz w:val="24"/>
          <w:szCs w:val="24"/>
        </w:rPr>
        <w:t xml:space="preserve"> deviated from the standards set forth in the PRR (55 RCNY Appendix A) § 6.2.1(a) and (b), and POL § 30(1)(e). The court finds that </w:t>
      </w:r>
      <w:proofErr w:type="gramStart"/>
      <w:r>
        <w:rPr>
          <w:rFonts w:ascii="Times New Roman" w:hAnsi="Times New Roman"/>
          <w:sz w:val="24"/>
          <w:szCs w:val="24"/>
        </w:rPr>
        <w:t>respondent's</w:t>
      </w:r>
      <w:proofErr w:type="gramEnd"/>
      <w:r>
        <w:rPr>
          <w:rFonts w:ascii="Times New Roman" w:hAnsi="Times New Roman"/>
          <w:sz w:val="24"/>
          <w:szCs w:val="24"/>
        </w:rPr>
        <w:t xml:space="preserve"> determination was reasonably based on the facts and </w:t>
      </w:r>
      <w:proofErr w:type="gramStart"/>
      <w:r>
        <w:rPr>
          <w:rFonts w:ascii="Times New Roman" w:hAnsi="Times New Roman"/>
          <w:sz w:val="24"/>
          <w:szCs w:val="24"/>
        </w:rPr>
        <w:t>law, and</w:t>
      </w:r>
      <w:proofErr w:type="gramEnd"/>
      <w:r>
        <w:rPr>
          <w:rFonts w:ascii="Times New Roman" w:hAnsi="Times New Roman"/>
          <w:sz w:val="24"/>
          <w:szCs w:val="24"/>
        </w:rPr>
        <w:t xml:space="preserve"> was not arbitrary and capricious or an abuse of discretion. Therefore, the petition is denied. This constitutes the decision and order of the court.” </w:t>
      </w:r>
      <w:hyperlink r:id="rId1270" w:history="1">
        <w:r>
          <w:rPr>
            <w:rStyle w:val="Hyperlink"/>
            <w:rFonts w:ascii="Times New Roman" w:hAnsi="Times New Roman"/>
            <w:sz w:val="24"/>
            <w:szCs w:val="24"/>
          </w:rPr>
          <w:t>https://law.justia.com/cases/new-york/other-courts/2019/2019-ny-slip-op-29363.html</w:t>
        </w:r>
      </w:hyperlink>
      <w:r>
        <w:rPr>
          <w:rFonts w:ascii="Times New Roman" w:hAnsi="Times New Roman"/>
          <w:sz w:val="24"/>
          <w:szCs w:val="24"/>
        </w:rPr>
        <w:t xml:space="preserve"> </w:t>
      </w:r>
    </w:p>
    <w:p w14:paraId="75CC0547" w14:textId="77777777" w:rsidR="00A52325" w:rsidRDefault="00A52325" w:rsidP="00A52325">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Lessons Learned:  FDNY was legally barred from reinstating a convicted felon whose conviction had never been vacated.  </w:t>
      </w:r>
    </w:p>
    <w:p w14:paraId="7E21E32C" w14:textId="77777777" w:rsidR="00A52325" w:rsidRDefault="00A52325" w:rsidP="00A06387">
      <w:pPr>
        <w:pStyle w:val="NoSpacing"/>
        <w:rPr>
          <w:rFonts w:ascii="Arial Black" w:hAnsi="Arial Black"/>
          <w:sz w:val="28"/>
          <w:szCs w:val="28"/>
        </w:rPr>
      </w:pPr>
    </w:p>
    <w:p w14:paraId="45110975" w14:textId="77777777" w:rsidR="00A52325" w:rsidRDefault="00A52325" w:rsidP="00A06387">
      <w:pPr>
        <w:pStyle w:val="NoSpacing"/>
        <w:rPr>
          <w:rFonts w:ascii="Arial Black" w:hAnsi="Arial Black"/>
          <w:sz w:val="28"/>
          <w:szCs w:val="28"/>
        </w:rPr>
      </w:pPr>
    </w:p>
    <w:p w14:paraId="0694928F" w14:textId="7515169A" w:rsidR="00A06387" w:rsidRDefault="00A06387" w:rsidP="00A06387">
      <w:pPr>
        <w:pStyle w:val="NoSpacing"/>
        <w:rPr>
          <w:rFonts w:ascii="Arial Black" w:hAnsi="Arial Black"/>
          <w:sz w:val="28"/>
          <w:szCs w:val="28"/>
        </w:rPr>
      </w:pPr>
      <w:r>
        <w:rPr>
          <w:rFonts w:ascii="Arial Black" w:hAnsi="Arial Black"/>
          <w:sz w:val="28"/>
          <w:szCs w:val="28"/>
        </w:rPr>
        <w:t>6-25</w:t>
      </w:r>
    </w:p>
    <w:p w14:paraId="2C6180D5" w14:textId="77777777" w:rsidR="00A06387" w:rsidRDefault="00A06387" w:rsidP="00A06387">
      <w:pPr>
        <w:pStyle w:val="NoSpacing"/>
        <w:rPr>
          <w:rFonts w:ascii="Arial Black" w:hAnsi="Arial Black"/>
          <w:sz w:val="28"/>
          <w:szCs w:val="28"/>
        </w:rPr>
      </w:pPr>
    </w:p>
    <w:p w14:paraId="2FD2CAC0" w14:textId="2AAE94F0" w:rsidR="00A06387" w:rsidRDefault="00A06387" w:rsidP="00A06387">
      <w:pPr>
        <w:pStyle w:val="NoSpacing"/>
        <w:rPr>
          <w:rFonts w:ascii="Arial Black" w:hAnsi="Arial Black"/>
          <w:sz w:val="28"/>
          <w:szCs w:val="28"/>
        </w:rPr>
      </w:pPr>
      <w:r>
        <w:rPr>
          <w:rFonts w:ascii="Arial Black" w:hAnsi="Arial Black"/>
          <w:sz w:val="28"/>
          <w:szCs w:val="28"/>
        </w:rPr>
        <w:t xml:space="preserve">WA: FF BRAIN MELANOMA - WINS PERMANENT DISABILITY – PREV. DENIED TEMPORARY DISAB, MELANOMA ON BACK </w:t>
      </w:r>
      <w:r>
        <w:rPr>
          <w:rFonts w:ascii="Arial Black" w:hAnsi="Arial Black"/>
          <w:sz w:val="28"/>
          <w:szCs w:val="28"/>
        </w:rPr>
        <w:br/>
      </w:r>
    </w:p>
    <w:p w14:paraId="44B8FB12" w14:textId="77777777" w:rsidR="00A06387" w:rsidRPr="009F1927" w:rsidRDefault="00A06387" w:rsidP="00A06387">
      <w:pPr>
        <w:pStyle w:val="NoSpacing"/>
        <w:rPr>
          <w:rFonts w:ascii="Times New Roman" w:hAnsi="Times New Roman"/>
          <w:sz w:val="24"/>
          <w:szCs w:val="24"/>
        </w:rPr>
      </w:pPr>
      <w:r w:rsidRPr="009F1927">
        <w:rPr>
          <w:rFonts w:ascii="Times New Roman" w:hAnsi="Times New Roman"/>
          <w:bCs/>
          <w:sz w:val="24"/>
          <w:szCs w:val="24"/>
        </w:rPr>
        <w:t xml:space="preserve">On Oct. 17, 2019, in </w:t>
      </w:r>
      <w:r w:rsidRPr="009F1927">
        <w:rPr>
          <w:rFonts w:ascii="Times New Roman" w:hAnsi="Times New Roman"/>
          <w:bCs/>
          <w:sz w:val="24"/>
          <w:szCs w:val="24"/>
          <w:u w:val="single"/>
        </w:rPr>
        <w:t>Michael Weaver v. City of Everett and State of Washington, Department of Labor &amp; Industries</w:t>
      </w:r>
      <w:r w:rsidRPr="009F1927">
        <w:rPr>
          <w:rFonts w:ascii="Times New Roman" w:hAnsi="Times New Roman"/>
          <w:bCs/>
          <w:sz w:val="24"/>
          <w:szCs w:val="24"/>
        </w:rPr>
        <w:t xml:space="preserve">, the Supreme Court of State of Washington, held (9 to 0) that the firefighter’s melanoma was an occupational disease entitling his to permanent disability benefits, even though the State had previously denied him temporary disability. </w:t>
      </w:r>
    </w:p>
    <w:p w14:paraId="0784BAC8" w14:textId="77777777" w:rsidR="00A06387" w:rsidRPr="009F1927" w:rsidRDefault="00A06387" w:rsidP="00A06387">
      <w:pPr>
        <w:pStyle w:val="NoSpacing"/>
        <w:rPr>
          <w:rFonts w:ascii="Times New Roman" w:hAnsi="Times New Roman"/>
          <w:b/>
          <w:bCs/>
          <w:sz w:val="24"/>
          <w:szCs w:val="24"/>
        </w:rPr>
      </w:pPr>
    </w:p>
    <w:p w14:paraId="09FE4AF3" w14:textId="77777777" w:rsidR="00A06387" w:rsidRPr="009F1927" w:rsidRDefault="00A06387" w:rsidP="00A06387">
      <w:pPr>
        <w:pStyle w:val="NoSpacing"/>
        <w:ind w:left="720"/>
        <w:rPr>
          <w:rFonts w:ascii="Times New Roman" w:hAnsi="Times New Roman"/>
          <w:b/>
          <w:bCs/>
          <w:sz w:val="24"/>
          <w:szCs w:val="24"/>
        </w:rPr>
      </w:pPr>
      <w:r w:rsidRPr="009F1927">
        <w:rPr>
          <w:rFonts w:ascii="Times New Roman" w:hAnsi="Times New Roman"/>
          <w:bCs/>
          <w:sz w:val="24"/>
          <w:szCs w:val="24"/>
        </w:rPr>
        <w:t xml:space="preserve">“We conclude that the substantial disparity of relief between Weaver's temporary and permanent disability claims kept Weaver from fully and vigorously litigating the issue at the temporary disability claim stage. Therefore, because applying the doctrine in this instance would work an injustice and contravene public policy, we hold that collateral estoppel does not </w:t>
      </w:r>
      <w:proofErr w:type="gramStart"/>
      <w:r w:rsidRPr="009F1927">
        <w:rPr>
          <w:rFonts w:ascii="Times New Roman" w:hAnsi="Times New Roman"/>
          <w:bCs/>
          <w:sz w:val="24"/>
          <w:szCs w:val="24"/>
        </w:rPr>
        <w:t>apply.”</w:t>
      </w:r>
      <w:proofErr w:type="gramEnd"/>
    </w:p>
    <w:p w14:paraId="7B8DF9E8" w14:textId="77777777" w:rsidR="00A06387" w:rsidRPr="009F1927" w:rsidRDefault="00A06387" w:rsidP="00A06387">
      <w:pPr>
        <w:pStyle w:val="NoSpacing"/>
        <w:ind w:left="720"/>
        <w:rPr>
          <w:rFonts w:ascii="Times New Roman" w:hAnsi="Times New Roman"/>
          <w:b/>
          <w:bCs/>
          <w:sz w:val="24"/>
          <w:szCs w:val="24"/>
        </w:rPr>
      </w:pPr>
      <w:hyperlink r:id="rId1271" w:history="1">
        <w:r w:rsidRPr="009F1927">
          <w:rPr>
            <w:rStyle w:val="Hyperlink"/>
            <w:rFonts w:ascii="Times New Roman" w:hAnsi="Times New Roman"/>
            <w:bCs/>
            <w:sz w:val="24"/>
            <w:szCs w:val="24"/>
          </w:rPr>
          <w:t>https://cases.justia.com/washington/supreme-court/2019-96189-1.pdf?ts=1571325618</w:t>
        </w:r>
      </w:hyperlink>
      <w:r w:rsidRPr="009F1927">
        <w:rPr>
          <w:rFonts w:ascii="Times New Roman" w:hAnsi="Times New Roman"/>
          <w:bCs/>
          <w:sz w:val="24"/>
          <w:szCs w:val="24"/>
        </w:rPr>
        <w:t xml:space="preserve"> </w:t>
      </w:r>
    </w:p>
    <w:p w14:paraId="6D0105BF" w14:textId="77777777" w:rsidR="009F1927" w:rsidRPr="009F1927" w:rsidRDefault="009F1927" w:rsidP="00A06387">
      <w:pPr>
        <w:pStyle w:val="NoSpacing"/>
        <w:rPr>
          <w:rFonts w:ascii="Times New Roman" w:hAnsi="Times New Roman"/>
          <w:b/>
          <w:bCs/>
          <w:sz w:val="24"/>
          <w:szCs w:val="24"/>
        </w:rPr>
      </w:pPr>
    </w:p>
    <w:p w14:paraId="395EE568" w14:textId="274DC165" w:rsidR="00A06387" w:rsidRPr="009F1927" w:rsidRDefault="00A06387" w:rsidP="00A06387">
      <w:pPr>
        <w:pStyle w:val="NoSpacing"/>
        <w:rPr>
          <w:rFonts w:ascii="Times New Roman" w:hAnsi="Times New Roman"/>
          <w:b/>
          <w:bCs/>
          <w:sz w:val="24"/>
          <w:szCs w:val="24"/>
        </w:rPr>
      </w:pPr>
      <w:r w:rsidRPr="009F1927">
        <w:rPr>
          <w:rFonts w:ascii="Times New Roman" w:hAnsi="Times New Roman"/>
          <w:b/>
          <w:bCs/>
          <w:sz w:val="24"/>
          <w:szCs w:val="24"/>
        </w:rPr>
        <w:t>Legal Lessons Learned: Nice to see Court supporting a firefighter’s cancer claim, to avoid an “injustice.”</w:t>
      </w:r>
    </w:p>
    <w:p w14:paraId="08939695" w14:textId="77777777" w:rsidR="00A06387" w:rsidRPr="009F1927" w:rsidRDefault="00A06387" w:rsidP="00A06387">
      <w:pPr>
        <w:pStyle w:val="NoSpacing"/>
        <w:ind w:left="720"/>
        <w:rPr>
          <w:rFonts w:ascii="Times New Roman" w:hAnsi="Times New Roman"/>
          <w:b/>
          <w:bCs/>
          <w:sz w:val="24"/>
          <w:szCs w:val="24"/>
        </w:rPr>
      </w:pPr>
    </w:p>
    <w:p w14:paraId="10B92AE0" w14:textId="77777777" w:rsidR="00A06387" w:rsidRDefault="00A06387" w:rsidP="00A06387">
      <w:pPr>
        <w:pStyle w:val="NoSpacing"/>
        <w:rPr>
          <w:b/>
          <w:bCs/>
          <w:sz w:val="24"/>
          <w:szCs w:val="24"/>
        </w:rPr>
      </w:pPr>
    </w:p>
    <w:p w14:paraId="4F08270A" w14:textId="056C5035" w:rsidR="00A06387" w:rsidRPr="0005503D" w:rsidRDefault="00A06387" w:rsidP="0005503D">
      <w:pPr>
        <w:pStyle w:val="NoSpacing"/>
        <w:rPr>
          <w:rFonts w:ascii="Times New Roman" w:hAnsi="Times New Roman"/>
          <w:sz w:val="24"/>
          <w:szCs w:val="24"/>
        </w:rPr>
      </w:pPr>
    </w:p>
    <w:p w14:paraId="3AC5B2C0" w14:textId="77777777" w:rsidR="00A06387" w:rsidRDefault="00A06387" w:rsidP="00EF1133">
      <w:pPr>
        <w:rPr>
          <w:rFonts w:ascii="Arial Black" w:hAnsi="Arial Black"/>
          <w:b/>
          <w:sz w:val="24"/>
          <w:szCs w:val="24"/>
        </w:rPr>
      </w:pPr>
    </w:p>
    <w:p w14:paraId="0FCC6887" w14:textId="77777777" w:rsidR="00A06387" w:rsidRDefault="00A06387" w:rsidP="00EF1133">
      <w:pPr>
        <w:rPr>
          <w:rFonts w:ascii="Arial Black" w:hAnsi="Arial Black"/>
          <w:b/>
          <w:sz w:val="24"/>
          <w:szCs w:val="24"/>
        </w:rPr>
      </w:pPr>
    </w:p>
    <w:p w14:paraId="1003FB7E" w14:textId="4D675248" w:rsidR="00853142" w:rsidRDefault="00853142" w:rsidP="00EF1133">
      <w:pPr>
        <w:rPr>
          <w:rFonts w:ascii="Arial Black" w:hAnsi="Arial Black"/>
          <w:b/>
          <w:sz w:val="24"/>
          <w:szCs w:val="24"/>
        </w:rPr>
      </w:pPr>
      <w:r>
        <w:rPr>
          <w:rFonts w:ascii="Arial Black" w:hAnsi="Arial Black"/>
          <w:b/>
          <w:sz w:val="24"/>
          <w:szCs w:val="24"/>
        </w:rPr>
        <w:t>6-2</w:t>
      </w:r>
      <w:r w:rsidR="005B0774">
        <w:rPr>
          <w:rFonts w:ascii="Arial Black" w:hAnsi="Arial Black"/>
          <w:b/>
          <w:sz w:val="24"/>
          <w:szCs w:val="24"/>
        </w:rPr>
        <w:t>4</w:t>
      </w:r>
    </w:p>
    <w:p w14:paraId="142BC532" w14:textId="77777777" w:rsidR="00853142" w:rsidRPr="00866BD5" w:rsidRDefault="00853142" w:rsidP="00853142">
      <w:pPr>
        <w:pStyle w:val="NoSpacing"/>
        <w:rPr>
          <w:rFonts w:ascii="Arial Black" w:hAnsi="Arial Black"/>
          <w:b/>
          <w:bCs/>
          <w:sz w:val="28"/>
          <w:szCs w:val="28"/>
        </w:rPr>
      </w:pPr>
      <w:r w:rsidRPr="00866BD5">
        <w:rPr>
          <w:rFonts w:ascii="Arial Black" w:hAnsi="Arial Black"/>
          <w:b/>
          <w:bCs/>
          <w:sz w:val="28"/>
          <w:szCs w:val="28"/>
        </w:rPr>
        <w:t xml:space="preserve">OH: </w:t>
      </w:r>
      <w:r>
        <w:rPr>
          <w:rFonts w:ascii="Arial Black" w:hAnsi="Arial Black"/>
          <w:b/>
          <w:bCs/>
          <w:sz w:val="28"/>
          <w:szCs w:val="28"/>
        </w:rPr>
        <w:t>FD LT. DEMOTED WITHIN 1-YR OF PROMOTION – NOT “PROBATIONARY EMPLOYEE” – MAY FILE GRIEVANCE / ARBITRATION</w:t>
      </w:r>
    </w:p>
    <w:p w14:paraId="6E38D84B" w14:textId="77777777" w:rsidR="00853142" w:rsidRDefault="00853142" w:rsidP="00853142">
      <w:pPr>
        <w:pStyle w:val="NoSpacing"/>
      </w:pPr>
    </w:p>
    <w:p w14:paraId="15CE99E1" w14:textId="77777777" w:rsidR="00853142" w:rsidRPr="00866BD5" w:rsidRDefault="00853142" w:rsidP="00853142">
      <w:pPr>
        <w:pStyle w:val="NoSpacing"/>
        <w:rPr>
          <w:rFonts w:ascii="Times New Roman" w:hAnsi="Times New Roman"/>
          <w:sz w:val="24"/>
          <w:szCs w:val="24"/>
        </w:rPr>
      </w:pPr>
      <w:r w:rsidRPr="00866BD5">
        <w:rPr>
          <w:rFonts w:ascii="Times New Roman" w:hAnsi="Times New Roman"/>
          <w:sz w:val="24"/>
          <w:szCs w:val="24"/>
        </w:rPr>
        <w:t xml:space="preserve">On Sept. 18, 2019, in </w:t>
      </w:r>
      <w:r w:rsidRPr="00866BD5">
        <w:rPr>
          <w:rFonts w:ascii="Times New Roman" w:hAnsi="Times New Roman"/>
          <w:sz w:val="24"/>
          <w:szCs w:val="24"/>
          <w:u w:val="single"/>
        </w:rPr>
        <w:t>Steve Conti v. Mayfield Village</w:t>
      </w:r>
      <w:r>
        <w:rPr>
          <w:rFonts w:ascii="Times New Roman" w:hAnsi="Times New Roman"/>
          <w:sz w:val="24"/>
          <w:szCs w:val="24"/>
        </w:rPr>
        <w:t>,  U.S. District Court Judge James S. Gwin, U.S. District Court for the Northern District of Ohio, denied the City’s motion for summary judgement, and rejected the City’s claim that the Lieutenant “</w:t>
      </w:r>
      <w:r w:rsidRPr="00866BD5">
        <w:rPr>
          <w:rFonts w:ascii="Times New Roman" w:hAnsi="Times New Roman"/>
          <w:sz w:val="24"/>
          <w:szCs w:val="24"/>
        </w:rPr>
        <w:t>did not have a property interest in his probationary lieutenant position</w:t>
      </w:r>
      <w:r>
        <w:rPr>
          <w:rFonts w:ascii="Times New Roman" w:hAnsi="Times New Roman"/>
          <w:sz w:val="24"/>
          <w:szCs w:val="24"/>
        </w:rPr>
        <w:t xml:space="preserve">.” </w:t>
      </w:r>
      <w:hyperlink r:id="rId1272" w:history="1">
        <w:r w:rsidRPr="00BA29A7">
          <w:rPr>
            <w:rStyle w:val="Hyperlink"/>
            <w:rFonts w:ascii="Times New Roman" w:hAnsi="Times New Roman"/>
            <w:sz w:val="24"/>
            <w:szCs w:val="24"/>
          </w:rPr>
          <w:t>https://www.courtlistener.com/recap/gov.uscourts.ohnd.252466/gov.uscourts.ohnd.252466.26.0.pdf</w:t>
        </w:r>
      </w:hyperlink>
      <w:r>
        <w:rPr>
          <w:rFonts w:ascii="Times New Roman" w:hAnsi="Times New Roman"/>
          <w:sz w:val="24"/>
          <w:szCs w:val="24"/>
        </w:rPr>
        <w:t xml:space="preserve"> </w:t>
      </w:r>
    </w:p>
    <w:p w14:paraId="31F1FE1E" w14:textId="77777777" w:rsidR="00853142" w:rsidRPr="00866BD5" w:rsidRDefault="00853142" w:rsidP="00853142">
      <w:pPr>
        <w:pStyle w:val="NoSpacing"/>
        <w:rPr>
          <w:rFonts w:ascii="Times New Roman" w:hAnsi="Times New Roman"/>
          <w:sz w:val="24"/>
          <w:szCs w:val="24"/>
        </w:rPr>
      </w:pPr>
    </w:p>
    <w:p w14:paraId="2BAE9346" w14:textId="77777777" w:rsidR="00853142" w:rsidRDefault="00853142" w:rsidP="00853142">
      <w:pPr>
        <w:pStyle w:val="NoSpacing"/>
        <w:ind w:firstLine="720"/>
        <w:rPr>
          <w:rFonts w:ascii="Times New Roman" w:hAnsi="Times New Roman"/>
          <w:sz w:val="24"/>
          <w:szCs w:val="24"/>
        </w:rPr>
      </w:pPr>
      <w:r>
        <w:rPr>
          <w:rFonts w:ascii="Times New Roman" w:hAnsi="Times New Roman"/>
          <w:sz w:val="24"/>
          <w:szCs w:val="24"/>
        </w:rPr>
        <w:t>Judge Gwin wrote:</w:t>
      </w:r>
    </w:p>
    <w:p w14:paraId="6354BE1E" w14:textId="77777777" w:rsidR="00853142" w:rsidRDefault="00853142" w:rsidP="00853142">
      <w:pPr>
        <w:pStyle w:val="NoSpacing"/>
        <w:ind w:firstLine="720"/>
        <w:rPr>
          <w:rFonts w:ascii="Times New Roman" w:hAnsi="Times New Roman"/>
          <w:sz w:val="24"/>
          <w:szCs w:val="24"/>
        </w:rPr>
      </w:pPr>
    </w:p>
    <w:p w14:paraId="450E6EFF" w14:textId="77777777" w:rsidR="00853142" w:rsidRPr="00866BD5" w:rsidRDefault="00853142" w:rsidP="00853142">
      <w:pPr>
        <w:pStyle w:val="NoSpacing"/>
        <w:ind w:left="720"/>
        <w:rPr>
          <w:rFonts w:ascii="Times New Roman" w:hAnsi="Times New Roman"/>
          <w:sz w:val="24"/>
          <w:szCs w:val="24"/>
        </w:rPr>
      </w:pPr>
      <w:r>
        <w:rPr>
          <w:rFonts w:ascii="Times New Roman" w:hAnsi="Times New Roman"/>
          <w:sz w:val="24"/>
          <w:szCs w:val="24"/>
        </w:rPr>
        <w:t>“</w:t>
      </w:r>
      <w:r w:rsidRPr="00866BD5">
        <w:rPr>
          <w:rFonts w:ascii="Times New Roman" w:hAnsi="Times New Roman"/>
          <w:sz w:val="24"/>
          <w:szCs w:val="24"/>
        </w:rPr>
        <w:t xml:space="preserve">Defendant points to the </w:t>
      </w:r>
      <w:r>
        <w:rPr>
          <w:rFonts w:ascii="Times New Roman" w:hAnsi="Times New Roman"/>
          <w:sz w:val="24"/>
          <w:szCs w:val="24"/>
        </w:rPr>
        <w:t>‘</w:t>
      </w:r>
      <w:r w:rsidRPr="00866BD5">
        <w:rPr>
          <w:rFonts w:ascii="Times New Roman" w:hAnsi="Times New Roman"/>
          <w:sz w:val="24"/>
          <w:szCs w:val="24"/>
        </w:rPr>
        <w:t>Fire Lieutenant, Class B – Probationary</w:t>
      </w:r>
      <w:r>
        <w:rPr>
          <w:rFonts w:ascii="Times New Roman" w:hAnsi="Times New Roman"/>
          <w:sz w:val="24"/>
          <w:szCs w:val="24"/>
        </w:rPr>
        <w:t>’</w:t>
      </w:r>
      <w:r w:rsidRPr="00866BD5">
        <w:rPr>
          <w:rFonts w:ascii="Times New Roman" w:hAnsi="Times New Roman"/>
          <w:sz w:val="24"/>
          <w:szCs w:val="24"/>
        </w:rPr>
        <w:t xml:space="preserve"> position in Section 21.1’s salary schedule as support its reading that Plaintiff was a probationary employee. However, the placement of the undefined term </w:t>
      </w:r>
      <w:r>
        <w:rPr>
          <w:rFonts w:ascii="Times New Roman" w:hAnsi="Times New Roman"/>
          <w:sz w:val="24"/>
          <w:szCs w:val="24"/>
        </w:rPr>
        <w:t>‘</w:t>
      </w:r>
      <w:r w:rsidRPr="00866BD5">
        <w:rPr>
          <w:rFonts w:ascii="Times New Roman" w:hAnsi="Times New Roman"/>
          <w:sz w:val="24"/>
          <w:szCs w:val="24"/>
        </w:rPr>
        <w:t>Probationary</w:t>
      </w:r>
      <w:r>
        <w:rPr>
          <w:rFonts w:ascii="Times New Roman" w:hAnsi="Times New Roman"/>
          <w:sz w:val="24"/>
          <w:szCs w:val="24"/>
        </w:rPr>
        <w:t xml:space="preserve">’ </w:t>
      </w:r>
      <w:r w:rsidRPr="00866BD5">
        <w:rPr>
          <w:rFonts w:ascii="Times New Roman" w:hAnsi="Times New Roman"/>
          <w:sz w:val="24"/>
          <w:szCs w:val="24"/>
        </w:rPr>
        <w:t>after a promotional position without further explanation is hardly dispositive of this matter. Defendant’s argument ignores the other CBA references to probationary employees that distinguishes between probationary employees and promoted employees.</w:t>
      </w:r>
    </w:p>
    <w:p w14:paraId="55C50E44" w14:textId="77777777" w:rsidR="00853142" w:rsidRDefault="00853142" w:rsidP="00853142">
      <w:pPr>
        <w:pStyle w:val="NoSpacing"/>
      </w:pPr>
    </w:p>
    <w:p w14:paraId="1B226892" w14:textId="77777777" w:rsidR="00853142" w:rsidRPr="007438B9" w:rsidRDefault="00853142" w:rsidP="00853142">
      <w:pPr>
        <w:pStyle w:val="NoSpacing"/>
        <w:rPr>
          <w:rFonts w:ascii="Times New Roman" w:hAnsi="Times New Roman"/>
          <w:b/>
          <w:bCs/>
          <w:sz w:val="24"/>
          <w:szCs w:val="24"/>
        </w:rPr>
      </w:pPr>
      <w:r w:rsidRPr="007438B9">
        <w:rPr>
          <w:rFonts w:ascii="Times New Roman" w:hAnsi="Times New Roman"/>
          <w:b/>
          <w:bCs/>
          <w:sz w:val="24"/>
          <w:szCs w:val="24"/>
        </w:rPr>
        <w:t xml:space="preserve">Legal Lessons Learned: </w:t>
      </w:r>
      <w:r>
        <w:rPr>
          <w:rFonts w:ascii="Times New Roman" w:hAnsi="Times New Roman"/>
          <w:b/>
          <w:bCs/>
          <w:sz w:val="24"/>
          <w:szCs w:val="24"/>
        </w:rPr>
        <w:t xml:space="preserve">If promoted personnel are to be treated as “probationary” for the first year after probation, clearly state this in the CBA or Employee Handbook.   See Sept. 18, </w:t>
      </w:r>
      <w:proofErr w:type="gramStart"/>
      <w:r>
        <w:rPr>
          <w:rFonts w:ascii="Times New Roman" w:hAnsi="Times New Roman"/>
          <w:b/>
          <w:bCs/>
          <w:sz w:val="24"/>
          <w:szCs w:val="24"/>
        </w:rPr>
        <w:t>2013</w:t>
      </w:r>
      <w:proofErr w:type="gramEnd"/>
      <w:r>
        <w:rPr>
          <w:rFonts w:ascii="Times New Roman" w:hAnsi="Times New Roman"/>
          <w:b/>
          <w:bCs/>
          <w:sz w:val="24"/>
          <w:szCs w:val="24"/>
        </w:rPr>
        <w:t xml:space="preserve"> article and photo – hiring Steve Conti and two other firefighters: </w:t>
      </w:r>
      <w:hyperlink r:id="rId1273" w:history="1">
        <w:r w:rsidRPr="00BA29A7">
          <w:rPr>
            <w:rStyle w:val="Hyperlink"/>
            <w:rFonts w:ascii="Times New Roman" w:hAnsi="Times New Roman"/>
            <w:b/>
            <w:bCs/>
            <w:sz w:val="24"/>
            <w:szCs w:val="24"/>
          </w:rPr>
          <w:t>https://patch.com/ohio/mayfield-hillcrest/mayfield-village-introduces-three-new-firefighters</w:t>
        </w:r>
      </w:hyperlink>
      <w:r>
        <w:rPr>
          <w:rFonts w:ascii="Times New Roman" w:hAnsi="Times New Roman"/>
          <w:b/>
          <w:bCs/>
          <w:sz w:val="24"/>
          <w:szCs w:val="24"/>
        </w:rPr>
        <w:t xml:space="preserve"> </w:t>
      </w:r>
    </w:p>
    <w:p w14:paraId="12125F24" w14:textId="77777777" w:rsidR="00853142" w:rsidRPr="001C6D4E" w:rsidRDefault="00853142" w:rsidP="00853142">
      <w:pPr>
        <w:pStyle w:val="NoSpacing"/>
        <w:rPr>
          <w:rFonts w:ascii="Times New Roman" w:hAnsi="Times New Roman"/>
          <w:sz w:val="24"/>
          <w:szCs w:val="24"/>
        </w:rPr>
      </w:pPr>
    </w:p>
    <w:p w14:paraId="17D20D29" w14:textId="77777777" w:rsidR="00A67C57" w:rsidRPr="001C6D4E" w:rsidRDefault="00A67C57" w:rsidP="00853142">
      <w:pPr>
        <w:pStyle w:val="NoSpacing"/>
        <w:rPr>
          <w:rFonts w:ascii="Times New Roman" w:hAnsi="Times New Roman"/>
          <w:sz w:val="24"/>
          <w:szCs w:val="24"/>
        </w:rPr>
      </w:pPr>
    </w:p>
    <w:p w14:paraId="42A91EB0" w14:textId="77777777" w:rsidR="00853142" w:rsidRDefault="00853142" w:rsidP="00853142">
      <w:pPr>
        <w:pStyle w:val="NoSpacing"/>
        <w:rPr>
          <w:rFonts w:ascii="Times New Roman" w:hAnsi="Times New Roman"/>
          <w:sz w:val="24"/>
          <w:szCs w:val="24"/>
        </w:rPr>
      </w:pPr>
    </w:p>
    <w:p w14:paraId="6B7190DE" w14:textId="099DB33C" w:rsidR="009F0F05" w:rsidRDefault="009F0F05" w:rsidP="00EF1133">
      <w:pPr>
        <w:rPr>
          <w:rFonts w:ascii="Arial Black" w:hAnsi="Arial Black"/>
          <w:b/>
          <w:sz w:val="24"/>
          <w:szCs w:val="24"/>
        </w:rPr>
      </w:pPr>
      <w:r>
        <w:rPr>
          <w:rFonts w:ascii="Arial Black" w:hAnsi="Arial Black"/>
          <w:b/>
          <w:sz w:val="24"/>
          <w:szCs w:val="24"/>
        </w:rPr>
        <w:t>6-2</w:t>
      </w:r>
      <w:r w:rsidR="005B0774">
        <w:rPr>
          <w:rFonts w:ascii="Arial Black" w:hAnsi="Arial Black"/>
          <w:b/>
          <w:sz w:val="24"/>
          <w:szCs w:val="24"/>
        </w:rPr>
        <w:t>3</w:t>
      </w:r>
    </w:p>
    <w:p w14:paraId="69342D9A" w14:textId="77777777" w:rsidR="009F0F05" w:rsidRDefault="009F0F05" w:rsidP="009F0F05">
      <w:pPr>
        <w:rPr>
          <w:rFonts w:ascii="Arial Black" w:hAnsi="Arial Black"/>
          <w:sz w:val="28"/>
          <w:szCs w:val="28"/>
        </w:rPr>
      </w:pPr>
      <w:r w:rsidRPr="00F03F21">
        <w:rPr>
          <w:rFonts w:ascii="Arial Black" w:hAnsi="Arial Black"/>
          <w:sz w:val="28"/>
          <w:szCs w:val="28"/>
        </w:rPr>
        <w:t xml:space="preserve">IL: </w:t>
      </w:r>
      <w:r>
        <w:rPr>
          <w:rFonts w:ascii="Arial Black" w:hAnsi="Arial Black"/>
          <w:sz w:val="28"/>
          <w:szCs w:val="28"/>
        </w:rPr>
        <w:t xml:space="preserve"> BACK INJURIES - COURT AWARDS “ON DUTY” DISABILITY - CUMULATIVE EFFECT OF FIREFIGHTING </w:t>
      </w:r>
    </w:p>
    <w:p w14:paraId="11C65BB1" w14:textId="77777777" w:rsidR="009F0F05" w:rsidRPr="00076FC1" w:rsidRDefault="009F0F05" w:rsidP="009F0F05">
      <w:pPr>
        <w:rPr>
          <w:rFonts w:ascii="Times New Roman" w:hAnsi="Times New Roman"/>
          <w:sz w:val="24"/>
          <w:szCs w:val="24"/>
        </w:rPr>
      </w:pPr>
      <w:r w:rsidRPr="00FD63A6">
        <w:rPr>
          <w:rFonts w:ascii="Times New Roman" w:hAnsi="Times New Roman"/>
          <w:sz w:val="24"/>
          <w:szCs w:val="24"/>
        </w:rPr>
        <w:t xml:space="preserve">On Sept. 6, 2019, in </w:t>
      </w:r>
      <w:r w:rsidRPr="003D1DE7">
        <w:rPr>
          <w:rFonts w:ascii="Times New Roman" w:hAnsi="Times New Roman"/>
          <w:sz w:val="24"/>
          <w:szCs w:val="24"/>
          <w:u w:val="single"/>
        </w:rPr>
        <w:t>Jerry Valadez v. Harvey Firefighter’s Pension Fund, et al.</w:t>
      </w:r>
      <w:r>
        <w:rPr>
          <w:rFonts w:ascii="Times New Roman" w:hAnsi="Times New Roman"/>
          <w:sz w:val="24"/>
          <w:szCs w:val="24"/>
        </w:rPr>
        <w:t>, the Appellate Court of Illinois, First Judicial District / 6</w:t>
      </w:r>
      <w:r w:rsidRPr="00F67974">
        <w:rPr>
          <w:rFonts w:ascii="Times New Roman" w:hAnsi="Times New Roman"/>
          <w:sz w:val="24"/>
          <w:szCs w:val="24"/>
          <w:vertAlign w:val="superscript"/>
        </w:rPr>
        <w:t>th</w:t>
      </w:r>
      <w:r>
        <w:rPr>
          <w:rFonts w:ascii="Times New Roman" w:hAnsi="Times New Roman"/>
          <w:sz w:val="24"/>
          <w:szCs w:val="24"/>
        </w:rPr>
        <w:t xml:space="preserve"> Division, held (3 to 0) that the firefighter is entitled to a “on duty” disability.  </w:t>
      </w:r>
      <w:r w:rsidRPr="00F67974">
        <w:rPr>
          <w:rFonts w:ascii="Times New Roman" w:hAnsi="Times New Roman"/>
          <w:sz w:val="24"/>
          <w:szCs w:val="24"/>
        </w:rPr>
        <w:t>2019 IL App (1st) 181900-U (Ill. App., 2019)</w:t>
      </w:r>
      <w:r>
        <w:rPr>
          <w:rFonts w:ascii="Times New Roman" w:hAnsi="Times New Roman"/>
          <w:sz w:val="24"/>
          <w:szCs w:val="24"/>
        </w:rPr>
        <w:t xml:space="preserve">.  </w:t>
      </w:r>
      <w:hyperlink r:id="rId1274" w:history="1">
        <w:r w:rsidRPr="00076FC1">
          <w:rPr>
            <w:rStyle w:val="Hyperlink"/>
            <w:rFonts w:ascii="Times New Roman" w:hAnsi="Times New Roman"/>
            <w:sz w:val="24"/>
            <w:szCs w:val="24"/>
          </w:rPr>
          <w:t>https://courts.illinois.gov/R23_Orders/AppellateCourt/2019/1stDistrict/1181900_R23.pdf</w:t>
        </w:r>
      </w:hyperlink>
    </w:p>
    <w:p w14:paraId="01B85A9D" w14:textId="77777777" w:rsidR="009F0F05" w:rsidRDefault="009F0F05" w:rsidP="009F0F05">
      <w:pPr>
        <w:rPr>
          <w:rFonts w:ascii="Times New Roman" w:hAnsi="Times New Roman"/>
          <w:sz w:val="24"/>
          <w:szCs w:val="24"/>
        </w:rPr>
      </w:pPr>
      <w:r>
        <w:rPr>
          <w:rFonts w:ascii="Times New Roman" w:hAnsi="Times New Roman"/>
          <w:sz w:val="24"/>
          <w:szCs w:val="24"/>
        </w:rPr>
        <w:t xml:space="preserve">Justice Harris wrote opinion, overturning the Administrative Board:  </w:t>
      </w:r>
    </w:p>
    <w:p w14:paraId="3899C6C0" w14:textId="70C74AF2" w:rsidR="009F0F05" w:rsidRDefault="009F0F05" w:rsidP="009F1927">
      <w:pPr>
        <w:ind w:left="720"/>
        <w:rPr>
          <w:rFonts w:ascii="Times New Roman" w:hAnsi="Times New Roman"/>
          <w:sz w:val="24"/>
          <w:szCs w:val="24"/>
        </w:rPr>
      </w:pPr>
      <w:r>
        <w:rPr>
          <w:rFonts w:ascii="Times New Roman" w:hAnsi="Times New Roman"/>
          <w:sz w:val="24"/>
          <w:szCs w:val="24"/>
        </w:rPr>
        <w:t>“</w:t>
      </w:r>
      <w:r w:rsidRPr="006C49C9">
        <w:rPr>
          <w:rFonts w:ascii="Times New Roman" w:hAnsi="Times New Roman"/>
          <w:sz w:val="24"/>
          <w:szCs w:val="24"/>
        </w:rPr>
        <w:t xml:space="preserve">Although the Board agreed with Dr. </w:t>
      </w:r>
      <w:proofErr w:type="spellStart"/>
      <w:r w:rsidRPr="006C49C9">
        <w:rPr>
          <w:rFonts w:ascii="Times New Roman" w:hAnsi="Times New Roman"/>
          <w:sz w:val="24"/>
          <w:szCs w:val="24"/>
        </w:rPr>
        <w:t>Pelinkovic</w:t>
      </w:r>
      <w:proofErr w:type="spellEnd"/>
      <w:r w:rsidRPr="006C49C9">
        <w:rPr>
          <w:rFonts w:ascii="Times New Roman" w:hAnsi="Times New Roman"/>
          <w:sz w:val="24"/>
          <w:szCs w:val="24"/>
        </w:rPr>
        <w:t xml:space="preserve"> and Dr. Gleason that plaintiff was permanently disabled, it disagreed with their determination that the October 21, 2015, incident, or the cumulative effects of acts of </w:t>
      </w:r>
      <w:proofErr w:type="spellStart"/>
      <w:r w:rsidRPr="006C49C9">
        <w:rPr>
          <w:rFonts w:ascii="Times New Roman" w:hAnsi="Times New Roman"/>
          <w:sz w:val="24"/>
          <w:szCs w:val="24"/>
        </w:rPr>
        <w:t>fire fighting</w:t>
      </w:r>
      <w:proofErr w:type="spellEnd"/>
      <w:r w:rsidRPr="006C49C9">
        <w:rPr>
          <w:rFonts w:ascii="Times New Roman" w:hAnsi="Times New Roman"/>
          <w:sz w:val="24"/>
          <w:szCs w:val="24"/>
        </w:rPr>
        <w:t>, contributed to his disability. Instead, they credited Dr. Graf’s opinion that plaintiff’s condition is solely the result of his preexisting lower back issues.</w:t>
      </w:r>
      <w:r>
        <w:rPr>
          <w:rFonts w:ascii="Times New Roman" w:hAnsi="Times New Roman"/>
          <w:sz w:val="24"/>
          <w:szCs w:val="24"/>
        </w:rPr>
        <w:t xml:space="preserve">  ***</w:t>
      </w:r>
      <w:r w:rsidR="009F1927">
        <w:rPr>
          <w:rFonts w:ascii="Times New Roman" w:hAnsi="Times New Roman"/>
          <w:sz w:val="24"/>
          <w:szCs w:val="24"/>
        </w:rPr>
        <w:t xml:space="preserve"> </w:t>
      </w:r>
      <w:r w:rsidRPr="004A2CCB">
        <w:rPr>
          <w:rFonts w:ascii="Times New Roman" w:hAnsi="Times New Roman"/>
          <w:sz w:val="24"/>
          <w:szCs w:val="24"/>
        </w:rPr>
        <w:t>Dr. Graf’s decision to place great weight on plaintiff’s MRIs, with no consideration of whether plaintiff’s extrication of a victim weighing over 300 pounds and another over 200 pounds could have aggravated his preexisting condition, renders his opinion unreliable.</w:t>
      </w:r>
      <w:r>
        <w:rPr>
          <w:rFonts w:ascii="Times New Roman" w:hAnsi="Times New Roman"/>
          <w:sz w:val="24"/>
          <w:szCs w:val="24"/>
        </w:rPr>
        <w:t>”</w:t>
      </w:r>
    </w:p>
    <w:p w14:paraId="56318945" w14:textId="77777777" w:rsidR="009F0F05" w:rsidRPr="00AD64CA" w:rsidRDefault="009F0F05" w:rsidP="009F0F05">
      <w:pPr>
        <w:pStyle w:val="NoSpacing"/>
        <w:rPr>
          <w:b/>
          <w:bCs/>
        </w:rPr>
      </w:pPr>
      <w:r w:rsidRPr="00AD64CA">
        <w:rPr>
          <w:rFonts w:ascii="Times New Roman" w:hAnsi="Times New Roman"/>
          <w:b/>
          <w:bCs/>
          <w:sz w:val="24"/>
          <w:szCs w:val="24"/>
        </w:rPr>
        <w:t xml:space="preserve">Legal Lessons Learned: </w:t>
      </w:r>
      <w:r>
        <w:rPr>
          <w:rFonts w:ascii="Times New Roman" w:hAnsi="Times New Roman"/>
          <w:b/>
          <w:bCs/>
          <w:sz w:val="24"/>
          <w:szCs w:val="24"/>
        </w:rPr>
        <w:t xml:space="preserve"> Overturning Administrative Board decision is rare; the firefighter made an excellent record with testimony of two treating physicians. </w:t>
      </w:r>
    </w:p>
    <w:p w14:paraId="6D256988" w14:textId="77777777" w:rsidR="00715CF2" w:rsidRDefault="00715CF2" w:rsidP="00715CF2">
      <w:pPr>
        <w:rPr>
          <w:rFonts w:ascii="Times New Roman" w:hAnsi="Times New Roman"/>
          <w:bCs/>
          <w:sz w:val="24"/>
          <w:szCs w:val="24"/>
        </w:rPr>
      </w:pPr>
    </w:p>
    <w:p w14:paraId="3A27B6C1" w14:textId="25E5382A"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2</w:t>
      </w:r>
      <w:r w:rsidR="005B0774">
        <w:rPr>
          <w:rFonts w:ascii="Arial Black" w:hAnsi="Arial Black"/>
          <w:b/>
          <w:sz w:val="24"/>
          <w:szCs w:val="24"/>
        </w:rPr>
        <w:t>2</w:t>
      </w:r>
    </w:p>
    <w:p w14:paraId="506BFCEA" w14:textId="7263A9C4" w:rsidR="00F326E5" w:rsidRDefault="00F326E5" w:rsidP="00F326E5">
      <w:pPr>
        <w:pStyle w:val="NoSpacing"/>
        <w:rPr>
          <w:rFonts w:ascii="Arial Black" w:hAnsi="Arial Black"/>
          <w:b/>
          <w:sz w:val="28"/>
          <w:szCs w:val="28"/>
        </w:rPr>
      </w:pPr>
      <w:bookmarkStart w:id="246" w:name="_Hlk7343020"/>
      <w:r w:rsidRPr="00680B03">
        <w:rPr>
          <w:rFonts w:ascii="Arial Black" w:hAnsi="Arial Black"/>
          <w:sz w:val="28"/>
          <w:szCs w:val="28"/>
        </w:rPr>
        <w:t xml:space="preserve">PA: </w:t>
      </w:r>
      <w:r>
        <w:rPr>
          <w:rFonts w:ascii="Arial Black" w:hAnsi="Arial Black"/>
          <w:sz w:val="28"/>
          <w:szCs w:val="28"/>
        </w:rPr>
        <w:t xml:space="preserve"> CAN’T RETIRE AT AGE 50 –CITY AND UNION IN CBA ESTABLISHED MINIMUM AGE AT 55 </w:t>
      </w:r>
    </w:p>
    <w:p w14:paraId="0F32058C" w14:textId="77777777" w:rsidR="009F1927" w:rsidRDefault="00F326E5" w:rsidP="00F326E5">
      <w:pPr>
        <w:pStyle w:val="NoSpacing"/>
        <w:rPr>
          <w:rFonts w:ascii="Times New Roman" w:hAnsi="Times New Roman"/>
          <w:sz w:val="24"/>
          <w:szCs w:val="24"/>
        </w:rPr>
      </w:pPr>
      <w:r w:rsidRPr="009F1927">
        <w:rPr>
          <w:rFonts w:ascii="Times New Roman" w:hAnsi="Times New Roman"/>
          <w:sz w:val="24"/>
          <w:szCs w:val="24"/>
        </w:rPr>
        <w:t xml:space="preserve">On March 25, 2019, in </w:t>
      </w:r>
      <w:r w:rsidRPr="009F1927">
        <w:rPr>
          <w:rFonts w:ascii="Times New Roman" w:hAnsi="Times New Roman"/>
          <w:sz w:val="24"/>
          <w:szCs w:val="24"/>
          <w:u w:val="single"/>
        </w:rPr>
        <w:t>Joseph C. Bongivengo v. City of New Castle Pension Plan Board and The City of New Castle</w:t>
      </w:r>
      <w:r w:rsidRPr="009F1927">
        <w:rPr>
          <w:rFonts w:ascii="Times New Roman" w:hAnsi="Times New Roman"/>
          <w:sz w:val="24"/>
          <w:szCs w:val="24"/>
        </w:rPr>
        <w:t xml:space="preserve">, the Commonwealth Court of Pennsylvania held (3 to 0): </w:t>
      </w:r>
    </w:p>
    <w:p w14:paraId="0BB6A836" w14:textId="77777777" w:rsidR="009F1927" w:rsidRDefault="009F1927" w:rsidP="00F326E5">
      <w:pPr>
        <w:pStyle w:val="NoSpacing"/>
        <w:rPr>
          <w:rFonts w:ascii="Times New Roman" w:hAnsi="Times New Roman"/>
          <w:sz w:val="24"/>
          <w:szCs w:val="24"/>
        </w:rPr>
      </w:pPr>
    </w:p>
    <w:p w14:paraId="59D28EF9" w14:textId="795FE72C" w:rsidR="00F326E5" w:rsidRPr="009F1927" w:rsidRDefault="00F326E5" w:rsidP="009F1927">
      <w:pPr>
        <w:pStyle w:val="NoSpacing"/>
        <w:ind w:left="720" w:firstLine="60"/>
        <w:rPr>
          <w:rFonts w:ascii="Times New Roman" w:hAnsi="Times New Roman"/>
          <w:sz w:val="24"/>
          <w:szCs w:val="24"/>
        </w:rPr>
      </w:pPr>
      <w:r w:rsidRPr="009F1927">
        <w:rPr>
          <w:rFonts w:ascii="Times New Roman" w:hAnsi="Times New Roman"/>
          <w:sz w:val="24"/>
          <w:szCs w:val="24"/>
        </w:rPr>
        <w:t xml:space="preserve">“This ruling also disposes of Bongivengo’s argument that the </w:t>
      </w:r>
      <w:proofErr w:type="gramStart"/>
      <w:r w:rsidRPr="009F1927">
        <w:rPr>
          <w:rFonts w:ascii="Times New Roman" w:hAnsi="Times New Roman"/>
          <w:sz w:val="24"/>
          <w:szCs w:val="24"/>
        </w:rPr>
        <w:t>City</w:t>
      </w:r>
      <w:proofErr w:type="gramEnd"/>
      <w:r w:rsidRPr="009F1927">
        <w:rPr>
          <w:rFonts w:ascii="Times New Roman" w:hAnsi="Times New Roman"/>
          <w:sz w:val="24"/>
          <w:szCs w:val="24"/>
        </w:rPr>
        <w:t xml:space="preserve"> violated Section 607(e) of Act 205 because it did not engage in collective bargaining before it implemented the new age and years of service requirements. As noted above, the </w:t>
      </w:r>
      <w:proofErr w:type="gramStart"/>
      <w:r w:rsidRPr="009F1927">
        <w:rPr>
          <w:rFonts w:ascii="Times New Roman" w:hAnsi="Times New Roman"/>
          <w:sz w:val="24"/>
          <w:szCs w:val="24"/>
        </w:rPr>
        <w:t>City</w:t>
      </w:r>
      <w:proofErr w:type="gramEnd"/>
      <w:r w:rsidRPr="009F1927">
        <w:rPr>
          <w:rFonts w:ascii="Times New Roman" w:hAnsi="Times New Roman"/>
          <w:sz w:val="24"/>
          <w:szCs w:val="24"/>
        </w:rPr>
        <w:t xml:space="preserve"> and the Union did collectively bargain for the age and years of service requirement, as first reflected in the 1992 CBA and subsequently in every CBA </w:t>
      </w:r>
      <w:proofErr w:type="gramStart"/>
      <w:r w:rsidRPr="009F1927">
        <w:rPr>
          <w:rFonts w:ascii="Times New Roman" w:hAnsi="Times New Roman"/>
          <w:sz w:val="24"/>
          <w:szCs w:val="24"/>
        </w:rPr>
        <w:t>thereafter.”</w:t>
      </w:r>
      <w:proofErr w:type="gramEnd"/>
      <w:r w:rsidRPr="009F1927">
        <w:rPr>
          <w:rFonts w:ascii="Times New Roman" w:hAnsi="Times New Roman"/>
          <w:sz w:val="24"/>
          <w:szCs w:val="24"/>
        </w:rPr>
        <w:t xml:space="preserve"> </w:t>
      </w:r>
      <w:hyperlink r:id="rId1275" w:history="1">
        <w:r w:rsidRPr="009F1927">
          <w:rPr>
            <w:rStyle w:val="Hyperlink"/>
            <w:rFonts w:ascii="Times New Roman" w:hAnsi="Times New Roman"/>
            <w:sz w:val="24"/>
            <w:szCs w:val="24"/>
          </w:rPr>
          <w:t>http://www.pacourts.us/assets/opinions/Commonwealth/out/877CD18_3-25-19.pdf?cb=1</w:t>
        </w:r>
      </w:hyperlink>
      <w:r w:rsidRPr="009F1927">
        <w:rPr>
          <w:rFonts w:ascii="Times New Roman" w:hAnsi="Times New Roman"/>
          <w:sz w:val="24"/>
          <w:szCs w:val="24"/>
        </w:rPr>
        <w:t xml:space="preserve"> </w:t>
      </w:r>
    </w:p>
    <w:p w14:paraId="4CC2526E" w14:textId="77777777" w:rsidR="00E40E39" w:rsidRDefault="00E40E39" w:rsidP="00F326E5">
      <w:pPr>
        <w:pStyle w:val="NoSpacing"/>
        <w:rPr>
          <w:rFonts w:ascii="Times New Roman" w:hAnsi="Times New Roman"/>
          <w:b/>
          <w:sz w:val="24"/>
          <w:szCs w:val="24"/>
        </w:rPr>
      </w:pPr>
      <w:bookmarkStart w:id="247" w:name="_Hlk6755053"/>
    </w:p>
    <w:p w14:paraId="7DC3CADC" w14:textId="181084C6" w:rsidR="00F326E5" w:rsidRPr="009F1927" w:rsidRDefault="00F326E5" w:rsidP="00F326E5">
      <w:pPr>
        <w:pStyle w:val="NoSpacing"/>
        <w:rPr>
          <w:rFonts w:ascii="Times New Roman" w:hAnsi="Times New Roman"/>
          <w:b/>
          <w:sz w:val="24"/>
          <w:szCs w:val="24"/>
        </w:rPr>
      </w:pPr>
      <w:r w:rsidRPr="009F1927">
        <w:rPr>
          <w:rFonts w:ascii="Times New Roman" w:hAnsi="Times New Roman"/>
          <w:b/>
          <w:sz w:val="24"/>
          <w:szCs w:val="24"/>
        </w:rPr>
        <w:t xml:space="preserve">Legal Lessons Learned: City and Union agreement controls minimum retirement age. </w:t>
      </w:r>
      <w:bookmarkEnd w:id="247"/>
    </w:p>
    <w:bookmarkEnd w:id="246"/>
    <w:p w14:paraId="217F3DDB" w14:textId="6F346EBB" w:rsidR="00527EDF" w:rsidRDefault="00527EDF" w:rsidP="00F326E5">
      <w:pPr>
        <w:pStyle w:val="NoSpacing"/>
        <w:rPr>
          <w:b/>
          <w:sz w:val="24"/>
          <w:szCs w:val="24"/>
        </w:rPr>
      </w:pPr>
    </w:p>
    <w:p w14:paraId="4988DD91" w14:textId="22A8D13B" w:rsidR="009F1927" w:rsidRDefault="009F1927" w:rsidP="00F326E5">
      <w:pPr>
        <w:pStyle w:val="NoSpacing"/>
        <w:rPr>
          <w:b/>
          <w:sz w:val="24"/>
          <w:szCs w:val="24"/>
        </w:rPr>
      </w:pPr>
    </w:p>
    <w:p w14:paraId="416F77D6" w14:textId="77777777" w:rsidR="009F1927" w:rsidRDefault="009F1927" w:rsidP="00F326E5">
      <w:pPr>
        <w:pStyle w:val="NoSpacing"/>
        <w:rPr>
          <w:sz w:val="24"/>
          <w:szCs w:val="24"/>
        </w:rPr>
      </w:pPr>
    </w:p>
    <w:p w14:paraId="6E8B5245" w14:textId="7DCE07A4"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w:t>
      </w:r>
      <w:r w:rsidR="005F7D6B">
        <w:rPr>
          <w:rFonts w:ascii="Arial Black" w:hAnsi="Arial Black"/>
          <w:b/>
          <w:sz w:val="24"/>
          <w:szCs w:val="24"/>
        </w:rPr>
        <w:t>2</w:t>
      </w:r>
      <w:r w:rsidR="005B0774">
        <w:rPr>
          <w:rFonts w:ascii="Arial Black" w:hAnsi="Arial Black"/>
          <w:b/>
          <w:sz w:val="24"/>
          <w:szCs w:val="24"/>
        </w:rPr>
        <w:t>1</w:t>
      </w:r>
    </w:p>
    <w:p w14:paraId="5724CFAB" w14:textId="7474B963" w:rsidR="00527EDF" w:rsidRDefault="00527EDF" w:rsidP="00527EDF">
      <w:pPr>
        <w:pStyle w:val="NoSpacing"/>
        <w:rPr>
          <w:rFonts w:ascii="Arial Black" w:hAnsi="Arial Black"/>
          <w:sz w:val="28"/>
          <w:szCs w:val="28"/>
        </w:rPr>
      </w:pPr>
      <w:bookmarkStart w:id="248" w:name="_Hlk10126961"/>
      <w:r>
        <w:rPr>
          <w:rFonts w:ascii="Arial Black" w:hAnsi="Arial Black"/>
          <w:sz w:val="28"/>
          <w:szCs w:val="28"/>
        </w:rPr>
        <w:t xml:space="preserve">OH: FF CANCER - LUMBAR SPINE LYMPHOMA – CITY CONTESTED – FF FILED FOR COSTS / ATTY FEES, CITY LATE IN RESPONDING, MUST PAY </w:t>
      </w:r>
    </w:p>
    <w:p w14:paraId="3A3FAB1F" w14:textId="77777777" w:rsidR="00527EDF" w:rsidRDefault="00527EDF" w:rsidP="00527EDF">
      <w:pPr>
        <w:pStyle w:val="NoSpacing"/>
        <w:rPr>
          <w:rFonts w:ascii="Arial Black" w:hAnsi="Arial Black"/>
          <w:sz w:val="28"/>
          <w:szCs w:val="28"/>
        </w:rPr>
      </w:pPr>
    </w:p>
    <w:p w14:paraId="3794A73E" w14:textId="77777777" w:rsidR="00527EDF" w:rsidRPr="002F51DD" w:rsidRDefault="00527EDF" w:rsidP="00527EDF">
      <w:pPr>
        <w:pStyle w:val="NoSpacing"/>
        <w:rPr>
          <w:rFonts w:ascii="Times New Roman" w:hAnsi="Times New Roman"/>
          <w:sz w:val="24"/>
          <w:szCs w:val="24"/>
        </w:rPr>
      </w:pPr>
      <w:r w:rsidRPr="002F51DD">
        <w:rPr>
          <w:rFonts w:ascii="Times New Roman" w:hAnsi="Times New Roman"/>
          <w:sz w:val="24"/>
          <w:szCs w:val="24"/>
        </w:rPr>
        <w:t xml:space="preserve">On May 23, 2019, in </w:t>
      </w:r>
      <w:r w:rsidRPr="002F51DD">
        <w:rPr>
          <w:rFonts w:ascii="Times New Roman" w:hAnsi="Times New Roman"/>
          <w:sz w:val="24"/>
          <w:szCs w:val="24"/>
          <w:u w:val="single"/>
        </w:rPr>
        <w:t>Robert T. Rodgers v. City of Rocky River, et al</w:t>
      </w:r>
      <w:r>
        <w:rPr>
          <w:rFonts w:ascii="Times New Roman" w:hAnsi="Times New Roman"/>
          <w:sz w:val="24"/>
          <w:szCs w:val="24"/>
        </w:rPr>
        <w:t xml:space="preserve">., 2010 Ohio 2006 (Ohio App, 2019), the Ohio Court of Appeals for Cuyahoga County (3 to 0), upheld the trial court’s order that City reimburse the firefighter for his costs and attorney fees of $3,734.45. </w:t>
      </w:r>
    </w:p>
    <w:p w14:paraId="5CE0CD57" w14:textId="77777777" w:rsidR="00527EDF" w:rsidRDefault="00527EDF" w:rsidP="00527EDF">
      <w:pPr>
        <w:pStyle w:val="NoSpacing"/>
        <w:rPr>
          <w:rFonts w:ascii="Arial Black" w:hAnsi="Arial Black"/>
          <w:sz w:val="28"/>
          <w:szCs w:val="28"/>
        </w:rPr>
      </w:pPr>
    </w:p>
    <w:p w14:paraId="373257F3" w14:textId="77777777" w:rsidR="00527EDF" w:rsidRDefault="00527EDF" w:rsidP="00527EDF">
      <w:pPr>
        <w:pStyle w:val="NoSpacing"/>
        <w:ind w:left="720"/>
      </w:pPr>
      <w:r>
        <w:rPr>
          <w:rFonts w:ascii="Times New Roman" w:hAnsi="Times New Roman"/>
          <w:sz w:val="24"/>
          <w:szCs w:val="24"/>
        </w:rPr>
        <w:t>“[W]e</w:t>
      </w:r>
      <w:r w:rsidRPr="00D82AA5">
        <w:rPr>
          <w:rFonts w:ascii="Times New Roman" w:hAnsi="Times New Roman"/>
          <w:sz w:val="24"/>
          <w:szCs w:val="24"/>
        </w:rPr>
        <w:t xml:space="preserve"> note that the plain language of R.C. 4123.512(F) authorizes the award of attorney fees and costs against </w:t>
      </w:r>
      <w:r>
        <w:rPr>
          <w:rFonts w:ascii="Times New Roman" w:hAnsi="Times New Roman"/>
          <w:sz w:val="24"/>
          <w:szCs w:val="24"/>
        </w:rPr>
        <w:t>‘</w:t>
      </w:r>
      <w:r w:rsidRPr="00D82AA5">
        <w:rPr>
          <w:rFonts w:ascii="Times New Roman" w:hAnsi="Times New Roman"/>
          <w:sz w:val="24"/>
          <w:szCs w:val="24"/>
        </w:rPr>
        <w:t>the employer</w:t>
      </w:r>
      <w:r>
        <w:rPr>
          <w:rFonts w:ascii="Times New Roman" w:hAnsi="Times New Roman"/>
          <w:sz w:val="24"/>
          <w:szCs w:val="24"/>
        </w:rPr>
        <w:t xml:space="preserve">’ </w:t>
      </w:r>
      <w:r w:rsidRPr="00D82AA5">
        <w:rPr>
          <w:rFonts w:ascii="Times New Roman" w:hAnsi="Times New Roman"/>
          <w:sz w:val="24"/>
          <w:szCs w:val="24"/>
        </w:rPr>
        <w:t xml:space="preserve">who contests an injured worker’s right to participate in the workers’ compensation system after an injured worker’s right to participate is established. The statute does not differentiate between public and private employers, unlike in R.C. 4123.01(B) where the legislature provided different definitions of “employers” — public (political subdivisions) and private. This demonstrates that the legislature had the ability to establish immunity for political subdivisions or public employers from an award of attorney fees and </w:t>
      </w:r>
      <w:proofErr w:type="gramStart"/>
      <w:r w:rsidRPr="00D82AA5">
        <w:rPr>
          <w:rFonts w:ascii="Times New Roman" w:hAnsi="Times New Roman"/>
          <w:sz w:val="24"/>
          <w:szCs w:val="24"/>
        </w:rPr>
        <w:t>costs,</w:t>
      </w:r>
      <w:r>
        <w:rPr>
          <w:rFonts w:ascii="Times New Roman" w:hAnsi="Times New Roman"/>
          <w:sz w:val="24"/>
          <w:szCs w:val="24"/>
        </w:rPr>
        <w:t xml:space="preserve"> </w:t>
      </w:r>
      <w:r w:rsidRPr="00D82AA5">
        <w:rPr>
          <w:rFonts w:ascii="Times New Roman" w:hAnsi="Times New Roman"/>
          <w:sz w:val="24"/>
          <w:szCs w:val="24"/>
        </w:rPr>
        <w:t>but</w:t>
      </w:r>
      <w:proofErr w:type="gramEnd"/>
      <w:r w:rsidRPr="00D82AA5">
        <w:rPr>
          <w:rFonts w:ascii="Times New Roman" w:hAnsi="Times New Roman"/>
          <w:sz w:val="24"/>
          <w:szCs w:val="24"/>
        </w:rPr>
        <w:t xml:space="preserve"> elected not to do so. </w:t>
      </w:r>
    </w:p>
    <w:p w14:paraId="2164DAD9" w14:textId="77777777" w:rsidR="00527EDF" w:rsidRDefault="00527EDF" w:rsidP="00527EDF">
      <w:pPr>
        <w:pStyle w:val="NoSpacing"/>
        <w:ind w:firstLine="720"/>
      </w:pPr>
      <w:hyperlink r:id="rId1276" w:history="1">
        <w:r w:rsidRPr="00BA6FF6">
          <w:rPr>
            <w:rStyle w:val="Hyperlink"/>
          </w:rPr>
          <w:t>https://cases.justia.com/ohio/eighth-district-court-of-appeals/2019-108059.pdf?ts=1558624525</w:t>
        </w:r>
      </w:hyperlink>
      <w:r>
        <w:t xml:space="preserve"> </w:t>
      </w:r>
    </w:p>
    <w:p w14:paraId="42639428" w14:textId="77777777" w:rsidR="00527EDF" w:rsidRDefault="00527EDF" w:rsidP="00527EDF">
      <w:pPr>
        <w:pStyle w:val="NoSpacing"/>
        <w:rPr>
          <w:rFonts w:ascii="Times New Roman" w:hAnsi="Times New Roman"/>
          <w:b/>
          <w:sz w:val="24"/>
          <w:szCs w:val="24"/>
        </w:rPr>
      </w:pPr>
      <w:bookmarkStart w:id="249" w:name="_Hlk10127002"/>
      <w:bookmarkEnd w:id="248"/>
    </w:p>
    <w:p w14:paraId="06754DAA" w14:textId="5D312BA0" w:rsidR="00527EDF" w:rsidRPr="00135A21" w:rsidRDefault="00527EDF" w:rsidP="00527EDF">
      <w:pPr>
        <w:pStyle w:val="NoSpacing"/>
        <w:rPr>
          <w:rFonts w:ascii="Times New Roman" w:hAnsi="Times New Roman"/>
          <w:b/>
          <w:sz w:val="24"/>
          <w:szCs w:val="24"/>
        </w:rPr>
      </w:pPr>
      <w:r w:rsidRPr="00135A21">
        <w:rPr>
          <w:rFonts w:ascii="Times New Roman" w:hAnsi="Times New Roman"/>
          <w:b/>
          <w:sz w:val="24"/>
          <w:szCs w:val="24"/>
        </w:rPr>
        <w:t xml:space="preserve">Legal Lessons Learned: </w:t>
      </w:r>
      <w:r>
        <w:rPr>
          <w:rFonts w:ascii="Times New Roman" w:hAnsi="Times New Roman"/>
          <w:b/>
          <w:sz w:val="24"/>
          <w:szCs w:val="24"/>
        </w:rPr>
        <w:t xml:space="preserve"> City failed to timely appeal award of costs and attorney fees; no statute protects city from liability for court cost and attorney fees. </w:t>
      </w:r>
    </w:p>
    <w:bookmarkEnd w:id="249"/>
    <w:p w14:paraId="00B1EDFE" w14:textId="032C577C" w:rsidR="00527EDF" w:rsidRPr="00254438" w:rsidRDefault="00527EDF" w:rsidP="00F326E5">
      <w:pPr>
        <w:pStyle w:val="NoSpacing"/>
        <w:rPr>
          <w:sz w:val="24"/>
          <w:szCs w:val="24"/>
        </w:rPr>
      </w:pPr>
    </w:p>
    <w:p w14:paraId="4AFAF734" w14:textId="77777777" w:rsidR="00F326E5" w:rsidRDefault="00F326E5" w:rsidP="00F326E5">
      <w:pPr>
        <w:pStyle w:val="NoSpacing"/>
        <w:rPr>
          <w:b/>
          <w:sz w:val="24"/>
          <w:szCs w:val="24"/>
        </w:rPr>
      </w:pPr>
    </w:p>
    <w:p w14:paraId="5653F92F" w14:textId="77777777" w:rsidR="00EF1133" w:rsidRDefault="00EF1133" w:rsidP="00EF1133">
      <w:pPr>
        <w:rPr>
          <w:rFonts w:ascii="Arial Black" w:hAnsi="Arial Black"/>
          <w:b/>
          <w:sz w:val="24"/>
          <w:szCs w:val="24"/>
        </w:rPr>
      </w:pPr>
      <w:bookmarkStart w:id="250" w:name="_Hlk7343060"/>
    </w:p>
    <w:p w14:paraId="44FFF05F" w14:textId="71A89486"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w:t>
      </w:r>
      <w:r w:rsidR="005B0774">
        <w:rPr>
          <w:rFonts w:ascii="Arial Black" w:hAnsi="Arial Black"/>
          <w:b/>
          <w:sz w:val="24"/>
          <w:szCs w:val="24"/>
        </w:rPr>
        <w:t>20</w:t>
      </w:r>
    </w:p>
    <w:p w14:paraId="7C5CCD6C" w14:textId="675932CE" w:rsidR="00527EDF" w:rsidRDefault="00527EDF" w:rsidP="00527EDF">
      <w:pPr>
        <w:pStyle w:val="NoSpacing"/>
        <w:rPr>
          <w:rFonts w:ascii="Arial Black" w:hAnsi="Arial Black"/>
          <w:sz w:val="28"/>
          <w:szCs w:val="28"/>
        </w:rPr>
      </w:pPr>
      <w:r w:rsidRPr="008C7754">
        <w:rPr>
          <w:rFonts w:ascii="Arial Black" w:hAnsi="Arial Black"/>
          <w:sz w:val="28"/>
          <w:szCs w:val="28"/>
        </w:rPr>
        <w:t xml:space="preserve">IL: </w:t>
      </w:r>
      <w:r>
        <w:rPr>
          <w:rFonts w:ascii="Arial Black" w:hAnsi="Arial Black"/>
          <w:sz w:val="28"/>
          <w:szCs w:val="28"/>
        </w:rPr>
        <w:t xml:space="preserve">FF KIDNEY CANCER – WORK. COMP. GRANTED – EXPERT WITNESS CAUSED BY JOB, NOT OBESITY &amp; HYPERTENSION </w:t>
      </w:r>
    </w:p>
    <w:p w14:paraId="637A92C8" w14:textId="44A1892E" w:rsidR="00527EDF" w:rsidRPr="00114E9B" w:rsidRDefault="00527EDF" w:rsidP="00527EDF">
      <w:pPr>
        <w:rPr>
          <w:rFonts w:ascii="Times New Roman" w:hAnsi="Times New Roman"/>
          <w:sz w:val="24"/>
          <w:szCs w:val="24"/>
        </w:rPr>
      </w:pPr>
      <w:r w:rsidRPr="00114E9B">
        <w:rPr>
          <w:rFonts w:ascii="Times New Roman" w:hAnsi="Times New Roman"/>
          <w:sz w:val="24"/>
          <w:szCs w:val="24"/>
        </w:rPr>
        <w:t xml:space="preserve">On May 10, 2019, in </w:t>
      </w:r>
      <w:r w:rsidRPr="00114E9B">
        <w:rPr>
          <w:rFonts w:ascii="Times New Roman" w:hAnsi="Times New Roman"/>
          <w:sz w:val="24"/>
          <w:szCs w:val="24"/>
          <w:u w:val="single"/>
        </w:rPr>
        <w:t>City of Peoria v. Illinois Workers’ Compensation Commission (Bryan Grant</w:t>
      </w:r>
      <w:r w:rsidRPr="00114E9B">
        <w:rPr>
          <w:rFonts w:ascii="Times New Roman" w:hAnsi="Times New Roman"/>
          <w:sz w:val="24"/>
          <w:szCs w:val="24"/>
        </w:rPr>
        <w:t>), the Appellate Court of Illinois, Third District, Workers Comp Division, held (5 to 0) that the firefighter’s cancer was caused by the job.</w:t>
      </w:r>
    </w:p>
    <w:p w14:paraId="093AD023" w14:textId="77777777" w:rsidR="00527EDF" w:rsidRDefault="00527EDF" w:rsidP="00527EDF">
      <w:pPr>
        <w:pStyle w:val="NoSpacing"/>
        <w:ind w:left="720"/>
        <w:rPr>
          <w:rFonts w:ascii="Times New Roman" w:hAnsi="Times New Roman"/>
          <w:sz w:val="24"/>
          <w:szCs w:val="24"/>
        </w:rPr>
      </w:pPr>
      <w:r w:rsidRPr="00114E9B">
        <w:rPr>
          <w:rFonts w:ascii="Times New Roman" w:hAnsi="Times New Roman"/>
          <w:sz w:val="24"/>
          <w:szCs w:val="24"/>
        </w:rPr>
        <w:t>“By finding that the petitioner’s workplace exposures to carcinogenic gases caused his kidney cancer, the Illinois Workers’ Compensation Commission did not make a finding that was against the manifest weight of the evidence.”</w:t>
      </w:r>
    </w:p>
    <w:p w14:paraId="1F32BC66" w14:textId="304F7E4C" w:rsidR="00527EDF" w:rsidRDefault="00527EDF" w:rsidP="00527EDF">
      <w:pPr>
        <w:pStyle w:val="NoSpacing"/>
        <w:ind w:left="720"/>
        <w:rPr>
          <w:rStyle w:val="Hyperlink"/>
          <w:rFonts w:ascii="Times New Roman" w:hAnsi="Times New Roman"/>
          <w:sz w:val="24"/>
          <w:szCs w:val="24"/>
        </w:rPr>
      </w:pPr>
      <w:hyperlink r:id="rId1277" w:history="1">
        <w:r w:rsidRPr="00114E9B">
          <w:rPr>
            <w:rStyle w:val="Hyperlink"/>
            <w:rFonts w:ascii="Times New Roman" w:hAnsi="Times New Roman"/>
            <w:sz w:val="24"/>
            <w:szCs w:val="24"/>
          </w:rPr>
          <w:t>http://www.illinoiscourts.gov/R23_Orders/WorkersComp/2019/3180397WC_R23.pdf</w:t>
        </w:r>
      </w:hyperlink>
    </w:p>
    <w:p w14:paraId="23429176" w14:textId="4BD31590" w:rsidR="00527EDF" w:rsidRDefault="00527EDF" w:rsidP="00527EDF">
      <w:pPr>
        <w:pStyle w:val="NoSpacing"/>
        <w:rPr>
          <w:rStyle w:val="Hyperlink"/>
          <w:rFonts w:ascii="Times New Roman" w:hAnsi="Times New Roman"/>
          <w:sz w:val="24"/>
          <w:szCs w:val="24"/>
        </w:rPr>
      </w:pPr>
    </w:p>
    <w:p w14:paraId="6BA0AE4E" w14:textId="77777777" w:rsidR="00527EDF" w:rsidRDefault="00527EDF" w:rsidP="00527EDF">
      <w:pPr>
        <w:pStyle w:val="NoSpacing"/>
        <w:rPr>
          <w:rFonts w:ascii="Times New Roman" w:hAnsi="Times New Roman"/>
          <w:b/>
          <w:sz w:val="24"/>
          <w:szCs w:val="24"/>
        </w:rPr>
      </w:pPr>
      <w:bookmarkStart w:id="251" w:name="_Hlk10127098"/>
      <w:r w:rsidRPr="00A0664F">
        <w:rPr>
          <w:rFonts w:ascii="Times New Roman" w:hAnsi="Times New Roman"/>
          <w:b/>
          <w:sz w:val="24"/>
          <w:szCs w:val="24"/>
        </w:rPr>
        <w:t xml:space="preserve">Legal Lessons Learned: </w:t>
      </w:r>
      <w:r>
        <w:rPr>
          <w:rFonts w:ascii="Times New Roman" w:hAnsi="Times New Roman"/>
          <w:b/>
          <w:sz w:val="24"/>
          <w:szCs w:val="24"/>
        </w:rPr>
        <w:t xml:space="preserve"> Many states, including Illinois, have now enacted a statutory presumption on FF cancer.  But some employers are contesting claims, particularly if FF has poor health history.   </w:t>
      </w:r>
    </w:p>
    <w:p w14:paraId="0E4BD0D0" w14:textId="77777777" w:rsidR="00527EDF" w:rsidRDefault="00527EDF" w:rsidP="00527EDF">
      <w:pPr>
        <w:pStyle w:val="NoSpacing"/>
        <w:ind w:left="720"/>
        <w:rPr>
          <w:rFonts w:ascii="Times New Roman" w:hAnsi="Times New Roman"/>
          <w:sz w:val="24"/>
          <w:szCs w:val="24"/>
        </w:rPr>
      </w:pPr>
    </w:p>
    <w:p w14:paraId="0D967363" w14:textId="77777777" w:rsidR="00527EDF" w:rsidRPr="001922D5" w:rsidRDefault="00527EDF" w:rsidP="00527EDF">
      <w:pPr>
        <w:pStyle w:val="NoSpacing"/>
        <w:ind w:left="720"/>
        <w:rPr>
          <w:rFonts w:ascii="Times New Roman" w:hAnsi="Times New Roman"/>
          <w:sz w:val="24"/>
          <w:szCs w:val="24"/>
        </w:rPr>
      </w:pPr>
      <w:r>
        <w:rPr>
          <w:rFonts w:ascii="Times New Roman" w:hAnsi="Times New Roman"/>
          <w:sz w:val="24"/>
          <w:szCs w:val="24"/>
        </w:rPr>
        <w:t>S</w:t>
      </w:r>
      <w:r w:rsidRPr="00A0664F">
        <w:rPr>
          <w:rFonts w:ascii="Times New Roman" w:hAnsi="Times New Roman"/>
          <w:sz w:val="24"/>
          <w:szCs w:val="24"/>
        </w:rPr>
        <w:t xml:space="preserve">ee </w:t>
      </w:r>
      <w:r>
        <w:rPr>
          <w:rFonts w:ascii="Times New Roman" w:hAnsi="Times New Roman"/>
          <w:sz w:val="24"/>
          <w:szCs w:val="24"/>
        </w:rPr>
        <w:t xml:space="preserve">also </w:t>
      </w:r>
      <w:r w:rsidRPr="00A0664F">
        <w:rPr>
          <w:rFonts w:ascii="Times New Roman" w:hAnsi="Times New Roman"/>
          <w:sz w:val="24"/>
          <w:szCs w:val="24"/>
        </w:rPr>
        <w:t xml:space="preserve">this article on </w:t>
      </w:r>
      <w:r>
        <w:rPr>
          <w:rFonts w:ascii="Times New Roman" w:hAnsi="Times New Roman"/>
          <w:sz w:val="24"/>
          <w:szCs w:val="24"/>
        </w:rPr>
        <w:t xml:space="preserve">2017 </w:t>
      </w:r>
      <w:r w:rsidRPr="00A0664F">
        <w:rPr>
          <w:rFonts w:ascii="Times New Roman" w:hAnsi="Times New Roman"/>
          <w:sz w:val="24"/>
          <w:szCs w:val="24"/>
        </w:rPr>
        <w:t>case involving Illinois firefighter who suffered a heart attack</w:t>
      </w:r>
      <w:r>
        <w:rPr>
          <w:rFonts w:ascii="Times New Roman" w:hAnsi="Times New Roman"/>
          <w:sz w:val="24"/>
          <w:szCs w:val="24"/>
        </w:rPr>
        <w:t>. “</w:t>
      </w:r>
      <w:r w:rsidRPr="001922D5">
        <w:rPr>
          <w:rFonts w:ascii="Times New Roman" w:hAnsi="Times New Roman"/>
          <w:sz w:val="24"/>
          <w:szCs w:val="24"/>
        </w:rPr>
        <w:t>In this case, the petitioner was an obese smoker, mildly diabetic, and with a family history of heart disease.</w:t>
      </w:r>
      <w:r>
        <w:rPr>
          <w:rFonts w:ascii="Times New Roman" w:hAnsi="Times New Roman"/>
          <w:sz w:val="24"/>
          <w:szCs w:val="24"/>
        </w:rPr>
        <w:t>”</w:t>
      </w:r>
      <w:r w:rsidRPr="001922D5">
        <w:rPr>
          <w:rFonts w:ascii="Times New Roman" w:hAnsi="Times New Roman"/>
          <w:sz w:val="24"/>
          <w:szCs w:val="24"/>
        </w:rPr>
        <w:t xml:space="preserve"> </w:t>
      </w:r>
      <w:hyperlink r:id="rId1278" w:history="1">
        <w:r w:rsidRPr="001922D5">
          <w:rPr>
            <w:rStyle w:val="Hyperlink"/>
            <w:rFonts w:ascii="Times New Roman" w:hAnsi="Times New Roman"/>
            <w:sz w:val="24"/>
            <w:szCs w:val="24"/>
          </w:rPr>
          <w:t>http://inmanfitzgibbons.com/illinois-wc-alert-rebutting-the-6f-presumption/</w:t>
        </w:r>
      </w:hyperlink>
      <w:r w:rsidRPr="001922D5">
        <w:rPr>
          <w:rFonts w:ascii="Times New Roman" w:hAnsi="Times New Roman"/>
          <w:sz w:val="24"/>
          <w:szCs w:val="24"/>
        </w:rPr>
        <w:t xml:space="preserve"> </w:t>
      </w:r>
    </w:p>
    <w:p w14:paraId="5FD55CCD" w14:textId="77777777" w:rsidR="00527EDF" w:rsidRPr="006E0B93" w:rsidRDefault="00527EDF" w:rsidP="00527EDF">
      <w:pPr>
        <w:pStyle w:val="NoSpacing"/>
        <w:ind w:left="720"/>
        <w:rPr>
          <w:rFonts w:ascii="Times New Roman" w:hAnsi="Times New Roman"/>
          <w:sz w:val="24"/>
          <w:szCs w:val="24"/>
        </w:rPr>
      </w:pPr>
      <w:r w:rsidRPr="00A0664F">
        <w:rPr>
          <w:rFonts w:ascii="Times New Roman" w:hAnsi="Times New Roman"/>
          <w:sz w:val="24"/>
          <w:szCs w:val="24"/>
        </w:rPr>
        <w:t>The Court further quoted the bill sponsor as saying, “[s]o don’t think it’s conclusive that simply because you have lung cancer, you’re going to get compensation of the Worker’s Compensation Act. What we’re saying is, we’ll get you to the hearing. Then the other side can bring in evidence that you smoked for thirty (30) years and therefore, it wasn’t a result of the actions taken at work.” </w:t>
      </w:r>
      <w:r w:rsidRPr="00A0664F">
        <w:rPr>
          <w:rStyle w:val="Emphasis"/>
          <w:rFonts w:ascii="Times New Roman" w:hAnsi="Times New Roman"/>
          <w:sz w:val="24"/>
          <w:szCs w:val="24"/>
        </w:rPr>
        <w:t>Id.</w:t>
      </w:r>
      <w:r w:rsidRPr="00A0664F">
        <w:rPr>
          <w:rFonts w:ascii="Times New Roman" w:hAnsi="Times New Roman"/>
          <w:sz w:val="24"/>
          <w:szCs w:val="24"/>
        </w:rPr>
        <w:t> at 82.</w:t>
      </w:r>
      <w:r>
        <w:rPr>
          <w:rFonts w:ascii="Times New Roman" w:hAnsi="Times New Roman"/>
          <w:sz w:val="24"/>
          <w:szCs w:val="24"/>
        </w:rPr>
        <w:t xml:space="preserve"> </w:t>
      </w:r>
      <w:r w:rsidRPr="006E0B93">
        <w:rPr>
          <w:rStyle w:val="Emphasis"/>
          <w:rFonts w:ascii="Times New Roman" w:hAnsi="Times New Roman"/>
          <w:sz w:val="24"/>
          <w:szCs w:val="24"/>
        </w:rPr>
        <w:t>Johnston v. Illinois Workers’ Comp. Comm’n</w:t>
      </w:r>
      <w:r w:rsidRPr="006E0B93">
        <w:rPr>
          <w:rFonts w:ascii="Times New Roman" w:hAnsi="Times New Roman"/>
          <w:sz w:val="24"/>
          <w:szCs w:val="24"/>
        </w:rPr>
        <w:t>, 2017 IL App (2d) 160010WC.</w:t>
      </w:r>
    </w:p>
    <w:bookmarkEnd w:id="251"/>
    <w:p w14:paraId="7BEF09E7" w14:textId="1C5BE5E5" w:rsidR="00527EDF" w:rsidRDefault="00527EDF" w:rsidP="00527EDF">
      <w:pPr>
        <w:pStyle w:val="NoSpacing"/>
        <w:rPr>
          <w:rStyle w:val="Hyperlink"/>
          <w:rFonts w:ascii="Times New Roman" w:hAnsi="Times New Roman"/>
          <w:sz w:val="24"/>
          <w:szCs w:val="24"/>
        </w:rPr>
      </w:pPr>
    </w:p>
    <w:p w14:paraId="770C6CAF" w14:textId="77777777" w:rsidR="00EF1133" w:rsidRDefault="00EF1133" w:rsidP="00527EDF">
      <w:pPr>
        <w:pStyle w:val="NoSpacing"/>
        <w:rPr>
          <w:rFonts w:ascii="Arial Black" w:hAnsi="Arial Black"/>
          <w:sz w:val="28"/>
          <w:szCs w:val="28"/>
        </w:rPr>
      </w:pPr>
      <w:bookmarkStart w:id="252" w:name="_Hlk10127150"/>
    </w:p>
    <w:p w14:paraId="0057E7E8" w14:textId="3613A613" w:rsidR="00EF1133" w:rsidRDefault="00EF1133" w:rsidP="00EF1133">
      <w:pPr>
        <w:rPr>
          <w:rFonts w:ascii="Arial Black" w:hAnsi="Arial Black"/>
          <w:sz w:val="28"/>
          <w:szCs w:val="28"/>
        </w:rPr>
      </w:pPr>
      <w:r>
        <w:rPr>
          <w:rFonts w:ascii="Arial Black" w:hAnsi="Arial Black"/>
          <w:b/>
          <w:sz w:val="24"/>
          <w:szCs w:val="24"/>
        </w:rPr>
        <w:t>6</w:t>
      </w:r>
      <w:r w:rsidRPr="00EF1133">
        <w:rPr>
          <w:rFonts w:ascii="Arial Black" w:hAnsi="Arial Black"/>
          <w:b/>
          <w:sz w:val="24"/>
          <w:szCs w:val="24"/>
        </w:rPr>
        <w:t>-1</w:t>
      </w:r>
      <w:r w:rsidR="005B0774">
        <w:rPr>
          <w:rFonts w:ascii="Arial Black" w:hAnsi="Arial Black"/>
          <w:b/>
          <w:sz w:val="24"/>
          <w:szCs w:val="24"/>
        </w:rPr>
        <w:t>9</w:t>
      </w:r>
    </w:p>
    <w:p w14:paraId="0292BE1A" w14:textId="32B2619F" w:rsidR="00527EDF" w:rsidRDefault="00527EDF" w:rsidP="00527EDF">
      <w:pPr>
        <w:pStyle w:val="NoSpacing"/>
        <w:rPr>
          <w:rFonts w:ascii="Arial Black" w:hAnsi="Arial Black"/>
          <w:sz w:val="28"/>
          <w:szCs w:val="28"/>
        </w:rPr>
      </w:pPr>
      <w:r w:rsidRPr="005F044F">
        <w:rPr>
          <w:rFonts w:ascii="Arial Black" w:hAnsi="Arial Black"/>
          <w:sz w:val="28"/>
          <w:szCs w:val="28"/>
        </w:rPr>
        <w:t xml:space="preserve">NJ: </w:t>
      </w:r>
      <w:r>
        <w:rPr>
          <w:rFonts w:ascii="Arial Black" w:hAnsi="Arial Black"/>
          <w:sz w:val="28"/>
          <w:szCs w:val="28"/>
        </w:rPr>
        <w:t>FF’s BACK INJURY - PLASTIC CHAIR COLLAPSED - PRIOR BACK ISSUES – NOT “ACCIDENTAL” DISABILITY, ONLY “ORDINARY” DISAB.</w:t>
      </w:r>
    </w:p>
    <w:p w14:paraId="5293A597" w14:textId="77777777" w:rsidR="00527EDF" w:rsidRDefault="00527EDF" w:rsidP="00527EDF">
      <w:pPr>
        <w:pStyle w:val="NoSpacing"/>
        <w:rPr>
          <w:rFonts w:ascii="Arial Black" w:hAnsi="Arial Black"/>
          <w:sz w:val="28"/>
          <w:szCs w:val="28"/>
        </w:rPr>
      </w:pPr>
    </w:p>
    <w:p w14:paraId="054469E7" w14:textId="77777777" w:rsidR="00527EDF" w:rsidRPr="00BE460E" w:rsidRDefault="00527EDF" w:rsidP="00527EDF">
      <w:pPr>
        <w:pStyle w:val="NoSpacing"/>
        <w:rPr>
          <w:rFonts w:ascii="Times New Roman" w:hAnsi="Times New Roman"/>
          <w:sz w:val="24"/>
          <w:szCs w:val="24"/>
        </w:rPr>
      </w:pPr>
      <w:r>
        <w:rPr>
          <w:rFonts w:ascii="Times New Roman" w:hAnsi="Times New Roman"/>
          <w:sz w:val="24"/>
          <w:szCs w:val="24"/>
        </w:rPr>
        <w:t xml:space="preserve">On </w:t>
      </w:r>
      <w:bookmarkStart w:id="253" w:name="_Hlk39831259"/>
      <w:r>
        <w:rPr>
          <w:rFonts w:ascii="Times New Roman" w:hAnsi="Times New Roman"/>
          <w:sz w:val="24"/>
          <w:szCs w:val="24"/>
        </w:rPr>
        <w:t xml:space="preserve">May 10, 2019, in </w:t>
      </w:r>
      <w:r w:rsidRPr="00BE460E">
        <w:rPr>
          <w:rFonts w:ascii="Times New Roman" w:hAnsi="Times New Roman"/>
          <w:sz w:val="24"/>
          <w:szCs w:val="24"/>
          <w:u w:val="single"/>
        </w:rPr>
        <w:t>Terrence Crowder v. Board of Trustees, Police &amp; Firemen’s Retirement System</w:t>
      </w:r>
      <w:bookmarkEnd w:id="253"/>
      <w:r w:rsidRPr="00BE460E">
        <w:rPr>
          <w:rFonts w:ascii="Times New Roman" w:hAnsi="Times New Roman"/>
          <w:sz w:val="24"/>
          <w:szCs w:val="24"/>
        </w:rPr>
        <w:t>, the Superior Court of New Jersey, Appellate Division,</w:t>
      </w:r>
      <w:r>
        <w:rPr>
          <w:rFonts w:ascii="Times New Roman" w:hAnsi="Times New Roman"/>
          <w:sz w:val="24"/>
          <w:szCs w:val="24"/>
          <w:u w:val="single"/>
        </w:rPr>
        <w:t xml:space="preserve"> </w:t>
      </w:r>
      <w:r>
        <w:rPr>
          <w:rFonts w:ascii="Times New Roman" w:hAnsi="Times New Roman"/>
          <w:sz w:val="24"/>
          <w:szCs w:val="24"/>
        </w:rPr>
        <w:t>held (2 to 0) that Deputy Chief was not entitled to 72.7% accidental disability retirement, only “ordinary” disability retirement (43.6%).</w:t>
      </w:r>
    </w:p>
    <w:p w14:paraId="2C9F7772" w14:textId="77777777" w:rsidR="00527EDF" w:rsidRDefault="00527EDF" w:rsidP="00527EDF">
      <w:pPr>
        <w:pStyle w:val="NoSpacing"/>
        <w:rPr>
          <w:rFonts w:ascii="Times New Roman" w:hAnsi="Times New Roman"/>
          <w:sz w:val="24"/>
          <w:szCs w:val="24"/>
        </w:rPr>
      </w:pPr>
    </w:p>
    <w:p w14:paraId="7CB6108D" w14:textId="77777777" w:rsidR="00527EDF" w:rsidRDefault="00527EDF" w:rsidP="00527EDF">
      <w:pPr>
        <w:pStyle w:val="NoSpacing"/>
        <w:ind w:left="720"/>
        <w:rPr>
          <w:rFonts w:ascii="Times New Roman" w:hAnsi="Times New Roman"/>
          <w:sz w:val="24"/>
          <w:szCs w:val="24"/>
        </w:rPr>
      </w:pPr>
      <w:r>
        <w:rPr>
          <w:rFonts w:ascii="Times New Roman" w:hAnsi="Times New Roman"/>
          <w:sz w:val="24"/>
          <w:szCs w:val="24"/>
        </w:rPr>
        <w:t>“</w:t>
      </w:r>
      <w:r w:rsidRPr="00CA7133">
        <w:rPr>
          <w:rFonts w:ascii="Times New Roman" w:hAnsi="Times New Roman"/>
          <w:sz w:val="24"/>
          <w:szCs w:val="24"/>
        </w:rPr>
        <w:t>The 2008 incident was not the direct cause of</w:t>
      </w:r>
      <w:r>
        <w:rPr>
          <w:rFonts w:ascii="Times New Roman" w:hAnsi="Times New Roman"/>
          <w:sz w:val="24"/>
          <w:szCs w:val="24"/>
        </w:rPr>
        <w:t xml:space="preserve"> </w:t>
      </w:r>
      <w:r w:rsidRPr="00CA7133">
        <w:rPr>
          <w:rFonts w:ascii="Times New Roman" w:hAnsi="Times New Roman"/>
          <w:sz w:val="24"/>
          <w:szCs w:val="24"/>
        </w:rPr>
        <w:t>Crowder's disability. Rather,</w:t>
      </w:r>
      <w:r>
        <w:rPr>
          <w:rFonts w:ascii="Times New Roman" w:hAnsi="Times New Roman"/>
          <w:sz w:val="24"/>
          <w:szCs w:val="24"/>
        </w:rPr>
        <w:t xml:space="preserve"> </w:t>
      </w:r>
      <w:r w:rsidRPr="00CA7133">
        <w:rPr>
          <w:rFonts w:ascii="Times New Roman" w:hAnsi="Times New Roman"/>
          <w:sz w:val="24"/>
          <w:szCs w:val="24"/>
        </w:rPr>
        <w:t>as the ALJ correctly found, Crowder's</w:t>
      </w:r>
      <w:r>
        <w:rPr>
          <w:rFonts w:ascii="Times New Roman" w:hAnsi="Times New Roman"/>
          <w:sz w:val="24"/>
          <w:szCs w:val="24"/>
        </w:rPr>
        <w:t xml:space="preserve"> </w:t>
      </w:r>
      <w:r w:rsidRPr="00CA7133">
        <w:rPr>
          <w:rFonts w:ascii="Times New Roman" w:hAnsi="Times New Roman"/>
          <w:sz w:val="24"/>
          <w:szCs w:val="24"/>
        </w:rPr>
        <w:t xml:space="preserve">preexisting degenerative condition, which was aggravated by the 2008 incident, was the essential significant or the substantial contributing cause of his </w:t>
      </w:r>
      <w:proofErr w:type="gramStart"/>
      <w:r w:rsidRPr="00CA7133">
        <w:rPr>
          <w:rFonts w:ascii="Times New Roman" w:hAnsi="Times New Roman"/>
          <w:sz w:val="24"/>
          <w:szCs w:val="24"/>
        </w:rPr>
        <w:t>disability.</w:t>
      </w:r>
      <w:r>
        <w:rPr>
          <w:rFonts w:ascii="Times New Roman" w:hAnsi="Times New Roman"/>
          <w:sz w:val="24"/>
          <w:szCs w:val="24"/>
        </w:rPr>
        <w:t>”</w:t>
      </w:r>
      <w:proofErr w:type="gramEnd"/>
    </w:p>
    <w:bookmarkStart w:id="254" w:name="_Hlk39831287"/>
    <w:p w14:paraId="6FA5DDA4" w14:textId="77777777" w:rsidR="00527EDF" w:rsidRPr="00CA7133" w:rsidRDefault="00374417" w:rsidP="00527EDF">
      <w:pPr>
        <w:pStyle w:val="NoSpacing"/>
        <w:ind w:left="720"/>
        <w:rPr>
          <w:rFonts w:ascii="Times New Roman" w:hAnsi="Times New Roman"/>
          <w:sz w:val="24"/>
          <w:szCs w:val="24"/>
        </w:rPr>
      </w:pPr>
      <w:r>
        <w:fldChar w:fldCharType="begin"/>
      </w:r>
      <w:r>
        <w:instrText xml:space="preserve"> HYPERLINK "https://njcourts.gov/attorneys/assets/opinions/appellate/unpublished/a0094-17.pdf" </w:instrText>
      </w:r>
      <w:r>
        <w:fldChar w:fldCharType="separate"/>
      </w:r>
      <w:r w:rsidR="00527EDF" w:rsidRPr="002620E3">
        <w:rPr>
          <w:rStyle w:val="Hyperlink"/>
          <w:rFonts w:ascii="Times New Roman" w:hAnsi="Times New Roman"/>
          <w:sz w:val="24"/>
          <w:szCs w:val="24"/>
        </w:rPr>
        <w:t>https://njcourts.gov/attorneys/assets/opinions/appellate/unpublished/a0094-17.pdf</w:t>
      </w:r>
      <w:r>
        <w:rPr>
          <w:rStyle w:val="Hyperlink"/>
          <w:rFonts w:ascii="Times New Roman" w:hAnsi="Times New Roman"/>
          <w:sz w:val="24"/>
          <w:szCs w:val="24"/>
        </w:rPr>
        <w:fldChar w:fldCharType="end"/>
      </w:r>
      <w:r w:rsidR="00527EDF">
        <w:rPr>
          <w:rFonts w:ascii="Times New Roman" w:hAnsi="Times New Roman"/>
          <w:sz w:val="24"/>
          <w:szCs w:val="24"/>
        </w:rPr>
        <w:t xml:space="preserve"> </w:t>
      </w:r>
    </w:p>
    <w:p w14:paraId="3EDAB032" w14:textId="77777777" w:rsidR="00527EDF" w:rsidRDefault="00527EDF" w:rsidP="00527EDF">
      <w:pPr>
        <w:pStyle w:val="NoSpacing"/>
        <w:rPr>
          <w:rFonts w:ascii="Times New Roman" w:hAnsi="Times New Roman"/>
          <w:b/>
          <w:sz w:val="24"/>
          <w:szCs w:val="24"/>
        </w:rPr>
      </w:pPr>
      <w:bookmarkStart w:id="255" w:name="_Hlk10127233"/>
      <w:bookmarkEnd w:id="252"/>
      <w:bookmarkEnd w:id="254"/>
    </w:p>
    <w:p w14:paraId="3CD6AB30" w14:textId="58AEA41C" w:rsidR="00527EDF" w:rsidRPr="00C8192B" w:rsidRDefault="00527EDF" w:rsidP="00527EDF">
      <w:pPr>
        <w:pStyle w:val="NoSpacing"/>
        <w:rPr>
          <w:rFonts w:ascii="Times New Roman" w:hAnsi="Times New Roman"/>
          <w:b/>
          <w:sz w:val="24"/>
          <w:szCs w:val="24"/>
        </w:rPr>
      </w:pPr>
      <w:r w:rsidRPr="00C8192B">
        <w:rPr>
          <w:rFonts w:ascii="Times New Roman" w:hAnsi="Times New Roman"/>
          <w:b/>
          <w:sz w:val="24"/>
          <w:szCs w:val="24"/>
        </w:rPr>
        <w:t xml:space="preserve">Legal Lessons Learned: </w:t>
      </w:r>
      <w:r>
        <w:rPr>
          <w:rFonts w:ascii="Times New Roman" w:hAnsi="Times New Roman"/>
          <w:b/>
          <w:sz w:val="24"/>
          <w:szCs w:val="24"/>
        </w:rPr>
        <w:t xml:space="preserve">Aggravating a pre-existing degenerative condition does not meet the requirements of the state statute. Suggestion - get rid of plastic chairs in the station. </w:t>
      </w:r>
    </w:p>
    <w:p w14:paraId="12721D64" w14:textId="77777777" w:rsidR="00527EDF" w:rsidRDefault="00527EDF" w:rsidP="00527EDF">
      <w:pPr>
        <w:pStyle w:val="NoSpacing"/>
        <w:ind w:firstLine="720"/>
        <w:rPr>
          <w:rFonts w:ascii="Times New Roman" w:hAnsi="Times New Roman"/>
          <w:sz w:val="24"/>
          <w:szCs w:val="24"/>
        </w:rPr>
      </w:pPr>
    </w:p>
    <w:p w14:paraId="3EDE4DB6" w14:textId="77777777" w:rsidR="00527EDF" w:rsidRPr="00DE64B9" w:rsidRDefault="00527EDF" w:rsidP="00527EDF">
      <w:pPr>
        <w:pStyle w:val="NoSpacing"/>
        <w:ind w:left="720"/>
        <w:rPr>
          <w:rFonts w:ascii="Times New Roman" w:hAnsi="Times New Roman"/>
          <w:b/>
          <w:sz w:val="24"/>
          <w:szCs w:val="24"/>
        </w:rPr>
      </w:pPr>
      <w:r w:rsidRPr="00DE64B9">
        <w:rPr>
          <w:rFonts w:ascii="Times New Roman" w:hAnsi="Times New Roman"/>
          <w:sz w:val="24"/>
          <w:szCs w:val="24"/>
        </w:rPr>
        <w:t xml:space="preserve">See this article on the case, </w:t>
      </w:r>
      <w:bookmarkStart w:id="256" w:name="_Hlk39831133"/>
      <w:r w:rsidRPr="00DE64B9">
        <w:rPr>
          <w:rFonts w:ascii="Times New Roman" w:hAnsi="Times New Roman"/>
          <w:sz w:val="24"/>
          <w:szCs w:val="24"/>
        </w:rPr>
        <w:t xml:space="preserve">“Former Camden firefighter loses court fight over disability retirement benefits.” (May 14, 2019). </w:t>
      </w:r>
      <w:hyperlink r:id="rId1279" w:history="1">
        <w:r w:rsidRPr="00DE64B9">
          <w:rPr>
            <w:rStyle w:val="Hyperlink"/>
            <w:rFonts w:ascii="Times New Roman" w:hAnsi="Times New Roman"/>
            <w:sz w:val="24"/>
            <w:szCs w:val="24"/>
          </w:rPr>
          <w:t>https://www.courierpostonline.com/story/news/2019/05/14/terremce-crowder-camden-fire-department-deputy-chief-loses-disability-benefits-dispute/1194598001/</w:t>
        </w:r>
      </w:hyperlink>
      <w:bookmarkEnd w:id="256"/>
      <w:r w:rsidRPr="00DE64B9">
        <w:rPr>
          <w:rFonts w:ascii="Times New Roman" w:hAnsi="Times New Roman"/>
          <w:sz w:val="24"/>
          <w:szCs w:val="24"/>
        </w:rPr>
        <w:t xml:space="preserve"> </w:t>
      </w:r>
    </w:p>
    <w:p w14:paraId="7158046C" w14:textId="77777777" w:rsidR="00527EDF" w:rsidRPr="00DE64B9" w:rsidRDefault="00527EDF" w:rsidP="00527EDF">
      <w:pPr>
        <w:pStyle w:val="NoSpacing"/>
        <w:ind w:left="720"/>
        <w:rPr>
          <w:rFonts w:ascii="Times New Roman" w:hAnsi="Times New Roman"/>
          <w:sz w:val="24"/>
          <w:szCs w:val="24"/>
        </w:rPr>
      </w:pPr>
      <w:r w:rsidRPr="00DE64B9">
        <w:rPr>
          <w:rFonts w:ascii="Times New Roman" w:hAnsi="Times New Roman"/>
          <w:sz w:val="24"/>
          <w:szCs w:val="24"/>
        </w:rPr>
        <w:t>“According to the state Treasury’s website, an ordinary disability retirement pays 43.6 percent of an employee’s salary averaged over his or her last three years of service. In contrast, an accidental disability retirement pays 72.7 percent of the base salary at the time of the ‘traumatic event.’”</w:t>
      </w:r>
    </w:p>
    <w:bookmarkEnd w:id="255"/>
    <w:p w14:paraId="0CD1D77B" w14:textId="77777777" w:rsidR="0097592D" w:rsidRDefault="0097592D" w:rsidP="0097592D">
      <w:pPr>
        <w:pStyle w:val="NoSpacing"/>
        <w:rPr>
          <w:rFonts w:ascii="Times New Roman" w:hAnsi="Times New Roman"/>
          <w:sz w:val="24"/>
          <w:szCs w:val="24"/>
        </w:rPr>
      </w:pPr>
    </w:p>
    <w:p w14:paraId="0B140BCA" w14:textId="28931B8E" w:rsidR="0097592D" w:rsidRDefault="0097592D" w:rsidP="0097592D">
      <w:pPr>
        <w:pStyle w:val="NoSpacing"/>
        <w:rPr>
          <w:rFonts w:ascii="Times New Roman" w:hAnsi="Times New Roman"/>
          <w:sz w:val="24"/>
          <w:szCs w:val="24"/>
        </w:rPr>
      </w:pPr>
    </w:p>
    <w:p w14:paraId="1F5AEF7C" w14:textId="77777777" w:rsidR="005F7D6B" w:rsidRDefault="005F7D6B" w:rsidP="00EF1133">
      <w:pPr>
        <w:rPr>
          <w:rFonts w:ascii="Arial Black" w:hAnsi="Arial Black"/>
          <w:b/>
          <w:sz w:val="24"/>
          <w:szCs w:val="24"/>
        </w:rPr>
      </w:pPr>
    </w:p>
    <w:p w14:paraId="083A518F" w14:textId="6768BE79" w:rsidR="00660046" w:rsidRDefault="00660046" w:rsidP="00EF1133">
      <w:pPr>
        <w:rPr>
          <w:rFonts w:ascii="Arial Black" w:hAnsi="Arial Black"/>
          <w:b/>
          <w:sz w:val="24"/>
          <w:szCs w:val="24"/>
        </w:rPr>
      </w:pPr>
      <w:r>
        <w:rPr>
          <w:rFonts w:ascii="Arial Black" w:hAnsi="Arial Black"/>
          <w:b/>
          <w:sz w:val="24"/>
          <w:szCs w:val="24"/>
        </w:rPr>
        <w:t>6-18</w:t>
      </w:r>
    </w:p>
    <w:p w14:paraId="5779DE15" w14:textId="77777777" w:rsidR="00660046" w:rsidRPr="00660046" w:rsidRDefault="00660046" w:rsidP="00EF1133">
      <w:pPr>
        <w:rPr>
          <w:rFonts w:ascii="Arial Black" w:hAnsi="Arial Black" w:cs="Arial"/>
          <w:sz w:val="28"/>
          <w:szCs w:val="28"/>
        </w:rPr>
      </w:pPr>
      <w:r w:rsidRPr="00660046">
        <w:rPr>
          <w:rFonts w:ascii="Arial Black" w:hAnsi="Arial Black" w:cs="Arial"/>
          <w:sz w:val="28"/>
          <w:szCs w:val="28"/>
        </w:rPr>
        <w:t>NY: FDNY APPLICANT - PLED GUILTY MJ – CIVIL SERVICE COMM. PUT HIM BACK ON ELIGIBILITY LIST – LIST NOW EXPIRED - NOT HIRED</w:t>
      </w:r>
    </w:p>
    <w:p w14:paraId="386005B1" w14:textId="21EF063F" w:rsidR="00660046" w:rsidRPr="0036327D" w:rsidRDefault="00660046" w:rsidP="00EF1133">
      <w:pPr>
        <w:rPr>
          <w:rFonts w:ascii="Times New Roman" w:hAnsi="Times New Roman"/>
          <w:sz w:val="24"/>
          <w:szCs w:val="24"/>
        </w:rPr>
      </w:pPr>
      <w:r w:rsidRPr="0036327D">
        <w:rPr>
          <w:rFonts w:ascii="Times New Roman" w:hAnsi="Times New Roman"/>
          <w:sz w:val="24"/>
          <w:szCs w:val="24"/>
        </w:rPr>
        <w:t xml:space="preserve">On April 18, 2019, In </w:t>
      </w:r>
      <w:proofErr w:type="gramStart"/>
      <w:r w:rsidRPr="0036327D">
        <w:rPr>
          <w:rFonts w:ascii="Times New Roman" w:hAnsi="Times New Roman"/>
          <w:sz w:val="24"/>
          <w:szCs w:val="24"/>
        </w:rPr>
        <w:t>The</w:t>
      </w:r>
      <w:proofErr w:type="gramEnd"/>
      <w:r w:rsidRPr="0036327D">
        <w:rPr>
          <w:rFonts w:ascii="Times New Roman" w:hAnsi="Times New Roman"/>
          <w:sz w:val="24"/>
          <w:szCs w:val="24"/>
        </w:rPr>
        <w:t xml:space="preserve"> Matter </w:t>
      </w:r>
      <w:proofErr w:type="gramStart"/>
      <w:r w:rsidRPr="0036327D">
        <w:rPr>
          <w:rFonts w:ascii="Times New Roman" w:hAnsi="Times New Roman"/>
          <w:sz w:val="24"/>
          <w:szCs w:val="24"/>
        </w:rPr>
        <w:t>Of</w:t>
      </w:r>
      <w:proofErr w:type="gramEnd"/>
      <w:r w:rsidRPr="0036327D">
        <w:rPr>
          <w:rFonts w:ascii="Times New Roman" w:hAnsi="Times New Roman"/>
          <w:sz w:val="24"/>
          <w:szCs w:val="24"/>
        </w:rPr>
        <w:t xml:space="preserve"> </w:t>
      </w:r>
      <w:proofErr w:type="gramStart"/>
      <w:r w:rsidRPr="0036327D">
        <w:rPr>
          <w:rFonts w:ascii="Times New Roman" w:hAnsi="Times New Roman"/>
          <w:sz w:val="24"/>
          <w:szCs w:val="24"/>
        </w:rPr>
        <w:t>The</w:t>
      </w:r>
      <w:proofErr w:type="gramEnd"/>
      <w:r w:rsidRPr="0036327D">
        <w:rPr>
          <w:rFonts w:ascii="Times New Roman" w:hAnsi="Times New Roman"/>
          <w:sz w:val="24"/>
          <w:szCs w:val="24"/>
        </w:rPr>
        <w:t xml:space="preserve"> Application </w:t>
      </w:r>
      <w:proofErr w:type="gramStart"/>
      <w:r w:rsidRPr="0036327D">
        <w:rPr>
          <w:rFonts w:ascii="Times New Roman" w:hAnsi="Times New Roman"/>
          <w:sz w:val="24"/>
          <w:szCs w:val="24"/>
        </w:rPr>
        <w:t>Of</w:t>
      </w:r>
      <w:proofErr w:type="gramEnd"/>
      <w:r w:rsidRPr="0036327D">
        <w:rPr>
          <w:rFonts w:ascii="Times New Roman" w:hAnsi="Times New Roman"/>
          <w:sz w:val="24"/>
          <w:szCs w:val="24"/>
        </w:rPr>
        <w:t xml:space="preserve"> Christopher Redden v. The City of New York, a judge on NY Supreme Court, Kings County, denied the applicant’s request to be placed on a “special eligible list.” Redden v. City of N.Y., 2019 NY Slip Op 50647(U) (N.Y. Sup. Ct., 2019). “Being named on an eligible list does not create any vested right to be appointed; at most it conveys the right to be considered and the possibility of an appointment. *** Thus, the FDNY, as a civil service department, has the discretion to disqualify a candidate on the eligible list who has been found guilty of a crime. </w:t>
      </w:r>
      <w:hyperlink r:id="rId1280" w:history="1">
        <w:r w:rsidRPr="0036327D">
          <w:rPr>
            <w:rStyle w:val="Hyperlink"/>
            <w:rFonts w:ascii="Times New Roman" w:hAnsi="Times New Roman"/>
            <w:sz w:val="24"/>
            <w:szCs w:val="24"/>
          </w:rPr>
          <w:t>https://law.justia.com/cases/new-york/other-courts/2019/2019-ny-slip-op-50647-u.html</w:t>
        </w:r>
      </w:hyperlink>
      <w:r w:rsidRPr="0036327D">
        <w:rPr>
          <w:rFonts w:ascii="Times New Roman" w:hAnsi="Times New Roman"/>
          <w:sz w:val="24"/>
          <w:szCs w:val="24"/>
        </w:rPr>
        <w:t xml:space="preserve"> </w:t>
      </w:r>
    </w:p>
    <w:p w14:paraId="69CF6E62" w14:textId="5FBD5542" w:rsidR="00660046" w:rsidRPr="0036327D" w:rsidRDefault="00660046" w:rsidP="00EF1133">
      <w:pPr>
        <w:rPr>
          <w:rFonts w:ascii="Times New Roman" w:hAnsi="Times New Roman"/>
          <w:b/>
          <w:bCs/>
          <w:sz w:val="24"/>
          <w:szCs w:val="24"/>
        </w:rPr>
      </w:pPr>
      <w:r w:rsidRPr="0036327D">
        <w:rPr>
          <w:rFonts w:ascii="Times New Roman" w:hAnsi="Times New Roman"/>
          <w:b/>
          <w:bCs/>
          <w:sz w:val="24"/>
          <w:szCs w:val="24"/>
        </w:rPr>
        <w:t xml:space="preserve">Legal Lessons Learned: After eligibility list expires, applicant must wait for next exam. If he </w:t>
      </w:r>
      <w:proofErr w:type="gramStart"/>
      <w:r w:rsidRPr="0036327D">
        <w:rPr>
          <w:rFonts w:ascii="Times New Roman" w:hAnsi="Times New Roman"/>
          <w:b/>
          <w:bCs/>
          <w:sz w:val="24"/>
          <w:szCs w:val="24"/>
        </w:rPr>
        <w:t>is then</w:t>
      </w:r>
      <w:proofErr w:type="gramEnd"/>
      <w:r w:rsidRPr="0036327D">
        <w:rPr>
          <w:rFonts w:ascii="Times New Roman" w:hAnsi="Times New Roman"/>
          <w:b/>
          <w:bCs/>
          <w:sz w:val="24"/>
          <w:szCs w:val="24"/>
        </w:rPr>
        <w:t xml:space="preserve"> too old to apply, then he is without a remedy. </w:t>
      </w:r>
    </w:p>
    <w:p w14:paraId="7B13B0DA" w14:textId="2E94D0F5" w:rsidR="00660046" w:rsidRPr="0036327D" w:rsidRDefault="00660046" w:rsidP="00EF1133">
      <w:pPr>
        <w:rPr>
          <w:rFonts w:ascii="Times New Roman" w:hAnsi="Times New Roman"/>
          <w:sz w:val="24"/>
          <w:szCs w:val="24"/>
        </w:rPr>
      </w:pPr>
    </w:p>
    <w:p w14:paraId="3B9D3F45" w14:textId="77777777" w:rsidR="00660046" w:rsidRPr="00660046" w:rsidRDefault="00660046" w:rsidP="00EF1133">
      <w:pPr>
        <w:rPr>
          <w:rFonts w:ascii="Arial Black" w:hAnsi="Arial Black"/>
          <w:b/>
          <w:bCs/>
          <w:sz w:val="24"/>
          <w:szCs w:val="24"/>
        </w:rPr>
      </w:pPr>
    </w:p>
    <w:p w14:paraId="2BE436E8" w14:textId="3D748EF6" w:rsidR="005F7D6B" w:rsidRDefault="005F7D6B" w:rsidP="00EF1133">
      <w:pPr>
        <w:rPr>
          <w:rFonts w:ascii="Arial Black" w:hAnsi="Arial Black"/>
          <w:b/>
          <w:sz w:val="24"/>
          <w:szCs w:val="24"/>
        </w:rPr>
      </w:pPr>
      <w:r>
        <w:rPr>
          <w:rFonts w:ascii="Arial Black" w:hAnsi="Arial Black"/>
          <w:b/>
          <w:sz w:val="24"/>
          <w:szCs w:val="24"/>
        </w:rPr>
        <w:t>6-17</w:t>
      </w:r>
    </w:p>
    <w:p w14:paraId="7817ECAB" w14:textId="77777777" w:rsidR="005F7D6B" w:rsidRDefault="005F7D6B" w:rsidP="00EF1133">
      <w:pPr>
        <w:rPr>
          <w:rFonts w:ascii="Arial Black" w:hAnsi="Arial Black" w:cs="Arial"/>
          <w:sz w:val="28"/>
          <w:szCs w:val="28"/>
        </w:rPr>
      </w:pPr>
      <w:r w:rsidRPr="005F7D6B">
        <w:rPr>
          <w:rFonts w:ascii="Arial Black" w:hAnsi="Arial Black" w:cs="Arial"/>
          <w:sz w:val="28"/>
          <w:szCs w:val="28"/>
        </w:rPr>
        <w:t>PA: FIREFIGHTER TRIED TO RETIRE AT AGE 50 – BUT CITY AND UNION IN CBA SET THE MINIMUM AGE AT 55 – STATE MIN. OF 50 NOT APPLY</w:t>
      </w:r>
    </w:p>
    <w:p w14:paraId="21EC1437" w14:textId="2788C3EC" w:rsidR="005F7D6B" w:rsidRPr="0036327D" w:rsidRDefault="005F7D6B" w:rsidP="00EF1133">
      <w:pPr>
        <w:rPr>
          <w:rFonts w:ascii="Times New Roman" w:hAnsi="Times New Roman"/>
          <w:b/>
          <w:sz w:val="24"/>
          <w:szCs w:val="24"/>
        </w:rPr>
      </w:pPr>
      <w:r w:rsidRPr="0036327D">
        <w:rPr>
          <w:rFonts w:ascii="Times New Roman" w:hAnsi="Times New Roman"/>
          <w:sz w:val="24"/>
          <w:szCs w:val="24"/>
        </w:rPr>
        <w:t xml:space="preserve">On March 25, 2019, in Joseph C. Bongivengo v. City of New Castle Pension Plan Board and The City of New Castle, the Commonwealth Court of Pennsylvania held (3 to 0): “This ruling also disposes of Bongivengo’s argument that the City violated Section 607(e) of Act 205 because it did not engage in collective bargaining before it implemented the new age and years of service requirements. As noted above, the </w:t>
      </w:r>
      <w:proofErr w:type="gramStart"/>
      <w:r w:rsidRPr="0036327D">
        <w:rPr>
          <w:rFonts w:ascii="Times New Roman" w:hAnsi="Times New Roman"/>
          <w:sz w:val="24"/>
          <w:szCs w:val="24"/>
        </w:rPr>
        <w:t>City</w:t>
      </w:r>
      <w:proofErr w:type="gramEnd"/>
      <w:r w:rsidRPr="0036327D">
        <w:rPr>
          <w:rFonts w:ascii="Times New Roman" w:hAnsi="Times New Roman"/>
          <w:sz w:val="24"/>
          <w:szCs w:val="24"/>
        </w:rPr>
        <w:t xml:space="preserve"> and the Union did collectively bargain for the age and years of service requirement, as first reflected in the 1992 CBA and subsequently in every CBA </w:t>
      </w:r>
      <w:proofErr w:type="gramStart"/>
      <w:r w:rsidRPr="0036327D">
        <w:rPr>
          <w:rFonts w:ascii="Times New Roman" w:hAnsi="Times New Roman"/>
          <w:sz w:val="24"/>
          <w:szCs w:val="24"/>
        </w:rPr>
        <w:t>thereafter.”</w:t>
      </w:r>
      <w:proofErr w:type="gramEnd"/>
      <w:r w:rsidRPr="0036327D">
        <w:rPr>
          <w:rFonts w:ascii="Times New Roman" w:hAnsi="Times New Roman"/>
          <w:sz w:val="24"/>
          <w:szCs w:val="24"/>
        </w:rPr>
        <w:t xml:space="preserve"> </w:t>
      </w:r>
      <w:hyperlink r:id="rId1281" w:history="1">
        <w:r w:rsidRPr="0036327D">
          <w:rPr>
            <w:rStyle w:val="Hyperlink"/>
            <w:rFonts w:ascii="Times New Roman" w:hAnsi="Times New Roman"/>
            <w:sz w:val="24"/>
            <w:szCs w:val="24"/>
          </w:rPr>
          <w:t>http://www.pacourts.us/assets/opinions/Commonwealth/out/877CD18_3-25-19.pdf?cb=1</w:t>
        </w:r>
      </w:hyperlink>
      <w:r w:rsidRPr="0036327D">
        <w:rPr>
          <w:rFonts w:ascii="Times New Roman" w:hAnsi="Times New Roman"/>
          <w:sz w:val="24"/>
          <w:szCs w:val="24"/>
        </w:rPr>
        <w:t xml:space="preserve"> </w:t>
      </w:r>
    </w:p>
    <w:p w14:paraId="44BC7287" w14:textId="5990DA7C" w:rsidR="005F7D6B" w:rsidRPr="0036327D" w:rsidRDefault="005F7D6B" w:rsidP="00EF1133">
      <w:pPr>
        <w:rPr>
          <w:rFonts w:ascii="Times New Roman" w:hAnsi="Times New Roman"/>
          <w:b/>
          <w:bCs/>
          <w:sz w:val="24"/>
          <w:szCs w:val="24"/>
        </w:rPr>
      </w:pPr>
      <w:r w:rsidRPr="0036327D">
        <w:rPr>
          <w:rFonts w:ascii="Times New Roman" w:hAnsi="Times New Roman"/>
          <w:b/>
          <w:bCs/>
          <w:sz w:val="24"/>
          <w:szCs w:val="24"/>
        </w:rPr>
        <w:t xml:space="preserve">Legal Lessons Learned: Firefighters represented by a union are bound to the terms of the CBA, including minimum age until eligible to retire. </w:t>
      </w:r>
    </w:p>
    <w:p w14:paraId="0F63D48B" w14:textId="1E210D97" w:rsidR="005F7D6B" w:rsidRPr="0036327D" w:rsidRDefault="005F7D6B" w:rsidP="00EF1133">
      <w:pPr>
        <w:rPr>
          <w:rFonts w:ascii="Times New Roman" w:hAnsi="Times New Roman"/>
          <w:bCs/>
          <w:sz w:val="24"/>
          <w:szCs w:val="24"/>
        </w:rPr>
      </w:pPr>
    </w:p>
    <w:p w14:paraId="77177B4A" w14:textId="77777777" w:rsidR="005F7D6B" w:rsidRDefault="005F7D6B" w:rsidP="00EF1133">
      <w:pPr>
        <w:rPr>
          <w:rFonts w:ascii="Arial Black" w:hAnsi="Arial Black"/>
          <w:b/>
          <w:sz w:val="24"/>
          <w:szCs w:val="24"/>
        </w:rPr>
      </w:pPr>
    </w:p>
    <w:p w14:paraId="6D7592A8" w14:textId="797818FF" w:rsidR="00527EDF" w:rsidRDefault="00EF1133" w:rsidP="00EF1133">
      <w:pPr>
        <w:rPr>
          <w:sz w:val="24"/>
          <w:szCs w:val="24"/>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6</w:t>
      </w:r>
    </w:p>
    <w:p w14:paraId="73DFE9A9" w14:textId="71E0331B" w:rsidR="00F326E5" w:rsidRDefault="00F326E5" w:rsidP="00F326E5">
      <w:pPr>
        <w:pStyle w:val="NoSpacing"/>
        <w:rPr>
          <w:rFonts w:ascii="Arial Black" w:hAnsi="Arial Black"/>
          <w:sz w:val="28"/>
          <w:szCs w:val="28"/>
        </w:rPr>
      </w:pPr>
      <w:r w:rsidRPr="009120E5">
        <w:rPr>
          <w:rFonts w:ascii="Arial Black" w:hAnsi="Arial Black"/>
          <w:sz w:val="28"/>
          <w:szCs w:val="28"/>
        </w:rPr>
        <w:t>MI</w:t>
      </w:r>
      <w:r>
        <w:rPr>
          <w:rFonts w:ascii="Arial Black" w:hAnsi="Arial Black"/>
          <w:sz w:val="28"/>
          <w:szCs w:val="28"/>
        </w:rPr>
        <w:t>:  FIRE CHIEF RESIGNED, TOWNSHIP ISSUED PRESS RELEASE - NOT DEFAMATION OR “FALSE LIGHT”</w:t>
      </w:r>
    </w:p>
    <w:p w14:paraId="7C49A7E3" w14:textId="77777777" w:rsidR="009F1927" w:rsidRDefault="00F326E5" w:rsidP="00F326E5">
      <w:pPr>
        <w:pStyle w:val="NoSpacing"/>
        <w:rPr>
          <w:rFonts w:ascii="Times New Roman" w:hAnsi="Times New Roman"/>
          <w:sz w:val="24"/>
          <w:szCs w:val="24"/>
        </w:rPr>
      </w:pPr>
      <w:r w:rsidRPr="009F1927">
        <w:rPr>
          <w:rFonts w:ascii="Times New Roman" w:hAnsi="Times New Roman"/>
          <w:sz w:val="24"/>
          <w:szCs w:val="24"/>
        </w:rPr>
        <w:t xml:space="preserve">On Feb. 26, 2019, in </w:t>
      </w:r>
      <w:r w:rsidRPr="009F1927">
        <w:rPr>
          <w:rStyle w:val="highlight"/>
          <w:rFonts w:ascii="Times New Roman" w:hAnsi="Times New Roman"/>
          <w:sz w:val="24"/>
          <w:szCs w:val="24"/>
          <w:u w:val="single"/>
        </w:rPr>
        <w:t>Richard</w:t>
      </w:r>
      <w:r w:rsidRPr="009F1927">
        <w:rPr>
          <w:rFonts w:ascii="Times New Roman" w:hAnsi="Times New Roman"/>
          <w:sz w:val="24"/>
          <w:szCs w:val="24"/>
          <w:u w:val="single"/>
        </w:rPr>
        <w:t xml:space="preserve"> </w:t>
      </w:r>
      <w:r w:rsidRPr="009F1927">
        <w:rPr>
          <w:rStyle w:val="highlight"/>
          <w:rFonts w:ascii="Times New Roman" w:hAnsi="Times New Roman"/>
          <w:sz w:val="24"/>
          <w:szCs w:val="24"/>
          <w:u w:val="single"/>
        </w:rPr>
        <w:t>Marinucci</w:t>
      </w:r>
      <w:r w:rsidRPr="009F1927">
        <w:rPr>
          <w:rFonts w:ascii="Times New Roman" w:hAnsi="Times New Roman"/>
          <w:sz w:val="24"/>
          <w:szCs w:val="24"/>
          <w:u w:val="single"/>
        </w:rPr>
        <w:t xml:space="preserve"> v. Charter Township of Northville, et al.</w:t>
      </w:r>
      <w:r w:rsidRPr="009F1927">
        <w:rPr>
          <w:rFonts w:ascii="Times New Roman" w:hAnsi="Times New Roman"/>
          <w:sz w:val="24"/>
          <w:szCs w:val="24"/>
        </w:rPr>
        <w:t xml:space="preserve">, State of Michigan Court of Appeals, held (3 to 0) in an unpublished decision, </w:t>
      </w:r>
    </w:p>
    <w:p w14:paraId="02658227" w14:textId="77777777" w:rsidR="009F1927" w:rsidRDefault="009F1927" w:rsidP="00F326E5">
      <w:pPr>
        <w:pStyle w:val="NoSpacing"/>
        <w:rPr>
          <w:rFonts w:ascii="Times New Roman" w:hAnsi="Times New Roman"/>
          <w:sz w:val="24"/>
          <w:szCs w:val="24"/>
        </w:rPr>
      </w:pPr>
    </w:p>
    <w:p w14:paraId="7013F55F" w14:textId="30BA9EA9" w:rsidR="00F326E5" w:rsidRPr="009F1927" w:rsidRDefault="00F326E5" w:rsidP="009F1927">
      <w:pPr>
        <w:pStyle w:val="NoSpacing"/>
        <w:ind w:left="720"/>
        <w:rPr>
          <w:rFonts w:ascii="Times New Roman" w:hAnsi="Times New Roman"/>
          <w:sz w:val="24"/>
          <w:szCs w:val="24"/>
        </w:rPr>
      </w:pPr>
      <w:r w:rsidRPr="009F1927">
        <w:rPr>
          <w:rFonts w:ascii="Times New Roman" w:hAnsi="Times New Roman"/>
          <w:sz w:val="24"/>
          <w:szCs w:val="24"/>
        </w:rPr>
        <w:t xml:space="preserve">“Further, plaintiff offers no evidence to show that informing the public that he had resigned was unreasonable or highly objectionable. Although plaintiff contends that the statements made to the media placed him in a false light, plaintiff does not explain how the statements negatively affected him.” </w:t>
      </w:r>
      <w:hyperlink r:id="rId1282" w:anchor="search=%22RICHARD%20A.%20MARINUCCI%22" w:history="1">
        <w:r w:rsidRPr="009F1927">
          <w:rPr>
            <w:rStyle w:val="Hyperlink"/>
            <w:rFonts w:ascii="Times New Roman" w:hAnsi="Times New Roman"/>
            <w:sz w:val="24"/>
            <w:szCs w:val="24"/>
          </w:rPr>
          <w:t>http://publicdocs.courts.mi.gov/opinions/final/coa/20190226_c340579_35_340579.opn.pdf#search=%22RICHARD%20A.%20MARINUCCI%22</w:t>
        </w:r>
      </w:hyperlink>
    </w:p>
    <w:p w14:paraId="045623EB" w14:textId="77777777" w:rsidR="009F1927" w:rsidRDefault="009F1927" w:rsidP="00F326E5">
      <w:pPr>
        <w:pStyle w:val="NoSpacing"/>
        <w:rPr>
          <w:rFonts w:ascii="Times New Roman" w:hAnsi="Times New Roman"/>
          <w:b/>
          <w:sz w:val="24"/>
          <w:szCs w:val="24"/>
        </w:rPr>
      </w:pPr>
    </w:p>
    <w:p w14:paraId="48B93CD1" w14:textId="0B3ED3F5" w:rsidR="00F326E5" w:rsidRPr="009F1927" w:rsidRDefault="00F326E5" w:rsidP="00F326E5">
      <w:pPr>
        <w:pStyle w:val="NoSpacing"/>
        <w:rPr>
          <w:rFonts w:ascii="Times New Roman" w:hAnsi="Times New Roman"/>
          <w:b/>
          <w:sz w:val="24"/>
          <w:szCs w:val="24"/>
        </w:rPr>
      </w:pPr>
      <w:r w:rsidRPr="009F1927">
        <w:rPr>
          <w:rFonts w:ascii="Times New Roman" w:hAnsi="Times New Roman"/>
          <w:b/>
          <w:sz w:val="24"/>
          <w:szCs w:val="24"/>
        </w:rPr>
        <w:t>Legal Lessons Learned:  When a Fire Chief resigns, the employer may report this fact to the press.  Avoid financial situations where there may be an “appearance of impropriety.”</w:t>
      </w:r>
    </w:p>
    <w:p w14:paraId="4A1ED720" w14:textId="77777777" w:rsidR="00C17A9D" w:rsidRDefault="00C17A9D" w:rsidP="00F326E5">
      <w:pPr>
        <w:rPr>
          <w:bCs/>
          <w:sz w:val="24"/>
          <w:szCs w:val="24"/>
        </w:rPr>
      </w:pPr>
    </w:p>
    <w:bookmarkEnd w:id="250"/>
    <w:p w14:paraId="251505BE" w14:textId="77ACA488" w:rsidR="00F326E5" w:rsidRDefault="00F326E5" w:rsidP="00F326E5">
      <w:pPr>
        <w:pStyle w:val="NoSpacing"/>
        <w:rPr>
          <w:b/>
          <w:sz w:val="24"/>
          <w:szCs w:val="24"/>
        </w:rPr>
      </w:pPr>
    </w:p>
    <w:p w14:paraId="3530F2DE" w14:textId="52DC2559" w:rsidR="009F1927" w:rsidRDefault="009F1927" w:rsidP="00F326E5">
      <w:pPr>
        <w:pStyle w:val="NoSpacing"/>
        <w:rPr>
          <w:b/>
          <w:sz w:val="24"/>
          <w:szCs w:val="24"/>
        </w:rPr>
      </w:pPr>
    </w:p>
    <w:p w14:paraId="6291A165" w14:textId="77777777" w:rsidR="009F1927" w:rsidRDefault="009F1927" w:rsidP="00F326E5">
      <w:pPr>
        <w:pStyle w:val="NoSpacing"/>
        <w:rPr>
          <w:b/>
          <w:sz w:val="24"/>
          <w:szCs w:val="24"/>
        </w:rPr>
      </w:pPr>
    </w:p>
    <w:p w14:paraId="0B9D5D54" w14:textId="3F0AC817" w:rsidR="00EF1133" w:rsidRDefault="00EF1133" w:rsidP="00EF1133">
      <w:pPr>
        <w:rPr>
          <w:rFonts w:ascii="Arial Black" w:hAnsi="Arial Black"/>
          <w:bCs/>
          <w:sz w:val="28"/>
          <w:szCs w:val="28"/>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5</w:t>
      </w:r>
      <w:bookmarkStart w:id="257" w:name="_Hlk7343098"/>
    </w:p>
    <w:p w14:paraId="758689DF" w14:textId="5ECD78BA" w:rsidR="00F326E5" w:rsidRDefault="00F326E5" w:rsidP="00F326E5">
      <w:pPr>
        <w:pStyle w:val="NoSpacing"/>
        <w:rPr>
          <w:rFonts w:ascii="Arial Black" w:hAnsi="Arial Black"/>
          <w:b/>
          <w:bCs/>
          <w:sz w:val="28"/>
          <w:szCs w:val="28"/>
        </w:rPr>
      </w:pPr>
      <w:r w:rsidRPr="00B555E0">
        <w:rPr>
          <w:rFonts w:ascii="Arial Black" w:hAnsi="Arial Black"/>
          <w:bCs/>
          <w:sz w:val="28"/>
          <w:szCs w:val="28"/>
        </w:rPr>
        <w:t>KS: WORKERS COMP –</w:t>
      </w:r>
      <w:r>
        <w:rPr>
          <w:rFonts w:ascii="Arial Black" w:hAnsi="Arial Black"/>
          <w:bCs/>
          <w:sz w:val="28"/>
          <w:szCs w:val="28"/>
        </w:rPr>
        <w:t xml:space="preserve"> 2008 &amp; 2010 BACK INJURIES –COVERED SINCE FILED CLAIM 2 YEARS OF LAST PAYMENT </w:t>
      </w:r>
    </w:p>
    <w:p w14:paraId="13719D2B" w14:textId="77777777" w:rsidR="009F1927" w:rsidRDefault="009F1927" w:rsidP="00F326E5">
      <w:pPr>
        <w:pStyle w:val="NoSpacing"/>
        <w:rPr>
          <w:rFonts w:ascii="Times New Roman" w:hAnsi="Times New Roman"/>
          <w:sz w:val="24"/>
          <w:szCs w:val="24"/>
        </w:rPr>
      </w:pPr>
    </w:p>
    <w:p w14:paraId="0FF6AE63" w14:textId="77777777" w:rsidR="009F1927" w:rsidRDefault="00F326E5" w:rsidP="00F326E5">
      <w:pPr>
        <w:pStyle w:val="NoSpacing"/>
        <w:rPr>
          <w:rFonts w:ascii="Times New Roman" w:hAnsi="Times New Roman"/>
          <w:sz w:val="24"/>
          <w:szCs w:val="24"/>
        </w:rPr>
      </w:pPr>
      <w:r w:rsidRPr="009F1927">
        <w:rPr>
          <w:rFonts w:ascii="Times New Roman" w:hAnsi="Times New Roman"/>
          <w:sz w:val="24"/>
          <w:szCs w:val="24"/>
        </w:rPr>
        <w:t xml:space="preserve">On Feb. 8, 2019, in </w:t>
      </w:r>
      <w:r w:rsidRPr="009F1927">
        <w:rPr>
          <w:rFonts w:ascii="Times New Roman" w:hAnsi="Times New Roman"/>
          <w:sz w:val="24"/>
          <w:szCs w:val="24"/>
          <w:u w:val="single"/>
        </w:rPr>
        <w:t>Paul H. Schneider v. City of Lawrence</w:t>
      </w:r>
      <w:r w:rsidRPr="009F1927">
        <w:rPr>
          <w:rFonts w:ascii="Times New Roman" w:hAnsi="Times New Roman"/>
          <w:sz w:val="24"/>
          <w:szCs w:val="24"/>
        </w:rPr>
        <w:t xml:space="preserve">, the Court of Appeals of State of Kansas (3 to 0), overturned the Workers Compensation Board, and granted the firefighter’s claim for coverage of two on-duty back injuries (2008; 2010). Kansas statute requires workers comp request for a hearing be filed within 3 years of the injury, or “within two years of the date of the last payment of compensation.” The Court held, </w:t>
      </w:r>
    </w:p>
    <w:p w14:paraId="05792E21" w14:textId="77777777" w:rsidR="009F1927" w:rsidRDefault="009F1927" w:rsidP="00F326E5">
      <w:pPr>
        <w:pStyle w:val="NoSpacing"/>
        <w:rPr>
          <w:rFonts w:ascii="Times New Roman" w:hAnsi="Times New Roman"/>
          <w:sz w:val="24"/>
          <w:szCs w:val="24"/>
        </w:rPr>
      </w:pPr>
    </w:p>
    <w:p w14:paraId="45642FEA" w14:textId="058CCBF5" w:rsidR="00F326E5" w:rsidRPr="009F1927" w:rsidRDefault="00F326E5" w:rsidP="009F1927">
      <w:pPr>
        <w:pStyle w:val="NoSpacing"/>
        <w:ind w:left="720"/>
        <w:rPr>
          <w:rFonts w:ascii="Times New Roman" w:hAnsi="Times New Roman"/>
          <w:sz w:val="24"/>
          <w:szCs w:val="24"/>
        </w:rPr>
      </w:pPr>
      <w:r w:rsidRPr="009F1927">
        <w:rPr>
          <w:rFonts w:ascii="Times New Roman" w:hAnsi="Times New Roman"/>
          <w:sz w:val="24"/>
          <w:szCs w:val="24"/>
        </w:rPr>
        <w:t xml:space="preserve">“Here, because Schneider received compensation from the City in December 2015 and in January 2016 and because he filed his applications for hearings in January 2016, his applications under the revived two-year statute of limitations were timely.” </w:t>
      </w:r>
      <w:hyperlink r:id="rId1283" w:history="1">
        <w:r w:rsidRPr="009F1927">
          <w:rPr>
            <w:rStyle w:val="Hyperlink"/>
            <w:rFonts w:ascii="Times New Roman" w:hAnsi="Times New Roman"/>
            <w:sz w:val="24"/>
            <w:szCs w:val="24"/>
          </w:rPr>
          <w:t>https://www.courtlistener.com/pdf/2019/02/08/schneider_v._city_of_lawrence.pdf</w:t>
        </w:r>
      </w:hyperlink>
      <w:r w:rsidRPr="009F1927">
        <w:rPr>
          <w:rFonts w:ascii="Times New Roman" w:hAnsi="Times New Roman"/>
          <w:sz w:val="24"/>
          <w:szCs w:val="24"/>
        </w:rPr>
        <w:t xml:space="preserve"> </w:t>
      </w:r>
    </w:p>
    <w:p w14:paraId="246892AC" w14:textId="77777777" w:rsidR="009F1927" w:rsidRDefault="009F1927" w:rsidP="00F326E5">
      <w:pPr>
        <w:pStyle w:val="NoSpacing"/>
        <w:rPr>
          <w:rFonts w:ascii="Times New Roman" w:hAnsi="Times New Roman"/>
          <w:b/>
          <w:sz w:val="24"/>
          <w:szCs w:val="24"/>
        </w:rPr>
      </w:pPr>
    </w:p>
    <w:p w14:paraId="2F8F003F" w14:textId="14EB5D57" w:rsidR="00F326E5" w:rsidRPr="009F1927" w:rsidRDefault="00F326E5" w:rsidP="00F326E5">
      <w:pPr>
        <w:pStyle w:val="NoSpacing"/>
        <w:rPr>
          <w:rFonts w:ascii="Times New Roman" w:hAnsi="Times New Roman"/>
          <w:b/>
          <w:sz w:val="24"/>
          <w:szCs w:val="24"/>
        </w:rPr>
      </w:pPr>
      <w:r w:rsidRPr="009F1927">
        <w:rPr>
          <w:rFonts w:ascii="Times New Roman" w:hAnsi="Times New Roman"/>
          <w:b/>
          <w:sz w:val="24"/>
          <w:szCs w:val="24"/>
        </w:rPr>
        <w:t>Legal Lesson Learned:  Workers comp statutes of limitation are designed to require prompt disclosure of workplace injuries.  The City may decide to appeal this decision to the Kansas Supreme Court.</w:t>
      </w:r>
    </w:p>
    <w:p w14:paraId="29374DC1" w14:textId="77777777" w:rsidR="00F326E5" w:rsidRPr="00BB2214" w:rsidRDefault="00F326E5" w:rsidP="00F326E5">
      <w:pPr>
        <w:pStyle w:val="NoSpacing"/>
        <w:rPr>
          <w:b/>
          <w:sz w:val="24"/>
          <w:szCs w:val="24"/>
        </w:rPr>
      </w:pPr>
    </w:p>
    <w:p w14:paraId="49AEBF54" w14:textId="77777777" w:rsidR="00F326E5" w:rsidRPr="009F1927" w:rsidRDefault="00F326E5" w:rsidP="00F326E5">
      <w:pPr>
        <w:pStyle w:val="NoSpacing"/>
        <w:ind w:left="720"/>
        <w:rPr>
          <w:rFonts w:ascii="Times New Roman" w:hAnsi="Times New Roman"/>
          <w:sz w:val="24"/>
          <w:szCs w:val="24"/>
        </w:rPr>
      </w:pPr>
      <w:r w:rsidRPr="009F1927">
        <w:rPr>
          <w:rFonts w:ascii="Times New Roman" w:hAnsi="Times New Roman"/>
          <w:sz w:val="24"/>
          <w:szCs w:val="24"/>
        </w:rPr>
        <w:t xml:space="preserve">Note:  See Aug. 4, </w:t>
      </w:r>
      <w:proofErr w:type="gramStart"/>
      <w:r w:rsidRPr="009F1927">
        <w:rPr>
          <w:rFonts w:ascii="Times New Roman" w:hAnsi="Times New Roman"/>
          <w:sz w:val="24"/>
          <w:szCs w:val="24"/>
        </w:rPr>
        <w:t>2017</w:t>
      </w:r>
      <w:proofErr w:type="gramEnd"/>
      <w:r w:rsidRPr="009F1927">
        <w:rPr>
          <w:rFonts w:ascii="Times New Roman" w:hAnsi="Times New Roman"/>
          <w:sz w:val="24"/>
          <w:szCs w:val="24"/>
        </w:rPr>
        <w:t xml:space="preserve"> article: “Ohio General Assembly Alters Statute of Limitation for Workers' Compensation Claims”</w:t>
      </w:r>
    </w:p>
    <w:p w14:paraId="4FEEC7AA" w14:textId="77777777" w:rsidR="00F326E5" w:rsidRPr="009F1927" w:rsidRDefault="00F326E5" w:rsidP="00F326E5">
      <w:pPr>
        <w:ind w:left="720"/>
        <w:rPr>
          <w:rFonts w:ascii="Times New Roman" w:hAnsi="Times New Roman"/>
          <w:sz w:val="24"/>
          <w:szCs w:val="24"/>
        </w:rPr>
      </w:pPr>
      <w:hyperlink r:id="rId1284" w:history="1">
        <w:r w:rsidRPr="009F1927">
          <w:rPr>
            <w:rStyle w:val="Hyperlink"/>
            <w:rFonts w:ascii="Times New Roman" w:hAnsi="Times New Roman"/>
            <w:sz w:val="24"/>
            <w:szCs w:val="24"/>
          </w:rPr>
          <w:t>http://www.kwgd.com/ohio-general-assembly-alters-statute-of-limitation-for-workers-compensation-claims</w:t>
        </w:r>
      </w:hyperlink>
      <w:r w:rsidRPr="009F1927">
        <w:rPr>
          <w:rStyle w:val="access"/>
          <w:rFonts w:ascii="Times New Roman" w:hAnsi="Times New Roman"/>
          <w:sz w:val="24"/>
          <w:szCs w:val="24"/>
        </w:rPr>
        <w:t xml:space="preserve"> </w:t>
      </w:r>
      <w:r w:rsidRPr="009F1927">
        <w:rPr>
          <w:rFonts w:ascii="Times New Roman" w:hAnsi="Times New Roman"/>
          <w:sz w:val="24"/>
          <w:szCs w:val="24"/>
        </w:rPr>
        <w:t xml:space="preserve"> </w:t>
      </w:r>
    </w:p>
    <w:p w14:paraId="166EAFE8" w14:textId="77777777" w:rsidR="00F326E5" w:rsidRPr="009F2867" w:rsidRDefault="00F326E5" w:rsidP="00F326E5">
      <w:pPr>
        <w:pStyle w:val="NormalWeb"/>
        <w:ind w:left="720"/>
      </w:pPr>
      <w:r w:rsidRPr="009F2867">
        <w:t xml:space="preserve">“As part of the biennial budget process the Ohio General Assembly passed House Bill 27 to create the workers compensation budget for 2018-2019. In addition to establishing the budget the bill also amended sections of the Ohio Revised Code that </w:t>
      </w:r>
      <w:proofErr w:type="gramStart"/>
      <w:r w:rsidRPr="009F2867">
        <w:t>relate</w:t>
      </w:r>
      <w:proofErr w:type="gramEnd"/>
      <w:r w:rsidRPr="009F2867">
        <w:t xml:space="preserve"> to workers compensation law. Mainly among the changes, the bill shortens the statute of limitations for an employee to file a workers compensation claim against Ohio Employers.</w:t>
      </w:r>
      <w:r w:rsidRPr="009F2867">
        <w:br/>
      </w:r>
      <w:r w:rsidRPr="009F2867">
        <w:br/>
        <w:t xml:space="preserve">Current law requires an employee to bring a workers’ compensation claim within two years from the date of injury or death.  Effective September 29, 2017, all workers compensation claims must be filed within one year from the date of injury or death. After that date, if new claims are not brought within the </w:t>
      </w:r>
      <w:proofErr w:type="gramStart"/>
      <w:r w:rsidRPr="009F2867">
        <w:t>one year</w:t>
      </w:r>
      <w:proofErr w:type="gramEnd"/>
      <w:r w:rsidRPr="009F2867">
        <w:t xml:space="preserve"> limitation the claim will be forever barred and there can be no recovery.  All claims with a date of injury after September 29, </w:t>
      </w:r>
      <w:proofErr w:type="gramStart"/>
      <w:r w:rsidRPr="009F2867">
        <w:t>2017</w:t>
      </w:r>
      <w:proofErr w:type="gramEnd"/>
      <w:r w:rsidRPr="009F2867">
        <w:t xml:space="preserve"> are subject to the new limitation.  The amendment attempts to strike a balance between allowing a sufficient time for a claim to be brought while not prejudicing employers by allowing claims to be filed long after any contemporaneous evidence has since vanished.”  </w:t>
      </w:r>
    </w:p>
    <w:bookmarkEnd w:id="257"/>
    <w:p w14:paraId="10353B6E" w14:textId="77777777" w:rsidR="00F326E5" w:rsidRDefault="00F326E5" w:rsidP="00F326E5">
      <w:pPr>
        <w:rPr>
          <w:sz w:val="24"/>
          <w:szCs w:val="24"/>
        </w:rPr>
      </w:pPr>
    </w:p>
    <w:p w14:paraId="1D407CE4" w14:textId="2EED406E" w:rsidR="00EF1133" w:rsidRDefault="00EF1133" w:rsidP="00F326E5">
      <w:pPr>
        <w:rPr>
          <w:rFonts w:ascii="Arial Black" w:hAnsi="Arial Black"/>
          <w:sz w:val="28"/>
          <w:szCs w:val="28"/>
        </w:rPr>
      </w:pPr>
      <w:bookmarkStart w:id="258" w:name="_Hlk7343175"/>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4</w:t>
      </w:r>
    </w:p>
    <w:p w14:paraId="6535AEEB" w14:textId="360C9F1A" w:rsidR="00F326E5" w:rsidRDefault="00F326E5" w:rsidP="00F326E5">
      <w:pPr>
        <w:rPr>
          <w:rFonts w:ascii="Arial Black" w:hAnsi="Arial Black"/>
          <w:sz w:val="28"/>
          <w:szCs w:val="28"/>
        </w:rPr>
      </w:pPr>
      <w:r w:rsidRPr="00C34523">
        <w:rPr>
          <w:rFonts w:ascii="Arial Black" w:hAnsi="Arial Black"/>
          <w:sz w:val="28"/>
          <w:szCs w:val="28"/>
        </w:rPr>
        <w:t xml:space="preserve">OH: </w:t>
      </w:r>
      <w:r>
        <w:rPr>
          <w:rFonts w:ascii="Arial Black" w:hAnsi="Arial Black"/>
          <w:sz w:val="28"/>
          <w:szCs w:val="28"/>
        </w:rPr>
        <w:t xml:space="preserve">FIRE CHIEF’S AGE / ADA LAWSUIT DISMISSED – DIDN’T FILE WITH EEOC – </w:t>
      </w:r>
      <w:r w:rsidR="005353F2">
        <w:rPr>
          <w:rFonts w:ascii="Arial Black" w:hAnsi="Arial Black"/>
          <w:sz w:val="28"/>
          <w:szCs w:val="28"/>
        </w:rPr>
        <w:t xml:space="preserve">MUST </w:t>
      </w:r>
      <w:r>
        <w:rPr>
          <w:rFonts w:ascii="Arial Black" w:hAnsi="Arial Black"/>
          <w:sz w:val="28"/>
          <w:szCs w:val="28"/>
        </w:rPr>
        <w:t>EXHAUST ADMIN</w:t>
      </w:r>
      <w:r w:rsidR="005353F2">
        <w:rPr>
          <w:rFonts w:ascii="Arial Black" w:hAnsi="Arial Black"/>
          <w:sz w:val="28"/>
          <w:szCs w:val="28"/>
        </w:rPr>
        <w:t xml:space="preserve">ISTRATIVE </w:t>
      </w:r>
      <w:r>
        <w:rPr>
          <w:rFonts w:ascii="Arial Black" w:hAnsi="Arial Black"/>
          <w:sz w:val="28"/>
          <w:szCs w:val="28"/>
        </w:rPr>
        <w:t>REMEDIES</w:t>
      </w:r>
    </w:p>
    <w:p w14:paraId="1E9F24DE" w14:textId="77777777" w:rsidR="009F1927" w:rsidRDefault="00F326E5" w:rsidP="00F326E5">
      <w:pPr>
        <w:rPr>
          <w:rFonts w:ascii="Times New Roman" w:hAnsi="Times New Roman"/>
          <w:bCs/>
          <w:sz w:val="24"/>
          <w:szCs w:val="24"/>
        </w:rPr>
      </w:pPr>
      <w:r w:rsidRPr="009F1927">
        <w:rPr>
          <w:rFonts w:ascii="Times New Roman" w:hAnsi="Times New Roman"/>
          <w:bCs/>
          <w:sz w:val="24"/>
          <w:szCs w:val="24"/>
        </w:rPr>
        <w:t xml:space="preserve">On Dec. 6, 2018, in </w:t>
      </w:r>
      <w:bookmarkStart w:id="259" w:name="_Hlk7178252"/>
      <w:r w:rsidRPr="009F1927">
        <w:rPr>
          <w:rFonts w:ascii="Times New Roman" w:hAnsi="Times New Roman"/>
          <w:bCs/>
          <w:sz w:val="24"/>
          <w:szCs w:val="24"/>
          <w:u w:val="single"/>
        </w:rPr>
        <w:t>Jay W. Keller v. City of Bucyrus</w:t>
      </w:r>
      <w:r w:rsidRPr="009F1927">
        <w:rPr>
          <w:rFonts w:ascii="Times New Roman" w:hAnsi="Times New Roman"/>
          <w:bCs/>
          <w:sz w:val="24"/>
          <w:szCs w:val="24"/>
        </w:rPr>
        <w:t>,</w:t>
      </w:r>
      <w:bookmarkEnd w:id="259"/>
      <w:r w:rsidRPr="009F1927">
        <w:rPr>
          <w:rFonts w:ascii="Times New Roman" w:hAnsi="Times New Roman"/>
          <w:bCs/>
          <w:sz w:val="24"/>
          <w:szCs w:val="24"/>
        </w:rPr>
        <w:t xml:space="preserve"> U.S. District Court Judge James S. Gwin, granted the City’s motion to dismiss. </w:t>
      </w:r>
    </w:p>
    <w:p w14:paraId="578463E8" w14:textId="5A560A06" w:rsidR="00F326E5" w:rsidRPr="009F1927" w:rsidRDefault="00F326E5" w:rsidP="009F1927">
      <w:pPr>
        <w:ind w:left="720"/>
        <w:rPr>
          <w:rFonts w:ascii="Times New Roman" w:hAnsi="Times New Roman"/>
          <w:sz w:val="24"/>
          <w:szCs w:val="24"/>
        </w:rPr>
      </w:pPr>
      <w:r w:rsidRPr="009F1927">
        <w:rPr>
          <w:rFonts w:ascii="Times New Roman" w:hAnsi="Times New Roman"/>
          <w:sz w:val="24"/>
          <w:szCs w:val="24"/>
        </w:rPr>
        <w:t xml:space="preserve">“Plaintiff Keller claims that Defendants discriminated against him because of his age and his disability in violation of federal law by requiring him to complete a physical examination. However, Plaintiff needed to file his age and disability discrimination claims with the Equal Employment Opportunity </w:t>
      </w:r>
      <w:proofErr w:type="gramStart"/>
      <w:r w:rsidRPr="009F1927">
        <w:rPr>
          <w:rFonts w:ascii="Times New Roman" w:hAnsi="Times New Roman"/>
          <w:sz w:val="24"/>
          <w:szCs w:val="24"/>
        </w:rPr>
        <w:t>Commission (‘</w:t>
      </w:r>
      <w:proofErr w:type="gramEnd"/>
      <w:r w:rsidRPr="009F1927">
        <w:rPr>
          <w:rFonts w:ascii="Times New Roman" w:hAnsi="Times New Roman"/>
          <w:sz w:val="24"/>
          <w:szCs w:val="24"/>
        </w:rPr>
        <w:t xml:space="preserve">EEOC’) before bringing this lawsuit. Because Plaintiff has not exhausted his administrative remedies, the Court dismisses his federal discrimination claims without prejudice.”  </w:t>
      </w:r>
      <w:hyperlink r:id="rId1285" w:history="1">
        <w:r w:rsidRPr="009F1927">
          <w:rPr>
            <w:rStyle w:val="Hyperlink"/>
            <w:rFonts w:ascii="Times New Roman" w:hAnsi="Times New Roman"/>
            <w:sz w:val="24"/>
            <w:szCs w:val="24"/>
          </w:rPr>
          <w:t>https://cases.justia.com/federal/district-courts/ohio/ohndce/1:2018cv02242/247535/15/0.pdf?ts=1544190248</w:t>
        </w:r>
      </w:hyperlink>
      <w:r w:rsidRPr="009F1927">
        <w:rPr>
          <w:rFonts w:ascii="Times New Roman" w:hAnsi="Times New Roman"/>
          <w:sz w:val="24"/>
          <w:szCs w:val="24"/>
        </w:rPr>
        <w:t xml:space="preserve"> </w:t>
      </w:r>
    </w:p>
    <w:p w14:paraId="0CF9A2C3" w14:textId="77777777" w:rsidR="00F326E5" w:rsidRPr="009F1927" w:rsidRDefault="00F326E5" w:rsidP="00F326E5">
      <w:pPr>
        <w:pStyle w:val="NoSpacing"/>
        <w:rPr>
          <w:rFonts w:ascii="Times New Roman" w:hAnsi="Times New Roman"/>
          <w:b/>
          <w:sz w:val="24"/>
          <w:szCs w:val="24"/>
        </w:rPr>
      </w:pPr>
      <w:r w:rsidRPr="009F1927">
        <w:rPr>
          <w:rFonts w:ascii="Times New Roman" w:hAnsi="Times New Roman"/>
          <w:b/>
          <w:sz w:val="24"/>
          <w:szCs w:val="24"/>
        </w:rPr>
        <w:t>Legal Lessons Learned: (1) FDs should have written policy regarding when personnel on leave will be required to pass medical or physical fitness for duty testing, and any retraining of job skills; and (2) must timely file EEOC charge to pursue federal ADA case.</w:t>
      </w:r>
    </w:p>
    <w:p w14:paraId="66841D0F" w14:textId="77777777" w:rsidR="009F1927" w:rsidRDefault="00F326E5" w:rsidP="00F326E5">
      <w:pPr>
        <w:pStyle w:val="NoSpacing"/>
        <w:rPr>
          <w:rFonts w:ascii="Times New Roman" w:hAnsi="Times New Roman"/>
          <w:b/>
          <w:sz w:val="24"/>
          <w:szCs w:val="24"/>
        </w:rPr>
      </w:pPr>
      <w:r w:rsidRPr="009F1927">
        <w:rPr>
          <w:rFonts w:ascii="Times New Roman" w:hAnsi="Times New Roman"/>
          <w:b/>
          <w:sz w:val="24"/>
          <w:szCs w:val="24"/>
        </w:rPr>
        <w:t xml:space="preserve"> </w:t>
      </w:r>
      <w:r w:rsidRPr="009F1927">
        <w:rPr>
          <w:rFonts w:ascii="Times New Roman" w:hAnsi="Times New Roman"/>
          <w:b/>
          <w:sz w:val="24"/>
          <w:szCs w:val="24"/>
        </w:rPr>
        <w:tab/>
      </w:r>
    </w:p>
    <w:p w14:paraId="0C12CD51" w14:textId="31CB7CEB" w:rsidR="00F326E5" w:rsidRPr="009F1927" w:rsidRDefault="00F326E5" w:rsidP="009F1927">
      <w:pPr>
        <w:pStyle w:val="NoSpacing"/>
        <w:ind w:firstLine="720"/>
        <w:rPr>
          <w:rFonts w:ascii="Times New Roman" w:hAnsi="Times New Roman"/>
          <w:sz w:val="24"/>
          <w:szCs w:val="24"/>
        </w:rPr>
      </w:pPr>
      <w:r w:rsidRPr="009F1927">
        <w:rPr>
          <w:rFonts w:ascii="Times New Roman" w:hAnsi="Times New Roman"/>
          <w:sz w:val="24"/>
          <w:szCs w:val="24"/>
        </w:rPr>
        <w:t xml:space="preserve">See U.S. Department of Justice web: </w:t>
      </w:r>
    </w:p>
    <w:p w14:paraId="485B621C" w14:textId="77777777" w:rsidR="00F326E5" w:rsidRPr="009F1927" w:rsidRDefault="00F326E5" w:rsidP="00F326E5">
      <w:pPr>
        <w:pStyle w:val="NoSpacing"/>
        <w:ind w:firstLine="720"/>
        <w:rPr>
          <w:rFonts w:ascii="Times New Roman" w:eastAsia="Times New Roman" w:hAnsi="Times New Roman"/>
          <w:sz w:val="24"/>
          <w:szCs w:val="24"/>
        </w:rPr>
      </w:pPr>
      <w:r w:rsidRPr="009F1927">
        <w:rPr>
          <w:rFonts w:ascii="Times New Roman" w:hAnsi="Times New Roman"/>
          <w:sz w:val="24"/>
          <w:szCs w:val="24"/>
        </w:rPr>
        <w:t xml:space="preserve">“Filing a Complaint with the Equal Employment Opportunity Commission.  </w:t>
      </w:r>
    </w:p>
    <w:p w14:paraId="74CFA329" w14:textId="77777777" w:rsidR="00F326E5" w:rsidRPr="009F1927" w:rsidRDefault="00F326E5" w:rsidP="00F326E5">
      <w:pPr>
        <w:pStyle w:val="NoSpacing"/>
        <w:ind w:left="720"/>
        <w:rPr>
          <w:rFonts w:ascii="Times New Roman" w:eastAsia="Times New Roman" w:hAnsi="Times New Roman"/>
          <w:sz w:val="24"/>
          <w:szCs w:val="24"/>
        </w:rPr>
      </w:pPr>
      <w:r w:rsidRPr="009F1927">
        <w:rPr>
          <w:rFonts w:ascii="Times New Roman" w:eastAsia="Times New Roman" w:hAnsi="Times New Roman"/>
          <w:sz w:val="24"/>
          <w:szCs w:val="24"/>
        </w:rPr>
        <w:t xml:space="preserve">If you think you have been discriminated against in employment </w:t>
      </w:r>
      <w:proofErr w:type="gramStart"/>
      <w:r w:rsidRPr="009F1927">
        <w:rPr>
          <w:rFonts w:ascii="Times New Roman" w:eastAsia="Times New Roman" w:hAnsi="Times New Roman"/>
          <w:sz w:val="24"/>
          <w:szCs w:val="24"/>
        </w:rPr>
        <w:t>on the basis of</w:t>
      </w:r>
      <w:proofErr w:type="gramEnd"/>
      <w:r w:rsidRPr="009F1927">
        <w:rPr>
          <w:rFonts w:ascii="Times New Roman" w:eastAsia="Times New Roman" w:hAnsi="Times New Roman"/>
          <w:sz w:val="24"/>
          <w:szCs w:val="24"/>
        </w:rPr>
        <w:t xml:space="preserve"> disability, you should contact the </w:t>
      </w:r>
      <w:hyperlink r:id="rId1286" w:history="1">
        <w:r w:rsidRPr="009F1927">
          <w:rPr>
            <w:rFonts w:ascii="Times New Roman" w:eastAsia="Times New Roman" w:hAnsi="Times New Roman"/>
            <w:bCs/>
            <w:color w:val="0000FF"/>
            <w:sz w:val="24"/>
            <w:szCs w:val="24"/>
            <w:u w:val="single"/>
          </w:rPr>
          <w:t>U.S. Equal Employment Opportunity Commission</w:t>
        </w:r>
      </w:hyperlink>
      <w:r w:rsidRPr="009F1927">
        <w:rPr>
          <w:rFonts w:ascii="Times New Roman" w:eastAsia="Times New Roman" w:hAnsi="Times New Roman"/>
          <w:sz w:val="24"/>
          <w:szCs w:val="24"/>
        </w:rPr>
        <w:t xml:space="preserve"> (EEOC).  A charge of discrimination generally must be filed within 180 days of the alleged discrimination. You may have up to 300 days to file a charge if there is a State or local law that provides relief for discrimination </w:t>
      </w:r>
      <w:proofErr w:type="gramStart"/>
      <w:r w:rsidRPr="009F1927">
        <w:rPr>
          <w:rFonts w:ascii="Times New Roman" w:eastAsia="Times New Roman" w:hAnsi="Times New Roman"/>
          <w:sz w:val="24"/>
          <w:szCs w:val="24"/>
        </w:rPr>
        <w:t>on the basis of</w:t>
      </w:r>
      <w:proofErr w:type="gramEnd"/>
      <w:r w:rsidRPr="009F1927">
        <w:rPr>
          <w:rFonts w:ascii="Times New Roman" w:eastAsia="Times New Roman" w:hAnsi="Times New Roman"/>
          <w:sz w:val="24"/>
          <w:szCs w:val="24"/>
        </w:rPr>
        <w:t xml:space="preserve"> disability.  However, to protect your rights, it is best to </w:t>
      </w:r>
      <w:hyperlink r:id="rId1287" w:history="1">
        <w:r w:rsidRPr="009F1927">
          <w:rPr>
            <w:rFonts w:ascii="Times New Roman" w:eastAsia="Times New Roman" w:hAnsi="Times New Roman"/>
            <w:bCs/>
            <w:color w:val="0000FF"/>
            <w:sz w:val="24"/>
            <w:szCs w:val="24"/>
            <w:u w:val="single"/>
          </w:rPr>
          <w:t>contact the EEOC</w:t>
        </w:r>
      </w:hyperlink>
      <w:r w:rsidRPr="009F1927">
        <w:rPr>
          <w:rFonts w:ascii="Times New Roman" w:eastAsia="Times New Roman" w:hAnsi="Times New Roman"/>
          <w:sz w:val="24"/>
          <w:szCs w:val="24"/>
        </w:rPr>
        <w:t xml:space="preserve"> promptly if discrimination is suspected. After your complaint is filed with the EEOC, the EEOC investigates the charge.  If the EEOC determines that there is reasonable cause to believe that the charge is true, the EEOC attempts to conciliate or settle the charge.  If conciliation is unsuccessful, the EEOC refers charges against state and local government </w:t>
      </w:r>
      <w:proofErr w:type="gramStart"/>
      <w:r w:rsidRPr="009F1927">
        <w:rPr>
          <w:rFonts w:ascii="Times New Roman" w:eastAsia="Times New Roman" w:hAnsi="Times New Roman"/>
          <w:sz w:val="24"/>
          <w:szCs w:val="24"/>
        </w:rPr>
        <w:t>employers</w:t>
      </w:r>
      <w:proofErr w:type="gramEnd"/>
      <w:r w:rsidRPr="009F1927">
        <w:rPr>
          <w:rFonts w:ascii="Times New Roman" w:eastAsia="Times New Roman" w:hAnsi="Times New Roman"/>
          <w:sz w:val="24"/>
          <w:szCs w:val="24"/>
        </w:rPr>
        <w:t xml:space="preserve"> to the Department of Justice.  The Department of Justice </w:t>
      </w:r>
      <w:proofErr w:type="gramStart"/>
      <w:r w:rsidRPr="009F1927">
        <w:rPr>
          <w:rFonts w:ascii="Times New Roman" w:eastAsia="Times New Roman" w:hAnsi="Times New Roman"/>
          <w:sz w:val="24"/>
          <w:szCs w:val="24"/>
        </w:rPr>
        <w:t>makes a determination</w:t>
      </w:r>
      <w:proofErr w:type="gramEnd"/>
      <w:r w:rsidRPr="009F1927">
        <w:rPr>
          <w:rFonts w:ascii="Times New Roman" w:eastAsia="Times New Roman" w:hAnsi="Times New Roman"/>
          <w:sz w:val="24"/>
          <w:szCs w:val="24"/>
        </w:rPr>
        <w:t xml:space="preserve"> whether to bring a lawsuit based on the charge.  If it decides not to bring a lawsuit, the Department </w:t>
      </w:r>
      <w:proofErr w:type="gramStart"/>
      <w:r w:rsidRPr="009F1927">
        <w:rPr>
          <w:rFonts w:ascii="Times New Roman" w:eastAsia="Times New Roman" w:hAnsi="Times New Roman"/>
          <w:sz w:val="24"/>
          <w:szCs w:val="24"/>
        </w:rPr>
        <w:t>issues</w:t>
      </w:r>
      <w:proofErr w:type="gramEnd"/>
      <w:r w:rsidRPr="009F1927">
        <w:rPr>
          <w:rFonts w:ascii="Times New Roman" w:eastAsia="Times New Roman" w:hAnsi="Times New Roman"/>
          <w:sz w:val="24"/>
          <w:szCs w:val="24"/>
        </w:rPr>
        <w:t xml:space="preserve"> </w:t>
      </w:r>
      <w:proofErr w:type="gramStart"/>
      <w:r w:rsidRPr="009F1927">
        <w:rPr>
          <w:rFonts w:ascii="Times New Roman" w:eastAsia="Times New Roman" w:hAnsi="Times New Roman"/>
          <w:sz w:val="24"/>
          <w:szCs w:val="24"/>
        </w:rPr>
        <w:t>to the</w:t>
      </w:r>
      <w:proofErr w:type="gramEnd"/>
      <w:r w:rsidRPr="009F1927">
        <w:rPr>
          <w:rFonts w:ascii="Times New Roman" w:eastAsia="Times New Roman" w:hAnsi="Times New Roman"/>
          <w:sz w:val="24"/>
          <w:szCs w:val="24"/>
        </w:rPr>
        <w:t xml:space="preserve"> charging </w:t>
      </w:r>
      <w:proofErr w:type="gramStart"/>
      <w:r w:rsidRPr="009F1927">
        <w:rPr>
          <w:rFonts w:ascii="Times New Roman" w:eastAsia="Times New Roman" w:hAnsi="Times New Roman"/>
          <w:sz w:val="24"/>
          <w:szCs w:val="24"/>
        </w:rPr>
        <w:t>party</w:t>
      </w:r>
      <w:proofErr w:type="gramEnd"/>
      <w:r w:rsidRPr="009F1927">
        <w:rPr>
          <w:rFonts w:ascii="Times New Roman" w:eastAsia="Times New Roman" w:hAnsi="Times New Roman"/>
          <w:sz w:val="24"/>
          <w:szCs w:val="24"/>
        </w:rPr>
        <w:t xml:space="preserve"> </w:t>
      </w:r>
      <w:proofErr w:type="gramStart"/>
      <w:r w:rsidRPr="009F1927">
        <w:rPr>
          <w:rFonts w:ascii="Times New Roman" w:eastAsia="Times New Roman" w:hAnsi="Times New Roman"/>
          <w:sz w:val="24"/>
          <w:szCs w:val="24"/>
        </w:rPr>
        <w:t>a notice</w:t>
      </w:r>
      <w:proofErr w:type="gramEnd"/>
      <w:r w:rsidRPr="009F1927">
        <w:rPr>
          <w:rFonts w:ascii="Times New Roman" w:eastAsia="Times New Roman" w:hAnsi="Times New Roman"/>
          <w:sz w:val="24"/>
          <w:szCs w:val="24"/>
        </w:rPr>
        <w:t xml:space="preserve"> of right to sue.  Charges against private employers are retained by the EEOC for a determination of whether to bring a lawsuit based on the charge or issue a notice of right to sue.” </w:t>
      </w:r>
      <w:hyperlink r:id="rId1288" w:history="1">
        <w:r w:rsidRPr="009F1927">
          <w:rPr>
            <w:rStyle w:val="Hyperlink"/>
            <w:rFonts w:ascii="Times New Roman" w:hAnsi="Times New Roman"/>
            <w:sz w:val="24"/>
            <w:szCs w:val="24"/>
          </w:rPr>
          <w:t>https://www.ada.gov/filing_eeoc_complaint.htm</w:t>
        </w:r>
      </w:hyperlink>
      <w:r w:rsidRPr="009F1927">
        <w:rPr>
          <w:rFonts w:ascii="Times New Roman" w:eastAsia="Times New Roman" w:hAnsi="Times New Roman"/>
          <w:sz w:val="24"/>
          <w:szCs w:val="24"/>
        </w:rPr>
        <w:t xml:space="preserve"> </w:t>
      </w:r>
    </w:p>
    <w:bookmarkEnd w:id="258"/>
    <w:p w14:paraId="3D694FAE" w14:textId="77777777" w:rsidR="00FB71EA" w:rsidRPr="009F1927" w:rsidRDefault="00FB71EA" w:rsidP="00F326E5">
      <w:pPr>
        <w:rPr>
          <w:rFonts w:ascii="Times New Roman" w:hAnsi="Times New Roman"/>
          <w:sz w:val="24"/>
          <w:szCs w:val="24"/>
        </w:rPr>
      </w:pPr>
    </w:p>
    <w:p w14:paraId="67376462" w14:textId="77777777" w:rsidR="00F326E5" w:rsidRDefault="00F326E5" w:rsidP="00F326E5">
      <w:pPr>
        <w:pStyle w:val="NoSpacing"/>
        <w:rPr>
          <w:rStyle w:val="dfm-title"/>
          <w:sz w:val="24"/>
          <w:szCs w:val="24"/>
        </w:rPr>
      </w:pPr>
    </w:p>
    <w:p w14:paraId="5312E9F4" w14:textId="77777777" w:rsidR="00F326E5" w:rsidRDefault="00F326E5" w:rsidP="00F326E5">
      <w:pPr>
        <w:pStyle w:val="NoSpacing"/>
        <w:rPr>
          <w:rStyle w:val="dfm-title"/>
          <w:sz w:val="24"/>
          <w:szCs w:val="24"/>
        </w:rPr>
      </w:pPr>
    </w:p>
    <w:p w14:paraId="446BEABA" w14:textId="520572A9" w:rsidR="00EF1133" w:rsidRDefault="00EF1133" w:rsidP="00EF1133">
      <w:pPr>
        <w:rPr>
          <w:rStyle w:val="dfm-title"/>
          <w:rFonts w:ascii="Arial Black" w:hAnsi="Arial Black"/>
          <w:b/>
          <w:sz w:val="28"/>
          <w:szCs w:val="28"/>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3</w:t>
      </w:r>
      <w:bookmarkStart w:id="260" w:name="_Hlk7343200"/>
    </w:p>
    <w:p w14:paraId="595EEB56" w14:textId="57E69841" w:rsidR="00F326E5" w:rsidRPr="00CA3D6F" w:rsidRDefault="00F326E5" w:rsidP="00F326E5">
      <w:pPr>
        <w:pStyle w:val="NoSpacing"/>
        <w:rPr>
          <w:rStyle w:val="dfm-title"/>
          <w:b/>
          <w:sz w:val="24"/>
          <w:szCs w:val="24"/>
        </w:rPr>
      </w:pPr>
      <w:r w:rsidRPr="00732C84">
        <w:rPr>
          <w:rStyle w:val="dfm-title"/>
          <w:rFonts w:ascii="Arial Black" w:hAnsi="Arial Black"/>
          <w:b/>
          <w:sz w:val="28"/>
          <w:szCs w:val="28"/>
        </w:rPr>
        <w:t>PA: HOSPITAL EMPLOYEE RECORDS HACKED; EMPLOYEES MAY SUE HOSPITAL</w:t>
      </w:r>
      <w:r>
        <w:rPr>
          <w:rStyle w:val="dfm-title"/>
          <w:rFonts w:ascii="Arial Black" w:hAnsi="Arial Black"/>
          <w:b/>
          <w:sz w:val="24"/>
          <w:szCs w:val="24"/>
        </w:rPr>
        <w:t xml:space="preserve"> </w:t>
      </w:r>
      <w:r w:rsidRPr="00CA3D6F">
        <w:rPr>
          <w:rStyle w:val="dfm-title"/>
          <w:b/>
          <w:sz w:val="24"/>
          <w:szCs w:val="24"/>
        </w:rPr>
        <w:t>[also filed, Chap. 13]</w:t>
      </w:r>
    </w:p>
    <w:p w14:paraId="37C0205F" w14:textId="77777777" w:rsidR="009F1927" w:rsidRDefault="00F326E5" w:rsidP="00F326E5">
      <w:pPr>
        <w:rPr>
          <w:rFonts w:ascii="Times New Roman" w:eastAsia="Times New Roman" w:hAnsi="Times New Roman"/>
          <w:sz w:val="24"/>
          <w:szCs w:val="24"/>
        </w:rPr>
      </w:pPr>
      <w:r w:rsidRPr="009F1927">
        <w:rPr>
          <w:rFonts w:ascii="Times New Roman" w:hAnsi="Times New Roman"/>
          <w:sz w:val="24"/>
          <w:szCs w:val="24"/>
        </w:rPr>
        <w:t xml:space="preserve">On Nov. 21, 2018, in </w:t>
      </w:r>
      <w:r w:rsidRPr="009F1927">
        <w:rPr>
          <w:rFonts w:ascii="Times New Roman" w:hAnsi="Times New Roman"/>
          <w:sz w:val="24"/>
          <w:szCs w:val="24"/>
          <w:u w:val="single"/>
        </w:rPr>
        <w:t>Barbara A. Dittman, et al. v.</w:t>
      </w:r>
      <w:r w:rsidRPr="009F1927">
        <w:rPr>
          <w:rFonts w:ascii="Times New Roman" w:hAnsi="Times New Roman"/>
          <w:sz w:val="24"/>
          <w:szCs w:val="24"/>
        </w:rPr>
        <w:t xml:space="preserve"> </w:t>
      </w:r>
      <w:r w:rsidRPr="009F1927">
        <w:rPr>
          <w:rFonts w:ascii="Times New Roman" w:eastAsia="Times New Roman" w:hAnsi="Times New Roman"/>
          <w:sz w:val="24"/>
          <w:szCs w:val="24"/>
          <w:u w:val="single"/>
        </w:rPr>
        <w:t>UPMC d/b/a The University of Pittsburgh Medical Center, et al.</w:t>
      </w:r>
      <w:r w:rsidRPr="009F1927">
        <w:rPr>
          <w:rFonts w:ascii="Times New Roman" w:eastAsia="Times New Roman" w:hAnsi="Times New Roman"/>
          <w:sz w:val="24"/>
          <w:szCs w:val="24"/>
        </w:rPr>
        <w:t xml:space="preserve">, the PA Supreme Court ruled (4 to 3), the lawsuit was reinstated against the hospital. </w:t>
      </w:r>
    </w:p>
    <w:p w14:paraId="297728AC" w14:textId="0F187152" w:rsidR="00F326E5" w:rsidRPr="009F1927" w:rsidRDefault="00F326E5" w:rsidP="009F1927">
      <w:pPr>
        <w:ind w:left="720"/>
        <w:rPr>
          <w:rFonts w:ascii="Times New Roman" w:hAnsi="Times New Roman"/>
          <w:sz w:val="24"/>
          <w:szCs w:val="24"/>
        </w:rPr>
      </w:pPr>
      <w:r w:rsidRPr="009F1927">
        <w:rPr>
          <w:rFonts w:ascii="Times New Roman" w:eastAsia="Times New Roman" w:hAnsi="Times New Roman"/>
          <w:sz w:val="24"/>
          <w:szCs w:val="24"/>
        </w:rPr>
        <w:t>“We hold that an employer has a legal duty to exercise reasonable care to safeguard its employees’ sensitive personal information stored by the employer on an internet-</w:t>
      </w:r>
      <w:r w:rsidRPr="009F1927">
        <w:rPr>
          <w:rFonts w:ascii="Times New Roman" w:hAnsi="Times New Roman"/>
          <w:sz w:val="24"/>
          <w:szCs w:val="24"/>
        </w:rPr>
        <w:t xml:space="preserve">accessible computer system.” </w:t>
      </w:r>
      <w:bookmarkStart w:id="261" w:name="_Hlk39831698"/>
      <w:r w:rsidR="00374417">
        <w:fldChar w:fldCharType="begin"/>
      </w:r>
      <w:r w:rsidR="00374417">
        <w:instrText xml:space="preserve"> HYPERLINK "http://www.pacourts.us/assets/opinions/Supreme/out/Majority%20Opinion%20%20VacatedRemanded%20%2010378165044604409.pdf?cb=1" </w:instrText>
      </w:r>
      <w:r w:rsidR="00374417">
        <w:fldChar w:fldCharType="separate"/>
      </w:r>
      <w:r w:rsidRPr="009F1927">
        <w:rPr>
          <w:rStyle w:val="Hyperlink"/>
          <w:rFonts w:ascii="Times New Roman" w:hAnsi="Times New Roman"/>
          <w:sz w:val="24"/>
          <w:szCs w:val="24"/>
        </w:rPr>
        <w:t>http://www.pacourts.us/assets/opinions/Supreme/out/Majority%20Opinion%20%20VacatedRemanded%20%2010378165044604409.pdf?cb=1</w:t>
      </w:r>
      <w:r w:rsidR="00374417">
        <w:rPr>
          <w:rStyle w:val="Hyperlink"/>
          <w:rFonts w:ascii="Times New Roman" w:hAnsi="Times New Roman"/>
          <w:sz w:val="24"/>
          <w:szCs w:val="24"/>
        </w:rPr>
        <w:fldChar w:fldCharType="end"/>
      </w:r>
      <w:r w:rsidRPr="009F1927">
        <w:rPr>
          <w:rFonts w:ascii="Times New Roman" w:hAnsi="Times New Roman"/>
          <w:sz w:val="24"/>
          <w:szCs w:val="24"/>
        </w:rPr>
        <w:t xml:space="preserve"> </w:t>
      </w:r>
    </w:p>
    <w:bookmarkEnd w:id="261"/>
    <w:p w14:paraId="5B600D93" w14:textId="77777777" w:rsidR="00F326E5" w:rsidRPr="009F1927" w:rsidRDefault="00F326E5" w:rsidP="00F326E5">
      <w:pPr>
        <w:pStyle w:val="Heading1"/>
        <w:rPr>
          <w:b w:val="0"/>
          <w:sz w:val="24"/>
          <w:szCs w:val="24"/>
        </w:rPr>
      </w:pPr>
      <w:r w:rsidRPr="009F1927">
        <w:rPr>
          <w:sz w:val="24"/>
          <w:szCs w:val="24"/>
        </w:rPr>
        <w:t xml:space="preserve">Legal Lessons Learned:  This is an important decision that will now proceed to trial or settlement. Hopefully this decision will prompt employers in PA, and other states, including Fire &amp; EMS agencies, to review their electronic data safeguards with IT experts.  </w:t>
      </w:r>
    </w:p>
    <w:bookmarkEnd w:id="260"/>
    <w:p w14:paraId="676CE6FE" w14:textId="77777777" w:rsidR="00EF1133" w:rsidRDefault="00EF1133" w:rsidP="00EF1133">
      <w:pPr>
        <w:rPr>
          <w:rFonts w:ascii="Arial Black" w:hAnsi="Arial Black"/>
          <w:b/>
          <w:sz w:val="24"/>
          <w:szCs w:val="24"/>
        </w:rPr>
      </w:pPr>
    </w:p>
    <w:p w14:paraId="068610BE" w14:textId="1DB2978E"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2</w:t>
      </w:r>
    </w:p>
    <w:p w14:paraId="458C04D5" w14:textId="3E7F0DA6" w:rsidR="00F326E5" w:rsidRPr="00732C84" w:rsidRDefault="00F326E5" w:rsidP="00F326E5">
      <w:pPr>
        <w:pStyle w:val="NoSpacing"/>
        <w:rPr>
          <w:rStyle w:val="dfm-title"/>
          <w:rFonts w:ascii="Arial Black" w:hAnsi="Arial Black"/>
          <w:b/>
          <w:sz w:val="28"/>
          <w:szCs w:val="28"/>
        </w:rPr>
      </w:pPr>
      <w:bookmarkStart w:id="262" w:name="_Hlk7343236"/>
      <w:r>
        <w:rPr>
          <w:rStyle w:val="dfm-title"/>
          <w:rFonts w:ascii="Arial Black" w:hAnsi="Arial Black"/>
          <w:b/>
          <w:sz w:val="28"/>
          <w:szCs w:val="28"/>
        </w:rPr>
        <w:t xml:space="preserve">U.S. </w:t>
      </w:r>
      <w:r w:rsidRPr="00732C84">
        <w:rPr>
          <w:rStyle w:val="dfm-title"/>
          <w:rFonts w:ascii="Arial Black" w:hAnsi="Arial Black"/>
          <w:b/>
          <w:sz w:val="28"/>
          <w:szCs w:val="28"/>
        </w:rPr>
        <w:t>SUPREME COURT: AGE DISCRIMINATION ACT APPLIES PUBLIC AGENCIES</w:t>
      </w:r>
      <w:r>
        <w:rPr>
          <w:rStyle w:val="dfm-title"/>
          <w:rFonts w:ascii="Arial Black" w:hAnsi="Arial Black"/>
          <w:b/>
          <w:sz w:val="28"/>
          <w:szCs w:val="28"/>
        </w:rPr>
        <w:t xml:space="preserve"> – EVEN LESS 20 EMPLOYEES</w:t>
      </w:r>
    </w:p>
    <w:p w14:paraId="17BC8F00" w14:textId="77777777" w:rsidR="009F1927" w:rsidRDefault="00F326E5" w:rsidP="00F326E5">
      <w:pPr>
        <w:rPr>
          <w:rFonts w:ascii="Times New Roman" w:eastAsia="Times New Roman" w:hAnsi="Times New Roman"/>
          <w:sz w:val="24"/>
          <w:szCs w:val="24"/>
        </w:rPr>
      </w:pPr>
      <w:r w:rsidRPr="009F1927">
        <w:rPr>
          <w:rFonts w:ascii="Times New Roman" w:eastAsia="Times New Roman" w:hAnsi="Times New Roman"/>
          <w:sz w:val="24"/>
          <w:szCs w:val="24"/>
        </w:rPr>
        <w:t xml:space="preserve">On </w:t>
      </w:r>
      <w:bookmarkStart w:id="263" w:name="_Hlk39831926"/>
      <w:r w:rsidRPr="009F1927">
        <w:rPr>
          <w:rFonts w:ascii="Times New Roman" w:eastAsia="Times New Roman" w:hAnsi="Times New Roman"/>
          <w:sz w:val="24"/>
          <w:szCs w:val="24"/>
        </w:rPr>
        <w:t xml:space="preserve">Nov. 6, 2018, in </w:t>
      </w:r>
      <w:r w:rsidRPr="009F1927">
        <w:rPr>
          <w:rFonts w:ascii="Times New Roman" w:eastAsia="Times New Roman" w:hAnsi="Times New Roman"/>
          <w:sz w:val="24"/>
          <w:szCs w:val="24"/>
          <w:u w:val="single"/>
        </w:rPr>
        <w:t>Mount Lemmon Fire District v. Guido, et al.</w:t>
      </w:r>
      <w:r w:rsidRPr="009F1927">
        <w:rPr>
          <w:rFonts w:ascii="Times New Roman" w:eastAsia="Times New Roman" w:hAnsi="Times New Roman"/>
          <w:sz w:val="24"/>
          <w:szCs w:val="24"/>
        </w:rPr>
        <w:t xml:space="preserve">, </w:t>
      </w:r>
      <w:bookmarkEnd w:id="263"/>
      <w:r w:rsidRPr="009F1927">
        <w:rPr>
          <w:rFonts w:ascii="Times New Roman" w:eastAsia="Times New Roman" w:hAnsi="Times New Roman"/>
          <w:sz w:val="24"/>
          <w:szCs w:val="24"/>
        </w:rPr>
        <w:t xml:space="preserve">the U.S. Supreme Court (8 to 0) held: </w:t>
      </w:r>
    </w:p>
    <w:p w14:paraId="27A248CE" w14:textId="053D323A" w:rsidR="00F326E5" w:rsidRPr="009F1927" w:rsidRDefault="00F326E5" w:rsidP="009F1927">
      <w:pPr>
        <w:ind w:left="720"/>
        <w:rPr>
          <w:rFonts w:ascii="Times New Roman" w:eastAsia="Times New Roman" w:hAnsi="Times New Roman"/>
          <w:sz w:val="24"/>
          <w:szCs w:val="24"/>
        </w:rPr>
      </w:pPr>
      <w:r w:rsidRPr="009F1927">
        <w:rPr>
          <w:rFonts w:ascii="Times New Roman" w:eastAsia="Times New Roman" w:hAnsi="Times New Roman"/>
          <w:sz w:val="24"/>
          <w:szCs w:val="24"/>
        </w:rPr>
        <w:t>“</w:t>
      </w:r>
      <w:proofErr w:type="gramStart"/>
      <w:r w:rsidRPr="009F1927">
        <w:rPr>
          <w:rFonts w:ascii="Times New Roman" w:eastAsia="Times New Roman" w:hAnsi="Times New Roman"/>
          <w:sz w:val="24"/>
          <w:szCs w:val="24"/>
        </w:rPr>
        <w:t>that</w:t>
      </w:r>
      <w:proofErr w:type="gramEnd"/>
      <w:r w:rsidRPr="009F1927">
        <w:rPr>
          <w:rFonts w:ascii="Times New Roman" w:eastAsia="Times New Roman" w:hAnsi="Times New Roman"/>
          <w:sz w:val="24"/>
          <w:szCs w:val="24"/>
        </w:rPr>
        <w:t xml:space="preserve"> state and local governments are ‘employer[s]’ covered by the ADEA regardless of their size” [while private employers are only covered if have 20 or more employees]. </w:t>
      </w:r>
      <w:bookmarkStart w:id="264" w:name="_Hlk39831949"/>
      <w:r w:rsidR="00374417">
        <w:fldChar w:fldCharType="begin"/>
      </w:r>
      <w:r w:rsidR="00374417">
        <w:instrText xml:space="preserve"> HYPERLINK "https://www.supremecourt.gov/opinions/18pdf/17-587_n7ip.pdf" </w:instrText>
      </w:r>
      <w:r w:rsidR="00374417">
        <w:fldChar w:fldCharType="separate"/>
      </w:r>
      <w:r w:rsidRPr="009F1927">
        <w:rPr>
          <w:rStyle w:val="Hyperlink"/>
          <w:rFonts w:ascii="Times New Roman" w:hAnsi="Times New Roman"/>
          <w:sz w:val="24"/>
          <w:szCs w:val="24"/>
        </w:rPr>
        <w:t>https://www.supremecourt.gov/opinions/18pdf/17-587_n7ip.pdf</w:t>
      </w:r>
      <w:r w:rsidR="00374417">
        <w:rPr>
          <w:rStyle w:val="Hyperlink"/>
          <w:rFonts w:ascii="Times New Roman" w:hAnsi="Times New Roman"/>
          <w:sz w:val="24"/>
          <w:szCs w:val="24"/>
        </w:rPr>
        <w:fldChar w:fldCharType="end"/>
      </w:r>
      <w:r w:rsidRPr="009F1927">
        <w:rPr>
          <w:rFonts w:ascii="Times New Roman" w:eastAsia="Times New Roman" w:hAnsi="Times New Roman"/>
          <w:sz w:val="24"/>
          <w:szCs w:val="24"/>
        </w:rPr>
        <w:t xml:space="preserve"> </w:t>
      </w:r>
    </w:p>
    <w:bookmarkEnd w:id="264"/>
    <w:p w14:paraId="17CFD01E" w14:textId="77777777"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Legal Lessons Learned:  The two former Captains may now proceed with their lawsuit.  Fire &amp; EMS departments, when conducting layoffs, should carefully document their rational for any layoffs not involving the “last hired.”</w:t>
      </w:r>
    </w:p>
    <w:p w14:paraId="503543DE" w14:textId="37C6A1C2" w:rsidR="00F326E5" w:rsidRPr="009F1927" w:rsidRDefault="00F326E5" w:rsidP="009F1927">
      <w:pPr>
        <w:rPr>
          <w:rFonts w:ascii="Times New Roman" w:eastAsia="Times New Roman" w:hAnsi="Times New Roman"/>
          <w:sz w:val="24"/>
          <w:szCs w:val="24"/>
        </w:rPr>
      </w:pPr>
      <w:r w:rsidRPr="009F1927">
        <w:rPr>
          <w:rFonts w:ascii="Times New Roman" w:eastAsia="Times New Roman" w:hAnsi="Times New Roman"/>
          <w:sz w:val="24"/>
          <w:szCs w:val="24"/>
        </w:rPr>
        <w:t xml:space="preserve">   See 9</w:t>
      </w:r>
      <w:r w:rsidRPr="009F1927">
        <w:rPr>
          <w:rFonts w:ascii="Times New Roman" w:eastAsia="Times New Roman" w:hAnsi="Times New Roman"/>
          <w:sz w:val="24"/>
          <w:szCs w:val="24"/>
          <w:vertAlign w:val="superscript"/>
        </w:rPr>
        <w:t>th</w:t>
      </w:r>
      <w:r w:rsidRPr="009F1927">
        <w:rPr>
          <w:rFonts w:ascii="Times New Roman" w:eastAsia="Times New Roman" w:hAnsi="Times New Roman"/>
          <w:sz w:val="24"/>
          <w:szCs w:val="24"/>
        </w:rPr>
        <w:t xml:space="preserve"> Circuit decision:</w:t>
      </w:r>
    </w:p>
    <w:p w14:paraId="26798A2B" w14:textId="77777777" w:rsidR="00F326E5" w:rsidRPr="009F1927" w:rsidRDefault="00F326E5" w:rsidP="00F326E5">
      <w:pPr>
        <w:ind w:left="720"/>
        <w:rPr>
          <w:rFonts w:ascii="Times New Roman" w:eastAsia="Times New Roman" w:hAnsi="Times New Roman"/>
          <w:sz w:val="24"/>
          <w:szCs w:val="24"/>
        </w:rPr>
      </w:pPr>
      <w:r w:rsidRPr="009F1927">
        <w:rPr>
          <w:rFonts w:ascii="Times New Roman" w:hAnsi="Times New Roman"/>
          <w:sz w:val="24"/>
          <w:szCs w:val="24"/>
        </w:rPr>
        <w:t xml:space="preserve">“John Guido and Dennis Rankin were both hired in 2000 by Mount Lemmon Fire District, a political subdivision of the State of Arizona. Guido and Rankin served as full-time firefighter Captains. They were the two oldest full-time employees at the Fire District when they were terminated on June 15, 2009, Guido at forty-six years of age and Rankin at fifty-four.” </w:t>
      </w:r>
      <w:hyperlink r:id="rId1289" w:history="1">
        <w:r w:rsidRPr="009F1927">
          <w:rPr>
            <w:rStyle w:val="Hyperlink"/>
            <w:rFonts w:ascii="Times New Roman" w:hAnsi="Times New Roman"/>
            <w:sz w:val="24"/>
            <w:szCs w:val="24"/>
          </w:rPr>
          <w:t>https://caselaw.findlaw.com/us-9th-circuit/1864754.html</w:t>
        </w:r>
      </w:hyperlink>
      <w:r w:rsidRPr="009F1927">
        <w:rPr>
          <w:rFonts w:ascii="Times New Roman" w:hAnsi="Times New Roman"/>
          <w:sz w:val="24"/>
          <w:szCs w:val="24"/>
        </w:rPr>
        <w:t xml:space="preserve"> </w:t>
      </w:r>
    </w:p>
    <w:p w14:paraId="1FB66A64" w14:textId="77777777" w:rsidR="00F326E5" w:rsidRPr="009F1927" w:rsidRDefault="00F326E5" w:rsidP="00F326E5">
      <w:pPr>
        <w:pStyle w:val="NoSpacing"/>
        <w:ind w:left="720"/>
        <w:rPr>
          <w:rFonts w:ascii="Times New Roman" w:hAnsi="Times New Roman"/>
          <w:sz w:val="24"/>
          <w:szCs w:val="24"/>
        </w:rPr>
      </w:pPr>
      <w:r w:rsidRPr="009F1927">
        <w:rPr>
          <w:rFonts w:ascii="Times New Roman" w:hAnsi="Times New Roman"/>
          <w:sz w:val="24"/>
          <w:szCs w:val="24"/>
        </w:rPr>
        <w:t xml:space="preserve">Note:  Ohio has enacted the Ohio Data Protection Act, effective Nov. 2, 2018 (to be in Ohio Revised Code 1354.01-05), which provides companies with an affirmative defense to lawsuits involving release of personal information, if the company has a written cybersecurity program that conforms to the NIST Cybersecurity Framework. </w:t>
      </w:r>
      <w:hyperlink r:id="rId1290" w:history="1">
        <w:r w:rsidRPr="009F1927">
          <w:rPr>
            <w:rStyle w:val="Hyperlink"/>
            <w:rFonts w:ascii="Times New Roman" w:hAnsi="Times New Roman"/>
            <w:sz w:val="24"/>
            <w:szCs w:val="24"/>
          </w:rPr>
          <w:t>https://www.legislature.ohio.gov/legislation/legislation-summary?id=GA132-SB-220</w:t>
        </w:r>
      </w:hyperlink>
      <w:r w:rsidRPr="009F1927">
        <w:rPr>
          <w:rFonts w:ascii="Times New Roman" w:hAnsi="Times New Roman"/>
          <w:sz w:val="24"/>
          <w:szCs w:val="24"/>
        </w:rPr>
        <w:t xml:space="preserve">.  See Sept. 20, </w:t>
      </w:r>
      <w:proofErr w:type="gramStart"/>
      <w:r w:rsidRPr="009F1927">
        <w:rPr>
          <w:rFonts w:ascii="Times New Roman" w:hAnsi="Times New Roman"/>
          <w:sz w:val="24"/>
          <w:szCs w:val="24"/>
        </w:rPr>
        <w:t>2018</w:t>
      </w:r>
      <w:proofErr w:type="gramEnd"/>
      <w:r w:rsidRPr="009F1927">
        <w:rPr>
          <w:rFonts w:ascii="Times New Roman" w:hAnsi="Times New Roman"/>
          <w:sz w:val="24"/>
          <w:szCs w:val="24"/>
        </w:rPr>
        <w:t xml:space="preserve"> article, “New Ohio law incentivizes businesses that comply with cybersecurity programs,” </w:t>
      </w:r>
      <w:hyperlink r:id="rId1291" w:history="1">
        <w:r w:rsidRPr="009F1927">
          <w:rPr>
            <w:rStyle w:val="Hyperlink"/>
            <w:rFonts w:ascii="Times New Roman" w:hAnsi="Times New Roman"/>
            <w:sz w:val="24"/>
            <w:szCs w:val="24"/>
          </w:rPr>
          <w:t>https://www.bizjournals.com/columbus/news/2018/09/20/new-ohio-law-incentivizes-businesses-that-comply.html</w:t>
        </w:r>
      </w:hyperlink>
    </w:p>
    <w:p w14:paraId="341C3ED8" w14:textId="77777777" w:rsidR="00F326E5" w:rsidRPr="009F1927" w:rsidRDefault="00F326E5" w:rsidP="00F326E5">
      <w:pPr>
        <w:pStyle w:val="NoSpacing"/>
        <w:rPr>
          <w:rStyle w:val="dfm-title"/>
          <w:rFonts w:ascii="Times New Roman" w:hAnsi="Times New Roman"/>
          <w:sz w:val="24"/>
          <w:szCs w:val="24"/>
        </w:rPr>
      </w:pPr>
    </w:p>
    <w:bookmarkEnd w:id="262"/>
    <w:p w14:paraId="14C842DA" w14:textId="6DA8F9DA" w:rsidR="00EF1133" w:rsidRDefault="00EF1133" w:rsidP="00EF1133">
      <w:pPr>
        <w:rPr>
          <w:rFonts w:ascii="Arial Black" w:hAnsi="Arial Black"/>
          <w:sz w:val="28"/>
          <w:szCs w:val="28"/>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1</w:t>
      </w:r>
      <w:bookmarkStart w:id="265" w:name="_Hlk7343286"/>
    </w:p>
    <w:p w14:paraId="334AB698" w14:textId="12093068" w:rsidR="00F326E5" w:rsidRDefault="00F326E5" w:rsidP="00F326E5">
      <w:pPr>
        <w:pStyle w:val="NoSpacing"/>
        <w:rPr>
          <w:rFonts w:ascii="Arial Black" w:hAnsi="Arial Black"/>
          <w:sz w:val="28"/>
          <w:szCs w:val="28"/>
        </w:rPr>
      </w:pPr>
      <w:r w:rsidRPr="002C2C77">
        <w:rPr>
          <w:rFonts w:ascii="Arial Black" w:hAnsi="Arial Black"/>
          <w:sz w:val="28"/>
          <w:szCs w:val="28"/>
        </w:rPr>
        <w:t>TN</w:t>
      </w:r>
      <w:r>
        <w:rPr>
          <w:rFonts w:ascii="Arial Black" w:hAnsi="Arial Black"/>
          <w:sz w:val="28"/>
          <w:szCs w:val="28"/>
        </w:rPr>
        <w:t>:  FIRE CHIEF FIRED – AT-WILL EMPLOYEE –</w:t>
      </w:r>
      <w:r w:rsidR="009F1927">
        <w:rPr>
          <w:rFonts w:ascii="Arial Black" w:hAnsi="Arial Black"/>
          <w:sz w:val="28"/>
          <w:szCs w:val="28"/>
        </w:rPr>
        <w:t xml:space="preserve"> </w:t>
      </w:r>
      <w:r>
        <w:rPr>
          <w:rFonts w:ascii="Arial Black" w:hAnsi="Arial Black"/>
          <w:sz w:val="28"/>
          <w:szCs w:val="28"/>
        </w:rPr>
        <w:t>COUNTY CAN</w:t>
      </w:r>
      <w:r w:rsidR="005353F2">
        <w:rPr>
          <w:rFonts w:ascii="Arial Black" w:hAnsi="Arial Black"/>
          <w:sz w:val="28"/>
          <w:szCs w:val="28"/>
        </w:rPr>
        <w:t>’T</w:t>
      </w:r>
      <w:r>
        <w:rPr>
          <w:rFonts w:ascii="Arial Black" w:hAnsi="Arial Black"/>
          <w:sz w:val="28"/>
          <w:szCs w:val="28"/>
        </w:rPr>
        <w:t xml:space="preserve"> GRANT CIVIL SERVICE PROTECTION</w:t>
      </w:r>
    </w:p>
    <w:p w14:paraId="544BA7E7" w14:textId="77777777" w:rsidR="00F326E5" w:rsidRPr="009F1927" w:rsidRDefault="00F326E5" w:rsidP="00F326E5">
      <w:pPr>
        <w:rPr>
          <w:rFonts w:ascii="Times New Roman" w:eastAsia="Times New Roman" w:hAnsi="Times New Roman"/>
          <w:sz w:val="24"/>
          <w:szCs w:val="24"/>
        </w:rPr>
      </w:pPr>
      <w:r w:rsidRPr="009F1927">
        <w:rPr>
          <w:rFonts w:ascii="Times New Roman" w:hAnsi="Times New Roman"/>
          <w:sz w:val="24"/>
          <w:szCs w:val="24"/>
        </w:rPr>
        <w:t xml:space="preserve">On Oct. 19, 2018, in </w:t>
      </w:r>
      <w:r w:rsidRPr="009F1927">
        <w:rPr>
          <w:rFonts w:ascii="Times New Roman" w:hAnsi="Times New Roman"/>
          <w:sz w:val="24"/>
          <w:szCs w:val="24"/>
          <w:u w:val="single"/>
        </w:rPr>
        <w:t>William Smallwood v. Cocke County Government</w:t>
      </w:r>
      <w:r w:rsidRPr="009F1927">
        <w:rPr>
          <w:rFonts w:ascii="Times New Roman" w:hAnsi="Times New Roman"/>
          <w:sz w:val="24"/>
          <w:szCs w:val="24"/>
        </w:rPr>
        <w:t>, the U.S. Court of Appeals for 6</w:t>
      </w:r>
      <w:r w:rsidRPr="009F1927">
        <w:rPr>
          <w:rFonts w:ascii="Times New Roman" w:hAnsi="Times New Roman"/>
          <w:sz w:val="24"/>
          <w:szCs w:val="24"/>
          <w:vertAlign w:val="superscript"/>
        </w:rPr>
        <w:t>th</w:t>
      </w:r>
      <w:r w:rsidRPr="009F1927">
        <w:rPr>
          <w:rFonts w:ascii="Times New Roman" w:hAnsi="Times New Roman"/>
          <w:sz w:val="24"/>
          <w:szCs w:val="24"/>
        </w:rPr>
        <w:t xml:space="preserve"> Circuit (Cincinnati, OH), held (3 to 0) in an unpublished opinion, that the District Court properly granted summary judgment to the County. “</w:t>
      </w:r>
      <w:r w:rsidRPr="009F1927">
        <w:rPr>
          <w:rFonts w:ascii="Times New Roman" w:eastAsia="Times New Roman" w:hAnsi="Times New Roman"/>
          <w:sz w:val="24"/>
          <w:szCs w:val="24"/>
        </w:rPr>
        <w:t>Regardless of whether Smallwood’s termination was politically motivated, as Fire Chief, he could be terminated for political reasons.”</w:t>
      </w:r>
      <w:r w:rsidRPr="009F1927">
        <w:rPr>
          <w:rFonts w:ascii="Times New Roman" w:hAnsi="Times New Roman"/>
          <w:sz w:val="24"/>
          <w:szCs w:val="24"/>
        </w:rPr>
        <w:t xml:space="preserve"> </w:t>
      </w:r>
      <w:hyperlink r:id="rId1292" w:history="1">
        <w:r w:rsidRPr="009F1927">
          <w:rPr>
            <w:rStyle w:val="Hyperlink"/>
            <w:rFonts w:ascii="Times New Roman" w:hAnsi="Times New Roman"/>
            <w:sz w:val="24"/>
            <w:szCs w:val="24"/>
          </w:rPr>
          <w:t>http://www.opn.ca6.uscourts.gov/opinions.pdf/18a0522n-06.pdf</w:t>
        </w:r>
      </w:hyperlink>
      <w:r w:rsidRPr="009F1927">
        <w:rPr>
          <w:rFonts w:ascii="Times New Roman" w:eastAsia="Times New Roman" w:hAnsi="Times New Roman"/>
          <w:sz w:val="24"/>
          <w:szCs w:val="24"/>
        </w:rPr>
        <w:t xml:space="preserve"> </w:t>
      </w:r>
    </w:p>
    <w:p w14:paraId="75753C14" w14:textId="77777777" w:rsidR="00F326E5" w:rsidRPr="009F1927" w:rsidRDefault="00F326E5" w:rsidP="00F326E5">
      <w:pPr>
        <w:pStyle w:val="NoSpacing"/>
        <w:rPr>
          <w:rFonts w:ascii="Times New Roman" w:hAnsi="Times New Roman"/>
          <w:b/>
          <w:sz w:val="24"/>
          <w:szCs w:val="24"/>
        </w:rPr>
      </w:pPr>
      <w:r w:rsidRPr="009F1927">
        <w:rPr>
          <w:rFonts w:ascii="Times New Roman" w:hAnsi="Times New Roman"/>
          <w:b/>
          <w:sz w:val="24"/>
          <w:szCs w:val="24"/>
        </w:rPr>
        <w:t xml:space="preserve">Legal Lessons Learned:  At-will employees may be terminated without </w:t>
      </w:r>
      <w:proofErr w:type="gramStart"/>
      <w:r w:rsidRPr="009F1927">
        <w:rPr>
          <w:rFonts w:ascii="Times New Roman" w:hAnsi="Times New Roman"/>
          <w:b/>
          <w:sz w:val="24"/>
          <w:szCs w:val="24"/>
        </w:rPr>
        <w:t>a hearing</w:t>
      </w:r>
      <w:proofErr w:type="gramEnd"/>
      <w:r w:rsidRPr="009F1927">
        <w:rPr>
          <w:rFonts w:ascii="Times New Roman" w:hAnsi="Times New Roman"/>
          <w:b/>
          <w:sz w:val="24"/>
          <w:szCs w:val="24"/>
        </w:rPr>
        <w:t xml:space="preserve">.  </w:t>
      </w:r>
    </w:p>
    <w:bookmarkEnd w:id="265"/>
    <w:p w14:paraId="2D8ED270" w14:textId="77777777" w:rsidR="00F326E5" w:rsidRPr="009F1927" w:rsidRDefault="00F326E5" w:rsidP="00F326E5">
      <w:pPr>
        <w:ind w:left="720"/>
        <w:rPr>
          <w:rFonts w:ascii="Times New Roman" w:eastAsia="Times New Roman" w:hAnsi="Times New Roman"/>
          <w:sz w:val="24"/>
          <w:szCs w:val="24"/>
        </w:rPr>
      </w:pPr>
    </w:p>
    <w:p w14:paraId="6B119D7E" w14:textId="77777777" w:rsidR="009F1927" w:rsidRDefault="009F1927" w:rsidP="00EF1133">
      <w:pPr>
        <w:rPr>
          <w:rFonts w:ascii="Arial Black" w:hAnsi="Arial Black"/>
          <w:b/>
          <w:sz w:val="24"/>
          <w:szCs w:val="24"/>
        </w:rPr>
      </w:pPr>
    </w:p>
    <w:p w14:paraId="02A7C8E7" w14:textId="3C9995B9"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-1</w:t>
      </w:r>
      <w:r>
        <w:rPr>
          <w:rFonts w:ascii="Arial Black" w:hAnsi="Arial Black"/>
          <w:b/>
          <w:sz w:val="24"/>
          <w:szCs w:val="24"/>
        </w:rPr>
        <w:t>0</w:t>
      </w:r>
    </w:p>
    <w:p w14:paraId="3D465DED" w14:textId="20086348" w:rsidR="00F326E5" w:rsidRPr="00732C84" w:rsidRDefault="00F326E5" w:rsidP="00F326E5">
      <w:pPr>
        <w:rPr>
          <w:rFonts w:ascii="Times New Roman" w:hAnsi="Times New Roman"/>
          <w:sz w:val="24"/>
          <w:szCs w:val="24"/>
        </w:rPr>
      </w:pPr>
      <w:bookmarkStart w:id="266" w:name="_Hlk7343322"/>
      <w:r w:rsidRPr="00732C84">
        <w:rPr>
          <w:rFonts w:ascii="Arial Black" w:hAnsi="Arial Black"/>
          <w:sz w:val="28"/>
          <w:szCs w:val="28"/>
        </w:rPr>
        <w:t xml:space="preserve">NY: </w:t>
      </w:r>
      <w:r>
        <w:rPr>
          <w:rFonts w:ascii="Arial Black" w:hAnsi="Arial Black"/>
          <w:sz w:val="28"/>
          <w:szCs w:val="28"/>
        </w:rPr>
        <w:t xml:space="preserve">AMBULANCE BACK STEP NOT LOWERED - </w:t>
      </w:r>
      <w:r w:rsidRPr="00732C84">
        <w:rPr>
          <w:rFonts w:ascii="Arial Black" w:hAnsi="Arial Black"/>
          <w:sz w:val="28"/>
          <w:szCs w:val="28"/>
        </w:rPr>
        <w:t xml:space="preserve">FF </w:t>
      </w:r>
      <w:r>
        <w:rPr>
          <w:rFonts w:ascii="Arial Black" w:hAnsi="Arial Black"/>
          <w:sz w:val="28"/>
          <w:szCs w:val="28"/>
        </w:rPr>
        <w:t xml:space="preserve">ENTITLED TO ACCIDENTAL RETIREMENT BENEFITS </w:t>
      </w:r>
      <w:r w:rsidRPr="00732C84">
        <w:rPr>
          <w:rFonts w:ascii="Times New Roman" w:hAnsi="Times New Roman"/>
          <w:sz w:val="24"/>
          <w:szCs w:val="24"/>
        </w:rPr>
        <w:t xml:space="preserve">[also filed, Chap. 13] </w:t>
      </w:r>
    </w:p>
    <w:p w14:paraId="4F8E17CD" w14:textId="77777777" w:rsidR="00F326E5" w:rsidRPr="009F1927" w:rsidRDefault="00F326E5" w:rsidP="00F326E5">
      <w:pPr>
        <w:rPr>
          <w:rFonts w:ascii="Times New Roman" w:eastAsia="Times New Roman" w:hAnsi="Times New Roman"/>
          <w:sz w:val="24"/>
          <w:szCs w:val="24"/>
        </w:rPr>
      </w:pPr>
      <w:r w:rsidRPr="009F1927">
        <w:rPr>
          <w:rFonts w:ascii="Times New Roman" w:eastAsia="Times New Roman" w:hAnsi="Times New Roman"/>
          <w:sz w:val="24"/>
          <w:szCs w:val="24"/>
        </w:rPr>
        <w:t xml:space="preserve">On Sept. 6, 2018, </w:t>
      </w:r>
      <w:r w:rsidRPr="009F1927">
        <w:rPr>
          <w:rFonts w:ascii="Times New Roman" w:eastAsia="Times New Roman" w:hAnsi="Times New Roman"/>
          <w:sz w:val="24"/>
          <w:szCs w:val="24"/>
          <w:u w:val="single"/>
        </w:rPr>
        <w:t>In The Matter Of Gregg A. Loia v. Thomas P. Di Napoli, State Comptroller</w:t>
      </w:r>
      <w:r w:rsidRPr="009F1927">
        <w:rPr>
          <w:rFonts w:ascii="Times New Roman" w:eastAsia="Times New Roman" w:hAnsi="Times New Roman"/>
          <w:sz w:val="24"/>
          <w:szCs w:val="24"/>
        </w:rPr>
        <w:t xml:space="preserve">,  the NY Supreme Court, Appellate Division (Third Judicial Department) held (3 to 0) the injured firefighter is entitled to accidental retirement benefits since the back step of the ambulance had not been lowered by EMS personnel, and he suffered an “accident” on the “malfunctioning piece of equipment that was designed, under normal circumstances, to promote safety.” </w:t>
      </w:r>
      <w:hyperlink r:id="rId1293" w:history="1">
        <w:r w:rsidRPr="009F1927">
          <w:rPr>
            <w:rStyle w:val="Hyperlink"/>
            <w:rFonts w:ascii="Times New Roman" w:hAnsi="Times New Roman"/>
            <w:sz w:val="24"/>
            <w:szCs w:val="24"/>
          </w:rPr>
          <w:t>http://decisions.courts.state.ny.us/ad3/Decisions/2018/526165.pdf</w:t>
        </w:r>
      </w:hyperlink>
      <w:r w:rsidRPr="009F1927">
        <w:rPr>
          <w:rFonts w:ascii="Times New Roman" w:eastAsia="Times New Roman" w:hAnsi="Times New Roman"/>
          <w:sz w:val="24"/>
          <w:szCs w:val="24"/>
        </w:rPr>
        <w:t xml:space="preserve"> </w:t>
      </w:r>
    </w:p>
    <w:p w14:paraId="1933F0FC" w14:textId="77777777"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 xml:space="preserve">Legal Lessons Learned:  Fire &amp; EMS personnel should document any on the job injury (including, in this case, photos of the ambulance step) and obtain statements from others on the scene.  It is unfortunate that a dispute over disability retirement benefits has been in litigation since 2012.  </w:t>
      </w:r>
    </w:p>
    <w:bookmarkEnd w:id="266"/>
    <w:p w14:paraId="78B0C165" w14:textId="77777777" w:rsidR="00F326E5" w:rsidRDefault="00F326E5" w:rsidP="00F326E5">
      <w:pPr>
        <w:pStyle w:val="NoSpacing"/>
        <w:rPr>
          <w:rStyle w:val="dfm-title"/>
          <w:b/>
          <w:sz w:val="24"/>
          <w:szCs w:val="24"/>
        </w:rPr>
      </w:pPr>
    </w:p>
    <w:p w14:paraId="149F5F5A" w14:textId="77777777" w:rsidR="00F27CD5" w:rsidRDefault="00F27CD5" w:rsidP="00F326E5">
      <w:pPr>
        <w:rPr>
          <w:rFonts w:ascii="Arial Black" w:hAnsi="Arial Black"/>
          <w:b/>
          <w:sz w:val="24"/>
          <w:szCs w:val="24"/>
        </w:rPr>
      </w:pPr>
    </w:p>
    <w:p w14:paraId="1293C9CE" w14:textId="77777777" w:rsidR="00F27CD5" w:rsidRDefault="00F27CD5" w:rsidP="00F326E5">
      <w:pPr>
        <w:rPr>
          <w:rFonts w:ascii="Arial Black" w:hAnsi="Arial Black"/>
          <w:b/>
          <w:sz w:val="24"/>
          <w:szCs w:val="24"/>
        </w:rPr>
      </w:pPr>
    </w:p>
    <w:p w14:paraId="2FF83555" w14:textId="4119B724" w:rsidR="00F326E5" w:rsidRPr="009F2867" w:rsidRDefault="00EF1133" w:rsidP="00F326E5">
      <w:pPr>
        <w:rPr>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9</w:t>
      </w:r>
    </w:p>
    <w:p w14:paraId="29350A44" w14:textId="7CD59645" w:rsidR="00F326E5" w:rsidRPr="00732C84" w:rsidRDefault="00F326E5" w:rsidP="00F326E5">
      <w:pPr>
        <w:rPr>
          <w:rFonts w:ascii="Arial Black" w:hAnsi="Arial Black"/>
          <w:sz w:val="28"/>
          <w:szCs w:val="28"/>
        </w:rPr>
      </w:pPr>
      <w:bookmarkStart w:id="267" w:name="_Hlk7343376"/>
      <w:r w:rsidRPr="00732C84">
        <w:rPr>
          <w:rFonts w:ascii="Arial Black" w:hAnsi="Arial Black"/>
          <w:sz w:val="28"/>
          <w:szCs w:val="28"/>
        </w:rPr>
        <w:t>MD: P</w:t>
      </w:r>
      <w:r>
        <w:rPr>
          <w:rFonts w:ascii="Arial Black" w:hAnsi="Arial Black"/>
          <w:sz w:val="28"/>
          <w:szCs w:val="28"/>
        </w:rPr>
        <w:t xml:space="preserve">ARAMEDIC WTH DEGENERATIVE KNEE TEARS – JURY FOUND WORK RELATED – COURT UPHOLDS </w:t>
      </w:r>
    </w:p>
    <w:p w14:paraId="54012B00" w14:textId="77777777" w:rsidR="009F1927" w:rsidRDefault="00F326E5" w:rsidP="00F326E5">
      <w:pPr>
        <w:rPr>
          <w:rFonts w:ascii="Times New Roman" w:hAnsi="Times New Roman"/>
          <w:sz w:val="24"/>
          <w:szCs w:val="24"/>
        </w:rPr>
      </w:pPr>
      <w:r w:rsidRPr="009F1927">
        <w:rPr>
          <w:rFonts w:ascii="Times New Roman" w:hAnsi="Times New Roman"/>
          <w:sz w:val="24"/>
          <w:szCs w:val="24"/>
        </w:rPr>
        <w:t xml:space="preserve">On Aug. 30, 2018, in </w:t>
      </w:r>
      <w:r w:rsidRPr="009F1927">
        <w:rPr>
          <w:rFonts w:ascii="Times New Roman" w:hAnsi="Times New Roman"/>
          <w:sz w:val="24"/>
          <w:szCs w:val="24"/>
          <w:u w:val="single"/>
        </w:rPr>
        <w:t>Baltimore County v. Michael Quinlan</w:t>
      </w:r>
      <w:r w:rsidRPr="009F1927">
        <w:rPr>
          <w:rFonts w:ascii="Times New Roman" w:hAnsi="Times New Roman"/>
          <w:sz w:val="24"/>
          <w:szCs w:val="24"/>
        </w:rPr>
        <w:t xml:space="preserve">, the Court </w:t>
      </w:r>
      <w:proofErr w:type="gramStart"/>
      <w:r w:rsidRPr="009F1927">
        <w:rPr>
          <w:rFonts w:ascii="Times New Roman" w:hAnsi="Times New Roman"/>
          <w:sz w:val="24"/>
          <w:szCs w:val="24"/>
        </w:rPr>
        <w:t>Of</w:t>
      </w:r>
      <w:proofErr w:type="gramEnd"/>
      <w:r w:rsidRPr="009F1927">
        <w:rPr>
          <w:rFonts w:ascii="Times New Roman" w:hAnsi="Times New Roman"/>
          <w:sz w:val="24"/>
          <w:szCs w:val="24"/>
        </w:rPr>
        <w:t xml:space="preserve"> Special Appeals </w:t>
      </w:r>
      <w:proofErr w:type="gramStart"/>
      <w:r w:rsidRPr="009F1927">
        <w:rPr>
          <w:rFonts w:ascii="Times New Roman" w:hAnsi="Times New Roman"/>
          <w:sz w:val="24"/>
          <w:szCs w:val="24"/>
        </w:rPr>
        <w:t>Of</w:t>
      </w:r>
      <w:proofErr w:type="gramEnd"/>
      <w:r w:rsidRPr="009F1927">
        <w:rPr>
          <w:rFonts w:ascii="Times New Roman" w:hAnsi="Times New Roman"/>
          <w:sz w:val="24"/>
          <w:szCs w:val="24"/>
        </w:rPr>
        <w:t xml:space="preserve"> Maryland, held (3 to 0) that his menisci tears are work related.  The Court wrote:  </w:t>
      </w:r>
    </w:p>
    <w:p w14:paraId="54B01CF0" w14:textId="7D7386A4" w:rsidR="00F326E5" w:rsidRPr="009F1927" w:rsidRDefault="00F326E5" w:rsidP="009F1927">
      <w:pPr>
        <w:ind w:left="720"/>
        <w:rPr>
          <w:rFonts w:ascii="Times New Roman" w:eastAsia="Times New Roman" w:hAnsi="Times New Roman"/>
          <w:b/>
          <w:sz w:val="24"/>
          <w:szCs w:val="24"/>
        </w:rPr>
      </w:pPr>
      <w:r w:rsidRPr="009F1927">
        <w:rPr>
          <w:rFonts w:ascii="Times New Roman" w:hAnsi="Times New Roman"/>
          <w:sz w:val="24"/>
          <w:szCs w:val="24"/>
        </w:rPr>
        <w:t>“</w:t>
      </w:r>
      <w:r w:rsidRPr="009F1927">
        <w:rPr>
          <w:rFonts w:ascii="Times New Roman" w:eastAsia="Times New Roman" w:hAnsi="Times New Roman"/>
          <w:sz w:val="24"/>
          <w:szCs w:val="24"/>
        </w:rPr>
        <w:t>In sum, Mr. Quinlan met the statutory requirements of LE § 9-502(d)(1) by establishing at trial that the degenerative menisci tears were an occupational disease through testimony that showed That repetitive kneeling and squatting is (1) a regular part of a paramedic’s job and (2) a risk factor for developing menisci tears, which Dr. Cochran explained are ‘part of the continuum of osteoarthritis. ‘…. This was sufficient evidence for the jury to determine that, ‘but for the work-related activities[,]’ his condition would not have developed…. We will not second guess the jury’s fact finding on appeal.”</w:t>
      </w:r>
      <w:r w:rsidR="009F1927">
        <w:rPr>
          <w:rFonts w:ascii="Times New Roman" w:eastAsia="Times New Roman" w:hAnsi="Times New Roman"/>
          <w:sz w:val="24"/>
          <w:szCs w:val="24"/>
        </w:rPr>
        <w:t xml:space="preserve"> </w:t>
      </w:r>
      <w:hyperlink r:id="rId1294" w:history="1">
        <w:r w:rsidRPr="009F1927">
          <w:rPr>
            <w:rStyle w:val="Hyperlink"/>
            <w:rFonts w:ascii="Times New Roman" w:hAnsi="Times New Roman"/>
            <w:sz w:val="24"/>
            <w:szCs w:val="24"/>
          </w:rPr>
          <w:t>https://www.courts.state.md.us/data/opinions/cosa/2018/0319s17.pdf</w:t>
        </w:r>
      </w:hyperlink>
      <w:r w:rsidRPr="009F1927">
        <w:rPr>
          <w:rFonts w:ascii="Times New Roman" w:eastAsia="Times New Roman" w:hAnsi="Times New Roman"/>
          <w:b/>
          <w:sz w:val="24"/>
          <w:szCs w:val="24"/>
        </w:rPr>
        <w:t xml:space="preserve"> </w:t>
      </w:r>
    </w:p>
    <w:p w14:paraId="035305B9" w14:textId="77777777"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Legal Lessons Learned:  Expert testimony particularly critical for claims involving degenerative knee or other similar conditions.</w:t>
      </w:r>
    </w:p>
    <w:bookmarkEnd w:id="267"/>
    <w:p w14:paraId="230F3837" w14:textId="77777777" w:rsidR="00F326E5" w:rsidRPr="00FE294E" w:rsidRDefault="00F326E5" w:rsidP="00F326E5">
      <w:pPr>
        <w:rPr>
          <w:rFonts w:eastAsia="Times New Roman"/>
          <w:sz w:val="24"/>
          <w:szCs w:val="24"/>
        </w:rPr>
      </w:pPr>
    </w:p>
    <w:p w14:paraId="275477DC" w14:textId="62C07030" w:rsidR="005353F2" w:rsidRDefault="00EF1133" w:rsidP="00EF1133">
      <w:pPr>
        <w:rPr>
          <w:sz w:val="24"/>
          <w:szCs w:val="24"/>
        </w:rPr>
      </w:pPr>
      <w:bookmarkStart w:id="268" w:name="_Hlk7343415"/>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8</w:t>
      </w:r>
    </w:p>
    <w:p w14:paraId="19EC5DB1" w14:textId="28F2E275" w:rsidR="00F326E5" w:rsidRPr="008A5B80" w:rsidRDefault="00F326E5" w:rsidP="00F326E5">
      <w:pPr>
        <w:pStyle w:val="NoSpacing"/>
        <w:rPr>
          <w:rFonts w:ascii="Arial Black" w:hAnsi="Arial Black"/>
          <w:sz w:val="24"/>
          <w:szCs w:val="24"/>
        </w:rPr>
      </w:pPr>
      <w:r w:rsidRPr="00732C84">
        <w:rPr>
          <w:rFonts w:ascii="Arial Black" w:hAnsi="Arial Black"/>
          <w:b/>
          <w:sz w:val="28"/>
          <w:szCs w:val="28"/>
        </w:rPr>
        <w:t xml:space="preserve">LA: </w:t>
      </w:r>
      <w:r>
        <w:rPr>
          <w:rFonts w:ascii="Arial Black" w:hAnsi="Arial Black"/>
          <w:b/>
          <w:sz w:val="28"/>
          <w:szCs w:val="28"/>
        </w:rPr>
        <w:t xml:space="preserve">FREE SPEECH CASE </w:t>
      </w:r>
      <w:r w:rsidR="005353F2">
        <w:rPr>
          <w:rFonts w:ascii="Arial Black" w:hAnsi="Arial Black"/>
          <w:b/>
          <w:sz w:val="28"/>
          <w:szCs w:val="28"/>
        </w:rPr>
        <w:t xml:space="preserve">NOT DISMISSED </w:t>
      </w:r>
      <w:r>
        <w:rPr>
          <w:rFonts w:ascii="Arial Black" w:hAnsi="Arial Black"/>
          <w:b/>
          <w:sz w:val="28"/>
          <w:szCs w:val="28"/>
        </w:rPr>
        <w:t xml:space="preserve">- TWO PARAMEDICS FIRED AFTER LETTER TO BOARD ABOUT MGT </w:t>
      </w:r>
      <w:r w:rsidRPr="008A5B80">
        <w:rPr>
          <w:sz w:val="24"/>
          <w:szCs w:val="24"/>
        </w:rPr>
        <w:t>[also filed, Chap. 13]</w:t>
      </w:r>
    </w:p>
    <w:p w14:paraId="23B2BDC5" w14:textId="77777777" w:rsidR="009F1927" w:rsidRDefault="00F326E5" w:rsidP="00F326E5">
      <w:pPr>
        <w:rPr>
          <w:rFonts w:ascii="Times New Roman" w:hAnsi="Times New Roman"/>
          <w:sz w:val="24"/>
          <w:szCs w:val="24"/>
        </w:rPr>
      </w:pPr>
      <w:r w:rsidRPr="009F1927">
        <w:rPr>
          <w:rFonts w:ascii="Times New Roman" w:hAnsi="Times New Roman"/>
          <w:sz w:val="24"/>
          <w:szCs w:val="24"/>
        </w:rPr>
        <w:t xml:space="preserve">On July 18, 2018, in </w:t>
      </w:r>
      <w:r w:rsidRPr="009F1927">
        <w:rPr>
          <w:rFonts w:ascii="Times New Roman" w:hAnsi="Times New Roman"/>
          <w:sz w:val="24"/>
          <w:szCs w:val="24"/>
          <w:u w:val="single"/>
        </w:rPr>
        <w:t>Patrick Alan Benfield &amp; Brian Warren v. Joe Magee, et al</w:t>
      </w:r>
      <w:r w:rsidRPr="009F1927">
        <w:rPr>
          <w:rFonts w:ascii="Times New Roman" w:hAnsi="Times New Roman"/>
          <w:sz w:val="24"/>
          <w:szCs w:val="24"/>
        </w:rPr>
        <w:t xml:space="preserve">., U.S. District Court Judge Elizabeth Foote, Western District of Louisiana, held that a lawsuit by two paramedics fired by Desoto Parish EMS may proceed to trial.  They were fired after Warren wrote a letter to a member of the Desoto Parish Police Jury (they </w:t>
      </w:r>
      <w:proofErr w:type="gramStart"/>
      <w:r w:rsidRPr="009F1927">
        <w:rPr>
          <w:rFonts w:ascii="Times New Roman" w:hAnsi="Times New Roman"/>
          <w:sz w:val="24"/>
          <w:szCs w:val="24"/>
        </w:rPr>
        <w:t>appoint</w:t>
      </w:r>
      <w:proofErr w:type="gramEnd"/>
      <w:r w:rsidRPr="009F1927">
        <w:rPr>
          <w:rFonts w:ascii="Times New Roman" w:hAnsi="Times New Roman"/>
          <w:sz w:val="24"/>
          <w:szCs w:val="24"/>
        </w:rPr>
        <w:t xml:space="preserve"> the Board of Commissioners of the Desoto Parish EMS).   The Judge ruled:</w:t>
      </w:r>
    </w:p>
    <w:p w14:paraId="0B96C184" w14:textId="1B270064" w:rsidR="00F326E5" w:rsidRPr="009F1927" w:rsidRDefault="00F326E5" w:rsidP="009F1927">
      <w:pPr>
        <w:ind w:left="720"/>
        <w:rPr>
          <w:rFonts w:ascii="Times New Roman" w:hAnsi="Times New Roman"/>
          <w:sz w:val="24"/>
          <w:szCs w:val="24"/>
        </w:rPr>
      </w:pPr>
      <w:r w:rsidRPr="009F1927">
        <w:rPr>
          <w:rFonts w:ascii="Times New Roman" w:hAnsi="Times New Roman"/>
          <w:sz w:val="24"/>
          <w:szCs w:val="24"/>
        </w:rPr>
        <w:t xml:space="preserve">“The motion [to dismiss] is DENIED as to Warren’s free speech claim because the facts alleged establish that his letter was protected speech.”  </w:t>
      </w:r>
      <w:hyperlink r:id="rId1295" w:history="1">
        <w:r w:rsidRPr="009F1927">
          <w:rPr>
            <w:rStyle w:val="Hyperlink"/>
            <w:rFonts w:ascii="Times New Roman" w:hAnsi="Times New Roman"/>
            <w:sz w:val="24"/>
            <w:szCs w:val="24"/>
          </w:rPr>
          <w:t>https://cases.justia.com/federal/district-courts/louisiana/lawdce/5:2018cv00034/160852/18/0.pdf?ts=1532079100</w:t>
        </w:r>
      </w:hyperlink>
    </w:p>
    <w:p w14:paraId="318AA611" w14:textId="77777777" w:rsidR="00F326E5" w:rsidRPr="009F1927" w:rsidRDefault="00F326E5" w:rsidP="00F326E5">
      <w:pPr>
        <w:rPr>
          <w:rFonts w:ascii="Times New Roman" w:hAnsi="Times New Roman"/>
          <w:b/>
          <w:sz w:val="24"/>
          <w:szCs w:val="24"/>
        </w:rPr>
      </w:pPr>
      <w:r w:rsidRPr="009F1927">
        <w:rPr>
          <w:rFonts w:ascii="Times New Roman" w:hAnsi="Times New Roman"/>
          <w:b/>
          <w:sz w:val="24"/>
          <w:szCs w:val="24"/>
        </w:rPr>
        <w:t xml:space="preserve">Legal Lessons Learned: First Amendment free speech cases are </w:t>
      </w:r>
      <w:proofErr w:type="gramStart"/>
      <w:r w:rsidRPr="009F1927">
        <w:rPr>
          <w:rFonts w:ascii="Times New Roman" w:hAnsi="Times New Roman"/>
          <w:b/>
          <w:sz w:val="24"/>
          <w:szCs w:val="24"/>
        </w:rPr>
        <w:t>increasing</w:t>
      </w:r>
      <w:proofErr w:type="gramEnd"/>
      <w:r w:rsidRPr="009F1927">
        <w:rPr>
          <w:rFonts w:ascii="Times New Roman" w:hAnsi="Times New Roman"/>
          <w:b/>
          <w:sz w:val="24"/>
          <w:szCs w:val="24"/>
        </w:rPr>
        <w:t xml:space="preserve"> </w:t>
      </w:r>
      <w:proofErr w:type="gramStart"/>
      <w:r w:rsidRPr="009F1927">
        <w:rPr>
          <w:rFonts w:ascii="Times New Roman" w:hAnsi="Times New Roman"/>
          <w:b/>
          <w:sz w:val="24"/>
          <w:szCs w:val="24"/>
        </w:rPr>
        <w:t>being permitted</w:t>
      </w:r>
      <w:proofErr w:type="gramEnd"/>
      <w:r w:rsidRPr="009F1927">
        <w:rPr>
          <w:rFonts w:ascii="Times New Roman" w:hAnsi="Times New Roman"/>
          <w:b/>
          <w:sz w:val="24"/>
          <w:szCs w:val="24"/>
        </w:rPr>
        <w:t xml:space="preserve"> to go to the jury.  Fire &amp; EMS Departments should thoroughly document reasons for termination, including employees who serve “at will.”</w:t>
      </w:r>
    </w:p>
    <w:bookmarkEnd w:id="268"/>
    <w:p w14:paraId="2F11AE19" w14:textId="77777777" w:rsidR="00F326E5" w:rsidRPr="0002048B" w:rsidRDefault="00F326E5" w:rsidP="00F326E5">
      <w:pPr>
        <w:pStyle w:val="NoSpacing"/>
        <w:rPr>
          <w:b/>
          <w:sz w:val="24"/>
          <w:szCs w:val="24"/>
        </w:rPr>
      </w:pPr>
      <w:r>
        <w:rPr>
          <w:b/>
          <w:sz w:val="24"/>
          <w:szCs w:val="24"/>
        </w:rPr>
        <w:t xml:space="preserve"> </w:t>
      </w:r>
    </w:p>
    <w:p w14:paraId="27F63C96" w14:textId="5DB5F1BD" w:rsidR="00EF1133" w:rsidRDefault="00EF1133" w:rsidP="00EF1133">
      <w:pPr>
        <w:rPr>
          <w:rFonts w:ascii="Arial Black" w:hAnsi="Arial Black"/>
          <w:b/>
          <w:sz w:val="24"/>
          <w:szCs w:val="24"/>
        </w:rPr>
      </w:pPr>
      <w:r>
        <w:rPr>
          <w:rFonts w:ascii="Arial Black" w:hAnsi="Arial Black"/>
          <w:b/>
          <w:sz w:val="24"/>
          <w:szCs w:val="24"/>
        </w:rPr>
        <w:t>6-7</w:t>
      </w:r>
    </w:p>
    <w:p w14:paraId="37E32AA7" w14:textId="08E6730E" w:rsidR="00F326E5" w:rsidRPr="009F1927" w:rsidRDefault="00F326E5" w:rsidP="00F326E5">
      <w:pPr>
        <w:pStyle w:val="NoSpacing"/>
        <w:rPr>
          <w:rFonts w:ascii="Times New Roman" w:hAnsi="Times New Roman"/>
          <w:sz w:val="24"/>
          <w:szCs w:val="24"/>
        </w:rPr>
      </w:pPr>
      <w:bookmarkStart w:id="269" w:name="_Hlk7343500"/>
      <w:r w:rsidRPr="008A5B80">
        <w:rPr>
          <w:rFonts w:ascii="Arial Black" w:hAnsi="Arial Black"/>
          <w:b/>
          <w:sz w:val="28"/>
          <w:szCs w:val="28"/>
        </w:rPr>
        <w:t xml:space="preserve">WY:  </w:t>
      </w:r>
      <w:r>
        <w:rPr>
          <w:rFonts w:ascii="Arial Black" w:hAnsi="Arial Black"/>
          <w:b/>
          <w:sz w:val="28"/>
          <w:szCs w:val="28"/>
        </w:rPr>
        <w:t xml:space="preserve">VOLUNTEER FIREFIGHTERS MAY BE IN UNION – STATE STATUTE </w:t>
      </w:r>
      <w:r w:rsidRPr="009F1927">
        <w:rPr>
          <w:rFonts w:ascii="Times New Roman" w:hAnsi="Times New Roman"/>
          <w:sz w:val="24"/>
          <w:szCs w:val="24"/>
        </w:rPr>
        <w:t>[also filed, Chap. 18]</w:t>
      </w:r>
    </w:p>
    <w:p w14:paraId="20E81FA9" w14:textId="4876AB86" w:rsidR="00F326E5" w:rsidRDefault="00F326E5" w:rsidP="00F326E5">
      <w:pPr>
        <w:pStyle w:val="NoSpacing"/>
        <w:rPr>
          <w:rFonts w:ascii="Times New Roman" w:hAnsi="Times New Roman"/>
          <w:bCs/>
          <w:sz w:val="24"/>
          <w:szCs w:val="24"/>
        </w:rPr>
      </w:pPr>
      <w:r w:rsidRPr="009F1927">
        <w:rPr>
          <w:rFonts w:ascii="Times New Roman" w:hAnsi="Times New Roman"/>
          <w:bCs/>
          <w:sz w:val="24"/>
          <w:szCs w:val="24"/>
        </w:rPr>
        <w:t xml:space="preserve">On July 6, 2018, in </w:t>
      </w:r>
      <w:r w:rsidRPr="009F1927">
        <w:rPr>
          <w:rFonts w:ascii="Times New Roman" w:hAnsi="Times New Roman"/>
          <w:bCs/>
          <w:sz w:val="24"/>
          <w:szCs w:val="24"/>
          <w:u w:val="single"/>
        </w:rPr>
        <w:t>IAFF Local 5058 v. Gillette / Wright / Campbell County Fire Protection Joint Powers Board, and IAFF Local 5067 v. Teton County and Town of Jackson</w:t>
      </w:r>
      <w:r w:rsidRPr="009F1927">
        <w:rPr>
          <w:rFonts w:ascii="Times New Roman" w:hAnsi="Times New Roman"/>
          <w:bCs/>
          <w:sz w:val="24"/>
          <w:szCs w:val="24"/>
        </w:rPr>
        <w:t xml:space="preserve">, the Wyoming Supreme Court held (5 to 0) that the two new unions were not properly elected, and the Fire Districts did not need to negotiate collective bargaining agreements, because the “volunteer” and “pool” firefighters all receive pay for making runs.  </w:t>
      </w:r>
    </w:p>
    <w:p w14:paraId="0B9F17DD" w14:textId="77777777" w:rsidR="009F1927" w:rsidRPr="009F1927" w:rsidRDefault="009F1927" w:rsidP="00F326E5">
      <w:pPr>
        <w:pStyle w:val="NoSpacing"/>
        <w:rPr>
          <w:rFonts w:ascii="Times New Roman" w:hAnsi="Times New Roman"/>
          <w:bCs/>
          <w:sz w:val="24"/>
          <w:szCs w:val="24"/>
        </w:rPr>
      </w:pPr>
    </w:p>
    <w:p w14:paraId="04136BD1" w14:textId="77777777" w:rsidR="00F326E5" w:rsidRPr="009F1927" w:rsidRDefault="00F326E5" w:rsidP="00F326E5">
      <w:pPr>
        <w:ind w:left="720"/>
        <w:rPr>
          <w:rFonts w:ascii="Times New Roman" w:hAnsi="Times New Roman"/>
          <w:bCs/>
          <w:sz w:val="24"/>
          <w:szCs w:val="24"/>
        </w:rPr>
      </w:pPr>
      <w:r w:rsidRPr="009F1927">
        <w:rPr>
          <w:rFonts w:ascii="Times New Roman" w:eastAsia="Times New Roman" w:hAnsi="Times New Roman"/>
          <w:sz w:val="24"/>
          <w:szCs w:val="24"/>
        </w:rPr>
        <w:t xml:space="preserve">“The district courts in both cases held that the Wyoming Collective Bargaining for Fire Fighters Act’s definition of ‘fire fighters’ includes volunteers because they are ‘paid members of . . . regularly constituted fire department[s].’ Consequently, the district courts concluded that IAFF Local 5058 and IAFF Local 5067, which were formed by and consist of only full-time, career fire fighters, were not properly constituted bargaining units under the Act. We affirm. </w:t>
      </w:r>
      <w:hyperlink r:id="rId1296" w:history="1">
        <w:r w:rsidRPr="009F1927">
          <w:rPr>
            <w:rStyle w:val="Hyperlink"/>
            <w:rFonts w:ascii="Times New Roman" w:hAnsi="Times New Roman"/>
            <w:sz w:val="24"/>
            <w:szCs w:val="24"/>
          </w:rPr>
          <w:t>https://services.courts.state.wy.us/Documents/Opinions/2018WY75.pdf</w:t>
        </w:r>
      </w:hyperlink>
      <w:r w:rsidRPr="009F1927">
        <w:rPr>
          <w:rFonts w:ascii="Times New Roman" w:hAnsi="Times New Roman"/>
          <w:bCs/>
          <w:sz w:val="24"/>
          <w:szCs w:val="24"/>
        </w:rPr>
        <w:t xml:space="preserve"> </w:t>
      </w:r>
    </w:p>
    <w:p w14:paraId="781BE719" w14:textId="77777777" w:rsidR="00F326E5" w:rsidRPr="009F1927" w:rsidRDefault="00F326E5" w:rsidP="00F326E5">
      <w:pPr>
        <w:rPr>
          <w:rFonts w:ascii="Times New Roman" w:hAnsi="Times New Roman"/>
          <w:b/>
          <w:sz w:val="24"/>
          <w:szCs w:val="24"/>
        </w:rPr>
      </w:pPr>
      <w:r w:rsidRPr="009F1927">
        <w:rPr>
          <w:rFonts w:ascii="Times New Roman" w:hAnsi="Times New Roman"/>
          <w:b/>
          <w:sz w:val="24"/>
          <w:szCs w:val="24"/>
        </w:rPr>
        <w:t>Legal Lessons Learned:  Drafting of legislative language is very important, along with creating a clear “legislative history” to avoid any question about whether volunteer and part-time firefighters can be covered in a collective bargaining agreement.</w:t>
      </w:r>
    </w:p>
    <w:bookmarkEnd w:id="269"/>
    <w:p w14:paraId="617D906F" w14:textId="77777777" w:rsidR="00F326E5" w:rsidRDefault="00F326E5" w:rsidP="00F326E5">
      <w:pPr>
        <w:pStyle w:val="NoSpacing"/>
        <w:rPr>
          <w:rFonts w:eastAsia="Times New Roman"/>
          <w:sz w:val="24"/>
          <w:szCs w:val="24"/>
        </w:rPr>
      </w:pPr>
    </w:p>
    <w:p w14:paraId="291AD0F6" w14:textId="77777777" w:rsidR="00F326E5" w:rsidRDefault="00F326E5" w:rsidP="00F326E5">
      <w:pPr>
        <w:pStyle w:val="NoSpacing"/>
        <w:rPr>
          <w:rFonts w:eastAsia="Times New Roman"/>
          <w:sz w:val="24"/>
          <w:szCs w:val="24"/>
        </w:rPr>
      </w:pPr>
    </w:p>
    <w:p w14:paraId="75A9B025" w14:textId="77777777" w:rsidR="00EF1133" w:rsidRDefault="00EF1133" w:rsidP="00F326E5">
      <w:pPr>
        <w:pStyle w:val="NoSpacing"/>
        <w:rPr>
          <w:rFonts w:ascii="Arial Black" w:eastAsia="Times New Roman" w:hAnsi="Arial Black"/>
          <w:sz w:val="28"/>
          <w:szCs w:val="28"/>
        </w:rPr>
      </w:pPr>
      <w:bookmarkStart w:id="270" w:name="_Hlk7343549"/>
    </w:p>
    <w:p w14:paraId="50DA2D35" w14:textId="47C692B0" w:rsidR="00EF1133" w:rsidRDefault="00EF1133" w:rsidP="00EF1133">
      <w:pPr>
        <w:rPr>
          <w:rFonts w:ascii="Arial Black" w:eastAsia="Times New Roman" w:hAnsi="Arial Black"/>
          <w:sz w:val="28"/>
          <w:szCs w:val="28"/>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6</w:t>
      </w:r>
    </w:p>
    <w:p w14:paraId="04CF30A8" w14:textId="48932AB5" w:rsidR="00F326E5" w:rsidRPr="008A5B80" w:rsidRDefault="00F326E5" w:rsidP="00F326E5">
      <w:pPr>
        <w:pStyle w:val="NoSpacing"/>
        <w:rPr>
          <w:rFonts w:ascii="Arial Black" w:eastAsia="Times New Roman" w:hAnsi="Arial Black"/>
          <w:sz w:val="28"/>
          <w:szCs w:val="28"/>
        </w:rPr>
      </w:pPr>
      <w:r w:rsidRPr="008A5B80">
        <w:rPr>
          <w:rFonts w:ascii="Arial Black" w:eastAsia="Times New Roman" w:hAnsi="Arial Black"/>
          <w:sz w:val="28"/>
          <w:szCs w:val="28"/>
        </w:rPr>
        <w:t>NJ: BOROUGH CANNOT ENFORCE $5,000 PENALTY – PROB</w:t>
      </w:r>
      <w:r>
        <w:rPr>
          <w:rFonts w:ascii="Arial Black" w:eastAsia="Times New Roman" w:hAnsi="Arial Black"/>
          <w:sz w:val="28"/>
          <w:szCs w:val="28"/>
        </w:rPr>
        <w:t xml:space="preserve">. POLICE OFFICER </w:t>
      </w:r>
      <w:r w:rsidRPr="008A5B80">
        <w:rPr>
          <w:rFonts w:ascii="Arial Black" w:eastAsia="Times New Roman" w:hAnsi="Arial Black"/>
          <w:sz w:val="28"/>
          <w:szCs w:val="28"/>
        </w:rPr>
        <w:t xml:space="preserve">JOINS ANOTHER PD </w:t>
      </w:r>
    </w:p>
    <w:p w14:paraId="445E9BAE" w14:textId="77777777" w:rsidR="009F1927" w:rsidRDefault="00F326E5" w:rsidP="00F326E5">
      <w:pPr>
        <w:pStyle w:val="NoSpacing"/>
        <w:rPr>
          <w:rFonts w:ascii="Times New Roman" w:eastAsia="Times New Roman" w:hAnsi="Times New Roman"/>
          <w:sz w:val="24"/>
          <w:szCs w:val="24"/>
        </w:rPr>
      </w:pPr>
      <w:r w:rsidRPr="009F1927">
        <w:rPr>
          <w:rFonts w:ascii="Times New Roman" w:eastAsia="Times New Roman" w:hAnsi="Times New Roman"/>
          <w:sz w:val="24"/>
          <w:szCs w:val="24"/>
        </w:rPr>
        <w:t xml:space="preserve">On June 21, 2018, in </w:t>
      </w:r>
      <w:r w:rsidRPr="009F1927">
        <w:rPr>
          <w:rFonts w:ascii="Times New Roman" w:eastAsia="Times New Roman" w:hAnsi="Times New Roman"/>
          <w:sz w:val="24"/>
          <w:szCs w:val="24"/>
          <w:u w:val="single"/>
        </w:rPr>
        <w:t>Borough of Madison v. Kevin Marhefka</w:t>
      </w:r>
      <w:r w:rsidRPr="009F1927">
        <w:rPr>
          <w:rFonts w:ascii="Times New Roman" w:eastAsia="Times New Roman" w:hAnsi="Times New Roman"/>
          <w:sz w:val="24"/>
          <w:szCs w:val="24"/>
        </w:rPr>
        <w:t xml:space="preserve">, the Superior Court of New Jersey / Appellate Division (2 to 0) held </w:t>
      </w:r>
    </w:p>
    <w:p w14:paraId="1B8A54DB" w14:textId="545B0F16" w:rsidR="00F326E5" w:rsidRPr="009F1927" w:rsidRDefault="00F326E5" w:rsidP="009F1927">
      <w:pPr>
        <w:pStyle w:val="NoSpacing"/>
        <w:ind w:left="720"/>
        <w:rPr>
          <w:rFonts w:ascii="Times New Roman" w:eastAsia="Times New Roman" w:hAnsi="Times New Roman"/>
          <w:sz w:val="24"/>
          <w:szCs w:val="24"/>
        </w:rPr>
      </w:pPr>
      <w:r w:rsidRPr="009F1927">
        <w:rPr>
          <w:rFonts w:ascii="Times New Roman" w:eastAsia="Times New Roman" w:hAnsi="Times New Roman"/>
          <w:sz w:val="24"/>
          <w:szCs w:val="24"/>
        </w:rPr>
        <w:t xml:space="preserve">“As the Borough's complaint sought only to collect that unenforceable $5000 penalty, the complaint was properly dismissed with prejudice regardless of whether the penalty was negotiated with the PBA.” </w:t>
      </w:r>
      <w:hyperlink r:id="rId1297" w:history="1">
        <w:r w:rsidRPr="009F1927">
          <w:rPr>
            <w:rStyle w:val="Hyperlink"/>
            <w:rFonts w:ascii="Times New Roman" w:hAnsi="Times New Roman"/>
            <w:sz w:val="24"/>
            <w:szCs w:val="24"/>
          </w:rPr>
          <w:t>https://www.njcourts.gov/attorneys/assets/opinions/appellate/unpublished/a5206-15.pdf?cacheID=tO9Al6f</w:t>
        </w:r>
      </w:hyperlink>
      <w:r w:rsidRPr="009F1927">
        <w:rPr>
          <w:rFonts w:ascii="Times New Roman" w:eastAsia="Times New Roman" w:hAnsi="Times New Roman"/>
          <w:sz w:val="24"/>
          <w:szCs w:val="24"/>
        </w:rPr>
        <w:t xml:space="preserve"> </w:t>
      </w:r>
    </w:p>
    <w:p w14:paraId="4644B185" w14:textId="77777777" w:rsidR="009F1927" w:rsidRDefault="009F1927" w:rsidP="00F326E5">
      <w:pPr>
        <w:rPr>
          <w:rFonts w:ascii="Times New Roman" w:eastAsia="Times New Roman" w:hAnsi="Times New Roman"/>
          <w:b/>
          <w:sz w:val="24"/>
          <w:szCs w:val="24"/>
        </w:rPr>
      </w:pPr>
    </w:p>
    <w:p w14:paraId="24E61566" w14:textId="6426F9A9"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Legal Lessons Learned: Penalties for resigning to take a new job are often challenged, and difficult to enforce, as compared to reimbursement for training costs and equipment. Some states impose training costs on the new public employer, such as NJ (2013 statute).</w:t>
      </w:r>
    </w:p>
    <w:p w14:paraId="29CFBA9B" w14:textId="77777777" w:rsidR="00F326E5" w:rsidRPr="00776A71" w:rsidRDefault="00F326E5" w:rsidP="00F326E5">
      <w:pPr>
        <w:pStyle w:val="NormalWeb"/>
        <w:ind w:firstLine="720"/>
        <w:rPr>
          <w:bCs/>
        </w:rPr>
      </w:pPr>
      <w:hyperlink r:id="rId1298" w:history="1">
        <w:r w:rsidRPr="00776A71">
          <w:rPr>
            <w:rStyle w:val="Hyperlink"/>
          </w:rPr>
          <w:t>https://law.justia.com/codes/new-jersey/2013/title-40a/section-40a-14-178/</w:t>
        </w:r>
      </w:hyperlink>
      <w:r w:rsidRPr="00776A71">
        <w:rPr>
          <w:bCs/>
        </w:rPr>
        <w:t xml:space="preserve"> </w:t>
      </w:r>
    </w:p>
    <w:p w14:paraId="213689E7" w14:textId="77777777" w:rsidR="00F326E5" w:rsidRPr="00776A71" w:rsidRDefault="00F326E5" w:rsidP="00F326E5">
      <w:pPr>
        <w:pStyle w:val="NormalWeb"/>
        <w:ind w:left="720"/>
        <w:rPr>
          <w:bCs/>
        </w:rPr>
      </w:pPr>
      <w:r w:rsidRPr="00776A71">
        <w:rPr>
          <w:bCs/>
        </w:rPr>
        <w:t>40A:14-178 Liability for training costs; terms defined.</w:t>
      </w:r>
      <w:r w:rsidRPr="00776A71">
        <w:br/>
      </w:r>
      <w:r w:rsidRPr="00776A71">
        <w:br/>
        <w:t>1. a. Whenever a person who resigned as a member of a county or municipal law enforcement agency is appointed to another county or municipal law enforcement agency, the police department of an educational institution pursuant to P.L.1970, c.211 (C.18A:6-4.2 et seq.), a State law enforcement agency or the New Jersey Transit Police Department pursuant to section 2 of P.L.1989, c.291 (C.27:25-15.1) within 120 days of resignation, and that person held a probationary appointment at the time of resignation or held a permanent appointment for 30 days or less prior to resignation, the county or municipal law enforcement agency, educational institution or State law enforcement agency appointing the person, or the New Jersey Transit Corporation, is liable to the former county or municipal employer, as appropriate, for the total certified costs incurred by the former employer in the examination, hiring, and training of the person.</w:t>
      </w:r>
    </w:p>
    <w:bookmarkEnd w:id="270"/>
    <w:p w14:paraId="00832108" w14:textId="77777777" w:rsidR="005353F2" w:rsidRDefault="005353F2" w:rsidP="00F326E5">
      <w:pPr>
        <w:pStyle w:val="NoSpacing"/>
        <w:rPr>
          <w:sz w:val="24"/>
          <w:szCs w:val="24"/>
        </w:rPr>
      </w:pPr>
    </w:p>
    <w:p w14:paraId="587B0A56" w14:textId="77777777" w:rsidR="00F27CD5" w:rsidRDefault="00F27CD5" w:rsidP="00EF1133">
      <w:pPr>
        <w:rPr>
          <w:rFonts w:ascii="Arial Black" w:hAnsi="Arial Black"/>
          <w:b/>
          <w:sz w:val="24"/>
          <w:szCs w:val="24"/>
        </w:rPr>
      </w:pPr>
    </w:p>
    <w:p w14:paraId="54B7D71C" w14:textId="36AAFB64" w:rsidR="005353F2" w:rsidRDefault="00EF1133" w:rsidP="00EF1133">
      <w:pPr>
        <w:rPr>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5</w:t>
      </w:r>
    </w:p>
    <w:p w14:paraId="20F0DA8E" w14:textId="77777777" w:rsidR="005353F2" w:rsidRDefault="005353F2" w:rsidP="00F326E5">
      <w:pPr>
        <w:pStyle w:val="NoSpacing"/>
        <w:rPr>
          <w:sz w:val="24"/>
          <w:szCs w:val="24"/>
        </w:rPr>
      </w:pPr>
    </w:p>
    <w:p w14:paraId="4455223C" w14:textId="1025DB87" w:rsidR="00F326E5" w:rsidRDefault="00F326E5" w:rsidP="00F326E5">
      <w:pPr>
        <w:pStyle w:val="NoSpacing"/>
        <w:rPr>
          <w:rFonts w:ascii="Arial Black" w:hAnsi="Arial Black"/>
          <w:b/>
          <w:sz w:val="28"/>
          <w:szCs w:val="28"/>
        </w:rPr>
      </w:pPr>
      <w:bookmarkStart w:id="271" w:name="_Hlk7343575"/>
      <w:r w:rsidRPr="009C2749">
        <w:rPr>
          <w:rFonts w:ascii="Arial Black" w:hAnsi="Arial Black"/>
          <w:b/>
          <w:sz w:val="28"/>
          <w:szCs w:val="28"/>
        </w:rPr>
        <w:t>VA</w:t>
      </w:r>
      <w:r>
        <w:rPr>
          <w:rFonts w:ascii="Arial Black" w:hAnsi="Arial Black"/>
          <w:b/>
          <w:sz w:val="28"/>
          <w:szCs w:val="28"/>
        </w:rPr>
        <w:t xml:space="preserve">: THROAT CANCER – RETIRED FF GETS WORKERS COMP – BUT NOT HEALTH INSURANCE </w:t>
      </w:r>
    </w:p>
    <w:p w14:paraId="0BFC0DE7" w14:textId="757E1C74" w:rsidR="00F326E5" w:rsidRPr="009F1927" w:rsidRDefault="00F326E5" w:rsidP="00F326E5">
      <w:pPr>
        <w:rPr>
          <w:rStyle w:val="Hyperlink"/>
          <w:rFonts w:ascii="Times New Roman" w:hAnsi="Times New Roman"/>
          <w:sz w:val="24"/>
          <w:szCs w:val="24"/>
        </w:rPr>
      </w:pPr>
      <w:r w:rsidRPr="009F1927">
        <w:rPr>
          <w:rFonts w:ascii="Times New Roman" w:eastAsia="Times New Roman" w:hAnsi="Times New Roman"/>
          <w:sz w:val="24"/>
          <w:szCs w:val="24"/>
        </w:rPr>
        <w:t xml:space="preserve">On June 7, 2018, in </w:t>
      </w:r>
      <w:r w:rsidRPr="009F1927">
        <w:rPr>
          <w:rFonts w:ascii="Times New Roman" w:eastAsia="Times New Roman" w:hAnsi="Times New Roman"/>
          <w:sz w:val="24"/>
          <w:szCs w:val="24"/>
          <w:u w:val="single"/>
        </w:rPr>
        <w:t>Eddie R. Jones, Sr. v. Commonwealth of Virginia</w:t>
      </w:r>
      <w:r w:rsidRPr="009F1927">
        <w:rPr>
          <w:rFonts w:ascii="Times New Roman" w:eastAsia="Times New Roman" w:hAnsi="Times New Roman"/>
          <w:sz w:val="24"/>
          <w:szCs w:val="24"/>
        </w:rPr>
        <w:t xml:space="preserve">, the VA Supreme Court (7 to 0) held: “Throat cancer is properly considered an occupational disease which arose out of Jones’s employment. He is entitled to and has been awarded benefits under the Workers’ Compensation Act. However, the occupational disease did not result in a disability while Jones was still carrying out his duties as a firefighter. Therefore, he is not entitled to insurance benefits under Code § 9.1-401(B), because he does not meet the definition of a ‘disabled person’ under the Act.”   </w:t>
      </w:r>
      <w:r w:rsidRPr="009F1927">
        <w:rPr>
          <w:rStyle w:val="Hyperlink"/>
          <w:rFonts w:ascii="Times New Roman" w:hAnsi="Times New Roman"/>
          <w:sz w:val="24"/>
          <w:szCs w:val="24"/>
        </w:rPr>
        <w:t>http://www.courts.state.va.us/opinions/opnscvwp/1170639.pdf</w:t>
      </w:r>
    </w:p>
    <w:p w14:paraId="5FAE139C" w14:textId="77777777"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 xml:space="preserve">Legal Lessons Learned: At least 34 states have now enacted statutory presumptions, with wide variety of coverages.  This case illustrates the importance of clear statutory language about disability benefits when cancer is detected after retirement. </w:t>
      </w:r>
    </w:p>
    <w:p w14:paraId="34332675" w14:textId="77777777" w:rsidR="00F326E5" w:rsidRPr="009F1927" w:rsidRDefault="00F326E5" w:rsidP="00F326E5">
      <w:pPr>
        <w:ind w:firstLine="720"/>
        <w:rPr>
          <w:rFonts w:ascii="Times New Roman" w:eastAsia="Times New Roman" w:hAnsi="Times New Roman"/>
          <w:sz w:val="24"/>
          <w:szCs w:val="24"/>
        </w:rPr>
      </w:pPr>
      <w:r w:rsidRPr="009F1927">
        <w:rPr>
          <w:rFonts w:ascii="Times New Roman" w:eastAsia="Times New Roman" w:hAnsi="Times New Roman"/>
          <w:sz w:val="24"/>
          <w:szCs w:val="24"/>
        </w:rPr>
        <w:t xml:space="preserve">See these resources: </w:t>
      </w:r>
    </w:p>
    <w:p w14:paraId="295727BA" w14:textId="77777777" w:rsidR="00F326E5" w:rsidRPr="009F1927" w:rsidRDefault="00F326E5" w:rsidP="00F326E5">
      <w:pPr>
        <w:ind w:firstLine="720"/>
        <w:rPr>
          <w:rStyle w:val="Hyperlink"/>
          <w:rFonts w:ascii="Times New Roman" w:hAnsi="Times New Roman"/>
          <w:sz w:val="24"/>
          <w:szCs w:val="24"/>
        </w:rPr>
      </w:pPr>
      <w:hyperlink r:id="rId1299" w:anchor="contentid=48598" w:history="1">
        <w:r w:rsidRPr="009F1927">
          <w:rPr>
            <w:rStyle w:val="Hyperlink"/>
            <w:rFonts w:ascii="Times New Roman" w:hAnsi="Times New Roman"/>
            <w:sz w:val="24"/>
            <w:szCs w:val="24"/>
          </w:rPr>
          <w:t>http://client.prod.iaff.org/#contentid=48598</w:t>
        </w:r>
      </w:hyperlink>
      <w:r w:rsidRPr="009F1927">
        <w:rPr>
          <w:rStyle w:val="Hyperlink"/>
          <w:rFonts w:ascii="Times New Roman" w:hAnsi="Times New Roman"/>
          <w:sz w:val="24"/>
          <w:szCs w:val="24"/>
        </w:rPr>
        <w:t>;</w:t>
      </w:r>
    </w:p>
    <w:p w14:paraId="0F9BE084" w14:textId="77777777" w:rsidR="00F326E5" w:rsidRPr="009F1927" w:rsidRDefault="00F326E5" w:rsidP="00F326E5">
      <w:pPr>
        <w:ind w:left="720"/>
        <w:rPr>
          <w:rFonts w:ascii="Times New Roman" w:eastAsia="Times New Roman" w:hAnsi="Times New Roman"/>
          <w:sz w:val="24"/>
          <w:szCs w:val="24"/>
        </w:rPr>
      </w:pPr>
      <w:hyperlink r:id="rId1300" w:history="1">
        <w:r w:rsidRPr="009F1927">
          <w:rPr>
            <w:rStyle w:val="Hyperlink"/>
            <w:rFonts w:ascii="Times New Roman" w:hAnsi="Times New Roman"/>
            <w:sz w:val="24"/>
            <w:szCs w:val="24"/>
          </w:rPr>
          <w:t>https://legislature.vermont.gov/assets/Documents/2018/WorkGroups/House%20Commerce/Bills/H.197/H.197~Laura%20Backus%20Hall~NCCI%20White%20Paper%20on%20Firefighter%20Presumptive%20Coverage~3-16-2017.pdf</w:t>
        </w:r>
      </w:hyperlink>
      <w:r w:rsidRPr="009F1927">
        <w:rPr>
          <w:rFonts w:ascii="Times New Roman" w:eastAsia="Times New Roman" w:hAnsi="Times New Roman"/>
          <w:sz w:val="24"/>
          <w:szCs w:val="24"/>
        </w:rPr>
        <w:t xml:space="preserve"> </w:t>
      </w:r>
    </w:p>
    <w:p w14:paraId="6A00E88A" w14:textId="77777777" w:rsidR="00F326E5" w:rsidRPr="009F1927" w:rsidRDefault="00F326E5" w:rsidP="00F326E5">
      <w:pPr>
        <w:ind w:firstLine="720"/>
        <w:rPr>
          <w:rFonts w:ascii="Times New Roman" w:eastAsia="Times New Roman" w:hAnsi="Times New Roman"/>
          <w:sz w:val="24"/>
          <w:szCs w:val="24"/>
        </w:rPr>
      </w:pPr>
      <w:hyperlink r:id="rId1301" w:history="1">
        <w:r w:rsidRPr="009F1927">
          <w:rPr>
            <w:rStyle w:val="Hyperlink"/>
            <w:rFonts w:ascii="Times New Roman" w:hAnsi="Times New Roman"/>
            <w:sz w:val="24"/>
            <w:szCs w:val="24"/>
          </w:rPr>
          <w:t>http://tkolb.net/firereports/presumptionreport2009.pdf</w:t>
        </w:r>
      </w:hyperlink>
      <w:r w:rsidRPr="009F1927">
        <w:rPr>
          <w:rFonts w:ascii="Times New Roman" w:eastAsia="Times New Roman" w:hAnsi="Times New Roman"/>
          <w:sz w:val="24"/>
          <w:szCs w:val="24"/>
        </w:rPr>
        <w:t xml:space="preserve"> </w:t>
      </w:r>
    </w:p>
    <w:p w14:paraId="3FE5E600" w14:textId="77777777" w:rsidR="00F326E5" w:rsidRPr="009F2867" w:rsidRDefault="00F326E5" w:rsidP="00F326E5">
      <w:pPr>
        <w:ind w:left="720"/>
        <w:rPr>
          <w:rFonts w:eastAsia="Times New Roman"/>
          <w:sz w:val="24"/>
          <w:szCs w:val="24"/>
        </w:rPr>
      </w:pPr>
      <w:hyperlink r:id="rId1302" w:history="1">
        <w:r w:rsidRPr="009F2867">
          <w:rPr>
            <w:rStyle w:val="Hyperlink"/>
            <w:sz w:val="24"/>
            <w:szCs w:val="24"/>
          </w:rPr>
          <w:t>https://www.firstrespondercenter.org/cancer/toolsresources/presumptive-legislation-firefighter-cancer-state/</w:t>
        </w:r>
      </w:hyperlink>
      <w:r w:rsidRPr="009F2867">
        <w:rPr>
          <w:rFonts w:eastAsia="Times New Roman"/>
          <w:sz w:val="24"/>
          <w:szCs w:val="24"/>
        </w:rPr>
        <w:t xml:space="preserve"> </w:t>
      </w:r>
    </w:p>
    <w:bookmarkEnd w:id="271"/>
    <w:p w14:paraId="5B39C82D" w14:textId="77777777" w:rsidR="00EF1133" w:rsidRDefault="00EF1133" w:rsidP="00F326E5">
      <w:pPr>
        <w:rPr>
          <w:rFonts w:ascii="Arial Black" w:hAnsi="Arial Black"/>
          <w:b/>
          <w:sz w:val="24"/>
          <w:szCs w:val="24"/>
        </w:rPr>
      </w:pPr>
    </w:p>
    <w:p w14:paraId="71B56F1B" w14:textId="2833831D" w:rsidR="00F326E5" w:rsidRPr="00145CFB" w:rsidRDefault="00EF1133" w:rsidP="00F326E5">
      <w:pPr>
        <w:rPr>
          <w:rFonts w:eastAsia="Times New Roman"/>
          <w:b/>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4</w:t>
      </w:r>
    </w:p>
    <w:p w14:paraId="5874483B" w14:textId="1763902E" w:rsidR="00F326E5" w:rsidRPr="00512C93" w:rsidRDefault="00F326E5" w:rsidP="00F326E5">
      <w:pPr>
        <w:pStyle w:val="NoSpacing"/>
        <w:rPr>
          <w:rFonts w:ascii="Arial Black" w:hAnsi="Arial Black"/>
          <w:b/>
          <w:sz w:val="28"/>
          <w:szCs w:val="28"/>
        </w:rPr>
      </w:pPr>
      <w:bookmarkStart w:id="272" w:name="_Hlk7343609"/>
      <w:r w:rsidRPr="00512C93">
        <w:rPr>
          <w:rFonts w:ascii="Arial Black" w:hAnsi="Arial Black"/>
          <w:b/>
          <w:sz w:val="28"/>
          <w:szCs w:val="28"/>
        </w:rPr>
        <w:t>PA</w:t>
      </w:r>
      <w:r>
        <w:rPr>
          <w:rFonts w:ascii="Arial Black" w:hAnsi="Arial Black"/>
          <w:b/>
          <w:sz w:val="28"/>
          <w:szCs w:val="28"/>
        </w:rPr>
        <w:t xml:space="preserve">: </w:t>
      </w:r>
      <w:r w:rsidR="005353F2">
        <w:rPr>
          <w:rFonts w:ascii="Arial Black" w:hAnsi="Arial Black"/>
          <w:b/>
          <w:sz w:val="28"/>
          <w:szCs w:val="28"/>
        </w:rPr>
        <w:t xml:space="preserve">BREAST </w:t>
      </w:r>
      <w:r w:rsidRPr="00512C93">
        <w:rPr>
          <w:rFonts w:ascii="Arial Black" w:hAnsi="Arial Black"/>
          <w:b/>
          <w:sz w:val="28"/>
          <w:szCs w:val="28"/>
        </w:rPr>
        <w:t>C</w:t>
      </w:r>
      <w:r>
        <w:rPr>
          <w:rFonts w:ascii="Arial Black" w:hAnsi="Arial Black"/>
          <w:b/>
          <w:sz w:val="28"/>
          <w:szCs w:val="28"/>
        </w:rPr>
        <w:t>ANCER – RETIRED FF GETS MEDICAL COVERAGE BACK TO DATE OF RETIREMENT</w:t>
      </w:r>
    </w:p>
    <w:p w14:paraId="48A8ED2A" w14:textId="77777777" w:rsidR="009F1927" w:rsidRDefault="00F326E5" w:rsidP="00F326E5">
      <w:pPr>
        <w:rPr>
          <w:rFonts w:ascii="Times New Roman" w:eastAsia="Times New Roman" w:hAnsi="Times New Roman"/>
          <w:sz w:val="24"/>
          <w:szCs w:val="24"/>
        </w:rPr>
      </w:pPr>
      <w:r w:rsidRPr="009F1927">
        <w:rPr>
          <w:rFonts w:ascii="Times New Roman" w:eastAsia="Times New Roman" w:hAnsi="Times New Roman"/>
          <w:sz w:val="24"/>
          <w:szCs w:val="24"/>
        </w:rPr>
        <w:t xml:space="preserve">On June 1, 2018, in </w:t>
      </w:r>
      <w:r w:rsidRPr="009F1927">
        <w:rPr>
          <w:rFonts w:ascii="Times New Roman" w:eastAsia="Times New Roman" w:hAnsi="Times New Roman"/>
          <w:sz w:val="24"/>
          <w:szCs w:val="24"/>
          <w:u w:val="single"/>
        </w:rPr>
        <w:t>City of Pittsburg and UPMC Benefit Management Systems, Inv. v. Workers Compensation Appeal Board (Flaherty</w:t>
      </w:r>
      <w:r w:rsidRPr="009F1927">
        <w:rPr>
          <w:rFonts w:ascii="Times New Roman" w:eastAsia="Times New Roman" w:hAnsi="Times New Roman"/>
          <w:sz w:val="24"/>
          <w:szCs w:val="24"/>
        </w:rPr>
        <w:t xml:space="preserve">), the Commonwealth Court of Pennsylvania upheld (3 to 0) the Board, </w:t>
      </w:r>
    </w:p>
    <w:p w14:paraId="0003EF28" w14:textId="6F23BA24" w:rsidR="00F326E5" w:rsidRPr="009F1927" w:rsidRDefault="00F326E5" w:rsidP="009F1927">
      <w:pPr>
        <w:ind w:left="720"/>
        <w:rPr>
          <w:rFonts w:ascii="Times New Roman" w:hAnsi="Times New Roman"/>
          <w:sz w:val="24"/>
          <w:szCs w:val="24"/>
        </w:rPr>
      </w:pPr>
      <w:r w:rsidRPr="009F1927">
        <w:rPr>
          <w:rFonts w:ascii="Times New Roman" w:eastAsia="Times New Roman" w:hAnsi="Times New Roman"/>
          <w:sz w:val="24"/>
          <w:szCs w:val="24"/>
        </w:rPr>
        <w:t>“</w:t>
      </w:r>
      <w:proofErr w:type="gramStart"/>
      <w:r w:rsidRPr="009F1927">
        <w:rPr>
          <w:rFonts w:ascii="Times New Roman" w:hAnsi="Times New Roman"/>
          <w:sz w:val="24"/>
          <w:szCs w:val="24"/>
        </w:rPr>
        <w:t>holding</w:t>
      </w:r>
      <w:proofErr w:type="gramEnd"/>
      <w:r w:rsidRPr="009F1927">
        <w:rPr>
          <w:rFonts w:ascii="Times New Roman" w:hAnsi="Times New Roman"/>
          <w:sz w:val="24"/>
          <w:szCs w:val="24"/>
        </w:rPr>
        <w:t xml:space="preserve"> that Anne Marie Flaherty (Claimant) gave notice to Employer within 21 days of when she knew or should have known that her cancer was work-related. Because Claimant gave notice within 21 days, she was entitled to benefits from September 10, 2004, the date she left </w:t>
      </w:r>
      <w:proofErr w:type="gramStart"/>
      <w:r w:rsidRPr="009F1927">
        <w:rPr>
          <w:rFonts w:ascii="Times New Roman" w:hAnsi="Times New Roman"/>
          <w:sz w:val="24"/>
          <w:szCs w:val="24"/>
        </w:rPr>
        <w:t>work</w:t>
      </w:r>
      <w:proofErr w:type="gramEnd"/>
      <w:r w:rsidRPr="009F1927">
        <w:rPr>
          <w:rFonts w:ascii="Times New Roman" w:hAnsi="Times New Roman"/>
          <w:sz w:val="24"/>
          <w:szCs w:val="24"/>
        </w:rPr>
        <w:t xml:space="preserve"> due to her injury, as opposed to September 23, 2011, the date she filed her claim petition.” </w:t>
      </w:r>
      <w:hyperlink r:id="rId1303" w:history="1">
        <w:r w:rsidRPr="009F1927">
          <w:rPr>
            <w:rStyle w:val="Hyperlink"/>
            <w:rFonts w:ascii="Times New Roman" w:hAnsi="Times New Roman"/>
            <w:sz w:val="24"/>
            <w:szCs w:val="24"/>
          </w:rPr>
          <w:t>https://caselaw.findlaw.com/pa-commonwealth-court/1897108.html</w:t>
        </w:r>
      </w:hyperlink>
      <w:r w:rsidRPr="009F1927">
        <w:rPr>
          <w:rFonts w:ascii="Times New Roman" w:hAnsi="Times New Roman"/>
          <w:sz w:val="24"/>
          <w:szCs w:val="24"/>
        </w:rPr>
        <w:t xml:space="preserve"> </w:t>
      </w:r>
    </w:p>
    <w:p w14:paraId="31FA7E57" w14:textId="77777777" w:rsidR="00F326E5" w:rsidRPr="009F1927" w:rsidRDefault="00F326E5" w:rsidP="00F326E5">
      <w:pPr>
        <w:rPr>
          <w:rFonts w:ascii="Times New Roman" w:eastAsia="Times New Roman" w:hAnsi="Times New Roman"/>
          <w:b/>
          <w:sz w:val="24"/>
          <w:szCs w:val="24"/>
        </w:rPr>
      </w:pPr>
      <w:r w:rsidRPr="009F1927">
        <w:rPr>
          <w:rFonts w:ascii="Times New Roman" w:eastAsia="Times New Roman" w:hAnsi="Times New Roman"/>
          <w:b/>
          <w:sz w:val="24"/>
          <w:szCs w:val="24"/>
        </w:rPr>
        <w:t>Legal Lessons Learned:  Timely notice of claim is important, even with statutory presumption.</w:t>
      </w:r>
    </w:p>
    <w:bookmarkEnd w:id="272"/>
    <w:p w14:paraId="71CD9AE8" w14:textId="77777777" w:rsidR="00F326E5" w:rsidRPr="009F2867" w:rsidRDefault="00F326E5" w:rsidP="00F326E5">
      <w:pPr>
        <w:pStyle w:val="NoSpacing"/>
        <w:rPr>
          <w:rFonts w:ascii="Arial Black" w:hAnsi="Arial Black"/>
          <w:b/>
          <w:sz w:val="24"/>
          <w:szCs w:val="24"/>
        </w:rPr>
      </w:pPr>
    </w:p>
    <w:p w14:paraId="77BCB2FF" w14:textId="77777777" w:rsidR="00F326E5" w:rsidRPr="009F2867" w:rsidRDefault="00F326E5" w:rsidP="00F326E5">
      <w:pPr>
        <w:pStyle w:val="NoSpacing"/>
        <w:rPr>
          <w:b/>
          <w:sz w:val="24"/>
          <w:szCs w:val="24"/>
        </w:rPr>
      </w:pPr>
    </w:p>
    <w:p w14:paraId="18635B1C" w14:textId="77777777" w:rsidR="00F27CD5" w:rsidRDefault="00F27CD5" w:rsidP="00F326E5">
      <w:pPr>
        <w:rPr>
          <w:rFonts w:ascii="Arial Black" w:hAnsi="Arial Black"/>
          <w:b/>
          <w:sz w:val="24"/>
          <w:szCs w:val="24"/>
        </w:rPr>
      </w:pPr>
    </w:p>
    <w:p w14:paraId="1D2BDAD9" w14:textId="7C95C2E9" w:rsidR="00F326E5" w:rsidRDefault="00EF1133" w:rsidP="00F326E5">
      <w:pPr>
        <w:rPr>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3</w:t>
      </w:r>
    </w:p>
    <w:p w14:paraId="36777433" w14:textId="619EE8C9" w:rsidR="00F326E5" w:rsidRPr="009F2867" w:rsidRDefault="00F326E5" w:rsidP="00F326E5">
      <w:pPr>
        <w:rPr>
          <w:sz w:val="24"/>
          <w:szCs w:val="24"/>
        </w:rPr>
      </w:pPr>
      <w:bookmarkStart w:id="273" w:name="_Hlk7343690"/>
      <w:r w:rsidRPr="00512C93">
        <w:rPr>
          <w:rFonts w:ascii="Arial Black" w:hAnsi="Arial Black"/>
          <w:b/>
          <w:sz w:val="28"/>
          <w:szCs w:val="28"/>
        </w:rPr>
        <w:t>U.S. S</w:t>
      </w:r>
      <w:r>
        <w:rPr>
          <w:rFonts w:ascii="Arial Black" w:hAnsi="Arial Black"/>
          <w:b/>
          <w:sz w:val="28"/>
          <w:szCs w:val="28"/>
        </w:rPr>
        <w:t xml:space="preserve">UP. COURT – ENFORCES ARBITRATION AGREEMENTS – EMPLOYEE CAN’T SUE </w:t>
      </w:r>
      <w:r w:rsidRPr="009F2867">
        <w:rPr>
          <w:sz w:val="24"/>
          <w:szCs w:val="24"/>
        </w:rPr>
        <w:t>[also filed, Chap. 17]</w:t>
      </w:r>
    </w:p>
    <w:p w14:paraId="1FB1994D" w14:textId="77777777" w:rsidR="00F326E5" w:rsidRPr="009F1927" w:rsidRDefault="00F326E5" w:rsidP="00F326E5">
      <w:pPr>
        <w:pStyle w:val="NoSpacing"/>
        <w:rPr>
          <w:rFonts w:ascii="Times New Roman" w:hAnsi="Times New Roman"/>
          <w:sz w:val="24"/>
          <w:szCs w:val="24"/>
        </w:rPr>
      </w:pPr>
      <w:r w:rsidRPr="009F1927">
        <w:rPr>
          <w:rFonts w:ascii="Times New Roman" w:hAnsi="Times New Roman"/>
          <w:sz w:val="24"/>
          <w:szCs w:val="24"/>
        </w:rPr>
        <w:t xml:space="preserve">On May 21, 2018, in </w:t>
      </w:r>
      <w:r w:rsidRPr="009F1927">
        <w:rPr>
          <w:rFonts w:ascii="Times New Roman" w:hAnsi="Times New Roman"/>
          <w:sz w:val="24"/>
          <w:szCs w:val="24"/>
          <w:u w:val="single"/>
        </w:rPr>
        <w:t>Epic Systems Corp. v. Lewis</w:t>
      </w:r>
      <w:r w:rsidRPr="009F1927">
        <w:rPr>
          <w:rFonts w:ascii="Times New Roman" w:hAnsi="Times New Roman"/>
          <w:sz w:val="24"/>
          <w:szCs w:val="24"/>
        </w:rPr>
        <w:t>, the U.S. Supreme Court (5 to 4), 584 U.S. ___ (2018), in a decision written by newly appointed Justice Gorsuch, held:</w:t>
      </w:r>
    </w:p>
    <w:p w14:paraId="4405A5B4" w14:textId="77777777" w:rsidR="009F1927" w:rsidRDefault="009F1927" w:rsidP="00F326E5">
      <w:pPr>
        <w:pStyle w:val="NoSpacing"/>
        <w:ind w:left="720"/>
        <w:rPr>
          <w:rFonts w:ascii="Times New Roman" w:eastAsia="Times New Roman" w:hAnsi="Times New Roman"/>
          <w:sz w:val="24"/>
          <w:szCs w:val="24"/>
        </w:rPr>
      </w:pPr>
    </w:p>
    <w:p w14:paraId="7B52F177" w14:textId="2AEC3DA5" w:rsidR="00F326E5" w:rsidRPr="009F1927" w:rsidRDefault="00F326E5" w:rsidP="00F326E5">
      <w:pPr>
        <w:pStyle w:val="NoSpacing"/>
        <w:ind w:left="720"/>
        <w:rPr>
          <w:rFonts w:ascii="Times New Roman" w:hAnsi="Times New Roman"/>
          <w:sz w:val="24"/>
          <w:szCs w:val="24"/>
        </w:rPr>
      </w:pPr>
      <w:r w:rsidRPr="009F1927">
        <w:rPr>
          <w:rFonts w:ascii="Times New Roman" w:eastAsia="Times New Roman" w:hAnsi="Times New Roman"/>
          <w:sz w:val="24"/>
          <w:szCs w:val="24"/>
        </w:rPr>
        <w:t xml:space="preserve">“Should employees and employers be allowed to agree that any disputes between them will be resolved through one-on-one arbitration? Or should employees always be permitted to bring their claims in class or collective actions, no matter what they agreed with their employers?  As a matter of policy these questions are surely debatable. But as a matter of law the answer is clear. In the Federal Arbitration Act, Congress has instructed federal courts to enforce arbitration agreements according to their terms—including terms providing for individualized proceedings.” </w:t>
      </w:r>
      <w:hyperlink r:id="rId1304" w:history="1">
        <w:r w:rsidRPr="009F1927">
          <w:rPr>
            <w:rStyle w:val="Hyperlink"/>
            <w:rFonts w:ascii="Times New Roman" w:hAnsi="Times New Roman"/>
            <w:sz w:val="24"/>
            <w:szCs w:val="24"/>
          </w:rPr>
          <w:t>https://www.supremecourt.gov/opinions/17pdf/16-285_q8l1.pdf</w:t>
        </w:r>
      </w:hyperlink>
    </w:p>
    <w:p w14:paraId="380661E9" w14:textId="77777777" w:rsidR="00F326E5" w:rsidRPr="009F1927" w:rsidRDefault="00F326E5" w:rsidP="00F326E5">
      <w:pPr>
        <w:pStyle w:val="statutory-body-3em"/>
        <w:rPr>
          <w:b/>
        </w:rPr>
      </w:pPr>
      <w:r w:rsidRPr="009F1927">
        <w:rPr>
          <w:b/>
        </w:rPr>
        <w:t xml:space="preserve">Legal Lessons Learned:  This decision is one of the most important businesses cases before the Court.  Many employers, including private ambulance companies, will now be encouraged to have new hires sign an arbitration document.  </w:t>
      </w:r>
    </w:p>
    <w:p w14:paraId="67E6EEE6" w14:textId="77777777" w:rsidR="00F326E5" w:rsidRPr="00776A71" w:rsidRDefault="00F326E5" w:rsidP="00F326E5">
      <w:pPr>
        <w:pStyle w:val="statutory-body-3em"/>
        <w:ind w:left="720"/>
      </w:pPr>
      <w:r w:rsidRPr="00776A71">
        <w:t xml:space="preserve">AFL-CIO President Richard Trauma was quoted, “Five justices on the Supreme Court decided that it is acceptable for working people to have their legal rights taken away by corporations in order to keep their jobs.” </w:t>
      </w:r>
      <w:hyperlink r:id="rId1305" w:history="1">
        <w:r w:rsidRPr="00776A71">
          <w:rPr>
            <w:rStyle w:val="Hyperlink"/>
          </w:rPr>
          <w:t>https://www.sfgate.com/news/article/Supreme-Court-rules-that-companies-can-require-12931130.php</w:t>
        </w:r>
      </w:hyperlink>
      <w:r w:rsidRPr="00776A71">
        <w:t xml:space="preserve"> </w:t>
      </w:r>
    </w:p>
    <w:p w14:paraId="2167E3CB" w14:textId="77777777" w:rsidR="00F326E5" w:rsidRPr="009F2867" w:rsidRDefault="00F326E5" w:rsidP="00F326E5">
      <w:pPr>
        <w:pStyle w:val="NormalWeb"/>
        <w:ind w:left="720"/>
      </w:pPr>
      <w:r w:rsidRPr="009F1927">
        <w:t xml:space="preserve">Note:  see Jan. 15, 2019 U.S. Supreme Court decision in New Prime, Inc. v. Oliveira, </w:t>
      </w:r>
      <w:r w:rsidRPr="009F1927">
        <w:rPr>
          <w:rStyle w:val="Strong"/>
        </w:rPr>
        <w:t>Holding</w:t>
      </w:r>
      <w:r w:rsidRPr="009F1927">
        <w:t xml:space="preserve">: A court should determine whether the Federal Arbitration Act’s Section 1 exclusion for disputes involving the “contracts of employment” of certain transportation workers applies before ordering arbitration; here, truck driver Dominic Oliveira’s independent contractor operating agreement with New Prime Inc. falls within that exception. </w:t>
      </w:r>
      <w:r w:rsidRPr="009F1927">
        <w:rPr>
          <w:rStyle w:val="Strong"/>
        </w:rPr>
        <w:t>Judgment</w:t>
      </w:r>
      <w:r w:rsidRPr="009F1927">
        <w:t xml:space="preserve">: </w:t>
      </w:r>
      <w:hyperlink r:id="rId1306" w:tgtFrame="_blank" w:history="1">
        <w:r w:rsidRPr="009F1927">
          <w:rPr>
            <w:rStyle w:val="Hyperlink"/>
          </w:rPr>
          <w:t>Affirmed</w:t>
        </w:r>
      </w:hyperlink>
      <w:r w:rsidRPr="009F1927">
        <w:t>, 8-0, in an opinion by Justice Gorsuch on January 15, 2019. Justice</w:t>
      </w:r>
      <w:r w:rsidRPr="009F2867">
        <w:t xml:space="preserve"> Ginsburg filed a concurring opinion. Justice Kavanaugh took no part in the consideration or decision of the case. </w:t>
      </w:r>
      <w:hyperlink r:id="rId1307" w:history="1">
        <w:r w:rsidRPr="009F2867">
          <w:rPr>
            <w:rStyle w:val="Hyperlink"/>
          </w:rPr>
          <w:t>https://www.scotusblog.com/case-files/cases/new-prime-inc-v-oliveira/</w:t>
        </w:r>
      </w:hyperlink>
      <w:r w:rsidRPr="009F2867">
        <w:t xml:space="preserve"> </w:t>
      </w:r>
    </w:p>
    <w:p w14:paraId="2CAA8189" w14:textId="77777777" w:rsidR="00EF1133" w:rsidRDefault="00EF1133" w:rsidP="00EF1133">
      <w:pPr>
        <w:rPr>
          <w:rFonts w:ascii="Arial Black" w:hAnsi="Arial Black"/>
          <w:b/>
          <w:sz w:val="24"/>
          <w:szCs w:val="24"/>
        </w:rPr>
      </w:pPr>
      <w:bookmarkStart w:id="274" w:name="_Hlk515004207"/>
      <w:bookmarkEnd w:id="273"/>
    </w:p>
    <w:p w14:paraId="2E1F70BD" w14:textId="3822DDFA" w:rsidR="00F326E5" w:rsidRDefault="00EF1133" w:rsidP="00EF1133">
      <w:pPr>
        <w:rPr>
          <w:b/>
          <w:sz w:val="24"/>
          <w:szCs w:val="24"/>
        </w:rPr>
      </w:pPr>
      <w:r>
        <w:rPr>
          <w:rFonts w:ascii="Arial Black" w:hAnsi="Arial Black"/>
          <w:b/>
          <w:sz w:val="24"/>
          <w:szCs w:val="24"/>
        </w:rPr>
        <w:t>6</w:t>
      </w:r>
      <w:r w:rsidRPr="00EF1133">
        <w:rPr>
          <w:rFonts w:ascii="Arial Black" w:hAnsi="Arial Black"/>
          <w:b/>
          <w:sz w:val="24"/>
          <w:szCs w:val="24"/>
        </w:rPr>
        <w:t>-</w:t>
      </w:r>
      <w:r>
        <w:rPr>
          <w:rFonts w:ascii="Arial Black" w:hAnsi="Arial Black"/>
          <w:b/>
          <w:sz w:val="24"/>
          <w:szCs w:val="24"/>
        </w:rPr>
        <w:t>2</w:t>
      </w:r>
    </w:p>
    <w:p w14:paraId="0734C56D" w14:textId="28554A14" w:rsidR="00F326E5" w:rsidRDefault="00F326E5" w:rsidP="00F326E5">
      <w:pPr>
        <w:pStyle w:val="NoSpacing"/>
        <w:rPr>
          <w:rFonts w:ascii="Arial Black" w:hAnsi="Arial Black"/>
          <w:sz w:val="28"/>
          <w:szCs w:val="28"/>
        </w:rPr>
      </w:pPr>
      <w:bookmarkStart w:id="275" w:name="_Hlk7343724"/>
      <w:r>
        <w:rPr>
          <w:rFonts w:ascii="Arial Black" w:hAnsi="Arial Black"/>
          <w:sz w:val="28"/>
          <w:szCs w:val="28"/>
        </w:rPr>
        <w:t>MD: COLLECTIVE BARGAINING – COUNTY MUST BARGAIN OVER CHANGE IN HEALTH INSURANCE BENEFITS</w:t>
      </w:r>
    </w:p>
    <w:bookmarkEnd w:id="274"/>
    <w:p w14:paraId="6588E62D" w14:textId="77777777" w:rsidR="009F1927" w:rsidRDefault="00F326E5" w:rsidP="00F326E5">
      <w:pPr>
        <w:rPr>
          <w:rFonts w:ascii="Times New Roman" w:hAnsi="Times New Roman"/>
          <w:sz w:val="24"/>
          <w:szCs w:val="24"/>
        </w:rPr>
      </w:pPr>
      <w:r w:rsidRPr="009F1927">
        <w:rPr>
          <w:rFonts w:ascii="Times New Roman" w:hAnsi="Times New Roman"/>
          <w:sz w:val="24"/>
          <w:szCs w:val="24"/>
        </w:rPr>
        <w:t xml:space="preserve">On March 28, 2018, in </w:t>
      </w:r>
      <w:r w:rsidRPr="009F1927">
        <w:rPr>
          <w:rFonts w:ascii="Times New Roman" w:hAnsi="Times New Roman"/>
          <w:sz w:val="24"/>
          <w:szCs w:val="24"/>
          <w:u w:val="single"/>
        </w:rPr>
        <w:t>O’Brien Atkinson, et al. v. Anne Arundel County</w:t>
      </w:r>
      <w:r w:rsidRPr="009F1927">
        <w:rPr>
          <w:rFonts w:ascii="Times New Roman" w:hAnsi="Times New Roman"/>
          <w:sz w:val="24"/>
          <w:szCs w:val="24"/>
        </w:rPr>
        <w:t xml:space="preserve">, the Court of Appeals of Maryland, held (3 to 0) that the County cannot unilaterally change health benefits; case is remanded to trial court. </w:t>
      </w:r>
    </w:p>
    <w:p w14:paraId="0E869402" w14:textId="1E029E8A" w:rsidR="00F326E5" w:rsidRPr="009F1927" w:rsidRDefault="00F326E5" w:rsidP="009F1927">
      <w:pPr>
        <w:ind w:left="720"/>
        <w:rPr>
          <w:rFonts w:ascii="Times New Roman" w:hAnsi="Times New Roman"/>
          <w:sz w:val="24"/>
          <w:szCs w:val="24"/>
        </w:rPr>
      </w:pPr>
      <w:r w:rsidRPr="009F1927">
        <w:rPr>
          <w:rFonts w:ascii="Times New Roman" w:hAnsi="Times New Roman"/>
          <w:sz w:val="24"/>
          <w:szCs w:val="24"/>
        </w:rPr>
        <w:t xml:space="preserve">“We leave it to the parties and trial court, applying the balancing test on remand, to ascertain the scope of collective bargaining rights over health insurance benefits as mandated under §§ 811 and 812 of the Charter.” </w:t>
      </w:r>
      <w:hyperlink r:id="rId1308" w:history="1">
        <w:r w:rsidRPr="009F1927">
          <w:rPr>
            <w:rStyle w:val="Hyperlink"/>
            <w:rFonts w:ascii="Times New Roman" w:hAnsi="Times New Roman"/>
            <w:sz w:val="24"/>
            <w:szCs w:val="24"/>
          </w:rPr>
          <w:t>file:///C:/Users/lawre/AppData/Local/Microsoft/Windows/INetCache/IE/CTCRXJ99/0788s16.pdf</w:t>
        </w:r>
      </w:hyperlink>
      <w:r w:rsidRPr="009F1927">
        <w:rPr>
          <w:rFonts w:ascii="Times New Roman" w:hAnsi="Times New Roman"/>
          <w:sz w:val="24"/>
          <w:szCs w:val="24"/>
        </w:rPr>
        <w:t xml:space="preserve"> </w:t>
      </w:r>
    </w:p>
    <w:p w14:paraId="5BE8C70C" w14:textId="77777777" w:rsidR="00F326E5" w:rsidRPr="009F1927" w:rsidRDefault="00F326E5" w:rsidP="00F326E5">
      <w:pPr>
        <w:rPr>
          <w:rFonts w:ascii="Times New Roman" w:hAnsi="Times New Roman"/>
          <w:b/>
          <w:sz w:val="24"/>
          <w:szCs w:val="24"/>
        </w:rPr>
      </w:pPr>
      <w:r w:rsidRPr="009F1927">
        <w:rPr>
          <w:rFonts w:ascii="Times New Roman" w:hAnsi="Times New Roman"/>
          <w:b/>
          <w:sz w:val="24"/>
          <w:szCs w:val="24"/>
        </w:rPr>
        <w:t xml:space="preserve">LEGAL LESSONS LEARNED: The County Charter mandated collective bargaining and arbitration. </w:t>
      </w:r>
    </w:p>
    <w:bookmarkEnd w:id="275"/>
    <w:p w14:paraId="0DFA70BF" w14:textId="77777777" w:rsidR="00EF1133" w:rsidRDefault="00EF1133" w:rsidP="00EF1133">
      <w:pPr>
        <w:rPr>
          <w:rFonts w:ascii="Arial Black" w:hAnsi="Arial Black"/>
          <w:b/>
          <w:sz w:val="24"/>
          <w:szCs w:val="24"/>
        </w:rPr>
      </w:pPr>
    </w:p>
    <w:p w14:paraId="297EB295" w14:textId="77777777" w:rsidR="00F27CD5" w:rsidRDefault="00F27CD5" w:rsidP="00EF1133">
      <w:pPr>
        <w:rPr>
          <w:rFonts w:ascii="Arial Black" w:hAnsi="Arial Black"/>
          <w:b/>
          <w:sz w:val="24"/>
          <w:szCs w:val="24"/>
        </w:rPr>
      </w:pPr>
    </w:p>
    <w:p w14:paraId="5A4F467D" w14:textId="13E09346" w:rsidR="00EF1133" w:rsidRDefault="00EF1133" w:rsidP="00EF1133">
      <w:pPr>
        <w:rPr>
          <w:rFonts w:ascii="Arial Black" w:hAnsi="Arial Black"/>
          <w:b/>
          <w:sz w:val="24"/>
          <w:szCs w:val="24"/>
        </w:rPr>
      </w:pPr>
      <w:r>
        <w:rPr>
          <w:rFonts w:ascii="Arial Black" w:hAnsi="Arial Black"/>
          <w:b/>
          <w:sz w:val="24"/>
          <w:szCs w:val="24"/>
        </w:rPr>
        <w:t>6</w:t>
      </w:r>
      <w:r w:rsidRPr="00EF1133">
        <w:rPr>
          <w:rFonts w:ascii="Arial Black" w:hAnsi="Arial Black"/>
          <w:b/>
          <w:sz w:val="24"/>
          <w:szCs w:val="24"/>
        </w:rPr>
        <w:t>-1</w:t>
      </w:r>
    </w:p>
    <w:p w14:paraId="6C6185C1" w14:textId="48D52178" w:rsidR="00255E41" w:rsidRPr="00255E41" w:rsidRDefault="00F326E5" w:rsidP="00255E41">
      <w:pPr>
        <w:pStyle w:val="NoSpacing"/>
        <w:rPr>
          <w:rFonts w:ascii="Times New Roman" w:hAnsi="Times New Roman"/>
          <w:b/>
          <w:sz w:val="24"/>
          <w:szCs w:val="24"/>
        </w:rPr>
      </w:pPr>
      <w:bookmarkStart w:id="276" w:name="_Hlk515004318"/>
      <w:bookmarkStart w:id="277" w:name="_Hlk7343765"/>
      <w:r>
        <w:rPr>
          <w:rFonts w:ascii="Arial Black" w:hAnsi="Arial Black"/>
          <w:sz w:val="28"/>
          <w:szCs w:val="28"/>
        </w:rPr>
        <w:t>RI: “DISABLED” FF IS VIDEOTAPED WEIGHTLIFTING – DISABILITY PENSION BENEFITS TERMINATED</w:t>
      </w:r>
      <w:r w:rsidR="00255E41">
        <w:rPr>
          <w:rFonts w:ascii="Arial Black" w:hAnsi="Arial Black"/>
          <w:sz w:val="28"/>
          <w:szCs w:val="28"/>
        </w:rPr>
        <w:t xml:space="preserve"> </w:t>
      </w:r>
      <w:r w:rsidR="00255E41" w:rsidRPr="00255E41">
        <w:rPr>
          <w:rFonts w:ascii="Times New Roman" w:hAnsi="Times New Roman"/>
          <w:sz w:val="24"/>
          <w:szCs w:val="24"/>
        </w:rPr>
        <w:t>[also filed, Chap. 16]</w:t>
      </w:r>
    </w:p>
    <w:p w14:paraId="1DB0B58D" w14:textId="299FA3F4" w:rsidR="00F326E5" w:rsidRDefault="00F326E5" w:rsidP="00F326E5">
      <w:pPr>
        <w:pStyle w:val="NoSpacing"/>
        <w:rPr>
          <w:b/>
          <w:sz w:val="24"/>
          <w:szCs w:val="24"/>
        </w:rPr>
      </w:pPr>
    </w:p>
    <w:bookmarkEnd w:id="276"/>
    <w:p w14:paraId="3A4BE366" w14:textId="1AB834EE" w:rsidR="009F1927" w:rsidRDefault="00F326E5" w:rsidP="00F326E5">
      <w:pPr>
        <w:pStyle w:val="NoSpacing"/>
        <w:rPr>
          <w:rFonts w:ascii="Times New Roman" w:hAnsi="Times New Roman"/>
          <w:color w:val="4A4A4A"/>
          <w:sz w:val="24"/>
          <w:szCs w:val="24"/>
          <w:lang w:val="en"/>
        </w:rPr>
      </w:pPr>
      <w:r w:rsidRPr="009F1927">
        <w:rPr>
          <w:rFonts w:ascii="Times New Roman" w:hAnsi="Times New Roman"/>
          <w:color w:val="4A4A4A"/>
          <w:sz w:val="24"/>
          <w:szCs w:val="24"/>
          <w:lang w:val="en"/>
        </w:rPr>
        <w:t xml:space="preserve">On </w:t>
      </w:r>
      <w:bookmarkStart w:id="278" w:name="_Hlk39832586"/>
      <w:r w:rsidRPr="009F1927">
        <w:rPr>
          <w:rFonts w:ascii="Times New Roman" w:hAnsi="Times New Roman"/>
          <w:color w:val="4A4A4A"/>
          <w:sz w:val="24"/>
          <w:szCs w:val="24"/>
          <w:lang w:val="en"/>
        </w:rPr>
        <w:t>Feb. 2</w:t>
      </w:r>
      <w:r w:rsidR="007E6FE3">
        <w:rPr>
          <w:rFonts w:ascii="Times New Roman" w:hAnsi="Times New Roman"/>
          <w:color w:val="4A4A4A"/>
          <w:sz w:val="24"/>
          <w:szCs w:val="24"/>
          <w:lang w:val="en"/>
        </w:rPr>
        <w:t>0</w:t>
      </w:r>
      <w:r w:rsidRPr="009F1927">
        <w:rPr>
          <w:rFonts w:ascii="Times New Roman" w:hAnsi="Times New Roman"/>
          <w:color w:val="4A4A4A"/>
          <w:sz w:val="24"/>
          <w:szCs w:val="24"/>
          <w:lang w:val="en"/>
        </w:rPr>
        <w:t xml:space="preserve">, 2018, in </w:t>
      </w:r>
      <w:r w:rsidRPr="009F1927">
        <w:rPr>
          <w:rFonts w:ascii="Times New Roman" w:hAnsi="Times New Roman"/>
          <w:color w:val="4A4A4A"/>
          <w:sz w:val="24"/>
          <w:szCs w:val="24"/>
          <w:u w:val="single"/>
          <w:lang w:val="en"/>
        </w:rPr>
        <w:t>John Sauro v. James Lombardi, in his capacity as Treasurer of the City of Providence, et al</w:t>
      </w:r>
      <w:bookmarkEnd w:id="278"/>
      <w:r w:rsidRPr="009F1927">
        <w:rPr>
          <w:rFonts w:ascii="Times New Roman" w:hAnsi="Times New Roman"/>
          <w:color w:val="4A4A4A"/>
          <w:sz w:val="24"/>
          <w:szCs w:val="24"/>
          <w:u w:val="single"/>
          <w:lang w:val="en"/>
        </w:rPr>
        <w:t>.</w:t>
      </w:r>
      <w:r w:rsidRPr="009F1927">
        <w:rPr>
          <w:rFonts w:ascii="Times New Roman" w:hAnsi="Times New Roman"/>
          <w:color w:val="4A4A4A"/>
          <w:sz w:val="24"/>
          <w:szCs w:val="24"/>
          <w:lang w:val="en"/>
        </w:rPr>
        <w:t>, the State Supreme Court held,</w:t>
      </w:r>
    </w:p>
    <w:p w14:paraId="49B40278" w14:textId="77777777" w:rsidR="009F1927" w:rsidRDefault="009F1927" w:rsidP="00F326E5">
      <w:pPr>
        <w:pStyle w:val="NoSpacing"/>
        <w:rPr>
          <w:rFonts w:ascii="Times New Roman" w:hAnsi="Times New Roman"/>
          <w:color w:val="4A4A4A"/>
          <w:sz w:val="24"/>
          <w:szCs w:val="24"/>
          <w:lang w:val="en"/>
        </w:rPr>
      </w:pPr>
    </w:p>
    <w:p w14:paraId="1F319853" w14:textId="09BAA657" w:rsidR="00F326E5" w:rsidRPr="009F1927" w:rsidRDefault="00F326E5" w:rsidP="009F1927">
      <w:pPr>
        <w:pStyle w:val="NoSpacing"/>
        <w:ind w:left="720" w:firstLine="60"/>
        <w:rPr>
          <w:rFonts w:ascii="Times New Roman" w:hAnsi="Times New Roman"/>
          <w:sz w:val="24"/>
          <w:szCs w:val="24"/>
        </w:rPr>
      </w:pPr>
      <w:r w:rsidRPr="009F1927">
        <w:rPr>
          <w:rFonts w:ascii="Times New Roman" w:hAnsi="Times New Roman"/>
          <w:color w:val="4A4A4A"/>
          <w:sz w:val="24"/>
          <w:szCs w:val="24"/>
          <w:lang w:val="en"/>
        </w:rPr>
        <w:t>“</w:t>
      </w:r>
      <w:proofErr w:type="gramStart"/>
      <w:r w:rsidRPr="009F1927">
        <w:rPr>
          <w:rFonts w:ascii="Times New Roman" w:hAnsi="Times New Roman"/>
          <w:color w:val="4A4A4A"/>
          <w:sz w:val="24"/>
          <w:szCs w:val="24"/>
          <w:lang w:val="en"/>
        </w:rPr>
        <w:t>we</w:t>
      </w:r>
      <w:proofErr w:type="gramEnd"/>
      <w:r w:rsidRPr="009F1927">
        <w:rPr>
          <w:rFonts w:ascii="Times New Roman" w:hAnsi="Times New Roman"/>
          <w:color w:val="4A4A4A"/>
          <w:sz w:val="24"/>
          <w:szCs w:val="24"/>
          <w:lang w:val="en"/>
        </w:rPr>
        <w:t xml:space="preserve"> conclude that the decision of the trial justice declaring that the plaintiff’s pension benefits should be reinstated and he should be placed on a waiting list to resume active service was erroneous, overlooked material evidence, and was clearly wrong</w:t>
      </w:r>
      <w:hyperlink r:id="rId1309" w:history="1">
        <w:r w:rsidR="007E6FE3" w:rsidRPr="00C200DE">
          <w:rPr>
            <w:rStyle w:val="Hyperlink"/>
            <w:rFonts w:ascii="Times New Roman" w:hAnsi="Times New Roman"/>
            <w:sz w:val="24"/>
            <w:szCs w:val="24"/>
            <w:lang w:val="en"/>
          </w:rPr>
          <w:t>https://www.courts.ri.gov/Courts/SupremeCourt/SupremeOpinions/16-170.pdf</w:t>
        </w:r>
      </w:hyperlink>
      <w:r w:rsidR="007E6FE3">
        <w:rPr>
          <w:rFonts w:ascii="Times New Roman" w:hAnsi="Times New Roman"/>
          <w:color w:val="4A4A4A"/>
          <w:sz w:val="24"/>
          <w:szCs w:val="24"/>
          <w:u w:val="single"/>
          <w:lang w:val="en"/>
        </w:rPr>
        <w:t xml:space="preserve"> </w:t>
      </w:r>
      <w:r w:rsidR="007E6FE3">
        <w:rPr>
          <w:rFonts w:ascii="Times New Roman" w:hAnsi="Times New Roman"/>
          <w:color w:val="4A4A4A"/>
          <w:sz w:val="24"/>
          <w:szCs w:val="24"/>
          <w:lang w:val="en"/>
        </w:rPr>
        <w:t xml:space="preserve"> </w:t>
      </w:r>
    </w:p>
    <w:p w14:paraId="682AC40C" w14:textId="77777777" w:rsidR="009F1927" w:rsidRDefault="009F1927" w:rsidP="00F326E5">
      <w:pPr>
        <w:rPr>
          <w:rFonts w:ascii="Times New Roman" w:hAnsi="Times New Roman"/>
          <w:b/>
          <w:color w:val="4A4A4A"/>
          <w:sz w:val="24"/>
          <w:szCs w:val="24"/>
          <w:lang w:val="en"/>
        </w:rPr>
      </w:pPr>
    </w:p>
    <w:p w14:paraId="4CAD612C" w14:textId="346A2C1A" w:rsidR="00F326E5" w:rsidRPr="009F1927" w:rsidRDefault="00F326E5" w:rsidP="00F326E5">
      <w:pPr>
        <w:rPr>
          <w:rFonts w:ascii="Times New Roman" w:hAnsi="Times New Roman"/>
          <w:b/>
          <w:color w:val="4A4A4A"/>
          <w:sz w:val="24"/>
          <w:szCs w:val="24"/>
          <w:lang w:val="en"/>
        </w:rPr>
      </w:pPr>
      <w:r w:rsidRPr="009F1927">
        <w:rPr>
          <w:rFonts w:ascii="Times New Roman" w:hAnsi="Times New Roman"/>
          <w:b/>
          <w:color w:val="4A4A4A"/>
          <w:sz w:val="24"/>
          <w:szCs w:val="24"/>
          <w:lang w:val="en"/>
        </w:rPr>
        <w:t>LEGAL LESSONS LEARNED:  Accidental disability pension benefits are for those with a continuing work-place injury; cases like this can lead to public perception of pension fraud.</w:t>
      </w:r>
    </w:p>
    <w:bookmarkEnd w:id="277"/>
    <w:p w14:paraId="40D82572" w14:textId="77777777" w:rsidR="00F326E5" w:rsidRPr="009F2867" w:rsidRDefault="00F326E5" w:rsidP="00F326E5">
      <w:pPr>
        <w:rPr>
          <w:rFonts w:ascii="Arial Black" w:hAnsi="Arial Black"/>
          <w:b/>
          <w:sz w:val="40"/>
          <w:szCs w:val="40"/>
        </w:rPr>
      </w:pPr>
    </w:p>
    <w:p w14:paraId="6C2FBDF2" w14:textId="77777777" w:rsidR="007C4C98" w:rsidRDefault="00F326E5" w:rsidP="009F1927">
      <w:pPr>
        <w:rPr>
          <w:rFonts w:ascii="Arial Black" w:hAnsi="Arial Black"/>
          <w:sz w:val="40"/>
          <w:szCs w:val="40"/>
        </w:rPr>
      </w:pPr>
      <w:r>
        <w:rPr>
          <w:rFonts w:ascii="Arial Black" w:hAnsi="Arial Black"/>
          <w:sz w:val="40"/>
          <w:szCs w:val="40"/>
        </w:rPr>
        <w:br w:type="page"/>
      </w:r>
    </w:p>
    <w:p w14:paraId="6B0FDAAC" w14:textId="3D9604EC" w:rsidR="0097062D" w:rsidRDefault="0097062D">
      <w:pPr>
        <w:spacing w:after="0" w:line="240" w:lineRule="auto"/>
        <w:rPr>
          <w:rFonts w:ascii="Arial Black" w:hAnsi="Arial Black"/>
          <w:sz w:val="40"/>
          <w:szCs w:val="40"/>
        </w:rPr>
      </w:pPr>
      <w:r>
        <w:rPr>
          <w:rFonts w:ascii="Arial Black" w:hAnsi="Arial Black"/>
          <w:sz w:val="40"/>
          <w:szCs w:val="40"/>
        </w:rPr>
        <w:br w:type="page"/>
      </w:r>
    </w:p>
    <w:p w14:paraId="6F775CEC" w14:textId="2A8A7ED3" w:rsidR="00F326E5" w:rsidRDefault="0097062D" w:rsidP="009F1927">
      <w:pPr>
        <w:rPr>
          <w:rFonts w:ascii="Arial Black" w:hAnsi="Arial Black"/>
          <w:sz w:val="40"/>
          <w:szCs w:val="40"/>
        </w:rPr>
      </w:pPr>
      <w:r>
        <w:rPr>
          <w:rFonts w:ascii="Arial Black" w:hAnsi="Arial Black"/>
          <w:sz w:val="40"/>
          <w:szCs w:val="40"/>
        </w:rPr>
        <w:t>C</w:t>
      </w:r>
      <w:r w:rsidR="00F326E5" w:rsidRPr="007732FA">
        <w:rPr>
          <w:rFonts w:ascii="Arial Black" w:hAnsi="Arial Black"/>
          <w:sz w:val="40"/>
          <w:szCs w:val="40"/>
        </w:rPr>
        <w:t>hap. 7</w:t>
      </w:r>
      <w:r w:rsidR="002B1283">
        <w:rPr>
          <w:rFonts w:ascii="Arial Black" w:hAnsi="Arial Black"/>
          <w:sz w:val="40"/>
          <w:szCs w:val="40"/>
        </w:rPr>
        <w:t xml:space="preserve">   </w:t>
      </w:r>
      <w:r w:rsidR="00F326E5" w:rsidRPr="007732FA">
        <w:rPr>
          <w:rFonts w:ascii="Arial Black" w:hAnsi="Arial Black"/>
          <w:sz w:val="40"/>
          <w:szCs w:val="40"/>
        </w:rPr>
        <w:t>Sexual Harassment</w:t>
      </w:r>
      <w:r w:rsidR="002147DA">
        <w:rPr>
          <w:rFonts w:ascii="Arial Black" w:hAnsi="Arial Black"/>
          <w:sz w:val="40"/>
          <w:szCs w:val="40"/>
        </w:rPr>
        <w:t>,</w:t>
      </w:r>
      <w:r w:rsidR="003F660F">
        <w:rPr>
          <w:rFonts w:ascii="Arial Black" w:hAnsi="Arial Black"/>
          <w:sz w:val="40"/>
          <w:szCs w:val="40"/>
        </w:rPr>
        <w:t xml:space="preserve"> including </w:t>
      </w:r>
      <w:r w:rsidR="00F326E5" w:rsidRPr="007732FA">
        <w:rPr>
          <w:rFonts w:ascii="Arial Black" w:hAnsi="Arial Black"/>
          <w:sz w:val="40"/>
          <w:szCs w:val="40"/>
        </w:rPr>
        <w:t>Pregnancy Discrimination</w:t>
      </w:r>
    </w:p>
    <w:p w14:paraId="7921A524" w14:textId="58ECDF4C" w:rsidR="00851CFA" w:rsidRDefault="00851CFA" w:rsidP="00851CFA">
      <w:pPr>
        <w:pStyle w:val="NoSpacing"/>
        <w:rPr>
          <w:rFonts w:ascii="Arial Black" w:hAnsi="Arial Black"/>
          <w:sz w:val="28"/>
          <w:szCs w:val="28"/>
        </w:rPr>
      </w:pPr>
      <w:r>
        <w:rPr>
          <w:rFonts w:ascii="Arial Black" w:hAnsi="Arial Black"/>
          <w:sz w:val="28"/>
          <w:szCs w:val="28"/>
        </w:rPr>
        <w:t>7-9</w:t>
      </w:r>
      <w:r>
        <w:rPr>
          <w:rFonts w:ascii="Arial Black" w:hAnsi="Arial Black"/>
          <w:sz w:val="28"/>
          <w:szCs w:val="28"/>
        </w:rPr>
        <w:t>3</w:t>
      </w:r>
    </w:p>
    <w:p w14:paraId="73FAD747" w14:textId="77777777" w:rsidR="00851CFA" w:rsidRDefault="00851CFA" w:rsidP="00C235E8">
      <w:pPr>
        <w:pStyle w:val="NoSpacing"/>
        <w:rPr>
          <w:rFonts w:ascii="Arial Black" w:hAnsi="Arial Black"/>
          <w:sz w:val="28"/>
          <w:szCs w:val="28"/>
        </w:rPr>
      </w:pPr>
    </w:p>
    <w:p w14:paraId="1FA2CC72" w14:textId="77777777" w:rsidR="00BC4C9B" w:rsidRPr="008129D1" w:rsidRDefault="00BC4C9B" w:rsidP="00BC4C9B">
      <w:pPr>
        <w:pStyle w:val="NoSpacing"/>
        <w:rPr>
          <w:rFonts w:ascii="Arial Black" w:hAnsi="Arial Black"/>
          <w:b/>
          <w:sz w:val="28"/>
          <w:szCs w:val="28"/>
        </w:rPr>
      </w:pPr>
      <w:r>
        <w:rPr>
          <w:rFonts w:ascii="Arial Black" w:hAnsi="Arial Black"/>
          <w:b/>
          <w:sz w:val="28"/>
          <w:szCs w:val="28"/>
        </w:rPr>
        <w:t xml:space="preserve">IL: ONLY FEM - PORN MAG – SEX TALK - “SHEENA BUCKS”  </w:t>
      </w:r>
    </w:p>
    <w:p w14:paraId="438A0209" w14:textId="77777777" w:rsidR="00BC4C9B" w:rsidRDefault="00BC4C9B" w:rsidP="00BC4C9B">
      <w:pPr>
        <w:pStyle w:val="NoSpacing"/>
        <w:rPr>
          <w:b/>
        </w:rPr>
      </w:pPr>
    </w:p>
    <w:p w14:paraId="207CFE32" w14:textId="77777777" w:rsidR="00BC4C9B" w:rsidRDefault="00BC4C9B" w:rsidP="00BC4C9B">
      <w:pPr>
        <w:pStyle w:val="NoSpacing"/>
      </w:pPr>
      <w:r w:rsidRPr="005024CF">
        <w:t xml:space="preserve">On June 26, 2026, in </w:t>
      </w:r>
      <w:r w:rsidRPr="00EE302B">
        <w:rPr>
          <w:u w:val="single"/>
        </w:rPr>
        <w:t>Sheena Amble v. City of Rockford Fire Department</w:t>
      </w:r>
      <w:r>
        <w:t>, U.S. District Court Judge Iain D. Johnston, United States District Court for Northern District of Illinois, Western Division, held that her sexual harassment claim may proceed. However, conditions were not so severe that jury will not be asked if she was constructively forced to retire. The Court wrote: “</w:t>
      </w:r>
      <w:r w:rsidRPr="0080289D">
        <w:t>Within a few months</w:t>
      </w:r>
      <w:r>
        <w:t xml:space="preserve"> [of being </w:t>
      </w:r>
      <w:r w:rsidRPr="00A51A98">
        <w:t>transferred to Fire Station #4 in January 2019</w:t>
      </w:r>
      <w:r>
        <w:t>; only female at that station]</w:t>
      </w:r>
      <w:r w:rsidRPr="0080289D">
        <w:t>, pornographic magazines depicting nude females were left in a restroom, at least one crude conversation regarding oral sex occurred in Amble's presence, and play money depicting Amble's image was left on at least two occasions on a fire station bulletin board. This is sufficiently related to Amble's sex to survive summary judgment.</w:t>
      </w:r>
      <w:r>
        <w:t xml:space="preserve">” </w:t>
      </w:r>
      <w:hyperlink r:id="rId1310" w:history="1">
        <w:r w:rsidRPr="00E96FE1">
          <w:rPr>
            <w:rStyle w:val="Hyperlink"/>
          </w:rPr>
          <w:t>https://public.fastcase.com/Jhe1Qn%2BmJndQYQU6z%2FeNm4EknQ9bna34cDUqwi843otGfsnh4A%2FeYA9Hr6KrteFypi4%2BJsSKfbktA3m%2FwjVXVmU7hL2EQjK1ikmyt15wjVE%3D?utm_medium=email&amp;_hsenc=p2ANqtz--0s-Gqa1uWmBF4bwmJiG-zFePE1DiZBvElWG9MDL4AExGpxO5pGHEbiE5NOgiOIpfGRDMDibK3WS6s5HJa2qaBlry6oQ&amp;_hsmi=226712652&amp;utm_content=226712652&amp;utm_source=hs_email</w:t>
        </w:r>
      </w:hyperlink>
      <w:r>
        <w:t xml:space="preserve"> </w:t>
      </w:r>
    </w:p>
    <w:p w14:paraId="76307F5B" w14:textId="77777777" w:rsidR="00BC4C9B" w:rsidRDefault="00BC4C9B" w:rsidP="00BC4C9B">
      <w:pPr>
        <w:pStyle w:val="NoSpacing"/>
      </w:pPr>
    </w:p>
    <w:p w14:paraId="3D92B2EE" w14:textId="77777777" w:rsidR="00BC4C9B" w:rsidRDefault="00BC4C9B" w:rsidP="00BC4C9B">
      <w:pPr>
        <w:pStyle w:val="NoSpacing"/>
        <w:rPr>
          <w:bCs/>
        </w:rPr>
      </w:pPr>
    </w:p>
    <w:p w14:paraId="3FE72B74" w14:textId="77777777" w:rsidR="00BC4C9B" w:rsidRDefault="00BC4C9B" w:rsidP="00BC4C9B">
      <w:pPr>
        <w:pStyle w:val="NoSpacing"/>
        <w:rPr>
          <w:b/>
        </w:rPr>
      </w:pPr>
      <w:r w:rsidRPr="00613EDA">
        <w:rPr>
          <w:b/>
        </w:rPr>
        <w:t>FACTS:</w:t>
      </w:r>
    </w:p>
    <w:p w14:paraId="227AD690" w14:textId="77777777" w:rsidR="00BC4C9B" w:rsidRDefault="00BC4C9B" w:rsidP="00BC4C9B">
      <w:pPr>
        <w:pStyle w:val="NoSpacing"/>
        <w:rPr>
          <w:b/>
        </w:rPr>
      </w:pPr>
    </w:p>
    <w:p w14:paraId="5D86087C" w14:textId="77777777" w:rsidR="00BC4C9B" w:rsidRDefault="00BC4C9B" w:rsidP="00BC4C9B">
      <w:pPr>
        <w:pStyle w:val="NoSpacing"/>
      </w:pPr>
      <w:r>
        <w:t>“</w:t>
      </w:r>
      <w:r w:rsidRPr="00EB4692">
        <w:t>Amble was hired by RFD on March 29, 2004</w:t>
      </w:r>
      <w:r>
        <w:t xml:space="preserve">. </w:t>
      </w:r>
      <w:r w:rsidRPr="00EB4692">
        <w:t xml:space="preserve">Other than a short stint of employment with the Madison, Wisconsin Fire Department in 2006-2007, Amble remained employed by RFD until her resignation in May 2019. </w:t>
      </w:r>
    </w:p>
    <w:p w14:paraId="7A006365" w14:textId="77777777" w:rsidR="00BC4C9B" w:rsidRDefault="00BC4C9B" w:rsidP="00BC4C9B">
      <w:pPr>
        <w:pStyle w:val="NoSpacing"/>
      </w:pPr>
    </w:p>
    <w:p w14:paraId="7BF21E89" w14:textId="77777777" w:rsidR="00BC4C9B" w:rsidRDefault="00BC4C9B" w:rsidP="00BC4C9B">
      <w:pPr>
        <w:pStyle w:val="NoSpacing"/>
      </w:pPr>
      <w:r>
        <w:t>***</w:t>
      </w:r>
    </w:p>
    <w:p w14:paraId="128A6FEC" w14:textId="77777777" w:rsidR="00BC4C9B" w:rsidRDefault="00BC4C9B" w:rsidP="00BC4C9B">
      <w:pPr>
        <w:pStyle w:val="NoSpacing"/>
      </w:pPr>
      <w:r w:rsidRPr="00A51A98">
        <w:t>Notwithstanding the denied station transfer in 2011, Amble was transferred to Fire Station #4 in January 2019</w:t>
      </w:r>
      <w:r>
        <w:t xml:space="preserve">…. </w:t>
      </w:r>
      <w:r w:rsidRPr="00A51A98">
        <w:t xml:space="preserve">While at Fire Station #4, Amble was present or subject to at least one conversation of a sexual nature, including two male firefighters crudely conversing in Amble's presence, questioning how vegans would </w:t>
      </w:r>
      <w:r>
        <w:t>‘</w:t>
      </w:r>
      <w:r w:rsidRPr="00A51A98">
        <w:t>suck dick,</w:t>
      </w:r>
      <w:r>
        <w:t>’</w:t>
      </w:r>
      <w:r w:rsidRPr="00A51A98">
        <w:t xml:space="preserve"> with one of them also stating that he would </w:t>
      </w:r>
      <w:r>
        <w:t>‘</w:t>
      </w:r>
      <w:r w:rsidRPr="00A51A98">
        <w:t>suck your dick so good.</w:t>
      </w:r>
      <w:r>
        <w:t xml:space="preserve">’ </w:t>
      </w:r>
    </w:p>
    <w:p w14:paraId="63F477D7" w14:textId="77777777" w:rsidR="00BC4C9B" w:rsidRDefault="00BC4C9B" w:rsidP="00BC4C9B">
      <w:pPr>
        <w:pStyle w:val="NoSpacing"/>
      </w:pPr>
    </w:p>
    <w:p w14:paraId="34A65B68" w14:textId="77777777" w:rsidR="00BC4C9B" w:rsidRDefault="00BC4C9B" w:rsidP="00BC4C9B">
      <w:pPr>
        <w:pStyle w:val="NoSpacing"/>
      </w:pPr>
      <w:r>
        <w:t>***</w:t>
      </w:r>
    </w:p>
    <w:p w14:paraId="6D0D78A0" w14:textId="77777777" w:rsidR="00BC4C9B" w:rsidRDefault="00BC4C9B" w:rsidP="00BC4C9B">
      <w:pPr>
        <w:pStyle w:val="NoSpacing"/>
      </w:pPr>
    </w:p>
    <w:p w14:paraId="38D975C8" w14:textId="77777777" w:rsidR="00BC4C9B" w:rsidRDefault="00BC4C9B" w:rsidP="00BC4C9B">
      <w:pPr>
        <w:pStyle w:val="NoSpacing"/>
      </w:pPr>
      <w:r w:rsidRPr="00686CD2">
        <w:t>Next, Amble found pornographic magazines in the restroom of another station</w:t>
      </w:r>
      <w:r>
        <w:t xml:space="preserve">…. </w:t>
      </w:r>
      <w:r w:rsidRPr="00686CD2">
        <w:t xml:space="preserve"> And Amble reported finding play money photoshopped with her image on it- apparently dubbed </w:t>
      </w:r>
      <w:r>
        <w:t>‘</w:t>
      </w:r>
      <w:r w:rsidRPr="00686CD2">
        <w:t>Sheena Bucks</w:t>
      </w:r>
      <w:r>
        <w:t>’</w:t>
      </w:r>
      <w:r w:rsidRPr="00686CD2">
        <w:t>-</w:t>
      </w:r>
      <w:r>
        <w:t xml:space="preserve"> </w:t>
      </w:r>
      <w:r w:rsidRPr="00686CD2">
        <w:t xml:space="preserve">on two separate occasions. Amble was the only female assigned to Fire Station #4. </w:t>
      </w:r>
    </w:p>
    <w:p w14:paraId="0988439D" w14:textId="77777777" w:rsidR="00BC4C9B" w:rsidRDefault="00BC4C9B" w:rsidP="00BC4C9B">
      <w:pPr>
        <w:pStyle w:val="NoSpacing"/>
      </w:pPr>
    </w:p>
    <w:p w14:paraId="4B969C3A" w14:textId="77777777" w:rsidR="00BC4C9B" w:rsidRDefault="00BC4C9B" w:rsidP="00BC4C9B">
      <w:pPr>
        <w:pStyle w:val="NoSpacing"/>
      </w:pPr>
      <w:r>
        <w:t xml:space="preserve">Paragraph 6: </w:t>
      </w:r>
      <w:r w:rsidRPr="001C7B3D">
        <w:t xml:space="preserve">As to this last point, a disputed fact remains </w:t>
      </w:r>
      <w:r w:rsidRPr="001C7B3D">
        <w:rPr>
          <w:i/>
          <w:iCs/>
        </w:rPr>
        <w:t>why</w:t>
      </w:r>
      <w:r w:rsidRPr="001C7B3D">
        <w:t xml:space="preserve"> another RFD employee made and published this image. Amble uses it as evidence of further sexual harassment, describing it as a “humiliating display[]... contributing] to a hostile environment.” </w:t>
      </w:r>
      <w:r>
        <w:t>…</w:t>
      </w:r>
      <w:r w:rsidRPr="001C7B3D">
        <w:t xml:space="preserve">RFD argues that the money was </w:t>
      </w:r>
      <w:proofErr w:type="gramStart"/>
      <w:r w:rsidRPr="001C7B3D">
        <w:t>actually posted</w:t>
      </w:r>
      <w:proofErr w:type="gramEnd"/>
      <w:r w:rsidRPr="001C7B3D">
        <w:t xml:space="preserve"> in response to Amble's reputation for paying other RFD employees to take shifts for her</w:t>
      </w:r>
      <w:r>
        <w:t xml:space="preserve">…. </w:t>
      </w:r>
      <w:r w:rsidRPr="001C7B3D">
        <w:t xml:space="preserve"> To the extent RFD uses an unproduced document detailing time trades that was sprung on Amble mid-deposition, Amble's objection is sustained for the purpose of summary judgment. In any event, there being an imbalance in time trades doesn't foreclose the possibility that the play money still constituted sexual harassment. That's a question for a jury.</w:t>
      </w:r>
    </w:p>
    <w:p w14:paraId="6BF42DC4" w14:textId="77777777" w:rsidR="00BC4C9B" w:rsidRPr="00EB4692" w:rsidRDefault="00BC4C9B" w:rsidP="00BC4C9B">
      <w:pPr>
        <w:pStyle w:val="NoSpacing"/>
      </w:pPr>
    </w:p>
    <w:p w14:paraId="118CAA19" w14:textId="77777777" w:rsidR="00BC4C9B" w:rsidRDefault="00BC4C9B" w:rsidP="00BC4C9B">
      <w:pPr>
        <w:pStyle w:val="NoSpacing"/>
      </w:pPr>
      <w:r>
        <w:t>***</w:t>
      </w:r>
    </w:p>
    <w:p w14:paraId="5C663827" w14:textId="77777777" w:rsidR="00BC4C9B" w:rsidRDefault="00BC4C9B" w:rsidP="00BC4C9B">
      <w:pPr>
        <w:pStyle w:val="NoSpacing"/>
      </w:pPr>
      <w:r w:rsidRPr="00875D03">
        <w:t>Amble complained to Captain Willie Brown and Human Resources Director Shaurice Hunter about this conduct and an investigation was conducted</w:t>
      </w:r>
      <w:r>
        <w:t xml:space="preserve">…. </w:t>
      </w:r>
      <w:r w:rsidRPr="00875D03">
        <w:t xml:space="preserve">This wasn't a formal disciplinary investigation, but rather an </w:t>
      </w:r>
      <w:r>
        <w:t>‘</w:t>
      </w:r>
      <w:r w:rsidRPr="00875D03">
        <w:t>informal fact-finding process.</w:t>
      </w:r>
      <w:r>
        <w:t>’ …</w:t>
      </w:r>
      <w:r w:rsidRPr="00875D03">
        <w:t xml:space="preserve"> Hunter found violations of rules and regulations but recommended only additional training be provided in sexual harassment, diversity, and business etiquette and professionalism</w:t>
      </w:r>
      <w:r>
        <w:t>…</w:t>
      </w:r>
      <w:r>
        <w:rPr>
          <w:vertAlign w:val="superscript"/>
        </w:rPr>
        <w:t xml:space="preserve">. </w:t>
      </w:r>
      <w:r w:rsidRPr="00875D03">
        <w:t xml:space="preserve"> Brown held meetings to try to resolve the conflict, but after these were unsuccessful, Amble insisted on escalating the </w:t>
      </w:r>
      <w:proofErr w:type="gramStart"/>
      <w:r w:rsidRPr="00875D03">
        <w:t>issues</w:t>
      </w:r>
      <w:r>
        <w:t>.”</w:t>
      </w:r>
      <w:proofErr w:type="gramEnd"/>
    </w:p>
    <w:p w14:paraId="58851D6A" w14:textId="77777777" w:rsidR="00BC4C9B" w:rsidRDefault="00BC4C9B" w:rsidP="00BC4C9B">
      <w:pPr>
        <w:pStyle w:val="NoSpacing"/>
      </w:pPr>
    </w:p>
    <w:p w14:paraId="05C63EE8" w14:textId="77777777" w:rsidR="00BC4C9B" w:rsidRPr="00875D03" w:rsidRDefault="00BC4C9B" w:rsidP="00BC4C9B">
      <w:pPr>
        <w:pStyle w:val="NoSpacing"/>
        <w:rPr>
          <w:b/>
          <w:bCs/>
        </w:rPr>
      </w:pPr>
      <w:r w:rsidRPr="00875D03">
        <w:rPr>
          <w:b/>
        </w:rPr>
        <w:t>COURT HELD:</w:t>
      </w:r>
    </w:p>
    <w:p w14:paraId="21680421" w14:textId="77777777" w:rsidR="00BC4C9B" w:rsidRDefault="00BC4C9B" w:rsidP="00BC4C9B">
      <w:pPr>
        <w:pStyle w:val="NoSpacing"/>
      </w:pPr>
    </w:p>
    <w:p w14:paraId="2E732228" w14:textId="77777777" w:rsidR="00BC4C9B" w:rsidRDefault="00BC4C9B" w:rsidP="00BC4C9B">
      <w:pPr>
        <w:pStyle w:val="NoSpacing"/>
      </w:pPr>
      <w:r>
        <w:t>“</w:t>
      </w:r>
      <w:r w:rsidRPr="00613EDA">
        <w:t xml:space="preserve">In a single paragraph, RFD claims that the harassment suffered by Amble was not sexual harassment, in that it was not “based on” her sex. RFD Memorandum [64] at 15. Amble responds by pointing toward the record indicating sexually inappropriate conversations in the workplace and the presence of pornography- specifically </w:t>
      </w:r>
      <w:proofErr w:type="spellStart"/>
      <w:r w:rsidRPr="00613EDA">
        <w:t>PlayBoy</w:t>
      </w:r>
      <w:proofErr w:type="spellEnd"/>
      <w:r w:rsidRPr="00613EDA">
        <w:t xml:space="preserve"> and </w:t>
      </w:r>
      <w:proofErr w:type="spellStart"/>
      <w:r w:rsidRPr="00613EDA">
        <w:t>PentHouse</w:t>
      </w:r>
      <w:proofErr w:type="spellEnd"/>
      <w:r w:rsidRPr="00613EDA">
        <w:t xml:space="preserve"> magazines-in a setting where she was the only female employee. Amble Response Brief [73] at 4-5</w:t>
      </w:r>
      <w:r>
        <w:t xml:space="preserve">…. </w:t>
      </w:r>
      <w:r w:rsidRPr="00FF490D">
        <w:t xml:space="preserve">Looking specifically to the conduct occurring at RFD though, a reasonable jury </w:t>
      </w:r>
      <w:r>
        <w:t xml:space="preserve"> </w:t>
      </w:r>
      <w:r w:rsidRPr="00FF490D">
        <w:t>could find that the harassment was related to Amble's sex sufficient to constitute sexual harassment</w:t>
      </w:r>
      <w:r>
        <w:t>.”</w:t>
      </w:r>
    </w:p>
    <w:p w14:paraId="11F22CE7" w14:textId="77777777" w:rsidR="00BC4C9B" w:rsidRDefault="00BC4C9B" w:rsidP="00BC4C9B">
      <w:pPr>
        <w:pStyle w:val="NoSpacing"/>
      </w:pPr>
    </w:p>
    <w:p w14:paraId="12B161A1" w14:textId="77777777" w:rsidR="00BC4C9B" w:rsidRDefault="00BC4C9B" w:rsidP="00BC4C9B">
      <w:pPr>
        <w:pStyle w:val="NoSpacing"/>
      </w:pPr>
      <w:r>
        <w:rPr>
          <w:b/>
        </w:rPr>
        <w:t xml:space="preserve">Legal lesson learned: Captain tried to informally handle; best to promptly inform Chief and conduct formal investigation. </w:t>
      </w:r>
      <w:r>
        <w:t xml:space="preserve"> </w:t>
      </w:r>
    </w:p>
    <w:p w14:paraId="39FB0A72" w14:textId="77777777" w:rsidR="00BC4C9B" w:rsidRDefault="00BC4C9B" w:rsidP="00BC4C9B">
      <w:pPr>
        <w:pStyle w:val="NoSpacing"/>
      </w:pPr>
    </w:p>
    <w:p w14:paraId="3658B674" w14:textId="77777777" w:rsidR="00BC4C9B" w:rsidRDefault="00BC4C9B" w:rsidP="00C235E8">
      <w:pPr>
        <w:pStyle w:val="NoSpacing"/>
        <w:rPr>
          <w:rFonts w:ascii="Arial Black" w:hAnsi="Arial Black"/>
          <w:sz w:val="28"/>
          <w:szCs w:val="28"/>
        </w:rPr>
      </w:pPr>
    </w:p>
    <w:p w14:paraId="64E0D045" w14:textId="77777777" w:rsidR="00BC4C9B" w:rsidRDefault="00BC4C9B" w:rsidP="00C235E8">
      <w:pPr>
        <w:pStyle w:val="NoSpacing"/>
        <w:rPr>
          <w:rFonts w:ascii="Arial Black" w:hAnsi="Arial Black"/>
          <w:sz w:val="28"/>
          <w:szCs w:val="28"/>
        </w:rPr>
      </w:pPr>
    </w:p>
    <w:p w14:paraId="615A3AC4" w14:textId="045C52CA" w:rsidR="008E1A23" w:rsidRDefault="00174D48" w:rsidP="00C235E8">
      <w:pPr>
        <w:pStyle w:val="NoSpacing"/>
        <w:rPr>
          <w:rFonts w:ascii="Arial Black" w:hAnsi="Arial Black"/>
          <w:sz w:val="28"/>
          <w:szCs w:val="28"/>
        </w:rPr>
      </w:pPr>
      <w:r>
        <w:rPr>
          <w:rFonts w:ascii="Arial Black" w:hAnsi="Arial Black"/>
          <w:sz w:val="28"/>
          <w:szCs w:val="28"/>
        </w:rPr>
        <w:t>7-92</w:t>
      </w:r>
    </w:p>
    <w:p w14:paraId="627D7365" w14:textId="77777777" w:rsidR="008E1A23" w:rsidRPr="00C028F5" w:rsidRDefault="008E1A23" w:rsidP="008E1A23">
      <w:pPr>
        <w:pStyle w:val="NoSpacing"/>
        <w:rPr>
          <w:bCs/>
        </w:rPr>
      </w:pPr>
    </w:p>
    <w:p w14:paraId="01C0C8DB" w14:textId="77777777" w:rsidR="008E1A23" w:rsidRPr="00387B27" w:rsidRDefault="008E1A23" w:rsidP="008E1A23">
      <w:pPr>
        <w:rPr>
          <w:rFonts w:ascii="Arial Black" w:hAnsi="Arial Black"/>
          <w:b/>
          <w:sz w:val="28"/>
          <w:szCs w:val="28"/>
        </w:rPr>
      </w:pPr>
      <w:r>
        <w:rPr>
          <w:rFonts w:ascii="Arial Black" w:hAnsi="Arial Black"/>
          <w:b/>
          <w:sz w:val="28"/>
          <w:szCs w:val="28"/>
        </w:rPr>
        <w:t>MA: FORMER CHIEF – $1.5M – PROTESTED NIECE DISCRIM</w:t>
      </w:r>
    </w:p>
    <w:p w14:paraId="5BE620E5" w14:textId="77777777" w:rsidR="008E1A23" w:rsidRDefault="008E1A23" w:rsidP="008E1A23">
      <w:pPr>
        <w:pStyle w:val="NoSpacing"/>
        <w:rPr>
          <w:bCs/>
        </w:rPr>
      </w:pPr>
      <w:r>
        <w:t xml:space="preserve">On May 15, 2026, in </w:t>
      </w:r>
      <w:r w:rsidRPr="00EC782D">
        <w:rPr>
          <w:u w:val="single"/>
        </w:rPr>
        <w:t>Kevin C. Robinson v. Town of Mansfield</w:t>
      </w:r>
      <w:r>
        <w:t xml:space="preserve">, the </w:t>
      </w:r>
      <w:r w:rsidRPr="00467B0D">
        <w:t>Supreme Judicial Court of Massachusetts, Plymouth</w:t>
      </w:r>
      <w:r>
        <w:t xml:space="preserve"> held (6 to 0) that the jury award of compensatory and punitive damages is affirmed, and the former Fire Chief can also apply for reimbursement of attorney fees for the appeal.  </w:t>
      </w:r>
      <w:r w:rsidRPr="00E31486">
        <w:t>Robinson began working as a</w:t>
      </w:r>
      <w:r>
        <w:t xml:space="preserve"> </w:t>
      </w:r>
      <w:r w:rsidRPr="00E31486">
        <w:t>firefighter for the town in 1978. In 2003, Robinson was</w:t>
      </w:r>
      <w:r>
        <w:t xml:space="preserve"> </w:t>
      </w:r>
      <w:r w:rsidRPr="00E31486">
        <w:t>appointed fire chief by the town's board of selectmen</w:t>
      </w:r>
      <w:r>
        <w:t>. THE COURT WROTE: “</w:t>
      </w:r>
      <w:r w:rsidRPr="00FA570B">
        <w:t>Both Robinson's brother, Shaun, and Robinson's son, Craig,</w:t>
      </w:r>
      <w:r>
        <w:t xml:space="preserve"> </w:t>
      </w:r>
      <w:r w:rsidRPr="00FA570B">
        <w:t>were firefighters in the department and worked under Robinson's</w:t>
      </w:r>
      <w:r>
        <w:t xml:space="preserve"> </w:t>
      </w:r>
      <w:r w:rsidRPr="00FA570B">
        <w:t>supervision for several years.</w:t>
      </w:r>
      <w:r>
        <w:t xml:space="preserve"> </w:t>
      </w:r>
      <w:r w:rsidRPr="00081490">
        <w:t>In February 2013,</w:t>
      </w:r>
      <w:r>
        <w:t xml:space="preserve"> </w:t>
      </w:r>
      <w:r w:rsidRPr="00081490">
        <w:t>the department had two vacancies. The top two candidates on the</w:t>
      </w:r>
      <w:r>
        <w:t xml:space="preserve"> </w:t>
      </w:r>
      <w:r w:rsidRPr="00081490">
        <w:t>civil service examination, both women, were Jodi Corrigan and</w:t>
      </w:r>
      <w:r>
        <w:t xml:space="preserve"> </w:t>
      </w:r>
      <w:r w:rsidRPr="00081490">
        <w:t>Robinson's niece, Shauna, who was a paramedic. Before Shauna</w:t>
      </w:r>
      <w:r>
        <w:t xml:space="preserve"> </w:t>
      </w:r>
      <w:r w:rsidRPr="00081490">
        <w:t>was hired, Robinson met with the board to discuss potential</w:t>
      </w:r>
      <w:r>
        <w:t xml:space="preserve"> </w:t>
      </w:r>
      <w:r w:rsidRPr="00081490">
        <w:t>conflicts of interest in connection with her employment.</w:t>
      </w:r>
      <w:r>
        <w:t xml:space="preserve"> </w:t>
      </w:r>
      <w:r w:rsidRPr="00081490">
        <w:t>Although nieces are not immediate family members under G. L.</w:t>
      </w:r>
      <w:r>
        <w:t xml:space="preserve"> </w:t>
      </w:r>
      <w:r w:rsidRPr="00081490">
        <w:t>c. 268A, Robinson nevertheless submitted the forms disclosing</w:t>
      </w:r>
      <w:r>
        <w:t xml:space="preserve"> </w:t>
      </w:r>
      <w:r w:rsidRPr="00081490">
        <w:t>his financial interest and the appearance of a conflict of</w:t>
      </w:r>
      <w:r>
        <w:t xml:space="preserve"> </w:t>
      </w:r>
      <w:r w:rsidRPr="00081490">
        <w:t>interest, under § 19 (b) and § 23 (b) (3), as he had done when</w:t>
      </w:r>
      <w:r>
        <w:t xml:space="preserve"> </w:t>
      </w:r>
      <w:r w:rsidRPr="00081490">
        <w:t>Shaun and Craig were hired.</w:t>
      </w:r>
      <w:r>
        <w:t xml:space="preserve"> </w:t>
      </w:r>
      <w:r w:rsidRPr="009B2829">
        <w:t>Robinson also recused himself from</w:t>
      </w:r>
      <w:r>
        <w:t xml:space="preserve"> </w:t>
      </w:r>
      <w:r w:rsidRPr="009B2829">
        <w:t>the hiring process.</w:t>
      </w:r>
      <w:r>
        <w:t xml:space="preserve"> </w:t>
      </w:r>
      <w:r w:rsidRPr="00714E6C">
        <w:t>In October 2013, the board approved Shauna's selection and</w:t>
      </w:r>
      <w:r>
        <w:t xml:space="preserve"> </w:t>
      </w:r>
      <w:r w:rsidRPr="00714E6C">
        <w:t>Robinson's disclosure forms but set several conditions with</w:t>
      </w:r>
      <w:r>
        <w:t xml:space="preserve"> </w:t>
      </w:r>
      <w:r w:rsidRPr="00714E6C">
        <w:t>respect to Robinson's involvement in Shauna, Craig, or Shaun's</w:t>
      </w:r>
      <w:r>
        <w:t xml:space="preserve"> </w:t>
      </w:r>
      <w:r w:rsidRPr="00714E6C">
        <w:t>work. Specifically, as to these family members, Robinson was</w:t>
      </w:r>
      <w:r>
        <w:t xml:space="preserve"> </w:t>
      </w:r>
      <w:r w:rsidRPr="00714E6C">
        <w:t>required to recuse himself from decisions relating to</w:t>
      </w:r>
      <w:r>
        <w:t xml:space="preserve"> </w:t>
      </w:r>
      <w:r w:rsidRPr="00714E6C">
        <w:t>appointments or promotions; prohibited from making any</w:t>
      </w:r>
      <w:r>
        <w:t xml:space="preserve"> </w:t>
      </w:r>
      <w:r w:rsidRPr="00714E6C">
        <w:t>discretionary assignments resulting in additional wages or</w:t>
      </w:r>
      <w:r>
        <w:t xml:space="preserve"> </w:t>
      </w:r>
      <w:r w:rsidRPr="00714E6C">
        <w:t>overtime; and required to refer any disciplinary matters to the</w:t>
      </w:r>
      <w:r>
        <w:t xml:space="preserve"> </w:t>
      </w:r>
      <w:r w:rsidRPr="00A33750">
        <w:t>town administrator, Rocco Longo, who would be responsible for</w:t>
      </w:r>
      <w:r>
        <w:t xml:space="preserve"> </w:t>
      </w:r>
      <w:r w:rsidRPr="00A33750">
        <w:t>investigating the matter and making a recommendation to</w:t>
      </w:r>
      <w:r>
        <w:t xml:space="preserve"> </w:t>
      </w:r>
      <w:r w:rsidRPr="00A33750">
        <w:t>Robinson.</w:t>
      </w:r>
      <w:r>
        <w:t xml:space="preserve"> *** </w:t>
      </w:r>
      <w:r w:rsidRPr="00154D65">
        <w:t xml:space="preserve">Robinson </w:t>
      </w:r>
      <w:r>
        <w:t xml:space="preserve"> </w:t>
      </w:r>
      <w:r w:rsidRPr="00154D65">
        <w:t>alleged that the</w:t>
      </w:r>
      <w:r>
        <w:t xml:space="preserve"> </w:t>
      </w:r>
      <w:r w:rsidRPr="00154D65">
        <w:t>town retaliated against him for complaining that his niece</w:t>
      </w:r>
      <w:r>
        <w:t xml:space="preserve"> … </w:t>
      </w:r>
      <w:r w:rsidRPr="00154D65">
        <w:t>was being</w:t>
      </w:r>
      <w:r>
        <w:t xml:space="preserve"> </w:t>
      </w:r>
      <w:r w:rsidRPr="00154D65">
        <w:t>discriminated against because of her gender. After trial, a</w:t>
      </w:r>
      <w:r>
        <w:t xml:space="preserve"> </w:t>
      </w:r>
      <w:r w:rsidRPr="00154D65">
        <w:t>jury found the town liable for retaliation and awarded Robinson</w:t>
      </w:r>
      <w:r>
        <w:t xml:space="preserve"> </w:t>
      </w:r>
      <w:r w:rsidRPr="00154D65">
        <w:t>compensatory and punitive damages</w:t>
      </w:r>
      <w:r>
        <w:t xml:space="preserve">… </w:t>
      </w:r>
      <w:r w:rsidRPr="00663491">
        <w:t>We conclude that there was sufficient evidence for the jury</w:t>
      </w:r>
      <w:r>
        <w:t xml:space="preserve"> </w:t>
      </w:r>
      <w:r w:rsidRPr="00663491">
        <w:t>to find that the town retaliated against Robinson because he</w:t>
      </w:r>
      <w:r>
        <w:t xml:space="preserve"> </w:t>
      </w:r>
      <w:r w:rsidRPr="00663491">
        <w:t xml:space="preserve">complained of gender </w:t>
      </w:r>
      <w:proofErr w:type="gramStart"/>
      <w:r w:rsidRPr="00663491">
        <w:t>discrimination</w:t>
      </w:r>
      <w:r>
        <w:t>.”</w:t>
      </w:r>
      <w:proofErr w:type="gramEnd"/>
      <w:r>
        <w:t xml:space="preserve"> </w:t>
      </w:r>
      <w:hyperlink r:id="rId1311" w:history="1">
        <w:r w:rsidRPr="008966A9">
          <w:rPr>
            <w:rStyle w:val="Hyperlink"/>
          </w:rPr>
          <w:t>https://www.mass.gov/doc/robinson-v-marshfield-sjc-f13825/download</w:t>
        </w:r>
      </w:hyperlink>
      <w:r>
        <w:t xml:space="preserve"> </w:t>
      </w:r>
    </w:p>
    <w:p w14:paraId="2688D8E5" w14:textId="77777777" w:rsidR="008E1A23" w:rsidRDefault="008E1A23" w:rsidP="008E1A23">
      <w:pPr>
        <w:pStyle w:val="NoSpacing"/>
        <w:rPr>
          <w:bCs/>
        </w:rPr>
      </w:pPr>
    </w:p>
    <w:p w14:paraId="6AF5A2A7" w14:textId="77777777" w:rsidR="008E1A23" w:rsidRDefault="008E1A23" w:rsidP="008E1A23">
      <w:pPr>
        <w:pStyle w:val="NoSpacing"/>
        <w:rPr>
          <w:bCs/>
        </w:rPr>
      </w:pPr>
      <w:r>
        <w:t xml:space="preserve">THE COURT HELD: </w:t>
      </w:r>
      <w:r w:rsidRPr="00154D65">
        <w:t xml:space="preserve"> </w:t>
      </w:r>
      <w:r>
        <w:t xml:space="preserve"> </w:t>
      </w:r>
    </w:p>
    <w:p w14:paraId="6C6DDC39" w14:textId="77777777" w:rsidR="008E1A23" w:rsidRDefault="008E1A23" w:rsidP="008E1A23">
      <w:pPr>
        <w:pStyle w:val="NoSpacing"/>
        <w:rPr>
          <w:bCs/>
        </w:rPr>
      </w:pPr>
    </w:p>
    <w:p w14:paraId="4DA664C7" w14:textId="77777777" w:rsidR="008E1A23" w:rsidRDefault="008E1A23" w:rsidP="008E1A23">
      <w:pPr>
        <w:pStyle w:val="NoSpacing"/>
        <w:ind w:left="720"/>
        <w:rPr>
          <w:bCs/>
        </w:rPr>
      </w:pPr>
      <w:r>
        <w:t xml:space="preserve">“In November 2023, the Town authorized the hiring of the Fire Chief’s niece, Shauna, and another female firefighter, Jodi Corrigan.  While Jodi successfully completed her one-year probationary training, by </w:t>
      </w:r>
      <w:r w:rsidRPr="00E144F8">
        <w:t>early January 2014, multiple supervisors had expressed concerns</w:t>
      </w:r>
      <w:r>
        <w:t xml:space="preserve"> </w:t>
      </w:r>
      <w:r w:rsidRPr="00E144F8">
        <w:t>that Shauna was struggling with her training</w:t>
      </w:r>
      <w:r>
        <w:t xml:space="preserve">. </w:t>
      </w:r>
      <w:r w:rsidRPr="00E75635">
        <w:t>Shauna was evaluated by two outside fire chiefs and a paramedic, none of whom recommended that she be fired. However,</w:t>
      </w:r>
      <w:r>
        <w:t xml:space="preserve"> </w:t>
      </w:r>
      <w:r w:rsidRPr="00E75635">
        <w:t>Town Administrator Rocco Longo</w:t>
      </w:r>
      <w:r>
        <w:t xml:space="preserve"> </w:t>
      </w:r>
      <w:r w:rsidRPr="00E75635">
        <w:t xml:space="preserve">recommended that she be fired. </w:t>
      </w:r>
      <w:r>
        <w:t xml:space="preserve">Chief </w:t>
      </w:r>
      <w:r w:rsidRPr="00E75635">
        <w:t>Robinson spoke up for his niece.</w:t>
      </w:r>
      <w:r>
        <w:t xml:space="preserve">  </w:t>
      </w:r>
      <w:r w:rsidRPr="008B6C87">
        <w:t>Shauna ultimately suffered a shoulder</w:t>
      </w:r>
      <w:r>
        <w:t xml:space="preserve"> </w:t>
      </w:r>
      <w:r w:rsidRPr="008B6C87">
        <w:t>injury that prevented her from reporting to the fire academy,</w:t>
      </w:r>
      <w:r>
        <w:t xml:space="preserve"> </w:t>
      </w:r>
      <w:r w:rsidRPr="008B6C87">
        <w:t>and she resigned on April 13, 2014</w:t>
      </w:r>
      <w:r>
        <w:t xml:space="preserve">…. </w:t>
      </w:r>
      <w:r w:rsidRPr="00C8736C">
        <w:t>Corrigan likewise</w:t>
      </w:r>
      <w:r>
        <w:t xml:space="preserve"> </w:t>
      </w:r>
      <w:r w:rsidRPr="00C8736C">
        <w:t>resigned before the end of her first year and accepted</w:t>
      </w:r>
      <w:r>
        <w:t xml:space="preserve"> </w:t>
      </w:r>
      <w:r w:rsidRPr="00455DC7">
        <w:t>employment with a different fire department because morale at</w:t>
      </w:r>
      <w:r>
        <w:t xml:space="preserve"> </w:t>
      </w:r>
      <w:r w:rsidRPr="00455DC7">
        <w:t>the department was low and there was conflict among the union,</w:t>
      </w:r>
      <w:r>
        <w:t xml:space="preserve"> </w:t>
      </w:r>
      <w:r w:rsidRPr="00455DC7">
        <w:t>Robinson, and other employees</w:t>
      </w:r>
      <w:r>
        <w:t xml:space="preserve">.  </w:t>
      </w:r>
      <w:r w:rsidRPr="00A5359B">
        <w:t xml:space="preserve">On March 12, 2015, Robinson </w:t>
      </w:r>
      <w:r>
        <w:t xml:space="preserve">facing termination </w:t>
      </w:r>
      <w:r w:rsidRPr="00A5359B">
        <w:t>resigned.</w:t>
      </w:r>
      <w:r>
        <w:t xml:space="preserve">  The jury awarded him </w:t>
      </w:r>
      <w:r w:rsidRPr="000A5539">
        <w:t>$1,532,652.80. </w:t>
      </w:r>
      <w:r>
        <w:t xml:space="preserve">THE COURT WROTE: </w:t>
      </w:r>
      <w:r w:rsidRPr="00663491">
        <w:t>We conclude that there was sufficient evidence for the jury</w:t>
      </w:r>
      <w:r>
        <w:t xml:space="preserve"> </w:t>
      </w:r>
      <w:r w:rsidRPr="00663491">
        <w:t>to find that the town retaliated against Robinson because he</w:t>
      </w:r>
      <w:r>
        <w:t xml:space="preserve"> </w:t>
      </w:r>
      <w:r w:rsidRPr="00663491">
        <w:t>complained of gender discrimination.</w:t>
      </w:r>
    </w:p>
    <w:p w14:paraId="0374F9B1" w14:textId="77777777" w:rsidR="008E1A23" w:rsidRDefault="008E1A23" w:rsidP="008E1A23">
      <w:pPr>
        <w:pStyle w:val="NoSpacing"/>
        <w:ind w:left="720"/>
        <w:rPr>
          <w:bCs/>
        </w:rPr>
      </w:pPr>
    </w:p>
    <w:p w14:paraId="399BB525" w14:textId="77777777" w:rsidR="008E1A23" w:rsidRDefault="008E1A23" w:rsidP="008E1A23">
      <w:pPr>
        <w:pStyle w:val="NoSpacing"/>
        <w:ind w:left="720"/>
        <w:rPr>
          <w:bCs/>
        </w:rPr>
      </w:pPr>
      <w:r>
        <w:t>***</w:t>
      </w:r>
    </w:p>
    <w:p w14:paraId="25812EF9" w14:textId="77777777" w:rsidR="008E1A23" w:rsidRDefault="008E1A23" w:rsidP="008E1A23">
      <w:pPr>
        <w:ind w:left="720"/>
        <w:rPr>
          <w:bCs/>
        </w:rPr>
      </w:pPr>
      <w:r w:rsidRPr="00CC2969">
        <w:t>Finally, the evidence was also sufficient for the jury to</w:t>
      </w:r>
      <w:r>
        <w:t xml:space="preserve"> </w:t>
      </w:r>
      <w:r w:rsidRPr="00CC2969">
        <w:t>infer causation, that is, that the town retaliated against</w:t>
      </w:r>
      <w:r>
        <w:t xml:space="preserve"> </w:t>
      </w:r>
      <w:r w:rsidRPr="00CC2969">
        <w:t>Robinson because he complained of gender discrimination</w:t>
      </w:r>
      <w:r>
        <w:t xml:space="preserve">…. </w:t>
      </w:r>
      <w:r w:rsidRPr="002E25C3">
        <w:t>When Robinson began to complain about the unfair</w:t>
      </w:r>
      <w:r>
        <w:t xml:space="preserve"> </w:t>
      </w:r>
      <w:r w:rsidRPr="002E25C3">
        <w:t>treatment of Shauna</w:t>
      </w:r>
      <w:r>
        <w:t xml:space="preserve"> [his niece]</w:t>
      </w:r>
      <w:r w:rsidRPr="002E25C3">
        <w:t>, he had been successfully employed in the</w:t>
      </w:r>
      <w:r>
        <w:t xml:space="preserve"> </w:t>
      </w:r>
      <w:r w:rsidRPr="002E25C3">
        <w:t>department for more than three decades and had been the chief</w:t>
      </w:r>
      <w:r>
        <w:t xml:space="preserve"> </w:t>
      </w:r>
      <w:r w:rsidRPr="002E25C3">
        <w:t>for over one decade. After his complaint, a series of</w:t>
      </w:r>
      <w:r>
        <w:t xml:space="preserve"> </w:t>
      </w:r>
      <w:r w:rsidRPr="002E25C3">
        <w:t>interrelated actions occurred in relatively short order in a way</w:t>
      </w:r>
      <w:r>
        <w:t xml:space="preserve"> </w:t>
      </w:r>
      <w:r w:rsidRPr="002E25C3">
        <w:t>that could be reasonably interpreted as retaliatory</w:t>
      </w:r>
      <w:r>
        <w:t xml:space="preserve">…. </w:t>
      </w:r>
      <w:r w:rsidRPr="00E002D3">
        <w:t>Within ten days of Robinson's reporting of Shaun's</w:t>
      </w:r>
      <w:r>
        <w:t xml:space="preserve"> </w:t>
      </w:r>
      <w:r w:rsidRPr="00E002D3">
        <w:t>complaint that she had not been treated the same as similarly</w:t>
      </w:r>
      <w:r>
        <w:t xml:space="preserve"> </w:t>
      </w:r>
      <w:r w:rsidRPr="00E002D3">
        <w:t xml:space="preserve">situated male employees, Longo </w:t>
      </w:r>
      <w:r>
        <w:t>[</w:t>
      </w:r>
      <w:r w:rsidRPr="00A25082">
        <w:t>Town Administrator Rocco</w:t>
      </w:r>
      <w:r>
        <w:t xml:space="preserve">] </w:t>
      </w:r>
      <w:r w:rsidRPr="00E002D3">
        <w:t xml:space="preserve">and Clifford </w:t>
      </w:r>
      <w:r>
        <w:t>[</w:t>
      </w:r>
      <w:r w:rsidRPr="009640D4">
        <w:t>John Clifford</w:t>
      </w:r>
      <w:r>
        <w:t xml:space="preserve">, the </w:t>
      </w:r>
      <w:r w:rsidRPr="00F23D88">
        <w:t>town's labor</w:t>
      </w:r>
      <w:r>
        <w:t xml:space="preserve"> c</w:t>
      </w:r>
      <w:r w:rsidRPr="00F23D88">
        <w:t>ounsel</w:t>
      </w:r>
      <w:r>
        <w:t xml:space="preserve">] </w:t>
      </w:r>
      <w:r w:rsidRPr="00E002D3">
        <w:t>met with Robinson to</w:t>
      </w:r>
      <w:r>
        <w:t xml:space="preserve"> </w:t>
      </w:r>
      <w:r w:rsidRPr="00E002D3">
        <w:t>discuss a possible conflict of interest in violation of G. L.</w:t>
      </w:r>
      <w:r>
        <w:t xml:space="preserve"> </w:t>
      </w:r>
      <w:r w:rsidRPr="00E002D3">
        <w:t>c. 268A. Approximately three months after Robinson complained</w:t>
      </w:r>
      <w:r>
        <w:t xml:space="preserve"> </w:t>
      </w:r>
      <w:r w:rsidRPr="00E002D3">
        <w:t>to the board that Shauna was being treated unfairly, the board</w:t>
      </w:r>
      <w:r>
        <w:t xml:space="preserve"> </w:t>
      </w:r>
      <w:r w:rsidRPr="00E002D3">
        <w:t>voted not to renew his employment contract and not to increase</w:t>
      </w:r>
      <w:r>
        <w:t xml:space="preserve"> </w:t>
      </w:r>
      <w:r w:rsidRPr="00E002D3">
        <w:t>his salary. Then, almost two months after he refused to retire,</w:t>
      </w:r>
      <w:r>
        <w:t xml:space="preserve"> </w:t>
      </w:r>
      <w:r w:rsidRPr="00E002D3">
        <w:t>the Smith investigation began. Finally, about one month after</w:t>
      </w:r>
      <w:r>
        <w:t xml:space="preserve"> </w:t>
      </w:r>
      <w:r w:rsidRPr="00E002D3">
        <w:t>Galvin notified Smith</w:t>
      </w:r>
      <w:r>
        <w:t xml:space="preserve"> [outside legal counsel conducting Town’s investigation] </w:t>
      </w:r>
      <w:r w:rsidRPr="00E002D3">
        <w:t>about Robinson's apparent assistance in</w:t>
      </w:r>
      <w:r>
        <w:t xml:space="preserve"> </w:t>
      </w:r>
      <w:r w:rsidRPr="00E002D3">
        <w:t xml:space="preserve">Shauna's MCAD </w:t>
      </w:r>
      <w:r>
        <w:t>[</w:t>
      </w:r>
      <w:r w:rsidRPr="006A6DBE">
        <w:t>Massachusetts Commission Against Discrimination</w:t>
      </w:r>
      <w:r>
        <w:t xml:space="preserve">] </w:t>
      </w:r>
      <w:r w:rsidRPr="00E002D3">
        <w:t>complaint, Robinson was escorted from the</w:t>
      </w:r>
      <w:r>
        <w:t xml:space="preserve"> </w:t>
      </w:r>
      <w:r w:rsidRPr="00F065E1">
        <w:t>influence offenses. The timing of these events, demonstrating</w:t>
      </w:r>
      <w:r>
        <w:t xml:space="preserve"> </w:t>
      </w:r>
      <w:r w:rsidRPr="00F065E1">
        <w:t>temporal connections between complaints of discrimination and</w:t>
      </w:r>
      <w:r>
        <w:t xml:space="preserve"> </w:t>
      </w:r>
      <w:r w:rsidRPr="00F065E1">
        <w:t>the town's reaction, is sufficient evidence to support the</w:t>
      </w:r>
      <w:r>
        <w:t xml:space="preserve"> </w:t>
      </w:r>
      <w:r w:rsidRPr="00F065E1">
        <w:t>jury's determination that the town retaliated against Robinson</w:t>
      </w:r>
      <w:r>
        <w:t xml:space="preserve"> </w:t>
      </w:r>
      <w:r w:rsidRPr="00F065E1">
        <w:t>because of his protected activity.</w:t>
      </w:r>
      <w:r>
        <w:t>”</w:t>
      </w:r>
    </w:p>
    <w:p w14:paraId="67F3DAD3" w14:textId="77777777" w:rsidR="008E1A23" w:rsidRDefault="008E1A23" w:rsidP="008E1A23">
      <w:pPr>
        <w:rPr>
          <w:b/>
        </w:rPr>
      </w:pPr>
      <w:r>
        <w:rPr>
          <w:b/>
        </w:rPr>
        <w:t xml:space="preserve">Legal lesson learned:  A Fire Chief was required to recuse himself from discipline concerning his brother, his son and his niece; but had legal right to express concern to Town about gender discrimination to wars his niece. </w:t>
      </w:r>
    </w:p>
    <w:p w14:paraId="111EBEBA" w14:textId="77777777" w:rsidR="008E1A23" w:rsidRDefault="008E1A23" w:rsidP="008E1A23">
      <w:pPr>
        <w:ind w:left="720"/>
        <w:rPr>
          <w:bCs/>
        </w:rPr>
      </w:pPr>
      <w:r>
        <w:t>Note: The niece may have had some training issues.</w:t>
      </w:r>
    </w:p>
    <w:p w14:paraId="63879287" w14:textId="77777777" w:rsidR="008E1A23" w:rsidRDefault="008E1A23" w:rsidP="008E1A23">
      <w:pPr>
        <w:ind w:left="720"/>
        <w:rPr>
          <w:bCs/>
        </w:rPr>
      </w:pPr>
      <w:r>
        <w:t xml:space="preserve">Footnote 4: </w:t>
      </w:r>
    </w:p>
    <w:p w14:paraId="630D1E48" w14:textId="77777777" w:rsidR="008E1A23" w:rsidRDefault="008E1A23" w:rsidP="008E1A23">
      <w:pPr>
        <w:ind w:left="720"/>
        <w:rPr>
          <w:bCs/>
        </w:rPr>
      </w:pPr>
      <w:r>
        <w:t>“</w:t>
      </w:r>
      <w:r w:rsidRPr="00D82CF8">
        <w:t xml:space="preserve">For example, Cipullo </w:t>
      </w:r>
      <w:r>
        <w:t>[</w:t>
      </w:r>
      <w:r w:rsidRPr="00AB76E2">
        <w:t>Captain Louis</w:t>
      </w:r>
      <w:r>
        <w:t xml:space="preserve">] </w:t>
      </w:r>
      <w:r w:rsidRPr="00D82CF8">
        <w:t xml:space="preserve">was concerned that Shauna was too short for the job and that she </w:t>
      </w:r>
      <w:proofErr w:type="gramStart"/>
      <w:r w:rsidRPr="00D82CF8">
        <w:t>was not able to</w:t>
      </w:r>
      <w:proofErr w:type="gramEnd"/>
      <w:r w:rsidRPr="00D82CF8">
        <w:t xml:space="preserve"> reach the trucks’ side ladders, physically throw ground ladders, or raise a twenty-four-foot ladder. Morgan expressed concerns about Shauna's decision-making during emergency calls and indicated on most of her evaluation forms that Shauna needed retraining and her performance fell below expectations. The firefighters union president, Matthew Cohen, observed that Shauna was unable to complete </w:t>
      </w:r>
      <w:r>
        <w:t>‘</w:t>
      </w:r>
      <w:r w:rsidRPr="00D82CF8">
        <w:t>the stair chair of a patient down a few steps</w:t>
      </w:r>
      <w:r>
        <w:t>’</w:t>
      </w:r>
      <w:r w:rsidRPr="00D82CF8">
        <w:t xml:space="preserve"> or interpret </w:t>
      </w:r>
      <w:r>
        <w:t>‘</w:t>
      </w:r>
      <w:r w:rsidRPr="00D82CF8">
        <w:t>a 12-lead [electrocardiogram]</w:t>
      </w:r>
      <w:r>
        <w:t>’</w:t>
      </w:r>
      <w:r w:rsidRPr="00D82CF8">
        <w:t>; she failed to report a gastrointestinal bleed to hospital staff; and she did not know that all patients who accidentally received epinephrine injections had to be transported to the hospital. On January 1, 2014, two months into her one-year probationary period, Cipullo told Shauna that she was running out of time to improve her skills.</w:t>
      </w:r>
      <w:r>
        <w:t xml:space="preserve">” </w:t>
      </w:r>
    </w:p>
    <w:p w14:paraId="094F96D0" w14:textId="77777777" w:rsidR="008E1A23" w:rsidRDefault="008E1A23" w:rsidP="008E1A23">
      <w:pPr>
        <w:ind w:left="720"/>
      </w:pPr>
      <w:r>
        <w:t>See this article: “</w:t>
      </w:r>
      <w:r w:rsidRPr="00707FE8">
        <w:t>Former Marshfield fire chief won more than $1.5 million in retaliation lawsuit against town.</w:t>
      </w:r>
      <w:r>
        <w:t xml:space="preserve">” </w:t>
      </w:r>
      <w:r>
        <w:rPr>
          <w:b/>
        </w:rPr>
        <w:t xml:space="preserve"> </w:t>
      </w:r>
      <w:r w:rsidRPr="0072612F">
        <w:t>Kevin Robinson, chief of the fire department from 2003, was allegedly forced to retire from the department in 2015 when he spoke up for a female family member in the department facing discrimination.</w:t>
      </w:r>
      <w:r>
        <w:t xml:space="preserve"> </w:t>
      </w:r>
      <w:hyperlink r:id="rId1312" w:history="1">
        <w:r w:rsidRPr="006B0B97">
          <w:rPr>
            <w:rStyle w:val="Hyperlink"/>
          </w:rPr>
          <w:t>https://www.boston.com/news/local-news/2024/05/15/former-marshfield-fire-chief-won-more-than-1-5-million-in-retaliation-lawsuit-against-town/</w:t>
        </w:r>
      </w:hyperlink>
    </w:p>
    <w:p w14:paraId="4D595731" w14:textId="77777777" w:rsidR="008E1A23" w:rsidRDefault="008E1A23" w:rsidP="008E1A23">
      <w:pPr>
        <w:pStyle w:val="NoSpacing"/>
        <w:rPr>
          <w:bCs/>
        </w:rPr>
      </w:pPr>
    </w:p>
    <w:p w14:paraId="7772E464" w14:textId="77777777" w:rsidR="008E1A23" w:rsidRDefault="008E1A23" w:rsidP="008E1A23">
      <w:pPr>
        <w:pStyle w:val="NoSpacing"/>
        <w:rPr>
          <w:bCs/>
        </w:rPr>
      </w:pPr>
    </w:p>
    <w:p w14:paraId="0DB0B842" w14:textId="77777777" w:rsidR="008E1A23" w:rsidRDefault="008E1A23" w:rsidP="008E1A23">
      <w:pPr>
        <w:pStyle w:val="NoSpacing"/>
        <w:rPr>
          <w:bCs/>
        </w:rPr>
      </w:pPr>
    </w:p>
    <w:p w14:paraId="4BF98AF3" w14:textId="3A115AE1" w:rsidR="008E1A23" w:rsidRPr="00174D48" w:rsidRDefault="00174D48" w:rsidP="008E1A23">
      <w:pPr>
        <w:pStyle w:val="NoSpacing"/>
        <w:rPr>
          <w:rFonts w:ascii="Arial Black" w:hAnsi="Arial Black"/>
          <w:bCs/>
          <w:sz w:val="24"/>
          <w:szCs w:val="24"/>
        </w:rPr>
      </w:pPr>
      <w:r w:rsidRPr="00174D48">
        <w:rPr>
          <w:rFonts w:ascii="Arial Black" w:hAnsi="Arial Black"/>
          <w:bCs/>
          <w:sz w:val="24"/>
          <w:szCs w:val="24"/>
        </w:rPr>
        <w:t>7-91</w:t>
      </w:r>
    </w:p>
    <w:p w14:paraId="72CA893E" w14:textId="77777777" w:rsidR="00174D48" w:rsidRPr="006C3CFB" w:rsidRDefault="00174D48" w:rsidP="008E1A23">
      <w:pPr>
        <w:pStyle w:val="NoSpacing"/>
        <w:rPr>
          <w:bCs/>
        </w:rPr>
      </w:pPr>
    </w:p>
    <w:p w14:paraId="3F547673" w14:textId="77777777" w:rsidR="008E1A23" w:rsidRDefault="008E1A23" w:rsidP="008E1A23">
      <w:pPr>
        <w:pStyle w:val="NoSpacing"/>
        <w:rPr>
          <w:rFonts w:ascii="Arial Black" w:hAnsi="Arial Black"/>
          <w:sz w:val="28"/>
          <w:szCs w:val="28"/>
        </w:rPr>
      </w:pPr>
      <w:r>
        <w:rPr>
          <w:rFonts w:ascii="Arial Black" w:hAnsi="Arial Black"/>
          <w:sz w:val="28"/>
          <w:szCs w:val="28"/>
        </w:rPr>
        <w:t>VA: FEMALE BC – OUTSIDE FIRM INTERVIEWS - FIRE CHIEF</w:t>
      </w:r>
    </w:p>
    <w:p w14:paraId="26510261" w14:textId="77777777" w:rsidR="008E1A23" w:rsidRDefault="008E1A23" w:rsidP="008E1A23">
      <w:pPr>
        <w:pStyle w:val="NoSpacing"/>
        <w:rPr>
          <w:rFonts w:ascii="Arial Black" w:hAnsi="Arial Black"/>
          <w:sz w:val="28"/>
          <w:szCs w:val="28"/>
        </w:rPr>
      </w:pPr>
    </w:p>
    <w:p w14:paraId="0CD50C99" w14:textId="77777777" w:rsidR="008E1A23" w:rsidRPr="008E7970" w:rsidRDefault="008E1A23" w:rsidP="008E1A23">
      <w:pPr>
        <w:pStyle w:val="NoSpacing"/>
      </w:pPr>
      <w:r>
        <w:t xml:space="preserve">On May 14, 2026, in </w:t>
      </w:r>
      <w:r w:rsidRPr="006C7B0D">
        <w:rPr>
          <w:u w:val="single"/>
        </w:rPr>
        <w:t>Kathleen Stanley McCaffery v. Fairfax County</w:t>
      </w:r>
      <w:r>
        <w:t xml:space="preserve">, U.S. District Court Judge Rossie D. Alston, Jr., </w:t>
      </w:r>
      <w:r w:rsidRPr="00C93EE3">
        <w:t>United States District Court, E</w:t>
      </w:r>
      <w:r>
        <w:t xml:space="preserve">astern District of </w:t>
      </w:r>
      <w:r w:rsidRPr="00C93EE3">
        <w:t>Virginia</w:t>
      </w:r>
      <w:r>
        <w:t xml:space="preserve">, Alexandia Division, held that the Battalion Chief </w:t>
      </w:r>
      <w:r w:rsidRPr="008E7970">
        <w:t>failed to meet her burden as to pretext, and summary judgment will be granted to Defendant on her denial of promotion claims.</w:t>
      </w:r>
      <w:r>
        <w:t xml:space="preserve">  O</w:t>
      </w:r>
      <w:r w:rsidRPr="00181FCF">
        <w:t xml:space="preserve">n June 20, 2018, Plaintiff was interviewed by William Howland from </w:t>
      </w:r>
      <w:proofErr w:type="spellStart"/>
      <w:r w:rsidRPr="00181FCF">
        <w:t>PoliHire</w:t>
      </w:r>
      <w:proofErr w:type="spellEnd"/>
      <w:r w:rsidRPr="00181FCF">
        <w:t>, LLC, a third-party executive recruitment firm that was retained by the County to lead the recruitment and selection process for the Fire Chief vacancy</w:t>
      </w:r>
      <w:r>
        <w:t xml:space="preserve">; she was not selected as one of the three </w:t>
      </w:r>
      <w:proofErr w:type="gramStart"/>
      <w:r>
        <w:t>finalist</w:t>
      </w:r>
      <w:proofErr w:type="gramEnd"/>
      <w:r>
        <w:t>. THE COURT WROTE:</w:t>
      </w:r>
    </w:p>
    <w:p w14:paraId="6450F663" w14:textId="77777777" w:rsidR="008E1A23" w:rsidRDefault="008E1A23" w:rsidP="008E1A23">
      <w:pPr>
        <w:pStyle w:val="NoSpacing"/>
      </w:pPr>
      <w:r>
        <w:t>“</w:t>
      </w:r>
      <w:r w:rsidRPr="00714A3B">
        <w:t>Here, Plaintiff has presented no evidence, beyond her own conclusory opinion, that she was more qualified than Butler</w:t>
      </w:r>
      <w:r>
        <w:t xml:space="preserve"> [</w:t>
      </w:r>
      <w:r w:rsidRPr="009E1E48">
        <w:t>John Butler</w:t>
      </w:r>
      <w:r>
        <w:t xml:space="preserve">, </w:t>
      </w:r>
      <w:r w:rsidRPr="009E1E48">
        <w:t>Fire Chief, Howard County, Maryland, Fire and Rescue Department</w:t>
      </w:r>
      <w:r>
        <w:t xml:space="preserve">]…. </w:t>
      </w:r>
      <w:r w:rsidRPr="00714A3B">
        <w:t xml:space="preserve"> Additionally, even considering Plaintiff's inability to compete theory, based on the record before the Court, any inference of sex discrimination is undermined by: (</w:t>
      </w:r>
      <w:proofErr w:type="spellStart"/>
      <w:r w:rsidRPr="00714A3B">
        <w:t>i</w:t>
      </w:r>
      <w:proofErr w:type="spellEnd"/>
      <w:r w:rsidRPr="00714A3B">
        <w:t>) the fact that Plaintiff fails to allege any sex-based bias on behalf of the third-party selection firm; and (ii) the fact that the third-party selection firm did refer Merrell</w:t>
      </w:r>
      <w:r>
        <w:t xml:space="preserve"> [</w:t>
      </w:r>
      <w:r w:rsidRPr="009E1E48">
        <w:t>Moore Merrell</w:t>
      </w:r>
      <w:r>
        <w:t xml:space="preserve">, </w:t>
      </w:r>
      <w:r w:rsidRPr="009E1E48">
        <w:t>Senior Executive, IAFF</w:t>
      </w:r>
      <w:r>
        <w:t>]</w:t>
      </w:r>
      <w:r w:rsidRPr="00714A3B">
        <w:t>—a woman—for an interview.</w:t>
      </w:r>
      <w:r>
        <w:t xml:space="preserve">” </w:t>
      </w:r>
      <w:r w:rsidRPr="00714A3B">
        <w:t xml:space="preserve"> </w:t>
      </w:r>
      <w:hyperlink r:id="rId1313" w:history="1">
        <w:r w:rsidRPr="003823BB">
          <w:rPr>
            <w:rStyle w:val="Hyperlink"/>
          </w:rPr>
          <w:t>https://www.casemine.com/judgement/us/6a0be85df21cf013d419bfe6</w:t>
        </w:r>
      </w:hyperlink>
      <w:r>
        <w:t xml:space="preserve"> </w:t>
      </w:r>
    </w:p>
    <w:p w14:paraId="110925A2" w14:textId="77777777" w:rsidR="008E1A23" w:rsidRDefault="008E1A23" w:rsidP="008E1A23">
      <w:pPr>
        <w:pStyle w:val="NoSpacing"/>
      </w:pPr>
    </w:p>
    <w:p w14:paraId="26F58062" w14:textId="77777777" w:rsidR="008E1A23" w:rsidRDefault="008E1A23" w:rsidP="008E1A23">
      <w:pPr>
        <w:pStyle w:val="NoSpacing"/>
      </w:pPr>
    </w:p>
    <w:p w14:paraId="334B02D9" w14:textId="77777777" w:rsidR="008E1A23" w:rsidRDefault="008E1A23" w:rsidP="008E1A23">
      <w:pPr>
        <w:pStyle w:val="NoSpacing"/>
      </w:pPr>
      <w:r>
        <w:t>THE COURT HELD:</w:t>
      </w:r>
    </w:p>
    <w:p w14:paraId="5FB9111A" w14:textId="77777777" w:rsidR="008E1A23" w:rsidRDefault="008E1A23" w:rsidP="008E1A23">
      <w:pPr>
        <w:pStyle w:val="NoSpacing"/>
      </w:pPr>
    </w:p>
    <w:p w14:paraId="59D1FD38" w14:textId="77777777" w:rsidR="008E1A23" w:rsidRPr="00D41E9D" w:rsidRDefault="008E1A23" w:rsidP="008E1A23">
      <w:pPr>
        <w:pStyle w:val="NoSpacing"/>
        <w:ind w:firstLine="720"/>
      </w:pPr>
      <w:r>
        <w:t>“</w:t>
      </w:r>
      <w:r w:rsidRPr="00D41E9D">
        <w:t>The undisputed facts are as follows:</w:t>
      </w:r>
    </w:p>
    <w:p w14:paraId="67EC20F6" w14:textId="77777777" w:rsidR="008E1A23" w:rsidRDefault="008E1A23" w:rsidP="008E1A23">
      <w:pPr>
        <w:pStyle w:val="NoSpacing"/>
        <w:ind w:firstLine="720"/>
      </w:pPr>
    </w:p>
    <w:p w14:paraId="68B9727A" w14:textId="77777777" w:rsidR="008E1A23" w:rsidRDefault="008E1A23" w:rsidP="008E1A23">
      <w:pPr>
        <w:pStyle w:val="NoSpacing"/>
        <w:numPr>
          <w:ilvl w:val="0"/>
          <w:numId w:val="43"/>
        </w:numPr>
      </w:pPr>
      <w:r w:rsidRPr="00D41E9D">
        <w:t>Plaintiff was hired by the Fairfax County Fire and Rescue Department ("FRD") in January 1995 and promoted through the ranks throughout her career. Ultimately, Plaintiff was promoted to Battalion Chief in June 2011.</w:t>
      </w:r>
    </w:p>
    <w:p w14:paraId="2D69AEDA" w14:textId="77777777" w:rsidR="008E1A23" w:rsidRDefault="008E1A23" w:rsidP="008E1A23">
      <w:pPr>
        <w:pStyle w:val="NoSpacing"/>
      </w:pPr>
    </w:p>
    <w:p w14:paraId="4A65B6B0" w14:textId="77777777" w:rsidR="008E1A23" w:rsidRPr="00D41E9D" w:rsidRDefault="008E1A23" w:rsidP="008E1A23">
      <w:pPr>
        <w:pStyle w:val="NoSpacing"/>
        <w:ind w:left="720"/>
      </w:pPr>
      <w:r>
        <w:t>***</w:t>
      </w:r>
    </w:p>
    <w:p w14:paraId="3B1E6171" w14:textId="77777777" w:rsidR="008E1A23" w:rsidRDefault="008E1A23" w:rsidP="008E1A23">
      <w:pPr>
        <w:pStyle w:val="NoSpacing"/>
      </w:pPr>
    </w:p>
    <w:p w14:paraId="178D0E49" w14:textId="77777777" w:rsidR="008E1A23" w:rsidRDefault="008E1A23" w:rsidP="008E1A23">
      <w:pPr>
        <w:pStyle w:val="NoSpacing"/>
        <w:ind w:left="720"/>
      </w:pPr>
      <w:r w:rsidRPr="009E1E48">
        <w:t xml:space="preserve">106. </w:t>
      </w:r>
      <w:proofErr w:type="spellStart"/>
      <w:r w:rsidRPr="009E1E48">
        <w:t>PoliHire</w:t>
      </w:r>
      <w:proofErr w:type="spellEnd"/>
      <w:r w:rsidRPr="009E1E48">
        <w:t xml:space="preserve"> independently reviewed and interviewed numerous applicants for the FRD Fire Chief position. Of the applicants initially reviewed and interviewed, Derek Baker (Division Chief of Training and Interim Training and Operations Chief, Virginia Department of Fire Programs); John Butler (Fire Chief, Howard County, Maryland, Fire and Rescue Department); Manuel Fonseca (Assistant Chief (ret.), Nashville, Tennessee, Fire and Rescue Department); Lori Moore Merrell (Senior Executive, IAFF); and Charles Ryan (Assistant Chief, FRD) were selected and referred by </w:t>
      </w:r>
      <w:proofErr w:type="spellStart"/>
      <w:r w:rsidRPr="009E1E48">
        <w:t>PoliHire</w:t>
      </w:r>
      <w:proofErr w:type="spellEnd"/>
      <w:r w:rsidRPr="009E1E48">
        <w:t xml:space="preserve"> to advance to a panel interview for further consideration.</w:t>
      </w:r>
    </w:p>
    <w:p w14:paraId="1969BF05" w14:textId="77777777" w:rsidR="008E1A23" w:rsidRDefault="008E1A23" w:rsidP="008E1A23">
      <w:pPr>
        <w:pStyle w:val="NoSpacing"/>
        <w:ind w:left="720"/>
      </w:pPr>
    </w:p>
    <w:p w14:paraId="08D1D4A6" w14:textId="77777777" w:rsidR="008E1A23" w:rsidRDefault="008E1A23" w:rsidP="008E1A23">
      <w:pPr>
        <w:pStyle w:val="NoSpacing"/>
        <w:ind w:left="720"/>
      </w:pPr>
      <w:r>
        <w:t>***</w:t>
      </w:r>
    </w:p>
    <w:p w14:paraId="74D78FC3" w14:textId="77777777" w:rsidR="008E1A23" w:rsidRPr="009E1E48" w:rsidRDefault="008E1A23" w:rsidP="008E1A23">
      <w:pPr>
        <w:pStyle w:val="NoSpacing"/>
        <w:ind w:left="720"/>
      </w:pPr>
    </w:p>
    <w:p w14:paraId="0CB3132B" w14:textId="77777777" w:rsidR="008E1A23" w:rsidRDefault="008E1A23" w:rsidP="008E1A23">
      <w:pPr>
        <w:pStyle w:val="NoSpacing"/>
        <w:ind w:left="720"/>
      </w:pPr>
      <w:r w:rsidRPr="00A7465B">
        <w:t>108. Of the applicants who advanced to a panel interview, Butler, Merrell, and Ryan were selected and referred by the panel to advance to a final interview with Hill and the Fairfax County Board of Supervisors (the "Board").</w:t>
      </w:r>
    </w:p>
    <w:p w14:paraId="4CF31EAE" w14:textId="77777777" w:rsidR="008E1A23" w:rsidRDefault="008E1A23" w:rsidP="008E1A23">
      <w:pPr>
        <w:pStyle w:val="NoSpacing"/>
        <w:ind w:left="720"/>
      </w:pPr>
    </w:p>
    <w:p w14:paraId="25ECCCAF" w14:textId="77777777" w:rsidR="008E1A23" w:rsidRDefault="008E1A23" w:rsidP="008E1A23">
      <w:pPr>
        <w:pStyle w:val="NoSpacing"/>
        <w:ind w:left="720"/>
      </w:pPr>
      <w:r w:rsidRPr="00A7465B">
        <w:t>109. On July 10, 2018, the Board appointed Butler to serve as the Fire Chief, effective September 1, 2018.</w:t>
      </w:r>
    </w:p>
    <w:p w14:paraId="08751664" w14:textId="77777777" w:rsidR="008E1A23" w:rsidRDefault="008E1A23" w:rsidP="008E1A23">
      <w:pPr>
        <w:pStyle w:val="NoSpacing"/>
      </w:pPr>
    </w:p>
    <w:p w14:paraId="0EE8B261" w14:textId="77777777" w:rsidR="008E1A23" w:rsidRDefault="008E1A23" w:rsidP="008E1A23">
      <w:pPr>
        <w:pStyle w:val="NoSpacing"/>
        <w:ind w:firstLine="720"/>
        <w:rPr>
          <w:vertAlign w:val="superscript"/>
        </w:rPr>
      </w:pPr>
      <w:r w:rsidRPr="00E8660A">
        <w:t xml:space="preserve">110. Plaintiff does not contend that she was more qualified than </w:t>
      </w:r>
      <w:proofErr w:type="gramStart"/>
      <w:r w:rsidRPr="00E8660A">
        <w:t>Butler.</w:t>
      </w:r>
      <w:r>
        <w:rPr>
          <w:vertAlign w:val="superscript"/>
        </w:rPr>
        <w:t>”</w:t>
      </w:r>
      <w:proofErr w:type="gramEnd"/>
    </w:p>
    <w:p w14:paraId="100FE19F" w14:textId="77777777" w:rsidR="008E1A23" w:rsidRDefault="008E1A23" w:rsidP="008E1A23">
      <w:pPr>
        <w:pStyle w:val="NoSpacing"/>
        <w:ind w:firstLine="720"/>
        <w:rPr>
          <w:vertAlign w:val="superscript"/>
        </w:rPr>
      </w:pPr>
    </w:p>
    <w:p w14:paraId="4C4F54F2" w14:textId="77777777" w:rsidR="008E1A23" w:rsidRPr="009E16C5" w:rsidRDefault="008E1A23" w:rsidP="008E1A23">
      <w:pPr>
        <w:rPr>
          <w:b/>
          <w:bCs/>
        </w:rPr>
      </w:pPr>
      <w:r>
        <w:rPr>
          <w:b/>
        </w:rPr>
        <w:t xml:space="preserve">Legal lesson learned: </w:t>
      </w:r>
      <w:r w:rsidRPr="009E16C5">
        <w:rPr>
          <w:b/>
        </w:rPr>
        <w:t>Outside firm independently selected three lead candidates for Fire Chief position</w:t>
      </w:r>
      <w:r>
        <w:rPr>
          <w:b/>
        </w:rPr>
        <w:t>, and plaintiff did not make the cut</w:t>
      </w:r>
      <w:r w:rsidRPr="009E16C5">
        <w:rPr>
          <w:b/>
        </w:rPr>
        <w:t xml:space="preserve">. </w:t>
      </w:r>
    </w:p>
    <w:p w14:paraId="1A7AACFF" w14:textId="77777777" w:rsidR="008E1A23" w:rsidRDefault="008E1A23" w:rsidP="008E1A23">
      <w:pPr>
        <w:rPr>
          <w:bCs/>
        </w:rPr>
      </w:pPr>
    </w:p>
    <w:p w14:paraId="6F4B6762" w14:textId="77777777" w:rsidR="008E1A23" w:rsidRDefault="008E1A23" w:rsidP="008E1A23">
      <w:pPr>
        <w:rPr>
          <w:bCs/>
        </w:rPr>
      </w:pPr>
    </w:p>
    <w:p w14:paraId="13591615" w14:textId="77777777" w:rsidR="008E1A23" w:rsidRDefault="008E1A23" w:rsidP="00C235E8">
      <w:pPr>
        <w:pStyle w:val="NoSpacing"/>
        <w:rPr>
          <w:rFonts w:ascii="Arial Black" w:hAnsi="Arial Black"/>
          <w:sz w:val="28"/>
          <w:szCs w:val="28"/>
        </w:rPr>
      </w:pPr>
    </w:p>
    <w:p w14:paraId="29C03DEA" w14:textId="77777777" w:rsidR="008E1A23" w:rsidRDefault="008E1A23" w:rsidP="00C235E8">
      <w:pPr>
        <w:pStyle w:val="NoSpacing"/>
        <w:rPr>
          <w:rFonts w:ascii="Arial Black" w:hAnsi="Arial Black"/>
          <w:sz w:val="28"/>
          <w:szCs w:val="28"/>
        </w:rPr>
      </w:pPr>
    </w:p>
    <w:p w14:paraId="4D6A5E9C" w14:textId="77777777" w:rsidR="008E1A23" w:rsidRDefault="008E1A23" w:rsidP="00C235E8">
      <w:pPr>
        <w:pStyle w:val="NoSpacing"/>
        <w:rPr>
          <w:rFonts w:ascii="Arial Black" w:hAnsi="Arial Black"/>
          <w:sz w:val="28"/>
          <w:szCs w:val="28"/>
        </w:rPr>
      </w:pPr>
    </w:p>
    <w:p w14:paraId="4C9DF2EE" w14:textId="77777777" w:rsidR="008E1A23" w:rsidRDefault="008E1A23" w:rsidP="00C235E8">
      <w:pPr>
        <w:pStyle w:val="NoSpacing"/>
        <w:rPr>
          <w:rFonts w:ascii="Arial Black" w:hAnsi="Arial Black"/>
          <w:sz w:val="28"/>
          <w:szCs w:val="28"/>
        </w:rPr>
      </w:pPr>
    </w:p>
    <w:p w14:paraId="67202560" w14:textId="04BC733F" w:rsidR="002D45B5" w:rsidRDefault="002D45B5" w:rsidP="00C235E8">
      <w:pPr>
        <w:pStyle w:val="NoSpacing"/>
        <w:rPr>
          <w:rFonts w:ascii="Arial Black" w:hAnsi="Arial Black"/>
          <w:sz w:val="28"/>
          <w:szCs w:val="28"/>
        </w:rPr>
      </w:pPr>
      <w:r>
        <w:rPr>
          <w:rFonts w:ascii="Arial Black" w:hAnsi="Arial Black"/>
          <w:sz w:val="28"/>
          <w:szCs w:val="28"/>
        </w:rPr>
        <w:t>7-90</w:t>
      </w:r>
    </w:p>
    <w:p w14:paraId="4F82C022" w14:textId="77777777" w:rsidR="002D45B5" w:rsidRDefault="002D45B5" w:rsidP="00C235E8">
      <w:pPr>
        <w:pStyle w:val="NoSpacing"/>
        <w:rPr>
          <w:rFonts w:ascii="Arial Black" w:hAnsi="Arial Black"/>
          <w:sz w:val="28"/>
          <w:szCs w:val="28"/>
        </w:rPr>
      </w:pPr>
    </w:p>
    <w:p w14:paraId="2D3A39BE" w14:textId="5746BB0D" w:rsidR="00C235E8" w:rsidRPr="006D598E" w:rsidRDefault="00C235E8" w:rsidP="00C235E8">
      <w:pPr>
        <w:pStyle w:val="NoSpacing"/>
        <w:rPr>
          <w:rFonts w:ascii="Arial Black" w:hAnsi="Arial Black"/>
          <w:sz w:val="28"/>
          <w:szCs w:val="28"/>
        </w:rPr>
      </w:pPr>
      <w:r>
        <w:rPr>
          <w:rFonts w:ascii="Arial Black" w:hAnsi="Arial Black"/>
          <w:sz w:val="28"/>
          <w:szCs w:val="28"/>
        </w:rPr>
        <w:t>IL: CHICAGO - LACK FEMALE BATHROOMS – NO CASE</w:t>
      </w:r>
    </w:p>
    <w:p w14:paraId="2DC5FCC6" w14:textId="77777777" w:rsidR="00C235E8" w:rsidRDefault="00C235E8" w:rsidP="00C235E8">
      <w:pPr>
        <w:pStyle w:val="NoSpacing"/>
      </w:pPr>
    </w:p>
    <w:p w14:paraId="1F7F0E19" w14:textId="77777777" w:rsidR="00C235E8" w:rsidRPr="0005481A" w:rsidRDefault="00C235E8" w:rsidP="00C235E8">
      <w:pPr>
        <w:pStyle w:val="NoSpacing"/>
        <w:rPr>
          <w:bCs/>
        </w:rPr>
      </w:pPr>
      <w:r>
        <w:t xml:space="preserve">On April 23, 2026, in </w:t>
      </w:r>
      <w:r w:rsidRPr="00372C97">
        <w:rPr>
          <w:u w:val="single"/>
        </w:rPr>
        <w:t>Lee Ann McKay v. City of Chicago</w:t>
      </w:r>
      <w:r>
        <w:t xml:space="preserve">, U.S. District Court Judge Rebecca R. </w:t>
      </w:r>
      <w:proofErr w:type="spellStart"/>
      <w:r>
        <w:t>Pallmeyer</w:t>
      </w:r>
      <w:proofErr w:type="spellEnd"/>
      <w:r>
        <w:t xml:space="preserve">, United States District Court for Northern District, </w:t>
      </w:r>
      <w:r w:rsidRPr="0005481A">
        <w:t>Eastern Division</w:t>
      </w:r>
      <w:r>
        <w:t xml:space="preserve"> granted the City’s motion for summary judgment. The plaintiff Fire Engineer-EMT filed a lawsuit pro se [no attorney] referencing that </w:t>
      </w:r>
      <w:r w:rsidRPr="00FA5BCB">
        <w:t>only 32 out of 96 total firehouses in Chicago have dedicated women's facilities</w:t>
      </w:r>
      <w:r>
        <w:t>.  However, “</w:t>
      </w:r>
      <w:r w:rsidRPr="00FA5BCB">
        <w:t>McKay identifies no evidence of that, or anything else that could support a jury finding that her use of a bathroom that was also used by male firefighters created a hostile work environment.</w:t>
      </w:r>
      <w:r>
        <w:t xml:space="preserve">”  </w:t>
      </w:r>
      <w:hyperlink r:id="rId1314" w:history="1">
        <w:r w:rsidRPr="003C3573">
          <w:rPr>
            <w:rStyle w:val="Hyperlink"/>
          </w:rPr>
          <w:t>https://public.fastcase.com/Jhe1Qn%2BmJndQYQU6z%2FeNm28hiR351dlql3mVrX%2BsW%2FImhVx6LSAbrfZ7R6LP8TbVpSsTp59uwiaa1M%2BxYMu%2FQBeMVJpWoOyQUcFN4LagzoA%3D?utm_medium=email&amp;_hsenc=p2ANqtz-_AWahbnWxhCpMGQYhqfNcYdYivaiXkQGNq4hyWsJQjqDO6KUeS-ltttGyoOKYk2fjuNkb2NzSqvCRrJD1Iyf-ei7DoTw&amp;_hsmi=226712652&amp;utm_content=226712652&amp;utm_source=hs_email</w:t>
        </w:r>
      </w:hyperlink>
      <w:r>
        <w:t xml:space="preserve"> </w:t>
      </w:r>
    </w:p>
    <w:p w14:paraId="684CAA93" w14:textId="77777777" w:rsidR="00C235E8" w:rsidRDefault="00C235E8" w:rsidP="00C235E8">
      <w:pPr>
        <w:pStyle w:val="NoSpacing"/>
      </w:pPr>
    </w:p>
    <w:p w14:paraId="6038ACE8" w14:textId="77777777" w:rsidR="00C235E8" w:rsidRDefault="00C235E8" w:rsidP="00C235E8">
      <w:pPr>
        <w:pStyle w:val="NoSpacing"/>
      </w:pPr>
      <w:r w:rsidRPr="00CA2CA0">
        <w:t xml:space="preserve">  </w:t>
      </w:r>
      <w:r>
        <w:t>THE COURT HELD:</w:t>
      </w:r>
    </w:p>
    <w:p w14:paraId="794E2282" w14:textId="77777777" w:rsidR="00C235E8" w:rsidRDefault="00C235E8" w:rsidP="00C235E8">
      <w:pPr>
        <w:pStyle w:val="NoSpacing"/>
      </w:pPr>
    </w:p>
    <w:p w14:paraId="458EDA73" w14:textId="77777777" w:rsidR="00C235E8" w:rsidRDefault="00C235E8" w:rsidP="00C235E8">
      <w:pPr>
        <w:pStyle w:val="NoSpacing"/>
        <w:ind w:left="720"/>
      </w:pPr>
      <w:r>
        <w:t>“</w:t>
      </w:r>
      <w:r w:rsidRPr="00FA5BCB">
        <w:t>She first cites to an affidavit submitted by Marek Wisniewski, Deputy Commissioner of the City's Department of Fleet and Facility Management, who states as of January 9, 2026, only 32 out of 96 total firehouses in Chicago have dedicated women's facilities</w:t>
      </w:r>
      <w:r>
        <w:t>….</w:t>
      </w:r>
      <w:r w:rsidRPr="00FA5BCB">
        <w:t xml:space="preserve"> The court presumes Plaintiff contends that the lack of a bathroom available only to women is a violation of Title VII. But the lack of a gendered bathroom, without more, is not discriminatory. There is no indication that women were not allowed to use </w:t>
      </w:r>
      <w:r w:rsidRPr="00FA5BCB">
        <w:rPr>
          <w:i/>
          <w:iCs/>
        </w:rPr>
        <w:t>any</w:t>
      </w:r>
      <w:r w:rsidRPr="00FA5BCB">
        <w:t xml:space="preserve"> restroom, only that the firehouse did not have a women-only restroom on site. Ms. McKay was not being treated differently because of her sex simply because she was asked to share a gender-neutral restroom with her male colleagues. McKay might be able to proceed to trial on a hostile work environment theory if she could show that she was regularly forced to use the toilet or shower in view of her male colleagues, for example, or if the situation in the restrooms led to sexual harassment by coworkers. But McKay identifies no evidence of that, or anything else that could support a jury finding that her use of a bathroom that was also used by male firefighters created a hostile work environment. </w:t>
      </w:r>
      <w:r w:rsidRPr="00FA5BCB">
        <w:rPr>
          <w:i/>
          <w:iCs/>
        </w:rPr>
        <w:t xml:space="preserve">See </w:t>
      </w:r>
      <w:proofErr w:type="spellStart"/>
      <w:r w:rsidRPr="00FA5BCB">
        <w:rPr>
          <w:i/>
          <w:iCs/>
        </w:rPr>
        <w:t>Swyear</w:t>
      </w:r>
      <w:proofErr w:type="spellEnd"/>
      <w:r w:rsidRPr="00FA5BCB">
        <w:rPr>
          <w:i/>
          <w:iCs/>
        </w:rPr>
        <w:t xml:space="preserve"> v. Fare Foods Corp</w:t>
      </w:r>
      <w:r w:rsidRPr="00FA5BCB">
        <w:t xml:space="preserve">., 911 F.3d 874, 880 (7th Cir. 2018) (observing that a plaintiff asserting a hostile work environment claim must show the </w:t>
      </w:r>
      <w:r>
        <w:t>‘</w:t>
      </w:r>
      <w:r w:rsidRPr="00FA5BCB">
        <w:t xml:space="preserve">conduct was so severe or pervasive as to alter the conditions of employment and create a hostile or abusive working environment). </w:t>
      </w:r>
    </w:p>
    <w:p w14:paraId="145F461F" w14:textId="77777777" w:rsidR="00C235E8" w:rsidRDefault="00C235E8" w:rsidP="00C235E8">
      <w:pPr>
        <w:pStyle w:val="NoSpacing"/>
        <w:ind w:left="720"/>
      </w:pPr>
    </w:p>
    <w:p w14:paraId="2611CCA9" w14:textId="77777777" w:rsidR="00C235E8" w:rsidRDefault="00C235E8" w:rsidP="00C235E8">
      <w:pPr>
        <w:pStyle w:val="NoSpacing"/>
        <w:ind w:left="720"/>
      </w:pPr>
      <w:r>
        <w:t>***</w:t>
      </w:r>
    </w:p>
    <w:p w14:paraId="13E5281E" w14:textId="77777777" w:rsidR="00C235E8" w:rsidRDefault="00C235E8" w:rsidP="00C235E8">
      <w:pPr>
        <w:pStyle w:val="NoSpacing"/>
        <w:ind w:left="720"/>
      </w:pPr>
    </w:p>
    <w:p w14:paraId="5940CDA1" w14:textId="77777777" w:rsidR="00C235E8" w:rsidRDefault="00C235E8" w:rsidP="00C235E8">
      <w:pPr>
        <w:pStyle w:val="NoSpacing"/>
        <w:ind w:left="720"/>
      </w:pPr>
      <w:r>
        <w:t>M</w:t>
      </w:r>
      <w:r w:rsidRPr="00457FA7">
        <w:t xml:space="preserve">cKay appears to argue that the City's policy of advantaging members of minority races in making promotion decisions constitutes discrimination </w:t>
      </w:r>
      <w:proofErr w:type="gramStart"/>
      <w:r w:rsidRPr="00457FA7">
        <w:t>on the basis of</w:t>
      </w:r>
      <w:proofErr w:type="gramEnd"/>
      <w:r w:rsidRPr="00457FA7">
        <w:t xml:space="preserve"> race</w:t>
      </w:r>
      <w:r>
        <w:t>….</w:t>
      </w:r>
      <w:r w:rsidRPr="00457FA7">
        <w:t xml:space="preserve"> </w:t>
      </w:r>
    </w:p>
    <w:p w14:paraId="261D8550" w14:textId="77777777" w:rsidR="00C235E8" w:rsidRDefault="00C235E8" w:rsidP="00C235E8">
      <w:pPr>
        <w:pStyle w:val="NoSpacing"/>
        <w:ind w:left="720"/>
      </w:pPr>
    </w:p>
    <w:p w14:paraId="55901026" w14:textId="77777777" w:rsidR="00C235E8" w:rsidRDefault="00C235E8" w:rsidP="00C235E8">
      <w:pPr>
        <w:pStyle w:val="NoSpacing"/>
        <w:ind w:left="1440"/>
      </w:pPr>
      <w:r>
        <w:t xml:space="preserve">Footnote 8: </w:t>
      </w:r>
      <w:r w:rsidRPr="002A757E">
        <w:t xml:space="preserve">The court observes that McKay was eventually offered the promotion more than once, but the offers down out of fear of retaliation. </w:t>
      </w:r>
      <w:r>
        <w:t xml:space="preserve"> </w:t>
      </w:r>
    </w:p>
    <w:p w14:paraId="12C86397" w14:textId="77777777" w:rsidR="00C235E8" w:rsidRDefault="00C235E8" w:rsidP="00C235E8">
      <w:pPr>
        <w:pStyle w:val="NoSpacing"/>
        <w:ind w:left="720"/>
      </w:pPr>
    </w:p>
    <w:p w14:paraId="2CA14CE8" w14:textId="77777777" w:rsidR="00C235E8" w:rsidRDefault="00C235E8" w:rsidP="00C235E8">
      <w:pPr>
        <w:pStyle w:val="NoSpacing"/>
        <w:ind w:left="720"/>
      </w:pPr>
      <w:r w:rsidRPr="00457FA7">
        <w:t xml:space="preserve">The problem with this claim is that the city has offered a lawful justification for its actions: the </w:t>
      </w:r>
      <w:r w:rsidRPr="00457FA7">
        <w:rPr>
          <w:i/>
          <w:iCs/>
        </w:rPr>
        <w:t>Albrecht</w:t>
      </w:r>
      <w:r w:rsidRPr="00457FA7">
        <w:t xml:space="preserve"> consent decree. As the City explains, a consent decree </w:t>
      </w:r>
      <w:proofErr w:type="gramStart"/>
      <w:r w:rsidRPr="00457FA7">
        <w:t>entered into</w:t>
      </w:r>
      <w:proofErr w:type="gramEnd"/>
      <w:r w:rsidRPr="00457FA7">
        <w:t xml:space="preserve"> between the United States and the City of Chicago in the case </w:t>
      </w:r>
      <w:r w:rsidRPr="00457FA7">
        <w:rPr>
          <w:i/>
          <w:iCs/>
        </w:rPr>
        <w:t>United States v. Albrecht</w:t>
      </w:r>
      <w:r w:rsidRPr="00457FA7">
        <w:t>, 80 C 1590 (N.D. Ill. March 31, 1980), required the use of limited racial preferences in promotion decisions at the Chicago Fire Department. McKay does not dispute that the consent decree was in place at the time the promotion decisions at issue were made, or that those individuals promoted before her were promoted due to the consent decree</w:t>
      </w:r>
      <w:r>
        <w:t xml:space="preserve">…. </w:t>
      </w:r>
      <w:r w:rsidRPr="00457FA7">
        <w:t xml:space="preserve">Since she has offered no alternative basis to hold the </w:t>
      </w:r>
      <w:proofErr w:type="gramStart"/>
      <w:r w:rsidRPr="00457FA7">
        <w:t>City</w:t>
      </w:r>
      <w:proofErr w:type="gramEnd"/>
      <w:r w:rsidRPr="00457FA7">
        <w:t xml:space="preserve"> liable under Title VII for its compliance with </w:t>
      </w:r>
      <w:r w:rsidRPr="00457FA7">
        <w:rPr>
          <w:i/>
          <w:iCs/>
        </w:rPr>
        <w:t>Albrecht</w:t>
      </w:r>
      <w:r w:rsidRPr="00457FA7">
        <w:t>, summary judgment is warranted on her race discrimination claim</w:t>
      </w:r>
      <w:r>
        <w:t xml:space="preserve">…. </w:t>
      </w:r>
    </w:p>
    <w:p w14:paraId="43102AD6" w14:textId="77777777" w:rsidR="00C235E8" w:rsidRDefault="00C235E8" w:rsidP="00C235E8">
      <w:pPr>
        <w:pStyle w:val="NoSpacing"/>
        <w:ind w:left="720"/>
      </w:pPr>
    </w:p>
    <w:p w14:paraId="5E482351" w14:textId="77777777" w:rsidR="00C235E8" w:rsidRDefault="00C235E8" w:rsidP="00C235E8">
      <w:pPr>
        <w:pStyle w:val="NoSpacing"/>
        <w:ind w:left="1440"/>
      </w:pPr>
      <w:r>
        <w:t xml:space="preserve">Footnote 5: </w:t>
      </w:r>
      <w:r w:rsidRPr="00C05B5C">
        <w:t xml:space="preserve">The United States and the City of Chicago later jointly moved to terminate the </w:t>
      </w:r>
      <w:r w:rsidRPr="00C05B5C">
        <w:rPr>
          <w:i/>
          <w:iCs/>
        </w:rPr>
        <w:t>Albrecht</w:t>
      </w:r>
      <w:r w:rsidRPr="00C05B5C">
        <w:t xml:space="preserve"> consent decree. On June 16, 2022, this court granted that motion in a separate case. (</w:t>
      </w:r>
      <w:r w:rsidRPr="00C05B5C">
        <w:rPr>
          <w:i/>
          <w:iCs/>
        </w:rPr>
        <w:t>See</w:t>
      </w:r>
      <w:r w:rsidRPr="00C05B5C">
        <w:t xml:space="preserve"> Order Granting Joint Motion to Dissolve in </w:t>
      </w:r>
      <w:r w:rsidRPr="00C05B5C">
        <w:rPr>
          <w:i/>
          <w:iCs/>
        </w:rPr>
        <w:t>Albrecht</w:t>
      </w:r>
      <w:r w:rsidRPr="00C05B5C">
        <w:t>, 80 C 01590 (</w:t>
      </w:r>
      <w:proofErr w:type="spellStart"/>
      <w:r w:rsidRPr="00C05B5C">
        <w:t>Pallmeyer</w:t>
      </w:r>
      <w:proofErr w:type="spellEnd"/>
      <w:r w:rsidRPr="00C05B5C">
        <w:t>, C.J.).)</w:t>
      </w:r>
    </w:p>
    <w:p w14:paraId="107FB086" w14:textId="77777777" w:rsidR="00C235E8" w:rsidRDefault="00C235E8" w:rsidP="00C235E8">
      <w:pPr>
        <w:pStyle w:val="NoSpacing"/>
        <w:ind w:left="720"/>
      </w:pPr>
    </w:p>
    <w:p w14:paraId="0DA3ACD8" w14:textId="77777777" w:rsidR="00C235E8" w:rsidRPr="00A92326" w:rsidRDefault="00C235E8" w:rsidP="00C235E8">
      <w:pPr>
        <w:pStyle w:val="NoSpacing"/>
        <w:rPr>
          <w:b/>
          <w:bCs/>
        </w:rPr>
      </w:pPr>
      <w:r>
        <w:rPr>
          <w:b/>
        </w:rPr>
        <w:t xml:space="preserve">Legal lesson learned: The lack of a “gendered bathroom” without more is not discriminatory. </w:t>
      </w:r>
    </w:p>
    <w:p w14:paraId="5B2A9BBB" w14:textId="77777777" w:rsidR="00C235E8" w:rsidRDefault="00C235E8" w:rsidP="00C235E8">
      <w:pPr>
        <w:pStyle w:val="NoSpacing"/>
      </w:pPr>
    </w:p>
    <w:p w14:paraId="0CA536CB" w14:textId="77777777" w:rsidR="00C235E8" w:rsidRDefault="00C235E8" w:rsidP="00C235E8">
      <w:pPr>
        <w:pStyle w:val="NoSpacing"/>
        <w:rPr>
          <w:bCs/>
        </w:rPr>
      </w:pPr>
    </w:p>
    <w:p w14:paraId="4772163E" w14:textId="13D0174D" w:rsidR="002D45B5" w:rsidRDefault="002D45B5" w:rsidP="002D45B5">
      <w:pPr>
        <w:pStyle w:val="NoSpacing"/>
        <w:rPr>
          <w:rFonts w:ascii="Arial Black" w:hAnsi="Arial Black"/>
          <w:sz w:val="28"/>
          <w:szCs w:val="28"/>
        </w:rPr>
      </w:pPr>
      <w:r>
        <w:rPr>
          <w:rFonts w:ascii="Arial Black" w:hAnsi="Arial Black"/>
          <w:sz w:val="28"/>
          <w:szCs w:val="28"/>
        </w:rPr>
        <w:t>7-89</w:t>
      </w:r>
    </w:p>
    <w:p w14:paraId="3E4E7E33" w14:textId="77777777" w:rsidR="00C6586C" w:rsidRDefault="00C6586C" w:rsidP="00292E1C">
      <w:pPr>
        <w:pStyle w:val="NoSpacing"/>
        <w:rPr>
          <w:rFonts w:ascii="Arial Black" w:hAnsi="Arial Black"/>
          <w:sz w:val="28"/>
          <w:szCs w:val="28"/>
        </w:rPr>
      </w:pPr>
    </w:p>
    <w:p w14:paraId="46415F72" w14:textId="77777777" w:rsidR="002D45B5" w:rsidRDefault="002D45B5" w:rsidP="002D45B5">
      <w:pPr>
        <w:pStyle w:val="NoSpacing"/>
        <w:rPr>
          <w:rFonts w:ascii="Arial Black" w:hAnsi="Arial Black"/>
          <w:b/>
          <w:sz w:val="28"/>
          <w:szCs w:val="28"/>
        </w:rPr>
      </w:pPr>
      <w:r>
        <w:rPr>
          <w:rFonts w:ascii="Arial Black" w:hAnsi="Arial Black"/>
          <w:b/>
          <w:sz w:val="28"/>
          <w:szCs w:val="28"/>
        </w:rPr>
        <w:t>OH: FEMALE EMT – SHOWED PHOTOS NAKED MALE - FIRED</w:t>
      </w:r>
    </w:p>
    <w:p w14:paraId="54F76E95" w14:textId="77777777" w:rsidR="002D45B5" w:rsidRDefault="002D45B5" w:rsidP="002D45B5">
      <w:pPr>
        <w:pStyle w:val="NoSpacing"/>
        <w:rPr>
          <w:rFonts w:ascii="Arial Black" w:hAnsi="Arial Black"/>
          <w:b/>
          <w:sz w:val="28"/>
          <w:szCs w:val="28"/>
        </w:rPr>
      </w:pPr>
    </w:p>
    <w:p w14:paraId="335A1FA0" w14:textId="77777777" w:rsidR="002D45B5" w:rsidRDefault="002D45B5" w:rsidP="002D45B5">
      <w:pPr>
        <w:pStyle w:val="NoSpacing"/>
      </w:pPr>
      <w:r w:rsidRPr="004B4E00">
        <w:t xml:space="preserve">On September 30, 2026, in </w:t>
      </w:r>
      <w:r w:rsidRPr="00F74F59">
        <w:rPr>
          <w:u w:val="single"/>
        </w:rPr>
        <w:t>Gertrude Crisp v. Scioto Ambulance District</w:t>
      </w:r>
      <w:r>
        <w:t>, U.S. District Court Judge J</w:t>
      </w:r>
      <w:r w:rsidRPr="005C66FA">
        <w:t>effery P. Hopkins</w:t>
      </w:r>
      <w:r>
        <w:t xml:space="preserve">, United States District Court for Southern District of Ohio, Western Division, granted summary judgment to the Ambulance District.  The female paramedic, who has been harassed by </w:t>
      </w:r>
      <w:r w:rsidRPr="00367F97">
        <w:t>Joshua Gullett,</w:t>
      </w:r>
      <w:r>
        <w:t xml:space="preserve"> complained to management in Fall 2018, and the Board </w:t>
      </w:r>
      <w:r w:rsidRPr="001E1E28">
        <w:t>responded by directing that Crisp and Gullett would no longer be scheduled together</w:t>
      </w:r>
      <w:r>
        <w:t>.  Thereafter they had limited contact with one another.  But “o</w:t>
      </w:r>
      <w:r w:rsidRPr="00924D3B">
        <w:t>n</w:t>
      </w:r>
      <w:r>
        <w:t xml:space="preserve"> </w:t>
      </w:r>
      <w:r w:rsidRPr="00924D3B">
        <w:t>June 9, 2022, Crisp showed two new Scioto Ambulance District employees—Marissa</w:t>
      </w:r>
      <w:r>
        <w:t xml:space="preserve"> </w:t>
      </w:r>
      <w:r w:rsidRPr="00924D3B">
        <w:t>Campbell and Sandra Thacker—a profile that Gullet maintained on the website Fetlife.com,</w:t>
      </w:r>
      <w:r>
        <w:t xml:space="preserve"> </w:t>
      </w:r>
      <w:r w:rsidRPr="00924D3B">
        <w:t>a sex-solicitation site that Gullet and his wife, Crystal Gullet, used to seek sexual partners.</w:t>
      </w:r>
      <w:r>
        <w:t xml:space="preserve"> </w:t>
      </w:r>
      <w:r w:rsidRPr="00323558">
        <w:t>The profile included several pictures of himself, as well</w:t>
      </w:r>
      <w:r>
        <w:t xml:space="preserve"> </w:t>
      </w:r>
      <w:r w:rsidRPr="0093640C">
        <w:t>as pictures of his wife, and pictures of his erect penis.</w:t>
      </w:r>
      <w:r>
        <w:t xml:space="preserve">”  Gullett learned of this a complained to management. Eric Lutz, a Scioto Ambulance District board member, </w:t>
      </w:r>
      <w:proofErr w:type="gramStart"/>
      <w:r>
        <w:t>conducted an investigation</w:t>
      </w:r>
      <w:proofErr w:type="gramEnd"/>
      <w:r>
        <w:t xml:space="preserve"> that </w:t>
      </w:r>
      <w:proofErr w:type="gramStart"/>
      <w:r>
        <w:t>lead</w:t>
      </w:r>
      <w:proofErr w:type="gramEnd"/>
      <w:r>
        <w:t xml:space="preserve"> to her termination on July 3, 2022.   </w:t>
      </w:r>
    </w:p>
    <w:p w14:paraId="237BFA45" w14:textId="77777777" w:rsidR="002D45B5" w:rsidRDefault="002D45B5" w:rsidP="002D45B5">
      <w:pPr>
        <w:pStyle w:val="NoSpacing"/>
      </w:pPr>
      <w:hyperlink r:id="rId1315" w:history="1">
        <w:r w:rsidRPr="003A6F30">
          <w:rPr>
            <w:rStyle w:val="Hyperlink"/>
          </w:rPr>
          <w:t>https://cases.justia.com/federal/district-courts/ohio/ohsdce/1:2023cv00273/279746/32/0.pdf?ts=1759344788</w:t>
        </w:r>
      </w:hyperlink>
      <w:r>
        <w:t xml:space="preserve"> </w:t>
      </w:r>
    </w:p>
    <w:p w14:paraId="663CE4EF" w14:textId="77777777" w:rsidR="002D45B5" w:rsidRDefault="002D45B5" w:rsidP="002D45B5">
      <w:pPr>
        <w:pStyle w:val="NoSpacing"/>
      </w:pPr>
    </w:p>
    <w:p w14:paraId="492783AF" w14:textId="77777777" w:rsidR="002D45B5" w:rsidRDefault="002D45B5" w:rsidP="002D45B5">
      <w:pPr>
        <w:pStyle w:val="NoSpacing"/>
        <w:rPr>
          <w:bCs/>
        </w:rPr>
      </w:pPr>
      <w:r>
        <w:t xml:space="preserve">THE COURT HELD: </w:t>
      </w:r>
    </w:p>
    <w:p w14:paraId="0BF3A8C5" w14:textId="77777777" w:rsidR="002D45B5" w:rsidRDefault="002D45B5" w:rsidP="002D45B5">
      <w:pPr>
        <w:pStyle w:val="NoSpacing"/>
        <w:rPr>
          <w:bCs/>
        </w:rPr>
      </w:pPr>
    </w:p>
    <w:p w14:paraId="1D9E3907" w14:textId="77777777" w:rsidR="002D45B5" w:rsidRPr="00AA05E2" w:rsidRDefault="002D45B5" w:rsidP="002D45B5">
      <w:pPr>
        <w:pStyle w:val="NoSpacing"/>
        <w:ind w:firstLine="720"/>
        <w:rPr>
          <w:bCs/>
        </w:rPr>
      </w:pPr>
      <w:r>
        <w:t>“</w:t>
      </w:r>
      <w:r w:rsidRPr="00AA05E2">
        <w:t>The details—including that the photos were from Fetlife.com—came out in Lutz’s</w:t>
      </w:r>
    </w:p>
    <w:p w14:paraId="59FE8281" w14:textId="77777777" w:rsidR="002D45B5" w:rsidRPr="00AA05E2" w:rsidRDefault="002D45B5" w:rsidP="002D45B5">
      <w:pPr>
        <w:pStyle w:val="NoSpacing"/>
        <w:ind w:firstLine="720"/>
        <w:rPr>
          <w:bCs/>
        </w:rPr>
      </w:pPr>
      <w:r w:rsidRPr="00AA05E2">
        <w:t>investigation, which he undertook shortly after receiving the report. In his report, Lutz</w:t>
      </w:r>
    </w:p>
    <w:p w14:paraId="13E17B36" w14:textId="77777777" w:rsidR="002D45B5" w:rsidRPr="00AA05E2" w:rsidRDefault="002D45B5" w:rsidP="002D45B5">
      <w:pPr>
        <w:pStyle w:val="NoSpacing"/>
        <w:ind w:firstLine="720"/>
        <w:rPr>
          <w:bCs/>
        </w:rPr>
      </w:pPr>
      <w:r w:rsidRPr="00AA05E2">
        <w:t>summarized his interview with Crisp as follows:</w:t>
      </w:r>
    </w:p>
    <w:p w14:paraId="4C40931E" w14:textId="77777777" w:rsidR="002D45B5" w:rsidRDefault="002D45B5" w:rsidP="002D45B5">
      <w:pPr>
        <w:pStyle w:val="NoSpacing"/>
        <w:rPr>
          <w:bCs/>
        </w:rPr>
      </w:pPr>
    </w:p>
    <w:p w14:paraId="6458D132" w14:textId="77777777" w:rsidR="002D45B5" w:rsidRDefault="002D45B5" w:rsidP="002D45B5">
      <w:pPr>
        <w:pStyle w:val="NoSpacing"/>
        <w:ind w:left="1440"/>
        <w:rPr>
          <w:bCs/>
        </w:rPr>
      </w:pPr>
      <w:r w:rsidRPr="00AA05E2">
        <w:t>She [Crisp] stated without reservation and without apology that she had shown nude</w:t>
      </w:r>
      <w:r>
        <w:t xml:space="preserve"> </w:t>
      </w:r>
      <w:r w:rsidRPr="00AA05E2">
        <w:t>photos of co-worker Josh Gullett to other employees while on duty and while on</w:t>
      </w:r>
      <w:r>
        <w:t xml:space="preserve"> </w:t>
      </w:r>
      <w:r w:rsidRPr="00AA05E2">
        <w:t>premises. Her reported reason for doing so was that (paraphrased) She (Ms. Crisp) did</w:t>
      </w:r>
      <w:r>
        <w:t xml:space="preserve"> </w:t>
      </w:r>
      <w:r w:rsidRPr="00AA05E2">
        <w:t>show the nude photos of Mr. Gullett to the other employees to “warn” them about</w:t>
      </w:r>
      <w:r>
        <w:t xml:space="preserve"> </w:t>
      </w:r>
      <w:r w:rsidRPr="00AA05E2">
        <w:t>“perverted and predatory” men in EMS, that there is a “list” of males in EMS who act</w:t>
      </w:r>
      <w:r>
        <w:t xml:space="preserve"> </w:t>
      </w:r>
      <w:r w:rsidRPr="00166533">
        <w:t>inappropriately toward other women in EMS, that those men may make professionally</w:t>
      </w:r>
      <w:r>
        <w:t xml:space="preserve"> </w:t>
      </w:r>
      <w:r w:rsidRPr="00166533">
        <w:t>inappropriate statements or make inappropriate requests of them . . . . In short, it is</w:t>
      </w:r>
      <w:r>
        <w:t xml:space="preserve"> </w:t>
      </w:r>
      <w:r w:rsidRPr="00166533">
        <w:t>Ms. Crisp’s contention that she showed the photos with the legitimate intention of</w:t>
      </w:r>
      <w:r>
        <w:t xml:space="preserve"> </w:t>
      </w:r>
      <w:r w:rsidRPr="00166533">
        <w:t>“warning” the other employees about alleged and potential male behavior, and that</w:t>
      </w:r>
      <w:r>
        <w:t xml:space="preserve"> </w:t>
      </w:r>
      <w:r w:rsidRPr="00166533">
        <w:t>this nude photo somehow “showed a pattern of behavior,” justified, and verified her</w:t>
      </w:r>
      <w:r>
        <w:t xml:space="preserve"> </w:t>
      </w:r>
      <w:r w:rsidRPr="00166533">
        <w:t>allegations about the other employees.</w:t>
      </w:r>
    </w:p>
    <w:p w14:paraId="3E5E4933" w14:textId="77777777" w:rsidR="002D45B5" w:rsidRDefault="002D45B5" w:rsidP="002D45B5">
      <w:pPr>
        <w:pStyle w:val="NoSpacing"/>
        <w:ind w:left="1440"/>
        <w:rPr>
          <w:bCs/>
        </w:rPr>
      </w:pPr>
    </w:p>
    <w:p w14:paraId="422B01CB" w14:textId="77777777" w:rsidR="002D45B5" w:rsidRPr="001A795C" w:rsidRDefault="002D45B5" w:rsidP="002D45B5">
      <w:pPr>
        <w:pStyle w:val="NoSpacing"/>
        <w:rPr>
          <w:bCs/>
        </w:rPr>
      </w:pPr>
      <w:r>
        <w:tab/>
      </w:r>
      <w:r w:rsidRPr="001A795C">
        <w:t>Lutz concluded the report by</w:t>
      </w:r>
      <w:r>
        <w:t xml:space="preserve"> </w:t>
      </w:r>
      <w:r w:rsidRPr="001A795C">
        <w:t>stating:</w:t>
      </w:r>
    </w:p>
    <w:p w14:paraId="06F0A18A" w14:textId="77777777" w:rsidR="002D45B5" w:rsidRDefault="002D45B5" w:rsidP="002D45B5">
      <w:pPr>
        <w:pStyle w:val="NoSpacing"/>
        <w:rPr>
          <w:bCs/>
        </w:rPr>
      </w:pPr>
    </w:p>
    <w:p w14:paraId="5871E7F9" w14:textId="77777777" w:rsidR="002D45B5" w:rsidRPr="001A795C" w:rsidRDefault="002D45B5" w:rsidP="002D45B5">
      <w:pPr>
        <w:pStyle w:val="NoSpacing"/>
        <w:ind w:left="1440"/>
        <w:rPr>
          <w:bCs/>
        </w:rPr>
      </w:pPr>
      <w:r w:rsidRPr="001A795C">
        <w:t>Showing these photos while on duty, regardless of justification, is inappropriate and</w:t>
      </w:r>
      <w:r>
        <w:t xml:space="preserve"> </w:t>
      </w:r>
      <w:r w:rsidRPr="001A795C">
        <w:t>unprofessional. . . Her actions increase the potential for undesirable work</w:t>
      </w:r>
    </w:p>
    <w:p w14:paraId="24DD282E" w14:textId="77777777" w:rsidR="002D45B5" w:rsidRPr="001A795C" w:rsidRDefault="002D45B5" w:rsidP="002D45B5">
      <w:pPr>
        <w:pStyle w:val="NoSpacing"/>
        <w:ind w:left="720" w:firstLine="720"/>
        <w:rPr>
          <w:bCs/>
        </w:rPr>
      </w:pPr>
      <w:r w:rsidRPr="001A795C">
        <w:t>environments and disagreeable work relationships at [Scioto Ambulance District].</w:t>
      </w:r>
    </w:p>
    <w:p w14:paraId="535B35B1" w14:textId="77777777" w:rsidR="002D45B5" w:rsidRPr="001A795C" w:rsidRDefault="002D45B5" w:rsidP="002D45B5">
      <w:pPr>
        <w:pStyle w:val="NoSpacing"/>
        <w:ind w:left="720" w:firstLine="720"/>
        <w:rPr>
          <w:bCs/>
        </w:rPr>
      </w:pPr>
      <w:r w:rsidRPr="001A795C">
        <w:t>Further, spreading rumors among employees about another staff member being</w:t>
      </w:r>
    </w:p>
    <w:p w14:paraId="6D279DFE" w14:textId="77777777" w:rsidR="002D45B5" w:rsidRDefault="002D45B5" w:rsidP="002D45B5">
      <w:pPr>
        <w:pStyle w:val="NoSpacing"/>
        <w:ind w:left="1440"/>
        <w:rPr>
          <w:bCs/>
        </w:rPr>
      </w:pPr>
      <w:r w:rsidRPr="001A795C">
        <w:t>“perverted” or “being a predator” are inflammatory and unprofessional. Furthermore,</w:t>
      </w:r>
      <w:r>
        <w:t xml:space="preserve"> </w:t>
      </w:r>
      <w:r w:rsidRPr="001A795C">
        <w:t xml:space="preserve">there have been no reports or accusations of any employee </w:t>
      </w:r>
      <w:r w:rsidRPr="00392CE9">
        <w:t>engaging in this type of</w:t>
      </w:r>
      <w:r>
        <w:t xml:space="preserve"> </w:t>
      </w:r>
      <w:r w:rsidRPr="00392CE9">
        <w:t>behavior while on duty or with other employees at any time.</w:t>
      </w:r>
    </w:p>
    <w:p w14:paraId="23E4F92F" w14:textId="77777777" w:rsidR="002D45B5" w:rsidRDefault="002D45B5" w:rsidP="002D45B5">
      <w:pPr>
        <w:pStyle w:val="NoSpacing"/>
        <w:rPr>
          <w:bCs/>
        </w:rPr>
      </w:pPr>
    </w:p>
    <w:p w14:paraId="223846BC" w14:textId="77777777" w:rsidR="002D45B5" w:rsidRDefault="002D45B5" w:rsidP="002D45B5">
      <w:pPr>
        <w:pStyle w:val="NoSpacing"/>
        <w:rPr>
          <w:bCs/>
        </w:rPr>
      </w:pPr>
      <w:r>
        <w:tab/>
        <w:t>***</w:t>
      </w:r>
    </w:p>
    <w:p w14:paraId="63FE58C9" w14:textId="77777777" w:rsidR="002D45B5" w:rsidRDefault="002D45B5" w:rsidP="002D45B5">
      <w:pPr>
        <w:pStyle w:val="NoSpacing"/>
        <w:rPr>
          <w:bCs/>
        </w:rPr>
      </w:pPr>
    </w:p>
    <w:p w14:paraId="2FA10398" w14:textId="77777777" w:rsidR="002D45B5" w:rsidRDefault="002D45B5" w:rsidP="002D45B5">
      <w:pPr>
        <w:pStyle w:val="NoSpacing"/>
        <w:ind w:left="720"/>
        <w:rPr>
          <w:bCs/>
        </w:rPr>
      </w:pPr>
      <w:r w:rsidRPr="00DC4776">
        <w:t>Crisp’s statements to</w:t>
      </w:r>
      <w:r>
        <w:t xml:space="preserve"> </w:t>
      </w:r>
      <w:r w:rsidRPr="00DC4776">
        <w:t>Campbell and Thacker about Mr. Gullett did not, however, amount to reporting sexual</w:t>
      </w:r>
      <w:r>
        <w:t xml:space="preserve"> </w:t>
      </w:r>
      <w:r w:rsidRPr="00DC4776">
        <w:t>misconduct, as they were made to co-workers and did not advocate for any particular action</w:t>
      </w:r>
      <w:r>
        <w:t xml:space="preserve"> </w:t>
      </w:r>
      <w:r w:rsidRPr="00DC4776">
        <w:t>by Scioto Ambulance District. Instead, her reporting was intended to encourage her</w:t>
      </w:r>
      <w:r>
        <w:t xml:space="preserve"> </w:t>
      </w:r>
      <w:r w:rsidRPr="00DC4776">
        <w:t>coworkers—not Scioto Ambulance—to take particular action, such as avoiding Gullett and</w:t>
      </w:r>
      <w:r>
        <w:t xml:space="preserve"> </w:t>
      </w:r>
      <w:r w:rsidRPr="00DC4776">
        <w:t>being on-guard against his advances.</w:t>
      </w:r>
    </w:p>
    <w:p w14:paraId="4F139943" w14:textId="77777777" w:rsidR="002D45B5" w:rsidRDefault="002D45B5" w:rsidP="002D45B5">
      <w:pPr>
        <w:pStyle w:val="NoSpacing"/>
        <w:ind w:firstLine="720"/>
        <w:rPr>
          <w:bCs/>
        </w:rPr>
      </w:pPr>
      <w:r>
        <w:t>***</w:t>
      </w:r>
    </w:p>
    <w:p w14:paraId="3DEB7E46" w14:textId="77777777" w:rsidR="002D45B5" w:rsidRPr="00DF000D" w:rsidRDefault="002D45B5" w:rsidP="002D45B5">
      <w:pPr>
        <w:pStyle w:val="NoSpacing"/>
        <w:ind w:firstLine="720"/>
        <w:rPr>
          <w:bCs/>
        </w:rPr>
      </w:pPr>
      <w:r w:rsidRPr="00DF000D">
        <w:t>The Court further notes that while the category of protected activity for purposes of</w:t>
      </w:r>
    </w:p>
    <w:p w14:paraId="0E582298" w14:textId="77777777" w:rsidR="002D45B5" w:rsidRDefault="002D45B5" w:rsidP="002D45B5">
      <w:pPr>
        <w:pStyle w:val="NoSpacing"/>
        <w:ind w:left="720"/>
        <w:rPr>
          <w:bCs/>
        </w:rPr>
      </w:pPr>
      <w:r w:rsidRPr="00DF000D">
        <w:t xml:space="preserve">Title VII is not tightly </w:t>
      </w:r>
      <w:proofErr w:type="gramStart"/>
      <w:r w:rsidRPr="00DF000D">
        <w:t>constrained,</w:t>
      </w:r>
      <w:proofErr w:type="gramEnd"/>
      <w:r w:rsidRPr="00DF000D">
        <w:t xml:space="preserve"> it also is not unlimited</w:t>
      </w:r>
      <w:r>
        <w:t xml:space="preserve">…. </w:t>
      </w:r>
      <w:r w:rsidRPr="00F6713F">
        <w:t>To summarize, it would stretch the facts of this case too far to conclude that by</w:t>
      </w:r>
      <w:r>
        <w:t xml:space="preserve"> </w:t>
      </w:r>
      <w:r w:rsidRPr="00F6713F">
        <w:t xml:space="preserve">showing other employees Gullett’s Fetlife.com profile </w:t>
      </w:r>
      <w:proofErr w:type="gramStart"/>
      <w:r w:rsidRPr="00F6713F">
        <w:t>in the course of</w:t>
      </w:r>
      <w:proofErr w:type="gramEnd"/>
      <w:r w:rsidRPr="00F6713F">
        <w:t xml:space="preserve"> warning them about</w:t>
      </w:r>
      <w:r>
        <w:t xml:space="preserve"> </w:t>
      </w:r>
      <w:r w:rsidRPr="00AB4407">
        <w:t>possible sexual harassment by him,9 she was “opposing a[] practice,” 42 U.S.C. § 2000e-3(a),</w:t>
      </w:r>
      <w:r>
        <w:t xml:space="preserve"> </w:t>
      </w:r>
      <w:r w:rsidRPr="00AB4407">
        <w:t>of the Scioto County Ambulance District. Further, nothing in the record before the Court</w:t>
      </w:r>
      <w:r>
        <w:t xml:space="preserve"> </w:t>
      </w:r>
      <w:r w:rsidRPr="00AB4407">
        <w:t>suggests that Scioto Ambulance District ignored Crisp’s complaints about Gullet at the</w:t>
      </w:r>
      <w:r>
        <w:t xml:space="preserve"> </w:t>
      </w:r>
      <w:r w:rsidRPr="00AB4407">
        <w:t xml:space="preserve">relevant </w:t>
      </w:r>
      <w:proofErr w:type="gramStart"/>
      <w:r w:rsidRPr="00AB4407">
        <w:t>time period</w:t>
      </w:r>
      <w:proofErr w:type="gramEnd"/>
      <w:r w:rsidRPr="00AB4407">
        <w:t>, given that Crisp chose to make those complaints to coworkers, not to</w:t>
      </w:r>
      <w:r>
        <w:t xml:space="preserve"> </w:t>
      </w:r>
      <w:r w:rsidRPr="00AB4407">
        <w:t>their employer. For these reasons, Defendant is entitled to summary judgment on Crisp’s</w:t>
      </w:r>
      <w:r>
        <w:t xml:space="preserve"> </w:t>
      </w:r>
      <w:r w:rsidRPr="00AB4407">
        <w:t>retaliation claims (Counts II and IV).</w:t>
      </w:r>
      <w:r>
        <w:t>”</w:t>
      </w:r>
    </w:p>
    <w:p w14:paraId="6633C88E" w14:textId="77777777" w:rsidR="002D45B5" w:rsidRDefault="002D45B5" w:rsidP="002D45B5">
      <w:pPr>
        <w:pStyle w:val="NoSpacing"/>
        <w:ind w:left="720"/>
        <w:rPr>
          <w:bCs/>
        </w:rPr>
      </w:pPr>
    </w:p>
    <w:p w14:paraId="6BA1D749" w14:textId="77777777" w:rsidR="002D45B5" w:rsidRDefault="002D45B5" w:rsidP="002D45B5">
      <w:pPr>
        <w:pStyle w:val="NoSpacing"/>
        <w:rPr>
          <w:bCs/>
        </w:rPr>
      </w:pPr>
      <w:r>
        <w:rPr>
          <w:b/>
        </w:rPr>
        <w:t>Legal lesson learned:  The plaintiff may have been motivated to “warn” co-workers, but it was not a “protected activity” to show a web profile and nude photo of the male.</w:t>
      </w:r>
    </w:p>
    <w:p w14:paraId="1CAA245A" w14:textId="77777777" w:rsidR="002D45B5" w:rsidRDefault="002D45B5" w:rsidP="00292E1C">
      <w:pPr>
        <w:pStyle w:val="NoSpacing"/>
        <w:rPr>
          <w:rFonts w:ascii="Arial Black" w:hAnsi="Arial Black"/>
          <w:sz w:val="28"/>
          <w:szCs w:val="28"/>
        </w:rPr>
      </w:pPr>
    </w:p>
    <w:p w14:paraId="55F84FA4" w14:textId="77777777" w:rsidR="00C235E8" w:rsidRDefault="00C235E8" w:rsidP="00292E1C">
      <w:pPr>
        <w:pStyle w:val="NoSpacing"/>
        <w:rPr>
          <w:rFonts w:ascii="Arial Black" w:hAnsi="Arial Black"/>
          <w:sz w:val="28"/>
          <w:szCs w:val="28"/>
        </w:rPr>
      </w:pPr>
    </w:p>
    <w:p w14:paraId="4C543634" w14:textId="77777777" w:rsidR="00C235E8" w:rsidRDefault="00C235E8" w:rsidP="00292E1C">
      <w:pPr>
        <w:pStyle w:val="NoSpacing"/>
        <w:rPr>
          <w:rFonts w:ascii="Arial Black" w:hAnsi="Arial Black"/>
          <w:sz w:val="28"/>
          <w:szCs w:val="28"/>
        </w:rPr>
      </w:pPr>
    </w:p>
    <w:p w14:paraId="64DA7EAA" w14:textId="77777777" w:rsidR="00C235E8" w:rsidRDefault="00C235E8" w:rsidP="00292E1C">
      <w:pPr>
        <w:pStyle w:val="NoSpacing"/>
        <w:rPr>
          <w:rFonts w:ascii="Arial Black" w:hAnsi="Arial Black"/>
          <w:sz w:val="28"/>
          <w:szCs w:val="28"/>
        </w:rPr>
      </w:pPr>
    </w:p>
    <w:p w14:paraId="393A4E8B" w14:textId="55B03B29" w:rsidR="007B6232" w:rsidRDefault="007B6232" w:rsidP="00292E1C">
      <w:pPr>
        <w:pStyle w:val="NoSpacing"/>
        <w:rPr>
          <w:rFonts w:ascii="Arial Black" w:hAnsi="Arial Black"/>
          <w:sz w:val="28"/>
          <w:szCs w:val="28"/>
        </w:rPr>
      </w:pPr>
      <w:r>
        <w:rPr>
          <w:rFonts w:ascii="Arial Black" w:hAnsi="Arial Black"/>
          <w:sz w:val="28"/>
          <w:szCs w:val="28"/>
        </w:rPr>
        <w:t>7-88</w:t>
      </w:r>
    </w:p>
    <w:p w14:paraId="6033FD87" w14:textId="77777777" w:rsidR="007B6232" w:rsidRDefault="007B6232" w:rsidP="00292E1C">
      <w:pPr>
        <w:pStyle w:val="NoSpacing"/>
        <w:rPr>
          <w:rFonts w:ascii="Arial Black" w:hAnsi="Arial Black"/>
          <w:sz w:val="28"/>
          <w:szCs w:val="28"/>
        </w:rPr>
      </w:pPr>
    </w:p>
    <w:p w14:paraId="1A27B3E5" w14:textId="77777777" w:rsidR="00487B33" w:rsidRPr="00E50243" w:rsidRDefault="00487B33" w:rsidP="00487B33">
      <w:pPr>
        <w:pStyle w:val="NoSpacing"/>
        <w:rPr>
          <w:rFonts w:ascii="Arial Black" w:hAnsi="Arial Black"/>
          <w:b/>
          <w:sz w:val="28"/>
          <w:szCs w:val="28"/>
        </w:rPr>
      </w:pPr>
      <w:r>
        <w:rPr>
          <w:rFonts w:ascii="Arial Black" w:hAnsi="Arial Black"/>
          <w:b/>
          <w:sz w:val="28"/>
          <w:szCs w:val="28"/>
        </w:rPr>
        <w:t>CT: FEMALE CAPT – ORDER PORN REMOVED – RETALIATION</w:t>
      </w:r>
    </w:p>
    <w:p w14:paraId="002D0C45" w14:textId="77777777" w:rsidR="00487B33" w:rsidRDefault="00487B33" w:rsidP="00487B33">
      <w:pPr>
        <w:pStyle w:val="NoSpacing"/>
      </w:pPr>
    </w:p>
    <w:p w14:paraId="5B3C6FC2" w14:textId="77777777" w:rsidR="00487B33" w:rsidRDefault="00487B33" w:rsidP="00487B33">
      <w:pPr>
        <w:pStyle w:val="NoSpacing"/>
      </w:pPr>
      <w:r>
        <w:t xml:space="preserve">On March 10, 2026, in </w:t>
      </w:r>
      <w:r w:rsidRPr="00726ABA">
        <w:rPr>
          <w:u w:val="single"/>
        </w:rPr>
        <w:t>Melanie Depamphilis v. Town of Newington</w:t>
      </w:r>
      <w:r w:rsidRPr="00AC20D2">
        <w:t>, et al.,</w:t>
      </w:r>
      <w:r>
        <w:t xml:space="preserve"> U.S. District Court Judge Sarala v. </w:t>
      </w:r>
      <w:proofErr w:type="spellStart"/>
      <w:r>
        <w:t>Nagala</w:t>
      </w:r>
      <w:proofErr w:type="spellEnd"/>
      <w:r>
        <w:t xml:space="preserve">, United States District Court for the District of Connecticut, denied the municipal defendant’s motion to dismiss the hostile work environment claims, which will now proceed to pre-trial discovery.  Claims alleging a Town official policy or custom that led to the hostile work environment were dismissed.  The plaintiff was the </w:t>
      </w:r>
      <w:proofErr w:type="gramStart"/>
      <w:r>
        <w:t>Captain</w:t>
      </w:r>
      <w:proofErr w:type="gramEnd"/>
      <w:r>
        <w:t xml:space="preserve"> in charge of the Town’s Fire Company No. 2 (and a 2018 retired lieutenant from Hartford Fire Department). On July 10, </w:t>
      </w:r>
      <w:proofErr w:type="gramStart"/>
      <w:r>
        <w:t>2023</w:t>
      </w:r>
      <w:proofErr w:type="gramEnd"/>
      <w:r>
        <w:t xml:space="preserve"> she learned of a firefighter having pornography in his locker, and she ordered it removed; the firefighter did so but demanded to know who told her about the materials.  Based on other allegations, on August 17, </w:t>
      </w:r>
      <w:proofErr w:type="gramStart"/>
      <w:r>
        <w:t>2023</w:t>
      </w:r>
      <w:proofErr w:type="gramEnd"/>
      <w:r>
        <w:t xml:space="preserve"> she was placed on administrative leave; and restored to her position as Captain on November 6, </w:t>
      </w:r>
      <w:proofErr w:type="gramStart"/>
      <w:r>
        <w:t>2023</w:t>
      </w:r>
      <w:proofErr w:type="gramEnd"/>
      <w:r>
        <w:t xml:space="preserve"> </w:t>
      </w:r>
      <w:r w:rsidRPr="002A7501">
        <w:t>but also that she would be placed on a one-year probation based on her “actions and behaviors” and “issues related to the morale at Company 2</w:t>
      </w:r>
      <w:r>
        <w:t>.</w:t>
      </w:r>
      <w:r w:rsidRPr="002A7501">
        <w:t>”</w:t>
      </w:r>
      <w:r>
        <w:t xml:space="preserve"> </w:t>
      </w:r>
      <w:hyperlink r:id="rId1316" w:history="1">
        <w:r w:rsidRPr="00502BCE">
          <w:rPr>
            <w:rStyle w:val="Hyperlink"/>
          </w:rPr>
          <w:t>https://cases.justia.com/federal/district-courts/connecticut/ctdce/3:2025cv00524/164327/45/0.pdf?ts=1773222843</w:t>
        </w:r>
      </w:hyperlink>
      <w:r>
        <w:t xml:space="preserve"> </w:t>
      </w:r>
    </w:p>
    <w:p w14:paraId="38984443" w14:textId="77777777" w:rsidR="00487B33" w:rsidRDefault="00487B33" w:rsidP="00487B33">
      <w:pPr>
        <w:pStyle w:val="NoSpacing"/>
      </w:pPr>
    </w:p>
    <w:p w14:paraId="447F9DF3" w14:textId="77777777" w:rsidR="00487B33" w:rsidRDefault="00487B33" w:rsidP="00487B33">
      <w:pPr>
        <w:pStyle w:val="NoSpacing"/>
      </w:pPr>
      <w:r>
        <w:t>THE COURT HELD:  “</w:t>
      </w:r>
      <w:r w:rsidRPr="006764CD">
        <w:t>The Court concludes that Plaintiff has plausibly stated a claim that she was subjected to a hostile work environment under both Title VII and the CFEPA</w:t>
      </w:r>
      <w:r>
        <w:t xml:space="preserve">…. </w:t>
      </w:r>
      <w:r w:rsidRPr="00F562F1">
        <w:t>Examining the totality of the circumstances, Plaintiff's complaint alleges facts supporting a reasonable inference that the Municipal Defendants subjected Plaintiff to negative treatment because of her sex.</w:t>
      </w:r>
    </w:p>
    <w:p w14:paraId="6EDB446C" w14:textId="77777777" w:rsidR="00487B33" w:rsidRDefault="00487B33" w:rsidP="00487B33">
      <w:pPr>
        <w:pStyle w:val="NoSpacing"/>
      </w:pPr>
    </w:p>
    <w:p w14:paraId="6CDCD892" w14:textId="77777777" w:rsidR="00487B33" w:rsidRDefault="00487B33" w:rsidP="00487B33">
      <w:pPr>
        <w:pStyle w:val="NoSpacing"/>
      </w:pPr>
      <w:r>
        <w:t>***</w:t>
      </w:r>
    </w:p>
    <w:p w14:paraId="6F6D4442" w14:textId="77777777" w:rsidR="00487B33" w:rsidRDefault="00487B33" w:rsidP="00487B33">
      <w:pPr>
        <w:pStyle w:val="NoSpacing"/>
      </w:pPr>
    </w:p>
    <w:p w14:paraId="4DE0957B" w14:textId="77777777" w:rsidR="00487B33" w:rsidRPr="008655CD" w:rsidRDefault="00487B33" w:rsidP="00487B33">
      <w:pPr>
        <w:pStyle w:val="NoSpacing"/>
      </w:pPr>
      <w:r w:rsidRPr="008655CD">
        <w:t xml:space="preserve">First, the Second Circuit has noted that the mere presence of pornography in a workplace can alter a female plaintiff's </w:t>
      </w:r>
      <w:r>
        <w:t>‘</w:t>
      </w:r>
      <w:r w:rsidRPr="008655CD">
        <w:t xml:space="preserve">status in </w:t>
      </w:r>
      <w:proofErr w:type="spellStart"/>
      <w:r w:rsidRPr="008655CD">
        <w:t>th</w:t>
      </w:r>
      <w:proofErr w:type="spellEnd"/>
      <w:r w:rsidRPr="008655CD">
        <w:t>[at] workplace.</w:t>
      </w:r>
      <w:r>
        <w:t>’</w:t>
      </w:r>
      <w:r w:rsidRPr="008655CD">
        <w:t xml:space="preserve"> </w:t>
      </w:r>
      <w:r w:rsidRPr="008655CD">
        <w:rPr>
          <w:i/>
          <w:iCs/>
        </w:rPr>
        <w:t>Wolak v. Spucci</w:t>
      </w:r>
      <w:r w:rsidRPr="008655CD">
        <w:t xml:space="preserve">, 217 F.3d 157, 161 (2d Cir. 2000); </w:t>
      </w:r>
      <w:proofErr w:type="gramStart"/>
      <w:r w:rsidRPr="008655CD">
        <w:rPr>
          <w:i/>
          <w:iCs/>
        </w:rPr>
        <w:t>see also</w:t>
      </w:r>
      <w:proofErr w:type="gramEnd"/>
      <w:r w:rsidRPr="008655CD">
        <w:rPr>
          <w:i/>
          <w:iCs/>
        </w:rPr>
        <w:t xml:space="preserve"> Patane</w:t>
      </w:r>
      <w:r w:rsidRPr="008655CD">
        <w:t xml:space="preserve">, 508 F.3d at 114. Although Plaintiff does not allege she was directly exposed to these materials like the plaintiffs in </w:t>
      </w:r>
      <w:r w:rsidRPr="008655CD">
        <w:rPr>
          <w:i/>
          <w:iCs/>
        </w:rPr>
        <w:t>Wolak</w:t>
      </w:r>
      <w:r w:rsidRPr="008655CD">
        <w:t xml:space="preserve"> and </w:t>
      </w:r>
      <w:r w:rsidRPr="008655CD">
        <w:rPr>
          <w:i/>
          <w:iCs/>
        </w:rPr>
        <w:t>Patane</w:t>
      </w:r>
      <w:r w:rsidRPr="008655CD">
        <w:t xml:space="preserve">, the presence of </w:t>
      </w:r>
    </w:p>
    <w:p w14:paraId="3BD3731D" w14:textId="77777777" w:rsidR="00487B33" w:rsidRDefault="00487B33" w:rsidP="00487B33">
      <w:pPr>
        <w:pStyle w:val="NoSpacing"/>
      </w:pPr>
      <w:r w:rsidRPr="008655CD">
        <w:t xml:space="preserve">pornography in a male firefighter's locker can be considered </w:t>
      </w:r>
      <w:r>
        <w:t>‘</w:t>
      </w:r>
      <w:r w:rsidRPr="008655CD">
        <w:t>particularly offensive to women and intended to provoke Plaintiff's reaction as a woman,</w:t>
      </w:r>
      <w:r>
        <w:t>’</w:t>
      </w:r>
      <w:r w:rsidRPr="008655CD">
        <w:t xml:space="preserve"> for purposes of stating a plausible claim of a hostile work environment</w:t>
      </w:r>
      <w:r>
        <w:t xml:space="preserve">…. </w:t>
      </w:r>
    </w:p>
    <w:p w14:paraId="39F3FACC" w14:textId="77777777" w:rsidR="00487B33" w:rsidRDefault="00487B33" w:rsidP="00487B33">
      <w:pPr>
        <w:pStyle w:val="NoSpacing"/>
      </w:pPr>
    </w:p>
    <w:p w14:paraId="5FE94717" w14:textId="77777777" w:rsidR="00487B33" w:rsidRDefault="00487B33" w:rsidP="00487B33">
      <w:pPr>
        <w:pStyle w:val="NoSpacing"/>
      </w:pPr>
      <w:r w:rsidRPr="007478EC">
        <w:t>When considered in combination with the pornography incident, these allegations, taken as true, show that both the Individual and Municipal Defendants undermined, denigrated, and affirmatively sidelined Plaintiff—a decorated female leader in the NVPD. Thus, they state a plausible claim that the Municipal Defendants created hostile work environment for Plaintiff because of her sex.</w:t>
      </w:r>
      <w:r>
        <w:t>”</w:t>
      </w:r>
    </w:p>
    <w:p w14:paraId="1359152D" w14:textId="77777777" w:rsidR="00487B33" w:rsidRDefault="00487B33" w:rsidP="00487B33">
      <w:pPr>
        <w:pStyle w:val="NoSpacing"/>
      </w:pPr>
    </w:p>
    <w:p w14:paraId="5B8E0E54" w14:textId="77777777" w:rsidR="00487B33" w:rsidRPr="006A39CE" w:rsidRDefault="00487B33" w:rsidP="00487B33">
      <w:pPr>
        <w:pStyle w:val="NoSpacing"/>
        <w:rPr>
          <w:b/>
          <w:bCs/>
        </w:rPr>
      </w:pPr>
      <w:r w:rsidRPr="006A39CE">
        <w:rPr>
          <w:b/>
        </w:rPr>
        <w:t xml:space="preserve">Legal lesson learned: </w:t>
      </w:r>
      <w:r>
        <w:rPr>
          <w:b/>
        </w:rPr>
        <w:t xml:space="preserve">The presence of pornography can “alter a female’s status in the workplace. </w:t>
      </w:r>
    </w:p>
    <w:p w14:paraId="73C88215" w14:textId="77777777" w:rsidR="00487B33" w:rsidRDefault="00487B33" w:rsidP="00487B33">
      <w:pPr>
        <w:pStyle w:val="NoSpacing"/>
      </w:pPr>
    </w:p>
    <w:p w14:paraId="10F8A869" w14:textId="77777777" w:rsidR="007B6232" w:rsidRDefault="007B6232" w:rsidP="00292E1C">
      <w:pPr>
        <w:pStyle w:val="NoSpacing"/>
        <w:rPr>
          <w:rFonts w:ascii="Arial Black" w:hAnsi="Arial Black"/>
          <w:sz w:val="28"/>
          <w:szCs w:val="28"/>
        </w:rPr>
      </w:pPr>
    </w:p>
    <w:p w14:paraId="1F738C5A" w14:textId="77777777" w:rsidR="007B6232" w:rsidRDefault="007B6232" w:rsidP="00292E1C">
      <w:pPr>
        <w:pStyle w:val="NoSpacing"/>
        <w:rPr>
          <w:rFonts w:ascii="Arial Black" w:hAnsi="Arial Black"/>
          <w:sz w:val="28"/>
          <w:szCs w:val="28"/>
        </w:rPr>
      </w:pPr>
    </w:p>
    <w:p w14:paraId="55E7E88D" w14:textId="0CE3EFCF" w:rsidR="004578CE" w:rsidRDefault="00027641" w:rsidP="00292E1C">
      <w:pPr>
        <w:pStyle w:val="NoSpacing"/>
        <w:rPr>
          <w:rFonts w:ascii="Arial Black" w:hAnsi="Arial Black"/>
          <w:sz w:val="28"/>
          <w:szCs w:val="28"/>
        </w:rPr>
      </w:pPr>
      <w:r>
        <w:rPr>
          <w:rFonts w:ascii="Arial Black" w:hAnsi="Arial Black"/>
          <w:sz w:val="28"/>
          <w:szCs w:val="28"/>
        </w:rPr>
        <w:t>7-</w:t>
      </w:r>
      <w:r w:rsidR="001C06FF">
        <w:rPr>
          <w:rFonts w:ascii="Arial Black" w:hAnsi="Arial Black"/>
          <w:sz w:val="28"/>
          <w:szCs w:val="28"/>
        </w:rPr>
        <w:t>87</w:t>
      </w:r>
    </w:p>
    <w:p w14:paraId="78524C4A" w14:textId="77777777" w:rsidR="001C06FF" w:rsidRDefault="001C06FF" w:rsidP="00292E1C">
      <w:pPr>
        <w:pStyle w:val="NoSpacing"/>
        <w:rPr>
          <w:rFonts w:ascii="Arial Black" w:hAnsi="Arial Black"/>
          <w:sz w:val="28"/>
          <w:szCs w:val="28"/>
        </w:rPr>
      </w:pPr>
    </w:p>
    <w:p w14:paraId="12FE208E" w14:textId="77777777" w:rsidR="003F5F35" w:rsidRPr="00D6142A" w:rsidRDefault="003F5F35" w:rsidP="003F5F35">
      <w:pPr>
        <w:pStyle w:val="NoSpacing"/>
        <w:rPr>
          <w:rFonts w:ascii="Arial Black" w:hAnsi="Arial Black"/>
          <w:bCs/>
          <w:sz w:val="28"/>
          <w:szCs w:val="28"/>
        </w:rPr>
      </w:pPr>
      <w:r>
        <w:rPr>
          <w:rFonts w:ascii="Arial Black" w:hAnsi="Arial Black"/>
          <w:sz w:val="28"/>
          <w:szCs w:val="28"/>
        </w:rPr>
        <w:t>DC: HOSTILE WORK ENVIRON – BY SGT – CASE PROCEED</w:t>
      </w:r>
    </w:p>
    <w:p w14:paraId="3A33B01E" w14:textId="77777777" w:rsidR="003F5F35" w:rsidRDefault="003F5F35" w:rsidP="003F5F35">
      <w:pPr>
        <w:pStyle w:val="NoSpacing"/>
        <w:rPr>
          <w:bCs/>
        </w:rPr>
      </w:pPr>
    </w:p>
    <w:p w14:paraId="6BF84224" w14:textId="77777777" w:rsidR="003F5F35" w:rsidRDefault="003F5F35" w:rsidP="003F5F35">
      <w:pPr>
        <w:pStyle w:val="NoSpacing"/>
        <w:rPr>
          <w:bCs/>
        </w:rPr>
      </w:pPr>
      <w:r>
        <w:t xml:space="preserve">On February 12, 2026, in </w:t>
      </w:r>
      <w:r w:rsidRPr="00DD44A7">
        <w:rPr>
          <w:u w:val="single"/>
        </w:rPr>
        <w:t>Whitney Ward v. District of Columbia</w:t>
      </w:r>
      <w:r>
        <w:t xml:space="preserve">, U.S. District Court Judge Reggie B. Walton, </w:t>
      </w:r>
      <w:r w:rsidRPr="00A610BD">
        <w:t>United States District Court, District of Columbia</w:t>
      </w:r>
      <w:r>
        <w:t xml:space="preserve">, held that the hostile work atmosphere case may proceed based on her allegation [black female in Fire Investigations Unit] of conduct by her direct supervisor, but there was no evidence of retaliation by the fire department after filing an EEOC complaint (she was promoted to Sergeant in October 2024 and transferred to an Engine company).  THE COURT HELD: </w:t>
      </w:r>
      <w:r w:rsidRPr="003358D2">
        <w:t>The plaintiff alleges that Sgt. F</w:t>
      </w:r>
      <w:r>
        <w:t>ord  ‘</w:t>
      </w:r>
      <w:r w:rsidRPr="003358D2">
        <w:t>inappropriate and overly sexual conduct</w:t>
      </w:r>
      <w:r>
        <w:t>’</w:t>
      </w:r>
      <w:r w:rsidRPr="003358D2">
        <w:t xml:space="preserve"> continued </w:t>
      </w:r>
      <w:r>
        <w:t>‘</w:t>
      </w:r>
      <w:r w:rsidRPr="003358D2">
        <w:t>over the course of years,</w:t>
      </w:r>
      <w:r>
        <w:t xml:space="preserve">’ … </w:t>
      </w:r>
      <w:r w:rsidRPr="003358D2">
        <w:t xml:space="preserve">and that </w:t>
      </w:r>
      <w:r>
        <w:t>‘</w:t>
      </w:r>
      <w:r w:rsidRPr="003358D2">
        <w:t>Sgt. F</w:t>
      </w:r>
      <w:r>
        <w:t>ord</w:t>
      </w:r>
      <w:r w:rsidRPr="003358D2">
        <w:t xml:space="preserve"> </w:t>
      </w:r>
      <w:r>
        <w:t xml:space="preserve"> </w:t>
      </w:r>
      <w:r w:rsidRPr="003358D2">
        <w:t>comments were accompanied by lewd and suggestive non-verbal traits, such as tone of voice and facial expressions</w:t>
      </w:r>
      <w:r>
        <w:t xml:space="preserve">’ </w:t>
      </w:r>
      <w:r w:rsidRPr="003358D2">
        <w:t xml:space="preserve"> that the plaintiff represents </w:t>
      </w:r>
      <w:r>
        <w:t>‘</w:t>
      </w:r>
      <w:r w:rsidRPr="003358D2">
        <w:t>made clear that his comments were of a flirtatious or solicitous nature, which made [her] extremely uncomfortable[,]</w:t>
      </w:r>
      <w:r>
        <w:t xml:space="preserve">’ … </w:t>
      </w:r>
      <w:r w:rsidRPr="003358D2">
        <w:t xml:space="preserve">The plaintiff states that she was the only woman on her shift and </w:t>
      </w:r>
      <w:r>
        <w:t>‘</w:t>
      </w:r>
      <w:r w:rsidRPr="003358D2">
        <w:t>[Sgt.]</w:t>
      </w:r>
      <w:r>
        <w:t xml:space="preserve"> </w:t>
      </w:r>
      <w:r w:rsidRPr="003358D2">
        <w:t>F</w:t>
      </w:r>
      <w:r>
        <w:t xml:space="preserve">ord </w:t>
      </w:r>
      <w:r w:rsidRPr="003358D2">
        <w:t>repeated objectification and sexualization</w:t>
      </w:r>
      <w:r>
        <w:t>’</w:t>
      </w:r>
      <w:r w:rsidRPr="003358D2">
        <w:t xml:space="preserve"> made her </w:t>
      </w:r>
      <w:r>
        <w:t>‘</w:t>
      </w:r>
      <w:r w:rsidRPr="003358D2">
        <w:t>go [through] extra lengths and efforts to be taken seriously by her male colleagues.</w:t>
      </w:r>
      <w:r>
        <w:t xml:space="preserve">’ … </w:t>
      </w:r>
      <w:r w:rsidRPr="003358D2">
        <w:t xml:space="preserve"> </w:t>
      </w:r>
      <w:r w:rsidRPr="00AB090B">
        <w:t>Then, during a shift change on or about June 21, 2023, while the plaintiff was speaking with a friend and colleague about a new tattoo on her leg</w:t>
      </w:r>
      <w:r>
        <w:t xml:space="preserve"> … </w:t>
      </w:r>
      <w:r w:rsidRPr="00AB090B">
        <w:t>Sgt</w:t>
      </w:r>
      <w:r>
        <w:t xml:space="preserve">, </w:t>
      </w:r>
      <w:r w:rsidRPr="003358D2">
        <w:t>F</w:t>
      </w:r>
      <w:r>
        <w:t xml:space="preserve">ord </w:t>
      </w:r>
      <w:r w:rsidRPr="00AB090B">
        <w:t xml:space="preserve">approached the plaintiff </w:t>
      </w:r>
      <w:r>
        <w:t>‘</w:t>
      </w:r>
      <w:r w:rsidRPr="00AB090B">
        <w:t>in an aggressive manner and stated, ‘Is that flavored ink they used? What flavor is that?</w:t>
      </w:r>
      <w:r>
        <w:t xml:space="preserve">’ … </w:t>
      </w:r>
      <w:r w:rsidRPr="00AB090B">
        <w:t xml:space="preserve">with </w:t>
      </w:r>
      <w:r>
        <w:t>‘</w:t>
      </w:r>
      <w:r w:rsidRPr="00AB090B">
        <w:t>an expression on his face like he was salivating or hungry to taste something[,]</w:t>
      </w:r>
      <w:r>
        <w:t xml:space="preserve">’ …  </w:t>
      </w:r>
      <w:r w:rsidRPr="00AB090B">
        <w:t>Another colleague intervened, telling Sgt. F</w:t>
      </w:r>
      <w:r>
        <w:t xml:space="preserve"> </w:t>
      </w:r>
      <w:r w:rsidRPr="00AB090B">
        <w:t xml:space="preserve">that he </w:t>
      </w:r>
      <w:r>
        <w:t>‘</w:t>
      </w:r>
      <w:r w:rsidRPr="00AB090B">
        <w:t>better back up and leave her alone[.]</w:t>
      </w:r>
      <w:r>
        <w:t xml:space="preserve"> … </w:t>
      </w:r>
      <w:r w:rsidRPr="000215FD">
        <w:t>The plaintiff reported Sgt.</w:t>
      </w:r>
      <w:r>
        <w:t xml:space="preserve"> </w:t>
      </w:r>
      <w:r w:rsidRPr="003358D2">
        <w:t>F</w:t>
      </w:r>
      <w:r>
        <w:t xml:space="preserve">ord </w:t>
      </w:r>
      <w:r w:rsidRPr="000215FD">
        <w:t>to Capt. Brian Phillips</w:t>
      </w:r>
      <w:r>
        <w:t xml:space="preserve"> … </w:t>
      </w:r>
      <w:r w:rsidRPr="000215FD">
        <w:t xml:space="preserve">who </w:t>
      </w:r>
      <w:r>
        <w:t>‘</w:t>
      </w:r>
      <w:r w:rsidRPr="000215FD">
        <w:t>called Sgt. Ford into his office and told [him] that his conduct was unacceptable, especially given that Sgt. Ford was ostensibly an [Equal Employment Opportunity (‘EEO')] counselor for the department</w:t>
      </w:r>
      <w:r>
        <w:t xml:space="preserve">.’… </w:t>
      </w:r>
      <w:r w:rsidRPr="004A28FA">
        <w:t>In response to what had occurred, the plaintiff filed an EEO complaint on January 8, 2024</w:t>
      </w:r>
      <w:r>
        <w:t xml:space="preserve">. *** </w:t>
      </w:r>
      <w:r w:rsidRPr="00A07375">
        <w:t>As the Court has already concluded, the plaintiff alleges that Sgt.</w:t>
      </w:r>
      <w:r>
        <w:t xml:space="preserve"> </w:t>
      </w:r>
      <w:r w:rsidRPr="003358D2">
        <w:t>F</w:t>
      </w:r>
      <w:r>
        <w:t xml:space="preserve">ord </w:t>
      </w:r>
      <w:r w:rsidRPr="00A07375">
        <w:t>conduct was both frequent and lasted over the course of years, and that Sgt.</w:t>
      </w:r>
      <w:r w:rsidRPr="00FB3525">
        <w:t xml:space="preserve"> </w:t>
      </w:r>
      <w:r w:rsidRPr="003358D2">
        <w:t>F</w:t>
      </w:r>
      <w:r>
        <w:t>ord.</w:t>
      </w:r>
      <w:r w:rsidRPr="00A07375">
        <w:t xml:space="preserve"> comments and actions were sufficiently humiliating or degrading to support her Title VII hostile work environment claim at this stage of the case.</w:t>
      </w:r>
      <w:r>
        <w:t>”</w:t>
      </w:r>
    </w:p>
    <w:p w14:paraId="2E0E57B7" w14:textId="77777777" w:rsidR="003F5F35" w:rsidRDefault="003F5F35" w:rsidP="003F5F35">
      <w:pPr>
        <w:pStyle w:val="NoSpacing"/>
        <w:rPr>
          <w:bCs/>
        </w:rPr>
      </w:pPr>
    </w:p>
    <w:p w14:paraId="7747CC09" w14:textId="77777777" w:rsidR="003F5F35" w:rsidRPr="00704126" w:rsidRDefault="003F5F35" w:rsidP="003F5F35">
      <w:pPr>
        <w:pStyle w:val="NoSpacing"/>
        <w:rPr>
          <w:b/>
          <w:bCs/>
        </w:rPr>
      </w:pPr>
      <w:r>
        <w:rPr>
          <w:b/>
        </w:rPr>
        <w:t xml:space="preserve">Legal lesson learned: Comments by a Supervisor can lead to a hostile work environment lawsuit against the employer. </w:t>
      </w:r>
    </w:p>
    <w:p w14:paraId="186B7D31" w14:textId="77777777" w:rsidR="003F5F35" w:rsidRDefault="003F5F35" w:rsidP="003F5F35">
      <w:pPr>
        <w:pStyle w:val="NoSpacing"/>
      </w:pPr>
    </w:p>
    <w:p w14:paraId="721A1120" w14:textId="77777777" w:rsidR="001C06FF" w:rsidRDefault="001C06FF" w:rsidP="00292E1C">
      <w:pPr>
        <w:pStyle w:val="NoSpacing"/>
        <w:rPr>
          <w:rFonts w:ascii="Arial Black" w:hAnsi="Arial Black"/>
          <w:sz w:val="28"/>
          <w:szCs w:val="28"/>
        </w:rPr>
      </w:pPr>
    </w:p>
    <w:p w14:paraId="42B6121B" w14:textId="77777777" w:rsidR="004578CE" w:rsidRDefault="004578CE" w:rsidP="00292E1C">
      <w:pPr>
        <w:pStyle w:val="NoSpacing"/>
        <w:rPr>
          <w:rFonts w:ascii="Arial Black" w:hAnsi="Arial Black"/>
          <w:sz w:val="28"/>
          <w:szCs w:val="28"/>
        </w:rPr>
      </w:pPr>
    </w:p>
    <w:p w14:paraId="2C7F453D" w14:textId="77777777" w:rsidR="004578CE" w:rsidRDefault="004578CE" w:rsidP="00292E1C">
      <w:pPr>
        <w:pStyle w:val="NoSpacing"/>
        <w:rPr>
          <w:rFonts w:ascii="Arial Black" w:hAnsi="Arial Black"/>
          <w:sz w:val="28"/>
          <w:szCs w:val="28"/>
        </w:rPr>
      </w:pPr>
    </w:p>
    <w:p w14:paraId="59780365" w14:textId="5DE16F7F" w:rsidR="00C6586C" w:rsidRDefault="00C6586C" w:rsidP="00292E1C">
      <w:pPr>
        <w:pStyle w:val="NoSpacing"/>
        <w:rPr>
          <w:rFonts w:ascii="Arial Black" w:hAnsi="Arial Black"/>
          <w:sz w:val="28"/>
          <w:szCs w:val="28"/>
        </w:rPr>
      </w:pPr>
      <w:r>
        <w:rPr>
          <w:rFonts w:ascii="Arial Black" w:hAnsi="Arial Black"/>
          <w:sz w:val="28"/>
          <w:szCs w:val="28"/>
        </w:rPr>
        <w:t>7-86</w:t>
      </w:r>
    </w:p>
    <w:p w14:paraId="488FA2E9" w14:textId="77777777" w:rsidR="00C6586C" w:rsidRDefault="00C6586C" w:rsidP="00292E1C">
      <w:pPr>
        <w:pStyle w:val="NoSpacing"/>
        <w:rPr>
          <w:rFonts w:ascii="Arial Black" w:hAnsi="Arial Black"/>
          <w:sz w:val="28"/>
          <w:szCs w:val="28"/>
        </w:rPr>
      </w:pPr>
    </w:p>
    <w:p w14:paraId="27C9FC8E" w14:textId="345E2555" w:rsidR="00C6586C" w:rsidRPr="00111FFC" w:rsidRDefault="00C6586C" w:rsidP="00C6586C">
      <w:pPr>
        <w:rPr>
          <w:rFonts w:ascii="Arial Black" w:hAnsi="Arial Black"/>
          <w:b/>
          <w:sz w:val="28"/>
          <w:szCs w:val="28"/>
        </w:rPr>
      </w:pPr>
      <w:r>
        <w:rPr>
          <w:rFonts w:ascii="Arial Black" w:hAnsi="Arial Black"/>
          <w:b/>
          <w:sz w:val="28"/>
          <w:szCs w:val="28"/>
        </w:rPr>
        <w:t xml:space="preserve">VA: FEMALE EMT - FIRED WRONG DATE </w:t>
      </w:r>
      <w:r w:rsidR="007E7FBC">
        <w:rPr>
          <w:rFonts w:ascii="Arial Black" w:hAnsi="Arial Black"/>
          <w:b/>
          <w:sz w:val="28"/>
          <w:szCs w:val="28"/>
        </w:rPr>
        <w:t xml:space="preserve">ON </w:t>
      </w:r>
      <w:r>
        <w:rPr>
          <w:rFonts w:ascii="Arial Black" w:hAnsi="Arial Black"/>
          <w:b/>
          <w:sz w:val="28"/>
          <w:szCs w:val="28"/>
        </w:rPr>
        <w:t xml:space="preserve">RPT – </w:t>
      </w:r>
      <w:r w:rsidR="004035C1">
        <w:rPr>
          <w:rFonts w:ascii="Arial Black" w:hAnsi="Arial Black"/>
          <w:b/>
          <w:sz w:val="28"/>
          <w:szCs w:val="28"/>
        </w:rPr>
        <w:t xml:space="preserve">CASE </w:t>
      </w:r>
      <w:r>
        <w:rPr>
          <w:rFonts w:ascii="Arial Black" w:hAnsi="Arial Black"/>
          <w:b/>
          <w:sz w:val="28"/>
          <w:szCs w:val="28"/>
        </w:rPr>
        <w:t xml:space="preserve">PROCEED  </w:t>
      </w:r>
    </w:p>
    <w:p w14:paraId="0AEA9899" w14:textId="77777777" w:rsidR="00C6586C" w:rsidRPr="00A47355" w:rsidRDefault="00C6586C" w:rsidP="00C6586C">
      <w:pPr>
        <w:pStyle w:val="NoSpacing"/>
      </w:pPr>
      <w:r>
        <w:t xml:space="preserve">On January 22, 2026, in </w:t>
      </w:r>
      <w:r w:rsidRPr="00F05AFE">
        <w:rPr>
          <w:u w:val="single"/>
        </w:rPr>
        <w:t>Jada Marshall v. Accomack County Department of Public Safety</w:t>
      </w:r>
      <w:r>
        <w:t>, U.S. District Court Judge Raymond A. Jackson, United States District Court for Eastern District of Virginia,  Norfolk, denied defense motion to dismiss the lawsuit. “</w:t>
      </w:r>
      <w:r w:rsidRPr="000F0BD1">
        <w:t>When reviewed in totality, Plaintiffs workplace circumstances establish conditions sufficient for a sex-based hostile workplace claim to survive at this stage.</w:t>
      </w:r>
      <w:r>
        <w:t xml:space="preserve">” </w:t>
      </w:r>
      <w:hyperlink r:id="rId1317" w:history="1">
        <w:r w:rsidRPr="003F4532">
          <w:rPr>
            <w:rStyle w:val="Hyperlink"/>
          </w:rPr>
          <w:t>https://cases.justia.com/federal/district-courts/virginia/vaedce/2:2025cv00255/573201/8/0.pdf?ts=1769187301</w:t>
        </w:r>
      </w:hyperlink>
      <w:r>
        <w:t xml:space="preserve"> </w:t>
      </w:r>
    </w:p>
    <w:p w14:paraId="64ECE438" w14:textId="77777777" w:rsidR="00C6586C" w:rsidRDefault="00C6586C" w:rsidP="00C6586C">
      <w:pPr>
        <w:pStyle w:val="NoSpacing"/>
      </w:pPr>
    </w:p>
    <w:p w14:paraId="6EFC32D9" w14:textId="77777777" w:rsidR="00C6586C" w:rsidRDefault="00C6586C" w:rsidP="00C6586C">
      <w:pPr>
        <w:pStyle w:val="NoSpacing"/>
      </w:pPr>
      <w:r>
        <w:t xml:space="preserve">THE COURT HELD: </w:t>
      </w:r>
    </w:p>
    <w:p w14:paraId="5C37AE5C" w14:textId="77777777" w:rsidR="00C6586C" w:rsidRDefault="00C6586C" w:rsidP="00C6586C">
      <w:pPr>
        <w:pStyle w:val="NoSpacing"/>
      </w:pPr>
    </w:p>
    <w:p w14:paraId="5F28DF41" w14:textId="77777777" w:rsidR="00C6586C" w:rsidRDefault="00C6586C" w:rsidP="00C6586C">
      <w:pPr>
        <w:pStyle w:val="NoSpacing"/>
        <w:ind w:left="720"/>
      </w:pPr>
      <w:r>
        <w:t>“</w:t>
      </w:r>
      <w:r w:rsidRPr="00FD2B4B">
        <w:t>Plaintiff began employment on September 5, 2023</w:t>
      </w:r>
      <w:r>
        <w:t xml:space="preserve">…. </w:t>
      </w:r>
      <w:r w:rsidRPr="00FD2B4B">
        <w:t xml:space="preserve"> As a condition of her employment, Plaintiff was required to complete Advanced EMT and Firefighter training at the Fire Academy within 12 months of her date of hire</w:t>
      </w:r>
      <w:r>
        <w:t xml:space="preserve">… </w:t>
      </w:r>
      <w:r w:rsidRPr="00FD2B4B">
        <w:t xml:space="preserve"> On October 12, 2023, Plaintiffs Fire Academy instructor, Phillip </w:t>
      </w:r>
      <w:proofErr w:type="gramStart"/>
      <w:r w:rsidRPr="00FD2B4B">
        <w:t>Kelly (</w:t>
      </w:r>
      <w:r>
        <w:t>‘</w:t>
      </w:r>
      <w:proofErr w:type="gramEnd"/>
      <w:r w:rsidRPr="00FD2B4B">
        <w:t xml:space="preserve">Instructor </w:t>
      </w:r>
      <w:proofErr w:type="gramStart"/>
      <w:r w:rsidRPr="00FD2B4B">
        <w:t>Kelly</w:t>
      </w:r>
      <w:r>
        <w:t>’</w:t>
      </w:r>
      <w:r w:rsidRPr="00FD2B4B">
        <w:t>)</w:t>
      </w:r>
      <w:proofErr w:type="gramEnd"/>
      <w:r w:rsidRPr="00FD2B4B">
        <w:t xml:space="preserve">, sent Plaintiff a text message stating, </w:t>
      </w:r>
      <w:r>
        <w:t>‘</w:t>
      </w:r>
      <w:r w:rsidRPr="00FD2B4B">
        <w:t>I would ask you out if I was not married.</w:t>
      </w:r>
      <w:r>
        <w:t xml:space="preserve">’ … </w:t>
      </w:r>
      <w:r w:rsidRPr="006B05C1">
        <w:t>Plaintiff reported the perceived harassment to her supervisor, Captain Shawn Malone (</w:t>
      </w:r>
      <w:r>
        <w:t>‘</w:t>
      </w:r>
      <w:r w:rsidRPr="006B05C1">
        <w:t>Cpt. Malone</w:t>
      </w:r>
      <w:r>
        <w:t>’</w:t>
      </w:r>
      <w:r w:rsidRPr="006B05C1">
        <w:t>)</w:t>
      </w:r>
      <w:r>
        <w:t>…. P</w:t>
      </w:r>
      <w:r w:rsidRPr="006B05C1">
        <w:t xml:space="preserve">laintiff alleges that, following this report, Cpt. Malone </w:t>
      </w:r>
      <w:r>
        <w:t>‘</w:t>
      </w:r>
      <w:r w:rsidRPr="006B05C1">
        <w:t>blamed</w:t>
      </w:r>
      <w:r>
        <w:t>’</w:t>
      </w:r>
      <w:r w:rsidRPr="006B05C1">
        <w:t xml:space="preserve"> and </w:t>
      </w:r>
      <w:r>
        <w:t>‘</w:t>
      </w:r>
      <w:r w:rsidRPr="006B05C1">
        <w:t>belittled</w:t>
      </w:r>
      <w:r>
        <w:t>’</w:t>
      </w:r>
      <w:r w:rsidRPr="006B05C1">
        <w:t xml:space="preserve"> her, rather than disciplining Instructor Kelly or reporting her complaint to the County Administrator as required by DPS policy</w:t>
      </w:r>
      <w:r>
        <w:t xml:space="preserve">…. </w:t>
      </w:r>
      <w:r w:rsidRPr="006B05C1">
        <w:t xml:space="preserve">Cpt. Malone also told Plaintiff that </w:t>
      </w:r>
      <w:r>
        <w:t>‘</w:t>
      </w:r>
      <w:r w:rsidRPr="006B05C1">
        <w:t>she was not mature or mentally fit enough to work for DPS,</w:t>
      </w:r>
      <w:r>
        <w:t>’</w:t>
      </w:r>
      <w:r w:rsidRPr="006B05C1">
        <w:t xml:space="preserve"> </w:t>
      </w:r>
      <w:r>
        <w:t>‘</w:t>
      </w:r>
      <w:r w:rsidRPr="006B05C1">
        <w:t>she needed therapy</w:t>
      </w:r>
      <w:r>
        <w:t>’</w:t>
      </w:r>
      <w:r w:rsidRPr="006B05C1">
        <w:t xml:space="preserve"> and </w:t>
      </w:r>
      <w:r>
        <w:t>‘</w:t>
      </w:r>
      <w:r w:rsidRPr="006B05C1">
        <w:t>she should get her home life straight.</w:t>
      </w:r>
      <w:r>
        <w:t xml:space="preserve">’ … </w:t>
      </w:r>
      <w:r w:rsidRPr="006B05C1">
        <w:t xml:space="preserve">Cpt. Malone also spoke to coworkers about Plaintiff, allegedly saying Plaintiff had engaged in sexual relationships with other co-workers and that Plaintiff should </w:t>
      </w:r>
      <w:r>
        <w:t>‘</w:t>
      </w:r>
      <w:r w:rsidRPr="006B05C1">
        <w:t>close her legs and do her job.</w:t>
      </w:r>
      <w:r>
        <w:t xml:space="preserve">’ … </w:t>
      </w:r>
      <w:r w:rsidRPr="00A47355">
        <w:t>On March 1, 2024, HR sent Plaintiff a letter granting her thirty additional days to complete the required training shifts</w:t>
      </w:r>
      <w:r>
        <w:t xml:space="preserve">…. </w:t>
      </w:r>
      <w:r w:rsidRPr="00A47355">
        <w:t>Plaintiff subsequently completed all required clinical shifts during the granted extension and submitted documentation to Defendant to verify the completed shifts</w:t>
      </w:r>
      <w:r>
        <w:t xml:space="preserve">…. </w:t>
      </w:r>
      <w:r w:rsidRPr="00A47355">
        <w:t>However, Plaintiff realized she incorrectly entered a date on the paperwork</w:t>
      </w:r>
      <w:r>
        <w:t xml:space="preserve">…. </w:t>
      </w:r>
      <w:r w:rsidRPr="00A47355">
        <w:t>Plaintiff attempted to correct the documents, but Defendant did not accept her correction</w:t>
      </w:r>
      <w:r>
        <w:t xml:space="preserve">…. </w:t>
      </w:r>
      <w:r w:rsidRPr="00A47355">
        <w:t>Instead, Defendant informed Plaintiff that she was being terminated, and cited the filing error as the sole reason for her termination</w:t>
      </w:r>
      <w:r>
        <w:t xml:space="preserve">…. </w:t>
      </w:r>
      <w:r w:rsidRPr="00A47355">
        <w:t>On March 26, 2024, Plaintiff received a letter from Defendant formalizing her termination.</w:t>
      </w:r>
    </w:p>
    <w:p w14:paraId="3E09A6AB" w14:textId="77777777" w:rsidR="00C6586C" w:rsidRDefault="00C6586C" w:rsidP="00C6586C">
      <w:pPr>
        <w:pStyle w:val="NoSpacing"/>
        <w:ind w:left="720"/>
      </w:pPr>
    </w:p>
    <w:p w14:paraId="134BB0BC" w14:textId="77777777" w:rsidR="00C6586C" w:rsidRPr="00A47355" w:rsidRDefault="00C6586C" w:rsidP="00C6586C">
      <w:pPr>
        <w:pStyle w:val="NoSpacing"/>
        <w:ind w:left="720"/>
      </w:pPr>
      <w:r>
        <w:t xml:space="preserve">*** </w:t>
      </w:r>
      <w:r w:rsidRPr="00A47355">
        <w:t xml:space="preserve"> </w:t>
      </w:r>
    </w:p>
    <w:p w14:paraId="59C7E221" w14:textId="77777777" w:rsidR="00C6586C" w:rsidRDefault="00C6586C" w:rsidP="00C6586C">
      <w:pPr>
        <w:pStyle w:val="NoSpacing"/>
        <w:ind w:left="720"/>
        <w:rPr>
          <w:b/>
          <w:bCs/>
        </w:rPr>
      </w:pPr>
      <w:r w:rsidRPr="00962B39">
        <w:t xml:space="preserve">Instructor Kelly's implicit proposition, in addition to Cpt. Malone's disparaging comments about Plaintiff </w:t>
      </w:r>
      <w:r>
        <w:t>‘</w:t>
      </w:r>
      <w:r w:rsidRPr="00962B39">
        <w:t>keeping her legs closed,</w:t>
      </w:r>
      <w:r>
        <w:t>’</w:t>
      </w:r>
      <w:r w:rsidRPr="00962B39">
        <w:t xml:space="preserve"> indicate inappropriate sexual discussion by Plaintiffs superiors in her workplace. And, although a hostile workplace claim must meet a demanding standard, courts in this district have found that sexual harassment by one's supervisor is more likely to meet that standard because of the influence the supervisor may have on the workplace and </w:t>
      </w:r>
      <w:proofErr w:type="gramStart"/>
      <w:r w:rsidRPr="00962B39">
        <w:t>in light of</w:t>
      </w:r>
      <w:proofErr w:type="gramEnd"/>
      <w:r w:rsidRPr="00962B39">
        <w:t xml:space="preserve"> the inherent power imbalance</w:t>
      </w:r>
      <w:r>
        <w:t xml:space="preserve">.” </w:t>
      </w:r>
    </w:p>
    <w:p w14:paraId="643AF0EA" w14:textId="77777777" w:rsidR="00C6586C" w:rsidRDefault="00C6586C" w:rsidP="00C6586C">
      <w:pPr>
        <w:pStyle w:val="NoSpacing"/>
        <w:rPr>
          <w:b/>
          <w:bCs/>
        </w:rPr>
      </w:pPr>
    </w:p>
    <w:p w14:paraId="4439348C" w14:textId="77777777" w:rsidR="00C6586C" w:rsidRDefault="00C6586C" w:rsidP="00C6586C">
      <w:pPr>
        <w:pStyle w:val="NoSpacing"/>
        <w:rPr>
          <w:b/>
          <w:bCs/>
        </w:rPr>
      </w:pPr>
      <w:r>
        <w:rPr>
          <w:b/>
        </w:rPr>
        <w:t xml:space="preserve">Legal lesson learned: If an officer believes FF / EMT is not mentally “not fit for the job” then work with HR to get employee professionally evaluated. </w:t>
      </w:r>
    </w:p>
    <w:p w14:paraId="61A1BC25" w14:textId="77777777" w:rsidR="00C6586C" w:rsidRDefault="00C6586C" w:rsidP="00C6586C">
      <w:pPr>
        <w:pStyle w:val="NoSpacing"/>
        <w:rPr>
          <w:b/>
          <w:bCs/>
        </w:rPr>
      </w:pPr>
    </w:p>
    <w:p w14:paraId="75F73570" w14:textId="77777777" w:rsidR="00C6586C" w:rsidRDefault="00C6586C" w:rsidP="00292E1C">
      <w:pPr>
        <w:pStyle w:val="NoSpacing"/>
        <w:rPr>
          <w:rFonts w:ascii="Arial Black" w:hAnsi="Arial Black"/>
          <w:sz w:val="28"/>
          <w:szCs w:val="28"/>
        </w:rPr>
      </w:pPr>
    </w:p>
    <w:p w14:paraId="31562364" w14:textId="77777777" w:rsidR="00C6586C" w:rsidRDefault="00C6586C" w:rsidP="00292E1C">
      <w:pPr>
        <w:pStyle w:val="NoSpacing"/>
        <w:rPr>
          <w:rFonts w:ascii="Arial Black" w:hAnsi="Arial Black"/>
          <w:sz w:val="28"/>
          <w:szCs w:val="28"/>
        </w:rPr>
      </w:pPr>
    </w:p>
    <w:p w14:paraId="7E211B60" w14:textId="6C270E22" w:rsidR="007774D2" w:rsidRDefault="00215605" w:rsidP="00292E1C">
      <w:pPr>
        <w:pStyle w:val="NoSpacing"/>
        <w:rPr>
          <w:rFonts w:ascii="Arial Black" w:hAnsi="Arial Black"/>
          <w:sz w:val="28"/>
          <w:szCs w:val="28"/>
        </w:rPr>
      </w:pPr>
      <w:r>
        <w:rPr>
          <w:rFonts w:ascii="Arial Black" w:hAnsi="Arial Black"/>
          <w:sz w:val="28"/>
          <w:szCs w:val="28"/>
        </w:rPr>
        <w:t>7-85</w:t>
      </w:r>
    </w:p>
    <w:p w14:paraId="57612908" w14:textId="77777777" w:rsidR="00215605" w:rsidRDefault="00215605" w:rsidP="00292E1C">
      <w:pPr>
        <w:pStyle w:val="NoSpacing"/>
        <w:rPr>
          <w:rFonts w:ascii="Arial Black" w:hAnsi="Arial Black"/>
          <w:sz w:val="28"/>
          <w:szCs w:val="28"/>
        </w:rPr>
      </w:pPr>
    </w:p>
    <w:p w14:paraId="4365C3FE" w14:textId="77777777" w:rsidR="00215605" w:rsidRPr="00475917" w:rsidRDefault="00215605" w:rsidP="00215605">
      <w:pPr>
        <w:rPr>
          <w:rFonts w:ascii="Arial Black" w:hAnsi="Arial Black"/>
          <w:sz w:val="28"/>
          <w:szCs w:val="28"/>
        </w:rPr>
      </w:pPr>
      <w:r>
        <w:rPr>
          <w:rFonts w:ascii="Arial Black" w:hAnsi="Arial Black"/>
          <w:sz w:val="28"/>
          <w:szCs w:val="28"/>
        </w:rPr>
        <w:t xml:space="preserve">DE: EMT / VOL. FD – “OFFENSIVE JOKES” – FIRING UPHELD </w:t>
      </w:r>
    </w:p>
    <w:p w14:paraId="321CC0D0" w14:textId="77777777" w:rsidR="00215605" w:rsidRPr="00CC347E" w:rsidRDefault="00215605" w:rsidP="00215605">
      <w:r>
        <w:t xml:space="preserve">On November 25, 2025, in </w:t>
      </w:r>
      <w:r w:rsidRPr="00161B10">
        <w:rPr>
          <w:u w:val="single"/>
        </w:rPr>
        <w:t xml:space="preserve">Steven Germain v. Cara Viera, </w:t>
      </w:r>
      <w:r>
        <w:rPr>
          <w:u w:val="single"/>
        </w:rPr>
        <w:t xml:space="preserve">et al., </w:t>
      </w:r>
      <w:r w:rsidRPr="00161B10">
        <w:rPr>
          <w:u w:val="single"/>
        </w:rPr>
        <w:t xml:space="preserve">Mill Creek Board of Directors, </w:t>
      </w:r>
      <w:r>
        <w:t xml:space="preserve">Judge </w:t>
      </w:r>
      <w:r w:rsidRPr="00FE1B2D">
        <w:t>Sonia Augusthy</w:t>
      </w:r>
      <w:r>
        <w:t xml:space="preserve">, </w:t>
      </w:r>
      <w:r w:rsidRPr="00FE1B2D">
        <w:t>Superior Court of Delaware</w:t>
      </w:r>
      <w:r>
        <w:t>, granted the defendants’ motion to dismiss.  The Fire Department is a non-profit, non-governmental entity.  The plaintiff claimed [pro se – not represented by an attorney] was not granted due process; fired by the Board of Directors without a hearing five days after sending an e-mail to female that he claimed was merely an “offensive joke.” THE COURT WROTE: “</w:t>
      </w:r>
      <w:r w:rsidRPr="00706508">
        <w:t xml:space="preserve">Steven Germain, a longtime volunteer of a non-profit private entity, admittedly sent a text message to a female associate, indicating he </w:t>
      </w:r>
      <w:r>
        <w:t>‘</w:t>
      </w:r>
      <w:r w:rsidRPr="00706508">
        <w:t>had a mental thought of slapping her on the butt.</w:t>
      </w:r>
      <w:r>
        <w:t xml:space="preserve"> </w:t>
      </w:r>
      <w:r w:rsidRPr="00AD6501">
        <w:t>She responded that would be inappropriate. He acknowledged she was correct and apologized. This incident was reported.</w:t>
      </w:r>
      <w:r>
        <w:t xml:space="preserve">*** </w:t>
      </w:r>
      <w:r w:rsidRPr="006115E8">
        <w:t xml:space="preserve">Plaintiff was notified of the issue and given an opportunity to respond. In a written response he admitted to </w:t>
      </w:r>
      <w:r>
        <w:t>‘</w:t>
      </w:r>
      <w:r w:rsidRPr="006115E8">
        <w:t>offensive jokes,</w:t>
      </w:r>
      <w:r>
        <w:t>’</w:t>
      </w:r>
      <w:r w:rsidRPr="006115E8">
        <w:t xml:space="preserve"> which expressly violates the policy he cites. The </w:t>
      </w:r>
      <w:r>
        <w:t>‘</w:t>
      </w:r>
      <w:r w:rsidRPr="006115E8">
        <w:t>government</w:t>
      </w:r>
      <w:r>
        <w:t>’</w:t>
      </w:r>
      <w:r w:rsidRPr="006115E8">
        <w:t xml:space="preserve"> interest of Mill Creek is to ensure a safe and respectful environment for members and the community they serve. Even under the facts as alleged by Plaintiff, he received sufficient due process</w:t>
      </w:r>
      <w:r>
        <w:t xml:space="preserve">…. </w:t>
      </w:r>
      <w:r w:rsidRPr="002724DC">
        <w:t>As for defamation, Defendants argue Plaintiff failed to identify a defamatory statement within the Complaint. Further, they argue because Plaintiff admitted making the comment, and acknowledged it as an offensive joke</w:t>
      </w:r>
      <w:r>
        <w:t xml:space="preserve">.” </w:t>
      </w:r>
      <w:hyperlink r:id="rId1318" w:history="1">
        <w:r w:rsidRPr="00CC347E">
          <w:rPr>
            <w:rStyle w:val="Hyperlink"/>
          </w:rPr>
          <w:t>https://cases.justia.com/delaware/superior-court/2025-n25c-08-098-ssa.pdf?ts=1764099129</w:t>
        </w:r>
      </w:hyperlink>
      <w:r w:rsidRPr="00CC347E">
        <w:t xml:space="preserve"> </w:t>
      </w:r>
    </w:p>
    <w:p w14:paraId="141DC7BA" w14:textId="77777777" w:rsidR="00215605" w:rsidRDefault="00215605" w:rsidP="00215605">
      <w:r>
        <w:t>THE COURT HELD:</w:t>
      </w:r>
    </w:p>
    <w:p w14:paraId="5583EE14" w14:textId="77777777" w:rsidR="00215605" w:rsidRDefault="00215605" w:rsidP="00215605">
      <w:pPr>
        <w:ind w:firstLine="720"/>
      </w:pPr>
      <w:r>
        <w:t>“</w:t>
      </w:r>
      <w:r w:rsidRPr="00B8450A">
        <w:t>Plaintiff was a volunteer with the Fire Department for over 14 years.</w:t>
      </w:r>
    </w:p>
    <w:p w14:paraId="4151685B" w14:textId="77777777" w:rsidR="00215605" w:rsidRDefault="00215605" w:rsidP="00215605">
      <w:pPr>
        <w:ind w:firstLine="720"/>
      </w:pPr>
      <w:r>
        <w:t>***</w:t>
      </w:r>
    </w:p>
    <w:p w14:paraId="6B1D44E5" w14:textId="77777777" w:rsidR="00215605" w:rsidRPr="00B73F86" w:rsidRDefault="00215605" w:rsidP="00215605">
      <w:pPr>
        <w:ind w:left="720"/>
      </w:pPr>
      <w:r w:rsidRPr="00B73F86">
        <w:t xml:space="preserve">After the text exchange outlined above, Plaintiff was notified by letter that Fire Department leadership received a formal complaint, alleging a violation of the sexual harassment and conduct policies. The letter notified </w:t>
      </w:r>
      <w:proofErr w:type="gramStart"/>
      <w:r w:rsidRPr="00B73F86">
        <w:t>Plaintiff</w:t>
      </w:r>
      <w:proofErr w:type="gramEnd"/>
      <w:r w:rsidRPr="00B73F86">
        <w:t xml:space="preserve"> an investigation had been initiated. He was suspended. He was instructed not to have contact with the Fire Department while the investigation was pending. The letter from leadership did not specify the conduct at issue. </w:t>
      </w:r>
    </w:p>
    <w:p w14:paraId="5CE8FD3A" w14:textId="77777777" w:rsidR="00215605" w:rsidRDefault="00215605" w:rsidP="00215605">
      <w:pPr>
        <w:ind w:left="720"/>
      </w:pPr>
      <w:r w:rsidRPr="00B73F86">
        <w:t xml:space="preserve">The same day, Plaintiff replied via email. Within, he provided the factual background for the incident outlined above and attached to the Complaint. Specifically, the email advised Plaintiff engaged a female colleague in a text exchange wherein he stated he had </w:t>
      </w:r>
      <w:r>
        <w:t>‘</w:t>
      </w:r>
      <w:r w:rsidRPr="00B73F86">
        <w:t>a funny thing to share, but don't get mad or something like that.</w:t>
      </w:r>
      <w:r>
        <w:t>’</w:t>
      </w:r>
      <w:r w:rsidRPr="00B73F86">
        <w:t xml:space="preserve"> This responsive email from Plaintiff went on to describe his next text to his female colleague as, </w:t>
      </w:r>
      <w:r>
        <w:t>‘</w:t>
      </w:r>
      <w:r w:rsidRPr="00B73F86">
        <w:t>I said it was funny when I was coming into the meeting hall, and everyone was there she was reaching over the table to Andrew, and I said it was funny because I had a mental thought of slapping her on the butt.</w:t>
      </w:r>
      <w:r>
        <w:t>’</w:t>
      </w:r>
      <w:r w:rsidRPr="00B73F86">
        <w:t xml:space="preserve"> This email from Plaintiff described the exchange as </w:t>
      </w:r>
      <w:r>
        <w:t>‘</w:t>
      </w:r>
      <w:r w:rsidRPr="00B73F86">
        <w:t>common silly banter.</w:t>
      </w:r>
      <w:r>
        <w:t>’</w:t>
      </w:r>
      <w:r w:rsidRPr="00B73F86">
        <w:t xml:space="preserve"> Plaintiff stated he </w:t>
      </w:r>
      <w:r>
        <w:t>‘</w:t>
      </w:r>
      <w:r w:rsidRPr="00B73F86">
        <w:t>will take 100% responsibility for my comment</w:t>
      </w:r>
      <w:r>
        <w:t>.’”</w:t>
      </w:r>
    </w:p>
    <w:p w14:paraId="7147739B" w14:textId="77777777" w:rsidR="00215605" w:rsidRDefault="00215605" w:rsidP="00215605">
      <w:pPr>
        <w:rPr>
          <w:b/>
          <w:bCs/>
        </w:rPr>
      </w:pPr>
      <w:r>
        <w:rPr>
          <w:b/>
        </w:rPr>
        <w:t xml:space="preserve">Legal lesson learned: Sexual comments are not “common silly banter.”  </w:t>
      </w:r>
    </w:p>
    <w:p w14:paraId="7662B279" w14:textId="77777777" w:rsidR="00215605" w:rsidRDefault="00215605" w:rsidP="00292E1C">
      <w:pPr>
        <w:pStyle w:val="NoSpacing"/>
        <w:rPr>
          <w:rFonts w:ascii="Arial Black" w:hAnsi="Arial Black"/>
          <w:sz w:val="28"/>
          <w:szCs w:val="28"/>
        </w:rPr>
      </w:pPr>
    </w:p>
    <w:p w14:paraId="5176852C" w14:textId="77777777" w:rsidR="00215605" w:rsidRDefault="00215605" w:rsidP="00292E1C">
      <w:pPr>
        <w:pStyle w:val="NoSpacing"/>
        <w:rPr>
          <w:rFonts w:ascii="Arial Black" w:hAnsi="Arial Black"/>
          <w:sz w:val="28"/>
          <w:szCs w:val="28"/>
        </w:rPr>
      </w:pPr>
    </w:p>
    <w:p w14:paraId="059B0652" w14:textId="335D0A1D" w:rsidR="00215605" w:rsidRDefault="00215605" w:rsidP="00292E1C">
      <w:pPr>
        <w:pStyle w:val="NoSpacing"/>
        <w:rPr>
          <w:rFonts w:ascii="Arial Black" w:hAnsi="Arial Black"/>
          <w:sz w:val="28"/>
          <w:szCs w:val="28"/>
        </w:rPr>
      </w:pPr>
      <w:r>
        <w:rPr>
          <w:rFonts w:ascii="Arial Black" w:hAnsi="Arial Black"/>
          <w:sz w:val="28"/>
          <w:szCs w:val="28"/>
        </w:rPr>
        <w:t>7-84</w:t>
      </w:r>
    </w:p>
    <w:p w14:paraId="318D1917" w14:textId="77777777" w:rsidR="00BC64C2" w:rsidRDefault="00BC64C2" w:rsidP="00292E1C">
      <w:pPr>
        <w:pStyle w:val="NoSpacing"/>
        <w:rPr>
          <w:rFonts w:ascii="Arial Black" w:hAnsi="Arial Black"/>
          <w:sz w:val="28"/>
          <w:szCs w:val="28"/>
        </w:rPr>
      </w:pPr>
    </w:p>
    <w:p w14:paraId="53B4D2D7" w14:textId="6AAD6556" w:rsidR="00BC64C2" w:rsidRPr="00D2161F" w:rsidRDefault="00BC64C2" w:rsidP="00BC64C2">
      <w:pPr>
        <w:pStyle w:val="NoSpacing"/>
        <w:rPr>
          <w:rFonts w:ascii="Arial Black" w:hAnsi="Arial Black"/>
          <w:sz w:val="28"/>
          <w:szCs w:val="28"/>
        </w:rPr>
      </w:pPr>
      <w:r>
        <w:rPr>
          <w:rFonts w:ascii="Arial Black" w:hAnsi="Arial Black"/>
          <w:sz w:val="28"/>
          <w:szCs w:val="28"/>
        </w:rPr>
        <w:t xml:space="preserve">TX: CHIEF 30 DAY SUSP – FEMALE B/C &amp; CAPT FIRED </w:t>
      </w:r>
    </w:p>
    <w:p w14:paraId="5B0956C6" w14:textId="77777777" w:rsidR="00BC64C2" w:rsidRDefault="00BC64C2" w:rsidP="00BC64C2">
      <w:pPr>
        <w:pStyle w:val="NoSpacing"/>
      </w:pPr>
    </w:p>
    <w:p w14:paraId="1052CD83" w14:textId="77777777" w:rsidR="00BC64C2" w:rsidRDefault="00BC64C2" w:rsidP="00BC64C2">
      <w:pPr>
        <w:pStyle w:val="NoSpacing"/>
      </w:pPr>
      <w:r>
        <w:t xml:space="preserve">On October 29, 2025, in </w:t>
      </w:r>
      <w:r w:rsidRPr="000D00D9">
        <w:rPr>
          <w:u w:val="single"/>
        </w:rPr>
        <w:t>Brittany Garner and David Daigle v. Travis County Emergency Services District No</w:t>
      </w:r>
      <w:r>
        <w:rPr>
          <w:u w:val="single"/>
        </w:rPr>
        <w:t>.</w:t>
      </w:r>
      <w:r w:rsidRPr="000D00D9">
        <w:rPr>
          <w:u w:val="single"/>
        </w:rPr>
        <w:t xml:space="preserve"> 1</w:t>
      </w:r>
      <w:r>
        <w:t xml:space="preserve">, U.S. District Court Judge Robert Pitman, </w:t>
      </w:r>
      <w:r w:rsidRPr="00234FD9">
        <w:t xml:space="preserve">United States District Court, </w:t>
      </w:r>
      <w:r>
        <w:t xml:space="preserve">Western District, </w:t>
      </w:r>
      <w:r w:rsidRPr="00234FD9">
        <w:t>Austin Division</w:t>
      </w:r>
      <w:r>
        <w:t xml:space="preserve">, held that Battalion Chief Brittany Garner (fired Dec. 23, 2023), and Captain David Daigle (fired Dec. 15, 2023) may proceed together in a joint trial for alleged retaliation.  The Fire Chief was suspended for one month in May 2023 after Brittany Garner made allegations sexual harassment by the Chief. She </w:t>
      </w:r>
      <w:r w:rsidRPr="00BE05C9">
        <w:t>is the only woman in upper management within TCESD1, and her EEOC charge alleges that Chief Norman criticized her for “mothering” her crew.</w:t>
      </w:r>
      <w:r>
        <w:t xml:space="preserve"> David made other complaints about the Fire Chief.  THE COURT WROTE: “</w:t>
      </w:r>
      <w:r w:rsidRPr="00B73C81">
        <w:t>Plaintiffs plead that they worked for the same entity at the same location, worked under the same chief, both reported th</w:t>
      </w:r>
      <w:r>
        <w:t>e</w:t>
      </w:r>
      <w:r w:rsidRPr="00B73C81">
        <w:t xml:space="preserve"> chief for sexual harassment, were both terminated within one week of each other in December 2023, and were terminated based upon fabricated allegations without the opportunity to meaningfully defend themselves</w:t>
      </w:r>
      <w:r>
        <w:t xml:space="preserve">. </w:t>
      </w:r>
      <w:r w:rsidRPr="005E3A18">
        <w:t xml:space="preserve">Their retaliation claims are therefore logically related and do arise out of the same series of transactions or </w:t>
      </w:r>
      <w:proofErr w:type="gramStart"/>
      <w:r w:rsidRPr="005E3A18">
        <w:t>occurrences</w:t>
      </w:r>
      <w:r>
        <w:t>.”</w:t>
      </w:r>
      <w:proofErr w:type="gramEnd"/>
      <w:r>
        <w:t xml:space="preserve"> </w:t>
      </w:r>
    </w:p>
    <w:p w14:paraId="53A2DD6D" w14:textId="77777777" w:rsidR="00BC64C2" w:rsidRDefault="00BC64C2" w:rsidP="00BC64C2">
      <w:pPr>
        <w:pStyle w:val="NoSpacing"/>
      </w:pPr>
    </w:p>
    <w:p w14:paraId="2A157956" w14:textId="77777777" w:rsidR="00BC64C2" w:rsidRDefault="00BC64C2" w:rsidP="00BC64C2">
      <w:pPr>
        <w:pStyle w:val="NoSpacing"/>
      </w:pPr>
      <w:r>
        <w:t>THE COURT HELD:</w:t>
      </w:r>
    </w:p>
    <w:p w14:paraId="14DCB0CF" w14:textId="77777777" w:rsidR="00BC64C2" w:rsidRDefault="00BC64C2" w:rsidP="00BC64C2">
      <w:pPr>
        <w:pStyle w:val="NoSpacing"/>
        <w:ind w:left="720"/>
      </w:pPr>
    </w:p>
    <w:p w14:paraId="7177C37F" w14:textId="77777777" w:rsidR="00BC64C2" w:rsidRDefault="00BC64C2" w:rsidP="00BC64C2">
      <w:pPr>
        <w:pStyle w:val="NoSpacing"/>
        <w:ind w:left="720"/>
      </w:pPr>
      <w:r>
        <w:t>“</w:t>
      </w:r>
      <w:r w:rsidRPr="00D55493">
        <w:t>Garner was employed as a Battalion Chief; she alleges that she was the highest-ranking woman within TCESD1 and the only woman in upper management</w:t>
      </w:r>
      <w:r>
        <w:t xml:space="preserve">…. </w:t>
      </w:r>
      <w:r w:rsidRPr="00D55493">
        <w:t>Daigle was employed as a Captain</w:t>
      </w:r>
      <w:r>
        <w:t xml:space="preserve">…. </w:t>
      </w:r>
      <w:r w:rsidRPr="00D55493">
        <w:t>Both had worked at TCESD1 since 2008.</w:t>
      </w:r>
    </w:p>
    <w:p w14:paraId="1A93D839" w14:textId="77777777" w:rsidR="00BC64C2" w:rsidRDefault="00BC64C2" w:rsidP="00BC64C2">
      <w:pPr>
        <w:pStyle w:val="NoSpacing"/>
        <w:ind w:left="720"/>
      </w:pPr>
    </w:p>
    <w:p w14:paraId="34DACA90" w14:textId="77777777" w:rsidR="00BC64C2" w:rsidRDefault="00BC64C2" w:rsidP="00BC64C2">
      <w:pPr>
        <w:pStyle w:val="NoSpacing"/>
        <w:ind w:left="720"/>
      </w:pPr>
      <w:r>
        <w:t>***</w:t>
      </w:r>
    </w:p>
    <w:p w14:paraId="4899D792" w14:textId="77777777" w:rsidR="00BC64C2" w:rsidRDefault="00BC64C2" w:rsidP="00BC64C2">
      <w:pPr>
        <w:pStyle w:val="NoSpacing"/>
        <w:ind w:left="720"/>
      </w:pPr>
      <w:r w:rsidRPr="00CD35A3">
        <w:t xml:space="preserve">The timeline of Garner's protected activities and the alleged adverse actions taken against  harassment and gender discrimination in February 2023; (2) she subsequently repeated these complaints to Borchardt, who was </w:t>
      </w:r>
      <w:r>
        <w:t>‘</w:t>
      </w:r>
      <w:r w:rsidRPr="00CD35A3">
        <w:t>a friend</w:t>
      </w:r>
      <w:r>
        <w:t>’</w:t>
      </w:r>
      <w:r w:rsidRPr="00CD35A3">
        <w:t xml:space="preserve"> of Chief Norman's and </w:t>
      </w:r>
      <w:r>
        <w:t>‘</w:t>
      </w:r>
      <w:r w:rsidRPr="00CD35A3">
        <w:t>re-surveyed</w:t>
      </w:r>
      <w:r>
        <w:t>’</w:t>
      </w:r>
      <w:r w:rsidRPr="00CD35A3">
        <w:t xml:space="preserve"> the TCESD1 employees in approximately April 2023; (3) in May 2023, which was approximately one month after she made complaints to Borchardt, Chief Norman </w:t>
      </w:r>
      <w:r>
        <w:t>‘</w:t>
      </w:r>
      <w:r w:rsidRPr="00CD35A3">
        <w:t>blamed</w:t>
      </w:r>
      <w:r>
        <w:t>’</w:t>
      </w:r>
      <w:r w:rsidRPr="00CD35A3">
        <w:t xml:space="preserve"> schedule changes on Garner, such that she was </w:t>
      </w:r>
      <w:r>
        <w:t>‘</w:t>
      </w:r>
      <w:r w:rsidRPr="00CD35A3">
        <w:t>ostracized . . . by the other male officers and firefighters,</w:t>
      </w:r>
      <w:r>
        <w:t>’</w:t>
      </w:r>
      <w:r w:rsidRPr="00CD35A3">
        <w:t xml:space="preserve"> and Chief Norman allegedly asked one of Garner's subordinates to report to him any information he could use to justify terminating Garner; (4) on October 4, 2023, Garner was placed on leave pending an investigation into her conversation with FF Colunga; (5) on October 26, 2023, Garner filed a written complaint of retaliation against ESD1 and Chief Norman; and (6) on December 23, 2023, Garner was terminated.</w:t>
      </w:r>
    </w:p>
    <w:p w14:paraId="50EFCD09" w14:textId="77777777" w:rsidR="00BC64C2" w:rsidRDefault="00BC64C2" w:rsidP="00BC64C2">
      <w:pPr>
        <w:pStyle w:val="NoSpacing"/>
        <w:ind w:left="720"/>
      </w:pPr>
    </w:p>
    <w:p w14:paraId="1A99B9AC" w14:textId="77777777" w:rsidR="00BC64C2" w:rsidRDefault="00BC64C2" w:rsidP="00BC64C2">
      <w:pPr>
        <w:pStyle w:val="NoSpacing"/>
        <w:ind w:left="720"/>
      </w:pPr>
      <w:r>
        <w:t>***</w:t>
      </w:r>
      <w:r w:rsidRPr="00CD35A3">
        <w:t xml:space="preserve"> </w:t>
      </w:r>
    </w:p>
    <w:p w14:paraId="1674C870" w14:textId="77777777" w:rsidR="00BC64C2" w:rsidRDefault="00BC64C2" w:rsidP="00BC64C2">
      <w:pPr>
        <w:pStyle w:val="NoSpacing"/>
      </w:pPr>
    </w:p>
    <w:p w14:paraId="193A3912" w14:textId="77777777" w:rsidR="00BC64C2" w:rsidRDefault="00BC64C2" w:rsidP="00BC64C2">
      <w:pPr>
        <w:pStyle w:val="NoSpacing"/>
        <w:ind w:left="720"/>
      </w:pPr>
      <w:r w:rsidRPr="00D73FD2">
        <w:t>Finally, many of the same witnesses would be expected to testify regarding each Plaintiffs' claims, and it would be burdensome for those witnesses to be required to testify on a similar issue- retaliation at TCESD1 for reporting sexual harassment-twice. This factor therefore weighs against severance. For the reasons stated above, the Court finds that Plaintiffs' claims should not be severed.</w:t>
      </w:r>
      <w:r>
        <w:t>”</w:t>
      </w:r>
    </w:p>
    <w:p w14:paraId="69AC2CD8" w14:textId="77777777" w:rsidR="00BC64C2" w:rsidRDefault="00BC64C2" w:rsidP="00BC64C2">
      <w:pPr>
        <w:pStyle w:val="NoSpacing"/>
        <w:ind w:left="720"/>
      </w:pPr>
    </w:p>
    <w:p w14:paraId="0D415B59" w14:textId="77777777" w:rsidR="00BC64C2" w:rsidRPr="00CD35A3" w:rsidRDefault="00BC64C2" w:rsidP="00BC64C2">
      <w:pPr>
        <w:pStyle w:val="NoSpacing"/>
        <w:rPr>
          <w:b/>
          <w:bCs/>
        </w:rPr>
      </w:pPr>
      <w:r>
        <w:rPr>
          <w:b/>
        </w:rPr>
        <w:t xml:space="preserve">Legal lesson learned: Case will now proceed to trial with both plaintiffs. </w:t>
      </w:r>
    </w:p>
    <w:p w14:paraId="1243F258" w14:textId="77777777" w:rsidR="00BC64C2" w:rsidRDefault="00BC64C2" w:rsidP="00292E1C">
      <w:pPr>
        <w:pStyle w:val="NoSpacing"/>
        <w:rPr>
          <w:rFonts w:ascii="Arial Black" w:hAnsi="Arial Black"/>
          <w:sz w:val="28"/>
          <w:szCs w:val="28"/>
        </w:rPr>
      </w:pPr>
    </w:p>
    <w:p w14:paraId="7AE79801" w14:textId="77777777" w:rsidR="00215605" w:rsidRDefault="00215605" w:rsidP="00292E1C">
      <w:pPr>
        <w:pStyle w:val="NoSpacing"/>
        <w:rPr>
          <w:rFonts w:ascii="Arial Black" w:hAnsi="Arial Black"/>
          <w:sz w:val="28"/>
          <w:szCs w:val="28"/>
        </w:rPr>
      </w:pPr>
    </w:p>
    <w:p w14:paraId="22FB1715" w14:textId="274E1E27" w:rsidR="007774D2" w:rsidRDefault="007774D2" w:rsidP="00292E1C">
      <w:pPr>
        <w:pStyle w:val="NoSpacing"/>
        <w:rPr>
          <w:rFonts w:ascii="Arial Black" w:hAnsi="Arial Black"/>
          <w:sz w:val="28"/>
          <w:szCs w:val="28"/>
        </w:rPr>
      </w:pPr>
      <w:r>
        <w:rPr>
          <w:rFonts w:ascii="Arial Black" w:hAnsi="Arial Black"/>
          <w:sz w:val="28"/>
          <w:szCs w:val="28"/>
        </w:rPr>
        <w:t>7-83</w:t>
      </w:r>
    </w:p>
    <w:p w14:paraId="4C0B4FCA" w14:textId="77777777" w:rsidR="009D5C36" w:rsidRDefault="009D5C36" w:rsidP="00292E1C">
      <w:pPr>
        <w:pStyle w:val="NoSpacing"/>
        <w:rPr>
          <w:rFonts w:ascii="Arial Black" w:hAnsi="Arial Black"/>
          <w:sz w:val="28"/>
          <w:szCs w:val="28"/>
        </w:rPr>
      </w:pPr>
    </w:p>
    <w:p w14:paraId="0FA5AE58" w14:textId="3B2221E3" w:rsidR="009D5C36" w:rsidRDefault="009D5C36" w:rsidP="009D5C36">
      <w:pPr>
        <w:pStyle w:val="NoSpacing"/>
        <w:rPr>
          <w:rFonts w:ascii="Arial Black" w:hAnsi="Arial Black"/>
          <w:sz w:val="28"/>
          <w:szCs w:val="28"/>
        </w:rPr>
      </w:pPr>
      <w:r w:rsidRPr="00ED6A85">
        <w:rPr>
          <w:rFonts w:ascii="Arial Black" w:hAnsi="Arial Black"/>
          <w:sz w:val="28"/>
          <w:szCs w:val="28"/>
        </w:rPr>
        <w:t xml:space="preserve">MT: </w:t>
      </w:r>
      <w:r>
        <w:rPr>
          <w:rFonts w:ascii="Arial Black" w:hAnsi="Arial Black"/>
          <w:sz w:val="28"/>
          <w:szCs w:val="28"/>
        </w:rPr>
        <w:t xml:space="preserve">EMT - NO RETALIATION </w:t>
      </w:r>
      <w:r w:rsidR="00CD4C27">
        <w:rPr>
          <w:rFonts w:ascii="Arial Black" w:hAnsi="Arial Black"/>
          <w:sz w:val="28"/>
          <w:szCs w:val="28"/>
        </w:rPr>
        <w:t>–</w:t>
      </w:r>
      <w:r>
        <w:rPr>
          <w:rFonts w:ascii="Arial Black" w:hAnsi="Arial Black"/>
          <w:sz w:val="28"/>
          <w:szCs w:val="28"/>
        </w:rPr>
        <w:t xml:space="preserve"> </w:t>
      </w:r>
      <w:r w:rsidR="00CD4C27">
        <w:rPr>
          <w:rFonts w:ascii="Arial Black" w:hAnsi="Arial Black"/>
          <w:sz w:val="28"/>
          <w:szCs w:val="28"/>
        </w:rPr>
        <w:t xml:space="preserve">DEPT. </w:t>
      </w:r>
      <w:r>
        <w:rPr>
          <w:rFonts w:ascii="Arial Black" w:hAnsi="Arial Black"/>
          <w:sz w:val="28"/>
          <w:szCs w:val="28"/>
        </w:rPr>
        <w:t>NARCAN TRAINING BY MD</w:t>
      </w:r>
    </w:p>
    <w:p w14:paraId="1CEC0E7B" w14:textId="77777777" w:rsidR="00AF2FA3" w:rsidRDefault="00AF2FA3" w:rsidP="009D5C36">
      <w:pPr>
        <w:pStyle w:val="NoSpacing"/>
      </w:pPr>
    </w:p>
    <w:p w14:paraId="386C9475" w14:textId="69C09A4B" w:rsidR="009D5C36" w:rsidRDefault="009D5C36" w:rsidP="009D5C36">
      <w:pPr>
        <w:pStyle w:val="NoSpacing"/>
        <w:rPr>
          <w:b/>
        </w:rPr>
      </w:pPr>
      <w:r>
        <w:t xml:space="preserve">On Oct. 7, 2025, in </w:t>
      </w:r>
      <w:r w:rsidRPr="00A50E57">
        <w:rPr>
          <w:u w:val="single"/>
        </w:rPr>
        <w:t>Daniela Vaccaro v. Three Forks Area Ambulance Service</w:t>
      </w:r>
      <w:r>
        <w:t xml:space="preserve">, the Supreme Court of Montana held (5 to 0; unpublished opinion) that District Court judge properly affirmed the Human Rights Commission investigators findings of no retaliation with her two complaints of retaliation.   The Plaintiff became a volunteer EMT in Feb. 2021, but was terminated in </w:t>
      </w:r>
      <w:proofErr w:type="gramStart"/>
      <w:r>
        <w:t>June,</w:t>
      </w:r>
      <w:proofErr w:type="gramEnd"/>
      <w:r>
        <w:t xml:space="preserve"> 2021 (court did not describe reason).  She filed a claim of “</w:t>
      </w:r>
      <w:r w:rsidRPr="00853552">
        <w:t>marital status discriminatio</w:t>
      </w:r>
      <w:r>
        <w:t xml:space="preserve">n” (her husband is on 5-member Board) with the Human Rights Commission and the Ambulance Service agreed to a “no fault” settlement and returned her to duty.  In the first Board meeting upon her return, she offered to teach a Narcan class, but instead the Board retained services of a well-known physician.  She filed a complaint of retaliation with the Commission.  When she returned from vacation, she was asked to pass a skills test on Narcan and filed another complaint with the Commission. </w:t>
      </w:r>
      <w:hyperlink r:id="rId1319" w:history="1">
        <w:r w:rsidRPr="006D5F93">
          <w:rPr>
            <w:rStyle w:val="Hyperlink"/>
            <w:b/>
          </w:rPr>
          <w:t>https://cases.justia.com/montana/supreme-court/2025-da-24-0672.pdf?ts=1759872027</w:t>
        </w:r>
      </w:hyperlink>
      <w:r>
        <w:rPr>
          <w:b/>
        </w:rPr>
        <w:t xml:space="preserve"> </w:t>
      </w:r>
    </w:p>
    <w:p w14:paraId="388818EE" w14:textId="77777777" w:rsidR="009D5C36" w:rsidRDefault="009D5C36" w:rsidP="009D5C36">
      <w:pPr>
        <w:pStyle w:val="NoSpacing"/>
        <w:rPr>
          <w:bCs/>
        </w:rPr>
      </w:pPr>
    </w:p>
    <w:p w14:paraId="583146CA" w14:textId="77777777" w:rsidR="009D5C36" w:rsidRDefault="009D5C36" w:rsidP="009D5C36">
      <w:pPr>
        <w:pStyle w:val="NoSpacing"/>
        <w:rPr>
          <w:bCs/>
        </w:rPr>
      </w:pPr>
      <w:r>
        <w:t>THE COURT HELD:</w:t>
      </w:r>
    </w:p>
    <w:p w14:paraId="75759589" w14:textId="77777777" w:rsidR="009D5C36" w:rsidRDefault="009D5C36" w:rsidP="009D5C36">
      <w:pPr>
        <w:pStyle w:val="NoSpacing"/>
        <w:rPr>
          <w:bCs/>
        </w:rPr>
      </w:pPr>
    </w:p>
    <w:p w14:paraId="3AF6A706" w14:textId="77777777" w:rsidR="009D5C36" w:rsidRPr="0044125F" w:rsidRDefault="009D5C36" w:rsidP="009D5C36">
      <w:pPr>
        <w:pStyle w:val="NoSpacing"/>
        <w:rPr>
          <w:bCs/>
        </w:rPr>
      </w:pPr>
      <w:r>
        <w:tab/>
        <w:t>“</w:t>
      </w:r>
      <w:r w:rsidRPr="0044125F">
        <w:t>Upon review of the administrative record, we agree with the District Court that the</w:t>
      </w:r>
    </w:p>
    <w:p w14:paraId="23726D91" w14:textId="77777777" w:rsidR="009D5C36" w:rsidRPr="0044125F" w:rsidRDefault="009D5C36" w:rsidP="009D5C36">
      <w:pPr>
        <w:pStyle w:val="NoSpacing"/>
        <w:ind w:firstLine="720"/>
        <w:rPr>
          <w:bCs/>
        </w:rPr>
      </w:pPr>
      <w:r w:rsidRPr="0044125F">
        <w:t>investigations into Vaccaro’s complaints were comprehensively conducted, an apparent</w:t>
      </w:r>
    </w:p>
    <w:p w14:paraId="77E22C17" w14:textId="77777777" w:rsidR="009D5C36" w:rsidRDefault="009D5C36" w:rsidP="009D5C36">
      <w:pPr>
        <w:pStyle w:val="NoSpacing"/>
        <w:ind w:firstLine="720"/>
        <w:rPr>
          <w:bCs/>
        </w:rPr>
      </w:pPr>
      <w:r w:rsidRPr="0044125F">
        <w:t>effort to leave no stone unturned to review her allegations.</w:t>
      </w:r>
    </w:p>
    <w:p w14:paraId="3AC25515" w14:textId="77777777" w:rsidR="009D5C36" w:rsidRDefault="009D5C36" w:rsidP="009D5C36">
      <w:pPr>
        <w:pStyle w:val="NoSpacing"/>
        <w:ind w:firstLine="720"/>
        <w:rPr>
          <w:bCs/>
        </w:rPr>
      </w:pPr>
    </w:p>
    <w:p w14:paraId="4C46E1AB" w14:textId="77777777" w:rsidR="009D5C36" w:rsidRDefault="009D5C36" w:rsidP="009D5C36">
      <w:pPr>
        <w:pStyle w:val="NoSpacing"/>
        <w:ind w:firstLine="720"/>
        <w:rPr>
          <w:bCs/>
        </w:rPr>
      </w:pPr>
      <w:r>
        <w:t>***</w:t>
      </w:r>
    </w:p>
    <w:p w14:paraId="564C2B32" w14:textId="77777777" w:rsidR="009D5C36" w:rsidRDefault="009D5C36" w:rsidP="009D5C36">
      <w:pPr>
        <w:pStyle w:val="NoSpacing"/>
        <w:ind w:firstLine="720"/>
        <w:rPr>
          <w:bCs/>
        </w:rPr>
      </w:pPr>
    </w:p>
    <w:p w14:paraId="43220158" w14:textId="77777777" w:rsidR="009D5C36" w:rsidRDefault="009D5C36" w:rsidP="009D5C36">
      <w:pPr>
        <w:pStyle w:val="NoSpacing"/>
        <w:ind w:left="720"/>
        <w:rPr>
          <w:bCs/>
        </w:rPr>
      </w:pPr>
      <w:r>
        <w:t>T</w:t>
      </w:r>
      <w:r w:rsidRPr="00915E7C">
        <w:t>urning to the evidence, the</w:t>
      </w:r>
      <w:r>
        <w:t xml:space="preserve"> </w:t>
      </w:r>
      <w:r w:rsidRPr="00915E7C">
        <w:t>investigator found that, although a formal process was not conducted for selection of a</w:t>
      </w:r>
      <w:r>
        <w:t xml:space="preserve"> </w:t>
      </w:r>
      <w:r w:rsidRPr="001B63BA">
        <w:t xml:space="preserve">trainer, the evidence showed that </w:t>
      </w:r>
      <w:r>
        <w:t>‘</w:t>
      </w:r>
      <w:r w:rsidRPr="001B63BA">
        <w:t>Dr. Andrews, a trainer well known to TFAAS, offered</w:t>
      </w:r>
      <w:r>
        <w:t xml:space="preserve"> </w:t>
      </w:r>
      <w:r w:rsidRPr="001B63BA">
        <w:t>extensive medical experience and hands on administration of Narcan in emergencies. In</w:t>
      </w:r>
      <w:r>
        <w:t xml:space="preserve"> </w:t>
      </w:r>
      <w:r w:rsidRPr="001B63BA">
        <w:t>contrast, Vaccaro offered limited EMT experience and no experience administering Narcan</w:t>
      </w:r>
      <w:r>
        <w:t xml:space="preserve"> </w:t>
      </w:r>
      <w:r w:rsidRPr="001B63BA">
        <w:t>outside of a classroom setting.</w:t>
      </w:r>
      <w:r>
        <w:t>’</w:t>
      </w:r>
    </w:p>
    <w:p w14:paraId="0A9A6131" w14:textId="77777777" w:rsidR="009D5C36" w:rsidRDefault="009D5C36" w:rsidP="009D5C36">
      <w:pPr>
        <w:pStyle w:val="NoSpacing"/>
        <w:ind w:left="720"/>
        <w:rPr>
          <w:bCs/>
        </w:rPr>
      </w:pPr>
    </w:p>
    <w:p w14:paraId="5F8F4E92" w14:textId="77777777" w:rsidR="009D5C36" w:rsidRDefault="009D5C36" w:rsidP="009D5C36">
      <w:pPr>
        <w:pStyle w:val="NoSpacing"/>
        <w:ind w:left="720"/>
        <w:rPr>
          <w:bCs/>
        </w:rPr>
      </w:pPr>
      <w:r>
        <w:t>***</w:t>
      </w:r>
    </w:p>
    <w:p w14:paraId="17C6129B" w14:textId="77777777" w:rsidR="009D5C36" w:rsidRDefault="009D5C36" w:rsidP="009D5C36">
      <w:pPr>
        <w:pStyle w:val="NoSpacing"/>
        <w:ind w:left="720"/>
        <w:rPr>
          <w:bCs/>
        </w:rPr>
      </w:pPr>
      <w:r w:rsidRPr="005363C9">
        <w:t>Shortly thereafter, Vaccaro filed the second discrimination by retaliation claim</w:t>
      </w:r>
      <w:r>
        <w:t xml:space="preserve"> [</w:t>
      </w:r>
      <w:proofErr w:type="gramStart"/>
      <w:r>
        <w:t>July,</w:t>
      </w:r>
      <w:proofErr w:type="gramEnd"/>
      <w:r>
        <w:t xml:space="preserve"> 2022]</w:t>
      </w:r>
      <w:r w:rsidRPr="005363C9">
        <w:t>,</w:t>
      </w:r>
      <w:r>
        <w:t xml:space="preserve"> </w:t>
      </w:r>
      <w:r w:rsidRPr="005363C9">
        <w:t>which was given claim number HRB Case No. 0230107 and assigned to a different</w:t>
      </w:r>
      <w:r>
        <w:t xml:space="preserve"> </w:t>
      </w:r>
      <w:r w:rsidRPr="005363C9">
        <w:t>investigator. Vaccaro alleged that the Board had required her to complete a skills test</w:t>
      </w:r>
      <w:r>
        <w:t xml:space="preserve"> [August 2022]… </w:t>
      </w:r>
      <w:r w:rsidRPr="007E487B">
        <w:t>Assessing the evidence,</w:t>
      </w:r>
      <w:r>
        <w:t xml:space="preserve"> </w:t>
      </w:r>
      <w:r w:rsidRPr="007E487B">
        <w:t>the investigator found that Vaccaro was not the only EMT who was asked to perform a</w:t>
      </w:r>
      <w:r>
        <w:t xml:space="preserve"> </w:t>
      </w:r>
      <w:r w:rsidRPr="007E487B">
        <w:t>skills test for administration of Narcan, and that other EMTs had completed the test.</w:t>
      </w:r>
      <w:r>
        <w:t>”</w:t>
      </w:r>
    </w:p>
    <w:p w14:paraId="24C47670" w14:textId="77777777" w:rsidR="009D5C36" w:rsidRDefault="009D5C36" w:rsidP="009D5C36">
      <w:pPr>
        <w:pStyle w:val="NoSpacing"/>
        <w:ind w:left="720"/>
        <w:rPr>
          <w:bCs/>
        </w:rPr>
      </w:pPr>
    </w:p>
    <w:p w14:paraId="20006E06" w14:textId="74E0775E" w:rsidR="009D5C36" w:rsidRPr="007E487B" w:rsidRDefault="009D5C36" w:rsidP="009D5C36">
      <w:pPr>
        <w:pStyle w:val="NoSpacing"/>
        <w:rPr>
          <w:b/>
        </w:rPr>
      </w:pPr>
      <w:r>
        <w:rPr>
          <w:b/>
        </w:rPr>
        <w:t xml:space="preserve">Lesson learned:  The Ambulance company provided HR Commission investigators with legitimate business reasons for its decisions. </w:t>
      </w:r>
    </w:p>
    <w:p w14:paraId="4B898CA8" w14:textId="77777777" w:rsidR="009D5C36" w:rsidRDefault="009D5C36" w:rsidP="009D5C36">
      <w:pPr>
        <w:pStyle w:val="NoSpacing"/>
        <w:rPr>
          <w:bCs/>
        </w:rPr>
      </w:pPr>
    </w:p>
    <w:p w14:paraId="5DBBFB54" w14:textId="77777777" w:rsidR="009D5C36" w:rsidRDefault="009D5C36" w:rsidP="00292E1C">
      <w:pPr>
        <w:pStyle w:val="NoSpacing"/>
        <w:rPr>
          <w:rFonts w:ascii="Arial Black" w:hAnsi="Arial Black"/>
          <w:sz w:val="28"/>
          <w:szCs w:val="28"/>
        </w:rPr>
      </w:pPr>
    </w:p>
    <w:p w14:paraId="4A48600F" w14:textId="77777777" w:rsidR="007774D2" w:rsidRDefault="007774D2" w:rsidP="00292E1C">
      <w:pPr>
        <w:pStyle w:val="NoSpacing"/>
        <w:rPr>
          <w:rFonts w:ascii="Arial Black" w:hAnsi="Arial Black"/>
          <w:sz w:val="28"/>
          <w:szCs w:val="28"/>
        </w:rPr>
      </w:pPr>
    </w:p>
    <w:p w14:paraId="0DE0CA5C" w14:textId="77777777" w:rsidR="007774D2" w:rsidRDefault="007774D2" w:rsidP="00292E1C">
      <w:pPr>
        <w:pStyle w:val="NoSpacing"/>
        <w:rPr>
          <w:rFonts w:ascii="Arial Black" w:hAnsi="Arial Black"/>
          <w:sz w:val="28"/>
          <w:szCs w:val="28"/>
        </w:rPr>
      </w:pPr>
    </w:p>
    <w:p w14:paraId="77AAB3B3" w14:textId="5599F1DF" w:rsidR="001567BB" w:rsidRDefault="001567BB" w:rsidP="00292E1C">
      <w:pPr>
        <w:pStyle w:val="NoSpacing"/>
        <w:rPr>
          <w:rFonts w:ascii="Arial Black" w:hAnsi="Arial Black"/>
          <w:sz w:val="28"/>
          <w:szCs w:val="28"/>
        </w:rPr>
      </w:pPr>
      <w:r>
        <w:rPr>
          <w:rFonts w:ascii="Arial Black" w:hAnsi="Arial Black"/>
          <w:sz w:val="28"/>
          <w:szCs w:val="28"/>
        </w:rPr>
        <w:t>7</w:t>
      </w:r>
      <w:r w:rsidR="00283EDF">
        <w:rPr>
          <w:rFonts w:ascii="Arial Black" w:hAnsi="Arial Black"/>
          <w:sz w:val="28"/>
          <w:szCs w:val="28"/>
        </w:rPr>
        <w:t>-</w:t>
      </w:r>
      <w:r>
        <w:rPr>
          <w:rFonts w:ascii="Arial Black" w:hAnsi="Arial Black"/>
          <w:sz w:val="28"/>
          <w:szCs w:val="28"/>
        </w:rPr>
        <w:t>82</w:t>
      </w:r>
    </w:p>
    <w:p w14:paraId="695D8324" w14:textId="77777777" w:rsidR="001567BB" w:rsidRDefault="001567BB" w:rsidP="00292E1C">
      <w:pPr>
        <w:pStyle w:val="NoSpacing"/>
        <w:rPr>
          <w:rFonts w:ascii="Arial Black" w:hAnsi="Arial Black"/>
          <w:sz w:val="28"/>
          <w:szCs w:val="28"/>
        </w:rPr>
      </w:pPr>
    </w:p>
    <w:p w14:paraId="3C8CB1D8" w14:textId="6ABCD5A8" w:rsidR="00292E1C" w:rsidRDefault="00292E1C" w:rsidP="00292E1C">
      <w:pPr>
        <w:pStyle w:val="NoSpacing"/>
        <w:rPr>
          <w:rFonts w:ascii="Arial Black" w:hAnsi="Arial Black"/>
          <w:bCs/>
          <w:sz w:val="28"/>
          <w:szCs w:val="28"/>
        </w:rPr>
      </w:pPr>
      <w:r>
        <w:rPr>
          <w:rFonts w:ascii="Arial Black" w:hAnsi="Arial Black"/>
          <w:sz w:val="28"/>
          <w:szCs w:val="28"/>
        </w:rPr>
        <w:t xml:space="preserve">NY: FD 20 YRS – NO FEMALE FF – CONSENT DECREE / CPAT </w:t>
      </w:r>
    </w:p>
    <w:p w14:paraId="7C8F7917" w14:textId="77777777" w:rsidR="00292E1C" w:rsidRDefault="00292E1C" w:rsidP="00292E1C">
      <w:pPr>
        <w:pStyle w:val="NoSpacing"/>
        <w:rPr>
          <w:bCs/>
        </w:rPr>
      </w:pPr>
    </w:p>
    <w:p w14:paraId="27256E74" w14:textId="3EABC648" w:rsidR="00292E1C" w:rsidRDefault="00292E1C" w:rsidP="00292E1C">
      <w:pPr>
        <w:pStyle w:val="NoSpacing"/>
      </w:pPr>
      <w:r>
        <w:t xml:space="preserve">On September 26, 2025, in </w:t>
      </w:r>
      <w:r w:rsidRPr="00D65A20">
        <w:rPr>
          <w:u w:val="single"/>
        </w:rPr>
        <w:t>Brittany Montana v. City of Mount Vernon</w:t>
      </w:r>
      <w:r>
        <w:t xml:space="preserve">, U.S. District Court Judge Kenneth M. Karas, United States District Court for Southern District of New York, denied Ms. Montana’s motion for summary judgment; must prove discrimination at trial using statistical evidence.  She took written exam on March 8, </w:t>
      </w:r>
      <w:proofErr w:type="gramStart"/>
      <w:r>
        <w:t>2014</w:t>
      </w:r>
      <w:proofErr w:type="gramEnd"/>
      <w:r>
        <w:t xml:space="preserve"> and scored the highest, but her times on physical fitness agility ranked her 119 on eligibility list (never hired during 2015 – 2019 list period).  After pre-trial discovery in this case, plaintiff sought summary judgment based on fact that Mount Vernon Fire Department has not hired any female firefighters in 25 years.  The Court “</w:t>
      </w:r>
      <w:r w:rsidRPr="00D675AA">
        <w:t>is certainly troubled by the lack of women hired by MVFD, this fact, alone, demonstrates nothing more than a “bottom line [gender] imbalance</w:t>
      </w:r>
      <w:r>
        <w:t>.</w:t>
      </w:r>
      <w:r w:rsidRPr="00D675AA">
        <w:t>”</w:t>
      </w:r>
      <w:r>
        <w:t xml:space="preserve">  On </w:t>
      </w:r>
      <w:proofErr w:type="gramStart"/>
      <w:r>
        <w:t>Dec,</w:t>
      </w:r>
      <w:proofErr w:type="gramEnd"/>
      <w:r>
        <w:t xml:space="preserve"> 23, 2024, the United States filed a motion to amend its two consent decrees (entered 1981) with the fire department, and on June 3, 2025, with concurrence of Vulcan Society of Westchester County, the consent decree now requires use of </w:t>
      </w:r>
      <w:r w:rsidRPr="0072608B">
        <w:t>Candidate Physical Ability Test (CPAT)</w:t>
      </w:r>
      <w:r>
        <w:t xml:space="preserve"> in future testing. </w:t>
      </w:r>
      <w:r w:rsidR="00416BB6">
        <w:t xml:space="preserve"> </w:t>
      </w:r>
      <w:hyperlink r:id="rId1320" w:history="1">
        <w:r w:rsidR="00416BB6" w:rsidRPr="00824C83">
          <w:rPr>
            <w:rStyle w:val="Hyperlink"/>
          </w:rPr>
          <w:t>https://cases.justia.com/federal/district-courts/new-york/nysdce/7:2021cv00260/552036/95/0.pdf?ts=1758978240</w:t>
        </w:r>
      </w:hyperlink>
    </w:p>
    <w:p w14:paraId="0510406D" w14:textId="77777777" w:rsidR="00416BB6" w:rsidRDefault="00416BB6" w:rsidP="00292E1C">
      <w:pPr>
        <w:pStyle w:val="NoSpacing"/>
      </w:pPr>
    </w:p>
    <w:p w14:paraId="620B1ECC" w14:textId="77777777" w:rsidR="00292E1C" w:rsidRDefault="00292E1C" w:rsidP="00292E1C">
      <w:pPr>
        <w:pStyle w:val="NoSpacing"/>
      </w:pPr>
    </w:p>
    <w:p w14:paraId="5FA95CF6" w14:textId="77777777" w:rsidR="00292E1C" w:rsidRPr="002F708D" w:rsidRDefault="00292E1C" w:rsidP="00292E1C">
      <w:pPr>
        <w:pStyle w:val="NoSpacing"/>
        <w:rPr>
          <w:b/>
          <w:bCs/>
        </w:rPr>
      </w:pPr>
      <w:r w:rsidRPr="002F708D">
        <w:rPr>
          <w:b/>
        </w:rPr>
        <w:t xml:space="preserve">THE COURT HELD: </w:t>
      </w:r>
    </w:p>
    <w:p w14:paraId="7F6035EF" w14:textId="77777777" w:rsidR="00292E1C" w:rsidRPr="002F708D" w:rsidRDefault="00292E1C" w:rsidP="00292E1C">
      <w:pPr>
        <w:pStyle w:val="NoSpacing"/>
        <w:rPr>
          <w:b/>
          <w:bCs/>
        </w:rPr>
      </w:pPr>
    </w:p>
    <w:p w14:paraId="29021999" w14:textId="77777777" w:rsidR="00292E1C" w:rsidRDefault="00292E1C" w:rsidP="00292E1C">
      <w:pPr>
        <w:pStyle w:val="NoSpacing"/>
        <w:ind w:left="720"/>
      </w:pPr>
      <w:r>
        <w:t>“</w:t>
      </w:r>
      <w:r w:rsidRPr="001A5D64">
        <w:t>Plaintiff, who is a woman</w:t>
      </w:r>
      <w:r>
        <w:t xml:space="preserve"> … </w:t>
      </w:r>
      <w:r w:rsidRPr="001A5D64">
        <w:t>took the written exam on or about March 8, 2014</w:t>
      </w:r>
      <w:r>
        <w:t xml:space="preserve">…. </w:t>
      </w:r>
      <w:r w:rsidRPr="001A5D64">
        <w:t xml:space="preserve"> She passed the written examination and then took the physical agility test</w:t>
      </w:r>
      <w:r>
        <w:t xml:space="preserve">…. </w:t>
      </w:r>
      <w:r w:rsidRPr="003876D4">
        <w:t>The physical agility test was composed of several tasks, some of which were pass/fail and some of which were timed</w:t>
      </w:r>
      <w:r>
        <w:t>….</w:t>
      </w:r>
      <w:r w:rsidRPr="003876D4">
        <w:t xml:space="preserve">Those with the highest scores (i.e., those who had the fastest times) on the agility test were ranked highest on an </w:t>
      </w:r>
      <w:r>
        <w:t>‘</w:t>
      </w:r>
      <w:r w:rsidRPr="003876D4">
        <w:t>eligibility list.</w:t>
      </w:r>
      <w:r>
        <w:t xml:space="preserve">’,,, </w:t>
      </w:r>
      <w:r w:rsidRPr="001A5D64">
        <w:t>Based on her performance in the agility test, Plaintiff ranked 119th on the “eligibility list</w:t>
      </w:r>
      <w:r>
        <w:t xml:space="preserve">….’ </w:t>
      </w:r>
      <w:r w:rsidRPr="001A5D64">
        <w:t>That performance made her the highest scoring female on the examination</w:t>
      </w:r>
      <w:r>
        <w:t xml:space="preserve"> ….</w:t>
      </w:r>
      <w:r w:rsidRPr="001A5D64">
        <w:t>, but because she was not a top ranked candidate on the eligibility list, she was not interviewed for a position at MVFD</w:t>
      </w:r>
      <w:r>
        <w:t xml:space="preserve">… </w:t>
      </w:r>
      <w:r w:rsidRPr="001A5D64">
        <w:t xml:space="preserve"> The eligibility list remained in use from 2015 to 2019</w:t>
      </w:r>
      <w:r>
        <w:t xml:space="preserve"> ….</w:t>
      </w:r>
      <w:r w:rsidRPr="001A5D64">
        <w:t>and no female firefighters were hired from that list</w:t>
      </w:r>
      <w:r>
        <w:t xml:space="preserve"> …. </w:t>
      </w:r>
      <w:r w:rsidRPr="001A5D64">
        <w:t xml:space="preserve">In fact, MVFD has not hired a female firefighter in 25 years. </w:t>
      </w:r>
    </w:p>
    <w:p w14:paraId="509CBB27" w14:textId="77777777" w:rsidR="00292E1C" w:rsidRDefault="00292E1C" w:rsidP="00292E1C">
      <w:pPr>
        <w:pStyle w:val="NoSpacing"/>
        <w:ind w:left="720"/>
      </w:pPr>
    </w:p>
    <w:p w14:paraId="27C4A654" w14:textId="77777777" w:rsidR="00292E1C" w:rsidRDefault="00292E1C" w:rsidP="00292E1C">
      <w:pPr>
        <w:pStyle w:val="NoSpacing"/>
        <w:ind w:left="720"/>
      </w:pPr>
      <w:r>
        <w:t>***</w:t>
      </w:r>
    </w:p>
    <w:p w14:paraId="3E2DB237" w14:textId="77777777" w:rsidR="00292E1C" w:rsidRDefault="00292E1C" w:rsidP="00292E1C">
      <w:pPr>
        <w:pStyle w:val="NoSpacing"/>
        <w:ind w:left="720"/>
      </w:pPr>
      <w:r w:rsidRPr="000A483E">
        <w:t xml:space="preserve">In the instant case, Plaintiff </w:t>
      </w:r>
      <w:r>
        <w:t>‘</w:t>
      </w:r>
      <w:r w:rsidRPr="000A483E">
        <w:t>has not come forward with a statistical analysis of any kind.</w:t>
      </w:r>
      <w:r>
        <w:t>’</w:t>
      </w:r>
      <w:r w:rsidRPr="000A483E">
        <w:t xml:space="preserve"> </w:t>
      </w:r>
      <w:r>
        <w:rPr>
          <w:i/>
          <w:iCs/>
        </w:rPr>
        <w:t xml:space="preserve">… </w:t>
      </w:r>
      <w:r w:rsidRPr="000A483E">
        <w:t>She has not demonstrated a statistically significant disparity in the hiring of women versus men based on the testing regime at issue.</w:t>
      </w:r>
      <w:r>
        <w:t xml:space="preserve"> </w:t>
      </w:r>
      <w:r w:rsidRPr="002F708D">
        <w:t xml:space="preserve">Instead, she contends that the fact that MVFD has not hired a single woman in nearly 25 years is </w:t>
      </w:r>
      <w:r>
        <w:t>‘</w:t>
      </w:r>
      <w:r w:rsidRPr="002F708D">
        <w:t>a fact that by itself is sufficient to support an inference of discrimination.</w:t>
      </w:r>
      <w:r>
        <w:t xml:space="preserve">’ … </w:t>
      </w:r>
      <w:r w:rsidRPr="002F708D">
        <w:t xml:space="preserve">Although the Court is certainly troubled by the lack of women hired by MVFD, this fact, alone, demonstrates nothing more than a </w:t>
      </w:r>
      <w:r>
        <w:t>‘</w:t>
      </w:r>
      <w:r w:rsidRPr="002F708D">
        <w:t>bottom line [gender] imbalance,</w:t>
      </w:r>
      <w:r>
        <w:t>’</w:t>
      </w:r>
      <w:r w:rsidRPr="002F708D">
        <w:t xml:space="preserve"> </w:t>
      </w:r>
      <w:r w:rsidRPr="002F708D">
        <w:rPr>
          <w:i/>
          <w:iCs/>
        </w:rPr>
        <w:t xml:space="preserve">United Prob. Officers </w:t>
      </w:r>
      <w:proofErr w:type="spellStart"/>
      <w:r w:rsidRPr="002F708D">
        <w:rPr>
          <w:i/>
          <w:iCs/>
        </w:rPr>
        <w:t>Ass'n</w:t>
      </w:r>
      <w:proofErr w:type="spellEnd"/>
      <w:r w:rsidRPr="002F708D">
        <w:t xml:space="preserve">, 2022 WL 875864, at *6, and is therefore insufficient to allow the Court to conclude that Defendants' testing practices violate Title VII and the NYSHRL as a matter of law, </w:t>
      </w:r>
      <w:r w:rsidRPr="002F708D">
        <w:rPr>
          <w:i/>
          <w:iCs/>
        </w:rPr>
        <w:t>see Hopkins v. Bridgeport Bd. of Educ</w:t>
      </w:r>
      <w:r w:rsidRPr="002F708D">
        <w:t>., 834 F.Supp.2d 58, 69 (D. Conn. 2011) (</w:t>
      </w:r>
      <w:r>
        <w:t>‘</w:t>
      </w:r>
      <w:r w:rsidRPr="002F708D">
        <w:t>[The p]</w:t>
      </w:r>
      <w:proofErr w:type="spellStart"/>
      <w:r w:rsidRPr="002F708D">
        <w:t>laintiff</w:t>
      </w:r>
      <w:proofErr w:type="spellEnd"/>
      <w:r w:rsidRPr="002F708D">
        <w:t xml:space="preserve"> has only demonstrated that at the bottom line there is a [gender] imbalance in the workforce which could be the result of any number of factors. Plaintiff has failed to provide evidence that links this </w:t>
      </w:r>
      <w:proofErr w:type="gramStart"/>
      <w:r w:rsidRPr="002F708D">
        <w:t>bottom line</w:t>
      </w:r>
      <w:proofErr w:type="gramEnd"/>
      <w:r w:rsidRPr="002F708D">
        <w:t xml:space="preserve"> imbalance to Defendant's purported practice or policy ....</w:t>
      </w:r>
      <w:r>
        <w:t>’</w:t>
      </w:r>
      <w:r w:rsidRPr="002F708D">
        <w:t>).</w:t>
      </w:r>
      <w:r>
        <w:t>”</w:t>
      </w:r>
      <w:r w:rsidRPr="005A40A8">
        <w:t xml:space="preserve"> </w:t>
      </w:r>
      <w:hyperlink r:id="rId1321" w:history="1">
        <w:r w:rsidRPr="00586BA9">
          <w:rPr>
            <w:rStyle w:val="Hyperlink"/>
          </w:rPr>
          <w:t>https://public.fastcase.com/jaEE2PXzRXmZ99jOLMt1Iuq7qc0gfVcydq4UksJKYaPvhnQoV2Tur9kW43Sd%2BCHWkw1LFd5eYMpsqupxEAJwLBiVNyDEOcfOyFpt494LsV4%3D?utm_medium=email&amp;_hsenc=p2ANqtz-9JDPujkqcb7TpRksmi2p_USQgVGerxf-hzLRNOYIOWKeqjT-lj5XLhttLuYWUDIXmtoE1M_nS89zbeKXXmbJi1pvu4VQ&amp;_hsmi=226712652&amp;utm_content=226712652&amp;utm_source=hs_email</w:t>
        </w:r>
      </w:hyperlink>
      <w:r>
        <w:t xml:space="preserve"> </w:t>
      </w:r>
    </w:p>
    <w:p w14:paraId="7A1ACFAE" w14:textId="77777777" w:rsidR="00292E1C" w:rsidRDefault="00292E1C" w:rsidP="00292E1C">
      <w:pPr>
        <w:pStyle w:val="NoSpacing"/>
        <w:ind w:left="720"/>
      </w:pPr>
    </w:p>
    <w:p w14:paraId="719E2F08" w14:textId="77777777" w:rsidR="00292E1C" w:rsidRDefault="00292E1C" w:rsidP="00292E1C">
      <w:pPr>
        <w:pStyle w:val="NoSpacing"/>
      </w:pPr>
    </w:p>
    <w:p w14:paraId="5C7F4A9A" w14:textId="77777777" w:rsidR="00292E1C" w:rsidRDefault="00292E1C" w:rsidP="00292E1C">
      <w:pPr>
        <w:pStyle w:val="NoSpacing"/>
        <w:rPr>
          <w:b/>
          <w:bCs/>
        </w:rPr>
      </w:pPr>
      <w:r>
        <w:rPr>
          <w:b/>
        </w:rPr>
        <w:t>KEY FACTS:</w:t>
      </w:r>
    </w:p>
    <w:p w14:paraId="1A5DEA29" w14:textId="77777777" w:rsidR="00292E1C" w:rsidRDefault="00292E1C" w:rsidP="00292E1C">
      <w:pPr>
        <w:pStyle w:val="NoSpacing"/>
        <w:ind w:left="720"/>
      </w:pPr>
    </w:p>
    <w:p w14:paraId="1FECF62C" w14:textId="77777777" w:rsidR="00292E1C" w:rsidRDefault="00292E1C" w:rsidP="00292E1C">
      <w:pPr>
        <w:pStyle w:val="NoSpacing"/>
        <w:ind w:left="720"/>
      </w:pPr>
      <w:r>
        <w:t>“</w:t>
      </w:r>
      <w:r w:rsidRPr="00974082">
        <w:t>At the time of Plaintiff's application, applicants to MVFD were required to pass a written exam and a physical agility test before they could be considered for employment</w:t>
      </w:r>
      <w:r>
        <w:t xml:space="preserve">…. </w:t>
      </w:r>
      <w:r w:rsidRPr="00974082">
        <w:t>The written test was pass/fail</w:t>
      </w:r>
      <w:r>
        <w:t>….</w:t>
      </w:r>
      <w:r w:rsidRPr="00974082">
        <w:t>If an applicant passed the written test, they were permitted to take the physical agility test</w:t>
      </w:r>
      <w:r>
        <w:t>….</w:t>
      </w:r>
      <w:r w:rsidRPr="00974082">
        <w:t>The physical agility test was composed of several tasks, some of which were pass/fail and some of which were timed</w:t>
      </w:r>
      <w:r>
        <w:t>….</w:t>
      </w:r>
      <w:r w:rsidRPr="00974082">
        <w:t xml:space="preserve">Those with the highest scores (i.e., those who had the fastest times) on the agility test were ranked highest on an </w:t>
      </w:r>
      <w:r>
        <w:t>‘</w:t>
      </w:r>
      <w:r w:rsidRPr="00974082">
        <w:t>eligibility list</w:t>
      </w:r>
      <w:r>
        <w:t>….’</w:t>
      </w:r>
    </w:p>
    <w:p w14:paraId="60ACB034" w14:textId="77777777" w:rsidR="00292E1C" w:rsidRDefault="00292E1C" w:rsidP="00292E1C">
      <w:pPr>
        <w:pStyle w:val="NoSpacing"/>
        <w:ind w:left="720"/>
      </w:pPr>
    </w:p>
    <w:p w14:paraId="5BF099E6" w14:textId="77777777" w:rsidR="00292E1C" w:rsidRPr="00974082" w:rsidRDefault="00292E1C" w:rsidP="00292E1C">
      <w:pPr>
        <w:pStyle w:val="NoSpacing"/>
        <w:ind w:left="720"/>
      </w:pPr>
      <w:r w:rsidRPr="00974082">
        <w:t>The Civil Service Commission pulled its applicants to interview for open positions from the eligibility list in rank order</w:t>
      </w:r>
      <w:r>
        <w:t xml:space="preserve">…. </w:t>
      </w:r>
      <w:r w:rsidRPr="00974082">
        <w:t xml:space="preserve">Thus, the applicants who performed best on the agility test were most likely to be asked to interview for an open position. This testing structure was mandated by two consent decrees </w:t>
      </w:r>
      <w:proofErr w:type="gramStart"/>
      <w:r w:rsidRPr="00974082">
        <w:t>entered</w:t>
      </w:r>
      <w:r>
        <w:t xml:space="preserve"> </w:t>
      </w:r>
      <w:r w:rsidRPr="00974082">
        <w:t>into</w:t>
      </w:r>
      <w:proofErr w:type="gramEnd"/>
      <w:r w:rsidRPr="00974082">
        <w:t xml:space="preserve"> by Defendants with the Department of Justice in 1981. See generally Vulcan Soc. of Westchester </w:t>
      </w:r>
      <w:proofErr w:type="spellStart"/>
      <w:r w:rsidRPr="00974082">
        <w:t>Cnty</w:t>
      </w:r>
      <w:proofErr w:type="spellEnd"/>
      <w:r w:rsidRPr="00974082">
        <w:t xml:space="preserve">., Inc. v. Fire </w:t>
      </w:r>
      <w:proofErr w:type="spellStart"/>
      <w:r w:rsidRPr="00974082">
        <w:t>Dep't</w:t>
      </w:r>
      <w:proofErr w:type="spellEnd"/>
      <w:r w:rsidRPr="00974082">
        <w:t xml:space="preserve"> of City of White Plains, 505 </w:t>
      </w:r>
      <w:proofErr w:type="spellStart"/>
      <w:r w:rsidRPr="00974082">
        <w:t>F.Supp</w:t>
      </w:r>
      <w:proofErr w:type="spellEnd"/>
      <w:r w:rsidRPr="00974082">
        <w:t>. 955 (S.D.N.Y. 1981).</w:t>
      </w:r>
      <w:r>
        <w:t>”</w:t>
      </w:r>
      <w:r w:rsidRPr="00974082">
        <w:t xml:space="preserve"> </w:t>
      </w:r>
      <w:r>
        <w:t xml:space="preserve"> </w:t>
      </w:r>
      <w:r w:rsidRPr="00974082">
        <w:t>         </w:t>
      </w:r>
    </w:p>
    <w:p w14:paraId="384CF2AF" w14:textId="77777777" w:rsidR="00292E1C" w:rsidRPr="002F708D" w:rsidRDefault="00292E1C" w:rsidP="00292E1C">
      <w:pPr>
        <w:pStyle w:val="NoSpacing"/>
        <w:rPr>
          <w:b/>
          <w:bCs/>
        </w:rPr>
      </w:pPr>
    </w:p>
    <w:p w14:paraId="7B06ED27" w14:textId="77777777" w:rsidR="00292E1C" w:rsidRPr="00D4601C" w:rsidRDefault="00292E1C" w:rsidP="00292E1C">
      <w:pPr>
        <w:pStyle w:val="NoSpacing"/>
        <w:rPr>
          <w:b/>
          <w:bCs/>
        </w:rPr>
      </w:pPr>
      <w:r>
        <w:rPr>
          <w:b/>
        </w:rPr>
        <w:t xml:space="preserve">Legal lesson learned: The CPAT has been approved in numerous cases. </w:t>
      </w:r>
    </w:p>
    <w:p w14:paraId="53C4D93E" w14:textId="77777777" w:rsidR="00292E1C" w:rsidRDefault="00292E1C" w:rsidP="00292E1C">
      <w:pPr>
        <w:pStyle w:val="NoSpacing"/>
      </w:pPr>
    </w:p>
    <w:p w14:paraId="41CF04E7" w14:textId="77777777" w:rsidR="00292E1C" w:rsidRDefault="00292E1C" w:rsidP="00292E1C">
      <w:pPr>
        <w:pStyle w:val="NoSpacing"/>
        <w:ind w:left="720"/>
      </w:pPr>
      <w:r>
        <w:t>Note: “</w:t>
      </w:r>
      <w:r w:rsidRPr="00793F18">
        <w:t xml:space="preserve">The IAFF/IAFC Fire Service Joint Labor-Management Wellness-Fitness Task Force was established in 1997 to address the need for a holistic, non-punitive approach to wellness and fitness in the fire service. </w:t>
      </w:r>
      <w:r>
        <w:t xml:space="preserve"> </w:t>
      </w:r>
      <w:r w:rsidRPr="00793F18">
        <w:t>Recognizing that some municipalities were hiring candidates who lacked the physical capacity for a successful career, the Task Force unanimously agreed to create a standardized pre-employment test. This effort led to the development and validation of the Candidate Physical Ability Test (CPAT), now the industry standard for hiring fire fighters.</w:t>
      </w:r>
      <w:r>
        <w:t xml:space="preserve">” </w:t>
      </w:r>
      <w:hyperlink r:id="rId1322" w:history="1">
        <w:r w:rsidRPr="00586BA9">
          <w:rPr>
            <w:rStyle w:val="Hyperlink"/>
          </w:rPr>
          <w:t>https://www.iaff.org/cpat/</w:t>
        </w:r>
      </w:hyperlink>
    </w:p>
    <w:p w14:paraId="7210320E" w14:textId="77777777" w:rsidR="00292E1C" w:rsidRDefault="00292E1C" w:rsidP="00F326E5">
      <w:pPr>
        <w:pStyle w:val="NoSpacing"/>
        <w:rPr>
          <w:rFonts w:ascii="Arial Black" w:hAnsi="Arial Black"/>
          <w:b/>
          <w:bCs/>
          <w:sz w:val="24"/>
          <w:szCs w:val="24"/>
        </w:rPr>
      </w:pPr>
    </w:p>
    <w:p w14:paraId="7D810FEC" w14:textId="77777777" w:rsidR="00292E1C" w:rsidRDefault="00292E1C" w:rsidP="00F326E5">
      <w:pPr>
        <w:pStyle w:val="NoSpacing"/>
        <w:rPr>
          <w:rFonts w:ascii="Arial Black" w:hAnsi="Arial Black"/>
          <w:b/>
          <w:bCs/>
          <w:sz w:val="24"/>
          <w:szCs w:val="24"/>
        </w:rPr>
      </w:pPr>
    </w:p>
    <w:p w14:paraId="2B492C56" w14:textId="77777777" w:rsidR="00292E1C" w:rsidRDefault="00292E1C" w:rsidP="00F326E5">
      <w:pPr>
        <w:pStyle w:val="NoSpacing"/>
        <w:rPr>
          <w:rFonts w:ascii="Arial Black" w:hAnsi="Arial Black"/>
          <w:b/>
          <w:bCs/>
          <w:sz w:val="24"/>
          <w:szCs w:val="24"/>
        </w:rPr>
      </w:pPr>
    </w:p>
    <w:p w14:paraId="1294D04C" w14:textId="77777777" w:rsidR="00292E1C" w:rsidRDefault="00292E1C" w:rsidP="00F326E5">
      <w:pPr>
        <w:pStyle w:val="NoSpacing"/>
        <w:rPr>
          <w:rFonts w:ascii="Arial Black" w:hAnsi="Arial Black"/>
          <w:b/>
          <w:bCs/>
          <w:sz w:val="24"/>
          <w:szCs w:val="24"/>
        </w:rPr>
      </w:pPr>
    </w:p>
    <w:p w14:paraId="2DDAC38D" w14:textId="77777777" w:rsidR="00292E1C" w:rsidRDefault="00292E1C" w:rsidP="00F326E5">
      <w:pPr>
        <w:pStyle w:val="NoSpacing"/>
        <w:rPr>
          <w:rFonts w:ascii="Arial Black" w:hAnsi="Arial Black"/>
          <w:b/>
          <w:bCs/>
          <w:sz w:val="24"/>
          <w:szCs w:val="24"/>
        </w:rPr>
      </w:pPr>
    </w:p>
    <w:p w14:paraId="13C1DAF6" w14:textId="7207BC96" w:rsidR="00571037" w:rsidRDefault="000624FD" w:rsidP="00F326E5">
      <w:pPr>
        <w:pStyle w:val="NoSpacing"/>
        <w:rPr>
          <w:rFonts w:ascii="Arial Black" w:hAnsi="Arial Black"/>
          <w:b/>
          <w:bCs/>
          <w:sz w:val="24"/>
          <w:szCs w:val="24"/>
        </w:rPr>
      </w:pPr>
      <w:r>
        <w:rPr>
          <w:rFonts w:ascii="Arial Black" w:hAnsi="Arial Black"/>
          <w:b/>
          <w:bCs/>
          <w:sz w:val="24"/>
          <w:szCs w:val="24"/>
        </w:rPr>
        <w:t>7-81</w:t>
      </w:r>
    </w:p>
    <w:p w14:paraId="0B203811" w14:textId="77777777" w:rsidR="000624FD" w:rsidRDefault="000624FD" w:rsidP="00F326E5">
      <w:pPr>
        <w:pStyle w:val="NoSpacing"/>
        <w:rPr>
          <w:rFonts w:ascii="Arial Black" w:hAnsi="Arial Black"/>
          <w:b/>
          <w:bCs/>
          <w:sz w:val="24"/>
          <w:szCs w:val="24"/>
        </w:rPr>
      </w:pPr>
    </w:p>
    <w:p w14:paraId="7A93A472" w14:textId="0ADBE1E4" w:rsidR="001567BB" w:rsidRDefault="001567BB" w:rsidP="001567BB">
      <w:pPr>
        <w:rPr>
          <w:rFonts w:ascii="Arial Black" w:hAnsi="Arial Black"/>
          <w:b/>
          <w:sz w:val="28"/>
          <w:szCs w:val="28"/>
        </w:rPr>
      </w:pPr>
      <w:r>
        <w:rPr>
          <w:rFonts w:ascii="Arial Black" w:hAnsi="Arial Black"/>
          <w:b/>
          <w:sz w:val="28"/>
          <w:szCs w:val="28"/>
        </w:rPr>
        <w:t>NY: FEMALE COMPLAINT - B/C TRANSFER - NO</w:t>
      </w:r>
      <w:r w:rsidR="00830C38">
        <w:rPr>
          <w:rFonts w:ascii="Arial Black" w:hAnsi="Arial Black"/>
          <w:b/>
          <w:sz w:val="28"/>
          <w:szCs w:val="28"/>
        </w:rPr>
        <w:t>T</w:t>
      </w:r>
      <w:r>
        <w:rPr>
          <w:rFonts w:ascii="Arial Black" w:hAnsi="Arial Black"/>
          <w:b/>
          <w:sz w:val="28"/>
          <w:szCs w:val="28"/>
        </w:rPr>
        <w:t xml:space="preserve"> RETALIATION</w:t>
      </w:r>
    </w:p>
    <w:p w14:paraId="0D18AAE5" w14:textId="77777777" w:rsidR="001567BB" w:rsidRDefault="001567BB" w:rsidP="001567BB">
      <w:pPr>
        <w:rPr>
          <w:bCs/>
        </w:rPr>
      </w:pPr>
      <w:r w:rsidRPr="00242546">
        <w:t xml:space="preserve">On September 22, 2025, in </w:t>
      </w:r>
      <w:r w:rsidRPr="00242546">
        <w:rPr>
          <w:u w:val="single"/>
        </w:rPr>
        <w:t>Michael McGraff v. Fire Department of City of New York and the City of New York</w:t>
      </w:r>
      <w:r>
        <w:t xml:space="preserve">, U.S. District Court Judge Nicholas G. </w:t>
      </w:r>
      <w:proofErr w:type="spellStart"/>
      <w:r>
        <w:t>Garaufis</w:t>
      </w:r>
      <w:proofErr w:type="spellEnd"/>
      <w:r>
        <w:t xml:space="preserve">, United States District Court for Eastern District of New York, granted the City’s motion for summary judgment. Female medic filed complaint on April 3, </w:t>
      </w:r>
      <w:proofErr w:type="gramStart"/>
      <w:r>
        <w:t>2015</w:t>
      </w:r>
      <w:proofErr w:type="gramEnd"/>
      <w:r>
        <w:t xml:space="preserve"> with </w:t>
      </w:r>
      <w:r w:rsidRPr="00823799">
        <w:t>FDNY EEO</w:t>
      </w:r>
      <w:r>
        <w:t xml:space="preserve">.   Battalion Chief </w:t>
      </w:r>
      <w:r w:rsidRPr="00146805">
        <w:t xml:space="preserve">McGrath's </w:t>
      </w:r>
      <w:r>
        <w:t xml:space="preserve">was transferred from </w:t>
      </w:r>
      <w:r w:rsidRPr="0004737E">
        <w:t>Battalion 47 in Far Rockaway, Queens</w:t>
      </w:r>
      <w:r>
        <w:t xml:space="preserve"> to </w:t>
      </w:r>
      <w:r w:rsidRPr="00BB6518">
        <w:t>Queens Borough Command</w:t>
      </w:r>
      <w:r>
        <w:t xml:space="preserve">. </w:t>
      </w:r>
      <w:r w:rsidRPr="00823799">
        <w:t>On May 16, 2016, McGrath filed his own complaints with the FDNY EEO</w:t>
      </w:r>
      <w:r>
        <w:t xml:space="preserve">, </w:t>
      </w:r>
      <w:r w:rsidRPr="00146805">
        <w:t xml:space="preserve">alleged </w:t>
      </w:r>
      <w:r>
        <w:t>he</w:t>
      </w:r>
      <w:r w:rsidRPr="00146805">
        <w:t xml:space="preserve"> “was transferred and demoted due to his race (Caucasian) and gender (male), and that Arroyo received differential treatment because she is female and Hispanic.” </w:t>
      </w:r>
      <w:r>
        <w:t xml:space="preserve"> On</w:t>
      </w:r>
      <w:r w:rsidRPr="00002337">
        <w:t xml:space="preserve"> August 15, 2016, the FDNY EEO Office issued a memorandum to the Fire Commissioner Daniel A. Nigro substantiating Arroyo's sexual harassment complaint against McGrath</w:t>
      </w:r>
      <w:r>
        <w:t xml:space="preserve">.  November 10, 2016, McGrath’s complaint was dismissed with a </w:t>
      </w:r>
      <w:r w:rsidRPr="00B67D5B">
        <w:t>“no probable cause” determination</w:t>
      </w:r>
      <w:r>
        <w:t xml:space="preserve">.  He filed this lawsuit on March 15, 2017, against the female medic and the FD,  </w:t>
      </w:r>
      <w:r w:rsidRPr="00CC3044">
        <w:t xml:space="preserve">alleging </w:t>
      </w:r>
      <w:r>
        <w:t>“</w:t>
      </w:r>
      <w:r w:rsidRPr="00CC3044">
        <w:t>racial discrimination and retaliation under federal, state, and local laws, violation of his free speech rights, and several tort and contract claims</w:t>
      </w:r>
      <w:r>
        <w:t>.”</w:t>
      </w:r>
    </w:p>
    <w:p w14:paraId="0660C1E0" w14:textId="77777777" w:rsidR="001567BB" w:rsidRPr="004554EA" w:rsidRDefault="001567BB" w:rsidP="001567BB">
      <w:pPr>
        <w:rPr>
          <w:bCs/>
        </w:rPr>
      </w:pPr>
      <w:r w:rsidRPr="00EF6273">
        <w:rPr>
          <w:b/>
        </w:rPr>
        <w:t>THE COURT HELD</w:t>
      </w:r>
      <w:r>
        <w:t>: “</w:t>
      </w:r>
      <w:r w:rsidRPr="004554EA">
        <w:t xml:space="preserve">Based on this extensive investigation, the FDNY EEO Office determined as follows: </w:t>
      </w:r>
    </w:p>
    <w:p w14:paraId="48FA6812" w14:textId="77777777" w:rsidR="001567BB" w:rsidRPr="004554EA" w:rsidRDefault="001567BB" w:rsidP="001567BB">
      <w:pPr>
        <w:ind w:left="720"/>
        <w:rPr>
          <w:bCs/>
        </w:rPr>
      </w:pPr>
      <w:r w:rsidRPr="004554EA">
        <w:t xml:space="preserve">[T]he evidence shows that it is more likely than not that: McGrath and Arroyo spent time together after work hours in a non-platonic manner; Arroyo advised McGrath that she did not wish to purse a relationship; McGrath confronted Arroyo about unsubstantiated rumors of sexual misconduct in the workplace without addressing such alleged misconduct within his, and Arroyo's, chain of command; suggested and/or threatened Arroyo with a transfer to a different station; and recommended to Arroyo's supervisors that she be transferred to a different station. Viewing the totality of circumstances, such conduct constitutes sexual harassment in violation of the EEO Policy. </w:t>
      </w:r>
    </w:p>
    <w:p w14:paraId="49774F22" w14:textId="77777777" w:rsidR="001567BB" w:rsidRDefault="001567BB" w:rsidP="001567BB">
      <w:pPr>
        <w:rPr>
          <w:bCs/>
        </w:rPr>
      </w:pPr>
      <w:r>
        <w:t>***</w:t>
      </w:r>
    </w:p>
    <w:p w14:paraId="0123A7F8" w14:textId="77777777" w:rsidR="001567BB" w:rsidRPr="00705FAD" w:rsidRDefault="001567BB" w:rsidP="001567BB">
      <w:r w:rsidRPr="00284816">
        <w:t>The evidence shows that the FDNY</w:t>
      </w:r>
      <w:r>
        <w:t xml:space="preserve"> </w:t>
      </w:r>
      <w:r w:rsidRPr="00284816">
        <w:t xml:space="preserve">EEO Office substantiated Arroyo's complaint against McGrath and brought disciplinary charges against McGrath not </w:t>
      </w:r>
      <w:proofErr w:type="gramStart"/>
      <w:r w:rsidRPr="00284816">
        <w:t>as a result of</w:t>
      </w:r>
      <w:proofErr w:type="gramEnd"/>
      <w:r w:rsidRPr="00284816">
        <w:t xml:space="preserve"> McGrath's Agency Complaints, but because of the FDNY EEO Office's extensive fact-finding that validated Arroyo's sexual harassment allegations. McGrath's scant evidence showing a causal link between his protected activity and the alleged retaliatory actions is insufficient to defeat Defendants' motion for summary judgment.</w:t>
      </w:r>
      <w:r>
        <w:t xml:space="preserve">” </w:t>
      </w:r>
      <w:hyperlink r:id="rId1323" w:history="1">
        <w:r w:rsidRPr="00705FAD">
          <w:rPr>
            <w:rStyle w:val="Hyperlink"/>
          </w:rPr>
          <w:t>https://public.fastcase.com/jaEE2PXzRXmZ99jOLMt1Ith2qIaSeggCoLDpY1bED9tguFhWPV6Zo6qPtk3o63Z4?utm_medium=email&amp;_hsenc=p2ANqtz-_k3-Q52FXjJQN9NeOgWdHNDXhdU7FtsE1Qhtjng3_RTOztkpkvOWiDZxLNU-kndNaS-F1RaBe3KZirW8vwSyzK6BF9eQ&amp;_hsmi=226712652&amp;utm_content=226712652&amp;utm_source=hs_email</w:t>
        </w:r>
      </w:hyperlink>
    </w:p>
    <w:p w14:paraId="4FEF75B0" w14:textId="77777777" w:rsidR="001567BB" w:rsidRDefault="001567BB" w:rsidP="001567BB">
      <w:r w:rsidRPr="00EF6273">
        <w:rPr>
          <w:b/>
        </w:rPr>
        <w:t>KEY FACTS</w:t>
      </w:r>
      <w:r>
        <w:t xml:space="preserve">: </w:t>
      </w:r>
    </w:p>
    <w:p w14:paraId="3082BB4E" w14:textId="77777777" w:rsidR="001567BB" w:rsidRDefault="001567BB" w:rsidP="001567BB">
      <w:pPr>
        <w:ind w:left="720"/>
      </w:pPr>
      <w:r>
        <w:t>“</w:t>
      </w:r>
      <w:r w:rsidRPr="00A841D8">
        <w:t>Michael McGrath is a white, male, retired FDNY officer</w:t>
      </w:r>
      <w:r>
        <w:t xml:space="preserve">…. </w:t>
      </w:r>
      <w:r w:rsidRPr="00A841D8">
        <w:t>McGrath began his career as a fireman at the FDNY in 1979 and was employed by the FDNY until he retired on February 15, 2018</w:t>
      </w:r>
      <w:r>
        <w:t xml:space="preserve">…. </w:t>
      </w:r>
      <w:r w:rsidRPr="00A841D8">
        <w:t>Throughout his career at the FDNY, he was promoted several times, eventually becoming Battalion Commander for FDNY Battalion 47 in Far Rockaway, Queens in 2003</w:t>
      </w:r>
      <w:r>
        <w:t xml:space="preserve">…. </w:t>
      </w:r>
      <w:r w:rsidRPr="00A841D8">
        <w:t xml:space="preserve">Two years into his command of FNDY Battalion 47, Battalion 47 became a </w:t>
      </w:r>
      <w:r>
        <w:t>‘</w:t>
      </w:r>
      <w:r w:rsidRPr="00A841D8">
        <w:t xml:space="preserve">joint </w:t>
      </w:r>
      <w:proofErr w:type="spellStart"/>
      <w:r w:rsidRPr="00A841D8">
        <w:t>facilit</w:t>
      </w:r>
      <w:proofErr w:type="spellEnd"/>
      <w:r w:rsidRPr="00A841D8">
        <w:t>[y]</w:t>
      </w:r>
      <w:r>
        <w:t xml:space="preserve">’ </w:t>
      </w:r>
      <w:r w:rsidRPr="00A841D8">
        <w:t>housing both Fire Operations and EMS Operations</w:t>
      </w:r>
      <w:r>
        <w:t xml:space="preserve">…. </w:t>
      </w:r>
      <w:r w:rsidRPr="00A841D8">
        <w:t xml:space="preserve">The court refers to the joint facility where McGrath worked as the </w:t>
      </w:r>
      <w:r>
        <w:t>‘</w:t>
      </w:r>
      <w:r w:rsidRPr="00A841D8">
        <w:t>Firehouse.</w:t>
      </w:r>
      <w:r>
        <w:t>’</w:t>
      </w:r>
      <w:r w:rsidRPr="00A841D8">
        <w:t xml:space="preserve"> Both Fire Operations and EMS Operations housed in the Firehouse share common areas, including a gym, terrace, locker rooms, and bathrooms</w:t>
      </w:r>
      <w:r>
        <w:t xml:space="preserve">…. </w:t>
      </w:r>
    </w:p>
    <w:p w14:paraId="22586087" w14:textId="77777777" w:rsidR="001567BB" w:rsidRDefault="001567BB" w:rsidP="001567BB">
      <w:pPr>
        <w:ind w:left="720"/>
      </w:pPr>
      <w:r w:rsidRPr="00BC781F">
        <w:t>In January 2014, McGrath met Marilyn Arroyo, an EMS Paramedic, when Arroyo was involved in a motor vehicle accident to which McGrath responded</w:t>
      </w:r>
      <w:r>
        <w:t xml:space="preserve">…. </w:t>
      </w:r>
      <w:r w:rsidRPr="00BC781F">
        <w:t>It is undisputed that McGrath and Arroyo met several times after they first met</w:t>
      </w:r>
      <w:r>
        <w:t xml:space="preserve"> … </w:t>
      </w:r>
      <w:r w:rsidRPr="00BC781F">
        <w:t xml:space="preserve">but the parties dispute whether these meetings were dates or </w:t>
      </w:r>
      <w:r>
        <w:t>‘</w:t>
      </w:r>
      <w:r w:rsidRPr="00BC781F">
        <w:t>merely two co-workers getting together because Arroyo asked for job-related advice due to having family members interested in applying to the FDNY,</w:t>
      </w:r>
      <w:r>
        <w:t xml:space="preserve">’ …. </w:t>
      </w:r>
      <w:r w:rsidRPr="00BC781F">
        <w:t>McGrath claims that shortly after meeting Arroyo, he began hearing rumors that Arroyo was having sex with a firefighter inside of the Firehouse</w:t>
      </w:r>
      <w:r>
        <w:t xml:space="preserve">…. </w:t>
      </w:r>
      <w:r w:rsidRPr="00BC781F">
        <w:t>McGrath first approached Arroyo's supervisor Chief Steven Russo with the allegations; Russo told McGrath that he would speak with Arroyo and get back to McGrath by the end of the day</w:t>
      </w:r>
      <w:r>
        <w:t>….</w:t>
      </w:r>
      <w:r w:rsidRPr="00BC781F">
        <w:t xml:space="preserve"> Russo did not get back to McGrath that day</w:t>
      </w:r>
      <w:r>
        <w:t xml:space="preserve">…. </w:t>
      </w:r>
      <w:r w:rsidRPr="00BC781F">
        <w:t>On March 15, 2015, McGrath approached Arroyo and discussed the allegations with her</w:t>
      </w:r>
      <w:r>
        <w:t xml:space="preserve">…. </w:t>
      </w:r>
      <w:r w:rsidRPr="00BC781F">
        <w:t>McGrath then brought the allegations to Assistant Chief Edward Baggott and Division Commander James DiDomencio</w:t>
      </w:r>
      <w:r>
        <w:t xml:space="preserve">…. </w:t>
      </w:r>
      <w:r w:rsidRPr="00BC781F">
        <w:t>DiDomenico told McGrath that while the FDNY Bureau of Investigations and Trials (</w:t>
      </w:r>
      <w:r>
        <w:t>‘</w:t>
      </w:r>
      <w:proofErr w:type="spellStart"/>
      <w:r w:rsidRPr="00BC781F">
        <w:t>BITs</w:t>
      </w:r>
      <w:r>
        <w:t>’</w:t>
      </w:r>
      <w:proofErr w:type="spellEnd"/>
      <w:r w:rsidRPr="00BC781F">
        <w:t>) was not going to investigate the allegations, Arroyo's EMS supervisor would speak with her</w:t>
      </w:r>
      <w:r>
        <w:t xml:space="preserve">…. </w:t>
      </w:r>
      <w:r w:rsidRPr="00BC781F">
        <w:t xml:space="preserve">Shortly thereafter, DiDomenico instructed all Battalion Commanders (including McGrath) to give </w:t>
      </w:r>
      <w:r>
        <w:t>‘</w:t>
      </w:r>
      <w:r w:rsidRPr="00BC781F">
        <w:t>drills on inappropriate behavior.</w:t>
      </w:r>
      <w:r>
        <w:t>’</w:t>
      </w:r>
      <w:r w:rsidRPr="00BC781F">
        <w:t xml:space="preserve"> </w:t>
      </w:r>
    </w:p>
    <w:p w14:paraId="337BCF92" w14:textId="77777777" w:rsidR="001567BB" w:rsidRDefault="001567BB" w:rsidP="001567BB">
      <w:pPr>
        <w:ind w:left="720"/>
      </w:pPr>
      <w:r>
        <w:t>***</w:t>
      </w:r>
    </w:p>
    <w:p w14:paraId="2FD6D42E" w14:textId="77777777" w:rsidR="001567BB" w:rsidRPr="002C11C5" w:rsidRDefault="001567BB" w:rsidP="001567BB">
      <w:pPr>
        <w:ind w:left="720"/>
      </w:pPr>
      <w:r w:rsidRPr="002C11C5">
        <w:t xml:space="preserve"> 1. Arroyo FDNY EEO Complaint </w:t>
      </w:r>
    </w:p>
    <w:p w14:paraId="5F96AEC4" w14:textId="77777777" w:rsidR="001567BB" w:rsidRDefault="001567BB" w:rsidP="001567BB">
      <w:pPr>
        <w:ind w:left="720"/>
      </w:pPr>
      <w:r w:rsidRPr="002C11C5">
        <w:t> On April 3, 2015, Arroyo submitted a complaint to the FDNYs Equal Opportunity Employment (</w:t>
      </w:r>
      <w:r>
        <w:t>‘</w:t>
      </w:r>
      <w:r w:rsidRPr="002C11C5">
        <w:t>EEO</w:t>
      </w:r>
      <w:r>
        <w:t>’</w:t>
      </w:r>
      <w:r w:rsidRPr="002C11C5">
        <w:t>) Office alleging that McGrath sexually harassed her</w:t>
      </w:r>
      <w:r>
        <w:t xml:space="preserve">…. </w:t>
      </w:r>
      <w:r w:rsidRPr="002C11C5">
        <w:t xml:space="preserve">The Arroyo FDNY EEO Complaint alleged that on March 15, 2015, McGrath asked Arroyo to meet him in the Firehouse's mechanical room, where McGrath </w:t>
      </w:r>
      <w:r>
        <w:t>‘</w:t>
      </w:r>
      <w:r w:rsidRPr="002C11C5">
        <w:t>informed [Arroyo] that firemen's wives were making complaints about [Arroyo] with regard to rumors of inappropriate behavior with numerous firefighters from Battalion 47 as well as police officers from the local precincts.</w:t>
      </w:r>
      <w:r>
        <w:t>’ …</w:t>
      </w:r>
      <w:r w:rsidRPr="002C11C5">
        <w:t xml:space="preserve">Arroyo alleged further that McGrath </w:t>
      </w:r>
      <w:r>
        <w:t>‘</w:t>
      </w:r>
      <w:r w:rsidRPr="002C11C5">
        <w:t xml:space="preserve">claimed that the wives were unhappy with [Arroyo] having a personal relationship with a </w:t>
      </w:r>
      <w:proofErr w:type="gramStart"/>
      <w:r w:rsidRPr="002C11C5">
        <w:t>35 year old</w:t>
      </w:r>
      <w:proofErr w:type="gramEnd"/>
      <w:r w:rsidRPr="002C11C5">
        <w:t xml:space="preserve"> fireman from E268.” </w:t>
      </w:r>
      <w:r>
        <w:t xml:space="preserve">… </w:t>
      </w:r>
      <w:r w:rsidRPr="002C11C5">
        <w:t xml:space="preserve"> Arroyo claimed that McGrath said he could </w:t>
      </w:r>
      <w:r>
        <w:t>‘</w:t>
      </w:r>
      <w:r w:rsidRPr="002C11C5">
        <w:t>make this all go away</w:t>
      </w:r>
      <w:r>
        <w:t>’</w:t>
      </w:r>
      <w:r w:rsidRPr="002C11C5">
        <w:t xml:space="preserve"> if she agreed to transfer to another EMS Station and gave her until the following day to let him know her decision.</w:t>
      </w:r>
    </w:p>
    <w:p w14:paraId="32BB8F0A" w14:textId="77777777" w:rsidR="001567BB" w:rsidRPr="002C11C5" w:rsidRDefault="001567BB" w:rsidP="001567BB">
      <w:pPr>
        <w:ind w:left="720"/>
      </w:pPr>
      <w:r>
        <w:t>***</w:t>
      </w:r>
    </w:p>
    <w:p w14:paraId="606B3372" w14:textId="77777777" w:rsidR="001567BB" w:rsidRDefault="001567BB" w:rsidP="001567BB">
      <w:pPr>
        <w:ind w:left="720"/>
      </w:pPr>
      <w:r w:rsidRPr="00AC185E">
        <w:t> In March or April 2015, the FDNY reassigned McGrath to Queens Borough Command</w:t>
      </w:r>
      <w:proofErr w:type="gramStart"/>
      <w:r>
        <w:t>…..</w:t>
      </w:r>
      <w:proofErr w:type="gramEnd"/>
      <w:r>
        <w:t xml:space="preserve"> </w:t>
      </w:r>
      <w:r w:rsidRPr="00AC185E">
        <w:t xml:space="preserve">McGrath alleges that he was reassigned </w:t>
      </w:r>
      <w:r>
        <w:t>‘</w:t>
      </w:r>
      <w:r w:rsidRPr="00AC185E">
        <w:t>without warning</w:t>
      </w:r>
      <w:r>
        <w:t>’</w:t>
      </w:r>
      <w:r w:rsidRPr="00AC185E">
        <w:t xml:space="preserve"> and </w:t>
      </w:r>
      <w:r>
        <w:t>‘</w:t>
      </w:r>
      <w:r w:rsidRPr="00AC185E">
        <w:t xml:space="preserve">stripped </w:t>
      </w:r>
      <w:proofErr w:type="gramStart"/>
      <w:r w:rsidRPr="00AC185E">
        <w:t>of</w:t>
      </w:r>
      <w:proofErr w:type="gramEnd"/>
      <w:r w:rsidRPr="00AC185E">
        <w:t xml:space="preserve"> his duties.</w:t>
      </w:r>
      <w:r>
        <w:t>’</w:t>
      </w:r>
    </w:p>
    <w:p w14:paraId="0BA17AD4" w14:textId="77777777" w:rsidR="001567BB" w:rsidRDefault="001567BB" w:rsidP="001567BB">
      <w:pPr>
        <w:ind w:left="720"/>
      </w:pPr>
      <w:r>
        <w:t>***</w:t>
      </w:r>
    </w:p>
    <w:p w14:paraId="4CF1C565" w14:textId="77777777" w:rsidR="001567BB" w:rsidRDefault="001567BB" w:rsidP="001567BB">
      <w:pPr>
        <w:ind w:left="720"/>
      </w:pPr>
      <w:r w:rsidRPr="00B13F8B">
        <w:t>2. McGrath Agency Complaints</w:t>
      </w:r>
    </w:p>
    <w:p w14:paraId="722E9E3D" w14:textId="77777777" w:rsidR="001567BB" w:rsidRDefault="001567BB" w:rsidP="001567BB">
      <w:pPr>
        <w:ind w:left="720"/>
      </w:pPr>
      <w:r w:rsidRPr="0064124C">
        <w:t>On May 16, 2016, McGrath filed his own complaints with the FDNY EEO Office, the New York State Department of Human Rights (</w:t>
      </w:r>
      <w:r>
        <w:t>‘</w:t>
      </w:r>
      <w:r w:rsidRPr="0064124C">
        <w:t>NYSDHR</w:t>
      </w:r>
      <w:r>
        <w:t>’</w:t>
      </w:r>
      <w:r w:rsidRPr="0064124C">
        <w:t>), and the United States Equal Employment Opportunity Commission (</w:t>
      </w:r>
      <w:r>
        <w:t>‘</w:t>
      </w:r>
      <w:r w:rsidRPr="0064124C">
        <w:t>US EEOC</w:t>
      </w:r>
      <w:r>
        <w:t>’</w:t>
      </w:r>
      <w:r w:rsidRPr="0064124C">
        <w:t xml:space="preserve">) (collectively, </w:t>
      </w:r>
      <w:r>
        <w:t>‘</w:t>
      </w:r>
      <w:r w:rsidRPr="0064124C">
        <w:t>Agency Complaints</w:t>
      </w:r>
      <w:r>
        <w:t>’</w:t>
      </w:r>
      <w:r w:rsidRPr="0064124C">
        <w:t>)</w:t>
      </w:r>
      <w:r>
        <w:t xml:space="preserve">…. </w:t>
      </w:r>
      <w:r w:rsidRPr="0064124C">
        <w:t xml:space="preserve">According to an internal FDNY memorandum, McGrath's FDNY EEO complaint alleged that McGrath </w:t>
      </w:r>
      <w:r>
        <w:t>‘</w:t>
      </w:r>
      <w:r w:rsidRPr="0064124C">
        <w:t>was transferred and demoted due to his race (Caucasian) and gender (male), and that Arroyo received differential treatment because she is female and Hispanic.</w:t>
      </w:r>
      <w:r>
        <w:t>’</w:t>
      </w:r>
      <w:r w:rsidRPr="0064124C">
        <w:t xml:space="preserve"> (Nguyen Mem.)</w:t>
      </w:r>
    </w:p>
    <w:p w14:paraId="01796F3E" w14:textId="77777777" w:rsidR="001567BB" w:rsidRDefault="001567BB" w:rsidP="001567BB">
      <w:pPr>
        <w:ind w:left="720"/>
      </w:pPr>
      <w:r>
        <w:t>***</w:t>
      </w:r>
    </w:p>
    <w:p w14:paraId="2AAD5259" w14:textId="77777777" w:rsidR="001567BB" w:rsidRDefault="001567BB" w:rsidP="001567BB">
      <w:pPr>
        <w:ind w:left="720"/>
      </w:pPr>
      <w:r w:rsidRPr="00A8314F">
        <w:t>On September 9, 2016, BIT served McGrath with four charges under the FDNYs internal rules and regulations relating to sexual harassment, making false statements, and general conduct</w:t>
      </w:r>
      <w:r>
        <w:t>.”</w:t>
      </w:r>
    </w:p>
    <w:p w14:paraId="563CFC58" w14:textId="77777777" w:rsidR="001567BB" w:rsidRPr="00284816" w:rsidRDefault="001567BB" w:rsidP="001567BB">
      <w:pPr>
        <w:rPr>
          <w:b/>
          <w:bCs/>
        </w:rPr>
      </w:pPr>
      <w:r>
        <w:rPr>
          <w:b/>
        </w:rPr>
        <w:t>Legal lesson learned: FD conducted thorough investigation.</w:t>
      </w:r>
    </w:p>
    <w:p w14:paraId="7CA9A367" w14:textId="77777777" w:rsidR="001567BB" w:rsidRPr="00F05C98" w:rsidRDefault="001567BB" w:rsidP="001567BB">
      <w:pPr>
        <w:ind w:left="720"/>
      </w:pPr>
    </w:p>
    <w:p w14:paraId="6F1D9EFD" w14:textId="77777777" w:rsidR="000624FD" w:rsidRDefault="000624FD" w:rsidP="004C2EC5">
      <w:pPr>
        <w:pStyle w:val="NoSpacing"/>
        <w:rPr>
          <w:rFonts w:ascii="Arial Black" w:hAnsi="Arial Black"/>
          <w:b/>
          <w:bCs/>
          <w:sz w:val="24"/>
          <w:szCs w:val="24"/>
        </w:rPr>
      </w:pPr>
    </w:p>
    <w:p w14:paraId="4BF9CE48" w14:textId="19E4870C" w:rsidR="002F205D" w:rsidRDefault="002F205D" w:rsidP="004C2EC5">
      <w:pPr>
        <w:pStyle w:val="NoSpacing"/>
        <w:rPr>
          <w:rFonts w:ascii="Arial Black" w:hAnsi="Arial Black"/>
          <w:b/>
          <w:bCs/>
          <w:sz w:val="24"/>
          <w:szCs w:val="24"/>
        </w:rPr>
      </w:pPr>
      <w:r>
        <w:rPr>
          <w:rFonts w:ascii="Arial Black" w:hAnsi="Arial Black"/>
          <w:b/>
          <w:bCs/>
          <w:sz w:val="24"/>
          <w:szCs w:val="24"/>
        </w:rPr>
        <w:t>7-80</w:t>
      </w:r>
    </w:p>
    <w:p w14:paraId="2D439DEF" w14:textId="77777777" w:rsidR="002F205D" w:rsidRDefault="002F205D" w:rsidP="002F205D">
      <w:pPr>
        <w:pStyle w:val="NoSpacing"/>
        <w:rPr>
          <w:rFonts w:ascii="Arial Black" w:hAnsi="Arial Black"/>
          <w:sz w:val="28"/>
          <w:szCs w:val="28"/>
        </w:rPr>
      </w:pPr>
      <w:r>
        <w:rPr>
          <w:rFonts w:ascii="Arial Black" w:hAnsi="Arial Black"/>
          <w:sz w:val="28"/>
          <w:szCs w:val="28"/>
        </w:rPr>
        <w:t xml:space="preserve">IL: GENITALIA / HOMO / RACIST - TEXT MESSAGE GROUP </w:t>
      </w:r>
    </w:p>
    <w:p w14:paraId="160E9399" w14:textId="77777777" w:rsidR="002F205D" w:rsidRPr="006959F8" w:rsidRDefault="002F205D" w:rsidP="002F205D">
      <w:pPr>
        <w:pStyle w:val="NoSpacing"/>
        <w:rPr>
          <w:rFonts w:ascii="Times New Roman" w:hAnsi="Times New Roman"/>
          <w:sz w:val="24"/>
          <w:szCs w:val="24"/>
        </w:rPr>
      </w:pPr>
      <w:r w:rsidRPr="006959F8">
        <w:rPr>
          <w:rFonts w:ascii="Times New Roman" w:hAnsi="Times New Roman"/>
          <w:sz w:val="24"/>
          <w:szCs w:val="24"/>
        </w:rPr>
        <w:t xml:space="preserve"> </w:t>
      </w:r>
    </w:p>
    <w:p w14:paraId="0587292F" w14:textId="484109C8" w:rsidR="002F205D" w:rsidRPr="006959F8" w:rsidRDefault="002F205D" w:rsidP="002F205D">
      <w:pPr>
        <w:pStyle w:val="NoSpacing"/>
        <w:rPr>
          <w:rFonts w:ascii="Times New Roman" w:hAnsi="Times New Roman"/>
          <w:sz w:val="24"/>
          <w:szCs w:val="24"/>
        </w:rPr>
      </w:pPr>
      <w:r w:rsidRPr="006959F8">
        <w:rPr>
          <w:rFonts w:ascii="Times New Roman" w:hAnsi="Times New Roman"/>
          <w:sz w:val="24"/>
          <w:szCs w:val="24"/>
        </w:rPr>
        <w:t xml:space="preserve">On July 23, 2025, in </w:t>
      </w:r>
      <w:r w:rsidRPr="006959F8">
        <w:rPr>
          <w:rFonts w:ascii="Times New Roman" w:hAnsi="Times New Roman"/>
          <w:sz w:val="24"/>
          <w:szCs w:val="24"/>
          <w:u w:val="single"/>
        </w:rPr>
        <w:t>David Stieglitz v. City of Chicago, et al</w:t>
      </w:r>
      <w:r w:rsidRPr="006959F8">
        <w:rPr>
          <w:rFonts w:ascii="Times New Roman" w:hAnsi="Times New Roman"/>
          <w:sz w:val="24"/>
          <w:szCs w:val="24"/>
        </w:rPr>
        <w:t xml:space="preserve">., U.S. District Court Judge Franklin U. Valderrama, United States District Court for Northern District of Illinois (Eastern Division) denied the City’s motion to dismiss retaliation lawsuit; pre-trial discovery will now proceed for plaintiff (who is white).  The plaintiff has been a Chicago firefighter since 2005; in July 2000 he was added to a text message group from his firehouse; the chat excluded female firefighters, and included pictures of genitalia, homophobic and racist texts and inappropriate gifs.  He also complained about inappropriate conduct directed at his minor son during a visit to the firehouse, during which he was asked about his sexual orientation. He asked his Lieutenant and his Battalion Chief to be removed from the text message group and stop the conduct, but they took no action. In 2021 and 2022 he filed complaints with City EEOC and OIG, and retaliation started. His lawsuit claims: “he was ostracized by his coworkers, threatened with discipline for reporting illegal behavior, brought up on false internal review charges, the station cook spit on his plate at dinner, he had doors slammed in his face, and he was transferred from his assigned house.”  THE COURT HELD: “The Supreme Court recently clarified that to establish an adverse employment action under Title VII, a plaintiff need only show ‘some harm’ respecting an identifiable term or condition of employment, rather than a ‘significant’ disadvantage. </w:t>
      </w:r>
      <w:r w:rsidRPr="006959F8">
        <w:rPr>
          <w:rFonts w:ascii="Times New Roman" w:hAnsi="Times New Roman"/>
          <w:i/>
          <w:iCs/>
          <w:sz w:val="24"/>
          <w:szCs w:val="24"/>
        </w:rPr>
        <w:t>Muldrow v. City of St. Louis</w:t>
      </w:r>
      <w:r w:rsidRPr="006959F8">
        <w:rPr>
          <w:rFonts w:ascii="Times New Roman" w:hAnsi="Times New Roman"/>
          <w:sz w:val="24"/>
          <w:szCs w:val="24"/>
        </w:rPr>
        <w:t xml:space="preserve">, Mo., 601 U.S. 346, 355 (2024). </w:t>
      </w:r>
      <w:hyperlink r:id="rId1324" w:history="1">
        <w:r w:rsidRPr="006959F8">
          <w:rPr>
            <w:rStyle w:val="Hyperlink"/>
            <w:rFonts w:ascii="Times New Roman" w:hAnsi="Times New Roman"/>
            <w:sz w:val="24"/>
            <w:szCs w:val="24"/>
          </w:rPr>
          <w:t>https://www.courthousenews.com/wp-content/uploads/2025/07/illinois-court-allows-firefighter-emt-to-sue-over-sexually-hostile-environment.pdf</w:t>
        </w:r>
      </w:hyperlink>
    </w:p>
    <w:p w14:paraId="68862B53" w14:textId="77777777" w:rsidR="00E73444" w:rsidRPr="006959F8" w:rsidRDefault="00E73444" w:rsidP="002F205D">
      <w:pPr>
        <w:pStyle w:val="NoSpacing"/>
        <w:rPr>
          <w:rFonts w:ascii="Times New Roman" w:hAnsi="Times New Roman"/>
          <w:b/>
          <w:bCs/>
          <w:sz w:val="24"/>
          <w:szCs w:val="24"/>
        </w:rPr>
      </w:pPr>
    </w:p>
    <w:p w14:paraId="2281D8AD" w14:textId="77777777" w:rsidR="0069598C" w:rsidRPr="006959F8" w:rsidRDefault="0069598C" w:rsidP="0069598C">
      <w:pPr>
        <w:pStyle w:val="NoSpacing"/>
        <w:rPr>
          <w:rFonts w:ascii="Times New Roman" w:hAnsi="Times New Roman"/>
          <w:b/>
          <w:bCs/>
          <w:sz w:val="24"/>
          <w:szCs w:val="24"/>
        </w:rPr>
      </w:pPr>
      <w:r w:rsidRPr="006959F8">
        <w:rPr>
          <w:rFonts w:ascii="Times New Roman" w:hAnsi="Times New Roman"/>
          <w:b/>
          <w:sz w:val="24"/>
          <w:szCs w:val="24"/>
        </w:rPr>
        <w:t xml:space="preserve">Legal lesson learned:   Fire Station text message groups, like other forms of communication, can lead to litigation.  Under the U.S. Supreme Court’s April 17, </w:t>
      </w:r>
      <w:proofErr w:type="gramStart"/>
      <w:r w:rsidRPr="006959F8">
        <w:rPr>
          <w:rFonts w:ascii="Times New Roman" w:hAnsi="Times New Roman"/>
          <w:b/>
          <w:sz w:val="24"/>
          <w:szCs w:val="24"/>
        </w:rPr>
        <w:t>2024</w:t>
      </w:r>
      <w:proofErr w:type="gramEnd"/>
      <w:r w:rsidRPr="006959F8">
        <w:rPr>
          <w:rFonts w:ascii="Times New Roman" w:hAnsi="Times New Roman"/>
          <w:b/>
          <w:sz w:val="24"/>
          <w:szCs w:val="24"/>
        </w:rPr>
        <w:t xml:space="preserve"> decision in </w:t>
      </w:r>
      <w:r w:rsidRPr="006959F8">
        <w:rPr>
          <w:rFonts w:ascii="Times New Roman" w:hAnsi="Times New Roman"/>
          <w:b/>
          <w:i/>
          <w:iCs/>
          <w:sz w:val="24"/>
          <w:szCs w:val="24"/>
        </w:rPr>
        <w:t xml:space="preserve">Muldrow v. City of St. Louis, </w:t>
      </w:r>
      <w:r w:rsidRPr="006959F8">
        <w:rPr>
          <w:rFonts w:ascii="Times New Roman" w:hAnsi="Times New Roman"/>
          <w:b/>
          <w:sz w:val="24"/>
          <w:szCs w:val="24"/>
        </w:rPr>
        <w:t xml:space="preserve">lawsuits claiming retaliation need only allege “some harms” to proceed with pre-trial discovery. </w:t>
      </w:r>
      <w:hyperlink r:id="rId1325" w:history="1">
        <w:r w:rsidRPr="006959F8">
          <w:rPr>
            <w:rStyle w:val="Hyperlink"/>
            <w:rFonts w:ascii="Times New Roman" w:hAnsi="Times New Roman"/>
            <w:b/>
            <w:sz w:val="24"/>
            <w:szCs w:val="24"/>
          </w:rPr>
          <w:t>https://www.supremecourt.gov/opinions/23pdf/22-193_q86b.pdf</w:t>
        </w:r>
      </w:hyperlink>
      <w:r w:rsidRPr="006959F8">
        <w:rPr>
          <w:rFonts w:ascii="Times New Roman" w:hAnsi="Times New Roman"/>
          <w:b/>
          <w:sz w:val="24"/>
          <w:szCs w:val="24"/>
        </w:rPr>
        <w:t xml:space="preserve"> </w:t>
      </w:r>
    </w:p>
    <w:p w14:paraId="6A62170C" w14:textId="77777777" w:rsidR="0069598C" w:rsidRPr="006959F8" w:rsidRDefault="0069598C" w:rsidP="0069598C">
      <w:pPr>
        <w:pStyle w:val="NoSpacing"/>
        <w:rPr>
          <w:rFonts w:ascii="Times New Roman" w:hAnsi="Times New Roman"/>
          <w:b/>
          <w:bCs/>
          <w:sz w:val="24"/>
          <w:szCs w:val="24"/>
        </w:rPr>
      </w:pPr>
    </w:p>
    <w:p w14:paraId="501B1C06" w14:textId="77777777" w:rsidR="0069598C" w:rsidRPr="006959F8" w:rsidRDefault="0069598C" w:rsidP="0069598C">
      <w:pPr>
        <w:pStyle w:val="NoSpacing"/>
        <w:ind w:left="720"/>
        <w:rPr>
          <w:rFonts w:ascii="Times New Roman" w:hAnsi="Times New Roman"/>
          <w:sz w:val="24"/>
          <w:szCs w:val="24"/>
        </w:rPr>
      </w:pPr>
      <w:r w:rsidRPr="006959F8">
        <w:rPr>
          <w:rFonts w:ascii="Times New Roman" w:hAnsi="Times New Roman"/>
          <w:sz w:val="24"/>
          <w:szCs w:val="24"/>
        </w:rPr>
        <w:t xml:space="preserve">Note:  Plaintiff in 2017 filed an EEOC complaint and then sued the </w:t>
      </w:r>
      <w:proofErr w:type="gramStart"/>
      <w:r w:rsidRPr="006959F8">
        <w:rPr>
          <w:rFonts w:ascii="Times New Roman" w:hAnsi="Times New Roman"/>
          <w:sz w:val="24"/>
          <w:szCs w:val="24"/>
        </w:rPr>
        <w:t>City</w:t>
      </w:r>
      <w:proofErr w:type="gramEnd"/>
      <w:r w:rsidRPr="006959F8">
        <w:rPr>
          <w:rFonts w:ascii="Times New Roman" w:hAnsi="Times New Roman"/>
          <w:sz w:val="24"/>
          <w:szCs w:val="24"/>
        </w:rPr>
        <w:t xml:space="preserve">, claiming racial discrimination (he is white) about his Black Captain assigning two additional firefighters to drive Truck 19. The trial court judge after pre-trial discovery granted summary judgement to the </w:t>
      </w:r>
      <w:proofErr w:type="gramStart"/>
      <w:r w:rsidRPr="006959F8">
        <w:rPr>
          <w:rFonts w:ascii="Times New Roman" w:hAnsi="Times New Roman"/>
          <w:sz w:val="24"/>
          <w:szCs w:val="24"/>
        </w:rPr>
        <w:t>City</w:t>
      </w:r>
      <w:proofErr w:type="gramEnd"/>
      <w:r w:rsidRPr="006959F8">
        <w:rPr>
          <w:rFonts w:ascii="Times New Roman" w:hAnsi="Times New Roman"/>
          <w:sz w:val="24"/>
          <w:szCs w:val="24"/>
        </w:rPr>
        <w:t>.  On July 12, 2022, the U.S. Court of Appeals for 7</w:t>
      </w:r>
      <w:r w:rsidRPr="006959F8">
        <w:rPr>
          <w:rFonts w:ascii="Times New Roman" w:hAnsi="Times New Roman"/>
          <w:sz w:val="24"/>
          <w:szCs w:val="24"/>
          <w:vertAlign w:val="superscript"/>
        </w:rPr>
        <w:t>th</w:t>
      </w:r>
      <w:r w:rsidRPr="006959F8">
        <w:rPr>
          <w:rFonts w:ascii="Times New Roman" w:hAnsi="Times New Roman"/>
          <w:sz w:val="24"/>
          <w:szCs w:val="24"/>
        </w:rPr>
        <w:t xml:space="preserve"> Circuit (Chicago) held that his race discrimination case was properly dismissed. </w:t>
      </w:r>
      <w:hyperlink r:id="rId1326" w:history="1">
        <w:r w:rsidRPr="006959F8">
          <w:rPr>
            <w:rStyle w:val="Hyperlink"/>
            <w:rFonts w:ascii="Times New Roman" w:hAnsi="Times New Roman"/>
            <w:sz w:val="24"/>
            <w:szCs w:val="24"/>
          </w:rPr>
          <w:t>https://media.ca7.uscourts.gov/cgi-bin/rssExec.pl?Submit=Display&amp;Path=Y2022/D07-12/C:21-2784:J:PerCuriam:aut:T:npDp:N:2902357:S:0</w:t>
        </w:r>
      </w:hyperlink>
      <w:r w:rsidRPr="006959F8">
        <w:rPr>
          <w:rFonts w:ascii="Times New Roman" w:hAnsi="Times New Roman"/>
          <w:sz w:val="24"/>
          <w:szCs w:val="24"/>
        </w:rPr>
        <w:t xml:space="preserve"> </w:t>
      </w:r>
    </w:p>
    <w:p w14:paraId="3B0EE4E7" w14:textId="77777777" w:rsidR="0069598C" w:rsidRPr="006959F8" w:rsidRDefault="0069598C" w:rsidP="0069598C">
      <w:pPr>
        <w:pStyle w:val="NoSpacing"/>
        <w:ind w:left="720"/>
        <w:rPr>
          <w:rFonts w:ascii="Times New Roman" w:hAnsi="Times New Roman"/>
          <w:sz w:val="24"/>
          <w:szCs w:val="24"/>
        </w:rPr>
      </w:pPr>
    </w:p>
    <w:p w14:paraId="457039C6" w14:textId="77777777" w:rsidR="0069598C" w:rsidRPr="006959F8" w:rsidRDefault="0069598C" w:rsidP="0069598C">
      <w:pPr>
        <w:pStyle w:val="NoSpacing"/>
        <w:ind w:left="1440"/>
        <w:rPr>
          <w:rFonts w:ascii="Times New Roman" w:hAnsi="Times New Roman"/>
          <w:sz w:val="24"/>
          <w:szCs w:val="24"/>
        </w:rPr>
      </w:pPr>
      <w:r w:rsidRPr="006959F8">
        <w:rPr>
          <w:rFonts w:ascii="Times New Roman" w:hAnsi="Times New Roman"/>
          <w:sz w:val="24"/>
          <w:szCs w:val="24"/>
        </w:rPr>
        <w:t>“David Stieglitz, a Chicago firefighter, sued the City of Chicago under Title VII of the Civil Rights Act of 1964 for race discrimination and retaliation. He alleged that his captain deprived him of lucrative opportunities to drive a fire truck because of his race (White) and that, after he protested, the Chicago Fire Department retaliated against him by briefly suspending him from driving. The district court granted the City’s motion for summary judgment, concluding that Stieglitz lacked evidence to dispute the City’s non-discriminatory reasons for scheduling multiple drivers and for the suspension. Because a jury could not reasonably infer from the evidence any intent to discriminate or retaliate, we affirm”</w:t>
      </w:r>
    </w:p>
    <w:p w14:paraId="4E3D58BB" w14:textId="77777777" w:rsidR="0069598C" w:rsidRDefault="0069598C" w:rsidP="002F205D">
      <w:pPr>
        <w:pStyle w:val="NoSpacing"/>
        <w:rPr>
          <w:rFonts w:ascii="Arial Black" w:hAnsi="Arial Black"/>
          <w:b/>
          <w:bCs/>
          <w:sz w:val="24"/>
          <w:szCs w:val="24"/>
        </w:rPr>
      </w:pPr>
    </w:p>
    <w:p w14:paraId="3CAC8C5E" w14:textId="77777777" w:rsidR="002F205D" w:rsidRDefault="002F205D" w:rsidP="004C2EC5">
      <w:pPr>
        <w:pStyle w:val="NoSpacing"/>
        <w:rPr>
          <w:rFonts w:ascii="Arial Black" w:hAnsi="Arial Black"/>
          <w:b/>
          <w:bCs/>
          <w:sz w:val="24"/>
          <w:szCs w:val="24"/>
        </w:rPr>
      </w:pPr>
    </w:p>
    <w:p w14:paraId="6DCFE024" w14:textId="77777777" w:rsidR="002F205D" w:rsidRDefault="002F205D" w:rsidP="004C2EC5">
      <w:pPr>
        <w:pStyle w:val="NoSpacing"/>
        <w:rPr>
          <w:rFonts w:ascii="Arial Black" w:hAnsi="Arial Black"/>
          <w:b/>
          <w:bCs/>
          <w:sz w:val="24"/>
          <w:szCs w:val="24"/>
        </w:rPr>
      </w:pPr>
    </w:p>
    <w:p w14:paraId="7A1966F8" w14:textId="77777777" w:rsidR="002F205D" w:rsidRDefault="002F205D" w:rsidP="004C2EC5">
      <w:pPr>
        <w:pStyle w:val="NoSpacing"/>
        <w:rPr>
          <w:rFonts w:ascii="Arial Black" w:hAnsi="Arial Black"/>
          <w:b/>
          <w:bCs/>
          <w:sz w:val="24"/>
          <w:szCs w:val="24"/>
        </w:rPr>
      </w:pPr>
    </w:p>
    <w:p w14:paraId="2679312F" w14:textId="77777777" w:rsidR="002F205D" w:rsidRDefault="002F205D" w:rsidP="004C2EC5">
      <w:pPr>
        <w:pStyle w:val="NoSpacing"/>
        <w:rPr>
          <w:rFonts w:ascii="Arial Black" w:hAnsi="Arial Black"/>
          <w:b/>
          <w:bCs/>
          <w:sz w:val="24"/>
          <w:szCs w:val="24"/>
        </w:rPr>
      </w:pPr>
    </w:p>
    <w:p w14:paraId="6F5FED96" w14:textId="3B903620" w:rsidR="004C2EC5" w:rsidRDefault="004C2EC5" w:rsidP="004C2EC5">
      <w:pPr>
        <w:pStyle w:val="NoSpacing"/>
        <w:rPr>
          <w:rFonts w:ascii="Arial Black" w:hAnsi="Arial Black"/>
          <w:b/>
          <w:bCs/>
          <w:sz w:val="24"/>
          <w:szCs w:val="24"/>
        </w:rPr>
      </w:pPr>
      <w:r>
        <w:rPr>
          <w:rFonts w:ascii="Arial Black" w:hAnsi="Arial Black"/>
          <w:b/>
          <w:bCs/>
          <w:sz w:val="24"/>
          <w:szCs w:val="24"/>
        </w:rPr>
        <w:t>7-7</w:t>
      </w:r>
      <w:r w:rsidR="00092DAC">
        <w:rPr>
          <w:rFonts w:ascii="Arial Black" w:hAnsi="Arial Black"/>
          <w:b/>
          <w:bCs/>
          <w:sz w:val="24"/>
          <w:szCs w:val="24"/>
        </w:rPr>
        <w:t>9</w:t>
      </w:r>
    </w:p>
    <w:p w14:paraId="6BAFD43F" w14:textId="77777777" w:rsidR="002F205D" w:rsidRDefault="002F205D" w:rsidP="00FB15FE">
      <w:pPr>
        <w:rPr>
          <w:rFonts w:ascii="Arial Black" w:hAnsi="Arial Black"/>
          <w:b/>
          <w:sz w:val="28"/>
          <w:szCs w:val="28"/>
        </w:rPr>
      </w:pPr>
    </w:p>
    <w:p w14:paraId="1F9489F4" w14:textId="65ECB607" w:rsidR="00FB15FE" w:rsidRPr="00221AA5" w:rsidRDefault="00FB15FE" w:rsidP="00FB15FE">
      <w:pPr>
        <w:rPr>
          <w:rFonts w:ascii="Arial Black" w:hAnsi="Arial Black"/>
          <w:b/>
          <w:sz w:val="28"/>
          <w:szCs w:val="28"/>
        </w:rPr>
      </w:pPr>
      <w:r>
        <w:rPr>
          <w:rFonts w:ascii="Arial Black" w:hAnsi="Arial Black"/>
          <w:b/>
          <w:sz w:val="28"/>
          <w:szCs w:val="28"/>
        </w:rPr>
        <w:t>U.S. SUP. CT: “STRAIGHT” FEMALE</w:t>
      </w:r>
      <w:r w:rsidR="00E6658C">
        <w:rPr>
          <w:rFonts w:ascii="Arial Black" w:hAnsi="Arial Black"/>
          <w:b/>
          <w:sz w:val="28"/>
          <w:szCs w:val="28"/>
        </w:rPr>
        <w:t xml:space="preserve"> RIGHTS</w:t>
      </w:r>
      <w:r>
        <w:rPr>
          <w:rFonts w:ascii="Arial Black" w:hAnsi="Arial Black"/>
          <w:b/>
          <w:sz w:val="28"/>
          <w:szCs w:val="28"/>
        </w:rPr>
        <w:t xml:space="preserve"> – MGT FAVORED GAYS</w:t>
      </w:r>
    </w:p>
    <w:p w14:paraId="207D15DB" w14:textId="77777777" w:rsidR="00FB15FE" w:rsidRPr="002A313D" w:rsidRDefault="00FB15FE" w:rsidP="00FB15FE">
      <w:pPr>
        <w:pStyle w:val="NoSpacing"/>
        <w:rPr>
          <w:rFonts w:ascii="Times New Roman" w:hAnsi="Times New Roman"/>
          <w:bCs/>
          <w:sz w:val="24"/>
          <w:szCs w:val="24"/>
        </w:rPr>
      </w:pPr>
      <w:r w:rsidRPr="002A313D">
        <w:rPr>
          <w:rFonts w:ascii="Times New Roman" w:hAnsi="Times New Roman"/>
          <w:sz w:val="24"/>
          <w:szCs w:val="24"/>
        </w:rPr>
        <w:t xml:space="preserve">On June 5, 2025, in </w:t>
      </w:r>
      <w:r w:rsidRPr="002A313D">
        <w:rPr>
          <w:rFonts w:ascii="Times New Roman" w:hAnsi="Times New Roman"/>
          <w:sz w:val="24"/>
          <w:szCs w:val="24"/>
          <w:u w:val="single"/>
        </w:rPr>
        <w:t>Marlean Ames v. Ohio Department of Youth Services</w:t>
      </w:r>
      <w:r w:rsidRPr="002A313D">
        <w:rPr>
          <w:rFonts w:ascii="Times New Roman" w:hAnsi="Times New Roman"/>
          <w:sz w:val="24"/>
          <w:szCs w:val="24"/>
        </w:rPr>
        <w:t>, the United States Supreme Court held (9 to 0) that heterosexual and other majority group employees may sue employers who they allege made promotion or other job assignments in favor of gay employees.  The Court rejected the requirement of the 6</w:t>
      </w:r>
      <w:r w:rsidRPr="002A313D">
        <w:rPr>
          <w:rFonts w:ascii="Times New Roman" w:hAnsi="Times New Roman"/>
          <w:sz w:val="24"/>
          <w:szCs w:val="24"/>
          <w:vertAlign w:val="superscript"/>
        </w:rPr>
        <w:t>th</w:t>
      </w:r>
      <w:r w:rsidRPr="002A313D">
        <w:rPr>
          <w:rFonts w:ascii="Times New Roman" w:hAnsi="Times New Roman"/>
          <w:sz w:val="24"/>
          <w:szCs w:val="24"/>
        </w:rPr>
        <w:t xml:space="preserve"> Circuit (Cincinnati) and some other Circuits that for lawsuit by majority employee making claim of discrimination to survive summary judgment, the majority plaintiff must include detailed facts showing the “background circumstances” of the workplace “rare” discriminatory practices.  THE COURT HELD: “Congress left no room for courts to impose special requirements on majority-group plaintiffs alone.”</w:t>
      </w:r>
    </w:p>
    <w:p w14:paraId="79BC3F95" w14:textId="77777777" w:rsidR="00FB15FE" w:rsidRPr="002A313D" w:rsidRDefault="00FB15FE" w:rsidP="00FB15FE">
      <w:pPr>
        <w:rPr>
          <w:rFonts w:ascii="Times New Roman" w:hAnsi="Times New Roman"/>
          <w:bCs/>
          <w:sz w:val="24"/>
          <w:szCs w:val="24"/>
        </w:rPr>
      </w:pPr>
      <w:hyperlink r:id="rId1327" w:history="1">
        <w:r w:rsidRPr="002A313D">
          <w:rPr>
            <w:rStyle w:val="Hyperlink"/>
            <w:rFonts w:ascii="Times New Roman" w:hAnsi="Times New Roman"/>
            <w:sz w:val="24"/>
            <w:szCs w:val="24"/>
          </w:rPr>
          <w:t>https://www.supremecourt.gov/opinions/24pdf/23-1039_c0n2.pdf</w:t>
        </w:r>
      </w:hyperlink>
      <w:r w:rsidRPr="002A313D">
        <w:rPr>
          <w:rFonts w:ascii="Times New Roman" w:hAnsi="Times New Roman"/>
          <w:sz w:val="24"/>
          <w:szCs w:val="24"/>
        </w:rPr>
        <w:t xml:space="preserve"> </w:t>
      </w:r>
    </w:p>
    <w:p w14:paraId="70F9452D" w14:textId="77777777" w:rsidR="002A313D" w:rsidRPr="002A313D" w:rsidRDefault="002A313D" w:rsidP="002A313D">
      <w:pPr>
        <w:pStyle w:val="NoSpacing"/>
        <w:rPr>
          <w:rFonts w:ascii="Times New Roman" w:hAnsi="Times New Roman"/>
          <w:b/>
          <w:sz w:val="24"/>
          <w:szCs w:val="24"/>
        </w:rPr>
      </w:pPr>
      <w:r w:rsidRPr="002A313D">
        <w:rPr>
          <w:rFonts w:ascii="Times New Roman" w:hAnsi="Times New Roman"/>
          <w:b/>
          <w:sz w:val="24"/>
          <w:szCs w:val="24"/>
        </w:rPr>
        <w:t xml:space="preserve">Legal lesson learned: Unanimous Court opinion – Title VII of the Civil Rights Act of 1964 does not impose a high standard of proof for majority-group plaintiffs. </w:t>
      </w:r>
    </w:p>
    <w:p w14:paraId="5A2822D8" w14:textId="77777777" w:rsidR="00F40B03" w:rsidRPr="002A313D" w:rsidRDefault="00F40B03" w:rsidP="00F326E5">
      <w:pPr>
        <w:pStyle w:val="NoSpacing"/>
        <w:rPr>
          <w:rFonts w:ascii="Times New Roman" w:hAnsi="Times New Roman"/>
          <w:b/>
          <w:bCs/>
          <w:sz w:val="24"/>
          <w:szCs w:val="24"/>
        </w:rPr>
      </w:pPr>
    </w:p>
    <w:p w14:paraId="7C5E10BE" w14:textId="77777777" w:rsidR="00F40B03" w:rsidRDefault="00F40B03" w:rsidP="00F326E5">
      <w:pPr>
        <w:pStyle w:val="NoSpacing"/>
        <w:rPr>
          <w:rFonts w:ascii="Arial Black" w:hAnsi="Arial Black"/>
          <w:b/>
          <w:bCs/>
          <w:sz w:val="24"/>
          <w:szCs w:val="24"/>
        </w:rPr>
      </w:pPr>
    </w:p>
    <w:p w14:paraId="12E4BEF7" w14:textId="77777777" w:rsidR="004C2EC5" w:rsidRDefault="004C2EC5" w:rsidP="00BD31D3">
      <w:pPr>
        <w:rPr>
          <w:rFonts w:ascii="Arial Black" w:hAnsi="Arial Black"/>
          <w:sz w:val="28"/>
          <w:szCs w:val="28"/>
        </w:rPr>
      </w:pPr>
    </w:p>
    <w:p w14:paraId="23FFF287" w14:textId="7C8074F8" w:rsidR="004C2EC5" w:rsidRDefault="004C2EC5" w:rsidP="004C2EC5">
      <w:pPr>
        <w:pStyle w:val="NoSpacing"/>
        <w:rPr>
          <w:rFonts w:ascii="Arial Black" w:hAnsi="Arial Black"/>
          <w:b/>
          <w:bCs/>
          <w:sz w:val="24"/>
          <w:szCs w:val="24"/>
        </w:rPr>
      </w:pPr>
      <w:r>
        <w:rPr>
          <w:rFonts w:ascii="Arial Black" w:hAnsi="Arial Black"/>
          <w:b/>
          <w:bCs/>
          <w:sz w:val="24"/>
          <w:szCs w:val="24"/>
        </w:rPr>
        <w:t>7-78</w:t>
      </w:r>
    </w:p>
    <w:p w14:paraId="26D823E5" w14:textId="77777777" w:rsidR="004C2EC5" w:rsidRDefault="004C2EC5" w:rsidP="00BD31D3">
      <w:pPr>
        <w:rPr>
          <w:rFonts w:ascii="Arial Black" w:hAnsi="Arial Black"/>
          <w:sz w:val="28"/>
          <w:szCs w:val="28"/>
        </w:rPr>
      </w:pPr>
    </w:p>
    <w:p w14:paraId="04FDF0FB" w14:textId="2F4C8D5E" w:rsidR="00BD31D3" w:rsidRPr="00427BC4" w:rsidRDefault="00BD31D3" w:rsidP="00BD31D3">
      <w:pPr>
        <w:rPr>
          <w:rFonts w:ascii="Arial Black" w:hAnsi="Arial Black"/>
          <w:sz w:val="28"/>
          <w:szCs w:val="28"/>
        </w:rPr>
      </w:pPr>
      <w:r>
        <w:rPr>
          <w:rFonts w:ascii="Arial Black" w:hAnsi="Arial Black"/>
          <w:sz w:val="28"/>
          <w:szCs w:val="28"/>
        </w:rPr>
        <w:t xml:space="preserve">OK: 2 FEMALES NOT PROMOTED – NO OUTSIDE PANEL USED </w:t>
      </w:r>
    </w:p>
    <w:p w14:paraId="1D128C33" w14:textId="77777777" w:rsidR="00BD31D3" w:rsidRPr="00DB7CAF" w:rsidRDefault="00BD31D3" w:rsidP="00BD31D3">
      <w:pPr>
        <w:pStyle w:val="NoSpacing"/>
        <w:rPr>
          <w:rFonts w:ascii="Times New Roman" w:hAnsi="Times New Roman"/>
          <w:sz w:val="24"/>
          <w:szCs w:val="24"/>
        </w:rPr>
      </w:pPr>
      <w:r w:rsidRPr="00DB7CAF">
        <w:rPr>
          <w:rFonts w:ascii="Times New Roman" w:hAnsi="Times New Roman"/>
          <w:sz w:val="24"/>
          <w:szCs w:val="24"/>
        </w:rPr>
        <w:t xml:space="preserve">On June 2, 2025, in </w:t>
      </w:r>
      <w:r w:rsidRPr="00DB7CAF">
        <w:rPr>
          <w:rFonts w:ascii="Times New Roman" w:hAnsi="Times New Roman"/>
          <w:sz w:val="24"/>
          <w:szCs w:val="24"/>
          <w:u w:val="single"/>
        </w:rPr>
        <w:t>Greta J. Hurt; Julie D, Lynn v. City of Tulsa, Oklahoma</w:t>
      </w:r>
      <w:r w:rsidRPr="00DB7CAF">
        <w:rPr>
          <w:rFonts w:ascii="Times New Roman" w:hAnsi="Times New Roman"/>
          <w:sz w:val="24"/>
          <w:szCs w:val="24"/>
        </w:rPr>
        <w:t xml:space="preserve">, U.S. District Court Judge John D. Russell, United States District Court for the Northern District of Oklahoma, denied the City’s motion for summary judgment on the “failure-to-promote” claim, after two male District Chiefs were selected by 3-person Panel (including Fire Chief and Deputy Chief, and a retired Fire Chief from Georgia), because “the evidence of record could permit a jury to find that the Department's stated reasons for promoting the [two males] are pretextual.”  Plaintiffs’ claims of retaliation after filing EEOC charge and hostile work atmosphere were dismissed.  In 2021, the Department announced two openings for Assistant Fire Chief – four applicants were all qualified.  In </w:t>
      </w:r>
      <w:proofErr w:type="gramStart"/>
      <w:r w:rsidRPr="00DB7CAF">
        <w:rPr>
          <w:rFonts w:ascii="Times New Roman" w:hAnsi="Times New Roman"/>
          <w:sz w:val="24"/>
          <w:szCs w:val="24"/>
        </w:rPr>
        <w:t>July,</w:t>
      </w:r>
      <w:proofErr w:type="gramEnd"/>
      <w:r w:rsidRPr="00DB7CAF">
        <w:rPr>
          <w:rFonts w:ascii="Times New Roman" w:hAnsi="Times New Roman"/>
          <w:sz w:val="24"/>
          <w:szCs w:val="24"/>
        </w:rPr>
        <w:t xml:space="preserve"> 2021 the Fire Chief changed process, with union permission – instead of an outside assessment panel, with rank order of best candidates, he established the internal panel.   THE COURT HELD: “Could a jury find that the Department's decision to forgo the established procedure was the product of a desire to save the city and the candidates the cost and burden of an assessment? The answer to that question is yes. Could a jury also find, based on Mr. Lay's testimony, that Chief Baker and Deputy Chief Goins departed from the AOP process because they wanted to pick their preferred candidates, regardless of how well they performed on an impartial assessment? The answer to that question is also yes.” </w:t>
      </w:r>
    </w:p>
    <w:p w14:paraId="1F497530" w14:textId="6B995126" w:rsidR="007426EF" w:rsidRPr="00DB7CAF" w:rsidRDefault="00BD31D3" w:rsidP="00BD31D3">
      <w:pPr>
        <w:pStyle w:val="NoSpacing"/>
        <w:rPr>
          <w:rFonts w:ascii="Times New Roman" w:hAnsi="Times New Roman"/>
          <w:sz w:val="24"/>
          <w:szCs w:val="24"/>
        </w:rPr>
      </w:pPr>
      <w:hyperlink r:id="rId1328" w:history="1">
        <w:r w:rsidRPr="00DB7CAF">
          <w:rPr>
            <w:rStyle w:val="Hyperlink"/>
            <w:rFonts w:ascii="Times New Roman" w:hAnsi="Times New Roman"/>
            <w:sz w:val="24"/>
            <w:szCs w:val="24"/>
          </w:rPr>
          <w:t>https://ktul.com/resources/pdf/dc103f10-071a-4876-bf70-774bb3ddb220-HurtLynnv.COTSummaryJudgmentDecision.pdf</w:t>
        </w:r>
      </w:hyperlink>
    </w:p>
    <w:p w14:paraId="4E2717BE" w14:textId="77777777" w:rsidR="00DB7CAF" w:rsidRPr="00DB7CAF" w:rsidRDefault="00DB7CAF" w:rsidP="00BD31D3">
      <w:pPr>
        <w:pStyle w:val="NoSpacing"/>
        <w:rPr>
          <w:rFonts w:ascii="Times New Roman" w:hAnsi="Times New Roman"/>
          <w:sz w:val="24"/>
          <w:szCs w:val="24"/>
        </w:rPr>
      </w:pPr>
    </w:p>
    <w:p w14:paraId="332898EB" w14:textId="77777777" w:rsidR="00DB7CAF" w:rsidRPr="00DB7CAF" w:rsidRDefault="00DB7CAF" w:rsidP="00DB7CAF">
      <w:pPr>
        <w:rPr>
          <w:rFonts w:ascii="Times New Roman" w:hAnsi="Times New Roman"/>
          <w:b/>
          <w:bCs/>
          <w:sz w:val="24"/>
          <w:szCs w:val="24"/>
        </w:rPr>
      </w:pPr>
      <w:r w:rsidRPr="00DB7CAF">
        <w:rPr>
          <w:rFonts w:ascii="Times New Roman" w:hAnsi="Times New Roman"/>
          <w:b/>
          <w:sz w:val="24"/>
          <w:szCs w:val="24"/>
        </w:rPr>
        <w:t xml:space="preserve">Legal lesson learned: Follow the </w:t>
      </w:r>
      <w:r w:rsidRPr="00DB7CAF">
        <w:rPr>
          <w:rFonts w:ascii="Times New Roman" w:hAnsi="Times New Roman"/>
          <w:b/>
          <w:bCs/>
          <w:sz w:val="24"/>
          <w:szCs w:val="24"/>
        </w:rPr>
        <w:t xml:space="preserve">normal </w:t>
      </w:r>
      <w:r w:rsidRPr="00DB7CAF">
        <w:rPr>
          <w:rFonts w:ascii="Times New Roman" w:hAnsi="Times New Roman"/>
          <w:b/>
          <w:sz w:val="24"/>
          <w:szCs w:val="24"/>
        </w:rPr>
        <w:t xml:space="preserve">promotion process, including </w:t>
      </w:r>
      <w:r w:rsidRPr="00DB7CAF">
        <w:rPr>
          <w:rFonts w:ascii="Times New Roman" w:hAnsi="Times New Roman"/>
          <w:b/>
          <w:bCs/>
          <w:sz w:val="24"/>
          <w:szCs w:val="24"/>
        </w:rPr>
        <w:t>use of an</w:t>
      </w:r>
      <w:r w:rsidRPr="00DB7CAF">
        <w:rPr>
          <w:rFonts w:ascii="Times New Roman" w:hAnsi="Times New Roman"/>
          <w:b/>
          <w:sz w:val="24"/>
          <w:szCs w:val="24"/>
        </w:rPr>
        <w:t xml:space="preserve"> outside Assessment Panel doing ranking order. unless all applicants </w:t>
      </w:r>
      <w:r w:rsidRPr="00DB7CAF">
        <w:rPr>
          <w:rFonts w:ascii="Times New Roman" w:hAnsi="Times New Roman"/>
          <w:b/>
          <w:bCs/>
          <w:sz w:val="24"/>
          <w:szCs w:val="24"/>
        </w:rPr>
        <w:t xml:space="preserve">voluntarily </w:t>
      </w:r>
      <w:r w:rsidRPr="00DB7CAF">
        <w:rPr>
          <w:rFonts w:ascii="Times New Roman" w:hAnsi="Times New Roman"/>
          <w:b/>
          <w:sz w:val="24"/>
          <w:szCs w:val="24"/>
        </w:rPr>
        <w:t xml:space="preserve">agree </w:t>
      </w:r>
      <w:r w:rsidRPr="00DB7CAF">
        <w:rPr>
          <w:rFonts w:ascii="Times New Roman" w:hAnsi="Times New Roman"/>
          <w:b/>
          <w:bCs/>
          <w:sz w:val="24"/>
          <w:szCs w:val="24"/>
        </w:rPr>
        <w:t xml:space="preserve">in writing </w:t>
      </w:r>
      <w:r w:rsidRPr="00DB7CAF">
        <w:rPr>
          <w:rFonts w:ascii="Times New Roman" w:hAnsi="Times New Roman"/>
          <w:b/>
          <w:sz w:val="24"/>
          <w:szCs w:val="24"/>
        </w:rPr>
        <w:t xml:space="preserve">to the change. </w:t>
      </w:r>
    </w:p>
    <w:p w14:paraId="1BCC75B2" w14:textId="77777777" w:rsidR="004C2EC5" w:rsidRDefault="004C2EC5" w:rsidP="004C2EC5">
      <w:pPr>
        <w:pStyle w:val="NoSpacing"/>
        <w:rPr>
          <w:rFonts w:ascii="Arial Black" w:hAnsi="Arial Black"/>
          <w:b/>
          <w:bCs/>
          <w:sz w:val="24"/>
          <w:szCs w:val="24"/>
        </w:rPr>
      </w:pPr>
    </w:p>
    <w:p w14:paraId="65D5E237" w14:textId="77777777" w:rsidR="004C2EC5" w:rsidRDefault="004C2EC5" w:rsidP="004C2EC5">
      <w:pPr>
        <w:pStyle w:val="NoSpacing"/>
        <w:rPr>
          <w:rFonts w:ascii="Arial Black" w:hAnsi="Arial Black"/>
          <w:b/>
          <w:bCs/>
          <w:sz w:val="24"/>
          <w:szCs w:val="24"/>
        </w:rPr>
      </w:pPr>
    </w:p>
    <w:p w14:paraId="090D1872" w14:textId="0DCBFDD7" w:rsidR="004C2EC5" w:rsidRDefault="004C2EC5" w:rsidP="004C2EC5">
      <w:pPr>
        <w:pStyle w:val="NoSpacing"/>
        <w:rPr>
          <w:rFonts w:ascii="Arial Black" w:hAnsi="Arial Black"/>
          <w:b/>
          <w:bCs/>
          <w:sz w:val="24"/>
          <w:szCs w:val="24"/>
        </w:rPr>
      </w:pPr>
      <w:r>
        <w:rPr>
          <w:rFonts w:ascii="Arial Black" w:hAnsi="Arial Black"/>
          <w:b/>
          <w:bCs/>
          <w:sz w:val="24"/>
          <w:szCs w:val="24"/>
        </w:rPr>
        <w:t>7-77</w:t>
      </w:r>
    </w:p>
    <w:p w14:paraId="7FA68AD2" w14:textId="77777777" w:rsidR="00DB7CAF" w:rsidRDefault="00DB7CAF" w:rsidP="00BD31D3">
      <w:pPr>
        <w:pStyle w:val="NoSpacing"/>
        <w:rPr>
          <w:rFonts w:ascii="Arial Black" w:hAnsi="Arial Black"/>
          <w:b/>
          <w:bCs/>
          <w:sz w:val="24"/>
          <w:szCs w:val="24"/>
        </w:rPr>
      </w:pPr>
    </w:p>
    <w:p w14:paraId="346B078A" w14:textId="77777777" w:rsidR="004C2EC5" w:rsidRDefault="004C2EC5" w:rsidP="00BD31D3">
      <w:pPr>
        <w:pStyle w:val="NoSpacing"/>
        <w:rPr>
          <w:rFonts w:ascii="Arial Black" w:hAnsi="Arial Black"/>
          <w:b/>
          <w:bCs/>
          <w:sz w:val="24"/>
          <w:szCs w:val="24"/>
        </w:rPr>
      </w:pPr>
    </w:p>
    <w:p w14:paraId="1C3EEDAA" w14:textId="77777777" w:rsidR="00A307BA" w:rsidRPr="00EB6137" w:rsidRDefault="00A307BA" w:rsidP="00A307BA">
      <w:pPr>
        <w:rPr>
          <w:rFonts w:ascii="Arial Black" w:hAnsi="Arial Black"/>
          <w:sz w:val="28"/>
          <w:szCs w:val="28"/>
        </w:rPr>
      </w:pPr>
      <w:r>
        <w:rPr>
          <w:rFonts w:ascii="Arial Black" w:hAnsi="Arial Black"/>
          <w:sz w:val="28"/>
          <w:szCs w:val="28"/>
        </w:rPr>
        <w:t>KS: FEMALE NOT PROMOTED - HR DIDN’T REVIEW SCORES</w:t>
      </w:r>
    </w:p>
    <w:p w14:paraId="291D43F0" w14:textId="35304A21" w:rsidR="00F40B03" w:rsidRPr="005A38AE" w:rsidRDefault="00A307BA" w:rsidP="00A307BA">
      <w:pPr>
        <w:pStyle w:val="NoSpacing"/>
        <w:rPr>
          <w:rFonts w:ascii="Times New Roman" w:hAnsi="Times New Roman"/>
          <w:b/>
          <w:bCs/>
          <w:sz w:val="24"/>
          <w:szCs w:val="24"/>
        </w:rPr>
      </w:pPr>
      <w:r w:rsidRPr="005A38AE">
        <w:rPr>
          <w:rFonts w:ascii="Times New Roman" w:hAnsi="Times New Roman"/>
          <w:sz w:val="24"/>
          <w:szCs w:val="24"/>
        </w:rPr>
        <w:t xml:space="preserve">On May 30, 2025, in </w:t>
      </w:r>
      <w:r w:rsidRPr="005A38AE">
        <w:rPr>
          <w:rFonts w:ascii="Times New Roman" w:hAnsi="Times New Roman"/>
          <w:sz w:val="24"/>
          <w:szCs w:val="24"/>
          <w:u w:val="single"/>
        </w:rPr>
        <w:t>Barbara Hack v. City of Topeka, Kansas</w:t>
      </w:r>
      <w:r w:rsidRPr="005A38AE">
        <w:rPr>
          <w:rFonts w:ascii="Times New Roman" w:hAnsi="Times New Roman"/>
          <w:sz w:val="24"/>
          <w:szCs w:val="24"/>
        </w:rPr>
        <w:t xml:space="preserve">, U.S. District Court Judge Julie A. Robinson, United States District Court for the District of Kansas, denied the City’s motion for summary judgment; retired Captain Hack can now proceed to jury trial.  “In sum, the Court finds that the City’s failure to utilize H.R. during the promotion process is the type of procedural irregularity that calls into question whether the City’s stated reason for failing to promote Plaintiff is a pretext for discrimination.”  In 2022, the Fire Department had several senior management positions open, including four District Chief positions.  </w:t>
      </w:r>
      <w:proofErr w:type="gramStart"/>
      <w:r w:rsidRPr="005A38AE">
        <w:rPr>
          <w:rFonts w:ascii="Times New Roman" w:hAnsi="Times New Roman"/>
          <w:sz w:val="24"/>
          <w:szCs w:val="24"/>
        </w:rPr>
        <w:t>So</w:t>
      </w:r>
      <w:proofErr w:type="gramEnd"/>
      <w:r w:rsidRPr="005A38AE">
        <w:rPr>
          <w:rFonts w:ascii="Times New Roman" w:hAnsi="Times New Roman"/>
          <w:sz w:val="24"/>
          <w:szCs w:val="24"/>
        </w:rPr>
        <w:t xml:space="preserve"> Fire Chief decided to “streamline” the process, where one Panel would consider all seven applicants for the four positions, instead holding four separate promotion Panel interviews. The Panel included one internal member (Deputy Fire Chief Antony Standifer) and three external </w:t>
      </w:r>
      <w:proofErr w:type="gramStart"/>
      <w:r w:rsidRPr="005A38AE">
        <w:rPr>
          <w:rFonts w:ascii="Times New Roman" w:hAnsi="Times New Roman"/>
          <w:sz w:val="24"/>
          <w:szCs w:val="24"/>
        </w:rPr>
        <w:t>member</w:t>
      </w:r>
      <w:proofErr w:type="gramEnd"/>
      <w:r w:rsidRPr="005A38AE">
        <w:rPr>
          <w:rFonts w:ascii="Times New Roman" w:hAnsi="Times New Roman"/>
          <w:sz w:val="24"/>
          <w:szCs w:val="24"/>
        </w:rPr>
        <w:t xml:space="preserve"> (an attorney / former counsel for union; retired Kansas City Fire Chief; Deputy Fire Chief of Olathe Fire Department) and they rated Plaintiff 6</w:t>
      </w:r>
      <w:r w:rsidRPr="005A38AE">
        <w:rPr>
          <w:rFonts w:ascii="Times New Roman" w:hAnsi="Times New Roman"/>
          <w:sz w:val="24"/>
          <w:szCs w:val="24"/>
          <w:vertAlign w:val="superscript"/>
        </w:rPr>
        <w:t>th</w:t>
      </w:r>
      <w:r w:rsidRPr="005A38AE">
        <w:rPr>
          <w:rFonts w:ascii="Times New Roman" w:hAnsi="Times New Roman"/>
          <w:sz w:val="24"/>
          <w:szCs w:val="24"/>
        </w:rPr>
        <w:t xml:space="preserve"> of the 7 candidates (score of 131; top four were 171, 168, 164, 161).  The Director of HR testified that scores by Deputy Fire Chief Standifer would be “outliers” had H.R. reviewed them before the offers were made; he scored plaintiff only 23, compared to her ratings by others of 41, 34. 34]. THE COURT HELD: “However, when the totality of the evidence is reviewed, including the minimal role played by the City’s H.R. department, a reasonable jury could determine that the City’s stated reason for not promoting Plaintiff is pretext for gender discrimination…. H.R. was not used to </w:t>
      </w:r>
      <w:proofErr w:type="gramStart"/>
      <w:r w:rsidRPr="005A38AE">
        <w:rPr>
          <w:rFonts w:ascii="Times New Roman" w:hAnsi="Times New Roman"/>
          <w:sz w:val="24"/>
          <w:szCs w:val="24"/>
        </w:rPr>
        <w:t>review</w:t>
      </w:r>
      <w:proofErr w:type="gramEnd"/>
      <w:r w:rsidRPr="005A38AE">
        <w:rPr>
          <w:rFonts w:ascii="Times New Roman" w:hAnsi="Times New Roman"/>
          <w:sz w:val="24"/>
          <w:szCs w:val="24"/>
        </w:rPr>
        <w:t xml:space="preserve"> the interview questions or interview packets. H.R. was not used to review or provide Phillips with the applicants’ disciplinary histories. H.R. was not used to review the selections before job offers were made.”  </w:t>
      </w:r>
      <w:hyperlink r:id="rId1329" w:history="1">
        <w:r w:rsidRPr="005A38AE">
          <w:rPr>
            <w:rStyle w:val="Hyperlink"/>
            <w:rFonts w:ascii="Times New Roman" w:hAnsi="Times New Roman"/>
            <w:sz w:val="24"/>
            <w:szCs w:val="24"/>
          </w:rPr>
          <w:t>https://cases.justia.com/federal/district-courts/kansas/ksdce/2:2023cv02410/149154/93/0.pdf?ts=1748685326</w:t>
        </w:r>
      </w:hyperlink>
    </w:p>
    <w:p w14:paraId="00B463A5" w14:textId="77777777" w:rsidR="00A307BA" w:rsidRPr="005A38AE" w:rsidRDefault="00A307BA" w:rsidP="00F326E5">
      <w:pPr>
        <w:pStyle w:val="NoSpacing"/>
        <w:rPr>
          <w:rFonts w:ascii="Times New Roman" w:hAnsi="Times New Roman"/>
          <w:b/>
          <w:bCs/>
          <w:sz w:val="24"/>
          <w:szCs w:val="24"/>
        </w:rPr>
      </w:pPr>
    </w:p>
    <w:p w14:paraId="6593B960" w14:textId="77777777" w:rsidR="005A38AE" w:rsidRPr="005A38AE" w:rsidRDefault="005A38AE" w:rsidP="005A38AE">
      <w:pPr>
        <w:pStyle w:val="NoSpacing"/>
        <w:rPr>
          <w:rFonts w:ascii="Times New Roman" w:hAnsi="Times New Roman"/>
          <w:b/>
          <w:bCs/>
          <w:sz w:val="24"/>
          <w:szCs w:val="24"/>
        </w:rPr>
      </w:pPr>
      <w:r w:rsidRPr="005A38AE">
        <w:rPr>
          <w:rFonts w:ascii="Times New Roman" w:hAnsi="Times New Roman"/>
          <w:b/>
          <w:sz w:val="24"/>
          <w:szCs w:val="24"/>
        </w:rPr>
        <w:t xml:space="preserve">Legal Lesson learned: </w:t>
      </w:r>
      <w:r w:rsidRPr="005A38AE">
        <w:rPr>
          <w:rFonts w:ascii="Times New Roman" w:hAnsi="Times New Roman"/>
          <w:b/>
          <w:bCs/>
          <w:sz w:val="24"/>
          <w:szCs w:val="24"/>
        </w:rPr>
        <w:t xml:space="preserve">Follow normal promotion process, including </w:t>
      </w:r>
      <w:r w:rsidRPr="005A38AE">
        <w:rPr>
          <w:rFonts w:ascii="Times New Roman" w:hAnsi="Times New Roman"/>
          <w:b/>
          <w:sz w:val="24"/>
          <w:szCs w:val="24"/>
        </w:rPr>
        <w:t xml:space="preserve">HR reviewing Panel scores and providing Fire Chief with disciplinary history of candidates prior to promotion decisions. </w:t>
      </w:r>
    </w:p>
    <w:p w14:paraId="1DBEACFF" w14:textId="77777777" w:rsidR="00A307BA" w:rsidRPr="005A38AE" w:rsidRDefault="00A307BA" w:rsidP="00F326E5">
      <w:pPr>
        <w:pStyle w:val="NoSpacing"/>
        <w:rPr>
          <w:rFonts w:ascii="Times New Roman" w:hAnsi="Times New Roman"/>
          <w:b/>
          <w:bCs/>
          <w:sz w:val="24"/>
          <w:szCs w:val="24"/>
        </w:rPr>
      </w:pPr>
    </w:p>
    <w:p w14:paraId="7EFBC845" w14:textId="77777777" w:rsidR="00A307BA" w:rsidRDefault="00A307BA" w:rsidP="00F326E5">
      <w:pPr>
        <w:pStyle w:val="NoSpacing"/>
        <w:rPr>
          <w:rFonts w:ascii="Arial Black" w:hAnsi="Arial Black"/>
          <w:b/>
          <w:bCs/>
          <w:sz w:val="24"/>
          <w:szCs w:val="24"/>
        </w:rPr>
      </w:pPr>
    </w:p>
    <w:p w14:paraId="19F2C9B6" w14:textId="77777777" w:rsidR="00F40B03" w:rsidRDefault="00F40B03" w:rsidP="00F326E5">
      <w:pPr>
        <w:pStyle w:val="NoSpacing"/>
        <w:rPr>
          <w:rFonts w:ascii="Arial Black" w:hAnsi="Arial Black"/>
          <w:b/>
          <w:bCs/>
          <w:sz w:val="24"/>
          <w:szCs w:val="24"/>
        </w:rPr>
      </w:pPr>
    </w:p>
    <w:p w14:paraId="21104EFC" w14:textId="62C42600" w:rsidR="00571037" w:rsidRDefault="00571037" w:rsidP="00F326E5">
      <w:pPr>
        <w:pStyle w:val="NoSpacing"/>
        <w:rPr>
          <w:rFonts w:ascii="Arial Black" w:hAnsi="Arial Black"/>
          <w:b/>
          <w:bCs/>
          <w:sz w:val="24"/>
          <w:szCs w:val="24"/>
        </w:rPr>
      </w:pPr>
      <w:r>
        <w:rPr>
          <w:rFonts w:ascii="Arial Black" w:hAnsi="Arial Black"/>
          <w:b/>
          <w:bCs/>
          <w:sz w:val="24"/>
          <w:szCs w:val="24"/>
        </w:rPr>
        <w:t>7-76</w:t>
      </w:r>
    </w:p>
    <w:p w14:paraId="4ECDB932" w14:textId="77777777" w:rsidR="00571037" w:rsidRDefault="00571037" w:rsidP="00F326E5">
      <w:pPr>
        <w:pStyle w:val="NoSpacing"/>
        <w:rPr>
          <w:rFonts w:ascii="Arial Black" w:hAnsi="Arial Black"/>
          <w:b/>
          <w:bCs/>
          <w:sz w:val="24"/>
          <w:szCs w:val="24"/>
        </w:rPr>
      </w:pPr>
    </w:p>
    <w:p w14:paraId="3240C7D4" w14:textId="5D0AD8CE" w:rsidR="00F366B5" w:rsidRDefault="00F366B5" w:rsidP="00F366B5">
      <w:pPr>
        <w:pStyle w:val="NoSpacing"/>
        <w:rPr>
          <w:rFonts w:ascii="Arial Black" w:hAnsi="Arial Black"/>
          <w:b/>
          <w:sz w:val="28"/>
          <w:szCs w:val="28"/>
        </w:rPr>
      </w:pPr>
      <w:r w:rsidRPr="006F2B87">
        <w:rPr>
          <w:rFonts w:ascii="Arial Black" w:hAnsi="Arial Black"/>
          <w:b/>
          <w:sz w:val="28"/>
          <w:szCs w:val="28"/>
        </w:rPr>
        <w:t xml:space="preserve">CA: TOPLESS PHOTO – </w:t>
      </w:r>
      <w:r w:rsidR="00D90945">
        <w:rPr>
          <w:rFonts w:ascii="Arial Black" w:hAnsi="Arial Black"/>
          <w:b/>
          <w:sz w:val="28"/>
          <w:szCs w:val="28"/>
        </w:rPr>
        <w:t xml:space="preserve">WAS </w:t>
      </w:r>
      <w:r w:rsidRPr="006F2B87">
        <w:rPr>
          <w:rFonts w:ascii="Arial Black" w:hAnsi="Arial Black"/>
          <w:b/>
          <w:sz w:val="28"/>
          <w:szCs w:val="28"/>
        </w:rPr>
        <w:t xml:space="preserve">NOT </w:t>
      </w:r>
      <w:r w:rsidR="00D90945">
        <w:rPr>
          <w:rFonts w:ascii="Arial Black" w:hAnsi="Arial Black"/>
          <w:b/>
          <w:sz w:val="28"/>
          <w:szCs w:val="28"/>
        </w:rPr>
        <w:t xml:space="preserve">FEMALE </w:t>
      </w:r>
      <w:r w:rsidRPr="006F2B87">
        <w:rPr>
          <w:rFonts w:ascii="Arial Black" w:hAnsi="Arial Black"/>
          <w:b/>
          <w:sz w:val="28"/>
          <w:szCs w:val="28"/>
        </w:rPr>
        <w:t>PD CAPT</w:t>
      </w:r>
      <w:r>
        <w:rPr>
          <w:rFonts w:ascii="Arial Black" w:hAnsi="Arial Black"/>
          <w:b/>
          <w:bCs/>
          <w:sz w:val="28"/>
          <w:szCs w:val="28"/>
        </w:rPr>
        <w:t xml:space="preserve"> – MGT. INACTION </w:t>
      </w:r>
      <w:r w:rsidR="00D90945">
        <w:rPr>
          <w:rFonts w:ascii="Arial Black" w:hAnsi="Arial Black"/>
          <w:b/>
          <w:bCs/>
          <w:sz w:val="28"/>
          <w:szCs w:val="28"/>
        </w:rPr>
        <w:t>–</w:t>
      </w:r>
      <w:r>
        <w:rPr>
          <w:rFonts w:ascii="Arial Black" w:hAnsi="Arial Black"/>
          <w:b/>
          <w:bCs/>
          <w:sz w:val="28"/>
          <w:szCs w:val="28"/>
        </w:rPr>
        <w:t xml:space="preserve"> </w:t>
      </w:r>
      <w:r w:rsidR="00D90945">
        <w:rPr>
          <w:rFonts w:ascii="Arial Black" w:hAnsi="Arial Black"/>
          <w:b/>
          <w:bCs/>
          <w:sz w:val="28"/>
          <w:szCs w:val="28"/>
        </w:rPr>
        <w:t xml:space="preserve">JURY </w:t>
      </w:r>
      <w:r w:rsidRPr="006F2B87">
        <w:rPr>
          <w:rFonts w:ascii="Arial Black" w:hAnsi="Arial Black"/>
          <w:b/>
          <w:sz w:val="28"/>
          <w:szCs w:val="28"/>
        </w:rPr>
        <w:t xml:space="preserve">$4M </w:t>
      </w:r>
    </w:p>
    <w:p w14:paraId="718305C4" w14:textId="77777777" w:rsidR="00300DA5" w:rsidRDefault="00300DA5" w:rsidP="00F366B5">
      <w:pPr>
        <w:pStyle w:val="NoSpacing"/>
        <w:rPr>
          <w:rFonts w:ascii="Times New Roman" w:hAnsi="Times New Roman"/>
          <w:sz w:val="24"/>
          <w:szCs w:val="24"/>
        </w:rPr>
      </w:pPr>
    </w:p>
    <w:p w14:paraId="5AEEC49C" w14:textId="403FFABD" w:rsidR="00F366B5" w:rsidRPr="00F366B5" w:rsidRDefault="00F366B5" w:rsidP="00F366B5">
      <w:pPr>
        <w:pStyle w:val="NoSpacing"/>
        <w:rPr>
          <w:rFonts w:ascii="Times New Roman" w:hAnsi="Times New Roman"/>
          <w:bCs/>
          <w:sz w:val="24"/>
          <w:szCs w:val="24"/>
        </w:rPr>
      </w:pPr>
      <w:r w:rsidRPr="00F366B5">
        <w:rPr>
          <w:rFonts w:ascii="Times New Roman" w:hAnsi="Times New Roman"/>
          <w:sz w:val="24"/>
          <w:szCs w:val="24"/>
        </w:rPr>
        <w:t xml:space="preserve">On May 23, 2025, in </w:t>
      </w:r>
      <w:r w:rsidRPr="00F366B5">
        <w:rPr>
          <w:rFonts w:ascii="Times New Roman" w:hAnsi="Times New Roman"/>
          <w:sz w:val="24"/>
          <w:szCs w:val="24"/>
          <w:u w:val="single"/>
        </w:rPr>
        <w:t>Lillian Carranza v. City of Los Angeles</w:t>
      </w:r>
      <w:r w:rsidRPr="00F366B5">
        <w:rPr>
          <w:rFonts w:ascii="Times New Roman" w:hAnsi="Times New Roman"/>
          <w:sz w:val="24"/>
          <w:szCs w:val="24"/>
        </w:rPr>
        <w:t xml:space="preserve">, the Court of Appeal of California, Second Appellate District (Division Seven) held (3 to 0) that jury properly awarded the LA PD Captain $4 million, plus attorney fees of $610,050.  While the photo was </w:t>
      </w:r>
      <w:proofErr w:type="gramStart"/>
      <w:r w:rsidRPr="00F366B5">
        <w:rPr>
          <w:rFonts w:ascii="Times New Roman" w:hAnsi="Times New Roman"/>
          <w:sz w:val="24"/>
          <w:szCs w:val="24"/>
        </w:rPr>
        <w:t>actually not</w:t>
      </w:r>
      <w:proofErr w:type="gramEnd"/>
      <w:r w:rsidRPr="00F366B5">
        <w:rPr>
          <w:rFonts w:ascii="Times New Roman" w:hAnsi="Times New Roman"/>
          <w:sz w:val="24"/>
          <w:szCs w:val="24"/>
        </w:rPr>
        <w:t xml:space="preserve"> of Captain Carranza, many officers shared the photo and believed it was her.  </w:t>
      </w:r>
    </w:p>
    <w:p w14:paraId="14F96DEA" w14:textId="77777777" w:rsidR="00F366B5" w:rsidRPr="00F366B5" w:rsidRDefault="00F366B5" w:rsidP="00F366B5">
      <w:pPr>
        <w:pStyle w:val="NoSpacing"/>
        <w:rPr>
          <w:rFonts w:ascii="Times New Roman" w:hAnsi="Times New Roman"/>
          <w:bCs/>
          <w:sz w:val="24"/>
          <w:szCs w:val="24"/>
        </w:rPr>
      </w:pPr>
    </w:p>
    <w:p w14:paraId="3FFA6A4C" w14:textId="77777777" w:rsidR="00F366B5" w:rsidRPr="00F366B5" w:rsidRDefault="00F366B5" w:rsidP="00F366B5">
      <w:pPr>
        <w:pStyle w:val="NoSpacing"/>
        <w:rPr>
          <w:rFonts w:ascii="Times New Roman" w:hAnsi="Times New Roman"/>
          <w:bCs/>
          <w:sz w:val="24"/>
          <w:szCs w:val="24"/>
        </w:rPr>
      </w:pPr>
      <w:r w:rsidRPr="00F366B5">
        <w:rPr>
          <w:rFonts w:ascii="Times New Roman" w:hAnsi="Times New Roman"/>
          <w:sz w:val="24"/>
          <w:szCs w:val="24"/>
        </w:rPr>
        <w:t xml:space="preserve">The Court wrote: “On appeal, the City does not challenge the jury’s findings that the challenged conduct was unwelcome, that it occurred because of Carranza’s sex, and that the City failed to take immediate corrective action after learning that on-duty LAPD officers were viewing, electronically sharing, and joking with colleagues about the degrading photo of Carranza. Instead, the City contends only that there was insubstantial evidence that the harassment was sufficiently severe or pervasive to alter the conditions of Carranza’s employment and create an abusive work environment. *** We conclude substantial evidence supported the jury’s determination that Carranza endured severe or pervasive harassment that altered the conditions of her workplace, based on her secondhand knowledge that the photo was widely circulating around the Department.” </w:t>
      </w:r>
    </w:p>
    <w:p w14:paraId="04CCB99C" w14:textId="77777777" w:rsidR="00F366B5" w:rsidRDefault="00F366B5" w:rsidP="00F366B5">
      <w:pPr>
        <w:pStyle w:val="NoSpacing"/>
        <w:rPr>
          <w:rFonts w:ascii="Times New Roman" w:hAnsi="Times New Roman"/>
          <w:sz w:val="24"/>
          <w:szCs w:val="24"/>
        </w:rPr>
      </w:pPr>
      <w:hyperlink r:id="rId1330" w:history="1">
        <w:r w:rsidRPr="00F366B5">
          <w:rPr>
            <w:rStyle w:val="Hyperlink"/>
            <w:rFonts w:ascii="Times New Roman" w:hAnsi="Times New Roman"/>
            <w:sz w:val="24"/>
            <w:szCs w:val="24"/>
          </w:rPr>
          <w:t>https://cases.justia.com/california/court-of-appeal/2025-b327196.pdf?ts=1748039442</w:t>
        </w:r>
      </w:hyperlink>
      <w:r w:rsidRPr="00F366B5">
        <w:rPr>
          <w:rFonts w:ascii="Times New Roman" w:hAnsi="Times New Roman"/>
          <w:sz w:val="24"/>
          <w:szCs w:val="24"/>
        </w:rPr>
        <w:t xml:space="preserve"> </w:t>
      </w:r>
    </w:p>
    <w:p w14:paraId="13E63EFE" w14:textId="77777777" w:rsidR="00F366B5" w:rsidRDefault="00F366B5" w:rsidP="00F366B5">
      <w:pPr>
        <w:pStyle w:val="NoSpacing"/>
        <w:rPr>
          <w:rFonts w:ascii="Times New Roman" w:hAnsi="Times New Roman"/>
          <w:sz w:val="24"/>
          <w:szCs w:val="24"/>
        </w:rPr>
      </w:pPr>
    </w:p>
    <w:p w14:paraId="4D06125C" w14:textId="77777777" w:rsidR="004B09B1" w:rsidRPr="004B09B1" w:rsidRDefault="004B09B1" w:rsidP="004B09B1">
      <w:pPr>
        <w:pStyle w:val="NoSpacing"/>
        <w:rPr>
          <w:rFonts w:ascii="Times New Roman" w:hAnsi="Times New Roman"/>
          <w:b/>
          <w:bCs/>
          <w:sz w:val="24"/>
          <w:szCs w:val="24"/>
        </w:rPr>
      </w:pPr>
      <w:r w:rsidRPr="004B09B1">
        <w:rPr>
          <w:rFonts w:ascii="Times New Roman" w:hAnsi="Times New Roman"/>
          <w:b/>
          <w:sz w:val="24"/>
          <w:szCs w:val="24"/>
        </w:rPr>
        <w:t xml:space="preserve">Legal Lesson Learned: Given the widespread sharing of the photo, LAPD management needed to take prompt corrective action. </w:t>
      </w:r>
    </w:p>
    <w:p w14:paraId="7CFB2B3C" w14:textId="77777777" w:rsidR="004B09B1" w:rsidRPr="006F2B87" w:rsidRDefault="004B09B1" w:rsidP="004B09B1">
      <w:pPr>
        <w:pStyle w:val="NoSpacing"/>
      </w:pPr>
    </w:p>
    <w:p w14:paraId="662F98DB" w14:textId="77777777" w:rsidR="00F366B5" w:rsidRPr="00F366B5" w:rsidRDefault="00F366B5" w:rsidP="00F366B5">
      <w:pPr>
        <w:pStyle w:val="NoSpacing"/>
        <w:rPr>
          <w:rFonts w:ascii="Times New Roman" w:hAnsi="Times New Roman"/>
          <w:sz w:val="24"/>
          <w:szCs w:val="24"/>
        </w:rPr>
      </w:pPr>
    </w:p>
    <w:p w14:paraId="505ED953" w14:textId="77777777" w:rsidR="00571037" w:rsidRDefault="00571037" w:rsidP="00F326E5">
      <w:pPr>
        <w:pStyle w:val="NoSpacing"/>
        <w:rPr>
          <w:rFonts w:ascii="Arial Black" w:hAnsi="Arial Black"/>
          <w:b/>
          <w:bCs/>
          <w:sz w:val="24"/>
          <w:szCs w:val="24"/>
        </w:rPr>
      </w:pPr>
    </w:p>
    <w:p w14:paraId="212EF325" w14:textId="4E91F488" w:rsidR="006D679A" w:rsidRDefault="001E56C7" w:rsidP="00F326E5">
      <w:pPr>
        <w:pStyle w:val="NoSpacing"/>
        <w:rPr>
          <w:rFonts w:ascii="Arial Black" w:hAnsi="Arial Black"/>
          <w:b/>
          <w:bCs/>
          <w:sz w:val="24"/>
          <w:szCs w:val="24"/>
        </w:rPr>
      </w:pPr>
      <w:r>
        <w:rPr>
          <w:rFonts w:ascii="Arial Black" w:hAnsi="Arial Black"/>
          <w:b/>
          <w:bCs/>
          <w:sz w:val="24"/>
          <w:szCs w:val="24"/>
        </w:rPr>
        <w:t>7-7</w:t>
      </w:r>
      <w:r w:rsidR="006A6ED6">
        <w:rPr>
          <w:rFonts w:ascii="Arial Black" w:hAnsi="Arial Black"/>
          <w:b/>
          <w:bCs/>
          <w:sz w:val="24"/>
          <w:szCs w:val="24"/>
        </w:rPr>
        <w:t>5</w:t>
      </w:r>
    </w:p>
    <w:p w14:paraId="3EBABEE4" w14:textId="77777777" w:rsidR="001E56C7" w:rsidRDefault="001E56C7" w:rsidP="00F326E5">
      <w:pPr>
        <w:pStyle w:val="NoSpacing"/>
        <w:rPr>
          <w:rFonts w:ascii="Arial Black" w:hAnsi="Arial Black"/>
          <w:b/>
          <w:bCs/>
          <w:sz w:val="24"/>
          <w:szCs w:val="24"/>
        </w:rPr>
      </w:pPr>
    </w:p>
    <w:p w14:paraId="457FA534" w14:textId="77777777" w:rsidR="00A25870" w:rsidRPr="002D3594" w:rsidRDefault="00A25870" w:rsidP="00A25870">
      <w:pPr>
        <w:pStyle w:val="NoSpacing"/>
        <w:rPr>
          <w:rFonts w:ascii="Arial Black" w:hAnsi="Arial Black"/>
          <w:sz w:val="28"/>
          <w:szCs w:val="28"/>
        </w:rPr>
      </w:pPr>
      <w:r>
        <w:rPr>
          <w:rFonts w:ascii="Arial Black" w:hAnsi="Arial Black"/>
          <w:sz w:val="28"/>
          <w:szCs w:val="28"/>
        </w:rPr>
        <w:t xml:space="preserve">OH: FD APPLICANT – ALLEGEDLY RAPED BY RECRUITING LT. </w:t>
      </w:r>
    </w:p>
    <w:p w14:paraId="4CF192BB" w14:textId="77777777" w:rsidR="00A25870" w:rsidRDefault="00A25870" w:rsidP="00A25870">
      <w:pPr>
        <w:pStyle w:val="NoSpacing"/>
      </w:pPr>
    </w:p>
    <w:p w14:paraId="744CE87B" w14:textId="6A96FDC7" w:rsidR="00A25870" w:rsidRPr="001E56C7" w:rsidRDefault="00A25870" w:rsidP="00A25870">
      <w:pPr>
        <w:pStyle w:val="NoSpacing"/>
        <w:rPr>
          <w:rFonts w:ascii="Times New Roman" w:hAnsi="Times New Roman"/>
          <w:b/>
          <w:bCs/>
          <w:sz w:val="24"/>
          <w:szCs w:val="24"/>
        </w:rPr>
      </w:pPr>
      <w:r w:rsidRPr="001E56C7">
        <w:rPr>
          <w:rFonts w:ascii="Times New Roman" w:hAnsi="Times New Roman"/>
          <w:sz w:val="24"/>
          <w:szCs w:val="24"/>
        </w:rPr>
        <w:t xml:space="preserve">On March 19, 2025, in </w:t>
      </w:r>
      <w:r w:rsidRPr="001E56C7">
        <w:rPr>
          <w:rFonts w:ascii="Times New Roman" w:hAnsi="Times New Roman"/>
          <w:sz w:val="24"/>
          <w:szCs w:val="24"/>
          <w:u w:val="single"/>
        </w:rPr>
        <w:t>Rebecca Bryant v. City of Cincinnati, et al</w:t>
      </w:r>
      <w:r w:rsidRPr="001E56C7">
        <w:rPr>
          <w:rFonts w:ascii="Times New Roman" w:hAnsi="Times New Roman"/>
          <w:sz w:val="24"/>
          <w:szCs w:val="24"/>
        </w:rPr>
        <w:t xml:space="preserve">., U.S. District Court Judge Douglas R. Cole. U.S. District Court for Southern District of Ohio, Western Division, denied the city’s motion to dismiss claims of hostile work atmosphere, based on her allegation that she was raped by a Lieutenant – FD recruiting officer. The Court rejected the city’s argument that the alleged rape occurred before she was hired, and therefore as a non-employee she cannot claim hostile work atmosphere.  “The </w:t>
      </w:r>
      <w:proofErr w:type="gramStart"/>
      <w:r w:rsidRPr="001E56C7">
        <w:rPr>
          <w:rFonts w:ascii="Times New Roman" w:hAnsi="Times New Roman"/>
          <w:sz w:val="24"/>
          <w:szCs w:val="24"/>
        </w:rPr>
        <w:t>City</w:t>
      </w:r>
      <w:proofErr w:type="gramEnd"/>
      <w:r w:rsidRPr="001E56C7">
        <w:rPr>
          <w:rFonts w:ascii="Times New Roman" w:hAnsi="Times New Roman"/>
          <w:sz w:val="24"/>
          <w:szCs w:val="24"/>
        </w:rPr>
        <w:t xml:space="preserve"> next argues that the Court should dismiss Bryant's hostile-work-environment claims because the principal conduct of which she complains occurred while she was an applicant, not an employee…. True, Title VII applies only to employers. And a hostile work environment refers to conditions that an employee experienced during his or her employment…. But here, Bryant </w:t>
      </w:r>
      <w:r w:rsidRPr="001E56C7">
        <w:rPr>
          <w:rFonts w:ascii="Times New Roman" w:hAnsi="Times New Roman"/>
          <w:i/>
          <w:iCs/>
          <w:sz w:val="24"/>
          <w:szCs w:val="24"/>
        </w:rPr>
        <w:t>is</w:t>
      </w:r>
      <w:r w:rsidRPr="001E56C7">
        <w:rPr>
          <w:rFonts w:ascii="Times New Roman" w:hAnsi="Times New Roman"/>
          <w:sz w:val="24"/>
          <w:szCs w:val="24"/>
        </w:rPr>
        <w:t xml:space="preserve"> complaining about her experience as an employee. As noted above, in her Amended Complaint, she points to a host of alleged wrongs that happened to her while she was employed at CFD. True, she also points to the rape, and that occurred while she was an applicant, but that is, at least in part, to provide context for why working with [the Lieutenant] (while she was employed) might constitute a hostile work environment.”  </w:t>
      </w:r>
      <w:hyperlink r:id="rId1331" w:history="1">
        <w:r w:rsidRPr="001E56C7">
          <w:rPr>
            <w:rStyle w:val="Hyperlink"/>
            <w:rFonts w:ascii="Times New Roman" w:hAnsi="Times New Roman"/>
            <w:sz w:val="24"/>
            <w:szCs w:val="24"/>
          </w:rPr>
          <w:t>https://public.fastcase.com/jaEE2PXzRXmZ99jOLMt1IsID3yHeWup657c7MnfFCGnetXQu%2F2QtQOpoVmwfdEc%2F?utm_medium=email&amp;_hsenc=p2ANqtz-_zTSxdS0F5WCwBxFxJfAdL2TYRGfHTDF8aVNcZ9gK5T6kDk6rrKhGST-fn4w1vDtBgvaoCFHlAWmUNSPCbepcJBy8zVw&amp;_hsmi=226712652&amp;utm_content=226712652&amp;utm_source=hs_email</w:t>
        </w:r>
      </w:hyperlink>
    </w:p>
    <w:p w14:paraId="00B8E806" w14:textId="77777777" w:rsidR="0052426F" w:rsidRPr="001E56C7" w:rsidRDefault="0052426F" w:rsidP="00F326E5">
      <w:pPr>
        <w:pStyle w:val="NoSpacing"/>
        <w:rPr>
          <w:rFonts w:ascii="Times New Roman" w:hAnsi="Times New Roman"/>
          <w:b/>
          <w:bCs/>
          <w:sz w:val="24"/>
          <w:szCs w:val="24"/>
        </w:rPr>
      </w:pPr>
    </w:p>
    <w:p w14:paraId="13EED63C" w14:textId="77777777" w:rsidR="006E0FA5" w:rsidRPr="002729C0" w:rsidRDefault="006E0FA5" w:rsidP="006E0FA5">
      <w:pPr>
        <w:pStyle w:val="NoSpacing"/>
        <w:rPr>
          <w:rFonts w:ascii="Times New Roman" w:hAnsi="Times New Roman"/>
          <w:b/>
          <w:bCs/>
          <w:sz w:val="24"/>
          <w:szCs w:val="24"/>
        </w:rPr>
      </w:pPr>
      <w:r w:rsidRPr="002729C0">
        <w:rPr>
          <w:rFonts w:ascii="Times New Roman" w:hAnsi="Times New Roman"/>
          <w:b/>
          <w:sz w:val="24"/>
          <w:szCs w:val="24"/>
        </w:rPr>
        <w:t xml:space="preserve">Legal Lesson Learned: The City promptly </w:t>
      </w:r>
      <w:proofErr w:type="gramStart"/>
      <w:r w:rsidRPr="002729C0">
        <w:rPr>
          <w:rFonts w:ascii="Times New Roman" w:hAnsi="Times New Roman"/>
          <w:b/>
          <w:sz w:val="24"/>
          <w:szCs w:val="24"/>
        </w:rPr>
        <w:t>conducted an investigation</w:t>
      </w:r>
      <w:proofErr w:type="gramEnd"/>
      <w:r w:rsidRPr="002729C0">
        <w:rPr>
          <w:rFonts w:ascii="Times New Roman" w:hAnsi="Times New Roman"/>
          <w:b/>
          <w:sz w:val="24"/>
          <w:szCs w:val="24"/>
        </w:rPr>
        <w:t xml:space="preserve">; the case will now proceed with pre-trial discovery, including a review of the adequacy of the investigation. </w:t>
      </w:r>
    </w:p>
    <w:p w14:paraId="1E65912D" w14:textId="77777777" w:rsidR="0052426F" w:rsidRDefault="0052426F" w:rsidP="00F326E5">
      <w:pPr>
        <w:pStyle w:val="NoSpacing"/>
        <w:rPr>
          <w:rFonts w:ascii="Arial Black" w:hAnsi="Arial Black"/>
          <w:b/>
          <w:bCs/>
          <w:sz w:val="24"/>
          <w:szCs w:val="24"/>
        </w:rPr>
      </w:pPr>
    </w:p>
    <w:p w14:paraId="50F5BC4A" w14:textId="77777777" w:rsidR="00320105" w:rsidRDefault="00320105" w:rsidP="00F326E5">
      <w:pPr>
        <w:pStyle w:val="NoSpacing"/>
        <w:rPr>
          <w:rFonts w:ascii="Arial Black" w:hAnsi="Arial Black"/>
          <w:b/>
          <w:bCs/>
          <w:sz w:val="24"/>
          <w:szCs w:val="24"/>
        </w:rPr>
      </w:pPr>
    </w:p>
    <w:p w14:paraId="5D7DAE6F" w14:textId="0CC08688" w:rsidR="0052426F" w:rsidRDefault="00642CE9" w:rsidP="00F326E5">
      <w:pPr>
        <w:pStyle w:val="NoSpacing"/>
        <w:rPr>
          <w:rFonts w:ascii="Arial Black" w:hAnsi="Arial Black"/>
          <w:b/>
          <w:bCs/>
          <w:sz w:val="24"/>
          <w:szCs w:val="24"/>
        </w:rPr>
      </w:pPr>
      <w:r>
        <w:rPr>
          <w:rFonts w:ascii="Arial Black" w:hAnsi="Arial Black"/>
          <w:b/>
          <w:bCs/>
          <w:sz w:val="24"/>
          <w:szCs w:val="24"/>
        </w:rPr>
        <w:t>7-74</w:t>
      </w:r>
    </w:p>
    <w:p w14:paraId="2628F80B" w14:textId="77777777" w:rsidR="00320105" w:rsidRDefault="00320105" w:rsidP="00642CE9">
      <w:pPr>
        <w:rPr>
          <w:rFonts w:ascii="Arial Black" w:hAnsi="Arial Black"/>
          <w:sz w:val="28"/>
          <w:szCs w:val="28"/>
        </w:rPr>
      </w:pPr>
    </w:p>
    <w:p w14:paraId="0E4714DF" w14:textId="0DB2F9E1" w:rsidR="00642CE9" w:rsidRPr="00D13FB9" w:rsidRDefault="00642CE9" w:rsidP="00642CE9">
      <w:r>
        <w:rPr>
          <w:rFonts w:ascii="Arial Black" w:hAnsi="Arial Black"/>
          <w:sz w:val="28"/>
          <w:szCs w:val="28"/>
        </w:rPr>
        <w:t xml:space="preserve">DE: D/C RAPED CADET – 35 YRS PRISON - FIRE CHIEF SUED </w:t>
      </w:r>
    </w:p>
    <w:p w14:paraId="57F86795" w14:textId="77777777" w:rsidR="00642CE9" w:rsidRPr="000B584F" w:rsidRDefault="00642CE9" w:rsidP="00642CE9">
      <w:pPr>
        <w:pStyle w:val="NoSpacing"/>
        <w:rPr>
          <w:rFonts w:ascii="Times New Roman" w:hAnsi="Times New Roman"/>
          <w:sz w:val="24"/>
          <w:szCs w:val="24"/>
        </w:rPr>
      </w:pPr>
      <w:r w:rsidRPr="000B584F">
        <w:rPr>
          <w:rFonts w:ascii="Times New Roman" w:hAnsi="Times New Roman"/>
          <w:sz w:val="24"/>
          <w:szCs w:val="24"/>
        </w:rPr>
        <w:t xml:space="preserve">On March 5, 2025, in </w:t>
      </w:r>
      <w:r w:rsidRPr="000B584F">
        <w:rPr>
          <w:rFonts w:ascii="Times New Roman" w:hAnsi="Times New Roman"/>
          <w:sz w:val="24"/>
          <w:szCs w:val="24"/>
          <w:u w:val="single"/>
        </w:rPr>
        <w:t>Laura Liebal, as next friend and guardian of M.M., a minor v. Belvedere Fire Company, et al.</w:t>
      </w:r>
      <w:r w:rsidRPr="000B584F">
        <w:rPr>
          <w:rFonts w:ascii="Times New Roman" w:hAnsi="Times New Roman"/>
          <w:sz w:val="24"/>
          <w:szCs w:val="24"/>
        </w:rPr>
        <w:t xml:space="preserve">, Judge Charkes Butler, Superior Court of Delaware, denied the motion to dismiss the Fire Chief and Board members from this lawsuit. “The Amended Complaint alleges that in 2022, M.M., a 15-year-old minor girl, (‘Plaintiff’), volunteered with the Mill Creek Fire Company. During a joint training exercise between the Mill Creek Fire Company and Defendant Belvedere Volunteer Fire </w:t>
      </w:r>
      <w:proofErr w:type="gramStart"/>
      <w:r w:rsidRPr="000B584F">
        <w:rPr>
          <w:rFonts w:ascii="Times New Roman" w:hAnsi="Times New Roman"/>
          <w:sz w:val="24"/>
          <w:szCs w:val="24"/>
        </w:rPr>
        <w:t>Company (‘</w:t>
      </w:r>
      <w:proofErr w:type="gramEnd"/>
      <w:r w:rsidRPr="000B584F">
        <w:rPr>
          <w:rFonts w:ascii="Times New Roman" w:hAnsi="Times New Roman"/>
          <w:sz w:val="24"/>
          <w:szCs w:val="24"/>
        </w:rPr>
        <w:t xml:space="preserve">Belvedere’), the Deputy Fire Chief for Belvedere Dwayne </w:t>
      </w:r>
      <w:proofErr w:type="gramStart"/>
      <w:r w:rsidRPr="000B584F">
        <w:rPr>
          <w:rFonts w:ascii="Times New Roman" w:hAnsi="Times New Roman"/>
          <w:sz w:val="24"/>
          <w:szCs w:val="24"/>
        </w:rPr>
        <w:t>Pearson (‘</w:t>
      </w:r>
      <w:proofErr w:type="gramEnd"/>
      <w:r w:rsidRPr="000B584F">
        <w:rPr>
          <w:rFonts w:ascii="Times New Roman" w:hAnsi="Times New Roman"/>
          <w:sz w:val="24"/>
          <w:szCs w:val="24"/>
        </w:rPr>
        <w:t xml:space="preserve">Pearson’), began ‘flirting’ with Plaintiff. The Belvedere Fire Chief, Robert </w:t>
      </w:r>
      <w:proofErr w:type="gramStart"/>
      <w:r w:rsidRPr="000B584F">
        <w:rPr>
          <w:rFonts w:ascii="Times New Roman" w:hAnsi="Times New Roman"/>
          <w:sz w:val="24"/>
          <w:szCs w:val="24"/>
        </w:rPr>
        <w:t>Johnson (‘</w:t>
      </w:r>
      <w:proofErr w:type="gramEnd"/>
      <w:r w:rsidRPr="000B584F">
        <w:rPr>
          <w:rFonts w:ascii="Times New Roman" w:hAnsi="Times New Roman"/>
          <w:sz w:val="24"/>
          <w:szCs w:val="24"/>
        </w:rPr>
        <w:t xml:space="preserve">Johnson’), observed Pearson’s behavior. Johnson contacted the Mill Creek Fire Company and learned that Plaintiff was 15 years old. Johnson warned Pearson to ‘stay away’ from Plaintiff. But Pearson did not. The Amended Complaint says that Pearson used one of Belvedere’s vehicles to pick up Plaintiff and commit sex crimes on two separate days in August 2022.”  The Court held that while volunteer fire departments and Board members  have immunity, the Fire Chief can be sued personally if they acted with “wanton negligence.” </w:t>
      </w:r>
      <w:hyperlink r:id="rId1332" w:history="1">
        <w:r w:rsidRPr="000B584F">
          <w:rPr>
            <w:rStyle w:val="Hyperlink"/>
            <w:rFonts w:ascii="Times New Roman" w:hAnsi="Times New Roman"/>
            <w:sz w:val="24"/>
            <w:szCs w:val="24"/>
          </w:rPr>
          <w:t>https://cases.justia.com/delaware/superior-court/2025-n24c-08-154-ceb.pdf?ts=1741208566</w:t>
        </w:r>
      </w:hyperlink>
      <w:r w:rsidRPr="000B584F">
        <w:rPr>
          <w:rFonts w:ascii="Times New Roman" w:hAnsi="Times New Roman"/>
          <w:sz w:val="24"/>
          <w:szCs w:val="24"/>
        </w:rPr>
        <w:t xml:space="preserve"> </w:t>
      </w:r>
    </w:p>
    <w:p w14:paraId="01D61DEF" w14:textId="77777777" w:rsidR="00642CE9" w:rsidRPr="000B584F" w:rsidRDefault="00642CE9" w:rsidP="00F326E5">
      <w:pPr>
        <w:pStyle w:val="NoSpacing"/>
        <w:rPr>
          <w:rFonts w:ascii="Times New Roman" w:hAnsi="Times New Roman"/>
          <w:b/>
          <w:bCs/>
          <w:sz w:val="24"/>
          <w:szCs w:val="24"/>
        </w:rPr>
      </w:pPr>
    </w:p>
    <w:p w14:paraId="1F2B39E9" w14:textId="77777777" w:rsidR="000B584F" w:rsidRPr="000B584F" w:rsidRDefault="000B584F" w:rsidP="000B584F">
      <w:pPr>
        <w:pStyle w:val="NoSpacing"/>
        <w:rPr>
          <w:rFonts w:ascii="Times New Roman" w:hAnsi="Times New Roman"/>
          <w:b/>
          <w:sz w:val="24"/>
          <w:szCs w:val="24"/>
        </w:rPr>
      </w:pPr>
      <w:r w:rsidRPr="000B584F">
        <w:rPr>
          <w:rFonts w:ascii="Times New Roman" w:hAnsi="Times New Roman"/>
          <w:b/>
          <w:sz w:val="24"/>
          <w:szCs w:val="24"/>
        </w:rPr>
        <w:t xml:space="preserve">Legal Lesson Learned: Fire Chiefs must be very aggressive in investigating allegations of sexual and other forms of misconduct, particularly involving minors. </w:t>
      </w:r>
    </w:p>
    <w:p w14:paraId="58596986" w14:textId="77777777" w:rsidR="000B584F" w:rsidRPr="000B584F" w:rsidRDefault="000B584F" w:rsidP="000B584F">
      <w:pPr>
        <w:pStyle w:val="NoSpacing"/>
        <w:rPr>
          <w:rFonts w:ascii="Times New Roman" w:hAnsi="Times New Roman"/>
          <w:bCs/>
          <w:sz w:val="24"/>
          <w:szCs w:val="24"/>
        </w:rPr>
      </w:pPr>
    </w:p>
    <w:p w14:paraId="79321743" w14:textId="77777777" w:rsidR="000B584F" w:rsidRPr="000B584F" w:rsidRDefault="000B584F" w:rsidP="000B584F">
      <w:pPr>
        <w:pStyle w:val="NoSpacing"/>
        <w:ind w:left="720"/>
        <w:rPr>
          <w:rFonts w:ascii="Times New Roman" w:hAnsi="Times New Roman"/>
          <w:bCs/>
          <w:sz w:val="24"/>
          <w:szCs w:val="24"/>
        </w:rPr>
      </w:pPr>
      <w:r w:rsidRPr="000B584F">
        <w:rPr>
          <w:rFonts w:ascii="Times New Roman" w:hAnsi="Times New Roman"/>
          <w:sz w:val="24"/>
          <w:szCs w:val="24"/>
        </w:rPr>
        <w:t xml:space="preserve">Note: See June 14, </w:t>
      </w:r>
      <w:proofErr w:type="gramStart"/>
      <w:r w:rsidRPr="000B584F">
        <w:rPr>
          <w:rFonts w:ascii="Times New Roman" w:hAnsi="Times New Roman"/>
          <w:sz w:val="24"/>
          <w:szCs w:val="24"/>
        </w:rPr>
        <w:t>2024</w:t>
      </w:r>
      <w:proofErr w:type="gramEnd"/>
      <w:r w:rsidRPr="000B584F">
        <w:rPr>
          <w:rFonts w:ascii="Times New Roman" w:hAnsi="Times New Roman"/>
          <w:sz w:val="24"/>
          <w:szCs w:val="24"/>
        </w:rPr>
        <w:t xml:space="preserve"> article, “'Tell the truth now': Girl addresses rapist, former deputy fire chief at sentencing.”</w:t>
      </w:r>
    </w:p>
    <w:p w14:paraId="11B36086" w14:textId="77777777" w:rsidR="000B584F" w:rsidRPr="000B584F" w:rsidRDefault="000B584F" w:rsidP="000B584F">
      <w:pPr>
        <w:pStyle w:val="NoSpacing"/>
        <w:ind w:left="720"/>
        <w:rPr>
          <w:rFonts w:ascii="Times New Roman" w:hAnsi="Times New Roman"/>
          <w:bCs/>
          <w:sz w:val="24"/>
          <w:szCs w:val="24"/>
        </w:rPr>
      </w:pPr>
    </w:p>
    <w:p w14:paraId="298ABFD6" w14:textId="77777777" w:rsidR="000B584F" w:rsidRPr="000B584F" w:rsidRDefault="000B584F" w:rsidP="000B584F">
      <w:pPr>
        <w:pStyle w:val="NoSpacing"/>
        <w:ind w:left="1440"/>
        <w:rPr>
          <w:rFonts w:ascii="Times New Roman" w:hAnsi="Times New Roman"/>
          <w:bCs/>
          <w:sz w:val="24"/>
          <w:szCs w:val="24"/>
        </w:rPr>
      </w:pPr>
      <w:r w:rsidRPr="000B584F">
        <w:rPr>
          <w:rFonts w:ascii="Times New Roman" w:hAnsi="Times New Roman"/>
          <w:sz w:val="24"/>
          <w:szCs w:val="24"/>
        </w:rPr>
        <w:t xml:space="preserve">A girl raped by a former Belvedere deputy fire chief asked him in a courtroom Friday to admit what he had done. Her request was made shortly before Dwayne L. Pearson Jr. was sentenced to 35 years in prison for raping the girl he met through his job in 2022. She was 15 at the time of the </w:t>
      </w:r>
      <w:proofErr w:type="gramStart"/>
      <w:r w:rsidRPr="000B584F">
        <w:rPr>
          <w:rFonts w:ascii="Times New Roman" w:hAnsi="Times New Roman"/>
          <w:sz w:val="24"/>
          <w:szCs w:val="24"/>
        </w:rPr>
        <w:t>incidents</w:t>
      </w:r>
      <w:proofErr w:type="gramEnd"/>
      <w:r w:rsidRPr="000B584F">
        <w:rPr>
          <w:rFonts w:ascii="Times New Roman" w:hAnsi="Times New Roman"/>
          <w:sz w:val="24"/>
          <w:szCs w:val="24"/>
        </w:rPr>
        <w:t xml:space="preserve">. ‘Tell the truth now,’ she told the 41-year-old man who did not look at her, "... so I can find peace in my heart.’” </w:t>
      </w:r>
      <w:hyperlink r:id="rId1333" w:history="1">
        <w:r w:rsidRPr="000B584F">
          <w:rPr>
            <w:rStyle w:val="Hyperlink"/>
            <w:rFonts w:ascii="Times New Roman" w:hAnsi="Times New Roman"/>
            <w:sz w:val="24"/>
            <w:szCs w:val="24"/>
          </w:rPr>
          <w:t>https://www.yahoo.com/news/tell-truth-now-girl-addresses-164857744.html</w:t>
        </w:r>
      </w:hyperlink>
      <w:r w:rsidRPr="000B584F">
        <w:rPr>
          <w:rFonts w:ascii="Times New Roman" w:hAnsi="Times New Roman"/>
          <w:sz w:val="24"/>
          <w:szCs w:val="24"/>
        </w:rPr>
        <w:t xml:space="preserve"> </w:t>
      </w:r>
    </w:p>
    <w:p w14:paraId="3996A09C" w14:textId="77777777" w:rsidR="00642CE9" w:rsidRPr="000B584F" w:rsidRDefault="00642CE9" w:rsidP="00F326E5">
      <w:pPr>
        <w:pStyle w:val="NoSpacing"/>
        <w:rPr>
          <w:rFonts w:ascii="Times New Roman" w:hAnsi="Times New Roman"/>
          <w:b/>
          <w:bCs/>
          <w:sz w:val="24"/>
          <w:szCs w:val="24"/>
        </w:rPr>
      </w:pPr>
    </w:p>
    <w:p w14:paraId="24997622" w14:textId="77777777" w:rsidR="00642CE9" w:rsidRDefault="00642CE9" w:rsidP="00F326E5">
      <w:pPr>
        <w:pStyle w:val="NoSpacing"/>
        <w:rPr>
          <w:rFonts w:ascii="Arial Black" w:hAnsi="Arial Black"/>
          <w:b/>
          <w:bCs/>
          <w:sz w:val="24"/>
          <w:szCs w:val="24"/>
        </w:rPr>
      </w:pPr>
    </w:p>
    <w:p w14:paraId="29CAFFE2" w14:textId="77777777" w:rsidR="00642CE9" w:rsidRDefault="00642CE9" w:rsidP="00F326E5">
      <w:pPr>
        <w:pStyle w:val="NoSpacing"/>
        <w:rPr>
          <w:rFonts w:ascii="Arial Black" w:hAnsi="Arial Black"/>
          <w:b/>
          <w:bCs/>
          <w:sz w:val="24"/>
          <w:szCs w:val="24"/>
        </w:rPr>
      </w:pPr>
    </w:p>
    <w:p w14:paraId="4F98C50D" w14:textId="2E55B9F0" w:rsidR="0089221B" w:rsidRDefault="0086464C" w:rsidP="00F326E5">
      <w:pPr>
        <w:pStyle w:val="NoSpacing"/>
        <w:rPr>
          <w:rFonts w:ascii="Arial Black" w:hAnsi="Arial Black"/>
          <w:b/>
          <w:bCs/>
          <w:sz w:val="24"/>
          <w:szCs w:val="24"/>
        </w:rPr>
      </w:pPr>
      <w:r>
        <w:rPr>
          <w:rFonts w:ascii="Arial Black" w:hAnsi="Arial Black"/>
          <w:b/>
          <w:bCs/>
          <w:sz w:val="24"/>
          <w:szCs w:val="24"/>
        </w:rPr>
        <w:t>7-73</w:t>
      </w:r>
    </w:p>
    <w:p w14:paraId="7B4C1105" w14:textId="77777777" w:rsidR="0086464C" w:rsidRDefault="0086464C" w:rsidP="00F326E5">
      <w:pPr>
        <w:pStyle w:val="NoSpacing"/>
        <w:rPr>
          <w:rFonts w:ascii="Arial Black" w:hAnsi="Arial Black"/>
          <w:b/>
          <w:bCs/>
          <w:sz w:val="24"/>
          <w:szCs w:val="24"/>
        </w:rPr>
      </w:pPr>
    </w:p>
    <w:p w14:paraId="3FB93016" w14:textId="77777777" w:rsidR="00785AA7" w:rsidRDefault="007C5936" w:rsidP="007C5936">
      <w:pPr>
        <w:rPr>
          <w:rFonts w:ascii="Arial Black" w:hAnsi="Arial Black"/>
          <w:sz w:val="28"/>
          <w:szCs w:val="28"/>
        </w:rPr>
      </w:pPr>
      <w:r w:rsidRPr="000B7F2C">
        <w:rPr>
          <w:rFonts w:ascii="Arial Black" w:hAnsi="Arial Black"/>
          <w:sz w:val="28"/>
          <w:szCs w:val="28"/>
        </w:rPr>
        <w:t>TX: FEM</w:t>
      </w:r>
      <w:r w:rsidR="00FD5150">
        <w:rPr>
          <w:rFonts w:ascii="Arial Black" w:hAnsi="Arial Black"/>
          <w:sz w:val="28"/>
          <w:szCs w:val="28"/>
        </w:rPr>
        <w:t xml:space="preserve">. </w:t>
      </w:r>
      <w:r w:rsidRPr="000B7F2C">
        <w:rPr>
          <w:rFonts w:ascii="Arial Black" w:hAnsi="Arial Black"/>
          <w:sz w:val="28"/>
          <w:szCs w:val="28"/>
        </w:rPr>
        <w:t>DIR. EMS FIRED</w:t>
      </w:r>
      <w:r w:rsidR="00785AA7">
        <w:rPr>
          <w:rFonts w:ascii="Arial Black" w:hAnsi="Arial Black"/>
          <w:sz w:val="28"/>
          <w:szCs w:val="28"/>
        </w:rPr>
        <w:t xml:space="preserve"> (60s)</w:t>
      </w:r>
      <w:r w:rsidRPr="000B7F2C">
        <w:rPr>
          <w:rFonts w:ascii="Arial Black" w:hAnsi="Arial Black"/>
          <w:sz w:val="28"/>
          <w:szCs w:val="28"/>
        </w:rPr>
        <w:t xml:space="preserve"> – MALE</w:t>
      </w:r>
      <w:r w:rsidR="00785AA7">
        <w:rPr>
          <w:rFonts w:ascii="Arial Black" w:hAnsi="Arial Black"/>
          <w:sz w:val="28"/>
          <w:szCs w:val="28"/>
        </w:rPr>
        <w:t xml:space="preserve"> (35) HIRED</w:t>
      </w:r>
      <w:r w:rsidRPr="000B7F2C">
        <w:rPr>
          <w:rFonts w:ascii="Arial Black" w:hAnsi="Arial Black"/>
          <w:sz w:val="28"/>
          <w:szCs w:val="28"/>
        </w:rPr>
        <w:t xml:space="preserve"> – </w:t>
      </w:r>
      <w:r w:rsidR="00FD5150">
        <w:rPr>
          <w:rFonts w:ascii="Arial Black" w:hAnsi="Arial Black"/>
          <w:sz w:val="28"/>
          <w:szCs w:val="28"/>
        </w:rPr>
        <w:t>CASE PROCEED</w:t>
      </w:r>
    </w:p>
    <w:p w14:paraId="6153AD38" w14:textId="7AC32483" w:rsidR="00785AA7" w:rsidRPr="000B7F2C" w:rsidRDefault="00785AA7" w:rsidP="007C5936">
      <w:pPr>
        <w:rPr>
          <w:rFonts w:ascii="Arial Black" w:hAnsi="Arial Black"/>
          <w:sz w:val="28"/>
          <w:szCs w:val="28"/>
        </w:rPr>
      </w:pPr>
      <w:hyperlink r:id="rId1334" w:history="1">
        <w:r w:rsidRPr="00004FA3">
          <w:rPr>
            <w:rStyle w:val="Hyperlink"/>
            <w:rFonts w:ascii="Times New Roman" w:hAnsi="Times New Roman"/>
            <w:bCs/>
            <w:sz w:val="24"/>
            <w:szCs w:val="24"/>
          </w:rPr>
          <w:t>https://cases.justia.com/federal/district-courts/texas/txsdce/6:2022cv00002/1858056/21/0.pdf?ts=1664555743</w:t>
        </w:r>
      </w:hyperlink>
    </w:p>
    <w:p w14:paraId="11BD5B26" w14:textId="63E583D3" w:rsidR="004C28EA" w:rsidRPr="004C28EA" w:rsidRDefault="007C5936" w:rsidP="007C5936">
      <w:pPr>
        <w:rPr>
          <w:rFonts w:ascii="Times New Roman" w:hAnsi="Times New Roman"/>
          <w:bCs/>
          <w:sz w:val="24"/>
          <w:szCs w:val="24"/>
        </w:rPr>
      </w:pPr>
      <w:r w:rsidRPr="007C5936">
        <w:rPr>
          <w:rFonts w:ascii="Times New Roman" w:hAnsi="Times New Roman"/>
          <w:sz w:val="24"/>
          <w:szCs w:val="24"/>
        </w:rPr>
        <w:t xml:space="preserve">On Feb. 28, 2025, in </w:t>
      </w:r>
      <w:r w:rsidRPr="007C5936">
        <w:rPr>
          <w:rFonts w:ascii="Times New Roman" w:hAnsi="Times New Roman"/>
          <w:sz w:val="24"/>
          <w:szCs w:val="24"/>
          <w:u w:val="single"/>
        </w:rPr>
        <w:t>Debra Fishbeck v. Lavaca County, Texas, et al</w:t>
      </w:r>
      <w:r w:rsidRPr="007C5936">
        <w:rPr>
          <w:rFonts w:ascii="Times New Roman" w:hAnsi="Times New Roman"/>
          <w:sz w:val="24"/>
          <w:szCs w:val="24"/>
        </w:rPr>
        <w:t xml:space="preserve">., United States District Court Judge Drew B. Tipton, U.S. District Court for Southern District of Texas,  Victoria Division, held that the sexual discrimination and age discrimination claims may proceed to trial.  She is in her 60s; her replacement, Michael Furrh, 35-year-old male, was given large salary increase </w:t>
      </w:r>
      <w:proofErr w:type="gramStart"/>
      <w:r w:rsidRPr="007C5936">
        <w:rPr>
          <w:rFonts w:ascii="Times New Roman" w:hAnsi="Times New Roman"/>
          <w:sz w:val="24"/>
          <w:szCs w:val="24"/>
        </w:rPr>
        <w:t>and also</w:t>
      </w:r>
      <w:proofErr w:type="gramEnd"/>
      <w:r w:rsidRPr="007C5936">
        <w:rPr>
          <w:rFonts w:ascii="Times New Roman" w:hAnsi="Times New Roman"/>
          <w:sz w:val="24"/>
          <w:szCs w:val="24"/>
        </w:rPr>
        <w:t xml:space="preserve"> was allowed to hire a Deputy Director with increased budge.  She, however, cannot sue Furrh for libel or slander; he told local newspaper (without naming her) and Board about missing DEA drug license and a problem with bed bugs at station; no proof false or malice on his part.  </w:t>
      </w:r>
      <w:hyperlink r:id="rId1335" w:history="1">
        <w:r w:rsidR="004C28EA" w:rsidRPr="004C28EA">
          <w:rPr>
            <w:rStyle w:val="Hyperlink"/>
            <w:rFonts w:ascii="Times New Roman" w:hAnsi="Times New Roman"/>
            <w:bCs/>
            <w:sz w:val="24"/>
            <w:szCs w:val="24"/>
          </w:rPr>
          <w:t>https://cases.justia.com/federal/district-courts/texas/txsdce/6:2022cv00002/1858056/21/0.pdf?ts=1664555743</w:t>
        </w:r>
      </w:hyperlink>
      <w:r w:rsidR="004C28EA" w:rsidRPr="004C28EA">
        <w:rPr>
          <w:rFonts w:ascii="Times New Roman" w:hAnsi="Times New Roman"/>
          <w:bCs/>
          <w:sz w:val="24"/>
          <w:szCs w:val="24"/>
        </w:rPr>
        <w:t xml:space="preserve"> </w:t>
      </w:r>
    </w:p>
    <w:p w14:paraId="38A41D60" w14:textId="77777777" w:rsidR="007C5936" w:rsidRPr="007C5936" w:rsidRDefault="007C5936" w:rsidP="007C5936">
      <w:pPr>
        <w:pStyle w:val="NoSpacing"/>
        <w:rPr>
          <w:rFonts w:ascii="Times New Roman" w:hAnsi="Times New Roman"/>
          <w:sz w:val="24"/>
          <w:szCs w:val="24"/>
        </w:rPr>
      </w:pPr>
      <w:r w:rsidRPr="007C5936">
        <w:rPr>
          <w:rFonts w:ascii="Times New Roman" w:hAnsi="Times New Roman"/>
          <w:sz w:val="24"/>
          <w:szCs w:val="24"/>
        </w:rPr>
        <w:t xml:space="preserve">The Court wrote: </w:t>
      </w:r>
    </w:p>
    <w:p w14:paraId="0B07BBFA" w14:textId="77777777" w:rsidR="007C5936" w:rsidRPr="007C5936" w:rsidRDefault="007C5936" w:rsidP="007C5936">
      <w:pPr>
        <w:pStyle w:val="NoSpacing"/>
        <w:rPr>
          <w:rFonts w:ascii="Times New Roman" w:hAnsi="Times New Roman"/>
          <w:sz w:val="24"/>
          <w:szCs w:val="24"/>
        </w:rPr>
      </w:pPr>
    </w:p>
    <w:p w14:paraId="42C31FF7" w14:textId="77777777" w:rsidR="007C5936" w:rsidRPr="007C5936" w:rsidRDefault="007C5936" w:rsidP="007C5936">
      <w:pPr>
        <w:pStyle w:val="NoSpacing"/>
        <w:ind w:left="720"/>
        <w:rPr>
          <w:rFonts w:ascii="Times New Roman" w:hAnsi="Times New Roman"/>
          <w:sz w:val="24"/>
          <w:szCs w:val="24"/>
        </w:rPr>
      </w:pPr>
      <w:r w:rsidRPr="007C5936">
        <w:rPr>
          <w:rFonts w:ascii="Times New Roman" w:hAnsi="Times New Roman"/>
          <w:sz w:val="24"/>
          <w:szCs w:val="24"/>
        </w:rPr>
        <w:t xml:space="preserve">“Defendants offer the following reasons for Fishbeck's termination, which they allege are legitimate and nondiscriminatory: (1) LCRS's operational revenue declined significantly for three years in a row; (2) LCRS received an unsatisfactory third-party audit of its bookkeeping; (3) an EMT resigned shortly after accepting a job with LCRS because of concerns with the department; (4) Fishbeck did not attend Lavaca County Medical Center meetings for several years; and (5) a lack of cleanliness at LCRS facilities. </w:t>
      </w:r>
    </w:p>
    <w:p w14:paraId="52AE1EC5" w14:textId="77777777" w:rsidR="007C5936" w:rsidRPr="007C5936" w:rsidRDefault="007C5936" w:rsidP="007C5936">
      <w:pPr>
        <w:pStyle w:val="NoSpacing"/>
        <w:rPr>
          <w:rFonts w:ascii="Times New Roman" w:hAnsi="Times New Roman"/>
          <w:sz w:val="24"/>
          <w:szCs w:val="24"/>
        </w:rPr>
      </w:pPr>
    </w:p>
    <w:p w14:paraId="7CDF55D0" w14:textId="77777777" w:rsidR="007C5936" w:rsidRPr="007C5936" w:rsidRDefault="007C5936" w:rsidP="007C5936">
      <w:pPr>
        <w:pStyle w:val="NoSpacing"/>
        <w:ind w:firstLine="720"/>
        <w:rPr>
          <w:rFonts w:ascii="Times New Roman" w:hAnsi="Times New Roman"/>
          <w:sz w:val="24"/>
          <w:szCs w:val="24"/>
        </w:rPr>
      </w:pPr>
      <w:r w:rsidRPr="007C5936">
        <w:rPr>
          <w:rFonts w:ascii="Times New Roman" w:hAnsi="Times New Roman"/>
          <w:sz w:val="24"/>
          <w:szCs w:val="24"/>
        </w:rPr>
        <w:t>***</w:t>
      </w:r>
    </w:p>
    <w:p w14:paraId="1EEBFC22" w14:textId="77777777" w:rsidR="007C5936" w:rsidRPr="007C5936" w:rsidRDefault="007C5936" w:rsidP="007C5936">
      <w:pPr>
        <w:pStyle w:val="NoSpacing"/>
        <w:rPr>
          <w:rFonts w:ascii="Times New Roman" w:hAnsi="Times New Roman"/>
          <w:sz w:val="24"/>
          <w:szCs w:val="24"/>
        </w:rPr>
      </w:pPr>
    </w:p>
    <w:p w14:paraId="5E3469A9" w14:textId="77777777" w:rsidR="007C5936" w:rsidRPr="007C5936" w:rsidRDefault="007C5936" w:rsidP="007C5936">
      <w:pPr>
        <w:pStyle w:val="NoSpacing"/>
        <w:ind w:left="720"/>
        <w:rPr>
          <w:rFonts w:ascii="Times New Roman" w:hAnsi="Times New Roman"/>
          <w:sz w:val="24"/>
          <w:szCs w:val="24"/>
        </w:rPr>
      </w:pPr>
      <w:r w:rsidRPr="007C5936">
        <w:rPr>
          <w:rFonts w:ascii="Times New Roman" w:hAnsi="Times New Roman"/>
          <w:sz w:val="24"/>
          <w:szCs w:val="24"/>
        </w:rPr>
        <w:t>Yet after they hired Furrh, he was given every resource (and more) that Fishbeck requested to fix those very deficiencies in the department. (</w:t>
      </w:r>
      <w:r w:rsidRPr="007C5936">
        <w:rPr>
          <w:rFonts w:ascii="Times New Roman" w:hAnsi="Times New Roman"/>
          <w:i/>
          <w:iCs/>
          <w:sz w:val="24"/>
          <w:szCs w:val="24"/>
        </w:rPr>
        <w:t>Id.</w:t>
      </w:r>
      <w:r w:rsidRPr="007C5936">
        <w:rPr>
          <w:rFonts w:ascii="Times New Roman" w:hAnsi="Times New Roman"/>
          <w:sz w:val="24"/>
          <w:szCs w:val="24"/>
        </w:rPr>
        <w:t xml:space="preserve"> at 4-5). In other words, Defendants knew about LCRS's problems, did not give Fishbeck the tools to succeed, and only considered the problems a terminable offense because they wanted to replace her with a man-one whom they equipped with the same resources they withheld from her…. Fishbeck's evidence, when viewed in the light most favorable to her, shows a genuine dispute about whether Defendants' proffered reasons are a pretext.</w:t>
      </w:r>
    </w:p>
    <w:p w14:paraId="1BC652E9" w14:textId="77777777" w:rsidR="007C5936" w:rsidRPr="007C5936" w:rsidRDefault="007C5936" w:rsidP="007C5936">
      <w:pPr>
        <w:pStyle w:val="NoSpacing"/>
        <w:rPr>
          <w:rFonts w:ascii="Times New Roman" w:hAnsi="Times New Roman"/>
          <w:sz w:val="24"/>
          <w:szCs w:val="24"/>
        </w:rPr>
      </w:pPr>
    </w:p>
    <w:p w14:paraId="2267784F" w14:textId="77777777" w:rsidR="007C5936" w:rsidRPr="007C5936" w:rsidRDefault="007C5936" w:rsidP="007C5936">
      <w:pPr>
        <w:pStyle w:val="NoSpacing"/>
        <w:ind w:firstLine="720"/>
        <w:rPr>
          <w:rFonts w:ascii="Times New Roman" w:hAnsi="Times New Roman"/>
          <w:sz w:val="24"/>
          <w:szCs w:val="24"/>
        </w:rPr>
      </w:pPr>
      <w:r w:rsidRPr="007C5936">
        <w:rPr>
          <w:rFonts w:ascii="Times New Roman" w:hAnsi="Times New Roman"/>
          <w:sz w:val="24"/>
          <w:szCs w:val="24"/>
        </w:rPr>
        <w:t>***</w:t>
      </w:r>
    </w:p>
    <w:p w14:paraId="767F22FF" w14:textId="77777777" w:rsidR="007C5936" w:rsidRPr="007C5936" w:rsidRDefault="007C5936" w:rsidP="007C5936">
      <w:pPr>
        <w:pStyle w:val="NoSpacing"/>
        <w:rPr>
          <w:rFonts w:ascii="Times New Roman" w:hAnsi="Times New Roman"/>
          <w:sz w:val="24"/>
          <w:szCs w:val="24"/>
        </w:rPr>
      </w:pPr>
    </w:p>
    <w:p w14:paraId="066E889A" w14:textId="77777777" w:rsidR="007C5936" w:rsidRPr="007C5936" w:rsidRDefault="007C5936" w:rsidP="007C5936">
      <w:pPr>
        <w:pStyle w:val="NoSpacing"/>
        <w:ind w:left="720"/>
        <w:rPr>
          <w:rFonts w:ascii="Times New Roman" w:hAnsi="Times New Roman"/>
          <w:sz w:val="24"/>
          <w:szCs w:val="24"/>
        </w:rPr>
      </w:pPr>
      <w:r w:rsidRPr="007C5936">
        <w:rPr>
          <w:rFonts w:ascii="Times New Roman" w:hAnsi="Times New Roman"/>
          <w:sz w:val="24"/>
          <w:szCs w:val="24"/>
        </w:rPr>
        <w:t>Fishbeck also offers the Lavaca County 2021 Fiscal Year Budget as evidence of disparate treatment between her and Furrh…. Among other things, the budget shows that the salary for the LCRS Director increased 27.73% after Fishbeck was fired. (</w:t>
      </w:r>
      <w:r w:rsidRPr="007C5936">
        <w:rPr>
          <w:rFonts w:ascii="Times New Roman" w:hAnsi="Times New Roman"/>
          <w:i/>
          <w:iCs/>
          <w:sz w:val="24"/>
          <w:szCs w:val="24"/>
        </w:rPr>
        <w:t>Id.</w:t>
      </w:r>
      <w:r w:rsidRPr="007C5936">
        <w:rPr>
          <w:rFonts w:ascii="Times New Roman" w:hAnsi="Times New Roman"/>
          <w:sz w:val="24"/>
          <w:szCs w:val="24"/>
        </w:rPr>
        <w:t xml:space="preserve"> at 3</w:t>
      </w:r>
      <w:proofErr w:type="gramStart"/>
      <w:r w:rsidRPr="007C5936">
        <w:rPr>
          <w:rFonts w:ascii="Times New Roman" w:hAnsi="Times New Roman"/>
          <w:sz w:val="24"/>
          <w:szCs w:val="24"/>
        </w:rPr>
        <w:t>);…</w:t>
      </w:r>
      <w:proofErr w:type="gramEnd"/>
      <w:r w:rsidRPr="007C5936">
        <w:rPr>
          <w:rFonts w:ascii="Times New Roman" w:hAnsi="Times New Roman"/>
          <w:sz w:val="24"/>
          <w:szCs w:val="24"/>
        </w:rPr>
        <w:t xml:space="preserve"> Fishbeck was paid $58,718 annually, while Furrh was paid $75,000….Fishbeck was not allotted a budget for an assistant; but in FY 2021, the Commissioners Court approved an allocation of $64,500 to hire an LCRS Assistant Director</w:t>
      </w:r>
      <w:proofErr w:type="gramStart"/>
      <w:r w:rsidRPr="007C5936">
        <w:rPr>
          <w:rFonts w:ascii="Times New Roman" w:hAnsi="Times New Roman"/>
          <w:sz w:val="24"/>
          <w:szCs w:val="24"/>
        </w:rPr>
        <w:t>…..</w:t>
      </w:r>
      <w:proofErr w:type="gramEnd"/>
      <w:r w:rsidRPr="007C5936">
        <w:rPr>
          <w:rFonts w:ascii="Times New Roman" w:hAnsi="Times New Roman"/>
          <w:sz w:val="24"/>
          <w:szCs w:val="24"/>
        </w:rPr>
        <w:t xml:space="preserve"> Fishbeck received no financial support from the County's General Fund to supplement LCRS's operations; but in 2021, the Commissioners Court approved a $1,000,000 transfer to supplement LCRS's revenue for Furrh.</w:t>
      </w:r>
    </w:p>
    <w:p w14:paraId="597B2814" w14:textId="77777777" w:rsidR="007C5936" w:rsidRPr="007C5936" w:rsidRDefault="007C5936" w:rsidP="007C5936">
      <w:pPr>
        <w:pStyle w:val="NoSpacing"/>
        <w:rPr>
          <w:rFonts w:ascii="Times New Roman" w:hAnsi="Times New Roman"/>
          <w:sz w:val="24"/>
          <w:szCs w:val="24"/>
        </w:rPr>
      </w:pPr>
    </w:p>
    <w:p w14:paraId="64BD6094" w14:textId="77777777" w:rsidR="007C5936" w:rsidRPr="007C5936" w:rsidRDefault="007C5936" w:rsidP="007C5936">
      <w:pPr>
        <w:pStyle w:val="NoSpacing"/>
        <w:ind w:firstLine="720"/>
        <w:rPr>
          <w:rFonts w:ascii="Times New Roman" w:hAnsi="Times New Roman"/>
          <w:sz w:val="24"/>
          <w:szCs w:val="24"/>
        </w:rPr>
      </w:pPr>
      <w:r w:rsidRPr="007C5936">
        <w:rPr>
          <w:rFonts w:ascii="Times New Roman" w:hAnsi="Times New Roman"/>
          <w:sz w:val="24"/>
          <w:szCs w:val="24"/>
        </w:rPr>
        <w:t>***</w:t>
      </w:r>
    </w:p>
    <w:p w14:paraId="502EFB63" w14:textId="77777777" w:rsidR="007C5936" w:rsidRPr="007C5936" w:rsidRDefault="007C5936" w:rsidP="007C5936">
      <w:pPr>
        <w:pStyle w:val="NoSpacing"/>
        <w:rPr>
          <w:rFonts w:ascii="Times New Roman" w:hAnsi="Times New Roman"/>
          <w:sz w:val="24"/>
          <w:szCs w:val="24"/>
        </w:rPr>
      </w:pPr>
    </w:p>
    <w:p w14:paraId="356ED4D7" w14:textId="77777777" w:rsidR="007C5936" w:rsidRPr="007C5936" w:rsidRDefault="007C5936" w:rsidP="007C5936">
      <w:pPr>
        <w:pStyle w:val="NoSpacing"/>
        <w:ind w:left="720"/>
        <w:rPr>
          <w:rFonts w:ascii="Times New Roman" w:hAnsi="Times New Roman"/>
          <w:sz w:val="24"/>
          <w:szCs w:val="24"/>
        </w:rPr>
      </w:pPr>
      <w:r w:rsidRPr="007C5936">
        <w:rPr>
          <w:rFonts w:ascii="Times New Roman" w:hAnsi="Times New Roman"/>
          <w:sz w:val="24"/>
          <w:szCs w:val="24"/>
        </w:rPr>
        <w:t>As discussed above, Fishbeck has made out her prima facie case of intentional sex discrimination under Title VII and satisfied her burden of disputing Defendants' reasons for firing her.”</w:t>
      </w:r>
    </w:p>
    <w:p w14:paraId="77E807B4" w14:textId="77777777" w:rsidR="007C5936" w:rsidRPr="007C5936" w:rsidRDefault="007C5936" w:rsidP="007C5936">
      <w:pPr>
        <w:pStyle w:val="NoSpacing"/>
        <w:rPr>
          <w:rFonts w:ascii="Times New Roman" w:hAnsi="Times New Roman"/>
          <w:sz w:val="24"/>
          <w:szCs w:val="24"/>
        </w:rPr>
      </w:pPr>
    </w:p>
    <w:p w14:paraId="1B7C8F29" w14:textId="77777777" w:rsidR="007C5936" w:rsidRPr="007C5936" w:rsidRDefault="007C5936" w:rsidP="007C5936">
      <w:pPr>
        <w:pStyle w:val="NoSpacing"/>
        <w:rPr>
          <w:rFonts w:ascii="Times New Roman" w:hAnsi="Times New Roman"/>
          <w:b/>
          <w:bCs/>
          <w:sz w:val="24"/>
          <w:szCs w:val="24"/>
        </w:rPr>
      </w:pPr>
      <w:r w:rsidRPr="007C5936">
        <w:rPr>
          <w:rFonts w:ascii="Times New Roman" w:hAnsi="Times New Roman"/>
          <w:b/>
          <w:sz w:val="24"/>
          <w:szCs w:val="24"/>
        </w:rPr>
        <w:t>Legal Lesson Learned:  Giving 27% increase in salary to younger new hire ($75,000 v. $58,718) is certainly a “red flag” for a jury.  The case will now proceed to trial</w:t>
      </w:r>
      <w:r w:rsidRPr="007C5936">
        <w:rPr>
          <w:rFonts w:ascii="Times New Roman" w:hAnsi="Times New Roman"/>
          <w:b/>
          <w:bCs/>
          <w:sz w:val="24"/>
          <w:szCs w:val="24"/>
        </w:rPr>
        <w:t>.</w:t>
      </w:r>
    </w:p>
    <w:p w14:paraId="1D3208D4" w14:textId="77777777" w:rsidR="0086464C" w:rsidRPr="007C5936" w:rsidRDefault="0086464C" w:rsidP="00F326E5">
      <w:pPr>
        <w:pStyle w:val="NoSpacing"/>
        <w:rPr>
          <w:rFonts w:ascii="Times New Roman" w:hAnsi="Times New Roman"/>
          <w:b/>
          <w:bCs/>
          <w:sz w:val="24"/>
          <w:szCs w:val="24"/>
        </w:rPr>
      </w:pPr>
    </w:p>
    <w:p w14:paraId="6533EEB9" w14:textId="77777777" w:rsidR="0089221B" w:rsidRPr="007C5936" w:rsidRDefault="0089221B" w:rsidP="00F326E5">
      <w:pPr>
        <w:pStyle w:val="NoSpacing"/>
        <w:rPr>
          <w:rFonts w:ascii="Times New Roman" w:hAnsi="Times New Roman"/>
          <w:b/>
          <w:bCs/>
          <w:sz w:val="24"/>
          <w:szCs w:val="24"/>
        </w:rPr>
      </w:pPr>
    </w:p>
    <w:p w14:paraId="618C2FD1" w14:textId="77777777" w:rsidR="0089221B" w:rsidRDefault="0089221B" w:rsidP="00F326E5">
      <w:pPr>
        <w:pStyle w:val="NoSpacing"/>
        <w:rPr>
          <w:rFonts w:ascii="Arial Black" w:hAnsi="Arial Black"/>
          <w:b/>
          <w:bCs/>
          <w:sz w:val="24"/>
          <w:szCs w:val="24"/>
        </w:rPr>
      </w:pPr>
    </w:p>
    <w:p w14:paraId="68FB15DE" w14:textId="145A26B8" w:rsidR="00A84216" w:rsidRDefault="00A84216" w:rsidP="00F326E5">
      <w:pPr>
        <w:pStyle w:val="NoSpacing"/>
        <w:rPr>
          <w:rFonts w:ascii="Arial Black" w:hAnsi="Arial Black"/>
          <w:b/>
          <w:bCs/>
          <w:sz w:val="24"/>
          <w:szCs w:val="24"/>
        </w:rPr>
      </w:pPr>
      <w:r>
        <w:rPr>
          <w:rFonts w:ascii="Arial Black" w:hAnsi="Arial Black"/>
          <w:b/>
          <w:bCs/>
          <w:sz w:val="24"/>
          <w:szCs w:val="24"/>
        </w:rPr>
        <w:t>7-72</w:t>
      </w:r>
    </w:p>
    <w:p w14:paraId="51D6BECF" w14:textId="77777777" w:rsidR="00A84216" w:rsidRDefault="00A84216" w:rsidP="00F326E5">
      <w:pPr>
        <w:pStyle w:val="NoSpacing"/>
        <w:rPr>
          <w:rFonts w:ascii="Arial Black" w:hAnsi="Arial Black"/>
          <w:b/>
          <w:bCs/>
          <w:sz w:val="24"/>
          <w:szCs w:val="24"/>
        </w:rPr>
      </w:pPr>
    </w:p>
    <w:p w14:paraId="522704EB" w14:textId="77777777" w:rsidR="0089221B" w:rsidRPr="000B7F2C" w:rsidRDefault="0089221B" w:rsidP="0089221B">
      <w:pPr>
        <w:rPr>
          <w:rFonts w:ascii="Arial Black" w:hAnsi="Arial Black"/>
          <w:sz w:val="28"/>
          <w:szCs w:val="28"/>
        </w:rPr>
      </w:pPr>
      <w:r w:rsidRPr="000B7F2C">
        <w:rPr>
          <w:rFonts w:ascii="Arial Black" w:hAnsi="Arial Black"/>
          <w:sz w:val="28"/>
          <w:szCs w:val="28"/>
        </w:rPr>
        <w:t>NY: FIRED</w:t>
      </w:r>
      <w:r>
        <w:rPr>
          <w:rFonts w:ascii="Arial Black" w:hAnsi="Arial Black"/>
          <w:sz w:val="28"/>
          <w:szCs w:val="28"/>
        </w:rPr>
        <w:t xml:space="preserve"> - </w:t>
      </w:r>
      <w:r w:rsidRPr="000B7F2C">
        <w:rPr>
          <w:rFonts w:ascii="Arial Black" w:hAnsi="Arial Black"/>
          <w:sz w:val="28"/>
          <w:szCs w:val="28"/>
        </w:rPr>
        <w:t>PROTOCOL C</w:t>
      </w:r>
      <w:r>
        <w:rPr>
          <w:rFonts w:ascii="Arial Black" w:hAnsi="Arial Black"/>
          <w:sz w:val="28"/>
          <w:szCs w:val="28"/>
        </w:rPr>
        <w:t xml:space="preserve">OURSE </w:t>
      </w:r>
      <w:r w:rsidRPr="000B7F2C">
        <w:rPr>
          <w:rFonts w:ascii="Arial Black" w:hAnsi="Arial Black"/>
          <w:sz w:val="28"/>
          <w:szCs w:val="28"/>
        </w:rPr>
        <w:t xml:space="preserve"> - </w:t>
      </w:r>
      <w:r>
        <w:rPr>
          <w:rFonts w:ascii="Arial Black" w:hAnsi="Arial Black"/>
          <w:sz w:val="28"/>
          <w:szCs w:val="28"/>
        </w:rPr>
        <w:t>NOT HOSTILE WORK</w:t>
      </w:r>
    </w:p>
    <w:p w14:paraId="3DF47C12" w14:textId="77777777" w:rsidR="0089221B" w:rsidRPr="0089221B" w:rsidRDefault="0089221B" w:rsidP="0089221B">
      <w:pPr>
        <w:rPr>
          <w:rFonts w:ascii="Times New Roman" w:hAnsi="Times New Roman"/>
          <w:sz w:val="24"/>
          <w:szCs w:val="24"/>
        </w:rPr>
      </w:pPr>
      <w:r w:rsidRPr="0089221B">
        <w:rPr>
          <w:rFonts w:ascii="Times New Roman" w:hAnsi="Times New Roman"/>
          <w:sz w:val="24"/>
          <w:szCs w:val="24"/>
        </w:rPr>
        <w:t xml:space="preserve">On Feb. 17, 2025, in </w:t>
      </w:r>
      <w:r w:rsidRPr="0089221B">
        <w:rPr>
          <w:rFonts w:ascii="Times New Roman" w:hAnsi="Times New Roman"/>
          <w:sz w:val="24"/>
          <w:szCs w:val="24"/>
          <w:u w:val="single"/>
        </w:rPr>
        <w:t>Marcia Parke v. Assist Ambulance</w:t>
      </w:r>
      <w:r w:rsidRPr="0089221B">
        <w:rPr>
          <w:rFonts w:ascii="Times New Roman" w:hAnsi="Times New Roman"/>
          <w:sz w:val="24"/>
          <w:szCs w:val="24"/>
        </w:rPr>
        <w:t xml:space="preserve">, United States District Court Judge Orelia E. Merchant, U.S. District Court for Eastern District of New York, granted the defense motion to dismiss; she was fired for not completing protocol updated course by Dec. 29, 2020.  Her claims of gender and racial discrimination, retaliation, and hostile work environment dismissed – including  claim that there was a hostile workplace when her Supervisor on December 23, </w:t>
      </w:r>
      <w:proofErr w:type="gramStart"/>
      <w:r w:rsidRPr="0089221B">
        <w:rPr>
          <w:rFonts w:ascii="Times New Roman" w:hAnsi="Times New Roman"/>
          <w:sz w:val="24"/>
          <w:szCs w:val="24"/>
        </w:rPr>
        <w:t>2020</w:t>
      </w:r>
      <w:proofErr w:type="gramEnd"/>
      <w:r w:rsidRPr="0089221B">
        <w:rPr>
          <w:rFonts w:ascii="Times New Roman" w:hAnsi="Times New Roman"/>
          <w:sz w:val="24"/>
          <w:szCs w:val="24"/>
        </w:rPr>
        <w:t xml:space="preserve"> ordered to take off her work jacket to confirm she was not wearing uniform shirt.  She had on “low cut” tee shirt.  </w:t>
      </w:r>
      <w:hyperlink r:id="rId1336" w:history="1">
        <w:r w:rsidRPr="0089221B">
          <w:rPr>
            <w:rStyle w:val="Hyperlink"/>
            <w:rFonts w:ascii="Times New Roman" w:hAnsi="Times New Roman"/>
            <w:sz w:val="24"/>
            <w:szCs w:val="24"/>
          </w:rPr>
          <w:t>https://cases.justia.com/federal/district-courts/new-york/nyedce/1:2023cv09066/507538/25/0.pdf?ts=1739862975%20https://media.cadc.uscourts.gov/orders/docs/2025/02/25-5028LDSD.pdf</w:t>
        </w:r>
      </w:hyperlink>
      <w:r w:rsidRPr="0089221B">
        <w:rPr>
          <w:rFonts w:ascii="Times New Roman" w:hAnsi="Times New Roman"/>
          <w:sz w:val="24"/>
          <w:szCs w:val="24"/>
        </w:rPr>
        <w:t xml:space="preserve"> </w:t>
      </w:r>
    </w:p>
    <w:p w14:paraId="67488A11" w14:textId="77777777" w:rsidR="0089221B" w:rsidRPr="0089221B" w:rsidRDefault="0089221B" w:rsidP="0089221B">
      <w:pPr>
        <w:rPr>
          <w:rFonts w:ascii="Times New Roman" w:hAnsi="Times New Roman"/>
          <w:sz w:val="24"/>
          <w:szCs w:val="24"/>
        </w:rPr>
      </w:pPr>
      <w:r w:rsidRPr="0089221B">
        <w:rPr>
          <w:rFonts w:ascii="Times New Roman" w:hAnsi="Times New Roman"/>
          <w:sz w:val="24"/>
          <w:szCs w:val="24"/>
        </w:rPr>
        <w:t>The Court wrote:</w:t>
      </w:r>
    </w:p>
    <w:p w14:paraId="64E58B9C" w14:textId="77777777" w:rsidR="0089221B" w:rsidRPr="0089221B" w:rsidRDefault="0089221B" w:rsidP="0089221B">
      <w:pPr>
        <w:pStyle w:val="NoSpacing"/>
        <w:ind w:firstLine="720"/>
        <w:rPr>
          <w:rFonts w:ascii="Times New Roman" w:hAnsi="Times New Roman"/>
          <w:sz w:val="24"/>
          <w:szCs w:val="24"/>
        </w:rPr>
      </w:pPr>
      <w:r w:rsidRPr="0089221B">
        <w:rPr>
          <w:rFonts w:ascii="Times New Roman" w:hAnsi="Times New Roman"/>
          <w:sz w:val="24"/>
          <w:szCs w:val="24"/>
        </w:rPr>
        <w:t>“Plaintiff alleges that, on or about December 23, 2020, she had spilled coffee on her shirt</w:t>
      </w:r>
    </w:p>
    <w:p w14:paraId="5529CCEB" w14:textId="77777777" w:rsidR="0089221B" w:rsidRPr="0089221B" w:rsidRDefault="0089221B" w:rsidP="0089221B">
      <w:pPr>
        <w:pStyle w:val="NoSpacing"/>
        <w:ind w:left="720"/>
        <w:rPr>
          <w:rFonts w:ascii="Times New Roman" w:hAnsi="Times New Roman"/>
          <w:sz w:val="24"/>
          <w:szCs w:val="24"/>
        </w:rPr>
      </w:pPr>
      <w:r w:rsidRPr="0089221B">
        <w:rPr>
          <w:rFonts w:ascii="Times New Roman" w:hAnsi="Times New Roman"/>
          <w:sz w:val="24"/>
          <w:szCs w:val="24"/>
        </w:rPr>
        <w:t>on her way to work and that because the shirt was soaked, she removed it…. While Plaintiff was at work, her supervisor Jason Cohen (“Cohen”) asked her whether she was wearing a work uniform shirt under her jacket….Plaintiff was wearing a ‘low-cut’ t-shirt under her jacket, and she responded that she was not wearing a uniform shirt…. She states that Cohen could have seen that she was not wearing her work uniform, but Cohen nonetheless asked that she unzip her jacket so that he could confirm Plaintiff was not wearing a work uniform shirt and ‘insisted [that] she unzip her jacket more so he could see more.… Plaintiff alleges that Cohen asked her to unzip her jacket a ‘third time’ thereby ‘exposing part of her [upper] breast.’ … Later that day, Plaintiff met with Cohen, Assistant Ambulance employees Carey Peguese [and another]…where she was informed that she would be suspended.</w:t>
      </w:r>
    </w:p>
    <w:p w14:paraId="3FA726C4" w14:textId="77777777" w:rsidR="0089221B" w:rsidRPr="0089221B" w:rsidRDefault="0089221B" w:rsidP="0089221B">
      <w:pPr>
        <w:pStyle w:val="NoSpacing"/>
        <w:rPr>
          <w:rFonts w:ascii="Times New Roman" w:hAnsi="Times New Roman"/>
          <w:sz w:val="24"/>
          <w:szCs w:val="24"/>
        </w:rPr>
      </w:pPr>
    </w:p>
    <w:p w14:paraId="0A870D6A" w14:textId="77777777" w:rsidR="0089221B" w:rsidRPr="0089221B" w:rsidRDefault="0089221B" w:rsidP="0089221B">
      <w:pPr>
        <w:pStyle w:val="NoSpacing"/>
        <w:ind w:firstLine="720"/>
        <w:rPr>
          <w:rFonts w:ascii="Times New Roman" w:hAnsi="Times New Roman"/>
          <w:sz w:val="24"/>
          <w:szCs w:val="24"/>
        </w:rPr>
      </w:pPr>
      <w:r w:rsidRPr="0089221B">
        <w:rPr>
          <w:rFonts w:ascii="Times New Roman" w:hAnsi="Times New Roman"/>
          <w:sz w:val="24"/>
          <w:szCs w:val="24"/>
        </w:rPr>
        <w:t>***</w:t>
      </w:r>
    </w:p>
    <w:p w14:paraId="7A1A57AC" w14:textId="77777777" w:rsidR="0089221B" w:rsidRPr="0089221B" w:rsidRDefault="0089221B" w:rsidP="0089221B">
      <w:pPr>
        <w:pStyle w:val="NoSpacing"/>
        <w:rPr>
          <w:rFonts w:ascii="Times New Roman" w:hAnsi="Times New Roman"/>
          <w:sz w:val="24"/>
          <w:szCs w:val="24"/>
        </w:rPr>
      </w:pPr>
    </w:p>
    <w:p w14:paraId="5FA25C37" w14:textId="77777777" w:rsidR="0089221B" w:rsidRPr="0089221B" w:rsidRDefault="0089221B" w:rsidP="0089221B">
      <w:pPr>
        <w:pStyle w:val="NoSpacing"/>
        <w:ind w:left="720"/>
        <w:rPr>
          <w:rFonts w:ascii="Times New Roman" w:hAnsi="Times New Roman"/>
          <w:sz w:val="24"/>
          <w:szCs w:val="24"/>
        </w:rPr>
      </w:pPr>
      <w:r w:rsidRPr="0089221B">
        <w:rPr>
          <w:rFonts w:ascii="Times New Roman" w:hAnsi="Times New Roman"/>
          <w:sz w:val="24"/>
          <w:szCs w:val="24"/>
        </w:rPr>
        <w:t>Plaintiff asserts a Title VII sex discrimination claim for harassment on numerous occasions, including the December 23, 2020 incident involving Cohen….to state a claim for hostile work environment, a plaintiff must plead facts that would tend to show the complained of conduct: (1) “is objectively severe or pervasive—that it creates an environment that a reasonable person would find hostile or abusive”; (2) creates an</w:t>
      </w:r>
    </w:p>
    <w:p w14:paraId="72B89832" w14:textId="77777777" w:rsidR="0089221B" w:rsidRPr="0089221B" w:rsidRDefault="0089221B" w:rsidP="0089221B">
      <w:pPr>
        <w:pStyle w:val="NoSpacing"/>
        <w:ind w:left="720"/>
        <w:rPr>
          <w:rFonts w:ascii="Times New Roman" w:hAnsi="Times New Roman"/>
          <w:sz w:val="24"/>
          <w:szCs w:val="24"/>
        </w:rPr>
      </w:pPr>
      <w:r w:rsidRPr="0089221B">
        <w:rPr>
          <w:rFonts w:ascii="Times New Roman" w:hAnsi="Times New Roman"/>
          <w:sz w:val="24"/>
          <w:szCs w:val="24"/>
        </w:rPr>
        <w:t>environment “that the plaintiff subjectively perceives as hostile or abusive”; and (3) ‘creates such an environment because of the plaintiff’s sex.’ Patane v. Clark, 508 F.3d 106, 113 (2d Cir. 2007) (citing Gregory v. Daly, 243 F.3d 687, 691–92 (2d Cir. 2001)) (cleaned up).”</w:t>
      </w:r>
    </w:p>
    <w:p w14:paraId="2EB3BDC9" w14:textId="77777777" w:rsidR="0089221B" w:rsidRPr="0089221B" w:rsidRDefault="0089221B" w:rsidP="0089221B">
      <w:pPr>
        <w:pStyle w:val="NoSpacing"/>
        <w:rPr>
          <w:rFonts w:ascii="Times New Roman" w:hAnsi="Times New Roman"/>
          <w:sz w:val="24"/>
          <w:szCs w:val="24"/>
        </w:rPr>
      </w:pPr>
    </w:p>
    <w:p w14:paraId="4084992B" w14:textId="77777777" w:rsidR="0089221B" w:rsidRPr="0089221B" w:rsidRDefault="0089221B" w:rsidP="0089221B">
      <w:pPr>
        <w:pStyle w:val="NoSpacing"/>
        <w:rPr>
          <w:rFonts w:ascii="Times New Roman" w:hAnsi="Times New Roman"/>
          <w:b/>
          <w:bCs/>
          <w:sz w:val="24"/>
          <w:szCs w:val="24"/>
        </w:rPr>
      </w:pPr>
      <w:r w:rsidRPr="0089221B">
        <w:rPr>
          <w:rFonts w:ascii="Times New Roman" w:hAnsi="Times New Roman"/>
          <w:b/>
          <w:sz w:val="24"/>
          <w:szCs w:val="24"/>
        </w:rPr>
        <w:t xml:space="preserve">Legal Lesson Learned: Hostile work environment claim based on her wearing tee shirt in place of her work shirt properly dismissed. </w:t>
      </w:r>
    </w:p>
    <w:p w14:paraId="39F4D599" w14:textId="77777777" w:rsidR="0089221B" w:rsidRPr="0089221B" w:rsidRDefault="0089221B" w:rsidP="0089221B">
      <w:pPr>
        <w:pStyle w:val="NoSpacing"/>
        <w:rPr>
          <w:rFonts w:ascii="Times New Roman" w:hAnsi="Times New Roman"/>
          <w:sz w:val="24"/>
          <w:szCs w:val="24"/>
        </w:rPr>
      </w:pPr>
    </w:p>
    <w:p w14:paraId="0C413F07" w14:textId="77777777" w:rsidR="00A84216" w:rsidRPr="0089221B" w:rsidRDefault="00A84216" w:rsidP="00F326E5">
      <w:pPr>
        <w:pStyle w:val="NoSpacing"/>
        <w:rPr>
          <w:rFonts w:ascii="Times New Roman" w:hAnsi="Times New Roman"/>
          <w:b/>
          <w:bCs/>
          <w:sz w:val="24"/>
          <w:szCs w:val="24"/>
        </w:rPr>
      </w:pPr>
    </w:p>
    <w:p w14:paraId="4CAAD10B" w14:textId="77777777" w:rsidR="00A84216" w:rsidRPr="0089221B" w:rsidRDefault="00A84216" w:rsidP="00F326E5">
      <w:pPr>
        <w:pStyle w:val="NoSpacing"/>
        <w:rPr>
          <w:rFonts w:ascii="Times New Roman" w:hAnsi="Times New Roman"/>
          <w:b/>
          <w:bCs/>
          <w:sz w:val="24"/>
          <w:szCs w:val="24"/>
        </w:rPr>
      </w:pPr>
    </w:p>
    <w:p w14:paraId="54E6D1B4" w14:textId="77777777" w:rsidR="00A84216" w:rsidRDefault="00A84216" w:rsidP="00F326E5">
      <w:pPr>
        <w:pStyle w:val="NoSpacing"/>
        <w:rPr>
          <w:rFonts w:ascii="Arial Black" w:hAnsi="Arial Black"/>
          <w:b/>
          <w:bCs/>
          <w:sz w:val="24"/>
          <w:szCs w:val="24"/>
        </w:rPr>
      </w:pPr>
    </w:p>
    <w:p w14:paraId="6455727A" w14:textId="502274C7" w:rsidR="000A5F54" w:rsidRDefault="000A5F54" w:rsidP="00F326E5">
      <w:pPr>
        <w:pStyle w:val="NoSpacing"/>
        <w:rPr>
          <w:rFonts w:ascii="Arial Black" w:hAnsi="Arial Black"/>
          <w:b/>
          <w:bCs/>
          <w:sz w:val="24"/>
          <w:szCs w:val="24"/>
        </w:rPr>
      </w:pPr>
      <w:r>
        <w:rPr>
          <w:rFonts w:ascii="Arial Black" w:hAnsi="Arial Black"/>
          <w:b/>
          <w:bCs/>
          <w:sz w:val="24"/>
          <w:szCs w:val="24"/>
        </w:rPr>
        <w:t>7-71</w:t>
      </w:r>
    </w:p>
    <w:p w14:paraId="697340CA" w14:textId="77777777" w:rsidR="00A84216" w:rsidRDefault="00A84216" w:rsidP="00F326E5">
      <w:pPr>
        <w:pStyle w:val="NoSpacing"/>
        <w:rPr>
          <w:rFonts w:ascii="Arial Black" w:hAnsi="Arial Black"/>
          <w:b/>
          <w:bCs/>
          <w:sz w:val="24"/>
          <w:szCs w:val="24"/>
        </w:rPr>
      </w:pPr>
    </w:p>
    <w:p w14:paraId="0B51A222" w14:textId="77777777" w:rsidR="00A84216" w:rsidRPr="000B7F2C" w:rsidRDefault="00A84216" w:rsidP="00A84216">
      <w:pPr>
        <w:rPr>
          <w:rFonts w:ascii="Arial Black" w:hAnsi="Arial Black"/>
          <w:b/>
          <w:sz w:val="28"/>
          <w:szCs w:val="28"/>
        </w:rPr>
      </w:pPr>
      <w:r w:rsidRPr="000B7F2C">
        <w:rPr>
          <w:rFonts w:ascii="Arial Black" w:hAnsi="Arial Black"/>
          <w:b/>
          <w:sz w:val="28"/>
          <w:szCs w:val="28"/>
        </w:rPr>
        <w:t>VA: NEG JOB REFERENCES – SHE “SWINGER” - NO CASE</w:t>
      </w:r>
    </w:p>
    <w:p w14:paraId="55C5A634" w14:textId="77777777" w:rsidR="00A84216" w:rsidRPr="00A84216" w:rsidRDefault="00A84216" w:rsidP="00A84216">
      <w:pPr>
        <w:rPr>
          <w:rFonts w:ascii="Times New Roman" w:hAnsi="Times New Roman"/>
          <w:sz w:val="24"/>
          <w:szCs w:val="24"/>
        </w:rPr>
      </w:pPr>
      <w:r w:rsidRPr="00A84216">
        <w:rPr>
          <w:rFonts w:ascii="Times New Roman" w:hAnsi="Times New Roman"/>
          <w:sz w:val="24"/>
          <w:szCs w:val="24"/>
        </w:rPr>
        <w:t xml:space="preserve">On Jan. 31, 2025, in </w:t>
      </w:r>
      <w:r w:rsidRPr="00A84216">
        <w:rPr>
          <w:rFonts w:ascii="Times New Roman" w:hAnsi="Times New Roman"/>
          <w:sz w:val="24"/>
          <w:szCs w:val="24"/>
          <w:u w:val="single"/>
        </w:rPr>
        <w:t>Natalie Lundberg v. Delta Response Team, LLC and Thomas Walton</w:t>
      </w:r>
      <w:r w:rsidRPr="00A84216">
        <w:rPr>
          <w:rFonts w:ascii="Times New Roman" w:hAnsi="Times New Roman"/>
          <w:sz w:val="24"/>
          <w:szCs w:val="24"/>
        </w:rPr>
        <w:t xml:space="preserve">, United States District Court Judge Jasmine H. Yoon, U.S. District Court for Western District of Virginia, Charlottesville Division, granted defense motion for summary judgment.  The plaintiff applied to two different municipal fire departments; DRT Vice President Tom Walton told the prospective employers she was a “swinger.” He claimed Lundberg had “a very different view on her private life” and that “her and her fiancé are open swingers and partiers and so forth.” </w:t>
      </w:r>
      <w:hyperlink r:id="rId1337" w:history="1">
        <w:r w:rsidRPr="00A84216">
          <w:rPr>
            <w:rStyle w:val="Hyperlink"/>
            <w:rFonts w:ascii="Times New Roman" w:hAnsi="Times New Roman"/>
            <w:sz w:val="24"/>
            <w:szCs w:val="24"/>
          </w:rPr>
          <w:t>https://casetext.com/case/lundberg-v-delta-response-team-llc-1</w:t>
        </w:r>
      </w:hyperlink>
      <w:r w:rsidRPr="00A84216">
        <w:rPr>
          <w:rFonts w:ascii="Times New Roman" w:hAnsi="Times New Roman"/>
          <w:sz w:val="24"/>
          <w:szCs w:val="24"/>
        </w:rPr>
        <w:t xml:space="preserve"> </w:t>
      </w:r>
    </w:p>
    <w:p w14:paraId="1A85FE09" w14:textId="77777777" w:rsidR="00A84216" w:rsidRPr="00A84216" w:rsidRDefault="00A84216" w:rsidP="00A84216">
      <w:pPr>
        <w:rPr>
          <w:rFonts w:ascii="Times New Roman" w:hAnsi="Times New Roman"/>
          <w:sz w:val="24"/>
          <w:szCs w:val="24"/>
        </w:rPr>
      </w:pPr>
      <w:r w:rsidRPr="00A84216">
        <w:rPr>
          <w:rFonts w:ascii="Times New Roman" w:hAnsi="Times New Roman"/>
          <w:sz w:val="24"/>
          <w:szCs w:val="24"/>
        </w:rPr>
        <w:t>The Court wrote:</w:t>
      </w:r>
    </w:p>
    <w:p w14:paraId="216F7211"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 xml:space="preserve">“Lundberg applied to two positions with municipal fire departments in late 2021 and early 2022. In November 2021, she applied to work as a firefighter for the City of Lynchburg Fire Department (‘City of Lynchburg’)…. Following the background check, the City of Lynchburg informed Lundberg that she had not been selected for the position. </w:t>
      </w:r>
    </w:p>
    <w:p w14:paraId="4B77C500" w14:textId="77777777" w:rsidR="00A84216" w:rsidRPr="00A84216" w:rsidRDefault="00A84216" w:rsidP="00A84216">
      <w:pPr>
        <w:ind w:firstLine="720"/>
        <w:rPr>
          <w:rFonts w:ascii="Times New Roman" w:hAnsi="Times New Roman"/>
          <w:sz w:val="24"/>
          <w:szCs w:val="24"/>
        </w:rPr>
      </w:pPr>
      <w:r w:rsidRPr="00A84216">
        <w:rPr>
          <w:rFonts w:ascii="Times New Roman" w:hAnsi="Times New Roman"/>
          <w:sz w:val="24"/>
          <w:szCs w:val="24"/>
        </w:rPr>
        <w:t>***</w:t>
      </w:r>
    </w:p>
    <w:p w14:paraId="4CCD6E23"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Lundberg next applied for a position with Bedford County Fire and Rescue (“Bedford County”)…. On February 16, 2022, she received and accepted a conditional offer of employment, which was contingent on a background investigation and physical and psychological examinations…. Bedford County's background investigator spoke to Lundberg, Walton, and a couple personal references…. On March 7, 2022, Bedford County informed Lundberg that it was rescinding her conditional offer of employment…. The official who made the decision, Bedford County Fire and Rescue Chief Janet Blankenship, affirmatively states that it was not based on the background investigation report or the information Walton provided to the investigator….Instead, Blankenship explains that her decision was based on the results of Lundberg's psychological health evaluation.</w:t>
      </w:r>
    </w:p>
    <w:p w14:paraId="00070617" w14:textId="77777777" w:rsidR="00A84216" w:rsidRPr="00A84216" w:rsidRDefault="00A84216" w:rsidP="00A84216">
      <w:pPr>
        <w:rPr>
          <w:rFonts w:ascii="Times New Roman" w:hAnsi="Times New Roman"/>
          <w:sz w:val="24"/>
          <w:szCs w:val="24"/>
        </w:rPr>
      </w:pPr>
      <w:r w:rsidRPr="00A84216">
        <w:rPr>
          <w:rFonts w:ascii="Times New Roman" w:hAnsi="Times New Roman"/>
          <w:sz w:val="24"/>
          <w:szCs w:val="24"/>
        </w:rPr>
        <w:tab/>
        <w:t>***</w:t>
      </w:r>
    </w:p>
    <w:p w14:paraId="28815DE0"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 xml:space="preserve">With four independent references outright recommending against hiring Lundberg for the position, and one (Millner) sharing even more detailed allegations about her sex life, the record does not support a finding that Walton's comments made the City of Lynchburg less likely to hire her. While Lundberg suggests that Walton is well-known in the first-responder community, that fact does not create a jury question on this issue, particularly when all four references who </w:t>
      </w:r>
      <w:proofErr w:type="gramStart"/>
      <w:r w:rsidRPr="00A84216">
        <w:rPr>
          <w:rFonts w:ascii="Times New Roman" w:hAnsi="Times New Roman"/>
          <w:sz w:val="24"/>
          <w:szCs w:val="24"/>
        </w:rPr>
        <w:t>recommended against</w:t>
      </w:r>
      <w:proofErr w:type="gramEnd"/>
      <w:r w:rsidRPr="00A84216">
        <w:rPr>
          <w:rFonts w:ascii="Times New Roman" w:hAnsi="Times New Roman"/>
          <w:sz w:val="24"/>
          <w:szCs w:val="24"/>
        </w:rPr>
        <w:t xml:space="preserve"> hiring her worked as firefighters for the City of Lynchburg at the time she applied.</w:t>
      </w:r>
    </w:p>
    <w:p w14:paraId="05FB12BA" w14:textId="77777777" w:rsidR="00A84216" w:rsidRPr="00A84216" w:rsidRDefault="00A84216" w:rsidP="00A84216">
      <w:pPr>
        <w:ind w:firstLine="720"/>
        <w:rPr>
          <w:rFonts w:ascii="Times New Roman" w:hAnsi="Times New Roman"/>
          <w:sz w:val="24"/>
          <w:szCs w:val="24"/>
        </w:rPr>
      </w:pPr>
      <w:r w:rsidRPr="00A84216">
        <w:rPr>
          <w:rFonts w:ascii="Times New Roman" w:hAnsi="Times New Roman"/>
          <w:sz w:val="24"/>
          <w:szCs w:val="24"/>
        </w:rPr>
        <w:t>***</w:t>
      </w:r>
    </w:p>
    <w:p w14:paraId="0C0A1B1A"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In sum, even if an employment reference can support a Title VII discrimination claim when it negatively impacts a job application, there is insufficient evidence that Walton's references had such an impact here. For that reason, the court concludes that Lundberg's disparate-</w:t>
      </w:r>
      <w:proofErr w:type="gramStart"/>
      <w:r w:rsidRPr="00A84216">
        <w:rPr>
          <w:rFonts w:ascii="Times New Roman" w:hAnsi="Times New Roman"/>
          <w:sz w:val="24"/>
          <w:szCs w:val="24"/>
        </w:rPr>
        <w:t>treatment discrimination</w:t>
      </w:r>
      <w:proofErr w:type="gramEnd"/>
      <w:r w:rsidRPr="00A84216">
        <w:rPr>
          <w:rFonts w:ascii="Times New Roman" w:hAnsi="Times New Roman"/>
          <w:sz w:val="24"/>
          <w:szCs w:val="24"/>
        </w:rPr>
        <w:t xml:space="preserve"> claims fail as a matter of </w:t>
      </w:r>
      <w:proofErr w:type="gramStart"/>
      <w:r w:rsidRPr="00A84216">
        <w:rPr>
          <w:rFonts w:ascii="Times New Roman" w:hAnsi="Times New Roman"/>
          <w:sz w:val="24"/>
          <w:szCs w:val="24"/>
        </w:rPr>
        <w:t>law.”</w:t>
      </w:r>
      <w:proofErr w:type="gramEnd"/>
    </w:p>
    <w:p w14:paraId="7ABE6A64" w14:textId="77777777" w:rsidR="00A84216" w:rsidRPr="00A84216" w:rsidRDefault="00A84216" w:rsidP="00A84216">
      <w:pPr>
        <w:rPr>
          <w:rFonts w:ascii="Times New Roman" w:hAnsi="Times New Roman"/>
          <w:b/>
          <w:bCs/>
          <w:sz w:val="24"/>
          <w:szCs w:val="24"/>
        </w:rPr>
      </w:pPr>
      <w:r w:rsidRPr="00A84216">
        <w:rPr>
          <w:rFonts w:ascii="Times New Roman" w:hAnsi="Times New Roman"/>
          <w:b/>
          <w:sz w:val="24"/>
          <w:szCs w:val="24"/>
        </w:rPr>
        <w:t>Legal Lesson Learned: Negative job references were from several individuals.</w:t>
      </w:r>
    </w:p>
    <w:p w14:paraId="76047623"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Note: See Ohio Revised Code: “Section 4113.71 | Immunity of employer as to job performance information disclosures. (B) An employer who is requested by an employee or a prospective employer of an employee to disclose to a prospective employer of that employee information pertaining to the job performance of that employee for the employer and who discloses the requested information to the prospective employer is not liable in damages in a civil action to that employee, the prospective employer, or any other person for any harm sustained as a proximate result of making the disclosure or of any information disclosed, unless the plaintiff in a civil action establishes, either or both of the following:</w:t>
      </w:r>
    </w:p>
    <w:p w14:paraId="243507A4"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 xml:space="preserve">(1) By a preponderance of the evidence that the employer disclosed </w:t>
      </w:r>
      <w:proofErr w:type="gramStart"/>
      <w:r w:rsidRPr="00A84216">
        <w:rPr>
          <w:rFonts w:ascii="Times New Roman" w:hAnsi="Times New Roman"/>
          <w:sz w:val="24"/>
          <w:szCs w:val="24"/>
        </w:rPr>
        <w:t>particular information</w:t>
      </w:r>
      <w:proofErr w:type="gramEnd"/>
      <w:r w:rsidRPr="00A84216">
        <w:rPr>
          <w:rFonts w:ascii="Times New Roman" w:hAnsi="Times New Roman"/>
          <w:sz w:val="24"/>
          <w:szCs w:val="24"/>
        </w:rPr>
        <w:t xml:space="preserve"> with the knowledge that it was false, with the deliberate intent to mislead the prospective employer or another person, in bad faith, or with malicious purpose;</w:t>
      </w:r>
    </w:p>
    <w:p w14:paraId="2172D9D9" w14:textId="77777777" w:rsidR="00A84216" w:rsidRPr="00A84216" w:rsidRDefault="00A84216" w:rsidP="00A84216">
      <w:pPr>
        <w:ind w:left="720"/>
        <w:rPr>
          <w:rFonts w:ascii="Times New Roman" w:hAnsi="Times New Roman"/>
          <w:sz w:val="24"/>
          <w:szCs w:val="24"/>
        </w:rPr>
      </w:pPr>
      <w:r w:rsidRPr="00A84216">
        <w:rPr>
          <w:rFonts w:ascii="Times New Roman" w:hAnsi="Times New Roman"/>
          <w:sz w:val="24"/>
          <w:szCs w:val="24"/>
        </w:rPr>
        <w:t xml:space="preserve">(2) By a preponderance of the evidence that the disclosure of particular information by the employer constitutes an unlawful discriminatory practice described in section </w:t>
      </w:r>
      <w:hyperlink r:id="rId1338" w:history="1">
        <w:r w:rsidRPr="00A84216">
          <w:rPr>
            <w:rStyle w:val="Hyperlink"/>
            <w:rFonts w:ascii="Times New Roman" w:hAnsi="Times New Roman"/>
            <w:sz w:val="24"/>
            <w:szCs w:val="24"/>
          </w:rPr>
          <w:t>4112.02</w:t>
        </w:r>
      </w:hyperlink>
      <w:r w:rsidRPr="00A84216">
        <w:rPr>
          <w:rFonts w:ascii="Times New Roman" w:hAnsi="Times New Roman"/>
          <w:sz w:val="24"/>
          <w:szCs w:val="24"/>
        </w:rPr>
        <w:t xml:space="preserve">, </w:t>
      </w:r>
      <w:hyperlink r:id="rId1339" w:history="1">
        <w:r w:rsidRPr="00A84216">
          <w:rPr>
            <w:rStyle w:val="Hyperlink"/>
            <w:rFonts w:ascii="Times New Roman" w:hAnsi="Times New Roman"/>
            <w:sz w:val="24"/>
            <w:szCs w:val="24"/>
          </w:rPr>
          <w:t>4112.021</w:t>
        </w:r>
      </w:hyperlink>
      <w:r w:rsidRPr="00A84216">
        <w:rPr>
          <w:rFonts w:ascii="Times New Roman" w:hAnsi="Times New Roman"/>
          <w:sz w:val="24"/>
          <w:szCs w:val="24"/>
        </w:rPr>
        <w:t xml:space="preserve">, or </w:t>
      </w:r>
      <w:hyperlink r:id="rId1340" w:history="1">
        <w:r w:rsidRPr="00A84216">
          <w:rPr>
            <w:rStyle w:val="Hyperlink"/>
            <w:rFonts w:ascii="Times New Roman" w:hAnsi="Times New Roman"/>
            <w:sz w:val="24"/>
            <w:szCs w:val="24"/>
          </w:rPr>
          <w:t>4112.022</w:t>
        </w:r>
      </w:hyperlink>
      <w:r w:rsidRPr="00A84216">
        <w:rPr>
          <w:rFonts w:ascii="Times New Roman" w:hAnsi="Times New Roman"/>
          <w:sz w:val="24"/>
          <w:szCs w:val="24"/>
        </w:rPr>
        <w:t xml:space="preserve"> of the Revised Code.” </w:t>
      </w:r>
      <w:hyperlink r:id="rId1341" w:history="1">
        <w:r w:rsidRPr="00A84216">
          <w:rPr>
            <w:rStyle w:val="Hyperlink"/>
            <w:rFonts w:ascii="Times New Roman" w:hAnsi="Times New Roman"/>
            <w:sz w:val="24"/>
            <w:szCs w:val="24"/>
          </w:rPr>
          <w:t>https://codes.ohio.gov/ohio-revised-code/section-4113.71</w:t>
        </w:r>
      </w:hyperlink>
      <w:r w:rsidRPr="00A84216">
        <w:rPr>
          <w:rFonts w:ascii="Times New Roman" w:hAnsi="Times New Roman"/>
          <w:sz w:val="24"/>
          <w:szCs w:val="24"/>
        </w:rPr>
        <w:t xml:space="preserve"> </w:t>
      </w:r>
    </w:p>
    <w:p w14:paraId="0272DB3F" w14:textId="77777777" w:rsidR="00A84216" w:rsidRPr="00A84216" w:rsidRDefault="00A84216" w:rsidP="00F326E5">
      <w:pPr>
        <w:pStyle w:val="NoSpacing"/>
        <w:rPr>
          <w:rFonts w:ascii="Times New Roman" w:hAnsi="Times New Roman"/>
          <w:b/>
          <w:bCs/>
          <w:sz w:val="24"/>
          <w:szCs w:val="24"/>
        </w:rPr>
      </w:pPr>
    </w:p>
    <w:p w14:paraId="01D0CE7D" w14:textId="77777777" w:rsidR="000A5F54" w:rsidRDefault="000A5F54" w:rsidP="00F326E5">
      <w:pPr>
        <w:pStyle w:val="NoSpacing"/>
        <w:rPr>
          <w:rFonts w:ascii="Arial Black" w:hAnsi="Arial Black"/>
          <w:b/>
          <w:bCs/>
          <w:sz w:val="24"/>
          <w:szCs w:val="24"/>
        </w:rPr>
      </w:pPr>
    </w:p>
    <w:p w14:paraId="670F68F9" w14:textId="77777777" w:rsidR="000A5F54" w:rsidRDefault="000A5F54" w:rsidP="00F326E5">
      <w:pPr>
        <w:pStyle w:val="NoSpacing"/>
        <w:rPr>
          <w:rFonts w:ascii="Arial Black" w:hAnsi="Arial Black"/>
          <w:b/>
          <w:bCs/>
          <w:sz w:val="24"/>
          <w:szCs w:val="24"/>
        </w:rPr>
      </w:pPr>
    </w:p>
    <w:p w14:paraId="1B3A9AC6" w14:textId="428E458F" w:rsidR="00B83DEF" w:rsidRDefault="006905F6" w:rsidP="00F326E5">
      <w:pPr>
        <w:pStyle w:val="NoSpacing"/>
        <w:rPr>
          <w:rFonts w:ascii="Arial Black" w:hAnsi="Arial Black"/>
          <w:b/>
          <w:bCs/>
          <w:sz w:val="24"/>
          <w:szCs w:val="24"/>
        </w:rPr>
      </w:pPr>
      <w:r>
        <w:rPr>
          <w:rFonts w:ascii="Arial Black" w:hAnsi="Arial Black"/>
          <w:b/>
          <w:bCs/>
          <w:sz w:val="24"/>
          <w:szCs w:val="24"/>
        </w:rPr>
        <w:t>7-70</w:t>
      </w:r>
    </w:p>
    <w:p w14:paraId="7D7EBA32" w14:textId="77777777" w:rsidR="006905F6" w:rsidRDefault="006905F6" w:rsidP="00F326E5">
      <w:pPr>
        <w:pStyle w:val="NoSpacing"/>
        <w:rPr>
          <w:rFonts w:ascii="Arial Black" w:hAnsi="Arial Black"/>
          <w:b/>
          <w:bCs/>
          <w:sz w:val="24"/>
          <w:szCs w:val="24"/>
        </w:rPr>
      </w:pPr>
    </w:p>
    <w:p w14:paraId="782EF4C2" w14:textId="77777777" w:rsidR="006905F6" w:rsidRPr="00A55556" w:rsidRDefault="006905F6" w:rsidP="006905F6">
      <w:pPr>
        <w:pStyle w:val="NoSpacing"/>
        <w:rPr>
          <w:rFonts w:ascii="Arial Black" w:hAnsi="Arial Black"/>
          <w:sz w:val="28"/>
          <w:szCs w:val="28"/>
        </w:rPr>
      </w:pPr>
      <w:r>
        <w:rPr>
          <w:rFonts w:ascii="Arial Black" w:hAnsi="Arial Black"/>
          <w:sz w:val="28"/>
          <w:szCs w:val="28"/>
        </w:rPr>
        <w:t>DC: GENDER IDENTITY – TRUMP EXEC ORDER – US SUP CT</w:t>
      </w:r>
    </w:p>
    <w:p w14:paraId="3C70AA04" w14:textId="77777777" w:rsidR="006905F6" w:rsidRDefault="006905F6" w:rsidP="006905F6">
      <w:pPr>
        <w:pStyle w:val="NoSpacing"/>
      </w:pPr>
    </w:p>
    <w:p w14:paraId="493738E3" w14:textId="77777777" w:rsidR="006905F6" w:rsidRPr="006905F6" w:rsidRDefault="006905F6" w:rsidP="006905F6">
      <w:pPr>
        <w:pStyle w:val="NoSpacing"/>
        <w:rPr>
          <w:rFonts w:ascii="Times New Roman" w:hAnsi="Times New Roman"/>
          <w:sz w:val="24"/>
          <w:szCs w:val="24"/>
        </w:rPr>
      </w:pPr>
      <w:r w:rsidRPr="006905F6">
        <w:rPr>
          <w:rFonts w:ascii="Times New Roman" w:hAnsi="Times New Roman"/>
          <w:sz w:val="24"/>
          <w:szCs w:val="24"/>
        </w:rPr>
        <w:t xml:space="preserve">Jan. 20, 2025: President Trump’s Executive Order - DEFENDING WOMEN FROM GENDER IDEOLOGY EXTREMISM AND RESTORING BIOLOGICAL TRUTH TO THE FEDERAL GOVERNMENT – can modify federal advice to schools and employers on “single-sex spaces” such as bathrooms.   However,  employers must still follow U.S. Supreme Court’s 2020 decision “making it illegal for an employer to rely on an employee’s sex [gay; trans] when deciding to fire that employee.” </w:t>
      </w:r>
      <w:hyperlink r:id="rId1342" w:history="1">
        <w:r w:rsidRPr="006905F6">
          <w:rPr>
            <w:rStyle w:val="Hyperlink"/>
            <w:rFonts w:ascii="Times New Roman" w:hAnsi="Times New Roman"/>
            <w:sz w:val="24"/>
            <w:szCs w:val="24"/>
          </w:rPr>
          <w:t>uch https://www.whitehouse.gov/presidential-actions/2025/01/defending-women-from-gender-ideology-extremism-and-restoring-biological-truth-to-the-federal-government/?utm_medium=email&amp;utm_source=web_app&amp;utm_campaign=digest</w:t>
        </w:r>
      </w:hyperlink>
    </w:p>
    <w:p w14:paraId="668E49B5" w14:textId="77777777" w:rsidR="006905F6" w:rsidRPr="006905F6" w:rsidRDefault="006905F6" w:rsidP="006905F6">
      <w:pPr>
        <w:pStyle w:val="NoSpacing"/>
        <w:rPr>
          <w:rFonts w:ascii="Times New Roman" w:hAnsi="Times New Roman"/>
          <w:sz w:val="24"/>
          <w:szCs w:val="24"/>
        </w:rPr>
      </w:pPr>
    </w:p>
    <w:p w14:paraId="7BAE9E82" w14:textId="77777777" w:rsidR="006905F6" w:rsidRPr="006905F6" w:rsidRDefault="006905F6" w:rsidP="006905F6">
      <w:pPr>
        <w:pStyle w:val="NoSpacing"/>
        <w:rPr>
          <w:rFonts w:ascii="Times New Roman" w:hAnsi="Times New Roman"/>
          <w:sz w:val="24"/>
          <w:szCs w:val="24"/>
        </w:rPr>
      </w:pPr>
      <w:r w:rsidRPr="006905F6">
        <w:rPr>
          <w:rFonts w:ascii="Times New Roman" w:hAnsi="Times New Roman"/>
          <w:sz w:val="24"/>
          <w:szCs w:val="24"/>
        </w:rPr>
        <w:t xml:space="preserve">Executive Order includes the following: </w:t>
      </w:r>
    </w:p>
    <w:p w14:paraId="7503E7CB" w14:textId="77777777" w:rsidR="006905F6" w:rsidRPr="006905F6" w:rsidRDefault="006905F6" w:rsidP="006905F6">
      <w:pPr>
        <w:pStyle w:val="NoSpacing"/>
        <w:rPr>
          <w:rFonts w:ascii="Times New Roman" w:hAnsi="Times New Roman"/>
          <w:sz w:val="24"/>
          <w:szCs w:val="24"/>
        </w:rPr>
      </w:pPr>
    </w:p>
    <w:p w14:paraId="31E05FA4"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“The prior Administration argued that the Supreme Court’s decision in </w:t>
      </w:r>
      <w:r w:rsidRPr="006905F6">
        <w:rPr>
          <w:rFonts w:ascii="Times New Roman" w:hAnsi="Times New Roman"/>
          <w:i/>
          <w:iCs/>
          <w:sz w:val="24"/>
          <w:szCs w:val="24"/>
        </w:rPr>
        <w:t>Bostock v. Clayton County</w:t>
      </w:r>
      <w:r w:rsidRPr="006905F6">
        <w:rPr>
          <w:rFonts w:ascii="Times New Roman" w:hAnsi="Times New Roman"/>
          <w:sz w:val="24"/>
          <w:szCs w:val="24"/>
        </w:rPr>
        <w:t> (2020), which addressed Title VII of the Civil Rights Act of 1964, requires gender identity-based access to single-sex spaces under, for example, Title IX of the Educational Amendments Act.  This position is legally untenable and has harmed women.  The Attorney General shall therefore immediately issue guidance to agencies to correct the misapplication of the Supreme Court’s decision in </w:t>
      </w:r>
      <w:r w:rsidRPr="006905F6">
        <w:rPr>
          <w:rFonts w:ascii="Times New Roman" w:hAnsi="Times New Roman"/>
          <w:i/>
          <w:iCs/>
          <w:sz w:val="24"/>
          <w:szCs w:val="24"/>
        </w:rPr>
        <w:t>Bostock v. Clayton County</w:t>
      </w:r>
      <w:r w:rsidRPr="006905F6">
        <w:rPr>
          <w:rFonts w:ascii="Times New Roman" w:hAnsi="Times New Roman"/>
          <w:sz w:val="24"/>
          <w:szCs w:val="24"/>
        </w:rPr>
        <w:t xml:space="preserve"> (2020) to sex-based distinctions in agency activities.  In addition, the Attorney General shall issue guidance and assist agencies in protecting sex-based distinctions, which are explicitly permitted under Constitutional and statutory precedent. </w:t>
      </w:r>
    </w:p>
    <w:p w14:paraId="07C1EB07" w14:textId="77777777" w:rsidR="006905F6" w:rsidRPr="006905F6" w:rsidRDefault="006905F6" w:rsidP="006905F6">
      <w:pPr>
        <w:pStyle w:val="NoSpacing"/>
        <w:rPr>
          <w:rFonts w:ascii="Times New Roman" w:hAnsi="Times New Roman"/>
          <w:sz w:val="24"/>
          <w:szCs w:val="24"/>
        </w:rPr>
      </w:pPr>
    </w:p>
    <w:p w14:paraId="356213DB" w14:textId="77777777" w:rsidR="006905F6" w:rsidRPr="006905F6" w:rsidRDefault="006905F6" w:rsidP="006905F6">
      <w:pPr>
        <w:pStyle w:val="NoSpacing"/>
        <w:rPr>
          <w:rFonts w:ascii="Times New Roman" w:hAnsi="Times New Roman"/>
          <w:sz w:val="24"/>
          <w:szCs w:val="24"/>
        </w:rPr>
      </w:pPr>
      <w:r w:rsidRPr="006905F6">
        <w:rPr>
          <w:rFonts w:ascii="Times New Roman" w:hAnsi="Times New Roman"/>
          <w:sz w:val="24"/>
          <w:szCs w:val="24"/>
        </w:rPr>
        <w:t xml:space="preserve">The U.S. Supreme Court in </w:t>
      </w:r>
      <w:r w:rsidRPr="006905F6">
        <w:rPr>
          <w:rFonts w:ascii="Times New Roman" w:hAnsi="Times New Roman"/>
          <w:sz w:val="24"/>
          <w:szCs w:val="24"/>
          <w:u w:val="single"/>
        </w:rPr>
        <w:t>Bostock v. Clayton County</w:t>
      </w:r>
      <w:r w:rsidRPr="006905F6">
        <w:rPr>
          <w:rFonts w:ascii="Times New Roman" w:hAnsi="Times New Roman"/>
          <w:sz w:val="24"/>
          <w:szCs w:val="24"/>
        </w:rPr>
        <w:t xml:space="preserve">, on June 15, </w:t>
      </w:r>
      <w:proofErr w:type="gramStart"/>
      <w:r w:rsidRPr="006905F6">
        <w:rPr>
          <w:rFonts w:ascii="Times New Roman" w:hAnsi="Times New Roman"/>
          <w:sz w:val="24"/>
          <w:szCs w:val="24"/>
        </w:rPr>
        <w:t>2020</w:t>
      </w:r>
      <w:proofErr w:type="gramEnd"/>
      <w:r w:rsidRPr="006905F6">
        <w:rPr>
          <w:rFonts w:ascii="Times New Roman" w:hAnsi="Times New Roman"/>
          <w:sz w:val="24"/>
          <w:szCs w:val="24"/>
        </w:rPr>
        <w:t xml:space="preserve"> held (6 to 3; majority opinion by Justice Neil Gorsuch):  </w:t>
      </w:r>
    </w:p>
    <w:p w14:paraId="0EA087C3" w14:textId="77777777" w:rsidR="006905F6" w:rsidRPr="006905F6" w:rsidRDefault="006905F6" w:rsidP="006905F6">
      <w:pPr>
        <w:pStyle w:val="NoSpacing"/>
        <w:rPr>
          <w:rFonts w:ascii="Times New Roman" w:hAnsi="Times New Roman"/>
          <w:sz w:val="24"/>
          <w:szCs w:val="24"/>
        </w:rPr>
      </w:pPr>
    </w:p>
    <w:p w14:paraId="3F84F717"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 xml:space="preserve">“Today, we must decide whether an employer can fire someone simply for being homosexual or transgender. The answer is clear. An employer who fires an individual for being homosexual or transgender fires that person for traits or actions it would not have questioned in members of a different sex. Sex plays a necessary and undisguisable role in the decision, exactly what Title VII forbids.” </w:t>
      </w:r>
      <w:hyperlink r:id="rId1343" w:history="1">
        <w:r w:rsidRPr="006905F6">
          <w:rPr>
            <w:rStyle w:val="Hyperlink"/>
            <w:rFonts w:ascii="Times New Roman" w:hAnsi="Times New Roman"/>
            <w:sz w:val="24"/>
            <w:szCs w:val="24"/>
          </w:rPr>
          <w:t>https://www.supremecourt.gov/opinions/19pdf/17-1618_hfci.pdf</w:t>
        </w:r>
      </w:hyperlink>
      <w:r w:rsidRPr="006905F6">
        <w:rPr>
          <w:rFonts w:ascii="Times New Roman" w:hAnsi="Times New Roman"/>
          <w:sz w:val="24"/>
          <w:szCs w:val="24"/>
        </w:rPr>
        <w:t xml:space="preserve"> </w:t>
      </w:r>
    </w:p>
    <w:p w14:paraId="6B08107C" w14:textId="77777777" w:rsidR="006905F6" w:rsidRPr="006905F6" w:rsidRDefault="006905F6" w:rsidP="006905F6">
      <w:pPr>
        <w:pStyle w:val="NoSpacing"/>
        <w:rPr>
          <w:rFonts w:ascii="Times New Roman" w:hAnsi="Times New Roman"/>
          <w:sz w:val="24"/>
          <w:szCs w:val="24"/>
        </w:rPr>
      </w:pPr>
    </w:p>
    <w:p w14:paraId="2F6D4ACD" w14:textId="77777777" w:rsidR="006905F6" w:rsidRPr="006905F6" w:rsidRDefault="006905F6" w:rsidP="006905F6">
      <w:pPr>
        <w:pStyle w:val="NoSpacing"/>
        <w:rPr>
          <w:rFonts w:ascii="Times New Roman" w:hAnsi="Times New Roman"/>
          <w:sz w:val="24"/>
          <w:szCs w:val="24"/>
        </w:rPr>
      </w:pPr>
      <w:r w:rsidRPr="006905F6">
        <w:rPr>
          <w:rFonts w:ascii="Times New Roman" w:hAnsi="Times New Roman"/>
          <w:sz w:val="24"/>
          <w:szCs w:val="24"/>
        </w:rPr>
        <w:t xml:space="preserve">Justice Gorsuch reviewed three cases where employees were fired: </w:t>
      </w:r>
    </w:p>
    <w:p w14:paraId="0EDB67BA" w14:textId="77777777" w:rsidR="006905F6" w:rsidRPr="006905F6" w:rsidRDefault="006905F6" w:rsidP="006905F6">
      <w:pPr>
        <w:pStyle w:val="NoSpacing"/>
        <w:rPr>
          <w:rFonts w:ascii="Times New Roman" w:hAnsi="Times New Roman"/>
          <w:sz w:val="24"/>
          <w:szCs w:val="24"/>
        </w:rPr>
      </w:pPr>
    </w:p>
    <w:p w14:paraId="12270877"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“Few facts are needed to appreciate the legal question we face. Each of the three cases before us started the same way: An employer fired a long-time employee shortly after</w:t>
      </w:r>
    </w:p>
    <w:p w14:paraId="7E7C720D"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the employee revealed that he or she is homosexual or transgender—and allegedly for no reason other than the employee’s homosexuality or transgender status.</w:t>
      </w:r>
    </w:p>
    <w:p w14:paraId="07305F1A" w14:textId="77777777" w:rsidR="006905F6" w:rsidRPr="006905F6" w:rsidRDefault="006905F6" w:rsidP="006905F6">
      <w:pPr>
        <w:pStyle w:val="NoSpacing"/>
        <w:ind w:left="720"/>
        <w:rPr>
          <w:rFonts w:ascii="Times New Roman" w:hAnsi="Times New Roman"/>
          <w:sz w:val="24"/>
          <w:szCs w:val="24"/>
        </w:rPr>
      </w:pPr>
    </w:p>
    <w:p w14:paraId="65BD1E04"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[1] Gerald Bostock worked for Clayton County, Georgia, as a child welfare advocate. Under his leadership, the county won national awards for its work. After a decade with the county, Mr. Bostock began participating in a gay recreational softball league. Not long after that, influential members of the community allegedly made disparaging comments about Mr. Bostock’s sexual orientation and participation in the league. Soon, he was fired for conduct ‘unbecoming’ a county employee.</w:t>
      </w:r>
    </w:p>
    <w:p w14:paraId="23357ACA" w14:textId="77777777" w:rsidR="006905F6" w:rsidRPr="006905F6" w:rsidRDefault="006905F6" w:rsidP="006905F6">
      <w:pPr>
        <w:pStyle w:val="NoSpacing"/>
        <w:ind w:left="720"/>
        <w:rPr>
          <w:rFonts w:ascii="Times New Roman" w:hAnsi="Times New Roman"/>
          <w:sz w:val="24"/>
          <w:szCs w:val="24"/>
        </w:rPr>
      </w:pPr>
    </w:p>
    <w:p w14:paraId="55B44A1C"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[2] Donald Zarda worked as a skydiving instructor at Altitude Express in New York. After several seasons with the company, Mr. Zarda mentioned that he was gay and, days later, was fired.</w:t>
      </w:r>
    </w:p>
    <w:p w14:paraId="008BECE4" w14:textId="77777777" w:rsidR="006905F6" w:rsidRPr="006905F6" w:rsidRDefault="006905F6" w:rsidP="006905F6">
      <w:pPr>
        <w:pStyle w:val="NoSpacing"/>
        <w:ind w:left="720"/>
        <w:rPr>
          <w:rFonts w:ascii="Times New Roman" w:hAnsi="Times New Roman"/>
          <w:sz w:val="24"/>
          <w:szCs w:val="24"/>
        </w:rPr>
      </w:pPr>
    </w:p>
    <w:p w14:paraId="130B9CB4"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 xml:space="preserve">[3] Aimee Stephens worked at R. G. &amp; G. R. Harris Funeral Homes in Garden City, Michigan. When she got the job, Ms. Stephens presented as a male. </w:t>
      </w:r>
      <w:proofErr w:type="gramStart"/>
      <w:r w:rsidRPr="006905F6">
        <w:rPr>
          <w:rFonts w:ascii="Times New Roman" w:hAnsi="Times New Roman"/>
          <w:sz w:val="24"/>
          <w:szCs w:val="24"/>
        </w:rPr>
        <w:t>But</w:t>
      </w:r>
      <w:proofErr w:type="gramEnd"/>
      <w:r w:rsidRPr="006905F6">
        <w:rPr>
          <w:rFonts w:ascii="Times New Roman" w:hAnsi="Times New Roman"/>
          <w:sz w:val="24"/>
          <w:szCs w:val="24"/>
        </w:rPr>
        <w:t xml:space="preserve"> two years </w:t>
      </w:r>
      <w:proofErr w:type="gramStart"/>
      <w:r w:rsidRPr="006905F6">
        <w:rPr>
          <w:rFonts w:ascii="Times New Roman" w:hAnsi="Times New Roman"/>
          <w:sz w:val="24"/>
          <w:szCs w:val="24"/>
        </w:rPr>
        <w:t>into</w:t>
      </w:r>
      <w:proofErr w:type="gramEnd"/>
      <w:r w:rsidRPr="006905F6">
        <w:rPr>
          <w:rFonts w:ascii="Times New Roman" w:hAnsi="Times New Roman"/>
          <w:sz w:val="24"/>
          <w:szCs w:val="24"/>
        </w:rPr>
        <w:t xml:space="preserve"> her service with the company, she began treatment for despair and loneliness. Ultimately, clinicians diagnosed her with gender dysphoria and recommended that she begin living</w:t>
      </w:r>
    </w:p>
    <w:p w14:paraId="3F876FDF"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as a woman. In her sixth year with the company, Ms. Stephens wrote a letter to her employer explaining that she planned to ‘live and work full-time as a woman’ after she</w:t>
      </w:r>
    </w:p>
    <w:p w14:paraId="49DB921E" w14:textId="77777777" w:rsidR="006905F6" w:rsidRPr="006905F6" w:rsidRDefault="006905F6" w:rsidP="006905F6">
      <w:pPr>
        <w:pStyle w:val="NoSpacing"/>
        <w:ind w:left="720"/>
        <w:rPr>
          <w:rFonts w:ascii="Times New Roman" w:hAnsi="Times New Roman"/>
          <w:sz w:val="24"/>
          <w:szCs w:val="24"/>
        </w:rPr>
      </w:pPr>
      <w:r w:rsidRPr="006905F6">
        <w:rPr>
          <w:rFonts w:ascii="Times New Roman" w:hAnsi="Times New Roman"/>
          <w:sz w:val="24"/>
          <w:szCs w:val="24"/>
        </w:rPr>
        <w:t xml:space="preserve">returned from an upcoming vacation. The funeral home fired her before she left, telling her </w:t>
      </w:r>
      <w:proofErr w:type="gramStart"/>
      <w:r w:rsidRPr="006905F6">
        <w:rPr>
          <w:rFonts w:ascii="Times New Roman" w:hAnsi="Times New Roman"/>
          <w:sz w:val="24"/>
          <w:szCs w:val="24"/>
        </w:rPr>
        <w:t>‘this</w:t>
      </w:r>
      <w:proofErr w:type="gramEnd"/>
      <w:r w:rsidRPr="006905F6">
        <w:rPr>
          <w:rFonts w:ascii="Times New Roman" w:hAnsi="Times New Roman"/>
          <w:sz w:val="24"/>
          <w:szCs w:val="24"/>
        </w:rPr>
        <w:t xml:space="preserve"> is not going to work out.’”</w:t>
      </w:r>
    </w:p>
    <w:p w14:paraId="078171CD" w14:textId="77777777" w:rsidR="006905F6" w:rsidRPr="006905F6" w:rsidRDefault="006905F6" w:rsidP="006905F6">
      <w:pPr>
        <w:pStyle w:val="NoSpacing"/>
        <w:ind w:left="720"/>
        <w:rPr>
          <w:rFonts w:ascii="Times New Roman" w:hAnsi="Times New Roman"/>
          <w:sz w:val="24"/>
          <w:szCs w:val="24"/>
        </w:rPr>
      </w:pPr>
    </w:p>
    <w:p w14:paraId="0BF78457" w14:textId="77777777" w:rsidR="006905F6" w:rsidRPr="006905F6" w:rsidRDefault="006905F6" w:rsidP="006905F6">
      <w:pPr>
        <w:pStyle w:val="NoSpacing"/>
        <w:rPr>
          <w:rFonts w:ascii="Times New Roman" w:hAnsi="Times New Roman"/>
          <w:b/>
          <w:bCs/>
          <w:sz w:val="24"/>
          <w:szCs w:val="24"/>
        </w:rPr>
      </w:pPr>
      <w:r w:rsidRPr="006905F6">
        <w:rPr>
          <w:rFonts w:ascii="Times New Roman" w:hAnsi="Times New Roman"/>
          <w:b/>
          <w:sz w:val="24"/>
          <w:szCs w:val="24"/>
        </w:rPr>
        <w:t xml:space="preserve">Legal Lesson Learned:  The U.S. Supreme Court decision in </w:t>
      </w:r>
      <w:r w:rsidRPr="006905F6">
        <w:rPr>
          <w:rFonts w:ascii="Times New Roman" w:hAnsi="Times New Roman"/>
          <w:b/>
          <w:sz w:val="24"/>
          <w:szCs w:val="24"/>
          <w:u w:val="single"/>
        </w:rPr>
        <w:t>Bostock</w:t>
      </w:r>
      <w:r w:rsidRPr="006905F6">
        <w:rPr>
          <w:rFonts w:ascii="Times New Roman" w:hAnsi="Times New Roman"/>
          <w:b/>
          <w:sz w:val="24"/>
          <w:szCs w:val="24"/>
        </w:rPr>
        <w:t xml:space="preserve"> still applies to all employers, including Fire &amp; EMS.  As the Court wrote: “An employer who fires an individual merely for being gay or transgender defies the law.”</w:t>
      </w:r>
    </w:p>
    <w:p w14:paraId="572D1943" w14:textId="77777777" w:rsidR="006905F6" w:rsidRPr="006905F6" w:rsidRDefault="006905F6" w:rsidP="00F326E5">
      <w:pPr>
        <w:pStyle w:val="NoSpacing"/>
        <w:rPr>
          <w:rFonts w:ascii="Times New Roman" w:hAnsi="Times New Roman"/>
          <w:b/>
          <w:bCs/>
          <w:sz w:val="24"/>
          <w:szCs w:val="24"/>
        </w:rPr>
      </w:pPr>
    </w:p>
    <w:p w14:paraId="5074DBC0" w14:textId="77777777" w:rsidR="00B83DEF" w:rsidRDefault="00B83DEF" w:rsidP="00F326E5">
      <w:pPr>
        <w:pStyle w:val="NoSpacing"/>
        <w:rPr>
          <w:rFonts w:ascii="Arial Black" w:hAnsi="Arial Black"/>
          <w:b/>
          <w:bCs/>
          <w:sz w:val="24"/>
          <w:szCs w:val="24"/>
        </w:rPr>
      </w:pPr>
    </w:p>
    <w:p w14:paraId="7FFFE95B" w14:textId="77777777" w:rsidR="00B83DEF" w:rsidRDefault="00B83DEF" w:rsidP="00F326E5">
      <w:pPr>
        <w:pStyle w:val="NoSpacing"/>
        <w:rPr>
          <w:rFonts w:ascii="Arial Black" w:hAnsi="Arial Black"/>
          <w:b/>
          <w:bCs/>
          <w:sz w:val="24"/>
          <w:szCs w:val="24"/>
        </w:rPr>
      </w:pPr>
    </w:p>
    <w:p w14:paraId="477961CE" w14:textId="2E1F40A6" w:rsidR="00AE2F67" w:rsidRDefault="00AB6ADC" w:rsidP="00F326E5">
      <w:pPr>
        <w:pStyle w:val="NoSpacing"/>
        <w:rPr>
          <w:rFonts w:ascii="Arial Black" w:hAnsi="Arial Black"/>
          <w:b/>
          <w:bCs/>
          <w:sz w:val="24"/>
          <w:szCs w:val="24"/>
        </w:rPr>
      </w:pPr>
      <w:r>
        <w:rPr>
          <w:rFonts w:ascii="Arial Black" w:hAnsi="Arial Black"/>
          <w:b/>
          <w:bCs/>
          <w:sz w:val="24"/>
          <w:szCs w:val="24"/>
        </w:rPr>
        <w:t>7-69</w:t>
      </w:r>
    </w:p>
    <w:p w14:paraId="3FA53D05" w14:textId="77777777" w:rsidR="00AB6ADC" w:rsidRDefault="00AB6ADC" w:rsidP="00F326E5">
      <w:pPr>
        <w:pStyle w:val="NoSpacing"/>
        <w:rPr>
          <w:rFonts w:ascii="Arial Black" w:hAnsi="Arial Black"/>
          <w:b/>
          <w:bCs/>
          <w:sz w:val="24"/>
          <w:szCs w:val="24"/>
        </w:rPr>
      </w:pPr>
    </w:p>
    <w:p w14:paraId="67065B1E" w14:textId="77777777" w:rsidR="00562ACD" w:rsidRDefault="00562ACD" w:rsidP="00562ACD">
      <w:pPr>
        <w:pStyle w:val="NoSpacing"/>
        <w:rPr>
          <w:rFonts w:ascii="Arial Black" w:hAnsi="Arial Black"/>
          <w:bCs/>
          <w:sz w:val="28"/>
          <w:szCs w:val="28"/>
        </w:rPr>
      </w:pPr>
      <w:r>
        <w:rPr>
          <w:rFonts w:ascii="Arial Black" w:hAnsi="Arial Black"/>
          <w:sz w:val="28"/>
          <w:szCs w:val="28"/>
        </w:rPr>
        <w:t xml:space="preserve">MD: FIRED – </w:t>
      </w:r>
      <w:r>
        <w:rPr>
          <w:rFonts w:ascii="Arial Black" w:hAnsi="Arial Black"/>
          <w:bCs/>
          <w:sz w:val="28"/>
          <w:szCs w:val="28"/>
        </w:rPr>
        <w:t xml:space="preserve">VOTE </w:t>
      </w:r>
      <w:r>
        <w:rPr>
          <w:rFonts w:ascii="Arial Black" w:hAnsi="Arial Black"/>
          <w:sz w:val="28"/>
          <w:szCs w:val="28"/>
        </w:rPr>
        <w:t>2</w:t>
      </w:r>
      <w:r>
        <w:rPr>
          <w:rFonts w:ascii="Arial Black" w:hAnsi="Arial Black"/>
          <w:bCs/>
          <w:sz w:val="28"/>
          <w:szCs w:val="28"/>
        </w:rPr>
        <w:t xml:space="preserve">-2, NEW HEARING – NO PENSION </w:t>
      </w:r>
    </w:p>
    <w:p w14:paraId="5E94E49A" w14:textId="77777777" w:rsidR="002C54F5" w:rsidRDefault="002C54F5" w:rsidP="002C54F5">
      <w:pPr>
        <w:pStyle w:val="NoSpacing"/>
        <w:rPr>
          <w:bCs/>
        </w:rPr>
      </w:pPr>
    </w:p>
    <w:p w14:paraId="1C191A39" w14:textId="453AC8AE" w:rsidR="002C54F5" w:rsidRPr="008E38FF" w:rsidRDefault="008E38FF" w:rsidP="002C54F5">
      <w:pPr>
        <w:pStyle w:val="NoSpacing"/>
        <w:rPr>
          <w:rFonts w:ascii="Times New Roman" w:hAnsi="Times New Roman"/>
          <w:bCs/>
          <w:sz w:val="24"/>
          <w:szCs w:val="24"/>
        </w:rPr>
      </w:pPr>
      <w:r w:rsidRPr="008E38FF">
        <w:rPr>
          <w:rFonts w:ascii="Times New Roman" w:hAnsi="Times New Roman"/>
          <w:sz w:val="24"/>
          <w:szCs w:val="24"/>
        </w:rPr>
        <w:t xml:space="preserve">On Dec. 17, 2024, in </w:t>
      </w:r>
      <w:r w:rsidRPr="008E38FF">
        <w:rPr>
          <w:rFonts w:ascii="Times New Roman" w:hAnsi="Times New Roman"/>
          <w:sz w:val="24"/>
          <w:szCs w:val="24"/>
          <w:u w:val="single"/>
        </w:rPr>
        <w:t>Baltimore County, Maryland v. Theodore C. Priester, Jr.</w:t>
      </w:r>
      <w:r w:rsidRPr="008E38FF">
        <w:rPr>
          <w:rFonts w:ascii="Times New Roman" w:hAnsi="Times New Roman"/>
          <w:sz w:val="24"/>
          <w:szCs w:val="24"/>
        </w:rPr>
        <w:t xml:space="preserve">, the Appellate Court of Maryland held (3 to 0; unreported decision) that the now retired Captain is entitled to a new decision (instead of a tie vote of 2 to 2) before the Baltimore County Personnel and Salary Advisory Board  (“PSAB”).  While he is no longer entitled to reinstatement, the Board could decide to award him back pay for time from his termination (May 16, 2013) until he applied for retirement (July 31, 2014).  The case has been through numerous appeals and </w:t>
      </w:r>
      <w:proofErr w:type="gramStart"/>
      <w:r w:rsidRPr="008E38FF">
        <w:rPr>
          <w:rFonts w:ascii="Times New Roman" w:hAnsi="Times New Roman"/>
          <w:sz w:val="24"/>
          <w:szCs w:val="24"/>
        </w:rPr>
        <w:t>remands</w:t>
      </w:r>
      <w:proofErr w:type="gramEnd"/>
      <w:r w:rsidRPr="008E38FF">
        <w:rPr>
          <w:rFonts w:ascii="Times New Roman" w:hAnsi="Times New Roman"/>
          <w:sz w:val="24"/>
          <w:szCs w:val="24"/>
        </w:rPr>
        <w:t xml:space="preserve">, including prior decision </w:t>
      </w:r>
      <w:proofErr w:type="gramStart"/>
      <w:r w:rsidRPr="008E38FF">
        <w:rPr>
          <w:rFonts w:ascii="Times New Roman" w:hAnsi="Times New Roman"/>
          <w:sz w:val="24"/>
          <w:szCs w:val="24"/>
        </w:rPr>
        <w:t>denying</w:t>
      </w:r>
      <w:proofErr w:type="gramEnd"/>
      <w:r w:rsidRPr="008E38FF">
        <w:rPr>
          <w:rFonts w:ascii="Times New Roman" w:hAnsi="Times New Roman"/>
          <w:sz w:val="24"/>
          <w:szCs w:val="24"/>
        </w:rPr>
        <w:t xml:space="preserve"> him a pension.  </w:t>
      </w:r>
      <w:hyperlink r:id="rId1344" w:history="1">
        <w:r w:rsidRPr="008E38FF">
          <w:rPr>
            <w:rStyle w:val="Hyperlink"/>
            <w:rFonts w:ascii="Times New Roman" w:hAnsi="Times New Roman"/>
            <w:sz w:val="24"/>
            <w:szCs w:val="24"/>
          </w:rPr>
          <w:t>https://www.mdcourts.gov/sites/default/files/unreported-opinions/1316s22.pdf</w:t>
        </w:r>
      </w:hyperlink>
    </w:p>
    <w:p w14:paraId="4CDCB126" w14:textId="77777777" w:rsidR="008E38FF" w:rsidRPr="008E38FF" w:rsidRDefault="008E38FF" w:rsidP="002C54F5">
      <w:pPr>
        <w:pStyle w:val="NoSpacing"/>
        <w:rPr>
          <w:rFonts w:ascii="Times New Roman" w:hAnsi="Times New Roman"/>
          <w:sz w:val="24"/>
          <w:szCs w:val="24"/>
        </w:rPr>
      </w:pPr>
    </w:p>
    <w:p w14:paraId="0A0FB92E" w14:textId="4BF9E540" w:rsidR="002C54F5" w:rsidRPr="000A21C0" w:rsidRDefault="002C54F5" w:rsidP="002C54F5">
      <w:pPr>
        <w:pStyle w:val="NoSpacing"/>
        <w:rPr>
          <w:rFonts w:ascii="Times New Roman" w:hAnsi="Times New Roman"/>
          <w:bCs/>
          <w:sz w:val="24"/>
          <w:szCs w:val="24"/>
        </w:rPr>
      </w:pPr>
      <w:r w:rsidRPr="000A21C0">
        <w:rPr>
          <w:rFonts w:ascii="Times New Roman" w:hAnsi="Times New Roman"/>
          <w:sz w:val="24"/>
          <w:szCs w:val="24"/>
        </w:rPr>
        <w:t>The Court wrote:</w:t>
      </w:r>
    </w:p>
    <w:p w14:paraId="183FBD3B" w14:textId="77777777" w:rsidR="002C54F5" w:rsidRPr="000A21C0" w:rsidRDefault="002C54F5" w:rsidP="002C54F5">
      <w:pPr>
        <w:pStyle w:val="NoSpacing"/>
        <w:rPr>
          <w:rFonts w:ascii="Times New Roman" w:hAnsi="Times New Roman"/>
          <w:bCs/>
          <w:sz w:val="24"/>
          <w:szCs w:val="24"/>
        </w:rPr>
      </w:pPr>
    </w:p>
    <w:p w14:paraId="604B37A7" w14:textId="77777777" w:rsidR="002C54F5" w:rsidRPr="000A21C0" w:rsidRDefault="002C54F5" w:rsidP="002C54F5">
      <w:pPr>
        <w:pStyle w:val="NoSpacing"/>
        <w:ind w:firstLine="720"/>
        <w:rPr>
          <w:rFonts w:ascii="Times New Roman" w:hAnsi="Times New Roman"/>
          <w:bCs/>
          <w:sz w:val="24"/>
          <w:szCs w:val="24"/>
        </w:rPr>
      </w:pPr>
      <w:r w:rsidRPr="000A21C0">
        <w:rPr>
          <w:rFonts w:ascii="Times New Roman" w:hAnsi="Times New Roman"/>
          <w:sz w:val="24"/>
          <w:szCs w:val="24"/>
        </w:rPr>
        <w:t>“Returning to the appeal before us, we conclude that the circuit court correctly</w:t>
      </w:r>
    </w:p>
    <w:p w14:paraId="40A2FCDA" w14:textId="77777777" w:rsidR="002C54F5" w:rsidRPr="000A21C0" w:rsidRDefault="002C54F5" w:rsidP="002C54F5">
      <w:pPr>
        <w:pStyle w:val="NoSpacing"/>
        <w:ind w:firstLine="720"/>
        <w:rPr>
          <w:rFonts w:ascii="Times New Roman" w:hAnsi="Times New Roman"/>
          <w:bCs/>
          <w:sz w:val="24"/>
          <w:szCs w:val="24"/>
        </w:rPr>
      </w:pPr>
      <w:r w:rsidRPr="000A21C0">
        <w:rPr>
          <w:rFonts w:ascii="Times New Roman" w:hAnsi="Times New Roman"/>
          <w:sz w:val="24"/>
          <w:szCs w:val="24"/>
        </w:rPr>
        <w:t>determined that the PSAB erred in denying Priester’s grievance appeal as moot. Priester’s</w:t>
      </w:r>
    </w:p>
    <w:p w14:paraId="47CB0259" w14:textId="77777777" w:rsidR="002C54F5" w:rsidRPr="000A21C0" w:rsidRDefault="002C54F5" w:rsidP="002C54F5">
      <w:pPr>
        <w:pStyle w:val="NoSpacing"/>
        <w:ind w:firstLine="720"/>
        <w:rPr>
          <w:rFonts w:ascii="Times New Roman" w:hAnsi="Times New Roman"/>
          <w:bCs/>
          <w:sz w:val="24"/>
          <w:szCs w:val="24"/>
        </w:rPr>
      </w:pPr>
      <w:r w:rsidRPr="000A21C0">
        <w:rPr>
          <w:rFonts w:ascii="Times New Roman" w:hAnsi="Times New Roman"/>
          <w:sz w:val="24"/>
          <w:szCs w:val="24"/>
        </w:rPr>
        <w:t>resignation from employment does not preclude him from pursuing a grievance that was</w:t>
      </w:r>
    </w:p>
    <w:p w14:paraId="5225F14A" w14:textId="77777777" w:rsidR="002C54F5" w:rsidRPr="000A21C0" w:rsidRDefault="002C54F5" w:rsidP="002C54F5">
      <w:pPr>
        <w:pStyle w:val="NoSpacing"/>
        <w:ind w:left="720"/>
        <w:rPr>
          <w:rFonts w:ascii="Times New Roman" w:hAnsi="Times New Roman"/>
          <w:bCs/>
          <w:sz w:val="24"/>
          <w:szCs w:val="24"/>
        </w:rPr>
      </w:pPr>
      <w:r w:rsidRPr="000A21C0">
        <w:rPr>
          <w:rFonts w:ascii="Times New Roman" w:hAnsi="Times New Roman"/>
          <w:sz w:val="24"/>
          <w:szCs w:val="24"/>
        </w:rPr>
        <w:t xml:space="preserve">properly filed while he was still employed. Neither the plain language of the County Code nor the MOU supports the County’s claim that an employee’s resignation automatically terminates an ongoing grievance process. *** Therefore, even if PSAB could no longer “reinstate” Priester back to his original position under the MOU should it determine that the termination was not justified, it could still award Priester backpay for the period of time between May 16, 2013 (the date of his effective termination) and July 31, 2014 (when Priester filed for retirement)…. On remand, the PSAB may give the parties an opportunity to submit additional evidence for its consideration. Whether this requires </w:t>
      </w:r>
      <w:proofErr w:type="gramStart"/>
      <w:r w:rsidRPr="000A21C0">
        <w:rPr>
          <w:rFonts w:ascii="Times New Roman" w:hAnsi="Times New Roman"/>
          <w:sz w:val="24"/>
          <w:szCs w:val="24"/>
        </w:rPr>
        <w:t>a full</w:t>
      </w:r>
      <w:proofErr w:type="gramEnd"/>
      <w:r w:rsidRPr="000A21C0">
        <w:rPr>
          <w:rFonts w:ascii="Times New Roman" w:hAnsi="Times New Roman"/>
          <w:sz w:val="24"/>
          <w:szCs w:val="24"/>
        </w:rPr>
        <w:t xml:space="preserve"> evidentiary rehearing is left to the PSAB’s discretion.</w:t>
      </w:r>
    </w:p>
    <w:p w14:paraId="14A67F60" w14:textId="77777777" w:rsidR="002C54F5" w:rsidRPr="000A21C0" w:rsidRDefault="002C54F5" w:rsidP="002C54F5">
      <w:pPr>
        <w:pStyle w:val="NoSpacing"/>
        <w:ind w:left="720"/>
        <w:rPr>
          <w:rFonts w:ascii="Times New Roman" w:hAnsi="Times New Roman"/>
          <w:bCs/>
          <w:sz w:val="24"/>
          <w:szCs w:val="24"/>
        </w:rPr>
      </w:pPr>
    </w:p>
    <w:p w14:paraId="52713108" w14:textId="77777777" w:rsidR="002C54F5" w:rsidRPr="000A21C0" w:rsidRDefault="002C54F5" w:rsidP="002C54F5">
      <w:pPr>
        <w:pStyle w:val="NoSpacing"/>
        <w:ind w:left="720"/>
        <w:rPr>
          <w:rFonts w:ascii="Times New Roman" w:hAnsi="Times New Roman"/>
          <w:bCs/>
          <w:sz w:val="24"/>
          <w:szCs w:val="24"/>
        </w:rPr>
      </w:pPr>
      <w:r w:rsidRPr="000A21C0">
        <w:rPr>
          <w:rFonts w:ascii="Times New Roman" w:hAnsi="Times New Roman"/>
          <w:sz w:val="24"/>
          <w:szCs w:val="24"/>
        </w:rPr>
        <w:t>***</w:t>
      </w:r>
    </w:p>
    <w:p w14:paraId="472122B6" w14:textId="21CC2032" w:rsidR="002C54F5" w:rsidRDefault="002C54F5" w:rsidP="002C54F5">
      <w:pPr>
        <w:pStyle w:val="NoSpacing"/>
        <w:ind w:left="720"/>
        <w:rPr>
          <w:rFonts w:ascii="Times New Roman" w:hAnsi="Times New Roman"/>
          <w:sz w:val="24"/>
          <w:szCs w:val="24"/>
        </w:rPr>
      </w:pPr>
      <w:r w:rsidRPr="000A21C0">
        <w:rPr>
          <w:rFonts w:ascii="Times New Roman" w:hAnsi="Times New Roman"/>
          <w:sz w:val="24"/>
          <w:szCs w:val="24"/>
        </w:rPr>
        <w:t>In Priester II, we reviewed and affirmed the Board’s decision to deny Priester’s</w:t>
      </w:r>
      <w:r w:rsidR="000A21C0">
        <w:rPr>
          <w:rFonts w:ascii="Times New Roman" w:hAnsi="Times New Roman"/>
          <w:sz w:val="24"/>
          <w:szCs w:val="24"/>
        </w:rPr>
        <w:t xml:space="preserve"> </w:t>
      </w:r>
      <w:r w:rsidRPr="000A21C0">
        <w:rPr>
          <w:rFonts w:ascii="Times New Roman" w:hAnsi="Times New Roman"/>
          <w:sz w:val="24"/>
          <w:szCs w:val="24"/>
        </w:rPr>
        <w:t>entire claim for pension benefits. In reaching that conclusion, we recounted the extensive</w:t>
      </w:r>
      <w:r w:rsidR="000A21C0">
        <w:rPr>
          <w:rFonts w:ascii="Times New Roman" w:hAnsi="Times New Roman"/>
          <w:sz w:val="24"/>
          <w:szCs w:val="24"/>
        </w:rPr>
        <w:t xml:space="preserve"> </w:t>
      </w:r>
      <w:r w:rsidRPr="000A21C0">
        <w:rPr>
          <w:rFonts w:ascii="Times New Roman" w:hAnsi="Times New Roman"/>
          <w:sz w:val="24"/>
          <w:szCs w:val="24"/>
        </w:rPr>
        <w:t>testimony offered by Priester’s former colleagues and subordinates regarding his pattern</w:t>
      </w:r>
      <w:r w:rsidR="000A21C0">
        <w:rPr>
          <w:rFonts w:ascii="Times New Roman" w:hAnsi="Times New Roman"/>
          <w:sz w:val="24"/>
          <w:szCs w:val="24"/>
        </w:rPr>
        <w:t xml:space="preserve"> </w:t>
      </w:r>
      <w:r w:rsidRPr="000A21C0">
        <w:rPr>
          <w:rFonts w:ascii="Times New Roman" w:hAnsi="Times New Roman"/>
          <w:sz w:val="24"/>
          <w:szCs w:val="24"/>
        </w:rPr>
        <w:t>of sexually harassing behaviors. Rather, we agreed with the Board that any ‘average adult citizen’ would have known the potential sanctions that might follow from Priester’s behavior, noting that Captain Priester abused his status as a captain by creating a hostile and predatory environment, in which he exhibited a pattern of sexually harassing</w:t>
      </w:r>
      <w:r w:rsidR="000A21C0">
        <w:rPr>
          <w:rFonts w:ascii="Times New Roman" w:hAnsi="Times New Roman"/>
          <w:sz w:val="24"/>
          <w:szCs w:val="24"/>
        </w:rPr>
        <w:t xml:space="preserve"> </w:t>
      </w:r>
      <w:r w:rsidRPr="000A21C0">
        <w:rPr>
          <w:rFonts w:ascii="Times New Roman" w:hAnsi="Times New Roman"/>
          <w:sz w:val="24"/>
          <w:szCs w:val="24"/>
        </w:rPr>
        <w:t>women for his amusement and the amusement of his minions. . . . He was responsible, as captain, for enforcing the very rules that he flagrantly violated.”</w:t>
      </w:r>
    </w:p>
    <w:p w14:paraId="6F8A0645" w14:textId="77777777" w:rsidR="000630E9" w:rsidRDefault="000630E9" w:rsidP="002C54F5">
      <w:pPr>
        <w:pStyle w:val="NoSpacing"/>
        <w:ind w:left="720"/>
        <w:rPr>
          <w:rFonts w:ascii="Times New Roman" w:hAnsi="Times New Roman"/>
          <w:sz w:val="24"/>
          <w:szCs w:val="24"/>
        </w:rPr>
      </w:pPr>
    </w:p>
    <w:p w14:paraId="5A48FC44" w14:textId="77777777" w:rsidR="000630E9" w:rsidRDefault="000630E9" w:rsidP="002C54F5">
      <w:pPr>
        <w:pStyle w:val="NoSpacing"/>
        <w:ind w:left="720"/>
        <w:rPr>
          <w:rFonts w:ascii="Times New Roman" w:hAnsi="Times New Roman"/>
          <w:sz w:val="24"/>
          <w:szCs w:val="24"/>
        </w:rPr>
      </w:pPr>
    </w:p>
    <w:p w14:paraId="6F0E3F81" w14:textId="77777777" w:rsidR="000630E9" w:rsidRPr="000630E9" w:rsidRDefault="000630E9" w:rsidP="000630E9">
      <w:pPr>
        <w:pStyle w:val="NoSpacing"/>
        <w:rPr>
          <w:rFonts w:ascii="Times New Roman" w:hAnsi="Times New Roman"/>
          <w:bCs/>
          <w:sz w:val="24"/>
          <w:szCs w:val="24"/>
        </w:rPr>
      </w:pPr>
      <w:r w:rsidRPr="000630E9">
        <w:rPr>
          <w:rFonts w:ascii="Times New Roman" w:hAnsi="Times New Roman"/>
          <w:sz w:val="24"/>
          <w:szCs w:val="24"/>
        </w:rPr>
        <w:t>HOLDING:</w:t>
      </w:r>
    </w:p>
    <w:p w14:paraId="10A739DE" w14:textId="77777777" w:rsidR="000630E9" w:rsidRPr="000630E9" w:rsidRDefault="000630E9" w:rsidP="000630E9">
      <w:pPr>
        <w:pStyle w:val="NoSpacing"/>
        <w:rPr>
          <w:rFonts w:ascii="Times New Roman" w:hAnsi="Times New Roman"/>
          <w:bCs/>
          <w:sz w:val="24"/>
          <w:szCs w:val="24"/>
        </w:rPr>
      </w:pPr>
    </w:p>
    <w:p w14:paraId="7A63B2D1" w14:textId="77777777" w:rsidR="000630E9" w:rsidRPr="000630E9" w:rsidRDefault="000630E9" w:rsidP="000630E9">
      <w:pPr>
        <w:pStyle w:val="NoSpacing"/>
        <w:ind w:left="720"/>
        <w:rPr>
          <w:rFonts w:ascii="Times New Roman" w:hAnsi="Times New Roman"/>
          <w:bCs/>
          <w:sz w:val="24"/>
          <w:szCs w:val="24"/>
        </w:rPr>
      </w:pPr>
      <w:r w:rsidRPr="000630E9">
        <w:rPr>
          <w:rFonts w:ascii="Times New Roman" w:hAnsi="Times New Roman"/>
          <w:sz w:val="24"/>
          <w:szCs w:val="24"/>
        </w:rPr>
        <w:t>“Without articulating the relevant findings, the PSAB properly apply the relevant law to decide on Priester’s termination. This deficiency—compounded by the reliance on a ‘prior decision’ that does not exist— warrants a remand for the PSAB to make additional factual findings that would enable meaningful judicial review.”</w:t>
      </w:r>
    </w:p>
    <w:p w14:paraId="5DCFEC77" w14:textId="77777777" w:rsidR="000630E9" w:rsidRPr="000630E9" w:rsidRDefault="000630E9" w:rsidP="000630E9">
      <w:pPr>
        <w:pStyle w:val="NoSpacing"/>
        <w:ind w:left="720"/>
        <w:rPr>
          <w:rFonts w:ascii="Times New Roman" w:hAnsi="Times New Roman"/>
          <w:bCs/>
          <w:sz w:val="24"/>
          <w:szCs w:val="24"/>
        </w:rPr>
      </w:pPr>
    </w:p>
    <w:p w14:paraId="0CAF8AD8" w14:textId="77777777" w:rsidR="000630E9" w:rsidRPr="000630E9" w:rsidRDefault="000630E9" w:rsidP="000630E9">
      <w:pPr>
        <w:pStyle w:val="NoSpacing"/>
        <w:rPr>
          <w:rFonts w:ascii="Times New Roman" w:hAnsi="Times New Roman"/>
          <w:b/>
          <w:sz w:val="24"/>
          <w:szCs w:val="24"/>
        </w:rPr>
      </w:pPr>
      <w:r w:rsidRPr="000630E9">
        <w:rPr>
          <w:rFonts w:ascii="Times New Roman" w:hAnsi="Times New Roman"/>
          <w:b/>
          <w:sz w:val="24"/>
          <w:szCs w:val="24"/>
        </w:rPr>
        <w:t>Legal Lesson Learned: This case illustrates the importance of Civil Service Boards making final decisions, supported by findings of fact.   In the event of a tie vote, rehear the case.</w:t>
      </w:r>
    </w:p>
    <w:p w14:paraId="456E2C60" w14:textId="77777777" w:rsidR="000630E9" w:rsidRPr="000630E9" w:rsidRDefault="000630E9" w:rsidP="000630E9">
      <w:pPr>
        <w:pStyle w:val="NoSpacing"/>
        <w:rPr>
          <w:rFonts w:ascii="Times New Roman" w:hAnsi="Times New Roman"/>
          <w:b/>
          <w:sz w:val="24"/>
          <w:szCs w:val="24"/>
        </w:rPr>
      </w:pPr>
    </w:p>
    <w:p w14:paraId="2EA949A6" w14:textId="77777777" w:rsidR="000630E9" w:rsidRDefault="000630E9" w:rsidP="000630E9">
      <w:pPr>
        <w:rPr>
          <w:bCs/>
        </w:rPr>
      </w:pPr>
    </w:p>
    <w:p w14:paraId="2B3017D0" w14:textId="77777777" w:rsidR="000630E9" w:rsidRPr="000A21C0" w:rsidRDefault="000630E9" w:rsidP="002C54F5">
      <w:pPr>
        <w:pStyle w:val="NoSpacing"/>
        <w:ind w:left="720"/>
        <w:rPr>
          <w:rFonts w:ascii="Times New Roman" w:hAnsi="Times New Roman"/>
          <w:bCs/>
          <w:sz w:val="24"/>
          <w:szCs w:val="24"/>
        </w:rPr>
      </w:pPr>
    </w:p>
    <w:p w14:paraId="11238DFE" w14:textId="77777777" w:rsidR="00AE2F67" w:rsidRDefault="00AE2F67" w:rsidP="00F326E5">
      <w:pPr>
        <w:pStyle w:val="NoSpacing"/>
        <w:rPr>
          <w:rFonts w:ascii="Arial Black" w:hAnsi="Arial Black"/>
          <w:b/>
          <w:bCs/>
          <w:sz w:val="24"/>
          <w:szCs w:val="24"/>
        </w:rPr>
      </w:pPr>
    </w:p>
    <w:p w14:paraId="6DFFD68C" w14:textId="096F6287" w:rsidR="00922A0A" w:rsidRDefault="00922A0A" w:rsidP="00F326E5">
      <w:pPr>
        <w:pStyle w:val="NoSpacing"/>
        <w:rPr>
          <w:rFonts w:ascii="Arial Black" w:hAnsi="Arial Black"/>
          <w:b/>
          <w:bCs/>
          <w:sz w:val="24"/>
          <w:szCs w:val="24"/>
        </w:rPr>
      </w:pPr>
      <w:r>
        <w:rPr>
          <w:rFonts w:ascii="Arial Black" w:hAnsi="Arial Black"/>
          <w:b/>
          <w:bCs/>
          <w:sz w:val="24"/>
          <w:szCs w:val="24"/>
        </w:rPr>
        <w:t>7-</w:t>
      </w:r>
      <w:r w:rsidR="00534272">
        <w:rPr>
          <w:rFonts w:ascii="Arial Black" w:hAnsi="Arial Black"/>
          <w:b/>
          <w:bCs/>
          <w:sz w:val="24"/>
          <w:szCs w:val="24"/>
        </w:rPr>
        <w:t>68</w:t>
      </w:r>
    </w:p>
    <w:p w14:paraId="007E59A2" w14:textId="77777777" w:rsidR="00087209" w:rsidRDefault="00087209" w:rsidP="00F326E5">
      <w:pPr>
        <w:pStyle w:val="NoSpacing"/>
        <w:rPr>
          <w:rFonts w:ascii="Arial Black" w:hAnsi="Arial Black"/>
          <w:b/>
          <w:bCs/>
          <w:sz w:val="24"/>
          <w:szCs w:val="24"/>
        </w:rPr>
      </w:pPr>
    </w:p>
    <w:p w14:paraId="21608962" w14:textId="77777777" w:rsidR="00087209" w:rsidRPr="00A54508" w:rsidRDefault="00087209" w:rsidP="00087209">
      <w:pPr>
        <w:rPr>
          <w:rFonts w:ascii="Arial Black" w:hAnsi="Arial Black"/>
          <w:b/>
          <w:sz w:val="28"/>
          <w:szCs w:val="28"/>
        </w:rPr>
      </w:pPr>
      <w:r w:rsidRPr="00A54508">
        <w:rPr>
          <w:rFonts w:ascii="Arial Black" w:hAnsi="Arial Black"/>
          <w:b/>
          <w:sz w:val="28"/>
          <w:szCs w:val="28"/>
        </w:rPr>
        <w:t>US S</w:t>
      </w:r>
      <w:r>
        <w:rPr>
          <w:rFonts w:ascii="Arial Black" w:hAnsi="Arial Black"/>
          <w:b/>
          <w:sz w:val="28"/>
          <w:szCs w:val="28"/>
        </w:rPr>
        <w:t xml:space="preserve">UP CT: “STRAIGHT” CLAIMS DISC BY GAY MGR </w:t>
      </w:r>
    </w:p>
    <w:p w14:paraId="4DFE54B9" w14:textId="77777777" w:rsidR="007F5FF3" w:rsidRPr="007F5FF3" w:rsidRDefault="007F5FF3" w:rsidP="007F5FF3">
      <w:pPr>
        <w:rPr>
          <w:rStyle w:val="Hyperlink"/>
          <w:rFonts w:ascii="Times New Roman" w:hAnsi="Times New Roman"/>
          <w:sz w:val="24"/>
          <w:szCs w:val="24"/>
        </w:rPr>
      </w:pPr>
      <w:r w:rsidRPr="007F5FF3">
        <w:rPr>
          <w:rFonts w:ascii="Times New Roman" w:hAnsi="Times New Roman"/>
          <w:sz w:val="24"/>
          <w:szCs w:val="24"/>
        </w:rPr>
        <w:t xml:space="preserve">On Dec. 16, 2024, in </w:t>
      </w:r>
      <w:r w:rsidRPr="007F5FF3">
        <w:rPr>
          <w:rFonts w:ascii="Times New Roman" w:hAnsi="Times New Roman"/>
          <w:sz w:val="24"/>
          <w:szCs w:val="24"/>
          <w:u w:val="single"/>
        </w:rPr>
        <w:t>Marlean A. Ames, Petitioner v. Ohio Department of Youth Services</w:t>
      </w:r>
      <w:r w:rsidRPr="007F5FF3">
        <w:rPr>
          <w:rFonts w:ascii="Times New Roman" w:hAnsi="Times New Roman"/>
          <w:sz w:val="24"/>
          <w:szCs w:val="24"/>
        </w:rPr>
        <w:t>, the U.S. Department of Justice, Solicitor General, filed an amicus brief with the U.S. Supreme Court that Title VII prohibits racial discrimination against both minorities and those who are in majority (including white and heterosexual plaintiffs), with same standards of proof.  The  6</w:t>
      </w:r>
      <w:r w:rsidRPr="007F5FF3">
        <w:rPr>
          <w:rFonts w:ascii="Times New Roman" w:hAnsi="Times New Roman"/>
          <w:sz w:val="24"/>
          <w:szCs w:val="24"/>
          <w:vertAlign w:val="superscript"/>
        </w:rPr>
        <w:t>th</w:t>
      </w:r>
      <w:r w:rsidRPr="007F5FF3">
        <w:rPr>
          <w:rFonts w:ascii="Times New Roman" w:hAnsi="Times New Roman"/>
          <w:sz w:val="24"/>
          <w:szCs w:val="24"/>
        </w:rPr>
        <w:t xml:space="preserve"> Circuit had upheld the dismissal of the lawsuit by Ms. Ames (heterosexual) since she did show “background circumstances” to support her claim; such as statistical evidence showing a pattern of discrimination at her workplace in favor of gays.  The U.S. Supreme Court on Oct. 4, </w:t>
      </w:r>
      <w:proofErr w:type="gramStart"/>
      <w:r w:rsidRPr="007F5FF3">
        <w:rPr>
          <w:rFonts w:ascii="Times New Roman" w:hAnsi="Times New Roman"/>
          <w:sz w:val="24"/>
          <w:szCs w:val="24"/>
        </w:rPr>
        <w:t>2024</w:t>
      </w:r>
      <w:proofErr w:type="gramEnd"/>
      <w:r w:rsidRPr="007F5FF3">
        <w:rPr>
          <w:rFonts w:ascii="Times New Roman" w:hAnsi="Times New Roman"/>
          <w:sz w:val="24"/>
          <w:szCs w:val="24"/>
        </w:rPr>
        <w:t xml:space="preserve"> agreed to hear Ms. Ames’ appeal; a decision in this case could have significant impact on “reverse discrimination” cases, including fire &amp; EMS. </w:t>
      </w:r>
      <w:hyperlink r:id="rId1345" w:history="1">
        <w:r w:rsidRPr="007F5FF3">
          <w:rPr>
            <w:rStyle w:val="Hyperlink"/>
            <w:rFonts w:ascii="Times New Roman" w:hAnsi="Times New Roman"/>
            <w:sz w:val="24"/>
            <w:szCs w:val="24"/>
          </w:rPr>
          <w:t>https://www.supremecourt.gov/DocketPDF/23/23-1039/335322/20241216192608136_23-1039_Ames_Amicus_Brief_iso_Vacatur.pdf</w:t>
        </w:r>
      </w:hyperlink>
    </w:p>
    <w:p w14:paraId="3575EB13" w14:textId="77777777" w:rsidR="00087209" w:rsidRPr="00087209" w:rsidRDefault="00087209" w:rsidP="00087209">
      <w:pPr>
        <w:pStyle w:val="NoSpacing"/>
        <w:rPr>
          <w:rFonts w:ascii="Times New Roman" w:hAnsi="Times New Roman"/>
          <w:sz w:val="24"/>
          <w:szCs w:val="24"/>
        </w:rPr>
      </w:pPr>
    </w:p>
    <w:p w14:paraId="07C7F563" w14:textId="77777777" w:rsidR="00087209" w:rsidRPr="00087209" w:rsidRDefault="00087209" w:rsidP="00087209">
      <w:pPr>
        <w:pStyle w:val="NoSpacing"/>
        <w:rPr>
          <w:rFonts w:ascii="Times New Roman" w:hAnsi="Times New Roman"/>
          <w:sz w:val="24"/>
          <w:szCs w:val="24"/>
        </w:rPr>
      </w:pPr>
      <w:r w:rsidRPr="00087209">
        <w:rPr>
          <w:rFonts w:ascii="Times New Roman" w:hAnsi="Times New Roman"/>
          <w:sz w:val="24"/>
          <w:szCs w:val="24"/>
        </w:rPr>
        <w:t>The Solicitor General brief included:</w:t>
      </w:r>
    </w:p>
    <w:p w14:paraId="1D1D78AF" w14:textId="77777777" w:rsidR="00087209" w:rsidRPr="00087209" w:rsidRDefault="00087209" w:rsidP="00087209">
      <w:pPr>
        <w:pStyle w:val="NoSpacing"/>
        <w:rPr>
          <w:rFonts w:ascii="Times New Roman" w:hAnsi="Times New Roman"/>
          <w:sz w:val="24"/>
          <w:szCs w:val="24"/>
        </w:rPr>
      </w:pPr>
    </w:p>
    <w:p w14:paraId="0EABA160" w14:textId="77777777" w:rsidR="00087209" w:rsidRPr="00087209" w:rsidRDefault="00087209" w:rsidP="00087209">
      <w:pPr>
        <w:pStyle w:val="NoSpacing"/>
        <w:ind w:firstLine="720"/>
        <w:rPr>
          <w:rFonts w:ascii="Times New Roman" w:hAnsi="Times New Roman"/>
          <w:sz w:val="24"/>
          <w:szCs w:val="24"/>
        </w:rPr>
      </w:pPr>
      <w:r w:rsidRPr="00087209">
        <w:rPr>
          <w:rFonts w:ascii="Times New Roman" w:hAnsi="Times New Roman"/>
          <w:sz w:val="24"/>
          <w:szCs w:val="24"/>
        </w:rPr>
        <w:t>“She [Ms. Ames] alleged, as relevant here, that the denial of a promotion</w:t>
      </w:r>
    </w:p>
    <w:p w14:paraId="695AA482" w14:textId="77777777" w:rsidR="00087209" w:rsidRPr="00087209" w:rsidRDefault="00087209" w:rsidP="00087209">
      <w:pPr>
        <w:pStyle w:val="NoSpacing"/>
        <w:ind w:firstLine="720"/>
        <w:rPr>
          <w:rFonts w:ascii="Times New Roman" w:hAnsi="Times New Roman"/>
          <w:sz w:val="24"/>
          <w:szCs w:val="24"/>
        </w:rPr>
      </w:pPr>
      <w:r w:rsidRPr="00087209">
        <w:rPr>
          <w:rFonts w:ascii="Times New Roman" w:hAnsi="Times New Roman"/>
          <w:sz w:val="24"/>
          <w:szCs w:val="24"/>
        </w:rPr>
        <w:t xml:space="preserve">to Bureau Chief in favor of Frierson, a gay woman, was discrimination based </w:t>
      </w:r>
    </w:p>
    <w:p w14:paraId="5565F7C0" w14:textId="77777777" w:rsidR="00087209" w:rsidRPr="00087209" w:rsidRDefault="00087209" w:rsidP="00087209">
      <w:pPr>
        <w:pStyle w:val="NoSpacing"/>
        <w:ind w:firstLine="720"/>
        <w:rPr>
          <w:rFonts w:ascii="Times New Roman" w:hAnsi="Times New Roman"/>
          <w:sz w:val="24"/>
          <w:szCs w:val="24"/>
        </w:rPr>
      </w:pPr>
      <w:r w:rsidRPr="00087209">
        <w:rPr>
          <w:rFonts w:ascii="Times New Roman" w:hAnsi="Times New Roman"/>
          <w:sz w:val="24"/>
          <w:szCs w:val="24"/>
        </w:rPr>
        <w:t xml:space="preserve">on sexual orientation and that her demotion in favor of Stojsavljevic, a gay man, </w:t>
      </w:r>
    </w:p>
    <w:p w14:paraId="43DE6980" w14:textId="77777777" w:rsidR="00087209" w:rsidRPr="00087209" w:rsidRDefault="00087209" w:rsidP="00087209">
      <w:pPr>
        <w:pStyle w:val="NoSpacing"/>
        <w:ind w:firstLine="720"/>
        <w:rPr>
          <w:rFonts w:ascii="Times New Roman" w:hAnsi="Times New Roman"/>
          <w:sz w:val="24"/>
          <w:szCs w:val="24"/>
        </w:rPr>
      </w:pPr>
      <w:r w:rsidRPr="00087209">
        <w:rPr>
          <w:rFonts w:ascii="Times New Roman" w:hAnsi="Times New Roman"/>
          <w:sz w:val="24"/>
          <w:szCs w:val="24"/>
        </w:rPr>
        <w:t xml:space="preserve">was discrimination based on sexual orientation and sex. *** The requirements of a </w:t>
      </w:r>
    </w:p>
    <w:p w14:paraId="0AB078AE" w14:textId="6895CCDF" w:rsidR="00087209" w:rsidRDefault="00087209" w:rsidP="005A5089">
      <w:pPr>
        <w:pStyle w:val="NoSpacing"/>
        <w:ind w:left="720"/>
      </w:pPr>
      <w:proofErr w:type="gramStart"/>
      <w:r w:rsidRPr="00087209">
        <w:rPr>
          <w:rFonts w:ascii="Times New Roman" w:hAnsi="Times New Roman"/>
          <w:sz w:val="24"/>
          <w:szCs w:val="24"/>
        </w:rPr>
        <w:t>prima</w:t>
      </w:r>
      <w:proofErr w:type="gramEnd"/>
      <w:r w:rsidRPr="00087209">
        <w:rPr>
          <w:rFonts w:ascii="Times New Roman" w:hAnsi="Times New Roman"/>
          <w:sz w:val="24"/>
          <w:szCs w:val="24"/>
        </w:rPr>
        <w:t xml:space="preserve"> facie case </w:t>
      </w:r>
      <w:proofErr w:type="gramStart"/>
      <w:r w:rsidRPr="00087209">
        <w:rPr>
          <w:rFonts w:ascii="Times New Roman" w:hAnsi="Times New Roman"/>
          <w:sz w:val="24"/>
          <w:szCs w:val="24"/>
        </w:rPr>
        <w:t>do</w:t>
      </w:r>
      <w:proofErr w:type="gramEnd"/>
      <w:r w:rsidRPr="00087209">
        <w:rPr>
          <w:rFonts w:ascii="Times New Roman" w:hAnsi="Times New Roman"/>
          <w:sz w:val="24"/>
          <w:szCs w:val="24"/>
        </w:rPr>
        <w:t xml:space="preserve"> not vary depending on the plaintiff ’s protected characteristics. To the contrary, this Court has squarely held that Title VII ‘prohibits racial discrimination against * * * white [plaintiffs] upon the same standards as would be applicable’ if they were Black. </w:t>
      </w:r>
      <w:r w:rsidRPr="00087209">
        <w:rPr>
          <w:rFonts w:ascii="Times New Roman" w:hAnsi="Times New Roman"/>
          <w:sz w:val="24"/>
          <w:szCs w:val="24"/>
          <w:u w:val="single"/>
        </w:rPr>
        <w:t>McDonald</w:t>
      </w:r>
      <w:r w:rsidRPr="00087209">
        <w:rPr>
          <w:rFonts w:ascii="Times New Roman" w:hAnsi="Times New Roman"/>
          <w:sz w:val="24"/>
          <w:szCs w:val="24"/>
        </w:rPr>
        <w:t xml:space="preserve">, 427 U.S. at 280. The EEOC, too, has long understood Title VII to require that the claims of minority- and majority-group plaintiffs be assessed in the same fashion.”   </w:t>
      </w:r>
    </w:p>
    <w:p w14:paraId="0792AF6C" w14:textId="77777777" w:rsidR="00087209" w:rsidRDefault="00087209" w:rsidP="00F326E5">
      <w:pPr>
        <w:pStyle w:val="NoSpacing"/>
        <w:rPr>
          <w:rFonts w:ascii="Arial Black" w:hAnsi="Arial Black"/>
          <w:b/>
          <w:bCs/>
          <w:sz w:val="24"/>
          <w:szCs w:val="24"/>
        </w:rPr>
      </w:pPr>
    </w:p>
    <w:p w14:paraId="37B649D1" w14:textId="77777777" w:rsidR="00AE2F67" w:rsidRPr="00AE2F67" w:rsidRDefault="00AE2F67" w:rsidP="00AE2F67">
      <w:pPr>
        <w:pStyle w:val="NoSpacing"/>
        <w:rPr>
          <w:rFonts w:ascii="Times New Roman" w:hAnsi="Times New Roman"/>
          <w:sz w:val="24"/>
          <w:szCs w:val="24"/>
        </w:rPr>
      </w:pPr>
      <w:r w:rsidRPr="00AE2F67">
        <w:rPr>
          <w:rFonts w:ascii="Times New Roman" w:hAnsi="Times New Roman"/>
          <w:sz w:val="24"/>
          <w:szCs w:val="24"/>
        </w:rPr>
        <w:t>HOLDING: [Note: We must now wait for the U.S. Supreme Court to hear oral argument, and decide the appeal, or remand it to the 6</w:t>
      </w:r>
      <w:r w:rsidRPr="00AE2F67">
        <w:rPr>
          <w:rFonts w:ascii="Times New Roman" w:hAnsi="Times New Roman"/>
          <w:sz w:val="24"/>
          <w:szCs w:val="24"/>
          <w:vertAlign w:val="superscript"/>
        </w:rPr>
        <w:t>th</w:t>
      </w:r>
      <w:r w:rsidRPr="00AE2F67">
        <w:rPr>
          <w:rFonts w:ascii="Times New Roman" w:hAnsi="Times New Roman"/>
          <w:sz w:val="24"/>
          <w:szCs w:val="24"/>
        </w:rPr>
        <w:t xml:space="preserve"> Circuit.]</w:t>
      </w:r>
    </w:p>
    <w:p w14:paraId="673AAD3E" w14:textId="77777777" w:rsidR="00AE2F67" w:rsidRPr="00AE2F67" w:rsidRDefault="00AE2F67" w:rsidP="00AE2F67">
      <w:pPr>
        <w:pStyle w:val="NoSpacing"/>
        <w:rPr>
          <w:rFonts w:ascii="Times New Roman" w:hAnsi="Times New Roman"/>
          <w:sz w:val="24"/>
          <w:szCs w:val="24"/>
        </w:rPr>
      </w:pPr>
    </w:p>
    <w:p w14:paraId="511506F4" w14:textId="77777777" w:rsidR="00AE2F67" w:rsidRPr="00AE2F67" w:rsidRDefault="00AE2F67" w:rsidP="00AE2F67">
      <w:pPr>
        <w:pStyle w:val="NoSpacing"/>
        <w:rPr>
          <w:rFonts w:ascii="Times New Roman" w:hAnsi="Times New Roman"/>
          <w:sz w:val="24"/>
          <w:szCs w:val="24"/>
        </w:rPr>
      </w:pPr>
      <w:r w:rsidRPr="00AE2F67">
        <w:rPr>
          <w:rFonts w:ascii="Times New Roman" w:hAnsi="Times New Roman"/>
          <w:sz w:val="24"/>
          <w:szCs w:val="24"/>
        </w:rPr>
        <w:t>See the 6</w:t>
      </w:r>
      <w:r w:rsidRPr="00AE2F67">
        <w:rPr>
          <w:rFonts w:ascii="Times New Roman" w:hAnsi="Times New Roman"/>
          <w:sz w:val="24"/>
          <w:szCs w:val="24"/>
          <w:vertAlign w:val="superscript"/>
        </w:rPr>
        <w:t>th</w:t>
      </w:r>
      <w:r w:rsidRPr="00AE2F67">
        <w:rPr>
          <w:rFonts w:ascii="Times New Roman" w:hAnsi="Times New Roman"/>
          <w:sz w:val="24"/>
          <w:szCs w:val="24"/>
        </w:rPr>
        <w:t xml:space="preserve"> Circuit decision, Dec. 4, 2023:</w:t>
      </w:r>
    </w:p>
    <w:p w14:paraId="2EB899E8" w14:textId="77777777" w:rsidR="00AE2F67" w:rsidRPr="00AE2F67" w:rsidRDefault="00AE2F67" w:rsidP="00AE2F67">
      <w:pPr>
        <w:pStyle w:val="NoSpacing"/>
        <w:rPr>
          <w:rFonts w:ascii="Times New Roman" w:hAnsi="Times New Roman"/>
          <w:sz w:val="24"/>
          <w:szCs w:val="24"/>
        </w:rPr>
      </w:pPr>
    </w:p>
    <w:p w14:paraId="7AF515E5" w14:textId="77777777" w:rsidR="00AE2F67" w:rsidRPr="00AE2F67" w:rsidRDefault="00AE2F67" w:rsidP="00AE2F67">
      <w:pPr>
        <w:pStyle w:val="NoSpacing"/>
        <w:ind w:left="720"/>
        <w:rPr>
          <w:rFonts w:ascii="Times New Roman" w:hAnsi="Times New Roman"/>
          <w:sz w:val="24"/>
          <w:szCs w:val="24"/>
        </w:rPr>
      </w:pPr>
      <w:r w:rsidRPr="00AE2F67">
        <w:rPr>
          <w:rFonts w:ascii="Times New Roman" w:hAnsi="Times New Roman"/>
          <w:sz w:val="24"/>
          <w:szCs w:val="24"/>
        </w:rPr>
        <w:t xml:space="preserve">“In January 2019, Ohio’s governor appointed Ryan Gies to be the Department’s Director. Walburn [Assistant Director Julie Walburn] and Gies are both heterosexual. *** First, Ames was terminated as PREA Administrator by Walburn and Gies, who are both heterosexual. *** Second, Ames’s only evidence of a pattern of discrimination against heterosexuals is her own demotion and the denial of the Bureau Chief position. Under our caselaw, however, a plaintiff cannot point to her own experience to establish a pattern of discrimination. *** Ames therefore has not made the necessary showing of “background circumstances.” For that </w:t>
      </w:r>
      <w:proofErr w:type="gramStart"/>
      <w:r w:rsidRPr="00AE2F67">
        <w:rPr>
          <w:rFonts w:ascii="Times New Roman" w:hAnsi="Times New Roman"/>
          <w:sz w:val="24"/>
          <w:szCs w:val="24"/>
        </w:rPr>
        <w:t>reason</w:t>
      </w:r>
      <w:proofErr w:type="gramEnd"/>
      <w:r w:rsidRPr="00AE2F67">
        <w:rPr>
          <w:rFonts w:ascii="Times New Roman" w:hAnsi="Times New Roman"/>
          <w:sz w:val="24"/>
          <w:szCs w:val="24"/>
        </w:rPr>
        <w:t xml:space="preserve"> her claim of sexual-orientation discrimination fails.”  </w:t>
      </w:r>
      <w:hyperlink r:id="rId1346" w:history="1">
        <w:r w:rsidRPr="00AE2F67">
          <w:rPr>
            <w:rStyle w:val="Hyperlink"/>
            <w:rFonts w:ascii="Times New Roman" w:hAnsi="Times New Roman"/>
            <w:sz w:val="24"/>
            <w:szCs w:val="24"/>
          </w:rPr>
          <w:t>https://www.opn.ca6.uscourts.gov/opinions.pdf/23a0264p-06.pdf</w:t>
        </w:r>
      </w:hyperlink>
      <w:r w:rsidRPr="00AE2F67">
        <w:rPr>
          <w:rFonts w:ascii="Times New Roman" w:hAnsi="Times New Roman"/>
          <w:sz w:val="24"/>
          <w:szCs w:val="24"/>
        </w:rPr>
        <w:t xml:space="preserve"> </w:t>
      </w:r>
    </w:p>
    <w:p w14:paraId="2755F05F" w14:textId="77777777" w:rsidR="00AE2F67" w:rsidRPr="00AE2F67" w:rsidRDefault="00AE2F67" w:rsidP="00AE2F67">
      <w:pPr>
        <w:pStyle w:val="NoSpacing"/>
        <w:ind w:left="720"/>
        <w:rPr>
          <w:rFonts w:ascii="Times New Roman" w:hAnsi="Times New Roman"/>
          <w:sz w:val="24"/>
          <w:szCs w:val="24"/>
        </w:rPr>
      </w:pPr>
    </w:p>
    <w:p w14:paraId="26F341DB" w14:textId="77777777" w:rsidR="00AE2F67" w:rsidRPr="00AE2F67" w:rsidRDefault="00AE2F67" w:rsidP="00AE2F67">
      <w:pPr>
        <w:pStyle w:val="NoSpacing"/>
        <w:rPr>
          <w:rFonts w:ascii="Times New Roman" w:hAnsi="Times New Roman"/>
          <w:b/>
          <w:bCs/>
          <w:sz w:val="24"/>
          <w:szCs w:val="24"/>
        </w:rPr>
      </w:pPr>
      <w:r w:rsidRPr="00AE2F67">
        <w:rPr>
          <w:rFonts w:ascii="Times New Roman" w:hAnsi="Times New Roman"/>
          <w:b/>
          <w:sz w:val="24"/>
          <w:szCs w:val="24"/>
        </w:rPr>
        <w:t xml:space="preserve">Legal Lesson Learned:  Important case to clarify that Title VII rights are not just for minority employees. </w:t>
      </w:r>
    </w:p>
    <w:p w14:paraId="5D324420" w14:textId="77777777" w:rsidR="00AE2F67" w:rsidRPr="00AE2F67" w:rsidRDefault="00AE2F67" w:rsidP="00AE2F67">
      <w:pPr>
        <w:pStyle w:val="NoSpacing"/>
        <w:rPr>
          <w:rFonts w:ascii="Times New Roman" w:hAnsi="Times New Roman"/>
          <w:sz w:val="24"/>
          <w:szCs w:val="24"/>
        </w:rPr>
      </w:pPr>
    </w:p>
    <w:p w14:paraId="6B1BE5D5" w14:textId="77777777" w:rsidR="00922A0A" w:rsidRDefault="00922A0A" w:rsidP="00F326E5">
      <w:pPr>
        <w:pStyle w:val="NoSpacing"/>
        <w:rPr>
          <w:rFonts w:ascii="Arial Black" w:hAnsi="Arial Black"/>
          <w:b/>
          <w:bCs/>
          <w:sz w:val="24"/>
          <w:szCs w:val="24"/>
        </w:rPr>
      </w:pPr>
    </w:p>
    <w:p w14:paraId="2EEA0D80" w14:textId="77777777" w:rsidR="00922A0A" w:rsidRDefault="00922A0A" w:rsidP="00F326E5">
      <w:pPr>
        <w:pStyle w:val="NoSpacing"/>
        <w:rPr>
          <w:rFonts w:ascii="Arial Black" w:hAnsi="Arial Black"/>
          <w:b/>
          <w:bCs/>
          <w:sz w:val="24"/>
          <w:szCs w:val="24"/>
        </w:rPr>
      </w:pPr>
    </w:p>
    <w:p w14:paraId="2D5636DE" w14:textId="284D0CA0" w:rsidR="006D679A" w:rsidRDefault="006D679A" w:rsidP="00F326E5">
      <w:pPr>
        <w:pStyle w:val="NoSpacing"/>
        <w:rPr>
          <w:rFonts w:ascii="Arial Black" w:hAnsi="Arial Black"/>
          <w:b/>
          <w:bCs/>
          <w:sz w:val="24"/>
          <w:szCs w:val="24"/>
        </w:rPr>
      </w:pPr>
      <w:r>
        <w:rPr>
          <w:rFonts w:ascii="Arial Black" w:hAnsi="Arial Black"/>
          <w:b/>
          <w:bCs/>
          <w:sz w:val="24"/>
          <w:szCs w:val="24"/>
        </w:rPr>
        <w:t>7-67</w:t>
      </w:r>
    </w:p>
    <w:p w14:paraId="012F81BD" w14:textId="77777777" w:rsidR="006D679A" w:rsidRDefault="006D679A" w:rsidP="00F326E5">
      <w:pPr>
        <w:pStyle w:val="NoSpacing"/>
        <w:rPr>
          <w:rFonts w:ascii="Arial Black" w:hAnsi="Arial Black"/>
          <w:b/>
          <w:bCs/>
          <w:sz w:val="24"/>
          <w:szCs w:val="24"/>
        </w:rPr>
      </w:pPr>
    </w:p>
    <w:p w14:paraId="1E9B3EBF" w14:textId="77777777" w:rsidR="005904B5" w:rsidRPr="00D0761D" w:rsidRDefault="005904B5" w:rsidP="005904B5">
      <w:pPr>
        <w:pStyle w:val="NoSpacing"/>
        <w:rPr>
          <w:rFonts w:ascii="Arial Black" w:hAnsi="Arial Black"/>
          <w:sz w:val="28"/>
        </w:rPr>
      </w:pPr>
      <w:r>
        <w:rPr>
          <w:rFonts w:ascii="Arial Black" w:hAnsi="Arial Black"/>
          <w:sz w:val="28"/>
        </w:rPr>
        <w:t>NM: DEPUTY CHIEF FIRED – OFFENSIVE COMMENTS FEMALE CADET: “BEAUTIFUL WOMAN IN HER UNDERWEAR”</w:t>
      </w:r>
    </w:p>
    <w:p w14:paraId="44C2D604" w14:textId="77777777" w:rsidR="005904B5" w:rsidRPr="005904B5" w:rsidRDefault="005904B5" w:rsidP="005904B5">
      <w:pPr>
        <w:pStyle w:val="NoSpacing"/>
        <w:rPr>
          <w:rFonts w:ascii="Times New Roman" w:hAnsi="Times New Roman"/>
          <w:sz w:val="24"/>
          <w:szCs w:val="24"/>
        </w:rPr>
      </w:pPr>
    </w:p>
    <w:p w14:paraId="01992CE0" w14:textId="77777777" w:rsidR="005904B5" w:rsidRPr="005904B5" w:rsidRDefault="005904B5" w:rsidP="005904B5">
      <w:pPr>
        <w:pStyle w:val="NoSpacing"/>
        <w:rPr>
          <w:rFonts w:ascii="Times New Roman" w:hAnsi="Times New Roman"/>
          <w:sz w:val="24"/>
          <w:szCs w:val="24"/>
        </w:rPr>
      </w:pPr>
      <w:r w:rsidRPr="005904B5">
        <w:rPr>
          <w:rFonts w:ascii="Times New Roman" w:hAnsi="Times New Roman"/>
          <w:sz w:val="24"/>
          <w:szCs w:val="24"/>
        </w:rPr>
        <w:t xml:space="preserve">On September 30, 2024, in </w:t>
      </w:r>
      <w:r w:rsidRPr="005904B5">
        <w:rPr>
          <w:rFonts w:ascii="Times New Roman" w:hAnsi="Times New Roman"/>
          <w:sz w:val="24"/>
          <w:szCs w:val="24"/>
          <w:u w:val="single"/>
        </w:rPr>
        <w:t xml:space="preserve">Eric Tafoya v. City of </w:t>
      </w:r>
      <w:proofErr w:type="spellStart"/>
      <w:r w:rsidRPr="005904B5">
        <w:rPr>
          <w:rFonts w:ascii="Times New Roman" w:hAnsi="Times New Roman"/>
          <w:sz w:val="24"/>
          <w:szCs w:val="24"/>
          <w:u w:val="single"/>
        </w:rPr>
        <w:t>Espaaola</w:t>
      </w:r>
      <w:proofErr w:type="spellEnd"/>
      <w:r w:rsidRPr="005904B5">
        <w:rPr>
          <w:rFonts w:ascii="Times New Roman" w:hAnsi="Times New Roman"/>
          <w:sz w:val="24"/>
          <w:szCs w:val="24"/>
        </w:rPr>
        <w:t xml:space="preserve">, the Court of Appeals of New Mexico (3 to 0; unpublished decision) upheld the City’s termination of the Deputy Fire Chief; he made comments to female Cadet who needed smaller fire boots (in front of her female Lieutenant), about his liking her small feet and male firefighters will not complain about working with her -  “I don’t know why they’d complain about seeing a beautiful woman in her underwear.” The City’s Civil Service Commission hearing officer reversed the termination because the inappropriate comments did not create a “hostile work environment.”   The City appealed to state District Court judge, who upheld the termination; the Court of Appeals agreed.  The Court wrote: “[T]he hearing officer appears to have relied on cases involving claims of sexual harassment under the New Mexico Human Rights Act, NMSA 1978, §§ 28-1-1 to -14 (1969, as amended through 2024), when reaching its decision that Tafoya did not violate the City’s sexual harassment policy. Using those cases, Tafoya argued that New Mexico only recognizes ‘hostile work environment’ and ‘quid pro quo’ sexual harassment claims. *** In that regard, we note that the City’s policy is much broader than Tafoya argues. It provides discipline for sexually harassing conduct that had ‘the effect of creating an offensive, intimidating, degrading or hostile work environment.’ Personnel Policy § 1.4.1(B) at 5 (emphasis added).” </w:t>
      </w:r>
      <w:hyperlink r:id="rId1347" w:history="1">
        <w:r w:rsidRPr="005904B5">
          <w:rPr>
            <w:rStyle w:val="Hyperlink"/>
            <w:rFonts w:ascii="Times New Roman" w:hAnsi="Times New Roman"/>
            <w:sz w:val="24"/>
            <w:szCs w:val="24"/>
          </w:rPr>
          <w:t>https://coa.nmcourts.gov/wp-content/uploads/sites/43/2024/09/September-30-2024-Eric-Tafoya-v.-City-of-Espanola-No.-A-1-CA-40276.pdf</w:t>
        </w:r>
      </w:hyperlink>
      <w:r w:rsidRPr="005904B5">
        <w:rPr>
          <w:rFonts w:ascii="Times New Roman" w:hAnsi="Times New Roman"/>
          <w:sz w:val="24"/>
          <w:szCs w:val="24"/>
        </w:rPr>
        <w:t xml:space="preserve"> </w:t>
      </w:r>
    </w:p>
    <w:p w14:paraId="6C5B438C" w14:textId="77777777" w:rsidR="005904B5" w:rsidRPr="005904B5" w:rsidRDefault="005904B5" w:rsidP="005904B5">
      <w:pPr>
        <w:pStyle w:val="NoSpacing"/>
        <w:rPr>
          <w:rFonts w:ascii="Times New Roman" w:hAnsi="Times New Roman"/>
          <w:sz w:val="24"/>
          <w:szCs w:val="24"/>
        </w:rPr>
      </w:pPr>
    </w:p>
    <w:p w14:paraId="043B3837" w14:textId="77777777" w:rsidR="005904B5" w:rsidRPr="005904B5" w:rsidRDefault="005904B5" w:rsidP="005904B5">
      <w:pPr>
        <w:pStyle w:val="NoSpacing"/>
        <w:rPr>
          <w:rFonts w:ascii="Times New Roman" w:hAnsi="Times New Roman"/>
          <w:sz w:val="24"/>
          <w:szCs w:val="24"/>
        </w:rPr>
      </w:pPr>
    </w:p>
    <w:p w14:paraId="6EE859A3" w14:textId="77777777" w:rsidR="005904B5" w:rsidRPr="005904B5" w:rsidRDefault="005904B5" w:rsidP="005904B5">
      <w:pPr>
        <w:pStyle w:val="NoSpacing"/>
        <w:rPr>
          <w:rFonts w:ascii="Times New Roman" w:hAnsi="Times New Roman"/>
          <w:sz w:val="24"/>
          <w:szCs w:val="24"/>
        </w:rPr>
      </w:pPr>
      <w:r w:rsidRPr="005904B5">
        <w:rPr>
          <w:rFonts w:ascii="Times New Roman" w:hAnsi="Times New Roman"/>
          <w:sz w:val="24"/>
          <w:szCs w:val="24"/>
        </w:rPr>
        <w:t>THE COURT HELD:</w:t>
      </w:r>
    </w:p>
    <w:p w14:paraId="62C3C33D" w14:textId="77777777" w:rsidR="005904B5" w:rsidRPr="005904B5" w:rsidRDefault="005904B5" w:rsidP="005904B5">
      <w:pPr>
        <w:pStyle w:val="NoSpacing"/>
        <w:rPr>
          <w:rFonts w:ascii="Times New Roman" w:hAnsi="Times New Roman"/>
          <w:sz w:val="24"/>
          <w:szCs w:val="24"/>
        </w:rPr>
      </w:pPr>
    </w:p>
    <w:p w14:paraId="0B25F346" w14:textId="77777777" w:rsidR="005904B5" w:rsidRPr="005904B5" w:rsidRDefault="005904B5" w:rsidP="005904B5">
      <w:pPr>
        <w:pStyle w:val="NoSpacing"/>
        <w:ind w:left="720"/>
        <w:rPr>
          <w:rFonts w:ascii="Times New Roman" w:hAnsi="Times New Roman"/>
          <w:sz w:val="24"/>
          <w:szCs w:val="24"/>
        </w:rPr>
      </w:pPr>
      <w:r w:rsidRPr="005904B5">
        <w:rPr>
          <w:rFonts w:ascii="Times New Roman" w:hAnsi="Times New Roman"/>
          <w:sz w:val="24"/>
          <w:szCs w:val="24"/>
        </w:rPr>
        <w:t>“The record supports the district court’s determination that Tafoya’s comments, detailed above, constitute sexual flirtation, verbal comments of a sexual nature, or suggestive comments about Cadet Hart’s body, in violation of the City’s sexual harassment policy.</w:t>
      </w:r>
    </w:p>
    <w:p w14:paraId="49F27E6D" w14:textId="77777777" w:rsidR="005904B5" w:rsidRPr="005904B5" w:rsidRDefault="005904B5" w:rsidP="005904B5">
      <w:pPr>
        <w:pStyle w:val="NoSpacing"/>
        <w:ind w:left="720"/>
        <w:rPr>
          <w:rFonts w:ascii="Times New Roman" w:hAnsi="Times New Roman"/>
          <w:sz w:val="24"/>
          <w:szCs w:val="24"/>
        </w:rPr>
      </w:pPr>
    </w:p>
    <w:p w14:paraId="76E8E5B3" w14:textId="77777777" w:rsidR="005904B5" w:rsidRPr="005904B5" w:rsidRDefault="005904B5" w:rsidP="005904B5">
      <w:pPr>
        <w:pStyle w:val="NoSpacing"/>
        <w:ind w:left="720"/>
        <w:rPr>
          <w:rFonts w:ascii="Times New Roman" w:hAnsi="Times New Roman"/>
          <w:sz w:val="24"/>
          <w:szCs w:val="24"/>
        </w:rPr>
      </w:pPr>
      <w:r w:rsidRPr="005904B5">
        <w:rPr>
          <w:rFonts w:ascii="Times New Roman" w:hAnsi="Times New Roman"/>
          <w:sz w:val="24"/>
          <w:szCs w:val="24"/>
        </w:rPr>
        <w:t>***</w:t>
      </w:r>
    </w:p>
    <w:p w14:paraId="5FC0F684" w14:textId="77777777" w:rsidR="005904B5" w:rsidRPr="005904B5" w:rsidRDefault="005904B5" w:rsidP="005904B5">
      <w:pPr>
        <w:pStyle w:val="NoSpacing"/>
        <w:rPr>
          <w:rFonts w:ascii="Times New Roman" w:hAnsi="Times New Roman"/>
          <w:sz w:val="24"/>
          <w:szCs w:val="24"/>
        </w:rPr>
      </w:pPr>
    </w:p>
    <w:p w14:paraId="08BE14C7" w14:textId="77777777" w:rsidR="005904B5" w:rsidRPr="005904B5" w:rsidRDefault="005904B5" w:rsidP="005904B5">
      <w:pPr>
        <w:pStyle w:val="NoSpacing"/>
        <w:ind w:left="720"/>
        <w:rPr>
          <w:rFonts w:ascii="Times New Roman" w:hAnsi="Times New Roman"/>
          <w:sz w:val="24"/>
          <w:szCs w:val="24"/>
        </w:rPr>
      </w:pPr>
      <w:r w:rsidRPr="005904B5">
        <w:rPr>
          <w:rFonts w:ascii="Times New Roman" w:hAnsi="Times New Roman"/>
          <w:sz w:val="24"/>
          <w:szCs w:val="24"/>
        </w:rPr>
        <w:t>The hearing officer made the following findings, which were adopted by the district court: (1) in response to Lieutenant Martinez’s statement that Tafoya’s boots would not fit Cadet Hart because she has ‘tiny feet,’ Tafoya stated that he ‘loves tiny feet’; (2) in response to Cadet Hart’s statement that ‘my feet are tiny because I have high arches,’ Tafoya stated that he ‘loves high arches and flat feet were ugly’; (3) Tafoya instructed Cadet Hart to try on his turnout gear, and Lieutenant Martinez stated it was okay to do so; (4) Tafoya stated, ‘Oh, good, now we get to see her feet’; and (5) when male firefighters were questioning sharing space with a female and seeing her in her underwear, Tafoya interjected, ‘I don’t know why they’d complain about seeing a beautiful woman in her underwear,’ which Cadet Hart perceived as having sexual connotations and made her feel uncomfortable. These findings are supported by the affidavits of both Lieutenant Martinez and Cadet Hart.”</w:t>
      </w:r>
    </w:p>
    <w:p w14:paraId="7F2FBC34" w14:textId="77777777" w:rsidR="005904B5" w:rsidRPr="005904B5" w:rsidRDefault="005904B5" w:rsidP="005904B5">
      <w:pPr>
        <w:pStyle w:val="NoSpacing"/>
        <w:ind w:left="720"/>
        <w:rPr>
          <w:rFonts w:ascii="Times New Roman" w:hAnsi="Times New Roman"/>
          <w:sz w:val="24"/>
          <w:szCs w:val="24"/>
        </w:rPr>
      </w:pPr>
    </w:p>
    <w:p w14:paraId="30AB6E86" w14:textId="77777777" w:rsidR="005904B5" w:rsidRPr="005904B5" w:rsidRDefault="005904B5" w:rsidP="005904B5">
      <w:pPr>
        <w:pStyle w:val="NoSpacing"/>
        <w:rPr>
          <w:rFonts w:ascii="Times New Roman" w:hAnsi="Times New Roman"/>
          <w:b/>
          <w:bCs/>
          <w:sz w:val="24"/>
          <w:szCs w:val="24"/>
        </w:rPr>
      </w:pPr>
      <w:r w:rsidRPr="005904B5">
        <w:rPr>
          <w:rFonts w:ascii="Times New Roman" w:hAnsi="Times New Roman"/>
          <w:b/>
          <w:bCs/>
          <w:sz w:val="24"/>
          <w:szCs w:val="24"/>
        </w:rPr>
        <w:t xml:space="preserve">Legal Lesson Learned: Avoid offensive or degrading comments. </w:t>
      </w:r>
    </w:p>
    <w:p w14:paraId="4E2A559D" w14:textId="77777777" w:rsidR="006D679A" w:rsidRDefault="006D679A" w:rsidP="00F326E5">
      <w:pPr>
        <w:pStyle w:val="NoSpacing"/>
        <w:rPr>
          <w:rFonts w:ascii="Arial Black" w:hAnsi="Arial Black"/>
          <w:b/>
          <w:bCs/>
          <w:sz w:val="24"/>
          <w:szCs w:val="24"/>
        </w:rPr>
      </w:pPr>
    </w:p>
    <w:p w14:paraId="5A8FA857" w14:textId="77777777" w:rsidR="006D679A" w:rsidRDefault="006D679A" w:rsidP="00F326E5">
      <w:pPr>
        <w:pStyle w:val="NoSpacing"/>
        <w:rPr>
          <w:rFonts w:ascii="Arial Black" w:hAnsi="Arial Black"/>
          <w:b/>
          <w:bCs/>
          <w:sz w:val="24"/>
          <w:szCs w:val="24"/>
        </w:rPr>
      </w:pPr>
    </w:p>
    <w:p w14:paraId="1C9CBF3E" w14:textId="5F83B3A5" w:rsidR="00E04891" w:rsidRDefault="00E04891" w:rsidP="00F326E5">
      <w:pPr>
        <w:pStyle w:val="NoSpacing"/>
        <w:rPr>
          <w:rFonts w:ascii="Arial Black" w:hAnsi="Arial Black"/>
          <w:b/>
          <w:bCs/>
          <w:sz w:val="24"/>
          <w:szCs w:val="24"/>
        </w:rPr>
      </w:pPr>
      <w:r>
        <w:rPr>
          <w:rFonts w:ascii="Arial Black" w:hAnsi="Arial Black"/>
          <w:b/>
          <w:bCs/>
          <w:sz w:val="24"/>
          <w:szCs w:val="24"/>
        </w:rPr>
        <w:t>7-66</w:t>
      </w:r>
    </w:p>
    <w:p w14:paraId="5FE19DEC" w14:textId="77777777" w:rsidR="00235836" w:rsidRDefault="00235836" w:rsidP="00F326E5">
      <w:pPr>
        <w:pStyle w:val="NoSpacing"/>
        <w:rPr>
          <w:rFonts w:ascii="Arial Black" w:hAnsi="Arial Black"/>
          <w:b/>
          <w:bCs/>
          <w:sz w:val="24"/>
          <w:szCs w:val="24"/>
        </w:rPr>
      </w:pPr>
    </w:p>
    <w:p w14:paraId="54F3F4A6" w14:textId="77777777" w:rsidR="00235836" w:rsidRDefault="00235836" w:rsidP="00235836">
      <w:pPr>
        <w:pStyle w:val="NoSpacing"/>
        <w:rPr>
          <w:rFonts w:ascii="Arial Black" w:hAnsi="Arial Black"/>
          <w:sz w:val="28"/>
        </w:rPr>
      </w:pPr>
      <w:r>
        <w:rPr>
          <w:rFonts w:ascii="Arial Black" w:hAnsi="Arial Black"/>
          <w:sz w:val="28"/>
        </w:rPr>
        <w:t xml:space="preserve">LA: OFFICE ROMANCE – ADMIN. AIDE FIRED – TROUBLE IN WORKPLACE - DIVORCED A/C, MARRIED FORMER D/C </w:t>
      </w:r>
    </w:p>
    <w:p w14:paraId="2DFD5946" w14:textId="77777777" w:rsidR="00235836" w:rsidRDefault="00235836" w:rsidP="00235836">
      <w:pPr>
        <w:pStyle w:val="NoSpacing"/>
        <w:rPr>
          <w:rFonts w:ascii="Arial Black" w:hAnsi="Arial Black"/>
          <w:sz w:val="28"/>
        </w:rPr>
      </w:pPr>
    </w:p>
    <w:p w14:paraId="6B56AB84" w14:textId="77777777" w:rsidR="00235836" w:rsidRPr="00235836" w:rsidRDefault="00235836" w:rsidP="00235836">
      <w:pPr>
        <w:pStyle w:val="NoSpacing"/>
        <w:rPr>
          <w:rFonts w:ascii="Times New Roman" w:hAnsi="Times New Roman"/>
          <w:sz w:val="24"/>
          <w:szCs w:val="24"/>
        </w:rPr>
      </w:pPr>
      <w:r w:rsidRPr="00235836">
        <w:rPr>
          <w:rFonts w:ascii="Times New Roman" w:hAnsi="Times New Roman"/>
          <w:sz w:val="24"/>
          <w:szCs w:val="24"/>
        </w:rPr>
        <w:t xml:space="preserve">On August 7, 2024, in Stacie </w:t>
      </w:r>
      <w:proofErr w:type="spellStart"/>
      <w:r w:rsidRPr="00235836">
        <w:rPr>
          <w:rFonts w:ascii="Times New Roman" w:hAnsi="Times New Roman"/>
          <w:sz w:val="24"/>
          <w:szCs w:val="24"/>
        </w:rPr>
        <w:t>Dellucky</w:t>
      </w:r>
      <w:proofErr w:type="spellEnd"/>
      <w:r w:rsidRPr="00235836">
        <w:rPr>
          <w:rFonts w:ascii="Times New Roman" w:hAnsi="Times New Roman"/>
          <w:sz w:val="24"/>
          <w:szCs w:val="24"/>
        </w:rPr>
        <w:t xml:space="preserve"> and Frank Dellucky v, St. George Fire Protection District, et al., U.S. Court of Appeals for 5</w:t>
      </w:r>
      <w:r w:rsidRPr="00235836">
        <w:rPr>
          <w:rFonts w:ascii="Times New Roman" w:hAnsi="Times New Roman"/>
          <w:sz w:val="24"/>
          <w:szCs w:val="24"/>
          <w:vertAlign w:val="superscript"/>
        </w:rPr>
        <w:t>th</w:t>
      </w:r>
      <w:r w:rsidRPr="00235836">
        <w:rPr>
          <w:rFonts w:ascii="Times New Roman" w:hAnsi="Times New Roman"/>
          <w:sz w:val="24"/>
          <w:szCs w:val="24"/>
        </w:rPr>
        <w:t xml:space="preserve"> Circuit (New Orleans) held (3 to 0) that trial court properly summary judgment to the FD and fire chief.   The Court wrote: “Here, the challenged government action-the Chief's termination of Stacie-did not prohibit whole classes of people from marrying. Appellants adduced no evidence of a St. George policy barring co-workers from marrying or banning marriages between members of management and their subordinates. The evidence shows that the Chief's decision was motivated by the fact that </w:t>
      </w:r>
      <w:r w:rsidRPr="00235836">
        <w:rPr>
          <w:rFonts w:ascii="Times New Roman" w:hAnsi="Times New Roman"/>
          <w:i/>
          <w:iCs/>
          <w:sz w:val="24"/>
          <w:szCs w:val="24"/>
        </w:rPr>
        <w:t>Stacie</w:t>
      </w:r>
      <w:r w:rsidRPr="00235836">
        <w:rPr>
          <w:rFonts w:ascii="Times New Roman" w:hAnsi="Times New Roman"/>
          <w:sz w:val="24"/>
          <w:szCs w:val="24"/>
        </w:rPr>
        <w:t xml:space="preserve"> [who divorced  Assistant Fire Chief Chad Roberson] married </w:t>
      </w:r>
      <w:r w:rsidRPr="00235836">
        <w:rPr>
          <w:rFonts w:ascii="Times New Roman" w:hAnsi="Times New Roman"/>
          <w:i/>
          <w:iCs/>
          <w:sz w:val="24"/>
          <w:szCs w:val="24"/>
        </w:rPr>
        <w:t xml:space="preserve">Frank </w:t>
      </w:r>
      <w:r w:rsidRPr="00235836">
        <w:rPr>
          <w:rFonts w:ascii="Times New Roman" w:hAnsi="Times New Roman"/>
          <w:sz w:val="24"/>
          <w:szCs w:val="24"/>
        </w:rPr>
        <w:t xml:space="preserve">[Dellucky, now former District Chief]; there is no evidence that the outcome would have been the same if the marriage had been between two other employees. Moreover, Stacie's termination clearly did not discourage or render practically impossible her marriage to Frank: the record indicates that they remain married today. The challenged government action did not directly and substantially interfere with Stacie's or Frank's right to marry. The district court correctly determined that the appropriate standard of review, therefore, is rational basis review. *** Here, the Chief justified terminating Stacie in their conversation in July 2020: Stacie's and Frank's relationship had caused trouble in the workplace in the past, and the Chief had warned them that if their relationship became permanent, they would not be able to work at St. George. Maintaining workplace order and morale and ensuring that the chain-of-command operates effectively is a legitimate objective.” </w:t>
      </w:r>
      <w:hyperlink r:id="rId1348" w:history="1">
        <w:r w:rsidRPr="00235836">
          <w:rPr>
            <w:rStyle w:val="Hyperlink"/>
            <w:rFonts w:ascii="Times New Roman" w:hAnsi="Times New Roman"/>
            <w:sz w:val="24"/>
            <w:szCs w:val="24"/>
          </w:rPr>
          <w:t>https://www.ca5.uscourts.gov/opinions/unpub/23/23-30810.0.pdf</w:t>
        </w:r>
      </w:hyperlink>
      <w:r w:rsidRPr="00235836">
        <w:rPr>
          <w:rFonts w:ascii="Times New Roman" w:hAnsi="Times New Roman"/>
          <w:sz w:val="24"/>
          <w:szCs w:val="24"/>
        </w:rPr>
        <w:t xml:space="preserve"> </w:t>
      </w:r>
    </w:p>
    <w:p w14:paraId="76FEE607" w14:textId="77777777" w:rsidR="00235836" w:rsidRPr="00235836" w:rsidRDefault="00235836" w:rsidP="00235836">
      <w:pPr>
        <w:pStyle w:val="NoSpacing"/>
        <w:rPr>
          <w:rFonts w:ascii="Times New Roman" w:hAnsi="Times New Roman"/>
          <w:sz w:val="24"/>
          <w:szCs w:val="24"/>
        </w:rPr>
      </w:pPr>
    </w:p>
    <w:p w14:paraId="2BCB9D25" w14:textId="77777777" w:rsidR="00235836" w:rsidRPr="00235836" w:rsidRDefault="00235836" w:rsidP="00235836">
      <w:pPr>
        <w:pStyle w:val="NoSpacing"/>
        <w:rPr>
          <w:rFonts w:ascii="Times New Roman" w:hAnsi="Times New Roman"/>
          <w:sz w:val="24"/>
          <w:szCs w:val="24"/>
        </w:rPr>
      </w:pPr>
      <w:r w:rsidRPr="00235836">
        <w:rPr>
          <w:rFonts w:ascii="Times New Roman" w:hAnsi="Times New Roman"/>
          <w:sz w:val="24"/>
          <w:szCs w:val="24"/>
        </w:rPr>
        <w:t>THE COURT HELD:</w:t>
      </w:r>
    </w:p>
    <w:p w14:paraId="3D585EFF" w14:textId="77777777" w:rsidR="00235836" w:rsidRPr="00235836" w:rsidRDefault="00235836" w:rsidP="00235836">
      <w:pPr>
        <w:pStyle w:val="NoSpacing"/>
        <w:ind w:left="720"/>
        <w:rPr>
          <w:rFonts w:ascii="Times New Roman" w:hAnsi="Times New Roman"/>
          <w:sz w:val="24"/>
          <w:szCs w:val="24"/>
        </w:rPr>
      </w:pPr>
    </w:p>
    <w:p w14:paraId="02412C37" w14:textId="77777777" w:rsidR="00235836" w:rsidRPr="00235836" w:rsidRDefault="00235836" w:rsidP="00235836">
      <w:pPr>
        <w:pStyle w:val="NoSpacing"/>
        <w:ind w:left="720"/>
        <w:rPr>
          <w:rFonts w:ascii="Times New Roman" w:hAnsi="Times New Roman"/>
          <w:sz w:val="24"/>
          <w:szCs w:val="24"/>
        </w:rPr>
      </w:pPr>
      <w:r w:rsidRPr="00235836">
        <w:rPr>
          <w:rFonts w:ascii="Times New Roman" w:hAnsi="Times New Roman"/>
          <w:sz w:val="24"/>
          <w:szCs w:val="24"/>
        </w:rPr>
        <w:t xml:space="preserve">”And Appellants' unsupported assertions notwithstanding, the summary judgment record suggests that Stacie's and Frank's relationship threatened the Chief's ability to accomplish that objective. Appellees have proffered summary judgment evidence showing that the Chief's decision to terminate Stacie bore a ‘rational relationship’ to a legitimate objective. </w:t>
      </w:r>
      <w:r w:rsidRPr="00235836">
        <w:rPr>
          <w:rFonts w:ascii="Times New Roman" w:hAnsi="Times New Roman"/>
          <w:i/>
          <w:iCs/>
          <w:sz w:val="24"/>
          <w:szCs w:val="24"/>
        </w:rPr>
        <w:t>Lewis</w:t>
      </w:r>
      <w:r w:rsidRPr="00235836">
        <w:rPr>
          <w:rFonts w:ascii="Times New Roman" w:hAnsi="Times New Roman"/>
          <w:sz w:val="24"/>
          <w:szCs w:val="24"/>
        </w:rPr>
        <w:t>, 2022 WL 10965839, at *3. Accordingly, the Chief's decision to terminate Stacie's employment passes the rational basis test.”</w:t>
      </w:r>
    </w:p>
    <w:p w14:paraId="1949E9B6" w14:textId="77777777" w:rsidR="00235836" w:rsidRPr="00235836" w:rsidRDefault="00235836" w:rsidP="00235836">
      <w:pPr>
        <w:pStyle w:val="NoSpacing"/>
        <w:ind w:left="720"/>
        <w:rPr>
          <w:rFonts w:ascii="Times New Roman" w:hAnsi="Times New Roman"/>
          <w:sz w:val="24"/>
          <w:szCs w:val="24"/>
        </w:rPr>
      </w:pPr>
    </w:p>
    <w:p w14:paraId="06D5F80A" w14:textId="77777777" w:rsidR="00235836" w:rsidRPr="00235836" w:rsidRDefault="00235836" w:rsidP="00235836">
      <w:pPr>
        <w:pStyle w:val="NoSpacing"/>
        <w:rPr>
          <w:rFonts w:ascii="Times New Roman" w:hAnsi="Times New Roman"/>
          <w:b/>
          <w:bCs/>
          <w:sz w:val="24"/>
          <w:szCs w:val="24"/>
        </w:rPr>
      </w:pPr>
      <w:r w:rsidRPr="00235836">
        <w:rPr>
          <w:rFonts w:ascii="Times New Roman" w:hAnsi="Times New Roman"/>
          <w:b/>
          <w:bCs/>
          <w:sz w:val="24"/>
          <w:szCs w:val="24"/>
        </w:rPr>
        <w:t>Legal Lesson Learned:  As the Court wrote: “Maintaining workplace order and morale and ensuring that the chain-of-command operates effectively is a legitimate objective.”</w:t>
      </w:r>
    </w:p>
    <w:p w14:paraId="59993FB8" w14:textId="77777777" w:rsidR="00235836" w:rsidRDefault="00235836" w:rsidP="00235836">
      <w:pPr>
        <w:pStyle w:val="NoSpacing"/>
        <w:jc w:val="center"/>
        <w:rPr>
          <w:szCs w:val="24"/>
        </w:rPr>
      </w:pPr>
    </w:p>
    <w:p w14:paraId="672E5680" w14:textId="77777777" w:rsidR="00235836" w:rsidRDefault="00235836" w:rsidP="00235836">
      <w:pPr>
        <w:pStyle w:val="NoSpacing"/>
        <w:rPr>
          <w:szCs w:val="24"/>
        </w:rPr>
      </w:pPr>
    </w:p>
    <w:p w14:paraId="07309D66" w14:textId="77777777" w:rsidR="00E04891" w:rsidRDefault="00E04891" w:rsidP="00F326E5">
      <w:pPr>
        <w:pStyle w:val="NoSpacing"/>
        <w:rPr>
          <w:rFonts w:ascii="Arial Black" w:hAnsi="Arial Black"/>
          <w:b/>
          <w:bCs/>
          <w:sz w:val="24"/>
          <w:szCs w:val="24"/>
        </w:rPr>
      </w:pPr>
    </w:p>
    <w:p w14:paraId="0395F36F" w14:textId="74F57258" w:rsidR="005D56E5" w:rsidRDefault="00DD6FAF" w:rsidP="00F326E5">
      <w:pPr>
        <w:pStyle w:val="NoSpacing"/>
        <w:rPr>
          <w:rFonts w:ascii="Arial Black" w:hAnsi="Arial Black"/>
          <w:b/>
          <w:bCs/>
          <w:sz w:val="24"/>
          <w:szCs w:val="24"/>
        </w:rPr>
      </w:pPr>
      <w:r>
        <w:rPr>
          <w:rFonts w:ascii="Arial Black" w:hAnsi="Arial Black"/>
          <w:b/>
          <w:bCs/>
          <w:sz w:val="24"/>
          <w:szCs w:val="24"/>
        </w:rPr>
        <w:t>7-65</w:t>
      </w:r>
    </w:p>
    <w:p w14:paraId="74C84B6B" w14:textId="77777777" w:rsidR="00D6205D" w:rsidRDefault="00D6205D" w:rsidP="00F326E5">
      <w:pPr>
        <w:pStyle w:val="NoSpacing"/>
        <w:rPr>
          <w:rFonts w:ascii="Arial Black" w:hAnsi="Arial Black"/>
          <w:b/>
          <w:bCs/>
          <w:sz w:val="24"/>
          <w:szCs w:val="24"/>
        </w:rPr>
      </w:pPr>
    </w:p>
    <w:p w14:paraId="41CF91FD" w14:textId="36FEA821" w:rsidR="00E04891" w:rsidRPr="003E239A" w:rsidRDefault="00E04891" w:rsidP="00E04891">
      <w:pPr>
        <w:pStyle w:val="NoSpacing"/>
        <w:rPr>
          <w:rFonts w:ascii="Arial Black" w:hAnsi="Arial Black"/>
          <w:sz w:val="28"/>
        </w:rPr>
      </w:pPr>
      <w:r>
        <w:rPr>
          <w:rFonts w:ascii="Arial Black" w:hAnsi="Arial Black"/>
          <w:sz w:val="28"/>
        </w:rPr>
        <w:t>VI: SHE WOKE UP FF “SUCKING ON HER BREAST” - CONT. VIOL. - PRIOR CLAIMS ALSO ADMISSIBLE</w:t>
      </w:r>
    </w:p>
    <w:p w14:paraId="28C50595" w14:textId="77777777" w:rsidR="00EA6854" w:rsidRPr="00EA6854" w:rsidRDefault="00EA6854" w:rsidP="00EA6854">
      <w:pPr>
        <w:pStyle w:val="NoSpacing"/>
        <w:rPr>
          <w:rFonts w:ascii="Times New Roman" w:hAnsi="Times New Roman"/>
          <w:sz w:val="24"/>
          <w:szCs w:val="24"/>
        </w:rPr>
      </w:pPr>
    </w:p>
    <w:p w14:paraId="2973F873" w14:textId="77777777" w:rsidR="00EA6854" w:rsidRPr="00EA6854" w:rsidRDefault="00EA6854" w:rsidP="00EA6854">
      <w:pPr>
        <w:pStyle w:val="NoSpacing"/>
        <w:rPr>
          <w:rFonts w:ascii="Times New Roman" w:hAnsi="Times New Roman"/>
          <w:sz w:val="24"/>
          <w:szCs w:val="24"/>
        </w:rPr>
      </w:pPr>
      <w:r w:rsidRPr="00EA6854">
        <w:rPr>
          <w:rFonts w:ascii="Times New Roman" w:hAnsi="Times New Roman"/>
          <w:sz w:val="24"/>
          <w:szCs w:val="24"/>
        </w:rPr>
        <w:t xml:space="preserve">On Aug. 6, 2024, </w:t>
      </w:r>
      <w:r w:rsidRPr="00EA6854">
        <w:rPr>
          <w:rFonts w:ascii="Times New Roman" w:hAnsi="Times New Roman"/>
          <w:sz w:val="24"/>
          <w:szCs w:val="24"/>
          <w:u w:val="single"/>
        </w:rPr>
        <w:t>in Syreeta Gumbs v. Government of the Virgin Island and Association of Firefighters Local 2125</w:t>
      </w:r>
      <w:r w:rsidRPr="00EA6854">
        <w:rPr>
          <w:rFonts w:ascii="Times New Roman" w:hAnsi="Times New Roman"/>
          <w:sz w:val="24"/>
          <w:szCs w:val="24"/>
        </w:rPr>
        <w:t xml:space="preserve">, Judge Denise M. Francois, Superior Court of the Virgin Island, denied the defense motion for summary judgment, finding that the FD failed to adequately investigate complaints of harassment. Her 2017 complaint about “breast sucking” was timely, however under the “continuing violation doctrine” prior incidents can also go to jury. The Court wrote: “It is reasonable to expect that when faced with a sexual harassment complaint, an employer is not relieved of its duty to ensure the work environment is free from sexual harassment once a complaint is made, regardless of whether the alleged victim cooperates or not. *** November 6, 2017, is the date of the last alleged injury…. by fellow firefighter Lionel Warrell while they were both stationed in St. John. After Hurricanes Irma and Maria destroyed the Cruz Bay fire stations' lodging quarters, firefighters working 24-hour shifts were housed at the St. John Westin, and Gumbs was given her own room within a suite. During the early morning on November 6, Gumbs was asleep in her suite when she was ‘woke up to her shirt lifted above her breast and Warrell sucking on her breast without her consent.’ Gumbs screamed and immediately told Worrell to get out of her room; she later confronted him about the incident. Warrell subsequently admitted to Gumbs' allegations.” </w:t>
      </w:r>
      <w:hyperlink r:id="rId1349" w:history="1">
        <w:r w:rsidRPr="00EA6854">
          <w:rPr>
            <w:rStyle w:val="Hyperlink"/>
            <w:rFonts w:ascii="Times New Roman" w:hAnsi="Times New Roman"/>
            <w:sz w:val="24"/>
            <w:szCs w:val="24"/>
          </w:rPr>
          <w:t>https://cdnsm5-hosted.civiclive.com/UserFiles/Servers/Server_12810747/File/Opinions/2024/st2020cv00154%2029U.pdf</w:t>
        </w:r>
      </w:hyperlink>
      <w:r w:rsidRPr="00EA6854">
        <w:rPr>
          <w:rFonts w:ascii="Times New Roman" w:hAnsi="Times New Roman"/>
          <w:sz w:val="24"/>
          <w:szCs w:val="24"/>
        </w:rPr>
        <w:t xml:space="preserve"> </w:t>
      </w:r>
    </w:p>
    <w:p w14:paraId="610F2D04" w14:textId="77777777" w:rsidR="00EA6854" w:rsidRPr="00EA6854" w:rsidRDefault="00EA6854" w:rsidP="00EA6854">
      <w:pPr>
        <w:pStyle w:val="NoSpacing"/>
        <w:rPr>
          <w:rFonts w:ascii="Times New Roman" w:hAnsi="Times New Roman"/>
          <w:sz w:val="24"/>
          <w:szCs w:val="24"/>
        </w:rPr>
      </w:pPr>
    </w:p>
    <w:p w14:paraId="1E3ED91B" w14:textId="77777777" w:rsidR="00EA6854" w:rsidRPr="00EA6854" w:rsidRDefault="00EA6854" w:rsidP="00EA6854">
      <w:pPr>
        <w:pStyle w:val="NoSpacing"/>
        <w:rPr>
          <w:rFonts w:ascii="Times New Roman" w:hAnsi="Times New Roman"/>
          <w:sz w:val="24"/>
          <w:szCs w:val="24"/>
        </w:rPr>
      </w:pPr>
      <w:r w:rsidRPr="00EA6854">
        <w:rPr>
          <w:rFonts w:ascii="Times New Roman" w:hAnsi="Times New Roman"/>
          <w:sz w:val="24"/>
          <w:szCs w:val="24"/>
        </w:rPr>
        <w:t>THE COURT HELD:</w:t>
      </w:r>
    </w:p>
    <w:p w14:paraId="6C1BB4CD" w14:textId="77777777" w:rsidR="00EA6854" w:rsidRPr="00EA6854" w:rsidRDefault="00EA6854" w:rsidP="00EA6854">
      <w:pPr>
        <w:pStyle w:val="NoSpacing"/>
        <w:rPr>
          <w:rFonts w:ascii="Times New Roman" w:hAnsi="Times New Roman"/>
          <w:sz w:val="24"/>
          <w:szCs w:val="24"/>
        </w:rPr>
      </w:pPr>
    </w:p>
    <w:p w14:paraId="7DF40E0F"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 xml:space="preserve">“Because Gumbs' most recent claimed injury occurred within the limitations period, the continuing violation doctrine renders Gumbs' 2009 and 2013 claims timely. The Court concludes that a reasonable jury could enter judgment in favor of Gumbs and consider the 2009, 2013, and 2017 incidents of alleged sexual harassment and the </w:t>
      </w:r>
      <w:proofErr w:type="gramStart"/>
      <w:r w:rsidRPr="00EA6854">
        <w:rPr>
          <w:rFonts w:ascii="Times New Roman" w:hAnsi="Times New Roman"/>
          <w:sz w:val="24"/>
          <w:szCs w:val="24"/>
        </w:rPr>
        <w:t>manner in which</w:t>
      </w:r>
      <w:proofErr w:type="gramEnd"/>
      <w:r w:rsidRPr="00EA6854">
        <w:rPr>
          <w:rFonts w:ascii="Times New Roman" w:hAnsi="Times New Roman"/>
          <w:sz w:val="24"/>
          <w:szCs w:val="24"/>
        </w:rPr>
        <w:t xml:space="preserve"> GVI handled those complaints as ongoing, discriminatory practice that created a hostile work environment. Accordingly, summary judgment is denied.</w:t>
      </w:r>
    </w:p>
    <w:p w14:paraId="16CC63BE" w14:textId="77777777" w:rsidR="00EA6854" w:rsidRPr="00EA6854" w:rsidRDefault="00EA6854" w:rsidP="00EA6854">
      <w:pPr>
        <w:pStyle w:val="NoSpacing"/>
        <w:ind w:left="720"/>
        <w:rPr>
          <w:rFonts w:ascii="Times New Roman" w:hAnsi="Times New Roman"/>
          <w:sz w:val="24"/>
          <w:szCs w:val="24"/>
        </w:rPr>
      </w:pPr>
    </w:p>
    <w:p w14:paraId="3A1B211A"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w:t>
      </w:r>
    </w:p>
    <w:p w14:paraId="3DD1BB50" w14:textId="77777777" w:rsidR="00EA6854" w:rsidRPr="00EA6854" w:rsidRDefault="00EA6854" w:rsidP="00EA6854">
      <w:pPr>
        <w:pStyle w:val="NoSpacing"/>
        <w:ind w:left="720"/>
        <w:rPr>
          <w:rFonts w:ascii="Times New Roman" w:hAnsi="Times New Roman"/>
          <w:sz w:val="24"/>
          <w:szCs w:val="24"/>
        </w:rPr>
      </w:pPr>
    </w:p>
    <w:p w14:paraId="320BAFE0"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 xml:space="preserve">Drawing all reasonable inferences in favor of Gumbs as the nonmoving party, a trier of fact could find that the incidents reported were not discrete and unrelated but were part of an ongoing discriminatory pattern or practice of sexual based harassment. Although several years lapsed between the alleged conduct, Andre Smith was the same superior to whom Gumbs reported her harassment claims to in both 2009 and 2013. Furthermore, Chief Smith acknowledged that at the time of Gumbs' initial complaint, female fire fighters were relatively new to VIFS. In addition, the agency had not dealt with sexual harassment complaints before </w:t>
      </w:r>
      <w:proofErr w:type="gramStart"/>
      <w:r w:rsidRPr="00EA6854">
        <w:rPr>
          <w:rFonts w:ascii="Times New Roman" w:hAnsi="Times New Roman"/>
          <w:sz w:val="24"/>
          <w:szCs w:val="24"/>
        </w:rPr>
        <w:t>Gumbs</w:t>
      </w:r>
      <w:proofErr w:type="gramEnd"/>
      <w:r w:rsidRPr="00EA6854">
        <w:rPr>
          <w:rFonts w:ascii="Times New Roman" w:hAnsi="Times New Roman"/>
          <w:sz w:val="24"/>
          <w:szCs w:val="24"/>
        </w:rPr>
        <w:t xml:space="preserve"> and the record demonstrates a lack of consistency in the protocol followed in response to each of her complaints.”</w:t>
      </w:r>
    </w:p>
    <w:p w14:paraId="0566E69E" w14:textId="77777777" w:rsidR="00EA6854" w:rsidRPr="00EA6854" w:rsidRDefault="00EA6854" w:rsidP="00EA6854">
      <w:pPr>
        <w:pStyle w:val="NoSpacing"/>
        <w:ind w:left="720"/>
        <w:rPr>
          <w:rFonts w:ascii="Times New Roman" w:hAnsi="Times New Roman"/>
          <w:sz w:val="24"/>
          <w:szCs w:val="24"/>
        </w:rPr>
      </w:pPr>
    </w:p>
    <w:p w14:paraId="57A9DE64" w14:textId="77777777" w:rsidR="00EA6854" w:rsidRPr="00EA6854" w:rsidRDefault="00EA6854" w:rsidP="00EA6854">
      <w:pPr>
        <w:pStyle w:val="NoSpacing"/>
        <w:rPr>
          <w:rFonts w:ascii="Times New Roman" w:hAnsi="Times New Roman"/>
          <w:sz w:val="24"/>
          <w:szCs w:val="24"/>
        </w:rPr>
      </w:pPr>
      <w:r w:rsidRPr="00EA6854">
        <w:rPr>
          <w:rFonts w:ascii="Times New Roman" w:hAnsi="Times New Roman"/>
          <w:sz w:val="24"/>
          <w:szCs w:val="24"/>
        </w:rPr>
        <w:t>FACTS:</w:t>
      </w:r>
    </w:p>
    <w:p w14:paraId="2AC57580" w14:textId="77777777" w:rsidR="00EA6854" w:rsidRPr="00EA6854" w:rsidRDefault="00EA6854" w:rsidP="00EA6854">
      <w:pPr>
        <w:pStyle w:val="NoSpacing"/>
        <w:rPr>
          <w:rFonts w:ascii="Times New Roman" w:hAnsi="Times New Roman"/>
          <w:sz w:val="24"/>
          <w:szCs w:val="24"/>
        </w:rPr>
      </w:pPr>
    </w:p>
    <w:p w14:paraId="74397ACD"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 xml:space="preserve">“Gumbs began working as a firefighter with the Virgin Islands Fire Service ("VIFS") in 2007 and alleges that she encountered sexual harassment and sexual assault at the hands of her employer. Gumbs was also a member of VIFS' associated union, the Association of Firefighters Local </w:t>
      </w:r>
      <w:proofErr w:type="gramStart"/>
      <w:r w:rsidRPr="00EA6854">
        <w:rPr>
          <w:rFonts w:ascii="Times New Roman" w:hAnsi="Times New Roman"/>
          <w:sz w:val="24"/>
          <w:szCs w:val="24"/>
        </w:rPr>
        <w:t>2125 (‘</w:t>
      </w:r>
      <w:proofErr w:type="gramEnd"/>
      <w:r w:rsidRPr="00EA6854">
        <w:rPr>
          <w:rFonts w:ascii="Times New Roman" w:hAnsi="Times New Roman"/>
          <w:sz w:val="24"/>
          <w:szCs w:val="24"/>
        </w:rPr>
        <w:t>the Union’).</w:t>
      </w:r>
    </w:p>
    <w:p w14:paraId="5C28F95D" w14:textId="77777777" w:rsidR="00EA6854" w:rsidRPr="00EA6854" w:rsidRDefault="00EA6854" w:rsidP="00EA6854">
      <w:pPr>
        <w:pStyle w:val="NoSpacing"/>
        <w:ind w:left="720"/>
        <w:rPr>
          <w:rFonts w:ascii="Times New Roman" w:hAnsi="Times New Roman"/>
          <w:sz w:val="24"/>
          <w:szCs w:val="24"/>
        </w:rPr>
      </w:pPr>
    </w:p>
    <w:p w14:paraId="2AF35E65"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w:t>
      </w:r>
    </w:p>
    <w:p w14:paraId="55791AF6"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First, in 2009, Gumbs alleges she was groped by her supervisor [Captain] that she asked to be moved to St. John as a result, and that it took a full month before action was taken on her behalf.</w:t>
      </w:r>
    </w:p>
    <w:p w14:paraId="220C3A24" w14:textId="77777777" w:rsidR="00EA6854" w:rsidRPr="00EA6854" w:rsidRDefault="00EA6854" w:rsidP="00EA6854">
      <w:pPr>
        <w:pStyle w:val="NoSpacing"/>
        <w:ind w:left="720"/>
        <w:rPr>
          <w:rFonts w:ascii="Times New Roman" w:hAnsi="Times New Roman"/>
          <w:sz w:val="24"/>
          <w:szCs w:val="24"/>
        </w:rPr>
      </w:pPr>
    </w:p>
    <w:p w14:paraId="4A1F4AB3"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w:t>
      </w:r>
    </w:p>
    <w:p w14:paraId="2D8183C7" w14:textId="77777777" w:rsidR="00EA6854" w:rsidRPr="00EA6854" w:rsidRDefault="00EA6854" w:rsidP="00EA6854">
      <w:pPr>
        <w:pStyle w:val="NoSpacing"/>
        <w:ind w:left="720"/>
        <w:rPr>
          <w:rFonts w:ascii="Times New Roman" w:hAnsi="Times New Roman"/>
          <w:sz w:val="24"/>
          <w:szCs w:val="24"/>
        </w:rPr>
      </w:pPr>
      <w:r w:rsidRPr="00EA6854">
        <w:rPr>
          <w:rFonts w:ascii="Times New Roman" w:hAnsi="Times New Roman"/>
          <w:sz w:val="24"/>
          <w:szCs w:val="24"/>
        </w:rPr>
        <w:t xml:space="preserve">Looking next to the 2013 complaint, all parties agree that Gumbs reported that Sargeant </w:t>
      </w:r>
      <w:proofErr w:type="spellStart"/>
      <w:r w:rsidRPr="00EA6854">
        <w:rPr>
          <w:rFonts w:ascii="Times New Roman" w:hAnsi="Times New Roman"/>
          <w:sz w:val="24"/>
          <w:szCs w:val="24"/>
        </w:rPr>
        <w:t>Chazmal</w:t>
      </w:r>
      <w:proofErr w:type="spellEnd"/>
      <w:r w:rsidRPr="00EA6854">
        <w:rPr>
          <w:rFonts w:ascii="Times New Roman" w:hAnsi="Times New Roman"/>
          <w:sz w:val="24"/>
          <w:szCs w:val="24"/>
        </w:rPr>
        <w:t xml:space="preserve"> Miller - a fellow firefighter who later became Gumbs' supervisor -showed her sex acts on his phone.”</w:t>
      </w:r>
    </w:p>
    <w:p w14:paraId="5CA93F76" w14:textId="77777777" w:rsidR="00EA6854" w:rsidRPr="00EA6854" w:rsidRDefault="00EA6854" w:rsidP="00EA6854">
      <w:pPr>
        <w:pStyle w:val="NoSpacing"/>
        <w:ind w:left="720"/>
        <w:rPr>
          <w:rFonts w:ascii="Times New Roman" w:hAnsi="Times New Roman"/>
          <w:sz w:val="24"/>
          <w:szCs w:val="24"/>
        </w:rPr>
      </w:pPr>
    </w:p>
    <w:p w14:paraId="63F4675C" w14:textId="77777777" w:rsidR="00EA6854" w:rsidRPr="00EA6854" w:rsidRDefault="00EA6854" w:rsidP="00EA6854">
      <w:pPr>
        <w:pStyle w:val="NoSpacing"/>
        <w:rPr>
          <w:rFonts w:ascii="Times New Roman" w:hAnsi="Times New Roman"/>
          <w:b/>
          <w:bCs/>
          <w:sz w:val="24"/>
          <w:szCs w:val="24"/>
        </w:rPr>
      </w:pPr>
      <w:r w:rsidRPr="00EA6854">
        <w:rPr>
          <w:rFonts w:ascii="Times New Roman" w:hAnsi="Times New Roman"/>
          <w:b/>
          <w:bCs/>
          <w:sz w:val="24"/>
          <w:szCs w:val="24"/>
        </w:rPr>
        <w:t>Legal Lesson Learned: Thoroughly investigate and document correct actions taken for each complaint received, including when complainant does not wish to further proceed.</w:t>
      </w:r>
    </w:p>
    <w:p w14:paraId="322E17EE" w14:textId="77777777" w:rsidR="00EA6854" w:rsidRDefault="00EA6854" w:rsidP="00EA6854">
      <w:pPr>
        <w:pStyle w:val="NoSpacing"/>
        <w:ind w:left="720"/>
        <w:rPr>
          <w:szCs w:val="24"/>
        </w:rPr>
      </w:pPr>
    </w:p>
    <w:p w14:paraId="2D58C155" w14:textId="77777777" w:rsidR="00EA6854" w:rsidRDefault="00EA6854" w:rsidP="00EA6854">
      <w:pPr>
        <w:jc w:val="center"/>
        <w:rPr>
          <w:b/>
          <w:bCs/>
          <w:szCs w:val="24"/>
        </w:rPr>
      </w:pPr>
    </w:p>
    <w:p w14:paraId="52C37CF5" w14:textId="77777777" w:rsidR="00EA6854" w:rsidRDefault="00EA6854" w:rsidP="00F326E5">
      <w:pPr>
        <w:pStyle w:val="NoSpacing"/>
        <w:rPr>
          <w:rFonts w:ascii="Arial Black" w:hAnsi="Arial Black"/>
          <w:b/>
          <w:bCs/>
          <w:sz w:val="24"/>
          <w:szCs w:val="24"/>
        </w:rPr>
      </w:pPr>
    </w:p>
    <w:p w14:paraId="02683A45" w14:textId="77777777" w:rsidR="00DD6FAF" w:rsidRDefault="00DD6FAF" w:rsidP="00F326E5">
      <w:pPr>
        <w:pStyle w:val="NoSpacing"/>
        <w:rPr>
          <w:rFonts w:ascii="Arial Black" w:hAnsi="Arial Black"/>
          <w:b/>
          <w:bCs/>
          <w:sz w:val="24"/>
          <w:szCs w:val="24"/>
        </w:rPr>
      </w:pPr>
    </w:p>
    <w:p w14:paraId="796A8043" w14:textId="77777777" w:rsidR="00DD6FAF" w:rsidRDefault="00DD6FAF" w:rsidP="00F326E5">
      <w:pPr>
        <w:pStyle w:val="NoSpacing"/>
        <w:rPr>
          <w:rFonts w:ascii="Arial Black" w:hAnsi="Arial Black"/>
          <w:b/>
          <w:bCs/>
          <w:sz w:val="24"/>
          <w:szCs w:val="24"/>
        </w:rPr>
      </w:pPr>
    </w:p>
    <w:p w14:paraId="21F311E1" w14:textId="7390145F" w:rsidR="005D56E5" w:rsidRDefault="005D56E5" w:rsidP="00F326E5">
      <w:pPr>
        <w:pStyle w:val="NoSpacing"/>
        <w:rPr>
          <w:rFonts w:ascii="Arial Black" w:hAnsi="Arial Black"/>
          <w:b/>
          <w:bCs/>
          <w:sz w:val="24"/>
          <w:szCs w:val="24"/>
        </w:rPr>
      </w:pPr>
      <w:r>
        <w:rPr>
          <w:rFonts w:ascii="Arial Black" w:hAnsi="Arial Black"/>
          <w:b/>
          <w:bCs/>
          <w:sz w:val="24"/>
          <w:szCs w:val="24"/>
        </w:rPr>
        <w:t>7-64</w:t>
      </w:r>
    </w:p>
    <w:p w14:paraId="3E499C97" w14:textId="77777777" w:rsidR="005D56E5" w:rsidRDefault="005D56E5" w:rsidP="00F326E5">
      <w:pPr>
        <w:pStyle w:val="NoSpacing"/>
        <w:rPr>
          <w:rFonts w:ascii="Arial Black" w:hAnsi="Arial Black"/>
          <w:b/>
          <w:bCs/>
          <w:sz w:val="24"/>
          <w:szCs w:val="24"/>
        </w:rPr>
      </w:pPr>
    </w:p>
    <w:p w14:paraId="6DCAEB3F" w14:textId="77777777" w:rsidR="00257D9A" w:rsidRDefault="00257D9A" w:rsidP="00257D9A">
      <w:pPr>
        <w:pStyle w:val="NormalWeb"/>
        <w:spacing w:before="0" w:beforeAutospacing="0"/>
      </w:pPr>
      <w:r>
        <w:rPr>
          <w:rFonts w:ascii="Arial Black" w:hAnsi="Arial Black"/>
          <w:sz w:val="28"/>
          <w:szCs w:val="28"/>
        </w:rPr>
        <w:t>NB: FEMALE FF FIRED – INVEST. CAPT.  WAREHOUSE FIRE – WON ARBITRATION - CITY SETTLES $650K / ATTY FEES</w:t>
      </w:r>
    </w:p>
    <w:p w14:paraId="1CAFC6BA" w14:textId="77777777" w:rsidR="00257D9A" w:rsidRDefault="00257D9A" w:rsidP="00257D9A">
      <w:pPr>
        <w:rPr>
          <w:rFonts w:ascii="Times New Roman" w:hAnsi="Times New Roman"/>
          <w:sz w:val="24"/>
          <w:szCs w:val="24"/>
        </w:rPr>
      </w:pPr>
      <w:r w:rsidRPr="00A73A7C">
        <w:rPr>
          <w:rFonts w:ascii="Times New Roman" w:hAnsi="Times New Roman"/>
          <w:sz w:val="24"/>
          <w:szCs w:val="24"/>
        </w:rPr>
        <w:t xml:space="preserve">On May 13, 2024, in </w:t>
      </w:r>
      <w:r w:rsidRPr="00A73A7C">
        <w:rPr>
          <w:rFonts w:ascii="Times New Roman" w:hAnsi="Times New Roman"/>
          <w:sz w:val="24"/>
          <w:szCs w:val="24"/>
          <w:u w:val="single"/>
        </w:rPr>
        <w:t>Amanda Benson v. City of Lincoln, et al</w:t>
      </w:r>
      <w:r w:rsidRPr="00A73A7C">
        <w:rPr>
          <w:rFonts w:ascii="Times New Roman" w:hAnsi="Times New Roman"/>
          <w:sz w:val="24"/>
          <w:szCs w:val="24"/>
        </w:rPr>
        <w:t>., United States District Court Judge Brian C. Buescher</w:t>
      </w:r>
      <w:r>
        <w:rPr>
          <w:rFonts w:ascii="Times New Roman" w:hAnsi="Times New Roman"/>
          <w:sz w:val="24"/>
          <w:szCs w:val="24"/>
        </w:rPr>
        <w:t xml:space="preserve"> greatly reduced attorney fees to be award to the plaintiff’s attorneys for “over litigation” of the case [claim. $1,666,600, but court awarded only $638,156].   The judge first described how litigation arose.</w:t>
      </w:r>
    </w:p>
    <w:p w14:paraId="1E678458" w14:textId="77777777" w:rsidR="00257D9A" w:rsidRDefault="00257D9A" w:rsidP="00257D9A">
      <w:pPr>
        <w:pStyle w:val="NormalWeb"/>
        <w:ind w:left="720"/>
      </w:pPr>
      <w:r>
        <w:t xml:space="preserve">“Matters between Benson and Mahler came to a head on April 26, 2021, when LFR was called to a cardboard fire within a warehouse. </w:t>
      </w:r>
      <w:r>
        <w:rPr>
          <w:rStyle w:val="Emphasis"/>
          <w:rFonts w:eastAsiaTheme="majorEastAsia"/>
        </w:rPr>
        <w:t>Filing 378 at 43</w:t>
      </w:r>
      <w:r>
        <w:t xml:space="preserve"> (¶ 224). Benson and T1 arrived at the scene before Mahler and T8. </w:t>
      </w:r>
      <w:r>
        <w:rPr>
          <w:rStyle w:val="Emphasis"/>
          <w:rFonts w:eastAsiaTheme="majorEastAsia"/>
        </w:rPr>
        <w:t>Filing 378 at 44</w:t>
      </w:r>
      <w:r>
        <w:t xml:space="preserve"> (¶ 233). Mahler and his crew were called to the warehouse fire mid-morning. </w:t>
      </w:r>
      <w:proofErr w:type="gramStart"/>
      <w:r>
        <w:rPr>
          <w:rStyle w:val="Emphasis"/>
          <w:rFonts w:eastAsiaTheme="majorEastAsia"/>
        </w:rPr>
        <w:t>Filing</w:t>
      </w:r>
      <w:proofErr w:type="gramEnd"/>
      <w:r>
        <w:rPr>
          <w:rStyle w:val="Emphasis"/>
          <w:rFonts w:eastAsiaTheme="majorEastAsia"/>
        </w:rPr>
        <w:t xml:space="preserve"> 378 at 44</w:t>
      </w:r>
      <w:r>
        <w:t xml:space="preserve"> (¶ 230). The parties disputed several circumstances about that fire and the interaction between Benson and Mahler during that fire. When Benson spoke to and submitted a complaint to her superiors at LFR on May 5, 2021, Benson alleged Mahler had abandoned her during the fire, and that she and her crew could have been killed or injured. </w:t>
      </w:r>
      <w:r>
        <w:rPr>
          <w:rStyle w:val="Emphasis"/>
          <w:rFonts w:eastAsiaTheme="majorEastAsia"/>
        </w:rPr>
        <w:t>Filing 397 at 59</w:t>
      </w:r>
      <w:r>
        <w:t xml:space="preserve"> (¶ 290) (admitting this much of ¶ 290). The LFR </w:t>
      </w:r>
      <w:proofErr w:type="gramStart"/>
      <w:r>
        <w:t>conducted an investigation</w:t>
      </w:r>
      <w:proofErr w:type="gramEnd"/>
      <w:r>
        <w:t xml:space="preserve"> that found no rules violations, although Benson disputed its adequacy. </w:t>
      </w:r>
      <w:proofErr w:type="gramStart"/>
      <w:r>
        <w:rPr>
          <w:rStyle w:val="Emphasis"/>
          <w:rFonts w:eastAsiaTheme="majorEastAsia"/>
        </w:rPr>
        <w:t>Filing</w:t>
      </w:r>
      <w:proofErr w:type="gramEnd"/>
      <w:r>
        <w:rPr>
          <w:rStyle w:val="Emphasis"/>
          <w:rFonts w:eastAsiaTheme="majorEastAsia"/>
        </w:rPr>
        <w:t xml:space="preserve"> 397 at</w:t>
      </w:r>
      <w:r>
        <w:t xml:space="preserve"> </w:t>
      </w:r>
      <w:r>
        <w:rPr>
          <w:rStyle w:val="Emphasis"/>
          <w:rFonts w:eastAsiaTheme="majorEastAsia"/>
        </w:rPr>
        <w:t>60</w:t>
      </w:r>
      <w:r>
        <w:t xml:space="preserve"> (¶ 292). </w:t>
      </w:r>
    </w:p>
    <w:p w14:paraId="044CF558" w14:textId="77777777" w:rsidR="00257D9A" w:rsidRDefault="00257D9A" w:rsidP="00257D9A">
      <w:pPr>
        <w:pStyle w:val="NormalWeb"/>
        <w:ind w:left="720"/>
      </w:pPr>
      <w:r>
        <w:t>***</w:t>
      </w:r>
    </w:p>
    <w:p w14:paraId="176CEE7D" w14:textId="77777777" w:rsidR="00257D9A" w:rsidRDefault="00257D9A" w:rsidP="00257D9A">
      <w:pPr>
        <w:pStyle w:val="NormalWeb"/>
        <w:ind w:left="720"/>
      </w:pPr>
      <w:r>
        <w:t xml:space="preserve">After pre-disciplinary investigations and proceedings, Benson was terminated effective November 2, 2021. </w:t>
      </w:r>
      <w:r>
        <w:rPr>
          <w:rStyle w:val="Emphasis"/>
          <w:rFonts w:eastAsiaTheme="majorEastAsia"/>
        </w:rPr>
        <w:t>Filing 394 at 1</w:t>
      </w:r>
      <w:r>
        <w:t xml:space="preserve"> (¶ 1); </w:t>
      </w:r>
      <w:r>
        <w:rPr>
          <w:rStyle w:val="Emphasis"/>
          <w:rFonts w:eastAsiaTheme="majorEastAsia"/>
        </w:rPr>
        <w:t>see also</w:t>
      </w:r>
      <w:r>
        <w:t xml:space="preserve"> </w:t>
      </w:r>
      <w:r>
        <w:rPr>
          <w:rStyle w:val="Emphasis"/>
          <w:rFonts w:eastAsiaTheme="majorEastAsia"/>
        </w:rPr>
        <w:t>Filing 380</w:t>
      </w:r>
      <w:r>
        <w:t xml:space="preserve">-83 at 4 (dismissal letter). Fire Chief David Engler, who is not a party to this litigation, determined that Benson had made false allegations against Mahler and that her actions were ‘a direct hindrance to the effective performance of LFR's functions and reflect[ed] undue discredit upon the department,’ establishing ‘good cause’ for dismissal. </w:t>
      </w:r>
      <w:r>
        <w:rPr>
          <w:rStyle w:val="Emphasis"/>
          <w:rFonts w:eastAsiaTheme="majorEastAsia"/>
        </w:rPr>
        <w:t>Filing 380 at 3</w:t>
      </w:r>
      <w:r>
        <w:t xml:space="preserve"> (dismissal letter). </w:t>
      </w:r>
    </w:p>
    <w:p w14:paraId="4905E9C2" w14:textId="77777777" w:rsidR="00257D9A" w:rsidRDefault="00257D9A" w:rsidP="00257D9A">
      <w:pPr>
        <w:pStyle w:val="NormalWeb"/>
        <w:ind w:left="720"/>
      </w:pPr>
      <w:r>
        <w:t>***</w:t>
      </w:r>
    </w:p>
    <w:p w14:paraId="02E581BC" w14:textId="77777777" w:rsidR="00257D9A" w:rsidRDefault="00257D9A" w:rsidP="00257D9A">
      <w:pPr>
        <w:pStyle w:val="NormalWeb"/>
        <w:ind w:left="720"/>
      </w:pPr>
      <w:r>
        <w:t xml:space="preserve">Plaintiff's Motion for Approval of Application for Attorney Fees, Expenses, and Costs, </w:t>
      </w:r>
      <w:proofErr w:type="gramStart"/>
      <w:r>
        <w:rPr>
          <w:rStyle w:val="Emphasis"/>
          <w:rFonts w:eastAsiaTheme="majorEastAsia"/>
        </w:rPr>
        <w:t>Filing</w:t>
      </w:r>
      <w:proofErr w:type="gramEnd"/>
      <w:r>
        <w:rPr>
          <w:rStyle w:val="Emphasis"/>
          <w:rFonts w:eastAsiaTheme="majorEastAsia"/>
        </w:rPr>
        <w:t xml:space="preserve"> 502,</w:t>
      </w:r>
      <w:r>
        <w:t xml:space="preserve"> and Plaintiff's Supplemental Motion for Approval of Supplemental Application for Attorney Fees, Expenses, and Costs, </w:t>
      </w:r>
      <w:proofErr w:type="gramStart"/>
      <w:r>
        <w:rPr>
          <w:rStyle w:val="Emphasis"/>
          <w:rFonts w:eastAsiaTheme="majorEastAsia"/>
        </w:rPr>
        <w:t>Filing</w:t>
      </w:r>
      <w:proofErr w:type="gramEnd"/>
      <w:r>
        <w:rPr>
          <w:rStyle w:val="Emphasis"/>
          <w:rFonts w:eastAsiaTheme="majorEastAsia"/>
        </w:rPr>
        <w:t xml:space="preserve"> 513,</w:t>
      </w:r>
      <w:r>
        <w:t xml:space="preserve"> are granted in part and denied in part as follows: </w:t>
      </w:r>
    </w:p>
    <w:p w14:paraId="39AEBD00" w14:textId="77777777" w:rsidR="00257D9A" w:rsidRPr="00F81F98" w:rsidRDefault="00257D9A" w:rsidP="00257D9A">
      <w:pPr>
        <w:ind w:left="720" w:firstLine="720"/>
        <w:rPr>
          <w:rFonts w:ascii="Times New Roman" w:hAnsi="Times New Roman"/>
          <w:sz w:val="24"/>
          <w:szCs w:val="24"/>
        </w:rPr>
      </w:pPr>
      <w:r w:rsidRPr="00F81F98">
        <w:rPr>
          <w:rFonts w:ascii="Times New Roman" w:hAnsi="Times New Roman"/>
          <w:sz w:val="24"/>
          <w:szCs w:val="24"/>
        </w:rPr>
        <w:t xml:space="preserve">a. Plaintiff is awarded $638,156.07 in attorney fees; and </w:t>
      </w:r>
    </w:p>
    <w:p w14:paraId="7F956936" w14:textId="77777777" w:rsidR="00257D9A" w:rsidRPr="00F81F98" w:rsidRDefault="00257D9A" w:rsidP="00257D9A">
      <w:pPr>
        <w:ind w:left="720" w:firstLine="720"/>
        <w:rPr>
          <w:rFonts w:ascii="Times New Roman" w:hAnsi="Times New Roman"/>
          <w:sz w:val="24"/>
          <w:szCs w:val="24"/>
        </w:rPr>
      </w:pPr>
      <w:r w:rsidRPr="00F81F98">
        <w:rPr>
          <w:rFonts w:ascii="Times New Roman" w:hAnsi="Times New Roman"/>
          <w:sz w:val="24"/>
          <w:szCs w:val="24"/>
        </w:rPr>
        <w:t xml:space="preserve">b. Plaintiff is awarded $88,719.97 in expenses and costs. </w:t>
      </w:r>
    </w:p>
    <w:p w14:paraId="6A983F8D" w14:textId="21F24703" w:rsidR="00257D9A" w:rsidRDefault="00257D9A" w:rsidP="00257D9A">
      <w:pPr>
        <w:pStyle w:val="NoSpacing"/>
        <w:rPr>
          <w:rStyle w:val="Hyperlink"/>
          <w:rFonts w:ascii="Times New Roman" w:hAnsi="Times New Roman"/>
          <w:sz w:val="24"/>
          <w:szCs w:val="24"/>
        </w:rPr>
      </w:pPr>
      <w:hyperlink r:id="rId1350" w:history="1">
        <w:r w:rsidRPr="008C767B">
          <w:rPr>
            <w:rStyle w:val="Hyperlink"/>
            <w:rFonts w:ascii="Times New Roman" w:hAnsi="Times New Roman"/>
            <w:sz w:val="24"/>
            <w:szCs w:val="24"/>
          </w:rPr>
          <w:t>https://public.fastcase.com/H1P9uiW3J20SFp%2BGCG%2BxLdAy%2Fo69TrR1K6MVQcVakXAVjkfoheCj%2FALYO7mhCcaM?utm_medium=email&amp;_hsenc=p2ANqtz-_QVKpYjRM7B2Q5-sqKd1q9ccEl8nSIxeJoGOvaUfjL9Y5LBcGC98GOiGM8SvSGdTXKNaMFLIGTEL-_cGBVPHnVUR_G4Q&amp;_hsmi=226712652&amp;utm_content=226712652&amp;utm_source=hs_email</w:t>
        </w:r>
      </w:hyperlink>
    </w:p>
    <w:p w14:paraId="275B6416" w14:textId="77777777" w:rsidR="00DD0039" w:rsidRPr="00F81F98" w:rsidRDefault="00DD0039" w:rsidP="00DD0039">
      <w:pPr>
        <w:rPr>
          <w:rFonts w:ascii="Times New Roman" w:hAnsi="Times New Roman"/>
          <w:b/>
          <w:bCs/>
          <w:sz w:val="24"/>
          <w:szCs w:val="24"/>
        </w:rPr>
      </w:pPr>
      <w:r w:rsidRPr="00F81F98">
        <w:rPr>
          <w:rFonts w:ascii="Times New Roman" w:hAnsi="Times New Roman"/>
          <w:b/>
          <w:bCs/>
          <w:sz w:val="24"/>
          <w:szCs w:val="24"/>
        </w:rPr>
        <w:t xml:space="preserve">Legal Lesson Learned: </w:t>
      </w:r>
      <w:r>
        <w:rPr>
          <w:rFonts w:ascii="Times New Roman" w:hAnsi="Times New Roman"/>
          <w:b/>
          <w:bCs/>
          <w:sz w:val="24"/>
          <w:szCs w:val="24"/>
        </w:rPr>
        <w:t xml:space="preserve">Case wisely settled; along with another case by female FF – see below.   </w:t>
      </w:r>
    </w:p>
    <w:p w14:paraId="781B5C9B" w14:textId="77777777" w:rsidR="00DD0039" w:rsidRPr="00C4461F" w:rsidRDefault="00DD0039" w:rsidP="00DD0039">
      <w:pPr>
        <w:ind w:left="720"/>
        <w:rPr>
          <w:rFonts w:ascii="Times New Roman" w:hAnsi="Times New Roman"/>
          <w:sz w:val="24"/>
          <w:szCs w:val="24"/>
        </w:rPr>
      </w:pPr>
      <w:r>
        <w:rPr>
          <w:rFonts w:ascii="Times New Roman" w:hAnsi="Times New Roman"/>
          <w:sz w:val="24"/>
          <w:szCs w:val="24"/>
        </w:rPr>
        <w:t xml:space="preserve">Note:  Feb. 5, </w:t>
      </w:r>
      <w:proofErr w:type="gramStart"/>
      <w:r>
        <w:rPr>
          <w:rFonts w:ascii="Times New Roman" w:hAnsi="Times New Roman"/>
          <w:sz w:val="24"/>
          <w:szCs w:val="24"/>
        </w:rPr>
        <w:t>2024</w:t>
      </w:r>
      <w:proofErr w:type="gramEnd"/>
      <w:r>
        <w:rPr>
          <w:rFonts w:ascii="Times New Roman" w:hAnsi="Times New Roman"/>
          <w:sz w:val="24"/>
          <w:szCs w:val="24"/>
        </w:rPr>
        <w:t xml:space="preserve"> article. “</w:t>
      </w:r>
      <w:r w:rsidRPr="00C4461F">
        <w:rPr>
          <w:rFonts w:ascii="Times New Roman" w:hAnsi="Times New Roman"/>
          <w:sz w:val="24"/>
          <w:szCs w:val="24"/>
        </w:rPr>
        <w:t>City of Lincoln settles LFR sexual discrimination lawsuits for $900,000</w:t>
      </w:r>
      <w:r>
        <w:rPr>
          <w:rFonts w:ascii="Times New Roman" w:hAnsi="Times New Roman"/>
          <w:sz w:val="24"/>
          <w:szCs w:val="24"/>
        </w:rPr>
        <w:t xml:space="preserve">.” </w:t>
      </w:r>
      <w:hyperlink r:id="rId1351" w:history="1">
        <w:r w:rsidRPr="008C767B">
          <w:rPr>
            <w:rStyle w:val="Hyperlink"/>
            <w:rFonts w:ascii="Times New Roman" w:hAnsi="Times New Roman"/>
            <w:sz w:val="24"/>
            <w:szCs w:val="24"/>
          </w:rPr>
          <w:t>https://www.1011now.com/2024/02/05/city-lincoln-settles-lfr-sexual-discrimination-lawsuits-900000/</w:t>
        </w:r>
      </w:hyperlink>
      <w:r>
        <w:rPr>
          <w:rFonts w:ascii="Times New Roman" w:hAnsi="Times New Roman"/>
          <w:sz w:val="24"/>
          <w:szCs w:val="24"/>
        </w:rPr>
        <w:t xml:space="preserve"> </w:t>
      </w:r>
    </w:p>
    <w:p w14:paraId="4CBCA47D" w14:textId="77777777" w:rsidR="00DD0039" w:rsidRDefault="00DD0039" w:rsidP="00DD0039">
      <w:pPr>
        <w:pStyle w:val="text"/>
        <w:ind w:left="1440"/>
      </w:pPr>
      <w:r>
        <w:t>“The city of Lincoln has settled two lawsuits which alleged sexual discrimination against two former firefighters. City officials released settlement agreements for Jessie Lundvall and Amanda Benson, both of whom had been fired following their lawsuits. Lundvall and Benson will be paid $250,000 and $650,000, respectively. The agreements also ensure city officials and the former firefighters won’t defame one another. In the settlement, the city denied any wrongdoing. Notably, Benson’s agreement allows her to continue pursuing a separate claim against the city as well as her disability pension. Lundvall’s agreement also acknowledges her good standing within Lincoln Fire and Rescue. Benson’s agreement, however, prevents her ability to be reemployed by the city at any time.”</w:t>
      </w:r>
    </w:p>
    <w:p w14:paraId="69D83AF9" w14:textId="77777777" w:rsidR="00DD0039" w:rsidRDefault="00DD0039" w:rsidP="00257D9A">
      <w:pPr>
        <w:pStyle w:val="NoSpacing"/>
        <w:rPr>
          <w:rFonts w:ascii="Arial Black" w:hAnsi="Arial Black"/>
          <w:b/>
          <w:bCs/>
          <w:sz w:val="24"/>
          <w:szCs w:val="24"/>
        </w:rPr>
      </w:pPr>
    </w:p>
    <w:p w14:paraId="2BC5CA4C" w14:textId="77777777" w:rsidR="005D56E5" w:rsidRDefault="005D56E5" w:rsidP="00F326E5">
      <w:pPr>
        <w:pStyle w:val="NoSpacing"/>
        <w:rPr>
          <w:rFonts w:ascii="Arial Black" w:hAnsi="Arial Black"/>
          <w:b/>
          <w:bCs/>
          <w:sz w:val="24"/>
          <w:szCs w:val="24"/>
        </w:rPr>
      </w:pPr>
    </w:p>
    <w:p w14:paraId="24204AB4" w14:textId="77777777" w:rsidR="005D56E5" w:rsidRDefault="005D56E5" w:rsidP="00F326E5">
      <w:pPr>
        <w:pStyle w:val="NoSpacing"/>
        <w:rPr>
          <w:rFonts w:ascii="Arial Black" w:hAnsi="Arial Black"/>
          <w:b/>
          <w:bCs/>
          <w:sz w:val="24"/>
          <w:szCs w:val="24"/>
        </w:rPr>
      </w:pPr>
    </w:p>
    <w:p w14:paraId="4AAD97AF" w14:textId="77777777" w:rsidR="005D56E5" w:rsidRDefault="005D56E5" w:rsidP="00F326E5">
      <w:pPr>
        <w:pStyle w:val="NoSpacing"/>
        <w:rPr>
          <w:rFonts w:ascii="Arial Black" w:hAnsi="Arial Black"/>
          <w:b/>
          <w:bCs/>
          <w:sz w:val="24"/>
          <w:szCs w:val="24"/>
        </w:rPr>
      </w:pPr>
    </w:p>
    <w:p w14:paraId="6741A460" w14:textId="05DEAD5E" w:rsidR="00B52921" w:rsidRDefault="009C6DC9" w:rsidP="00F326E5">
      <w:pPr>
        <w:pStyle w:val="NoSpacing"/>
        <w:rPr>
          <w:rFonts w:ascii="Arial Black" w:hAnsi="Arial Black"/>
          <w:b/>
          <w:bCs/>
          <w:sz w:val="24"/>
          <w:szCs w:val="24"/>
        </w:rPr>
      </w:pPr>
      <w:r>
        <w:rPr>
          <w:rFonts w:ascii="Arial Black" w:hAnsi="Arial Black"/>
          <w:b/>
          <w:bCs/>
          <w:sz w:val="24"/>
          <w:szCs w:val="24"/>
        </w:rPr>
        <w:t>7-63</w:t>
      </w:r>
    </w:p>
    <w:p w14:paraId="5CF10875" w14:textId="77777777" w:rsidR="009C6DC9" w:rsidRDefault="009C6DC9" w:rsidP="00F326E5">
      <w:pPr>
        <w:pStyle w:val="NoSpacing"/>
        <w:rPr>
          <w:rFonts w:ascii="Arial Black" w:hAnsi="Arial Black"/>
          <w:b/>
          <w:bCs/>
          <w:sz w:val="24"/>
          <w:szCs w:val="24"/>
        </w:rPr>
      </w:pPr>
    </w:p>
    <w:p w14:paraId="572EC960" w14:textId="77777777" w:rsidR="0038653D" w:rsidRDefault="0038653D" w:rsidP="0038653D">
      <w:pPr>
        <w:pStyle w:val="NoSpacing"/>
        <w:rPr>
          <w:rFonts w:ascii="Arial Black" w:hAnsi="Arial Black"/>
          <w:sz w:val="28"/>
          <w:szCs w:val="28"/>
          <w:shd w:val="clear" w:color="auto" w:fill="FFFFFF"/>
        </w:rPr>
      </w:pPr>
      <w:r>
        <w:rPr>
          <w:rFonts w:ascii="Arial Black" w:hAnsi="Arial Black"/>
          <w:sz w:val="28"/>
          <w:szCs w:val="28"/>
          <w:shd w:val="clear" w:color="auto" w:fill="FFFFFF"/>
        </w:rPr>
        <w:t>U.S. SUP. CT: FEMALE POLICE OFFICER - JOB TRANSFER WITH NO LOSS OF PAY – LAWSUIT PROCEED “SOME HARM”</w:t>
      </w:r>
    </w:p>
    <w:p w14:paraId="38F059B1" w14:textId="77777777" w:rsidR="0038653D" w:rsidRDefault="0038653D" w:rsidP="0038653D">
      <w:pPr>
        <w:pStyle w:val="NoSpacing"/>
        <w:rPr>
          <w:rFonts w:ascii="Arial Black" w:hAnsi="Arial Black"/>
          <w:sz w:val="28"/>
          <w:szCs w:val="28"/>
          <w:shd w:val="clear" w:color="auto" w:fill="FFFFFF"/>
        </w:rPr>
      </w:pPr>
    </w:p>
    <w:p w14:paraId="77ADB1C4" w14:textId="77777777" w:rsidR="0038653D" w:rsidRDefault="0038653D" w:rsidP="0038653D">
      <w:pPr>
        <w:pStyle w:val="NoSpacing"/>
        <w:rPr>
          <w:rFonts w:ascii="Times New Roman" w:hAnsi="Times New Roman"/>
          <w:sz w:val="24"/>
          <w:szCs w:val="24"/>
        </w:rPr>
      </w:pPr>
      <w:r>
        <w:rPr>
          <w:rFonts w:ascii="Times New Roman" w:hAnsi="Times New Roman"/>
          <w:sz w:val="24"/>
          <w:szCs w:val="24"/>
          <w:shd w:val="clear" w:color="auto" w:fill="FFFFFF"/>
        </w:rPr>
        <w:t xml:space="preserve">On April 17, 2024, in </w:t>
      </w:r>
      <w:r w:rsidRPr="00512F10">
        <w:rPr>
          <w:rFonts w:ascii="Times New Roman" w:hAnsi="Times New Roman"/>
          <w:sz w:val="24"/>
          <w:szCs w:val="24"/>
          <w:u w:val="single"/>
          <w:shd w:val="clear" w:color="auto" w:fill="FFFFFF"/>
        </w:rPr>
        <w:t>Jatonya Clayborn Muldrow v. City of St. Louis, Missouri, et al</w:t>
      </w:r>
      <w:r>
        <w:rPr>
          <w:rFonts w:ascii="Times New Roman" w:hAnsi="Times New Roman"/>
          <w:sz w:val="24"/>
          <w:szCs w:val="24"/>
          <w:shd w:val="clear" w:color="auto" w:fill="FFFFFF"/>
        </w:rPr>
        <w:t>., the United States Supreme Court held (9 to 0) that Police Sergeant Muldrow’s lawsuit may proceed with pre-trial discovery; the case had been dismissed by a U.S. District Court judge, and the dismissal upheld by three-judge panel of U.S. Court of Appeals for 8</w:t>
      </w:r>
      <w:r w:rsidRPr="003A2084">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T</w:t>
      </w:r>
      <w:r w:rsidRPr="00AD5F6F">
        <w:rPr>
          <w:rFonts w:ascii="Times New Roman" w:hAnsi="Times New Roman"/>
          <w:sz w:val="24"/>
          <w:szCs w:val="24"/>
          <w:shd w:val="clear" w:color="auto" w:fill="FFFFFF"/>
        </w:rPr>
        <w:t xml:space="preserve">he </w:t>
      </w:r>
      <w:r>
        <w:rPr>
          <w:rFonts w:ascii="Times New Roman" w:hAnsi="Times New Roman"/>
          <w:sz w:val="24"/>
          <w:szCs w:val="24"/>
          <w:shd w:val="clear" w:color="auto" w:fill="FFFFFF"/>
        </w:rPr>
        <w:t xml:space="preserve">U.S. Supreme </w:t>
      </w:r>
      <w:r w:rsidRPr="00AD5F6F">
        <w:rPr>
          <w:rFonts w:ascii="Times New Roman" w:hAnsi="Times New Roman"/>
          <w:sz w:val="24"/>
          <w:szCs w:val="24"/>
          <w:shd w:val="clear" w:color="auto" w:fill="FFFFFF"/>
        </w:rPr>
        <w:t xml:space="preserve">Court held (opinion by Justice </w:t>
      </w:r>
      <w:r w:rsidRPr="00AD5F6F">
        <w:rPr>
          <w:rFonts w:ascii="Times New Roman" w:hAnsi="Times New Roman"/>
          <w:sz w:val="24"/>
          <w:szCs w:val="24"/>
        </w:rPr>
        <w:t>Elena Kagan) held:</w:t>
      </w:r>
    </w:p>
    <w:p w14:paraId="5D899D91" w14:textId="77777777" w:rsidR="0038653D" w:rsidRDefault="0038653D" w:rsidP="0038653D">
      <w:pPr>
        <w:pStyle w:val="NoSpacing"/>
        <w:rPr>
          <w:rFonts w:ascii="Times New Roman" w:hAnsi="Times New Roman"/>
          <w:sz w:val="24"/>
          <w:szCs w:val="24"/>
        </w:rPr>
      </w:pPr>
    </w:p>
    <w:p w14:paraId="036EBD23" w14:textId="77777777" w:rsidR="0038653D" w:rsidRDefault="0038653D" w:rsidP="0038653D">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1855A6">
        <w:rPr>
          <w:rFonts w:ascii="Times New Roman" w:hAnsi="Times New Roman"/>
          <w:sz w:val="24"/>
          <w:szCs w:val="24"/>
          <w:shd w:val="clear" w:color="auto" w:fill="FFFFFF"/>
        </w:rPr>
        <w:t>The courts below rejected the claim on the ground that the</w:t>
      </w:r>
      <w:r>
        <w:rPr>
          <w:rFonts w:ascii="Times New Roman" w:hAnsi="Times New Roman"/>
          <w:sz w:val="24"/>
          <w:szCs w:val="24"/>
          <w:shd w:val="clear" w:color="auto" w:fill="FFFFFF"/>
        </w:rPr>
        <w:t xml:space="preserve"> </w:t>
      </w:r>
      <w:r w:rsidRPr="001855A6">
        <w:rPr>
          <w:rFonts w:ascii="Times New Roman" w:hAnsi="Times New Roman"/>
          <w:sz w:val="24"/>
          <w:szCs w:val="24"/>
          <w:shd w:val="clear" w:color="auto" w:fill="FFFFFF"/>
        </w:rPr>
        <w:t xml:space="preserve">transfer did not cause Muldrow a </w:t>
      </w:r>
      <w:r>
        <w:rPr>
          <w:rFonts w:ascii="Times New Roman" w:hAnsi="Times New Roman"/>
          <w:sz w:val="24"/>
          <w:szCs w:val="24"/>
          <w:shd w:val="clear" w:color="auto" w:fill="FFFFFF"/>
        </w:rPr>
        <w:t>‘</w:t>
      </w:r>
      <w:r w:rsidRPr="001855A6">
        <w:rPr>
          <w:rFonts w:ascii="Times New Roman" w:hAnsi="Times New Roman"/>
          <w:sz w:val="24"/>
          <w:szCs w:val="24"/>
          <w:shd w:val="clear" w:color="auto" w:fill="FFFFFF"/>
        </w:rPr>
        <w:t>significant</w:t>
      </w:r>
      <w:r>
        <w:rPr>
          <w:rFonts w:ascii="Times New Roman" w:hAnsi="Times New Roman"/>
          <w:sz w:val="24"/>
          <w:szCs w:val="24"/>
          <w:shd w:val="clear" w:color="auto" w:fill="FFFFFF"/>
        </w:rPr>
        <w:t>’</w:t>
      </w:r>
      <w:r w:rsidRPr="001855A6">
        <w:rPr>
          <w:rFonts w:ascii="Times New Roman" w:hAnsi="Times New Roman"/>
          <w:sz w:val="24"/>
          <w:szCs w:val="24"/>
          <w:shd w:val="clear" w:color="auto" w:fill="FFFFFF"/>
        </w:rPr>
        <w:t xml:space="preserve"> employment</w:t>
      </w:r>
      <w:r>
        <w:rPr>
          <w:rFonts w:ascii="Times New Roman" w:hAnsi="Times New Roman"/>
          <w:sz w:val="24"/>
          <w:szCs w:val="24"/>
          <w:shd w:val="clear" w:color="auto" w:fill="FFFFFF"/>
        </w:rPr>
        <w:t xml:space="preserve"> </w:t>
      </w:r>
      <w:r w:rsidRPr="001855A6">
        <w:rPr>
          <w:rFonts w:ascii="Times New Roman" w:hAnsi="Times New Roman"/>
          <w:sz w:val="24"/>
          <w:szCs w:val="24"/>
          <w:shd w:val="clear" w:color="auto" w:fill="FFFFFF"/>
        </w:rPr>
        <w:t>disadvantage. Other courts have used similar standards in</w:t>
      </w:r>
      <w:r>
        <w:rPr>
          <w:rFonts w:ascii="Times New Roman" w:hAnsi="Times New Roman"/>
          <w:sz w:val="24"/>
          <w:szCs w:val="24"/>
          <w:shd w:val="clear" w:color="auto" w:fill="FFFFFF"/>
        </w:rPr>
        <w:t xml:space="preserve"> </w:t>
      </w:r>
      <w:r w:rsidRPr="001855A6">
        <w:rPr>
          <w:rFonts w:ascii="Times New Roman" w:hAnsi="Times New Roman"/>
          <w:sz w:val="24"/>
          <w:szCs w:val="24"/>
          <w:shd w:val="clear" w:color="auto" w:fill="FFFFFF"/>
        </w:rPr>
        <w:t>addressing Title VII suits arising from job transfers.</w:t>
      </w:r>
      <w:r>
        <w:rPr>
          <w:rFonts w:ascii="Times New Roman" w:hAnsi="Times New Roman"/>
          <w:sz w:val="24"/>
          <w:szCs w:val="24"/>
          <w:shd w:val="clear" w:color="auto" w:fill="FFFFFF"/>
        </w:rPr>
        <w:t xml:space="preserve"> </w:t>
      </w:r>
      <w:r w:rsidRPr="001855A6">
        <w:rPr>
          <w:rFonts w:ascii="Times New Roman" w:hAnsi="Times New Roman"/>
          <w:sz w:val="24"/>
          <w:szCs w:val="24"/>
          <w:shd w:val="clear" w:color="auto" w:fill="FFFFFF"/>
        </w:rPr>
        <w:t xml:space="preserve">Today, we </w:t>
      </w:r>
      <w:proofErr w:type="gramStart"/>
      <w:r w:rsidRPr="001855A6">
        <w:rPr>
          <w:rFonts w:ascii="Times New Roman" w:hAnsi="Times New Roman"/>
          <w:sz w:val="24"/>
          <w:szCs w:val="24"/>
          <w:shd w:val="clear" w:color="auto" w:fill="FFFFFF"/>
        </w:rPr>
        <w:t>disapprove</w:t>
      </w:r>
      <w:proofErr w:type="gramEnd"/>
      <w:r w:rsidRPr="001855A6">
        <w:rPr>
          <w:rFonts w:ascii="Times New Roman" w:hAnsi="Times New Roman"/>
          <w:sz w:val="24"/>
          <w:szCs w:val="24"/>
          <w:shd w:val="clear" w:color="auto" w:fill="FFFFFF"/>
        </w:rPr>
        <w:t xml:space="preserve"> that approach. Although an employee must show some harm from a forced transfer to prevail in a Title VII suit, she need not show that the injury</w:t>
      </w:r>
      <w:r>
        <w:rPr>
          <w:rFonts w:ascii="Times New Roman" w:hAnsi="Times New Roman"/>
          <w:sz w:val="24"/>
          <w:szCs w:val="24"/>
          <w:shd w:val="clear" w:color="auto" w:fill="FFFFFF"/>
        </w:rPr>
        <w:t xml:space="preserve"> </w:t>
      </w:r>
      <w:r w:rsidRPr="001855A6">
        <w:rPr>
          <w:rFonts w:ascii="Times New Roman" w:hAnsi="Times New Roman"/>
          <w:sz w:val="24"/>
          <w:szCs w:val="24"/>
          <w:shd w:val="clear" w:color="auto" w:fill="FFFFFF"/>
        </w:rPr>
        <w:t>satisfies a significance test. Title VII’s text nowhere establishes that high bar.</w:t>
      </w:r>
      <w:r>
        <w:rPr>
          <w:rFonts w:ascii="Times New Roman" w:hAnsi="Times New Roman"/>
          <w:sz w:val="24"/>
          <w:szCs w:val="24"/>
          <w:shd w:val="clear" w:color="auto" w:fill="FFFFFF"/>
        </w:rPr>
        <w:t xml:space="preserve">”  </w:t>
      </w:r>
      <w:hyperlink r:id="rId1352" w:history="1">
        <w:r w:rsidRPr="0018507D">
          <w:rPr>
            <w:rStyle w:val="Hyperlink"/>
            <w:rFonts w:ascii="Times New Roman" w:hAnsi="Times New Roman"/>
            <w:sz w:val="24"/>
            <w:szCs w:val="24"/>
            <w:shd w:val="clear" w:color="auto" w:fill="FFFFFF"/>
          </w:rPr>
          <w:t>https://www.supremecourt.gov/opinions/23pdf/22-193_q86b.pdf</w:t>
        </w:r>
      </w:hyperlink>
      <w:r>
        <w:rPr>
          <w:rFonts w:ascii="Times New Roman" w:hAnsi="Times New Roman"/>
          <w:sz w:val="24"/>
          <w:szCs w:val="24"/>
          <w:shd w:val="clear" w:color="auto" w:fill="FFFFFF"/>
        </w:rPr>
        <w:t xml:space="preserve"> </w:t>
      </w:r>
    </w:p>
    <w:p w14:paraId="4A5AAC0D" w14:textId="77777777" w:rsidR="0038653D" w:rsidRDefault="0038653D" w:rsidP="0038653D">
      <w:pPr>
        <w:pStyle w:val="NoSpacing"/>
        <w:ind w:left="720"/>
        <w:rPr>
          <w:rFonts w:ascii="Times New Roman" w:hAnsi="Times New Roman"/>
          <w:sz w:val="24"/>
          <w:szCs w:val="24"/>
          <w:shd w:val="clear" w:color="auto" w:fill="FFFFFF"/>
        </w:rPr>
      </w:pPr>
    </w:p>
    <w:p w14:paraId="71F58FE7" w14:textId="77777777" w:rsidR="005D56E5" w:rsidRPr="00F0094C" w:rsidRDefault="005D56E5" w:rsidP="005D56E5">
      <w:pPr>
        <w:pStyle w:val="NoSpacing"/>
        <w:rPr>
          <w:rFonts w:ascii="Times New Roman" w:hAnsi="Times New Roman"/>
          <w:b/>
          <w:bCs/>
          <w:sz w:val="24"/>
          <w:szCs w:val="24"/>
          <w:shd w:val="clear" w:color="auto" w:fill="FFFFFF"/>
        </w:rPr>
      </w:pPr>
      <w:r w:rsidRPr="00F0094C">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This unanimous decision sends a clear message that job transfers can be basis of Title VII litigation. </w:t>
      </w:r>
    </w:p>
    <w:p w14:paraId="749E92FE" w14:textId="77777777" w:rsidR="005D56E5" w:rsidRDefault="005D56E5" w:rsidP="005D56E5">
      <w:pPr>
        <w:pStyle w:val="NoSpacing"/>
        <w:rPr>
          <w:shd w:val="clear" w:color="auto" w:fill="FFFFFF"/>
        </w:rPr>
      </w:pPr>
    </w:p>
    <w:p w14:paraId="5D04B60F" w14:textId="77777777" w:rsidR="009C6DC9" w:rsidRDefault="009C6DC9" w:rsidP="00F326E5">
      <w:pPr>
        <w:pStyle w:val="NoSpacing"/>
        <w:rPr>
          <w:rFonts w:ascii="Arial Black" w:hAnsi="Arial Black"/>
          <w:b/>
          <w:bCs/>
          <w:sz w:val="24"/>
          <w:szCs w:val="24"/>
        </w:rPr>
      </w:pPr>
    </w:p>
    <w:p w14:paraId="6764222E" w14:textId="77777777" w:rsidR="00B52921" w:rsidRDefault="00B52921" w:rsidP="00F326E5">
      <w:pPr>
        <w:pStyle w:val="NoSpacing"/>
        <w:rPr>
          <w:rFonts w:ascii="Arial Black" w:hAnsi="Arial Black"/>
          <w:b/>
          <w:bCs/>
          <w:sz w:val="24"/>
          <w:szCs w:val="24"/>
        </w:rPr>
      </w:pPr>
    </w:p>
    <w:p w14:paraId="78056E9C" w14:textId="73785EF4" w:rsidR="00B52921" w:rsidRDefault="00480F72" w:rsidP="00F326E5">
      <w:pPr>
        <w:pStyle w:val="NoSpacing"/>
        <w:rPr>
          <w:rFonts w:ascii="Arial Black" w:hAnsi="Arial Black"/>
          <w:b/>
          <w:bCs/>
          <w:sz w:val="24"/>
          <w:szCs w:val="24"/>
        </w:rPr>
      </w:pPr>
      <w:r>
        <w:rPr>
          <w:rFonts w:ascii="Arial Black" w:hAnsi="Arial Black"/>
          <w:b/>
          <w:bCs/>
          <w:sz w:val="24"/>
          <w:szCs w:val="24"/>
        </w:rPr>
        <w:t>7-62</w:t>
      </w:r>
    </w:p>
    <w:p w14:paraId="2B560460" w14:textId="77777777" w:rsidR="00B52921" w:rsidRDefault="00B52921" w:rsidP="00B52921">
      <w:pPr>
        <w:pStyle w:val="NormalWeb"/>
        <w:rPr>
          <w:rFonts w:ascii="Arial Black" w:hAnsi="Arial Black"/>
          <w:sz w:val="28"/>
          <w:szCs w:val="28"/>
        </w:rPr>
      </w:pPr>
      <w:r>
        <w:rPr>
          <w:rFonts w:ascii="Arial Black" w:hAnsi="Arial Black"/>
          <w:sz w:val="28"/>
          <w:szCs w:val="28"/>
        </w:rPr>
        <w:t>FL:  DELAY REINSTATING FEMALE RECRUIT - TRIAL COURT $150 / DAY FINE FD SET ASIDE - $750K JURY VERDICT 2021</w:t>
      </w:r>
    </w:p>
    <w:p w14:paraId="1DF29837" w14:textId="77777777" w:rsidR="00B52921" w:rsidRDefault="00B52921" w:rsidP="00B52921">
      <w:pPr>
        <w:pStyle w:val="NormalWeb"/>
      </w:pPr>
      <w:r>
        <w:t xml:space="preserve">On April 24, 2024, in </w:t>
      </w:r>
      <w:r w:rsidRPr="00E7263C">
        <w:rPr>
          <w:u w:val="single"/>
        </w:rPr>
        <w:t>Palm Beach County v. Sharon Wilson</w:t>
      </w:r>
      <w:r>
        <w:t xml:space="preserve">, the </w:t>
      </w:r>
      <w:r w:rsidRPr="004979C1">
        <w:t>District Court of Appeal of Florida, Fourth District</w:t>
      </w:r>
      <w:r>
        <w:t xml:space="preserve">, held that trial court improperly imposed a $150 / day fine on the FD for any delay in reinstating her to the next training academy.  Wilson was hired in April 2015 and fractured her wrist in recruit school; written up for violations and resigned.  In Dec. 2021 Jury awarded her $750,000 and Court ordered her reinstated.  The Court of Appeals held that trial court judge violated FD’s due process rights when the judge proposed sanctioning the County if the County failed to reinstate Wilson by the specified reinstatement date. The trial court stated, “if I just ordered [Wilson] to be reinstated, you know what, [the County] could just sit on [its] hands and wait years and years and years to reinstate her. So, there </w:t>
      </w:r>
      <w:proofErr w:type="gramStart"/>
      <w:r>
        <w:t>has to</w:t>
      </w:r>
      <w:proofErr w:type="gramEnd"/>
      <w:r>
        <w:t xml:space="preserve"> be a monetary sanction, so to speak, for [the County] to act in a timely manner on the Court's directives that [the County] hire[s] her.” </w:t>
      </w:r>
      <w:hyperlink r:id="rId1353" w:history="1">
        <w:r w:rsidRPr="00E2199F">
          <w:rPr>
            <w:rStyle w:val="Hyperlink"/>
          </w:rPr>
          <w:t>https://caselaw.findlaw.com/court/fl-district-court-of-appeal/116085347.html</w:t>
        </w:r>
      </w:hyperlink>
      <w:r>
        <w:t xml:space="preserve"> </w:t>
      </w:r>
    </w:p>
    <w:p w14:paraId="7EC63870" w14:textId="77777777" w:rsidR="00B52921" w:rsidRDefault="00B52921" w:rsidP="00B52921">
      <w:pPr>
        <w:pStyle w:val="NormalWeb"/>
      </w:pPr>
      <w:r>
        <w:t>COURT HELD:</w:t>
      </w:r>
    </w:p>
    <w:p w14:paraId="15702550" w14:textId="77777777" w:rsidR="00B52921" w:rsidRDefault="00B52921" w:rsidP="00B52921">
      <w:pPr>
        <w:pStyle w:val="NormalWeb"/>
        <w:ind w:left="720"/>
      </w:pPr>
      <w:r>
        <w:t xml:space="preserve">“As discussed below, we reverse the trial court's premature and speculative imposition of a daily fine…. The County argues that the trial court denied the County due process when, during the hearing on Wilson's motion, it </w:t>
      </w:r>
      <w:proofErr w:type="spellStart"/>
      <w:r>
        <w:t>sua</w:t>
      </w:r>
      <w:proofErr w:type="spellEnd"/>
      <w:r>
        <w:t xml:space="preserve"> sponte proposed a monetary sanction if the County failed to timely reinstate Wilson. We agree with the County.”</w:t>
      </w:r>
    </w:p>
    <w:p w14:paraId="0A1CF24E" w14:textId="77777777" w:rsidR="00B52921" w:rsidRPr="00B06CBE" w:rsidRDefault="00B52921" w:rsidP="00B52921">
      <w:pPr>
        <w:pStyle w:val="NormalWeb"/>
        <w:rPr>
          <w:b/>
          <w:bCs/>
        </w:rPr>
      </w:pPr>
      <w:r w:rsidRPr="00B06CBE">
        <w:rPr>
          <w:b/>
          <w:bCs/>
        </w:rPr>
        <w:t>Legal Lesson Learned:</w:t>
      </w:r>
      <w:r>
        <w:rPr>
          <w:b/>
          <w:bCs/>
        </w:rPr>
        <w:t xml:space="preserve"> Monetary sanction on employer cannot be imposed without evidence of breach of a court order.  </w:t>
      </w:r>
    </w:p>
    <w:p w14:paraId="62A99C01" w14:textId="77777777" w:rsidR="00480F72" w:rsidRDefault="00480F72" w:rsidP="00B52921">
      <w:pPr>
        <w:rPr>
          <w:rFonts w:ascii="Arial Black" w:hAnsi="Arial Black"/>
          <w:sz w:val="28"/>
          <w:szCs w:val="28"/>
        </w:rPr>
      </w:pPr>
    </w:p>
    <w:p w14:paraId="13884D71" w14:textId="72B9F2EE" w:rsidR="00B52921" w:rsidRDefault="00480F72" w:rsidP="00B52921">
      <w:pPr>
        <w:rPr>
          <w:rFonts w:ascii="Arial Black" w:hAnsi="Arial Black"/>
          <w:sz w:val="28"/>
          <w:szCs w:val="28"/>
        </w:rPr>
      </w:pPr>
      <w:r>
        <w:rPr>
          <w:rFonts w:ascii="Arial Black" w:hAnsi="Arial Black"/>
          <w:sz w:val="28"/>
          <w:szCs w:val="28"/>
        </w:rPr>
        <w:t>7-61</w:t>
      </w:r>
    </w:p>
    <w:p w14:paraId="441C23BC" w14:textId="77777777" w:rsidR="00B52921" w:rsidRPr="0041351C" w:rsidRDefault="00B52921" w:rsidP="00B52921">
      <w:pPr>
        <w:pStyle w:val="NormalWeb"/>
        <w:spacing w:before="0" w:beforeAutospacing="0"/>
        <w:rPr>
          <w:rFonts w:ascii="Arial Black" w:hAnsi="Arial Black"/>
          <w:sz w:val="28"/>
          <w:szCs w:val="28"/>
        </w:rPr>
      </w:pPr>
      <w:r>
        <w:rPr>
          <w:rFonts w:ascii="Arial Black" w:hAnsi="Arial Black"/>
          <w:sz w:val="28"/>
          <w:szCs w:val="28"/>
        </w:rPr>
        <w:t>VA: “OPENLY BISEXUAL” EMT – NEG. JOB REFERENCES - VP AMBUL. CO. TOLD OTHERS “ODD DUCK” – CASE PROCEED</w:t>
      </w:r>
    </w:p>
    <w:p w14:paraId="0693AFA7" w14:textId="77777777" w:rsidR="00B52921" w:rsidRDefault="00B52921" w:rsidP="00B52921">
      <w:pPr>
        <w:pStyle w:val="NormalWeb"/>
      </w:pPr>
      <w:r w:rsidRPr="00480F72">
        <w:rPr>
          <w:rStyle w:val="Strong"/>
          <w:rFonts w:eastAsiaTheme="majorEastAsia"/>
          <w:b w:val="0"/>
          <w:bCs w:val="0"/>
        </w:rPr>
        <w:t xml:space="preserve">On April 18, 2024, in </w:t>
      </w:r>
      <w:r w:rsidRPr="00480F72">
        <w:rPr>
          <w:rStyle w:val="Strong"/>
          <w:rFonts w:eastAsiaTheme="majorEastAsia"/>
          <w:b w:val="0"/>
          <w:bCs w:val="0"/>
          <w:u w:val="single"/>
        </w:rPr>
        <w:t>Natalie Lundberg v, Delta Response Team, LLC and Thomas Walton</w:t>
      </w:r>
      <w:r w:rsidRPr="00480F72">
        <w:rPr>
          <w:rStyle w:val="Strong"/>
          <w:rFonts w:eastAsiaTheme="majorEastAsia"/>
          <w:b w:val="0"/>
          <w:bCs w:val="0"/>
        </w:rPr>
        <w:t xml:space="preserve">, United States District Court Judge Robert S. Ballo, U.S. District Court for Western District of Virginia (Charlottesville Division) held that defense motion to dismiss claims is denied regarding her claim of “sexual orientation discrimination / disparate treatment theory.” </w:t>
      </w:r>
      <w:r>
        <w:t xml:space="preserve">Lundberg </w:t>
      </w:r>
      <w:proofErr w:type="gramStart"/>
      <w:r>
        <w:t>interviewed with</w:t>
      </w:r>
      <w:proofErr w:type="gramEnd"/>
      <w:r>
        <w:t xml:space="preserve"> both the City of Lynchburg Fire Department and Bedford County Fire and Rescue and accepted a conditional offer of employment from Bedford on February 16, 2022. Both FDs withdrew their interest after speaking with Walton. The Court dismissed other claims, including the claim for intentional infliction of emotional distress.  </w:t>
      </w:r>
      <w:hyperlink r:id="rId1354" w:history="1">
        <w:r w:rsidRPr="00E2199F">
          <w:rPr>
            <w:rStyle w:val="Hyperlink"/>
          </w:rPr>
          <w:t>https://casetext.com/case/lundberg-v-delta-response-team-llc</w:t>
        </w:r>
      </w:hyperlink>
      <w:r>
        <w:t xml:space="preserve"> </w:t>
      </w:r>
    </w:p>
    <w:p w14:paraId="6AC650AA" w14:textId="77777777" w:rsidR="00B52921" w:rsidRDefault="00B52921" w:rsidP="00B52921">
      <w:pPr>
        <w:pStyle w:val="NormalWeb"/>
      </w:pPr>
      <w:r>
        <w:t xml:space="preserve">COURT HELD: </w:t>
      </w:r>
    </w:p>
    <w:p w14:paraId="55117009" w14:textId="77777777" w:rsidR="00B52921" w:rsidRDefault="00B52921" w:rsidP="00B52921">
      <w:pPr>
        <w:pStyle w:val="NormalWeb"/>
        <w:ind w:left="720"/>
      </w:pPr>
      <w:r>
        <w:t>“Lundberg states a plausible claim for sexual orientation discrimination against Delta Response based on her allegations of disparate treatment in the workplace. Lundberg alleges discrimination based on her sexual orientation when Walton provided a negative job reference, which for purposes of the motion to dismiss, I consider an adverse employment action. Absent direct evidence</w:t>
      </w:r>
      <w:r>
        <w:rPr>
          <w:vertAlign w:val="superscript"/>
        </w:rPr>
        <w:t>[</w:t>
      </w:r>
      <w:bookmarkStart w:id="279" w:name="FN12"/>
      <w:r>
        <w:rPr>
          <w:vertAlign w:val="superscript"/>
        </w:rPr>
        <w:fldChar w:fldCharType="begin"/>
      </w:r>
      <w:r>
        <w:rPr>
          <w:vertAlign w:val="superscript"/>
        </w:rPr>
        <w:instrText>HYPERLINK "https://public.fastcase.com/" \l "ftn.FN12"</w:instrText>
      </w:r>
      <w:r>
        <w:rPr>
          <w:vertAlign w:val="superscript"/>
        </w:rPr>
      </w:r>
      <w:r>
        <w:rPr>
          <w:vertAlign w:val="superscript"/>
        </w:rPr>
        <w:fldChar w:fldCharType="separate"/>
      </w:r>
      <w:r>
        <w:rPr>
          <w:rStyle w:val="Hyperlink"/>
          <w:rFonts w:eastAsiaTheme="majorEastAsia"/>
          <w:vertAlign w:val="superscript"/>
        </w:rPr>
        <w:t>12</w:t>
      </w:r>
      <w:r>
        <w:rPr>
          <w:vertAlign w:val="superscript"/>
        </w:rPr>
        <w:fldChar w:fldCharType="end"/>
      </w:r>
      <w:bookmarkEnd w:id="279"/>
      <w:r>
        <w:rPr>
          <w:vertAlign w:val="superscript"/>
        </w:rPr>
        <w:t>]</w:t>
      </w:r>
      <w:r>
        <w:t xml:space="preserve">, the elements of a </w:t>
      </w:r>
      <w:r>
        <w:rPr>
          <w:rStyle w:val="Emphasis"/>
          <w:rFonts w:eastAsiaTheme="majorEastAsia"/>
        </w:rPr>
        <w:t>prima facie</w:t>
      </w:r>
      <w:r>
        <w:t xml:space="preserve"> case of disparate treatment under Title VII are (1) membership in a protected class; (2) satisfactory job performance; (3) an adverse employment action; and (4) similarly situated employees outside the protected class who received more favorable treatment. </w:t>
      </w:r>
      <w:r>
        <w:rPr>
          <w:rStyle w:val="Emphasis"/>
          <w:rFonts w:eastAsiaTheme="majorEastAsia"/>
        </w:rPr>
        <w:t xml:space="preserve">Tabb v. Bd. Of Educ. Of Durham Pub. </w:t>
      </w:r>
      <w:proofErr w:type="spellStart"/>
      <w:r>
        <w:rPr>
          <w:rStyle w:val="Emphasis"/>
          <w:rFonts w:eastAsiaTheme="majorEastAsia"/>
        </w:rPr>
        <w:t>Scs</w:t>
      </w:r>
      <w:proofErr w:type="spellEnd"/>
      <w:r>
        <w:t xml:space="preserve">. 29 F.4th 148, 157 (4th Cir. 2022); </w:t>
      </w:r>
      <w:r>
        <w:rPr>
          <w:rStyle w:val="Emphasis"/>
          <w:rFonts w:eastAsiaTheme="majorEastAsia"/>
        </w:rPr>
        <w:t>Coleman</w:t>
      </w:r>
      <w:r>
        <w:t xml:space="preserve">, 626 F.3d at 190. Disparate treatment requires proof of discriminatory motive ‘although [that motive] can in some situations be inferred from the mere fact of differences in treatment.’ </w:t>
      </w:r>
      <w:r>
        <w:rPr>
          <w:rStyle w:val="Emphasis"/>
          <w:rFonts w:eastAsiaTheme="majorEastAsia"/>
        </w:rPr>
        <w:t>Int'l Bhd. of Teamsters v. United States</w:t>
      </w:r>
      <w:r>
        <w:t>, 431 U.S. 324, 335 n.15 (1977).”</w:t>
      </w:r>
    </w:p>
    <w:p w14:paraId="5DC9EECF" w14:textId="77777777" w:rsidR="00B52921" w:rsidRPr="002C51E2" w:rsidRDefault="00B52921" w:rsidP="00B52921">
      <w:pPr>
        <w:pStyle w:val="NormalWeb"/>
        <w:rPr>
          <w:b/>
          <w:bCs/>
        </w:rPr>
      </w:pPr>
      <w:r w:rsidRPr="002C51E2">
        <w:rPr>
          <w:b/>
          <w:bCs/>
        </w:rPr>
        <w:t>Legal Lesson Learned:</w:t>
      </w:r>
      <w:r>
        <w:rPr>
          <w:b/>
          <w:bCs/>
        </w:rPr>
        <w:t xml:space="preserve"> If an employee requests a job reference, consider declining the request if this </w:t>
      </w:r>
      <w:proofErr w:type="gramStart"/>
      <w:r>
        <w:rPr>
          <w:b/>
          <w:bCs/>
        </w:rPr>
        <w:t>would not all be</w:t>
      </w:r>
      <w:proofErr w:type="gramEnd"/>
      <w:r>
        <w:rPr>
          <w:b/>
          <w:bCs/>
        </w:rPr>
        <w:t xml:space="preserve"> positive. Some employers direct Managers to not give job references, positive or negative. </w:t>
      </w:r>
    </w:p>
    <w:p w14:paraId="26DB5138" w14:textId="77777777" w:rsidR="00B52921" w:rsidRDefault="00B52921" w:rsidP="00B52921">
      <w:pPr>
        <w:pStyle w:val="Heading1"/>
        <w:ind w:left="720"/>
        <w:rPr>
          <w:color w:val="000000" w:themeColor="text1"/>
          <w:sz w:val="24"/>
          <w:szCs w:val="24"/>
        </w:rPr>
      </w:pPr>
      <w:r w:rsidRPr="001C276F">
        <w:rPr>
          <w:color w:val="000000" w:themeColor="text1"/>
          <w:sz w:val="24"/>
          <w:szCs w:val="24"/>
        </w:rPr>
        <w:t xml:space="preserve">Note: See Ohio Revised Code Section 4113.71 </w:t>
      </w:r>
      <w:r w:rsidRPr="001C276F">
        <w:rPr>
          <w:rStyle w:val="codes-separator"/>
          <w:color w:val="000000" w:themeColor="text1"/>
          <w:sz w:val="24"/>
          <w:szCs w:val="24"/>
        </w:rPr>
        <w:t>|</w:t>
      </w:r>
      <w:r w:rsidRPr="001C276F">
        <w:rPr>
          <w:color w:val="000000" w:themeColor="text1"/>
          <w:sz w:val="24"/>
          <w:szCs w:val="24"/>
        </w:rPr>
        <w:t xml:space="preserve"> Immunity of employer as to job performance information disclosures.</w:t>
      </w:r>
      <w:r>
        <w:rPr>
          <w:color w:val="000000" w:themeColor="text1"/>
          <w:sz w:val="24"/>
          <w:szCs w:val="24"/>
        </w:rPr>
        <w:t xml:space="preserve"> </w:t>
      </w:r>
      <w:hyperlink r:id="rId1355" w:history="1">
        <w:r w:rsidRPr="00E2199F">
          <w:rPr>
            <w:rStyle w:val="Hyperlink"/>
            <w:sz w:val="24"/>
            <w:szCs w:val="24"/>
          </w:rPr>
          <w:t>https://codes.ohio.gov/ohio-revised-code/section-4113.71</w:t>
        </w:r>
      </w:hyperlink>
      <w:r>
        <w:rPr>
          <w:color w:val="000000" w:themeColor="text1"/>
          <w:sz w:val="24"/>
          <w:szCs w:val="24"/>
        </w:rPr>
        <w:t xml:space="preserve"> </w:t>
      </w:r>
    </w:p>
    <w:p w14:paraId="46C798E6" w14:textId="77777777" w:rsidR="00B52921" w:rsidRDefault="00B52921" w:rsidP="00B52921">
      <w:pPr>
        <w:pStyle w:val="NormalWeb"/>
        <w:ind w:left="720"/>
      </w:pPr>
      <w:r>
        <w:t>(B) An employer who is requested by an employee or a prospective employer of an employee to disclose to a prospective employer of that employee information pertaining to the job performance of that employee for the employer and who discloses the requested information to the prospective employer is not liable in damages in a civil action to that employee, the prospective employer, or any other person for any harm sustained as a proximate result of making the disclosure or of any information disclosed, unless the plaintiff in a civil action establishes, either or both of the following:</w:t>
      </w:r>
    </w:p>
    <w:p w14:paraId="72419B4C" w14:textId="77777777" w:rsidR="00B52921" w:rsidRDefault="00B52921" w:rsidP="00B52921">
      <w:pPr>
        <w:pStyle w:val="NormalWeb"/>
        <w:ind w:left="720"/>
      </w:pPr>
      <w:r>
        <w:t xml:space="preserve">(1) By a preponderance of the evidence that the employer disclosed </w:t>
      </w:r>
      <w:proofErr w:type="gramStart"/>
      <w:r>
        <w:t>particular information</w:t>
      </w:r>
      <w:proofErr w:type="gramEnd"/>
      <w:r>
        <w:t xml:space="preserve"> with the knowledge that it was false, with the deliberate intent to mislead the prospective employer or another person, in bad faith, or with malicious purpose;</w:t>
      </w:r>
    </w:p>
    <w:p w14:paraId="59EFBA74" w14:textId="77777777" w:rsidR="00B52921" w:rsidRDefault="00B52921" w:rsidP="00B52921">
      <w:pPr>
        <w:pStyle w:val="NormalWeb"/>
        <w:ind w:left="720"/>
      </w:pPr>
      <w:r>
        <w:t xml:space="preserve">(2) By a preponderance of the evidence that the disclosure of </w:t>
      </w:r>
      <w:proofErr w:type="gramStart"/>
      <w:r>
        <w:t>particular information</w:t>
      </w:r>
      <w:proofErr w:type="gramEnd"/>
      <w:r>
        <w:t xml:space="preserve"> by the employer constitutes an unlawful discriminatory practice described in section </w:t>
      </w:r>
      <w:hyperlink r:id="rId1356" w:history="1">
        <w:r>
          <w:rPr>
            <w:rStyle w:val="Hyperlink"/>
            <w:rFonts w:eastAsiaTheme="majorEastAsia"/>
          </w:rPr>
          <w:t>4112.02</w:t>
        </w:r>
      </w:hyperlink>
      <w:r>
        <w:t xml:space="preserve">, </w:t>
      </w:r>
      <w:hyperlink r:id="rId1357" w:history="1">
        <w:r>
          <w:rPr>
            <w:rStyle w:val="Hyperlink"/>
            <w:rFonts w:eastAsiaTheme="majorEastAsia"/>
          </w:rPr>
          <w:t>4112.021</w:t>
        </w:r>
      </w:hyperlink>
      <w:r>
        <w:t xml:space="preserve">, or </w:t>
      </w:r>
      <w:hyperlink r:id="rId1358" w:history="1">
        <w:r>
          <w:rPr>
            <w:rStyle w:val="Hyperlink"/>
            <w:rFonts w:eastAsiaTheme="majorEastAsia"/>
          </w:rPr>
          <w:t>4112.022</w:t>
        </w:r>
      </w:hyperlink>
      <w:r>
        <w:t xml:space="preserve"> of the Revised Code.</w:t>
      </w:r>
    </w:p>
    <w:p w14:paraId="71517D17" w14:textId="77777777" w:rsidR="00B52921" w:rsidRDefault="00B52921" w:rsidP="00B52921">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7-60</w:t>
      </w:r>
    </w:p>
    <w:p w14:paraId="3BAC983C" w14:textId="2EC25C08" w:rsidR="00B52921" w:rsidRDefault="00B52921" w:rsidP="00B52921">
      <w:pPr>
        <w:pStyle w:val="NormalWeb"/>
        <w:spacing w:before="0" w:beforeAutospacing="0"/>
        <w:rPr>
          <w:b/>
          <w:bCs/>
          <w:color w:val="454545"/>
          <w:shd w:val="clear" w:color="auto" w:fill="FFFFFF"/>
        </w:rPr>
      </w:pPr>
      <w:r>
        <w:rPr>
          <w:rFonts w:ascii="Arial Black" w:hAnsi="Arial Black"/>
          <w:b/>
          <w:bCs/>
          <w:color w:val="454545"/>
          <w:sz w:val="28"/>
          <w:szCs w:val="28"/>
          <w:shd w:val="clear" w:color="auto" w:fill="FFFFFF"/>
        </w:rPr>
        <w:t xml:space="preserve">U.S. SUP. CT. – LANDMARK CASE: JOB TRANSFER / SEXUAL HAR. – FEMALE SGT. MUST ONLY SHOW “SOME HARM” </w:t>
      </w:r>
    </w:p>
    <w:p w14:paraId="67591A59" w14:textId="77777777" w:rsidR="00B52921" w:rsidRPr="00EB06FE" w:rsidRDefault="00B52921" w:rsidP="00B52921">
      <w:pPr>
        <w:pStyle w:val="NoSpacing"/>
        <w:rPr>
          <w:rFonts w:ascii="Times New Roman" w:hAnsi="Times New Roman"/>
          <w:color w:val="454545"/>
          <w:sz w:val="24"/>
          <w:szCs w:val="24"/>
          <w:shd w:val="clear" w:color="auto" w:fill="FFFFFF"/>
        </w:rPr>
      </w:pPr>
      <w:r w:rsidRPr="00EB06FE">
        <w:rPr>
          <w:rFonts w:ascii="Times New Roman" w:hAnsi="Times New Roman"/>
          <w:color w:val="454545"/>
          <w:sz w:val="24"/>
          <w:szCs w:val="24"/>
          <w:shd w:val="clear" w:color="auto" w:fill="FFFFFF"/>
        </w:rPr>
        <w:t xml:space="preserve">On April 17, 2024, in </w:t>
      </w:r>
      <w:r w:rsidRPr="00EB06FE">
        <w:rPr>
          <w:rFonts w:ascii="Times New Roman" w:hAnsi="Times New Roman"/>
          <w:color w:val="454545"/>
          <w:sz w:val="24"/>
          <w:szCs w:val="24"/>
          <w:u w:val="single"/>
          <w:shd w:val="clear" w:color="auto" w:fill="FFFFFF"/>
        </w:rPr>
        <w:t>Jatonya Clayborn Muldrow v. City of St. Louis, Missouri, et al.,</w:t>
      </w:r>
      <w:r w:rsidRPr="00EB06FE">
        <w:rPr>
          <w:rFonts w:ascii="Times New Roman" w:hAnsi="Times New Roman"/>
          <w:color w:val="454545"/>
          <w:sz w:val="24"/>
          <w:szCs w:val="24"/>
          <w:shd w:val="clear" w:color="auto" w:fill="FFFFFF"/>
        </w:rPr>
        <w:t xml:space="preserve"> the United States Supreme Court held (9 to 0) that trial court should not have granted summary judgment to the city, and 8</w:t>
      </w:r>
      <w:r w:rsidRPr="00EB06FE">
        <w:rPr>
          <w:rFonts w:ascii="Times New Roman" w:hAnsi="Times New Roman"/>
          <w:color w:val="454545"/>
          <w:sz w:val="24"/>
          <w:szCs w:val="24"/>
          <w:shd w:val="clear" w:color="auto" w:fill="FFFFFF"/>
          <w:vertAlign w:val="superscript"/>
        </w:rPr>
        <w:t>th</w:t>
      </w:r>
      <w:r w:rsidRPr="00EB06FE">
        <w:rPr>
          <w:rFonts w:ascii="Times New Roman" w:hAnsi="Times New Roman"/>
          <w:color w:val="454545"/>
          <w:sz w:val="24"/>
          <w:szCs w:val="24"/>
          <w:shd w:val="clear" w:color="auto" w:fill="FFFFFF"/>
        </w:rPr>
        <w:t xml:space="preserve"> Circuit Court of Appeals had applied too tough a standard for employees claiming job transfer was because of sexual harassment (“materially significant disadvantage”).  </w:t>
      </w:r>
      <w:r w:rsidRPr="00EB06FE">
        <w:rPr>
          <w:rFonts w:ascii="Times New Roman" w:hAnsi="Times New Roman"/>
          <w:sz w:val="24"/>
          <w:szCs w:val="24"/>
        </w:rPr>
        <w:t xml:space="preserve">Sergeant Jatonya Clayborn Muldrow maintains that her employer, the St. Louis Police Department, transferred her from one job to another because she is a woman. </w:t>
      </w:r>
      <w:r w:rsidRPr="00EB06FE">
        <w:rPr>
          <w:rFonts w:ascii="Times New Roman" w:hAnsi="Times New Roman"/>
          <w:color w:val="454545"/>
          <w:sz w:val="24"/>
          <w:szCs w:val="24"/>
          <w:shd w:val="clear" w:color="auto" w:fill="FFFFFF"/>
        </w:rPr>
        <w:t xml:space="preserve">Sergeant Muldrow was in Intelligence Division, worked M-F, vehicle, FBI cases, and her new male boss moved her out (back to street patrol) because wanted male sergeant.  Under new </w:t>
      </w:r>
      <w:proofErr w:type="gramStart"/>
      <w:r w:rsidRPr="00EB06FE">
        <w:rPr>
          <w:rFonts w:ascii="Times New Roman" w:hAnsi="Times New Roman"/>
          <w:color w:val="454545"/>
          <w:sz w:val="24"/>
          <w:szCs w:val="24"/>
          <w:shd w:val="clear" w:color="auto" w:fill="FFFFFF"/>
        </w:rPr>
        <w:t>standard</w:t>
      </w:r>
      <w:proofErr w:type="gramEnd"/>
      <w:r w:rsidRPr="00EB06FE">
        <w:rPr>
          <w:rFonts w:ascii="Times New Roman" w:hAnsi="Times New Roman"/>
          <w:color w:val="454545"/>
          <w:sz w:val="24"/>
          <w:szCs w:val="24"/>
          <w:shd w:val="clear" w:color="auto" w:fill="FFFFFF"/>
        </w:rPr>
        <w:t xml:space="preserve">, she must only that that the job transfer brought about some harm with respect to an identifiable term or condition of employment, but that harm need not be significant. </w:t>
      </w:r>
      <w:hyperlink r:id="rId1359" w:history="1">
        <w:r w:rsidRPr="00EB06FE">
          <w:rPr>
            <w:rStyle w:val="Hyperlink"/>
            <w:rFonts w:ascii="Times New Roman" w:hAnsi="Times New Roman"/>
            <w:sz w:val="24"/>
            <w:szCs w:val="24"/>
            <w:shd w:val="clear" w:color="auto" w:fill="FFFFFF"/>
          </w:rPr>
          <w:t>https://www.supremecourt.gov/opinions/23pdf/22-193_q86b.pdf</w:t>
        </w:r>
      </w:hyperlink>
      <w:r w:rsidRPr="00EB06FE">
        <w:rPr>
          <w:rFonts w:ascii="Times New Roman" w:hAnsi="Times New Roman"/>
          <w:color w:val="454545"/>
          <w:sz w:val="24"/>
          <w:szCs w:val="24"/>
          <w:shd w:val="clear" w:color="auto" w:fill="FFFFFF"/>
        </w:rPr>
        <w:t xml:space="preserve"> </w:t>
      </w:r>
    </w:p>
    <w:p w14:paraId="6054BF64" w14:textId="77777777" w:rsidR="00B52921" w:rsidRDefault="00B52921" w:rsidP="00B52921">
      <w:pPr>
        <w:pStyle w:val="NormalWeb"/>
        <w:spacing w:before="0" w:beforeAutospacing="0"/>
        <w:rPr>
          <w:color w:val="454545"/>
          <w:shd w:val="clear" w:color="auto" w:fill="FFFFFF"/>
        </w:rPr>
      </w:pPr>
    </w:p>
    <w:p w14:paraId="2E3F5138" w14:textId="77777777" w:rsidR="00B52921" w:rsidRPr="00A0436B" w:rsidRDefault="00B52921" w:rsidP="00B52921">
      <w:pPr>
        <w:pStyle w:val="NormalWeb"/>
        <w:spacing w:before="0" w:beforeAutospacing="0"/>
        <w:rPr>
          <w:color w:val="454545"/>
          <w:shd w:val="clear" w:color="auto" w:fill="FFFFFF"/>
        </w:rPr>
      </w:pPr>
      <w:r>
        <w:rPr>
          <w:color w:val="454545"/>
          <w:shd w:val="clear" w:color="auto" w:fill="FFFFFF"/>
        </w:rPr>
        <w:t xml:space="preserve">COURT HELD (opinion by Justice Elena Kagan): </w:t>
      </w:r>
    </w:p>
    <w:p w14:paraId="4E1BAEC7" w14:textId="77777777" w:rsidR="00B52921" w:rsidRDefault="00B52921" w:rsidP="00B52921">
      <w:pPr>
        <w:pStyle w:val="NoSpacing"/>
        <w:ind w:left="720"/>
        <w:rPr>
          <w:rFonts w:ascii="Times New Roman" w:hAnsi="Times New Roman"/>
          <w:sz w:val="24"/>
          <w:szCs w:val="24"/>
          <w:shd w:val="clear" w:color="auto" w:fill="FFFFFF"/>
        </w:rPr>
      </w:pPr>
      <w:r>
        <w:rPr>
          <w:shd w:val="clear" w:color="auto" w:fill="FFFFFF"/>
        </w:rPr>
        <w:t>“</w:t>
      </w:r>
      <w:r w:rsidRPr="00EB06FE">
        <w:rPr>
          <w:rFonts w:ascii="Times New Roman" w:hAnsi="Times New Roman"/>
          <w:sz w:val="24"/>
          <w:szCs w:val="24"/>
          <w:shd w:val="clear" w:color="auto" w:fill="FFFFFF"/>
        </w:rPr>
        <w:t>The courts below rejected the claim on the ground that the</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 xml:space="preserve">transfer did not cause Muldrow a </w:t>
      </w:r>
      <w:r>
        <w:rPr>
          <w:rFonts w:ascii="Times New Roman" w:hAnsi="Times New Roman"/>
          <w:sz w:val="24"/>
          <w:szCs w:val="24"/>
          <w:shd w:val="clear" w:color="auto" w:fill="FFFFFF"/>
        </w:rPr>
        <w:t>‘</w:t>
      </w:r>
      <w:r w:rsidRPr="00EB06FE">
        <w:rPr>
          <w:rFonts w:ascii="Times New Roman" w:hAnsi="Times New Roman"/>
          <w:sz w:val="24"/>
          <w:szCs w:val="24"/>
          <w:shd w:val="clear" w:color="auto" w:fill="FFFFFF"/>
        </w:rPr>
        <w:t>significant</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employment</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disadvantage. Other courts have used similar standards in</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addressing Title VII suits arising from job transfers.</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 xml:space="preserve">Today, we </w:t>
      </w:r>
      <w:proofErr w:type="gramStart"/>
      <w:r w:rsidRPr="00EB06FE">
        <w:rPr>
          <w:rFonts w:ascii="Times New Roman" w:hAnsi="Times New Roman"/>
          <w:sz w:val="24"/>
          <w:szCs w:val="24"/>
          <w:shd w:val="clear" w:color="auto" w:fill="FFFFFF"/>
        </w:rPr>
        <w:t>disapprove</w:t>
      </w:r>
      <w:proofErr w:type="gramEnd"/>
      <w:r w:rsidRPr="00EB06FE">
        <w:rPr>
          <w:rFonts w:ascii="Times New Roman" w:hAnsi="Times New Roman"/>
          <w:sz w:val="24"/>
          <w:szCs w:val="24"/>
          <w:shd w:val="clear" w:color="auto" w:fill="FFFFFF"/>
        </w:rPr>
        <w:t xml:space="preserve"> that approach. Although an employee must show some harm from a forced transfer to prevail in a Title VII suit, she need not show that the injury</w:t>
      </w:r>
      <w:r>
        <w:rPr>
          <w:rFonts w:ascii="Times New Roman" w:hAnsi="Times New Roman"/>
          <w:sz w:val="24"/>
          <w:szCs w:val="24"/>
          <w:shd w:val="clear" w:color="auto" w:fill="FFFFFF"/>
        </w:rPr>
        <w:t xml:space="preserve"> </w:t>
      </w:r>
      <w:r w:rsidRPr="00EB06FE">
        <w:rPr>
          <w:rFonts w:ascii="Times New Roman" w:hAnsi="Times New Roman"/>
          <w:sz w:val="24"/>
          <w:szCs w:val="24"/>
          <w:shd w:val="clear" w:color="auto" w:fill="FFFFFF"/>
        </w:rPr>
        <w:t>satisfies a significance test. Title VII’s text nowhere establishes that high bar.</w:t>
      </w:r>
    </w:p>
    <w:p w14:paraId="170CF58B" w14:textId="77777777" w:rsidR="00B52921" w:rsidRPr="00EB06FE" w:rsidRDefault="00B52921" w:rsidP="00B52921">
      <w:pPr>
        <w:pStyle w:val="NoSpacing"/>
        <w:ind w:left="720"/>
        <w:rPr>
          <w:rFonts w:ascii="Times New Roman" w:hAnsi="Times New Roman"/>
          <w:sz w:val="24"/>
          <w:szCs w:val="24"/>
          <w:shd w:val="clear" w:color="auto" w:fill="FFFFFF"/>
        </w:rPr>
      </w:pPr>
    </w:p>
    <w:p w14:paraId="67348287" w14:textId="77777777" w:rsidR="00B52921" w:rsidRDefault="00B52921" w:rsidP="00B52921">
      <w:pPr>
        <w:pStyle w:val="NoSpacing"/>
        <w:ind w:left="720"/>
        <w:rPr>
          <w:rFonts w:ascii="Times New Roman" w:hAnsi="Times New Roman"/>
          <w:sz w:val="24"/>
          <w:szCs w:val="24"/>
        </w:rPr>
      </w:pPr>
      <w:r w:rsidRPr="00EB06FE">
        <w:rPr>
          <w:rFonts w:ascii="Times New Roman" w:hAnsi="Times New Roman"/>
          <w:sz w:val="24"/>
          <w:szCs w:val="24"/>
        </w:rPr>
        <w:t xml:space="preserve">The District Court, viewing the matter differently, granted the </w:t>
      </w:r>
      <w:proofErr w:type="gramStart"/>
      <w:r w:rsidRPr="00EB06FE">
        <w:rPr>
          <w:rFonts w:ascii="Times New Roman" w:hAnsi="Times New Roman"/>
          <w:sz w:val="24"/>
          <w:szCs w:val="24"/>
        </w:rPr>
        <w:t>City</w:t>
      </w:r>
      <w:proofErr w:type="gramEnd"/>
      <w:r w:rsidRPr="00EB06FE">
        <w:rPr>
          <w:rFonts w:ascii="Times New Roman" w:hAnsi="Times New Roman"/>
          <w:sz w:val="24"/>
          <w:szCs w:val="24"/>
        </w:rPr>
        <w:t xml:space="preserve"> summary judgment. Under Circuit precedent, the court explained, Muldrow needed to show that her transfer effected a ‘significant’ change in working</w:t>
      </w:r>
      <w:r w:rsidRPr="00356E5C">
        <w:rPr>
          <w:rFonts w:ascii="Times New Roman" w:hAnsi="Times New Roman"/>
          <w:sz w:val="24"/>
          <w:szCs w:val="24"/>
        </w:rPr>
        <w:t xml:space="preserve"> conditions producing </w:t>
      </w:r>
      <w:r>
        <w:rPr>
          <w:rFonts w:ascii="Times New Roman" w:hAnsi="Times New Roman"/>
          <w:sz w:val="24"/>
          <w:szCs w:val="24"/>
        </w:rPr>
        <w:t>‘</w:t>
      </w:r>
      <w:r w:rsidRPr="00356E5C">
        <w:rPr>
          <w:rFonts w:ascii="Times New Roman" w:hAnsi="Times New Roman"/>
          <w:sz w:val="24"/>
          <w:szCs w:val="24"/>
        </w:rPr>
        <w:t>material employment disadvantage.</w:t>
      </w:r>
      <w:r>
        <w:rPr>
          <w:rFonts w:ascii="Times New Roman" w:hAnsi="Times New Roman"/>
          <w:sz w:val="24"/>
          <w:szCs w:val="24"/>
        </w:rPr>
        <w:t xml:space="preserve">’ </w:t>
      </w:r>
      <w:r w:rsidRPr="00356E5C">
        <w:rPr>
          <w:rFonts w:ascii="Times New Roman" w:hAnsi="Times New Roman"/>
          <w:sz w:val="24"/>
          <w:szCs w:val="24"/>
        </w:rPr>
        <w:t>2020 WL 5505113, *8–*9. And Muldrow, the court held,</w:t>
      </w:r>
      <w:r>
        <w:rPr>
          <w:rFonts w:ascii="Times New Roman" w:hAnsi="Times New Roman"/>
          <w:sz w:val="24"/>
          <w:szCs w:val="24"/>
        </w:rPr>
        <w:t xml:space="preserve"> </w:t>
      </w:r>
      <w:r w:rsidRPr="00356E5C">
        <w:rPr>
          <w:rFonts w:ascii="Times New Roman" w:hAnsi="Times New Roman"/>
          <w:sz w:val="24"/>
          <w:szCs w:val="24"/>
        </w:rPr>
        <w:t xml:space="preserve">could not meet that </w:t>
      </w:r>
      <w:proofErr w:type="gramStart"/>
      <w:r w:rsidRPr="00356E5C">
        <w:rPr>
          <w:rFonts w:ascii="Times New Roman" w:hAnsi="Times New Roman"/>
          <w:sz w:val="24"/>
          <w:szCs w:val="24"/>
        </w:rPr>
        <w:t>heightened-injury</w:t>
      </w:r>
      <w:proofErr w:type="gramEnd"/>
      <w:r w:rsidRPr="00356E5C">
        <w:rPr>
          <w:rFonts w:ascii="Times New Roman" w:hAnsi="Times New Roman"/>
          <w:sz w:val="24"/>
          <w:szCs w:val="24"/>
        </w:rPr>
        <w:t xml:space="preserve"> standard. </w:t>
      </w:r>
      <w:r>
        <w:rPr>
          <w:rFonts w:ascii="Times New Roman" w:hAnsi="Times New Roman"/>
          <w:sz w:val="24"/>
          <w:szCs w:val="24"/>
        </w:rPr>
        <w:t>‘</w:t>
      </w:r>
      <w:r w:rsidRPr="00356E5C">
        <w:rPr>
          <w:rFonts w:ascii="Times New Roman" w:hAnsi="Times New Roman"/>
          <w:sz w:val="24"/>
          <w:szCs w:val="24"/>
        </w:rPr>
        <w:t>[S]he experienced no change in salary or rank.</w:t>
      </w:r>
      <w:r>
        <w:rPr>
          <w:rFonts w:ascii="Times New Roman" w:hAnsi="Times New Roman"/>
          <w:sz w:val="24"/>
          <w:szCs w:val="24"/>
        </w:rPr>
        <w:t xml:space="preserve">’ </w:t>
      </w:r>
      <w:r w:rsidRPr="00356E5C">
        <w:rPr>
          <w:rFonts w:ascii="Times New Roman" w:hAnsi="Times New Roman"/>
          <w:sz w:val="24"/>
          <w:szCs w:val="24"/>
        </w:rPr>
        <w:t>Id., at *9. Her loss</w:t>
      </w:r>
      <w:r>
        <w:rPr>
          <w:rFonts w:ascii="Times New Roman" w:hAnsi="Times New Roman"/>
          <w:sz w:val="24"/>
          <w:szCs w:val="24"/>
        </w:rPr>
        <w:t xml:space="preserve"> </w:t>
      </w:r>
      <w:r w:rsidRPr="00356E5C">
        <w:rPr>
          <w:rFonts w:ascii="Times New Roman" w:hAnsi="Times New Roman"/>
          <w:sz w:val="24"/>
          <w:szCs w:val="24"/>
        </w:rPr>
        <w:t xml:space="preserve">of </w:t>
      </w:r>
      <w:r>
        <w:rPr>
          <w:rFonts w:ascii="Times New Roman" w:hAnsi="Times New Roman"/>
          <w:sz w:val="24"/>
          <w:szCs w:val="24"/>
        </w:rPr>
        <w:t>‘</w:t>
      </w:r>
      <w:r w:rsidRPr="00356E5C">
        <w:rPr>
          <w:rFonts w:ascii="Times New Roman" w:hAnsi="Times New Roman"/>
          <w:sz w:val="24"/>
          <w:szCs w:val="24"/>
        </w:rPr>
        <w:t>the networking [opportunities] available in Intelligence</w:t>
      </w:r>
      <w:r>
        <w:rPr>
          <w:rFonts w:ascii="Times New Roman" w:hAnsi="Times New Roman"/>
          <w:sz w:val="24"/>
          <w:szCs w:val="24"/>
        </w:rPr>
        <w:t xml:space="preserve"> </w:t>
      </w:r>
      <w:r w:rsidRPr="00356E5C">
        <w:rPr>
          <w:rFonts w:ascii="Times New Roman" w:hAnsi="Times New Roman"/>
          <w:sz w:val="24"/>
          <w:szCs w:val="24"/>
        </w:rPr>
        <w:t>was immaterial because she had not provided evidence that</w:t>
      </w:r>
      <w:r>
        <w:rPr>
          <w:rFonts w:ascii="Times New Roman" w:hAnsi="Times New Roman"/>
          <w:sz w:val="24"/>
          <w:szCs w:val="24"/>
        </w:rPr>
        <w:t xml:space="preserve"> </w:t>
      </w:r>
      <w:r w:rsidRPr="00356E5C">
        <w:rPr>
          <w:rFonts w:ascii="Times New Roman" w:hAnsi="Times New Roman"/>
          <w:sz w:val="24"/>
          <w:szCs w:val="24"/>
        </w:rPr>
        <w:t xml:space="preserve">it had harmed her </w:t>
      </w:r>
      <w:r>
        <w:rPr>
          <w:rFonts w:ascii="Times New Roman" w:hAnsi="Times New Roman"/>
          <w:sz w:val="24"/>
          <w:szCs w:val="24"/>
        </w:rPr>
        <w:t>‘</w:t>
      </w:r>
      <w:r w:rsidRPr="00356E5C">
        <w:rPr>
          <w:rFonts w:ascii="Times New Roman" w:hAnsi="Times New Roman"/>
          <w:sz w:val="24"/>
          <w:szCs w:val="24"/>
        </w:rPr>
        <w:t>career prospects.</w:t>
      </w:r>
      <w:r>
        <w:rPr>
          <w:rFonts w:ascii="Times New Roman" w:hAnsi="Times New Roman"/>
          <w:sz w:val="24"/>
          <w:szCs w:val="24"/>
        </w:rPr>
        <w:t>’</w:t>
      </w:r>
      <w:r w:rsidRPr="00356E5C">
        <w:rPr>
          <w:rFonts w:ascii="Times New Roman" w:hAnsi="Times New Roman"/>
          <w:sz w:val="24"/>
          <w:szCs w:val="24"/>
        </w:rPr>
        <w:t xml:space="preserve"> Id., at *8. And given</w:t>
      </w:r>
      <w:r>
        <w:rPr>
          <w:rFonts w:ascii="Times New Roman" w:hAnsi="Times New Roman"/>
          <w:sz w:val="24"/>
          <w:szCs w:val="24"/>
        </w:rPr>
        <w:t xml:space="preserve"> </w:t>
      </w:r>
      <w:r w:rsidRPr="00356E5C">
        <w:rPr>
          <w:rFonts w:ascii="Times New Roman" w:hAnsi="Times New Roman"/>
          <w:sz w:val="24"/>
          <w:szCs w:val="24"/>
        </w:rPr>
        <w:t xml:space="preserve">her continued </w:t>
      </w:r>
      <w:r>
        <w:rPr>
          <w:rFonts w:ascii="Times New Roman" w:hAnsi="Times New Roman"/>
          <w:sz w:val="24"/>
          <w:szCs w:val="24"/>
        </w:rPr>
        <w:t>‘</w:t>
      </w:r>
      <w:r w:rsidRPr="00356E5C">
        <w:rPr>
          <w:rFonts w:ascii="Times New Roman" w:hAnsi="Times New Roman"/>
          <w:sz w:val="24"/>
          <w:szCs w:val="24"/>
        </w:rPr>
        <w:t>supervisory role,</w:t>
      </w:r>
      <w:r>
        <w:rPr>
          <w:rFonts w:ascii="Times New Roman" w:hAnsi="Times New Roman"/>
          <w:sz w:val="24"/>
          <w:szCs w:val="24"/>
        </w:rPr>
        <w:t>’</w:t>
      </w:r>
      <w:r w:rsidRPr="00356E5C">
        <w:rPr>
          <w:rFonts w:ascii="Times New Roman" w:hAnsi="Times New Roman"/>
          <w:sz w:val="24"/>
          <w:szCs w:val="24"/>
        </w:rPr>
        <w:t xml:space="preserve"> she had not </w:t>
      </w:r>
      <w:r>
        <w:rPr>
          <w:rFonts w:ascii="Times New Roman" w:hAnsi="Times New Roman"/>
          <w:sz w:val="24"/>
          <w:szCs w:val="24"/>
        </w:rPr>
        <w:t>‘</w:t>
      </w:r>
      <w:r w:rsidRPr="00356E5C">
        <w:rPr>
          <w:rFonts w:ascii="Times New Roman" w:hAnsi="Times New Roman"/>
          <w:sz w:val="24"/>
          <w:szCs w:val="24"/>
        </w:rPr>
        <w:t>suffered a</w:t>
      </w:r>
      <w:r>
        <w:rPr>
          <w:rFonts w:ascii="Times New Roman" w:hAnsi="Times New Roman"/>
          <w:sz w:val="24"/>
          <w:szCs w:val="24"/>
        </w:rPr>
        <w:t xml:space="preserve"> </w:t>
      </w:r>
      <w:r w:rsidRPr="00356E5C">
        <w:rPr>
          <w:rFonts w:ascii="Times New Roman" w:hAnsi="Times New Roman"/>
          <w:sz w:val="24"/>
          <w:szCs w:val="24"/>
        </w:rPr>
        <w:t xml:space="preserve">significant alteration to her work </w:t>
      </w:r>
      <w:proofErr w:type="gramStart"/>
      <w:r w:rsidRPr="00356E5C">
        <w:rPr>
          <w:rFonts w:ascii="Times New Roman" w:hAnsi="Times New Roman"/>
          <w:sz w:val="24"/>
          <w:szCs w:val="24"/>
        </w:rPr>
        <w:t>responsibilities.”</w:t>
      </w:r>
      <w:proofErr w:type="gramEnd"/>
    </w:p>
    <w:p w14:paraId="64805540" w14:textId="77777777" w:rsidR="00B52921" w:rsidRDefault="00B52921" w:rsidP="00B52921">
      <w:pPr>
        <w:pStyle w:val="NoSpacing"/>
        <w:ind w:left="720"/>
        <w:rPr>
          <w:rFonts w:ascii="Times New Roman" w:hAnsi="Times New Roman"/>
          <w:sz w:val="24"/>
          <w:szCs w:val="24"/>
        </w:rPr>
      </w:pPr>
    </w:p>
    <w:p w14:paraId="3A183DA4" w14:textId="77777777" w:rsidR="00B52921" w:rsidRDefault="00B52921" w:rsidP="00B52921">
      <w:pPr>
        <w:pStyle w:val="NoSpacing"/>
        <w:ind w:left="720"/>
        <w:rPr>
          <w:rFonts w:ascii="Times New Roman" w:hAnsi="Times New Roman"/>
          <w:sz w:val="24"/>
          <w:szCs w:val="24"/>
        </w:rPr>
      </w:pPr>
    </w:p>
    <w:p w14:paraId="4F01906C" w14:textId="77777777" w:rsidR="00B52921" w:rsidRPr="002E281A" w:rsidRDefault="00B52921" w:rsidP="00B52921">
      <w:pPr>
        <w:pStyle w:val="NoSpacing"/>
        <w:rPr>
          <w:rFonts w:ascii="Times New Roman" w:hAnsi="Times New Roman"/>
          <w:b/>
          <w:bCs/>
          <w:sz w:val="24"/>
          <w:szCs w:val="24"/>
        </w:rPr>
      </w:pPr>
      <w:r w:rsidRPr="002E281A">
        <w:rPr>
          <w:rFonts w:ascii="Times New Roman" w:hAnsi="Times New Roman"/>
          <w:b/>
          <w:bCs/>
          <w:sz w:val="24"/>
          <w:szCs w:val="24"/>
        </w:rPr>
        <w:t>Legal Lesson Learned:</w:t>
      </w:r>
      <w:r>
        <w:rPr>
          <w:rFonts w:ascii="Times New Roman" w:hAnsi="Times New Roman"/>
          <w:b/>
          <w:bCs/>
          <w:sz w:val="24"/>
          <w:szCs w:val="24"/>
        </w:rPr>
        <w:t xml:space="preserve"> This is a “landmark” decision; the new “some harm” standard will be widely applied not only in job transfer cases but also a wide variety of other employment decisions. </w:t>
      </w:r>
    </w:p>
    <w:p w14:paraId="0A0E62E5" w14:textId="77777777" w:rsidR="00B52921" w:rsidRDefault="00B52921" w:rsidP="00B52921">
      <w:pPr>
        <w:pStyle w:val="NoSpacing"/>
        <w:rPr>
          <w:rFonts w:ascii="Times New Roman" w:hAnsi="Times New Roman"/>
          <w:sz w:val="24"/>
          <w:szCs w:val="24"/>
        </w:rPr>
      </w:pPr>
    </w:p>
    <w:p w14:paraId="64F48EA1" w14:textId="77777777" w:rsidR="00B52921" w:rsidRPr="00CD1C63" w:rsidRDefault="00B52921" w:rsidP="00B52921">
      <w:pPr>
        <w:pStyle w:val="NoSpacing"/>
        <w:ind w:left="720"/>
        <w:rPr>
          <w:rFonts w:ascii="Times New Roman" w:hAnsi="Times New Roman"/>
          <w:sz w:val="24"/>
          <w:szCs w:val="24"/>
        </w:rPr>
      </w:pPr>
      <w:r w:rsidRPr="00CD1C63">
        <w:rPr>
          <w:rFonts w:ascii="Times New Roman" w:hAnsi="Times New Roman"/>
          <w:sz w:val="24"/>
          <w:szCs w:val="24"/>
        </w:rPr>
        <w:t>Note: Justice</w:t>
      </w:r>
      <w:r>
        <w:rPr>
          <w:rFonts w:ascii="Times New Roman" w:hAnsi="Times New Roman"/>
          <w:sz w:val="24"/>
          <w:szCs w:val="24"/>
        </w:rPr>
        <w:t xml:space="preserve"> Michael</w:t>
      </w:r>
      <w:r w:rsidRPr="00CD1C63">
        <w:rPr>
          <w:rFonts w:ascii="Times New Roman" w:hAnsi="Times New Roman"/>
          <w:sz w:val="24"/>
          <w:szCs w:val="24"/>
        </w:rPr>
        <w:t xml:space="preserve"> Kavanaugh in his concurring decision focused on impact of this decision</w:t>
      </w:r>
    </w:p>
    <w:p w14:paraId="1510B379" w14:textId="77777777" w:rsidR="00B52921" w:rsidRDefault="00B52921" w:rsidP="00B52921">
      <w:pPr>
        <w:pStyle w:val="NoSpacing"/>
        <w:ind w:left="720"/>
        <w:rPr>
          <w:rFonts w:ascii="Times New Roman" w:hAnsi="Times New Roman"/>
          <w:sz w:val="24"/>
          <w:szCs w:val="24"/>
        </w:rPr>
      </w:pPr>
    </w:p>
    <w:p w14:paraId="3CC1DB89" w14:textId="77777777" w:rsidR="00B52921" w:rsidRPr="00CD1C63" w:rsidRDefault="00B52921" w:rsidP="00B52921">
      <w:pPr>
        <w:pStyle w:val="NoSpacing"/>
        <w:ind w:left="720"/>
        <w:rPr>
          <w:rFonts w:ascii="Times New Roman" w:hAnsi="Times New Roman"/>
          <w:sz w:val="24"/>
          <w:szCs w:val="24"/>
        </w:rPr>
      </w:pPr>
      <w:r>
        <w:rPr>
          <w:rFonts w:ascii="Times New Roman" w:hAnsi="Times New Roman"/>
          <w:sz w:val="24"/>
          <w:szCs w:val="24"/>
        </w:rPr>
        <w:t>“</w:t>
      </w:r>
      <w:r w:rsidRPr="00CD1C63">
        <w:rPr>
          <w:rFonts w:ascii="Times New Roman" w:hAnsi="Times New Roman"/>
          <w:sz w:val="24"/>
          <w:szCs w:val="24"/>
        </w:rPr>
        <w:t>All of that said, the Court’s new some-harm requirement</w:t>
      </w:r>
      <w:r>
        <w:rPr>
          <w:rFonts w:ascii="Times New Roman" w:hAnsi="Times New Roman"/>
          <w:sz w:val="24"/>
          <w:szCs w:val="24"/>
        </w:rPr>
        <w:t xml:space="preserve"> </w:t>
      </w:r>
      <w:r w:rsidRPr="00CD1C63">
        <w:rPr>
          <w:rFonts w:ascii="Times New Roman" w:hAnsi="Times New Roman"/>
          <w:sz w:val="24"/>
          <w:szCs w:val="24"/>
        </w:rPr>
        <w:t>appears to be a relatively low bar. Importantly, the Court</w:t>
      </w:r>
      <w:r>
        <w:rPr>
          <w:rFonts w:ascii="Times New Roman" w:hAnsi="Times New Roman"/>
          <w:sz w:val="24"/>
          <w:szCs w:val="24"/>
        </w:rPr>
        <w:t xml:space="preserve"> </w:t>
      </w:r>
      <w:r w:rsidRPr="00CD1C63">
        <w:rPr>
          <w:rFonts w:ascii="Times New Roman" w:hAnsi="Times New Roman"/>
          <w:sz w:val="24"/>
          <w:szCs w:val="24"/>
        </w:rPr>
        <w:t xml:space="preserve">emphasizes that </w:t>
      </w:r>
      <w:r>
        <w:rPr>
          <w:rFonts w:ascii="Times New Roman" w:hAnsi="Times New Roman"/>
          <w:sz w:val="24"/>
          <w:szCs w:val="24"/>
        </w:rPr>
        <w:t>‘</w:t>
      </w:r>
      <w:r w:rsidRPr="00CD1C63">
        <w:rPr>
          <w:rFonts w:ascii="Times New Roman" w:hAnsi="Times New Roman"/>
          <w:sz w:val="24"/>
          <w:szCs w:val="24"/>
        </w:rPr>
        <w:t>some harm</w:t>
      </w:r>
      <w:r>
        <w:rPr>
          <w:rFonts w:ascii="Times New Roman" w:hAnsi="Times New Roman"/>
          <w:sz w:val="24"/>
          <w:szCs w:val="24"/>
        </w:rPr>
        <w:t>’</w:t>
      </w:r>
      <w:r w:rsidRPr="00CD1C63">
        <w:rPr>
          <w:rFonts w:ascii="Times New Roman" w:hAnsi="Times New Roman"/>
          <w:sz w:val="24"/>
          <w:szCs w:val="24"/>
        </w:rPr>
        <w:t xml:space="preserve"> is less than significant harm,</w:t>
      </w:r>
    </w:p>
    <w:p w14:paraId="740FE18C" w14:textId="77777777" w:rsidR="00B52921" w:rsidRPr="00CD1C63" w:rsidRDefault="00B52921" w:rsidP="00B52921">
      <w:pPr>
        <w:pStyle w:val="NoSpacing"/>
        <w:ind w:left="720"/>
        <w:rPr>
          <w:rFonts w:ascii="Times New Roman" w:hAnsi="Times New Roman"/>
          <w:sz w:val="24"/>
          <w:szCs w:val="24"/>
        </w:rPr>
      </w:pPr>
      <w:r w:rsidRPr="00CD1C63">
        <w:rPr>
          <w:rFonts w:ascii="Times New Roman" w:hAnsi="Times New Roman"/>
          <w:sz w:val="24"/>
          <w:szCs w:val="24"/>
        </w:rPr>
        <w:t>serious harm, or substantial harm. Ante, at 6. Therefore,</w:t>
      </w:r>
      <w:r>
        <w:rPr>
          <w:rFonts w:ascii="Times New Roman" w:hAnsi="Times New Roman"/>
          <w:sz w:val="24"/>
          <w:szCs w:val="24"/>
        </w:rPr>
        <w:t xml:space="preserve"> </w:t>
      </w:r>
      <w:r w:rsidRPr="00CD1C63">
        <w:rPr>
          <w:rFonts w:ascii="Times New Roman" w:hAnsi="Times New Roman"/>
          <w:sz w:val="24"/>
          <w:szCs w:val="24"/>
        </w:rPr>
        <w:t>anyone who has been transferred because of race, color,</w:t>
      </w:r>
      <w:r>
        <w:rPr>
          <w:rFonts w:ascii="Times New Roman" w:hAnsi="Times New Roman"/>
          <w:sz w:val="24"/>
          <w:szCs w:val="24"/>
        </w:rPr>
        <w:t xml:space="preserve"> </w:t>
      </w:r>
      <w:r w:rsidRPr="00CD1C63">
        <w:rPr>
          <w:rFonts w:ascii="Times New Roman" w:hAnsi="Times New Roman"/>
          <w:sz w:val="24"/>
          <w:szCs w:val="24"/>
        </w:rPr>
        <w:t>religion, sex, or national origin should easily be able to show</w:t>
      </w:r>
    </w:p>
    <w:p w14:paraId="204C9C57" w14:textId="77777777" w:rsidR="00B52921" w:rsidRPr="00CD1C63" w:rsidRDefault="00B52921" w:rsidP="00B52921">
      <w:pPr>
        <w:pStyle w:val="NoSpacing"/>
        <w:ind w:left="720"/>
        <w:rPr>
          <w:rFonts w:ascii="Times New Roman" w:hAnsi="Times New Roman"/>
          <w:sz w:val="24"/>
          <w:szCs w:val="24"/>
        </w:rPr>
      </w:pPr>
      <w:r w:rsidRPr="00CD1C63">
        <w:rPr>
          <w:rFonts w:ascii="Times New Roman" w:hAnsi="Times New Roman"/>
          <w:sz w:val="24"/>
          <w:szCs w:val="24"/>
        </w:rPr>
        <w:t>some additional harm—whether in money, time,</w:t>
      </w:r>
      <w:r>
        <w:rPr>
          <w:rFonts w:ascii="Times New Roman" w:hAnsi="Times New Roman"/>
          <w:sz w:val="24"/>
          <w:szCs w:val="24"/>
        </w:rPr>
        <w:t xml:space="preserve"> </w:t>
      </w:r>
      <w:r w:rsidRPr="00CD1C63">
        <w:rPr>
          <w:rFonts w:ascii="Times New Roman" w:hAnsi="Times New Roman"/>
          <w:sz w:val="24"/>
          <w:szCs w:val="24"/>
        </w:rPr>
        <w:t>satisfaction, schedule, convenience, commuting costs or</w:t>
      </w:r>
      <w:r>
        <w:rPr>
          <w:rFonts w:ascii="Times New Roman" w:hAnsi="Times New Roman"/>
          <w:sz w:val="24"/>
          <w:szCs w:val="24"/>
        </w:rPr>
        <w:t xml:space="preserve"> </w:t>
      </w:r>
      <w:r w:rsidRPr="00CD1C63">
        <w:rPr>
          <w:rFonts w:ascii="Times New Roman" w:hAnsi="Times New Roman"/>
          <w:sz w:val="24"/>
          <w:szCs w:val="24"/>
        </w:rPr>
        <w:t>time, prestige, status, career prospects, interest level,</w:t>
      </w:r>
      <w:r>
        <w:rPr>
          <w:rFonts w:ascii="Times New Roman" w:hAnsi="Times New Roman"/>
          <w:sz w:val="24"/>
          <w:szCs w:val="24"/>
        </w:rPr>
        <w:t xml:space="preserve"> </w:t>
      </w:r>
      <w:r w:rsidRPr="00CD1C63">
        <w:rPr>
          <w:rFonts w:ascii="Times New Roman" w:hAnsi="Times New Roman"/>
          <w:sz w:val="24"/>
          <w:szCs w:val="24"/>
        </w:rPr>
        <w:t>perks, professional relationships, networking</w:t>
      </w:r>
      <w:r>
        <w:rPr>
          <w:rFonts w:ascii="Times New Roman" w:hAnsi="Times New Roman"/>
          <w:sz w:val="24"/>
          <w:szCs w:val="24"/>
        </w:rPr>
        <w:t xml:space="preserve"> </w:t>
      </w:r>
      <w:r w:rsidRPr="00CD1C63">
        <w:rPr>
          <w:rFonts w:ascii="Times New Roman" w:hAnsi="Times New Roman"/>
          <w:sz w:val="24"/>
          <w:szCs w:val="24"/>
        </w:rPr>
        <w:t>opportunities, effects on family obligations, or the like.</w:t>
      </w:r>
      <w:r>
        <w:rPr>
          <w:rFonts w:ascii="Times New Roman" w:hAnsi="Times New Roman"/>
          <w:sz w:val="24"/>
          <w:szCs w:val="24"/>
        </w:rPr>
        <w:t>”</w:t>
      </w:r>
    </w:p>
    <w:p w14:paraId="36167F69" w14:textId="77777777" w:rsidR="00B52921" w:rsidRDefault="00B52921" w:rsidP="00B52921">
      <w:pPr>
        <w:rPr>
          <w:rFonts w:ascii="Arial Black" w:hAnsi="Arial Black"/>
          <w:sz w:val="28"/>
          <w:szCs w:val="28"/>
        </w:rPr>
      </w:pPr>
    </w:p>
    <w:p w14:paraId="2CE26F59" w14:textId="77777777" w:rsidR="00B52921" w:rsidRDefault="00B52921" w:rsidP="00F326E5">
      <w:pPr>
        <w:pStyle w:val="NoSpacing"/>
        <w:rPr>
          <w:rFonts w:ascii="Arial Black" w:hAnsi="Arial Black"/>
          <w:b/>
          <w:bCs/>
          <w:sz w:val="24"/>
          <w:szCs w:val="24"/>
        </w:rPr>
      </w:pPr>
    </w:p>
    <w:p w14:paraId="115EE191" w14:textId="77777777" w:rsidR="00B52921" w:rsidRDefault="00B52921" w:rsidP="00F326E5">
      <w:pPr>
        <w:pStyle w:val="NoSpacing"/>
        <w:rPr>
          <w:rFonts w:ascii="Arial Black" w:hAnsi="Arial Black"/>
          <w:b/>
          <w:bCs/>
          <w:sz w:val="24"/>
          <w:szCs w:val="24"/>
        </w:rPr>
      </w:pPr>
    </w:p>
    <w:p w14:paraId="2005FA0B" w14:textId="77777777" w:rsidR="00B52921" w:rsidRDefault="00B52921" w:rsidP="00F326E5">
      <w:pPr>
        <w:pStyle w:val="NoSpacing"/>
        <w:rPr>
          <w:rFonts w:ascii="Arial Black" w:hAnsi="Arial Black"/>
          <w:b/>
          <w:bCs/>
          <w:sz w:val="24"/>
          <w:szCs w:val="24"/>
        </w:rPr>
      </w:pPr>
    </w:p>
    <w:p w14:paraId="2663EE2F" w14:textId="77777777" w:rsidR="00B52921" w:rsidRDefault="00B52921" w:rsidP="00F326E5">
      <w:pPr>
        <w:pStyle w:val="NoSpacing"/>
        <w:rPr>
          <w:rFonts w:ascii="Arial Black" w:hAnsi="Arial Black"/>
          <w:b/>
          <w:bCs/>
          <w:sz w:val="24"/>
          <w:szCs w:val="24"/>
        </w:rPr>
      </w:pPr>
    </w:p>
    <w:p w14:paraId="5E31E56F" w14:textId="77777777" w:rsidR="00B52921" w:rsidRDefault="00B52921" w:rsidP="00F326E5">
      <w:pPr>
        <w:pStyle w:val="NoSpacing"/>
        <w:rPr>
          <w:rFonts w:ascii="Arial Black" w:hAnsi="Arial Black"/>
          <w:b/>
          <w:bCs/>
          <w:sz w:val="24"/>
          <w:szCs w:val="24"/>
        </w:rPr>
      </w:pPr>
    </w:p>
    <w:p w14:paraId="7E3AB5B9" w14:textId="77777777" w:rsidR="00B52921" w:rsidRDefault="00B52921" w:rsidP="00F326E5">
      <w:pPr>
        <w:pStyle w:val="NoSpacing"/>
        <w:rPr>
          <w:rFonts w:ascii="Arial Black" w:hAnsi="Arial Black"/>
          <w:b/>
          <w:bCs/>
          <w:sz w:val="24"/>
          <w:szCs w:val="24"/>
        </w:rPr>
      </w:pPr>
    </w:p>
    <w:p w14:paraId="04787010" w14:textId="77777777" w:rsidR="00B52921" w:rsidRDefault="00B52921" w:rsidP="00F326E5">
      <w:pPr>
        <w:pStyle w:val="NoSpacing"/>
        <w:rPr>
          <w:rFonts w:ascii="Arial Black" w:hAnsi="Arial Black"/>
          <w:b/>
          <w:bCs/>
          <w:sz w:val="24"/>
          <w:szCs w:val="24"/>
        </w:rPr>
      </w:pPr>
    </w:p>
    <w:p w14:paraId="2D864645" w14:textId="2D5A83A1" w:rsidR="00820998" w:rsidRDefault="00772D62" w:rsidP="00F326E5">
      <w:pPr>
        <w:pStyle w:val="NoSpacing"/>
        <w:rPr>
          <w:rFonts w:ascii="Arial Black" w:hAnsi="Arial Black"/>
          <w:b/>
          <w:bCs/>
          <w:sz w:val="24"/>
          <w:szCs w:val="24"/>
        </w:rPr>
      </w:pPr>
      <w:r>
        <w:rPr>
          <w:rFonts w:ascii="Arial Black" w:hAnsi="Arial Black"/>
          <w:b/>
          <w:bCs/>
          <w:sz w:val="24"/>
          <w:szCs w:val="24"/>
        </w:rPr>
        <w:t>7-59</w:t>
      </w:r>
    </w:p>
    <w:p w14:paraId="5F3343AD" w14:textId="77777777" w:rsidR="005251B2" w:rsidRPr="001E7114" w:rsidRDefault="005251B2" w:rsidP="005251B2">
      <w:pPr>
        <w:pStyle w:val="NormalWeb"/>
        <w:rPr>
          <w:rFonts w:ascii="Arial Black" w:hAnsi="Arial Black"/>
          <w:b/>
          <w:bCs/>
          <w:sz w:val="28"/>
          <w:szCs w:val="28"/>
        </w:rPr>
      </w:pPr>
      <w:r w:rsidRPr="001E7114">
        <w:rPr>
          <w:rFonts w:ascii="Arial Black" w:hAnsi="Arial Black"/>
          <w:b/>
          <w:bCs/>
          <w:sz w:val="28"/>
          <w:szCs w:val="28"/>
        </w:rPr>
        <w:t xml:space="preserve">NV: FD VISITOR – KISSING </w:t>
      </w:r>
      <w:r>
        <w:rPr>
          <w:rFonts w:ascii="Arial Black" w:hAnsi="Arial Black"/>
          <w:b/>
          <w:bCs/>
          <w:sz w:val="28"/>
          <w:szCs w:val="28"/>
        </w:rPr>
        <w:t xml:space="preserve">IN </w:t>
      </w:r>
      <w:r w:rsidRPr="001E7114">
        <w:rPr>
          <w:rFonts w:ascii="Arial Black" w:hAnsi="Arial Black"/>
          <w:b/>
          <w:bCs/>
          <w:sz w:val="28"/>
          <w:szCs w:val="28"/>
        </w:rPr>
        <w:t xml:space="preserve">BUNK ROOM - FF REPORTED </w:t>
      </w:r>
      <w:r>
        <w:rPr>
          <w:rFonts w:ascii="Arial Black" w:hAnsi="Arial Black"/>
          <w:b/>
          <w:bCs/>
          <w:sz w:val="28"/>
          <w:szCs w:val="28"/>
        </w:rPr>
        <w:t>TO MGT</w:t>
      </w:r>
      <w:r w:rsidRPr="001E7114">
        <w:rPr>
          <w:rFonts w:ascii="Arial Black" w:hAnsi="Arial Black"/>
          <w:b/>
          <w:bCs/>
          <w:sz w:val="28"/>
          <w:szCs w:val="28"/>
        </w:rPr>
        <w:t>, NEWSPAPER</w:t>
      </w:r>
      <w:r>
        <w:rPr>
          <w:rFonts w:ascii="Arial Black" w:hAnsi="Arial Black"/>
          <w:b/>
          <w:bCs/>
          <w:sz w:val="28"/>
          <w:szCs w:val="28"/>
        </w:rPr>
        <w:t xml:space="preserve"> ARTICLE</w:t>
      </w:r>
      <w:r w:rsidRPr="001E7114">
        <w:rPr>
          <w:rFonts w:ascii="Arial Black" w:hAnsi="Arial Black"/>
          <w:b/>
          <w:bCs/>
          <w:sz w:val="28"/>
          <w:szCs w:val="28"/>
        </w:rPr>
        <w:t xml:space="preserve"> – CASE DISMISSED</w:t>
      </w:r>
    </w:p>
    <w:p w14:paraId="4CB827A7" w14:textId="77777777" w:rsidR="005251B2" w:rsidRPr="005535D1" w:rsidRDefault="005251B2" w:rsidP="005251B2">
      <w:pPr>
        <w:pStyle w:val="NoSpacing"/>
        <w:rPr>
          <w:rFonts w:ascii="Times New Roman" w:hAnsi="Times New Roman"/>
          <w:sz w:val="24"/>
          <w:szCs w:val="24"/>
        </w:rPr>
      </w:pPr>
      <w:r w:rsidRPr="005535D1">
        <w:rPr>
          <w:rFonts w:ascii="Times New Roman" w:hAnsi="Times New Roman"/>
          <w:sz w:val="24"/>
          <w:szCs w:val="24"/>
        </w:rPr>
        <w:t xml:space="preserve">On Feb. 29, </w:t>
      </w:r>
      <w:proofErr w:type="gramStart"/>
      <w:r w:rsidRPr="005535D1">
        <w:rPr>
          <w:rFonts w:ascii="Times New Roman" w:hAnsi="Times New Roman"/>
          <w:sz w:val="24"/>
          <w:szCs w:val="24"/>
        </w:rPr>
        <w:t>2024</w:t>
      </w:r>
      <w:proofErr w:type="gramEnd"/>
      <w:r w:rsidRPr="005535D1">
        <w:rPr>
          <w:rFonts w:ascii="Times New Roman" w:hAnsi="Times New Roman"/>
          <w:sz w:val="24"/>
          <w:szCs w:val="24"/>
        </w:rPr>
        <w:t xml:space="preserve"> in </w:t>
      </w:r>
      <w:r w:rsidRPr="005535D1">
        <w:rPr>
          <w:rFonts w:ascii="Times New Roman" w:hAnsi="Times New Roman"/>
          <w:sz w:val="24"/>
          <w:szCs w:val="24"/>
          <w:u w:val="single"/>
        </w:rPr>
        <w:t>Eric Scheumann v. City of Las Vegas, Las Vegas Fire &amp; Rescue</w:t>
      </w:r>
      <w:r w:rsidRPr="005535D1">
        <w:rPr>
          <w:rFonts w:ascii="Times New Roman" w:hAnsi="Times New Roman"/>
          <w:sz w:val="24"/>
          <w:szCs w:val="24"/>
        </w:rPr>
        <w:t>, U.S. District Court Judge Jennifer A. Dorsey granted the defense motion for summary judgment. “Eric Scheumann brings this employment action against City of Las Vegas Fire &amp; Rescue for events arising from an August 2017 visit to his fire station by guests of a coworker. Scheumann claims that he overheard kissing noises coming from his coworker’s dorm, the same coworker showed him and the visiting guests a 15-second pornographic video of ‘a man’s genitalia eclipsing the sun’ later that same day, and Scheumann suffered retaliation because he reported the incidents and his superiors’ inadequate handling of them.”</w:t>
      </w:r>
    </w:p>
    <w:p w14:paraId="4FD60969" w14:textId="77777777" w:rsidR="005251B2" w:rsidRDefault="005251B2" w:rsidP="005251B2">
      <w:pPr>
        <w:pStyle w:val="NormalWeb"/>
      </w:pPr>
      <w:r>
        <w:t>Court held:</w:t>
      </w:r>
    </w:p>
    <w:p w14:paraId="6133CF85" w14:textId="77777777" w:rsidR="005251B2" w:rsidRPr="00C676FC" w:rsidRDefault="005251B2" w:rsidP="005251B2">
      <w:pPr>
        <w:pStyle w:val="NoSpacing"/>
        <w:ind w:firstLine="720"/>
        <w:rPr>
          <w:rFonts w:ascii="Times New Roman" w:hAnsi="Times New Roman"/>
          <w:sz w:val="24"/>
          <w:szCs w:val="24"/>
        </w:rPr>
      </w:pPr>
      <w:r>
        <w:rPr>
          <w:rFonts w:ascii="Times New Roman" w:hAnsi="Times New Roman"/>
          <w:sz w:val="24"/>
          <w:szCs w:val="24"/>
        </w:rPr>
        <w:t>“</w:t>
      </w:r>
      <w:proofErr w:type="gramStart"/>
      <w:r w:rsidRPr="00C676FC">
        <w:rPr>
          <w:rFonts w:ascii="Times New Roman" w:hAnsi="Times New Roman"/>
          <w:sz w:val="24"/>
          <w:szCs w:val="24"/>
        </w:rPr>
        <w:t>So</w:t>
      </w:r>
      <w:proofErr w:type="gramEnd"/>
      <w:r w:rsidRPr="00C676FC">
        <w:rPr>
          <w:rFonts w:ascii="Times New Roman" w:hAnsi="Times New Roman"/>
          <w:sz w:val="24"/>
          <w:szCs w:val="24"/>
        </w:rPr>
        <w:t xml:space="preserve"> there is no evidence to support Scheumann’s negligent-retention theory, and his</w:t>
      </w:r>
    </w:p>
    <w:p w14:paraId="1BACFB02" w14:textId="77777777" w:rsidR="005251B2" w:rsidRDefault="005251B2" w:rsidP="005251B2">
      <w:pPr>
        <w:pStyle w:val="NoSpacing"/>
        <w:ind w:left="720"/>
      </w:pPr>
      <w:r w:rsidRPr="00C676FC">
        <w:rPr>
          <w:rFonts w:ascii="Times New Roman" w:hAnsi="Times New Roman"/>
          <w:sz w:val="24"/>
          <w:szCs w:val="24"/>
        </w:rPr>
        <w:t>negligent-training and negligent-supervision theories suffer from breach and causation voids.</w:t>
      </w:r>
      <w:r>
        <w:rPr>
          <w:rFonts w:ascii="Times New Roman" w:hAnsi="Times New Roman"/>
          <w:sz w:val="24"/>
          <w:szCs w:val="24"/>
        </w:rPr>
        <w:t xml:space="preserve"> </w:t>
      </w:r>
      <w:r w:rsidRPr="00C676FC">
        <w:rPr>
          <w:rFonts w:ascii="Times New Roman" w:hAnsi="Times New Roman"/>
          <w:sz w:val="24"/>
          <w:szCs w:val="24"/>
        </w:rPr>
        <w:t>This leaves no genuine disputes of fact as to Scheumann’s negligent training, supervision, and</w:t>
      </w:r>
      <w:r>
        <w:rPr>
          <w:rFonts w:ascii="Times New Roman" w:hAnsi="Times New Roman"/>
          <w:sz w:val="24"/>
          <w:szCs w:val="24"/>
        </w:rPr>
        <w:t xml:space="preserve"> </w:t>
      </w:r>
      <w:r w:rsidRPr="00C676FC">
        <w:rPr>
          <w:rFonts w:ascii="Times New Roman" w:hAnsi="Times New Roman"/>
          <w:sz w:val="24"/>
          <w:szCs w:val="24"/>
        </w:rPr>
        <w:t xml:space="preserve">retention claim because he hasn’t shown that Fire &amp; Rescue </w:t>
      </w:r>
      <w:r>
        <w:rPr>
          <w:rFonts w:ascii="Times New Roman" w:hAnsi="Times New Roman"/>
          <w:sz w:val="24"/>
          <w:szCs w:val="24"/>
        </w:rPr>
        <w:t>‘</w:t>
      </w:r>
      <w:r w:rsidRPr="00C676FC">
        <w:rPr>
          <w:rFonts w:ascii="Times New Roman" w:hAnsi="Times New Roman"/>
          <w:sz w:val="24"/>
          <w:szCs w:val="24"/>
        </w:rPr>
        <w:t>failed to use reasonable care in the</w:t>
      </w:r>
      <w:r>
        <w:rPr>
          <w:rFonts w:ascii="Times New Roman" w:hAnsi="Times New Roman"/>
          <w:sz w:val="24"/>
          <w:szCs w:val="24"/>
        </w:rPr>
        <w:t xml:space="preserve"> </w:t>
      </w:r>
      <w:r w:rsidRPr="00C676FC">
        <w:rPr>
          <w:rFonts w:ascii="Times New Roman" w:hAnsi="Times New Roman"/>
          <w:sz w:val="24"/>
          <w:szCs w:val="24"/>
        </w:rPr>
        <w:t>training, supervision, and retention of its employees to ensure their fitness for their respective</w:t>
      </w:r>
      <w:r>
        <w:rPr>
          <w:rFonts w:ascii="Times New Roman" w:hAnsi="Times New Roman"/>
          <w:sz w:val="24"/>
          <w:szCs w:val="24"/>
        </w:rPr>
        <w:t xml:space="preserve"> </w:t>
      </w:r>
      <w:r w:rsidRPr="00C676FC">
        <w:rPr>
          <w:rFonts w:ascii="Times New Roman" w:hAnsi="Times New Roman"/>
          <w:sz w:val="24"/>
          <w:szCs w:val="24"/>
        </w:rPr>
        <w:t>positions.”145 So I grant summary judgment in Fire &amp; Rescue’s favor on these remaining</w:t>
      </w:r>
      <w:r>
        <w:rPr>
          <w:rFonts w:ascii="Times New Roman" w:hAnsi="Times New Roman"/>
          <w:sz w:val="24"/>
          <w:szCs w:val="24"/>
        </w:rPr>
        <w:t xml:space="preserve"> </w:t>
      </w:r>
      <w:r w:rsidRPr="00C676FC">
        <w:rPr>
          <w:rFonts w:ascii="Times New Roman" w:hAnsi="Times New Roman"/>
          <w:sz w:val="24"/>
          <w:szCs w:val="24"/>
        </w:rPr>
        <w:t>negligence-based claims, too</w:t>
      </w:r>
      <w:r>
        <w:rPr>
          <w:rFonts w:ascii="Times New Roman" w:hAnsi="Times New Roman"/>
          <w:sz w:val="24"/>
          <w:szCs w:val="24"/>
        </w:rPr>
        <w:t xml:space="preserve">.” </w:t>
      </w:r>
      <w:hyperlink r:id="rId1360" w:history="1">
        <w:r w:rsidRPr="00644350">
          <w:rPr>
            <w:rStyle w:val="Hyperlink"/>
          </w:rPr>
          <w:t>https://cases.justia.com/federal/district-courts/nevada/nvdce/2:2021cv01405/151510/46/0.pdf</w:t>
        </w:r>
      </w:hyperlink>
      <w:r>
        <w:t xml:space="preserve"> </w:t>
      </w:r>
    </w:p>
    <w:p w14:paraId="6024C2F9" w14:textId="77777777" w:rsidR="005251B2" w:rsidRPr="00A932F2" w:rsidRDefault="005251B2" w:rsidP="005251B2">
      <w:pPr>
        <w:pStyle w:val="NormalWeb"/>
        <w:rPr>
          <w:b/>
          <w:bCs/>
        </w:rPr>
      </w:pPr>
      <w:r w:rsidRPr="00A932F2">
        <w:rPr>
          <w:b/>
          <w:bCs/>
        </w:rPr>
        <w:t xml:space="preserve">Legal Lesson Learned: Have a clear visitor policy that </w:t>
      </w:r>
      <w:r>
        <w:rPr>
          <w:b/>
          <w:bCs/>
        </w:rPr>
        <w:t xml:space="preserve">prohibits </w:t>
      </w:r>
      <w:r w:rsidRPr="00A932F2">
        <w:rPr>
          <w:b/>
          <w:bCs/>
        </w:rPr>
        <w:t xml:space="preserve">visitors </w:t>
      </w:r>
      <w:r>
        <w:rPr>
          <w:b/>
          <w:bCs/>
        </w:rPr>
        <w:t xml:space="preserve">in bunk </w:t>
      </w:r>
      <w:proofErr w:type="gramStart"/>
      <w:r>
        <w:rPr>
          <w:b/>
          <w:bCs/>
        </w:rPr>
        <w:t>room</w:t>
      </w:r>
      <w:proofErr w:type="gramEnd"/>
      <w:r>
        <w:rPr>
          <w:b/>
          <w:bCs/>
        </w:rPr>
        <w:t xml:space="preserve">. </w:t>
      </w:r>
    </w:p>
    <w:p w14:paraId="7D58C39D" w14:textId="77777777" w:rsidR="005251B2" w:rsidRDefault="005251B2" w:rsidP="005251B2">
      <w:pPr>
        <w:pStyle w:val="Heading1"/>
        <w:ind w:left="720"/>
        <w:rPr>
          <w:b w:val="0"/>
          <w:bCs w:val="0"/>
          <w:sz w:val="24"/>
          <w:szCs w:val="24"/>
        </w:rPr>
      </w:pPr>
      <w:r w:rsidRPr="000542CC">
        <w:rPr>
          <w:b w:val="0"/>
          <w:bCs w:val="0"/>
          <w:sz w:val="24"/>
          <w:szCs w:val="24"/>
        </w:rPr>
        <w:t xml:space="preserve">Note: See Sept. 21, </w:t>
      </w:r>
      <w:proofErr w:type="gramStart"/>
      <w:r w:rsidRPr="000542CC">
        <w:rPr>
          <w:b w:val="0"/>
          <w:bCs w:val="0"/>
          <w:sz w:val="24"/>
          <w:szCs w:val="24"/>
        </w:rPr>
        <w:t>2017</w:t>
      </w:r>
      <w:proofErr w:type="gramEnd"/>
      <w:r w:rsidRPr="000542CC">
        <w:rPr>
          <w:b w:val="0"/>
          <w:bCs w:val="0"/>
          <w:sz w:val="24"/>
          <w:szCs w:val="24"/>
        </w:rPr>
        <w:t xml:space="preserve"> article: “Sex, cover-up at Las Vegas fire station alleged in document.” </w:t>
      </w:r>
      <w:hyperlink r:id="rId1361" w:history="1">
        <w:r w:rsidRPr="000542CC">
          <w:rPr>
            <w:rStyle w:val="Hyperlink"/>
            <w:b w:val="0"/>
            <w:bCs w:val="0"/>
            <w:sz w:val="24"/>
            <w:szCs w:val="24"/>
          </w:rPr>
          <w:t>https://www.reviewjournal.com/local/sex-cover-up-at-las-vegas-fire-station-alleged-in-document/</w:t>
        </w:r>
      </w:hyperlink>
      <w:r w:rsidRPr="000542CC">
        <w:rPr>
          <w:b w:val="0"/>
          <w:bCs w:val="0"/>
          <w:sz w:val="24"/>
          <w:szCs w:val="24"/>
        </w:rPr>
        <w:t xml:space="preserve"> </w:t>
      </w:r>
    </w:p>
    <w:p w14:paraId="51555339" w14:textId="77777777" w:rsidR="005251B2" w:rsidRDefault="005251B2" w:rsidP="005251B2">
      <w:pPr>
        <w:pStyle w:val="NormalWeb"/>
      </w:pPr>
    </w:p>
    <w:p w14:paraId="06DCC9B8" w14:textId="77777777" w:rsidR="005251B2" w:rsidRDefault="005251B2" w:rsidP="00F326E5">
      <w:pPr>
        <w:pStyle w:val="NoSpacing"/>
        <w:rPr>
          <w:rFonts w:ascii="Arial Black" w:hAnsi="Arial Black"/>
          <w:b/>
          <w:bCs/>
          <w:sz w:val="24"/>
          <w:szCs w:val="24"/>
        </w:rPr>
      </w:pPr>
    </w:p>
    <w:p w14:paraId="23B63846" w14:textId="77777777" w:rsidR="00772D62" w:rsidRDefault="00772D62" w:rsidP="00F326E5">
      <w:pPr>
        <w:pStyle w:val="NoSpacing"/>
        <w:rPr>
          <w:rFonts w:ascii="Arial Black" w:hAnsi="Arial Black"/>
          <w:b/>
          <w:bCs/>
          <w:sz w:val="24"/>
          <w:szCs w:val="24"/>
        </w:rPr>
      </w:pPr>
    </w:p>
    <w:p w14:paraId="40F1923E" w14:textId="77777777" w:rsidR="00772D62" w:rsidRDefault="00772D62" w:rsidP="00F326E5">
      <w:pPr>
        <w:pStyle w:val="NoSpacing"/>
        <w:rPr>
          <w:rFonts w:ascii="Arial Black" w:hAnsi="Arial Black"/>
          <w:b/>
          <w:bCs/>
          <w:sz w:val="24"/>
          <w:szCs w:val="24"/>
        </w:rPr>
      </w:pPr>
    </w:p>
    <w:p w14:paraId="1CFEF835" w14:textId="2099A23C" w:rsidR="0061488E" w:rsidRDefault="0061488E" w:rsidP="00F326E5">
      <w:pPr>
        <w:pStyle w:val="NoSpacing"/>
        <w:rPr>
          <w:rFonts w:ascii="Arial Black" w:hAnsi="Arial Black"/>
          <w:b/>
          <w:bCs/>
          <w:sz w:val="24"/>
          <w:szCs w:val="24"/>
        </w:rPr>
      </w:pPr>
      <w:r>
        <w:rPr>
          <w:rFonts w:ascii="Arial Black" w:hAnsi="Arial Black"/>
          <w:b/>
          <w:bCs/>
          <w:sz w:val="24"/>
          <w:szCs w:val="24"/>
        </w:rPr>
        <w:t>7-58</w:t>
      </w:r>
    </w:p>
    <w:p w14:paraId="605B9E92" w14:textId="77777777" w:rsidR="00451608" w:rsidRPr="004A5B4B" w:rsidRDefault="00451608" w:rsidP="00451608">
      <w:pPr>
        <w:pStyle w:val="NormalWeb"/>
        <w:rPr>
          <w:rFonts w:ascii="Arial Black" w:hAnsi="Arial Black"/>
          <w:b/>
          <w:bCs/>
          <w:sz w:val="28"/>
          <w:szCs w:val="28"/>
        </w:rPr>
      </w:pPr>
      <w:r>
        <w:rPr>
          <w:rFonts w:ascii="Arial Black" w:hAnsi="Arial Black"/>
          <w:b/>
          <w:bCs/>
          <w:sz w:val="28"/>
          <w:szCs w:val="28"/>
        </w:rPr>
        <w:t>DC: LT. ON DUTY GRABBED BREASTS FEMALE FF – CONV. –HOSTILE WORKPLACE CASE PROCEED - NOT RETALIATION</w:t>
      </w:r>
    </w:p>
    <w:p w14:paraId="35DF2F57" w14:textId="77777777" w:rsidR="00451608" w:rsidRPr="005235E2" w:rsidRDefault="00451608" w:rsidP="00451608">
      <w:pPr>
        <w:pStyle w:val="NormalWeb"/>
      </w:pPr>
      <w:r w:rsidRPr="005235E2">
        <w:t xml:space="preserve">On Jan. 29, 2024, in </w:t>
      </w:r>
      <w:r w:rsidRPr="005235E2">
        <w:rPr>
          <w:u w:val="single"/>
        </w:rPr>
        <w:t>Anaje Boyd v. District of Columbia</w:t>
      </w:r>
      <w:r w:rsidRPr="005235E2">
        <w:t>, U.S. District Court Judge Rudolph Contreras, U.S. District Court for District of Columbia, held that the plaintiffs claim for hostile work environment may proceed with pre-trial discovery, but the claim of retaliation for FD delay in conducting are internal investigation is dismissed.  When she filed a complaint with the Police Department, the FD’s EEO officer (Amy Mauro) and Internal Affairs Captain Melonie Barnes told her to hold off filing EEOC charge while criminal case was proceeding.</w:t>
      </w:r>
    </w:p>
    <w:p w14:paraId="169C4CE5" w14:textId="4E27F073" w:rsidR="0061488E" w:rsidRPr="005235E2" w:rsidRDefault="00451608" w:rsidP="00451608">
      <w:pPr>
        <w:pStyle w:val="NoSpacing"/>
        <w:rPr>
          <w:rStyle w:val="Hyperlink"/>
          <w:rFonts w:ascii="Times New Roman" w:hAnsi="Times New Roman"/>
          <w:sz w:val="24"/>
          <w:szCs w:val="24"/>
        </w:rPr>
      </w:pPr>
      <w:r w:rsidRPr="005235E2">
        <w:rPr>
          <w:rFonts w:ascii="Times New Roman" w:hAnsi="Times New Roman"/>
          <w:sz w:val="24"/>
          <w:szCs w:val="24"/>
        </w:rPr>
        <w:t xml:space="preserve">“Although Boyd's written narrative does mention that Mauro and Cpt. Barnes instructed her that she could not file an EEO complaint until the criminal proceedings against Lt. Jordan had concluded, </w:t>
      </w:r>
      <w:r w:rsidRPr="005235E2">
        <w:rPr>
          <w:rStyle w:val="Emphasis"/>
          <w:rFonts w:ascii="Times New Roman" w:hAnsi="Times New Roman"/>
          <w:sz w:val="24"/>
          <w:szCs w:val="24"/>
        </w:rPr>
        <w:t>see</w:t>
      </w:r>
      <w:r w:rsidRPr="005235E2">
        <w:rPr>
          <w:rFonts w:ascii="Times New Roman" w:hAnsi="Times New Roman"/>
          <w:sz w:val="24"/>
          <w:szCs w:val="24"/>
        </w:rPr>
        <w:t xml:space="preserve"> EEOC Charge at 5; </w:t>
      </w:r>
      <w:r w:rsidRPr="005235E2">
        <w:rPr>
          <w:rStyle w:val="Emphasis"/>
          <w:rFonts w:ascii="Times New Roman" w:hAnsi="Times New Roman"/>
          <w:sz w:val="24"/>
          <w:szCs w:val="24"/>
        </w:rPr>
        <w:t>see also</w:t>
      </w:r>
      <w:r w:rsidRPr="005235E2">
        <w:rPr>
          <w:rFonts w:ascii="Times New Roman" w:hAnsi="Times New Roman"/>
          <w:sz w:val="24"/>
          <w:szCs w:val="24"/>
        </w:rPr>
        <w:t xml:space="preserve"> Pl.'s </w:t>
      </w:r>
      <w:proofErr w:type="spellStart"/>
      <w:r w:rsidRPr="005235E2">
        <w:rPr>
          <w:rFonts w:ascii="Times New Roman" w:hAnsi="Times New Roman"/>
          <w:sz w:val="24"/>
          <w:szCs w:val="24"/>
        </w:rPr>
        <w:t>Opp'n</w:t>
      </w:r>
      <w:proofErr w:type="spellEnd"/>
      <w:r w:rsidRPr="005235E2">
        <w:rPr>
          <w:rFonts w:ascii="Times New Roman" w:hAnsi="Times New Roman"/>
          <w:sz w:val="24"/>
          <w:szCs w:val="24"/>
        </w:rPr>
        <w:t xml:space="preserve"> at 9 (arguing that the inclusion of these facts satisfies the exhaustion requirement), there is nothing in that narrative that suggests-in any way-that Boyd viewed Mauro's or Cpt. Barnes's instructions to be retaliatory…. Rather, Boyd's description of Mauro's and Cpt. Barnes's acts is best (and most reasonably) understood as providing support for why she delayed in filing her formal discrimination complaint. That being so-and given the absence of any other factual allegations that suggest Boyd was describing a retaliation claim-the Court cannot conclude that Boyd's complaint would have ‘reasonably give[n] rise to an investigation’ into retaliation (as opposed to an investigation solely focused on sex discrimination and sexual harassment).” </w:t>
      </w:r>
      <w:hyperlink r:id="rId1362" w:history="1">
        <w:r w:rsidRPr="005235E2">
          <w:rPr>
            <w:rStyle w:val="Hyperlink"/>
            <w:rFonts w:ascii="Times New Roman" w:hAnsi="Times New Roman"/>
            <w:sz w:val="24"/>
            <w:szCs w:val="24"/>
          </w:rPr>
          <w:t>https://public.fastcase.com/ZZhmr5v9wN%2FXOe5IsQ%2FqD6jMQR25voU2zetCo1HgS1zBk8tCI%2FmKZ0pb%2BYQBY4PYbj2YxbwIVSZ2pGprXwG4UQ35c6nwrJlu7u4tvaka%2BGk%3D?utm_medium=email&amp;_hsmi=226712652&amp;_hsenc=p2ANqtz-8k0z7Ow52c-ClX2b2IdaHNx0isoBG6vg98c6p6ibbt9CVV8mr3zs9YYXJjoYif24S7rYOdhr1XcCDTZ_K6Y2uCJJR3PQ&amp;utm_content=226712652&amp;utm_source=hs_email</w:t>
        </w:r>
      </w:hyperlink>
    </w:p>
    <w:p w14:paraId="51C14711" w14:textId="77777777" w:rsidR="005235E2" w:rsidRPr="005235E2" w:rsidRDefault="005235E2" w:rsidP="00451608">
      <w:pPr>
        <w:pStyle w:val="NoSpacing"/>
        <w:rPr>
          <w:rStyle w:val="Hyperlink"/>
          <w:rFonts w:ascii="Times New Roman" w:hAnsi="Times New Roman"/>
          <w:sz w:val="24"/>
          <w:szCs w:val="24"/>
        </w:rPr>
      </w:pPr>
    </w:p>
    <w:p w14:paraId="1FAC7ACC" w14:textId="77777777" w:rsidR="005235E2" w:rsidRPr="005235E2" w:rsidRDefault="005235E2" w:rsidP="005235E2">
      <w:pPr>
        <w:rPr>
          <w:rFonts w:ascii="Times New Roman" w:hAnsi="Times New Roman"/>
          <w:b/>
          <w:bCs/>
          <w:sz w:val="24"/>
          <w:szCs w:val="24"/>
        </w:rPr>
      </w:pPr>
      <w:r w:rsidRPr="005235E2">
        <w:rPr>
          <w:rFonts w:ascii="Times New Roman" w:hAnsi="Times New Roman"/>
          <w:b/>
          <w:bCs/>
          <w:sz w:val="24"/>
          <w:szCs w:val="24"/>
        </w:rPr>
        <w:t xml:space="preserve">Legal Lesson Learned:  An on-duty assault is shocking. The court opinion does not mention whether the Lt. Antwan Jordan was fired, or whether he received jail time.  </w:t>
      </w:r>
    </w:p>
    <w:p w14:paraId="36EFB27C" w14:textId="77777777" w:rsidR="005235E2" w:rsidRPr="005235E2" w:rsidRDefault="005235E2" w:rsidP="005235E2">
      <w:pPr>
        <w:pStyle w:val="Heading1"/>
        <w:ind w:left="720"/>
        <w:rPr>
          <w:b w:val="0"/>
          <w:bCs w:val="0"/>
          <w:sz w:val="24"/>
          <w:szCs w:val="24"/>
        </w:rPr>
      </w:pPr>
      <w:r w:rsidRPr="005235E2">
        <w:rPr>
          <w:b w:val="0"/>
          <w:bCs w:val="0"/>
          <w:sz w:val="24"/>
          <w:szCs w:val="24"/>
        </w:rPr>
        <w:t xml:space="preserve">Note:  A Google search reveals a prior incident on March 7, </w:t>
      </w:r>
      <w:proofErr w:type="gramStart"/>
      <w:r w:rsidRPr="005235E2">
        <w:rPr>
          <w:b w:val="0"/>
          <w:bCs w:val="0"/>
          <w:sz w:val="24"/>
          <w:szCs w:val="24"/>
        </w:rPr>
        <w:t>2014</w:t>
      </w:r>
      <w:proofErr w:type="gramEnd"/>
      <w:r w:rsidRPr="005235E2">
        <w:rPr>
          <w:b w:val="0"/>
          <w:bCs w:val="0"/>
          <w:sz w:val="24"/>
          <w:szCs w:val="24"/>
        </w:rPr>
        <w:t xml:space="preserve"> that appears to be same individual. “Wednesday, firefighter Antwan Jordon was arrested outside of firehouse Engine 15 and charged with misdemeanor sex abuse. Surveillance video shows Jordan, in uniform, slapping a woman’s buttocks at a Southeast D.C. elementary school, according to Fox 5.  A fire department spokesman says … Jordan [has] been placed on administrative leave.” </w:t>
      </w:r>
      <w:hyperlink r:id="rId1363" w:history="1">
        <w:r w:rsidRPr="005235E2">
          <w:rPr>
            <w:rStyle w:val="Hyperlink"/>
            <w:b w:val="0"/>
            <w:bCs w:val="0"/>
            <w:sz w:val="24"/>
            <w:szCs w:val="24"/>
          </w:rPr>
          <w:t>https://wtop.com/news/2014/03/dc-firefighter-charged-with-filling-fake-prescriptions/</w:t>
        </w:r>
      </w:hyperlink>
    </w:p>
    <w:p w14:paraId="15D82267" w14:textId="77777777" w:rsidR="005235E2" w:rsidRDefault="005235E2" w:rsidP="00451608">
      <w:pPr>
        <w:pStyle w:val="NoSpacing"/>
        <w:rPr>
          <w:rFonts w:ascii="Arial Black" w:hAnsi="Arial Black"/>
          <w:b/>
          <w:bCs/>
          <w:sz w:val="24"/>
          <w:szCs w:val="24"/>
        </w:rPr>
      </w:pPr>
    </w:p>
    <w:p w14:paraId="4FB4C5A3" w14:textId="77777777" w:rsidR="0061488E" w:rsidRDefault="0061488E" w:rsidP="00F326E5">
      <w:pPr>
        <w:pStyle w:val="NoSpacing"/>
        <w:rPr>
          <w:rFonts w:ascii="Arial Black" w:hAnsi="Arial Black"/>
          <w:b/>
          <w:bCs/>
          <w:sz w:val="24"/>
          <w:szCs w:val="24"/>
        </w:rPr>
      </w:pPr>
    </w:p>
    <w:p w14:paraId="0FA1918F" w14:textId="77777777" w:rsidR="0061488E" w:rsidRDefault="0061488E" w:rsidP="00F326E5">
      <w:pPr>
        <w:pStyle w:val="NoSpacing"/>
        <w:rPr>
          <w:rFonts w:ascii="Arial Black" w:hAnsi="Arial Black"/>
          <w:b/>
          <w:bCs/>
          <w:sz w:val="24"/>
          <w:szCs w:val="24"/>
        </w:rPr>
      </w:pPr>
    </w:p>
    <w:p w14:paraId="471C94E6" w14:textId="7C84D9B9" w:rsidR="002C6181" w:rsidRDefault="002C6181" w:rsidP="00F326E5">
      <w:pPr>
        <w:pStyle w:val="NoSpacing"/>
        <w:rPr>
          <w:rFonts w:ascii="Arial Black" w:hAnsi="Arial Black"/>
          <w:b/>
          <w:bCs/>
          <w:sz w:val="24"/>
          <w:szCs w:val="24"/>
        </w:rPr>
      </w:pPr>
      <w:r>
        <w:rPr>
          <w:rFonts w:ascii="Arial Black" w:hAnsi="Arial Black"/>
          <w:b/>
          <w:bCs/>
          <w:sz w:val="24"/>
          <w:szCs w:val="24"/>
        </w:rPr>
        <w:t>7-</w:t>
      </w:r>
      <w:r w:rsidR="006164CF">
        <w:rPr>
          <w:rFonts w:ascii="Arial Black" w:hAnsi="Arial Black"/>
          <w:b/>
          <w:bCs/>
          <w:sz w:val="24"/>
          <w:szCs w:val="24"/>
        </w:rPr>
        <w:t>57</w:t>
      </w:r>
    </w:p>
    <w:p w14:paraId="59C00EAC" w14:textId="77777777" w:rsidR="006164CF" w:rsidRDefault="006164CF" w:rsidP="00F326E5">
      <w:pPr>
        <w:pStyle w:val="NoSpacing"/>
        <w:rPr>
          <w:rFonts w:ascii="Arial Black" w:hAnsi="Arial Black"/>
          <w:b/>
          <w:bCs/>
          <w:sz w:val="24"/>
          <w:szCs w:val="24"/>
        </w:rPr>
      </w:pPr>
    </w:p>
    <w:p w14:paraId="69E1F1F5" w14:textId="77777777" w:rsidR="00B1569B" w:rsidRDefault="00B1569B" w:rsidP="00B1569B">
      <w:pPr>
        <w:pStyle w:val="NoSpacing"/>
        <w:rPr>
          <w:rFonts w:ascii="Arial Black" w:hAnsi="Arial Black"/>
          <w:sz w:val="28"/>
          <w:szCs w:val="28"/>
        </w:rPr>
      </w:pPr>
      <w:r>
        <w:rPr>
          <w:rFonts w:ascii="Arial Black" w:hAnsi="Arial Black"/>
          <w:sz w:val="28"/>
          <w:szCs w:val="28"/>
        </w:rPr>
        <w:t>IL: CHICAGO FD – FEMALES FAILED PHYSICAL FITNESS – SETTLEMENT / REHIRED – CAN NOW SEEK DAMAGES</w:t>
      </w:r>
    </w:p>
    <w:p w14:paraId="1C0C342D" w14:textId="77777777" w:rsidR="00B1569B" w:rsidRDefault="00B1569B" w:rsidP="00B1569B">
      <w:pPr>
        <w:pStyle w:val="NoSpacing"/>
        <w:rPr>
          <w:rFonts w:ascii="Times New Roman" w:hAnsi="Times New Roman"/>
          <w:sz w:val="24"/>
          <w:szCs w:val="24"/>
        </w:rPr>
      </w:pPr>
    </w:p>
    <w:p w14:paraId="1B3A529B" w14:textId="77777777" w:rsidR="00B1569B" w:rsidRDefault="00B1569B" w:rsidP="00B1569B">
      <w:pPr>
        <w:pStyle w:val="NoSpacing"/>
        <w:rPr>
          <w:rFonts w:ascii="Times New Roman" w:hAnsi="Times New Roman"/>
          <w:sz w:val="24"/>
          <w:szCs w:val="24"/>
        </w:rPr>
      </w:pPr>
      <w:r>
        <w:rPr>
          <w:rFonts w:ascii="Times New Roman" w:hAnsi="Times New Roman"/>
          <w:sz w:val="24"/>
          <w:szCs w:val="24"/>
        </w:rPr>
        <w:t xml:space="preserve">On Jan. 7, 2024, in </w:t>
      </w:r>
      <w:r w:rsidRPr="00D351A0">
        <w:rPr>
          <w:rFonts w:ascii="Times New Roman" w:hAnsi="Times New Roman"/>
          <w:sz w:val="24"/>
          <w:szCs w:val="24"/>
          <w:u w:val="single"/>
        </w:rPr>
        <w:t>Jennifer Livingston, et al. v. City of Chicago</w:t>
      </w:r>
      <w:r>
        <w:rPr>
          <w:rFonts w:ascii="Times New Roman" w:hAnsi="Times New Roman"/>
          <w:sz w:val="24"/>
          <w:szCs w:val="24"/>
        </w:rPr>
        <w:t xml:space="preserve">, U.S. District Court Judge Sara L. Ellis, U.S. District Court for Northern District of Illinois (Eastern Division) held that while most of the five female paramedics (fired 2014 – 2016) have been re-hired under a 2019 settlement agreement, an amended complaint may now be filed to seek uncapped damages. One of the </w:t>
      </w:r>
      <w:proofErr w:type="gramStart"/>
      <w:r>
        <w:rPr>
          <w:rFonts w:ascii="Times New Roman" w:hAnsi="Times New Roman"/>
          <w:sz w:val="24"/>
          <w:szCs w:val="24"/>
        </w:rPr>
        <w:t>medic</w:t>
      </w:r>
      <w:proofErr w:type="gramEnd"/>
      <w:r>
        <w:rPr>
          <w:rFonts w:ascii="Times New Roman" w:hAnsi="Times New Roman"/>
          <w:sz w:val="24"/>
          <w:szCs w:val="24"/>
        </w:rPr>
        <w:t xml:space="preserve"> failed her medical - i</w:t>
      </w:r>
      <w:r w:rsidRPr="00C405EC">
        <w:rPr>
          <w:rFonts w:ascii="Times New Roman" w:hAnsi="Times New Roman"/>
          <w:sz w:val="24"/>
          <w:szCs w:val="24"/>
        </w:rPr>
        <w:t>n March 2019, Dr. William Wong, CFD’s medical director, indicated that he would not</w:t>
      </w:r>
      <w:r>
        <w:rPr>
          <w:rFonts w:ascii="Times New Roman" w:hAnsi="Times New Roman"/>
          <w:sz w:val="24"/>
          <w:szCs w:val="24"/>
        </w:rPr>
        <w:t xml:space="preserve"> c</w:t>
      </w:r>
      <w:r w:rsidRPr="00C405EC">
        <w:rPr>
          <w:rFonts w:ascii="Times New Roman" w:hAnsi="Times New Roman"/>
          <w:sz w:val="24"/>
          <w:szCs w:val="24"/>
        </w:rPr>
        <w:t>lear</w:t>
      </w:r>
      <w:r>
        <w:rPr>
          <w:rFonts w:ascii="Times New Roman" w:hAnsi="Times New Roman"/>
          <w:sz w:val="24"/>
          <w:szCs w:val="24"/>
        </w:rPr>
        <w:t xml:space="preserve"> Donna</w:t>
      </w:r>
      <w:r w:rsidRPr="00C405EC">
        <w:rPr>
          <w:rFonts w:ascii="Times New Roman" w:hAnsi="Times New Roman"/>
          <w:sz w:val="24"/>
          <w:szCs w:val="24"/>
        </w:rPr>
        <w:t xml:space="preserve"> Griffin for reinstatement because she used </w:t>
      </w:r>
      <w:r>
        <w:rPr>
          <w:rFonts w:ascii="Times New Roman" w:hAnsi="Times New Roman"/>
          <w:sz w:val="24"/>
          <w:szCs w:val="24"/>
        </w:rPr>
        <w:t xml:space="preserve">prescription </w:t>
      </w:r>
      <w:r w:rsidRPr="00C405EC">
        <w:rPr>
          <w:rFonts w:ascii="Times New Roman" w:hAnsi="Times New Roman"/>
          <w:sz w:val="24"/>
          <w:szCs w:val="24"/>
        </w:rPr>
        <w:t>alprazolam and trazadone</w:t>
      </w:r>
      <w:r>
        <w:rPr>
          <w:rFonts w:ascii="Times New Roman" w:hAnsi="Times New Roman"/>
          <w:sz w:val="24"/>
          <w:szCs w:val="24"/>
        </w:rPr>
        <w:t xml:space="preserve"> for “</w:t>
      </w:r>
      <w:r w:rsidRPr="0010197C">
        <w:rPr>
          <w:rFonts w:ascii="Times New Roman" w:hAnsi="Times New Roman"/>
          <w:sz w:val="24"/>
          <w:szCs w:val="24"/>
        </w:rPr>
        <w:t xml:space="preserve">adjustment disorder with anxious mood and secondary insomnia.”  </w:t>
      </w:r>
      <w:r>
        <w:rPr>
          <w:rFonts w:ascii="Times New Roman" w:hAnsi="Times New Roman"/>
          <w:sz w:val="24"/>
          <w:szCs w:val="24"/>
        </w:rPr>
        <w:t xml:space="preserve">Ms. Griffin has filed a separate lawsuit, and Judge Ellis declined to combine it with this case.  [See note below for information in </w:t>
      </w:r>
      <w:r w:rsidRPr="00E96729">
        <w:rPr>
          <w:rFonts w:ascii="Times New Roman" w:hAnsi="Times New Roman"/>
          <w:sz w:val="24"/>
          <w:szCs w:val="24"/>
          <w:u w:val="single"/>
        </w:rPr>
        <w:t>Griffin v. City of Chicago</w:t>
      </w:r>
      <w:r>
        <w:rPr>
          <w:rFonts w:ascii="Times New Roman" w:hAnsi="Times New Roman"/>
          <w:sz w:val="24"/>
          <w:szCs w:val="24"/>
        </w:rPr>
        <w:t xml:space="preserve"> case.] </w:t>
      </w:r>
    </w:p>
    <w:p w14:paraId="277FB6E3" w14:textId="77777777" w:rsidR="00B1569B" w:rsidRDefault="00B1569B" w:rsidP="00B1569B">
      <w:pPr>
        <w:pStyle w:val="NoSpacing"/>
        <w:rPr>
          <w:rFonts w:ascii="Times New Roman" w:hAnsi="Times New Roman"/>
          <w:sz w:val="24"/>
          <w:szCs w:val="24"/>
        </w:rPr>
      </w:pPr>
    </w:p>
    <w:p w14:paraId="6997ED3E" w14:textId="77777777" w:rsidR="00B1569B" w:rsidRDefault="00B1569B" w:rsidP="00B1569B">
      <w:pPr>
        <w:pStyle w:val="NoSpacing"/>
        <w:ind w:left="720"/>
        <w:rPr>
          <w:rFonts w:ascii="Times New Roman" w:hAnsi="Times New Roman"/>
          <w:sz w:val="24"/>
          <w:szCs w:val="24"/>
        </w:rPr>
      </w:pPr>
      <w:r>
        <w:rPr>
          <w:rFonts w:ascii="Times New Roman" w:hAnsi="Times New Roman"/>
          <w:sz w:val="24"/>
          <w:szCs w:val="24"/>
        </w:rPr>
        <w:t>“T</w:t>
      </w:r>
      <w:r w:rsidRPr="00D32039">
        <w:rPr>
          <w:rFonts w:ascii="Times New Roman" w:hAnsi="Times New Roman"/>
          <w:sz w:val="24"/>
          <w:szCs w:val="24"/>
        </w:rPr>
        <w:t xml:space="preserve">he </w:t>
      </w:r>
      <w:r>
        <w:rPr>
          <w:rFonts w:ascii="Times New Roman" w:hAnsi="Times New Roman"/>
          <w:sz w:val="24"/>
          <w:szCs w:val="24"/>
        </w:rPr>
        <w:t xml:space="preserve">(Oct. 2016) </w:t>
      </w:r>
      <w:r w:rsidRPr="00D32039">
        <w:rPr>
          <w:rFonts w:ascii="Times New Roman" w:hAnsi="Times New Roman"/>
          <w:sz w:val="24"/>
          <w:szCs w:val="24"/>
        </w:rPr>
        <w:t>complaint alleges that this hostility manifests itself in a</w:t>
      </w:r>
      <w:r>
        <w:rPr>
          <w:rFonts w:ascii="Times New Roman" w:hAnsi="Times New Roman"/>
          <w:sz w:val="24"/>
          <w:szCs w:val="24"/>
        </w:rPr>
        <w:t xml:space="preserve"> </w:t>
      </w:r>
      <w:r w:rsidRPr="00D32039">
        <w:rPr>
          <w:rFonts w:ascii="Times New Roman" w:hAnsi="Times New Roman"/>
          <w:sz w:val="24"/>
          <w:szCs w:val="24"/>
        </w:rPr>
        <w:t>number of other contexts,</w:t>
      </w:r>
      <w:r>
        <w:rPr>
          <w:rFonts w:ascii="Times New Roman" w:hAnsi="Times New Roman"/>
          <w:sz w:val="24"/>
          <w:szCs w:val="24"/>
        </w:rPr>
        <w:t xml:space="preserve"> </w:t>
      </w:r>
      <w:r w:rsidRPr="00D32039">
        <w:rPr>
          <w:rFonts w:ascii="Times New Roman" w:hAnsi="Times New Roman"/>
          <w:sz w:val="24"/>
          <w:szCs w:val="24"/>
        </w:rPr>
        <w:t>including: 1) the City’s failure to properly accommodate nursing mothers; 2) the City’s failure to</w:t>
      </w:r>
      <w:r>
        <w:rPr>
          <w:rFonts w:ascii="Times New Roman" w:hAnsi="Times New Roman"/>
          <w:sz w:val="24"/>
          <w:szCs w:val="24"/>
        </w:rPr>
        <w:t xml:space="preserve"> </w:t>
      </w:r>
      <w:r w:rsidRPr="00D32039">
        <w:rPr>
          <w:rFonts w:ascii="Times New Roman" w:hAnsi="Times New Roman"/>
          <w:sz w:val="24"/>
          <w:szCs w:val="24"/>
        </w:rPr>
        <w:t>provide adequate bathrooms, locker facilities, and sleeping quarters; 3) episodes of verbal and</w:t>
      </w:r>
      <w:r>
        <w:rPr>
          <w:rFonts w:ascii="Times New Roman" w:hAnsi="Times New Roman"/>
          <w:sz w:val="24"/>
          <w:szCs w:val="24"/>
        </w:rPr>
        <w:t xml:space="preserve"> </w:t>
      </w:r>
      <w:r w:rsidRPr="00D32039">
        <w:rPr>
          <w:rFonts w:ascii="Times New Roman" w:hAnsi="Times New Roman"/>
          <w:sz w:val="24"/>
          <w:szCs w:val="24"/>
        </w:rPr>
        <w:t>physical harassment and intimidation; and 4) sexually discriminatory treatment by the CFD’s</w:t>
      </w:r>
      <w:r>
        <w:rPr>
          <w:rFonts w:ascii="Times New Roman" w:hAnsi="Times New Roman"/>
          <w:sz w:val="24"/>
          <w:szCs w:val="24"/>
        </w:rPr>
        <w:t xml:space="preserve"> </w:t>
      </w:r>
      <w:r w:rsidRPr="00D32039">
        <w:rPr>
          <w:rFonts w:ascii="Times New Roman" w:hAnsi="Times New Roman"/>
          <w:sz w:val="24"/>
          <w:szCs w:val="24"/>
        </w:rPr>
        <w:t>Medical Division.</w:t>
      </w:r>
      <w:r>
        <w:rPr>
          <w:rFonts w:ascii="Times New Roman" w:hAnsi="Times New Roman"/>
          <w:sz w:val="24"/>
          <w:szCs w:val="24"/>
        </w:rPr>
        <w:t xml:space="preserve">  </w:t>
      </w:r>
    </w:p>
    <w:p w14:paraId="04754802" w14:textId="77777777" w:rsidR="00B1569B" w:rsidRDefault="00B1569B" w:rsidP="00B1569B">
      <w:pPr>
        <w:pStyle w:val="NoSpacing"/>
        <w:ind w:left="720"/>
        <w:rPr>
          <w:rFonts w:ascii="Times New Roman" w:hAnsi="Times New Roman"/>
          <w:sz w:val="24"/>
          <w:szCs w:val="24"/>
        </w:rPr>
      </w:pPr>
    </w:p>
    <w:p w14:paraId="22581818" w14:textId="77777777" w:rsidR="00B1569B" w:rsidRDefault="00B1569B" w:rsidP="00B1569B">
      <w:pPr>
        <w:pStyle w:val="NoSpacing"/>
        <w:ind w:left="720"/>
        <w:rPr>
          <w:rFonts w:ascii="Times New Roman" w:hAnsi="Times New Roman"/>
          <w:sz w:val="24"/>
          <w:szCs w:val="24"/>
        </w:rPr>
      </w:pPr>
      <w:r>
        <w:rPr>
          <w:rFonts w:ascii="Times New Roman" w:hAnsi="Times New Roman"/>
          <w:sz w:val="24"/>
          <w:szCs w:val="24"/>
        </w:rPr>
        <w:t>***</w:t>
      </w:r>
    </w:p>
    <w:p w14:paraId="28A1205F" w14:textId="77777777" w:rsidR="00B1569B" w:rsidRDefault="00B1569B" w:rsidP="00B1569B">
      <w:pPr>
        <w:pStyle w:val="NoSpacing"/>
        <w:rPr>
          <w:rFonts w:ascii="Times New Roman" w:hAnsi="Times New Roman"/>
          <w:sz w:val="24"/>
          <w:szCs w:val="24"/>
        </w:rPr>
      </w:pPr>
    </w:p>
    <w:p w14:paraId="48639336" w14:textId="77777777" w:rsidR="00B1569B" w:rsidRDefault="00B1569B" w:rsidP="00B1569B">
      <w:pPr>
        <w:pStyle w:val="NoSpacing"/>
        <w:ind w:left="720"/>
        <w:rPr>
          <w:rFonts w:ascii="Times New Roman" w:hAnsi="Times New Roman"/>
          <w:sz w:val="24"/>
          <w:szCs w:val="24"/>
        </w:rPr>
      </w:pPr>
      <w:r w:rsidRPr="00F6220F">
        <w:rPr>
          <w:rFonts w:ascii="Times New Roman" w:hAnsi="Times New Roman"/>
          <w:sz w:val="24"/>
          <w:szCs w:val="24"/>
        </w:rPr>
        <w:t xml:space="preserve">Plaintiffs seek to add new theories of recovery under § 1983 </w:t>
      </w:r>
      <w:r>
        <w:rPr>
          <w:rFonts w:ascii="Times New Roman" w:hAnsi="Times New Roman"/>
          <w:sz w:val="24"/>
          <w:szCs w:val="24"/>
        </w:rPr>
        <w:t xml:space="preserve">[violation of Constitutional rights under 42 USC 1983] </w:t>
      </w:r>
      <w:r w:rsidRPr="00F6220F">
        <w:rPr>
          <w:rFonts w:ascii="Times New Roman" w:hAnsi="Times New Roman"/>
          <w:sz w:val="24"/>
          <w:szCs w:val="24"/>
        </w:rPr>
        <w:t xml:space="preserve">and ICRA </w:t>
      </w:r>
      <w:r>
        <w:rPr>
          <w:rFonts w:ascii="Times New Roman" w:hAnsi="Times New Roman"/>
          <w:sz w:val="24"/>
          <w:szCs w:val="24"/>
        </w:rPr>
        <w:t>[</w:t>
      </w:r>
      <w:r w:rsidRPr="004167DE">
        <w:rPr>
          <w:rFonts w:ascii="Times New Roman" w:hAnsi="Times New Roman"/>
          <w:sz w:val="24"/>
          <w:szCs w:val="24"/>
        </w:rPr>
        <w:t>Illinois Civil</w:t>
      </w:r>
      <w:r>
        <w:rPr>
          <w:rFonts w:ascii="Times New Roman" w:hAnsi="Times New Roman"/>
          <w:sz w:val="24"/>
          <w:szCs w:val="24"/>
        </w:rPr>
        <w:t xml:space="preserve"> </w:t>
      </w:r>
      <w:r w:rsidRPr="004167DE">
        <w:rPr>
          <w:rFonts w:ascii="Times New Roman" w:hAnsi="Times New Roman"/>
          <w:sz w:val="24"/>
          <w:szCs w:val="24"/>
        </w:rPr>
        <w:t>Rights Act of 200</w:t>
      </w:r>
      <w:r>
        <w:rPr>
          <w:rFonts w:ascii="Times New Roman" w:hAnsi="Times New Roman"/>
          <w:sz w:val="24"/>
          <w:szCs w:val="24"/>
        </w:rPr>
        <w:t xml:space="preserve">3] </w:t>
      </w:r>
      <w:r w:rsidRPr="00F6220F">
        <w:rPr>
          <w:rFonts w:ascii="Times New Roman" w:hAnsi="Times New Roman"/>
          <w:sz w:val="24"/>
          <w:szCs w:val="24"/>
        </w:rPr>
        <w:t>based on the same</w:t>
      </w:r>
      <w:r>
        <w:rPr>
          <w:rFonts w:ascii="Times New Roman" w:hAnsi="Times New Roman"/>
          <w:sz w:val="24"/>
          <w:szCs w:val="24"/>
        </w:rPr>
        <w:t xml:space="preserve"> </w:t>
      </w:r>
      <w:r w:rsidRPr="00F6220F">
        <w:rPr>
          <w:rFonts w:ascii="Times New Roman" w:hAnsi="Times New Roman"/>
          <w:sz w:val="24"/>
          <w:szCs w:val="24"/>
        </w:rPr>
        <w:t>factual allegations laid out in the original complaint. Plaintiffs argue this is because § 1983 and</w:t>
      </w:r>
      <w:r>
        <w:rPr>
          <w:rFonts w:ascii="Times New Roman" w:hAnsi="Times New Roman"/>
          <w:sz w:val="24"/>
          <w:szCs w:val="24"/>
        </w:rPr>
        <w:t xml:space="preserve"> </w:t>
      </w:r>
      <w:r w:rsidRPr="00F6220F">
        <w:rPr>
          <w:rFonts w:ascii="Times New Roman" w:hAnsi="Times New Roman"/>
          <w:sz w:val="24"/>
          <w:szCs w:val="24"/>
        </w:rPr>
        <w:t>ICRA do not carry a statutory cap on economic damages as Title VII does</w:t>
      </w:r>
      <w:r>
        <w:rPr>
          <w:rFonts w:ascii="Times New Roman" w:hAnsi="Times New Roman"/>
          <w:sz w:val="24"/>
          <w:szCs w:val="24"/>
        </w:rPr>
        <w:t xml:space="preserve">…. </w:t>
      </w:r>
      <w:r w:rsidRPr="0041110B">
        <w:rPr>
          <w:rFonts w:ascii="Times New Roman" w:hAnsi="Times New Roman"/>
          <w:sz w:val="24"/>
          <w:szCs w:val="24"/>
        </w:rPr>
        <w:t>As such, Plaintiffs</w:t>
      </w:r>
      <w:r>
        <w:rPr>
          <w:rFonts w:ascii="Times New Roman" w:hAnsi="Times New Roman"/>
          <w:sz w:val="24"/>
          <w:szCs w:val="24"/>
        </w:rPr>
        <w:t xml:space="preserve"> </w:t>
      </w:r>
      <w:r w:rsidRPr="0041110B">
        <w:rPr>
          <w:rFonts w:ascii="Times New Roman" w:hAnsi="Times New Roman"/>
          <w:sz w:val="24"/>
          <w:szCs w:val="24"/>
        </w:rPr>
        <w:t>may amend their complaint to include their proposed § 1983 and ICRA claims.</w:t>
      </w:r>
    </w:p>
    <w:p w14:paraId="2F134906" w14:textId="77777777" w:rsidR="00B1569B" w:rsidRDefault="00B1569B" w:rsidP="00B1569B">
      <w:pPr>
        <w:pStyle w:val="NoSpacing"/>
        <w:ind w:left="720"/>
        <w:rPr>
          <w:rFonts w:ascii="Times New Roman" w:hAnsi="Times New Roman"/>
          <w:sz w:val="24"/>
          <w:szCs w:val="24"/>
        </w:rPr>
      </w:pPr>
    </w:p>
    <w:p w14:paraId="11E52CD2" w14:textId="77777777" w:rsidR="00B1569B" w:rsidRDefault="00B1569B" w:rsidP="00B1569B">
      <w:pPr>
        <w:pStyle w:val="NoSpacing"/>
        <w:ind w:left="720"/>
        <w:rPr>
          <w:rFonts w:ascii="Times New Roman" w:hAnsi="Times New Roman"/>
          <w:sz w:val="24"/>
          <w:szCs w:val="24"/>
        </w:rPr>
      </w:pPr>
      <w:r>
        <w:rPr>
          <w:rFonts w:ascii="Times New Roman" w:hAnsi="Times New Roman"/>
          <w:sz w:val="24"/>
          <w:szCs w:val="24"/>
        </w:rPr>
        <w:t>***</w:t>
      </w:r>
    </w:p>
    <w:p w14:paraId="1FF52C43" w14:textId="77777777" w:rsidR="00B1569B" w:rsidRDefault="00B1569B" w:rsidP="00B1569B">
      <w:pPr>
        <w:pStyle w:val="NoSpacing"/>
        <w:ind w:left="720"/>
        <w:rPr>
          <w:rFonts w:ascii="Times New Roman" w:hAnsi="Times New Roman"/>
          <w:sz w:val="24"/>
          <w:szCs w:val="24"/>
        </w:rPr>
      </w:pPr>
    </w:p>
    <w:p w14:paraId="1BAFD41E" w14:textId="77777777" w:rsidR="00B1569B" w:rsidRDefault="00B1569B" w:rsidP="00B1569B">
      <w:pPr>
        <w:pStyle w:val="NoSpacing"/>
        <w:ind w:left="720"/>
        <w:rPr>
          <w:rFonts w:ascii="Times New Roman" w:hAnsi="Times New Roman"/>
          <w:sz w:val="24"/>
          <w:szCs w:val="24"/>
        </w:rPr>
      </w:pPr>
      <w:r w:rsidRPr="009B574D">
        <w:rPr>
          <w:rFonts w:ascii="Times New Roman" w:hAnsi="Times New Roman"/>
          <w:sz w:val="24"/>
          <w:szCs w:val="24"/>
        </w:rPr>
        <w:t xml:space="preserve">Plaintiffs may file a first amended complaint to add these theories of liability. </w:t>
      </w:r>
    </w:p>
    <w:p w14:paraId="43694B34" w14:textId="77777777" w:rsidR="00B1569B" w:rsidRDefault="00B1569B" w:rsidP="00B1569B">
      <w:pPr>
        <w:pStyle w:val="NoSpacing"/>
        <w:ind w:left="720"/>
        <w:rPr>
          <w:rFonts w:ascii="Times New Roman" w:hAnsi="Times New Roman"/>
          <w:sz w:val="24"/>
          <w:szCs w:val="24"/>
        </w:rPr>
      </w:pPr>
      <w:r w:rsidRPr="009B574D">
        <w:rPr>
          <w:rFonts w:ascii="Times New Roman" w:hAnsi="Times New Roman"/>
          <w:sz w:val="24"/>
          <w:szCs w:val="24"/>
        </w:rPr>
        <w:t>But because</w:t>
      </w:r>
      <w:r>
        <w:rPr>
          <w:rFonts w:ascii="Times New Roman" w:hAnsi="Times New Roman"/>
          <w:sz w:val="24"/>
          <w:szCs w:val="24"/>
        </w:rPr>
        <w:t xml:space="preserve"> </w:t>
      </w:r>
      <w:r w:rsidRPr="009B574D">
        <w:rPr>
          <w:rFonts w:ascii="Times New Roman" w:hAnsi="Times New Roman"/>
          <w:sz w:val="24"/>
          <w:szCs w:val="24"/>
        </w:rPr>
        <w:t>Griffin’s additional claims</w:t>
      </w:r>
      <w:r>
        <w:rPr>
          <w:rFonts w:ascii="Times New Roman" w:hAnsi="Times New Roman"/>
          <w:sz w:val="24"/>
          <w:szCs w:val="24"/>
        </w:rPr>
        <w:t xml:space="preserve"> </w:t>
      </w:r>
      <w:r w:rsidRPr="009B574D">
        <w:rPr>
          <w:rFonts w:ascii="Times New Roman" w:hAnsi="Times New Roman"/>
          <w:sz w:val="24"/>
          <w:szCs w:val="24"/>
        </w:rPr>
        <w:t>and the allegations regarding the veteran’s preference are either</w:t>
      </w:r>
      <w:r>
        <w:rPr>
          <w:rFonts w:ascii="Times New Roman" w:hAnsi="Times New Roman"/>
          <w:sz w:val="24"/>
          <w:szCs w:val="24"/>
        </w:rPr>
        <w:t xml:space="preserve"> </w:t>
      </w:r>
      <w:r w:rsidRPr="009B574D">
        <w:rPr>
          <w:rFonts w:ascii="Times New Roman" w:hAnsi="Times New Roman"/>
          <w:sz w:val="24"/>
          <w:szCs w:val="24"/>
        </w:rPr>
        <w:t>unnecessary or depend on new factual allegations, Plaintiffs may not include these claims or</w:t>
      </w:r>
      <w:r>
        <w:rPr>
          <w:rFonts w:ascii="Times New Roman" w:hAnsi="Times New Roman"/>
          <w:sz w:val="24"/>
          <w:szCs w:val="24"/>
        </w:rPr>
        <w:t xml:space="preserve"> </w:t>
      </w:r>
      <w:r w:rsidRPr="009B574D">
        <w:rPr>
          <w:rFonts w:ascii="Times New Roman" w:hAnsi="Times New Roman"/>
          <w:sz w:val="24"/>
          <w:szCs w:val="24"/>
        </w:rPr>
        <w:t xml:space="preserve">allegations in their first amended </w:t>
      </w:r>
      <w:proofErr w:type="gramStart"/>
      <w:r w:rsidRPr="009B574D">
        <w:rPr>
          <w:rFonts w:ascii="Times New Roman" w:hAnsi="Times New Roman"/>
          <w:sz w:val="24"/>
          <w:szCs w:val="24"/>
        </w:rPr>
        <w:t>complaint.</w:t>
      </w:r>
      <w:r>
        <w:rPr>
          <w:rFonts w:ascii="Times New Roman" w:hAnsi="Times New Roman"/>
          <w:sz w:val="24"/>
          <w:szCs w:val="24"/>
        </w:rPr>
        <w:t>”</w:t>
      </w:r>
      <w:proofErr w:type="gramEnd"/>
      <w:r>
        <w:rPr>
          <w:rFonts w:ascii="Times New Roman" w:hAnsi="Times New Roman"/>
          <w:sz w:val="24"/>
          <w:szCs w:val="24"/>
        </w:rPr>
        <w:t xml:space="preserve">  </w:t>
      </w:r>
      <w:hyperlink r:id="rId1364" w:history="1">
        <w:r w:rsidRPr="008E4998">
          <w:rPr>
            <w:rStyle w:val="Hyperlink"/>
            <w:rFonts w:ascii="Times New Roman" w:hAnsi="Times New Roman"/>
            <w:sz w:val="24"/>
            <w:szCs w:val="24"/>
          </w:rPr>
          <w:t>https://cases.justia.com/federal/district-courts/illinois/ilndce/1:2016cv10156/332956/258/0.pdf?ts=1582820345</w:t>
        </w:r>
      </w:hyperlink>
      <w:r>
        <w:rPr>
          <w:rFonts w:ascii="Times New Roman" w:hAnsi="Times New Roman"/>
          <w:sz w:val="24"/>
          <w:szCs w:val="24"/>
        </w:rPr>
        <w:t xml:space="preserve"> </w:t>
      </w:r>
    </w:p>
    <w:p w14:paraId="3976EE98" w14:textId="77777777" w:rsidR="00B1569B" w:rsidRDefault="00B1569B" w:rsidP="00B1569B">
      <w:pPr>
        <w:pStyle w:val="NoSpacing"/>
        <w:rPr>
          <w:rFonts w:ascii="Times New Roman" w:hAnsi="Times New Roman"/>
          <w:sz w:val="24"/>
          <w:szCs w:val="24"/>
        </w:rPr>
      </w:pPr>
    </w:p>
    <w:p w14:paraId="3C4E74F6" w14:textId="77777777" w:rsidR="0061488E" w:rsidRPr="007F42F0" w:rsidRDefault="0061488E" w:rsidP="0061488E">
      <w:pPr>
        <w:pStyle w:val="NoSpacing"/>
        <w:rPr>
          <w:rFonts w:ascii="Times New Roman" w:hAnsi="Times New Roman"/>
          <w:b/>
          <w:bCs/>
          <w:sz w:val="24"/>
          <w:szCs w:val="24"/>
        </w:rPr>
      </w:pPr>
      <w:r w:rsidRPr="007F42F0">
        <w:rPr>
          <w:rFonts w:ascii="Times New Roman" w:hAnsi="Times New Roman"/>
          <w:b/>
          <w:bCs/>
          <w:sz w:val="24"/>
          <w:szCs w:val="24"/>
        </w:rPr>
        <w:t xml:space="preserve">Legal Lesson Learned: </w:t>
      </w:r>
      <w:r>
        <w:rPr>
          <w:rFonts w:ascii="Times New Roman" w:hAnsi="Times New Roman"/>
          <w:b/>
          <w:bCs/>
          <w:sz w:val="24"/>
          <w:szCs w:val="24"/>
        </w:rPr>
        <w:t xml:space="preserve">The pre-trial discovery may now proceed in this case seeking uncapped damages.  </w:t>
      </w:r>
    </w:p>
    <w:p w14:paraId="28E9CB40" w14:textId="77777777" w:rsidR="0061488E" w:rsidRDefault="0061488E" w:rsidP="0061488E">
      <w:pPr>
        <w:spacing w:before="100" w:beforeAutospacing="1" w:after="100" w:afterAutospacing="1" w:line="240" w:lineRule="auto"/>
        <w:ind w:left="360"/>
        <w:rPr>
          <w:rFonts w:ascii="Times New Roman" w:eastAsia="Times New Roman" w:hAnsi="Times New Roman"/>
          <w:sz w:val="24"/>
          <w:szCs w:val="24"/>
        </w:rPr>
      </w:pPr>
      <w:r>
        <w:rPr>
          <w:rFonts w:ascii="Times New Roman" w:eastAsia="Times New Roman" w:hAnsi="Times New Roman"/>
          <w:sz w:val="24"/>
          <w:szCs w:val="24"/>
        </w:rPr>
        <w:t>Note: Title VII of the Civil Right Act i</w:t>
      </w:r>
      <w:r w:rsidRPr="00253890">
        <w:rPr>
          <w:rFonts w:ascii="Times New Roman" w:eastAsia="Times New Roman" w:hAnsi="Times New Roman"/>
          <w:sz w:val="24"/>
          <w:szCs w:val="24"/>
        </w:rPr>
        <w:t xml:space="preserve">s subject to the following </w:t>
      </w:r>
      <w:r>
        <w:rPr>
          <w:rFonts w:ascii="Times New Roman" w:eastAsia="Times New Roman" w:hAnsi="Times New Roman"/>
          <w:sz w:val="24"/>
          <w:szCs w:val="24"/>
        </w:rPr>
        <w:t xml:space="preserve">statutory </w:t>
      </w:r>
      <w:r w:rsidRPr="00253890">
        <w:rPr>
          <w:rFonts w:ascii="Times New Roman" w:eastAsia="Times New Roman" w:hAnsi="Times New Roman"/>
          <w:sz w:val="24"/>
          <w:szCs w:val="24"/>
        </w:rPr>
        <w:t>caps</w:t>
      </w:r>
      <w:r>
        <w:rPr>
          <w:rFonts w:ascii="Times New Roman" w:eastAsia="Times New Roman" w:hAnsi="Times New Roman"/>
          <w:sz w:val="24"/>
          <w:szCs w:val="24"/>
        </w:rPr>
        <w:t>.</w:t>
      </w:r>
    </w:p>
    <w:p w14:paraId="2C270D79" w14:textId="77777777" w:rsidR="0061488E" w:rsidRDefault="0061488E" w:rsidP="0061488E">
      <w:pPr>
        <w:pStyle w:val="NormalWeb"/>
        <w:ind w:left="360"/>
      </w:pPr>
      <w:r>
        <w:rPr>
          <w:b/>
          <w:bCs/>
        </w:rPr>
        <w:t>“</w:t>
      </w:r>
      <w:r>
        <w:t xml:space="preserve">Statutory caps limits </w:t>
      </w:r>
      <w:proofErr w:type="gramStart"/>
      <w:r>
        <w:t>exists</w:t>
      </w:r>
      <w:proofErr w:type="gramEnd"/>
      <w:r>
        <w:t xml:space="preserve"> for combined awards of front pay, punitive damages, and compensatory damages. The </w:t>
      </w:r>
      <w:hyperlink r:id="rId1365" w:tgtFrame="_blank" w:tooltip="Title VII Damage Caps: Calculating Your Maximum Exposure" w:history="1">
        <w:r>
          <w:rPr>
            <w:rStyle w:val="Hyperlink"/>
          </w:rPr>
          <w:t>caps</w:t>
        </w:r>
      </w:hyperlink>
      <w:r>
        <w:t xml:space="preserve"> are based upon the number of employees employed by the employer against whom the charge of discrimination has been made. The caps are as follows:</w:t>
      </w:r>
    </w:p>
    <w:p w14:paraId="713CAFC6" w14:textId="77777777" w:rsidR="0061488E" w:rsidRPr="009244F8" w:rsidRDefault="0061488E" w:rsidP="0061488E">
      <w:pPr>
        <w:numPr>
          <w:ilvl w:val="0"/>
          <w:numId w:val="19"/>
        </w:numPr>
        <w:spacing w:before="100" w:beforeAutospacing="1" w:after="100" w:afterAutospacing="1" w:line="240" w:lineRule="auto"/>
        <w:rPr>
          <w:rFonts w:ascii="Times New Roman" w:hAnsi="Times New Roman"/>
          <w:sz w:val="24"/>
          <w:szCs w:val="24"/>
        </w:rPr>
      </w:pPr>
      <w:r w:rsidRPr="009244F8">
        <w:rPr>
          <w:rFonts w:ascii="Times New Roman" w:hAnsi="Times New Roman"/>
          <w:sz w:val="24"/>
          <w:szCs w:val="24"/>
        </w:rPr>
        <w:t>For more than fourteen (14) and less than one hundred and one (101) employees in each of twenty (20) or more calendar weeks in the current or preceding year the cap is $50,000;</w:t>
      </w:r>
    </w:p>
    <w:p w14:paraId="40303072" w14:textId="77777777" w:rsidR="0061488E" w:rsidRPr="009244F8" w:rsidRDefault="0061488E" w:rsidP="0061488E">
      <w:pPr>
        <w:numPr>
          <w:ilvl w:val="0"/>
          <w:numId w:val="19"/>
        </w:numPr>
        <w:spacing w:before="100" w:beforeAutospacing="1" w:after="100" w:afterAutospacing="1" w:line="240" w:lineRule="auto"/>
        <w:rPr>
          <w:rFonts w:ascii="Times New Roman" w:hAnsi="Times New Roman"/>
          <w:sz w:val="24"/>
          <w:szCs w:val="24"/>
        </w:rPr>
      </w:pPr>
      <w:r w:rsidRPr="009244F8">
        <w:rPr>
          <w:rFonts w:ascii="Times New Roman" w:hAnsi="Times New Roman"/>
          <w:sz w:val="24"/>
          <w:szCs w:val="24"/>
        </w:rPr>
        <w:t>For more than one hundred (100) but fewer than two hundred and one (201) employees, the cap is $100,000;</w:t>
      </w:r>
    </w:p>
    <w:p w14:paraId="13BF6673" w14:textId="77777777" w:rsidR="0061488E" w:rsidRPr="009244F8" w:rsidRDefault="0061488E" w:rsidP="0061488E">
      <w:pPr>
        <w:numPr>
          <w:ilvl w:val="0"/>
          <w:numId w:val="19"/>
        </w:numPr>
        <w:spacing w:before="100" w:beforeAutospacing="1" w:after="100" w:afterAutospacing="1" w:line="240" w:lineRule="auto"/>
        <w:rPr>
          <w:rFonts w:ascii="Times New Roman" w:hAnsi="Times New Roman"/>
          <w:sz w:val="24"/>
          <w:szCs w:val="24"/>
        </w:rPr>
      </w:pPr>
      <w:r w:rsidRPr="009244F8">
        <w:rPr>
          <w:rFonts w:ascii="Times New Roman" w:hAnsi="Times New Roman"/>
          <w:sz w:val="24"/>
          <w:szCs w:val="24"/>
        </w:rPr>
        <w:t>For more than two hundred (200) employees but fewer than five hundred and one (501) employees, the cap is $200,000; and</w:t>
      </w:r>
    </w:p>
    <w:p w14:paraId="30CA05DF" w14:textId="77777777" w:rsidR="0061488E" w:rsidRDefault="0061488E" w:rsidP="0061488E">
      <w:pPr>
        <w:numPr>
          <w:ilvl w:val="0"/>
          <w:numId w:val="19"/>
        </w:numPr>
        <w:spacing w:before="100" w:beforeAutospacing="1" w:after="100" w:afterAutospacing="1" w:line="240" w:lineRule="auto"/>
        <w:rPr>
          <w:rFonts w:ascii="Times New Roman" w:hAnsi="Times New Roman"/>
          <w:sz w:val="24"/>
          <w:szCs w:val="24"/>
        </w:rPr>
      </w:pPr>
      <w:r w:rsidRPr="009244F8">
        <w:rPr>
          <w:rFonts w:ascii="Times New Roman" w:hAnsi="Times New Roman"/>
          <w:sz w:val="24"/>
          <w:szCs w:val="24"/>
        </w:rPr>
        <w:t>For an employer with more than five hundred (500) employees, the cap is $300,000.</w:t>
      </w:r>
      <w:r>
        <w:rPr>
          <w:rFonts w:ascii="Times New Roman" w:hAnsi="Times New Roman"/>
          <w:sz w:val="24"/>
          <w:szCs w:val="24"/>
        </w:rPr>
        <w:t>”</w:t>
      </w:r>
    </w:p>
    <w:p w14:paraId="51500969" w14:textId="77777777" w:rsidR="0061488E" w:rsidRDefault="0061488E" w:rsidP="0061488E">
      <w:pPr>
        <w:spacing w:before="100" w:beforeAutospacing="1" w:after="100" w:afterAutospacing="1" w:line="240" w:lineRule="auto"/>
        <w:ind w:left="360"/>
        <w:rPr>
          <w:rFonts w:ascii="Times New Roman" w:eastAsia="Times New Roman" w:hAnsi="Times New Roman"/>
          <w:sz w:val="24"/>
          <w:szCs w:val="24"/>
        </w:rPr>
      </w:pPr>
      <w:r>
        <w:rPr>
          <w:rFonts w:ascii="Times New Roman" w:eastAsia="Times New Roman" w:hAnsi="Times New Roman"/>
          <w:sz w:val="24"/>
          <w:szCs w:val="24"/>
        </w:rPr>
        <w:t xml:space="preserve">Note:  Judge Ellis is also assigned to the separate lawsuit by Donna Griffin.  On Jan. 22, 2024, the Judge ruled: </w:t>
      </w:r>
    </w:p>
    <w:p w14:paraId="0685F357" w14:textId="77777777" w:rsidR="0061488E" w:rsidRDefault="0061488E" w:rsidP="0061488E">
      <w:pPr>
        <w:pStyle w:val="NormalWeb"/>
        <w:ind w:left="720"/>
        <w:rPr>
          <w:b/>
          <w:bCs/>
          <w:sz w:val="40"/>
          <w:szCs w:val="40"/>
        </w:rPr>
      </w:pPr>
      <w:r w:rsidRPr="000F0881">
        <w:t>“Because Griffin presents sufficient evidence to establish a dispute of fact as to whether she was a qualified individual and whether her disability caused her termination from the Academy, the Court denies the City's motion as to Griffin's discrimination claim under the ADA and IHRA. However, because Griffin cannot present admissible evidence that she made a request for accommodation, the Court grants the City's motion as to Griffin's reasonable accommodation claim under the ADA and IHRA.”</w:t>
      </w:r>
      <w:r>
        <w:t xml:space="preserve"> </w:t>
      </w:r>
      <w:hyperlink r:id="rId1366" w:history="1">
        <w:r w:rsidRPr="00663E4B">
          <w:rPr>
            <w:rStyle w:val="Hyperlink"/>
          </w:rPr>
          <w:t>https://public.fastcase.com/ZZhmr5v9wN%2FXOe5IsQ%2FqD6X8aBICmIyWVJScKPpCyRhR7mDWsTx8EU8Grq%2B%2B4ZtL7A%2BZetNPKoBujU7we%2BcNkmURNKpv4aGWRHQtd1T1moA%3D?utm_medium=email&amp;_hsmi=226712652&amp;_hsenc=p2ANqtz-9OBKIBZDi8r8oE28UFobupYGxopyoQah8HvX1c9zj34g5f00t_mZAGDNIEFbeFR3R6TbvecwhsL2yyD5Q92lFJJe2-2g&amp;utm_content=226712652&amp;utm_source=hs_email</w:t>
        </w:r>
      </w:hyperlink>
    </w:p>
    <w:p w14:paraId="3BCE06A6" w14:textId="77777777" w:rsidR="00B1569B" w:rsidRDefault="00B1569B" w:rsidP="00F326E5">
      <w:pPr>
        <w:pStyle w:val="NoSpacing"/>
        <w:rPr>
          <w:rFonts w:ascii="Arial Black" w:hAnsi="Arial Black"/>
          <w:b/>
          <w:bCs/>
          <w:sz w:val="24"/>
          <w:szCs w:val="24"/>
        </w:rPr>
      </w:pPr>
    </w:p>
    <w:p w14:paraId="5E091E36" w14:textId="77777777" w:rsidR="002C6181" w:rsidRDefault="002C6181" w:rsidP="00F326E5">
      <w:pPr>
        <w:pStyle w:val="NoSpacing"/>
        <w:rPr>
          <w:rFonts w:ascii="Arial Black" w:hAnsi="Arial Black"/>
          <w:b/>
          <w:bCs/>
          <w:sz w:val="24"/>
          <w:szCs w:val="24"/>
        </w:rPr>
      </w:pPr>
    </w:p>
    <w:p w14:paraId="042CA2DF" w14:textId="77777777" w:rsidR="002C6181" w:rsidRDefault="002C6181" w:rsidP="00F326E5">
      <w:pPr>
        <w:pStyle w:val="NoSpacing"/>
        <w:rPr>
          <w:rFonts w:ascii="Arial Black" w:hAnsi="Arial Black"/>
          <w:b/>
          <w:bCs/>
          <w:sz w:val="24"/>
          <w:szCs w:val="24"/>
        </w:rPr>
      </w:pPr>
    </w:p>
    <w:p w14:paraId="7D2D6394" w14:textId="1ED8F49B" w:rsidR="00820998" w:rsidRDefault="00820998" w:rsidP="00F326E5">
      <w:pPr>
        <w:pStyle w:val="NoSpacing"/>
        <w:rPr>
          <w:rFonts w:ascii="Arial Black" w:hAnsi="Arial Black"/>
          <w:b/>
          <w:bCs/>
          <w:sz w:val="24"/>
          <w:szCs w:val="24"/>
        </w:rPr>
      </w:pPr>
      <w:r>
        <w:rPr>
          <w:rFonts w:ascii="Arial Black" w:hAnsi="Arial Black"/>
          <w:b/>
          <w:bCs/>
          <w:sz w:val="24"/>
          <w:szCs w:val="24"/>
        </w:rPr>
        <w:t>7-56</w:t>
      </w:r>
    </w:p>
    <w:p w14:paraId="354578E4" w14:textId="77777777" w:rsidR="00C37775" w:rsidRDefault="00C37775" w:rsidP="00C37775">
      <w:pPr>
        <w:pStyle w:val="NormalWeb"/>
        <w:rPr>
          <w:rFonts w:ascii="Arial Black" w:hAnsi="Arial Black"/>
          <w:b/>
          <w:bCs/>
          <w:sz w:val="28"/>
          <w:szCs w:val="28"/>
        </w:rPr>
      </w:pPr>
      <w:r>
        <w:rPr>
          <w:rFonts w:ascii="Arial Black" w:hAnsi="Arial Black"/>
          <w:b/>
          <w:bCs/>
          <w:sz w:val="28"/>
          <w:szCs w:val="28"/>
        </w:rPr>
        <w:t>OH: TRANSGENDER WOMAN / EMT – FIRED FOR SOCIAL MEDIA POSTS / OUTBURST HOSP - CASE DISMISSED</w:t>
      </w:r>
    </w:p>
    <w:p w14:paraId="453B8271" w14:textId="77777777" w:rsidR="00C37775" w:rsidRDefault="00C37775" w:rsidP="00C37775">
      <w:pPr>
        <w:pStyle w:val="NormalWeb"/>
      </w:pPr>
      <w:r w:rsidRPr="00DA2452">
        <w:t>On Dec. 28, 2023</w:t>
      </w:r>
      <w:r>
        <w:t xml:space="preserve">, </w:t>
      </w:r>
      <w:r w:rsidRPr="00DA2452">
        <w:t xml:space="preserve">in </w:t>
      </w:r>
      <w:r w:rsidRPr="00DA2452">
        <w:rPr>
          <w:u w:val="single"/>
        </w:rPr>
        <w:t>Rayne Fedder v. Ohio Medical Transportation, Inc</w:t>
      </w:r>
      <w:r>
        <w:t xml:space="preserve">., U.S. District Court Judge Sarah D. Morrison, U.S. District Court for Southern District of Ohio, Eastern Division, granted the employer’s motion to dismiss; judge overturned recommendation by U.S. Magistrate judge that her ADA claim that she “appeared” as disabled.   </w:t>
      </w:r>
      <w:hyperlink r:id="rId1367" w:history="1">
        <w:r w:rsidRPr="003C00DD">
          <w:rPr>
            <w:rStyle w:val="Hyperlink"/>
          </w:rPr>
          <w:t>https://public.fastcase.com/ZZhmr5v9wN%2FXOe5IsQ%2FqD9BUVBv1kUZp9ZGh4udwVOZOikyKuqCQ4FBlGwYEPhOQ?utm_medium=email&amp;_hsmi=226712652&amp;_hsenc=p2ANqtz-8T0ew8oNT-12TbgKrs2ORAj7WbRAGASG77xIYUvebbTcAbFOuK4r9xkTZLpSPqAw77_8KgP47FqlehaZADxsQlpR3k0g&amp;utm_content=226712652&amp;utm_source=hs_email</w:t>
        </w:r>
      </w:hyperlink>
      <w:r>
        <w:t xml:space="preserve"> </w:t>
      </w:r>
    </w:p>
    <w:p w14:paraId="689DA17C" w14:textId="77777777" w:rsidR="007F6B94" w:rsidRPr="00D6645E" w:rsidRDefault="007F6B94" w:rsidP="007F6B94">
      <w:pPr>
        <w:pStyle w:val="NormalWeb"/>
        <w:rPr>
          <w:b/>
          <w:bCs/>
        </w:rPr>
      </w:pPr>
      <w:r w:rsidRPr="00D6645E">
        <w:rPr>
          <w:b/>
          <w:bCs/>
        </w:rPr>
        <w:t xml:space="preserve">Legal Lesson Learned: </w:t>
      </w:r>
      <w:r>
        <w:rPr>
          <w:b/>
          <w:bCs/>
        </w:rPr>
        <w:t xml:space="preserve">The Supervisor wisely told co-workers to keep am “open mind.” </w:t>
      </w:r>
    </w:p>
    <w:p w14:paraId="606F9F77" w14:textId="77777777" w:rsidR="00C37775" w:rsidRDefault="00C37775" w:rsidP="00F326E5">
      <w:pPr>
        <w:pStyle w:val="NoSpacing"/>
        <w:rPr>
          <w:rFonts w:ascii="Arial Black" w:hAnsi="Arial Black"/>
          <w:b/>
          <w:bCs/>
          <w:sz w:val="24"/>
          <w:szCs w:val="24"/>
        </w:rPr>
      </w:pPr>
    </w:p>
    <w:p w14:paraId="59411A51" w14:textId="77777777" w:rsidR="00820998" w:rsidRDefault="00820998" w:rsidP="00F326E5">
      <w:pPr>
        <w:pStyle w:val="NoSpacing"/>
        <w:rPr>
          <w:rFonts w:ascii="Arial Black" w:hAnsi="Arial Black"/>
          <w:b/>
          <w:bCs/>
          <w:sz w:val="24"/>
          <w:szCs w:val="24"/>
        </w:rPr>
      </w:pPr>
    </w:p>
    <w:p w14:paraId="4467A0D5" w14:textId="5152317B" w:rsidR="00AC3E10" w:rsidRDefault="00AC3E10" w:rsidP="00F326E5">
      <w:pPr>
        <w:pStyle w:val="NoSpacing"/>
        <w:rPr>
          <w:rFonts w:ascii="Arial Black" w:hAnsi="Arial Black"/>
          <w:b/>
          <w:bCs/>
          <w:sz w:val="24"/>
          <w:szCs w:val="24"/>
        </w:rPr>
      </w:pPr>
      <w:r>
        <w:rPr>
          <w:rFonts w:ascii="Arial Black" w:hAnsi="Arial Black"/>
          <w:b/>
          <w:bCs/>
          <w:sz w:val="24"/>
          <w:szCs w:val="24"/>
        </w:rPr>
        <w:t>7-55</w:t>
      </w:r>
    </w:p>
    <w:p w14:paraId="03CF5697" w14:textId="77777777" w:rsidR="00AC3E10" w:rsidRPr="00A151D3" w:rsidRDefault="00AC3E10" w:rsidP="00AC3E10">
      <w:pPr>
        <w:pStyle w:val="NormalWeb"/>
        <w:rPr>
          <w:rFonts w:ascii="Arial Black" w:hAnsi="Arial Black"/>
          <w:sz w:val="28"/>
          <w:szCs w:val="28"/>
        </w:rPr>
      </w:pPr>
      <w:r>
        <w:rPr>
          <w:rFonts w:ascii="Arial Black" w:hAnsi="Arial Black"/>
          <w:sz w:val="28"/>
          <w:szCs w:val="28"/>
        </w:rPr>
        <w:t>CT: FEMALE BAT. CHIEF NOT PROMOTED A/C – JOB DESC. CHANGED - WRITTEN EXAM DROPPED – CASE PROCEED</w:t>
      </w:r>
    </w:p>
    <w:p w14:paraId="443983CC" w14:textId="77777777" w:rsidR="00AC3E10" w:rsidRDefault="00AC3E10" w:rsidP="00AC3E10">
      <w:pPr>
        <w:pStyle w:val="NormalWeb"/>
      </w:pPr>
      <w:r>
        <w:rPr>
          <w:rFonts w:eastAsiaTheme="minorHAnsi"/>
          <w:kern w:val="2"/>
          <w14:ligatures w14:val="standardContextual"/>
        </w:rPr>
        <w:t xml:space="preserve">On Aug. 14, 2023, in </w:t>
      </w:r>
      <w:r w:rsidRPr="00C14243">
        <w:rPr>
          <w:rFonts w:eastAsiaTheme="minorHAnsi"/>
          <w:kern w:val="2"/>
          <w:u w:val="single"/>
          <w14:ligatures w14:val="standardContextual"/>
        </w:rPr>
        <w:t>Eileen Parlato v. Town of East Haven and East Haven Fire Department</w:t>
      </w:r>
      <w:r>
        <w:rPr>
          <w:rFonts w:eastAsiaTheme="minorHAnsi"/>
          <w:kern w:val="2"/>
          <w14:ligatures w14:val="standardContextual"/>
        </w:rPr>
        <w:t xml:space="preserve">, U.S. District Court Judge </w:t>
      </w:r>
      <w:r>
        <w:t xml:space="preserve">Sarala V. </w:t>
      </w:r>
      <w:proofErr w:type="spellStart"/>
      <w:r>
        <w:t>Nagala</w:t>
      </w:r>
      <w:proofErr w:type="spellEnd"/>
      <w:r>
        <w:t xml:space="preserve"> denied in part the Town’s motion to dismiss, holding that the now-retired Battalion Chief, with 29 years on the Fire Department, may proceed with her equal protection / gender discrimination claim that she was not promoted to Assistant Fire Chief in November 2021 because the Fire Chief changed promotion process (including no written exam), she was never presented to the Board of Fire Commissioners, which selected another Battalion Chief with much less experience. </w:t>
      </w:r>
    </w:p>
    <w:p w14:paraId="6D81F1A3" w14:textId="77777777" w:rsidR="00AC3E10" w:rsidRDefault="00AC3E10" w:rsidP="00AC3E10">
      <w:pPr>
        <w:pStyle w:val="NormalWeb"/>
      </w:pPr>
      <w:r>
        <w:tab/>
        <w:t>The Judge held that the complaint identifies specific changes made by the Fire Chief.</w:t>
      </w:r>
    </w:p>
    <w:p w14:paraId="2D1FF3D3" w14:textId="77777777" w:rsidR="00AC3E10" w:rsidRDefault="00AC3E10" w:rsidP="00AC3E10">
      <w:pPr>
        <w:pStyle w:val="NormalWeb"/>
        <w:ind w:left="720"/>
        <w:rPr>
          <w:rFonts w:eastAsiaTheme="minorHAnsi"/>
          <w:kern w:val="2"/>
          <w14:ligatures w14:val="standardContextual"/>
        </w:rPr>
      </w:pPr>
      <w:r>
        <w:rPr>
          <w:rFonts w:eastAsiaTheme="minorHAnsi"/>
          <w:kern w:val="2"/>
          <w14:ligatures w14:val="standardContextual"/>
        </w:rPr>
        <w:t>“</w:t>
      </w:r>
      <w:r w:rsidRPr="00353B08">
        <w:rPr>
          <w:rFonts w:eastAsiaTheme="minorHAnsi"/>
          <w:kern w:val="2"/>
          <w14:ligatures w14:val="standardContextual"/>
        </w:rPr>
        <w:t xml:space="preserve">The Court next concludes, however, that Plaintiff has plausibly alleged a </w:t>
      </w:r>
      <w:r w:rsidRPr="00353B08">
        <w:rPr>
          <w:rFonts w:eastAsiaTheme="minorHAnsi"/>
          <w:i/>
          <w:iCs/>
          <w:kern w:val="2"/>
          <w14:ligatures w14:val="standardContextual"/>
        </w:rPr>
        <w:t>Monell</w:t>
      </w:r>
      <w:r w:rsidRPr="00353B08">
        <w:rPr>
          <w:rFonts w:eastAsiaTheme="minorHAnsi"/>
          <w:kern w:val="2"/>
          <w14:ligatures w14:val="standardContextual"/>
        </w:rPr>
        <w:t xml:space="preserve"> claim for gender discrimination under the theory that Marcarelli was a final policymaker with respect to the decisions he made that prevented Plaintiff from being considered by the Board of Fire Commissioners for the Assistant Chief position. </w:t>
      </w:r>
      <w:proofErr w:type="spellStart"/>
      <w:r w:rsidRPr="00353B08">
        <w:rPr>
          <w:rFonts w:eastAsiaTheme="minorHAnsi"/>
          <w:kern w:val="2"/>
          <w14:ligatures w14:val="standardContextual"/>
        </w:rPr>
        <w:t>Compl</w:t>
      </w:r>
      <w:proofErr w:type="spellEnd"/>
      <w:r w:rsidRPr="00353B08">
        <w:rPr>
          <w:rFonts w:eastAsiaTheme="minorHAnsi"/>
          <w:kern w:val="2"/>
          <w14:ligatures w14:val="standardContextual"/>
        </w:rPr>
        <w:t>. ¶ 116.</w:t>
      </w:r>
    </w:p>
    <w:p w14:paraId="3DD9B800" w14:textId="77777777" w:rsidR="00AC3E10" w:rsidRDefault="00AC3E10" w:rsidP="00AC3E10">
      <w:pPr>
        <w:pStyle w:val="NormalWeb"/>
        <w:ind w:left="720"/>
      </w:pPr>
      <w:r>
        <w:rPr>
          <w:rFonts w:eastAsiaTheme="minorHAnsi"/>
          <w:kern w:val="2"/>
          <w14:ligatures w14:val="standardContextual"/>
        </w:rPr>
        <w:t>***</w:t>
      </w:r>
    </w:p>
    <w:p w14:paraId="6474A360" w14:textId="77777777" w:rsidR="00AC3E10" w:rsidRDefault="00AC3E10" w:rsidP="00AC3E10">
      <w:pPr>
        <w:spacing w:before="100" w:beforeAutospacing="1" w:after="100" w:afterAutospacing="1" w:line="240" w:lineRule="auto"/>
        <w:ind w:left="720"/>
        <w:rPr>
          <w:rFonts w:ascii="Times New Roman" w:hAnsi="Times New Roman"/>
          <w:sz w:val="24"/>
          <w:szCs w:val="24"/>
        </w:rPr>
      </w:pPr>
      <w:r w:rsidRPr="00C14243">
        <w:rPr>
          <w:rFonts w:ascii="Times New Roman" w:hAnsi="Times New Roman"/>
          <w:sz w:val="24"/>
          <w:szCs w:val="24"/>
        </w:rPr>
        <w:t xml:space="preserve">Specifically, the Assistant Chief job posting stated that an external candidate required ten years of supervisory experience, but that an internal candidate required only ten years with the EHFD, regardless of whether the candidate had any supervisory experience during that time. </w:t>
      </w:r>
      <w:r w:rsidRPr="00C14243">
        <w:rPr>
          <w:rFonts w:ascii="Times New Roman" w:hAnsi="Times New Roman"/>
          <w:i/>
          <w:iCs/>
          <w:sz w:val="24"/>
          <w:szCs w:val="24"/>
        </w:rPr>
        <w:t>Id.</w:t>
      </w:r>
      <w:r w:rsidRPr="00C14243">
        <w:rPr>
          <w:rFonts w:ascii="Times New Roman" w:hAnsi="Times New Roman"/>
          <w:sz w:val="24"/>
          <w:szCs w:val="24"/>
        </w:rPr>
        <w:t xml:space="preserve"> In addition, </w:t>
      </w:r>
      <w:r>
        <w:rPr>
          <w:rFonts w:ascii="Times New Roman" w:hAnsi="Times New Roman"/>
          <w:sz w:val="24"/>
          <w:szCs w:val="24"/>
        </w:rPr>
        <w:t xml:space="preserve">[Fire Chief] </w:t>
      </w:r>
      <w:r w:rsidRPr="00C14243">
        <w:rPr>
          <w:rFonts w:ascii="Times New Roman" w:hAnsi="Times New Roman"/>
          <w:sz w:val="24"/>
          <w:szCs w:val="24"/>
        </w:rPr>
        <w:t xml:space="preserve">Marcarelli changed the format of the Assistant Chief hiring process by setting only an oral exam and eliminating the typical written exam requirement, despite that Plaintiff had historically performed well on written exams. </w:t>
      </w:r>
      <w:r w:rsidRPr="00C14243">
        <w:rPr>
          <w:rFonts w:ascii="Times New Roman" w:hAnsi="Times New Roman"/>
          <w:i/>
          <w:iCs/>
          <w:sz w:val="24"/>
          <w:szCs w:val="24"/>
        </w:rPr>
        <w:t>Id.</w:t>
      </w:r>
      <w:r w:rsidRPr="00C14243">
        <w:rPr>
          <w:rFonts w:ascii="Times New Roman" w:hAnsi="Times New Roman"/>
          <w:sz w:val="24"/>
          <w:szCs w:val="24"/>
        </w:rPr>
        <w:t xml:space="preserve"> ¶ 53. Marcarelli also selected the individuals who would comprise the panel of interviewers for the oral exam. </w:t>
      </w:r>
      <w:r w:rsidRPr="00C14243">
        <w:rPr>
          <w:rFonts w:ascii="Times New Roman" w:hAnsi="Times New Roman"/>
          <w:i/>
          <w:iCs/>
          <w:sz w:val="24"/>
          <w:szCs w:val="24"/>
        </w:rPr>
        <w:t>Id.</w:t>
      </w:r>
      <w:r w:rsidRPr="00C14243">
        <w:rPr>
          <w:rFonts w:ascii="Times New Roman" w:hAnsi="Times New Roman"/>
          <w:sz w:val="24"/>
          <w:szCs w:val="24"/>
        </w:rPr>
        <w:t xml:space="preserve"> ¶ 54.</w:t>
      </w:r>
    </w:p>
    <w:p w14:paraId="69AC8FBC" w14:textId="77777777" w:rsidR="00AC3E10" w:rsidRDefault="00AC3E10" w:rsidP="00AC3E10">
      <w:pPr>
        <w:spacing w:before="100" w:beforeAutospacing="1" w:after="100" w:afterAutospacing="1" w:line="240" w:lineRule="auto"/>
        <w:ind w:left="720"/>
      </w:pPr>
      <w:r>
        <w:rPr>
          <w:rFonts w:ascii="Times New Roman" w:hAnsi="Times New Roman"/>
          <w:sz w:val="24"/>
          <w:szCs w:val="24"/>
        </w:rPr>
        <w:t>***</w:t>
      </w:r>
    </w:p>
    <w:p w14:paraId="0BC44673" w14:textId="1C1314C9" w:rsidR="00AC3E10" w:rsidRPr="00AC3E10" w:rsidRDefault="00AC3E10" w:rsidP="00AC3E10">
      <w:pPr>
        <w:pStyle w:val="NoSpacing"/>
        <w:ind w:left="720"/>
        <w:rPr>
          <w:rFonts w:ascii="Times New Roman" w:hAnsi="Times New Roman"/>
          <w:b/>
          <w:bCs/>
          <w:sz w:val="24"/>
          <w:szCs w:val="24"/>
        </w:rPr>
      </w:pPr>
      <w:r w:rsidRPr="00AC3E10">
        <w:rPr>
          <w:rFonts w:ascii="Times New Roman" w:hAnsi="Times New Roman"/>
          <w:sz w:val="24"/>
          <w:szCs w:val="24"/>
        </w:rPr>
        <w:t xml:space="preserve">Importantly, the complaint alleges that Marcarelli </w:t>
      </w:r>
      <w:r w:rsidRPr="00AC3E10">
        <w:rPr>
          <w:rStyle w:val="Emphasis"/>
          <w:rFonts w:ascii="Times New Roman" w:eastAsiaTheme="majorEastAsia" w:hAnsi="Times New Roman"/>
          <w:sz w:val="24"/>
          <w:szCs w:val="24"/>
        </w:rPr>
        <w:t>drafted</w:t>
      </w:r>
      <w:r w:rsidRPr="00AC3E10">
        <w:rPr>
          <w:rFonts w:ascii="Times New Roman" w:hAnsi="Times New Roman"/>
          <w:sz w:val="24"/>
          <w:szCs w:val="24"/>
        </w:rPr>
        <w:t xml:space="preserve"> the job description, </w:t>
      </w:r>
      <w:r w:rsidRPr="00AC3E10">
        <w:rPr>
          <w:rStyle w:val="Emphasis"/>
          <w:rFonts w:ascii="Times New Roman" w:eastAsiaTheme="majorEastAsia" w:hAnsi="Times New Roman"/>
          <w:sz w:val="24"/>
          <w:szCs w:val="24"/>
        </w:rPr>
        <w:t>eliminated</w:t>
      </w:r>
      <w:r w:rsidRPr="00AC3E10">
        <w:rPr>
          <w:rFonts w:ascii="Times New Roman" w:hAnsi="Times New Roman"/>
          <w:sz w:val="24"/>
          <w:szCs w:val="24"/>
        </w:rPr>
        <w:t xml:space="preserve"> the written exam requirement, and </w:t>
      </w:r>
      <w:r w:rsidRPr="00AC3E10">
        <w:rPr>
          <w:rStyle w:val="Emphasis"/>
          <w:rFonts w:ascii="Times New Roman" w:eastAsiaTheme="majorEastAsia" w:hAnsi="Times New Roman"/>
          <w:sz w:val="24"/>
          <w:szCs w:val="24"/>
        </w:rPr>
        <w:t>hand-picked</w:t>
      </w:r>
      <w:r w:rsidRPr="00AC3E10">
        <w:rPr>
          <w:rFonts w:ascii="Times New Roman" w:hAnsi="Times New Roman"/>
          <w:sz w:val="24"/>
          <w:szCs w:val="24"/>
        </w:rPr>
        <w:t xml:space="preserve"> the interviewers. </w:t>
      </w:r>
      <w:proofErr w:type="spellStart"/>
      <w:r w:rsidRPr="00AC3E10">
        <w:rPr>
          <w:rFonts w:ascii="Times New Roman" w:hAnsi="Times New Roman"/>
          <w:sz w:val="24"/>
          <w:szCs w:val="24"/>
        </w:rPr>
        <w:t>Compl</w:t>
      </w:r>
      <w:proofErr w:type="spellEnd"/>
      <w:r w:rsidRPr="00AC3E10">
        <w:rPr>
          <w:rFonts w:ascii="Times New Roman" w:hAnsi="Times New Roman"/>
          <w:sz w:val="24"/>
          <w:szCs w:val="24"/>
        </w:rPr>
        <w:t>. ¶¶ 48, 53-54.</w:t>
      </w:r>
      <w:r w:rsidRPr="00AC3E10">
        <w:rPr>
          <w:rFonts w:ascii="Times New Roman" w:hAnsi="Times New Roman"/>
          <w:sz w:val="24"/>
          <w:szCs w:val="24"/>
          <w:vertAlign w:val="superscript"/>
        </w:rPr>
        <w:t>[</w:t>
      </w:r>
      <w:hyperlink r:id="rId1368" w:anchor="ftn.FN8" w:history="1">
        <w:r w:rsidRPr="00AC3E10">
          <w:rPr>
            <w:rStyle w:val="Hyperlink"/>
            <w:rFonts w:ascii="Times New Roman" w:eastAsiaTheme="majorEastAsia" w:hAnsi="Times New Roman"/>
            <w:sz w:val="24"/>
            <w:szCs w:val="24"/>
            <w:vertAlign w:val="superscript"/>
          </w:rPr>
          <w:t>8</w:t>
        </w:r>
      </w:hyperlink>
      <w:r w:rsidRPr="00AC3E10">
        <w:rPr>
          <w:rFonts w:ascii="Times New Roman" w:hAnsi="Times New Roman"/>
          <w:sz w:val="24"/>
          <w:szCs w:val="24"/>
          <w:vertAlign w:val="superscript"/>
        </w:rPr>
        <w:t>]</w:t>
      </w:r>
      <w:r w:rsidRPr="00AC3E10">
        <w:rPr>
          <w:rFonts w:ascii="Times New Roman" w:hAnsi="Times New Roman"/>
          <w:sz w:val="24"/>
          <w:szCs w:val="24"/>
        </w:rPr>
        <w:t xml:space="preserve"> To the extent further discovery reveals that those decisions were reviewable by the Board of Fire Commissioners, or to the extent that further research demonstrates that the authority to make those decisions was vested in the Board or some other person or entity, Plaintiff may not ultimately prevail on this theory of her </w:t>
      </w:r>
      <w:r w:rsidRPr="00AC3E10">
        <w:rPr>
          <w:rStyle w:val="Emphasis"/>
          <w:rFonts w:ascii="Times New Roman" w:eastAsiaTheme="majorEastAsia" w:hAnsi="Times New Roman"/>
          <w:sz w:val="24"/>
          <w:szCs w:val="24"/>
        </w:rPr>
        <w:t>Monell</w:t>
      </w:r>
      <w:r w:rsidRPr="00AC3E10">
        <w:rPr>
          <w:rFonts w:ascii="Times New Roman" w:hAnsi="Times New Roman"/>
          <w:sz w:val="24"/>
          <w:szCs w:val="24"/>
        </w:rPr>
        <w:t xml:space="preserve"> claim.” </w:t>
      </w:r>
      <w:hyperlink r:id="rId1369" w:history="1">
        <w:r w:rsidRPr="00AC3E10">
          <w:rPr>
            <w:rStyle w:val="Hyperlink"/>
            <w:rFonts w:ascii="Times New Roman" w:eastAsiaTheme="majorEastAsia" w:hAnsi="Times New Roman"/>
            <w:sz w:val="24"/>
            <w:szCs w:val="24"/>
          </w:rPr>
          <w:t>https://public.fastcase.com/ZZhmr5v9wN%2FXOe5IsQ%2FqD%2FNGb7gFooJuC7EPCkPbb8zYGJ%2BdPMtTRazA4SgxbA0Hq%2Bqtj6iK5eurCbJj4Cn6ySK1qzuHHpkHA9cN2Vx6eWo%3D?utm_medium=email&amp;_hsmi=226712652&amp;_hsenc=p2ANqtz-_M4ZQ75NqvFrlpX3gz1MCu7xTgTM0sg-yZbWDDZft-2cApXVRPMU-C3jBD2GmP4Ff9YuyLw19xTYwQuDOoCvQcSGp93w&amp;utm_content=226712652&amp;utm_source=hs_email</w:t>
        </w:r>
      </w:hyperlink>
    </w:p>
    <w:p w14:paraId="36EDDD30" w14:textId="77777777" w:rsidR="00AC3E10" w:rsidRDefault="00AC3E10" w:rsidP="00F326E5">
      <w:pPr>
        <w:pStyle w:val="NoSpacing"/>
        <w:rPr>
          <w:rFonts w:ascii="Arial Black" w:hAnsi="Arial Black"/>
          <w:b/>
          <w:bCs/>
          <w:sz w:val="24"/>
          <w:szCs w:val="24"/>
        </w:rPr>
      </w:pPr>
    </w:p>
    <w:p w14:paraId="0F8D2805" w14:textId="77777777" w:rsidR="00AC3E10" w:rsidRPr="00353B08" w:rsidRDefault="00AC3E10" w:rsidP="00AC3E10">
      <w:pPr>
        <w:pStyle w:val="NormalWeb"/>
        <w:rPr>
          <w:b/>
          <w:bCs/>
        </w:rPr>
      </w:pPr>
      <w:r w:rsidRPr="00353B08">
        <w:rPr>
          <w:rFonts w:eastAsiaTheme="minorHAnsi"/>
          <w:b/>
          <w:bCs/>
          <w:kern w:val="2"/>
          <w14:ligatures w14:val="standardContextual"/>
        </w:rPr>
        <w:t xml:space="preserve">Legal Lesson Learned: </w:t>
      </w:r>
      <w:r>
        <w:rPr>
          <w:rFonts w:eastAsiaTheme="minorHAnsi"/>
          <w:b/>
          <w:bCs/>
          <w:kern w:val="2"/>
          <w14:ligatures w14:val="standardContextual"/>
        </w:rPr>
        <w:t xml:space="preserve">Lawsuit will now proceed with pre-trial discovery.  Be very cautious in changing the promotion process. </w:t>
      </w:r>
    </w:p>
    <w:p w14:paraId="09EA451C" w14:textId="77777777" w:rsidR="00AC3E10" w:rsidRDefault="00AC3E10" w:rsidP="00F326E5">
      <w:pPr>
        <w:pStyle w:val="NoSpacing"/>
        <w:rPr>
          <w:rFonts w:ascii="Arial Black" w:hAnsi="Arial Black"/>
          <w:b/>
          <w:bCs/>
          <w:sz w:val="24"/>
          <w:szCs w:val="24"/>
        </w:rPr>
      </w:pPr>
    </w:p>
    <w:p w14:paraId="1A2EC069" w14:textId="5E4B4D88" w:rsidR="00664ABE" w:rsidRPr="000644B6" w:rsidRDefault="00664ABE" w:rsidP="00F326E5">
      <w:pPr>
        <w:pStyle w:val="NoSpacing"/>
        <w:rPr>
          <w:rFonts w:ascii="Arial Black" w:hAnsi="Arial Black"/>
          <w:b/>
          <w:bCs/>
          <w:sz w:val="24"/>
          <w:szCs w:val="24"/>
        </w:rPr>
      </w:pPr>
      <w:r w:rsidRPr="000644B6">
        <w:rPr>
          <w:rFonts w:ascii="Arial Black" w:hAnsi="Arial Black"/>
          <w:b/>
          <w:bCs/>
          <w:sz w:val="24"/>
          <w:szCs w:val="24"/>
        </w:rPr>
        <w:t>7-54</w:t>
      </w:r>
    </w:p>
    <w:p w14:paraId="16C6CF28" w14:textId="77777777" w:rsidR="000644B6" w:rsidRPr="000644B6" w:rsidRDefault="000644B6" w:rsidP="000644B6">
      <w:pPr>
        <w:pStyle w:val="NormalWeb"/>
        <w:rPr>
          <w:rFonts w:ascii="Arial Black" w:hAnsi="Arial Black"/>
          <w:sz w:val="28"/>
          <w:szCs w:val="28"/>
        </w:rPr>
      </w:pPr>
      <w:r w:rsidRPr="000644B6">
        <w:rPr>
          <w:rFonts w:ascii="Arial Black" w:hAnsi="Arial Black"/>
          <w:sz w:val="28"/>
          <w:szCs w:val="28"/>
        </w:rPr>
        <w:t xml:space="preserve">KY: FF HAD SEX 17-YR-OLD – HE IS IN PRISON 35 YEARS – NO CASE AGAINST CITY / FD FOR “FAILURE TO SUPERVISE” </w:t>
      </w:r>
    </w:p>
    <w:p w14:paraId="6405F185" w14:textId="77777777" w:rsidR="000644B6" w:rsidRPr="000644B6" w:rsidRDefault="000644B6" w:rsidP="000644B6">
      <w:pPr>
        <w:pStyle w:val="NormalWeb"/>
      </w:pPr>
      <w:r w:rsidRPr="000644B6">
        <w:t xml:space="preserve">On July 25, 2023, in </w:t>
      </w:r>
      <w:r w:rsidRPr="000644B6">
        <w:rPr>
          <w:u w:val="single"/>
        </w:rPr>
        <w:t>Emmalee Young v. City of Paris, et al.</w:t>
      </w:r>
      <w:r w:rsidRPr="000644B6">
        <w:t xml:space="preserve">, U.S. District Court Judge Karen K. Caldwell, U.S. District Court for Eastern District of Kentucky, Central Division (Lexington), granted motion for summary judgment on behalf of the </w:t>
      </w:r>
      <w:proofErr w:type="gramStart"/>
      <w:r w:rsidRPr="000644B6">
        <w:t>City</w:t>
      </w:r>
      <w:proofErr w:type="gramEnd"/>
      <w:r w:rsidRPr="000644B6">
        <w:t xml:space="preserve">, Fire Chief, Battalion Chief and police officials. The only remaining defendant is former firefighter William Michael Fields, Jr., now serving 35 years in federal prison. A failure-to-supervise claim is a “rare” claim.  </w:t>
      </w:r>
    </w:p>
    <w:p w14:paraId="13BB30E2" w14:textId="530F59CD" w:rsidR="00664ABE" w:rsidRPr="000644B6" w:rsidRDefault="000644B6" w:rsidP="000644B6">
      <w:pPr>
        <w:pStyle w:val="NoSpacing"/>
        <w:rPr>
          <w:rFonts w:ascii="Times New Roman" w:hAnsi="Times New Roman"/>
          <w:sz w:val="24"/>
          <w:szCs w:val="24"/>
        </w:rPr>
      </w:pPr>
      <w:r w:rsidRPr="000644B6">
        <w:rPr>
          <w:rFonts w:ascii="Times New Roman" w:hAnsi="Times New Roman"/>
          <w:sz w:val="24"/>
          <w:szCs w:val="24"/>
        </w:rPr>
        <w:t xml:space="preserve">The Court held: “As to a failure-to-supervise claim, this is a ‘rare’ claim. *** Young could show the city was deliberately indifferent to the risk that its employees would have sexual intercourse with minors or other nonconsenting individuals with evidence of a pattern of similar constitutional violations, with a record of city employees ‘going unpunished’ for similar constitutional violations or other circumstances tending to show that the city was aware or could have been aware that Fields was prone to have sexual intercourse with minors or other nonconsenting individuals. </w:t>
      </w:r>
      <w:r w:rsidRPr="000644B6">
        <w:rPr>
          <w:rStyle w:val="Emphasis"/>
          <w:rFonts w:ascii="Times New Roman" w:hAnsi="Times New Roman"/>
          <w:sz w:val="24"/>
          <w:szCs w:val="24"/>
        </w:rPr>
        <w:t>Id</w:t>
      </w:r>
      <w:r w:rsidRPr="000644B6">
        <w:rPr>
          <w:rFonts w:ascii="Times New Roman" w:hAnsi="Times New Roman"/>
          <w:sz w:val="24"/>
          <w:szCs w:val="24"/>
        </w:rPr>
        <w:t xml:space="preserve">. Young presents no such evidence. Accordingly, the Court will enter summary judgment in favor of the city of Paris, Kentucky on Young's constitutional claims. *** The issue on this motion is whether Young has presented sufficient facts to lead a reasonable juror to find that the city of Paris, Fields' supervisors at the fire department, or Paris law enforcement officers Royse and Boyer should also be liable for Fields' wrongful conduct. *** Young does not allege, however, that any of the individual defendants other than Fields personally sexually harassed her or violated her bodily integrity. She does not allege that any of the other defendants even had substantial direct interactions with her. She asserts, however, that the other defendants should be held liable for Fields' actions. *** As to Chief Duffy and Battalion Chief Hensley, Young asserts that both are liable for Fields' conduct because they were his supervisors at the Paris Fire Department. *** Young has produced no evidence that Duffy or Hensley was aware that Fields had sexually harassed or violated the bodily integrity of Young or anyone else or that he intended to. Though the deposition testimony established that other members of the Fire Department were aware that Fields had engaged in multiple sexual encounters outside of his marriage, </w:t>
      </w:r>
      <w:proofErr w:type="gramStart"/>
      <w:r w:rsidRPr="000644B6">
        <w:rPr>
          <w:rFonts w:ascii="Times New Roman" w:hAnsi="Times New Roman"/>
          <w:sz w:val="24"/>
          <w:szCs w:val="24"/>
        </w:rPr>
        <w:t>Young</w:t>
      </w:r>
      <w:proofErr w:type="gramEnd"/>
      <w:r w:rsidRPr="000644B6">
        <w:rPr>
          <w:rFonts w:ascii="Times New Roman" w:hAnsi="Times New Roman"/>
          <w:sz w:val="24"/>
          <w:szCs w:val="24"/>
        </w:rPr>
        <w:t xml:space="preserve"> points to no evidence that any other employee was aware that any of Fields' sexual encounters involved nonconsenting women or minors or otherwise constituted sexual harassment or violations of bodily integrity. *** She presents evidence that fire department employees discussed sexual activities and shared nude images of females while on duty. She has also produced evidence that at least some fire department employees engaged in sexual activities with nonemployees at facilities used by the Paris Fire Department like Safety City. Young has pointed to no evidence, however, that any fire department employee other than Fields engaged in sexual behavior with an underage or otherwise nonconsenting individual, which is the kind of constitutional violation suffered by Young.” </w:t>
      </w:r>
      <w:hyperlink r:id="rId1370" w:history="1">
        <w:r w:rsidRPr="000644B6">
          <w:rPr>
            <w:rStyle w:val="Hyperlink"/>
            <w:rFonts w:ascii="Times New Roman" w:eastAsiaTheme="majorEastAsia" w:hAnsi="Times New Roman"/>
            <w:sz w:val="24"/>
            <w:szCs w:val="24"/>
          </w:rPr>
          <w:t>https://public.fastcase.com/ZZhmr5v9wN%2FXOe5IsQ%2FqD4teBhUqY7wvbGAswNzyBMaksiAAx9CoK%2F0glr7LeyIGy7%2BIvTMMfnsD4C1w01llLSbg%2FSmkDMg22UrZNbleClI%3D?utm_medium=email&amp;_hsmi=226712652&amp;_hsenc=p2ANqtz--0kKIYBqY11A1vHL3K3LnOM9OT3ZDxvHId5EPEJRai0C-xgNPiCQqUNedXVxiPbPjxDggmQ5V534mtY9qGSRF7_b-8gg&amp;utm_content=226712652&amp;utm_source=hs_email</w:t>
        </w:r>
      </w:hyperlink>
    </w:p>
    <w:p w14:paraId="7F031CF5" w14:textId="77777777" w:rsidR="00664ABE" w:rsidRDefault="00664ABE" w:rsidP="00F326E5">
      <w:pPr>
        <w:pStyle w:val="NoSpacing"/>
        <w:rPr>
          <w:rFonts w:ascii="Arial Black" w:hAnsi="Arial Black"/>
          <w:sz w:val="24"/>
          <w:szCs w:val="24"/>
        </w:rPr>
      </w:pPr>
    </w:p>
    <w:p w14:paraId="537B694A" w14:textId="77777777" w:rsidR="000644B6" w:rsidRPr="008B55B1" w:rsidRDefault="000644B6" w:rsidP="000644B6">
      <w:pPr>
        <w:pStyle w:val="NormalWeb"/>
        <w:rPr>
          <w:b/>
          <w:bCs/>
        </w:rPr>
      </w:pPr>
      <w:r w:rsidRPr="008B55B1">
        <w:rPr>
          <w:b/>
          <w:bCs/>
        </w:rPr>
        <w:t xml:space="preserve">Legal Lesson Learned: </w:t>
      </w:r>
      <w:r>
        <w:rPr>
          <w:b/>
          <w:bCs/>
        </w:rPr>
        <w:t xml:space="preserve">A “failure to supervise” claim must be backed up with facts showing management knowledge of improper conduct. </w:t>
      </w:r>
    </w:p>
    <w:p w14:paraId="1F89B981" w14:textId="77777777" w:rsidR="000644B6" w:rsidRDefault="000644B6" w:rsidP="00F326E5">
      <w:pPr>
        <w:pStyle w:val="NoSpacing"/>
        <w:rPr>
          <w:rFonts w:ascii="Arial Black" w:hAnsi="Arial Black"/>
          <w:sz w:val="24"/>
          <w:szCs w:val="24"/>
        </w:rPr>
      </w:pPr>
    </w:p>
    <w:p w14:paraId="32610B35" w14:textId="77777777" w:rsidR="000644B6" w:rsidRDefault="000644B6" w:rsidP="00F326E5">
      <w:pPr>
        <w:pStyle w:val="NoSpacing"/>
        <w:rPr>
          <w:rFonts w:ascii="Arial Black" w:hAnsi="Arial Black"/>
          <w:sz w:val="24"/>
          <w:szCs w:val="24"/>
        </w:rPr>
      </w:pPr>
    </w:p>
    <w:p w14:paraId="6E47CC74" w14:textId="77777777" w:rsidR="000644B6" w:rsidRDefault="000644B6" w:rsidP="00F326E5">
      <w:pPr>
        <w:pStyle w:val="NoSpacing"/>
        <w:rPr>
          <w:rFonts w:ascii="Arial Black" w:hAnsi="Arial Black"/>
          <w:sz w:val="24"/>
          <w:szCs w:val="24"/>
        </w:rPr>
      </w:pPr>
    </w:p>
    <w:p w14:paraId="0D4D71D9" w14:textId="4FF7BE2E" w:rsidR="00227BDE" w:rsidRDefault="00411936" w:rsidP="00F326E5">
      <w:pPr>
        <w:pStyle w:val="NoSpacing"/>
        <w:rPr>
          <w:rFonts w:ascii="Arial Black" w:hAnsi="Arial Black"/>
          <w:sz w:val="24"/>
          <w:szCs w:val="24"/>
        </w:rPr>
      </w:pPr>
      <w:r>
        <w:rPr>
          <w:rFonts w:ascii="Arial Black" w:hAnsi="Arial Black"/>
          <w:sz w:val="24"/>
          <w:szCs w:val="24"/>
        </w:rPr>
        <w:t>7-53</w:t>
      </w:r>
    </w:p>
    <w:p w14:paraId="0AD9E391" w14:textId="77777777" w:rsidR="00664ABE" w:rsidRPr="001C1F46" w:rsidRDefault="00664ABE" w:rsidP="00664ABE">
      <w:pPr>
        <w:pStyle w:val="NormalWeb"/>
        <w:rPr>
          <w:rFonts w:ascii="Arial Black" w:hAnsi="Arial Black"/>
          <w:sz w:val="28"/>
          <w:szCs w:val="28"/>
        </w:rPr>
      </w:pPr>
      <w:r>
        <w:rPr>
          <w:rFonts w:ascii="Arial Black" w:hAnsi="Arial Black"/>
          <w:sz w:val="28"/>
          <w:szCs w:val="28"/>
        </w:rPr>
        <w:t>CA: SAN FRAN. FF – HARASSMENT, NASTY COMMENTS BY SUPERVISOR TO FF HUSBAND – LACTATION NOT PRIVATE</w:t>
      </w:r>
    </w:p>
    <w:p w14:paraId="63FBDA5C" w14:textId="77777777" w:rsidR="00664ABE" w:rsidRDefault="00664ABE" w:rsidP="00664ABE">
      <w:pPr>
        <w:pStyle w:val="NormalWeb"/>
      </w:pPr>
      <w:r>
        <w:t xml:space="preserve">On July 13, 2023, in </w:t>
      </w:r>
      <w:r w:rsidRPr="001C1F46">
        <w:rPr>
          <w:u w:val="single"/>
        </w:rPr>
        <w:t>Sarah Perata v. City and County of San Francisco</w:t>
      </w:r>
      <w:r>
        <w:t xml:space="preserve">, U.S. Magistrate Judge Thomas S. Hixson, denied the City’s motion for summary judgment on claims of gender discrimination, including lack of location with a lock for lactation.  She was hired in 2018 as EMT and was a training instructor at Treasure Island.  In 2020 she received a promotion to Captain, subject to six-month probationary period and transferred to Station 49.  Unfortunately, on Dec. 7, 2020, Fire Chief Janine Nicholson sent Plaintiff a letter revoking the promotion based on two investigations - text message incident and training binder incident.  Text Message Incident – proposed 7-day suspension.  Plaintiff's new supervisor at Station 49, Chief Niels Tangherlini, received a message from what appeared to be Plaintiff's phone number stating, “I fucking hate this place.” Multiple other coworkers received texts from what appeared to be Plaintiff's phone number stating, “I hate you,” or “Fuck you.”   Training Binder Incident – proposed 3-day suspension. On February 13, 2020, she and her husband went to Tresure Island to gather her belongings for transfer to Station </w:t>
      </w:r>
      <w:proofErr w:type="gramStart"/>
      <w:r>
        <w:t>49, and</w:t>
      </w:r>
      <w:proofErr w:type="gramEnd"/>
      <w:r>
        <w:t xml:space="preserve"> apparently took training materials. That suspension was withdrawn when Plaintiff provided SFFD relevant materials. </w:t>
      </w:r>
    </w:p>
    <w:p w14:paraId="4FF4ED76" w14:textId="77777777" w:rsidR="00664ABE" w:rsidRDefault="00664ABE" w:rsidP="00664ABE">
      <w:pPr>
        <w:pStyle w:val="NormalWeb"/>
      </w:pPr>
      <w:r>
        <w:t>The Magistrate Judge held:</w:t>
      </w:r>
    </w:p>
    <w:p w14:paraId="0246B33E" w14:textId="77777777" w:rsidR="00664ABE" w:rsidRDefault="00664ABE" w:rsidP="00664ABE">
      <w:pPr>
        <w:pStyle w:val="NormalWeb"/>
      </w:pPr>
      <w:r>
        <w:t xml:space="preserve">HARASSMENT: “Although a close call, the Court finds Plaintiff has established material facts to preclude summary judgment on her harassment claims. Plaintiff testified that her supervisor, Payne [Nicholas Payne, Emergency Medical Services Training section chief for Treasure Island] and his supervisor, ‘constantly’ called Plaintiff and her fellow female coworkers ‘minions,’ and asked them to do the office administrative work. *** Defendant argues that many of the comments are not references to gender, but the Court finds there is sufficient evidence to infer gender bias. For example, Plaintiff's husband testified that Payne said Plaintiff “must give great head because I don't know why you are with </w:t>
      </w:r>
      <w:proofErr w:type="gramStart"/>
      <w:r>
        <w:t>her.”</w:t>
      </w:r>
      <w:proofErr w:type="gramEnd"/>
      <w:r>
        <w:t xml:space="preserve"> *** There is also evidence that Payne and Tibbits [Zachary Tibbits, co-worker] would put Plaintiff's desk figurines in sexual positions.”</w:t>
      </w:r>
    </w:p>
    <w:p w14:paraId="6D571029" w14:textId="77777777" w:rsidR="00664ABE" w:rsidRDefault="00664ABE" w:rsidP="00664ABE">
      <w:pPr>
        <w:pStyle w:val="NormalWeb"/>
      </w:pPr>
      <w:r>
        <w:t>LACTATION: “Plaintiff testified that after she was walked in on while using the captain's room she would occasionally go downstairs and ask to use another officer's room…. Drawing all inferences in Plaintiff's favor, it is reasonable to infer that if Plaintiff had access to a classroom that reasonably accommodated her lactation, she would not have sought out the officer's room and asked the officer to stand outside. In sum, the Court finds a sufficient factual dispute as to the reasonableness of the accommodations…. Cal. Code Regs. tit. 2, § 11035. ‘An employer shall provide an employee with the use of a room or other location for the employee to express milk in private.... A lactation room or location shall not be a bathroom and shall be . . . shielded from view, and free from intrusion while the employee is expressing milk.’ Cal. Lab. Code § 1031(a)-(b).”</w:t>
      </w:r>
    </w:p>
    <w:p w14:paraId="75B89A7E" w14:textId="4013EF68" w:rsidR="00411936" w:rsidRDefault="00664ABE" w:rsidP="00664ABE">
      <w:pPr>
        <w:pStyle w:val="NoSpacing"/>
        <w:rPr>
          <w:rStyle w:val="Hyperlink"/>
          <w:rFonts w:eastAsiaTheme="majorEastAsia"/>
        </w:rPr>
      </w:pPr>
      <w:hyperlink r:id="rId1371" w:history="1">
        <w:r w:rsidRPr="00AD70CC">
          <w:rPr>
            <w:rStyle w:val="Hyperlink"/>
            <w:rFonts w:eastAsiaTheme="majorEastAsia"/>
          </w:rPr>
          <w:t>https://public.fastcase.com/ZZhmr5v9wN%2FXOe5IsQ%2FqDyz5rhb%2FyBrIG8Au%2Ft3V919eqRG814zcJAmxY3jo6zPUS7MBeKfAuG868JSXjuCSoaubFv3fklmg5wPl%2B%2FhuGG8%3D?utm_medium=email&amp;_hsmi=226712652&amp;_hsenc=p2ANqtz-_V_ICNjbd2RZxHYCrc4la9bLeUstsyddFe2y3dzHQoT8LejGxKFn7KSEl6HhmqEbKKnasxkhMyKJsJTXSn_Oay7PK5pg&amp;utm_content=226712652&amp;utm_source=hs_email</w:t>
        </w:r>
      </w:hyperlink>
    </w:p>
    <w:p w14:paraId="1224AAC8" w14:textId="77777777" w:rsidR="00664ABE" w:rsidRPr="00F266A7" w:rsidRDefault="00664ABE" w:rsidP="00664ABE">
      <w:pPr>
        <w:pStyle w:val="NormalWeb"/>
        <w:rPr>
          <w:b/>
          <w:bCs/>
        </w:rPr>
      </w:pPr>
      <w:r w:rsidRPr="00F266A7">
        <w:rPr>
          <w:b/>
          <w:bCs/>
        </w:rPr>
        <w:t xml:space="preserve">Legal Lesson Learned: Inappropriate comments by a supervisor to </w:t>
      </w:r>
      <w:r>
        <w:rPr>
          <w:b/>
          <w:bCs/>
        </w:rPr>
        <w:t>an e</w:t>
      </w:r>
      <w:r w:rsidRPr="00F266A7">
        <w:rPr>
          <w:b/>
          <w:bCs/>
        </w:rPr>
        <w:t xml:space="preserve">mployee, or to the employee’s spouse, can be used as evidence in a harassment case. </w:t>
      </w:r>
      <w:r>
        <w:rPr>
          <w:b/>
          <w:bCs/>
        </w:rPr>
        <w:t xml:space="preserve"> For </w:t>
      </w:r>
      <w:proofErr w:type="gramStart"/>
      <w:r>
        <w:rPr>
          <w:b/>
          <w:bCs/>
        </w:rPr>
        <w:t>lactating</w:t>
      </w:r>
      <w:proofErr w:type="gramEnd"/>
      <w:r>
        <w:rPr>
          <w:b/>
          <w:bCs/>
        </w:rPr>
        <w:t xml:space="preserve"> employees, provide a location with a lock on the door. </w:t>
      </w:r>
    </w:p>
    <w:p w14:paraId="23B8660B" w14:textId="77777777" w:rsidR="00664ABE" w:rsidRPr="0073072D" w:rsidRDefault="00664ABE" w:rsidP="00664ABE">
      <w:pPr>
        <w:pStyle w:val="Heading1"/>
        <w:ind w:left="720"/>
        <w:rPr>
          <w:b w:val="0"/>
          <w:bCs w:val="0"/>
          <w:sz w:val="24"/>
          <w:szCs w:val="24"/>
        </w:rPr>
      </w:pPr>
      <w:r w:rsidRPr="0073072D">
        <w:rPr>
          <w:b w:val="0"/>
          <w:bCs w:val="0"/>
          <w:sz w:val="24"/>
          <w:szCs w:val="24"/>
        </w:rPr>
        <w:t xml:space="preserve">Note: See U.S. Department of Labor - Fact Sheet #73: FLSA Protections for Employees to Pump Breast Milk at Work, </w:t>
      </w:r>
      <w:hyperlink r:id="rId1372" w:history="1">
        <w:r w:rsidRPr="0073072D">
          <w:rPr>
            <w:rStyle w:val="Hyperlink"/>
            <w:b w:val="0"/>
            <w:bCs w:val="0"/>
            <w:sz w:val="24"/>
            <w:szCs w:val="24"/>
          </w:rPr>
          <w:t>https://www.dol.gov/agencies/whd/fact-sheets/73-flsa-break-time-nursing-mothers</w:t>
        </w:r>
      </w:hyperlink>
      <w:r>
        <w:rPr>
          <w:b w:val="0"/>
          <w:bCs w:val="0"/>
          <w:sz w:val="24"/>
          <w:szCs w:val="24"/>
        </w:rPr>
        <w:t xml:space="preserve">. </w:t>
      </w:r>
      <w:r w:rsidRPr="0073072D">
        <w:rPr>
          <w:b w:val="0"/>
          <w:bCs w:val="0"/>
          <w:sz w:val="24"/>
          <w:szCs w:val="24"/>
        </w:rPr>
        <w:t xml:space="preserve">As of December 29, 2022, nearly all FLSA-covered employees have the right to take needed time and to access an appropriate space to express breast milk for a nursing child for up to one year after the child’s birth. </w:t>
      </w:r>
    </w:p>
    <w:p w14:paraId="742F6DFD" w14:textId="77777777" w:rsidR="00664ABE" w:rsidRPr="0073072D" w:rsidRDefault="00664ABE" w:rsidP="00664ABE">
      <w:pPr>
        <w:pStyle w:val="NormalWeb"/>
        <w:ind w:left="720"/>
      </w:pPr>
      <w:r>
        <w:t xml:space="preserve">PUMP FOR NURSING MOTHERS ACT. </w:t>
      </w:r>
      <w:hyperlink r:id="rId1373" w:history="1">
        <w:r w:rsidRPr="00907E23">
          <w:rPr>
            <w:rStyle w:val="Hyperlink"/>
          </w:rPr>
          <w:t>https://www.dol.gov/sites/dolgov/files/WHD/flsa/PUMP-act_hr2617.pdf</w:t>
        </w:r>
      </w:hyperlink>
      <w:r>
        <w:t xml:space="preserve"> </w:t>
      </w:r>
      <w:r w:rsidRPr="0073072D">
        <w:t>‘(a) IN GENERAL .—An employer shall provide—‘‘(1) a reasonable break time for an employee to express</w:t>
      </w:r>
      <w:r>
        <w:t xml:space="preserve"> </w:t>
      </w:r>
      <w:r w:rsidRPr="0073072D">
        <w:t>breast milk for such employee’s nursing child for 1 year after</w:t>
      </w:r>
      <w:r>
        <w:t xml:space="preserve"> </w:t>
      </w:r>
      <w:r w:rsidRPr="0073072D">
        <w:t>the child’s birth each time such employee has need to express</w:t>
      </w:r>
      <w:r>
        <w:t xml:space="preserve"> </w:t>
      </w:r>
      <w:r w:rsidRPr="0073072D">
        <w:t>the milk; and</w:t>
      </w:r>
      <w:r>
        <w:t xml:space="preserve"> </w:t>
      </w:r>
      <w:r w:rsidRPr="0073072D">
        <w:t>‘‘(2) a place, other than a bathroom, that is shielded from</w:t>
      </w:r>
      <w:r>
        <w:t xml:space="preserve"> </w:t>
      </w:r>
      <w:r w:rsidRPr="0073072D">
        <w:t>view and free from intrusion from coworkers and the public,</w:t>
      </w:r>
      <w:r>
        <w:t xml:space="preserve"> </w:t>
      </w:r>
      <w:r w:rsidRPr="0073072D">
        <w:t>which may be used by an employee to express breast milk.</w:t>
      </w:r>
    </w:p>
    <w:p w14:paraId="7C1A25AF" w14:textId="77777777" w:rsidR="00664ABE" w:rsidRDefault="00664ABE" w:rsidP="00664ABE">
      <w:pPr>
        <w:pStyle w:val="NoSpacing"/>
        <w:rPr>
          <w:rFonts w:ascii="Arial Black" w:hAnsi="Arial Black"/>
          <w:sz w:val="24"/>
          <w:szCs w:val="24"/>
        </w:rPr>
      </w:pPr>
    </w:p>
    <w:p w14:paraId="41538E71" w14:textId="6BFAD39F" w:rsidR="00BC4628" w:rsidRDefault="00BC4628" w:rsidP="00F326E5">
      <w:pPr>
        <w:pStyle w:val="NoSpacing"/>
        <w:rPr>
          <w:rFonts w:ascii="Arial Black" w:hAnsi="Arial Black"/>
          <w:sz w:val="24"/>
          <w:szCs w:val="24"/>
        </w:rPr>
      </w:pPr>
      <w:r>
        <w:rPr>
          <w:rFonts w:ascii="Arial Black" w:hAnsi="Arial Black"/>
          <w:sz w:val="24"/>
          <w:szCs w:val="24"/>
        </w:rPr>
        <w:t>7-52</w:t>
      </w:r>
    </w:p>
    <w:p w14:paraId="365DCC1E" w14:textId="77777777" w:rsidR="00BC4628" w:rsidRPr="00913BD5" w:rsidRDefault="00BC4628" w:rsidP="00BC4628">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NY: FF STALKING – FEMALE FF STOPPED DATING HIM – U.S. DEPT. JUSTICE SUES – RETALIATION - CONSENT DECREE </w:t>
      </w:r>
    </w:p>
    <w:p w14:paraId="476C7723" w14:textId="77777777" w:rsidR="00BC4628" w:rsidRDefault="00BC4628" w:rsidP="00BC4628">
      <w:pPr>
        <w:rPr>
          <w:rFonts w:ascii="Times New Roman" w:hAnsi="Times New Roman"/>
          <w:sz w:val="24"/>
          <w:szCs w:val="24"/>
        </w:rPr>
      </w:pPr>
      <w:r>
        <w:rPr>
          <w:rFonts w:ascii="Times New Roman" w:hAnsi="Times New Roman"/>
          <w:sz w:val="24"/>
          <w:szCs w:val="24"/>
        </w:rPr>
        <w:t xml:space="preserve">On June 21, 2023, in </w:t>
      </w:r>
      <w:r w:rsidRPr="002549D5">
        <w:rPr>
          <w:rFonts w:ascii="Times New Roman" w:hAnsi="Times New Roman"/>
          <w:sz w:val="24"/>
          <w:szCs w:val="24"/>
          <w:u w:val="single"/>
        </w:rPr>
        <w:t>United States of America v. Town / Village of Harrison, New York; Fire District Two of Harrison, New York; Harrison Volunteer No. 1 of Harrison, New York</w:t>
      </w:r>
      <w:r>
        <w:rPr>
          <w:rFonts w:ascii="Times New Roman" w:hAnsi="Times New Roman"/>
          <w:sz w:val="24"/>
          <w:szCs w:val="24"/>
        </w:rPr>
        <w:t xml:space="preserve">,  U.S. District Court Judge Cathy Seibel, U.S. District Court for Southern District of New York, published the Consent Decree agreed to by all parties, including $425,000 up front payment, new Town policy, annual training.  Volunteer firefighter </w:t>
      </w:r>
      <w:r w:rsidRPr="002549D5">
        <w:rPr>
          <w:rFonts w:ascii="Times New Roman" w:hAnsi="Times New Roman"/>
          <w:sz w:val="24"/>
          <w:szCs w:val="24"/>
        </w:rPr>
        <w:t>Angela Bommarito</w:t>
      </w:r>
      <w:r>
        <w:rPr>
          <w:rFonts w:ascii="Times New Roman" w:hAnsi="Times New Roman"/>
          <w:sz w:val="24"/>
          <w:szCs w:val="24"/>
        </w:rPr>
        <w:t xml:space="preserve">, complained to FD after ending her dating relationship with </w:t>
      </w:r>
      <w:r w:rsidRPr="002549D5">
        <w:rPr>
          <w:rFonts w:ascii="Times New Roman" w:hAnsi="Times New Roman"/>
          <w:sz w:val="24"/>
          <w:szCs w:val="24"/>
        </w:rPr>
        <w:t>Henry Mohr, a senior firefighter</w:t>
      </w:r>
      <w:r>
        <w:rPr>
          <w:rFonts w:ascii="Times New Roman" w:hAnsi="Times New Roman"/>
          <w:sz w:val="24"/>
          <w:szCs w:val="24"/>
        </w:rPr>
        <w:t xml:space="preserve">.  When FD took no action, she filed a police report.  The Police Chief not only took no </w:t>
      </w:r>
      <w:proofErr w:type="gramStart"/>
      <w:r>
        <w:rPr>
          <w:rFonts w:ascii="Times New Roman" w:hAnsi="Times New Roman"/>
          <w:sz w:val="24"/>
          <w:szCs w:val="24"/>
        </w:rPr>
        <w:t>action, but</w:t>
      </w:r>
      <w:proofErr w:type="gramEnd"/>
      <w:r>
        <w:rPr>
          <w:rFonts w:ascii="Times New Roman" w:hAnsi="Times New Roman"/>
          <w:sz w:val="24"/>
          <w:szCs w:val="24"/>
        </w:rPr>
        <w:t xml:space="preserve"> threatened to charge her with filing a false report and prepared a resignation letter which she signed.  Mr. Mohr continued to stalk her even after her resignation, and was arrested May 3, </w:t>
      </w:r>
      <w:proofErr w:type="gramStart"/>
      <w:r>
        <w:rPr>
          <w:rFonts w:ascii="Times New Roman" w:hAnsi="Times New Roman"/>
          <w:sz w:val="24"/>
          <w:szCs w:val="24"/>
        </w:rPr>
        <w:t>2016</w:t>
      </w:r>
      <w:proofErr w:type="gramEnd"/>
      <w:r>
        <w:rPr>
          <w:rFonts w:ascii="Times New Roman" w:hAnsi="Times New Roman"/>
          <w:sz w:val="24"/>
          <w:szCs w:val="24"/>
        </w:rPr>
        <w:t xml:space="preserve"> and </w:t>
      </w:r>
      <w:proofErr w:type="gramStart"/>
      <w:r>
        <w:rPr>
          <w:rFonts w:ascii="Times New Roman" w:hAnsi="Times New Roman"/>
          <w:sz w:val="24"/>
          <w:szCs w:val="24"/>
        </w:rPr>
        <w:t>in</w:t>
      </w:r>
      <w:proofErr w:type="gramEnd"/>
      <w:r>
        <w:rPr>
          <w:rFonts w:ascii="Times New Roman" w:hAnsi="Times New Roman"/>
          <w:sz w:val="24"/>
          <w:szCs w:val="24"/>
        </w:rPr>
        <w:t xml:space="preserve"> July 19, </w:t>
      </w:r>
      <w:proofErr w:type="gramStart"/>
      <w:r>
        <w:rPr>
          <w:rFonts w:ascii="Times New Roman" w:hAnsi="Times New Roman"/>
          <w:sz w:val="24"/>
          <w:szCs w:val="24"/>
        </w:rPr>
        <w:t>2016</w:t>
      </w:r>
      <w:proofErr w:type="gramEnd"/>
      <w:r>
        <w:rPr>
          <w:rFonts w:ascii="Times New Roman" w:hAnsi="Times New Roman"/>
          <w:sz w:val="24"/>
          <w:szCs w:val="24"/>
        </w:rPr>
        <w:t xml:space="preserve"> pled guilty, with protective order.  </w:t>
      </w:r>
    </w:p>
    <w:p w14:paraId="27234432" w14:textId="77777777" w:rsidR="00BC4628" w:rsidRDefault="00BC4628" w:rsidP="00BC4628">
      <w:pPr>
        <w:rPr>
          <w:rFonts w:ascii="Times New Roman" w:hAnsi="Times New Roman"/>
          <w:sz w:val="24"/>
          <w:szCs w:val="24"/>
        </w:rPr>
      </w:pPr>
      <w:r>
        <w:rPr>
          <w:rFonts w:ascii="Times New Roman" w:hAnsi="Times New Roman"/>
          <w:sz w:val="24"/>
          <w:szCs w:val="24"/>
        </w:rPr>
        <w:t>The Consent Decree details the retaliation by Police Chief:</w:t>
      </w:r>
    </w:p>
    <w:p w14:paraId="0EFBFAC6" w14:textId="77777777" w:rsidR="00BC4628" w:rsidRDefault="00BC4628" w:rsidP="00BC4628">
      <w:pPr>
        <w:ind w:left="720"/>
        <w:rPr>
          <w:rFonts w:ascii="Times New Roman" w:hAnsi="Times New Roman"/>
          <w:sz w:val="24"/>
          <w:szCs w:val="24"/>
        </w:rPr>
      </w:pPr>
      <w:r>
        <w:rPr>
          <w:rFonts w:ascii="Times New Roman" w:hAnsi="Times New Roman"/>
          <w:sz w:val="24"/>
          <w:szCs w:val="24"/>
        </w:rPr>
        <w:t>“</w:t>
      </w:r>
      <w:r w:rsidRPr="00FB79A6">
        <w:rPr>
          <w:rFonts w:ascii="Times New Roman" w:hAnsi="Times New Roman"/>
          <w:sz w:val="24"/>
          <w:szCs w:val="24"/>
        </w:rPr>
        <w:t xml:space="preserve">On January 22, 2016, </w:t>
      </w:r>
      <w:r>
        <w:rPr>
          <w:rFonts w:ascii="Times New Roman" w:hAnsi="Times New Roman"/>
          <w:sz w:val="24"/>
          <w:szCs w:val="24"/>
        </w:rPr>
        <w:t xml:space="preserve">[Harrison Police Chief Anthony] </w:t>
      </w:r>
      <w:r w:rsidRPr="00FB79A6">
        <w:rPr>
          <w:rFonts w:ascii="Times New Roman" w:hAnsi="Times New Roman"/>
          <w:sz w:val="24"/>
          <w:szCs w:val="24"/>
        </w:rPr>
        <w:t>Marraccini met with Bommarito. During their meeting, Marraccini suggested that he could arrest Bommarito for her presentation of what Marraccini claimed was incomplete and false information to the Police Department regarding her relationship with Mohr. Marraccini also noted Bommarito's sexual relationships with other Harrison employees. Marraccini told Bommarito that he had to report this information to the Fire Commissioners unless Bommarito resigned. Marraccini prepared a resignation letter for Bommarito, which stated that she would resign from the Fire Department. Bommarito signed the resignation letter.</w:t>
      </w:r>
      <w:r>
        <w:rPr>
          <w:rFonts w:ascii="Times New Roman" w:hAnsi="Times New Roman"/>
          <w:sz w:val="24"/>
          <w:szCs w:val="24"/>
        </w:rPr>
        <w:t xml:space="preserve">” </w:t>
      </w:r>
      <w:hyperlink r:id="rId1374" w:history="1">
        <w:r w:rsidRPr="00812663">
          <w:rPr>
            <w:rStyle w:val="Hyperlink"/>
            <w:sz w:val="24"/>
            <w:szCs w:val="24"/>
          </w:rPr>
          <w:t>https://casetext.com/case/united-states-v-townvill-of-harrison</w:t>
        </w:r>
      </w:hyperlink>
      <w:r>
        <w:rPr>
          <w:rFonts w:ascii="Times New Roman" w:hAnsi="Times New Roman"/>
          <w:sz w:val="24"/>
          <w:szCs w:val="24"/>
        </w:rPr>
        <w:t xml:space="preserve"> </w:t>
      </w:r>
    </w:p>
    <w:p w14:paraId="73925511" w14:textId="77777777" w:rsidR="00BC4628" w:rsidRPr="00133A61" w:rsidRDefault="00BC4628" w:rsidP="00BC4628">
      <w:pPr>
        <w:spacing w:before="100" w:beforeAutospacing="1" w:after="100" w:afterAutospacing="1" w:line="240" w:lineRule="auto"/>
        <w:rPr>
          <w:rFonts w:ascii="Times New Roman" w:eastAsia="Times New Roman" w:hAnsi="Times New Roman"/>
          <w:b/>
          <w:bCs/>
          <w:sz w:val="24"/>
          <w:szCs w:val="24"/>
        </w:rPr>
      </w:pPr>
      <w:r w:rsidRPr="00133A61">
        <w:rPr>
          <w:rFonts w:ascii="Times New Roman" w:hAnsi="Times New Roman"/>
          <w:b/>
          <w:bCs/>
          <w:sz w:val="24"/>
          <w:szCs w:val="24"/>
        </w:rPr>
        <w:t>Legal Lesson Learned:</w:t>
      </w:r>
      <w:r>
        <w:rPr>
          <w:rFonts w:ascii="Times New Roman" w:hAnsi="Times New Roman"/>
          <w:b/>
          <w:bCs/>
          <w:sz w:val="24"/>
          <w:szCs w:val="24"/>
        </w:rPr>
        <w:t xml:space="preserve"> Complaints </w:t>
      </w:r>
      <w:proofErr w:type="gramStart"/>
      <w:r>
        <w:rPr>
          <w:rFonts w:ascii="Times New Roman" w:hAnsi="Times New Roman"/>
          <w:b/>
          <w:bCs/>
          <w:sz w:val="24"/>
          <w:szCs w:val="24"/>
        </w:rPr>
        <w:t>of</w:t>
      </w:r>
      <w:proofErr w:type="gramEnd"/>
      <w:r>
        <w:rPr>
          <w:rFonts w:ascii="Times New Roman" w:hAnsi="Times New Roman"/>
          <w:b/>
          <w:bCs/>
          <w:sz w:val="24"/>
          <w:szCs w:val="24"/>
        </w:rPr>
        <w:t xml:space="preserve"> stalking must be promptly investigated either by FD or the Police Department. </w:t>
      </w:r>
    </w:p>
    <w:p w14:paraId="591FDC93" w14:textId="4FD6509B" w:rsidR="00BC4628" w:rsidRDefault="00BC4628" w:rsidP="00BC4628">
      <w:pPr>
        <w:pStyle w:val="NoSpacing"/>
        <w:rPr>
          <w:rFonts w:ascii="Arial Black" w:hAnsi="Arial Black"/>
          <w:sz w:val="24"/>
          <w:szCs w:val="24"/>
        </w:rPr>
      </w:pPr>
      <w:r w:rsidRPr="0003518A">
        <w:rPr>
          <w:rFonts w:ascii="Times New Roman" w:eastAsia="Times New Roman" w:hAnsi="Times New Roman"/>
          <w:sz w:val="24"/>
          <w:szCs w:val="24"/>
        </w:rPr>
        <w:t xml:space="preserve">Note: See June 8, </w:t>
      </w:r>
      <w:proofErr w:type="gramStart"/>
      <w:r w:rsidRPr="0003518A">
        <w:rPr>
          <w:rFonts w:ascii="Times New Roman" w:eastAsia="Times New Roman" w:hAnsi="Times New Roman"/>
          <w:sz w:val="24"/>
          <w:szCs w:val="24"/>
        </w:rPr>
        <w:t>2023</w:t>
      </w:r>
      <w:proofErr w:type="gramEnd"/>
      <w:r w:rsidRPr="0003518A">
        <w:rPr>
          <w:rFonts w:ascii="Times New Roman" w:eastAsia="Times New Roman" w:hAnsi="Times New Roman"/>
          <w:sz w:val="24"/>
          <w:szCs w:val="24"/>
        </w:rPr>
        <w:t xml:space="preserve"> U.S. Department of Justice Press Release: </w:t>
      </w:r>
      <w:hyperlink r:id="rId1375" w:history="1">
        <w:r w:rsidRPr="00812663">
          <w:rPr>
            <w:rStyle w:val="Hyperlink"/>
            <w:sz w:val="24"/>
            <w:szCs w:val="24"/>
          </w:rPr>
          <w:t>https://www.justice.gov/usao-sdny/pr/united-states-sues-townvillage-harrison-new-york-and-its-fire-department-discrimination</w:t>
        </w:r>
      </w:hyperlink>
    </w:p>
    <w:p w14:paraId="4EAAF0C8" w14:textId="77777777" w:rsidR="00BC4628" w:rsidRDefault="00BC4628" w:rsidP="00F326E5">
      <w:pPr>
        <w:pStyle w:val="NoSpacing"/>
        <w:rPr>
          <w:rFonts w:ascii="Arial Black" w:hAnsi="Arial Black"/>
          <w:sz w:val="24"/>
          <w:szCs w:val="24"/>
        </w:rPr>
      </w:pPr>
    </w:p>
    <w:p w14:paraId="4D8F73B9" w14:textId="3D8C6928" w:rsidR="00477016" w:rsidRDefault="00477016" w:rsidP="00F326E5">
      <w:pPr>
        <w:pStyle w:val="NoSpacing"/>
        <w:rPr>
          <w:rFonts w:ascii="Arial Black" w:hAnsi="Arial Black"/>
          <w:sz w:val="24"/>
          <w:szCs w:val="24"/>
        </w:rPr>
      </w:pPr>
      <w:r>
        <w:rPr>
          <w:rFonts w:ascii="Arial Black" w:hAnsi="Arial Black"/>
          <w:sz w:val="24"/>
          <w:szCs w:val="24"/>
        </w:rPr>
        <w:t>7-51</w:t>
      </w:r>
    </w:p>
    <w:p w14:paraId="6D9DDA1C" w14:textId="77777777" w:rsidR="00477016" w:rsidRPr="00E836C6" w:rsidRDefault="00477016" w:rsidP="00477016">
      <w:pPr>
        <w:pStyle w:val="NormalWeb"/>
        <w:rPr>
          <w:rFonts w:ascii="Arial Black" w:hAnsi="Arial Black"/>
          <w:sz w:val="28"/>
          <w:szCs w:val="28"/>
        </w:rPr>
      </w:pPr>
      <w:bookmarkStart w:id="280" w:name="_Hlk136859646"/>
      <w:r>
        <w:rPr>
          <w:rFonts w:ascii="Arial Black" w:hAnsi="Arial Black"/>
          <w:sz w:val="28"/>
          <w:szCs w:val="28"/>
        </w:rPr>
        <w:t>NY: “CALENDAR GIRL” – FDNY CALENDAR - CASE PROCEED “DISPARATE TREAMENT” AGAINST HER FEMALE CAPTAIN</w:t>
      </w:r>
    </w:p>
    <w:bookmarkEnd w:id="280"/>
    <w:p w14:paraId="5BC54A73" w14:textId="77777777" w:rsidR="00477016" w:rsidRPr="00477016" w:rsidRDefault="00477016" w:rsidP="00477016">
      <w:pPr>
        <w:pStyle w:val="NormalWeb"/>
      </w:pPr>
      <w:r w:rsidRPr="00477016">
        <w:t xml:space="preserve">On May 15, 2023, in </w:t>
      </w:r>
      <w:r w:rsidRPr="00477016">
        <w:rPr>
          <w:u w:val="single"/>
        </w:rPr>
        <w:t>Margot Loth v. City of New York</w:t>
      </w:r>
      <w:r w:rsidRPr="00477016">
        <w:t xml:space="preserve">, Judge Nicholas W. Moyne, Superior Court, New York County, denied the City’s motion to dismiss the lawsuit (unpublished decision).  In this early stage of litigation, the specific allegations support a claim of disparate treatment by female Captain against females.  The Court described allegations. </w:t>
      </w:r>
    </w:p>
    <w:p w14:paraId="13B3A3C1" w14:textId="3AC5F55F" w:rsidR="00477016" w:rsidRPr="00477016" w:rsidRDefault="00477016" w:rsidP="00477016">
      <w:pPr>
        <w:pStyle w:val="NoSpacing"/>
        <w:ind w:left="720"/>
        <w:rPr>
          <w:rFonts w:ascii="Times New Roman" w:hAnsi="Times New Roman"/>
          <w:sz w:val="24"/>
          <w:szCs w:val="24"/>
        </w:rPr>
      </w:pPr>
      <w:r w:rsidRPr="00477016">
        <w:rPr>
          <w:rFonts w:ascii="Times New Roman" w:hAnsi="Times New Roman"/>
          <w:sz w:val="24"/>
          <w:szCs w:val="24"/>
        </w:rPr>
        <w:t xml:space="preserve">“Plaintiff began working for Defendant as a FDNY Haz-Tac Emergency Medical Technician on February 14, 2011. In July 2018, Plaintiff was featured in the FDNY's 2019 Calendar of Heroes. Thereafter, on multiple occasions, Captain Donna Lynn Hannon Tiberi (‘Tiberi’) allegedly referred to Complainant as a ‘calendar girl’ to other FDNY members in a disparaging manner. In November 2018, Plaintiff agreed to participate as a witness in connection with a gender discrimination complaint filed with the FDNY's Equal Employment Opportunity (‘EEO’) office by female Paramedic Carin Rosado (‘Rosado’) against Tiberi. Both Plaintiff and Rosado claimed that they regularly observed Tiberi subjecting female employees to disparate treatment as compared to similarly situated male employees. ***At this early stage of the litigation, dismissal would be inappropriate as the plaintiff has sufficiently pled claims for gender discrimination pursuant to the SHRL {New York State Human Rights Law] and CHR [New York City Human Rights Law]. </w:t>
      </w:r>
      <w:hyperlink r:id="rId1376" w:history="1">
        <w:r w:rsidRPr="00477016">
          <w:rPr>
            <w:rStyle w:val="Hyperlink"/>
            <w:rFonts w:ascii="Times New Roman" w:eastAsiaTheme="majorEastAsia" w:hAnsi="Times New Roman"/>
            <w:sz w:val="24"/>
            <w:szCs w:val="24"/>
          </w:rPr>
          <w:t>https://public.fastcase.com/ZZhmr5v9wN%2FXOe5IsQ%2FqD5GEiR8JSLFSN2NHQUjL%2BLjuVtwCOTZwj5nD2zQQ%2BwtpHt7pljoilZmodoPEUPL5r9NdmF5u2B1LY%2FXPhwSo6GU%3D?utm_medium=email&amp;_hsmi=226712652&amp;_hsenc=p2ANqtz-8SXYDP1HnWQE4kbMGe0V_9TllXrxMri8_HVcmLnhw39Rwsl622P5fZw6IGKcYm90xDZflJsj-2gnz1pneYjju0n1QAHw&amp;utm_content=226712652&amp;utm_source=hs_email</w:t>
        </w:r>
      </w:hyperlink>
    </w:p>
    <w:p w14:paraId="3E5AE0A8" w14:textId="77777777" w:rsidR="00477016" w:rsidRDefault="00477016" w:rsidP="00477016">
      <w:pPr>
        <w:pStyle w:val="NormalWeb"/>
        <w:rPr>
          <w:b/>
          <w:bCs/>
        </w:rPr>
      </w:pPr>
      <w:r>
        <w:rPr>
          <w:b/>
          <w:bCs/>
        </w:rPr>
        <w:t xml:space="preserve">Legal Lesson Learned: Supervisor’s negative comments such as “Calendar girl” can be basis of disparate treatment litigation. </w:t>
      </w:r>
    </w:p>
    <w:p w14:paraId="1AAD3E72" w14:textId="77777777" w:rsidR="00477016" w:rsidRPr="00477016" w:rsidRDefault="00477016" w:rsidP="00F326E5">
      <w:pPr>
        <w:pStyle w:val="NoSpacing"/>
        <w:rPr>
          <w:rFonts w:ascii="Arial Black" w:hAnsi="Arial Black"/>
          <w:b/>
          <w:bCs/>
          <w:sz w:val="24"/>
          <w:szCs w:val="24"/>
        </w:rPr>
      </w:pPr>
    </w:p>
    <w:p w14:paraId="7DA9F968" w14:textId="77777777" w:rsidR="00477016" w:rsidRDefault="00477016" w:rsidP="00F326E5">
      <w:pPr>
        <w:pStyle w:val="NoSpacing"/>
        <w:rPr>
          <w:rFonts w:ascii="Arial Black" w:hAnsi="Arial Black"/>
          <w:sz w:val="24"/>
          <w:szCs w:val="24"/>
        </w:rPr>
      </w:pPr>
    </w:p>
    <w:p w14:paraId="1DA93E07" w14:textId="03415D6E" w:rsidR="00227BDE" w:rsidRDefault="00227BDE" w:rsidP="00F326E5">
      <w:pPr>
        <w:pStyle w:val="NoSpacing"/>
        <w:rPr>
          <w:rFonts w:ascii="Arial Black" w:hAnsi="Arial Black"/>
          <w:sz w:val="24"/>
          <w:szCs w:val="24"/>
        </w:rPr>
      </w:pPr>
      <w:r>
        <w:rPr>
          <w:rFonts w:ascii="Arial Black" w:hAnsi="Arial Black"/>
          <w:sz w:val="24"/>
          <w:szCs w:val="24"/>
        </w:rPr>
        <w:t>7-50</w:t>
      </w:r>
    </w:p>
    <w:p w14:paraId="27E6132D" w14:textId="77777777" w:rsidR="00227BDE" w:rsidRDefault="00227BDE" w:rsidP="00F326E5">
      <w:pPr>
        <w:pStyle w:val="NoSpacing"/>
        <w:rPr>
          <w:rFonts w:ascii="Arial Black" w:hAnsi="Arial Black"/>
          <w:sz w:val="24"/>
          <w:szCs w:val="24"/>
        </w:rPr>
      </w:pPr>
    </w:p>
    <w:p w14:paraId="26CAF472" w14:textId="77777777" w:rsidR="00227BDE" w:rsidRPr="003D49D7" w:rsidRDefault="00227BDE" w:rsidP="00227BDE">
      <w:pPr>
        <w:pStyle w:val="NoSpacing"/>
        <w:rPr>
          <w:rFonts w:ascii="Arial Black" w:hAnsi="Arial Black"/>
          <w:sz w:val="28"/>
          <w:szCs w:val="28"/>
        </w:rPr>
      </w:pPr>
      <w:r w:rsidRPr="003D49D7">
        <w:rPr>
          <w:rFonts w:ascii="Arial Black" w:hAnsi="Arial Black"/>
          <w:sz w:val="28"/>
          <w:szCs w:val="28"/>
        </w:rPr>
        <w:t xml:space="preserve">OH (4/19/2023): EMT </w:t>
      </w:r>
      <w:r>
        <w:rPr>
          <w:rFonts w:ascii="Arial Black" w:hAnsi="Arial Black"/>
          <w:sz w:val="28"/>
          <w:szCs w:val="28"/>
        </w:rPr>
        <w:t xml:space="preserve">IS </w:t>
      </w:r>
      <w:r w:rsidRPr="003D49D7">
        <w:rPr>
          <w:rFonts w:ascii="Arial Black" w:hAnsi="Arial Black"/>
          <w:sz w:val="28"/>
          <w:szCs w:val="28"/>
        </w:rPr>
        <w:t xml:space="preserve">TRANSGENDER WOMAN – FIRED FOR </w:t>
      </w:r>
      <w:r>
        <w:rPr>
          <w:rFonts w:ascii="Arial Black" w:hAnsi="Arial Black"/>
          <w:sz w:val="28"/>
          <w:szCs w:val="28"/>
        </w:rPr>
        <w:t xml:space="preserve">NEG. </w:t>
      </w:r>
      <w:r w:rsidRPr="003D49D7">
        <w:rPr>
          <w:rFonts w:ascii="Arial Black" w:hAnsi="Arial Black"/>
          <w:sz w:val="28"/>
          <w:szCs w:val="28"/>
        </w:rPr>
        <w:t>COMMENTS HOSPITAL STAFF –</w:t>
      </w:r>
      <w:r>
        <w:rPr>
          <w:rFonts w:ascii="Arial Black" w:hAnsi="Arial Black"/>
          <w:sz w:val="28"/>
          <w:szCs w:val="28"/>
        </w:rPr>
        <w:t xml:space="preserve"> CASE BE </w:t>
      </w:r>
      <w:r w:rsidRPr="003D49D7">
        <w:rPr>
          <w:rFonts w:ascii="Arial Black" w:hAnsi="Arial Black"/>
          <w:sz w:val="28"/>
          <w:szCs w:val="28"/>
        </w:rPr>
        <w:t>DISMISSED</w:t>
      </w:r>
    </w:p>
    <w:p w14:paraId="531073EF" w14:textId="77777777" w:rsidR="00227BDE" w:rsidRDefault="00227BDE" w:rsidP="00227BDE">
      <w:pPr>
        <w:pStyle w:val="NoSpacing"/>
      </w:pPr>
    </w:p>
    <w:p w14:paraId="393C6C58" w14:textId="77777777" w:rsidR="00227BDE" w:rsidRPr="003C1643" w:rsidRDefault="00227BDE" w:rsidP="00227BDE">
      <w:pPr>
        <w:pStyle w:val="NoSpacing"/>
        <w:rPr>
          <w:rFonts w:ascii="Times New Roman" w:hAnsi="Times New Roman"/>
          <w:sz w:val="24"/>
          <w:szCs w:val="24"/>
        </w:rPr>
      </w:pPr>
      <w:r w:rsidRPr="003C1643">
        <w:rPr>
          <w:rFonts w:ascii="Times New Roman" w:hAnsi="Times New Roman"/>
          <w:sz w:val="24"/>
          <w:szCs w:val="24"/>
          <w:u w:val="single"/>
        </w:rPr>
        <w:t>Rayne S. Fedder v. Ohio Medical Transportation, Inc</w:t>
      </w:r>
      <w:r w:rsidRPr="003C1643">
        <w:rPr>
          <w:rFonts w:ascii="Times New Roman" w:hAnsi="Times New Roman"/>
          <w:sz w:val="24"/>
          <w:szCs w:val="24"/>
        </w:rPr>
        <w:t xml:space="preserve">., U. S. Magistrate Judge Chelsey M. </w:t>
      </w:r>
      <w:proofErr w:type="spellStart"/>
      <w:r w:rsidRPr="003C1643">
        <w:rPr>
          <w:rFonts w:ascii="Times New Roman" w:hAnsi="Times New Roman"/>
          <w:sz w:val="24"/>
          <w:szCs w:val="24"/>
        </w:rPr>
        <w:t>Vascura</w:t>
      </w:r>
      <w:proofErr w:type="spellEnd"/>
      <w:r w:rsidRPr="003C1643">
        <w:rPr>
          <w:rFonts w:ascii="Times New Roman" w:hAnsi="Times New Roman"/>
          <w:sz w:val="24"/>
          <w:szCs w:val="24"/>
        </w:rPr>
        <w:t xml:space="preserve">, U.S. District Court for Southern District of Ohio, Eastern Division. </w:t>
      </w:r>
    </w:p>
    <w:p w14:paraId="412D34B6" w14:textId="77777777" w:rsidR="00227BDE" w:rsidRPr="003C1643" w:rsidRDefault="00227BDE" w:rsidP="00227BDE">
      <w:pPr>
        <w:pStyle w:val="NoSpacing"/>
        <w:rPr>
          <w:rFonts w:ascii="Times New Roman" w:hAnsi="Times New Roman"/>
          <w:sz w:val="24"/>
          <w:szCs w:val="24"/>
        </w:rPr>
      </w:pPr>
      <w:hyperlink r:id="rId1377" w:history="1">
        <w:r w:rsidRPr="003C1643">
          <w:rPr>
            <w:rStyle w:val="Hyperlink"/>
            <w:rFonts w:ascii="Times New Roman" w:hAnsi="Times New Roman"/>
            <w:sz w:val="24"/>
            <w:szCs w:val="24"/>
          </w:rPr>
          <w:t>https://public.fastcase.com/ZZhmr5v9wN%2FXOe5IsQ%2FqD%2Bhqb5sNCIqd5RJe%2FxM2hjFRyaJ31hb16ZTOa0HcnlDHTYd64r6bH4XUHVSC8TORCsm2%2BcMn7uR9MfnM7VfyK9g%3D?utm_medium=email&amp;_hsmi=226712652&amp;_hsenc=p2ANqtz-9j81kRsw27tcbjTzGhgoW98dbte_kRv0VGtzskzMbh4aiP0Af373qngGXkbsJh41xl15DsBfvJ97QkgeVHOPx0003AwA&amp;utm_content=226712652&amp;utm_source=hs_email</w:t>
        </w:r>
      </w:hyperlink>
      <w:r w:rsidRPr="003C1643">
        <w:rPr>
          <w:rFonts w:ascii="Times New Roman" w:hAnsi="Times New Roman"/>
          <w:sz w:val="24"/>
          <w:szCs w:val="24"/>
        </w:rPr>
        <w:t xml:space="preserve"> </w:t>
      </w:r>
    </w:p>
    <w:p w14:paraId="7E4BEF92" w14:textId="77777777" w:rsidR="00227BDE" w:rsidRPr="003C1643" w:rsidRDefault="00227BDE" w:rsidP="00227BDE">
      <w:pPr>
        <w:pStyle w:val="NoSpacing"/>
        <w:rPr>
          <w:rFonts w:ascii="Times New Roman" w:hAnsi="Times New Roman"/>
          <w:sz w:val="24"/>
          <w:szCs w:val="24"/>
        </w:rPr>
      </w:pPr>
      <w:r w:rsidRPr="003C1643">
        <w:rPr>
          <w:rFonts w:ascii="Times New Roman" w:hAnsi="Times New Roman"/>
          <w:sz w:val="24"/>
          <w:szCs w:val="24"/>
        </w:rPr>
        <w:t xml:space="preserve"> </w:t>
      </w:r>
    </w:p>
    <w:p w14:paraId="4232C2DA" w14:textId="77777777" w:rsidR="00227BDE" w:rsidRPr="00A5293B" w:rsidRDefault="00227BDE" w:rsidP="00227BDE">
      <w:pPr>
        <w:pStyle w:val="NoSpacing"/>
        <w:rPr>
          <w:b/>
          <w:bCs/>
        </w:rPr>
      </w:pPr>
      <w:r w:rsidRPr="003C1643">
        <w:rPr>
          <w:rFonts w:ascii="Times New Roman" w:hAnsi="Times New Roman"/>
          <w:b/>
          <w:bCs/>
          <w:sz w:val="24"/>
          <w:szCs w:val="24"/>
        </w:rPr>
        <w:t>Legal Lesson Learned: EMS must act professionally, not only with patients but also with hospital staff</w:t>
      </w:r>
      <w:r>
        <w:rPr>
          <w:b/>
          <w:bCs/>
        </w:rPr>
        <w:t xml:space="preserve">. </w:t>
      </w:r>
    </w:p>
    <w:p w14:paraId="0B8274E4" w14:textId="77777777" w:rsidR="00227BDE" w:rsidRDefault="00227BDE" w:rsidP="00F326E5">
      <w:pPr>
        <w:pStyle w:val="NoSpacing"/>
        <w:rPr>
          <w:rFonts w:ascii="Arial Black" w:hAnsi="Arial Black"/>
          <w:sz w:val="24"/>
          <w:szCs w:val="24"/>
        </w:rPr>
      </w:pPr>
    </w:p>
    <w:p w14:paraId="7D24C695" w14:textId="77777777" w:rsidR="00227BDE" w:rsidRDefault="00227BDE" w:rsidP="00F326E5">
      <w:pPr>
        <w:pStyle w:val="NoSpacing"/>
        <w:rPr>
          <w:rFonts w:ascii="Arial Black" w:hAnsi="Arial Black"/>
          <w:sz w:val="24"/>
          <w:szCs w:val="24"/>
        </w:rPr>
      </w:pPr>
    </w:p>
    <w:p w14:paraId="3CFF1B6C" w14:textId="00BD66FE" w:rsidR="00104A4C" w:rsidRDefault="003F788B" w:rsidP="00F326E5">
      <w:pPr>
        <w:pStyle w:val="NoSpacing"/>
        <w:rPr>
          <w:rFonts w:ascii="Arial Black" w:hAnsi="Arial Black"/>
          <w:sz w:val="24"/>
          <w:szCs w:val="24"/>
        </w:rPr>
      </w:pPr>
      <w:r>
        <w:rPr>
          <w:rFonts w:ascii="Arial Black" w:hAnsi="Arial Black"/>
          <w:sz w:val="24"/>
          <w:szCs w:val="24"/>
        </w:rPr>
        <w:t>7-49</w:t>
      </w:r>
    </w:p>
    <w:p w14:paraId="5EA3B7A5" w14:textId="49C91F1D" w:rsidR="003F788B" w:rsidRDefault="003F788B" w:rsidP="00F326E5">
      <w:pPr>
        <w:pStyle w:val="NoSpacing"/>
        <w:rPr>
          <w:rFonts w:ascii="Arial Black" w:hAnsi="Arial Black"/>
          <w:sz w:val="24"/>
          <w:szCs w:val="24"/>
        </w:rPr>
      </w:pPr>
    </w:p>
    <w:p w14:paraId="5FD56BF8" w14:textId="77777777" w:rsidR="003F788B" w:rsidRDefault="003F788B" w:rsidP="003F788B">
      <w:pPr>
        <w:pStyle w:val="NormalWeb"/>
        <w:rPr>
          <w:rFonts w:ascii="Arial Black" w:hAnsi="Arial Black"/>
          <w:b/>
          <w:bCs/>
          <w:sz w:val="28"/>
          <w:szCs w:val="28"/>
        </w:rPr>
      </w:pPr>
      <w:r>
        <w:rPr>
          <w:rFonts w:ascii="Arial Black" w:hAnsi="Arial Black"/>
          <w:b/>
          <w:bCs/>
          <w:sz w:val="28"/>
          <w:szCs w:val="28"/>
        </w:rPr>
        <w:t>PA: CRUDE COMMENTS BY MALE SENIOR EMS TO FEMALE EMT – ONE INCIDENT - NOT “HOSTILE WORKPLACE”</w:t>
      </w:r>
    </w:p>
    <w:p w14:paraId="199BFE36" w14:textId="77777777" w:rsidR="003F788B" w:rsidRDefault="003F788B" w:rsidP="003F788B">
      <w:pPr>
        <w:pStyle w:val="NormalWeb"/>
      </w:pPr>
      <w:r>
        <w:t xml:space="preserve">On March 22, 2023, in </w:t>
      </w:r>
      <w:r>
        <w:rPr>
          <w:u w:val="single"/>
        </w:rPr>
        <w:t>Tracy Szyper v. American Medical Response Mid-Atlantic, Inc., et al</w:t>
      </w:r>
      <w:r>
        <w:t>., the U.S. Court of Appeals for Third Circuit (Philadelphia), held (3 to 0; “</w:t>
      </w:r>
      <w:proofErr w:type="gramStart"/>
      <w:r>
        <w:t>Non Precedential</w:t>
      </w:r>
      <w:proofErr w:type="gramEnd"/>
      <w:r>
        <w:t xml:space="preserve">” decision) upheld the dismissal of the lawsuit by U.S. District Court judge Chad F. Kenney.  The plaintiff had only been on the job for one month, when a senior EMS person made crude remarks to her.  When the company did not fire the employee, she resigned and sued.  </w:t>
      </w:r>
    </w:p>
    <w:p w14:paraId="10740D6D" w14:textId="77777777" w:rsidR="003F788B" w:rsidRDefault="003F788B" w:rsidP="003F788B">
      <w:pPr>
        <w:pStyle w:val="NormalWeb"/>
        <w:ind w:left="720"/>
      </w:pPr>
      <w:r>
        <w:t>The 3</w:t>
      </w:r>
      <w:r>
        <w:rPr>
          <w:vertAlign w:val="superscript"/>
        </w:rPr>
        <w:t>rd</w:t>
      </w:r>
      <w:r>
        <w:t xml:space="preserve"> Circuit held: “District Court granted the Defendants' motions for summary judgment on all claims "because the record evidence, even when viewed in the light most favorable to Plaintiff, does not establish that the alleged harassment was sufficiently 'severe or pervasive' to rise to the level of a Title VII or PHRA violation. *** We agree with the District Court that Szyper did not show that Brock's conduct was sufficiently ‘severe or pervasive’ as to ‘alter the conditions of [her] employment and create an abusive working environment.’ </w:t>
      </w:r>
      <w:r>
        <w:rPr>
          <w:rStyle w:val="Emphasis"/>
        </w:rPr>
        <w:t>Meritor Sav. Bank, FSB</w:t>
      </w:r>
      <w:r>
        <w:t xml:space="preserve">, 477 U.S. at 67 (citation and quotation marks omitted). When assessing hostility or abusiveness, courts must look ‘at all the </w:t>
      </w:r>
      <w:proofErr w:type="gramStart"/>
      <w:r>
        <w:t>circumstances,’</w:t>
      </w:r>
      <w:proofErr w:type="gramEnd"/>
      <w:r>
        <w:t xml:space="preserve"> such as the ‘frequency of </w:t>
      </w:r>
      <w:proofErr w:type="gramStart"/>
      <w:r>
        <w:t>the discriminatory</w:t>
      </w:r>
      <w:proofErr w:type="gramEnd"/>
      <w:r>
        <w:t xml:space="preserve"> conduct; its severity; whether it is physically threatening or humiliating, or a mere offensive utterance; and whether it unreasonably interferes with an employee's work performance.’ </w:t>
      </w:r>
      <w:r>
        <w:rPr>
          <w:rStyle w:val="Emphasis"/>
        </w:rPr>
        <w:t>Faragher v. City of Boca Raton,</w:t>
      </w:r>
      <w:r>
        <w:t xml:space="preserve"> 524 U.S. 775, 787-88 (1998) (citation omitted). ‘[O]</w:t>
      </w:r>
      <w:proofErr w:type="spellStart"/>
      <w:r>
        <w:t>ffhand</w:t>
      </w:r>
      <w:proofErr w:type="spellEnd"/>
      <w:r>
        <w:t xml:space="preserve"> comments[ ] and isolated incidents (unless extremely serious) will not amount to discriminatory changes in the 'terms and conditions of employment.'’ </w:t>
      </w:r>
      <w:r>
        <w:rPr>
          <w:rStyle w:val="Emphasis"/>
        </w:rPr>
        <w:t>Id.</w:t>
      </w:r>
      <w:r>
        <w:t xml:space="preserve"> at 788.” </w:t>
      </w:r>
      <w:hyperlink r:id="rId1378" w:history="1">
        <w:r>
          <w:rPr>
            <w:rStyle w:val="Hyperlink"/>
          </w:rPr>
          <w:t>https://www2.ca3.uscourts.gov/opinarch/213272np.pdf</w:t>
        </w:r>
      </w:hyperlink>
      <w:r>
        <w:t xml:space="preserve"> </w:t>
      </w:r>
    </w:p>
    <w:p w14:paraId="4F33BDBA" w14:textId="77777777" w:rsidR="003F788B" w:rsidRDefault="003F788B" w:rsidP="003F788B">
      <w:pPr>
        <w:pStyle w:val="NormalWeb"/>
        <w:ind w:left="720" w:firstLine="60"/>
      </w:pPr>
      <w:r>
        <w:t>“AMR hired Szyper to work as an emergency medical technician…. About a month after Szyper started, [Mr.] Leslie Brock, a more senior employee, grabbed Szyper's wrist and made two crude and offensive sexual comments.</w:t>
      </w:r>
      <w:r>
        <w:rPr>
          <w:vertAlign w:val="superscript"/>
        </w:rPr>
        <w:t xml:space="preserve">  1 </w:t>
      </w:r>
      <w:r>
        <w:t xml:space="preserve"> </w:t>
      </w:r>
    </w:p>
    <w:p w14:paraId="0F026C14" w14:textId="77777777" w:rsidR="003F788B" w:rsidRDefault="003F788B" w:rsidP="003F788B">
      <w:pPr>
        <w:pStyle w:val="NormalWeb"/>
        <w:ind w:left="1440"/>
      </w:pPr>
      <w:r>
        <w:t xml:space="preserve">[Footnote 1] Szyper documented the incident in a report recounting that ‘Brock had told me to cover my ears. I looked at him &amp; said </w:t>
      </w:r>
      <w:proofErr w:type="gramStart"/>
      <w:r>
        <w:t>jokingly</w:t>
      </w:r>
      <w:proofErr w:type="gramEnd"/>
      <w:r>
        <w:t xml:space="preserve"> 'I'm not listening to you anyway.' He asked me again to cover my ears. I cupped my hands over my ears but could still hear what was said. Brock said to [two other employees], 'that made my dick hard.' I </w:t>
      </w:r>
      <w:proofErr w:type="spellStart"/>
      <w:r>
        <w:t>uncupped</w:t>
      </w:r>
      <w:proofErr w:type="spellEnd"/>
      <w:r>
        <w:t xml:space="preserve"> my hands and told him I heard what he said. Brock then proceeded to grab me </w:t>
      </w:r>
      <w:proofErr w:type="gramStart"/>
      <w:r>
        <w:t>by</w:t>
      </w:r>
      <w:proofErr w:type="gramEnd"/>
      <w:r>
        <w:t xml:space="preserve"> my wrist and say something along the lines of 'Help me fix my problem.' I told him to 'get the fuck off me.' I proceeded to put my cigarette out and go back inside. This incident made me feel extremely uncomfortable." </w:t>
      </w:r>
    </w:p>
    <w:p w14:paraId="6AF8F722" w14:textId="77777777" w:rsidR="003F788B" w:rsidRDefault="003F788B" w:rsidP="003F788B">
      <w:pPr>
        <w:pStyle w:val="NormalWeb"/>
        <w:ind w:left="720"/>
      </w:pPr>
      <w:r>
        <w:t xml:space="preserve">Szyper filed a complaint and was interviewed by Daniel Brown, AMR's operations manager in charge of AMR's Essington Avenue location, and </w:t>
      </w:r>
      <w:proofErr w:type="spellStart"/>
      <w:r>
        <w:t>Sonsaraye</w:t>
      </w:r>
      <w:proofErr w:type="spellEnd"/>
      <w:r>
        <w:t xml:space="preserve"> Byers, an AMR human resources generalist…. Szyper alleged no other incidents of harassment by Brock or any other AMR employees. Byers recommended Brock's termination…. Brown preferred sanctions short of firing, a conclusion shared by Edward Powers, the AMR regional director responsible for Brock's discipline…. AMR issued Brock a ‘Final Written Warning’ for inappropriate behavior, punishment just short of termination…. Szyper resigned from AMR as a result, stating she could not continue working with Brock.’”</w:t>
      </w:r>
    </w:p>
    <w:p w14:paraId="6C2DB235" w14:textId="77777777" w:rsidR="003F788B" w:rsidRDefault="003F788B" w:rsidP="003F788B">
      <w:pPr>
        <w:pStyle w:val="NormalWeb"/>
        <w:rPr>
          <w:b/>
          <w:bCs/>
        </w:rPr>
      </w:pPr>
      <w:r>
        <w:rPr>
          <w:b/>
          <w:bCs/>
        </w:rPr>
        <w:t>Legal Lesson Learned: Inappropriate comments, worthy of discipline; but hard to understand how this resulted in a lawsuit and an appeal to 3</w:t>
      </w:r>
      <w:r>
        <w:rPr>
          <w:b/>
          <w:bCs/>
          <w:vertAlign w:val="superscript"/>
        </w:rPr>
        <w:t>rd</w:t>
      </w:r>
      <w:r>
        <w:rPr>
          <w:b/>
          <w:bCs/>
        </w:rPr>
        <w:t xml:space="preserve"> Circuit. </w:t>
      </w:r>
    </w:p>
    <w:p w14:paraId="43BB8423" w14:textId="77777777" w:rsidR="003F788B" w:rsidRDefault="003F788B" w:rsidP="00F326E5">
      <w:pPr>
        <w:pStyle w:val="NoSpacing"/>
        <w:rPr>
          <w:rFonts w:ascii="Arial Black" w:hAnsi="Arial Black"/>
          <w:sz w:val="24"/>
          <w:szCs w:val="24"/>
        </w:rPr>
      </w:pPr>
    </w:p>
    <w:p w14:paraId="5725F227" w14:textId="77777777" w:rsidR="003F788B" w:rsidRDefault="003F788B" w:rsidP="00F326E5">
      <w:pPr>
        <w:pStyle w:val="NoSpacing"/>
        <w:rPr>
          <w:rFonts w:ascii="Arial Black" w:hAnsi="Arial Black"/>
          <w:sz w:val="24"/>
          <w:szCs w:val="24"/>
        </w:rPr>
      </w:pPr>
    </w:p>
    <w:p w14:paraId="364E43AD" w14:textId="77777777" w:rsidR="003F788B" w:rsidRDefault="003F788B" w:rsidP="00F326E5">
      <w:pPr>
        <w:pStyle w:val="NoSpacing"/>
        <w:rPr>
          <w:rFonts w:ascii="Arial Black" w:hAnsi="Arial Black"/>
          <w:sz w:val="24"/>
          <w:szCs w:val="24"/>
        </w:rPr>
      </w:pPr>
    </w:p>
    <w:p w14:paraId="2380AA56" w14:textId="65C79FE7" w:rsidR="00104A4C" w:rsidRDefault="00104A4C" w:rsidP="00F326E5">
      <w:pPr>
        <w:pStyle w:val="NoSpacing"/>
        <w:rPr>
          <w:rFonts w:ascii="Arial Black" w:hAnsi="Arial Black"/>
          <w:sz w:val="24"/>
          <w:szCs w:val="24"/>
        </w:rPr>
      </w:pPr>
      <w:r>
        <w:rPr>
          <w:rFonts w:ascii="Arial Black" w:hAnsi="Arial Black"/>
          <w:sz w:val="24"/>
          <w:szCs w:val="24"/>
        </w:rPr>
        <w:t>7-48</w:t>
      </w:r>
    </w:p>
    <w:p w14:paraId="2485684A" w14:textId="77777777" w:rsidR="00104A4C" w:rsidRPr="00DF5D1F" w:rsidRDefault="00104A4C" w:rsidP="00104A4C">
      <w:pPr>
        <w:pStyle w:val="Heading1"/>
        <w:rPr>
          <w:rFonts w:ascii="Arial Black" w:hAnsi="Arial Black"/>
          <w:sz w:val="28"/>
          <w:szCs w:val="28"/>
        </w:rPr>
      </w:pPr>
      <w:r>
        <w:rPr>
          <w:rFonts w:ascii="Arial Black" w:hAnsi="Arial Black"/>
          <w:sz w:val="28"/>
          <w:szCs w:val="28"/>
        </w:rPr>
        <w:t xml:space="preserve">DOL: NURSING MOTHERS – FEDERAL “PUMP ACT” – REQUIRES EMPLOYER PROVIDE PRIVATE PLACE TO PUMP </w:t>
      </w:r>
    </w:p>
    <w:p w14:paraId="2CFEA864" w14:textId="77777777" w:rsidR="00104A4C" w:rsidRPr="00DF5D1F" w:rsidRDefault="00104A4C" w:rsidP="00104A4C">
      <w:pPr>
        <w:pStyle w:val="Heading1"/>
        <w:rPr>
          <w:sz w:val="24"/>
          <w:szCs w:val="24"/>
        </w:rPr>
      </w:pPr>
      <w:r>
        <w:rPr>
          <w:b w:val="0"/>
          <w:bCs w:val="0"/>
          <w:sz w:val="24"/>
          <w:szCs w:val="24"/>
        </w:rPr>
        <w:t xml:space="preserve">The U.S. Department of Labor, Wage &amp; Hour Division, has published guidance that Fire &amp; EMS department may find helpful.  All </w:t>
      </w:r>
      <w:proofErr w:type="gramStart"/>
      <w:r>
        <w:rPr>
          <w:b w:val="0"/>
          <w:bCs w:val="0"/>
          <w:sz w:val="24"/>
          <w:szCs w:val="24"/>
        </w:rPr>
        <w:t>employers</w:t>
      </w:r>
      <w:proofErr w:type="gramEnd"/>
      <w:r>
        <w:rPr>
          <w:b w:val="0"/>
          <w:bCs w:val="0"/>
          <w:sz w:val="24"/>
          <w:szCs w:val="24"/>
        </w:rPr>
        <w:t xml:space="preserve"> covered by Fair Labor Standards Act, including Fire &amp; EMS departments, must comply with the new law.  </w:t>
      </w:r>
      <w:r w:rsidRPr="00DF5D1F">
        <w:rPr>
          <w:b w:val="0"/>
          <w:bCs w:val="0"/>
          <w:sz w:val="24"/>
          <w:szCs w:val="24"/>
        </w:rPr>
        <w:t xml:space="preserve">“Frequently Asked Questions – Break Time for Nursing Mothers.” </w:t>
      </w:r>
      <w:hyperlink r:id="rId1379" w:history="1">
        <w:r w:rsidRPr="00DF5D1F">
          <w:rPr>
            <w:rStyle w:val="Hyperlink"/>
            <w:rFonts w:eastAsiaTheme="majorEastAsia"/>
            <w:b w:val="0"/>
            <w:bCs w:val="0"/>
            <w:sz w:val="24"/>
            <w:szCs w:val="24"/>
          </w:rPr>
          <w:t>https://www.dol.gov/agencies/whd/nursing-mothers/faq</w:t>
        </w:r>
      </w:hyperlink>
      <w:r>
        <w:rPr>
          <w:sz w:val="24"/>
          <w:szCs w:val="24"/>
        </w:rPr>
        <w:t xml:space="preserve"> </w:t>
      </w:r>
    </w:p>
    <w:p w14:paraId="408EBF12" w14:textId="77777777" w:rsidR="00104A4C" w:rsidRDefault="00104A4C" w:rsidP="00104A4C">
      <w:pPr>
        <w:pStyle w:val="Heading1"/>
        <w:ind w:left="720"/>
        <w:rPr>
          <w:b w:val="0"/>
          <w:bCs w:val="0"/>
          <w:sz w:val="24"/>
          <w:szCs w:val="24"/>
        </w:rPr>
      </w:pPr>
      <w:r>
        <w:rPr>
          <w:b w:val="0"/>
          <w:bCs w:val="0"/>
          <w:sz w:val="24"/>
          <w:szCs w:val="24"/>
        </w:rPr>
        <w:t>“</w:t>
      </w:r>
      <w:r w:rsidRPr="00C83B69">
        <w:rPr>
          <w:b w:val="0"/>
          <w:bCs w:val="0"/>
          <w:sz w:val="24"/>
          <w:szCs w:val="24"/>
        </w:rPr>
        <w:t>On December 29, 2022, President Biden signed the Consolidated Appropriations Act, 2023, into law. The law includes the PUMP for Nursing Mothers Act (“PUMP Act”), which extends to more nursing employees the rights to receive break time to pump and a private place to pump at work and may impact some of the other information provided below. Under the PUMP Act, most nursing employees have the right to reasonable break time and a place, other than a bathroom, that is shielded from view to express breast milk while at work. This right is available for up to one year after the child’s birth.</w:t>
      </w:r>
    </w:p>
    <w:p w14:paraId="3F44FEF7" w14:textId="77777777" w:rsidR="00104A4C" w:rsidRDefault="00104A4C" w:rsidP="00104A4C">
      <w:pPr>
        <w:pStyle w:val="Heading1"/>
        <w:ind w:left="720"/>
        <w:rPr>
          <w:b w:val="0"/>
          <w:bCs w:val="0"/>
          <w:sz w:val="24"/>
          <w:szCs w:val="24"/>
        </w:rPr>
      </w:pPr>
      <w:r>
        <w:rPr>
          <w:b w:val="0"/>
          <w:bCs w:val="0"/>
          <w:sz w:val="24"/>
          <w:szCs w:val="24"/>
        </w:rPr>
        <w:t>***</w:t>
      </w:r>
    </w:p>
    <w:p w14:paraId="54F61302" w14:textId="77777777" w:rsidR="00104A4C" w:rsidRPr="00CA5605" w:rsidRDefault="00104A4C" w:rsidP="00104A4C">
      <w:pPr>
        <w:pStyle w:val="Heading3"/>
        <w:ind w:left="720"/>
        <w:rPr>
          <w:rFonts w:ascii="Times New Roman" w:hAnsi="Times New Roman" w:cs="Times New Roman"/>
          <w:color w:val="auto"/>
        </w:rPr>
      </w:pPr>
      <w:r w:rsidRPr="00CA5605">
        <w:rPr>
          <w:rFonts w:ascii="Times New Roman" w:hAnsi="Times New Roman" w:cs="Times New Roman"/>
          <w:color w:val="auto"/>
        </w:rPr>
        <w:t>What must an employer provide to workers who need to express breast milk in the workplace?</w:t>
      </w:r>
    </w:p>
    <w:p w14:paraId="7F44264A" w14:textId="77777777" w:rsidR="00104A4C" w:rsidRDefault="00104A4C" w:rsidP="00104A4C">
      <w:pPr>
        <w:pStyle w:val="NormalWeb"/>
        <w:ind w:left="720"/>
      </w:pPr>
      <w:r>
        <w:t>Employers are required to provide a reasonable amount of break time and a space to express milk as frequently as needed by the nursing mother, for up to one year following the birth of the employee’s child. The frequency of breaks needed to express breast milk as well as the duration of each break will likely vary. The space provided by the employer cannot be a bathroom and it must be shielded from view and free from intrusion by coworkers or the public.</w:t>
      </w:r>
    </w:p>
    <w:p w14:paraId="747DDAAB" w14:textId="77777777" w:rsidR="00104A4C" w:rsidRDefault="00104A4C" w:rsidP="00104A4C">
      <w:pPr>
        <w:pStyle w:val="NormalWeb"/>
        <w:ind w:left="720"/>
      </w:pPr>
      <w:r>
        <w:t>***</w:t>
      </w:r>
    </w:p>
    <w:p w14:paraId="1B3AC0A5" w14:textId="77777777" w:rsidR="00104A4C" w:rsidRPr="00CA5605" w:rsidRDefault="00104A4C" w:rsidP="00104A4C">
      <w:pPr>
        <w:pStyle w:val="Heading3"/>
        <w:ind w:left="720"/>
        <w:rPr>
          <w:rFonts w:ascii="Times New Roman" w:hAnsi="Times New Roman" w:cs="Times New Roman"/>
          <w:color w:val="auto"/>
        </w:rPr>
      </w:pPr>
      <w:r w:rsidRPr="00CA5605">
        <w:rPr>
          <w:rFonts w:ascii="Times New Roman" w:hAnsi="Times New Roman" w:cs="Times New Roman"/>
          <w:color w:val="auto"/>
        </w:rPr>
        <w:t>Do employers need to create a permanent, dedicated space for use by nursing mother employees?</w:t>
      </w:r>
    </w:p>
    <w:p w14:paraId="37FD2A6C" w14:textId="77777777" w:rsidR="00104A4C" w:rsidRDefault="00104A4C" w:rsidP="00104A4C">
      <w:pPr>
        <w:pStyle w:val="NormalWeb"/>
        <w:ind w:left="720"/>
      </w:pPr>
      <w:r>
        <w:t xml:space="preserve">No. A space temporarily created or converted into a space for expressing milk or made available when needed by the nursing mother is sufficient provided that the space is shielded from view, and free from any intrusion from co-workers and the public. The location provided must be functional as a space for expressing breast milk. If the space is not dedicated to </w:t>
      </w:r>
      <w:proofErr w:type="gramStart"/>
      <w:r>
        <w:t>the nursing</w:t>
      </w:r>
      <w:proofErr w:type="gramEnd"/>
      <w:r>
        <w:t xml:space="preserve"> mothers’ use, it must be available when needed </w:t>
      </w:r>
      <w:proofErr w:type="gramStart"/>
      <w:r>
        <w:t>in order to</w:t>
      </w:r>
      <w:proofErr w:type="gramEnd"/>
      <w:r>
        <w:t xml:space="preserve"> meet the statutory requirement. Of course, employers may choose to create permanent, dedicated space if they determine that is the best way to meet their obligations under the law.”</w:t>
      </w:r>
    </w:p>
    <w:p w14:paraId="065138B8" w14:textId="77777777" w:rsidR="00104A4C" w:rsidRPr="00CA5605" w:rsidRDefault="00104A4C" w:rsidP="00104A4C">
      <w:pPr>
        <w:pStyle w:val="NormalWeb"/>
        <w:rPr>
          <w:b/>
          <w:bCs/>
        </w:rPr>
      </w:pPr>
      <w:r w:rsidRPr="00CA5605">
        <w:rPr>
          <w:b/>
          <w:bCs/>
        </w:rPr>
        <w:t>Legal Lesson Learned:</w:t>
      </w:r>
      <w:r>
        <w:rPr>
          <w:b/>
          <w:bCs/>
        </w:rPr>
        <w:t xml:space="preserve"> Fire &amp; EMS departments must comply with this new federal law if they have nursing mothers. </w:t>
      </w:r>
    </w:p>
    <w:p w14:paraId="2691054F" w14:textId="77777777" w:rsidR="00104A4C" w:rsidRDefault="00104A4C" w:rsidP="00F326E5">
      <w:pPr>
        <w:pStyle w:val="NoSpacing"/>
        <w:rPr>
          <w:rFonts w:ascii="Arial Black" w:hAnsi="Arial Black"/>
          <w:sz w:val="24"/>
          <w:szCs w:val="24"/>
        </w:rPr>
      </w:pPr>
    </w:p>
    <w:p w14:paraId="75BD7FCD" w14:textId="77777777" w:rsidR="00104A4C" w:rsidRDefault="00104A4C" w:rsidP="00F326E5">
      <w:pPr>
        <w:pStyle w:val="NoSpacing"/>
        <w:rPr>
          <w:rFonts w:ascii="Arial Black" w:hAnsi="Arial Black"/>
          <w:sz w:val="24"/>
          <w:szCs w:val="24"/>
        </w:rPr>
      </w:pPr>
    </w:p>
    <w:p w14:paraId="0B227DBC" w14:textId="1A13695B" w:rsidR="00BA3CDE" w:rsidRDefault="00BA3CDE" w:rsidP="00F326E5">
      <w:pPr>
        <w:pStyle w:val="NoSpacing"/>
        <w:rPr>
          <w:rFonts w:ascii="Arial Black" w:hAnsi="Arial Black"/>
          <w:sz w:val="24"/>
          <w:szCs w:val="24"/>
        </w:rPr>
      </w:pPr>
      <w:r>
        <w:rPr>
          <w:rFonts w:ascii="Arial Black" w:hAnsi="Arial Black"/>
          <w:sz w:val="24"/>
          <w:szCs w:val="24"/>
        </w:rPr>
        <w:t>7-47</w:t>
      </w:r>
    </w:p>
    <w:p w14:paraId="410E1011" w14:textId="77777777" w:rsidR="00BA3CDE" w:rsidRPr="00EB0580" w:rsidRDefault="00BA3CDE" w:rsidP="00BA3CDE">
      <w:pPr>
        <w:rPr>
          <w:rFonts w:ascii="Arial Black" w:hAnsi="Arial Black"/>
          <w:sz w:val="28"/>
          <w:szCs w:val="28"/>
        </w:rPr>
      </w:pPr>
      <w:r>
        <w:rPr>
          <w:rFonts w:ascii="Arial Black" w:hAnsi="Arial Black"/>
          <w:sz w:val="28"/>
          <w:szCs w:val="28"/>
        </w:rPr>
        <w:t>NB: MEDIC 90 DAYS IN JAIL - PRECEPTOR KISSED STUDENT RIDE-ALONG 3 RUNS – WARNED HER NOT TELL - $1000 FINE</w:t>
      </w:r>
    </w:p>
    <w:p w14:paraId="538B3364" w14:textId="77777777" w:rsidR="00BA3CDE" w:rsidRDefault="00BA3CDE" w:rsidP="00BA3CDE">
      <w:pPr>
        <w:pStyle w:val="NormalWeb"/>
      </w:pPr>
      <w:r>
        <w:t xml:space="preserve">On Dec. 20, 2022, in </w:t>
      </w:r>
      <w:r w:rsidRPr="00FA60DB">
        <w:rPr>
          <w:u w:val="single"/>
        </w:rPr>
        <w:t>State of Nebraska v. Monty Betancur</w:t>
      </w:r>
      <w:r>
        <w:t xml:space="preserve">, the Court of Appeals of Nebraska, held (3 to 0; unpublished decision) affirmed the convictions by a jury of for two counts of </w:t>
      </w:r>
      <w:proofErr w:type="gramStart"/>
      <w:r>
        <w:t>third degree</w:t>
      </w:r>
      <w:proofErr w:type="gramEnd"/>
      <w:r>
        <w:t xml:space="preserve"> sexual assault, one count of </w:t>
      </w:r>
      <w:proofErr w:type="gramStart"/>
      <w:r>
        <w:t>first degree</w:t>
      </w:r>
      <w:proofErr w:type="gramEnd"/>
      <w:r>
        <w:t xml:space="preserve"> false imprisonment, and one count of tampering. On Oct. 11, 2020, </w:t>
      </w:r>
      <w:r>
        <w:rPr>
          <w:rStyle w:val="markedcontent"/>
        </w:rPr>
        <w:t xml:space="preserve">22-year-old Ashley M. _____an EMT (and volunteer FF for 3 years), enrolled in paramedic program at </w:t>
      </w:r>
      <w:r>
        <w:t xml:space="preserve">Western Nebraska Community College, did a ride-along shift from 7 am – 7 pm at Valley Ambulance.   </w:t>
      </w:r>
      <w:proofErr w:type="spellStart"/>
      <w:r>
        <w:t>Betanbcur</w:t>
      </w:r>
      <w:proofErr w:type="spellEnd"/>
      <w:r>
        <w:t xml:space="preserve"> was a preceptor for the paramedic program. The Court described the three runs where he kissed her without consent.</w:t>
      </w:r>
    </w:p>
    <w:p w14:paraId="1E3F6DA7" w14:textId="77777777" w:rsidR="00BA3CDE" w:rsidRDefault="00BA3CDE" w:rsidP="00BA3CDE">
      <w:pPr>
        <w:pStyle w:val="NormalWeb"/>
      </w:pPr>
      <w:r>
        <w:t xml:space="preserve">Run No. 1: </w:t>
      </w:r>
    </w:p>
    <w:p w14:paraId="025E6FD8" w14:textId="77777777" w:rsidR="00BA3CDE" w:rsidRDefault="00BA3CDE" w:rsidP="00BA3CDE">
      <w:pPr>
        <w:pStyle w:val="NormalWeb"/>
      </w:pPr>
      <w:r>
        <w:t xml:space="preserve">“After unloading the patient at the hospital, [EMT Taylor] Severyn reported to the ER nurses while Ashley and Betancur walked back to the ambulance bay to clean the ambulance. Ashley </w:t>
      </w:r>
      <w:proofErr w:type="gramStart"/>
      <w:r>
        <w:t>stated, ‘[</w:t>
      </w:r>
      <w:proofErr w:type="gramEnd"/>
      <w:r>
        <w:t xml:space="preserve">Betancur] pulled me to the backside of the ambulance and kind of [grabbed my arm and] pulled me into him, and then through our facemasks, kissed me on the </w:t>
      </w:r>
      <w:proofErr w:type="gramStart"/>
      <w:r>
        <w:t>lips.’”</w:t>
      </w:r>
      <w:proofErr w:type="gramEnd"/>
    </w:p>
    <w:p w14:paraId="7BF57294" w14:textId="77777777" w:rsidR="00BA3CDE" w:rsidRDefault="00BA3CDE" w:rsidP="00BA3CDE">
      <w:pPr>
        <w:pStyle w:val="NormalWeb"/>
      </w:pPr>
      <w:r>
        <w:t>Run No. 2:</w:t>
      </w:r>
    </w:p>
    <w:p w14:paraId="1239920E" w14:textId="77777777" w:rsidR="00BA3CDE" w:rsidRDefault="00BA3CDE" w:rsidP="00BA3CDE">
      <w:pPr>
        <w:pStyle w:val="NormalWeb"/>
      </w:pPr>
      <w:r>
        <w:t>“According to Ashley, when the signal for the second call went off later that morning, the crew was working on stretcher lifting techniques in the ambulance bay at the station. Ashley testified that Severyn went inside the living quarters ‘and at that time [Betancur] came back over to me and [grabbed my arm and] pulled me back in towards him and kissed me for the second time’ while both were wearing masks.”</w:t>
      </w:r>
    </w:p>
    <w:p w14:paraId="45A4D80F" w14:textId="77777777" w:rsidR="00BA3CDE" w:rsidRDefault="00BA3CDE" w:rsidP="00BA3CDE">
      <w:pPr>
        <w:pStyle w:val="NormalWeb"/>
      </w:pPr>
      <w:r>
        <w:t>Run No. 3:</w:t>
      </w:r>
    </w:p>
    <w:p w14:paraId="6001A165" w14:textId="77777777" w:rsidR="00BA3CDE" w:rsidRDefault="00BA3CDE" w:rsidP="00BA3CDE">
      <w:pPr>
        <w:pStyle w:val="NormalWeb"/>
      </w:pPr>
      <w:r>
        <w:t>“Ashley said she was inserting an IV into the patient's wrist and had the patient's wrist ‘on my right leg and was kind of stabilizing it to insert the IV,’ and ‘[Betancur] had one of his hands helping me stabilize it and the other hand was squeezing the inside of my left thigh the whole time.’</w:t>
      </w:r>
    </w:p>
    <w:p w14:paraId="399999C0" w14:textId="77777777" w:rsidR="00BA3CDE" w:rsidRDefault="00BA3CDE" w:rsidP="00BA3CDE">
      <w:pPr>
        <w:pStyle w:val="NormalWeb"/>
      </w:pPr>
      <w:r>
        <w:t>***</w:t>
      </w:r>
    </w:p>
    <w:p w14:paraId="54AC3078" w14:textId="77777777" w:rsidR="00BA3CDE" w:rsidRDefault="00BA3CDE" w:rsidP="00BA3CDE">
      <w:pPr>
        <w:pStyle w:val="NormalWeb"/>
      </w:pPr>
      <w:r>
        <w:t xml:space="preserve">Ashley stated that when the crew arrived back </w:t>
      </w:r>
      <w:proofErr w:type="gramStart"/>
      <w:r>
        <w:t>to</w:t>
      </w:r>
      <w:proofErr w:type="gramEnd"/>
      <w:r>
        <w:t xml:space="preserve"> the Valley Ambulance station, they got out of the ambulance. She </w:t>
      </w:r>
      <w:proofErr w:type="gramStart"/>
      <w:r>
        <w:t>said, ‘</w:t>
      </w:r>
      <w:proofErr w:type="gramEnd"/>
      <w:r>
        <w:t xml:space="preserve">as I got out of the side door, [Betancur] got </w:t>
      </w:r>
      <w:proofErr w:type="gramStart"/>
      <w:r>
        <w:t>of</w:t>
      </w:r>
      <w:proofErr w:type="gramEnd"/>
      <w:r>
        <w:t xml:space="preserve"> [sic] the passenger door and he, again, pulled me to him and kissed me for the third time’; both were still wearing masks. Neither one of them said anything, but Ashley pulled her body back away from him.”</w:t>
      </w:r>
    </w:p>
    <w:p w14:paraId="6CCC3DA3" w14:textId="77777777" w:rsidR="00BA3CDE" w:rsidRDefault="00BA3CDE" w:rsidP="00BA3CDE">
      <w:pPr>
        <w:pStyle w:val="NormalWeb"/>
      </w:pPr>
      <w:r>
        <w:t>End Of Shift Threat / Facebook Messenger</w:t>
      </w:r>
    </w:p>
    <w:p w14:paraId="72659271" w14:textId="77777777" w:rsidR="00BA3CDE" w:rsidRDefault="00BA3CDE" w:rsidP="00BA3CDE">
      <w:pPr>
        <w:pStyle w:val="NormalWeb"/>
      </w:pPr>
      <w:r>
        <w:t xml:space="preserve">“[At end of her shift at 7 pm] as Ashley was getting ready to leave Betancur said, ’If you say anything, I will make your life hell.’” </w:t>
      </w:r>
    </w:p>
    <w:p w14:paraId="3DAFFF8C" w14:textId="77777777" w:rsidR="00BA3CDE" w:rsidRDefault="00BA3CDE" w:rsidP="00BA3CDE">
      <w:pPr>
        <w:pStyle w:val="NormalWeb"/>
      </w:pPr>
      <w:r>
        <w:t>***</w:t>
      </w:r>
    </w:p>
    <w:p w14:paraId="23EB7980" w14:textId="77777777" w:rsidR="00BA3CDE" w:rsidRDefault="00BA3CDE" w:rsidP="00BA3CDE">
      <w:pPr>
        <w:pStyle w:val="NormalWeb"/>
        <w:rPr>
          <w:rStyle w:val="markedcontent"/>
        </w:rPr>
      </w:pPr>
      <w:r w:rsidRPr="009973A1">
        <w:rPr>
          <w:rStyle w:val="markedcontent"/>
        </w:rPr>
        <w:t>At 9:42 p.m. on October 11, 2020, Betancur reached out to Ashley via Facebook</w:t>
      </w:r>
      <w:r w:rsidRPr="009973A1">
        <w:br/>
      </w:r>
      <w:r w:rsidRPr="009973A1">
        <w:rPr>
          <w:rStyle w:val="markedcontent"/>
        </w:rPr>
        <w:t xml:space="preserve">Messenger. Ashley said that she did not open the message </w:t>
      </w:r>
      <w:r>
        <w:rPr>
          <w:rStyle w:val="markedcontent"/>
        </w:rPr>
        <w:t>‘</w:t>
      </w:r>
      <w:r w:rsidRPr="009973A1">
        <w:rPr>
          <w:rStyle w:val="markedcontent"/>
        </w:rPr>
        <w:t>because I didn’t want him to see that I</w:t>
      </w:r>
      <w:r>
        <w:rPr>
          <w:rStyle w:val="markedcontent"/>
        </w:rPr>
        <w:t xml:space="preserve"> </w:t>
      </w:r>
      <w:r w:rsidRPr="009973A1">
        <w:rPr>
          <w:rStyle w:val="markedcontent"/>
        </w:rPr>
        <w:t>had read the message, but I had seen the message</w:t>
      </w:r>
      <w:r>
        <w:rPr>
          <w:rStyle w:val="markedcontent"/>
        </w:rPr>
        <w:t>’</w:t>
      </w:r>
      <w:r w:rsidRPr="009973A1">
        <w:rPr>
          <w:rStyle w:val="markedcontent"/>
        </w:rPr>
        <w:t xml:space="preserve"> on the screen saver. The message, which was</w:t>
      </w:r>
      <w:r>
        <w:rPr>
          <w:rStyle w:val="markedcontent"/>
        </w:rPr>
        <w:t xml:space="preserve"> </w:t>
      </w:r>
      <w:r w:rsidRPr="009973A1">
        <w:rPr>
          <w:rStyle w:val="markedcontent"/>
        </w:rPr>
        <w:t xml:space="preserve">received into evidence, stated, </w:t>
      </w:r>
      <w:r>
        <w:rPr>
          <w:rStyle w:val="markedcontent"/>
        </w:rPr>
        <w:t>‘</w:t>
      </w:r>
      <w:r w:rsidRPr="009973A1">
        <w:rPr>
          <w:rStyle w:val="markedcontent"/>
        </w:rPr>
        <w:t>I want you to be completely honest</w:t>
      </w:r>
      <w:proofErr w:type="gramStart"/>
      <w:r w:rsidRPr="009973A1">
        <w:rPr>
          <w:rStyle w:val="markedcontent"/>
        </w:rPr>
        <w:t>.</w:t>
      </w:r>
      <w:proofErr w:type="gramEnd"/>
      <w:r w:rsidRPr="009973A1">
        <w:rPr>
          <w:rStyle w:val="markedcontent"/>
        </w:rPr>
        <w:t xml:space="preserve"> Were you </w:t>
      </w:r>
      <w:proofErr w:type="gramStart"/>
      <w:r w:rsidRPr="009973A1">
        <w:rPr>
          <w:rStyle w:val="markedcontent"/>
        </w:rPr>
        <w:t xml:space="preserve">at </w:t>
      </w:r>
      <w:proofErr w:type="spellStart"/>
      <w:r w:rsidRPr="009973A1">
        <w:rPr>
          <w:rStyle w:val="markedcontent"/>
        </w:rPr>
        <w:t>anytime</w:t>
      </w:r>
      <w:proofErr w:type="spellEnd"/>
      <w:r w:rsidRPr="009973A1">
        <w:rPr>
          <w:rStyle w:val="markedcontent"/>
        </w:rPr>
        <w:t xml:space="preserve"> today</w:t>
      </w:r>
      <w:r>
        <w:rPr>
          <w:rStyle w:val="markedcontent"/>
        </w:rPr>
        <w:t xml:space="preserve"> </w:t>
      </w:r>
      <w:r w:rsidRPr="009973A1">
        <w:rPr>
          <w:rStyle w:val="markedcontent"/>
        </w:rPr>
        <w:t>uncomfortable</w:t>
      </w:r>
      <w:proofErr w:type="gramEnd"/>
      <w:r w:rsidRPr="009973A1">
        <w:rPr>
          <w:rStyle w:val="markedcontent"/>
        </w:rPr>
        <w:t>??</w:t>
      </w:r>
      <w:r>
        <w:rPr>
          <w:rStyle w:val="markedcontent"/>
        </w:rPr>
        <w:t>’</w:t>
      </w:r>
      <w:r w:rsidRPr="009973A1">
        <w:rPr>
          <w:rStyle w:val="markedcontent"/>
        </w:rPr>
        <w:t xml:space="preserve"> Ashley did not respond to Betancur’s message.</w:t>
      </w:r>
      <w:r>
        <w:rPr>
          <w:rStyle w:val="markedcontent"/>
        </w:rPr>
        <w:t>”</w:t>
      </w:r>
    </w:p>
    <w:p w14:paraId="1BA0DC99" w14:textId="77777777" w:rsidR="00BA3CDE" w:rsidRDefault="00BA3CDE" w:rsidP="00BA3CDE">
      <w:pPr>
        <w:pStyle w:val="NormalWeb"/>
        <w:ind w:left="720"/>
      </w:pPr>
      <w:r>
        <w:rPr>
          <w:rStyle w:val="markedcontent"/>
        </w:rPr>
        <w:t>“</w:t>
      </w:r>
      <w:r w:rsidRPr="009973A1">
        <w:rPr>
          <w:rStyle w:val="markedcontent"/>
        </w:rPr>
        <w:t xml:space="preserve">We disagree with Betancur’s contention that </w:t>
      </w:r>
      <w:r>
        <w:rPr>
          <w:rStyle w:val="markedcontent"/>
        </w:rPr>
        <w:t>‘</w:t>
      </w:r>
      <w:r w:rsidRPr="009973A1">
        <w:rPr>
          <w:rStyle w:val="markedcontent"/>
        </w:rPr>
        <w:t>an unwanted kiss on the victim’s lips by an</w:t>
      </w:r>
      <w:r>
        <w:rPr>
          <w:rStyle w:val="markedcontent"/>
        </w:rPr>
        <w:t xml:space="preserve"> </w:t>
      </w:r>
      <w:r w:rsidRPr="009973A1">
        <w:rPr>
          <w:rStyle w:val="markedcontent"/>
        </w:rPr>
        <w:t>actor using his own lips</w:t>
      </w:r>
      <w:r>
        <w:rPr>
          <w:rStyle w:val="markedcontent"/>
        </w:rPr>
        <w:t>’</w:t>
      </w:r>
      <w:r w:rsidRPr="009973A1">
        <w:rPr>
          <w:rStyle w:val="markedcontent"/>
        </w:rPr>
        <w:t xml:space="preserve"> does not satisfy the requirements for third degree sexua</w:t>
      </w:r>
      <w:r>
        <w:rPr>
          <w:rStyle w:val="markedcontent"/>
        </w:rPr>
        <w:t>l</w:t>
      </w:r>
      <w:r w:rsidRPr="009973A1">
        <w:rPr>
          <w:rStyle w:val="markedcontent"/>
        </w:rPr>
        <w:t xml:space="preserve"> assault in</w:t>
      </w:r>
      <w:r>
        <w:rPr>
          <w:rStyle w:val="markedcontent"/>
        </w:rPr>
        <w:t xml:space="preserve"> </w:t>
      </w:r>
      <w:r w:rsidRPr="009973A1">
        <w:rPr>
          <w:rStyle w:val="markedcontent"/>
        </w:rPr>
        <w:t xml:space="preserve">§ 28-320(1) and (3) because it does not meet the definition of </w:t>
      </w:r>
      <w:r>
        <w:rPr>
          <w:rStyle w:val="markedcontent"/>
        </w:rPr>
        <w:t>‘</w:t>
      </w:r>
      <w:r w:rsidRPr="009973A1">
        <w:rPr>
          <w:rStyle w:val="markedcontent"/>
        </w:rPr>
        <w:t>sexual contact</w:t>
      </w:r>
      <w:r>
        <w:rPr>
          <w:rStyle w:val="markedcontent"/>
        </w:rPr>
        <w:t>’</w:t>
      </w:r>
      <w:r w:rsidRPr="009973A1">
        <w:rPr>
          <w:rStyle w:val="markedcontent"/>
        </w:rPr>
        <w:t xml:space="preserve"> set forth in</w:t>
      </w:r>
      <w:r>
        <w:rPr>
          <w:rStyle w:val="markedcontent"/>
        </w:rPr>
        <w:t xml:space="preserve"> </w:t>
      </w:r>
      <w:r w:rsidRPr="009973A1">
        <w:rPr>
          <w:rStyle w:val="markedcontent"/>
        </w:rPr>
        <w:t xml:space="preserve">§ 28-318(5). As noted by the State, </w:t>
      </w:r>
      <w:r>
        <w:rPr>
          <w:rStyle w:val="markedcontent"/>
        </w:rPr>
        <w:t>‘</w:t>
      </w:r>
      <w:r w:rsidRPr="009973A1">
        <w:rPr>
          <w:rStyle w:val="markedcontent"/>
        </w:rPr>
        <w:t>[§ 28-318(5)] defines sexual contact as the touching of the</w:t>
      </w:r>
      <w:r>
        <w:rPr>
          <w:rStyle w:val="markedcontent"/>
        </w:rPr>
        <w:t xml:space="preserve"> </w:t>
      </w:r>
      <w:r w:rsidRPr="009973A1">
        <w:rPr>
          <w:rStyle w:val="markedcontent"/>
        </w:rPr>
        <w:t xml:space="preserve">victim’s sexual or intimate </w:t>
      </w:r>
      <w:proofErr w:type="spellStart"/>
      <w:r w:rsidRPr="009973A1">
        <w:rPr>
          <w:rStyle w:val="markedcontent"/>
        </w:rPr>
        <w:t>parts”</w:t>
      </w:r>
      <w:r>
        <w:rPr>
          <w:rStyle w:val="markedcontent"/>
        </w:rPr>
        <w:t>’</w:t>
      </w:r>
      <w:r w:rsidRPr="009973A1">
        <w:rPr>
          <w:rStyle w:val="markedcontent"/>
        </w:rPr>
        <w:t>and</w:t>
      </w:r>
      <w:proofErr w:type="spellEnd"/>
      <w:r w:rsidRPr="009973A1">
        <w:rPr>
          <w:rStyle w:val="markedcontent"/>
        </w:rPr>
        <w:t xml:space="preserve"> </w:t>
      </w:r>
      <w:r>
        <w:rPr>
          <w:rStyle w:val="markedcontent"/>
        </w:rPr>
        <w:t>‘</w:t>
      </w:r>
      <w:r w:rsidRPr="009973A1">
        <w:rPr>
          <w:rStyle w:val="markedcontent"/>
        </w:rPr>
        <w:t>in order to give effect to all words of the statute, ‘sexual’</w:t>
      </w:r>
      <w:r>
        <w:rPr>
          <w:rStyle w:val="markedcontent"/>
        </w:rPr>
        <w:t xml:space="preserve"> </w:t>
      </w:r>
      <w:r w:rsidRPr="009973A1">
        <w:rPr>
          <w:rStyle w:val="markedcontent"/>
        </w:rPr>
        <w:t>parts must be something different from ‘intimate’ parts.</w:t>
      </w:r>
      <w:r>
        <w:rPr>
          <w:rStyle w:val="markedcontent"/>
        </w:rPr>
        <w:t>”</w:t>
      </w:r>
      <w:hyperlink r:id="rId1380" w:history="1">
        <w:r w:rsidRPr="007E32CA">
          <w:rPr>
            <w:rStyle w:val="Hyperlink"/>
            <w:rFonts w:eastAsiaTheme="majorEastAsia"/>
          </w:rPr>
          <w:t>https://supremecourt.nebraska.gov/sites/default/files/a21-954m.pdf</w:t>
        </w:r>
      </w:hyperlink>
      <w:r>
        <w:t xml:space="preserve"> </w:t>
      </w:r>
    </w:p>
    <w:p w14:paraId="053B9CCC" w14:textId="77777777" w:rsidR="00BA3CDE" w:rsidRPr="005376D6" w:rsidRDefault="00BA3CDE" w:rsidP="00BA3CDE">
      <w:pPr>
        <w:pStyle w:val="NormalWeb"/>
        <w:rPr>
          <w:b/>
          <w:bCs/>
        </w:rPr>
      </w:pPr>
      <w:r w:rsidRPr="005376D6">
        <w:rPr>
          <w:b/>
          <w:bCs/>
        </w:rPr>
        <w:t xml:space="preserve">Legal Lesson Learned:  The </w:t>
      </w:r>
      <w:r>
        <w:rPr>
          <w:b/>
          <w:bCs/>
        </w:rPr>
        <w:t xml:space="preserve">EMT </w:t>
      </w:r>
      <w:r w:rsidRPr="005376D6">
        <w:rPr>
          <w:b/>
          <w:bCs/>
        </w:rPr>
        <w:t>victim promptly reported the assaults to the Fire Chief, and to the Scottsbluff Police Department</w:t>
      </w:r>
    </w:p>
    <w:p w14:paraId="0C129C97" w14:textId="77777777" w:rsidR="00BA3CDE" w:rsidRDefault="00BA3CDE" w:rsidP="00F326E5">
      <w:pPr>
        <w:pStyle w:val="NoSpacing"/>
        <w:rPr>
          <w:rFonts w:ascii="Arial Black" w:hAnsi="Arial Black"/>
          <w:sz w:val="24"/>
          <w:szCs w:val="24"/>
        </w:rPr>
      </w:pPr>
    </w:p>
    <w:p w14:paraId="023E1CD0" w14:textId="77777777" w:rsidR="00BA3CDE" w:rsidRDefault="00BA3CDE" w:rsidP="00F326E5">
      <w:pPr>
        <w:pStyle w:val="NoSpacing"/>
        <w:rPr>
          <w:rFonts w:ascii="Arial Black" w:hAnsi="Arial Black"/>
          <w:sz w:val="24"/>
          <w:szCs w:val="24"/>
        </w:rPr>
      </w:pPr>
    </w:p>
    <w:p w14:paraId="7CB6A541" w14:textId="77777777" w:rsidR="00BA3CDE" w:rsidRDefault="00BA3CDE" w:rsidP="00F326E5">
      <w:pPr>
        <w:pStyle w:val="NoSpacing"/>
        <w:rPr>
          <w:rFonts w:ascii="Arial Black" w:hAnsi="Arial Black"/>
          <w:sz w:val="24"/>
          <w:szCs w:val="24"/>
        </w:rPr>
      </w:pPr>
    </w:p>
    <w:p w14:paraId="4E1B0688" w14:textId="23E3FEE7" w:rsidR="00727951" w:rsidRDefault="00E8117B" w:rsidP="00F326E5">
      <w:pPr>
        <w:pStyle w:val="NoSpacing"/>
        <w:rPr>
          <w:rFonts w:ascii="Arial Black" w:hAnsi="Arial Black"/>
          <w:sz w:val="24"/>
          <w:szCs w:val="24"/>
        </w:rPr>
      </w:pPr>
      <w:r>
        <w:rPr>
          <w:rFonts w:ascii="Arial Black" w:hAnsi="Arial Black"/>
          <w:sz w:val="24"/>
          <w:szCs w:val="24"/>
        </w:rPr>
        <w:t>7-46</w:t>
      </w:r>
    </w:p>
    <w:p w14:paraId="65415E1E" w14:textId="77777777" w:rsidR="00AC5FED" w:rsidRPr="00921E8A" w:rsidRDefault="00AC5FED" w:rsidP="00AC5FED">
      <w:pPr>
        <w:pStyle w:val="NormalWeb"/>
        <w:rPr>
          <w:rFonts w:ascii="Arial Black" w:hAnsi="Arial Black"/>
          <w:sz w:val="28"/>
          <w:szCs w:val="28"/>
        </w:rPr>
      </w:pPr>
      <w:r>
        <w:rPr>
          <w:rFonts w:ascii="Arial Black" w:hAnsi="Arial Black"/>
          <w:sz w:val="28"/>
          <w:szCs w:val="28"/>
        </w:rPr>
        <w:t xml:space="preserve">NY: EMT WITH ANXIETY – CLAIMED 98% MALES HOSTILE – RETALIATION PROCEED - FIRED 1 MO. SHE FILED EEOC </w:t>
      </w:r>
    </w:p>
    <w:p w14:paraId="17C48D20" w14:textId="77777777" w:rsidR="00AC5FED" w:rsidRDefault="00AC5FED" w:rsidP="00AC5FED">
      <w:pPr>
        <w:pStyle w:val="NormalWeb"/>
      </w:pPr>
      <w:r>
        <w:t xml:space="preserve">On Sept. 30, 2022, in </w:t>
      </w:r>
      <w:r w:rsidRPr="00921E8A">
        <w:rPr>
          <w:u w:val="single"/>
        </w:rPr>
        <w:t xml:space="preserve">Malva M. Freckleton v. </w:t>
      </w:r>
      <w:proofErr w:type="spellStart"/>
      <w:r w:rsidRPr="00921E8A">
        <w:rPr>
          <w:u w:val="single"/>
        </w:rPr>
        <w:t>Ambulnz</w:t>
      </w:r>
      <w:proofErr w:type="spellEnd"/>
      <w:r w:rsidRPr="00921E8A">
        <w:rPr>
          <w:u w:val="single"/>
        </w:rPr>
        <w:t xml:space="preserve"> LLC</w:t>
      </w:r>
      <w:r>
        <w:t xml:space="preserve">, U.S. District Court Judge Ann M. Donnelly, U.S. District Court for Eastern District of New York, granted defense motion to dismiss most of the EMT’s charges (race, age, disability)), but recognizing the plaintiff is proceeding pro se (no attorney), held that her “retaliation” claim may proceed to pre-trial discovery since she was fired within one month of her filing a complaint of discrimination with New York State Division of Human Rights and the federal EEOC.  </w:t>
      </w:r>
    </w:p>
    <w:p w14:paraId="6A66D180" w14:textId="77777777" w:rsidR="00AC5FED" w:rsidRDefault="00AC5FED" w:rsidP="00AC5FED">
      <w:pPr>
        <w:pStyle w:val="NormalWeb"/>
        <w:ind w:left="720"/>
      </w:pPr>
      <w:r>
        <w:t xml:space="preserve">“The plaintiff alleges that “98% [of] male employees harassed [her]…’and ‘there is a conduct of hostility towards a gender which demonstrate the plaintiff is a female’ and ‘male co-workers treated [her] differently by bullying, intimidating, and sabotaging’ her …  and the defendant's adverse actions against are ‘because of sex (male coworkers)….’ These allegations are conclusory and insufficient, even giving the plaintiff the special solicitude that is due </w:t>
      </w:r>
      <w:r>
        <w:rPr>
          <w:rStyle w:val="Emphasis"/>
          <w:rFonts w:eastAsiaTheme="majorEastAsia"/>
        </w:rPr>
        <w:t>pro se</w:t>
      </w:r>
      <w:r>
        <w:t xml:space="preserve"> litigants.</w:t>
      </w:r>
    </w:p>
    <w:p w14:paraId="05800348" w14:textId="77777777" w:rsidR="00AC5FED" w:rsidRDefault="00AC5FED" w:rsidP="00AC5FED">
      <w:pPr>
        <w:pStyle w:val="NormalWeb"/>
        <w:ind w:left="720"/>
      </w:pPr>
      <w:r>
        <w:t>***</w:t>
      </w:r>
    </w:p>
    <w:p w14:paraId="1C8B647A" w14:textId="1B0A843A" w:rsidR="00AC5FED" w:rsidRDefault="00AC5FED" w:rsidP="00AC5FED">
      <w:pPr>
        <w:pStyle w:val="NoSpacing"/>
        <w:rPr>
          <w:rFonts w:ascii="Arial Black" w:hAnsi="Arial Black"/>
          <w:sz w:val="24"/>
          <w:szCs w:val="24"/>
        </w:rPr>
      </w:pPr>
      <w:r>
        <w:t xml:space="preserve">The plaintiff filed her NYSDHR complaint on August 16, 2019, and was fired in September 2019. Recognizing that it is appropriate to take a ‘generous view of retaliatory acts at the motion to dismiss stage,’ </w:t>
      </w:r>
      <w:r>
        <w:rPr>
          <w:rStyle w:val="Emphasis"/>
          <w:rFonts w:eastAsiaTheme="majorEastAsia"/>
        </w:rPr>
        <w:t>Ingrassia</w:t>
      </w:r>
      <w:r>
        <w:t xml:space="preserve">, 130 F.Supp.3d at 723-24 (citing </w:t>
      </w:r>
      <w:r>
        <w:rPr>
          <w:rStyle w:val="Emphasis"/>
          <w:rFonts w:eastAsiaTheme="majorEastAsia"/>
        </w:rPr>
        <w:t>Kelly v. Howard I. Shapiro &amp; Assocs. Consulting Engineers, P.C.</w:t>
      </w:r>
      <w:r>
        <w:t xml:space="preserve">, 716 F.3d 10, 17 (2d Cir. 2013)), and drawing all reasonable inferences in the plaintiff's favor, I conclude that she has adequately alleged causation based on temporal proximity…. Accordingly, the plaintiff sufficiently alleges a retaliation claim based on the filing of her NYSDHR complaint and her subsequent termination.”  </w:t>
      </w:r>
      <w:hyperlink r:id="rId1381" w:history="1">
        <w:r w:rsidRPr="00E7591A">
          <w:rPr>
            <w:rStyle w:val="Hyperlink"/>
          </w:rPr>
          <w:t>https://public.fastcase.com/J%2FJP6pdidelsXxEE4k%2BLMhHGbq56VzoTk1JFKDMbyAsW64naZ9EKqTmGK9O1R3Wr9GeihMDs1Zh2VHQfJhn6l7jf8Y6MJiDUL4WQvVsRKlE%3D?utm_medium=email&amp;_hsmi=226712652&amp;_hsenc=p2ANqtz-8S41Im3p2bNEgWstI4h7IIgl63Egh37Z-OzcnjQev0mJue-BzqLfMZTGtGKB_KMNSyA32EmSFNwIWzkboUxTkEerO4Tg&amp;utm_content=226712652&amp;utm_source=hs_email</w:t>
        </w:r>
      </w:hyperlink>
    </w:p>
    <w:p w14:paraId="7C925B2D" w14:textId="15C0BFC4" w:rsidR="00AC5FED" w:rsidRDefault="00AC5FED" w:rsidP="00F326E5">
      <w:pPr>
        <w:pStyle w:val="NoSpacing"/>
        <w:rPr>
          <w:rFonts w:ascii="Arial Black" w:hAnsi="Arial Black"/>
          <w:sz w:val="24"/>
          <w:szCs w:val="24"/>
        </w:rPr>
      </w:pPr>
    </w:p>
    <w:p w14:paraId="196FCA53" w14:textId="77777777" w:rsidR="00AC5FED" w:rsidRPr="003E1C8A" w:rsidRDefault="00AC5FED" w:rsidP="00AC5FED">
      <w:pPr>
        <w:pStyle w:val="NormalWeb"/>
        <w:rPr>
          <w:b/>
          <w:bCs/>
        </w:rPr>
      </w:pPr>
      <w:r w:rsidRPr="003E1C8A">
        <w:rPr>
          <w:b/>
          <w:bCs/>
        </w:rPr>
        <w:t>Legal Lesson Learned:</w:t>
      </w:r>
      <w:r>
        <w:rPr>
          <w:b/>
          <w:bCs/>
        </w:rPr>
        <w:t xml:space="preserve"> Pro se [no attorney] plaintiff was given opportunity to try to prove retaliation in pre-trial discovery. </w:t>
      </w:r>
    </w:p>
    <w:p w14:paraId="1E8983C5" w14:textId="1C90CD92" w:rsidR="00AC5FED" w:rsidRDefault="00AC5FED" w:rsidP="00F326E5">
      <w:pPr>
        <w:pStyle w:val="NoSpacing"/>
        <w:rPr>
          <w:rFonts w:ascii="Arial Black" w:hAnsi="Arial Black"/>
          <w:sz w:val="24"/>
          <w:szCs w:val="24"/>
        </w:rPr>
      </w:pPr>
    </w:p>
    <w:p w14:paraId="7A2B2BEF" w14:textId="77777777" w:rsidR="00AC5FED" w:rsidRDefault="00AC5FED" w:rsidP="00F326E5">
      <w:pPr>
        <w:pStyle w:val="NoSpacing"/>
        <w:rPr>
          <w:rFonts w:ascii="Arial Black" w:hAnsi="Arial Black"/>
          <w:sz w:val="24"/>
          <w:szCs w:val="24"/>
        </w:rPr>
      </w:pPr>
    </w:p>
    <w:p w14:paraId="44D85E54" w14:textId="37E95864" w:rsidR="00D5141D" w:rsidRDefault="00D5141D" w:rsidP="00F326E5">
      <w:pPr>
        <w:pStyle w:val="NoSpacing"/>
        <w:rPr>
          <w:rFonts w:ascii="Arial Black" w:hAnsi="Arial Black"/>
          <w:sz w:val="24"/>
          <w:szCs w:val="24"/>
        </w:rPr>
      </w:pPr>
      <w:r>
        <w:rPr>
          <w:rFonts w:ascii="Arial Black" w:hAnsi="Arial Black"/>
          <w:sz w:val="24"/>
          <w:szCs w:val="24"/>
        </w:rPr>
        <w:t>7-45</w:t>
      </w:r>
    </w:p>
    <w:p w14:paraId="5AD43885" w14:textId="1A892C5F" w:rsidR="00D5141D" w:rsidRDefault="00D5141D" w:rsidP="00F326E5">
      <w:pPr>
        <w:pStyle w:val="NoSpacing"/>
        <w:rPr>
          <w:rFonts w:ascii="Arial Black" w:hAnsi="Arial Black"/>
          <w:sz w:val="24"/>
          <w:szCs w:val="24"/>
        </w:rPr>
      </w:pPr>
    </w:p>
    <w:p w14:paraId="64E9C075" w14:textId="77777777" w:rsidR="00D5141D" w:rsidRPr="00A81005" w:rsidRDefault="00D5141D" w:rsidP="00D5141D">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OR: FF TERMINATED SEXUAL HARASSMENT – TEXT MESSAGES, THEFT OF FEMALE UNDERWEAR, ON DUTY SEX </w:t>
      </w:r>
    </w:p>
    <w:p w14:paraId="76892D6E" w14:textId="77777777" w:rsidR="00D5141D" w:rsidRPr="009C2A06" w:rsidRDefault="00D5141D" w:rsidP="00D5141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July 19, 2022, in </w:t>
      </w:r>
      <w:r w:rsidRPr="00A81005">
        <w:rPr>
          <w:rFonts w:ascii="Times New Roman" w:eastAsia="Times New Roman" w:hAnsi="Times New Roman"/>
          <w:sz w:val="24"/>
          <w:szCs w:val="24"/>
          <w:u w:val="single"/>
        </w:rPr>
        <w:t>Larry W. Merrill v. Lane Fire Authority</w:t>
      </w:r>
      <w:r>
        <w:rPr>
          <w:rFonts w:ascii="Times New Roman" w:eastAsia="Times New Roman" w:hAnsi="Times New Roman"/>
          <w:sz w:val="24"/>
          <w:szCs w:val="24"/>
          <w:u w:val="single"/>
        </w:rPr>
        <w:t xml:space="preserve"> </w:t>
      </w:r>
      <w:r w:rsidRPr="001331F1">
        <w:rPr>
          <w:rFonts w:ascii="Times New Roman" w:eastAsia="Times New Roman" w:hAnsi="Times New Roman"/>
          <w:sz w:val="24"/>
          <w:szCs w:val="24"/>
          <w:u w:val="single"/>
        </w:rPr>
        <w:t xml:space="preserve">and </w:t>
      </w:r>
      <w:proofErr w:type="spellStart"/>
      <w:r w:rsidRPr="001331F1">
        <w:rPr>
          <w:rFonts w:ascii="Times New Roman" w:hAnsi="Times New Roman"/>
          <w:sz w:val="24"/>
          <w:szCs w:val="24"/>
          <w:u w:val="single"/>
        </w:rPr>
        <w:t>Stoelk</w:t>
      </w:r>
      <w:proofErr w:type="spellEnd"/>
      <w:r w:rsidRPr="001331F1">
        <w:rPr>
          <w:rFonts w:ascii="Times New Roman" w:hAnsi="Times New Roman"/>
          <w:sz w:val="24"/>
          <w:szCs w:val="24"/>
          <w:u w:val="single"/>
        </w:rPr>
        <w:t xml:space="preserve"> Investigation </w:t>
      </w:r>
      <w:proofErr w:type="gramStart"/>
      <w:r w:rsidRPr="001331F1">
        <w:rPr>
          <w:rFonts w:ascii="Times New Roman" w:hAnsi="Times New Roman"/>
          <w:sz w:val="24"/>
          <w:szCs w:val="24"/>
          <w:u w:val="single"/>
        </w:rPr>
        <w:t>And</w:t>
      </w:r>
      <w:proofErr w:type="gramEnd"/>
      <w:r w:rsidRPr="001331F1">
        <w:rPr>
          <w:rFonts w:ascii="Times New Roman" w:hAnsi="Times New Roman"/>
          <w:sz w:val="24"/>
          <w:szCs w:val="24"/>
          <w:u w:val="single"/>
        </w:rPr>
        <w:t xml:space="preserve"> Consultation, LLC</w:t>
      </w:r>
      <w:r>
        <w:rPr>
          <w:rFonts w:ascii="Times New Roman" w:hAnsi="Times New Roman"/>
          <w:sz w:val="24"/>
          <w:szCs w:val="24"/>
        </w:rPr>
        <w:t xml:space="preserve">, </w:t>
      </w:r>
      <w:r>
        <w:rPr>
          <w:rFonts w:ascii="Times New Roman" w:eastAsia="Times New Roman" w:hAnsi="Times New Roman"/>
          <w:sz w:val="24"/>
          <w:szCs w:val="24"/>
        </w:rPr>
        <w:t xml:space="preserve">U.S. Magistrate Judge Mustafa T. </w:t>
      </w:r>
      <w:proofErr w:type="spellStart"/>
      <w:r>
        <w:rPr>
          <w:rFonts w:ascii="Times New Roman" w:eastAsia="Times New Roman" w:hAnsi="Times New Roman"/>
          <w:sz w:val="24"/>
          <w:szCs w:val="24"/>
        </w:rPr>
        <w:t>Kasubhai</w:t>
      </w:r>
      <w:proofErr w:type="spellEnd"/>
      <w:r>
        <w:rPr>
          <w:rFonts w:ascii="Times New Roman" w:eastAsia="Times New Roman" w:hAnsi="Times New Roman"/>
          <w:sz w:val="24"/>
          <w:szCs w:val="24"/>
        </w:rPr>
        <w:t xml:space="preserve">, U.S. District Court of Oregon (Eugene Division) issued Findings </w:t>
      </w:r>
      <w:proofErr w:type="gramStart"/>
      <w:r>
        <w:rPr>
          <w:rFonts w:ascii="Times New Roman" w:eastAsia="Times New Roman" w:hAnsi="Times New Roman"/>
          <w:sz w:val="24"/>
          <w:szCs w:val="24"/>
        </w:rPr>
        <w:t>And</w:t>
      </w:r>
      <w:proofErr w:type="gramEnd"/>
      <w:r>
        <w:rPr>
          <w:rFonts w:ascii="Times New Roman" w:eastAsia="Times New Roman" w:hAnsi="Times New Roman"/>
          <w:sz w:val="24"/>
          <w:szCs w:val="24"/>
        </w:rPr>
        <w:t xml:space="preserve"> Recommendations that the defense motion for summary judgment be granted. </w:t>
      </w:r>
      <w:r w:rsidRPr="00AA6F0A">
        <w:rPr>
          <w:rFonts w:ascii="Times New Roman" w:eastAsia="Times New Roman" w:hAnsi="Times New Roman"/>
          <w:sz w:val="24"/>
          <w:szCs w:val="24"/>
        </w:rPr>
        <w:t>“</w:t>
      </w:r>
      <w:r w:rsidRPr="00AA6F0A">
        <w:rPr>
          <w:rFonts w:ascii="Times New Roman" w:hAnsi="Times New Roman"/>
          <w:sz w:val="24"/>
          <w:szCs w:val="24"/>
        </w:rPr>
        <w:t>At bottom, Ms. Hutcheson-Warren reported an inappropriate text message that resulted in an investigation into Plaintiff for sexual harassment. Plaintiff received notice of the investigation. The investigation found serious allegations of misconduct. Plaintiff received detailed notice of the allegations-including allegations unrelated to the text message that served as the investigation's genesis-well in advance of his pre-disciplinary hearing and Plaintiff had ample time to prepare written or verbal responses to those allegations. A hearing was held at which Plaintiff had the right to present his side of the story. At the conclusion of the hearing, Chief Ney determined that termination of Plaintiff was appropriate. On this record, the Court concludes Plaintiff received all the process he was due.</w:t>
      </w:r>
      <w:r>
        <w:rPr>
          <w:rFonts w:ascii="Times New Roman" w:hAnsi="Times New Roman"/>
          <w:sz w:val="24"/>
          <w:szCs w:val="24"/>
        </w:rPr>
        <w:t xml:space="preserve">” </w:t>
      </w:r>
      <w:hyperlink r:id="rId1382" w:history="1">
        <w:r w:rsidRPr="00696C47">
          <w:rPr>
            <w:rStyle w:val="Hyperlink"/>
            <w:rFonts w:ascii="Times New Roman" w:hAnsi="Times New Roman"/>
          </w:rPr>
          <w:t>https://casetext.com/case/merrill-v-lane-fire-auth-1</w:t>
        </w:r>
      </w:hyperlink>
      <w:r>
        <w:rPr>
          <w:rFonts w:ascii="Times New Roman" w:hAnsi="Times New Roman"/>
          <w:sz w:val="24"/>
          <w:szCs w:val="24"/>
        </w:rPr>
        <w:t xml:space="preserve"> </w:t>
      </w:r>
    </w:p>
    <w:p w14:paraId="35C7B1B4" w14:textId="77777777" w:rsidR="00D5141D" w:rsidRPr="00AA6F0A" w:rsidRDefault="00D5141D" w:rsidP="00D5141D">
      <w:pPr>
        <w:spacing w:before="100" w:beforeAutospacing="1" w:after="100" w:afterAutospacing="1" w:line="240" w:lineRule="auto"/>
        <w:rPr>
          <w:rFonts w:ascii="Times New Roman" w:eastAsia="Times New Roman" w:hAnsi="Times New Roman"/>
          <w:b/>
          <w:bCs/>
          <w:sz w:val="24"/>
          <w:szCs w:val="24"/>
        </w:rPr>
      </w:pPr>
      <w:r w:rsidRPr="00C358F9">
        <w:rPr>
          <w:rFonts w:ascii="Times New Roman" w:eastAsia="Times New Roman" w:hAnsi="Times New Roman"/>
          <w:b/>
          <w:bCs/>
          <w:sz w:val="24"/>
          <w:szCs w:val="24"/>
        </w:rPr>
        <w:t>Legal Lesson Learned:</w:t>
      </w:r>
      <w:r w:rsidRPr="00AA6F0A">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It was a wise move by the FD’s Legal Counsel to bring in an outside, professional investigator. </w:t>
      </w:r>
    </w:p>
    <w:p w14:paraId="1B77FB20" w14:textId="77777777" w:rsidR="00D5141D" w:rsidRDefault="00D5141D" w:rsidP="00F326E5">
      <w:pPr>
        <w:pStyle w:val="NoSpacing"/>
        <w:rPr>
          <w:rFonts w:ascii="Arial Black" w:hAnsi="Arial Black"/>
          <w:sz w:val="24"/>
          <w:szCs w:val="24"/>
        </w:rPr>
      </w:pPr>
    </w:p>
    <w:p w14:paraId="24B64FF6" w14:textId="77777777" w:rsidR="00D5141D" w:rsidRDefault="00D5141D" w:rsidP="00F326E5">
      <w:pPr>
        <w:pStyle w:val="NoSpacing"/>
        <w:rPr>
          <w:rFonts w:ascii="Arial Black" w:hAnsi="Arial Black"/>
          <w:sz w:val="24"/>
          <w:szCs w:val="24"/>
        </w:rPr>
      </w:pPr>
    </w:p>
    <w:p w14:paraId="402357A4" w14:textId="3BA7856C" w:rsidR="006C4BDE" w:rsidRDefault="006C4BDE" w:rsidP="00F326E5">
      <w:pPr>
        <w:pStyle w:val="NoSpacing"/>
        <w:rPr>
          <w:rFonts w:ascii="Arial Black" w:hAnsi="Arial Black"/>
          <w:sz w:val="24"/>
          <w:szCs w:val="24"/>
        </w:rPr>
      </w:pPr>
      <w:r>
        <w:rPr>
          <w:rFonts w:ascii="Arial Black" w:hAnsi="Arial Black"/>
          <w:sz w:val="24"/>
          <w:szCs w:val="24"/>
        </w:rPr>
        <w:t>7-44 [Also filed, Chap. 14]</w:t>
      </w:r>
    </w:p>
    <w:p w14:paraId="615B8934" w14:textId="77777777" w:rsidR="006C4BDE" w:rsidRPr="00F315B4" w:rsidRDefault="006C4BDE" w:rsidP="006C4BDE">
      <w:pPr>
        <w:spacing w:before="100" w:beforeAutospacing="1" w:after="100" w:afterAutospacing="1" w:line="240" w:lineRule="auto"/>
        <w:rPr>
          <w:rFonts w:ascii="Arial Black" w:hAnsi="Arial Black"/>
          <w:sz w:val="28"/>
          <w:szCs w:val="28"/>
        </w:rPr>
      </w:pPr>
      <w:r>
        <w:rPr>
          <w:rFonts w:ascii="Arial Black" w:hAnsi="Arial Black"/>
          <w:sz w:val="28"/>
          <w:szCs w:val="28"/>
        </w:rPr>
        <w:t>WI: FEMALE FAILS APPLICANT PHYSICAL FITNESS TEST –NOT CPAT, BUT MEETS EEOC GUIDELINES – TEST UPHELD</w:t>
      </w:r>
    </w:p>
    <w:p w14:paraId="0FAB85C2" w14:textId="77777777" w:rsidR="006C4BDE" w:rsidRPr="005403E6" w:rsidRDefault="006C4BDE" w:rsidP="006C4BDE">
      <w:pPr>
        <w:spacing w:before="100" w:beforeAutospacing="1" w:after="100" w:afterAutospacing="1" w:line="240" w:lineRule="auto"/>
        <w:rPr>
          <w:rFonts w:ascii="Times New Roman" w:eastAsia="Times New Roman" w:hAnsi="Times New Roman"/>
          <w:sz w:val="24"/>
          <w:szCs w:val="24"/>
        </w:rPr>
      </w:pPr>
      <w:r w:rsidRPr="00A4532F">
        <w:rPr>
          <w:rFonts w:ascii="Times New Roman" w:hAnsi="Times New Roman"/>
          <w:sz w:val="24"/>
          <w:szCs w:val="24"/>
        </w:rPr>
        <w:t xml:space="preserve">On July 20, 2022, in </w:t>
      </w:r>
      <w:r w:rsidRPr="00A4532F">
        <w:rPr>
          <w:rFonts w:ascii="Times New Roman" w:hAnsi="Times New Roman"/>
          <w:sz w:val="24"/>
          <w:szCs w:val="24"/>
          <w:u w:val="single"/>
        </w:rPr>
        <w:t>Catherine Erdman v. City of Madison</w:t>
      </w:r>
      <w:r>
        <w:rPr>
          <w:rFonts w:ascii="Times New Roman" w:hAnsi="Times New Roman"/>
          <w:sz w:val="24"/>
          <w:szCs w:val="24"/>
        </w:rPr>
        <w:t xml:space="preserve">, U.S. District Court Judge William M. Conley dismissed the lawsuit, findings that the Madison Fire Department in their 2014 applicant testing did not violate Title VII of the Civil Rights Act of 1964, even if more female failed compared to fire departments using the CPAT, since the tests were developed by consultants to assess actual job duties and meet the EEOC’s </w:t>
      </w:r>
      <w:r w:rsidRPr="005403E6">
        <w:rPr>
          <w:rFonts w:ascii="Times New Roman" w:eastAsia="Times New Roman" w:hAnsi="Times New Roman"/>
          <w:sz w:val="24"/>
          <w:szCs w:val="24"/>
        </w:rPr>
        <w:t>Uniform Guidelines on Employee Selection Procedures</w:t>
      </w:r>
      <w:r>
        <w:rPr>
          <w:rFonts w:ascii="Times New Roman" w:eastAsia="Times New Roman" w:hAnsi="Times New Roman"/>
          <w:sz w:val="24"/>
          <w:szCs w:val="24"/>
        </w:rPr>
        <w:t xml:space="preserve">. Plaintiff’s lawsuit claimed that she would have passed CPAT [Madison FD’s pass rate for women was 14%; the pass rate for women taking CPAT at Austin, Teas FD was 48%].  </w:t>
      </w:r>
      <w:r>
        <w:rPr>
          <w:rFonts w:ascii="Times New Roman" w:hAnsi="Times New Roman"/>
          <w:sz w:val="24"/>
          <w:szCs w:val="24"/>
        </w:rPr>
        <w:t xml:space="preserve">Plaintiff failed the “pike pole” which required </w:t>
      </w:r>
      <w:r w:rsidRPr="005403E6">
        <w:rPr>
          <w:rFonts w:ascii="Times New Roman" w:eastAsia="Times New Roman" w:hAnsi="Times New Roman"/>
          <w:sz w:val="24"/>
          <w:szCs w:val="24"/>
        </w:rPr>
        <w:t>applicants to stand at least 18 inches back from the ceiling being pulled down with a pike pole to account for safety concerns with</w:t>
      </w:r>
      <w:r>
        <w:rPr>
          <w:rFonts w:ascii="Times New Roman" w:eastAsia="Times New Roman" w:hAnsi="Times New Roman"/>
          <w:sz w:val="24"/>
          <w:szCs w:val="24"/>
        </w:rPr>
        <w:t xml:space="preserve"> test takers </w:t>
      </w:r>
      <w:r w:rsidRPr="005403E6">
        <w:rPr>
          <w:rFonts w:ascii="Times New Roman" w:eastAsia="Times New Roman" w:hAnsi="Times New Roman"/>
          <w:sz w:val="24"/>
          <w:szCs w:val="24"/>
        </w:rPr>
        <w:t>standing directly under the ceiling</w:t>
      </w:r>
      <w:r>
        <w:rPr>
          <w:rFonts w:ascii="Times New Roman" w:eastAsia="Times New Roman" w:hAnsi="Times New Roman"/>
          <w:sz w:val="24"/>
          <w:szCs w:val="24"/>
        </w:rPr>
        <w:t xml:space="preserve">; </w:t>
      </w:r>
      <w:r w:rsidRPr="005403E6">
        <w:rPr>
          <w:rFonts w:ascii="Times New Roman" w:eastAsia="Times New Roman" w:hAnsi="Times New Roman"/>
          <w:sz w:val="24"/>
          <w:szCs w:val="24"/>
        </w:rPr>
        <w:t>the pole was long enough to allow applicants of different heights to adjust the hold to account for that differential.</w:t>
      </w:r>
      <w:r>
        <w:rPr>
          <w:rFonts w:ascii="Times New Roman" w:eastAsia="Times New Roman" w:hAnsi="Times New Roman"/>
          <w:sz w:val="24"/>
          <w:szCs w:val="24"/>
        </w:rPr>
        <w:t xml:space="preserve"> </w:t>
      </w:r>
      <w:hyperlink r:id="rId1383" w:history="1">
        <w:r w:rsidRPr="00355029">
          <w:rPr>
            <w:rStyle w:val="Hyperlink"/>
            <w:rFonts w:ascii="Times New Roman" w:hAnsi="Times New Roman"/>
            <w:sz w:val="24"/>
            <w:szCs w:val="24"/>
          </w:rPr>
          <w:t>https://public.fastcase.com/J%2FJP6pdidelsXxEE4k%2BLMiptlpkB0gZD0zq9ZoOKNJuhacmaRfGRvhQDw8Dzjp093sUgUkI4CwYYkhqoix%2B0P6g4YOgoDnx2kMnRYwj%2FWdA%3D</w:t>
        </w:r>
      </w:hyperlink>
      <w:r>
        <w:rPr>
          <w:rFonts w:ascii="Times New Roman" w:hAnsi="Times New Roman"/>
          <w:sz w:val="24"/>
          <w:szCs w:val="24"/>
        </w:rPr>
        <w:t xml:space="preserve"> </w:t>
      </w:r>
    </w:p>
    <w:p w14:paraId="6149F00D" w14:textId="77777777" w:rsidR="006C4BDE" w:rsidRPr="006E479D" w:rsidRDefault="006C4BDE" w:rsidP="006C4BDE">
      <w:pPr>
        <w:spacing w:before="100" w:beforeAutospacing="1" w:after="100" w:afterAutospacing="1" w:line="240" w:lineRule="auto"/>
        <w:rPr>
          <w:rFonts w:ascii="Times New Roman" w:hAnsi="Times New Roman"/>
          <w:b/>
          <w:bCs/>
          <w:sz w:val="24"/>
          <w:szCs w:val="24"/>
        </w:rPr>
      </w:pPr>
      <w:r w:rsidRPr="00604285">
        <w:rPr>
          <w:rFonts w:ascii="Times New Roman" w:hAnsi="Times New Roman"/>
          <w:b/>
          <w:bCs/>
          <w:sz w:val="24"/>
          <w:szCs w:val="24"/>
        </w:rPr>
        <w:t>Legal Lesson Learned:</w:t>
      </w:r>
      <w:r>
        <w:rPr>
          <w:rFonts w:ascii="Times New Roman" w:hAnsi="Times New Roman"/>
          <w:b/>
          <w:bCs/>
          <w:sz w:val="24"/>
          <w:szCs w:val="24"/>
        </w:rPr>
        <w:t xml:space="preserve"> </w:t>
      </w:r>
      <w:r w:rsidRPr="006E479D">
        <w:rPr>
          <w:rFonts w:ascii="Times New Roman" w:hAnsi="Times New Roman"/>
          <w:b/>
          <w:bCs/>
          <w:sz w:val="24"/>
          <w:szCs w:val="24"/>
        </w:rPr>
        <w:t xml:space="preserve">This alternative test passed EEOC “Uniform Guidelines </w:t>
      </w:r>
      <w:r w:rsidRPr="006E479D">
        <w:rPr>
          <w:rFonts w:ascii="Times New Roman" w:eastAsia="Times New Roman" w:hAnsi="Times New Roman"/>
          <w:b/>
          <w:bCs/>
          <w:sz w:val="24"/>
          <w:szCs w:val="24"/>
        </w:rPr>
        <w:t xml:space="preserve">on Employee Selection Procedures (1978), 29 C.F.R. § 1607, </w:t>
      </w:r>
      <w:r w:rsidRPr="006E479D">
        <w:rPr>
          <w:rFonts w:ascii="Times New Roman" w:eastAsia="Times New Roman" w:hAnsi="Times New Roman"/>
          <w:b/>
          <w:bCs/>
          <w:i/>
          <w:iCs/>
          <w:sz w:val="24"/>
          <w:szCs w:val="24"/>
        </w:rPr>
        <w:t xml:space="preserve">et seq.” </w:t>
      </w:r>
      <w:r w:rsidRPr="006E479D">
        <w:rPr>
          <w:rFonts w:ascii="Times New Roman" w:hAnsi="Times New Roman"/>
          <w:b/>
          <w:bCs/>
          <w:sz w:val="24"/>
          <w:szCs w:val="24"/>
        </w:rPr>
        <w:t xml:space="preserve">  </w:t>
      </w:r>
    </w:p>
    <w:p w14:paraId="568FAFE3" w14:textId="77777777" w:rsidR="006C4BDE" w:rsidRDefault="006C4BDE" w:rsidP="00F326E5">
      <w:pPr>
        <w:pStyle w:val="NoSpacing"/>
        <w:rPr>
          <w:rFonts w:ascii="Arial Black" w:hAnsi="Arial Black"/>
          <w:sz w:val="24"/>
          <w:szCs w:val="24"/>
        </w:rPr>
      </w:pPr>
    </w:p>
    <w:p w14:paraId="5D05D398" w14:textId="77777777" w:rsidR="006C4BDE" w:rsidRDefault="006C4BDE" w:rsidP="00F326E5">
      <w:pPr>
        <w:pStyle w:val="NoSpacing"/>
        <w:rPr>
          <w:rFonts w:ascii="Arial Black" w:hAnsi="Arial Black"/>
          <w:sz w:val="24"/>
          <w:szCs w:val="24"/>
        </w:rPr>
      </w:pPr>
    </w:p>
    <w:p w14:paraId="632853AB" w14:textId="77777777" w:rsidR="006C4BDE" w:rsidRDefault="006C4BDE" w:rsidP="00F326E5">
      <w:pPr>
        <w:pStyle w:val="NoSpacing"/>
        <w:rPr>
          <w:rFonts w:ascii="Arial Black" w:hAnsi="Arial Black"/>
          <w:sz w:val="24"/>
          <w:szCs w:val="24"/>
        </w:rPr>
      </w:pPr>
    </w:p>
    <w:p w14:paraId="19DCDD72" w14:textId="26E61109" w:rsidR="0002742E" w:rsidRDefault="0002742E" w:rsidP="00F326E5">
      <w:pPr>
        <w:pStyle w:val="NoSpacing"/>
        <w:rPr>
          <w:rFonts w:ascii="Arial Black" w:hAnsi="Arial Black"/>
          <w:sz w:val="24"/>
          <w:szCs w:val="24"/>
        </w:rPr>
      </w:pPr>
      <w:r>
        <w:rPr>
          <w:rFonts w:ascii="Arial Black" w:hAnsi="Arial Black"/>
          <w:sz w:val="24"/>
          <w:szCs w:val="24"/>
        </w:rPr>
        <w:t>7-43</w:t>
      </w:r>
    </w:p>
    <w:p w14:paraId="4574BFBB" w14:textId="0AEF07FA" w:rsidR="0002742E" w:rsidRPr="008D7229" w:rsidRDefault="0002742E" w:rsidP="0002742E">
      <w:pPr>
        <w:pStyle w:val="NormalWeb"/>
        <w:rPr>
          <w:rFonts w:ascii="Arial Black" w:hAnsi="Arial Black"/>
          <w:sz w:val="28"/>
          <w:szCs w:val="28"/>
        </w:rPr>
      </w:pPr>
      <w:r>
        <w:rPr>
          <w:rFonts w:ascii="Arial Black" w:hAnsi="Arial Black"/>
          <w:sz w:val="28"/>
          <w:szCs w:val="28"/>
        </w:rPr>
        <w:t xml:space="preserve">GA: TRANSGENDER FIRE CHIEF – FIRED 18 MONTHS AFTER CHANGE - “AT WILL” - NO PROPERTY INTEREST IN JOB </w:t>
      </w:r>
    </w:p>
    <w:p w14:paraId="2AEC4698" w14:textId="77777777" w:rsidR="0002742E" w:rsidRDefault="0002742E" w:rsidP="0002742E">
      <w:pPr>
        <w:pStyle w:val="NormalWeb"/>
      </w:pPr>
      <w:r>
        <w:t xml:space="preserve">On April 18, 2022, in </w:t>
      </w:r>
      <w:r w:rsidRPr="008D7229">
        <w:rPr>
          <w:u w:val="single"/>
        </w:rPr>
        <w:t>Rachel Mosby v. City of Bryson, Georgia</w:t>
      </w:r>
      <w:r>
        <w:t>, the U.S. Court of Appeals for the 11</w:t>
      </w:r>
      <w:r w:rsidRPr="008D7229">
        <w:rPr>
          <w:vertAlign w:val="superscript"/>
        </w:rPr>
        <w:t>th</w:t>
      </w:r>
      <w:r>
        <w:t xml:space="preserve"> Circuit (Atlanta) held (3 to 0; unpublished decision) that the U.S. District Court properly granted summary judgment to the City on her claim of violation of Title VII and ADA [she alleged the City fired her for be transgender; fired 18 months after coming to work dressed as a female].  Mosby was the City of Byron's fire chief for eleven years before being terminated in 2019.  Her initial complaint to EEOC on June 28, </w:t>
      </w:r>
      <w:proofErr w:type="gramStart"/>
      <w:r>
        <w:t>2019</w:t>
      </w:r>
      <w:proofErr w:type="gramEnd"/>
      <w:r>
        <w:t xml:space="preserve"> failed include a sworn statement or notarized affirmation, and U.S. District Court Judge Tilman E. Self III dismissed the lawsuit on that basis. On appeal the 11 Circuit also rejected her claim that Mosby had a property interest in continued employment as the City's fire chief based on a "long-standing personnel policy" allowing department heads to appeal adverse employment actions. </w:t>
      </w:r>
      <w:hyperlink r:id="rId1384" w:history="1">
        <w:r w:rsidRPr="00463170">
          <w:rPr>
            <w:rStyle w:val="Hyperlink"/>
          </w:rPr>
          <w:t>https://media.ca11.uscourts.gov/opinions/unpub/files/202110377.pdf</w:t>
        </w:r>
      </w:hyperlink>
      <w:r>
        <w:t xml:space="preserve"> </w:t>
      </w:r>
    </w:p>
    <w:p w14:paraId="396D1ECD" w14:textId="77777777" w:rsidR="0002742E" w:rsidRPr="0079197C" w:rsidRDefault="0002742E" w:rsidP="0002742E">
      <w:pPr>
        <w:spacing w:before="100" w:beforeAutospacing="1" w:after="100" w:afterAutospacing="1" w:line="240" w:lineRule="auto"/>
        <w:rPr>
          <w:rFonts w:ascii="Times New Roman" w:eastAsia="Times New Roman" w:hAnsi="Times New Roman"/>
          <w:b/>
          <w:bCs/>
          <w:sz w:val="24"/>
          <w:szCs w:val="24"/>
        </w:rPr>
      </w:pPr>
      <w:r w:rsidRPr="009D459E">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“At will” employee, unless protected by “whistleblower” or other statute. </w:t>
      </w:r>
    </w:p>
    <w:p w14:paraId="2A437E9B" w14:textId="77777777" w:rsidR="0002742E" w:rsidRPr="00810D4A" w:rsidRDefault="0002742E" w:rsidP="0002742E">
      <w:pPr>
        <w:spacing w:before="100" w:beforeAutospacing="1" w:after="100" w:afterAutospacing="1" w:line="240" w:lineRule="auto"/>
        <w:ind w:left="720"/>
        <w:rPr>
          <w:rFonts w:ascii="Times New Roman" w:eastAsia="Times New Roman" w:hAnsi="Times New Roman"/>
          <w:b/>
          <w:bCs/>
          <w:sz w:val="24"/>
          <w:szCs w:val="24"/>
        </w:rPr>
      </w:pPr>
      <w:r w:rsidRPr="00810D4A">
        <w:rPr>
          <w:rFonts w:ascii="Times New Roman" w:eastAsia="Times New Roman" w:hAnsi="Times New Roman"/>
          <w:sz w:val="24"/>
          <w:szCs w:val="24"/>
        </w:rPr>
        <w:t>Note: See this article:</w:t>
      </w:r>
      <w:r w:rsidRPr="00810D4A">
        <w:rPr>
          <w:rFonts w:ascii="Times New Roman" w:eastAsia="Times New Roman" w:hAnsi="Times New Roman"/>
          <w:b/>
          <w:bCs/>
          <w:sz w:val="24"/>
          <w:szCs w:val="24"/>
        </w:rPr>
        <w:t xml:space="preserve"> </w:t>
      </w:r>
      <w:r w:rsidRPr="00810D4A">
        <w:rPr>
          <w:rFonts w:ascii="Times New Roman" w:hAnsi="Times New Roman"/>
          <w:sz w:val="24"/>
          <w:szCs w:val="24"/>
        </w:rPr>
        <w:t xml:space="preserve">See this article (Feb. 18, 2021): “Judge dismisses Georgia lawsuit by transgender fire chief.” </w:t>
      </w:r>
      <w:hyperlink r:id="rId1385" w:history="1">
        <w:r w:rsidRPr="00C37F44">
          <w:rPr>
            <w:rStyle w:val="Hyperlink"/>
            <w:rFonts w:ascii="Times New Roman" w:hAnsi="Times New Roman"/>
            <w:sz w:val="24"/>
            <w:szCs w:val="24"/>
          </w:rPr>
          <w:t>https://apnews.com/article/savannah-discrimination-lawsuits-georgia-courts-181c735cb3d5f318ea6a76e14d237b4a</w:t>
        </w:r>
      </w:hyperlink>
      <w:r>
        <w:rPr>
          <w:rFonts w:ascii="Times New Roman" w:hAnsi="Times New Roman"/>
          <w:sz w:val="24"/>
          <w:szCs w:val="24"/>
        </w:rPr>
        <w:t xml:space="preserve"> </w:t>
      </w:r>
    </w:p>
    <w:p w14:paraId="571FC5CA" w14:textId="77777777" w:rsidR="0002742E" w:rsidRDefault="0002742E" w:rsidP="00F326E5">
      <w:pPr>
        <w:pStyle w:val="NoSpacing"/>
        <w:rPr>
          <w:rFonts w:ascii="Arial Black" w:hAnsi="Arial Black"/>
          <w:sz w:val="24"/>
          <w:szCs w:val="24"/>
        </w:rPr>
      </w:pPr>
    </w:p>
    <w:p w14:paraId="23A48E16" w14:textId="77777777" w:rsidR="0002742E" w:rsidRDefault="0002742E" w:rsidP="00F326E5">
      <w:pPr>
        <w:pStyle w:val="NoSpacing"/>
        <w:rPr>
          <w:rFonts w:ascii="Arial Black" w:hAnsi="Arial Black"/>
          <w:sz w:val="24"/>
          <w:szCs w:val="24"/>
        </w:rPr>
      </w:pPr>
    </w:p>
    <w:p w14:paraId="23ECBA71" w14:textId="492821C6" w:rsidR="00727951" w:rsidRDefault="00727951" w:rsidP="00F326E5">
      <w:pPr>
        <w:pStyle w:val="NoSpacing"/>
        <w:rPr>
          <w:rFonts w:ascii="Arial Black" w:hAnsi="Arial Black"/>
          <w:sz w:val="24"/>
          <w:szCs w:val="24"/>
        </w:rPr>
      </w:pPr>
      <w:r>
        <w:rPr>
          <w:rFonts w:ascii="Arial Black" w:hAnsi="Arial Black"/>
          <w:sz w:val="24"/>
          <w:szCs w:val="24"/>
        </w:rPr>
        <w:t>7-42</w:t>
      </w:r>
    </w:p>
    <w:p w14:paraId="4D05FF46" w14:textId="77777777" w:rsidR="00727951" w:rsidRDefault="00727951" w:rsidP="00727951">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VA: FEMALE FIRE INSPECTOR – MADE COMPLAINT PASSED OVER PROMOTIONS – RETALIATION – CASE TO PROCEED</w:t>
      </w:r>
    </w:p>
    <w:p w14:paraId="7A1EECA1" w14:textId="77777777" w:rsidR="00727951" w:rsidRDefault="00727951" w:rsidP="00727951">
      <w:pPr>
        <w:spacing w:before="100" w:beforeAutospacing="1" w:after="100" w:afterAutospacing="1" w:line="240" w:lineRule="auto"/>
        <w:rPr>
          <w:rStyle w:val="Hyperlink"/>
          <w:rFonts w:ascii="Times New Roman" w:hAnsi="Times New Roman"/>
          <w:sz w:val="24"/>
          <w:szCs w:val="24"/>
        </w:rPr>
      </w:pPr>
      <w:r w:rsidRPr="00447DAF">
        <w:rPr>
          <w:rFonts w:ascii="Times New Roman" w:eastAsia="Times New Roman" w:hAnsi="Times New Roman"/>
          <w:sz w:val="24"/>
          <w:szCs w:val="24"/>
        </w:rPr>
        <w:t xml:space="preserve">On </w:t>
      </w:r>
      <w:r>
        <w:rPr>
          <w:rFonts w:ascii="Times New Roman" w:eastAsia="Times New Roman" w:hAnsi="Times New Roman"/>
          <w:sz w:val="24"/>
          <w:szCs w:val="24"/>
        </w:rPr>
        <w:t xml:space="preserve">March 11, 2022, in </w:t>
      </w:r>
      <w:r w:rsidRPr="00447DAF">
        <w:rPr>
          <w:rFonts w:ascii="Times New Roman" w:eastAsia="Times New Roman" w:hAnsi="Times New Roman"/>
          <w:sz w:val="24"/>
          <w:szCs w:val="24"/>
          <w:u w:val="single"/>
        </w:rPr>
        <w:t>Karen Baka v, City of Norfolk, Virginia</w:t>
      </w:r>
      <w:r>
        <w:rPr>
          <w:rFonts w:ascii="Times New Roman" w:eastAsia="Times New Roman" w:hAnsi="Times New Roman"/>
          <w:sz w:val="24"/>
          <w:szCs w:val="24"/>
        </w:rPr>
        <w:t xml:space="preserve">, U.S. District Court Judge Raymond A. Jackson, U.S. District Court for Eastern District of Virginia (Norfolk Division) denied the City’s motion to dismiss this lawsuit by the plaintiff, who is a Fire Investigator in the Norfolk Fire Marshal’s Office and complained about being passed over for several promotions in retaliation for filing internal complaints with the City.  Another female Fire Investigator, who retired after 30 years, has filed a similar lawsuit. The Court referenced in  Footnote 1 a TV story about the alleged hostile workplace experience by the two Investigators. </w:t>
      </w:r>
      <w:hyperlink r:id="rId1386" w:history="1">
        <w:r w:rsidRPr="000247F2">
          <w:rPr>
            <w:rStyle w:val="Hyperlink"/>
            <w:rFonts w:ascii="Times New Roman" w:hAnsi="Times New Roman"/>
            <w:sz w:val="24"/>
            <w:szCs w:val="24"/>
          </w:rPr>
          <w:t>https://public.fastcase.com/waZtJvSA54UAurM2rmIZzzCYJhAha3GGo3AEN0d5yD5AXzBU0GIzy8sJKIx0m%2BEEHwIyJuWgbxH4Xd2BL4DW9aTliyBT6bOFBbV5rp7%2BS3s%3D</w:t>
        </w:r>
      </w:hyperlink>
    </w:p>
    <w:p w14:paraId="0F68D247" w14:textId="77777777" w:rsidR="00727951" w:rsidRDefault="00727951" w:rsidP="00727951">
      <w:pPr>
        <w:spacing w:before="100" w:beforeAutospacing="1" w:after="100" w:afterAutospacing="1" w:line="240" w:lineRule="auto"/>
        <w:ind w:left="720"/>
        <w:rPr>
          <w:rFonts w:ascii="Times New Roman" w:hAnsi="Times New Roman"/>
          <w:sz w:val="24"/>
          <w:szCs w:val="24"/>
        </w:rPr>
      </w:pPr>
      <w:r>
        <w:t>“</w:t>
      </w:r>
      <w:r w:rsidRPr="006539C7">
        <w:rPr>
          <w:rFonts w:ascii="Times New Roman" w:hAnsi="Times New Roman"/>
          <w:sz w:val="24"/>
          <w:szCs w:val="24"/>
        </w:rPr>
        <w:t xml:space="preserve">Defendant also claims that it is "immune from tort liability for governmental functions, absent an express waiver of such immunity." </w:t>
      </w:r>
      <w:proofErr w:type="spellStart"/>
      <w:r w:rsidRPr="006539C7">
        <w:rPr>
          <w:rFonts w:ascii="Times New Roman" w:hAnsi="Times New Roman"/>
          <w:sz w:val="24"/>
          <w:szCs w:val="24"/>
        </w:rPr>
        <w:t>Def.'s</w:t>
      </w:r>
      <w:proofErr w:type="spellEnd"/>
      <w:r w:rsidRPr="006539C7">
        <w:rPr>
          <w:rFonts w:ascii="Times New Roman" w:hAnsi="Times New Roman"/>
          <w:sz w:val="24"/>
          <w:szCs w:val="24"/>
        </w:rPr>
        <w:t xml:space="preserve"> Mem. Supp. at 4. Yet, the Supreme Court of Virginia in </w:t>
      </w:r>
      <w:r w:rsidRPr="006539C7">
        <w:rPr>
          <w:rStyle w:val="Emphasis"/>
          <w:rFonts w:ascii="Times New Roman" w:hAnsi="Times New Roman"/>
          <w:sz w:val="24"/>
          <w:szCs w:val="24"/>
        </w:rPr>
        <w:t>Massenburg -</w:t>
      </w:r>
      <w:r w:rsidRPr="006539C7">
        <w:rPr>
          <w:rFonts w:ascii="Times New Roman" w:hAnsi="Times New Roman"/>
          <w:sz w:val="24"/>
          <w:szCs w:val="24"/>
        </w:rPr>
        <w:t xml:space="preserve"> a case upon which Defendant relies - explicitly stated: </w:t>
      </w:r>
      <w:r>
        <w:rPr>
          <w:rFonts w:ascii="Times New Roman" w:hAnsi="Times New Roman"/>
          <w:sz w:val="24"/>
          <w:szCs w:val="24"/>
        </w:rPr>
        <w:t>‘</w:t>
      </w:r>
      <w:r w:rsidRPr="006539C7">
        <w:rPr>
          <w:rFonts w:ascii="Times New Roman" w:hAnsi="Times New Roman"/>
          <w:sz w:val="24"/>
          <w:szCs w:val="24"/>
        </w:rPr>
        <w:t>Unlike counties, which share fully in the sovereign's immunity from tort, whether a municipal corporation is entitled to sovereign immunity protection depends on the type of function it exercises when liability arises.</w:t>
      </w:r>
      <w:r>
        <w:rPr>
          <w:rFonts w:ascii="Times New Roman" w:hAnsi="Times New Roman"/>
          <w:sz w:val="24"/>
          <w:szCs w:val="24"/>
        </w:rPr>
        <w:t>’</w:t>
      </w:r>
      <w:r w:rsidRPr="006539C7">
        <w:rPr>
          <w:rFonts w:ascii="Times New Roman" w:hAnsi="Times New Roman"/>
          <w:sz w:val="24"/>
          <w:szCs w:val="24"/>
        </w:rPr>
        <w:t xml:space="preserve"> 298 Va. at 218 (2019). Indeed, Defendant's reliance on </w:t>
      </w:r>
      <w:r w:rsidRPr="006539C7">
        <w:rPr>
          <w:rStyle w:val="Emphasis"/>
          <w:rFonts w:ascii="Times New Roman" w:hAnsi="Times New Roman"/>
          <w:sz w:val="24"/>
          <w:szCs w:val="24"/>
        </w:rPr>
        <w:t>Ligon</w:t>
      </w:r>
      <w:r w:rsidRPr="006539C7">
        <w:rPr>
          <w:rFonts w:ascii="Times New Roman" w:hAnsi="Times New Roman"/>
          <w:sz w:val="24"/>
          <w:szCs w:val="24"/>
        </w:rPr>
        <w:t xml:space="preserve"> is misplaced because that case dealt specifically with a county employee who </w:t>
      </w:r>
      <w:proofErr w:type="gramStart"/>
      <w:r w:rsidRPr="006539C7">
        <w:rPr>
          <w:rFonts w:ascii="Times New Roman" w:hAnsi="Times New Roman"/>
          <w:sz w:val="24"/>
          <w:szCs w:val="24"/>
        </w:rPr>
        <w:t>brought suit against</w:t>
      </w:r>
      <w:proofErr w:type="gramEnd"/>
      <w:r w:rsidRPr="006539C7">
        <w:rPr>
          <w:rFonts w:ascii="Times New Roman" w:hAnsi="Times New Roman"/>
          <w:sz w:val="24"/>
          <w:szCs w:val="24"/>
        </w:rPr>
        <w:t xml:space="preserve"> the county for which he worked. </w:t>
      </w:r>
      <w:r w:rsidRPr="006539C7">
        <w:rPr>
          <w:rStyle w:val="Emphasis"/>
          <w:rFonts w:ascii="Times New Roman" w:hAnsi="Times New Roman"/>
          <w:sz w:val="24"/>
          <w:szCs w:val="24"/>
        </w:rPr>
        <w:t xml:space="preserve">See Ligon v. </w:t>
      </w:r>
      <w:proofErr w:type="spellStart"/>
      <w:r w:rsidRPr="006539C7">
        <w:rPr>
          <w:rStyle w:val="Emphasis"/>
          <w:rFonts w:ascii="Times New Roman" w:hAnsi="Times New Roman"/>
          <w:sz w:val="24"/>
          <w:szCs w:val="24"/>
        </w:rPr>
        <w:t>Cnty</w:t>
      </w:r>
      <w:proofErr w:type="spellEnd"/>
      <w:r w:rsidRPr="006539C7">
        <w:rPr>
          <w:rStyle w:val="Emphasis"/>
          <w:rFonts w:ascii="Times New Roman" w:hAnsi="Times New Roman"/>
          <w:sz w:val="24"/>
          <w:szCs w:val="24"/>
        </w:rPr>
        <w:t>. of Goochland,</w:t>
      </w:r>
      <w:r w:rsidRPr="006539C7">
        <w:rPr>
          <w:rFonts w:ascii="Times New Roman" w:hAnsi="Times New Roman"/>
          <w:sz w:val="24"/>
          <w:szCs w:val="24"/>
        </w:rPr>
        <w:t xml:space="preserve"> 279 Va. 312, 314 (2010). The </w:t>
      </w:r>
      <w:r w:rsidRPr="006539C7">
        <w:rPr>
          <w:rStyle w:val="Emphasis"/>
          <w:rFonts w:ascii="Times New Roman" w:hAnsi="Times New Roman"/>
          <w:sz w:val="24"/>
          <w:szCs w:val="24"/>
        </w:rPr>
        <w:t>Massenburg</w:t>
      </w:r>
      <w:r w:rsidRPr="006539C7">
        <w:rPr>
          <w:rFonts w:ascii="Times New Roman" w:hAnsi="Times New Roman"/>
          <w:sz w:val="24"/>
          <w:szCs w:val="24"/>
        </w:rPr>
        <w:t xml:space="preserve"> court made clear that counties enjoy immunity protections distinct from those enjoyed by municipalities. Defendant is a municipality, not the Commonwealth or one of its counties.</w:t>
      </w:r>
      <w:r>
        <w:rPr>
          <w:rFonts w:ascii="Times New Roman" w:hAnsi="Times New Roman"/>
          <w:sz w:val="24"/>
          <w:szCs w:val="24"/>
        </w:rPr>
        <w:t xml:space="preserve">’ </w:t>
      </w:r>
      <w:hyperlink r:id="rId1387" w:history="1">
        <w:r w:rsidRPr="000247F2">
          <w:rPr>
            <w:rStyle w:val="Hyperlink"/>
            <w:rFonts w:ascii="Times New Roman" w:hAnsi="Times New Roman"/>
            <w:sz w:val="24"/>
            <w:szCs w:val="24"/>
          </w:rPr>
          <w:t>https://public.fastcase.com/waZtJvSA54UAurM2rmIZzzCYJhAha3GGo3AEN0d5yD5AXzBU0GIzy8sJKIx0m%2BEEHwIyJuWgbxH4Xd2BL4DW9aTliyBT6bOFBbV5rp7%2BS3s%3D</w:t>
        </w:r>
      </w:hyperlink>
    </w:p>
    <w:p w14:paraId="0CF40B0E" w14:textId="77777777" w:rsidR="00727951" w:rsidRDefault="00727951" w:rsidP="00727951">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Footnote 1: </w:t>
      </w:r>
      <w:r w:rsidRPr="003342D2">
        <w:rPr>
          <w:rStyle w:val="Emphasis"/>
          <w:rFonts w:ascii="Times New Roman" w:hAnsi="Times New Roman"/>
          <w:sz w:val="24"/>
          <w:szCs w:val="24"/>
        </w:rPr>
        <w:t>See</w:t>
      </w:r>
      <w:r w:rsidRPr="003342D2">
        <w:rPr>
          <w:rFonts w:ascii="Times New Roman" w:hAnsi="Times New Roman"/>
          <w:sz w:val="24"/>
          <w:szCs w:val="24"/>
        </w:rPr>
        <w:t xml:space="preserve"> Jason Marks, </w:t>
      </w:r>
      <w:r w:rsidRPr="003342D2">
        <w:rPr>
          <w:rStyle w:val="Emphasis"/>
          <w:rFonts w:ascii="Times New Roman" w:hAnsi="Times New Roman"/>
          <w:sz w:val="24"/>
          <w:szCs w:val="24"/>
        </w:rPr>
        <w:t>Special Report: Norfolk Under Fire for Treatment of Female Employees, WAVY.com</w:t>
      </w:r>
      <w:r w:rsidRPr="003342D2">
        <w:rPr>
          <w:rFonts w:ascii="Times New Roman" w:hAnsi="Times New Roman"/>
          <w:sz w:val="24"/>
          <w:szCs w:val="24"/>
        </w:rPr>
        <w:t xml:space="preserve"> (Oct. 24, 2019, 4:11 PM)</w:t>
      </w:r>
      <w:r>
        <w:rPr>
          <w:rFonts w:ascii="Times New Roman" w:hAnsi="Times New Roman"/>
          <w:sz w:val="24"/>
          <w:szCs w:val="24"/>
        </w:rPr>
        <w:t>….</w:t>
      </w:r>
      <w:r w:rsidRPr="003342D2">
        <w:rPr>
          <w:rFonts w:ascii="Times New Roman" w:hAnsi="Times New Roman"/>
          <w:sz w:val="24"/>
          <w:szCs w:val="24"/>
        </w:rPr>
        <w:t xml:space="preserve"> </w:t>
      </w:r>
    </w:p>
    <w:p w14:paraId="0958D754" w14:textId="77777777" w:rsidR="00727951" w:rsidRDefault="00727951" w:rsidP="00727951">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 xml:space="preserve">[Watch the video and read the article.] </w:t>
      </w:r>
      <w:hyperlink r:id="rId1388" w:history="1">
        <w:r w:rsidRPr="00BA2523">
          <w:rPr>
            <w:rStyle w:val="Hyperlink"/>
            <w:rFonts w:ascii="Times New Roman" w:eastAsia="Times New Roman" w:hAnsi="Times New Roman"/>
            <w:sz w:val="24"/>
            <w:szCs w:val="24"/>
          </w:rPr>
          <w:t>https://www.wavy.com/news/local-news/norfolk/special-report-norfolk-under-fire-for-treatment-of-female-employees/</w:t>
        </w:r>
      </w:hyperlink>
      <w:r w:rsidRPr="003342D2">
        <w:rPr>
          <w:rFonts w:ascii="Times New Roman" w:eastAsia="Times New Roman" w:hAnsi="Times New Roman"/>
          <w:sz w:val="24"/>
          <w:szCs w:val="24"/>
        </w:rPr>
        <w:t xml:space="preserve"> </w:t>
      </w:r>
    </w:p>
    <w:p w14:paraId="304970AE" w14:textId="77777777" w:rsidR="00727951" w:rsidRDefault="00727951" w:rsidP="00727951">
      <w:pPr>
        <w:spacing w:before="100" w:beforeAutospacing="1" w:after="100" w:afterAutospacing="1" w:line="240" w:lineRule="auto"/>
        <w:ind w:left="720"/>
        <w:rPr>
          <w:rFonts w:ascii="Times New Roman" w:hAnsi="Times New Roman"/>
          <w:sz w:val="24"/>
          <w:szCs w:val="24"/>
        </w:rPr>
      </w:pPr>
      <w:r w:rsidRPr="003342D2">
        <w:rPr>
          <w:rFonts w:ascii="Times New Roman" w:hAnsi="Times New Roman"/>
          <w:sz w:val="24"/>
          <w:szCs w:val="24"/>
        </w:rPr>
        <w:t>NORFOLK, Va. (WAVY) – Humiliation and hostility.  That’s what two women claim happened to them in the Norfolk Fire Marshal’s Office.  The women feel they are treated differently than their male co-workers and are taking the city to court.</w:t>
      </w:r>
    </w:p>
    <w:p w14:paraId="0C74A1C6" w14:textId="77777777" w:rsidR="00727951" w:rsidRPr="007D487F" w:rsidRDefault="00727951" w:rsidP="00727951">
      <w:pPr>
        <w:spacing w:before="100" w:beforeAutospacing="1" w:after="100" w:afterAutospacing="1" w:line="240" w:lineRule="auto"/>
        <w:ind w:left="720"/>
        <w:rPr>
          <w:rFonts w:ascii="Times New Roman" w:eastAsia="Times New Roman" w:hAnsi="Times New Roman"/>
          <w:sz w:val="24"/>
          <w:szCs w:val="24"/>
        </w:rPr>
      </w:pPr>
      <w:r w:rsidRPr="007D487F">
        <w:rPr>
          <w:rFonts w:ascii="Times New Roman" w:eastAsia="Times New Roman" w:hAnsi="Times New Roman"/>
          <w:sz w:val="24"/>
          <w:szCs w:val="24"/>
        </w:rPr>
        <w:t>“Changes tend to happen when people pay attention to the problems,” said attorney Barry Montgomery.</w:t>
      </w:r>
      <w:r>
        <w:rPr>
          <w:rFonts w:ascii="Times New Roman" w:eastAsia="Times New Roman" w:hAnsi="Times New Roman"/>
          <w:sz w:val="24"/>
          <w:szCs w:val="24"/>
        </w:rPr>
        <w:t xml:space="preserve"> </w:t>
      </w:r>
      <w:r w:rsidRPr="007D487F">
        <w:rPr>
          <w:rFonts w:ascii="Times New Roman" w:eastAsia="Times New Roman" w:hAnsi="Times New Roman"/>
          <w:sz w:val="24"/>
          <w:szCs w:val="24"/>
        </w:rPr>
        <w:t>Montgomery is the attorney for the two women: Karen Baka, a current Norfolk Fire Marshal, and Karen Barnes, who retired from the Fire Marshal’s Office after 30 years of service.</w:t>
      </w:r>
      <w:r>
        <w:rPr>
          <w:rFonts w:ascii="Times New Roman" w:eastAsia="Times New Roman" w:hAnsi="Times New Roman"/>
          <w:sz w:val="24"/>
          <w:szCs w:val="24"/>
        </w:rPr>
        <w:t xml:space="preserve"> </w:t>
      </w:r>
      <w:r w:rsidRPr="007D487F">
        <w:rPr>
          <w:rFonts w:ascii="Times New Roman" w:eastAsia="Times New Roman" w:hAnsi="Times New Roman"/>
          <w:sz w:val="24"/>
          <w:szCs w:val="24"/>
        </w:rPr>
        <w:t>Baka, who has been with Norfolk Fire since 1985, says she has been overlooked on purpose for promotions.</w:t>
      </w:r>
      <w:r>
        <w:rPr>
          <w:rFonts w:ascii="Times New Roman" w:eastAsia="Times New Roman" w:hAnsi="Times New Roman"/>
          <w:sz w:val="24"/>
          <w:szCs w:val="24"/>
        </w:rPr>
        <w:t xml:space="preserve"> ‘</w:t>
      </w:r>
      <w:r w:rsidRPr="007D487F">
        <w:rPr>
          <w:rFonts w:ascii="Times New Roman" w:eastAsia="Times New Roman" w:hAnsi="Times New Roman"/>
          <w:sz w:val="24"/>
          <w:szCs w:val="24"/>
        </w:rPr>
        <w:t>One of her major complaints is failure to not get promoted,</w:t>
      </w:r>
      <w:r>
        <w:rPr>
          <w:rFonts w:ascii="Times New Roman" w:eastAsia="Times New Roman" w:hAnsi="Times New Roman"/>
          <w:sz w:val="24"/>
          <w:szCs w:val="24"/>
        </w:rPr>
        <w:t>’</w:t>
      </w:r>
      <w:r w:rsidRPr="007D487F">
        <w:rPr>
          <w:rFonts w:ascii="Times New Roman" w:eastAsia="Times New Roman" w:hAnsi="Times New Roman"/>
          <w:sz w:val="24"/>
          <w:szCs w:val="24"/>
        </w:rPr>
        <w:t xml:space="preserve"> Montgomery said.  “She filed for promotion three separate times for lieutenant and was denied each time.  The job went to male firefighters who did not have as much experience as she did.  She noticed that happened after she made her complaints.”</w:t>
      </w:r>
      <w:r>
        <w:rPr>
          <w:rFonts w:ascii="Times New Roman" w:eastAsia="Times New Roman" w:hAnsi="Times New Roman"/>
          <w:sz w:val="24"/>
          <w:szCs w:val="24"/>
        </w:rPr>
        <w:t xml:space="preserve"> </w:t>
      </w:r>
      <w:r w:rsidRPr="007D487F">
        <w:rPr>
          <w:rFonts w:ascii="Times New Roman" w:eastAsia="Times New Roman" w:hAnsi="Times New Roman"/>
          <w:sz w:val="24"/>
          <w:szCs w:val="24"/>
        </w:rPr>
        <w:t xml:space="preserve">Barnes, who retired as a lieutenant, says she felt threatened, humiliated and picked on by her boss.  She was told at times that if she went behind his </w:t>
      </w:r>
      <w:proofErr w:type="gramStart"/>
      <w:r w:rsidRPr="007D487F">
        <w:rPr>
          <w:rFonts w:ascii="Times New Roman" w:eastAsia="Times New Roman" w:hAnsi="Times New Roman"/>
          <w:sz w:val="24"/>
          <w:szCs w:val="24"/>
        </w:rPr>
        <w:t>back</w:t>
      </w:r>
      <w:proofErr w:type="gramEnd"/>
      <w:r w:rsidRPr="007D487F">
        <w:rPr>
          <w:rFonts w:ascii="Times New Roman" w:eastAsia="Times New Roman" w:hAnsi="Times New Roman"/>
          <w:sz w:val="24"/>
          <w:szCs w:val="24"/>
        </w:rPr>
        <w:t xml:space="preserve"> she would feel his wrath.</w:t>
      </w:r>
      <w:r>
        <w:rPr>
          <w:rFonts w:ascii="Times New Roman" w:eastAsia="Times New Roman" w:hAnsi="Times New Roman"/>
          <w:sz w:val="24"/>
          <w:szCs w:val="24"/>
        </w:rPr>
        <w:t>”</w:t>
      </w:r>
    </w:p>
    <w:p w14:paraId="37C43A5F" w14:textId="77777777" w:rsidR="00727951" w:rsidRPr="006539C7" w:rsidRDefault="00727951" w:rsidP="00727951">
      <w:pPr>
        <w:spacing w:before="100" w:beforeAutospacing="1" w:after="100" w:afterAutospacing="1" w:line="240" w:lineRule="auto"/>
        <w:rPr>
          <w:rFonts w:ascii="Times New Roman" w:eastAsia="Times New Roman" w:hAnsi="Times New Roman"/>
          <w:b/>
          <w:bCs/>
          <w:sz w:val="24"/>
          <w:szCs w:val="24"/>
        </w:rPr>
      </w:pPr>
      <w:r w:rsidRPr="006539C7">
        <w:rPr>
          <w:rFonts w:ascii="Times New Roman" w:hAnsi="Times New Roman"/>
          <w:b/>
          <w:bCs/>
          <w:sz w:val="24"/>
          <w:szCs w:val="24"/>
        </w:rPr>
        <w:t>Legal Lesson Learned:</w:t>
      </w:r>
      <w:r>
        <w:rPr>
          <w:rFonts w:ascii="Times New Roman" w:hAnsi="Times New Roman"/>
          <w:b/>
          <w:bCs/>
          <w:sz w:val="24"/>
          <w:szCs w:val="24"/>
        </w:rPr>
        <w:t xml:space="preserve"> Claims of retaliation, particularly after an internal complaint of hostile workplace has been submitted to the employer, can be difficult to defend before a jury. </w:t>
      </w:r>
    </w:p>
    <w:p w14:paraId="7E001876" w14:textId="77777777" w:rsidR="00727951" w:rsidRDefault="00727951" w:rsidP="00727951">
      <w:pPr>
        <w:pStyle w:val="Heading1"/>
        <w:ind w:left="720"/>
        <w:rPr>
          <w:b w:val="0"/>
          <w:bCs w:val="0"/>
          <w:sz w:val="24"/>
          <w:szCs w:val="24"/>
        </w:rPr>
      </w:pPr>
      <w:r w:rsidRPr="00FF3DE1">
        <w:rPr>
          <w:b w:val="0"/>
          <w:bCs w:val="0"/>
          <w:sz w:val="24"/>
          <w:szCs w:val="24"/>
        </w:rPr>
        <w:t xml:space="preserve">Note: </w:t>
      </w:r>
      <w:r>
        <w:rPr>
          <w:b w:val="0"/>
          <w:bCs w:val="0"/>
          <w:sz w:val="24"/>
          <w:szCs w:val="24"/>
        </w:rPr>
        <w:t xml:space="preserve">Reportedly, plaintiff settled a prior lawsuit against the </w:t>
      </w:r>
      <w:proofErr w:type="gramStart"/>
      <w:r>
        <w:rPr>
          <w:b w:val="0"/>
          <w:bCs w:val="0"/>
          <w:sz w:val="24"/>
          <w:szCs w:val="24"/>
        </w:rPr>
        <w:t>City</w:t>
      </w:r>
      <w:proofErr w:type="gramEnd"/>
      <w:r>
        <w:rPr>
          <w:b w:val="0"/>
          <w:bCs w:val="0"/>
          <w:sz w:val="24"/>
          <w:szCs w:val="24"/>
        </w:rPr>
        <w:t xml:space="preserve"> for $87,000. </w:t>
      </w:r>
    </w:p>
    <w:p w14:paraId="64B771C8" w14:textId="77777777" w:rsidR="00727951" w:rsidRPr="00FF3DE1" w:rsidRDefault="00727951" w:rsidP="00727951">
      <w:pPr>
        <w:pStyle w:val="Heading1"/>
        <w:ind w:left="720"/>
        <w:rPr>
          <w:b w:val="0"/>
          <w:bCs w:val="0"/>
          <w:sz w:val="24"/>
          <w:szCs w:val="24"/>
        </w:rPr>
      </w:pPr>
      <w:r>
        <w:rPr>
          <w:b w:val="0"/>
          <w:bCs w:val="0"/>
          <w:sz w:val="24"/>
          <w:szCs w:val="24"/>
        </w:rPr>
        <w:t xml:space="preserve">See </w:t>
      </w:r>
      <w:r w:rsidRPr="00FF3DE1">
        <w:rPr>
          <w:b w:val="0"/>
          <w:bCs w:val="0"/>
          <w:sz w:val="24"/>
          <w:szCs w:val="24"/>
        </w:rPr>
        <w:t xml:space="preserve">March 13, </w:t>
      </w:r>
      <w:proofErr w:type="gramStart"/>
      <w:r w:rsidRPr="00FF3DE1">
        <w:rPr>
          <w:b w:val="0"/>
          <w:bCs w:val="0"/>
          <w:sz w:val="24"/>
          <w:szCs w:val="24"/>
        </w:rPr>
        <w:t>2022</w:t>
      </w:r>
      <w:proofErr w:type="gramEnd"/>
      <w:r>
        <w:rPr>
          <w:b w:val="0"/>
          <w:bCs w:val="0"/>
          <w:sz w:val="24"/>
          <w:szCs w:val="24"/>
        </w:rPr>
        <w:t xml:space="preserve"> article</w:t>
      </w:r>
      <w:r w:rsidRPr="00FF3DE1">
        <w:rPr>
          <w:b w:val="0"/>
          <w:bCs w:val="0"/>
          <w:sz w:val="24"/>
          <w:szCs w:val="24"/>
        </w:rPr>
        <w:t>.</w:t>
      </w:r>
      <w:r>
        <w:rPr>
          <w:sz w:val="24"/>
          <w:szCs w:val="24"/>
        </w:rPr>
        <w:t xml:space="preserve"> “</w:t>
      </w:r>
      <w:r w:rsidRPr="00FF3DE1">
        <w:rPr>
          <w:b w:val="0"/>
          <w:bCs w:val="0"/>
          <w:sz w:val="24"/>
          <w:szCs w:val="24"/>
        </w:rPr>
        <w:t xml:space="preserve">Court Refuses to Dismiss State Law Claims in Norfolk Retaliation Suit.” </w:t>
      </w:r>
      <w:hyperlink r:id="rId1389" w:history="1">
        <w:r w:rsidRPr="000247F2">
          <w:rPr>
            <w:rStyle w:val="Hyperlink"/>
            <w:rFonts w:eastAsiaTheme="majorEastAsia"/>
            <w:b w:val="0"/>
            <w:bCs w:val="0"/>
            <w:sz w:val="24"/>
            <w:szCs w:val="24"/>
          </w:rPr>
          <w:t>https://www.firelawblog.com/2022/03/13/court-refuses-to-dismiss-state-law-claims-in-norfolk-retaliation-suit/</w:t>
        </w:r>
      </w:hyperlink>
      <w:r>
        <w:rPr>
          <w:b w:val="0"/>
          <w:bCs w:val="0"/>
          <w:sz w:val="24"/>
          <w:szCs w:val="24"/>
        </w:rPr>
        <w:t xml:space="preserve"> </w:t>
      </w:r>
    </w:p>
    <w:p w14:paraId="6C94FCDD" w14:textId="77777777" w:rsidR="00727951" w:rsidRDefault="00727951" w:rsidP="00727951">
      <w:pPr>
        <w:pStyle w:val="NormalWeb"/>
        <w:ind w:left="1440"/>
      </w:pPr>
      <w:r>
        <w:t>The US District Court for the Eastern District of Virginia has refused to dismiss the state law claims of a fire investigator with Norfolk Fire-Rescue who alleges sexual harassment, discrimination, retaliation, and violation of Virginia’s Whistleblower Protection Act.</w:t>
      </w:r>
    </w:p>
    <w:p w14:paraId="2AB5AA1D" w14:textId="77777777" w:rsidR="00727951" w:rsidRDefault="00727951" w:rsidP="00727951">
      <w:pPr>
        <w:pStyle w:val="NormalWeb"/>
        <w:ind w:left="1440"/>
      </w:pPr>
      <w:r>
        <w:t xml:space="preserve">Karen Baka filed the suit last year. It was her second suit against the city. Baka had previously filed a gender discrimination suit in 2019. That suit ultimately settled for $87,000. </w:t>
      </w:r>
    </w:p>
    <w:p w14:paraId="68768599" w14:textId="77777777" w:rsidR="00E3473F" w:rsidRDefault="00E3473F" w:rsidP="00F326E5">
      <w:pPr>
        <w:pStyle w:val="NoSpacing"/>
        <w:rPr>
          <w:rFonts w:ascii="Arial Black" w:hAnsi="Arial Black"/>
          <w:sz w:val="24"/>
          <w:szCs w:val="24"/>
        </w:rPr>
      </w:pPr>
    </w:p>
    <w:p w14:paraId="24BCAEE5" w14:textId="4D704E3E" w:rsidR="00727951" w:rsidRDefault="00727951" w:rsidP="00F326E5">
      <w:pPr>
        <w:pStyle w:val="NoSpacing"/>
        <w:rPr>
          <w:rFonts w:ascii="Arial Black" w:hAnsi="Arial Black"/>
          <w:sz w:val="24"/>
          <w:szCs w:val="24"/>
        </w:rPr>
      </w:pPr>
      <w:r>
        <w:rPr>
          <w:rFonts w:ascii="Arial Black" w:hAnsi="Arial Black"/>
          <w:sz w:val="24"/>
          <w:szCs w:val="24"/>
        </w:rPr>
        <w:t xml:space="preserve">7-41 </w:t>
      </w:r>
      <w:r w:rsidRPr="00E3473F">
        <w:rPr>
          <w:rFonts w:ascii="Times New Roman" w:hAnsi="Times New Roman"/>
          <w:sz w:val="24"/>
          <w:szCs w:val="24"/>
        </w:rPr>
        <w:t>[also filed, Chap. 18]</w:t>
      </w:r>
    </w:p>
    <w:p w14:paraId="5155AF29" w14:textId="5F2DA151" w:rsidR="00727951" w:rsidRDefault="00727951" w:rsidP="00F326E5">
      <w:pPr>
        <w:pStyle w:val="NoSpacing"/>
        <w:rPr>
          <w:rFonts w:ascii="Arial Black" w:hAnsi="Arial Black"/>
          <w:sz w:val="24"/>
          <w:szCs w:val="24"/>
        </w:rPr>
      </w:pPr>
    </w:p>
    <w:p w14:paraId="35ADCEBE" w14:textId="77777777" w:rsidR="00727951" w:rsidRPr="00D61E07" w:rsidRDefault="00727951" w:rsidP="00727951">
      <w:pPr>
        <w:pStyle w:val="Heading1"/>
        <w:rPr>
          <w:rFonts w:ascii="Arial Black" w:hAnsi="Arial Black"/>
          <w:sz w:val="28"/>
          <w:szCs w:val="28"/>
        </w:rPr>
      </w:pPr>
      <w:r>
        <w:rPr>
          <w:rFonts w:ascii="Arial Black" w:hAnsi="Arial Black"/>
          <w:sz w:val="28"/>
          <w:szCs w:val="28"/>
        </w:rPr>
        <w:t>DC: SEXUAL HARASSMENT OR ASSAULT – NEW FEDERAL LAW - INVALID EMPLOYEE MANDATORY ARBITRATIONS</w:t>
      </w:r>
    </w:p>
    <w:p w14:paraId="67E11E85" w14:textId="77777777" w:rsidR="00727951" w:rsidRPr="00D61E07" w:rsidRDefault="00727951" w:rsidP="00727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On March 3, 2022, President Biden signed into law the “</w:t>
      </w:r>
      <w:r w:rsidRPr="00D61E07">
        <w:rPr>
          <w:rFonts w:ascii="Times New Roman" w:hAnsi="Times New Roman"/>
          <w:sz w:val="24"/>
          <w:szCs w:val="24"/>
        </w:rPr>
        <w:t>Ending Forced Arbitration of Sexual Assault and Sexual Harassment Act</w:t>
      </w:r>
      <w:r>
        <w:rPr>
          <w:rFonts w:ascii="Times New Roman" w:hAnsi="Times New Roman"/>
          <w:sz w:val="24"/>
          <w:szCs w:val="24"/>
        </w:rPr>
        <w:t xml:space="preserve">.”  The law amends the Federal Arbitration Act to prohibit mandatory arbitration of sexual harassment and sexual assault claims in arbitration agreements. </w:t>
      </w:r>
      <w:hyperlink r:id="rId1390" w:history="1">
        <w:r w:rsidRPr="005A2A16">
          <w:rPr>
            <w:rStyle w:val="Hyperlink"/>
            <w:rFonts w:ascii="Times New Roman" w:eastAsia="Times New Roman" w:hAnsi="Times New Roman"/>
            <w:sz w:val="24"/>
            <w:szCs w:val="24"/>
          </w:rPr>
          <w:t>https://www.congress.gov/bill/117th-congress/house-bill/4445/text</w:t>
        </w:r>
      </w:hyperlink>
    </w:p>
    <w:p w14:paraId="425CC9CE" w14:textId="77777777" w:rsidR="00727951" w:rsidRPr="00AD3667" w:rsidRDefault="00727951" w:rsidP="00727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sz w:val="24"/>
          <w:szCs w:val="24"/>
        </w:rPr>
      </w:pPr>
    </w:p>
    <w:p w14:paraId="7CB6B67A" w14:textId="77777777" w:rsidR="00727951" w:rsidRPr="00BC5C71" w:rsidRDefault="00727951" w:rsidP="00727951">
      <w:pPr>
        <w:pStyle w:val="ListParagraph"/>
        <w:numPr>
          <w:ilvl w:val="0"/>
          <w:numId w:val="14"/>
        </w:numPr>
        <w:tabs>
          <w:tab w:val="left" w:pos="916"/>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C5C71">
        <w:rPr>
          <w:rFonts w:ascii="Times New Roman" w:eastAsia="Times New Roman" w:hAnsi="Times New Roman" w:cs="Times New Roman"/>
          <w:sz w:val="24"/>
          <w:szCs w:val="24"/>
        </w:rPr>
        <w:t xml:space="preserve">In General - Notwithstanding any other provision of this title, at the election of the person alleging conduct constituting a sexual harassment dispute or sexual assault dispute, or the named representative of a class or in a collective action alleging such conduct, no </w:t>
      </w:r>
      <w:proofErr w:type="spellStart"/>
      <w:r w:rsidRPr="00BC5C71">
        <w:rPr>
          <w:rFonts w:ascii="Times New Roman" w:eastAsia="Times New Roman" w:hAnsi="Times New Roman" w:cs="Times New Roman"/>
          <w:sz w:val="24"/>
          <w:szCs w:val="24"/>
        </w:rPr>
        <w:t>predispute</w:t>
      </w:r>
      <w:proofErr w:type="spellEnd"/>
      <w:r w:rsidRPr="00BC5C71">
        <w:rPr>
          <w:rFonts w:ascii="Times New Roman" w:eastAsia="Times New Roman" w:hAnsi="Times New Roman" w:cs="Times New Roman"/>
          <w:sz w:val="24"/>
          <w:szCs w:val="24"/>
        </w:rPr>
        <w:t xml:space="preserve"> arbitration agreement or </w:t>
      </w:r>
      <w:proofErr w:type="spellStart"/>
      <w:r w:rsidRPr="00BC5C71">
        <w:rPr>
          <w:rFonts w:ascii="Times New Roman" w:eastAsia="Times New Roman" w:hAnsi="Times New Roman" w:cs="Times New Roman"/>
          <w:sz w:val="24"/>
          <w:szCs w:val="24"/>
        </w:rPr>
        <w:t>predispute</w:t>
      </w:r>
      <w:proofErr w:type="spellEnd"/>
      <w:r w:rsidRPr="00BC5C71">
        <w:rPr>
          <w:rFonts w:ascii="Times New Roman" w:eastAsia="Times New Roman" w:hAnsi="Times New Roman" w:cs="Times New Roman"/>
          <w:sz w:val="24"/>
          <w:szCs w:val="24"/>
        </w:rPr>
        <w:t xml:space="preserve"> joint-action waiver shall be valid or enforceable with respect to a case which is filed under Federal, Tribal, or State law and relates to the sexual assault dispute or the sexual harassment dispute.</w:t>
      </w:r>
    </w:p>
    <w:p w14:paraId="088373F0" w14:textId="77777777" w:rsidR="00727951" w:rsidRDefault="00727951" w:rsidP="00727951">
      <w:pPr>
        <w:pStyle w:val="HTMLPreformatted"/>
        <w:jc w:val="both"/>
        <w:rPr>
          <w:rFonts w:ascii="Times New Roman" w:hAnsi="Times New Roman" w:cs="Times New Roman"/>
          <w:sz w:val="24"/>
          <w:szCs w:val="24"/>
        </w:rPr>
      </w:pPr>
    </w:p>
    <w:p w14:paraId="36037D5A" w14:textId="77777777" w:rsidR="00727951" w:rsidRPr="002D6970" w:rsidRDefault="00727951" w:rsidP="00727951">
      <w:pPr>
        <w:pStyle w:val="HTMLPreformatted"/>
        <w:numPr>
          <w:ilvl w:val="0"/>
          <w:numId w:val="14"/>
        </w:numPr>
        <w:jc w:val="both"/>
        <w:rPr>
          <w:rFonts w:ascii="Times New Roman" w:hAnsi="Times New Roman" w:cs="Times New Roman"/>
          <w:sz w:val="24"/>
          <w:szCs w:val="24"/>
        </w:rPr>
      </w:pPr>
      <w:r w:rsidRPr="002D6970">
        <w:rPr>
          <w:rFonts w:ascii="Times New Roman" w:hAnsi="Times New Roman" w:cs="Times New Roman"/>
          <w:sz w:val="24"/>
          <w:szCs w:val="24"/>
        </w:rPr>
        <w:t>Determination of Applicability. An issue as to whether this chapter applies with respect to a dispute shall be determined under Federal law. The applicability of this chapter to an agreement to arbitrate and the validity and enforceability of an agreement to which this chapter applies shall be determined by a court, rather than an arbitrator, irrespective of whether the party resisting arbitration challenges the arbitration agreement specifically or in conjunction with other terms of the contract containing such agreement, and irrespective of whether the agreement purports to delegate such determinations to an arbitrator.''</w:t>
      </w:r>
    </w:p>
    <w:p w14:paraId="3EECC441" w14:textId="77777777" w:rsidR="00727951" w:rsidRPr="00D61E07" w:rsidRDefault="00727951" w:rsidP="00727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sz w:val="24"/>
          <w:szCs w:val="24"/>
        </w:rPr>
      </w:pPr>
      <w:hyperlink r:id="rId1391" w:history="1">
        <w:r w:rsidRPr="005A2A16">
          <w:rPr>
            <w:rStyle w:val="Hyperlink"/>
            <w:rFonts w:ascii="Times New Roman" w:eastAsia="Times New Roman" w:hAnsi="Times New Roman"/>
            <w:sz w:val="24"/>
            <w:szCs w:val="24"/>
          </w:rPr>
          <w:t>https://www.congress.gov/bill/117th-congress/house-bill/4445/text</w:t>
        </w:r>
      </w:hyperlink>
    </w:p>
    <w:p w14:paraId="1C31D44C" w14:textId="77777777" w:rsidR="00727951" w:rsidRDefault="00727951" w:rsidP="00727951">
      <w:pPr>
        <w:pStyle w:val="Heading1"/>
        <w:rPr>
          <w:sz w:val="24"/>
          <w:szCs w:val="24"/>
        </w:rPr>
      </w:pPr>
      <w:r w:rsidRPr="002D6970">
        <w:rPr>
          <w:sz w:val="24"/>
          <w:szCs w:val="24"/>
        </w:rPr>
        <w:t xml:space="preserve">Legal Lesson Learned: </w:t>
      </w:r>
      <w:r>
        <w:rPr>
          <w:sz w:val="24"/>
          <w:szCs w:val="24"/>
        </w:rPr>
        <w:t xml:space="preserve">Fire &amp; EMS departments should review their Employee Handbooks and other documents and remove any provision requiring arbitration for claims of sexual harassment or sexual assault. </w:t>
      </w:r>
    </w:p>
    <w:p w14:paraId="3EAA238D" w14:textId="77777777" w:rsidR="00727951" w:rsidRDefault="00727951" w:rsidP="00727951">
      <w:pPr>
        <w:pStyle w:val="Heading1"/>
        <w:ind w:left="720"/>
        <w:rPr>
          <w:b w:val="0"/>
          <w:bCs w:val="0"/>
          <w:sz w:val="24"/>
          <w:szCs w:val="24"/>
        </w:rPr>
      </w:pPr>
      <w:r>
        <w:rPr>
          <w:b w:val="0"/>
          <w:bCs w:val="0"/>
          <w:sz w:val="24"/>
          <w:szCs w:val="24"/>
        </w:rPr>
        <w:t xml:space="preserve">Note:  </w:t>
      </w:r>
    </w:p>
    <w:p w14:paraId="2022BE0D" w14:textId="77777777" w:rsidR="00727951" w:rsidRPr="00AD3667" w:rsidRDefault="00727951" w:rsidP="00727951">
      <w:pPr>
        <w:pStyle w:val="Heading2"/>
        <w:ind w:left="720"/>
        <w:rPr>
          <w:rFonts w:ascii="Times New Roman" w:hAnsi="Times New Roman"/>
          <w:sz w:val="24"/>
          <w:szCs w:val="24"/>
        </w:rPr>
      </w:pPr>
      <w:r w:rsidRPr="00AD3667">
        <w:rPr>
          <w:rFonts w:ascii="Times New Roman" w:hAnsi="Times New Roman"/>
          <w:sz w:val="24"/>
          <w:szCs w:val="24"/>
        </w:rPr>
        <w:t xml:space="preserve">March 28, 2022: </w:t>
      </w:r>
      <w:r>
        <w:rPr>
          <w:rFonts w:ascii="Times New Roman" w:hAnsi="Times New Roman"/>
          <w:sz w:val="24"/>
          <w:szCs w:val="24"/>
        </w:rPr>
        <w:t>“</w:t>
      </w:r>
      <w:r w:rsidRPr="00AD3667">
        <w:rPr>
          <w:rFonts w:ascii="Times New Roman" w:hAnsi="Times New Roman"/>
          <w:sz w:val="24"/>
          <w:szCs w:val="24"/>
        </w:rPr>
        <w:t>Moving Away from Mandatory Arbitration Over Sexual Assault and Harassment Claims</w:t>
      </w:r>
      <w:r>
        <w:rPr>
          <w:rFonts w:ascii="Times New Roman" w:hAnsi="Times New Roman"/>
          <w:sz w:val="24"/>
          <w:szCs w:val="24"/>
        </w:rPr>
        <w:t xml:space="preserve">.” </w:t>
      </w:r>
      <w:hyperlink r:id="rId1392" w:history="1">
        <w:r w:rsidRPr="007C2998">
          <w:rPr>
            <w:rStyle w:val="Hyperlink"/>
            <w:rFonts w:ascii="Times New Roman" w:hAnsi="Times New Roman"/>
            <w:sz w:val="24"/>
            <w:szCs w:val="24"/>
          </w:rPr>
          <w:t>https://fisheldowney.com/moving-away-mandatory-arbitration-sexual-assault-harassment-claims/</w:t>
        </w:r>
      </w:hyperlink>
      <w:r>
        <w:rPr>
          <w:rFonts w:ascii="Times New Roman" w:hAnsi="Times New Roman"/>
          <w:sz w:val="24"/>
          <w:szCs w:val="24"/>
        </w:rPr>
        <w:t xml:space="preserve"> </w:t>
      </w:r>
    </w:p>
    <w:p w14:paraId="6FE1CCCA" w14:textId="77777777" w:rsidR="00727951" w:rsidRPr="00AD3667" w:rsidRDefault="00727951" w:rsidP="00727951">
      <w:pPr>
        <w:pStyle w:val="Heading1"/>
        <w:ind w:left="1440"/>
        <w:rPr>
          <w:b w:val="0"/>
          <w:bCs w:val="0"/>
          <w:sz w:val="24"/>
          <w:szCs w:val="24"/>
        </w:rPr>
      </w:pPr>
      <w:r>
        <w:rPr>
          <w:b w:val="0"/>
          <w:bCs w:val="0"/>
          <w:sz w:val="24"/>
          <w:szCs w:val="24"/>
        </w:rPr>
        <w:t>“</w:t>
      </w:r>
      <w:r w:rsidRPr="00AD3667">
        <w:rPr>
          <w:b w:val="0"/>
          <w:bCs w:val="0"/>
          <w:sz w:val="24"/>
          <w:szCs w:val="24"/>
        </w:rPr>
        <w:t xml:space="preserve">Given these changes to the FAA, it is critical for employers to review their arbitration agreements and remove any language indicating sexual assault or harassment claims must be arbitrated. The existence of such provisions could invalidate the agreement </w:t>
      </w:r>
      <w:proofErr w:type="gramStart"/>
      <w:r w:rsidRPr="00AD3667">
        <w:rPr>
          <w:b w:val="0"/>
          <w:bCs w:val="0"/>
          <w:sz w:val="24"/>
          <w:szCs w:val="24"/>
        </w:rPr>
        <w:t>in whole</w:t>
      </w:r>
      <w:proofErr w:type="gramEnd"/>
      <w:r w:rsidRPr="00AD3667">
        <w:rPr>
          <w:b w:val="0"/>
          <w:bCs w:val="0"/>
          <w:sz w:val="24"/>
          <w:szCs w:val="24"/>
        </w:rPr>
        <w:t xml:space="preserve"> or in part. In addition to revising the arbitration agreement provisions in the employee handbook or collective bargaining agreement, employers should also tighten their procedures and requirements for investigating and reporting sexual harassment and assault to avoid liability. In terms of reporting procedures, employers should have clearly defined persons of contact for reporting.</w:t>
      </w:r>
      <w:r>
        <w:rPr>
          <w:b w:val="0"/>
          <w:bCs w:val="0"/>
          <w:sz w:val="24"/>
          <w:szCs w:val="24"/>
        </w:rPr>
        <w:t>”</w:t>
      </w:r>
    </w:p>
    <w:p w14:paraId="447A59F1" w14:textId="77777777" w:rsidR="00727951" w:rsidRDefault="00727951" w:rsidP="00727951">
      <w:pPr>
        <w:pStyle w:val="Heading1"/>
        <w:ind w:left="720"/>
        <w:rPr>
          <w:b w:val="0"/>
          <w:bCs w:val="0"/>
          <w:sz w:val="24"/>
          <w:szCs w:val="24"/>
        </w:rPr>
      </w:pPr>
      <w:r w:rsidRPr="002D6970">
        <w:rPr>
          <w:b w:val="0"/>
          <w:bCs w:val="0"/>
          <w:sz w:val="24"/>
          <w:szCs w:val="24"/>
        </w:rPr>
        <w:t xml:space="preserve">March 3, 2022: “Biden signs bill to end forced arbitration in sexual harassment, assault cases.” </w:t>
      </w:r>
      <w:hyperlink r:id="rId1393" w:history="1">
        <w:r w:rsidRPr="005A2A16">
          <w:rPr>
            <w:rStyle w:val="Hyperlink"/>
            <w:rFonts w:eastAsiaTheme="majorEastAsia"/>
            <w:b w:val="0"/>
            <w:bCs w:val="0"/>
            <w:sz w:val="24"/>
            <w:szCs w:val="24"/>
          </w:rPr>
          <w:t>https://www.kktv.com/2022/03/03/biden-sign-bill-ending-forced-arbitration-sexual-harassment-assault-cases/</w:t>
        </w:r>
      </w:hyperlink>
    </w:p>
    <w:p w14:paraId="24D9566F" w14:textId="77777777" w:rsidR="00727951" w:rsidRPr="002D6970" w:rsidRDefault="00727951" w:rsidP="00727951">
      <w:pPr>
        <w:pStyle w:val="Heading1"/>
        <w:ind w:left="1440"/>
        <w:rPr>
          <w:b w:val="0"/>
          <w:bCs w:val="0"/>
          <w:sz w:val="24"/>
          <w:szCs w:val="24"/>
        </w:rPr>
      </w:pPr>
      <w:r w:rsidRPr="00E42A32">
        <w:rPr>
          <w:b w:val="0"/>
          <w:bCs w:val="0"/>
          <w:sz w:val="24"/>
          <w:szCs w:val="24"/>
        </w:rPr>
        <w:t xml:space="preserve">The law is retroactive, freeing individuals who have been bound by </w:t>
      </w:r>
      <w:proofErr w:type="gramStart"/>
      <w:r w:rsidRPr="00E42A32">
        <w:rPr>
          <w:b w:val="0"/>
          <w:bCs w:val="0"/>
          <w:sz w:val="24"/>
          <w:szCs w:val="24"/>
        </w:rPr>
        <w:t>arbitration language</w:t>
      </w:r>
      <w:proofErr w:type="gramEnd"/>
      <w:r w:rsidRPr="00E42A32">
        <w:rPr>
          <w:b w:val="0"/>
          <w:bCs w:val="0"/>
          <w:sz w:val="24"/>
          <w:szCs w:val="24"/>
        </w:rPr>
        <w:t xml:space="preserve"> to pursue legal action against their harassers.</w:t>
      </w:r>
      <w:r>
        <w:rPr>
          <w:b w:val="0"/>
          <w:bCs w:val="0"/>
          <w:sz w:val="24"/>
          <w:szCs w:val="24"/>
        </w:rPr>
        <w:t xml:space="preserve"> </w:t>
      </w:r>
    </w:p>
    <w:p w14:paraId="40D598AC" w14:textId="77777777" w:rsidR="00727951" w:rsidRPr="00E42A32" w:rsidRDefault="00727951" w:rsidP="00727951">
      <w:pPr>
        <w:pStyle w:val="Heading1"/>
        <w:ind w:left="720"/>
        <w:rPr>
          <w:b w:val="0"/>
          <w:bCs w:val="0"/>
          <w:sz w:val="24"/>
          <w:szCs w:val="24"/>
        </w:rPr>
      </w:pPr>
      <w:r>
        <w:rPr>
          <w:b w:val="0"/>
          <w:bCs w:val="0"/>
          <w:sz w:val="24"/>
          <w:szCs w:val="24"/>
        </w:rPr>
        <w:t>March 1, 2022: “</w:t>
      </w:r>
      <w:r w:rsidRPr="00E42A32">
        <w:rPr>
          <w:b w:val="0"/>
          <w:bCs w:val="0"/>
          <w:sz w:val="24"/>
          <w:szCs w:val="24"/>
        </w:rPr>
        <w:t xml:space="preserve">Congress Votes </w:t>
      </w:r>
      <w:proofErr w:type="gramStart"/>
      <w:r w:rsidRPr="00E42A32">
        <w:rPr>
          <w:b w:val="0"/>
          <w:bCs w:val="0"/>
          <w:sz w:val="24"/>
          <w:szCs w:val="24"/>
        </w:rPr>
        <w:t>To</w:t>
      </w:r>
      <w:proofErr w:type="gramEnd"/>
      <w:r w:rsidRPr="00E42A32">
        <w:rPr>
          <w:b w:val="0"/>
          <w:bCs w:val="0"/>
          <w:sz w:val="24"/>
          <w:szCs w:val="24"/>
        </w:rPr>
        <w:t xml:space="preserve"> End Mandatory Arbitration </w:t>
      </w:r>
      <w:proofErr w:type="gramStart"/>
      <w:r w:rsidRPr="00E42A32">
        <w:rPr>
          <w:b w:val="0"/>
          <w:bCs w:val="0"/>
          <w:sz w:val="24"/>
          <w:szCs w:val="24"/>
        </w:rPr>
        <w:t>Of</w:t>
      </w:r>
      <w:proofErr w:type="gramEnd"/>
      <w:r w:rsidRPr="00E42A32">
        <w:rPr>
          <w:b w:val="0"/>
          <w:bCs w:val="0"/>
          <w:sz w:val="24"/>
          <w:szCs w:val="24"/>
        </w:rPr>
        <w:t xml:space="preserve"> Sexual Assault </w:t>
      </w:r>
      <w:proofErr w:type="gramStart"/>
      <w:r w:rsidRPr="00E42A32">
        <w:rPr>
          <w:b w:val="0"/>
          <w:bCs w:val="0"/>
          <w:sz w:val="24"/>
          <w:szCs w:val="24"/>
        </w:rPr>
        <w:t>And</w:t>
      </w:r>
      <w:proofErr w:type="gramEnd"/>
      <w:r w:rsidRPr="00E42A32">
        <w:rPr>
          <w:b w:val="0"/>
          <w:bCs w:val="0"/>
          <w:sz w:val="24"/>
          <w:szCs w:val="24"/>
        </w:rPr>
        <w:t xml:space="preserve"> Sexual Harassment Claims</w:t>
      </w:r>
      <w:r>
        <w:rPr>
          <w:b w:val="0"/>
          <w:bCs w:val="0"/>
          <w:sz w:val="24"/>
          <w:szCs w:val="24"/>
        </w:rPr>
        <w:t xml:space="preserve">.: </w:t>
      </w:r>
      <w:hyperlink r:id="rId1394" w:history="1">
        <w:r w:rsidRPr="005A2A16">
          <w:rPr>
            <w:rStyle w:val="Hyperlink"/>
            <w:rFonts w:eastAsiaTheme="majorEastAsia"/>
            <w:b w:val="0"/>
            <w:bCs w:val="0"/>
            <w:sz w:val="24"/>
            <w:szCs w:val="24"/>
          </w:rPr>
          <w:t>https://www.natlawreview.com/article/congress-votes-to-end-mandatory-arbitration-sexual-assault-and-sexual-harassment</w:t>
        </w:r>
      </w:hyperlink>
      <w:r>
        <w:rPr>
          <w:b w:val="0"/>
          <w:bCs w:val="0"/>
          <w:sz w:val="24"/>
          <w:szCs w:val="24"/>
        </w:rPr>
        <w:t xml:space="preserve"> </w:t>
      </w:r>
    </w:p>
    <w:p w14:paraId="74929011" w14:textId="77777777" w:rsidR="00727951" w:rsidRDefault="00727951" w:rsidP="00F326E5">
      <w:pPr>
        <w:pStyle w:val="NoSpacing"/>
        <w:rPr>
          <w:rFonts w:ascii="Arial Black" w:hAnsi="Arial Black"/>
          <w:sz w:val="24"/>
          <w:szCs w:val="24"/>
        </w:rPr>
      </w:pPr>
    </w:p>
    <w:p w14:paraId="1EFDC43B" w14:textId="77777777" w:rsidR="00727951" w:rsidRDefault="00727951" w:rsidP="00F326E5">
      <w:pPr>
        <w:pStyle w:val="NoSpacing"/>
        <w:rPr>
          <w:rFonts w:ascii="Arial Black" w:hAnsi="Arial Black"/>
          <w:sz w:val="24"/>
          <w:szCs w:val="24"/>
        </w:rPr>
      </w:pPr>
    </w:p>
    <w:p w14:paraId="2037CC9C" w14:textId="4BB94E4D" w:rsidR="00255E41" w:rsidRPr="005644A4" w:rsidRDefault="005644A4" w:rsidP="00F326E5">
      <w:pPr>
        <w:pStyle w:val="NoSpacing"/>
        <w:rPr>
          <w:rFonts w:ascii="Arial Black" w:hAnsi="Arial Black"/>
          <w:sz w:val="24"/>
          <w:szCs w:val="24"/>
        </w:rPr>
      </w:pPr>
      <w:r w:rsidRPr="005644A4">
        <w:rPr>
          <w:rFonts w:ascii="Arial Black" w:hAnsi="Arial Black"/>
          <w:sz w:val="24"/>
          <w:szCs w:val="24"/>
        </w:rPr>
        <w:t>7-40</w:t>
      </w:r>
    </w:p>
    <w:p w14:paraId="20065990" w14:textId="77777777" w:rsidR="00727951" w:rsidRDefault="00727951" w:rsidP="005644A4">
      <w:pPr>
        <w:rPr>
          <w:rFonts w:ascii="Arial Black" w:hAnsi="Arial Black" w:cs="Arial"/>
          <w:sz w:val="28"/>
          <w:szCs w:val="28"/>
        </w:rPr>
      </w:pPr>
      <w:bookmarkStart w:id="281" w:name="_Hlk92114256"/>
      <w:bookmarkStart w:id="282" w:name="_Hlk7344031"/>
    </w:p>
    <w:p w14:paraId="3D8D325B" w14:textId="50491DBA" w:rsidR="005644A4" w:rsidRPr="00DB2B5C" w:rsidRDefault="005644A4" w:rsidP="005644A4">
      <w:pPr>
        <w:rPr>
          <w:rFonts w:ascii="Arial Black" w:hAnsi="Arial Black" w:cs="Arial"/>
          <w:sz w:val="28"/>
          <w:szCs w:val="28"/>
        </w:rPr>
      </w:pPr>
      <w:r>
        <w:rPr>
          <w:rFonts w:ascii="Arial Black" w:hAnsi="Arial Black" w:cs="Arial"/>
          <w:sz w:val="28"/>
          <w:szCs w:val="28"/>
        </w:rPr>
        <w:t>DE: FEMALE FF LAWSUIT TO PROCEED – “ME TOO” EVIDENCE BY OTHER FF OF HOSTILE WORKPLACE</w:t>
      </w:r>
    </w:p>
    <w:p w14:paraId="6CD1B0C9" w14:textId="77777777" w:rsidR="005644A4" w:rsidRDefault="005644A4" w:rsidP="005644A4">
      <w:pPr>
        <w:rPr>
          <w:rFonts w:ascii="Times New Roman" w:eastAsia="Times New Roman" w:hAnsi="Times New Roman"/>
          <w:sz w:val="24"/>
          <w:szCs w:val="24"/>
        </w:rPr>
      </w:pPr>
      <w:r w:rsidRPr="00835368">
        <w:rPr>
          <w:rFonts w:ascii="Times New Roman" w:hAnsi="Times New Roman"/>
          <w:sz w:val="24"/>
          <w:szCs w:val="24"/>
        </w:rPr>
        <w:t xml:space="preserve">On </w:t>
      </w:r>
      <w:r>
        <w:rPr>
          <w:rFonts w:ascii="Times New Roman" w:hAnsi="Times New Roman"/>
          <w:sz w:val="24"/>
          <w:szCs w:val="24"/>
        </w:rPr>
        <w:t xml:space="preserve">Dec. 3, 2021, in </w:t>
      </w:r>
      <w:r w:rsidRPr="00835368">
        <w:rPr>
          <w:rFonts w:ascii="Times New Roman" w:hAnsi="Times New Roman"/>
          <w:sz w:val="24"/>
          <w:szCs w:val="24"/>
          <w:u w:val="single"/>
        </w:rPr>
        <w:t>April D. Molchan v. Delmar Fire Department, Inc.</w:t>
      </w:r>
      <w:r>
        <w:rPr>
          <w:rFonts w:ascii="Times New Roman" w:hAnsi="Times New Roman"/>
          <w:sz w:val="24"/>
          <w:szCs w:val="24"/>
        </w:rPr>
        <w:t>, U.S. District Court Judge Maryellen Noreika, U.S. District Court for District of Delaware, denied in part the FD’s motion for summary judgment.  The Judge ruled there is sufficient evidence misconduct by former Fire Chief “</w:t>
      </w:r>
      <w:r w:rsidRPr="0082464F">
        <w:rPr>
          <w:rFonts w:ascii="Times New Roman" w:eastAsia="Times New Roman" w:hAnsi="Times New Roman"/>
          <w:sz w:val="24"/>
          <w:szCs w:val="24"/>
        </w:rPr>
        <w:t>because several declarants appear to have experienced or witnessed</w:t>
      </w:r>
      <w:r>
        <w:rPr>
          <w:rFonts w:ascii="Times New Roman" w:eastAsia="Times New Roman" w:hAnsi="Times New Roman"/>
          <w:sz w:val="24"/>
          <w:szCs w:val="24"/>
        </w:rPr>
        <w:t xml:space="preserve">” conduct.”  The Judge dismissed the plaintiff’s retaliation claim; she was removed from paid position, along with two other paid firefighters, based on bylaw changing requiring all personnel to either be paid or volunteer members.  </w:t>
      </w:r>
    </w:p>
    <w:p w14:paraId="43780628" w14:textId="77777777" w:rsidR="005644A4" w:rsidRPr="0082464F" w:rsidRDefault="005644A4" w:rsidP="005644A4">
      <w:pPr>
        <w:spacing w:before="100" w:beforeAutospacing="1" w:after="100" w:afterAutospacing="1" w:line="240" w:lineRule="auto"/>
        <w:ind w:left="720" w:firstLine="60"/>
        <w:rPr>
          <w:rFonts w:ascii="Times New Roman" w:eastAsia="Times New Roman" w:hAnsi="Times New Roman"/>
          <w:sz w:val="24"/>
          <w:szCs w:val="24"/>
        </w:rPr>
      </w:pPr>
      <w:r>
        <w:rPr>
          <w:rFonts w:ascii="Times New Roman" w:eastAsia="Times New Roman" w:hAnsi="Times New Roman"/>
          <w:sz w:val="24"/>
          <w:szCs w:val="24"/>
        </w:rPr>
        <w:t>“</w:t>
      </w:r>
      <w:r w:rsidRPr="00F02628">
        <w:rPr>
          <w:rFonts w:ascii="Times New Roman" w:eastAsia="Times New Roman" w:hAnsi="Times New Roman"/>
          <w:sz w:val="24"/>
          <w:szCs w:val="24"/>
        </w:rPr>
        <w:t xml:space="preserve">According to the Supreme Court, </w:t>
      </w:r>
      <w:r>
        <w:rPr>
          <w:rFonts w:ascii="Times New Roman" w:eastAsia="Times New Roman" w:hAnsi="Times New Roman"/>
          <w:sz w:val="24"/>
          <w:szCs w:val="24"/>
        </w:rPr>
        <w:t>‘</w:t>
      </w:r>
      <w:r w:rsidRPr="00F02628">
        <w:rPr>
          <w:rFonts w:ascii="Times New Roman" w:eastAsia="Times New Roman" w:hAnsi="Times New Roman"/>
          <w:sz w:val="24"/>
          <w:szCs w:val="24"/>
        </w:rPr>
        <w:t>me too</w:t>
      </w:r>
      <w:r>
        <w:rPr>
          <w:rFonts w:ascii="Times New Roman" w:eastAsia="Times New Roman" w:hAnsi="Times New Roman"/>
          <w:sz w:val="24"/>
          <w:szCs w:val="24"/>
        </w:rPr>
        <w:t>’</w:t>
      </w:r>
      <w:r w:rsidRPr="00F02628">
        <w:rPr>
          <w:rFonts w:ascii="Times New Roman" w:eastAsia="Times New Roman" w:hAnsi="Times New Roman"/>
          <w:sz w:val="24"/>
          <w:szCs w:val="24"/>
        </w:rPr>
        <w:t xml:space="preserve"> evidence is neither </w:t>
      </w:r>
      <w:r>
        <w:rPr>
          <w:rFonts w:ascii="Times New Roman" w:eastAsia="Times New Roman" w:hAnsi="Times New Roman"/>
          <w:sz w:val="24"/>
          <w:szCs w:val="24"/>
        </w:rPr>
        <w:t>‘</w:t>
      </w:r>
      <w:r w:rsidRPr="00F02628">
        <w:rPr>
          <w:rFonts w:ascii="Times New Roman" w:eastAsia="Times New Roman" w:hAnsi="Times New Roman"/>
          <w:i/>
          <w:iCs/>
          <w:sz w:val="24"/>
          <w:szCs w:val="24"/>
        </w:rPr>
        <w:t>per se</w:t>
      </w:r>
      <w:r w:rsidRPr="00F02628">
        <w:rPr>
          <w:rFonts w:ascii="Times New Roman" w:eastAsia="Times New Roman" w:hAnsi="Times New Roman"/>
          <w:sz w:val="24"/>
          <w:szCs w:val="24"/>
        </w:rPr>
        <w:t xml:space="preserve"> admissible or </w:t>
      </w:r>
      <w:r w:rsidRPr="00F02628">
        <w:rPr>
          <w:rFonts w:ascii="Times New Roman" w:eastAsia="Times New Roman" w:hAnsi="Times New Roman"/>
          <w:i/>
          <w:iCs/>
          <w:sz w:val="24"/>
          <w:szCs w:val="24"/>
        </w:rPr>
        <w:t>per se</w:t>
      </w:r>
      <w:r w:rsidRPr="00F02628">
        <w:rPr>
          <w:rFonts w:ascii="Times New Roman" w:eastAsia="Times New Roman" w:hAnsi="Times New Roman"/>
          <w:sz w:val="24"/>
          <w:szCs w:val="24"/>
        </w:rPr>
        <w:t xml:space="preserve"> inadmissible.</w:t>
      </w:r>
      <w:r>
        <w:rPr>
          <w:rFonts w:ascii="Times New Roman" w:eastAsia="Times New Roman" w:hAnsi="Times New Roman"/>
          <w:sz w:val="24"/>
          <w:szCs w:val="24"/>
        </w:rPr>
        <w:t>’</w:t>
      </w:r>
      <w:r w:rsidRPr="00F02628">
        <w:rPr>
          <w:rFonts w:ascii="Times New Roman" w:eastAsia="Times New Roman" w:hAnsi="Times New Roman"/>
          <w:sz w:val="24"/>
          <w:szCs w:val="24"/>
        </w:rPr>
        <w:t xml:space="preserve"> </w:t>
      </w:r>
      <w:r w:rsidRPr="00F02628">
        <w:rPr>
          <w:rFonts w:ascii="Times New Roman" w:eastAsia="Times New Roman" w:hAnsi="Times New Roman"/>
          <w:i/>
          <w:iCs/>
          <w:sz w:val="24"/>
          <w:szCs w:val="24"/>
        </w:rPr>
        <w:t>Sprint/United Mgmt. Co. v. Mendelsohn</w:t>
      </w:r>
      <w:r w:rsidRPr="00F02628">
        <w:rPr>
          <w:rFonts w:ascii="Times New Roman" w:eastAsia="Times New Roman" w:hAnsi="Times New Roman"/>
          <w:sz w:val="24"/>
          <w:szCs w:val="24"/>
        </w:rPr>
        <w:t xml:space="preserve">, 552 U.S. 379, 388 (2008). The determination of the relevance of this evidence </w:t>
      </w:r>
      <w:r>
        <w:rPr>
          <w:rFonts w:ascii="Times New Roman" w:eastAsia="Times New Roman" w:hAnsi="Times New Roman"/>
          <w:sz w:val="24"/>
          <w:szCs w:val="24"/>
        </w:rPr>
        <w:t>‘</w:t>
      </w:r>
      <w:r w:rsidRPr="00F02628">
        <w:rPr>
          <w:rFonts w:ascii="Times New Roman" w:eastAsia="Times New Roman" w:hAnsi="Times New Roman"/>
          <w:sz w:val="24"/>
          <w:szCs w:val="24"/>
        </w:rPr>
        <w:t>is fact based and depends on several factors, including how closely related the evidence is to the plaintiff's circumstances and theory of the case.</w:t>
      </w:r>
      <w:r>
        <w:rPr>
          <w:rFonts w:ascii="Times New Roman" w:eastAsia="Times New Roman" w:hAnsi="Times New Roman"/>
          <w:sz w:val="24"/>
          <w:szCs w:val="24"/>
        </w:rPr>
        <w:t>’</w:t>
      </w:r>
      <w:r w:rsidRPr="00F02628">
        <w:rPr>
          <w:rFonts w:ascii="Times New Roman" w:eastAsia="Times New Roman" w:hAnsi="Times New Roman"/>
          <w:sz w:val="24"/>
          <w:szCs w:val="24"/>
        </w:rPr>
        <w:t xml:space="preserve"> </w:t>
      </w:r>
      <w:r w:rsidRPr="00F02628">
        <w:rPr>
          <w:rFonts w:ascii="Times New Roman" w:eastAsia="Times New Roman" w:hAnsi="Times New Roman"/>
          <w:i/>
          <w:iCs/>
          <w:sz w:val="24"/>
          <w:szCs w:val="24"/>
        </w:rPr>
        <w:t>Mandel</w:t>
      </w:r>
      <w:r w:rsidRPr="00F02628">
        <w:rPr>
          <w:rFonts w:ascii="Times New Roman" w:eastAsia="Times New Roman" w:hAnsi="Times New Roman"/>
          <w:sz w:val="24"/>
          <w:szCs w:val="24"/>
        </w:rPr>
        <w:t xml:space="preserve">, 706 F.3d at 167. Here, the Court is persuaded that at least some of the offered </w:t>
      </w:r>
      <w:r>
        <w:rPr>
          <w:rFonts w:ascii="Times New Roman" w:eastAsia="Times New Roman" w:hAnsi="Times New Roman"/>
          <w:sz w:val="24"/>
          <w:szCs w:val="24"/>
        </w:rPr>
        <w:t>‘</w:t>
      </w:r>
      <w:r w:rsidRPr="00F02628">
        <w:rPr>
          <w:rFonts w:ascii="Times New Roman" w:eastAsia="Times New Roman" w:hAnsi="Times New Roman"/>
          <w:sz w:val="24"/>
          <w:szCs w:val="24"/>
        </w:rPr>
        <w:t>me too</w:t>
      </w:r>
      <w:r>
        <w:rPr>
          <w:rFonts w:ascii="Times New Roman" w:eastAsia="Times New Roman" w:hAnsi="Times New Roman"/>
          <w:sz w:val="24"/>
          <w:szCs w:val="24"/>
        </w:rPr>
        <w:t xml:space="preserve">’ </w:t>
      </w:r>
      <w:r w:rsidRPr="00F02628">
        <w:rPr>
          <w:rFonts w:ascii="Times New Roman" w:eastAsia="Times New Roman" w:hAnsi="Times New Roman"/>
          <w:sz w:val="24"/>
          <w:szCs w:val="24"/>
        </w:rPr>
        <w:t xml:space="preserve">evidence is relevant, at least because several declarants appear to have experienced or witnessed Rementer's harassment and suggest that Delmar FD was aware of repeated instances of it. Some of the evidence also suggests that </w:t>
      </w:r>
      <w:r>
        <w:rPr>
          <w:rFonts w:ascii="Times New Roman" w:eastAsia="Times New Roman" w:hAnsi="Times New Roman"/>
          <w:sz w:val="24"/>
          <w:szCs w:val="24"/>
        </w:rPr>
        <w:t xml:space="preserve">[former Fire Chief Andrew] </w:t>
      </w:r>
      <w:r w:rsidRPr="00F02628">
        <w:rPr>
          <w:rFonts w:ascii="Times New Roman" w:eastAsia="Times New Roman" w:hAnsi="Times New Roman"/>
          <w:sz w:val="24"/>
          <w:szCs w:val="24"/>
        </w:rPr>
        <w:t xml:space="preserve">Rementer's conduct was well-known within the fire department and thus may bear on whether Plaintiff subjectively perceived the environment to be abusive. And finding that, the Court is persuaded that genuine issues of material fact exist that preclude summary judgment of Plaintiff's hostile work environment </w:t>
      </w:r>
      <w:proofErr w:type="gramStart"/>
      <w:r w:rsidRPr="00F02628">
        <w:rPr>
          <w:rFonts w:ascii="Times New Roman" w:eastAsia="Times New Roman" w:hAnsi="Times New Roman"/>
          <w:sz w:val="24"/>
          <w:szCs w:val="24"/>
        </w:rPr>
        <w:t>claim.</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hyperlink r:id="rId1395" w:history="1">
        <w:r w:rsidRPr="004065C6">
          <w:rPr>
            <w:rStyle w:val="Hyperlink"/>
            <w:rFonts w:ascii="Times New Roman" w:eastAsia="Times New Roman" w:hAnsi="Times New Roman"/>
            <w:sz w:val="24"/>
            <w:szCs w:val="24"/>
          </w:rPr>
          <w:t>https://casetext.com/case/molchan-v-delmar-fire-dept-1</w:t>
        </w:r>
      </w:hyperlink>
      <w:r>
        <w:rPr>
          <w:rFonts w:ascii="Times New Roman" w:eastAsia="Times New Roman" w:hAnsi="Times New Roman"/>
          <w:sz w:val="24"/>
          <w:szCs w:val="24"/>
        </w:rPr>
        <w:t xml:space="preserve"> </w:t>
      </w:r>
    </w:p>
    <w:p w14:paraId="43B13FBB" w14:textId="77777777" w:rsidR="005644A4" w:rsidRPr="00FA336A" w:rsidRDefault="005644A4" w:rsidP="005644A4">
      <w:pPr>
        <w:spacing w:before="100" w:beforeAutospacing="1" w:after="100" w:afterAutospacing="1" w:line="240" w:lineRule="auto"/>
        <w:rPr>
          <w:rFonts w:ascii="Times New Roman" w:eastAsia="Times New Roman" w:hAnsi="Times New Roman"/>
          <w:b/>
          <w:bCs/>
          <w:sz w:val="24"/>
          <w:szCs w:val="24"/>
        </w:rPr>
      </w:pPr>
      <w:bookmarkStart w:id="283" w:name="_Hlk92114275"/>
      <w:bookmarkEnd w:id="281"/>
      <w:r w:rsidRPr="00F02628">
        <w:rPr>
          <w:rFonts w:ascii="Times New Roman" w:hAnsi="Times New Roman"/>
          <w:b/>
          <w:bCs/>
          <w:sz w:val="24"/>
          <w:szCs w:val="24"/>
        </w:rPr>
        <w:t>Legal Lesson Learned:</w:t>
      </w:r>
      <w:r>
        <w:rPr>
          <w:rFonts w:ascii="Times New Roman" w:hAnsi="Times New Roman"/>
          <w:b/>
          <w:bCs/>
          <w:sz w:val="24"/>
          <w:szCs w:val="24"/>
        </w:rPr>
        <w:t xml:space="preserve"> “Me too” evidence can be very damaging when presented by numerous witnesses to the jury.  </w:t>
      </w:r>
    </w:p>
    <w:bookmarkEnd w:id="283"/>
    <w:p w14:paraId="003EDB04" w14:textId="77777777" w:rsidR="005644A4" w:rsidRDefault="005644A4" w:rsidP="002B1283">
      <w:pPr>
        <w:rPr>
          <w:rFonts w:ascii="Arial Black" w:hAnsi="Arial Black"/>
          <w:b/>
          <w:sz w:val="24"/>
          <w:szCs w:val="24"/>
        </w:rPr>
      </w:pPr>
    </w:p>
    <w:p w14:paraId="09F88003" w14:textId="77777777" w:rsidR="005644A4" w:rsidRDefault="005644A4" w:rsidP="002B1283">
      <w:pPr>
        <w:rPr>
          <w:rFonts w:ascii="Arial Black" w:hAnsi="Arial Black"/>
          <w:b/>
          <w:sz w:val="24"/>
          <w:szCs w:val="24"/>
        </w:rPr>
      </w:pPr>
    </w:p>
    <w:p w14:paraId="6BC7995B" w14:textId="751D8EB4" w:rsidR="00433119" w:rsidRDefault="00433119" w:rsidP="002B1283">
      <w:pPr>
        <w:rPr>
          <w:rFonts w:ascii="Arial Black" w:hAnsi="Arial Black"/>
          <w:b/>
          <w:sz w:val="24"/>
          <w:szCs w:val="24"/>
        </w:rPr>
      </w:pPr>
      <w:r>
        <w:rPr>
          <w:rFonts w:ascii="Arial Black" w:hAnsi="Arial Black"/>
          <w:b/>
          <w:sz w:val="24"/>
          <w:szCs w:val="24"/>
        </w:rPr>
        <w:t>7-39</w:t>
      </w:r>
    </w:p>
    <w:p w14:paraId="144195DC" w14:textId="77777777" w:rsidR="005644A4" w:rsidRPr="00DB2B5C" w:rsidRDefault="005644A4" w:rsidP="005644A4">
      <w:pPr>
        <w:rPr>
          <w:rFonts w:ascii="Arial Black" w:hAnsi="Arial Black" w:cs="Arial"/>
          <w:sz w:val="28"/>
          <w:szCs w:val="28"/>
        </w:rPr>
      </w:pPr>
      <w:r>
        <w:rPr>
          <w:rFonts w:ascii="Arial Black" w:hAnsi="Arial Black" w:cs="Arial"/>
          <w:sz w:val="28"/>
          <w:szCs w:val="28"/>
        </w:rPr>
        <w:t>DE: FEMALE FF LAWSUIT TO PROCEED – “ME TOO” EVIDENCE BY OTHER FF OF HOSTILE WORKPLACE</w:t>
      </w:r>
    </w:p>
    <w:p w14:paraId="331EC595" w14:textId="77777777" w:rsidR="005644A4" w:rsidRDefault="005644A4" w:rsidP="005644A4">
      <w:pPr>
        <w:rPr>
          <w:rFonts w:ascii="Times New Roman" w:eastAsia="Times New Roman" w:hAnsi="Times New Roman"/>
          <w:sz w:val="24"/>
          <w:szCs w:val="24"/>
        </w:rPr>
      </w:pPr>
      <w:r w:rsidRPr="00835368">
        <w:rPr>
          <w:rFonts w:ascii="Times New Roman" w:hAnsi="Times New Roman"/>
          <w:sz w:val="24"/>
          <w:szCs w:val="24"/>
        </w:rPr>
        <w:t xml:space="preserve">On </w:t>
      </w:r>
      <w:r>
        <w:rPr>
          <w:rFonts w:ascii="Times New Roman" w:hAnsi="Times New Roman"/>
          <w:sz w:val="24"/>
          <w:szCs w:val="24"/>
        </w:rPr>
        <w:t xml:space="preserve">Dec. 3, 2021, in </w:t>
      </w:r>
      <w:r w:rsidRPr="00835368">
        <w:rPr>
          <w:rFonts w:ascii="Times New Roman" w:hAnsi="Times New Roman"/>
          <w:sz w:val="24"/>
          <w:szCs w:val="24"/>
          <w:u w:val="single"/>
        </w:rPr>
        <w:t>April D. Molchan v. Delmar Fire Department, Inc.</w:t>
      </w:r>
      <w:r>
        <w:rPr>
          <w:rFonts w:ascii="Times New Roman" w:hAnsi="Times New Roman"/>
          <w:sz w:val="24"/>
          <w:szCs w:val="24"/>
        </w:rPr>
        <w:t>, U.S. District Court Judge Maryellen Noreika, U.S. District Court for District of Delaware, denied in part the FD’s motion for summary judgment.  The Judge ruled there is sufficient evidence misconduct by former Fire Chief “</w:t>
      </w:r>
      <w:r w:rsidRPr="0082464F">
        <w:rPr>
          <w:rFonts w:ascii="Times New Roman" w:eastAsia="Times New Roman" w:hAnsi="Times New Roman"/>
          <w:sz w:val="24"/>
          <w:szCs w:val="24"/>
        </w:rPr>
        <w:t>because several declarants appear to have experienced or witnessed</w:t>
      </w:r>
      <w:r>
        <w:rPr>
          <w:rFonts w:ascii="Times New Roman" w:eastAsia="Times New Roman" w:hAnsi="Times New Roman"/>
          <w:sz w:val="24"/>
          <w:szCs w:val="24"/>
        </w:rPr>
        <w:t xml:space="preserve">” conduct.”  The Judge dismissed the plaintiff’s retaliation claim; she was removed from paid position, along with two other paid firefighters, based on bylaw changing requiring all personnel to either be paid or volunteer members.  </w:t>
      </w:r>
    </w:p>
    <w:p w14:paraId="3E8EA27F" w14:textId="77777777" w:rsidR="005644A4" w:rsidRPr="0082464F" w:rsidRDefault="005644A4" w:rsidP="005644A4">
      <w:pPr>
        <w:spacing w:before="100" w:beforeAutospacing="1" w:after="100" w:afterAutospacing="1" w:line="240" w:lineRule="auto"/>
        <w:ind w:left="720" w:firstLine="60"/>
        <w:rPr>
          <w:rFonts w:ascii="Times New Roman" w:eastAsia="Times New Roman" w:hAnsi="Times New Roman"/>
          <w:sz w:val="24"/>
          <w:szCs w:val="24"/>
        </w:rPr>
      </w:pPr>
      <w:r>
        <w:rPr>
          <w:rFonts w:ascii="Times New Roman" w:eastAsia="Times New Roman" w:hAnsi="Times New Roman"/>
          <w:sz w:val="24"/>
          <w:szCs w:val="24"/>
        </w:rPr>
        <w:t>“</w:t>
      </w:r>
      <w:r w:rsidRPr="00F02628">
        <w:rPr>
          <w:rFonts w:ascii="Times New Roman" w:eastAsia="Times New Roman" w:hAnsi="Times New Roman"/>
          <w:sz w:val="24"/>
          <w:szCs w:val="24"/>
        </w:rPr>
        <w:t xml:space="preserve">According to the Supreme Court, </w:t>
      </w:r>
      <w:r>
        <w:rPr>
          <w:rFonts w:ascii="Times New Roman" w:eastAsia="Times New Roman" w:hAnsi="Times New Roman"/>
          <w:sz w:val="24"/>
          <w:szCs w:val="24"/>
        </w:rPr>
        <w:t>‘</w:t>
      </w:r>
      <w:r w:rsidRPr="00F02628">
        <w:rPr>
          <w:rFonts w:ascii="Times New Roman" w:eastAsia="Times New Roman" w:hAnsi="Times New Roman"/>
          <w:sz w:val="24"/>
          <w:szCs w:val="24"/>
        </w:rPr>
        <w:t>me too</w:t>
      </w:r>
      <w:r>
        <w:rPr>
          <w:rFonts w:ascii="Times New Roman" w:eastAsia="Times New Roman" w:hAnsi="Times New Roman"/>
          <w:sz w:val="24"/>
          <w:szCs w:val="24"/>
        </w:rPr>
        <w:t>’</w:t>
      </w:r>
      <w:r w:rsidRPr="00F02628">
        <w:rPr>
          <w:rFonts w:ascii="Times New Roman" w:eastAsia="Times New Roman" w:hAnsi="Times New Roman"/>
          <w:sz w:val="24"/>
          <w:szCs w:val="24"/>
        </w:rPr>
        <w:t xml:space="preserve"> evidence is neither </w:t>
      </w:r>
      <w:r>
        <w:rPr>
          <w:rFonts w:ascii="Times New Roman" w:eastAsia="Times New Roman" w:hAnsi="Times New Roman"/>
          <w:sz w:val="24"/>
          <w:szCs w:val="24"/>
        </w:rPr>
        <w:t>‘</w:t>
      </w:r>
      <w:r w:rsidRPr="00F02628">
        <w:rPr>
          <w:rFonts w:ascii="Times New Roman" w:eastAsia="Times New Roman" w:hAnsi="Times New Roman"/>
          <w:i/>
          <w:iCs/>
          <w:sz w:val="24"/>
          <w:szCs w:val="24"/>
        </w:rPr>
        <w:t>per se</w:t>
      </w:r>
      <w:r w:rsidRPr="00F02628">
        <w:rPr>
          <w:rFonts w:ascii="Times New Roman" w:eastAsia="Times New Roman" w:hAnsi="Times New Roman"/>
          <w:sz w:val="24"/>
          <w:szCs w:val="24"/>
        </w:rPr>
        <w:t xml:space="preserve"> admissible or </w:t>
      </w:r>
      <w:r w:rsidRPr="00F02628">
        <w:rPr>
          <w:rFonts w:ascii="Times New Roman" w:eastAsia="Times New Roman" w:hAnsi="Times New Roman"/>
          <w:i/>
          <w:iCs/>
          <w:sz w:val="24"/>
          <w:szCs w:val="24"/>
        </w:rPr>
        <w:t>per se</w:t>
      </w:r>
      <w:r w:rsidRPr="00F02628">
        <w:rPr>
          <w:rFonts w:ascii="Times New Roman" w:eastAsia="Times New Roman" w:hAnsi="Times New Roman"/>
          <w:sz w:val="24"/>
          <w:szCs w:val="24"/>
        </w:rPr>
        <w:t xml:space="preserve"> inadmissible.</w:t>
      </w:r>
      <w:r>
        <w:rPr>
          <w:rFonts w:ascii="Times New Roman" w:eastAsia="Times New Roman" w:hAnsi="Times New Roman"/>
          <w:sz w:val="24"/>
          <w:szCs w:val="24"/>
        </w:rPr>
        <w:t>’</w:t>
      </w:r>
      <w:r w:rsidRPr="00F02628">
        <w:rPr>
          <w:rFonts w:ascii="Times New Roman" w:eastAsia="Times New Roman" w:hAnsi="Times New Roman"/>
          <w:sz w:val="24"/>
          <w:szCs w:val="24"/>
        </w:rPr>
        <w:t xml:space="preserve"> </w:t>
      </w:r>
      <w:r w:rsidRPr="00F02628">
        <w:rPr>
          <w:rFonts w:ascii="Times New Roman" w:eastAsia="Times New Roman" w:hAnsi="Times New Roman"/>
          <w:i/>
          <w:iCs/>
          <w:sz w:val="24"/>
          <w:szCs w:val="24"/>
        </w:rPr>
        <w:t>Sprint/United Mgmt. Co. v. Mendelsohn</w:t>
      </w:r>
      <w:r w:rsidRPr="00F02628">
        <w:rPr>
          <w:rFonts w:ascii="Times New Roman" w:eastAsia="Times New Roman" w:hAnsi="Times New Roman"/>
          <w:sz w:val="24"/>
          <w:szCs w:val="24"/>
        </w:rPr>
        <w:t xml:space="preserve">, 552 U.S. 379, 388 (2008). The determination of the relevance of this evidence </w:t>
      </w:r>
      <w:r>
        <w:rPr>
          <w:rFonts w:ascii="Times New Roman" w:eastAsia="Times New Roman" w:hAnsi="Times New Roman"/>
          <w:sz w:val="24"/>
          <w:szCs w:val="24"/>
        </w:rPr>
        <w:t>‘</w:t>
      </w:r>
      <w:r w:rsidRPr="00F02628">
        <w:rPr>
          <w:rFonts w:ascii="Times New Roman" w:eastAsia="Times New Roman" w:hAnsi="Times New Roman"/>
          <w:sz w:val="24"/>
          <w:szCs w:val="24"/>
        </w:rPr>
        <w:t>is fact based and depends on several factors, including how closely related the evidence is to the plaintiff's circumstances and theory of the case.</w:t>
      </w:r>
      <w:r>
        <w:rPr>
          <w:rFonts w:ascii="Times New Roman" w:eastAsia="Times New Roman" w:hAnsi="Times New Roman"/>
          <w:sz w:val="24"/>
          <w:szCs w:val="24"/>
        </w:rPr>
        <w:t>’</w:t>
      </w:r>
      <w:r w:rsidRPr="00F02628">
        <w:rPr>
          <w:rFonts w:ascii="Times New Roman" w:eastAsia="Times New Roman" w:hAnsi="Times New Roman"/>
          <w:sz w:val="24"/>
          <w:szCs w:val="24"/>
        </w:rPr>
        <w:t xml:space="preserve"> </w:t>
      </w:r>
      <w:r w:rsidRPr="00F02628">
        <w:rPr>
          <w:rFonts w:ascii="Times New Roman" w:eastAsia="Times New Roman" w:hAnsi="Times New Roman"/>
          <w:i/>
          <w:iCs/>
          <w:sz w:val="24"/>
          <w:szCs w:val="24"/>
        </w:rPr>
        <w:t>Mandel</w:t>
      </w:r>
      <w:r w:rsidRPr="00F02628">
        <w:rPr>
          <w:rFonts w:ascii="Times New Roman" w:eastAsia="Times New Roman" w:hAnsi="Times New Roman"/>
          <w:sz w:val="24"/>
          <w:szCs w:val="24"/>
        </w:rPr>
        <w:t xml:space="preserve">, 706 F.3d at 167. Here, the Court is persuaded that at least some of the offered </w:t>
      </w:r>
      <w:r>
        <w:rPr>
          <w:rFonts w:ascii="Times New Roman" w:eastAsia="Times New Roman" w:hAnsi="Times New Roman"/>
          <w:sz w:val="24"/>
          <w:szCs w:val="24"/>
        </w:rPr>
        <w:t>‘</w:t>
      </w:r>
      <w:r w:rsidRPr="00F02628">
        <w:rPr>
          <w:rFonts w:ascii="Times New Roman" w:eastAsia="Times New Roman" w:hAnsi="Times New Roman"/>
          <w:sz w:val="24"/>
          <w:szCs w:val="24"/>
        </w:rPr>
        <w:t>me too</w:t>
      </w:r>
      <w:r>
        <w:rPr>
          <w:rFonts w:ascii="Times New Roman" w:eastAsia="Times New Roman" w:hAnsi="Times New Roman"/>
          <w:sz w:val="24"/>
          <w:szCs w:val="24"/>
        </w:rPr>
        <w:t xml:space="preserve">’ </w:t>
      </w:r>
      <w:r w:rsidRPr="00F02628">
        <w:rPr>
          <w:rFonts w:ascii="Times New Roman" w:eastAsia="Times New Roman" w:hAnsi="Times New Roman"/>
          <w:sz w:val="24"/>
          <w:szCs w:val="24"/>
        </w:rPr>
        <w:t xml:space="preserve">evidence is relevant, at least because several declarants appear to have experienced or witnessed Rementer's harassment and suggest that Delmar FD was aware of repeated instances of it. Some of the evidence also suggests that </w:t>
      </w:r>
      <w:r>
        <w:rPr>
          <w:rFonts w:ascii="Times New Roman" w:eastAsia="Times New Roman" w:hAnsi="Times New Roman"/>
          <w:sz w:val="24"/>
          <w:szCs w:val="24"/>
        </w:rPr>
        <w:t xml:space="preserve">[former Fire Chief Andrew] </w:t>
      </w:r>
      <w:r w:rsidRPr="00F02628">
        <w:rPr>
          <w:rFonts w:ascii="Times New Roman" w:eastAsia="Times New Roman" w:hAnsi="Times New Roman"/>
          <w:sz w:val="24"/>
          <w:szCs w:val="24"/>
        </w:rPr>
        <w:t xml:space="preserve">Rementer's conduct was well-known within the fire department and thus may bear on whether Plaintiff subjectively perceived the environment to be abusive. And finding that, the Court is persuaded that genuine issues of material fact exist that preclude summary judgment of Plaintiff's hostile work environment </w:t>
      </w:r>
      <w:proofErr w:type="gramStart"/>
      <w:r w:rsidRPr="00F02628">
        <w:rPr>
          <w:rFonts w:ascii="Times New Roman" w:eastAsia="Times New Roman" w:hAnsi="Times New Roman"/>
          <w:sz w:val="24"/>
          <w:szCs w:val="24"/>
        </w:rPr>
        <w:t>claim.</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hyperlink r:id="rId1396" w:history="1">
        <w:r w:rsidRPr="004065C6">
          <w:rPr>
            <w:rStyle w:val="Hyperlink"/>
            <w:rFonts w:ascii="Times New Roman" w:eastAsia="Times New Roman" w:hAnsi="Times New Roman"/>
            <w:sz w:val="24"/>
            <w:szCs w:val="24"/>
          </w:rPr>
          <w:t>https://casetext.com/case/molchan-v-delmar-fire-dept-1</w:t>
        </w:r>
      </w:hyperlink>
      <w:r>
        <w:rPr>
          <w:rFonts w:ascii="Times New Roman" w:eastAsia="Times New Roman" w:hAnsi="Times New Roman"/>
          <w:sz w:val="24"/>
          <w:szCs w:val="24"/>
        </w:rPr>
        <w:t xml:space="preserve"> </w:t>
      </w:r>
    </w:p>
    <w:p w14:paraId="65F45A7C" w14:textId="77777777" w:rsidR="005644A4" w:rsidRPr="00FA336A" w:rsidRDefault="005644A4" w:rsidP="005644A4">
      <w:pPr>
        <w:spacing w:before="100" w:beforeAutospacing="1" w:after="100" w:afterAutospacing="1" w:line="240" w:lineRule="auto"/>
        <w:rPr>
          <w:rFonts w:ascii="Times New Roman" w:eastAsia="Times New Roman" w:hAnsi="Times New Roman"/>
          <w:b/>
          <w:bCs/>
          <w:sz w:val="24"/>
          <w:szCs w:val="24"/>
        </w:rPr>
      </w:pPr>
      <w:r w:rsidRPr="00F02628">
        <w:rPr>
          <w:rFonts w:ascii="Times New Roman" w:hAnsi="Times New Roman"/>
          <w:b/>
          <w:bCs/>
          <w:sz w:val="24"/>
          <w:szCs w:val="24"/>
        </w:rPr>
        <w:t>Legal Lesson Learned:</w:t>
      </w:r>
      <w:r>
        <w:rPr>
          <w:rFonts w:ascii="Times New Roman" w:hAnsi="Times New Roman"/>
          <w:b/>
          <w:bCs/>
          <w:sz w:val="24"/>
          <w:szCs w:val="24"/>
        </w:rPr>
        <w:t xml:space="preserve"> “Me too” evidence can be very damaging when presented by numerous witnesses to the jury.  </w:t>
      </w:r>
    </w:p>
    <w:p w14:paraId="1822C4D3" w14:textId="77777777" w:rsidR="00433119" w:rsidRDefault="00433119" w:rsidP="002B1283">
      <w:pPr>
        <w:rPr>
          <w:rFonts w:ascii="Arial Black" w:hAnsi="Arial Black"/>
          <w:b/>
          <w:sz w:val="24"/>
          <w:szCs w:val="24"/>
        </w:rPr>
      </w:pPr>
    </w:p>
    <w:p w14:paraId="08E4A810" w14:textId="77777777" w:rsidR="00433119" w:rsidRDefault="00433119" w:rsidP="002B1283">
      <w:pPr>
        <w:rPr>
          <w:rFonts w:ascii="Arial Black" w:hAnsi="Arial Black"/>
          <w:b/>
          <w:sz w:val="24"/>
          <w:szCs w:val="24"/>
        </w:rPr>
      </w:pPr>
    </w:p>
    <w:p w14:paraId="3D21A657" w14:textId="63532CA5" w:rsidR="00D43015" w:rsidRDefault="00D43015" w:rsidP="002B1283">
      <w:pPr>
        <w:rPr>
          <w:rFonts w:ascii="Arial Black" w:hAnsi="Arial Black"/>
          <w:b/>
          <w:sz w:val="24"/>
          <w:szCs w:val="24"/>
        </w:rPr>
      </w:pPr>
      <w:r>
        <w:rPr>
          <w:rFonts w:ascii="Arial Black" w:hAnsi="Arial Black"/>
          <w:b/>
          <w:sz w:val="24"/>
          <w:szCs w:val="24"/>
        </w:rPr>
        <w:t>7-38</w:t>
      </w:r>
    </w:p>
    <w:p w14:paraId="7A877E36" w14:textId="77777777" w:rsidR="00D43015" w:rsidRDefault="00D43015" w:rsidP="00D43015">
      <w:pPr>
        <w:spacing w:before="100" w:beforeAutospacing="1" w:after="100" w:afterAutospacing="1" w:line="240" w:lineRule="auto"/>
        <w:rPr>
          <w:rStyle w:val="markedcontent"/>
          <w:rFonts w:ascii="Arial" w:hAnsi="Arial" w:cs="Arial"/>
          <w:sz w:val="30"/>
          <w:szCs w:val="30"/>
        </w:rPr>
      </w:pPr>
      <w:r>
        <w:rPr>
          <w:rStyle w:val="markedcontent"/>
          <w:rFonts w:ascii="Arial Black" w:hAnsi="Arial Black" w:cs="Arial"/>
          <w:sz w:val="28"/>
          <w:szCs w:val="28"/>
        </w:rPr>
        <w:t>MA: FEMALE PROMOTED TO CAPT – NO. 2 ASSESSMENT CENTER – THEN “DEEPLY FLAWED” INTERVIEW FIRE CHIEF / CITY OFFICIALS</w:t>
      </w:r>
    </w:p>
    <w:p w14:paraId="3B01E3F7" w14:textId="77777777" w:rsidR="00D43015" w:rsidRDefault="00D43015" w:rsidP="00D43015">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Nov. 18, 2021, in </w:t>
      </w:r>
      <w:r w:rsidRPr="009658E4">
        <w:rPr>
          <w:rStyle w:val="markedcontent"/>
          <w:rFonts w:ascii="Times New Roman" w:hAnsi="Times New Roman"/>
          <w:sz w:val="24"/>
          <w:szCs w:val="24"/>
          <w:u w:val="single"/>
        </w:rPr>
        <w:t>Tracy Blanchette v. City of Methuen</w:t>
      </w:r>
      <w:r>
        <w:rPr>
          <w:rStyle w:val="markedcontent"/>
          <w:rFonts w:ascii="Times New Roman" w:hAnsi="Times New Roman"/>
          <w:sz w:val="24"/>
          <w:szCs w:val="24"/>
          <w:u w:val="single"/>
        </w:rPr>
        <w:t xml:space="preserve"> and Matthew Tulley, </w:t>
      </w:r>
      <w:r>
        <w:rPr>
          <w:rStyle w:val="markedcontent"/>
          <w:rFonts w:ascii="Times New Roman" w:hAnsi="Times New Roman"/>
          <w:sz w:val="24"/>
          <w:szCs w:val="24"/>
        </w:rPr>
        <w:t xml:space="preserve">the Commonwealth of Massachusetts Civil Service Commission held (5 to 0) that firefighter Tracy Blanchette should have been promoted when a second Captain position came open, instead of firefighter Matthew Tulley, and rejected the City’s argument that she was not promoted because of a poor interview 14 months earlier during first Captain opening.  During that first promotion opportunity, a comprehensive Assessment Center ranked </w:t>
      </w:r>
      <w:proofErr w:type="spellStart"/>
      <w:r>
        <w:rPr>
          <w:rStyle w:val="markedcontent"/>
          <w:rFonts w:ascii="Times New Roman" w:hAnsi="Times New Roman"/>
          <w:sz w:val="24"/>
          <w:szCs w:val="24"/>
        </w:rPr>
        <w:t>Blanchtte</w:t>
      </w:r>
      <w:proofErr w:type="spellEnd"/>
      <w:r>
        <w:rPr>
          <w:rStyle w:val="markedcontent"/>
          <w:rFonts w:ascii="Times New Roman" w:hAnsi="Times New Roman"/>
          <w:sz w:val="24"/>
          <w:szCs w:val="24"/>
        </w:rPr>
        <w:t xml:space="preserve"> No. 2, but during the post-Assessment interviews of the four finalists by Fire Chief, Assistant Fire Chief, HR and Mayor’s Chief of Staff, she was ranked No. 4.  Civil Service Commissioner Cynthia A. </w:t>
      </w:r>
      <w:proofErr w:type="spellStart"/>
      <w:r>
        <w:rPr>
          <w:rStyle w:val="markedcontent"/>
          <w:rFonts w:ascii="Times New Roman" w:hAnsi="Times New Roman"/>
          <w:sz w:val="24"/>
          <w:szCs w:val="24"/>
        </w:rPr>
        <w:t>Ittleman</w:t>
      </w:r>
      <w:proofErr w:type="spellEnd"/>
      <w:r>
        <w:rPr>
          <w:rStyle w:val="markedcontent"/>
          <w:rFonts w:ascii="Times New Roman" w:hAnsi="Times New Roman"/>
          <w:sz w:val="24"/>
          <w:szCs w:val="24"/>
        </w:rPr>
        <w:t xml:space="preserve"> wrote a lengthy scathing decision, focusing on (1) Fire Chiefs prior friendship and 8-10 years working </w:t>
      </w:r>
      <w:proofErr w:type="gramStart"/>
      <w:r>
        <w:rPr>
          <w:rStyle w:val="markedcontent"/>
          <w:rFonts w:ascii="Times New Roman" w:hAnsi="Times New Roman"/>
          <w:sz w:val="24"/>
          <w:szCs w:val="24"/>
        </w:rPr>
        <w:t>off-duty</w:t>
      </w:r>
      <w:proofErr w:type="gramEnd"/>
      <w:r>
        <w:rPr>
          <w:rStyle w:val="markedcontent"/>
          <w:rFonts w:ascii="Times New Roman" w:hAnsi="Times New Roman"/>
          <w:sz w:val="24"/>
          <w:szCs w:val="24"/>
        </w:rPr>
        <w:t xml:space="preserve"> in Matthew Tully’s electrical business, and (2) the post-Assessment Center interviews were never recorded by video or audio (at HR’s recommendation). </w:t>
      </w:r>
    </w:p>
    <w:p w14:paraId="5293486E" w14:textId="77777777" w:rsidR="00D43015" w:rsidRPr="00356803" w:rsidRDefault="00D43015" w:rsidP="00D43015">
      <w:pPr>
        <w:spacing w:after="0" w:line="240" w:lineRule="auto"/>
        <w:ind w:left="720"/>
        <w:rPr>
          <w:rStyle w:val="markedcontent"/>
          <w:rFonts w:ascii="Times New Roman" w:hAnsi="Times New Roman"/>
          <w:sz w:val="24"/>
          <w:szCs w:val="24"/>
        </w:rPr>
      </w:pPr>
      <w:r>
        <w:rPr>
          <w:rFonts w:ascii="Times New Roman" w:eastAsia="Times New Roman" w:hAnsi="Times New Roman"/>
          <w:sz w:val="24"/>
          <w:szCs w:val="24"/>
        </w:rPr>
        <w:t xml:space="preserve">“[The City of] </w:t>
      </w:r>
      <w:r w:rsidRPr="001A7900">
        <w:rPr>
          <w:rFonts w:ascii="Times New Roman" w:eastAsia="Times New Roman" w:hAnsi="Times New Roman"/>
          <w:sz w:val="24"/>
          <w:szCs w:val="24"/>
        </w:rPr>
        <w:t>Methuen has failed to establish by a preponderance of credible evidence that it had reasonable justification to promote a male MFD firefighter to Fire Captain from an eligible list created after a comprehensive Assessment Center in which he ranked below the Appellant, a female firefighter with greater experience. Rather, the evidence shows that Methuen’s decision</w:t>
      </w:r>
      <w:r>
        <w:rPr>
          <w:rFonts w:ascii="Times New Roman" w:eastAsia="Times New Roman" w:hAnsi="Times New Roman"/>
          <w:sz w:val="24"/>
          <w:szCs w:val="24"/>
        </w:rPr>
        <w:t xml:space="preserve"> </w:t>
      </w:r>
      <w:r w:rsidRPr="001A7900">
        <w:rPr>
          <w:rFonts w:ascii="Times New Roman" w:eastAsia="Times New Roman" w:hAnsi="Times New Roman"/>
          <w:sz w:val="24"/>
          <w:szCs w:val="24"/>
        </w:rPr>
        <w:t>was based on the use of a highly subjective and flawed interview process intended to nullify the results of the Assessment Center in order to effectuate a predetermined decision to select a candidate favored by the Fire Chief as a matter of personal, not professional, preference, as well as to not disturb the MFD’s male-dominated culture. This selection process was not conducted on a level playing field and violates basic merit principles of civil service law.</w:t>
      </w:r>
      <w:r>
        <w:rPr>
          <w:rFonts w:ascii="Times New Roman" w:eastAsia="Times New Roman" w:hAnsi="Times New Roman"/>
          <w:sz w:val="24"/>
          <w:szCs w:val="24"/>
        </w:rPr>
        <w:t>”</w:t>
      </w:r>
      <w:r w:rsidRPr="00034238">
        <w:t xml:space="preserve"> </w:t>
      </w:r>
      <w:hyperlink r:id="rId1397" w:history="1">
        <w:r w:rsidRPr="0085682C">
          <w:rPr>
            <w:rStyle w:val="Hyperlink"/>
            <w:rFonts w:ascii="Times New Roman" w:hAnsi="Times New Roman"/>
            <w:sz w:val="24"/>
            <w:szCs w:val="24"/>
          </w:rPr>
          <w:t>https://www.mass.gov/doc/blanchette-tracy-v-city-of-methuen-111821/download</w:t>
        </w:r>
      </w:hyperlink>
      <w:r>
        <w:rPr>
          <w:rStyle w:val="markedcontent"/>
          <w:rFonts w:ascii="Times New Roman" w:hAnsi="Times New Roman"/>
          <w:sz w:val="24"/>
          <w:szCs w:val="24"/>
        </w:rPr>
        <w:t xml:space="preserve"> </w:t>
      </w:r>
    </w:p>
    <w:p w14:paraId="1329700B" w14:textId="383CB01A" w:rsidR="00D43015" w:rsidRDefault="00D43015" w:rsidP="002B1283">
      <w:pPr>
        <w:rPr>
          <w:rFonts w:ascii="Arial Black" w:hAnsi="Arial Black"/>
          <w:b/>
          <w:sz w:val="24"/>
          <w:szCs w:val="24"/>
        </w:rPr>
      </w:pPr>
    </w:p>
    <w:p w14:paraId="3062A91C" w14:textId="77777777" w:rsidR="00D43015" w:rsidRPr="007E2D4F" w:rsidRDefault="00D43015" w:rsidP="00D43015">
      <w:pPr>
        <w:spacing w:before="100" w:beforeAutospacing="1" w:after="100" w:afterAutospacing="1" w:line="240" w:lineRule="auto"/>
        <w:rPr>
          <w:rStyle w:val="markedcontent"/>
          <w:rFonts w:ascii="Times New Roman" w:hAnsi="Times New Roman"/>
          <w:b/>
          <w:bCs/>
          <w:sz w:val="24"/>
          <w:szCs w:val="24"/>
        </w:rPr>
      </w:pPr>
      <w:r w:rsidRPr="007E2D4F">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Video or audio record the post Assessment Center interviews.  The City may now appeal this decision to a court of law. </w:t>
      </w:r>
    </w:p>
    <w:p w14:paraId="53FE5F07" w14:textId="77777777" w:rsidR="00D43015" w:rsidRPr="005450F9" w:rsidRDefault="00D43015" w:rsidP="00D43015">
      <w:pPr>
        <w:spacing w:before="100" w:beforeAutospacing="1" w:after="100" w:afterAutospacing="1" w:line="240" w:lineRule="auto"/>
        <w:ind w:left="720"/>
        <w:rPr>
          <w:rFonts w:ascii="Times New Roman" w:eastAsia="Times New Roman" w:hAnsi="Times New Roman"/>
          <w:sz w:val="24"/>
          <w:szCs w:val="24"/>
        </w:rPr>
      </w:pPr>
      <w:r w:rsidRPr="005450F9">
        <w:rPr>
          <w:rStyle w:val="markedcontent"/>
          <w:rFonts w:ascii="Times New Roman" w:hAnsi="Times New Roman"/>
          <w:sz w:val="24"/>
          <w:szCs w:val="24"/>
        </w:rPr>
        <w:t>Note: See article on the decision:</w:t>
      </w:r>
      <w:r>
        <w:rPr>
          <w:rStyle w:val="markedcontent"/>
          <w:rFonts w:ascii="Times New Roman" w:hAnsi="Times New Roman"/>
          <w:sz w:val="24"/>
          <w:szCs w:val="24"/>
        </w:rPr>
        <w:t xml:space="preserve"> Nov. 24, 2021: </w:t>
      </w:r>
      <w:r w:rsidRPr="005450F9">
        <w:rPr>
          <w:rStyle w:val="markedcontent"/>
          <w:rFonts w:ascii="Times New Roman" w:hAnsi="Times New Roman"/>
          <w:sz w:val="24"/>
          <w:szCs w:val="24"/>
        </w:rPr>
        <w:t>“</w:t>
      </w:r>
      <w:r w:rsidRPr="005450F9">
        <w:rPr>
          <w:rFonts w:ascii="Times New Roman" w:hAnsi="Times New Roman"/>
          <w:sz w:val="24"/>
          <w:szCs w:val="24"/>
        </w:rPr>
        <w:t xml:space="preserve">Civil Service Commission sides with Mass. female FF-EMT passed over for promotion.” </w:t>
      </w:r>
      <w:hyperlink r:id="rId1398" w:history="1">
        <w:r w:rsidRPr="005450F9">
          <w:rPr>
            <w:rStyle w:val="Hyperlink"/>
            <w:rFonts w:ascii="Times New Roman" w:eastAsia="Times New Roman" w:hAnsi="Times New Roman"/>
            <w:sz w:val="24"/>
            <w:szCs w:val="24"/>
          </w:rPr>
          <w:t>https://www.firerescue1.com/discrimination/articles/civil-service-commission-sides-with-mass-female-ff-emt-passed-over-for-promotion-OvMbsXKeZfDYHswZ/?utm_source=twitter&amp;utm_medium=social&amp;utm_campaign=dlvrit</w:t>
        </w:r>
      </w:hyperlink>
      <w:r w:rsidRPr="005450F9">
        <w:rPr>
          <w:rFonts w:ascii="Times New Roman" w:eastAsia="Times New Roman" w:hAnsi="Times New Roman"/>
          <w:sz w:val="24"/>
          <w:szCs w:val="24"/>
        </w:rPr>
        <w:t xml:space="preserve"> </w:t>
      </w:r>
    </w:p>
    <w:p w14:paraId="0B3CA3C0" w14:textId="609070CC" w:rsidR="00D43015" w:rsidRPr="00D43015" w:rsidRDefault="00D43015" w:rsidP="00D43015">
      <w:pPr>
        <w:ind w:left="720"/>
        <w:rPr>
          <w:rFonts w:ascii="Times New Roman" w:hAnsi="Times New Roman"/>
          <w:b/>
          <w:sz w:val="24"/>
          <w:szCs w:val="24"/>
        </w:rPr>
      </w:pPr>
      <w:r w:rsidRPr="00D43015">
        <w:rPr>
          <w:rFonts w:ascii="Times New Roman" w:hAnsi="Times New Roman"/>
          <w:sz w:val="24"/>
          <w:szCs w:val="24"/>
        </w:rPr>
        <w:t xml:space="preserve">See also lawsuit: Nov. 11, 2020: “Mass. FF-EMT files gender discrimination lawsuit, says she was passed over for promotion.”  </w:t>
      </w:r>
      <w:hyperlink r:id="rId1399" w:history="1">
        <w:r w:rsidRPr="00D43015">
          <w:rPr>
            <w:rStyle w:val="Hyperlink"/>
            <w:rFonts w:ascii="Times New Roman" w:hAnsi="Times New Roman"/>
            <w:sz w:val="24"/>
            <w:szCs w:val="24"/>
          </w:rPr>
          <w:t>https://www.firerescue1.com/lawsuit/articles/mass-ff-emt-files-gender-discrimination-lawsuit-says-she-was-passed-over-for-promotion-k1Q0mMWcivLWcHoy/</w:t>
        </w:r>
      </w:hyperlink>
    </w:p>
    <w:p w14:paraId="797353A3" w14:textId="77777777" w:rsidR="00D43015" w:rsidRDefault="00D43015" w:rsidP="002B1283">
      <w:pPr>
        <w:rPr>
          <w:rFonts w:ascii="Arial Black" w:hAnsi="Arial Black"/>
          <w:b/>
          <w:sz w:val="24"/>
          <w:szCs w:val="24"/>
        </w:rPr>
      </w:pPr>
    </w:p>
    <w:p w14:paraId="6884500F" w14:textId="4EF71F29" w:rsidR="00C67B2A" w:rsidRDefault="00C67B2A" w:rsidP="002B1283">
      <w:pPr>
        <w:rPr>
          <w:rFonts w:ascii="Arial Black" w:hAnsi="Arial Black"/>
          <w:b/>
          <w:sz w:val="24"/>
          <w:szCs w:val="24"/>
        </w:rPr>
      </w:pPr>
      <w:r>
        <w:rPr>
          <w:rFonts w:ascii="Arial Black" w:hAnsi="Arial Black"/>
          <w:b/>
          <w:sz w:val="24"/>
          <w:szCs w:val="24"/>
        </w:rPr>
        <w:t>7-37</w:t>
      </w:r>
    </w:p>
    <w:p w14:paraId="176EE1F8" w14:textId="77777777" w:rsidR="00C67B2A" w:rsidRPr="00212250" w:rsidRDefault="00C67B2A" w:rsidP="00C67B2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LA: FIRE CHIEF (Ret) – “AT WILL” JOB – CONFRONTED BY FEMALE HE HAD DISCIPLINED - HE’S FIRED, NO CASE </w:t>
      </w:r>
    </w:p>
    <w:p w14:paraId="13DFA49D" w14:textId="77777777" w:rsidR="00C67B2A" w:rsidRDefault="00C67B2A" w:rsidP="00C67B2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28, 2021, in </w:t>
      </w:r>
      <w:r w:rsidRPr="00212250">
        <w:rPr>
          <w:rFonts w:ascii="Times New Roman" w:eastAsia="Times New Roman" w:hAnsi="Times New Roman"/>
          <w:sz w:val="24"/>
          <w:szCs w:val="24"/>
          <w:u w:val="single"/>
        </w:rPr>
        <w:t>Paul Smith v. City of Alexandria</w:t>
      </w:r>
      <w:r>
        <w:rPr>
          <w:rFonts w:ascii="Times New Roman" w:eastAsia="Times New Roman" w:hAnsi="Times New Roman"/>
          <w:sz w:val="24"/>
          <w:szCs w:val="24"/>
        </w:rPr>
        <w:t>, U.S. District Court Judge David C. Joseph, U.S. District Court for Western District of Louisiana (Alexandria Division) granted the City’s motion for summary judgment.  The retired Fire Chief was hired as an “at will” city employee to install smoke detectors in the community and was confronted at a retirement reception for Assistant Chief. The woman who then worked for current Fire Chief confronted him about being at the reception. City said he was fired on the basis that his report to HR falsely stated he had been invited to the retirement reception.</w:t>
      </w:r>
    </w:p>
    <w:p w14:paraId="05BAD363" w14:textId="77777777" w:rsidR="00C67B2A" w:rsidRDefault="00C67B2A" w:rsidP="00C67B2A">
      <w:pPr>
        <w:pStyle w:val="NormalWeb"/>
        <w:ind w:left="720"/>
      </w:pPr>
      <w:r>
        <w:t>“</w:t>
      </w:r>
      <w:r w:rsidRPr="00C522AD">
        <w:t>On May 22, 2019, Plaintiff attended a retirement reception for an Assistant Fire Chief</w:t>
      </w:r>
      <w:r>
        <w:t>….</w:t>
      </w:r>
      <w:r w:rsidRPr="00C522AD">
        <w:t xml:space="preserve"> While at the reception, Fire Department employee Debbye Johnson (</w:t>
      </w:r>
      <w:r>
        <w:t>‘</w:t>
      </w:r>
      <w:r w:rsidRPr="00C522AD">
        <w:t>Johnson</w:t>
      </w:r>
      <w:r>
        <w:t>’</w:t>
      </w:r>
      <w:r w:rsidRPr="00C522AD">
        <w:t xml:space="preserve">) allegedly approached Plaintiff, stuck her finger in his face </w:t>
      </w:r>
      <w:r>
        <w:t>‘</w:t>
      </w:r>
      <w:r w:rsidRPr="00C522AD">
        <w:t>in a hostile manner,</w:t>
      </w:r>
      <w:r>
        <w:t>’</w:t>
      </w:r>
      <w:r w:rsidRPr="00C522AD">
        <w:t xml:space="preserve"> and </w:t>
      </w:r>
      <w:r>
        <w:t>‘</w:t>
      </w:r>
      <w:r w:rsidRPr="00C522AD">
        <w:t>loudly shouted</w:t>
      </w:r>
      <w:r>
        <w:t>’</w:t>
      </w:r>
      <w:r w:rsidRPr="00C522AD">
        <w:t xml:space="preserve"> at Plaintiff, stating, </w:t>
      </w:r>
      <w:r>
        <w:t>‘</w:t>
      </w:r>
      <w:r w:rsidRPr="00C522AD">
        <w:t>your balls must be as big as they ever were for you to come up in here you mother fucker</w:t>
      </w:r>
      <w:r>
        <w:t>….</w:t>
      </w:r>
      <w:r w:rsidRPr="00C522AD">
        <w:t xml:space="preserve">” </w:t>
      </w:r>
    </w:p>
    <w:p w14:paraId="6B4C20DA" w14:textId="77777777" w:rsidR="00C67B2A" w:rsidRDefault="00C67B2A" w:rsidP="00C67B2A">
      <w:pPr>
        <w:pStyle w:val="NormalWeb"/>
        <w:ind w:left="720"/>
      </w:pPr>
      <w:r>
        <w:t xml:space="preserve">As one might expect given the nature of this interaction, Plaintiff and Johnson knew each other and, in fact, had a personal history encompassing several decades. Debbye Johnson was hired by the City in August of 1983 as a Secretary or a ‘Fire Records Clerk…’ On August 18, 1997, Plaintiff, who was then Chief of the Alexandria Fire Department, terminated Johnson's employment for allegedly requesting additional time off after exhausting </w:t>
      </w:r>
      <w:proofErr w:type="gramStart"/>
      <w:r>
        <w:t>all of</w:t>
      </w:r>
      <w:proofErr w:type="gramEnd"/>
      <w:r>
        <w:t xml:space="preserve"> her sick leave, annual leave, and vacation days…. Johnson was then re-hired as a Fire Records Clerk for the City after Plaintiff left the Fire Department and remained in that position from September of 2007 until May of 2014, at which time she became the Fire Chief's Secretary…. Although she was still serving as the Fire Chief's Secretary when she interacted with Plaintiff at the May 22</w:t>
      </w:r>
      <w:r>
        <w:rPr>
          <w:vertAlign w:val="superscript"/>
        </w:rPr>
        <w:t>nd</w:t>
      </w:r>
      <w:r>
        <w:t xml:space="preserve"> reception, she was then suffering from Stage IV cancer. She died approximately four and a half months later. </w:t>
      </w:r>
    </w:p>
    <w:p w14:paraId="62954B9F" w14:textId="77777777" w:rsidR="00C67B2A" w:rsidRDefault="00C67B2A" w:rsidP="00C67B2A">
      <w:pPr>
        <w:pStyle w:val="NormalWeb"/>
        <w:ind w:left="720"/>
      </w:pPr>
      <w:r>
        <w:t>***</w:t>
      </w:r>
    </w:p>
    <w:p w14:paraId="1482F97E" w14:textId="77777777" w:rsidR="00C67B2A" w:rsidRPr="00C522AD" w:rsidRDefault="00C67B2A" w:rsidP="00C67B2A">
      <w:pPr>
        <w:pStyle w:val="NormalWeb"/>
        <w:ind w:left="720"/>
      </w:pPr>
      <w:r>
        <w:t>Plaintiff was, in fact, terminated two weeks after his protected activity. Importantly, however, his June 6, 2019, termination date was also two weeks after: (</w:t>
      </w:r>
      <w:proofErr w:type="spellStart"/>
      <w:r>
        <w:t>i</w:t>
      </w:r>
      <w:proofErr w:type="spellEnd"/>
      <w:r>
        <w:t>) Plaintiff's involvement in a public altercation with another City employee at an official retirement reception; and (ii) his alleged untruthfulness about having been invited to the retirement reception, which was the reason proffered by the City as its legitimate non-retaliatory reason for Plaintiff's termination. Plaintiff has not provided evidence to show that his complaint of sexual harassment, as opposed to his involvement in the events at the May 22</w:t>
      </w:r>
      <w:r>
        <w:rPr>
          <w:vertAlign w:val="superscript"/>
        </w:rPr>
        <w:t>nd</w:t>
      </w:r>
      <w:r>
        <w:t xml:space="preserve"> retirement reception or his supervisor's belief that he had lied, was the but-for </w:t>
      </w:r>
      <w:proofErr w:type="gramStart"/>
      <w:r>
        <w:t>cause</w:t>
      </w:r>
      <w:proofErr w:type="gramEnd"/>
      <w:r>
        <w:t xml:space="preserve"> of his termination.” </w:t>
      </w:r>
      <w:hyperlink r:id="rId1400" w:history="1">
        <w:r w:rsidRPr="00410682">
          <w:rPr>
            <w:rStyle w:val="Hyperlink"/>
          </w:rPr>
          <w:t>https://public.fastcase.com/9SKwsfNqTc6OieYDhNMyM7EtuTmvkEcI7U0T89k%2BFJTh0eKfnpK7LfgjErs00V3IPt4y6nTMDAAfexS5sEGnBSDT8xghzv1Bl3HZnDYTQZc%3D</w:t>
        </w:r>
      </w:hyperlink>
      <w:r>
        <w:t xml:space="preserve"> </w:t>
      </w:r>
    </w:p>
    <w:p w14:paraId="50BD01C3" w14:textId="77777777" w:rsidR="00C67B2A" w:rsidRPr="008120B4" w:rsidRDefault="00C67B2A" w:rsidP="00C67B2A">
      <w:pPr>
        <w:spacing w:before="100" w:beforeAutospacing="1" w:after="100" w:afterAutospacing="1" w:line="240" w:lineRule="auto"/>
        <w:rPr>
          <w:rFonts w:ascii="Times New Roman" w:eastAsia="Times New Roman" w:hAnsi="Times New Roman"/>
          <w:b/>
          <w:bCs/>
          <w:sz w:val="24"/>
          <w:szCs w:val="24"/>
        </w:rPr>
      </w:pPr>
      <w:r w:rsidRPr="008120B4">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“At will” employees can be fired “with or without notice or cause.”</w:t>
      </w:r>
    </w:p>
    <w:p w14:paraId="20337FE8" w14:textId="77777777" w:rsidR="00C67B2A" w:rsidRDefault="00C67B2A" w:rsidP="002B1283">
      <w:pPr>
        <w:rPr>
          <w:rFonts w:ascii="Arial Black" w:hAnsi="Arial Black"/>
          <w:b/>
          <w:sz w:val="24"/>
          <w:szCs w:val="24"/>
        </w:rPr>
      </w:pPr>
    </w:p>
    <w:p w14:paraId="0332904E" w14:textId="370043BD" w:rsidR="00BD1702" w:rsidRDefault="00BD1702" w:rsidP="002B1283">
      <w:pPr>
        <w:rPr>
          <w:rFonts w:ascii="Arial Black" w:hAnsi="Arial Black"/>
          <w:b/>
          <w:sz w:val="24"/>
          <w:szCs w:val="24"/>
        </w:rPr>
      </w:pPr>
      <w:r>
        <w:rPr>
          <w:rFonts w:ascii="Arial Black" w:hAnsi="Arial Black"/>
          <w:b/>
          <w:sz w:val="24"/>
          <w:szCs w:val="24"/>
        </w:rPr>
        <w:t>7-36</w:t>
      </w:r>
    </w:p>
    <w:p w14:paraId="02EF9286" w14:textId="77777777" w:rsidR="00BD1702" w:rsidRDefault="00BD1702" w:rsidP="00BD1702">
      <w:pPr>
        <w:pStyle w:val="Heading1"/>
        <w:rPr>
          <w:rFonts w:ascii="Arial Black" w:hAnsi="Arial Black"/>
          <w:b w:val="0"/>
          <w:bCs w:val="0"/>
          <w:sz w:val="28"/>
          <w:szCs w:val="28"/>
        </w:rPr>
      </w:pPr>
      <w:r>
        <w:rPr>
          <w:rFonts w:ascii="Arial Black" w:hAnsi="Arial Black"/>
          <w:b w:val="0"/>
          <w:bCs w:val="0"/>
          <w:sz w:val="28"/>
          <w:szCs w:val="28"/>
        </w:rPr>
        <w:t>NY: FDNY “CALENDAR GIRL” – LAWSUIT DISMISSED – NO PROOF OF DISCRIMINATION BY HER FEMALE SUPERVISOR</w:t>
      </w:r>
    </w:p>
    <w:p w14:paraId="3BD4D860" w14:textId="77777777" w:rsidR="00BD1702" w:rsidRDefault="00BD1702" w:rsidP="00BD1702">
      <w:pPr>
        <w:pStyle w:val="Heading1"/>
        <w:rPr>
          <w:noProof/>
          <w:sz w:val="22"/>
          <w:szCs w:val="22"/>
        </w:rPr>
      </w:pPr>
      <w:r>
        <w:rPr>
          <w:b w:val="0"/>
          <w:bCs w:val="0"/>
          <w:sz w:val="22"/>
          <w:szCs w:val="22"/>
        </w:rPr>
        <w:t xml:space="preserve">On September 21, 2021, in </w:t>
      </w:r>
      <w:r>
        <w:rPr>
          <w:b w:val="0"/>
          <w:bCs w:val="0"/>
          <w:sz w:val="22"/>
          <w:szCs w:val="22"/>
          <w:u w:val="single"/>
        </w:rPr>
        <w:t>Margot Loth v. City of New York,</w:t>
      </w:r>
      <w:r>
        <w:rPr>
          <w:b w:val="0"/>
          <w:bCs w:val="0"/>
          <w:sz w:val="22"/>
          <w:szCs w:val="22"/>
        </w:rPr>
        <w:t xml:space="preserve"> U.S. District Court Judge George B. Daniels granted the City’s motion for summary judgment.  In 2019, plaintiff was featured in the NYFD’s “Calendar of Heroes.”   </w:t>
      </w:r>
    </w:p>
    <w:p w14:paraId="6F7DAF78" w14:textId="77777777" w:rsidR="00BD1702" w:rsidRDefault="00BD1702" w:rsidP="00BD1702">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“With regards to the ‘calendar girl’ moniker, Plaintiff [EMT] argues that Tiberi's [Captain Donna Lynn Hannon Tiberi] ‘inherent reference to [</w:t>
      </w:r>
      <w:proofErr w:type="gramStart"/>
      <w:r>
        <w:rPr>
          <w:rFonts w:ascii="Times New Roman" w:hAnsi="Times New Roman"/>
          <w:sz w:val="24"/>
          <w:szCs w:val="24"/>
        </w:rPr>
        <w:t>Plaintiffs</w:t>
      </w:r>
      <w:proofErr w:type="gramEnd"/>
      <w:r>
        <w:rPr>
          <w:rFonts w:ascii="Times New Roman" w:hAnsi="Times New Roman"/>
          <w:sz w:val="24"/>
          <w:szCs w:val="24"/>
        </w:rPr>
        <w:t xml:space="preserve">] gender’ and the fact that the comment was used in a ‘disparaging’ manner, is sufficient to give rise to an inference of discrimination. (Pl.'s Opp. 19.) However, the mere fact that Plaintiffs gender was mentioned is insufficient to establish an inference of discrimination…. Therefore, Plaintiff has failed to plausibly allege that Tiberi's reference to Plaintiff as ‘calendar girl’ supports an inference of discriminatory animus.” </w:t>
      </w:r>
      <w:hyperlink r:id="rId1401" w:history="1">
        <w:r>
          <w:rPr>
            <w:rStyle w:val="Hyperlink"/>
            <w:sz w:val="24"/>
            <w:szCs w:val="24"/>
          </w:rPr>
          <w:t>https://www.leagle.com/decision/infdco20210924575</w:t>
        </w:r>
      </w:hyperlink>
      <w:r>
        <w:rPr>
          <w:rFonts w:ascii="Times New Roman" w:hAnsi="Times New Roman"/>
          <w:sz w:val="24"/>
          <w:szCs w:val="24"/>
        </w:rPr>
        <w:t xml:space="preserve"> </w:t>
      </w:r>
    </w:p>
    <w:p w14:paraId="5B12B132" w14:textId="77777777" w:rsidR="00BD1702" w:rsidRDefault="00BD1702" w:rsidP="00BD1702">
      <w:pPr>
        <w:pStyle w:val="Heading1"/>
        <w:rPr>
          <w:sz w:val="24"/>
          <w:szCs w:val="24"/>
        </w:rPr>
      </w:pPr>
      <w:r>
        <w:rPr>
          <w:sz w:val="24"/>
          <w:szCs w:val="24"/>
        </w:rPr>
        <w:t xml:space="preserve">Legal Lesson Learned: Plaintiff failed to prove her employment was “materially </w:t>
      </w:r>
      <w:proofErr w:type="gramStart"/>
      <w:r>
        <w:rPr>
          <w:sz w:val="24"/>
          <w:szCs w:val="24"/>
        </w:rPr>
        <w:t>change:</w:t>
      </w:r>
      <w:proofErr w:type="gramEnd"/>
      <w:r>
        <w:rPr>
          <w:sz w:val="24"/>
          <w:szCs w:val="24"/>
        </w:rPr>
        <w:t xml:space="preserve"> based on discipline imposed by her Supervisor. </w:t>
      </w:r>
    </w:p>
    <w:p w14:paraId="3FCBA7C2" w14:textId="7724BABB" w:rsidR="00BD1702" w:rsidRPr="00D43015" w:rsidRDefault="00BD1702" w:rsidP="00D43015">
      <w:pPr>
        <w:ind w:left="720"/>
        <w:rPr>
          <w:rFonts w:ascii="Times New Roman" w:hAnsi="Times New Roman"/>
          <w:b/>
          <w:sz w:val="24"/>
          <w:szCs w:val="24"/>
        </w:rPr>
      </w:pPr>
      <w:r w:rsidRPr="00D43015">
        <w:rPr>
          <w:rFonts w:ascii="Times New Roman" w:hAnsi="Times New Roman"/>
          <w:sz w:val="24"/>
          <w:szCs w:val="24"/>
        </w:rPr>
        <w:t xml:space="preserve">Note: See the Oct. 4, </w:t>
      </w:r>
      <w:proofErr w:type="gramStart"/>
      <w:r w:rsidRPr="00D43015">
        <w:rPr>
          <w:rFonts w:ascii="Times New Roman" w:hAnsi="Times New Roman"/>
          <w:sz w:val="24"/>
          <w:szCs w:val="24"/>
        </w:rPr>
        <w:t>2021</w:t>
      </w:r>
      <w:proofErr w:type="gramEnd"/>
      <w:r w:rsidRPr="00D43015">
        <w:rPr>
          <w:rFonts w:ascii="Times New Roman" w:hAnsi="Times New Roman"/>
          <w:sz w:val="24"/>
          <w:szCs w:val="24"/>
        </w:rPr>
        <w:t xml:space="preserve"> article, “Judge dismisses federal gender discrimination suit of FDNY EMT who posed for calendar.”</w:t>
      </w:r>
      <w:r w:rsidRPr="00D43015">
        <w:rPr>
          <w:rFonts w:ascii="Times New Roman" w:hAnsi="Times New Roman"/>
          <w:b/>
          <w:bCs/>
          <w:sz w:val="24"/>
          <w:szCs w:val="24"/>
        </w:rPr>
        <w:t xml:space="preserve">  </w:t>
      </w:r>
      <w:r w:rsidRPr="00D43015">
        <w:rPr>
          <w:rFonts w:ascii="Times New Roman" w:hAnsi="Times New Roman"/>
          <w:sz w:val="24"/>
          <w:szCs w:val="24"/>
        </w:rPr>
        <w:t xml:space="preserve">In a prior posting on the FDNY Foundation's Facebook page, Loth spoke about her reasons for posing for the calendar. ‘I know some very strong and beautiful women from the previous calendars, and they were such an inspiration to me,’ she said. ‘We are a force to be reckoned with in this department. We are comfortable with our skills, strong, confident, and we look out for each other. We are opening doors and breaking glass ceilings, and I am proud to be a part of it.’ </w:t>
      </w:r>
      <w:hyperlink r:id="rId1402" w:history="1">
        <w:r w:rsidRPr="00D43015">
          <w:rPr>
            <w:rStyle w:val="Hyperlink"/>
            <w:rFonts w:ascii="Times New Roman" w:hAnsi="Times New Roman"/>
            <w:sz w:val="24"/>
            <w:szCs w:val="24"/>
          </w:rPr>
          <w:t>https://www.firerescue1.com/lawsuit/articles/judge-dismisses-federal-gender-discrimination-suit-of-fdny-emt-who-posed-for-calendar-v4FDLqPObm3t3BSV/?utm_source=FireRescue1&amp;utm_campaign=dfa53e36a0-EMAIL_CAMPAIGN_2021_10_08_06_27&amp;utm_medium=email&amp;utm_term=0_1d76c7ca1b-dfa53e36a0-91025172</w:t>
        </w:r>
      </w:hyperlink>
    </w:p>
    <w:p w14:paraId="5A71F094" w14:textId="77777777" w:rsidR="00BD1702" w:rsidRDefault="00BD1702" w:rsidP="002B1283">
      <w:pPr>
        <w:rPr>
          <w:rFonts w:ascii="Arial Black" w:hAnsi="Arial Black"/>
          <w:b/>
          <w:sz w:val="24"/>
          <w:szCs w:val="24"/>
        </w:rPr>
      </w:pPr>
    </w:p>
    <w:p w14:paraId="62DC0B26" w14:textId="45D6BF33" w:rsidR="00BD263B" w:rsidRDefault="00BD263B" w:rsidP="002B1283">
      <w:pPr>
        <w:rPr>
          <w:rFonts w:ascii="Arial Black" w:hAnsi="Arial Black"/>
          <w:b/>
          <w:sz w:val="24"/>
          <w:szCs w:val="24"/>
        </w:rPr>
      </w:pPr>
      <w:r>
        <w:rPr>
          <w:rFonts w:ascii="Arial Black" w:hAnsi="Arial Black"/>
          <w:b/>
          <w:sz w:val="24"/>
          <w:szCs w:val="24"/>
        </w:rPr>
        <w:t>7-35</w:t>
      </w:r>
    </w:p>
    <w:p w14:paraId="5C49381F" w14:textId="77777777" w:rsidR="00BD263B" w:rsidRDefault="00BD263B" w:rsidP="00BD263B">
      <w:pPr>
        <w:pStyle w:val="Heading1"/>
        <w:rPr>
          <w:b w:val="0"/>
          <w:bCs w:val="0"/>
          <w:sz w:val="24"/>
          <w:szCs w:val="24"/>
        </w:rPr>
      </w:pPr>
      <w:bookmarkStart w:id="284" w:name="_Hlk81842187"/>
      <w:r>
        <w:rPr>
          <w:rFonts w:ascii="Arial Black" w:hAnsi="Arial Black"/>
          <w:sz w:val="28"/>
          <w:szCs w:val="28"/>
        </w:rPr>
        <w:t xml:space="preserve">NB: FEMALE FF - DENIED “OUTSIDE” INVESTIGATION BY COURT - CAPTAIN NEVER ABANDONED CREW </w:t>
      </w:r>
    </w:p>
    <w:bookmarkEnd w:id="284"/>
    <w:p w14:paraId="7FFAEE1A" w14:textId="77777777" w:rsidR="00BD263B" w:rsidRPr="002F0EFC" w:rsidRDefault="00BD263B" w:rsidP="00BD263B">
      <w:pPr>
        <w:pStyle w:val="Heading1"/>
        <w:rPr>
          <w:b w:val="0"/>
          <w:bCs w:val="0"/>
          <w:sz w:val="24"/>
          <w:szCs w:val="24"/>
        </w:rPr>
      </w:pPr>
      <w:r>
        <w:rPr>
          <w:b w:val="0"/>
          <w:bCs w:val="0"/>
          <w:sz w:val="24"/>
          <w:szCs w:val="24"/>
        </w:rPr>
        <w:t xml:space="preserve">On Aug. 16, 2021, in </w:t>
      </w:r>
      <w:r w:rsidRPr="002F0EFC">
        <w:rPr>
          <w:b w:val="0"/>
          <w:bCs w:val="0"/>
          <w:sz w:val="24"/>
          <w:szCs w:val="24"/>
          <w:u w:val="single"/>
        </w:rPr>
        <w:t>Amanda Benson v. City of Lincoln, Shawn Mahler, et al</w:t>
      </w:r>
      <w:r>
        <w:rPr>
          <w:b w:val="0"/>
          <w:bCs w:val="0"/>
          <w:sz w:val="24"/>
          <w:szCs w:val="24"/>
        </w:rPr>
        <w:t>., Senior District Judge Richard G. Kopf, U.S. District Court for District of Nebraska, who is presiding over plaintiff’s pending lawsuit claiming sexual harassment over the years by Captain Shawn Mahler denied the plaintiff’s request for a preliminary injunction and hearing.  The judge denied her three requests: “(</w:t>
      </w:r>
      <w:r w:rsidRPr="002F0EFC">
        <w:rPr>
          <w:b w:val="0"/>
          <w:bCs w:val="0"/>
          <w:sz w:val="24"/>
          <w:szCs w:val="24"/>
        </w:rPr>
        <w:t xml:space="preserve">1) order the City of Lincoln to immediately initiate disciplinary proceedings against Mahler; </w:t>
      </w:r>
      <w:r>
        <w:rPr>
          <w:b w:val="0"/>
          <w:bCs w:val="0"/>
          <w:sz w:val="24"/>
          <w:szCs w:val="24"/>
        </w:rPr>
        <w:t>(</w:t>
      </w:r>
      <w:r w:rsidRPr="002F0EFC">
        <w:rPr>
          <w:b w:val="0"/>
          <w:bCs w:val="0"/>
          <w:sz w:val="24"/>
          <w:szCs w:val="24"/>
        </w:rPr>
        <w:t xml:space="preserve">2) enjoin Mahler from assignment/dispatch to any fire scene during the pendency of disciplinary proceedings; and </w:t>
      </w:r>
      <w:r>
        <w:rPr>
          <w:b w:val="0"/>
          <w:bCs w:val="0"/>
          <w:sz w:val="24"/>
          <w:szCs w:val="24"/>
        </w:rPr>
        <w:t>(</w:t>
      </w:r>
      <w:r w:rsidRPr="002F0EFC">
        <w:rPr>
          <w:b w:val="0"/>
          <w:bCs w:val="0"/>
          <w:sz w:val="24"/>
          <w:szCs w:val="24"/>
        </w:rPr>
        <w:t>3) appoint an independent, third-party investigator to investigate Plaintiff's complaint about Mahler's actions at the recent warehouse fire."</w:t>
      </w:r>
      <w:r>
        <w:rPr>
          <w:b w:val="0"/>
          <w:bCs w:val="0"/>
          <w:sz w:val="24"/>
          <w:szCs w:val="24"/>
        </w:rPr>
        <w:t xml:space="preserve">  The judge found that no firefighter or officer at that scene of the warehouse fire confirmed her allegation that Captain Mahler had “abandoned” her and no one reported any safety concerns to the Safety Officer.  Federal courts are not “super-personnel departments.” </w:t>
      </w:r>
    </w:p>
    <w:p w14:paraId="588D4A6A" w14:textId="77777777" w:rsidR="00BD263B" w:rsidRDefault="00BD263B" w:rsidP="00BD263B">
      <w:pPr>
        <w:pStyle w:val="Heading1"/>
        <w:ind w:left="720"/>
        <w:rPr>
          <w:b w:val="0"/>
          <w:bCs w:val="0"/>
          <w:sz w:val="24"/>
          <w:szCs w:val="24"/>
        </w:rPr>
      </w:pPr>
      <w:r>
        <w:rPr>
          <w:b w:val="0"/>
          <w:bCs w:val="0"/>
          <w:sz w:val="24"/>
          <w:szCs w:val="24"/>
        </w:rPr>
        <w:t>“</w:t>
      </w:r>
      <w:r w:rsidRPr="00EA597C">
        <w:rPr>
          <w:b w:val="0"/>
          <w:bCs w:val="0"/>
          <w:sz w:val="24"/>
          <w:szCs w:val="24"/>
        </w:rPr>
        <w:t>The relief requested in Plaintiff's Motion is not to remedy discriminatory employment practices, but to impose directives upon LFR regarding whom it should discipline, whom it should send to fire scenes, and whom to investigate—issues in which federal courts should not be involved</w:t>
      </w:r>
      <w:r>
        <w:rPr>
          <w:b w:val="0"/>
          <w:bCs w:val="0"/>
          <w:sz w:val="24"/>
          <w:szCs w:val="24"/>
        </w:rPr>
        <w:t xml:space="preserve">….  </w:t>
      </w:r>
      <w:r w:rsidRPr="002F0EFC">
        <w:rPr>
          <w:b w:val="0"/>
          <w:bCs w:val="0"/>
          <w:i/>
          <w:iCs/>
          <w:sz w:val="24"/>
          <w:szCs w:val="24"/>
        </w:rPr>
        <w:t>See Gardner v. Wal-Mart Stores, Inc.,</w:t>
      </w:r>
      <w:r w:rsidRPr="002F0EFC">
        <w:rPr>
          <w:b w:val="0"/>
          <w:bCs w:val="0"/>
          <w:sz w:val="24"/>
          <w:szCs w:val="24"/>
        </w:rPr>
        <w:t xml:space="preserve"> 2 F.4th 745, 748-49 (8th Cir. 2021) (federal courts are not super-personnel departments who reexamine an employer's business decisions)</w:t>
      </w:r>
      <w:r>
        <w:rPr>
          <w:b w:val="0"/>
          <w:bCs w:val="0"/>
          <w:sz w:val="24"/>
          <w:szCs w:val="24"/>
        </w:rPr>
        <w:t xml:space="preserve">. </w:t>
      </w:r>
    </w:p>
    <w:p w14:paraId="3F6C9ECC" w14:textId="77777777" w:rsidR="00BD263B" w:rsidRDefault="00BD263B" w:rsidP="00BD263B">
      <w:pPr>
        <w:pStyle w:val="Heading1"/>
        <w:ind w:firstLine="720"/>
        <w:rPr>
          <w:b w:val="0"/>
          <w:bCs w:val="0"/>
          <w:sz w:val="24"/>
          <w:szCs w:val="24"/>
        </w:rPr>
      </w:pPr>
      <w:r>
        <w:rPr>
          <w:b w:val="0"/>
          <w:bCs w:val="0"/>
          <w:sz w:val="24"/>
          <w:szCs w:val="24"/>
        </w:rPr>
        <w:t>***</w:t>
      </w:r>
    </w:p>
    <w:p w14:paraId="4514CD3A" w14:textId="77777777" w:rsidR="00BD263B" w:rsidRDefault="00BD263B" w:rsidP="00BD263B">
      <w:pPr>
        <w:pStyle w:val="Heading1"/>
        <w:ind w:left="720"/>
        <w:rPr>
          <w:b w:val="0"/>
          <w:bCs w:val="0"/>
          <w:sz w:val="24"/>
          <w:szCs w:val="24"/>
          <w:vertAlign w:val="superscript"/>
        </w:rPr>
      </w:pPr>
      <w:r w:rsidRPr="002F0EFC">
        <w:rPr>
          <w:b w:val="0"/>
          <w:bCs w:val="0"/>
          <w:sz w:val="24"/>
          <w:szCs w:val="24"/>
        </w:rPr>
        <w:t xml:space="preserve">The evidence shows that, with the exception of Plaintiff, no person on Mahler's and Plaintiff's crew, nor the Incident Commander or the Safety Officer, believed that Mahler was a Ventilation Group Supervisor, that Mahler abandoned Plaintiff and her crew in a dangerous situation, or that Mahler was duty-bound to direct or supervise Plaintiff and her crew. In short, there is no evidence that Plaintiff and Mahler were anything more than peers in the incident at issue. The court declines to grant an injunction against Mahler for failing to direct, supervise, and protect when he was under no duty to do so. The equities of this situation simply do not warrant preliminary injunctive </w:t>
      </w:r>
      <w:proofErr w:type="gramStart"/>
      <w:r w:rsidRPr="002F0EFC">
        <w:rPr>
          <w:b w:val="0"/>
          <w:bCs w:val="0"/>
          <w:sz w:val="24"/>
          <w:szCs w:val="24"/>
        </w:rPr>
        <w:t>relief</w:t>
      </w:r>
      <w:r>
        <w:rPr>
          <w:b w:val="0"/>
          <w:bCs w:val="0"/>
          <w:sz w:val="24"/>
          <w:szCs w:val="24"/>
        </w:rPr>
        <w:t>.”</w:t>
      </w:r>
      <w:proofErr w:type="gramEnd"/>
      <w:r>
        <w:rPr>
          <w:b w:val="0"/>
          <w:bCs w:val="0"/>
          <w:sz w:val="24"/>
          <w:szCs w:val="24"/>
        </w:rPr>
        <w:t xml:space="preserve"> </w:t>
      </w:r>
      <w:hyperlink r:id="rId1403" w:history="1">
        <w:r w:rsidRPr="00EE73D5">
          <w:rPr>
            <w:rStyle w:val="Hyperlink"/>
            <w:sz w:val="24"/>
            <w:szCs w:val="24"/>
          </w:rPr>
          <w:t>https://scholar.google.com/scholar_case?case=18355840808386135290&amp;hl=en&amp;as_sdt=6&amp;as_vis=1&amp;oi=scholarr</w:t>
        </w:r>
      </w:hyperlink>
      <w:r>
        <w:rPr>
          <w:b w:val="0"/>
          <w:bCs w:val="0"/>
          <w:sz w:val="24"/>
          <w:szCs w:val="24"/>
        </w:rPr>
        <w:t xml:space="preserve"> </w:t>
      </w:r>
    </w:p>
    <w:p w14:paraId="311505C4" w14:textId="77777777" w:rsidR="00BD263B" w:rsidRPr="007C2273" w:rsidRDefault="00BD263B" w:rsidP="00BD263B">
      <w:pPr>
        <w:tabs>
          <w:tab w:val="left" w:pos="3090"/>
        </w:tabs>
        <w:spacing w:after="100" w:line="240" w:lineRule="auto"/>
        <w:rPr>
          <w:rFonts w:ascii="Times New Roman" w:eastAsia="Times New Roman" w:hAnsi="Times New Roman"/>
          <w:b/>
          <w:bCs/>
          <w:sz w:val="24"/>
          <w:szCs w:val="24"/>
        </w:rPr>
      </w:pPr>
      <w:r w:rsidRPr="007C2273">
        <w:rPr>
          <w:rFonts w:ascii="Times New Roman" w:hAnsi="Times New Roman"/>
          <w:b/>
          <w:bCs/>
          <w:sz w:val="24"/>
          <w:szCs w:val="24"/>
        </w:rPr>
        <w:t>Legal Lesson Learned</w:t>
      </w:r>
      <w:r>
        <w:rPr>
          <w:rFonts w:ascii="Times New Roman" w:hAnsi="Times New Roman"/>
          <w:b/>
          <w:bCs/>
          <w:sz w:val="24"/>
          <w:szCs w:val="24"/>
        </w:rPr>
        <w:t xml:space="preserve">:  Federal courts will issue injunctions only when there is a threat of “irreparable harm.” </w:t>
      </w:r>
    </w:p>
    <w:p w14:paraId="0E8AF3B8" w14:textId="77777777" w:rsidR="00BD263B" w:rsidRPr="007A4A18" w:rsidRDefault="00BD263B" w:rsidP="00BD263B">
      <w:pPr>
        <w:pStyle w:val="Heading1"/>
        <w:ind w:left="720"/>
        <w:rPr>
          <w:b w:val="0"/>
          <w:bCs w:val="0"/>
          <w:sz w:val="24"/>
          <w:szCs w:val="24"/>
        </w:rPr>
      </w:pPr>
      <w:r w:rsidRPr="007A4A18">
        <w:rPr>
          <w:b w:val="0"/>
          <w:bCs w:val="0"/>
          <w:sz w:val="24"/>
          <w:szCs w:val="24"/>
        </w:rPr>
        <w:t xml:space="preserve">Note: See Aug. 20, </w:t>
      </w:r>
      <w:proofErr w:type="gramStart"/>
      <w:r w:rsidRPr="007A4A18">
        <w:rPr>
          <w:b w:val="0"/>
          <w:bCs w:val="0"/>
          <w:sz w:val="24"/>
          <w:szCs w:val="24"/>
        </w:rPr>
        <w:t>2021</w:t>
      </w:r>
      <w:proofErr w:type="gramEnd"/>
      <w:r w:rsidRPr="007A4A18">
        <w:rPr>
          <w:b w:val="0"/>
          <w:bCs w:val="0"/>
          <w:sz w:val="24"/>
          <w:szCs w:val="24"/>
        </w:rPr>
        <w:t xml:space="preserve"> article:</w:t>
      </w:r>
      <w:r>
        <w:rPr>
          <w:sz w:val="24"/>
          <w:szCs w:val="24"/>
        </w:rPr>
        <w:t xml:space="preserve"> </w:t>
      </w:r>
      <w:r w:rsidRPr="007A4A18">
        <w:rPr>
          <w:b w:val="0"/>
          <w:bCs w:val="0"/>
          <w:sz w:val="24"/>
          <w:szCs w:val="24"/>
        </w:rPr>
        <w:t xml:space="preserve">“Federal judge denies request for injunction, independent review in firefighter's lawsuit.” </w:t>
      </w:r>
      <w:hyperlink r:id="rId1404" w:history="1">
        <w:r w:rsidRPr="00EE73D5">
          <w:rPr>
            <w:rStyle w:val="Hyperlink"/>
            <w:sz w:val="24"/>
            <w:szCs w:val="24"/>
          </w:rPr>
          <w:t>https://journalstar.com/news/local/crime-and-courts/federal-judge-denies-request-for-injunction-independent-review-in-firefights-lawsuit/article_57be96fb-75f1-5b57-90b3-87e7c60cfb50.html</w:t>
        </w:r>
      </w:hyperlink>
      <w:r>
        <w:rPr>
          <w:b w:val="0"/>
          <w:bCs w:val="0"/>
          <w:sz w:val="24"/>
          <w:szCs w:val="24"/>
        </w:rPr>
        <w:t xml:space="preserve"> </w:t>
      </w:r>
    </w:p>
    <w:p w14:paraId="03B48036" w14:textId="77777777" w:rsidR="00BD263B" w:rsidRPr="007A4A18" w:rsidRDefault="00BD263B" w:rsidP="00BD263B">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7A4A18">
        <w:rPr>
          <w:rFonts w:ascii="Times New Roman" w:eastAsia="Times New Roman" w:hAnsi="Times New Roman"/>
          <w:sz w:val="24"/>
          <w:szCs w:val="24"/>
        </w:rPr>
        <w:t>In 2018, Benson sued, alleging that the city turned a blind eye to complaints about a hostile work environment, exonerated employees who contributed to it and failed to take steps to fix it.</w:t>
      </w:r>
      <w:r>
        <w:rPr>
          <w:rFonts w:ascii="Times New Roman" w:eastAsia="Times New Roman" w:hAnsi="Times New Roman"/>
          <w:sz w:val="24"/>
          <w:szCs w:val="24"/>
        </w:rPr>
        <w:t xml:space="preserve"> </w:t>
      </w:r>
      <w:r w:rsidRPr="007A4A18">
        <w:rPr>
          <w:rFonts w:ascii="Times New Roman" w:eastAsia="Times New Roman" w:hAnsi="Times New Roman"/>
          <w:sz w:val="24"/>
          <w:szCs w:val="24"/>
        </w:rPr>
        <w:t>The lawsuit followed two others by then-</w:t>
      </w:r>
      <w:proofErr w:type="spellStart"/>
      <w:r w:rsidRPr="007A4A18">
        <w:rPr>
          <w:rFonts w:ascii="Times New Roman" w:eastAsia="Times New Roman" w:hAnsi="Times New Roman"/>
          <w:sz w:val="24"/>
          <w:szCs w:val="24"/>
        </w:rPr>
        <w:t>Capts</w:t>
      </w:r>
      <w:proofErr w:type="spellEnd"/>
      <w:r w:rsidRPr="007A4A18">
        <w:rPr>
          <w:rFonts w:ascii="Times New Roman" w:eastAsia="Times New Roman" w:hAnsi="Times New Roman"/>
          <w:sz w:val="24"/>
          <w:szCs w:val="24"/>
        </w:rPr>
        <w:t>. Brian Giles and Troy Hurd, alleging they faced retaliation for reporting harassment of female firefighters.</w:t>
      </w:r>
      <w:r>
        <w:rPr>
          <w:rFonts w:ascii="Times New Roman" w:eastAsia="Times New Roman" w:hAnsi="Times New Roman"/>
          <w:sz w:val="24"/>
          <w:szCs w:val="24"/>
        </w:rPr>
        <w:t xml:space="preserve"> </w:t>
      </w:r>
      <w:r w:rsidRPr="007A4A18">
        <w:rPr>
          <w:rFonts w:ascii="Times New Roman" w:eastAsia="Times New Roman" w:hAnsi="Times New Roman"/>
          <w:sz w:val="24"/>
          <w:szCs w:val="24"/>
        </w:rPr>
        <w:t>In 2019, a federal jury awarded Hurd $1.1 million. The judgment later was reduced by a judge, and the city agreed to pay Hurd $600,000 to avoid a second trial.</w:t>
      </w:r>
      <w:r>
        <w:rPr>
          <w:rFonts w:ascii="Times New Roman" w:eastAsia="Times New Roman" w:hAnsi="Times New Roman"/>
          <w:sz w:val="24"/>
          <w:szCs w:val="24"/>
        </w:rPr>
        <w:t>”</w:t>
      </w:r>
    </w:p>
    <w:p w14:paraId="6E35847B" w14:textId="77777777" w:rsidR="00BD263B" w:rsidRDefault="00BD263B" w:rsidP="002B1283">
      <w:pPr>
        <w:rPr>
          <w:rFonts w:ascii="Arial Black" w:hAnsi="Arial Black"/>
          <w:b/>
          <w:sz w:val="24"/>
          <w:szCs w:val="24"/>
        </w:rPr>
      </w:pPr>
    </w:p>
    <w:p w14:paraId="7B4A97E2" w14:textId="77777777" w:rsidR="00BD263B" w:rsidRDefault="00BD263B" w:rsidP="002B1283">
      <w:pPr>
        <w:rPr>
          <w:rFonts w:ascii="Arial Black" w:hAnsi="Arial Black"/>
          <w:b/>
          <w:sz w:val="24"/>
          <w:szCs w:val="24"/>
        </w:rPr>
      </w:pPr>
    </w:p>
    <w:p w14:paraId="2D7B7107" w14:textId="2EA4973C" w:rsidR="00BD263B" w:rsidRDefault="00BD263B" w:rsidP="002B1283">
      <w:pPr>
        <w:rPr>
          <w:rFonts w:ascii="Arial Black" w:hAnsi="Arial Black"/>
          <w:b/>
          <w:sz w:val="24"/>
          <w:szCs w:val="24"/>
        </w:rPr>
      </w:pPr>
      <w:r>
        <w:rPr>
          <w:rFonts w:ascii="Arial Black" w:hAnsi="Arial Black"/>
          <w:b/>
          <w:sz w:val="24"/>
          <w:szCs w:val="24"/>
        </w:rPr>
        <w:t>7-34</w:t>
      </w:r>
    </w:p>
    <w:p w14:paraId="3DBF6150" w14:textId="77777777" w:rsidR="00BD263B" w:rsidRPr="0013564B" w:rsidRDefault="00BD263B" w:rsidP="00BD263B">
      <w:pPr>
        <w:pStyle w:val="NormalWeb"/>
        <w:rPr>
          <w:rFonts w:ascii="Arial Black" w:hAnsi="Arial Black"/>
          <w:sz w:val="28"/>
          <w:szCs w:val="28"/>
        </w:rPr>
      </w:pPr>
      <w:bookmarkStart w:id="285" w:name="_Hlk81842244"/>
      <w:r>
        <w:rPr>
          <w:rFonts w:ascii="Arial Black" w:hAnsi="Arial Black"/>
          <w:sz w:val="28"/>
          <w:szCs w:val="28"/>
        </w:rPr>
        <w:t xml:space="preserve">UT: FEMALE BATTALION CHIEF – DEMOTED, TERMINATED –SEXIST COMMENTS SUPERIORS - LAWSUIT MAY PROCEED </w:t>
      </w:r>
    </w:p>
    <w:bookmarkEnd w:id="285"/>
    <w:p w14:paraId="7205176C" w14:textId="77777777" w:rsidR="00BD263B" w:rsidRDefault="00BD263B" w:rsidP="00BD263B">
      <w:pPr>
        <w:pStyle w:val="NormalWeb"/>
        <w:tabs>
          <w:tab w:val="left" w:pos="6730"/>
        </w:tabs>
      </w:pPr>
      <w:r>
        <w:t xml:space="preserve">On Aug. 10, 2021, in </w:t>
      </w:r>
      <w:r w:rsidRPr="0013564B">
        <w:rPr>
          <w:u w:val="single"/>
        </w:rPr>
        <w:t>Martha Ellis v. Salt Lake City Corp, et al</w:t>
      </w:r>
      <w:r>
        <w:t>., U.S. District Court judge Jill N. Parrish granted plaintiff’s motion to reinstate her Equal Protection claim based on her 2016 demotion from Battalion Chief / Fire Marshal to Captain, and termination on March 17, 2017.  The judge referenced her 22-year career with Salt Lake City Fire Department, the first and only female to hold rank of chief officer, and cited numerous offensive comments, including her immediate Supervisor [Deputy Chief] who allegedly “suggested that Ellis ‘throw tampons’ at her employees if they got ‘whiney’ and referred to other women in the Fire Department as ‘bitches’ and called them ‘bitchy.’”</w:t>
      </w:r>
    </w:p>
    <w:p w14:paraId="48607083" w14:textId="77777777" w:rsidR="00BD263B" w:rsidRDefault="00BD263B" w:rsidP="00BD263B">
      <w:pPr>
        <w:pStyle w:val="NormalWeb"/>
        <w:ind w:left="720"/>
      </w:pPr>
      <w:r>
        <w:t xml:space="preserve">“Here, Ellis has included sufficient factual allegations in her Complaint to state a plausible prima facie case of discriminatory demotion. First, she is a woman and is therefore within a protected group. Second, she alleges that she was adversely affected by the demotion because she lost rank and her pay was reduced. </w:t>
      </w:r>
      <w:r>
        <w:rPr>
          <w:rStyle w:val="Emphasis"/>
        </w:rPr>
        <w:t>See</w:t>
      </w:r>
      <w:r>
        <w:t xml:space="preserve"> ECF No. 54 at ¶131. Third, she alleges that she was qualified for the position from which she was demoted because she had held the position for seven years, had obtained postgraduate education, and had an exemplary employment record, including having won various awards. </w:t>
      </w:r>
      <w:r>
        <w:rPr>
          <w:rStyle w:val="Emphasis"/>
        </w:rPr>
        <w:t>See id.</w:t>
      </w:r>
      <w:r>
        <w:t xml:space="preserve"> </w:t>
      </w:r>
      <w:proofErr w:type="gramStart"/>
      <w:r>
        <w:t>at ¶¶</w:t>
      </w:r>
      <w:proofErr w:type="gramEnd"/>
      <w:r>
        <w:t xml:space="preserve"> 20-26. Finally, it can be reasonably inferred from the Complaint that the </w:t>
      </w:r>
      <w:proofErr w:type="gramStart"/>
      <w:r>
        <w:t>City</w:t>
      </w:r>
      <w:proofErr w:type="gramEnd"/>
      <w:r>
        <w:t xml:space="preserve"> did not eliminate the position after Ellis was demoted from it. This is because Ellis alleges that the city improperly failed to reinstate her to her former position even after the Civil Service Commission overturned her demotion. </w:t>
      </w:r>
      <w:r>
        <w:rPr>
          <w:rStyle w:val="Emphasis"/>
        </w:rPr>
        <w:t>See id.</w:t>
      </w:r>
      <w:r>
        <w:t xml:space="preserve"> at ¶¶ 176-178. Accordingly, the court reinstates Ellis's Section 1983 claim for discriminatory </w:t>
      </w:r>
      <w:proofErr w:type="gramStart"/>
      <w:r>
        <w:t>demotion.”</w:t>
      </w:r>
      <w:proofErr w:type="gramEnd"/>
      <w:r>
        <w:t xml:space="preserve"> </w:t>
      </w:r>
      <w:hyperlink r:id="rId1405" w:history="1">
        <w:r w:rsidRPr="00472D9E">
          <w:rPr>
            <w:rStyle w:val="Hyperlink"/>
          </w:rPr>
          <w:t>https://www.leagle.com/decision/infdco20210812991</w:t>
        </w:r>
      </w:hyperlink>
      <w:r>
        <w:t xml:space="preserve"> </w:t>
      </w:r>
    </w:p>
    <w:p w14:paraId="07A6BCD5" w14:textId="77777777" w:rsidR="00BD263B" w:rsidRPr="008729DF" w:rsidRDefault="00BD263B" w:rsidP="00BD263B">
      <w:pPr>
        <w:pStyle w:val="NormalWeb"/>
        <w:rPr>
          <w:b/>
          <w:bCs/>
        </w:rPr>
      </w:pPr>
      <w:r w:rsidRPr="008729DF">
        <w:rPr>
          <w:b/>
          <w:bCs/>
        </w:rPr>
        <w:t>Legal Lesson Learned:</w:t>
      </w:r>
      <w:r>
        <w:rPr>
          <w:b/>
          <w:bCs/>
        </w:rPr>
        <w:t xml:space="preserve"> Inappropriate, sexist comments can lead to EEOC charges and litigation. </w:t>
      </w:r>
    </w:p>
    <w:p w14:paraId="0DB6ED6F" w14:textId="77777777" w:rsidR="00BD263B" w:rsidRDefault="00BD263B" w:rsidP="002B1283">
      <w:pPr>
        <w:rPr>
          <w:rFonts w:ascii="Arial Black" w:hAnsi="Arial Black"/>
          <w:b/>
          <w:sz w:val="24"/>
          <w:szCs w:val="24"/>
        </w:rPr>
      </w:pPr>
    </w:p>
    <w:p w14:paraId="232280B1" w14:textId="77777777" w:rsidR="00BD263B" w:rsidRDefault="00BD263B" w:rsidP="002B1283">
      <w:pPr>
        <w:rPr>
          <w:rFonts w:ascii="Arial Black" w:hAnsi="Arial Black"/>
          <w:b/>
          <w:sz w:val="24"/>
          <w:szCs w:val="24"/>
        </w:rPr>
      </w:pPr>
    </w:p>
    <w:p w14:paraId="3130A682" w14:textId="73ABDBF7" w:rsidR="005217D5" w:rsidRDefault="005217D5" w:rsidP="002B1283">
      <w:pPr>
        <w:rPr>
          <w:rFonts w:ascii="Arial Black" w:hAnsi="Arial Black"/>
          <w:b/>
          <w:sz w:val="24"/>
          <w:szCs w:val="24"/>
        </w:rPr>
      </w:pPr>
      <w:r>
        <w:rPr>
          <w:rFonts w:ascii="Arial Black" w:hAnsi="Arial Black"/>
          <w:b/>
          <w:sz w:val="24"/>
          <w:szCs w:val="24"/>
        </w:rPr>
        <w:t>7-33</w:t>
      </w:r>
    </w:p>
    <w:p w14:paraId="112BE40C" w14:textId="77777777" w:rsidR="005217D5" w:rsidRPr="00827F2A" w:rsidRDefault="005217D5" w:rsidP="005217D5">
      <w:pPr>
        <w:rPr>
          <w:rStyle w:val="markedcontent"/>
          <w:rFonts w:ascii="Arial Black" w:hAnsi="Arial Black"/>
          <w:sz w:val="28"/>
          <w:szCs w:val="28"/>
        </w:rPr>
      </w:pPr>
      <w:r w:rsidRPr="00827F2A">
        <w:rPr>
          <w:rStyle w:val="markedcontent"/>
          <w:rFonts w:ascii="Arial Black" w:hAnsi="Arial Black"/>
          <w:sz w:val="28"/>
          <w:szCs w:val="28"/>
        </w:rPr>
        <w:t>MA:</w:t>
      </w:r>
      <w:r>
        <w:rPr>
          <w:rStyle w:val="markedcontent"/>
          <w:rFonts w:ascii="Arial Black" w:hAnsi="Arial Black"/>
          <w:sz w:val="28"/>
          <w:szCs w:val="28"/>
        </w:rPr>
        <w:t xml:space="preserve">  STATE CIVIL SERVICE COMMISSION ORDERS 3 FF REHIRED – FIRE CHIEF TO BE DISCIPLINED 2016 INCIDENT</w:t>
      </w:r>
    </w:p>
    <w:p w14:paraId="5BD85CAD" w14:textId="77777777" w:rsidR="005217D5" w:rsidRDefault="005217D5" w:rsidP="005217D5">
      <w:pPr>
        <w:rPr>
          <w:rStyle w:val="markedcontent"/>
          <w:rFonts w:ascii="Times New Roman" w:hAnsi="Times New Roman"/>
          <w:sz w:val="24"/>
          <w:szCs w:val="24"/>
        </w:rPr>
      </w:pPr>
      <w:r>
        <w:rPr>
          <w:rStyle w:val="markedcontent"/>
          <w:rFonts w:ascii="Times New Roman" w:hAnsi="Times New Roman"/>
          <w:sz w:val="24"/>
          <w:szCs w:val="24"/>
        </w:rPr>
        <w:t xml:space="preserve">On May 21, 2021, in </w:t>
      </w:r>
      <w:r w:rsidRPr="00827F2A">
        <w:rPr>
          <w:rStyle w:val="markedcontent"/>
          <w:rFonts w:ascii="Times New Roman" w:hAnsi="Times New Roman"/>
          <w:sz w:val="24"/>
          <w:szCs w:val="24"/>
          <w:u w:val="single"/>
        </w:rPr>
        <w:t>Kyle Miltimore, Rebecca Boutin, David Kennedy v. Westfield Fire Commission,</w:t>
      </w:r>
      <w:r>
        <w:rPr>
          <w:rStyle w:val="markedcontent"/>
          <w:rFonts w:ascii="Times New Roman" w:hAnsi="Times New Roman"/>
          <w:sz w:val="24"/>
          <w:szCs w:val="24"/>
        </w:rPr>
        <w:t xml:space="preserve"> the state Civil Service Commission held (5 to 0) that “</w:t>
      </w:r>
      <w:r w:rsidRPr="00827F2A">
        <w:rPr>
          <w:rStyle w:val="markedcontent"/>
          <w:rFonts w:ascii="Times New Roman" w:hAnsi="Times New Roman"/>
          <w:sz w:val="24"/>
          <w:szCs w:val="24"/>
        </w:rPr>
        <w:t>Westfield Fire Commission has not shown, by a preponderance of the evidence, that there was just cause for terminating the Appellants from their employment</w:t>
      </w:r>
      <w:r>
        <w:rPr>
          <w:rStyle w:val="markedcontent"/>
          <w:rFonts w:ascii="Times New Roman" w:hAnsi="Times New Roman"/>
          <w:sz w:val="24"/>
          <w:szCs w:val="24"/>
        </w:rPr>
        <w:t xml:space="preserve">.”  The two male firefighters and female Captain Rebecca Boutin were terminated in December 2019 upon recommendation of outside lawyer hired by the City. Female Captain to serve 30-day suspension, however, for incorrectly telling others that the then-Deputy Chief (now Fire Chief) was going to be arrested for rape.  All to be put back on </w:t>
      </w:r>
      <w:proofErr w:type="gramStart"/>
      <w:r>
        <w:rPr>
          <w:rStyle w:val="markedcontent"/>
          <w:rFonts w:ascii="Times New Roman" w:hAnsi="Times New Roman"/>
          <w:sz w:val="24"/>
          <w:szCs w:val="24"/>
        </w:rPr>
        <w:t>payroll, but</w:t>
      </w:r>
      <w:proofErr w:type="gramEnd"/>
      <w:r>
        <w:rPr>
          <w:rStyle w:val="markedcontent"/>
          <w:rFonts w:ascii="Times New Roman" w:hAnsi="Times New Roman"/>
          <w:sz w:val="24"/>
          <w:szCs w:val="24"/>
        </w:rPr>
        <w:t xml:space="preserve"> not return to work until Fire Chief is disciplined for admittedly grouping a female nurse off duty after a 2016 St. Patrick’s Day parade and the Commission’s other requirements for a “safe work environment” are in place. </w:t>
      </w:r>
    </w:p>
    <w:p w14:paraId="16683B28" w14:textId="77777777" w:rsidR="005217D5" w:rsidRDefault="005217D5" w:rsidP="005217D5">
      <w:pPr>
        <w:ind w:left="720"/>
        <w:rPr>
          <w:rStyle w:val="markedcontent"/>
          <w:rFonts w:ascii="Times New Roman" w:hAnsi="Times New Roman"/>
          <w:sz w:val="24"/>
          <w:szCs w:val="24"/>
        </w:rPr>
      </w:pPr>
      <w:r>
        <w:rPr>
          <w:rStyle w:val="markedcontent"/>
          <w:rFonts w:ascii="Times New Roman" w:hAnsi="Times New Roman"/>
          <w:sz w:val="24"/>
          <w:szCs w:val="24"/>
        </w:rPr>
        <w:t>“</w:t>
      </w:r>
      <w:r w:rsidRPr="00E004CD">
        <w:rPr>
          <w:rStyle w:val="markedcontent"/>
          <w:rFonts w:ascii="Times New Roman" w:hAnsi="Times New Roman"/>
          <w:sz w:val="24"/>
          <w:szCs w:val="24"/>
        </w:rPr>
        <w:t xml:space="preserve">McDonald’s </w:t>
      </w:r>
      <w:r>
        <w:rPr>
          <w:rStyle w:val="markedcontent"/>
          <w:rFonts w:ascii="Times New Roman" w:hAnsi="Times New Roman"/>
          <w:sz w:val="24"/>
          <w:szCs w:val="24"/>
        </w:rPr>
        <w:t xml:space="preserve">[Investigating attorney Dawn McDonald, Esq.] </w:t>
      </w:r>
      <w:r w:rsidRPr="00E004CD">
        <w:rPr>
          <w:rStyle w:val="markedcontent"/>
          <w:rFonts w:ascii="Times New Roman" w:hAnsi="Times New Roman"/>
          <w:sz w:val="24"/>
          <w:szCs w:val="24"/>
        </w:rPr>
        <w:t>conclusion that the Appellants damaged the morale of the Westfield Fire Department is without merit and can be addressed summarily. As discussed in more detail below regarding disparate treatment, any purported poor morale in the Department cannot be traced back exclusively to the Appellants, but, rather, was attributable to many factors, including, in substantial part, the conduct of the individual who the Westfield Fire Commission has now chosen to lead the Department – Patrick Egloff.</w:t>
      </w:r>
    </w:p>
    <w:p w14:paraId="37B22CFF" w14:textId="77777777" w:rsidR="005217D5" w:rsidRDefault="005217D5" w:rsidP="005217D5">
      <w:pPr>
        <w:ind w:left="720"/>
        <w:rPr>
          <w:rStyle w:val="markedcontent"/>
          <w:rFonts w:ascii="Times New Roman" w:hAnsi="Times New Roman"/>
          <w:sz w:val="24"/>
          <w:szCs w:val="24"/>
        </w:rPr>
      </w:pPr>
      <w:r>
        <w:rPr>
          <w:rStyle w:val="markedcontent"/>
          <w:rFonts w:ascii="Times New Roman" w:hAnsi="Times New Roman"/>
          <w:sz w:val="24"/>
          <w:szCs w:val="24"/>
        </w:rPr>
        <w:t>***</w:t>
      </w:r>
    </w:p>
    <w:p w14:paraId="497506B5" w14:textId="77777777" w:rsidR="005217D5" w:rsidRPr="005309C0" w:rsidRDefault="005217D5" w:rsidP="005217D5">
      <w:pPr>
        <w:ind w:left="720"/>
        <w:rPr>
          <w:rStyle w:val="markedcontent"/>
          <w:rFonts w:ascii="Times New Roman" w:hAnsi="Times New Roman"/>
          <w:sz w:val="24"/>
          <w:szCs w:val="24"/>
        </w:rPr>
      </w:pPr>
      <w:r w:rsidRPr="005309C0">
        <w:rPr>
          <w:rStyle w:val="markedcontent"/>
          <w:rFonts w:ascii="Times New Roman" w:hAnsi="Times New Roman"/>
          <w:sz w:val="24"/>
          <w:szCs w:val="24"/>
        </w:rPr>
        <w:t>McDonald reports that Egloff admitted to the assault on Ms. N (</w:t>
      </w:r>
      <w:r>
        <w:rPr>
          <w:rStyle w:val="markedcontent"/>
          <w:rFonts w:ascii="Times New Roman" w:hAnsi="Times New Roman"/>
          <w:sz w:val="24"/>
          <w:szCs w:val="24"/>
        </w:rPr>
        <w:t>‘</w:t>
      </w:r>
      <w:r w:rsidRPr="005309C0">
        <w:rPr>
          <w:rStyle w:val="markedcontent"/>
          <w:rFonts w:ascii="Times New Roman" w:hAnsi="Times New Roman"/>
          <w:sz w:val="24"/>
          <w:szCs w:val="24"/>
        </w:rPr>
        <w:t>grabbed her by the vagina</w:t>
      </w:r>
      <w:r>
        <w:rPr>
          <w:rStyle w:val="markedcontent"/>
          <w:rFonts w:ascii="Times New Roman" w:hAnsi="Times New Roman"/>
          <w:sz w:val="24"/>
          <w:szCs w:val="24"/>
        </w:rPr>
        <w:t>’</w:t>
      </w:r>
      <w:r w:rsidRPr="005309C0">
        <w:rPr>
          <w:rStyle w:val="markedcontent"/>
          <w:rFonts w:ascii="Times New Roman" w:hAnsi="Times New Roman"/>
          <w:sz w:val="24"/>
          <w:szCs w:val="24"/>
        </w:rPr>
        <w:t xml:space="preserve">). Specifically, McDonald’s report states: </w:t>
      </w:r>
      <w:r w:rsidRPr="005309C0">
        <w:rPr>
          <w:rFonts w:ascii="Times New Roman" w:hAnsi="Times New Roman"/>
          <w:sz w:val="24"/>
          <w:szCs w:val="24"/>
        </w:rPr>
        <w:br/>
      </w:r>
      <w:r w:rsidRPr="005309C0">
        <w:rPr>
          <w:rFonts w:ascii="Times New Roman" w:hAnsi="Times New Roman"/>
          <w:sz w:val="24"/>
          <w:szCs w:val="24"/>
        </w:rPr>
        <w:br/>
      </w:r>
      <w:r w:rsidRPr="005309C0">
        <w:rPr>
          <w:rStyle w:val="markedcontent"/>
          <w:rFonts w:ascii="Times New Roman" w:hAnsi="Times New Roman"/>
          <w:sz w:val="24"/>
          <w:szCs w:val="24"/>
        </w:rPr>
        <w:t>“At some point during the day</w:t>
      </w:r>
      <w:r>
        <w:rPr>
          <w:rStyle w:val="markedcontent"/>
          <w:rFonts w:ascii="Times New Roman" w:hAnsi="Times New Roman"/>
          <w:sz w:val="24"/>
          <w:szCs w:val="24"/>
        </w:rPr>
        <w:t xml:space="preserve"> [out drinking after </w:t>
      </w:r>
      <w:r w:rsidRPr="006A5F67">
        <w:rPr>
          <w:rStyle w:val="markedcontent"/>
          <w:rFonts w:ascii="Times New Roman" w:hAnsi="Times New Roman"/>
          <w:sz w:val="24"/>
          <w:szCs w:val="24"/>
        </w:rPr>
        <w:t>2016 St. Patrick’s Day Parade</w:t>
      </w:r>
      <w:r>
        <w:rPr>
          <w:rStyle w:val="markedcontent"/>
          <w:rFonts w:ascii="Times New Roman" w:hAnsi="Times New Roman"/>
          <w:sz w:val="24"/>
          <w:szCs w:val="24"/>
        </w:rPr>
        <w:t>]</w:t>
      </w:r>
      <w:r w:rsidRPr="005309C0">
        <w:rPr>
          <w:rStyle w:val="markedcontent"/>
          <w:rFonts w:ascii="Times New Roman" w:hAnsi="Times New Roman"/>
          <w:sz w:val="24"/>
          <w:szCs w:val="24"/>
        </w:rPr>
        <w:t xml:space="preserve"> Deputy Egloff went up to [Ms. N] and grabbed her by the vagina. [Ms. N] immediately shoved him off and yelled at him, words to the effect that if he ever laid hands on her again, she would knock him out. He apologized, [Ms. N] accepted his </w:t>
      </w:r>
      <w:proofErr w:type="gramStart"/>
      <w:r w:rsidRPr="005309C0">
        <w:rPr>
          <w:rStyle w:val="markedcontent"/>
          <w:rFonts w:ascii="Times New Roman" w:hAnsi="Times New Roman"/>
          <w:sz w:val="24"/>
          <w:szCs w:val="24"/>
        </w:rPr>
        <w:t>apology</w:t>
      </w:r>
      <w:proofErr w:type="gramEnd"/>
      <w:r w:rsidRPr="005309C0">
        <w:rPr>
          <w:rStyle w:val="markedcontent"/>
          <w:rFonts w:ascii="Times New Roman" w:hAnsi="Times New Roman"/>
          <w:sz w:val="24"/>
          <w:szCs w:val="24"/>
        </w:rPr>
        <w:t xml:space="preserve"> and everyone continued with the festivities and </w:t>
      </w:r>
      <w:proofErr w:type="gramStart"/>
      <w:r w:rsidRPr="005309C0">
        <w:rPr>
          <w:rStyle w:val="markedcontent"/>
          <w:rFonts w:ascii="Times New Roman" w:hAnsi="Times New Roman"/>
          <w:sz w:val="24"/>
          <w:szCs w:val="24"/>
        </w:rPr>
        <w:t>having</w:t>
      </w:r>
      <w:proofErr w:type="gramEnd"/>
      <w:r w:rsidRPr="005309C0">
        <w:rPr>
          <w:rStyle w:val="markedcontent"/>
          <w:rFonts w:ascii="Times New Roman" w:hAnsi="Times New Roman"/>
          <w:sz w:val="24"/>
          <w:szCs w:val="24"/>
        </w:rPr>
        <w:t xml:space="preserve"> a good time. Egloff admits to this incident and further states that a few days later he again called [Ms. N] to profusely apologize for his conduct. He is embarrassed, ashamed and full of remorse at his behavior. [Ms. N] verifies this account and states that as far as she was concerned, it was one drunken incident, it was dealt with and over that day, and there was nothing further to apologize for.” </w:t>
      </w:r>
      <w:r>
        <w:rPr>
          <w:rStyle w:val="markedcontent"/>
          <w:rFonts w:ascii="Times New Roman" w:hAnsi="Times New Roman"/>
          <w:sz w:val="24"/>
          <w:szCs w:val="24"/>
        </w:rPr>
        <w:t>[See page 30 of the opinion.]</w:t>
      </w:r>
    </w:p>
    <w:p w14:paraId="298F1FF4" w14:textId="77777777" w:rsidR="005217D5" w:rsidRPr="00E004CD" w:rsidRDefault="005217D5" w:rsidP="005217D5">
      <w:pPr>
        <w:ind w:left="720"/>
        <w:rPr>
          <w:rStyle w:val="markedcontent"/>
          <w:rFonts w:ascii="Times New Roman" w:hAnsi="Times New Roman"/>
          <w:sz w:val="24"/>
          <w:szCs w:val="24"/>
        </w:rPr>
      </w:pPr>
      <w:hyperlink r:id="rId1406" w:history="1">
        <w:r w:rsidRPr="004A379F">
          <w:rPr>
            <w:rStyle w:val="Hyperlink"/>
            <w:sz w:val="24"/>
            <w:szCs w:val="24"/>
          </w:rPr>
          <w:t>https://www.mass.gov/doc/miltimore-boutin-and-kennedy-v-westfield-fire-commission-52121/download</w:t>
        </w:r>
      </w:hyperlink>
      <w:r>
        <w:rPr>
          <w:rStyle w:val="markedcontent"/>
          <w:rFonts w:ascii="Times New Roman" w:hAnsi="Times New Roman"/>
          <w:sz w:val="24"/>
          <w:szCs w:val="24"/>
        </w:rPr>
        <w:t xml:space="preserve"> </w:t>
      </w:r>
    </w:p>
    <w:p w14:paraId="23C0B740" w14:textId="77777777" w:rsidR="005217D5" w:rsidRPr="00474F9A" w:rsidRDefault="005217D5" w:rsidP="005217D5">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L</w:t>
      </w:r>
      <w:r w:rsidRPr="00474F9A">
        <w:rPr>
          <w:rFonts w:ascii="Times New Roman" w:hAnsi="Times New Roman"/>
          <w:b/>
          <w:bCs/>
          <w:sz w:val="24"/>
          <w:szCs w:val="24"/>
        </w:rPr>
        <w:t xml:space="preserve">egal Lesson Learned: </w:t>
      </w:r>
      <w:r>
        <w:rPr>
          <w:rFonts w:ascii="Times New Roman" w:hAnsi="Times New Roman"/>
          <w:b/>
          <w:bCs/>
          <w:sz w:val="24"/>
          <w:szCs w:val="24"/>
        </w:rPr>
        <w:t>Admitted s</w:t>
      </w:r>
      <w:r w:rsidRPr="00474F9A">
        <w:rPr>
          <w:rFonts w:ascii="Times New Roman" w:hAnsi="Times New Roman"/>
          <w:b/>
          <w:bCs/>
          <w:sz w:val="24"/>
          <w:szCs w:val="24"/>
        </w:rPr>
        <w:t xml:space="preserve">exual misconduct by </w:t>
      </w:r>
      <w:r>
        <w:rPr>
          <w:rFonts w:ascii="Times New Roman" w:hAnsi="Times New Roman"/>
          <w:b/>
          <w:bCs/>
          <w:sz w:val="24"/>
          <w:szCs w:val="24"/>
        </w:rPr>
        <w:t>a senior fire officer is particularly shocking, and discipline must now be imposed.</w:t>
      </w:r>
    </w:p>
    <w:p w14:paraId="3342DCBB" w14:textId="77777777" w:rsidR="005217D5" w:rsidRPr="00474F9A" w:rsidRDefault="005217D5" w:rsidP="005217D5">
      <w:pPr>
        <w:pStyle w:val="NormalWeb"/>
        <w:ind w:left="720"/>
      </w:pPr>
      <w:r w:rsidRPr="00474F9A">
        <w:t xml:space="preserve">Note: See May 24, </w:t>
      </w:r>
      <w:proofErr w:type="gramStart"/>
      <w:r w:rsidRPr="00474F9A">
        <w:t>2021</w:t>
      </w:r>
      <w:proofErr w:type="gramEnd"/>
      <w:r w:rsidRPr="00474F9A">
        <w:t xml:space="preserve"> article, “Termination of 3 Westfield firefighters vacated, commission orders investigation of chief.” </w:t>
      </w:r>
    </w:p>
    <w:p w14:paraId="59684BAC" w14:textId="271ABA8A" w:rsidR="005217D5" w:rsidRPr="005217D5" w:rsidRDefault="005217D5" w:rsidP="005217D5">
      <w:pPr>
        <w:ind w:left="720"/>
        <w:rPr>
          <w:rFonts w:ascii="Times New Roman" w:hAnsi="Times New Roman"/>
          <w:b/>
          <w:sz w:val="24"/>
          <w:szCs w:val="24"/>
        </w:rPr>
      </w:pPr>
      <w:r w:rsidRPr="005217D5">
        <w:rPr>
          <w:rFonts w:ascii="Times New Roman" w:hAnsi="Times New Roman"/>
          <w:sz w:val="24"/>
          <w:szCs w:val="24"/>
        </w:rPr>
        <w:t xml:space="preserve">“The three firefighters were fired back in December 2019 by the Westfield Fire Commission, following an independent report conducted by Attorney Dawn McDonald into the sexual harassment allegations. McDonald’s report also recommended that Egloff should not be promoted to the chief for other reasons.” </w:t>
      </w:r>
      <w:hyperlink r:id="rId1407" w:history="1">
        <w:r w:rsidRPr="005217D5">
          <w:rPr>
            <w:rStyle w:val="Hyperlink"/>
            <w:rFonts w:ascii="Times New Roman" w:hAnsi="Times New Roman"/>
            <w:sz w:val="24"/>
            <w:szCs w:val="24"/>
          </w:rPr>
          <w:t>https://www.wwlp.com/news/local-news/hampden-county/termination-of-3-westfield-firefighters-vacated-commission-orders-investigation-of-chief/</w:t>
        </w:r>
      </w:hyperlink>
    </w:p>
    <w:p w14:paraId="23583571" w14:textId="77777777" w:rsidR="005217D5" w:rsidRDefault="005217D5" w:rsidP="002B1283">
      <w:pPr>
        <w:rPr>
          <w:rFonts w:ascii="Arial Black" w:hAnsi="Arial Black"/>
          <w:b/>
          <w:sz w:val="24"/>
          <w:szCs w:val="24"/>
        </w:rPr>
      </w:pPr>
    </w:p>
    <w:p w14:paraId="45A9BFD6" w14:textId="77777777" w:rsidR="005217D5" w:rsidRDefault="005217D5" w:rsidP="002B1283">
      <w:pPr>
        <w:rPr>
          <w:rFonts w:ascii="Arial Black" w:hAnsi="Arial Black"/>
          <w:b/>
          <w:sz w:val="24"/>
          <w:szCs w:val="24"/>
        </w:rPr>
      </w:pPr>
    </w:p>
    <w:p w14:paraId="2778C74D" w14:textId="0A06E5C7" w:rsidR="00B03268" w:rsidRDefault="00B03268" w:rsidP="002B1283">
      <w:pPr>
        <w:rPr>
          <w:rFonts w:ascii="Arial Black" w:hAnsi="Arial Black"/>
          <w:b/>
          <w:sz w:val="24"/>
          <w:szCs w:val="24"/>
        </w:rPr>
      </w:pPr>
      <w:r>
        <w:rPr>
          <w:rFonts w:ascii="Arial Black" w:hAnsi="Arial Black"/>
          <w:b/>
          <w:sz w:val="24"/>
          <w:szCs w:val="24"/>
        </w:rPr>
        <w:t>7-32</w:t>
      </w:r>
    </w:p>
    <w:p w14:paraId="0879EBB3" w14:textId="77777777" w:rsidR="00B03268" w:rsidRDefault="00B03268" w:rsidP="00B03268">
      <w:pPr>
        <w:pStyle w:val="NoSpacing"/>
        <w:rPr>
          <w:rFonts w:ascii="Arial Black" w:hAnsi="Arial Black"/>
          <w:sz w:val="28"/>
          <w:szCs w:val="28"/>
        </w:rPr>
      </w:pPr>
      <w:r>
        <w:rPr>
          <w:rFonts w:ascii="Arial Black" w:hAnsi="Arial Black"/>
          <w:sz w:val="28"/>
          <w:szCs w:val="28"/>
        </w:rPr>
        <w:t>PA: FEMALE FF TERMINATED BY VOLUNTEER FD – FED. CASE DISMISSED – VOL. FD NOT SEC. 1983 “STATE ACTOR”</w:t>
      </w:r>
    </w:p>
    <w:p w14:paraId="4853E4E7" w14:textId="77777777" w:rsidR="00B03268" w:rsidRDefault="00B03268" w:rsidP="00B03268">
      <w:pPr>
        <w:pStyle w:val="NoSpacing"/>
        <w:rPr>
          <w:rFonts w:ascii="Arial Black" w:hAnsi="Arial Black"/>
          <w:sz w:val="28"/>
          <w:szCs w:val="28"/>
        </w:rPr>
      </w:pPr>
    </w:p>
    <w:p w14:paraId="55815892" w14:textId="77777777" w:rsidR="00B03268" w:rsidRDefault="00B03268" w:rsidP="00B03268">
      <w:pPr>
        <w:pStyle w:val="NoSpacing"/>
        <w:rPr>
          <w:rFonts w:ascii="Times New Roman" w:hAnsi="Times New Roman"/>
          <w:sz w:val="24"/>
          <w:szCs w:val="24"/>
        </w:rPr>
      </w:pPr>
      <w:r>
        <w:rPr>
          <w:rFonts w:ascii="Times New Roman" w:hAnsi="Times New Roman"/>
          <w:sz w:val="24"/>
          <w:szCs w:val="24"/>
        </w:rPr>
        <w:t xml:space="preserve">On May 18, 2021, in </w:t>
      </w:r>
      <w:r w:rsidRPr="00151CAC">
        <w:rPr>
          <w:rFonts w:ascii="Times New Roman" w:hAnsi="Times New Roman"/>
          <w:sz w:val="24"/>
          <w:szCs w:val="24"/>
          <w:u w:val="single"/>
        </w:rPr>
        <w:t>Annie M. Papa v. Neshannock VFD, et al</w:t>
      </w:r>
      <w:r>
        <w:rPr>
          <w:rFonts w:ascii="Times New Roman" w:hAnsi="Times New Roman"/>
          <w:sz w:val="24"/>
          <w:szCs w:val="24"/>
        </w:rPr>
        <w:t xml:space="preserve">., U.S. Senior District Court Judge </w:t>
      </w:r>
    </w:p>
    <w:p w14:paraId="5E2FAD08" w14:textId="77777777" w:rsidR="00B03268" w:rsidRDefault="00B03268" w:rsidP="00B03268">
      <w:pPr>
        <w:pStyle w:val="NoSpacing"/>
        <w:rPr>
          <w:rFonts w:ascii="Times New Roman" w:hAnsi="Times New Roman"/>
          <w:sz w:val="24"/>
          <w:szCs w:val="24"/>
        </w:rPr>
      </w:pPr>
      <w:r w:rsidRPr="00151CAC">
        <w:rPr>
          <w:rFonts w:ascii="Times New Roman" w:hAnsi="Times New Roman"/>
          <w:sz w:val="24"/>
          <w:szCs w:val="24"/>
        </w:rPr>
        <w:t>Joy Flowers Conti</w:t>
      </w:r>
      <w:r>
        <w:rPr>
          <w:rFonts w:ascii="Times New Roman" w:hAnsi="Times New Roman"/>
          <w:sz w:val="24"/>
          <w:szCs w:val="24"/>
        </w:rPr>
        <w:t xml:space="preserve">, U.S. District Court for Western District of Pennsylvania, granted the Volunteer Fire Department’s motion to dismiss the federal lawsuit, since this is a private fire company and not involved in “state action” when terminating a volunteer firefighter; her claims are remanded to state court. </w:t>
      </w:r>
    </w:p>
    <w:p w14:paraId="73D333DF" w14:textId="660DFD7F" w:rsidR="00B03268" w:rsidRDefault="00B03268" w:rsidP="00B03268">
      <w:pPr>
        <w:rPr>
          <w:rFonts w:ascii="Arial Black" w:hAnsi="Arial Black"/>
          <w:b/>
          <w:sz w:val="24"/>
          <w:szCs w:val="24"/>
        </w:rPr>
      </w:pPr>
      <w:r>
        <w:t>“</w:t>
      </w:r>
      <w:r w:rsidRPr="00151CAC">
        <w:t xml:space="preserve">In this case, Papa failed to allege any plausible basis for </w:t>
      </w:r>
      <w:r>
        <w:t>‘</w:t>
      </w:r>
      <w:r w:rsidRPr="00151CAC">
        <w:t>state action</w:t>
      </w:r>
      <w:r>
        <w:t>’</w:t>
      </w:r>
      <w:r w:rsidRPr="00151CAC">
        <w:t xml:space="preserve"> with respect to the conduct at issue in the amended complaint. The actions of which she complains occurred within the scope of her membership obligations in the Neshannock VFD. The crux of her § 1983 claims is that </w:t>
      </w:r>
      <w:proofErr w:type="gramStart"/>
      <w:r w:rsidRPr="00151CAC">
        <w:t>the Neshannock</w:t>
      </w:r>
      <w:proofErr w:type="gramEnd"/>
      <w:r w:rsidRPr="00151CAC">
        <w:t xml:space="preserve"> VFD's internal disciplinary procedures were improper. As the Supreme Court made clear in </w:t>
      </w:r>
      <w:r w:rsidRPr="00151CAC">
        <w:rPr>
          <w:i/>
          <w:iCs/>
        </w:rPr>
        <w:t>Rendell-Baker</w:t>
      </w:r>
      <w:r w:rsidRPr="00151CAC">
        <w:t>, internal disciplinary decisions of a private volunteer organization do not become state action -- even if the organization itself is heavily involved in a state function.</w:t>
      </w:r>
      <w:r>
        <w:t xml:space="preserve"> </w:t>
      </w:r>
      <w:r w:rsidRPr="00151CAC">
        <w:t>The court concludes that the § 1983 claims are subject to dismissal at this stage of the case.</w:t>
      </w:r>
      <w:r>
        <w:t xml:space="preserve">” </w:t>
      </w:r>
      <w:hyperlink r:id="rId1408" w:history="1">
        <w:r w:rsidRPr="007344F4">
          <w:rPr>
            <w:rStyle w:val="Hyperlink"/>
          </w:rPr>
          <w:t>https://public.fastcase.com/9SKwsfNqTc6OieYDhNMyMx8HeCj7%2FDJBNdWBqE3NyzJHPN6vSl1mv%2F8RhqlJqRKR</w:t>
        </w:r>
      </w:hyperlink>
    </w:p>
    <w:p w14:paraId="41D98BB6" w14:textId="77777777" w:rsidR="00B03268" w:rsidRPr="00C35A71" w:rsidRDefault="00B03268" w:rsidP="00B03268">
      <w:pPr>
        <w:pStyle w:val="NormalWeb"/>
        <w:rPr>
          <w:b/>
          <w:bCs/>
        </w:rPr>
      </w:pPr>
      <w:r w:rsidRPr="00C35A71">
        <w:rPr>
          <w:b/>
          <w:bCs/>
        </w:rPr>
        <w:t>Legal Lesson Learned:</w:t>
      </w:r>
      <w:r>
        <w:rPr>
          <w:b/>
          <w:bCs/>
        </w:rPr>
        <w:t xml:space="preserve"> Vol. fire departments are not generally considered “state actors” under 42 U.S.C. 1983 in federal lawsuits; they may be sued in State courts.</w:t>
      </w:r>
    </w:p>
    <w:p w14:paraId="32EC5993" w14:textId="77777777" w:rsidR="00B03268" w:rsidRDefault="00B03268" w:rsidP="002B1283">
      <w:pPr>
        <w:rPr>
          <w:rFonts w:ascii="Arial Black" w:hAnsi="Arial Black"/>
          <w:b/>
          <w:sz w:val="24"/>
          <w:szCs w:val="24"/>
        </w:rPr>
      </w:pPr>
    </w:p>
    <w:p w14:paraId="0021CBBB" w14:textId="77777777" w:rsidR="00B03268" w:rsidRDefault="00B03268" w:rsidP="002B1283">
      <w:pPr>
        <w:rPr>
          <w:rFonts w:ascii="Arial Black" w:hAnsi="Arial Black"/>
          <w:b/>
          <w:sz w:val="24"/>
          <w:szCs w:val="24"/>
        </w:rPr>
      </w:pPr>
    </w:p>
    <w:p w14:paraId="5C1BD0E8" w14:textId="3035198C" w:rsidR="00274525" w:rsidRDefault="00274525" w:rsidP="002B1283">
      <w:pPr>
        <w:rPr>
          <w:rFonts w:ascii="Arial Black" w:hAnsi="Arial Black"/>
          <w:b/>
          <w:sz w:val="24"/>
          <w:szCs w:val="24"/>
        </w:rPr>
      </w:pPr>
      <w:r>
        <w:rPr>
          <w:rFonts w:ascii="Arial Black" w:hAnsi="Arial Black"/>
          <w:b/>
          <w:sz w:val="24"/>
          <w:szCs w:val="24"/>
        </w:rPr>
        <w:t>7-31</w:t>
      </w:r>
    </w:p>
    <w:p w14:paraId="73A4A721" w14:textId="77777777" w:rsidR="00274525" w:rsidRPr="00421215" w:rsidRDefault="00274525" w:rsidP="00274525">
      <w:pPr>
        <w:pStyle w:val="NormalWeb"/>
        <w:rPr>
          <w:rFonts w:ascii="Arial Black" w:hAnsi="Arial Black"/>
          <w:sz w:val="28"/>
          <w:szCs w:val="28"/>
        </w:rPr>
      </w:pPr>
      <w:bookmarkStart w:id="286" w:name="_Hlk68351408"/>
      <w:r>
        <w:rPr>
          <w:rFonts w:ascii="Arial Black" w:hAnsi="Arial Black"/>
          <w:sz w:val="28"/>
          <w:szCs w:val="28"/>
        </w:rPr>
        <w:t>NJ: FEMALE FF ALLEGED ACADEMY INSTRUCTOR “RAPED AND TORTURED” HER – ACADEMY DISMISSED FROM CASE</w:t>
      </w:r>
    </w:p>
    <w:p w14:paraId="0EAC7F99" w14:textId="77777777" w:rsidR="00274525" w:rsidRDefault="00274525" w:rsidP="00274525">
      <w:pPr>
        <w:pStyle w:val="NormalWeb"/>
      </w:pPr>
      <w:r>
        <w:t xml:space="preserve">On March 26, 2021, in </w:t>
      </w:r>
      <w:r w:rsidRPr="00045581">
        <w:rPr>
          <w:u w:val="single"/>
        </w:rPr>
        <w:t>A.S. v. Ocean County Fire Academy, et al</w:t>
      </w:r>
      <w:r>
        <w:t xml:space="preserve">., U.S. District Court Judge Michael A. Shipp, U.S. District Court of New Jersey (decision Not </w:t>
      </w:r>
      <w:proofErr w:type="gramStart"/>
      <w:r>
        <w:t>For</w:t>
      </w:r>
      <w:proofErr w:type="gramEnd"/>
      <w:r>
        <w:t xml:space="preserve"> Publication) granted the Fire Academy’s motion to </w:t>
      </w:r>
      <w:proofErr w:type="gramStart"/>
      <w:r>
        <w:t>dismiss, and</w:t>
      </w:r>
      <w:proofErr w:type="gramEnd"/>
      <w:r>
        <w:t xml:space="preserve"> declined to keep jurisdiction over state law claims (lawsuit against Instructor can proceed in state court). Plaintiff completed her required hours at the Training Center in April 2018 and became an active firefighter with the Seaside Heights Fire Department. According to the Plaintiff, she and the </w:t>
      </w:r>
      <w:proofErr w:type="gramStart"/>
      <w:r>
        <w:t>Instructor</w:t>
      </w:r>
      <w:proofErr w:type="gramEnd"/>
      <w:r>
        <w:t xml:space="preserve"> [John Syers] had a “brief romantic encounter” in April, "had on again/off again conversations" until September 26, 2018, when she alleges that she was "rape[d], torture[d,] and sexually abuse[d].”  </w:t>
      </w:r>
    </w:p>
    <w:p w14:paraId="0AA7C58F" w14:textId="77777777" w:rsidR="00274525" w:rsidRDefault="00274525" w:rsidP="00274525">
      <w:pPr>
        <w:pStyle w:val="NormalWeb"/>
        <w:ind w:left="720"/>
      </w:pPr>
      <w:r>
        <w:t>“As the Ocean County Defendants correctly observe, however, the Complaint fails to allege any facts that would support Plaintiff's assertions that a custom or policy deprived her of a constitutional right. (</w:t>
      </w:r>
      <w:proofErr w:type="spellStart"/>
      <w:r>
        <w:t>Defs</w:t>
      </w:r>
      <w:proofErr w:type="spellEnd"/>
      <w:r>
        <w:t>.' Moving Br. 11.) Aside from one conclusory allegation that Fire Academy and Training Center employees ‘</w:t>
      </w:r>
      <w:proofErr w:type="spellStart"/>
      <w:r>
        <w:t>refus</w:t>
      </w:r>
      <w:proofErr w:type="spellEnd"/>
      <w:r>
        <w:t>[ed] to respond to Plaintiff's sexual assault on academy premises[,]’ (</w:t>
      </w:r>
      <w:proofErr w:type="spellStart"/>
      <w:r>
        <w:t>Compl</w:t>
      </w:r>
      <w:proofErr w:type="spellEnd"/>
      <w:r>
        <w:t>. 32, ¶ 47), Plaintiff fails to provide any facts demonstrating that the Ocean County Defendants were aware of the rape, (</w:t>
      </w:r>
      <w:r>
        <w:rPr>
          <w:i/>
          <w:iCs/>
        </w:rPr>
        <w:t>see generally id</w:t>
      </w:r>
      <w:r>
        <w:t xml:space="preserve">.; </w:t>
      </w:r>
      <w:r>
        <w:rPr>
          <w:i/>
          <w:iCs/>
        </w:rPr>
        <w:t>see also</w:t>
      </w:r>
      <w:r>
        <w:t xml:space="preserve"> </w:t>
      </w:r>
      <w:proofErr w:type="spellStart"/>
      <w:r>
        <w:t>Defs</w:t>
      </w:r>
      <w:proofErr w:type="spellEnd"/>
      <w:r>
        <w:t>.' Moving Br. 11 (‘The [C]</w:t>
      </w:r>
      <w:proofErr w:type="spellStart"/>
      <w:r>
        <w:t>omplaint</w:t>
      </w:r>
      <w:proofErr w:type="spellEnd"/>
      <w:r>
        <w:t xml:space="preserve"> does not assert that Plaintiff filed any type of grievance or report of alleged harassment, discrimination[,] or 'hostile work environment' during her tenure . . . . Moreover, the voluminous [C]</w:t>
      </w:r>
      <w:proofErr w:type="spellStart"/>
      <w:r>
        <w:t>omplaint</w:t>
      </w:r>
      <w:proofErr w:type="spellEnd"/>
      <w:r>
        <w:t xml:space="preserve"> is devoid of any allegations stating that Plaintiff provided notification . . . </w:t>
      </w:r>
      <w:proofErr w:type="gramStart"/>
      <w:r>
        <w:t>with regard to</w:t>
      </w:r>
      <w:proofErr w:type="gramEnd"/>
      <w:r>
        <w:t xml:space="preserve"> any issues concerning . . . employees or volunteer instructors[.]")). Without such factual allegations, the Court cannot find that Plaintiff has a plausible claim for relief stemming from the Ocean County Defendants' alleged failure to investigate and respond to Sayer’s conduct or train its employees to respond to sexual discrimination, harassment, or violence.</w:t>
      </w:r>
    </w:p>
    <w:p w14:paraId="6152C288" w14:textId="77777777" w:rsidR="00274525" w:rsidRDefault="00274525" w:rsidP="00274525">
      <w:pPr>
        <w:pStyle w:val="NormalWeb"/>
        <w:ind w:left="720"/>
      </w:pPr>
      <w:r>
        <w:t>***</w:t>
      </w:r>
    </w:p>
    <w:p w14:paraId="3EFDD577" w14:textId="77777777" w:rsidR="00274525" w:rsidRDefault="00274525" w:rsidP="00274525">
      <w:pPr>
        <w:pStyle w:val="NormalWeb"/>
        <w:ind w:left="720"/>
      </w:pPr>
      <w:r>
        <w:t xml:space="preserve">The Court, therefore, will decline to exercise supplemental jurisdiction over the state law claims of the Complaint.”  </w:t>
      </w:r>
      <w:hyperlink r:id="rId1409" w:history="1">
        <w:r w:rsidRPr="00B568EC">
          <w:rPr>
            <w:rStyle w:val="Hyperlink"/>
          </w:rPr>
          <w:t>https://casetext.com/case/as-v-ocean-cnty-fire-acad-2</w:t>
        </w:r>
      </w:hyperlink>
      <w:r>
        <w:t xml:space="preserve"> </w:t>
      </w:r>
    </w:p>
    <w:bookmarkEnd w:id="286"/>
    <w:p w14:paraId="2BAB00AB" w14:textId="77777777" w:rsidR="00274525" w:rsidRPr="00101EB6" w:rsidRDefault="00274525" w:rsidP="00274525">
      <w:pPr>
        <w:pStyle w:val="NormalWeb"/>
        <w:rPr>
          <w:b/>
          <w:bCs/>
        </w:rPr>
      </w:pPr>
      <w:r w:rsidRPr="00101EB6">
        <w:rPr>
          <w:b/>
          <w:bCs/>
        </w:rPr>
        <w:t>Legal Lesson Learned:</w:t>
      </w:r>
      <w:r>
        <w:rPr>
          <w:b/>
          <w:bCs/>
        </w:rPr>
        <w:t xml:space="preserve">  Plaintiff failed to provide any proof she informed the Training Academy of being raped.  It is a “best practice” for Training Academies and Fire &amp; EMS Departments to provide all recruits with written procedure on how to file a complaint.  </w:t>
      </w:r>
    </w:p>
    <w:p w14:paraId="0945F8CC" w14:textId="77777777" w:rsidR="00274525" w:rsidRDefault="00274525" w:rsidP="002B1283">
      <w:pPr>
        <w:rPr>
          <w:rFonts w:ascii="Arial Black" w:hAnsi="Arial Black"/>
          <w:b/>
          <w:sz w:val="24"/>
          <w:szCs w:val="24"/>
        </w:rPr>
      </w:pPr>
    </w:p>
    <w:p w14:paraId="16831515" w14:textId="77777777" w:rsidR="00274525" w:rsidRDefault="00274525" w:rsidP="002B1283">
      <w:pPr>
        <w:rPr>
          <w:rFonts w:ascii="Arial Black" w:hAnsi="Arial Black"/>
          <w:b/>
          <w:sz w:val="24"/>
          <w:szCs w:val="24"/>
        </w:rPr>
      </w:pPr>
    </w:p>
    <w:p w14:paraId="18C69C60" w14:textId="322A2967" w:rsidR="00831847" w:rsidRDefault="00831847" w:rsidP="002B1283">
      <w:pPr>
        <w:rPr>
          <w:rFonts w:ascii="Arial Black" w:hAnsi="Arial Black"/>
          <w:b/>
          <w:sz w:val="24"/>
          <w:szCs w:val="24"/>
        </w:rPr>
      </w:pPr>
      <w:r>
        <w:rPr>
          <w:rFonts w:ascii="Arial Black" w:hAnsi="Arial Black"/>
          <w:b/>
          <w:sz w:val="24"/>
          <w:szCs w:val="24"/>
        </w:rPr>
        <w:t>7-30</w:t>
      </w:r>
    </w:p>
    <w:p w14:paraId="6DBCD745" w14:textId="77777777" w:rsidR="00274525" w:rsidRPr="00BD5B0D" w:rsidRDefault="00274525" w:rsidP="00274525">
      <w:pPr>
        <w:pStyle w:val="NoSpacing"/>
        <w:rPr>
          <w:rFonts w:ascii="Arial Black" w:hAnsi="Arial Black"/>
          <w:sz w:val="28"/>
          <w:szCs w:val="28"/>
        </w:rPr>
      </w:pPr>
      <w:bookmarkStart w:id="287" w:name="_Hlk68350680"/>
      <w:r>
        <w:rPr>
          <w:rFonts w:ascii="Arial Black" w:hAnsi="Arial Black"/>
          <w:sz w:val="28"/>
          <w:szCs w:val="28"/>
        </w:rPr>
        <w:t>AR: FEMALE FF ALLEGEDLY RAPED TWICE BY BATTALION CHIEF - MALE HIT ANTENNA – CASE PROCEED FD &amp; CHIEF</w:t>
      </w:r>
    </w:p>
    <w:p w14:paraId="009B71F9" w14:textId="77777777" w:rsidR="00274525" w:rsidRPr="001707D0" w:rsidRDefault="00274525" w:rsidP="00274525">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March 17, 2021, in </w:t>
      </w:r>
      <w:r w:rsidRPr="00055F09">
        <w:rPr>
          <w:rFonts w:ascii="Times New Roman" w:eastAsia="Times New Roman" w:hAnsi="Times New Roman"/>
          <w:sz w:val="24"/>
          <w:szCs w:val="24"/>
          <w:u w:val="single"/>
        </w:rPr>
        <w:t xml:space="preserve">Rene Mendoza &amp; </w:t>
      </w:r>
      <w:r w:rsidRPr="00055F09">
        <w:rPr>
          <w:rFonts w:ascii="Times New Roman" w:hAnsi="Times New Roman"/>
          <w:sz w:val="24"/>
          <w:szCs w:val="24"/>
          <w:u w:val="single"/>
        </w:rPr>
        <w:t xml:space="preserve">Lani Salazar, </w:t>
      </w:r>
      <w:r w:rsidRPr="00055F09">
        <w:rPr>
          <w:rFonts w:ascii="Times New Roman" w:eastAsia="Times New Roman" w:hAnsi="Times New Roman"/>
          <w:sz w:val="24"/>
          <w:szCs w:val="24"/>
          <w:u w:val="single"/>
        </w:rPr>
        <w:t>et al. v. Rio</w:t>
      </w:r>
      <w:r w:rsidRPr="00BD5B0D">
        <w:rPr>
          <w:rFonts w:ascii="Times New Roman" w:eastAsia="Times New Roman" w:hAnsi="Times New Roman"/>
          <w:sz w:val="24"/>
          <w:szCs w:val="24"/>
          <w:u w:val="single"/>
        </w:rPr>
        <w:t xml:space="preserve"> Rico Medical &amp; Fire District, et al</w:t>
      </w:r>
      <w:r>
        <w:rPr>
          <w:rFonts w:ascii="Times New Roman" w:eastAsia="Times New Roman" w:hAnsi="Times New Roman"/>
          <w:sz w:val="24"/>
          <w:szCs w:val="24"/>
        </w:rPr>
        <w:t xml:space="preserve">., U.S. District Court Judge Cindy K. Jorgenson, U.S. District Court for the District of Arizona, issued a pre-trial order; lawsuit against FD and the Battalion Chief will proceed to trial. The trial judge issued her order with this understatement. </w:t>
      </w:r>
      <w:r>
        <w:rPr>
          <w:rFonts w:ascii="Times New Roman" w:hAnsi="Times New Roman"/>
          <w:sz w:val="24"/>
          <w:szCs w:val="24"/>
        </w:rPr>
        <w:t>“</w:t>
      </w:r>
      <w:r w:rsidRPr="001F0A7D">
        <w:rPr>
          <w:rFonts w:ascii="Times New Roman" w:hAnsi="Times New Roman"/>
          <w:sz w:val="24"/>
          <w:szCs w:val="24"/>
        </w:rPr>
        <w:t>In 2016 and 2017, there was a fair amount of questionable activity unrelated to firefighting happening at the Rio Rico Medical &amp; Fire District (</w:t>
      </w:r>
      <w:r>
        <w:rPr>
          <w:rFonts w:ascii="Times New Roman" w:hAnsi="Times New Roman"/>
          <w:sz w:val="24"/>
          <w:szCs w:val="24"/>
        </w:rPr>
        <w:t>‘</w:t>
      </w:r>
      <w:r w:rsidRPr="001F0A7D">
        <w:rPr>
          <w:rFonts w:ascii="Times New Roman" w:hAnsi="Times New Roman"/>
          <w:sz w:val="24"/>
          <w:szCs w:val="24"/>
        </w:rPr>
        <w:t>District</w:t>
      </w:r>
      <w:r>
        <w:rPr>
          <w:rFonts w:ascii="Times New Roman" w:hAnsi="Times New Roman"/>
          <w:sz w:val="24"/>
          <w:szCs w:val="24"/>
        </w:rPr>
        <w:t>’</w:t>
      </w:r>
      <w:r w:rsidRPr="001F0A7D">
        <w:rPr>
          <w:rFonts w:ascii="Times New Roman" w:hAnsi="Times New Roman"/>
          <w:sz w:val="24"/>
          <w:szCs w:val="24"/>
        </w:rPr>
        <w:t>).</w:t>
      </w:r>
      <w:r>
        <w:rPr>
          <w:rFonts w:ascii="Times New Roman" w:hAnsi="Times New Roman"/>
          <w:sz w:val="24"/>
          <w:szCs w:val="24"/>
        </w:rPr>
        <w:t>”</w:t>
      </w:r>
    </w:p>
    <w:p w14:paraId="66701354" w14:textId="77777777" w:rsidR="00274525" w:rsidRDefault="00274525" w:rsidP="00274525">
      <w:pPr>
        <w:pStyle w:val="NoSpacing"/>
        <w:ind w:left="480"/>
        <w:rPr>
          <w:rFonts w:ascii="Times New Roman" w:hAnsi="Times New Roman"/>
          <w:sz w:val="24"/>
          <w:szCs w:val="24"/>
        </w:rPr>
      </w:pPr>
      <w:r>
        <w:rPr>
          <w:rFonts w:ascii="Times New Roman" w:hAnsi="Times New Roman"/>
          <w:sz w:val="24"/>
          <w:szCs w:val="24"/>
        </w:rPr>
        <w:t>“</w:t>
      </w:r>
      <w:r w:rsidRPr="00D46F33">
        <w:rPr>
          <w:rFonts w:ascii="Times New Roman" w:hAnsi="Times New Roman"/>
          <w:sz w:val="24"/>
          <w:szCs w:val="24"/>
        </w:rPr>
        <w:t xml:space="preserve">Beginning in July 2016, Flores began sexually harassing </w:t>
      </w:r>
      <w:r>
        <w:rPr>
          <w:rFonts w:ascii="Times New Roman" w:hAnsi="Times New Roman"/>
          <w:sz w:val="24"/>
          <w:szCs w:val="24"/>
        </w:rPr>
        <w:t xml:space="preserve">[Mrs. Lani] </w:t>
      </w:r>
      <w:r w:rsidRPr="00D46F33">
        <w:rPr>
          <w:rFonts w:ascii="Times New Roman" w:hAnsi="Times New Roman"/>
          <w:sz w:val="24"/>
          <w:szCs w:val="24"/>
        </w:rPr>
        <w:t xml:space="preserve">Salazar, whose promotion he had recently recommended. What started out as unwelcomed sexual advances soon escalated to alleged incidents of rape, the last of which occurred around the 2017 holiday season. A month earlier, Ibarra had struck rookie firefighter </w:t>
      </w:r>
      <w:r>
        <w:rPr>
          <w:rFonts w:ascii="Times New Roman" w:hAnsi="Times New Roman"/>
          <w:sz w:val="24"/>
          <w:szCs w:val="24"/>
        </w:rPr>
        <w:t xml:space="preserve">[Mr. Rene] </w:t>
      </w:r>
      <w:r w:rsidRPr="00D46F33">
        <w:rPr>
          <w:rFonts w:ascii="Times New Roman" w:hAnsi="Times New Roman"/>
          <w:sz w:val="24"/>
          <w:szCs w:val="24"/>
        </w:rPr>
        <w:t xml:space="preserve">Mendoza in the testicles with a radio antenna, laughed, and ran away. Mendoza was also inundated with countless sexually suggestive images sent to him by a fellow firefighter, who frequently referred to Mendoza using sexually offensive slang terms. Two other firefighters exposed themselves to Mendoza, and when he complained of </w:t>
      </w:r>
      <w:proofErr w:type="gramStart"/>
      <w:r w:rsidRPr="00D46F33">
        <w:rPr>
          <w:rFonts w:ascii="Times New Roman" w:hAnsi="Times New Roman"/>
          <w:sz w:val="24"/>
          <w:szCs w:val="24"/>
        </w:rPr>
        <w:t>the harassing</w:t>
      </w:r>
      <w:proofErr w:type="gramEnd"/>
      <w:r w:rsidRPr="00D46F33">
        <w:rPr>
          <w:rFonts w:ascii="Times New Roman" w:hAnsi="Times New Roman"/>
          <w:sz w:val="24"/>
          <w:szCs w:val="24"/>
        </w:rPr>
        <w:t xml:space="preserve"> behavior to a superior, he was half-heartedly instructed to </w:t>
      </w:r>
      <w:r>
        <w:rPr>
          <w:rFonts w:ascii="Times New Roman" w:hAnsi="Times New Roman"/>
          <w:sz w:val="24"/>
          <w:szCs w:val="24"/>
        </w:rPr>
        <w:t>‘</w:t>
      </w:r>
      <w:r w:rsidRPr="00D46F33">
        <w:rPr>
          <w:rFonts w:ascii="Times New Roman" w:hAnsi="Times New Roman"/>
          <w:sz w:val="24"/>
          <w:szCs w:val="24"/>
        </w:rPr>
        <w:t>write an email about it.</w:t>
      </w:r>
      <w:r>
        <w:rPr>
          <w:rFonts w:ascii="Times New Roman" w:hAnsi="Times New Roman"/>
          <w:sz w:val="24"/>
          <w:szCs w:val="24"/>
        </w:rPr>
        <w:t>’</w:t>
      </w:r>
    </w:p>
    <w:p w14:paraId="74A26E5B" w14:textId="77777777" w:rsidR="00274525" w:rsidRDefault="00274525" w:rsidP="00274525">
      <w:pPr>
        <w:pStyle w:val="NoSpacing"/>
        <w:ind w:left="480"/>
        <w:rPr>
          <w:rFonts w:ascii="Times New Roman" w:hAnsi="Times New Roman"/>
          <w:sz w:val="24"/>
          <w:szCs w:val="24"/>
        </w:rPr>
      </w:pPr>
    </w:p>
    <w:p w14:paraId="1670937F" w14:textId="77777777" w:rsidR="00274525" w:rsidRDefault="00274525" w:rsidP="00274525">
      <w:pPr>
        <w:pStyle w:val="NoSpacing"/>
        <w:ind w:left="480"/>
        <w:rPr>
          <w:rFonts w:ascii="Times New Roman" w:hAnsi="Times New Roman"/>
          <w:sz w:val="24"/>
          <w:szCs w:val="24"/>
        </w:rPr>
      </w:pPr>
      <w:r>
        <w:rPr>
          <w:rFonts w:ascii="Times New Roman" w:hAnsi="Times New Roman"/>
          <w:sz w:val="24"/>
          <w:szCs w:val="24"/>
        </w:rPr>
        <w:t>***</w:t>
      </w:r>
    </w:p>
    <w:p w14:paraId="77D71B1E" w14:textId="77777777" w:rsidR="00274525" w:rsidRDefault="00274525" w:rsidP="00274525">
      <w:pPr>
        <w:pStyle w:val="NoSpacing"/>
        <w:ind w:left="480"/>
        <w:rPr>
          <w:rFonts w:ascii="Times New Roman" w:hAnsi="Times New Roman"/>
          <w:sz w:val="24"/>
          <w:szCs w:val="24"/>
        </w:rPr>
      </w:pPr>
    </w:p>
    <w:p w14:paraId="12383FA5" w14:textId="77777777" w:rsidR="00274525" w:rsidRPr="00D46F33" w:rsidRDefault="00274525" w:rsidP="00274525">
      <w:pPr>
        <w:pStyle w:val="NoSpacing"/>
        <w:ind w:left="480"/>
        <w:rPr>
          <w:rFonts w:ascii="Times New Roman" w:hAnsi="Times New Roman"/>
          <w:sz w:val="24"/>
          <w:szCs w:val="24"/>
        </w:rPr>
      </w:pPr>
      <w:r w:rsidRPr="00072BE7">
        <w:rPr>
          <w:rFonts w:ascii="Times New Roman" w:hAnsi="Times New Roman"/>
          <w:sz w:val="24"/>
          <w:szCs w:val="24"/>
        </w:rPr>
        <w:t>Mendoza's Title VII hostile work environment claim against the District, Salazar's Title VII hostile work environment claim against the District, Salazar's Title VII retaliation claim against the District, Mendoza's common law battery claim against Ibarra and the District, Salazar's common law battery claim against Flores and the District, Mendoza's common law assault claim against Ibarra and the District, Salazar's common law assault claim against Flores and the District, Salazar's IIED claim against Flores and the District, and Mr. Salazar's loss of consortium claim against Flores and the District will proceed to trial.</w:t>
      </w:r>
      <w:r>
        <w:rPr>
          <w:rFonts w:ascii="Times New Roman" w:hAnsi="Times New Roman"/>
          <w:sz w:val="24"/>
          <w:szCs w:val="24"/>
        </w:rPr>
        <w:t xml:space="preserve">” </w:t>
      </w:r>
      <w:hyperlink r:id="rId1410" w:history="1">
        <w:r w:rsidRPr="008F3FAE">
          <w:rPr>
            <w:rStyle w:val="Hyperlink"/>
            <w:sz w:val="24"/>
            <w:szCs w:val="24"/>
          </w:rPr>
          <w:t>https://casetext.com/case/mendoza-v-rio-rico-med-1</w:t>
        </w:r>
      </w:hyperlink>
    </w:p>
    <w:p w14:paraId="6BD36D56" w14:textId="77777777" w:rsidR="00274525" w:rsidRDefault="00274525" w:rsidP="00274525">
      <w:pPr>
        <w:pStyle w:val="NoSpacing"/>
        <w:rPr>
          <w:rFonts w:ascii="Times New Roman" w:hAnsi="Times New Roman"/>
          <w:b/>
          <w:bCs/>
          <w:sz w:val="24"/>
          <w:szCs w:val="24"/>
        </w:rPr>
      </w:pPr>
      <w:bookmarkStart w:id="288" w:name="_Hlk68350713"/>
      <w:bookmarkEnd w:id="287"/>
    </w:p>
    <w:p w14:paraId="452E7DF1" w14:textId="400DC88C" w:rsidR="00274525" w:rsidRPr="007D401D" w:rsidRDefault="00274525" w:rsidP="00274525">
      <w:pPr>
        <w:pStyle w:val="NoSpacing"/>
        <w:rPr>
          <w:rFonts w:ascii="Times New Roman" w:hAnsi="Times New Roman"/>
          <w:b/>
          <w:bCs/>
          <w:sz w:val="24"/>
          <w:szCs w:val="24"/>
        </w:rPr>
      </w:pPr>
      <w:r w:rsidRPr="007D401D">
        <w:rPr>
          <w:rFonts w:ascii="Times New Roman" w:hAnsi="Times New Roman"/>
          <w:b/>
          <w:bCs/>
          <w:sz w:val="24"/>
          <w:szCs w:val="24"/>
        </w:rPr>
        <w:t xml:space="preserve">Legal Lessons Learned: </w:t>
      </w:r>
      <w:r>
        <w:rPr>
          <w:rFonts w:ascii="Times New Roman" w:hAnsi="Times New Roman"/>
          <w:b/>
          <w:bCs/>
          <w:sz w:val="24"/>
          <w:szCs w:val="24"/>
        </w:rPr>
        <w:t>Judge’s comment about FD’s “questionable activity” is an understatement; t</w:t>
      </w:r>
      <w:r w:rsidRPr="007D401D">
        <w:rPr>
          <w:rFonts w:ascii="Times New Roman" w:hAnsi="Times New Roman"/>
          <w:b/>
          <w:bCs/>
          <w:sz w:val="24"/>
          <w:szCs w:val="24"/>
        </w:rPr>
        <w:t xml:space="preserve">errible alleged facts will now go before a jury; FDs must promptly investigate claims of workplace harassment. </w:t>
      </w:r>
    </w:p>
    <w:bookmarkEnd w:id="288"/>
    <w:p w14:paraId="6A3E1FE8" w14:textId="77777777" w:rsidR="00274525" w:rsidRDefault="00274525" w:rsidP="002B1283">
      <w:pPr>
        <w:rPr>
          <w:rFonts w:ascii="Arial Black" w:hAnsi="Arial Black"/>
          <w:b/>
          <w:sz w:val="24"/>
          <w:szCs w:val="24"/>
        </w:rPr>
      </w:pPr>
    </w:p>
    <w:p w14:paraId="7265E776" w14:textId="77777777" w:rsidR="00831847" w:rsidRDefault="00831847" w:rsidP="002B1283">
      <w:pPr>
        <w:rPr>
          <w:rFonts w:ascii="Arial Black" w:hAnsi="Arial Black"/>
          <w:b/>
          <w:sz w:val="24"/>
          <w:szCs w:val="24"/>
        </w:rPr>
      </w:pPr>
    </w:p>
    <w:p w14:paraId="3FD0FFCC" w14:textId="1669C2E1" w:rsidR="00831847" w:rsidRDefault="00831847" w:rsidP="002B1283">
      <w:pPr>
        <w:rPr>
          <w:rFonts w:ascii="Arial Black" w:hAnsi="Arial Black"/>
          <w:b/>
          <w:sz w:val="24"/>
          <w:szCs w:val="24"/>
        </w:rPr>
      </w:pPr>
      <w:r>
        <w:rPr>
          <w:rFonts w:ascii="Arial Black" w:hAnsi="Arial Black"/>
          <w:b/>
          <w:sz w:val="24"/>
          <w:szCs w:val="24"/>
        </w:rPr>
        <w:t>7-29</w:t>
      </w:r>
    </w:p>
    <w:p w14:paraId="08085F32" w14:textId="77777777" w:rsidR="00831847" w:rsidRPr="00BD5B0D" w:rsidRDefault="00831847" w:rsidP="00831847">
      <w:pPr>
        <w:pStyle w:val="NoSpacing"/>
        <w:rPr>
          <w:rFonts w:ascii="Arial Black" w:hAnsi="Arial Black"/>
          <w:sz w:val="28"/>
          <w:szCs w:val="28"/>
        </w:rPr>
      </w:pPr>
      <w:r>
        <w:rPr>
          <w:rFonts w:ascii="Arial Black" w:hAnsi="Arial Black"/>
          <w:sz w:val="28"/>
          <w:szCs w:val="28"/>
        </w:rPr>
        <w:t>AR: FEMALE FF ALLEGEDLY RAPED TWICE BY BATTALION CHIEF - MALE HIT ANTENNA – CASE PROCEED FD &amp; CHIEF</w:t>
      </w:r>
    </w:p>
    <w:p w14:paraId="4438B637" w14:textId="77777777" w:rsidR="00831847" w:rsidRPr="001707D0" w:rsidRDefault="00831847" w:rsidP="00831847">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March 17, 2021, in </w:t>
      </w:r>
      <w:r w:rsidRPr="00055F09">
        <w:rPr>
          <w:rFonts w:ascii="Times New Roman" w:eastAsia="Times New Roman" w:hAnsi="Times New Roman"/>
          <w:sz w:val="24"/>
          <w:szCs w:val="24"/>
          <w:u w:val="single"/>
        </w:rPr>
        <w:t xml:space="preserve">Rene Mendoza &amp; </w:t>
      </w:r>
      <w:r w:rsidRPr="00055F09">
        <w:rPr>
          <w:rFonts w:ascii="Times New Roman" w:hAnsi="Times New Roman"/>
          <w:sz w:val="24"/>
          <w:szCs w:val="24"/>
          <w:u w:val="single"/>
        </w:rPr>
        <w:t xml:space="preserve">Lani Salazar, </w:t>
      </w:r>
      <w:r w:rsidRPr="00055F09">
        <w:rPr>
          <w:rFonts w:ascii="Times New Roman" w:eastAsia="Times New Roman" w:hAnsi="Times New Roman"/>
          <w:sz w:val="24"/>
          <w:szCs w:val="24"/>
          <w:u w:val="single"/>
        </w:rPr>
        <w:t>et al. v. Rio</w:t>
      </w:r>
      <w:r w:rsidRPr="00BD5B0D">
        <w:rPr>
          <w:rFonts w:ascii="Times New Roman" w:eastAsia="Times New Roman" w:hAnsi="Times New Roman"/>
          <w:sz w:val="24"/>
          <w:szCs w:val="24"/>
          <w:u w:val="single"/>
        </w:rPr>
        <w:t xml:space="preserve"> Rico Medical &amp; Fire District, et al</w:t>
      </w:r>
      <w:r>
        <w:rPr>
          <w:rFonts w:ascii="Times New Roman" w:eastAsia="Times New Roman" w:hAnsi="Times New Roman"/>
          <w:sz w:val="24"/>
          <w:szCs w:val="24"/>
        </w:rPr>
        <w:t xml:space="preserve">., U.S. District Court Judge Cindy K. Jorgenson, U.S. District Court for the District of Arizona, issued a pre-trial order; lawsuit against FD and the Battalion Chief will proceed to trial. The trial judge issued her order with this understatement. </w:t>
      </w:r>
      <w:r>
        <w:rPr>
          <w:rFonts w:ascii="Times New Roman" w:hAnsi="Times New Roman"/>
          <w:sz w:val="24"/>
          <w:szCs w:val="24"/>
        </w:rPr>
        <w:t>“</w:t>
      </w:r>
      <w:r w:rsidRPr="001F0A7D">
        <w:rPr>
          <w:rFonts w:ascii="Times New Roman" w:hAnsi="Times New Roman"/>
          <w:sz w:val="24"/>
          <w:szCs w:val="24"/>
        </w:rPr>
        <w:t>In 2016 and 2017, there was a fair amount of questionable activity unrelated to firefighting happening at the Rio Rico Medical &amp; Fire District (</w:t>
      </w:r>
      <w:r>
        <w:rPr>
          <w:rFonts w:ascii="Times New Roman" w:hAnsi="Times New Roman"/>
          <w:sz w:val="24"/>
          <w:szCs w:val="24"/>
        </w:rPr>
        <w:t>‘</w:t>
      </w:r>
      <w:r w:rsidRPr="001F0A7D">
        <w:rPr>
          <w:rFonts w:ascii="Times New Roman" w:hAnsi="Times New Roman"/>
          <w:sz w:val="24"/>
          <w:szCs w:val="24"/>
        </w:rPr>
        <w:t>District</w:t>
      </w:r>
      <w:r>
        <w:rPr>
          <w:rFonts w:ascii="Times New Roman" w:hAnsi="Times New Roman"/>
          <w:sz w:val="24"/>
          <w:szCs w:val="24"/>
        </w:rPr>
        <w:t>’</w:t>
      </w:r>
      <w:r w:rsidRPr="001F0A7D">
        <w:rPr>
          <w:rFonts w:ascii="Times New Roman" w:hAnsi="Times New Roman"/>
          <w:sz w:val="24"/>
          <w:szCs w:val="24"/>
        </w:rPr>
        <w:t>).</w:t>
      </w:r>
      <w:r>
        <w:rPr>
          <w:rFonts w:ascii="Times New Roman" w:hAnsi="Times New Roman"/>
          <w:sz w:val="24"/>
          <w:szCs w:val="24"/>
        </w:rPr>
        <w:t>”</w:t>
      </w:r>
    </w:p>
    <w:p w14:paraId="4EB32689" w14:textId="77777777" w:rsidR="00831847" w:rsidRDefault="00831847" w:rsidP="00831847">
      <w:pPr>
        <w:pStyle w:val="NoSpacing"/>
        <w:ind w:left="480"/>
        <w:rPr>
          <w:rFonts w:ascii="Times New Roman" w:hAnsi="Times New Roman"/>
          <w:sz w:val="24"/>
          <w:szCs w:val="24"/>
        </w:rPr>
      </w:pPr>
      <w:r>
        <w:rPr>
          <w:rFonts w:ascii="Times New Roman" w:hAnsi="Times New Roman"/>
          <w:sz w:val="24"/>
          <w:szCs w:val="24"/>
        </w:rPr>
        <w:t>“</w:t>
      </w:r>
      <w:r w:rsidRPr="00D46F33">
        <w:rPr>
          <w:rFonts w:ascii="Times New Roman" w:hAnsi="Times New Roman"/>
          <w:sz w:val="24"/>
          <w:szCs w:val="24"/>
        </w:rPr>
        <w:t xml:space="preserve">Beginning in July 2016, Flores began sexually harassing </w:t>
      </w:r>
      <w:r>
        <w:rPr>
          <w:rFonts w:ascii="Times New Roman" w:hAnsi="Times New Roman"/>
          <w:sz w:val="24"/>
          <w:szCs w:val="24"/>
        </w:rPr>
        <w:t xml:space="preserve">[Mrs. Lani] </w:t>
      </w:r>
      <w:r w:rsidRPr="00D46F33">
        <w:rPr>
          <w:rFonts w:ascii="Times New Roman" w:hAnsi="Times New Roman"/>
          <w:sz w:val="24"/>
          <w:szCs w:val="24"/>
        </w:rPr>
        <w:t xml:space="preserve">Salazar, whose promotion he had recently recommended. What started out as unwelcomed sexual advances soon escalated to alleged incidents of rape, the last of which occurred around the 2017 holiday season. A month earlier, Ibarra had struck rookie firefighter </w:t>
      </w:r>
      <w:r>
        <w:rPr>
          <w:rFonts w:ascii="Times New Roman" w:hAnsi="Times New Roman"/>
          <w:sz w:val="24"/>
          <w:szCs w:val="24"/>
        </w:rPr>
        <w:t xml:space="preserve">[Mr. Rene] </w:t>
      </w:r>
      <w:r w:rsidRPr="00D46F33">
        <w:rPr>
          <w:rFonts w:ascii="Times New Roman" w:hAnsi="Times New Roman"/>
          <w:sz w:val="24"/>
          <w:szCs w:val="24"/>
        </w:rPr>
        <w:t xml:space="preserve">Mendoza in the testicles with a radio antenna, laughed, and ran away. Mendoza was also inundated with countless sexually suggestive images sent to him by a fellow firefighter, who frequently referred to Mendoza using sexually offensive slang terms. Two other firefighters exposed themselves to Mendoza, and when he complained of </w:t>
      </w:r>
      <w:proofErr w:type="gramStart"/>
      <w:r w:rsidRPr="00D46F33">
        <w:rPr>
          <w:rFonts w:ascii="Times New Roman" w:hAnsi="Times New Roman"/>
          <w:sz w:val="24"/>
          <w:szCs w:val="24"/>
        </w:rPr>
        <w:t>the harassing</w:t>
      </w:r>
      <w:proofErr w:type="gramEnd"/>
      <w:r w:rsidRPr="00D46F33">
        <w:rPr>
          <w:rFonts w:ascii="Times New Roman" w:hAnsi="Times New Roman"/>
          <w:sz w:val="24"/>
          <w:szCs w:val="24"/>
        </w:rPr>
        <w:t xml:space="preserve"> behavior to a superior, he was half-heartedly instructed to </w:t>
      </w:r>
      <w:r>
        <w:rPr>
          <w:rFonts w:ascii="Times New Roman" w:hAnsi="Times New Roman"/>
          <w:sz w:val="24"/>
          <w:szCs w:val="24"/>
        </w:rPr>
        <w:t>‘</w:t>
      </w:r>
      <w:r w:rsidRPr="00D46F33">
        <w:rPr>
          <w:rFonts w:ascii="Times New Roman" w:hAnsi="Times New Roman"/>
          <w:sz w:val="24"/>
          <w:szCs w:val="24"/>
        </w:rPr>
        <w:t>write an email about it.</w:t>
      </w:r>
      <w:r>
        <w:rPr>
          <w:rFonts w:ascii="Times New Roman" w:hAnsi="Times New Roman"/>
          <w:sz w:val="24"/>
          <w:szCs w:val="24"/>
        </w:rPr>
        <w:t>’</w:t>
      </w:r>
    </w:p>
    <w:p w14:paraId="49DA2558" w14:textId="77777777" w:rsidR="00831847" w:rsidRDefault="00831847" w:rsidP="00831847">
      <w:pPr>
        <w:pStyle w:val="NoSpacing"/>
        <w:ind w:left="480"/>
        <w:rPr>
          <w:rFonts w:ascii="Times New Roman" w:hAnsi="Times New Roman"/>
          <w:sz w:val="24"/>
          <w:szCs w:val="24"/>
        </w:rPr>
      </w:pPr>
    </w:p>
    <w:p w14:paraId="50D77710" w14:textId="77777777" w:rsidR="00831847" w:rsidRDefault="00831847" w:rsidP="00831847">
      <w:pPr>
        <w:pStyle w:val="NoSpacing"/>
        <w:ind w:left="480"/>
        <w:rPr>
          <w:rFonts w:ascii="Times New Roman" w:hAnsi="Times New Roman"/>
          <w:sz w:val="24"/>
          <w:szCs w:val="24"/>
        </w:rPr>
      </w:pPr>
      <w:r>
        <w:rPr>
          <w:rFonts w:ascii="Times New Roman" w:hAnsi="Times New Roman"/>
          <w:sz w:val="24"/>
          <w:szCs w:val="24"/>
        </w:rPr>
        <w:t>***</w:t>
      </w:r>
    </w:p>
    <w:p w14:paraId="74FF6F56" w14:textId="77777777" w:rsidR="00831847" w:rsidRDefault="00831847" w:rsidP="00831847">
      <w:pPr>
        <w:pStyle w:val="NoSpacing"/>
        <w:ind w:left="480"/>
        <w:rPr>
          <w:rFonts w:ascii="Times New Roman" w:hAnsi="Times New Roman"/>
          <w:sz w:val="24"/>
          <w:szCs w:val="24"/>
        </w:rPr>
      </w:pPr>
    </w:p>
    <w:p w14:paraId="065F1DDF" w14:textId="77777777" w:rsidR="00831847" w:rsidRPr="00D46F33" w:rsidRDefault="00831847" w:rsidP="00831847">
      <w:pPr>
        <w:pStyle w:val="NoSpacing"/>
        <w:ind w:left="480"/>
        <w:rPr>
          <w:rFonts w:ascii="Times New Roman" w:hAnsi="Times New Roman"/>
          <w:sz w:val="24"/>
          <w:szCs w:val="24"/>
        </w:rPr>
      </w:pPr>
      <w:r w:rsidRPr="00072BE7">
        <w:rPr>
          <w:rFonts w:ascii="Times New Roman" w:hAnsi="Times New Roman"/>
          <w:sz w:val="24"/>
          <w:szCs w:val="24"/>
        </w:rPr>
        <w:t>Mendoza's Title VII hostile work environment claim against the District, Salazar's Title VII hostile work environment claim against the District, Salazar's Title VII retaliation claim against the District, Mendoza's common law battery claim against Ibarra and the District, Salazar's common law battery claim against Flores and the District, Mendoza's common law assault claim against Ibarra and the District, Salazar's common law assault claim against Flores and the District, Salazar's IIED claim against Flores and the District, and Mr. Salazar's loss of consortium claim against Flores and the District will proceed to trial.</w:t>
      </w:r>
      <w:r>
        <w:rPr>
          <w:rFonts w:ascii="Times New Roman" w:hAnsi="Times New Roman"/>
          <w:sz w:val="24"/>
          <w:szCs w:val="24"/>
        </w:rPr>
        <w:t xml:space="preserve">” </w:t>
      </w:r>
      <w:hyperlink r:id="rId1411" w:history="1">
        <w:r w:rsidRPr="008F3FAE">
          <w:rPr>
            <w:rStyle w:val="Hyperlink"/>
            <w:sz w:val="24"/>
            <w:szCs w:val="24"/>
          </w:rPr>
          <w:t>https://casetext.com/case/mendoza-v-rio-rico-med-1</w:t>
        </w:r>
      </w:hyperlink>
    </w:p>
    <w:p w14:paraId="2C3BAA7E" w14:textId="59DA664B" w:rsidR="00831847" w:rsidRDefault="00831847" w:rsidP="002B1283">
      <w:pPr>
        <w:rPr>
          <w:rFonts w:ascii="Arial Black" w:hAnsi="Arial Black"/>
          <w:b/>
          <w:sz w:val="24"/>
          <w:szCs w:val="24"/>
        </w:rPr>
      </w:pPr>
    </w:p>
    <w:p w14:paraId="6B897D13" w14:textId="77777777" w:rsidR="00831847" w:rsidRPr="007D401D" w:rsidRDefault="00831847" w:rsidP="00831847">
      <w:pPr>
        <w:pStyle w:val="NoSpacing"/>
        <w:rPr>
          <w:rFonts w:ascii="Times New Roman" w:hAnsi="Times New Roman"/>
          <w:b/>
          <w:bCs/>
          <w:sz w:val="24"/>
          <w:szCs w:val="24"/>
        </w:rPr>
      </w:pPr>
      <w:r w:rsidRPr="007D401D">
        <w:rPr>
          <w:rFonts w:ascii="Times New Roman" w:hAnsi="Times New Roman"/>
          <w:b/>
          <w:bCs/>
          <w:sz w:val="24"/>
          <w:szCs w:val="24"/>
        </w:rPr>
        <w:t xml:space="preserve">Legal Lessons Learned: </w:t>
      </w:r>
      <w:r>
        <w:rPr>
          <w:rFonts w:ascii="Times New Roman" w:hAnsi="Times New Roman"/>
          <w:b/>
          <w:bCs/>
          <w:sz w:val="24"/>
          <w:szCs w:val="24"/>
        </w:rPr>
        <w:t>Judge’s comment about FD’s “questionable activity” is an understatement; t</w:t>
      </w:r>
      <w:r w:rsidRPr="007D401D">
        <w:rPr>
          <w:rFonts w:ascii="Times New Roman" w:hAnsi="Times New Roman"/>
          <w:b/>
          <w:bCs/>
          <w:sz w:val="24"/>
          <w:szCs w:val="24"/>
        </w:rPr>
        <w:t xml:space="preserve">errible alleged facts will now go before a jury; FDs must promptly investigate claims of workplace harassment. </w:t>
      </w:r>
    </w:p>
    <w:p w14:paraId="2A932F47" w14:textId="77777777" w:rsidR="00831847" w:rsidRDefault="00831847" w:rsidP="002B1283">
      <w:pPr>
        <w:rPr>
          <w:rFonts w:ascii="Arial Black" w:hAnsi="Arial Black"/>
          <w:b/>
          <w:sz w:val="24"/>
          <w:szCs w:val="24"/>
        </w:rPr>
      </w:pPr>
    </w:p>
    <w:p w14:paraId="126E2663" w14:textId="77777777" w:rsidR="00831847" w:rsidRDefault="00831847" w:rsidP="002B1283">
      <w:pPr>
        <w:rPr>
          <w:rFonts w:ascii="Arial Black" w:hAnsi="Arial Black"/>
          <w:b/>
          <w:sz w:val="24"/>
          <w:szCs w:val="24"/>
        </w:rPr>
      </w:pPr>
    </w:p>
    <w:p w14:paraId="33181834" w14:textId="4FF2031C" w:rsidR="00EB2493" w:rsidRDefault="00EB2493" w:rsidP="002B1283">
      <w:pPr>
        <w:rPr>
          <w:rFonts w:ascii="Arial Black" w:hAnsi="Arial Black"/>
          <w:b/>
          <w:sz w:val="24"/>
          <w:szCs w:val="24"/>
        </w:rPr>
      </w:pPr>
      <w:r>
        <w:rPr>
          <w:rFonts w:ascii="Arial Black" w:hAnsi="Arial Black"/>
          <w:b/>
          <w:sz w:val="24"/>
          <w:szCs w:val="24"/>
        </w:rPr>
        <w:t>7-28</w:t>
      </w:r>
    </w:p>
    <w:p w14:paraId="3EA7A1E0" w14:textId="77777777" w:rsidR="00EB2493" w:rsidRPr="001074C7" w:rsidRDefault="00EB2493" w:rsidP="00EB2493">
      <w:pPr>
        <w:pStyle w:val="NoSpacing"/>
        <w:rPr>
          <w:rFonts w:ascii="Arial Black" w:hAnsi="Arial Black"/>
          <w:sz w:val="28"/>
          <w:szCs w:val="28"/>
        </w:rPr>
      </w:pPr>
      <w:r>
        <w:rPr>
          <w:rFonts w:ascii="Arial Black" w:hAnsi="Arial Black"/>
          <w:sz w:val="28"/>
          <w:szCs w:val="28"/>
        </w:rPr>
        <w:t>GA: TRANSGENDER FIRE CHIEF – LAWSUIT DISMISSED – EEOC CHARGE NOT SUBMITTED UNDER OATH – “AT WILL” EMPLOYEE</w:t>
      </w:r>
    </w:p>
    <w:p w14:paraId="3FF9DBA0" w14:textId="77777777" w:rsidR="00EB2493" w:rsidRDefault="00EB2493" w:rsidP="00EB2493">
      <w:pPr>
        <w:pStyle w:val="NoSpacing"/>
      </w:pPr>
    </w:p>
    <w:p w14:paraId="6F6B6D60" w14:textId="77777777" w:rsidR="00EB2493" w:rsidRDefault="00EB2493" w:rsidP="00EB2493">
      <w:pPr>
        <w:pStyle w:val="NoSpacing"/>
        <w:rPr>
          <w:rFonts w:ascii="Times New Roman" w:hAnsi="Times New Roman"/>
          <w:sz w:val="24"/>
          <w:szCs w:val="24"/>
        </w:rPr>
      </w:pPr>
      <w:r>
        <w:rPr>
          <w:rFonts w:ascii="Times New Roman" w:hAnsi="Times New Roman"/>
          <w:sz w:val="24"/>
          <w:szCs w:val="24"/>
        </w:rPr>
        <w:t xml:space="preserve">On Jan. 28, 2021 in </w:t>
      </w:r>
      <w:r w:rsidRPr="001074C7">
        <w:rPr>
          <w:rFonts w:ascii="Times New Roman" w:hAnsi="Times New Roman"/>
          <w:sz w:val="24"/>
          <w:szCs w:val="24"/>
          <w:u w:val="single"/>
        </w:rPr>
        <w:t>Rachel Mosby v. City of Byron, Georgia</w:t>
      </w:r>
      <w:r>
        <w:rPr>
          <w:rFonts w:ascii="Times New Roman" w:hAnsi="Times New Roman"/>
          <w:sz w:val="24"/>
          <w:szCs w:val="24"/>
        </w:rPr>
        <w:t xml:space="preserve">, U.S. District Court Judge Clay D. Land granted the City’s motion to dismiss; plaintiff’s EEOC Charge was never signed under oath (not “Verified” as required by federal law); also Judge held that the plaintiff is an “at will” employee not protected by a civil service commission.  Chief Mosby was fired 18 months after first coming to work for her rural fire department as a woman. </w:t>
      </w:r>
    </w:p>
    <w:p w14:paraId="074FFD6E" w14:textId="77777777" w:rsidR="00EB2493" w:rsidRDefault="00EB2493" w:rsidP="00EB2493">
      <w:pPr>
        <w:pStyle w:val="NoSpacing"/>
        <w:rPr>
          <w:rFonts w:ascii="Times New Roman" w:hAnsi="Times New Roman"/>
          <w:sz w:val="24"/>
          <w:szCs w:val="24"/>
        </w:rPr>
      </w:pPr>
    </w:p>
    <w:p w14:paraId="22BA1AB0" w14:textId="77777777" w:rsidR="00EB2493" w:rsidRDefault="00EB2493" w:rsidP="00EB2493">
      <w:pPr>
        <w:ind w:left="720"/>
        <w:rPr>
          <w:rFonts w:ascii="Times New Roman" w:hAnsi="Times New Roman"/>
          <w:sz w:val="24"/>
          <w:szCs w:val="24"/>
        </w:rPr>
      </w:pPr>
      <w:r>
        <w:rPr>
          <w:rFonts w:ascii="Times New Roman" w:hAnsi="Times New Roman"/>
          <w:sz w:val="24"/>
          <w:szCs w:val="24"/>
        </w:rPr>
        <w:t>“</w:t>
      </w:r>
      <w:r w:rsidRPr="004254B6">
        <w:rPr>
          <w:rFonts w:ascii="Times New Roman" w:hAnsi="Times New Roman"/>
          <w:sz w:val="24"/>
          <w:szCs w:val="24"/>
        </w:rPr>
        <w:t xml:space="preserve">This record, as it stands today, does not contain a verified charge, and </w:t>
      </w:r>
      <w:r>
        <w:rPr>
          <w:rFonts w:ascii="Times New Roman" w:hAnsi="Times New Roman"/>
          <w:sz w:val="24"/>
          <w:szCs w:val="24"/>
        </w:rPr>
        <w:t>‘</w:t>
      </w:r>
      <w:r w:rsidRPr="004254B6">
        <w:rPr>
          <w:rFonts w:ascii="Times New Roman" w:hAnsi="Times New Roman"/>
          <w:sz w:val="24"/>
          <w:szCs w:val="24"/>
        </w:rPr>
        <w:t>the statute mandates that charges be made under oath or affirmation.</w:t>
      </w:r>
      <w:r>
        <w:rPr>
          <w:rFonts w:ascii="Times New Roman" w:hAnsi="Times New Roman"/>
          <w:sz w:val="24"/>
          <w:szCs w:val="24"/>
        </w:rPr>
        <w:t xml:space="preserve">’ </w:t>
      </w:r>
      <w:hyperlink r:id="rId1412" w:history="1">
        <w:r w:rsidRPr="004254B6">
          <w:rPr>
            <w:rStyle w:val="Hyperlink"/>
            <w:rFonts w:ascii="Times New Roman" w:hAnsi="Times New Roman"/>
            <w:i/>
            <w:iCs/>
            <w:sz w:val="24"/>
            <w:szCs w:val="24"/>
          </w:rPr>
          <w:t>Vason,</w:t>
        </w:r>
        <w:r w:rsidRPr="004254B6">
          <w:rPr>
            <w:rStyle w:val="Hyperlink"/>
            <w:rFonts w:ascii="Times New Roman" w:hAnsi="Times New Roman"/>
            <w:sz w:val="24"/>
            <w:szCs w:val="24"/>
          </w:rPr>
          <w:t xml:space="preserve"> 240 F.3d at 907</w:t>
        </w:r>
      </w:hyperlink>
      <w:r w:rsidRPr="004254B6">
        <w:rPr>
          <w:rFonts w:ascii="Times New Roman" w:hAnsi="Times New Roman"/>
          <w:sz w:val="24"/>
          <w:szCs w:val="24"/>
        </w:rPr>
        <w:t xml:space="preserve">. Since </w:t>
      </w:r>
      <w:r>
        <w:rPr>
          <w:rFonts w:ascii="Times New Roman" w:hAnsi="Times New Roman"/>
          <w:sz w:val="24"/>
          <w:szCs w:val="24"/>
        </w:rPr>
        <w:t>‘</w:t>
      </w:r>
      <w:r w:rsidRPr="004254B6">
        <w:rPr>
          <w:rFonts w:ascii="Times New Roman" w:hAnsi="Times New Roman"/>
          <w:sz w:val="24"/>
          <w:szCs w:val="24"/>
        </w:rPr>
        <w:t>verification is an absolute condition precedent to suit</w:t>
      </w:r>
      <w:r>
        <w:rPr>
          <w:rFonts w:ascii="Times New Roman" w:hAnsi="Times New Roman"/>
          <w:sz w:val="24"/>
          <w:szCs w:val="24"/>
        </w:rPr>
        <w:t>’</w:t>
      </w:r>
      <w:r w:rsidRPr="004254B6">
        <w:rPr>
          <w:rFonts w:ascii="Times New Roman" w:hAnsi="Times New Roman"/>
          <w:sz w:val="24"/>
          <w:szCs w:val="24"/>
        </w:rPr>
        <w:t xml:space="preserve"> under Title VII (and the ADA) in this circuit, Mosby's lack of verification demands one simple ruling—she did not satisfy an absolute condition precedent before filing her lawsuit. </w:t>
      </w:r>
      <w:r w:rsidRPr="004254B6">
        <w:rPr>
          <w:rFonts w:ascii="Times New Roman" w:hAnsi="Times New Roman"/>
          <w:i/>
          <w:iCs/>
          <w:sz w:val="24"/>
          <w:szCs w:val="24"/>
        </w:rPr>
        <w:t xml:space="preserve">See </w:t>
      </w:r>
      <w:hyperlink r:id="rId1413" w:history="1">
        <w:r w:rsidRPr="004254B6">
          <w:rPr>
            <w:rStyle w:val="Hyperlink"/>
            <w:rFonts w:ascii="Times New Roman" w:hAnsi="Times New Roman"/>
            <w:i/>
            <w:iCs/>
            <w:sz w:val="24"/>
            <w:szCs w:val="24"/>
          </w:rPr>
          <w:t>Vason v. City of Montgomery,</w:t>
        </w:r>
        <w:r w:rsidRPr="004254B6">
          <w:rPr>
            <w:rStyle w:val="Hyperlink"/>
            <w:rFonts w:ascii="Times New Roman" w:hAnsi="Times New Roman"/>
            <w:sz w:val="24"/>
            <w:szCs w:val="24"/>
          </w:rPr>
          <w:t xml:space="preserve"> 86 F. Supp. 2d 1130, 1133 (M.D. Ala. 2000),</w:t>
        </w:r>
      </w:hyperlink>
      <w:r w:rsidRPr="004254B6">
        <w:rPr>
          <w:rFonts w:ascii="Times New Roman" w:hAnsi="Times New Roman"/>
          <w:sz w:val="24"/>
          <w:szCs w:val="24"/>
        </w:rPr>
        <w:t xml:space="preserve"> </w:t>
      </w:r>
      <w:r w:rsidRPr="004254B6">
        <w:rPr>
          <w:rFonts w:ascii="Times New Roman" w:hAnsi="Times New Roman"/>
          <w:i/>
          <w:iCs/>
          <w:sz w:val="24"/>
          <w:szCs w:val="24"/>
        </w:rPr>
        <w:t>aff'd,</w:t>
      </w:r>
      <w:r w:rsidRPr="004254B6">
        <w:rPr>
          <w:rFonts w:ascii="Times New Roman" w:hAnsi="Times New Roman"/>
          <w:sz w:val="24"/>
          <w:szCs w:val="24"/>
        </w:rPr>
        <w:t xml:space="preserve"> </w:t>
      </w:r>
      <w:hyperlink r:id="rId1414" w:history="1">
        <w:r w:rsidRPr="004254B6">
          <w:rPr>
            <w:rStyle w:val="Hyperlink"/>
            <w:rFonts w:ascii="Times New Roman" w:hAnsi="Times New Roman"/>
            <w:sz w:val="24"/>
            <w:szCs w:val="24"/>
          </w:rPr>
          <w:t>240 F.3d 905</w:t>
        </w:r>
      </w:hyperlink>
      <w:r w:rsidRPr="004254B6">
        <w:rPr>
          <w:rFonts w:ascii="Times New Roman" w:hAnsi="Times New Roman"/>
          <w:sz w:val="24"/>
          <w:szCs w:val="24"/>
        </w:rPr>
        <w:t xml:space="preserve"> (alteration adopted). Consequently, Mosby's Title VII and ADA claims are barred as a matter of law.</w:t>
      </w:r>
      <w:r>
        <w:rPr>
          <w:rFonts w:ascii="Times New Roman" w:hAnsi="Times New Roman"/>
          <w:sz w:val="24"/>
          <w:szCs w:val="24"/>
        </w:rPr>
        <w:t>”</w:t>
      </w:r>
    </w:p>
    <w:p w14:paraId="520FAE89" w14:textId="589E8E7A" w:rsidR="00EB2493" w:rsidRDefault="00EB2493" w:rsidP="00EB2493">
      <w:pPr>
        <w:rPr>
          <w:rFonts w:ascii="Arial Black" w:hAnsi="Arial Black"/>
          <w:b/>
          <w:sz w:val="24"/>
          <w:szCs w:val="24"/>
        </w:rPr>
      </w:pPr>
      <w:hyperlink r:id="rId1415" w:history="1">
        <w:r w:rsidRPr="002013DF">
          <w:rPr>
            <w:rStyle w:val="Hyperlink"/>
            <w:rFonts w:ascii="Times New Roman" w:hAnsi="Times New Roman"/>
            <w:sz w:val="24"/>
            <w:szCs w:val="24"/>
          </w:rPr>
          <w:t>https://scholar.google.com/scholar_case?case=1979118509333189928&amp;q=Rachel+MOSBY+v.+CITY+OF+BYRON,+GEORGIA,&amp;hl=en&amp;as_sdt=6,36</w:t>
        </w:r>
      </w:hyperlink>
    </w:p>
    <w:p w14:paraId="338590CC" w14:textId="6C2767B5" w:rsidR="00EB2493" w:rsidRPr="00321109" w:rsidRDefault="00EB2493" w:rsidP="00EB2493">
      <w:pPr>
        <w:tabs>
          <w:tab w:val="left" w:pos="2830"/>
        </w:tabs>
        <w:rPr>
          <w:rFonts w:ascii="Times New Roman" w:hAnsi="Times New Roman"/>
          <w:b/>
          <w:bCs/>
          <w:sz w:val="24"/>
          <w:szCs w:val="24"/>
        </w:rPr>
      </w:pPr>
      <w:r w:rsidRPr="00321109">
        <w:rPr>
          <w:rFonts w:ascii="Times New Roman" w:hAnsi="Times New Roman"/>
          <w:b/>
          <w:bCs/>
          <w:sz w:val="24"/>
          <w:szCs w:val="24"/>
        </w:rPr>
        <w:t>Legal Lesson Learned</w:t>
      </w:r>
      <w:r>
        <w:rPr>
          <w:rFonts w:ascii="Times New Roman" w:hAnsi="Times New Roman"/>
          <w:b/>
          <w:bCs/>
          <w:sz w:val="24"/>
          <w:szCs w:val="24"/>
        </w:rPr>
        <w:t xml:space="preserve">:  EEOC charges must be “verified” (signed under oath); “at will” employees may be terminated without cause; public officials cannot sue for defamation without proof of “malice.”  </w:t>
      </w:r>
      <w:bookmarkStart w:id="289" w:name="_Hlk65911361"/>
      <w:r>
        <w:rPr>
          <w:rFonts w:ascii="Times New Roman" w:hAnsi="Times New Roman"/>
          <w:b/>
          <w:bCs/>
          <w:sz w:val="24"/>
          <w:szCs w:val="24"/>
        </w:rPr>
        <w:t xml:space="preserve">If this case had gone to trial, the jury might have seriously questioned the actions of the employer. </w:t>
      </w:r>
    </w:p>
    <w:bookmarkEnd w:id="289"/>
    <w:p w14:paraId="2610B9A1" w14:textId="77777777" w:rsidR="00EB2493" w:rsidRPr="00321109" w:rsidRDefault="00EB2493" w:rsidP="00EB2493">
      <w:pPr>
        <w:pStyle w:val="Heading1"/>
        <w:ind w:left="720"/>
        <w:rPr>
          <w:b w:val="0"/>
          <w:bCs w:val="0"/>
          <w:sz w:val="24"/>
          <w:szCs w:val="24"/>
        </w:rPr>
      </w:pPr>
      <w:r w:rsidRPr="00321109">
        <w:rPr>
          <w:b w:val="0"/>
          <w:bCs w:val="0"/>
          <w:sz w:val="24"/>
          <w:szCs w:val="24"/>
        </w:rPr>
        <w:t xml:space="preserve">Note:  </w:t>
      </w:r>
      <w:r>
        <w:rPr>
          <w:b w:val="0"/>
          <w:bCs w:val="0"/>
          <w:sz w:val="24"/>
          <w:szCs w:val="24"/>
        </w:rPr>
        <w:t>See:  Feb. 19, 2021: “</w:t>
      </w:r>
      <w:r w:rsidRPr="004254B6">
        <w:rPr>
          <w:b w:val="0"/>
          <w:bCs w:val="0"/>
          <w:sz w:val="24"/>
          <w:szCs w:val="24"/>
        </w:rPr>
        <w:t>Judge dismisses discrimination lawsuit by transgender fire chief</w:t>
      </w:r>
      <w:r>
        <w:rPr>
          <w:b w:val="0"/>
          <w:bCs w:val="0"/>
          <w:sz w:val="24"/>
          <w:szCs w:val="24"/>
        </w:rPr>
        <w:t xml:space="preserve">.” </w:t>
      </w:r>
      <w:r w:rsidRPr="004254B6">
        <w:rPr>
          <w:b w:val="0"/>
          <w:bCs w:val="0"/>
          <w:sz w:val="24"/>
          <w:szCs w:val="24"/>
        </w:rPr>
        <w:t>SAVANNAH, Ga. — A federal judge has dismissed a discrimination lawsuit by a transgender fire chief who led a rural Georgia city's fire department for more than a decade, then got fired 18 months after first coming to work as a woman</w:t>
      </w:r>
      <w:r>
        <w:rPr>
          <w:b w:val="0"/>
          <w:bCs w:val="0"/>
          <w:sz w:val="24"/>
          <w:szCs w:val="24"/>
        </w:rPr>
        <w:t xml:space="preserve">.” </w:t>
      </w:r>
      <w:hyperlink r:id="rId1416" w:history="1">
        <w:r w:rsidRPr="00D403AF">
          <w:rPr>
            <w:rStyle w:val="Hyperlink"/>
            <w:b w:val="0"/>
            <w:bCs w:val="0"/>
            <w:sz w:val="24"/>
            <w:szCs w:val="24"/>
          </w:rPr>
          <w:t>https://www.firerescue1.com/discrimination/articles/judge-dismisses-discrimination-lawsuit-by-transgender-fire-chief-c9ZJzz1mhPH97dsL/?utm_source=FireRescue1+Daily&amp;utm_campaign=34323ded4f-EMAIL_CAMPAIGN_2021_02_19_07_52&amp;utm_medium=email&amp;utm_term=0_758bdbeffe-34323ded4f-41607823</w:t>
        </w:r>
      </w:hyperlink>
      <w:r>
        <w:rPr>
          <w:b w:val="0"/>
          <w:bCs w:val="0"/>
          <w:sz w:val="24"/>
          <w:szCs w:val="24"/>
        </w:rPr>
        <w:t xml:space="preserve"> </w:t>
      </w:r>
    </w:p>
    <w:p w14:paraId="6AAE0EF5" w14:textId="77777777" w:rsidR="00EB2493" w:rsidRPr="004254B6" w:rsidRDefault="00EB2493" w:rsidP="00EB2493">
      <w:pPr>
        <w:pStyle w:val="NoSpacing"/>
        <w:ind w:left="720"/>
        <w:rPr>
          <w:rFonts w:ascii="Times New Roman" w:hAnsi="Times New Roman"/>
          <w:sz w:val="24"/>
          <w:szCs w:val="24"/>
        </w:rPr>
      </w:pPr>
      <w:r w:rsidRPr="004254B6">
        <w:rPr>
          <w:rFonts w:ascii="Times New Roman" w:hAnsi="Times New Roman"/>
          <w:sz w:val="24"/>
          <w:szCs w:val="24"/>
        </w:rPr>
        <w:t xml:space="preserve">See also: “Federal judge dismisses discrimination lawsuit by transgender fire chief in Georgia.” </w:t>
      </w:r>
      <w:hyperlink r:id="rId1417" w:history="1">
        <w:r w:rsidRPr="004254B6">
          <w:rPr>
            <w:rStyle w:val="Hyperlink"/>
            <w:rFonts w:ascii="Times New Roman" w:hAnsi="Times New Roman"/>
            <w:sz w:val="24"/>
            <w:szCs w:val="24"/>
          </w:rPr>
          <w:t>https://www.nbcnews.com/news/us-news/federal-judge-dismisses-discrimination-lawsuit-transgender-fire-chief-georgia-n1258452</w:t>
        </w:r>
      </w:hyperlink>
    </w:p>
    <w:p w14:paraId="5183A507" w14:textId="77777777" w:rsidR="00EB2493" w:rsidRDefault="00EB2493" w:rsidP="002B1283">
      <w:pPr>
        <w:rPr>
          <w:rFonts w:ascii="Arial Black" w:hAnsi="Arial Black"/>
          <w:b/>
          <w:sz w:val="24"/>
          <w:szCs w:val="24"/>
        </w:rPr>
      </w:pPr>
    </w:p>
    <w:p w14:paraId="4C73B106" w14:textId="77777777" w:rsidR="00EB2493" w:rsidRDefault="00EB2493" w:rsidP="002B1283">
      <w:pPr>
        <w:rPr>
          <w:rFonts w:ascii="Arial Black" w:hAnsi="Arial Black"/>
          <w:b/>
          <w:sz w:val="24"/>
          <w:szCs w:val="24"/>
        </w:rPr>
      </w:pPr>
    </w:p>
    <w:p w14:paraId="1E51D146" w14:textId="425EDDE7" w:rsidR="00737B49" w:rsidRDefault="00737B49" w:rsidP="002B1283">
      <w:pPr>
        <w:rPr>
          <w:rFonts w:ascii="Arial Black" w:hAnsi="Arial Black"/>
          <w:b/>
          <w:sz w:val="24"/>
          <w:szCs w:val="24"/>
        </w:rPr>
      </w:pPr>
      <w:r>
        <w:rPr>
          <w:rFonts w:ascii="Arial Black" w:hAnsi="Arial Black"/>
          <w:b/>
          <w:sz w:val="24"/>
          <w:szCs w:val="24"/>
        </w:rPr>
        <w:t>7-27</w:t>
      </w:r>
    </w:p>
    <w:p w14:paraId="7CD45694" w14:textId="2EF41928" w:rsidR="00863F9E" w:rsidRDefault="00863F9E" w:rsidP="00863F9E">
      <w:pPr>
        <w:spacing w:before="100" w:beforeAutospacing="1" w:after="100" w:afterAutospacing="1" w:line="240" w:lineRule="auto"/>
        <w:rPr>
          <w:rFonts w:ascii="Arial Black" w:hAnsi="Arial Black" w:cstheme="minorBidi"/>
          <w:sz w:val="28"/>
          <w:szCs w:val="28"/>
        </w:rPr>
      </w:pPr>
      <w:bookmarkStart w:id="290" w:name="_Hlk66947567"/>
      <w:r>
        <w:rPr>
          <w:rFonts w:ascii="Arial Black" w:hAnsi="Arial Black"/>
          <w:sz w:val="28"/>
          <w:szCs w:val="28"/>
        </w:rPr>
        <w:t xml:space="preserve">MI: JURY FINDS NO SEX HARASSMENT, NO RETALIATION – FF 29-DAY SUSP - POSTED CELL PHONE PHOTO OF HOUSE FIRE </w:t>
      </w:r>
    </w:p>
    <w:p w14:paraId="790A66CB" w14:textId="77777777" w:rsidR="00863F9E" w:rsidRDefault="00863F9E" w:rsidP="00863F9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29, 2020, in </w:t>
      </w:r>
      <w:r>
        <w:rPr>
          <w:rFonts w:ascii="Times New Roman" w:hAnsi="Times New Roman"/>
          <w:sz w:val="24"/>
          <w:szCs w:val="24"/>
          <w:u w:val="single"/>
        </w:rPr>
        <w:t>Amy Rygwelski v. City of Flint, et al</w:t>
      </w:r>
      <w:r>
        <w:rPr>
          <w:rFonts w:ascii="Times New Roman" w:hAnsi="Times New Roman"/>
          <w:sz w:val="24"/>
          <w:szCs w:val="24"/>
        </w:rPr>
        <w:t>., the State of Michigan Court of Appeals, held (3 to 0) that the trial court properly upheld the jury decision of no harassment or retaliation.  She filed complaint of sexual harassment after one minor incident with fellow firefighter; was reassigned to another station, and later received a 29-day suspension after the department learned that, while on a fire run, she used her cell phone to take a picture of the rising sun while a house burned in the foreground, posted on social media.</w:t>
      </w:r>
    </w:p>
    <w:bookmarkEnd w:id="290"/>
    <w:p w14:paraId="1F1683D7" w14:textId="77777777" w:rsidR="00863F9E" w:rsidRDefault="00863F9E" w:rsidP="00863F9E">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 xml:space="preserve">“If the jury were to believe that plaintiff fabricated her claim of sexual harassment, then plaintiff was not engaged in a protected activity. Reporting a fabricated account of harassment would not be an activity protected by the act, because a plaintiff could not possibly be acting upon </w:t>
      </w:r>
      <w:proofErr w:type="gramStart"/>
      <w:r>
        <w:rPr>
          <w:rFonts w:ascii="Times New Roman" w:hAnsi="Times New Roman"/>
          <w:sz w:val="24"/>
          <w:szCs w:val="24"/>
        </w:rPr>
        <w:t>a good</w:t>
      </w:r>
      <w:proofErr w:type="gramEnd"/>
      <w:r>
        <w:rPr>
          <w:rFonts w:ascii="Times New Roman" w:hAnsi="Times New Roman"/>
          <w:sz w:val="24"/>
          <w:szCs w:val="24"/>
        </w:rPr>
        <w:t xml:space="preserve">-faith or reasonable belief of unlawful activity. And because a question of fact existed with respect to whether the sexual harassment </w:t>
      </w:r>
      <w:proofErr w:type="gramStart"/>
      <w:r>
        <w:rPr>
          <w:rFonts w:ascii="Times New Roman" w:hAnsi="Times New Roman"/>
          <w:sz w:val="24"/>
          <w:szCs w:val="24"/>
        </w:rPr>
        <w:t>actually occurred</w:t>
      </w:r>
      <w:proofErr w:type="gramEnd"/>
      <w:r>
        <w:rPr>
          <w:rFonts w:ascii="Times New Roman" w:hAnsi="Times New Roman"/>
          <w:sz w:val="24"/>
          <w:szCs w:val="24"/>
        </w:rPr>
        <w:t xml:space="preserve">, reasonable jurors could have differed with respect to whether plaintiff engaged in protected activity. Accordingly, the trial court did not err when it denied plaintiff’s motion for a directed verdict.” </w:t>
      </w:r>
      <w:bookmarkStart w:id="291" w:name="_Hlk66947588"/>
      <w:r w:rsidR="00F00958">
        <w:fldChar w:fldCharType="begin"/>
      </w:r>
      <w:r w:rsidR="00F00958">
        <w:instrText xml:space="preserve"> HYPERLINK "https://public.fastcase.com/Wl%2B2t%2BeVuI35%2FN70vAMFZhNKndYLJrOSR04H32IgTwa9kDAt3i1qzZBjDxGzNoxz" </w:instrText>
      </w:r>
      <w:r w:rsidR="00F00958">
        <w:fldChar w:fldCharType="separate"/>
      </w:r>
      <w:r>
        <w:rPr>
          <w:rStyle w:val="Hyperlink"/>
        </w:rPr>
        <w:t>https://public.fastcase.com/Wl%2B2t%2BeVuI35%2FN70vAMFZhNKndYLJrOSR04H32IgTwa9kDAt3i1qzZBjDxGzNoxz</w:t>
      </w:r>
      <w:r w:rsidR="00F00958">
        <w:rPr>
          <w:rStyle w:val="Hyperlink"/>
        </w:rPr>
        <w:fldChar w:fldCharType="end"/>
      </w:r>
      <w:r>
        <w:rPr>
          <w:rFonts w:ascii="Times New Roman" w:hAnsi="Times New Roman"/>
          <w:sz w:val="24"/>
          <w:szCs w:val="24"/>
        </w:rPr>
        <w:t xml:space="preserve">  </w:t>
      </w:r>
    </w:p>
    <w:p w14:paraId="42CE8AC4" w14:textId="77777777" w:rsidR="00863F9E" w:rsidRDefault="00863F9E" w:rsidP="00863F9E">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Legal Lesson Learned: Plaintiff failed to prove her allegations to the jury.</w:t>
      </w:r>
    </w:p>
    <w:bookmarkEnd w:id="291"/>
    <w:p w14:paraId="06260D2E" w14:textId="77777777" w:rsidR="00863F9E" w:rsidRDefault="00863F9E" w:rsidP="002B1283">
      <w:pPr>
        <w:rPr>
          <w:rFonts w:ascii="Arial Black" w:hAnsi="Arial Black"/>
          <w:b/>
          <w:sz w:val="24"/>
          <w:szCs w:val="24"/>
        </w:rPr>
      </w:pPr>
    </w:p>
    <w:p w14:paraId="330F4090" w14:textId="6B2CA801" w:rsidR="00737B49" w:rsidRDefault="00737B49" w:rsidP="002B1283">
      <w:pPr>
        <w:rPr>
          <w:rFonts w:ascii="Arial Black" w:hAnsi="Arial Black"/>
          <w:b/>
          <w:sz w:val="24"/>
          <w:szCs w:val="24"/>
        </w:rPr>
      </w:pPr>
    </w:p>
    <w:p w14:paraId="25CE69BD" w14:textId="35D31BFD" w:rsidR="00737B49" w:rsidRDefault="00737B49" w:rsidP="002B1283">
      <w:pPr>
        <w:rPr>
          <w:rFonts w:ascii="Arial Black" w:hAnsi="Arial Black"/>
          <w:b/>
          <w:sz w:val="24"/>
          <w:szCs w:val="24"/>
        </w:rPr>
      </w:pPr>
      <w:r>
        <w:rPr>
          <w:rFonts w:ascii="Arial Black" w:hAnsi="Arial Black"/>
          <w:b/>
          <w:sz w:val="24"/>
          <w:szCs w:val="24"/>
        </w:rPr>
        <w:t>7-26</w:t>
      </w:r>
    </w:p>
    <w:p w14:paraId="136021BB" w14:textId="77777777" w:rsidR="00863F9E" w:rsidRDefault="00863F9E" w:rsidP="00863F9E">
      <w:pPr>
        <w:rPr>
          <w:rFonts w:ascii="Arial Black" w:eastAsiaTheme="minorHAnsi" w:hAnsi="Arial Black" w:cstheme="minorBidi"/>
          <w:sz w:val="28"/>
          <w:szCs w:val="28"/>
        </w:rPr>
      </w:pPr>
      <w:bookmarkStart w:id="292" w:name="_Hlk66947667"/>
      <w:r>
        <w:rPr>
          <w:rFonts w:ascii="Arial Black" w:hAnsi="Arial Black"/>
          <w:sz w:val="28"/>
          <w:szCs w:val="28"/>
        </w:rPr>
        <w:t>NY: FF FIRED – SEMEN INSIDE PANTS BELONGING TO FEMALE FF – ARBITRATOR, COURTS UPHOLD FIRING</w:t>
      </w:r>
    </w:p>
    <w:p w14:paraId="69FAAE9D" w14:textId="1B9BAC19" w:rsidR="00863F9E" w:rsidRDefault="00863F9E" w:rsidP="00863F9E">
      <w:pPr>
        <w:rPr>
          <w:rFonts w:ascii="Times New Roman" w:hAnsi="Times New Roman"/>
          <w:sz w:val="24"/>
          <w:szCs w:val="24"/>
        </w:rPr>
      </w:pPr>
      <w:r>
        <w:rPr>
          <w:rFonts w:ascii="Times New Roman" w:hAnsi="Times New Roman"/>
          <w:sz w:val="24"/>
          <w:szCs w:val="24"/>
        </w:rPr>
        <w:t xml:space="preserve">On Dec. 23, 2020, </w:t>
      </w:r>
      <w:r>
        <w:rPr>
          <w:rFonts w:ascii="Times New Roman" w:hAnsi="Times New Roman"/>
          <w:sz w:val="24"/>
          <w:szCs w:val="24"/>
          <w:u w:val="single"/>
        </w:rPr>
        <w:t>In The Matter Of Arbitration Between City of Utica, and Local 32, IAFF (on Behalf of Richard J. Forte)</w:t>
      </w:r>
      <w:r>
        <w:rPr>
          <w:rFonts w:ascii="Times New Roman" w:hAnsi="Times New Roman"/>
          <w:sz w:val="24"/>
          <w:szCs w:val="24"/>
        </w:rPr>
        <w:t xml:space="preserve">, the Supreme Court of the State of New York, Appellate Division (Fourth Judicial District), 2020 NY Slip Op 07783, held (5 to 0) that trial court properly denied his motion to vacate arbitration award in favor of the City. </w:t>
      </w:r>
    </w:p>
    <w:bookmarkEnd w:id="292"/>
    <w:p w14:paraId="5109B944" w14:textId="77777777" w:rsidR="00863F9E" w:rsidRDefault="00863F9E" w:rsidP="00863F9E">
      <w:pPr>
        <w:ind w:left="720"/>
        <w:rPr>
          <w:rFonts w:asciiTheme="minorHAnsi" w:hAnsiTheme="minorHAnsi" w:cstheme="minorBidi"/>
        </w:rPr>
      </w:pPr>
      <w:r>
        <w:rPr>
          <w:rFonts w:ascii="Times New Roman" w:hAnsi="Times New Roman"/>
          <w:sz w:val="24"/>
          <w:szCs w:val="24"/>
        </w:rPr>
        <w:t>“Respondent contends that the arbitrator improperly found him guilty of committing uncharged conduct, i.e., sexual harassment, and determined that termination was the appropriate penalty for that uncharged conduct. We reject that contention.</w:t>
      </w:r>
    </w:p>
    <w:p w14:paraId="7D1545AF" w14:textId="77777777" w:rsidR="00863F9E" w:rsidRDefault="00863F9E" w:rsidP="00863F9E">
      <w:pPr>
        <w:ind w:left="720"/>
        <w:rPr>
          <w:rFonts w:ascii="Times New Roman" w:hAnsi="Times New Roman"/>
          <w:sz w:val="24"/>
          <w:szCs w:val="24"/>
        </w:rPr>
      </w:pPr>
      <w:r>
        <w:rPr>
          <w:rFonts w:ascii="Times New Roman" w:hAnsi="Times New Roman"/>
          <w:sz w:val="24"/>
          <w:szCs w:val="24"/>
        </w:rPr>
        <w:t>Respondent was charged in the notice of disciplinary charges with, inter alia, conduct unbecoming a member of the Utica Fire Department ‘insofar as [he] knowingly and intentionally damage[d] property belonging to a fellow firefighter’ by ‘intentionally, knowingly, and unlawfully, with the intent to damage property, deposit[</w:t>
      </w:r>
      <w:proofErr w:type="spellStart"/>
      <w:r>
        <w:rPr>
          <w:rFonts w:ascii="Times New Roman" w:hAnsi="Times New Roman"/>
          <w:sz w:val="24"/>
          <w:szCs w:val="24"/>
        </w:rPr>
        <w:t>ing</w:t>
      </w:r>
      <w:proofErr w:type="spellEnd"/>
      <w:r>
        <w:rPr>
          <w:rFonts w:ascii="Times New Roman" w:hAnsi="Times New Roman"/>
          <w:sz w:val="24"/>
          <w:szCs w:val="24"/>
        </w:rPr>
        <w:t xml:space="preserve">] [his] semen onto the inside crotch area of a pair of pants belonging to’ a fellow firefighter.” </w:t>
      </w:r>
      <w:bookmarkStart w:id="293" w:name="_Hlk66947690"/>
      <w:r w:rsidR="00F00958">
        <w:fldChar w:fldCharType="begin"/>
      </w:r>
      <w:r w:rsidR="00F00958">
        <w:instrText xml:space="preserve"> HYPERLINK "https://public.fastcase.com/Wl%2B2t%2BeVuI35%2FN70vAMFZp6hsxXEFbDsO880xeA992QVSgi2XCJKDe%2BRTn9MNoHg" </w:instrText>
      </w:r>
      <w:r w:rsidR="00F00958">
        <w:fldChar w:fldCharType="separate"/>
      </w:r>
      <w:r>
        <w:rPr>
          <w:rStyle w:val="Hyperlink"/>
        </w:rPr>
        <w:t>https://public.fastcase.com/Wl%2B2t%2BeVuI35%2FN70vAMFZp6hsxXEFbDsO880xeA992QVSgi2XCJKDe%2BRTn9MNoHg</w:t>
      </w:r>
      <w:r w:rsidR="00F00958">
        <w:rPr>
          <w:rStyle w:val="Hyperlink"/>
        </w:rPr>
        <w:fldChar w:fldCharType="end"/>
      </w:r>
      <w:r>
        <w:rPr>
          <w:rFonts w:ascii="Times New Roman" w:hAnsi="Times New Roman"/>
          <w:sz w:val="24"/>
          <w:szCs w:val="24"/>
        </w:rPr>
        <w:t xml:space="preserve"> </w:t>
      </w:r>
    </w:p>
    <w:p w14:paraId="0F67507F" w14:textId="77777777" w:rsidR="00863F9E" w:rsidRDefault="00863F9E" w:rsidP="00863F9E">
      <w:pPr>
        <w:spacing w:before="100" w:beforeAutospacing="1" w:after="100" w:afterAutospacing="1" w:line="240" w:lineRule="auto"/>
        <w:rPr>
          <w:rFonts w:ascii="Times New Roman" w:eastAsia="Times New Roman" w:hAnsi="Times New Roman"/>
          <w:b/>
          <w:bCs/>
          <w:sz w:val="24"/>
          <w:szCs w:val="24"/>
        </w:rPr>
      </w:pPr>
      <w:r w:rsidRPr="004D6DF3">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Terrible set of facts.</w:t>
      </w:r>
    </w:p>
    <w:p w14:paraId="0987C420" w14:textId="77777777" w:rsidR="00863F9E" w:rsidRPr="004D6DF3" w:rsidRDefault="00863F9E" w:rsidP="00863F9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sz w:val="24"/>
          <w:szCs w:val="24"/>
        </w:rPr>
        <w:tab/>
      </w:r>
      <w:r>
        <w:rPr>
          <w:rFonts w:ascii="Times New Roman" w:eastAsia="Times New Roman" w:hAnsi="Times New Roman"/>
          <w:sz w:val="24"/>
          <w:szCs w:val="24"/>
        </w:rPr>
        <w:t xml:space="preserve">Note: This case has been subject of lots of negative Press. </w:t>
      </w:r>
    </w:p>
    <w:bookmarkEnd w:id="293"/>
    <w:p w14:paraId="387BA4A4" w14:textId="77777777" w:rsidR="00863F9E" w:rsidRPr="004D6DF3" w:rsidRDefault="00863F9E" w:rsidP="00863F9E">
      <w:pPr>
        <w:ind w:left="720"/>
        <w:rPr>
          <w:sz w:val="24"/>
          <w:szCs w:val="24"/>
        </w:rPr>
      </w:pPr>
      <w:r>
        <w:rPr>
          <w:rFonts w:ascii="Times New Roman" w:hAnsi="Times New Roman"/>
          <w:sz w:val="24"/>
          <w:szCs w:val="24"/>
        </w:rPr>
        <w:t xml:space="preserve">July 21, 2020: </w:t>
      </w:r>
      <w:r w:rsidRPr="004D6DF3">
        <w:rPr>
          <w:rFonts w:ascii="Times New Roman" w:hAnsi="Times New Roman"/>
          <w:sz w:val="24"/>
          <w:szCs w:val="24"/>
        </w:rPr>
        <w:t>“Court: Former Utica firefighter not entitled to payment.”</w:t>
      </w:r>
      <w:r>
        <w:rPr>
          <w:rFonts w:ascii="Times New Roman" w:hAnsi="Times New Roman"/>
          <w:sz w:val="24"/>
          <w:szCs w:val="24"/>
        </w:rPr>
        <w:t xml:space="preserve"> “</w:t>
      </w:r>
      <w:r w:rsidRPr="004D6DF3">
        <w:rPr>
          <w:rFonts w:ascii="Times New Roman" w:hAnsi="Times New Roman"/>
          <w:sz w:val="24"/>
          <w:szCs w:val="24"/>
        </w:rPr>
        <w:t>Richard Forte was found guilty last September of charges related to a January 2018 incident, during which he ejaculated on a pair of pants owned by a female firefighter. He was sentenced last December to 60 days in the county jail.</w:t>
      </w:r>
      <w:r>
        <w:rPr>
          <w:rFonts w:ascii="Times New Roman" w:hAnsi="Times New Roman"/>
          <w:sz w:val="24"/>
          <w:szCs w:val="24"/>
        </w:rPr>
        <w:t xml:space="preserve">” </w:t>
      </w:r>
      <w:hyperlink r:id="rId1418" w:history="1">
        <w:r w:rsidRPr="008335C2">
          <w:rPr>
            <w:rStyle w:val="Hyperlink"/>
            <w:sz w:val="24"/>
            <w:szCs w:val="24"/>
          </w:rPr>
          <w:t>https://www.uticaod.com/story/news/2020/07/21/court-former-utica-firefighter-not-entitled-to-payment/42260661/</w:t>
        </w:r>
      </w:hyperlink>
      <w:r w:rsidRPr="004D6DF3">
        <w:rPr>
          <w:sz w:val="24"/>
          <w:szCs w:val="24"/>
        </w:rPr>
        <w:t xml:space="preserve"> </w:t>
      </w:r>
    </w:p>
    <w:p w14:paraId="7A67F713" w14:textId="77777777" w:rsidR="00863F9E" w:rsidRPr="004D6DF3" w:rsidRDefault="00863F9E" w:rsidP="00863F9E">
      <w:pPr>
        <w:pStyle w:val="Heading1"/>
        <w:ind w:left="720"/>
        <w:rPr>
          <w:b w:val="0"/>
          <w:bCs w:val="0"/>
          <w:sz w:val="24"/>
          <w:szCs w:val="24"/>
        </w:rPr>
      </w:pPr>
      <w:r w:rsidRPr="004D6DF3">
        <w:rPr>
          <w:b w:val="0"/>
          <w:bCs w:val="0"/>
          <w:sz w:val="24"/>
          <w:szCs w:val="24"/>
        </w:rPr>
        <w:t xml:space="preserve">Sept. 25, 2019: “Ex-Utica firefighter found guilty on all charges.” </w:t>
      </w:r>
      <w:hyperlink r:id="rId1419" w:history="1">
        <w:r w:rsidRPr="008335C2">
          <w:rPr>
            <w:rStyle w:val="Hyperlink"/>
            <w:b w:val="0"/>
            <w:bCs w:val="0"/>
            <w:sz w:val="24"/>
            <w:szCs w:val="24"/>
          </w:rPr>
          <w:t>https://www.uticaod.com/news/20190925/ex-utica-firefighter-found-guilty-on-all-charges</w:t>
        </w:r>
      </w:hyperlink>
      <w:r w:rsidRPr="004D6DF3">
        <w:rPr>
          <w:b w:val="0"/>
          <w:bCs w:val="0"/>
          <w:sz w:val="24"/>
          <w:szCs w:val="24"/>
        </w:rPr>
        <w:t xml:space="preserve"> </w:t>
      </w:r>
    </w:p>
    <w:p w14:paraId="017E8965" w14:textId="77777777" w:rsidR="00863F9E" w:rsidRPr="004D6DF3" w:rsidRDefault="00863F9E" w:rsidP="00863F9E">
      <w:pPr>
        <w:ind w:left="720"/>
        <w:rPr>
          <w:rFonts w:ascii="Times New Roman" w:hAnsi="Times New Roman"/>
          <w:sz w:val="24"/>
          <w:szCs w:val="24"/>
        </w:rPr>
      </w:pPr>
      <w:r>
        <w:rPr>
          <w:rFonts w:ascii="Times New Roman" w:hAnsi="Times New Roman"/>
          <w:sz w:val="24"/>
          <w:szCs w:val="24"/>
        </w:rPr>
        <w:t xml:space="preserve">April 4, 2019: “Utica firefighter fired after sexual harassment claim.” </w:t>
      </w:r>
      <w:hyperlink r:id="rId1420" w:history="1">
        <w:r w:rsidRPr="008335C2">
          <w:rPr>
            <w:rStyle w:val="Hyperlink"/>
            <w:rFonts w:ascii="Times New Roman" w:hAnsi="Times New Roman"/>
            <w:sz w:val="24"/>
            <w:szCs w:val="24"/>
          </w:rPr>
          <w:t>https://www.uticaod.com/news/20190404/utica-firefighter-fired-after-sexual-harassment-claim</w:t>
        </w:r>
      </w:hyperlink>
      <w:r>
        <w:rPr>
          <w:rFonts w:ascii="Times New Roman" w:hAnsi="Times New Roman"/>
          <w:sz w:val="24"/>
          <w:szCs w:val="24"/>
        </w:rPr>
        <w:t xml:space="preserve"> </w:t>
      </w:r>
    </w:p>
    <w:p w14:paraId="07C7A4A6" w14:textId="77777777" w:rsidR="00737B49" w:rsidRDefault="00737B49" w:rsidP="002B1283">
      <w:pPr>
        <w:rPr>
          <w:rFonts w:ascii="Arial Black" w:hAnsi="Arial Black"/>
          <w:b/>
          <w:sz w:val="24"/>
          <w:szCs w:val="24"/>
        </w:rPr>
      </w:pPr>
    </w:p>
    <w:p w14:paraId="08007798" w14:textId="43D61A9C" w:rsidR="00DD03E3" w:rsidRDefault="00DD03E3" w:rsidP="002B1283">
      <w:pPr>
        <w:rPr>
          <w:rFonts w:ascii="Arial Black" w:hAnsi="Arial Black"/>
          <w:b/>
          <w:sz w:val="24"/>
          <w:szCs w:val="24"/>
        </w:rPr>
      </w:pPr>
      <w:r>
        <w:rPr>
          <w:rFonts w:ascii="Arial Black" w:hAnsi="Arial Black"/>
          <w:b/>
          <w:sz w:val="24"/>
          <w:szCs w:val="24"/>
        </w:rPr>
        <w:t>7-25</w:t>
      </w:r>
    </w:p>
    <w:p w14:paraId="2DCB1B6C" w14:textId="77777777" w:rsidR="00DD03E3" w:rsidRPr="00CB26F0" w:rsidRDefault="00DD03E3" w:rsidP="00DD03E3">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FEMALE IN CHICAGO FD’s PARAMEDIC ACADEMY – INJURED “LIFTING &amp; MOVING SEQUENCE” – REFUSED RE-HIRE - CASE PROCEED</w:t>
      </w:r>
    </w:p>
    <w:p w14:paraId="63E7D3F3" w14:textId="77777777" w:rsidR="00DD03E3" w:rsidRDefault="00DD03E3" w:rsidP="00DD03E3">
      <w:pPr>
        <w:spacing w:before="100" w:beforeAutospacing="1" w:after="100" w:afterAutospacing="1" w:line="240" w:lineRule="auto"/>
        <w:rPr>
          <w:rFonts w:ascii="Times New Roman" w:hAnsi="Times New Roman"/>
          <w:sz w:val="24"/>
          <w:szCs w:val="24"/>
        </w:rPr>
      </w:pPr>
      <w:r w:rsidRPr="009A19BE">
        <w:rPr>
          <w:rFonts w:ascii="Times New Roman" w:eastAsia="Times New Roman" w:hAnsi="Times New Roman"/>
          <w:sz w:val="24"/>
          <w:szCs w:val="24"/>
        </w:rPr>
        <w:t>On Act. 27, 2020, in</w:t>
      </w:r>
      <w:r>
        <w:rPr>
          <w:rFonts w:ascii="Times New Roman" w:eastAsia="Times New Roman" w:hAnsi="Times New Roman"/>
          <w:sz w:val="24"/>
          <w:szCs w:val="24"/>
        </w:rPr>
        <w:t xml:space="preserve"> </w:t>
      </w:r>
      <w:r w:rsidRPr="009A19BE">
        <w:rPr>
          <w:rFonts w:ascii="Times New Roman" w:eastAsia="Times New Roman" w:hAnsi="Times New Roman"/>
          <w:sz w:val="24"/>
          <w:szCs w:val="24"/>
          <w:u w:val="single"/>
        </w:rPr>
        <w:t>Donna Griffin v. City of Chicago</w:t>
      </w:r>
      <w:r>
        <w:rPr>
          <w:rFonts w:ascii="Times New Roman" w:eastAsia="Times New Roman" w:hAnsi="Times New Roman"/>
          <w:sz w:val="24"/>
          <w:szCs w:val="24"/>
        </w:rPr>
        <w:t xml:space="preserve">, U.S. District Court Judge Sara L. Ellis, Northern District of Illinois, denied City’s motion to dismiss the lawsuit; plaintiff may pursue claim that the CFD administered physical fitness tests solely to eliminate women from the Academy, leading to her injury and termination April 11, 2019, and the City’s refusal to allow her to re-apply after she failed a return-to-work Independent Medical Exam in June 2019 (she was prescribed medications for </w:t>
      </w:r>
      <w:r w:rsidRPr="00D272C9">
        <w:rPr>
          <w:rFonts w:ascii="Times New Roman" w:hAnsi="Times New Roman"/>
          <w:sz w:val="24"/>
          <w:szCs w:val="24"/>
        </w:rPr>
        <w:t>insomnia and adjustment disorder</w:t>
      </w:r>
      <w:r>
        <w:rPr>
          <w:rFonts w:ascii="Times New Roman" w:hAnsi="Times New Roman"/>
          <w:sz w:val="24"/>
          <w:szCs w:val="24"/>
        </w:rPr>
        <w:t>).</w:t>
      </w:r>
    </w:p>
    <w:p w14:paraId="4FBB09B0" w14:textId="77777777" w:rsidR="00DD03E3" w:rsidRDefault="00DD03E3" w:rsidP="00DD03E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D272C9">
        <w:rPr>
          <w:rFonts w:ascii="Times New Roman" w:hAnsi="Times New Roman"/>
          <w:sz w:val="24"/>
          <w:szCs w:val="24"/>
        </w:rPr>
        <w:t>In October 2016, Griffin (who was known as Donna Ruch at the time</w:t>
      </w:r>
      <w:proofErr w:type="gramStart"/>
      <w:r w:rsidRPr="00D272C9">
        <w:rPr>
          <w:rFonts w:ascii="Times New Roman" w:hAnsi="Times New Roman"/>
          <w:sz w:val="24"/>
          <w:szCs w:val="24"/>
        </w:rPr>
        <w:t>)</w:t>
      </w:r>
      <w:proofErr w:type="gramEnd"/>
      <w:r w:rsidRPr="00D272C9">
        <w:rPr>
          <w:rFonts w:ascii="Times New Roman" w:hAnsi="Times New Roman"/>
          <w:sz w:val="24"/>
          <w:szCs w:val="24"/>
        </w:rPr>
        <w:t xml:space="preserve"> and several other female paramedics filed the </w:t>
      </w:r>
      <w:r w:rsidRPr="00D272C9">
        <w:rPr>
          <w:rFonts w:ascii="Times New Roman" w:hAnsi="Times New Roman"/>
          <w:i/>
          <w:iCs/>
          <w:sz w:val="24"/>
          <w:szCs w:val="24"/>
        </w:rPr>
        <w:t>Livingston</w:t>
      </w:r>
      <w:r w:rsidRPr="00D272C9">
        <w:rPr>
          <w:rFonts w:ascii="Times New Roman" w:hAnsi="Times New Roman"/>
          <w:sz w:val="24"/>
          <w:szCs w:val="24"/>
        </w:rPr>
        <w:t xml:space="preserve"> lawsuit, alleging that the </w:t>
      </w:r>
      <w:proofErr w:type="gramStart"/>
      <w:r w:rsidRPr="00D272C9">
        <w:rPr>
          <w:rFonts w:ascii="Times New Roman" w:hAnsi="Times New Roman"/>
          <w:sz w:val="24"/>
          <w:szCs w:val="24"/>
        </w:rPr>
        <w:t>City</w:t>
      </w:r>
      <w:proofErr w:type="gramEnd"/>
      <w:r w:rsidRPr="00D272C9">
        <w:rPr>
          <w:rFonts w:ascii="Times New Roman" w:hAnsi="Times New Roman"/>
          <w:sz w:val="24"/>
          <w:szCs w:val="24"/>
        </w:rPr>
        <w:t xml:space="preserve"> discriminated against them based on their sex. In connection with the parties' attempts to make progress in settling </w:t>
      </w:r>
      <w:r w:rsidRPr="00D272C9">
        <w:rPr>
          <w:rFonts w:ascii="Times New Roman" w:hAnsi="Times New Roman"/>
          <w:i/>
          <w:iCs/>
          <w:sz w:val="24"/>
          <w:szCs w:val="24"/>
        </w:rPr>
        <w:t>Livingston</w:t>
      </w:r>
      <w:r w:rsidRPr="00D272C9">
        <w:rPr>
          <w:rFonts w:ascii="Times New Roman" w:hAnsi="Times New Roman"/>
          <w:sz w:val="24"/>
          <w:szCs w:val="24"/>
        </w:rPr>
        <w:t>, the City agreed to conditionally hire Griffin as a CFD Fire Paramedic candidate pending medical processing.</w:t>
      </w:r>
    </w:p>
    <w:p w14:paraId="556F7ACE" w14:textId="77777777" w:rsidR="00DD03E3" w:rsidRDefault="00DD03E3" w:rsidP="00DD03E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30C710D2" w14:textId="77777777" w:rsidR="00DD03E3" w:rsidRPr="00D272C9" w:rsidRDefault="00DD03E3" w:rsidP="00DD03E3">
      <w:pPr>
        <w:spacing w:before="100" w:beforeAutospacing="1" w:after="100" w:afterAutospacing="1" w:line="240" w:lineRule="auto"/>
        <w:ind w:left="720"/>
        <w:rPr>
          <w:rFonts w:ascii="Times New Roman" w:eastAsia="Times New Roman" w:hAnsi="Times New Roman"/>
          <w:sz w:val="24"/>
          <w:szCs w:val="24"/>
        </w:rPr>
      </w:pPr>
      <w:r w:rsidRPr="00375B7C">
        <w:rPr>
          <w:rFonts w:ascii="Times New Roman" w:hAnsi="Times New Roman"/>
          <w:sz w:val="24"/>
          <w:szCs w:val="24"/>
        </w:rPr>
        <w:t xml:space="preserve">The relevant question is whether Griffin has plausibly alleged that discriminatory and retaliatory motives were the bases underlying the City's June 2019 denial of her application. She has. Griffin alleges that the </w:t>
      </w:r>
      <w:proofErr w:type="gramStart"/>
      <w:r w:rsidRPr="00375B7C">
        <w:rPr>
          <w:rFonts w:ascii="Times New Roman" w:hAnsi="Times New Roman"/>
          <w:sz w:val="24"/>
          <w:szCs w:val="24"/>
        </w:rPr>
        <w:t>City</w:t>
      </w:r>
      <w:proofErr w:type="gramEnd"/>
      <w:r w:rsidRPr="00375B7C">
        <w:rPr>
          <w:rFonts w:ascii="Times New Roman" w:hAnsi="Times New Roman"/>
          <w:sz w:val="24"/>
          <w:szCs w:val="24"/>
        </w:rPr>
        <w:t xml:space="preserve"> </w:t>
      </w:r>
      <w:r>
        <w:rPr>
          <w:rFonts w:ascii="Times New Roman" w:hAnsi="Times New Roman"/>
          <w:sz w:val="24"/>
          <w:szCs w:val="24"/>
        </w:rPr>
        <w:t>‘</w:t>
      </w:r>
      <w:r w:rsidRPr="00375B7C">
        <w:rPr>
          <w:rFonts w:ascii="Times New Roman" w:hAnsi="Times New Roman"/>
          <w:sz w:val="24"/>
          <w:szCs w:val="24"/>
        </w:rPr>
        <w:t>refused to allow her to enter a subsequent training academy</w:t>
      </w:r>
      <w:r>
        <w:rPr>
          <w:rFonts w:ascii="Times New Roman" w:hAnsi="Times New Roman"/>
          <w:sz w:val="24"/>
          <w:szCs w:val="24"/>
        </w:rPr>
        <w:t>’</w:t>
      </w:r>
      <w:r w:rsidRPr="00375B7C">
        <w:rPr>
          <w:rFonts w:ascii="Times New Roman" w:hAnsi="Times New Roman"/>
          <w:sz w:val="24"/>
          <w:szCs w:val="24"/>
        </w:rPr>
        <w:t xml:space="preserve"> class because of her gender, her complaints about illegal sex discrimination, and her disability. </w:t>
      </w:r>
      <w:r w:rsidRPr="00375B7C">
        <w:rPr>
          <w:rFonts w:ascii="Times New Roman" w:hAnsi="Times New Roman"/>
          <w:i/>
          <w:iCs/>
          <w:sz w:val="24"/>
          <w:szCs w:val="24"/>
        </w:rPr>
        <w:t>Griffin</w:t>
      </w:r>
      <w:r w:rsidRPr="00375B7C">
        <w:rPr>
          <w:rFonts w:ascii="Times New Roman" w:hAnsi="Times New Roman"/>
          <w:sz w:val="24"/>
          <w:szCs w:val="24"/>
        </w:rPr>
        <w:t>, Doc. 1 ¶¶ 17, 18, 21, 24-26. She further alleges that the City has allowed men who use alprazolam or trazodone—the medications that Griffin had taken or was taking when she went through the medical evaluation process in March and April 2019—to train and work as Fire Paramedics and that the City has also allowed individuals who have not complained of discrimination to use these medications while training or working as Fire Paramedics. These allegations plausibly state claims for relief based upon the City's June 2019 denial of Griffin's application.</w:t>
      </w:r>
      <w:r>
        <w:rPr>
          <w:rFonts w:ascii="Times New Roman" w:hAnsi="Times New Roman"/>
          <w:sz w:val="24"/>
          <w:szCs w:val="24"/>
        </w:rPr>
        <w:t xml:space="preserve">”  </w:t>
      </w:r>
      <w:hyperlink r:id="rId1421" w:history="1">
        <w:r w:rsidRPr="00EF3739">
          <w:rPr>
            <w:rStyle w:val="Hyperlink"/>
            <w:rFonts w:ascii="Times New Roman" w:hAnsi="Times New Roman"/>
            <w:sz w:val="24"/>
            <w:szCs w:val="24"/>
          </w:rPr>
          <w:t>https://public.fastcase.com/Wl%2B2t%2BeVuI35%2FN70vAMFZs1o8oz3pWgS38oNkfNQDzkHmIv0WM8cJL2w%2BtvmrMCm</w:t>
        </w:r>
      </w:hyperlink>
      <w:r>
        <w:rPr>
          <w:rFonts w:ascii="Times New Roman" w:hAnsi="Times New Roman"/>
          <w:sz w:val="24"/>
          <w:szCs w:val="24"/>
        </w:rPr>
        <w:t xml:space="preserve"> </w:t>
      </w:r>
    </w:p>
    <w:p w14:paraId="0BC49D32" w14:textId="77777777" w:rsidR="00DD03E3" w:rsidRPr="009A19BE" w:rsidRDefault="00DD03E3" w:rsidP="00DD03E3">
      <w:pPr>
        <w:spacing w:before="100" w:beforeAutospacing="1" w:after="100" w:afterAutospacing="1" w:line="240" w:lineRule="auto"/>
        <w:rPr>
          <w:rFonts w:ascii="Times New Roman" w:eastAsia="Times New Roman" w:hAnsi="Times New Roman"/>
          <w:b/>
          <w:bCs/>
          <w:sz w:val="24"/>
          <w:szCs w:val="24"/>
        </w:rPr>
      </w:pPr>
      <w:r w:rsidRPr="00375B7C">
        <w:rPr>
          <w:rFonts w:ascii="Times New Roman" w:hAnsi="Times New Roman"/>
          <w:b/>
          <w:bCs/>
          <w:sz w:val="24"/>
          <w:szCs w:val="24"/>
        </w:rPr>
        <w:t>Legal Lesson Learned:</w:t>
      </w:r>
      <w:r>
        <w:rPr>
          <w:rFonts w:ascii="Times New Roman" w:hAnsi="Times New Roman"/>
          <w:b/>
          <w:bCs/>
          <w:sz w:val="24"/>
          <w:szCs w:val="24"/>
        </w:rPr>
        <w:t xml:space="preserve">  Plaintiff may now proceed with pre-trial discovery, including how the FD has medically dealt with male firefighters using the same medications. </w:t>
      </w:r>
    </w:p>
    <w:p w14:paraId="0C803703" w14:textId="77777777" w:rsidR="00DD03E3" w:rsidRDefault="00DD03E3" w:rsidP="002B1283">
      <w:pPr>
        <w:rPr>
          <w:rFonts w:ascii="Arial Black" w:hAnsi="Arial Black"/>
          <w:b/>
          <w:sz w:val="24"/>
          <w:szCs w:val="24"/>
        </w:rPr>
      </w:pPr>
    </w:p>
    <w:p w14:paraId="27619CAE" w14:textId="77777777" w:rsidR="00DD03E3" w:rsidRDefault="00DD03E3" w:rsidP="002B1283">
      <w:pPr>
        <w:rPr>
          <w:rFonts w:ascii="Arial Black" w:hAnsi="Arial Black"/>
          <w:b/>
          <w:sz w:val="24"/>
          <w:szCs w:val="24"/>
        </w:rPr>
      </w:pPr>
    </w:p>
    <w:p w14:paraId="1A95CE6C" w14:textId="77777777" w:rsidR="00DD03E3" w:rsidRDefault="00DD03E3" w:rsidP="002B1283">
      <w:pPr>
        <w:rPr>
          <w:rFonts w:ascii="Arial Black" w:hAnsi="Arial Black"/>
          <w:b/>
          <w:sz w:val="24"/>
          <w:szCs w:val="24"/>
        </w:rPr>
      </w:pPr>
    </w:p>
    <w:p w14:paraId="008056E8" w14:textId="66C47A54" w:rsidR="006B2083" w:rsidRDefault="006B2083" w:rsidP="002B1283">
      <w:pPr>
        <w:rPr>
          <w:rFonts w:ascii="Arial Black" w:hAnsi="Arial Black"/>
          <w:b/>
          <w:sz w:val="24"/>
          <w:szCs w:val="24"/>
        </w:rPr>
      </w:pPr>
      <w:r>
        <w:rPr>
          <w:rFonts w:ascii="Arial Black" w:hAnsi="Arial Black"/>
          <w:b/>
          <w:sz w:val="24"/>
          <w:szCs w:val="24"/>
        </w:rPr>
        <w:t>7-2</w:t>
      </w:r>
      <w:r w:rsidR="001A653A">
        <w:rPr>
          <w:rFonts w:ascii="Arial Black" w:hAnsi="Arial Black"/>
          <w:b/>
          <w:sz w:val="24"/>
          <w:szCs w:val="24"/>
        </w:rPr>
        <w:t>4</w:t>
      </w:r>
    </w:p>
    <w:p w14:paraId="4D84FD34" w14:textId="77777777" w:rsidR="006B2083" w:rsidRDefault="006B2083" w:rsidP="006B2083">
      <w:pPr>
        <w:pStyle w:val="NoSpacing"/>
        <w:rPr>
          <w:rFonts w:ascii="Arial Black" w:hAnsi="Arial Black"/>
          <w:sz w:val="28"/>
          <w:szCs w:val="28"/>
        </w:rPr>
      </w:pPr>
      <w:r w:rsidRPr="00A5652A">
        <w:rPr>
          <w:rFonts w:ascii="Arial Black" w:hAnsi="Arial Black"/>
          <w:sz w:val="28"/>
          <w:szCs w:val="28"/>
        </w:rPr>
        <w:t xml:space="preserve">NY: </w:t>
      </w:r>
      <w:r>
        <w:rPr>
          <w:rFonts w:ascii="Arial Black" w:hAnsi="Arial Black"/>
          <w:sz w:val="28"/>
          <w:szCs w:val="28"/>
        </w:rPr>
        <w:t xml:space="preserve"> FEMALE FF ON RUN – MALE FF MASTERBATED INTO PANTS SHE HAD LEFT AT STATION – NO PAY AWAITING ARBITRATION</w:t>
      </w:r>
    </w:p>
    <w:p w14:paraId="01F287BD" w14:textId="77777777" w:rsidR="006B2083" w:rsidRDefault="006B2083" w:rsidP="006B2083">
      <w:pPr>
        <w:pStyle w:val="NoSpacing"/>
        <w:ind w:left="720"/>
        <w:rPr>
          <w:rFonts w:ascii="Arial Black" w:hAnsi="Arial Black"/>
          <w:sz w:val="28"/>
          <w:szCs w:val="28"/>
        </w:rPr>
      </w:pPr>
    </w:p>
    <w:p w14:paraId="504E1AF3" w14:textId="77777777" w:rsidR="006B2083" w:rsidRPr="00E16775" w:rsidRDefault="006B2083" w:rsidP="006B2083">
      <w:pPr>
        <w:pStyle w:val="NoSpacing"/>
        <w:rPr>
          <w:rFonts w:ascii="Times New Roman" w:hAnsi="Times New Roman"/>
          <w:sz w:val="24"/>
          <w:szCs w:val="24"/>
        </w:rPr>
      </w:pPr>
      <w:r w:rsidRPr="00BE7A38">
        <w:rPr>
          <w:rFonts w:ascii="Times New Roman" w:hAnsi="Times New Roman"/>
          <w:sz w:val="24"/>
          <w:szCs w:val="24"/>
        </w:rPr>
        <w:t xml:space="preserve">On July 17, 2020, in the case </w:t>
      </w:r>
      <w:r w:rsidRPr="00BE7A38">
        <w:rPr>
          <w:rFonts w:ascii="Times New Roman" w:hAnsi="Times New Roman"/>
          <w:sz w:val="24"/>
          <w:szCs w:val="24"/>
          <w:u w:val="single"/>
        </w:rPr>
        <w:t>In The Matter Of Thomas Cacone v. City of Utica</w:t>
      </w:r>
      <w:r w:rsidRPr="00BE7A38">
        <w:rPr>
          <w:rFonts w:ascii="Times New Roman" w:hAnsi="Times New Roman"/>
          <w:sz w:val="24"/>
          <w:szCs w:val="24"/>
        </w:rPr>
        <w:t xml:space="preserve">, </w:t>
      </w:r>
      <w:r>
        <w:rPr>
          <w:rFonts w:ascii="Times New Roman" w:hAnsi="Times New Roman"/>
          <w:sz w:val="24"/>
          <w:szCs w:val="24"/>
        </w:rPr>
        <w:t xml:space="preserve">the Supreme Court of State of New York, Appellate Division, Judicial Department, held  (5 to 0) that trial court improperly ordered the FD to put the firefighter on paid leave awaiting the arbitration more than 30 days; the arbitration was delayed because the firefighter sought disciplinary records of another firefighter who apparently did similar misconduct. Court wrote: </w:t>
      </w:r>
      <w:r w:rsidRPr="00B67C49">
        <w:rPr>
          <w:rFonts w:ascii="Times New Roman" w:hAnsi="Times New Roman"/>
          <w:sz w:val="24"/>
          <w:szCs w:val="24"/>
        </w:rPr>
        <w:t xml:space="preserve">We agree with respondents that petitioner is not entitled to reinstatement or back pay because petitioner was solely responsible for the </w:t>
      </w:r>
      <w:proofErr w:type="gramStart"/>
      <w:r w:rsidRPr="00B67C49">
        <w:rPr>
          <w:rFonts w:ascii="Times New Roman" w:hAnsi="Times New Roman"/>
          <w:sz w:val="24"/>
          <w:szCs w:val="24"/>
        </w:rPr>
        <w:t>delay.</w:t>
      </w:r>
      <w:r>
        <w:rPr>
          <w:rFonts w:ascii="Times New Roman" w:hAnsi="Times New Roman"/>
          <w:sz w:val="24"/>
          <w:szCs w:val="24"/>
        </w:rPr>
        <w:t>”</w:t>
      </w:r>
      <w:proofErr w:type="gramEnd"/>
      <w:r>
        <w:rPr>
          <w:rFonts w:ascii="Times New Roman" w:hAnsi="Times New Roman"/>
          <w:sz w:val="24"/>
          <w:szCs w:val="24"/>
        </w:rPr>
        <w:t xml:space="preserve"> </w:t>
      </w:r>
      <w:hyperlink r:id="rId1422" w:history="1">
        <w:r w:rsidRPr="00E16775">
          <w:rPr>
            <w:rStyle w:val="Hyperlink"/>
            <w:rFonts w:ascii="Times New Roman" w:hAnsi="Times New Roman"/>
            <w:sz w:val="24"/>
            <w:szCs w:val="24"/>
          </w:rPr>
          <w:t>https://public.fastcase.com/Wl%2B2t%2BeVuI35%2FN70vAMFZvXmXpQwu2GjLh16DzgzKzYNu%2FX9mokAK5AXod7BJ9cF</w:t>
        </w:r>
      </w:hyperlink>
      <w:r w:rsidRPr="00E16775">
        <w:rPr>
          <w:rFonts w:ascii="Times New Roman" w:hAnsi="Times New Roman"/>
          <w:sz w:val="24"/>
          <w:szCs w:val="24"/>
        </w:rPr>
        <w:t xml:space="preserve"> </w:t>
      </w:r>
    </w:p>
    <w:p w14:paraId="558F0B1C" w14:textId="77777777" w:rsidR="006B2083" w:rsidRDefault="006B2083" w:rsidP="006B2083">
      <w:pPr>
        <w:pStyle w:val="NoSpacing"/>
        <w:rPr>
          <w:rFonts w:ascii="Times New Roman" w:hAnsi="Times New Roman"/>
          <w:b/>
          <w:bCs/>
          <w:sz w:val="24"/>
          <w:szCs w:val="24"/>
        </w:rPr>
      </w:pPr>
    </w:p>
    <w:p w14:paraId="079B92F7" w14:textId="0E3D0254" w:rsidR="006B2083" w:rsidRDefault="006B2083" w:rsidP="006B2083">
      <w:pPr>
        <w:pStyle w:val="NoSpacing"/>
        <w:rPr>
          <w:rFonts w:ascii="Times New Roman" w:hAnsi="Times New Roman"/>
          <w:b/>
          <w:bCs/>
          <w:sz w:val="24"/>
          <w:szCs w:val="24"/>
        </w:rPr>
      </w:pPr>
      <w:r w:rsidRPr="00BE7A38">
        <w:rPr>
          <w:rFonts w:ascii="Times New Roman" w:hAnsi="Times New Roman"/>
          <w:b/>
          <w:bCs/>
          <w:sz w:val="24"/>
          <w:szCs w:val="24"/>
        </w:rPr>
        <w:t xml:space="preserve">Legal Lessons Learned: </w:t>
      </w:r>
      <w:r>
        <w:rPr>
          <w:rFonts w:ascii="Times New Roman" w:hAnsi="Times New Roman"/>
          <w:b/>
          <w:bCs/>
          <w:sz w:val="24"/>
          <w:szCs w:val="24"/>
        </w:rPr>
        <w:t>The conduct described is totally unacceptable.</w:t>
      </w:r>
    </w:p>
    <w:p w14:paraId="13DFB125" w14:textId="77777777" w:rsidR="006B2083" w:rsidRDefault="006B2083" w:rsidP="002B1283">
      <w:pPr>
        <w:rPr>
          <w:rFonts w:ascii="Arial Black" w:hAnsi="Arial Black"/>
          <w:b/>
          <w:sz w:val="24"/>
          <w:szCs w:val="24"/>
        </w:rPr>
      </w:pPr>
    </w:p>
    <w:p w14:paraId="528AC539" w14:textId="72825A95" w:rsidR="006B2083" w:rsidRPr="001A653A" w:rsidRDefault="001A653A" w:rsidP="002B1283">
      <w:pPr>
        <w:rPr>
          <w:rFonts w:ascii="Times New Roman" w:hAnsi="Times New Roman"/>
          <w:bCs/>
          <w:sz w:val="24"/>
          <w:szCs w:val="24"/>
        </w:rPr>
      </w:pPr>
      <w:r>
        <w:rPr>
          <w:rFonts w:ascii="Arial Black" w:hAnsi="Arial Black"/>
          <w:b/>
          <w:sz w:val="24"/>
          <w:szCs w:val="24"/>
        </w:rPr>
        <w:t xml:space="preserve">7-23 </w:t>
      </w:r>
      <w:r w:rsidRPr="001A653A">
        <w:rPr>
          <w:rFonts w:ascii="Times New Roman" w:hAnsi="Times New Roman"/>
          <w:bCs/>
          <w:sz w:val="24"/>
          <w:szCs w:val="24"/>
        </w:rPr>
        <w:t xml:space="preserve">[also filed, Chap. 16] </w:t>
      </w:r>
    </w:p>
    <w:p w14:paraId="089C12D3" w14:textId="77777777" w:rsidR="001A653A" w:rsidRDefault="001A653A" w:rsidP="001A653A">
      <w:pPr>
        <w:pStyle w:val="NoSpacing"/>
        <w:rPr>
          <w:rFonts w:ascii="Arial Black" w:hAnsi="Arial Black"/>
          <w:sz w:val="28"/>
          <w:szCs w:val="28"/>
        </w:rPr>
      </w:pPr>
      <w:r w:rsidRPr="007B1E77">
        <w:rPr>
          <w:rFonts w:ascii="Arial Black" w:hAnsi="Arial Black"/>
          <w:sz w:val="28"/>
          <w:szCs w:val="28"/>
        </w:rPr>
        <w:t xml:space="preserve">KY: </w:t>
      </w:r>
      <w:r>
        <w:rPr>
          <w:rFonts w:ascii="Arial Black" w:hAnsi="Arial Black"/>
          <w:sz w:val="28"/>
          <w:szCs w:val="28"/>
        </w:rPr>
        <w:t>FF MET 17-YEAR-OLD AT FIRE STATION – CONVICTED HAVING SEX WITH MINOR - TOOK VIDEOS AND PHOTOS</w:t>
      </w:r>
    </w:p>
    <w:p w14:paraId="668AD7EE" w14:textId="77777777" w:rsidR="001A653A" w:rsidRDefault="001A653A" w:rsidP="001A653A">
      <w:pPr>
        <w:pStyle w:val="NoSpacing"/>
        <w:rPr>
          <w:rFonts w:ascii="Times New Roman" w:hAnsi="Times New Roman"/>
          <w:sz w:val="24"/>
          <w:szCs w:val="24"/>
        </w:rPr>
      </w:pPr>
      <w:r w:rsidRPr="007B1E77">
        <w:rPr>
          <w:rFonts w:ascii="Times New Roman" w:hAnsi="Times New Roman"/>
          <w:sz w:val="24"/>
          <w:szCs w:val="24"/>
        </w:rPr>
        <w:t xml:space="preserve">On July 7, 2020, in </w:t>
      </w:r>
      <w:r w:rsidRPr="007B1E77">
        <w:rPr>
          <w:rFonts w:ascii="Times New Roman" w:hAnsi="Times New Roman"/>
          <w:sz w:val="24"/>
          <w:szCs w:val="24"/>
          <w:u w:val="single"/>
        </w:rPr>
        <w:t>United States of America v. William Michael Fields</w:t>
      </w:r>
      <w:r w:rsidRPr="007B1E77">
        <w:rPr>
          <w:rFonts w:ascii="Times New Roman" w:hAnsi="Times New Roman"/>
          <w:sz w:val="24"/>
          <w:szCs w:val="24"/>
        </w:rPr>
        <w:t xml:space="preserve">, </w:t>
      </w:r>
      <w:r>
        <w:rPr>
          <w:rFonts w:ascii="Times New Roman" w:hAnsi="Times New Roman"/>
          <w:sz w:val="24"/>
          <w:szCs w:val="24"/>
        </w:rPr>
        <w:t xml:space="preserve">U.S. District Court Chief Judge Danny C. Reeves, Eastern District of Kentucky, denied the defendant’s motion for judgment of acquittal, or a new trial. The Court wrote: </w:t>
      </w:r>
      <w:r w:rsidRPr="007B1E77">
        <w:rPr>
          <w:rFonts w:ascii="Times New Roman" w:hAnsi="Times New Roman"/>
          <w:sz w:val="24"/>
          <w:szCs w:val="24"/>
        </w:rPr>
        <w:t xml:space="preserve">“Based on the foregoing, there was ample evidence from which the jury could have concluded that, on March 17 and 23, 2019, Fields employed, used, persuaded, induced, or coerced the minor victim to engage in </w:t>
      </w:r>
    </w:p>
    <w:p w14:paraId="778AB6E6" w14:textId="77777777" w:rsidR="001A653A" w:rsidRDefault="001A653A" w:rsidP="001A653A">
      <w:pPr>
        <w:pStyle w:val="NoSpacing"/>
        <w:rPr>
          <w:rFonts w:ascii="Times New Roman" w:hAnsi="Times New Roman"/>
          <w:sz w:val="24"/>
          <w:szCs w:val="24"/>
        </w:rPr>
      </w:pPr>
    </w:p>
    <w:p w14:paraId="1F9795E9" w14:textId="77777777" w:rsidR="001A653A" w:rsidRDefault="001A653A" w:rsidP="001A653A">
      <w:pPr>
        <w:pStyle w:val="NoSpacing"/>
        <w:rPr>
          <w:rFonts w:ascii="Times New Roman" w:hAnsi="Times New Roman"/>
          <w:sz w:val="24"/>
          <w:szCs w:val="24"/>
        </w:rPr>
      </w:pPr>
      <w:r w:rsidRPr="007B1E77">
        <w:rPr>
          <w:rFonts w:ascii="Times New Roman" w:hAnsi="Times New Roman"/>
          <w:sz w:val="24"/>
          <w:szCs w:val="24"/>
        </w:rPr>
        <w:t>sexually explicit conduct for the purpose of producing a visual depiction of that conduct and that the visual depiction was produced or transmitted using materials that were mailed, shipped, or transported in or affecting interstate commerce by any means, including computer.</w:t>
      </w:r>
      <w:r>
        <w:rPr>
          <w:rFonts w:ascii="Times New Roman" w:hAnsi="Times New Roman"/>
          <w:sz w:val="24"/>
          <w:szCs w:val="24"/>
        </w:rPr>
        <w:t xml:space="preserve">” </w:t>
      </w:r>
      <w:hyperlink r:id="rId1423" w:history="1">
        <w:r w:rsidRPr="00FE7BCF">
          <w:rPr>
            <w:rStyle w:val="Hyperlink"/>
            <w:rFonts w:ascii="Times New Roman" w:hAnsi="Times New Roman"/>
            <w:sz w:val="24"/>
            <w:szCs w:val="24"/>
          </w:rPr>
          <w:t>https://casetext.com/case/united-states-v-fields-198</w:t>
        </w:r>
      </w:hyperlink>
      <w:r>
        <w:rPr>
          <w:rFonts w:ascii="Times New Roman" w:hAnsi="Times New Roman"/>
          <w:sz w:val="24"/>
          <w:szCs w:val="24"/>
        </w:rPr>
        <w:t xml:space="preserve"> </w:t>
      </w:r>
    </w:p>
    <w:p w14:paraId="155EC4F8" w14:textId="77777777" w:rsidR="001A653A" w:rsidRDefault="001A653A" w:rsidP="001A653A">
      <w:pPr>
        <w:pStyle w:val="NoSpacing"/>
        <w:rPr>
          <w:rFonts w:ascii="Arial Black" w:hAnsi="Arial Black"/>
          <w:sz w:val="24"/>
          <w:szCs w:val="24"/>
        </w:rPr>
      </w:pPr>
    </w:p>
    <w:p w14:paraId="6FB70FD8" w14:textId="77777777" w:rsidR="001A653A" w:rsidRDefault="001A653A" w:rsidP="001A653A">
      <w:pPr>
        <w:pStyle w:val="NoSpacing"/>
        <w:tabs>
          <w:tab w:val="left" w:pos="2780"/>
        </w:tabs>
        <w:rPr>
          <w:rFonts w:ascii="Times New Roman" w:hAnsi="Times New Roman"/>
          <w:b/>
          <w:bCs/>
          <w:sz w:val="24"/>
          <w:szCs w:val="24"/>
        </w:rPr>
      </w:pPr>
      <w:r w:rsidRPr="00602C23">
        <w:rPr>
          <w:rFonts w:ascii="Times New Roman" w:hAnsi="Times New Roman"/>
          <w:b/>
          <w:bCs/>
          <w:sz w:val="24"/>
          <w:szCs w:val="24"/>
        </w:rPr>
        <w:t>Legal Lesson Learned</w:t>
      </w:r>
      <w:r>
        <w:rPr>
          <w:rFonts w:ascii="Times New Roman" w:hAnsi="Times New Roman"/>
          <w:b/>
          <w:bCs/>
          <w:sz w:val="24"/>
          <w:szCs w:val="24"/>
        </w:rPr>
        <w:t xml:space="preserve">: A firefighter having sex with a minor can be convicted of a federal offense if a video or photos is posted on Internet. </w:t>
      </w:r>
    </w:p>
    <w:p w14:paraId="753836D2" w14:textId="77777777" w:rsidR="001A653A" w:rsidRDefault="001A653A" w:rsidP="002B1283">
      <w:pPr>
        <w:rPr>
          <w:rFonts w:ascii="Arial Black" w:hAnsi="Arial Black"/>
          <w:b/>
          <w:sz w:val="24"/>
          <w:szCs w:val="24"/>
        </w:rPr>
      </w:pPr>
    </w:p>
    <w:p w14:paraId="1B5FACB6" w14:textId="5692A32C" w:rsidR="007105B3" w:rsidRDefault="007105B3" w:rsidP="002B1283">
      <w:pPr>
        <w:rPr>
          <w:rFonts w:ascii="Arial Black" w:hAnsi="Arial Black"/>
          <w:b/>
          <w:sz w:val="24"/>
          <w:szCs w:val="24"/>
        </w:rPr>
      </w:pPr>
      <w:r>
        <w:rPr>
          <w:rFonts w:ascii="Arial Black" w:hAnsi="Arial Black"/>
          <w:b/>
          <w:sz w:val="24"/>
          <w:szCs w:val="24"/>
        </w:rPr>
        <w:t>7-22</w:t>
      </w:r>
    </w:p>
    <w:p w14:paraId="6539743E" w14:textId="77777777" w:rsidR="007105B3" w:rsidRPr="00A71A05" w:rsidRDefault="007105B3" w:rsidP="007105B3">
      <w:pPr>
        <w:spacing w:before="100" w:beforeAutospacing="1" w:after="100" w:afterAutospacing="1" w:line="240" w:lineRule="auto"/>
        <w:rPr>
          <w:rFonts w:ascii="Arial Black" w:hAnsi="Arial Black"/>
          <w:sz w:val="28"/>
          <w:szCs w:val="28"/>
        </w:rPr>
      </w:pPr>
      <w:r w:rsidRPr="00A71A05">
        <w:rPr>
          <w:rFonts w:ascii="Arial Black" w:hAnsi="Arial Black"/>
          <w:sz w:val="28"/>
          <w:szCs w:val="28"/>
        </w:rPr>
        <w:t xml:space="preserve">U.S. SUPREME COURT: </w:t>
      </w:r>
      <w:r>
        <w:rPr>
          <w:rFonts w:ascii="Arial Black" w:hAnsi="Arial Black"/>
          <w:sz w:val="28"/>
          <w:szCs w:val="28"/>
        </w:rPr>
        <w:t xml:space="preserve">HOMESEXUAL AND TRANSGENDER EMPLOYEES COVERED BY TITLE VII </w:t>
      </w:r>
    </w:p>
    <w:p w14:paraId="682D6D86" w14:textId="77777777" w:rsidR="007105B3" w:rsidRDefault="007105B3" w:rsidP="007105B3">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15, 2020, in </w:t>
      </w:r>
      <w:r w:rsidRPr="00A71A05">
        <w:rPr>
          <w:rFonts w:ascii="Times New Roman" w:hAnsi="Times New Roman"/>
          <w:sz w:val="24"/>
          <w:szCs w:val="24"/>
          <w:u w:val="single"/>
        </w:rPr>
        <w:t>Gerald Lynn Bostoc v. Clayton County, Georgia</w:t>
      </w:r>
      <w:r>
        <w:rPr>
          <w:rFonts w:ascii="Times New Roman" w:hAnsi="Times New Roman"/>
          <w:sz w:val="24"/>
          <w:szCs w:val="24"/>
        </w:rPr>
        <w:t>, (plus two other combined cases), held (6 to 3) that an employer cannot fire or otherwise discriminate against someone simply for being a homosexual or transgender.  Justice Neil Gorsuch wrote: “</w:t>
      </w:r>
      <w:r w:rsidRPr="00572796">
        <w:rPr>
          <w:rFonts w:ascii="Times New Roman" w:hAnsi="Times New Roman"/>
          <w:sz w:val="24"/>
          <w:szCs w:val="24"/>
        </w:rPr>
        <w:t xml:space="preserve">Sometimes small gestures can have unexpected consequences. Major initiatives practically guarantee them. In our time, few pieces of federal legislation rank in significance with the Civil Rights Act of 1964. There, in Title VII, Congress outlawed discrimination in the workplace </w:t>
      </w:r>
      <w:proofErr w:type="gramStart"/>
      <w:r w:rsidRPr="00572796">
        <w:rPr>
          <w:rFonts w:ascii="Times New Roman" w:hAnsi="Times New Roman"/>
          <w:sz w:val="24"/>
          <w:szCs w:val="24"/>
        </w:rPr>
        <w:t>on the</w:t>
      </w:r>
      <w:r>
        <w:rPr>
          <w:rFonts w:ascii="Times New Roman" w:hAnsi="Times New Roman"/>
          <w:sz w:val="24"/>
          <w:szCs w:val="24"/>
        </w:rPr>
        <w:t xml:space="preserve"> </w:t>
      </w:r>
      <w:r w:rsidRPr="00572796">
        <w:rPr>
          <w:rFonts w:ascii="Times New Roman" w:hAnsi="Times New Roman"/>
          <w:sz w:val="24"/>
          <w:szCs w:val="24"/>
        </w:rPr>
        <w:t>basis of</w:t>
      </w:r>
      <w:proofErr w:type="gramEnd"/>
      <w:r w:rsidRPr="00572796">
        <w:rPr>
          <w:rFonts w:ascii="Times New Roman" w:hAnsi="Times New Roman"/>
          <w:sz w:val="24"/>
          <w:szCs w:val="24"/>
        </w:rPr>
        <w:t xml:space="preserve"> race, color, religion, sex, or national origin. Today,</w:t>
      </w:r>
      <w:r>
        <w:rPr>
          <w:rFonts w:ascii="Times New Roman" w:hAnsi="Times New Roman"/>
          <w:sz w:val="24"/>
          <w:szCs w:val="24"/>
        </w:rPr>
        <w:t xml:space="preserve"> </w:t>
      </w:r>
      <w:r w:rsidRPr="00572796">
        <w:rPr>
          <w:rFonts w:ascii="Times New Roman" w:hAnsi="Times New Roman"/>
          <w:sz w:val="24"/>
          <w:szCs w:val="24"/>
        </w:rPr>
        <w:t>we must decide whether an employer can fire someone</w:t>
      </w:r>
      <w:r>
        <w:rPr>
          <w:rFonts w:ascii="Times New Roman" w:hAnsi="Times New Roman"/>
          <w:sz w:val="24"/>
          <w:szCs w:val="24"/>
        </w:rPr>
        <w:t xml:space="preserve"> </w:t>
      </w:r>
      <w:r w:rsidRPr="00572796">
        <w:rPr>
          <w:rFonts w:ascii="Times New Roman" w:hAnsi="Times New Roman"/>
          <w:sz w:val="24"/>
          <w:szCs w:val="24"/>
        </w:rPr>
        <w:t>simply for being homosexual or transgender. The answer is clear. An employer who fires an individual for being homosexual or transgender fires that person for traits or actions it would not have questioned in members of a different sex. Sex plays a necessary and undisguisable role in the decision, exactly what Title VII forbids.</w:t>
      </w:r>
      <w:r>
        <w:rPr>
          <w:rFonts w:ascii="Times New Roman" w:hAnsi="Times New Roman"/>
          <w:sz w:val="24"/>
          <w:szCs w:val="24"/>
        </w:rPr>
        <w:t xml:space="preserve">” </w:t>
      </w:r>
      <w:hyperlink r:id="rId1424" w:history="1">
        <w:r w:rsidRPr="0037669D">
          <w:rPr>
            <w:rStyle w:val="Hyperlink"/>
            <w:rFonts w:ascii="Times New Roman" w:hAnsi="Times New Roman"/>
            <w:sz w:val="24"/>
            <w:szCs w:val="24"/>
          </w:rPr>
          <w:t>https://www.supremecourt.gov/opinions/19pdf/17-1618_hfci.pdf</w:t>
        </w:r>
      </w:hyperlink>
      <w:r>
        <w:rPr>
          <w:rFonts w:ascii="Times New Roman" w:hAnsi="Times New Roman"/>
          <w:sz w:val="24"/>
          <w:szCs w:val="24"/>
        </w:rPr>
        <w:t xml:space="preserve"> </w:t>
      </w:r>
    </w:p>
    <w:p w14:paraId="22C3E0B3" w14:textId="77777777" w:rsidR="007105B3" w:rsidRDefault="007105B3" w:rsidP="007105B3">
      <w:pPr>
        <w:pStyle w:val="NoSpacing"/>
        <w:rPr>
          <w:rFonts w:ascii="Times New Roman" w:hAnsi="Times New Roman"/>
          <w:b/>
          <w:bCs/>
          <w:sz w:val="24"/>
          <w:szCs w:val="24"/>
        </w:rPr>
      </w:pPr>
      <w:r w:rsidRPr="002A3AF8">
        <w:rPr>
          <w:rFonts w:ascii="Times New Roman" w:hAnsi="Times New Roman"/>
          <w:b/>
          <w:bCs/>
          <w:sz w:val="24"/>
          <w:szCs w:val="24"/>
        </w:rPr>
        <w:t>Legal Lessons Learned:</w:t>
      </w:r>
      <w:r>
        <w:rPr>
          <w:rFonts w:ascii="Times New Roman" w:hAnsi="Times New Roman"/>
          <w:b/>
          <w:bCs/>
          <w:sz w:val="24"/>
          <w:szCs w:val="24"/>
        </w:rPr>
        <w:t xml:space="preserve"> This is a “landmark” decision.  Fire &amp; EMS Departments should review their non-discrimination policies to include sexual orientation and gender identity. </w:t>
      </w:r>
    </w:p>
    <w:p w14:paraId="4F8FF5F0" w14:textId="77777777" w:rsidR="007105B3" w:rsidRDefault="007105B3" w:rsidP="007105B3">
      <w:pPr>
        <w:rPr>
          <w:rFonts w:ascii="Arial Black" w:hAnsi="Arial Black"/>
          <w:sz w:val="27"/>
          <w:szCs w:val="27"/>
        </w:rPr>
      </w:pPr>
    </w:p>
    <w:p w14:paraId="063CD165" w14:textId="2F73E14B" w:rsidR="006744D3" w:rsidRDefault="006744D3" w:rsidP="002B1283">
      <w:pPr>
        <w:rPr>
          <w:rFonts w:ascii="Arial Black" w:hAnsi="Arial Black"/>
          <w:b/>
          <w:sz w:val="24"/>
          <w:szCs w:val="24"/>
        </w:rPr>
      </w:pPr>
      <w:r>
        <w:rPr>
          <w:rFonts w:ascii="Arial Black" w:hAnsi="Arial Black"/>
          <w:b/>
          <w:sz w:val="24"/>
          <w:szCs w:val="24"/>
        </w:rPr>
        <w:t>7-21</w:t>
      </w:r>
    </w:p>
    <w:p w14:paraId="48277EC7" w14:textId="77777777" w:rsidR="006744D3" w:rsidRDefault="006744D3" w:rsidP="006744D3">
      <w:pPr>
        <w:spacing w:before="100" w:beforeAutospacing="1" w:after="100" w:afterAutospacing="1" w:line="240" w:lineRule="auto"/>
        <w:rPr>
          <w:rFonts w:ascii="Arial Black" w:eastAsia="Times New Roman" w:hAnsi="Arial Black"/>
          <w:sz w:val="28"/>
          <w:szCs w:val="28"/>
        </w:rPr>
      </w:pPr>
      <w:r w:rsidRPr="00DC60E5">
        <w:rPr>
          <w:rFonts w:ascii="Arial Black" w:eastAsia="Times New Roman" w:hAnsi="Arial Black"/>
          <w:sz w:val="28"/>
          <w:szCs w:val="28"/>
        </w:rPr>
        <w:t xml:space="preserve">TX: </w:t>
      </w:r>
      <w:r>
        <w:rPr>
          <w:rFonts w:ascii="Arial Black" w:eastAsia="Times New Roman" w:hAnsi="Arial Black"/>
          <w:sz w:val="28"/>
          <w:szCs w:val="28"/>
        </w:rPr>
        <w:t>HOUSTON FD – U.S. DEPT. JUSTICE LAWSUIT – MALES URINATING WALLS, FLOORS, SINKS WOMENS’ BATHROOM – COLD WATER SHOWERS DISCONNECTED / SPEAKERS</w:t>
      </w:r>
    </w:p>
    <w:p w14:paraId="2E377475" w14:textId="77777777" w:rsidR="006744D3" w:rsidRDefault="006744D3" w:rsidP="006744D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May 15, 2020, </w:t>
      </w:r>
      <w:r w:rsidRPr="00626E79">
        <w:rPr>
          <w:rFonts w:ascii="Times New Roman" w:eastAsia="Times New Roman" w:hAnsi="Times New Roman"/>
          <w:sz w:val="24"/>
          <w:szCs w:val="24"/>
          <w:u w:val="single"/>
        </w:rPr>
        <w:t xml:space="preserve">in United States of America, Jane </w:t>
      </w:r>
      <w:proofErr w:type="spellStart"/>
      <w:r w:rsidRPr="00626E79">
        <w:rPr>
          <w:rFonts w:ascii="Times New Roman" w:eastAsia="Times New Roman" w:hAnsi="Times New Roman"/>
          <w:sz w:val="24"/>
          <w:szCs w:val="24"/>
          <w:u w:val="single"/>
        </w:rPr>
        <w:t>Draycott</w:t>
      </w:r>
      <w:proofErr w:type="spellEnd"/>
      <w:r w:rsidRPr="00626E79">
        <w:rPr>
          <w:rFonts w:ascii="Times New Roman" w:eastAsia="Times New Roman" w:hAnsi="Times New Roman"/>
          <w:sz w:val="24"/>
          <w:szCs w:val="24"/>
          <w:u w:val="single"/>
        </w:rPr>
        <w:t xml:space="preserve"> and Paula Keyes v. The City of Houston, Texas</w:t>
      </w:r>
      <w:r>
        <w:rPr>
          <w:rFonts w:ascii="Times New Roman" w:eastAsia="Times New Roman" w:hAnsi="Times New Roman"/>
          <w:sz w:val="24"/>
          <w:szCs w:val="24"/>
        </w:rPr>
        <w:t xml:space="preserve">, Senior U.S. District Judge Sim Lake, Southern District of Texas (Houston Division) issued a lengthy opinion denying the City’s motion to dismiss case.  U.S. Department of Justice Press Release of Feb. 28, </w:t>
      </w:r>
      <w:proofErr w:type="gramStart"/>
      <w:r>
        <w:rPr>
          <w:rFonts w:ascii="Times New Roman" w:eastAsia="Times New Roman" w:hAnsi="Times New Roman"/>
          <w:sz w:val="24"/>
          <w:szCs w:val="24"/>
        </w:rPr>
        <w:t>2018</w:t>
      </w:r>
      <w:proofErr w:type="gramEnd"/>
      <w:r>
        <w:rPr>
          <w:rFonts w:ascii="Times New Roman" w:eastAsia="Times New Roman" w:hAnsi="Times New Roman"/>
          <w:sz w:val="24"/>
          <w:szCs w:val="24"/>
        </w:rPr>
        <w:t xml:space="preserve"> is eye opening. “</w:t>
      </w:r>
      <w:r w:rsidRPr="009C6CB0">
        <w:rPr>
          <w:rFonts w:ascii="Times New Roman" w:hAnsi="Times New Roman"/>
          <w:sz w:val="24"/>
          <w:szCs w:val="24"/>
        </w:rPr>
        <w:t xml:space="preserve">The lawsuit, filed in the Southern District of Texas, alleges that Jane </w:t>
      </w:r>
      <w:proofErr w:type="spellStart"/>
      <w:r w:rsidRPr="009C6CB0">
        <w:rPr>
          <w:rFonts w:ascii="Times New Roman" w:hAnsi="Times New Roman"/>
          <w:sz w:val="24"/>
          <w:szCs w:val="24"/>
        </w:rPr>
        <w:t>Draycott</w:t>
      </w:r>
      <w:proofErr w:type="spellEnd"/>
      <w:r w:rsidRPr="009C6CB0">
        <w:rPr>
          <w:rFonts w:ascii="Times New Roman" w:hAnsi="Times New Roman"/>
          <w:sz w:val="24"/>
          <w:szCs w:val="24"/>
        </w:rPr>
        <w:t xml:space="preserve"> and Paula Keyes were subjected to a hostile work environment based on sex when they were employed as firefighters at HFD’s Station 54.  According to the complaint, HFD’s hostile work environment included males urinating on the walls, floors and sinks of the women’s bathroom and dormitory, disconnecting the cold water to scald the women while they were showering, and deactivating the female dormitory’s announcement speakers so the women could not respond to emergency calls.  The complaint further alleges that the conduct culminated in death threats and vulgar slurs written on the walls of their work and living spaces at Station 54 and on their personal possessions.  This conduct continued despite at least nine complaints made to management, according to the allegations.”</w:t>
      </w:r>
      <w:r>
        <w:rPr>
          <w:rFonts w:ascii="Times New Roman" w:hAnsi="Times New Roman"/>
          <w:sz w:val="24"/>
          <w:szCs w:val="24"/>
        </w:rPr>
        <w:t xml:space="preserve"> </w:t>
      </w:r>
      <w:hyperlink r:id="rId1425" w:history="1">
        <w:r w:rsidRPr="00931365">
          <w:rPr>
            <w:rStyle w:val="Hyperlink"/>
            <w:sz w:val="24"/>
            <w:szCs w:val="24"/>
          </w:rPr>
          <w:t>https://www.justice.gov/opa/pr/justice-department-files-lawsuit-against-city-houston-sex-discrimination-and-retaliation</w:t>
        </w:r>
      </w:hyperlink>
      <w:r>
        <w:rPr>
          <w:rFonts w:ascii="Times New Roman" w:hAnsi="Times New Roman"/>
          <w:sz w:val="24"/>
          <w:szCs w:val="24"/>
        </w:rPr>
        <w:t xml:space="preserve"> </w:t>
      </w:r>
      <w:r>
        <w:rPr>
          <w:rFonts w:ascii="Times New Roman" w:eastAsia="Times New Roman" w:hAnsi="Times New Roman"/>
          <w:sz w:val="24"/>
          <w:szCs w:val="24"/>
        </w:rPr>
        <w:t xml:space="preserve"> [Jane </w:t>
      </w:r>
      <w:proofErr w:type="spellStart"/>
      <w:r>
        <w:rPr>
          <w:rFonts w:ascii="Times New Roman" w:eastAsia="Times New Roman" w:hAnsi="Times New Roman"/>
          <w:sz w:val="24"/>
          <w:szCs w:val="24"/>
        </w:rPr>
        <w:t>Draycott</w:t>
      </w:r>
      <w:proofErr w:type="spellEnd"/>
      <w:r>
        <w:rPr>
          <w:rFonts w:ascii="Times New Roman" w:eastAsia="Times New Roman" w:hAnsi="Times New Roman"/>
          <w:sz w:val="24"/>
          <w:szCs w:val="24"/>
        </w:rPr>
        <w:t xml:space="preserve"> later resigned from FD; Paula Keyes is now a Captain.] </w:t>
      </w:r>
      <w:hyperlink r:id="rId1426" w:history="1">
        <w:r w:rsidRPr="00931365">
          <w:rPr>
            <w:rStyle w:val="Hyperlink"/>
            <w:sz w:val="24"/>
            <w:szCs w:val="24"/>
          </w:rPr>
          <w:t>https://public.fastcase.com/Wl%2B2t%2BeVuI35%2FN70vAMFZkY2nPlYZ3wtvIBy3YjdhH4Hysc14LIFQvAQrJXSfUWa</w:t>
        </w:r>
      </w:hyperlink>
      <w:r>
        <w:rPr>
          <w:rFonts w:ascii="Times New Roman" w:eastAsia="Times New Roman" w:hAnsi="Times New Roman"/>
          <w:sz w:val="24"/>
          <w:szCs w:val="24"/>
        </w:rPr>
        <w:t xml:space="preserve"> </w:t>
      </w:r>
    </w:p>
    <w:p w14:paraId="11170939" w14:textId="77777777" w:rsidR="00FA7B26" w:rsidRPr="00542658" w:rsidRDefault="00FA7B26" w:rsidP="00FA7B26">
      <w:pPr>
        <w:rPr>
          <w:rFonts w:ascii="Times New Roman" w:hAnsi="Times New Roman"/>
          <w:b/>
          <w:bCs/>
          <w:sz w:val="24"/>
          <w:szCs w:val="24"/>
        </w:rPr>
      </w:pPr>
      <w:r w:rsidRPr="00542658">
        <w:rPr>
          <w:rFonts w:ascii="Times New Roman" w:hAnsi="Times New Roman"/>
          <w:b/>
          <w:bCs/>
          <w:sz w:val="24"/>
          <w:szCs w:val="24"/>
        </w:rPr>
        <w:t>Legal Lessons Learned:</w:t>
      </w:r>
      <w:r>
        <w:rPr>
          <w:rFonts w:ascii="Times New Roman" w:hAnsi="Times New Roman"/>
          <w:b/>
          <w:bCs/>
          <w:sz w:val="24"/>
          <w:szCs w:val="24"/>
        </w:rPr>
        <w:t xml:space="preserve"> Case is now scheduled for trial; serious allegations. </w:t>
      </w:r>
    </w:p>
    <w:p w14:paraId="7FD84642" w14:textId="77777777" w:rsidR="006744D3" w:rsidRDefault="006744D3" w:rsidP="002B1283">
      <w:pPr>
        <w:rPr>
          <w:rFonts w:ascii="Arial Black" w:hAnsi="Arial Black"/>
          <w:b/>
          <w:sz w:val="24"/>
          <w:szCs w:val="24"/>
        </w:rPr>
      </w:pPr>
    </w:p>
    <w:p w14:paraId="6AE2549F" w14:textId="3279A5BE" w:rsidR="002147DA" w:rsidRDefault="002147DA" w:rsidP="002B1283">
      <w:pPr>
        <w:rPr>
          <w:rFonts w:ascii="Arial Black" w:hAnsi="Arial Black"/>
          <w:b/>
          <w:sz w:val="24"/>
          <w:szCs w:val="24"/>
        </w:rPr>
      </w:pPr>
      <w:r>
        <w:rPr>
          <w:rFonts w:ascii="Arial Black" w:hAnsi="Arial Black"/>
          <w:b/>
          <w:sz w:val="24"/>
          <w:szCs w:val="24"/>
        </w:rPr>
        <w:t>7-20 [Also posted, Chap. 14]</w:t>
      </w:r>
    </w:p>
    <w:p w14:paraId="6CCFE8A7" w14:textId="77777777" w:rsidR="002147DA" w:rsidRDefault="002147DA" w:rsidP="002147DA">
      <w:pPr>
        <w:pStyle w:val="NoSpacing"/>
        <w:rPr>
          <w:rFonts w:ascii="Arial Black" w:hAnsi="Arial Black"/>
          <w:sz w:val="28"/>
          <w:szCs w:val="28"/>
        </w:rPr>
      </w:pPr>
      <w:bookmarkStart w:id="294" w:name="_Hlk39764591"/>
      <w:bookmarkStart w:id="295" w:name="_Hlk41155392"/>
      <w:r>
        <w:rPr>
          <w:rFonts w:ascii="Arial Black" w:hAnsi="Arial Black"/>
          <w:sz w:val="28"/>
          <w:szCs w:val="28"/>
        </w:rPr>
        <w:t xml:space="preserve">AL:  PREGNANT EMT – DENIED LIGHT DUTY – AMR CO. PROVIDES ONLY INJURED ON JOB - LAWSUIT REINSTATED </w:t>
      </w:r>
    </w:p>
    <w:p w14:paraId="7F1D3B63" w14:textId="77777777" w:rsidR="002147DA" w:rsidRDefault="002147DA" w:rsidP="002147DA">
      <w:pPr>
        <w:pStyle w:val="NoSpacing"/>
        <w:rPr>
          <w:b/>
          <w:bCs/>
          <w:sz w:val="24"/>
          <w:szCs w:val="24"/>
        </w:rPr>
      </w:pPr>
    </w:p>
    <w:p w14:paraId="1F7C3463"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Cs/>
          <w:sz w:val="24"/>
          <w:szCs w:val="24"/>
        </w:rPr>
        <w:t xml:space="preserve">On April 17, 2020, in </w:t>
      </w:r>
      <w:r w:rsidRPr="00AE3A49">
        <w:rPr>
          <w:rFonts w:ascii="Times New Roman" w:hAnsi="Times New Roman"/>
          <w:bCs/>
          <w:sz w:val="24"/>
          <w:szCs w:val="24"/>
          <w:u w:val="single"/>
        </w:rPr>
        <w:t>Kimberlie Michelle Durham v. Rural/Metro Corporation</w:t>
      </w:r>
      <w:r w:rsidRPr="00AE3A49">
        <w:rPr>
          <w:rFonts w:ascii="Times New Roman" w:hAnsi="Times New Roman"/>
          <w:bCs/>
          <w:sz w:val="24"/>
          <w:szCs w:val="24"/>
        </w:rPr>
        <w:t>, the U.S. Court of Appeals for the 11</w:t>
      </w:r>
      <w:r w:rsidRPr="00AE3A49">
        <w:rPr>
          <w:rFonts w:ascii="Times New Roman" w:hAnsi="Times New Roman"/>
          <w:bCs/>
          <w:sz w:val="24"/>
          <w:szCs w:val="24"/>
          <w:vertAlign w:val="superscript"/>
        </w:rPr>
        <w:t>th</w:t>
      </w:r>
      <w:r w:rsidRPr="00AE3A49">
        <w:rPr>
          <w:rFonts w:ascii="Times New Roman" w:hAnsi="Times New Roman"/>
          <w:bCs/>
          <w:sz w:val="24"/>
          <w:szCs w:val="24"/>
        </w:rPr>
        <w:t xml:space="preserve"> Circuit (Atlanta) held (3 to 0) that the U.S. District Court judge had improperly granted summary judgment to AMR.  </w:t>
      </w:r>
    </w:p>
    <w:p w14:paraId="41F2D2FF" w14:textId="77777777" w:rsidR="002147DA" w:rsidRDefault="002147DA" w:rsidP="002147DA">
      <w:pPr>
        <w:pStyle w:val="NoSpacing"/>
        <w:ind w:left="720"/>
        <w:rPr>
          <w:rFonts w:ascii="Times New Roman" w:hAnsi="Times New Roman"/>
          <w:bCs/>
          <w:sz w:val="24"/>
          <w:szCs w:val="24"/>
        </w:rPr>
      </w:pPr>
    </w:p>
    <w:p w14:paraId="1B956A10" w14:textId="77777777" w:rsidR="002147DA" w:rsidRPr="00AE3A49" w:rsidRDefault="002147DA" w:rsidP="002147DA">
      <w:pPr>
        <w:pStyle w:val="NoSpacing"/>
        <w:ind w:left="720"/>
        <w:rPr>
          <w:rFonts w:ascii="Times New Roman" w:hAnsi="Times New Roman"/>
          <w:sz w:val="24"/>
          <w:szCs w:val="24"/>
        </w:rPr>
      </w:pPr>
      <w:r w:rsidRPr="00AE3A49">
        <w:rPr>
          <w:rFonts w:ascii="Times New Roman" w:hAnsi="Times New Roman"/>
          <w:bCs/>
          <w:sz w:val="24"/>
          <w:szCs w:val="24"/>
        </w:rPr>
        <w:t>“We therefore vacate the grant of summary judgment. Neither a non-pregnant EMT who is limited to lifting 10 or 20 pounds nor a pregnant EMT who is restricted to lifting 50 pounds or less can lift the required 100 pounds to serve as an EMT. Since neither can meet the lifting requirement, they are the same in their ‘inability to work’ as an EMT. And that satisfies the plaintiff’s prima facie requirement to establish that she was ‘similar [to other employees] in their ability or inability to work.’</w:t>
      </w:r>
      <w:r w:rsidRPr="00AE3A49">
        <w:rPr>
          <w:rFonts w:ascii="Times New Roman" w:hAnsi="Times New Roman"/>
          <w:sz w:val="24"/>
          <w:szCs w:val="24"/>
        </w:rPr>
        <w:t xml:space="preserve">” </w:t>
      </w:r>
      <w:hyperlink r:id="rId1427" w:history="1">
        <w:r w:rsidRPr="00AE3A49">
          <w:rPr>
            <w:rStyle w:val="Hyperlink"/>
            <w:rFonts w:ascii="Times New Roman" w:hAnsi="Times New Roman"/>
            <w:b/>
            <w:sz w:val="24"/>
            <w:szCs w:val="24"/>
          </w:rPr>
          <w:t>http://media.ca11.uscourts.gov/opinions/pub/files/201814687.pdf</w:t>
        </w:r>
      </w:hyperlink>
      <w:r w:rsidRPr="00AE3A49">
        <w:rPr>
          <w:rFonts w:ascii="Times New Roman" w:hAnsi="Times New Roman"/>
          <w:sz w:val="24"/>
          <w:szCs w:val="24"/>
        </w:rPr>
        <w:t xml:space="preserve"> </w:t>
      </w:r>
    </w:p>
    <w:bookmarkEnd w:id="294"/>
    <w:p w14:paraId="1B993F0E" w14:textId="77777777" w:rsidR="002147DA" w:rsidRDefault="002147DA" w:rsidP="002147DA">
      <w:pPr>
        <w:pStyle w:val="NoSpacing"/>
        <w:rPr>
          <w:rFonts w:ascii="Times New Roman" w:hAnsi="Times New Roman"/>
          <w:b/>
          <w:bCs/>
          <w:sz w:val="24"/>
          <w:szCs w:val="24"/>
        </w:rPr>
      </w:pPr>
    </w:p>
    <w:p w14:paraId="3E20B1EC" w14:textId="2E5E36CD" w:rsidR="002147DA" w:rsidRPr="00AE3A49" w:rsidRDefault="002147DA" w:rsidP="002147DA">
      <w:pPr>
        <w:pStyle w:val="NoSpacing"/>
        <w:rPr>
          <w:rFonts w:ascii="Times New Roman" w:hAnsi="Times New Roman"/>
          <w:b/>
          <w:bCs/>
          <w:sz w:val="24"/>
          <w:szCs w:val="24"/>
        </w:rPr>
      </w:pPr>
      <w:bookmarkStart w:id="296" w:name="_Hlk40510709"/>
      <w:r w:rsidRPr="00AE3A49">
        <w:rPr>
          <w:rFonts w:ascii="Times New Roman" w:hAnsi="Times New Roman"/>
          <w:b/>
          <w:bCs/>
          <w:sz w:val="24"/>
          <w:szCs w:val="24"/>
        </w:rPr>
        <w:t>Legal Lessons Learned: Congress in enacting the Pregnancy Discrimination Act did not specifically address the issue of light-duty; hopefully</w:t>
      </w:r>
      <w:r w:rsidR="00C4249D">
        <w:rPr>
          <w:rFonts w:ascii="Times New Roman" w:hAnsi="Times New Roman"/>
          <w:b/>
          <w:bCs/>
          <w:sz w:val="24"/>
          <w:szCs w:val="24"/>
        </w:rPr>
        <w:t xml:space="preserve"> </w:t>
      </w:r>
      <w:r w:rsidRPr="00AE3A49">
        <w:rPr>
          <w:rFonts w:ascii="Times New Roman" w:hAnsi="Times New Roman"/>
          <w:b/>
          <w:bCs/>
          <w:sz w:val="24"/>
          <w:szCs w:val="24"/>
        </w:rPr>
        <w:t xml:space="preserve">the U.S. Supreme Court </w:t>
      </w:r>
      <w:r w:rsidR="00C4249D">
        <w:rPr>
          <w:rFonts w:ascii="Times New Roman" w:hAnsi="Times New Roman"/>
          <w:b/>
          <w:bCs/>
          <w:sz w:val="24"/>
          <w:szCs w:val="24"/>
        </w:rPr>
        <w:t xml:space="preserve">in a future case </w:t>
      </w:r>
      <w:r w:rsidRPr="00AE3A49">
        <w:rPr>
          <w:rFonts w:ascii="Times New Roman" w:hAnsi="Times New Roman"/>
          <w:b/>
          <w:bCs/>
          <w:sz w:val="24"/>
          <w:szCs w:val="24"/>
        </w:rPr>
        <w:t xml:space="preserve">will give clear direction on this issue.  </w:t>
      </w:r>
    </w:p>
    <w:bookmarkEnd w:id="296"/>
    <w:p w14:paraId="3B9D1BF8" w14:textId="77777777" w:rsidR="002147DA" w:rsidRDefault="002147DA" w:rsidP="002B1283">
      <w:pPr>
        <w:rPr>
          <w:rFonts w:ascii="Arial Black" w:hAnsi="Arial Black"/>
          <w:b/>
          <w:sz w:val="24"/>
          <w:szCs w:val="24"/>
        </w:rPr>
      </w:pPr>
    </w:p>
    <w:bookmarkEnd w:id="295"/>
    <w:p w14:paraId="1CB0E685" w14:textId="77777777" w:rsidR="002147DA" w:rsidRDefault="002147DA" w:rsidP="002B1283">
      <w:pPr>
        <w:rPr>
          <w:rFonts w:ascii="Arial Black" w:hAnsi="Arial Black"/>
          <w:b/>
          <w:sz w:val="24"/>
          <w:szCs w:val="24"/>
        </w:rPr>
      </w:pPr>
    </w:p>
    <w:p w14:paraId="5B89BE14" w14:textId="07D54B28" w:rsidR="002147DA" w:rsidRDefault="002147DA" w:rsidP="002B1283">
      <w:pPr>
        <w:rPr>
          <w:rFonts w:ascii="Arial Black" w:hAnsi="Arial Black"/>
          <w:b/>
          <w:sz w:val="24"/>
          <w:szCs w:val="24"/>
        </w:rPr>
      </w:pPr>
      <w:r>
        <w:rPr>
          <w:rFonts w:ascii="Arial Black" w:hAnsi="Arial Black"/>
          <w:b/>
          <w:sz w:val="24"/>
          <w:szCs w:val="24"/>
        </w:rPr>
        <w:t>7-19</w:t>
      </w:r>
    </w:p>
    <w:p w14:paraId="693A7B14" w14:textId="77777777" w:rsidR="002147DA" w:rsidRPr="005F2F43" w:rsidRDefault="002147DA" w:rsidP="002147DA">
      <w:pPr>
        <w:pStyle w:val="NoSpacing"/>
        <w:rPr>
          <w:rFonts w:ascii="Arial Black" w:hAnsi="Arial Black"/>
          <w:sz w:val="28"/>
          <w:szCs w:val="28"/>
        </w:rPr>
      </w:pPr>
      <w:bookmarkStart w:id="297" w:name="_Hlk39764654"/>
      <w:r w:rsidRPr="005F2F43">
        <w:rPr>
          <w:rFonts w:ascii="Arial Black" w:hAnsi="Arial Black"/>
          <w:sz w:val="28"/>
          <w:szCs w:val="28"/>
        </w:rPr>
        <w:t>FL:</w:t>
      </w:r>
      <w:r>
        <w:rPr>
          <w:rFonts w:ascii="Arial Black" w:hAnsi="Arial Black"/>
          <w:sz w:val="28"/>
          <w:szCs w:val="28"/>
        </w:rPr>
        <w:t xml:space="preserve"> FEMALE FF RESIGNS, 20 YRS ON FD – CLAIMS HOSTILE WORK ATMOSPHERE, FEW SPECIFICS – CASE DISMISSED</w:t>
      </w:r>
      <w:r w:rsidRPr="005F2F43">
        <w:rPr>
          <w:rFonts w:ascii="Arial Black" w:hAnsi="Arial Black"/>
          <w:sz w:val="28"/>
          <w:szCs w:val="28"/>
        </w:rPr>
        <w:t xml:space="preserve"> </w:t>
      </w:r>
    </w:p>
    <w:p w14:paraId="03909706" w14:textId="77777777" w:rsidR="002147DA" w:rsidRDefault="002147DA" w:rsidP="002147DA">
      <w:pPr>
        <w:pStyle w:val="NoSpacing"/>
        <w:rPr>
          <w:b/>
          <w:bCs/>
          <w:sz w:val="24"/>
          <w:szCs w:val="24"/>
        </w:rPr>
      </w:pPr>
    </w:p>
    <w:p w14:paraId="5CFE62BF"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Cs/>
          <w:sz w:val="24"/>
          <w:szCs w:val="24"/>
        </w:rPr>
        <w:t xml:space="preserve">On </w:t>
      </w:r>
      <w:bookmarkStart w:id="298" w:name="_Hlk39833074"/>
      <w:r w:rsidRPr="00AE3A49">
        <w:rPr>
          <w:rFonts w:ascii="Times New Roman" w:hAnsi="Times New Roman"/>
          <w:bCs/>
          <w:sz w:val="24"/>
          <w:szCs w:val="24"/>
        </w:rPr>
        <w:t xml:space="preserve">April 1, 2020, in </w:t>
      </w:r>
      <w:r w:rsidRPr="00AE3A49">
        <w:rPr>
          <w:rFonts w:ascii="Times New Roman" w:hAnsi="Times New Roman"/>
          <w:bCs/>
          <w:sz w:val="24"/>
          <w:szCs w:val="24"/>
          <w:u w:val="single"/>
        </w:rPr>
        <w:t>Colleen Moore v. San Carlos Park Fire Protection &amp; Rescue</w:t>
      </w:r>
      <w:r w:rsidRPr="00AE3A49">
        <w:rPr>
          <w:rFonts w:ascii="Times New Roman" w:hAnsi="Times New Roman"/>
          <w:bCs/>
          <w:sz w:val="24"/>
          <w:szCs w:val="24"/>
        </w:rPr>
        <w:t xml:space="preserve">, </w:t>
      </w:r>
      <w:bookmarkEnd w:id="298"/>
      <w:r w:rsidRPr="00AE3A49">
        <w:rPr>
          <w:rFonts w:ascii="Times New Roman" w:hAnsi="Times New Roman"/>
          <w:bCs/>
          <w:sz w:val="24"/>
          <w:szCs w:val="24"/>
        </w:rPr>
        <w:t>the U.S. Court of Appeals for the 11</w:t>
      </w:r>
      <w:r w:rsidRPr="00AE3A49">
        <w:rPr>
          <w:rFonts w:ascii="Times New Roman" w:hAnsi="Times New Roman"/>
          <w:bCs/>
          <w:sz w:val="24"/>
          <w:szCs w:val="24"/>
          <w:vertAlign w:val="superscript"/>
        </w:rPr>
        <w:t>th</w:t>
      </w:r>
      <w:r w:rsidRPr="00AE3A49">
        <w:rPr>
          <w:rFonts w:ascii="Times New Roman" w:hAnsi="Times New Roman"/>
          <w:bCs/>
          <w:sz w:val="24"/>
          <w:szCs w:val="24"/>
        </w:rPr>
        <w:t xml:space="preserve"> District (Atlanta) held (3 to 0) in unpublished opinion that the trial court properly granted the FD’s motion to dismiss.  Moore resigned on November 5, 2013, after more than 20 years of service. </w:t>
      </w:r>
    </w:p>
    <w:p w14:paraId="261F219D" w14:textId="77777777" w:rsidR="002147DA" w:rsidRPr="00AE3A49" w:rsidRDefault="002147DA" w:rsidP="002147DA">
      <w:pPr>
        <w:pStyle w:val="NoSpacing"/>
        <w:rPr>
          <w:rFonts w:ascii="Times New Roman" w:hAnsi="Times New Roman"/>
          <w:b/>
          <w:bCs/>
          <w:sz w:val="24"/>
          <w:szCs w:val="24"/>
        </w:rPr>
      </w:pPr>
    </w:p>
    <w:p w14:paraId="135950EA" w14:textId="77777777" w:rsidR="002147DA" w:rsidRPr="00AE3A49" w:rsidRDefault="002147DA" w:rsidP="002147DA">
      <w:pPr>
        <w:pStyle w:val="NoSpacing"/>
        <w:ind w:left="720"/>
        <w:rPr>
          <w:rFonts w:ascii="Times New Roman" w:eastAsia="Times New Roman" w:hAnsi="Times New Roman"/>
          <w:b/>
          <w:bCs/>
          <w:sz w:val="24"/>
          <w:szCs w:val="24"/>
        </w:rPr>
      </w:pPr>
      <w:r w:rsidRPr="00AE3A49">
        <w:rPr>
          <w:rFonts w:ascii="Times New Roman" w:hAnsi="Times New Roman"/>
          <w:bCs/>
          <w:sz w:val="24"/>
          <w:szCs w:val="24"/>
        </w:rPr>
        <w:t xml:space="preserve">“While the complaint lists a series of discrete acts, it does not provide the dates of those acts or mention the supervisor responsible for any alleged acts. Similarly, her EEOC charge alleges Moore was harassed, called ‘the girl,’ and disciplined more severely than men, but does not provide any details supporting those allegations. Without connecting names or dates to each incident, we cannot determine who committed the acts or when they were committed. See Morgan, 536 U.S. at 120. Thus, Moore has not established that the three timely adverse acts are sufficiently related to any of the other </w:t>
      </w:r>
      <w:proofErr w:type="gramStart"/>
      <w:r w:rsidRPr="00AE3A49">
        <w:rPr>
          <w:rFonts w:ascii="Times New Roman" w:hAnsi="Times New Roman"/>
          <w:bCs/>
          <w:sz w:val="24"/>
          <w:szCs w:val="24"/>
        </w:rPr>
        <w:t>complained</w:t>
      </w:r>
      <w:proofErr w:type="gramEnd"/>
      <w:r w:rsidRPr="00AE3A49">
        <w:rPr>
          <w:rFonts w:ascii="Times New Roman" w:hAnsi="Times New Roman"/>
          <w:bCs/>
          <w:sz w:val="24"/>
          <w:szCs w:val="24"/>
        </w:rPr>
        <w:t xml:space="preserve"> of acts, such that they support the same hostile work environment claim. </w:t>
      </w:r>
      <w:bookmarkStart w:id="299" w:name="_Hlk39833092"/>
      <w:r w:rsidR="00374417">
        <w:fldChar w:fldCharType="begin"/>
      </w:r>
      <w:r w:rsidR="00374417">
        <w:instrText xml:space="preserve"> HYPERLINK "http://media.ca11.uscourts.gov/opinions/unpub/files/201910263.pdf" </w:instrText>
      </w:r>
      <w:r w:rsidR="00374417">
        <w:fldChar w:fldCharType="separate"/>
      </w:r>
      <w:r w:rsidRPr="00AE3A49">
        <w:rPr>
          <w:rStyle w:val="Hyperlink"/>
          <w:rFonts w:ascii="Times New Roman" w:hAnsi="Times New Roman"/>
          <w:b/>
          <w:sz w:val="24"/>
          <w:szCs w:val="24"/>
        </w:rPr>
        <w:t>http://media.ca11.uscourts.gov/opinions/unpub/files/201910263.pdf</w:t>
      </w:r>
      <w:r w:rsidR="00374417">
        <w:rPr>
          <w:rStyle w:val="Hyperlink"/>
          <w:rFonts w:ascii="Times New Roman" w:hAnsi="Times New Roman"/>
          <w:b/>
          <w:sz w:val="24"/>
          <w:szCs w:val="24"/>
        </w:rPr>
        <w:fldChar w:fldCharType="end"/>
      </w:r>
      <w:bookmarkEnd w:id="297"/>
      <w:r w:rsidRPr="00AE3A49">
        <w:rPr>
          <w:rFonts w:ascii="Times New Roman" w:hAnsi="Times New Roman"/>
          <w:bCs/>
          <w:sz w:val="24"/>
          <w:szCs w:val="24"/>
        </w:rPr>
        <w:t xml:space="preserve"> </w:t>
      </w:r>
    </w:p>
    <w:bookmarkEnd w:id="299"/>
    <w:p w14:paraId="2AEF925C" w14:textId="77777777" w:rsidR="002147DA" w:rsidRDefault="002147DA" w:rsidP="002147DA">
      <w:pPr>
        <w:pStyle w:val="NoSpacing"/>
        <w:rPr>
          <w:rFonts w:ascii="Times New Roman" w:hAnsi="Times New Roman"/>
          <w:b/>
          <w:bCs/>
          <w:sz w:val="24"/>
          <w:szCs w:val="24"/>
        </w:rPr>
      </w:pPr>
    </w:p>
    <w:p w14:paraId="1AA52516" w14:textId="1B83D0D7" w:rsidR="002147DA" w:rsidRPr="00AE3A49" w:rsidRDefault="002147DA" w:rsidP="002147DA">
      <w:pPr>
        <w:pStyle w:val="NoSpacing"/>
        <w:rPr>
          <w:rFonts w:ascii="Times New Roman" w:hAnsi="Times New Roman"/>
          <w:b/>
          <w:bCs/>
          <w:sz w:val="24"/>
          <w:szCs w:val="24"/>
        </w:rPr>
      </w:pPr>
      <w:r w:rsidRPr="00AE3A49">
        <w:rPr>
          <w:rFonts w:ascii="Times New Roman" w:hAnsi="Times New Roman"/>
          <w:b/>
          <w:bCs/>
          <w:sz w:val="24"/>
          <w:szCs w:val="24"/>
        </w:rPr>
        <w:t xml:space="preserve">Legal Lessons Learned: Fire &amp; EMS departments should have Employee Handbooks requiring employees to promptly file complaints in writing. </w:t>
      </w:r>
    </w:p>
    <w:p w14:paraId="4C8C8346" w14:textId="77777777" w:rsidR="002147DA" w:rsidRPr="00AE3A49" w:rsidRDefault="002147DA" w:rsidP="002147DA">
      <w:pPr>
        <w:pStyle w:val="NoSpacing"/>
        <w:rPr>
          <w:rFonts w:ascii="Times New Roman" w:hAnsi="Times New Roman"/>
          <w:b/>
          <w:bCs/>
          <w:sz w:val="24"/>
          <w:szCs w:val="24"/>
        </w:rPr>
      </w:pPr>
    </w:p>
    <w:p w14:paraId="4594FCCE" w14:textId="77777777" w:rsidR="002147DA" w:rsidRDefault="002147DA" w:rsidP="002147DA">
      <w:pPr>
        <w:pStyle w:val="NoSpacing"/>
        <w:rPr>
          <w:b/>
          <w:bCs/>
          <w:sz w:val="24"/>
          <w:szCs w:val="24"/>
        </w:rPr>
      </w:pPr>
    </w:p>
    <w:p w14:paraId="7FB345A5" w14:textId="77777777" w:rsidR="002147DA" w:rsidRDefault="002147DA" w:rsidP="002147DA">
      <w:pPr>
        <w:pStyle w:val="NoSpacing"/>
        <w:rPr>
          <w:b/>
          <w:bCs/>
          <w:sz w:val="24"/>
          <w:szCs w:val="24"/>
        </w:rPr>
      </w:pPr>
    </w:p>
    <w:p w14:paraId="442D5866" w14:textId="77777777" w:rsidR="002147DA" w:rsidRDefault="002147DA" w:rsidP="002B1283">
      <w:pPr>
        <w:rPr>
          <w:rFonts w:ascii="Arial Black" w:hAnsi="Arial Black"/>
          <w:b/>
          <w:sz w:val="24"/>
          <w:szCs w:val="24"/>
        </w:rPr>
      </w:pPr>
    </w:p>
    <w:p w14:paraId="1E8E684D" w14:textId="77777777" w:rsidR="002147DA" w:rsidRDefault="002147DA" w:rsidP="002B1283">
      <w:pPr>
        <w:rPr>
          <w:rFonts w:ascii="Arial Black" w:hAnsi="Arial Black"/>
          <w:b/>
          <w:sz w:val="24"/>
          <w:szCs w:val="24"/>
        </w:rPr>
      </w:pPr>
    </w:p>
    <w:p w14:paraId="775FA55D" w14:textId="4E4DED1E" w:rsidR="007540BD" w:rsidRDefault="007540BD" w:rsidP="002B1283">
      <w:pPr>
        <w:rPr>
          <w:rFonts w:ascii="Arial Black" w:hAnsi="Arial Black"/>
          <w:b/>
          <w:sz w:val="24"/>
          <w:szCs w:val="24"/>
        </w:rPr>
      </w:pPr>
      <w:r>
        <w:rPr>
          <w:rFonts w:ascii="Arial Black" w:hAnsi="Arial Black"/>
          <w:b/>
          <w:sz w:val="24"/>
          <w:szCs w:val="24"/>
        </w:rPr>
        <w:t>7-18</w:t>
      </w:r>
    </w:p>
    <w:p w14:paraId="1D8E021C" w14:textId="77777777" w:rsidR="007540BD" w:rsidRDefault="007540BD" w:rsidP="007540BD">
      <w:pPr>
        <w:pStyle w:val="NoSpacing"/>
        <w:rPr>
          <w:rFonts w:ascii="Arial Black" w:hAnsi="Arial Black"/>
          <w:sz w:val="28"/>
          <w:szCs w:val="28"/>
        </w:rPr>
      </w:pPr>
      <w:bookmarkStart w:id="300" w:name="_Hlk40510796"/>
      <w:r>
        <w:rPr>
          <w:rFonts w:ascii="Arial Black" w:hAnsi="Arial Black"/>
          <w:sz w:val="28"/>
          <w:szCs w:val="28"/>
        </w:rPr>
        <w:t>TX: “JANE DOE” LAWSUIT DISMISSED - FEMALE FF MUST IDENTIFY HERSELF IN NEW LAWSUIT – CITY, SEVERAL FF DROPPED FROM CASE</w:t>
      </w:r>
    </w:p>
    <w:p w14:paraId="6BF39C46" w14:textId="77777777" w:rsidR="007540BD" w:rsidRPr="00934109" w:rsidRDefault="007540BD" w:rsidP="007540BD">
      <w:pPr>
        <w:pStyle w:val="NoSpacing"/>
        <w:rPr>
          <w:rFonts w:ascii="Arial Black" w:hAnsi="Arial Black"/>
          <w:b/>
          <w:bCs/>
          <w:sz w:val="28"/>
          <w:szCs w:val="28"/>
        </w:rPr>
      </w:pPr>
    </w:p>
    <w:p w14:paraId="7BBF1ACB" w14:textId="77777777" w:rsidR="007540BD" w:rsidRPr="007C7258" w:rsidRDefault="007540BD" w:rsidP="007540BD">
      <w:pPr>
        <w:pStyle w:val="NoSpacing"/>
        <w:rPr>
          <w:rFonts w:ascii="Times New Roman" w:hAnsi="Times New Roman"/>
          <w:b/>
          <w:bCs/>
          <w:sz w:val="24"/>
          <w:szCs w:val="24"/>
        </w:rPr>
      </w:pPr>
      <w:r w:rsidRPr="007C7258">
        <w:rPr>
          <w:rFonts w:ascii="Times New Roman" w:hAnsi="Times New Roman"/>
          <w:bCs/>
          <w:sz w:val="24"/>
          <w:szCs w:val="24"/>
        </w:rPr>
        <w:t xml:space="preserve">On March 10, 2020, in </w:t>
      </w:r>
      <w:r w:rsidRPr="007C7258">
        <w:rPr>
          <w:rFonts w:ascii="Times New Roman" w:hAnsi="Times New Roman"/>
          <w:bCs/>
          <w:sz w:val="24"/>
          <w:szCs w:val="24"/>
          <w:u w:val="single"/>
        </w:rPr>
        <w:t>Female Firefighter Jane Doe v. Fort Worth, Texas, et al.</w:t>
      </w:r>
      <w:r w:rsidRPr="007C7258">
        <w:rPr>
          <w:rFonts w:ascii="Times New Roman" w:hAnsi="Times New Roman"/>
          <w:bCs/>
          <w:sz w:val="24"/>
          <w:szCs w:val="24"/>
        </w:rPr>
        <w:t xml:space="preserve">, U.S. District Court Judge John McBryde, U.S. District Court for Northern District of Texas, Fort Worth Division, ordered that Plaintiff re-file her lawsuit and identify herself.  Only one firefighter remains in the case, since 2-year statute of limitations has run on all her other claims.  The </w:t>
      </w:r>
      <w:proofErr w:type="gramStart"/>
      <w:r w:rsidRPr="007C7258">
        <w:rPr>
          <w:rFonts w:ascii="Times New Roman" w:hAnsi="Times New Roman"/>
          <w:bCs/>
          <w:sz w:val="24"/>
          <w:szCs w:val="24"/>
        </w:rPr>
        <w:t>City</w:t>
      </w:r>
      <w:proofErr w:type="gramEnd"/>
      <w:r w:rsidRPr="007C7258">
        <w:rPr>
          <w:rFonts w:ascii="Times New Roman" w:hAnsi="Times New Roman"/>
          <w:bCs/>
          <w:sz w:val="24"/>
          <w:szCs w:val="24"/>
        </w:rPr>
        <w:t xml:space="preserve"> is also dismissed from the case. </w:t>
      </w:r>
    </w:p>
    <w:bookmarkEnd w:id="300"/>
    <w:p w14:paraId="6D73D734" w14:textId="77777777" w:rsidR="007540BD" w:rsidRPr="007C7258" w:rsidRDefault="007540BD" w:rsidP="007540BD">
      <w:pPr>
        <w:pStyle w:val="NoSpacing"/>
        <w:rPr>
          <w:rFonts w:ascii="Times New Roman" w:hAnsi="Times New Roman"/>
          <w:b/>
          <w:bCs/>
          <w:sz w:val="24"/>
          <w:szCs w:val="24"/>
        </w:rPr>
      </w:pPr>
    </w:p>
    <w:p w14:paraId="1013D0AB"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“The law is clear that a plaintiff should only be allowed to proceed anonymously in rare and exceptional cases. Doe v. Stegall, </w:t>
      </w:r>
      <w:hyperlink r:id="rId1428" w:history="1">
        <w:r w:rsidRPr="007C7258">
          <w:rPr>
            <w:rStyle w:val="Hyperlink"/>
            <w:rFonts w:ascii="Times New Roman" w:hAnsi="Times New Roman"/>
            <w:b/>
            <w:sz w:val="24"/>
            <w:szCs w:val="24"/>
          </w:rPr>
          <w:t>653 F.2d 180</w:t>
        </w:r>
      </w:hyperlink>
      <w:r w:rsidRPr="007C7258">
        <w:rPr>
          <w:rFonts w:ascii="Times New Roman" w:hAnsi="Times New Roman"/>
          <w:bCs/>
          <w:sz w:val="24"/>
          <w:szCs w:val="24"/>
        </w:rPr>
        <w:t xml:space="preserve"> (5th Cir. Unit A 1981); Southern Methodist Univ. v. Wynn &amp; Jaffe, </w:t>
      </w:r>
      <w:hyperlink r:id="rId1429" w:history="1">
        <w:r w:rsidRPr="007C7258">
          <w:rPr>
            <w:rStyle w:val="Hyperlink"/>
            <w:rFonts w:ascii="Times New Roman" w:hAnsi="Times New Roman"/>
            <w:b/>
            <w:sz w:val="24"/>
            <w:szCs w:val="24"/>
          </w:rPr>
          <w:t>599 F.2d 707</w:t>
        </w:r>
      </w:hyperlink>
      <w:r w:rsidRPr="007C7258">
        <w:rPr>
          <w:rFonts w:ascii="Times New Roman" w:hAnsi="Times New Roman"/>
          <w:bCs/>
          <w:sz w:val="24"/>
          <w:szCs w:val="24"/>
        </w:rPr>
        <w:t xml:space="preserve"> (5th Cir. 1979). Plaintiff has made no attempt to show that this is such a case, probably because she cannot make the required showing. That plaintiff might suffer personal embarrassment is not enough. Doe v. Frank, </w:t>
      </w:r>
      <w:hyperlink r:id="rId1430" w:history="1">
        <w:r w:rsidRPr="007C7258">
          <w:rPr>
            <w:rStyle w:val="Hyperlink"/>
            <w:rFonts w:ascii="Times New Roman" w:hAnsi="Times New Roman"/>
            <w:b/>
            <w:sz w:val="24"/>
            <w:szCs w:val="24"/>
          </w:rPr>
          <w:t>951 F.2d 320</w:t>
        </w:r>
      </w:hyperlink>
      <w:r w:rsidRPr="007C7258">
        <w:rPr>
          <w:rFonts w:ascii="Times New Roman" w:hAnsi="Times New Roman"/>
          <w:bCs/>
          <w:sz w:val="24"/>
          <w:szCs w:val="24"/>
        </w:rPr>
        <w:t>, 324 (11th Cir. 1992). "Indeed, many courts faced with a request by a victim of sexual assault or harassment seeking to pursue a civil action for monetary damages under a pseudonym have concluded that the plaintiff was not entitled to proceed anonymously." Doe ex rel. Doe v. Harris, No. 14-0802, 2014 WL 4207599, at *2 W.D. La. Aug. 25, 2014) (citing cases). Accordingly, the court will require plaintiff to identify herself. Fed. R. Civ. P. 10(a).</w:t>
      </w:r>
    </w:p>
    <w:p w14:paraId="6338DD73" w14:textId="77777777" w:rsidR="007540BD" w:rsidRPr="007C7258" w:rsidRDefault="007540BD" w:rsidP="007540BD">
      <w:pPr>
        <w:pStyle w:val="NoSpacing"/>
        <w:ind w:left="720"/>
        <w:rPr>
          <w:rFonts w:ascii="Times New Roman" w:hAnsi="Times New Roman"/>
          <w:b/>
          <w:bCs/>
          <w:sz w:val="24"/>
          <w:szCs w:val="24"/>
        </w:rPr>
      </w:pPr>
    </w:p>
    <w:p w14:paraId="179480DD"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w:t>
      </w:r>
    </w:p>
    <w:p w14:paraId="372049F8" w14:textId="77777777" w:rsidR="007540BD" w:rsidRPr="007C7258" w:rsidRDefault="007540BD" w:rsidP="007540BD">
      <w:pPr>
        <w:ind w:left="720"/>
        <w:rPr>
          <w:rFonts w:ascii="Times New Roman" w:hAnsi="Times New Roman"/>
          <w:b/>
          <w:bCs/>
          <w:sz w:val="24"/>
          <w:szCs w:val="24"/>
        </w:rPr>
      </w:pPr>
      <w:r w:rsidRPr="007C7258">
        <w:rPr>
          <w:rFonts w:ascii="Times New Roman" w:hAnsi="Times New Roman"/>
          <w:bCs/>
          <w:sz w:val="24"/>
          <w:szCs w:val="24"/>
        </w:rPr>
        <w:t xml:space="preserve">If, as plaintiff contends, she was raped by her co-workers, that was not the result of an intentional choice of City not to provide proper training, especially where plaintiff does not allege that City was ever informed that lack of training was causing its male firefighters to engage in criminal conduct.” </w:t>
      </w:r>
      <w:bookmarkStart w:id="301" w:name="_Hlk40510857"/>
      <w:r w:rsidR="009B50E8">
        <w:fldChar w:fldCharType="begin"/>
      </w:r>
      <w:r w:rsidR="009B50E8">
        <w:instrText xml:space="preserve"> HYPERLINK "https://www.leagle.com/decision/infdco20200316488" </w:instrText>
      </w:r>
      <w:r w:rsidR="009B50E8">
        <w:fldChar w:fldCharType="separate"/>
      </w:r>
      <w:r w:rsidRPr="007C7258">
        <w:rPr>
          <w:rStyle w:val="Hyperlink"/>
          <w:rFonts w:ascii="Times New Roman" w:hAnsi="Times New Roman"/>
          <w:sz w:val="24"/>
          <w:szCs w:val="24"/>
        </w:rPr>
        <w:t>https://www.leagle.com/decision/infdco20200316488</w:t>
      </w:r>
      <w:r w:rsidR="009B50E8">
        <w:rPr>
          <w:rStyle w:val="Hyperlink"/>
          <w:rFonts w:ascii="Times New Roman" w:hAnsi="Times New Roman"/>
          <w:sz w:val="24"/>
          <w:szCs w:val="24"/>
        </w:rPr>
        <w:fldChar w:fldCharType="end"/>
      </w:r>
      <w:r w:rsidRPr="007C7258">
        <w:rPr>
          <w:rFonts w:ascii="Times New Roman" w:hAnsi="Times New Roman"/>
          <w:bCs/>
          <w:sz w:val="24"/>
          <w:szCs w:val="24"/>
        </w:rPr>
        <w:t xml:space="preserve"> </w:t>
      </w:r>
    </w:p>
    <w:p w14:paraId="7D73B159" w14:textId="77777777" w:rsidR="007540BD" w:rsidRPr="007C7258" w:rsidRDefault="007540BD" w:rsidP="007540BD">
      <w:pPr>
        <w:spacing w:before="100" w:beforeAutospacing="1" w:after="100" w:afterAutospacing="1" w:line="240" w:lineRule="auto"/>
        <w:rPr>
          <w:rFonts w:ascii="Times New Roman" w:hAnsi="Times New Roman"/>
          <w:b/>
          <w:bCs/>
          <w:sz w:val="24"/>
          <w:szCs w:val="24"/>
        </w:rPr>
      </w:pPr>
      <w:bookmarkStart w:id="302" w:name="_Hlk40510884"/>
      <w:bookmarkEnd w:id="301"/>
      <w:r w:rsidRPr="007C7258">
        <w:rPr>
          <w:rFonts w:ascii="Times New Roman" w:eastAsia="Times New Roman" w:hAnsi="Times New Roman"/>
          <w:b/>
          <w:bCs/>
          <w:sz w:val="24"/>
          <w:szCs w:val="24"/>
        </w:rPr>
        <w:t xml:space="preserve">Legal Lessons Learned: </w:t>
      </w:r>
      <w:r>
        <w:rPr>
          <w:rFonts w:ascii="Times New Roman" w:eastAsia="Times New Roman" w:hAnsi="Times New Roman"/>
          <w:b/>
          <w:bCs/>
          <w:sz w:val="24"/>
          <w:szCs w:val="24"/>
        </w:rPr>
        <w:t xml:space="preserve">A </w:t>
      </w:r>
      <w:r w:rsidRPr="007C7258">
        <w:rPr>
          <w:rFonts w:ascii="Times New Roman" w:hAnsi="Times New Roman"/>
          <w:b/>
          <w:bCs/>
          <w:sz w:val="24"/>
          <w:szCs w:val="24"/>
        </w:rPr>
        <w:t xml:space="preserve">plaintiff should only be allowed to proceed anonymously in rare and exceptional cases.  </w:t>
      </w:r>
      <w:bookmarkEnd w:id="302"/>
      <w:r w:rsidRPr="007C7258">
        <w:rPr>
          <w:rFonts w:ascii="Times New Roman" w:hAnsi="Times New Roman"/>
          <w:b/>
          <w:bCs/>
          <w:sz w:val="24"/>
          <w:szCs w:val="24"/>
        </w:rPr>
        <w:t>[I have deleted names of the defendants in this case, since Plaintiff hasn’t identified herself.]</w:t>
      </w:r>
    </w:p>
    <w:p w14:paraId="1F9E78D3" w14:textId="204C1D1C" w:rsidR="007540BD" w:rsidRDefault="007540BD" w:rsidP="002B1283">
      <w:pPr>
        <w:rPr>
          <w:rFonts w:ascii="Arial Black" w:hAnsi="Arial Black"/>
          <w:b/>
          <w:sz w:val="24"/>
          <w:szCs w:val="24"/>
        </w:rPr>
      </w:pPr>
    </w:p>
    <w:p w14:paraId="23058EB8" w14:textId="2C71341B" w:rsidR="007540BD" w:rsidRDefault="007540BD" w:rsidP="002B1283">
      <w:pPr>
        <w:rPr>
          <w:rFonts w:ascii="Arial Black" w:hAnsi="Arial Black"/>
          <w:b/>
          <w:sz w:val="24"/>
          <w:szCs w:val="24"/>
        </w:rPr>
      </w:pPr>
      <w:r>
        <w:rPr>
          <w:rFonts w:ascii="Arial Black" w:hAnsi="Arial Black"/>
          <w:b/>
          <w:sz w:val="24"/>
          <w:szCs w:val="24"/>
        </w:rPr>
        <w:t>7-17</w:t>
      </w:r>
    </w:p>
    <w:p w14:paraId="35D1DF62" w14:textId="77777777" w:rsidR="007540BD" w:rsidRPr="00BA763B" w:rsidRDefault="007540BD" w:rsidP="007540BD">
      <w:pPr>
        <w:pStyle w:val="NoSpacing"/>
        <w:rPr>
          <w:rFonts w:ascii="Arial Black" w:hAnsi="Arial Black"/>
          <w:sz w:val="28"/>
          <w:szCs w:val="28"/>
        </w:rPr>
      </w:pPr>
      <w:r>
        <w:rPr>
          <w:rFonts w:ascii="Arial Black" w:hAnsi="Arial Black"/>
          <w:sz w:val="28"/>
          <w:szCs w:val="28"/>
        </w:rPr>
        <w:t xml:space="preserve">IL:  JOKES ABOUT FF BEING “GAY” [HE IS NOT] – CASE DISMISSED – 3 OCCASIONS - NOT AN “OBJECTIVELY” HOSTILE WORK ENVIRONMENT </w:t>
      </w:r>
    </w:p>
    <w:p w14:paraId="4F738B51" w14:textId="77777777" w:rsidR="007540BD" w:rsidRDefault="007540BD" w:rsidP="007540BD">
      <w:pPr>
        <w:pStyle w:val="NoSpacing"/>
      </w:pPr>
    </w:p>
    <w:p w14:paraId="1EB47EAA" w14:textId="77777777" w:rsidR="007540BD" w:rsidRPr="007C7258" w:rsidRDefault="007540BD" w:rsidP="007540BD">
      <w:pPr>
        <w:pStyle w:val="NoSpacing"/>
        <w:rPr>
          <w:rFonts w:ascii="Times New Roman" w:hAnsi="Times New Roman"/>
          <w:b/>
          <w:bCs/>
          <w:sz w:val="24"/>
          <w:szCs w:val="24"/>
        </w:rPr>
      </w:pPr>
      <w:r w:rsidRPr="007C7258">
        <w:rPr>
          <w:rFonts w:ascii="Times New Roman" w:hAnsi="Times New Roman"/>
          <w:bCs/>
          <w:sz w:val="24"/>
          <w:szCs w:val="24"/>
        </w:rPr>
        <w:t xml:space="preserve">On March 9, 2020, in </w:t>
      </w:r>
      <w:r w:rsidRPr="007C7258">
        <w:rPr>
          <w:rFonts w:ascii="Times New Roman" w:hAnsi="Times New Roman"/>
          <w:bCs/>
          <w:sz w:val="24"/>
          <w:szCs w:val="24"/>
          <w:u w:val="single"/>
        </w:rPr>
        <w:t>Justine Bakker v. Mokena Fire Protection District</w:t>
      </w:r>
      <w:r w:rsidRPr="007C7258">
        <w:rPr>
          <w:rFonts w:ascii="Times New Roman" w:hAnsi="Times New Roman"/>
          <w:bCs/>
          <w:sz w:val="24"/>
          <w:szCs w:val="24"/>
        </w:rPr>
        <w:t xml:space="preserve">, U.S. District Court Judge Harry D. </w:t>
      </w:r>
      <w:proofErr w:type="spellStart"/>
      <w:r w:rsidRPr="007C7258">
        <w:rPr>
          <w:rFonts w:ascii="Times New Roman" w:hAnsi="Times New Roman"/>
          <w:bCs/>
          <w:sz w:val="24"/>
          <w:szCs w:val="24"/>
        </w:rPr>
        <w:t>Leinenweber</w:t>
      </w:r>
      <w:proofErr w:type="spellEnd"/>
      <w:r w:rsidRPr="007C7258">
        <w:rPr>
          <w:rFonts w:ascii="Times New Roman" w:hAnsi="Times New Roman"/>
          <w:bCs/>
          <w:sz w:val="24"/>
          <w:szCs w:val="24"/>
        </w:rPr>
        <w:t xml:space="preserve">, U.S. District Court for Northern District of Illinois, Eastern Division, granted the FD’s motion to dismiss. </w:t>
      </w:r>
    </w:p>
    <w:p w14:paraId="0D6C0A3D" w14:textId="77777777" w:rsidR="007540BD" w:rsidRPr="007C7258" w:rsidRDefault="007540BD" w:rsidP="007540BD">
      <w:pPr>
        <w:pStyle w:val="NoSpacing"/>
        <w:rPr>
          <w:rFonts w:ascii="Times New Roman" w:hAnsi="Times New Roman"/>
          <w:b/>
          <w:bCs/>
          <w:sz w:val="24"/>
          <w:szCs w:val="24"/>
        </w:rPr>
      </w:pPr>
    </w:p>
    <w:p w14:paraId="765ECF6A" w14:textId="082D58B0" w:rsidR="007540BD" w:rsidRDefault="007540BD" w:rsidP="007540BD">
      <w:pPr>
        <w:pStyle w:val="NoSpacing"/>
        <w:ind w:left="720"/>
        <w:rPr>
          <w:rFonts w:ascii="Times New Roman" w:hAnsi="Times New Roman"/>
          <w:bCs/>
          <w:sz w:val="24"/>
          <w:szCs w:val="24"/>
        </w:rPr>
      </w:pPr>
      <w:r w:rsidRPr="007C7258">
        <w:rPr>
          <w:rFonts w:ascii="Times New Roman" w:hAnsi="Times New Roman"/>
          <w:bCs/>
          <w:sz w:val="24"/>
          <w:szCs w:val="24"/>
        </w:rPr>
        <w:t xml:space="preserve">The Seventh Circuit set a high bar to establish an objectively hostile work environment. Courts ‘assume employees are generally mature individuals with the thick skin that comes from living in the modern world.’ </w:t>
      </w:r>
    </w:p>
    <w:p w14:paraId="2E480A06" w14:textId="77777777" w:rsidR="007540BD" w:rsidRPr="007C7258" w:rsidRDefault="007540BD" w:rsidP="007540BD">
      <w:pPr>
        <w:pStyle w:val="NoSpacing"/>
        <w:ind w:left="720"/>
        <w:rPr>
          <w:rFonts w:ascii="Times New Roman" w:hAnsi="Times New Roman"/>
          <w:b/>
          <w:bCs/>
          <w:i/>
          <w:iCs/>
          <w:sz w:val="24"/>
          <w:szCs w:val="24"/>
        </w:rPr>
      </w:pPr>
      <w:proofErr w:type="spellStart"/>
      <w:proofErr w:type="gramStart"/>
      <w:r w:rsidRPr="007C7258">
        <w:rPr>
          <w:rFonts w:ascii="Times New Roman" w:hAnsi="Times New Roman"/>
          <w:bCs/>
          <w:i/>
          <w:iCs/>
          <w:sz w:val="24"/>
          <w:szCs w:val="24"/>
        </w:rPr>
        <w:t>Swyear</w:t>
      </w:r>
      <w:proofErr w:type="spellEnd"/>
      <w:proofErr w:type="gramEnd"/>
      <w:r w:rsidRPr="007C7258">
        <w:rPr>
          <w:rFonts w:ascii="Times New Roman" w:hAnsi="Times New Roman"/>
          <w:bCs/>
          <w:sz w:val="24"/>
          <w:szCs w:val="24"/>
        </w:rPr>
        <w:t xml:space="preserve">, 911 F.3d at 881. Employers ‘generally do not face liability for off-color comments, isolated incidents, teasing, and other unpleasantries that are, unfortunately, not uncommon in the workplace.’ </w:t>
      </w:r>
      <w:r w:rsidRPr="007C7258">
        <w:rPr>
          <w:rFonts w:ascii="Times New Roman" w:hAnsi="Times New Roman"/>
          <w:bCs/>
          <w:i/>
          <w:iCs/>
          <w:sz w:val="24"/>
          <w:szCs w:val="24"/>
        </w:rPr>
        <w:t>Id</w:t>
      </w:r>
      <w:r w:rsidRPr="007C7258">
        <w:rPr>
          <w:rFonts w:ascii="Times New Roman" w:hAnsi="Times New Roman"/>
          <w:bCs/>
          <w:sz w:val="24"/>
          <w:szCs w:val="24"/>
        </w:rPr>
        <w:t xml:space="preserve">. Jokes that are ‘crude’ and ‘immature’ do not create employer liability, even though the jokes are ‘boorish,’ inappropriate, and in poor taste. </w:t>
      </w:r>
    </w:p>
    <w:p w14:paraId="1CB54D0B" w14:textId="77777777" w:rsidR="007540BD" w:rsidRPr="007C7258" w:rsidRDefault="007540BD" w:rsidP="007540BD">
      <w:pPr>
        <w:pStyle w:val="NoSpacing"/>
        <w:ind w:left="720"/>
        <w:rPr>
          <w:rFonts w:ascii="Times New Roman" w:hAnsi="Times New Roman"/>
          <w:b/>
          <w:bCs/>
          <w:sz w:val="24"/>
          <w:szCs w:val="24"/>
        </w:rPr>
      </w:pPr>
    </w:p>
    <w:p w14:paraId="72594FB2" w14:textId="77777777" w:rsidR="007540BD" w:rsidRPr="007C7258" w:rsidRDefault="007540BD" w:rsidP="007540BD">
      <w:pPr>
        <w:pStyle w:val="NoSpacing"/>
        <w:ind w:firstLine="720"/>
        <w:rPr>
          <w:rFonts w:ascii="Times New Roman" w:hAnsi="Times New Roman"/>
          <w:b/>
          <w:bCs/>
          <w:sz w:val="24"/>
          <w:szCs w:val="24"/>
        </w:rPr>
      </w:pPr>
      <w:r w:rsidRPr="007C7258">
        <w:rPr>
          <w:rFonts w:ascii="Times New Roman" w:hAnsi="Times New Roman"/>
          <w:bCs/>
          <w:sz w:val="24"/>
          <w:szCs w:val="24"/>
        </w:rPr>
        <w:t>***</w:t>
      </w:r>
    </w:p>
    <w:p w14:paraId="67536269" w14:textId="77777777" w:rsidR="007540BD" w:rsidRPr="007C7258" w:rsidRDefault="007540BD" w:rsidP="007540BD">
      <w:pPr>
        <w:pStyle w:val="NoSpacing"/>
        <w:ind w:left="720"/>
        <w:rPr>
          <w:rFonts w:ascii="Times New Roman" w:hAnsi="Times New Roman"/>
          <w:b/>
          <w:bCs/>
          <w:sz w:val="24"/>
          <w:szCs w:val="24"/>
        </w:rPr>
      </w:pPr>
      <w:r w:rsidRPr="007C7258">
        <w:rPr>
          <w:rFonts w:ascii="Times New Roman" w:hAnsi="Times New Roman"/>
          <w:bCs/>
          <w:sz w:val="24"/>
          <w:szCs w:val="24"/>
        </w:rPr>
        <w:t xml:space="preserve">The set of facts stated in Bakker's Complaint provides no possible path to employer liability. Accordingly, </w:t>
      </w:r>
      <w:proofErr w:type="gramStart"/>
      <w:r w:rsidRPr="007C7258">
        <w:rPr>
          <w:rFonts w:ascii="Times New Roman" w:hAnsi="Times New Roman"/>
          <w:bCs/>
          <w:sz w:val="24"/>
          <w:szCs w:val="24"/>
        </w:rPr>
        <w:t>the Title</w:t>
      </w:r>
      <w:proofErr w:type="gramEnd"/>
      <w:r w:rsidRPr="007C7258">
        <w:rPr>
          <w:rFonts w:ascii="Times New Roman" w:hAnsi="Times New Roman"/>
          <w:bCs/>
          <w:sz w:val="24"/>
          <w:szCs w:val="24"/>
        </w:rPr>
        <w:t xml:space="preserve"> VII claim must fail. Further, because the December 2015 and July 2018 incidents are time-barred and because the August 2018 incident alone cannot establish liability, the Title VII claims must be dismissed with prejudice.”</w:t>
      </w:r>
    </w:p>
    <w:p w14:paraId="04F35501" w14:textId="77777777" w:rsidR="007540BD" w:rsidRPr="007C7258" w:rsidRDefault="007540BD" w:rsidP="007540BD">
      <w:pPr>
        <w:pStyle w:val="NoSpacing"/>
        <w:ind w:left="720"/>
        <w:rPr>
          <w:rFonts w:ascii="Times New Roman" w:hAnsi="Times New Roman"/>
          <w:b/>
          <w:bCs/>
          <w:sz w:val="24"/>
          <w:szCs w:val="24"/>
        </w:rPr>
      </w:pPr>
      <w:hyperlink r:id="rId1431" w:history="1">
        <w:r w:rsidRPr="007C7258">
          <w:rPr>
            <w:rStyle w:val="Hyperlink"/>
            <w:rFonts w:ascii="Times New Roman" w:hAnsi="Times New Roman"/>
            <w:b/>
            <w:sz w:val="24"/>
            <w:szCs w:val="24"/>
          </w:rPr>
          <w:t>https://public.fastcase.com/Wl%2B2t%2BeVuI35%2FN70vAMFZpwObr9UCo7RpBGKfgPOWwVQBI%2BjVLV%2FylH6ScWLGBY%2F</w:t>
        </w:r>
      </w:hyperlink>
      <w:r w:rsidRPr="007C7258">
        <w:rPr>
          <w:rFonts w:ascii="Times New Roman" w:hAnsi="Times New Roman"/>
          <w:bCs/>
          <w:sz w:val="24"/>
          <w:szCs w:val="24"/>
        </w:rPr>
        <w:t xml:space="preserve"> </w:t>
      </w:r>
    </w:p>
    <w:p w14:paraId="0610A856" w14:textId="77777777" w:rsidR="007540BD" w:rsidRPr="007C7258" w:rsidRDefault="007540BD" w:rsidP="007540BD">
      <w:pPr>
        <w:pStyle w:val="NoSpacing"/>
        <w:ind w:left="720"/>
        <w:rPr>
          <w:rFonts w:ascii="Times New Roman" w:hAnsi="Times New Roman"/>
          <w:b/>
          <w:bCs/>
          <w:sz w:val="24"/>
          <w:szCs w:val="24"/>
        </w:rPr>
      </w:pPr>
    </w:p>
    <w:p w14:paraId="6B0C77B7" w14:textId="77777777" w:rsidR="007540BD" w:rsidRPr="007C7258" w:rsidRDefault="007540BD" w:rsidP="007540BD">
      <w:pPr>
        <w:pStyle w:val="NoSpacing"/>
        <w:tabs>
          <w:tab w:val="left" w:pos="3010"/>
        </w:tabs>
        <w:rPr>
          <w:rFonts w:ascii="Times New Roman" w:eastAsia="Times New Roman" w:hAnsi="Times New Roman"/>
          <w:b/>
          <w:bCs/>
          <w:sz w:val="24"/>
          <w:szCs w:val="24"/>
        </w:rPr>
      </w:pPr>
      <w:r w:rsidRPr="007C7258">
        <w:rPr>
          <w:rFonts w:ascii="Times New Roman" w:hAnsi="Times New Roman"/>
          <w:b/>
          <w:bCs/>
          <w:sz w:val="24"/>
          <w:szCs w:val="24"/>
        </w:rPr>
        <w:t xml:space="preserve">Legal Lessons Learned: It’s great to have fun on duty; </w:t>
      </w:r>
      <w:r>
        <w:rPr>
          <w:rFonts w:ascii="Times New Roman" w:hAnsi="Times New Roman"/>
          <w:b/>
          <w:bCs/>
          <w:sz w:val="24"/>
          <w:szCs w:val="24"/>
        </w:rPr>
        <w:t xml:space="preserve">but jokes about sexual orientation are not appropriate. </w:t>
      </w:r>
      <w:r w:rsidRPr="007C7258">
        <w:rPr>
          <w:rFonts w:ascii="Times New Roman" w:hAnsi="Times New Roman"/>
          <w:b/>
          <w:bCs/>
          <w:sz w:val="24"/>
          <w:szCs w:val="24"/>
        </w:rPr>
        <w:t xml:space="preserve">  </w:t>
      </w:r>
    </w:p>
    <w:p w14:paraId="58598D15" w14:textId="77777777" w:rsidR="007540BD" w:rsidRPr="007C7258" w:rsidRDefault="007540BD" w:rsidP="007540BD">
      <w:pPr>
        <w:spacing w:before="100" w:beforeAutospacing="1" w:after="100" w:afterAutospacing="1" w:line="240" w:lineRule="auto"/>
        <w:ind w:left="720"/>
        <w:rPr>
          <w:rFonts w:ascii="Times New Roman" w:eastAsia="Times New Roman" w:hAnsi="Times New Roman"/>
          <w:sz w:val="24"/>
          <w:szCs w:val="24"/>
        </w:rPr>
      </w:pPr>
    </w:p>
    <w:p w14:paraId="0DE8C4C8" w14:textId="77777777" w:rsidR="007540BD" w:rsidRDefault="007540BD" w:rsidP="002B1283">
      <w:pPr>
        <w:rPr>
          <w:rFonts w:ascii="Arial Black" w:hAnsi="Arial Black"/>
          <w:b/>
          <w:sz w:val="24"/>
          <w:szCs w:val="24"/>
        </w:rPr>
      </w:pPr>
    </w:p>
    <w:p w14:paraId="63C40E13" w14:textId="77777777" w:rsidR="007540BD" w:rsidRDefault="007540BD" w:rsidP="002B1283">
      <w:pPr>
        <w:rPr>
          <w:rFonts w:ascii="Arial Black" w:hAnsi="Arial Black"/>
          <w:b/>
          <w:sz w:val="24"/>
          <w:szCs w:val="24"/>
        </w:rPr>
      </w:pPr>
    </w:p>
    <w:p w14:paraId="298F5E61" w14:textId="2B57D646" w:rsidR="00997329" w:rsidRDefault="00997329" w:rsidP="002B1283">
      <w:pPr>
        <w:rPr>
          <w:rFonts w:ascii="Arial Black" w:hAnsi="Arial Black"/>
          <w:b/>
          <w:sz w:val="24"/>
          <w:szCs w:val="24"/>
        </w:rPr>
      </w:pPr>
      <w:r>
        <w:rPr>
          <w:rFonts w:ascii="Arial Black" w:hAnsi="Arial Black"/>
          <w:b/>
          <w:sz w:val="24"/>
          <w:szCs w:val="24"/>
        </w:rPr>
        <w:t>7-16</w:t>
      </w:r>
    </w:p>
    <w:p w14:paraId="0329E2ED" w14:textId="77777777" w:rsidR="00997329" w:rsidRDefault="00997329" w:rsidP="00997329">
      <w:pPr>
        <w:pStyle w:val="NoSpacing"/>
        <w:rPr>
          <w:rFonts w:ascii="Arial Black" w:hAnsi="Arial Black"/>
          <w:sz w:val="28"/>
          <w:szCs w:val="28"/>
        </w:rPr>
      </w:pPr>
      <w:r w:rsidRPr="00855FB3">
        <w:rPr>
          <w:rFonts w:ascii="Arial Black" w:hAnsi="Arial Black"/>
          <w:sz w:val="28"/>
          <w:szCs w:val="28"/>
        </w:rPr>
        <w:t xml:space="preserve">PA: </w:t>
      </w:r>
      <w:r>
        <w:rPr>
          <w:rFonts w:ascii="Arial Black" w:hAnsi="Arial Black"/>
          <w:sz w:val="28"/>
          <w:szCs w:val="28"/>
        </w:rPr>
        <w:t xml:space="preserve">PREGNANT MEDIC – SUPERVISOR COMMENTS – MAY SOON “HATCH” - NOT HOSTILE WORKPLACE – SHE WAS SUSPENDED FOR CAUSE </w:t>
      </w:r>
    </w:p>
    <w:p w14:paraId="33762621" w14:textId="77777777" w:rsidR="00BF4DDE" w:rsidRDefault="00BF4DDE" w:rsidP="00997329">
      <w:pPr>
        <w:pStyle w:val="NoSpacing"/>
        <w:rPr>
          <w:rFonts w:ascii="Arial Black" w:hAnsi="Arial Black"/>
          <w:sz w:val="28"/>
          <w:szCs w:val="28"/>
        </w:rPr>
      </w:pPr>
    </w:p>
    <w:p w14:paraId="267F6941" w14:textId="055BF296" w:rsidR="00997329" w:rsidRPr="00465FB3" w:rsidRDefault="00997329" w:rsidP="00997329">
      <w:pPr>
        <w:pStyle w:val="NoSpacing"/>
        <w:rPr>
          <w:rFonts w:ascii="Times New Roman" w:hAnsi="Times New Roman"/>
          <w:b/>
          <w:bCs/>
          <w:sz w:val="24"/>
          <w:szCs w:val="24"/>
        </w:rPr>
      </w:pPr>
      <w:r w:rsidRPr="00465FB3">
        <w:rPr>
          <w:rFonts w:ascii="Times New Roman" w:hAnsi="Times New Roman"/>
          <w:bCs/>
          <w:sz w:val="24"/>
          <w:szCs w:val="24"/>
        </w:rPr>
        <w:t xml:space="preserve">On March 4, 2020, in </w:t>
      </w:r>
      <w:r w:rsidRPr="00465FB3">
        <w:rPr>
          <w:rFonts w:ascii="Times New Roman" w:hAnsi="Times New Roman"/>
          <w:bCs/>
          <w:sz w:val="24"/>
          <w:szCs w:val="24"/>
          <w:u w:val="single"/>
        </w:rPr>
        <w:t xml:space="preserve">Janel Fritz v. </w:t>
      </w:r>
      <w:proofErr w:type="spellStart"/>
      <w:r w:rsidRPr="00465FB3">
        <w:rPr>
          <w:rFonts w:ascii="Times New Roman" w:hAnsi="Times New Roman"/>
          <w:bCs/>
          <w:sz w:val="24"/>
          <w:szCs w:val="24"/>
          <w:u w:val="single"/>
        </w:rPr>
        <w:t>Uwchlan</w:t>
      </w:r>
      <w:proofErr w:type="spellEnd"/>
      <w:r w:rsidRPr="00465FB3">
        <w:rPr>
          <w:rFonts w:ascii="Times New Roman" w:hAnsi="Times New Roman"/>
          <w:bCs/>
          <w:sz w:val="24"/>
          <w:szCs w:val="24"/>
          <w:u w:val="single"/>
        </w:rPr>
        <w:t xml:space="preserve"> Ambulance Corps, Inc</w:t>
      </w:r>
      <w:r w:rsidRPr="00465FB3">
        <w:rPr>
          <w:rFonts w:ascii="Times New Roman" w:hAnsi="Times New Roman"/>
          <w:bCs/>
          <w:sz w:val="24"/>
          <w:szCs w:val="24"/>
        </w:rPr>
        <w:t xml:space="preserve">., U.S. District Court Judge Nitza I. Alejandro, Eastern District of Pennsylvania, granted defense motion for summary judgment, finding no pregnancy or gender discrimination. </w:t>
      </w:r>
    </w:p>
    <w:p w14:paraId="00F5B51D" w14:textId="77777777" w:rsidR="00997329" w:rsidRPr="00465FB3" w:rsidRDefault="00997329" w:rsidP="00997329">
      <w:pPr>
        <w:pStyle w:val="NoSpacing"/>
        <w:rPr>
          <w:rFonts w:ascii="Times New Roman" w:hAnsi="Times New Roman"/>
          <w:b/>
          <w:bCs/>
          <w:sz w:val="24"/>
          <w:szCs w:val="24"/>
        </w:rPr>
      </w:pPr>
    </w:p>
    <w:p w14:paraId="6D31CC7C" w14:textId="77777777" w:rsidR="00997329" w:rsidRPr="00465FB3" w:rsidRDefault="00997329" w:rsidP="00997329">
      <w:pPr>
        <w:pStyle w:val="NoSpacing"/>
        <w:ind w:left="720"/>
        <w:rPr>
          <w:rFonts w:ascii="Times New Roman" w:hAnsi="Times New Roman"/>
          <w:b/>
          <w:bCs/>
          <w:sz w:val="24"/>
          <w:szCs w:val="24"/>
        </w:rPr>
      </w:pPr>
      <w:r w:rsidRPr="00465FB3">
        <w:rPr>
          <w:rFonts w:ascii="Times New Roman" w:hAnsi="Times New Roman"/>
          <w:bCs/>
          <w:sz w:val="24"/>
          <w:szCs w:val="24"/>
        </w:rPr>
        <w:t xml:space="preserve">“Plaintiff also contends that Defendant's employees repeatedly urged her to begin maternity leave prior to the birth of her child, and prior to the date required and directed by her doctor. When Supervisor John </w:t>
      </w:r>
      <w:proofErr w:type="gramStart"/>
      <w:r w:rsidRPr="00465FB3">
        <w:rPr>
          <w:rFonts w:ascii="Times New Roman" w:hAnsi="Times New Roman"/>
          <w:bCs/>
          <w:sz w:val="24"/>
          <w:szCs w:val="24"/>
        </w:rPr>
        <w:t>Applegate (‘</w:t>
      </w:r>
      <w:proofErr w:type="gramEnd"/>
      <w:r w:rsidRPr="00465FB3">
        <w:rPr>
          <w:rFonts w:ascii="Times New Roman" w:hAnsi="Times New Roman"/>
          <w:bCs/>
          <w:sz w:val="24"/>
          <w:szCs w:val="24"/>
        </w:rPr>
        <w:t xml:space="preserve">Supervisor Applegate’) encouraged Plaintiff to go out on leave earlier than Plaintiff had planned, he told her that he would ‘save her spot’ for twelve weeks. Supervisor Applegate made the following comments to Plaintiff while she was pregnant: 1) Plaintiff's shirt looked like ‘a tent,’ 2) Plaintiff looked like she was ‘ready to pop,’ 3) Plaintiff should not work too hard because she may ‘hatch,’ and 4) Plaintiff should let him know ‘if [she] hatch[es].’ *** “[T]his Court finds that the record does not contain any evidence to support a nexus between Plaintiff's pregnancy and her suspension. The record clearly reflects, and Plaintiff repeatedly acknowledges, that she was suspended for accusing a coworker of benefiting from nepotism. Although Plaintiff baldly contended in her complaint that the proffered reason for her suspension was pretextual and baseless, she continually acknowledges that she was suspended because of her statements about Matthew not being subject to discipline due to his familial relationship with a supervisor. Because there is no nexus between Plaintiff's pregnancy and her suspension, she cannot satisfy the fourth element of her pregnancy discrimination claim. Therefore, summary judgment is granted in favor of Defendant with respect to Plaintiff's pregnancy discrimination </w:t>
      </w:r>
      <w:proofErr w:type="gramStart"/>
      <w:r w:rsidRPr="00465FB3">
        <w:rPr>
          <w:rFonts w:ascii="Times New Roman" w:hAnsi="Times New Roman"/>
          <w:bCs/>
          <w:sz w:val="24"/>
          <w:szCs w:val="24"/>
        </w:rPr>
        <w:t>claim.”</w:t>
      </w:r>
      <w:proofErr w:type="gramEnd"/>
      <w:r w:rsidRPr="00465FB3">
        <w:rPr>
          <w:rFonts w:ascii="Times New Roman" w:hAnsi="Times New Roman"/>
          <w:bCs/>
          <w:sz w:val="24"/>
          <w:szCs w:val="24"/>
        </w:rPr>
        <w:t xml:space="preserve"> </w:t>
      </w:r>
      <w:hyperlink r:id="rId1432" w:history="1">
        <w:r w:rsidRPr="00465FB3">
          <w:rPr>
            <w:rStyle w:val="Hyperlink"/>
            <w:rFonts w:ascii="Times New Roman" w:hAnsi="Times New Roman"/>
            <w:bCs/>
            <w:sz w:val="24"/>
            <w:szCs w:val="24"/>
          </w:rPr>
          <w:t>https://public.fastcase.com/Wl%2B2t%2BeVuI35%2FN70vAMFZsLQ8Zjgb2jk542DjlxpVQs5PCG3jEwwTTQV0VgsrBHY</w:t>
        </w:r>
      </w:hyperlink>
    </w:p>
    <w:p w14:paraId="2A7E9EAB" w14:textId="77777777" w:rsidR="00997329" w:rsidRPr="00465FB3" w:rsidRDefault="00997329" w:rsidP="00997329">
      <w:pPr>
        <w:pStyle w:val="NoSpacing"/>
        <w:ind w:left="720"/>
        <w:rPr>
          <w:rFonts w:ascii="Times New Roman" w:hAnsi="Times New Roman"/>
          <w:b/>
          <w:bCs/>
          <w:sz w:val="24"/>
          <w:szCs w:val="24"/>
        </w:rPr>
      </w:pPr>
    </w:p>
    <w:p w14:paraId="6870EF31" w14:textId="77777777" w:rsidR="00997329" w:rsidRPr="00465FB3" w:rsidRDefault="00997329" w:rsidP="00997329">
      <w:pPr>
        <w:pStyle w:val="NoSpacing"/>
        <w:rPr>
          <w:rFonts w:ascii="Times New Roman" w:hAnsi="Times New Roman"/>
          <w:b/>
          <w:bCs/>
          <w:sz w:val="24"/>
          <w:szCs w:val="24"/>
        </w:rPr>
      </w:pPr>
      <w:r w:rsidRPr="00465FB3">
        <w:rPr>
          <w:rFonts w:ascii="Times New Roman" w:hAnsi="Times New Roman"/>
          <w:b/>
          <w:bCs/>
          <w:sz w:val="24"/>
          <w:szCs w:val="24"/>
        </w:rPr>
        <w:t>Legal Lessons Learned:  Great quote by Court: “As the United States Supreme Court has continuously held, Title VII ‘does not set forth a general civility code for the American workplace.’ Burlington Northern &amp; Santa Fe Ry. v. White, 548 U.S. 53, 68 (2006).”</w:t>
      </w:r>
    </w:p>
    <w:p w14:paraId="1BB8AC47" w14:textId="77777777" w:rsidR="00997329" w:rsidRDefault="00997329" w:rsidP="002B1283">
      <w:pPr>
        <w:rPr>
          <w:rFonts w:ascii="Arial Black" w:hAnsi="Arial Black"/>
          <w:b/>
          <w:sz w:val="24"/>
          <w:szCs w:val="24"/>
        </w:rPr>
      </w:pPr>
    </w:p>
    <w:p w14:paraId="3F7AFB65" w14:textId="123F269A" w:rsidR="00997329" w:rsidRDefault="00997329" w:rsidP="002B1283">
      <w:pPr>
        <w:rPr>
          <w:rFonts w:ascii="Arial Black" w:hAnsi="Arial Black"/>
          <w:b/>
          <w:sz w:val="24"/>
          <w:szCs w:val="24"/>
        </w:rPr>
      </w:pPr>
      <w:r>
        <w:rPr>
          <w:rFonts w:ascii="Arial Black" w:hAnsi="Arial Black"/>
          <w:b/>
          <w:sz w:val="24"/>
          <w:szCs w:val="24"/>
        </w:rPr>
        <w:t>7-15</w:t>
      </w:r>
    </w:p>
    <w:p w14:paraId="50E4C7AE" w14:textId="77777777" w:rsidR="00997329" w:rsidRPr="00AD65BD" w:rsidRDefault="00997329" w:rsidP="00997329">
      <w:pPr>
        <w:pStyle w:val="NoSpacing"/>
        <w:rPr>
          <w:rFonts w:ascii="Arial Black" w:hAnsi="Arial Black"/>
          <w:sz w:val="28"/>
          <w:szCs w:val="28"/>
        </w:rPr>
      </w:pPr>
      <w:r w:rsidRPr="00AD65BD">
        <w:rPr>
          <w:rFonts w:ascii="Arial Black" w:hAnsi="Arial Black"/>
          <w:sz w:val="28"/>
          <w:szCs w:val="28"/>
        </w:rPr>
        <w:t xml:space="preserve">PA:  </w:t>
      </w:r>
      <w:r>
        <w:rPr>
          <w:rFonts w:ascii="Arial Black" w:hAnsi="Arial Black"/>
          <w:sz w:val="28"/>
          <w:szCs w:val="28"/>
        </w:rPr>
        <w:t xml:space="preserve">FEMALE </w:t>
      </w:r>
      <w:r w:rsidRPr="00AD65BD">
        <w:rPr>
          <w:rFonts w:ascii="Arial Black" w:hAnsi="Arial Black"/>
          <w:sz w:val="28"/>
          <w:szCs w:val="28"/>
        </w:rPr>
        <w:t xml:space="preserve">EMS INSTRUCTOR FIRED </w:t>
      </w:r>
      <w:r>
        <w:rPr>
          <w:rFonts w:ascii="Arial Black" w:hAnsi="Arial Black"/>
          <w:sz w:val="28"/>
          <w:szCs w:val="28"/>
        </w:rPr>
        <w:t xml:space="preserve">– RUDE TO </w:t>
      </w:r>
      <w:r w:rsidRPr="00AD65BD">
        <w:rPr>
          <w:rFonts w:ascii="Arial Black" w:hAnsi="Arial Black"/>
          <w:sz w:val="28"/>
          <w:szCs w:val="28"/>
        </w:rPr>
        <w:t>STUDENTS</w:t>
      </w:r>
      <w:r>
        <w:rPr>
          <w:rFonts w:ascii="Arial Black" w:hAnsi="Arial Black"/>
          <w:sz w:val="28"/>
          <w:szCs w:val="28"/>
        </w:rPr>
        <w:t xml:space="preserve"> &amp; STAFF – NOT GENDER DISCRIMINATION </w:t>
      </w:r>
    </w:p>
    <w:p w14:paraId="73CD2DDB" w14:textId="77777777" w:rsidR="00997329" w:rsidRDefault="00997329" w:rsidP="00997329">
      <w:pPr>
        <w:pStyle w:val="NoSpacing"/>
        <w:rPr>
          <w:rFonts w:ascii="EArial Black" w:hAnsi="EArial Black"/>
          <w:sz w:val="28"/>
          <w:szCs w:val="28"/>
        </w:rPr>
      </w:pPr>
    </w:p>
    <w:p w14:paraId="21652DFC" w14:textId="37ED45BA" w:rsidR="00997329" w:rsidRDefault="00997329" w:rsidP="00997329">
      <w:pPr>
        <w:pStyle w:val="NoSpacing"/>
        <w:rPr>
          <w:rFonts w:ascii="Times New Roman" w:hAnsi="Times New Roman"/>
          <w:bCs/>
          <w:sz w:val="24"/>
          <w:szCs w:val="24"/>
        </w:rPr>
      </w:pPr>
      <w:r w:rsidRPr="00465FB3">
        <w:rPr>
          <w:rFonts w:ascii="Times New Roman" w:hAnsi="Times New Roman"/>
          <w:bCs/>
          <w:sz w:val="24"/>
          <w:szCs w:val="24"/>
        </w:rPr>
        <w:t xml:space="preserve">On Feb. 26, 2020, in </w:t>
      </w:r>
      <w:r w:rsidRPr="00465FB3">
        <w:rPr>
          <w:rFonts w:ascii="Times New Roman" w:hAnsi="Times New Roman"/>
          <w:bCs/>
          <w:sz w:val="24"/>
          <w:szCs w:val="24"/>
          <w:u w:val="single"/>
        </w:rPr>
        <w:t>Kimberly Brandt v. Thomas Jefferson University Hospitals, Inc</w:t>
      </w:r>
      <w:r w:rsidRPr="00465FB3">
        <w:rPr>
          <w:rFonts w:ascii="Times New Roman" w:hAnsi="Times New Roman"/>
          <w:bCs/>
          <w:sz w:val="24"/>
          <w:szCs w:val="24"/>
        </w:rPr>
        <w:t xml:space="preserve">., U.S. District Court Judge Harvey Bartle, III, Eastern District of Pennsylvania, granted the Hospital’s motion for summary judgment.  </w:t>
      </w:r>
    </w:p>
    <w:p w14:paraId="2498BE33" w14:textId="77777777" w:rsidR="00997329" w:rsidRPr="00465FB3" w:rsidRDefault="00997329" w:rsidP="00997329">
      <w:pPr>
        <w:pStyle w:val="NoSpacing"/>
        <w:rPr>
          <w:rFonts w:ascii="Times New Roman" w:hAnsi="Times New Roman"/>
          <w:sz w:val="24"/>
          <w:szCs w:val="24"/>
        </w:rPr>
      </w:pPr>
    </w:p>
    <w:p w14:paraId="41A1E71A" w14:textId="77777777" w:rsidR="00997329" w:rsidRPr="00465FB3" w:rsidRDefault="00997329" w:rsidP="00997329">
      <w:pPr>
        <w:ind w:left="720"/>
        <w:rPr>
          <w:rFonts w:ascii="Times New Roman" w:hAnsi="Times New Roman"/>
          <w:sz w:val="24"/>
          <w:szCs w:val="24"/>
        </w:rPr>
      </w:pPr>
      <w:r w:rsidRPr="00465FB3">
        <w:rPr>
          <w:rFonts w:ascii="Times New Roman" w:eastAsia="Times New Roman" w:hAnsi="Times New Roman"/>
          <w:sz w:val="24"/>
          <w:szCs w:val="24"/>
        </w:rPr>
        <w:t xml:space="preserve">“Simply put, the undisputed facts do not suggest that Brandt's employment was terminated due to discrimination in which she was less favored than her male colleagues. By contrast, the record is filled with evidence that suggests her termination was due to her mistreatment of students and unprofessional behavior toward staff. Accordingly, the court will grant the motion of defendant for summary judgment as to Brandt's claims for gender discrimination under Title VII.” </w:t>
      </w:r>
      <w:hyperlink r:id="rId1433" w:history="1">
        <w:r w:rsidRPr="00465FB3">
          <w:rPr>
            <w:rStyle w:val="Hyperlink"/>
            <w:rFonts w:ascii="Times New Roman" w:eastAsia="Times New Roman" w:hAnsi="Times New Roman"/>
            <w:sz w:val="24"/>
            <w:szCs w:val="24"/>
          </w:rPr>
          <w:t>https://public.fastcase.com/Wl%2B2t%2BeVuI35%2FN70vAMFZlbQ%2BrzY3OsVa9hMy3HWGsXkXncgvfLlObTaYTDVckkj</w:t>
        </w:r>
      </w:hyperlink>
    </w:p>
    <w:p w14:paraId="609464D6" w14:textId="77777777" w:rsidR="00997329" w:rsidRPr="00465FB3" w:rsidRDefault="00997329" w:rsidP="00997329">
      <w:pPr>
        <w:spacing w:before="100" w:beforeAutospacing="1" w:after="100" w:afterAutospacing="1" w:line="240" w:lineRule="auto"/>
        <w:rPr>
          <w:rFonts w:ascii="Times New Roman" w:eastAsia="Times New Roman" w:hAnsi="Times New Roman"/>
          <w:b/>
          <w:bCs/>
          <w:sz w:val="24"/>
          <w:szCs w:val="24"/>
        </w:rPr>
      </w:pPr>
      <w:r w:rsidRPr="00465FB3">
        <w:rPr>
          <w:rFonts w:ascii="Times New Roman" w:eastAsia="Times New Roman" w:hAnsi="Times New Roman"/>
          <w:b/>
          <w:bCs/>
          <w:sz w:val="24"/>
          <w:szCs w:val="24"/>
        </w:rPr>
        <w:t>Legal Lessons Learned: Prompt and thorough investigation by employer established breach of Code of Conduct.</w:t>
      </w:r>
    </w:p>
    <w:p w14:paraId="7983D08E" w14:textId="77777777" w:rsidR="00997329" w:rsidRDefault="00997329" w:rsidP="002B1283">
      <w:pPr>
        <w:rPr>
          <w:rFonts w:ascii="Arial Black" w:hAnsi="Arial Black"/>
          <w:b/>
          <w:sz w:val="24"/>
          <w:szCs w:val="24"/>
        </w:rPr>
      </w:pPr>
    </w:p>
    <w:p w14:paraId="1BE30D08" w14:textId="25E7A07E" w:rsidR="00997329" w:rsidRDefault="00997329" w:rsidP="002B1283">
      <w:pPr>
        <w:rPr>
          <w:rFonts w:ascii="Arial Black" w:hAnsi="Arial Black"/>
          <w:b/>
          <w:sz w:val="24"/>
          <w:szCs w:val="24"/>
        </w:rPr>
      </w:pPr>
      <w:r>
        <w:rPr>
          <w:rFonts w:ascii="Arial Black" w:hAnsi="Arial Black"/>
          <w:b/>
          <w:sz w:val="24"/>
          <w:szCs w:val="24"/>
        </w:rPr>
        <w:t>7-14</w:t>
      </w:r>
    </w:p>
    <w:p w14:paraId="32260AA4" w14:textId="77777777" w:rsidR="00997329" w:rsidRPr="009D2D96" w:rsidRDefault="00997329" w:rsidP="0099732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AR: PUMP BREAST MILK WHILE ON DUTY – FD SPACE “FREE FROM INTRUSION” – $3.8M JURY SET ASIDE / $250K TO SETTLE</w:t>
      </w:r>
    </w:p>
    <w:p w14:paraId="7872FDA8" w14:textId="77777777" w:rsidR="00997329" w:rsidRPr="00465FB3" w:rsidRDefault="00997329" w:rsidP="00997329">
      <w:pPr>
        <w:spacing w:before="100" w:beforeAutospacing="1" w:after="100" w:afterAutospacing="1" w:line="240" w:lineRule="auto"/>
        <w:rPr>
          <w:rFonts w:ascii="Times New Roman" w:hAnsi="Times New Roman"/>
          <w:sz w:val="24"/>
          <w:szCs w:val="24"/>
        </w:rPr>
      </w:pPr>
      <w:r w:rsidRPr="00465FB3">
        <w:rPr>
          <w:rFonts w:ascii="Times New Roman" w:eastAsia="Times New Roman" w:hAnsi="Times New Roman"/>
          <w:sz w:val="24"/>
          <w:szCs w:val="24"/>
        </w:rPr>
        <w:t xml:space="preserve">On </w:t>
      </w:r>
      <w:bookmarkStart w:id="303" w:name="_Hlk39833340"/>
      <w:r w:rsidRPr="00465FB3">
        <w:rPr>
          <w:rFonts w:ascii="Times New Roman" w:eastAsia="Times New Roman" w:hAnsi="Times New Roman"/>
          <w:sz w:val="24"/>
          <w:szCs w:val="24"/>
        </w:rPr>
        <w:t xml:space="preserve">Feb. 24, 2020, in </w:t>
      </w:r>
      <w:r w:rsidRPr="00465FB3">
        <w:rPr>
          <w:rFonts w:ascii="Times New Roman" w:eastAsia="Times New Roman" w:hAnsi="Times New Roman"/>
          <w:sz w:val="24"/>
          <w:szCs w:val="24"/>
          <w:u w:val="single"/>
        </w:rPr>
        <w:t>Carrie Ferrara Clark v. City of Tucson</w:t>
      </w:r>
      <w:bookmarkEnd w:id="303"/>
      <w:r w:rsidRPr="00465FB3">
        <w:rPr>
          <w:rFonts w:ascii="Times New Roman" w:eastAsia="Times New Roman" w:hAnsi="Times New Roman"/>
          <w:sz w:val="24"/>
          <w:szCs w:val="24"/>
        </w:rPr>
        <w:t xml:space="preserve">, U.S. District Court Judge </w:t>
      </w:r>
      <w:r w:rsidRPr="00465FB3">
        <w:rPr>
          <w:rFonts w:ascii="Times New Roman" w:hAnsi="Times New Roman"/>
          <w:sz w:val="24"/>
          <w:szCs w:val="24"/>
        </w:rPr>
        <w:t xml:space="preserve">Cindy K. Jorgenson, District Court for District of Arizona, has given plaintiff thirty days to accept $250,000, or the case must be retried to another jury. The first jury, after 10 days of trial, awarded her $3,800,000. </w:t>
      </w:r>
    </w:p>
    <w:p w14:paraId="6E7A0C31" w14:textId="77777777" w:rsidR="00997329" w:rsidRPr="00465FB3" w:rsidRDefault="00997329" w:rsidP="00997329">
      <w:pPr>
        <w:pStyle w:val="NoSpacing"/>
        <w:ind w:left="810"/>
        <w:rPr>
          <w:rFonts w:ascii="Times New Roman" w:eastAsia="Times New Roman" w:hAnsi="Times New Roman"/>
          <w:b/>
          <w:bCs/>
          <w:sz w:val="24"/>
          <w:szCs w:val="24"/>
        </w:rPr>
      </w:pPr>
      <w:r w:rsidRPr="00465FB3">
        <w:rPr>
          <w:rFonts w:ascii="Times New Roman" w:eastAsia="Times New Roman" w:hAnsi="Times New Roman"/>
          <w:bCs/>
          <w:sz w:val="24"/>
          <w:szCs w:val="24"/>
        </w:rPr>
        <w:t xml:space="preserve">“Plaintiff has been an employee of the City of Tucson Fire Department (‘TFD’) since 2007. In July 2012, Plaintiff gave birth to her first son, Austin Clark, and decided to breast feed while on maternity leave and to pump breast milk when she returned to work. Plaintiff breast fed Austin while on maternity leave and contacted her superiors at TFD to ensure she would have a proper place to pump and express breastmilk when she returned to work. Upon her return to work, Plaintiff believed that the lactation spaces she was being provided were not legally compliant and initiated the underlying lawsuit in 2014. *** </w:t>
      </w:r>
      <w:r w:rsidRPr="00465FB3">
        <w:rPr>
          <w:rFonts w:ascii="Times New Roman" w:hAnsi="Times New Roman"/>
          <w:bCs/>
          <w:sz w:val="24"/>
          <w:szCs w:val="24"/>
        </w:rPr>
        <w:t xml:space="preserve">“The Court finds Defendant's first issue regarding a grossly excessive jury verdict to be sufficient and will not address, in detail, the merits of the remaining issues…. </w:t>
      </w:r>
      <w:r w:rsidRPr="00465FB3">
        <w:rPr>
          <w:rFonts w:ascii="Times New Roman" w:eastAsia="Times New Roman" w:hAnsi="Times New Roman"/>
          <w:bCs/>
          <w:sz w:val="24"/>
          <w:szCs w:val="24"/>
        </w:rPr>
        <w:t xml:space="preserve">Defendant's Motion for Remittitur is granted in the amounts provided above [$250,000]. Plaintiff has thirty (30) days with which to accept or decline the Remittitur. </w:t>
      </w:r>
      <w:bookmarkStart w:id="304" w:name="_Hlk39833376"/>
      <w:r w:rsidR="00374417">
        <w:fldChar w:fldCharType="begin"/>
      </w:r>
      <w:r w:rsidR="00374417">
        <w:instrText xml:space="preserve"> HYPERLINK "https://public.fastcase.com/Wl%2B2t%2BeVuI35%2FN70vAMFZlyCVXNUkgR2hAftJ4kpomV7SzY2G5n3EuslwwvZyCdR" </w:instrText>
      </w:r>
      <w:r w:rsidR="00374417">
        <w:fldChar w:fldCharType="separate"/>
      </w:r>
      <w:r w:rsidRPr="00465FB3">
        <w:rPr>
          <w:rStyle w:val="Hyperlink"/>
          <w:rFonts w:ascii="Times New Roman" w:eastAsia="Times New Roman" w:hAnsi="Times New Roman"/>
          <w:bCs/>
          <w:sz w:val="24"/>
          <w:szCs w:val="24"/>
        </w:rPr>
        <w:t>https://public.fastcase.com/Wl%2B2t%2BeVuI35%2FN70vAMFZlyCVXNUkgR2hAftJ4kpomV7SzY2G5n3EuslwwvZyCdR</w:t>
      </w:r>
      <w:r w:rsidR="00374417">
        <w:rPr>
          <w:rStyle w:val="Hyperlink"/>
          <w:rFonts w:ascii="Times New Roman" w:eastAsia="Times New Roman" w:hAnsi="Times New Roman"/>
          <w:bCs/>
          <w:sz w:val="24"/>
          <w:szCs w:val="24"/>
        </w:rPr>
        <w:fldChar w:fldCharType="end"/>
      </w:r>
      <w:r w:rsidRPr="00465FB3">
        <w:rPr>
          <w:rFonts w:ascii="Times New Roman" w:eastAsia="Times New Roman" w:hAnsi="Times New Roman"/>
          <w:bCs/>
          <w:sz w:val="24"/>
          <w:szCs w:val="24"/>
        </w:rPr>
        <w:t xml:space="preserve"> </w:t>
      </w:r>
    </w:p>
    <w:bookmarkEnd w:id="304"/>
    <w:p w14:paraId="4A1CC36F" w14:textId="77777777" w:rsidR="00997329" w:rsidRDefault="00997329" w:rsidP="00997329">
      <w:pPr>
        <w:spacing w:after="100" w:line="240" w:lineRule="auto"/>
        <w:rPr>
          <w:rFonts w:ascii="Times New Roman" w:eastAsia="Times New Roman" w:hAnsi="Times New Roman"/>
          <w:b/>
          <w:bCs/>
          <w:sz w:val="24"/>
          <w:szCs w:val="24"/>
        </w:rPr>
      </w:pPr>
    </w:p>
    <w:p w14:paraId="6FD49854" w14:textId="672679D5" w:rsidR="00997329" w:rsidRPr="00465FB3" w:rsidRDefault="00997329" w:rsidP="00997329">
      <w:pPr>
        <w:spacing w:after="100" w:line="240" w:lineRule="auto"/>
        <w:rPr>
          <w:rFonts w:ascii="Times New Roman" w:eastAsia="Times New Roman" w:hAnsi="Times New Roman"/>
          <w:b/>
          <w:bCs/>
          <w:sz w:val="24"/>
          <w:szCs w:val="24"/>
        </w:rPr>
      </w:pPr>
      <w:r w:rsidRPr="00465FB3">
        <w:rPr>
          <w:rFonts w:ascii="Times New Roman" w:eastAsia="Times New Roman" w:hAnsi="Times New Roman"/>
          <w:b/>
          <w:bCs/>
          <w:sz w:val="24"/>
          <w:szCs w:val="24"/>
        </w:rPr>
        <w:t>Legal Lessons Learned: Plaintiff must now either accept the lower amount or have new trial.  Employers, including fire &amp; EMS departments must provide “a place, other than a bathroom, that is shielded from view and free from intrusion from coworkers and the public, which may be used by an employee to express breast milk.”</w:t>
      </w:r>
      <w:r w:rsidRPr="00465FB3">
        <w:rPr>
          <w:rFonts w:ascii="Times New Roman" w:eastAsia="Times New Roman" w:hAnsi="Times New Roman"/>
          <w:sz w:val="24"/>
          <w:szCs w:val="24"/>
        </w:rPr>
        <w:t xml:space="preserve"> </w:t>
      </w:r>
      <w:hyperlink r:id="rId1434" w:history="1">
        <w:r w:rsidRPr="00465FB3">
          <w:rPr>
            <w:rStyle w:val="Hyperlink"/>
            <w:rFonts w:ascii="Times New Roman" w:eastAsia="Times New Roman" w:hAnsi="Times New Roman"/>
            <w:b/>
            <w:bCs/>
            <w:sz w:val="24"/>
            <w:szCs w:val="24"/>
          </w:rPr>
          <w:t>https://www.law.cornell.edu/uscode/text/29/207</w:t>
        </w:r>
      </w:hyperlink>
      <w:r w:rsidRPr="00465FB3">
        <w:rPr>
          <w:rFonts w:ascii="Times New Roman" w:eastAsia="Times New Roman" w:hAnsi="Times New Roman"/>
          <w:b/>
          <w:bCs/>
          <w:sz w:val="24"/>
          <w:szCs w:val="24"/>
        </w:rPr>
        <w:t xml:space="preserve"> </w:t>
      </w:r>
    </w:p>
    <w:p w14:paraId="49E4BCA9" w14:textId="77777777" w:rsidR="00997329" w:rsidRDefault="00997329" w:rsidP="00997329">
      <w:pPr>
        <w:spacing w:before="100" w:beforeAutospacing="1" w:after="100" w:afterAutospacing="1" w:line="240" w:lineRule="auto"/>
        <w:rPr>
          <w:rFonts w:ascii="Times New Roman" w:eastAsia="Times New Roman" w:hAnsi="Times New Roman"/>
          <w:sz w:val="24"/>
          <w:szCs w:val="24"/>
        </w:rPr>
      </w:pPr>
      <w:r w:rsidRPr="009D2D96">
        <w:rPr>
          <w:rFonts w:ascii="Times New Roman" w:eastAsia="Times New Roman" w:hAnsi="Times New Roman"/>
          <w:sz w:val="24"/>
          <w:szCs w:val="24"/>
        </w:rPr>
        <w:t xml:space="preserve">         </w:t>
      </w:r>
    </w:p>
    <w:p w14:paraId="5B329EDF" w14:textId="77777777" w:rsidR="00997329" w:rsidRPr="00465FB3" w:rsidRDefault="00997329" w:rsidP="00997329">
      <w:pPr>
        <w:spacing w:before="100" w:beforeAutospacing="1" w:after="100" w:afterAutospacing="1" w:line="240" w:lineRule="auto"/>
        <w:ind w:left="720"/>
        <w:rPr>
          <w:rFonts w:ascii="Times New Roman" w:eastAsia="Times New Roman" w:hAnsi="Times New Roman"/>
          <w:sz w:val="24"/>
          <w:szCs w:val="24"/>
        </w:rPr>
      </w:pPr>
    </w:p>
    <w:p w14:paraId="093F66BC" w14:textId="77777777" w:rsidR="00997329" w:rsidRDefault="00997329" w:rsidP="002B1283">
      <w:pPr>
        <w:rPr>
          <w:rFonts w:ascii="Arial Black" w:hAnsi="Arial Black"/>
          <w:b/>
          <w:sz w:val="24"/>
          <w:szCs w:val="24"/>
        </w:rPr>
      </w:pPr>
    </w:p>
    <w:p w14:paraId="3C7A129D" w14:textId="77777777" w:rsidR="00997329" w:rsidRDefault="00997329" w:rsidP="002B1283">
      <w:pPr>
        <w:rPr>
          <w:rFonts w:ascii="Arial Black" w:hAnsi="Arial Black"/>
          <w:b/>
          <w:sz w:val="24"/>
          <w:szCs w:val="24"/>
        </w:rPr>
      </w:pPr>
    </w:p>
    <w:p w14:paraId="71AD3712" w14:textId="7077BC27" w:rsidR="00177094" w:rsidRDefault="00177094" w:rsidP="002B1283">
      <w:pPr>
        <w:rPr>
          <w:rFonts w:ascii="Arial Black" w:hAnsi="Arial Black"/>
          <w:b/>
          <w:sz w:val="24"/>
          <w:szCs w:val="24"/>
        </w:rPr>
      </w:pPr>
      <w:r>
        <w:rPr>
          <w:rFonts w:ascii="Arial Black" w:hAnsi="Arial Black"/>
          <w:b/>
          <w:sz w:val="24"/>
          <w:szCs w:val="24"/>
        </w:rPr>
        <w:t>7-13</w:t>
      </w:r>
    </w:p>
    <w:p w14:paraId="5D1D0499" w14:textId="77777777" w:rsidR="00177094" w:rsidRDefault="00177094" w:rsidP="00177094">
      <w:pPr>
        <w:pStyle w:val="NoSpacing"/>
        <w:rPr>
          <w:rFonts w:ascii="Arial Black" w:hAnsi="Arial Black"/>
          <w:b/>
          <w:bCs/>
          <w:sz w:val="28"/>
          <w:szCs w:val="28"/>
        </w:rPr>
      </w:pPr>
      <w:bookmarkStart w:id="305" w:name="_Hlk39764858"/>
      <w:r w:rsidRPr="00DE67AC">
        <w:rPr>
          <w:rFonts w:ascii="Arial Black" w:hAnsi="Arial Black"/>
          <w:bCs/>
          <w:sz w:val="28"/>
          <w:szCs w:val="28"/>
        </w:rPr>
        <w:t>GA:</w:t>
      </w:r>
      <w:r>
        <w:rPr>
          <w:rFonts w:ascii="Arial Black" w:hAnsi="Arial Black"/>
          <w:bCs/>
          <w:sz w:val="28"/>
          <w:szCs w:val="28"/>
        </w:rPr>
        <w:t xml:space="preserve"> PRIVATE AMBULANCE – MGR’S OCCASIONAL SEXUAL COMMENTS EMT - WORKED OUT TOGETHER – LAWSUIT DISMISSED</w:t>
      </w:r>
    </w:p>
    <w:p w14:paraId="3D46519A" w14:textId="77777777" w:rsidR="00177094" w:rsidRDefault="00177094" w:rsidP="00177094">
      <w:pPr>
        <w:pStyle w:val="NoSpacing"/>
        <w:rPr>
          <w:rFonts w:ascii="Arial Black" w:hAnsi="Arial Black"/>
          <w:b/>
          <w:bCs/>
          <w:sz w:val="28"/>
          <w:szCs w:val="28"/>
        </w:rPr>
      </w:pPr>
    </w:p>
    <w:p w14:paraId="4DB549A0" w14:textId="6267FF80" w:rsidR="00177094" w:rsidRPr="004236BE" w:rsidRDefault="00177094" w:rsidP="00177094">
      <w:pPr>
        <w:pStyle w:val="NoSpacing"/>
        <w:rPr>
          <w:rFonts w:ascii="Times New Roman" w:hAnsi="Times New Roman"/>
          <w:b/>
          <w:bCs/>
          <w:sz w:val="24"/>
          <w:szCs w:val="24"/>
        </w:rPr>
      </w:pPr>
      <w:r w:rsidRPr="004236BE">
        <w:rPr>
          <w:rFonts w:ascii="Times New Roman" w:hAnsi="Times New Roman"/>
          <w:bCs/>
          <w:sz w:val="24"/>
          <w:szCs w:val="24"/>
        </w:rPr>
        <w:t xml:space="preserve">On Jan. 16, 2020, in </w:t>
      </w:r>
      <w:proofErr w:type="spellStart"/>
      <w:r w:rsidRPr="004236BE">
        <w:rPr>
          <w:rFonts w:ascii="Times New Roman" w:hAnsi="Times New Roman"/>
          <w:bCs/>
          <w:sz w:val="24"/>
          <w:szCs w:val="24"/>
          <w:u w:val="single"/>
        </w:rPr>
        <w:t>D’Marius</w:t>
      </w:r>
      <w:proofErr w:type="spellEnd"/>
      <w:r w:rsidRPr="004236BE">
        <w:rPr>
          <w:rFonts w:ascii="Times New Roman" w:hAnsi="Times New Roman"/>
          <w:bCs/>
          <w:sz w:val="24"/>
          <w:szCs w:val="24"/>
          <w:u w:val="single"/>
        </w:rPr>
        <w:t xml:space="preserve"> Allen v. </w:t>
      </w:r>
      <w:proofErr w:type="spellStart"/>
      <w:r w:rsidRPr="004236BE">
        <w:rPr>
          <w:rFonts w:ascii="Times New Roman" w:hAnsi="Times New Roman"/>
          <w:bCs/>
          <w:sz w:val="24"/>
          <w:szCs w:val="24"/>
          <w:u w:val="single"/>
        </w:rPr>
        <w:t>AmbuiStat</w:t>
      </w:r>
      <w:proofErr w:type="spellEnd"/>
      <w:r w:rsidRPr="004236BE">
        <w:rPr>
          <w:rFonts w:ascii="Times New Roman" w:hAnsi="Times New Roman"/>
          <w:bCs/>
          <w:sz w:val="24"/>
          <w:szCs w:val="24"/>
          <w:u w:val="single"/>
        </w:rPr>
        <w:t>, LLC</w:t>
      </w:r>
      <w:r w:rsidRPr="004236BE">
        <w:rPr>
          <w:rFonts w:ascii="Times New Roman" w:hAnsi="Times New Roman"/>
          <w:bCs/>
          <w:sz w:val="24"/>
          <w:szCs w:val="24"/>
        </w:rPr>
        <w:t>, the U.S. Court of Appeals for the 11</w:t>
      </w:r>
      <w:r w:rsidRPr="004236BE">
        <w:rPr>
          <w:rFonts w:ascii="Times New Roman" w:hAnsi="Times New Roman"/>
          <w:bCs/>
          <w:sz w:val="24"/>
          <w:szCs w:val="24"/>
          <w:vertAlign w:val="superscript"/>
        </w:rPr>
        <w:t>th</w:t>
      </w:r>
      <w:r w:rsidRPr="004236BE">
        <w:rPr>
          <w:rFonts w:ascii="Times New Roman" w:hAnsi="Times New Roman"/>
          <w:bCs/>
          <w:sz w:val="24"/>
          <w:szCs w:val="24"/>
        </w:rPr>
        <w:t xml:space="preserve"> Circuit (Atlanta)</w:t>
      </w:r>
      <w:r w:rsidR="00A84C9A">
        <w:rPr>
          <w:rFonts w:ascii="Times New Roman" w:hAnsi="Times New Roman"/>
          <w:bCs/>
          <w:sz w:val="24"/>
          <w:szCs w:val="24"/>
        </w:rPr>
        <w:t xml:space="preserve">, in unpublished decision, </w:t>
      </w:r>
      <w:r w:rsidRPr="004236BE">
        <w:rPr>
          <w:rFonts w:ascii="Times New Roman" w:hAnsi="Times New Roman"/>
          <w:bCs/>
          <w:sz w:val="24"/>
          <w:szCs w:val="24"/>
        </w:rPr>
        <w:t xml:space="preserve">upheld the U.S. District Court’s grant of summary judgment for the private ambulance company. </w:t>
      </w:r>
    </w:p>
    <w:p w14:paraId="3ED6604F" w14:textId="77777777" w:rsidR="00177094" w:rsidRPr="004236BE" w:rsidRDefault="00177094" w:rsidP="00177094">
      <w:pPr>
        <w:pStyle w:val="NoSpacing"/>
        <w:rPr>
          <w:rFonts w:ascii="Times New Roman" w:hAnsi="Times New Roman"/>
          <w:b/>
          <w:bCs/>
          <w:sz w:val="24"/>
          <w:szCs w:val="24"/>
        </w:rPr>
      </w:pPr>
    </w:p>
    <w:p w14:paraId="6D79E521" w14:textId="09BBAA13" w:rsidR="00177094" w:rsidRPr="004236BE" w:rsidRDefault="00177094" w:rsidP="00177094">
      <w:pPr>
        <w:pStyle w:val="NoSpacing"/>
        <w:ind w:left="720"/>
        <w:rPr>
          <w:rFonts w:ascii="Times New Roman" w:eastAsia="Times New Roman" w:hAnsi="Times New Roman"/>
          <w:b/>
          <w:bCs/>
          <w:sz w:val="24"/>
          <w:szCs w:val="24"/>
        </w:rPr>
      </w:pPr>
      <w:r w:rsidRPr="004236BE">
        <w:rPr>
          <w:rFonts w:ascii="Times New Roman" w:hAnsi="Times New Roman"/>
          <w:bCs/>
          <w:sz w:val="24"/>
          <w:szCs w:val="24"/>
        </w:rPr>
        <w:t xml:space="preserve">“At issue in this case is the fourth element -- whether the harassment was severe or pervasive. As we have </w:t>
      </w:r>
      <w:proofErr w:type="gramStart"/>
      <w:r w:rsidRPr="004236BE">
        <w:rPr>
          <w:rFonts w:ascii="Times New Roman" w:hAnsi="Times New Roman"/>
          <w:bCs/>
          <w:sz w:val="24"/>
          <w:szCs w:val="24"/>
        </w:rPr>
        <w:t>explained, ‘</w:t>
      </w:r>
      <w:proofErr w:type="gramEnd"/>
      <w:r w:rsidRPr="004236BE">
        <w:rPr>
          <w:rFonts w:ascii="Times New Roman" w:hAnsi="Times New Roman"/>
          <w:bCs/>
          <w:sz w:val="24"/>
          <w:szCs w:val="24"/>
        </w:rPr>
        <w:t xml:space="preserve">Title VII is not a civility code, and not all profane or sexual language or conduct will constitute discrimination in the terms and conditions of employment.’ *** Here, Allen points to five isolated comments. These sporadic comments, spread over four months, can hardly be described as </w:t>
      </w:r>
      <w:proofErr w:type="gramStart"/>
      <w:r w:rsidRPr="004236BE">
        <w:rPr>
          <w:rFonts w:ascii="Times New Roman" w:hAnsi="Times New Roman"/>
          <w:bCs/>
          <w:sz w:val="24"/>
          <w:szCs w:val="24"/>
        </w:rPr>
        <w:t>frequent</w:t>
      </w:r>
      <w:proofErr w:type="gramEnd"/>
      <w:r w:rsidRPr="004236BE">
        <w:rPr>
          <w:rFonts w:ascii="Times New Roman" w:hAnsi="Times New Roman"/>
          <w:bCs/>
          <w:sz w:val="24"/>
          <w:szCs w:val="24"/>
        </w:rPr>
        <w:t xml:space="preserve">. Further, the comments appear to have been said in a joking manner, and in the overarching context of Allen being friendly with Santos (or working out together in a gym). Indeed, Allen admitted she was ‘friends outside of work’ with Santos and Rita. </w:t>
      </w:r>
      <w:r w:rsidR="00DB482B">
        <w:rPr>
          <w:rFonts w:ascii="Times New Roman" w:hAnsi="Times New Roman"/>
          <w:bCs/>
          <w:sz w:val="24"/>
          <w:szCs w:val="24"/>
        </w:rPr>
        <w:t xml:space="preserve">*** </w:t>
      </w:r>
      <w:r>
        <w:rPr>
          <w:rFonts w:ascii="Times New Roman" w:hAnsi="Times New Roman"/>
          <w:bCs/>
          <w:sz w:val="24"/>
          <w:szCs w:val="24"/>
        </w:rPr>
        <w:t>I</w:t>
      </w:r>
      <w:r w:rsidRPr="004236BE">
        <w:rPr>
          <w:rFonts w:ascii="Times New Roman" w:hAnsi="Times New Roman"/>
          <w:bCs/>
          <w:sz w:val="24"/>
          <w:szCs w:val="24"/>
        </w:rPr>
        <w:t xml:space="preserve">n short, </w:t>
      </w:r>
      <w:proofErr w:type="gramStart"/>
      <w:r w:rsidRPr="004236BE">
        <w:rPr>
          <w:rFonts w:ascii="Times New Roman" w:hAnsi="Times New Roman"/>
          <w:bCs/>
          <w:sz w:val="24"/>
          <w:szCs w:val="24"/>
        </w:rPr>
        <w:t>Allen’s pervasiveness</w:t>
      </w:r>
      <w:proofErr w:type="gramEnd"/>
      <w:r w:rsidRPr="004236BE">
        <w:rPr>
          <w:rFonts w:ascii="Times New Roman" w:hAnsi="Times New Roman"/>
          <w:bCs/>
          <w:sz w:val="24"/>
          <w:szCs w:val="24"/>
        </w:rPr>
        <w:t xml:space="preserve"> argument fails to </w:t>
      </w:r>
      <w:proofErr w:type="gramStart"/>
      <w:r w:rsidRPr="004236BE">
        <w:rPr>
          <w:rFonts w:ascii="Times New Roman" w:hAnsi="Times New Roman"/>
          <w:bCs/>
          <w:sz w:val="24"/>
          <w:szCs w:val="24"/>
        </w:rPr>
        <w:t>pass</w:t>
      </w:r>
      <w:proofErr w:type="gramEnd"/>
      <w:r w:rsidRPr="004236BE">
        <w:rPr>
          <w:rFonts w:ascii="Times New Roman" w:hAnsi="Times New Roman"/>
          <w:bCs/>
          <w:sz w:val="24"/>
          <w:szCs w:val="24"/>
        </w:rPr>
        <w:t xml:space="preserve"> muster. Plainly, Santos engaged in unsavory and unpleasant conduct. However, as we have emphasized, this type of boorish behavior, with this kind of frequency, is insufficient to constitute pervasiveness for a sexual harassment action under Title VII. After reviewing Allen’s </w:t>
      </w:r>
      <w:proofErr w:type="gramStart"/>
      <w:r w:rsidRPr="004236BE">
        <w:rPr>
          <w:rFonts w:ascii="Times New Roman" w:hAnsi="Times New Roman"/>
          <w:bCs/>
          <w:sz w:val="24"/>
          <w:szCs w:val="24"/>
        </w:rPr>
        <w:t>claims, and</w:t>
      </w:r>
      <w:proofErr w:type="gramEnd"/>
      <w:r w:rsidRPr="004236BE">
        <w:rPr>
          <w:rFonts w:ascii="Times New Roman" w:hAnsi="Times New Roman"/>
          <w:bCs/>
          <w:sz w:val="24"/>
          <w:szCs w:val="24"/>
        </w:rPr>
        <w:t xml:space="preserve"> comparing them against those in which this Court has rejected claims of pervasive harassment, we are required to come to the same </w:t>
      </w:r>
      <w:proofErr w:type="gramStart"/>
      <w:r w:rsidRPr="004236BE">
        <w:rPr>
          <w:rFonts w:ascii="Times New Roman" w:hAnsi="Times New Roman"/>
          <w:bCs/>
          <w:sz w:val="24"/>
          <w:szCs w:val="24"/>
        </w:rPr>
        <w:t>conclusion.</w:t>
      </w:r>
      <w:r w:rsidRPr="004236BE">
        <w:rPr>
          <w:rFonts w:ascii="Times New Roman" w:eastAsia="Times New Roman" w:hAnsi="Times New Roman"/>
          <w:bCs/>
          <w:sz w:val="24"/>
          <w:szCs w:val="24"/>
        </w:rPr>
        <w:t>”</w:t>
      </w:r>
      <w:proofErr w:type="gramEnd"/>
      <w:r w:rsidR="00DB482B">
        <w:rPr>
          <w:rFonts w:ascii="Times New Roman" w:eastAsia="Times New Roman" w:hAnsi="Times New Roman"/>
          <w:bCs/>
          <w:sz w:val="24"/>
          <w:szCs w:val="24"/>
        </w:rPr>
        <w:t xml:space="preserve"> </w:t>
      </w:r>
      <w:hyperlink r:id="rId1435" w:history="1">
        <w:r w:rsidR="00DB482B" w:rsidRPr="007B75B7">
          <w:rPr>
            <w:rStyle w:val="Hyperlink"/>
            <w:rFonts w:ascii="Times New Roman" w:eastAsia="Times New Roman" w:hAnsi="Times New Roman"/>
            <w:bCs/>
            <w:sz w:val="24"/>
            <w:szCs w:val="24"/>
          </w:rPr>
          <w:t>http://media.ca11.uscourts.gov/opinions/unpub/files/201810640.pdf</w:t>
        </w:r>
      </w:hyperlink>
      <w:r w:rsidR="00DB482B">
        <w:rPr>
          <w:rFonts w:ascii="Times New Roman" w:eastAsia="Times New Roman" w:hAnsi="Times New Roman"/>
          <w:bCs/>
          <w:sz w:val="24"/>
          <w:szCs w:val="24"/>
        </w:rPr>
        <w:t xml:space="preserve"> </w:t>
      </w:r>
    </w:p>
    <w:bookmarkEnd w:id="305"/>
    <w:p w14:paraId="7B1C78F8" w14:textId="77777777" w:rsidR="00177094" w:rsidRDefault="00177094" w:rsidP="00177094">
      <w:pPr>
        <w:pStyle w:val="NoSpacing"/>
        <w:tabs>
          <w:tab w:val="left" w:pos="2860"/>
        </w:tabs>
        <w:rPr>
          <w:rFonts w:ascii="Times New Roman" w:hAnsi="Times New Roman"/>
          <w:b/>
          <w:bCs/>
          <w:sz w:val="24"/>
          <w:szCs w:val="24"/>
        </w:rPr>
      </w:pPr>
    </w:p>
    <w:p w14:paraId="669BB3F2" w14:textId="7C664971" w:rsidR="00177094" w:rsidRPr="004236BE" w:rsidRDefault="00177094" w:rsidP="00177094">
      <w:pPr>
        <w:pStyle w:val="NoSpacing"/>
        <w:tabs>
          <w:tab w:val="left" w:pos="2860"/>
        </w:tabs>
        <w:rPr>
          <w:rFonts w:ascii="Times New Roman" w:hAnsi="Times New Roman"/>
          <w:b/>
          <w:bCs/>
          <w:sz w:val="24"/>
          <w:szCs w:val="24"/>
        </w:rPr>
      </w:pPr>
      <w:bookmarkStart w:id="306" w:name="_Hlk40511078"/>
      <w:r w:rsidRPr="004236BE">
        <w:rPr>
          <w:rFonts w:ascii="Times New Roman" w:hAnsi="Times New Roman"/>
          <w:b/>
          <w:bCs/>
          <w:sz w:val="24"/>
          <w:szCs w:val="24"/>
        </w:rPr>
        <w:t xml:space="preserve">Legal Lessons Learned: The manager’s comments to the EMT were clearly inappropriate; if the EMT did not admit to being “friends” and working out together, this lawsuit might have proceeded to trial. </w:t>
      </w:r>
    </w:p>
    <w:bookmarkEnd w:id="306"/>
    <w:p w14:paraId="4A3E8FBC" w14:textId="77777777" w:rsidR="00177094" w:rsidRDefault="00177094" w:rsidP="002B1283">
      <w:pPr>
        <w:rPr>
          <w:rFonts w:ascii="Arial Black" w:hAnsi="Arial Black"/>
          <w:b/>
          <w:sz w:val="24"/>
          <w:szCs w:val="24"/>
        </w:rPr>
      </w:pPr>
    </w:p>
    <w:p w14:paraId="6CB0E8B3" w14:textId="3B86463F" w:rsidR="00177094" w:rsidRDefault="00177094" w:rsidP="002B1283">
      <w:pPr>
        <w:rPr>
          <w:rFonts w:ascii="Arial Black" w:hAnsi="Arial Black"/>
          <w:b/>
          <w:sz w:val="24"/>
          <w:szCs w:val="24"/>
        </w:rPr>
      </w:pPr>
      <w:r>
        <w:rPr>
          <w:rFonts w:ascii="Arial Black" w:hAnsi="Arial Black"/>
          <w:b/>
          <w:sz w:val="24"/>
          <w:szCs w:val="24"/>
        </w:rPr>
        <w:t>7-12</w:t>
      </w:r>
    </w:p>
    <w:p w14:paraId="47E5C330" w14:textId="77777777" w:rsidR="00177094" w:rsidRPr="0066064E" w:rsidRDefault="00177094" w:rsidP="00177094">
      <w:pPr>
        <w:pStyle w:val="NoSpacing"/>
        <w:rPr>
          <w:rFonts w:ascii="Arial Black" w:hAnsi="Arial Black" w:cs="Arial"/>
          <w:sz w:val="28"/>
          <w:szCs w:val="28"/>
        </w:rPr>
      </w:pPr>
      <w:r w:rsidRPr="0066064E">
        <w:rPr>
          <w:rFonts w:ascii="Arial Black" w:hAnsi="Arial Black" w:cs="Arial"/>
          <w:sz w:val="28"/>
          <w:szCs w:val="28"/>
        </w:rPr>
        <w:t xml:space="preserve">KS: </w:t>
      </w:r>
      <w:r>
        <w:rPr>
          <w:rFonts w:ascii="Arial Black" w:hAnsi="Arial Black" w:cs="Arial"/>
          <w:sz w:val="28"/>
          <w:szCs w:val="28"/>
        </w:rPr>
        <w:t xml:space="preserve">FEMALE </w:t>
      </w:r>
      <w:r w:rsidRPr="0066064E">
        <w:rPr>
          <w:rFonts w:ascii="Arial Black" w:hAnsi="Arial Black" w:cs="Arial"/>
          <w:sz w:val="28"/>
          <w:szCs w:val="28"/>
        </w:rPr>
        <w:t>FIRE INSPECTOR</w:t>
      </w:r>
      <w:r>
        <w:rPr>
          <w:rFonts w:ascii="Arial Black" w:hAnsi="Arial Black" w:cs="Arial"/>
          <w:sz w:val="28"/>
          <w:szCs w:val="28"/>
        </w:rPr>
        <w:t xml:space="preserve"> - NEW SCBAs / EXCUSED FROM SCBA TRAINING – RESIGNED - NOT HOSTILE WORKPLACE</w:t>
      </w:r>
    </w:p>
    <w:p w14:paraId="547DF083" w14:textId="77777777" w:rsidR="00177094" w:rsidRPr="0066064E" w:rsidRDefault="00177094" w:rsidP="00177094">
      <w:pPr>
        <w:pStyle w:val="NoSpacing"/>
        <w:rPr>
          <w:b/>
          <w:bCs/>
          <w:sz w:val="24"/>
          <w:szCs w:val="24"/>
        </w:rPr>
      </w:pPr>
    </w:p>
    <w:p w14:paraId="7E80B6E4" w14:textId="77777777" w:rsidR="00177094" w:rsidRPr="004236BE" w:rsidRDefault="00177094" w:rsidP="00177094">
      <w:pPr>
        <w:pStyle w:val="NoSpacing"/>
        <w:rPr>
          <w:rFonts w:ascii="Times New Roman" w:hAnsi="Times New Roman"/>
          <w:b/>
          <w:bCs/>
          <w:sz w:val="24"/>
          <w:szCs w:val="24"/>
        </w:rPr>
      </w:pPr>
      <w:r w:rsidRPr="004236BE">
        <w:rPr>
          <w:rFonts w:ascii="Times New Roman" w:hAnsi="Times New Roman"/>
          <w:bCs/>
          <w:sz w:val="24"/>
          <w:szCs w:val="24"/>
        </w:rPr>
        <w:t xml:space="preserve">On </w:t>
      </w:r>
      <w:bookmarkStart w:id="307" w:name="_Hlk39833617"/>
      <w:r w:rsidRPr="004236BE">
        <w:rPr>
          <w:rFonts w:ascii="Times New Roman" w:hAnsi="Times New Roman"/>
          <w:bCs/>
          <w:sz w:val="24"/>
          <w:szCs w:val="24"/>
        </w:rPr>
        <w:t xml:space="preserve">Jan. 14, 2020, in </w:t>
      </w:r>
      <w:r w:rsidRPr="004236BE">
        <w:rPr>
          <w:rFonts w:ascii="Times New Roman" w:hAnsi="Times New Roman"/>
          <w:bCs/>
          <w:sz w:val="24"/>
          <w:szCs w:val="24"/>
          <w:u w:val="single"/>
        </w:rPr>
        <w:t>Amy Bermudez v. City of Topeka, Kansas</w:t>
      </w:r>
      <w:bookmarkEnd w:id="307"/>
      <w:r w:rsidRPr="004236BE">
        <w:rPr>
          <w:rFonts w:ascii="Times New Roman" w:hAnsi="Times New Roman"/>
          <w:bCs/>
          <w:sz w:val="24"/>
          <w:szCs w:val="24"/>
        </w:rPr>
        <w:t xml:space="preserve">, U.S. District Court Judge Holly L. Teeter, U.S. District Court for the District of Kansas, granted the City’s motion for summary judgment and dismissed the lawsuit. </w:t>
      </w:r>
    </w:p>
    <w:p w14:paraId="2AF538D9" w14:textId="77777777" w:rsidR="00177094" w:rsidRPr="004236BE" w:rsidRDefault="00177094" w:rsidP="00177094">
      <w:pPr>
        <w:pStyle w:val="NoSpacing"/>
        <w:rPr>
          <w:rFonts w:ascii="Times New Roman" w:hAnsi="Times New Roman"/>
          <w:b/>
          <w:bCs/>
          <w:sz w:val="24"/>
          <w:szCs w:val="24"/>
        </w:rPr>
      </w:pPr>
    </w:p>
    <w:p w14:paraId="1C92A597"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 xml:space="preserve">“The Airpack training incident involved Bermudez asking to be excused from the confidence course, the training chief excusing her, and someone else then making some mild comments to Conway [another female Inspector who didn’t take curse].  Within a week or two, the TFD Twitter account posted a picture of Martin [Fire Marshal; plaintiff’s supervisor] with the caption, ‘No one is immune from training.’ But the tweet featured Martin and did not mention Bermudez. The Court finds that this conduct, even when considered collectively, is not sufficiently severe or pervasive that it would dissuade a reasonable worker from engaging in protected activity…. Both incidents were very </w:t>
      </w:r>
      <w:proofErr w:type="gramStart"/>
      <w:r w:rsidRPr="004236BE">
        <w:rPr>
          <w:rFonts w:ascii="Times New Roman" w:hAnsi="Times New Roman"/>
          <w:bCs/>
          <w:sz w:val="24"/>
          <w:szCs w:val="24"/>
        </w:rPr>
        <w:t>tame</w:t>
      </w:r>
      <w:proofErr w:type="gramEnd"/>
      <w:r w:rsidRPr="004236BE">
        <w:rPr>
          <w:rFonts w:ascii="Times New Roman" w:hAnsi="Times New Roman"/>
          <w:bCs/>
          <w:sz w:val="24"/>
          <w:szCs w:val="24"/>
        </w:rPr>
        <w:t xml:space="preserve"> and neither </w:t>
      </w:r>
      <w:proofErr w:type="gramStart"/>
      <w:r w:rsidRPr="004236BE">
        <w:rPr>
          <w:rFonts w:ascii="Times New Roman" w:hAnsi="Times New Roman"/>
          <w:bCs/>
          <w:sz w:val="24"/>
          <w:szCs w:val="24"/>
        </w:rPr>
        <w:t>was even</w:t>
      </w:r>
      <w:proofErr w:type="gramEnd"/>
      <w:r w:rsidRPr="004236BE">
        <w:rPr>
          <w:rFonts w:ascii="Times New Roman" w:hAnsi="Times New Roman"/>
          <w:bCs/>
          <w:sz w:val="24"/>
          <w:szCs w:val="24"/>
        </w:rPr>
        <w:t xml:space="preserve"> outwardly directed at Bermudez. A remark that someone should do firefighter training to consider themselves a fire inspector and then tweeting that no one is immune from training is, at worst, rude or mildly passive aggressive. But it does not objectively rise to the level of conduct that would dissuade a reasonable employee from engaging in protected conduct….   It is well established that Title VII is not ‘a general civility code for the American workplace.’ Burlington N. &amp; Santa Fe Ry. Co. v. White, 548 U.S. 53, 68 (2006) (quoting Oncale v. Sundowner Offshore Servs., Inc., 523 U.S. 75, 80 (1998)). Nor is it the Court’s role ‘to mandate </w:t>
      </w:r>
      <w:proofErr w:type="gramStart"/>
      <w:r w:rsidRPr="004236BE">
        <w:rPr>
          <w:rFonts w:ascii="Times New Roman" w:hAnsi="Times New Roman"/>
          <w:bCs/>
          <w:sz w:val="24"/>
          <w:szCs w:val="24"/>
        </w:rPr>
        <w:t>that certain</w:t>
      </w:r>
      <w:proofErr w:type="gramEnd"/>
      <w:r w:rsidRPr="004236BE">
        <w:rPr>
          <w:rFonts w:ascii="Times New Roman" w:hAnsi="Times New Roman"/>
          <w:bCs/>
          <w:sz w:val="24"/>
          <w:szCs w:val="24"/>
        </w:rPr>
        <w:t xml:space="preserve"> individuals work on their interpersonal skills and cease engaging in inter-departmental personality conflicts.’ Somoza v. Univ. of Denver, 513 F.3d 1206, 1218 (10th Cir. 2008). </w:t>
      </w:r>
      <w:bookmarkStart w:id="308" w:name="_Hlk39833594"/>
      <w:r w:rsidR="00374417">
        <w:fldChar w:fldCharType="begin"/>
      </w:r>
      <w:r w:rsidR="00374417">
        <w:instrText xml:space="preserve"> HYPERLINK "https://ecf.ksd.uscourts.gov/cgi-bin/show_public_doc?2018cv4141-61" </w:instrText>
      </w:r>
      <w:r w:rsidR="00374417">
        <w:fldChar w:fldCharType="separate"/>
      </w:r>
      <w:r w:rsidRPr="004236BE">
        <w:rPr>
          <w:rStyle w:val="Hyperlink"/>
          <w:rFonts w:ascii="Times New Roman" w:hAnsi="Times New Roman"/>
          <w:b/>
          <w:sz w:val="24"/>
          <w:szCs w:val="24"/>
        </w:rPr>
        <w:t>https://ecf.ksd.uscourts.gov/cgi-bin/show_public_doc?2018cv4141-61</w:t>
      </w:r>
      <w:r w:rsidR="00374417">
        <w:rPr>
          <w:rStyle w:val="Hyperlink"/>
          <w:rFonts w:ascii="Times New Roman" w:hAnsi="Times New Roman"/>
          <w:b/>
          <w:sz w:val="24"/>
          <w:szCs w:val="24"/>
        </w:rPr>
        <w:fldChar w:fldCharType="end"/>
      </w:r>
      <w:r w:rsidRPr="004236BE">
        <w:rPr>
          <w:rFonts w:ascii="Times New Roman" w:hAnsi="Times New Roman"/>
          <w:bCs/>
          <w:sz w:val="24"/>
          <w:szCs w:val="24"/>
        </w:rPr>
        <w:t xml:space="preserve"> </w:t>
      </w:r>
    </w:p>
    <w:bookmarkEnd w:id="308"/>
    <w:p w14:paraId="635CF095" w14:textId="00623B0D" w:rsidR="00177094" w:rsidRDefault="00177094" w:rsidP="002B1283">
      <w:pPr>
        <w:rPr>
          <w:rFonts w:ascii="Arial Black" w:hAnsi="Arial Black"/>
          <w:b/>
          <w:sz w:val="24"/>
          <w:szCs w:val="24"/>
        </w:rPr>
      </w:pPr>
    </w:p>
    <w:p w14:paraId="53801CB1" w14:textId="74D98A44" w:rsidR="00177094" w:rsidRDefault="00177094" w:rsidP="002B1283">
      <w:pPr>
        <w:rPr>
          <w:rFonts w:ascii="Arial Black" w:hAnsi="Arial Black"/>
          <w:b/>
          <w:sz w:val="24"/>
          <w:szCs w:val="24"/>
        </w:rPr>
      </w:pPr>
      <w:r w:rsidRPr="004236BE">
        <w:rPr>
          <w:rFonts w:ascii="Times New Roman" w:hAnsi="Times New Roman"/>
          <w:b/>
          <w:bCs/>
          <w:sz w:val="24"/>
          <w:szCs w:val="24"/>
        </w:rPr>
        <w:t>Legal Lessons Learned:  Plaintiff failed to prove that no “reasonable person” in her position would have felt compelled to resign.</w:t>
      </w:r>
      <w:r w:rsidRPr="004236BE">
        <w:rPr>
          <w:rFonts w:ascii="Times New Roman" w:hAnsi="Times New Roman"/>
          <w:sz w:val="24"/>
          <w:szCs w:val="24"/>
        </w:rPr>
        <w:t xml:space="preserve">  See article on this decision: </w:t>
      </w:r>
      <w:bookmarkStart w:id="309" w:name="_Hlk39833529"/>
      <w:r w:rsidRPr="004236BE">
        <w:rPr>
          <w:rFonts w:ascii="Times New Roman" w:hAnsi="Times New Roman"/>
          <w:sz w:val="24"/>
          <w:szCs w:val="24"/>
        </w:rPr>
        <w:t>“Former Kan. fire inspector loses discrimination lawsuit,” Jan. 21, 2020,</w:t>
      </w:r>
      <w:r w:rsidRPr="004236BE">
        <w:rPr>
          <w:rFonts w:ascii="Times New Roman" w:hAnsi="Times New Roman"/>
          <w:bCs/>
          <w:sz w:val="24"/>
          <w:szCs w:val="24"/>
        </w:rPr>
        <w:t xml:space="preserve"> </w:t>
      </w:r>
      <w:hyperlink r:id="rId1436" w:history="1">
        <w:r w:rsidRPr="004236BE">
          <w:rPr>
            <w:rStyle w:val="Hyperlink"/>
            <w:rFonts w:ascii="Times New Roman" w:hAnsi="Times New Roman"/>
            <w:sz w:val="24"/>
            <w:szCs w:val="24"/>
          </w:rPr>
          <w:t>https://www.firerescue1.com/lawsuit/articles/former-kan-fire-inspector-loses-discrimination-lawsuit-7znPnJr96hoozkWc/?utm_source=FireRescue1+Member+Newsletter&amp;utm_campaign=c8726896e1-EMAIL_CAMPAIGN_2020_01_21_07_39&amp;utm_medium=email&amp;utm_term=0_758bdbeffe-c8726896e1-41607823</w:t>
        </w:r>
      </w:hyperlink>
      <w:bookmarkEnd w:id="309"/>
    </w:p>
    <w:p w14:paraId="313DB91E" w14:textId="77777777" w:rsidR="00177094" w:rsidRDefault="00177094" w:rsidP="002B1283">
      <w:pPr>
        <w:rPr>
          <w:rFonts w:ascii="Arial Black" w:hAnsi="Arial Black"/>
          <w:b/>
          <w:sz w:val="24"/>
          <w:szCs w:val="24"/>
        </w:rPr>
      </w:pPr>
    </w:p>
    <w:p w14:paraId="459FBCAF" w14:textId="647681AC" w:rsidR="00177094" w:rsidRDefault="00177094" w:rsidP="002B1283">
      <w:pPr>
        <w:rPr>
          <w:rFonts w:ascii="Arial Black" w:hAnsi="Arial Black"/>
          <w:b/>
          <w:sz w:val="24"/>
          <w:szCs w:val="24"/>
        </w:rPr>
      </w:pPr>
      <w:r>
        <w:rPr>
          <w:rFonts w:ascii="Arial Black" w:hAnsi="Arial Black"/>
          <w:b/>
          <w:sz w:val="24"/>
          <w:szCs w:val="24"/>
        </w:rPr>
        <w:t>7-11</w:t>
      </w:r>
    </w:p>
    <w:p w14:paraId="4112A0BA" w14:textId="77777777" w:rsidR="00177094" w:rsidRPr="005E0291" w:rsidRDefault="00177094" w:rsidP="00177094">
      <w:pPr>
        <w:spacing w:before="100" w:beforeAutospacing="1" w:after="100" w:afterAutospacing="1"/>
        <w:rPr>
          <w:rFonts w:ascii="Arial Black" w:eastAsia="Times New Roman" w:hAnsi="Arial Black"/>
          <w:bCs/>
          <w:sz w:val="28"/>
          <w:szCs w:val="28"/>
        </w:rPr>
      </w:pPr>
      <w:r w:rsidRPr="005E0291">
        <w:rPr>
          <w:rFonts w:ascii="Arial Black" w:eastAsia="Times New Roman" w:hAnsi="Arial Black"/>
          <w:bCs/>
          <w:sz w:val="28"/>
          <w:szCs w:val="28"/>
        </w:rPr>
        <w:t xml:space="preserve">IL: </w:t>
      </w:r>
      <w:r>
        <w:rPr>
          <w:rFonts w:ascii="Arial Black" w:eastAsia="Times New Roman" w:hAnsi="Arial Black"/>
          <w:bCs/>
          <w:sz w:val="28"/>
          <w:szCs w:val="28"/>
        </w:rPr>
        <w:t>CHICAGO FD – PARAMEDIC PHYSICAL FITNESS TESTS – 100% MALES, ONLY 79% FEMALES – LAWSUIT TO PROCEED</w:t>
      </w:r>
    </w:p>
    <w:p w14:paraId="02ACDCA3" w14:textId="77777777" w:rsidR="00177094" w:rsidRPr="004236BE" w:rsidRDefault="00177094" w:rsidP="00177094">
      <w:pPr>
        <w:pStyle w:val="NormalWeb"/>
        <w:rPr>
          <w:b/>
          <w:bCs/>
        </w:rPr>
      </w:pPr>
      <w:r w:rsidRPr="004236BE">
        <w:rPr>
          <w:bCs/>
        </w:rPr>
        <w:t xml:space="preserve">On Jan. 14, 2020, in </w:t>
      </w:r>
      <w:r w:rsidRPr="004236BE">
        <w:rPr>
          <w:bCs/>
          <w:u w:val="single"/>
        </w:rPr>
        <w:t>Jennifer Livingston, et al. v. City of Chicago</w:t>
      </w:r>
      <w:r w:rsidRPr="004236BE">
        <w:rPr>
          <w:bCs/>
        </w:rPr>
        <w:t xml:space="preserve">, U.S. District Court Judge Sara L. Ellis, U.S. District Court, Northern District of Illinois, Eastern Division, denied the City’s motion to dismiss.  Twelve (12) female candidates for Firefighter Paramedic positions filed the lawsuit; 8 had timely filed EEOC charges within 300 days and received “Right </w:t>
      </w:r>
      <w:proofErr w:type="gramStart"/>
      <w:r w:rsidRPr="004236BE">
        <w:rPr>
          <w:bCs/>
        </w:rPr>
        <w:t>To</w:t>
      </w:r>
      <w:proofErr w:type="gramEnd"/>
      <w:r w:rsidRPr="004236BE">
        <w:rPr>
          <w:bCs/>
        </w:rPr>
        <w:t xml:space="preserve"> Sue” letters. </w:t>
      </w:r>
    </w:p>
    <w:p w14:paraId="3C98FD42" w14:textId="77777777" w:rsidR="00177094" w:rsidRPr="004236BE" w:rsidRDefault="00177094" w:rsidP="00177094">
      <w:pPr>
        <w:pStyle w:val="NormalWeb"/>
        <w:ind w:left="720"/>
        <w:rPr>
          <w:b/>
          <w:bCs/>
        </w:rPr>
      </w:pPr>
      <w:r w:rsidRPr="004236BE">
        <w:rPr>
          <w:bCs/>
        </w:rPr>
        <w:t xml:space="preserve">“The </w:t>
      </w:r>
      <w:proofErr w:type="gramStart"/>
      <w:r w:rsidRPr="004236BE">
        <w:rPr>
          <w:bCs/>
        </w:rPr>
        <w:t>City</w:t>
      </w:r>
      <w:proofErr w:type="gramEnd"/>
      <w:r w:rsidRPr="004236BE">
        <w:rPr>
          <w:bCs/>
        </w:rPr>
        <w:t xml:space="preserve"> moves to dismiss Bain, Ruch, Youngren, and Venegas (the ‘Non-Filing Plaintiffs’) because they have not exhausted their administrative remedies, as required by Title VII. Because the Non-Filing Plaintiffs can rely on the single-filing rule to bring their claims based on the charges filed by other plaintiffs in this case, the Court denies the City’s motion to dismiss.</w:t>
      </w:r>
    </w:p>
    <w:p w14:paraId="54388E9D" w14:textId="77777777" w:rsidR="00177094" w:rsidRPr="004236BE" w:rsidRDefault="00177094" w:rsidP="00177094">
      <w:pPr>
        <w:pStyle w:val="NormalWeb"/>
        <w:ind w:left="720"/>
        <w:rPr>
          <w:b/>
          <w:bCs/>
        </w:rPr>
      </w:pPr>
      <w:r w:rsidRPr="004236BE">
        <w:rPr>
          <w:bCs/>
        </w:rPr>
        <w:t>***</w:t>
      </w:r>
    </w:p>
    <w:p w14:paraId="18C41260"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 xml:space="preserve">To bring a Title VII suit, a plaintiff must have exhausted her administrative remedies by filing a timely EEOC charge and receiving a right to sue letter. Allen v. City of Chicago, 828 F. Supp. 543, 555 (N.D. Ill. 1993). Certain exceptions to this rule exist: under the single-filing rule or “piggybacking” doctrine, “an individual who has not exhausted his administrative options may join a lawsuit filed by another individual who has administratively exhausted.” Simpson v. Cook County Sheriff’s Office, No. 18-cv -553, 2018 WL 3753362, at *2 (N.D. Ill. Aug. 8, 2018); see also Anderson v. Montgomery Ward &amp; Co., 852 F.2d 1008, 1017–18 (7th Cir. 1988).” </w:t>
      </w:r>
      <w:hyperlink r:id="rId1437" w:history="1">
        <w:r w:rsidRPr="004236BE">
          <w:rPr>
            <w:rStyle w:val="Hyperlink"/>
            <w:rFonts w:ascii="Times New Roman" w:hAnsi="Times New Roman"/>
            <w:b/>
            <w:sz w:val="24"/>
            <w:szCs w:val="24"/>
          </w:rPr>
          <w:t>https://cases.justia.com/federal/district-courts/illinois/ilndce/1:2016cv10156/332956/114/0.pdf?ts=1547636381</w:t>
        </w:r>
      </w:hyperlink>
      <w:r w:rsidRPr="004236BE">
        <w:rPr>
          <w:rFonts w:ascii="Times New Roman" w:hAnsi="Times New Roman"/>
          <w:bCs/>
          <w:sz w:val="24"/>
          <w:szCs w:val="24"/>
        </w:rPr>
        <w:t xml:space="preserve"> </w:t>
      </w:r>
    </w:p>
    <w:p w14:paraId="0389B6BA" w14:textId="77777777" w:rsidR="00177094" w:rsidRDefault="00177094" w:rsidP="00177094">
      <w:pPr>
        <w:pStyle w:val="NoSpacing"/>
        <w:rPr>
          <w:rFonts w:ascii="Times New Roman" w:hAnsi="Times New Roman"/>
          <w:b/>
          <w:bCs/>
          <w:sz w:val="24"/>
          <w:szCs w:val="24"/>
        </w:rPr>
      </w:pPr>
    </w:p>
    <w:p w14:paraId="2F6952BB" w14:textId="40BBE695" w:rsidR="00177094" w:rsidRPr="004236BE" w:rsidRDefault="00177094" w:rsidP="00177094">
      <w:pPr>
        <w:pStyle w:val="NoSpacing"/>
        <w:rPr>
          <w:rFonts w:ascii="Times New Roman" w:hAnsi="Times New Roman"/>
          <w:sz w:val="24"/>
          <w:szCs w:val="24"/>
        </w:rPr>
      </w:pPr>
      <w:r w:rsidRPr="004236BE">
        <w:rPr>
          <w:rFonts w:ascii="Times New Roman" w:hAnsi="Times New Roman"/>
          <w:b/>
          <w:bCs/>
          <w:sz w:val="24"/>
          <w:szCs w:val="24"/>
        </w:rPr>
        <w:t>Legal Lessons Learned: Lawsuit may proceed; physical ability tests that have an “adverse impact” on female applicants have been subject of litigation, including U.S. Department of Justice cases.</w:t>
      </w:r>
      <w:r w:rsidRPr="004236BE">
        <w:rPr>
          <w:rFonts w:ascii="Times New Roman" w:hAnsi="Times New Roman"/>
          <w:sz w:val="24"/>
          <w:szCs w:val="24"/>
        </w:rPr>
        <w:t xml:space="preserve">  See EEOC review of litigation involving physical agility tests: “Recruitment &amp; Hiring Gender Disparities in Public Safety Occupations” (June 2018): </w:t>
      </w:r>
      <w:hyperlink r:id="rId1438" w:history="1">
        <w:r w:rsidRPr="004236BE">
          <w:rPr>
            <w:rStyle w:val="Hyperlink"/>
            <w:rFonts w:ascii="Times New Roman" w:hAnsi="Times New Roman"/>
            <w:sz w:val="24"/>
            <w:szCs w:val="24"/>
          </w:rPr>
          <w:t>https://www.eeoc.gov/federal/reports/upload/pspe.pdf</w:t>
        </w:r>
      </w:hyperlink>
      <w:r w:rsidRPr="004236BE">
        <w:rPr>
          <w:rFonts w:ascii="Times New Roman" w:hAnsi="Times New Roman"/>
          <w:sz w:val="24"/>
          <w:szCs w:val="24"/>
        </w:rPr>
        <w:t xml:space="preserve"> [pages 12-13].</w:t>
      </w:r>
    </w:p>
    <w:p w14:paraId="76979D55" w14:textId="77777777" w:rsidR="00177094" w:rsidRPr="004236BE" w:rsidRDefault="00177094" w:rsidP="00177094">
      <w:pPr>
        <w:pStyle w:val="NoSpacing"/>
        <w:ind w:left="720"/>
        <w:rPr>
          <w:rFonts w:ascii="Times New Roman" w:hAnsi="Times New Roman"/>
          <w:b/>
          <w:bCs/>
          <w:sz w:val="24"/>
          <w:szCs w:val="24"/>
        </w:rPr>
      </w:pPr>
    </w:p>
    <w:p w14:paraId="317BB812"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“Once employers could no longer segregate women into peripheral jobs, they began using screening tests for public safety occupations. Initially, height and weight restrictions were used in some public safety jobs to screen applicants, because it was thought that taller and heavier people were more able to perform the presumed physically demanding duties</w:t>
      </w:r>
      <w:r>
        <w:rPr>
          <w:rFonts w:ascii="Times New Roman" w:hAnsi="Times New Roman"/>
          <w:bCs/>
          <w:sz w:val="24"/>
          <w:szCs w:val="24"/>
        </w:rPr>
        <w:t xml:space="preserve"> </w:t>
      </w:r>
      <w:r w:rsidRPr="004236BE">
        <w:rPr>
          <w:rFonts w:ascii="Times New Roman" w:hAnsi="Times New Roman"/>
          <w:bCs/>
          <w:sz w:val="24"/>
          <w:szCs w:val="24"/>
        </w:rPr>
        <w:t>of these jobs. In 1977, the Supreme Court addressed this issue when it rejected an Alabama prison facility’s height and weight restriction because it led to an unjustified disproportionate exclusion, or a ‘disparate impact’, on women. [Dothard v. Rawlinson, 433 U.S.321(1977).]</w:t>
      </w:r>
      <w:r w:rsidRPr="004236BE">
        <w:rPr>
          <w:rFonts w:ascii="Times New Roman" w:hAnsi="Times New Roman"/>
          <w:sz w:val="24"/>
          <w:szCs w:val="24"/>
        </w:rPr>
        <w:t xml:space="preserve"> </w:t>
      </w:r>
      <w:r w:rsidRPr="004236BE">
        <w:rPr>
          <w:rFonts w:ascii="Times New Roman" w:hAnsi="Times New Roman"/>
          <w:bCs/>
          <w:sz w:val="24"/>
          <w:szCs w:val="24"/>
        </w:rPr>
        <w:t xml:space="preserve">When height and weight restrictions thus fell by the wayside, they were replaced by physical ability tests (PATs) to qualify applicants for public safety positions…. PATs were gender‐neutral, requiring the same performance for men and women. This still led to a disparate impact on women who had comparable physical fitness levels as qualified </w:t>
      </w:r>
      <w:proofErr w:type="gramStart"/>
      <w:r w:rsidRPr="004236BE">
        <w:rPr>
          <w:rFonts w:ascii="Times New Roman" w:hAnsi="Times New Roman"/>
          <w:bCs/>
          <w:sz w:val="24"/>
          <w:szCs w:val="24"/>
        </w:rPr>
        <w:t>men, but</w:t>
      </w:r>
      <w:proofErr w:type="gramEnd"/>
      <w:r w:rsidRPr="004236BE">
        <w:rPr>
          <w:rFonts w:ascii="Times New Roman" w:hAnsi="Times New Roman"/>
          <w:bCs/>
          <w:sz w:val="24"/>
          <w:szCs w:val="24"/>
        </w:rPr>
        <w:t xml:space="preserve"> could not reach the required threshold of agender‐neutral test. </w:t>
      </w:r>
    </w:p>
    <w:p w14:paraId="72515D7B" w14:textId="77777777" w:rsidR="00177094" w:rsidRPr="004236BE" w:rsidRDefault="00177094" w:rsidP="00177094">
      <w:pPr>
        <w:pStyle w:val="NoSpacing"/>
        <w:ind w:left="720"/>
        <w:rPr>
          <w:rFonts w:ascii="Times New Roman" w:hAnsi="Times New Roman"/>
          <w:b/>
          <w:bCs/>
          <w:sz w:val="24"/>
          <w:szCs w:val="24"/>
        </w:rPr>
      </w:pPr>
    </w:p>
    <w:p w14:paraId="367C3ACF"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[Footnote 17]: In cases involving a state or local government’s use of PATs to screen law enforcement applicants, the Department of Justice (DOJ), not the EEOC, has authority to bring any lawsuit on behalf of the government…. The DOJ has challenged PATs as discriminatory against women. See ,e.g., Lanning v. Southeastern Penn. Transp. Auth.,181 F.3d 478 (3dCir.1999); United States v. Massachusetts, 781 F.Supp.2d 1(D.Mass.2011) (challenging PAT that has disparate impact against women for prison guard jobs); United States v. City of Erie, 411F.Supp.2d 524 (W.D.Pa.2005)(finding for plaintiff DOJ that unitary PAT for police officers created a disparate impact and the defendant failed to prove that requiring a unitary test time was sufficiently job‐related.”</w:t>
      </w:r>
    </w:p>
    <w:p w14:paraId="56E8EC3E" w14:textId="77777777" w:rsidR="00177094" w:rsidRPr="004236BE" w:rsidRDefault="00177094" w:rsidP="00177094">
      <w:pPr>
        <w:pStyle w:val="NoSpacing"/>
        <w:rPr>
          <w:rFonts w:ascii="Times New Roman" w:hAnsi="Times New Roman"/>
          <w:b/>
          <w:bCs/>
          <w:sz w:val="24"/>
          <w:szCs w:val="24"/>
        </w:rPr>
      </w:pPr>
    </w:p>
    <w:p w14:paraId="28E9E0FF" w14:textId="77777777" w:rsidR="00177094" w:rsidRDefault="00177094" w:rsidP="002B1283">
      <w:pPr>
        <w:rPr>
          <w:rFonts w:ascii="Arial Black" w:hAnsi="Arial Black"/>
          <w:b/>
          <w:sz w:val="24"/>
          <w:szCs w:val="24"/>
        </w:rPr>
      </w:pPr>
    </w:p>
    <w:p w14:paraId="337AF670" w14:textId="1C1670B9" w:rsidR="00DE0F03" w:rsidRDefault="00DE0F03" w:rsidP="002B1283">
      <w:pPr>
        <w:rPr>
          <w:rFonts w:ascii="Arial Black" w:hAnsi="Arial Black"/>
          <w:sz w:val="32"/>
          <w:szCs w:val="32"/>
        </w:rPr>
      </w:pPr>
      <w:r>
        <w:rPr>
          <w:rFonts w:ascii="Arial Black" w:hAnsi="Arial Black"/>
          <w:b/>
          <w:sz w:val="24"/>
          <w:szCs w:val="24"/>
        </w:rPr>
        <w:t>7</w:t>
      </w:r>
      <w:r w:rsidRPr="00EF1133">
        <w:rPr>
          <w:rFonts w:ascii="Arial Black" w:hAnsi="Arial Black"/>
          <w:b/>
          <w:sz w:val="24"/>
          <w:szCs w:val="24"/>
        </w:rPr>
        <w:t>-</w:t>
      </w:r>
      <w:r w:rsidR="005B0774">
        <w:rPr>
          <w:rFonts w:ascii="Arial Black" w:hAnsi="Arial Black"/>
          <w:b/>
          <w:sz w:val="24"/>
          <w:szCs w:val="24"/>
        </w:rPr>
        <w:t>1</w:t>
      </w:r>
      <w:r w:rsidR="00AE0ACC">
        <w:rPr>
          <w:rFonts w:ascii="Arial Black" w:hAnsi="Arial Black"/>
          <w:b/>
          <w:sz w:val="24"/>
          <w:szCs w:val="24"/>
        </w:rPr>
        <w:t>0</w:t>
      </w:r>
    </w:p>
    <w:p w14:paraId="47EF7F9B" w14:textId="6029825C" w:rsidR="002B1283" w:rsidRPr="00DB1DCD" w:rsidRDefault="002B1283" w:rsidP="002B1283">
      <w:pPr>
        <w:rPr>
          <w:rFonts w:ascii="Arial Black" w:hAnsi="Arial Black"/>
          <w:sz w:val="32"/>
          <w:szCs w:val="32"/>
        </w:rPr>
      </w:pPr>
      <w:r>
        <w:rPr>
          <w:rFonts w:ascii="Arial Black" w:hAnsi="Arial Black"/>
          <w:sz w:val="32"/>
          <w:szCs w:val="32"/>
        </w:rPr>
        <w:t xml:space="preserve">TX:  DEP. FIRE CHIEF RESIGNED AFTER HE FACED TWO SEXUAL </w:t>
      </w:r>
      <w:proofErr w:type="gramStart"/>
      <w:r>
        <w:rPr>
          <w:rFonts w:ascii="Arial Black" w:hAnsi="Arial Black"/>
          <w:sz w:val="32"/>
          <w:szCs w:val="32"/>
        </w:rPr>
        <w:t>HARASSMENT</w:t>
      </w:r>
      <w:proofErr w:type="gramEnd"/>
      <w:r>
        <w:rPr>
          <w:rFonts w:ascii="Arial Black" w:hAnsi="Arial Black"/>
          <w:sz w:val="32"/>
          <w:szCs w:val="32"/>
        </w:rPr>
        <w:t xml:space="preserve"> INVEST – LAWSUIT DISMISSAL UPHELD </w:t>
      </w:r>
    </w:p>
    <w:p w14:paraId="49FF3114" w14:textId="4AF790DE" w:rsidR="002B1283" w:rsidRDefault="002B1283" w:rsidP="002B1283">
      <w:pPr>
        <w:rPr>
          <w:rFonts w:ascii="Times New Roman" w:hAnsi="Times New Roman"/>
          <w:sz w:val="24"/>
          <w:szCs w:val="24"/>
        </w:rPr>
      </w:pPr>
      <w:r w:rsidRPr="00DB1DCD">
        <w:rPr>
          <w:rFonts w:ascii="Times New Roman" w:hAnsi="Times New Roman"/>
          <w:sz w:val="24"/>
          <w:szCs w:val="24"/>
        </w:rPr>
        <w:t xml:space="preserve">On July 10, 2019, in </w:t>
      </w:r>
      <w:r w:rsidRPr="00DB1DCD">
        <w:rPr>
          <w:rFonts w:ascii="Times New Roman" w:hAnsi="Times New Roman"/>
          <w:sz w:val="24"/>
          <w:szCs w:val="24"/>
          <w:u w:val="single"/>
        </w:rPr>
        <w:t>Carlos Mandujano v. City of Pharr, Texas</w:t>
      </w:r>
      <w:r w:rsidRPr="00DB1DCD">
        <w:rPr>
          <w:rFonts w:ascii="Times New Roman" w:hAnsi="Times New Roman"/>
          <w:sz w:val="24"/>
          <w:szCs w:val="24"/>
        </w:rPr>
        <w:t xml:space="preserve">, </w:t>
      </w:r>
      <w:r>
        <w:rPr>
          <w:rFonts w:ascii="Times New Roman" w:hAnsi="Times New Roman"/>
          <w:sz w:val="24"/>
          <w:szCs w:val="24"/>
        </w:rPr>
        <w:t xml:space="preserve">the U.S. Court of Appeals for the Fifth Circuit held (3 to 0; unpublished opinion ) that the U.S. District Court judge had properly dismissed his lawsuit claiming the City’s investigations created a hostile work environment and resulted in his “constructive discharge.” </w:t>
      </w:r>
    </w:p>
    <w:p w14:paraId="5E0AA8F3" w14:textId="77777777" w:rsidR="002B1283"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AC2240">
        <w:rPr>
          <w:rFonts w:ascii="Times New Roman" w:hAnsi="Times New Roman"/>
          <w:sz w:val="24"/>
          <w:szCs w:val="24"/>
        </w:rPr>
        <w:t xml:space="preserve">Mandujano’s sex-discrimination claim rests on a theory that the City’s investigations into him created a hostile work environment and resulted in his constructive discharge. To state a claim of constructive discharge, a plaintiff must allege that working conditions became </w:t>
      </w:r>
      <w:r>
        <w:rPr>
          <w:rFonts w:ascii="Times New Roman" w:hAnsi="Times New Roman"/>
          <w:sz w:val="24"/>
          <w:szCs w:val="24"/>
        </w:rPr>
        <w:t>‘</w:t>
      </w:r>
      <w:r w:rsidRPr="00AC2240">
        <w:rPr>
          <w:rFonts w:ascii="Times New Roman" w:hAnsi="Times New Roman"/>
          <w:sz w:val="24"/>
          <w:szCs w:val="24"/>
        </w:rPr>
        <w:t>so intolerable that a reasonable person would have felt compelled to resign.</w:t>
      </w:r>
      <w:r>
        <w:rPr>
          <w:rFonts w:ascii="Times New Roman" w:hAnsi="Times New Roman"/>
          <w:sz w:val="24"/>
          <w:szCs w:val="24"/>
        </w:rPr>
        <w:t>’</w:t>
      </w:r>
      <w:r w:rsidRPr="00AC2240">
        <w:rPr>
          <w:rFonts w:ascii="Times New Roman" w:hAnsi="Times New Roman"/>
          <w:sz w:val="24"/>
          <w:szCs w:val="24"/>
        </w:rPr>
        <w:t xml:space="preserve"> Pa. State Police v. Suders, 542 U.S. 129, 147 (2004). Mandujano’s initial complaint did not plausibly allege that this occurred</w:t>
      </w:r>
      <w:r>
        <w:rPr>
          <w:rFonts w:ascii="Times New Roman" w:hAnsi="Times New Roman"/>
          <w:sz w:val="24"/>
          <w:szCs w:val="24"/>
        </w:rPr>
        <w:t>.”</w:t>
      </w:r>
    </w:p>
    <w:p w14:paraId="5A006691" w14:textId="77777777" w:rsidR="002B1283" w:rsidRDefault="002B1283" w:rsidP="002B1283">
      <w:pPr>
        <w:ind w:left="720"/>
        <w:rPr>
          <w:rFonts w:ascii="Times New Roman" w:hAnsi="Times New Roman"/>
          <w:sz w:val="24"/>
          <w:szCs w:val="24"/>
        </w:rPr>
      </w:pPr>
      <w:hyperlink r:id="rId1439" w:history="1">
        <w:r w:rsidRPr="00455844">
          <w:rPr>
            <w:rStyle w:val="Hyperlink"/>
            <w:rFonts w:ascii="Times New Roman" w:hAnsi="Times New Roman"/>
            <w:sz w:val="24"/>
            <w:szCs w:val="24"/>
          </w:rPr>
          <w:t>https://cases.justia.com/federal/appellate-courts/ca5/18-40561/18-40561-2019-07-10.pdf?ts=1562779857</w:t>
        </w:r>
      </w:hyperlink>
      <w:r>
        <w:rPr>
          <w:rFonts w:ascii="Times New Roman" w:hAnsi="Times New Roman"/>
          <w:sz w:val="24"/>
          <w:szCs w:val="24"/>
        </w:rPr>
        <w:t xml:space="preserve"> </w:t>
      </w:r>
    </w:p>
    <w:p w14:paraId="7DD8EB69" w14:textId="003E4D2B" w:rsidR="00AE0ACC" w:rsidRDefault="002B1283" w:rsidP="00AE0ACC">
      <w:pPr>
        <w:rPr>
          <w:rFonts w:ascii="Times New Roman" w:hAnsi="Times New Roman"/>
          <w:sz w:val="24"/>
          <w:szCs w:val="24"/>
        </w:rPr>
      </w:pPr>
      <w:r w:rsidRPr="002A20ED">
        <w:rPr>
          <w:rFonts w:ascii="Times New Roman" w:hAnsi="Times New Roman"/>
          <w:b/>
          <w:bCs/>
          <w:sz w:val="24"/>
          <w:szCs w:val="24"/>
        </w:rPr>
        <w:t xml:space="preserve">Legal Lessons Learned: </w:t>
      </w:r>
      <w:r>
        <w:rPr>
          <w:rFonts w:ascii="Times New Roman" w:hAnsi="Times New Roman"/>
          <w:b/>
          <w:bCs/>
          <w:sz w:val="24"/>
          <w:szCs w:val="24"/>
        </w:rPr>
        <w:t xml:space="preserve"> Fire &amp; EMS departments, like other employers, have an obligation to investigate claims of sexual harassment; individuals being investigated may obviously feel uncomfortable, but that does not support a claim of hostile workplace.</w:t>
      </w:r>
      <w:r w:rsidR="00AE0ACC">
        <w:rPr>
          <w:rFonts w:ascii="Times New Roman" w:hAnsi="Times New Roman"/>
          <w:b/>
          <w:bCs/>
          <w:sz w:val="24"/>
          <w:szCs w:val="24"/>
        </w:rPr>
        <w:t xml:space="preserve">  </w:t>
      </w:r>
      <w:r w:rsidR="00AE0ACC">
        <w:rPr>
          <w:rFonts w:ascii="Times New Roman" w:hAnsi="Times New Roman"/>
          <w:sz w:val="24"/>
          <w:szCs w:val="24"/>
        </w:rPr>
        <w:t xml:space="preserve">Note:  On Sept. 4, </w:t>
      </w:r>
      <w:proofErr w:type="gramStart"/>
      <w:r w:rsidR="00AE0ACC">
        <w:rPr>
          <w:rFonts w:ascii="Times New Roman" w:hAnsi="Times New Roman"/>
          <w:sz w:val="24"/>
          <w:szCs w:val="24"/>
        </w:rPr>
        <w:t>2019</w:t>
      </w:r>
      <w:proofErr w:type="gramEnd"/>
      <w:r w:rsidR="00AE0ACC">
        <w:rPr>
          <w:rFonts w:ascii="Times New Roman" w:hAnsi="Times New Roman"/>
          <w:sz w:val="24"/>
          <w:szCs w:val="24"/>
        </w:rPr>
        <w:t xml:space="preserve"> the 5</w:t>
      </w:r>
      <w:r w:rsidR="00AE0ACC" w:rsidRPr="00D773BE">
        <w:rPr>
          <w:rFonts w:ascii="Times New Roman" w:hAnsi="Times New Roman"/>
          <w:sz w:val="24"/>
          <w:szCs w:val="24"/>
          <w:vertAlign w:val="superscript"/>
        </w:rPr>
        <w:t>th</w:t>
      </w:r>
      <w:r w:rsidR="00AE0ACC">
        <w:rPr>
          <w:rFonts w:ascii="Times New Roman" w:hAnsi="Times New Roman"/>
          <w:sz w:val="24"/>
          <w:szCs w:val="24"/>
        </w:rPr>
        <w:t xml:space="preserve"> Circuit filed replacement opinion, but with same conclusion – lawsuit properly dismissed: </w:t>
      </w:r>
      <w:hyperlink r:id="rId1440" w:history="1">
        <w:r w:rsidR="00AE0ACC" w:rsidRPr="000D05D3">
          <w:rPr>
            <w:rStyle w:val="Hyperlink"/>
            <w:rFonts w:ascii="Times New Roman" w:hAnsi="Times New Roman"/>
            <w:sz w:val="24"/>
            <w:szCs w:val="24"/>
          </w:rPr>
          <w:t>http://www.ca5.uscourts.gov/opinions/unpub/18/18-40561.1.pdf</w:t>
        </w:r>
      </w:hyperlink>
    </w:p>
    <w:p w14:paraId="00F957E0" w14:textId="56A19E52" w:rsidR="00AE0ACC" w:rsidRDefault="00AE0ACC" w:rsidP="002B1283">
      <w:pPr>
        <w:pStyle w:val="NoSpacing"/>
        <w:rPr>
          <w:rFonts w:ascii="Times New Roman" w:hAnsi="Times New Roman"/>
          <w:sz w:val="24"/>
          <w:szCs w:val="24"/>
        </w:rPr>
      </w:pPr>
    </w:p>
    <w:p w14:paraId="1143A3EE" w14:textId="77777777" w:rsidR="00BF4DDE" w:rsidRPr="00AE0ACC" w:rsidRDefault="00BF4DDE" w:rsidP="002B1283">
      <w:pPr>
        <w:pStyle w:val="NoSpacing"/>
        <w:rPr>
          <w:rFonts w:ascii="Times New Roman" w:hAnsi="Times New Roman"/>
          <w:sz w:val="24"/>
          <w:szCs w:val="24"/>
        </w:rPr>
      </w:pPr>
    </w:p>
    <w:p w14:paraId="76CAA9EE" w14:textId="77777777" w:rsidR="00AE0ACC" w:rsidRDefault="00AE0ACC" w:rsidP="00DE0F03">
      <w:pPr>
        <w:rPr>
          <w:rFonts w:ascii="Arial Black" w:hAnsi="Arial Black"/>
          <w:b/>
          <w:sz w:val="24"/>
          <w:szCs w:val="24"/>
        </w:rPr>
      </w:pPr>
    </w:p>
    <w:p w14:paraId="33DD32B8" w14:textId="376347EA" w:rsidR="002B1283" w:rsidRDefault="00DE0F03" w:rsidP="00DE0F03">
      <w:pPr>
        <w:rPr>
          <w:rFonts w:ascii="Arial Black" w:hAnsi="Arial Black"/>
          <w:sz w:val="28"/>
          <w:szCs w:val="28"/>
        </w:rPr>
      </w:pPr>
      <w:r>
        <w:rPr>
          <w:rFonts w:ascii="Arial Black" w:hAnsi="Arial Black"/>
          <w:b/>
          <w:sz w:val="24"/>
          <w:szCs w:val="24"/>
        </w:rPr>
        <w:t>7</w:t>
      </w:r>
      <w:r w:rsidRPr="00EF1133">
        <w:rPr>
          <w:rFonts w:ascii="Arial Black" w:hAnsi="Arial Black"/>
          <w:b/>
          <w:sz w:val="24"/>
          <w:szCs w:val="24"/>
        </w:rPr>
        <w:t>-</w:t>
      </w:r>
      <w:r w:rsidR="005B0774">
        <w:rPr>
          <w:rFonts w:ascii="Arial Black" w:hAnsi="Arial Black"/>
          <w:b/>
          <w:sz w:val="24"/>
          <w:szCs w:val="24"/>
        </w:rPr>
        <w:t>9</w:t>
      </w:r>
    </w:p>
    <w:p w14:paraId="0D9A3912" w14:textId="57460290" w:rsidR="002B1283" w:rsidRPr="00E232C6" w:rsidRDefault="002B1283" w:rsidP="002B1283">
      <w:pPr>
        <w:pStyle w:val="NoSpacing"/>
        <w:rPr>
          <w:rFonts w:ascii="Arial Black" w:hAnsi="Arial Black"/>
          <w:sz w:val="28"/>
          <w:szCs w:val="28"/>
        </w:rPr>
      </w:pPr>
      <w:r w:rsidRPr="00E232C6">
        <w:rPr>
          <w:rFonts w:ascii="Arial Black" w:hAnsi="Arial Black"/>
          <w:sz w:val="28"/>
          <w:szCs w:val="28"/>
        </w:rPr>
        <w:t xml:space="preserve">PA: </w:t>
      </w:r>
      <w:r>
        <w:rPr>
          <w:rFonts w:ascii="Arial Black" w:hAnsi="Arial Black"/>
          <w:sz w:val="28"/>
          <w:szCs w:val="28"/>
        </w:rPr>
        <w:t>PHILADELPHIA FD – FIRST FEMALE DEPUTY COMM. – LAWSUIT FOR HOSTILE WORKPLACE DISMISSED</w:t>
      </w:r>
    </w:p>
    <w:p w14:paraId="708C26B3" w14:textId="77777777" w:rsidR="002B1283" w:rsidRDefault="002B1283" w:rsidP="002B1283">
      <w:pPr>
        <w:pStyle w:val="NoSpacing"/>
        <w:rPr>
          <w:rFonts w:ascii="Times New Roman" w:hAnsi="Times New Roman"/>
          <w:sz w:val="24"/>
          <w:szCs w:val="24"/>
        </w:rPr>
      </w:pPr>
    </w:p>
    <w:p w14:paraId="4BB5A5F3" w14:textId="77777777" w:rsidR="002B1283" w:rsidRDefault="002B1283" w:rsidP="002B1283">
      <w:pPr>
        <w:pStyle w:val="NoSpacing"/>
        <w:rPr>
          <w:rFonts w:ascii="Times New Roman" w:hAnsi="Times New Roman"/>
          <w:sz w:val="24"/>
          <w:szCs w:val="24"/>
        </w:rPr>
      </w:pPr>
      <w:r w:rsidRPr="008522B7">
        <w:rPr>
          <w:rFonts w:ascii="Times New Roman" w:hAnsi="Times New Roman"/>
          <w:sz w:val="24"/>
          <w:szCs w:val="24"/>
        </w:rPr>
        <w:t xml:space="preserve">On July 9, 2019, in </w:t>
      </w:r>
      <w:r w:rsidRPr="008522B7">
        <w:rPr>
          <w:rFonts w:ascii="Times New Roman" w:hAnsi="Times New Roman"/>
          <w:sz w:val="24"/>
          <w:szCs w:val="24"/>
          <w:u w:val="single"/>
        </w:rPr>
        <w:t>Diane M. Schweizer v. City of Philadelphia</w:t>
      </w:r>
      <w:r w:rsidRPr="008522B7">
        <w:rPr>
          <w:rFonts w:ascii="Times New Roman" w:hAnsi="Times New Roman"/>
          <w:sz w:val="24"/>
          <w:szCs w:val="24"/>
        </w:rPr>
        <w:t xml:space="preserve">, U.S. Magistrate Judge Jacob P. Hart granted the City’s motion for summary judgment. </w:t>
      </w:r>
    </w:p>
    <w:p w14:paraId="12AC3E1C" w14:textId="77777777" w:rsidR="002B1283" w:rsidRDefault="002B1283" w:rsidP="002B1283">
      <w:pPr>
        <w:pStyle w:val="NoSpacing"/>
        <w:rPr>
          <w:rFonts w:ascii="Times New Roman" w:hAnsi="Times New Roman"/>
          <w:sz w:val="24"/>
          <w:szCs w:val="24"/>
        </w:rPr>
      </w:pPr>
    </w:p>
    <w:p w14:paraId="74D7820C" w14:textId="77777777" w:rsidR="002B1283"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3660EC">
        <w:rPr>
          <w:rFonts w:ascii="Times New Roman" w:hAnsi="Times New Roman"/>
          <w:sz w:val="24"/>
          <w:szCs w:val="24"/>
        </w:rPr>
        <w:t>At her deposition, Schweizer admitted time and time again that she had no facts to support her belief that her gender underlay the treatment of which she complained. She may indeed have developed a hunch that she would have been treated better if she had been a man, but this is not enough to survive summary judgment</w:t>
      </w:r>
      <w:r>
        <w:rPr>
          <w:rFonts w:ascii="Times New Roman" w:hAnsi="Times New Roman"/>
          <w:sz w:val="24"/>
          <w:szCs w:val="24"/>
        </w:rPr>
        <w:t>.”</w:t>
      </w:r>
    </w:p>
    <w:p w14:paraId="0AA50A50" w14:textId="77777777" w:rsidR="002B1283" w:rsidRDefault="002B1283" w:rsidP="002B1283">
      <w:pPr>
        <w:pStyle w:val="NoSpacing"/>
        <w:ind w:left="720"/>
        <w:rPr>
          <w:rFonts w:ascii="Times New Roman" w:hAnsi="Times New Roman"/>
          <w:sz w:val="24"/>
          <w:szCs w:val="24"/>
        </w:rPr>
      </w:pPr>
      <w:hyperlink r:id="rId1441" w:history="1">
        <w:r w:rsidRPr="00455844">
          <w:rPr>
            <w:rStyle w:val="Hyperlink"/>
            <w:rFonts w:ascii="Times New Roman" w:hAnsi="Times New Roman"/>
            <w:sz w:val="24"/>
            <w:szCs w:val="24"/>
          </w:rPr>
          <w:t>https://cases.justia.com/federal/district-courts/pennsylvania/paedce/2:2017cv05388/537208/50/0.pdf?ts=1562761562</w:t>
        </w:r>
      </w:hyperlink>
      <w:r w:rsidRPr="008522B7">
        <w:rPr>
          <w:rFonts w:ascii="Times New Roman" w:hAnsi="Times New Roman"/>
          <w:sz w:val="24"/>
          <w:szCs w:val="24"/>
        </w:rPr>
        <w:t xml:space="preserve"> </w:t>
      </w:r>
    </w:p>
    <w:p w14:paraId="78894D97" w14:textId="77777777" w:rsidR="002B1283" w:rsidRDefault="002B1283" w:rsidP="002B1283">
      <w:pPr>
        <w:pStyle w:val="NoSpacing"/>
        <w:rPr>
          <w:rFonts w:ascii="Times New Roman" w:hAnsi="Times New Roman"/>
          <w:sz w:val="24"/>
          <w:szCs w:val="24"/>
        </w:rPr>
      </w:pPr>
    </w:p>
    <w:p w14:paraId="63EF3A89" w14:textId="77777777" w:rsidR="002B1283" w:rsidRPr="003660EC" w:rsidRDefault="002B1283" w:rsidP="002B1283">
      <w:pPr>
        <w:pStyle w:val="NoSpacing"/>
        <w:rPr>
          <w:rFonts w:ascii="Times New Roman" w:hAnsi="Times New Roman"/>
          <w:sz w:val="24"/>
          <w:szCs w:val="24"/>
        </w:rPr>
      </w:pPr>
    </w:p>
    <w:p w14:paraId="6BA57AE0" w14:textId="77777777" w:rsidR="002B1283" w:rsidRPr="00491621" w:rsidRDefault="002B1283" w:rsidP="002B1283">
      <w:pPr>
        <w:pStyle w:val="NoSpacing"/>
        <w:rPr>
          <w:rFonts w:ascii="Times New Roman" w:hAnsi="Times New Roman"/>
          <w:b/>
          <w:bCs/>
          <w:sz w:val="24"/>
          <w:szCs w:val="24"/>
        </w:rPr>
      </w:pPr>
      <w:r w:rsidRPr="00491621">
        <w:rPr>
          <w:rFonts w:ascii="Times New Roman" w:hAnsi="Times New Roman"/>
          <w:b/>
          <w:bCs/>
          <w:sz w:val="24"/>
          <w:szCs w:val="24"/>
        </w:rPr>
        <w:t xml:space="preserve">Legal Lessons Learned: The EEOC’s description of workplace harassment includes following: “Petty slights, annoyances, and isolated incidents (unless extremely serious) will not rise to the level of illegality. To be unlawful, the conduct must create a work environment that would be intimidating, hostile, or offensive to reasonable people.”  </w:t>
      </w:r>
      <w:hyperlink r:id="rId1442" w:history="1">
        <w:r w:rsidRPr="00491621">
          <w:rPr>
            <w:rStyle w:val="Hyperlink"/>
            <w:rFonts w:ascii="Times New Roman" w:hAnsi="Times New Roman"/>
            <w:b/>
            <w:bCs/>
            <w:sz w:val="24"/>
            <w:szCs w:val="24"/>
          </w:rPr>
          <w:t>https://www.eeoc.gov/laws/types/harassment.cfm</w:t>
        </w:r>
      </w:hyperlink>
      <w:r w:rsidRPr="00491621">
        <w:rPr>
          <w:rFonts w:ascii="Times New Roman" w:hAnsi="Times New Roman"/>
          <w:b/>
          <w:bCs/>
          <w:sz w:val="24"/>
          <w:szCs w:val="24"/>
        </w:rPr>
        <w:t xml:space="preserve"> </w:t>
      </w:r>
    </w:p>
    <w:p w14:paraId="4667CCCD" w14:textId="77777777" w:rsidR="002B1283" w:rsidRDefault="002B1283" w:rsidP="002B1283">
      <w:pPr>
        <w:pStyle w:val="NoSpacing"/>
        <w:ind w:left="1440"/>
        <w:rPr>
          <w:rFonts w:ascii="Times New Roman" w:hAnsi="Times New Roman"/>
          <w:sz w:val="24"/>
          <w:szCs w:val="24"/>
        </w:rPr>
      </w:pPr>
    </w:p>
    <w:p w14:paraId="4079436D" w14:textId="05677F3F" w:rsidR="002B1283" w:rsidRDefault="002B1283" w:rsidP="00F326E5">
      <w:pPr>
        <w:pStyle w:val="NoSpacing"/>
        <w:rPr>
          <w:sz w:val="24"/>
          <w:szCs w:val="24"/>
        </w:rPr>
      </w:pPr>
    </w:p>
    <w:p w14:paraId="6E927A73" w14:textId="5C6E2D04" w:rsidR="00DE0F03" w:rsidRDefault="00DE0F03" w:rsidP="002B1283">
      <w:pPr>
        <w:rPr>
          <w:rFonts w:ascii="Arial Black" w:hAnsi="Arial Black"/>
          <w:sz w:val="28"/>
          <w:szCs w:val="28"/>
        </w:rPr>
      </w:pPr>
      <w:r>
        <w:rPr>
          <w:rFonts w:ascii="Arial Black" w:hAnsi="Arial Black"/>
          <w:b/>
          <w:sz w:val="24"/>
          <w:szCs w:val="24"/>
        </w:rPr>
        <w:t>7</w:t>
      </w:r>
      <w:r w:rsidRPr="00EF1133">
        <w:rPr>
          <w:rFonts w:ascii="Arial Black" w:hAnsi="Arial Black"/>
          <w:b/>
          <w:sz w:val="24"/>
          <w:szCs w:val="24"/>
        </w:rPr>
        <w:t>-</w:t>
      </w:r>
      <w:r w:rsidR="005B0774">
        <w:rPr>
          <w:rFonts w:ascii="Arial Black" w:hAnsi="Arial Black"/>
          <w:b/>
          <w:sz w:val="24"/>
          <w:szCs w:val="24"/>
        </w:rPr>
        <w:t>8</w:t>
      </w:r>
    </w:p>
    <w:p w14:paraId="2504BB21" w14:textId="6C575CDD" w:rsidR="002B1283" w:rsidRDefault="002B1283" w:rsidP="002B1283">
      <w:pPr>
        <w:rPr>
          <w:rFonts w:ascii="Arial Black" w:hAnsi="Arial Black"/>
          <w:sz w:val="28"/>
          <w:szCs w:val="28"/>
        </w:rPr>
      </w:pPr>
      <w:r w:rsidRPr="00ED0F44">
        <w:rPr>
          <w:rFonts w:ascii="Arial Black" w:hAnsi="Arial Black"/>
          <w:sz w:val="28"/>
          <w:szCs w:val="28"/>
        </w:rPr>
        <w:t xml:space="preserve">IL: </w:t>
      </w:r>
      <w:r>
        <w:rPr>
          <w:rFonts w:ascii="Arial Black" w:hAnsi="Arial Black"/>
          <w:sz w:val="28"/>
          <w:szCs w:val="28"/>
        </w:rPr>
        <w:t xml:space="preserve">CHICAGO FEMALE MEDICS (5) SUE FOR INADEQUATE INVEST – MAY SEE COMPLAINT / INVESTIGATION FILE OF MALE RIDE-ALONG </w:t>
      </w:r>
    </w:p>
    <w:p w14:paraId="418BAB3E" w14:textId="77777777" w:rsidR="002B1283" w:rsidRDefault="002B1283" w:rsidP="002B1283">
      <w:pPr>
        <w:pStyle w:val="NoSpacing"/>
        <w:rPr>
          <w:rFonts w:ascii="Times New Roman" w:hAnsi="Times New Roman"/>
          <w:sz w:val="24"/>
          <w:szCs w:val="24"/>
        </w:rPr>
      </w:pPr>
      <w:r w:rsidRPr="000F4C26">
        <w:rPr>
          <w:rFonts w:ascii="Times New Roman" w:hAnsi="Times New Roman"/>
          <w:sz w:val="24"/>
          <w:szCs w:val="24"/>
        </w:rPr>
        <w:t xml:space="preserve">On July 9, 2019, in </w:t>
      </w:r>
      <w:r w:rsidRPr="000F4C26">
        <w:rPr>
          <w:rFonts w:ascii="Times New Roman" w:hAnsi="Times New Roman"/>
          <w:sz w:val="24"/>
          <w:szCs w:val="24"/>
          <w:u w:val="single"/>
        </w:rPr>
        <w:t>Jane Does 1-5 v. City of Chicago</w:t>
      </w:r>
      <w:r w:rsidRPr="000F4C26">
        <w:rPr>
          <w:rFonts w:ascii="Times New Roman" w:hAnsi="Times New Roman"/>
          <w:sz w:val="24"/>
          <w:szCs w:val="24"/>
        </w:rPr>
        <w:t xml:space="preserve">, U.S. District Court Magistrate Judge Sunil R. Harjani granted the plaintiffs’ motion to compel the </w:t>
      </w:r>
      <w:proofErr w:type="gramStart"/>
      <w:r w:rsidRPr="000F4C26">
        <w:rPr>
          <w:rFonts w:ascii="Times New Roman" w:hAnsi="Times New Roman"/>
          <w:sz w:val="24"/>
          <w:szCs w:val="24"/>
        </w:rPr>
        <w:t>City</w:t>
      </w:r>
      <w:proofErr w:type="gramEnd"/>
      <w:r w:rsidRPr="000F4C26">
        <w:rPr>
          <w:rFonts w:ascii="Times New Roman" w:hAnsi="Times New Roman"/>
          <w:sz w:val="24"/>
          <w:szCs w:val="24"/>
        </w:rPr>
        <w:t xml:space="preserve"> to produce a male student’s allegation that the City’s fire department’s employee sexual assaulted and harassed him during an observational ride-along.</w:t>
      </w:r>
      <w:r>
        <w:rPr>
          <w:rFonts w:ascii="Times New Roman" w:hAnsi="Times New Roman"/>
          <w:sz w:val="24"/>
          <w:szCs w:val="24"/>
        </w:rPr>
        <w:t xml:space="preserve"> </w:t>
      </w:r>
    </w:p>
    <w:p w14:paraId="26354397" w14:textId="77777777" w:rsidR="002B1283" w:rsidRDefault="002B1283" w:rsidP="002B1283">
      <w:pPr>
        <w:pStyle w:val="NoSpacing"/>
        <w:rPr>
          <w:rFonts w:ascii="Times New Roman" w:hAnsi="Times New Roman"/>
          <w:sz w:val="24"/>
          <w:szCs w:val="24"/>
        </w:rPr>
      </w:pPr>
    </w:p>
    <w:p w14:paraId="2345FE8B" w14:textId="2C3035EA" w:rsidR="00BF4DDE" w:rsidRPr="00BF4DDE" w:rsidRDefault="002B1283" w:rsidP="00BF4DDE">
      <w:pPr>
        <w:pStyle w:val="NoSpacing"/>
        <w:ind w:left="720"/>
        <w:rPr>
          <w:rFonts w:ascii="Times New Roman" w:hAnsi="Times New Roman"/>
          <w:sz w:val="24"/>
          <w:szCs w:val="24"/>
        </w:rPr>
      </w:pPr>
      <w:r>
        <w:rPr>
          <w:rFonts w:ascii="Times New Roman" w:hAnsi="Times New Roman"/>
          <w:sz w:val="24"/>
          <w:szCs w:val="24"/>
        </w:rPr>
        <w:t>“</w:t>
      </w:r>
      <w:r w:rsidRPr="000F4C26">
        <w:rPr>
          <w:rFonts w:ascii="Times New Roman" w:hAnsi="Times New Roman"/>
          <w:sz w:val="24"/>
          <w:szCs w:val="24"/>
        </w:rPr>
        <w:t xml:space="preserve">Differing treatment of one gender’s sexual misconduct allegations, compared to the other gender’s treatment, has been found to indicate </w:t>
      </w:r>
      <w:r>
        <w:rPr>
          <w:rFonts w:ascii="Times New Roman" w:hAnsi="Times New Roman"/>
          <w:sz w:val="24"/>
          <w:szCs w:val="24"/>
        </w:rPr>
        <w:t>‘</w:t>
      </w:r>
      <w:r w:rsidRPr="000F4C26">
        <w:rPr>
          <w:rFonts w:ascii="Times New Roman" w:hAnsi="Times New Roman"/>
          <w:sz w:val="24"/>
          <w:szCs w:val="24"/>
        </w:rPr>
        <w:t>an informal yet established custom or policy of discrimination</w:t>
      </w:r>
      <w:r>
        <w:rPr>
          <w:rFonts w:ascii="Times New Roman" w:hAnsi="Times New Roman"/>
          <w:sz w:val="24"/>
          <w:szCs w:val="24"/>
        </w:rPr>
        <w:t>’</w:t>
      </w:r>
      <w:r w:rsidRPr="000F4C26">
        <w:rPr>
          <w:rFonts w:ascii="Times New Roman" w:hAnsi="Times New Roman"/>
          <w:sz w:val="24"/>
          <w:szCs w:val="24"/>
        </w:rPr>
        <w:t xml:space="preserve"> against one gender while treating the other gender’s complaints more seriously. Hicks v. Sheahan, No. 03 C 0327, 2004 WL 3119016, at *18 (N.D. Ill. 2004).</w:t>
      </w:r>
      <w:r w:rsidR="00BF4DDE">
        <w:rPr>
          <w:rFonts w:ascii="Times New Roman" w:hAnsi="Times New Roman"/>
          <w:sz w:val="24"/>
          <w:szCs w:val="24"/>
        </w:rPr>
        <w:t xml:space="preserve"> *** </w:t>
      </w:r>
      <w:r w:rsidRPr="000F4C26">
        <w:rPr>
          <w:rFonts w:ascii="Times New Roman" w:hAnsi="Times New Roman"/>
          <w:sz w:val="24"/>
          <w:szCs w:val="24"/>
        </w:rPr>
        <w:t>Specifically, Plaintiffs’ motion seeks the student’s complaint, the OIG Report, witness statements, documents detailing the allegations, and documents that reflect the outcome of the investigation into the student’s allegation.</w:t>
      </w:r>
      <w:r w:rsidR="00BF4DDE">
        <w:rPr>
          <w:rFonts w:ascii="Times New Roman" w:hAnsi="Times New Roman"/>
          <w:sz w:val="24"/>
          <w:szCs w:val="24"/>
        </w:rPr>
        <w:t xml:space="preserve"> *** </w:t>
      </w:r>
      <w:r w:rsidRPr="000F4C26">
        <w:rPr>
          <w:rFonts w:ascii="Times New Roman" w:hAnsi="Times New Roman"/>
          <w:sz w:val="24"/>
          <w:szCs w:val="24"/>
        </w:rPr>
        <w:t xml:space="preserve">Plaintiffs argue that these documents are relevant to compare how Defendant treats male versus female sexual misconduct complainants. *** Here, the Complaint’s </w:t>
      </w:r>
      <w:r w:rsidRPr="000F4C26">
        <w:rPr>
          <w:rFonts w:ascii="Times New Roman" w:hAnsi="Times New Roman"/>
          <w:sz w:val="24"/>
          <w:szCs w:val="24"/>
          <w:u w:val="single"/>
        </w:rPr>
        <w:t xml:space="preserve">Monell [Monell v. </w:t>
      </w:r>
      <w:proofErr w:type="spellStart"/>
      <w:r w:rsidRPr="000F4C26">
        <w:rPr>
          <w:rFonts w:ascii="Times New Roman" w:hAnsi="Times New Roman"/>
          <w:sz w:val="24"/>
          <w:szCs w:val="24"/>
          <w:u w:val="single"/>
        </w:rPr>
        <w:t>Dep’t</w:t>
      </w:r>
      <w:proofErr w:type="spellEnd"/>
      <w:r w:rsidRPr="000F4C26">
        <w:rPr>
          <w:rFonts w:ascii="Times New Roman" w:hAnsi="Times New Roman"/>
          <w:sz w:val="24"/>
          <w:szCs w:val="24"/>
          <w:u w:val="single"/>
        </w:rPr>
        <w:t xml:space="preserve"> of Social Services</w:t>
      </w:r>
      <w:r w:rsidRPr="000F4C26">
        <w:rPr>
          <w:rFonts w:ascii="Times New Roman" w:hAnsi="Times New Roman"/>
          <w:sz w:val="24"/>
          <w:szCs w:val="24"/>
        </w:rPr>
        <w:t>, 436 U.S. 658 (1978)]</w:t>
      </w:r>
      <w:r>
        <w:rPr>
          <w:sz w:val="27"/>
          <w:szCs w:val="27"/>
        </w:rPr>
        <w:t xml:space="preserve"> </w:t>
      </w:r>
      <w:r w:rsidRPr="000F4C26">
        <w:rPr>
          <w:rFonts w:ascii="Times New Roman" w:hAnsi="Times New Roman"/>
          <w:sz w:val="24"/>
          <w:szCs w:val="24"/>
        </w:rPr>
        <w:t>claim alleges, in part, that Defendant had a discriminatory policy or practice of failing to adequately investigate and discipline its employees accused of sexual misconduct.</w:t>
      </w:r>
      <w:r w:rsidR="00BF4DDE">
        <w:rPr>
          <w:rFonts w:ascii="Times New Roman" w:hAnsi="Times New Roman"/>
          <w:sz w:val="24"/>
          <w:szCs w:val="24"/>
        </w:rPr>
        <w:t>”</w:t>
      </w:r>
      <w:hyperlink r:id="rId1443" w:history="1">
        <w:r w:rsidR="00BF4DDE" w:rsidRPr="002F304C">
          <w:rPr>
            <w:rStyle w:val="Hyperlink"/>
            <w:rFonts w:ascii="Times New Roman" w:hAnsi="Times New Roman"/>
            <w:sz w:val="24"/>
            <w:szCs w:val="24"/>
          </w:rPr>
          <w:t>https://law.justia.com/cases/federal/district-courts/illinois/ilndce/1:2018cv03054/351942/211/</w:t>
        </w:r>
      </w:hyperlink>
      <w:r w:rsidR="00BF4DDE" w:rsidRPr="00BF4DDE">
        <w:rPr>
          <w:rFonts w:ascii="Times New Roman" w:hAnsi="Times New Roman"/>
          <w:sz w:val="24"/>
          <w:szCs w:val="24"/>
        </w:rPr>
        <w:t xml:space="preserve"> </w:t>
      </w:r>
    </w:p>
    <w:p w14:paraId="073F3E01" w14:textId="4F42E546" w:rsidR="002B1283" w:rsidRDefault="002B1283" w:rsidP="002B1283">
      <w:pPr>
        <w:pStyle w:val="NoSpacing"/>
        <w:ind w:left="720"/>
        <w:rPr>
          <w:rFonts w:ascii="Times New Roman" w:hAnsi="Times New Roman"/>
          <w:sz w:val="24"/>
          <w:szCs w:val="24"/>
        </w:rPr>
      </w:pPr>
    </w:p>
    <w:p w14:paraId="79B82112" w14:textId="77777777" w:rsidR="002B1283" w:rsidRPr="00A217F1" w:rsidRDefault="002B1283" w:rsidP="002B1283">
      <w:pPr>
        <w:pStyle w:val="NoSpacing"/>
        <w:ind w:firstLine="720"/>
        <w:rPr>
          <w:rFonts w:ascii="Times New Roman" w:hAnsi="Times New Roman"/>
          <w:b/>
          <w:bCs/>
          <w:sz w:val="24"/>
          <w:szCs w:val="24"/>
        </w:rPr>
      </w:pPr>
    </w:p>
    <w:p w14:paraId="309B8F63" w14:textId="1B76C354" w:rsidR="002B1283" w:rsidRDefault="002B1283" w:rsidP="002B1283">
      <w:pPr>
        <w:pStyle w:val="NoSpacing"/>
        <w:rPr>
          <w:rFonts w:ascii="Times New Roman" w:hAnsi="Times New Roman"/>
          <w:b/>
          <w:bCs/>
          <w:sz w:val="24"/>
          <w:szCs w:val="24"/>
        </w:rPr>
      </w:pPr>
      <w:r w:rsidRPr="00A217F1">
        <w:rPr>
          <w:rFonts w:ascii="Times New Roman" w:hAnsi="Times New Roman"/>
          <w:b/>
          <w:bCs/>
          <w:sz w:val="24"/>
          <w:szCs w:val="24"/>
        </w:rPr>
        <w:t xml:space="preserve">Legal Lessons Learned:  Courts favor pre-trial discovery.  The U.S. Supreme Court in Monell held that municipalities can be liable under § 1983 for deprivations pursuant to official policy or entrenched practices. </w:t>
      </w:r>
    </w:p>
    <w:p w14:paraId="5AD8A041" w14:textId="77777777" w:rsidR="002B1283" w:rsidRPr="00A217F1" w:rsidRDefault="002B1283" w:rsidP="002B1283">
      <w:pPr>
        <w:pStyle w:val="NoSpacing"/>
        <w:rPr>
          <w:rFonts w:ascii="Times New Roman" w:hAnsi="Times New Roman"/>
          <w:b/>
          <w:bCs/>
          <w:sz w:val="24"/>
          <w:szCs w:val="24"/>
        </w:rPr>
      </w:pPr>
      <w:r w:rsidRPr="00A217F1">
        <w:rPr>
          <w:rFonts w:ascii="Times New Roman" w:hAnsi="Times New Roman"/>
          <w:b/>
          <w:bCs/>
          <w:sz w:val="24"/>
          <w:szCs w:val="24"/>
        </w:rPr>
        <w:t xml:space="preserve">Monell v. Department of Social Services, 436 U.S. 658 (1978). </w:t>
      </w:r>
      <w:hyperlink r:id="rId1444" w:history="1">
        <w:r w:rsidRPr="00455844">
          <w:rPr>
            <w:rStyle w:val="Hyperlink"/>
            <w:rFonts w:ascii="Times New Roman" w:hAnsi="Times New Roman"/>
            <w:b/>
            <w:bCs/>
            <w:sz w:val="24"/>
            <w:szCs w:val="24"/>
          </w:rPr>
          <w:t>https://caselaw.findlaw.com/us-supreme-court/436/658.html</w:t>
        </w:r>
      </w:hyperlink>
      <w:r>
        <w:rPr>
          <w:rFonts w:ascii="Times New Roman" w:hAnsi="Times New Roman"/>
          <w:b/>
          <w:bCs/>
          <w:sz w:val="24"/>
          <w:szCs w:val="24"/>
        </w:rPr>
        <w:t xml:space="preserve"> </w:t>
      </w:r>
    </w:p>
    <w:p w14:paraId="4388CEE8" w14:textId="77777777" w:rsidR="002B1283" w:rsidRDefault="002B1283" w:rsidP="002B1283">
      <w:pPr>
        <w:pStyle w:val="NoSpacing"/>
        <w:ind w:left="720"/>
        <w:rPr>
          <w:rFonts w:ascii="Times New Roman" w:hAnsi="Times New Roman"/>
          <w:sz w:val="24"/>
          <w:szCs w:val="24"/>
        </w:rPr>
      </w:pPr>
    </w:p>
    <w:p w14:paraId="72766655" w14:textId="77777777" w:rsidR="002B1283" w:rsidRPr="00E232C6"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E232C6">
        <w:rPr>
          <w:rFonts w:ascii="Times New Roman" w:hAnsi="Times New Roman"/>
          <w:sz w:val="24"/>
          <w:szCs w:val="24"/>
        </w:rPr>
        <w:t xml:space="preserve">To prevail on a Monell claim, a plaintiff must show that: </w:t>
      </w:r>
      <w:r>
        <w:rPr>
          <w:rFonts w:ascii="Times New Roman" w:hAnsi="Times New Roman"/>
          <w:sz w:val="24"/>
          <w:szCs w:val="24"/>
        </w:rPr>
        <w:t>‘</w:t>
      </w:r>
      <w:r w:rsidRPr="00E232C6">
        <w:rPr>
          <w:rFonts w:ascii="Times New Roman" w:hAnsi="Times New Roman"/>
          <w:sz w:val="24"/>
          <w:szCs w:val="24"/>
        </w:rPr>
        <w:t>(1) the City had an express policy that, when enforced, causes a constitutional deprivation; (2) the City had a widespread practice that, although not authorized by written law or express municipal policy, is so permanent and well settled as to constitute a custom or usage within the force of law; or (3) plaintiff's constitutional injury was caused by a person with final policymaking authority.</w:t>
      </w:r>
      <w:r>
        <w:rPr>
          <w:rFonts w:ascii="Times New Roman" w:hAnsi="Times New Roman"/>
          <w:sz w:val="24"/>
          <w:szCs w:val="24"/>
        </w:rPr>
        <w:t>’”</w:t>
      </w:r>
      <w:r w:rsidRPr="00E232C6">
        <w:t xml:space="preserve"> </w:t>
      </w:r>
      <w:hyperlink r:id="rId1445" w:history="1">
        <w:r w:rsidRPr="0028432B">
          <w:rPr>
            <w:rStyle w:val="Hyperlink"/>
            <w:rFonts w:ascii="Times New Roman" w:hAnsi="Times New Roman"/>
            <w:sz w:val="24"/>
            <w:szCs w:val="24"/>
          </w:rPr>
          <w:t>https://cases.justia.com/federal/district-courts/illinois/ilndce/1:2018cv03054/351942/211/0.pdf?ts=1558430418</w:t>
        </w:r>
      </w:hyperlink>
      <w:r>
        <w:rPr>
          <w:rFonts w:ascii="Times New Roman" w:hAnsi="Times New Roman"/>
          <w:sz w:val="24"/>
          <w:szCs w:val="24"/>
        </w:rPr>
        <w:t xml:space="preserve"> </w:t>
      </w:r>
    </w:p>
    <w:p w14:paraId="4340B2BB" w14:textId="77777777" w:rsidR="002B1283" w:rsidRDefault="002B1283" w:rsidP="002B1283">
      <w:pPr>
        <w:rPr>
          <w:rFonts w:ascii="Times New Roman" w:hAnsi="Times New Roman"/>
          <w:sz w:val="24"/>
          <w:szCs w:val="24"/>
        </w:rPr>
      </w:pPr>
    </w:p>
    <w:p w14:paraId="15D2623A" w14:textId="77777777" w:rsidR="0097592D" w:rsidRDefault="0097592D" w:rsidP="00F326E5">
      <w:pPr>
        <w:pStyle w:val="NoSpacing"/>
        <w:rPr>
          <w:rFonts w:ascii="Arial Black" w:hAnsi="Arial Black"/>
          <w:sz w:val="24"/>
          <w:szCs w:val="24"/>
        </w:rPr>
      </w:pPr>
    </w:p>
    <w:p w14:paraId="6E895166" w14:textId="1D425C0F" w:rsidR="002B1283" w:rsidRPr="005B0774" w:rsidRDefault="005B0774" w:rsidP="00F326E5">
      <w:pPr>
        <w:pStyle w:val="NoSpacing"/>
        <w:rPr>
          <w:rFonts w:ascii="Arial Black" w:hAnsi="Arial Black"/>
          <w:sz w:val="24"/>
          <w:szCs w:val="24"/>
        </w:rPr>
      </w:pPr>
      <w:r w:rsidRPr="005B0774">
        <w:rPr>
          <w:rFonts w:ascii="Arial Black" w:hAnsi="Arial Black"/>
          <w:sz w:val="24"/>
          <w:szCs w:val="24"/>
        </w:rPr>
        <w:t>7-7</w:t>
      </w:r>
    </w:p>
    <w:p w14:paraId="383E120A" w14:textId="0FE04715" w:rsidR="005B0774" w:rsidRDefault="005B0774" w:rsidP="00DE0F03">
      <w:pPr>
        <w:rPr>
          <w:rFonts w:ascii="Arial Black" w:hAnsi="Arial Black"/>
          <w:b/>
          <w:sz w:val="24"/>
          <w:szCs w:val="24"/>
        </w:rPr>
      </w:pPr>
    </w:p>
    <w:p w14:paraId="6AF499DB" w14:textId="77777777" w:rsidR="005B0774" w:rsidRPr="005B0774" w:rsidRDefault="005B0774" w:rsidP="00DE0F03">
      <w:pPr>
        <w:rPr>
          <w:rFonts w:ascii="Arial Black" w:hAnsi="Arial Black" w:cs="Arial"/>
          <w:sz w:val="28"/>
          <w:szCs w:val="28"/>
        </w:rPr>
      </w:pPr>
      <w:r w:rsidRPr="005B0774">
        <w:rPr>
          <w:rFonts w:ascii="Arial Black" w:hAnsi="Arial Black" w:cs="Arial"/>
          <w:sz w:val="28"/>
          <w:szCs w:val="28"/>
        </w:rPr>
        <w:t xml:space="preserve">NE: FEMALE FF “HOSTILE WORKPLACE” LAWSUIT MAY PROCEED – JUDGE REF. MALE CAPTAIN’S $1.1M JURY VERDICT AGAINST FD </w:t>
      </w:r>
    </w:p>
    <w:p w14:paraId="682D04F7" w14:textId="77777777" w:rsidR="00BF4DDE" w:rsidRDefault="005B0774" w:rsidP="00DE0F03">
      <w:pPr>
        <w:rPr>
          <w:rFonts w:ascii="Times New Roman" w:hAnsi="Times New Roman"/>
          <w:sz w:val="24"/>
          <w:szCs w:val="24"/>
        </w:rPr>
      </w:pPr>
      <w:r w:rsidRPr="0036327D">
        <w:rPr>
          <w:rFonts w:ascii="Times New Roman" w:hAnsi="Times New Roman"/>
          <w:sz w:val="24"/>
          <w:szCs w:val="24"/>
        </w:rPr>
        <w:t>On April 22, 2019, in Manda Benson v. City of Lincoln, Senior U.S. District Court judge Richard G. Kopf, denied the City’s motion to dismiss:</w:t>
      </w:r>
    </w:p>
    <w:p w14:paraId="2A13AB13" w14:textId="2E70E1EC" w:rsidR="005B0774" w:rsidRPr="0036327D" w:rsidRDefault="005B0774" w:rsidP="00BF4DDE">
      <w:pPr>
        <w:ind w:left="720"/>
        <w:rPr>
          <w:rFonts w:ascii="Times New Roman" w:hAnsi="Times New Roman"/>
          <w:sz w:val="24"/>
          <w:szCs w:val="24"/>
        </w:rPr>
      </w:pPr>
      <w:r w:rsidRPr="0036327D">
        <w:rPr>
          <w:rFonts w:ascii="Times New Roman" w:hAnsi="Times New Roman"/>
          <w:sz w:val="24"/>
          <w:szCs w:val="24"/>
        </w:rPr>
        <w:t xml:space="preserve">“In yet another lawsuit[Footnote 1] alleging that employees of the City of Lincoln and Lincoln Fire and Rescue ... discriminated against, retaliated against, and created a hostile work environment for female firefighters on the basis of sex and/or national origin, Plaintiff Amanda Benson asserts in her Second Amended Complaint (Filing No. 18) the following causes of action (‘COA’) against the City of Lincoln and eight other Defendants in their individual and official capacities... Footnote 1: See Hurd v. City of Lincoln (No. 4:16CV3029) (D. Neb. 2016) and Giles v. City of Lincoln (No. 4:17CV3050) (D. Neb. 2017). *** Footnote 9: The court takes judicial notice of the jury verdict in the amount of $1,177,815.43 in Hurd v. City of Lincoln, No. 4:16CV3029, Filing No. 250 (D. Neb. Feb. 26, 2019), in favor of Troy Hurd and against the City of Lincoln on Hurd's Title VII and NFEPA claim that he was retaliated against after complaining about sexual and national-origin discrimination of a fellow female LF&amp;R firefighter and the resulting hostile work environment. Hurd had complained about the discrimination and hostile work environment to LF&amp;R personnel, City management, and the NEOC/EEOC.” </w:t>
      </w:r>
      <w:r w:rsidR="00BF4DDE">
        <w:rPr>
          <w:rFonts w:ascii="Times New Roman" w:hAnsi="Times New Roman"/>
          <w:sz w:val="24"/>
          <w:szCs w:val="24"/>
        </w:rPr>
        <w:t xml:space="preserve"> </w:t>
      </w:r>
      <w:hyperlink r:id="rId1446" w:history="1">
        <w:r w:rsidR="00BF4DDE" w:rsidRPr="002F304C">
          <w:rPr>
            <w:rStyle w:val="Hyperlink"/>
            <w:rFonts w:ascii="Times New Roman" w:hAnsi="Times New Roman"/>
            <w:sz w:val="24"/>
            <w:szCs w:val="24"/>
          </w:rPr>
          <w:t>https://casetext.com/case/benson-v-city-of-lincoln</w:t>
        </w:r>
      </w:hyperlink>
      <w:r w:rsidR="00BF4DDE">
        <w:rPr>
          <w:rFonts w:ascii="Times New Roman" w:hAnsi="Times New Roman"/>
          <w:sz w:val="24"/>
          <w:szCs w:val="24"/>
        </w:rPr>
        <w:t xml:space="preserve"> </w:t>
      </w:r>
    </w:p>
    <w:p w14:paraId="7A0E731C" w14:textId="77777777" w:rsidR="00BF4DDE" w:rsidRDefault="005B0774" w:rsidP="00DE0F03">
      <w:pPr>
        <w:rPr>
          <w:rFonts w:ascii="Times New Roman" w:hAnsi="Times New Roman"/>
          <w:b/>
          <w:bCs/>
          <w:sz w:val="24"/>
          <w:szCs w:val="24"/>
        </w:rPr>
      </w:pPr>
      <w:r w:rsidRPr="0036327D">
        <w:rPr>
          <w:rFonts w:ascii="Times New Roman" w:hAnsi="Times New Roman"/>
          <w:b/>
          <w:bCs/>
          <w:sz w:val="24"/>
          <w:szCs w:val="24"/>
        </w:rPr>
        <w:t xml:space="preserve">Legal Lessons Learned: The lawsuit will now proceed to trial; Federal juries have returned some very large verdicts.  </w:t>
      </w:r>
    </w:p>
    <w:p w14:paraId="40092AA7" w14:textId="3AB62DF9" w:rsidR="00BF4DDE" w:rsidRDefault="005B0774" w:rsidP="00DE0F03">
      <w:pPr>
        <w:rPr>
          <w:rFonts w:ascii="Times New Roman" w:hAnsi="Times New Roman"/>
          <w:sz w:val="24"/>
          <w:szCs w:val="24"/>
        </w:rPr>
      </w:pPr>
      <w:r w:rsidRPr="00BF4DDE">
        <w:rPr>
          <w:rFonts w:ascii="Times New Roman" w:hAnsi="Times New Roman"/>
          <w:sz w:val="24"/>
          <w:szCs w:val="24"/>
        </w:rPr>
        <w:t xml:space="preserve">See complaint: </w:t>
      </w:r>
      <w:hyperlink r:id="rId1447" w:history="1">
        <w:r w:rsidRPr="00BF4DDE">
          <w:rPr>
            <w:rStyle w:val="Hyperlink"/>
            <w:rFonts w:ascii="Times New Roman" w:hAnsi="Times New Roman"/>
            <w:sz w:val="24"/>
            <w:szCs w:val="24"/>
          </w:rPr>
          <w:t>http://41af3k34gprx4f6bg12df75i.wpengine.netdna-cdn.com/wp-content/uploads/sites/19/2016/03/Hurd-v-Lincoln.pdf</w:t>
        </w:r>
      </w:hyperlink>
      <w:r w:rsidRPr="00BF4DDE">
        <w:rPr>
          <w:rFonts w:ascii="Times New Roman" w:hAnsi="Times New Roman"/>
          <w:sz w:val="24"/>
          <w:szCs w:val="24"/>
        </w:rPr>
        <w:t xml:space="preserve"> </w:t>
      </w:r>
    </w:p>
    <w:p w14:paraId="36463C6C" w14:textId="2AF97BA5" w:rsidR="005B0774" w:rsidRPr="00BF4DDE" w:rsidRDefault="005B0774" w:rsidP="00DE0F03">
      <w:pPr>
        <w:rPr>
          <w:rFonts w:ascii="Times New Roman" w:hAnsi="Times New Roman"/>
          <w:sz w:val="24"/>
          <w:szCs w:val="24"/>
        </w:rPr>
      </w:pPr>
      <w:r w:rsidRPr="00BF4DDE">
        <w:rPr>
          <w:rFonts w:ascii="Times New Roman" w:hAnsi="Times New Roman"/>
          <w:sz w:val="24"/>
          <w:szCs w:val="24"/>
        </w:rPr>
        <w:t xml:space="preserve">See article about the case: </w:t>
      </w:r>
      <w:hyperlink r:id="rId1448" w:history="1">
        <w:r w:rsidRPr="00BF4DDE">
          <w:rPr>
            <w:rStyle w:val="Hyperlink"/>
            <w:rFonts w:ascii="Times New Roman" w:hAnsi="Times New Roman"/>
            <w:sz w:val="24"/>
            <w:szCs w:val="24"/>
          </w:rPr>
          <w:t>https://journalstar.com/news/local/crime-and-courts/female-firefighter-s-discrimination-case-against-the-city-of-lincoln/article_97cf8ac8-bb20-5343-8e10-3faf315b0dd8.html</w:t>
        </w:r>
      </w:hyperlink>
      <w:r w:rsidRPr="00BF4DDE">
        <w:rPr>
          <w:rFonts w:ascii="Times New Roman" w:hAnsi="Times New Roman"/>
          <w:sz w:val="24"/>
          <w:szCs w:val="24"/>
        </w:rPr>
        <w:t xml:space="preserve"> </w:t>
      </w:r>
    </w:p>
    <w:p w14:paraId="7A3B2E81" w14:textId="22246162" w:rsidR="005B0774" w:rsidRPr="005B0774" w:rsidRDefault="005B0774" w:rsidP="00DE0F03">
      <w:pPr>
        <w:rPr>
          <w:rFonts w:ascii="Times New Roman" w:hAnsi="Times New Roman"/>
          <w:bCs/>
          <w:sz w:val="24"/>
          <w:szCs w:val="24"/>
        </w:rPr>
      </w:pPr>
    </w:p>
    <w:p w14:paraId="00169B06" w14:textId="77777777" w:rsidR="005B0774" w:rsidRDefault="005B0774" w:rsidP="00DE0F03">
      <w:pPr>
        <w:rPr>
          <w:rFonts w:ascii="Arial Black" w:hAnsi="Arial Black"/>
          <w:b/>
          <w:sz w:val="24"/>
          <w:szCs w:val="24"/>
        </w:rPr>
      </w:pPr>
    </w:p>
    <w:p w14:paraId="4B360F1F" w14:textId="77777777" w:rsidR="00BF4DDE" w:rsidRDefault="00BF4DDE" w:rsidP="00DE0F03">
      <w:pPr>
        <w:rPr>
          <w:rFonts w:ascii="Arial Black" w:hAnsi="Arial Black"/>
          <w:b/>
          <w:sz w:val="24"/>
          <w:szCs w:val="24"/>
        </w:rPr>
      </w:pPr>
    </w:p>
    <w:p w14:paraId="34039C00" w14:textId="77777777" w:rsidR="00BF4DDE" w:rsidRDefault="00BF4DDE" w:rsidP="00DE0F03">
      <w:pPr>
        <w:rPr>
          <w:rFonts w:ascii="Arial Black" w:hAnsi="Arial Black"/>
          <w:b/>
          <w:sz w:val="24"/>
          <w:szCs w:val="24"/>
        </w:rPr>
      </w:pPr>
    </w:p>
    <w:p w14:paraId="72D9EE62" w14:textId="73EF079A" w:rsidR="002B1283" w:rsidRDefault="00EF1133" w:rsidP="00DE0F03">
      <w:pPr>
        <w:rPr>
          <w:sz w:val="24"/>
          <w:szCs w:val="24"/>
        </w:rPr>
      </w:pPr>
      <w:r>
        <w:rPr>
          <w:rFonts w:ascii="Arial Black" w:hAnsi="Arial Black"/>
          <w:b/>
          <w:sz w:val="24"/>
          <w:szCs w:val="24"/>
        </w:rPr>
        <w:t>7</w:t>
      </w:r>
      <w:r w:rsidRPr="00EF1133">
        <w:rPr>
          <w:rFonts w:ascii="Arial Black" w:hAnsi="Arial Black"/>
          <w:b/>
          <w:sz w:val="24"/>
          <w:szCs w:val="24"/>
        </w:rPr>
        <w:t>-</w:t>
      </w:r>
      <w:r>
        <w:rPr>
          <w:rFonts w:ascii="Arial Black" w:hAnsi="Arial Black"/>
          <w:b/>
          <w:sz w:val="24"/>
          <w:szCs w:val="24"/>
        </w:rPr>
        <w:t>6</w:t>
      </w:r>
    </w:p>
    <w:p w14:paraId="6C658549" w14:textId="6FBBAAF4" w:rsidR="00F326E5" w:rsidRDefault="00F326E5" w:rsidP="00F326E5">
      <w:pPr>
        <w:pStyle w:val="NoSpacing"/>
        <w:rPr>
          <w:rFonts w:ascii="Arial Black" w:hAnsi="Arial Black"/>
          <w:sz w:val="28"/>
          <w:szCs w:val="28"/>
        </w:rPr>
      </w:pPr>
      <w:r w:rsidRPr="00284D6A">
        <w:rPr>
          <w:rFonts w:ascii="Arial Black" w:hAnsi="Arial Black"/>
          <w:sz w:val="28"/>
          <w:szCs w:val="28"/>
        </w:rPr>
        <w:t>AL:  PREGNANT EMT</w:t>
      </w:r>
      <w:r>
        <w:rPr>
          <w:rFonts w:ascii="Arial Black" w:hAnsi="Arial Black"/>
          <w:sz w:val="28"/>
          <w:szCs w:val="28"/>
        </w:rPr>
        <w:t>– SEEKS “LIGHT DUTY” - EEOC SUPPORTING HER APPEAL TO 11</w:t>
      </w:r>
      <w:r w:rsidRPr="00642DD2">
        <w:rPr>
          <w:rFonts w:ascii="Arial Black" w:hAnsi="Arial Black"/>
          <w:sz w:val="28"/>
          <w:szCs w:val="28"/>
          <w:vertAlign w:val="superscript"/>
        </w:rPr>
        <w:t>TH</w:t>
      </w:r>
      <w:r>
        <w:rPr>
          <w:rFonts w:ascii="Arial Black" w:hAnsi="Arial Black"/>
          <w:sz w:val="28"/>
          <w:szCs w:val="28"/>
        </w:rPr>
        <w:t xml:space="preserve"> CIRCUIT </w:t>
      </w:r>
    </w:p>
    <w:p w14:paraId="0DB720FB" w14:textId="77777777" w:rsidR="00F326E5" w:rsidRPr="00BF4DDE" w:rsidRDefault="00F326E5" w:rsidP="00F326E5">
      <w:pPr>
        <w:pStyle w:val="NoSpacing"/>
        <w:rPr>
          <w:rFonts w:ascii="Times New Roman" w:hAnsi="Times New Roman"/>
          <w:sz w:val="24"/>
          <w:szCs w:val="24"/>
        </w:rPr>
      </w:pPr>
      <w:r w:rsidRPr="00BF4DDE">
        <w:rPr>
          <w:rFonts w:ascii="Times New Roman" w:hAnsi="Times New Roman"/>
          <w:sz w:val="24"/>
          <w:szCs w:val="24"/>
        </w:rPr>
        <w:t xml:space="preserve">On Feb. 11, 2019, in </w:t>
      </w:r>
      <w:r w:rsidRPr="00BF4DDE">
        <w:rPr>
          <w:rFonts w:ascii="Times New Roman" w:hAnsi="Times New Roman"/>
          <w:sz w:val="24"/>
          <w:szCs w:val="24"/>
          <w:u w:val="single"/>
        </w:rPr>
        <w:t>Kimberly Michell Durham v. Rural / Metro Corporation</w:t>
      </w:r>
      <w:r w:rsidRPr="00BF4DDE">
        <w:rPr>
          <w:rFonts w:ascii="Times New Roman" w:hAnsi="Times New Roman"/>
          <w:sz w:val="24"/>
          <w:szCs w:val="24"/>
        </w:rPr>
        <w:t>, the Equal Employment Opportunity Commission has filed an amicus brief with the 11</w:t>
      </w:r>
      <w:r w:rsidRPr="00BF4DDE">
        <w:rPr>
          <w:rFonts w:ascii="Times New Roman" w:hAnsi="Times New Roman"/>
          <w:sz w:val="24"/>
          <w:szCs w:val="24"/>
          <w:vertAlign w:val="superscript"/>
        </w:rPr>
        <w:t>th</w:t>
      </w:r>
      <w:r w:rsidRPr="00BF4DDE">
        <w:rPr>
          <w:rFonts w:ascii="Times New Roman" w:hAnsi="Times New Roman"/>
          <w:sz w:val="24"/>
          <w:szCs w:val="24"/>
        </w:rPr>
        <w:t xml:space="preserve"> Circuit (Atlanta), arguing: </w:t>
      </w:r>
    </w:p>
    <w:p w14:paraId="4579008B" w14:textId="77777777" w:rsidR="00F326E5" w:rsidRPr="00BF4DDE" w:rsidRDefault="00F326E5" w:rsidP="00F326E5">
      <w:pPr>
        <w:pStyle w:val="NormalWeb"/>
        <w:ind w:left="720"/>
      </w:pPr>
      <w:r w:rsidRPr="00BF4DDE">
        <w:t xml:space="preserve">“The PDA [Pregnancy Discrimination Act] does not categorically bar employers from maintaining a policy of accommodating only a subset of employees, including those employees with on-the-job injuries. See [U.S. Supreme Court’s 2015 decision in </w:t>
      </w:r>
      <w:proofErr w:type="gramStart"/>
      <w:r w:rsidRPr="00BF4DDE">
        <w:rPr>
          <w:i/>
        </w:rPr>
        <w:t>Young</w:t>
      </w:r>
      <w:proofErr w:type="gramEnd"/>
      <w:r w:rsidRPr="00BF4DDE">
        <w:rPr>
          <w:i/>
        </w:rPr>
        <w:t xml:space="preserve"> v. UPS</w:t>
      </w:r>
      <w:r w:rsidRPr="00BF4DDE">
        <w:t xml:space="preserve">] 135 S. Ct. at 1349-51. However, </w:t>
      </w:r>
      <w:r w:rsidRPr="00BF4DDE">
        <w:rPr>
          <w:i/>
        </w:rPr>
        <w:t>Young</w:t>
      </w:r>
      <w:r w:rsidRPr="00BF4DDE">
        <w:t xml:space="preserve"> allows that a jury may find that an employer’s policy of accommodating only some employees is a pretext for pregnancy </w:t>
      </w:r>
      <w:proofErr w:type="gramStart"/>
      <w:r w:rsidRPr="00BF4DDE">
        <w:t>discrimination.”</w:t>
      </w:r>
      <w:proofErr w:type="gramEnd"/>
      <w:r w:rsidRPr="00BF4DDE">
        <w:t xml:space="preserve"> </w:t>
      </w:r>
      <w:hyperlink r:id="rId1449" w:history="1">
        <w:r w:rsidRPr="00BF4DDE">
          <w:rPr>
            <w:rStyle w:val="Hyperlink"/>
          </w:rPr>
          <w:t>https://assets.documentcloud.org/documents/5745041/Eeoc.pdf</w:t>
        </w:r>
      </w:hyperlink>
      <w:r w:rsidRPr="00BF4DDE">
        <w:t xml:space="preserve"> [Page 31]</w:t>
      </w:r>
    </w:p>
    <w:p w14:paraId="4E16B9A6" w14:textId="5711C36B" w:rsidR="00F326E5" w:rsidRPr="00BF4DDE" w:rsidRDefault="00F326E5" w:rsidP="00F326E5">
      <w:pPr>
        <w:pStyle w:val="NoSpacing"/>
        <w:rPr>
          <w:rFonts w:ascii="Times New Roman" w:hAnsi="Times New Roman"/>
          <w:b/>
          <w:sz w:val="24"/>
          <w:szCs w:val="24"/>
        </w:rPr>
      </w:pPr>
      <w:r w:rsidRPr="00BF4DDE">
        <w:rPr>
          <w:rFonts w:ascii="Times New Roman" w:hAnsi="Times New Roman"/>
          <w:b/>
          <w:sz w:val="24"/>
          <w:szCs w:val="24"/>
        </w:rPr>
        <w:t xml:space="preserve">Legal Lessons Learned:  This is an important case for the fire </w:t>
      </w:r>
      <w:proofErr w:type="gramStart"/>
      <w:r w:rsidRPr="00BF4DDE">
        <w:rPr>
          <w:rFonts w:ascii="Times New Roman" w:hAnsi="Times New Roman"/>
          <w:b/>
          <w:sz w:val="24"/>
          <w:szCs w:val="24"/>
        </w:rPr>
        <w:t>service, and</w:t>
      </w:r>
      <w:proofErr w:type="gramEnd"/>
      <w:r w:rsidRPr="00BF4DDE">
        <w:rPr>
          <w:rFonts w:ascii="Times New Roman" w:hAnsi="Times New Roman"/>
          <w:b/>
          <w:sz w:val="24"/>
          <w:szCs w:val="24"/>
        </w:rPr>
        <w:t xml:space="preserve"> may eventually reach the U.S. Supreme Court.  </w:t>
      </w:r>
    </w:p>
    <w:p w14:paraId="5F82BB95" w14:textId="77777777" w:rsidR="005B0774" w:rsidRDefault="005B0774" w:rsidP="00F326E5">
      <w:pPr>
        <w:pStyle w:val="NoSpacing"/>
        <w:rPr>
          <w:b/>
          <w:sz w:val="24"/>
          <w:szCs w:val="24"/>
        </w:rPr>
      </w:pPr>
    </w:p>
    <w:p w14:paraId="3FB721E6" w14:textId="77777777" w:rsidR="00F326E5" w:rsidRPr="00BF4DDE" w:rsidRDefault="00F326E5" w:rsidP="00F326E5">
      <w:pPr>
        <w:pStyle w:val="NoSpacing"/>
        <w:ind w:left="720"/>
        <w:rPr>
          <w:rStyle w:val="Hyperlink"/>
          <w:rFonts w:ascii="Times New Roman" w:hAnsi="Times New Roman"/>
          <w:sz w:val="24"/>
          <w:szCs w:val="24"/>
        </w:rPr>
      </w:pPr>
      <w:r w:rsidRPr="00BF4DDE">
        <w:rPr>
          <w:rFonts w:ascii="Times New Roman" w:hAnsi="Times New Roman"/>
          <w:sz w:val="24"/>
          <w:szCs w:val="24"/>
        </w:rPr>
        <w:t>Note:  Numerous civil rights groups, including a Better Balance, The National Women’s Law Center and the National Employment Law Project, have filed amicus briefs urging the 11</w:t>
      </w:r>
      <w:r w:rsidRPr="00BF4DDE">
        <w:rPr>
          <w:rFonts w:ascii="Times New Roman" w:hAnsi="Times New Roman"/>
          <w:sz w:val="24"/>
          <w:szCs w:val="24"/>
          <w:vertAlign w:val="superscript"/>
        </w:rPr>
        <w:t>th</w:t>
      </w:r>
      <w:r w:rsidRPr="00BF4DDE">
        <w:rPr>
          <w:rFonts w:ascii="Times New Roman" w:hAnsi="Times New Roman"/>
          <w:sz w:val="24"/>
          <w:szCs w:val="24"/>
        </w:rPr>
        <w:t xml:space="preserve"> Circuit to reverse the Federal District court’s decision. </w:t>
      </w:r>
      <w:hyperlink r:id="rId1450" w:history="1">
        <w:r w:rsidRPr="00BF4DDE">
          <w:rPr>
            <w:rStyle w:val="Hyperlink"/>
            <w:rFonts w:ascii="Times New Roman" w:hAnsi="Times New Roman"/>
            <w:sz w:val="24"/>
            <w:szCs w:val="24"/>
          </w:rPr>
          <w:t>https://assets.documentcloud.org/documents/5745040/Better-Balance.pdf</w:t>
        </w:r>
      </w:hyperlink>
      <w:r w:rsidRPr="00BF4DDE">
        <w:rPr>
          <w:rFonts w:ascii="Times New Roman" w:hAnsi="Times New Roman"/>
          <w:sz w:val="24"/>
          <w:szCs w:val="24"/>
        </w:rPr>
        <w:t xml:space="preserve"> .</w:t>
      </w:r>
      <w:r w:rsidRPr="00BF4DDE">
        <w:rPr>
          <w:rFonts w:ascii="Times New Roman" w:hAnsi="Times New Roman"/>
          <w:bCs/>
          <w:kern w:val="36"/>
          <w:sz w:val="24"/>
          <w:szCs w:val="24"/>
        </w:rPr>
        <w:t xml:space="preserve"> See also Feb. 22, </w:t>
      </w:r>
      <w:proofErr w:type="gramStart"/>
      <w:r w:rsidRPr="00BF4DDE">
        <w:rPr>
          <w:rFonts w:ascii="Times New Roman" w:hAnsi="Times New Roman"/>
          <w:bCs/>
          <w:kern w:val="36"/>
          <w:sz w:val="24"/>
          <w:szCs w:val="24"/>
        </w:rPr>
        <w:t>2019</w:t>
      </w:r>
      <w:proofErr w:type="gramEnd"/>
      <w:r w:rsidRPr="00BF4DDE">
        <w:rPr>
          <w:rFonts w:ascii="Times New Roman" w:hAnsi="Times New Roman"/>
          <w:bCs/>
          <w:kern w:val="36"/>
          <w:sz w:val="24"/>
          <w:szCs w:val="24"/>
        </w:rPr>
        <w:t xml:space="preserve"> article, “11th Circuit Pregnancy Bias Case Tests 2015 Supreme Court Ruling,” </w:t>
      </w:r>
      <w:hyperlink r:id="rId1451" w:history="1">
        <w:r w:rsidRPr="00BF4DDE">
          <w:rPr>
            <w:rStyle w:val="Hyperlink"/>
            <w:rFonts w:ascii="Times New Roman" w:hAnsi="Times New Roman"/>
            <w:sz w:val="24"/>
            <w:szCs w:val="24"/>
          </w:rPr>
          <w:t>https://www.law.com/nationallawjournal/2019/02/22/11th-circuit-pregnancy-bias-case-tests-2015-supreme-court-ruling/</w:t>
        </w:r>
      </w:hyperlink>
      <w:r w:rsidRPr="00BF4DDE">
        <w:rPr>
          <w:rStyle w:val="Hyperlink"/>
          <w:rFonts w:ascii="Times New Roman" w:hAnsi="Times New Roman"/>
          <w:sz w:val="24"/>
          <w:szCs w:val="24"/>
        </w:rPr>
        <w:t xml:space="preserve">  </w:t>
      </w:r>
    </w:p>
    <w:p w14:paraId="3CE90402" w14:textId="77777777" w:rsidR="00EF1133" w:rsidRDefault="00EF1133" w:rsidP="00EF1133">
      <w:pPr>
        <w:rPr>
          <w:rFonts w:ascii="Arial Black" w:hAnsi="Arial Black"/>
          <w:b/>
          <w:sz w:val="24"/>
          <w:szCs w:val="24"/>
        </w:rPr>
      </w:pPr>
    </w:p>
    <w:p w14:paraId="64B17E0B" w14:textId="524B8A4E" w:rsidR="00EF1133" w:rsidRDefault="00EF1133" w:rsidP="00EF1133">
      <w:pPr>
        <w:rPr>
          <w:rFonts w:ascii="Arial Black" w:hAnsi="Arial Black"/>
          <w:b/>
          <w:sz w:val="24"/>
          <w:szCs w:val="24"/>
        </w:rPr>
      </w:pPr>
      <w:r>
        <w:rPr>
          <w:rFonts w:ascii="Arial Black" w:hAnsi="Arial Black"/>
          <w:b/>
          <w:sz w:val="24"/>
          <w:szCs w:val="24"/>
        </w:rPr>
        <w:t>7</w:t>
      </w:r>
      <w:r w:rsidRPr="00EF1133">
        <w:rPr>
          <w:rFonts w:ascii="Arial Black" w:hAnsi="Arial Black"/>
          <w:b/>
          <w:sz w:val="24"/>
          <w:szCs w:val="24"/>
        </w:rPr>
        <w:t>-</w:t>
      </w:r>
      <w:r>
        <w:rPr>
          <w:rFonts w:ascii="Arial Black" w:hAnsi="Arial Black"/>
          <w:b/>
          <w:sz w:val="24"/>
          <w:szCs w:val="24"/>
        </w:rPr>
        <w:t>5</w:t>
      </w:r>
    </w:p>
    <w:p w14:paraId="6D9B460A" w14:textId="363DE123" w:rsidR="00F326E5" w:rsidRDefault="00F326E5" w:rsidP="00F326E5">
      <w:pPr>
        <w:pStyle w:val="NoSpacing"/>
        <w:rPr>
          <w:rFonts w:ascii="Arial Black" w:hAnsi="Arial Black"/>
          <w:b/>
          <w:sz w:val="28"/>
          <w:szCs w:val="28"/>
        </w:rPr>
      </w:pPr>
      <w:bookmarkStart w:id="310" w:name="_Hlk7344079"/>
      <w:bookmarkEnd w:id="282"/>
      <w:r>
        <w:rPr>
          <w:rFonts w:ascii="Arial Black" w:hAnsi="Arial Black"/>
          <w:b/>
          <w:sz w:val="28"/>
          <w:szCs w:val="28"/>
        </w:rPr>
        <w:t>IL</w:t>
      </w:r>
      <w:r w:rsidR="00BF4DDE">
        <w:rPr>
          <w:rFonts w:ascii="Arial Black" w:hAnsi="Arial Black"/>
          <w:b/>
          <w:sz w:val="28"/>
          <w:szCs w:val="28"/>
        </w:rPr>
        <w:t xml:space="preserve">: </w:t>
      </w:r>
      <w:r>
        <w:rPr>
          <w:rFonts w:ascii="Arial Black" w:hAnsi="Arial Black"/>
          <w:b/>
          <w:sz w:val="28"/>
          <w:szCs w:val="28"/>
        </w:rPr>
        <w:t>1</w:t>
      </w:r>
      <w:r w:rsidRPr="006A0855">
        <w:rPr>
          <w:rFonts w:ascii="Arial Black" w:hAnsi="Arial Black"/>
          <w:b/>
          <w:sz w:val="28"/>
          <w:szCs w:val="28"/>
        </w:rPr>
        <w:t xml:space="preserve">2 FEMALES FAILED FITNESS TESTING IN CHICAGO FD PARAMEDIC </w:t>
      </w:r>
      <w:r>
        <w:rPr>
          <w:rFonts w:ascii="Arial Black" w:hAnsi="Arial Black"/>
          <w:b/>
          <w:sz w:val="28"/>
          <w:szCs w:val="28"/>
        </w:rPr>
        <w:t xml:space="preserve">RECRUIT SCHOOL </w:t>
      </w:r>
      <w:r w:rsidRPr="006A0855">
        <w:rPr>
          <w:rFonts w:ascii="Arial Black" w:hAnsi="Arial Black"/>
          <w:b/>
          <w:sz w:val="28"/>
          <w:szCs w:val="28"/>
        </w:rPr>
        <w:t xml:space="preserve">MAY SUE  </w:t>
      </w:r>
    </w:p>
    <w:p w14:paraId="6126DD58" w14:textId="77777777" w:rsidR="00BF4DDE" w:rsidRDefault="00BF4DDE" w:rsidP="00F326E5">
      <w:pPr>
        <w:pStyle w:val="NoSpacing"/>
        <w:rPr>
          <w:rFonts w:ascii="Times New Roman" w:hAnsi="Times New Roman"/>
          <w:sz w:val="24"/>
          <w:szCs w:val="24"/>
        </w:rPr>
      </w:pPr>
    </w:p>
    <w:p w14:paraId="6A5ABC8D" w14:textId="6A6FE165" w:rsidR="00BF4DDE" w:rsidRDefault="00F326E5" w:rsidP="00F326E5">
      <w:pPr>
        <w:pStyle w:val="NoSpacing"/>
        <w:rPr>
          <w:rFonts w:ascii="Times New Roman" w:hAnsi="Times New Roman"/>
          <w:sz w:val="24"/>
          <w:szCs w:val="24"/>
        </w:rPr>
      </w:pPr>
      <w:r w:rsidRPr="00BF4DDE">
        <w:rPr>
          <w:rFonts w:ascii="Times New Roman" w:hAnsi="Times New Roman"/>
          <w:sz w:val="24"/>
          <w:szCs w:val="24"/>
        </w:rPr>
        <w:t xml:space="preserve">On Jan. 14, 2019, in </w:t>
      </w:r>
      <w:r w:rsidRPr="00BF4DDE">
        <w:rPr>
          <w:rFonts w:ascii="Times New Roman" w:hAnsi="Times New Roman"/>
          <w:sz w:val="24"/>
          <w:szCs w:val="24"/>
          <w:u w:val="single"/>
        </w:rPr>
        <w:t>Jennifer Livingston, et al. v. City of Chicago</w:t>
      </w:r>
      <w:r w:rsidRPr="00BF4DDE">
        <w:rPr>
          <w:rFonts w:ascii="Times New Roman" w:hAnsi="Times New Roman"/>
          <w:sz w:val="24"/>
          <w:szCs w:val="24"/>
        </w:rPr>
        <w:t xml:space="preserve">, U.S. District Court Judge Sara L. Ellis, held: </w:t>
      </w:r>
    </w:p>
    <w:p w14:paraId="78DAE3B7" w14:textId="539731B5" w:rsidR="00F326E5" w:rsidRPr="00BF4DDE" w:rsidRDefault="00F326E5" w:rsidP="00BF4DDE">
      <w:pPr>
        <w:pStyle w:val="NoSpacing"/>
        <w:ind w:left="720"/>
        <w:rPr>
          <w:rFonts w:ascii="Times New Roman" w:hAnsi="Times New Roman"/>
          <w:sz w:val="24"/>
          <w:szCs w:val="24"/>
        </w:rPr>
      </w:pPr>
      <w:r w:rsidRPr="00BF4DDE">
        <w:rPr>
          <w:rFonts w:ascii="Times New Roman" w:hAnsi="Times New Roman"/>
          <w:sz w:val="24"/>
          <w:szCs w:val="24"/>
        </w:rPr>
        <w:t>“B</w:t>
      </w:r>
      <w:r w:rsidRPr="00BF4DDE">
        <w:rPr>
          <w:rFonts w:ascii="Times New Roman" w:eastAsia="Times New Roman" w:hAnsi="Times New Roman"/>
          <w:sz w:val="24"/>
          <w:szCs w:val="24"/>
        </w:rPr>
        <w:t>ecause the Non-Filing Plaintiffs can rely on the single-filing rule to bring their claims based on the charges filed by other plaintiffs in this case, the Court denies the City’s motion to dismiss.”</w:t>
      </w:r>
      <w:hyperlink r:id="rId1452" w:history="1">
        <w:r w:rsidRPr="00BF4DDE">
          <w:rPr>
            <w:rStyle w:val="Hyperlink"/>
            <w:rFonts w:ascii="Times New Roman" w:hAnsi="Times New Roman"/>
            <w:sz w:val="24"/>
            <w:szCs w:val="24"/>
          </w:rPr>
          <w:t>https://cases.justia.com/federal/district-courts/illinois/ilndce/1:2016cv10156/332956/114/0.pdf?ts=1547630986</w:t>
        </w:r>
      </w:hyperlink>
    </w:p>
    <w:p w14:paraId="464544DE" w14:textId="77777777" w:rsidR="00BF4DDE" w:rsidRDefault="00BF4DDE" w:rsidP="00F326E5">
      <w:pPr>
        <w:pStyle w:val="NoSpacing"/>
        <w:rPr>
          <w:rFonts w:ascii="Times New Roman" w:hAnsi="Times New Roman"/>
          <w:b/>
          <w:sz w:val="24"/>
          <w:szCs w:val="24"/>
        </w:rPr>
      </w:pPr>
    </w:p>
    <w:p w14:paraId="005EEDE1" w14:textId="36005839" w:rsidR="00F326E5" w:rsidRPr="00BF4DDE" w:rsidRDefault="00F326E5" w:rsidP="00F326E5">
      <w:pPr>
        <w:pStyle w:val="NoSpacing"/>
        <w:rPr>
          <w:rFonts w:ascii="Times New Roman" w:hAnsi="Times New Roman"/>
          <w:b/>
          <w:sz w:val="24"/>
          <w:szCs w:val="24"/>
        </w:rPr>
      </w:pPr>
      <w:r w:rsidRPr="00BF4DDE">
        <w:rPr>
          <w:rFonts w:ascii="Times New Roman" w:hAnsi="Times New Roman"/>
          <w:b/>
          <w:sz w:val="24"/>
          <w:szCs w:val="24"/>
        </w:rPr>
        <w:t xml:space="preserve">Legal Lessons Learned: Physical fitness tests, whether during Recruit School or prior to hiring, that have an adverse impact on females, should be validated by an expert.   </w:t>
      </w:r>
    </w:p>
    <w:p w14:paraId="54D870BB" w14:textId="77777777" w:rsidR="00F326E5" w:rsidRPr="00BF4DDE" w:rsidRDefault="00F326E5" w:rsidP="00F326E5">
      <w:pPr>
        <w:pStyle w:val="NoSpacing"/>
        <w:ind w:left="720"/>
        <w:rPr>
          <w:rFonts w:ascii="Times New Roman" w:hAnsi="Times New Roman"/>
          <w:sz w:val="24"/>
          <w:szCs w:val="24"/>
        </w:rPr>
      </w:pPr>
      <w:r w:rsidRPr="00BF4DDE">
        <w:rPr>
          <w:rFonts w:ascii="Times New Roman" w:hAnsi="Times New Roman"/>
          <w:sz w:val="24"/>
          <w:szCs w:val="24"/>
        </w:rPr>
        <w:t xml:space="preserve">See EEOC guidance, “Use of tests and other selection procedures can also violate the federal anti-discrimination laws if they disproportionately exclude people in a particular group by race, sex, or another covered basis, unless the employer can justify the test or procedure under the law.” </w:t>
      </w:r>
      <w:hyperlink r:id="rId1453" w:history="1">
        <w:r w:rsidRPr="00BF4DDE">
          <w:rPr>
            <w:rStyle w:val="Hyperlink"/>
            <w:rFonts w:ascii="Times New Roman" w:hAnsi="Times New Roman"/>
            <w:sz w:val="24"/>
            <w:szCs w:val="24"/>
          </w:rPr>
          <w:t>https://www.eeoc.gov/policy/docs/factemployment_procedures.html</w:t>
        </w:r>
      </w:hyperlink>
      <w:r w:rsidRPr="00BF4DDE">
        <w:rPr>
          <w:rFonts w:ascii="Times New Roman" w:hAnsi="Times New Roman"/>
          <w:sz w:val="24"/>
          <w:szCs w:val="24"/>
        </w:rPr>
        <w:t xml:space="preserve">  </w:t>
      </w:r>
    </w:p>
    <w:p w14:paraId="0E69A548" w14:textId="77777777" w:rsidR="00F326E5" w:rsidRPr="00BF4DDE" w:rsidRDefault="00F326E5" w:rsidP="00F326E5">
      <w:pPr>
        <w:pStyle w:val="NoSpacing"/>
        <w:ind w:left="720"/>
        <w:rPr>
          <w:rFonts w:ascii="Times New Roman" w:hAnsi="Times New Roman"/>
          <w:sz w:val="24"/>
          <w:szCs w:val="24"/>
        </w:rPr>
      </w:pPr>
      <w:r w:rsidRPr="00BF4DDE">
        <w:rPr>
          <w:rFonts w:ascii="Times New Roman" w:hAnsi="Times New Roman"/>
          <w:sz w:val="24"/>
          <w:szCs w:val="24"/>
        </w:rPr>
        <w:t xml:space="preserve">See EEOC June 13, </w:t>
      </w:r>
      <w:proofErr w:type="gramStart"/>
      <w:r w:rsidRPr="00BF4DDE">
        <w:rPr>
          <w:rFonts w:ascii="Times New Roman" w:hAnsi="Times New Roman"/>
          <w:sz w:val="24"/>
          <w:szCs w:val="24"/>
        </w:rPr>
        <w:t>2018</w:t>
      </w:r>
      <w:proofErr w:type="gramEnd"/>
      <w:r w:rsidRPr="00BF4DDE">
        <w:rPr>
          <w:rFonts w:ascii="Times New Roman" w:hAnsi="Times New Roman"/>
          <w:sz w:val="24"/>
          <w:szCs w:val="24"/>
        </w:rPr>
        <w:t xml:space="preserve"> press release: “CSX Transportation to Pay $3.2 Million To Settle EEOC Disparate Impact Sex Discrimination Case… According to the EEOC's lawsuit, CSXT conducted isokinetic strength testing as a requirement for workers to be hired for various jobs. The EEOC said that the strength test used by CSXT, known as the ‘IPCS </w:t>
      </w:r>
      <w:proofErr w:type="spellStart"/>
      <w:r w:rsidRPr="00BF4DDE">
        <w:rPr>
          <w:rFonts w:ascii="Times New Roman" w:hAnsi="Times New Roman"/>
          <w:sz w:val="24"/>
          <w:szCs w:val="24"/>
        </w:rPr>
        <w:t>Biodex</w:t>
      </w:r>
      <w:proofErr w:type="spellEnd"/>
      <w:r w:rsidRPr="00BF4DDE">
        <w:rPr>
          <w:rFonts w:ascii="Times New Roman" w:hAnsi="Times New Roman"/>
          <w:sz w:val="24"/>
          <w:szCs w:val="24"/>
        </w:rPr>
        <w:t xml:space="preserve">’ test, caused an unlawful discriminatory impact on female workers seeking jobs as conductors, material handler/clerks, and </w:t>
      </w:r>
      <w:proofErr w:type="gramStart"/>
      <w:r w:rsidRPr="00BF4DDE">
        <w:rPr>
          <w:rFonts w:ascii="Times New Roman" w:hAnsi="Times New Roman"/>
          <w:sz w:val="24"/>
          <w:szCs w:val="24"/>
        </w:rPr>
        <w:t>a number of</w:t>
      </w:r>
      <w:proofErr w:type="gramEnd"/>
      <w:r w:rsidRPr="00BF4DDE">
        <w:rPr>
          <w:rFonts w:ascii="Times New Roman" w:hAnsi="Times New Roman"/>
          <w:sz w:val="24"/>
          <w:szCs w:val="24"/>
        </w:rPr>
        <w:t xml:space="preserve"> other job categories. The EEOC also charged that CSXT used two other employment tests, a three-minute step test seeking to measure aerobic capacity and a discontinued arm endurance test, as a requirement for selection into certain jobs, and that those tests also caused an unlawful discriminatory effect on female workers.” </w:t>
      </w:r>
      <w:hyperlink r:id="rId1454" w:history="1">
        <w:r w:rsidRPr="00BF4DDE">
          <w:rPr>
            <w:rStyle w:val="Hyperlink"/>
            <w:rFonts w:ascii="Times New Roman" w:hAnsi="Times New Roman"/>
            <w:sz w:val="24"/>
            <w:szCs w:val="24"/>
          </w:rPr>
          <w:t>https://www.eeoc.gov/eeoc/newsroom/release/6-13-18.cfm</w:t>
        </w:r>
      </w:hyperlink>
      <w:r w:rsidRPr="00BF4DDE">
        <w:rPr>
          <w:rFonts w:ascii="Times New Roman" w:hAnsi="Times New Roman"/>
          <w:sz w:val="24"/>
          <w:szCs w:val="24"/>
        </w:rPr>
        <w:t xml:space="preserve"> </w:t>
      </w:r>
    </w:p>
    <w:p w14:paraId="05F679E0" w14:textId="50CBF9F3" w:rsidR="00F326E5" w:rsidRPr="00BF4DDE" w:rsidRDefault="00F326E5" w:rsidP="00F326E5">
      <w:pPr>
        <w:pStyle w:val="NoSpacing"/>
        <w:ind w:left="720"/>
        <w:rPr>
          <w:rFonts w:ascii="Times New Roman" w:hAnsi="Times New Roman"/>
          <w:sz w:val="24"/>
          <w:szCs w:val="24"/>
        </w:rPr>
      </w:pPr>
    </w:p>
    <w:bookmarkEnd w:id="310"/>
    <w:p w14:paraId="4F5CAF60" w14:textId="77777777" w:rsidR="00BF4DDE" w:rsidRDefault="00BF4DDE" w:rsidP="00EF1133">
      <w:pPr>
        <w:rPr>
          <w:rFonts w:ascii="Arial Black" w:hAnsi="Arial Black"/>
          <w:b/>
          <w:sz w:val="24"/>
          <w:szCs w:val="24"/>
        </w:rPr>
      </w:pPr>
    </w:p>
    <w:p w14:paraId="4F46361F" w14:textId="77777777" w:rsidR="00BF4DDE" w:rsidRDefault="00BF4DDE" w:rsidP="00EF1133">
      <w:pPr>
        <w:rPr>
          <w:rFonts w:ascii="Arial Black" w:hAnsi="Arial Black"/>
          <w:b/>
          <w:sz w:val="24"/>
          <w:szCs w:val="24"/>
        </w:rPr>
      </w:pPr>
    </w:p>
    <w:p w14:paraId="6108A106" w14:textId="31C0DF60" w:rsidR="00EF1133" w:rsidRDefault="00EF1133" w:rsidP="00EF1133">
      <w:pPr>
        <w:rPr>
          <w:rFonts w:ascii="Arial Black" w:hAnsi="Arial Black"/>
          <w:b/>
          <w:sz w:val="24"/>
          <w:szCs w:val="24"/>
        </w:rPr>
      </w:pPr>
      <w:r>
        <w:rPr>
          <w:rFonts w:ascii="Arial Black" w:hAnsi="Arial Black"/>
          <w:b/>
          <w:sz w:val="24"/>
          <w:szCs w:val="24"/>
        </w:rPr>
        <w:t>7</w:t>
      </w:r>
      <w:r w:rsidRPr="00EF1133">
        <w:rPr>
          <w:rFonts w:ascii="Arial Black" w:hAnsi="Arial Black"/>
          <w:b/>
          <w:sz w:val="24"/>
          <w:szCs w:val="24"/>
        </w:rPr>
        <w:t>-</w:t>
      </w:r>
      <w:r>
        <w:rPr>
          <w:rFonts w:ascii="Arial Black" w:hAnsi="Arial Black"/>
          <w:b/>
          <w:sz w:val="24"/>
          <w:szCs w:val="24"/>
        </w:rPr>
        <w:t>4</w:t>
      </w:r>
    </w:p>
    <w:p w14:paraId="461F0FAB" w14:textId="0A94B62C" w:rsidR="00F326E5" w:rsidRDefault="00F326E5" w:rsidP="00F326E5">
      <w:pPr>
        <w:pStyle w:val="NoSpacing"/>
        <w:rPr>
          <w:rFonts w:ascii="Arial Black" w:hAnsi="Arial Black"/>
          <w:sz w:val="28"/>
          <w:szCs w:val="28"/>
        </w:rPr>
      </w:pPr>
      <w:bookmarkStart w:id="311" w:name="_Hlk7344131"/>
      <w:r>
        <w:rPr>
          <w:rFonts w:ascii="Arial Black" w:hAnsi="Arial Black"/>
          <w:sz w:val="28"/>
          <w:szCs w:val="28"/>
        </w:rPr>
        <w:t xml:space="preserve">AL:  PREGNANT EMS – NOT ENTITLED TO LIGHT DUTY, COMPANY POLICY ONLY IF INJURED ON THE JOB </w:t>
      </w:r>
    </w:p>
    <w:p w14:paraId="1FE747EC" w14:textId="77777777" w:rsidR="00BF4DDE" w:rsidRDefault="00F326E5" w:rsidP="00F326E5">
      <w:pPr>
        <w:rPr>
          <w:rFonts w:ascii="Times New Roman" w:hAnsi="Times New Roman"/>
          <w:sz w:val="24"/>
          <w:szCs w:val="24"/>
        </w:rPr>
      </w:pPr>
      <w:r w:rsidRPr="00BF4DDE">
        <w:rPr>
          <w:rFonts w:ascii="Times New Roman" w:hAnsi="Times New Roman"/>
          <w:sz w:val="24"/>
          <w:szCs w:val="24"/>
        </w:rPr>
        <w:t xml:space="preserve">On Oct. 9, 2018, in </w:t>
      </w:r>
      <w:r w:rsidRPr="00BF4DDE">
        <w:rPr>
          <w:rFonts w:ascii="Times New Roman" w:hAnsi="Times New Roman"/>
          <w:sz w:val="24"/>
          <w:szCs w:val="24"/>
          <w:u w:val="single"/>
        </w:rPr>
        <w:t>Kimberly Michelle Durham v. Rural/Metro Corporation</w:t>
      </w:r>
      <w:r w:rsidRPr="00BF4DDE">
        <w:rPr>
          <w:rFonts w:ascii="Times New Roman" w:hAnsi="Times New Roman"/>
          <w:sz w:val="24"/>
          <w:szCs w:val="24"/>
        </w:rPr>
        <w:t xml:space="preserve">, Case No. 4:16-CV-01604-ACA, U.S. District Court Judge granted summary judgment to the employer. Three male EMTs had been granted light duty for injuries to their backs while lifting patients.  The court held, </w:t>
      </w:r>
    </w:p>
    <w:p w14:paraId="30A8F32E" w14:textId="566FF3C2" w:rsidR="00F326E5" w:rsidRPr="00BF4DDE" w:rsidRDefault="00F326E5" w:rsidP="00BF4DDE">
      <w:pPr>
        <w:ind w:left="720"/>
        <w:rPr>
          <w:rFonts w:ascii="Times New Roman" w:hAnsi="Times New Roman"/>
          <w:sz w:val="24"/>
          <w:szCs w:val="24"/>
        </w:rPr>
      </w:pPr>
      <w:r w:rsidRPr="00BF4DDE">
        <w:rPr>
          <w:rFonts w:ascii="Times New Roman" w:hAnsi="Times New Roman"/>
          <w:sz w:val="24"/>
          <w:szCs w:val="24"/>
        </w:rPr>
        <w:t>“</w:t>
      </w:r>
      <w:r w:rsidRPr="00BF4DDE">
        <w:rPr>
          <w:rFonts w:ascii="Times New Roman" w:eastAsia="Times New Roman" w:hAnsi="Times New Roman"/>
          <w:sz w:val="24"/>
          <w:szCs w:val="24"/>
        </w:rPr>
        <w:t xml:space="preserve">Rural/Metro contends that Ms. Durham must offer substantial evidence of employees placed on light duty assignment who were injured off the job </w:t>
      </w:r>
      <w:proofErr w:type="gramStart"/>
      <w:r w:rsidRPr="00BF4DDE">
        <w:rPr>
          <w:rFonts w:ascii="Times New Roman" w:eastAsia="Times New Roman" w:hAnsi="Times New Roman"/>
          <w:sz w:val="24"/>
          <w:szCs w:val="24"/>
        </w:rPr>
        <w:t>in order to</w:t>
      </w:r>
      <w:proofErr w:type="gramEnd"/>
      <w:r w:rsidRPr="00BF4DDE">
        <w:rPr>
          <w:rFonts w:ascii="Times New Roman" w:eastAsia="Times New Roman" w:hAnsi="Times New Roman"/>
          <w:sz w:val="24"/>
          <w:szCs w:val="24"/>
        </w:rPr>
        <w:t xml:space="preserve"> survive summary judgment. This court agrees.”  </w:t>
      </w:r>
      <w:hyperlink r:id="rId1455" w:history="1">
        <w:r w:rsidRPr="00BF4DDE">
          <w:rPr>
            <w:rStyle w:val="Hyperlink"/>
            <w:rFonts w:ascii="Times New Roman" w:hAnsi="Times New Roman"/>
            <w:sz w:val="24"/>
            <w:szCs w:val="24"/>
          </w:rPr>
          <w:t>https://law.justia.com/cases/federal/district-courts/alabama/alndce/4:2016cv01604/160190/55/</w:t>
        </w:r>
      </w:hyperlink>
      <w:r w:rsidRPr="00BF4DDE">
        <w:rPr>
          <w:rFonts w:ascii="Times New Roman" w:hAnsi="Times New Roman"/>
          <w:sz w:val="24"/>
          <w:szCs w:val="24"/>
        </w:rPr>
        <w:t xml:space="preserve"> </w:t>
      </w:r>
    </w:p>
    <w:p w14:paraId="5C86004E" w14:textId="77777777" w:rsidR="00F326E5" w:rsidRPr="00BF4DDE" w:rsidRDefault="00F326E5" w:rsidP="00F326E5">
      <w:pPr>
        <w:pStyle w:val="NoSpacing"/>
        <w:rPr>
          <w:rFonts w:ascii="Times New Roman" w:hAnsi="Times New Roman"/>
          <w:b/>
          <w:sz w:val="24"/>
          <w:szCs w:val="24"/>
        </w:rPr>
      </w:pPr>
      <w:r w:rsidRPr="00BF4DDE">
        <w:rPr>
          <w:rFonts w:ascii="Times New Roman" w:hAnsi="Times New Roman"/>
          <w:b/>
          <w:sz w:val="24"/>
          <w:szCs w:val="24"/>
        </w:rPr>
        <w:t xml:space="preserve">Legal Lessons Learned:  Some are urging Congress to broaden the Pregnancy Discrimination Act; see also EEOC Enforcement Guidance </w:t>
      </w:r>
      <w:proofErr w:type="gramStart"/>
      <w:r w:rsidRPr="00BF4DDE">
        <w:rPr>
          <w:rFonts w:ascii="Times New Roman" w:hAnsi="Times New Roman"/>
          <w:b/>
          <w:sz w:val="24"/>
          <w:szCs w:val="24"/>
        </w:rPr>
        <w:t>On</w:t>
      </w:r>
      <w:proofErr w:type="gramEnd"/>
      <w:r w:rsidRPr="00BF4DDE">
        <w:rPr>
          <w:rFonts w:ascii="Times New Roman" w:hAnsi="Times New Roman"/>
          <w:b/>
          <w:sz w:val="24"/>
          <w:szCs w:val="24"/>
        </w:rPr>
        <w:t xml:space="preserve"> Pregnancy Discrimination: </w:t>
      </w:r>
      <w:hyperlink r:id="rId1456" w:history="1">
        <w:r w:rsidRPr="00BF4DDE">
          <w:rPr>
            <w:rStyle w:val="Hyperlink"/>
            <w:rFonts w:ascii="Times New Roman" w:hAnsi="Times New Roman"/>
            <w:sz w:val="24"/>
            <w:szCs w:val="24"/>
          </w:rPr>
          <w:t>https://www.eeoc.gov/laws/guidance/pregnancy_guidance.cfm</w:t>
        </w:r>
      </w:hyperlink>
      <w:r w:rsidRPr="00BF4DDE">
        <w:rPr>
          <w:rFonts w:ascii="Times New Roman" w:hAnsi="Times New Roman"/>
          <w:b/>
          <w:sz w:val="24"/>
          <w:szCs w:val="24"/>
        </w:rPr>
        <w:t xml:space="preserve"> .</w:t>
      </w:r>
    </w:p>
    <w:bookmarkEnd w:id="311"/>
    <w:p w14:paraId="1BC68CF3" w14:textId="77777777" w:rsidR="00F326E5" w:rsidRPr="00BF4DDE" w:rsidRDefault="00F326E5" w:rsidP="00F326E5">
      <w:pPr>
        <w:pStyle w:val="NoSpacing"/>
        <w:rPr>
          <w:rFonts w:ascii="Times New Roman" w:hAnsi="Times New Roman"/>
          <w:b/>
          <w:sz w:val="24"/>
          <w:szCs w:val="24"/>
        </w:rPr>
      </w:pPr>
    </w:p>
    <w:p w14:paraId="2B1A0D3C" w14:textId="77777777" w:rsidR="00F326E5" w:rsidRDefault="00F326E5" w:rsidP="00F326E5">
      <w:pPr>
        <w:pStyle w:val="NoSpacing"/>
        <w:rPr>
          <w:b/>
          <w:sz w:val="24"/>
          <w:szCs w:val="24"/>
        </w:rPr>
      </w:pPr>
    </w:p>
    <w:p w14:paraId="67516467" w14:textId="77777777" w:rsidR="00BF4DDE" w:rsidRDefault="00BF4DDE" w:rsidP="00F326E5">
      <w:pPr>
        <w:rPr>
          <w:rFonts w:ascii="Arial Black" w:hAnsi="Arial Black"/>
          <w:b/>
          <w:sz w:val="24"/>
          <w:szCs w:val="24"/>
        </w:rPr>
      </w:pPr>
    </w:p>
    <w:p w14:paraId="217A912A" w14:textId="06BEF889" w:rsidR="00F326E5" w:rsidRDefault="00EF1133" w:rsidP="00F326E5">
      <w:pPr>
        <w:rPr>
          <w:sz w:val="24"/>
          <w:szCs w:val="24"/>
        </w:rPr>
      </w:pPr>
      <w:r>
        <w:rPr>
          <w:rFonts w:ascii="Arial Black" w:hAnsi="Arial Black"/>
          <w:b/>
          <w:sz w:val="24"/>
          <w:szCs w:val="24"/>
        </w:rPr>
        <w:t>7</w:t>
      </w:r>
      <w:r w:rsidRPr="00EF1133">
        <w:rPr>
          <w:rFonts w:ascii="Arial Black" w:hAnsi="Arial Black"/>
          <w:b/>
          <w:sz w:val="24"/>
          <w:szCs w:val="24"/>
        </w:rPr>
        <w:t>-</w:t>
      </w:r>
      <w:r>
        <w:rPr>
          <w:rFonts w:ascii="Arial Black" w:hAnsi="Arial Black"/>
          <w:b/>
          <w:sz w:val="24"/>
          <w:szCs w:val="24"/>
        </w:rPr>
        <w:t>3</w:t>
      </w:r>
    </w:p>
    <w:p w14:paraId="30009834" w14:textId="061D70BB" w:rsidR="00F326E5" w:rsidRPr="00746228" w:rsidRDefault="00F326E5" w:rsidP="00F326E5">
      <w:pPr>
        <w:rPr>
          <w:rFonts w:ascii="Arial Black" w:hAnsi="Arial Black"/>
          <w:sz w:val="28"/>
          <w:szCs w:val="28"/>
        </w:rPr>
      </w:pPr>
      <w:bookmarkStart w:id="312" w:name="_Hlk7344170"/>
      <w:r w:rsidRPr="00746228">
        <w:rPr>
          <w:rFonts w:ascii="Arial Black" w:hAnsi="Arial Black"/>
          <w:sz w:val="28"/>
          <w:szCs w:val="28"/>
        </w:rPr>
        <w:t>MI: F</w:t>
      </w:r>
      <w:r>
        <w:rPr>
          <w:rFonts w:ascii="Arial Black" w:hAnsi="Arial Black"/>
          <w:sz w:val="28"/>
          <w:szCs w:val="28"/>
        </w:rPr>
        <w:t>EMALE CAPTAIN NOT SELECTED AS FIRE CHIEF – LACK OF INCIDENT COMMAND</w:t>
      </w:r>
    </w:p>
    <w:p w14:paraId="079BE56B" w14:textId="77777777" w:rsidR="00BF4DDE" w:rsidRDefault="00F326E5" w:rsidP="00F326E5">
      <w:pPr>
        <w:rPr>
          <w:rFonts w:ascii="Times New Roman" w:hAnsi="Times New Roman"/>
          <w:bCs/>
          <w:sz w:val="24"/>
          <w:szCs w:val="24"/>
        </w:rPr>
      </w:pPr>
      <w:r w:rsidRPr="00BF4DDE">
        <w:rPr>
          <w:rFonts w:ascii="Times New Roman" w:hAnsi="Times New Roman"/>
          <w:bCs/>
          <w:sz w:val="24"/>
          <w:szCs w:val="24"/>
        </w:rPr>
        <w:t xml:space="preserve">On Aug. 30, 2018, in </w:t>
      </w:r>
      <w:r w:rsidRPr="00BF4DDE">
        <w:rPr>
          <w:rFonts w:ascii="Times New Roman" w:hAnsi="Times New Roman"/>
          <w:bCs/>
          <w:sz w:val="24"/>
          <w:szCs w:val="24"/>
          <w:u w:val="single"/>
        </w:rPr>
        <w:t>Ona Lee Aguilar v. City of Saginaw and IAFF Local 102</w:t>
      </w:r>
      <w:r w:rsidRPr="00BF4DDE">
        <w:rPr>
          <w:rFonts w:ascii="Times New Roman" w:hAnsi="Times New Roman"/>
          <w:bCs/>
          <w:sz w:val="24"/>
          <w:szCs w:val="24"/>
        </w:rPr>
        <w:t>, the State of Michigan Court of Appeals held 3 to 0 (in unpublished opinion) upheld the dismissal of her lawsuit by trial court.</w:t>
      </w:r>
    </w:p>
    <w:p w14:paraId="0AA16441" w14:textId="228BA869" w:rsidR="00F326E5" w:rsidRPr="00BF4DDE" w:rsidRDefault="00F326E5" w:rsidP="00BF4DDE">
      <w:pPr>
        <w:ind w:left="720"/>
        <w:rPr>
          <w:rFonts w:ascii="Times New Roman" w:hAnsi="Times New Roman"/>
          <w:b/>
          <w:sz w:val="24"/>
          <w:szCs w:val="24"/>
        </w:rPr>
      </w:pPr>
      <w:r w:rsidRPr="00BF4DDE">
        <w:rPr>
          <w:rFonts w:ascii="Times New Roman" w:hAnsi="Times New Roman"/>
          <w:bCs/>
          <w:sz w:val="24"/>
          <w:szCs w:val="24"/>
        </w:rPr>
        <w:t>“</w:t>
      </w:r>
      <w:r w:rsidRPr="00BF4DDE">
        <w:rPr>
          <w:rFonts w:ascii="Times New Roman" w:hAnsi="Times New Roman"/>
          <w:sz w:val="24"/>
          <w:szCs w:val="24"/>
        </w:rPr>
        <w:t>Aguilar is one of a small number of female employees of the Saginaw Fire Department (SFD) and has dealt with harassment and hostility over the years as she worked her way up the ranks in a male-dominated field. Aguilar’s suit, however, was based solely on the city’s 2013 failure to name her as acting or interim fire chief and its 2014 failure to hire her as the city’s permanent fire chief.  The evidence supports that Aguilar’s union discriminated against her and those parties reached a settlement. Although the evidence also supports that Aguilar continues to work in a hostile environment, Aguilar has not created a triable question of fact on her discrimination claims. Accordingly, we are bound to affirm.”</w:t>
      </w:r>
      <w:r w:rsidR="00BF4DDE">
        <w:rPr>
          <w:rFonts w:ascii="Times New Roman" w:hAnsi="Times New Roman"/>
          <w:sz w:val="24"/>
          <w:szCs w:val="24"/>
        </w:rPr>
        <w:t xml:space="preserve"> </w:t>
      </w:r>
      <w:hyperlink r:id="rId1457" w:history="1">
        <w:r w:rsidRPr="00BF4DDE">
          <w:rPr>
            <w:rStyle w:val="Hyperlink"/>
            <w:rFonts w:ascii="Times New Roman" w:hAnsi="Times New Roman"/>
            <w:sz w:val="24"/>
            <w:szCs w:val="24"/>
          </w:rPr>
          <w:t>https://cases.justia.com/michigan/court-of-appeals-unpublished/2018-339016.pdf?ts=1535720483</w:t>
        </w:r>
      </w:hyperlink>
      <w:r w:rsidRPr="00BF4DDE">
        <w:rPr>
          <w:rFonts w:ascii="Times New Roman" w:hAnsi="Times New Roman"/>
          <w:b/>
          <w:sz w:val="24"/>
          <w:szCs w:val="24"/>
        </w:rPr>
        <w:t xml:space="preserve"> </w:t>
      </w:r>
    </w:p>
    <w:p w14:paraId="6C8FD93E" w14:textId="77777777" w:rsidR="00F326E5" w:rsidRPr="00BF4DDE" w:rsidRDefault="00F326E5" w:rsidP="00F326E5">
      <w:pPr>
        <w:rPr>
          <w:rFonts w:ascii="Times New Roman" w:eastAsia="Times New Roman" w:hAnsi="Times New Roman"/>
          <w:b/>
          <w:sz w:val="24"/>
          <w:szCs w:val="24"/>
        </w:rPr>
      </w:pPr>
      <w:r w:rsidRPr="00BF4DDE">
        <w:rPr>
          <w:rFonts w:ascii="Times New Roman" w:eastAsia="Times New Roman" w:hAnsi="Times New Roman"/>
          <w:b/>
          <w:sz w:val="24"/>
          <w:szCs w:val="24"/>
        </w:rPr>
        <w:t xml:space="preserve">Legal Lessons Learned:  Lack of experience in Incident Command is a legitimate, nondiscriminatory reason for not selecting an applicant for Fire Chief. </w:t>
      </w:r>
    </w:p>
    <w:p w14:paraId="0E976592" w14:textId="77777777" w:rsidR="00EF1133" w:rsidRDefault="00EF1133" w:rsidP="00EF1133">
      <w:pPr>
        <w:rPr>
          <w:rFonts w:ascii="Arial Black" w:hAnsi="Arial Black"/>
          <w:b/>
          <w:sz w:val="24"/>
          <w:szCs w:val="24"/>
        </w:rPr>
      </w:pPr>
    </w:p>
    <w:p w14:paraId="108C7FF7" w14:textId="27875A13" w:rsidR="00EF1133" w:rsidRDefault="00EF1133" w:rsidP="00EF1133">
      <w:pPr>
        <w:rPr>
          <w:rFonts w:ascii="Arial Black" w:hAnsi="Arial Black"/>
          <w:b/>
          <w:sz w:val="24"/>
          <w:szCs w:val="24"/>
        </w:rPr>
      </w:pPr>
      <w:r>
        <w:rPr>
          <w:rFonts w:ascii="Arial Black" w:hAnsi="Arial Black"/>
          <w:b/>
          <w:sz w:val="24"/>
          <w:szCs w:val="24"/>
        </w:rPr>
        <w:t>7</w:t>
      </w:r>
      <w:r w:rsidRPr="00EF1133">
        <w:rPr>
          <w:rFonts w:ascii="Arial Black" w:hAnsi="Arial Black"/>
          <w:b/>
          <w:sz w:val="24"/>
          <w:szCs w:val="24"/>
        </w:rPr>
        <w:t>-</w:t>
      </w:r>
      <w:r>
        <w:rPr>
          <w:rFonts w:ascii="Arial Black" w:hAnsi="Arial Black"/>
          <w:b/>
          <w:sz w:val="24"/>
          <w:szCs w:val="24"/>
        </w:rPr>
        <w:t>2</w:t>
      </w:r>
    </w:p>
    <w:p w14:paraId="165E8B99" w14:textId="327A78FF" w:rsidR="00F326E5" w:rsidRPr="00255E41" w:rsidRDefault="00F326E5" w:rsidP="00F326E5">
      <w:pPr>
        <w:pStyle w:val="NoSpacing"/>
        <w:rPr>
          <w:rFonts w:ascii="Arial Black" w:hAnsi="Arial Black"/>
          <w:b/>
          <w:sz w:val="28"/>
          <w:szCs w:val="28"/>
        </w:rPr>
      </w:pPr>
      <w:bookmarkStart w:id="313" w:name="_Hlk7344305"/>
      <w:bookmarkEnd w:id="312"/>
      <w:r w:rsidRPr="00255E41">
        <w:rPr>
          <w:rFonts w:ascii="Arial Black" w:hAnsi="Arial Black"/>
          <w:b/>
          <w:sz w:val="28"/>
          <w:szCs w:val="28"/>
        </w:rPr>
        <w:t>LA: S</w:t>
      </w:r>
      <w:r w:rsidR="00255E41">
        <w:rPr>
          <w:rFonts w:ascii="Arial Black" w:hAnsi="Arial Black"/>
          <w:b/>
          <w:sz w:val="28"/>
          <w:szCs w:val="28"/>
        </w:rPr>
        <w:t xml:space="preserve">EXUAL HARASSMENT COMLAINT PROMPTLY INVESTIGATED – OFFENDER WARNED </w:t>
      </w:r>
    </w:p>
    <w:p w14:paraId="441E3377" w14:textId="77777777" w:rsidR="00F326E5" w:rsidRPr="00BF4DDE" w:rsidRDefault="00F326E5" w:rsidP="00F326E5">
      <w:pPr>
        <w:rPr>
          <w:rFonts w:ascii="Times New Roman" w:hAnsi="Times New Roman"/>
          <w:sz w:val="24"/>
          <w:szCs w:val="24"/>
        </w:rPr>
      </w:pPr>
      <w:r w:rsidRPr="00BF4DDE">
        <w:rPr>
          <w:rFonts w:ascii="Times New Roman" w:hAnsi="Times New Roman"/>
          <w:sz w:val="24"/>
          <w:szCs w:val="24"/>
        </w:rPr>
        <w:t xml:space="preserve">On June 5, 2018, in </w:t>
      </w:r>
      <w:r w:rsidRPr="00BF4DDE">
        <w:rPr>
          <w:rFonts w:ascii="Times New Roman" w:hAnsi="Times New Roman"/>
          <w:sz w:val="24"/>
          <w:szCs w:val="24"/>
          <w:u w:val="single"/>
        </w:rPr>
        <w:t>Shelita Tucker v. United Parcel Service, Inc</w:t>
      </w:r>
      <w:r w:rsidRPr="00BF4DDE">
        <w:rPr>
          <w:rFonts w:ascii="Times New Roman" w:hAnsi="Times New Roman"/>
          <w:sz w:val="24"/>
          <w:szCs w:val="24"/>
        </w:rPr>
        <w:t>., the U.S. Court of Appeals for the 5</w:t>
      </w:r>
      <w:r w:rsidRPr="00BF4DDE">
        <w:rPr>
          <w:rFonts w:ascii="Times New Roman" w:hAnsi="Times New Roman"/>
          <w:sz w:val="24"/>
          <w:szCs w:val="24"/>
          <w:vertAlign w:val="superscript"/>
        </w:rPr>
        <w:t>th</w:t>
      </w:r>
      <w:r w:rsidRPr="00BF4DDE">
        <w:rPr>
          <w:rFonts w:ascii="Times New Roman" w:hAnsi="Times New Roman"/>
          <w:sz w:val="24"/>
          <w:szCs w:val="24"/>
        </w:rPr>
        <w:t xml:space="preserve"> Circuit, held (3 to 0) in an unpublished opinion that the federal district judge properly granted summary judgment to UPS: </w:t>
      </w:r>
    </w:p>
    <w:p w14:paraId="5694ED55" w14:textId="2453BC40" w:rsidR="00F326E5" w:rsidRPr="00BF4DDE" w:rsidRDefault="00F326E5" w:rsidP="00F326E5">
      <w:pPr>
        <w:ind w:left="720"/>
        <w:rPr>
          <w:rFonts w:ascii="Times New Roman" w:eastAsia="Times New Roman" w:hAnsi="Times New Roman"/>
          <w:sz w:val="24"/>
          <w:szCs w:val="24"/>
        </w:rPr>
      </w:pPr>
      <w:r w:rsidRPr="00BF4DDE">
        <w:rPr>
          <w:rFonts w:ascii="Times New Roman" w:hAnsi="Times New Roman"/>
          <w:sz w:val="24"/>
          <w:szCs w:val="24"/>
        </w:rPr>
        <w:t>“We agree with the district court that Tucker failed to discharge her burden to raise a fact issue in this regard. UPS's remedial actions stopped the sexual harassment, and McCaleb neither spoke to nor touched Tucker again. Although McCaleb's presence at</w:t>
      </w:r>
      <w:r w:rsidRPr="00BF4DDE">
        <w:rPr>
          <w:rFonts w:ascii="Times New Roman" w:hAnsi="Times New Roman"/>
          <w:b/>
          <w:sz w:val="24"/>
          <w:szCs w:val="24"/>
        </w:rPr>
        <w:t xml:space="preserve"> </w:t>
      </w:r>
      <w:r w:rsidRPr="00BF4DDE">
        <w:rPr>
          <w:rFonts w:ascii="Times New Roman" w:hAnsi="Times New Roman"/>
          <w:sz w:val="24"/>
          <w:szCs w:val="24"/>
        </w:rPr>
        <w:t>work made her feel uncomfortable, Tucker said she was still able to perform her duties.”</w:t>
      </w:r>
      <w:hyperlink r:id="rId1458" w:history="1">
        <w:r w:rsidRPr="00BF4DDE">
          <w:rPr>
            <w:rStyle w:val="Hyperlink"/>
            <w:rFonts w:ascii="Times New Roman" w:hAnsi="Times New Roman"/>
            <w:sz w:val="24"/>
            <w:szCs w:val="24"/>
          </w:rPr>
          <w:t>http://www.ca5.uscourts.gov/opinions/unpub/17/17-30574.0.pdf</w:t>
        </w:r>
      </w:hyperlink>
      <w:r w:rsidRPr="00BF4DDE">
        <w:rPr>
          <w:rFonts w:ascii="Times New Roman" w:eastAsia="Times New Roman" w:hAnsi="Times New Roman"/>
          <w:sz w:val="24"/>
          <w:szCs w:val="24"/>
        </w:rPr>
        <w:t xml:space="preserve"> </w:t>
      </w:r>
    </w:p>
    <w:p w14:paraId="2A61B869" w14:textId="77777777" w:rsidR="00F326E5" w:rsidRPr="00BF4DDE" w:rsidRDefault="00F326E5" w:rsidP="00F326E5">
      <w:pPr>
        <w:rPr>
          <w:rFonts w:ascii="Times New Roman" w:eastAsia="Times New Roman" w:hAnsi="Times New Roman"/>
          <w:b/>
          <w:sz w:val="24"/>
          <w:szCs w:val="24"/>
        </w:rPr>
      </w:pPr>
      <w:r w:rsidRPr="00BF4DDE">
        <w:rPr>
          <w:rFonts w:ascii="Times New Roman" w:eastAsia="Times New Roman" w:hAnsi="Times New Roman"/>
          <w:b/>
          <w:sz w:val="24"/>
          <w:szCs w:val="24"/>
        </w:rPr>
        <w:t xml:space="preserve">Legal Lessons Learned: Fire &amp; EMS employers should likewise get statements, investigate and take prompt corrective action. </w:t>
      </w:r>
    </w:p>
    <w:p w14:paraId="01EC6885" w14:textId="77777777" w:rsidR="00F326E5" w:rsidRDefault="00F326E5" w:rsidP="00F326E5">
      <w:pPr>
        <w:rPr>
          <w:rFonts w:eastAsia="Times New Roman"/>
          <w:b/>
          <w:sz w:val="24"/>
          <w:szCs w:val="24"/>
        </w:rPr>
      </w:pPr>
    </w:p>
    <w:p w14:paraId="00E7C3E1" w14:textId="77777777" w:rsidR="00EF1133" w:rsidRDefault="00EF1133" w:rsidP="00F326E5">
      <w:pPr>
        <w:pStyle w:val="NoSpacing"/>
        <w:rPr>
          <w:rFonts w:ascii="Arial Black" w:hAnsi="Arial Black"/>
          <w:sz w:val="28"/>
          <w:szCs w:val="28"/>
        </w:rPr>
      </w:pPr>
      <w:bookmarkStart w:id="314" w:name="_Hlk515006402"/>
      <w:bookmarkStart w:id="315" w:name="_Hlk7344381"/>
      <w:bookmarkEnd w:id="313"/>
    </w:p>
    <w:p w14:paraId="637BCB5E" w14:textId="699B10AD" w:rsidR="00EF1133" w:rsidRDefault="00EF1133" w:rsidP="00EF1133">
      <w:pPr>
        <w:rPr>
          <w:rFonts w:ascii="Arial Black" w:hAnsi="Arial Black"/>
          <w:b/>
          <w:sz w:val="24"/>
          <w:szCs w:val="24"/>
        </w:rPr>
      </w:pPr>
      <w:r>
        <w:rPr>
          <w:rFonts w:ascii="Arial Black" w:hAnsi="Arial Black"/>
          <w:b/>
          <w:sz w:val="24"/>
          <w:szCs w:val="24"/>
        </w:rPr>
        <w:t>7</w:t>
      </w:r>
      <w:r w:rsidRPr="00EF1133">
        <w:rPr>
          <w:rFonts w:ascii="Arial Black" w:hAnsi="Arial Black"/>
          <w:b/>
          <w:sz w:val="24"/>
          <w:szCs w:val="24"/>
        </w:rPr>
        <w:t>-1</w:t>
      </w:r>
    </w:p>
    <w:p w14:paraId="657257A8" w14:textId="5B743660" w:rsidR="00F326E5" w:rsidRDefault="00F326E5" w:rsidP="00F326E5">
      <w:pPr>
        <w:pStyle w:val="NoSpacing"/>
        <w:rPr>
          <w:rFonts w:ascii="Arial Black" w:hAnsi="Arial Black"/>
          <w:b/>
          <w:sz w:val="24"/>
          <w:szCs w:val="24"/>
        </w:rPr>
      </w:pPr>
      <w:r w:rsidRPr="004D7942">
        <w:rPr>
          <w:rFonts w:ascii="Arial Black" w:hAnsi="Arial Black"/>
          <w:sz w:val="28"/>
          <w:szCs w:val="28"/>
        </w:rPr>
        <w:t>FL</w:t>
      </w:r>
      <w:r>
        <w:rPr>
          <w:rFonts w:ascii="Arial Black" w:hAnsi="Arial Black"/>
          <w:sz w:val="28"/>
          <w:szCs w:val="28"/>
        </w:rPr>
        <w:t xml:space="preserve">: </w:t>
      </w:r>
      <w:r w:rsidRPr="004D7942">
        <w:rPr>
          <w:rFonts w:ascii="Arial Black" w:hAnsi="Arial Black"/>
          <w:sz w:val="28"/>
          <w:szCs w:val="28"/>
        </w:rPr>
        <w:t>FEMALE CANDIDATE FOR FIRE CHIEF NOT SELECTED – NOT GENDER DISCRIMINATION, BOTH CANDIDATES HIGHLY QUALIFIED</w:t>
      </w:r>
      <w:r>
        <w:rPr>
          <w:rFonts w:ascii="Arial Black" w:hAnsi="Arial Black"/>
          <w:sz w:val="28"/>
          <w:szCs w:val="28"/>
        </w:rPr>
        <w:t xml:space="preserve"> </w:t>
      </w:r>
      <w:bookmarkEnd w:id="314"/>
    </w:p>
    <w:p w14:paraId="293BC67A" w14:textId="77777777" w:rsidR="00BF4DDE" w:rsidRDefault="00F326E5" w:rsidP="00F326E5">
      <w:pPr>
        <w:pStyle w:val="NoSpacing"/>
        <w:rPr>
          <w:rFonts w:ascii="Times New Roman" w:hAnsi="Times New Roman"/>
          <w:sz w:val="24"/>
          <w:szCs w:val="24"/>
        </w:rPr>
      </w:pPr>
      <w:r w:rsidRPr="00BF4DDE">
        <w:rPr>
          <w:rFonts w:ascii="Times New Roman" w:hAnsi="Times New Roman"/>
          <w:sz w:val="24"/>
          <w:szCs w:val="24"/>
        </w:rPr>
        <w:t xml:space="preserve">On Jan. 19, 2018, in </w:t>
      </w:r>
      <w:r w:rsidRPr="00BF4DDE">
        <w:rPr>
          <w:rFonts w:ascii="Times New Roman" w:hAnsi="Times New Roman"/>
          <w:sz w:val="24"/>
          <w:szCs w:val="24"/>
          <w:u w:val="single"/>
        </w:rPr>
        <w:t>Shari Hall v. Marion County Board of County Commissioners</w:t>
      </w:r>
      <w:r w:rsidRPr="00BF4DDE">
        <w:rPr>
          <w:rFonts w:ascii="Times New Roman" w:hAnsi="Times New Roman"/>
          <w:sz w:val="24"/>
          <w:szCs w:val="24"/>
        </w:rPr>
        <w:t xml:space="preserve">, the District Court of Appeal of State of Florida, 5th District, held that: </w:t>
      </w:r>
    </w:p>
    <w:p w14:paraId="4F3A4A30" w14:textId="77777777" w:rsidR="00BF4DDE" w:rsidRDefault="00BF4DDE" w:rsidP="00F326E5">
      <w:pPr>
        <w:pStyle w:val="NoSpacing"/>
        <w:rPr>
          <w:rFonts w:ascii="Times New Roman" w:hAnsi="Times New Roman"/>
          <w:sz w:val="24"/>
          <w:szCs w:val="24"/>
        </w:rPr>
      </w:pPr>
    </w:p>
    <w:p w14:paraId="6E99C1B7" w14:textId="753A0E0F" w:rsidR="00F326E5" w:rsidRPr="00BF4DDE" w:rsidRDefault="00F326E5" w:rsidP="00BF4DDE">
      <w:pPr>
        <w:pStyle w:val="NoSpacing"/>
        <w:ind w:left="720"/>
        <w:rPr>
          <w:rFonts w:ascii="Times New Roman" w:hAnsi="Times New Roman"/>
          <w:sz w:val="24"/>
          <w:szCs w:val="24"/>
        </w:rPr>
      </w:pPr>
      <w:r w:rsidRPr="00BF4DDE">
        <w:rPr>
          <w:rFonts w:ascii="Times New Roman" w:hAnsi="Times New Roman"/>
          <w:sz w:val="24"/>
          <w:szCs w:val="24"/>
        </w:rPr>
        <w:t xml:space="preserve">“Appellant failed in her burden of proving the county offered pretextual </w:t>
      </w:r>
      <w:proofErr w:type="gramStart"/>
      <w:r w:rsidRPr="00BF4DDE">
        <w:rPr>
          <w:rFonts w:ascii="Times New Roman" w:hAnsi="Times New Roman"/>
          <w:sz w:val="24"/>
          <w:szCs w:val="24"/>
        </w:rPr>
        <w:t>reasons, and</w:t>
      </w:r>
      <w:proofErr w:type="gramEnd"/>
      <w:r w:rsidRPr="00BF4DDE">
        <w:rPr>
          <w:rFonts w:ascii="Times New Roman" w:hAnsi="Times New Roman"/>
          <w:sz w:val="24"/>
          <w:szCs w:val="24"/>
        </w:rPr>
        <w:t xml:space="preserve"> thus failed to establish a case of gender discrimination using circumstantial evidence.” Case was remanded so Court can next dispose of retaliation claim. </w:t>
      </w:r>
      <w:hyperlink r:id="rId1459" w:history="1">
        <w:r w:rsidRPr="00BF4DDE">
          <w:rPr>
            <w:rStyle w:val="Hyperlink"/>
            <w:rFonts w:ascii="Times New Roman" w:hAnsi="Times New Roman"/>
            <w:sz w:val="24"/>
            <w:szCs w:val="24"/>
          </w:rPr>
          <w:t>http://www.5dca.org/Opinions/Opin2018/011518/5D17-1183.op.pdf</w:t>
        </w:r>
      </w:hyperlink>
    </w:p>
    <w:p w14:paraId="5E678E77" w14:textId="77777777" w:rsidR="00BF4DDE" w:rsidRDefault="00BF4DDE" w:rsidP="00F326E5">
      <w:pPr>
        <w:pStyle w:val="NoSpacing"/>
        <w:rPr>
          <w:rFonts w:ascii="Times New Roman" w:hAnsi="Times New Roman"/>
          <w:b/>
          <w:sz w:val="24"/>
          <w:szCs w:val="24"/>
        </w:rPr>
      </w:pPr>
    </w:p>
    <w:p w14:paraId="2158BC9D" w14:textId="78E20393" w:rsidR="00F326E5" w:rsidRDefault="00F326E5" w:rsidP="00F824FE">
      <w:pPr>
        <w:pStyle w:val="NoSpacing"/>
        <w:rPr>
          <w:rFonts w:ascii="Arial Black" w:hAnsi="Arial Black"/>
          <w:sz w:val="40"/>
          <w:szCs w:val="40"/>
        </w:rPr>
      </w:pPr>
      <w:r w:rsidRPr="00BF4DDE">
        <w:rPr>
          <w:rFonts w:ascii="Times New Roman" w:hAnsi="Times New Roman"/>
          <w:b/>
          <w:sz w:val="24"/>
          <w:szCs w:val="24"/>
        </w:rPr>
        <w:t xml:space="preserve">Legal Lessons Learned: Two well-qualified qualified candidates for Fire Chief; no proof of gender discrimination. Caution when current Chief tells </w:t>
      </w:r>
      <w:proofErr w:type="gramStart"/>
      <w:r w:rsidRPr="00BF4DDE">
        <w:rPr>
          <w:rFonts w:ascii="Times New Roman" w:hAnsi="Times New Roman"/>
          <w:b/>
          <w:sz w:val="24"/>
          <w:szCs w:val="24"/>
        </w:rPr>
        <w:t>subordinate</w:t>
      </w:r>
      <w:proofErr w:type="gramEnd"/>
      <w:r w:rsidRPr="00BF4DDE">
        <w:rPr>
          <w:rFonts w:ascii="Times New Roman" w:hAnsi="Times New Roman"/>
          <w:b/>
          <w:sz w:val="24"/>
          <w:szCs w:val="24"/>
        </w:rPr>
        <w:t xml:space="preserve"> that they are likely the next Chief.  </w:t>
      </w:r>
      <w:bookmarkEnd w:id="315"/>
    </w:p>
    <w:p w14:paraId="2B95FD70" w14:textId="77777777" w:rsidR="00F824FE" w:rsidRDefault="00F824FE" w:rsidP="00F326E5">
      <w:pPr>
        <w:pStyle w:val="NoSpacing"/>
        <w:rPr>
          <w:rFonts w:ascii="Arial Black" w:hAnsi="Arial Black"/>
          <w:sz w:val="40"/>
          <w:szCs w:val="40"/>
        </w:rPr>
      </w:pPr>
    </w:p>
    <w:p w14:paraId="1052C4AE" w14:textId="013AA8C9" w:rsidR="00DD03E3" w:rsidRDefault="00DD03E3">
      <w:pPr>
        <w:spacing w:after="0" w:line="240" w:lineRule="auto"/>
        <w:rPr>
          <w:rFonts w:ascii="Arial Black" w:hAnsi="Arial Black"/>
          <w:sz w:val="40"/>
          <w:szCs w:val="40"/>
        </w:rPr>
      </w:pPr>
      <w:r>
        <w:rPr>
          <w:rFonts w:ascii="Arial Black" w:hAnsi="Arial Black"/>
          <w:sz w:val="40"/>
          <w:szCs w:val="40"/>
        </w:rPr>
        <w:br w:type="page"/>
      </w:r>
    </w:p>
    <w:p w14:paraId="4269C571" w14:textId="77777777" w:rsidR="00F824FE" w:rsidRDefault="00F824FE" w:rsidP="00F326E5">
      <w:pPr>
        <w:pStyle w:val="NoSpacing"/>
        <w:rPr>
          <w:rFonts w:ascii="Arial Black" w:hAnsi="Arial Black"/>
          <w:sz w:val="40"/>
          <w:szCs w:val="40"/>
        </w:rPr>
      </w:pPr>
    </w:p>
    <w:p w14:paraId="132C1B48" w14:textId="77777777" w:rsidR="00092DAC" w:rsidRDefault="00092DAC" w:rsidP="00F326E5">
      <w:pPr>
        <w:pStyle w:val="NoSpacing"/>
        <w:rPr>
          <w:rFonts w:ascii="Arial Black" w:hAnsi="Arial Black"/>
          <w:sz w:val="40"/>
          <w:szCs w:val="40"/>
        </w:rPr>
      </w:pPr>
    </w:p>
    <w:p w14:paraId="3089C302" w14:textId="77777777" w:rsidR="00092DAC" w:rsidRDefault="00092DAC" w:rsidP="00F326E5">
      <w:pPr>
        <w:pStyle w:val="NoSpacing"/>
        <w:rPr>
          <w:rFonts w:ascii="Arial Black" w:hAnsi="Arial Black"/>
          <w:sz w:val="40"/>
          <w:szCs w:val="40"/>
        </w:rPr>
      </w:pPr>
    </w:p>
    <w:p w14:paraId="30CB340E" w14:textId="77777777" w:rsidR="00092DAC" w:rsidRDefault="00092DAC" w:rsidP="00F326E5">
      <w:pPr>
        <w:pStyle w:val="NoSpacing"/>
        <w:rPr>
          <w:rFonts w:ascii="Arial Black" w:hAnsi="Arial Black"/>
          <w:sz w:val="40"/>
          <w:szCs w:val="40"/>
        </w:rPr>
      </w:pPr>
    </w:p>
    <w:p w14:paraId="47FB9976" w14:textId="77777777" w:rsidR="00092DAC" w:rsidRDefault="00092DAC" w:rsidP="00F326E5">
      <w:pPr>
        <w:pStyle w:val="NoSpacing"/>
        <w:rPr>
          <w:rFonts w:ascii="Arial Black" w:hAnsi="Arial Black"/>
          <w:sz w:val="40"/>
          <w:szCs w:val="40"/>
        </w:rPr>
      </w:pPr>
    </w:p>
    <w:p w14:paraId="67518D0C" w14:textId="77777777" w:rsidR="00092DAC" w:rsidRDefault="00092DAC" w:rsidP="00F326E5">
      <w:pPr>
        <w:pStyle w:val="NoSpacing"/>
        <w:rPr>
          <w:rFonts w:ascii="Arial Black" w:hAnsi="Arial Black"/>
          <w:sz w:val="40"/>
          <w:szCs w:val="40"/>
        </w:rPr>
      </w:pPr>
    </w:p>
    <w:p w14:paraId="25CC1AF0" w14:textId="77777777" w:rsidR="00092DAC" w:rsidRDefault="00092DAC" w:rsidP="00F326E5">
      <w:pPr>
        <w:pStyle w:val="NoSpacing"/>
        <w:rPr>
          <w:rFonts w:ascii="Arial Black" w:hAnsi="Arial Black"/>
          <w:sz w:val="40"/>
          <w:szCs w:val="40"/>
        </w:rPr>
      </w:pPr>
    </w:p>
    <w:p w14:paraId="7C67BF0A" w14:textId="77777777" w:rsidR="00092DAC" w:rsidRDefault="00092DAC" w:rsidP="00F326E5">
      <w:pPr>
        <w:pStyle w:val="NoSpacing"/>
        <w:rPr>
          <w:rFonts w:ascii="Arial Black" w:hAnsi="Arial Black"/>
          <w:sz w:val="40"/>
          <w:szCs w:val="40"/>
        </w:rPr>
      </w:pPr>
    </w:p>
    <w:p w14:paraId="5DA33366" w14:textId="77777777" w:rsidR="00092DAC" w:rsidRDefault="00092DAC" w:rsidP="00F326E5">
      <w:pPr>
        <w:pStyle w:val="NoSpacing"/>
        <w:rPr>
          <w:rFonts w:ascii="Arial Black" w:hAnsi="Arial Black"/>
          <w:sz w:val="40"/>
          <w:szCs w:val="40"/>
        </w:rPr>
      </w:pPr>
    </w:p>
    <w:p w14:paraId="34C9B37D" w14:textId="77777777" w:rsidR="00092DAC" w:rsidRDefault="00092DAC" w:rsidP="00F326E5">
      <w:pPr>
        <w:pStyle w:val="NoSpacing"/>
        <w:rPr>
          <w:rFonts w:ascii="Arial Black" w:hAnsi="Arial Black"/>
          <w:sz w:val="40"/>
          <w:szCs w:val="40"/>
        </w:rPr>
      </w:pPr>
    </w:p>
    <w:p w14:paraId="0B385732" w14:textId="77777777" w:rsidR="00092DAC" w:rsidRDefault="00092DAC" w:rsidP="00F326E5">
      <w:pPr>
        <w:pStyle w:val="NoSpacing"/>
        <w:rPr>
          <w:rFonts w:ascii="Arial Black" w:hAnsi="Arial Black"/>
          <w:sz w:val="40"/>
          <w:szCs w:val="40"/>
        </w:rPr>
      </w:pPr>
    </w:p>
    <w:p w14:paraId="43D6431E" w14:textId="77777777" w:rsidR="00092DAC" w:rsidRDefault="00092DAC" w:rsidP="00F326E5">
      <w:pPr>
        <w:pStyle w:val="NoSpacing"/>
        <w:rPr>
          <w:rFonts w:ascii="Arial Black" w:hAnsi="Arial Black"/>
          <w:sz w:val="40"/>
          <w:szCs w:val="40"/>
        </w:rPr>
      </w:pPr>
    </w:p>
    <w:p w14:paraId="72FB5A0C" w14:textId="77777777" w:rsidR="00092DAC" w:rsidRDefault="00092DAC" w:rsidP="00F326E5">
      <w:pPr>
        <w:pStyle w:val="NoSpacing"/>
        <w:rPr>
          <w:rFonts w:ascii="Arial Black" w:hAnsi="Arial Black"/>
          <w:sz w:val="40"/>
          <w:szCs w:val="40"/>
        </w:rPr>
      </w:pPr>
    </w:p>
    <w:p w14:paraId="1C3DBE09" w14:textId="77777777" w:rsidR="00092DAC" w:rsidRDefault="00092DAC" w:rsidP="00F326E5">
      <w:pPr>
        <w:pStyle w:val="NoSpacing"/>
        <w:rPr>
          <w:rFonts w:ascii="Arial Black" w:hAnsi="Arial Black"/>
          <w:sz w:val="40"/>
          <w:szCs w:val="40"/>
        </w:rPr>
      </w:pPr>
    </w:p>
    <w:p w14:paraId="0C04F5F2" w14:textId="77777777" w:rsidR="00092DAC" w:rsidRDefault="00092DAC" w:rsidP="00F326E5">
      <w:pPr>
        <w:pStyle w:val="NoSpacing"/>
        <w:rPr>
          <w:rFonts w:ascii="Arial Black" w:hAnsi="Arial Black"/>
          <w:sz w:val="40"/>
          <w:szCs w:val="40"/>
        </w:rPr>
      </w:pPr>
    </w:p>
    <w:p w14:paraId="253DBB87" w14:textId="77777777" w:rsidR="00092DAC" w:rsidRDefault="00092DAC" w:rsidP="00F326E5">
      <w:pPr>
        <w:pStyle w:val="NoSpacing"/>
        <w:rPr>
          <w:rFonts w:ascii="Arial Black" w:hAnsi="Arial Black"/>
          <w:sz w:val="40"/>
          <w:szCs w:val="40"/>
        </w:rPr>
      </w:pPr>
    </w:p>
    <w:p w14:paraId="309895FB" w14:textId="77777777" w:rsidR="00092DAC" w:rsidRDefault="00092DAC" w:rsidP="00F326E5">
      <w:pPr>
        <w:pStyle w:val="NoSpacing"/>
        <w:rPr>
          <w:rFonts w:ascii="Arial Black" w:hAnsi="Arial Black"/>
          <w:sz w:val="40"/>
          <w:szCs w:val="40"/>
        </w:rPr>
      </w:pPr>
    </w:p>
    <w:p w14:paraId="6E3D8501" w14:textId="77777777" w:rsidR="00092DAC" w:rsidRDefault="00092DAC" w:rsidP="00F326E5">
      <w:pPr>
        <w:pStyle w:val="NoSpacing"/>
        <w:rPr>
          <w:rFonts w:ascii="Arial Black" w:hAnsi="Arial Black"/>
          <w:sz w:val="40"/>
          <w:szCs w:val="40"/>
        </w:rPr>
      </w:pPr>
    </w:p>
    <w:p w14:paraId="12182089" w14:textId="77777777" w:rsidR="00092DAC" w:rsidRDefault="00092DAC" w:rsidP="00F326E5">
      <w:pPr>
        <w:pStyle w:val="NoSpacing"/>
        <w:rPr>
          <w:rFonts w:ascii="Arial Black" w:hAnsi="Arial Black"/>
          <w:sz w:val="40"/>
          <w:szCs w:val="40"/>
        </w:rPr>
      </w:pPr>
    </w:p>
    <w:p w14:paraId="47E683CB" w14:textId="77777777" w:rsidR="00092DAC" w:rsidRDefault="00092DAC" w:rsidP="00F326E5">
      <w:pPr>
        <w:pStyle w:val="NoSpacing"/>
        <w:rPr>
          <w:rFonts w:ascii="Arial Black" w:hAnsi="Arial Black"/>
          <w:sz w:val="40"/>
          <w:szCs w:val="40"/>
        </w:rPr>
      </w:pPr>
    </w:p>
    <w:p w14:paraId="46938F3E" w14:textId="77777777" w:rsidR="00092DAC" w:rsidRDefault="00092DAC" w:rsidP="00F326E5">
      <w:pPr>
        <w:pStyle w:val="NoSpacing"/>
        <w:rPr>
          <w:rFonts w:ascii="Arial Black" w:hAnsi="Arial Black"/>
          <w:sz w:val="40"/>
          <w:szCs w:val="40"/>
        </w:rPr>
      </w:pPr>
    </w:p>
    <w:p w14:paraId="447F3864" w14:textId="77777777" w:rsidR="00092DAC" w:rsidRDefault="00092DAC" w:rsidP="00F326E5">
      <w:pPr>
        <w:pStyle w:val="NoSpacing"/>
        <w:rPr>
          <w:rFonts w:ascii="Arial Black" w:hAnsi="Arial Black"/>
          <w:sz w:val="40"/>
          <w:szCs w:val="40"/>
        </w:rPr>
      </w:pPr>
    </w:p>
    <w:p w14:paraId="1348AC9F" w14:textId="77777777" w:rsidR="00092DAC" w:rsidRDefault="00092DAC" w:rsidP="00F326E5">
      <w:pPr>
        <w:pStyle w:val="NoSpacing"/>
        <w:rPr>
          <w:rFonts w:ascii="Arial Black" w:hAnsi="Arial Black"/>
          <w:sz w:val="40"/>
          <w:szCs w:val="40"/>
        </w:rPr>
      </w:pPr>
    </w:p>
    <w:p w14:paraId="05166E51" w14:textId="77777777" w:rsidR="00092DAC" w:rsidRDefault="00092DAC" w:rsidP="00F326E5">
      <w:pPr>
        <w:pStyle w:val="NoSpacing"/>
        <w:rPr>
          <w:rFonts w:ascii="Arial Black" w:hAnsi="Arial Black"/>
          <w:sz w:val="40"/>
          <w:szCs w:val="40"/>
        </w:rPr>
      </w:pPr>
    </w:p>
    <w:p w14:paraId="40B4E3A5" w14:textId="77777777" w:rsidR="00092DAC" w:rsidRDefault="00092DAC" w:rsidP="00F326E5">
      <w:pPr>
        <w:pStyle w:val="NoSpacing"/>
        <w:rPr>
          <w:rFonts w:ascii="Arial Black" w:hAnsi="Arial Black"/>
          <w:sz w:val="40"/>
          <w:szCs w:val="40"/>
        </w:rPr>
      </w:pPr>
    </w:p>
    <w:p w14:paraId="64488E60" w14:textId="4892BEF7" w:rsidR="00F326E5" w:rsidRDefault="00F326E5" w:rsidP="00F326E5">
      <w:pPr>
        <w:pStyle w:val="NoSpacing"/>
        <w:rPr>
          <w:rFonts w:ascii="Arial Black" w:hAnsi="Arial Black"/>
          <w:sz w:val="40"/>
          <w:szCs w:val="40"/>
        </w:rPr>
      </w:pPr>
      <w:r w:rsidRPr="007732FA">
        <w:rPr>
          <w:rFonts w:ascii="Arial Black" w:hAnsi="Arial Black"/>
          <w:sz w:val="40"/>
          <w:szCs w:val="40"/>
        </w:rPr>
        <w:t>Chap. 8</w:t>
      </w:r>
      <w:r w:rsidR="002B1283">
        <w:rPr>
          <w:rFonts w:ascii="Arial Black" w:hAnsi="Arial Black"/>
          <w:sz w:val="40"/>
          <w:szCs w:val="40"/>
        </w:rPr>
        <w:t xml:space="preserve"> </w:t>
      </w:r>
      <w:r w:rsidRPr="007732FA">
        <w:rPr>
          <w:rFonts w:ascii="Arial Black" w:hAnsi="Arial Black"/>
          <w:sz w:val="40"/>
          <w:szCs w:val="40"/>
        </w:rPr>
        <w:t>Race Discrimination</w:t>
      </w:r>
    </w:p>
    <w:p w14:paraId="20B09CCF" w14:textId="77777777" w:rsidR="0002742E" w:rsidRDefault="0002742E" w:rsidP="00BC70A3">
      <w:pPr>
        <w:rPr>
          <w:rFonts w:ascii="Arial Black" w:hAnsi="Arial Black"/>
          <w:b/>
          <w:sz w:val="24"/>
          <w:szCs w:val="24"/>
        </w:rPr>
      </w:pPr>
    </w:p>
    <w:p w14:paraId="193D8866" w14:textId="435488AC" w:rsidR="002C1FF2" w:rsidRDefault="002C1FF2" w:rsidP="00BC70A3">
      <w:pPr>
        <w:rPr>
          <w:rFonts w:ascii="Arial Black" w:hAnsi="Arial Black"/>
          <w:b/>
          <w:sz w:val="24"/>
          <w:szCs w:val="24"/>
        </w:rPr>
      </w:pPr>
      <w:r>
        <w:rPr>
          <w:rFonts w:ascii="Arial Black" w:hAnsi="Arial Black"/>
          <w:b/>
          <w:sz w:val="24"/>
          <w:szCs w:val="24"/>
        </w:rPr>
        <w:t>8-94</w:t>
      </w:r>
    </w:p>
    <w:p w14:paraId="299BC1A0" w14:textId="77777777" w:rsidR="002C1FF2" w:rsidRPr="00C958FE" w:rsidRDefault="002C1FF2" w:rsidP="002C1FF2">
      <w:pPr>
        <w:pStyle w:val="NoSpacing"/>
        <w:rPr>
          <w:rFonts w:ascii="Arial Black" w:hAnsi="Arial Black"/>
          <w:b/>
          <w:sz w:val="28"/>
          <w:szCs w:val="28"/>
        </w:rPr>
      </w:pPr>
      <w:r>
        <w:rPr>
          <w:rFonts w:ascii="Arial Black" w:hAnsi="Arial Black"/>
          <w:b/>
          <w:sz w:val="28"/>
          <w:szCs w:val="28"/>
        </w:rPr>
        <w:t xml:space="preserve">MD: BLACK – LATE FOR WORK / RACIAL TEXTS – NO CASE </w:t>
      </w:r>
    </w:p>
    <w:p w14:paraId="575FD4A4" w14:textId="77777777" w:rsidR="002C1FF2" w:rsidRDefault="002C1FF2" w:rsidP="002C1FF2">
      <w:pPr>
        <w:pStyle w:val="NoSpacing"/>
        <w:rPr>
          <w:b/>
        </w:rPr>
      </w:pPr>
    </w:p>
    <w:p w14:paraId="126D764A" w14:textId="77777777" w:rsidR="002C1FF2" w:rsidRPr="0018661C" w:rsidRDefault="002C1FF2" w:rsidP="002C1FF2">
      <w:pPr>
        <w:pStyle w:val="NoSpacing"/>
        <w:rPr>
          <w:bCs/>
        </w:rPr>
      </w:pPr>
      <w:r w:rsidRPr="0018661C">
        <w:t xml:space="preserve">On June 24, 2026, in </w:t>
      </w:r>
      <w:r w:rsidRPr="0018661C">
        <w:rPr>
          <w:u w:val="single"/>
        </w:rPr>
        <w:t>Mitchell Waters v. The Mayor and City Council of Baltimore</w:t>
      </w:r>
      <w:r w:rsidRPr="0018661C">
        <w:t xml:space="preserve">, </w:t>
      </w:r>
      <w:r>
        <w:t xml:space="preserve">the United States Court of Appeal for Fourth Circuit (Baltimore) held (3 to 0; unpublished decision) that trial court properly granted summary judgment to the City. The </w:t>
      </w:r>
      <w:proofErr w:type="gramStart"/>
      <w:r>
        <w:t>City</w:t>
      </w:r>
      <w:proofErr w:type="gramEnd"/>
      <w:r>
        <w:t xml:space="preserve"> adequately investigated anonymous racial messages and found no proof they were sent by fellow firefighters. The Court wrote: “The text messages were sent anonymously, and BCFD did undertake an investigation to attempt to identify the sender. Therefore, the district court did not err in granting judgment on the hostile work environment claim.” </w:t>
      </w:r>
      <w:hyperlink r:id="rId1460" w:history="1">
        <w:r w:rsidRPr="00014504">
          <w:rPr>
            <w:rStyle w:val="Hyperlink"/>
          </w:rPr>
          <w:t>https://cases.justia.com/federal/appellate-courts/ca4/25-1440/25-1440-2026-06-24.pdf?ts=1782325881</w:t>
        </w:r>
      </w:hyperlink>
      <w:r>
        <w:t xml:space="preserve"> </w:t>
      </w:r>
    </w:p>
    <w:p w14:paraId="0C5FBF24" w14:textId="77777777" w:rsidR="002C1FF2" w:rsidRPr="0018661C" w:rsidRDefault="002C1FF2" w:rsidP="002C1FF2">
      <w:pPr>
        <w:pStyle w:val="NoSpacing"/>
        <w:rPr>
          <w:bCs/>
        </w:rPr>
      </w:pPr>
    </w:p>
    <w:p w14:paraId="50347BC7" w14:textId="77777777" w:rsidR="002C1FF2" w:rsidRDefault="002C1FF2" w:rsidP="002C1FF2">
      <w:pPr>
        <w:pStyle w:val="NoSpacing"/>
        <w:rPr>
          <w:b/>
        </w:rPr>
      </w:pPr>
    </w:p>
    <w:p w14:paraId="087D67E0" w14:textId="77777777" w:rsidR="002C1FF2" w:rsidRDefault="002C1FF2" w:rsidP="002C1FF2">
      <w:pPr>
        <w:pStyle w:val="NoSpacing"/>
        <w:rPr>
          <w:b/>
        </w:rPr>
      </w:pPr>
      <w:r w:rsidRPr="00AF250A">
        <w:rPr>
          <w:b/>
        </w:rPr>
        <w:t>FACTS:</w:t>
      </w:r>
    </w:p>
    <w:p w14:paraId="4E06A30A" w14:textId="77777777" w:rsidR="002C1FF2" w:rsidRDefault="002C1FF2" w:rsidP="002C1FF2">
      <w:pPr>
        <w:pStyle w:val="NoSpacing"/>
        <w:rPr>
          <w:b/>
        </w:rPr>
      </w:pPr>
    </w:p>
    <w:p w14:paraId="6FA985FB" w14:textId="77777777" w:rsidR="002C1FF2" w:rsidRPr="00AF250A" w:rsidRDefault="002C1FF2" w:rsidP="002C1FF2">
      <w:pPr>
        <w:pStyle w:val="NoSpacing"/>
      </w:pPr>
      <w:r>
        <w:t>“</w:t>
      </w:r>
      <w:r w:rsidRPr="00AF250A">
        <w:t>Waters is a Black man employed by the Baltimore City Fire Department (BCFD).</w:t>
      </w:r>
    </w:p>
    <w:p w14:paraId="5585D5BC" w14:textId="77777777" w:rsidR="002C1FF2" w:rsidRPr="00AF250A" w:rsidRDefault="002C1FF2" w:rsidP="002C1FF2">
      <w:pPr>
        <w:pStyle w:val="NoSpacing"/>
      </w:pPr>
      <w:r w:rsidRPr="00AF250A">
        <w:t>The thrust of Waters’s complaint is that he was treated less favorably than non-Black peers</w:t>
      </w:r>
    </w:p>
    <w:p w14:paraId="0A656857" w14:textId="77777777" w:rsidR="002C1FF2" w:rsidRDefault="002C1FF2" w:rsidP="002C1FF2">
      <w:pPr>
        <w:pStyle w:val="NoSpacing"/>
      </w:pPr>
      <w:r w:rsidRPr="00AF250A">
        <w:t>when he was subject to BCFD’s disciplinary process</w:t>
      </w:r>
      <w:r>
        <w:t>…. Waters lists five examples of disparate treatment concerning himself and a comparator and four additional examples concerning other Black employees and non-Black comparators.</w:t>
      </w:r>
    </w:p>
    <w:p w14:paraId="6F607951" w14:textId="77777777" w:rsidR="002C1FF2" w:rsidRDefault="002C1FF2" w:rsidP="002C1FF2">
      <w:pPr>
        <w:pStyle w:val="NoSpacing"/>
      </w:pPr>
    </w:p>
    <w:p w14:paraId="631AFC9A" w14:textId="77777777" w:rsidR="002C1FF2" w:rsidRDefault="002C1FF2" w:rsidP="002C1FF2">
      <w:pPr>
        <w:pStyle w:val="NoSpacing"/>
      </w:pPr>
      <w:r>
        <w:t>***</w:t>
      </w:r>
    </w:p>
    <w:p w14:paraId="1D599A9B" w14:textId="77777777" w:rsidR="002C1FF2" w:rsidRDefault="002C1FF2" w:rsidP="002C1FF2">
      <w:pPr>
        <w:pStyle w:val="NoSpacing"/>
      </w:pPr>
    </w:p>
    <w:p w14:paraId="118CED0D" w14:textId="77777777" w:rsidR="002C1FF2" w:rsidRPr="00607F7B" w:rsidRDefault="002C1FF2" w:rsidP="002C1FF2">
      <w:pPr>
        <w:pStyle w:val="NoSpacing"/>
      </w:pPr>
      <w:r w:rsidRPr="00607F7B">
        <w:t xml:space="preserve">Waters’s last example concerns </w:t>
      </w:r>
      <w:r>
        <w:t>‘</w:t>
      </w:r>
      <w:r w:rsidRPr="00607F7B">
        <w:t>anonymous, racist, and threatening messages</w:t>
      </w:r>
      <w:r>
        <w:t>’</w:t>
      </w:r>
      <w:r w:rsidRPr="00607F7B">
        <w:t xml:space="preserve"> he</w:t>
      </w:r>
    </w:p>
    <w:p w14:paraId="666EBCCC" w14:textId="77777777" w:rsidR="002C1FF2" w:rsidRPr="00607F7B" w:rsidRDefault="002C1FF2" w:rsidP="002C1FF2">
      <w:pPr>
        <w:pStyle w:val="NoSpacing"/>
      </w:pPr>
      <w:r w:rsidRPr="00607F7B">
        <w:t xml:space="preserve">received. Opening Br. at 33. Waters claims </w:t>
      </w:r>
      <w:r>
        <w:t>‘</w:t>
      </w:r>
      <w:r w:rsidRPr="00607F7B">
        <w:t>no investigation or intervention was</w:t>
      </w:r>
    </w:p>
    <w:p w14:paraId="414DDD56" w14:textId="77777777" w:rsidR="002C1FF2" w:rsidRPr="00607F7B" w:rsidRDefault="002C1FF2" w:rsidP="002C1FF2">
      <w:pPr>
        <w:pStyle w:val="NoSpacing"/>
      </w:pPr>
      <w:r w:rsidRPr="00607F7B">
        <w:t>conducted,</w:t>
      </w:r>
      <w:r>
        <w:t>’</w:t>
      </w:r>
      <w:r w:rsidRPr="00607F7B">
        <w:t xml:space="preserve"> and again points to complaints by Lt. Cole and Lt. DiRusso which he says</w:t>
      </w:r>
    </w:p>
    <w:p w14:paraId="6331166A" w14:textId="77777777" w:rsidR="002C1FF2" w:rsidRPr="00607F7B" w:rsidRDefault="002C1FF2" w:rsidP="002C1FF2">
      <w:pPr>
        <w:pStyle w:val="NoSpacing"/>
      </w:pPr>
      <w:r>
        <w:t>‘</w:t>
      </w:r>
      <w:proofErr w:type="gramStart"/>
      <w:r w:rsidRPr="00607F7B">
        <w:t>were</w:t>
      </w:r>
      <w:proofErr w:type="gramEnd"/>
      <w:r w:rsidRPr="00607F7B">
        <w:t xml:space="preserve"> investigated immediately.</w:t>
      </w:r>
      <w:r>
        <w:t>’</w:t>
      </w:r>
      <w:r w:rsidRPr="00607F7B">
        <w:t xml:space="preserve"> Id. Although these anonymous racist messages are</w:t>
      </w:r>
    </w:p>
    <w:p w14:paraId="6D35C91B" w14:textId="77777777" w:rsidR="002C1FF2" w:rsidRPr="00607F7B" w:rsidRDefault="002C1FF2" w:rsidP="002C1FF2">
      <w:pPr>
        <w:pStyle w:val="NoSpacing"/>
      </w:pPr>
      <w:r w:rsidRPr="00607F7B">
        <w:t>disturbing, the anonymity renders this conduct incomparable to the other complaints.</w:t>
      </w:r>
    </w:p>
    <w:p w14:paraId="43710087" w14:textId="77777777" w:rsidR="002C1FF2" w:rsidRDefault="002C1FF2" w:rsidP="002C1FF2">
      <w:pPr>
        <w:pStyle w:val="NoSpacing"/>
      </w:pPr>
      <w:r w:rsidRPr="00607F7B">
        <w:t xml:space="preserve">Waters </w:t>
      </w:r>
      <w:proofErr w:type="gramStart"/>
      <w:r w:rsidRPr="00607F7B">
        <w:t>characterizes</w:t>
      </w:r>
      <w:proofErr w:type="gramEnd"/>
      <w:r w:rsidRPr="00607F7B">
        <w:t xml:space="preserve"> BCFD’s actions in response to the anonymous messages as </w:t>
      </w:r>
      <w:r>
        <w:t>‘</w:t>
      </w:r>
      <w:r w:rsidRPr="00607F7B">
        <w:t>Smoke</w:t>
      </w:r>
      <w:r>
        <w:t xml:space="preserve"> and Mirrors</w:t>
      </w:r>
      <w:proofErr w:type="gramStart"/>
      <w:r>
        <w:t>,’ ‘</w:t>
      </w:r>
      <w:proofErr w:type="gramEnd"/>
      <w:r>
        <w:t>half-hearted,’ and ‘inauthentic.’  Id. at 34. But Waters does not identify</w:t>
      </w:r>
    </w:p>
    <w:p w14:paraId="612E0E49" w14:textId="77777777" w:rsidR="002C1FF2" w:rsidRDefault="002C1FF2" w:rsidP="002C1FF2">
      <w:pPr>
        <w:pStyle w:val="NoSpacing"/>
      </w:pPr>
      <w:r>
        <w:t>any other instance where BCFD undertook a more serious or rigorous investigation after a</w:t>
      </w:r>
    </w:p>
    <w:p w14:paraId="3EE6FF28" w14:textId="77777777" w:rsidR="002C1FF2" w:rsidRPr="00607F7B" w:rsidRDefault="002C1FF2" w:rsidP="002C1FF2">
      <w:pPr>
        <w:pStyle w:val="NoSpacing"/>
      </w:pPr>
      <w:r>
        <w:t>peer was subject to anonymous harassment. We cannot find that BCFD’s prompt investigation of a complaint identifying a specific employee is comparable to its response to a complaint regarding anonymous conduct.”</w:t>
      </w:r>
    </w:p>
    <w:p w14:paraId="3ED765F1" w14:textId="77777777" w:rsidR="002C1FF2" w:rsidRPr="00607F7B" w:rsidRDefault="002C1FF2" w:rsidP="002C1FF2">
      <w:pPr>
        <w:pStyle w:val="NoSpacing"/>
      </w:pPr>
    </w:p>
    <w:p w14:paraId="686EA22B" w14:textId="77777777" w:rsidR="002C1FF2" w:rsidRPr="00607F7B" w:rsidRDefault="002C1FF2" w:rsidP="002C1FF2">
      <w:pPr>
        <w:pStyle w:val="NoSpacing"/>
      </w:pPr>
    </w:p>
    <w:p w14:paraId="775040BB" w14:textId="77777777" w:rsidR="002C1FF2" w:rsidRPr="00667370" w:rsidRDefault="002C1FF2" w:rsidP="002C1FF2">
      <w:pPr>
        <w:pStyle w:val="NoSpacing"/>
        <w:rPr>
          <w:b/>
          <w:bCs/>
        </w:rPr>
      </w:pPr>
      <w:r w:rsidRPr="00667370">
        <w:rPr>
          <w:b/>
        </w:rPr>
        <w:t>COURT HELD:</w:t>
      </w:r>
    </w:p>
    <w:p w14:paraId="5CD04277" w14:textId="77777777" w:rsidR="002C1FF2" w:rsidRDefault="002C1FF2" w:rsidP="002C1FF2">
      <w:pPr>
        <w:pStyle w:val="NoSpacing"/>
      </w:pPr>
    </w:p>
    <w:p w14:paraId="3C92A4E0" w14:textId="77777777" w:rsidR="002C1FF2" w:rsidRDefault="002C1FF2" w:rsidP="002C1FF2">
      <w:pPr>
        <w:pStyle w:val="NoSpacing"/>
      </w:pPr>
      <w:r>
        <w:t>“Only the anonymous racist text messages Waters received are related to his race, but as the district court correctly noted, Waters was ‘unable to link [the messages] to any of his coworkers,’ J.A. 1257, and he does not establish how the messages are imputable to BCFD. ‘An employer may be held liable for a hostile work environment if it knew or should have known about the harassment and failed to take effective action to stop it by responding with remedial action reasonably calculated to end the harassment.’ Webster, 38 F.4th at 415 (citation modified). The text messages were sent anonymously, and BCFD did undertake an investigation to attempt to identify the sender. Therefore, the district court did not err in granting judgment on the hostile work environment claim.”</w:t>
      </w:r>
    </w:p>
    <w:p w14:paraId="60CBF074" w14:textId="77777777" w:rsidR="002C1FF2" w:rsidRPr="00AF250A" w:rsidRDefault="002C1FF2" w:rsidP="002C1FF2">
      <w:pPr>
        <w:pStyle w:val="NoSpacing"/>
      </w:pPr>
    </w:p>
    <w:p w14:paraId="0AD46C22" w14:textId="77777777" w:rsidR="002C1FF2" w:rsidRDefault="002C1FF2" w:rsidP="002C1FF2">
      <w:pPr>
        <w:pStyle w:val="NoSpacing"/>
        <w:rPr>
          <w:b/>
        </w:rPr>
      </w:pPr>
      <w:r>
        <w:rPr>
          <w:b/>
        </w:rPr>
        <w:t xml:space="preserve">Legal lesson learned: Anonymous racial text messages were investigated; no proof sent by fellow firefighters.  </w:t>
      </w:r>
    </w:p>
    <w:p w14:paraId="531EAD67" w14:textId="77777777" w:rsidR="002C1FF2" w:rsidRDefault="002C1FF2" w:rsidP="00BC70A3">
      <w:pPr>
        <w:rPr>
          <w:rFonts w:ascii="Arial Black" w:hAnsi="Arial Black"/>
          <w:b/>
          <w:sz w:val="24"/>
          <w:szCs w:val="24"/>
        </w:rPr>
      </w:pPr>
    </w:p>
    <w:p w14:paraId="26E782C6" w14:textId="77777777" w:rsidR="002C1FF2" w:rsidRDefault="002C1FF2" w:rsidP="00BC70A3">
      <w:pPr>
        <w:rPr>
          <w:rFonts w:ascii="Arial Black" w:hAnsi="Arial Black"/>
          <w:b/>
          <w:sz w:val="24"/>
          <w:szCs w:val="24"/>
        </w:rPr>
      </w:pPr>
    </w:p>
    <w:p w14:paraId="3C732D40" w14:textId="77777777" w:rsidR="002C1FF2" w:rsidRDefault="002C1FF2" w:rsidP="00BC70A3">
      <w:pPr>
        <w:rPr>
          <w:rFonts w:ascii="Arial Black" w:hAnsi="Arial Black"/>
          <w:b/>
          <w:sz w:val="24"/>
          <w:szCs w:val="24"/>
        </w:rPr>
      </w:pPr>
    </w:p>
    <w:p w14:paraId="2FC034A7" w14:textId="1A90B4C2" w:rsidR="00F429B5" w:rsidRDefault="00F429B5" w:rsidP="00BC70A3">
      <w:pPr>
        <w:rPr>
          <w:rFonts w:ascii="Arial Black" w:hAnsi="Arial Black"/>
          <w:b/>
          <w:sz w:val="24"/>
          <w:szCs w:val="24"/>
        </w:rPr>
      </w:pPr>
      <w:r>
        <w:rPr>
          <w:rFonts w:ascii="Arial Black" w:hAnsi="Arial Black"/>
          <w:b/>
          <w:sz w:val="24"/>
          <w:szCs w:val="24"/>
        </w:rPr>
        <w:t>8-93</w:t>
      </w:r>
    </w:p>
    <w:p w14:paraId="5A8D6746" w14:textId="77777777" w:rsidR="00F429B5" w:rsidRPr="001079BC" w:rsidRDefault="00F429B5" w:rsidP="00F429B5">
      <w:pPr>
        <w:rPr>
          <w:rFonts w:ascii="Arial Black" w:hAnsi="Arial Black"/>
          <w:b/>
          <w:sz w:val="28"/>
          <w:szCs w:val="28"/>
        </w:rPr>
      </w:pPr>
      <w:r>
        <w:rPr>
          <w:rFonts w:ascii="Arial Black" w:hAnsi="Arial Black"/>
          <w:b/>
          <w:sz w:val="28"/>
          <w:szCs w:val="28"/>
        </w:rPr>
        <w:t>OH: BLACK CAPT – EXAM SOFTWARE ISSUES – NOT RACE</w:t>
      </w:r>
    </w:p>
    <w:p w14:paraId="7DBFC497" w14:textId="77777777" w:rsidR="00F429B5" w:rsidRDefault="00F429B5" w:rsidP="00F429B5">
      <w:pPr>
        <w:pStyle w:val="NoSpacing"/>
        <w:rPr>
          <w:b/>
        </w:rPr>
      </w:pPr>
      <w:r>
        <w:t xml:space="preserve">On June 15, 2026, in </w:t>
      </w:r>
      <w:r w:rsidRPr="00A002DC">
        <w:rPr>
          <w:u w:val="single"/>
        </w:rPr>
        <w:t>Janos Roper v. City of Cincinnati Fire Department</w:t>
      </w:r>
      <w:r>
        <w:t>, the United States Court of Appeals for the Sixth Circuit held (3 to 0) that trial court properly granted summary judgment to the City.  Race was not a factor in the formatting of answers on the promotion exam for District Chief.  The software company found it to be “user error” – but in any event the issue was “race neutral.” He wound up 16</w:t>
      </w:r>
      <w:r w:rsidRPr="00BA3FF7">
        <w:rPr>
          <w:vertAlign w:val="superscript"/>
        </w:rPr>
        <w:t>th</w:t>
      </w:r>
      <w:r>
        <w:t xml:space="preserve"> on the list; 11 promoted.  The Court wrote: “</w:t>
      </w:r>
      <w:r w:rsidRPr="007C2488">
        <w:t>But Title VII provides a remedy for</w:t>
      </w:r>
      <w:r>
        <w:t xml:space="preserve"> </w:t>
      </w:r>
      <w:r w:rsidRPr="007C2488">
        <w:t>racial discrimination, not for defective tests.</w:t>
      </w:r>
      <w:r>
        <w:t xml:space="preserve">” </w:t>
      </w:r>
      <w:hyperlink r:id="rId1461" w:history="1">
        <w:r w:rsidRPr="00014504">
          <w:rPr>
            <w:rStyle w:val="Hyperlink"/>
            <w:b/>
          </w:rPr>
          <w:t>https://cases.justia.com/federal/appellate-courts/ca6/25-3700/25-3700-2026-06-15.pdf?ts=1781553648</w:t>
        </w:r>
      </w:hyperlink>
      <w:r>
        <w:rPr>
          <w:b/>
        </w:rPr>
        <w:t xml:space="preserve"> </w:t>
      </w:r>
    </w:p>
    <w:p w14:paraId="40E5BEBB" w14:textId="77777777" w:rsidR="00F429B5" w:rsidRDefault="00F429B5" w:rsidP="00F429B5">
      <w:pPr>
        <w:rPr>
          <w:bCs/>
        </w:rPr>
      </w:pPr>
    </w:p>
    <w:p w14:paraId="48D2D8BC" w14:textId="77777777" w:rsidR="00F429B5" w:rsidRDefault="00F429B5" w:rsidP="00F429B5">
      <w:pPr>
        <w:rPr>
          <w:b/>
        </w:rPr>
      </w:pPr>
      <w:r>
        <w:t xml:space="preserve"> </w:t>
      </w:r>
      <w:r>
        <w:rPr>
          <w:b/>
        </w:rPr>
        <w:t>FACTS:</w:t>
      </w:r>
    </w:p>
    <w:p w14:paraId="5BD1851A" w14:textId="77777777" w:rsidR="00F429B5" w:rsidRPr="00DD65B2" w:rsidRDefault="00F429B5" w:rsidP="00F429B5">
      <w:pPr>
        <w:pStyle w:val="NoSpacing"/>
        <w:rPr>
          <w:bCs/>
        </w:rPr>
      </w:pPr>
      <w:r>
        <w:t>“</w:t>
      </w:r>
      <w:r w:rsidRPr="00DD65B2">
        <w:t>In 2019, Roper—a longtime Cincinnati firefighter—sat for a test to be promoted to district</w:t>
      </w:r>
    </w:p>
    <w:p w14:paraId="0FEC2A5D" w14:textId="77777777" w:rsidR="00F429B5" w:rsidRPr="00DD65B2" w:rsidRDefault="00F429B5" w:rsidP="00F429B5">
      <w:pPr>
        <w:pStyle w:val="NoSpacing"/>
        <w:rPr>
          <w:bCs/>
        </w:rPr>
      </w:pPr>
      <w:r w:rsidRPr="00DD65B2">
        <w:t>chief. During one typewritten section, Roper and several other candidates experienced a problem</w:t>
      </w:r>
    </w:p>
    <w:p w14:paraId="7221E52F" w14:textId="77777777" w:rsidR="00F429B5" w:rsidRPr="00DD65B2" w:rsidRDefault="00F429B5" w:rsidP="00F429B5">
      <w:pPr>
        <w:pStyle w:val="NoSpacing"/>
        <w:rPr>
          <w:bCs/>
        </w:rPr>
      </w:pPr>
      <w:r w:rsidRPr="00DD65B2">
        <w:t>with the testing software, which upset the formatting of their answers. According to Roper, this</w:t>
      </w:r>
    </w:p>
    <w:p w14:paraId="19622D25" w14:textId="77777777" w:rsidR="00F429B5" w:rsidRPr="00DD65B2" w:rsidRDefault="00F429B5" w:rsidP="00F429B5">
      <w:pPr>
        <w:pStyle w:val="NoSpacing"/>
        <w:rPr>
          <w:bCs/>
        </w:rPr>
      </w:pPr>
      <w:r w:rsidRPr="00DD65B2">
        <w:t>problem cost him time during the test and was “very damaging” to his performance.</w:t>
      </w:r>
    </w:p>
    <w:p w14:paraId="666A9BA9" w14:textId="77777777" w:rsidR="00F429B5" w:rsidRPr="00DD65B2" w:rsidRDefault="00F429B5" w:rsidP="00F429B5">
      <w:pPr>
        <w:pStyle w:val="NoSpacing"/>
        <w:rPr>
          <w:bCs/>
        </w:rPr>
      </w:pPr>
      <w:r w:rsidRPr="00DD65B2">
        <w:t>Roper reported the problem to one of the Department’s human-resources employees, who</w:t>
      </w:r>
    </w:p>
    <w:p w14:paraId="22E29D94" w14:textId="77777777" w:rsidR="00F429B5" w:rsidRDefault="00F429B5" w:rsidP="00F429B5">
      <w:pPr>
        <w:pStyle w:val="NoSpacing"/>
        <w:rPr>
          <w:bCs/>
        </w:rPr>
      </w:pPr>
      <w:r w:rsidRPr="00DD65B2">
        <w:t xml:space="preserve">relayed Roper’s complaint to the company that had created the test. </w:t>
      </w:r>
    </w:p>
    <w:p w14:paraId="6AC401EB" w14:textId="77777777" w:rsidR="00F429B5" w:rsidRDefault="00F429B5" w:rsidP="00F429B5">
      <w:pPr>
        <w:pStyle w:val="NoSpacing"/>
        <w:rPr>
          <w:bCs/>
        </w:rPr>
      </w:pPr>
    </w:p>
    <w:p w14:paraId="7C8A7553" w14:textId="77777777" w:rsidR="00F429B5" w:rsidRDefault="00F429B5" w:rsidP="00F429B5">
      <w:pPr>
        <w:pStyle w:val="NoSpacing"/>
        <w:rPr>
          <w:bCs/>
        </w:rPr>
      </w:pPr>
      <w:r w:rsidRPr="00DD65B2">
        <w:t>The company investigated</w:t>
      </w:r>
      <w:r>
        <w:t xml:space="preserve"> </w:t>
      </w:r>
      <w:r w:rsidRPr="00DD65B2">
        <w:t>and said the problem had been the result of user error. The company scored the test, however,</w:t>
      </w:r>
      <w:r>
        <w:t xml:space="preserve"> </w:t>
      </w:r>
      <w:r w:rsidRPr="00DD65B2">
        <w:t>without regard to any formatting errors. The Department then promoted candidates (or not) based</w:t>
      </w:r>
      <w:r>
        <w:t xml:space="preserve"> </w:t>
      </w:r>
      <w:r w:rsidRPr="00854040">
        <w:t>solely on their test scores. Roper’s score placed him 16th among the candidates eligible for 11</w:t>
      </w:r>
      <w:r>
        <w:t xml:space="preserve"> </w:t>
      </w:r>
      <w:r w:rsidRPr="00854040">
        <w:t xml:space="preserve">vacant positions, so the Department did not promote him to district </w:t>
      </w:r>
      <w:proofErr w:type="gramStart"/>
      <w:r w:rsidRPr="00854040">
        <w:t>chief.</w:t>
      </w:r>
      <w:r>
        <w:t>”</w:t>
      </w:r>
      <w:proofErr w:type="gramEnd"/>
    </w:p>
    <w:p w14:paraId="66C3F300" w14:textId="77777777" w:rsidR="00F429B5" w:rsidRDefault="00F429B5" w:rsidP="00F429B5">
      <w:pPr>
        <w:pStyle w:val="NoSpacing"/>
        <w:rPr>
          <w:bCs/>
        </w:rPr>
      </w:pPr>
    </w:p>
    <w:p w14:paraId="064E3EF7" w14:textId="77777777" w:rsidR="00F429B5" w:rsidRDefault="00F429B5" w:rsidP="00F429B5">
      <w:pPr>
        <w:pStyle w:val="NoSpacing"/>
        <w:rPr>
          <w:b/>
        </w:rPr>
      </w:pPr>
      <w:r w:rsidRPr="00854040">
        <w:rPr>
          <w:b/>
        </w:rPr>
        <w:t>COURT HELD:</w:t>
      </w:r>
    </w:p>
    <w:p w14:paraId="02D235CB" w14:textId="77777777" w:rsidR="00F429B5" w:rsidRDefault="00F429B5" w:rsidP="00F429B5">
      <w:pPr>
        <w:pStyle w:val="NoSpacing"/>
        <w:rPr>
          <w:b/>
        </w:rPr>
      </w:pPr>
    </w:p>
    <w:p w14:paraId="556658BA" w14:textId="77777777" w:rsidR="00F429B5" w:rsidRPr="007C2488" w:rsidRDefault="00F429B5" w:rsidP="00F429B5">
      <w:pPr>
        <w:pStyle w:val="NoSpacing"/>
      </w:pPr>
      <w:r>
        <w:t>“</w:t>
      </w:r>
      <w:r w:rsidRPr="007C2488">
        <w:t>Roper responds that his claim (in part) is that the test itself was defective, and so its results</w:t>
      </w:r>
    </w:p>
    <w:p w14:paraId="5266C950" w14:textId="77777777" w:rsidR="00F429B5" w:rsidRPr="007C2488" w:rsidRDefault="00F429B5" w:rsidP="00F429B5">
      <w:pPr>
        <w:pStyle w:val="NoSpacing"/>
      </w:pPr>
      <w:r w:rsidRPr="007C2488">
        <w:t>should not render him dissimilar to the promoted candidates. But Title VII provides a remedy for</w:t>
      </w:r>
    </w:p>
    <w:p w14:paraId="4C45E890" w14:textId="77777777" w:rsidR="00F429B5" w:rsidRPr="007C2488" w:rsidRDefault="00F429B5" w:rsidP="00F429B5">
      <w:pPr>
        <w:pStyle w:val="NoSpacing"/>
      </w:pPr>
      <w:r w:rsidRPr="007C2488">
        <w:t>racial discrimination, not for defective tests. Here, the test results were undisputedly the sole</w:t>
      </w:r>
    </w:p>
    <w:p w14:paraId="30F7C8BC" w14:textId="77777777" w:rsidR="00F429B5" w:rsidRPr="007C2488" w:rsidRDefault="00F429B5" w:rsidP="00F429B5">
      <w:pPr>
        <w:pStyle w:val="NoSpacing"/>
      </w:pPr>
      <w:r w:rsidRPr="007C2488">
        <w:t>criterion on which candidates were promoted; and the Department’s application of that criterion</w:t>
      </w:r>
    </w:p>
    <w:p w14:paraId="2CDCA7C5" w14:textId="77777777" w:rsidR="00F429B5" w:rsidRDefault="00F429B5" w:rsidP="00F429B5">
      <w:pPr>
        <w:pStyle w:val="NoSpacing"/>
      </w:pPr>
      <w:r w:rsidRPr="007C2488">
        <w:t>was undisputedly race neutral. To make out a prima facie case of discrimination, therefore, Rope</w:t>
      </w:r>
      <w:r>
        <w:t>r</w:t>
      </w:r>
      <w:r w:rsidRPr="001079BC">
        <w:t xml:space="preserve"> </w:t>
      </w:r>
      <w:r>
        <w:t>must present evidence that the formatting problem (which he says impaired his test performance)</w:t>
      </w:r>
    </w:p>
    <w:p w14:paraId="281CF162" w14:textId="77777777" w:rsidR="00F429B5" w:rsidRDefault="00F429B5" w:rsidP="00F429B5">
      <w:pPr>
        <w:pStyle w:val="NoSpacing"/>
      </w:pPr>
      <w:r>
        <w:t>was itself the result of racial discrimination. And Roper has developed no argument to that effect</w:t>
      </w:r>
    </w:p>
    <w:p w14:paraId="7964F4A5" w14:textId="77777777" w:rsidR="00F429B5" w:rsidRDefault="00F429B5" w:rsidP="00F429B5">
      <w:pPr>
        <w:pStyle w:val="NoSpacing"/>
      </w:pPr>
      <w:r>
        <w:t>in the district court or this court. The district court was therefore correct to grant summary</w:t>
      </w:r>
    </w:p>
    <w:p w14:paraId="310A590D" w14:textId="77777777" w:rsidR="00F429B5" w:rsidRPr="007C2488" w:rsidRDefault="00F429B5" w:rsidP="00F429B5">
      <w:pPr>
        <w:pStyle w:val="NoSpacing"/>
      </w:pPr>
      <w:r>
        <w:t>judgment to the Department.”</w:t>
      </w:r>
    </w:p>
    <w:p w14:paraId="75070BFB" w14:textId="77777777" w:rsidR="00F429B5" w:rsidRDefault="00F429B5" w:rsidP="00F429B5">
      <w:pPr>
        <w:rPr>
          <w:b/>
        </w:rPr>
      </w:pPr>
    </w:p>
    <w:p w14:paraId="2A63883B" w14:textId="77777777" w:rsidR="00F429B5" w:rsidRDefault="00F429B5" w:rsidP="00F429B5">
      <w:pPr>
        <w:rPr>
          <w:b/>
        </w:rPr>
      </w:pPr>
      <w:r>
        <w:rPr>
          <w:b/>
        </w:rPr>
        <w:t xml:space="preserve">Legal lesson learned: Computer software issues can be very frustrating – particularly in a promotion exam – but no evidence of racial discrimination. </w:t>
      </w:r>
    </w:p>
    <w:p w14:paraId="43D4CA69" w14:textId="77777777" w:rsidR="00F429B5" w:rsidRDefault="00F429B5" w:rsidP="00BC70A3">
      <w:pPr>
        <w:rPr>
          <w:rFonts w:ascii="Arial Black" w:hAnsi="Arial Black"/>
          <w:b/>
          <w:sz w:val="24"/>
          <w:szCs w:val="24"/>
        </w:rPr>
      </w:pPr>
    </w:p>
    <w:p w14:paraId="469EF0EC" w14:textId="77777777" w:rsidR="00F429B5" w:rsidRDefault="00F429B5" w:rsidP="00BC70A3">
      <w:pPr>
        <w:rPr>
          <w:rFonts w:ascii="Arial Black" w:hAnsi="Arial Black"/>
          <w:b/>
          <w:sz w:val="24"/>
          <w:szCs w:val="24"/>
        </w:rPr>
      </w:pPr>
    </w:p>
    <w:p w14:paraId="33A4F702" w14:textId="55660A1D" w:rsidR="00B85F14" w:rsidRDefault="006A662D" w:rsidP="00BC70A3">
      <w:pPr>
        <w:rPr>
          <w:rFonts w:ascii="Arial Black" w:hAnsi="Arial Black"/>
          <w:b/>
          <w:sz w:val="24"/>
          <w:szCs w:val="24"/>
        </w:rPr>
      </w:pPr>
      <w:r>
        <w:rPr>
          <w:rFonts w:ascii="Arial Black" w:hAnsi="Arial Black"/>
          <w:b/>
          <w:sz w:val="24"/>
          <w:szCs w:val="24"/>
        </w:rPr>
        <w:t>8-9</w:t>
      </w:r>
      <w:r>
        <w:rPr>
          <w:rFonts w:ascii="Arial Black" w:hAnsi="Arial Black"/>
          <w:b/>
          <w:sz w:val="24"/>
          <w:szCs w:val="24"/>
        </w:rPr>
        <w:t>2</w:t>
      </w:r>
    </w:p>
    <w:p w14:paraId="10E843E5" w14:textId="77777777" w:rsidR="00B85F14" w:rsidRPr="00ED155B" w:rsidRDefault="00B85F14" w:rsidP="00B85F14">
      <w:pPr>
        <w:pStyle w:val="NoSpacing"/>
        <w:rPr>
          <w:rFonts w:ascii="Arial Black" w:hAnsi="Arial Black"/>
          <w:sz w:val="28"/>
          <w:szCs w:val="28"/>
        </w:rPr>
      </w:pPr>
      <w:r>
        <w:rPr>
          <w:rFonts w:ascii="Arial Black" w:hAnsi="Arial Black"/>
          <w:sz w:val="28"/>
          <w:szCs w:val="28"/>
        </w:rPr>
        <w:t>ID: HISPANIC / CATHOLIC - ASSESSMENT CTR WAS FAIR</w:t>
      </w:r>
    </w:p>
    <w:p w14:paraId="39815B5E" w14:textId="77777777" w:rsidR="00B85F14" w:rsidRDefault="00B85F14" w:rsidP="00B85F14">
      <w:pPr>
        <w:pStyle w:val="NoSpacing"/>
      </w:pPr>
    </w:p>
    <w:p w14:paraId="329B0150" w14:textId="77777777" w:rsidR="00B85F14" w:rsidRDefault="00B85F14" w:rsidP="00B85F14">
      <w:r>
        <w:t xml:space="preserve">On June 3, 2026, in </w:t>
      </w:r>
      <w:r w:rsidRPr="00B37A0F">
        <w:rPr>
          <w:u w:val="single"/>
        </w:rPr>
        <w:t>Henry Munoz v. City of Burley</w:t>
      </w:r>
      <w:r>
        <w:t xml:space="preserve">, U.S. District Court Judge </w:t>
      </w:r>
      <w:r w:rsidRPr="00E66C66">
        <w:t>Amanda K. Brailsford,</w:t>
      </w:r>
      <w:r>
        <w:t xml:space="preserve"> </w:t>
      </w:r>
      <w:r w:rsidRPr="00F5578E">
        <w:t>United States District Court for District of Idaho</w:t>
      </w:r>
      <w:r>
        <w:t xml:space="preserve">, granted the city’s motion for summary judgment; lack of proof of discrimination against Hispanics or Catholics (many officers are members of </w:t>
      </w:r>
      <w:r w:rsidRPr="006C0980">
        <w:t>Church of Jesus Christ of Latter-day Saints</w:t>
      </w:r>
      <w:r>
        <w:t xml:space="preserve">).  The </w:t>
      </w:r>
      <w:proofErr w:type="gramStart"/>
      <w:r>
        <w:t>City</w:t>
      </w:r>
      <w:proofErr w:type="gramEnd"/>
      <w:r>
        <w:t xml:space="preserve"> held an assessment center, including outside graders, and promoted the lieutenant with highest score (</w:t>
      </w:r>
      <w:r w:rsidRPr="008E3238">
        <w:t>957 out of 1,200</w:t>
      </w:r>
      <w:r>
        <w:t>; compared to plaintiff’s 760). The Court wrote: “</w:t>
      </w:r>
      <w:r w:rsidRPr="00527BF6">
        <w:t>Defendant has articulated a legitimate, nondiscriminatory reason for promoting Boden instead of Plaintiff: they selected Boden because he received the highest total score in the assessment center</w:t>
      </w:r>
      <w:r>
        <w:t xml:space="preserve">.” </w:t>
      </w:r>
      <w:hyperlink r:id="rId1462" w:history="1">
        <w:r w:rsidRPr="003E6F82">
          <w:rPr>
            <w:rStyle w:val="Hyperlink"/>
          </w:rPr>
          <w:t>https://www.govinfo.gov/content/pkg/USCOURTS-idd-4_24-cv-00303/pdf/USCOURTS-idd-4_24-cv-00303-0.pdf</w:t>
        </w:r>
      </w:hyperlink>
      <w:r>
        <w:t xml:space="preserve"> </w:t>
      </w:r>
    </w:p>
    <w:p w14:paraId="7F8E1D92" w14:textId="77777777" w:rsidR="00B85F14" w:rsidRDefault="00B85F14" w:rsidP="00B85F14">
      <w:pPr>
        <w:rPr>
          <w:b/>
        </w:rPr>
      </w:pPr>
      <w:r>
        <w:rPr>
          <w:b/>
        </w:rPr>
        <w:t>FACTS:</w:t>
      </w:r>
    </w:p>
    <w:p w14:paraId="0A115D22" w14:textId="77777777" w:rsidR="00B85F14" w:rsidRDefault="00B85F14" w:rsidP="00B85F14">
      <w:pPr>
        <w:pStyle w:val="NoSpacing"/>
      </w:pPr>
      <w:r>
        <w:t>“</w:t>
      </w:r>
      <w:r w:rsidRPr="009C1094">
        <w:t> Plaintiff is Hispanic and Catholic</w:t>
      </w:r>
      <w:r>
        <w:t xml:space="preserve"> …. </w:t>
      </w:r>
      <w:r w:rsidRPr="009C1094">
        <w:t>He began working for the BFD as a volunteer firefighter in March 2001, became a full-time firefighter in November 2003, and was promoted to Lieutenant in 2013</w:t>
      </w:r>
      <w:r>
        <w:t xml:space="preserve"> …. </w:t>
      </w:r>
      <w:r w:rsidRPr="009C1094">
        <w:t xml:space="preserve">Plaintiff remained a Lieutenant when he applied for the </w:t>
      </w:r>
      <w:proofErr w:type="gramStart"/>
      <w:r w:rsidRPr="009C1094">
        <w:t>Captain</w:t>
      </w:r>
      <w:proofErr w:type="gramEnd"/>
      <w:r w:rsidRPr="009C1094">
        <w:t xml:space="preserve"> position at issue in this case</w:t>
      </w:r>
      <w:r>
        <w:t xml:space="preserve"> ….</w:t>
      </w:r>
      <w:r w:rsidRPr="009C1094">
        <w:t>Plaintiff declares that he has served BFD for more than twenty-four years and has never been disciplined for misconduct</w:t>
      </w:r>
      <w:r>
        <w:t xml:space="preserve">. </w:t>
      </w:r>
    </w:p>
    <w:p w14:paraId="572E94D4" w14:textId="77777777" w:rsidR="00B85F14" w:rsidRDefault="00B85F14" w:rsidP="00B85F14">
      <w:pPr>
        <w:pStyle w:val="NoSpacing"/>
      </w:pPr>
    </w:p>
    <w:p w14:paraId="31105AB0" w14:textId="77777777" w:rsidR="00B85F14" w:rsidRDefault="00B85F14" w:rsidP="00B85F14">
      <w:pPr>
        <w:pStyle w:val="NoSpacing"/>
      </w:pPr>
      <w:r>
        <w:t>***</w:t>
      </w:r>
    </w:p>
    <w:p w14:paraId="5B73EB53" w14:textId="77777777" w:rsidR="00B85F14" w:rsidRDefault="00B85F14" w:rsidP="00B85F14">
      <w:pPr>
        <w:pStyle w:val="NoSpacing"/>
      </w:pPr>
    </w:p>
    <w:p w14:paraId="0917C3BF" w14:textId="77777777" w:rsidR="00B85F14" w:rsidRDefault="00B85F14" w:rsidP="00B85F14">
      <w:pPr>
        <w:pStyle w:val="NoSpacing"/>
      </w:pPr>
      <w:r w:rsidRPr="00925E40">
        <w:t xml:space="preserve">BFD used an </w:t>
      </w:r>
      <w:r>
        <w:t>‘</w:t>
      </w:r>
      <w:r w:rsidRPr="00925E40">
        <w:t>assessment center</w:t>
      </w:r>
      <w:r>
        <w:t>’</w:t>
      </w:r>
      <w:r w:rsidRPr="00925E40">
        <w:t xml:space="preserve"> to evaluate the three candidates. The assessment center used five evaluators: Chief Shannon Tolman; Deputy Chief Harman; Human Resources (HR) Director, Carol Anderson; Cassia Regional Hospital ambulance department manager, Keisha Hendrickson; and College of Southern Idaho Lead Fire Science Instructor, Brad Buehler </w:t>
      </w:r>
      <w:r>
        <w:t>….</w:t>
      </w:r>
      <w:r w:rsidRPr="00925E40">
        <w:t xml:space="preserve"> Deputy Chief Harman selected the internal evaluators and Buehler and Hendrickson as outside evaluators</w:t>
      </w:r>
      <w:r>
        <w:t xml:space="preserve"> ….</w:t>
      </w:r>
      <w:r w:rsidRPr="00925E40">
        <w:t>Of those evaluators, Plaintiffs identifies only Chief Tolman as having LDS involvement</w:t>
      </w:r>
      <w:r>
        <w:t>. [</w:t>
      </w:r>
      <w:r w:rsidRPr="006C0980">
        <w:t>LDS</w:t>
      </w:r>
      <w:r>
        <w:t xml:space="preserve"> - </w:t>
      </w:r>
      <w:r w:rsidRPr="006C0980">
        <w:t>shorthand reference for the Church of Jesus Christ of Latter-day Saints</w:t>
      </w:r>
      <w:r>
        <w:t>]</w:t>
      </w:r>
      <w:r w:rsidRPr="006C0980">
        <w:t>.</w:t>
      </w:r>
    </w:p>
    <w:p w14:paraId="6FBD1BC6" w14:textId="77777777" w:rsidR="00B85F14" w:rsidRDefault="00B85F14" w:rsidP="00B85F14">
      <w:pPr>
        <w:pStyle w:val="NoSpacing"/>
      </w:pPr>
    </w:p>
    <w:p w14:paraId="44DF6D45" w14:textId="77777777" w:rsidR="00B85F14" w:rsidRDefault="00B85F14" w:rsidP="00B85F14">
      <w:pPr>
        <w:pStyle w:val="NoSpacing"/>
      </w:pPr>
      <w:r w:rsidRPr="004E7397">
        <w:t>The assessment center has three components: an incident-scenario exercise, an oral</w:t>
      </w:r>
      <w:r>
        <w:t xml:space="preserve"> </w:t>
      </w:r>
      <w:r w:rsidRPr="004E7397">
        <w:t>presentation exercise, and an oral interview</w:t>
      </w:r>
      <w:r>
        <w:t xml:space="preserve"> …. </w:t>
      </w:r>
      <w:r w:rsidRPr="004E7397">
        <w:t>Each component's individual score sheets included job-related scoring dimensions such as scene size-up, leadership/organization, communication, problem analysis and decision-making, time management, strategy and tactics, command presence/ICS, safety, presentation-related criteria, accountability, and interview performance</w:t>
      </w:r>
      <w:r>
        <w:t xml:space="preserve"> ….</w:t>
      </w:r>
      <w:r w:rsidRPr="004E7397">
        <w:t xml:space="preserve">The score sheets used an </w:t>
      </w:r>
      <w:r>
        <w:t xml:space="preserve"> </w:t>
      </w:r>
      <w:r w:rsidRPr="004E7397">
        <w:t xml:space="preserve">unevenly-banded numerical scale: 1 through 4 meant </w:t>
      </w:r>
      <w:r>
        <w:t>‘</w:t>
      </w:r>
      <w:r w:rsidRPr="004E7397">
        <w:t>Not Qualified,</w:t>
      </w:r>
      <w:r>
        <w:t>’</w:t>
      </w:r>
      <w:r w:rsidRPr="004E7397">
        <w:t xml:space="preserve"> 5 meant </w:t>
      </w:r>
      <w:r>
        <w:t>‘</w:t>
      </w:r>
      <w:r w:rsidRPr="004E7397">
        <w:t>Minimally Qualified,</w:t>
      </w:r>
      <w:r>
        <w:t>’</w:t>
      </w:r>
      <w:r w:rsidRPr="004E7397">
        <w:t xml:space="preserve"> 6 meant </w:t>
      </w:r>
      <w:r>
        <w:t>‘</w:t>
      </w:r>
      <w:r w:rsidRPr="004E7397">
        <w:t>Qualified,</w:t>
      </w:r>
      <w:r>
        <w:t>’</w:t>
      </w:r>
      <w:r w:rsidRPr="004E7397">
        <w:t xml:space="preserve"> and 7 through 10 meant </w:t>
      </w:r>
      <w:r>
        <w:t>‘</w:t>
      </w:r>
      <w:r w:rsidRPr="004E7397">
        <w:t>Especially Qualified</w:t>
      </w:r>
      <w:r>
        <w:t xml:space="preserve">’ …. </w:t>
      </w:r>
      <w:r w:rsidRPr="004E7397">
        <w:t xml:space="preserve"> Hypothetically applied, a </w:t>
      </w:r>
      <w:r>
        <w:t>‘</w:t>
      </w:r>
      <w:r w:rsidRPr="004E7397">
        <w:t>4</w:t>
      </w:r>
      <w:r>
        <w:t>’</w:t>
      </w:r>
      <w:r w:rsidRPr="004E7397">
        <w:t xml:space="preserve"> means the evaluator found the applicant not qualified in that dimension of that component, whereas a </w:t>
      </w:r>
      <w:r>
        <w:t>‘</w:t>
      </w:r>
      <w:r w:rsidRPr="004E7397">
        <w:t>7</w:t>
      </w:r>
      <w:r>
        <w:t>’</w:t>
      </w:r>
      <w:r w:rsidRPr="004E7397">
        <w:t xml:space="preserve"> means the applicant was especially qualified. The scoring draws no distinction between a 1 and a 4 (both </w:t>
      </w:r>
      <w:r>
        <w:t>‘</w:t>
      </w:r>
      <w:r w:rsidRPr="004E7397">
        <w:t>not qualified</w:t>
      </w:r>
      <w:r>
        <w:t>’</w:t>
      </w:r>
      <w:r w:rsidRPr="004E7397">
        <w:t xml:space="preserve">) or a 7 and a 10 (both </w:t>
      </w:r>
      <w:r>
        <w:t>‘</w:t>
      </w:r>
      <w:r w:rsidRPr="004E7397">
        <w:t>especially qualified</w:t>
      </w:r>
      <w:r>
        <w:t>’</w:t>
      </w:r>
      <w:r w:rsidRPr="004E7397">
        <w:t xml:space="preserve">). </w:t>
      </w:r>
    </w:p>
    <w:p w14:paraId="4A6FD119" w14:textId="77777777" w:rsidR="00B85F14" w:rsidRDefault="00B85F14" w:rsidP="00B85F14">
      <w:pPr>
        <w:pStyle w:val="NoSpacing"/>
      </w:pPr>
    </w:p>
    <w:p w14:paraId="3EB58E8A" w14:textId="77777777" w:rsidR="00B85F14" w:rsidRDefault="00B85F14" w:rsidP="00B85F14">
      <w:pPr>
        <w:pStyle w:val="NoSpacing"/>
      </w:pPr>
      <w:r>
        <w:t>***</w:t>
      </w:r>
    </w:p>
    <w:p w14:paraId="562A1188" w14:textId="77777777" w:rsidR="00B85F14" w:rsidRDefault="00B85F14" w:rsidP="00B85F14">
      <w:pPr>
        <w:pStyle w:val="NoSpacing"/>
      </w:pPr>
      <w:r w:rsidRPr="008E3238">
        <w:t> After the assessment, Chief Tolman and Deputy Chief Harman totaled the evaluators' scores. The completed score sheets reflect that Plaintiff received a total score of 760 out of 1,200, while Boden received the highest total score, 957 out of 1,200</w:t>
      </w:r>
      <w:r>
        <w:t xml:space="preserve">…. </w:t>
      </w:r>
      <w:r w:rsidRPr="008E3238">
        <w:t xml:space="preserve"> According to Defendant, the promotion was offered to the candidate who received the highest score, and Deputy Chief Harman testified that </w:t>
      </w:r>
      <w:r>
        <w:t>‘</w:t>
      </w:r>
      <w:r w:rsidRPr="008E3238">
        <w:t>the past processes since ‘21 have all gone based off of the score</w:t>
      </w:r>
      <w:r>
        <w:t xml:space="preserve">’ …. </w:t>
      </w:r>
    </w:p>
    <w:p w14:paraId="26EF8099" w14:textId="77777777" w:rsidR="00B85F14" w:rsidRDefault="00B85F14" w:rsidP="00B85F14">
      <w:pPr>
        <w:pStyle w:val="NoSpacing"/>
      </w:pPr>
    </w:p>
    <w:p w14:paraId="4D254087" w14:textId="77777777" w:rsidR="00B85F14" w:rsidRDefault="00B85F14" w:rsidP="00B85F14">
      <w:pPr>
        <w:pStyle w:val="NoSpacing"/>
        <w:rPr>
          <w:b/>
          <w:bCs/>
        </w:rPr>
      </w:pPr>
      <w:r w:rsidRPr="005C0BF8">
        <w:rPr>
          <w:b/>
        </w:rPr>
        <w:t xml:space="preserve">COURT HELD: </w:t>
      </w:r>
    </w:p>
    <w:p w14:paraId="292957CE" w14:textId="77777777" w:rsidR="00B85F14" w:rsidRDefault="00B85F14" w:rsidP="00B85F14">
      <w:pPr>
        <w:pStyle w:val="NoSpacing"/>
        <w:rPr>
          <w:b/>
          <w:bCs/>
        </w:rPr>
      </w:pPr>
    </w:p>
    <w:p w14:paraId="321A4EBB" w14:textId="77777777" w:rsidR="00B85F14" w:rsidRDefault="00B85F14" w:rsidP="00B85F14">
      <w:pPr>
        <w:pStyle w:val="NoSpacing"/>
      </w:pPr>
      <w:r>
        <w:t>“</w:t>
      </w:r>
      <w:r w:rsidRPr="004177CA">
        <w:t>Plaintiff testified that religion did not come up during the interview or testing process; no panelist raised religion during the process; Chief Tolman and Deputy Chief Harman never talked with him about his religion; he never raised religion with them; and he did not know whether Chief Tolman or Deputy Chief Harman knew his religion</w:t>
      </w:r>
      <w:r>
        <w:t xml:space="preserve"> …. </w:t>
      </w:r>
      <w:r w:rsidRPr="004177CA">
        <w:t xml:space="preserve"> Buehler testified that he was not aware of any applicant's religious affiliation or whether one applicant was affiliated religiously differently from the others, and that the scores he gave Plaintiff were not motivated by Plaintiff's religion or national origin</w:t>
      </w:r>
      <w:r>
        <w:t xml:space="preserve"> ….</w:t>
      </w:r>
      <w:r w:rsidRPr="004177CA">
        <w:t xml:space="preserve"> Hendrickson likewise testified she was not aware of the religion of any applicant and that the scores she gave Plaintiff were not motivated by Plaintiff's religion or national origin</w:t>
      </w:r>
      <w:r>
        <w:t xml:space="preserve"> ….</w:t>
      </w:r>
    </w:p>
    <w:p w14:paraId="364B2E0E" w14:textId="77777777" w:rsidR="00B85F14" w:rsidRDefault="00B85F14" w:rsidP="00B85F14">
      <w:pPr>
        <w:pStyle w:val="NoSpacing"/>
      </w:pPr>
    </w:p>
    <w:p w14:paraId="7D32ABEB" w14:textId="77777777" w:rsidR="00B85F14" w:rsidRDefault="00B85F14" w:rsidP="00B85F14">
      <w:pPr>
        <w:pStyle w:val="NoSpacing"/>
      </w:pPr>
      <w:r>
        <w:t>***</w:t>
      </w:r>
    </w:p>
    <w:p w14:paraId="1BFA5899" w14:textId="77777777" w:rsidR="00B85F14" w:rsidRPr="004177CA" w:rsidRDefault="00B85F14" w:rsidP="00B85F14">
      <w:pPr>
        <w:pStyle w:val="NoSpacing"/>
      </w:pPr>
    </w:p>
    <w:p w14:paraId="6E25B3BB" w14:textId="77777777" w:rsidR="00B85F14" w:rsidRDefault="00B85F14" w:rsidP="00B85F14">
      <w:pPr>
        <w:pStyle w:val="NoSpacing"/>
      </w:pPr>
      <w:r w:rsidRPr="005D6029">
        <w:t>For these reasons, the scoring evidence does not create a triable issue of discriminatory pretext. Even if a reasonable jury could find that subjective judgment, evaluator harshness, or favoritism influenced the process, Plaintiff has not identified evidence permitting a reasonable jury to find that race, religion, Catholic status, or non-LDS status was one of the motivating factors. On this record, Plaintiff has not identified sufficient admissible evidence from which a reasonable jury could infer Defendant's stated explanation is false or motivated by a discriminatory purpose.</w:t>
      </w:r>
    </w:p>
    <w:p w14:paraId="376CF815" w14:textId="77777777" w:rsidR="00B85F14" w:rsidRDefault="00B85F14" w:rsidP="00B85F14">
      <w:pPr>
        <w:pStyle w:val="NoSpacing"/>
      </w:pPr>
    </w:p>
    <w:p w14:paraId="6A760DE0" w14:textId="77777777" w:rsidR="00B85F14" w:rsidRDefault="00B85F14" w:rsidP="00B85F14">
      <w:pPr>
        <w:pStyle w:val="NoSpacing"/>
      </w:pPr>
      <w:r>
        <w:t>***</w:t>
      </w:r>
    </w:p>
    <w:p w14:paraId="4DFF38D2" w14:textId="77777777" w:rsidR="00B85F14" w:rsidRDefault="00B85F14" w:rsidP="00B85F14">
      <w:pPr>
        <w:pStyle w:val="NoSpacing"/>
      </w:pPr>
      <w:r w:rsidRPr="00391FBA">
        <w:t>Considered cumulatively, Plaintiff's evidence shows a discretionary process, a small leadership pool with limited Hispanic and non-LDS representation, sharp evaluator disparities, and Plaintiff's perception that Hispanic firefighters received less recognition. That evidence is sufficient to require careful review, but it remains insufficient to permit a reasonable jury to find that Defendant's score-based explanation was false or that the June 2022 decision was motivated by race or religion.</w:t>
      </w:r>
    </w:p>
    <w:p w14:paraId="5333A016" w14:textId="77777777" w:rsidR="00B85F14" w:rsidRDefault="00B85F14" w:rsidP="00B85F14">
      <w:pPr>
        <w:pStyle w:val="NoSpacing"/>
      </w:pPr>
    </w:p>
    <w:p w14:paraId="7E9156FC" w14:textId="77777777" w:rsidR="00B85F14" w:rsidRPr="00AF0956" w:rsidRDefault="00B85F14" w:rsidP="00B85F14">
      <w:pPr>
        <w:pStyle w:val="NoSpacing"/>
        <w:rPr>
          <w:b/>
          <w:bCs/>
        </w:rPr>
      </w:pPr>
      <w:r>
        <w:rPr>
          <w:b/>
        </w:rPr>
        <w:t xml:space="preserve">Legal lesson learned: Assessment Centers are an excellent tool in the promotion process. </w:t>
      </w:r>
    </w:p>
    <w:p w14:paraId="00016549" w14:textId="77777777" w:rsidR="00B85F14" w:rsidRDefault="00B85F14" w:rsidP="00BC70A3">
      <w:pPr>
        <w:rPr>
          <w:rFonts w:ascii="Arial Black" w:hAnsi="Arial Black"/>
          <w:b/>
          <w:sz w:val="24"/>
          <w:szCs w:val="24"/>
        </w:rPr>
      </w:pPr>
    </w:p>
    <w:p w14:paraId="59BE3FA3" w14:textId="77777777" w:rsidR="00B85F14" w:rsidRDefault="00B85F14" w:rsidP="00BC70A3">
      <w:pPr>
        <w:rPr>
          <w:rFonts w:ascii="Arial Black" w:hAnsi="Arial Black"/>
          <w:b/>
          <w:sz w:val="24"/>
          <w:szCs w:val="24"/>
        </w:rPr>
      </w:pPr>
    </w:p>
    <w:p w14:paraId="6B009886" w14:textId="77777777" w:rsidR="00B85F14" w:rsidRDefault="00B85F14" w:rsidP="00BC70A3">
      <w:pPr>
        <w:rPr>
          <w:rFonts w:ascii="Arial Black" w:hAnsi="Arial Black"/>
          <w:b/>
          <w:sz w:val="24"/>
          <w:szCs w:val="24"/>
        </w:rPr>
      </w:pPr>
    </w:p>
    <w:p w14:paraId="67163217" w14:textId="729C233C" w:rsidR="006323EA" w:rsidRDefault="006B7C41" w:rsidP="00BC70A3">
      <w:pPr>
        <w:rPr>
          <w:rFonts w:ascii="Arial Black" w:hAnsi="Arial Black"/>
          <w:b/>
          <w:sz w:val="24"/>
          <w:szCs w:val="24"/>
        </w:rPr>
      </w:pPr>
      <w:r>
        <w:rPr>
          <w:rFonts w:ascii="Arial Black" w:hAnsi="Arial Black"/>
          <w:b/>
          <w:sz w:val="24"/>
          <w:szCs w:val="24"/>
        </w:rPr>
        <w:t>8-9</w:t>
      </w:r>
      <w:r>
        <w:rPr>
          <w:rFonts w:ascii="Arial Black" w:hAnsi="Arial Black"/>
          <w:b/>
          <w:sz w:val="24"/>
          <w:szCs w:val="24"/>
        </w:rPr>
        <w:t>1</w:t>
      </w:r>
    </w:p>
    <w:p w14:paraId="18269774" w14:textId="77777777" w:rsidR="009F0FF3" w:rsidRPr="00AB57EE" w:rsidRDefault="009F0FF3" w:rsidP="009F0FF3">
      <w:pPr>
        <w:rPr>
          <w:rFonts w:ascii="Arial Black" w:hAnsi="Arial Black"/>
          <w:b/>
          <w:bCs/>
          <w:sz w:val="28"/>
          <w:szCs w:val="28"/>
        </w:rPr>
      </w:pPr>
      <w:r>
        <w:rPr>
          <w:rFonts w:ascii="Arial Black" w:hAnsi="Arial Black"/>
          <w:b/>
          <w:sz w:val="28"/>
          <w:szCs w:val="28"/>
        </w:rPr>
        <w:t xml:space="preserve">IL: BLACK – FIRED – DROP STATE CASE / CAN PROCEED FED  </w:t>
      </w:r>
    </w:p>
    <w:p w14:paraId="1B8D0C91" w14:textId="77777777" w:rsidR="009F0FF3" w:rsidRDefault="009F0FF3" w:rsidP="009F0FF3">
      <w:pPr>
        <w:rPr>
          <w:b/>
          <w:bCs/>
        </w:rPr>
      </w:pPr>
      <w:r>
        <w:t xml:space="preserve">On June 8, 2026, in </w:t>
      </w:r>
      <w:proofErr w:type="spellStart"/>
      <w:r w:rsidRPr="00D53D61">
        <w:rPr>
          <w:u w:val="single"/>
        </w:rPr>
        <w:t>Vairrun</w:t>
      </w:r>
      <w:proofErr w:type="spellEnd"/>
      <w:r w:rsidRPr="00D53D61">
        <w:rPr>
          <w:u w:val="single"/>
        </w:rPr>
        <w:t xml:space="preserve"> Strickland v</w:t>
      </w:r>
      <w:r>
        <w:rPr>
          <w:u w:val="single"/>
        </w:rPr>
        <w:t>.</w:t>
      </w:r>
      <w:r w:rsidRPr="00D53D61">
        <w:rPr>
          <w:u w:val="single"/>
        </w:rPr>
        <w:t xml:space="preserve"> City of Markham, et al</w:t>
      </w:r>
      <w:r>
        <w:t xml:space="preserve">., the United States Court of Appeals for the Seventh District (Chicago) held (3 to 0) that trial court improperly dismissed his federal Title VII case alleging retaliation - </w:t>
      </w:r>
      <w:r w:rsidRPr="00036255">
        <w:t>singling him out for minor disciplinary issues and denying</w:t>
      </w:r>
      <w:r>
        <w:t xml:space="preserve"> </w:t>
      </w:r>
      <w:r w:rsidRPr="00036255">
        <w:t>him a promotion</w:t>
      </w:r>
      <w:r>
        <w:t xml:space="preserve"> when he supported another FF’s EEOC case. Case to continue in federal court even though voluntarily dismissed his lawsuit in state court. The Court wrote: “</w:t>
      </w:r>
      <w:r w:rsidRPr="009B102D">
        <w:t>The district</w:t>
      </w:r>
      <w:r>
        <w:t xml:space="preserve"> </w:t>
      </w:r>
      <w:r w:rsidRPr="009B102D">
        <w:t>court thus erred in dismissing Strickland’s Title VII claims on</w:t>
      </w:r>
      <w:r>
        <w:t xml:space="preserve"> </w:t>
      </w:r>
      <w:r w:rsidRPr="009B102D">
        <w:t>claim preclusion grounds</w:t>
      </w:r>
      <w:r>
        <w:t xml:space="preserve">.” </w:t>
      </w:r>
      <w:hyperlink r:id="rId1463" w:history="1">
        <w:r w:rsidRPr="00014504">
          <w:rPr>
            <w:rStyle w:val="Hyperlink"/>
            <w:b/>
          </w:rPr>
          <w:t>https://cases.justia.com/federal/appellate-courts/ca7/24-3262/24-3262-2026-06-08.pdf?ts=1780948846</w:t>
        </w:r>
      </w:hyperlink>
      <w:r>
        <w:rPr>
          <w:b/>
        </w:rPr>
        <w:t xml:space="preserve"> </w:t>
      </w:r>
    </w:p>
    <w:p w14:paraId="0D27DED6" w14:textId="77777777" w:rsidR="009F0FF3" w:rsidRDefault="009F0FF3" w:rsidP="009F0FF3">
      <w:pPr>
        <w:pStyle w:val="NoSpacing"/>
        <w:rPr>
          <w:bCs/>
        </w:rPr>
      </w:pPr>
      <w:r w:rsidRPr="00AB37D4">
        <w:rPr>
          <w:b/>
        </w:rPr>
        <w:t>FACTS:</w:t>
      </w:r>
      <w:r>
        <w:t xml:space="preserve"> </w:t>
      </w:r>
    </w:p>
    <w:p w14:paraId="4D9C6825" w14:textId="77777777" w:rsidR="009F0FF3" w:rsidRDefault="009F0FF3" w:rsidP="009F0FF3">
      <w:pPr>
        <w:pStyle w:val="NoSpacing"/>
        <w:rPr>
          <w:bCs/>
        </w:rPr>
      </w:pPr>
    </w:p>
    <w:p w14:paraId="04543A52" w14:textId="77777777" w:rsidR="009F0FF3" w:rsidRPr="00B74B2A" w:rsidRDefault="009F0FF3" w:rsidP="009F0FF3">
      <w:pPr>
        <w:pStyle w:val="NoSpacing"/>
        <w:rPr>
          <w:bCs/>
        </w:rPr>
      </w:pPr>
      <w:r>
        <w:t>“</w:t>
      </w:r>
      <w:r w:rsidRPr="00131A6D">
        <w:t>Strickland worked as a firefighter for the City of Markham</w:t>
      </w:r>
      <w:r>
        <w:t xml:space="preserve"> </w:t>
      </w:r>
      <w:r w:rsidRPr="00131A6D">
        <w:t>Fire Department for over a decade. In 2020, the Equal</w:t>
      </w:r>
      <w:r>
        <w:t xml:space="preserve"> </w:t>
      </w:r>
      <w:r w:rsidRPr="00036255">
        <w:t>Employment Opportunity Commission interviewed</w:t>
      </w:r>
      <w:r>
        <w:t xml:space="preserve"> </w:t>
      </w:r>
      <w:r w:rsidRPr="00036255">
        <w:t>Strickland during an investigation into discrimination claims</w:t>
      </w:r>
      <w:r>
        <w:t xml:space="preserve"> </w:t>
      </w:r>
      <w:r w:rsidRPr="00036255">
        <w:t>brought by a former firefighter. In the interview, Strickland</w:t>
      </w:r>
      <w:r>
        <w:t xml:space="preserve"> </w:t>
      </w:r>
      <w:r w:rsidRPr="00036255">
        <w:t>described race-based discrimination he had witnessed against</w:t>
      </w:r>
      <w:r>
        <w:t xml:space="preserve"> </w:t>
      </w:r>
      <w:r w:rsidRPr="00036255">
        <w:t>the former firefighter and how Chief Mazziotta had failed to</w:t>
      </w:r>
      <w:r>
        <w:t xml:space="preserve"> </w:t>
      </w:r>
      <w:r w:rsidRPr="00036255">
        <w:t>address it. Strickland alleged that after the interview, Chief</w:t>
      </w:r>
      <w:r>
        <w:t xml:space="preserve"> </w:t>
      </w:r>
      <w:r w:rsidRPr="00036255">
        <w:t>Mazziotta and the Department retaliated against him by</w:t>
      </w:r>
      <w:r>
        <w:t xml:space="preserve"> </w:t>
      </w:r>
      <w:proofErr w:type="gramStart"/>
      <w:r w:rsidRPr="00036255">
        <w:t>singling</w:t>
      </w:r>
      <w:proofErr w:type="gramEnd"/>
      <w:r w:rsidRPr="00036255">
        <w:t xml:space="preserve"> him out for minor disciplinary issues and denying</w:t>
      </w:r>
      <w:r>
        <w:t xml:space="preserve"> </w:t>
      </w:r>
      <w:r w:rsidRPr="00036255">
        <w:t>him a promotion.</w:t>
      </w:r>
      <w:r>
        <w:t xml:space="preserve"> </w:t>
      </w:r>
      <w:r w:rsidRPr="00036255">
        <w:t>In January 2021, the Department brought administrative</w:t>
      </w:r>
      <w:r>
        <w:t xml:space="preserve"> </w:t>
      </w:r>
      <w:r w:rsidRPr="00036255">
        <w:t>charges against Strickland. After hearings on the charges, the</w:t>
      </w:r>
      <w:r>
        <w:t xml:space="preserve"> </w:t>
      </w:r>
      <w:r w:rsidRPr="00036255">
        <w:t>Board of Fire and Police Commissioners terminated his</w:t>
      </w:r>
      <w:r>
        <w:t xml:space="preserve"> </w:t>
      </w:r>
      <w:r w:rsidRPr="00036255">
        <w:t>employment in April 2021, finding that Strickland had lied to</w:t>
      </w:r>
      <w:r>
        <w:t xml:space="preserve"> </w:t>
      </w:r>
      <w:r w:rsidRPr="00036255">
        <w:t>detectives during an arson investigation and had put</w:t>
      </w:r>
      <w:r>
        <w:t xml:space="preserve"> </w:t>
      </w:r>
      <w:r w:rsidRPr="00036255">
        <w:t>Department employees at risk by coming to work while</w:t>
      </w:r>
      <w:r>
        <w:t xml:space="preserve"> </w:t>
      </w:r>
      <w:r w:rsidRPr="00036255">
        <w:t>infected with COVID-19.</w:t>
      </w:r>
      <w:r>
        <w:t xml:space="preserve">  </w:t>
      </w:r>
      <w:r w:rsidRPr="00B74B2A">
        <w:t>The next month, Strickland filed a lawsuit in state court</w:t>
      </w:r>
    </w:p>
    <w:p w14:paraId="2E4E1E54" w14:textId="77777777" w:rsidR="009F0FF3" w:rsidRDefault="009F0FF3" w:rsidP="009F0FF3">
      <w:pPr>
        <w:pStyle w:val="NoSpacing"/>
        <w:rPr>
          <w:bCs/>
        </w:rPr>
      </w:pPr>
      <w:r w:rsidRPr="00B74B2A">
        <w:t xml:space="preserve">challenging the Board’s decision. The court </w:t>
      </w:r>
      <w:proofErr w:type="gramStart"/>
      <w:r w:rsidRPr="00B74B2A">
        <w:t>remanded</w:t>
      </w:r>
      <w:proofErr w:type="gramEnd"/>
      <w:r w:rsidRPr="00B74B2A">
        <w:t xml:space="preserve"> while</w:t>
      </w:r>
      <w:r>
        <w:t xml:space="preserve"> </w:t>
      </w:r>
      <w:r w:rsidRPr="00B74B2A">
        <w:t>retaining jurisdiction over the case and instructed the Board</w:t>
      </w:r>
      <w:r>
        <w:t xml:space="preserve"> </w:t>
      </w:r>
      <w:r w:rsidRPr="00B74B2A">
        <w:t>to enter an amended decision with additional information.</w:t>
      </w:r>
      <w:r>
        <w:t xml:space="preserve"> </w:t>
      </w:r>
      <w:r w:rsidRPr="00B74B2A">
        <w:t>The Board did so and again discharged Strickland. After the</w:t>
      </w:r>
      <w:r>
        <w:t xml:space="preserve"> </w:t>
      </w:r>
      <w:r w:rsidRPr="00B74B2A">
        <w:t>Board issued its amended decision in April 2022, Strickland</w:t>
      </w:r>
      <w:r>
        <w:t xml:space="preserve"> </w:t>
      </w:r>
      <w:r w:rsidRPr="00B74B2A">
        <w:t>voluntarily dismissed his state-court lawsuit. He did not</w:t>
      </w:r>
      <w:r>
        <w:t xml:space="preserve"> </w:t>
      </w:r>
      <w:r w:rsidRPr="00B74B2A">
        <w:t>otherwise seek direct review of the amended decision in state</w:t>
      </w:r>
      <w:r>
        <w:t xml:space="preserve"> </w:t>
      </w:r>
      <w:r w:rsidRPr="00B74B2A">
        <w:t>court.</w:t>
      </w:r>
      <w:r>
        <w:t>”</w:t>
      </w:r>
    </w:p>
    <w:p w14:paraId="05EE3B62" w14:textId="77777777" w:rsidR="009F0FF3" w:rsidRDefault="009F0FF3" w:rsidP="009F0FF3">
      <w:pPr>
        <w:pStyle w:val="NoSpacing"/>
        <w:rPr>
          <w:bCs/>
        </w:rPr>
      </w:pPr>
    </w:p>
    <w:p w14:paraId="1F68E14A" w14:textId="77777777" w:rsidR="009F0FF3" w:rsidRDefault="009F0FF3" w:rsidP="009F0FF3">
      <w:pPr>
        <w:pStyle w:val="NoSpacing"/>
        <w:rPr>
          <w:bCs/>
        </w:rPr>
      </w:pPr>
      <w:r w:rsidRPr="00AB37D4">
        <w:rPr>
          <w:b/>
        </w:rPr>
        <w:t>COURT HELD:</w:t>
      </w:r>
      <w:r>
        <w:t xml:space="preserve"> </w:t>
      </w:r>
    </w:p>
    <w:p w14:paraId="1597A0B0" w14:textId="77777777" w:rsidR="009F0FF3" w:rsidRDefault="009F0FF3" w:rsidP="009F0FF3">
      <w:pPr>
        <w:pStyle w:val="NoSpacing"/>
        <w:rPr>
          <w:bCs/>
        </w:rPr>
      </w:pPr>
    </w:p>
    <w:p w14:paraId="74FC3A61" w14:textId="77777777" w:rsidR="009F0FF3" w:rsidRDefault="009F0FF3" w:rsidP="009F0FF3">
      <w:pPr>
        <w:pStyle w:val="NoSpacing"/>
        <w:rPr>
          <w:bCs/>
        </w:rPr>
      </w:pPr>
      <w:r>
        <w:t>“</w:t>
      </w:r>
      <w:r w:rsidRPr="000C51C9">
        <w:t>Strickland argues that the court improperly</w:t>
      </w:r>
      <w:r>
        <w:t xml:space="preserve"> </w:t>
      </w:r>
      <w:r w:rsidRPr="000C51C9">
        <w:t>rested the first element on the Board’s decision and resolved</w:t>
      </w:r>
      <w:r>
        <w:t xml:space="preserve"> </w:t>
      </w:r>
      <w:r w:rsidRPr="000C51C9">
        <w:t>the other questions based on the state suit. He maintains that</w:t>
      </w:r>
      <w:r>
        <w:t xml:space="preserve"> </w:t>
      </w:r>
      <w:r w:rsidRPr="000C51C9">
        <w:t>administrative proceedings and state-court judgments should</w:t>
      </w:r>
      <w:r>
        <w:t xml:space="preserve"> </w:t>
      </w:r>
      <w:r w:rsidRPr="000C51C9">
        <w:t>be evaluated differently for purposes of claim preclusion.</w:t>
      </w:r>
      <w:r>
        <w:t xml:space="preserve"> </w:t>
      </w:r>
      <w:r w:rsidRPr="000C51C9">
        <w:t>Strickland is partially correct that the administrative</w:t>
      </w:r>
      <w:r>
        <w:t xml:space="preserve"> </w:t>
      </w:r>
      <w:r w:rsidRPr="000C51C9">
        <w:t>proceedings and state litigation cannot be treated as</w:t>
      </w:r>
      <w:r>
        <w:t xml:space="preserve"> </w:t>
      </w:r>
      <w:r w:rsidRPr="000C51C9">
        <w:t>equivalents. The Supreme Court’s decisions on the federal</w:t>
      </w:r>
      <w:r>
        <w:t xml:space="preserve"> </w:t>
      </w:r>
      <w:r w:rsidRPr="000C51C9">
        <w:t>law of preclusion distinguish between state-court judgments</w:t>
      </w:r>
      <w:r>
        <w:t xml:space="preserve"> </w:t>
      </w:r>
      <w:r w:rsidRPr="000C51C9">
        <w:t>and administrative decisions, particularly as applied to Title</w:t>
      </w:r>
      <w:r>
        <w:t xml:space="preserve"> </w:t>
      </w:r>
      <w:r w:rsidRPr="000C51C9">
        <w:t>VII claims</w:t>
      </w:r>
      <w:r>
        <w:t xml:space="preserve">…. </w:t>
      </w:r>
      <w:r w:rsidRPr="009B102D">
        <w:t>The district</w:t>
      </w:r>
      <w:r>
        <w:t xml:space="preserve"> </w:t>
      </w:r>
      <w:r w:rsidRPr="009B102D">
        <w:t>court thus erred in dismissing Strickland’s Title VII claims on</w:t>
      </w:r>
      <w:r>
        <w:t xml:space="preserve"> </w:t>
      </w:r>
      <w:r w:rsidRPr="009B102D">
        <w:t>claim preclusion grounds.</w:t>
      </w:r>
      <w:r>
        <w:t>”</w:t>
      </w:r>
    </w:p>
    <w:p w14:paraId="0B588F28" w14:textId="77777777" w:rsidR="009F0FF3" w:rsidRDefault="009F0FF3" w:rsidP="009F0FF3">
      <w:pPr>
        <w:pStyle w:val="NoSpacing"/>
        <w:rPr>
          <w:bCs/>
        </w:rPr>
      </w:pPr>
    </w:p>
    <w:p w14:paraId="5F78A501" w14:textId="77777777" w:rsidR="009F0FF3" w:rsidRPr="00FD2071" w:rsidRDefault="009F0FF3" w:rsidP="009F0FF3">
      <w:pPr>
        <w:pStyle w:val="NoSpacing"/>
        <w:rPr>
          <w:b/>
        </w:rPr>
      </w:pPr>
      <w:r>
        <w:rPr>
          <w:b/>
        </w:rPr>
        <w:t xml:space="preserve">Legal lesson learned: Title VII claims may proceed in federal court, even if firefighter voluntarily dropped his state court case. </w:t>
      </w:r>
    </w:p>
    <w:p w14:paraId="325F0F66" w14:textId="77777777" w:rsidR="009F0FF3" w:rsidRDefault="009F0FF3" w:rsidP="009F0FF3">
      <w:pPr>
        <w:pStyle w:val="NoSpacing"/>
        <w:rPr>
          <w:bCs/>
        </w:rPr>
      </w:pPr>
    </w:p>
    <w:p w14:paraId="01EF2D04" w14:textId="77777777" w:rsidR="00D46618" w:rsidRDefault="00D46618" w:rsidP="00BC70A3">
      <w:pPr>
        <w:rPr>
          <w:rFonts w:ascii="Arial Black" w:hAnsi="Arial Black"/>
          <w:b/>
          <w:sz w:val="24"/>
          <w:szCs w:val="24"/>
        </w:rPr>
      </w:pPr>
    </w:p>
    <w:p w14:paraId="13F47147" w14:textId="77777777" w:rsidR="00D46618" w:rsidRDefault="00D46618" w:rsidP="00BC70A3">
      <w:pPr>
        <w:rPr>
          <w:rFonts w:ascii="Arial Black" w:hAnsi="Arial Black"/>
          <w:b/>
          <w:sz w:val="24"/>
          <w:szCs w:val="24"/>
        </w:rPr>
      </w:pPr>
    </w:p>
    <w:p w14:paraId="168C3B58" w14:textId="4F9EA388" w:rsidR="007265BA" w:rsidRPr="00EB490D" w:rsidRDefault="007265BA" w:rsidP="00BC70A3">
      <w:pPr>
        <w:rPr>
          <w:rFonts w:ascii="Arial Black" w:hAnsi="Arial Black"/>
          <w:b/>
          <w:sz w:val="24"/>
          <w:szCs w:val="24"/>
        </w:rPr>
      </w:pPr>
      <w:r>
        <w:rPr>
          <w:rFonts w:ascii="Arial Black" w:hAnsi="Arial Black"/>
          <w:b/>
          <w:sz w:val="24"/>
          <w:szCs w:val="24"/>
        </w:rPr>
        <w:t xml:space="preserve">8-90 </w:t>
      </w:r>
      <w:r w:rsidRPr="00EB490D">
        <w:rPr>
          <w:rFonts w:ascii="Arial Black" w:hAnsi="Arial Black"/>
          <w:bCs/>
          <w:sz w:val="24"/>
          <w:szCs w:val="24"/>
        </w:rPr>
        <w:t>[also filed, Chap. 16 – Discipline]</w:t>
      </w:r>
    </w:p>
    <w:p w14:paraId="7D5A8E7C" w14:textId="77777777" w:rsidR="007265BA" w:rsidRPr="00DA19ED" w:rsidRDefault="007265BA" w:rsidP="007265BA">
      <w:pPr>
        <w:rPr>
          <w:rFonts w:ascii="Arial Black" w:hAnsi="Arial Black"/>
          <w:b/>
          <w:sz w:val="28"/>
          <w:szCs w:val="28"/>
        </w:rPr>
      </w:pPr>
      <w:r>
        <w:rPr>
          <w:rFonts w:ascii="Arial Black" w:hAnsi="Arial Black"/>
          <w:b/>
          <w:sz w:val="28"/>
          <w:szCs w:val="28"/>
        </w:rPr>
        <w:t xml:space="preserve">VA: BLACK FF – FIRED – THREATS VIOLENCE IN STATION </w:t>
      </w:r>
    </w:p>
    <w:p w14:paraId="16192602" w14:textId="77777777" w:rsidR="007265BA" w:rsidRDefault="007265BA" w:rsidP="007265BA">
      <w:pPr>
        <w:pStyle w:val="NoSpacing"/>
        <w:rPr>
          <w:b/>
        </w:rPr>
      </w:pPr>
      <w:r>
        <w:t xml:space="preserve">On May 19, 2026, in </w:t>
      </w:r>
      <w:r w:rsidRPr="00AD6041">
        <w:rPr>
          <w:u w:val="single"/>
        </w:rPr>
        <w:t>Brian Younger v. City of Lynchburg</w:t>
      </w:r>
      <w:r>
        <w:t xml:space="preserve">, U.S. District Court Judge Norman K. Moon, United States District Court for the Western District of Virginia, </w:t>
      </w:r>
      <w:r w:rsidRPr="00D12863">
        <w:t>Lynchburg Division</w:t>
      </w:r>
      <w:r>
        <w:t xml:space="preserve">, granted the City’s motion for summary judgment.  The firefighter was fired on June 4, </w:t>
      </w:r>
      <w:proofErr w:type="gramStart"/>
      <w:r>
        <w:t>2024</w:t>
      </w:r>
      <w:proofErr w:type="gramEnd"/>
      <w:r>
        <w:t xml:space="preserve"> after an incident on July 16, </w:t>
      </w:r>
      <w:proofErr w:type="gramStart"/>
      <w:r>
        <w:t>2024</w:t>
      </w:r>
      <w:proofErr w:type="gramEnd"/>
      <w:r>
        <w:t xml:space="preserve"> where he asked a white firefighter. At start of morning shift, to move his personal items to another bunkbed, and Younger became upset it was not done immediately.  THE COURT WROTE:  “Younger complains that he was treated differently from his White co-workers. Younger, however, does not establish sufficient similarity between what he did on July 16, 2022, and what his White co-workers did. Specifically, several fellow firefighters were recorded using racial slurs off-duty and those firefighters were not disciplined by the LFD. In contrast, though, Younger used racialized and threatening language against a co-worker in the fire station.” </w:t>
      </w:r>
      <w:hyperlink r:id="rId1464" w:history="1">
        <w:r w:rsidRPr="00D00712">
          <w:rPr>
            <w:rStyle w:val="Hyperlink"/>
            <w:b/>
          </w:rPr>
          <w:t>https://cases.justia.com/federal/district-courts/virginia/vawdce/6:2024cv00051/132979/41/0.pdf?ts=1779390167</w:t>
        </w:r>
      </w:hyperlink>
      <w:r>
        <w:rPr>
          <w:b/>
        </w:rPr>
        <w:t xml:space="preserve"> </w:t>
      </w:r>
    </w:p>
    <w:p w14:paraId="5DD3D10C" w14:textId="77777777" w:rsidR="007265BA" w:rsidRDefault="007265BA" w:rsidP="007265BA">
      <w:pPr>
        <w:pStyle w:val="NoSpacing"/>
        <w:rPr>
          <w:bCs/>
        </w:rPr>
      </w:pPr>
    </w:p>
    <w:p w14:paraId="2207ADA6" w14:textId="77777777" w:rsidR="007265BA" w:rsidRDefault="007265BA" w:rsidP="007265BA">
      <w:pPr>
        <w:pStyle w:val="NoSpacing"/>
        <w:rPr>
          <w:bCs/>
        </w:rPr>
      </w:pPr>
      <w:r>
        <w:t>THE COURT HELD:</w:t>
      </w:r>
    </w:p>
    <w:p w14:paraId="1B9D8F8D" w14:textId="77777777" w:rsidR="007265BA" w:rsidRDefault="007265BA" w:rsidP="007265BA">
      <w:pPr>
        <w:pStyle w:val="NoSpacing"/>
        <w:rPr>
          <w:bCs/>
        </w:rPr>
      </w:pPr>
    </w:p>
    <w:p w14:paraId="0698CA53" w14:textId="77777777" w:rsidR="007265BA" w:rsidRDefault="007265BA" w:rsidP="007265BA">
      <w:pPr>
        <w:pStyle w:val="NoSpacing"/>
        <w:ind w:left="720"/>
      </w:pPr>
      <w:r>
        <w:t xml:space="preserve">“The </w:t>
      </w:r>
      <w:proofErr w:type="gramStart"/>
      <w:r>
        <w:t>City</w:t>
      </w:r>
      <w:proofErr w:type="gramEnd"/>
      <w:r>
        <w:t xml:space="preserve"> claims it terminated Younger because of events that occurred on the morning of July 16, 2022. During the early morning shift change at LFD Station 5, Younger entered the station bedroom to place his belongings on a bunkbed. However, upon his arrival, he discovered that Firefighter Brennen Lawson, who had worked the previous shift, had already placed his items on the bed </w:t>
      </w:r>
      <w:proofErr w:type="gramStart"/>
      <w:r>
        <w:t>Younger</w:t>
      </w:r>
      <w:proofErr w:type="gramEnd"/>
      <w:r>
        <w:t xml:space="preserve"> intended to use….Younger found Lawson and asked him to move his belongings…. Lawson agreed but did not move his</w:t>
      </w:r>
    </w:p>
    <w:p w14:paraId="2E968B2D" w14:textId="77777777" w:rsidR="007265BA" w:rsidRDefault="007265BA" w:rsidP="007265BA">
      <w:pPr>
        <w:pStyle w:val="NoSpacing"/>
        <w:ind w:firstLine="720"/>
      </w:pPr>
      <w:r>
        <w:t xml:space="preserve">belongings as promptly as Younger expected. </w:t>
      </w:r>
    </w:p>
    <w:p w14:paraId="6065F997" w14:textId="77777777" w:rsidR="007265BA" w:rsidRDefault="007265BA" w:rsidP="007265BA">
      <w:pPr>
        <w:pStyle w:val="NoSpacing"/>
      </w:pPr>
    </w:p>
    <w:p w14:paraId="4324F131" w14:textId="77777777" w:rsidR="007265BA" w:rsidRDefault="007265BA" w:rsidP="007265BA">
      <w:pPr>
        <w:pStyle w:val="NoSpacing"/>
        <w:ind w:firstLine="720"/>
      </w:pPr>
      <w:r>
        <w:t>Although accounts differ as to whether either party made threatening movements towards</w:t>
      </w:r>
    </w:p>
    <w:p w14:paraId="7B45CEBF" w14:textId="77777777" w:rsidR="007265BA" w:rsidRDefault="007265BA" w:rsidP="007265BA">
      <w:pPr>
        <w:pStyle w:val="NoSpacing"/>
        <w:ind w:left="720"/>
      </w:pPr>
      <w:r>
        <w:t>the other during the exchange, neither party disputes that Younger made several comments directed at Lawson, who is a White male, including that: (</w:t>
      </w:r>
      <w:proofErr w:type="spellStart"/>
      <w:r>
        <w:t>i</w:t>
      </w:r>
      <w:proofErr w:type="spellEnd"/>
      <w:r>
        <w:t xml:space="preserve">) Lawson was ‘a racist scumbag that couldn’t keep his wife happy’; (ii) that Lawson had ‘pushed’ his wife ‘right into the embrace of another Black man’; (iii) that his wife was ‘in California’ ‘loving that black dick she was taking out West’; (iv) that Younger did not know why ‘y’all racists keep dating and marrying women who aren’t racists’; (v) that if Lawson came towards him he would ‘fuck you all up out here’; and (iv) that Lawson better ‘stay away from [Younger] or else.’” </w:t>
      </w:r>
    </w:p>
    <w:p w14:paraId="40196F72" w14:textId="77777777" w:rsidR="007265BA" w:rsidRDefault="007265BA" w:rsidP="007265BA">
      <w:pPr>
        <w:pStyle w:val="NoSpacing"/>
        <w:ind w:left="720"/>
      </w:pPr>
    </w:p>
    <w:p w14:paraId="2AD53E35" w14:textId="77777777" w:rsidR="007265BA" w:rsidRDefault="007265BA" w:rsidP="007265BA">
      <w:pPr>
        <w:pStyle w:val="NoSpacing"/>
        <w:rPr>
          <w:b/>
        </w:rPr>
      </w:pPr>
      <w:r>
        <w:rPr>
          <w:b/>
        </w:rPr>
        <w:t xml:space="preserve">Legal lesson learned: Threats of violence cannot be tolerated, without regard to the race of the offender.  </w:t>
      </w:r>
    </w:p>
    <w:p w14:paraId="25F2A4A7" w14:textId="77777777" w:rsidR="00EC3DBD" w:rsidRDefault="00EC3DBD" w:rsidP="007265BA">
      <w:pPr>
        <w:pStyle w:val="NoSpacing"/>
        <w:rPr>
          <w:b/>
        </w:rPr>
      </w:pPr>
    </w:p>
    <w:p w14:paraId="4DB831D8" w14:textId="77777777" w:rsidR="00EC3DBD" w:rsidRPr="00C958FE" w:rsidRDefault="00EC3DBD" w:rsidP="00EC3DBD">
      <w:pPr>
        <w:pStyle w:val="NoSpacing"/>
        <w:rPr>
          <w:rFonts w:ascii="Arial Black" w:hAnsi="Arial Black"/>
          <w:b/>
          <w:sz w:val="28"/>
          <w:szCs w:val="28"/>
        </w:rPr>
      </w:pPr>
      <w:r>
        <w:rPr>
          <w:rFonts w:ascii="Arial Black" w:hAnsi="Arial Black"/>
          <w:b/>
          <w:sz w:val="28"/>
          <w:szCs w:val="28"/>
        </w:rPr>
        <w:t xml:space="preserve">MD: BLACK – LATE FOR WORK / RACIAL TEXTS – NO CASE </w:t>
      </w:r>
    </w:p>
    <w:p w14:paraId="2E5D1A37" w14:textId="77777777" w:rsidR="00EC3DBD" w:rsidRDefault="00EC3DBD" w:rsidP="00EC3DBD">
      <w:pPr>
        <w:pStyle w:val="NoSpacing"/>
        <w:rPr>
          <w:b/>
        </w:rPr>
      </w:pPr>
    </w:p>
    <w:p w14:paraId="44C3754A" w14:textId="77777777" w:rsidR="00EC3DBD" w:rsidRPr="0018661C" w:rsidRDefault="00EC3DBD" w:rsidP="00EC3DBD">
      <w:pPr>
        <w:pStyle w:val="NoSpacing"/>
        <w:rPr>
          <w:bCs/>
        </w:rPr>
      </w:pPr>
      <w:r w:rsidRPr="0018661C">
        <w:t xml:space="preserve">On June 24, 2026, in </w:t>
      </w:r>
      <w:r w:rsidRPr="0018661C">
        <w:rPr>
          <w:u w:val="single"/>
        </w:rPr>
        <w:t>Mitchell Waters v. The Mayor and City Council of Baltimore</w:t>
      </w:r>
      <w:r w:rsidRPr="0018661C">
        <w:t xml:space="preserve">, </w:t>
      </w:r>
      <w:r>
        <w:t xml:space="preserve">the United States Court of Appeal for Fourth Circuit (Baltimore) held (3 to 0; unpublished decision) that trial court properly granted summary judgment to the City. The </w:t>
      </w:r>
      <w:proofErr w:type="gramStart"/>
      <w:r>
        <w:t>City</w:t>
      </w:r>
      <w:proofErr w:type="gramEnd"/>
      <w:r>
        <w:t xml:space="preserve"> adequately investigated anonymous racial messages and found no proof they were sent by fellow firefighters. The Court wrote: “The text messages were sent anonymously, and BCFD did undertake an investigation to attempt to identify the sender. Therefore, the district court did not err in granting judgment on the hostile work environment claim.” </w:t>
      </w:r>
      <w:hyperlink r:id="rId1465" w:history="1">
        <w:r w:rsidRPr="00014504">
          <w:rPr>
            <w:rStyle w:val="Hyperlink"/>
          </w:rPr>
          <w:t>https://cases.justia.com/federal/appellate-courts/ca4/25-1440/25-1440-2026-06-24.pdf?ts=1782325881</w:t>
        </w:r>
      </w:hyperlink>
      <w:r>
        <w:t xml:space="preserve"> </w:t>
      </w:r>
    </w:p>
    <w:p w14:paraId="19777266" w14:textId="77777777" w:rsidR="00EC3DBD" w:rsidRPr="0018661C" w:rsidRDefault="00EC3DBD" w:rsidP="00EC3DBD">
      <w:pPr>
        <w:pStyle w:val="NoSpacing"/>
        <w:rPr>
          <w:bCs/>
        </w:rPr>
      </w:pPr>
    </w:p>
    <w:p w14:paraId="166C76B8" w14:textId="77777777" w:rsidR="00EC3DBD" w:rsidRDefault="00EC3DBD" w:rsidP="00EC3DBD">
      <w:pPr>
        <w:pStyle w:val="NoSpacing"/>
        <w:rPr>
          <w:b/>
        </w:rPr>
      </w:pPr>
    </w:p>
    <w:p w14:paraId="5A132524" w14:textId="77777777" w:rsidR="00EC3DBD" w:rsidRDefault="00EC3DBD" w:rsidP="00EC3DBD">
      <w:pPr>
        <w:pStyle w:val="NoSpacing"/>
        <w:rPr>
          <w:b/>
        </w:rPr>
      </w:pPr>
      <w:r w:rsidRPr="00AF250A">
        <w:rPr>
          <w:b/>
        </w:rPr>
        <w:t>FACTS:</w:t>
      </w:r>
    </w:p>
    <w:p w14:paraId="2B84CE0A" w14:textId="77777777" w:rsidR="00EC3DBD" w:rsidRDefault="00EC3DBD" w:rsidP="00EC3DBD">
      <w:pPr>
        <w:pStyle w:val="NoSpacing"/>
        <w:rPr>
          <w:b/>
        </w:rPr>
      </w:pPr>
    </w:p>
    <w:p w14:paraId="20E1280E" w14:textId="77777777" w:rsidR="00EC3DBD" w:rsidRPr="00AF250A" w:rsidRDefault="00EC3DBD" w:rsidP="00EC3DBD">
      <w:pPr>
        <w:pStyle w:val="NoSpacing"/>
      </w:pPr>
      <w:r>
        <w:t>“</w:t>
      </w:r>
      <w:r w:rsidRPr="00AF250A">
        <w:t>Waters is a Black man employed by the Baltimore City Fire Department (BCFD).</w:t>
      </w:r>
    </w:p>
    <w:p w14:paraId="78CA736E" w14:textId="77777777" w:rsidR="00EC3DBD" w:rsidRPr="00AF250A" w:rsidRDefault="00EC3DBD" w:rsidP="00EC3DBD">
      <w:pPr>
        <w:pStyle w:val="NoSpacing"/>
      </w:pPr>
      <w:r w:rsidRPr="00AF250A">
        <w:t>The thrust of Waters’s complaint is that he was treated less favorably than non-Black peers</w:t>
      </w:r>
    </w:p>
    <w:p w14:paraId="09BB34B5" w14:textId="77777777" w:rsidR="00EC3DBD" w:rsidRDefault="00EC3DBD" w:rsidP="00EC3DBD">
      <w:pPr>
        <w:pStyle w:val="NoSpacing"/>
      </w:pPr>
      <w:r w:rsidRPr="00AF250A">
        <w:t>when he was subject to BCFD’s disciplinary process</w:t>
      </w:r>
      <w:r>
        <w:t>…. Waters lists five examples of disparate treatment concerning himself and a comparator and four additional examples concerning other Black employees and non-Black comparators.</w:t>
      </w:r>
    </w:p>
    <w:p w14:paraId="6DE1AD09" w14:textId="77777777" w:rsidR="00EC3DBD" w:rsidRDefault="00EC3DBD" w:rsidP="00EC3DBD">
      <w:pPr>
        <w:pStyle w:val="NoSpacing"/>
      </w:pPr>
    </w:p>
    <w:p w14:paraId="05B835B3" w14:textId="77777777" w:rsidR="00EC3DBD" w:rsidRDefault="00EC3DBD" w:rsidP="00EC3DBD">
      <w:pPr>
        <w:pStyle w:val="NoSpacing"/>
      </w:pPr>
      <w:r>
        <w:t>***</w:t>
      </w:r>
    </w:p>
    <w:p w14:paraId="06F0B839" w14:textId="77777777" w:rsidR="00EC3DBD" w:rsidRDefault="00EC3DBD" w:rsidP="00EC3DBD">
      <w:pPr>
        <w:pStyle w:val="NoSpacing"/>
      </w:pPr>
    </w:p>
    <w:p w14:paraId="5BD80BEB" w14:textId="77777777" w:rsidR="00EC3DBD" w:rsidRPr="00607F7B" w:rsidRDefault="00EC3DBD" w:rsidP="00EC3DBD">
      <w:pPr>
        <w:pStyle w:val="NoSpacing"/>
      </w:pPr>
      <w:r w:rsidRPr="00607F7B">
        <w:t xml:space="preserve">Waters’s last example concerns </w:t>
      </w:r>
      <w:r>
        <w:t>‘</w:t>
      </w:r>
      <w:r w:rsidRPr="00607F7B">
        <w:t>anonymous, racist, and threatening messages</w:t>
      </w:r>
      <w:r>
        <w:t>’</w:t>
      </w:r>
      <w:r w:rsidRPr="00607F7B">
        <w:t xml:space="preserve"> he</w:t>
      </w:r>
    </w:p>
    <w:p w14:paraId="0A4E0C78" w14:textId="77777777" w:rsidR="00EC3DBD" w:rsidRPr="00607F7B" w:rsidRDefault="00EC3DBD" w:rsidP="00EC3DBD">
      <w:pPr>
        <w:pStyle w:val="NoSpacing"/>
      </w:pPr>
      <w:r w:rsidRPr="00607F7B">
        <w:t xml:space="preserve">received. Opening Br. at 33. Waters claims </w:t>
      </w:r>
      <w:r>
        <w:t>‘</w:t>
      </w:r>
      <w:r w:rsidRPr="00607F7B">
        <w:t>no investigation or intervention was</w:t>
      </w:r>
    </w:p>
    <w:p w14:paraId="6F40FFC1" w14:textId="77777777" w:rsidR="00EC3DBD" w:rsidRPr="00607F7B" w:rsidRDefault="00EC3DBD" w:rsidP="00EC3DBD">
      <w:pPr>
        <w:pStyle w:val="NoSpacing"/>
      </w:pPr>
      <w:r w:rsidRPr="00607F7B">
        <w:t>conducted,</w:t>
      </w:r>
      <w:r>
        <w:t>’</w:t>
      </w:r>
      <w:r w:rsidRPr="00607F7B">
        <w:t xml:space="preserve"> and again points to complaints by Lt. Cole and Lt. DiRusso which he says</w:t>
      </w:r>
    </w:p>
    <w:p w14:paraId="2BA076BE" w14:textId="77777777" w:rsidR="00EC3DBD" w:rsidRPr="00607F7B" w:rsidRDefault="00EC3DBD" w:rsidP="00EC3DBD">
      <w:pPr>
        <w:pStyle w:val="NoSpacing"/>
      </w:pPr>
      <w:r>
        <w:t>‘</w:t>
      </w:r>
      <w:proofErr w:type="gramStart"/>
      <w:r w:rsidRPr="00607F7B">
        <w:t>were</w:t>
      </w:r>
      <w:proofErr w:type="gramEnd"/>
      <w:r w:rsidRPr="00607F7B">
        <w:t xml:space="preserve"> investigated immediately.</w:t>
      </w:r>
      <w:r>
        <w:t>’</w:t>
      </w:r>
      <w:r w:rsidRPr="00607F7B">
        <w:t xml:space="preserve"> Id. Although these anonymous racist messages are</w:t>
      </w:r>
    </w:p>
    <w:p w14:paraId="45F81297" w14:textId="77777777" w:rsidR="00EC3DBD" w:rsidRPr="00607F7B" w:rsidRDefault="00EC3DBD" w:rsidP="00EC3DBD">
      <w:pPr>
        <w:pStyle w:val="NoSpacing"/>
      </w:pPr>
      <w:r w:rsidRPr="00607F7B">
        <w:t>disturbing, the anonymity renders this conduct incomparable to the other complaints.</w:t>
      </w:r>
    </w:p>
    <w:p w14:paraId="58EE1434" w14:textId="77777777" w:rsidR="00EC3DBD" w:rsidRDefault="00EC3DBD" w:rsidP="00EC3DBD">
      <w:pPr>
        <w:pStyle w:val="NoSpacing"/>
      </w:pPr>
      <w:r w:rsidRPr="00607F7B">
        <w:t xml:space="preserve">Waters </w:t>
      </w:r>
      <w:proofErr w:type="gramStart"/>
      <w:r w:rsidRPr="00607F7B">
        <w:t>characterizes</w:t>
      </w:r>
      <w:proofErr w:type="gramEnd"/>
      <w:r w:rsidRPr="00607F7B">
        <w:t xml:space="preserve"> BCFD’s actions in response to the anonymous messages as </w:t>
      </w:r>
      <w:r>
        <w:t>‘</w:t>
      </w:r>
      <w:r w:rsidRPr="00607F7B">
        <w:t>Smoke</w:t>
      </w:r>
      <w:r>
        <w:t xml:space="preserve"> and Mirrors</w:t>
      </w:r>
      <w:proofErr w:type="gramStart"/>
      <w:r>
        <w:t>,’ ‘</w:t>
      </w:r>
      <w:proofErr w:type="gramEnd"/>
      <w:r>
        <w:t>half-hearted,’ and ‘inauthentic.’  Id. at 34. But Waters does not identify</w:t>
      </w:r>
    </w:p>
    <w:p w14:paraId="4089F791" w14:textId="77777777" w:rsidR="00EC3DBD" w:rsidRDefault="00EC3DBD" w:rsidP="00EC3DBD">
      <w:pPr>
        <w:pStyle w:val="NoSpacing"/>
      </w:pPr>
      <w:r>
        <w:t>any other instance where BCFD undertook a more serious or rigorous investigation after a</w:t>
      </w:r>
    </w:p>
    <w:p w14:paraId="07EB4601" w14:textId="77777777" w:rsidR="00EC3DBD" w:rsidRPr="00607F7B" w:rsidRDefault="00EC3DBD" w:rsidP="00EC3DBD">
      <w:pPr>
        <w:pStyle w:val="NoSpacing"/>
      </w:pPr>
      <w:r>
        <w:t>peer was subject to anonymous harassment. We cannot find that BCFD’s prompt investigation of a complaint identifying a specific employee is comparable to its response to a complaint regarding anonymous conduct.”</w:t>
      </w:r>
    </w:p>
    <w:p w14:paraId="67E93D0C" w14:textId="77777777" w:rsidR="00EC3DBD" w:rsidRPr="00607F7B" w:rsidRDefault="00EC3DBD" w:rsidP="00EC3DBD">
      <w:pPr>
        <w:pStyle w:val="NoSpacing"/>
      </w:pPr>
    </w:p>
    <w:p w14:paraId="79D7E766" w14:textId="77777777" w:rsidR="00EC3DBD" w:rsidRPr="00607F7B" w:rsidRDefault="00EC3DBD" w:rsidP="00EC3DBD">
      <w:pPr>
        <w:pStyle w:val="NoSpacing"/>
      </w:pPr>
    </w:p>
    <w:p w14:paraId="6AD51F6D" w14:textId="77777777" w:rsidR="00EC3DBD" w:rsidRPr="00667370" w:rsidRDefault="00EC3DBD" w:rsidP="00EC3DBD">
      <w:pPr>
        <w:pStyle w:val="NoSpacing"/>
        <w:rPr>
          <w:b/>
          <w:bCs/>
        </w:rPr>
      </w:pPr>
      <w:r w:rsidRPr="00667370">
        <w:rPr>
          <w:b/>
        </w:rPr>
        <w:t>COURT HELD:</w:t>
      </w:r>
    </w:p>
    <w:p w14:paraId="0D237DAE" w14:textId="77777777" w:rsidR="00EC3DBD" w:rsidRDefault="00EC3DBD" w:rsidP="00EC3DBD">
      <w:pPr>
        <w:pStyle w:val="NoSpacing"/>
      </w:pPr>
    </w:p>
    <w:p w14:paraId="2599310A" w14:textId="77777777" w:rsidR="00EC3DBD" w:rsidRDefault="00EC3DBD" w:rsidP="00EC3DBD">
      <w:pPr>
        <w:pStyle w:val="NoSpacing"/>
      </w:pPr>
      <w:r>
        <w:t>“Only the anonymous racist text messages Waters received are related to his race, but as the district court correctly noted, Waters was ‘unable to link [the messages] to any of his coworkers,’ J.A. 1257, and he does not establish how the messages are imputable to BCFD. ‘An employer may be held liable for a hostile work environment if it knew or should have known about the harassment and failed to take effective action to stop it by responding with remedial action reasonably calculated to end the harassment.’ Webster, 38 F.4th at 415 (citation modified). The text messages were sent anonymously, and BCFD did undertake an investigation to attempt to identify the sender. Therefore, the district court did not err in granting judgment on the hostile work environment claim.”</w:t>
      </w:r>
    </w:p>
    <w:p w14:paraId="00FB0249" w14:textId="77777777" w:rsidR="00EC3DBD" w:rsidRPr="00AF250A" w:rsidRDefault="00EC3DBD" w:rsidP="00EC3DBD">
      <w:pPr>
        <w:pStyle w:val="NoSpacing"/>
      </w:pPr>
    </w:p>
    <w:p w14:paraId="38936018" w14:textId="77777777" w:rsidR="00EC3DBD" w:rsidRDefault="00EC3DBD" w:rsidP="00EC3DBD">
      <w:pPr>
        <w:pStyle w:val="NoSpacing"/>
        <w:rPr>
          <w:b/>
        </w:rPr>
      </w:pPr>
      <w:r>
        <w:rPr>
          <w:b/>
        </w:rPr>
        <w:t xml:space="preserve">Legal lesson learned: Anonymous racial text messages were investigated; no proof sent by fellow firefighters.  </w:t>
      </w:r>
    </w:p>
    <w:p w14:paraId="08DA4DB1" w14:textId="77777777" w:rsidR="00EC3DBD" w:rsidRDefault="00EC3DBD" w:rsidP="00EC3DBD">
      <w:pPr>
        <w:pStyle w:val="NoSpacing"/>
        <w:rPr>
          <w:b/>
        </w:rPr>
      </w:pPr>
    </w:p>
    <w:p w14:paraId="39E33D7E" w14:textId="77777777" w:rsidR="00EC3DBD" w:rsidRDefault="00EC3DBD" w:rsidP="00EC3DBD">
      <w:pPr>
        <w:pStyle w:val="NoSpacing"/>
        <w:rPr>
          <w:b/>
        </w:rPr>
      </w:pPr>
    </w:p>
    <w:p w14:paraId="5DBADB78" w14:textId="77777777" w:rsidR="00EC3DBD" w:rsidRDefault="00EC3DBD" w:rsidP="00EC3DBD">
      <w:pPr>
        <w:rPr>
          <w:b/>
        </w:rPr>
      </w:pPr>
      <w:r w:rsidRPr="00F922D6">
        <w:rPr>
          <w:sz w:val="20"/>
          <w:szCs w:val="20"/>
        </w:rPr>
        <w:t>Chap. 8 – Race / National Origin Discrimination</w:t>
      </w:r>
    </w:p>
    <w:p w14:paraId="64827C7C" w14:textId="77777777" w:rsidR="00EC3DBD" w:rsidRPr="001079BC" w:rsidRDefault="00EC3DBD" w:rsidP="00EC3DBD">
      <w:pPr>
        <w:rPr>
          <w:rFonts w:ascii="Arial Black" w:hAnsi="Arial Black"/>
          <w:b/>
          <w:sz w:val="28"/>
          <w:szCs w:val="28"/>
        </w:rPr>
      </w:pPr>
      <w:r>
        <w:rPr>
          <w:rFonts w:ascii="Arial Black" w:hAnsi="Arial Black"/>
          <w:b/>
          <w:sz w:val="28"/>
          <w:szCs w:val="28"/>
        </w:rPr>
        <w:t>OH: BLACK CAPT – EXAM SOFTWARE ISSUES – NOT RACE</w:t>
      </w:r>
    </w:p>
    <w:p w14:paraId="7CEE7E7B" w14:textId="77777777" w:rsidR="00EC3DBD" w:rsidRDefault="00EC3DBD" w:rsidP="00EC3DBD">
      <w:pPr>
        <w:pStyle w:val="NoSpacing"/>
        <w:rPr>
          <w:b/>
        </w:rPr>
      </w:pPr>
      <w:r>
        <w:t xml:space="preserve">On June 15, 2026, in </w:t>
      </w:r>
      <w:r w:rsidRPr="00A002DC">
        <w:rPr>
          <w:u w:val="single"/>
        </w:rPr>
        <w:t>Janos Roper v. City of Cincinnati Fire Department</w:t>
      </w:r>
      <w:r>
        <w:t>, the United States Court of Appeals for the Sixth Circuit held (3 to 0) that trial court properly granted summary judgment to the City.  Race was not a factor in the formatting of answers on the promotion exam for District Chief.  The software company found it to be “user error” – but in any event the issue was “race neutral.” He wound up 16</w:t>
      </w:r>
      <w:r w:rsidRPr="00BA3FF7">
        <w:rPr>
          <w:vertAlign w:val="superscript"/>
        </w:rPr>
        <w:t>th</w:t>
      </w:r>
      <w:r>
        <w:t xml:space="preserve"> on the list; 11 promoted.  The Court wrote: “</w:t>
      </w:r>
      <w:r w:rsidRPr="007C2488">
        <w:t>But Title VII provides a remedy for</w:t>
      </w:r>
      <w:r>
        <w:t xml:space="preserve"> </w:t>
      </w:r>
      <w:r w:rsidRPr="007C2488">
        <w:t>racial discrimination, not for defective tests.</w:t>
      </w:r>
      <w:r>
        <w:t xml:space="preserve">” </w:t>
      </w:r>
      <w:hyperlink r:id="rId1466" w:history="1">
        <w:r w:rsidRPr="00014504">
          <w:rPr>
            <w:rStyle w:val="Hyperlink"/>
            <w:b/>
          </w:rPr>
          <w:t>https://cases.justia.com/federal/appellate-courts/ca6/25-3700/25-3700-2026-06-15.pdf?ts=1781553648</w:t>
        </w:r>
      </w:hyperlink>
      <w:r>
        <w:rPr>
          <w:b/>
        </w:rPr>
        <w:t xml:space="preserve"> </w:t>
      </w:r>
    </w:p>
    <w:p w14:paraId="647721ED" w14:textId="77777777" w:rsidR="00EC3DBD" w:rsidRDefault="00EC3DBD" w:rsidP="00EC3DBD">
      <w:pPr>
        <w:rPr>
          <w:bCs/>
        </w:rPr>
      </w:pPr>
    </w:p>
    <w:p w14:paraId="495D7B01" w14:textId="77777777" w:rsidR="00EC3DBD" w:rsidRDefault="00EC3DBD" w:rsidP="00EC3DBD">
      <w:pPr>
        <w:rPr>
          <w:b/>
        </w:rPr>
      </w:pPr>
      <w:r>
        <w:t xml:space="preserve"> </w:t>
      </w:r>
      <w:r>
        <w:rPr>
          <w:b/>
        </w:rPr>
        <w:t>FACTS:</w:t>
      </w:r>
    </w:p>
    <w:p w14:paraId="2244C383" w14:textId="77777777" w:rsidR="00EC3DBD" w:rsidRPr="00DD65B2" w:rsidRDefault="00EC3DBD" w:rsidP="00EC3DBD">
      <w:pPr>
        <w:pStyle w:val="NoSpacing"/>
        <w:rPr>
          <w:bCs/>
        </w:rPr>
      </w:pPr>
      <w:r>
        <w:t>“</w:t>
      </w:r>
      <w:r w:rsidRPr="00DD65B2">
        <w:t>In 2019, Roper—a longtime Cincinnati firefighter—sat for a test to be promoted to district</w:t>
      </w:r>
    </w:p>
    <w:p w14:paraId="430D2C84" w14:textId="77777777" w:rsidR="00EC3DBD" w:rsidRPr="00DD65B2" w:rsidRDefault="00EC3DBD" w:rsidP="00EC3DBD">
      <w:pPr>
        <w:pStyle w:val="NoSpacing"/>
        <w:rPr>
          <w:bCs/>
        </w:rPr>
      </w:pPr>
      <w:r w:rsidRPr="00DD65B2">
        <w:t>chief. During one typewritten section, Roper and several other candidates experienced a problem</w:t>
      </w:r>
    </w:p>
    <w:p w14:paraId="6B719912" w14:textId="77777777" w:rsidR="00EC3DBD" w:rsidRPr="00DD65B2" w:rsidRDefault="00EC3DBD" w:rsidP="00EC3DBD">
      <w:pPr>
        <w:pStyle w:val="NoSpacing"/>
        <w:rPr>
          <w:bCs/>
        </w:rPr>
      </w:pPr>
      <w:r w:rsidRPr="00DD65B2">
        <w:t>with the testing software, which upset the formatting of their answers. According to Roper, this</w:t>
      </w:r>
    </w:p>
    <w:p w14:paraId="000A2E92" w14:textId="77777777" w:rsidR="00EC3DBD" w:rsidRPr="00DD65B2" w:rsidRDefault="00EC3DBD" w:rsidP="00EC3DBD">
      <w:pPr>
        <w:pStyle w:val="NoSpacing"/>
        <w:rPr>
          <w:bCs/>
        </w:rPr>
      </w:pPr>
      <w:r w:rsidRPr="00DD65B2">
        <w:t>problem cost him time during the test and was “very damaging” to his performance.</w:t>
      </w:r>
    </w:p>
    <w:p w14:paraId="21A9413A" w14:textId="77777777" w:rsidR="00EC3DBD" w:rsidRPr="00DD65B2" w:rsidRDefault="00EC3DBD" w:rsidP="00EC3DBD">
      <w:pPr>
        <w:pStyle w:val="NoSpacing"/>
        <w:rPr>
          <w:bCs/>
        </w:rPr>
      </w:pPr>
      <w:r w:rsidRPr="00DD65B2">
        <w:t>Roper reported the problem to one of the Department’s human-resources employees, who</w:t>
      </w:r>
    </w:p>
    <w:p w14:paraId="75380BA9" w14:textId="77777777" w:rsidR="00EC3DBD" w:rsidRDefault="00EC3DBD" w:rsidP="00EC3DBD">
      <w:pPr>
        <w:pStyle w:val="NoSpacing"/>
        <w:rPr>
          <w:bCs/>
        </w:rPr>
      </w:pPr>
      <w:r w:rsidRPr="00DD65B2">
        <w:t xml:space="preserve">relayed Roper’s complaint to the company that had created the test. </w:t>
      </w:r>
    </w:p>
    <w:p w14:paraId="022445B7" w14:textId="77777777" w:rsidR="00EC3DBD" w:rsidRDefault="00EC3DBD" w:rsidP="00EC3DBD">
      <w:pPr>
        <w:pStyle w:val="NoSpacing"/>
        <w:rPr>
          <w:bCs/>
        </w:rPr>
      </w:pPr>
    </w:p>
    <w:p w14:paraId="44931F93" w14:textId="77777777" w:rsidR="00EC3DBD" w:rsidRDefault="00EC3DBD" w:rsidP="00EC3DBD">
      <w:pPr>
        <w:pStyle w:val="NoSpacing"/>
        <w:rPr>
          <w:bCs/>
        </w:rPr>
      </w:pPr>
      <w:r w:rsidRPr="00DD65B2">
        <w:t>The company investigated</w:t>
      </w:r>
      <w:r>
        <w:t xml:space="preserve"> </w:t>
      </w:r>
      <w:r w:rsidRPr="00DD65B2">
        <w:t>and said the problem had been the result of user error. The company scored the test, however,</w:t>
      </w:r>
      <w:r>
        <w:t xml:space="preserve"> </w:t>
      </w:r>
      <w:r w:rsidRPr="00DD65B2">
        <w:t>without regard to any formatting errors. The Department then promoted candidates (or not) based</w:t>
      </w:r>
      <w:r>
        <w:t xml:space="preserve"> </w:t>
      </w:r>
      <w:r w:rsidRPr="00854040">
        <w:t>solely on their test scores. Roper’s score placed him 16th among the candidates eligible for 11</w:t>
      </w:r>
      <w:r>
        <w:t xml:space="preserve"> </w:t>
      </w:r>
      <w:r w:rsidRPr="00854040">
        <w:t xml:space="preserve">vacant positions, so the Department did not promote him to district </w:t>
      </w:r>
      <w:proofErr w:type="gramStart"/>
      <w:r w:rsidRPr="00854040">
        <w:t>chief.</w:t>
      </w:r>
      <w:r>
        <w:t>”</w:t>
      </w:r>
      <w:proofErr w:type="gramEnd"/>
    </w:p>
    <w:p w14:paraId="5B2F16AE" w14:textId="77777777" w:rsidR="00EC3DBD" w:rsidRDefault="00EC3DBD" w:rsidP="00EC3DBD">
      <w:pPr>
        <w:pStyle w:val="NoSpacing"/>
        <w:rPr>
          <w:bCs/>
        </w:rPr>
      </w:pPr>
    </w:p>
    <w:p w14:paraId="3885FE9B" w14:textId="77777777" w:rsidR="00EC3DBD" w:rsidRDefault="00EC3DBD" w:rsidP="00EC3DBD">
      <w:pPr>
        <w:pStyle w:val="NoSpacing"/>
        <w:rPr>
          <w:b/>
        </w:rPr>
      </w:pPr>
      <w:r w:rsidRPr="00854040">
        <w:rPr>
          <w:b/>
        </w:rPr>
        <w:t>COURT HELD:</w:t>
      </w:r>
    </w:p>
    <w:p w14:paraId="078561A5" w14:textId="77777777" w:rsidR="00EC3DBD" w:rsidRDefault="00EC3DBD" w:rsidP="00EC3DBD">
      <w:pPr>
        <w:pStyle w:val="NoSpacing"/>
        <w:rPr>
          <w:b/>
        </w:rPr>
      </w:pPr>
    </w:p>
    <w:p w14:paraId="22FFA88C" w14:textId="77777777" w:rsidR="00EC3DBD" w:rsidRPr="007C2488" w:rsidRDefault="00EC3DBD" w:rsidP="00EC3DBD">
      <w:pPr>
        <w:pStyle w:val="NoSpacing"/>
      </w:pPr>
      <w:r>
        <w:t>“</w:t>
      </w:r>
      <w:r w:rsidRPr="007C2488">
        <w:t>Roper responds that his claim (in part) is that the test itself was defective, and so its results</w:t>
      </w:r>
    </w:p>
    <w:p w14:paraId="44F1BFC7" w14:textId="77777777" w:rsidR="00EC3DBD" w:rsidRPr="007C2488" w:rsidRDefault="00EC3DBD" w:rsidP="00EC3DBD">
      <w:pPr>
        <w:pStyle w:val="NoSpacing"/>
      </w:pPr>
      <w:r w:rsidRPr="007C2488">
        <w:t>should not render him dissimilar to the promoted candidates. But Title VII provides a remedy for</w:t>
      </w:r>
    </w:p>
    <w:p w14:paraId="0957029F" w14:textId="77777777" w:rsidR="00EC3DBD" w:rsidRPr="007C2488" w:rsidRDefault="00EC3DBD" w:rsidP="00EC3DBD">
      <w:pPr>
        <w:pStyle w:val="NoSpacing"/>
      </w:pPr>
      <w:r w:rsidRPr="007C2488">
        <w:t>racial discrimination, not for defective tests. Here, the test results were undisputedly the sole</w:t>
      </w:r>
    </w:p>
    <w:p w14:paraId="6A0C529E" w14:textId="77777777" w:rsidR="00EC3DBD" w:rsidRPr="007C2488" w:rsidRDefault="00EC3DBD" w:rsidP="00EC3DBD">
      <w:pPr>
        <w:pStyle w:val="NoSpacing"/>
      </w:pPr>
      <w:r w:rsidRPr="007C2488">
        <w:t>criterion on which candidates were promoted; and the Department’s application of that criterion</w:t>
      </w:r>
    </w:p>
    <w:p w14:paraId="75CA74D3" w14:textId="77777777" w:rsidR="00EC3DBD" w:rsidRDefault="00EC3DBD" w:rsidP="00EC3DBD">
      <w:pPr>
        <w:pStyle w:val="NoSpacing"/>
      </w:pPr>
      <w:r w:rsidRPr="007C2488">
        <w:t>was undisputedly race neutral. To make out a prima facie case of discrimination, therefore, Rope</w:t>
      </w:r>
      <w:r>
        <w:t>r</w:t>
      </w:r>
      <w:r w:rsidRPr="001079BC">
        <w:t xml:space="preserve"> </w:t>
      </w:r>
      <w:r>
        <w:t>must present evidence that the formatting problem (which he says impaired his test performance)</w:t>
      </w:r>
    </w:p>
    <w:p w14:paraId="72F0C566" w14:textId="77777777" w:rsidR="00EC3DBD" w:rsidRDefault="00EC3DBD" w:rsidP="00EC3DBD">
      <w:pPr>
        <w:pStyle w:val="NoSpacing"/>
      </w:pPr>
      <w:r>
        <w:t>was itself the result of racial discrimination. And Roper has developed no argument to that effect</w:t>
      </w:r>
    </w:p>
    <w:p w14:paraId="19D1D8E9" w14:textId="77777777" w:rsidR="00EC3DBD" w:rsidRDefault="00EC3DBD" w:rsidP="00EC3DBD">
      <w:pPr>
        <w:pStyle w:val="NoSpacing"/>
      </w:pPr>
      <w:r>
        <w:t>in the district court or this court. The district court was therefore correct to grant summary</w:t>
      </w:r>
    </w:p>
    <w:p w14:paraId="227B2A0E" w14:textId="77777777" w:rsidR="00EC3DBD" w:rsidRPr="007C2488" w:rsidRDefault="00EC3DBD" w:rsidP="00EC3DBD">
      <w:pPr>
        <w:pStyle w:val="NoSpacing"/>
      </w:pPr>
      <w:r>
        <w:t>judgment to the Department.”</w:t>
      </w:r>
    </w:p>
    <w:p w14:paraId="6A091288" w14:textId="77777777" w:rsidR="00EC3DBD" w:rsidRDefault="00EC3DBD" w:rsidP="00EC3DBD">
      <w:pPr>
        <w:rPr>
          <w:b/>
        </w:rPr>
      </w:pPr>
    </w:p>
    <w:p w14:paraId="7918D520" w14:textId="77777777" w:rsidR="00EC3DBD" w:rsidRDefault="00EC3DBD" w:rsidP="00EC3DBD">
      <w:pPr>
        <w:rPr>
          <w:b/>
        </w:rPr>
      </w:pPr>
      <w:r>
        <w:rPr>
          <w:b/>
        </w:rPr>
        <w:t xml:space="preserve">Legal lesson learned: Computer software issues can be very frustrating – particularly in a promotion exam – but no evidence of racial discrimination. </w:t>
      </w:r>
    </w:p>
    <w:p w14:paraId="48B53824" w14:textId="77777777" w:rsidR="00EC3DBD" w:rsidRDefault="00EC3DBD" w:rsidP="00EC3DBD">
      <w:pPr>
        <w:pStyle w:val="NoSpacing"/>
        <w:rPr>
          <w:b/>
        </w:rPr>
      </w:pPr>
    </w:p>
    <w:p w14:paraId="6B379F4F" w14:textId="77777777" w:rsidR="00EC3DBD" w:rsidRDefault="00EC3DBD" w:rsidP="00EC3DBD">
      <w:pPr>
        <w:pStyle w:val="NoSpacing"/>
        <w:rPr>
          <w:sz w:val="20"/>
          <w:szCs w:val="20"/>
        </w:rPr>
      </w:pPr>
    </w:p>
    <w:p w14:paraId="4FE7788F" w14:textId="77777777" w:rsidR="00EC3DBD" w:rsidRDefault="00EC3DBD" w:rsidP="00EC3DBD">
      <w:pPr>
        <w:pStyle w:val="NoSpacing"/>
        <w:rPr>
          <w:rFonts w:ascii="Arial Black" w:hAnsi="Arial Black"/>
          <w:sz w:val="28"/>
          <w:szCs w:val="28"/>
        </w:rPr>
      </w:pPr>
      <w:r w:rsidRPr="00F922D6">
        <w:rPr>
          <w:sz w:val="20"/>
          <w:szCs w:val="20"/>
        </w:rPr>
        <w:t>Chap. 8 – Race / National Origin Discrimination</w:t>
      </w:r>
    </w:p>
    <w:p w14:paraId="7E08DE49" w14:textId="77777777" w:rsidR="00EC3DBD" w:rsidRDefault="00EC3DBD" w:rsidP="00EC3DBD">
      <w:pPr>
        <w:pStyle w:val="NoSpacing"/>
        <w:rPr>
          <w:rFonts w:ascii="Arial Black" w:hAnsi="Arial Black"/>
          <w:sz w:val="28"/>
          <w:szCs w:val="28"/>
        </w:rPr>
      </w:pPr>
    </w:p>
    <w:p w14:paraId="35449CA4" w14:textId="77777777" w:rsidR="00EC3DBD" w:rsidRPr="00ED155B" w:rsidRDefault="00EC3DBD" w:rsidP="00EC3DBD">
      <w:pPr>
        <w:pStyle w:val="NoSpacing"/>
        <w:rPr>
          <w:rFonts w:ascii="Arial Black" w:hAnsi="Arial Black"/>
          <w:sz w:val="28"/>
          <w:szCs w:val="28"/>
        </w:rPr>
      </w:pPr>
      <w:r>
        <w:rPr>
          <w:rFonts w:ascii="Arial Black" w:hAnsi="Arial Black"/>
          <w:sz w:val="28"/>
          <w:szCs w:val="28"/>
        </w:rPr>
        <w:t>ID: HISPANIC / CATHOLIC - ASSESSMENT CTR WAS FAIR</w:t>
      </w:r>
    </w:p>
    <w:p w14:paraId="243A1ED0" w14:textId="77777777" w:rsidR="00EC3DBD" w:rsidRDefault="00EC3DBD" w:rsidP="00EC3DBD">
      <w:pPr>
        <w:pStyle w:val="NoSpacing"/>
      </w:pPr>
    </w:p>
    <w:p w14:paraId="64BCE63B" w14:textId="77777777" w:rsidR="00EC3DBD" w:rsidRDefault="00EC3DBD" w:rsidP="00EC3DBD">
      <w:r>
        <w:t xml:space="preserve">On June 3, 2026, in </w:t>
      </w:r>
      <w:r w:rsidRPr="00B37A0F">
        <w:rPr>
          <w:u w:val="single"/>
        </w:rPr>
        <w:t>Henry Munoz v. City of Burley</w:t>
      </w:r>
      <w:r>
        <w:t xml:space="preserve">, U.S. District Court Judge </w:t>
      </w:r>
      <w:r w:rsidRPr="00E66C66">
        <w:t>Amanda K. Brailsford,</w:t>
      </w:r>
      <w:r>
        <w:t xml:space="preserve"> </w:t>
      </w:r>
      <w:r w:rsidRPr="00F5578E">
        <w:t>United States District Court for District of Idaho</w:t>
      </w:r>
      <w:r>
        <w:t xml:space="preserve">, granted the city’s motion for summary judgment; lack of proof of discrimination against Hispanics or Catholics (many officers are members of </w:t>
      </w:r>
      <w:r w:rsidRPr="006C0980">
        <w:t>Church of Jesus Christ of Latter-day Saints</w:t>
      </w:r>
      <w:r>
        <w:t xml:space="preserve">).  The </w:t>
      </w:r>
      <w:proofErr w:type="gramStart"/>
      <w:r>
        <w:t>City</w:t>
      </w:r>
      <w:proofErr w:type="gramEnd"/>
      <w:r>
        <w:t xml:space="preserve"> held an assessment center, including outside graders, and promoted the lieutenant with highest score (</w:t>
      </w:r>
      <w:r w:rsidRPr="008E3238">
        <w:t>957 out of 1,200</w:t>
      </w:r>
      <w:r>
        <w:t>; compared to plaintiff’s 760). The Court wrote: “</w:t>
      </w:r>
      <w:r w:rsidRPr="00527BF6">
        <w:t>Defendant has articulated a legitimate, nondiscriminatory reason for promoting Boden instead of Plaintiff: they selected Boden because he received the highest total score in the assessment center</w:t>
      </w:r>
      <w:r>
        <w:t xml:space="preserve">.” </w:t>
      </w:r>
      <w:hyperlink r:id="rId1467" w:history="1">
        <w:r w:rsidRPr="003E6F82">
          <w:rPr>
            <w:rStyle w:val="Hyperlink"/>
          </w:rPr>
          <w:t>https://www.govinfo.gov/content/pkg/USCOURTS-idd-4_24-cv-00303/pdf/USCOURTS-idd-4_24-cv-00303-0.pdf</w:t>
        </w:r>
      </w:hyperlink>
      <w:r>
        <w:t xml:space="preserve"> </w:t>
      </w:r>
    </w:p>
    <w:p w14:paraId="3DD94904" w14:textId="77777777" w:rsidR="00EC3DBD" w:rsidRDefault="00EC3DBD" w:rsidP="00EC3DBD">
      <w:pPr>
        <w:rPr>
          <w:b/>
        </w:rPr>
      </w:pPr>
      <w:r>
        <w:rPr>
          <w:b/>
        </w:rPr>
        <w:t>FACTS:</w:t>
      </w:r>
    </w:p>
    <w:p w14:paraId="53D2E14A" w14:textId="77777777" w:rsidR="00EC3DBD" w:rsidRDefault="00EC3DBD" w:rsidP="00EC3DBD">
      <w:pPr>
        <w:pStyle w:val="NoSpacing"/>
      </w:pPr>
      <w:r>
        <w:t>“</w:t>
      </w:r>
      <w:r w:rsidRPr="009C1094">
        <w:t> Plaintiff is Hispanic and Catholic</w:t>
      </w:r>
      <w:r>
        <w:t xml:space="preserve"> …. </w:t>
      </w:r>
      <w:r w:rsidRPr="009C1094">
        <w:t>He began working for the BFD as a volunteer firefighter in March 2001, became a full-time firefighter in November 2003, and was promoted to Lieutenant in 2013</w:t>
      </w:r>
      <w:r>
        <w:t xml:space="preserve"> …. </w:t>
      </w:r>
      <w:r w:rsidRPr="009C1094">
        <w:t xml:space="preserve">Plaintiff remained a Lieutenant when he applied for the </w:t>
      </w:r>
      <w:proofErr w:type="gramStart"/>
      <w:r w:rsidRPr="009C1094">
        <w:t>Captain</w:t>
      </w:r>
      <w:proofErr w:type="gramEnd"/>
      <w:r w:rsidRPr="009C1094">
        <w:t xml:space="preserve"> position at issue in this case</w:t>
      </w:r>
      <w:r>
        <w:t xml:space="preserve"> ….</w:t>
      </w:r>
      <w:r w:rsidRPr="009C1094">
        <w:t>Plaintiff declares that he has served BFD for more than twenty-four years and has never been disciplined for misconduct</w:t>
      </w:r>
      <w:r>
        <w:t xml:space="preserve">. </w:t>
      </w:r>
    </w:p>
    <w:p w14:paraId="5C19AE9F" w14:textId="77777777" w:rsidR="00EC3DBD" w:rsidRDefault="00EC3DBD" w:rsidP="00EC3DBD">
      <w:pPr>
        <w:pStyle w:val="NoSpacing"/>
      </w:pPr>
    </w:p>
    <w:p w14:paraId="604CE253" w14:textId="77777777" w:rsidR="00EC3DBD" w:rsidRDefault="00EC3DBD" w:rsidP="00EC3DBD">
      <w:pPr>
        <w:pStyle w:val="NoSpacing"/>
      </w:pPr>
      <w:r>
        <w:t>***</w:t>
      </w:r>
    </w:p>
    <w:p w14:paraId="00937ED2" w14:textId="77777777" w:rsidR="00EC3DBD" w:rsidRDefault="00EC3DBD" w:rsidP="00EC3DBD">
      <w:pPr>
        <w:pStyle w:val="NoSpacing"/>
      </w:pPr>
    </w:p>
    <w:p w14:paraId="3574EAA6" w14:textId="77777777" w:rsidR="00EC3DBD" w:rsidRDefault="00EC3DBD" w:rsidP="00EC3DBD">
      <w:pPr>
        <w:pStyle w:val="NoSpacing"/>
      </w:pPr>
      <w:r w:rsidRPr="00925E40">
        <w:t xml:space="preserve">BFD used an </w:t>
      </w:r>
      <w:r>
        <w:t>‘</w:t>
      </w:r>
      <w:r w:rsidRPr="00925E40">
        <w:t>assessment center</w:t>
      </w:r>
      <w:r>
        <w:t>’</w:t>
      </w:r>
      <w:r w:rsidRPr="00925E40">
        <w:t xml:space="preserve"> to evaluate the three candidates. The assessment center used five evaluators: Chief Shannon Tolman; Deputy Chief Harman; Human Resources (HR) Director, Carol Anderson; Cassia Regional Hospital ambulance department manager, Keisha Hendrickson; and College of Southern Idaho Lead Fire Science Instructor, Brad Buehler </w:t>
      </w:r>
      <w:r>
        <w:t>….</w:t>
      </w:r>
      <w:r w:rsidRPr="00925E40">
        <w:t xml:space="preserve"> Deputy Chief Harman selected the internal evaluators and Buehler and Hendrickson as outside evaluators</w:t>
      </w:r>
      <w:r>
        <w:t xml:space="preserve"> ….</w:t>
      </w:r>
      <w:r w:rsidRPr="00925E40">
        <w:t>Of those evaluators, Plaintiffs identifies only Chief Tolman as having LDS involvement</w:t>
      </w:r>
      <w:r>
        <w:t>. [</w:t>
      </w:r>
      <w:r w:rsidRPr="006C0980">
        <w:t>LDS</w:t>
      </w:r>
      <w:r>
        <w:t xml:space="preserve"> - </w:t>
      </w:r>
      <w:r w:rsidRPr="006C0980">
        <w:t>shorthand reference for the Church of Jesus Christ of Latter-day Saints</w:t>
      </w:r>
      <w:r>
        <w:t>]</w:t>
      </w:r>
      <w:r w:rsidRPr="006C0980">
        <w:t>.</w:t>
      </w:r>
    </w:p>
    <w:p w14:paraId="615AAA29" w14:textId="77777777" w:rsidR="00EC3DBD" w:rsidRDefault="00EC3DBD" w:rsidP="00EC3DBD">
      <w:pPr>
        <w:pStyle w:val="NoSpacing"/>
      </w:pPr>
    </w:p>
    <w:p w14:paraId="6E3ED39D" w14:textId="77777777" w:rsidR="00EC3DBD" w:rsidRDefault="00EC3DBD" w:rsidP="00EC3DBD">
      <w:pPr>
        <w:pStyle w:val="NoSpacing"/>
      </w:pPr>
      <w:r w:rsidRPr="004E7397">
        <w:t>The assessment center has three components: an incident-scenario exercise, an oral</w:t>
      </w:r>
      <w:r>
        <w:t xml:space="preserve"> </w:t>
      </w:r>
      <w:r w:rsidRPr="004E7397">
        <w:t>presentation exercise, and an oral interview</w:t>
      </w:r>
      <w:r>
        <w:t xml:space="preserve"> …. </w:t>
      </w:r>
      <w:r w:rsidRPr="004E7397">
        <w:t>Each component's individual score sheets included job-related scoring dimensions such as scene size-up, leadership/organization, communication, problem analysis and decision-making, time management, strategy and tactics, command presence/ICS, safety, presentation-related criteria, accountability, and interview performance</w:t>
      </w:r>
      <w:r>
        <w:t xml:space="preserve"> ….</w:t>
      </w:r>
      <w:r w:rsidRPr="004E7397">
        <w:t xml:space="preserve">The score sheets used an </w:t>
      </w:r>
      <w:r>
        <w:t xml:space="preserve"> </w:t>
      </w:r>
      <w:r w:rsidRPr="004E7397">
        <w:t xml:space="preserve">unevenly-banded numerical scale: 1 through 4 meant </w:t>
      </w:r>
      <w:r>
        <w:t>‘</w:t>
      </w:r>
      <w:r w:rsidRPr="004E7397">
        <w:t>Not Qualified,</w:t>
      </w:r>
      <w:r>
        <w:t>’</w:t>
      </w:r>
      <w:r w:rsidRPr="004E7397">
        <w:t xml:space="preserve"> 5 meant </w:t>
      </w:r>
      <w:r>
        <w:t>‘</w:t>
      </w:r>
      <w:r w:rsidRPr="004E7397">
        <w:t>Minimally Qualified,</w:t>
      </w:r>
      <w:r>
        <w:t>’</w:t>
      </w:r>
      <w:r w:rsidRPr="004E7397">
        <w:t xml:space="preserve"> 6 meant </w:t>
      </w:r>
      <w:r>
        <w:t>‘</w:t>
      </w:r>
      <w:r w:rsidRPr="004E7397">
        <w:t>Qualified,</w:t>
      </w:r>
      <w:r>
        <w:t>’</w:t>
      </w:r>
      <w:r w:rsidRPr="004E7397">
        <w:t xml:space="preserve"> and 7 through 10 meant </w:t>
      </w:r>
      <w:r>
        <w:t>‘</w:t>
      </w:r>
      <w:r w:rsidRPr="004E7397">
        <w:t>Especially Qualified</w:t>
      </w:r>
      <w:r>
        <w:t xml:space="preserve">’ …. </w:t>
      </w:r>
      <w:r w:rsidRPr="004E7397">
        <w:t xml:space="preserve"> Hypothetically applied, a </w:t>
      </w:r>
      <w:r>
        <w:t>‘</w:t>
      </w:r>
      <w:r w:rsidRPr="004E7397">
        <w:t>4</w:t>
      </w:r>
      <w:r>
        <w:t>’</w:t>
      </w:r>
      <w:r w:rsidRPr="004E7397">
        <w:t xml:space="preserve"> means the evaluator found the applicant not qualified in that dimension of that component, whereas a </w:t>
      </w:r>
      <w:r>
        <w:t>‘</w:t>
      </w:r>
      <w:r w:rsidRPr="004E7397">
        <w:t>7</w:t>
      </w:r>
      <w:r>
        <w:t>’</w:t>
      </w:r>
      <w:r w:rsidRPr="004E7397">
        <w:t xml:space="preserve"> means the applicant was especially qualified. The scoring draws no distinction between a 1 and a 4 (both </w:t>
      </w:r>
      <w:r>
        <w:t>‘</w:t>
      </w:r>
      <w:r w:rsidRPr="004E7397">
        <w:t>not qualified</w:t>
      </w:r>
      <w:r>
        <w:t>’</w:t>
      </w:r>
      <w:r w:rsidRPr="004E7397">
        <w:t xml:space="preserve">) or a 7 and a 10 (both </w:t>
      </w:r>
      <w:r>
        <w:t>‘</w:t>
      </w:r>
      <w:r w:rsidRPr="004E7397">
        <w:t>especially qualified</w:t>
      </w:r>
      <w:r>
        <w:t>’</w:t>
      </w:r>
      <w:r w:rsidRPr="004E7397">
        <w:t xml:space="preserve">). </w:t>
      </w:r>
    </w:p>
    <w:p w14:paraId="7B491D60" w14:textId="77777777" w:rsidR="00EC3DBD" w:rsidRDefault="00EC3DBD" w:rsidP="00EC3DBD">
      <w:pPr>
        <w:pStyle w:val="NoSpacing"/>
      </w:pPr>
    </w:p>
    <w:p w14:paraId="3EF8E915" w14:textId="77777777" w:rsidR="00EC3DBD" w:rsidRDefault="00EC3DBD" w:rsidP="00EC3DBD">
      <w:pPr>
        <w:pStyle w:val="NoSpacing"/>
      </w:pPr>
      <w:r>
        <w:t>***</w:t>
      </w:r>
    </w:p>
    <w:p w14:paraId="6E12922F" w14:textId="77777777" w:rsidR="00EC3DBD" w:rsidRDefault="00EC3DBD" w:rsidP="00EC3DBD">
      <w:pPr>
        <w:pStyle w:val="NoSpacing"/>
      </w:pPr>
      <w:r w:rsidRPr="008E3238">
        <w:t> After the assessment, Chief Tolman and Deputy Chief Harman totaled the evaluators' scores. The completed score sheets reflect that Plaintiff received a total score of 760 out of 1,200, while Boden received the highest total score, 957 out of 1,200</w:t>
      </w:r>
      <w:r>
        <w:t xml:space="preserve">…. </w:t>
      </w:r>
      <w:r w:rsidRPr="008E3238">
        <w:t xml:space="preserve"> According to Defendant, the promotion was offered to the candidate who received the highest score, and Deputy Chief Harman testified that </w:t>
      </w:r>
      <w:r>
        <w:t>‘</w:t>
      </w:r>
      <w:r w:rsidRPr="008E3238">
        <w:t>the past processes since ‘21 have all gone based off of the score</w:t>
      </w:r>
      <w:r>
        <w:t xml:space="preserve">’ …. </w:t>
      </w:r>
    </w:p>
    <w:p w14:paraId="597F00D2" w14:textId="77777777" w:rsidR="00EC3DBD" w:rsidRDefault="00EC3DBD" w:rsidP="00EC3DBD">
      <w:pPr>
        <w:pStyle w:val="NoSpacing"/>
      </w:pPr>
    </w:p>
    <w:p w14:paraId="784F59EB" w14:textId="77777777" w:rsidR="00EC3DBD" w:rsidRDefault="00EC3DBD" w:rsidP="00EC3DBD">
      <w:pPr>
        <w:pStyle w:val="NoSpacing"/>
        <w:rPr>
          <w:b/>
          <w:bCs/>
        </w:rPr>
      </w:pPr>
      <w:r w:rsidRPr="005C0BF8">
        <w:rPr>
          <w:b/>
        </w:rPr>
        <w:t xml:space="preserve">COURT HELD: </w:t>
      </w:r>
    </w:p>
    <w:p w14:paraId="17398037" w14:textId="77777777" w:rsidR="00EC3DBD" w:rsidRDefault="00EC3DBD" w:rsidP="00EC3DBD">
      <w:pPr>
        <w:pStyle w:val="NoSpacing"/>
        <w:rPr>
          <w:b/>
          <w:bCs/>
        </w:rPr>
      </w:pPr>
    </w:p>
    <w:p w14:paraId="13F86A91" w14:textId="77777777" w:rsidR="00EC3DBD" w:rsidRDefault="00EC3DBD" w:rsidP="00EC3DBD">
      <w:pPr>
        <w:pStyle w:val="NoSpacing"/>
      </w:pPr>
      <w:r>
        <w:t>“</w:t>
      </w:r>
      <w:r w:rsidRPr="004177CA">
        <w:t>Plaintiff testified that religion did not come up during the interview or testing process; no panelist raised religion during the process; Chief Tolman and Deputy Chief Harman never talked with him about his religion; he never raised religion with them; and he did not know whether Chief Tolman or Deputy Chief Harman knew his religion</w:t>
      </w:r>
      <w:r>
        <w:t xml:space="preserve"> …. </w:t>
      </w:r>
      <w:r w:rsidRPr="004177CA">
        <w:t xml:space="preserve"> Buehler testified that he was not aware of any applicant's religious affiliation or whether one applicant was affiliated religiously differently from the others, and that the scores he gave Plaintiff were not motivated by Plaintiff's religion or national origin</w:t>
      </w:r>
      <w:r>
        <w:t xml:space="preserve"> ….</w:t>
      </w:r>
      <w:r w:rsidRPr="004177CA">
        <w:t xml:space="preserve"> Hendrickson likewise testified she was not aware of the religion of any applicant and that the scores she gave Plaintiff were not motivated by Plaintiff's religion or national origin</w:t>
      </w:r>
      <w:r>
        <w:t xml:space="preserve"> ….</w:t>
      </w:r>
    </w:p>
    <w:p w14:paraId="3C1CF313" w14:textId="77777777" w:rsidR="00EC3DBD" w:rsidRDefault="00EC3DBD" w:rsidP="00EC3DBD">
      <w:pPr>
        <w:pStyle w:val="NoSpacing"/>
      </w:pPr>
    </w:p>
    <w:p w14:paraId="3DA5F4CC" w14:textId="77777777" w:rsidR="00EC3DBD" w:rsidRDefault="00EC3DBD" w:rsidP="00EC3DBD">
      <w:pPr>
        <w:pStyle w:val="NoSpacing"/>
      </w:pPr>
      <w:r>
        <w:t>***</w:t>
      </w:r>
    </w:p>
    <w:p w14:paraId="22AD083C" w14:textId="77777777" w:rsidR="00EC3DBD" w:rsidRPr="004177CA" w:rsidRDefault="00EC3DBD" w:rsidP="00EC3DBD">
      <w:pPr>
        <w:pStyle w:val="NoSpacing"/>
      </w:pPr>
    </w:p>
    <w:p w14:paraId="63219C45" w14:textId="77777777" w:rsidR="00EC3DBD" w:rsidRDefault="00EC3DBD" w:rsidP="00EC3DBD">
      <w:pPr>
        <w:pStyle w:val="NoSpacing"/>
      </w:pPr>
      <w:r w:rsidRPr="005D6029">
        <w:t>For these reasons, the scoring evidence does not create a triable issue of discriminatory pretext. Even if a reasonable jury could find that subjective judgment, evaluator harshness, or favoritism influenced the process, Plaintiff has not identified evidence permitting a reasonable jury to find that race, religion, Catholic status, or non-LDS status was one of the motivating factors. On this record, Plaintiff has not identified sufficient admissible evidence from which a reasonable jury could infer Defendant's stated explanation is false or motivated by a discriminatory purpose.</w:t>
      </w:r>
    </w:p>
    <w:p w14:paraId="1B74DEEE" w14:textId="77777777" w:rsidR="00EC3DBD" w:rsidRDefault="00EC3DBD" w:rsidP="00EC3DBD">
      <w:pPr>
        <w:pStyle w:val="NoSpacing"/>
      </w:pPr>
    </w:p>
    <w:p w14:paraId="6D991E75" w14:textId="77777777" w:rsidR="00EC3DBD" w:rsidRDefault="00EC3DBD" w:rsidP="00EC3DBD">
      <w:pPr>
        <w:pStyle w:val="NoSpacing"/>
      </w:pPr>
      <w:r>
        <w:t>***</w:t>
      </w:r>
    </w:p>
    <w:p w14:paraId="26327214" w14:textId="77777777" w:rsidR="00EC3DBD" w:rsidRDefault="00EC3DBD" w:rsidP="00EC3DBD">
      <w:pPr>
        <w:pStyle w:val="NoSpacing"/>
      </w:pPr>
      <w:r w:rsidRPr="00391FBA">
        <w:t>Considered cumulatively, Plaintiff's evidence shows a discretionary process, a small leadership pool with limited Hispanic and non-LDS representation, sharp evaluator disparities, and Plaintiff's perception that Hispanic firefighters received less recognition. That evidence is sufficient to require careful review, but it remains insufficient to permit a reasonable jury to find that Defendant's score-based explanation was false or that the June 2022 decision was motivated by race or religion.</w:t>
      </w:r>
    </w:p>
    <w:p w14:paraId="784F419A" w14:textId="77777777" w:rsidR="00EC3DBD" w:rsidRDefault="00EC3DBD" w:rsidP="00EC3DBD">
      <w:pPr>
        <w:pStyle w:val="NoSpacing"/>
      </w:pPr>
    </w:p>
    <w:p w14:paraId="1394B712" w14:textId="77777777" w:rsidR="00EC3DBD" w:rsidRPr="00AF0956" w:rsidRDefault="00EC3DBD" w:rsidP="00EC3DBD">
      <w:pPr>
        <w:pStyle w:val="NoSpacing"/>
        <w:rPr>
          <w:b/>
          <w:bCs/>
        </w:rPr>
      </w:pPr>
      <w:r>
        <w:rPr>
          <w:b/>
        </w:rPr>
        <w:t xml:space="preserve">Legal lesson learned: Assessment Centers are an excellent tool in the promotion process. </w:t>
      </w:r>
    </w:p>
    <w:p w14:paraId="4B3FE669" w14:textId="77777777" w:rsidR="00EC3DBD" w:rsidRDefault="00EC3DBD" w:rsidP="00EC3DBD">
      <w:pPr>
        <w:pStyle w:val="NoSpacing"/>
      </w:pPr>
    </w:p>
    <w:p w14:paraId="6D771ED0" w14:textId="77777777" w:rsidR="00EC3DBD" w:rsidRDefault="00EC3DBD" w:rsidP="00EC3DBD">
      <w:pPr>
        <w:pStyle w:val="NoSpacing"/>
        <w:rPr>
          <w:sz w:val="20"/>
          <w:szCs w:val="20"/>
        </w:rPr>
      </w:pPr>
    </w:p>
    <w:p w14:paraId="0DE5F525" w14:textId="77777777" w:rsidR="00EC3DBD" w:rsidRDefault="00EC3DBD" w:rsidP="00EC3DBD">
      <w:pPr>
        <w:pStyle w:val="NoSpacing"/>
        <w:rPr>
          <w:sz w:val="20"/>
          <w:szCs w:val="20"/>
        </w:rPr>
      </w:pPr>
    </w:p>
    <w:p w14:paraId="49FA4F5A" w14:textId="77777777" w:rsidR="00EC3DBD" w:rsidRDefault="00EC3DBD" w:rsidP="00EC3DBD">
      <w:pPr>
        <w:rPr>
          <w:b/>
          <w:bCs/>
        </w:rPr>
      </w:pPr>
      <w:r w:rsidRPr="00F922D6">
        <w:rPr>
          <w:sz w:val="20"/>
          <w:szCs w:val="20"/>
        </w:rPr>
        <w:t>Chap. 8 – Race / National Origin Discrimination</w:t>
      </w:r>
    </w:p>
    <w:p w14:paraId="22C31167" w14:textId="77777777" w:rsidR="00EC3DBD" w:rsidRPr="00AB57EE" w:rsidRDefault="00EC3DBD" w:rsidP="00EC3DBD">
      <w:pPr>
        <w:rPr>
          <w:rFonts w:ascii="Arial Black" w:hAnsi="Arial Black"/>
          <w:b/>
          <w:bCs/>
          <w:sz w:val="28"/>
          <w:szCs w:val="28"/>
        </w:rPr>
      </w:pPr>
      <w:r>
        <w:rPr>
          <w:rFonts w:ascii="Arial Black" w:hAnsi="Arial Black"/>
          <w:b/>
          <w:sz w:val="28"/>
          <w:szCs w:val="28"/>
        </w:rPr>
        <w:t xml:space="preserve">IL: BLACK – FIRED – DROP STATE CASE / CAN PROCEED FED  </w:t>
      </w:r>
    </w:p>
    <w:p w14:paraId="307F70DD" w14:textId="77777777" w:rsidR="00EC3DBD" w:rsidRDefault="00EC3DBD" w:rsidP="00EC3DBD">
      <w:pPr>
        <w:rPr>
          <w:b/>
          <w:bCs/>
        </w:rPr>
      </w:pPr>
      <w:r>
        <w:t xml:space="preserve">On June 8, 2026, in </w:t>
      </w:r>
      <w:proofErr w:type="spellStart"/>
      <w:r w:rsidRPr="00D53D61">
        <w:rPr>
          <w:u w:val="single"/>
        </w:rPr>
        <w:t>Vairrun</w:t>
      </w:r>
      <w:proofErr w:type="spellEnd"/>
      <w:r w:rsidRPr="00D53D61">
        <w:rPr>
          <w:u w:val="single"/>
        </w:rPr>
        <w:t xml:space="preserve"> Strickland v</w:t>
      </w:r>
      <w:r>
        <w:rPr>
          <w:u w:val="single"/>
        </w:rPr>
        <w:t>.</w:t>
      </w:r>
      <w:r w:rsidRPr="00D53D61">
        <w:rPr>
          <w:u w:val="single"/>
        </w:rPr>
        <w:t xml:space="preserve"> City of Markham, et al</w:t>
      </w:r>
      <w:r>
        <w:t xml:space="preserve">., the United States Court of Appeals for the Seventh District (Chicago) held (3 to 0) that trial court improperly dismissed his federal Title VII case alleging retaliation - </w:t>
      </w:r>
      <w:r w:rsidRPr="00036255">
        <w:t>singling him out for minor disciplinary issues and denying</w:t>
      </w:r>
      <w:r>
        <w:t xml:space="preserve"> </w:t>
      </w:r>
      <w:r w:rsidRPr="00036255">
        <w:t>him a promotion</w:t>
      </w:r>
      <w:r>
        <w:t xml:space="preserve"> when he supported another FF’s EEOC case. Case to continue in federal court even though voluntarily dismissed his lawsuit in state court. The Court wrote: “</w:t>
      </w:r>
      <w:r w:rsidRPr="009B102D">
        <w:t>The district</w:t>
      </w:r>
      <w:r>
        <w:t xml:space="preserve"> </w:t>
      </w:r>
      <w:r w:rsidRPr="009B102D">
        <w:t>court thus erred in dismissing Strickland’s Title VII claims on</w:t>
      </w:r>
      <w:r>
        <w:t xml:space="preserve"> </w:t>
      </w:r>
      <w:r w:rsidRPr="009B102D">
        <w:t>claim preclusion grounds</w:t>
      </w:r>
      <w:r>
        <w:t xml:space="preserve">.” </w:t>
      </w:r>
      <w:hyperlink r:id="rId1468" w:history="1">
        <w:r w:rsidRPr="00014504">
          <w:rPr>
            <w:rStyle w:val="Hyperlink"/>
            <w:b/>
          </w:rPr>
          <w:t>https://cases.justia.com/federal/appellate-courts/ca7/24-3262/24-3262-2026-06-08.pdf?ts=1780948846</w:t>
        </w:r>
      </w:hyperlink>
      <w:r>
        <w:rPr>
          <w:b/>
        </w:rPr>
        <w:t xml:space="preserve"> </w:t>
      </w:r>
    </w:p>
    <w:p w14:paraId="24199CF6" w14:textId="77777777" w:rsidR="00EC3DBD" w:rsidRDefault="00EC3DBD" w:rsidP="00EC3DBD">
      <w:pPr>
        <w:pStyle w:val="NoSpacing"/>
        <w:rPr>
          <w:bCs/>
        </w:rPr>
      </w:pPr>
      <w:r w:rsidRPr="00AB37D4">
        <w:rPr>
          <w:b/>
        </w:rPr>
        <w:t>FACTS:</w:t>
      </w:r>
      <w:r>
        <w:t xml:space="preserve"> </w:t>
      </w:r>
    </w:p>
    <w:p w14:paraId="05A75892" w14:textId="77777777" w:rsidR="00EC3DBD" w:rsidRDefault="00EC3DBD" w:rsidP="00EC3DBD">
      <w:pPr>
        <w:pStyle w:val="NoSpacing"/>
        <w:rPr>
          <w:bCs/>
        </w:rPr>
      </w:pPr>
    </w:p>
    <w:p w14:paraId="7FFD8C49" w14:textId="77777777" w:rsidR="00EC3DBD" w:rsidRPr="00B74B2A" w:rsidRDefault="00EC3DBD" w:rsidP="00EC3DBD">
      <w:pPr>
        <w:pStyle w:val="NoSpacing"/>
        <w:rPr>
          <w:bCs/>
        </w:rPr>
      </w:pPr>
      <w:r>
        <w:t>“</w:t>
      </w:r>
      <w:r w:rsidRPr="00131A6D">
        <w:t>Strickland worked as a firefighter for the City of Markham</w:t>
      </w:r>
      <w:r>
        <w:t xml:space="preserve"> </w:t>
      </w:r>
      <w:r w:rsidRPr="00131A6D">
        <w:t>Fire Department for over a decade. In 2020, the Equal</w:t>
      </w:r>
      <w:r>
        <w:t xml:space="preserve"> </w:t>
      </w:r>
      <w:r w:rsidRPr="00036255">
        <w:t>Employment Opportunity Commission interviewed</w:t>
      </w:r>
      <w:r>
        <w:t xml:space="preserve"> </w:t>
      </w:r>
      <w:r w:rsidRPr="00036255">
        <w:t>Strickland during an investigation into discrimination claims</w:t>
      </w:r>
      <w:r>
        <w:t xml:space="preserve"> </w:t>
      </w:r>
      <w:r w:rsidRPr="00036255">
        <w:t>brought by a former firefighter. In the interview, Strickland</w:t>
      </w:r>
      <w:r>
        <w:t xml:space="preserve"> </w:t>
      </w:r>
      <w:r w:rsidRPr="00036255">
        <w:t>described race-based discrimination he had witnessed against</w:t>
      </w:r>
      <w:r>
        <w:t xml:space="preserve"> </w:t>
      </w:r>
      <w:r w:rsidRPr="00036255">
        <w:t>the former firefighter and how Chief Mazziotta had failed to</w:t>
      </w:r>
      <w:r>
        <w:t xml:space="preserve"> </w:t>
      </w:r>
      <w:r w:rsidRPr="00036255">
        <w:t>address it. Strickland alleged that after the interview, Chief</w:t>
      </w:r>
      <w:r>
        <w:t xml:space="preserve"> </w:t>
      </w:r>
      <w:r w:rsidRPr="00036255">
        <w:t>Mazziotta and the Department retaliated against him by</w:t>
      </w:r>
      <w:r>
        <w:t xml:space="preserve"> </w:t>
      </w:r>
      <w:proofErr w:type="gramStart"/>
      <w:r w:rsidRPr="00036255">
        <w:t>singling</w:t>
      </w:r>
      <w:proofErr w:type="gramEnd"/>
      <w:r w:rsidRPr="00036255">
        <w:t xml:space="preserve"> him out for minor disciplinary issues and denying</w:t>
      </w:r>
      <w:r>
        <w:t xml:space="preserve"> </w:t>
      </w:r>
      <w:r w:rsidRPr="00036255">
        <w:t>him a promotion.</w:t>
      </w:r>
      <w:r>
        <w:t xml:space="preserve"> </w:t>
      </w:r>
      <w:r w:rsidRPr="00036255">
        <w:t>In January 2021, the Department brought administrative</w:t>
      </w:r>
      <w:r>
        <w:t xml:space="preserve"> </w:t>
      </w:r>
      <w:r w:rsidRPr="00036255">
        <w:t>charges against Strickland. After hearings on the charges, the</w:t>
      </w:r>
      <w:r>
        <w:t xml:space="preserve"> </w:t>
      </w:r>
      <w:r w:rsidRPr="00036255">
        <w:t>Board of Fire and Police Commissioners terminated his</w:t>
      </w:r>
      <w:r>
        <w:t xml:space="preserve"> </w:t>
      </w:r>
      <w:r w:rsidRPr="00036255">
        <w:t>employment in April 2021, finding that Strickland had lied to</w:t>
      </w:r>
      <w:r>
        <w:t xml:space="preserve"> </w:t>
      </w:r>
      <w:r w:rsidRPr="00036255">
        <w:t>detectives during an arson investigation and had put</w:t>
      </w:r>
      <w:r>
        <w:t xml:space="preserve"> </w:t>
      </w:r>
      <w:r w:rsidRPr="00036255">
        <w:t>Department employees at risk by coming to work while</w:t>
      </w:r>
      <w:r>
        <w:t xml:space="preserve"> </w:t>
      </w:r>
      <w:r w:rsidRPr="00036255">
        <w:t>infected with COVID-19.</w:t>
      </w:r>
      <w:r>
        <w:t xml:space="preserve">  </w:t>
      </w:r>
      <w:r w:rsidRPr="00B74B2A">
        <w:t>The next month, Strickland filed a lawsuit in state court</w:t>
      </w:r>
    </w:p>
    <w:p w14:paraId="3CFBD603" w14:textId="77777777" w:rsidR="00EC3DBD" w:rsidRDefault="00EC3DBD" w:rsidP="00EC3DBD">
      <w:pPr>
        <w:pStyle w:val="NoSpacing"/>
        <w:rPr>
          <w:bCs/>
        </w:rPr>
      </w:pPr>
      <w:r w:rsidRPr="00B74B2A">
        <w:t xml:space="preserve">challenging the Board’s decision. The court </w:t>
      </w:r>
      <w:proofErr w:type="gramStart"/>
      <w:r w:rsidRPr="00B74B2A">
        <w:t>remanded</w:t>
      </w:r>
      <w:proofErr w:type="gramEnd"/>
      <w:r w:rsidRPr="00B74B2A">
        <w:t xml:space="preserve"> while</w:t>
      </w:r>
      <w:r>
        <w:t xml:space="preserve"> </w:t>
      </w:r>
      <w:r w:rsidRPr="00B74B2A">
        <w:t>retaining jurisdiction over the case and instructed the Board</w:t>
      </w:r>
      <w:r>
        <w:t xml:space="preserve"> </w:t>
      </w:r>
      <w:r w:rsidRPr="00B74B2A">
        <w:t>to enter an amended decision with additional information.</w:t>
      </w:r>
      <w:r>
        <w:t xml:space="preserve"> </w:t>
      </w:r>
      <w:r w:rsidRPr="00B74B2A">
        <w:t>The Board did so and again discharged Strickland. After the</w:t>
      </w:r>
      <w:r>
        <w:t xml:space="preserve"> </w:t>
      </w:r>
      <w:r w:rsidRPr="00B74B2A">
        <w:t>Board issued its amended decision in April 2022, Strickland</w:t>
      </w:r>
      <w:r>
        <w:t xml:space="preserve"> </w:t>
      </w:r>
      <w:r w:rsidRPr="00B74B2A">
        <w:t>voluntarily dismissed his state-court lawsuit. He did not</w:t>
      </w:r>
      <w:r>
        <w:t xml:space="preserve"> </w:t>
      </w:r>
      <w:r w:rsidRPr="00B74B2A">
        <w:t>otherwise seek direct review of the amended decision in state</w:t>
      </w:r>
      <w:r>
        <w:t xml:space="preserve"> </w:t>
      </w:r>
      <w:r w:rsidRPr="00B74B2A">
        <w:t>court.</w:t>
      </w:r>
      <w:r>
        <w:t>”</w:t>
      </w:r>
    </w:p>
    <w:p w14:paraId="244E16EB" w14:textId="77777777" w:rsidR="00EC3DBD" w:rsidRDefault="00EC3DBD" w:rsidP="00EC3DBD">
      <w:pPr>
        <w:pStyle w:val="NoSpacing"/>
        <w:rPr>
          <w:bCs/>
        </w:rPr>
      </w:pPr>
    </w:p>
    <w:p w14:paraId="62D20970" w14:textId="77777777" w:rsidR="00EC3DBD" w:rsidRDefault="00EC3DBD" w:rsidP="00EC3DBD">
      <w:pPr>
        <w:pStyle w:val="NoSpacing"/>
        <w:rPr>
          <w:bCs/>
        </w:rPr>
      </w:pPr>
      <w:r w:rsidRPr="00AB37D4">
        <w:rPr>
          <w:b/>
        </w:rPr>
        <w:t>COURT HELD:</w:t>
      </w:r>
      <w:r>
        <w:t xml:space="preserve"> </w:t>
      </w:r>
    </w:p>
    <w:p w14:paraId="2EC10640" w14:textId="77777777" w:rsidR="00EC3DBD" w:rsidRDefault="00EC3DBD" w:rsidP="00EC3DBD">
      <w:pPr>
        <w:pStyle w:val="NoSpacing"/>
        <w:rPr>
          <w:bCs/>
        </w:rPr>
      </w:pPr>
    </w:p>
    <w:p w14:paraId="3E1982B1" w14:textId="77777777" w:rsidR="00EC3DBD" w:rsidRDefault="00EC3DBD" w:rsidP="00EC3DBD">
      <w:pPr>
        <w:pStyle w:val="NoSpacing"/>
        <w:rPr>
          <w:bCs/>
        </w:rPr>
      </w:pPr>
      <w:r>
        <w:t>“</w:t>
      </w:r>
      <w:r w:rsidRPr="000C51C9">
        <w:t>Strickland argues that the court improperly</w:t>
      </w:r>
      <w:r>
        <w:t xml:space="preserve"> </w:t>
      </w:r>
      <w:r w:rsidRPr="000C51C9">
        <w:t>rested the first element on the Board’s decision and resolved</w:t>
      </w:r>
      <w:r>
        <w:t xml:space="preserve"> </w:t>
      </w:r>
      <w:r w:rsidRPr="000C51C9">
        <w:t>the other questions based on the state suit. He maintains that</w:t>
      </w:r>
      <w:r>
        <w:t xml:space="preserve"> </w:t>
      </w:r>
      <w:r w:rsidRPr="000C51C9">
        <w:t>administrative proceedings and state-court judgments should</w:t>
      </w:r>
      <w:r>
        <w:t xml:space="preserve"> </w:t>
      </w:r>
      <w:r w:rsidRPr="000C51C9">
        <w:t>be evaluated differently for purposes of claim preclusion.</w:t>
      </w:r>
      <w:r>
        <w:t xml:space="preserve"> </w:t>
      </w:r>
      <w:r w:rsidRPr="000C51C9">
        <w:t>Strickland is partially correct that the administrative</w:t>
      </w:r>
      <w:r>
        <w:t xml:space="preserve"> </w:t>
      </w:r>
      <w:r w:rsidRPr="000C51C9">
        <w:t>proceedings and state litigation cannot be treated as</w:t>
      </w:r>
      <w:r>
        <w:t xml:space="preserve"> </w:t>
      </w:r>
      <w:r w:rsidRPr="000C51C9">
        <w:t>equivalents. The Supreme Court’s decisions on the federal</w:t>
      </w:r>
      <w:r>
        <w:t xml:space="preserve"> </w:t>
      </w:r>
      <w:r w:rsidRPr="000C51C9">
        <w:t>law of preclusion distinguish between state-court judgments</w:t>
      </w:r>
      <w:r>
        <w:t xml:space="preserve"> </w:t>
      </w:r>
      <w:r w:rsidRPr="000C51C9">
        <w:t>and administrative decisions, particularly as applied to Title</w:t>
      </w:r>
      <w:r>
        <w:t xml:space="preserve"> </w:t>
      </w:r>
      <w:r w:rsidRPr="000C51C9">
        <w:t>VII claims</w:t>
      </w:r>
      <w:r>
        <w:t xml:space="preserve">…. </w:t>
      </w:r>
      <w:r w:rsidRPr="009B102D">
        <w:t>The district</w:t>
      </w:r>
      <w:r>
        <w:t xml:space="preserve"> </w:t>
      </w:r>
      <w:r w:rsidRPr="009B102D">
        <w:t>court thus erred in dismissing Strickland’s Title VII claims on</w:t>
      </w:r>
      <w:r>
        <w:t xml:space="preserve"> </w:t>
      </w:r>
      <w:r w:rsidRPr="009B102D">
        <w:t>claim preclusion grounds.</w:t>
      </w:r>
      <w:r>
        <w:t>”</w:t>
      </w:r>
    </w:p>
    <w:p w14:paraId="73B7980A" w14:textId="77777777" w:rsidR="00EC3DBD" w:rsidRDefault="00EC3DBD" w:rsidP="00EC3DBD">
      <w:pPr>
        <w:pStyle w:val="NoSpacing"/>
        <w:rPr>
          <w:bCs/>
        </w:rPr>
      </w:pPr>
    </w:p>
    <w:p w14:paraId="6550AC5F" w14:textId="77777777" w:rsidR="00EC3DBD" w:rsidRPr="00FD2071" w:rsidRDefault="00EC3DBD" w:rsidP="00EC3DBD">
      <w:pPr>
        <w:pStyle w:val="NoSpacing"/>
        <w:rPr>
          <w:b/>
        </w:rPr>
      </w:pPr>
      <w:r>
        <w:rPr>
          <w:b/>
        </w:rPr>
        <w:t xml:space="preserve">Legal lesson learned: Title VII claims may proceed in federal court, even if firefighter voluntarily dropped his state court case. </w:t>
      </w:r>
    </w:p>
    <w:p w14:paraId="60664028" w14:textId="77777777" w:rsidR="00EC3DBD" w:rsidRDefault="00EC3DBD" w:rsidP="007265BA">
      <w:pPr>
        <w:pStyle w:val="NoSpacing"/>
        <w:rPr>
          <w:b/>
          <w:bCs/>
        </w:rPr>
      </w:pPr>
    </w:p>
    <w:p w14:paraId="108BCFDE" w14:textId="77777777" w:rsidR="007265BA" w:rsidRDefault="007265BA" w:rsidP="009B3A7B">
      <w:pPr>
        <w:rPr>
          <w:rFonts w:ascii="Arial Black" w:hAnsi="Arial Black"/>
          <w:b/>
          <w:sz w:val="24"/>
          <w:szCs w:val="24"/>
        </w:rPr>
      </w:pPr>
    </w:p>
    <w:p w14:paraId="77D37243" w14:textId="77777777" w:rsidR="007265BA" w:rsidRDefault="007265BA" w:rsidP="009B3A7B">
      <w:pPr>
        <w:rPr>
          <w:rFonts w:ascii="Arial Black" w:hAnsi="Arial Black"/>
          <w:b/>
          <w:sz w:val="24"/>
          <w:szCs w:val="24"/>
        </w:rPr>
      </w:pPr>
    </w:p>
    <w:p w14:paraId="1C9AE547" w14:textId="77777777" w:rsidR="007265BA" w:rsidRDefault="007265BA" w:rsidP="009B3A7B">
      <w:pPr>
        <w:rPr>
          <w:rFonts w:ascii="Arial Black" w:hAnsi="Arial Black"/>
          <w:b/>
          <w:sz w:val="24"/>
          <w:szCs w:val="24"/>
        </w:rPr>
      </w:pPr>
    </w:p>
    <w:p w14:paraId="03A2A792" w14:textId="05D37778" w:rsidR="009B3A7B" w:rsidRDefault="009B3A7B" w:rsidP="009B3A7B">
      <w:pPr>
        <w:rPr>
          <w:rFonts w:ascii="Arial Black" w:hAnsi="Arial Black"/>
          <w:sz w:val="28"/>
          <w:szCs w:val="28"/>
        </w:rPr>
      </w:pPr>
      <w:r>
        <w:rPr>
          <w:rFonts w:ascii="Arial Black" w:hAnsi="Arial Black"/>
          <w:b/>
          <w:sz w:val="24"/>
          <w:szCs w:val="24"/>
        </w:rPr>
        <w:t>8-89</w:t>
      </w:r>
    </w:p>
    <w:p w14:paraId="67201691" w14:textId="5C99641E" w:rsidR="00EA21DB" w:rsidRPr="001A4A62" w:rsidRDefault="00EA21DB" w:rsidP="00EA21DB">
      <w:pPr>
        <w:pStyle w:val="NoSpacing"/>
        <w:rPr>
          <w:rFonts w:ascii="Arial Black" w:hAnsi="Arial Black"/>
          <w:sz w:val="28"/>
          <w:szCs w:val="28"/>
        </w:rPr>
      </w:pPr>
      <w:r>
        <w:rPr>
          <w:rFonts w:ascii="Arial Black" w:hAnsi="Arial Black"/>
          <w:sz w:val="28"/>
          <w:szCs w:val="28"/>
        </w:rPr>
        <w:t xml:space="preserve">U.S. SUP. CT: VOTING - “RACIAL GERRYMANDERING” </w:t>
      </w:r>
    </w:p>
    <w:p w14:paraId="550E9DD4" w14:textId="77777777" w:rsidR="00EA21DB" w:rsidRDefault="00EA21DB" w:rsidP="00EA21DB">
      <w:pPr>
        <w:pStyle w:val="NoSpacing"/>
      </w:pPr>
    </w:p>
    <w:p w14:paraId="2CC9B019" w14:textId="77777777" w:rsidR="00EA21DB" w:rsidRDefault="00EA21DB" w:rsidP="00EA21DB">
      <w:pPr>
        <w:pStyle w:val="NoSpacing"/>
      </w:pPr>
      <w:r>
        <w:t xml:space="preserve">On April 29, 2026, in </w:t>
      </w:r>
      <w:r w:rsidRPr="004E1D28">
        <w:rPr>
          <w:u w:val="single"/>
        </w:rPr>
        <w:t xml:space="preserve">Louisiana v. </w:t>
      </w:r>
      <w:r>
        <w:rPr>
          <w:u w:val="single"/>
        </w:rPr>
        <w:t xml:space="preserve">Phillip </w:t>
      </w:r>
      <w:r w:rsidRPr="004E1D28">
        <w:rPr>
          <w:u w:val="single"/>
        </w:rPr>
        <w:t>Callais, et al</w:t>
      </w:r>
      <w:r>
        <w:t xml:space="preserve">., the U.S. Supreme Court held (6 to 3) that the Louisiana Legislature improperly created a second majority-black congressional voting district. It is predicted that the decision will result in a new map that likely will cost </w:t>
      </w:r>
      <w:r w:rsidRPr="00AC6148">
        <w:t>Democrats at least one seat in Congress. </w:t>
      </w:r>
    </w:p>
    <w:p w14:paraId="50758001" w14:textId="77777777" w:rsidR="00EA21DB" w:rsidRDefault="00EA21DB" w:rsidP="00EA21DB">
      <w:pPr>
        <w:pStyle w:val="NoSpacing"/>
      </w:pPr>
    </w:p>
    <w:p w14:paraId="46BC86CC" w14:textId="77777777" w:rsidR="00EA21DB" w:rsidRDefault="00EA21DB" w:rsidP="00EA21DB">
      <w:pPr>
        <w:pStyle w:val="NoSpacing"/>
      </w:pPr>
      <w:r>
        <w:t xml:space="preserve">In 2022, a federal judge in Louisiana held 5-days of hearing on a new congressional map written </w:t>
      </w:r>
    </w:p>
    <w:p w14:paraId="498C112E" w14:textId="77777777" w:rsidR="00EA21DB" w:rsidRDefault="00EA21DB" w:rsidP="00EA21DB">
      <w:pPr>
        <w:pStyle w:val="NoSpacing"/>
      </w:pPr>
      <w:r>
        <w:t xml:space="preserve">after the 2020 census.  He determined that the new map improperly kept in place only the one majority-black district [created in 1983], and ordered a new map be drawn </w:t>
      </w:r>
      <w:proofErr w:type="gramStart"/>
      <w:r>
        <w:t>per</w:t>
      </w:r>
      <w:proofErr w:type="gramEnd"/>
      <w:r>
        <w:t xml:space="preserve"> the Voting Rights Act of 1965.  The second map created a second majority-black district, which stretches “some 250 miles from Shreveport in the northwest corner of the state to Baton Rouge in southeast Louisiana, slicing through metropolitan areas to scoop up pockets of predominantly Black populations from Shreveport, Alexandria, Lafayette, and Baton Rouge.”   A three-judge court found the second map was unconstitutional “racial gerrymander.”  The U.S. Supreme Court’s six majority Justices agreed with three-judge court.  </w:t>
      </w:r>
      <w:hyperlink r:id="rId1469" w:history="1">
        <w:r w:rsidRPr="00A02756">
          <w:rPr>
            <w:rStyle w:val="Hyperlink"/>
          </w:rPr>
          <w:t>https://www.supremecourt.gov/opinions/25pdf/24-109_21o3.pdf</w:t>
        </w:r>
      </w:hyperlink>
      <w:r>
        <w:t xml:space="preserve"> </w:t>
      </w:r>
    </w:p>
    <w:p w14:paraId="1D7C0015" w14:textId="77777777" w:rsidR="00EA21DB" w:rsidRDefault="00EA21DB" w:rsidP="00EA21DB">
      <w:pPr>
        <w:pStyle w:val="NoSpacing"/>
      </w:pPr>
    </w:p>
    <w:p w14:paraId="391BEE76" w14:textId="77777777" w:rsidR="00EA21DB" w:rsidRDefault="00EA21DB" w:rsidP="00EA21DB">
      <w:pPr>
        <w:pStyle w:val="NoSpacing"/>
      </w:pPr>
    </w:p>
    <w:p w14:paraId="7F97ED9E" w14:textId="77777777" w:rsidR="00EA21DB" w:rsidRDefault="00EA21DB" w:rsidP="00EA21DB">
      <w:pPr>
        <w:pStyle w:val="NoSpacing"/>
      </w:pPr>
      <w:r>
        <w:t>THE COURT HELD: (opinion by Justice Samuel Alito):</w:t>
      </w:r>
    </w:p>
    <w:p w14:paraId="0283D4EB" w14:textId="77777777" w:rsidR="00EA21DB" w:rsidRDefault="00EA21DB" w:rsidP="00EA21DB">
      <w:pPr>
        <w:pStyle w:val="NoSpacing"/>
      </w:pPr>
    </w:p>
    <w:p w14:paraId="168BDB12" w14:textId="77777777" w:rsidR="00EA21DB" w:rsidRDefault="00EA21DB" w:rsidP="00EA21DB">
      <w:pPr>
        <w:pStyle w:val="NoSpacing"/>
        <w:ind w:left="720"/>
      </w:pPr>
      <w:r>
        <w:t xml:space="preserve">“Section 2 of the Voting Rights Act of 1965, 52 U. S. C. §10301 et seq., was designed to enforce the Constitution— not collide with it. Unfortunately, lower courts have </w:t>
      </w:r>
    </w:p>
    <w:p w14:paraId="0E5FEEA7" w14:textId="77777777" w:rsidR="00EA21DB" w:rsidRDefault="00EA21DB" w:rsidP="00EA21DB">
      <w:pPr>
        <w:pStyle w:val="NoSpacing"/>
        <w:ind w:left="720"/>
      </w:pPr>
      <w:r>
        <w:t>sometimes applied this Court’s §2 precedents in a way that forces States to engage in the very race-based discrimination that the Constitution forbids…. {A]</w:t>
      </w:r>
      <w:proofErr w:type="spellStart"/>
      <w:r>
        <w:t>llowing</w:t>
      </w:r>
      <w:proofErr w:type="spellEnd"/>
      <w:r>
        <w:t xml:space="preserve"> race to play any part in government decision making represents a departure from the constitutional rule that applies in almost every other context…. Compliance with §2 [of Voting Rights Act] thus could not justify the State’s use of race-based redistricting here. The State’s attempt to satisfy the [federal judge’s] ruling, although understandable, was an unconstitutional racial gerrymander….” </w:t>
      </w:r>
      <w:hyperlink r:id="rId1470" w:history="1">
        <w:r w:rsidRPr="00A02756">
          <w:rPr>
            <w:rStyle w:val="Hyperlink"/>
          </w:rPr>
          <w:t>https://www.supremecourt.gov/opinions/25pdf/24-109_21o3.pdf</w:t>
        </w:r>
      </w:hyperlink>
      <w:r>
        <w:t xml:space="preserve"> </w:t>
      </w:r>
    </w:p>
    <w:p w14:paraId="11532E20" w14:textId="77777777" w:rsidR="00EA21DB" w:rsidRDefault="00EA21DB" w:rsidP="00EA21DB">
      <w:pPr>
        <w:pStyle w:val="NoSpacing"/>
      </w:pPr>
    </w:p>
    <w:p w14:paraId="3F1D309B" w14:textId="77777777" w:rsidR="00EA21DB" w:rsidRDefault="00EA21DB" w:rsidP="00EA21DB">
      <w:pPr>
        <w:pStyle w:val="NoSpacing"/>
      </w:pPr>
    </w:p>
    <w:p w14:paraId="5DDE7FE0" w14:textId="77777777" w:rsidR="00EA21DB" w:rsidRDefault="00EA21DB" w:rsidP="00EA21DB">
      <w:pPr>
        <w:pStyle w:val="NoSpacing"/>
      </w:pPr>
      <w:r>
        <w:t xml:space="preserve">JUSTICE THOMAS [Concurring opinion]: </w:t>
      </w:r>
    </w:p>
    <w:p w14:paraId="3BDC9ED9" w14:textId="77777777" w:rsidR="00EA21DB" w:rsidRDefault="00EA21DB" w:rsidP="00EA21DB">
      <w:pPr>
        <w:pStyle w:val="NoSpacing"/>
        <w:ind w:left="720"/>
      </w:pPr>
    </w:p>
    <w:p w14:paraId="19C6C8F2" w14:textId="77777777" w:rsidR="00EA21DB" w:rsidRDefault="00EA21DB" w:rsidP="00EA21DB">
      <w:pPr>
        <w:pStyle w:val="NoSpacing"/>
        <w:ind w:left="720"/>
      </w:pPr>
      <w:r>
        <w:t xml:space="preserve">“I join the Court’s opinion in full. This Court should never have interpreted §2 of the Voting Rights Act of 1965 to effectively give racial groups ‘an entitlement to roughly proportional representation.’….   Today’s decision </w:t>
      </w:r>
      <w:proofErr w:type="gramStart"/>
      <w:r>
        <w:t>should largely</w:t>
      </w:r>
      <w:proofErr w:type="gramEnd"/>
      <w:r>
        <w:t xml:space="preserve"> put an end to this</w:t>
      </w:r>
    </w:p>
    <w:p w14:paraId="7A17A4C8" w14:textId="77777777" w:rsidR="00EA21DB" w:rsidRDefault="00EA21DB" w:rsidP="00EA21DB">
      <w:pPr>
        <w:pStyle w:val="NoSpacing"/>
        <w:ind w:left="720"/>
      </w:pPr>
      <w:r>
        <w:t>“</w:t>
      </w:r>
      <w:proofErr w:type="gramStart"/>
      <w:r>
        <w:t>disastrous</w:t>
      </w:r>
      <w:proofErr w:type="gramEnd"/>
      <w:r>
        <w:t xml:space="preserve"> misadventure” in voting-rights jurisprudence…. As I explained more than 30 years ago, I would go further and hold that §2 of the Voting Rights Act does not regulate districting at all.”</w:t>
      </w:r>
    </w:p>
    <w:p w14:paraId="781987AF" w14:textId="77777777" w:rsidR="00EA21DB" w:rsidRDefault="00EA21DB" w:rsidP="00EA21DB">
      <w:pPr>
        <w:pStyle w:val="NoSpacing"/>
      </w:pPr>
    </w:p>
    <w:p w14:paraId="06774EAC" w14:textId="77777777" w:rsidR="00EA21DB" w:rsidRDefault="00EA21DB" w:rsidP="00EA21DB">
      <w:pPr>
        <w:pStyle w:val="NoSpacing"/>
      </w:pPr>
      <w:r>
        <w:t xml:space="preserve">DISSENT [opinion by Justice Elena Kagan]:  </w:t>
      </w:r>
    </w:p>
    <w:p w14:paraId="2A11C6F8" w14:textId="77777777" w:rsidR="00EA21DB" w:rsidRDefault="00EA21DB" w:rsidP="00EA21DB">
      <w:pPr>
        <w:pStyle w:val="NoSpacing"/>
      </w:pPr>
    </w:p>
    <w:p w14:paraId="070AF190" w14:textId="77777777" w:rsidR="00EA21DB" w:rsidRDefault="00EA21DB" w:rsidP="00EA21DB">
      <w:pPr>
        <w:pStyle w:val="NoSpacing"/>
        <w:ind w:left="720"/>
      </w:pPr>
      <w:r>
        <w:t xml:space="preserve">“The State’s District 2 has had a Black majority since 1983, when a vote-dilution suit forced its creation. If Louisiana were tomorrow to slice up District 2, dispersing its Black residents among the rest, it is hard to see how the now judicially amended Section 2 could stand in the way. The State presumably would assert as its ‘political goal’ an </w:t>
      </w:r>
    </w:p>
    <w:p w14:paraId="49E1D024" w14:textId="77777777" w:rsidR="00EA21DB" w:rsidRDefault="00EA21DB" w:rsidP="00EA21DB">
      <w:pPr>
        <w:pStyle w:val="NoSpacing"/>
        <w:ind w:left="720"/>
      </w:pPr>
      <w:r>
        <w:t>all-Republican congressional delegation; in other words, it would announce a partisan gerrymander….  And because of the severe racial polarization in the State, that</w:t>
      </w:r>
    </w:p>
    <w:p w14:paraId="76FAE312" w14:textId="77777777" w:rsidR="00EA21DB" w:rsidRDefault="00EA21DB" w:rsidP="00EA21DB">
      <w:pPr>
        <w:pStyle w:val="NoSpacing"/>
        <w:ind w:left="720"/>
      </w:pPr>
      <w:r>
        <w:t xml:space="preserve">goal would be incompatible with maintaining District 2 as is. So those advocating for its majority-minority composition would almost surely lose at the first </w:t>
      </w:r>
      <w:r w:rsidRPr="00F729DF">
        <w:rPr>
          <w:i/>
          <w:iCs/>
        </w:rPr>
        <w:t>Callais</w:t>
      </w:r>
      <w:r>
        <w:t xml:space="preserve"> requirement (and, as above, at the others as well). Repeated often enough across the country, the same districting practice— really, hinging only on the partisan ambitions (or restraint) of state legislatures—could destroy most of the majority- minority districts that in the past 40 years the Voting Rights Act created.”</w:t>
      </w:r>
    </w:p>
    <w:p w14:paraId="11E61C42" w14:textId="77777777" w:rsidR="00EA21DB" w:rsidRDefault="00EA21DB" w:rsidP="00EA21DB">
      <w:pPr>
        <w:pStyle w:val="NoSpacing"/>
        <w:ind w:left="720"/>
      </w:pPr>
    </w:p>
    <w:p w14:paraId="43D6C70D" w14:textId="77777777" w:rsidR="00EA21DB" w:rsidRPr="00E04FBC" w:rsidRDefault="00EA21DB" w:rsidP="00EA21DB">
      <w:pPr>
        <w:rPr>
          <w:b/>
          <w:bCs/>
        </w:rPr>
      </w:pPr>
      <w:r w:rsidRPr="001C33AB">
        <w:rPr>
          <w:b/>
        </w:rPr>
        <w:t xml:space="preserve">Legal lesson learned: </w:t>
      </w:r>
      <w:r>
        <w:rPr>
          <w:b/>
        </w:rPr>
        <w:t xml:space="preserve"> This is a “landmark” decision, with lots of potential political impact.  </w:t>
      </w:r>
    </w:p>
    <w:p w14:paraId="4DE862B8" w14:textId="77777777" w:rsidR="00EA21DB" w:rsidRDefault="00EA21DB" w:rsidP="00BC70A3">
      <w:pPr>
        <w:rPr>
          <w:rFonts w:ascii="Arial Black" w:hAnsi="Arial Black"/>
          <w:b/>
          <w:sz w:val="24"/>
          <w:szCs w:val="24"/>
        </w:rPr>
      </w:pPr>
    </w:p>
    <w:p w14:paraId="2AD73CEC" w14:textId="726098F9" w:rsidR="007A3239" w:rsidRDefault="007A3239" w:rsidP="00456C91">
      <w:pPr>
        <w:rPr>
          <w:rFonts w:ascii="Arial Black" w:hAnsi="Arial Black"/>
          <w:b/>
          <w:sz w:val="24"/>
          <w:szCs w:val="24"/>
        </w:rPr>
      </w:pPr>
      <w:r>
        <w:rPr>
          <w:rFonts w:ascii="Arial Black" w:hAnsi="Arial Black"/>
          <w:b/>
          <w:sz w:val="24"/>
          <w:szCs w:val="24"/>
        </w:rPr>
        <w:t>8-88</w:t>
      </w:r>
    </w:p>
    <w:p w14:paraId="4ACD4B84" w14:textId="77777777" w:rsidR="008626B6" w:rsidRPr="000A0D97" w:rsidRDefault="008626B6" w:rsidP="008626B6">
      <w:pPr>
        <w:pStyle w:val="NoSpacing"/>
        <w:rPr>
          <w:rFonts w:ascii="Arial Black" w:hAnsi="Arial Black"/>
          <w:sz w:val="28"/>
          <w:szCs w:val="28"/>
        </w:rPr>
      </w:pPr>
      <w:r>
        <w:rPr>
          <w:rFonts w:ascii="Arial Black" w:hAnsi="Arial Black"/>
          <w:sz w:val="28"/>
          <w:szCs w:val="28"/>
        </w:rPr>
        <w:t>OH: WHITE CAPT – No.1 LIST - NOT PROMOTED D/C TWICE</w:t>
      </w:r>
    </w:p>
    <w:p w14:paraId="40D6E9B5" w14:textId="77777777" w:rsidR="008626B6" w:rsidRDefault="008626B6" w:rsidP="008626B6">
      <w:pPr>
        <w:pStyle w:val="NoSpacing"/>
      </w:pPr>
    </w:p>
    <w:p w14:paraId="0FD0AE08" w14:textId="77777777" w:rsidR="008626B6" w:rsidRDefault="008626B6" w:rsidP="008626B6">
      <w:pPr>
        <w:pStyle w:val="NoSpacing"/>
      </w:pPr>
      <w:r>
        <w:t xml:space="preserve">On December 29, 2025, in </w:t>
      </w:r>
      <w:r w:rsidRPr="00B92028">
        <w:rPr>
          <w:u w:val="single"/>
        </w:rPr>
        <w:t>Michael Haas v. City of Akron, et al</w:t>
      </w:r>
      <w:r>
        <w:t xml:space="preserve">., U.S. District Court Judge . Philip Calabrese, United States District Court for the Northern District of Ohio, Eastern Division, held that individual defendants, including the Fire Chief cannot be individually sued for </w:t>
      </w:r>
      <w:r w:rsidRPr="009806C0">
        <w:t xml:space="preserve">conspiracy </w:t>
      </w:r>
      <w:r>
        <w:t xml:space="preserve">to deny him promotion.  Case may now proceed </w:t>
      </w:r>
      <w:proofErr w:type="gramStart"/>
      <w:r>
        <w:t>to</w:t>
      </w:r>
      <w:proofErr w:type="gramEnd"/>
      <w:r>
        <w:t xml:space="preserve"> pretrial discovery against the </w:t>
      </w:r>
      <w:proofErr w:type="gramStart"/>
      <w:r>
        <w:t>City</w:t>
      </w:r>
      <w:proofErr w:type="gramEnd"/>
      <w:r>
        <w:t xml:space="preserve">. In April 2024, he was ranked first of six candidates for District Chief.  </w:t>
      </w:r>
      <w:proofErr w:type="gramStart"/>
      <w:r>
        <w:t>August,</w:t>
      </w:r>
      <w:proofErr w:type="gramEnd"/>
      <w:r>
        <w:t xml:space="preserve"> 2024 a black female (ranked No. 5 on list) was promoted (using the “Rule of five) to District Chief; and in </w:t>
      </w:r>
      <w:r w:rsidRPr="00C159C1">
        <w:t>September 2024, Haas filed a charge of discrimination with the Equal Employment Opportunity Commission</w:t>
      </w:r>
      <w:r>
        <w:t>.  I</w:t>
      </w:r>
      <w:r w:rsidRPr="004D6CA4">
        <w:t xml:space="preserve">n March 2025, another District Chief retired, and the position was left vacant. The next month, Local 330 urged </w:t>
      </w:r>
      <w:r>
        <w:t xml:space="preserve">the Fire Chief </w:t>
      </w:r>
      <w:r w:rsidRPr="004D6CA4">
        <w:t>to fill the position using the 2024 promotional list, which ranked</w:t>
      </w:r>
      <w:r>
        <w:t xml:space="preserve"> </w:t>
      </w:r>
      <w:r w:rsidRPr="004D6CA4">
        <w:t>Haas as the top candidate</w:t>
      </w:r>
      <w:r>
        <w:t xml:space="preserve">, but the Chief </w:t>
      </w:r>
      <w:r w:rsidRPr="004D6CA4">
        <w:t xml:space="preserve">denied Local 330's grievance and refused to promote Mr. Haas to the open position. </w:t>
      </w:r>
      <w:hyperlink r:id="rId1471" w:history="1">
        <w:r w:rsidRPr="00091B3B">
          <w:rPr>
            <w:rStyle w:val="Hyperlink"/>
          </w:rPr>
          <w:t>https://cases.justia.com/federal/district-courts/ohio/ohndce/5:2025cv00885/316724/27/0.pdf?ts=1767103886</w:t>
        </w:r>
      </w:hyperlink>
      <w:r>
        <w:t xml:space="preserve"> </w:t>
      </w:r>
    </w:p>
    <w:p w14:paraId="53B12440" w14:textId="77777777" w:rsidR="008626B6" w:rsidRDefault="008626B6" w:rsidP="008626B6">
      <w:pPr>
        <w:pStyle w:val="NoSpacing"/>
      </w:pPr>
    </w:p>
    <w:p w14:paraId="4DC87FB2" w14:textId="77777777" w:rsidR="008626B6" w:rsidRDefault="008626B6" w:rsidP="008626B6">
      <w:pPr>
        <w:pStyle w:val="NoSpacing"/>
        <w:rPr>
          <w:b/>
        </w:rPr>
      </w:pPr>
      <w:r>
        <w:t>THE COURT HELD:</w:t>
      </w:r>
    </w:p>
    <w:p w14:paraId="1FD79E57" w14:textId="77777777" w:rsidR="008626B6" w:rsidRDefault="008626B6" w:rsidP="008626B6">
      <w:pPr>
        <w:pStyle w:val="NoSpacing"/>
      </w:pPr>
    </w:p>
    <w:p w14:paraId="2DE23ECE" w14:textId="77777777" w:rsidR="008626B6" w:rsidRDefault="008626B6" w:rsidP="008626B6">
      <w:pPr>
        <w:pStyle w:val="NoSpacing"/>
        <w:ind w:left="720"/>
      </w:pPr>
      <w:r>
        <w:t>“</w:t>
      </w:r>
      <w:r w:rsidRPr="00BE7DD9">
        <w:t>Plaintiff Michael Haas is a white male who became a firefighter for the City of Akron, Ohio in July 1997</w:t>
      </w:r>
      <w:r>
        <w:t xml:space="preserve">…. </w:t>
      </w:r>
      <w:r w:rsidRPr="00BE7DD9">
        <w:t>From 2017 to 2024, Mr. Haas served as Akron's Captain of Fire Prevention and Fire Training and Safety Officer</w:t>
      </w:r>
      <w:r>
        <w:t>….</w:t>
      </w:r>
      <w:r w:rsidRPr="00BE7DD9">
        <w:t>From 2021 to 2023, Mr. Haas also served as Provisional Chief in Fire Training and in Fire Prevention</w:t>
      </w:r>
      <w:r>
        <w:t>….</w:t>
      </w:r>
      <w:r w:rsidRPr="00BE7DD9">
        <w:t>In 2024, at the age of 57, Mr. Haas participated in Akron's promotional process for consideration for a recently opened District Chief position</w:t>
      </w:r>
      <w:r>
        <w:t>….</w:t>
      </w:r>
      <w:r w:rsidRPr="00BE7DD9">
        <w:t>In April 2024, Mr. Haas was ranked first of six potential candidates for the position</w:t>
      </w:r>
      <w:r>
        <w:t>….</w:t>
      </w:r>
      <w:r w:rsidRPr="00BE7DD9">
        <w:t xml:space="preserve"> Before this ranking, Mr. Haas had no disciplinary history.</w:t>
      </w:r>
    </w:p>
    <w:p w14:paraId="5B903E73" w14:textId="77777777" w:rsidR="008626B6" w:rsidRDefault="008626B6" w:rsidP="008626B6">
      <w:pPr>
        <w:pStyle w:val="NoSpacing"/>
        <w:ind w:left="720"/>
      </w:pPr>
    </w:p>
    <w:p w14:paraId="47B8A4E8" w14:textId="77777777" w:rsidR="008626B6" w:rsidRDefault="008626B6" w:rsidP="008626B6">
      <w:pPr>
        <w:pStyle w:val="NoSpacing"/>
        <w:ind w:left="720"/>
      </w:pPr>
      <w:r>
        <w:t>***</w:t>
      </w:r>
    </w:p>
    <w:p w14:paraId="119B3E09" w14:textId="77777777" w:rsidR="008626B6" w:rsidRDefault="008626B6" w:rsidP="008626B6">
      <w:pPr>
        <w:ind w:left="720"/>
        <w:rPr>
          <w:bCs/>
        </w:rPr>
      </w:pPr>
      <w:r w:rsidRPr="00951C21">
        <w:t xml:space="preserve">At all relevant times, Defendant Leon Henderson, an African American man, served as the acting Fire Chief for the City of Akron. </w:t>
      </w:r>
    </w:p>
    <w:p w14:paraId="0BA7AC60" w14:textId="77777777" w:rsidR="008626B6" w:rsidRDefault="008626B6" w:rsidP="008626B6">
      <w:pPr>
        <w:ind w:left="720"/>
        <w:rPr>
          <w:bCs/>
        </w:rPr>
      </w:pPr>
      <w:r>
        <w:t>***</w:t>
      </w:r>
    </w:p>
    <w:p w14:paraId="3A8C8ED4" w14:textId="77777777" w:rsidR="008626B6" w:rsidRPr="00BA60D7" w:rsidRDefault="008626B6" w:rsidP="008626B6">
      <w:pPr>
        <w:pStyle w:val="NoSpacing"/>
        <w:ind w:left="720"/>
        <w:rPr>
          <w:bCs/>
        </w:rPr>
      </w:pPr>
      <w:r w:rsidRPr="00BA60D7">
        <w:t xml:space="preserve">Following the promotion of </w:t>
      </w:r>
      <w:r>
        <w:t>[</w:t>
      </w:r>
      <w:proofErr w:type="spellStart"/>
      <w:r w:rsidRPr="003B5000">
        <w:t>Sierjie</w:t>
      </w:r>
      <w:proofErr w:type="spellEnd"/>
      <w:r>
        <w:t xml:space="preserve">] </w:t>
      </w:r>
      <w:r w:rsidRPr="00BA60D7">
        <w:t>Lash</w:t>
      </w:r>
      <w:r>
        <w:t xml:space="preserve"> [ranked 5</w:t>
      </w:r>
      <w:r w:rsidRPr="00296663">
        <w:rPr>
          <w:vertAlign w:val="superscript"/>
        </w:rPr>
        <w:t>th</w:t>
      </w:r>
      <w:r>
        <w:t xml:space="preserve"> on list]</w:t>
      </w:r>
      <w:r w:rsidRPr="00BA60D7">
        <w:t xml:space="preserve"> to District Chief in August 2024, retaliatory</w:t>
      </w:r>
      <w:r>
        <w:t xml:space="preserve"> </w:t>
      </w:r>
      <w:r w:rsidRPr="00BA60D7">
        <w:t>actions were taken against Mr. Haas</w:t>
      </w:r>
      <w:r>
        <w:t>….</w:t>
      </w:r>
      <w:r w:rsidRPr="00BA60D7">
        <w:t>When he learned</w:t>
      </w:r>
    </w:p>
    <w:p w14:paraId="3D503E72" w14:textId="77777777" w:rsidR="008626B6" w:rsidRPr="00BA60D7" w:rsidRDefault="008626B6" w:rsidP="008626B6">
      <w:pPr>
        <w:pStyle w:val="NoSpacing"/>
        <w:ind w:firstLine="720"/>
        <w:rPr>
          <w:bCs/>
        </w:rPr>
      </w:pPr>
      <w:r w:rsidRPr="00BA60D7">
        <w:t xml:space="preserve">about Lash’s promotion, Mr. Haas complained to </w:t>
      </w:r>
      <w:r>
        <w:t xml:space="preserve">[Chief] </w:t>
      </w:r>
      <w:r w:rsidRPr="00BA60D7">
        <w:t>Henderson that the promotion</w:t>
      </w:r>
    </w:p>
    <w:p w14:paraId="4A7876AD" w14:textId="77777777" w:rsidR="008626B6" w:rsidRPr="00BA60D7" w:rsidRDefault="008626B6" w:rsidP="008626B6">
      <w:pPr>
        <w:pStyle w:val="NoSpacing"/>
        <w:ind w:left="720"/>
        <w:rPr>
          <w:bCs/>
        </w:rPr>
      </w:pPr>
      <w:r w:rsidRPr="00BA60D7">
        <w:t>was discriminatory</w:t>
      </w:r>
      <w:r>
        <w:t>….</w:t>
      </w:r>
      <w:r w:rsidRPr="00BA60D7">
        <w:t xml:space="preserve"> </w:t>
      </w:r>
      <w:r>
        <w:t xml:space="preserve">[Plaintiff alleged that Chief] </w:t>
      </w:r>
      <w:r w:rsidRPr="00BA60D7">
        <w:t>Henderson failed to document,</w:t>
      </w:r>
      <w:r>
        <w:t xml:space="preserve"> </w:t>
      </w:r>
      <w:r w:rsidRPr="00BA60D7">
        <w:t>investigate, and report this complaint to upper management or human resources, in</w:t>
      </w:r>
    </w:p>
    <w:p w14:paraId="0A6DADD5" w14:textId="77777777" w:rsidR="008626B6" w:rsidRDefault="008626B6" w:rsidP="008626B6">
      <w:pPr>
        <w:pStyle w:val="NoSpacing"/>
        <w:ind w:firstLine="720"/>
        <w:rPr>
          <w:bCs/>
        </w:rPr>
      </w:pPr>
      <w:r w:rsidRPr="00BA60D7">
        <w:t>violation of Akron’s policies</w:t>
      </w:r>
      <w:r>
        <w:t xml:space="preserve">…. </w:t>
      </w:r>
    </w:p>
    <w:p w14:paraId="2CB275D5" w14:textId="77777777" w:rsidR="008626B6" w:rsidRDefault="008626B6" w:rsidP="008626B6">
      <w:pPr>
        <w:pStyle w:val="NoSpacing"/>
        <w:ind w:firstLine="720"/>
        <w:rPr>
          <w:bCs/>
        </w:rPr>
      </w:pPr>
    </w:p>
    <w:p w14:paraId="555F41B9" w14:textId="77777777" w:rsidR="008626B6" w:rsidRDefault="008626B6" w:rsidP="008626B6">
      <w:pPr>
        <w:pStyle w:val="NoSpacing"/>
        <w:ind w:firstLine="720"/>
        <w:rPr>
          <w:bCs/>
        </w:rPr>
      </w:pPr>
      <w:r>
        <w:t>***</w:t>
      </w:r>
    </w:p>
    <w:p w14:paraId="42692BC6" w14:textId="77777777" w:rsidR="008626B6" w:rsidRDefault="008626B6" w:rsidP="008626B6">
      <w:pPr>
        <w:ind w:left="720"/>
        <w:rPr>
          <w:bCs/>
        </w:rPr>
      </w:pPr>
      <w:r w:rsidRPr="00C159C1">
        <w:t>The next month in September 2024, Mr. Haas filed a charge of discrimination with the Equal Employment Opportunity Commission and sent a second complaint of discrimination to Mr. Henderson</w:t>
      </w:r>
      <w:r>
        <w:t>….</w:t>
      </w:r>
      <w:r w:rsidRPr="00C159C1">
        <w:t>Later that same day, Mr. Henderson added Mr. Haas to the August 2024 transfer list</w:t>
      </w:r>
      <w:r>
        <w:t>….</w:t>
      </w:r>
      <w:r w:rsidRPr="00C159C1">
        <w:t xml:space="preserve"> Mr. Haas was transferred </w:t>
      </w:r>
      <w:r>
        <w:t xml:space="preserve">[from </w:t>
      </w:r>
      <w:r w:rsidRPr="00BE7DD9">
        <w:t>Captain of Fire Prevention and Fire Training and Safety Officer</w:t>
      </w:r>
      <w:r>
        <w:t xml:space="preserve">] </w:t>
      </w:r>
      <w:r w:rsidRPr="00C159C1">
        <w:t xml:space="preserve">to a </w:t>
      </w:r>
      <w:r>
        <w:t>‘</w:t>
      </w:r>
      <w:r w:rsidRPr="00C159C1">
        <w:t>48-hour position on the line</w:t>
      </w:r>
      <w:r>
        <w:t>’</w:t>
      </w:r>
      <w:r w:rsidRPr="00C159C1">
        <w:t xml:space="preserve"> which required him to work 24-hour shifts</w:t>
      </w:r>
      <w:r>
        <w:t>….</w:t>
      </w:r>
      <w:r w:rsidRPr="00C159C1">
        <w:t xml:space="preserve">According to Mr. Haas, </w:t>
      </w:r>
      <w:r>
        <w:t>‘</w:t>
      </w:r>
      <w:r w:rsidRPr="00C159C1">
        <w:t>[n]o other Captain . . . has been transferred to a 48-hour position without first either requesting it or as a result of discipline.</w:t>
      </w:r>
      <w:r>
        <w:t>’</w:t>
      </w:r>
    </w:p>
    <w:p w14:paraId="57C13567" w14:textId="77777777" w:rsidR="008626B6" w:rsidRDefault="008626B6" w:rsidP="008626B6">
      <w:pPr>
        <w:ind w:left="720"/>
        <w:rPr>
          <w:bCs/>
        </w:rPr>
      </w:pPr>
      <w:r>
        <w:t>***</w:t>
      </w:r>
    </w:p>
    <w:p w14:paraId="2A2A8E88" w14:textId="77777777" w:rsidR="008626B6" w:rsidRDefault="008626B6" w:rsidP="008626B6">
      <w:pPr>
        <w:pStyle w:val="NoSpacing"/>
        <w:ind w:left="720"/>
        <w:rPr>
          <w:bCs/>
        </w:rPr>
      </w:pPr>
      <w:r w:rsidRPr="00606539">
        <w:t xml:space="preserve">Under the law of this Circuit, </w:t>
      </w:r>
      <w:proofErr w:type="spellStart"/>
      <w:r w:rsidRPr="00606539">
        <w:t>intracorporate</w:t>
      </w:r>
      <w:proofErr w:type="spellEnd"/>
      <w:r w:rsidRPr="00606539">
        <w:t xml:space="preserve"> conspiracy doctrine applies</w:t>
      </w:r>
      <w:r>
        <w:t xml:space="preserve"> </w:t>
      </w:r>
      <w:r w:rsidRPr="00606539">
        <w:t>where individuals were employed in different departments. Hull, 926 F.2d at 510</w:t>
      </w:r>
      <w:r>
        <w:t xml:space="preserve"> </w:t>
      </w:r>
      <w:r w:rsidRPr="00606539">
        <w:t>(holding that a school’s superintendent, executive director, and administrator could</w:t>
      </w:r>
      <w:r>
        <w:t xml:space="preserve"> </w:t>
      </w:r>
      <w:r w:rsidRPr="00606539">
        <w:t xml:space="preserve">not conspire because they were all </w:t>
      </w:r>
      <w:r>
        <w:t>‘</w:t>
      </w:r>
      <w:r w:rsidRPr="00606539">
        <w:t>employees or agents of the [school] Board</w:t>
      </w:r>
      <w:r>
        <w:t>’</w:t>
      </w:r>
      <w:r w:rsidRPr="00606539">
        <w:t>); Upton</w:t>
      </w:r>
      <w:r>
        <w:t xml:space="preserve"> </w:t>
      </w:r>
      <w:r w:rsidRPr="00606539">
        <w:t xml:space="preserve">v. City of Royal Oak, 492 F. </w:t>
      </w:r>
      <w:proofErr w:type="spellStart"/>
      <w:r w:rsidRPr="00606539">
        <w:t>App'x</w:t>
      </w:r>
      <w:proofErr w:type="spellEnd"/>
      <w:r w:rsidRPr="00606539">
        <w:t xml:space="preserve"> 492, 493 n.1 (6th Cir. 2012) (holding that the</w:t>
      </w:r>
      <w:r>
        <w:t xml:space="preserve"> </w:t>
      </w:r>
      <w:proofErr w:type="spellStart"/>
      <w:r w:rsidRPr="00606539">
        <w:t>intracorporate</w:t>
      </w:r>
      <w:proofErr w:type="spellEnd"/>
      <w:r w:rsidRPr="00606539">
        <w:t xml:space="preserve"> conspiracy doctrine prevented a firefighter from bringing Section</w:t>
      </w:r>
      <w:r>
        <w:t xml:space="preserve"> </w:t>
      </w:r>
      <w:r w:rsidRPr="00606539">
        <w:t>1985(3) action against the mayor, city manager, assistant city attorney, and director</w:t>
      </w:r>
      <w:r>
        <w:t xml:space="preserve"> </w:t>
      </w:r>
      <w:r w:rsidRPr="00606539">
        <w:t>of human resources). What matters is that the individual Defendants are “members</w:t>
      </w:r>
      <w:r>
        <w:t xml:space="preserve"> </w:t>
      </w:r>
      <w:r w:rsidRPr="00606539">
        <w:t>of the same collective entity.” Hull, 926 F.2d at 510. Such is the case here, and each</w:t>
      </w:r>
      <w:r>
        <w:t xml:space="preserve"> </w:t>
      </w:r>
      <w:r w:rsidRPr="00606539">
        <w:t>participated in the promotional process about which Plaintiff complains as employees</w:t>
      </w:r>
      <w:r>
        <w:t xml:space="preserve"> </w:t>
      </w:r>
      <w:r w:rsidRPr="00606539">
        <w:t>or agents of the City of Akron</w:t>
      </w:r>
      <w:r>
        <w:t xml:space="preserve">…. </w:t>
      </w:r>
      <w:r w:rsidRPr="001C0C11">
        <w:t xml:space="preserve">For these reasons, the </w:t>
      </w:r>
      <w:proofErr w:type="spellStart"/>
      <w:r w:rsidRPr="001C0C11">
        <w:t>intracorporate</w:t>
      </w:r>
      <w:proofErr w:type="spellEnd"/>
      <w:r w:rsidRPr="001C0C11">
        <w:t xml:space="preserve"> conspiracy doctrine bars Mr. Hass’s civil</w:t>
      </w:r>
      <w:r>
        <w:t xml:space="preserve"> </w:t>
      </w:r>
      <w:r w:rsidRPr="001C0C11">
        <w:t>conspiracy claim under Section 1985(3) against the individual Defendants.</w:t>
      </w:r>
      <w:r>
        <w:t>”</w:t>
      </w:r>
    </w:p>
    <w:p w14:paraId="3DAAB047" w14:textId="77777777" w:rsidR="008626B6" w:rsidRDefault="008626B6" w:rsidP="008626B6">
      <w:pPr>
        <w:pStyle w:val="NoSpacing"/>
        <w:ind w:left="720"/>
        <w:rPr>
          <w:bCs/>
        </w:rPr>
      </w:pPr>
    </w:p>
    <w:p w14:paraId="58396876" w14:textId="77777777" w:rsidR="008626B6" w:rsidRPr="0092040A" w:rsidRDefault="008626B6" w:rsidP="008626B6">
      <w:pPr>
        <w:pStyle w:val="NoSpacing"/>
        <w:rPr>
          <w:b/>
        </w:rPr>
      </w:pPr>
      <w:r>
        <w:rPr>
          <w:b/>
        </w:rPr>
        <w:t>Legal lesson learned:  Race discrimination case by white officer may now proceed to pre-trial discovery.</w:t>
      </w:r>
    </w:p>
    <w:p w14:paraId="2D695A73" w14:textId="77777777" w:rsidR="008626B6" w:rsidRPr="00951C21" w:rsidRDefault="008626B6" w:rsidP="008626B6">
      <w:pPr>
        <w:ind w:left="720"/>
        <w:rPr>
          <w:bCs/>
        </w:rPr>
      </w:pPr>
    </w:p>
    <w:p w14:paraId="3DBFB09D" w14:textId="77777777" w:rsidR="008626B6" w:rsidRDefault="008626B6" w:rsidP="008626B6">
      <w:pPr>
        <w:pStyle w:val="NoSpacing"/>
        <w:rPr>
          <w:b/>
          <w:bCs/>
        </w:rPr>
      </w:pPr>
    </w:p>
    <w:p w14:paraId="6F1B729A" w14:textId="77777777" w:rsidR="007A3239" w:rsidRDefault="007A3239" w:rsidP="00456C91">
      <w:pPr>
        <w:rPr>
          <w:rFonts w:ascii="Arial Black" w:hAnsi="Arial Black"/>
          <w:b/>
          <w:sz w:val="24"/>
          <w:szCs w:val="24"/>
        </w:rPr>
      </w:pPr>
    </w:p>
    <w:p w14:paraId="5DF67F7B" w14:textId="77777777" w:rsidR="007A3239" w:rsidRDefault="007A3239" w:rsidP="00456C91">
      <w:pPr>
        <w:rPr>
          <w:rFonts w:ascii="Arial Black" w:hAnsi="Arial Black"/>
          <w:b/>
          <w:sz w:val="24"/>
          <w:szCs w:val="24"/>
        </w:rPr>
      </w:pPr>
    </w:p>
    <w:p w14:paraId="36E52733" w14:textId="0B08717D" w:rsidR="00EC0328" w:rsidRDefault="00EC0328" w:rsidP="00456C91">
      <w:pPr>
        <w:rPr>
          <w:rFonts w:ascii="Arial Black" w:hAnsi="Arial Black"/>
          <w:b/>
          <w:sz w:val="24"/>
          <w:szCs w:val="24"/>
        </w:rPr>
      </w:pPr>
      <w:r>
        <w:rPr>
          <w:rFonts w:ascii="Arial Black" w:hAnsi="Arial Black"/>
          <w:b/>
          <w:sz w:val="24"/>
          <w:szCs w:val="24"/>
        </w:rPr>
        <w:t>8-87</w:t>
      </w:r>
    </w:p>
    <w:p w14:paraId="2A1336CA" w14:textId="77777777" w:rsidR="00FA2E76" w:rsidRPr="007B049A" w:rsidRDefault="00FA2E76" w:rsidP="00FA2E76">
      <w:pPr>
        <w:rPr>
          <w:rFonts w:ascii="Arial Black" w:hAnsi="Arial Black"/>
          <w:sz w:val="28"/>
          <w:szCs w:val="28"/>
        </w:rPr>
      </w:pPr>
      <w:r>
        <w:rPr>
          <w:rFonts w:ascii="Arial Black" w:hAnsi="Arial Black"/>
          <w:sz w:val="28"/>
          <w:szCs w:val="28"/>
        </w:rPr>
        <w:t>OH: 47-YR BLACK - RESIGNED – DEFAMATION / FILED LATE</w:t>
      </w:r>
    </w:p>
    <w:p w14:paraId="3E29BC19" w14:textId="77777777" w:rsidR="00FA2E76" w:rsidRPr="0024556B" w:rsidRDefault="00FA2E76" w:rsidP="00FA2E76">
      <w:pPr>
        <w:rPr>
          <w:b/>
        </w:rPr>
      </w:pPr>
      <w:r>
        <w:t xml:space="preserve">On December 15, 2025, in </w:t>
      </w:r>
      <w:r w:rsidRPr="00C02EC5">
        <w:rPr>
          <w:u w:val="single"/>
        </w:rPr>
        <w:t>Christian Baccus v. City of Columbus Division of Fire</w:t>
      </w:r>
      <w:r>
        <w:t xml:space="preserve">, U.S. District Court Judge </w:t>
      </w:r>
      <w:r w:rsidRPr="00C02EC5">
        <w:t xml:space="preserve">Edmund A. </w:t>
      </w:r>
      <w:proofErr w:type="spellStart"/>
      <w:r w:rsidRPr="00C02EC5">
        <w:t>Sargus</w:t>
      </w:r>
      <w:proofErr w:type="spellEnd"/>
      <w:r>
        <w:t xml:space="preserve">, </w:t>
      </w:r>
      <w:r w:rsidRPr="00C02EC5">
        <w:t>United States District Court, S.D. Ohio, Eastern Division</w:t>
      </w:r>
      <w:r>
        <w:t xml:space="preserve">, as recommended in a Report and Recommendation by U.S. Magistrate Judge Kimberly A. Jolson,  granted the City’s partial motion to dismiss his claims of defamation by training officers. </w:t>
      </w:r>
      <w:r w:rsidRPr="000172AE">
        <w:t>Under Ohio law, an action for libel and slander must be brought “within one year after the cause of action accrued.” Ohio Revised Code § 2305.11(A).</w:t>
      </w:r>
      <w:r>
        <w:t xml:space="preserve">  He resigned on March 14, 2024, and his pro se [no attorney] lawsuit was not filed until </w:t>
      </w:r>
      <w:r w:rsidRPr="0014146E">
        <w:t>June 30, 2025</w:t>
      </w:r>
      <w:r>
        <w:t xml:space="preserve">.  </w:t>
      </w:r>
      <w:hyperlink r:id="rId1472" w:history="1">
        <w:r w:rsidRPr="00B346EB">
          <w:rPr>
            <w:rStyle w:val="Hyperlink"/>
          </w:rPr>
          <w:t>https://public.fastcase.com/Jhe1Qn%2BmJndQYQU6z%2FeNm77nYWugAlzsBoxNmmqkM3E6Q88Vkqy0VZ5SiNrQruK%2B?utm_medium=email&amp;_hsenc=p2ANqtz-9AvFND94NtmZ3W9IwgKnyu4_gZwqiYmIH5_4QpXW_NHE8WVWhb5SJK4Whyo4GFBslMpA9EnrqLvXRYy-</w:t>
        </w:r>
      </w:hyperlink>
      <w:r>
        <w:t xml:space="preserve"> </w:t>
      </w:r>
    </w:p>
    <w:p w14:paraId="6221E751" w14:textId="77777777" w:rsidR="00FA2E76" w:rsidRDefault="00FA2E76" w:rsidP="00FA2E76">
      <w:r>
        <w:t>THE COURT HELD:</w:t>
      </w:r>
    </w:p>
    <w:p w14:paraId="49B3FF44" w14:textId="77777777" w:rsidR="00FA2E76" w:rsidRDefault="00FA2E76" w:rsidP="00FA2E76">
      <w:pPr>
        <w:ind w:left="720"/>
      </w:pPr>
      <w:r>
        <w:t>“</w:t>
      </w:r>
      <w:r w:rsidRPr="001F3E66">
        <w:t xml:space="preserve">This case is about discrimination Plaintiff Christian Baccus allegedly experienced at the hands of the City of Columbus, Division of Fire (the “City”). As told by his </w:t>
      </w:r>
      <w:r w:rsidRPr="001F3E66">
        <w:rPr>
          <w:i/>
          <w:iCs/>
        </w:rPr>
        <w:t>pro se</w:t>
      </w:r>
      <w:r w:rsidRPr="001F3E66">
        <w:t xml:space="preserve"> Amended Complaint, Plaintiff-a Black, 47-year-old man-was employed by the </w:t>
      </w:r>
      <w:proofErr w:type="gramStart"/>
      <w:r w:rsidRPr="001F3E66">
        <w:t>City</w:t>
      </w:r>
      <w:proofErr w:type="gramEnd"/>
      <w:r w:rsidRPr="001F3E66">
        <w:t xml:space="preserve"> as a firefighter in </w:t>
      </w:r>
      <w:r>
        <w:t>‘</w:t>
      </w:r>
      <w:r w:rsidRPr="001F3E66">
        <w:t>Recruit Class #119.</w:t>
      </w:r>
      <w:r>
        <w:t>’</w:t>
      </w:r>
    </w:p>
    <w:p w14:paraId="1954C2AD" w14:textId="77777777" w:rsidR="00FA2E76" w:rsidRDefault="00FA2E76" w:rsidP="00FA2E76">
      <w:pPr>
        <w:ind w:left="720"/>
      </w:pPr>
      <w:r>
        <w:t>***</w:t>
      </w:r>
    </w:p>
    <w:p w14:paraId="63BD1AB2" w14:textId="77777777" w:rsidR="00FA2E76" w:rsidRDefault="00FA2E76" w:rsidP="00FA2E76">
      <w:pPr>
        <w:ind w:left="720"/>
      </w:pPr>
      <w:r w:rsidRPr="00531DA3">
        <w:t>Though not completely clear, it seems that during Fire Assignments, Plaintiff was disciplined by his superiors for aspects of his practical performance</w:t>
      </w:r>
      <w:r>
        <w:t xml:space="preserve">…. </w:t>
      </w:r>
      <w:r w:rsidRPr="00531DA3">
        <w:t xml:space="preserve">He also experienced </w:t>
      </w:r>
      <w:r>
        <w:t>‘</w:t>
      </w:r>
      <w:r w:rsidRPr="00531DA3">
        <w:t>ridicule</w:t>
      </w:r>
      <w:r>
        <w:t>’</w:t>
      </w:r>
      <w:r w:rsidRPr="00531DA3">
        <w:t xml:space="preserve"> at the hands of one of his instructors, and he alleges his superiors </w:t>
      </w:r>
      <w:r>
        <w:t>‘</w:t>
      </w:r>
      <w:r w:rsidRPr="00531DA3">
        <w:t>lied</w:t>
      </w:r>
      <w:r>
        <w:t>’</w:t>
      </w:r>
      <w:r w:rsidRPr="00531DA3">
        <w:t xml:space="preserve"> about him on evaluations and elsewhere</w:t>
      </w:r>
      <w:r>
        <w:t xml:space="preserve">…. </w:t>
      </w:r>
      <w:r w:rsidRPr="00531DA3">
        <w:t xml:space="preserve">Then on March 14, 2024, the </w:t>
      </w:r>
      <w:proofErr w:type="gramStart"/>
      <w:r w:rsidRPr="00531DA3">
        <w:t>City</w:t>
      </w:r>
      <w:proofErr w:type="gramEnd"/>
      <w:r w:rsidRPr="00531DA3">
        <w:t xml:space="preserve"> gave Plaintiff the </w:t>
      </w:r>
      <w:r>
        <w:t>‘</w:t>
      </w:r>
      <w:r w:rsidRPr="00531DA3">
        <w:t>option to resign or be terminated.</w:t>
      </w:r>
      <w:r>
        <w:t xml:space="preserve">’ … </w:t>
      </w:r>
      <w:r w:rsidRPr="00531DA3">
        <w:t xml:space="preserve">Initially Plaintiff opted for termination, but he later </w:t>
      </w:r>
      <w:r>
        <w:t>‘</w:t>
      </w:r>
      <w:r w:rsidRPr="00531DA3">
        <w:t>changed [his] decision to resign.</w:t>
      </w:r>
      <w:r>
        <w:t xml:space="preserve">’ … </w:t>
      </w:r>
      <w:r w:rsidRPr="00531DA3">
        <w:t>Plaintiff further claims that other recruits who were white or women were not treated similarly</w:t>
      </w:r>
      <w:proofErr w:type="gramStart"/>
      <w:r>
        <w:t>…..</w:t>
      </w:r>
      <w:proofErr w:type="gramEnd"/>
      <w:r>
        <w:t xml:space="preserve"> </w:t>
      </w:r>
      <w:r w:rsidRPr="00531DA3">
        <w:t xml:space="preserve">For some, the </w:t>
      </w:r>
      <w:proofErr w:type="gramStart"/>
      <w:r w:rsidRPr="00531DA3">
        <w:t>City</w:t>
      </w:r>
      <w:proofErr w:type="gramEnd"/>
      <w:r w:rsidRPr="00531DA3">
        <w:t xml:space="preserve"> authorized additional training; and for others, the </w:t>
      </w:r>
      <w:proofErr w:type="gramStart"/>
      <w:r w:rsidRPr="00531DA3">
        <w:t>City</w:t>
      </w:r>
      <w:proofErr w:type="gramEnd"/>
      <w:r w:rsidRPr="00531DA3">
        <w:t xml:space="preserve"> allowed enrollment in other recruit classes</w:t>
      </w:r>
      <w:r>
        <w:t xml:space="preserve">…. </w:t>
      </w:r>
      <w:r w:rsidRPr="00531DA3">
        <w:t xml:space="preserve">Plaintiff also says he was </w:t>
      </w:r>
      <w:r>
        <w:t>‘</w:t>
      </w:r>
      <w:r w:rsidRPr="00531DA3">
        <w:t>treated differently</w:t>
      </w:r>
      <w:r>
        <w:t>’</w:t>
      </w:r>
      <w:r w:rsidRPr="00531DA3">
        <w:t xml:space="preserve"> because of his age</w:t>
      </w:r>
      <w:r>
        <w:t xml:space="preserve">…. </w:t>
      </w:r>
      <w:r w:rsidRPr="00531DA3">
        <w:t>Finally, Plaintiff alleges that the City's firefighter recruit evaluation methods are subjective and result in Black male recruits being dismissed at a higher rate than white or female recruits.</w:t>
      </w:r>
    </w:p>
    <w:p w14:paraId="68B6132D" w14:textId="77777777" w:rsidR="00FA2E76" w:rsidRDefault="00FA2E76" w:rsidP="00FA2E76">
      <w:pPr>
        <w:ind w:left="720"/>
      </w:pPr>
      <w:r>
        <w:t>***</w:t>
      </w:r>
    </w:p>
    <w:p w14:paraId="2C0A907F" w14:textId="77777777" w:rsidR="00FA2E76" w:rsidRDefault="00FA2E76" w:rsidP="00FA2E76">
      <w:pPr>
        <w:ind w:left="720"/>
      </w:pPr>
      <w:r w:rsidRPr="00F94BBA">
        <w:t xml:space="preserve">Ultimately, though, the Undersigned need not designate the exact day any of the allegedly defamatory statements happened. As stated, Ohio law is clear that an action for defamation must be brought within one year after the cause of action accrued, and the general rule is the statute of limitations begins to run when the defendant first speaks or publishes the allegedly defamatory words. </w:t>
      </w:r>
      <w:r w:rsidRPr="00F94BBA">
        <w:rPr>
          <w:i/>
          <w:iCs/>
        </w:rPr>
        <w:t>See</w:t>
      </w:r>
      <w:r w:rsidRPr="00F94BBA">
        <w:t xml:space="preserve"> Ohio Revised Code § 2305.11(A); </w:t>
      </w:r>
      <w:r w:rsidRPr="00F94BBA">
        <w:rPr>
          <w:i/>
          <w:iCs/>
        </w:rPr>
        <w:t>Haas</w:t>
      </w:r>
      <w:r w:rsidRPr="00F94BBA">
        <w:t>, 2024 WL 3925724, at *3</w:t>
      </w:r>
      <w:r>
        <w:t>.</w:t>
      </w:r>
    </w:p>
    <w:p w14:paraId="2C56283D" w14:textId="77777777" w:rsidR="00FA2E76" w:rsidRDefault="00FA2E76" w:rsidP="00FA2E76">
      <w:pPr>
        <w:ind w:left="720"/>
      </w:pPr>
      <w:r>
        <w:t>***</w:t>
      </w:r>
    </w:p>
    <w:p w14:paraId="0052664F" w14:textId="77777777" w:rsidR="00FA2E76" w:rsidRDefault="00FA2E76" w:rsidP="00FA2E76">
      <w:pPr>
        <w:ind w:left="720"/>
      </w:pPr>
      <w:r w:rsidRPr="000214B3">
        <w:t>Taken together, this means that Plaintiff's Amended Complaint may assert defamation claims only for statements spoken or published on or after June 30, 2024-within one year of when he initiated this action. Any prior claims are time-barred.</w:t>
      </w:r>
      <w:r>
        <w:t>”</w:t>
      </w:r>
    </w:p>
    <w:p w14:paraId="742B9660" w14:textId="77777777" w:rsidR="00FA2E76" w:rsidRPr="00F94BBA" w:rsidRDefault="00FA2E76" w:rsidP="00FA2E76">
      <w:pPr>
        <w:rPr>
          <w:b/>
          <w:bCs/>
        </w:rPr>
      </w:pPr>
      <w:r>
        <w:rPr>
          <w:b/>
        </w:rPr>
        <w:t xml:space="preserve">Legal lesson learned:  The defamation claims are dismissed; pretrial discovery may now proceed on the race and age claims. </w:t>
      </w:r>
    </w:p>
    <w:p w14:paraId="5B7BDDE4" w14:textId="77777777" w:rsidR="00EC0328" w:rsidRDefault="00EC0328" w:rsidP="00456C91">
      <w:pPr>
        <w:rPr>
          <w:rFonts w:ascii="Arial Black" w:hAnsi="Arial Black"/>
          <w:b/>
          <w:sz w:val="24"/>
          <w:szCs w:val="24"/>
        </w:rPr>
      </w:pPr>
    </w:p>
    <w:p w14:paraId="375F1D20" w14:textId="101D9F7B" w:rsidR="005D6817" w:rsidRDefault="005D6817" w:rsidP="00456C91">
      <w:pPr>
        <w:rPr>
          <w:rFonts w:ascii="Arial Black" w:hAnsi="Arial Black"/>
          <w:b/>
          <w:sz w:val="24"/>
          <w:szCs w:val="24"/>
        </w:rPr>
      </w:pPr>
      <w:r>
        <w:rPr>
          <w:rFonts w:ascii="Arial Black" w:hAnsi="Arial Black"/>
          <w:b/>
          <w:sz w:val="24"/>
          <w:szCs w:val="24"/>
        </w:rPr>
        <w:t>8-86</w:t>
      </w:r>
    </w:p>
    <w:p w14:paraId="45AA0B71" w14:textId="046811E4" w:rsidR="005D6817" w:rsidRDefault="005D6817" w:rsidP="005D6817">
      <w:pPr>
        <w:pStyle w:val="NoSpacing"/>
        <w:rPr>
          <w:rFonts w:ascii="Arial Black" w:hAnsi="Arial Black"/>
          <w:sz w:val="28"/>
          <w:szCs w:val="28"/>
        </w:rPr>
      </w:pPr>
      <w:r>
        <w:rPr>
          <w:rFonts w:ascii="Arial Black" w:hAnsi="Arial Black"/>
          <w:sz w:val="28"/>
          <w:szCs w:val="28"/>
        </w:rPr>
        <w:t>MD: BLACK FF – NO PROMOTION</w:t>
      </w:r>
      <w:r w:rsidR="00F70392">
        <w:rPr>
          <w:rFonts w:ascii="Arial Black" w:hAnsi="Arial Black"/>
          <w:sz w:val="28"/>
          <w:szCs w:val="28"/>
        </w:rPr>
        <w:t xml:space="preserve"> / RETALIATION</w:t>
      </w:r>
      <w:r>
        <w:rPr>
          <w:rFonts w:ascii="Arial Black" w:hAnsi="Arial Black"/>
          <w:sz w:val="28"/>
          <w:szCs w:val="28"/>
        </w:rPr>
        <w:t xml:space="preserve"> – JURY $311K </w:t>
      </w:r>
    </w:p>
    <w:p w14:paraId="5F1ED2D5" w14:textId="77777777" w:rsidR="00E024F9" w:rsidRDefault="00E024F9" w:rsidP="005D6817">
      <w:pPr>
        <w:pStyle w:val="NoSpacing"/>
      </w:pPr>
    </w:p>
    <w:p w14:paraId="53469C82" w14:textId="150E42A1" w:rsidR="005D6817" w:rsidRPr="00F2752F" w:rsidRDefault="005D6817" w:rsidP="005D6817">
      <w:pPr>
        <w:pStyle w:val="NoSpacing"/>
        <w:rPr>
          <w:bCs/>
        </w:rPr>
      </w:pPr>
      <w:r>
        <w:t xml:space="preserve">On November 4, 2025, in </w:t>
      </w:r>
      <w:r w:rsidRPr="0049359A">
        <w:rPr>
          <w:u w:val="single"/>
        </w:rPr>
        <w:t>Anne Arundel County, Maryland v. Bradley Willis</w:t>
      </w:r>
      <w:r>
        <w:t xml:space="preserve">, the </w:t>
      </w:r>
      <w:r w:rsidRPr="0049359A">
        <w:t>Court of Special Appeals of Maryland</w:t>
      </w:r>
      <w:r>
        <w:t xml:space="preserve">, held (3 to 0) that trial court </w:t>
      </w:r>
      <w:r w:rsidRPr="003B7259">
        <w:t>was well within its discretion to find a reasonable jury intended to award Willis $173,000.00</w:t>
      </w:r>
      <w:r>
        <w:t xml:space="preserve"> </w:t>
      </w:r>
      <w:r w:rsidRPr="003B7259">
        <w:t>in backpay.</w:t>
      </w:r>
      <w:r>
        <w:t xml:space="preserve">  THE COURT WROTE: “</w:t>
      </w:r>
      <w:r w:rsidRPr="00F2752F">
        <w:t>Bradley Willis was a Captain in the Anne Arundel County Fire Department until he</w:t>
      </w:r>
    </w:p>
    <w:p w14:paraId="39E0BE34" w14:textId="09870186" w:rsidR="005D6817" w:rsidRDefault="005D6817" w:rsidP="005D6817">
      <w:pPr>
        <w:pStyle w:val="NoSpacing"/>
        <w:rPr>
          <w:bCs/>
        </w:rPr>
      </w:pPr>
      <w:r w:rsidRPr="00F2752F">
        <w:t>was demoted to Firefighter II, suspended temporarily, and prohibited from a promotion for</w:t>
      </w:r>
      <w:r w:rsidR="00C62C35">
        <w:t xml:space="preserve"> </w:t>
      </w:r>
      <w:r w:rsidRPr="00F2752F">
        <w:t>three years after he was found guilty of misconduct. Willis unsuccessfully sued the County</w:t>
      </w:r>
      <w:r w:rsidR="00C62C35">
        <w:t xml:space="preserve"> </w:t>
      </w:r>
      <w:r w:rsidRPr="00F2752F">
        <w:t>claiming his demotion was racially motivated</w:t>
      </w:r>
      <w:r>
        <w:t xml:space="preserve">…. </w:t>
      </w:r>
      <w:r w:rsidRPr="0081665D">
        <w:t>Allan Graves (“Chief Graves”) was the Fire Chief of Anne Arundel County when</w:t>
      </w:r>
      <w:r>
        <w:t xml:space="preserve"> </w:t>
      </w:r>
      <w:r w:rsidRPr="0081665D">
        <w:t xml:space="preserve">Willis sued. </w:t>
      </w:r>
      <w:proofErr w:type="spellStart"/>
      <w:r w:rsidRPr="0081665D">
        <w:t>Some time</w:t>
      </w:r>
      <w:proofErr w:type="spellEnd"/>
      <w:r w:rsidRPr="0081665D">
        <w:t xml:space="preserve"> after his unsuccessful lawsuit, Willis became eligible for a</w:t>
      </w:r>
      <w:r>
        <w:t xml:space="preserve"> </w:t>
      </w:r>
      <w:r w:rsidRPr="0081665D">
        <w:t>promotion to the rank of Lieutenant. Willis scored second out of 100 candidates on the</w:t>
      </w:r>
      <w:r>
        <w:t xml:space="preserve"> </w:t>
      </w:r>
      <w:r w:rsidRPr="0081665D">
        <w:t>Lieutenant’s examination. When a vacancy became available, Chief Graves appointed the</w:t>
      </w:r>
      <w:r>
        <w:t xml:space="preserve"> </w:t>
      </w:r>
      <w:r w:rsidRPr="0081665D">
        <w:t>first ranked candidate; however, when a second vacancy opened, Chief Graves passed over</w:t>
      </w:r>
      <w:r>
        <w:t xml:space="preserve"> </w:t>
      </w:r>
      <w:r w:rsidRPr="0081665D">
        <w:t xml:space="preserve">Willis </w:t>
      </w:r>
      <w:r>
        <w:t xml:space="preserve">[on </w:t>
      </w:r>
      <w:r w:rsidRPr="009159FB">
        <w:t>September 20, 2018</w:t>
      </w:r>
      <w:r>
        <w:t xml:space="preserve">] </w:t>
      </w:r>
      <w:r w:rsidRPr="0081665D">
        <w:t>and promoted the third ranked candidate. Willis became a Lieutenant</w:t>
      </w:r>
      <w:r>
        <w:t xml:space="preserve"> [on </w:t>
      </w:r>
      <w:r w:rsidRPr="001C3EBB">
        <w:t>September 5, 2019</w:t>
      </w:r>
      <w:r>
        <w:t>]</w:t>
      </w:r>
      <w:r w:rsidRPr="0081665D">
        <w:t xml:space="preserve"> only after</w:t>
      </w:r>
      <w:r>
        <w:t xml:space="preserve"> </w:t>
      </w:r>
      <w:r w:rsidRPr="0081665D">
        <w:t>Chief Trisha Wolford succeeded Chief Graves</w:t>
      </w:r>
      <w:r>
        <w:t xml:space="preserve">…. </w:t>
      </w:r>
      <w:r w:rsidRPr="00A50C52">
        <w:t>The trial</w:t>
      </w:r>
      <w:r>
        <w:t xml:space="preserve"> </w:t>
      </w:r>
      <w:r w:rsidRPr="00A50C52">
        <w:t>eventually took place over four days in April 2024</w:t>
      </w:r>
      <w:r>
        <w:t xml:space="preserve">…. </w:t>
      </w:r>
      <w:r w:rsidRPr="007A44FF">
        <w:t>The jury ultimately ruled in Willis’ favor, finding that Chief’s Graves’ decision not</w:t>
      </w:r>
      <w:r>
        <w:t xml:space="preserve"> </w:t>
      </w:r>
      <w:r w:rsidRPr="007A44FF">
        <w:t>to promote Willis was retaliatory. After reaching that conclusion, the jury calculated</w:t>
      </w:r>
      <w:r>
        <w:t xml:space="preserve"> </w:t>
      </w:r>
      <w:r w:rsidRPr="007A44FF">
        <w:t>Willis’ damages</w:t>
      </w:r>
      <w:r>
        <w:t xml:space="preserve">…. </w:t>
      </w:r>
      <w:r w:rsidRPr="00074004">
        <w:t>The jury awarded Willis $311,000.00 in total, with the verdict sheet detailing their award</w:t>
      </w:r>
      <w:r>
        <w:t xml:space="preserve"> </w:t>
      </w:r>
      <w:r w:rsidRPr="00074004">
        <w:t xml:space="preserve">of $173,000.00 for </w:t>
      </w:r>
      <w:r>
        <w:t>‘</w:t>
      </w:r>
      <w:r w:rsidRPr="00074004">
        <w:t>Back Pay</w:t>
      </w:r>
      <w:r>
        <w:t>’</w:t>
      </w:r>
      <w:r w:rsidRPr="00074004">
        <w:t xml:space="preserve"> and $138,000.00 for </w:t>
      </w:r>
      <w:r>
        <w:t>‘</w:t>
      </w:r>
      <w:r w:rsidRPr="00074004">
        <w:t>Other Damages.</w:t>
      </w:r>
      <w:r>
        <w:t xml:space="preserve">’ </w:t>
      </w:r>
      <w:r w:rsidRPr="005069C2">
        <w:t>Following the</w:t>
      </w:r>
      <w:r>
        <w:t xml:space="preserve"> </w:t>
      </w:r>
      <w:r w:rsidRPr="005069C2">
        <w:t>court’s entry of final judgment, the County filed a Motion for Judgment Notwithstanding</w:t>
      </w:r>
      <w:r>
        <w:t xml:space="preserve"> </w:t>
      </w:r>
      <w:r w:rsidRPr="005069C2">
        <w:t>the Verdict, which the court denied.</w:t>
      </w:r>
      <w:r>
        <w:t>”</w:t>
      </w:r>
    </w:p>
    <w:p w14:paraId="7DEDAA20" w14:textId="77777777" w:rsidR="005D6817" w:rsidRDefault="005D6817" w:rsidP="005D6817">
      <w:pPr>
        <w:pStyle w:val="NoSpacing"/>
        <w:rPr>
          <w:bCs/>
        </w:rPr>
      </w:pPr>
      <w:hyperlink r:id="rId1473" w:history="1">
        <w:r w:rsidRPr="005B3B90">
          <w:rPr>
            <w:rStyle w:val="Hyperlink"/>
          </w:rPr>
          <w:t>https://www.mdcourts.gov/sites/default/files/unreported-opinions/1234s24.pdf</w:t>
        </w:r>
      </w:hyperlink>
      <w:r>
        <w:t xml:space="preserve"> </w:t>
      </w:r>
    </w:p>
    <w:p w14:paraId="21A49AA4" w14:textId="77777777" w:rsidR="005D6817" w:rsidRDefault="005D6817" w:rsidP="005D6817">
      <w:pPr>
        <w:pStyle w:val="NoSpacing"/>
        <w:rPr>
          <w:bCs/>
        </w:rPr>
      </w:pPr>
    </w:p>
    <w:p w14:paraId="42CD59B9" w14:textId="77777777" w:rsidR="005D6817" w:rsidRDefault="005D6817" w:rsidP="005D6817">
      <w:pPr>
        <w:pStyle w:val="NoSpacing"/>
        <w:rPr>
          <w:bCs/>
        </w:rPr>
      </w:pPr>
      <w:r>
        <w:t>THE COURT HELD:</w:t>
      </w:r>
    </w:p>
    <w:p w14:paraId="5AF7E75F" w14:textId="77777777" w:rsidR="005D6817" w:rsidRDefault="005D6817" w:rsidP="005D6817">
      <w:pPr>
        <w:pStyle w:val="NoSpacing"/>
        <w:rPr>
          <w:bCs/>
        </w:rPr>
      </w:pPr>
    </w:p>
    <w:p w14:paraId="73740731" w14:textId="77777777" w:rsidR="005D6817" w:rsidRDefault="005D6817" w:rsidP="005D6817">
      <w:pPr>
        <w:pStyle w:val="NoSpacing"/>
        <w:ind w:firstLine="720"/>
      </w:pPr>
      <w:r>
        <w:t>“Willis contends the jury’s verdict was supported by ample facts and expert opinion</w:t>
      </w:r>
    </w:p>
    <w:p w14:paraId="4544E148" w14:textId="77777777" w:rsidR="005D6817" w:rsidRDefault="005D6817" w:rsidP="005D6817">
      <w:pPr>
        <w:pStyle w:val="NoSpacing"/>
        <w:ind w:firstLine="720"/>
      </w:pPr>
      <w:r>
        <w:t>evidence. Specifically, he argues his expert economist, Rosenberg, provided several</w:t>
      </w:r>
    </w:p>
    <w:p w14:paraId="7E835202" w14:textId="77777777" w:rsidR="005D6817" w:rsidRDefault="005D6817" w:rsidP="005D6817">
      <w:pPr>
        <w:pStyle w:val="NoSpacing"/>
        <w:ind w:firstLine="720"/>
      </w:pPr>
      <w:r>
        <w:t>scenarios to guide the jury’s assessment of a damages award. Willis further maintains the</w:t>
      </w:r>
    </w:p>
    <w:p w14:paraId="0EEE022D" w14:textId="77777777" w:rsidR="005D6817" w:rsidRDefault="005D6817" w:rsidP="005D6817">
      <w:pPr>
        <w:pStyle w:val="NoSpacing"/>
        <w:ind w:firstLine="720"/>
      </w:pPr>
      <w:r>
        <w:t>County did not rebut Rosenberg’s calculations with its own economist’s opinion or other</w:t>
      </w:r>
    </w:p>
    <w:p w14:paraId="5BD63E1B" w14:textId="77777777" w:rsidR="005D6817" w:rsidRDefault="005D6817" w:rsidP="005D6817">
      <w:pPr>
        <w:pStyle w:val="NoSpacing"/>
        <w:ind w:firstLine="720"/>
      </w:pPr>
      <w:r>
        <w:t>contrary evidence. Willis argues his being passed over for the promotion had a cascading</w:t>
      </w:r>
    </w:p>
    <w:p w14:paraId="45196FC5" w14:textId="77777777" w:rsidR="005D6817" w:rsidRDefault="005D6817" w:rsidP="005D6817">
      <w:pPr>
        <w:pStyle w:val="NoSpacing"/>
        <w:ind w:firstLine="720"/>
      </w:pPr>
      <w:r>
        <w:t>effect on his career because it caused him to not be able to apply for further promotions,</w:t>
      </w:r>
    </w:p>
    <w:p w14:paraId="7BE1A9DC" w14:textId="77777777" w:rsidR="005D6817" w:rsidRDefault="005D6817" w:rsidP="005D6817">
      <w:pPr>
        <w:pStyle w:val="NoSpacing"/>
        <w:ind w:firstLine="720"/>
      </w:pPr>
      <w:r>
        <w:t>such as to Captain, for several years. Finally, Willis contends the jury’s verdict was not</w:t>
      </w:r>
    </w:p>
    <w:p w14:paraId="1B3E6033" w14:textId="77777777" w:rsidR="005D6817" w:rsidRDefault="005D6817" w:rsidP="005D6817">
      <w:pPr>
        <w:pStyle w:val="NoSpacing"/>
        <w:ind w:firstLine="720"/>
      </w:pPr>
      <w:r>
        <w:t>based on speculation. Indeed, the jury’s award of $173,000.00 reflected almost precisely</w:t>
      </w:r>
    </w:p>
    <w:p w14:paraId="42FD40FF" w14:textId="77777777" w:rsidR="005D6817" w:rsidRDefault="005D6817" w:rsidP="005D6817">
      <w:pPr>
        <w:pStyle w:val="NoSpacing"/>
        <w:ind w:firstLine="720"/>
      </w:pPr>
      <w:r>
        <w:t>the amount of total economic damages Rosenberg projected, assuming Willis would have</w:t>
      </w:r>
    </w:p>
    <w:p w14:paraId="08B34085" w14:textId="77777777" w:rsidR="005D6817" w:rsidRDefault="005D6817" w:rsidP="005D6817">
      <w:pPr>
        <w:pStyle w:val="NoSpacing"/>
        <w:ind w:firstLine="720"/>
      </w:pPr>
      <w:r>
        <w:t>re-obtained rank of Captain during the remainder of his career.</w:t>
      </w:r>
    </w:p>
    <w:p w14:paraId="5FBEE589" w14:textId="77777777" w:rsidR="005D6817" w:rsidRDefault="005D6817" w:rsidP="005D6817">
      <w:pPr>
        <w:pStyle w:val="NoSpacing"/>
        <w:ind w:firstLine="720"/>
      </w:pPr>
    </w:p>
    <w:p w14:paraId="3978B3F4" w14:textId="77777777" w:rsidR="005D6817" w:rsidRDefault="005D6817" w:rsidP="005D6817">
      <w:pPr>
        <w:pStyle w:val="NoSpacing"/>
        <w:ind w:firstLine="720"/>
      </w:pPr>
      <w:r>
        <w:t>***</w:t>
      </w:r>
    </w:p>
    <w:p w14:paraId="669C62CB" w14:textId="77777777" w:rsidR="005D6817" w:rsidRDefault="005D6817" w:rsidP="005D6817">
      <w:pPr>
        <w:pStyle w:val="NoSpacing"/>
        <w:ind w:left="720"/>
      </w:pPr>
      <w:r>
        <w:t xml:space="preserve">Here, as discussed, Rosenberg [Joseph Rosenberg, a forensic economist] went further than flatly saying what he believed the </w:t>
      </w:r>
      <w:proofErr w:type="gramStart"/>
      <w:r>
        <w:t>damages were</w:t>
      </w:r>
      <w:proofErr w:type="gramEnd"/>
      <w:r>
        <w:t>. He presented the jury with four possible scenarios to guide their calculations. These scenarios were backed with data such as salary projections and excerpts from the firefighter’s handbook. The four forecasts were adjusted for multiple factors such as taxes, mortality rates over the years, and cost of living.</w:t>
      </w:r>
    </w:p>
    <w:p w14:paraId="1886E6B5" w14:textId="77777777" w:rsidR="005D6817" w:rsidRDefault="005D6817" w:rsidP="005D6817">
      <w:pPr>
        <w:pStyle w:val="NoSpacing"/>
        <w:ind w:left="720"/>
      </w:pPr>
    </w:p>
    <w:p w14:paraId="0A4D62E2" w14:textId="77777777" w:rsidR="005D6817" w:rsidRDefault="005D6817" w:rsidP="005D6817">
      <w:pPr>
        <w:pStyle w:val="NoSpacing"/>
        <w:ind w:left="720"/>
      </w:pPr>
      <w:r w:rsidRPr="00E328A8">
        <w:t>What is telling, however, is that the</w:t>
      </w:r>
      <w:r>
        <w:t xml:space="preserve"> jury’s award for backpay of $173,000.00 matched, almost precisely, the total award suggested by Rosenberg ($173,077.00) in one of his four possible scenarios. This suggests the jury </w:t>
      </w:r>
      <w:proofErr w:type="gramStart"/>
      <w:r>
        <w:t>considered</w:t>
      </w:r>
      <w:proofErr w:type="gramEnd"/>
      <w:r>
        <w:t xml:space="preserve"> the evidence and testimony presented, and their verdict reflected their understanding and intent to award Willis total economic damages. Thus, the evidence produced at trial rose above speculation, hypothesis, or conjecture, and it supported the jury’s verdict with reasonable certainty. Therefore, we affirm”</w:t>
      </w:r>
    </w:p>
    <w:p w14:paraId="55D72342" w14:textId="77777777" w:rsidR="005D6817" w:rsidRDefault="005D6817" w:rsidP="005D6817">
      <w:pPr>
        <w:pStyle w:val="NoSpacing"/>
        <w:ind w:left="720"/>
      </w:pPr>
    </w:p>
    <w:p w14:paraId="39708CCB" w14:textId="0C3240A5" w:rsidR="005D6817" w:rsidRDefault="005D6817" w:rsidP="005D6817">
      <w:pPr>
        <w:pStyle w:val="NoSpacing"/>
        <w:rPr>
          <w:b/>
          <w:bCs/>
        </w:rPr>
      </w:pPr>
      <w:r>
        <w:rPr>
          <w:b/>
        </w:rPr>
        <w:t>Legal lesson learned: The plaintiff won back pay</w:t>
      </w:r>
      <w:r w:rsidR="00C14B11">
        <w:rPr>
          <w:b/>
        </w:rPr>
        <w:t xml:space="preserve"> from the jury</w:t>
      </w:r>
      <w:r>
        <w:rPr>
          <w:b/>
        </w:rPr>
        <w:t xml:space="preserve">, </w:t>
      </w:r>
      <w:r w:rsidR="008F4842">
        <w:rPr>
          <w:b/>
        </w:rPr>
        <w:t xml:space="preserve">and </w:t>
      </w:r>
      <w:r>
        <w:rPr>
          <w:b/>
        </w:rPr>
        <w:t>the trial c</w:t>
      </w:r>
      <w:r w:rsidRPr="003E385E">
        <w:rPr>
          <w:b/>
        </w:rPr>
        <w:t xml:space="preserve">ourt </w:t>
      </w:r>
      <w:r>
        <w:rPr>
          <w:b/>
        </w:rPr>
        <w:t xml:space="preserve">judge </w:t>
      </w:r>
      <w:r w:rsidRPr="003E385E">
        <w:rPr>
          <w:b/>
        </w:rPr>
        <w:t>awarded $317,016.28 in attorneys’ fees and costs</w:t>
      </w:r>
      <w:r>
        <w:rPr>
          <w:b/>
        </w:rPr>
        <w:t xml:space="preserve"> </w:t>
      </w:r>
      <w:r w:rsidRPr="003E385E">
        <w:rPr>
          <w:b/>
        </w:rPr>
        <w:t>of $19,942.84.</w:t>
      </w:r>
    </w:p>
    <w:p w14:paraId="2DD61E37" w14:textId="77777777" w:rsidR="005D6817" w:rsidRDefault="005D6817" w:rsidP="005D6817">
      <w:pPr>
        <w:pStyle w:val="NoSpacing"/>
        <w:rPr>
          <w:b/>
          <w:bCs/>
        </w:rPr>
      </w:pPr>
    </w:p>
    <w:p w14:paraId="2864FF7C" w14:textId="77777777" w:rsidR="005D6817" w:rsidRDefault="005D6817" w:rsidP="00456C91">
      <w:pPr>
        <w:rPr>
          <w:rFonts w:ascii="Arial Black" w:hAnsi="Arial Black"/>
          <w:b/>
          <w:sz w:val="24"/>
          <w:szCs w:val="24"/>
        </w:rPr>
      </w:pPr>
    </w:p>
    <w:p w14:paraId="62928E9E" w14:textId="77777777" w:rsidR="005D6817" w:rsidRDefault="005D6817" w:rsidP="00456C91">
      <w:pPr>
        <w:rPr>
          <w:rFonts w:ascii="Arial Black" w:hAnsi="Arial Black"/>
          <w:b/>
          <w:sz w:val="24"/>
          <w:szCs w:val="24"/>
        </w:rPr>
      </w:pPr>
    </w:p>
    <w:p w14:paraId="08DBF633" w14:textId="56ED2433" w:rsidR="009D5C36" w:rsidRDefault="009D5C36" w:rsidP="00456C91">
      <w:pPr>
        <w:rPr>
          <w:rFonts w:ascii="Arial Black" w:hAnsi="Arial Black"/>
          <w:b/>
          <w:sz w:val="24"/>
          <w:szCs w:val="24"/>
        </w:rPr>
      </w:pPr>
      <w:r>
        <w:rPr>
          <w:rFonts w:ascii="Arial Black" w:hAnsi="Arial Black"/>
          <w:b/>
          <w:sz w:val="24"/>
          <w:szCs w:val="24"/>
        </w:rPr>
        <w:t>8-85</w:t>
      </w:r>
    </w:p>
    <w:p w14:paraId="567E36C3" w14:textId="77777777" w:rsidR="00E22376" w:rsidRPr="00586222" w:rsidRDefault="00E22376" w:rsidP="00E22376">
      <w:pPr>
        <w:pStyle w:val="NoSpacing"/>
        <w:rPr>
          <w:rFonts w:ascii="Arial Black" w:hAnsi="Arial Black"/>
          <w:sz w:val="28"/>
          <w:szCs w:val="28"/>
        </w:rPr>
      </w:pPr>
      <w:r>
        <w:rPr>
          <w:rFonts w:ascii="Arial Black" w:hAnsi="Arial Black"/>
          <w:sz w:val="28"/>
          <w:szCs w:val="28"/>
        </w:rPr>
        <w:t>CA: CAPT PROMOTION – PAPERWORK ERROR / NOT RACE</w:t>
      </w:r>
    </w:p>
    <w:p w14:paraId="4307C9EE" w14:textId="77777777" w:rsidR="00E22376" w:rsidRDefault="00E22376" w:rsidP="00E22376">
      <w:pPr>
        <w:pStyle w:val="NoSpacing"/>
      </w:pPr>
    </w:p>
    <w:p w14:paraId="1CDA894D" w14:textId="77777777" w:rsidR="00E22376" w:rsidRDefault="00E22376" w:rsidP="00E22376">
      <w:pPr>
        <w:pStyle w:val="NoSpacing"/>
        <w:rPr>
          <w:b/>
        </w:rPr>
      </w:pPr>
      <w:r>
        <w:t xml:space="preserve">On Oct. 21, 2025, in </w:t>
      </w:r>
      <w:r w:rsidRPr="00032EE9">
        <w:rPr>
          <w:u w:val="single"/>
        </w:rPr>
        <w:t>Christopher Davis v. County of Los Angeles</w:t>
      </w:r>
      <w:r>
        <w:t xml:space="preserve">, the </w:t>
      </w:r>
      <w:r w:rsidRPr="00032EE9">
        <w:t xml:space="preserve">California Court of </w:t>
      </w:r>
      <w:proofErr w:type="gramStart"/>
      <w:r w:rsidRPr="00032EE9">
        <w:t>Appeals</w:t>
      </w:r>
      <w:proofErr w:type="gramEnd"/>
      <w:r w:rsidRPr="00032EE9">
        <w:t>, Second District, Second Division</w:t>
      </w:r>
      <w:r>
        <w:t xml:space="preserve"> held (3 to 0) that trial court granted summary judgment to the County. He was not promoted to Captain in 2018; his Captain (also </w:t>
      </w:r>
      <w:proofErr w:type="gramStart"/>
      <w:r>
        <w:t>African-American</w:t>
      </w:r>
      <w:proofErr w:type="gramEnd"/>
      <w:r>
        <w:t xml:space="preserve">) prepared a memo updating plaintiff’s work activities (7 “Emergency Action Plan” activities, instead of 2 ) but memo never made it into FF’s personnel file. Six other candidates had similar issues with lack of records in their personnel file.   He was promoted in 2021 with corrected paperwork in his file.  </w:t>
      </w:r>
      <w:hyperlink r:id="rId1474" w:history="1">
        <w:r w:rsidRPr="00222699">
          <w:rPr>
            <w:rStyle w:val="Hyperlink"/>
            <w:b/>
          </w:rPr>
          <w:t>https://www4.courts.ca.gov/opinions/nonpub/B332575.PDF</w:t>
        </w:r>
      </w:hyperlink>
      <w:r>
        <w:rPr>
          <w:b/>
        </w:rPr>
        <w:t xml:space="preserve"> </w:t>
      </w:r>
    </w:p>
    <w:p w14:paraId="06D220A6" w14:textId="77777777" w:rsidR="00E22376" w:rsidRDefault="00E22376" w:rsidP="00E22376">
      <w:pPr>
        <w:pStyle w:val="NoSpacing"/>
        <w:rPr>
          <w:bCs/>
        </w:rPr>
      </w:pPr>
    </w:p>
    <w:p w14:paraId="463B3355" w14:textId="77777777" w:rsidR="00E22376" w:rsidRDefault="00E22376" w:rsidP="00E22376">
      <w:pPr>
        <w:pStyle w:val="NoSpacing"/>
        <w:rPr>
          <w:bCs/>
        </w:rPr>
      </w:pPr>
      <w:r>
        <w:t xml:space="preserve">THE COURT HELD:  </w:t>
      </w:r>
    </w:p>
    <w:p w14:paraId="682D121A" w14:textId="77777777" w:rsidR="00E22376" w:rsidRDefault="00E22376" w:rsidP="00E22376">
      <w:pPr>
        <w:pStyle w:val="NoSpacing"/>
        <w:rPr>
          <w:bCs/>
        </w:rPr>
      </w:pPr>
    </w:p>
    <w:p w14:paraId="241C6190" w14:textId="77777777" w:rsidR="00E22376" w:rsidRDefault="00E22376" w:rsidP="00E22376">
      <w:pPr>
        <w:pStyle w:val="NoSpacing"/>
        <w:ind w:left="720"/>
      </w:pPr>
      <w:r>
        <w:t xml:space="preserve">“First, there is no evidence the fire department—led by an </w:t>
      </w:r>
      <w:proofErr w:type="gramStart"/>
      <w:r>
        <w:t>African-American</w:t>
      </w:r>
      <w:proofErr w:type="gramEnd"/>
      <w:r>
        <w:t xml:space="preserve"> fire chief—harbored discriminatory intent. Davis’s direct supervisor, Captain Williams, is </w:t>
      </w:r>
      <w:proofErr w:type="gramStart"/>
      <w:r>
        <w:t>African-American</w:t>
      </w:r>
      <w:proofErr w:type="gramEnd"/>
      <w:r>
        <w:t xml:space="preserve">. Eleven </w:t>
      </w:r>
      <w:proofErr w:type="gramStart"/>
      <w:r>
        <w:t>African-Americans</w:t>
      </w:r>
      <w:proofErr w:type="gramEnd"/>
      <w:r>
        <w:t xml:space="preserve"> applied for a captainship, and 10 of them were promoted. Davis himself was promoted to captain the next year when he reapplied using improved paperwork.</w:t>
      </w:r>
    </w:p>
    <w:p w14:paraId="6FD79D4A" w14:textId="77777777" w:rsidR="00E22376" w:rsidRDefault="00E22376" w:rsidP="00E22376">
      <w:pPr>
        <w:pStyle w:val="NoSpacing"/>
        <w:ind w:left="720"/>
      </w:pPr>
    </w:p>
    <w:p w14:paraId="3DBA00C4" w14:textId="77777777" w:rsidR="00E22376" w:rsidRDefault="00E22376" w:rsidP="00E22376">
      <w:pPr>
        <w:pStyle w:val="NoSpacing"/>
        <w:ind w:left="720"/>
      </w:pPr>
      <w:r>
        <w:t>***</w:t>
      </w:r>
    </w:p>
    <w:p w14:paraId="23BC33CD" w14:textId="77777777" w:rsidR="00E22376" w:rsidRPr="004A682C" w:rsidRDefault="00E22376" w:rsidP="00E22376">
      <w:pPr>
        <w:pStyle w:val="NoSpacing"/>
        <w:ind w:left="720"/>
        <w:rPr>
          <w:bCs/>
        </w:rPr>
      </w:pPr>
    </w:p>
    <w:p w14:paraId="061BF5B9" w14:textId="77777777" w:rsidR="00E22376" w:rsidRDefault="00E22376" w:rsidP="00E22376">
      <w:pPr>
        <w:pStyle w:val="NoSpacing"/>
        <w:ind w:left="720"/>
      </w:pPr>
      <w:r>
        <w:t xml:space="preserve">Davis’s description of events in his brief shows his promotion was delayed by administrative error. He writes that his supervisor, Captain </w:t>
      </w:r>
      <w:proofErr w:type="gramStart"/>
      <w:r>
        <w:t>Williams, ‘</w:t>
      </w:r>
      <w:proofErr w:type="gramEnd"/>
      <w:r>
        <w:t xml:space="preserve">originally failed to include a list of [Davis’s] EAP’s in </w:t>
      </w:r>
      <w:proofErr w:type="spellStart"/>
      <w:r>
        <w:t>Davis’</w:t>
      </w:r>
      <w:proofErr w:type="spellEnd"/>
      <w:r>
        <w:t xml:space="preserve"> Performance Evaluation.’ Davis does not claim Williams, who is </w:t>
      </w:r>
      <w:proofErr w:type="gramStart"/>
      <w:r>
        <w:t>African-American</w:t>
      </w:r>
      <w:proofErr w:type="gramEnd"/>
      <w:r>
        <w:t xml:space="preserve">, was motivated by racism. Davis further writes that Williams agreed to amend the evaluation, and ‘was expected to send the amended page to the appropriate person or department such that the Performance Evaluation could be officially amended and an amended copy placed in </w:t>
      </w:r>
      <w:proofErr w:type="spellStart"/>
      <w:r>
        <w:t>Davis’</w:t>
      </w:r>
      <w:proofErr w:type="spellEnd"/>
      <w:r>
        <w:t xml:space="preserve"> personnel file. . . . While Williams intended to send the amendment page of the performance evaluation up through channels, Davis later discovered his performance evaluation that should have contained the amendment was not back in his personnel file. He surmises, ‘it is highly likely that the amended performance evaluation got lost in the chain.’</w:t>
      </w:r>
    </w:p>
    <w:p w14:paraId="79AE8129" w14:textId="77777777" w:rsidR="00E22376" w:rsidRDefault="00E22376" w:rsidP="00E22376">
      <w:pPr>
        <w:pStyle w:val="NoSpacing"/>
        <w:ind w:left="720"/>
      </w:pPr>
    </w:p>
    <w:p w14:paraId="369E029F" w14:textId="77777777" w:rsidR="00E22376" w:rsidRDefault="00E22376" w:rsidP="00E22376">
      <w:pPr>
        <w:pStyle w:val="NoSpacing"/>
        <w:ind w:left="720"/>
      </w:pPr>
      <w:r>
        <w:t>***</w:t>
      </w:r>
    </w:p>
    <w:p w14:paraId="66D769FF" w14:textId="77777777" w:rsidR="00E22376" w:rsidRDefault="00E22376" w:rsidP="00E22376">
      <w:pPr>
        <w:pStyle w:val="NoSpacing"/>
        <w:ind w:left="720"/>
      </w:pPr>
      <w:r>
        <w:t>County offered evidence that six candidates of various races (Latino, White, and Filipino) were denied points for insufficiently documented work activities; Davis was not treated differently.”</w:t>
      </w:r>
    </w:p>
    <w:p w14:paraId="710A4C7A" w14:textId="77777777" w:rsidR="00E22376" w:rsidRDefault="00E22376" w:rsidP="00E22376">
      <w:pPr>
        <w:pStyle w:val="NoSpacing"/>
        <w:ind w:left="720"/>
      </w:pPr>
    </w:p>
    <w:p w14:paraId="3324D34A" w14:textId="7F8AA682" w:rsidR="00E22376" w:rsidRDefault="00E22376" w:rsidP="00E22376">
      <w:pPr>
        <w:pStyle w:val="NoSpacing"/>
        <w:rPr>
          <w:b/>
          <w:bCs/>
        </w:rPr>
      </w:pPr>
      <w:r>
        <w:rPr>
          <w:b/>
        </w:rPr>
        <w:t xml:space="preserve">Lesson learned: The County proved that there was a paperwork issue, </w:t>
      </w:r>
      <w:proofErr w:type="gramStart"/>
      <w:r>
        <w:rPr>
          <w:b/>
        </w:rPr>
        <w:t>similar to</w:t>
      </w:r>
      <w:proofErr w:type="gramEnd"/>
      <w:r>
        <w:rPr>
          <w:b/>
        </w:rPr>
        <w:t xml:space="preserve"> six other candidates, not race.  </w:t>
      </w:r>
    </w:p>
    <w:p w14:paraId="0CF017CB" w14:textId="77777777" w:rsidR="009D5C36" w:rsidRDefault="009D5C36" w:rsidP="00456C91">
      <w:pPr>
        <w:rPr>
          <w:rFonts w:ascii="Arial Black" w:hAnsi="Arial Black"/>
          <w:b/>
          <w:sz w:val="24"/>
          <w:szCs w:val="24"/>
        </w:rPr>
      </w:pPr>
    </w:p>
    <w:p w14:paraId="1D8FC3DD" w14:textId="77777777" w:rsidR="001B367D" w:rsidRDefault="001B367D" w:rsidP="00456C91">
      <w:pPr>
        <w:rPr>
          <w:rFonts w:ascii="Arial Black" w:hAnsi="Arial Black"/>
          <w:b/>
          <w:sz w:val="24"/>
          <w:szCs w:val="24"/>
        </w:rPr>
      </w:pPr>
    </w:p>
    <w:p w14:paraId="1E6F89B8" w14:textId="7E002B3E" w:rsidR="001B367D" w:rsidRDefault="001B367D" w:rsidP="00456C91">
      <w:pPr>
        <w:rPr>
          <w:rFonts w:ascii="Arial Black" w:hAnsi="Arial Black"/>
          <w:b/>
          <w:sz w:val="24"/>
          <w:szCs w:val="24"/>
        </w:rPr>
      </w:pPr>
      <w:r>
        <w:rPr>
          <w:rFonts w:ascii="Arial Black" w:hAnsi="Arial Black"/>
          <w:b/>
          <w:sz w:val="24"/>
          <w:szCs w:val="24"/>
        </w:rPr>
        <w:t>8-84</w:t>
      </w:r>
    </w:p>
    <w:p w14:paraId="4805D631" w14:textId="1703EA61" w:rsidR="00BE5492" w:rsidRDefault="00BE5492" w:rsidP="00BE5492">
      <w:pPr>
        <w:pStyle w:val="NoSpacing"/>
        <w:rPr>
          <w:rFonts w:ascii="Arial Black" w:hAnsi="Arial Black"/>
          <w:sz w:val="28"/>
          <w:szCs w:val="28"/>
        </w:rPr>
      </w:pPr>
      <w:r>
        <w:rPr>
          <w:rFonts w:ascii="Arial Black" w:hAnsi="Arial Black"/>
          <w:sz w:val="28"/>
          <w:szCs w:val="28"/>
        </w:rPr>
        <w:t>LA: NOT RACE  – COMPETENCY EXAM</w:t>
      </w:r>
      <w:r w:rsidR="0012290C">
        <w:rPr>
          <w:rFonts w:ascii="Arial Black" w:hAnsi="Arial Black"/>
          <w:sz w:val="28"/>
          <w:szCs w:val="28"/>
        </w:rPr>
        <w:t xml:space="preserve"> IN</w:t>
      </w:r>
      <w:r>
        <w:rPr>
          <w:rFonts w:ascii="Arial Black" w:hAnsi="Arial Black"/>
          <w:sz w:val="28"/>
          <w:szCs w:val="28"/>
        </w:rPr>
        <w:t xml:space="preserve"> PRE-PLANS JOB REQ. </w:t>
      </w:r>
    </w:p>
    <w:p w14:paraId="22F6F27D" w14:textId="77777777" w:rsidR="00BE5492" w:rsidRDefault="00BE5492" w:rsidP="00BE5492">
      <w:pPr>
        <w:pStyle w:val="NoSpacing"/>
      </w:pPr>
    </w:p>
    <w:p w14:paraId="76C17355" w14:textId="77777777" w:rsidR="00BE5492" w:rsidRPr="005D412D" w:rsidRDefault="00BE5492" w:rsidP="00BE5492">
      <w:pPr>
        <w:pStyle w:val="NoSpacing"/>
        <w:rPr>
          <w:bCs/>
        </w:rPr>
      </w:pPr>
      <w:r>
        <w:t xml:space="preserve">On Oct. 17, 2025, in </w:t>
      </w:r>
      <w:r w:rsidRPr="005D412D">
        <w:rPr>
          <w:u w:val="single"/>
        </w:rPr>
        <w:t>Felicia Scroggins v. City of Shreveport</w:t>
      </w:r>
      <w:r w:rsidRPr="005D412D">
        <w:t xml:space="preserve">, </w:t>
      </w:r>
      <w:r>
        <w:t>the U.S. Court of Appeals for 5</w:t>
      </w:r>
      <w:r w:rsidRPr="005D412D">
        <w:rPr>
          <w:vertAlign w:val="superscript"/>
        </w:rPr>
        <w:t>th</w:t>
      </w:r>
      <w:r>
        <w:t xml:space="preserve"> Circuit (New Orleans) upheld (3 to 0) the dismissal of her race and sex discrimination lawsuit. In her pro se appeal brief “</w:t>
      </w:r>
      <w:r w:rsidRPr="00012AD3">
        <w:t>of the ten cases Scroggins cites, four appear to be fake</w:t>
      </w:r>
      <w:r>
        <w:t>.”  The fire department conducted a competency exam for personnel seeking to join the pre-plan review unit;   she didn’t even take the exam for the second bid process. Court held that the U.S. District Court judge granted summary judgment to the city, and “</w:t>
      </w:r>
      <w:r w:rsidRPr="00AE3FCF">
        <w:t xml:space="preserve">explained that she had failed to </w:t>
      </w:r>
      <w:r>
        <w:t>‘</w:t>
      </w:r>
      <w:r w:rsidRPr="00AE3FCF">
        <w:t>produce[] . . .</w:t>
      </w:r>
      <w:r>
        <w:t xml:space="preserve"> </w:t>
      </w:r>
      <w:r w:rsidRPr="00AE3FCF">
        <w:t>competent summary judgment evidence</w:t>
      </w:r>
      <w:r>
        <w:t>’</w:t>
      </w:r>
      <w:r w:rsidRPr="00AE3FCF">
        <w:t xml:space="preserve"> of pretext necessary to survive</w:t>
      </w:r>
      <w:r>
        <w:t xml:space="preserve"> </w:t>
      </w:r>
      <w:r w:rsidRPr="00AE3FCF">
        <w:t>summary judgment on any theory of retaliation</w:t>
      </w:r>
      <w:r>
        <w:t xml:space="preserve">… </w:t>
      </w:r>
      <w:r w:rsidRPr="00AE3FCF">
        <w:t>She points us to no part of</w:t>
      </w:r>
      <w:r>
        <w:t xml:space="preserve"> </w:t>
      </w:r>
      <w:r w:rsidRPr="00AE3FCF">
        <w:t>the record showing otherwise and has accordingly forfeited her challenge.</w:t>
      </w:r>
      <w:r>
        <w:t xml:space="preserve">” </w:t>
      </w:r>
      <w:r w:rsidRPr="00226503">
        <w:t>Scroggins ceased employment with the SFD in January 2023.</w:t>
      </w:r>
    </w:p>
    <w:p w14:paraId="7672807B" w14:textId="77777777" w:rsidR="00BE5492" w:rsidRDefault="00BE5492" w:rsidP="00BE5492">
      <w:pPr>
        <w:pStyle w:val="NoSpacing"/>
        <w:rPr>
          <w:bCs/>
        </w:rPr>
      </w:pPr>
      <w:hyperlink r:id="rId1475" w:history="1">
        <w:r w:rsidRPr="00D86B5D">
          <w:rPr>
            <w:rStyle w:val="Hyperlink"/>
          </w:rPr>
          <w:t>https://www.ca5.uscourts.gov/opinions/pub/24/24-30777-CV0.pdf</w:t>
        </w:r>
      </w:hyperlink>
      <w:r>
        <w:t xml:space="preserve"> </w:t>
      </w:r>
    </w:p>
    <w:p w14:paraId="21B7F196" w14:textId="77777777" w:rsidR="00BE5492" w:rsidRDefault="00BE5492" w:rsidP="00BE5492">
      <w:pPr>
        <w:pStyle w:val="NoSpacing"/>
        <w:rPr>
          <w:bCs/>
        </w:rPr>
      </w:pPr>
    </w:p>
    <w:p w14:paraId="28BBC78F" w14:textId="77777777" w:rsidR="00BE5492" w:rsidRDefault="00BE5492" w:rsidP="00BE5492">
      <w:pPr>
        <w:pStyle w:val="NoSpacing"/>
        <w:rPr>
          <w:bCs/>
        </w:rPr>
      </w:pPr>
      <w:r>
        <w:t xml:space="preserve">THE DISRICT COURT HOLDING: </w:t>
      </w:r>
    </w:p>
    <w:p w14:paraId="46E3780A" w14:textId="77777777" w:rsidR="00BE5492" w:rsidRDefault="00BE5492" w:rsidP="00BE5492">
      <w:pPr>
        <w:pStyle w:val="NoSpacing"/>
        <w:rPr>
          <w:bCs/>
        </w:rPr>
      </w:pPr>
    </w:p>
    <w:p w14:paraId="1F80EF3A" w14:textId="77777777" w:rsidR="00BE5492" w:rsidRDefault="00BE5492" w:rsidP="00BE5492">
      <w:pPr>
        <w:pStyle w:val="NoSpacing"/>
        <w:rPr>
          <w:bCs/>
        </w:rPr>
      </w:pPr>
      <w:r>
        <w:t xml:space="preserve">On Nov. 13, 2024, United States District Court Judge S. Maurica Hicks, Jr. granted summary judgment to the </w:t>
      </w:r>
      <w:proofErr w:type="gramStart"/>
      <w:r>
        <w:t>City</w:t>
      </w:r>
      <w:proofErr w:type="gramEnd"/>
      <w:r>
        <w:t xml:space="preserve">. </w:t>
      </w:r>
      <w:hyperlink r:id="rId1476" w:history="1">
        <w:r w:rsidRPr="00D86B5D">
          <w:rPr>
            <w:rStyle w:val="Hyperlink"/>
          </w:rPr>
          <w:t>https://www.casemine.com/judgement/us/6736ce6c5891a561b0d805aa</w:t>
        </w:r>
      </w:hyperlink>
      <w:r>
        <w:t xml:space="preserve"> </w:t>
      </w:r>
    </w:p>
    <w:p w14:paraId="30664483" w14:textId="77777777" w:rsidR="00BE5492" w:rsidRDefault="00BE5492" w:rsidP="00BE5492">
      <w:pPr>
        <w:pStyle w:val="NoSpacing"/>
      </w:pPr>
    </w:p>
    <w:p w14:paraId="5E5F1128" w14:textId="77777777" w:rsidR="00BE5492" w:rsidRPr="000E3394" w:rsidRDefault="00BE5492" w:rsidP="00BE5492">
      <w:pPr>
        <w:pStyle w:val="NoSpacing"/>
      </w:pPr>
      <w:r>
        <w:tab/>
        <w:t>“</w:t>
      </w:r>
      <w:r w:rsidRPr="000E3394">
        <w:t>In his sworn declaration, Chief Scott Wolverton (</w:t>
      </w:r>
      <w:r>
        <w:t>‘</w:t>
      </w:r>
      <w:r w:rsidRPr="000E3394">
        <w:t>Chief Wolverton</w:t>
      </w:r>
      <w:r>
        <w:t>’</w:t>
      </w:r>
      <w:r w:rsidRPr="000E3394">
        <w:t xml:space="preserve">) stated: </w:t>
      </w:r>
    </w:p>
    <w:p w14:paraId="002214E2" w14:textId="77777777" w:rsidR="00BE5492" w:rsidRDefault="00BE5492" w:rsidP="00BE5492">
      <w:pPr>
        <w:pStyle w:val="NoSpacing"/>
        <w:ind w:left="1440"/>
      </w:pPr>
      <w:r w:rsidRPr="000E3394">
        <w:t xml:space="preserve">After I became Chief in February 2015, I decided to implement a competency test on pre-plans for all SFD personnel bidding for as assignment at Station 22. I did so to ensure that Station 22 would be staffed </w:t>
      </w:r>
      <w:r>
        <w:t xml:space="preserve"> </w:t>
      </w:r>
      <w:r w:rsidRPr="000E3394">
        <w:t>by individuals that were the most knowledgeable on pre-</w:t>
      </w:r>
      <w:proofErr w:type="gramStart"/>
      <w:r w:rsidRPr="000E3394">
        <w:t>plans</w:t>
      </w:r>
      <w:proofErr w:type="gramEnd"/>
      <w:r w:rsidRPr="000E3394">
        <w:t xml:space="preserve">, because they are vitally important to the SFD's mission and operations. </w:t>
      </w:r>
    </w:p>
    <w:p w14:paraId="3687E46A" w14:textId="77777777" w:rsidR="00BE5492" w:rsidRDefault="00BE5492" w:rsidP="00BE5492">
      <w:pPr>
        <w:pStyle w:val="NoSpacing"/>
      </w:pPr>
      <w:r>
        <w:tab/>
        <w:t>***</w:t>
      </w:r>
    </w:p>
    <w:p w14:paraId="165286D6" w14:textId="77777777" w:rsidR="00BE5492" w:rsidRDefault="00BE5492" w:rsidP="00BE5492">
      <w:pPr>
        <w:pStyle w:val="NoSpacing"/>
      </w:pPr>
    </w:p>
    <w:p w14:paraId="770B76D0" w14:textId="77777777" w:rsidR="00BE5492" w:rsidRDefault="00BE5492" w:rsidP="00BE5492">
      <w:pPr>
        <w:pStyle w:val="NoSpacing"/>
        <w:ind w:left="720"/>
      </w:pPr>
      <w:r w:rsidRPr="007805E1">
        <w:t>On August 10, 2015, Deputy Chief Jones issued an Inter-Office Memorandum to all SFD personnel advising that all personnel - regardless of rank - bidding for a position at Station 22 would be required to complete a competency test to ensure they have the necessary skills for the assignment</w:t>
      </w:r>
      <w:r>
        <w:t>….</w:t>
      </w:r>
      <w:r w:rsidRPr="005C5356">
        <w:t>The competency test was administered between September 10-16, 2015</w:t>
      </w:r>
      <w:r>
        <w:t xml:space="preserve">…. </w:t>
      </w:r>
      <w:r w:rsidRPr="007D1E86">
        <w:t>Scroggins admits that she “chose not to even begin the test.”</w:t>
      </w:r>
    </w:p>
    <w:p w14:paraId="0DD9F6D0" w14:textId="77777777" w:rsidR="00BE5492" w:rsidRDefault="00BE5492" w:rsidP="00BE5492">
      <w:pPr>
        <w:pStyle w:val="NoSpacing"/>
        <w:ind w:left="720"/>
      </w:pPr>
    </w:p>
    <w:p w14:paraId="7DDE36BE" w14:textId="04273A6C" w:rsidR="00BE5492" w:rsidRPr="008D55C4" w:rsidRDefault="00BE5492" w:rsidP="00BE5492">
      <w:pPr>
        <w:pStyle w:val="NoSpacing"/>
        <w:rPr>
          <w:b/>
          <w:bCs/>
        </w:rPr>
      </w:pPr>
      <w:r>
        <w:rPr>
          <w:b/>
        </w:rPr>
        <w:t>Lesson learned: Competency exam is excellent way to fill a pre-plan review position.</w:t>
      </w:r>
    </w:p>
    <w:p w14:paraId="50E7052B" w14:textId="77777777" w:rsidR="00BE5492" w:rsidRDefault="00BE5492" w:rsidP="00BE5492">
      <w:pPr>
        <w:pStyle w:val="NoSpacing"/>
        <w:ind w:left="720"/>
      </w:pPr>
    </w:p>
    <w:p w14:paraId="03710A78" w14:textId="77777777" w:rsidR="009D5C36" w:rsidRDefault="009D5C36" w:rsidP="00456C91">
      <w:pPr>
        <w:rPr>
          <w:rFonts w:ascii="Arial Black" w:hAnsi="Arial Black"/>
          <w:b/>
          <w:sz w:val="24"/>
          <w:szCs w:val="24"/>
        </w:rPr>
      </w:pPr>
    </w:p>
    <w:p w14:paraId="22A92447" w14:textId="5560F3AD" w:rsidR="000F3890" w:rsidRDefault="000F3890" w:rsidP="00456C91">
      <w:pPr>
        <w:rPr>
          <w:rFonts w:ascii="Arial Black" w:hAnsi="Arial Black"/>
          <w:b/>
          <w:sz w:val="24"/>
          <w:szCs w:val="24"/>
        </w:rPr>
      </w:pPr>
      <w:r>
        <w:rPr>
          <w:rFonts w:ascii="Arial Black" w:hAnsi="Arial Black"/>
          <w:b/>
          <w:sz w:val="24"/>
          <w:szCs w:val="24"/>
        </w:rPr>
        <w:t>8-83</w:t>
      </w:r>
    </w:p>
    <w:p w14:paraId="6E4CA291" w14:textId="77777777" w:rsidR="000F3890" w:rsidRDefault="000F3890" w:rsidP="000F3890">
      <w:pPr>
        <w:rPr>
          <w:rFonts w:ascii="Arial Black" w:hAnsi="Arial Black"/>
          <w:b/>
          <w:sz w:val="28"/>
          <w:szCs w:val="28"/>
        </w:rPr>
      </w:pPr>
      <w:r>
        <w:rPr>
          <w:rFonts w:ascii="Arial Black" w:hAnsi="Arial Black"/>
          <w:b/>
          <w:sz w:val="28"/>
          <w:szCs w:val="28"/>
        </w:rPr>
        <w:t xml:space="preserve">KS: PROMOTION 4 D/C – PANEL RATED BLACK LOWEST </w:t>
      </w:r>
    </w:p>
    <w:p w14:paraId="0D05824D" w14:textId="77777777" w:rsidR="000F3890" w:rsidRDefault="000F3890" w:rsidP="000F3890">
      <w:pPr>
        <w:rPr>
          <w:bCs/>
        </w:rPr>
      </w:pPr>
      <w:r w:rsidRPr="00291724">
        <w:t xml:space="preserve">On Sept. 3, 2025, in </w:t>
      </w:r>
      <w:r w:rsidRPr="00291724">
        <w:rPr>
          <w:u w:val="single"/>
        </w:rPr>
        <w:t>Brently Dorsey v. City of Topeka, Kansas</w:t>
      </w:r>
      <w:r w:rsidRPr="00291724">
        <w:t xml:space="preserve">, </w:t>
      </w:r>
      <w:r>
        <w:t xml:space="preserve">U.S. District Court Judge Holly L. Teeter, United States District Court for District of Kansas, granted defense motion for summary judgment after close of discovery concerning Black Captain’s allegations of race discrimination and violation of Americans with Disabilities Act.  He had been on light duty for </w:t>
      </w:r>
      <w:r w:rsidRPr="00F54F8D">
        <w:t>leukemia</w:t>
      </w:r>
      <w:r>
        <w:t xml:space="preserve">. Seven candidates were interviewed for the four open District Chief positions.  They were interviewed by panel of four (3 outside the FD ).  Plaintiff scored lowest (117 points); four highest were promoted (174; 168; 164; 161).  </w:t>
      </w:r>
    </w:p>
    <w:p w14:paraId="27646D8F" w14:textId="77777777" w:rsidR="000F3890" w:rsidRDefault="000F3890" w:rsidP="000F3890">
      <w:r w:rsidRPr="0028702B">
        <w:rPr>
          <w:b/>
        </w:rPr>
        <w:t xml:space="preserve">THE COURT HELD: </w:t>
      </w:r>
      <w:r>
        <w:t>“</w:t>
      </w:r>
      <w:r w:rsidRPr="00404A20">
        <w:t xml:space="preserve">He scored seventh out of seven and there were only four open Division Chief positions. The promotions went to the top four scorers…. </w:t>
      </w:r>
      <w:r w:rsidRPr="003C5836">
        <w:t>In sum, Dorsey points to almost nothing that would allow a factfinder to believe that the stated, non-discriminatory reason for the promotions was unworthy of belief</w:t>
      </w:r>
      <w:r>
        <w:t xml:space="preserve">…. </w:t>
      </w:r>
      <w:r w:rsidRPr="000F378A">
        <w:t xml:space="preserve">But there is nothing in the record that </w:t>
      </w:r>
      <w:r>
        <w:t xml:space="preserve">[Fire Chief Randy] </w:t>
      </w:r>
      <w:r w:rsidRPr="000F378A">
        <w:t>Phillips</w:t>
      </w:r>
      <w:r>
        <w:t xml:space="preserve"> (white male)</w:t>
      </w:r>
      <w:r w:rsidRPr="000F378A">
        <w:t xml:space="preserve"> or </w:t>
      </w:r>
      <w:r>
        <w:t xml:space="preserve">[Deputy </w:t>
      </w:r>
      <w:r w:rsidRPr="004D25A2">
        <w:t>Antony</w:t>
      </w:r>
      <w:r>
        <w:t xml:space="preserve">] </w:t>
      </w:r>
      <w:r w:rsidRPr="000F378A">
        <w:t xml:space="preserve">Standifer </w:t>
      </w:r>
      <w:r>
        <w:t xml:space="preserve">(Hispanic male) </w:t>
      </w:r>
      <w:r w:rsidRPr="000F378A">
        <w:t>have any racial animus toward Dorsey or anyone else. Dorsey is not entitled to a trial for race discrimination simply because there have been historical issues or because other firefighters have brought claims of race discrimination unrelated to this case. Mere conjecture that race discrimination is afoot is not enough to defeat summary judgment.</w:t>
      </w:r>
      <w:r>
        <w:t xml:space="preserve">” </w:t>
      </w:r>
      <w:hyperlink r:id="rId1477" w:history="1">
        <w:r w:rsidRPr="00204094">
          <w:rPr>
            <w:rStyle w:val="Hyperlink"/>
          </w:rPr>
          <w:t>https://cases.justia.com/federal/district-courts/kansas/ksdce/2:2023cv02422/149254/113/0.pdf?ts=1756979784</w:t>
        </w:r>
      </w:hyperlink>
      <w:r>
        <w:t xml:space="preserve"> </w:t>
      </w:r>
    </w:p>
    <w:p w14:paraId="52CBD985" w14:textId="77777777" w:rsidR="000F3890" w:rsidRPr="008A2BFE" w:rsidRDefault="000F3890" w:rsidP="000F3890">
      <w:pPr>
        <w:rPr>
          <w:b/>
          <w:bCs/>
        </w:rPr>
      </w:pPr>
      <w:r w:rsidRPr="008A2BFE">
        <w:rPr>
          <w:b/>
        </w:rPr>
        <w:t xml:space="preserve">KEY FACTS: </w:t>
      </w:r>
    </w:p>
    <w:p w14:paraId="7164A399" w14:textId="77777777" w:rsidR="000F3890" w:rsidRDefault="000F3890" w:rsidP="000F3890">
      <w:pPr>
        <w:pStyle w:val="NoSpacing"/>
        <w:ind w:left="720"/>
      </w:pPr>
      <w:r>
        <w:t xml:space="preserve">“Dorsey was not promoted to Division Chief in 2022 and contends the decision not to promote him was discrimination based on race and disability. The </w:t>
      </w:r>
      <w:proofErr w:type="gramStart"/>
      <w:r>
        <w:t>City</w:t>
      </w:r>
      <w:proofErr w:type="gramEnd"/>
      <w:r>
        <w:t xml:space="preserve"> contends it did not promote Dorsey because he received the lowest scores. The </w:t>
      </w:r>
      <w:proofErr w:type="gramStart"/>
      <w:r>
        <w:t>City</w:t>
      </w:r>
      <w:proofErr w:type="gramEnd"/>
      <w:r>
        <w:t xml:space="preserve"> notes that Dorsey and six others interviewed for four open positions. Dorsey scored the lowest; the top four scorers were promoted into the four open positions. The </w:t>
      </w:r>
      <w:proofErr w:type="gramStart"/>
      <w:r>
        <w:t>City</w:t>
      </w:r>
      <w:proofErr w:type="gramEnd"/>
      <w:r>
        <w:t xml:space="preserve"> moves for summary judgment on all claims. Doc. 97.</w:t>
      </w:r>
    </w:p>
    <w:p w14:paraId="3CE50E15" w14:textId="77777777" w:rsidR="000F3890" w:rsidRDefault="000F3890" w:rsidP="000F3890">
      <w:pPr>
        <w:pStyle w:val="NoSpacing"/>
        <w:ind w:left="720"/>
      </w:pPr>
    </w:p>
    <w:p w14:paraId="3A5A0BE1" w14:textId="77777777" w:rsidR="000F3890" w:rsidRDefault="000F3890" w:rsidP="000F3890">
      <w:pPr>
        <w:pStyle w:val="NoSpacing"/>
        <w:ind w:left="720"/>
      </w:pPr>
      <w:r>
        <w:t xml:space="preserve">The Court grants the motion and enters judgment in favor of the </w:t>
      </w:r>
      <w:proofErr w:type="gramStart"/>
      <w:r>
        <w:t>City</w:t>
      </w:r>
      <w:proofErr w:type="gramEnd"/>
      <w:r>
        <w:t>. Dorsey’s claim for</w:t>
      </w:r>
    </w:p>
    <w:p w14:paraId="2B867ED2" w14:textId="77777777" w:rsidR="000F3890" w:rsidRDefault="000F3890" w:rsidP="000F3890">
      <w:pPr>
        <w:pStyle w:val="NoSpacing"/>
        <w:ind w:left="720"/>
      </w:pPr>
      <w:r>
        <w:t xml:space="preserve">race discrimination fails because he has not come forward with evidence of pretext. Dorsey’s claim for disability discrimination fails because he can’t show discrimination or pretext. Dorsey’s claim for constructive discharge fails because he voluntarily retired. And Dorsey’s failure-to-accommodate claim fails because a promotion is not a reasonable accommodation and because </w:t>
      </w:r>
      <w:proofErr w:type="spellStart"/>
      <w:r>
        <w:t>hewas</w:t>
      </w:r>
      <w:proofErr w:type="spellEnd"/>
      <w:r>
        <w:t xml:space="preserve"> otherwise accommodated until he voluntarily retired.”</w:t>
      </w:r>
    </w:p>
    <w:p w14:paraId="61BC0E16" w14:textId="77777777" w:rsidR="000F3890" w:rsidRDefault="000F3890" w:rsidP="000F3890"/>
    <w:p w14:paraId="06754CFE" w14:textId="77777777" w:rsidR="000F3890" w:rsidRPr="00272DFC" w:rsidRDefault="000F3890" w:rsidP="000F3890">
      <w:pPr>
        <w:rPr>
          <w:b/>
          <w:bCs/>
        </w:rPr>
      </w:pPr>
      <w:r>
        <w:t>“</w:t>
      </w:r>
      <w:r w:rsidRPr="00272DFC">
        <w:rPr>
          <w:b/>
        </w:rPr>
        <w:t>Legal lesson learned: The promotion process was fair; plaintiff had no evidence of race discrimination or disability discrimination.</w:t>
      </w:r>
    </w:p>
    <w:p w14:paraId="30DFE481" w14:textId="77777777" w:rsidR="000F3890" w:rsidRDefault="000F3890" w:rsidP="00456C91">
      <w:pPr>
        <w:rPr>
          <w:rFonts w:ascii="Arial Black" w:hAnsi="Arial Black"/>
          <w:b/>
          <w:sz w:val="24"/>
          <w:szCs w:val="24"/>
        </w:rPr>
      </w:pPr>
    </w:p>
    <w:p w14:paraId="2AB86CF2" w14:textId="7081712E" w:rsidR="006959F8" w:rsidRDefault="006959F8" w:rsidP="00456C91">
      <w:pPr>
        <w:rPr>
          <w:rFonts w:ascii="Arial Black" w:hAnsi="Arial Black"/>
          <w:b/>
          <w:sz w:val="24"/>
          <w:szCs w:val="24"/>
        </w:rPr>
      </w:pPr>
      <w:r>
        <w:rPr>
          <w:rFonts w:ascii="Arial Black" w:hAnsi="Arial Black"/>
          <w:b/>
          <w:sz w:val="24"/>
          <w:szCs w:val="24"/>
        </w:rPr>
        <w:t>8-</w:t>
      </w:r>
      <w:r w:rsidR="008409F5">
        <w:rPr>
          <w:rFonts w:ascii="Arial Black" w:hAnsi="Arial Black"/>
          <w:b/>
          <w:sz w:val="24"/>
          <w:szCs w:val="24"/>
        </w:rPr>
        <w:t>8</w:t>
      </w:r>
      <w:r w:rsidR="00113A3A">
        <w:rPr>
          <w:rFonts w:ascii="Arial Black" w:hAnsi="Arial Black"/>
          <w:b/>
          <w:sz w:val="24"/>
          <w:szCs w:val="24"/>
        </w:rPr>
        <w:t>2</w:t>
      </w:r>
    </w:p>
    <w:p w14:paraId="3CA66241" w14:textId="77777777" w:rsidR="00FD4027" w:rsidRDefault="00F779AB" w:rsidP="00F779AB">
      <w:pPr>
        <w:rPr>
          <w:rFonts w:ascii="Arial Black" w:hAnsi="Arial Black"/>
          <w:b/>
          <w:sz w:val="28"/>
          <w:szCs w:val="28"/>
        </w:rPr>
      </w:pPr>
      <w:r>
        <w:rPr>
          <w:rFonts w:ascii="Arial Black" w:hAnsi="Arial Black"/>
          <w:b/>
          <w:sz w:val="28"/>
          <w:szCs w:val="28"/>
        </w:rPr>
        <w:t xml:space="preserve">CA: </w:t>
      </w:r>
      <w:r w:rsidR="005779CA">
        <w:rPr>
          <w:rFonts w:ascii="Arial Black" w:hAnsi="Arial Black"/>
          <w:b/>
          <w:sz w:val="28"/>
          <w:szCs w:val="28"/>
        </w:rPr>
        <w:t xml:space="preserve">REPRIMANDS </w:t>
      </w:r>
      <w:r w:rsidR="00C4400E">
        <w:rPr>
          <w:rFonts w:ascii="Arial Black" w:hAnsi="Arial Black"/>
          <w:b/>
          <w:sz w:val="28"/>
          <w:szCs w:val="28"/>
        </w:rPr>
        <w:t xml:space="preserve">/ </w:t>
      </w:r>
      <w:r>
        <w:rPr>
          <w:rFonts w:ascii="Arial Black" w:hAnsi="Arial Black"/>
          <w:b/>
          <w:sz w:val="28"/>
          <w:szCs w:val="28"/>
        </w:rPr>
        <w:t xml:space="preserve">NEG. PERFORM. REVIEWS </w:t>
      </w:r>
      <w:r w:rsidR="00075181">
        <w:rPr>
          <w:rFonts w:ascii="Arial Black" w:hAnsi="Arial Black"/>
          <w:b/>
          <w:sz w:val="28"/>
          <w:szCs w:val="28"/>
        </w:rPr>
        <w:t>–</w:t>
      </w:r>
      <w:r>
        <w:rPr>
          <w:rFonts w:ascii="Arial Black" w:hAnsi="Arial Black"/>
          <w:b/>
          <w:sz w:val="28"/>
          <w:szCs w:val="28"/>
        </w:rPr>
        <w:t xml:space="preserve"> </w:t>
      </w:r>
      <w:r w:rsidR="00D262D0">
        <w:rPr>
          <w:rFonts w:ascii="Arial Black" w:hAnsi="Arial Black"/>
          <w:b/>
          <w:sz w:val="28"/>
          <w:szCs w:val="28"/>
        </w:rPr>
        <w:t xml:space="preserve">BLACK </w:t>
      </w:r>
      <w:r w:rsidR="005779CA">
        <w:rPr>
          <w:rFonts w:ascii="Arial Black" w:hAnsi="Arial Black"/>
          <w:b/>
          <w:sz w:val="28"/>
          <w:szCs w:val="28"/>
        </w:rPr>
        <w:t xml:space="preserve">PROB FF - </w:t>
      </w:r>
      <w:r w:rsidR="00075181">
        <w:rPr>
          <w:rFonts w:ascii="Arial Black" w:hAnsi="Arial Black"/>
          <w:b/>
          <w:sz w:val="28"/>
          <w:szCs w:val="28"/>
        </w:rPr>
        <w:t xml:space="preserve">NO CASE </w:t>
      </w:r>
    </w:p>
    <w:p w14:paraId="4EBC2363" w14:textId="3227D1BF" w:rsidR="00910090" w:rsidRPr="007E74FE" w:rsidRDefault="00F779AB" w:rsidP="00F779AB">
      <w:pPr>
        <w:rPr>
          <w:rFonts w:ascii="Times New Roman" w:hAnsi="Times New Roman"/>
          <w:sz w:val="24"/>
          <w:szCs w:val="24"/>
        </w:rPr>
      </w:pPr>
      <w:r w:rsidRPr="007E74FE">
        <w:rPr>
          <w:rFonts w:ascii="Times New Roman" w:hAnsi="Times New Roman"/>
          <w:sz w:val="24"/>
          <w:szCs w:val="24"/>
        </w:rPr>
        <w:t xml:space="preserve">On July 28, 2025, in </w:t>
      </w:r>
      <w:r w:rsidRPr="007E74FE">
        <w:rPr>
          <w:rFonts w:ascii="Times New Roman" w:hAnsi="Times New Roman"/>
          <w:sz w:val="24"/>
          <w:szCs w:val="24"/>
          <w:u w:val="single"/>
        </w:rPr>
        <w:t>Waris Gildersleeve v. City of Sacramento, Grian Brust, David Lauchner, et al.</w:t>
      </w:r>
      <w:r w:rsidRPr="007E74FE">
        <w:rPr>
          <w:rFonts w:ascii="Times New Roman" w:hAnsi="Times New Roman"/>
          <w:sz w:val="24"/>
          <w:szCs w:val="24"/>
        </w:rPr>
        <w:t xml:space="preserve">, Senior U.S. District Court Judge John A. Mendez, granted summary judgment to the two officers.  Gildersleeve is a firefighter with the City of Sacramento and has been an employee since 2005. During his probationary </w:t>
      </w:r>
      <w:proofErr w:type="gramStart"/>
      <w:r w:rsidRPr="007E74FE">
        <w:rPr>
          <w:rFonts w:ascii="Times New Roman" w:hAnsi="Times New Roman"/>
          <w:sz w:val="24"/>
          <w:szCs w:val="24"/>
        </w:rPr>
        <w:t>period</w:t>
      </w:r>
      <w:proofErr w:type="gramEnd"/>
      <w:r w:rsidRPr="007E74FE">
        <w:rPr>
          <w:rFonts w:ascii="Times New Roman" w:hAnsi="Times New Roman"/>
          <w:sz w:val="24"/>
          <w:szCs w:val="24"/>
        </w:rPr>
        <w:t xml:space="preserve"> he rotated through several fire stations, and when at  Station No. 6 he was supervised by Brust and </w:t>
      </w:r>
      <w:proofErr w:type="gramStart"/>
      <w:r w:rsidRPr="007E74FE">
        <w:rPr>
          <w:rFonts w:ascii="Times New Roman" w:hAnsi="Times New Roman"/>
          <w:sz w:val="24"/>
          <w:szCs w:val="24"/>
        </w:rPr>
        <w:t>Laucher, and</w:t>
      </w:r>
      <w:proofErr w:type="gramEnd"/>
      <w:r w:rsidRPr="007E74FE">
        <w:rPr>
          <w:rFonts w:ascii="Times New Roman" w:hAnsi="Times New Roman"/>
          <w:sz w:val="24"/>
          <w:szCs w:val="24"/>
        </w:rPr>
        <w:t xml:space="preserve"> received some negative performance reviews.   He got through probation, and he ultimately was promoted to a senior fire prevention officer in 2023.  THE COURT HELD: “Thus, the reprimands or negative reviews Gildersleeve received during his temporary probationary period did not ultimately impact his ‘compensation, terms, conditions, or privileges of employment.’ </w:t>
      </w:r>
      <w:r w:rsidRPr="007E74FE">
        <w:rPr>
          <w:rFonts w:ascii="Times New Roman" w:hAnsi="Times New Roman"/>
          <w:i/>
          <w:iCs/>
          <w:sz w:val="24"/>
          <w:szCs w:val="24"/>
        </w:rPr>
        <w:t>Spokoiny</w:t>
      </w:r>
      <w:r w:rsidRPr="007E74FE">
        <w:rPr>
          <w:rFonts w:ascii="Times New Roman" w:hAnsi="Times New Roman"/>
          <w:sz w:val="24"/>
          <w:szCs w:val="24"/>
        </w:rPr>
        <w:t xml:space="preserve">, 2025 WL 752492 at *1. *** Based on </w:t>
      </w:r>
      <w:proofErr w:type="gramStart"/>
      <w:r w:rsidRPr="007E74FE">
        <w:rPr>
          <w:rFonts w:ascii="Times New Roman" w:hAnsi="Times New Roman"/>
          <w:sz w:val="24"/>
          <w:szCs w:val="24"/>
        </w:rPr>
        <w:t>all of</w:t>
      </w:r>
      <w:proofErr w:type="gramEnd"/>
      <w:r w:rsidRPr="007E74FE">
        <w:rPr>
          <w:rFonts w:ascii="Times New Roman" w:hAnsi="Times New Roman"/>
          <w:sz w:val="24"/>
          <w:szCs w:val="24"/>
        </w:rPr>
        <w:t xml:space="preserve"> this evidence, Plaintiff cannot demonstrate a material adverse employment action and therefore cannot establish a prima facie case of racial discrimination. *** Plaintiff does not put forth any evidence that Brust or Lauchner physically threatened him or that their actions unreasonably interfered with his work performance. At best, the record pertaining to Brust and Lauchner demonstrates that they were indifferent to comments by others and engaged in race-neutral scolding, but not that they affirmatively aided or abetted any racial harassment on their own.” </w:t>
      </w:r>
      <w:hyperlink r:id="rId1478" w:history="1">
        <w:r w:rsidR="00022E5C" w:rsidRPr="00004FA3">
          <w:rPr>
            <w:rStyle w:val="Hyperlink"/>
            <w:rFonts w:ascii="Times New Roman" w:hAnsi="Times New Roman"/>
            <w:sz w:val="24"/>
            <w:szCs w:val="24"/>
          </w:rPr>
          <w:t>https://public.fastcase.com/jaEE2PXzRXmZ99jOLMt1IuS%2F9HpBr5oZUxWDfnHZUAClV0FMS0FkyPj2D073HVCd?utm_medium=email&amp;_hsenc=p2ANqtz-8Af1EW_JVwBhx0UDxsfrXH8_2s6MlC6Pm7CWzCebAgUkWejdyZMRNp9kjbmr3YiOjRBOAIc4DZsyAhk1nZpl--uaoeAg&amp;_hsmi=226712652&amp;utm_content=226712652&amp;utm_source=hs_email</w:t>
        </w:r>
      </w:hyperlink>
      <w:r w:rsidR="00022E5C">
        <w:rPr>
          <w:rFonts w:ascii="Times New Roman" w:hAnsi="Times New Roman"/>
          <w:sz w:val="24"/>
          <w:szCs w:val="24"/>
        </w:rPr>
        <w:t xml:space="preserve"> </w:t>
      </w:r>
    </w:p>
    <w:p w14:paraId="03BB67BD" w14:textId="77777777" w:rsidR="007E74FE" w:rsidRDefault="007E74FE" w:rsidP="007E74FE">
      <w:pPr>
        <w:rPr>
          <w:rFonts w:ascii="Times New Roman" w:hAnsi="Times New Roman"/>
          <w:b/>
          <w:sz w:val="24"/>
          <w:szCs w:val="24"/>
        </w:rPr>
      </w:pPr>
      <w:r w:rsidRPr="007E74FE">
        <w:rPr>
          <w:rFonts w:ascii="Times New Roman" w:hAnsi="Times New Roman"/>
          <w:b/>
          <w:sz w:val="24"/>
          <w:szCs w:val="24"/>
        </w:rPr>
        <w:t>Legal lesson learned:   Plaintiff failed to prove any material adverse employment action by his two supervisors.  The case against the city will proceed on “a failure to prevent racial harassment theory.”</w:t>
      </w:r>
    </w:p>
    <w:p w14:paraId="058C54C0" w14:textId="77777777" w:rsidR="00113A3A" w:rsidRDefault="00113A3A" w:rsidP="007E74FE">
      <w:pPr>
        <w:rPr>
          <w:rFonts w:ascii="Times New Roman" w:hAnsi="Times New Roman"/>
          <w:b/>
          <w:sz w:val="24"/>
          <w:szCs w:val="24"/>
        </w:rPr>
      </w:pPr>
    </w:p>
    <w:p w14:paraId="3F886BB0" w14:textId="68840207" w:rsidR="00113A3A" w:rsidRPr="00C37677" w:rsidRDefault="00C37677" w:rsidP="007E74FE">
      <w:pPr>
        <w:rPr>
          <w:rFonts w:ascii="Arial Black" w:hAnsi="Arial Black"/>
          <w:b/>
          <w:sz w:val="24"/>
          <w:szCs w:val="24"/>
        </w:rPr>
      </w:pPr>
      <w:r w:rsidRPr="00C37677">
        <w:rPr>
          <w:rFonts w:ascii="Arial Black" w:hAnsi="Arial Black"/>
          <w:b/>
          <w:sz w:val="24"/>
          <w:szCs w:val="24"/>
        </w:rPr>
        <w:t>8-81</w:t>
      </w:r>
    </w:p>
    <w:p w14:paraId="7F033586" w14:textId="77777777" w:rsidR="00C37677" w:rsidRDefault="00C37677" w:rsidP="00C37677">
      <w:pPr>
        <w:rPr>
          <w:rFonts w:ascii="Arial Black" w:hAnsi="Arial Black"/>
          <w:b/>
          <w:sz w:val="28"/>
          <w:szCs w:val="28"/>
        </w:rPr>
      </w:pPr>
      <w:r>
        <w:rPr>
          <w:rFonts w:ascii="Arial Black" w:hAnsi="Arial Black"/>
          <w:b/>
          <w:sz w:val="28"/>
          <w:szCs w:val="28"/>
        </w:rPr>
        <w:t>MO: CITY 2022 RETIRED 2013 PROM. LIST B/C AND CAPT</w:t>
      </w:r>
    </w:p>
    <w:p w14:paraId="363DFB85" w14:textId="392955E2" w:rsidR="00113A3A" w:rsidRPr="008B5C50" w:rsidRDefault="00C37677" w:rsidP="00C37677">
      <w:pPr>
        <w:rPr>
          <w:rFonts w:ascii="Times New Roman" w:hAnsi="Times New Roman"/>
          <w:sz w:val="24"/>
          <w:szCs w:val="24"/>
        </w:rPr>
      </w:pPr>
      <w:r w:rsidRPr="008B5C50">
        <w:rPr>
          <w:rFonts w:ascii="Times New Roman" w:hAnsi="Times New Roman"/>
          <w:sz w:val="24"/>
          <w:szCs w:val="24"/>
        </w:rPr>
        <w:t xml:space="preserve">On July 8, 2025, in </w:t>
      </w:r>
      <w:r w:rsidRPr="008B5C50">
        <w:rPr>
          <w:rFonts w:ascii="Times New Roman" w:hAnsi="Times New Roman"/>
          <w:sz w:val="24"/>
          <w:szCs w:val="24"/>
          <w:u w:val="single"/>
        </w:rPr>
        <w:t>Robert Eveland, et al. v. City of St. Louis; Firefighters' Institute for Racial Equality, Inc.; Charles Coyle, Director of the St. Louis Department of Public Safety</w:t>
      </w:r>
      <w:r w:rsidRPr="008B5C50">
        <w:rPr>
          <w:rFonts w:ascii="Times New Roman" w:hAnsi="Times New Roman"/>
          <w:sz w:val="24"/>
          <w:szCs w:val="24"/>
        </w:rPr>
        <w:t xml:space="preserve">, the United States Court of Appeals, Eighth Circuit (St. Louis) held (3 to 0) that the trial court properly granted defense motion to dismiss because the Battalion Chiefs and Captains lacked sufficient property interests in their desired promotions off of the 2013 lists, which were cancelled by Public Safety Director in 2022. The </w:t>
      </w:r>
      <w:proofErr w:type="gramStart"/>
      <w:r w:rsidRPr="008B5C50">
        <w:rPr>
          <w:rFonts w:ascii="Times New Roman" w:hAnsi="Times New Roman"/>
          <w:sz w:val="24"/>
          <w:szCs w:val="24"/>
        </w:rPr>
        <w:t>City</w:t>
      </w:r>
      <w:proofErr w:type="gramEnd"/>
      <w:r w:rsidRPr="008B5C50">
        <w:rPr>
          <w:rFonts w:ascii="Times New Roman" w:hAnsi="Times New Roman"/>
          <w:sz w:val="24"/>
          <w:szCs w:val="24"/>
        </w:rPr>
        <w:t xml:space="preserve"> had previously entered into a settlement agreement concerning the 2013 promotional exams, “to ensure that future promotional examinations are valid and fair and do not unlawfully discriminate against any promotional candidate on the basis of race.”  New exams were supposed to be held in December 2018 (and every three years thereafter) but due to budget cuts the 2013 lists were used until early 2022 when then-Director of Public Safety Dan Isom decided to stop using 10-year-old lists. “[The] current Director of Public Safety Charles Coyle concurred with this decision because in his opinion, using 10-year-old lists to make promotions is problematic because the individuals being promoted did not score as highly on the test and therefore are potentially not the best-qualified candidates.” See Jan. 1, 2024, DEFENDANTS’ MEMORANDUM OF LAW IN SUPPORT OF MOTION FOR SUMMARY JUDGMENT.  </w:t>
      </w:r>
      <w:hyperlink r:id="rId1479" w:history="1">
        <w:r w:rsidRPr="008B5C50">
          <w:rPr>
            <w:rStyle w:val="Hyperlink"/>
            <w:rFonts w:ascii="Times New Roman" w:hAnsi="Times New Roman"/>
            <w:sz w:val="24"/>
            <w:szCs w:val="24"/>
          </w:rPr>
          <w:t>https://storage.courtlistener.com/recap/gov.uscourts.moed.198347/gov.uscourts.moed.198347.70.0.pdf</w:t>
        </w:r>
      </w:hyperlink>
      <w:r w:rsidRPr="008B5C50">
        <w:rPr>
          <w:rFonts w:ascii="Times New Roman" w:hAnsi="Times New Roman"/>
          <w:sz w:val="24"/>
          <w:szCs w:val="24"/>
        </w:rPr>
        <w:t xml:space="preserve">   THE COURT HELD: “The usual promotional process broke down when the fire chief’s former supervisor, purportedly without authority, halted promotions due to the age of qualifying exam scores, which were about nine years old when the freeze began…. [Fire Chief has always promoted the top candidate on list, even though Civil Service rules allow him to select from top 6 on list.] Even assuming all of this is true, the firefighters had no property interests in their desired promotions that the due process clause protected. They just anticipated receiving them…. So, no matter how regular the fire chief’s practice of promoting high scorers was, it could not give any of the firefighters a property interest in a promotion on </w:t>
      </w:r>
      <w:proofErr w:type="gramStart"/>
      <w:r w:rsidRPr="008B5C50">
        <w:rPr>
          <w:rFonts w:ascii="Times New Roman" w:hAnsi="Times New Roman"/>
          <w:sz w:val="24"/>
          <w:szCs w:val="24"/>
        </w:rPr>
        <w:t>its</w:t>
      </w:r>
      <w:proofErr w:type="gramEnd"/>
      <w:r w:rsidRPr="008B5C50">
        <w:rPr>
          <w:rFonts w:ascii="Times New Roman" w:hAnsi="Times New Roman"/>
          <w:sz w:val="24"/>
          <w:szCs w:val="24"/>
        </w:rPr>
        <w:t xml:space="preserve"> own. What is missing is evidence that the city bound itself in some fashion to adhere to that practice. It makes no difference that the fire chief testified to his intention to promote  the firefighters in accordance with his custom. That intention, however firm, did not limit his discretion to promote different candidates or no </w:t>
      </w:r>
      <w:proofErr w:type="gramStart"/>
      <w:r w:rsidRPr="008B5C50">
        <w:rPr>
          <w:rFonts w:ascii="Times New Roman" w:hAnsi="Times New Roman"/>
          <w:sz w:val="24"/>
          <w:szCs w:val="24"/>
        </w:rPr>
        <w:t>candidates.”</w:t>
      </w:r>
      <w:proofErr w:type="gramEnd"/>
      <w:r w:rsidRPr="008B5C50">
        <w:rPr>
          <w:rFonts w:ascii="Times New Roman" w:hAnsi="Times New Roman"/>
          <w:sz w:val="24"/>
          <w:szCs w:val="24"/>
        </w:rPr>
        <w:t xml:space="preserve"> </w:t>
      </w:r>
      <w:hyperlink r:id="rId1480" w:history="1">
        <w:r w:rsidRPr="008B5C50">
          <w:rPr>
            <w:rStyle w:val="Hyperlink"/>
            <w:rFonts w:ascii="Times New Roman" w:hAnsi="Times New Roman"/>
            <w:sz w:val="24"/>
            <w:szCs w:val="24"/>
          </w:rPr>
          <w:t>https://cases.justia.com/federal/appellate-courts/ca8/24-2646/24-2646-2025-07-08.pdf?ts=1751988624</w:t>
        </w:r>
      </w:hyperlink>
    </w:p>
    <w:p w14:paraId="580DE426" w14:textId="77777777" w:rsidR="008B5C50" w:rsidRPr="008B5C50" w:rsidRDefault="008B5C50" w:rsidP="008B5C50">
      <w:pPr>
        <w:pStyle w:val="NoSpacing"/>
        <w:rPr>
          <w:rFonts w:ascii="Times New Roman" w:hAnsi="Times New Roman"/>
          <w:b/>
          <w:bCs/>
          <w:sz w:val="24"/>
          <w:szCs w:val="24"/>
        </w:rPr>
      </w:pPr>
      <w:r w:rsidRPr="008B5C50">
        <w:rPr>
          <w:rFonts w:ascii="Times New Roman" w:hAnsi="Times New Roman"/>
          <w:b/>
          <w:sz w:val="24"/>
          <w:szCs w:val="24"/>
        </w:rPr>
        <w:t>Legal lesson learned: No Constitutionally protected property interests in desired promotions.</w:t>
      </w:r>
    </w:p>
    <w:p w14:paraId="27F675D3" w14:textId="77777777" w:rsidR="008B5C50" w:rsidRPr="008B5C50" w:rsidRDefault="008B5C50" w:rsidP="008B5C50">
      <w:pPr>
        <w:pStyle w:val="NoSpacing"/>
        <w:rPr>
          <w:rFonts w:ascii="Times New Roman" w:hAnsi="Times New Roman"/>
          <w:b/>
          <w:bCs/>
          <w:sz w:val="24"/>
          <w:szCs w:val="24"/>
        </w:rPr>
      </w:pPr>
    </w:p>
    <w:p w14:paraId="3512E855" w14:textId="77777777" w:rsidR="008B5C50" w:rsidRPr="008B5C50" w:rsidRDefault="008B5C50" w:rsidP="008B5C50">
      <w:pPr>
        <w:pStyle w:val="NoSpacing"/>
        <w:ind w:left="720"/>
        <w:rPr>
          <w:rFonts w:ascii="Times New Roman" w:hAnsi="Times New Roman"/>
          <w:sz w:val="24"/>
          <w:szCs w:val="24"/>
        </w:rPr>
      </w:pPr>
      <w:r w:rsidRPr="008B5C50">
        <w:rPr>
          <w:rFonts w:ascii="Times New Roman" w:hAnsi="Times New Roman"/>
          <w:sz w:val="24"/>
          <w:szCs w:val="24"/>
        </w:rPr>
        <w:t xml:space="preserve">Note: See City of Cincinnati 6/15/2023 list for Lieutenants.  “List may be used on or before two years from first hire date.” </w:t>
      </w:r>
      <w:hyperlink r:id="rId1481" w:history="1">
        <w:r w:rsidRPr="008B5C50">
          <w:rPr>
            <w:rStyle w:val="Hyperlink"/>
            <w:rFonts w:ascii="Times New Roman" w:hAnsi="Times New Roman"/>
            <w:sz w:val="24"/>
            <w:szCs w:val="24"/>
          </w:rPr>
          <w:t>https://www.cincinnati-oh.gov/hr/eligible-lists1/promotional/fire-lieutenant/</w:t>
        </w:r>
      </w:hyperlink>
      <w:r w:rsidRPr="008B5C50">
        <w:rPr>
          <w:rFonts w:ascii="Times New Roman" w:hAnsi="Times New Roman"/>
          <w:sz w:val="24"/>
          <w:szCs w:val="24"/>
        </w:rPr>
        <w:t xml:space="preserve"> </w:t>
      </w:r>
    </w:p>
    <w:p w14:paraId="3167E610" w14:textId="77777777" w:rsidR="008B5C50" w:rsidRPr="008B5C50" w:rsidRDefault="008B5C50" w:rsidP="008B5C50">
      <w:pPr>
        <w:rPr>
          <w:rFonts w:ascii="Times New Roman" w:hAnsi="Times New Roman"/>
          <w:sz w:val="24"/>
          <w:szCs w:val="24"/>
        </w:rPr>
      </w:pPr>
      <w:r w:rsidRPr="008B5C50">
        <w:rPr>
          <w:rFonts w:ascii="Times New Roman" w:hAnsi="Times New Roman"/>
          <w:sz w:val="24"/>
          <w:szCs w:val="24"/>
        </w:rPr>
        <w:t xml:space="preserve"> </w:t>
      </w:r>
    </w:p>
    <w:p w14:paraId="728449BE" w14:textId="77777777" w:rsidR="008B5C50" w:rsidRPr="007E74FE" w:rsidRDefault="008B5C50" w:rsidP="00C37677">
      <w:pPr>
        <w:rPr>
          <w:rFonts w:ascii="Times New Roman" w:hAnsi="Times New Roman"/>
          <w:b/>
          <w:bCs/>
          <w:sz w:val="24"/>
          <w:szCs w:val="24"/>
        </w:rPr>
      </w:pPr>
    </w:p>
    <w:p w14:paraId="61C363AF" w14:textId="77777777" w:rsidR="006959F8" w:rsidRDefault="006959F8" w:rsidP="00456C91">
      <w:pPr>
        <w:rPr>
          <w:rFonts w:ascii="Arial Black" w:hAnsi="Arial Black"/>
          <w:b/>
          <w:sz w:val="24"/>
          <w:szCs w:val="24"/>
        </w:rPr>
      </w:pPr>
    </w:p>
    <w:p w14:paraId="3477A4B9" w14:textId="60CADE6A" w:rsidR="00456C91" w:rsidRDefault="00456C91" w:rsidP="00456C91">
      <w:pPr>
        <w:rPr>
          <w:rFonts w:ascii="Arial Black" w:hAnsi="Arial Black"/>
          <w:b/>
          <w:sz w:val="24"/>
          <w:szCs w:val="24"/>
        </w:rPr>
      </w:pPr>
      <w:r>
        <w:rPr>
          <w:rFonts w:ascii="Arial Black" w:hAnsi="Arial Black"/>
          <w:b/>
          <w:sz w:val="24"/>
          <w:szCs w:val="24"/>
        </w:rPr>
        <w:t>8-</w:t>
      </w:r>
      <w:r w:rsidR="0021158A">
        <w:rPr>
          <w:rFonts w:ascii="Arial Black" w:hAnsi="Arial Black"/>
          <w:b/>
          <w:sz w:val="24"/>
          <w:szCs w:val="24"/>
        </w:rPr>
        <w:t>80</w:t>
      </w:r>
    </w:p>
    <w:p w14:paraId="3FC045B1" w14:textId="4CE410BA" w:rsidR="00A17EA1" w:rsidRDefault="00A17EA1" w:rsidP="00A17EA1">
      <w:pPr>
        <w:pStyle w:val="NoSpacing"/>
        <w:rPr>
          <w:rFonts w:ascii="Arial Black" w:hAnsi="Arial Black"/>
          <w:sz w:val="28"/>
          <w:szCs w:val="28"/>
        </w:rPr>
      </w:pPr>
      <w:r>
        <w:rPr>
          <w:rFonts w:ascii="Arial Black" w:hAnsi="Arial Black"/>
          <w:sz w:val="28"/>
          <w:szCs w:val="28"/>
        </w:rPr>
        <w:t>VA: BLACK FF - STATION OIC - LOSS “ACTING OFFICER” PAY</w:t>
      </w:r>
    </w:p>
    <w:p w14:paraId="4E3E7184" w14:textId="77777777" w:rsidR="00A17EA1" w:rsidRDefault="00A17EA1" w:rsidP="00A17EA1">
      <w:pPr>
        <w:pStyle w:val="NoSpacing"/>
        <w:rPr>
          <w:rFonts w:ascii="Arial Black" w:hAnsi="Arial Black"/>
          <w:sz w:val="28"/>
          <w:szCs w:val="28"/>
        </w:rPr>
      </w:pPr>
    </w:p>
    <w:p w14:paraId="4C95A31A" w14:textId="77777777" w:rsidR="00A17EA1" w:rsidRPr="00997E2F" w:rsidRDefault="00A17EA1" w:rsidP="00A17EA1">
      <w:pPr>
        <w:pStyle w:val="NoSpacing"/>
        <w:rPr>
          <w:rFonts w:ascii="Times New Roman" w:hAnsi="Times New Roman"/>
          <w:sz w:val="24"/>
          <w:szCs w:val="24"/>
        </w:rPr>
      </w:pPr>
      <w:r w:rsidRPr="00997E2F">
        <w:rPr>
          <w:rFonts w:ascii="Times New Roman" w:hAnsi="Times New Roman"/>
          <w:sz w:val="24"/>
          <w:szCs w:val="24"/>
        </w:rPr>
        <w:t xml:space="preserve">On June 13, 2025, in </w:t>
      </w:r>
      <w:r w:rsidRPr="00997E2F">
        <w:rPr>
          <w:rFonts w:ascii="Times New Roman" w:hAnsi="Times New Roman"/>
          <w:sz w:val="24"/>
          <w:szCs w:val="24"/>
          <w:u w:val="single"/>
        </w:rPr>
        <w:t>Michael T. Blagmon v. Hanover County</w:t>
      </w:r>
      <w:r w:rsidRPr="00997E2F">
        <w:rPr>
          <w:rFonts w:ascii="Times New Roman" w:hAnsi="Times New Roman"/>
          <w:sz w:val="24"/>
          <w:szCs w:val="24"/>
        </w:rPr>
        <w:t xml:space="preserve">, U.S. District Court Judge Roderick C. Young, United States District Court, E.D. Virginia, Richmond Division, held that the plaintiff’s lawsuit for race discrimination in violation of Title VII will proceed to a jury trial. Plaintiff worked in Station 4 (one engine, one ambulance) and when the Lieutenant position was vacant or absent due to injury, the plaintiff was frequently not allowed to ride as OIC on the engine to avoid paying him “Acting Officer” pay.  The Court held that a jury should decide whether the County has offered a legitimate defense; in its November 22, 2022 response to the plaintiff’s EEOC charge, the County explained that prior to April 2022, it rotated OIC assignments to avoid pay Acting Officer pay and to rotate as many firefighters as feasible to serve as OIC to provide widespread opportunities for growth and development.”   THE COURT HELD [case proceed to trial] “In his deposition in connection with this case, Assistant Chief Buchanan testified that Blagman was pulled from the OIC role before he could qualify for acting pay as a result of a ‘business practice that started back around 2008, . . . when the economy was really </w:t>
      </w:r>
      <w:proofErr w:type="spellStart"/>
      <w:r w:rsidRPr="00997E2F">
        <w:rPr>
          <w:rFonts w:ascii="Times New Roman" w:hAnsi="Times New Roman"/>
          <w:sz w:val="24"/>
          <w:szCs w:val="24"/>
        </w:rPr>
        <w:t>really</w:t>
      </w:r>
      <w:proofErr w:type="spellEnd"/>
      <w:r w:rsidRPr="00997E2F">
        <w:rPr>
          <w:rFonts w:ascii="Times New Roman" w:hAnsi="Times New Roman"/>
          <w:sz w:val="24"/>
          <w:szCs w:val="24"/>
        </w:rPr>
        <w:t xml:space="preserve"> bad, . . . and the County Administrator . . . would tell us to . . . move [people otherwise serving as acting officers] because we literally didn't have the money.... and that became the practice for a while . . . .’ Buchanan Dep. 35:3-25.” </w:t>
      </w:r>
    </w:p>
    <w:p w14:paraId="239F0798" w14:textId="77777777" w:rsidR="00A17EA1" w:rsidRPr="00997E2F" w:rsidRDefault="00A17EA1" w:rsidP="00A17EA1">
      <w:pPr>
        <w:pStyle w:val="NoSpacing"/>
        <w:rPr>
          <w:rFonts w:ascii="Times New Roman" w:hAnsi="Times New Roman"/>
          <w:bCs/>
          <w:sz w:val="24"/>
          <w:szCs w:val="24"/>
        </w:rPr>
      </w:pPr>
      <w:hyperlink r:id="rId1482" w:history="1">
        <w:r w:rsidRPr="00997E2F">
          <w:rPr>
            <w:rStyle w:val="Hyperlink"/>
            <w:rFonts w:ascii="Times New Roman" w:hAnsi="Times New Roman"/>
            <w:sz w:val="24"/>
            <w:szCs w:val="24"/>
          </w:rPr>
          <w:t>https://cases.justia.com/federal/district-courts/virginia/vaedce/3:2024cv00108/549376/71/0.pdf?ts=1749905770</w:t>
        </w:r>
      </w:hyperlink>
    </w:p>
    <w:p w14:paraId="26F32252" w14:textId="77777777" w:rsidR="00A17EA1" w:rsidRPr="00997E2F" w:rsidRDefault="00A17EA1" w:rsidP="00A17EA1">
      <w:pPr>
        <w:pStyle w:val="NoSpacing"/>
        <w:rPr>
          <w:rFonts w:ascii="Times New Roman" w:hAnsi="Times New Roman"/>
          <w:bCs/>
          <w:sz w:val="24"/>
          <w:szCs w:val="24"/>
        </w:rPr>
      </w:pPr>
    </w:p>
    <w:p w14:paraId="63997CF7" w14:textId="1243A868" w:rsidR="00A17EA1" w:rsidRPr="00997E2F" w:rsidRDefault="006764DB" w:rsidP="00BC70A3">
      <w:pPr>
        <w:rPr>
          <w:rFonts w:ascii="Times New Roman" w:hAnsi="Times New Roman"/>
          <w:b/>
          <w:sz w:val="24"/>
          <w:szCs w:val="24"/>
        </w:rPr>
      </w:pPr>
      <w:r w:rsidRPr="00997E2F">
        <w:rPr>
          <w:rFonts w:ascii="Times New Roman" w:hAnsi="Times New Roman"/>
          <w:b/>
          <w:sz w:val="24"/>
          <w:szCs w:val="24"/>
        </w:rPr>
        <w:t>Legal lesson learned:  FD should have a clear “Acting Officer” pay policy</w:t>
      </w:r>
      <w:r w:rsidRPr="00997E2F">
        <w:rPr>
          <w:rFonts w:ascii="Times New Roman" w:hAnsi="Times New Roman"/>
          <w:b/>
          <w:bCs/>
          <w:sz w:val="24"/>
          <w:szCs w:val="24"/>
        </w:rPr>
        <w:t xml:space="preserve"> </w:t>
      </w:r>
      <w:r w:rsidRPr="00997E2F">
        <w:rPr>
          <w:rFonts w:ascii="Times New Roman" w:hAnsi="Times New Roman"/>
          <w:b/>
          <w:sz w:val="24"/>
          <w:szCs w:val="24"/>
        </w:rPr>
        <w:t>and strictly follow it</w:t>
      </w:r>
      <w:r w:rsidR="00997E2F" w:rsidRPr="00997E2F">
        <w:rPr>
          <w:rFonts w:ascii="Times New Roman" w:hAnsi="Times New Roman"/>
          <w:b/>
          <w:sz w:val="24"/>
          <w:szCs w:val="24"/>
        </w:rPr>
        <w:t>.</w:t>
      </w:r>
    </w:p>
    <w:p w14:paraId="6DBFD951" w14:textId="77777777" w:rsidR="00A17EA1" w:rsidRPr="00997E2F" w:rsidRDefault="00A17EA1" w:rsidP="00BC70A3">
      <w:pPr>
        <w:rPr>
          <w:rFonts w:ascii="Times New Roman" w:hAnsi="Times New Roman"/>
          <w:b/>
          <w:sz w:val="24"/>
          <w:szCs w:val="24"/>
        </w:rPr>
      </w:pPr>
    </w:p>
    <w:p w14:paraId="3E584867" w14:textId="7E2F5982" w:rsidR="0069023D" w:rsidRDefault="0069023D" w:rsidP="0069023D">
      <w:pPr>
        <w:rPr>
          <w:rFonts w:ascii="Arial Black" w:hAnsi="Arial Black"/>
          <w:b/>
          <w:sz w:val="24"/>
          <w:szCs w:val="24"/>
        </w:rPr>
      </w:pPr>
      <w:r>
        <w:rPr>
          <w:rFonts w:ascii="Arial Black" w:hAnsi="Arial Black"/>
          <w:b/>
          <w:sz w:val="24"/>
          <w:szCs w:val="24"/>
        </w:rPr>
        <w:t>8-7</w:t>
      </w:r>
      <w:r w:rsidR="0021158A">
        <w:rPr>
          <w:rFonts w:ascii="Arial Black" w:hAnsi="Arial Black"/>
          <w:b/>
          <w:sz w:val="24"/>
          <w:szCs w:val="24"/>
        </w:rPr>
        <w:t>9</w:t>
      </w:r>
    </w:p>
    <w:p w14:paraId="1A37F091" w14:textId="285FF072" w:rsidR="00C16DC8" w:rsidRDefault="00C16DC8" w:rsidP="00C16DC8">
      <w:pPr>
        <w:rPr>
          <w:rFonts w:ascii="Arial Black" w:hAnsi="Arial Black"/>
          <w:b/>
          <w:sz w:val="28"/>
          <w:szCs w:val="28"/>
        </w:rPr>
      </w:pPr>
      <w:r>
        <w:rPr>
          <w:rFonts w:ascii="Arial Black" w:hAnsi="Arial Black"/>
          <w:b/>
          <w:sz w:val="28"/>
          <w:szCs w:val="28"/>
        </w:rPr>
        <w:t>FL: ASIAN RECRUIT – FIRED – CAPT’S RACIAL COMMENTS</w:t>
      </w:r>
      <w:r w:rsidR="000D1CC1">
        <w:rPr>
          <w:rFonts w:ascii="Arial Black" w:hAnsi="Arial Black"/>
          <w:b/>
          <w:sz w:val="28"/>
          <w:szCs w:val="28"/>
        </w:rPr>
        <w:t xml:space="preserve"> – CASE PROCEED</w:t>
      </w:r>
      <w:r>
        <w:rPr>
          <w:rFonts w:ascii="Arial Black" w:hAnsi="Arial Black"/>
          <w:b/>
          <w:sz w:val="28"/>
          <w:szCs w:val="28"/>
        </w:rPr>
        <w:t xml:space="preserve"> </w:t>
      </w:r>
    </w:p>
    <w:p w14:paraId="6F14B873" w14:textId="77777777" w:rsidR="00C16DC8" w:rsidRPr="0069023D" w:rsidRDefault="00C16DC8" w:rsidP="00C16DC8">
      <w:pPr>
        <w:rPr>
          <w:rFonts w:ascii="Times New Roman" w:hAnsi="Times New Roman"/>
          <w:bCs/>
          <w:sz w:val="24"/>
          <w:szCs w:val="24"/>
        </w:rPr>
      </w:pPr>
      <w:r w:rsidRPr="0069023D">
        <w:rPr>
          <w:rFonts w:ascii="Times New Roman" w:hAnsi="Times New Roman"/>
          <w:sz w:val="24"/>
          <w:szCs w:val="24"/>
        </w:rPr>
        <w:t xml:space="preserve">On May 16, 2025, in </w:t>
      </w:r>
      <w:r w:rsidRPr="0069023D">
        <w:rPr>
          <w:rFonts w:ascii="Times New Roman" w:hAnsi="Times New Roman"/>
          <w:sz w:val="24"/>
          <w:szCs w:val="24"/>
          <w:u w:val="single"/>
        </w:rPr>
        <w:t>Saeed Azam v. Palm Beach County</w:t>
      </w:r>
      <w:r w:rsidRPr="0069023D">
        <w:rPr>
          <w:rFonts w:ascii="Times New Roman" w:hAnsi="Times New Roman"/>
          <w:sz w:val="24"/>
          <w:szCs w:val="24"/>
        </w:rPr>
        <w:t xml:space="preserve">, U.S Magistrate Judge Ryon M. McCabe, United States District Court for the Southern District of Florida, issued a Report &amp; Recommendation to United States District Judge Aileen M. Cannon, that plaintiff be allowed to proceed with pre-trial discovery in his civil rights case, but claims of “hostile workplace” should be dismissed.  The plaintiff started recruit training on Jan. 2, 2023, but after failing a “search-and-rescue” task he was terminated on Feb. 13, 2023.  The Court referenced alleged racial and anti-Muslim comments by his Training Captain.    THE COURT HELD: “When combined with Plaintiff's allegations of unfavorable workplace treatment, the Court finds these comments sufficient to give rise to a plausible inference of discriminatory animus. The Court acknowledges that these comments could also be interpreted as non-discriminatory expressions of curiosity regarding a new trainee and the trainee's background. At this stage of the case, however, the Court must construe these allegations in the light most favorable to Plaintiff's claims. The Court therefore finds that Counts 1, 2, and 3 state plausible claims of discrimination. As such, the motion should be denied as to these counts.” </w:t>
      </w:r>
      <w:hyperlink r:id="rId1483" w:history="1">
        <w:r w:rsidRPr="0069023D">
          <w:rPr>
            <w:rStyle w:val="Hyperlink"/>
            <w:rFonts w:ascii="Times New Roman" w:hAnsi="Times New Roman"/>
            <w:sz w:val="24"/>
            <w:szCs w:val="24"/>
          </w:rPr>
          <w:t>https://public.fastcase.com/jaEE2PXzRXmZ99jOLMt1Ijy4owdgN11%2FWJRcUJbHoDpxB70E2t6SZ0qkojT0B8Qp?utm_medium=email&amp;_hsenc=p2ANqtz-9VaXpB4njMDCq0a3A4ziHdpnkkhT3_X-uHzr6ZxpzUXb9np6U8cLB4p1ctiAJNyopvqJJhsHP0CMdXEdLkgd2zGecgDw&amp;_hsmi=226712652&amp;utm_content=226712652&amp;utm_source=hs_email</w:t>
        </w:r>
      </w:hyperlink>
      <w:r w:rsidRPr="0069023D">
        <w:rPr>
          <w:rFonts w:ascii="Times New Roman" w:hAnsi="Times New Roman"/>
          <w:sz w:val="24"/>
          <w:szCs w:val="24"/>
        </w:rPr>
        <w:t xml:space="preserve"> </w:t>
      </w:r>
    </w:p>
    <w:p w14:paraId="4501DCCB" w14:textId="77777777" w:rsidR="0069023D" w:rsidRPr="0069023D" w:rsidRDefault="0069023D" w:rsidP="0069023D">
      <w:pPr>
        <w:rPr>
          <w:rFonts w:ascii="Times New Roman" w:hAnsi="Times New Roman"/>
          <w:b/>
          <w:bCs/>
          <w:sz w:val="24"/>
          <w:szCs w:val="24"/>
        </w:rPr>
      </w:pPr>
      <w:r w:rsidRPr="0069023D">
        <w:rPr>
          <w:rFonts w:ascii="Times New Roman" w:hAnsi="Times New Roman"/>
          <w:b/>
          <w:sz w:val="24"/>
          <w:szCs w:val="24"/>
        </w:rPr>
        <w:t xml:space="preserve">Legal lesson learned: Thoroughly document a recruit’s training issues and avoid racially hostile comments.  </w:t>
      </w:r>
    </w:p>
    <w:p w14:paraId="62D67B1A" w14:textId="77777777" w:rsidR="00A17EA1" w:rsidRDefault="00A17EA1" w:rsidP="00BC70A3">
      <w:pPr>
        <w:rPr>
          <w:rFonts w:ascii="Arial Black" w:hAnsi="Arial Black"/>
          <w:b/>
          <w:sz w:val="24"/>
          <w:szCs w:val="24"/>
        </w:rPr>
      </w:pPr>
    </w:p>
    <w:p w14:paraId="365A04FC" w14:textId="6A496EAE" w:rsidR="0021158A" w:rsidRDefault="0021158A" w:rsidP="0021158A">
      <w:pPr>
        <w:rPr>
          <w:rFonts w:ascii="Arial Black" w:hAnsi="Arial Black"/>
          <w:b/>
          <w:sz w:val="24"/>
          <w:szCs w:val="24"/>
        </w:rPr>
      </w:pPr>
      <w:r>
        <w:rPr>
          <w:rFonts w:ascii="Arial Black" w:hAnsi="Arial Black"/>
          <w:b/>
          <w:sz w:val="24"/>
          <w:szCs w:val="24"/>
        </w:rPr>
        <w:t>8-78</w:t>
      </w:r>
    </w:p>
    <w:p w14:paraId="31A529DB" w14:textId="77777777" w:rsidR="00A45D5D" w:rsidRDefault="00A45D5D" w:rsidP="00BC70A3">
      <w:pPr>
        <w:rPr>
          <w:rFonts w:ascii="Arial Black" w:hAnsi="Arial Black"/>
          <w:b/>
          <w:sz w:val="24"/>
          <w:szCs w:val="24"/>
        </w:rPr>
      </w:pPr>
    </w:p>
    <w:p w14:paraId="1AD95F18" w14:textId="48DD9946" w:rsidR="00A45D5D" w:rsidRPr="00430A69" w:rsidRDefault="00A45D5D" w:rsidP="00A45D5D">
      <w:pPr>
        <w:pStyle w:val="NoSpacing"/>
        <w:rPr>
          <w:rFonts w:ascii="Arial Black" w:hAnsi="Arial Black"/>
          <w:sz w:val="28"/>
          <w:szCs w:val="28"/>
        </w:rPr>
      </w:pPr>
      <w:r>
        <w:rPr>
          <w:rFonts w:ascii="Arial Black" w:hAnsi="Arial Black"/>
          <w:sz w:val="28"/>
          <w:szCs w:val="28"/>
        </w:rPr>
        <w:t xml:space="preserve">NY: RECRUIT HISPANICS / WOMEN – </w:t>
      </w:r>
      <w:r w:rsidR="00080178">
        <w:rPr>
          <w:rFonts w:ascii="Arial Black" w:hAnsi="Arial Black"/>
          <w:sz w:val="28"/>
          <w:szCs w:val="28"/>
        </w:rPr>
        <w:t xml:space="preserve">REV. </w:t>
      </w:r>
      <w:r>
        <w:rPr>
          <w:rFonts w:ascii="Arial Black" w:hAnsi="Arial Black"/>
          <w:sz w:val="28"/>
          <w:szCs w:val="28"/>
        </w:rPr>
        <w:t>CONSENT DECREE</w:t>
      </w:r>
    </w:p>
    <w:p w14:paraId="2021DD22" w14:textId="77777777" w:rsidR="00A45D5D" w:rsidRDefault="00A45D5D" w:rsidP="00A45D5D">
      <w:pPr>
        <w:pStyle w:val="NoSpacing"/>
      </w:pPr>
    </w:p>
    <w:p w14:paraId="405869A3" w14:textId="4E2D2AC8" w:rsidR="00A45D5D" w:rsidRPr="00080178" w:rsidRDefault="00A45D5D" w:rsidP="00A45D5D">
      <w:pPr>
        <w:rPr>
          <w:rFonts w:ascii="Times New Roman" w:hAnsi="Times New Roman"/>
          <w:sz w:val="24"/>
          <w:szCs w:val="24"/>
        </w:rPr>
      </w:pPr>
      <w:r w:rsidRPr="00080178">
        <w:rPr>
          <w:rFonts w:ascii="Times New Roman" w:hAnsi="Times New Roman"/>
          <w:sz w:val="24"/>
          <w:szCs w:val="24"/>
        </w:rPr>
        <w:t xml:space="preserve">On June 3, 2025, in </w:t>
      </w:r>
      <w:r w:rsidRPr="00080178">
        <w:rPr>
          <w:rFonts w:ascii="Times New Roman" w:hAnsi="Times New Roman"/>
          <w:sz w:val="24"/>
          <w:szCs w:val="24"/>
          <w:u w:val="single"/>
        </w:rPr>
        <w:t>United States of America v. New York State Department of Civil Service; City of Mount Vernon; Fire Department of the City of Mount Vernon</w:t>
      </w:r>
      <w:r w:rsidRPr="00080178">
        <w:rPr>
          <w:rFonts w:ascii="Times New Roman" w:hAnsi="Times New Roman"/>
          <w:sz w:val="24"/>
          <w:szCs w:val="24"/>
        </w:rPr>
        <w:t xml:space="preserve">,  U.S. District Court Judge Jessica G. L. Clarke, United States District Court for Southern District of New York, published the proposed “2024 Revised Consent Judgment,” which modified the 40-year old Consent Decree of Jan. 19, 1981.  The fire department has made great progress hiring black firefighters (62% of current firefighters), but not Hispanics (only 2%), or women (currently only one; only been one at any time).  THE CONSENT DECREE: Requires the department to “develop and implement an active and continuing recruitment program to attract and increase Hispanic and women applicants for the position of firefighter.” </w:t>
      </w:r>
      <w:hyperlink r:id="rId1484" w:history="1">
        <w:r w:rsidRPr="00080178">
          <w:rPr>
            <w:rStyle w:val="Hyperlink"/>
            <w:rFonts w:ascii="Times New Roman" w:hAnsi="Times New Roman"/>
            <w:sz w:val="24"/>
            <w:szCs w:val="24"/>
          </w:rPr>
          <w:t>https://public.fastcase.com/jaEE2PXzRXmZ99jOLMt1Ih1bY1MIzDyw1U7nvkn0d%2B%2FaFhZR3Gd%2F7kjzaTYbL26VJTUSjJADCaSru%2Bl5NmbtQ7Cz5zh1NuQxuUkDcSWUI8U%3D?utm_medium=email&amp;_hsenc=p2ANqtz-_CCOzgPs_whfplvulLfr2w4HcJ6-0Ih3t3c1pVqqN-_dVSpVNg1X0G63L7_Ww7LMQiA0kuqw-PCcDfPecmXjX4Ld1uNw&amp;_hsmi=226712652&amp;utm_content=226712652&amp;utm_source=hs_email</w:t>
        </w:r>
      </w:hyperlink>
    </w:p>
    <w:p w14:paraId="779BD134" w14:textId="77777777" w:rsidR="00080178" w:rsidRPr="00080178" w:rsidRDefault="00080178" w:rsidP="00080178">
      <w:pPr>
        <w:pStyle w:val="NoSpacing"/>
        <w:rPr>
          <w:rFonts w:ascii="Times New Roman" w:hAnsi="Times New Roman"/>
          <w:b/>
          <w:bCs/>
          <w:sz w:val="24"/>
          <w:szCs w:val="24"/>
        </w:rPr>
      </w:pPr>
      <w:r w:rsidRPr="00080178">
        <w:rPr>
          <w:rFonts w:ascii="Times New Roman" w:hAnsi="Times New Roman"/>
          <w:b/>
          <w:sz w:val="24"/>
          <w:szCs w:val="24"/>
        </w:rPr>
        <w:t xml:space="preserve">Legal Lesson Learned: This </w:t>
      </w:r>
      <w:r w:rsidRPr="00080178">
        <w:rPr>
          <w:rFonts w:ascii="Times New Roman" w:hAnsi="Times New Roman"/>
          <w:b/>
          <w:bCs/>
          <w:sz w:val="24"/>
          <w:szCs w:val="24"/>
        </w:rPr>
        <w:t>revised</w:t>
      </w:r>
      <w:r w:rsidRPr="00080178">
        <w:rPr>
          <w:rFonts w:ascii="Times New Roman" w:hAnsi="Times New Roman"/>
          <w:b/>
          <w:sz w:val="24"/>
          <w:szCs w:val="24"/>
        </w:rPr>
        <w:t xml:space="preserve"> Consent Decree has some innovative recruiting requirements. </w:t>
      </w:r>
    </w:p>
    <w:p w14:paraId="2FB5A8F5" w14:textId="77777777" w:rsidR="00080178" w:rsidRPr="00080178" w:rsidRDefault="00080178" w:rsidP="00080178">
      <w:pPr>
        <w:pStyle w:val="NoSpacing"/>
        <w:rPr>
          <w:rFonts w:ascii="Times New Roman" w:hAnsi="Times New Roman"/>
          <w:b/>
          <w:bCs/>
          <w:sz w:val="24"/>
          <w:szCs w:val="24"/>
        </w:rPr>
      </w:pPr>
    </w:p>
    <w:p w14:paraId="671F9C96" w14:textId="77777777" w:rsidR="00080178" w:rsidRPr="00080178" w:rsidRDefault="00080178" w:rsidP="00080178">
      <w:pPr>
        <w:pStyle w:val="NoSpacing"/>
        <w:ind w:left="720"/>
        <w:rPr>
          <w:rFonts w:ascii="Times New Roman" w:hAnsi="Times New Roman"/>
          <w:sz w:val="24"/>
          <w:szCs w:val="24"/>
        </w:rPr>
      </w:pPr>
      <w:r w:rsidRPr="00080178">
        <w:rPr>
          <w:rFonts w:ascii="Times New Roman" w:hAnsi="Times New Roman"/>
          <w:sz w:val="24"/>
          <w:szCs w:val="24"/>
        </w:rPr>
        <w:t>Note: The Consent Decree reflect 40 years progress with hiring Black male firefighters, but Consent Decree recognizes lack of females.  “THAT, despite the efforts of the parties, there are currently one female firefighter of any rank in the Fire Department of Mount Vernon, and there has only been one female firefighter at any time.”</w:t>
      </w:r>
    </w:p>
    <w:p w14:paraId="42C721AD" w14:textId="77777777" w:rsidR="00080178" w:rsidRPr="00080178" w:rsidRDefault="00080178" w:rsidP="00080178">
      <w:pPr>
        <w:pStyle w:val="NoSpacing"/>
        <w:rPr>
          <w:rFonts w:ascii="Times New Roman" w:hAnsi="Times New Roman"/>
          <w:b/>
          <w:bCs/>
          <w:sz w:val="24"/>
          <w:szCs w:val="24"/>
        </w:rPr>
      </w:pPr>
    </w:p>
    <w:p w14:paraId="6C63B500" w14:textId="77777777" w:rsidR="00080178" w:rsidRPr="00080178" w:rsidRDefault="00080178" w:rsidP="00080178">
      <w:pPr>
        <w:pStyle w:val="NoSpacing"/>
        <w:ind w:left="720"/>
        <w:rPr>
          <w:rFonts w:ascii="Times New Roman" w:hAnsi="Times New Roman"/>
          <w:sz w:val="24"/>
          <w:szCs w:val="24"/>
        </w:rPr>
      </w:pPr>
      <w:r w:rsidRPr="00080178">
        <w:rPr>
          <w:rFonts w:ascii="Times New Roman" w:hAnsi="Times New Roman"/>
          <w:sz w:val="24"/>
          <w:szCs w:val="24"/>
        </w:rPr>
        <w:t xml:space="preserve">See these statistics in the 2024 Consent Decree.   </w:t>
      </w:r>
    </w:p>
    <w:p w14:paraId="4823A1F5" w14:textId="77777777" w:rsidR="00080178" w:rsidRPr="00080178" w:rsidRDefault="00080178" w:rsidP="00080178">
      <w:pPr>
        <w:pStyle w:val="NoSpacing"/>
        <w:ind w:left="720"/>
        <w:rPr>
          <w:rFonts w:ascii="Times New Roman" w:hAnsi="Times New Roman"/>
          <w:sz w:val="24"/>
          <w:szCs w:val="24"/>
        </w:rPr>
      </w:pPr>
    </w:p>
    <w:p w14:paraId="1A090FA5" w14:textId="77777777" w:rsidR="00080178" w:rsidRPr="00080178" w:rsidRDefault="00080178" w:rsidP="00080178">
      <w:pPr>
        <w:pStyle w:val="NoSpacing"/>
        <w:ind w:left="720"/>
        <w:rPr>
          <w:rFonts w:ascii="Times New Roman" w:hAnsi="Times New Roman"/>
          <w:sz w:val="24"/>
          <w:szCs w:val="24"/>
        </w:rPr>
      </w:pPr>
      <w:r w:rsidRPr="00080178">
        <w:rPr>
          <w:rFonts w:ascii="Times New Roman" w:hAnsi="Times New Roman"/>
          <w:sz w:val="24"/>
          <w:szCs w:val="24"/>
        </w:rPr>
        <w:t xml:space="preserve">According to the 2020 Census, the </w:t>
      </w:r>
      <w:proofErr w:type="gramStart"/>
      <w:r w:rsidRPr="00080178">
        <w:rPr>
          <w:rFonts w:ascii="Times New Roman" w:hAnsi="Times New Roman"/>
          <w:sz w:val="24"/>
          <w:szCs w:val="24"/>
        </w:rPr>
        <w:t>African-American</w:t>
      </w:r>
      <w:proofErr w:type="gramEnd"/>
      <w:r w:rsidRPr="00080178">
        <w:rPr>
          <w:rFonts w:ascii="Times New Roman" w:hAnsi="Times New Roman"/>
          <w:sz w:val="24"/>
          <w:szCs w:val="24"/>
        </w:rPr>
        <w:t xml:space="preserve"> and/or Hispanic population of Mount Vernon between the ages of 18 and 44 was approximately 66% and 7%, respectively. According to Mount Vernon counsel, the demographics of the fire department were: </w:t>
      </w:r>
    </w:p>
    <w:p w14:paraId="68A9E609" w14:textId="77777777" w:rsidR="00080178" w:rsidRPr="00080178" w:rsidRDefault="00080178" w:rsidP="00080178">
      <w:pPr>
        <w:pStyle w:val="NoSpacing"/>
        <w:ind w:left="720"/>
        <w:rPr>
          <w:rFonts w:ascii="Times New Roman" w:hAnsi="Times New Roman"/>
          <w:sz w:val="24"/>
          <w:szCs w:val="24"/>
        </w:rPr>
      </w:pPr>
    </w:p>
    <w:tbl>
      <w:tblPr>
        <w:tblW w:w="0" w:type="auto"/>
        <w:tblCellSpacing w:w="15" w:type="dxa"/>
        <w:tblInd w:w="1395" w:type="dxa"/>
        <w:tblCellMar>
          <w:top w:w="15" w:type="dxa"/>
          <w:left w:w="15" w:type="dxa"/>
          <w:bottom w:w="15" w:type="dxa"/>
          <w:right w:w="15" w:type="dxa"/>
        </w:tblCellMar>
        <w:tblLook w:val="04A0" w:firstRow="1" w:lastRow="0" w:firstColumn="1" w:lastColumn="0" w:noHBand="0" w:noVBand="1"/>
      </w:tblPr>
      <w:tblGrid>
        <w:gridCol w:w="1642"/>
        <w:gridCol w:w="647"/>
        <w:gridCol w:w="1819"/>
        <w:gridCol w:w="929"/>
      </w:tblGrid>
      <w:tr w:rsidR="00080178" w:rsidRPr="00080178" w14:paraId="6D1EE60B" w14:textId="77777777" w:rsidTr="007E6314">
        <w:trPr>
          <w:tblCellSpacing w:w="15" w:type="dxa"/>
        </w:trPr>
        <w:tc>
          <w:tcPr>
            <w:tcW w:w="0" w:type="auto"/>
            <w:vAlign w:val="center"/>
            <w:hideMark/>
          </w:tcPr>
          <w:p w14:paraId="58EAD0D8" w14:textId="77777777" w:rsidR="00080178" w:rsidRPr="00080178" w:rsidRDefault="00080178" w:rsidP="007E6314">
            <w:pPr>
              <w:pStyle w:val="NoSpacing"/>
              <w:rPr>
                <w:rFonts w:ascii="Times New Roman" w:hAnsi="Times New Roman"/>
                <w:sz w:val="24"/>
                <w:szCs w:val="24"/>
              </w:rPr>
            </w:pPr>
          </w:p>
        </w:tc>
        <w:tc>
          <w:tcPr>
            <w:tcW w:w="0" w:type="auto"/>
            <w:vAlign w:val="center"/>
            <w:hideMark/>
          </w:tcPr>
          <w:p w14:paraId="435AC5AF"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White </w:t>
            </w:r>
          </w:p>
        </w:tc>
        <w:tc>
          <w:tcPr>
            <w:tcW w:w="0" w:type="auto"/>
            <w:vAlign w:val="center"/>
            <w:hideMark/>
          </w:tcPr>
          <w:p w14:paraId="0C5EB4E7" w14:textId="77777777" w:rsidR="00080178" w:rsidRPr="00080178" w:rsidRDefault="00080178" w:rsidP="007E6314">
            <w:pPr>
              <w:pStyle w:val="NoSpacing"/>
              <w:rPr>
                <w:rFonts w:ascii="Times New Roman" w:hAnsi="Times New Roman"/>
                <w:sz w:val="24"/>
                <w:szCs w:val="24"/>
              </w:rPr>
            </w:pPr>
            <w:proofErr w:type="gramStart"/>
            <w:r w:rsidRPr="00080178">
              <w:rPr>
                <w:rFonts w:ascii="Times New Roman" w:hAnsi="Times New Roman"/>
                <w:sz w:val="24"/>
                <w:szCs w:val="24"/>
              </w:rPr>
              <w:t>African-American</w:t>
            </w:r>
            <w:proofErr w:type="gramEnd"/>
            <w:r w:rsidRPr="00080178">
              <w:rPr>
                <w:rFonts w:ascii="Times New Roman" w:hAnsi="Times New Roman"/>
                <w:sz w:val="24"/>
                <w:szCs w:val="24"/>
              </w:rPr>
              <w:t xml:space="preserve"> </w:t>
            </w:r>
          </w:p>
        </w:tc>
        <w:tc>
          <w:tcPr>
            <w:tcW w:w="0" w:type="auto"/>
            <w:vAlign w:val="center"/>
            <w:hideMark/>
          </w:tcPr>
          <w:p w14:paraId="284EABBB"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Hispanic </w:t>
            </w:r>
          </w:p>
        </w:tc>
      </w:tr>
      <w:tr w:rsidR="00080178" w:rsidRPr="00080178" w14:paraId="42E8FB2F" w14:textId="77777777" w:rsidTr="007E6314">
        <w:trPr>
          <w:tblCellSpacing w:w="15" w:type="dxa"/>
        </w:trPr>
        <w:tc>
          <w:tcPr>
            <w:tcW w:w="0" w:type="auto"/>
            <w:vAlign w:val="center"/>
            <w:hideMark/>
          </w:tcPr>
          <w:p w14:paraId="556C2E47"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Commissioners </w:t>
            </w:r>
          </w:p>
        </w:tc>
        <w:tc>
          <w:tcPr>
            <w:tcW w:w="0" w:type="auto"/>
            <w:vAlign w:val="center"/>
            <w:hideMark/>
          </w:tcPr>
          <w:p w14:paraId="3238446B"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33A5828E"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6F8E5893"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0% </w:t>
            </w:r>
          </w:p>
        </w:tc>
      </w:tr>
      <w:tr w:rsidR="00080178" w:rsidRPr="00080178" w14:paraId="2E1BD3CE" w14:textId="77777777" w:rsidTr="007E6314">
        <w:trPr>
          <w:tblCellSpacing w:w="15" w:type="dxa"/>
        </w:trPr>
        <w:tc>
          <w:tcPr>
            <w:tcW w:w="0" w:type="auto"/>
            <w:vAlign w:val="center"/>
            <w:hideMark/>
          </w:tcPr>
          <w:p w14:paraId="7EF9169B"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Deputy Chiefs </w:t>
            </w:r>
          </w:p>
        </w:tc>
        <w:tc>
          <w:tcPr>
            <w:tcW w:w="0" w:type="auto"/>
            <w:vAlign w:val="center"/>
            <w:hideMark/>
          </w:tcPr>
          <w:p w14:paraId="34E54506"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5A95D5D0"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41387636"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0% </w:t>
            </w:r>
          </w:p>
        </w:tc>
      </w:tr>
      <w:tr w:rsidR="00080178" w:rsidRPr="00080178" w14:paraId="056C82CA" w14:textId="77777777" w:rsidTr="007E6314">
        <w:trPr>
          <w:tblCellSpacing w:w="15" w:type="dxa"/>
        </w:trPr>
        <w:tc>
          <w:tcPr>
            <w:tcW w:w="0" w:type="auto"/>
            <w:vAlign w:val="center"/>
            <w:hideMark/>
          </w:tcPr>
          <w:p w14:paraId="7C9945AC"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Fire Captains </w:t>
            </w:r>
          </w:p>
        </w:tc>
        <w:tc>
          <w:tcPr>
            <w:tcW w:w="0" w:type="auto"/>
            <w:vAlign w:val="center"/>
            <w:hideMark/>
          </w:tcPr>
          <w:p w14:paraId="1F12CE66"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33% </w:t>
            </w:r>
          </w:p>
        </w:tc>
        <w:tc>
          <w:tcPr>
            <w:tcW w:w="0" w:type="auto"/>
            <w:vAlign w:val="center"/>
            <w:hideMark/>
          </w:tcPr>
          <w:p w14:paraId="2F84DCB9"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17146B7E"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17% </w:t>
            </w:r>
          </w:p>
        </w:tc>
      </w:tr>
      <w:tr w:rsidR="00080178" w:rsidRPr="00080178" w14:paraId="2921482E" w14:textId="77777777" w:rsidTr="007E6314">
        <w:trPr>
          <w:tblCellSpacing w:w="15" w:type="dxa"/>
        </w:trPr>
        <w:tc>
          <w:tcPr>
            <w:tcW w:w="0" w:type="auto"/>
            <w:vAlign w:val="center"/>
            <w:hideMark/>
          </w:tcPr>
          <w:p w14:paraId="2EE233D6"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Fire Lieutenants </w:t>
            </w:r>
          </w:p>
        </w:tc>
        <w:tc>
          <w:tcPr>
            <w:tcW w:w="0" w:type="auto"/>
            <w:vAlign w:val="center"/>
            <w:hideMark/>
          </w:tcPr>
          <w:p w14:paraId="36EB51EA"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48% </w:t>
            </w:r>
          </w:p>
        </w:tc>
        <w:tc>
          <w:tcPr>
            <w:tcW w:w="0" w:type="auto"/>
            <w:vAlign w:val="center"/>
            <w:hideMark/>
          </w:tcPr>
          <w:p w14:paraId="7CB2482F"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52% </w:t>
            </w:r>
          </w:p>
        </w:tc>
        <w:tc>
          <w:tcPr>
            <w:tcW w:w="0" w:type="auto"/>
            <w:vAlign w:val="center"/>
            <w:hideMark/>
          </w:tcPr>
          <w:p w14:paraId="5E882C88"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0% </w:t>
            </w:r>
          </w:p>
        </w:tc>
      </w:tr>
      <w:tr w:rsidR="00080178" w:rsidRPr="00080178" w14:paraId="3A10B905" w14:textId="77777777" w:rsidTr="007E6314">
        <w:trPr>
          <w:tblCellSpacing w:w="15" w:type="dxa"/>
        </w:trPr>
        <w:tc>
          <w:tcPr>
            <w:tcW w:w="0" w:type="auto"/>
            <w:vAlign w:val="center"/>
            <w:hideMark/>
          </w:tcPr>
          <w:p w14:paraId="7CDAE054"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Firefighters </w:t>
            </w:r>
          </w:p>
        </w:tc>
        <w:tc>
          <w:tcPr>
            <w:tcW w:w="0" w:type="auto"/>
            <w:vAlign w:val="center"/>
            <w:hideMark/>
          </w:tcPr>
          <w:p w14:paraId="73DCEBA0"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36% </w:t>
            </w:r>
          </w:p>
        </w:tc>
        <w:tc>
          <w:tcPr>
            <w:tcW w:w="0" w:type="auto"/>
            <w:vAlign w:val="center"/>
            <w:hideMark/>
          </w:tcPr>
          <w:p w14:paraId="7D4855BA"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62% </w:t>
            </w:r>
          </w:p>
        </w:tc>
        <w:tc>
          <w:tcPr>
            <w:tcW w:w="0" w:type="auto"/>
            <w:vAlign w:val="center"/>
            <w:hideMark/>
          </w:tcPr>
          <w:p w14:paraId="5B0DC378"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2% </w:t>
            </w:r>
          </w:p>
        </w:tc>
      </w:tr>
      <w:tr w:rsidR="00080178" w:rsidRPr="00080178" w14:paraId="42FB0420" w14:textId="77777777" w:rsidTr="007E6314">
        <w:trPr>
          <w:tblCellSpacing w:w="15" w:type="dxa"/>
        </w:trPr>
        <w:tc>
          <w:tcPr>
            <w:tcW w:w="0" w:type="auto"/>
            <w:vAlign w:val="center"/>
            <w:hideMark/>
          </w:tcPr>
          <w:p w14:paraId="2E96DA45"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Inspectors </w:t>
            </w:r>
          </w:p>
        </w:tc>
        <w:tc>
          <w:tcPr>
            <w:tcW w:w="0" w:type="auto"/>
            <w:vAlign w:val="center"/>
            <w:hideMark/>
          </w:tcPr>
          <w:p w14:paraId="6C4060A8"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7CC8F3D4"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50% </w:t>
            </w:r>
          </w:p>
        </w:tc>
        <w:tc>
          <w:tcPr>
            <w:tcW w:w="0" w:type="auto"/>
            <w:vAlign w:val="center"/>
            <w:hideMark/>
          </w:tcPr>
          <w:p w14:paraId="443F144F" w14:textId="77777777" w:rsidR="00080178" w:rsidRPr="00080178" w:rsidRDefault="00080178" w:rsidP="007E6314">
            <w:pPr>
              <w:pStyle w:val="NoSpacing"/>
              <w:rPr>
                <w:rFonts w:ascii="Times New Roman" w:hAnsi="Times New Roman"/>
                <w:sz w:val="24"/>
                <w:szCs w:val="24"/>
              </w:rPr>
            </w:pPr>
            <w:r w:rsidRPr="00080178">
              <w:rPr>
                <w:rFonts w:ascii="Times New Roman" w:hAnsi="Times New Roman"/>
                <w:sz w:val="24"/>
                <w:szCs w:val="24"/>
              </w:rPr>
              <w:t xml:space="preserve">0% </w:t>
            </w:r>
          </w:p>
        </w:tc>
      </w:tr>
    </w:tbl>
    <w:p w14:paraId="32DA08E8" w14:textId="77777777" w:rsidR="00080178" w:rsidRPr="00080178" w:rsidRDefault="00080178" w:rsidP="00080178">
      <w:pPr>
        <w:pStyle w:val="NoSpacing"/>
        <w:ind w:left="1395"/>
        <w:rPr>
          <w:rFonts w:ascii="Times New Roman" w:hAnsi="Times New Roman"/>
          <w:sz w:val="24"/>
          <w:szCs w:val="24"/>
        </w:rPr>
      </w:pPr>
      <w:r w:rsidRPr="00080178">
        <w:rPr>
          <w:rFonts w:ascii="Times New Roman" w:hAnsi="Times New Roman"/>
          <w:sz w:val="24"/>
          <w:szCs w:val="24"/>
        </w:rPr>
        <w:t xml:space="preserve"> Dispatchers </w:t>
      </w:r>
      <w:r w:rsidRPr="00080178">
        <w:rPr>
          <w:rFonts w:ascii="Times New Roman" w:hAnsi="Times New Roman"/>
          <w:sz w:val="24"/>
          <w:szCs w:val="24"/>
        </w:rPr>
        <w:tab/>
        <w:t xml:space="preserve">    30%   50%                       20%</w:t>
      </w:r>
    </w:p>
    <w:p w14:paraId="7194787B" w14:textId="77777777" w:rsidR="00080178" w:rsidRPr="00080178" w:rsidRDefault="00080178" w:rsidP="00080178">
      <w:pPr>
        <w:pStyle w:val="NoSpacing"/>
        <w:rPr>
          <w:rFonts w:ascii="Times New Roman" w:hAnsi="Times New Roman"/>
          <w:b/>
          <w:bCs/>
          <w:sz w:val="24"/>
          <w:szCs w:val="24"/>
        </w:rPr>
      </w:pPr>
    </w:p>
    <w:p w14:paraId="271BFE65" w14:textId="77777777" w:rsidR="00080178" w:rsidRPr="00080178" w:rsidRDefault="00080178" w:rsidP="00A45D5D">
      <w:pPr>
        <w:rPr>
          <w:rFonts w:ascii="Times New Roman" w:hAnsi="Times New Roman"/>
          <w:b/>
          <w:sz w:val="24"/>
          <w:szCs w:val="24"/>
        </w:rPr>
      </w:pPr>
    </w:p>
    <w:p w14:paraId="2518B40E" w14:textId="77777777" w:rsidR="00A17EA1" w:rsidRDefault="00A17EA1" w:rsidP="00BC70A3">
      <w:pPr>
        <w:rPr>
          <w:rFonts w:ascii="Arial Black" w:hAnsi="Arial Black"/>
          <w:b/>
          <w:sz w:val="24"/>
          <w:szCs w:val="24"/>
        </w:rPr>
      </w:pPr>
    </w:p>
    <w:p w14:paraId="39FC01FF" w14:textId="593D70AE" w:rsidR="00B92F73" w:rsidRDefault="00B92F73" w:rsidP="00BC70A3">
      <w:pPr>
        <w:rPr>
          <w:rFonts w:ascii="Arial Black" w:hAnsi="Arial Black"/>
          <w:b/>
          <w:sz w:val="24"/>
          <w:szCs w:val="24"/>
        </w:rPr>
      </w:pPr>
      <w:r>
        <w:rPr>
          <w:rFonts w:ascii="Arial Black" w:hAnsi="Arial Black"/>
          <w:b/>
          <w:sz w:val="24"/>
          <w:szCs w:val="24"/>
        </w:rPr>
        <w:t>8-77</w:t>
      </w:r>
    </w:p>
    <w:p w14:paraId="1387E50A" w14:textId="77777777" w:rsidR="00C6187D" w:rsidRPr="006F2B87" w:rsidRDefault="00C6187D" w:rsidP="00C6187D">
      <w:pPr>
        <w:pStyle w:val="NoSpacing"/>
        <w:rPr>
          <w:rFonts w:ascii="Arial Black" w:hAnsi="Arial Black"/>
          <w:bCs/>
          <w:sz w:val="28"/>
          <w:szCs w:val="28"/>
        </w:rPr>
      </w:pPr>
      <w:r w:rsidRPr="006F2B87">
        <w:rPr>
          <w:rFonts w:ascii="Arial Black" w:hAnsi="Arial Black"/>
          <w:sz w:val="28"/>
          <w:szCs w:val="28"/>
        </w:rPr>
        <w:t>U.S. SUP. CT: MINORITY CONT</w:t>
      </w:r>
      <w:r>
        <w:rPr>
          <w:rFonts w:ascii="Arial Black" w:hAnsi="Arial Black"/>
          <w:sz w:val="28"/>
          <w:szCs w:val="28"/>
        </w:rPr>
        <w:t>RACT</w:t>
      </w:r>
      <w:r w:rsidRPr="006F2B87">
        <w:rPr>
          <w:rFonts w:ascii="Arial Black" w:hAnsi="Arial Black"/>
          <w:sz w:val="28"/>
          <w:szCs w:val="28"/>
        </w:rPr>
        <w:t xml:space="preserve"> FRAUD - NO $ LOSS </w:t>
      </w:r>
    </w:p>
    <w:p w14:paraId="5F6A7C89" w14:textId="77777777" w:rsidR="00C6187D" w:rsidRPr="006F2B87" w:rsidRDefault="00C6187D" w:rsidP="00C6187D">
      <w:pPr>
        <w:pStyle w:val="NoSpacing"/>
        <w:rPr>
          <w:bCs/>
        </w:rPr>
      </w:pPr>
    </w:p>
    <w:p w14:paraId="13386DB0" w14:textId="77777777" w:rsidR="00C6187D" w:rsidRPr="00C6187D" w:rsidRDefault="00C6187D" w:rsidP="00C6187D">
      <w:pPr>
        <w:pStyle w:val="NoSpacing"/>
        <w:rPr>
          <w:rFonts w:ascii="Times New Roman" w:hAnsi="Times New Roman"/>
          <w:bCs/>
          <w:sz w:val="24"/>
          <w:szCs w:val="24"/>
        </w:rPr>
      </w:pPr>
      <w:r w:rsidRPr="00C6187D">
        <w:rPr>
          <w:rFonts w:ascii="Times New Roman" w:hAnsi="Times New Roman"/>
          <w:sz w:val="24"/>
          <w:szCs w:val="24"/>
        </w:rPr>
        <w:t xml:space="preserve">On May 22, 2025, in </w:t>
      </w:r>
      <w:r w:rsidRPr="00C6187D">
        <w:rPr>
          <w:rFonts w:ascii="Times New Roman" w:hAnsi="Times New Roman"/>
          <w:sz w:val="24"/>
          <w:szCs w:val="24"/>
          <w:u w:val="single"/>
        </w:rPr>
        <w:t xml:space="preserve">Stamatios </w:t>
      </w:r>
      <w:proofErr w:type="spellStart"/>
      <w:r w:rsidRPr="00C6187D">
        <w:rPr>
          <w:rFonts w:ascii="Times New Roman" w:hAnsi="Times New Roman"/>
          <w:sz w:val="24"/>
          <w:szCs w:val="24"/>
          <w:u w:val="single"/>
        </w:rPr>
        <w:t>Kousisis</w:t>
      </w:r>
      <w:proofErr w:type="spellEnd"/>
      <w:r w:rsidRPr="00C6187D">
        <w:rPr>
          <w:rFonts w:ascii="Times New Roman" w:hAnsi="Times New Roman"/>
          <w:sz w:val="24"/>
          <w:szCs w:val="24"/>
          <w:u w:val="single"/>
        </w:rPr>
        <w:t>, et al. v. United States</w:t>
      </w:r>
      <w:r w:rsidRPr="00C6187D">
        <w:rPr>
          <w:rFonts w:ascii="Times New Roman" w:hAnsi="Times New Roman"/>
          <w:sz w:val="24"/>
          <w:szCs w:val="24"/>
        </w:rPr>
        <w:t xml:space="preserve">, the United States Supreme Court held (9 to 0) that the jury properly convicted Stamatios </w:t>
      </w:r>
      <w:proofErr w:type="spellStart"/>
      <w:r w:rsidRPr="00C6187D">
        <w:rPr>
          <w:rFonts w:ascii="Times New Roman" w:hAnsi="Times New Roman"/>
          <w:sz w:val="24"/>
          <w:szCs w:val="24"/>
        </w:rPr>
        <w:t>Kousisis</w:t>
      </w:r>
      <w:proofErr w:type="spellEnd"/>
      <w:r w:rsidRPr="00C6187D">
        <w:rPr>
          <w:rFonts w:ascii="Times New Roman" w:hAnsi="Times New Roman"/>
          <w:sz w:val="24"/>
          <w:szCs w:val="24"/>
        </w:rPr>
        <w:t xml:space="preserve"> and the industrial-painting company he helped manage, Alpha Painting and Construction Co., of wire fraud and conspiracy in two bridge painting projects in Philadelphia where he certified he was doing business with a Disadvantaged Business Enterprise [DBE]. He was sentenced to six years in prison, and the Third Circuit [Philadelphia] and the U.S. Supreme Court </w:t>
      </w:r>
      <w:proofErr w:type="spellStart"/>
      <w:r w:rsidRPr="00C6187D">
        <w:rPr>
          <w:rFonts w:ascii="Times New Roman" w:hAnsi="Times New Roman"/>
          <w:sz w:val="24"/>
          <w:szCs w:val="24"/>
        </w:rPr>
        <w:t>Court</w:t>
      </w:r>
      <w:proofErr w:type="spellEnd"/>
      <w:r w:rsidRPr="00C6187D">
        <w:rPr>
          <w:rFonts w:ascii="Times New Roman" w:hAnsi="Times New Roman"/>
          <w:sz w:val="24"/>
          <w:szCs w:val="24"/>
        </w:rPr>
        <w:t xml:space="preserve"> rejected his argument that government had to prove defendant caused his victim a “net pecuniary loss.”</w:t>
      </w:r>
    </w:p>
    <w:p w14:paraId="76D4AB36" w14:textId="77777777" w:rsidR="00C6187D" w:rsidRPr="00C6187D" w:rsidRDefault="00C6187D" w:rsidP="00C6187D">
      <w:pPr>
        <w:pStyle w:val="NoSpacing"/>
        <w:rPr>
          <w:rFonts w:ascii="Times New Roman" w:hAnsi="Times New Roman"/>
          <w:bCs/>
          <w:sz w:val="24"/>
          <w:szCs w:val="24"/>
        </w:rPr>
      </w:pPr>
    </w:p>
    <w:p w14:paraId="57B9323F" w14:textId="77777777" w:rsidR="00C6187D" w:rsidRPr="00C6187D" w:rsidRDefault="00C6187D" w:rsidP="00C6187D">
      <w:pPr>
        <w:pStyle w:val="NoSpacing"/>
        <w:rPr>
          <w:rFonts w:ascii="Times New Roman" w:hAnsi="Times New Roman"/>
          <w:bCs/>
          <w:sz w:val="24"/>
          <w:szCs w:val="24"/>
        </w:rPr>
      </w:pPr>
      <w:r w:rsidRPr="00C6187D">
        <w:rPr>
          <w:rFonts w:ascii="Times New Roman" w:hAnsi="Times New Roman"/>
          <w:sz w:val="24"/>
          <w:szCs w:val="24"/>
        </w:rPr>
        <w:t xml:space="preserve">Justice Amy Coney Barrett wrote the Court’s opinion, and explained how the scheme worked: </w:t>
      </w:r>
    </w:p>
    <w:p w14:paraId="76C98FFF" w14:textId="77777777" w:rsidR="00C6187D" w:rsidRPr="00C6187D" w:rsidRDefault="00C6187D" w:rsidP="00C6187D">
      <w:pPr>
        <w:pStyle w:val="NoSpacing"/>
        <w:rPr>
          <w:rFonts w:ascii="Times New Roman" w:hAnsi="Times New Roman"/>
          <w:bCs/>
          <w:sz w:val="24"/>
          <w:szCs w:val="24"/>
        </w:rPr>
      </w:pPr>
      <w:r w:rsidRPr="00C6187D">
        <w:rPr>
          <w:rFonts w:ascii="Times New Roman" w:hAnsi="Times New Roman"/>
          <w:sz w:val="24"/>
          <w:szCs w:val="24"/>
        </w:rPr>
        <w:t xml:space="preserve">“Accordingly, as part of the bidding process, </w:t>
      </w:r>
      <w:proofErr w:type="spellStart"/>
      <w:r w:rsidRPr="00C6187D">
        <w:rPr>
          <w:rFonts w:ascii="Times New Roman" w:hAnsi="Times New Roman"/>
          <w:sz w:val="24"/>
          <w:szCs w:val="24"/>
        </w:rPr>
        <w:t>Kousisis</w:t>
      </w:r>
      <w:proofErr w:type="spellEnd"/>
      <w:r w:rsidRPr="00C6187D">
        <w:rPr>
          <w:rFonts w:ascii="Times New Roman" w:hAnsi="Times New Roman"/>
          <w:sz w:val="24"/>
          <w:szCs w:val="24"/>
        </w:rPr>
        <w:t xml:space="preserve"> represented that Alpha would acquire approximately $6.4 million in painting supplies from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Inc., a prequalified disadvantaged business. *** This was a lie.  As later memorialized in a commitment letter, Alpha and </w:t>
      </w:r>
      <w:proofErr w:type="spellStart"/>
      <w:r w:rsidRPr="00C6187D">
        <w:rPr>
          <w:rFonts w:ascii="Times New Roman" w:hAnsi="Times New Roman"/>
          <w:sz w:val="24"/>
          <w:szCs w:val="24"/>
        </w:rPr>
        <w:t>Kousisis</w:t>
      </w:r>
      <w:proofErr w:type="spellEnd"/>
      <w:r w:rsidRPr="00C6187D">
        <w:rPr>
          <w:rFonts w:ascii="Times New Roman" w:hAnsi="Times New Roman"/>
          <w:sz w:val="24"/>
          <w:szCs w:val="24"/>
        </w:rPr>
        <w:t xml:space="preserve"> concocted a scheme in which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would function as a mere ‘pass-through’ entity. The scheme operated as follows: </w:t>
      </w:r>
      <w:proofErr w:type="spellStart"/>
      <w:r w:rsidRPr="00C6187D">
        <w:rPr>
          <w:rFonts w:ascii="Times New Roman" w:hAnsi="Times New Roman"/>
          <w:sz w:val="24"/>
          <w:szCs w:val="24"/>
        </w:rPr>
        <w:t>Kousisis</w:t>
      </w:r>
      <w:proofErr w:type="spellEnd"/>
      <w:r w:rsidRPr="00C6187D">
        <w:rPr>
          <w:rFonts w:ascii="Times New Roman" w:hAnsi="Times New Roman"/>
          <w:sz w:val="24"/>
          <w:szCs w:val="24"/>
        </w:rPr>
        <w:t xml:space="preserve"> arranged for Alpha’s actual paint suppliers, with whom he negotiated  directly, to “generate purchase orders . . . billed to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Id., at 193. When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received an invoice, it tacked on a few-percent fee and then forwarded the inflated invoice to </w:t>
      </w:r>
      <w:proofErr w:type="spellStart"/>
      <w:r w:rsidRPr="00C6187D">
        <w:rPr>
          <w:rFonts w:ascii="Times New Roman" w:hAnsi="Times New Roman"/>
          <w:sz w:val="24"/>
          <w:szCs w:val="24"/>
        </w:rPr>
        <w:t>Kousisis</w:t>
      </w:r>
      <w:proofErr w:type="spellEnd"/>
      <w:r w:rsidRPr="00C6187D">
        <w:rPr>
          <w:rFonts w:ascii="Times New Roman" w:hAnsi="Times New Roman"/>
          <w:sz w:val="24"/>
          <w:szCs w:val="24"/>
        </w:rPr>
        <w:t xml:space="preserve">. He, in turn, issued two checks: one paid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for its mark up, and the other covered the actual cost of the supplies. In short, </w:t>
      </w:r>
      <w:proofErr w:type="spellStart"/>
      <w:r w:rsidRPr="00C6187D">
        <w:rPr>
          <w:rFonts w:ascii="Times New Roman" w:hAnsi="Times New Roman"/>
          <w:sz w:val="24"/>
          <w:szCs w:val="24"/>
        </w:rPr>
        <w:t>Markias</w:t>
      </w:r>
      <w:proofErr w:type="spellEnd"/>
      <w:r w:rsidRPr="00C6187D">
        <w:rPr>
          <w:rFonts w:ascii="Times New Roman" w:hAnsi="Times New Roman"/>
          <w:sz w:val="24"/>
          <w:szCs w:val="24"/>
        </w:rPr>
        <w:t xml:space="preserve"> was no more than a paper pusher, funneling checks and invoices to and from Alpha’s actual suppliers.” </w:t>
      </w:r>
    </w:p>
    <w:p w14:paraId="2DA6262B" w14:textId="77777777" w:rsidR="00C6187D" w:rsidRDefault="00C6187D" w:rsidP="00C6187D">
      <w:pPr>
        <w:pStyle w:val="NoSpacing"/>
        <w:rPr>
          <w:rFonts w:ascii="Times New Roman" w:hAnsi="Times New Roman"/>
          <w:sz w:val="24"/>
          <w:szCs w:val="24"/>
        </w:rPr>
      </w:pPr>
      <w:hyperlink r:id="rId1485" w:history="1">
        <w:r w:rsidRPr="00C6187D">
          <w:rPr>
            <w:rStyle w:val="Hyperlink"/>
            <w:rFonts w:ascii="Times New Roman" w:hAnsi="Times New Roman"/>
            <w:b/>
            <w:sz w:val="24"/>
            <w:szCs w:val="24"/>
          </w:rPr>
          <w:t>https://www.supremecourt.gov/opinions/24pdf/23-909_f2q3.pdf</w:t>
        </w:r>
      </w:hyperlink>
      <w:r w:rsidRPr="00C6187D">
        <w:rPr>
          <w:rFonts w:ascii="Times New Roman" w:hAnsi="Times New Roman"/>
          <w:sz w:val="24"/>
          <w:szCs w:val="24"/>
        </w:rPr>
        <w:t xml:space="preserve"> </w:t>
      </w:r>
    </w:p>
    <w:p w14:paraId="7586C31D" w14:textId="77777777" w:rsidR="0035274D" w:rsidRDefault="0035274D" w:rsidP="00C6187D">
      <w:pPr>
        <w:pStyle w:val="NoSpacing"/>
        <w:rPr>
          <w:rFonts w:ascii="Times New Roman" w:hAnsi="Times New Roman"/>
          <w:sz w:val="24"/>
          <w:szCs w:val="24"/>
        </w:rPr>
      </w:pPr>
    </w:p>
    <w:p w14:paraId="76A86332" w14:textId="77777777" w:rsidR="0035274D" w:rsidRPr="006F2B87" w:rsidRDefault="0035274D" w:rsidP="0035274D">
      <w:pPr>
        <w:pStyle w:val="NoSpacing"/>
        <w:rPr>
          <w:b/>
          <w:bCs/>
        </w:rPr>
      </w:pPr>
      <w:r w:rsidRPr="006F2B87">
        <w:rPr>
          <w:b/>
        </w:rPr>
        <w:t xml:space="preserve">Legal Lesson Learned: Fraud involving a “disadvantaged business enterprise” can be prosecuted even if the government was not financially injured. </w:t>
      </w:r>
    </w:p>
    <w:p w14:paraId="34F26987" w14:textId="77777777" w:rsidR="0035274D" w:rsidRPr="006F2B87" w:rsidRDefault="0035274D" w:rsidP="0035274D">
      <w:pPr>
        <w:pStyle w:val="NoSpacing"/>
        <w:rPr>
          <w:bCs/>
        </w:rPr>
      </w:pPr>
    </w:p>
    <w:p w14:paraId="52C73D54"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 xml:space="preserve">Note:  See concurring opinion by Justice Sonia Maria Sotomayor where she commented on baseball tickets– METS v. YANKEE </w:t>
      </w:r>
      <w:proofErr w:type="gramStart"/>
      <w:r w:rsidRPr="0035274D">
        <w:rPr>
          <w:rFonts w:ascii="Times New Roman" w:hAnsi="Times New Roman"/>
          <w:sz w:val="24"/>
          <w:szCs w:val="24"/>
        </w:rPr>
        <w:t>TICKETS:.</w:t>
      </w:r>
      <w:proofErr w:type="gramEnd"/>
    </w:p>
    <w:p w14:paraId="40889ED3"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“The Court today rightly rejects petitioners’ request to graft an economic-loss requirement onto the federal wire fraud statute. When a defendant tricks a victim out of their money by promising one thing and delivering something materially different, it is no defense to say that the delivered items are of equal economic value. Statutory text,</w:t>
      </w:r>
    </w:p>
    <w:p w14:paraId="5441E04A"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 xml:space="preserve">precedent, and history mandate that conclusion, as the majority explains. See ante, at 7–16. Common sense, unsurprisingly, points in the same direction. A Yankees fan deceived into buying Mets tickets is no less defrauded simply because the Mets tickets happen to be worth the same amount as the promised Yankees ones. That straightforward conclusion is all that is necessary to resolve this case, and I would go no further.” </w:t>
      </w:r>
    </w:p>
    <w:p w14:paraId="7E465657" w14:textId="77777777" w:rsidR="0035274D" w:rsidRPr="0035274D" w:rsidRDefault="0035274D" w:rsidP="0035274D">
      <w:pPr>
        <w:pStyle w:val="NoSpacing"/>
        <w:rPr>
          <w:rFonts w:ascii="Times New Roman" w:hAnsi="Times New Roman"/>
          <w:bCs/>
          <w:sz w:val="24"/>
          <w:szCs w:val="24"/>
        </w:rPr>
      </w:pPr>
    </w:p>
    <w:p w14:paraId="6B6B312D" w14:textId="77777777" w:rsidR="0035274D" w:rsidRPr="0035274D" w:rsidRDefault="0035274D" w:rsidP="0035274D">
      <w:pPr>
        <w:pStyle w:val="NoSpacing"/>
        <w:rPr>
          <w:rFonts w:ascii="Times New Roman" w:hAnsi="Times New Roman"/>
          <w:bCs/>
          <w:sz w:val="24"/>
          <w:szCs w:val="24"/>
        </w:rPr>
      </w:pPr>
      <w:r w:rsidRPr="0035274D">
        <w:rPr>
          <w:rFonts w:ascii="Times New Roman" w:hAnsi="Times New Roman"/>
          <w:sz w:val="24"/>
          <w:szCs w:val="24"/>
        </w:rPr>
        <w:t>See concurring opinion by Jstice Clearance Thomas:</w:t>
      </w:r>
    </w:p>
    <w:p w14:paraId="0A4A8902" w14:textId="77777777" w:rsidR="0035274D" w:rsidRPr="0035274D" w:rsidRDefault="0035274D" w:rsidP="0035274D">
      <w:pPr>
        <w:pStyle w:val="NoSpacing"/>
        <w:rPr>
          <w:rFonts w:ascii="Times New Roman" w:hAnsi="Times New Roman"/>
          <w:bCs/>
          <w:sz w:val="24"/>
          <w:szCs w:val="24"/>
        </w:rPr>
      </w:pPr>
    </w:p>
    <w:p w14:paraId="6876B65D"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“The DBE program is the Government’s ‘most far-reaching federal status-based contracting program.” D. Bernstein, The Modern American Law of Race, 94 S. Cal. L.</w:t>
      </w:r>
    </w:p>
    <w:p w14:paraId="2D3F072C"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Rev. 171, 208 (2021) (Bernstein). Established in 1983, it sets a goal that at least 10 percent of federal funds authorized for any highway and transit program ‘be expended</w:t>
      </w:r>
    </w:p>
    <w:p w14:paraId="6602E059"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 xml:space="preserve">with small business concerns owned and controlled by socially and economically disadvantaged individuals.’ … Among the groups presumptively eligible for DBE benefits are  ‘Black Americans,’ ‘Hispanic Americans,’ ‘Native Americans,’ </w:t>
      </w:r>
      <w:r w:rsidRPr="0035274D">
        <w:rPr>
          <w:rFonts w:ascii="Times New Roman" w:hAnsi="Times New Roman"/>
          <w:sz w:val="24"/>
          <w:szCs w:val="24"/>
        </w:rPr>
        <w:tab/>
        <w:t>‘Asian-Pacific Americans,’ and ‘Subcontinent Asian Americans.’ ”</w:t>
      </w:r>
    </w:p>
    <w:p w14:paraId="1765AD79" w14:textId="77777777" w:rsidR="0035274D" w:rsidRPr="0035274D" w:rsidRDefault="0035274D" w:rsidP="0035274D">
      <w:pPr>
        <w:pStyle w:val="NoSpacing"/>
        <w:rPr>
          <w:rFonts w:ascii="Times New Roman" w:hAnsi="Times New Roman"/>
          <w:bCs/>
          <w:sz w:val="24"/>
          <w:szCs w:val="24"/>
        </w:rPr>
      </w:pPr>
    </w:p>
    <w:p w14:paraId="32BCA717" w14:textId="77777777" w:rsidR="0035274D" w:rsidRPr="0035274D" w:rsidRDefault="0035274D" w:rsidP="0035274D">
      <w:pPr>
        <w:pStyle w:val="NoSpacing"/>
        <w:rPr>
          <w:rFonts w:ascii="Times New Roman" w:hAnsi="Times New Roman"/>
          <w:bCs/>
          <w:sz w:val="24"/>
          <w:szCs w:val="24"/>
        </w:rPr>
      </w:pPr>
    </w:p>
    <w:p w14:paraId="0A62F6AC"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 xml:space="preserve">See also: U.S. Department of Justice Press Release of Aug. 30, 2028.  “Downingtown Man Convicted of Exploiting USDOT Disadvantaged Business Program.” </w:t>
      </w:r>
    </w:p>
    <w:p w14:paraId="119DEBBF" w14:textId="77777777" w:rsidR="0035274D" w:rsidRPr="0035274D" w:rsidRDefault="0035274D" w:rsidP="0035274D">
      <w:pPr>
        <w:pStyle w:val="NoSpacing"/>
        <w:ind w:left="720"/>
        <w:rPr>
          <w:rFonts w:ascii="Times New Roman" w:hAnsi="Times New Roman"/>
          <w:bCs/>
          <w:sz w:val="24"/>
          <w:szCs w:val="24"/>
        </w:rPr>
      </w:pPr>
      <w:r w:rsidRPr="0035274D">
        <w:rPr>
          <w:rFonts w:ascii="Times New Roman" w:hAnsi="Times New Roman"/>
          <w:sz w:val="24"/>
          <w:szCs w:val="24"/>
        </w:rPr>
        <w:t xml:space="preserve">“Joyce Abrams, the owner of </w:t>
      </w:r>
      <w:proofErr w:type="spellStart"/>
      <w:r w:rsidRPr="0035274D">
        <w:rPr>
          <w:rFonts w:ascii="Times New Roman" w:hAnsi="Times New Roman"/>
          <w:sz w:val="24"/>
          <w:szCs w:val="24"/>
        </w:rPr>
        <w:t>Markias</w:t>
      </w:r>
      <w:proofErr w:type="spellEnd"/>
      <w:r w:rsidRPr="0035274D">
        <w:rPr>
          <w:rFonts w:ascii="Times New Roman" w:hAnsi="Times New Roman"/>
          <w:sz w:val="24"/>
          <w:szCs w:val="24"/>
        </w:rPr>
        <w:t xml:space="preserve">, has previously pleaded guilty to conspiring to defraud PennDOT and the U.S. Department of Transportation with respect to this scheme. </w:t>
      </w:r>
      <w:hyperlink r:id="rId1486" w:history="1">
        <w:r w:rsidRPr="0035274D">
          <w:rPr>
            <w:rStyle w:val="Hyperlink"/>
            <w:rFonts w:ascii="Times New Roman" w:hAnsi="Times New Roman"/>
            <w:sz w:val="24"/>
            <w:szCs w:val="24"/>
          </w:rPr>
          <w:t>https://www.justice.gov/usao-edpa/pr/downingtown-man-convicted-exploiting-usdot-disadvantaged-business-program</w:t>
        </w:r>
      </w:hyperlink>
    </w:p>
    <w:p w14:paraId="7269A7E5" w14:textId="77777777" w:rsidR="0035274D" w:rsidRPr="006F2B87" w:rsidRDefault="0035274D" w:rsidP="0035274D">
      <w:pPr>
        <w:pStyle w:val="NoSpacing"/>
        <w:rPr>
          <w:bCs/>
        </w:rPr>
      </w:pPr>
    </w:p>
    <w:p w14:paraId="4443C34E" w14:textId="77777777" w:rsidR="0035274D" w:rsidRPr="00C6187D" w:rsidRDefault="0035274D" w:rsidP="00C6187D">
      <w:pPr>
        <w:pStyle w:val="NoSpacing"/>
        <w:rPr>
          <w:rFonts w:ascii="Times New Roman" w:hAnsi="Times New Roman"/>
          <w:sz w:val="24"/>
          <w:szCs w:val="24"/>
        </w:rPr>
      </w:pPr>
    </w:p>
    <w:p w14:paraId="1860BCEE" w14:textId="77777777" w:rsidR="003E03D6" w:rsidRDefault="003E03D6" w:rsidP="00BC70A3">
      <w:pPr>
        <w:rPr>
          <w:rFonts w:ascii="Arial Black" w:hAnsi="Arial Black"/>
          <w:b/>
          <w:sz w:val="24"/>
          <w:szCs w:val="24"/>
        </w:rPr>
      </w:pPr>
    </w:p>
    <w:p w14:paraId="7EA612F5" w14:textId="7F45ADF1" w:rsidR="003E03D6" w:rsidRDefault="00B92F73" w:rsidP="00BC70A3">
      <w:pPr>
        <w:rPr>
          <w:rFonts w:ascii="Arial Black" w:hAnsi="Arial Black"/>
          <w:b/>
          <w:sz w:val="24"/>
          <w:szCs w:val="24"/>
        </w:rPr>
      </w:pPr>
      <w:r>
        <w:rPr>
          <w:rFonts w:ascii="Arial Black" w:hAnsi="Arial Black"/>
          <w:b/>
          <w:sz w:val="24"/>
          <w:szCs w:val="24"/>
        </w:rPr>
        <w:t>8-76</w:t>
      </w:r>
    </w:p>
    <w:p w14:paraId="5E3AC5FE" w14:textId="722F44DE" w:rsidR="008D618F" w:rsidRPr="006F2B87" w:rsidRDefault="008D618F" w:rsidP="008D618F">
      <w:pPr>
        <w:pStyle w:val="NoSpacing"/>
        <w:rPr>
          <w:rFonts w:ascii="Arial Black" w:hAnsi="Arial Black"/>
          <w:sz w:val="28"/>
          <w:szCs w:val="28"/>
        </w:rPr>
      </w:pPr>
      <w:r w:rsidRPr="006F2B87">
        <w:rPr>
          <w:rFonts w:ascii="Arial Black" w:hAnsi="Arial Black"/>
          <w:sz w:val="28"/>
          <w:szCs w:val="28"/>
        </w:rPr>
        <w:t xml:space="preserve">MS:  FAILED </w:t>
      </w:r>
      <w:r>
        <w:rPr>
          <w:rFonts w:ascii="Arial Black" w:hAnsi="Arial Black"/>
          <w:sz w:val="28"/>
          <w:szCs w:val="28"/>
        </w:rPr>
        <w:t xml:space="preserve">FD “DRIVER” TESTS - </w:t>
      </w:r>
      <w:r w:rsidRPr="006F2B87">
        <w:rPr>
          <w:rFonts w:ascii="Arial Black" w:hAnsi="Arial Black"/>
          <w:sz w:val="28"/>
          <w:szCs w:val="28"/>
        </w:rPr>
        <w:t xml:space="preserve">3 TIMES – </w:t>
      </w:r>
      <w:r w:rsidR="008954B6">
        <w:rPr>
          <w:rFonts w:ascii="Arial Black" w:hAnsi="Arial Black"/>
          <w:sz w:val="28"/>
          <w:szCs w:val="28"/>
        </w:rPr>
        <w:t xml:space="preserve">FIRED - </w:t>
      </w:r>
      <w:r w:rsidRPr="006F2B87">
        <w:rPr>
          <w:rFonts w:ascii="Arial Black" w:hAnsi="Arial Black"/>
          <w:sz w:val="28"/>
          <w:szCs w:val="28"/>
        </w:rPr>
        <w:t>NOT RACE</w:t>
      </w:r>
    </w:p>
    <w:p w14:paraId="0FCA94E4" w14:textId="77777777" w:rsidR="008D618F" w:rsidRPr="006F2B87" w:rsidRDefault="008D618F" w:rsidP="008D618F">
      <w:pPr>
        <w:pStyle w:val="NoSpacing"/>
      </w:pPr>
    </w:p>
    <w:p w14:paraId="7CB7882D" w14:textId="77777777" w:rsidR="00BE2264" w:rsidRPr="008D618F" w:rsidRDefault="008D618F" w:rsidP="00BE2264">
      <w:pPr>
        <w:pStyle w:val="NoSpacing"/>
        <w:rPr>
          <w:rFonts w:ascii="Times New Roman" w:hAnsi="Times New Roman"/>
          <w:bCs/>
          <w:sz w:val="24"/>
          <w:szCs w:val="24"/>
        </w:rPr>
      </w:pPr>
      <w:r w:rsidRPr="008D618F">
        <w:rPr>
          <w:rFonts w:ascii="Times New Roman" w:hAnsi="Times New Roman"/>
          <w:sz w:val="24"/>
          <w:szCs w:val="24"/>
        </w:rPr>
        <w:t>On May 13, 202</w:t>
      </w:r>
      <w:r w:rsidR="00ED64DA">
        <w:rPr>
          <w:rFonts w:ascii="Times New Roman" w:hAnsi="Times New Roman"/>
          <w:sz w:val="24"/>
          <w:szCs w:val="24"/>
        </w:rPr>
        <w:t>5</w:t>
      </w:r>
      <w:r w:rsidRPr="008D618F">
        <w:rPr>
          <w:rFonts w:ascii="Times New Roman" w:hAnsi="Times New Roman"/>
          <w:sz w:val="24"/>
          <w:szCs w:val="24"/>
        </w:rPr>
        <w:t xml:space="preserve">, in </w:t>
      </w:r>
      <w:r w:rsidRPr="008D618F">
        <w:rPr>
          <w:rFonts w:ascii="Times New Roman" w:hAnsi="Times New Roman"/>
          <w:sz w:val="24"/>
          <w:szCs w:val="24"/>
          <w:u w:val="single"/>
        </w:rPr>
        <w:t>Willie Fry v. City of Hernando, Mississippi</w:t>
      </w:r>
      <w:r w:rsidRPr="008D618F">
        <w:rPr>
          <w:rFonts w:ascii="Times New Roman" w:hAnsi="Times New Roman"/>
          <w:sz w:val="24"/>
          <w:szCs w:val="24"/>
        </w:rPr>
        <w:t>,</w:t>
      </w:r>
      <w:r w:rsidRPr="008D618F">
        <w:rPr>
          <w:rFonts w:ascii="Times New Roman" w:hAnsi="Times New Roman"/>
          <w:b/>
          <w:sz w:val="24"/>
          <w:szCs w:val="24"/>
        </w:rPr>
        <w:t xml:space="preserve"> </w:t>
      </w:r>
      <w:r w:rsidRPr="008D618F">
        <w:rPr>
          <w:rFonts w:ascii="Times New Roman" w:hAnsi="Times New Roman"/>
          <w:sz w:val="24"/>
          <w:szCs w:val="24"/>
        </w:rPr>
        <w:t xml:space="preserve">the U.S. Court of Appeals for Fifth Circuit (New Orleans) held (3 to 0) that trial court properly granted summary judgment to the defense, after close of pre-trial discovery.  The former firefighter failed “driver” testing three times. </w:t>
      </w:r>
      <w:hyperlink r:id="rId1487" w:history="1">
        <w:r w:rsidR="00BE2264" w:rsidRPr="008D618F">
          <w:rPr>
            <w:rStyle w:val="Hyperlink"/>
            <w:rFonts w:ascii="Times New Roman" w:hAnsi="Times New Roman"/>
            <w:sz w:val="24"/>
            <w:szCs w:val="24"/>
          </w:rPr>
          <w:t>https://www.ca5.uscourts.gov/opinions/unpub/24/24-60532.0.pdf</w:t>
        </w:r>
      </w:hyperlink>
      <w:r w:rsidR="00BE2264" w:rsidRPr="008D618F">
        <w:rPr>
          <w:rFonts w:ascii="Times New Roman" w:hAnsi="Times New Roman"/>
          <w:sz w:val="24"/>
          <w:szCs w:val="24"/>
        </w:rPr>
        <w:t xml:space="preserve"> </w:t>
      </w:r>
    </w:p>
    <w:p w14:paraId="69BEACB7" w14:textId="27F028CD" w:rsidR="008D618F" w:rsidRPr="008D618F" w:rsidRDefault="008D618F" w:rsidP="008D618F">
      <w:pPr>
        <w:pStyle w:val="NoSpacing"/>
        <w:rPr>
          <w:rFonts w:ascii="Times New Roman" w:hAnsi="Times New Roman"/>
          <w:bCs/>
          <w:sz w:val="24"/>
          <w:szCs w:val="24"/>
        </w:rPr>
      </w:pPr>
    </w:p>
    <w:p w14:paraId="52F4EA08" w14:textId="77777777" w:rsidR="008D618F" w:rsidRPr="008D618F" w:rsidRDefault="008D618F" w:rsidP="008D618F">
      <w:pPr>
        <w:pStyle w:val="NoSpacing"/>
        <w:rPr>
          <w:rFonts w:ascii="Times New Roman" w:hAnsi="Times New Roman"/>
          <w:bCs/>
          <w:sz w:val="24"/>
          <w:szCs w:val="24"/>
        </w:rPr>
      </w:pPr>
    </w:p>
    <w:p w14:paraId="18C310EC" w14:textId="5816C605" w:rsidR="008D618F" w:rsidRPr="008D618F" w:rsidRDefault="008D618F" w:rsidP="008D618F">
      <w:pPr>
        <w:pStyle w:val="NoSpacing"/>
        <w:rPr>
          <w:rFonts w:ascii="Times New Roman" w:hAnsi="Times New Roman"/>
          <w:bCs/>
          <w:sz w:val="24"/>
          <w:szCs w:val="24"/>
        </w:rPr>
      </w:pPr>
      <w:r w:rsidRPr="008D618F">
        <w:rPr>
          <w:rFonts w:ascii="Times New Roman" w:hAnsi="Times New Roman"/>
          <w:sz w:val="24"/>
          <w:szCs w:val="24"/>
        </w:rPr>
        <w:t xml:space="preserve">The Court wrote: “Fry worked as a Hernando firefighter for about six years. While in that post, he applied to be promoted to driver. The Hernando Fire Department requires firefighters applying </w:t>
      </w:r>
      <w:proofErr w:type="gramStart"/>
      <w:r w:rsidRPr="008D618F">
        <w:rPr>
          <w:rFonts w:ascii="Times New Roman" w:hAnsi="Times New Roman"/>
          <w:sz w:val="24"/>
          <w:szCs w:val="24"/>
        </w:rPr>
        <w:t>to</w:t>
      </w:r>
      <w:proofErr w:type="gramEnd"/>
      <w:r w:rsidRPr="008D618F">
        <w:rPr>
          <w:rFonts w:ascii="Times New Roman" w:hAnsi="Times New Roman"/>
          <w:sz w:val="24"/>
          <w:szCs w:val="24"/>
        </w:rPr>
        <w:t xml:space="preserve"> that position to pass a promotional exam.  The exam is comprised of a few tests—each of which an applicant must pass, in sequential order, to be eligible for promotion…. Fry failed the driver promotional exam three times—in 2018, 2020, and 2021. On his first attempt, he failed the pump test. On his second and third attempts, Fry failed the street test. In 2021, the year of Fry’s third attempt, the exam had been reduced from five tests to three. But the pump test remained a part of each exam. Fry did not take the pump test in either his second or third attempt because he failed the street test, which was the first round of the exam. *** The record lacks evidence that he was “qualified for” the position of driver in 2018, 2020, or 2021—an essential element of his prima facie case. The Hernando Fire Department requires firefighters to pass a promotional exam to be eligible for the </w:t>
      </w:r>
      <w:proofErr w:type="gramStart"/>
      <w:r w:rsidRPr="008D618F">
        <w:rPr>
          <w:rFonts w:ascii="Times New Roman" w:hAnsi="Times New Roman"/>
          <w:sz w:val="24"/>
          <w:szCs w:val="24"/>
        </w:rPr>
        <w:t>driver</w:t>
      </w:r>
      <w:proofErr w:type="gramEnd"/>
      <w:r w:rsidRPr="008D618F">
        <w:rPr>
          <w:rFonts w:ascii="Times New Roman" w:hAnsi="Times New Roman"/>
          <w:sz w:val="24"/>
          <w:szCs w:val="24"/>
        </w:rPr>
        <w:t xml:space="preserve"> position. After searching the record and liberally construing his arguments on appeal, we find no competent summary-judgment evidence from which a trier of fact could infer that Fry passed that exam. Because Fry failed to demonstrate through competent summary-judgment evidence the existence of a genuine dispute on an essential element of his claims, summary judgment was proper as to </w:t>
      </w:r>
      <w:proofErr w:type="gramStart"/>
      <w:r w:rsidRPr="008D618F">
        <w:rPr>
          <w:rFonts w:ascii="Times New Roman" w:hAnsi="Times New Roman"/>
          <w:sz w:val="24"/>
          <w:szCs w:val="24"/>
        </w:rPr>
        <w:t>them.”</w:t>
      </w:r>
      <w:proofErr w:type="gramEnd"/>
      <w:r w:rsidRPr="008D618F">
        <w:rPr>
          <w:rFonts w:ascii="Times New Roman" w:hAnsi="Times New Roman"/>
          <w:sz w:val="24"/>
          <w:szCs w:val="24"/>
        </w:rPr>
        <w:t xml:space="preserve"> </w:t>
      </w:r>
    </w:p>
    <w:p w14:paraId="54F13789" w14:textId="77777777" w:rsidR="003E03D6" w:rsidRDefault="003E03D6" w:rsidP="00BC70A3">
      <w:pPr>
        <w:rPr>
          <w:rFonts w:ascii="Arial Black" w:hAnsi="Arial Black"/>
          <w:b/>
          <w:sz w:val="24"/>
          <w:szCs w:val="24"/>
        </w:rPr>
      </w:pPr>
    </w:p>
    <w:p w14:paraId="000F7884" w14:textId="77777777" w:rsidR="002F7A23" w:rsidRPr="00B92F73" w:rsidRDefault="002F7A23" w:rsidP="002F7A23">
      <w:pPr>
        <w:pStyle w:val="NoSpacing"/>
        <w:rPr>
          <w:rFonts w:ascii="Times New Roman" w:hAnsi="Times New Roman"/>
          <w:b/>
          <w:bCs/>
          <w:sz w:val="24"/>
          <w:szCs w:val="24"/>
        </w:rPr>
      </w:pPr>
      <w:r w:rsidRPr="00B92F73">
        <w:rPr>
          <w:rFonts w:ascii="Times New Roman" w:hAnsi="Times New Roman"/>
          <w:b/>
          <w:sz w:val="24"/>
          <w:szCs w:val="24"/>
        </w:rPr>
        <w:t xml:space="preserve">Legal Lesson Learned: The former firefighter failed the </w:t>
      </w:r>
      <w:r w:rsidRPr="00B92F73">
        <w:rPr>
          <w:rFonts w:ascii="Times New Roman" w:hAnsi="Times New Roman"/>
          <w:b/>
          <w:bCs/>
          <w:sz w:val="24"/>
          <w:szCs w:val="24"/>
        </w:rPr>
        <w:t>driver’s</w:t>
      </w:r>
      <w:r w:rsidRPr="00B92F73">
        <w:rPr>
          <w:rFonts w:ascii="Times New Roman" w:hAnsi="Times New Roman"/>
          <w:b/>
          <w:sz w:val="24"/>
          <w:szCs w:val="24"/>
        </w:rPr>
        <w:t xml:space="preserve"> test three times; </w:t>
      </w:r>
      <w:r w:rsidRPr="00B92F73">
        <w:rPr>
          <w:rFonts w:ascii="Times New Roman" w:hAnsi="Times New Roman"/>
          <w:b/>
          <w:bCs/>
          <w:sz w:val="24"/>
          <w:szCs w:val="24"/>
        </w:rPr>
        <w:t xml:space="preserve">Court held </w:t>
      </w:r>
      <w:r w:rsidRPr="00B92F73">
        <w:rPr>
          <w:rFonts w:ascii="Times New Roman" w:hAnsi="Times New Roman"/>
          <w:b/>
          <w:sz w:val="24"/>
          <w:szCs w:val="24"/>
        </w:rPr>
        <w:t>race was not a factor.</w:t>
      </w:r>
    </w:p>
    <w:p w14:paraId="6C8F1E97" w14:textId="77777777" w:rsidR="002F7A23" w:rsidRPr="006F2B87" w:rsidRDefault="002F7A23" w:rsidP="002F7A23">
      <w:pPr>
        <w:pStyle w:val="NoSpacing"/>
      </w:pPr>
    </w:p>
    <w:p w14:paraId="17ED2775" w14:textId="77777777" w:rsidR="002F7A23" w:rsidRDefault="002F7A23" w:rsidP="00BC70A3">
      <w:pPr>
        <w:rPr>
          <w:rFonts w:ascii="Arial Black" w:hAnsi="Arial Black"/>
          <w:b/>
          <w:sz w:val="24"/>
          <w:szCs w:val="24"/>
        </w:rPr>
      </w:pPr>
    </w:p>
    <w:p w14:paraId="3ECE4E9F" w14:textId="77777777" w:rsidR="003E03D6" w:rsidRDefault="003E03D6" w:rsidP="00BC70A3">
      <w:pPr>
        <w:rPr>
          <w:rFonts w:ascii="Arial Black" w:hAnsi="Arial Black"/>
          <w:b/>
          <w:sz w:val="24"/>
          <w:szCs w:val="24"/>
        </w:rPr>
      </w:pPr>
    </w:p>
    <w:p w14:paraId="0469024C" w14:textId="44EC7842" w:rsidR="0062764C" w:rsidRDefault="0062764C" w:rsidP="00BC70A3">
      <w:pPr>
        <w:rPr>
          <w:rFonts w:ascii="Arial Black" w:hAnsi="Arial Black"/>
          <w:b/>
          <w:sz w:val="24"/>
          <w:szCs w:val="24"/>
        </w:rPr>
      </w:pPr>
      <w:r>
        <w:rPr>
          <w:rFonts w:ascii="Arial Black" w:hAnsi="Arial Black"/>
          <w:b/>
          <w:sz w:val="24"/>
          <w:szCs w:val="24"/>
        </w:rPr>
        <w:t>8-75</w:t>
      </w:r>
    </w:p>
    <w:p w14:paraId="0D53978D" w14:textId="77777777" w:rsidR="0060197A" w:rsidRPr="00067B0D" w:rsidRDefault="0060197A" w:rsidP="0060197A">
      <w:pPr>
        <w:rPr>
          <w:rFonts w:ascii="Arial Black" w:hAnsi="Arial Black"/>
          <w:bCs/>
          <w:sz w:val="28"/>
          <w:szCs w:val="28"/>
        </w:rPr>
      </w:pPr>
      <w:r>
        <w:rPr>
          <w:rFonts w:ascii="Arial Black" w:hAnsi="Arial Black"/>
          <w:sz w:val="28"/>
          <w:szCs w:val="28"/>
        </w:rPr>
        <w:t xml:space="preserve">TX: FF FIRED / IRAQI / 3 DOC. “PERFORMANCE NOTES” </w:t>
      </w:r>
    </w:p>
    <w:p w14:paraId="5AE9B1CC" w14:textId="0850A4DF" w:rsidR="0060197A" w:rsidRPr="0060197A" w:rsidRDefault="0060197A" w:rsidP="0060197A">
      <w:pPr>
        <w:rPr>
          <w:rFonts w:ascii="Times New Roman" w:hAnsi="Times New Roman"/>
          <w:bCs/>
          <w:sz w:val="24"/>
          <w:szCs w:val="24"/>
        </w:rPr>
      </w:pPr>
      <w:r>
        <w:t xml:space="preserve"> </w:t>
      </w:r>
      <w:r w:rsidRPr="0060197A">
        <w:rPr>
          <w:rFonts w:ascii="Times New Roman" w:hAnsi="Times New Roman"/>
          <w:sz w:val="24"/>
          <w:szCs w:val="24"/>
        </w:rPr>
        <w:t xml:space="preserve">On May 1, 2025, in </w:t>
      </w:r>
      <w:proofErr w:type="spellStart"/>
      <w:r w:rsidRPr="0060197A">
        <w:rPr>
          <w:rFonts w:ascii="Times New Roman" w:hAnsi="Times New Roman"/>
          <w:sz w:val="24"/>
          <w:szCs w:val="24"/>
          <w:u w:val="single"/>
        </w:rPr>
        <w:t>Safealdean</w:t>
      </w:r>
      <w:proofErr w:type="spellEnd"/>
      <w:r w:rsidRPr="0060197A">
        <w:rPr>
          <w:rFonts w:ascii="Times New Roman" w:hAnsi="Times New Roman"/>
          <w:sz w:val="24"/>
          <w:szCs w:val="24"/>
          <w:u w:val="single"/>
        </w:rPr>
        <w:t xml:space="preserve"> </w:t>
      </w:r>
      <w:proofErr w:type="spellStart"/>
      <w:r w:rsidRPr="0060197A">
        <w:rPr>
          <w:rFonts w:ascii="Times New Roman" w:hAnsi="Times New Roman"/>
          <w:sz w:val="24"/>
          <w:szCs w:val="24"/>
          <w:u w:val="single"/>
        </w:rPr>
        <w:t>Alusi</w:t>
      </w:r>
      <w:proofErr w:type="spellEnd"/>
      <w:r w:rsidRPr="0060197A">
        <w:rPr>
          <w:rFonts w:ascii="Times New Roman" w:hAnsi="Times New Roman"/>
          <w:sz w:val="24"/>
          <w:szCs w:val="24"/>
          <w:u w:val="single"/>
        </w:rPr>
        <w:t xml:space="preserve"> v. City of Frisco, Texas</w:t>
      </w:r>
      <w:r w:rsidRPr="0060197A">
        <w:rPr>
          <w:rFonts w:ascii="Times New Roman" w:hAnsi="Times New Roman"/>
          <w:sz w:val="24"/>
          <w:szCs w:val="24"/>
        </w:rPr>
        <w:t xml:space="preserve">, the U.S. Court of Appeals held (3 to 0; unpublished decision) that the trial court properly granted the City’s motion for summary judgment after pre-trial discovery was completed in claims of hostile work atmosphere and national origin discrimination. The FF was fired on May 6, 2020; he had completed his one year probationary period on December 2018, but by July 11, 2029 he had received three “performance note[s]” in response to various instances of alleged deficient performance, was shortly thereafter moved to a new station, and required to restart a training program “to improve his paramedic skills.’” </w:t>
      </w:r>
      <w:hyperlink r:id="rId1488" w:history="1">
        <w:r w:rsidRPr="0060197A">
          <w:rPr>
            <w:rStyle w:val="Hyperlink"/>
            <w:rFonts w:ascii="Times New Roman" w:hAnsi="Times New Roman"/>
            <w:sz w:val="24"/>
            <w:szCs w:val="24"/>
          </w:rPr>
          <w:t>https://cases.justia.com/federal/appellate-courts/ca5/24-40626/24-40626-2025-05-01.pdf?ts=1746120629</w:t>
        </w:r>
      </w:hyperlink>
    </w:p>
    <w:p w14:paraId="0C0B97CA" w14:textId="77777777" w:rsidR="00CB5E21" w:rsidRPr="00CB5E21" w:rsidRDefault="00CB5E21" w:rsidP="00CB5E21">
      <w:pPr>
        <w:pStyle w:val="NoSpacing"/>
        <w:rPr>
          <w:rFonts w:ascii="Times New Roman" w:hAnsi="Times New Roman"/>
          <w:b/>
          <w:bCs/>
          <w:sz w:val="24"/>
          <w:szCs w:val="24"/>
        </w:rPr>
      </w:pPr>
      <w:r w:rsidRPr="00CB5E21">
        <w:rPr>
          <w:rFonts w:ascii="Times New Roman" w:hAnsi="Times New Roman"/>
          <w:b/>
          <w:sz w:val="24"/>
          <w:szCs w:val="24"/>
        </w:rPr>
        <w:t>Legal Lesson Learned: The FD documented performance deficiencies prior to termination.</w:t>
      </w:r>
    </w:p>
    <w:p w14:paraId="7C4B711C" w14:textId="77777777" w:rsidR="0062764C" w:rsidRPr="00CB5E21" w:rsidRDefault="0062764C" w:rsidP="00BC70A3">
      <w:pPr>
        <w:rPr>
          <w:rFonts w:ascii="Times New Roman" w:hAnsi="Times New Roman"/>
          <w:b/>
          <w:sz w:val="24"/>
          <w:szCs w:val="24"/>
        </w:rPr>
      </w:pPr>
    </w:p>
    <w:p w14:paraId="0077B28F" w14:textId="77777777" w:rsidR="0062764C" w:rsidRDefault="0062764C" w:rsidP="00BC70A3">
      <w:pPr>
        <w:rPr>
          <w:rFonts w:ascii="Arial Black" w:hAnsi="Arial Black"/>
          <w:b/>
          <w:sz w:val="24"/>
          <w:szCs w:val="24"/>
        </w:rPr>
      </w:pPr>
    </w:p>
    <w:p w14:paraId="153E21F5" w14:textId="4B89CC84" w:rsidR="000B584F" w:rsidRDefault="009353BA" w:rsidP="00BC70A3">
      <w:pPr>
        <w:rPr>
          <w:rFonts w:ascii="Arial Black" w:hAnsi="Arial Black"/>
          <w:b/>
          <w:sz w:val="24"/>
          <w:szCs w:val="24"/>
        </w:rPr>
      </w:pPr>
      <w:r>
        <w:rPr>
          <w:rFonts w:ascii="Arial Black" w:hAnsi="Arial Black"/>
          <w:b/>
          <w:sz w:val="24"/>
          <w:szCs w:val="24"/>
        </w:rPr>
        <w:t>8-74</w:t>
      </w:r>
    </w:p>
    <w:p w14:paraId="575C3370" w14:textId="54D0FB2A" w:rsidR="00BD3AC0" w:rsidRPr="00A12DBD" w:rsidRDefault="00BD3AC0" w:rsidP="00BD3AC0">
      <w:pPr>
        <w:pStyle w:val="NoSpacing"/>
        <w:rPr>
          <w:rFonts w:ascii="Arial Black" w:hAnsi="Arial Black"/>
          <w:bCs/>
          <w:sz w:val="28"/>
          <w:szCs w:val="28"/>
        </w:rPr>
      </w:pPr>
      <w:r>
        <w:rPr>
          <w:rFonts w:ascii="Arial Black" w:hAnsi="Arial Black"/>
          <w:sz w:val="28"/>
          <w:szCs w:val="28"/>
        </w:rPr>
        <w:t xml:space="preserve">MS: EMS SCHOLARSHIPS FOR </w:t>
      </w:r>
      <w:r w:rsidR="0052716C">
        <w:rPr>
          <w:rFonts w:ascii="Arial Black" w:hAnsi="Arial Black"/>
          <w:sz w:val="28"/>
          <w:szCs w:val="28"/>
        </w:rPr>
        <w:t xml:space="preserve">EMS </w:t>
      </w:r>
      <w:r>
        <w:rPr>
          <w:rFonts w:ascii="Arial Black" w:hAnsi="Arial Black"/>
          <w:sz w:val="28"/>
          <w:szCs w:val="28"/>
        </w:rPr>
        <w:t>“OF COLOR” - CASE PROCEED</w:t>
      </w:r>
    </w:p>
    <w:p w14:paraId="072E2B41" w14:textId="77777777" w:rsidR="00BD3AC0" w:rsidRDefault="00BD3AC0" w:rsidP="00BD3AC0">
      <w:pPr>
        <w:pStyle w:val="NoSpacing"/>
      </w:pPr>
    </w:p>
    <w:p w14:paraId="113E0EBE" w14:textId="77777777" w:rsidR="00BD3AC0" w:rsidRPr="00E55966" w:rsidRDefault="00BD3AC0" w:rsidP="00BD3AC0">
      <w:pPr>
        <w:pStyle w:val="NoSpacing"/>
        <w:rPr>
          <w:rFonts w:ascii="Times New Roman" w:hAnsi="Times New Roman"/>
          <w:sz w:val="24"/>
          <w:szCs w:val="24"/>
        </w:rPr>
      </w:pPr>
      <w:r w:rsidRPr="00E55966">
        <w:rPr>
          <w:rFonts w:ascii="Times New Roman" w:hAnsi="Times New Roman"/>
          <w:sz w:val="24"/>
          <w:szCs w:val="24"/>
        </w:rPr>
        <w:t xml:space="preserve">On March 31, 2025, in </w:t>
      </w:r>
      <w:r w:rsidRPr="00E55966">
        <w:rPr>
          <w:rFonts w:ascii="Times New Roman" w:hAnsi="Times New Roman"/>
          <w:sz w:val="24"/>
          <w:szCs w:val="24"/>
          <w:u w:val="single"/>
        </w:rPr>
        <w:t>Do No Harm v. National Association of Emergency Medical Technicians</w:t>
      </w:r>
      <w:r w:rsidRPr="00E55966">
        <w:rPr>
          <w:rFonts w:ascii="Times New Roman" w:hAnsi="Times New Roman"/>
          <w:sz w:val="24"/>
          <w:szCs w:val="24"/>
        </w:rPr>
        <w:t xml:space="preserve">, </w:t>
      </w:r>
    </w:p>
    <w:p w14:paraId="789CCDC2" w14:textId="589405C2" w:rsidR="00BC5DCB" w:rsidRPr="00E55966" w:rsidRDefault="00BD3AC0" w:rsidP="00BD3AC0">
      <w:pPr>
        <w:rPr>
          <w:rFonts w:ascii="Times New Roman" w:hAnsi="Times New Roman"/>
          <w:sz w:val="24"/>
          <w:szCs w:val="24"/>
        </w:rPr>
      </w:pPr>
      <w:r w:rsidRPr="00E55966">
        <w:rPr>
          <w:rFonts w:ascii="Times New Roman" w:hAnsi="Times New Roman"/>
          <w:sz w:val="24"/>
          <w:szCs w:val="24"/>
        </w:rPr>
        <w:t xml:space="preserve">U.S. District Court Judge Carlton W. Reeves, U.S. District Court for the Southern District of Mississippi (Northern Division) denied NAEMT’s motion to dismiss.  “Since 2021, this program has awarded up to four scholarships of $1,250 each, which recipients may use towards tuition, fees, and books…. The scholarship's guidelines do not list race as a factor; however, the selection process states that NAEMT ‘will’ award the scholarship to students of color. ***  [Plaintiff organization include white female seeking one of the scholarships.] “Member A alleges that she was denied the opportunity to compete on equal footing with applicants of color because of her race. If proven to be true-and the applicable standard requires us to presume its truth today- NAEMT's diversity scholarship would pose a race-based barrier to Member A that may violate § 1981.” </w:t>
      </w:r>
      <w:r w:rsidR="00741F62">
        <w:rPr>
          <w:rFonts w:ascii="Times New Roman" w:hAnsi="Times New Roman"/>
          <w:sz w:val="24"/>
          <w:szCs w:val="24"/>
        </w:rPr>
        <w:t xml:space="preserve"> </w:t>
      </w:r>
      <w:hyperlink r:id="rId1489" w:history="1">
        <w:r w:rsidR="00741F62" w:rsidRPr="00F82255">
          <w:rPr>
            <w:rStyle w:val="Hyperlink"/>
            <w:rFonts w:ascii="Times New Roman" w:hAnsi="Times New Roman"/>
            <w:sz w:val="24"/>
            <w:szCs w:val="24"/>
          </w:rPr>
          <w:t>https://public.fastcase.com/jaEE2PXzRXmZ99jOLMt1IpDp0JnVzptdty762p2WdacpKzYcIiQ8l1TBeuMep1jV?utm_medium=email&amp;_hsenc=p2ANqtz-9L1bPrfxst6esq_7Z5KFo1lHVisT0fYVrJpGE-zmUOoXZMhssxRXtfaqB6NAX5aJI_oGim2Kqhabp0MlaGnIdzwB2f4A&amp;_hsmi=226712652&amp;utm_content=226712652&amp;utm_source=hs_email</w:t>
        </w:r>
      </w:hyperlink>
      <w:r w:rsidR="00741F62">
        <w:rPr>
          <w:rFonts w:ascii="Times New Roman" w:hAnsi="Times New Roman"/>
          <w:sz w:val="24"/>
          <w:szCs w:val="24"/>
        </w:rPr>
        <w:t xml:space="preserve"> </w:t>
      </w:r>
    </w:p>
    <w:p w14:paraId="006202BE" w14:textId="77777777" w:rsidR="008A0A0B" w:rsidRDefault="008A0A0B" w:rsidP="008A0A0B">
      <w:pPr>
        <w:pStyle w:val="NoSpacing"/>
        <w:rPr>
          <w:rFonts w:ascii="Times New Roman" w:hAnsi="Times New Roman"/>
          <w:b/>
          <w:sz w:val="24"/>
          <w:szCs w:val="24"/>
        </w:rPr>
      </w:pPr>
      <w:r w:rsidRPr="001C2A03">
        <w:rPr>
          <w:rFonts w:ascii="Times New Roman" w:hAnsi="Times New Roman"/>
          <w:b/>
          <w:sz w:val="24"/>
          <w:szCs w:val="24"/>
        </w:rPr>
        <w:t>Legal Lesson Learned:  The case will now proceed to pre-trial discovery; scholarships for minority students by universities and other organizations have also been challenged.</w:t>
      </w:r>
    </w:p>
    <w:p w14:paraId="073BA680" w14:textId="77777777" w:rsidR="00282976" w:rsidRDefault="00282976" w:rsidP="008A0A0B">
      <w:pPr>
        <w:pStyle w:val="NoSpacing"/>
        <w:rPr>
          <w:rFonts w:ascii="Times New Roman" w:hAnsi="Times New Roman"/>
          <w:b/>
          <w:sz w:val="24"/>
          <w:szCs w:val="24"/>
        </w:rPr>
      </w:pPr>
    </w:p>
    <w:p w14:paraId="24FC34D6" w14:textId="77777777" w:rsidR="00E55966" w:rsidRPr="00E55966" w:rsidRDefault="00E55966" w:rsidP="00E55966">
      <w:pPr>
        <w:pStyle w:val="NoSpacing"/>
        <w:ind w:left="720"/>
        <w:rPr>
          <w:rFonts w:ascii="Times New Roman" w:hAnsi="Times New Roman"/>
          <w:bCs/>
          <w:sz w:val="24"/>
          <w:szCs w:val="24"/>
        </w:rPr>
      </w:pPr>
      <w:r w:rsidRPr="00E55966">
        <w:rPr>
          <w:rFonts w:ascii="Times New Roman" w:hAnsi="Times New Roman"/>
          <w:sz w:val="24"/>
          <w:szCs w:val="24"/>
        </w:rPr>
        <w:t xml:space="preserve">Note:  </w:t>
      </w:r>
    </w:p>
    <w:p w14:paraId="7A83B162" w14:textId="77777777" w:rsidR="00E55966" w:rsidRPr="00E55966" w:rsidRDefault="00E55966" w:rsidP="00E55966">
      <w:pPr>
        <w:pStyle w:val="NoSpacing"/>
        <w:ind w:left="720"/>
        <w:rPr>
          <w:rFonts w:ascii="Times New Roman" w:hAnsi="Times New Roman"/>
          <w:bCs/>
          <w:sz w:val="24"/>
          <w:szCs w:val="24"/>
        </w:rPr>
      </w:pPr>
    </w:p>
    <w:p w14:paraId="2938ECEC" w14:textId="77777777" w:rsidR="00E55966" w:rsidRPr="00E55966" w:rsidRDefault="00E55966" w:rsidP="00E55966">
      <w:pPr>
        <w:pStyle w:val="NoSpacing"/>
        <w:ind w:left="720"/>
        <w:rPr>
          <w:rFonts w:ascii="Times New Roman" w:hAnsi="Times New Roman"/>
          <w:bCs/>
          <w:sz w:val="24"/>
          <w:szCs w:val="24"/>
        </w:rPr>
      </w:pPr>
      <w:r w:rsidRPr="00E55966">
        <w:rPr>
          <w:rFonts w:ascii="Times New Roman" w:hAnsi="Times New Roman"/>
          <w:sz w:val="24"/>
          <w:szCs w:val="24"/>
        </w:rPr>
        <w:t xml:space="preserve">See March 13, </w:t>
      </w:r>
      <w:proofErr w:type="gramStart"/>
      <w:r w:rsidRPr="00E55966">
        <w:rPr>
          <w:rFonts w:ascii="Times New Roman" w:hAnsi="Times New Roman"/>
          <w:sz w:val="24"/>
          <w:szCs w:val="24"/>
        </w:rPr>
        <w:t>2025</w:t>
      </w:r>
      <w:proofErr w:type="gramEnd"/>
      <w:r w:rsidRPr="00E55966">
        <w:rPr>
          <w:rFonts w:ascii="Times New Roman" w:hAnsi="Times New Roman"/>
          <w:sz w:val="24"/>
          <w:szCs w:val="24"/>
        </w:rPr>
        <w:t xml:space="preserve"> article and TV Video: “Cincinnati Children's Hospital under investigation over scholarships for minorities. A Wisconsin law firm brought the complaint to the federal government, alleging the programs violate the Civil Rights Act. Cincinnati Children's Hospital is being investigated by the federal government for scholarships aimed at helping minority students. The Department of Health and Human Services Office of Civil Rights is looking into whether those programs break the law.” </w:t>
      </w:r>
      <w:hyperlink r:id="rId1490" w:history="1">
        <w:r w:rsidRPr="00E55966">
          <w:rPr>
            <w:rStyle w:val="Hyperlink"/>
            <w:rFonts w:ascii="Times New Roman" w:hAnsi="Times New Roman"/>
            <w:sz w:val="24"/>
            <w:szCs w:val="24"/>
          </w:rPr>
          <w:t>https://www.wlwt.com/article/cincinnati-childrens-investigation-scholarships-minorities/64180173</w:t>
        </w:r>
      </w:hyperlink>
      <w:r w:rsidRPr="00E55966">
        <w:rPr>
          <w:rFonts w:ascii="Times New Roman" w:hAnsi="Times New Roman"/>
          <w:sz w:val="24"/>
          <w:szCs w:val="24"/>
        </w:rPr>
        <w:t xml:space="preserve"> </w:t>
      </w:r>
    </w:p>
    <w:p w14:paraId="07E5D801" w14:textId="77777777" w:rsidR="00E55966" w:rsidRPr="00E55966" w:rsidRDefault="00E55966" w:rsidP="00E55966">
      <w:pPr>
        <w:pStyle w:val="NoSpacing"/>
        <w:ind w:left="720"/>
        <w:rPr>
          <w:rFonts w:ascii="Times New Roman" w:hAnsi="Times New Roman"/>
          <w:bCs/>
          <w:sz w:val="24"/>
          <w:szCs w:val="24"/>
        </w:rPr>
      </w:pPr>
    </w:p>
    <w:p w14:paraId="179C4FAB" w14:textId="77777777" w:rsidR="00E55966" w:rsidRPr="00E55966" w:rsidRDefault="00E55966" w:rsidP="00E55966">
      <w:pPr>
        <w:pStyle w:val="NoSpacing"/>
        <w:ind w:left="720"/>
        <w:rPr>
          <w:rFonts w:ascii="Times New Roman" w:hAnsi="Times New Roman"/>
          <w:bCs/>
          <w:sz w:val="24"/>
          <w:szCs w:val="24"/>
        </w:rPr>
      </w:pPr>
      <w:r w:rsidRPr="00E55966">
        <w:rPr>
          <w:rFonts w:ascii="Times New Roman" w:hAnsi="Times New Roman"/>
          <w:sz w:val="24"/>
          <w:szCs w:val="24"/>
        </w:rPr>
        <w:t xml:space="preserve">See American Bar Association scholarships. “The American Bar Association (ABA) awards an annual Legal Opportunity Scholarship to first-year law students. The program's mission is to encourage racial and ethnic minority students to apply to law school and to provide financial assistance for them to attend and complete their legal education. The ABA Legal Opportunity Scholarship grants $15,000 of financial aid to 20 - 25 incoming diverse law students over their three years in law school. Since its inception, the ABA Legal Opportunity Scholarship has benefitted more than 400 students from across the country.”  </w:t>
      </w:r>
      <w:hyperlink r:id="rId1491" w:history="1">
        <w:r w:rsidRPr="00E55966">
          <w:rPr>
            <w:rStyle w:val="Hyperlink"/>
            <w:rFonts w:ascii="Times New Roman" w:hAnsi="Times New Roman"/>
            <w:sz w:val="24"/>
            <w:szCs w:val="24"/>
          </w:rPr>
          <w:t>https://www.americanbar.org/groups/diversity/diversity_pipeline/projects_initiatives/legal_opportunity_scholarship/</w:t>
        </w:r>
      </w:hyperlink>
    </w:p>
    <w:p w14:paraId="6C406882" w14:textId="77777777" w:rsidR="00E55966" w:rsidRDefault="00E55966" w:rsidP="00BD3AC0">
      <w:pPr>
        <w:rPr>
          <w:rFonts w:ascii="Arial Black" w:hAnsi="Arial Black"/>
          <w:b/>
          <w:sz w:val="24"/>
          <w:szCs w:val="24"/>
        </w:rPr>
      </w:pPr>
    </w:p>
    <w:p w14:paraId="14380081" w14:textId="77777777" w:rsidR="009353BA" w:rsidRDefault="009353BA" w:rsidP="00BC70A3">
      <w:pPr>
        <w:rPr>
          <w:rFonts w:ascii="Arial Black" w:hAnsi="Arial Black"/>
          <w:b/>
          <w:sz w:val="24"/>
          <w:szCs w:val="24"/>
        </w:rPr>
      </w:pPr>
    </w:p>
    <w:p w14:paraId="7023D4EB" w14:textId="77777777" w:rsidR="009353BA" w:rsidRDefault="009353BA" w:rsidP="00BC70A3">
      <w:pPr>
        <w:rPr>
          <w:rFonts w:ascii="Arial Black" w:hAnsi="Arial Black"/>
          <w:b/>
          <w:sz w:val="24"/>
          <w:szCs w:val="24"/>
        </w:rPr>
      </w:pPr>
    </w:p>
    <w:p w14:paraId="7F8E8D59" w14:textId="437810A8" w:rsidR="000B584F" w:rsidRDefault="000B584F" w:rsidP="00BC70A3">
      <w:pPr>
        <w:rPr>
          <w:rFonts w:ascii="Arial Black" w:hAnsi="Arial Black"/>
          <w:b/>
          <w:sz w:val="24"/>
          <w:szCs w:val="24"/>
        </w:rPr>
      </w:pPr>
      <w:r>
        <w:rPr>
          <w:rFonts w:ascii="Arial Black" w:hAnsi="Arial Black"/>
          <w:b/>
          <w:sz w:val="24"/>
          <w:szCs w:val="24"/>
        </w:rPr>
        <w:t>8-7</w:t>
      </w:r>
      <w:r w:rsidR="00375DDB">
        <w:rPr>
          <w:rFonts w:ascii="Arial Black" w:hAnsi="Arial Black"/>
          <w:b/>
          <w:sz w:val="24"/>
          <w:szCs w:val="24"/>
        </w:rPr>
        <w:t>3</w:t>
      </w:r>
    </w:p>
    <w:p w14:paraId="45B22002" w14:textId="1A8B2187" w:rsidR="00A110F1" w:rsidRPr="00E11E20" w:rsidRDefault="00A110F1" w:rsidP="00A110F1">
      <w:pPr>
        <w:pStyle w:val="NoSpacing"/>
        <w:rPr>
          <w:rFonts w:ascii="Arial Black" w:hAnsi="Arial Black"/>
          <w:bCs/>
          <w:sz w:val="28"/>
          <w:szCs w:val="28"/>
        </w:rPr>
      </w:pPr>
      <w:r>
        <w:rPr>
          <w:rFonts w:ascii="Arial Black" w:hAnsi="Arial Black"/>
          <w:sz w:val="28"/>
          <w:szCs w:val="28"/>
        </w:rPr>
        <w:t xml:space="preserve">MD: NOT RACE DISC – FIRED </w:t>
      </w:r>
      <w:r w:rsidR="0068464C">
        <w:rPr>
          <w:rFonts w:ascii="Arial Black" w:hAnsi="Arial Black"/>
          <w:sz w:val="28"/>
          <w:szCs w:val="28"/>
        </w:rPr>
        <w:t xml:space="preserve">- </w:t>
      </w:r>
      <w:r>
        <w:rPr>
          <w:rFonts w:ascii="Arial Black" w:hAnsi="Arial Black"/>
          <w:sz w:val="28"/>
          <w:szCs w:val="28"/>
        </w:rPr>
        <w:t>DIDN’T RETURN MED. LEAVE</w:t>
      </w:r>
    </w:p>
    <w:p w14:paraId="5D82B45B" w14:textId="77777777" w:rsidR="00A110F1" w:rsidRDefault="00A110F1" w:rsidP="00A110F1">
      <w:pPr>
        <w:pStyle w:val="NoSpacing"/>
        <w:rPr>
          <w:bCs/>
        </w:rPr>
      </w:pPr>
    </w:p>
    <w:p w14:paraId="7A4DF9C5" w14:textId="77777777" w:rsidR="00A110F1" w:rsidRPr="00375DDB" w:rsidRDefault="00A110F1" w:rsidP="00A110F1">
      <w:pPr>
        <w:pStyle w:val="NoSpacing"/>
        <w:rPr>
          <w:rFonts w:ascii="Times New Roman" w:hAnsi="Times New Roman"/>
          <w:sz w:val="24"/>
          <w:szCs w:val="24"/>
        </w:rPr>
      </w:pPr>
      <w:r w:rsidRPr="00375DDB">
        <w:rPr>
          <w:rFonts w:ascii="Times New Roman" w:hAnsi="Times New Roman"/>
          <w:sz w:val="24"/>
          <w:szCs w:val="24"/>
        </w:rPr>
        <w:t xml:space="preserve">On March 31, 2025, in </w:t>
      </w:r>
      <w:r w:rsidRPr="00375DDB">
        <w:rPr>
          <w:rFonts w:ascii="Times New Roman" w:hAnsi="Times New Roman"/>
          <w:sz w:val="24"/>
          <w:szCs w:val="24"/>
          <w:u w:val="single"/>
        </w:rPr>
        <w:t>Nicole Tynes v. Mayor and City Council of Baltimore</w:t>
      </w:r>
      <w:r w:rsidRPr="00375DDB">
        <w:rPr>
          <w:rFonts w:ascii="Times New Roman" w:hAnsi="Times New Roman"/>
          <w:sz w:val="24"/>
          <w:szCs w:val="24"/>
        </w:rPr>
        <w:t xml:space="preserve">, U.S. District Court Judge Matthew J. Maddox, U.S. District Court for District of Maryland, granted the City’s motion for summary judgment in this lawsuit by black, female alleging retaliation after she filed EEOC complaint.  “On January 12, 2021, PSI placed Plaintiff off-duty through August 31, 2021, due to a non-line-of-duty surgery…. Plaintiff experienced post-op complications…. Because she was out for more than six months, Plaintiff was required to take an RTD [return to duty] exam. Plaintiff was unable to pass the RTD, and she was emotional and appeared distraught…. As a result of being placed back </w:t>
      </w:r>
      <w:proofErr w:type="gramStart"/>
      <w:r w:rsidRPr="00375DDB">
        <w:rPr>
          <w:rFonts w:ascii="Times New Roman" w:hAnsi="Times New Roman"/>
          <w:sz w:val="24"/>
          <w:szCs w:val="24"/>
        </w:rPr>
        <w:t>off-duty</w:t>
      </w:r>
      <w:proofErr w:type="gramEnd"/>
      <w:r w:rsidRPr="00375DDB">
        <w:rPr>
          <w:rFonts w:ascii="Times New Roman" w:hAnsi="Times New Roman"/>
          <w:sz w:val="24"/>
          <w:szCs w:val="24"/>
        </w:rPr>
        <w:t xml:space="preserve"> by PSI [Mercy Hospital Public Safety Infirmary]. Plaintiff was sent an updated Expiration of Medical (“EOM”) Notification dated September 2, 2021…. </w:t>
      </w:r>
    </w:p>
    <w:p w14:paraId="32962910" w14:textId="1C73FE4B" w:rsidR="00A110F1" w:rsidRPr="00375DDB" w:rsidRDefault="00A110F1" w:rsidP="00A110F1">
      <w:pPr>
        <w:rPr>
          <w:rFonts w:ascii="Times New Roman" w:hAnsi="Times New Roman"/>
          <w:sz w:val="24"/>
          <w:szCs w:val="24"/>
        </w:rPr>
      </w:pPr>
      <w:r w:rsidRPr="00375DDB">
        <w:rPr>
          <w:rFonts w:ascii="Times New Roman" w:hAnsi="Times New Roman"/>
          <w:sz w:val="24"/>
          <w:szCs w:val="24"/>
        </w:rPr>
        <w:t>Plaintiff's remaining retaliation claim is based on her termination from the Fire Department after she failed to return to work on September 8, 2021…</w:t>
      </w:r>
      <w:r w:rsidRPr="00375DDB">
        <w:rPr>
          <w:rFonts w:ascii="Times New Roman" w:hAnsi="Times New Roman"/>
          <w:sz w:val="24"/>
          <w:szCs w:val="24"/>
          <w:vertAlign w:val="superscript"/>
        </w:rPr>
        <w:t xml:space="preserve">. </w:t>
      </w:r>
      <w:r w:rsidRPr="00375DDB">
        <w:rPr>
          <w:rFonts w:ascii="Times New Roman" w:hAnsi="Times New Roman"/>
          <w:sz w:val="24"/>
          <w:szCs w:val="24"/>
        </w:rPr>
        <w:t>Defendant has produced a legitimate, non-retaliatory reason for terminating Plaintiff: that her medical leave expired, and she did not return to work.</w:t>
      </w:r>
      <w:r w:rsidRPr="00375DDB">
        <w:rPr>
          <w:rFonts w:ascii="Times New Roman" w:hAnsi="Times New Roman"/>
          <w:sz w:val="24"/>
          <w:szCs w:val="24"/>
          <w:vertAlign w:val="superscript"/>
        </w:rPr>
        <w:t xml:space="preserve">” </w:t>
      </w:r>
      <w:hyperlink r:id="rId1492" w:history="1">
        <w:r w:rsidRPr="00375DDB">
          <w:rPr>
            <w:rStyle w:val="Hyperlink"/>
            <w:rFonts w:ascii="Times New Roman" w:hAnsi="Times New Roman"/>
            <w:sz w:val="24"/>
            <w:szCs w:val="24"/>
          </w:rPr>
          <w:t>https://public.fastcase.com/jaEE2PXzRXmZ99jOLMt1IvrAn%2Bvx0cgAdRJLFzEVE5rZOK58n0UQBGfcsDJAKHyq3V35FHlAbNqGcC8r8dPNnejcnyefccFrDQkDZXnULhU%3D?utm_medium=email&amp;_hsenc=p2ANqtz-8kewSXPlrcM1MOnAYiHvCPklkrBuM3zyFieXeXxpBY7QJCt7ROBRst2YRlv6uOnNoYQgLAyEZN4abHQWMttR1q6BIDag&amp;_hsmi=226712652&amp;utm_content=226712652&amp;utm_source=hs_email</w:t>
        </w:r>
      </w:hyperlink>
    </w:p>
    <w:p w14:paraId="77DE6A92" w14:textId="77777777" w:rsidR="00375DDB" w:rsidRPr="00375DDB" w:rsidRDefault="00375DDB" w:rsidP="00375DDB">
      <w:pPr>
        <w:pStyle w:val="NoSpacing"/>
        <w:rPr>
          <w:rFonts w:ascii="Times New Roman" w:hAnsi="Times New Roman"/>
          <w:b/>
          <w:sz w:val="24"/>
          <w:szCs w:val="24"/>
        </w:rPr>
      </w:pPr>
      <w:r w:rsidRPr="00375DDB">
        <w:rPr>
          <w:rFonts w:ascii="Times New Roman" w:hAnsi="Times New Roman"/>
          <w:b/>
          <w:sz w:val="24"/>
          <w:szCs w:val="24"/>
        </w:rPr>
        <w:t>Legal Lesson Learned:  FD produced legitimate reason for terminating the firefighter, and plaintiff failed to show pretext.</w:t>
      </w:r>
    </w:p>
    <w:p w14:paraId="2AAB5B86" w14:textId="77777777" w:rsidR="00375DDB" w:rsidRDefault="00375DDB" w:rsidP="00375DDB">
      <w:pPr>
        <w:pStyle w:val="NoSpacing"/>
        <w:rPr>
          <w:bCs/>
        </w:rPr>
      </w:pPr>
    </w:p>
    <w:p w14:paraId="48A6D0C9" w14:textId="77777777" w:rsidR="00375DDB" w:rsidRDefault="00375DDB" w:rsidP="00A110F1">
      <w:pPr>
        <w:rPr>
          <w:rFonts w:ascii="Arial Black" w:hAnsi="Arial Black"/>
          <w:b/>
          <w:sz w:val="24"/>
          <w:szCs w:val="24"/>
        </w:rPr>
      </w:pPr>
    </w:p>
    <w:p w14:paraId="3AB97586" w14:textId="2FAE3152" w:rsidR="00375DDB" w:rsidRDefault="00375DDB" w:rsidP="00A110F1">
      <w:pPr>
        <w:rPr>
          <w:rFonts w:ascii="Arial Black" w:hAnsi="Arial Black"/>
          <w:b/>
          <w:sz w:val="24"/>
          <w:szCs w:val="24"/>
        </w:rPr>
      </w:pPr>
      <w:r>
        <w:rPr>
          <w:rFonts w:ascii="Arial Black" w:hAnsi="Arial Black"/>
          <w:b/>
          <w:sz w:val="24"/>
          <w:szCs w:val="24"/>
        </w:rPr>
        <w:t>8-72</w:t>
      </w:r>
    </w:p>
    <w:p w14:paraId="677527B3" w14:textId="77777777" w:rsidR="001F52D2" w:rsidRPr="00A158C4" w:rsidRDefault="001F52D2" w:rsidP="001F52D2">
      <w:pPr>
        <w:pStyle w:val="NoSpacing"/>
        <w:rPr>
          <w:rFonts w:ascii="Arial Black" w:hAnsi="Arial Black"/>
          <w:b/>
          <w:sz w:val="28"/>
          <w:szCs w:val="28"/>
        </w:rPr>
      </w:pPr>
      <w:r>
        <w:rPr>
          <w:rFonts w:ascii="Arial Black" w:hAnsi="Arial Black"/>
          <w:b/>
          <w:sz w:val="28"/>
          <w:szCs w:val="28"/>
        </w:rPr>
        <w:t>PA: REVERSE DISC ALLEGED – WHITE NOT PROMOTED</w:t>
      </w:r>
    </w:p>
    <w:p w14:paraId="1480FE28" w14:textId="77777777" w:rsidR="001F52D2" w:rsidRDefault="001F52D2" w:rsidP="001F52D2">
      <w:pPr>
        <w:pStyle w:val="NoSpacing"/>
      </w:pPr>
    </w:p>
    <w:p w14:paraId="460EB872" w14:textId="77777777" w:rsidR="00EA4EB5" w:rsidRPr="00A158C4" w:rsidRDefault="001F52D2" w:rsidP="00EA4EB5">
      <w:pPr>
        <w:pStyle w:val="NoSpacing"/>
      </w:pPr>
      <w:r w:rsidRPr="009353BA">
        <w:rPr>
          <w:rFonts w:ascii="Times New Roman" w:hAnsi="Times New Roman"/>
          <w:sz w:val="24"/>
          <w:szCs w:val="24"/>
        </w:rPr>
        <w:t xml:space="preserve">On March 19, 2025, in </w:t>
      </w:r>
      <w:r w:rsidRPr="009353BA">
        <w:rPr>
          <w:rFonts w:ascii="Times New Roman" w:hAnsi="Times New Roman"/>
          <w:sz w:val="24"/>
          <w:szCs w:val="24"/>
          <w:u w:val="single"/>
        </w:rPr>
        <w:t>Jared Jacobson v. City of Philadelphia</w:t>
      </w:r>
      <w:r w:rsidRPr="009353BA">
        <w:rPr>
          <w:rFonts w:ascii="Times New Roman" w:hAnsi="Times New Roman"/>
          <w:sz w:val="24"/>
          <w:szCs w:val="24"/>
        </w:rPr>
        <w:t xml:space="preserve">, U.S. District Court Judge R. Barclay Surrick, U.S. District Court for Eastern District of Pennsylvania, denied the City’s motion for summary judgment.  In </w:t>
      </w:r>
      <w:proofErr w:type="gramStart"/>
      <w:r w:rsidRPr="009353BA">
        <w:rPr>
          <w:rFonts w:ascii="Times New Roman" w:hAnsi="Times New Roman"/>
          <w:sz w:val="24"/>
          <w:szCs w:val="24"/>
        </w:rPr>
        <w:t>April,</w:t>
      </w:r>
      <w:proofErr w:type="gramEnd"/>
      <w:r w:rsidRPr="009353BA">
        <w:rPr>
          <w:rFonts w:ascii="Times New Roman" w:hAnsi="Times New Roman"/>
          <w:sz w:val="24"/>
          <w:szCs w:val="24"/>
        </w:rPr>
        <w:t xml:space="preserve"> 2021, two chief officers (one black, one white) applied for promotion Assistant Deputy Commissioner of Emergency Medical Services. The position was not posted until April 28, 2021, the day after Martin McCall (black) was promoted to </w:t>
      </w:r>
      <w:proofErr w:type="gramStart"/>
      <w:r w:rsidRPr="009353BA">
        <w:rPr>
          <w:rFonts w:ascii="Times New Roman" w:hAnsi="Times New Roman"/>
          <w:sz w:val="24"/>
          <w:szCs w:val="24"/>
        </w:rPr>
        <w:t>a</w:t>
      </w:r>
      <w:r w:rsidR="009353BA">
        <w:rPr>
          <w:rFonts w:ascii="Times New Roman" w:hAnsi="Times New Roman"/>
          <w:sz w:val="24"/>
          <w:szCs w:val="24"/>
        </w:rPr>
        <w:t xml:space="preserve"> </w:t>
      </w:r>
      <w:r w:rsidRPr="009353BA">
        <w:rPr>
          <w:rFonts w:ascii="Times New Roman" w:hAnsi="Times New Roman"/>
          <w:sz w:val="24"/>
          <w:szCs w:val="24"/>
        </w:rPr>
        <w:t>chief</w:t>
      </w:r>
      <w:proofErr w:type="gramEnd"/>
      <w:r w:rsidRPr="009353BA">
        <w:rPr>
          <w:rFonts w:ascii="Times New Roman" w:hAnsi="Times New Roman"/>
          <w:sz w:val="24"/>
          <w:szCs w:val="24"/>
        </w:rPr>
        <w:t xml:space="preserve"> officer and then eligible for the position.  They were interviewed by a three-member panel appointed by Fire Commissioner Adam Thiel:  Crystal Yates, who was retiring from the position; Deputy Commissioner Craig Murphy, and Deputy Commissioner Tara Mohr.  After the interviews, the panel members submitted their lists of pros and cons to Murphy and Yates, but   “the record is unclear regarding what role various members of the Executive Team played in making a final recommendation to Thiel… Yates testified that she did not know why McCall was selected and that she ‘wasn't a part of the selection[.]' (Yates Dep. at 41, 44-45.) … The panel recommended did not record, score, and rank the answers…. Although Defendant's motion for summary judgment presents a close call, contradictions regarding who was involved in decision-making coupled with the timing of interviews the day after McCall became chief could permit a reasonable factfinder to doubt Defendant's proffered rationale and infer discrimination. Defendant's motion will therefore be denied.” </w:t>
      </w:r>
      <w:hyperlink r:id="rId1493" w:history="1">
        <w:r w:rsidR="00EA4EB5" w:rsidRPr="00961C46">
          <w:rPr>
            <w:rStyle w:val="Hyperlink"/>
          </w:rPr>
          <w:t>https://public.fastcase.com/jaEE2PXzRXmZ99jOLMt1Ig73AWbHngoMRgpe4nLWTO53aGFBbi44KCyxbclUQNrRtdkO5InHzTjZEyqBZ0TTu4M3XLXcJtKtBwk6Y3SN%2BfM%3D?utm_medium=email&amp;_hsenc=p2ANqtz--YVrLxgHNVQCg2RIMQiS4XSu1REbqHDD3q7IV_og8sZIryoVLFG1HLWpJaCKB-X4Qy5JqtbBdGIwkTCURiibvlDX5J7A&amp;_hsmi=226712652&amp;utm_content=226712652&amp;utm_source=hs_email</w:t>
        </w:r>
      </w:hyperlink>
      <w:r w:rsidR="00EA4EB5">
        <w:t xml:space="preserve"> </w:t>
      </w:r>
    </w:p>
    <w:p w14:paraId="3DC6D03F" w14:textId="77777777" w:rsidR="00EA4EB5" w:rsidRDefault="00EA4EB5" w:rsidP="00EA4EB5">
      <w:pPr>
        <w:pStyle w:val="NoSpacing"/>
      </w:pPr>
    </w:p>
    <w:p w14:paraId="50475A87" w14:textId="77777777" w:rsidR="00761812" w:rsidRPr="00761812" w:rsidRDefault="00761812" w:rsidP="00761812">
      <w:pPr>
        <w:pStyle w:val="NoSpacing"/>
        <w:rPr>
          <w:rFonts w:ascii="Times New Roman" w:hAnsi="Times New Roman"/>
          <w:b/>
          <w:bCs/>
          <w:sz w:val="24"/>
          <w:szCs w:val="24"/>
        </w:rPr>
      </w:pPr>
      <w:r w:rsidRPr="00761812">
        <w:rPr>
          <w:rFonts w:ascii="Times New Roman" w:hAnsi="Times New Roman"/>
          <w:b/>
          <w:sz w:val="24"/>
          <w:szCs w:val="24"/>
        </w:rPr>
        <w:t>Legal Lesson Learned:  When conducting panel interviews, it is good practice for panel members to keep scores and notes.</w:t>
      </w:r>
    </w:p>
    <w:p w14:paraId="634380B9" w14:textId="77777777" w:rsidR="00375DDB" w:rsidRPr="00761812" w:rsidRDefault="00375DDB" w:rsidP="00A110F1">
      <w:pPr>
        <w:rPr>
          <w:rFonts w:ascii="Times New Roman" w:hAnsi="Times New Roman"/>
          <w:b/>
          <w:sz w:val="24"/>
          <w:szCs w:val="24"/>
        </w:rPr>
      </w:pPr>
    </w:p>
    <w:p w14:paraId="74DE081E" w14:textId="77777777" w:rsidR="000B584F" w:rsidRDefault="000B584F" w:rsidP="00BC70A3">
      <w:pPr>
        <w:rPr>
          <w:rFonts w:ascii="Arial Black" w:hAnsi="Arial Black"/>
          <w:b/>
          <w:sz w:val="24"/>
          <w:szCs w:val="24"/>
        </w:rPr>
      </w:pPr>
    </w:p>
    <w:p w14:paraId="48A6A3CE" w14:textId="1AD19216" w:rsidR="005D5BAD" w:rsidRDefault="005D5BAD" w:rsidP="00BC70A3">
      <w:pPr>
        <w:rPr>
          <w:rFonts w:ascii="Arial Black" w:hAnsi="Arial Black"/>
          <w:b/>
          <w:sz w:val="24"/>
          <w:szCs w:val="24"/>
        </w:rPr>
      </w:pPr>
      <w:r>
        <w:rPr>
          <w:rFonts w:ascii="Arial Black" w:hAnsi="Arial Black"/>
          <w:b/>
          <w:sz w:val="24"/>
          <w:szCs w:val="24"/>
        </w:rPr>
        <w:t>8-71</w:t>
      </w:r>
    </w:p>
    <w:p w14:paraId="2F5AE05D" w14:textId="77777777" w:rsidR="005D5BAD" w:rsidRPr="000B7F2C" w:rsidRDefault="005D5BAD" w:rsidP="005D5BAD">
      <w:pPr>
        <w:rPr>
          <w:rFonts w:ascii="Arial Black" w:hAnsi="Arial Black"/>
          <w:sz w:val="28"/>
          <w:szCs w:val="28"/>
        </w:rPr>
      </w:pPr>
      <w:r w:rsidRPr="000B7F2C">
        <w:rPr>
          <w:rFonts w:ascii="Arial Black" w:hAnsi="Arial Black"/>
          <w:sz w:val="28"/>
          <w:szCs w:val="28"/>
        </w:rPr>
        <w:t>MD:  TRUMP DEI PROGRAMS - PREL. INJUC</w:t>
      </w:r>
      <w:r>
        <w:rPr>
          <w:rFonts w:ascii="Arial Black" w:hAnsi="Arial Black"/>
          <w:sz w:val="28"/>
          <w:szCs w:val="28"/>
        </w:rPr>
        <w:t>TION</w:t>
      </w:r>
      <w:r w:rsidRPr="000B7F2C">
        <w:rPr>
          <w:rFonts w:ascii="Arial Black" w:hAnsi="Arial Black"/>
          <w:sz w:val="28"/>
          <w:szCs w:val="28"/>
        </w:rPr>
        <w:t xml:space="preserve"> </w:t>
      </w:r>
      <w:r>
        <w:rPr>
          <w:rFonts w:ascii="Arial Black" w:hAnsi="Arial Black"/>
          <w:sz w:val="28"/>
          <w:szCs w:val="28"/>
        </w:rPr>
        <w:t>– DOJ FDs</w:t>
      </w:r>
    </w:p>
    <w:p w14:paraId="4C5E1744" w14:textId="77777777" w:rsidR="005D5BAD" w:rsidRPr="005D5BAD" w:rsidRDefault="005D5BAD" w:rsidP="005D5BAD">
      <w:pPr>
        <w:rPr>
          <w:rFonts w:ascii="Times New Roman" w:hAnsi="Times New Roman"/>
          <w:sz w:val="24"/>
          <w:szCs w:val="24"/>
        </w:rPr>
      </w:pPr>
      <w:r w:rsidRPr="005D5BAD">
        <w:rPr>
          <w:rFonts w:ascii="Times New Roman" w:hAnsi="Times New Roman"/>
          <w:sz w:val="24"/>
          <w:szCs w:val="24"/>
        </w:rPr>
        <w:t xml:space="preserve">On Feb. 21, 2025, in </w:t>
      </w:r>
      <w:r w:rsidRPr="005D5BAD">
        <w:rPr>
          <w:rFonts w:ascii="Times New Roman" w:hAnsi="Times New Roman"/>
          <w:sz w:val="24"/>
          <w:szCs w:val="24"/>
          <w:u w:val="single"/>
        </w:rPr>
        <w:t>National Association of Diversity Officers in Higher Education, and American Association of University Professors v. Donald J. Trump, et al</w:t>
      </w:r>
      <w:r w:rsidRPr="005D5BAD">
        <w:rPr>
          <w:rFonts w:ascii="Times New Roman" w:hAnsi="Times New Roman"/>
          <w:sz w:val="24"/>
          <w:szCs w:val="24"/>
        </w:rPr>
        <w:t>., United States District Court Judge Adam B. Abelson in Baltimore issued a nationwide preliminary injunction against the Termination, Certification and Enforcement Threat Provisions of President Trump’s Executive Order of January 20, 2025. However, an appeal is likely to 4</w:t>
      </w:r>
      <w:r w:rsidRPr="005D5BAD">
        <w:rPr>
          <w:rFonts w:ascii="Times New Roman" w:hAnsi="Times New Roman"/>
          <w:sz w:val="24"/>
          <w:szCs w:val="24"/>
          <w:vertAlign w:val="superscript"/>
        </w:rPr>
        <w:t>th</w:t>
      </w:r>
      <w:r w:rsidRPr="005D5BAD">
        <w:rPr>
          <w:rFonts w:ascii="Times New Roman" w:hAnsi="Times New Roman"/>
          <w:sz w:val="24"/>
          <w:szCs w:val="24"/>
        </w:rPr>
        <w:t xml:space="preserve"> Circuit (Richmond) and possibly request to U.S. Supreme Court. [See Note at end of this case review. Feb. 26, 2025, “Attorney General Pam Bondi Dismisses DEI Lawsuits Involving Police Officers and Firefighters, Advances President Trump’s Mandate to End Illegal DEI Policies.”] On Feb. 26, 2024, Attorney General announced </w:t>
      </w:r>
      <w:hyperlink r:id="rId1494" w:history="1">
        <w:r w:rsidRPr="005D5BAD">
          <w:rPr>
            <w:rStyle w:val="Hyperlink"/>
            <w:rFonts w:ascii="Times New Roman" w:hAnsi="Times New Roman"/>
            <w:sz w:val="24"/>
            <w:szCs w:val="24"/>
          </w:rPr>
          <w:t>https://www.justsecurity.org/wp-content/uploads/2025/02/National-Association-of-Diversity-Officers-in-Higher-Education-v.-Trump-feb-21-2025.pdf</w:t>
        </w:r>
      </w:hyperlink>
      <w:r w:rsidRPr="005D5BAD">
        <w:rPr>
          <w:rFonts w:ascii="Times New Roman" w:hAnsi="Times New Roman"/>
          <w:sz w:val="24"/>
          <w:szCs w:val="24"/>
        </w:rPr>
        <w:t xml:space="preserve">. </w:t>
      </w:r>
    </w:p>
    <w:p w14:paraId="50AF707B" w14:textId="77777777" w:rsidR="005D5BAD" w:rsidRPr="005D5BAD" w:rsidRDefault="005D5BAD" w:rsidP="005D5BAD">
      <w:pPr>
        <w:rPr>
          <w:rFonts w:ascii="Times New Roman" w:hAnsi="Times New Roman"/>
          <w:sz w:val="24"/>
          <w:szCs w:val="24"/>
        </w:rPr>
      </w:pPr>
      <w:r w:rsidRPr="005D5BAD">
        <w:rPr>
          <w:rFonts w:ascii="Times New Roman" w:hAnsi="Times New Roman"/>
          <w:sz w:val="24"/>
          <w:szCs w:val="24"/>
        </w:rPr>
        <w:t>Judge Abelson wrote:</w:t>
      </w:r>
    </w:p>
    <w:p w14:paraId="757B0449" w14:textId="77777777" w:rsidR="005D5BAD" w:rsidRPr="005D5BAD" w:rsidRDefault="005D5BAD" w:rsidP="005D5BAD">
      <w:pPr>
        <w:pStyle w:val="NoSpacing"/>
        <w:ind w:left="720"/>
        <w:rPr>
          <w:rFonts w:ascii="Times New Roman" w:hAnsi="Times New Roman"/>
          <w:sz w:val="24"/>
          <w:szCs w:val="24"/>
        </w:rPr>
      </w:pPr>
      <w:r w:rsidRPr="005D5BAD">
        <w:rPr>
          <w:rFonts w:ascii="Times New Roman" w:hAnsi="Times New Roman"/>
          <w:sz w:val="24"/>
          <w:szCs w:val="24"/>
        </w:rPr>
        <w:t>“Plaintiffs are likely to succeed on their claim that the Enforcement Threat Provision, § 4(b)(iii) of the J21 Order, violates the First Amendment, because it threatens to initiate enforcement actions against Plaintiffs (in the form of civil compliance investigations) for engaging in protected speech…. The Enforcement Threat Provision applies broadly to the private sector; therefore, unlike with the other provisions, the analysis is based on pure private speech regulated by the First Amendment as opposed to the speech of federal contractors or grantees.</w:t>
      </w:r>
    </w:p>
    <w:p w14:paraId="0B604A0D" w14:textId="77777777" w:rsidR="005D5BAD" w:rsidRPr="005D5BAD" w:rsidRDefault="005D5BAD" w:rsidP="005D5BAD">
      <w:pPr>
        <w:pStyle w:val="NoSpacing"/>
        <w:rPr>
          <w:rFonts w:ascii="Times New Roman" w:hAnsi="Times New Roman"/>
          <w:sz w:val="24"/>
          <w:szCs w:val="24"/>
        </w:rPr>
      </w:pPr>
      <w:r w:rsidRPr="005D5BAD">
        <w:rPr>
          <w:rFonts w:ascii="Times New Roman" w:hAnsi="Times New Roman"/>
          <w:sz w:val="24"/>
          <w:szCs w:val="24"/>
        </w:rPr>
        <w:tab/>
      </w:r>
    </w:p>
    <w:p w14:paraId="08058CFF" w14:textId="77777777" w:rsidR="005D5BAD" w:rsidRPr="005D5BAD" w:rsidRDefault="005D5BAD" w:rsidP="005D5BAD">
      <w:pPr>
        <w:pStyle w:val="NoSpacing"/>
        <w:ind w:firstLine="720"/>
        <w:rPr>
          <w:rFonts w:ascii="Times New Roman" w:hAnsi="Times New Roman"/>
          <w:sz w:val="24"/>
          <w:szCs w:val="24"/>
        </w:rPr>
      </w:pPr>
      <w:r w:rsidRPr="005D5BAD">
        <w:rPr>
          <w:rFonts w:ascii="Times New Roman" w:hAnsi="Times New Roman"/>
          <w:sz w:val="24"/>
          <w:szCs w:val="24"/>
        </w:rPr>
        <w:t>***</w:t>
      </w:r>
    </w:p>
    <w:p w14:paraId="57FED5EC" w14:textId="77777777" w:rsidR="005D5BAD" w:rsidRPr="005D5BAD" w:rsidRDefault="005D5BAD" w:rsidP="005D5BAD">
      <w:pPr>
        <w:pStyle w:val="NoSpacing"/>
        <w:ind w:left="720"/>
        <w:rPr>
          <w:rFonts w:ascii="Times New Roman" w:hAnsi="Times New Roman"/>
          <w:sz w:val="24"/>
          <w:szCs w:val="24"/>
        </w:rPr>
      </w:pPr>
      <w:r w:rsidRPr="005D5BAD">
        <w:rPr>
          <w:rFonts w:ascii="Times New Roman" w:hAnsi="Times New Roman"/>
          <w:sz w:val="24"/>
          <w:szCs w:val="24"/>
        </w:rPr>
        <w:t xml:space="preserve">The White House and Attorney General have made clear, through their ongoing implementation of various aspects of the J21 Order, that viewpoints and speech considered to be in favor of or supportive of DEI or DEIA are viewpoints the government wishes to punish and, apparently, attempt to </w:t>
      </w:r>
      <w:proofErr w:type="gramStart"/>
      <w:r w:rsidRPr="005D5BAD">
        <w:rPr>
          <w:rFonts w:ascii="Times New Roman" w:hAnsi="Times New Roman"/>
          <w:sz w:val="24"/>
          <w:szCs w:val="24"/>
        </w:rPr>
        <w:t>extinguish.”</w:t>
      </w:r>
      <w:proofErr w:type="gramEnd"/>
    </w:p>
    <w:p w14:paraId="66619CEB" w14:textId="77777777" w:rsidR="005D5BAD" w:rsidRPr="005D5BAD" w:rsidRDefault="005D5BAD" w:rsidP="005D5BAD">
      <w:pPr>
        <w:pStyle w:val="NoSpacing"/>
        <w:rPr>
          <w:rFonts w:ascii="Times New Roman" w:hAnsi="Times New Roman"/>
          <w:sz w:val="24"/>
          <w:szCs w:val="24"/>
        </w:rPr>
      </w:pPr>
    </w:p>
    <w:p w14:paraId="49CDC993" w14:textId="77777777" w:rsidR="005D5BAD" w:rsidRPr="005D5BAD" w:rsidRDefault="005D5BAD" w:rsidP="005D5BAD">
      <w:pPr>
        <w:pStyle w:val="NoSpacing"/>
        <w:rPr>
          <w:rFonts w:ascii="Times New Roman" w:hAnsi="Times New Roman"/>
          <w:b/>
          <w:bCs/>
          <w:sz w:val="24"/>
          <w:szCs w:val="24"/>
        </w:rPr>
      </w:pPr>
      <w:r w:rsidRPr="005D5BAD">
        <w:rPr>
          <w:rFonts w:ascii="Times New Roman" w:hAnsi="Times New Roman"/>
          <w:b/>
          <w:sz w:val="24"/>
          <w:szCs w:val="24"/>
        </w:rPr>
        <w:t>Legal Lesson Learned: Fire &amp; EMS departments with federal grants or contracts may be required to certify that they are complying with DEI Executive Order. Consult with your legal counsel.</w:t>
      </w:r>
    </w:p>
    <w:p w14:paraId="636198FE" w14:textId="77777777" w:rsidR="00C16DE2" w:rsidRDefault="00C16DE2" w:rsidP="005D5BAD">
      <w:pPr>
        <w:ind w:firstLine="720"/>
        <w:rPr>
          <w:rFonts w:ascii="Times New Roman" w:hAnsi="Times New Roman"/>
          <w:sz w:val="24"/>
          <w:szCs w:val="24"/>
        </w:rPr>
      </w:pPr>
    </w:p>
    <w:p w14:paraId="79BB3A3A" w14:textId="43565E04" w:rsidR="005D5BAD" w:rsidRPr="005D5BAD" w:rsidRDefault="005D5BAD" w:rsidP="005D5BAD">
      <w:pPr>
        <w:ind w:firstLine="720"/>
        <w:rPr>
          <w:rFonts w:ascii="Times New Roman" w:hAnsi="Times New Roman"/>
          <w:sz w:val="24"/>
          <w:szCs w:val="24"/>
        </w:rPr>
      </w:pPr>
      <w:r w:rsidRPr="005D5BAD">
        <w:rPr>
          <w:rFonts w:ascii="Times New Roman" w:hAnsi="Times New Roman"/>
          <w:sz w:val="24"/>
          <w:szCs w:val="24"/>
        </w:rPr>
        <w:t>Note:</w:t>
      </w:r>
    </w:p>
    <w:p w14:paraId="1EB5CF43" w14:textId="77777777" w:rsidR="005D5BAD" w:rsidRPr="005D5BAD" w:rsidRDefault="005D5BAD" w:rsidP="005D5BAD">
      <w:pPr>
        <w:ind w:left="720"/>
        <w:rPr>
          <w:rFonts w:ascii="Times New Roman" w:hAnsi="Times New Roman"/>
          <w:bCs/>
          <w:sz w:val="24"/>
          <w:szCs w:val="24"/>
        </w:rPr>
      </w:pPr>
      <w:r w:rsidRPr="005D5BAD">
        <w:rPr>
          <w:rFonts w:ascii="Times New Roman" w:hAnsi="Times New Roman"/>
          <w:sz w:val="24"/>
          <w:szCs w:val="24"/>
        </w:rPr>
        <w:t xml:space="preserve">On Feb. 26, 2025, Press Release: “Attorney General Pam Bondi Dismisses DEI Lawsuits Involving Police Officers and Firefighters, Advances President Trump’s Mandate to End Illegal DEI Policies.” </w:t>
      </w:r>
      <w:hyperlink r:id="rId1495" w:history="1">
        <w:r w:rsidRPr="005D5BAD">
          <w:rPr>
            <w:rStyle w:val="Hyperlink"/>
            <w:rFonts w:ascii="Times New Roman" w:hAnsi="Times New Roman"/>
            <w:sz w:val="24"/>
            <w:szCs w:val="24"/>
          </w:rPr>
          <w:t>https://www.justice.gov/opa/pr/attorney-general-pam-bondi-dismisses-dei-lawsuits-involving-police-officers-and-firefighters</w:t>
        </w:r>
      </w:hyperlink>
      <w:r w:rsidRPr="005D5BAD">
        <w:rPr>
          <w:rFonts w:ascii="Times New Roman" w:hAnsi="Times New Roman"/>
          <w:sz w:val="24"/>
          <w:szCs w:val="24"/>
        </w:rPr>
        <w:t xml:space="preserve"> </w:t>
      </w:r>
    </w:p>
    <w:p w14:paraId="3FDD117C" w14:textId="77777777" w:rsidR="005D5BAD" w:rsidRPr="005D5BAD" w:rsidRDefault="005D5BAD" w:rsidP="005D5BAD">
      <w:pPr>
        <w:ind w:left="720"/>
        <w:rPr>
          <w:rFonts w:ascii="Times New Roman" w:hAnsi="Times New Roman"/>
          <w:sz w:val="24"/>
          <w:szCs w:val="24"/>
        </w:rPr>
      </w:pPr>
      <w:r w:rsidRPr="005D5BAD">
        <w:rPr>
          <w:rFonts w:ascii="Times New Roman" w:hAnsi="Times New Roman"/>
          <w:sz w:val="24"/>
          <w:szCs w:val="24"/>
        </w:rPr>
        <w:t>See 2/27/2025 article:</w:t>
      </w:r>
      <w:r w:rsidRPr="005D5BAD">
        <w:rPr>
          <w:rFonts w:ascii="Times New Roman" w:hAnsi="Times New Roman"/>
          <w:b/>
          <w:sz w:val="24"/>
          <w:szCs w:val="24"/>
        </w:rPr>
        <w:t xml:space="preserve"> “</w:t>
      </w:r>
      <w:hyperlink r:id="rId1496" w:tgtFrame="_blank" w:history="1">
        <w:r w:rsidRPr="005D5BAD">
          <w:rPr>
            <w:rStyle w:val="Hyperlink"/>
            <w:rFonts w:ascii="Times New Roman" w:hAnsi="Times New Roman"/>
            <w:sz w:val="24"/>
            <w:szCs w:val="24"/>
          </w:rPr>
          <w:t>Justice Department Drops Alleged Discriminatory First Responder Hiring Cases In DEI Rollback</w:t>
        </w:r>
      </w:hyperlink>
      <w:r w:rsidRPr="005D5BAD">
        <w:rPr>
          <w:rFonts w:ascii="Times New Roman" w:hAnsi="Times New Roman"/>
          <w:sz w:val="24"/>
          <w:szCs w:val="24"/>
        </w:rPr>
        <w:t>…. A Justice Department official said the administration is walking away from four cases, including one that led to a settlement agreement resolving an </w:t>
      </w:r>
      <w:hyperlink r:id="rId1497" w:tgtFrame="_blank" w:history="1">
        <w:r w:rsidRPr="005D5BAD">
          <w:rPr>
            <w:rStyle w:val="Hyperlink"/>
            <w:rFonts w:ascii="Times New Roman" w:hAnsi="Times New Roman"/>
            <w:sz w:val="24"/>
            <w:szCs w:val="24"/>
          </w:rPr>
          <w:t>investigation</w:t>
        </w:r>
      </w:hyperlink>
      <w:r w:rsidRPr="005D5BAD">
        <w:rPr>
          <w:rFonts w:ascii="Times New Roman" w:hAnsi="Times New Roman"/>
          <w:sz w:val="24"/>
          <w:szCs w:val="24"/>
        </w:rPr>
        <w:t> into discriminatory hiring practices affecting Black and female applicants to the Maryland State Police. It’s part of a broader effort by President Donald Trump’s administration to roll back initiatives and programs promoting </w:t>
      </w:r>
      <w:hyperlink r:id="rId1498" w:tgtFrame="_blank" w:history="1">
        <w:r w:rsidRPr="005D5BAD">
          <w:rPr>
            <w:rStyle w:val="Hyperlink"/>
            <w:rFonts w:ascii="Times New Roman" w:hAnsi="Times New Roman"/>
            <w:sz w:val="24"/>
            <w:szCs w:val="24"/>
          </w:rPr>
          <w:t>diversity, equity and inclusion</w:t>
        </w:r>
      </w:hyperlink>
      <w:r w:rsidRPr="005D5BAD">
        <w:rPr>
          <w:rFonts w:ascii="Times New Roman" w:hAnsi="Times New Roman"/>
          <w:sz w:val="24"/>
          <w:szCs w:val="24"/>
        </w:rPr>
        <w:t>, which Republicans contend threaten </w:t>
      </w:r>
      <w:hyperlink r:id="rId1499" w:tgtFrame="_blank" w:history="1">
        <w:r w:rsidRPr="005D5BAD">
          <w:rPr>
            <w:rStyle w:val="Hyperlink"/>
            <w:rFonts w:ascii="Times New Roman" w:hAnsi="Times New Roman"/>
            <w:sz w:val="24"/>
            <w:szCs w:val="24"/>
          </w:rPr>
          <w:t>merit-based hiring</w:t>
        </w:r>
      </w:hyperlink>
      <w:r w:rsidRPr="005D5BAD">
        <w:rPr>
          <w:rFonts w:ascii="Times New Roman" w:hAnsi="Times New Roman"/>
          <w:sz w:val="24"/>
          <w:szCs w:val="24"/>
        </w:rPr>
        <w:t xml:space="preserve">…. Other cases were related to fire or police departments in North Carolina, Georgia, and Indiana, Mizelle said.” </w:t>
      </w:r>
      <w:hyperlink r:id="rId1500" w:history="1">
        <w:r w:rsidRPr="005D5BAD">
          <w:rPr>
            <w:rStyle w:val="Hyperlink"/>
            <w:rFonts w:ascii="Times New Roman" w:hAnsi="Times New Roman"/>
            <w:sz w:val="24"/>
            <w:szCs w:val="24"/>
          </w:rPr>
          <w:t>https://www.firerescue1.com/legal/justice-department-drops-alleged-discriminatory-ff-hiring-cases-in-dei-rollback?utm_source=delivra&amp;utm_medium=email&amp;utm_campaign=FR1-Daily-2-27-25&amp;utm_id=8566464&amp;dlv-emuid=fed355b8-46a2-4fa4-b55c-4d602dde33c4&amp;dlv-mlid=8566464</w:t>
        </w:r>
      </w:hyperlink>
      <w:r w:rsidRPr="005D5BAD">
        <w:rPr>
          <w:rFonts w:ascii="Times New Roman" w:hAnsi="Times New Roman"/>
          <w:sz w:val="24"/>
          <w:szCs w:val="24"/>
        </w:rPr>
        <w:t xml:space="preserve"> </w:t>
      </w:r>
    </w:p>
    <w:p w14:paraId="1EF49B37" w14:textId="77777777" w:rsidR="005D5BAD" w:rsidRPr="005D5BAD" w:rsidRDefault="005D5BAD" w:rsidP="005D5BAD">
      <w:pPr>
        <w:rPr>
          <w:rFonts w:ascii="Times New Roman" w:hAnsi="Times New Roman"/>
          <w:sz w:val="24"/>
          <w:szCs w:val="24"/>
        </w:rPr>
      </w:pPr>
    </w:p>
    <w:p w14:paraId="32C3451D" w14:textId="76B8313B" w:rsidR="00384B2F" w:rsidRDefault="00384B2F" w:rsidP="00BC70A3">
      <w:pPr>
        <w:rPr>
          <w:rFonts w:ascii="Arial Black" w:hAnsi="Arial Black"/>
          <w:b/>
          <w:sz w:val="24"/>
          <w:szCs w:val="24"/>
        </w:rPr>
      </w:pPr>
      <w:r>
        <w:rPr>
          <w:rFonts w:ascii="Arial Black" w:hAnsi="Arial Black"/>
          <w:b/>
          <w:sz w:val="24"/>
          <w:szCs w:val="24"/>
        </w:rPr>
        <w:t>8-70</w:t>
      </w:r>
    </w:p>
    <w:p w14:paraId="7DCD2B9E" w14:textId="77777777" w:rsidR="00384B2F" w:rsidRDefault="00384B2F" w:rsidP="00384B2F">
      <w:pPr>
        <w:pStyle w:val="NoSpacing"/>
        <w:rPr>
          <w:rFonts w:ascii="Arial Black" w:hAnsi="Arial Black"/>
          <w:sz w:val="28"/>
          <w:szCs w:val="28"/>
        </w:rPr>
      </w:pPr>
      <w:r>
        <w:rPr>
          <w:rFonts w:ascii="Arial Black" w:hAnsi="Arial Black"/>
          <w:sz w:val="28"/>
          <w:szCs w:val="28"/>
        </w:rPr>
        <w:t>AL: BLACK CAPT – NOT PROM. BC – FD DOC. INCOMPLETE</w:t>
      </w:r>
    </w:p>
    <w:p w14:paraId="430F45B5" w14:textId="77777777" w:rsidR="00384B2F" w:rsidRDefault="00384B2F" w:rsidP="00384B2F">
      <w:pPr>
        <w:pStyle w:val="NoSpacing"/>
      </w:pPr>
    </w:p>
    <w:p w14:paraId="3BF20D97" w14:textId="77777777" w:rsidR="00384B2F" w:rsidRPr="00457441" w:rsidRDefault="00384B2F" w:rsidP="00384B2F">
      <w:pPr>
        <w:pStyle w:val="NoSpacing"/>
        <w:rPr>
          <w:rFonts w:ascii="Times New Roman" w:hAnsi="Times New Roman"/>
          <w:sz w:val="24"/>
          <w:szCs w:val="24"/>
        </w:rPr>
      </w:pPr>
      <w:r w:rsidRPr="00457441">
        <w:rPr>
          <w:rFonts w:ascii="Times New Roman" w:hAnsi="Times New Roman"/>
          <w:sz w:val="24"/>
          <w:szCs w:val="24"/>
        </w:rPr>
        <w:t xml:space="preserve">On Jan. 24, 2025, in </w:t>
      </w:r>
      <w:r w:rsidRPr="00457441">
        <w:rPr>
          <w:rFonts w:ascii="Times New Roman" w:hAnsi="Times New Roman"/>
          <w:sz w:val="24"/>
          <w:szCs w:val="24"/>
          <w:u w:val="single"/>
        </w:rPr>
        <w:t>Demetrius Webb v. City of Homewood, Alabama, et al.</w:t>
      </w:r>
      <w:r w:rsidRPr="00457441">
        <w:rPr>
          <w:rFonts w:ascii="Times New Roman" w:hAnsi="Times New Roman"/>
          <w:sz w:val="24"/>
          <w:szCs w:val="24"/>
        </w:rPr>
        <w:t xml:space="preserve">, U.S. District Court Chief Judge R. David Proctor, Northern District of Alabama, Southern Division, denied the City’s motion for summary judgment.  Retired Captain Webb’s racial discrimination lawsuit will proceed to trial.  In September and October 2020, two Battalion Chief positions became available (4 BC positions on FD); two whites were promoted under Fire Chiefs’ new process - no outside interviews, only Fire Chief’s matrix of skills (plaintiff scored lowest of 8 applicants; all other BC were medics).  The city submitted a matrix showing all scores by the Fire Chief, EXCEPT the matrix did not include scores of the two promoted.  </w:t>
      </w:r>
      <w:hyperlink r:id="rId1501" w:history="1">
        <w:r w:rsidRPr="00457441">
          <w:rPr>
            <w:rStyle w:val="Hyperlink"/>
            <w:rFonts w:ascii="Times New Roman" w:hAnsi="Times New Roman"/>
            <w:sz w:val="24"/>
            <w:szCs w:val="24"/>
          </w:rPr>
          <w:t>https://cases.justia.com/federal/district-courts/alabama/alndce/2:2023cv01098/186589/44/0.pdf?ts=1737802006</w:t>
        </w:r>
      </w:hyperlink>
      <w:r w:rsidRPr="00457441">
        <w:rPr>
          <w:rFonts w:ascii="Times New Roman" w:hAnsi="Times New Roman"/>
          <w:sz w:val="24"/>
          <w:szCs w:val="24"/>
        </w:rPr>
        <w:t xml:space="preserve"> </w:t>
      </w:r>
    </w:p>
    <w:p w14:paraId="500035B8" w14:textId="77777777" w:rsidR="00384B2F" w:rsidRPr="00457441" w:rsidRDefault="00384B2F" w:rsidP="00384B2F">
      <w:pPr>
        <w:pStyle w:val="NoSpacing"/>
        <w:rPr>
          <w:rFonts w:ascii="Times New Roman" w:hAnsi="Times New Roman"/>
          <w:sz w:val="24"/>
          <w:szCs w:val="24"/>
        </w:rPr>
      </w:pPr>
    </w:p>
    <w:p w14:paraId="3319A1D8" w14:textId="77777777" w:rsidR="00384B2F" w:rsidRPr="00457441" w:rsidRDefault="00384B2F" w:rsidP="00384B2F">
      <w:pPr>
        <w:pStyle w:val="NoSpacing"/>
        <w:rPr>
          <w:rFonts w:ascii="Times New Roman" w:hAnsi="Times New Roman"/>
          <w:sz w:val="24"/>
          <w:szCs w:val="24"/>
        </w:rPr>
      </w:pPr>
      <w:r w:rsidRPr="00457441">
        <w:rPr>
          <w:rFonts w:ascii="Times New Roman" w:hAnsi="Times New Roman"/>
          <w:sz w:val="24"/>
          <w:szCs w:val="24"/>
        </w:rPr>
        <w:t>The Court wrote:</w:t>
      </w:r>
    </w:p>
    <w:p w14:paraId="7962B8AD" w14:textId="77777777" w:rsidR="00384B2F" w:rsidRPr="00457441" w:rsidRDefault="00384B2F" w:rsidP="00384B2F">
      <w:pPr>
        <w:pStyle w:val="NoSpacing"/>
        <w:rPr>
          <w:rFonts w:ascii="Times New Roman" w:hAnsi="Times New Roman"/>
          <w:sz w:val="24"/>
          <w:szCs w:val="24"/>
        </w:rPr>
      </w:pPr>
    </w:p>
    <w:p w14:paraId="5B53C38D"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“The Battalion Chief position was previously selected by a panel of individuals who interviewed the candidates and evaluated their mission statements….However, when Chief Hill became the Fire Chief in 2020, he decided to do away with the old method because he was concerned that the process of selecting a Battalion Chief was too subjective…. Chief Hill devised his new method for selecting the Battalion Chief position sometime in or around September or October 2020….The new method consisted of an interview by him (as opposed to an interview by a panel) …, a review of the applicants’ resumes … and the creation of a matrix where the applicants’ qualifications were assigned a number value for various levels of qualifications….Regarding the new method, Chief Hill testified that he primarily looked at the applicants’ scores in the matrix and secondarily looked at their resumes….Chief Hill acknowledged that although he interviewed the candidates, the interviews were ‘not really’ a factor in the selection process.</w:t>
      </w:r>
    </w:p>
    <w:p w14:paraId="3781D80F" w14:textId="77777777" w:rsidR="00384B2F" w:rsidRPr="00457441" w:rsidRDefault="00384B2F" w:rsidP="00384B2F">
      <w:pPr>
        <w:pStyle w:val="NoSpacing"/>
        <w:ind w:left="720"/>
        <w:rPr>
          <w:rFonts w:ascii="Times New Roman" w:hAnsi="Times New Roman"/>
          <w:sz w:val="24"/>
          <w:szCs w:val="24"/>
        </w:rPr>
      </w:pPr>
    </w:p>
    <w:p w14:paraId="0B4A7724"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w:t>
      </w:r>
    </w:p>
    <w:p w14:paraId="42C962B1" w14:textId="77777777" w:rsidR="00384B2F" w:rsidRPr="00457441" w:rsidRDefault="00384B2F" w:rsidP="00384B2F">
      <w:pPr>
        <w:pStyle w:val="NoSpacing"/>
        <w:rPr>
          <w:rFonts w:ascii="Times New Roman" w:hAnsi="Times New Roman"/>
          <w:sz w:val="24"/>
          <w:szCs w:val="24"/>
        </w:rPr>
      </w:pPr>
    </w:p>
    <w:p w14:paraId="42DBE622"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In his deposition, Chief Hill testified that he conducted only one interview and considered</w:t>
      </w:r>
    </w:p>
    <w:p w14:paraId="09188B49"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the candidates for both positions instead of creating two separate applicant pools…. A</w:t>
      </w:r>
    </w:p>
    <w:p w14:paraId="0DA41656"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Homewood FD document shows the matrix scores of the Battalion Chief candidates as follows: Adam Ashworth, 27; Alexander Glover, 28; Robert Harris, 22; Keith Headrick, 23; Mark Shannon, 29; and Demetrius Webb, 18.</w:t>
      </w:r>
    </w:p>
    <w:p w14:paraId="6AF9982A" w14:textId="77777777" w:rsidR="00384B2F" w:rsidRPr="00457441" w:rsidRDefault="00384B2F" w:rsidP="00384B2F">
      <w:pPr>
        <w:pStyle w:val="NoSpacing"/>
        <w:ind w:left="720"/>
        <w:rPr>
          <w:rFonts w:ascii="Times New Roman" w:hAnsi="Times New Roman"/>
          <w:sz w:val="24"/>
          <w:szCs w:val="24"/>
        </w:rPr>
      </w:pPr>
    </w:p>
    <w:p w14:paraId="044F6292"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w:t>
      </w:r>
    </w:p>
    <w:p w14:paraId="7485304F"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However, despite Chief Hill’s testimony and Homewood’s summary judgment argument, the matrix that Homewood submitted into evidence does not include Broadhead and Everson or their scores…. When asked in his deposition, Chief Hill testified that he thought Everson ‘was close to’ the score of 29 …, which is the highest score recorded in the matrix. However, Homewood has not provided any Rule 56 evidence to confirm this. Further, while Everson’s matrix score was discussed briefly, Chief Hill did not provide any information regarding Broadhead’s matrix score or why he was not included on the matrix Homewood submitted into evidence. So, while the matrix indicates that Plaintiff received a score of 18 …, which is the lowest score among the other candidates on the matrix, there is no way to compare Plaintiff’s score to those of Broadhead or Everson. Plaintiff raised these discrepancies in his Response to Defendants’ Motion for Summary Judgment. (</w:t>
      </w:r>
      <w:proofErr w:type="gramStart"/>
      <w:r w:rsidRPr="00457441">
        <w:rPr>
          <w:rFonts w:ascii="Times New Roman" w:hAnsi="Times New Roman"/>
          <w:sz w:val="24"/>
          <w:szCs w:val="24"/>
        </w:rPr>
        <w:t>Doc. #</w:t>
      </w:r>
      <w:proofErr w:type="gramEnd"/>
      <w:r w:rsidRPr="00457441">
        <w:rPr>
          <w:rFonts w:ascii="Times New Roman" w:hAnsi="Times New Roman"/>
          <w:sz w:val="24"/>
          <w:szCs w:val="24"/>
        </w:rPr>
        <w:t xml:space="preserve"> 39 at 17). Homewood made no effort to refute or even respond to this argument. (See </w:t>
      </w:r>
      <w:proofErr w:type="gramStart"/>
      <w:r w:rsidRPr="00457441">
        <w:rPr>
          <w:rFonts w:ascii="Times New Roman" w:hAnsi="Times New Roman"/>
          <w:sz w:val="24"/>
          <w:szCs w:val="24"/>
        </w:rPr>
        <w:t>Doc. #</w:t>
      </w:r>
      <w:proofErr w:type="gramEnd"/>
      <w:r w:rsidRPr="00457441">
        <w:rPr>
          <w:rFonts w:ascii="Times New Roman" w:hAnsi="Times New Roman"/>
          <w:sz w:val="24"/>
          <w:szCs w:val="24"/>
        </w:rPr>
        <w:t xml:space="preserve"> 41).</w:t>
      </w:r>
    </w:p>
    <w:p w14:paraId="349B4C86" w14:textId="77777777" w:rsidR="00384B2F" w:rsidRPr="00457441" w:rsidRDefault="00384B2F" w:rsidP="00384B2F">
      <w:pPr>
        <w:pStyle w:val="NoSpacing"/>
        <w:ind w:left="720"/>
        <w:rPr>
          <w:rFonts w:ascii="Times New Roman" w:hAnsi="Times New Roman"/>
          <w:sz w:val="24"/>
          <w:szCs w:val="24"/>
        </w:rPr>
      </w:pPr>
    </w:p>
    <w:p w14:paraId="44D3740A"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w:t>
      </w:r>
    </w:p>
    <w:p w14:paraId="7F1788C8"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Moreover, although Chief Hill testified that he primarily relied on the matrix scores, when asked in his deposition why Broadhead and Everson were promoted over Plaintiff to the position of Battalion Chief, he discussed Broadhead and Everson’s leadership skills (</w:t>
      </w:r>
      <w:proofErr w:type="gramStart"/>
      <w:r w:rsidRPr="00457441">
        <w:rPr>
          <w:rFonts w:ascii="Times New Roman" w:hAnsi="Times New Roman"/>
          <w:sz w:val="24"/>
          <w:szCs w:val="24"/>
        </w:rPr>
        <w:t>Doc. #</w:t>
      </w:r>
      <w:proofErr w:type="gramEnd"/>
      <w:r w:rsidRPr="00457441">
        <w:rPr>
          <w:rFonts w:ascii="Times New Roman" w:hAnsi="Times New Roman"/>
          <w:sz w:val="24"/>
          <w:szCs w:val="24"/>
        </w:rPr>
        <w:t xml:space="preserve"> 32-2 at 51, 54) and made no mention of their matrix scores. If Chief Hill had not testified that he looked primarily at the matrix scores when selecting the Battalion Chief position, there may be an argument that the court could overlook the issue that a matrix that did not reference the scores of the incumbents was submitted into evidence. However, Homewood has provided both incomplete (and potentially contradictory) evidence. </w:t>
      </w:r>
      <w:proofErr w:type="gramStart"/>
      <w:r w:rsidRPr="00457441">
        <w:rPr>
          <w:rFonts w:ascii="Times New Roman" w:hAnsi="Times New Roman"/>
          <w:sz w:val="24"/>
          <w:szCs w:val="24"/>
        </w:rPr>
        <w:t>Despite the fact that</w:t>
      </w:r>
      <w:proofErr w:type="gramEnd"/>
      <w:r w:rsidRPr="00457441">
        <w:rPr>
          <w:rFonts w:ascii="Times New Roman" w:hAnsi="Times New Roman"/>
          <w:sz w:val="24"/>
          <w:szCs w:val="24"/>
        </w:rPr>
        <w:t xml:space="preserve"> Chief Hill testified that promotion decisions for the</w:t>
      </w:r>
    </w:p>
    <w:p w14:paraId="44E7691A" w14:textId="77777777" w:rsidR="00384B2F" w:rsidRPr="00457441" w:rsidRDefault="00384B2F" w:rsidP="00384B2F">
      <w:pPr>
        <w:pStyle w:val="NoSpacing"/>
        <w:ind w:left="720"/>
        <w:rPr>
          <w:rFonts w:ascii="Times New Roman" w:hAnsi="Times New Roman"/>
          <w:sz w:val="24"/>
          <w:szCs w:val="24"/>
        </w:rPr>
      </w:pPr>
      <w:r w:rsidRPr="00457441">
        <w:rPr>
          <w:rFonts w:ascii="Times New Roman" w:hAnsi="Times New Roman"/>
          <w:sz w:val="24"/>
          <w:szCs w:val="24"/>
        </w:rPr>
        <w:t xml:space="preserve">Battalion Chief </w:t>
      </w:r>
      <w:proofErr w:type="gramStart"/>
      <w:r w:rsidRPr="00457441">
        <w:rPr>
          <w:rFonts w:ascii="Times New Roman" w:hAnsi="Times New Roman"/>
          <w:sz w:val="24"/>
          <w:szCs w:val="24"/>
        </w:rPr>
        <w:t>position</w:t>
      </w:r>
      <w:proofErr w:type="gramEnd"/>
      <w:r w:rsidRPr="00457441">
        <w:rPr>
          <w:rFonts w:ascii="Times New Roman" w:hAnsi="Times New Roman"/>
          <w:sz w:val="24"/>
          <w:szCs w:val="24"/>
        </w:rPr>
        <w:t xml:space="preserve"> </w:t>
      </w:r>
      <w:proofErr w:type="gramStart"/>
      <w:r w:rsidRPr="00457441">
        <w:rPr>
          <w:rFonts w:ascii="Times New Roman" w:hAnsi="Times New Roman"/>
          <w:sz w:val="24"/>
          <w:szCs w:val="24"/>
        </w:rPr>
        <w:t>are</w:t>
      </w:r>
      <w:proofErr w:type="gramEnd"/>
      <w:r w:rsidRPr="00457441">
        <w:rPr>
          <w:rFonts w:ascii="Times New Roman" w:hAnsi="Times New Roman"/>
          <w:sz w:val="24"/>
          <w:szCs w:val="24"/>
        </w:rPr>
        <w:t xml:space="preserve"> primarily based on the internal matrix system, neither of the two white candidates selected were included on the internal matrix system sheet that Homewood provided in its evidentiary submissions. Further, when asked why he selected them for the Battalion Chief positions, Chief Hill did not indicate Broadhead or Everson’s scores.”</w:t>
      </w:r>
    </w:p>
    <w:p w14:paraId="7CB7DB70" w14:textId="77777777" w:rsidR="00384B2F" w:rsidRPr="00457441" w:rsidRDefault="00384B2F" w:rsidP="00384B2F">
      <w:pPr>
        <w:pStyle w:val="NoSpacing"/>
        <w:ind w:left="720"/>
        <w:rPr>
          <w:rFonts w:ascii="Times New Roman" w:hAnsi="Times New Roman"/>
          <w:sz w:val="24"/>
          <w:szCs w:val="24"/>
        </w:rPr>
      </w:pPr>
    </w:p>
    <w:p w14:paraId="346A6574" w14:textId="77777777" w:rsidR="00384B2F" w:rsidRPr="00457441" w:rsidRDefault="00384B2F" w:rsidP="00384B2F">
      <w:pPr>
        <w:pStyle w:val="NoSpacing"/>
        <w:rPr>
          <w:rFonts w:ascii="Times New Roman" w:hAnsi="Times New Roman"/>
          <w:b/>
          <w:bCs/>
          <w:sz w:val="24"/>
          <w:szCs w:val="24"/>
        </w:rPr>
      </w:pPr>
      <w:r w:rsidRPr="00457441">
        <w:rPr>
          <w:rFonts w:ascii="Times New Roman" w:hAnsi="Times New Roman"/>
          <w:b/>
          <w:sz w:val="24"/>
          <w:szCs w:val="24"/>
        </w:rPr>
        <w:t xml:space="preserve">Legal Lesson Learned:  </w:t>
      </w:r>
      <w:r w:rsidRPr="00457441">
        <w:rPr>
          <w:rFonts w:ascii="Times New Roman" w:hAnsi="Times New Roman"/>
          <w:b/>
          <w:bCs/>
          <w:sz w:val="24"/>
          <w:szCs w:val="24"/>
        </w:rPr>
        <w:t xml:space="preserve">FD relying </w:t>
      </w:r>
      <w:r w:rsidRPr="00457441">
        <w:rPr>
          <w:rFonts w:ascii="Times New Roman" w:hAnsi="Times New Roman"/>
          <w:b/>
          <w:sz w:val="24"/>
          <w:szCs w:val="24"/>
        </w:rPr>
        <w:t xml:space="preserve">on a matrix to justify promotion decision, must include all candidates on the matrix document. </w:t>
      </w:r>
    </w:p>
    <w:p w14:paraId="277A3C05" w14:textId="77777777" w:rsidR="00384B2F" w:rsidRDefault="00384B2F" w:rsidP="00BC70A3">
      <w:pPr>
        <w:rPr>
          <w:rFonts w:ascii="Arial Black" w:hAnsi="Arial Black"/>
          <w:b/>
          <w:sz w:val="24"/>
          <w:szCs w:val="24"/>
        </w:rPr>
      </w:pPr>
    </w:p>
    <w:p w14:paraId="7E8425FB" w14:textId="77777777" w:rsidR="00384B2F" w:rsidRDefault="00384B2F" w:rsidP="00BC70A3">
      <w:pPr>
        <w:rPr>
          <w:rFonts w:ascii="Arial Black" w:hAnsi="Arial Black"/>
          <w:b/>
          <w:sz w:val="24"/>
          <w:szCs w:val="24"/>
        </w:rPr>
      </w:pPr>
    </w:p>
    <w:p w14:paraId="2BF230B3" w14:textId="083F469A" w:rsidR="004864A1" w:rsidRDefault="004864A1" w:rsidP="00BC70A3">
      <w:pPr>
        <w:rPr>
          <w:rFonts w:ascii="Arial Black" w:hAnsi="Arial Black"/>
          <w:b/>
          <w:sz w:val="24"/>
          <w:szCs w:val="24"/>
        </w:rPr>
      </w:pPr>
      <w:r>
        <w:rPr>
          <w:rFonts w:ascii="Arial Black" w:hAnsi="Arial Black"/>
          <w:b/>
          <w:sz w:val="24"/>
          <w:szCs w:val="24"/>
        </w:rPr>
        <w:t>8-69</w:t>
      </w:r>
    </w:p>
    <w:p w14:paraId="53FCF72B" w14:textId="77777777" w:rsidR="002C25D5" w:rsidRPr="00193FDB" w:rsidRDefault="002C25D5" w:rsidP="002C25D5">
      <w:pPr>
        <w:pStyle w:val="NoSpacing"/>
        <w:rPr>
          <w:rFonts w:ascii="Arial Black" w:hAnsi="Arial Black"/>
          <w:b/>
          <w:bCs/>
          <w:sz w:val="28"/>
          <w:szCs w:val="28"/>
        </w:rPr>
      </w:pPr>
      <w:r w:rsidRPr="00193FDB">
        <w:rPr>
          <w:rFonts w:ascii="Arial Black" w:hAnsi="Arial Black"/>
          <w:b/>
          <w:sz w:val="28"/>
          <w:szCs w:val="28"/>
        </w:rPr>
        <w:t xml:space="preserve">LA: </w:t>
      </w:r>
      <w:r>
        <w:rPr>
          <w:rFonts w:ascii="Arial Black" w:hAnsi="Arial Black"/>
          <w:b/>
          <w:sz w:val="28"/>
          <w:szCs w:val="28"/>
        </w:rPr>
        <w:t xml:space="preserve">TWO CAPTS DISCIP. – CLAIM DISPARATE TREAT </w:t>
      </w:r>
    </w:p>
    <w:p w14:paraId="2AA31885" w14:textId="77777777" w:rsidR="002C25D5" w:rsidRDefault="002C25D5" w:rsidP="002C25D5">
      <w:pPr>
        <w:pStyle w:val="NoSpacing"/>
      </w:pPr>
    </w:p>
    <w:p w14:paraId="6EE11AFC" w14:textId="77777777" w:rsidR="00D45282" w:rsidRPr="00D45282" w:rsidRDefault="00D45282" w:rsidP="00D45282">
      <w:pPr>
        <w:rPr>
          <w:rFonts w:ascii="Times New Roman" w:hAnsi="Times New Roman"/>
          <w:sz w:val="24"/>
          <w:szCs w:val="24"/>
        </w:rPr>
      </w:pPr>
      <w:r w:rsidRPr="00D45282">
        <w:rPr>
          <w:rFonts w:ascii="Times New Roman" w:hAnsi="Times New Roman"/>
          <w:sz w:val="24"/>
          <w:szCs w:val="24"/>
        </w:rPr>
        <w:t xml:space="preserve">On Dec. 20, </w:t>
      </w:r>
      <w:proofErr w:type="gramStart"/>
      <w:r w:rsidRPr="00D45282">
        <w:rPr>
          <w:rFonts w:ascii="Times New Roman" w:hAnsi="Times New Roman"/>
          <w:sz w:val="24"/>
          <w:szCs w:val="24"/>
        </w:rPr>
        <w:t>2024</w:t>
      </w:r>
      <w:proofErr w:type="gramEnd"/>
      <w:r w:rsidRPr="00D45282">
        <w:rPr>
          <w:rFonts w:ascii="Times New Roman" w:hAnsi="Times New Roman"/>
          <w:sz w:val="24"/>
          <w:szCs w:val="24"/>
        </w:rPr>
        <w:t xml:space="preserve"> in </w:t>
      </w:r>
      <w:r w:rsidRPr="00D45282">
        <w:rPr>
          <w:rFonts w:ascii="Times New Roman" w:hAnsi="Times New Roman"/>
          <w:sz w:val="24"/>
          <w:szCs w:val="24"/>
          <w:u w:val="single"/>
        </w:rPr>
        <w:t>Varrick Dyer v. City of New Orleans, et al</w:t>
      </w:r>
      <w:r w:rsidRPr="00D45282">
        <w:rPr>
          <w:rFonts w:ascii="Times New Roman" w:hAnsi="Times New Roman"/>
          <w:sz w:val="24"/>
          <w:szCs w:val="24"/>
        </w:rPr>
        <w:t>., United States Magistrate Judge Janis Van Meerveld, U.S. District Court for Eastern District of Louisiana, held that city’s motion for summary judgment will be denied in part.  Black Captain was on the 4</w:t>
      </w:r>
      <w:r w:rsidRPr="00D45282">
        <w:rPr>
          <w:rFonts w:ascii="Times New Roman" w:hAnsi="Times New Roman"/>
          <w:sz w:val="24"/>
          <w:szCs w:val="24"/>
          <w:vertAlign w:val="superscript"/>
        </w:rPr>
        <w:t>th</w:t>
      </w:r>
      <w:r w:rsidRPr="00D45282">
        <w:rPr>
          <w:rFonts w:ascii="Times New Roman" w:hAnsi="Times New Roman"/>
          <w:sz w:val="24"/>
          <w:szCs w:val="24"/>
        </w:rPr>
        <w:t xml:space="preserve"> engine to fire – later had verbal dispute with white Captain who criticized him for not getting off engine with his crew.  The lawsuit will </w:t>
      </w:r>
      <w:proofErr w:type="gramStart"/>
      <w:r w:rsidRPr="00D45282">
        <w:rPr>
          <w:rFonts w:ascii="Times New Roman" w:hAnsi="Times New Roman"/>
          <w:sz w:val="24"/>
          <w:szCs w:val="24"/>
        </w:rPr>
        <w:t>continue on</w:t>
      </w:r>
      <w:proofErr w:type="gramEnd"/>
      <w:r w:rsidRPr="00D45282">
        <w:rPr>
          <w:rFonts w:ascii="Times New Roman" w:hAnsi="Times New Roman"/>
          <w:sz w:val="24"/>
          <w:szCs w:val="24"/>
        </w:rPr>
        <w:t xml:space="preserve"> two claims -  “disparate treatment” (white charged with “hazing” – letter of reprimand;  black charged with “threats” – possible suspension or termination) and subsequent failure to be promoted. </w:t>
      </w:r>
      <w:hyperlink r:id="rId1502" w:history="1">
        <w:r w:rsidRPr="00D45282">
          <w:rPr>
            <w:rStyle w:val="Hyperlink"/>
            <w:rFonts w:ascii="Times New Roman" w:hAnsi="Times New Roman"/>
            <w:sz w:val="24"/>
            <w:szCs w:val="24"/>
          </w:rPr>
          <w:t>https://casetext.com/case/dyer-v-city-of-new-orleans-2</w:t>
        </w:r>
      </w:hyperlink>
      <w:r w:rsidRPr="00D45282">
        <w:rPr>
          <w:rFonts w:ascii="Times New Roman" w:hAnsi="Times New Roman"/>
          <w:sz w:val="24"/>
          <w:szCs w:val="24"/>
        </w:rPr>
        <w:t xml:space="preserve"> </w:t>
      </w:r>
    </w:p>
    <w:p w14:paraId="472844B8" w14:textId="77777777" w:rsidR="00D45282" w:rsidRDefault="00D45282" w:rsidP="002C25D5">
      <w:pPr>
        <w:pStyle w:val="NoSpacing"/>
        <w:rPr>
          <w:rFonts w:ascii="Times New Roman" w:hAnsi="Times New Roman"/>
          <w:sz w:val="24"/>
          <w:szCs w:val="24"/>
        </w:rPr>
      </w:pPr>
    </w:p>
    <w:p w14:paraId="4DF06F5F" w14:textId="4CAA9523" w:rsidR="002C25D5" w:rsidRPr="002C25D5" w:rsidRDefault="002C25D5" w:rsidP="002C25D5">
      <w:pPr>
        <w:pStyle w:val="NoSpacing"/>
        <w:rPr>
          <w:rFonts w:ascii="Times New Roman" w:hAnsi="Times New Roman"/>
          <w:sz w:val="24"/>
          <w:szCs w:val="24"/>
        </w:rPr>
      </w:pPr>
      <w:r w:rsidRPr="002C25D5">
        <w:rPr>
          <w:rFonts w:ascii="Times New Roman" w:hAnsi="Times New Roman"/>
          <w:sz w:val="24"/>
          <w:szCs w:val="24"/>
        </w:rPr>
        <w:t>The Magistrate wrote:</w:t>
      </w:r>
    </w:p>
    <w:p w14:paraId="1BED6D2D" w14:textId="77777777" w:rsidR="002C25D5" w:rsidRPr="002C25D5" w:rsidRDefault="002C25D5" w:rsidP="002C25D5">
      <w:pPr>
        <w:pStyle w:val="NoSpacing"/>
        <w:rPr>
          <w:rFonts w:ascii="Times New Roman" w:hAnsi="Times New Roman"/>
          <w:sz w:val="24"/>
          <w:szCs w:val="24"/>
        </w:rPr>
      </w:pPr>
    </w:p>
    <w:p w14:paraId="6FFDB331" w14:textId="542FD0E8" w:rsidR="00B9560C" w:rsidRPr="002C25D5" w:rsidRDefault="002C25D5" w:rsidP="002C25D5">
      <w:pPr>
        <w:ind w:left="720"/>
        <w:rPr>
          <w:rFonts w:ascii="Times New Roman" w:hAnsi="Times New Roman"/>
          <w:b/>
          <w:sz w:val="24"/>
          <w:szCs w:val="24"/>
        </w:rPr>
      </w:pPr>
      <w:r w:rsidRPr="002C25D5">
        <w:rPr>
          <w:rFonts w:ascii="Times New Roman" w:hAnsi="Times New Roman"/>
          <w:sz w:val="24"/>
          <w:szCs w:val="24"/>
        </w:rPr>
        <w:t xml:space="preserve">“The Court finds that Dyer has stated a plausible claim for race-based disparate treatment as to two incidents. He alleges that he was charged with a more severe rule violation than Martin arising out of the February 2022 incident they were both involved in. Of course there may be legitimate explanations for this difference in treatment. But at this stage, the Court finds Dyer has plausibly alleged that this difference was race based because their conduct appears to have been </w:t>
      </w:r>
      <w:proofErr w:type="gramStart"/>
      <w:r w:rsidRPr="002C25D5">
        <w:rPr>
          <w:rFonts w:ascii="Times New Roman" w:hAnsi="Times New Roman"/>
          <w:sz w:val="24"/>
          <w:szCs w:val="24"/>
        </w:rPr>
        <w:t>similar</w:t>
      </w:r>
      <w:proofErr w:type="gramEnd"/>
      <w:r w:rsidRPr="002C25D5">
        <w:rPr>
          <w:rFonts w:ascii="Times New Roman" w:hAnsi="Times New Roman"/>
          <w:sz w:val="24"/>
          <w:szCs w:val="24"/>
        </w:rPr>
        <w:t xml:space="preserve"> but the black firefighter was charged with a more severe rule violation than the white firefighter. Additionally, Dyer has stated a plausible claim arising out of the denied promotion that was allegedly given to a less qualified white male.”  </w:t>
      </w:r>
    </w:p>
    <w:p w14:paraId="7C775D97" w14:textId="77777777" w:rsidR="00A76F8F" w:rsidRPr="00A76F8F" w:rsidRDefault="00A76F8F" w:rsidP="00A76F8F">
      <w:pPr>
        <w:pStyle w:val="NoSpacing"/>
        <w:rPr>
          <w:rFonts w:ascii="Times New Roman" w:hAnsi="Times New Roman"/>
          <w:sz w:val="24"/>
          <w:szCs w:val="24"/>
        </w:rPr>
      </w:pPr>
      <w:r w:rsidRPr="00A76F8F">
        <w:rPr>
          <w:rFonts w:ascii="Times New Roman" w:hAnsi="Times New Roman"/>
          <w:sz w:val="24"/>
          <w:szCs w:val="24"/>
        </w:rPr>
        <w:t>HOLDING:</w:t>
      </w:r>
    </w:p>
    <w:p w14:paraId="61F513FF" w14:textId="77777777" w:rsidR="00893FEB" w:rsidRDefault="00893FEB" w:rsidP="00A76F8F">
      <w:pPr>
        <w:pStyle w:val="NoSpacing"/>
        <w:ind w:left="720"/>
        <w:rPr>
          <w:rFonts w:ascii="Times New Roman" w:hAnsi="Times New Roman"/>
          <w:sz w:val="24"/>
          <w:szCs w:val="24"/>
        </w:rPr>
      </w:pPr>
    </w:p>
    <w:p w14:paraId="0A4E6FFB" w14:textId="20F13E70" w:rsidR="00A76F8F" w:rsidRPr="00A76F8F" w:rsidRDefault="00A76F8F" w:rsidP="00A76F8F">
      <w:pPr>
        <w:pStyle w:val="NoSpacing"/>
        <w:ind w:left="720"/>
        <w:rPr>
          <w:rFonts w:ascii="Times New Roman" w:hAnsi="Times New Roman"/>
          <w:sz w:val="24"/>
          <w:szCs w:val="24"/>
        </w:rPr>
      </w:pPr>
      <w:r w:rsidRPr="00A76F8F">
        <w:rPr>
          <w:rFonts w:ascii="Times New Roman" w:hAnsi="Times New Roman"/>
          <w:sz w:val="24"/>
          <w:szCs w:val="24"/>
        </w:rPr>
        <w:t>“The Court finds that Dyer has stated a claim under Title VII, the LEDL, and § 1981 for race-based disparate treatment arising out of the charge related to the February 2022 incident and arising out of the denied promotion. As to these claims, the Motion to Dismiss is DENIED.”</w:t>
      </w:r>
    </w:p>
    <w:p w14:paraId="7E2AA90D" w14:textId="77777777" w:rsidR="00A76F8F" w:rsidRPr="00A76F8F" w:rsidRDefault="00A76F8F" w:rsidP="00A76F8F">
      <w:pPr>
        <w:pStyle w:val="NoSpacing"/>
        <w:ind w:left="720"/>
        <w:rPr>
          <w:rFonts w:ascii="Times New Roman" w:hAnsi="Times New Roman"/>
          <w:sz w:val="24"/>
          <w:szCs w:val="24"/>
        </w:rPr>
      </w:pPr>
    </w:p>
    <w:p w14:paraId="45A452C1" w14:textId="77777777" w:rsidR="00A76F8F" w:rsidRPr="00A76F8F" w:rsidRDefault="00A76F8F" w:rsidP="00A76F8F">
      <w:pPr>
        <w:pStyle w:val="NoSpacing"/>
        <w:rPr>
          <w:rFonts w:ascii="Times New Roman" w:hAnsi="Times New Roman"/>
          <w:b/>
          <w:bCs/>
          <w:sz w:val="24"/>
          <w:szCs w:val="24"/>
        </w:rPr>
      </w:pPr>
      <w:r w:rsidRPr="00A76F8F">
        <w:rPr>
          <w:rFonts w:ascii="Times New Roman" w:hAnsi="Times New Roman"/>
          <w:b/>
          <w:sz w:val="24"/>
          <w:szCs w:val="24"/>
        </w:rPr>
        <w:t>Legal Lesson Learned: When imposing discipline involving a white FF and a black FF, management must document specific reasons for different discipline.</w:t>
      </w:r>
    </w:p>
    <w:p w14:paraId="4C0799D8" w14:textId="77777777" w:rsidR="00A76F8F" w:rsidRPr="00A76F8F" w:rsidRDefault="00A76F8F" w:rsidP="00A76F8F">
      <w:pPr>
        <w:pStyle w:val="NoSpacing"/>
        <w:ind w:left="720"/>
        <w:rPr>
          <w:rFonts w:ascii="Times New Roman" w:hAnsi="Times New Roman"/>
          <w:sz w:val="24"/>
          <w:szCs w:val="24"/>
        </w:rPr>
      </w:pPr>
    </w:p>
    <w:p w14:paraId="24665106" w14:textId="29DD1166" w:rsidR="00A76F8F" w:rsidRPr="00A76F8F" w:rsidRDefault="00A76F8F" w:rsidP="00A76F8F">
      <w:pPr>
        <w:pStyle w:val="NoSpacing"/>
        <w:ind w:left="720"/>
        <w:rPr>
          <w:rFonts w:ascii="Times New Roman" w:hAnsi="Times New Roman"/>
          <w:b/>
          <w:sz w:val="24"/>
          <w:szCs w:val="24"/>
        </w:rPr>
      </w:pPr>
      <w:r w:rsidRPr="00A76F8F">
        <w:rPr>
          <w:rFonts w:ascii="Times New Roman" w:hAnsi="Times New Roman"/>
          <w:sz w:val="24"/>
          <w:szCs w:val="24"/>
        </w:rPr>
        <w:t>Note:  See also City’s Civil Service Commission (vote 2 to 1) on Dec. 14, 2023, reversing 36-hour suspension for bringing a “gate valve” from a fire engine to a Rock of Ages</w:t>
      </w:r>
      <w:r w:rsidR="00893FEB">
        <w:rPr>
          <w:rFonts w:ascii="Times New Roman" w:hAnsi="Times New Roman"/>
          <w:sz w:val="24"/>
          <w:szCs w:val="24"/>
        </w:rPr>
        <w:t xml:space="preserve"> </w:t>
      </w:r>
      <w:r w:rsidRPr="00A76F8F">
        <w:rPr>
          <w:rFonts w:ascii="Times New Roman" w:hAnsi="Times New Roman"/>
          <w:sz w:val="24"/>
          <w:szCs w:val="24"/>
        </w:rPr>
        <w:t xml:space="preserve">Church event provided showers and laundry facilities to homeless and mentally ill individuals. </w:t>
      </w:r>
    </w:p>
    <w:p w14:paraId="043F0623" w14:textId="77777777" w:rsidR="00A76F8F" w:rsidRPr="00A76F8F" w:rsidRDefault="00A76F8F" w:rsidP="00A76F8F">
      <w:pPr>
        <w:pStyle w:val="NoSpacing"/>
        <w:ind w:left="720"/>
        <w:rPr>
          <w:rFonts w:ascii="Times New Roman" w:hAnsi="Times New Roman"/>
          <w:b/>
          <w:sz w:val="24"/>
          <w:szCs w:val="24"/>
        </w:rPr>
      </w:pPr>
      <w:hyperlink r:id="rId1503" w:history="1">
        <w:r w:rsidRPr="00A76F8F">
          <w:rPr>
            <w:rStyle w:val="Hyperlink"/>
            <w:rFonts w:ascii="Times New Roman" w:hAnsi="Times New Roman"/>
            <w:b/>
            <w:sz w:val="24"/>
            <w:szCs w:val="24"/>
          </w:rPr>
          <w:t>https://nola.gov/getattachment/e3454bbc-a629-43a1-b296-8d99f21a3e04/Dyer,-Varrick-9485/</w:t>
        </w:r>
      </w:hyperlink>
      <w:r w:rsidRPr="00A76F8F">
        <w:rPr>
          <w:rFonts w:ascii="Times New Roman" w:hAnsi="Times New Roman"/>
          <w:b/>
          <w:sz w:val="24"/>
          <w:szCs w:val="24"/>
        </w:rPr>
        <w:t xml:space="preserve"> </w:t>
      </w:r>
    </w:p>
    <w:p w14:paraId="5C25F61A" w14:textId="77777777" w:rsidR="003B2850" w:rsidRPr="00A76F8F" w:rsidRDefault="003B2850" w:rsidP="00BC70A3">
      <w:pPr>
        <w:rPr>
          <w:rFonts w:ascii="Times New Roman" w:hAnsi="Times New Roman"/>
          <w:b/>
          <w:sz w:val="24"/>
          <w:szCs w:val="24"/>
        </w:rPr>
      </w:pPr>
    </w:p>
    <w:p w14:paraId="42601585" w14:textId="77777777" w:rsidR="003B2850" w:rsidRDefault="003B2850" w:rsidP="00BC70A3">
      <w:pPr>
        <w:rPr>
          <w:rFonts w:ascii="Arial Black" w:hAnsi="Arial Black"/>
          <w:b/>
          <w:sz w:val="24"/>
          <w:szCs w:val="24"/>
        </w:rPr>
      </w:pPr>
    </w:p>
    <w:p w14:paraId="3C279A26" w14:textId="03DFF900" w:rsidR="00B9560C" w:rsidRDefault="00B9560C" w:rsidP="00BC70A3">
      <w:pPr>
        <w:rPr>
          <w:rFonts w:ascii="Arial Black" w:hAnsi="Arial Black"/>
          <w:b/>
          <w:sz w:val="24"/>
          <w:szCs w:val="24"/>
        </w:rPr>
      </w:pPr>
      <w:r>
        <w:rPr>
          <w:rFonts w:ascii="Arial Black" w:hAnsi="Arial Black"/>
          <w:b/>
          <w:sz w:val="24"/>
          <w:szCs w:val="24"/>
        </w:rPr>
        <w:t>8-68</w:t>
      </w:r>
    </w:p>
    <w:p w14:paraId="09837F54" w14:textId="77777777" w:rsidR="009E2FA4" w:rsidRDefault="009E2FA4" w:rsidP="009E2FA4">
      <w:pPr>
        <w:pStyle w:val="NoSpacing"/>
        <w:rPr>
          <w:rFonts w:ascii="Arial Black" w:hAnsi="Arial Black"/>
          <w:b/>
          <w:sz w:val="28"/>
          <w:szCs w:val="28"/>
        </w:rPr>
      </w:pPr>
      <w:r>
        <w:rPr>
          <w:rFonts w:ascii="Arial Black" w:hAnsi="Arial Black"/>
          <w:b/>
          <w:sz w:val="28"/>
          <w:szCs w:val="28"/>
        </w:rPr>
        <w:t xml:space="preserve">MO: CHIEF FIRED – SECRET CAMERA – BD ANIMUS </w:t>
      </w:r>
    </w:p>
    <w:p w14:paraId="5E9C0CE1" w14:textId="77777777" w:rsidR="009E2FA4" w:rsidRDefault="009E2FA4" w:rsidP="00AB0466">
      <w:pPr>
        <w:pStyle w:val="NoSpacing"/>
        <w:rPr>
          <w:rFonts w:ascii="Arial Black" w:hAnsi="Arial Black"/>
          <w:b/>
          <w:sz w:val="28"/>
          <w:szCs w:val="28"/>
        </w:rPr>
      </w:pPr>
    </w:p>
    <w:p w14:paraId="2490AEC9" w14:textId="77777777" w:rsidR="003D707F" w:rsidRPr="003D707F" w:rsidRDefault="003D707F" w:rsidP="003D707F">
      <w:pPr>
        <w:rPr>
          <w:rFonts w:ascii="Times New Roman" w:hAnsi="Times New Roman"/>
          <w:bCs/>
          <w:sz w:val="24"/>
          <w:szCs w:val="24"/>
        </w:rPr>
      </w:pPr>
      <w:r w:rsidRPr="003D707F">
        <w:rPr>
          <w:rFonts w:ascii="Times New Roman" w:hAnsi="Times New Roman"/>
          <w:sz w:val="24"/>
          <w:szCs w:val="24"/>
        </w:rPr>
        <w:t xml:space="preserve">On Dec. 18, 2024, in </w:t>
      </w:r>
      <w:proofErr w:type="spellStart"/>
      <w:r w:rsidRPr="003D707F">
        <w:rPr>
          <w:rFonts w:ascii="Times New Roman" w:hAnsi="Times New Roman"/>
          <w:sz w:val="24"/>
          <w:szCs w:val="24"/>
          <w:u w:val="single"/>
        </w:rPr>
        <w:t>Ankeneth</w:t>
      </w:r>
      <w:proofErr w:type="spellEnd"/>
      <w:r w:rsidRPr="003D707F">
        <w:rPr>
          <w:rFonts w:ascii="Times New Roman" w:hAnsi="Times New Roman"/>
          <w:sz w:val="24"/>
          <w:szCs w:val="24"/>
          <w:u w:val="single"/>
        </w:rPr>
        <w:t xml:space="preserve"> Corbin v. Black Jack Fire Protection District, et al.,</w:t>
      </w:r>
      <w:r w:rsidRPr="003D707F">
        <w:rPr>
          <w:rFonts w:ascii="Times New Roman" w:hAnsi="Times New Roman"/>
          <w:sz w:val="24"/>
          <w:szCs w:val="24"/>
        </w:rPr>
        <w:t xml:space="preserve"> United States District Court Judge John A. Ross, U.S. District Court for Eastern District of Missouri, held that the former Fire Chief (African American), who was fired on Jan. 17, 2023 for secretly installing a camera and a sound recording device in his office, may proceed with his lawsuit for retaliation. </w:t>
      </w:r>
      <w:hyperlink r:id="rId1504" w:history="1">
        <w:r w:rsidRPr="003D707F">
          <w:rPr>
            <w:rStyle w:val="Hyperlink"/>
            <w:rFonts w:ascii="Times New Roman" w:hAnsi="Times New Roman"/>
            <w:sz w:val="24"/>
            <w:szCs w:val="24"/>
          </w:rPr>
          <w:t>https://casetext.com/case/corbin-v-black-jack-fire-prot-dist</w:t>
        </w:r>
      </w:hyperlink>
      <w:r w:rsidRPr="003D707F">
        <w:rPr>
          <w:rFonts w:ascii="Times New Roman" w:hAnsi="Times New Roman"/>
          <w:sz w:val="24"/>
          <w:szCs w:val="24"/>
        </w:rPr>
        <w:t xml:space="preserve"> </w:t>
      </w:r>
    </w:p>
    <w:p w14:paraId="7547A7FC" w14:textId="77777777" w:rsidR="003D707F" w:rsidRDefault="003D707F" w:rsidP="00AB0466">
      <w:pPr>
        <w:pStyle w:val="NoSpacing"/>
        <w:rPr>
          <w:rFonts w:ascii="Times New Roman" w:hAnsi="Times New Roman"/>
          <w:sz w:val="24"/>
          <w:szCs w:val="24"/>
        </w:rPr>
      </w:pPr>
    </w:p>
    <w:p w14:paraId="35844308" w14:textId="3A65FA7F" w:rsidR="00AB0466" w:rsidRPr="00AB0466" w:rsidRDefault="00AB0466" w:rsidP="00AB0466">
      <w:pPr>
        <w:pStyle w:val="NoSpacing"/>
        <w:rPr>
          <w:rFonts w:ascii="Times New Roman" w:hAnsi="Times New Roman"/>
          <w:sz w:val="24"/>
          <w:szCs w:val="24"/>
        </w:rPr>
      </w:pPr>
      <w:r w:rsidRPr="00AB0466">
        <w:rPr>
          <w:rFonts w:ascii="Times New Roman" w:hAnsi="Times New Roman"/>
          <w:sz w:val="24"/>
          <w:szCs w:val="24"/>
        </w:rPr>
        <w:t>The Court wrote:</w:t>
      </w:r>
    </w:p>
    <w:p w14:paraId="4B022E4D" w14:textId="77777777" w:rsidR="00B2318F" w:rsidRDefault="00B2318F" w:rsidP="00AB0466">
      <w:pPr>
        <w:ind w:left="720"/>
        <w:rPr>
          <w:rFonts w:ascii="Times New Roman" w:hAnsi="Times New Roman"/>
          <w:sz w:val="24"/>
          <w:szCs w:val="24"/>
        </w:rPr>
      </w:pPr>
    </w:p>
    <w:p w14:paraId="14680168" w14:textId="62244C3A" w:rsidR="00AB0466" w:rsidRDefault="00AB0466" w:rsidP="00AB0466">
      <w:pPr>
        <w:ind w:left="720"/>
        <w:rPr>
          <w:bCs/>
        </w:rPr>
      </w:pPr>
      <w:r w:rsidRPr="00AB0466">
        <w:rPr>
          <w:rFonts w:ascii="Times New Roman" w:hAnsi="Times New Roman"/>
          <w:sz w:val="24"/>
          <w:szCs w:val="24"/>
        </w:rPr>
        <w:t xml:space="preserve">“The </w:t>
      </w:r>
      <w:proofErr w:type="gramStart"/>
      <w:r w:rsidRPr="00AB0466">
        <w:rPr>
          <w:rFonts w:ascii="Times New Roman" w:hAnsi="Times New Roman"/>
          <w:sz w:val="24"/>
          <w:szCs w:val="24"/>
        </w:rPr>
        <w:t>District</w:t>
      </w:r>
      <w:proofErr w:type="gramEnd"/>
      <w:r w:rsidRPr="00AB0466">
        <w:rPr>
          <w:rFonts w:ascii="Times New Roman" w:hAnsi="Times New Roman"/>
          <w:sz w:val="24"/>
          <w:szCs w:val="24"/>
        </w:rPr>
        <w:t xml:space="preserve"> argues that the EEOC charges were too remote in time to show causation, and the actual reason for Corbin's termination was his use of the hidden camera and failure to return all electronic devices. In response, Corbin contends that the evidence gives rise to jury questions. The Court agrees [with Corbin]. [Board Chairman David] Calhoun admitted he said to Corbin in March 2022, ‘You can't do nothing to me’ and ‘[g]o </w:t>
      </w:r>
      <w:proofErr w:type="gramStart"/>
      <w:r w:rsidRPr="00AB0466">
        <w:rPr>
          <w:rFonts w:ascii="Times New Roman" w:hAnsi="Times New Roman"/>
          <w:sz w:val="24"/>
          <w:szCs w:val="24"/>
        </w:rPr>
        <w:t>write</w:t>
      </w:r>
      <w:proofErr w:type="gramEnd"/>
      <w:r w:rsidRPr="00AB0466">
        <w:rPr>
          <w:rFonts w:ascii="Times New Roman" w:hAnsi="Times New Roman"/>
          <w:sz w:val="24"/>
          <w:szCs w:val="24"/>
        </w:rPr>
        <w:t xml:space="preserve"> your letter’ as he thought Corbin ‘was trying to get me ran out of the place.”’  Corbin filed EEOC charges in July and late August 2022, claiming retaliation for reporting alleged ‘conflicts of interest, fiscal irregularities and wasteful spending’ by the Board and other specific retaliatory actions by Calhoun. Calhoun admitted stating that Corbin was going to ‘destroy the department’ because of ‘harassment like the charges.’ Calhoun further admitted that he believed Corbin was going to alert the media about allegations against the Board. Tensions escalated into the fall of 2022 and Corbin recorded Calhoun in his office via video and their arguments via audio. Corbin was suspended that December and terminated the following month. This timeline is not so remote as to remove the question of causation from the province of the jury. Rather, the timeline and conflicting evidence give rise to a genuine material dispute as to whether the Board cited Corbin's recordings and alleged failure to return devices as a pretext to fire a troublesome whistleblower. These are fact questions for a jury to resolve. Accordingly, the Court will deny the </w:t>
      </w:r>
      <w:proofErr w:type="gramStart"/>
      <w:r w:rsidRPr="00AB0466">
        <w:rPr>
          <w:rFonts w:ascii="Times New Roman" w:hAnsi="Times New Roman"/>
          <w:sz w:val="24"/>
          <w:szCs w:val="24"/>
        </w:rPr>
        <w:t>District's</w:t>
      </w:r>
      <w:proofErr w:type="gramEnd"/>
      <w:r w:rsidRPr="00AB0466">
        <w:rPr>
          <w:rFonts w:ascii="Times New Roman" w:hAnsi="Times New Roman"/>
          <w:sz w:val="24"/>
          <w:szCs w:val="24"/>
        </w:rPr>
        <w:t xml:space="preserve"> motion for summary judgment as to Count I.”  </w:t>
      </w:r>
    </w:p>
    <w:p w14:paraId="4A26B82A" w14:textId="77777777" w:rsidR="005F5492" w:rsidRPr="005F5492" w:rsidRDefault="005F5492" w:rsidP="005F5492">
      <w:pPr>
        <w:rPr>
          <w:rFonts w:ascii="Times New Roman" w:hAnsi="Times New Roman"/>
          <w:bCs/>
          <w:sz w:val="24"/>
          <w:szCs w:val="24"/>
        </w:rPr>
      </w:pPr>
      <w:r w:rsidRPr="005F5492">
        <w:rPr>
          <w:rFonts w:ascii="Times New Roman" w:hAnsi="Times New Roman"/>
          <w:sz w:val="24"/>
          <w:szCs w:val="24"/>
        </w:rPr>
        <w:t>HOLDING:</w:t>
      </w:r>
    </w:p>
    <w:p w14:paraId="4A740C4F" w14:textId="77777777" w:rsidR="005F5492" w:rsidRPr="005F5492" w:rsidRDefault="005F5492" w:rsidP="005F5492">
      <w:pPr>
        <w:ind w:left="720"/>
        <w:rPr>
          <w:rFonts w:ascii="Times New Roman" w:hAnsi="Times New Roman"/>
          <w:sz w:val="24"/>
          <w:szCs w:val="24"/>
        </w:rPr>
      </w:pPr>
      <w:r w:rsidRPr="005F5492">
        <w:rPr>
          <w:rFonts w:ascii="Times New Roman" w:hAnsi="Times New Roman"/>
          <w:sz w:val="24"/>
          <w:szCs w:val="24"/>
        </w:rPr>
        <w:t xml:space="preserve">“Here, the record arguably contains direct evidence showing a discriminatory animus behind the Board's decision to suspend and then terminate Corbin's employment. As discussed above, Calhoun admitted in the summer of 2022 that he was concerned that Corbin would alert the press of alleged misconduct by Board members and that he considered Corbin's EEOC charges to be a form of harassment that would destroy the department. Although Corbin was not suspended until some months later, and purportedly for other reasons, a jury could interpret Calhoun's statements as direct evidence of a discriminatory animus that ultimately prompted the Board's action. Alternatively, even accepting that developments in the fall of 2022, specifically Corbin's recordings and alleged failure to return devices, could be viewed to interrupt any direct link between Calhoun's animus and Corbin's termination, the evidence gives rise to genuine factual dispute under the </w:t>
      </w:r>
      <w:r w:rsidRPr="005F5492">
        <w:rPr>
          <w:rFonts w:ascii="Times New Roman" w:hAnsi="Times New Roman"/>
          <w:i/>
          <w:iCs/>
          <w:sz w:val="24"/>
          <w:szCs w:val="24"/>
        </w:rPr>
        <w:t>McDonnell Douglas</w:t>
      </w:r>
      <w:r w:rsidRPr="005F5492">
        <w:rPr>
          <w:rFonts w:ascii="Times New Roman" w:hAnsi="Times New Roman"/>
          <w:sz w:val="24"/>
          <w:szCs w:val="24"/>
        </w:rPr>
        <w:t xml:space="preserve"> burden-shifting framework.”</w:t>
      </w:r>
    </w:p>
    <w:p w14:paraId="6108FF80" w14:textId="77777777" w:rsidR="005F5492" w:rsidRPr="005F5492" w:rsidRDefault="005F5492" w:rsidP="005F5492">
      <w:pPr>
        <w:rPr>
          <w:rFonts w:ascii="Times New Roman" w:hAnsi="Times New Roman"/>
          <w:b/>
          <w:bCs/>
          <w:sz w:val="24"/>
          <w:szCs w:val="24"/>
        </w:rPr>
      </w:pPr>
      <w:r w:rsidRPr="005F5492">
        <w:rPr>
          <w:rFonts w:ascii="Times New Roman" w:hAnsi="Times New Roman"/>
          <w:b/>
          <w:sz w:val="24"/>
          <w:szCs w:val="24"/>
        </w:rPr>
        <w:t xml:space="preserve">Legal Lessons Learned:  </w:t>
      </w:r>
      <w:r w:rsidRPr="005F5492">
        <w:rPr>
          <w:rFonts w:ascii="Times New Roman" w:hAnsi="Times New Roman"/>
          <w:b/>
          <w:bCs/>
          <w:sz w:val="24"/>
          <w:szCs w:val="24"/>
        </w:rPr>
        <w:t>Court found direct evidence of “discriminatory animus” behind the Board’s decision to suspend and then terminate.</w:t>
      </w:r>
      <w:r w:rsidRPr="005F5492">
        <w:rPr>
          <w:rFonts w:ascii="Times New Roman" w:hAnsi="Times New Roman"/>
          <w:b/>
          <w:sz w:val="24"/>
          <w:szCs w:val="24"/>
        </w:rPr>
        <w:t xml:space="preserve">  </w:t>
      </w:r>
    </w:p>
    <w:p w14:paraId="313EB24F" w14:textId="77777777" w:rsidR="005F5492" w:rsidRPr="00081E51" w:rsidRDefault="005F5492" w:rsidP="005F5492">
      <w:pPr>
        <w:ind w:left="720"/>
        <w:rPr>
          <w:bCs/>
        </w:rPr>
      </w:pPr>
    </w:p>
    <w:p w14:paraId="4A6D30C9" w14:textId="77777777" w:rsidR="00B9560C" w:rsidRDefault="00B9560C" w:rsidP="00BC70A3">
      <w:pPr>
        <w:rPr>
          <w:rFonts w:ascii="Arial Black" w:hAnsi="Arial Black"/>
          <w:b/>
          <w:sz w:val="24"/>
          <w:szCs w:val="24"/>
        </w:rPr>
      </w:pPr>
    </w:p>
    <w:p w14:paraId="0F08F7B8" w14:textId="77777777" w:rsidR="00B9560C" w:rsidRDefault="00B9560C" w:rsidP="00BC70A3">
      <w:pPr>
        <w:rPr>
          <w:rFonts w:ascii="Arial Black" w:hAnsi="Arial Black"/>
          <w:b/>
          <w:sz w:val="24"/>
          <w:szCs w:val="24"/>
        </w:rPr>
      </w:pPr>
    </w:p>
    <w:p w14:paraId="7ED97145" w14:textId="56517BD8" w:rsidR="004529D8" w:rsidRDefault="004529D8" w:rsidP="00BC70A3">
      <w:pPr>
        <w:rPr>
          <w:rFonts w:ascii="Arial Black" w:hAnsi="Arial Black"/>
          <w:b/>
          <w:sz w:val="24"/>
          <w:szCs w:val="24"/>
        </w:rPr>
      </w:pPr>
      <w:r>
        <w:rPr>
          <w:rFonts w:ascii="Arial Black" w:hAnsi="Arial Black"/>
          <w:b/>
          <w:sz w:val="24"/>
          <w:szCs w:val="24"/>
        </w:rPr>
        <w:t>8-6</w:t>
      </w:r>
      <w:r w:rsidR="00AE05CE">
        <w:rPr>
          <w:rFonts w:ascii="Arial Black" w:hAnsi="Arial Black"/>
          <w:b/>
          <w:sz w:val="24"/>
          <w:szCs w:val="24"/>
        </w:rPr>
        <w:t>7</w:t>
      </w:r>
    </w:p>
    <w:p w14:paraId="07F41B5A" w14:textId="77777777" w:rsidR="004529D8" w:rsidRPr="00A85574" w:rsidRDefault="004529D8" w:rsidP="004529D8">
      <w:pPr>
        <w:pStyle w:val="NoSpacing"/>
        <w:rPr>
          <w:rFonts w:ascii="Arial Black" w:hAnsi="Arial Black"/>
          <w:b/>
          <w:sz w:val="28"/>
          <w:szCs w:val="28"/>
        </w:rPr>
      </w:pPr>
      <w:r>
        <w:rPr>
          <w:rFonts w:ascii="Arial Black" w:hAnsi="Arial Black"/>
          <w:b/>
          <w:sz w:val="28"/>
          <w:szCs w:val="28"/>
        </w:rPr>
        <w:t xml:space="preserve">IL: BLACK FF – FIRED - NO FED. CASE – RETALIATION CLAIM FOR TALKING TO EEOC – HAD DUE PROCESS STATE COURT </w:t>
      </w:r>
    </w:p>
    <w:p w14:paraId="3AC9F774" w14:textId="77777777" w:rsidR="004529D8" w:rsidRDefault="004529D8" w:rsidP="004529D8">
      <w:pPr>
        <w:pStyle w:val="NoSpacing"/>
        <w:ind w:firstLine="720"/>
        <w:rPr>
          <w:b/>
        </w:rPr>
      </w:pPr>
    </w:p>
    <w:p w14:paraId="7126F9F9" w14:textId="77777777" w:rsidR="004529D8" w:rsidRPr="00D86881" w:rsidRDefault="004529D8" w:rsidP="004529D8">
      <w:pPr>
        <w:pStyle w:val="NoSpacing"/>
        <w:rPr>
          <w:rFonts w:ascii="Times New Roman" w:hAnsi="Times New Roman"/>
          <w:sz w:val="24"/>
          <w:szCs w:val="24"/>
        </w:rPr>
      </w:pPr>
      <w:r w:rsidRPr="00D86881">
        <w:rPr>
          <w:rFonts w:ascii="Times New Roman" w:hAnsi="Times New Roman"/>
          <w:sz w:val="24"/>
          <w:szCs w:val="24"/>
        </w:rPr>
        <w:t xml:space="preserve">On Nov. 18, 2024, in </w:t>
      </w:r>
      <w:proofErr w:type="spellStart"/>
      <w:r w:rsidRPr="00D86881">
        <w:rPr>
          <w:rFonts w:ascii="Times New Roman" w:hAnsi="Times New Roman"/>
          <w:sz w:val="24"/>
          <w:szCs w:val="24"/>
          <w:u w:val="single"/>
        </w:rPr>
        <w:t>Vairrun</w:t>
      </w:r>
      <w:proofErr w:type="spellEnd"/>
      <w:r w:rsidRPr="00D86881">
        <w:rPr>
          <w:rFonts w:ascii="Times New Roman" w:hAnsi="Times New Roman"/>
          <w:sz w:val="24"/>
          <w:szCs w:val="24"/>
          <w:u w:val="single"/>
        </w:rPr>
        <w:t xml:space="preserve"> Strictland v. City of Markham</w:t>
      </w:r>
      <w:r w:rsidRPr="00D86881">
        <w:rPr>
          <w:rFonts w:ascii="Times New Roman" w:hAnsi="Times New Roman"/>
          <w:sz w:val="24"/>
          <w:szCs w:val="24"/>
        </w:rPr>
        <w:t xml:space="preserve">, United States District Court Judge John J. Tharp, Jr., U.S. District Court for Northern District of Illinois, Eastern Division, granted summary judgment to the </w:t>
      </w:r>
      <w:proofErr w:type="gramStart"/>
      <w:r w:rsidRPr="00D86881">
        <w:rPr>
          <w:rFonts w:ascii="Times New Roman" w:hAnsi="Times New Roman"/>
          <w:sz w:val="24"/>
          <w:szCs w:val="24"/>
        </w:rPr>
        <w:t>City</w:t>
      </w:r>
      <w:proofErr w:type="gramEnd"/>
      <w:r w:rsidRPr="00D86881">
        <w:rPr>
          <w:rFonts w:ascii="Times New Roman" w:hAnsi="Times New Roman"/>
          <w:sz w:val="24"/>
          <w:szCs w:val="24"/>
        </w:rPr>
        <w:t>.  The Court wrote: “In October 2021, the circuit court entered an agreed order retaining jurisdiction but remanding the case to the Board; the court instructed the Board, on remand, to enter an amended decision containing additional information ‘as to the</w:t>
      </w:r>
    </w:p>
    <w:p w14:paraId="7F50C7AE" w14:textId="77777777" w:rsidR="004529D8" w:rsidRPr="00D86881" w:rsidRDefault="004529D8" w:rsidP="004529D8">
      <w:pPr>
        <w:pStyle w:val="NoSpacing"/>
        <w:rPr>
          <w:rFonts w:ascii="Times New Roman" w:hAnsi="Times New Roman"/>
          <w:sz w:val="24"/>
          <w:szCs w:val="24"/>
        </w:rPr>
      </w:pPr>
      <w:r w:rsidRPr="00D86881">
        <w:rPr>
          <w:rFonts w:ascii="Times New Roman" w:hAnsi="Times New Roman"/>
          <w:sz w:val="24"/>
          <w:szCs w:val="24"/>
        </w:rPr>
        <w:t>facts, laws, and basis for the [outcome] and discipline issued.’ Agreed Order 1, ECF No. 23-2.</w:t>
      </w:r>
    </w:p>
    <w:p w14:paraId="590952B9" w14:textId="77777777" w:rsidR="004529D8" w:rsidRPr="00D86881" w:rsidRDefault="004529D8" w:rsidP="004529D8">
      <w:pPr>
        <w:pStyle w:val="NoSpacing"/>
        <w:rPr>
          <w:rFonts w:ascii="Times New Roman" w:hAnsi="Times New Roman"/>
          <w:sz w:val="24"/>
          <w:szCs w:val="24"/>
        </w:rPr>
      </w:pPr>
      <w:r w:rsidRPr="00D86881">
        <w:rPr>
          <w:rFonts w:ascii="Times New Roman" w:hAnsi="Times New Roman"/>
          <w:sz w:val="24"/>
          <w:szCs w:val="24"/>
        </w:rPr>
        <w:t>The Board did so in April 2022, again terminating Strickland, and Strickland ‘determined not to</w:t>
      </w:r>
    </w:p>
    <w:p w14:paraId="55B76E6E" w14:textId="77777777" w:rsidR="004529D8" w:rsidRPr="00D86881" w:rsidRDefault="004529D8" w:rsidP="004529D8">
      <w:pPr>
        <w:pStyle w:val="NoSpacing"/>
        <w:rPr>
          <w:rFonts w:ascii="Times New Roman" w:hAnsi="Times New Roman"/>
          <w:sz w:val="24"/>
          <w:szCs w:val="24"/>
        </w:rPr>
      </w:pPr>
      <w:r w:rsidRPr="00D86881">
        <w:rPr>
          <w:rFonts w:ascii="Times New Roman" w:hAnsi="Times New Roman"/>
          <w:sz w:val="24"/>
          <w:szCs w:val="24"/>
        </w:rPr>
        <w:t xml:space="preserve">pursue [further] action’ regarding the amended decision…. Strickland thus had a full and fair opportunity to litigate the claims presented here in state court…. This suit is therefore barred in its entirety by Illinois and federal law.” </w:t>
      </w:r>
      <w:hyperlink r:id="rId1505" w:history="1">
        <w:r w:rsidRPr="00D86881">
          <w:rPr>
            <w:rStyle w:val="Hyperlink"/>
            <w:rFonts w:ascii="Times New Roman" w:hAnsi="Times New Roman"/>
            <w:sz w:val="24"/>
            <w:szCs w:val="24"/>
          </w:rPr>
          <w:t>https://cases.justia.com/federal/district-courts/illinois/ilndce/1:2022cv01419/413396/37/0.pdf?ts=1732013718</w:t>
        </w:r>
      </w:hyperlink>
      <w:r w:rsidRPr="00D86881">
        <w:rPr>
          <w:rFonts w:ascii="Times New Roman" w:hAnsi="Times New Roman"/>
          <w:sz w:val="24"/>
          <w:szCs w:val="24"/>
        </w:rPr>
        <w:t xml:space="preserve"> </w:t>
      </w:r>
    </w:p>
    <w:p w14:paraId="57857CFE" w14:textId="77777777" w:rsidR="00D86881" w:rsidRPr="00D86881" w:rsidRDefault="00D86881" w:rsidP="004529D8">
      <w:pPr>
        <w:pStyle w:val="NoSpacing"/>
        <w:rPr>
          <w:rFonts w:ascii="Times New Roman" w:hAnsi="Times New Roman"/>
          <w:sz w:val="24"/>
          <w:szCs w:val="24"/>
        </w:rPr>
      </w:pPr>
    </w:p>
    <w:p w14:paraId="4658AA7A" w14:textId="77777777" w:rsidR="00D86881" w:rsidRPr="00D86881" w:rsidRDefault="00D86881" w:rsidP="00D86881">
      <w:pPr>
        <w:pStyle w:val="NoSpacing"/>
        <w:rPr>
          <w:rFonts w:ascii="Times New Roman" w:hAnsi="Times New Roman"/>
          <w:b/>
          <w:bCs/>
          <w:sz w:val="24"/>
          <w:szCs w:val="24"/>
        </w:rPr>
      </w:pPr>
      <w:r w:rsidRPr="00D86881">
        <w:rPr>
          <w:rFonts w:ascii="Times New Roman" w:hAnsi="Times New Roman"/>
          <w:b/>
          <w:sz w:val="24"/>
          <w:szCs w:val="24"/>
        </w:rPr>
        <w:t xml:space="preserve">Legal Lesson Learned:  If you are claiming retaliation, and appealing the Board’s termination to a state court, then do not voluntarily </w:t>
      </w:r>
      <w:proofErr w:type="gramStart"/>
      <w:r w:rsidRPr="00D86881">
        <w:rPr>
          <w:rFonts w:ascii="Times New Roman" w:hAnsi="Times New Roman"/>
          <w:b/>
          <w:sz w:val="24"/>
          <w:szCs w:val="24"/>
        </w:rPr>
        <w:t>dismissed</w:t>
      </w:r>
      <w:proofErr w:type="gramEnd"/>
      <w:r w:rsidRPr="00D86881">
        <w:rPr>
          <w:rFonts w:ascii="Times New Roman" w:hAnsi="Times New Roman"/>
          <w:b/>
          <w:sz w:val="24"/>
          <w:szCs w:val="24"/>
        </w:rPr>
        <w:t xml:space="preserve"> the state court case. </w:t>
      </w:r>
    </w:p>
    <w:p w14:paraId="5290D506" w14:textId="77777777" w:rsidR="00D86881" w:rsidRPr="00D86881" w:rsidRDefault="00D86881" w:rsidP="00D86881">
      <w:pPr>
        <w:pStyle w:val="NoSpacing"/>
        <w:rPr>
          <w:rFonts w:ascii="Times New Roman" w:hAnsi="Times New Roman"/>
          <w:sz w:val="24"/>
          <w:szCs w:val="24"/>
        </w:rPr>
      </w:pPr>
    </w:p>
    <w:p w14:paraId="194924B1" w14:textId="77777777" w:rsidR="00D86881" w:rsidRPr="00D86881" w:rsidRDefault="00D86881" w:rsidP="00D86881">
      <w:pPr>
        <w:pStyle w:val="NoSpacing"/>
        <w:ind w:left="720"/>
        <w:rPr>
          <w:rFonts w:ascii="Times New Roman" w:hAnsi="Times New Roman"/>
          <w:b/>
          <w:sz w:val="24"/>
          <w:szCs w:val="24"/>
        </w:rPr>
      </w:pPr>
      <w:r w:rsidRPr="00D86881">
        <w:rPr>
          <w:rFonts w:ascii="Times New Roman" w:hAnsi="Times New Roman"/>
          <w:sz w:val="24"/>
          <w:szCs w:val="24"/>
        </w:rPr>
        <w:t xml:space="preserve">Note: See article on this case, Nov. 19, 2024; </w:t>
      </w:r>
      <w:r w:rsidRPr="00D86881">
        <w:rPr>
          <w:rFonts w:ascii="Times New Roman" w:hAnsi="Times New Roman"/>
          <w:bCs/>
          <w:sz w:val="24"/>
          <w:szCs w:val="24"/>
        </w:rPr>
        <w:t xml:space="preserve">“Black Ex-Firefighter Barred </w:t>
      </w:r>
      <w:proofErr w:type="gramStart"/>
      <w:r w:rsidRPr="00D86881">
        <w:rPr>
          <w:rFonts w:ascii="Times New Roman" w:hAnsi="Times New Roman"/>
          <w:bCs/>
          <w:sz w:val="24"/>
          <w:szCs w:val="24"/>
        </w:rPr>
        <w:t>From</w:t>
      </w:r>
      <w:proofErr w:type="gramEnd"/>
      <w:r w:rsidRPr="00D86881">
        <w:rPr>
          <w:rFonts w:ascii="Times New Roman" w:hAnsi="Times New Roman"/>
          <w:bCs/>
          <w:sz w:val="24"/>
          <w:szCs w:val="24"/>
        </w:rPr>
        <w:t xml:space="preserve"> Bringing Racial Bias Lawsuit.” “</w:t>
      </w:r>
      <w:r w:rsidRPr="00D86881">
        <w:rPr>
          <w:rFonts w:ascii="Times New Roman" w:hAnsi="Times New Roman"/>
          <w:sz w:val="24"/>
          <w:szCs w:val="24"/>
        </w:rPr>
        <w:t>A Black firefighter fired from an Illinois city is legally barred from pursuing a federal discrimination and retaliation suit because had had already brought these claims in state court, a judge ruled.”</w:t>
      </w:r>
    </w:p>
    <w:p w14:paraId="26116827" w14:textId="77777777" w:rsidR="00D86881" w:rsidRPr="00E71CE2" w:rsidRDefault="00D86881" w:rsidP="00D86881">
      <w:pPr>
        <w:pStyle w:val="NoSpacing"/>
        <w:ind w:left="720"/>
        <w:rPr>
          <w:bCs/>
        </w:rPr>
      </w:pPr>
      <w:hyperlink r:id="rId1506" w:history="1">
        <w:r w:rsidRPr="00D86881">
          <w:rPr>
            <w:rStyle w:val="Hyperlink"/>
            <w:rFonts w:ascii="Times New Roman" w:hAnsi="Times New Roman"/>
            <w:sz w:val="24"/>
            <w:szCs w:val="24"/>
          </w:rPr>
          <w:t>https://news.bloomberglaw.com/us-law-week/black-ex-firefighter-barred-from-bringing-racial-bias-lawsuit</w:t>
        </w:r>
      </w:hyperlink>
      <w:r>
        <w:t xml:space="preserve"> </w:t>
      </w:r>
    </w:p>
    <w:p w14:paraId="54B1DC2E" w14:textId="77777777" w:rsidR="00D86881" w:rsidRDefault="00D86881" w:rsidP="004529D8">
      <w:pPr>
        <w:pStyle w:val="NoSpacing"/>
      </w:pPr>
    </w:p>
    <w:p w14:paraId="691C9103" w14:textId="77777777" w:rsidR="004529D8" w:rsidRDefault="004529D8" w:rsidP="00BC70A3">
      <w:pPr>
        <w:rPr>
          <w:rFonts w:ascii="Arial Black" w:hAnsi="Arial Black"/>
          <w:b/>
          <w:sz w:val="24"/>
          <w:szCs w:val="24"/>
        </w:rPr>
      </w:pPr>
    </w:p>
    <w:p w14:paraId="611BEE99" w14:textId="6E4DC8F6" w:rsidR="00D86881" w:rsidRDefault="00D86881" w:rsidP="00D86881">
      <w:pPr>
        <w:rPr>
          <w:rFonts w:ascii="Arial Black" w:hAnsi="Arial Black"/>
          <w:b/>
          <w:sz w:val="24"/>
          <w:szCs w:val="24"/>
        </w:rPr>
      </w:pPr>
      <w:r>
        <w:rPr>
          <w:rFonts w:ascii="Arial Black" w:hAnsi="Arial Black"/>
          <w:b/>
          <w:sz w:val="24"/>
          <w:szCs w:val="24"/>
        </w:rPr>
        <w:t>8-6</w:t>
      </w:r>
      <w:r w:rsidR="00AE05CE">
        <w:rPr>
          <w:rFonts w:ascii="Arial Black" w:hAnsi="Arial Black"/>
          <w:b/>
          <w:sz w:val="24"/>
          <w:szCs w:val="24"/>
        </w:rPr>
        <w:t>6</w:t>
      </w:r>
    </w:p>
    <w:p w14:paraId="0C0D370C" w14:textId="77777777" w:rsidR="009525F2" w:rsidRPr="00EC35DF" w:rsidRDefault="009525F2" w:rsidP="009525F2">
      <w:pPr>
        <w:rPr>
          <w:rFonts w:ascii="Times New Roman" w:hAnsi="Times New Roman"/>
          <w:b/>
          <w:sz w:val="24"/>
          <w:szCs w:val="24"/>
        </w:rPr>
      </w:pPr>
      <w:r>
        <w:rPr>
          <w:rFonts w:ascii="Arial Black" w:hAnsi="Arial Black"/>
          <w:b/>
          <w:sz w:val="28"/>
          <w:szCs w:val="28"/>
        </w:rPr>
        <w:t xml:space="preserve">WA: NOOSE OVER BLACK FF NECK –  FELLOW RECRUIT - NO HOSTILE </w:t>
      </w:r>
      <w:r w:rsidRPr="00EC35DF">
        <w:rPr>
          <w:rFonts w:ascii="Times New Roman" w:hAnsi="Times New Roman"/>
          <w:b/>
          <w:sz w:val="24"/>
          <w:szCs w:val="24"/>
        </w:rPr>
        <w:t>WORK ENVIRONMENT OR FAILURE TO SUPERVISE</w:t>
      </w:r>
    </w:p>
    <w:p w14:paraId="72057F1A" w14:textId="77777777" w:rsidR="009525F2" w:rsidRPr="00EC35DF" w:rsidRDefault="009525F2" w:rsidP="009525F2">
      <w:pPr>
        <w:pStyle w:val="NoSpacing"/>
        <w:rPr>
          <w:rFonts w:ascii="Times New Roman" w:hAnsi="Times New Roman"/>
          <w:sz w:val="24"/>
          <w:szCs w:val="24"/>
        </w:rPr>
      </w:pPr>
      <w:r w:rsidRPr="00EC35DF">
        <w:rPr>
          <w:rFonts w:ascii="Times New Roman" w:hAnsi="Times New Roman"/>
          <w:sz w:val="24"/>
          <w:szCs w:val="24"/>
        </w:rPr>
        <w:t xml:space="preserve">On Nov. 4, 2024, in </w:t>
      </w:r>
      <w:r w:rsidRPr="00EC35DF">
        <w:rPr>
          <w:rFonts w:ascii="Times New Roman" w:hAnsi="Times New Roman"/>
          <w:sz w:val="24"/>
          <w:szCs w:val="24"/>
          <w:u w:val="single"/>
        </w:rPr>
        <w:t>Elijah Page v. Clark County Fire District 6, et al</w:t>
      </w:r>
      <w:r w:rsidRPr="00EC35DF">
        <w:rPr>
          <w:rFonts w:ascii="Times New Roman" w:hAnsi="Times New Roman"/>
          <w:sz w:val="24"/>
          <w:szCs w:val="24"/>
        </w:rPr>
        <w:t xml:space="preserve">., United States District Court Judge David G. Estudillo. U.S. District Court, Western District of Washington, granted summary judgment to the Fire Chief and others. The Court wrote: “The Court cannot objectively conclude Page's work environment could be perceived as abusive because of Erickson's onetime misconduct.  Page's hostile work environment claim fails as a matter of law. *** And the examples of horseplay provided by the various witnesses did not resemble Erickson's conduct toward Page. Accordingly, Page's negligent supervision claim fails as a matter of law.” </w:t>
      </w:r>
      <w:hyperlink r:id="rId1507" w:history="1">
        <w:r w:rsidRPr="00EC35DF">
          <w:rPr>
            <w:rStyle w:val="Hyperlink"/>
            <w:rFonts w:ascii="Times New Roman" w:hAnsi="Times New Roman"/>
            <w:sz w:val="24"/>
            <w:szCs w:val="24"/>
          </w:rPr>
          <w:t>https://casetext.com/case/page-v-clark-cnty-fire-dist-5</w:t>
        </w:r>
      </w:hyperlink>
    </w:p>
    <w:p w14:paraId="2E0AF572" w14:textId="77777777" w:rsidR="00EC35DF" w:rsidRPr="00EC35DF" w:rsidRDefault="00EC35DF" w:rsidP="00EC35DF">
      <w:pPr>
        <w:pStyle w:val="NoSpacing"/>
        <w:rPr>
          <w:rFonts w:ascii="Times New Roman" w:hAnsi="Times New Roman"/>
          <w:b/>
          <w:sz w:val="24"/>
          <w:szCs w:val="24"/>
        </w:rPr>
      </w:pPr>
    </w:p>
    <w:p w14:paraId="19D0F430" w14:textId="1D5A58BC" w:rsidR="00EC35DF" w:rsidRPr="00EC35DF" w:rsidRDefault="00EC35DF" w:rsidP="00EC35DF">
      <w:pPr>
        <w:pStyle w:val="NoSpacing"/>
        <w:rPr>
          <w:rFonts w:ascii="Times New Roman" w:hAnsi="Times New Roman"/>
          <w:b/>
          <w:bCs/>
          <w:sz w:val="24"/>
          <w:szCs w:val="24"/>
        </w:rPr>
      </w:pPr>
      <w:r w:rsidRPr="00EC35DF">
        <w:rPr>
          <w:rFonts w:ascii="Times New Roman" w:hAnsi="Times New Roman"/>
          <w:b/>
          <w:sz w:val="24"/>
          <w:szCs w:val="24"/>
        </w:rPr>
        <w:t>Legal Lesson Learned: Stupid act</w:t>
      </w:r>
      <w:r w:rsidRPr="00EC35DF">
        <w:rPr>
          <w:rFonts w:ascii="Times New Roman" w:hAnsi="Times New Roman"/>
          <w:b/>
          <w:bCs/>
          <w:sz w:val="24"/>
          <w:szCs w:val="24"/>
        </w:rPr>
        <w:t xml:space="preserve"> by a fellow recruit</w:t>
      </w:r>
      <w:r w:rsidRPr="00EC35DF">
        <w:rPr>
          <w:rFonts w:ascii="Times New Roman" w:hAnsi="Times New Roman"/>
          <w:b/>
          <w:sz w:val="24"/>
          <w:szCs w:val="24"/>
        </w:rPr>
        <w:t xml:space="preserve">; not basis for lawsuit against the fire department or its officers. </w:t>
      </w:r>
    </w:p>
    <w:p w14:paraId="00349DF9" w14:textId="77777777" w:rsidR="00EC35DF" w:rsidRPr="00EC35DF" w:rsidRDefault="00EC35DF" w:rsidP="00EC35DF">
      <w:pPr>
        <w:pStyle w:val="NoSpacing"/>
        <w:rPr>
          <w:rFonts w:ascii="Times New Roman" w:hAnsi="Times New Roman"/>
          <w:sz w:val="24"/>
          <w:szCs w:val="24"/>
        </w:rPr>
      </w:pPr>
    </w:p>
    <w:p w14:paraId="44C28054" w14:textId="77777777" w:rsidR="00AE05CE" w:rsidRDefault="00AE05CE" w:rsidP="00AE05CE">
      <w:pPr>
        <w:rPr>
          <w:rFonts w:ascii="Arial Black" w:hAnsi="Arial Black"/>
          <w:b/>
          <w:sz w:val="24"/>
          <w:szCs w:val="24"/>
        </w:rPr>
      </w:pPr>
      <w:r>
        <w:rPr>
          <w:rFonts w:ascii="Arial Black" w:hAnsi="Arial Black"/>
          <w:b/>
          <w:sz w:val="24"/>
          <w:szCs w:val="24"/>
        </w:rPr>
        <w:t>8-65</w:t>
      </w:r>
    </w:p>
    <w:p w14:paraId="036842BE" w14:textId="2003BC0D" w:rsidR="00AE05CE" w:rsidRPr="00B93F18" w:rsidRDefault="00AE05CE" w:rsidP="00AE05CE">
      <w:pPr>
        <w:pStyle w:val="NoSpacing"/>
        <w:rPr>
          <w:rFonts w:ascii="Arial Black" w:hAnsi="Arial Black"/>
          <w:b/>
          <w:sz w:val="28"/>
          <w:szCs w:val="28"/>
        </w:rPr>
      </w:pPr>
      <w:r>
        <w:rPr>
          <w:rFonts w:ascii="Arial Black" w:hAnsi="Arial Black"/>
          <w:b/>
          <w:sz w:val="28"/>
          <w:szCs w:val="28"/>
        </w:rPr>
        <w:t xml:space="preserve">NJ: COVID-19 TRAINING – DEPUTY CHIEF MOCKED FF - ASIAN– PROMTLY INVESTIGATED - DC RETIRED - NO CASE </w:t>
      </w:r>
    </w:p>
    <w:p w14:paraId="51D533FC" w14:textId="77777777" w:rsidR="00AE05CE" w:rsidRDefault="00AE05CE" w:rsidP="00AE05CE">
      <w:pPr>
        <w:pStyle w:val="NoSpacing"/>
        <w:ind w:firstLine="720"/>
        <w:rPr>
          <w:b/>
        </w:rPr>
      </w:pPr>
    </w:p>
    <w:p w14:paraId="57217994" w14:textId="7B3836E4" w:rsidR="004529D8" w:rsidRPr="005F76D4" w:rsidRDefault="00AE05CE" w:rsidP="00AE05CE">
      <w:pPr>
        <w:rPr>
          <w:rFonts w:ascii="Times New Roman" w:hAnsi="Times New Roman"/>
          <w:b/>
          <w:sz w:val="24"/>
          <w:szCs w:val="24"/>
        </w:rPr>
      </w:pPr>
      <w:r w:rsidRPr="005F76D4">
        <w:rPr>
          <w:rFonts w:ascii="Times New Roman" w:hAnsi="Times New Roman"/>
          <w:sz w:val="24"/>
          <w:szCs w:val="24"/>
        </w:rPr>
        <w:t xml:space="preserve">On Nov. 1, 2024, in </w:t>
      </w:r>
      <w:r w:rsidRPr="005F76D4">
        <w:rPr>
          <w:rFonts w:ascii="Times New Roman" w:hAnsi="Times New Roman"/>
          <w:sz w:val="24"/>
          <w:szCs w:val="24"/>
          <w:u w:val="single"/>
        </w:rPr>
        <w:t>Timothy Burkhard v. City of Plainfield, et al</w:t>
      </w:r>
      <w:r w:rsidRPr="005F76D4">
        <w:rPr>
          <w:rFonts w:ascii="Times New Roman" w:hAnsi="Times New Roman"/>
          <w:sz w:val="24"/>
          <w:szCs w:val="24"/>
        </w:rPr>
        <w:t>., Superior Court of New Jersey, Appellate Division, the Court held (3 to 0; unpublished decision) that the trial court properly granted summary judgment to the defense.  The Court wrote: “Importantly, the record clearly shows plaintiff was not subjected to discrimination before or after the COVID-19 training incident.  [P]</w:t>
      </w:r>
      <w:proofErr w:type="spellStart"/>
      <w:r w:rsidRPr="005F76D4">
        <w:rPr>
          <w:rFonts w:ascii="Times New Roman" w:hAnsi="Times New Roman"/>
          <w:sz w:val="24"/>
          <w:szCs w:val="24"/>
        </w:rPr>
        <w:t>laintiff</w:t>
      </w:r>
      <w:proofErr w:type="spellEnd"/>
      <w:r w:rsidRPr="005F76D4">
        <w:rPr>
          <w:rFonts w:ascii="Times New Roman" w:hAnsi="Times New Roman"/>
          <w:sz w:val="24"/>
          <w:szCs w:val="24"/>
        </w:rPr>
        <w:t xml:space="preserve"> did not suffer any tangible change in his position, duties, or compensation. Indeed, the record shows the fire department supported him. In these circumstances, we do not believe that the failure to deliver the written reprimand renders defendant's overall response ineffective for purposes of the affirmative defense.”  </w:t>
      </w:r>
      <w:hyperlink r:id="rId1508" w:history="1">
        <w:r w:rsidRPr="005F76D4">
          <w:rPr>
            <w:rStyle w:val="Hyperlink"/>
            <w:rFonts w:ascii="Times New Roman" w:hAnsi="Times New Roman"/>
            <w:sz w:val="24"/>
            <w:szCs w:val="24"/>
          </w:rPr>
          <w:t>https://www.njcourts.gov/system/files/court-opinions/2024/a3173-22.pdf</w:t>
        </w:r>
      </w:hyperlink>
    </w:p>
    <w:p w14:paraId="5940EA97" w14:textId="077F5B18" w:rsidR="005F76D4" w:rsidRPr="005F76D4" w:rsidRDefault="005F76D4" w:rsidP="005F76D4">
      <w:pPr>
        <w:pStyle w:val="NoSpacing"/>
        <w:rPr>
          <w:rFonts w:ascii="Times New Roman" w:hAnsi="Times New Roman"/>
          <w:b/>
          <w:sz w:val="24"/>
          <w:szCs w:val="24"/>
        </w:rPr>
      </w:pPr>
      <w:r w:rsidRPr="005F76D4">
        <w:rPr>
          <w:rFonts w:ascii="Times New Roman" w:hAnsi="Times New Roman"/>
          <w:b/>
          <w:sz w:val="24"/>
          <w:szCs w:val="24"/>
        </w:rPr>
        <w:t xml:space="preserve">Legal Lesson Learned: The incident was promptly investigated, and </w:t>
      </w:r>
      <w:r w:rsidR="009652EC">
        <w:rPr>
          <w:rFonts w:ascii="Times New Roman" w:hAnsi="Times New Roman"/>
          <w:b/>
          <w:sz w:val="24"/>
          <w:szCs w:val="24"/>
        </w:rPr>
        <w:t xml:space="preserve">the </w:t>
      </w:r>
      <w:r w:rsidRPr="005F76D4">
        <w:rPr>
          <w:rFonts w:ascii="Times New Roman" w:hAnsi="Times New Roman"/>
          <w:b/>
          <w:sz w:val="24"/>
          <w:szCs w:val="24"/>
        </w:rPr>
        <w:t>plaintiff did not suffer any tangible change in his position, duties, or compensation.</w:t>
      </w:r>
    </w:p>
    <w:p w14:paraId="2A747E45" w14:textId="77777777" w:rsidR="005F76D4" w:rsidRDefault="005F76D4" w:rsidP="005F76D4">
      <w:pPr>
        <w:pStyle w:val="NoSpacing"/>
        <w:ind w:firstLine="720"/>
        <w:rPr>
          <w:bCs/>
        </w:rPr>
      </w:pPr>
    </w:p>
    <w:p w14:paraId="10341B9B" w14:textId="77777777" w:rsidR="004529D8" w:rsidRDefault="004529D8" w:rsidP="00BC70A3">
      <w:pPr>
        <w:rPr>
          <w:rFonts w:ascii="Arial Black" w:hAnsi="Arial Black"/>
          <w:b/>
          <w:sz w:val="24"/>
          <w:szCs w:val="24"/>
        </w:rPr>
      </w:pPr>
    </w:p>
    <w:p w14:paraId="0E57D29B" w14:textId="3A41FA82" w:rsidR="00742F52" w:rsidRDefault="00742F52" w:rsidP="00BC70A3">
      <w:pPr>
        <w:rPr>
          <w:rFonts w:ascii="Arial Black" w:hAnsi="Arial Black"/>
          <w:b/>
          <w:sz w:val="24"/>
          <w:szCs w:val="24"/>
        </w:rPr>
      </w:pPr>
      <w:r>
        <w:rPr>
          <w:rFonts w:ascii="Arial Black" w:hAnsi="Arial Black"/>
          <w:b/>
          <w:sz w:val="24"/>
          <w:szCs w:val="24"/>
        </w:rPr>
        <w:t>8-64</w:t>
      </w:r>
    </w:p>
    <w:p w14:paraId="032C9F82" w14:textId="77777777" w:rsidR="00742F52" w:rsidRPr="00E33095" w:rsidRDefault="00742F52" w:rsidP="00742F52">
      <w:pPr>
        <w:rPr>
          <w:rFonts w:ascii="Times New Roman" w:hAnsi="Times New Roman"/>
          <w:b/>
          <w:bCs/>
          <w:sz w:val="24"/>
          <w:szCs w:val="24"/>
        </w:rPr>
      </w:pPr>
      <w:r w:rsidRPr="00E33095">
        <w:rPr>
          <w:rFonts w:ascii="Times New Roman" w:hAnsi="Times New Roman"/>
          <w:b/>
          <w:bCs/>
          <w:sz w:val="24"/>
          <w:szCs w:val="24"/>
        </w:rPr>
        <w:t>IL: CHICAFO FF – FACEBOOK POSTS RACIST – CITIZEN COMPLAINTS - TERMINATION UPHELD</w:t>
      </w:r>
    </w:p>
    <w:p w14:paraId="61EFEA82" w14:textId="77777777" w:rsidR="00742F52" w:rsidRPr="00E33095" w:rsidRDefault="00742F52" w:rsidP="00742F52">
      <w:pPr>
        <w:pStyle w:val="NoSpacing"/>
        <w:rPr>
          <w:rFonts w:ascii="Times New Roman" w:hAnsi="Times New Roman"/>
          <w:sz w:val="24"/>
          <w:szCs w:val="24"/>
        </w:rPr>
      </w:pPr>
      <w:r w:rsidRPr="00E33095">
        <w:rPr>
          <w:rFonts w:ascii="Times New Roman" w:hAnsi="Times New Roman"/>
          <w:sz w:val="24"/>
          <w:szCs w:val="24"/>
        </w:rPr>
        <w:t xml:space="preserve">On Oct. 7, 2024, </w:t>
      </w:r>
      <w:r w:rsidRPr="00E33095">
        <w:rPr>
          <w:rFonts w:ascii="Times New Roman" w:hAnsi="Times New Roman"/>
          <w:sz w:val="24"/>
          <w:szCs w:val="24"/>
          <w:u w:val="single"/>
        </w:rPr>
        <w:t>in Sam Inendino v. Annette Nancy-Holt, Brian Casey, and the City of Chicago</w:t>
      </w:r>
      <w:r w:rsidRPr="00E33095">
        <w:rPr>
          <w:rFonts w:ascii="Times New Roman" w:hAnsi="Times New Roman"/>
          <w:sz w:val="24"/>
          <w:szCs w:val="24"/>
        </w:rPr>
        <w:t xml:space="preserve">, U.S. District Court Judge Matthew F. Kennelly, U.S. District Court for the Northern District of Illinois, held: “Sam Inendino alleges that Annette Nance-Holt, Brian Casey, and the </w:t>
      </w:r>
      <w:proofErr w:type="gramStart"/>
      <w:r w:rsidRPr="00E33095">
        <w:rPr>
          <w:rFonts w:ascii="Times New Roman" w:hAnsi="Times New Roman"/>
          <w:sz w:val="24"/>
          <w:szCs w:val="24"/>
        </w:rPr>
        <w:t>City</w:t>
      </w:r>
      <w:proofErr w:type="gramEnd"/>
      <w:r w:rsidRPr="00E33095">
        <w:rPr>
          <w:rFonts w:ascii="Times New Roman" w:hAnsi="Times New Roman"/>
          <w:sz w:val="24"/>
          <w:szCs w:val="24"/>
        </w:rPr>
        <w:t xml:space="preserve"> of</w:t>
      </w:r>
    </w:p>
    <w:p w14:paraId="4C04647B" w14:textId="77777777" w:rsidR="00742F52" w:rsidRPr="00E33095" w:rsidRDefault="00742F52" w:rsidP="00742F52">
      <w:pPr>
        <w:pStyle w:val="NoSpacing"/>
        <w:rPr>
          <w:rFonts w:ascii="Times New Roman" w:hAnsi="Times New Roman"/>
          <w:sz w:val="24"/>
          <w:szCs w:val="24"/>
        </w:rPr>
      </w:pPr>
      <w:r w:rsidRPr="00E33095">
        <w:rPr>
          <w:rFonts w:ascii="Times New Roman" w:hAnsi="Times New Roman"/>
          <w:sz w:val="24"/>
          <w:szCs w:val="24"/>
        </w:rPr>
        <w:t>Chicago violated his First Amendment rights when he was terminated from the Chicago</w:t>
      </w:r>
    </w:p>
    <w:p w14:paraId="5F8F98B3" w14:textId="77777777" w:rsidR="00742F52" w:rsidRPr="00E33095" w:rsidRDefault="00742F52" w:rsidP="00742F52">
      <w:pPr>
        <w:pStyle w:val="NoSpacing"/>
        <w:rPr>
          <w:rFonts w:ascii="Times New Roman" w:hAnsi="Times New Roman"/>
          <w:sz w:val="24"/>
          <w:szCs w:val="24"/>
        </w:rPr>
      </w:pPr>
      <w:r w:rsidRPr="00E33095">
        <w:rPr>
          <w:rFonts w:ascii="Times New Roman" w:hAnsi="Times New Roman"/>
          <w:sz w:val="24"/>
          <w:szCs w:val="24"/>
        </w:rPr>
        <w:t xml:space="preserve">Fire Department (CFD) for offensive public statements he made on Facebook. The parties have filed cross-motions for summary judgment. For the following reasons, the Court grants summary judgment in favor of defendants Nance-Holt, Casey, and the City of Chicago.” </w:t>
      </w:r>
    </w:p>
    <w:p w14:paraId="22E1F8F3" w14:textId="77777777" w:rsidR="00742F52" w:rsidRPr="00E33095" w:rsidRDefault="00742F52" w:rsidP="00742F52">
      <w:pPr>
        <w:pStyle w:val="NoSpacing"/>
        <w:rPr>
          <w:rFonts w:ascii="Times New Roman" w:hAnsi="Times New Roman"/>
          <w:sz w:val="24"/>
          <w:szCs w:val="24"/>
        </w:rPr>
      </w:pPr>
      <w:hyperlink r:id="rId1509" w:history="1">
        <w:r w:rsidRPr="00E33095">
          <w:rPr>
            <w:rStyle w:val="Hyperlink"/>
            <w:rFonts w:ascii="Times New Roman" w:hAnsi="Times New Roman"/>
            <w:sz w:val="24"/>
            <w:szCs w:val="24"/>
          </w:rPr>
          <w:t>https://cases.justia.com/federal/district-courts/illinois/ilndce/1:2022cv04982/419212/136/0.pdf?ts=1728381206</w:t>
        </w:r>
      </w:hyperlink>
      <w:r w:rsidRPr="00E33095">
        <w:rPr>
          <w:rFonts w:ascii="Times New Roman" w:hAnsi="Times New Roman"/>
          <w:sz w:val="24"/>
          <w:szCs w:val="24"/>
        </w:rPr>
        <w:t xml:space="preserve"> </w:t>
      </w:r>
    </w:p>
    <w:p w14:paraId="359729D5" w14:textId="77777777" w:rsidR="00742F52" w:rsidRPr="00E33095" w:rsidRDefault="00742F52" w:rsidP="00BC70A3">
      <w:pPr>
        <w:rPr>
          <w:rFonts w:ascii="Times New Roman" w:hAnsi="Times New Roman"/>
          <w:b/>
          <w:sz w:val="24"/>
          <w:szCs w:val="24"/>
        </w:rPr>
      </w:pPr>
    </w:p>
    <w:p w14:paraId="526D0989" w14:textId="77777777" w:rsidR="00E33095" w:rsidRPr="00E33095" w:rsidRDefault="00E33095" w:rsidP="00E33095">
      <w:pPr>
        <w:pStyle w:val="NoSpacing"/>
        <w:rPr>
          <w:rFonts w:ascii="Times New Roman" w:hAnsi="Times New Roman"/>
          <w:b/>
          <w:bCs/>
          <w:sz w:val="24"/>
          <w:szCs w:val="24"/>
        </w:rPr>
      </w:pPr>
      <w:r w:rsidRPr="00E33095">
        <w:rPr>
          <w:rFonts w:ascii="Times New Roman" w:hAnsi="Times New Roman"/>
          <w:b/>
          <w:sz w:val="24"/>
          <w:szCs w:val="24"/>
        </w:rPr>
        <w:t xml:space="preserve">Legal Lesson Learned: Race-based comments on Facebook or other social media can result in termination. </w:t>
      </w:r>
    </w:p>
    <w:p w14:paraId="61CEB7C6" w14:textId="77777777" w:rsidR="00E33095" w:rsidRPr="00E33095" w:rsidRDefault="00E33095" w:rsidP="00BC70A3">
      <w:pPr>
        <w:rPr>
          <w:rFonts w:ascii="Times New Roman" w:hAnsi="Times New Roman"/>
          <w:b/>
          <w:sz w:val="24"/>
          <w:szCs w:val="24"/>
        </w:rPr>
      </w:pPr>
    </w:p>
    <w:p w14:paraId="1419038C" w14:textId="77777777" w:rsidR="00742F52" w:rsidRDefault="00742F52" w:rsidP="00BC70A3">
      <w:pPr>
        <w:rPr>
          <w:rFonts w:ascii="Arial Black" w:hAnsi="Arial Black"/>
          <w:b/>
          <w:sz w:val="24"/>
          <w:szCs w:val="24"/>
        </w:rPr>
      </w:pPr>
    </w:p>
    <w:p w14:paraId="2BEFB9D0" w14:textId="5A373C81" w:rsidR="005904B5" w:rsidRDefault="005904B5" w:rsidP="00BC70A3">
      <w:pPr>
        <w:rPr>
          <w:rFonts w:ascii="Arial Black" w:hAnsi="Arial Black"/>
          <w:b/>
          <w:sz w:val="24"/>
          <w:szCs w:val="24"/>
        </w:rPr>
      </w:pPr>
      <w:r>
        <w:rPr>
          <w:rFonts w:ascii="Arial Black" w:hAnsi="Arial Black"/>
          <w:b/>
          <w:sz w:val="24"/>
          <w:szCs w:val="24"/>
        </w:rPr>
        <w:t>8-63</w:t>
      </w:r>
    </w:p>
    <w:p w14:paraId="76867384" w14:textId="77777777" w:rsidR="005E497B" w:rsidRDefault="005E497B" w:rsidP="005E497B">
      <w:pPr>
        <w:rPr>
          <w:rFonts w:ascii="Arial Black" w:hAnsi="Arial Black"/>
          <w:b/>
          <w:bCs/>
          <w:sz w:val="28"/>
        </w:rPr>
      </w:pPr>
      <w:r>
        <w:rPr>
          <w:rFonts w:ascii="Arial Black" w:hAnsi="Arial Black"/>
          <w:b/>
          <w:bCs/>
          <w:sz w:val="28"/>
        </w:rPr>
        <w:t>NY:  FDNY - CLASS ACTION APPROVED IN LAWSUIT BY 4,500 – 5,000 EMS -  55% NON-WHITE, 24% FEMALE</w:t>
      </w:r>
    </w:p>
    <w:p w14:paraId="1F0A741C" w14:textId="77777777" w:rsidR="005E497B" w:rsidRPr="005E497B" w:rsidRDefault="005E497B" w:rsidP="005E497B">
      <w:pPr>
        <w:pStyle w:val="NoSpacing"/>
        <w:rPr>
          <w:rFonts w:ascii="Times New Roman" w:hAnsi="Times New Roman"/>
          <w:sz w:val="24"/>
          <w:szCs w:val="24"/>
        </w:rPr>
      </w:pPr>
      <w:r w:rsidRPr="005E497B">
        <w:rPr>
          <w:rFonts w:ascii="Times New Roman" w:hAnsi="Times New Roman"/>
          <w:sz w:val="24"/>
          <w:szCs w:val="24"/>
        </w:rPr>
        <w:t xml:space="preserve">On September 24, 2024, in </w:t>
      </w:r>
      <w:r w:rsidRPr="005E497B">
        <w:rPr>
          <w:rFonts w:ascii="Times New Roman" w:hAnsi="Times New Roman"/>
          <w:sz w:val="24"/>
          <w:szCs w:val="24"/>
          <w:u w:val="single"/>
        </w:rPr>
        <w:t>Local 2507, Uniformed EMTs, Paramedics &amp; Fire Inspectors, et al. v. City of New York</w:t>
      </w:r>
      <w:r w:rsidRPr="005E497B">
        <w:rPr>
          <w:rFonts w:ascii="Times New Roman" w:hAnsi="Times New Roman"/>
          <w:sz w:val="24"/>
          <w:szCs w:val="24"/>
        </w:rPr>
        <w:t xml:space="preserve">, United States District Court Judge Analisa Torrres, U..S. District Court for the Southern District of New York, granted the plaintiffs’ motion for class certification and legal counsel for the class.  The lawsuit was filed in 2022, and pre-trial discovery has produced sufficient evidence for case to proceed as a class action.  The Court wrote: “Plaintiffs claim that the differences in compensation result from ‘the pronounced difference in demographics’ between EMS and Fire First Responders: While EMS First Responders are ‘at least 55% non-white and approximately 24% female,’ only ‘14% of Fire First Responders are non-white’ and ‘less than 1%’ are female. Id. ¶¶ 56, 99.”  </w:t>
      </w:r>
      <w:hyperlink r:id="rId1510" w:history="1">
        <w:r w:rsidRPr="005E497B">
          <w:rPr>
            <w:rStyle w:val="Hyperlink"/>
            <w:rFonts w:ascii="Times New Roman" w:hAnsi="Times New Roman"/>
            <w:sz w:val="24"/>
            <w:szCs w:val="24"/>
          </w:rPr>
          <w:t>https://local2507.com/wp-content/uploads/2024/09/Decision-on-Class-Action.pdf</w:t>
        </w:r>
      </w:hyperlink>
      <w:r w:rsidRPr="005E497B">
        <w:rPr>
          <w:rFonts w:ascii="Times New Roman" w:hAnsi="Times New Roman"/>
          <w:sz w:val="24"/>
          <w:szCs w:val="24"/>
        </w:rPr>
        <w:t xml:space="preserve"> </w:t>
      </w:r>
    </w:p>
    <w:p w14:paraId="07E017FE" w14:textId="77777777" w:rsidR="005E497B" w:rsidRDefault="005E497B" w:rsidP="005E497B">
      <w:pPr>
        <w:rPr>
          <w:rFonts w:ascii="Times New Roman" w:hAnsi="Times New Roman"/>
          <w:sz w:val="24"/>
          <w:szCs w:val="24"/>
        </w:rPr>
      </w:pPr>
    </w:p>
    <w:p w14:paraId="1661E87F" w14:textId="65EE73DF" w:rsidR="005E497B" w:rsidRPr="005E497B" w:rsidRDefault="005E497B" w:rsidP="005E497B">
      <w:pPr>
        <w:rPr>
          <w:rFonts w:ascii="Times New Roman" w:hAnsi="Times New Roman"/>
          <w:sz w:val="24"/>
          <w:szCs w:val="24"/>
        </w:rPr>
      </w:pPr>
      <w:r w:rsidRPr="005E497B">
        <w:rPr>
          <w:rFonts w:ascii="Times New Roman" w:hAnsi="Times New Roman"/>
          <w:sz w:val="24"/>
          <w:szCs w:val="24"/>
        </w:rPr>
        <w:t>THE COURT HELD:</w:t>
      </w:r>
    </w:p>
    <w:p w14:paraId="4521021D" w14:textId="77777777" w:rsidR="005E497B" w:rsidRPr="005E497B" w:rsidRDefault="005E497B" w:rsidP="005E497B">
      <w:pPr>
        <w:pStyle w:val="NoSpacing"/>
        <w:ind w:firstLine="720"/>
        <w:rPr>
          <w:rFonts w:ascii="Times New Roman" w:hAnsi="Times New Roman"/>
          <w:sz w:val="24"/>
          <w:szCs w:val="24"/>
        </w:rPr>
      </w:pPr>
      <w:r w:rsidRPr="005E497B">
        <w:rPr>
          <w:rFonts w:ascii="Times New Roman" w:hAnsi="Times New Roman"/>
          <w:sz w:val="24"/>
          <w:szCs w:val="24"/>
        </w:rPr>
        <w:t>“In support of their disparate impact claims, Plaintiffs offer statistical evidence of</w:t>
      </w:r>
    </w:p>
    <w:p w14:paraId="1E5AF24C" w14:textId="77777777" w:rsidR="005E497B" w:rsidRPr="005E497B" w:rsidRDefault="005E497B" w:rsidP="005E497B">
      <w:pPr>
        <w:pStyle w:val="NoSpacing"/>
        <w:ind w:left="720"/>
        <w:rPr>
          <w:rFonts w:ascii="Times New Roman" w:hAnsi="Times New Roman"/>
          <w:sz w:val="24"/>
          <w:szCs w:val="24"/>
        </w:rPr>
      </w:pPr>
      <w:r w:rsidRPr="005E497B">
        <w:rPr>
          <w:rFonts w:ascii="Times New Roman" w:hAnsi="Times New Roman"/>
          <w:sz w:val="24"/>
          <w:szCs w:val="24"/>
        </w:rPr>
        <w:t xml:space="preserve">racial, sex/gender, and compensation disparities among EMS and Fire First Responders. See Landis Report at 3. The </w:t>
      </w:r>
      <w:proofErr w:type="gramStart"/>
      <w:r w:rsidRPr="005E497B">
        <w:rPr>
          <w:rFonts w:ascii="Times New Roman" w:hAnsi="Times New Roman"/>
          <w:sz w:val="24"/>
          <w:szCs w:val="24"/>
        </w:rPr>
        <w:t>City</w:t>
      </w:r>
      <w:proofErr w:type="gramEnd"/>
      <w:r w:rsidRPr="005E497B">
        <w:rPr>
          <w:rFonts w:ascii="Times New Roman" w:hAnsi="Times New Roman"/>
          <w:sz w:val="24"/>
          <w:szCs w:val="24"/>
        </w:rPr>
        <w:t xml:space="preserve"> does not dispute </w:t>
      </w:r>
      <w:proofErr w:type="gramStart"/>
      <w:r w:rsidRPr="005E497B">
        <w:rPr>
          <w:rFonts w:ascii="Times New Roman" w:hAnsi="Times New Roman"/>
          <w:sz w:val="24"/>
          <w:szCs w:val="24"/>
        </w:rPr>
        <w:t>the statistical</w:t>
      </w:r>
      <w:proofErr w:type="gramEnd"/>
      <w:r w:rsidRPr="005E497B">
        <w:rPr>
          <w:rFonts w:ascii="Times New Roman" w:hAnsi="Times New Roman"/>
          <w:sz w:val="24"/>
          <w:szCs w:val="24"/>
        </w:rPr>
        <w:t xml:space="preserve"> evidence.</w:t>
      </w:r>
    </w:p>
    <w:p w14:paraId="220E0655" w14:textId="77777777" w:rsidR="005E497B" w:rsidRPr="005E497B" w:rsidRDefault="005E497B" w:rsidP="005E497B">
      <w:pPr>
        <w:pStyle w:val="NoSpacing"/>
        <w:ind w:left="720"/>
        <w:rPr>
          <w:rFonts w:ascii="Times New Roman" w:hAnsi="Times New Roman"/>
          <w:sz w:val="24"/>
          <w:szCs w:val="24"/>
        </w:rPr>
      </w:pPr>
    </w:p>
    <w:p w14:paraId="0F15B19D" w14:textId="77777777" w:rsidR="005E497B" w:rsidRPr="005E497B" w:rsidRDefault="005E497B" w:rsidP="005E497B">
      <w:pPr>
        <w:pStyle w:val="NoSpacing"/>
        <w:ind w:left="720"/>
        <w:rPr>
          <w:rFonts w:ascii="Times New Roman" w:hAnsi="Times New Roman"/>
          <w:sz w:val="24"/>
          <w:szCs w:val="24"/>
        </w:rPr>
      </w:pPr>
      <w:r w:rsidRPr="005E497B">
        <w:rPr>
          <w:rFonts w:ascii="Times New Roman" w:hAnsi="Times New Roman"/>
          <w:sz w:val="24"/>
          <w:szCs w:val="24"/>
        </w:rPr>
        <w:t>***</w:t>
      </w:r>
    </w:p>
    <w:p w14:paraId="4E4B997E" w14:textId="77777777" w:rsidR="005E497B" w:rsidRPr="005E497B" w:rsidRDefault="005E497B" w:rsidP="005E497B">
      <w:pPr>
        <w:pStyle w:val="NoSpacing"/>
        <w:ind w:firstLine="720"/>
        <w:rPr>
          <w:rFonts w:ascii="Times New Roman" w:hAnsi="Times New Roman"/>
          <w:sz w:val="24"/>
          <w:szCs w:val="24"/>
        </w:rPr>
      </w:pPr>
      <w:r w:rsidRPr="005E497B">
        <w:rPr>
          <w:rFonts w:ascii="Times New Roman" w:hAnsi="Times New Roman"/>
          <w:sz w:val="24"/>
          <w:szCs w:val="24"/>
        </w:rPr>
        <w:t>Plaintiffs have also offered substantial proof that the significantly less diverse Fire</w:t>
      </w:r>
    </w:p>
    <w:p w14:paraId="454C5F39" w14:textId="77777777" w:rsidR="005E497B" w:rsidRPr="005E497B" w:rsidRDefault="005E497B" w:rsidP="005E497B">
      <w:pPr>
        <w:pStyle w:val="NoSpacing"/>
        <w:ind w:left="720"/>
        <w:rPr>
          <w:rFonts w:ascii="Times New Roman" w:hAnsi="Times New Roman"/>
          <w:sz w:val="24"/>
          <w:szCs w:val="24"/>
        </w:rPr>
      </w:pPr>
      <w:proofErr w:type="gramStart"/>
      <w:r w:rsidRPr="005E497B">
        <w:rPr>
          <w:rFonts w:ascii="Times New Roman" w:hAnsi="Times New Roman"/>
          <w:sz w:val="24"/>
          <w:szCs w:val="24"/>
        </w:rPr>
        <w:t>First</w:t>
      </w:r>
      <w:proofErr w:type="gramEnd"/>
      <w:r w:rsidRPr="005E497B">
        <w:rPr>
          <w:rFonts w:ascii="Times New Roman" w:hAnsi="Times New Roman"/>
          <w:sz w:val="24"/>
          <w:szCs w:val="24"/>
        </w:rPr>
        <w:t xml:space="preserve"> Responders are the appropriate comparator to substantiate an inference of discriminatory intent.</w:t>
      </w:r>
    </w:p>
    <w:p w14:paraId="1DEDEF7E" w14:textId="77777777" w:rsidR="005E497B" w:rsidRPr="005E497B" w:rsidRDefault="005E497B" w:rsidP="005E497B">
      <w:pPr>
        <w:pStyle w:val="NoSpacing"/>
        <w:ind w:left="720"/>
        <w:rPr>
          <w:rFonts w:ascii="Times New Roman" w:hAnsi="Times New Roman"/>
          <w:sz w:val="24"/>
          <w:szCs w:val="24"/>
        </w:rPr>
      </w:pPr>
    </w:p>
    <w:p w14:paraId="4C0969D2" w14:textId="77777777" w:rsidR="005E497B" w:rsidRPr="005E497B" w:rsidRDefault="005E497B" w:rsidP="005E497B">
      <w:pPr>
        <w:pStyle w:val="NoSpacing"/>
        <w:ind w:left="720"/>
        <w:rPr>
          <w:rFonts w:ascii="Times New Roman" w:hAnsi="Times New Roman"/>
          <w:sz w:val="24"/>
          <w:szCs w:val="24"/>
        </w:rPr>
      </w:pPr>
      <w:r w:rsidRPr="005E497B">
        <w:rPr>
          <w:rFonts w:ascii="Times New Roman" w:hAnsi="Times New Roman"/>
          <w:sz w:val="24"/>
          <w:szCs w:val="24"/>
        </w:rPr>
        <w:t>***</w:t>
      </w:r>
    </w:p>
    <w:p w14:paraId="202D8E35" w14:textId="77777777" w:rsidR="005E497B" w:rsidRPr="005E497B" w:rsidRDefault="005E497B" w:rsidP="005E497B">
      <w:pPr>
        <w:pStyle w:val="NoSpacing"/>
        <w:rPr>
          <w:rFonts w:ascii="Times New Roman" w:hAnsi="Times New Roman"/>
          <w:sz w:val="24"/>
          <w:szCs w:val="24"/>
        </w:rPr>
      </w:pPr>
    </w:p>
    <w:p w14:paraId="0EB556D5" w14:textId="77777777" w:rsidR="005E497B" w:rsidRPr="005E497B" w:rsidRDefault="005E497B" w:rsidP="005E497B">
      <w:pPr>
        <w:pStyle w:val="NoSpacing"/>
        <w:ind w:firstLine="720"/>
        <w:rPr>
          <w:rFonts w:ascii="Times New Roman" w:hAnsi="Times New Roman"/>
          <w:sz w:val="24"/>
          <w:szCs w:val="24"/>
        </w:rPr>
      </w:pPr>
      <w:r w:rsidRPr="005E497B">
        <w:rPr>
          <w:rFonts w:ascii="Times New Roman" w:hAnsi="Times New Roman"/>
          <w:sz w:val="24"/>
          <w:szCs w:val="24"/>
        </w:rPr>
        <w:t xml:space="preserve">In short, Plaintiffs offer significant proof that the </w:t>
      </w:r>
      <w:proofErr w:type="gramStart"/>
      <w:r w:rsidRPr="005E497B">
        <w:rPr>
          <w:rFonts w:ascii="Times New Roman" w:hAnsi="Times New Roman"/>
          <w:sz w:val="24"/>
          <w:szCs w:val="24"/>
        </w:rPr>
        <w:t>City</w:t>
      </w:r>
      <w:proofErr w:type="gramEnd"/>
      <w:r w:rsidRPr="005E497B">
        <w:rPr>
          <w:rFonts w:ascii="Times New Roman" w:hAnsi="Times New Roman"/>
          <w:sz w:val="24"/>
          <w:szCs w:val="24"/>
        </w:rPr>
        <w:t xml:space="preserve"> has ‘operated under a general</w:t>
      </w:r>
    </w:p>
    <w:p w14:paraId="5DD0D91B" w14:textId="77777777" w:rsidR="005E497B" w:rsidRPr="005E497B" w:rsidRDefault="005E497B" w:rsidP="005E497B">
      <w:pPr>
        <w:pStyle w:val="NoSpacing"/>
        <w:ind w:left="720"/>
        <w:rPr>
          <w:rFonts w:ascii="Times New Roman" w:hAnsi="Times New Roman"/>
          <w:sz w:val="24"/>
          <w:szCs w:val="24"/>
        </w:rPr>
      </w:pPr>
      <w:r w:rsidRPr="005E497B">
        <w:rPr>
          <w:rFonts w:ascii="Times New Roman" w:hAnsi="Times New Roman"/>
          <w:sz w:val="24"/>
          <w:szCs w:val="24"/>
        </w:rPr>
        <w:t xml:space="preserve">policy of discrimination.’ Dukes, 564 U.S. at 353 [Wal-Mart Stores, Inc. v. Dukes, 564 U.S. 338 (2011); </w:t>
      </w:r>
      <w:hyperlink r:id="rId1511" w:history="1">
        <w:r w:rsidRPr="005E497B">
          <w:rPr>
            <w:rStyle w:val="Hyperlink"/>
            <w:rFonts w:ascii="Times New Roman" w:hAnsi="Times New Roman"/>
            <w:sz w:val="24"/>
            <w:szCs w:val="24"/>
          </w:rPr>
          <w:t>https://supreme.justia.com/cases/federal/us/564/338/</w:t>
        </w:r>
      </w:hyperlink>
      <w:r w:rsidRPr="005E497B">
        <w:rPr>
          <w:rFonts w:ascii="Times New Roman" w:hAnsi="Times New Roman"/>
          <w:sz w:val="24"/>
          <w:szCs w:val="24"/>
        </w:rPr>
        <w:t xml:space="preserve"> ].  That includes substantial (and in some cases unrebutted) evidence of common policies that disparately impact the Class and Subclasses; statistical analyses showing that the EMS First Responders are more diverse by race and sex/gender than Fire First Responders and are paid significantly less; and expert analyses showing that EMS and Fire First Responders perform similar jobs and that no job-relevant rationale explains the difference in compensation. Such ‘generalized proof,’ Moore, 306 F.3d at 1252, is more than ‘capable of generating common answers’ to issues ‘central’ to the parties’ dispute, Dukes, 564 U.S. at 350.”</w:t>
      </w:r>
    </w:p>
    <w:p w14:paraId="3025D5B3" w14:textId="77777777" w:rsidR="005E497B" w:rsidRPr="005E497B" w:rsidRDefault="005E497B" w:rsidP="005E497B">
      <w:pPr>
        <w:pStyle w:val="NoSpacing"/>
        <w:rPr>
          <w:rFonts w:ascii="Times New Roman" w:hAnsi="Times New Roman"/>
          <w:sz w:val="24"/>
          <w:szCs w:val="24"/>
        </w:rPr>
      </w:pPr>
    </w:p>
    <w:p w14:paraId="45F0841B" w14:textId="77777777" w:rsidR="005E497B" w:rsidRPr="005E497B" w:rsidRDefault="005E497B" w:rsidP="005E497B">
      <w:pPr>
        <w:pStyle w:val="NoSpacing"/>
        <w:rPr>
          <w:rFonts w:ascii="Times New Roman" w:hAnsi="Times New Roman"/>
          <w:b/>
          <w:bCs/>
          <w:sz w:val="24"/>
          <w:szCs w:val="24"/>
        </w:rPr>
      </w:pPr>
      <w:r w:rsidRPr="005E497B">
        <w:rPr>
          <w:rFonts w:ascii="Times New Roman" w:hAnsi="Times New Roman"/>
          <w:b/>
          <w:bCs/>
          <w:sz w:val="24"/>
          <w:szCs w:val="24"/>
        </w:rPr>
        <w:t xml:space="preserve">Legal Lesson Learned: This is a massive class action lawsuit that could result in significant </w:t>
      </w:r>
      <w:proofErr w:type="gramStart"/>
      <w:r w:rsidRPr="005E497B">
        <w:rPr>
          <w:rFonts w:ascii="Times New Roman" w:hAnsi="Times New Roman"/>
          <w:b/>
          <w:bCs/>
          <w:sz w:val="24"/>
          <w:szCs w:val="24"/>
        </w:rPr>
        <w:t>damages</w:t>
      </w:r>
      <w:proofErr w:type="gramEnd"/>
      <w:r w:rsidRPr="005E497B">
        <w:rPr>
          <w:rFonts w:ascii="Times New Roman" w:hAnsi="Times New Roman"/>
          <w:b/>
          <w:bCs/>
          <w:sz w:val="24"/>
          <w:szCs w:val="24"/>
        </w:rPr>
        <w:t xml:space="preserve">. </w:t>
      </w:r>
    </w:p>
    <w:p w14:paraId="3708E078" w14:textId="77777777" w:rsidR="005E497B" w:rsidRPr="005E32B9" w:rsidRDefault="005E497B" w:rsidP="005E497B">
      <w:pPr>
        <w:pStyle w:val="NoSpacing"/>
      </w:pPr>
    </w:p>
    <w:p w14:paraId="6A981B35" w14:textId="77777777" w:rsidR="005E497B" w:rsidRDefault="005E497B" w:rsidP="005E497B">
      <w:pPr>
        <w:pStyle w:val="NoSpacing"/>
      </w:pPr>
    </w:p>
    <w:p w14:paraId="181202DB" w14:textId="77777777" w:rsidR="005904B5" w:rsidRDefault="005904B5" w:rsidP="00BC70A3">
      <w:pPr>
        <w:rPr>
          <w:rFonts w:ascii="Arial Black" w:hAnsi="Arial Black"/>
          <w:b/>
          <w:sz w:val="24"/>
          <w:szCs w:val="24"/>
        </w:rPr>
      </w:pPr>
    </w:p>
    <w:p w14:paraId="001C0757" w14:textId="77777777" w:rsidR="005904B5" w:rsidRDefault="005904B5" w:rsidP="00BC70A3">
      <w:pPr>
        <w:rPr>
          <w:rFonts w:ascii="Arial Black" w:hAnsi="Arial Black"/>
          <w:b/>
          <w:sz w:val="24"/>
          <w:szCs w:val="24"/>
        </w:rPr>
      </w:pPr>
    </w:p>
    <w:p w14:paraId="2640CF54" w14:textId="26B81C22" w:rsidR="00907CBF" w:rsidRDefault="00907CBF" w:rsidP="00BC70A3">
      <w:pPr>
        <w:rPr>
          <w:rFonts w:ascii="Arial Black" w:hAnsi="Arial Black"/>
          <w:b/>
          <w:sz w:val="24"/>
          <w:szCs w:val="24"/>
        </w:rPr>
      </w:pPr>
      <w:r>
        <w:rPr>
          <w:rFonts w:ascii="Arial Black" w:hAnsi="Arial Black"/>
          <w:b/>
          <w:sz w:val="24"/>
          <w:szCs w:val="24"/>
        </w:rPr>
        <w:t>8-62</w:t>
      </w:r>
    </w:p>
    <w:p w14:paraId="36D587EF" w14:textId="77777777" w:rsidR="00907CBF" w:rsidRPr="00C022E6" w:rsidRDefault="00907CBF" w:rsidP="00907CBF">
      <w:pPr>
        <w:pStyle w:val="NoSpacing"/>
        <w:rPr>
          <w:rFonts w:ascii="Aptos Black" w:hAnsi="Aptos Black"/>
          <w:sz w:val="28"/>
        </w:rPr>
      </w:pPr>
      <w:r>
        <w:rPr>
          <w:rFonts w:ascii="Aptos Black" w:hAnsi="Aptos Black"/>
          <w:sz w:val="28"/>
        </w:rPr>
        <w:t xml:space="preserve">TN:  BLACK FF FIRED – FACEBOOK POST –  CIVIL SERVICE COMMISSION MUST COMPARE TO PRIOR DISCIPLINE WHITE FFs </w:t>
      </w:r>
    </w:p>
    <w:p w14:paraId="38CCAC86" w14:textId="77777777" w:rsidR="00907CBF" w:rsidRPr="00907CBF" w:rsidRDefault="00907CBF" w:rsidP="00907CBF">
      <w:pPr>
        <w:pStyle w:val="NoSpacing"/>
        <w:rPr>
          <w:rFonts w:ascii="Times New Roman" w:hAnsi="Times New Roman"/>
          <w:sz w:val="24"/>
          <w:szCs w:val="24"/>
        </w:rPr>
      </w:pPr>
    </w:p>
    <w:p w14:paraId="1F035C36" w14:textId="77777777" w:rsidR="00907CBF" w:rsidRPr="00907CBF" w:rsidRDefault="00907CBF" w:rsidP="00907CBF">
      <w:pPr>
        <w:pStyle w:val="NoSpacing"/>
        <w:rPr>
          <w:rFonts w:ascii="Times New Roman" w:hAnsi="Times New Roman"/>
          <w:sz w:val="24"/>
          <w:szCs w:val="24"/>
        </w:rPr>
      </w:pPr>
      <w:r w:rsidRPr="00907CBF">
        <w:rPr>
          <w:rFonts w:ascii="Times New Roman" w:hAnsi="Times New Roman"/>
          <w:sz w:val="24"/>
          <w:szCs w:val="24"/>
        </w:rPr>
        <w:t xml:space="preserve">On Aug. 29, 2024, in </w:t>
      </w:r>
      <w:proofErr w:type="spellStart"/>
      <w:r w:rsidRPr="00907CBF">
        <w:rPr>
          <w:rFonts w:ascii="Times New Roman" w:hAnsi="Times New Roman"/>
          <w:sz w:val="24"/>
          <w:szCs w:val="24"/>
          <w:u w:val="single"/>
        </w:rPr>
        <w:t>Taurick</w:t>
      </w:r>
      <w:proofErr w:type="spellEnd"/>
      <w:r w:rsidRPr="00907CBF">
        <w:rPr>
          <w:rFonts w:ascii="Times New Roman" w:hAnsi="Times New Roman"/>
          <w:sz w:val="24"/>
          <w:szCs w:val="24"/>
          <w:u w:val="single"/>
        </w:rPr>
        <w:t xml:space="preserve"> Boyd v. City of Memphis</w:t>
      </w:r>
      <w:r w:rsidRPr="00907CBF">
        <w:rPr>
          <w:rFonts w:ascii="Times New Roman" w:hAnsi="Times New Roman"/>
          <w:sz w:val="24"/>
          <w:szCs w:val="24"/>
        </w:rPr>
        <w:t xml:space="preserve">, the Court of Appeals of Tennessee held (5 to 0) that the Civil Service Commission must examine whether the discipline is not in line with three white firefighters for inappropriate Facebook posts.  The Court wrote: “We do not go so far as the trial court to definitively conclude that termination of Private Boyd’s employment was unwarranted. Rather, based on our determination that the Commissioner failed to consider all relevant requirements of MFD 103.01, we vacate its order and remand for reconsideration.” </w:t>
      </w:r>
      <w:hyperlink r:id="rId1512" w:history="1">
        <w:r w:rsidRPr="00907CBF">
          <w:rPr>
            <w:rStyle w:val="Hyperlink"/>
            <w:rFonts w:ascii="Times New Roman" w:hAnsi="Times New Roman"/>
            <w:sz w:val="24"/>
            <w:szCs w:val="24"/>
          </w:rPr>
          <w:t>https://www.tncourts.gov/sites/default/files/OpinionsPDFVersion/BoydTaurickOPN.pdf</w:t>
        </w:r>
      </w:hyperlink>
      <w:r w:rsidRPr="00907CBF">
        <w:rPr>
          <w:rFonts w:ascii="Times New Roman" w:hAnsi="Times New Roman"/>
          <w:sz w:val="24"/>
          <w:szCs w:val="24"/>
        </w:rPr>
        <w:t xml:space="preserve"> </w:t>
      </w:r>
    </w:p>
    <w:p w14:paraId="5EF53AB0" w14:textId="77777777" w:rsidR="00907CBF" w:rsidRPr="00907CBF" w:rsidRDefault="00907CBF" w:rsidP="00907CBF">
      <w:pPr>
        <w:pStyle w:val="NoSpacing"/>
        <w:rPr>
          <w:rFonts w:ascii="Times New Roman" w:hAnsi="Times New Roman"/>
          <w:sz w:val="24"/>
          <w:szCs w:val="24"/>
        </w:rPr>
      </w:pPr>
    </w:p>
    <w:p w14:paraId="00D95F30" w14:textId="77777777" w:rsidR="00907CBF" w:rsidRPr="00907CBF" w:rsidRDefault="00907CBF" w:rsidP="00907CBF">
      <w:pPr>
        <w:pStyle w:val="NoSpacing"/>
        <w:rPr>
          <w:rFonts w:ascii="Times New Roman" w:hAnsi="Times New Roman"/>
          <w:sz w:val="24"/>
          <w:szCs w:val="24"/>
        </w:rPr>
      </w:pPr>
      <w:r w:rsidRPr="00907CBF">
        <w:rPr>
          <w:rFonts w:ascii="Times New Roman" w:hAnsi="Times New Roman"/>
          <w:sz w:val="24"/>
          <w:szCs w:val="24"/>
        </w:rPr>
        <w:t>THE COURT HELD:</w:t>
      </w:r>
    </w:p>
    <w:p w14:paraId="2E256179" w14:textId="77777777" w:rsidR="00907CBF" w:rsidRPr="00907CBF" w:rsidRDefault="00907CBF" w:rsidP="00907CBF">
      <w:pPr>
        <w:pStyle w:val="NoSpacing"/>
        <w:rPr>
          <w:rFonts w:ascii="Times New Roman" w:hAnsi="Times New Roman"/>
          <w:sz w:val="24"/>
          <w:szCs w:val="24"/>
        </w:rPr>
      </w:pPr>
    </w:p>
    <w:p w14:paraId="6B1918CD" w14:textId="77777777" w:rsidR="00907CBF" w:rsidRPr="00907CBF" w:rsidRDefault="00907CBF" w:rsidP="00907CBF">
      <w:pPr>
        <w:pStyle w:val="NoSpacing"/>
        <w:ind w:left="720"/>
        <w:rPr>
          <w:rFonts w:ascii="Times New Roman" w:hAnsi="Times New Roman"/>
          <w:sz w:val="24"/>
          <w:szCs w:val="24"/>
        </w:rPr>
      </w:pPr>
      <w:r w:rsidRPr="00907CBF">
        <w:rPr>
          <w:rFonts w:ascii="Times New Roman" w:hAnsi="Times New Roman"/>
          <w:sz w:val="24"/>
          <w:szCs w:val="24"/>
        </w:rPr>
        <w:t xml:space="preserve">“In truth, each of these firefighters, Lieutenant Kramer, Lieutenant Tolliver, Private Luhrs, and Private Boyd posted photos, statements, or memes that were offensive and in clear violation of MFD’s policies. These postings caused uproar in the community and resulted in negative press against the MFD. Like Private Boyd, Lieutenant Kramer had numerous previous policy violations. Like Private Boyd, Lieutenant Tolliver’s offensive photo was published to Facebook by a third-party. Like Private Boyd, Lieutenant Kramer, Lieutenant Tolliver, and Private Luhrs cooperated in their respective investigations, acknowledged that their respective actions were inappropriate, and issued apologies. </w:t>
      </w:r>
      <w:proofErr w:type="gramStart"/>
      <w:r w:rsidRPr="00907CBF">
        <w:rPr>
          <w:rFonts w:ascii="Times New Roman" w:hAnsi="Times New Roman"/>
          <w:sz w:val="24"/>
          <w:szCs w:val="24"/>
        </w:rPr>
        <w:t>Yet,</w:t>
      </w:r>
      <w:proofErr w:type="gramEnd"/>
      <w:r w:rsidRPr="00907CBF">
        <w:rPr>
          <w:rFonts w:ascii="Times New Roman" w:hAnsi="Times New Roman"/>
          <w:sz w:val="24"/>
          <w:szCs w:val="24"/>
        </w:rPr>
        <w:t xml:space="preserve"> only Private Boyd’s employment was terminated.”</w:t>
      </w:r>
    </w:p>
    <w:p w14:paraId="3CD95E81" w14:textId="77777777" w:rsidR="00907CBF" w:rsidRPr="00907CBF" w:rsidRDefault="00907CBF" w:rsidP="00907CBF">
      <w:pPr>
        <w:pStyle w:val="NoSpacing"/>
        <w:ind w:left="720"/>
        <w:rPr>
          <w:rFonts w:ascii="Times New Roman" w:hAnsi="Times New Roman"/>
          <w:sz w:val="24"/>
          <w:szCs w:val="24"/>
        </w:rPr>
      </w:pPr>
    </w:p>
    <w:p w14:paraId="43AC0912" w14:textId="77777777" w:rsidR="00907CBF" w:rsidRPr="00907CBF" w:rsidRDefault="00907CBF" w:rsidP="00907CBF">
      <w:pPr>
        <w:pStyle w:val="NoSpacing"/>
        <w:rPr>
          <w:rFonts w:ascii="Times New Roman" w:hAnsi="Times New Roman"/>
          <w:sz w:val="24"/>
          <w:szCs w:val="24"/>
        </w:rPr>
      </w:pPr>
    </w:p>
    <w:p w14:paraId="39E4CCBC" w14:textId="77777777" w:rsidR="00907CBF" w:rsidRPr="00907CBF" w:rsidRDefault="00907CBF" w:rsidP="00907CBF">
      <w:pPr>
        <w:pStyle w:val="NoSpacing"/>
        <w:rPr>
          <w:rFonts w:ascii="Times New Roman" w:hAnsi="Times New Roman"/>
          <w:b/>
          <w:bCs/>
          <w:sz w:val="24"/>
          <w:szCs w:val="24"/>
        </w:rPr>
      </w:pPr>
      <w:r w:rsidRPr="00907CBF">
        <w:rPr>
          <w:rFonts w:ascii="Times New Roman" w:hAnsi="Times New Roman"/>
          <w:b/>
          <w:bCs/>
          <w:sz w:val="24"/>
          <w:szCs w:val="24"/>
        </w:rPr>
        <w:t xml:space="preserve">Legal Lesson Learned: Facebook and other social media posts can result in discipline,  but the level of discipline must </w:t>
      </w:r>
      <w:proofErr w:type="gramStart"/>
      <w:r w:rsidRPr="00907CBF">
        <w:rPr>
          <w:rFonts w:ascii="Times New Roman" w:hAnsi="Times New Roman"/>
          <w:b/>
          <w:bCs/>
          <w:sz w:val="24"/>
          <w:szCs w:val="24"/>
        </w:rPr>
        <w:t>appropriate</w:t>
      </w:r>
      <w:proofErr w:type="gramEnd"/>
      <w:r w:rsidRPr="00907CBF">
        <w:rPr>
          <w:rFonts w:ascii="Times New Roman" w:hAnsi="Times New Roman"/>
          <w:b/>
          <w:bCs/>
          <w:sz w:val="24"/>
          <w:szCs w:val="24"/>
        </w:rPr>
        <w:t xml:space="preserve"> in comparison </w:t>
      </w:r>
      <w:proofErr w:type="gramStart"/>
      <w:r w:rsidRPr="00907CBF">
        <w:rPr>
          <w:rFonts w:ascii="Times New Roman" w:hAnsi="Times New Roman"/>
          <w:b/>
          <w:bCs/>
          <w:sz w:val="24"/>
          <w:szCs w:val="24"/>
        </w:rPr>
        <w:t>of</w:t>
      </w:r>
      <w:proofErr w:type="gramEnd"/>
      <w:r w:rsidRPr="00907CBF">
        <w:rPr>
          <w:rFonts w:ascii="Times New Roman" w:hAnsi="Times New Roman"/>
          <w:b/>
          <w:bCs/>
          <w:sz w:val="24"/>
          <w:szCs w:val="24"/>
        </w:rPr>
        <w:t xml:space="preserve"> others with similar violations. </w:t>
      </w:r>
    </w:p>
    <w:p w14:paraId="5ABC4F06" w14:textId="77777777" w:rsidR="007B5945" w:rsidRDefault="007B5945" w:rsidP="00BC70A3">
      <w:pPr>
        <w:rPr>
          <w:rFonts w:ascii="Arial Black" w:hAnsi="Arial Black"/>
          <w:b/>
          <w:sz w:val="24"/>
          <w:szCs w:val="24"/>
        </w:rPr>
      </w:pPr>
    </w:p>
    <w:p w14:paraId="3227A9D0" w14:textId="63A6506E" w:rsidR="007B5945" w:rsidRDefault="00B22623" w:rsidP="00BC70A3">
      <w:pPr>
        <w:rPr>
          <w:rFonts w:ascii="Arial Black" w:hAnsi="Arial Black"/>
          <w:b/>
          <w:sz w:val="24"/>
          <w:szCs w:val="24"/>
        </w:rPr>
      </w:pPr>
      <w:r>
        <w:rPr>
          <w:rFonts w:ascii="Arial Black" w:hAnsi="Arial Black"/>
          <w:b/>
          <w:sz w:val="24"/>
          <w:szCs w:val="24"/>
        </w:rPr>
        <w:t>8-61</w:t>
      </w:r>
    </w:p>
    <w:p w14:paraId="58E85F9B" w14:textId="77777777" w:rsidR="00B22623" w:rsidRPr="002A36CD" w:rsidRDefault="00B22623" w:rsidP="00B22623">
      <w:pPr>
        <w:pStyle w:val="NoSpacing"/>
        <w:rPr>
          <w:rFonts w:ascii="Arial Black" w:hAnsi="Arial Black"/>
          <w:sz w:val="28"/>
        </w:rPr>
      </w:pPr>
      <w:r>
        <w:rPr>
          <w:rFonts w:ascii="Arial Black" w:hAnsi="Arial Black"/>
          <w:sz w:val="28"/>
        </w:rPr>
        <w:t xml:space="preserve">TX: FF (IRAQ ORIGIN) FIRED - THREATS CITY ANIMAL SERVICE OFFICER – HAD SIDE DOG RESCUE BUSINESS </w:t>
      </w:r>
    </w:p>
    <w:p w14:paraId="65A8A874" w14:textId="77777777" w:rsidR="00B22623" w:rsidRDefault="00B22623" w:rsidP="00B22623">
      <w:pPr>
        <w:pStyle w:val="NoSpacing"/>
        <w:rPr>
          <w:szCs w:val="24"/>
        </w:rPr>
      </w:pPr>
    </w:p>
    <w:p w14:paraId="1253609B" w14:textId="77777777" w:rsidR="00B22623" w:rsidRPr="00B22623" w:rsidRDefault="00B22623" w:rsidP="00B22623">
      <w:pPr>
        <w:pStyle w:val="NoSpacing"/>
        <w:rPr>
          <w:rFonts w:ascii="Times New Roman" w:hAnsi="Times New Roman"/>
          <w:sz w:val="24"/>
          <w:szCs w:val="24"/>
        </w:rPr>
      </w:pPr>
      <w:r w:rsidRPr="00B22623">
        <w:rPr>
          <w:rFonts w:ascii="Times New Roman" w:hAnsi="Times New Roman"/>
          <w:sz w:val="24"/>
          <w:szCs w:val="24"/>
        </w:rPr>
        <w:t xml:space="preserve">On Aug. 27, 2024, in </w:t>
      </w:r>
      <w:proofErr w:type="spellStart"/>
      <w:r w:rsidRPr="00B22623">
        <w:rPr>
          <w:rFonts w:ascii="Times New Roman" w:hAnsi="Times New Roman"/>
          <w:sz w:val="24"/>
          <w:szCs w:val="24"/>
          <w:u w:val="single"/>
        </w:rPr>
        <w:t>Safealdean</w:t>
      </w:r>
      <w:proofErr w:type="spellEnd"/>
      <w:r w:rsidRPr="00B22623">
        <w:rPr>
          <w:rFonts w:ascii="Times New Roman" w:hAnsi="Times New Roman"/>
          <w:sz w:val="24"/>
          <w:szCs w:val="24"/>
          <w:u w:val="single"/>
        </w:rPr>
        <w:t xml:space="preserve"> </w:t>
      </w:r>
      <w:proofErr w:type="spellStart"/>
      <w:r w:rsidRPr="00B22623">
        <w:rPr>
          <w:rFonts w:ascii="Times New Roman" w:hAnsi="Times New Roman"/>
          <w:sz w:val="24"/>
          <w:szCs w:val="24"/>
          <w:u w:val="single"/>
        </w:rPr>
        <w:t>Alusi</w:t>
      </w:r>
      <w:proofErr w:type="spellEnd"/>
      <w:r w:rsidRPr="00B22623">
        <w:rPr>
          <w:rFonts w:ascii="Times New Roman" w:hAnsi="Times New Roman"/>
          <w:sz w:val="24"/>
          <w:szCs w:val="24"/>
          <w:u w:val="single"/>
        </w:rPr>
        <w:t xml:space="preserve"> v. City of Fresno, Texas</w:t>
      </w:r>
      <w:r w:rsidRPr="00B22623">
        <w:rPr>
          <w:rFonts w:ascii="Times New Roman" w:hAnsi="Times New Roman"/>
          <w:sz w:val="24"/>
          <w:szCs w:val="24"/>
        </w:rPr>
        <w:t xml:space="preserve">, United States District Court Judge Sean D. Jordan, U.S. District Court for Eastern District of Texas, Sherman Division, affirmed the prior decision to grant summary judgement to the </w:t>
      </w:r>
      <w:proofErr w:type="gramStart"/>
      <w:r w:rsidRPr="00B22623">
        <w:rPr>
          <w:rFonts w:ascii="Times New Roman" w:hAnsi="Times New Roman"/>
          <w:sz w:val="24"/>
          <w:szCs w:val="24"/>
        </w:rPr>
        <w:t>City</w:t>
      </w:r>
      <w:proofErr w:type="gramEnd"/>
      <w:r w:rsidRPr="00B22623">
        <w:rPr>
          <w:rFonts w:ascii="Times New Roman" w:hAnsi="Times New Roman"/>
          <w:sz w:val="24"/>
          <w:szCs w:val="24"/>
        </w:rPr>
        <w:t xml:space="preserve">.  The Court wrote: “After working for the FFD for nearly two-and-a-half years,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was terminated after the FFD discovered that he had engaged in off-duty misconduct while operating his dog rescue side-business-including by threatening a City of Temple Animal Services Officer - and that he had misrepresented his physical limitations and his inability to return to work. In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termination notice, FFD Chief Mark Piland noted a number of City of Frisco (the ‘City’) policies that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violated, which boil down to (1) engaging in unethical and dishonest conduct unbecoming of a member of the FFD, (2) lying about physical capabilities while on restricted work duty, and (3) failing to cooperate and being dishonest during the investigation. *** Notwithstanding the fact that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colleagues knew he was Iraqi, none of the allegedly disparaging comments concerned his Iraqi national origin-or any national origin, for that matter.” </w:t>
      </w:r>
      <w:hyperlink r:id="rId1513" w:history="1">
        <w:r w:rsidRPr="00B22623">
          <w:rPr>
            <w:rStyle w:val="Hyperlink"/>
            <w:rFonts w:ascii="Times New Roman" w:hAnsi="Times New Roman"/>
            <w:sz w:val="24"/>
            <w:szCs w:val="24"/>
          </w:rPr>
          <w:t>https://cases.justia.com/federal/district-courts/texas/txedce/4:2022cv00397/214410/28/0.pdf?ts=1692978420</w:t>
        </w:r>
      </w:hyperlink>
      <w:r w:rsidRPr="00B22623">
        <w:rPr>
          <w:rFonts w:ascii="Times New Roman" w:hAnsi="Times New Roman"/>
          <w:sz w:val="24"/>
          <w:szCs w:val="24"/>
        </w:rPr>
        <w:t xml:space="preserve"> </w:t>
      </w:r>
    </w:p>
    <w:p w14:paraId="23ADD474" w14:textId="77777777" w:rsidR="00B22623" w:rsidRPr="00B22623" w:rsidRDefault="00B22623" w:rsidP="00B22623">
      <w:pPr>
        <w:pStyle w:val="NoSpacing"/>
        <w:rPr>
          <w:rFonts w:ascii="Times New Roman" w:hAnsi="Times New Roman"/>
          <w:sz w:val="24"/>
          <w:szCs w:val="24"/>
        </w:rPr>
      </w:pPr>
      <w:r w:rsidRPr="00B22623">
        <w:rPr>
          <w:rFonts w:ascii="Times New Roman" w:hAnsi="Times New Roman"/>
          <w:sz w:val="24"/>
          <w:szCs w:val="24"/>
        </w:rPr>
        <w:t xml:space="preserve"> </w:t>
      </w:r>
    </w:p>
    <w:p w14:paraId="5EBC3E2E" w14:textId="77777777" w:rsidR="00B22623" w:rsidRPr="00B22623" w:rsidRDefault="00B22623" w:rsidP="00B22623">
      <w:pPr>
        <w:pStyle w:val="NoSpacing"/>
        <w:rPr>
          <w:rFonts w:ascii="Times New Roman" w:hAnsi="Times New Roman"/>
          <w:sz w:val="24"/>
          <w:szCs w:val="24"/>
        </w:rPr>
      </w:pPr>
      <w:r w:rsidRPr="00B22623">
        <w:rPr>
          <w:rFonts w:ascii="Times New Roman" w:hAnsi="Times New Roman"/>
          <w:sz w:val="24"/>
          <w:szCs w:val="24"/>
        </w:rPr>
        <w:t xml:space="preserve">THE COURT HELD: </w:t>
      </w:r>
    </w:p>
    <w:p w14:paraId="76AA54F5" w14:textId="77777777" w:rsidR="00B22623" w:rsidRPr="00B22623" w:rsidRDefault="00B22623" w:rsidP="00B22623">
      <w:pPr>
        <w:pStyle w:val="NoSpacing"/>
        <w:jc w:val="center"/>
        <w:rPr>
          <w:rFonts w:ascii="Times New Roman" w:hAnsi="Times New Roman"/>
          <w:sz w:val="24"/>
          <w:szCs w:val="24"/>
        </w:rPr>
      </w:pPr>
    </w:p>
    <w:p w14:paraId="7F8A2A92" w14:textId="77777777" w:rsidR="00B22623" w:rsidRPr="00B22623" w:rsidRDefault="00B22623" w:rsidP="00B22623">
      <w:pPr>
        <w:pStyle w:val="NoSpacing"/>
        <w:ind w:left="720"/>
        <w:rPr>
          <w:rFonts w:ascii="Times New Roman" w:hAnsi="Times New Roman"/>
          <w:sz w:val="24"/>
          <w:szCs w:val="24"/>
        </w:rPr>
      </w:pPr>
      <w:r w:rsidRPr="00B22623">
        <w:rPr>
          <w:rFonts w:ascii="Times New Roman" w:hAnsi="Times New Roman"/>
          <w:sz w:val="24"/>
          <w:szCs w:val="24"/>
        </w:rPr>
        <w:t xml:space="preserve">“[A]s the Court explained in its order granting summary judgment, the allegedly discriminatory comments included remarks about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skin color and his religion. Race and religion are distinct protected classes under Title VII, but they are not the bases of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alleged discrimination. Neither those comments nor the additional comments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complains </w:t>
      </w:r>
      <w:proofErr w:type="gramStart"/>
      <w:r w:rsidRPr="00B22623">
        <w:rPr>
          <w:rFonts w:ascii="Times New Roman" w:hAnsi="Times New Roman"/>
          <w:sz w:val="24"/>
          <w:szCs w:val="24"/>
        </w:rPr>
        <w:t>of-</w:t>
      </w:r>
      <w:proofErr w:type="gramEnd"/>
      <w:r w:rsidRPr="00B22623">
        <w:rPr>
          <w:rFonts w:ascii="Times New Roman" w:hAnsi="Times New Roman"/>
          <w:sz w:val="24"/>
          <w:szCs w:val="24"/>
        </w:rPr>
        <w:t xml:space="preserve">i.e., the comment concerning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fit within the FFD, a colleague's question about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lack of involvement in the Gulf War, and one colleague's use of </w:t>
      </w:r>
      <w:proofErr w:type="gramStart"/>
      <w:r w:rsidRPr="00B22623">
        <w:rPr>
          <w:rFonts w:ascii="Times New Roman" w:hAnsi="Times New Roman"/>
          <w:sz w:val="24"/>
          <w:szCs w:val="24"/>
        </w:rPr>
        <w:t>Arabic-</w:t>
      </w:r>
      <w:proofErr w:type="gramEnd"/>
      <w:r w:rsidRPr="00B22623">
        <w:rPr>
          <w:rFonts w:ascii="Times New Roman" w:hAnsi="Times New Roman"/>
          <w:sz w:val="24"/>
          <w:szCs w:val="24"/>
        </w:rPr>
        <w:t xml:space="preserve">refer to </w:t>
      </w:r>
      <w:proofErr w:type="spellStart"/>
      <w:r w:rsidRPr="00B22623">
        <w:rPr>
          <w:rFonts w:ascii="Times New Roman" w:hAnsi="Times New Roman"/>
          <w:sz w:val="24"/>
          <w:szCs w:val="24"/>
        </w:rPr>
        <w:t>Alusi's</w:t>
      </w:r>
      <w:proofErr w:type="spellEnd"/>
      <w:r w:rsidRPr="00B22623">
        <w:rPr>
          <w:rFonts w:ascii="Times New Roman" w:hAnsi="Times New Roman"/>
          <w:sz w:val="24"/>
          <w:szCs w:val="24"/>
        </w:rPr>
        <w:t xml:space="preserve"> national origin. </w:t>
      </w:r>
    </w:p>
    <w:p w14:paraId="72900EB5" w14:textId="77777777" w:rsidR="00B22623" w:rsidRPr="00B22623" w:rsidRDefault="00B22623" w:rsidP="00B22623">
      <w:pPr>
        <w:pStyle w:val="NoSpacing"/>
        <w:rPr>
          <w:rFonts w:ascii="Times New Roman" w:hAnsi="Times New Roman"/>
          <w:sz w:val="24"/>
          <w:szCs w:val="24"/>
        </w:rPr>
      </w:pPr>
    </w:p>
    <w:p w14:paraId="1B9136B5" w14:textId="77777777" w:rsidR="00B22623" w:rsidRPr="00B22623" w:rsidRDefault="00B22623" w:rsidP="00B22623">
      <w:pPr>
        <w:pStyle w:val="NoSpacing"/>
        <w:ind w:firstLine="720"/>
        <w:rPr>
          <w:rFonts w:ascii="Times New Roman" w:hAnsi="Times New Roman"/>
          <w:sz w:val="24"/>
          <w:szCs w:val="24"/>
        </w:rPr>
      </w:pPr>
      <w:r w:rsidRPr="00B22623">
        <w:rPr>
          <w:rFonts w:ascii="Times New Roman" w:hAnsi="Times New Roman"/>
          <w:sz w:val="24"/>
          <w:szCs w:val="24"/>
        </w:rPr>
        <w:t>***</w:t>
      </w:r>
    </w:p>
    <w:p w14:paraId="2CEC8875" w14:textId="77777777" w:rsidR="00B22623" w:rsidRPr="00B22623" w:rsidRDefault="00B22623" w:rsidP="00B22623">
      <w:pPr>
        <w:pStyle w:val="NoSpacing"/>
        <w:ind w:left="720"/>
        <w:rPr>
          <w:rFonts w:ascii="Times New Roman" w:hAnsi="Times New Roman"/>
          <w:sz w:val="24"/>
          <w:szCs w:val="24"/>
        </w:rPr>
      </w:pPr>
      <w:r w:rsidRPr="00B22623">
        <w:rPr>
          <w:rFonts w:ascii="Times New Roman" w:hAnsi="Times New Roman"/>
          <w:sz w:val="24"/>
          <w:szCs w:val="24"/>
        </w:rPr>
        <w:t xml:space="preserve">The comments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points to were not frequent, threatening, or severe. </w:t>
      </w:r>
      <w:r w:rsidRPr="00B22623">
        <w:rPr>
          <w:rFonts w:ascii="Times New Roman" w:hAnsi="Times New Roman"/>
          <w:i/>
          <w:iCs/>
          <w:sz w:val="24"/>
          <w:szCs w:val="24"/>
        </w:rPr>
        <w:t>Harris v. Forklift Sys., Inc.</w:t>
      </w:r>
      <w:r w:rsidRPr="00B22623">
        <w:rPr>
          <w:rFonts w:ascii="Times New Roman" w:hAnsi="Times New Roman"/>
          <w:sz w:val="24"/>
          <w:szCs w:val="24"/>
        </w:rPr>
        <w:t xml:space="preserve">, 510 U.S. 17, 23, 114 </w:t>
      </w:r>
      <w:proofErr w:type="spellStart"/>
      <w:r w:rsidRPr="00B22623">
        <w:rPr>
          <w:rFonts w:ascii="Times New Roman" w:hAnsi="Times New Roman"/>
          <w:sz w:val="24"/>
          <w:szCs w:val="24"/>
        </w:rPr>
        <w:t>S.Ct</w:t>
      </w:r>
      <w:proofErr w:type="spellEnd"/>
      <w:r w:rsidRPr="00B22623">
        <w:rPr>
          <w:rFonts w:ascii="Times New Roman" w:hAnsi="Times New Roman"/>
          <w:sz w:val="24"/>
          <w:szCs w:val="24"/>
        </w:rPr>
        <w:t>. 367, 126 L.Ed.2d 295 (1993) (explaining that courts must consider the “frequency of the discriminatory conduct; its severity; whether it is physically threatening or humiliating, or a mere offensive utterance; and whether it unreasonably interferes with an employee's work performance”). Thus, the comments are insufficient to mount a claim for discrimination.</w:t>
      </w:r>
    </w:p>
    <w:p w14:paraId="093BCE05" w14:textId="77777777" w:rsidR="00B22623" w:rsidRPr="00B22623" w:rsidRDefault="00B22623" w:rsidP="00B22623">
      <w:pPr>
        <w:pStyle w:val="NoSpacing"/>
        <w:rPr>
          <w:rFonts w:ascii="Times New Roman" w:hAnsi="Times New Roman"/>
          <w:sz w:val="24"/>
          <w:szCs w:val="24"/>
        </w:rPr>
      </w:pPr>
    </w:p>
    <w:p w14:paraId="565B3D4D" w14:textId="77777777" w:rsidR="00B22623" w:rsidRPr="00B22623" w:rsidRDefault="00B22623" w:rsidP="00B22623">
      <w:pPr>
        <w:pStyle w:val="NoSpacing"/>
        <w:ind w:firstLine="720"/>
        <w:rPr>
          <w:rFonts w:ascii="Times New Roman" w:hAnsi="Times New Roman"/>
          <w:sz w:val="24"/>
          <w:szCs w:val="24"/>
        </w:rPr>
      </w:pPr>
      <w:r w:rsidRPr="00B22623">
        <w:rPr>
          <w:rFonts w:ascii="Times New Roman" w:hAnsi="Times New Roman"/>
          <w:sz w:val="24"/>
          <w:szCs w:val="24"/>
        </w:rPr>
        <w:t>***</w:t>
      </w:r>
    </w:p>
    <w:p w14:paraId="054BA89D" w14:textId="77777777" w:rsidR="00B22623" w:rsidRPr="00B22623" w:rsidRDefault="00B22623" w:rsidP="00B22623">
      <w:pPr>
        <w:pStyle w:val="NoSpacing"/>
        <w:ind w:left="720"/>
        <w:rPr>
          <w:rFonts w:ascii="Times New Roman" w:hAnsi="Times New Roman"/>
          <w:sz w:val="24"/>
          <w:szCs w:val="24"/>
        </w:rPr>
      </w:pP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concedes that he did not allege national origin discrimination until </w:t>
      </w:r>
      <w:r w:rsidRPr="00B22623">
        <w:rPr>
          <w:rFonts w:ascii="Times New Roman" w:hAnsi="Times New Roman"/>
          <w:i/>
          <w:iCs/>
          <w:sz w:val="24"/>
          <w:szCs w:val="24"/>
        </w:rPr>
        <w:t>after</w:t>
      </w:r>
      <w:r w:rsidRPr="00B22623">
        <w:rPr>
          <w:rFonts w:ascii="Times New Roman" w:hAnsi="Times New Roman"/>
          <w:sz w:val="24"/>
          <w:szCs w:val="24"/>
        </w:rPr>
        <w:t xml:space="preserve"> he was terminated. Thus, the </w:t>
      </w:r>
      <w:proofErr w:type="gramStart"/>
      <w:r w:rsidRPr="00B22623">
        <w:rPr>
          <w:rFonts w:ascii="Times New Roman" w:hAnsi="Times New Roman"/>
          <w:sz w:val="24"/>
          <w:szCs w:val="24"/>
        </w:rPr>
        <w:t>City</w:t>
      </w:r>
      <w:proofErr w:type="gramEnd"/>
      <w:r w:rsidRPr="00B22623">
        <w:rPr>
          <w:rFonts w:ascii="Times New Roman" w:hAnsi="Times New Roman"/>
          <w:sz w:val="24"/>
          <w:szCs w:val="24"/>
        </w:rPr>
        <w:t xml:space="preserve"> was not put on notice of any alleged discriminatory practices. Therefore,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did not engage in a protected activity. And since </w:t>
      </w:r>
      <w:proofErr w:type="spellStart"/>
      <w:r w:rsidRPr="00B22623">
        <w:rPr>
          <w:rFonts w:ascii="Times New Roman" w:hAnsi="Times New Roman"/>
          <w:sz w:val="24"/>
          <w:szCs w:val="24"/>
        </w:rPr>
        <w:t>Alusi</w:t>
      </w:r>
      <w:proofErr w:type="spellEnd"/>
      <w:r w:rsidRPr="00B22623">
        <w:rPr>
          <w:rFonts w:ascii="Times New Roman" w:hAnsi="Times New Roman"/>
          <w:sz w:val="24"/>
          <w:szCs w:val="24"/>
        </w:rPr>
        <w:t xml:space="preserve"> did not engage in a protected activity, he could not have been retaliated against for engaging in a protected activity. Accordingly, the Court correctly concluded that the </w:t>
      </w:r>
      <w:proofErr w:type="gramStart"/>
      <w:r w:rsidRPr="00B22623">
        <w:rPr>
          <w:rFonts w:ascii="Times New Roman" w:hAnsi="Times New Roman"/>
          <w:sz w:val="24"/>
          <w:szCs w:val="24"/>
        </w:rPr>
        <w:t>City</w:t>
      </w:r>
      <w:proofErr w:type="gramEnd"/>
      <w:r w:rsidRPr="00B22623">
        <w:rPr>
          <w:rFonts w:ascii="Times New Roman" w:hAnsi="Times New Roman"/>
          <w:sz w:val="24"/>
          <w:szCs w:val="24"/>
        </w:rPr>
        <w:t xml:space="preserve"> was entitled to summary judgment on this claim.”</w:t>
      </w:r>
    </w:p>
    <w:p w14:paraId="42904941" w14:textId="77777777" w:rsidR="00B22623" w:rsidRPr="00B22623" w:rsidRDefault="00B22623" w:rsidP="00B22623">
      <w:pPr>
        <w:pStyle w:val="NoSpacing"/>
        <w:ind w:left="720"/>
        <w:rPr>
          <w:rFonts w:ascii="Times New Roman" w:hAnsi="Times New Roman"/>
          <w:sz w:val="24"/>
          <w:szCs w:val="24"/>
        </w:rPr>
      </w:pPr>
    </w:p>
    <w:p w14:paraId="13633AD2" w14:textId="77777777" w:rsidR="00B22623" w:rsidRPr="00B22623" w:rsidRDefault="00B22623" w:rsidP="00B22623">
      <w:pPr>
        <w:pStyle w:val="NoSpacing"/>
        <w:ind w:left="720"/>
        <w:rPr>
          <w:rFonts w:ascii="Times New Roman" w:hAnsi="Times New Roman"/>
          <w:sz w:val="24"/>
          <w:szCs w:val="24"/>
        </w:rPr>
      </w:pPr>
    </w:p>
    <w:p w14:paraId="60D450CB" w14:textId="77777777" w:rsidR="00B22623" w:rsidRPr="00B22623" w:rsidRDefault="00B22623" w:rsidP="00B22623">
      <w:pPr>
        <w:pStyle w:val="NoSpacing"/>
        <w:rPr>
          <w:rFonts w:ascii="Times New Roman" w:hAnsi="Times New Roman"/>
          <w:b/>
          <w:bCs/>
          <w:sz w:val="24"/>
          <w:szCs w:val="24"/>
        </w:rPr>
      </w:pPr>
      <w:r w:rsidRPr="00B22623">
        <w:rPr>
          <w:rFonts w:ascii="Times New Roman" w:hAnsi="Times New Roman"/>
          <w:b/>
          <w:bCs/>
          <w:sz w:val="24"/>
          <w:szCs w:val="24"/>
        </w:rPr>
        <w:t xml:space="preserve">Legal Lesson Learned: Comments by fellow firefighters were not “frequent, threatening, or severe.” </w:t>
      </w:r>
    </w:p>
    <w:p w14:paraId="4C2C7907" w14:textId="77777777" w:rsidR="00B22623" w:rsidRDefault="00B22623" w:rsidP="00B22623">
      <w:pPr>
        <w:pStyle w:val="NoSpacing"/>
        <w:ind w:firstLine="720"/>
        <w:rPr>
          <w:szCs w:val="24"/>
        </w:rPr>
      </w:pPr>
    </w:p>
    <w:p w14:paraId="068935FA" w14:textId="77777777" w:rsidR="00B22623" w:rsidRDefault="00B22623" w:rsidP="00BC70A3">
      <w:pPr>
        <w:rPr>
          <w:rFonts w:ascii="Arial Black" w:hAnsi="Arial Black"/>
          <w:b/>
          <w:sz w:val="24"/>
          <w:szCs w:val="24"/>
        </w:rPr>
      </w:pPr>
    </w:p>
    <w:p w14:paraId="531BBCFC" w14:textId="741058B2" w:rsidR="005E60AF" w:rsidRDefault="005E60AF" w:rsidP="00BC70A3">
      <w:pPr>
        <w:rPr>
          <w:rFonts w:ascii="Arial Black" w:hAnsi="Arial Black"/>
          <w:b/>
          <w:sz w:val="24"/>
          <w:szCs w:val="24"/>
        </w:rPr>
      </w:pPr>
      <w:r>
        <w:rPr>
          <w:rFonts w:ascii="Arial Black" w:hAnsi="Arial Black"/>
          <w:b/>
          <w:sz w:val="24"/>
          <w:szCs w:val="24"/>
        </w:rPr>
        <w:t>8-60</w:t>
      </w:r>
    </w:p>
    <w:p w14:paraId="62F4E436" w14:textId="77777777" w:rsidR="007B5945" w:rsidRPr="0074339E" w:rsidRDefault="007B5945" w:rsidP="007B5945">
      <w:pPr>
        <w:rPr>
          <w:rFonts w:ascii="Arial Black" w:hAnsi="Arial Black"/>
          <w:b/>
          <w:bCs/>
          <w:sz w:val="28"/>
        </w:rPr>
      </w:pPr>
      <w:r>
        <w:rPr>
          <w:rFonts w:ascii="Arial Black" w:hAnsi="Arial Black"/>
          <w:b/>
          <w:bCs/>
          <w:sz w:val="28"/>
        </w:rPr>
        <w:t xml:space="preserve">TX: BLACK FF – STOP SHAVING / RELIGION – FD CHAPLAIN MEMO - BELIEFS “INSINCERE” – IMMUNITY   </w:t>
      </w:r>
    </w:p>
    <w:p w14:paraId="67E3C6E1" w14:textId="77777777" w:rsidR="007B5945" w:rsidRPr="007B5945" w:rsidRDefault="007B5945" w:rsidP="007B5945">
      <w:pPr>
        <w:pStyle w:val="NoSpacing"/>
        <w:rPr>
          <w:rFonts w:ascii="Times New Roman" w:hAnsi="Times New Roman"/>
          <w:sz w:val="24"/>
          <w:szCs w:val="24"/>
        </w:rPr>
      </w:pPr>
      <w:r w:rsidRPr="007B5945">
        <w:rPr>
          <w:rFonts w:ascii="Times New Roman" w:hAnsi="Times New Roman"/>
          <w:sz w:val="24"/>
          <w:szCs w:val="24"/>
        </w:rPr>
        <w:t xml:space="preserve">On Aug. 8, 2024, in </w:t>
      </w:r>
      <w:r w:rsidRPr="007B5945">
        <w:rPr>
          <w:rFonts w:ascii="Times New Roman" w:hAnsi="Times New Roman"/>
          <w:sz w:val="24"/>
          <w:szCs w:val="24"/>
          <w:u w:val="single"/>
        </w:rPr>
        <w:t>Brandon E. O’Neal v. City of Houston</w:t>
      </w:r>
      <w:r w:rsidRPr="007B5945">
        <w:rPr>
          <w:rFonts w:ascii="Times New Roman" w:hAnsi="Times New Roman"/>
          <w:sz w:val="24"/>
          <w:szCs w:val="24"/>
        </w:rPr>
        <w:t xml:space="preserve">, United States District Court Judge Keith P. Ellison, U.S. District Court, Southern District of Texas, Houston Division, granted the motion to dismiss the libel lawsuit against Chaplain Richard Raymond Ponce II, who enjoys immunity under Texas Tort Claims Act for official actions.  The Court wrote: “After serving his [2 shift; 24 hours] suspension, O’Neal was required to meet with HFD Chaplain Richard Raymond Ponce II… Following the meeting, Ponce wrote a memorandum to Fire Chief Samuel Peña describing O’Neal’s religious beliefs as ‘insincere.’ … O’Neal believes that Ponce’s memorandum formed the basis of HFD’s denial of his accommodation request…. O’Neal later asked Ponce to retract the statements in his “defamatory letter to Chief Peña,” but Ponce declined to do so. *** A defendant is entitled to dismissal under section 101.106(f) upon proof that the plaintiff’s suit (1) was based on conduct within the scope of the defendant’s employment with a governmental unit and (2) could have been brought against the government unit under the Tort Claims Act.” </w:t>
      </w:r>
      <w:hyperlink r:id="rId1514" w:history="1">
        <w:r w:rsidRPr="007B5945">
          <w:rPr>
            <w:rStyle w:val="Hyperlink"/>
            <w:rFonts w:ascii="Times New Roman" w:hAnsi="Times New Roman"/>
            <w:sz w:val="24"/>
            <w:szCs w:val="24"/>
          </w:rPr>
          <w:t>https://cases.justia.com/federal/district-courts/texas/txsdce/4:2023cv04777/1945442/28/0.pdf?ts=1723207973</w:t>
        </w:r>
      </w:hyperlink>
      <w:r w:rsidRPr="007B5945">
        <w:rPr>
          <w:rFonts w:ascii="Times New Roman" w:hAnsi="Times New Roman"/>
          <w:sz w:val="24"/>
          <w:szCs w:val="24"/>
        </w:rPr>
        <w:t xml:space="preserve"> </w:t>
      </w:r>
    </w:p>
    <w:p w14:paraId="285188B8" w14:textId="77777777" w:rsidR="007B5945" w:rsidRPr="007B5945" w:rsidRDefault="007B5945" w:rsidP="007B5945">
      <w:pPr>
        <w:rPr>
          <w:rFonts w:ascii="Times New Roman" w:hAnsi="Times New Roman"/>
          <w:sz w:val="24"/>
          <w:szCs w:val="24"/>
        </w:rPr>
      </w:pPr>
    </w:p>
    <w:p w14:paraId="5AF6D2A9" w14:textId="77777777" w:rsidR="007B5945" w:rsidRPr="007B5945" w:rsidRDefault="007B5945" w:rsidP="007B5945">
      <w:pPr>
        <w:pStyle w:val="NoSpacing"/>
        <w:rPr>
          <w:rFonts w:ascii="Times New Roman" w:hAnsi="Times New Roman"/>
          <w:sz w:val="24"/>
          <w:szCs w:val="24"/>
        </w:rPr>
      </w:pPr>
      <w:r w:rsidRPr="007B5945">
        <w:rPr>
          <w:rFonts w:ascii="Times New Roman" w:hAnsi="Times New Roman"/>
          <w:sz w:val="24"/>
          <w:szCs w:val="24"/>
        </w:rPr>
        <w:t>THE COURT HELD:</w:t>
      </w:r>
    </w:p>
    <w:p w14:paraId="49FC72BD" w14:textId="77777777" w:rsidR="007B5945" w:rsidRPr="007B5945" w:rsidRDefault="007B5945" w:rsidP="007B5945">
      <w:pPr>
        <w:pStyle w:val="NoSpacing"/>
        <w:rPr>
          <w:rFonts w:ascii="Times New Roman" w:hAnsi="Times New Roman"/>
          <w:sz w:val="24"/>
          <w:szCs w:val="24"/>
        </w:rPr>
      </w:pPr>
    </w:p>
    <w:p w14:paraId="74CA923A" w14:textId="77777777" w:rsidR="007B5945" w:rsidRPr="007B5945" w:rsidRDefault="007B5945" w:rsidP="007B5945">
      <w:pPr>
        <w:ind w:left="720"/>
        <w:rPr>
          <w:rFonts w:ascii="Times New Roman" w:hAnsi="Times New Roman"/>
          <w:sz w:val="24"/>
          <w:szCs w:val="24"/>
        </w:rPr>
      </w:pPr>
      <w:r w:rsidRPr="007B5945">
        <w:rPr>
          <w:rFonts w:ascii="Times New Roman" w:hAnsi="Times New Roman"/>
          <w:sz w:val="24"/>
          <w:szCs w:val="24"/>
        </w:rPr>
        <w:t xml:space="preserve">“Plaintiff does not-and cannot-argue that drafting the memorandum at Chief Pena's direction was outside the scope of Ponce's role as HFP Chaplain. Instead, he argues that Ponce's ‘choice to libel Capt. O'Neal in the memorandum,’ i.e., the choice to label O'Neal's beliefs as ‘insincere’ in the memorandum, was outside of the scope of his employment. ECF No. 27 at 6. Plaintiff's argument misses the mark. Ponce's ‘ulterior motives or personal animus is irrelevant so long as a connection exists between the employee's lawful job duties and the alleged misconduct.’ *** Here, there is plainly a connection between Ponce's duties (drafting a memorandum on O'Neal's religious beliefs) and the alleged misconduct (including allegedly libelous statements in the memorandum). Thus, Ponce acted within the scope of his employment when he committed the allegedly tortious </w:t>
      </w:r>
      <w:proofErr w:type="gramStart"/>
      <w:r w:rsidRPr="007B5945">
        <w:rPr>
          <w:rFonts w:ascii="Times New Roman" w:hAnsi="Times New Roman"/>
          <w:sz w:val="24"/>
          <w:szCs w:val="24"/>
        </w:rPr>
        <w:t>acts.”</w:t>
      </w:r>
      <w:proofErr w:type="gramEnd"/>
      <w:r w:rsidRPr="007B5945">
        <w:rPr>
          <w:rFonts w:ascii="Times New Roman" w:hAnsi="Times New Roman"/>
          <w:sz w:val="24"/>
          <w:szCs w:val="24"/>
        </w:rPr>
        <w:t xml:space="preserve"> </w:t>
      </w:r>
    </w:p>
    <w:p w14:paraId="44E8D3CF" w14:textId="77777777" w:rsidR="007B5945" w:rsidRPr="007B5945" w:rsidRDefault="007B5945" w:rsidP="007B5945">
      <w:pPr>
        <w:jc w:val="both"/>
        <w:rPr>
          <w:rFonts w:ascii="Times New Roman" w:hAnsi="Times New Roman"/>
          <w:b/>
          <w:bCs/>
          <w:sz w:val="24"/>
          <w:szCs w:val="24"/>
        </w:rPr>
      </w:pPr>
      <w:r w:rsidRPr="007B5945">
        <w:rPr>
          <w:rFonts w:ascii="Times New Roman" w:hAnsi="Times New Roman"/>
          <w:b/>
          <w:bCs/>
          <w:sz w:val="24"/>
          <w:szCs w:val="24"/>
        </w:rPr>
        <w:t xml:space="preserve">Legal Lesson Learned: The Chaplain enjoys immunity from personal liability for performing duties in scope of his employment. </w:t>
      </w:r>
    </w:p>
    <w:p w14:paraId="2972795D" w14:textId="77777777" w:rsidR="005E60AF" w:rsidRDefault="005E60AF" w:rsidP="00BC70A3">
      <w:pPr>
        <w:rPr>
          <w:rFonts w:ascii="Arial Black" w:hAnsi="Arial Black"/>
          <w:b/>
          <w:sz w:val="24"/>
          <w:szCs w:val="24"/>
        </w:rPr>
      </w:pPr>
    </w:p>
    <w:p w14:paraId="7FC3BC99" w14:textId="77777777" w:rsidR="005E60AF" w:rsidRDefault="005E60AF" w:rsidP="00BC70A3">
      <w:pPr>
        <w:rPr>
          <w:rFonts w:ascii="Arial Black" w:hAnsi="Arial Black"/>
          <w:b/>
          <w:sz w:val="24"/>
          <w:szCs w:val="24"/>
        </w:rPr>
      </w:pPr>
    </w:p>
    <w:p w14:paraId="3AA07917" w14:textId="6A2DF2AD" w:rsidR="007C55A4" w:rsidRDefault="007C55A4" w:rsidP="00BC70A3">
      <w:pPr>
        <w:rPr>
          <w:rFonts w:ascii="Arial Black" w:hAnsi="Arial Black"/>
          <w:b/>
          <w:sz w:val="24"/>
          <w:szCs w:val="24"/>
        </w:rPr>
      </w:pPr>
      <w:r>
        <w:rPr>
          <w:rFonts w:ascii="Arial Black" w:hAnsi="Arial Black"/>
          <w:b/>
          <w:sz w:val="24"/>
          <w:szCs w:val="24"/>
        </w:rPr>
        <w:t>8-59</w:t>
      </w:r>
    </w:p>
    <w:p w14:paraId="77B76C7B" w14:textId="77777777" w:rsidR="006D6CFA" w:rsidRDefault="006D6CFA" w:rsidP="006D6CFA">
      <w:pPr>
        <w:spacing w:before="100" w:beforeAutospacing="1" w:after="100" w:afterAutospacing="1" w:line="240" w:lineRule="auto"/>
        <w:outlineLvl w:val="0"/>
        <w:rPr>
          <w:rFonts w:ascii="Arial Black" w:hAnsi="Arial Black"/>
          <w:sz w:val="28"/>
          <w:szCs w:val="28"/>
        </w:rPr>
      </w:pPr>
      <w:r>
        <w:rPr>
          <w:rFonts w:ascii="Arial Black" w:hAnsi="Arial Black"/>
          <w:sz w:val="28"/>
          <w:szCs w:val="28"/>
        </w:rPr>
        <w:t>NY: CAPT SOON TO BE PROMOTED BC - RESCINDED – DRUNK  PUBLIC / PANTS DOWN - NO RACE DISCRIMINATION</w:t>
      </w:r>
    </w:p>
    <w:p w14:paraId="52C9AACF" w14:textId="77777777" w:rsidR="006D6CFA" w:rsidRDefault="006D6CFA" w:rsidP="006D6CFA">
      <w:pPr>
        <w:spacing w:before="100" w:beforeAutospacing="1" w:after="100" w:afterAutospacing="1" w:line="240" w:lineRule="auto"/>
        <w:outlineLvl w:val="0"/>
        <w:rPr>
          <w:rFonts w:ascii="Times New Roman" w:hAnsi="Times New Roman"/>
          <w:sz w:val="24"/>
          <w:szCs w:val="24"/>
        </w:rPr>
      </w:pPr>
      <w:r>
        <w:rPr>
          <w:rFonts w:ascii="Times New Roman" w:hAnsi="Times New Roman"/>
          <w:sz w:val="24"/>
          <w:szCs w:val="24"/>
        </w:rPr>
        <w:t xml:space="preserve">On March 11, 2024, </w:t>
      </w:r>
      <w:r w:rsidRPr="00B36B60">
        <w:rPr>
          <w:rFonts w:ascii="Times New Roman" w:hAnsi="Times New Roman"/>
          <w:sz w:val="24"/>
          <w:szCs w:val="24"/>
          <w:u w:val="single"/>
        </w:rPr>
        <w:t>Jeremy Clawson v. The City of Albany Department of Fire &amp; Emergency</w:t>
      </w:r>
      <w:r>
        <w:rPr>
          <w:rFonts w:ascii="Times New Roman" w:hAnsi="Times New Roman"/>
          <w:sz w:val="24"/>
          <w:szCs w:val="24"/>
        </w:rPr>
        <w:t xml:space="preserve">, the U.S. Court of Appeals for Second Circuit (New York City), in a Summary Order upheld the grant of summary judgment for the city, dismissing the race discrimination lawsuit by Black Captain. </w:t>
      </w:r>
    </w:p>
    <w:p w14:paraId="3E0C4379"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3335311D" w14:textId="77777777" w:rsidR="003956F7" w:rsidRDefault="003956F7" w:rsidP="006D6CFA">
      <w:pPr>
        <w:pStyle w:val="NoSpacing"/>
        <w:ind w:left="720"/>
        <w:rPr>
          <w:rFonts w:ascii="Times New Roman" w:hAnsi="Times New Roman"/>
          <w:sz w:val="24"/>
          <w:szCs w:val="24"/>
        </w:rPr>
      </w:pPr>
    </w:p>
    <w:p w14:paraId="1DAAB86B" w14:textId="6EE3C623" w:rsidR="006D6CFA" w:rsidRPr="001434C8" w:rsidRDefault="006D6CFA" w:rsidP="006D6CFA">
      <w:pPr>
        <w:pStyle w:val="NoSpacing"/>
        <w:ind w:left="720"/>
        <w:rPr>
          <w:rFonts w:ascii="Times New Roman" w:eastAsia="Times New Roman" w:hAnsi="Times New Roman"/>
          <w:kern w:val="36"/>
          <w:sz w:val="24"/>
          <w:szCs w:val="24"/>
        </w:rPr>
      </w:pPr>
      <w:r>
        <w:rPr>
          <w:rFonts w:ascii="Times New Roman" w:hAnsi="Times New Roman"/>
          <w:sz w:val="24"/>
          <w:szCs w:val="24"/>
        </w:rPr>
        <w:t>“</w:t>
      </w:r>
      <w:r w:rsidRPr="001434C8">
        <w:rPr>
          <w:rFonts w:ascii="Times New Roman" w:eastAsia="Times New Roman" w:hAnsi="Times New Roman"/>
          <w:kern w:val="36"/>
          <w:sz w:val="24"/>
          <w:szCs w:val="24"/>
        </w:rPr>
        <w:t>The AFD, however, has articulated a legitimate, non-discriminatory rationale for</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rescinding Clawson’s promotion offer. Before he was slated to become battalion chief, Clawson</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 xml:space="preserve">consumed at least seven pints of beer, and proceeded to </w:t>
      </w:r>
      <w:r>
        <w:rPr>
          <w:rFonts w:ascii="Times New Roman" w:eastAsia="Times New Roman" w:hAnsi="Times New Roman"/>
          <w:kern w:val="36"/>
          <w:sz w:val="24"/>
          <w:szCs w:val="24"/>
        </w:rPr>
        <w:t>‘</w:t>
      </w:r>
      <w:r w:rsidRPr="001434C8">
        <w:rPr>
          <w:rFonts w:ascii="Times New Roman" w:eastAsia="Times New Roman" w:hAnsi="Times New Roman"/>
          <w:kern w:val="36"/>
          <w:sz w:val="24"/>
          <w:szCs w:val="24"/>
        </w:rPr>
        <w:t>expos[e] himself</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outsi</w:t>
      </w:r>
      <w:r>
        <w:rPr>
          <w:rFonts w:ascii="Times New Roman" w:eastAsia="Times New Roman" w:hAnsi="Times New Roman"/>
          <w:kern w:val="36"/>
          <w:sz w:val="24"/>
          <w:szCs w:val="24"/>
        </w:rPr>
        <w:t xml:space="preserve">de </w:t>
      </w:r>
      <w:r w:rsidRPr="001434C8">
        <w:rPr>
          <w:rFonts w:ascii="Times New Roman" w:eastAsia="Times New Roman" w:hAnsi="Times New Roman"/>
          <w:kern w:val="36"/>
          <w:sz w:val="24"/>
          <w:szCs w:val="24"/>
        </w:rPr>
        <w:t xml:space="preserve">of a Dunkin’ Donuts, prompting first responders to call an ambulance for </w:t>
      </w:r>
      <w:r>
        <w:rPr>
          <w:rFonts w:ascii="Times New Roman" w:eastAsia="Times New Roman" w:hAnsi="Times New Roman"/>
          <w:kern w:val="36"/>
          <w:sz w:val="24"/>
          <w:szCs w:val="24"/>
        </w:rPr>
        <w:t>‘</w:t>
      </w:r>
      <w:r w:rsidRPr="001434C8">
        <w:rPr>
          <w:rFonts w:ascii="Times New Roman" w:eastAsia="Times New Roman" w:hAnsi="Times New Roman"/>
          <w:kern w:val="36"/>
          <w:sz w:val="24"/>
          <w:szCs w:val="24"/>
        </w:rPr>
        <w:t>a very</w:t>
      </w:r>
    </w:p>
    <w:p w14:paraId="3971A5F5" w14:textId="77777777" w:rsidR="006D6CFA" w:rsidRPr="001434C8" w:rsidRDefault="006D6CFA" w:rsidP="006D6CFA">
      <w:pPr>
        <w:pStyle w:val="NoSpacing"/>
        <w:ind w:firstLine="720"/>
        <w:rPr>
          <w:rFonts w:ascii="Times New Roman" w:eastAsia="Times New Roman" w:hAnsi="Times New Roman"/>
          <w:kern w:val="36"/>
          <w:sz w:val="24"/>
          <w:szCs w:val="24"/>
        </w:rPr>
      </w:pPr>
      <w:r w:rsidRPr="001434C8">
        <w:rPr>
          <w:rFonts w:ascii="Times New Roman" w:eastAsia="Times New Roman" w:hAnsi="Times New Roman"/>
          <w:kern w:val="36"/>
          <w:sz w:val="24"/>
          <w:szCs w:val="24"/>
        </w:rPr>
        <w:t>old male who [was] highly intoxicated and . . . pooped on himself,</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and who was</w:t>
      </w:r>
    </w:p>
    <w:p w14:paraId="57F86D9C" w14:textId="77777777" w:rsidR="006D6CFA" w:rsidRPr="001434C8" w:rsidRDefault="006D6CFA" w:rsidP="006D6CFA">
      <w:pPr>
        <w:pStyle w:val="NoSpacing"/>
        <w:ind w:firstLine="720"/>
        <w:rPr>
          <w:rFonts w:ascii="Times New Roman" w:eastAsia="Times New Roman" w:hAnsi="Times New Roman"/>
          <w:kern w:val="36"/>
          <w:sz w:val="24"/>
          <w:szCs w:val="24"/>
        </w:rPr>
      </w:pPr>
      <w:r>
        <w:rPr>
          <w:rFonts w:ascii="Times New Roman" w:eastAsia="Times New Roman" w:hAnsi="Times New Roman"/>
          <w:kern w:val="36"/>
          <w:sz w:val="24"/>
          <w:szCs w:val="24"/>
        </w:rPr>
        <w:t>‘</w:t>
      </w:r>
      <w:proofErr w:type="gramStart"/>
      <w:r w:rsidRPr="001434C8">
        <w:rPr>
          <w:rFonts w:ascii="Times New Roman" w:eastAsia="Times New Roman" w:hAnsi="Times New Roman"/>
          <w:kern w:val="36"/>
          <w:sz w:val="24"/>
          <w:szCs w:val="24"/>
        </w:rPr>
        <w:t>incoherent</w:t>
      </w:r>
      <w:proofErr w:type="gramEnd"/>
      <w:r w:rsidRPr="001434C8">
        <w:rPr>
          <w:rFonts w:ascii="Times New Roman" w:eastAsia="Times New Roman" w:hAnsi="Times New Roman"/>
          <w:kern w:val="36"/>
          <w:sz w:val="24"/>
          <w:szCs w:val="24"/>
        </w:rPr>
        <w:t xml:space="preserve"> with his pants down around his ankles</w:t>
      </w:r>
      <w:r>
        <w:rPr>
          <w:rFonts w:ascii="Times New Roman" w:eastAsia="Times New Roman" w:hAnsi="Times New Roman"/>
          <w:kern w:val="36"/>
          <w:sz w:val="24"/>
          <w:szCs w:val="24"/>
        </w:rPr>
        <w:t>.’</w:t>
      </w:r>
      <w:r w:rsidRPr="001434C8">
        <w:rPr>
          <w:rFonts w:ascii="Times New Roman" w:eastAsia="Times New Roman" w:hAnsi="Times New Roman"/>
          <w:kern w:val="36"/>
          <w:sz w:val="24"/>
          <w:szCs w:val="24"/>
        </w:rPr>
        <w:t xml:space="preserve"> Following that incident, the</w:t>
      </w:r>
    </w:p>
    <w:p w14:paraId="7091F00E" w14:textId="77777777" w:rsidR="006D6CFA" w:rsidRDefault="006D6CFA" w:rsidP="006D6CFA">
      <w:pPr>
        <w:pStyle w:val="NoSpacing"/>
        <w:ind w:left="720"/>
        <w:rPr>
          <w:rFonts w:ascii="Times New Roman" w:hAnsi="Times New Roman"/>
          <w:sz w:val="24"/>
          <w:szCs w:val="24"/>
        </w:rPr>
      </w:pPr>
      <w:r w:rsidRPr="001434C8">
        <w:rPr>
          <w:rFonts w:ascii="Times New Roman" w:eastAsia="Times New Roman" w:hAnsi="Times New Roman"/>
          <w:kern w:val="36"/>
          <w:sz w:val="24"/>
          <w:szCs w:val="24"/>
        </w:rPr>
        <w:t>AFD determined that Clawson’s promotion to battalion chief would undermine the AFD’s internal</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morale and its public perception, as well as Clawson’s effectiveness as a leader. In these</w:t>
      </w:r>
      <w:r>
        <w:rPr>
          <w:rFonts w:ascii="Times New Roman" w:eastAsia="Times New Roman" w:hAnsi="Times New Roman"/>
          <w:kern w:val="36"/>
          <w:sz w:val="24"/>
          <w:szCs w:val="24"/>
        </w:rPr>
        <w:t xml:space="preserve"> </w:t>
      </w:r>
      <w:r w:rsidRPr="001434C8">
        <w:rPr>
          <w:rFonts w:ascii="Times New Roman" w:eastAsia="Times New Roman" w:hAnsi="Times New Roman"/>
          <w:kern w:val="36"/>
          <w:sz w:val="24"/>
          <w:szCs w:val="24"/>
        </w:rPr>
        <w:t>circumstances, the AFD has stated a sufficient, non-discriminatory rationale for the adverse</w:t>
      </w:r>
      <w:r>
        <w:rPr>
          <w:rFonts w:ascii="Times New Roman" w:eastAsia="Times New Roman" w:hAnsi="Times New Roman"/>
          <w:kern w:val="36"/>
          <w:sz w:val="24"/>
          <w:szCs w:val="24"/>
        </w:rPr>
        <w:t xml:space="preserve"> </w:t>
      </w:r>
      <w:r w:rsidRPr="005612B3">
        <w:rPr>
          <w:rFonts w:ascii="Times New Roman" w:hAnsi="Times New Roman"/>
          <w:sz w:val="24"/>
          <w:szCs w:val="24"/>
        </w:rPr>
        <w:t>employment action.</w:t>
      </w:r>
    </w:p>
    <w:p w14:paraId="29B348FD" w14:textId="77777777" w:rsidR="006D6CFA" w:rsidRDefault="006D6CFA" w:rsidP="006D6CFA">
      <w:pPr>
        <w:pStyle w:val="NoSpacing"/>
        <w:ind w:left="720"/>
        <w:rPr>
          <w:rFonts w:ascii="Times New Roman" w:hAnsi="Times New Roman"/>
          <w:sz w:val="24"/>
          <w:szCs w:val="24"/>
        </w:rPr>
      </w:pPr>
    </w:p>
    <w:p w14:paraId="5E03EE25" w14:textId="77777777" w:rsidR="006D6CFA" w:rsidRDefault="006D6CFA" w:rsidP="006D6CFA">
      <w:pPr>
        <w:pStyle w:val="NoSpacing"/>
        <w:ind w:left="720"/>
        <w:rPr>
          <w:rFonts w:ascii="Times New Roman" w:hAnsi="Times New Roman"/>
          <w:sz w:val="24"/>
          <w:szCs w:val="24"/>
        </w:rPr>
      </w:pPr>
      <w:r>
        <w:rPr>
          <w:rFonts w:ascii="Times New Roman" w:hAnsi="Times New Roman"/>
          <w:sz w:val="24"/>
          <w:szCs w:val="24"/>
        </w:rPr>
        <w:t>***</w:t>
      </w:r>
    </w:p>
    <w:p w14:paraId="57D3F248" w14:textId="77777777" w:rsidR="006D6CFA" w:rsidRPr="005612B3" w:rsidRDefault="006D6CFA" w:rsidP="006D6CFA">
      <w:pPr>
        <w:pStyle w:val="NoSpacing"/>
        <w:ind w:firstLine="720"/>
        <w:rPr>
          <w:rFonts w:ascii="Times New Roman" w:hAnsi="Times New Roman"/>
          <w:sz w:val="24"/>
          <w:szCs w:val="24"/>
        </w:rPr>
      </w:pPr>
      <w:r w:rsidRPr="005612B3">
        <w:rPr>
          <w:rFonts w:ascii="Times New Roman" w:hAnsi="Times New Roman"/>
          <w:sz w:val="24"/>
          <w:szCs w:val="24"/>
        </w:rPr>
        <w:t>First, Clawson argues that the circumstances of his meeting with the AFD, in which his</w:t>
      </w:r>
    </w:p>
    <w:p w14:paraId="7902A31F" w14:textId="77777777" w:rsidR="006D6CFA" w:rsidRDefault="006D6CFA" w:rsidP="006D6CFA">
      <w:pPr>
        <w:pStyle w:val="NoSpacing"/>
        <w:ind w:left="720"/>
        <w:rPr>
          <w:rFonts w:ascii="Times New Roman" w:hAnsi="Times New Roman"/>
          <w:sz w:val="24"/>
          <w:szCs w:val="24"/>
        </w:rPr>
      </w:pPr>
      <w:r w:rsidRPr="005612B3">
        <w:rPr>
          <w:rFonts w:ascii="Times New Roman" w:hAnsi="Times New Roman"/>
          <w:sz w:val="24"/>
          <w:szCs w:val="24"/>
        </w:rPr>
        <w:t>promotion offer was rescinded, are indicative of discriminatory animus. Specifically, Clawson</w:t>
      </w:r>
      <w:r>
        <w:rPr>
          <w:rFonts w:ascii="Times New Roman" w:hAnsi="Times New Roman"/>
          <w:sz w:val="24"/>
          <w:szCs w:val="24"/>
        </w:rPr>
        <w:t xml:space="preserve"> </w:t>
      </w:r>
      <w:r w:rsidRPr="005612B3">
        <w:rPr>
          <w:rFonts w:ascii="Times New Roman" w:hAnsi="Times New Roman"/>
          <w:sz w:val="24"/>
          <w:szCs w:val="24"/>
        </w:rPr>
        <w:t>points to evidence in the record that the chief of the AFD, Joseph Gregory, requested the presence</w:t>
      </w:r>
      <w:r>
        <w:rPr>
          <w:rFonts w:ascii="Times New Roman" w:hAnsi="Times New Roman"/>
          <w:sz w:val="24"/>
          <w:szCs w:val="24"/>
        </w:rPr>
        <w:t xml:space="preserve"> </w:t>
      </w:r>
      <w:r w:rsidRPr="005612B3">
        <w:rPr>
          <w:rFonts w:ascii="Times New Roman" w:hAnsi="Times New Roman"/>
          <w:sz w:val="24"/>
          <w:szCs w:val="24"/>
        </w:rPr>
        <w:t>of a police officer at the meeting and then explained that the police officer was there because</w:t>
      </w:r>
      <w:r>
        <w:rPr>
          <w:rFonts w:ascii="Times New Roman" w:hAnsi="Times New Roman"/>
          <w:sz w:val="24"/>
          <w:szCs w:val="24"/>
        </w:rPr>
        <w:t xml:space="preserve"> ‘</w:t>
      </w:r>
      <w:r w:rsidRPr="005612B3">
        <w:rPr>
          <w:rFonts w:ascii="Times New Roman" w:hAnsi="Times New Roman"/>
          <w:sz w:val="24"/>
          <w:szCs w:val="24"/>
        </w:rPr>
        <w:t>[y]</w:t>
      </w:r>
      <w:proofErr w:type="spellStart"/>
      <w:r w:rsidRPr="005612B3">
        <w:rPr>
          <w:rFonts w:ascii="Times New Roman" w:hAnsi="Times New Roman"/>
          <w:sz w:val="24"/>
          <w:szCs w:val="24"/>
        </w:rPr>
        <w:t>ou</w:t>
      </w:r>
      <w:proofErr w:type="spellEnd"/>
      <w:r w:rsidRPr="005612B3">
        <w:rPr>
          <w:rFonts w:ascii="Times New Roman" w:hAnsi="Times New Roman"/>
          <w:sz w:val="24"/>
          <w:szCs w:val="24"/>
        </w:rPr>
        <w:t xml:space="preserve"> never know how people are going to react to bad news.</w:t>
      </w:r>
      <w:r>
        <w:rPr>
          <w:rFonts w:ascii="Times New Roman" w:hAnsi="Times New Roman"/>
          <w:sz w:val="24"/>
          <w:szCs w:val="24"/>
        </w:rPr>
        <w:t xml:space="preserve">’ </w:t>
      </w:r>
      <w:r w:rsidRPr="005612B3">
        <w:rPr>
          <w:rFonts w:ascii="Times New Roman" w:hAnsi="Times New Roman"/>
          <w:sz w:val="24"/>
          <w:szCs w:val="24"/>
        </w:rPr>
        <w:t xml:space="preserve"> Clawson</w:t>
      </w:r>
      <w:r>
        <w:rPr>
          <w:rFonts w:ascii="Times New Roman" w:hAnsi="Times New Roman"/>
          <w:sz w:val="24"/>
          <w:szCs w:val="24"/>
        </w:rPr>
        <w:t xml:space="preserve"> </w:t>
      </w:r>
      <w:r w:rsidRPr="005612B3">
        <w:rPr>
          <w:rFonts w:ascii="Times New Roman" w:hAnsi="Times New Roman"/>
          <w:sz w:val="24"/>
          <w:szCs w:val="24"/>
        </w:rPr>
        <w:t>contends that Gregory’s request for a police officer to be present at the meeting—and his</w:t>
      </w:r>
      <w:r>
        <w:rPr>
          <w:rFonts w:ascii="Times New Roman" w:hAnsi="Times New Roman"/>
          <w:sz w:val="24"/>
          <w:szCs w:val="24"/>
        </w:rPr>
        <w:t xml:space="preserve"> </w:t>
      </w:r>
      <w:r w:rsidRPr="005612B3">
        <w:rPr>
          <w:rFonts w:ascii="Times New Roman" w:hAnsi="Times New Roman"/>
          <w:sz w:val="24"/>
          <w:szCs w:val="24"/>
        </w:rPr>
        <w:t xml:space="preserve">explanation for the request—reflects the AFD’s stereotypical and discriminatory view that </w:t>
      </w:r>
      <w:r>
        <w:rPr>
          <w:rFonts w:ascii="Times New Roman" w:hAnsi="Times New Roman"/>
          <w:sz w:val="24"/>
          <w:szCs w:val="24"/>
        </w:rPr>
        <w:t>‘</w:t>
      </w:r>
      <w:r w:rsidRPr="005612B3">
        <w:rPr>
          <w:rFonts w:ascii="Times New Roman" w:hAnsi="Times New Roman"/>
          <w:sz w:val="24"/>
          <w:szCs w:val="24"/>
        </w:rPr>
        <w:t>black</w:t>
      </w:r>
      <w:r>
        <w:rPr>
          <w:rFonts w:ascii="Times New Roman" w:hAnsi="Times New Roman"/>
          <w:sz w:val="24"/>
          <w:szCs w:val="24"/>
        </w:rPr>
        <w:t xml:space="preserve"> </w:t>
      </w:r>
      <w:r w:rsidRPr="005612B3">
        <w:rPr>
          <w:rFonts w:ascii="Times New Roman" w:hAnsi="Times New Roman"/>
          <w:sz w:val="24"/>
          <w:szCs w:val="24"/>
        </w:rPr>
        <w:t>men are dangerous.</w:t>
      </w:r>
      <w:r>
        <w:rPr>
          <w:rFonts w:ascii="Times New Roman" w:hAnsi="Times New Roman"/>
          <w:sz w:val="24"/>
          <w:szCs w:val="24"/>
        </w:rPr>
        <w:t>’</w:t>
      </w:r>
      <w:r w:rsidRPr="005612B3">
        <w:rPr>
          <w:rFonts w:ascii="Times New Roman" w:hAnsi="Times New Roman"/>
          <w:sz w:val="24"/>
          <w:szCs w:val="24"/>
        </w:rPr>
        <w:t xml:space="preserve">  Under the circumstances here, a reasonable jury</w:t>
      </w:r>
      <w:r>
        <w:rPr>
          <w:rFonts w:ascii="Times New Roman" w:hAnsi="Times New Roman"/>
          <w:sz w:val="24"/>
          <w:szCs w:val="24"/>
        </w:rPr>
        <w:t xml:space="preserve"> </w:t>
      </w:r>
      <w:r w:rsidRPr="005612B3">
        <w:rPr>
          <w:rFonts w:ascii="Times New Roman" w:hAnsi="Times New Roman"/>
          <w:sz w:val="24"/>
          <w:szCs w:val="24"/>
        </w:rPr>
        <w:t>could not infer from this evidence that Gregory’s actions were related to Clawson’s race.</w:t>
      </w:r>
    </w:p>
    <w:p w14:paraId="7538DCD6" w14:textId="77777777" w:rsidR="006D6CFA" w:rsidRDefault="006D6CFA" w:rsidP="006D6CFA">
      <w:pPr>
        <w:pStyle w:val="NoSpacing"/>
        <w:ind w:left="720"/>
        <w:rPr>
          <w:rFonts w:ascii="Times New Roman" w:hAnsi="Times New Roman"/>
          <w:sz w:val="24"/>
          <w:szCs w:val="24"/>
        </w:rPr>
      </w:pPr>
    </w:p>
    <w:p w14:paraId="217CF242" w14:textId="77777777" w:rsidR="006D6CFA" w:rsidRDefault="006D6CFA" w:rsidP="006D6CFA">
      <w:pPr>
        <w:pStyle w:val="NoSpacing"/>
        <w:ind w:left="720"/>
        <w:rPr>
          <w:rFonts w:ascii="Times New Roman" w:hAnsi="Times New Roman"/>
          <w:sz w:val="24"/>
          <w:szCs w:val="24"/>
        </w:rPr>
      </w:pPr>
      <w:r>
        <w:rPr>
          <w:rFonts w:ascii="Times New Roman" w:hAnsi="Times New Roman"/>
          <w:sz w:val="24"/>
          <w:szCs w:val="24"/>
        </w:rPr>
        <w:t>***</w:t>
      </w:r>
    </w:p>
    <w:p w14:paraId="516692D6" w14:textId="77777777" w:rsidR="006D6CFA" w:rsidRPr="005612B3" w:rsidRDefault="006D6CFA" w:rsidP="006D6CFA">
      <w:pPr>
        <w:pStyle w:val="NoSpacing"/>
        <w:ind w:left="720"/>
        <w:rPr>
          <w:rFonts w:ascii="Times New Roman" w:hAnsi="Times New Roman"/>
          <w:sz w:val="24"/>
          <w:szCs w:val="24"/>
        </w:rPr>
      </w:pPr>
    </w:p>
    <w:p w14:paraId="671BF2CF" w14:textId="77777777" w:rsidR="006D6CFA" w:rsidRDefault="006D6CFA" w:rsidP="006D6CFA">
      <w:pPr>
        <w:pStyle w:val="NoSpacing"/>
        <w:ind w:left="720"/>
        <w:rPr>
          <w:rFonts w:ascii="Times New Roman" w:hAnsi="Times New Roman"/>
          <w:sz w:val="24"/>
          <w:szCs w:val="24"/>
        </w:rPr>
      </w:pPr>
      <w:r w:rsidRPr="00997C49">
        <w:rPr>
          <w:rFonts w:ascii="Times New Roman" w:hAnsi="Times New Roman"/>
          <w:sz w:val="24"/>
          <w:szCs w:val="24"/>
        </w:rPr>
        <w:t>As evidence of his allegedly superior qualifications, Clawson points only to the fact that the person</w:t>
      </w:r>
      <w:r>
        <w:rPr>
          <w:rFonts w:ascii="Times New Roman" w:hAnsi="Times New Roman"/>
          <w:sz w:val="24"/>
          <w:szCs w:val="24"/>
        </w:rPr>
        <w:t xml:space="preserve"> </w:t>
      </w:r>
      <w:r w:rsidRPr="00997C49">
        <w:rPr>
          <w:rFonts w:ascii="Times New Roman" w:hAnsi="Times New Roman"/>
          <w:sz w:val="24"/>
          <w:szCs w:val="24"/>
        </w:rPr>
        <w:t>ultimately selected to be battalion chief, Captain Kowalski, scored second on the civil service exam</w:t>
      </w:r>
      <w:r>
        <w:rPr>
          <w:rFonts w:ascii="Times New Roman" w:hAnsi="Times New Roman"/>
          <w:sz w:val="24"/>
          <w:szCs w:val="24"/>
        </w:rPr>
        <w:t xml:space="preserve"> </w:t>
      </w:r>
      <w:r w:rsidRPr="00997C49">
        <w:rPr>
          <w:rFonts w:ascii="Times New Roman" w:hAnsi="Times New Roman"/>
          <w:sz w:val="24"/>
          <w:szCs w:val="24"/>
        </w:rPr>
        <w:t>after Clawson. Clawson thus ignores the undisputed record evidence that he engaged in an act</w:t>
      </w:r>
      <w:r>
        <w:rPr>
          <w:rFonts w:ascii="Times New Roman" w:hAnsi="Times New Roman"/>
          <w:sz w:val="24"/>
          <w:szCs w:val="24"/>
        </w:rPr>
        <w:t xml:space="preserve"> </w:t>
      </w:r>
      <w:r w:rsidRPr="00997C49">
        <w:rPr>
          <w:rFonts w:ascii="Times New Roman" w:hAnsi="Times New Roman"/>
          <w:sz w:val="24"/>
          <w:szCs w:val="24"/>
        </w:rPr>
        <w:t>of misconduct only days before his planned promotion. And Clawson does not even contend—</w:t>
      </w:r>
      <w:r>
        <w:rPr>
          <w:rFonts w:ascii="Times New Roman" w:hAnsi="Times New Roman"/>
          <w:sz w:val="24"/>
          <w:szCs w:val="24"/>
        </w:rPr>
        <w:t xml:space="preserve"> </w:t>
      </w:r>
      <w:r w:rsidRPr="00997C49">
        <w:rPr>
          <w:rFonts w:ascii="Times New Roman" w:hAnsi="Times New Roman"/>
          <w:sz w:val="24"/>
          <w:szCs w:val="24"/>
        </w:rPr>
        <w:t>nor could he, on the record before us—that Kowalski committed acts of misconduct or otherwise</w:t>
      </w:r>
      <w:r>
        <w:rPr>
          <w:rFonts w:ascii="Times New Roman" w:hAnsi="Times New Roman"/>
          <w:sz w:val="24"/>
          <w:szCs w:val="24"/>
        </w:rPr>
        <w:t xml:space="preserve"> </w:t>
      </w:r>
      <w:r w:rsidRPr="00997C49">
        <w:rPr>
          <w:rFonts w:ascii="Times New Roman" w:hAnsi="Times New Roman"/>
          <w:sz w:val="24"/>
          <w:szCs w:val="24"/>
        </w:rPr>
        <w:t>misbehaved during his tenure at the AFD. Therefore, Clawson has failed to present sufficient</w:t>
      </w:r>
      <w:r>
        <w:rPr>
          <w:rFonts w:ascii="Times New Roman" w:hAnsi="Times New Roman"/>
          <w:sz w:val="24"/>
          <w:szCs w:val="24"/>
        </w:rPr>
        <w:t xml:space="preserve"> </w:t>
      </w:r>
      <w:r w:rsidRPr="00997C49">
        <w:rPr>
          <w:rFonts w:ascii="Times New Roman" w:hAnsi="Times New Roman"/>
          <w:sz w:val="24"/>
          <w:szCs w:val="24"/>
        </w:rPr>
        <w:t>evidence that the AFD’s decision to promote Kowalski, whose score on the civil service exam</w:t>
      </w:r>
      <w:r>
        <w:rPr>
          <w:rFonts w:ascii="Times New Roman" w:hAnsi="Times New Roman"/>
          <w:sz w:val="24"/>
          <w:szCs w:val="24"/>
        </w:rPr>
        <w:t xml:space="preserve"> </w:t>
      </w:r>
      <w:r w:rsidRPr="00997C49">
        <w:rPr>
          <w:rFonts w:ascii="Times New Roman" w:hAnsi="Times New Roman"/>
          <w:sz w:val="24"/>
          <w:szCs w:val="24"/>
        </w:rPr>
        <w:t xml:space="preserve">placed him next in line for the battalion chief position, was motivated by race </w:t>
      </w:r>
      <w:proofErr w:type="gramStart"/>
      <w:r w:rsidRPr="00997C49">
        <w:rPr>
          <w:rFonts w:ascii="Times New Roman" w:hAnsi="Times New Roman"/>
          <w:sz w:val="24"/>
          <w:szCs w:val="24"/>
        </w:rPr>
        <w:t>discrimination.</w:t>
      </w:r>
      <w:r>
        <w:rPr>
          <w:rFonts w:ascii="Times New Roman" w:hAnsi="Times New Roman"/>
          <w:sz w:val="24"/>
          <w:szCs w:val="24"/>
        </w:rPr>
        <w:t>”</w:t>
      </w:r>
      <w:proofErr w:type="gramEnd"/>
    </w:p>
    <w:p w14:paraId="363ECB96" w14:textId="77777777" w:rsidR="006D6CFA" w:rsidRPr="005612B3" w:rsidRDefault="006D6CFA" w:rsidP="006D6CFA">
      <w:pPr>
        <w:pStyle w:val="NoSpacing"/>
        <w:ind w:left="720"/>
        <w:rPr>
          <w:rFonts w:ascii="Times New Roman" w:hAnsi="Times New Roman"/>
          <w:sz w:val="24"/>
          <w:szCs w:val="24"/>
        </w:rPr>
      </w:pPr>
      <w:r>
        <w:rPr>
          <w:rFonts w:ascii="Times New Roman" w:hAnsi="Times New Roman"/>
          <w:sz w:val="24"/>
          <w:szCs w:val="24"/>
        </w:rPr>
        <w:t xml:space="preserve"> </w:t>
      </w:r>
      <w:hyperlink r:id="rId1515" w:anchor="xml=https://ww3.ca2.uscourts.gov/decisions/isysquery/16788bba-62d9-413f-95b7-7dccd6899f82/2/hilite/" w:history="1">
        <w:r w:rsidRPr="0090149E">
          <w:rPr>
            <w:rStyle w:val="Hyperlink"/>
            <w:rFonts w:ascii="Times New Roman" w:hAnsi="Times New Roman"/>
            <w:sz w:val="24"/>
            <w:szCs w:val="24"/>
          </w:rPr>
          <w:t>https://ww3.ca2.uscourts.gov/decisions/isysquery/16788bba-62d9-413f-95b7-7dccd6899f82/2/doc/23-482_so.pdf#xml=https://ww3.ca2.uscourts.gov/decisions/isysquery/16788bba-62d9-413f-95b7-7dccd6899f82/2/hilite/</w:t>
        </w:r>
      </w:hyperlink>
      <w:r>
        <w:rPr>
          <w:rFonts w:ascii="Times New Roman" w:hAnsi="Times New Roman"/>
          <w:sz w:val="24"/>
          <w:szCs w:val="24"/>
        </w:rPr>
        <w:t xml:space="preserve"> </w:t>
      </w:r>
    </w:p>
    <w:p w14:paraId="7D804E14" w14:textId="77777777" w:rsidR="006D6CFA" w:rsidRPr="001434C8" w:rsidRDefault="006D6CFA" w:rsidP="006D6CFA">
      <w:pPr>
        <w:pStyle w:val="NoSpacing"/>
        <w:rPr>
          <w:rFonts w:ascii="Times New Roman" w:eastAsia="Times New Roman" w:hAnsi="Times New Roman"/>
          <w:kern w:val="36"/>
          <w:sz w:val="24"/>
          <w:szCs w:val="24"/>
        </w:rPr>
      </w:pPr>
    </w:p>
    <w:p w14:paraId="3E404F79" w14:textId="77777777" w:rsidR="006D6CFA" w:rsidRPr="00FE64F6" w:rsidRDefault="006D6CFA" w:rsidP="006D6CFA">
      <w:pPr>
        <w:pStyle w:val="NoSpacing"/>
        <w:rPr>
          <w:rFonts w:ascii="Times New Roman" w:hAnsi="Times New Roman"/>
          <w:b/>
          <w:bCs/>
          <w:sz w:val="24"/>
          <w:szCs w:val="24"/>
        </w:rPr>
      </w:pPr>
      <w:r w:rsidRPr="00FE64F6">
        <w:rPr>
          <w:rFonts w:ascii="Times New Roman" w:hAnsi="Times New Roman"/>
          <w:b/>
          <w:bCs/>
          <w:sz w:val="24"/>
          <w:szCs w:val="24"/>
        </w:rPr>
        <w:t xml:space="preserve">Legal Lesson Learned: </w:t>
      </w:r>
      <w:r>
        <w:rPr>
          <w:rFonts w:ascii="Times New Roman" w:hAnsi="Times New Roman"/>
          <w:b/>
          <w:bCs/>
          <w:sz w:val="24"/>
          <w:szCs w:val="24"/>
        </w:rPr>
        <w:t xml:space="preserve">The FD had a legitimate reason to rescind the promotion. </w:t>
      </w:r>
    </w:p>
    <w:p w14:paraId="4435B8B0" w14:textId="77777777" w:rsidR="006D6CFA" w:rsidRDefault="006D6CFA" w:rsidP="006D6CFA">
      <w:pPr>
        <w:pStyle w:val="NormalWeb"/>
        <w:spacing w:before="0" w:beforeAutospacing="0"/>
      </w:pPr>
    </w:p>
    <w:p w14:paraId="5BFB08B5" w14:textId="77777777" w:rsidR="006D6CFA" w:rsidRDefault="006D6CFA" w:rsidP="006D6CFA">
      <w:pPr>
        <w:pStyle w:val="NormalWeb"/>
        <w:spacing w:before="0" w:beforeAutospacing="0"/>
      </w:pPr>
    </w:p>
    <w:p w14:paraId="5702278F" w14:textId="2C0BDF01" w:rsidR="005251B2" w:rsidRDefault="005251B2" w:rsidP="00BC70A3">
      <w:pPr>
        <w:rPr>
          <w:rFonts w:ascii="Arial Black" w:hAnsi="Arial Black"/>
          <w:b/>
          <w:sz w:val="24"/>
          <w:szCs w:val="24"/>
        </w:rPr>
      </w:pPr>
      <w:r>
        <w:rPr>
          <w:rFonts w:ascii="Arial Black" w:hAnsi="Arial Black"/>
          <w:b/>
          <w:sz w:val="24"/>
          <w:szCs w:val="24"/>
        </w:rPr>
        <w:t>8-58</w:t>
      </w:r>
    </w:p>
    <w:p w14:paraId="2B8448C9" w14:textId="77777777" w:rsidR="00267A43" w:rsidRDefault="00267A43" w:rsidP="00267A43">
      <w:pPr>
        <w:pStyle w:val="NormalWeb"/>
        <w:rPr>
          <w:rFonts w:ascii="Arial Black" w:hAnsi="Arial Black"/>
          <w:sz w:val="28"/>
          <w:szCs w:val="28"/>
        </w:rPr>
      </w:pPr>
      <w:r w:rsidRPr="00674E4D">
        <w:rPr>
          <w:rFonts w:ascii="Arial Black" w:hAnsi="Arial Black"/>
          <w:sz w:val="28"/>
          <w:szCs w:val="28"/>
        </w:rPr>
        <w:t xml:space="preserve">OH: </w:t>
      </w:r>
      <w:r>
        <w:rPr>
          <w:rFonts w:ascii="Arial Black" w:hAnsi="Arial Black"/>
          <w:sz w:val="28"/>
          <w:szCs w:val="28"/>
        </w:rPr>
        <w:t>SCBAs – OSHA REQUIRES CLEAN SHAVEN – BLACK FF RETIRED INSTEAD OF SHAVING – NO ADA / RACE DISCRIM.</w:t>
      </w:r>
    </w:p>
    <w:p w14:paraId="0CE91A91" w14:textId="77777777" w:rsidR="00267A43" w:rsidRPr="00CC55BD" w:rsidRDefault="00267A43" w:rsidP="00267A43">
      <w:pPr>
        <w:pStyle w:val="NormalWeb"/>
      </w:pPr>
      <w:r>
        <w:t xml:space="preserve">On Feb. 28, 2024, in </w:t>
      </w:r>
      <w:r w:rsidRPr="00293519">
        <w:rPr>
          <w:u w:val="single"/>
        </w:rPr>
        <w:t>Anthony Davis c. City of Cleveland, et al</w:t>
      </w:r>
      <w:r>
        <w:t xml:space="preserve">., U.S. District Court Judge Solomon Oliver, Jr., U.S. District Court for Northern District of Ohio (Eastern District) granted the city’s motion for judgment on the pleadings.  </w:t>
      </w:r>
    </w:p>
    <w:p w14:paraId="65ACF475" w14:textId="77777777" w:rsidR="00267A43" w:rsidRDefault="00267A43" w:rsidP="00267A43">
      <w:pPr>
        <w:pStyle w:val="NormalWeb"/>
      </w:pPr>
      <w:r>
        <w:t xml:space="preserve">The Court held:  </w:t>
      </w:r>
    </w:p>
    <w:p w14:paraId="372B06CB" w14:textId="77777777" w:rsidR="00267A43" w:rsidRDefault="00267A43" w:rsidP="00267A43">
      <w:pPr>
        <w:pStyle w:val="NormalWeb"/>
        <w:ind w:left="720"/>
      </w:pPr>
      <w:r>
        <w:t>“</w:t>
      </w:r>
      <w:r w:rsidRPr="002C1351">
        <w:t>In sum, Ohio law requires Cleveland to follow OSHA regulations. And those regulations make clear that firefighters with beards may not wear SCBAs. *** And in any event, the court finds that Cleveland's policy is in fact based on business necessity. Accordingly, the court grants</w:t>
      </w:r>
      <w:r>
        <w:t xml:space="preserve"> judgment on the pleadings to Cleveland on Davis's race-discrimination claims. *** Cleveland argues that Davis's requested accommodation-that he be permitted to maintain a short beard-was </w:t>
      </w:r>
      <w:r>
        <w:rPr>
          <w:rStyle w:val="Emphasis"/>
        </w:rPr>
        <w:t>per se</w:t>
      </w:r>
      <w:r>
        <w:t xml:space="preserve"> unreasonable because providing it would have required Cleveland to contravene binding OSHA regulations. The court agrees. *** Davis brings a sympathetic case. He allegedly suffers from a skin condition that afflicts Black men only and was forced to leave the firefighting force-his career of nearly two decades-through no fault of his own. Nevertheless, the court is constrained by the law with respect to the claims he pled.” </w:t>
      </w:r>
      <w:hyperlink r:id="rId1516" w:history="1">
        <w:r w:rsidRPr="00050BB1">
          <w:rPr>
            <w:rStyle w:val="Hyperlink"/>
          </w:rPr>
          <w:t>https://public.fastcase.com/H1P9uiW3J20SFp%2BGCG%2BxLZkQf01yoKKyjTHIQ3i58nX%2B%2FAIlJ7l43hvEF8qKhahXQJQ44fkPKDzD6joZ4LsI7iTOFXPdH5%2Fv%2FKD427ldKjE%3D?utm_medium=email&amp;_hsmi=226712652&amp;_hsenc=p2ANqtz-_U89LkNl4P4fsnOucPHRbeGtR2XeKR1phEbD7-UuIt_KCX3oxL0CAr1yX56v7BapUY4ITdG8_rGIJJyhgPBOVmvvkgdg&amp;utm_content=226712652&amp;utm_source=hs_email</w:t>
        </w:r>
      </w:hyperlink>
      <w:r>
        <w:t xml:space="preserve"> </w:t>
      </w:r>
    </w:p>
    <w:p w14:paraId="6314C5BA" w14:textId="77777777" w:rsidR="00267A43" w:rsidRPr="006A2CE2" w:rsidRDefault="00267A43" w:rsidP="00267A43">
      <w:pPr>
        <w:pStyle w:val="NormalWeb"/>
        <w:rPr>
          <w:b/>
          <w:bCs/>
        </w:rPr>
      </w:pPr>
      <w:r w:rsidRPr="006A2CE2">
        <w:rPr>
          <w:b/>
          <w:bCs/>
        </w:rPr>
        <w:t>Legal Lesson Learned:</w:t>
      </w:r>
      <w:r>
        <w:rPr>
          <w:b/>
          <w:bCs/>
        </w:rPr>
        <w:t xml:space="preserve"> Numerous courts have upheld the OSHA regulations. </w:t>
      </w:r>
    </w:p>
    <w:p w14:paraId="2EF25B6B" w14:textId="77777777" w:rsidR="00267A43" w:rsidRDefault="00267A43" w:rsidP="00267A43">
      <w:pPr>
        <w:pStyle w:val="NormalWeb"/>
        <w:ind w:left="720"/>
      </w:pPr>
      <w:r w:rsidRPr="008E69EB">
        <w:t xml:space="preserve">Note: See these cases. </w:t>
      </w:r>
      <w:r w:rsidRPr="008E69EB">
        <w:rPr>
          <w:rStyle w:val="Emphasis"/>
        </w:rPr>
        <w:t>See, e.g.</w:t>
      </w:r>
      <w:r w:rsidRPr="008E69EB">
        <w:t xml:space="preserve">, </w:t>
      </w:r>
      <w:r w:rsidRPr="008E69EB">
        <w:rPr>
          <w:rStyle w:val="Emphasis"/>
        </w:rPr>
        <w:t>Bey</w:t>
      </w:r>
      <w:r w:rsidRPr="008E69EB">
        <w:t xml:space="preserve">, 999 F.3d at 170 (“Title VII cannot be used to require employers to depart from binding federal regulations.”); </w:t>
      </w:r>
      <w:r w:rsidRPr="008E69EB">
        <w:rPr>
          <w:rStyle w:val="Emphasis"/>
        </w:rPr>
        <w:t>Jones v. City of Jacksonville</w:t>
      </w:r>
      <w:r w:rsidRPr="008E69EB">
        <w:t xml:space="preserve">, 2023 WL 3595154, at *6 (M.D. Fla. Jan. 13, 2023) (“Legally binding federal regulations present a complete defense [to Title VII claims].”); </w:t>
      </w:r>
      <w:r w:rsidRPr="008E69EB">
        <w:rPr>
          <w:rStyle w:val="Emphasis"/>
        </w:rPr>
        <w:t>see also Fitzpatrick v. City of Atlanta</w:t>
      </w:r>
      <w:r w:rsidRPr="008E69EB">
        <w:t>, 2 F.3d 1112, 1119-21 (11th Cir. 1993) (holding that safety concerns made defendant city's “ban on shadow beards” a business necessity, even though the city was “not required by law to comply with OSHA standards”).</w:t>
      </w:r>
    </w:p>
    <w:p w14:paraId="22A9F276" w14:textId="77777777" w:rsidR="00267A43" w:rsidRDefault="00267A43" w:rsidP="00267A43">
      <w:pPr>
        <w:pStyle w:val="byline"/>
        <w:ind w:left="720"/>
      </w:pPr>
      <w:r>
        <w:t xml:space="preserve">In 2008, however, Washington. D.C. Fire Department lost at trial court level on summary judgment without a trial.  The U.S. Court of Appeals for the D.C. Circuit upheld, with strong concurring opinion.  WILLIAMS, Senior Circuit Judge, concurring: </w:t>
      </w:r>
    </w:p>
    <w:p w14:paraId="6CC7637E" w14:textId="77777777" w:rsidR="00267A43" w:rsidRPr="008E69EB" w:rsidRDefault="00267A43" w:rsidP="00267A43">
      <w:pPr>
        <w:pStyle w:val="paragraph"/>
        <w:ind w:left="1440"/>
      </w:pPr>
      <w:r>
        <w:t xml:space="preserve">“The record here unequivocally discloses a disputed issue of material fact. Yet the district court granted summary judgment. If the sole aim of the law were an open search for truth, we would plainly reverse.”  </w:t>
      </w:r>
      <w:r w:rsidRPr="00B75B81">
        <w:rPr>
          <w:u w:val="single"/>
        </w:rPr>
        <w:t>Potter v. District of Columbia</w:t>
      </w:r>
      <w:r>
        <w:t xml:space="preserve">, </w:t>
      </w:r>
      <w:hyperlink r:id="rId1517" w:history="1">
        <w:r w:rsidRPr="00050BB1">
          <w:rPr>
            <w:rStyle w:val="Hyperlink"/>
          </w:rPr>
          <w:t>https://casetext.com/case/potter-v-district-of-columbia-2</w:t>
        </w:r>
      </w:hyperlink>
      <w:r>
        <w:t xml:space="preserve"> </w:t>
      </w:r>
    </w:p>
    <w:p w14:paraId="7E8ABD12" w14:textId="77777777" w:rsidR="00267A43" w:rsidRDefault="00267A43" w:rsidP="00BC70A3">
      <w:pPr>
        <w:rPr>
          <w:rFonts w:ascii="Arial Black" w:hAnsi="Arial Black"/>
          <w:b/>
          <w:sz w:val="24"/>
          <w:szCs w:val="24"/>
        </w:rPr>
      </w:pPr>
    </w:p>
    <w:p w14:paraId="11BAD1FC" w14:textId="77777777" w:rsidR="005251B2" w:rsidRDefault="005251B2" w:rsidP="00BC70A3">
      <w:pPr>
        <w:rPr>
          <w:rFonts w:ascii="Arial Black" w:hAnsi="Arial Black"/>
          <w:b/>
          <w:sz w:val="24"/>
          <w:szCs w:val="24"/>
        </w:rPr>
      </w:pPr>
    </w:p>
    <w:p w14:paraId="34C20508" w14:textId="08B48E11" w:rsidR="00E47A1F" w:rsidRDefault="00E47A1F" w:rsidP="00BC70A3">
      <w:pPr>
        <w:rPr>
          <w:rFonts w:ascii="Arial Black" w:hAnsi="Arial Black"/>
          <w:b/>
          <w:sz w:val="24"/>
          <w:szCs w:val="24"/>
        </w:rPr>
      </w:pPr>
      <w:r>
        <w:rPr>
          <w:rFonts w:ascii="Arial Black" w:hAnsi="Arial Black"/>
          <w:b/>
          <w:sz w:val="24"/>
          <w:szCs w:val="24"/>
        </w:rPr>
        <w:t>8-57</w:t>
      </w:r>
    </w:p>
    <w:p w14:paraId="01EC4513" w14:textId="2576FA2B" w:rsidR="00D96E5D" w:rsidRDefault="00D96E5D" w:rsidP="00D96E5D">
      <w:pPr>
        <w:pStyle w:val="Heading1"/>
        <w:rPr>
          <w:rFonts w:ascii="Arial Black" w:hAnsi="Arial Black"/>
          <w:sz w:val="28"/>
          <w:szCs w:val="28"/>
        </w:rPr>
      </w:pPr>
      <w:r w:rsidRPr="00950088">
        <w:rPr>
          <w:rFonts w:ascii="Arial Black" w:hAnsi="Arial Black"/>
          <w:sz w:val="28"/>
          <w:szCs w:val="28"/>
        </w:rPr>
        <w:t>MS:</w:t>
      </w:r>
      <w:r>
        <w:rPr>
          <w:rFonts w:ascii="Arial Black" w:hAnsi="Arial Black"/>
          <w:sz w:val="28"/>
          <w:szCs w:val="28"/>
        </w:rPr>
        <w:t xml:space="preserve"> DIVERSITY SCHOLARSHIPS – NAT. ASSOC. OF EMERG. TECHNICIANS –</w:t>
      </w:r>
      <w:r w:rsidR="00A34572">
        <w:rPr>
          <w:rFonts w:ascii="Arial Black" w:hAnsi="Arial Black"/>
          <w:sz w:val="28"/>
          <w:szCs w:val="28"/>
        </w:rPr>
        <w:t xml:space="preserve"> </w:t>
      </w:r>
      <w:r>
        <w:rPr>
          <w:rFonts w:ascii="Arial Black" w:hAnsi="Arial Black"/>
          <w:sz w:val="28"/>
          <w:szCs w:val="28"/>
        </w:rPr>
        <w:t>PLAINTIFF GROUP DENIED TRO</w:t>
      </w:r>
    </w:p>
    <w:p w14:paraId="60229882" w14:textId="77777777" w:rsidR="00D96E5D" w:rsidRDefault="00D96E5D" w:rsidP="00D96E5D">
      <w:pPr>
        <w:pStyle w:val="Heading1"/>
        <w:rPr>
          <w:b w:val="0"/>
          <w:bCs w:val="0"/>
          <w:sz w:val="24"/>
          <w:szCs w:val="24"/>
        </w:rPr>
      </w:pPr>
      <w:r w:rsidRPr="00F27874">
        <w:rPr>
          <w:b w:val="0"/>
          <w:bCs w:val="0"/>
          <w:sz w:val="24"/>
          <w:szCs w:val="24"/>
        </w:rPr>
        <w:t xml:space="preserve">On </w:t>
      </w:r>
      <w:r>
        <w:rPr>
          <w:b w:val="0"/>
          <w:bCs w:val="0"/>
          <w:sz w:val="24"/>
          <w:szCs w:val="24"/>
        </w:rPr>
        <w:t xml:space="preserve">Jan. 23, 2024, in </w:t>
      </w:r>
      <w:r w:rsidRPr="00A7776E">
        <w:rPr>
          <w:b w:val="0"/>
          <w:bCs w:val="0"/>
          <w:sz w:val="24"/>
          <w:szCs w:val="24"/>
          <w:u w:val="single"/>
        </w:rPr>
        <w:t>Do No Harm v. National Association of Emergency Medical Technicians</w:t>
      </w:r>
      <w:r>
        <w:rPr>
          <w:b w:val="0"/>
          <w:bCs w:val="0"/>
          <w:sz w:val="24"/>
          <w:szCs w:val="24"/>
        </w:rPr>
        <w:t>, U.S. District Court Judge Carlton W. Reeves, U.S. District Court for the Southern District of Mississippi (Northern Division) denied the Plaintiff group’s motion for Temporary Restraining Order since no White member of the group has applied or been denied the scholarships. The NAEMT may therefore proceed with its application process for four $1,250 “diversity” scholarships to attend EMT school (applications due F</w:t>
      </w:r>
      <w:r w:rsidRPr="001F447E">
        <w:rPr>
          <w:b w:val="0"/>
          <w:bCs w:val="0"/>
          <w:sz w:val="24"/>
          <w:szCs w:val="24"/>
        </w:rPr>
        <w:t xml:space="preserve">ebruary 1, 2024 </w:t>
      </w:r>
      <w:r>
        <w:rPr>
          <w:b w:val="0"/>
          <w:bCs w:val="0"/>
          <w:sz w:val="24"/>
          <w:szCs w:val="24"/>
        </w:rPr>
        <w:t xml:space="preserve">- </w:t>
      </w:r>
      <w:r w:rsidRPr="001F447E">
        <w:rPr>
          <w:b w:val="0"/>
          <w:bCs w:val="0"/>
          <w:sz w:val="24"/>
          <w:szCs w:val="24"/>
        </w:rPr>
        <w:t>March 31, 2024</w:t>
      </w:r>
      <w:r>
        <w:rPr>
          <w:b w:val="0"/>
          <w:bCs w:val="0"/>
          <w:sz w:val="24"/>
          <w:szCs w:val="24"/>
        </w:rPr>
        <w:t xml:space="preserve">); </w:t>
      </w:r>
      <w:proofErr w:type="gramStart"/>
      <w:r>
        <w:rPr>
          <w:b w:val="0"/>
          <w:bCs w:val="0"/>
          <w:sz w:val="24"/>
          <w:szCs w:val="24"/>
        </w:rPr>
        <w:t>however</w:t>
      </w:r>
      <w:proofErr w:type="gramEnd"/>
      <w:r>
        <w:rPr>
          <w:b w:val="0"/>
          <w:bCs w:val="0"/>
          <w:sz w:val="24"/>
          <w:szCs w:val="24"/>
        </w:rPr>
        <w:t xml:space="preserve"> the Court notes they have taken down the scholarship from their web page. </w:t>
      </w:r>
    </w:p>
    <w:p w14:paraId="2A418C52" w14:textId="77777777" w:rsidR="00D96E5D" w:rsidRPr="001B6242" w:rsidRDefault="00D96E5D" w:rsidP="00D96E5D">
      <w:pPr>
        <w:pStyle w:val="NoSpacing"/>
        <w:ind w:firstLine="720"/>
        <w:rPr>
          <w:rFonts w:ascii="Times New Roman" w:hAnsi="Times New Roman"/>
          <w:sz w:val="24"/>
          <w:szCs w:val="24"/>
        </w:rPr>
      </w:pPr>
      <w:r>
        <w:rPr>
          <w:rFonts w:ascii="Times New Roman" w:hAnsi="Times New Roman"/>
          <w:sz w:val="24"/>
          <w:szCs w:val="24"/>
        </w:rPr>
        <w:t>“</w:t>
      </w:r>
      <w:r w:rsidRPr="001B6242">
        <w:rPr>
          <w:rFonts w:ascii="Times New Roman" w:hAnsi="Times New Roman"/>
          <w:sz w:val="24"/>
          <w:szCs w:val="24"/>
        </w:rPr>
        <w:t>Applied here, the caselaw suggests infirmities in Do No Harm’s standing to bring this</w:t>
      </w:r>
    </w:p>
    <w:p w14:paraId="2FB0EF25" w14:textId="77777777" w:rsidR="00D96E5D" w:rsidRPr="001B6242" w:rsidRDefault="00D96E5D" w:rsidP="00D96E5D">
      <w:pPr>
        <w:pStyle w:val="NoSpacing"/>
        <w:ind w:firstLine="720"/>
        <w:rPr>
          <w:rFonts w:ascii="Times New Roman" w:hAnsi="Times New Roman"/>
          <w:sz w:val="24"/>
          <w:szCs w:val="24"/>
        </w:rPr>
      </w:pPr>
      <w:r w:rsidRPr="001B6242">
        <w:rPr>
          <w:rFonts w:ascii="Times New Roman" w:hAnsi="Times New Roman"/>
          <w:sz w:val="24"/>
          <w:szCs w:val="24"/>
        </w:rPr>
        <w:t>§ 1981 claim. Its member has apparently only been deterred from applying, rather than</w:t>
      </w:r>
    </w:p>
    <w:p w14:paraId="31D3319D" w14:textId="77777777" w:rsidR="00D96E5D" w:rsidRDefault="00D96E5D" w:rsidP="00D96E5D">
      <w:pPr>
        <w:pStyle w:val="NoSpacing"/>
        <w:ind w:left="720"/>
        <w:rPr>
          <w:rFonts w:ascii="Times New Roman" w:hAnsi="Times New Roman"/>
          <w:sz w:val="24"/>
          <w:szCs w:val="24"/>
        </w:rPr>
      </w:pPr>
      <w:r w:rsidRPr="001B6242">
        <w:rPr>
          <w:rFonts w:ascii="Times New Roman" w:hAnsi="Times New Roman"/>
          <w:sz w:val="24"/>
          <w:szCs w:val="24"/>
        </w:rPr>
        <w:t>refused a contract. See Arguello, 330 F.3d at 358-59. And in the absence of a racial requirement</w:t>
      </w:r>
      <w:r>
        <w:rPr>
          <w:rFonts w:ascii="Times New Roman" w:hAnsi="Times New Roman"/>
          <w:sz w:val="24"/>
          <w:szCs w:val="24"/>
        </w:rPr>
        <w:t xml:space="preserve"> </w:t>
      </w:r>
      <w:r w:rsidRPr="001B6242">
        <w:rPr>
          <w:rFonts w:ascii="Times New Roman" w:hAnsi="Times New Roman"/>
          <w:sz w:val="24"/>
          <w:szCs w:val="24"/>
        </w:rPr>
        <w:t>in the scholarship’s eligibility requirements or an explicit bar against white applicants, we</w:t>
      </w:r>
      <w:r w:rsidRPr="001B6242">
        <w:rPr>
          <w:rFonts w:ascii="Times New Roman" w:hAnsi="Times New Roman"/>
          <w:b/>
          <w:bCs/>
          <w:sz w:val="24"/>
          <w:szCs w:val="24"/>
        </w:rPr>
        <w:t xml:space="preserve"> </w:t>
      </w:r>
      <w:r w:rsidRPr="001B6242">
        <w:rPr>
          <w:rFonts w:ascii="Times New Roman" w:hAnsi="Times New Roman"/>
          <w:sz w:val="24"/>
          <w:szCs w:val="24"/>
        </w:rPr>
        <w:t xml:space="preserve">are all forced to </w:t>
      </w:r>
      <w:r>
        <w:rPr>
          <w:rFonts w:ascii="Times New Roman" w:hAnsi="Times New Roman"/>
          <w:sz w:val="24"/>
          <w:szCs w:val="24"/>
        </w:rPr>
        <w:t>‘</w:t>
      </w:r>
      <w:r w:rsidRPr="001B6242">
        <w:rPr>
          <w:rFonts w:ascii="Times New Roman" w:hAnsi="Times New Roman"/>
          <w:sz w:val="24"/>
          <w:szCs w:val="24"/>
        </w:rPr>
        <w:t>speculate as to the injuries [Member A] might suffer. That we cannot do.</w:t>
      </w:r>
      <w:r>
        <w:rPr>
          <w:rFonts w:ascii="Times New Roman" w:hAnsi="Times New Roman"/>
          <w:sz w:val="24"/>
          <w:szCs w:val="24"/>
        </w:rPr>
        <w:t xml:space="preserve">’ </w:t>
      </w:r>
      <w:r w:rsidRPr="001B6242">
        <w:rPr>
          <w:rFonts w:ascii="Times New Roman" w:hAnsi="Times New Roman"/>
          <w:sz w:val="24"/>
          <w:szCs w:val="24"/>
        </w:rPr>
        <w:t>Barber, 860 F.3d at 357.</w:t>
      </w:r>
    </w:p>
    <w:p w14:paraId="0E231F57" w14:textId="77777777" w:rsidR="00D96E5D" w:rsidRDefault="00D96E5D" w:rsidP="00D96E5D">
      <w:pPr>
        <w:pStyle w:val="NoSpacing"/>
        <w:ind w:left="720"/>
        <w:rPr>
          <w:rFonts w:ascii="Times New Roman" w:hAnsi="Times New Roman"/>
          <w:sz w:val="24"/>
          <w:szCs w:val="24"/>
        </w:rPr>
      </w:pPr>
    </w:p>
    <w:p w14:paraId="74761522" w14:textId="77777777" w:rsidR="00D96E5D" w:rsidRDefault="00D96E5D" w:rsidP="00D96E5D">
      <w:pPr>
        <w:pStyle w:val="NoSpacing"/>
        <w:ind w:left="720"/>
        <w:rPr>
          <w:rFonts w:ascii="Times New Roman" w:hAnsi="Times New Roman"/>
          <w:sz w:val="24"/>
          <w:szCs w:val="24"/>
        </w:rPr>
      </w:pPr>
      <w:r>
        <w:rPr>
          <w:rFonts w:ascii="Times New Roman" w:hAnsi="Times New Roman"/>
          <w:sz w:val="24"/>
          <w:szCs w:val="24"/>
        </w:rPr>
        <w:t>***</w:t>
      </w:r>
    </w:p>
    <w:p w14:paraId="7115B2F5" w14:textId="77777777" w:rsidR="00D96E5D" w:rsidRDefault="00D96E5D" w:rsidP="00D96E5D">
      <w:pPr>
        <w:pStyle w:val="NoSpacing"/>
        <w:ind w:firstLine="720"/>
        <w:rPr>
          <w:rFonts w:ascii="Times New Roman" w:hAnsi="Times New Roman"/>
          <w:b/>
          <w:bCs/>
          <w:sz w:val="24"/>
          <w:szCs w:val="24"/>
        </w:rPr>
      </w:pPr>
    </w:p>
    <w:p w14:paraId="687F59B6" w14:textId="77777777" w:rsidR="00D96E5D" w:rsidRPr="001178AA" w:rsidRDefault="00D96E5D" w:rsidP="00D96E5D">
      <w:pPr>
        <w:pStyle w:val="NoSpacing"/>
        <w:ind w:firstLine="720"/>
        <w:rPr>
          <w:rFonts w:ascii="Times New Roman" w:hAnsi="Times New Roman"/>
          <w:sz w:val="24"/>
          <w:szCs w:val="24"/>
        </w:rPr>
      </w:pPr>
      <w:r w:rsidRPr="001178AA">
        <w:rPr>
          <w:rFonts w:ascii="Times New Roman" w:hAnsi="Times New Roman"/>
          <w:sz w:val="24"/>
          <w:szCs w:val="24"/>
        </w:rPr>
        <w:t>Lastly, the Court observes that as of today, NAEMT has removed its diversity</w:t>
      </w:r>
    </w:p>
    <w:p w14:paraId="78A18CEE" w14:textId="77777777" w:rsidR="00D96E5D" w:rsidRPr="001178AA" w:rsidRDefault="00D96E5D" w:rsidP="00D96E5D">
      <w:pPr>
        <w:pStyle w:val="NoSpacing"/>
        <w:ind w:left="720"/>
        <w:rPr>
          <w:rFonts w:ascii="Times New Roman" w:hAnsi="Times New Roman"/>
          <w:sz w:val="24"/>
          <w:szCs w:val="24"/>
        </w:rPr>
      </w:pPr>
      <w:r w:rsidRPr="001178AA">
        <w:rPr>
          <w:rFonts w:ascii="Times New Roman" w:hAnsi="Times New Roman"/>
          <w:sz w:val="24"/>
          <w:szCs w:val="24"/>
        </w:rPr>
        <w:t>scholarship from public display on its website. If the parties’ differences have been resolved,</w:t>
      </w:r>
      <w:r>
        <w:rPr>
          <w:rFonts w:ascii="Times New Roman" w:hAnsi="Times New Roman"/>
          <w:sz w:val="24"/>
          <w:szCs w:val="24"/>
        </w:rPr>
        <w:t xml:space="preserve"> </w:t>
      </w:r>
      <w:r w:rsidRPr="001178AA">
        <w:rPr>
          <w:rFonts w:ascii="Times New Roman" w:hAnsi="Times New Roman"/>
          <w:sz w:val="24"/>
          <w:szCs w:val="24"/>
        </w:rPr>
        <w:t>they shall promptly notify the Court.</w:t>
      </w:r>
      <w:r>
        <w:rPr>
          <w:rFonts w:ascii="Times New Roman" w:hAnsi="Times New Roman"/>
          <w:sz w:val="24"/>
          <w:szCs w:val="24"/>
        </w:rPr>
        <w:t xml:space="preserve">” </w:t>
      </w:r>
      <w:hyperlink r:id="rId1518" w:history="1">
        <w:r w:rsidRPr="00663E4B">
          <w:rPr>
            <w:rStyle w:val="Hyperlink"/>
            <w:rFonts w:ascii="Times New Roman" w:hAnsi="Times New Roman"/>
            <w:sz w:val="24"/>
            <w:szCs w:val="24"/>
          </w:rPr>
          <w:t>https://cases.justia.com/federal/district-courts/mississippi/mssdce/3:2024cv00011/123477/12/0.pdf?ts=1706115384</w:t>
        </w:r>
      </w:hyperlink>
      <w:r>
        <w:rPr>
          <w:rFonts w:ascii="Times New Roman" w:hAnsi="Times New Roman"/>
          <w:sz w:val="24"/>
          <w:szCs w:val="24"/>
        </w:rPr>
        <w:t xml:space="preserve"> </w:t>
      </w:r>
    </w:p>
    <w:p w14:paraId="3EC71BF7" w14:textId="77777777" w:rsidR="00643222" w:rsidRDefault="00643222" w:rsidP="00643222">
      <w:pPr>
        <w:pStyle w:val="NoSpacing"/>
        <w:rPr>
          <w:rFonts w:ascii="Times New Roman" w:hAnsi="Times New Roman"/>
          <w:b/>
          <w:bCs/>
          <w:sz w:val="24"/>
          <w:szCs w:val="24"/>
        </w:rPr>
      </w:pPr>
    </w:p>
    <w:p w14:paraId="084F58B6" w14:textId="58D6AD67" w:rsidR="00643222" w:rsidRDefault="00643222" w:rsidP="00643222">
      <w:pPr>
        <w:pStyle w:val="NoSpacing"/>
        <w:rPr>
          <w:rFonts w:ascii="Times New Roman" w:hAnsi="Times New Roman"/>
          <w:b/>
          <w:bCs/>
          <w:sz w:val="24"/>
          <w:szCs w:val="24"/>
        </w:rPr>
      </w:pPr>
      <w:r w:rsidRPr="001065A9">
        <w:rPr>
          <w:rFonts w:ascii="Times New Roman" w:hAnsi="Times New Roman"/>
          <w:b/>
          <w:bCs/>
          <w:sz w:val="24"/>
          <w:szCs w:val="24"/>
        </w:rPr>
        <w:t xml:space="preserve">Legal Lesson Learned: </w:t>
      </w:r>
      <w:r>
        <w:rPr>
          <w:rFonts w:ascii="Times New Roman" w:hAnsi="Times New Roman"/>
          <w:b/>
          <w:bCs/>
          <w:sz w:val="24"/>
          <w:szCs w:val="24"/>
        </w:rPr>
        <w:t xml:space="preserve">Lawsuit may now proceed with pre-trial discovery unless it has been mooted by NAEMT dropping their diversity scholarships. </w:t>
      </w:r>
    </w:p>
    <w:p w14:paraId="670AF7A9" w14:textId="77777777" w:rsidR="00643222" w:rsidRDefault="00643222" w:rsidP="00643222">
      <w:pPr>
        <w:pStyle w:val="NoSpacing"/>
        <w:rPr>
          <w:rFonts w:ascii="Times New Roman" w:hAnsi="Times New Roman"/>
          <w:b/>
          <w:bCs/>
          <w:sz w:val="24"/>
          <w:szCs w:val="24"/>
        </w:rPr>
      </w:pPr>
    </w:p>
    <w:p w14:paraId="2ACBFB6B" w14:textId="32A92EA7" w:rsidR="00643222" w:rsidRDefault="00643222" w:rsidP="00643222">
      <w:pPr>
        <w:pStyle w:val="NoSpacing"/>
        <w:ind w:left="720"/>
        <w:rPr>
          <w:rFonts w:ascii="Times New Roman" w:hAnsi="Times New Roman"/>
          <w:sz w:val="24"/>
          <w:szCs w:val="24"/>
        </w:rPr>
      </w:pPr>
      <w:r w:rsidRPr="0082425E">
        <w:rPr>
          <w:rFonts w:ascii="Times New Roman" w:hAnsi="Times New Roman"/>
          <w:sz w:val="24"/>
          <w:szCs w:val="24"/>
        </w:rPr>
        <w:t>Note:</w:t>
      </w:r>
      <w:r>
        <w:rPr>
          <w:rFonts w:ascii="Times New Roman" w:hAnsi="Times New Roman"/>
          <w:sz w:val="24"/>
          <w:szCs w:val="24"/>
        </w:rPr>
        <w:t xml:space="preserve"> This case is another example of lawsuits being filed challenging diversity programs s</w:t>
      </w:r>
      <w:r w:rsidRPr="0082425E">
        <w:rPr>
          <w:rFonts w:ascii="Times New Roman" w:hAnsi="Times New Roman"/>
          <w:sz w:val="24"/>
          <w:szCs w:val="24"/>
        </w:rPr>
        <w:t xml:space="preserve">ince the U.S. Supreme Court’s June 29, </w:t>
      </w:r>
      <w:proofErr w:type="gramStart"/>
      <w:r w:rsidRPr="0082425E">
        <w:rPr>
          <w:rFonts w:ascii="Times New Roman" w:hAnsi="Times New Roman"/>
          <w:sz w:val="24"/>
          <w:szCs w:val="24"/>
        </w:rPr>
        <w:t>2023</w:t>
      </w:r>
      <w:proofErr w:type="gramEnd"/>
      <w:r w:rsidRPr="0082425E">
        <w:rPr>
          <w:rFonts w:ascii="Times New Roman" w:hAnsi="Times New Roman"/>
          <w:sz w:val="24"/>
          <w:szCs w:val="24"/>
        </w:rPr>
        <w:t xml:space="preserve"> decision holding that Harvard University and University of North Carolina’s admissions programs accounting for race of applicants violated the Equal Protection Clause of 14</w:t>
      </w:r>
      <w:r w:rsidRPr="0082425E">
        <w:rPr>
          <w:rFonts w:ascii="Times New Roman" w:hAnsi="Times New Roman"/>
          <w:sz w:val="24"/>
          <w:szCs w:val="24"/>
          <w:vertAlign w:val="superscript"/>
        </w:rPr>
        <w:t>th</w:t>
      </w:r>
      <w:r w:rsidRPr="0082425E">
        <w:rPr>
          <w:rFonts w:ascii="Times New Roman" w:hAnsi="Times New Roman"/>
          <w:sz w:val="24"/>
          <w:szCs w:val="24"/>
        </w:rPr>
        <w:t xml:space="preserve"> Amendment</w:t>
      </w:r>
      <w:r>
        <w:rPr>
          <w:rFonts w:ascii="Times New Roman" w:hAnsi="Times New Roman"/>
          <w:sz w:val="24"/>
          <w:szCs w:val="24"/>
        </w:rPr>
        <w:t xml:space="preserve">. </w:t>
      </w:r>
      <w:r w:rsidRPr="00C13969">
        <w:rPr>
          <w:rFonts w:ascii="Times New Roman" w:hAnsi="Times New Roman"/>
          <w:sz w:val="24"/>
          <w:szCs w:val="24"/>
        </w:rPr>
        <w:t>STUDENTS FOR FAIR ADMISSIONS, INC. v.</w:t>
      </w:r>
      <w:r>
        <w:rPr>
          <w:rFonts w:ascii="Times New Roman" w:hAnsi="Times New Roman"/>
          <w:sz w:val="24"/>
          <w:szCs w:val="24"/>
        </w:rPr>
        <w:t xml:space="preserve"> </w:t>
      </w:r>
      <w:r w:rsidRPr="00C13969">
        <w:rPr>
          <w:rFonts w:ascii="Times New Roman" w:hAnsi="Times New Roman"/>
          <w:sz w:val="24"/>
          <w:szCs w:val="24"/>
        </w:rPr>
        <w:t>PRESIDENT AND FELLOWS OF</w:t>
      </w:r>
      <w:r>
        <w:rPr>
          <w:rFonts w:ascii="Times New Roman" w:hAnsi="Times New Roman"/>
          <w:sz w:val="24"/>
          <w:szCs w:val="24"/>
        </w:rPr>
        <w:t xml:space="preserve"> </w:t>
      </w:r>
      <w:r w:rsidRPr="00C13969">
        <w:rPr>
          <w:rFonts w:ascii="Times New Roman" w:hAnsi="Times New Roman"/>
          <w:sz w:val="24"/>
          <w:szCs w:val="24"/>
        </w:rPr>
        <w:t>HARVARD COLLEGE</w:t>
      </w:r>
      <w:r>
        <w:rPr>
          <w:rFonts w:ascii="Times New Roman" w:hAnsi="Times New Roman"/>
          <w:sz w:val="24"/>
          <w:szCs w:val="24"/>
        </w:rPr>
        <w:t xml:space="preserve"> (6 to 2; Justice </w:t>
      </w:r>
      <w:r w:rsidR="00394037">
        <w:rPr>
          <w:rFonts w:ascii="Times New Roman" w:hAnsi="Times New Roman"/>
          <w:sz w:val="24"/>
          <w:szCs w:val="24"/>
        </w:rPr>
        <w:t>Ketanji</w:t>
      </w:r>
      <w:r>
        <w:rPr>
          <w:rFonts w:ascii="Times New Roman" w:hAnsi="Times New Roman"/>
          <w:sz w:val="24"/>
          <w:szCs w:val="24"/>
        </w:rPr>
        <w:t xml:space="preserve"> Brown Jackson recused herself), and STUDENTS FOR ADMISSION v. UNIVERSITY OF NORTH CARLINA (6 to 3). </w:t>
      </w:r>
      <w:hyperlink r:id="rId1519" w:history="1">
        <w:r w:rsidRPr="00663E4B">
          <w:rPr>
            <w:rStyle w:val="Hyperlink"/>
            <w:rFonts w:ascii="Times New Roman" w:hAnsi="Times New Roman"/>
            <w:sz w:val="24"/>
            <w:szCs w:val="24"/>
          </w:rPr>
          <w:t>https://www.supremecourt.gov/opinions/22pdf/600us1r53_4g15.pdf</w:t>
        </w:r>
      </w:hyperlink>
      <w:r>
        <w:rPr>
          <w:rFonts w:ascii="Times New Roman" w:hAnsi="Times New Roman"/>
          <w:sz w:val="24"/>
          <w:szCs w:val="24"/>
        </w:rPr>
        <w:t xml:space="preserve"> </w:t>
      </w:r>
    </w:p>
    <w:p w14:paraId="6E78F65C" w14:textId="77777777" w:rsidR="00643222" w:rsidRDefault="00643222" w:rsidP="00643222">
      <w:pPr>
        <w:pStyle w:val="NoSpacing"/>
        <w:ind w:left="720"/>
        <w:rPr>
          <w:rFonts w:ascii="Times New Roman" w:hAnsi="Times New Roman"/>
          <w:sz w:val="24"/>
          <w:szCs w:val="24"/>
        </w:rPr>
      </w:pPr>
    </w:p>
    <w:p w14:paraId="319013FF" w14:textId="77777777" w:rsidR="00643222" w:rsidRPr="003906A9" w:rsidRDefault="00643222" w:rsidP="00643222">
      <w:pPr>
        <w:pStyle w:val="NoSpacing"/>
        <w:ind w:left="720"/>
        <w:rPr>
          <w:rFonts w:ascii="Times New Roman" w:hAnsi="Times New Roman"/>
          <w:sz w:val="24"/>
          <w:szCs w:val="24"/>
        </w:rPr>
      </w:pPr>
      <w:r w:rsidRPr="003906A9">
        <w:rPr>
          <w:rFonts w:ascii="Times New Roman" w:hAnsi="Times New Roman"/>
          <w:sz w:val="24"/>
          <w:szCs w:val="24"/>
        </w:rPr>
        <w:t xml:space="preserve">See: </w:t>
      </w:r>
      <w:r>
        <w:rPr>
          <w:rFonts w:ascii="Times New Roman" w:hAnsi="Times New Roman"/>
          <w:sz w:val="24"/>
          <w:szCs w:val="24"/>
        </w:rPr>
        <w:t>“</w:t>
      </w:r>
      <w:r w:rsidRPr="003906A9">
        <w:rPr>
          <w:rFonts w:ascii="Times New Roman" w:hAnsi="Times New Roman"/>
          <w:sz w:val="24"/>
          <w:szCs w:val="24"/>
        </w:rPr>
        <w:t>As Legal Challenges Mount, Some Companies Retool Diversity and Inclusion Programs</w:t>
      </w:r>
      <w:r>
        <w:rPr>
          <w:rFonts w:ascii="Times New Roman" w:hAnsi="Times New Roman"/>
          <w:sz w:val="24"/>
          <w:szCs w:val="24"/>
        </w:rPr>
        <w:t>”</w:t>
      </w:r>
      <w:r w:rsidRPr="003906A9">
        <w:rPr>
          <w:rFonts w:ascii="Times New Roman" w:hAnsi="Times New Roman"/>
          <w:sz w:val="24"/>
          <w:szCs w:val="24"/>
        </w:rPr>
        <w:t xml:space="preserve"> (Jan. 12, 2024). </w:t>
      </w:r>
      <w:hyperlink r:id="rId1520" w:history="1">
        <w:r w:rsidRPr="003906A9">
          <w:rPr>
            <w:rStyle w:val="Hyperlink"/>
            <w:rFonts w:ascii="Times New Roman" w:hAnsi="Times New Roman"/>
            <w:sz w:val="24"/>
            <w:szCs w:val="24"/>
          </w:rPr>
          <w:t>https://www.usnews.com/news/us/articles/2024-01-14/as-legal-challenges-mount-some-companies-retool-diversity-and-inclusion-programs</w:t>
        </w:r>
      </w:hyperlink>
      <w:r w:rsidRPr="003906A9">
        <w:rPr>
          <w:rFonts w:ascii="Times New Roman" w:hAnsi="Times New Roman"/>
          <w:sz w:val="24"/>
          <w:szCs w:val="24"/>
        </w:rPr>
        <w:t xml:space="preserve"> </w:t>
      </w:r>
    </w:p>
    <w:p w14:paraId="7F5BD8C0" w14:textId="77777777" w:rsidR="00643222" w:rsidRDefault="00643222" w:rsidP="00643222">
      <w:pPr>
        <w:pStyle w:val="Heading1"/>
        <w:ind w:left="720"/>
        <w:rPr>
          <w:b w:val="0"/>
          <w:bCs w:val="0"/>
          <w:sz w:val="24"/>
          <w:szCs w:val="24"/>
        </w:rPr>
      </w:pPr>
      <w:r w:rsidRPr="009C4E23">
        <w:rPr>
          <w:b w:val="0"/>
          <w:bCs w:val="0"/>
          <w:sz w:val="24"/>
          <w:szCs w:val="24"/>
        </w:rPr>
        <w:t>See</w:t>
      </w:r>
      <w:r>
        <w:rPr>
          <w:b w:val="0"/>
          <w:bCs w:val="0"/>
          <w:sz w:val="24"/>
          <w:szCs w:val="24"/>
        </w:rPr>
        <w:t xml:space="preserve"> also:</w:t>
      </w:r>
      <w:r w:rsidRPr="009C4E23">
        <w:rPr>
          <w:b w:val="0"/>
          <w:bCs w:val="0"/>
          <w:sz w:val="24"/>
          <w:szCs w:val="24"/>
        </w:rPr>
        <w:t xml:space="preserve"> “Lawsuits Challenge Law Firm Diversity Programs as Racially Discriminatory” (Oct. 6, 2023). </w:t>
      </w:r>
      <w:hyperlink r:id="rId1521" w:history="1">
        <w:r w:rsidRPr="009C4E23">
          <w:rPr>
            <w:rStyle w:val="Hyperlink"/>
            <w:b w:val="0"/>
            <w:bCs w:val="0"/>
            <w:sz w:val="24"/>
            <w:szCs w:val="24"/>
          </w:rPr>
          <w:t>https://fedsoc.org/commentary/fedsoc-blog/lawsuits-challenge-law-firm-diversity-programs-as-racially-discriminatory</w:t>
        </w:r>
      </w:hyperlink>
      <w:r w:rsidRPr="009C4E23">
        <w:rPr>
          <w:b w:val="0"/>
          <w:bCs w:val="0"/>
          <w:sz w:val="24"/>
          <w:szCs w:val="24"/>
        </w:rPr>
        <w:t xml:space="preserve"> </w:t>
      </w:r>
    </w:p>
    <w:p w14:paraId="0C67E1D5" w14:textId="77777777" w:rsidR="00643222" w:rsidRDefault="00643222" w:rsidP="00BC70A3">
      <w:pPr>
        <w:rPr>
          <w:rFonts w:ascii="Arial Black" w:hAnsi="Arial Black"/>
          <w:b/>
          <w:sz w:val="24"/>
          <w:szCs w:val="24"/>
        </w:rPr>
      </w:pPr>
    </w:p>
    <w:p w14:paraId="6B578B71" w14:textId="77777777" w:rsidR="00E47A1F" w:rsidRDefault="00E47A1F" w:rsidP="00BC70A3">
      <w:pPr>
        <w:rPr>
          <w:rFonts w:ascii="Arial Black" w:hAnsi="Arial Black"/>
          <w:b/>
          <w:sz w:val="24"/>
          <w:szCs w:val="24"/>
        </w:rPr>
      </w:pPr>
    </w:p>
    <w:p w14:paraId="03EE2F66" w14:textId="77777777" w:rsidR="00E47A1F" w:rsidRDefault="00E47A1F" w:rsidP="00BC70A3">
      <w:pPr>
        <w:rPr>
          <w:rFonts w:ascii="Arial Black" w:hAnsi="Arial Black"/>
          <w:b/>
          <w:sz w:val="24"/>
          <w:szCs w:val="24"/>
        </w:rPr>
      </w:pPr>
    </w:p>
    <w:p w14:paraId="02E49FA9" w14:textId="188D687D" w:rsidR="007F6B94" w:rsidRDefault="007F6B94" w:rsidP="00BC70A3">
      <w:pPr>
        <w:rPr>
          <w:rFonts w:ascii="Arial Black" w:hAnsi="Arial Black"/>
          <w:b/>
          <w:sz w:val="24"/>
          <w:szCs w:val="24"/>
        </w:rPr>
      </w:pPr>
      <w:r>
        <w:rPr>
          <w:rFonts w:ascii="Arial Black" w:hAnsi="Arial Black"/>
          <w:b/>
          <w:sz w:val="24"/>
          <w:szCs w:val="24"/>
        </w:rPr>
        <w:t>8-56</w:t>
      </w:r>
    </w:p>
    <w:p w14:paraId="5986DF1F" w14:textId="77777777" w:rsidR="0051041F" w:rsidRPr="00D437F9" w:rsidRDefault="0051041F" w:rsidP="0051041F">
      <w:pPr>
        <w:pStyle w:val="NoSpacing"/>
        <w:rPr>
          <w:rFonts w:ascii="Arial Black" w:hAnsi="Arial Black"/>
          <w:sz w:val="28"/>
          <w:szCs w:val="28"/>
        </w:rPr>
      </w:pPr>
      <w:r>
        <w:rPr>
          <w:rFonts w:ascii="Arial Black" w:hAnsi="Arial Black"/>
          <w:sz w:val="28"/>
          <w:szCs w:val="28"/>
        </w:rPr>
        <w:t xml:space="preserve">DE: BLACK LT. – 2020 “BAND ONE” FOR CAPTAIN – 5 WHITES PROMOTED – 2022 LOWERED “BAND TWO” - CASE PROCEED </w:t>
      </w:r>
    </w:p>
    <w:p w14:paraId="262A9489" w14:textId="77777777" w:rsidR="0051041F" w:rsidRDefault="0051041F" w:rsidP="0051041F">
      <w:pPr>
        <w:pStyle w:val="NoSpacing"/>
        <w:rPr>
          <w:rFonts w:ascii="Times New Roman" w:hAnsi="Times New Roman"/>
          <w:sz w:val="24"/>
          <w:szCs w:val="24"/>
        </w:rPr>
      </w:pPr>
    </w:p>
    <w:p w14:paraId="4A91114D" w14:textId="77777777" w:rsidR="0051041F" w:rsidRDefault="0051041F" w:rsidP="0051041F">
      <w:pPr>
        <w:pStyle w:val="NoSpacing"/>
        <w:rPr>
          <w:rFonts w:ascii="Times New Roman" w:hAnsi="Times New Roman"/>
          <w:sz w:val="24"/>
          <w:szCs w:val="24"/>
        </w:rPr>
      </w:pPr>
      <w:r>
        <w:rPr>
          <w:rFonts w:ascii="Times New Roman" w:hAnsi="Times New Roman"/>
          <w:sz w:val="24"/>
          <w:szCs w:val="24"/>
        </w:rPr>
        <w:t xml:space="preserve">On Dec. 15, 2023, in </w:t>
      </w:r>
      <w:r w:rsidRPr="00AC0301">
        <w:rPr>
          <w:rFonts w:ascii="Times New Roman" w:hAnsi="Times New Roman"/>
          <w:sz w:val="24"/>
          <w:szCs w:val="24"/>
          <w:u w:val="single"/>
        </w:rPr>
        <w:t>Craig Black v. City of Wilmington</w:t>
      </w:r>
      <w:r>
        <w:rPr>
          <w:rFonts w:ascii="Times New Roman" w:hAnsi="Times New Roman"/>
          <w:sz w:val="24"/>
          <w:szCs w:val="24"/>
        </w:rPr>
        <w:t>, U.S. District Court Judge Gregory B. William, U.S. District Court for District of Delaware, denied most of the City’s motion to dismiss; the complaint alleges sufficient facts to permit pre-trial discovery.  The Court wrote: “H</w:t>
      </w:r>
      <w:r w:rsidRPr="00355BA0">
        <w:rPr>
          <w:rFonts w:ascii="Times New Roman" w:hAnsi="Times New Roman"/>
          <w:sz w:val="24"/>
          <w:szCs w:val="24"/>
        </w:rPr>
        <w:t>ere, Black has alleged numerous acts of</w:t>
      </w:r>
      <w:r>
        <w:rPr>
          <w:rFonts w:ascii="Times New Roman" w:hAnsi="Times New Roman"/>
          <w:sz w:val="24"/>
          <w:szCs w:val="24"/>
        </w:rPr>
        <w:t xml:space="preserve"> </w:t>
      </w:r>
      <w:r w:rsidRPr="00355BA0">
        <w:rPr>
          <w:rFonts w:ascii="Times New Roman" w:hAnsi="Times New Roman"/>
          <w:sz w:val="24"/>
          <w:szCs w:val="24"/>
        </w:rPr>
        <w:t>retaliation by Defendants over a thirteen-month timeframe, which include denying Black</w:t>
      </w:r>
      <w:r>
        <w:rPr>
          <w:rFonts w:ascii="Times New Roman" w:hAnsi="Times New Roman"/>
          <w:sz w:val="24"/>
          <w:szCs w:val="24"/>
        </w:rPr>
        <w:t xml:space="preserve"> </w:t>
      </w:r>
      <w:r w:rsidRPr="00355BA0">
        <w:rPr>
          <w:rFonts w:ascii="Times New Roman" w:hAnsi="Times New Roman"/>
          <w:sz w:val="24"/>
          <w:szCs w:val="24"/>
        </w:rPr>
        <w:t>promotions to the rank of Captain on several occasions; dispersing General Order 2022-15 that</w:t>
      </w:r>
      <w:r>
        <w:rPr>
          <w:rFonts w:ascii="Times New Roman" w:hAnsi="Times New Roman"/>
          <w:sz w:val="24"/>
          <w:szCs w:val="24"/>
        </w:rPr>
        <w:t xml:space="preserve"> </w:t>
      </w:r>
      <w:r w:rsidRPr="00355BA0">
        <w:rPr>
          <w:rFonts w:ascii="Times New Roman" w:hAnsi="Times New Roman"/>
          <w:sz w:val="24"/>
          <w:szCs w:val="24"/>
        </w:rPr>
        <w:t>altered the City's procedures for promotions by requiring that promotions to Captain be made</w:t>
      </w:r>
      <w:r>
        <w:rPr>
          <w:rFonts w:ascii="Times New Roman" w:hAnsi="Times New Roman"/>
          <w:sz w:val="24"/>
          <w:szCs w:val="24"/>
        </w:rPr>
        <w:t xml:space="preserve"> </w:t>
      </w:r>
      <w:r w:rsidRPr="00355BA0">
        <w:rPr>
          <w:rFonts w:ascii="Times New Roman" w:hAnsi="Times New Roman"/>
          <w:sz w:val="24"/>
          <w:szCs w:val="24"/>
        </w:rPr>
        <w:t>only from Band One; and ultimately demoting Black to Band Two despite the fact he was</w:t>
      </w:r>
      <w:r>
        <w:rPr>
          <w:rFonts w:ascii="Times New Roman" w:hAnsi="Times New Roman"/>
          <w:sz w:val="24"/>
          <w:szCs w:val="24"/>
        </w:rPr>
        <w:t xml:space="preserve"> </w:t>
      </w:r>
      <w:r w:rsidRPr="00355BA0">
        <w:rPr>
          <w:rFonts w:ascii="Times New Roman" w:hAnsi="Times New Roman"/>
          <w:sz w:val="24"/>
          <w:szCs w:val="24"/>
        </w:rPr>
        <w:t>previously placed on Band One</w:t>
      </w:r>
      <w:r>
        <w:rPr>
          <w:rFonts w:ascii="Times New Roman" w:hAnsi="Times New Roman"/>
          <w:sz w:val="24"/>
          <w:szCs w:val="24"/>
        </w:rPr>
        <w:t xml:space="preserve">. ***  </w:t>
      </w:r>
      <w:r w:rsidRPr="007404E7">
        <w:rPr>
          <w:rFonts w:ascii="Times New Roman" w:hAnsi="Times New Roman"/>
          <w:sz w:val="24"/>
          <w:szCs w:val="24"/>
        </w:rPr>
        <w:t>Additionally, while Defendants stress that Black was found guilty of a disciplinary action in an</w:t>
      </w:r>
      <w:r>
        <w:rPr>
          <w:rFonts w:ascii="Times New Roman" w:hAnsi="Times New Roman"/>
          <w:sz w:val="24"/>
          <w:szCs w:val="24"/>
        </w:rPr>
        <w:t xml:space="preserve"> </w:t>
      </w:r>
      <w:r w:rsidRPr="007404E7">
        <w:rPr>
          <w:rFonts w:ascii="Times New Roman" w:hAnsi="Times New Roman"/>
          <w:sz w:val="24"/>
          <w:szCs w:val="24"/>
        </w:rPr>
        <w:t>attempt to further distinguish him from the five comparators</w:t>
      </w:r>
      <w:r>
        <w:rPr>
          <w:rFonts w:ascii="Times New Roman" w:hAnsi="Times New Roman"/>
          <w:sz w:val="24"/>
          <w:szCs w:val="24"/>
        </w:rPr>
        <w:t xml:space="preserve"> … </w:t>
      </w:r>
      <w:r w:rsidRPr="007404E7">
        <w:rPr>
          <w:rFonts w:ascii="Times New Roman" w:hAnsi="Times New Roman"/>
          <w:sz w:val="24"/>
          <w:szCs w:val="24"/>
        </w:rPr>
        <w:t>the Court notes again</w:t>
      </w:r>
      <w:r>
        <w:rPr>
          <w:rFonts w:ascii="Times New Roman" w:hAnsi="Times New Roman"/>
          <w:sz w:val="24"/>
          <w:szCs w:val="24"/>
        </w:rPr>
        <w:t xml:space="preserve"> </w:t>
      </w:r>
      <w:r w:rsidRPr="007404E7">
        <w:rPr>
          <w:rFonts w:ascii="Times New Roman" w:hAnsi="Times New Roman"/>
          <w:sz w:val="24"/>
          <w:szCs w:val="24"/>
        </w:rPr>
        <w:t>that it cannot consider new evidence that was not alleged in Black' s pleadings, including the status</w:t>
      </w:r>
      <w:r>
        <w:rPr>
          <w:rFonts w:ascii="Times New Roman" w:hAnsi="Times New Roman"/>
          <w:sz w:val="24"/>
          <w:szCs w:val="24"/>
        </w:rPr>
        <w:t xml:space="preserve"> </w:t>
      </w:r>
      <w:r w:rsidRPr="007404E7">
        <w:rPr>
          <w:rFonts w:ascii="Times New Roman" w:hAnsi="Times New Roman"/>
          <w:sz w:val="24"/>
          <w:szCs w:val="24"/>
        </w:rPr>
        <w:t>of his disciplinary action and the disciplinary records of the five comparators.</w:t>
      </w:r>
      <w:r>
        <w:rPr>
          <w:rFonts w:ascii="Times New Roman" w:hAnsi="Times New Roman"/>
          <w:sz w:val="24"/>
          <w:szCs w:val="24"/>
        </w:rPr>
        <w:t>”</w:t>
      </w:r>
    </w:p>
    <w:p w14:paraId="3A51A664" w14:textId="77777777" w:rsidR="0051041F" w:rsidRDefault="0051041F" w:rsidP="0051041F">
      <w:pPr>
        <w:pStyle w:val="NoSpacing"/>
        <w:rPr>
          <w:rFonts w:ascii="Times New Roman" w:hAnsi="Times New Roman"/>
          <w:sz w:val="24"/>
          <w:szCs w:val="24"/>
        </w:rPr>
      </w:pPr>
      <w:hyperlink r:id="rId1522" w:history="1">
        <w:r w:rsidRPr="00E359E2">
          <w:rPr>
            <w:rStyle w:val="Hyperlink"/>
            <w:rFonts w:ascii="Times New Roman" w:hAnsi="Times New Roman"/>
            <w:sz w:val="24"/>
            <w:szCs w:val="24"/>
          </w:rPr>
          <w:t>https://storage.courtlistener.com/recap/gov.uscourts.ded.79218/gov.uscourts.ded.79218.29.0.pdf</w:t>
        </w:r>
      </w:hyperlink>
      <w:r>
        <w:rPr>
          <w:rFonts w:ascii="Times New Roman" w:hAnsi="Times New Roman"/>
          <w:sz w:val="24"/>
          <w:szCs w:val="24"/>
        </w:rPr>
        <w:t xml:space="preserve"> </w:t>
      </w:r>
    </w:p>
    <w:p w14:paraId="696927FC" w14:textId="77777777" w:rsidR="0051041F" w:rsidRDefault="0051041F" w:rsidP="0051041F">
      <w:pPr>
        <w:pStyle w:val="NoSpacing"/>
        <w:rPr>
          <w:rFonts w:ascii="Times New Roman" w:hAnsi="Times New Roman"/>
          <w:sz w:val="24"/>
          <w:szCs w:val="24"/>
        </w:rPr>
      </w:pPr>
    </w:p>
    <w:p w14:paraId="4FD703AA" w14:textId="77777777" w:rsidR="00231A5A" w:rsidRPr="00361309" w:rsidRDefault="00231A5A" w:rsidP="00231A5A">
      <w:pPr>
        <w:pStyle w:val="NoSpacing"/>
        <w:rPr>
          <w:rFonts w:ascii="Times New Roman" w:hAnsi="Times New Roman"/>
          <w:b/>
          <w:bCs/>
          <w:sz w:val="24"/>
          <w:szCs w:val="24"/>
        </w:rPr>
      </w:pPr>
      <w:r w:rsidRPr="00361309">
        <w:rPr>
          <w:rFonts w:ascii="Times New Roman" w:hAnsi="Times New Roman"/>
          <w:b/>
          <w:bCs/>
          <w:sz w:val="24"/>
          <w:szCs w:val="24"/>
        </w:rPr>
        <w:t>Legal Lesson Learned:</w:t>
      </w:r>
      <w:r>
        <w:rPr>
          <w:rFonts w:ascii="Times New Roman" w:hAnsi="Times New Roman"/>
          <w:b/>
          <w:bCs/>
          <w:sz w:val="24"/>
          <w:szCs w:val="24"/>
        </w:rPr>
        <w:t xml:space="preserve"> Pre-trial discovery will now proceed. </w:t>
      </w:r>
    </w:p>
    <w:p w14:paraId="44B35763" w14:textId="77777777" w:rsidR="007F6B94" w:rsidRDefault="007F6B94" w:rsidP="00BC70A3">
      <w:pPr>
        <w:rPr>
          <w:rFonts w:ascii="Arial Black" w:hAnsi="Arial Black"/>
          <w:b/>
          <w:sz w:val="24"/>
          <w:szCs w:val="24"/>
        </w:rPr>
      </w:pPr>
    </w:p>
    <w:p w14:paraId="4BC66D32" w14:textId="77777777" w:rsidR="007F6B94" w:rsidRDefault="007F6B94" w:rsidP="00BC70A3">
      <w:pPr>
        <w:rPr>
          <w:rFonts w:ascii="Arial Black" w:hAnsi="Arial Black"/>
          <w:b/>
          <w:sz w:val="24"/>
          <w:szCs w:val="24"/>
        </w:rPr>
      </w:pPr>
    </w:p>
    <w:p w14:paraId="479FFB35" w14:textId="77777777" w:rsidR="007F6B94" w:rsidRDefault="007F6B94" w:rsidP="00BC70A3">
      <w:pPr>
        <w:rPr>
          <w:rFonts w:ascii="Arial Black" w:hAnsi="Arial Black"/>
          <w:b/>
          <w:sz w:val="24"/>
          <w:szCs w:val="24"/>
        </w:rPr>
      </w:pPr>
    </w:p>
    <w:p w14:paraId="081DEDFD" w14:textId="1657F6B3" w:rsidR="00832745" w:rsidRDefault="00832745" w:rsidP="00BC70A3">
      <w:pPr>
        <w:rPr>
          <w:rFonts w:ascii="Arial Black" w:hAnsi="Arial Black"/>
          <w:b/>
          <w:sz w:val="24"/>
          <w:szCs w:val="24"/>
        </w:rPr>
      </w:pPr>
      <w:r>
        <w:rPr>
          <w:rFonts w:ascii="Arial Black" w:hAnsi="Arial Black"/>
          <w:b/>
          <w:sz w:val="24"/>
          <w:szCs w:val="24"/>
        </w:rPr>
        <w:t>8-55</w:t>
      </w:r>
    </w:p>
    <w:p w14:paraId="2A0E49E0" w14:textId="77777777" w:rsidR="00832745" w:rsidRDefault="00832745" w:rsidP="00832745">
      <w:pPr>
        <w:pStyle w:val="NormalWeb"/>
        <w:rPr>
          <w:rFonts w:ascii="Arial Black" w:hAnsi="Arial Black"/>
          <w:b/>
          <w:bCs/>
          <w:sz w:val="28"/>
          <w:szCs w:val="28"/>
        </w:rPr>
      </w:pPr>
      <w:r>
        <w:rPr>
          <w:rFonts w:ascii="Arial Black" w:hAnsi="Arial Black"/>
          <w:b/>
          <w:bCs/>
          <w:sz w:val="28"/>
          <w:szCs w:val="28"/>
        </w:rPr>
        <w:t>FL: BLACK FF FIRED – 2</w:t>
      </w:r>
      <w:r w:rsidRPr="00670C68">
        <w:rPr>
          <w:rFonts w:ascii="Arial Black" w:hAnsi="Arial Black"/>
          <w:b/>
          <w:bCs/>
          <w:sz w:val="28"/>
          <w:szCs w:val="28"/>
          <w:vertAlign w:val="superscript"/>
        </w:rPr>
        <w:t>nd</w:t>
      </w:r>
      <w:r>
        <w:rPr>
          <w:rFonts w:ascii="Arial Black" w:hAnsi="Arial Black"/>
          <w:b/>
          <w:bCs/>
          <w:sz w:val="28"/>
          <w:szCs w:val="28"/>
        </w:rPr>
        <w:t xml:space="preserve"> POSITIVE DRUG TEST – WHITE CAPTAIN NOT FIRED 1</w:t>
      </w:r>
      <w:r w:rsidRPr="00670C68">
        <w:rPr>
          <w:rFonts w:ascii="Arial Black" w:hAnsi="Arial Black"/>
          <w:b/>
          <w:bCs/>
          <w:sz w:val="28"/>
          <w:szCs w:val="28"/>
          <w:vertAlign w:val="superscript"/>
        </w:rPr>
        <w:t>st</w:t>
      </w:r>
      <w:r>
        <w:rPr>
          <w:rFonts w:ascii="Arial Black" w:hAnsi="Arial Black"/>
          <w:b/>
          <w:bCs/>
          <w:sz w:val="28"/>
          <w:szCs w:val="28"/>
        </w:rPr>
        <w:t xml:space="preserve"> POSITIVE – CASE DISMISSED</w:t>
      </w:r>
    </w:p>
    <w:p w14:paraId="0134DCD0" w14:textId="77777777" w:rsidR="00832745" w:rsidRDefault="00832745" w:rsidP="00832745">
      <w:pPr>
        <w:pStyle w:val="NormalWeb"/>
      </w:pPr>
      <w:r w:rsidRPr="00F632F5">
        <w:t xml:space="preserve">On </w:t>
      </w:r>
      <w:r>
        <w:t xml:space="preserve">Oct. 10, 2023, in </w:t>
      </w:r>
      <w:r w:rsidRPr="00F632F5">
        <w:rPr>
          <w:u w:val="single"/>
        </w:rPr>
        <w:t>Robert Hodges v. Miami-Dade County</w:t>
      </w:r>
      <w:r>
        <w:t xml:space="preserve">, U.S. District Court Judge Beth Bloom, U.S. District Court for Southern District of Florida, granted the defense motion for summary judgment.  The Court held: “Unlike Captain Brunetti, however, Plaintiff tested positive </w:t>
      </w:r>
      <w:r>
        <w:rPr>
          <w:rStyle w:val="Emphasis"/>
          <w:rFonts w:eastAsiaTheme="majorEastAsia"/>
        </w:rPr>
        <w:t>again</w:t>
      </w:r>
      <w:r>
        <w:t xml:space="preserve"> in January 2020, violating the terms of his 2019 Agreement. SMF ¶¶ 17-18; SAMF ¶¶ 17-18. As such, the undisputed evidence establishes that Defendant did not treat Captain Brunetti more favorably. The undisputed evidence supports the conclusion that Defendant treated both employees the same, only electing to terminate Plaintiff after his second violation of Defendant's policies </w:t>
      </w:r>
      <w:r>
        <w:rPr>
          <w:rStyle w:val="Emphasis"/>
          <w:rFonts w:eastAsiaTheme="majorEastAsia"/>
        </w:rPr>
        <w:t>after</w:t>
      </w:r>
      <w:r>
        <w:t xml:space="preserve"> signing his 2019 Agreement. The record demonstrates that Plaintiff and Defendant Brunetti do not share the same disciplinary history. *** Accordingly, Plaintiff fails to show that Defendant's proffered reason for his termination was pretextual. Plaintiff has also failed to point to any evidence supporting an inference that racial discrimination was the real reason. Those deficiencies are fatal to Plaintiff's discrimination claim under </w:t>
      </w:r>
      <w:r>
        <w:rPr>
          <w:rStyle w:val="Emphasis"/>
          <w:rFonts w:eastAsiaTheme="majorEastAsia"/>
        </w:rPr>
        <w:t>McDonnell Douglas</w:t>
      </w:r>
      <w:r>
        <w:rPr>
          <w:rStyle w:val="Emphasis"/>
        </w:rPr>
        <w:t xml:space="preserve">” </w:t>
      </w:r>
      <w:hyperlink r:id="rId1523" w:history="1">
        <w:r w:rsidRPr="00317BBB">
          <w:rPr>
            <w:rStyle w:val="Hyperlink"/>
            <w:rFonts w:eastAsiaTheme="majorEastAsia"/>
          </w:rPr>
          <w:t>https://www.casemine.com/judgement/us/6527768e0e33307ee3c25e6b</w:t>
        </w:r>
      </w:hyperlink>
      <w:r>
        <w:rPr>
          <w:rStyle w:val="Emphasis"/>
        </w:rPr>
        <w:t xml:space="preserve"> </w:t>
      </w:r>
    </w:p>
    <w:p w14:paraId="2E680A62" w14:textId="77777777" w:rsidR="00832745" w:rsidRPr="00867C5C" w:rsidRDefault="00832745" w:rsidP="00832745">
      <w:pPr>
        <w:pStyle w:val="NormalWeb"/>
        <w:rPr>
          <w:b/>
          <w:bCs/>
        </w:rPr>
      </w:pPr>
      <w:r w:rsidRPr="00867C5C">
        <w:rPr>
          <w:b/>
          <w:bCs/>
        </w:rPr>
        <w:t>Legal Lesson Learned:</w:t>
      </w:r>
      <w:r>
        <w:rPr>
          <w:b/>
          <w:bCs/>
        </w:rPr>
        <w:t xml:space="preserve"> Second violation of the “last chance” agreement was legitimate basis for termination. </w:t>
      </w:r>
    </w:p>
    <w:p w14:paraId="4A19A794" w14:textId="77777777" w:rsidR="00832745" w:rsidRDefault="00832745" w:rsidP="00BC70A3">
      <w:pPr>
        <w:rPr>
          <w:rFonts w:ascii="Arial Black" w:hAnsi="Arial Black"/>
          <w:b/>
          <w:sz w:val="24"/>
          <w:szCs w:val="24"/>
        </w:rPr>
      </w:pPr>
    </w:p>
    <w:p w14:paraId="12176806" w14:textId="7F3FB542" w:rsidR="00AC3E10" w:rsidRDefault="00AC3E10" w:rsidP="00BC70A3">
      <w:pPr>
        <w:rPr>
          <w:rFonts w:ascii="Arial Black" w:hAnsi="Arial Black"/>
          <w:b/>
          <w:sz w:val="24"/>
          <w:szCs w:val="24"/>
        </w:rPr>
      </w:pPr>
      <w:r>
        <w:rPr>
          <w:rFonts w:ascii="Arial Black" w:hAnsi="Arial Black"/>
          <w:b/>
          <w:sz w:val="24"/>
          <w:szCs w:val="24"/>
        </w:rPr>
        <w:t>8-54</w:t>
      </w:r>
    </w:p>
    <w:p w14:paraId="14BE0E5B" w14:textId="77777777" w:rsidR="00AC3E10" w:rsidRDefault="00AC3E10" w:rsidP="00AC3E10">
      <w:pPr>
        <w:pStyle w:val="NoSpacing"/>
        <w:rPr>
          <w:rFonts w:ascii="Arial Black" w:hAnsi="Arial Black"/>
          <w:sz w:val="28"/>
          <w:szCs w:val="28"/>
        </w:rPr>
      </w:pPr>
      <w:r>
        <w:rPr>
          <w:rFonts w:ascii="Arial Black" w:hAnsi="Arial Black"/>
          <w:sz w:val="28"/>
          <w:szCs w:val="28"/>
        </w:rPr>
        <w:t xml:space="preserve">KS: BLACK CAPTAIN – IC AT STRIP MALL FIRE – “SHIT SHOW” – CHIEF DOC. IN PERF. REVIEW - NO DISCRIM. </w:t>
      </w:r>
    </w:p>
    <w:p w14:paraId="5A396C02" w14:textId="77777777" w:rsidR="00AC3E10" w:rsidRPr="005B52AD" w:rsidRDefault="00AC3E10" w:rsidP="00AC3E10">
      <w:pPr>
        <w:pStyle w:val="NoSpacing"/>
        <w:rPr>
          <w:rFonts w:ascii="Times New Roman" w:hAnsi="Times New Roman"/>
          <w:sz w:val="24"/>
          <w:szCs w:val="24"/>
        </w:rPr>
      </w:pPr>
      <w:r w:rsidRPr="005B52AD">
        <w:rPr>
          <w:rFonts w:ascii="Times New Roman" w:hAnsi="Times New Roman"/>
          <w:sz w:val="24"/>
          <w:szCs w:val="24"/>
        </w:rPr>
        <w:t>[also Chap. 4]</w:t>
      </w:r>
    </w:p>
    <w:p w14:paraId="67F17658" w14:textId="77777777" w:rsidR="00AC3E10" w:rsidRDefault="00AC3E10" w:rsidP="00AC3E10">
      <w:pPr>
        <w:pStyle w:val="NoSpacing"/>
        <w:rPr>
          <w:rFonts w:ascii="Times New Roman" w:hAnsi="Times New Roman"/>
          <w:sz w:val="24"/>
          <w:szCs w:val="24"/>
        </w:rPr>
      </w:pPr>
    </w:p>
    <w:p w14:paraId="35560435" w14:textId="77777777" w:rsidR="00AC3E10" w:rsidRDefault="00AC3E10" w:rsidP="00AC3E10">
      <w:pPr>
        <w:pStyle w:val="NoSpacing"/>
        <w:rPr>
          <w:rFonts w:ascii="Times New Roman" w:hAnsi="Times New Roman"/>
          <w:sz w:val="24"/>
          <w:szCs w:val="24"/>
        </w:rPr>
      </w:pPr>
      <w:r>
        <w:rPr>
          <w:rFonts w:ascii="Times New Roman" w:hAnsi="Times New Roman"/>
          <w:sz w:val="24"/>
          <w:szCs w:val="24"/>
        </w:rPr>
        <w:t xml:space="preserve">On Sept. 8, 2023, in </w:t>
      </w:r>
      <w:r w:rsidRPr="009108A0">
        <w:rPr>
          <w:rFonts w:ascii="Times New Roman" w:hAnsi="Times New Roman"/>
          <w:sz w:val="24"/>
          <w:szCs w:val="24"/>
          <w:u w:val="single"/>
        </w:rPr>
        <w:t>Mark Jordan v. City of Wichita, Kansas, et al.</w:t>
      </w:r>
      <w:r>
        <w:rPr>
          <w:rFonts w:ascii="Times New Roman" w:hAnsi="Times New Roman"/>
          <w:sz w:val="24"/>
          <w:szCs w:val="24"/>
        </w:rPr>
        <w:t xml:space="preserve">, U.S. District Court Judge Daniel D. Crabtree, U.S. District Court for the District of Kansas, granted the City’s motion for summary judgment.  The August 2019 strip mall fire went to two alarms; plaintiff arrived on seventh unit and took command because no one has yet become IC. Plaintiff admitted it didn’t go well and in his </w:t>
      </w:r>
      <w:proofErr w:type="gramStart"/>
      <w:r>
        <w:rPr>
          <w:rFonts w:ascii="Times New Roman" w:hAnsi="Times New Roman"/>
          <w:sz w:val="24"/>
          <w:szCs w:val="24"/>
        </w:rPr>
        <w:t>words</w:t>
      </w:r>
      <w:proofErr w:type="gramEnd"/>
      <w:r>
        <w:rPr>
          <w:rFonts w:ascii="Times New Roman" w:hAnsi="Times New Roman"/>
          <w:sz w:val="24"/>
          <w:szCs w:val="24"/>
        </w:rPr>
        <w:t xml:space="preserve"> it was a “shit show.” Fire Chief Tammy Snow arrived at scene and criticized the Acting Battalion Chief, who was on the second arriving unit, for not taking command.  The Fire Chief ordered that the annual performance review of both the plaintiff and the Acting Battalion Chief document performance concerns at that strip mall fire. </w:t>
      </w:r>
    </w:p>
    <w:p w14:paraId="3FEC30DB" w14:textId="77777777" w:rsidR="00AC3E10" w:rsidRDefault="00AC3E10" w:rsidP="00AC3E10">
      <w:pPr>
        <w:pStyle w:val="NoSpacing"/>
        <w:rPr>
          <w:rFonts w:ascii="Times New Roman" w:hAnsi="Times New Roman"/>
          <w:sz w:val="24"/>
          <w:szCs w:val="24"/>
        </w:rPr>
      </w:pPr>
    </w:p>
    <w:p w14:paraId="631B25F6" w14:textId="77777777" w:rsidR="00AC3E10" w:rsidRPr="00497B07" w:rsidRDefault="00AC3E10" w:rsidP="00AC3E10">
      <w:pPr>
        <w:pStyle w:val="NoSpacing"/>
        <w:ind w:firstLine="720"/>
        <w:rPr>
          <w:rFonts w:ascii="Times New Roman" w:hAnsi="Times New Roman"/>
          <w:sz w:val="24"/>
          <w:szCs w:val="24"/>
        </w:rPr>
      </w:pPr>
      <w:r>
        <w:rPr>
          <w:rFonts w:ascii="Times New Roman" w:hAnsi="Times New Roman"/>
          <w:sz w:val="24"/>
          <w:szCs w:val="24"/>
        </w:rPr>
        <w:t>“</w:t>
      </w:r>
      <w:r w:rsidRPr="00497B07">
        <w:rPr>
          <w:rFonts w:ascii="Times New Roman" w:hAnsi="Times New Roman"/>
          <w:sz w:val="24"/>
          <w:szCs w:val="24"/>
        </w:rPr>
        <w:t>In August 2019—before the Acting Battalion Chief debacle—a strip mall on south</w:t>
      </w:r>
    </w:p>
    <w:p w14:paraId="238C377E" w14:textId="77777777" w:rsidR="00AC3E10" w:rsidRDefault="00AC3E10" w:rsidP="00AC3E10">
      <w:pPr>
        <w:pStyle w:val="NoSpacing"/>
        <w:ind w:left="720"/>
        <w:rPr>
          <w:rFonts w:ascii="Times New Roman" w:hAnsi="Times New Roman"/>
          <w:sz w:val="24"/>
          <w:szCs w:val="24"/>
        </w:rPr>
      </w:pPr>
      <w:r w:rsidRPr="00497B07">
        <w:rPr>
          <w:rFonts w:ascii="Times New Roman" w:hAnsi="Times New Roman"/>
          <w:sz w:val="24"/>
          <w:szCs w:val="24"/>
        </w:rPr>
        <w:t>Seneca Street caught fire. Doc. 81 at 3 (Pretrial Order ¶ 2.a.x.). WFD Policy provides that the</w:t>
      </w:r>
      <w:r>
        <w:rPr>
          <w:rFonts w:ascii="Times New Roman" w:hAnsi="Times New Roman"/>
          <w:sz w:val="24"/>
          <w:szCs w:val="24"/>
        </w:rPr>
        <w:t xml:space="preserve"> </w:t>
      </w:r>
      <w:r w:rsidRPr="00497B07">
        <w:rPr>
          <w:rFonts w:ascii="Times New Roman" w:hAnsi="Times New Roman"/>
          <w:sz w:val="24"/>
          <w:szCs w:val="24"/>
        </w:rPr>
        <w:t>second fire engine to arrive at a scene should assume command</w:t>
      </w:r>
      <w:r>
        <w:rPr>
          <w:rFonts w:ascii="Times New Roman" w:hAnsi="Times New Roman"/>
          <w:sz w:val="24"/>
          <w:szCs w:val="24"/>
        </w:rPr>
        <w:t xml:space="preserve">…. </w:t>
      </w:r>
      <w:r w:rsidRPr="00497B07">
        <w:rPr>
          <w:rFonts w:ascii="Times New Roman" w:hAnsi="Times New Roman"/>
          <w:sz w:val="24"/>
          <w:szCs w:val="24"/>
        </w:rPr>
        <w:t>Plaintiff was on the seventh unit to arrive at the fire, but no one had assumed command. Id.</w:t>
      </w:r>
      <w:r>
        <w:rPr>
          <w:rFonts w:ascii="Times New Roman" w:hAnsi="Times New Roman"/>
          <w:sz w:val="24"/>
          <w:szCs w:val="24"/>
        </w:rPr>
        <w:t xml:space="preserve"> </w:t>
      </w:r>
      <w:r w:rsidRPr="00497B07">
        <w:rPr>
          <w:rFonts w:ascii="Times New Roman" w:hAnsi="Times New Roman"/>
          <w:sz w:val="24"/>
          <w:szCs w:val="24"/>
        </w:rPr>
        <w:t>So, plaintiff assumed command of the Seneca Street fire</w:t>
      </w:r>
      <w:r>
        <w:rPr>
          <w:rFonts w:ascii="Times New Roman" w:hAnsi="Times New Roman"/>
          <w:sz w:val="24"/>
          <w:szCs w:val="24"/>
        </w:rPr>
        <w:t>….</w:t>
      </w:r>
      <w:r w:rsidRPr="00497B07">
        <w:rPr>
          <w:rFonts w:ascii="Times New Roman" w:hAnsi="Times New Roman"/>
          <w:sz w:val="24"/>
          <w:szCs w:val="24"/>
        </w:rPr>
        <w:t xml:space="preserve"> With seven units already at the scene and assigned, plaintiff, as incident commander, had a</w:t>
      </w:r>
      <w:r>
        <w:rPr>
          <w:rFonts w:ascii="Times New Roman" w:hAnsi="Times New Roman"/>
          <w:sz w:val="24"/>
          <w:szCs w:val="24"/>
        </w:rPr>
        <w:t xml:space="preserve"> </w:t>
      </w:r>
      <w:r w:rsidRPr="00497B07">
        <w:rPr>
          <w:rFonts w:ascii="Times New Roman" w:hAnsi="Times New Roman"/>
          <w:sz w:val="24"/>
          <w:szCs w:val="24"/>
        </w:rPr>
        <w:t>lot of catching up to do</w:t>
      </w:r>
      <w:r>
        <w:rPr>
          <w:rFonts w:ascii="Times New Roman" w:hAnsi="Times New Roman"/>
          <w:sz w:val="24"/>
          <w:szCs w:val="24"/>
        </w:rPr>
        <w:t>….</w:t>
      </w:r>
      <w:r w:rsidRPr="00497B07">
        <w:rPr>
          <w:rFonts w:ascii="Times New Roman" w:hAnsi="Times New Roman"/>
          <w:sz w:val="24"/>
          <w:szCs w:val="24"/>
        </w:rPr>
        <w:t>(After Action Report Tr.). Plaintiff described the scene</w:t>
      </w:r>
      <w:r>
        <w:rPr>
          <w:rFonts w:ascii="Times New Roman" w:hAnsi="Times New Roman"/>
          <w:sz w:val="24"/>
          <w:szCs w:val="24"/>
        </w:rPr>
        <w:t xml:space="preserve"> </w:t>
      </w:r>
      <w:r w:rsidRPr="00497B07">
        <w:rPr>
          <w:rFonts w:ascii="Times New Roman" w:hAnsi="Times New Roman"/>
          <w:sz w:val="24"/>
          <w:szCs w:val="24"/>
        </w:rPr>
        <w:t xml:space="preserve">as a </w:t>
      </w:r>
      <w:r>
        <w:rPr>
          <w:rFonts w:ascii="Times New Roman" w:hAnsi="Times New Roman"/>
          <w:sz w:val="24"/>
          <w:szCs w:val="24"/>
        </w:rPr>
        <w:t>‘</w:t>
      </w:r>
      <w:r w:rsidRPr="00497B07">
        <w:rPr>
          <w:rFonts w:ascii="Times New Roman" w:hAnsi="Times New Roman"/>
          <w:sz w:val="24"/>
          <w:szCs w:val="24"/>
        </w:rPr>
        <w:t>shit show.</w:t>
      </w:r>
      <w:r>
        <w:rPr>
          <w:rFonts w:ascii="Times New Roman" w:hAnsi="Times New Roman"/>
          <w:sz w:val="24"/>
          <w:szCs w:val="24"/>
        </w:rPr>
        <w:t>’</w:t>
      </w:r>
      <w:r w:rsidRPr="00497B07">
        <w:rPr>
          <w:rFonts w:ascii="Times New Roman" w:hAnsi="Times New Roman"/>
          <w:sz w:val="24"/>
          <w:szCs w:val="24"/>
        </w:rPr>
        <w:t xml:space="preserve"> Doc. 86-7 at 49 (Pl. Dep. 200:6–13). Plaintiff acknowledged that he struggled</w:t>
      </w:r>
      <w:r>
        <w:rPr>
          <w:rFonts w:ascii="Times New Roman" w:hAnsi="Times New Roman"/>
          <w:sz w:val="24"/>
          <w:szCs w:val="24"/>
        </w:rPr>
        <w:t xml:space="preserve"> </w:t>
      </w:r>
      <w:r w:rsidRPr="00497B07">
        <w:rPr>
          <w:rFonts w:ascii="Times New Roman" w:hAnsi="Times New Roman"/>
          <w:sz w:val="24"/>
          <w:szCs w:val="24"/>
        </w:rPr>
        <w:t xml:space="preserve">at the scene but </w:t>
      </w:r>
      <w:proofErr w:type="gramStart"/>
      <w:r w:rsidRPr="00497B07">
        <w:rPr>
          <w:rFonts w:ascii="Times New Roman" w:hAnsi="Times New Roman"/>
          <w:sz w:val="24"/>
          <w:szCs w:val="24"/>
        </w:rPr>
        <w:t>believes</w:t>
      </w:r>
      <w:proofErr w:type="gramEnd"/>
      <w:r w:rsidRPr="00497B07">
        <w:rPr>
          <w:rFonts w:ascii="Times New Roman" w:hAnsi="Times New Roman"/>
          <w:sz w:val="24"/>
          <w:szCs w:val="24"/>
        </w:rPr>
        <w:t xml:space="preserve"> that anyone in the same situation would have struggled. </w:t>
      </w:r>
    </w:p>
    <w:p w14:paraId="5539B08B" w14:textId="77777777" w:rsidR="00AC3E10" w:rsidRDefault="00AC3E10" w:rsidP="00AC3E10">
      <w:pPr>
        <w:pStyle w:val="NoSpacing"/>
        <w:ind w:left="720"/>
        <w:rPr>
          <w:rFonts w:ascii="Times New Roman" w:hAnsi="Times New Roman"/>
          <w:sz w:val="24"/>
          <w:szCs w:val="24"/>
        </w:rPr>
      </w:pPr>
    </w:p>
    <w:p w14:paraId="2136A12F" w14:textId="77777777" w:rsidR="00AC3E10" w:rsidRDefault="00AC3E10" w:rsidP="00AC3E10">
      <w:pPr>
        <w:pStyle w:val="NoSpacing"/>
        <w:ind w:left="720"/>
        <w:rPr>
          <w:rFonts w:ascii="Times New Roman" w:hAnsi="Times New Roman"/>
          <w:sz w:val="24"/>
          <w:szCs w:val="24"/>
        </w:rPr>
      </w:pPr>
      <w:r>
        <w:rPr>
          <w:rFonts w:ascii="Times New Roman" w:hAnsi="Times New Roman"/>
          <w:sz w:val="24"/>
          <w:szCs w:val="24"/>
        </w:rPr>
        <w:t>***</w:t>
      </w:r>
    </w:p>
    <w:p w14:paraId="47D25600" w14:textId="77777777" w:rsidR="00AC3E10" w:rsidRDefault="00AC3E10" w:rsidP="00AC3E10">
      <w:pPr>
        <w:pStyle w:val="NoSpacing"/>
        <w:ind w:left="720"/>
        <w:rPr>
          <w:rFonts w:ascii="Times New Roman" w:hAnsi="Times New Roman"/>
          <w:sz w:val="24"/>
          <w:szCs w:val="24"/>
        </w:rPr>
      </w:pPr>
    </w:p>
    <w:p w14:paraId="6B3A143D" w14:textId="77777777" w:rsidR="00AC3E10" w:rsidRPr="00C20869" w:rsidRDefault="00AC3E10" w:rsidP="00AC3E10">
      <w:pPr>
        <w:pStyle w:val="NoSpacing"/>
        <w:ind w:firstLine="720"/>
        <w:rPr>
          <w:rFonts w:ascii="Times New Roman" w:hAnsi="Times New Roman"/>
          <w:sz w:val="24"/>
          <w:szCs w:val="24"/>
        </w:rPr>
      </w:pPr>
      <w:r w:rsidRPr="00C20869">
        <w:rPr>
          <w:rFonts w:ascii="Times New Roman" w:hAnsi="Times New Roman"/>
          <w:sz w:val="24"/>
          <w:szCs w:val="24"/>
        </w:rPr>
        <w:t xml:space="preserve">Here, Chief Snow asked Pavelski to review plaintiff’s second evaluation </w:t>
      </w:r>
      <w:r>
        <w:rPr>
          <w:rFonts w:ascii="Times New Roman" w:hAnsi="Times New Roman"/>
          <w:sz w:val="24"/>
          <w:szCs w:val="24"/>
        </w:rPr>
        <w:t>‘</w:t>
      </w:r>
      <w:r w:rsidRPr="00C20869">
        <w:rPr>
          <w:rFonts w:ascii="Times New Roman" w:hAnsi="Times New Roman"/>
          <w:sz w:val="24"/>
          <w:szCs w:val="24"/>
        </w:rPr>
        <w:t>for accuracy</w:t>
      </w:r>
      <w:r>
        <w:rPr>
          <w:rFonts w:ascii="Times New Roman" w:hAnsi="Times New Roman"/>
          <w:sz w:val="24"/>
          <w:szCs w:val="24"/>
        </w:rPr>
        <w:t>.’</w:t>
      </w:r>
    </w:p>
    <w:p w14:paraId="2E276AFD" w14:textId="77777777" w:rsidR="00AC3E10" w:rsidRPr="00C20869" w:rsidRDefault="00AC3E10" w:rsidP="00AC3E10">
      <w:pPr>
        <w:pStyle w:val="NoSpacing"/>
        <w:ind w:firstLine="720"/>
        <w:rPr>
          <w:rFonts w:ascii="Times New Roman" w:hAnsi="Times New Roman"/>
          <w:sz w:val="24"/>
          <w:szCs w:val="24"/>
        </w:rPr>
      </w:pPr>
      <w:r w:rsidRPr="00C20869">
        <w:rPr>
          <w:rFonts w:ascii="Times New Roman" w:hAnsi="Times New Roman"/>
          <w:sz w:val="24"/>
          <w:szCs w:val="24"/>
        </w:rPr>
        <w:t xml:space="preserve">Doc. 86-19 (Snow, Aug. 11, </w:t>
      </w:r>
      <w:proofErr w:type="gramStart"/>
      <w:r w:rsidRPr="00C20869">
        <w:rPr>
          <w:rFonts w:ascii="Times New Roman" w:hAnsi="Times New Roman"/>
          <w:sz w:val="24"/>
          <w:szCs w:val="24"/>
        </w:rPr>
        <w:t>2020</w:t>
      </w:r>
      <w:proofErr w:type="gramEnd"/>
      <w:r w:rsidRPr="00C20869">
        <w:rPr>
          <w:rFonts w:ascii="Times New Roman" w:hAnsi="Times New Roman"/>
          <w:sz w:val="24"/>
          <w:szCs w:val="24"/>
        </w:rPr>
        <w:t xml:space="preserve"> Email). Chief Snow wanted Pavelski to add a </w:t>
      </w:r>
      <w:r>
        <w:rPr>
          <w:rFonts w:ascii="Times New Roman" w:hAnsi="Times New Roman"/>
          <w:sz w:val="24"/>
          <w:szCs w:val="24"/>
        </w:rPr>
        <w:t>‘</w:t>
      </w:r>
      <w:r w:rsidRPr="00C20869">
        <w:rPr>
          <w:rFonts w:ascii="Times New Roman" w:hAnsi="Times New Roman"/>
          <w:sz w:val="24"/>
          <w:szCs w:val="24"/>
        </w:rPr>
        <w:t>note of</w:t>
      </w:r>
    </w:p>
    <w:p w14:paraId="39402515" w14:textId="77777777" w:rsidR="00AC3E10" w:rsidRDefault="00AC3E10" w:rsidP="00AC3E10">
      <w:pPr>
        <w:pStyle w:val="NoSpacing"/>
        <w:ind w:left="720"/>
        <w:rPr>
          <w:rFonts w:ascii="Times New Roman" w:hAnsi="Times New Roman"/>
          <w:sz w:val="24"/>
          <w:szCs w:val="24"/>
        </w:rPr>
      </w:pPr>
      <w:r w:rsidRPr="00C20869">
        <w:rPr>
          <w:rFonts w:ascii="Times New Roman" w:hAnsi="Times New Roman"/>
          <w:sz w:val="24"/>
          <w:szCs w:val="24"/>
        </w:rPr>
        <w:t>Accountability</w:t>
      </w:r>
      <w:r>
        <w:rPr>
          <w:rFonts w:ascii="Times New Roman" w:hAnsi="Times New Roman"/>
          <w:sz w:val="24"/>
          <w:szCs w:val="24"/>
        </w:rPr>
        <w:t>’</w:t>
      </w:r>
      <w:r w:rsidRPr="00C20869">
        <w:rPr>
          <w:rFonts w:ascii="Times New Roman" w:hAnsi="Times New Roman"/>
          <w:sz w:val="24"/>
          <w:szCs w:val="24"/>
        </w:rPr>
        <w:t xml:space="preserve"> about plaintiff’s performance at the Seneca Street Fire. Doc. 86-3 at 19 (Snow</w:t>
      </w:r>
      <w:r>
        <w:rPr>
          <w:rFonts w:ascii="Times New Roman" w:hAnsi="Times New Roman"/>
          <w:sz w:val="24"/>
          <w:szCs w:val="24"/>
        </w:rPr>
        <w:t xml:space="preserve"> </w:t>
      </w:r>
      <w:r w:rsidRPr="00C20869">
        <w:rPr>
          <w:rFonts w:ascii="Times New Roman" w:hAnsi="Times New Roman"/>
          <w:sz w:val="24"/>
          <w:szCs w:val="24"/>
        </w:rPr>
        <w:t>Dep. 58:4–11).</w:t>
      </w:r>
    </w:p>
    <w:p w14:paraId="6CDB60CE" w14:textId="77777777" w:rsidR="00AC3E10" w:rsidRDefault="00AC3E10" w:rsidP="00AC3E10">
      <w:pPr>
        <w:pStyle w:val="NoSpacing"/>
        <w:ind w:left="720"/>
        <w:rPr>
          <w:rFonts w:ascii="Times New Roman" w:hAnsi="Times New Roman"/>
          <w:sz w:val="24"/>
          <w:szCs w:val="24"/>
        </w:rPr>
      </w:pPr>
    </w:p>
    <w:p w14:paraId="371DB84C" w14:textId="77777777" w:rsidR="00AC3E10" w:rsidRDefault="00AC3E10" w:rsidP="00AC3E10">
      <w:pPr>
        <w:pStyle w:val="NoSpacing"/>
        <w:ind w:left="720"/>
        <w:rPr>
          <w:rFonts w:ascii="Times New Roman" w:hAnsi="Times New Roman"/>
          <w:sz w:val="24"/>
          <w:szCs w:val="24"/>
        </w:rPr>
      </w:pPr>
      <w:r>
        <w:rPr>
          <w:rFonts w:ascii="Times New Roman" w:hAnsi="Times New Roman"/>
          <w:sz w:val="24"/>
          <w:szCs w:val="24"/>
        </w:rPr>
        <w:t>***</w:t>
      </w:r>
    </w:p>
    <w:p w14:paraId="0A340006" w14:textId="77777777" w:rsidR="00AC3E10" w:rsidRDefault="00AC3E10" w:rsidP="00AC3E10">
      <w:pPr>
        <w:pStyle w:val="NoSpacing"/>
        <w:ind w:left="720"/>
        <w:rPr>
          <w:rFonts w:ascii="Times New Roman" w:hAnsi="Times New Roman"/>
          <w:sz w:val="24"/>
          <w:szCs w:val="24"/>
        </w:rPr>
      </w:pPr>
    </w:p>
    <w:p w14:paraId="07F19371" w14:textId="77777777" w:rsidR="00AC3E10" w:rsidRPr="00C20869" w:rsidRDefault="00AC3E10" w:rsidP="00AC3E10">
      <w:pPr>
        <w:pStyle w:val="NoSpacing"/>
        <w:ind w:firstLine="720"/>
        <w:rPr>
          <w:rFonts w:ascii="Times New Roman" w:hAnsi="Times New Roman"/>
          <w:sz w:val="24"/>
          <w:szCs w:val="24"/>
        </w:rPr>
      </w:pPr>
      <w:r w:rsidRPr="00C20869">
        <w:rPr>
          <w:rFonts w:ascii="Times New Roman" w:hAnsi="Times New Roman"/>
          <w:sz w:val="24"/>
          <w:szCs w:val="24"/>
        </w:rPr>
        <w:t xml:space="preserve">And plaintiff acknowledged that the Seneca Street Fire was a </w:t>
      </w:r>
      <w:r>
        <w:rPr>
          <w:rFonts w:ascii="Times New Roman" w:hAnsi="Times New Roman"/>
          <w:sz w:val="24"/>
          <w:szCs w:val="24"/>
        </w:rPr>
        <w:t>‘</w:t>
      </w:r>
      <w:r w:rsidRPr="00C20869">
        <w:rPr>
          <w:rFonts w:ascii="Times New Roman" w:hAnsi="Times New Roman"/>
          <w:sz w:val="24"/>
          <w:szCs w:val="24"/>
        </w:rPr>
        <w:t>shit show,</w:t>
      </w:r>
      <w:r>
        <w:rPr>
          <w:rFonts w:ascii="Times New Roman" w:hAnsi="Times New Roman"/>
          <w:sz w:val="24"/>
          <w:szCs w:val="24"/>
        </w:rPr>
        <w:t xml:space="preserve">’ </w:t>
      </w:r>
      <w:r w:rsidRPr="00C20869">
        <w:rPr>
          <w:rFonts w:ascii="Times New Roman" w:hAnsi="Times New Roman"/>
          <w:sz w:val="24"/>
          <w:szCs w:val="24"/>
        </w:rPr>
        <w:t>Doc.</w:t>
      </w:r>
    </w:p>
    <w:p w14:paraId="59B1FE70" w14:textId="77777777" w:rsidR="00AC3E10" w:rsidRDefault="00AC3E10" w:rsidP="00AC3E10">
      <w:pPr>
        <w:pStyle w:val="NoSpacing"/>
        <w:ind w:left="720"/>
        <w:rPr>
          <w:rFonts w:ascii="Times New Roman" w:hAnsi="Times New Roman"/>
          <w:sz w:val="24"/>
          <w:szCs w:val="24"/>
        </w:rPr>
      </w:pPr>
      <w:r w:rsidRPr="00C20869">
        <w:rPr>
          <w:rFonts w:ascii="Times New Roman" w:hAnsi="Times New Roman"/>
          <w:sz w:val="24"/>
          <w:szCs w:val="24"/>
        </w:rPr>
        <w:t>86-7 at 49 (Pl. Dep. 200:6–13), and that he struggled at the scene, id. at 50 (Pl. Dep. 202:4–13).</w:t>
      </w:r>
      <w:r>
        <w:rPr>
          <w:rFonts w:ascii="Times New Roman" w:hAnsi="Times New Roman"/>
          <w:sz w:val="24"/>
          <w:szCs w:val="24"/>
        </w:rPr>
        <w:t xml:space="preserve"> </w:t>
      </w:r>
      <w:r w:rsidRPr="00C20869">
        <w:rPr>
          <w:rFonts w:ascii="Times New Roman" w:hAnsi="Times New Roman"/>
          <w:sz w:val="24"/>
          <w:szCs w:val="24"/>
        </w:rPr>
        <w:t>Defendants’ reason for altering plaintiff’s review is not facially prohibited—</w:t>
      </w:r>
      <w:proofErr w:type="gramStart"/>
      <w:r w:rsidRPr="00C20869">
        <w:rPr>
          <w:rFonts w:ascii="Times New Roman" w:hAnsi="Times New Roman"/>
          <w:sz w:val="24"/>
          <w:szCs w:val="24"/>
        </w:rPr>
        <w:t>so,</w:t>
      </w:r>
      <w:proofErr w:type="gramEnd"/>
      <w:r w:rsidRPr="00C20869">
        <w:rPr>
          <w:rFonts w:ascii="Times New Roman" w:hAnsi="Times New Roman"/>
          <w:sz w:val="24"/>
          <w:szCs w:val="24"/>
        </w:rPr>
        <w:t xml:space="preserve"> defendants have</w:t>
      </w:r>
      <w:r>
        <w:rPr>
          <w:rFonts w:ascii="Times New Roman" w:hAnsi="Times New Roman"/>
          <w:sz w:val="24"/>
          <w:szCs w:val="24"/>
        </w:rPr>
        <w:t xml:space="preserve"> </w:t>
      </w:r>
      <w:r w:rsidRPr="00C20869">
        <w:rPr>
          <w:rFonts w:ascii="Times New Roman" w:hAnsi="Times New Roman"/>
          <w:sz w:val="24"/>
          <w:szCs w:val="24"/>
        </w:rPr>
        <w:t>satisfied their burden at this step. Also, plaintiff doesn’t argue that defendants have failed to</w:t>
      </w:r>
      <w:r>
        <w:rPr>
          <w:rFonts w:ascii="Times New Roman" w:hAnsi="Times New Roman"/>
          <w:sz w:val="24"/>
          <w:szCs w:val="24"/>
        </w:rPr>
        <w:t xml:space="preserve"> </w:t>
      </w:r>
      <w:r w:rsidRPr="00C20869">
        <w:rPr>
          <w:rFonts w:ascii="Times New Roman" w:hAnsi="Times New Roman"/>
          <w:sz w:val="24"/>
          <w:szCs w:val="24"/>
        </w:rPr>
        <w:t>proffer a legitimate, non-discriminatory reason for modifying his performance evaluation. See</w:t>
      </w:r>
      <w:r>
        <w:rPr>
          <w:rFonts w:ascii="Times New Roman" w:hAnsi="Times New Roman"/>
          <w:sz w:val="24"/>
          <w:szCs w:val="24"/>
        </w:rPr>
        <w:t xml:space="preserve"> </w:t>
      </w:r>
      <w:r w:rsidRPr="00C20869">
        <w:rPr>
          <w:rFonts w:ascii="Times New Roman" w:hAnsi="Times New Roman"/>
          <w:sz w:val="24"/>
          <w:szCs w:val="24"/>
        </w:rPr>
        <w:t>generally Doc. 91. Defendants simply wanted plaintiff’s performance evaluation to include</w:t>
      </w:r>
      <w:r>
        <w:rPr>
          <w:rFonts w:ascii="Times New Roman" w:hAnsi="Times New Roman"/>
          <w:sz w:val="24"/>
          <w:szCs w:val="24"/>
        </w:rPr>
        <w:t xml:space="preserve"> </w:t>
      </w:r>
      <w:r w:rsidRPr="00C20869">
        <w:rPr>
          <w:rFonts w:ascii="Times New Roman" w:hAnsi="Times New Roman"/>
          <w:sz w:val="24"/>
          <w:szCs w:val="24"/>
        </w:rPr>
        <w:t>information about the Seneca Street Fire. This showing qualifies as a legitimate,</w:t>
      </w:r>
      <w:r>
        <w:rPr>
          <w:rFonts w:ascii="Times New Roman" w:hAnsi="Times New Roman"/>
          <w:sz w:val="24"/>
          <w:szCs w:val="24"/>
        </w:rPr>
        <w:t xml:space="preserve"> </w:t>
      </w:r>
      <w:r w:rsidRPr="00C20869">
        <w:rPr>
          <w:rFonts w:ascii="Times New Roman" w:hAnsi="Times New Roman"/>
          <w:sz w:val="24"/>
          <w:szCs w:val="24"/>
        </w:rPr>
        <w:t>nondiscriminatory reason satisfactory to discharge the City’s burden at step two.</w:t>
      </w:r>
    </w:p>
    <w:p w14:paraId="1C7AE4DC" w14:textId="77777777" w:rsidR="00AC3E10" w:rsidRDefault="00AC3E10" w:rsidP="00AC3E10">
      <w:pPr>
        <w:pStyle w:val="NoSpacing"/>
        <w:ind w:left="720"/>
        <w:rPr>
          <w:rFonts w:ascii="Times New Roman" w:hAnsi="Times New Roman"/>
          <w:sz w:val="24"/>
          <w:szCs w:val="24"/>
        </w:rPr>
      </w:pPr>
    </w:p>
    <w:p w14:paraId="31AA7B0E" w14:textId="77777777" w:rsidR="00AC3E10" w:rsidRDefault="00AC3E10" w:rsidP="00AC3E10">
      <w:pPr>
        <w:pStyle w:val="NoSpacing"/>
        <w:ind w:left="720"/>
        <w:rPr>
          <w:rFonts w:ascii="Times New Roman" w:hAnsi="Times New Roman"/>
          <w:sz w:val="24"/>
          <w:szCs w:val="24"/>
        </w:rPr>
      </w:pPr>
      <w:r>
        <w:rPr>
          <w:rFonts w:ascii="Times New Roman" w:hAnsi="Times New Roman"/>
          <w:sz w:val="24"/>
          <w:szCs w:val="24"/>
        </w:rPr>
        <w:t>***</w:t>
      </w:r>
    </w:p>
    <w:p w14:paraId="743F8539" w14:textId="77777777" w:rsidR="00AC3E10" w:rsidRDefault="00AC3E10" w:rsidP="00AC3E10">
      <w:pPr>
        <w:pStyle w:val="NoSpacing"/>
        <w:ind w:firstLine="720"/>
        <w:rPr>
          <w:rFonts w:ascii="Times New Roman" w:hAnsi="Times New Roman"/>
          <w:sz w:val="24"/>
          <w:szCs w:val="24"/>
        </w:rPr>
      </w:pPr>
      <w:r>
        <w:rPr>
          <w:rFonts w:ascii="Times New Roman" w:hAnsi="Times New Roman"/>
          <w:sz w:val="24"/>
          <w:szCs w:val="24"/>
        </w:rPr>
        <w:t>T</w:t>
      </w:r>
      <w:r w:rsidRPr="00C20869">
        <w:rPr>
          <w:rFonts w:ascii="Times New Roman" w:hAnsi="Times New Roman"/>
          <w:sz w:val="24"/>
          <w:szCs w:val="24"/>
        </w:rPr>
        <w:t>he court concludes, instead, that plaintiff has failed to present triable issues of race</w:t>
      </w:r>
    </w:p>
    <w:p w14:paraId="43E6E44D" w14:textId="77777777" w:rsidR="00AC3E10" w:rsidRDefault="00AC3E10" w:rsidP="00AC3E10">
      <w:pPr>
        <w:pStyle w:val="NoSpacing"/>
        <w:ind w:left="720"/>
        <w:rPr>
          <w:rFonts w:ascii="Times New Roman" w:hAnsi="Times New Roman"/>
          <w:sz w:val="24"/>
          <w:szCs w:val="24"/>
        </w:rPr>
      </w:pPr>
      <w:r w:rsidRPr="00C20869">
        <w:rPr>
          <w:rFonts w:ascii="Times New Roman" w:hAnsi="Times New Roman"/>
          <w:sz w:val="24"/>
          <w:szCs w:val="24"/>
        </w:rPr>
        <w:t>discrimination and retaliation, so it declines to invoke its supplemental jurisdiction over the state</w:t>
      </w:r>
      <w:r>
        <w:rPr>
          <w:rFonts w:ascii="Times New Roman" w:hAnsi="Times New Roman"/>
          <w:sz w:val="24"/>
          <w:szCs w:val="24"/>
        </w:rPr>
        <w:t xml:space="preserve"> </w:t>
      </w:r>
      <w:r w:rsidRPr="00C20869">
        <w:rPr>
          <w:rFonts w:ascii="Times New Roman" w:hAnsi="Times New Roman"/>
          <w:sz w:val="24"/>
          <w:szCs w:val="24"/>
        </w:rPr>
        <w:t>law claims under 28 U.S.C.§ 1367(c)(3).</w:t>
      </w:r>
      <w:r>
        <w:rPr>
          <w:rFonts w:ascii="Times New Roman" w:hAnsi="Times New Roman"/>
          <w:sz w:val="24"/>
          <w:szCs w:val="24"/>
        </w:rPr>
        <w:t xml:space="preserve">”  </w:t>
      </w:r>
      <w:hyperlink r:id="rId1524" w:history="1">
        <w:r w:rsidRPr="002833D6">
          <w:rPr>
            <w:rStyle w:val="Hyperlink"/>
            <w:rFonts w:ascii="Times New Roman" w:hAnsi="Times New Roman"/>
            <w:sz w:val="24"/>
            <w:szCs w:val="24"/>
          </w:rPr>
          <w:t>https://cases.justia.com/federal/district-courts/kansas/ksdce/6:2022cv01032/140026/96/0.pdf?ts=1694273736</w:t>
        </w:r>
      </w:hyperlink>
      <w:r>
        <w:rPr>
          <w:rFonts w:ascii="Times New Roman" w:hAnsi="Times New Roman"/>
          <w:sz w:val="24"/>
          <w:szCs w:val="24"/>
        </w:rPr>
        <w:t xml:space="preserve"> </w:t>
      </w:r>
    </w:p>
    <w:p w14:paraId="0BD13CE9" w14:textId="77777777" w:rsidR="00AC3E10" w:rsidRDefault="00AC3E10" w:rsidP="00AC3E10">
      <w:pPr>
        <w:pStyle w:val="NoSpacing"/>
        <w:rPr>
          <w:rFonts w:ascii="Times New Roman" w:hAnsi="Times New Roman"/>
          <w:b/>
          <w:bCs/>
          <w:sz w:val="24"/>
          <w:szCs w:val="24"/>
        </w:rPr>
      </w:pPr>
    </w:p>
    <w:p w14:paraId="751A6F70" w14:textId="77777777" w:rsidR="00AC3E10" w:rsidRPr="0000521D" w:rsidRDefault="00AC3E10" w:rsidP="00AC3E10">
      <w:pPr>
        <w:pStyle w:val="NoSpacing"/>
        <w:rPr>
          <w:rFonts w:ascii="Times New Roman" w:hAnsi="Times New Roman"/>
          <w:b/>
          <w:bCs/>
          <w:sz w:val="24"/>
          <w:szCs w:val="24"/>
        </w:rPr>
      </w:pPr>
      <w:r w:rsidRPr="0000521D">
        <w:rPr>
          <w:rFonts w:ascii="Times New Roman" w:hAnsi="Times New Roman"/>
          <w:b/>
          <w:bCs/>
          <w:sz w:val="24"/>
          <w:szCs w:val="24"/>
        </w:rPr>
        <w:t>Legal Lesson Learned:</w:t>
      </w:r>
      <w:r>
        <w:rPr>
          <w:rFonts w:ascii="Times New Roman" w:hAnsi="Times New Roman"/>
          <w:b/>
          <w:bCs/>
          <w:sz w:val="24"/>
          <w:szCs w:val="24"/>
        </w:rPr>
        <w:t xml:space="preserve"> Fire Chief properly ordered the annual performance review </w:t>
      </w:r>
      <w:proofErr w:type="gramStart"/>
      <w:r>
        <w:rPr>
          <w:rFonts w:ascii="Times New Roman" w:hAnsi="Times New Roman"/>
          <w:b/>
          <w:bCs/>
          <w:sz w:val="24"/>
          <w:szCs w:val="24"/>
        </w:rPr>
        <w:t>include</w:t>
      </w:r>
      <w:proofErr w:type="gramEnd"/>
      <w:r>
        <w:rPr>
          <w:rFonts w:ascii="Times New Roman" w:hAnsi="Times New Roman"/>
          <w:b/>
          <w:bCs/>
          <w:sz w:val="24"/>
          <w:szCs w:val="24"/>
        </w:rPr>
        <w:t xml:space="preserve"> reference to IC issues at strip mall fire.  </w:t>
      </w:r>
    </w:p>
    <w:p w14:paraId="12320FC1" w14:textId="77777777" w:rsidR="00AC3E10" w:rsidRDefault="00AC3E10" w:rsidP="00AC3E10">
      <w:pPr>
        <w:rPr>
          <w:rStyle w:val="Hyperlink"/>
          <w:rFonts w:ascii="Arial Black" w:hAnsi="Arial Black"/>
          <w:b/>
          <w:color w:val="auto"/>
          <w:sz w:val="24"/>
          <w:szCs w:val="24"/>
          <w:u w:val="none"/>
        </w:rPr>
      </w:pPr>
    </w:p>
    <w:p w14:paraId="13C55798" w14:textId="77777777" w:rsidR="00AC3E10" w:rsidRDefault="00AC3E10" w:rsidP="00BC70A3">
      <w:pPr>
        <w:rPr>
          <w:rFonts w:ascii="Arial Black" w:hAnsi="Arial Black"/>
          <w:b/>
          <w:sz w:val="24"/>
          <w:szCs w:val="24"/>
        </w:rPr>
      </w:pPr>
    </w:p>
    <w:p w14:paraId="0665ADAF" w14:textId="77777777" w:rsidR="00AC3E10" w:rsidRDefault="00AC3E10" w:rsidP="00BC70A3">
      <w:pPr>
        <w:rPr>
          <w:rFonts w:ascii="Arial Black" w:hAnsi="Arial Black"/>
          <w:b/>
          <w:sz w:val="24"/>
          <w:szCs w:val="24"/>
        </w:rPr>
      </w:pPr>
    </w:p>
    <w:p w14:paraId="6878D7B2" w14:textId="77777777" w:rsidR="00AC3E10" w:rsidRDefault="00AC3E10" w:rsidP="00BC70A3">
      <w:pPr>
        <w:rPr>
          <w:rFonts w:ascii="Arial Black" w:hAnsi="Arial Black"/>
          <w:b/>
          <w:sz w:val="24"/>
          <w:szCs w:val="24"/>
        </w:rPr>
      </w:pPr>
    </w:p>
    <w:p w14:paraId="16605AFA" w14:textId="05C4C2FB" w:rsidR="000644B6" w:rsidRDefault="000644B6" w:rsidP="00BC70A3">
      <w:pPr>
        <w:rPr>
          <w:rFonts w:ascii="Arial Black" w:hAnsi="Arial Black"/>
          <w:b/>
          <w:sz w:val="24"/>
          <w:szCs w:val="24"/>
        </w:rPr>
      </w:pPr>
      <w:r>
        <w:rPr>
          <w:rFonts w:ascii="Arial Black" w:hAnsi="Arial Black"/>
          <w:b/>
          <w:sz w:val="24"/>
          <w:szCs w:val="24"/>
        </w:rPr>
        <w:t>8-53</w:t>
      </w:r>
    </w:p>
    <w:p w14:paraId="17D2FFCE" w14:textId="77777777" w:rsidR="000644B6" w:rsidRDefault="000644B6" w:rsidP="000644B6">
      <w:pPr>
        <w:pStyle w:val="NormalWeb"/>
        <w:rPr>
          <w:rFonts w:ascii="Arial Black" w:hAnsi="Arial Black"/>
          <w:sz w:val="28"/>
          <w:szCs w:val="28"/>
        </w:rPr>
      </w:pPr>
      <w:r>
        <w:rPr>
          <w:rFonts w:ascii="Arial Black" w:hAnsi="Arial Black"/>
          <w:sz w:val="28"/>
          <w:szCs w:val="28"/>
        </w:rPr>
        <w:t xml:space="preserve">OH: CINCINNATI CAPTAIN – ASIAN / BLACK – PROMOTION TEST IRREGULARITIES - DISCRIMINATION CLAIM PROCEED </w:t>
      </w:r>
    </w:p>
    <w:p w14:paraId="14AC487F" w14:textId="77777777" w:rsidR="000644B6" w:rsidRDefault="000644B6" w:rsidP="000644B6">
      <w:pPr>
        <w:pStyle w:val="NormalWeb"/>
      </w:pPr>
      <w:r>
        <w:t xml:space="preserve">On July 11, 2023, in </w:t>
      </w:r>
      <w:r w:rsidRPr="008D0D1D">
        <w:rPr>
          <w:u w:val="single"/>
        </w:rPr>
        <w:t>Janos Roper v. City of Cincinnati</w:t>
      </w:r>
      <w:r>
        <w:t>, U.S. District Court Judge Mathew W. McFarland, U.S. District Court for Southern District of Ohio, Western Division, denied in part the City’s motion to dismiss.  His racial discrimination claim concerning testing irregularities may proceed; but his Ohio Whistleblower claim that he was ordered to speed is dismissed since he didn’t orally report this.   In 2019, he took a promotion test, and alleged technical issues with test caused him to lose points (ranked 16</w:t>
      </w:r>
      <w:r w:rsidRPr="000506A2">
        <w:rPr>
          <w:vertAlign w:val="superscript"/>
        </w:rPr>
        <w:t>th</w:t>
      </w:r>
      <w:r>
        <w:t xml:space="preserve"> on list; 11 promoted during the two years list was effective).  He reported the issues by email to Erica Burks, a human resources employee, and addressed concerns about his income, falsely graded questions, and racial discrimination around the testing itself.  </w:t>
      </w:r>
    </w:p>
    <w:p w14:paraId="3065EEA1" w14:textId="77777777" w:rsidR="000644B6" w:rsidRDefault="000644B6" w:rsidP="000644B6">
      <w:pPr>
        <w:pStyle w:val="NormalWeb"/>
      </w:pPr>
      <w:r>
        <w:t xml:space="preserve">The Court held: </w:t>
      </w:r>
    </w:p>
    <w:p w14:paraId="51805CB2" w14:textId="77777777" w:rsidR="000644B6" w:rsidRDefault="000644B6" w:rsidP="000644B6">
      <w:pPr>
        <w:pStyle w:val="NormalWeb"/>
        <w:numPr>
          <w:ilvl w:val="0"/>
          <w:numId w:val="17"/>
        </w:numPr>
      </w:pPr>
      <w:r>
        <w:t xml:space="preserve">His racial discrimination claim may proceed. “The </w:t>
      </w:r>
      <w:proofErr w:type="gramStart"/>
      <w:r>
        <w:t>City</w:t>
      </w:r>
      <w:proofErr w:type="gramEnd"/>
      <w:r>
        <w:t xml:space="preserve"> claims that Roper has not laid out a prima facie case [of race discrimination]. This argument is premature. An ‘employment discrimination plaintiff need not plead a prima facie case of discrimination’ to survive a motion to dismiss. *** The second problem with the City's argument is that it fails to address the fact that Roper attacks the integrity of the test itself. If the test was flawed, then so were the results of the eligible list. </w:t>
      </w:r>
      <w:proofErr w:type="gramStart"/>
      <w:r>
        <w:t>So</w:t>
      </w:r>
      <w:proofErr w:type="gramEnd"/>
      <w:r>
        <w:t xml:space="preserve"> the fact that he appears sixteenth on the list does not, at the Rule 12(b)(6) stage, absolve the City of liability.”</w:t>
      </w:r>
      <w:r w:rsidRPr="000506A2">
        <w:t xml:space="preserve"> </w:t>
      </w:r>
    </w:p>
    <w:p w14:paraId="0DF5804E" w14:textId="77777777" w:rsidR="000644B6" w:rsidRDefault="000644B6" w:rsidP="000644B6">
      <w:pPr>
        <w:pStyle w:val="NormalWeb"/>
        <w:ind w:left="720"/>
      </w:pPr>
    </w:p>
    <w:p w14:paraId="3D366379" w14:textId="77777777" w:rsidR="000644B6" w:rsidRDefault="000644B6" w:rsidP="000644B6">
      <w:pPr>
        <w:pStyle w:val="NormalWeb"/>
        <w:numPr>
          <w:ilvl w:val="0"/>
          <w:numId w:val="17"/>
        </w:numPr>
      </w:pPr>
      <w:r>
        <w:t xml:space="preserve">Whistleblower </w:t>
      </w:r>
      <w:proofErr w:type="gramStart"/>
      <w:r>
        <w:t>claim</w:t>
      </w:r>
      <w:proofErr w:type="gramEnd"/>
      <w:r>
        <w:t xml:space="preserve"> dismissed.  “He also made whistleblower complaints about [Battalion Chief Jason] Vollmer's instructions for him to break traffic laws and falsify government records. Not much came </w:t>
      </w:r>
      <w:proofErr w:type="gramStart"/>
      <w:r>
        <w:t>of</w:t>
      </w:r>
      <w:proofErr w:type="gramEnd"/>
      <w:r>
        <w:t xml:space="preserve"> these complaints. And, after he came back from a period of sick leave in September 2020, Vollmer treated him worse than before.*** [N]</w:t>
      </w:r>
      <w:proofErr w:type="spellStart"/>
      <w:r>
        <w:t>owhere</w:t>
      </w:r>
      <w:proofErr w:type="spellEnd"/>
      <w:r>
        <w:t xml:space="preserve"> nowhere does he allege any oral communication. He contacted Burks, once, through email. But the whistleblower statute requires him to first orally report a violation, then file a written report. </w:t>
      </w:r>
      <w:hyperlink r:id="rId1525" w:history="1">
        <w:r>
          <w:rPr>
            <w:rStyle w:val="Hyperlink"/>
            <w:rFonts w:eastAsiaTheme="majorEastAsia"/>
          </w:rPr>
          <w:t>R.C. § 4113.52(A)(1)(a)</w:t>
        </w:r>
      </w:hyperlink>
      <w:r>
        <w:t>.”</w:t>
      </w:r>
    </w:p>
    <w:p w14:paraId="6A92F81D" w14:textId="77777777" w:rsidR="000644B6" w:rsidRDefault="000644B6" w:rsidP="000644B6">
      <w:pPr>
        <w:pStyle w:val="NormalWeb"/>
      </w:pPr>
      <w:hyperlink r:id="rId1526" w:history="1">
        <w:r w:rsidRPr="000D7596">
          <w:rPr>
            <w:rStyle w:val="Hyperlink"/>
            <w:rFonts w:eastAsiaTheme="majorEastAsia"/>
          </w:rPr>
          <w:t>https://casetext.com/case/roper-v-city-of-cincinnati</w:t>
        </w:r>
      </w:hyperlink>
      <w:r>
        <w:t xml:space="preserve"> </w:t>
      </w:r>
    </w:p>
    <w:p w14:paraId="48D2305B" w14:textId="77777777" w:rsidR="000644B6" w:rsidRPr="00030503" w:rsidRDefault="000644B6" w:rsidP="000644B6">
      <w:pPr>
        <w:pStyle w:val="NormalWeb"/>
        <w:rPr>
          <w:b/>
          <w:bCs/>
        </w:rPr>
      </w:pPr>
      <w:r w:rsidRPr="00030503">
        <w:rPr>
          <w:b/>
          <w:bCs/>
        </w:rPr>
        <w:t>Legal Lesson Learned:</w:t>
      </w:r>
      <w:r>
        <w:rPr>
          <w:b/>
          <w:bCs/>
        </w:rPr>
        <w:t xml:space="preserve"> Race discrimination lawsuits will generally not be subject to dismissal until all </w:t>
      </w:r>
      <w:proofErr w:type="gramStart"/>
      <w:r>
        <w:rPr>
          <w:b/>
          <w:bCs/>
        </w:rPr>
        <w:t>discovery has</w:t>
      </w:r>
      <w:proofErr w:type="gramEnd"/>
      <w:r>
        <w:rPr>
          <w:b/>
          <w:bCs/>
        </w:rPr>
        <w:t xml:space="preserve"> been completed.</w:t>
      </w:r>
    </w:p>
    <w:p w14:paraId="4295EB19" w14:textId="77777777" w:rsidR="000644B6" w:rsidRPr="00942B34" w:rsidRDefault="000644B6" w:rsidP="000644B6">
      <w:pPr>
        <w:pStyle w:val="gntarbp"/>
        <w:ind w:left="720"/>
      </w:pPr>
      <w:r w:rsidRPr="00942B34">
        <w:t xml:space="preserve">Note: See Dec. 21, </w:t>
      </w:r>
      <w:proofErr w:type="gramStart"/>
      <w:r w:rsidRPr="00942B34">
        <w:t>2018</w:t>
      </w:r>
      <w:proofErr w:type="gramEnd"/>
      <w:r w:rsidRPr="00942B34">
        <w:t xml:space="preserve"> article, “Cincinnati Fire captain alleges sexual harassment after R-rated movie plays at station.” A captain with the Cincinnati Fire Department claims in a lawsuit he was subjected to sexual harassment when an R-rated movie played on a station television last year. Capt. Janos Roper, an 18-year veteran of the Fire Department, filed the suit Friday in federal court. The suit alleges Roper's colleagues ignored his request to stop watching "Any Given Sunday," a sports film that includes nudity and profanity, in a shared eating area. </w:t>
      </w:r>
      <w:hyperlink r:id="rId1527" w:history="1">
        <w:r w:rsidRPr="00942B34">
          <w:rPr>
            <w:rStyle w:val="Hyperlink"/>
            <w:rFonts w:eastAsiaTheme="majorEastAsia"/>
          </w:rPr>
          <w:t>https://www.cincinnati.com/story/news/2018/12/21/fire-captain-alleges-sexual-harassment-after-any-given-sunday-shown-station/2393196002/</w:t>
        </w:r>
      </w:hyperlink>
      <w:r w:rsidRPr="00942B34">
        <w:t xml:space="preserve"> </w:t>
      </w:r>
    </w:p>
    <w:p w14:paraId="1B8C4583" w14:textId="77777777" w:rsidR="000644B6" w:rsidRDefault="000644B6" w:rsidP="00BC70A3">
      <w:pPr>
        <w:rPr>
          <w:rFonts w:ascii="Arial Black" w:hAnsi="Arial Black"/>
          <w:b/>
          <w:sz w:val="24"/>
          <w:szCs w:val="24"/>
        </w:rPr>
      </w:pPr>
    </w:p>
    <w:p w14:paraId="165F5087" w14:textId="064EE3F8" w:rsidR="00477016" w:rsidRDefault="00C032D6" w:rsidP="00BC70A3">
      <w:pPr>
        <w:rPr>
          <w:rFonts w:ascii="Arial Black" w:hAnsi="Arial Black"/>
          <w:b/>
          <w:sz w:val="24"/>
          <w:szCs w:val="24"/>
        </w:rPr>
      </w:pPr>
      <w:r>
        <w:rPr>
          <w:rFonts w:ascii="Arial Black" w:hAnsi="Arial Black"/>
          <w:b/>
          <w:sz w:val="24"/>
          <w:szCs w:val="24"/>
        </w:rPr>
        <w:t>8-52</w:t>
      </w:r>
    </w:p>
    <w:p w14:paraId="327F22E5" w14:textId="77777777" w:rsidR="00C032D6" w:rsidRDefault="00C032D6" w:rsidP="00C032D6">
      <w:pPr>
        <w:spacing w:before="100" w:beforeAutospacing="1" w:after="100" w:afterAutospacing="1" w:line="240" w:lineRule="auto"/>
        <w:rPr>
          <w:rFonts w:ascii="Arial Black" w:hAnsi="Arial Black"/>
          <w:color w:val="343332"/>
          <w:sz w:val="28"/>
          <w:szCs w:val="28"/>
        </w:rPr>
      </w:pPr>
      <w:r>
        <w:rPr>
          <w:rFonts w:ascii="Arial Black" w:hAnsi="Arial Black"/>
          <w:color w:val="343332"/>
          <w:sz w:val="28"/>
          <w:szCs w:val="28"/>
        </w:rPr>
        <w:t xml:space="preserve">U.S. SUP. CT: HARVARD / UNC ADMISSIONS – RACIAL STEREOTYPING, LACK MEANINGFUL END POINTS </w:t>
      </w:r>
    </w:p>
    <w:p w14:paraId="526A72E6" w14:textId="77777777" w:rsidR="00C032D6" w:rsidRDefault="00C032D6" w:rsidP="00C032D6">
      <w:pPr>
        <w:pStyle w:val="NormalWeb"/>
        <w:rPr>
          <w:color w:val="343332"/>
        </w:rPr>
      </w:pPr>
      <w:r>
        <w:rPr>
          <w:color w:val="343332"/>
        </w:rPr>
        <w:t xml:space="preserve">On June 29, 2023, in </w:t>
      </w:r>
      <w:r>
        <w:rPr>
          <w:color w:val="343332"/>
          <w:u w:val="single"/>
        </w:rPr>
        <w:t xml:space="preserve">Students </w:t>
      </w:r>
      <w:proofErr w:type="gramStart"/>
      <w:r>
        <w:rPr>
          <w:color w:val="343332"/>
          <w:u w:val="single"/>
        </w:rPr>
        <w:t>For</w:t>
      </w:r>
      <w:proofErr w:type="gramEnd"/>
      <w:r>
        <w:rPr>
          <w:color w:val="343332"/>
          <w:u w:val="single"/>
        </w:rPr>
        <w:t xml:space="preserve"> Fair Admissions. Inc. v. Harvard College, and Students </w:t>
      </w:r>
      <w:proofErr w:type="gramStart"/>
      <w:r>
        <w:rPr>
          <w:color w:val="343332"/>
          <w:u w:val="single"/>
        </w:rPr>
        <w:t>For</w:t>
      </w:r>
      <w:proofErr w:type="gramEnd"/>
      <w:r>
        <w:rPr>
          <w:color w:val="343332"/>
          <w:u w:val="single"/>
        </w:rPr>
        <w:t xml:space="preserve"> Fair Admissions. Inc. v. University of North Carolina</w:t>
      </w:r>
      <w:r>
        <w:rPr>
          <w:color w:val="343332"/>
        </w:rPr>
        <w:t xml:space="preserve">, the U.S. Supreme Court held (6 to 3), in opinion by Chief Justice John G. Roberts, Jr., the current admissions processes where race is a </w:t>
      </w:r>
      <w:r>
        <w:t xml:space="preserve">“plus factor” </w:t>
      </w:r>
      <w:r>
        <w:rPr>
          <w:color w:val="343332"/>
        </w:rPr>
        <w:t>violates the 14</w:t>
      </w:r>
      <w:r>
        <w:rPr>
          <w:color w:val="343332"/>
          <w:vertAlign w:val="superscript"/>
        </w:rPr>
        <w:t>th</w:t>
      </w:r>
      <w:r>
        <w:rPr>
          <w:color w:val="343332"/>
        </w:rPr>
        <w:t xml:space="preserve"> Amendment’s Equal Protection clause (ratified in 1868 in the wake of the Civil War). “For the reasons provided above, the Harvard and UNC admissions programs cannot be reconciled with the guarantees of the Equal Protection Clause. Both programs lack sufficiently focused and measurable objectives warranting the use of race, unavoidably employ race in a negative manner, involve racial stereotyping, and lack meaningful end points. We have never permitted admissions programs to work in that way, and we will not do so today. At the same time, as all parties agree, nothing in this opinion should be construed as prohibiting universities from considering an applicant’s discussion of how race affected his or her life, be it through discrimination, inspiration, or otherwise.” </w:t>
      </w:r>
      <w:hyperlink r:id="rId1528" w:history="1">
        <w:r>
          <w:rPr>
            <w:rStyle w:val="Hyperlink"/>
          </w:rPr>
          <w:t>https://www.supremecourt.gov/opinions/22pdf/20-1199_hgdj.pdf</w:t>
        </w:r>
      </w:hyperlink>
      <w:r>
        <w:rPr>
          <w:color w:val="343332"/>
        </w:rPr>
        <w:t xml:space="preserve"> </w:t>
      </w:r>
    </w:p>
    <w:p w14:paraId="01569BD9" w14:textId="77777777" w:rsidR="00C032D6" w:rsidRDefault="00C032D6" w:rsidP="00C032D6">
      <w:pPr>
        <w:pStyle w:val="NormalWeb"/>
        <w:rPr>
          <w:b/>
          <w:bCs/>
          <w:color w:val="343332"/>
        </w:rPr>
      </w:pPr>
      <w:r>
        <w:rPr>
          <w:b/>
          <w:bCs/>
          <w:color w:val="343332"/>
        </w:rPr>
        <w:t xml:space="preserve">Legal Lesson Learned: Employers, including Fire &amp; EMS Departments, may still have racial and gender diversity goals; if your </w:t>
      </w:r>
      <w:proofErr w:type="gramStart"/>
      <w:r>
        <w:rPr>
          <w:b/>
          <w:bCs/>
          <w:color w:val="343332"/>
        </w:rPr>
        <w:t>Department</w:t>
      </w:r>
      <w:proofErr w:type="gramEnd"/>
      <w:r>
        <w:rPr>
          <w:b/>
          <w:bCs/>
          <w:color w:val="343332"/>
        </w:rPr>
        <w:t xml:space="preserve"> still has a </w:t>
      </w:r>
      <w:proofErr w:type="gramStart"/>
      <w:r>
        <w:rPr>
          <w:b/>
          <w:bCs/>
          <w:color w:val="343332"/>
        </w:rPr>
        <w:t>Federal</w:t>
      </w:r>
      <w:proofErr w:type="gramEnd"/>
      <w:r>
        <w:rPr>
          <w:b/>
          <w:bCs/>
          <w:color w:val="343332"/>
        </w:rPr>
        <w:t xml:space="preserve"> consent decree where goals have been met, consult with legal counsel about filing motion to dissolve the decree.</w:t>
      </w:r>
    </w:p>
    <w:p w14:paraId="72A57AB8" w14:textId="77777777" w:rsidR="00C032D6" w:rsidRPr="00BA078F" w:rsidRDefault="00C032D6" w:rsidP="00C032D6">
      <w:pPr>
        <w:pStyle w:val="Heading1"/>
        <w:ind w:left="720"/>
        <w:rPr>
          <w:b w:val="0"/>
          <w:bCs w:val="0"/>
          <w:sz w:val="24"/>
          <w:szCs w:val="24"/>
        </w:rPr>
      </w:pPr>
      <w:r w:rsidRPr="00BA078F">
        <w:rPr>
          <w:b w:val="0"/>
          <w:bCs w:val="0"/>
          <w:color w:val="000000" w:themeColor="text1"/>
          <w:sz w:val="24"/>
          <w:szCs w:val="24"/>
        </w:rPr>
        <w:t>Note: See article, June 24, 2020:  ’</w:t>
      </w:r>
      <w:r w:rsidRPr="00BA078F">
        <w:rPr>
          <w:b w:val="0"/>
          <w:bCs w:val="0"/>
          <w:sz w:val="24"/>
          <w:szCs w:val="24"/>
        </w:rPr>
        <w:t>City of Buffalo updating training procedures: rolling out diversity training for every department.´</w:t>
      </w:r>
      <w:r w:rsidRPr="00BA078F">
        <w:rPr>
          <w:b w:val="0"/>
          <w:bCs w:val="0"/>
        </w:rPr>
        <w:t xml:space="preserve"> </w:t>
      </w:r>
      <w:hyperlink r:id="rId1529" w:history="1">
        <w:r w:rsidRPr="00BA078F">
          <w:rPr>
            <w:rStyle w:val="Hyperlink"/>
            <w:b w:val="0"/>
            <w:bCs w:val="0"/>
            <w:sz w:val="24"/>
            <w:szCs w:val="24"/>
          </w:rPr>
          <w:t>https://www.wkbw.com/news/local-news/city-of-buffalo-updating-training-procedures-rolling-out-diversity-training-for-every-department</w:t>
        </w:r>
      </w:hyperlink>
      <w:r w:rsidRPr="00BA078F">
        <w:rPr>
          <w:b w:val="0"/>
          <w:bCs w:val="0"/>
          <w:sz w:val="24"/>
          <w:szCs w:val="24"/>
        </w:rPr>
        <w:t xml:space="preserve"> </w:t>
      </w:r>
    </w:p>
    <w:p w14:paraId="5161C919" w14:textId="77777777" w:rsidR="00C032D6" w:rsidRPr="00BA078F" w:rsidRDefault="00C032D6" w:rsidP="00C032D6">
      <w:pPr>
        <w:pStyle w:val="Heading1"/>
        <w:ind w:left="720"/>
        <w:rPr>
          <w:b w:val="0"/>
          <w:bCs w:val="0"/>
          <w:sz w:val="24"/>
          <w:szCs w:val="24"/>
        </w:rPr>
      </w:pPr>
      <w:r w:rsidRPr="00BA078F">
        <w:rPr>
          <w:b w:val="0"/>
          <w:bCs w:val="0"/>
          <w:sz w:val="24"/>
          <w:szCs w:val="24"/>
        </w:rPr>
        <w:t>S</w:t>
      </w:r>
      <w:r w:rsidRPr="00BA078F">
        <w:rPr>
          <w:b w:val="0"/>
          <w:bCs w:val="0"/>
          <w:color w:val="000000" w:themeColor="text1"/>
          <w:sz w:val="24"/>
          <w:szCs w:val="24"/>
        </w:rPr>
        <w:t xml:space="preserve">ee IAFC article (March 16, 2015): “Department of Justice, Consent Decrees and the Fire Service.” </w:t>
      </w:r>
      <w:hyperlink r:id="rId1530" w:history="1">
        <w:r w:rsidRPr="00BA078F">
          <w:rPr>
            <w:rStyle w:val="Hyperlink"/>
            <w:b w:val="0"/>
            <w:bCs w:val="0"/>
            <w:sz w:val="24"/>
            <w:szCs w:val="24"/>
          </w:rPr>
          <w:t>https://www.iafc.org/membership/iCHIEFS/iCHIEFS-article/department-of-justice-consent-decrees-and-the-fire-service</w:t>
        </w:r>
      </w:hyperlink>
      <w:r w:rsidRPr="00BA078F">
        <w:rPr>
          <w:b w:val="0"/>
          <w:bCs w:val="0"/>
          <w:color w:val="000000" w:themeColor="text1"/>
          <w:sz w:val="24"/>
          <w:szCs w:val="24"/>
        </w:rPr>
        <w:t xml:space="preserve"> </w:t>
      </w:r>
    </w:p>
    <w:p w14:paraId="2F6CAACF" w14:textId="77777777" w:rsidR="00C032D6" w:rsidRDefault="00C032D6" w:rsidP="00C032D6">
      <w:pPr>
        <w:pStyle w:val="NormalWeb"/>
        <w:ind w:left="720"/>
        <w:rPr>
          <w:color w:val="000000"/>
        </w:rPr>
      </w:pPr>
      <w:r>
        <w:t xml:space="preserve">“There are many consent decrees affecting fire departments across the country related to hiring practices, affecting several fire departments, including FDNY, Baltimore, Austin and San Francisco. </w:t>
      </w:r>
      <w:hyperlink r:id="rId1531" w:tgtFrame="_blank" w:history="1">
        <w:r>
          <w:rPr>
            <w:rStyle w:val="Hyperlink"/>
          </w:rPr>
          <w:t>A consent decree affected Leesville, La.</w:t>
        </w:r>
      </w:hyperlink>
      <w:r>
        <w:t>, which had gone on over 32 years for hiring practices violating Title VII of the Civil Rights Act of 1964. Probably the longest is a forty-year consent decree involving the city of Buffalo, N.Y. The city is requesting a 1974 DOJ consent decree be set aside after complying with the consent decree related to mandated hiring quotas overseen by a U.S. District Court judge.”</w:t>
      </w:r>
    </w:p>
    <w:p w14:paraId="428D926B" w14:textId="77777777" w:rsidR="00C032D6" w:rsidRDefault="00C032D6" w:rsidP="00BC70A3">
      <w:pPr>
        <w:rPr>
          <w:rFonts w:ascii="Arial Black" w:hAnsi="Arial Black"/>
          <w:b/>
          <w:sz w:val="24"/>
          <w:szCs w:val="24"/>
        </w:rPr>
      </w:pPr>
    </w:p>
    <w:p w14:paraId="70CAE34E" w14:textId="77777777" w:rsidR="00C032D6" w:rsidRDefault="00C032D6" w:rsidP="00BC70A3">
      <w:pPr>
        <w:rPr>
          <w:rFonts w:ascii="Arial Black" w:hAnsi="Arial Black"/>
          <w:b/>
          <w:sz w:val="24"/>
          <w:szCs w:val="24"/>
        </w:rPr>
      </w:pPr>
    </w:p>
    <w:p w14:paraId="7B1FA5A7" w14:textId="6E1FCF75" w:rsidR="00477016" w:rsidRDefault="00477016" w:rsidP="00BC70A3">
      <w:pPr>
        <w:rPr>
          <w:rFonts w:ascii="Arial Black" w:hAnsi="Arial Black"/>
          <w:b/>
          <w:sz w:val="24"/>
          <w:szCs w:val="24"/>
        </w:rPr>
      </w:pPr>
      <w:r>
        <w:rPr>
          <w:rFonts w:ascii="Arial Black" w:hAnsi="Arial Black"/>
          <w:b/>
          <w:sz w:val="24"/>
          <w:szCs w:val="24"/>
        </w:rPr>
        <w:t>8-51</w:t>
      </w:r>
    </w:p>
    <w:p w14:paraId="6CB9D09B" w14:textId="77777777" w:rsidR="00477016" w:rsidRDefault="00477016" w:rsidP="00477016">
      <w:pPr>
        <w:pStyle w:val="NormalWeb"/>
      </w:pPr>
      <w:bookmarkStart w:id="316" w:name="_Hlk136859714"/>
      <w:r>
        <w:rPr>
          <w:rFonts w:ascii="Arial Black" w:hAnsi="Arial Black"/>
          <w:sz w:val="28"/>
          <w:szCs w:val="28"/>
        </w:rPr>
        <w:t>MO: ST. LOUIS FD – 17 “ACTING” OFFICERS – CITY NOT PROMOTING UNTIL NEW EXAM - RACE CASE SETTLEMENT</w:t>
      </w:r>
    </w:p>
    <w:bookmarkEnd w:id="316"/>
    <w:p w14:paraId="2F84B4C8" w14:textId="77777777" w:rsidR="00477016" w:rsidRDefault="00477016" w:rsidP="00477016">
      <w:pPr>
        <w:pStyle w:val="NormalWeb"/>
      </w:pPr>
      <w:r>
        <w:t xml:space="preserve">On May 19, 2023, in </w:t>
      </w:r>
      <w:r w:rsidRPr="00E724BE">
        <w:rPr>
          <w:u w:val="single"/>
        </w:rPr>
        <w:t>Robert Eveland, et al. v. City of St. Louis, et al</w:t>
      </w:r>
      <w:r>
        <w:t>., U.S. District Court Judge Catherine D. Parry, U.S. District Court for Eastern District of Missouri, Eastern Division, declined to issue a preliminary injunction ordering the City to promote the 17 “acting” Battalion Chiefs and Captains.  Judge Parry wrote:</w:t>
      </w:r>
    </w:p>
    <w:p w14:paraId="11183AD8" w14:textId="77777777" w:rsidR="00477016" w:rsidRDefault="00477016" w:rsidP="00477016">
      <w:pPr>
        <w:pStyle w:val="NormalWeb"/>
        <w:ind w:left="720"/>
      </w:pPr>
      <w:r>
        <w:t xml:space="preserve">“This is a legally complicated case. There is a possibility that plaintiffs may prevail </w:t>
      </w:r>
      <w:proofErr w:type="gramStart"/>
      <w:r>
        <w:t>on</w:t>
      </w:r>
      <w:proofErr w:type="gramEnd"/>
      <w:r>
        <w:t xml:space="preserve"> the merits of their claim, but they face many legal obstacles that they may not be able to overcome. In any event, I will deny the motion for a preliminary injunction because plaintiffs have not shown that they are threatened with immediate and irreparable harm or that any harm to them outweighs the harm that will result to the </w:t>
      </w:r>
      <w:proofErr w:type="gramStart"/>
      <w:r>
        <w:t>City</w:t>
      </w:r>
      <w:proofErr w:type="gramEnd"/>
      <w:r>
        <w:t xml:space="preserve"> if I were to grant the preliminary injunction. *** At the hearing, plaintiffs' counsel argued that because the Civil Service Rules provide that the ‘appointing authority’ is the Fire Chief and not the Director of Public Safety, plaintiffs' right to due process was violated when the Director effectively vetoed their promotions. Rather than arguing that they were entitled to some pre-deprivation process (such as a hearing), they argue that this alleged violation of due process simply entitles them to be promoted. But Missouri case law recognizes that the Fire Chief's decision-making power is subject to oversight by the Director of Public </w:t>
      </w:r>
      <w:proofErr w:type="gramStart"/>
      <w:r>
        <w:t>Safety.”</w:t>
      </w:r>
      <w:proofErr w:type="gramEnd"/>
      <w:r>
        <w:t xml:space="preserve"> </w:t>
      </w:r>
      <w:hyperlink r:id="rId1532" w:history="1">
        <w:r w:rsidRPr="00B43223">
          <w:rPr>
            <w:rStyle w:val="Hyperlink"/>
            <w:rFonts w:eastAsiaTheme="majorEastAsia"/>
          </w:rPr>
          <w:t>https://public.fastcase.com/ZZhmr5v9wN%2FXOe5IsQ%2FqDz1M0c7XntbkBFAKdHDge9e%2F8CSFXEi88W%2FVfdIRS4Pi97nH6Fo0Jpcpv2L%2BsFvZPbsE0qA7KMgQlRndt4L6foA%3D?utm_medium=email&amp;_hsmi=226712652&amp;_hsenc=p2ANqtz--PxjvF13xKDxQ7J7F-ifitmDmVZpuVXf36_4emKUQzFhwmn1WPofSx1ry4m9mCDedrl6XMHnLVa4UU0oKcRVjso9raZQ&amp;utm_content=226712652&amp;utm_source=hs_email</w:t>
        </w:r>
      </w:hyperlink>
      <w:r>
        <w:t xml:space="preserve"> </w:t>
      </w:r>
    </w:p>
    <w:p w14:paraId="596FDC8B" w14:textId="77777777" w:rsidR="00477016" w:rsidRDefault="00477016" w:rsidP="00477016">
      <w:pPr>
        <w:pStyle w:val="NormalWeb"/>
        <w:rPr>
          <w:b/>
          <w:bCs/>
        </w:rPr>
      </w:pPr>
      <w:r w:rsidRPr="00073DEB">
        <w:rPr>
          <w:b/>
          <w:bCs/>
        </w:rPr>
        <w:t>Legal Lesson Learned:</w:t>
      </w:r>
      <w:r>
        <w:rPr>
          <w:b/>
          <w:bCs/>
        </w:rPr>
        <w:t xml:space="preserve">  Preliminary injunctions are an “extraordinary remedy” that requires proof of “irreparable harm” to the plaintiffs. </w:t>
      </w:r>
    </w:p>
    <w:p w14:paraId="610DE291" w14:textId="77777777" w:rsidR="00477016" w:rsidRDefault="00477016" w:rsidP="00BC70A3">
      <w:pPr>
        <w:rPr>
          <w:rFonts w:ascii="Arial Black" w:hAnsi="Arial Black"/>
          <w:b/>
          <w:sz w:val="24"/>
          <w:szCs w:val="24"/>
        </w:rPr>
      </w:pPr>
    </w:p>
    <w:p w14:paraId="414F6EF7" w14:textId="77777777" w:rsidR="00477016" w:rsidRDefault="00477016" w:rsidP="00BC70A3">
      <w:pPr>
        <w:rPr>
          <w:rFonts w:ascii="Arial Black" w:hAnsi="Arial Black"/>
          <w:b/>
          <w:sz w:val="24"/>
          <w:szCs w:val="24"/>
        </w:rPr>
      </w:pPr>
    </w:p>
    <w:p w14:paraId="3EFA346A" w14:textId="0822FCF8" w:rsidR="00227BDE" w:rsidRDefault="00227BDE" w:rsidP="00BC70A3">
      <w:pPr>
        <w:rPr>
          <w:rFonts w:ascii="Arial Black" w:hAnsi="Arial Black"/>
          <w:b/>
          <w:sz w:val="24"/>
          <w:szCs w:val="24"/>
        </w:rPr>
      </w:pPr>
      <w:r>
        <w:rPr>
          <w:rFonts w:ascii="Arial Black" w:hAnsi="Arial Black"/>
          <w:b/>
          <w:sz w:val="24"/>
          <w:szCs w:val="24"/>
        </w:rPr>
        <w:t>8-50</w:t>
      </w:r>
    </w:p>
    <w:p w14:paraId="0A2AF175" w14:textId="77777777" w:rsidR="00227BDE" w:rsidRPr="006A5BAB" w:rsidRDefault="00227BDE" w:rsidP="00227BDE">
      <w:pPr>
        <w:pStyle w:val="NoSpacing"/>
        <w:rPr>
          <w:rFonts w:ascii="Arial Black" w:hAnsi="Arial Black"/>
          <w:sz w:val="28"/>
          <w:szCs w:val="28"/>
        </w:rPr>
      </w:pPr>
      <w:r w:rsidRPr="006A5BAB">
        <w:rPr>
          <w:rFonts w:ascii="Arial Black" w:hAnsi="Arial Black"/>
          <w:sz w:val="28"/>
          <w:szCs w:val="28"/>
        </w:rPr>
        <w:t>NY (3/31/2023) – FDNY –</w:t>
      </w:r>
      <w:r>
        <w:rPr>
          <w:rFonts w:ascii="Arial Black" w:hAnsi="Arial Black"/>
          <w:sz w:val="28"/>
          <w:szCs w:val="28"/>
        </w:rPr>
        <w:t xml:space="preserve"> </w:t>
      </w:r>
      <w:r w:rsidRPr="006A5BAB">
        <w:rPr>
          <w:rFonts w:ascii="Arial Black" w:hAnsi="Arial Black"/>
          <w:sz w:val="28"/>
          <w:szCs w:val="28"/>
        </w:rPr>
        <w:t>PROB. FF FROM PERU –</w:t>
      </w:r>
      <w:r>
        <w:rPr>
          <w:rFonts w:ascii="Arial Black" w:hAnsi="Arial Black"/>
          <w:sz w:val="28"/>
          <w:szCs w:val="28"/>
        </w:rPr>
        <w:t xml:space="preserve"> HAZING, ONLINE HARASSMENT, PTSD, SUSP. - CASE </w:t>
      </w:r>
      <w:r w:rsidRPr="006A5BAB">
        <w:rPr>
          <w:rFonts w:ascii="Arial Black" w:hAnsi="Arial Black"/>
          <w:sz w:val="28"/>
          <w:szCs w:val="28"/>
        </w:rPr>
        <w:t>PROCEED</w:t>
      </w:r>
    </w:p>
    <w:p w14:paraId="2C7DCA68" w14:textId="77777777" w:rsidR="00227BDE" w:rsidRDefault="00227BDE" w:rsidP="00227BDE">
      <w:pPr>
        <w:pStyle w:val="NoSpacing"/>
      </w:pPr>
    </w:p>
    <w:p w14:paraId="70CAB465" w14:textId="77777777" w:rsidR="00227BDE" w:rsidRPr="003C1643" w:rsidRDefault="00227BDE" w:rsidP="00227BDE">
      <w:pPr>
        <w:pStyle w:val="NoSpacing"/>
        <w:rPr>
          <w:rFonts w:ascii="Times New Roman" w:hAnsi="Times New Roman"/>
          <w:sz w:val="24"/>
          <w:szCs w:val="24"/>
        </w:rPr>
      </w:pPr>
      <w:r w:rsidRPr="003C1643">
        <w:rPr>
          <w:rFonts w:ascii="Times New Roman" w:hAnsi="Times New Roman"/>
          <w:sz w:val="24"/>
          <w:szCs w:val="24"/>
          <w:u w:val="single"/>
        </w:rPr>
        <w:t>Joseph Mendoza v. The City of New York, et al</w:t>
      </w:r>
      <w:r w:rsidRPr="003C1643">
        <w:rPr>
          <w:rFonts w:ascii="Times New Roman" w:hAnsi="Times New Roman"/>
          <w:sz w:val="24"/>
          <w:szCs w:val="24"/>
        </w:rPr>
        <w:t xml:space="preserve">., U.S. District Court Judge Lashann Dearcy Hall, U.S. District Court for Eastern District of New York. </w:t>
      </w:r>
      <w:hyperlink r:id="rId1533" w:history="1">
        <w:r w:rsidRPr="003C1643">
          <w:rPr>
            <w:rStyle w:val="Hyperlink"/>
            <w:rFonts w:ascii="Times New Roman" w:hAnsi="Times New Roman"/>
            <w:sz w:val="24"/>
            <w:szCs w:val="24"/>
          </w:rPr>
          <w:t>https://casetext.com/case/mendoza-v-the-city-of-new-york-3</w:t>
        </w:r>
      </w:hyperlink>
      <w:r w:rsidRPr="003C1643">
        <w:rPr>
          <w:rFonts w:ascii="Times New Roman" w:hAnsi="Times New Roman"/>
          <w:sz w:val="24"/>
          <w:szCs w:val="24"/>
        </w:rPr>
        <w:t xml:space="preserve"> </w:t>
      </w:r>
    </w:p>
    <w:p w14:paraId="4B58745F" w14:textId="77777777" w:rsidR="00227BDE" w:rsidRPr="003C1643" w:rsidRDefault="00227BDE" w:rsidP="00227BDE">
      <w:pPr>
        <w:pStyle w:val="NormalWeb"/>
        <w:rPr>
          <w:b/>
          <w:bCs/>
        </w:rPr>
      </w:pPr>
      <w:r w:rsidRPr="003C1643">
        <w:rPr>
          <w:b/>
          <w:bCs/>
        </w:rPr>
        <w:t>Legal Lesson Learned:</w:t>
      </w:r>
      <w:r>
        <w:rPr>
          <w:b/>
          <w:bCs/>
        </w:rPr>
        <w:t xml:space="preserve"> Allegations are far more than just hazing</w:t>
      </w:r>
      <w:r w:rsidRPr="003C1643">
        <w:rPr>
          <w:b/>
          <w:bCs/>
        </w:rPr>
        <w:t xml:space="preserve">. </w:t>
      </w:r>
    </w:p>
    <w:p w14:paraId="0F2499BF" w14:textId="77777777" w:rsidR="00227BDE" w:rsidRDefault="00227BDE" w:rsidP="00BC70A3">
      <w:pPr>
        <w:rPr>
          <w:rFonts w:ascii="Arial Black" w:hAnsi="Arial Black"/>
          <w:b/>
          <w:sz w:val="24"/>
          <w:szCs w:val="24"/>
        </w:rPr>
      </w:pPr>
    </w:p>
    <w:p w14:paraId="391457F2" w14:textId="20E4D19F" w:rsidR="00227BDE" w:rsidRDefault="00227BDE" w:rsidP="00BC70A3">
      <w:pPr>
        <w:rPr>
          <w:rFonts w:ascii="Arial Black" w:hAnsi="Arial Black"/>
          <w:b/>
          <w:sz w:val="24"/>
          <w:szCs w:val="24"/>
        </w:rPr>
      </w:pPr>
      <w:r>
        <w:rPr>
          <w:rFonts w:ascii="Arial Black" w:hAnsi="Arial Black"/>
          <w:b/>
          <w:sz w:val="24"/>
          <w:szCs w:val="24"/>
        </w:rPr>
        <w:t>8-49</w:t>
      </w:r>
    </w:p>
    <w:p w14:paraId="2B0205B4" w14:textId="77777777" w:rsidR="00227BDE" w:rsidRPr="00016E2B" w:rsidRDefault="00227BDE" w:rsidP="00227BDE">
      <w:pPr>
        <w:pStyle w:val="NoSpacing"/>
        <w:rPr>
          <w:rFonts w:ascii="Arial Black" w:hAnsi="Arial Black"/>
          <w:sz w:val="28"/>
          <w:szCs w:val="28"/>
        </w:rPr>
      </w:pPr>
      <w:r w:rsidRPr="00016E2B">
        <w:rPr>
          <w:rFonts w:ascii="Arial Black" w:hAnsi="Arial Black"/>
          <w:sz w:val="28"/>
          <w:szCs w:val="28"/>
        </w:rPr>
        <w:t>NB (3/31/2023) – BLACK FEMALE FF – GEAR ON FLAGPOLE</w:t>
      </w:r>
      <w:r>
        <w:rPr>
          <w:rFonts w:ascii="Arial Black" w:hAnsi="Arial Black"/>
          <w:sz w:val="28"/>
          <w:szCs w:val="28"/>
        </w:rPr>
        <w:t xml:space="preserve"> WHEN LEFT IT BEHIND - RESIGNED - </w:t>
      </w:r>
      <w:r w:rsidRPr="00016E2B">
        <w:rPr>
          <w:rFonts w:ascii="Arial Black" w:hAnsi="Arial Black"/>
          <w:sz w:val="28"/>
          <w:szCs w:val="28"/>
        </w:rPr>
        <w:t xml:space="preserve">LAWSUIT PROCEED </w:t>
      </w:r>
    </w:p>
    <w:p w14:paraId="07A18F8E" w14:textId="77777777" w:rsidR="00227BDE" w:rsidRDefault="00227BDE" w:rsidP="00227BDE">
      <w:pPr>
        <w:pStyle w:val="NoSpacing"/>
      </w:pPr>
    </w:p>
    <w:p w14:paraId="167C4143" w14:textId="5C0CE0CC" w:rsidR="00227BDE" w:rsidRDefault="00227BDE" w:rsidP="00227BDE">
      <w:pPr>
        <w:rPr>
          <w:rFonts w:ascii="Arial Black" w:hAnsi="Arial Black"/>
          <w:b/>
          <w:sz w:val="24"/>
          <w:szCs w:val="24"/>
        </w:rPr>
      </w:pPr>
      <w:r w:rsidRPr="003C1643">
        <w:rPr>
          <w:rFonts w:ascii="Times New Roman" w:hAnsi="Times New Roman"/>
          <w:sz w:val="24"/>
          <w:szCs w:val="24"/>
          <w:u w:val="single"/>
        </w:rPr>
        <w:t>Jane Crudup v. City of Omaha</w:t>
      </w:r>
      <w:r w:rsidRPr="003C1643">
        <w:rPr>
          <w:rFonts w:ascii="Times New Roman" w:hAnsi="Times New Roman"/>
          <w:sz w:val="24"/>
          <w:szCs w:val="24"/>
        </w:rPr>
        <w:t xml:space="preserve">, Senior U.S. District Court Judge Joseph H. </w:t>
      </w:r>
      <w:proofErr w:type="spellStart"/>
      <w:r w:rsidRPr="003C1643">
        <w:rPr>
          <w:rFonts w:ascii="Times New Roman" w:hAnsi="Times New Roman"/>
          <w:sz w:val="24"/>
          <w:szCs w:val="24"/>
        </w:rPr>
        <w:t>Bataillon</w:t>
      </w:r>
      <w:proofErr w:type="spellEnd"/>
      <w:r w:rsidRPr="003C1643">
        <w:rPr>
          <w:rFonts w:ascii="Times New Roman" w:hAnsi="Times New Roman"/>
          <w:sz w:val="24"/>
          <w:szCs w:val="24"/>
        </w:rPr>
        <w:t xml:space="preserve">, U.S. District Court of District of Nebraska. </w:t>
      </w:r>
      <w:hyperlink r:id="rId1534" w:history="1">
        <w:r w:rsidRPr="003C1643">
          <w:rPr>
            <w:rStyle w:val="Hyperlink"/>
            <w:rFonts w:ascii="Times New Roman" w:hAnsi="Times New Roman"/>
            <w:sz w:val="24"/>
            <w:szCs w:val="24"/>
          </w:rPr>
          <w:t>https://casetext.com/case/crudup-v-city-of-omaha-4</w:t>
        </w:r>
      </w:hyperlink>
    </w:p>
    <w:p w14:paraId="31CAEA8B" w14:textId="77777777" w:rsidR="00227BDE" w:rsidRPr="003C1643" w:rsidRDefault="00227BDE" w:rsidP="00227BDE">
      <w:pPr>
        <w:pStyle w:val="NormalWeb"/>
        <w:rPr>
          <w:b/>
          <w:bCs/>
        </w:rPr>
      </w:pPr>
      <w:r w:rsidRPr="003C1643">
        <w:rPr>
          <w:b/>
          <w:bCs/>
        </w:rPr>
        <w:t xml:space="preserve">Legal Lessons Learned: </w:t>
      </w:r>
      <w:proofErr w:type="gramStart"/>
      <w:r w:rsidRPr="003C1643">
        <w:rPr>
          <w:b/>
          <w:bCs/>
        </w:rPr>
        <w:t>Flag pole</w:t>
      </w:r>
      <w:proofErr w:type="gramEnd"/>
      <w:r w:rsidRPr="003C1643">
        <w:rPr>
          <w:b/>
          <w:bCs/>
        </w:rPr>
        <w:t xml:space="preserve"> incidents and similar practices can lead to litigation. </w:t>
      </w:r>
    </w:p>
    <w:p w14:paraId="2E2F94AE" w14:textId="77777777" w:rsidR="00227BDE" w:rsidRDefault="00227BDE" w:rsidP="00BC70A3">
      <w:pPr>
        <w:rPr>
          <w:rFonts w:ascii="Arial Black" w:hAnsi="Arial Black"/>
          <w:b/>
          <w:sz w:val="24"/>
          <w:szCs w:val="24"/>
        </w:rPr>
      </w:pPr>
    </w:p>
    <w:p w14:paraId="0C373179" w14:textId="77777777" w:rsidR="00227BDE" w:rsidRDefault="00227BDE" w:rsidP="00BC70A3">
      <w:pPr>
        <w:rPr>
          <w:rFonts w:ascii="Arial Black" w:hAnsi="Arial Black"/>
          <w:b/>
          <w:sz w:val="24"/>
          <w:szCs w:val="24"/>
        </w:rPr>
      </w:pPr>
    </w:p>
    <w:p w14:paraId="3BC13FAF" w14:textId="72679E77" w:rsidR="00104A4C" w:rsidRDefault="00104A4C" w:rsidP="00BC70A3">
      <w:pPr>
        <w:rPr>
          <w:rFonts w:ascii="Arial Black" w:hAnsi="Arial Black"/>
          <w:b/>
          <w:sz w:val="24"/>
          <w:szCs w:val="24"/>
        </w:rPr>
      </w:pPr>
      <w:r>
        <w:rPr>
          <w:rFonts w:ascii="Arial Black" w:hAnsi="Arial Black"/>
          <w:b/>
          <w:sz w:val="24"/>
          <w:szCs w:val="24"/>
        </w:rPr>
        <w:t>8-48</w:t>
      </w:r>
    </w:p>
    <w:p w14:paraId="1500CF26" w14:textId="77777777" w:rsidR="00104A4C" w:rsidRPr="005F4D8C" w:rsidRDefault="00104A4C" w:rsidP="00104A4C">
      <w:pPr>
        <w:pStyle w:val="NormalWeb"/>
        <w:rPr>
          <w:rFonts w:ascii="Arial Black" w:hAnsi="Arial Black"/>
          <w:sz w:val="28"/>
          <w:szCs w:val="28"/>
        </w:rPr>
      </w:pPr>
      <w:r>
        <w:rPr>
          <w:rFonts w:ascii="Arial Black" w:hAnsi="Arial Black"/>
          <w:sz w:val="28"/>
          <w:szCs w:val="28"/>
        </w:rPr>
        <w:t xml:space="preserve">NY: BLACK FD CAPTAIN – GOT DRUNK, DEFICATED IN PANTS - PROMOTION BAT. CHIEF PROPERLY RESCINDED </w:t>
      </w:r>
    </w:p>
    <w:p w14:paraId="5B179CA0" w14:textId="77777777" w:rsidR="00104A4C" w:rsidRDefault="00104A4C" w:rsidP="00104A4C">
      <w:pPr>
        <w:pStyle w:val="NormalWeb"/>
      </w:pPr>
      <w:r>
        <w:t xml:space="preserve">On March 9, 2023, in </w:t>
      </w:r>
      <w:r w:rsidRPr="005F4D8C">
        <w:rPr>
          <w:u w:val="single"/>
        </w:rPr>
        <w:t xml:space="preserve">Jeremy Clawson v. The City of Albany Department of Fire </w:t>
      </w:r>
      <w:proofErr w:type="gramStart"/>
      <w:r w:rsidRPr="005F4D8C">
        <w:rPr>
          <w:u w:val="single"/>
        </w:rPr>
        <w:t>And</w:t>
      </w:r>
      <w:proofErr w:type="gramEnd"/>
      <w:r w:rsidRPr="005F4D8C">
        <w:rPr>
          <w:u w:val="single"/>
        </w:rPr>
        <w:t xml:space="preserve"> Emergency</w:t>
      </w:r>
      <w:r>
        <w:t xml:space="preserve">, U.S. District Court Judge Mae A. D’Agostino, North District of New York, granted the City’s motion for summary judgment.  His promotion was rescinded based on Jan. 31, </w:t>
      </w:r>
      <w:proofErr w:type="gramStart"/>
      <w:r>
        <w:t>2019</w:t>
      </w:r>
      <w:proofErr w:type="gramEnd"/>
      <w:r>
        <w:t xml:space="preserve"> incident. </w:t>
      </w:r>
    </w:p>
    <w:p w14:paraId="33E08C54" w14:textId="77777777" w:rsidR="00104A4C" w:rsidRDefault="00104A4C" w:rsidP="00104A4C">
      <w:pPr>
        <w:pStyle w:val="NormalWeb"/>
        <w:ind w:left="720"/>
      </w:pPr>
      <w:r>
        <w:t xml:space="preserve">“On January 31, 2019, at 10:00 p.m., Plaintiff, ‘while off duty,’ went to more than one business, and drank multiple drinks over the course of three to four hours…. At approximately 5:00 a.m., the Albany Police Department (‘APD’) received a call about ‘a person exposing himself’ in a Dunkin Donuts…. According to Defendant, at 5:10 a.m. police arrived at the scene…. At this point Plaintiff was outside of the Dunkin Donuts, with his ‘pants pulled down’ and wearing ‘boxer shorts"…. Defendant states that Plaintiff was ‘covered in feces’ when he was discovered…. APD officers called emergency medical services…. An ambulance took Plaintiff to Albany Medical Center at approximately 5:45 a.m. on February 1, 2019….Plaintiff left the hospital at around 10:00 a.m. </w:t>
      </w:r>
    </w:p>
    <w:p w14:paraId="48744310" w14:textId="77777777" w:rsidR="00104A4C" w:rsidRDefault="00104A4C" w:rsidP="00104A4C">
      <w:pPr>
        <w:pStyle w:val="NormalWeb"/>
        <w:ind w:left="720"/>
      </w:pPr>
      <w:r>
        <w:t xml:space="preserve">*** </w:t>
      </w:r>
    </w:p>
    <w:p w14:paraId="2F3DA0C5" w14:textId="77777777" w:rsidR="00104A4C" w:rsidRDefault="00104A4C" w:rsidP="00104A4C">
      <w:pPr>
        <w:pStyle w:val="NormalWeb"/>
        <w:ind w:left="720"/>
        <w:rPr>
          <w:rStyle w:val="Emphasis"/>
        </w:rPr>
      </w:pPr>
      <w:r>
        <w:t>Five months after the rescission of promotion, Plaintiff was offered to apply for a Deputy Chief position, a higher position than Battalion Chief, which Plaintiff declined to do because that position did not offer civil service protection.”</w:t>
      </w:r>
    </w:p>
    <w:p w14:paraId="6A4D64E1" w14:textId="77777777" w:rsidR="00104A4C" w:rsidRDefault="00104A4C" w:rsidP="00104A4C">
      <w:pPr>
        <w:pStyle w:val="NormalWeb"/>
      </w:pPr>
      <w:r>
        <w:t>Judge ruled:</w:t>
      </w:r>
    </w:p>
    <w:p w14:paraId="3623F83C" w14:textId="77777777" w:rsidR="00104A4C" w:rsidRDefault="00104A4C" w:rsidP="00104A4C">
      <w:pPr>
        <w:pStyle w:val="NormalWeb"/>
        <w:ind w:left="720"/>
      </w:pPr>
      <w:r>
        <w:t xml:space="preserve">“In sum, ample and uncontroverted evidence establishes that Plaintiff's promotion was rescinded because of his conduct on the night of January 31, 2019, and that his race played no role in the decision…. Stated another way, the promotion was rescinded after Plaintiff became so intoxicated in public that he defecated on his pants and had to be brought to a local hospital for observation by the APD.” </w:t>
      </w:r>
    </w:p>
    <w:p w14:paraId="1CF6F03D" w14:textId="77777777" w:rsidR="00104A4C" w:rsidRDefault="00104A4C" w:rsidP="00104A4C">
      <w:pPr>
        <w:pStyle w:val="NormalWeb"/>
      </w:pPr>
      <w:r>
        <w:t xml:space="preserve">Court also found no violation of Americans </w:t>
      </w:r>
      <w:proofErr w:type="gramStart"/>
      <w:r>
        <w:t>With</w:t>
      </w:r>
      <w:proofErr w:type="gramEnd"/>
      <w:r>
        <w:t xml:space="preserve"> Disabilities Act; he was not perceived to be disabled, just because they suggested he might benefit from EAP counseling. </w:t>
      </w:r>
    </w:p>
    <w:p w14:paraId="486B10DA" w14:textId="77777777" w:rsidR="00104A4C" w:rsidRDefault="00104A4C" w:rsidP="00104A4C">
      <w:pPr>
        <w:pStyle w:val="NormalWeb"/>
        <w:ind w:left="720"/>
      </w:pPr>
      <w:r>
        <w:t xml:space="preserve">“Even if he was regarded as ‘having a problem with alcohol,’ that does not sufficiently allege disability under the ADA, as it does not allege that this was more than ‘transitory or minor.’ As such, rescinding a promotion based on one public night of intoxication does not require a finding that an employer was on notice of a disability or regarded someone as having a disability.” </w:t>
      </w:r>
      <w:hyperlink r:id="rId1535" w:history="1">
        <w:r w:rsidRPr="00317BE5">
          <w:rPr>
            <w:rStyle w:val="Hyperlink"/>
            <w:rFonts w:eastAsiaTheme="majorEastAsia"/>
          </w:rPr>
          <w:t>https://public.fastcase.com/J%2FJP6pdidelsXxEE4k%2BLMgHzbJp7ohVf6eJnqqVRZsR3ljYGLWqzA%2BaNrEJEjuoSNSzJxXmSxLQZTPvgqQmcEiF1aE%2BspvM2CCoAx4ikJzY%3D?utm_medium=email&amp;_hsmi=226712652&amp;_hsenc=p2ANqtz-8P0uzvemqlc89p8NGs_MEabF92WO0Yw0J6IjilR3LUZDOGdMMkuiwHYzQhEyPy65nnWBVskQbx-uRxwGqC5jWNg9aYuA&amp;utm_content=226712652&amp;utm_source=hs_email</w:t>
        </w:r>
      </w:hyperlink>
      <w:r>
        <w:t xml:space="preserve"> </w:t>
      </w:r>
    </w:p>
    <w:p w14:paraId="4E7259FB" w14:textId="77777777" w:rsidR="00104A4C" w:rsidRPr="006D07F7" w:rsidRDefault="00104A4C" w:rsidP="00104A4C">
      <w:pPr>
        <w:pStyle w:val="NormalWeb"/>
        <w:rPr>
          <w:b/>
          <w:bCs/>
        </w:rPr>
      </w:pPr>
      <w:r w:rsidRPr="006D07F7">
        <w:rPr>
          <w:b/>
          <w:bCs/>
        </w:rPr>
        <w:t xml:space="preserve">Legal Lesson Learned: </w:t>
      </w:r>
      <w:r>
        <w:rPr>
          <w:b/>
          <w:bCs/>
        </w:rPr>
        <w:t xml:space="preserve">The facts supported the decision.  </w:t>
      </w:r>
    </w:p>
    <w:p w14:paraId="2528458C" w14:textId="2EDAAE74" w:rsidR="00104A4C" w:rsidRPr="00104A4C" w:rsidRDefault="00104A4C" w:rsidP="00104A4C">
      <w:pPr>
        <w:ind w:left="720"/>
        <w:rPr>
          <w:rFonts w:ascii="Times New Roman" w:hAnsi="Times New Roman"/>
          <w:b/>
          <w:sz w:val="24"/>
          <w:szCs w:val="24"/>
        </w:rPr>
      </w:pPr>
      <w:r w:rsidRPr="00104A4C">
        <w:rPr>
          <w:rFonts w:ascii="Times New Roman" w:hAnsi="Times New Roman"/>
          <w:sz w:val="24"/>
          <w:szCs w:val="24"/>
        </w:rPr>
        <w:t>Note: See article: “Black captain sues Albany Fire Department for rescinding his promotion.” Dec. 9, 2020. “ALBANY — Jeremy E. Clawson, a captain and the only minority supervising officer in the Albany Fire Department, has filed a federal civil rights lawsuit accusing city leaders of rescinding his promotion to the position of battalion chief.</w:t>
      </w:r>
    </w:p>
    <w:p w14:paraId="58E01A66" w14:textId="77777777" w:rsidR="00104A4C" w:rsidRDefault="00104A4C" w:rsidP="00BC70A3">
      <w:pPr>
        <w:rPr>
          <w:rFonts w:ascii="Arial Black" w:hAnsi="Arial Black"/>
          <w:b/>
          <w:sz w:val="24"/>
          <w:szCs w:val="24"/>
        </w:rPr>
      </w:pPr>
    </w:p>
    <w:p w14:paraId="05FF87C3" w14:textId="7FB4DF1B" w:rsidR="00B87D79" w:rsidRDefault="008A4533" w:rsidP="00BC70A3">
      <w:pPr>
        <w:rPr>
          <w:rFonts w:ascii="Arial Black" w:hAnsi="Arial Black"/>
          <w:b/>
          <w:sz w:val="24"/>
          <w:szCs w:val="24"/>
        </w:rPr>
      </w:pPr>
      <w:r>
        <w:rPr>
          <w:rFonts w:ascii="Arial Black" w:hAnsi="Arial Black"/>
          <w:b/>
          <w:sz w:val="24"/>
          <w:szCs w:val="24"/>
        </w:rPr>
        <w:t>8-47</w:t>
      </w:r>
    </w:p>
    <w:p w14:paraId="681959A6" w14:textId="77777777" w:rsidR="008A4533" w:rsidRPr="00EA11E9" w:rsidRDefault="008A4533" w:rsidP="008A4533">
      <w:pPr>
        <w:pStyle w:val="NormalWeb"/>
        <w:rPr>
          <w:rFonts w:ascii="Arial Black" w:hAnsi="Arial Black"/>
          <w:sz w:val="28"/>
          <w:szCs w:val="28"/>
        </w:rPr>
      </w:pPr>
      <w:r>
        <w:rPr>
          <w:rFonts w:ascii="Arial Black" w:hAnsi="Arial Black"/>
          <w:sz w:val="28"/>
          <w:szCs w:val="28"/>
        </w:rPr>
        <w:t>IN: CAPTAIN [BLACK] DEMOTED FOR BREACH ORDER NOT DISCUSS VIDEO TWO MEN HAVING SEX – CASE DISMISSED</w:t>
      </w:r>
    </w:p>
    <w:p w14:paraId="2F911271" w14:textId="77777777" w:rsidR="008A4533" w:rsidRDefault="008A4533" w:rsidP="008A4533">
      <w:pPr>
        <w:pStyle w:val="NormalWeb"/>
      </w:pPr>
      <w:r w:rsidRPr="00514A35">
        <w:t xml:space="preserve">On Jan. 24, 2023, in </w:t>
      </w:r>
      <w:r w:rsidRPr="00514A35">
        <w:rPr>
          <w:u w:val="single"/>
        </w:rPr>
        <w:t>Brad M. Collier v. City of New Albany</w:t>
      </w:r>
      <w:r>
        <w:t xml:space="preserve">, U.S. District Court Judge Robert L. Miller, U.S. District Court for Southern District of Indiana (New Albany Division) granted the City’s motion for summary judgment, dismissing his claims of race discrimination, ADA, FMLA.  The plaintiff (African American) was a firefighter for over 20 years, and retired May 4, 2022; he was demoted for breach of a direct order on Nov. 1, 2019.  A firefighter on his crew showed the </w:t>
      </w:r>
      <w:proofErr w:type="gramStart"/>
      <w:r>
        <w:t>Captain</w:t>
      </w:r>
      <w:proofErr w:type="gramEnd"/>
      <w:r>
        <w:t xml:space="preserve"> and another firefighter a video – another firefighter [“Mr. Doe”] having sex with two other males [not firefighters]. The Fire Chief ordered video destroyed, and the three firefighters to not discuss with others.  For beach of that order, Captain was demoted to Sergeant and suspended for 5 days without pay; the firefighter who brought in the video was suspended for 10 days [Fire Chief first recommended he be fired for bringing the video to fire station], and the other firefighter was suspended for 1.5 days.  Court dismissed the lawsuit, holding: “None of this would allow a reasonable factfinder to find race discrimination.” </w:t>
      </w:r>
      <w:hyperlink r:id="rId1536" w:history="1">
        <w:r w:rsidRPr="006E56EF">
          <w:rPr>
            <w:rStyle w:val="Hyperlink"/>
          </w:rPr>
          <w:t>https://public.fastcase.com/J%2FJP6pdidelsXxEE4k%2BLMrA34GsTt5B2s5lqbdzOSKO6ds2%2FFXzTZCAcVKPc5nYGkDv4uUicwcEOayTnLM9q%2BLkNSr7W2Myomwq976TWq68%3D?utm_medium=email&amp;_hsmi=226712652&amp;_hsenc=p2ANqtz--xrBYm_8SOoB1x8n_lzDvQY_7J4w6TZmgBXNCiTskMckRZL1pW5pA7jfVkIgH5lYseuktBIikSAYCDqwL7O8hlSm6fMw&amp;utm_content=226712652&amp;utm_source=hs_email</w:t>
        </w:r>
      </w:hyperlink>
      <w:r>
        <w:t xml:space="preserve"> </w:t>
      </w:r>
    </w:p>
    <w:p w14:paraId="6B7D4A6C" w14:textId="77777777" w:rsidR="008A4533" w:rsidRDefault="008A4533" w:rsidP="008A4533">
      <w:pPr>
        <w:pStyle w:val="NormalWeb"/>
        <w:ind w:left="720"/>
      </w:pPr>
      <w:r>
        <w:t>“On the morning of November 1 [2019, Captain] Collier was doing chores at the firehouse. [Firefighter] Sullivan approached [Captain] Collier and told him that [</w:t>
      </w:r>
      <w:proofErr w:type="gramStart"/>
      <w:r>
        <w:t>firefighter] ‘</w:t>
      </w:r>
      <w:proofErr w:type="gramEnd"/>
      <w:r>
        <w:t xml:space="preserve">John Doe’ wasn't ‘the guy you think he is.’ [Firefighter] Sullivan showed Mr. Collier a video of Mr. Doe having sex with two other adult men and suggested that if Mr. Doe would have sex with men, he was capable of ‘messing around with’ children. Mr. Sullivan then showed a report from Child Protective Services involving Mr. Doe, suggesting he might be a child abuser. </w:t>
      </w:r>
    </w:p>
    <w:p w14:paraId="409CF51D" w14:textId="77777777" w:rsidR="008A4533" w:rsidRDefault="008A4533" w:rsidP="008A4533">
      <w:pPr>
        <w:pStyle w:val="NormalWeb"/>
        <w:ind w:left="720"/>
      </w:pPr>
      <w:r>
        <w:t xml:space="preserve">[Firefighter] Peters then entered the room and viewed the video. The three men called Battalion Chief Bowyer to the station and saved the materials to a thumb drive. After Chief Bowyer arrived, they shared the information with him, and he summoned Deputy Chief Gadd to the station. They described the information to Deputy Chief Gadd, who in turn called Fire Chief Matt Juliot and the New Albany Police Chief to the station. </w:t>
      </w:r>
    </w:p>
    <w:p w14:paraId="60743851" w14:textId="77777777" w:rsidR="008A4533" w:rsidRDefault="008A4533" w:rsidP="008A4533">
      <w:pPr>
        <w:pStyle w:val="NormalWeb"/>
        <w:ind w:left="720"/>
      </w:pPr>
      <w:r>
        <w:t xml:space="preserve">When the fire chief and police chief arrived, the three men admitted the flash drive contained no material involving children but demanded that Mr. Doe be disciplined and that they not work with him anymore. The police chief checked into the Child Protective Services allegations and learned that they had been investigated and deemed unfounded. Battalion Chief Bowyer explained that Mr. Doe was ‘macho’ and might kill himself if this information got out, though Fire Chief Juliot understand the statement to be more hyperbole than literal. </w:t>
      </w:r>
    </w:p>
    <w:p w14:paraId="65A17302" w14:textId="77777777" w:rsidR="008A4533" w:rsidRDefault="008A4533" w:rsidP="008A4533">
      <w:pPr>
        <w:pStyle w:val="NormalWeb"/>
        <w:ind w:left="720"/>
      </w:pPr>
      <w:r>
        <w:t xml:space="preserve">The police chief ordered the men to destroy the thumb drive and not to discuss the materials. Chief Juliot and Deputy Chief Gadd reiterated that the command was a formal order. Deputy Chief Gadd called the station later that day to reiterate the order not to discuss the material. </w:t>
      </w:r>
    </w:p>
    <w:p w14:paraId="7DC61007" w14:textId="77777777" w:rsidR="008A4533" w:rsidRDefault="008A4533" w:rsidP="008A4533">
      <w:pPr>
        <w:pStyle w:val="NormalWeb"/>
        <w:ind w:left="720" w:firstLine="60"/>
      </w:pPr>
      <w:r>
        <w:t>Mr. Collier and his crew continued to talk about John Doe. Mr. Collier told some colleagues on another crew about the incident. He described in some detail the video of Mr. Doe being intimate with two men and implied there was material relating to minors.</w:t>
      </w:r>
    </w:p>
    <w:p w14:paraId="3261E9DC" w14:textId="77777777" w:rsidR="008A4533" w:rsidRDefault="008A4533" w:rsidP="008A4533">
      <w:pPr>
        <w:pStyle w:val="NormalWeb"/>
        <w:ind w:left="720" w:firstLine="60"/>
      </w:pPr>
      <w:r>
        <w:t>***</w:t>
      </w:r>
    </w:p>
    <w:p w14:paraId="71556693" w14:textId="77777777" w:rsidR="008A4533" w:rsidRDefault="008A4533" w:rsidP="008A4533">
      <w:pPr>
        <w:pStyle w:val="NormalWeb"/>
        <w:ind w:left="720"/>
      </w:pPr>
      <w:r>
        <w:t>Mr. Collier first admitted that he violated rules and regulations by disobeying direct orders and agreed that as a captain, he was held to a higher standard than many other firefighters.</w:t>
      </w:r>
    </w:p>
    <w:p w14:paraId="744D0471" w14:textId="77777777" w:rsidR="008A4533" w:rsidRDefault="008A4533" w:rsidP="008A4533">
      <w:pPr>
        <w:pStyle w:val="NormalWeb"/>
        <w:ind w:left="720"/>
      </w:pPr>
      <w:r>
        <w:t>***</w:t>
      </w:r>
    </w:p>
    <w:p w14:paraId="49B06ABF" w14:textId="77777777" w:rsidR="008A4533" w:rsidRDefault="008A4533" w:rsidP="008A4533">
      <w:pPr>
        <w:pStyle w:val="NormalWeb"/>
        <w:ind w:left="720"/>
      </w:pPr>
      <w:r>
        <w:t xml:space="preserve">New Albany contends that Mr. Collier violated fire department rules and regulations by continuing to discuss the Doe incident with others despite being ordered not to do so. New Albany cites its disciplinary notice to Mr. Collier, which explained the violations and cited to department rules against disobeying orders, acting in a manner unbecoming of a firefighter, and disseminating false reports about others. New Albany uses Deputy Chief Gadd and Chief Juliot's testimony to show that Mr. Collier was held to a higher standard and should have led by example rather than aggravating the situation. Mr. Collier conceded the same points in his deposition, testifying that department practice was to treat captains' violations as more serious than firefighters' violations. According to New Albany, Mr. Collier's conduct around the Doe defeats the prima facie case and </w:t>
      </w:r>
    </w:p>
    <w:p w14:paraId="0FFBF96E" w14:textId="77777777" w:rsidR="008A4533" w:rsidRPr="00D3794E" w:rsidRDefault="008A4533" w:rsidP="008A4533">
      <w:pPr>
        <w:pStyle w:val="NormalWeb"/>
        <w:rPr>
          <w:b/>
          <w:bCs/>
        </w:rPr>
      </w:pPr>
      <w:r w:rsidRPr="00D3794E">
        <w:rPr>
          <w:b/>
          <w:bCs/>
        </w:rPr>
        <w:t>Legal Lesson Learned:</w:t>
      </w:r>
      <w:r>
        <w:rPr>
          <w:b/>
          <w:bCs/>
        </w:rPr>
        <w:t xml:space="preserve"> Captain’s acknowledged breach of a direct order resulted in his demotion. </w:t>
      </w:r>
    </w:p>
    <w:p w14:paraId="509CB4D8" w14:textId="77777777" w:rsidR="008A4533" w:rsidRDefault="008A4533" w:rsidP="008A4533">
      <w:pPr>
        <w:pStyle w:val="NormalWeb"/>
        <w:ind w:left="720"/>
      </w:pPr>
    </w:p>
    <w:p w14:paraId="20E79512" w14:textId="2FB072FA" w:rsidR="008A4533" w:rsidRDefault="008A4533" w:rsidP="00BC70A3">
      <w:pPr>
        <w:rPr>
          <w:rFonts w:ascii="Arial Black" w:hAnsi="Arial Black"/>
          <w:b/>
          <w:sz w:val="24"/>
          <w:szCs w:val="24"/>
        </w:rPr>
      </w:pPr>
    </w:p>
    <w:p w14:paraId="1F37BA83" w14:textId="7D4C02EE" w:rsidR="008A4533" w:rsidRDefault="008A4533" w:rsidP="00BC70A3">
      <w:pPr>
        <w:rPr>
          <w:rFonts w:ascii="Arial Black" w:hAnsi="Arial Black"/>
          <w:b/>
          <w:sz w:val="24"/>
          <w:szCs w:val="24"/>
        </w:rPr>
      </w:pPr>
      <w:r>
        <w:rPr>
          <w:rFonts w:ascii="Arial Black" w:hAnsi="Arial Black"/>
          <w:b/>
          <w:sz w:val="24"/>
          <w:szCs w:val="24"/>
        </w:rPr>
        <w:t>8-46</w:t>
      </w:r>
    </w:p>
    <w:p w14:paraId="7953BB02" w14:textId="77777777" w:rsidR="008A4533" w:rsidRPr="00E61C73" w:rsidRDefault="008A4533" w:rsidP="008A4533">
      <w:pPr>
        <w:pStyle w:val="ekqk"/>
        <w:rPr>
          <w:rFonts w:ascii="Arial Black" w:hAnsi="Arial Black"/>
          <w:sz w:val="28"/>
          <w:szCs w:val="28"/>
        </w:rPr>
      </w:pPr>
      <w:r>
        <w:rPr>
          <w:rFonts w:ascii="Arial Black" w:hAnsi="Arial Black"/>
          <w:sz w:val="28"/>
          <w:szCs w:val="28"/>
        </w:rPr>
        <w:t>MN:  HOSPITAL – FIRED MEDIC, IN BLACKFACE AT HALLOWEEN PARTY 15-YRS PRIOR – NEWSPAPER ARTICLE</w:t>
      </w:r>
    </w:p>
    <w:p w14:paraId="1C3A2EF8" w14:textId="77777777" w:rsidR="008A4533" w:rsidRDefault="008A4533" w:rsidP="008A4533">
      <w:pPr>
        <w:pStyle w:val="ekqk"/>
      </w:pPr>
      <w:r>
        <w:t xml:space="preserve">On Jan. 9, 2023, in </w:t>
      </w:r>
      <w:r w:rsidRPr="00E61C73">
        <w:rPr>
          <w:u w:val="single"/>
        </w:rPr>
        <w:t>Amber Brown v. Hennepin Healthcare Systems</w:t>
      </w:r>
      <w:r>
        <w:t xml:space="preserve">, the Court of Appeals of Minnesota held (3 to 0) that the Hospital had lawful right to terminate the paramedic without cause per Employee Handbook.  She has worked at the hospital since 2002, and promoted Deputy Chief of Emergency Medical Services, managing the Community Paramedic Program. On February 15, 2022, the Hospital [HHS] received an unsigned email with an attached photo depicting Brown in blackface. Brown admitted that she was in the photo and said that it had been taken 15-17 years earlier at a private Halloween party. The photo was of Brown and two others dressed up as the musical group, The Supremes. The photo had been posted on someone else's Facebook page.  On March 3, </w:t>
      </w:r>
      <w:proofErr w:type="gramStart"/>
      <w:r>
        <w:t>2022</w:t>
      </w:r>
      <w:proofErr w:type="gramEnd"/>
      <w:r>
        <w:t xml:space="preserve"> the Hospital fired Ms. Brown.</w:t>
      </w:r>
      <w:r>
        <w:rPr>
          <w:b/>
          <w:bCs/>
        </w:rPr>
        <w:t xml:space="preserve">  </w:t>
      </w:r>
      <w:r w:rsidRPr="00F3148C">
        <w:t>The Court of Appeals wrote:</w:t>
      </w:r>
      <w:r>
        <w:rPr>
          <w:b/>
          <w:bCs/>
        </w:rPr>
        <w:t xml:space="preserve"> </w:t>
      </w:r>
      <w:r>
        <w:t xml:space="preserve">Following an internal investigation, HHS decided to discharge Brown. But before HHS could inform Brown of its decision, the Star Tribune published an article about the photo titled "Hennepin Healthcare promised to address 'systemic racism.' Then came the blackface photos." The Court held that under Minnesota statute only requires HHS to create “a procedure for employees to appeal discharge decisions” and HHS did so by giving her an opportunity to appear before their Board of Directors (which she declined). “The statute does not require HHS to provide what Brown advocates-a just-cause hearing before discharge.” </w:t>
      </w:r>
      <w:hyperlink r:id="rId1537" w:history="1">
        <w:r w:rsidRPr="00346E6A">
          <w:rPr>
            <w:rStyle w:val="Hyperlink"/>
          </w:rPr>
          <w:t>https://casetext.com/case/brown-v-hennepin-healthcare-sys</w:t>
        </w:r>
      </w:hyperlink>
      <w:r>
        <w:t xml:space="preserve"> </w:t>
      </w:r>
    </w:p>
    <w:p w14:paraId="7F28A1A7" w14:textId="77777777" w:rsidR="008A4533" w:rsidRDefault="008A4533" w:rsidP="008A4533">
      <w:pPr>
        <w:pStyle w:val="NormalWeb"/>
        <w:ind w:left="720"/>
      </w:pPr>
      <w:r>
        <w:t xml:space="preserve">“It is undisputed that Brown was hired for an indefinite term. And, like the contract in </w:t>
      </w:r>
      <w:r>
        <w:rPr>
          <w:rStyle w:val="Emphasis"/>
        </w:rPr>
        <w:t>Reierson</w:t>
      </w:r>
      <w:r>
        <w:t xml:space="preserve">, the employee handbook states that ‘Employees may resign their employment with HCMC </w:t>
      </w:r>
      <w:r>
        <w:rPr>
          <w:rStyle w:val="Emphasis"/>
        </w:rPr>
        <w:t>at any time for any reason</w:t>
      </w:r>
      <w:r>
        <w:t>, and HCMC reserves the same right regarding the discontinuation of an individual's employment.’ (Emphasis added.) This record supports the determination that Brown was an at-will employee, and HHS's decision to end her employment could not be arbitrary, unreasonable, or unsupported by the evidence.”</w:t>
      </w:r>
    </w:p>
    <w:p w14:paraId="54CE8166" w14:textId="77777777" w:rsidR="008A4533" w:rsidRDefault="008A4533" w:rsidP="008A4533">
      <w:pPr>
        <w:pStyle w:val="NormalWeb"/>
        <w:rPr>
          <w:b/>
          <w:bCs/>
        </w:rPr>
      </w:pPr>
      <w:r w:rsidRPr="00C13BF4">
        <w:rPr>
          <w:b/>
          <w:bCs/>
        </w:rPr>
        <w:t xml:space="preserve">Legal Lesson Learned: </w:t>
      </w:r>
      <w:r>
        <w:rPr>
          <w:b/>
          <w:bCs/>
        </w:rPr>
        <w:t xml:space="preserve">An “at will” employee has no right in Minnesota to a </w:t>
      </w:r>
      <w:proofErr w:type="gramStart"/>
      <w:r>
        <w:rPr>
          <w:b/>
          <w:bCs/>
        </w:rPr>
        <w:t>fact finding</w:t>
      </w:r>
      <w:proofErr w:type="gramEnd"/>
      <w:r>
        <w:rPr>
          <w:b/>
          <w:bCs/>
        </w:rPr>
        <w:t xml:space="preserve"> hearing.  </w:t>
      </w:r>
    </w:p>
    <w:p w14:paraId="1146F81B" w14:textId="77777777" w:rsidR="008A4533" w:rsidRPr="00C13BF4" w:rsidRDefault="008A4533" w:rsidP="008A4533">
      <w:pPr>
        <w:pStyle w:val="NormalWeb"/>
      </w:pPr>
      <w:r>
        <w:rPr>
          <w:b/>
          <w:bCs/>
        </w:rPr>
        <w:tab/>
      </w:r>
      <w:r w:rsidRPr="00C13BF4">
        <w:t xml:space="preserve">Note: Perhaps this is the “rest of the story” </w:t>
      </w:r>
      <w:r>
        <w:t xml:space="preserve">when Court wrote: </w:t>
      </w:r>
    </w:p>
    <w:p w14:paraId="6AA8D350" w14:textId="77777777" w:rsidR="008A4533" w:rsidRDefault="008A4533" w:rsidP="008A4533">
      <w:pPr>
        <w:pStyle w:val="NormalWeb"/>
        <w:ind w:left="1440"/>
      </w:pPr>
      <w:r w:rsidRPr="00C13BF4">
        <w:t>“Following an internal investigation, HHS decided to discharge Brown. But before HHS could inform Brown of its decision, the Star Tribune published an article about the photo titled "Hennepin Healthcare promised to address 'systemic racism.' Then came the blackface photos."</w:t>
      </w:r>
    </w:p>
    <w:p w14:paraId="69BF840B" w14:textId="77777777" w:rsidR="008A4533" w:rsidRPr="00CF7C67" w:rsidRDefault="008A4533" w:rsidP="008A4533">
      <w:pPr>
        <w:pStyle w:val="Heading1"/>
        <w:ind w:left="720"/>
        <w:rPr>
          <w:b w:val="0"/>
          <w:bCs w:val="0"/>
          <w:sz w:val="24"/>
          <w:szCs w:val="24"/>
        </w:rPr>
      </w:pPr>
      <w:r>
        <w:rPr>
          <w:b w:val="0"/>
          <w:bCs w:val="0"/>
          <w:sz w:val="24"/>
          <w:szCs w:val="24"/>
        </w:rPr>
        <w:t>See this article: “</w:t>
      </w:r>
      <w:r w:rsidRPr="00CF7C67">
        <w:rPr>
          <w:b w:val="0"/>
          <w:bCs w:val="0"/>
          <w:sz w:val="24"/>
          <w:szCs w:val="24"/>
        </w:rPr>
        <w:t>Hennepin Health accused of 'deeply rooted' racism following blackface, 'excited delirium' incidents</w:t>
      </w:r>
      <w:r>
        <w:rPr>
          <w:b w:val="0"/>
          <w:bCs w:val="0"/>
          <w:sz w:val="24"/>
          <w:szCs w:val="24"/>
        </w:rPr>
        <w:t xml:space="preserve">.” </w:t>
      </w:r>
      <w:r w:rsidRPr="00CF7C67">
        <w:rPr>
          <w:b w:val="0"/>
          <w:bCs w:val="0"/>
          <w:sz w:val="24"/>
          <w:szCs w:val="24"/>
        </w:rPr>
        <w:t xml:space="preserve"> (March 4, 2022): </w:t>
      </w:r>
      <w:hyperlink r:id="rId1538" w:history="1">
        <w:r w:rsidRPr="00CF7C67">
          <w:rPr>
            <w:rStyle w:val="Hyperlink"/>
            <w:sz w:val="24"/>
            <w:szCs w:val="24"/>
          </w:rPr>
          <w:t>https://www.fiercehealthcare.com/providers/hennepin-health-accused-deeply-rooted-racism-following-blackface-excited-delirium</w:t>
        </w:r>
      </w:hyperlink>
      <w:r w:rsidRPr="00CF7C67">
        <w:rPr>
          <w:b w:val="0"/>
          <w:bCs w:val="0"/>
          <w:sz w:val="24"/>
          <w:szCs w:val="24"/>
        </w:rPr>
        <w:t xml:space="preserve"> </w:t>
      </w:r>
    </w:p>
    <w:p w14:paraId="34EE9B7C" w14:textId="40CFB87E" w:rsidR="008A4533" w:rsidRDefault="008A4533" w:rsidP="00BC70A3">
      <w:pPr>
        <w:rPr>
          <w:rFonts w:ascii="Arial Black" w:hAnsi="Arial Black"/>
          <w:b/>
          <w:sz w:val="24"/>
          <w:szCs w:val="24"/>
        </w:rPr>
      </w:pPr>
    </w:p>
    <w:p w14:paraId="7BE58872" w14:textId="77777777" w:rsidR="008A4533" w:rsidRDefault="008A4533" w:rsidP="00BC70A3">
      <w:pPr>
        <w:rPr>
          <w:rFonts w:ascii="Arial Black" w:hAnsi="Arial Black"/>
          <w:b/>
          <w:sz w:val="24"/>
          <w:szCs w:val="24"/>
        </w:rPr>
      </w:pPr>
    </w:p>
    <w:p w14:paraId="474E941B" w14:textId="19A2D2A3" w:rsidR="00B87D79" w:rsidRDefault="00B87D79" w:rsidP="00BC70A3">
      <w:pPr>
        <w:rPr>
          <w:rFonts w:ascii="Arial Black" w:hAnsi="Arial Black"/>
          <w:b/>
          <w:sz w:val="24"/>
          <w:szCs w:val="24"/>
        </w:rPr>
      </w:pPr>
      <w:r>
        <w:rPr>
          <w:rFonts w:ascii="Arial Black" w:hAnsi="Arial Black"/>
          <w:b/>
          <w:sz w:val="24"/>
          <w:szCs w:val="24"/>
        </w:rPr>
        <w:t>8-45</w:t>
      </w:r>
    </w:p>
    <w:p w14:paraId="7E89D6DE" w14:textId="77777777" w:rsidR="00B87D79" w:rsidRPr="00086749" w:rsidRDefault="00B87D79" w:rsidP="00B87D79">
      <w:pPr>
        <w:pStyle w:val="NormalWeb"/>
        <w:rPr>
          <w:rFonts w:ascii="Arial Black" w:hAnsi="Arial Black"/>
          <w:sz w:val="28"/>
          <w:szCs w:val="28"/>
        </w:rPr>
      </w:pPr>
      <w:r w:rsidRPr="00086749">
        <w:rPr>
          <w:rFonts w:ascii="Arial Black" w:hAnsi="Arial Black"/>
          <w:sz w:val="28"/>
          <w:szCs w:val="28"/>
        </w:rPr>
        <w:t>NY: FDNY EMS OFFICERS – NON-WHITE – CLAIM RACE / SEX DISCRIMINATION IN PROMOTIONS –</w:t>
      </w:r>
      <w:r>
        <w:rPr>
          <w:rFonts w:ascii="Arial Black" w:hAnsi="Arial Black"/>
          <w:sz w:val="28"/>
          <w:szCs w:val="28"/>
        </w:rPr>
        <w:t xml:space="preserve"> NO </w:t>
      </w:r>
      <w:r w:rsidRPr="00086749">
        <w:rPr>
          <w:rFonts w:ascii="Arial Black" w:hAnsi="Arial Black"/>
          <w:sz w:val="28"/>
          <w:szCs w:val="28"/>
        </w:rPr>
        <w:t xml:space="preserve">CLASS </w:t>
      </w:r>
      <w:r>
        <w:rPr>
          <w:rFonts w:ascii="Arial Black" w:hAnsi="Arial Black"/>
          <w:sz w:val="28"/>
          <w:szCs w:val="28"/>
        </w:rPr>
        <w:t>ACTION</w:t>
      </w:r>
    </w:p>
    <w:p w14:paraId="0904EC3A" w14:textId="77777777" w:rsidR="00B87D79" w:rsidRDefault="00B87D79" w:rsidP="00B87D79">
      <w:pPr>
        <w:pStyle w:val="NormalWeb"/>
      </w:pPr>
      <w:r>
        <w:t xml:space="preserve">On Nov. 22, 2022, in </w:t>
      </w:r>
      <w:r w:rsidRPr="0077015D">
        <w:rPr>
          <w:u w:val="single"/>
        </w:rPr>
        <w:t>Local 3621, EMS Officers Union, et al. v. City of New York</w:t>
      </w:r>
      <w:r>
        <w:t xml:space="preserve">, U.S. District Court Judge Lewis J. Liman, U.S. District Court, Southern District of New York, denied the plaintiffs motion in this 2018 lawsuit for class certification, since plaintiffs have failed to show a “specific employment practice” in the promotion process that is discriminatory.  “In other words, the proposed class members do not appear to have “common answer to the crucial question </w:t>
      </w:r>
      <w:r>
        <w:rPr>
          <w:rStyle w:val="Emphasis"/>
        </w:rPr>
        <w:t>why was I disfavored</w:t>
      </w:r>
      <w:r>
        <w:t xml:space="preserve">.” </w:t>
      </w:r>
    </w:p>
    <w:p w14:paraId="16776C7E" w14:textId="1CE71E00" w:rsidR="00B87D79" w:rsidRPr="00B87D79" w:rsidRDefault="00B87D79" w:rsidP="00B87D79">
      <w:pPr>
        <w:ind w:left="720"/>
        <w:rPr>
          <w:rFonts w:ascii="Times New Roman" w:hAnsi="Times New Roman"/>
          <w:b/>
          <w:sz w:val="24"/>
          <w:szCs w:val="24"/>
        </w:rPr>
      </w:pPr>
      <w:r w:rsidRPr="00B87D79">
        <w:rPr>
          <w:rFonts w:ascii="Times New Roman" w:hAnsi="Times New Roman"/>
          <w:sz w:val="24"/>
          <w:szCs w:val="24"/>
        </w:rPr>
        <w:t xml:space="preserve">“In the case at bar, Plaintiffs, however, fail to demonstrate that these specific employment practices have a discriminatory impact on a class wide basis. Instead, the evidence supports that the question of which of these specific employment practices has a discriminatory impact on an applicant is largely an individualized inquiry. As summarized in Background Section I.B.1, each of Plaintiffs' declarants submitted their own unique story, highlighting a different part of the promotional process that disfavored them: Boyd alleges that she was discriminatorily given a lower grade on her annual performance evaluation, which in turn hurt her chances for promotion…. </w:t>
      </w:r>
      <w:proofErr w:type="spellStart"/>
      <w:r w:rsidRPr="00B87D79">
        <w:rPr>
          <w:rFonts w:ascii="Times New Roman" w:hAnsi="Times New Roman"/>
          <w:sz w:val="24"/>
          <w:szCs w:val="24"/>
        </w:rPr>
        <w:t>Mascol</w:t>
      </w:r>
      <w:proofErr w:type="spellEnd"/>
      <w:r w:rsidRPr="00B87D79">
        <w:rPr>
          <w:rFonts w:ascii="Times New Roman" w:hAnsi="Times New Roman"/>
          <w:sz w:val="24"/>
          <w:szCs w:val="24"/>
        </w:rPr>
        <w:t xml:space="preserve">, on the other hand, alleges that ‘notwithstanding her credentials, she has been passed over after completing the promotion process five times before she became Captain’ as she was told during her interview that ‘she did well, but not well enough’ and ‘had been secretly removed from the list of potential candidates’ due to a disciplinary action….  </w:t>
      </w:r>
      <w:proofErr w:type="gramStart"/>
      <w:r w:rsidRPr="00B87D79">
        <w:rPr>
          <w:rFonts w:ascii="Times New Roman" w:hAnsi="Times New Roman"/>
          <w:sz w:val="24"/>
          <w:szCs w:val="24"/>
        </w:rPr>
        <w:t>And,</w:t>
      </w:r>
      <w:proofErr w:type="gramEnd"/>
      <w:r w:rsidRPr="00B87D79">
        <w:rPr>
          <w:rFonts w:ascii="Times New Roman" w:hAnsi="Times New Roman"/>
          <w:sz w:val="24"/>
          <w:szCs w:val="24"/>
        </w:rPr>
        <w:t xml:space="preserve"> Rodriguez alleges that he was unlawfully denied a promotion as he was told he </w:t>
      </w:r>
      <w:proofErr w:type="gramStart"/>
      <w:r w:rsidRPr="00B87D79">
        <w:rPr>
          <w:rFonts w:ascii="Times New Roman" w:hAnsi="Times New Roman"/>
          <w:sz w:val="24"/>
          <w:szCs w:val="24"/>
        </w:rPr>
        <w:t>‘had</w:t>
      </w:r>
      <w:proofErr w:type="gramEnd"/>
      <w:r w:rsidRPr="00B87D79">
        <w:rPr>
          <w:rFonts w:ascii="Times New Roman" w:hAnsi="Times New Roman"/>
          <w:sz w:val="24"/>
          <w:szCs w:val="24"/>
        </w:rPr>
        <w:t xml:space="preserve"> taken ‘too much' leave for a line of duty injury….” </w:t>
      </w:r>
      <w:hyperlink r:id="rId1539" w:history="1">
        <w:r w:rsidRPr="00B87D79">
          <w:rPr>
            <w:rStyle w:val="Hyperlink"/>
            <w:rFonts w:ascii="Times New Roman" w:eastAsiaTheme="majorEastAsia" w:hAnsi="Times New Roman"/>
            <w:sz w:val="24"/>
            <w:szCs w:val="24"/>
          </w:rPr>
          <w:t>https://public.fastcase.com/J%2FJP6pdidelsXxEE4k%2BLMlZWglMtowNFAELJodU5Ey8OhOeImHtUqedyG3gviX1KHWia8kZp1W6BpRYSHWWuxJPhh3XCqhBA0xYwY8ImSqA%3D?utm_medium=email&amp;_hsmi=226712652&amp;_hsenc=p2ANqtz-8Opm8993SGrvNEYVYffjIdnWwQ_39Y6IGa88rGJPHsNdF2T_bOfK_XBqNF_9dQMkZM8ini867XF3tJMXcIH4Ec_0OJdg&amp;utm_content=226712652&amp;utm_source=hs_email</w:t>
        </w:r>
      </w:hyperlink>
    </w:p>
    <w:p w14:paraId="31864655" w14:textId="77777777" w:rsidR="00B87D79" w:rsidRPr="0096016B" w:rsidRDefault="00B87D79" w:rsidP="00B87D79">
      <w:pPr>
        <w:pStyle w:val="NormalWeb"/>
        <w:rPr>
          <w:b/>
          <w:bCs/>
        </w:rPr>
      </w:pPr>
      <w:r w:rsidRPr="0096016B">
        <w:rPr>
          <w:b/>
          <w:bCs/>
        </w:rPr>
        <w:t>Legal Lesson Learned:</w:t>
      </w:r>
      <w:r>
        <w:rPr>
          <w:b/>
          <w:bCs/>
        </w:rPr>
        <w:t xml:space="preserve"> </w:t>
      </w:r>
      <w:r w:rsidRPr="0096016B">
        <w:rPr>
          <w:b/>
          <w:bCs/>
        </w:rPr>
        <w:t>Class certification requires a showing that there are questions of law or fact common to the class.</w:t>
      </w:r>
    </w:p>
    <w:p w14:paraId="6011A1E5" w14:textId="77777777" w:rsidR="00B87D79" w:rsidRDefault="00B87D79" w:rsidP="00BC70A3">
      <w:pPr>
        <w:rPr>
          <w:rFonts w:ascii="Arial Black" w:hAnsi="Arial Black"/>
          <w:b/>
          <w:sz w:val="24"/>
          <w:szCs w:val="24"/>
        </w:rPr>
      </w:pPr>
    </w:p>
    <w:p w14:paraId="74303606" w14:textId="2C94B5DD" w:rsidR="00D5141D" w:rsidRDefault="008B64DA" w:rsidP="00BC70A3">
      <w:pPr>
        <w:rPr>
          <w:rFonts w:ascii="Arial Black" w:hAnsi="Arial Black"/>
          <w:b/>
          <w:sz w:val="24"/>
          <w:szCs w:val="24"/>
        </w:rPr>
      </w:pPr>
      <w:r>
        <w:rPr>
          <w:rFonts w:ascii="Arial Black" w:hAnsi="Arial Black"/>
          <w:b/>
          <w:sz w:val="24"/>
          <w:szCs w:val="24"/>
        </w:rPr>
        <w:t>8-44</w:t>
      </w:r>
    </w:p>
    <w:p w14:paraId="2BD1256E" w14:textId="77777777" w:rsidR="008B64DA" w:rsidRPr="006E5A3A" w:rsidRDefault="008B64DA" w:rsidP="008B64DA">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FL: BLACK LT’s FAMILY PHOTOS DEFACED – CAPT, LT, 4 FF FIRED – FIRE CHIEF PRESS CONFERENCE – NO DEFAMATION </w:t>
      </w:r>
    </w:p>
    <w:p w14:paraId="1195A7C9" w14:textId="77777777" w:rsidR="008B64DA" w:rsidRPr="00F25F90" w:rsidRDefault="008B64DA" w:rsidP="008B64DA">
      <w:pPr>
        <w:pStyle w:val="NormalWeb"/>
      </w:pPr>
      <w:r>
        <w:t xml:space="preserve">On April 24, 2022, </w:t>
      </w:r>
      <w:r w:rsidRPr="00F25F90">
        <w:t xml:space="preserve">in </w:t>
      </w:r>
      <w:r w:rsidRPr="006E5A3A">
        <w:rPr>
          <w:u w:val="single"/>
        </w:rPr>
        <w:t>City of Miami, et al. v. David Rivera, et al.</w:t>
      </w:r>
      <w:r>
        <w:t>, the Florida Court of Appeals, Third District, held (3 to 0) that trial judge improperly denied the defense motion to dismiss the lawsuit.  “</w:t>
      </w:r>
      <w:r w:rsidRPr="00F25F90">
        <w:t xml:space="preserve">Chief </w:t>
      </w:r>
      <w:proofErr w:type="spellStart"/>
      <w:r w:rsidRPr="00F25F90">
        <w:t>Zahralban</w:t>
      </w:r>
      <w:proofErr w:type="spellEnd"/>
      <w:r w:rsidRPr="00F25F90">
        <w:t xml:space="preserve"> and the City are </w:t>
      </w:r>
      <w:proofErr w:type="gramStart"/>
      <w:r w:rsidRPr="00F25F90">
        <w:t>absolutely immune</w:t>
      </w:r>
      <w:proofErr w:type="gramEnd"/>
      <w:r w:rsidRPr="00F25F90">
        <w:t xml:space="preserve"> from suit for Chief Zahralban's written and oral statements relating to the City's termination of the Respondents as the statements were made within the scope of Chief Zahralban's duties as the director of the City's fire-rescue department. As such, the trial court departed from the essential requirements of law by denying Chief </w:t>
      </w:r>
      <w:proofErr w:type="spellStart"/>
      <w:r w:rsidRPr="00F25F90">
        <w:t>Zahralban's</w:t>
      </w:r>
      <w:proofErr w:type="spellEnd"/>
      <w:r w:rsidRPr="00F25F90">
        <w:t xml:space="preserve"> and the City's motion to dismiss on absolute immunity grounds. Accordingly, we grant the petition and quash the portion of the order denying the Petitioners' motion to dismiss the defamation counts as they are barred by absolute immunity.</w:t>
      </w:r>
      <w:r>
        <w:t xml:space="preserve">” </w:t>
      </w:r>
      <w:hyperlink r:id="rId1540" w:history="1">
        <w:r w:rsidRPr="00301464">
          <w:rPr>
            <w:rStyle w:val="Hyperlink"/>
            <w:rFonts w:eastAsiaTheme="majorEastAsia"/>
          </w:rPr>
          <w:t>https://www.courtlistener.com/opinion/7859269/city-of-miami-v-david-rivera/</w:t>
        </w:r>
      </w:hyperlink>
      <w:r>
        <w:t xml:space="preserve"> </w:t>
      </w:r>
    </w:p>
    <w:p w14:paraId="6FFF8708" w14:textId="77777777" w:rsidR="008B64DA" w:rsidRPr="00756225" w:rsidRDefault="008B64DA" w:rsidP="008B64DA">
      <w:pPr>
        <w:spacing w:before="100" w:beforeAutospacing="1" w:after="100" w:afterAutospacing="1" w:line="240" w:lineRule="auto"/>
        <w:rPr>
          <w:rFonts w:ascii="Times New Roman" w:eastAsia="Times New Roman" w:hAnsi="Times New Roman"/>
          <w:b/>
          <w:bCs/>
          <w:sz w:val="24"/>
          <w:szCs w:val="24"/>
        </w:rPr>
      </w:pPr>
      <w:r w:rsidRPr="00756225">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The conduct defacing family photos is completely unacceptable. </w:t>
      </w:r>
    </w:p>
    <w:p w14:paraId="38EC357E" w14:textId="77777777" w:rsidR="008B64DA" w:rsidRDefault="008B64DA" w:rsidP="008B64D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See these press reports: </w:t>
      </w:r>
    </w:p>
    <w:p w14:paraId="58CCF8B7" w14:textId="77777777" w:rsidR="008B64DA" w:rsidRPr="00214856" w:rsidRDefault="008B64DA" w:rsidP="008B64DA">
      <w:pPr>
        <w:pStyle w:val="Heading1"/>
        <w:ind w:left="720"/>
        <w:rPr>
          <w:b w:val="0"/>
          <w:bCs w:val="0"/>
          <w:sz w:val="24"/>
          <w:szCs w:val="24"/>
        </w:rPr>
      </w:pPr>
      <w:r w:rsidRPr="00214856">
        <w:rPr>
          <w:b w:val="0"/>
          <w:bCs w:val="0"/>
          <w:sz w:val="24"/>
          <w:szCs w:val="24"/>
        </w:rPr>
        <w:t xml:space="preserve">Nov. 3, 2017: “More Miami firefighters may be fired in hanging of noose over black colleague’s family photo, officials say.” </w:t>
      </w:r>
      <w:hyperlink r:id="rId1541" w:history="1">
        <w:r w:rsidRPr="00214856">
          <w:rPr>
            <w:rStyle w:val="Hyperlink"/>
            <w:rFonts w:eastAsiaTheme="majorEastAsia"/>
            <w:b w:val="0"/>
            <w:bCs w:val="0"/>
            <w:sz w:val="24"/>
            <w:szCs w:val="24"/>
          </w:rPr>
          <w:t>https://abcnews.go.com/US/miami-firefighters-fired-hanging-noose-black-colleagues-family/story?id=50884714</w:t>
        </w:r>
      </w:hyperlink>
      <w:r w:rsidRPr="00214856">
        <w:rPr>
          <w:b w:val="0"/>
          <w:bCs w:val="0"/>
          <w:sz w:val="24"/>
          <w:szCs w:val="24"/>
        </w:rPr>
        <w:t xml:space="preserve"> </w:t>
      </w:r>
    </w:p>
    <w:p w14:paraId="6981648E" w14:textId="4A6E6B6E" w:rsidR="008B64DA" w:rsidRDefault="008B64DA" w:rsidP="008B64DA">
      <w:pPr>
        <w:rPr>
          <w:rFonts w:ascii="Arial Black" w:hAnsi="Arial Black"/>
          <w:b/>
          <w:sz w:val="24"/>
          <w:szCs w:val="24"/>
        </w:rPr>
      </w:pPr>
      <w:r w:rsidRPr="00214856">
        <w:rPr>
          <w:sz w:val="24"/>
          <w:szCs w:val="24"/>
        </w:rPr>
        <w:t xml:space="preserve">Nov. 6, 2017: “City of Miami demands media stop showing photos of 6 officers fired in racist incident.” </w:t>
      </w:r>
      <w:hyperlink r:id="rId1542" w:history="1">
        <w:r w:rsidRPr="00214856">
          <w:rPr>
            <w:rStyle w:val="Hyperlink"/>
            <w:rFonts w:eastAsiaTheme="majorEastAsia"/>
            <w:sz w:val="24"/>
            <w:szCs w:val="24"/>
          </w:rPr>
          <w:t>https://boingboing.net/2017/11/06/city-of-miami-demands-media-st.html</w:t>
        </w:r>
      </w:hyperlink>
    </w:p>
    <w:p w14:paraId="020B1A4E" w14:textId="77777777" w:rsidR="008B64DA" w:rsidRDefault="008B64DA" w:rsidP="00BC70A3">
      <w:pPr>
        <w:rPr>
          <w:rFonts w:ascii="Arial Black" w:hAnsi="Arial Black"/>
          <w:b/>
          <w:sz w:val="24"/>
          <w:szCs w:val="24"/>
        </w:rPr>
      </w:pPr>
    </w:p>
    <w:p w14:paraId="5128F2BF" w14:textId="23FB7D85" w:rsidR="00D5141D" w:rsidRDefault="00D5141D" w:rsidP="00BC70A3">
      <w:pPr>
        <w:rPr>
          <w:rFonts w:ascii="Arial Black" w:hAnsi="Arial Black"/>
          <w:b/>
          <w:sz w:val="24"/>
          <w:szCs w:val="24"/>
        </w:rPr>
      </w:pPr>
      <w:r>
        <w:rPr>
          <w:rFonts w:ascii="Arial Black" w:hAnsi="Arial Black"/>
          <w:b/>
          <w:sz w:val="24"/>
          <w:szCs w:val="24"/>
        </w:rPr>
        <w:t>8-43</w:t>
      </w:r>
    </w:p>
    <w:p w14:paraId="1211C0EC" w14:textId="77777777" w:rsidR="008B64DA" w:rsidRPr="009973F5" w:rsidRDefault="008B64DA" w:rsidP="008B64DA">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FL: BLACK PROBIE FF – FIRED - MET WITH CITY MANAGER WITHOUT CHAIN OF COMMAND – CASE DISMISSED</w:t>
      </w:r>
    </w:p>
    <w:p w14:paraId="78D23B4D" w14:textId="4E22D422" w:rsidR="00D5141D" w:rsidRDefault="008B64DA" w:rsidP="008B64DA">
      <w:pPr>
        <w:rPr>
          <w:rFonts w:ascii="Arial Black" w:hAnsi="Arial Black"/>
          <w:b/>
          <w:sz w:val="24"/>
          <w:szCs w:val="24"/>
        </w:rPr>
      </w:pPr>
      <w:r>
        <w:rPr>
          <w:rFonts w:ascii="Times New Roman" w:eastAsia="Times New Roman" w:hAnsi="Times New Roman"/>
          <w:sz w:val="24"/>
          <w:szCs w:val="24"/>
        </w:rPr>
        <w:t xml:space="preserve">On Aug. 18, 2022, in </w:t>
      </w:r>
      <w:r w:rsidRPr="00704447">
        <w:rPr>
          <w:rFonts w:ascii="Times New Roman" w:eastAsia="Times New Roman" w:hAnsi="Times New Roman"/>
          <w:sz w:val="24"/>
          <w:szCs w:val="24"/>
          <w:u w:val="single"/>
        </w:rPr>
        <w:t>Cindy Naraine v. City of Hollywood</w:t>
      </w:r>
      <w:r>
        <w:rPr>
          <w:rFonts w:ascii="Times New Roman" w:eastAsia="Times New Roman" w:hAnsi="Times New Roman"/>
          <w:sz w:val="24"/>
          <w:szCs w:val="24"/>
        </w:rPr>
        <w:t xml:space="preserve">, U.S. District Court Judge Rodolfo R. Ruiz II, U.S. District Court for Southern District of Florida, granted the City’s motion for summary judgment. </w:t>
      </w:r>
      <w:r w:rsidRPr="00704447">
        <w:rPr>
          <w:rFonts w:ascii="Times New Roman" w:eastAsia="Times New Roman" w:hAnsi="Times New Roman"/>
          <w:sz w:val="24"/>
          <w:szCs w:val="24"/>
        </w:rPr>
        <w:t>“</w:t>
      </w:r>
      <w:r w:rsidRPr="00704447">
        <w:rPr>
          <w:rFonts w:ascii="Times New Roman" w:hAnsi="Times New Roman"/>
          <w:sz w:val="24"/>
          <w:szCs w:val="24"/>
        </w:rPr>
        <w:t> Importantly, the Court notes the following undisputed facts. Plaintiff never witnessed any act of discrimination against any employee of the Fire Department</w:t>
      </w:r>
      <w:r>
        <w:rPr>
          <w:rFonts w:ascii="Times New Roman" w:hAnsi="Times New Roman"/>
          <w:sz w:val="24"/>
          <w:szCs w:val="24"/>
        </w:rPr>
        <w:t xml:space="preserve">…. </w:t>
      </w:r>
      <w:r w:rsidRPr="00704447">
        <w:rPr>
          <w:rFonts w:ascii="Times New Roman" w:hAnsi="Times New Roman"/>
          <w:sz w:val="24"/>
          <w:szCs w:val="24"/>
        </w:rPr>
        <w:t>Plaintiff was never subject to a racist remark while working at the Fire Department</w:t>
      </w:r>
      <w:r>
        <w:rPr>
          <w:rFonts w:ascii="Times New Roman" w:hAnsi="Times New Roman"/>
          <w:sz w:val="24"/>
          <w:szCs w:val="24"/>
        </w:rPr>
        <w:t>….</w:t>
      </w:r>
      <w:r w:rsidRPr="00704447">
        <w:rPr>
          <w:rFonts w:ascii="Times New Roman" w:hAnsi="Times New Roman"/>
          <w:sz w:val="24"/>
          <w:szCs w:val="24"/>
        </w:rPr>
        <w:t xml:space="preserve"> Nobody ever said anything disparaging to Plaintiff based on her race</w:t>
      </w:r>
      <w:r>
        <w:rPr>
          <w:rFonts w:ascii="Times New Roman" w:hAnsi="Times New Roman"/>
          <w:sz w:val="24"/>
          <w:szCs w:val="24"/>
        </w:rPr>
        <w:t xml:space="preserve">…. </w:t>
      </w:r>
      <w:r w:rsidRPr="00704447">
        <w:rPr>
          <w:rFonts w:ascii="Times New Roman" w:hAnsi="Times New Roman"/>
          <w:sz w:val="24"/>
          <w:szCs w:val="24"/>
        </w:rPr>
        <w:t>Plaintiff was never the subject of a sexist comment while working at the Fire Department</w:t>
      </w:r>
      <w:r>
        <w:rPr>
          <w:rFonts w:ascii="Times New Roman" w:hAnsi="Times New Roman"/>
          <w:sz w:val="24"/>
          <w:szCs w:val="24"/>
        </w:rPr>
        <w:t xml:space="preserve">…. </w:t>
      </w:r>
      <w:r w:rsidRPr="00704447">
        <w:rPr>
          <w:rFonts w:ascii="Times New Roman" w:hAnsi="Times New Roman"/>
          <w:sz w:val="24"/>
          <w:szCs w:val="24"/>
        </w:rPr>
        <w:t>Neither Chief Jurado nor Deputy Chief Garcia ever made a disparaging comment about Plaintiff</w:t>
      </w:r>
      <w:r>
        <w:rPr>
          <w:rFonts w:ascii="Times New Roman" w:hAnsi="Times New Roman"/>
          <w:sz w:val="24"/>
          <w:szCs w:val="24"/>
        </w:rPr>
        <w:t xml:space="preserve">…. </w:t>
      </w:r>
      <w:r w:rsidRPr="00704447">
        <w:rPr>
          <w:rFonts w:ascii="Times New Roman" w:hAnsi="Times New Roman"/>
          <w:sz w:val="24"/>
          <w:szCs w:val="24"/>
        </w:rPr>
        <w:t>Neither Chief Jurado or Deputy Chief Garcia ever discussed disciplining an employee for racial reasons</w:t>
      </w:r>
      <w:r>
        <w:rPr>
          <w:rFonts w:ascii="Times New Roman" w:hAnsi="Times New Roman"/>
          <w:sz w:val="24"/>
          <w:szCs w:val="24"/>
        </w:rPr>
        <w:t>….</w:t>
      </w:r>
      <w:r w:rsidRPr="00704447">
        <w:rPr>
          <w:rFonts w:ascii="Times New Roman" w:hAnsi="Times New Roman"/>
          <w:sz w:val="24"/>
          <w:szCs w:val="24"/>
        </w:rPr>
        <w:t xml:space="preserve"> In sum, the undisputed facts sharply undermine any notion that the </w:t>
      </w:r>
      <w:r>
        <w:rPr>
          <w:rFonts w:ascii="Times New Roman" w:hAnsi="Times New Roman"/>
          <w:sz w:val="24"/>
          <w:szCs w:val="24"/>
        </w:rPr>
        <w:t>‘</w:t>
      </w:r>
      <w:r w:rsidRPr="00704447">
        <w:rPr>
          <w:rFonts w:ascii="Times New Roman" w:hAnsi="Times New Roman"/>
          <w:sz w:val="24"/>
          <w:szCs w:val="24"/>
        </w:rPr>
        <w:t>real</w:t>
      </w:r>
      <w:r>
        <w:rPr>
          <w:rFonts w:ascii="Times New Roman" w:hAnsi="Times New Roman"/>
          <w:sz w:val="24"/>
          <w:szCs w:val="24"/>
        </w:rPr>
        <w:t>’</w:t>
      </w:r>
      <w:r w:rsidRPr="00704447">
        <w:rPr>
          <w:rFonts w:ascii="Times New Roman" w:hAnsi="Times New Roman"/>
          <w:sz w:val="24"/>
          <w:szCs w:val="24"/>
        </w:rPr>
        <w:t xml:space="preserve"> reason Plaintiff was fired was discriminatory in </w:t>
      </w:r>
      <w:proofErr w:type="gramStart"/>
      <w:r w:rsidRPr="00704447">
        <w:rPr>
          <w:rFonts w:ascii="Times New Roman" w:hAnsi="Times New Roman"/>
          <w:sz w:val="24"/>
          <w:szCs w:val="24"/>
        </w:rPr>
        <w:t>nature.</w:t>
      </w:r>
      <w:r>
        <w:rPr>
          <w:rFonts w:ascii="Times New Roman" w:hAnsi="Times New Roman"/>
          <w:sz w:val="24"/>
          <w:szCs w:val="24"/>
        </w:rPr>
        <w:t>”</w:t>
      </w:r>
      <w:proofErr w:type="gramEnd"/>
      <w:r>
        <w:rPr>
          <w:rFonts w:ascii="Times New Roman" w:hAnsi="Times New Roman"/>
          <w:sz w:val="24"/>
          <w:szCs w:val="24"/>
        </w:rPr>
        <w:t xml:space="preserve"> </w:t>
      </w:r>
      <w:hyperlink r:id="rId1543" w:history="1">
        <w:r w:rsidRPr="005E2F1B">
          <w:rPr>
            <w:rStyle w:val="Hyperlink"/>
            <w:rFonts w:ascii="Times New Roman" w:hAnsi="Times New Roman"/>
          </w:rPr>
          <w:t>https://public.fastcase.com/J%2FJP6pdidelsXxEE4k%2BLMvlYUX0ZAhRbseqqFnL4gi3bRwNf0Z9RCieiQ7wPaXcpaaE7aExMc6ouwIyWJC8qizoR4DyeCOueQnsNxsVE1Ec%3D</w:t>
        </w:r>
      </w:hyperlink>
    </w:p>
    <w:p w14:paraId="19BA0D4F" w14:textId="77777777" w:rsidR="008B64DA" w:rsidRPr="00B06F8C" w:rsidRDefault="008B64DA" w:rsidP="008B64DA">
      <w:pPr>
        <w:spacing w:before="100" w:beforeAutospacing="1" w:after="100" w:afterAutospacing="1" w:line="240" w:lineRule="auto"/>
        <w:rPr>
          <w:rFonts w:ascii="Times New Roman" w:eastAsia="Times New Roman" w:hAnsi="Times New Roman"/>
          <w:b/>
          <w:bCs/>
          <w:sz w:val="24"/>
          <w:szCs w:val="24"/>
        </w:rPr>
      </w:pPr>
      <w:r w:rsidRPr="00B06F8C">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Chain of command is important concept in a paramilitary organization. </w:t>
      </w:r>
    </w:p>
    <w:p w14:paraId="24E3831D" w14:textId="77777777" w:rsidR="00D5141D" w:rsidRDefault="00D5141D" w:rsidP="00BC70A3">
      <w:pPr>
        <w:rPr>
          <w:rFonts w:ascii="Arial Black" w:hAnsi="Arial Black"/>
          <w:b/>
          <w:sz w:val="24"/>
          <w:szCs w:val="24"/>
        </w:rPr>
      </w:pPr>
    </w:p>
    <w:p w14:paraId="24764F38" w14:textId="77777777" w:rsidR="00D5141D" w:rsidRDefault="00D5141D" w:rsidP="00BC70A3">
      <w:pPr>
        <w:rPr>
          <w:rFonts w:ascii="Arial Black" w:hAnsi="Arial Black"/>
          <w:b/>
          <w:sz w:val="24"/>
          <w:szCs w:val="24"/>
        </w:rPr>
      </w:pPr>
    </w:p>
    <w:p w14:paraId="19A00563" w14:textId="4729AA47" w:rsidR="00D5141D" w:rsidRDefault="00D5141D" w:rsidP="00BC70A3">
      <w:pPr>
        <w:rPr>
          <w:rFonts w:ascii="Arial Black" w:hAnsi="Arial Black"/>
          <w:b/>
          <w:sz w:val="24"/>
          <w:szCs w:val="24"/>
        </w:rPr>
      </w:pPr>
      <w:r>
        <w:rPr>
          <w:rFonts w:ascii="Arial Black" w:hAnsi="Arial Black"/>
          <w:b/>
          <w:sz w:val="24"/>
          <w:szCs w:val="24"/>
        </w:rPr>
        <w:t>8-42</w:t>
      </w:r>
    </w:p>
    <w:p w14:paraId="02B60654" w14:textId="77777777" w:rsidR="00D5141D" w:rsidRPr="00614CE9" w:rsidRDefault="00D5141D" w:rsidP="00D5141D">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CT: BLACK FF – ANONYMOUS CALLS, LOCKER BROKEN INTO - ISOLATED INCIDENTS - NOT HOSTILE WORKPLACE  </w:t>
      </w:r>
    </w:p>
    <w:p w14:paraId="1C1D7E10" w14:textId="77777777" w:rsidR="00D5141D" w:rsidRPr="00BF45A4" w:rsidRDefault="00D5141D" w:rsidP="00D5141D">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Aug. 16, 2022, in </w:t>
      </w:r>
      <w:r w:rsidRPr="00A06B91">
        <w:rPr>
          <w:rFonts w:ascii="Times New Roman" w:hAnsi="Times New Roman"/>
          <w:sz w:val="24"/>
          <w:szCs w:val="24"/>
          <w:u w:val="single"/>
        </w:rPr>
        <w:t>Tony Milledge v. City of Hartford</w:t>
      </w:r>
      <w:r>
        <w:rPr>
          <w:rFonts w:ascii="Times New Roman" w:hAnsi="Times New Roman"/>
          <w:sz w:val="24"/>
          <w:szCs w:val="24"/>
        </w:rPr>
        <w:t>, U.S. District Court Judge Jeffrey A. Meyer, U.S. District Court for District of Connecticut granted the City’s motion for summary judgement.  The Court wrote: “</w:t>
      </w:r>
      <w:r w:rsidRPr="00614CE9">
        <w:rPr>
          <w:rFonts w:ascii="Times New Roman" w:eastAsia="Times New Roman" w:hAnsi="Times New Roman"/>
          <w:sz w:val="24"/>
          <w:szCs w:val="24"/>
        </w:rPr>
        <w:t xml:space="preserve">The problem for Milledge is that the only evidence of racial animus he has offered is the string of racist anonymous calls he received. But Milledge has not shown that </w:t>
      </w:r>
      <w:r>
        <w:rPr>
          <w:rFonts w:ascii="Times New Roman" w:eastAsia="Times New Roman" w:hAnsi="Times New Roman"/>
          <w:sz w:val="24"/>
          <w:szCs w:val="24"/>
        </w:rPr>
        <w:t>‘</w:t>
      </w:r>
      <w:r w:rsidRPr="00614CE9">
        <w:rPr>
          <w:rFonts w:ascii="Times New Roman" w:eastAsia="Times New Roman" w:hAnsi="Times New Roman"/>
          <w:sz w:val="24"/>
          <w:szCs w:val="24"/>
        </w:rPr>
        <w:t xml:space="preserve">a specific basis exists for </w:t>
      </w:r>
      <w:proofErr w:type="gramStart"/>
      <w:r w:rsidRPr="00614CE9">
        <w:rPr>
          <w:rFonts w:ascii="Times New Roman" w:eastAsia="Times New Roman" w:hAnsi="Times New Roman"/>
          <w:sz w:val="24"/>
          <w:szCs w:val="24"/>
        </w:rPr>
        <w:t>imputing</w:t>
      </w:r>
      <w:proofErr w:type="gramEnd"/>
      <w:r w:rsidRPr="00614CE9">
        <w:rPr>
          <w:rFonts w:ascii="Times New Roman" w:eastAsia="Times New Roman" w:hAnsi="Times New Roman"/>
          <w:sz w:val="24"/>
          <w:szCs w:val="24"/>
        </w:rPr>
        <w:t xml:space="preserve"> the conduct that created the hostile environment to the employer.</w:t>
      </w:r>
      <w:r>
        <w:rPr>
          <w:rFonts w:ascii="Times New Roman" w:eastAsia="Times New Roman" w:hAnsi="Times New Roman"/>
          <w:sz w:val="24"/>
          <w:szCs w:val="24"/>
        </w:rPr>
        <w:t>’</w:t>
      </w:r>
      <w:r w:rsidRPr="00614CE9">
        <w:rPr>
          <w:rFonts w:ascii="Times New Roman" w:eastAsia="Times New Roman" w:hAnsi="Times New Roman"/>
          <w:sz w:val="24"/>
          <w:szCs w:val="24"/>
        </w:rPr>
        <w:t xml:space="preserve"> </w:t>
      </w:r>
      <w:r w:rsidRPr="00614CE9">
        <w:rPr>
          <w:rFonts w:ascii="Times New Roman" w:eastAsia="Times New Roman" w:hAnsi="Times New Roman"/>
          <w:i/>
          <w:iCs/>
          <w:sz w:val="24"/>
          <w:szCs w:val="24"/>
        </w:rPr>
        <w:t>Schaper v. Bronx Lebanon Hosp. Ctr.</w:t>
      </w:r>
      <w:r w:rsidRPr="00614CE9">
        <w:rPr>
          <w:rFonts w:ascii="Times New Roman" w:eastAsia="Times New Roman" w:hAnsi="Times New Roman"/>
          <w:sz w:val="24"/>
          <w:szCs w:val="24"/>
        </w:rPr>
        <w:t xml:space="preserve">, 408 F.Supp.3d 379, 397 (S.D.N.Y. 2019) (quoting </w:t>
      </w:r>
      <w:r w:rsidRPr="00614CE9">
        <w:rPr>
          <w:rFonts w:ascii="Times New Roman" w:eastAsia="Times New Roman" w:hAnsi="Times New Roman"/>
          <w:i/>
          <w:iCs/>
          <w:sz w:val="24"/>
          <w:szCs w:val="24"/>
        </w:rPr>
        <w:t>Schwapp v. Town of Avon</w:t>
      </w:r>
      <w:r w:rsidRPr="00614CE9">
        <w:rPr>
          <w:rFonts w:ascii="Times New Roman" w:eastAsia="Times New Roman" w:hAnsi="Times New Roman"/>
          <w:sz w:val="24"/>
          <w:szCs w:val="24"/>
        </w:rPr>
        <w:t xml:space="preserve">, 118 F.3d 106, 110 (2d Cir. 1997)). Because Milledge has not offered any evidence to show that these anonymous calls were made by or at the behest of his fellow firefighters, there is simply “no evidence that [Hartford] had any control over or permitted the anonymous caller[s] to make such calls.” </w:t>
      </w:r>
      <w:proofErr w:type="spellStart"/>
      <w:r w:rsidRPr="00614CE9">
        <w:rPr>
          <w:rFonts w:ascii="Times New Roman" w:eastAsia="Times New Roman" w:hAnsi="Times New Roman"/>
          <w:i/>
          <w:iCs/>
          <w:sz w:val="24"/>
          <w:szCs w:val="24"/>
        </w:rPr>
        <w:t>Katzev</w:t>
      </w:r>
      <w:proofErr w:type="spellEnd"/>
      <w:r w:rsidRPr="00614CE9">
        <w:rPr>
          <w:rFonts w:ascii="Times New Roman" w:eastAsia="Times New Roman" w:hAnsi="Times New Roman"/>
          <w:i/>
          <w:iCs/>
          <w:sz w:val="24"/>
          <w:szCs w:val="24"/>
        </w:rPr>
        <w:t xml:space="preserve"> v. Retail Brand All., Inc.</w:t>
      </w:r>
      <w:r w:rsidRPr="00614CE9">
        <w:rPr>
          <w:rFonts w:ascii="Times New Roman" w:eastAsia="Times New Roman" w:hAnsi="Times New Roman"/>
          <w:sz w:val="24"/>
          <w:szCs w:val="24"/>
        </w:rPr>
        <w:t xml:space="preserve">, 2010 WL 2836159, at *4 (S.D.N.Y. 2010); </w:t>
      </w:r>
      <w:r w:rsidRPr="00614CE9">
        <w:rPr>
          <w:rFonts w:ascii="Times New Roman" w:eastAsia="Times New Roman" w:hAnsi="Times New Roman"/>
          <w:i/>
          <w:iCs/>
          <w:sz w:val="24"/>
          <w:szCs w:val="24"/>
        </w:rPr>
        <w:t xml:space="preserve">see also Tyson v. </w:t>
      </w:r>
      <w:proofErr w:type="spellStart"/>
      <w:r w:rsidRPr="00614CE9">
        <w:rPr>
          <w:rFonts w:ascii="Times New Roman" w:eastAsia="Times New Roman" w:hAnsi="Times New Roman"/>
          <w:i/>
          <w:iCs/>
          <w:sz w:val="24"/>
          <w:szCs w:val="24"/>
        </w:rPr>
        <w:t>Dep't</w:t>
      </w:r>
      <w:proofErr w:type="spellEnd"/>
      <w:r w:rsidRPr="00614CE9">
        <w:rPr>
          <w:rFonts w:ascii="Times New Roman" w:eastAsia="Times New Roman" w:hAnsi="Times New Roman"/>
          <w:i/>
          <w:iCs/>
          <w:sz w:val="24"/>
          <w:szCs w:val="24"/>
        </w:rPr>
        <w:t xml:space="preserve"> of Energy &amp; Env't Prot.</w:t>
      </w:r>
      <w:r w:rsidRPr="00614CE9">
        <w:rPr>
          <w:rFonts w:ascii="Times New Roman" w:eastAsia="Times New Roman" w:hAnsi="Times New Roman"/>
          <w:sz w:val="24"/>
          <w:szCs w:val="24"/>
        </w:rPr>
        <w:t xml:space="preserve">, 2021 WL 4895898, at *1 (D. Conn. 2021) (dismissing hostile work environment claim involving allegations that someone put a hangman's noose by plaintiff's workspace where there was no allegation that the employer knew or was responsible). </w:t>
      </w:r>
      <w:r>
        <w:rPr>
          <w:rFonts w:ascii="Times New Roman" w:eastAsia="Times New Roman" w:hAnsi="Times New Roman"/>
          <w:sz w:val="24"/>
          <w:szCs w:val="24"/>
        </w:rPr>
        <w:t xml:space="preserve"> *** </w:t>
      </w:r>
      <w:r w:rsidRPr="00BF45A4">
        <w:rPr>
          <w:rFonts w:ascii="Times New Roman" w:hAnsi="Times New Roman"/>
          <w:sz w:val="24"/>
          <w:szCs w:val="24"/>
        </w:rPr>
        <w:t>Nor does Milledge claim to have reported other anonymous misconduct such as his 2019 locker break-in to his supervisors or human resources. Consequently, even assuming that Milledge was subject to a racially hostile work environment, there is no genuine fact issue to show that the City was aware of, yet negligent in failing to remedy, the misconduct of its employees.</w:t>
      </w:r>
      <w:r>
        <w:rPr>
          <w:rFonts w:ascii="Times New Roman" w:hAnsi="Times New Roman"/>
          <w:sz w:val="24"/>
          <w:szCs w:val="24"/>
        </w:rPr>
        <w:t xml:space="preserve">” </w:t>
      </w:r>
      <w:hyperlink r:id="rId1544" w:history="1">
        <w:r w:rsidRPr="00696C47">
          <w:rPr>
            <w:rStyle w:val="Hyperlink"/>
            <w:rFonts w:ascii="Times New Roman" w:hAnsi="Times New Roman"/>
          </w:rPr>
          <w:t>https://public.fastcase.com/J%2FJP6pdidelsXxEE4k%2BLMk9lGZyD2KG1SaKKnXCNSDrJ6FT2zCg0RErRpvbDUp%2FnT1MfNEdoSlzLl4b4xQ1JtBz9n9NoggrYwpv0z6IMwm8%3D</w:t>
        </w:r>
      </w:hyperlink>
      <w:r>
        <w:rPr>
          <w:rFonts w:ascii="Times New Roman" w:hAnsi="Times New Roman"/>
          <w:sz w:val="24"/>
          <w:szCs w:val="24"/>
        </w:rPr>
        <w:t xml:space="preserve"> </w:t>
      </w:r>
    </w:p>
    <w:p w14:paraId="617885C7" w14:textId="77777777" w:rsidR="00D5141D" w:rsidRPr="00AD7FAD" w:rsidRDefault="00D5141D" w:rsidP="00D5141D">
      <w:pPr>
        <w:pStyle w:val="NormalWeb"/>
        <w:rPr>
          <w:b/>
          <w:bCs/>
        </w:rPr>
      </w:pPr>
      <w:r w:rsidRPr="00AD7FAD">
        <w:rPr>
          <w:b/>
          <w:bCs/>
        </w:rPr>
        <w:t xml:space="preserve">Legal Lesson Learned: “Isolated incidents” </w:t>
      </w:r>
      <w:r>
        <w:rPr>
          <w:b/>
          <w:bCs/>
        </w:rPr>
        <w:t xml:space="preserve">generally will </w:t>
      </w:r>
      <w:r w:rsidRPr="00AD7FAD">
        <w:rPr>
          <w:b/>
          <w:bCs/>
        </w:rPr>
        <w:t xml:space="preserve">not establish hostile work atmosphere. </w:t>
      </w:r>
    </w:p>
    <w:p w14:paraId="266B700A" w14:textId="77777777" w:rsidR="00D5141D" w:rsidRDefault="00D5141D" w:rsidP="00BC70A3">
      <w:pPr>
        <w:rPr>
          <w:rFonts w:ascii="Arial Black" w:hAnsi="Arial Black"/>
          <w:b/>
          <w:sz w:val="24"/>
          <w:szCs w:val="24"/>
        </w:rPr>
      </w:pPr>
    </w:p>
    <w:p w14:paraId="0A9DD223" w14:textId="77777777" w:rsidR="00D5141D" w:rsidRDefault="00D5141D" w:rsidP="00BC70A3">
      <w:pPr>
        <w:rPr>
          <w:rFonts w:ascii="Arial Black" w:hAnsi="Arial Black"/>
          <w:b/>
          <w:sz w:val="24"/>
          <w:szCs w:val="24"/>
        </w:rPr>
      </w:pPr>
    </w:p>
    <w:p w14:paraId="41506294" w14:textId="2AFB6D53" w:rsidR="006C4BDE" w:rsidRDefault="00240D3F" w:rsidP="00BC70A3">
      <w:pPr>
        <w:rPr>
          <w:rFonts w:ascii="Arial Black" w:hAnsi="Arial Black"/>
          <w:b/>
          <w:sz w:val="24"/>
          <w:szCs w:val="24"/>
        </w:rPr>
      </w:pPr>
      <w:r>
        <w:rPr>
          <w:rFonts w:ascii="Arial Black" w:hAnsi="Arial Black"/>
          <w:b/>
          <w:sz w:val="24"/>
          <w:szCs w:val="24"/>
        </w:rPr>
        <w:t>8-41</w:t>
      </w:r>
    </w:p>
    <w:p w14:paraId="51D75F8B" w14:textId="77777777" w:rsidR="00240D3F" w:rsidRPr="00231752" w:rsidRDefault="00240D3F" w:rsidP="00240D3F">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MA: RESIDENCY ORDINANCE NOT ENFORCED – 2 BLACK OFFICERS LIVE CITY – CASE PROCEED, NOT CLASS ACTION </w:t>
      </w:r>
    </w:p>
    <w:p w14:paraId="4E793BD3" w14:textId="77777777" w:rsidR="00240D3F" w:rsidRDefault="00240D3F" w:rsidP="00240D3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14, 2022, in </w:t>
      </w:r>
      <w:r w:rsidRPr="00231752">
        <w:rPr>
          <w:rFonts w:ascii="Times New Roman" w:hAnsi="Times New Roman"/>
          <w:sz w:val="24"/>
          <w:szCs w:val="24"/>
          <w:u w:val="single"/>
        </w:rPr>
        <w:t>Marc Savage and Randolph Blake v. The City of Springfield, et al.</w:t>
      </w:r>
      <w:r>
        <w:rPr>
          <w:rFonts w:ascii="Times New Roman" w:hAnsi="Times New Roman"/>
          <w:sz w:val="24"/>
          <w:szCs w:val="24"/>
        </w:rPr>
        <w:t>, U.S. Magistrate Judge Katherine A. Robertson denied plaintiffs’ motion for class action, but their individual lawsuit claims will now procced to pre-trial discovery</w:t>
      </w:r>
      <w:r w:rsidRPr="00805B29">
        <w:rPr>
          <w:rFonts w:ascii="Times New Roman" w:hAnsi="Times New Roman"/>
          <w:sz w:val="24"/>
          <w:szCs w:val="24"/>
        </w:rPr>
        <w:t xml:space="preserve">.  </w:t>
      </w:r>
      <w:r>
        <w:rPr>
          <w:rFonts w:ascii="Times New Roman" w:hAnsi="Times New Roman"/>
          <w:sz w:val="24"/>
          <w:szCs w:val="24"/>
        </w:rPr>
        <w:t xml:space="preserve">Marc Savage [now retired District Chief} had been on FD for 39 years, and lifelong resident of the city; Randolph Blake [now Captain] has been on FD for 30 years and a life-long resident of the city. The U.S. Magistrate Judge declined to certify class action. “[T]he </w:t>
      </w:r>
      <w:r w:rsidRPr="00C727F0">
        <w:rPr>
          <w:rFonts w:ascii="Times New Roman" w:hAnsi="Times New Roman"/>
          <w:sz w:val="24"/>
          <w:szCs w:val="24"/>
        </w:rPr>
        <w:t>court finds that Plaintiffs' calculation of fifty putative class members is insufficiently supported.</w:t>
      </w:r>
      <w:r>
        <w:rPr>
          <w:rFonts w:ascii="Times New Roman" w:hAnsi="Times New Roman"/>
          <w:sz w:val="24"/>
          <w:szCs w:val="24"/>
        </w:rPr>
        <w:t>”  U.S. Magistrate Judge also referenced the Massachusetts Superior Court decision in denying the class action: “G</w:t>
      </w:r>
      <w:r w:rsidRPr="00464C1C">
        <w:rPr>
          <w:rFonts w:ascii="Times New Roman" w:hAnsi="Times New Roman"/>
          <w:sz w:val="24"/>
          <w:szCs w:val="24"/>
        </w:rPr>
        <w:t>iving these rulings the preclusive effect to which they are entitled, this court cannot strike any Fire Department employee from the City's payroll and there is no basis for freezing promotion eligibility lists until the time that such a purge has taken place.</w:t>
      </w:r>
      <w:r>
        <w:rPr>
          <w:rFonts w:ascii="Times New Roman" w:hAnsi="Times New Roman"/>
          <w:sz w:val="24"/>
          <w:szCs w:val="24"/>
        </w:rPr>
        <w:t xml:space="preserve">” </w:t>
      </w:r>
      <w:hyperlink r:id="rId1545" w:history="1">
        <w:r w:rsidRPr="00CA2357">
          <w:rPr>
            <w:rStyle w:val="Hyperlink"/>
            <w:rFonts w:ascii="Times New Roman" w:hAnsi="Times New Roman"/>
            <w:sz w:val="24"/>
            <w:szCs w:val="24"/>
          </w:rPr>
          <w:t>https://public.fastcase.com/J%2FJP6pdidelsXxEE4k%2BLMkGcJRI5fEIWTRrrr5g307eiV2fonCWWxfQ8%2FgFOC0SXeLTzITpIpaPKGCBs2ZuJTAu1fIsNckzREaOIJEOyjuU%3D</w:t>
        </w:r>
      </w:hyperlink>
      <w:r>
        <w:rPr>
          <w:rFonts w:ascii="Times New Roman" w:hAnsi="Times New Roman"/>
          <w:sz w:val="24"/>
          <w:szCs w:val="24"/>
        </w:rPr>
        <w:t xml:space="preserve"> </w:t>
      </w:r>
    </w:p>
    <w:p w14:paraId="76B324A8" w14:textId="77777777" w:rsidR="00240D3F" w:rsidRDefault="00240D3F" w:rsidP="00240D3F">
      <w:pPr>
        <w:pStyle w:val="Heading1"/>
        <w:rPr>
          <w:sz w:val="24"/>
          <w:szCs w:val="24"/>
        </w:rPr>
      </w:pPr>
      <w:r w:rsidRPr="007B199E">
        <w:rPr>
          <w:sz w:val="24"/>
          <w:szCs w:val="24"/>
        </w:rPr>
        <w:t xml:space="preserve">Legal Lesson Learned: </w:t>
      </w:r>
      <w:r>
        <w:rPr>
          <w:sz w:val="24"/>
          <w:szCs w:val="24"/>
        </w:rPr>
        <w:t xml:space="preserve">Residency ordinances can be difficult to enforce, particularly when Collective Bargaining Agreements have different provisions. </w:t>
      </w:r>
    </w:p>
    <w:p w14:paraId="51924AC0" w14:textId="77777777" w:rsidR="00240D3F" w:rsidRDefault="00240D3F" w:rsidP="00240D3F">
      <w:pPr>
        <w:pStyle w:val="Heading1"/>
        <w:ind w:left="720"/>
        <w:rPr>
          <w:b w:val="0"/>
          <w:bCs w:val="0"/>
          <w:sz w:val="24"/>
          <w:szCs w:val="24"/>
        </w:rPr>
      </w:pPr>
      <w:r w:rsidRPr="00C84BEA">
        <w:rPr>
          <w:b w:val="0"/>
          <w:bCs w:val="0"/>
          <w:sz w:val="24"/>
          <w:szCs w:val="24"/>
        </w:rPr>
        <w:t xml:space="preserve">Note: </w:t>
      </w:r>
      <w:r>
        <w:rPr>
          <w:b w:val="0"/>
          <w:bCs w:val="0"/>
          <w:sz w:val="24"/>
          <w:szCs w:val="24"/>
        </w:rPr>
        <w:t xml:space="preserve"> </w:t>
      </w:r>
      <w:r w:rsidRPr="00C84BEA">
        <w:rPr>
          <w:b w:val="0"/>
          <w:bCs w:val="0"/>
          <w:sz w:val="24"/>
          <w:szCs w:val="24"/>
        </w:rPr>
        <w:t xml:space="preserve">For example, in 2018 the District Fire Chiefs union agreed that newly promoted District Chief must move into the city within one year of promotion. See also May 15, </w:t>
      </w:r>
      <w:proofErr w:type="gramStart"/>
      <w:r w:rsidRPr="00C84BEA">
        <w:rPr>
          <w:b w:val="0"/>
          <w:bCs w:val="0"/>
          <w:sz w:val="24"/>
          <w:szCs w:val="24"/>
        </w:rPr>
        <w:t>2018</w:t>
      </w:r>
      <w:proofErr w:type="gramEnd"/>
      <w:r w:rsidRPr="00C84BEA">
        <w:rPr>
          <w:b w:val="0"/>
          <w:bCs w:val="0"/>
          <w:sz w:val="24"/>
          <w:szCs w:val="24"/>
        </w:rPr>
        <w:t xml:space="preserve"> article, “Divided Springfield City Council approves long-contested district fire </w:t>
      </w:r>
      <w:proofErr w:type="gramStart"/>
      <w:r w:rsidRPr="00C84BEA">
        <w:rPr>
          <w:b w:val="0"/>
          <w:bCs w:val="0"/>
          <w:sz w:val="24"/>
          <w:szCs w:val="24"/>
        </w:rPr>
        <w:t>chiefs</w:t>
      </w:r>
      <w:proofErr w:type="gramEnd"/>
      <w:r w:rsidRPr="00C84BEA">
        <w:rPr>
          <w:b w:val="0"/>
          <w:bCs w:val="0"/>
          <w:sz w:val="24"/>
          <w:szCs w:val="24"/>
        </w:rPr>
        <w:t xml:space="preserve"> contract with residency clause.” </w:t>
      </w:r>
      <w:hyperlink r:id="rId1546" w:history="1">
        <w:r w:rsidRPr="00C84BEA">
          <w:rPr>
            <w:rStyle w:val="Hyperlink"/>
            <w:rFonts w:eastAsiaTheme="majorEastAsia"/>
            <w:b w:val="0"/>
            <w:bCs w:val="0"/>
            <w:sz w:val="24"/>
            <w:szCs w:val="24"/>
          </w:rPr>
          <w:t>https://www.masslive.com/news/2018/05/springfield_city_council_appro_79.html</w:t>
        </w:r>
      </w:hyperlink>
      <w:r w:rsidRPr="00C84BEA">
        <w:rPr>
          <w:rStyle w:val="Hyperlink"/>
          <w:rFonts w:eastAsiaTheme="majorEastAsia"/>
          <w:b w:val="0"/>
          <w:bCs w:val="0"/>
          <w:sz w:val="24"/>
          <w:szCs w:val="24"/>
        </w:rPr>
        <w:t xml:space="preserve">. </w:t>
      </w:r>
      <w:r w:rsidRPr="00C84BEA">
        <w:rPr>
          <w:b w:val="0"/>
          <w:bCs w:val="0"/>
          <w:sz w:val="24"/>
          <w:szCs w:val="24"/>
        </w:rPr>
        <w:t xml:space="preserve">See </w:t>
      </w:r>
    </w:p>
    <w:p w14:paraId="744A7C31" w14:textId="77777777" w:rsidR="00240D3F" w:rsidRPr="00C84BEA" w:rsidRDefault="00240D3F" w:rsidP="00240D3F">
      <w:pPr>
        <w:pStyle w:val="Heading1"/>
        <w:ind w:left="720"/>
        <w:rPr>
          <w:b w:val="0"/>
          <w:bCs w:val="0"/>
          <w:color w:val="0563C1" w:themeColor="hyperlink"/>
          <w:sz w:val="24"/>
          <w:szCs w:val="24"/>
          <w:u w:val="single"/>
        </w:rPr>
      </w:pPr>
      <w:r>
        <w:rPr>
          <w:b w:val="0"/>
          <w:bCs w:val="0"/>
          <w:sz w:val="24"/>
          <w:szCs w:val="24"/>
        </w:rPr>
        <w:t>Also see M</w:t>
      </w:r>
      <w:r w:rsidRPr="00C84BEA">
        <w:rPr>
          <w:b w:val="0"/>
          <w:bCs w:val="0"/>
          <w:sz w:val="24"/>
          <w:szCs w:val="24"/>
        </w:rPr>
        <w:t xml:space="preserve">ay 14, </w:t>
      </w:r>
      <w:proofErr w:type="gramStart"/>
      <w:r w:rsidRPr="00C84BEA">
        <w:rPr>
          <w:b w:val="0"/>
          <w:bCs w:val="0"/>
          <w:sz w:val="24"/>
          <w:szCs w:val="24"/>
        </w:rPr>
        <w:t>2018</w:t>
      </w:r>
      <w:proofErr w:type="gramEnd"/>
      <w:r w:rsidRPr="00C84BEA">
        <w:rPr>
          <w:b w:val="0"/>
          <w:bCs w:val="0"/>
          <w:sz w:val="24"/>
          <w:szCs w:val="24"/>
        </w:rPr>
        <w:t xml:space="preserve"> </w:t>
      </w:r>
      <w:r>
        <w:rPr>
          <w:b w:val="0"/>
          <w:bCs w:val="0"/>
          <w:sz w:val="24"/>
          <w:szCs w:val="24"/>
        </w:rPr>
        <w:t xml:space="preserve">Press Article from </w:t>
      </w:r>
      <w:r w:rsidRPr="00C84BEA">
        <w:rPr>
          <w:b w:val="0"/>
          <w:bCs w:val="0"/>
          <w:sz w:val="24"/>
          <w:szCs w:val="24"/>
        </w:rPr>
        <w:t xml:space="preserve">District Chief Vince Neffinger, President of the Springfield Fire Chiefs Association. “Time is now to approve contract for Springfield district fire chiefs (Guest viewpoint).”  </w:t>
      </w:r>
      <w:hyperlink r:id="rId1547" w:history="1">
        <w:r w:rsidRPr="00C84BEA">
          <w:rPr>
            <w:rStyle w:val="Hyperlink"/>
            <w:rFonts w:eastAsiaTheme="majorEastAsia"/>
            <w:b w:val="0"/>
            <w:bCs w:val="0"/>
            <w:sz w:val="24"/>
            <w:szCs w:val="24"/>
          </w:rPr>
          <w:t>https://www.masslive.com/opinion/2018/05/time_is_now_to_approve_contrac.html</w:t>
        </w:r>
      </w:hyperlink>
    </w:p>
    <w:p w14:paraId="688B58D6" w14:textId="77777777" w:rsidR="00240D3F" w:rsidRDefault="00240D3F" w:rsidP="00240D3F">
      <w:pPr>
        <w:spacing w:before="100" w:beforeAutospacing="1" w:after="100" w:afterAutospacing="1" w:line="240" w:lineRule="auto"/>
        <w:ind w:left="720"/>
        <w:rPr>
          <w:rStyle w:val="Hyperlink"/>
          <w:rFonts w:ascii="Times New Roman" w:hAnsi="Times New Roman"/>
          <w:sz w:val="24"/>
          <w:szCs w:val="24"/>
        </w:rPr>
      </w:pPr>
      <w:r>
        <w:rPr>
          <w:rFonts w:ascii="Times New Roman" w:hAnsi="Times New Roman"/>
          <w:sz w:val="24"/>
          <w:szCs w:val="24"/>
        </w:rPr>
        <w:t xml:space="preserve">Note:  </w:t>
      </w:r>
      <w:r w:rsidRPr="00491E8D">
        <w:rPr>
          <w:rFonts w:ascii="Times New Roman" w:hAnsi="Times New Roman"/>
          <w:sz w:val="24"/>
          <w:szCs w:val="24"/>
        </w:rPr>
        <w:t xml:space="preserve">In Ohio, </w:t>
      </w:r>
      <w:r>
        <w:rPr>
          <w:rFonts w:ascii="Times New Roman" w:hAnsi="Times New Roman"/>
          <w:sz w:val="24"/>
          <w:szCs w:val="24"/>
        </w:rPr>
        <w:t xml:space="preserve">the </w:t>
      </w:r>
      <w:r w:rsidRPr="00491E8D">
        <w:rPr>
          <w:rFonts w:ascii="Times New Roman" w:hAnsi="Times New Roman"/>
          <w:sz w:val="24"/>
          <w:szCs w:val="24"/>
        </w:rPr>
        <w:t xml:space="preserve">Ohio General Assembly in 2016 enacted a statute that set aside all city residency requirements. In 2019, it was upheld by Ohio Supreme Court. </w:t>
      </w:r>
      <w:r w:rsidRPr="00605F1D">
        <w:rPr>
          <w:rFonts w:ascii="Times New Roman" w:hAnsi="Times New Roman"/>
          <w:sz w:val="24"/>
          <w:szCs w:val="24"/>
          <w:u w:val="single"/>
        </w:rPr>
        <w:t>Lima v. State</w:t>
      </w:r>
      <w:r>
        <w:rPr>
          <w:rFonts w:ascii="Times New Roman" w:hAnsi="Times New Roman"/>
          <w:sz w:val="24"/>
          <w:szCs w:val="24"/>
        </w:rPr>
        <w:t xml:space="preserve">, </w:t>
      </w:r>
      <w:hyperlink r:id="rId1548" w:history="1">
        <w:r w:rsidRPr="00507312">
          <w:rPr>
            <w:rStyle w:val="Hyperlink"/>
            <w:rFonts w:ascii="Times New Roman" w:hAnsi="Times New Roman"/>
            <w:sz w:val="24"/>
            <w:szCs w:val="24"/>
          </w:rPr>
          <w:t>https://www.supremecourt.ohio.gov/rod/docs/pdf/0/2009/2009-ohio-2597.pdf</w:t>
        </w:r>
      </w:hyperlink>
      <w:r>
        <w:rPr>
          <w:rFonts w:ascii="Times New Roman" w:hAnsi="Times New Roman"/>
          <w:sz w:val="24"/>
          <w:szCs w:val="24"/>
        </w:rPr>
        <w:t xml:space="preserve">. Firefighters and police can be required to reside in the county or the adjoining county. Ohio Revised Code, </w:t>
      </w:r>
      <w:r w:rsidRPr="00491E8D">
        <w:rPr>
          <w:rFonts w:ascii="Times New Roman" w:hAnsi="Times New Roman"/>
          <w:sz w:val="24"/>
          <w:szCs w:val="24"/>
        </w:rPr>
        <w:t xml:space="preserve">Section 9.481 </w:t>
      </w:r>
      <w:r w:rsidRPr="00491E8D">
        <w:rPr>
          <w:rStyle w:val="codes-separator"/>
          <w:rFonts w:ascii="Times New Roman" w:hAnsi="Times New Roman"/>
          <w:sz w:val="24"/>
          <w:szCs w:val="24"/>
        </w:rPr>
        <w:t>|</w:t>
      </w:r>
      <w:r w:rsidRPr="00491E8D">
        <w:rPr>
          <w:rFonts w:ascii="Times New Roman" w:hAnsi="Times New Roman"/>
          <w:sz w:val="24"/>
          <w:szCs w:val="24"/>
        </w:rPr>
        <w:t xml:space="preserve"> Residency requirements prohibited for certain employees: </w:t>
      </w:r>
      <w:hyperlink r:id="rId1549" w:history="1">
        <w:r w:rsidRPr="00491E8D">
          <w:rPr>
            <w:rStyle w:val="Hyperlink"/>
            <w:rFonts w:ascii="Times New Roman" w:hAnsi="Times New Roman"/>
            <w:sz w:val="24"/>
            <w:szCs w:val="24"/>
          </w:rPr>
          <w:t>https://codes.ohio.gov/ohio-revised-code/section-9.481</w:t>
        </w:r>
      </w:hyperlink>
    </w:p>
    <w:p w14:paraId="583DB1B5" w14:textId="77777777" w:rsidR="00240D3F" w:rsidRDefault="00240D3F" w:rsidP="00BC70A3">
      <w:pPr>
        <w:rPr>
          <w:rFonts w:ascii="Arial Black" w:hAnsi="Arial Black"/>
          <w:b/>
          <w:sz w:val="24"/>
          <w:szCs w:val="24"/>
        </w:rPr>
      </w:pPr>
    </w:p>
    <w:p w14:paraId="5C689C35" w14:textId="074479C2" w:rsidR="006C4BDE" w:rsidRDefault="006C4BDE" w:rsidP="00BC70A3">
      <w:pPr>
        <w:rPr>
          <w:rFonts w:ascii="Arial Black" w:hAnsi="Arial Black"/>
          <w:b/>
          <w:sz w:val="24"/>
          <w:szCs w:val="24"/>
        </w:rPr>
      </w:pPr>
      <w:r>
        <w:rPr>
          <w:rFonts w:ascii="Arial Black" w:hAnsi="Arial Black"/>
          <w:b/>
          <w:sz w:val="24"/>
          <w:szCs w:val="24"/>
        </w:rPr>
        <w:t>8-40</w:t>
      </w:r>
    </w:p>
    <w:p w14:paraId="720190C9" w14:textId="77777777" w:rsidR="006C4BDE" w:rsidRDefault="006C4BDE" w:rsidP="006C4BDE">
      <w:pPr>
        <w:spacing w:before="100" w:beforeAutospacing="1" w:after="100" w:afterAutospacing="1" w:line="240" w:lineRule="auto"/>
        <w:rPr>
          <w:rFonts w:ascii="Arial Black" w:hAnsi="Arial Black"/>
          <w:sz w:val="28"/>
          <w:szCs w:val="28"/>
        </w:rPr>
      </w:pPr>
      <w:r w:rsidRPr="008532E8">
        <w:rPr>
          <w:rFonts w:ascii="Arial Black" w:hAnsi="Arial Black"/>
          <w:sz w:val="28"/>
          <w:szCs w:val="28"/>
        </w:rPr>
        <w:t>IL:</w:t>
      </w:r>
      <w:r>
        <w:rPr>
          <w:rFonts w:ascii="Arial Black" w:hAnsi="Arial Black"/>
          <w:sz w:val="28"/>
          <w:szCs w:val="28"/>
        </w:rPr>
        <w:t xml:space="preserve"> WHITE FF “REVERSE DISCRIMINATION” CASE DISMISSED – 3</w:t>
      </w:r>
      <w:r w:rsidRPr="00A16CE4">
        <w:rPr>
          <w:rFonts w:ascii="Arial Black" w:hAnsi="Arial Black"/>
          <w:sz w:val="28"/>
          <w:szCs w:val="28"/>
          <w:vertAlign w:val="superscript"/>
        </w:rPr>
        <w:t>rd</w:t>
      </w:r>
      <w:r>
        <w:rPr>
          <w:rFonts w:ascii="Arial Black" w:hAnsi="Arial Black"/>
          <w:sz w:val="28"/>
          <w:szCs w:val="28"/>
        </w:rPr>
        <w:t xml:space="preserve"> SHIFT CAPTAIN ROTATED 2 MORE DRIVERS TRUCK 19</w:t>
      </w:r>
    </w:p>
    <w:p w14:paraId="411C6688" w14:textId="77777777" w:rsidR="006C4BDE" w:rsidRDefault="006C4BDE" w:rsidP="006C4BD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12, 2022, in </w:t>
      </w:r>
      <w:r w:rsidRPr="00BD5375">
        <w:rPr>
          <w:rFonts w:ascii="Times New Roman" w:hAnsi="Times New Roman"/>
          <w:sz w:val="24"/>
          <w:szCs w:val="24"/>
          <w:u w:val="single"/>
        </w:rPr>
        <w:t>David Stieglitz v. City of Chicago</w:t>
      </w:r>
      <w:r>
        <w:rPr>
          <w:rFonts w:ascii="Times New Roman" w:hAnsi="Times New Roman"/>
          <w:sz w:val="24"/>
          <w:szCs w:val="24"/>
        </w:rPr>
        <w:t xml:space="preserve">, the U.S. Court of Appeals for Seventh Circuit (located in Chicago) held (3 to 0) that trial court properly dismissed his lawsuit; his Captain (Black) wanted two additional drivers (Black) rotating on Truck 19 during his third shift. Plaintiff was the only white firefighter on his shift; firefighters paid </w:t>
      </w:r>
      <w:r w:rsidRPr="00420051">
        <w:rPr>
          <w:rFonts w:ascii="Times New Roman" w:hAnsi="Times New Roman"/>
          <w:sz w:val="24"/>
          <w:szCs w:val="24"/>
        </w:rPr>
        <w:t xml:space="preserve">$2.18 per hour </w:t>
      </w:r>
      <w:r>
        <w:rPr>
          <w:rFonts w:ascii="Times New Roman" w:hAnsi="Times New Roman"/>
          <w:sz w:val="24"/>
          <w:szCs w:val="24"/>
        </w:rPr>
        <w:t xml:space="preserve">bonus </w:t>
      </w:r>
      <w:r w:rsidRPr="00420051">
        <w:rPr>
          <w:rFonts w:ascii="Times New Roman" w:hAnsi="Times New Roman"/>
          <w:sz w:val="24"/>
          <w:szCs w:val="24"/>
        </w:rPr>
        <w:t>on shifts when they are assigned as drivers.</w:t>
      </w:r>
      <w:r>
        <w:rPr>
          <w:rFonts w:ascii="Times New Roman" w:hAnsi="Times New Roman"/>
          <w:sz w:val="24"/>
          <w:szCs w:val="24"/>
        </w:rPr>
        <w:t xml:space="preserve"> Plaintiff filed an internal complaint, and Internal Affairs determined that 35 Chicago firefighters, including plaintiff, lacked required training certification to drive this truck per new General Order, and FD ordered that he not drive without the certification. He was suspended for only seven shifts (he only lost $350 in driver bonuses) when FD later decided he was “grandfathered” and didn’t need the certification.  </w:t>
      </w:r>
      <w:hyperlink r:id="rId1550" w:history="1">
        <w:r w:rsidRPr="008E101B">
          <w:rPr>
            <w:rStyle w:val="Hyperlink"/>
            <w:rFonts w:ascii="Times New Roman" w:hAnsi="Times New Roman"/>
            <w:sz w:val="24"/>
            <w:szCs w:val="24"/>
          </w:rPr>
          <w:t>http://media.ca7.uscourts.gov/cgi-bin/rssExec.pl?Submit=Display&amp;Path=Y2022/D07-12/C:21-2784:J:PerCuriam:aut:T:npDp:N:2902357:S:0</w:t>
        </w:r>
      </w:hyperlink>
    </w:p>
    <w:p w14:paraId="489A0091" w14:textId="77777777" w:rsidR="006C4BDE" w:rsidRPr="0048357F" w:rsidRDefault="006C4BDE" w:rsidP="006C4BDE">
      <w:pPr>
        <w:spacing w:before="100" w:beforeAutospacing="1" w:after="100" w:afterAutospacing="1" w:line="240" w:lineRule="auto"/>
        <w:rPr>
          <w:rFonts w:ascii="Times New Roman" w:eastAsia="Times New Roman" w:hAnsi="Times New Roman"/>
          <w:b/>
          <w:bCs/>
          <w:sz w:val="24"/>
          <w:szCs w:val="24"/>
        </w:rPr>
      </w:pPr>
      <w:r w:rsidRPr="00D0339D">
        <w:rPr>
          <w:rFonts w:ascii="Times New Roman" w:hAnsi="Times New Roman"/>
          <w:b/>
          <w:bCs/>
          <w:sz w:val="24"/>
          <w:szCs w:val="24"/>
        </w:rPr>
        <w:t>Legal Lesson Learned:</w:t>
      </w:r>
      <w:r>
        <w:rPr>
          <w:rFonts w:ascii="Times New Roman" w:hAnsi="Times New Roman"/>
          <w:b/>
          <w:bCs/>
          <w:sz w:val="24"/>
          <w:szCs w:val="24"/>
        </w:rPr>
        <w:t xml:space="preserve"> To prove race discrimination, a white firefighter needs more than mere “inference” that Captain favored Black firefighters as drivers.   It is, frankly, hard to believe this lawsuit was ever filed, </w:t>
      </w:r>
    </w:p>
    <w:p w14:paraId="571495DD" w14:textId="77777777" w:rsidR="006C4BDE" w:rsidRDefault="006C4BDE" w:rsidP="006C4BD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Note: Listen to Oral Argument before 7</w:t>
      </w:r>
      <w:r w:rsidRPr="00036CDB">
        <w:rPr>
          <w:rFonts w:ascii="Times New Roman" w:hAnsi="Times New Roman"/>
          <w:sz w:val="24"/>
          <w:szCs w:val="24"/>
          <w:vertAlign w:val="superscript"/>
        </w:rPr>
        <w:t>th</w:t>
      </w:r>
      <w:r>
        <w:rPr>
          <w:rFonts w:ascii="Times New Roman" w:hAnsi="Times New Roman"/>
          <w:sz w:val="24"/>
          <w:szCs w:val="24"/>
        </w:rPr>
        <w:t xml:space="preserve"> Circuit – the judges were particularly questionable of plaintiff’s claim. </w:t>
      </w:r>
      <w:hyperlink r:id="rId1551" w:history="1">
        <w:r w:rsidRPr="00AB6D79">
          <w:rPr>
            <w:rStyle w:val="Hyperlink"/>
            <w:rFonts w:ascii="Times New Roman" w:hAnsi="Times New Roman"/>
            <w:sz w:val="24"/>
            <w:szCs w:val="24"/>
          </w:rPr>
          <w:t>http://media.ca7.uscourts.gov/sound/external/mm.21-2784.21-2784_07_07_2022.mp3</w:t>
        </w:r>
      </w:hyperlink>
      <w:r>
        <w:rPr>
          <w:rFonts w:ascii="Times New Roman" w:hAnsi="Times New Roman"/>
          <w:sz w:val="24"/>
          <w:szCs w:val="24"/>
        </w:rPr>
        <w:t xml:space="preserve"> </w:t>
      </w:r>
    </w:p>
    <w:p w14:paraId="384D6004" w14:textId="77777777" w:rsidR="006C4BDE" w:rsidRDefault="006C4BDE" w:rsidP="00BC70A3">
      <w:pPr>
        <w:rPr>
          <w:rFonts w:ascii="Arial Black" w:hAnsi="Arial Black"/>
          <w:b/>
          <w:sz w:val="24"/>
          <w:szCs w:val="24"/>
        </w:rPr>
      </w:pPr>
    </w:p>
    <w:p w14:paraId="69A055D1" w14:textId="43E2A055" w:rsidR="006C4BDE" w:rsidRDefault="006C4BDE" w:rsidP="00BC70A3">
      <w:pPr>
        <w:rPr>
          <w:rFonts w:ascii="Arial Black" w:hAnsi="Arial Black"/>
          <w:b/>
          <w:sz w:val="24"/>
          <w:szCs w:val="24"/>
        </w:rPr>
      </w:pPr>
      <w:r>
        <w:rPr>
          <w:rFonts w:ascii="Arial Black" w:hAnsi="Arial Black"/>
          <w:b/>
          <w:sz w:val="24"/>
          <w:szCs w:val="24"/>
        </w:rPr>
        <w:t>8-39</w:t>
      </w:r>
    </w:p>
    <w:p w14:paraId="3937E996" w14:textId="77777777" w:rsidR="006C4BDE" w:rsidRDefault="006C4BDE" w:rsidP="006C4BDE">
      <w:pPr>
        <w:spacing w:before="100" w:beforeAutospacing="1" w:after="100" w:afterAutospacing="1" w:line="240" w:lineRule="auto"/>
        <w:rPr>
          <w:rFonts w:ascii="Arial Black" w:hAnsi="Arial Black"/>
          <w:sz w:val="28"/>
          <w:szCs w:val="28"/>
        </w:rPr>
      </w:pPr>
      <w:r>
        <w:rPr>
          <w:rFonts w:ascii="Arial Black" w:hAnsi="Arial Black"/>
          <w:sz w:val="28"/>
          <w:szCs w:val="28"/>
        </w:rPr>
        <w:t>TX: PROBATIONARY FF FIRED – FAILED TESTING AT STATION 8 – NO PROOF WHITE TREATED MORE FAVORABLY</w:t>
      </w:r>
    </w:p>
    <w:p w14:paraId="3108F476" w14:textId="77777777" w:rsidR="006C4BDE" w:rsidRPr="005E294B" w:rsidRDefault="006C4BDE" w:rsidP="006C4BDE">
      <w:pPr>
        <w:spacing w:before="100" w:beforeAutospacing="1" w:after="100" w:afterAutospacing="1" w:line="240" w:lineRule="auto"/>
        <w:rPr>
          <w:rFonts w:ascii="Times New Roman" w:hAnsi="Times New Roman"/>
          <w:sz w:val="24"/>
          <w:szCs w:val="24"/>
        </w:rPr>
      </w:pPr>
      <w:r w:rsidRPr="00A448A7">
        <w:rPr>
          <w:rFonts w:ascii="Times New Roman" w:hAnsi="Times New Roman"/>
          <w:sz w:val="24"/>
          <w:szCs w:val="24"/>
        </w:rPr>
        <w:t xml:space="preserve">On July 12, 2022, in </w:t>
      </w:r>
      <w:r w:rsidRPr="00A448A7">
        <w:rPr>
          <w:rFonts w:ascii="Times New Roman" w:hAnsi="Times New Roman"/>
          <w:sz w:val="24"/>
          <w:szCs w:val="24"/>
          <w:u w:val="single"/>
        </w:rPr>
        <w:t>The City of Houston v. Madison T. Garner</w:t>
      </w:r>
      <w:r w:rsidRPr="00A448A7">
        <w:rPr>
          <w:rFonts w:ascii="Times New Roman" w:hAnsi="Times New Roman"/>
          <w:sz w:val="24"/>
          <w:szCs w:val="24"/>
        </w:rPr>
        <w:t>, the City took an immediate appeal, and the Court of Appeals</w:t>
      </w:r>
      <w:r>
        <w:rPr>
          <w:rFonts w:ascii="Times New Roman" w:hAnsi="Times New Roman"/>
          <w:sz w:val="24"/>
          <w:szCs w:val="24"/>
        </w:rPr>
        <w:t xml:space="preserve"> of Texas, Fourteenth District, held (3 to 0) t</w:t>
      </w:r>
      <w:r w:rsidRPr="00A448A7">
        <w:rPr>
          <w:rFonts w:ascii="Times New Roman" w:hAnsi="Times New Roman"/>
          <w:sz w:val="24"/>
          <w:szCs w:val="24"/>
        </w:rPr>
        <w:t>hat trial court should have granted defense motion for summary judgment.  Plaintiff</w:t>
      </w:r>
      <w:r>
        <w:rPr>
          <w:rFonts w:ascii="Times New Roman" w:hAnsi="Times New Roman"/>
          <w:sz w:val="24"/>
          <w:szCs w:val="24"/>
        </w:rPr>
        <w:t xml:space="preserve"> graduated from the Training Academy, and while at Station 8 he had another year as probationary firefighter and </w:t>
      </w:r>
      <w:r w:rsidRPr="00D55070">
        <w:rPr>
          <w:rFonts w:ascii="Times New Roman" w:hAnsi="Times New Roman"/>
          <w:sz w:val="24"/>
          <w:szCs w:val="24"/>
        </w:rPr>
        <w:t>failed the Turnout Performance Standard.</w:t>
      </w:r>
      <w:r>
        <w:rPr>
          <w:rFonts w:ascii="Times New Roman" w:hAnsi="Times New Roman"/>
          <w:sz w:val="24"/>
          <w:szCs w:val="24"/>
        </w:rPr>
        <w:t xml:space="preserve"> He </w:t>
      </w:r>
      <w:r w:rsidRPr="00A448A7">
        <w:rPr>
          <w:rFonts w:ascii="Times New Roman" w:hAnsi="Times New Roman"/>
          <w:sz w:val="24"/>
          <w:szCs w:val="24"/>
        </w:rPr>
        <w:t>claim</w:t>
      </w:r>
      <w:r>
        <w:rPr>
          <w:rFonts w:ascii="Times New Roman" w:hAnsi="Times New Roman"/>
          <w:sz w:val="24"/>
          <w:szCs w:val="24"/>
        </w:rPr>
        <w:t>ed</w:t>
      </w:r>
      <w:r w:rsidRPr="00A448A7">
        <w:rPr>
          <w:rFonts w:ascii="Times New Roman" w:hAnsi="Times New Roman"/>
          <w:sz w:val="24"/>
          <w:szCs w:val="24"/>
        </w:rPr>
        <w:t xml:space="preserve"> there were about five other probationary FF at Station </w:t>
      </w:r>
      <w:proofErr w:type="gramStart"/>
      <w:r w:rsidRPr="00A448A7">
        <w:rPr>
          <w:rFonts w:ascii="Times New Roman" w:hAnsi="Times New Roman"/>
          <w:sz w:val="24"/>
          <w:szCs w:val="24"/>
        </w:rPr>
        <w:t>8, but</w:t>
      </w:r>
      <w:proofErr w:type="gramEnd"/>
      <w:r w:rsidRPr="00A448A7">
        <w:rPr>
          <w:rFonts w:ascii="Times New Roman" w:hAnsi="Times New Roman"/>
          <w:sz w:val="24"/>
          <w:szCs w:val="24"/>
        </w:rPr>
        <w:t xml:space="preserve"> </w:t>
      </w:r>
      <w:r>
        <w:rPr>
          <w:rFonts w:ascii="Times New Roman" w:hAnsi="Times New Roman"/>
          <w:sz w:val="24"/>
          <w:szCs w:val="24"/>
        </w:rPr>
        <w:t>failed to provide any evidence that “</w:t>
      </w:r>
      <w:r w:rsidRPr="00A448A7">
        <w:rPr>
          <w:rFonts w:ascii="Times New Roman" w:hAnsi="Times New Roman"/>
          <w:sz w:val="24"/>
          <w:szCs w:val="24"/>
        </w:rPr>
        <w:t xml:space="preserve">those outside his protected class </w:t>
      </w:r>
      <w:r>
        <w:rPr>
          <w:rFonts w:ascii="Times New Roman" w:hAnsi="Times New Roman"/>
          <w:sz w:val="24"/>
          <w:szCs w:val="24"/>
        </w:rPr>
        <w:t xml:space="preserve">[white FF] </w:t>
      </w:r>
      <w:r w:rsidRPr="00A448A7">
        <w:rPr>
          <w:rFonts w:ascii="Times New Roman" w:hAnsi="Times New Roman"/>
          <w:sz w:val="24"/>
          <w:szCs w:val="24"/>
        </w:rPr>
        <w:t>were treated more favorably</w:t>
      </w:r>
      <w:r>
        <w:rPr>
          <w:rFonts w:ascii="Times New Roman" w:hAnsi="Times New Roman"/>
          <w:sz w:val="24"/>
          <w:szCs w:val="24"/>
        </w:rPr>
        <w:t xml:space="preserve">.” He also complained of various incidents at Training Academy and at Station 8 that create a hostile work atmosphere, but taking all into consideration, he has </w:t>
      </w:r>
      <w:r w:rsidRPr="005E294B">
        <w:rPr>
          <w:rFonts w:ascii="Times New Roman" w:hAnsi="Times New Roman"/>
          <w:sz w:val="24"/>
          <w:szCs w:val="24"/>
        </w:rPr>
        <w:t xml:space="preserve">not shown that the acts were </w:t>
      </w:r>
      <w:r>
        <w:rPr>
          <w:rFonts w:ascii="Times New Roman" w:hAnsi="Times New Roman"/>
          <w:sz w:val="24"/>
          <w:szCs w:val="24"/>
        </w:rPr>
        <w:t>“</w:t>
      </w:r>
      <w:r w:rsidRPr="005E294B">
        <w:rPr>
          <w:rFonts w:ascii="Times New Roman" w:hAnsi="Times New Roman"/>
          <w:sz w:val="24"/>
          <w:szCs w:val="24"/>
        </w:rPr>
        <w:t>sufficiently severe or pervasive to alter the conditions of [his] employment and create an abusive working environment.</w:t>
      </w:r>
      <w:r>
        <w:rPr>
          <w:rFonts w:ascii="Times New Roman" w:hAnsi="Times New Roman"/>
          <w:sz w:val="24"/>
          <w:szCs w:val="24"/>
        </w:rPr>
        <w:t>” For example, while at the Training Academy his training Captain had him move a pallet of bricks about 40 feet for punishment for not having shaved close enough; but “</w:t>
      </w:r>
      <w:r w:rsidRPr="00721939">
        <w:rPr>
          <w:rFonts w:ascii="Times New Roman" w:hAnsi="Times New Roman"/>
          <w:sz w:val="24"/>
          <w:szCs w:val="24"/>
        </w:rPr>
        <w:t>another individual who was not African American was also told to move bricks at the same time as Garner for not shaving as well.</w:t>
      </w:r>
      <w:r>
        <w:rPr>
          <w:rFonts w:ascii="Times New Roman" w:hAnsi="Times New Roman"/>
          <w:sz w:val="24"/>
          <w:szCs w:val="24"/>
        </w:rPr>
        <w:t xml:space="preserve">” </w:t>
      </w:r>
      <w:hyperlink r:id="rId1552" w:history="1">
        <w:r w:rsidRPr="0019682E">
          <w:rPr>
            <w:rStyle w:val="Hyperlink"/>
            <w:rFonts w:ascii="Times New Roman" w:hAnsi="Times New Roman"/>
            <w:sz w:val="24"/>
            <w:szCs w:val="24"/>
          </w:rPr>
          <w:t>https://law.justia.com/cases/texas/fourteenth-court-of-appeals/2022/14-20-00688-cv.html</w:t>
        </w:r>
      </w:hyperlink>
      <w:r>
        <w:rPr>
          <w:rFonts w:ascii="Times New Roman" w:hAnsi="Times New Roman"/>
          <w:sz w:val="24"/>
          <w:szCs w:val="24"/>
        </w:rPr>
        <w:t xml:space="preserve"> </w:t>
      </w:r>
    </w:p>
    <w:p w14:paraId="512DD48F" w14:textId="2B036F38" w:rsidR="006C4BDE" w:rsidRPr="00E815F4" w:rsidRDefault="00A40065" w:rsidP="006C4BDE">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L</w:t>
      </w:r>
      <w:r w:rsidR="006C4BDE" w:rsidRPr="00D55070">
        <w:rPr>
          <w:rFonts w:ascii="Times New Roman" w:eastAsia="Times New Roman" w:hAnsi="Times New Roman"/>
          <w:b/>
          <w:bCs/>
          <w:sz w:val="24"/>
          <w:szCs w:val="24"/>
        </w:rPr>
        <w:t xml:space="preserve">egal Lesson Learned: </w:t>
      </w:r>
      <w:r w:rsidR="006C4BDE">
        <w:rPr>
          <w:rFonts w:ascii="Times New Roman" w:eastAsia="Times New Roman" w:hAnsi="Times New Roman"/>
          <w:b/>
          <w:bCs/>
          <w:sz w:val="24"/>
          <w:szCs w:val="24"/>
        </w:rPr>
        <w:t xml:space="preserve">No proof that White probationary FF treated more fairly. </w:t>
      </w:r>
    </w:p>
    <w:p w14:paraId="0AFDD894" w14:textId="77777777" w:rsidR="006C4BDE" w:rsidRDefault="006C4BDE" w:rsidP="00BC70A3">
      <w:pPr>
        <w:rPr>
          <w:rFonts w:ascii="Arial Black" w:hAnsi="Arial Black"/>
          <w:b/>
          <w:sz w:val="24"/>
          <w:szCs w:val="24"/>
        </w:rPr>
      </w:pPr>
    </w:p>
    <w:p w14:paraId="475A2664" w14:textId="77777777" w:rsidR="006C4BDE" w:rsidRDefault="006C4BDE" w:rsidP="00BC70A3">
      <w:pPr>
        <w:rPr>
          <w:rFonts w:ascii="Arial Black" w:hAnsi="Arial Black"/>
          <w:b/>
          <w:sz w:val="24"/>
          <w:szCs w:val="24"/>
        </w:rPr>
      </w:pPr>
    </w:p>
    <w:p w14:paraId="6BE3D359" w14:textId="4709359A" w:rsidR="0002742E" w:rsidRDefault="0002742E" w:rsidP="00BC70A3">
      <w:pPr>
        <w:rPr>
          <w:rFonts w:ascii="Arial Black" w:hAnsi="Arial Black"/>
          <w:b/>
          <w:sz w:val="24"/>
          <w:szCs w:val="24"/>
        </w:rPr>
      </w:pPr>
      <w:r>
        <w:rPr>
          <w:rFonts w:ascii="Arial Black" w:hAnsi="Arial Black"/>
          <w:b/>
          <w:sz w:val="24"/>
          <w:szCs w:val="24"/>
        </w:rPr>
        <w:t>8-38</w:t>
      </w:r>
    </w:p>
    <w:p w14:paraId="5B45A74A" w14:textId="77777777" w:rsidR="0002742E" w:rsidRPr="00FE1E86" w:rsidRDefault="0002742E" w:rsidP="0002742E">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OH: AFRICAN AMERICAN NOT HIRED CINCINNATI FD – FELON - 2005 WHEN FF/EMT CONV.  DRUG TRAFFICKING  </w:t>
      </w:r>
    </w:p>
    <w:p w14:paraId="1A2FB859" w14:textId="77777777" w:rsidR="0002742E" w:rsidRPr="00D52001" w:rsidRDefault="0002742E" w:rsidP="0002742E">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May 7, 2022, in </w:t>
      </w:r>
      <w:r w:rsidRPr="00FE1E86">
        <w:rPr>
          <w:rFonts w:ascii="Times New Roman" w:eastAsia="Times New Roman" w:hAnsi="Times New Roman"/>
          <w:sz w:val="24"/>
          <w:szCs w:val="24"/>
          <w:u w:val="single"/>
        </w:rPr>
        <w:t>Layne Rice v. City of Cincinnati</w:t>
      </w:r>
      <w:r>
        <w:rPr>
          <w:rFonts w:ascii="Times New Roman" w:eastAsia="Times New Roman" w:hAnsi="Times New Roman"/>
          <w:sz w:val="24"/>
          <w:szCs w:val="24"/>
        </w:rPr>
        <w:t xml:space="preserve">, 538 F. Supp.3d 800, U.S. District Court Judge William O. Bertelsmann, U.S. District Court for Southern District of Ohio (Western Division) granted the City’s motion for summary judgment. </w:t>
      </w:r>
      <w:r w:rsidRPr="009E0FDF">
        <w:rPr>
          <w:rFonts w:ascii="Times New Roman" w:hAnsi="Times New Roman"/>
          <w:sz w:val="24"/>
          <w:szCs w:val="24"/>
        </w:rPr>
        <w:t xml:space="preserve">Rice only challenges the </w:t>
      </w:r>
      <w:r>
        <w:rPr>
          <w:rFonts w:ascii="Times New Roman" w:hAnsi="Times New Roman"/>
          <w:sz w:val="24"/>
          <w:szCs w:val="24"/>
        </w:rPr>
        <w:t>felony-no-hire-</w:t>
      </w:r>
      <w:r w:rsidRPr="009E0FDF">
        <w:rPr>
          <w:rFonts w:ascii="Times New Roman" w:hAnsi="Times New Roman"/>
          <w:sz w:val="24"/>
          <w:szCs w:val="24"/>
        </w:rPr>
        <w:t>policy for the 2015 and 2018 application periods because that is when he passed all portions of the exam to qualify as a candidate and had his felony conviction. In 1999, Rice was not hired, even before his felony conviction. Rice also concedes that he did not pass all portions of the exam in 2012.</w:t>
      </w:r>
      <w:r>
        <w:rPr>
          <w:rFonts w:ascii="Times New Roman" w:hAnsi="Times New Roman"/>
          <w:sz w:val="24"/>
          <w:szCs w:val="24"/>
        </w:rPr>
        <w:t xml:space="preserve"> </w:t>
      </w:r>
      <w:r>
        <w:rPr>
          <w:rFonts w:ascii="Times New Roman" w:eastAsia="Times New Roman" w:hAnsi="Times New Roman"/>
          <w:sz w:val="24"/>
          <w:szCs w:val="24"/>
        </w:rPr>
        <w:t>The Court held that “</w:t>
      </w:r>
      <w:r w:rsidRPr="00FE1E86">
        <w:rPr>
          <w:rFonts w:ascii="Times New Roman" w:hAnsi="Times New Roman"/>
          <w:sz w:val="24"/>
          <w:szCs w:val="24"/>
        </w:rPr>
        <w:t>Rice cannot establish a prima facie case of disparate impact</w:t>
      </w:r>
      <w:r>
        <w:rPr>
          <w:rFonts w:ascii="Times New Roman" w:hAnsi="Times New Roman"/>
          <w:sz w:val="24"/>
          <w:szCs w:val="24"/>
        </w:rPr>
        <w:t xml:space="preserve">…. </w:t>
      </w:r>
      <w:r w:rsidRPr="00D52001">
        <w:rPr>
          <w:rFonts w:ascii="Times New Roman" w:hAnsi="Times New Roman"/>
          <w:sz w:val="24"/>
          <w:szCs w:val="24"/>
        </w:rPr>
        <w:t>In sum, Rice has not presented a statistical analysis regarding the racial impact of the City's felony disqualification policy. The Court thus concludes that Rice has failed to establish a prima facie case of disparate impact discrimination.</w:t>
      </w:r>
      <w:r>
        <w:rPr>
          <w:rFonts w:ascii="Times New Roman" w:hAnsi="Times New Roman"/>
          <w:sz w:val="24"/>
          <w:szCs w:val="24"/>
        </w:rPr>
        <w:t xml:space="preserve">” </w:t>
      </w:r>
      <w:hyperlink r:id="rId1553" w:history="1">
        <w:r w:rsidRPr="006C608A">
          <w:rPr>
            <w:rStyle w:val="Hyperlink"/>
            <w:rFonts w:ascii="Times New Roman" w:hAnsi="Times New Roman"/>
            <w:sz w:val="24"/>
            <w:szCs w:val="24"/>
          </w:rPr>
          <w:t>https://casetext.com/case/rice-v-city-of-cincinnati</w:t>
        </w:r>
      </w:hyperlink>
      <w:r>
        <w:rPr>
          <w:rFonts w:ascii="Times New Roman" w:hAnsi="Times New Roman"/>
          <w:sz w:val="24"/>
          <w:szCs w:val="24"/>
        </w:rPr>
        <w:t xml:space="preserve"> </w:t>
      </w:r>
    </w:p>
    <w:p w14:paraId="068614ED" w14:textId="77777777" w:rsidR="0002742E" w:rsidRPr="00432417" w:rsidRDefault="0002742E" w:rsidP="0002742E">
      <w:pPr>
        <w:spacing w:before="100" w:beforeAutospacing="1" w:after="100" w:afterAutospacing="1" w:line="240" w:lineRule="auto"/>
        <w:rPr>
          <w:rFonts w:ascii="Times New Roman" w:hAnsi="Times New Roman"/>
          <w:b/>
          <w:bCs/>
          <w:sz w:val="24"/>
          <w:szCs w:val="24"/>
        </w:rPr>
      </w:pPr>
      <w:r w:rsidRPr="00432417">
        <w:rPr>
          <w:rFonts w:ascii="Times New Roman" w:hAnsi="Times New Roman"/>
          <w:b/>
          <w:bCs/>
          <w:sz w:val="24"/>
          <w:szCs w:val="24"/>
        </w:rPr>
        <w:t xml:space="preserve">Legal Lesson Learned: Plaintiff failed to hire an expert to prove disparate impact. </w:t>
      </w:r>
    </w:p>
    <w:p w14:paraId="60DD792D" w14:textId="77777777" w:rsidR="0002742E" w:rsidRPr="009E0FDF" w:rsidRDefault="0002742E" w:rsidP="0002742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w:t>
      </w:r>
      <w:r w:rsidRPr="009E0FDF">
        <w:rPr>
          <w:rFonts w:ascii="Times New Roman" w:hAnsi="Times New Roman"/>
          <w:sz w:val="24"/>
          <w:szCs w:val="24"/>
        </w:rPr>
        <w:t>ORC § 737.081 was promulgated in 2003. ORC § 737.081(C)(1)(a) provides that a person with a felony is not permitted to be appointed as a permanent, full-time freighter or volunteer firefighter</w:t>
      </w:r>
      <w:r>
        <w:rPr>
          <w:rFonts w:ascii="Times New Roman" w:hAnsi="Times New Roman"/>
          <w:sz w:val="24"/>
          <w:szCs w:val="24"/>
        </w:rPr>
        <w:t xml:space="preserve">…. </w:t>
      </w:r>
      <w:r w:rsidRPr="009E0FDF">
        <w:rPr>
          <w:rFonts w:ascii="Times New Roman" w:hAnsi="Times New Roman"/>
          <w:sz w:val="24"/>
          <w:szCs w:val="24"/>
        </w:rPr>
        <w:t xml:space="preserve">However, ORC § 737.081(C)(2) provides that </w:t>
      </w:r>
      <w:r>
        <w:rPr>
          <w:rFonts w:ascii="Times New Roman" w:hAnsi="Times New Roman"/>
          <w:sz w:val="24"/>
          <w:szCs w:val="24"/>
        </w:rPr>
        <w:t>‘</w:t>
      </w:r>
      <w:r w:rsidRPr="009E0FDF">
        <w:rPr>
          <w:rFonts w:ascii="Times New Roman" w:hAnsi="Times New Roman"/>
          <w:sz w:val="24"/>
          <w:szCs w:val="24"/>
        </w:rPr>
        <w:t>an appointing authority may appoint or employ a person as a permanent, full-time paid firefighter or a volunteer firefighter if</w:t>
      </w:r>
      <w:r>
        <w:rPr>
          <w:rFonts w:ascii="Times New Roman" w:hAnsi="Times New Roman"/>
          <w:sz w:val="24"/>
          <w:szCs w:val="24"/>
        </w:rPr>
        <w:t>’</w:t>
      </w:r>
      <w:r w:rsidRPr="009E0FDF">
        <w:rPr>
          <w:rFonts w:ascii="Times New Roman" w:hAnsi="Times New Roman"/>
          <w:sz w:val="24"/>
          <w:szCs w:val="24"/>
        </w:rPr>
        <w:t xml:space="preserve"> (1) the fire chief requests a criminal record check; (2) the records show the candidate is guilty of an offense in (C)(1); and (3) the person meets the rehabilitation standards in ORC § 737.081(E).</w:t>
      </w:r>
    </w:p>
    <w:p w14:paraId="32B0DBFF" w14:textId="77777777" w:rsidR="0002742E" w:rsidRDefault="0002742E" w:rsidP="00BC70A3">
      <w:pPr>
        <w:rPr>
          <w:rFonts w:ascii="Arial Black" w:hAnsi="Arial Black"/>
          <w:b/>
          <w:sz w:val="24"/>
          <w:szCs w:val="24"/>
        </w:rPr>
      </w:pPr>
    </w:p>
    <w:p w14:paraId="0CD6547F" w14:textId="1E30015C" w:rsidR="00E3473F" w:rsidRDefault="00E3473F" w:rsidP="00BC70A3">
      <w:pPr>
        <w:rPr>
          <w:rFonts w:ascii="Arial Black" w:hAnsi="Arial Black"/>
          <w:b/>
          <w:sz w:val="24"/>
          <w:szCs w:val="24"/>
        </w:rPr>
      </w:pPr>
      <w:r>
        <w:rPr>
          <w:rFonts w:ascii="Arial Black" w:hAnsi="Arial Black"/>
          <w:b/>
          <w:sz w:val="24"/>
          <w:szCs w:val="24"/>
        </w:rPr>
        <w:t>8-37</w:t>
      </w:r>
    </w:p>
    <w:p w14:paraId="6C4317B7" w14:textId="77777777" w:rsidR="00E3473F" w:rsidRPr="00A07E45" w:rsidRDefault="00E3473F" w:rsidP="00E3473F">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CA: AFRICAN AMERICAN FF FIRED - MEDICAL INFO IN HIS PERSONNEL FILE ON PUBLIC LINK - LAWSUIT PROCEED </w:t>
      </w:r>
    </w:p>
    <w:p w14:paraId="64F1B313" w14:textId="77777777" w:rsidR="00E3473F" w:rsidRDefault="00E3473F" w:rsidP="00E3473F">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17, 2022, in </w:t>
      </w:r>
      <w:r w:rsidRPr="00A07E45">
        <w:rPr>
          <w:rFonts w:ascii="Times New Roman" w:eastAsia="Times New Roman" w:hAnsi="Times New Roman"/>
          <w:sz w:val="24"/>
          <w:szCs w:val="24"/>
          <w:u w:val="single"/>
        </w:rPr>
        <w:t>Vernon Franklin v. City of Kingsburg, et al</w:t>
      </w:r>
      <w:r>
        <w:rPr>
          <w:rFonts w:ascii="Times New Roman" w:eastAsia="Times New Roman" w:hAnsi="Times New Roman"/>
          <w:sz w:val="24"/>
          <w:szCs w:val="24"/>
        </w:rPr>
        <w:t xml:space="preserve">., U.S. District Court Judge Anthony W. Ishii, U.S. District Court for Eastern District of California, in a lawsuit a firefighter / medic alleging his was fired because of his race (African American), denied in part defense motion for summary judgment, holding that his claim of “invasion of privacy” will not be dismissed, since disclosure of the firefighter’s psychiatric and other medical records in his personnel file alleges a viable cause of action under CA law.  His claim of “retaliation” will also not be dismissed. </w:t>
      </w:r>
      <w:hyperlink r:id="rId1554" w:history="1">
        <w:r w:rsidRPr="008956D3">
          <w:rPr>
            <w:rStyle w:val="Hyperlink"/>
            <w:rFonts w:ascii="Times New Roman" w:eastAsia="Times New Roman" w:hAnsi="Times New Roman"/>
            <w:sz w:val="24"/>
            <w:szCs w:val="24"/>
          </w:rPr>
          <w:t>https://law.justia.com/cases/federal/district-courts/california/caedce/1:2018cv00824/337796/49/</w:t>
        </w:r>
      </w:hyperlink>
      <w:r>
        <w:rPr>
          <w:rFonts w:ascii="Times New Roman" w:eastAsia="Times New Roman" w:hAnsi="Times New Roman"/>
          <w:sz w:val="24"/>
          <w:szCs w:val="24"/>
        </w:rPr>
        <w:t xml:space="preserve"> </w:t>
      </w:r>
      <w:r w:rsidRPr="00A07E45">
        <w:rPr>
          <w:rFonts w:ascii="Times New Roman" w:eastAsia="Times New Roman" w:hAnsi="Times New Roman"/>
          <w:sz w:val="24"/>
          <w:szCs w:val="24"/>
        </w:rPr>
        <w:t>       </w:t>
      </w:r>
    </w:p>
    <w:p w14:paraId="276FD9D0" w14:textId="77777777" w:rsidR="00E3473F" w:rsidRPr="00A07E45" w:rsidRDefault="00E3473F" w:rsidP="00E3473F">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A07E45">
        <w:rPr>
          <w:rFonts w:ascii="Times New Roman" w:eastAsia="Times New Roman" w:hAnsi="Times New Roman"/>
          <w:sz w:val="24"/>
          <w:szCs w:val="24"/>
        </w:rPr>
        <w:t xml:space="preserve">Additionally, Franklin argues that release of his medical information is a violation of the California Confidentiality of Medical Information Act. Doc. 45, 18:14-21. That law states in relevant part: </w:t>
      </w:r>
    </w:p>
    <w:p w14:paraId="0903C859" w14:textId="77777777" w:rsidR="00E3473F" w:rsidRPr="00A07E45" w:rsidRDefault="00E3473F" w:rsidP="00E3473F">
      <w:pPr>
        <w:spacing w:after="100" w:line="240" w:lineRule="auto"/>
        <w:ind w:left="1440"/>
        <w:rPr>
          <w:rFonts w:ascii="Times New Roman" w:eastAsia="Times New Roman" w:hAnsi="Times New Roman"/>
          <w:sz w:val="24"/>
          <w:szCs w:val="24"/>
        </w:rPr>
      </w:pPr>
      <w:r w:rsidRPr="00A07E45">
        <w:rPr>
          <w:rFonts w:ascii="Times New Roman" w:eastAsia="Times New Roman" w:hAnsi="Times New Roman"/>
          <w:sz w:val="24"/>
          <w:szCs w:val="24"/>
        </w:rPr>
        <w:t xml:space="preserve">No employer shall use, disclose, or knowingly permit its employees or agents to use or disclose medical information which the employer possesses pertaining to its employees without the patient </w:t>
      </w:r>
      <w:proofErr w:type="gramStart"/>
      <w:r w:rsidRPr="00A07E45">
        <w:rPr>
          <w:rFonts w:ascii="Times New Roman" w:eastAsia="Times New Roman" w:hAnsi="Times New Roman"/>
          <w:sz w:val="24"/>
          <w:szCs w:val="24"/>
        </w:rPr>
        <w:t>having first</w:t>
      </w:r>
      <w:proofErr w:type="gramEnd"/>
      <w:r w:rsidRPr="00A07E45">
        <w:rPr>
          <w:rFonts w:ascii="Times New Roman" w:eastAsia="Times New Roman" w:hAnsi="Times New Roman"/>
          <w:sz w:val="24"/>
          <w:szCs w:val="24"/>
        </w:rPr>
        <w:t xml:space="preserve"> signed an authorization under Section 56.11 or Section 56.21 permitting such use or disclosure, except as follows: </w:t>
      </w:r>
    </w:p>
    <w:p w14:paraId="7129B241" w14:textId="77777777" w:rsidR="00E3473F" w:rsidRPr="00A07E45" w:rsidRDefault="00E3473F" w:rsidP="00E3473F">
      <w:pPr>
        <w:spacing w:after="100" w:line="240" w:lineRule="auto"/>
        <w:ind w:left="1440"/>
        <w:rPr>
          <w:rFonts w:ascii="Times New Roman" w:eastAsia="Times New Roman" w:hAnsi="Times New Roman"/>
          <w:sz w:val="24"/>
          <w:szCs w:val="24"/>
        </w:rPr>
      </w:pPr>
      <w:r w:rsidRPr="00A07E45">
        <w:rPr>
          <w:rFonts w:ascii="Times New Roman" w:eastAsia="Times New Roman" w:hAnsi="Times New Roman"/>
          <w:sz w:val="24"/>
          <w:szCs w:val="24"/>
        </w:rPr>
        <w:t xml:space="preserve">(1) The information may be disclosed if the disclosure is compelled by judicial or administrative process or by any other specific provision of law. </w:t>
      </w:r>
    </w:p>
    <w:p w14:paraId="67A86318" w14:textId="77777777" w:rsidR="00E3473F" w:rsidRPr="00A07E45" w:rsidRDefault="00E3473F" w:rsidP="00E3473F">
      <w:pPr>
        <w:spacing w:after="100" w:line="240" w:lineRule="auto"/>
        <w:ind w:left="1440"/>
        <w:rPr>
          <w:rFonts w:ascii="Times New Roman" w:eastAsia="Times New Roman" w:hAnsi="Times New Roman"/>
          <w:sz w:val="24"/>
          <w:szCs w:val="24"/>
        </w:rPr>
      </w:pPr>
      <w:r w:rsidRPr="00A07E45">
        <w:rPr>
          <w:rFonts w:ascii="Times New Roman" w:eastAsia="Times New Roman" w:hAnsi="Times New Roman"/>
          <w:sz w:val="24"/>
          <w:szCs w:val="24"/>
        </w:rPr>
        <w:t xml:space="preserve">(2) That part of the information which is relevant in a lawsuit, arbitration, grievance, or other claim or challenge to which the employer and employee are parties and in which the patient has placed in issue his or her medical history, mental or physical condition, or treatment may be used or disclosed in connection with that proceeding. </w:t>
      </w:r>
    </w:p>
    <w:p w14:paraId="41EE76BF" w14:textId="77777777" w:rsidR="00E3473F" w:rsidRDefault="00E3473F" w:rsidP="00E3473F">
      <w:pPr>
        <w:spacing w:before="100" w:beforeAutospacing="1" w:after="100" w:afterAutospacing="1" w:line="240" w:lineRule="auto"/>
        <w:ind w:left="720"/>
        <w:rPr>
          <w:rFonts w:ascii="Times New Roman" w:eastAsia="Times New Roman" w:hAnsi="Times New Roman"/>
          <w:sz w:val="24"/>
          <w:szCs w:val="24"/>
        </w:rPr>
      </w:pPr>
      <w:r w:rsidRPr="00A07E45">
        <w:rPr>
          <w:rFonts w:ascii="Times New Roman" w:eastAsia="Times New Roman" w:hAnsi="Times New Roman"/>
          <w:sz w:val="24"/>
          <w:szCs w:val="24"/>
        </w:rPr>
        <w:t xml:space="preserve">Cal. Civ. Code § 56.20(c). Monetary damages are available for violations of Section 56.20. Cal. Civ. Code § 56.35. This law also appears to apply to public entities. See </w:t>
      </w:r>
      <w:r w:rsidRPr="00A07E45">
        <w:rPr>
          <w:rFonts w:ascii="Times New Roman" w:eastAsia="Times New Roman" w:hAnsi="Times New Roman"/>
          <w:i/>
          <w:iCs/>
          <w:sz w:val="24"/>
          <w:szCs w:val="24"/>
        </w:rPr>
        <w:t>Loder v. City of Glendale</w:t>
      </w:r>
      <w:r w:rsidRPr="00A07E45">
        <w:rPr>
          <w:rFonts w:ascii="Times New Roman" w:eastAsia="Times New Roman" w:hAnsi="Times New Roman"/>
          <w:sz w:val="24"/>
          <w:szCs w:val="24"/>
        </w:rPr>
        <w:t>, 14 Cal.4th 846, 859-62 (Cal. 1997) (analyzed the claim without directly addressing whether suit could be brought against public entity City of Glendale).</w:t>
      </w:r>
      <w:r>
        <w:rPr>
          <w:rFonts w:ascii="Times New Roman" w:eastAsia="Times New Roman" w:hAnsi="Times New Roman"/>
          <w:sz w:val="24"/>
          <w:szCs w:val="24"/>
        </w:rPr>
        <w:t xml:space="preserve">” </w:t>
      </w:r>
      <w:hyperlink r:id="rId1555" w:history="1">
        <w:r w:rsidRPr="008956D3">
          <w:rPr>
            <w:rStyle w:val="Hyperlink"/>
            <w:rFonts w:ascii="Times New Roman" w:eastAsia="Times New Roman" w:hAnsi="Times New Roman"/>
            <w:sz w:val="24"/>
            <w:szCs w:val="24"/>
          </w:rPr>
          <w:t>https://law.justia.com/cases/federal/district-courts/california/caedce/1:2018cv00824/337796/49/</w:t>
        </w:r>
      </w:hyperlink>
      <w:r>
        <w:rPr>
          <w:rFonts w:ascii="Times New Roman" w:eastAsia="Times New Roman" w:hAnsi="Times New Roman"/>
          <w:sz w:val="24"/>
          <w:szCs w:val="24"/>
        </w:rPr>
        <w:t xml:space="preserve"> </w:t>
      </w:r>
      <w:r w:rsidRPr="00A07E45">
        <w:rPr>
          <w:rFonts w:ascii="Times New Roman" w:eastAsia="Times New Roman" w:hAnsi="Times New Roman"/>
          <w:sz w:val="24"/>
          <w:szCs w:val="24"/>
        </w:rPr>
        <w:t>       </w:t>
      </w:r>
    </w:p>
    <w:p w14:paraId="2C6925B2" w14:textId="77777777" w:rsidR="00E3473F" w:rsidRPr="000D5242" w:rsidRDefault="00E3473F" w:rsidP="00E3473F">
      <w:pPr>
        <w:spacing w:before="100" w:beforeAutospacing="1" w:after="100" w:afterAutospacing="1" w:line="240" w:lineRule="auto"/>
        <w:rPr>
          <w:rFonts w:ascii="Times New Roman" w:eastAsia="Times New Roman" w:hAnsi="Times New Roman"/>
          <w:b/>
          <w:bCs/>
          <w:sz w:val="24"/>
          <w:szCs w:val="24"/>
        </w:rPr>
      </w:pPr>
      <w:r w:rsidRPr="000D5242">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While in many states a firefighter’s personnel records are “public records,” personnel files should not include confidential medical documents. </w:t>
      </w:r>
    </w:p>
    <w:p w14:paraId="14E33A5F" w14:textId="77777777" w:rsidR="00E3473F" w:rsidRDefault="00E3473F" w:rsidP="00BC70A3">
      <w:pPr>
        <w:rPr>
          <w:rFonts w:ascii="Arial Black" w:hAnsi="Arial Black"/>
          <w:b/>
          <w:sz w:val="24"/>
          <w:szCs w:val="24"/>
        </w:rPr>
      </w:pPr>
    </w:p>
    <w:p w14:paraId="28A7D0FA" w14:textId="77777777" w:rsidR="00E3473F" w:rsidRDefault="00E3473F" w:rsidP="00BC70A3">
      <w:pPr>
        <w:rPr>
          <w:rFonts w:ascii="Arial Black" w:hAnsi="Arial Black"/>
          <w:b/>
          <w:sz w:val="24"/>
          <w:szCs w:val="24"/>
        </w:rPr>
      </w:pPr>
    </w:p>
    <w:p w14:paraId="04D168CE" w14:textId="157445D6" w:rsidR="005644A4" w:rsidRDefault="005644A4" w:rsidP="00BC70A3">
      <w:pPr>
        <w:rPr>
          <w:rFonts w:ascii="Arial Black" w:hAnsi="Arial Black"/>
          <w:b/>
          <w:sz w:val="24"/>
          <w:szCs w:val="24"/>
        </w:rPr>
      </w:pPr>
      <w:r>
        <w:rPr>
          <w:rFonts w:ascii="Arial Black" w:hAnsi="Arial Black"/>
          <w:b/>
          <w:sz w:val="24"/>
          <w:szCs w:val="24"/>
        </w:rPr>
        <w:t>8-3</w:t>
      </w:r>
      <w:r w:rsidR="009A3D9F">
        <w:rPr>
          <w:rFonts w:ascii="Arial Black" w:hAnsi="Arial Black"/>
          <w:b/>
          <w:sz w:val="24"/>
          <w:szCs w:val="24"/>
        </w:rPr>
        <w:t>6</w:t>
      </w:r>
    </w:p>
    <w:p w14:paraId="3303CF62" w14:textId="77777777" w:rsidR="005644A4" w:rsidRDefault="005644A4" w:rsidP="005644A4">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KY: REVERSE DISCRIM. NOT PROVED - WHITE POLICE MAJOR DEMOTED LT. – USED “N” WORD IN RECRUIT CLASS</w:t>
      </w:r>
    </w:p>
    <w:p w14:paraId="3437A6B6" w14:textId="77777777" w:rsidR="005644A4" w:rsidRPr="0037054D" w:rsidRDefault="005644A4" w:rsidP="005644A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29, 2021, in </w:t>
      </w:r>
      <w:r w:rsidRPr="0037054D">
        <w:rPr>
          <w:rFonts w:ascii="Times New Roman" w:eastAsia="Times New Roman" w:hAnsi="Times New Roman"/>
          <w:sz w:val="24"/>
          <w:szCs w:val="24"/>
          <w:u w:val="single"/>
        </w:rPr>
        <w:t>Aubrey E. Gregory, Jr. v. Louisville / Jefferson County Metro Government</w:t>
      </w:r>
      <w:r>
        <w:rPr>
          <w:rFonts w:ascii="Times New Roman" w:eastAsia="Times New Roman" w:hAnsi="Times New Roman"/>
          <w:sz w:val="24"/>
          <w:szCs w:val="24"/>
        </w:rPr>
        <w:t xml:space="preserve">, U.S. District Court Judge Claria Horn Boom granted the City’s motion to dismiss; Major Gregory (Caucasia) was Director of the Training Academy for the Louisville Metro Police Department, and during a classroom discussion on cultural diversity with Recruit Class 48 on May 20, 2021, he and African-American retired firefighter, and black man from Africa, discussed use of the “N” word.  The next day, Police </w:t>
      </w:r>
      <w:r w:rsidRPr="00B52A46">
        <w:rPr>
          <w:rFonts w:ascii="Times New Roman" w:eastAsia="Times New Roman" w:hAnsi="Times New Roman"/>
          <w:sz w:val="24"/>
          <w:szCs w:val="24"/>
        </w:rPr>
        <w:t>Chief</w:t>
      </w:r>
      <w:r w:rsidRPr="00B52A46">
        <w:rPr>
          <w:rFonts w:ascii="Times New Roman" w:hAnsi="Times New Roman"/>
          <w:sz w:val="24"/>
          <w:szCs w:val="24"/>
        </w:rPr>
        <w:t xml:space="preserve"> Erika </w:t>
      </w:r>
      <w:proofErr w:type="gramStart"/>
      <w:r w:rsidRPr="00B52A46">
        <w:rPr>
          <w:rFonts w:ascii="Times New Roman" w:hAnsi="Times New Roman"/>
          <w:sz w:val="24"/>
          <w:szCs w:val="24"/>
        </w:rPr>
        <w:t>Shields,</w:t>
      </w:r>
      <w:proofErr w:type="gramEnd"/>
      <w:r>
        <w:rPr>
          <w:rFonts w:ascii="Times New Roman" w:hAnsi="Times New Roman"/>
          <w:sz w:val="24"/>
          <w:szCs w:val="24"/>
        </w:rPr>
        <w:t xml:space="preserve"> called him and suspended him. </w:t>
      </w:r>
      <w:r>
        <w:rPr>
          <w:rFonts w:ascii="Times New Roman" w:eastAsia="Times New Roman" w:hAnsi="Times New Roman"/>
          <w:sz w:val="24"/>
          <w:szCs w:val="24"/>
        </w:rPr>
        <w:t xml:space="preserve">On June 4, after </w:t>
      </w:r>
      <w:proofErr w:type="gramStart"/>
      <w:r>
        <w:rPr>
          <w:rFonts w:ascii="Times New Roman" w:eastAsia="Times New Roman" w:hAnsi="Times New Roman"/>
          <w:sz w:val="24"/>
          <w:szCs w:val="24"/>
        </w:rPr>
        <w:t>interview</w:t>
      </w:r>
      <w:proofErr w:type="gramEnd"/>
      <w:r>
        <w:rPr>
          <w:rFonts w:ascii="Times New Roman" w:eastAsia="Times New Roman" w:hAnsi="Times New Roman"/>
          <w:sz w:val="24"/>
          <w:szCs w:val="24"/>
        </w:rPr>
        <w:t xml:space="preserve"> with County HR and another with Police Chief, he was demoted to Lieutenant (and retired Aug. 1, 2021).  The Judge held that plaintiff “</w:t>
      </w:r>
      <w:r w:rsidRPr="0037054D">
        <w:rPr>
          <w:rFonts w:ascii="Times New Roman" w:hAnsi="Times New Roman"/>
          <w:sz w:val="24"/>
          <w:szCs w:val="24"/>
        </w:rPr>
        <w:t xml:space="preserve">utterly fails to allege any facts that even hint at Defendants being </w:t>
      </w:r>
      <w:r>
        <w:rPr>
          <w:rFonts w:ascii="Times New Roman" w:hAnsi="Times New Roman"/>
          <w:sz w:val="24"/>
          <w:szCs w:val="24"/>
        </w:rPr>
        <w:t>‘</w:t>
      </w:r>
      <w:r w:rsidRPr="0037054D">
        <w:rPr>
          <w:rFonts w:ascii="Times New Roman" w:hAnsi="Times New Roman"/>
          <w:sz w:val="24"/>
          <w:szCs w:val="24"/>
        </w:rPr>
        <w:t>that unusual employer who discriminates against the majority</w:t>
      </w:r>
      <w:r>
        <w:rPr>
          <w:rFonts w:ascii="Times New Roman" w:hAnsi="Times New Roman"/>
          <w:sz w:val="24"/>
          <w:szCs w:val="24"/>
        </w:rPr>
        <w:t>.’”</w:t>
      </w:r>
    </w:p>
    <w:p w14:paraId="4BA6D258" w14:textId="5603723A" w:rsidR="005644A4" w:rsidRDefault="005644A4" w:rsidP="005644A4">
      <w:pPr>
        <w:ind w:left="720"/>
        <w:rPr>
          <w:rFonts w:ascii="Arial Black" w:hAnsi="Arial Black"/>
          <w:b/>
          <w:sz w:val="24"/>
          <w:szCs w:val="24"/>
        </w:rPr>
      </w:pPr>
      <w:r>
        <w:rPr>
          <w:rFonts w:ascii="Times New Roman" w:hAnsi="Times New Roman"/>
          <w:sz w:val="24"/>
          <w:szCs w:val="24"/>
        </w:rPr>
        <w:t>“</w:t>
      </w:r>
      <w:r w:rsidRPr="0037054D">
        <w:rPr>
          <w:rFonts w:ascii="Times New Roman" w:hAnsi="Times New Roman"/>
          <w:sz w:val="24"/>
          <w:szCs w:val="24"/>
        </w:rPr>
        <w:t>The only two individuals mentioned in the Complaint are the two African American men also involved in the May 19, 2021, incident. While Gregory alleges he and the two African American individuals engaged in the same conduct (i.e., used the same racial epithet in a LMPD classroom setting), he wholly fails to allege how these individuals are similarly situated in any other relevant respect. The Complaint contains no factual allegations that both Gregory and the African American individuals dealt with the same supervisor, were subject to the same standards, or had similar job responsibilities.</w:t>
      </w:r>
      <w:r>
        <w:rPr>
          <w:rFonts w:ascii="Times New Roman" w:hAnsi="Times New Roman"/>
          <w:sz w:val="24"/>
          <w:szCs w:val="24"/>
        </w:rPr>
        <w:t xml:space="preserve">” </w:t>
      </w:r>
      <w:hyperlink r:id="rId1556" w:history="1">
        <w:r w:rsidRPr="00EC5853">
          <w:rPr>
            <w:rStyle w:val="Hyperlink"/>
            <w:rFonts w:ascii="Times New Roman" w:hAnsi="Times New Roman"/>
            <w:sz w:val="24"/>
            <w:szCs w:val="24"/>
          </w:rPr>
          <w:t>https://public.fastcase.com/9SKwsfNqTc6OieYDhNMyM%2FTSgbZsxamnZMkEnGgxxe%2FrqLPFRApIhr2w3nhFxBI%2F%2BQAM0CcvCjVB30L3LI5a7qA0dv8E2KAwnqlsNAe5EaM%3D</w:t>
        </w:r>
      </w:hyperlink>
    </w:p>
    <w:p w14:paraId="1393927E" w14:textId="77777777" w:rsidR="005644A4" w:rsidRPr="00521C71" w:rsidRDefault="005644A4" w:rsidP="005644A4">
      <w:pPr>
        <w:spacing w:before="100" w:beforeAutospacing="1" w:after="100" w:afterAutospacing="1" w:line="240" w:lineRule="auto"/>
        <w:rPr>
          <w:rFonts w:ascii="Times New Roman" w:eastAsia="Times New Roman" w:hAnsi="Times New Roman"/>
          <w:b/>
          <w:bCs/>
          <w:sz w:val="24"/>
          <w:szCs w:val="24"/>
        </w:rPr>
      </w:pPr>
      <w:r w:rsidRPr="00521C71">
        <w:rPr>
          <w:rFonts w:ascii="Times New Roman" w:hAnsi="Times New Roman"/>
          <w:b/>
          <w:bCs/>
          <w:sz w:val="24"/>
          <w:szCs w:val="24"/>
        </w:rPr>
        <w:t>Legal Lesson Learned:</w:t>
      </w:r>
      <w:r>
        <w:rPr>
          <w:rFonts w:ascii="Times New Roman" w:hAnsi="Times New Roman"/>
          <w:b/>
          <w:bCs/>
          <w:sz w:val="24"/>
          <w:szCs w:val="24"/>
        </w:rPr>
        <w:t xml:space="preserve"> Even when conducting cultural sensitivity training, avoid the use of the “N word” and other highly sensitive terms. </w:t>
      </w:r>
    </w:p>
    <w:p w14:paraId="6DFC0783" w14:textId="77777777" w:rsidR="005644A4" w:rsidRDefault="005644A4" w:rsidP="00BC70A3">
      <w:pPr>
        <w:rPr>
          <w:rFonts w:ascii="Arial Black" w:hAnsi="Arial Black"/>
          <w:b/>
          <w:sz w:val="24"/>
          <w:szCs w:val="24"/>
        </w:rPr>
      </w:pPr>
    </w:p>
    <w:p w14:paraId="3C72FCB0" w14:textId="16A203DA" w:rsidR="00C67B2A" w:rsidRDefault="00C67B2A" w:rsidP="00BC70A3">
      <w:pPr>
        <w:rPr>
          <w:rFonts w:ascii="Arial Black" w:hAnsi="Arial Black"/>
          <w:b/>
          <w:sz w:val="24"/>
          <w:szCs w:val="24"/>
        </w:rPr>
      </w:pPr>
      <w:r>
        <w:rPr>
          <w:rFonts w:ascii="Arial Black" w:hAnsi="Arial Black"/>
          <w:b/>
          <w:sz w:val="24"/>
          <w:szCs w:val="24"/>
        </w:rPr>
        <w:t>8-3</w:t>
      </w:r>
      <w:r w:rsidR="009A3D9F">
        <w:rPr>
          <w:rFonts w:ascii="Arial Black" w:hAnsi="Arial Black"/>
          <w:b/>
          <w:sz w:val="24"/>
          <w:szCs w:val="24"/>
        </w:rPr>
        <w:t>5</w:t>
      </w:r>
    </w:p>
    <w:p w14:paraId="594B487B" w14:textId="77777777" w:rsidR="00C67B2A" w:rsidRPr="000F4113" w:rsidRDefault="00C67B2A" w:rsidP="00C67B2A">
      <w:pPr>
        <w:pStyle w:val="Heading1"/>
        <w:rPr>
          <w:rFonts w:ascii="Arial Black" w:hAnsi="Arial Black"/>
          <w:b w:val="0"/>
          <w:bCs w:val="0"/>
          <w:sz w:val="28"/>
          <w:szCs w:val="28"/>
        </w:rPr>
      </w:pPr>
      <w:r>
        <w:rPr>
          <w:rFonts w:ascii="Arial Black" w:hAnsi="Arial Black"/>
          <w:b w:val="0"/>
          <w:bCs w:val="0"/>
          <w:sz w:val="28"/>
          <w:szCs w:val="28"/>
        </w:rPr>
        <w:t>NY: FDNY - HISPANIC “PRIORITY HIRE” – INJURED AT ACADEMY, 2 LIGHT DUTIES – FIRED FOR MEDICAL REASONS</w:t>
      </w:r>
    </w:p>
    <w:p w14:paraId="38288F65" w14:textId="77777777" w:rsidR="00C67B2A" w:rsidRDefault="00C67B2A" w:rsidP="00C67B2A">
      <w:pPr>
        <w:pStyle w:val="Heading1"/>
        <w:rPr>
          <w:b w:val="0"/>
          <w:bCs w:val="0"/>
          <w:sz w:val="24"/>
          <w:szCs w:val="24"/>
        </w:rPr>
      </w:pPr>
      <w:r>
        <w:rPr>
          <w:b w:val="0"/>
          <w:bCs w:val="0"/>
          <w:sz w:val="24"/>
          <w:szCs w:val="24"/>
        </w:rPr>
        <w:t xml:space="preserve">On Oct. 20, 2021, in </w:t>
      </w:r>
      <w:r w:rsidRPr="000F4113">
        <w:rPr>
          <w:b w:val="0"/>
          <w:bCs w:val="0"/>
          <w:sz w:val="24"/>
          <w:szCs w:val="24"/>
          <w:u w:val="single"/>
        </w:rPr>
        <w:t>Xavier Lopez v. City of New York</w:t>
      </w:r>
      <w:r>
        <w:rPr>
          <w:b w:val="0"/>
          <w:bCs w:val="0"/>
          <w:sz w:val="24"/>
          <w:szCs w:val="24"/>
        </w:rPr>
        <w:t xml:space="preserve">, U.S. District Judge Nina Gershon granted the City’s motion for summary judgment.  Plaintiff was a “priority hire” on Jan. 27, </w:t>
      </w:r>
      <w:proofErr w:type="gramStart"/>
      <w:r>
        <w:rPr>
          <w:b w:val="0"/>
          <w:bCs w:val="0"/>
          <w:sz w:val="24"/>
          <w:szCs w:val="24"/>
        </w:rPr>
        <w:t>2014</w:t>
      </w:r>
      <w:proofErr w:type="gramEnd"/>
      <w:r>
        <w:rPr>
          <w:b w:val="0"/>
          <w:bCs w:val="0"/>
          <w:sz w:val="24"/>
          <w:szCs w:val="24"/>
        </w:rPr>
        <w:t xml:space="preserve"> as part of the Vulcan Society [</w:t>
      </w:r>
      <w:proofErr w:type="gramStart"/>
      <w:r>
        <w:rPr>
          <w:b w:val="0"/>
          <w:bCs w:val="0"/>
          <w:sz w:val="24"/>
          <w:szCs w:val="24"/>
        </w:rPr>
        <w:t>African-American</w:t>
      </w:r>
      <w:proofErr w:type="gramEnd"/>
      <w:r>
        <w:rPr>
          <w:b w:val="0"/>
          <w:bCs w:val="0"/>
          <w:sz w:val="24"/>
          <w:szCs w:val="24"/>
        </w:rPr>
        <w:t xml:space="preserve"> firefighters] settlement; during his second week, he injured his ankle while jogging; after light duty, he returned to Fire Academy on July 7, 2014, and in August injured his left knee.  He returned to Academy on Aug. 28, 2014, and then re-injured his left knee and toe and was again placed on light duty.  He was terminated on Jan. 14, </w:t>
      </w:r>
      <w:proofErr w:type="gramStart"/>
      <w:r>
        <w:rPr>
          <w:b w:val="0"/>
          <w:bCs w:val="0"/>
          <w:sz w:val="24"/>
          <w:szCs w:val="24"/>
        </w:rPr>
        <w:t>2015</w:t>
      </w:r>
      <w:proofErr w:type="gramEnd"/>
      <w:r>
        <w:rPr>
          <w:b w:val="0"/>
          <w:bCs w:val="0"/>
          <w:sz w:val="24"/>
          <w:szCs w:val="24"/>
        </w:rPr>
        <w:t xml:space="preserve"> after numerous medical reviews.</w:t>
      </w:r>
    </w:p>
    <w:p w14:paraId="0711E113" w14:textId="77777777" w:rsidR="00C67B2A" w:rsidRDefault="00C67B2A" w:rsidP="00C67B2A">
      <w:pPr>
        <w:pStyle w:val="Heading1"/>
        <w:ind w:left="720"/>
        <w:rPr>
          <w:b w:val="0"/>
          <w:bCs w:val="0"/>
          <w:sz w:val="24"/>
          <w:szCs w:val="24"/>
        </w:rPr>
      </w:pPr>
      <w:r>
        <w:rPr>
          <w:b w:val="0"/>
          <w:bCs w:val="0"/>
          <w:sz w:val="24"/>
          <w:szCs w:val="24"/>
        </w:rPr>
        <w:t>“</w:t>
      </w:r>
      <w:r w:rsidRPr="00DA27A9">
        <w:rPr>
          <w:b w:val="0"/>
          <w:bCs w:val="0"/>
          <w:sz w:val="24"/>
          <w:szCs w:val="24"/>
        </w:rPr>
        <w:t xml:space="preserve">Defendant's position is that plaintiff was terminated based on his inability to return to a third firefighter academy </w:t>
      </w:r>
      <w:proofErr w:type="gramStart"/>
      <w:r w:rsidRPr="00DA27A9">
        <w:rPr>
          <w:b w:val="0"/>
          <w:bCs w:val="0"/>
          <w:sz w:val="24"/>
          <w:szCs w:val="24"/>
        </w:rPr>
        <w:t>as a result of</w:t>
      </w:r>
      <w:proofErr w:type="gramEnd"/>
      <w:r w:rsidRPr="00DA27A9">
        <w:rPr>
          <w:b w:val="0"/>
          <w:bCs w:val="0"/>
          <w:sz w:val="24"/>
          <w:szCs w:val="24"/>
        </w:rPr>
        <w:t xml:space="preserve"> his subjective complaints of pain, which were unsupported by medical evidence. Specifically, according to Dr. Kelly, plaintiff was</w:t>
      </w:r>
      <w:r>
        <w:rPr>
          <w:b w:val="0"/>
          <w:bCs w:val="0"/>
          <w:sz w:val="24"/>
          <w:szCs w:val="24"/>
        </w:rPr>
        <w:t xml:space="preserve"> </w:t>
      </w:r>
      <w:r w:rsidRPr="00DA27A9">
        <w:rPr>
          <w:b w:val="0"/>
          <w:bCs w:val="0"/>
          <w:sz w:val="24"/>
          <w:szCs w:val="24"/>
        </w:rPr>
        <w:t>not capable of working as a firefighter based on his continued symptomology, in light of, essentially, a negative work up, an opportunity to [complete] physical therapy, [plaintiff's] failure to pursue outside orthopedic consultations when [BHS] gave him the authorization, and his evaluation by [BHS] medical team, who saw no physical disability [despite his] persistent subjective complaints</w:t>
      </w:r>
      <w:r>
        <w:rPr>
          <w:b w:val="0"/>
          <w:bCs w:val="0"/>
          <w:sz w:val="24"/>
          <w:szCs w:val="24"/>
        </w:rPr>
        <w:t xml:space="preserve">…. </w:t>
      </w:r>
      <w:r w:rsidRPr="000F4113">
        <w:rPr>
          <w:b w:val="0"/>
          <w:bCs w:val="0"/>
          <w:sz w:val="24"/>
          <w:szCs w:val="24"/>
        </w:rPr>
        <w:t>Defendant has presented evidence that plaintiff's inability to return to a third firefighter academy based on subjective complaints of pain, unsupported by medical evidence, supplied a legitimate non-discriminatory reason for his termination</w:t>
      </w:r>
      <w:r>
        <w:rPr>
          <w:b w:val="0"/>
          <w:bCs w:val="0"/>
          <w:sz w:val="24"/>
          <w:szCs w:val="24"/>
        </w:rPr>
        <w:t>.</w:t>
      </w:r>
    </w:p>
    <w:p w14:paraId="53F43F09" w14:textId="77777777" w:rsidR="00C67B2A" w:rsidRDefault="00C67B2A" w:rsidP="00C67B2A">
      <w:pPr>
        <w:pStyle w:val="Heading1"/>
        <w:ind w:left="720"/>
        <w:rPr>
          <w:b w:val="0"/>
          <w:bCs w:val="0"/>
          <w:sz w:val="24"/>
          <w:szCs w:val="24"/>
        </w:rPr>
      </w:pPr>
      <w:r>
        <w:rPr>
          <w:b w:val="0"/>
          <w:bCs w:val="0"/>
          <w:sz w:val="24"/>
          <w:szCs w:val="24"/>
        </w:rPr>
        <w:t>***</w:t>
      </w:r>
    </w:p>
    <w:p w14:paraId="5C2331C1" w14:textId="77777777" w:rsidR="00C67B2A" w:rsidRPr="000F4113" w:rsidRDefault="00C67B2A" w:rsidP="00C67B2A">
      <w:pPr>
        <w:pStyle w:val="Heading1"/>
        <w:ind w:left="720"/>
        <w:rPr>
          <w:b w:val="0"/>
          <w:bCs w:val="0"/>
          <w:sz w:val="24"/>
          <w:szCs w:val="24"/>
        </w:rPr>
      </w:pPr>
      <w:r w:rsidRPr="000F4113">
        <w:rPr>
          <w:b w:val="0"/>
          <w:bCs w:val="0"/>
          <w:sz w:val="24"/>
          <w:szCs w:val="24"/>
        </w:rPr>
        <w:t>In support of his theory that he was treated differently because of his race or national origin, plaintiff points to six other firefighters who were given more than two opportunities to complete the fire academy. But, of the six, four were priority hires like plaintiff, one was a Hispanic man like plaintiff, and plaintiff has not presented any evidence indicating that the injuries or situations of the two white firefighters who were given three opportunities were comparable to his.</w:t>
      </w:r>
      <w:r>
        <w:rPr>
          <w:b w:val="0"/>
          <w:bCs w:val="0"/>
          <w:sz w:val="24"/>
          <w:szCs w:val="24"/>
        </w:rPr>
        <w:t xml:space="preserve">” </w:t>
      </w:r>
      <w:hyperlink r:id="rId1557" w:history="1">
        <w:r w:rsidRPr="00764F47">
          <w:rPr>
            <w:rStyle w:val="Hyperlink"/>
            <w:sz w:val="24"/>
            <w:szCs w:val="24"/>
          </w:rPr>
          <w:t>https://public.fastcase.com/9SKwsfNqTc6OieYDhNMyMxPWhQYM2NMtpEG66qqzAJJdyGEqs31WbWeslV8WX8U%2F%2BJtRUyjyQVulPfpekvhmAP57MQmPUZf7QhfjsZd5wHk%3D</w:t>
        </w:r>
      </w:hyperlink>
      <w:r>
        <w:rPr>
          <w:b w:val="0"/>
          <w:bCs w:val="0"/>
          <w:sz w:val="24"/>
          <w:szCs w:val="24"/>
        </w:rPr>
        <w:t xml:space="preserve"> </w:t>
      </w:r>
    </w:p>
    <w:p w14:paraId="76350EB7" w14:textId="77777777" w:rsidR="00C67B2A" w:rsidRPr="00574B79" w:rsidRDefault="00C67B2A" w:rsidP="00C67B2A">
      <w:pPr>
        <w:spacing w:before="100" w:beforeAutospacing="1" w:after="100" w:afterAutospacing="1" w:line="240" w:lineRule="auto"/>
        <w:rPr>
          <w:rFonts w:ascii="Times New Roman" w:eastAsia="Times New Roman" w:hAnsi="Times New Roman"/>
          <w:b/>
          <w:bCs/>
          <w:sz w:val="24"/>
          <w:szCs w:val="24"/>
        </w:rPr>
      </w:pPr>
      <w:r w:rsidRPr="00574B79">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Recruits must be physically capable of performing the job.  </w:t>
      </w:r>
    </w:p>
    <w:p w14:paraId="71C2CD4F" w14:textId="77777777" w:rsidR="00C67B2A" w:rsidRDefault="00C67B2A" w:rsidP="00BC70A3">
      <w:pPr>
        <w:rPr>
          <w:rFonts w:ascii="Arial Black" w:hAnsi="Arial Black"/>
          <w:b/>
          <w:sz w:val="24"/>
          <w:szCs w:val="24"/>
        </w:rPr>
      </w:pPr>
    </w:p>
    <w:p w14:paraId="28AA3B2D" w14:textId="77777777" w:rsidR="00C67B2A" w:rsidRDefault="00C67B2A" w:rsidP="00BC70A3">
      <w:pPr>
        <w:rPr>
          <w:rFonts w:ascii="Arial Black" w:hAnsi="Arial Black"/>
          <w:b/>
          <w:sz w:val="24"/>
          <w:szCs w:val="24"/>
        </w:rPr>
      </w:pPr>
    </w:p>
    <w:p w14:paraId="53933A9D" w14:textId="6205BDB3" w:rsidR="00C67B2A" w:rsidRDefault="00C67B2A" w:rsidP="00BC70A3">
      <w:pPr>
        <w:rPr>
          <w:rFonts w:ascii="Arial Black" w:hAnsi="Arial Black"/>
          <w:b/>
          <w:sz w:val="24"/>
          <w:szCs w:val="24"/>
        </w:rPr>
      </w:pPr>
      <w:r>
        <w:rPr>
          <w:rFonts w:ascii="Arial Black" w:hAnsi="Arial Black"/>
          <w:b/>
          <w:sz w:val="24"/>
          <w:szCs w:val="24"/>
        </w:rPr>
        <w:t>8-3</w:t>
      </w:r>
      <w:r w:rsidR="009A3D9F">
        <w:rPr>
          <w:rFonts w:ascii="Arial Black" w:hAnsi="Arial Black"/>
          <w:b/>
          <w:sz w:val="24"/>
          <w:szCs w:val="24"/>
        </w:rPr>
        <w:t>4</w:t>
      </w:r>
    </w:p>
    <w:p w14:paraId="27EC8F4E" w14:textId="77777777" w:rsidR="00C67B2A" w:rsidRPr="001325E8" w:rsidRDefault="00C67B2A" w:rsidP="00C67B2A">
      <w:pPr>
        <w:tabs>
          <w:tab w:val="left" w:pos="3280"/>
        </w:tabs>
        <w:spacing w:before="100" w:beforeAutospacing="1" w:after="100" w:afterAutospacing="1" w:line="240" w:lineRule="auto"/>
        <w:rPr>
          <w:rFonts w:ascii="Arial Black" w:hAnsi="Arial Black"/>
          <w:sz w:val="28"/>
          <w:szCs w:val="28"/>
        </w:rPr>
      </w:pPr>
      <w:r>
        <w:rPr>
          <w:rFonts w:ascii="Arial Black" w:hAnsi="Arial Black"/>
          <w:sz w:val="28"/>
          <w:szCs w:val="28"/>
        </w:rPr>
        <w:t>WI: POLICE CHIEF WANTED CIVILIAN TO RUN 911 – PRIOR COMMENTS ON MINORITIES – BLACK CAPT. CASE PROCEED</w:t>
      </w:r>
    </w:p>
    <w:p w14:paraId="39427562" w14:textId="77777777" w:rsidR="00C67B2A" w:rsidRDefault="00C67B2A" w:rsidP="00C67B2A">
      <w:pPr>
        <w:tabs>
          <w:tab w:val="left" w:pos="3280"/>
        </w:tabs>
        <w:spacing w:before="100" w:beforeAutospacing="1" w:after="100" w:afterAutospacing="1" w:line="240" w:lineRule="auto"/>
        <w:rPr>
          <w:rFonts w:ascii="Times New Roman" w:hAnsi="Times New Roman"/>
          <w:sz w:val="24"/>
          <w:szCs w:val="24"/>
        </w:rPr>
      </w:pPr>
      <w:r w:rsidRPr="00CE1834">
        <w:rPr>
          <w:rFonts w:ascii="Times New Roman" w:hAnsi="Times New Roman"/>
          <w:sz w:val="24"/>
          <w:szCs w:val="24"/>
        </w:rPr>
        <w:t xml:space="preserve">On Oct. 20, 2021, </w:t>
      </w:r>
      <w:r>
        <w:rPr>
          <w:rFonts w:ascii="Times New Roman" w:hAnsi="Times New Roman"/>
          <w:sz w:val="24"/>
          <w:szCs w:val="24"/>
        </w:rPr>
        <w:t xml:space="preserve">in </w:t>
      </w:r>
      <w:r w:rsidRPr="00CE1834">
        <w:rPr>
          <w:rFonts w:ascii="Times New Roman" w:hAnsi="Times New Roman"/>
          <w:sz w:val="24"/>
          <w:szCs w:val="24"/>
          <w:u w:val="single"/>
        </w:rPr>
        <w:t>Andra Williams v. City of Milwaukee, et al.</w:t>
      </w:r>
      <w:r>
        <w:rPr>
          <w:rFonts w:ascii="Times New Roman" w:hAnsi="Times New Roman"/>
          <w:sz w:val="24"/>
          <w:szCs w:val="24"/>
        </w:rPr>
        <w:t xml:space="preserve">, U.S. District Court Judge Brett H. Ludwig, U.S. District Court for Eastern District of Wisconsin, denied the City’s motion for summary judgment, citing comments that Police Chief made to the Executive Director of the Police and Fire Commission, and to the Mayor after a “Advancement in Management” (AIM) meeting in Fall 2015 [a year prior to June 2016 panel rated applicants for Director of 911], where they were reviewing police department hiring of minorities and lesbians. </w:t>
      </w:r>
    </w:p>
    <w:p w14:paraId="459E0678" w14:textId="77777777" w:rsidR="00C67B2A" w:rsidRPr="00CE1834" w:rsidRDefault="00C67B2A" w:rsidP="00C67B2A">
      <w:pPr>
        <w:pStyle w:val="NormalWeb"/>
        <w:ind w:left="720"/>
      </w:pPr>
      <w:r>
        <w:t>“</w:t>
      </w:r>
      <w:r w:rsidRPr="00CE1834">
        <w:t xml:space="preserve">Williams relies on a web of interrelated incidents to support his allegations of discrimination, but the most important is </w:t>
      </w:r>
      <w:r>
        <w:t xml:space="preserve">[Police Chief Edward] </w:t>
      </w:r>
      <w:r w:rsidRPr="00CE1834">
        <w:t>Flynn's tirade following an Advanced in Management (AIM) meeting in the Fall of 2015</w:t>
      </w:r>
      <w:r>
        <w:t xml:space="preserve">…. </w:t>
      </w:r>
      <w:r w:rsidRPr="00CE1834">
        <w:t>Mary</w:t>
      </w:r>
      <w:r>
        <w:t xml:space="preserve"> </w:t>
      </w:r>
      <w:r w:rsidRPr="00CE1834">
        <w:t>Nell Regan (Regan), then Executive Director to the City of Milwaukee Fire and Police Commission, was present after the AIM meeting along with Mayor Tom Barrett, Barrett's chief of staff Patrick Curley, Flynn, and Flynn's chief of staff Joel Plant</w:t>
      </w:r>
      <w:r>
        <w:t xml:space="preserve">…. </w:t>
      </w:r>
      <w:r w:rsidRPr="00CE1834">
        <w:t xml:space="preserve">Regan testified: </w:t>
      </w:r>
    </w:p>
    <w:p w14:paraId="5A6B0993" w14:textId="77777777" w:rsidR="00C67B2A" w:rsidRDefault="00C67B2A" w:rsidP="00C67B2A">
      <w:pPr>
        <w:ind w:left="1440"/>
        <w:rPr>
          <w:rFonts w:ascii="Times New Roman" w:hAnsi="Times New Roman"/>
          <w:sz w:val="24"/>
          <w:szCs w:val="24"/>
        </w:rPr>
      </w:pPr>
      <w:r>
        <w:rPr>
          <w:rFonts w:ascii="Times New Roman" w:hAnsi="Times New Roman"/>
          <w:sz w:val="24"/>
          <w:szCs w:val="24"/>
        </w:rPr>
        <w:t>‘</w:t>
      </w:r>
      <w:r w:rsidRPr="00CE1834">
        <w:rPr>
          <w:rFonts w:ascii="Times New Roman" w:hAnsi="Times New Roman"/>
          <w:sz w:val="24"/>
          <w:szCs w:val="24"/>
        </w:rPr>
        <w:t>Chief Flynn got very upset, real red in the face, upset about-I think even slammed his hands down a couple times-very upset about minorities and lesbians that were coming after him. And he saw in the future that he would go down like Chief Jones, and he wasn't going to let that happen, and he was outraged because he had promoted many of those same people, and then he rattled off the list of names.</w:t>
      </w:r>
      <w:r>
        <w:rPr>
          <w:rFonts w:ascii="Times New Roman" w:hAnsi="Times New Roman"/>
          <w:sz w:val="24"/>
          <w:szCs w:val="24"/>
        </w:rPr>
        <w:t>’</w:t>
      </w:r>
      <w:r w:rsidRPr="00CE1834">
        <w:rPr>
          <w:rFonts w:ascii="Times New Roman" w:hAnsi="Times New Roman"/>
          <w:sz w:val="24"/>
          <w:szCs w:val="24"/>
        </w:rPr>
        <w:t xml:space="preserve"> </w:t>
      </w:r>
    </w:p>
    <w:p w14:paraId="575B4064" w14:textId="77777777" w:rsidR="00C67B2A" w:rsidRDefault="00C67B2A" w:rsidP="00C67B2A">
      <w:pPr>
        <w:rPr>
          <w:rFonts w:ascii="Times New Roman" w:hAnsi="Times New Roman"/>
          <w:sz w:val="24"/>
          <w:szCs w:val="24"/>
        </w:rPr>
      </w:pPr>
      <w:r>
        <w:rPr>
          <w:rFonts w:ascii="Times New Roman" w:hAnsi="Times New Roman"/>
          <w:sz w:val="24"/>
          <w:szCs w:val="24"/>
        </w:rPr>
        <w:tab/>
        <w:t>***</w:t>
      </w:r>
    </w:p>
    <w:p w14:paraId="6DD538AF" w14:textId="62C21D0F" w:rsidR="00C67B2A" w:rsidRDefault="00C67B2A" w:rsidP="00C67B2A">
      <w:pPr>
        <w:rPr>
          <w:rFonts w:ascii="Arial Black" w:hAnsi="Arial Black"/>
          <w:b/>
          <w:sz w:val="24"/>
          <w:szCs w:val="24"/>
        </w:rPr>
      </w:pPr>
      <w:r w:rsidRPr="00B86ECC">
        <w:rPr>
          <w:rFonts w:ascii="Times New Roman" w:eastAsia="Times New Roman" w:hAnsi="Times New Roman"/>
          <w:sz w:val="24"/>
          <w:szCs w:val="24"/>
        </w:rPr>
        <w:t>Examining the record, Flynn's 2015 AIM comments emerge as Williams' most consequential allegation, but the defense has asked the Court to tare the weight of those comments</w:t>
      </w:r>
      <w:r>
        <w:rPr>
          <w:rFonts w:ascii="Times New Roman" w:eastAsia="Times New Roman" w:hAnsi="Times New Roman"/>
          <w:sz w:val="24"/>
          <w:szCs w:val="24"/>
        </w:rPr>
        <w:t xml:space="preserve">…. </w:t>
      </w:r>
      <w:r w:rsidRPr="00B86ECC">
        <w:rPr>
          <w:rFonts w:ascii="Times New Roman" w:hAnsi="Times New Roman"/>
          <w:sz w:val="24"/>
          <w:szCs w:val="24"/>
        </w:rPr>
        <w:t xml:space="preserve">Defendants are off base in arguing that Flynn's stray remarks should count for nothing at all. The Seventh Circuit has reminded courts, however, that its cases “should not be overread to mean that ‘stray remarks' of a derogatory character are never evidence of discrimination. What our cases hold . . . is that if someone not involved in the decision making in a plaintiff's case </w:t>
      </w:r>
      <w:r w:rsidRPr="00B86ECC">
        <w:rPr>
          <w:rFonts w:ascii="Times New Roman" w:eastAsia="Times New Roman" w:hAnsi="Times New Roman"/>
          <w:sz w:val="24"/>
          <w:szCs w:val="24"/>
        </w:rPr>
        <w:t xml:space="preserve">expressed discriminatory feelings, that is not evidence that the decision was discriminatory.” </w:t>
      </w:r>
      <w:r w:rsidRPr="00B86ECC">
        <w:rPr>
          <w:rFonts w:ascii="Times New Roman" w:eastAsia="Times New Roman" w:hAnsi="Times New Roman"/>
          <w:i/>
          <w:iCs/>
          <w:sz w:val="24"/>
          <w:szCs w:val="24"/>
        </w:rPr>
        <w:t>Gorence v. Eagle Food Centers, Inc.</w:t>
      </w:r>
      <w:r w:rsidRPr="00B86ECC">
        <w:rPr>
          <w:rFonts w:ascii="Times New Roman" w:eastAsia="Times New Roman" w:hAnsi="Times New Roman"/>
          <w:sz w:val="24"/>
          <w:szCs w:val="24"/>
        </w:rPr>
        <w:t>, 242 F.3d 759, 762 (7th Cir. 2001). Here, Flynn was the decisionmaker in this case, so his derogatory remarks, even if unrelated to an employment decision, can support Williams' case.</w:t>
      </w:r>
      <w:r w:rsidRPr="00B86ECC">
        <w:rPr>
          <w:rFonts w:ascii="Times New Roman" w:hAnsi="Times New Roman"/>
          <w:sz w:val="24"/>
          <w:szCs w:val="24"/>
        </w:rPr>
        <w:t>”</w:t>
      </w:r>
      <w:r>
        <w:t xml:space="preserve"> </w:t>
      </w:r>
      <w:hyperlink r:id="rId1558" w:history="1">
        <w:r w:rsidRPr="00075C00">
          <w:rPr>
            <w:rStyle w:val="Hyperlink"/>
          </w:rPr>
          <w:t>https://public.fastcase.com/9SKwsfNqTc6OieYDhNMyM2CFW33xyjvV9V9tDamXdBOoRSeaTiz5NEXWtNHJhMGDLmAvOr1CXJk0EV3MUdbM2l1WIYIXZemQzLeI%2BSSBPyk%3D</w:t>
        </w:r>
      </w:hyperlink>
    </w:p>
    <w:p w14:paraId="544C1A34" w14:textId="77777777" w:rsidR="00C67B2A" w:rsidRPr="00EF65E0" w:rsidRDefault="00C67B2A" w:rsidP="00C67B2A">
      <w:pPr>
        <w:tabs>
          <w:tab w:val="left" w:pos="3280"/>
        </w:tabs>
        <w:spacing w:before="100" w:beforeAutospacing="1" w:after="100" w:afterAutospacing="1" w:line="240" w:lineRule="auto"/>
        <w:rPr>
          <w:rFonts w:ascii="Times New Roman" w:hAnsi="Times New Roman"/>
          <w:b/>
          <w:bCs/>
          <w:sz w:val="24"/>
          <w:szCs w:val="24"/>
        </w:rPr>
      </w:pPr>
      <w:r w:rsidRPr="00EF65E0">
        <w:rPr>
          <w:rFonts w:ascii="Times New Roman" w:hAnsi="Times New Roman"/>
          <w:b/>
          <w:bCs/>
          <w:sz w:val="24"/>
          <w:szCs w:val="24"/>
        </w:rPr>
        <w:t>Legal Lesson Learned:</w:t>
      </w:r>
      <w:r>
        <w:rPr>
          <w:rFonts w:ascii="Times New Roman" w:hAnsi="Times New Roman"/>
          <w:b/>
          <w:bCs/>
          <w:sz w:val="24"/>
          <w:szCs w:val="24"/>
        </w:rPr>
        <w:t xml:space="preserve"> “Stray remarks” by police or fire chiefs, and other executives in hiring and promotion process, can come back to “bite” in employment litigation. </w:t>
      </w:r>
    </w:p>
    <w:p w14:paraId="7551BE8F" w14:textId="77777777" w:rsidR="00C67B2A" w:rsidRDefault="00C67B2A" w:rsidP="00BC70A3">
      <w:pPr>
        <w:rPr>
          <w:rFonts w:ascii="Arial Black" w:hAnsi="Arial Black"/>
          <w:b/>
          <w:sz w:val="24"/>
          <w:szCs w:val="24"/>
        </w:rPr>
      </w:pPr>
    </w:p>
    <w:p w14:paraId="30422B31" w14:textId="45BD2C23" w:rsidR="009A3D9F" w:rsidRDefault="009A3D9F" w:rsidP="00BC70A3">
      <w:pPr>
        <w:rPr>
          <w:rFonts w:ascii="Arial Black" w:hAnsi="Arial Black"/>
          <w:b/>
          <w:sz w:val="24"/>
          <w:szCs w:val="24"/>
        </w:rPr>
      </w:pPr>
      <w:r>
        <w:rPr>
          <w:rFonts w:ascii="Arial Black" w:hAnsi="Arial Black"/>
          <w:b/>
          <w:sz w:val="24"/>
          <w:szCs w:val="24"/>
        </w:rPr>
        <w:t>8-33</w:t>
      </w:r>
    </w:p>
    <w:p w14:paraId="50D0EC29" w14:textId="77777777" w:rsidR="009A3D9F" w:rsidRPr="00A14A14" w:rsidRDefault="009A3D9F" w:rsidP="009A3D9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RECRUIT FAILED VERTICAL VENTILTION TESTS 9 TIMES - TERMINATED – NOT RACE DISCRIMINATION</w:t>
      </w:r>
    </w:p>
    <w:p w14:paraId="536124E3" w14:textId="73026742" w:rsidR="009A3D9F" w:rsidRDefault="009A3D9F" w:rsidP="009A3D9F">
      <w:pPr>
        <w:rPr>
          <w:rStyle w:val="Hyperlink"/>
          <w:rFonts w:ascii="Times New Roman" w:hAnsi="Times New Roman"/>
          <w:sz w:val="24"/>
          <w:szCs w:val="24"/>
        </w:rPr>
      </w:pPr>
      <w:r>
        <w:rPr>
          <w:rFonts w:ascii="Times New Roman" w:hAnsi="Times New Roman"/>
          <w:sz w:val="24"/>
          <w:szCs w:val="24"/>
        </w:rPr>
        <w:t xml:space="preserve">On Sept. 7, 2021, in </w:t>
      </w:r>
      <w:r w:rsidRPr="00D11452">
        <w:rPr>
          <w:rFonts w:ascii="Times New Roman" w:hAnsi="Times New Roman"/>
          <w:sz w:val="24"/>
          <w:szCs w:val="24"/>
          <w:u w:val="single"/>
        </w:rPr>
        <w:t>Major Smith, III v. City of Toledo, et al</w:t>
      </w:r>
      <w:r>
        <w:rPr>
          <w:rFonts w:ascii="Times New Roman" w:hAnsi="Times New Roman"/>
          <w:sz w:val="24"/>
          <w:szCs w:val="24"/>
        </w:rPr>
        <w:t xml:space="preserve">., </w:t>
      </w:r>
      <w:r w:rsidRPr="0080716B">
        <w:rPr>
          <w:rFonts w:ascii="Times New Roman" w:eastAsia="Times New Roman" w:hAnsi="Times New Roman"/>
          <w:sz w:val="24"/>
          <w:szCs w:val="24"/>
        </w:rPr>
        <w:t>13 F.4th 508</w:t>
      </w:r>
      <w:r>
        <w:rPr>
          <w:rFonts w:ascii="Times New Roman" w:eastAsia="Times New Roman" w:hAnsi="Times New Roman"/>
          <w:sz w:val="24"/>
          <w:szCs w:val="24"/>
        </w:rPr>
        <w:t xml:space="preserve">, </w:t>
      </w:r>
      <w:r>
        <w:rPr>
          <w:rFonts w:ascii="Times New Roman" w:hAnsi="Times New Roman"/>
          <w:sz w:val="24"/>
          <w:szCs w:val="24"/>
        </w:rPr>
        <w:t>the U.S. Court of Appeals for the 6</w:t>
      </w:r>
      <w:r w:rsidRPr="00D11452">
        <w:rPr>
          <w:rFonts w:ascii="Times New Roman" w:hAnsi="Times New Roman"/>
          <w:sz w:val="24"/>
          <w:szCs w:val="24"/>
          <w:vertAlign w:val="superscript"/>
        </w:rPr>
        <w:t>th</w:t>
      </w:r>
      <w:r>
        <w:rPr>
          <w:rFonts w:ascii="Times New Roman" w:hAnsi="Times New Roman"/>
          <w:sz w:val="24"/>
          <w:szCs w:val="24"/>
        </w:rPr>
        <w:t xml:space="preserve"> Circuit (Cincinnati) held (2 to 1) that trial court judge properly granted summary judgment to the City of Toledo. The recruit class of 29 recruits, including three </w:t>
      </w:r>
      <w:proofErr w:type="gramStart"/>
      <w:r>
        <w:rPr>
          <w:rFonts w:ascii="Times New Roman" w:hAnsi="Times New Roman"/>
          <w:sz w:val="24"/>
          <w:szCs w:val="24"/>
        </w:rPr>
        <w:t>African-Americans</w:t>
      </w:r>
      <w:proofErr w:type="gramEnd"/>
      <w:r>
        <w:rPr>
          <w:rFonts w:ascii="Times New Roman" w:hAnsi="Times New Roman"/>
          <w:sz w:val="24"/>
          <w:szCs w:val="24"/>
        </w:rPr>
        <w:t xml:space="preserve"> and two Hispanics, “</w:t>
      </w:r>
      <w:r w:rsidRPr="00D25789">
        <w:rPr>
          <w:rFonts w:ascii="Times New Roman" w:hAnsi="Times New Roman"/>
          <w:sz w:val="24"/>
          <w:szCs w:val="24"/>
        </w:rPr>
        <w:t>twenty-seven passed the vertical ventilation test on the first try; the twenty-eighth passed on his second try; Smith never passed, despite nine attempts.</w:t>
      </w:r>
      <w:r>
        <w:rPr>
          <w:rFonts w:ascii="Times New Roman" w:hAnsi="Times New Roman"/>
          <w:sz w:val="24"/>
          <w:szCs w:val="24"/>
        </w:rPr>
        <w:t xml:space="preserve">”  </w:t>
      </w:r>
      <w:hyperlink r:id="rId1559" w:history="1">
        <w:r w:rsidRPr="00A83547">
          <w:rPr>
            <w:rStyle w:val="Hyperlink"/>
            <w:rFonts w:ascii="Times New Roman" w:hAnsi="Times New Roman"/>
            <w:sz w:val="24"/>
            <w:szCs w:val="24"/>
          </w:rPr>
          <w:t>https://casetext.com/case/smith-v-city-of-toledo</w:t>
        </w:r>
      </w:hyperlink>
    </w:p>
    <w:p w14:paraId="41CEC49E" w14:textId="77777777" w:rsidR="009A3D9F" w:rsidRPr="00D91B7C" w:rsidRDefault="009A3D9F" w:rsidP="009A3D9F">
      <w:pPr>
        <w:spacing w:before="100" w:beforeAutospacing="1" w:after="100" w:afterAutospacing="1" w:line="240" w:lineRule="auto"/>
        <w:rPr>
          <w:rFonts w:ascii="Times New Roman" w:eastAsia="Times New Roman" w:hAnsi="Times New Roman"/>
          <w:b/>
          <w:bCs/>
          <w:sz w:val="24"/>
          <w:szCs w:val="24"/>
        </w:rPr>
      </w:pPr>
      <w:r w:rsidRPr="00D91B7C">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Race discrimination not proved; the FD gave him additional </w:t>
      </w:r>
      <w:proofErr w:type="gramStart"/>
      <w:r>
        <w:rPr>
          <w:rFonts w:ascii="Times New Roman" w:eastAsia="Times New Roman" w:hAnsi="Times New Roman"/>
          <w:b/>
          <w:bCs/>
          <w:sz w:val="24"/>
          <w:szCs w:val="24"/>
        </w:rPr>
        <w:t>opportunities</w:t>
      </w:r>
      <w:proofErr w:type="gramEnd"/>
      <w:r>
        <w:rPr>
          <w:rFonts w:ascii="Times New Roman" w:eastAsia="Times New Roman" w:hAnsi="Times New Roman"/>
          <w:b/>
          <w:bCs/>
          <w:sz w:val="24"/>
          <w:szCs w:val="24"/>
        </w:rPr>
        <w:t xml:space="preserve"> but he still couldn’t pass the vertical ventilation.  </w:t>
      </w:r>
    </w:p>
    <w:p w14:paraId="3459B0D3" w14:textId="77777777" w:rsidR="009A3D9F" w:rsidRPr="00552E8D" w:rsidRDefault="009A3D9F" w:rsidP="009A3D9F">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w:t>
      </w:r>
      <w:r w:rsidRPr="00142F8E">
        <w:rPr>
          <w:rFonts w:ascii="Times New Roman" w:eastAsia="Times New Roman" w:hAnsi="Times New Roman"/>
          <w:sz w:val="24"/>
          <w:szCs w:val="24"/>
        </w:rPr>
        <w:t xml:space="preserve">Judge </w:t>
      </w:r>
      <w:r w:rsidRPr="00142F8E">
        <w:rPr>
          <w:rFonts w:ascii="Times New Roman" w:hAnsi="Times New Roman"/>
          <w:sz w:val="24"/>
          <w:szCs w:val="24"/>
        </w:rPr>
        <w:t>HELENE N. WHITE, Circuit Judge, concurring in part and dissenting in part.</w:t>
      </w:r>
      <w:r>
        <w:rPr>
          <w:rFonts w:ascii="Times New Roman" w:hAnsi="Times New Roman"/>
          <w:sz w:val="24"/>
          <w:szCs w:val="24"/>
        </w:rPr>
        <w:t xml:space="preserve"> “</w:t>
      </w:r>
      <w:r w:rsidRPr="00142F8E">
        <w:rPr>
          <w:rFonts w:ascii="Times New Roman" w:hAnsi="Times New Roman"/>
          <w:sz w:val="24"/>
          <w:szCs w:val="24"/>
        </w:rPr>
        <w:t>I agree that the district court properly granted summary judgment to the City of Toledo on Smith's § 1983 and intentional-infliction-of-emotional-distress claims and properly denied Smith's motion for additional discovery. However, because there is a genuine dispute of material fact about whether the City dismissed Smith from the academy because of his race, I would reverse the grant of summary judgment on Smith's discrimination and conspiracy claims.</w:t>
      </w:r>
      <w:r>
        <w:rPr>
          <w:rFonts w:ascii="Times New Roman" w:hAnsi="Times New Roman"/>
          <w:sz w:val="24"/>
          <w:szCs w:val="24"/>
        </w:rPr>
        <w:t xml:space="preserve">*** </w:t>
      </w:r>
      <w:r w:rsidRPr="00142F8E">
        <w:rPr>
          <w:rFonts w:ascii="Times New Roman" w:hAnsi="Times New Roman"/>
          <w:sz w:val="24"/>
          <w:szCs w:val="24"/>
        </w:rPr>
        <w:t>And, since 2014, 80% of the recruits who were dismissed from the Academy were African American, and the remaining 20% were Hispanic, despite African Americans making up a minority of the class. This further supports an inference of discrimination.</w:t>
      </w:r>
      <w:r>
        <w:rPr>
          <w:rFonts w:ascii="Times New Roman" w:hAnsi="Times New Roman"/>
          <w:sz w:val="24"/>
          <w:szCs w:val="24"/>
        </w:rPr>
        <w:t>”</w:t>
      </w:r>
    </w:p>
    <w:p w14:paraId="3E403F72" w14:textId="77777777" w:rsidR="009A3D9F" w:rsidRDefault="009A3D9F" w:rsidP="009A3D9F">
      <w:pPr>
        <w:rPr>
          <w:rFonts w:ascii="Arial Black" w:hAnsi="Arial Black"/>
          <w:b/>
          <w:sz w:val="24"/>
          <w:szCs w:val="24"/>
        </w:rPr>
      </w:pPr>
    </w:p>
    <w:p w14:paraId="44206D7E" w14:textId="77777777" w:rsidR="009A3D9F" w:rsidRDefault="009A3D9F" w:rsidP="00BC70A3">
      <w:pPr>
        <w:rPr>
          <w:rFonts w:ascii="Arial Black" w:hAnsi="Arial Black"/>
          <w:b/>
          <w:sz w:val="24"/>
          <w:szCs w:val="24"/>
        </w:rPr>
      </w:pPr>
    </w:p>
    <w:p w14:paraId="69C0FAB5" w14:textId="77777777" w:rsidR="009A3D9F" w:rsidRDefault="009A3D9F" w:rsidP="00BC70A3">
      <w:pPr>
        <w:rPr>
          <w:rFonts w:ascii="Arial Black" w:hAnsi="Arial Black"/>
          <w:b/>
          <w:sz w:val="24"/>
          <w:szCs w:val="24"/>
        </w:rPr>
      </w:pPr>
    </w:p>
    <w:p w14:paraId="5E7664AC" w14:textId="2B15433B" w:rsidR="00BD1702" w:rsidRDefault="00BD1702" w:rsidP="00BC70A3">
      <w:pPr>
        <w:rPr>
          <w:rFonts w:ascii="Arial Black" w:hAnsi="Arial Black"/>
          <w:b/>
          <w:sz w:val="24"/>
          <w:szCs w:val="24"/>
        </w:rPr>
      </w:pPr>
      <w:r>
        <w:rPr>
          <w:rFonts w:ascii="Arial Black" w:hAnsi="Arial Black"/>
          <w:b/>
          <w:sz w:val="24"/>
          <w:szCs w:val="24"/>
        </w:rPr>
        <w:t>8-32</w:t>
      </w:r>
    </w:p>
    <w:p w14:paraId="1CEE932C" w14:textId="77777777" w:rsidR="00BD1702" w:rsidRDefault="00BD1702" w:rsidP="00BD170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MI: FF OF ARAB DISSENT – IMAGES OF CAMEL / SLURS - HOSTILE WORK ATMOSPHERE – LAWSUIT REINSTATED</w:t>
      </w:r>
    </w:p>
    <w:p w14:paraId="0790AF18" w14:textId="77777777" w:rsidR="00BD1702" w:rsidRDefault="00BD1702" w:rsidP="00BD1702">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Sept. 16, 2021, in </w:t>
      </w:r>
      <w:r>
        <w:rPr>
          <w:rStyle w:val="markedcontent"/>
          <w:rFonts w:ascii="Times New Roman" w:hAnsi="Times New Roman"/>
          <w:sz w:val="24"/>
          <w:szCs w:val="24"/>
          <w:u w:val="single"/>
        </w:rPr>
        <w:t>Richard Cadoura v. Flat Rock Fire Department, et al</w:t>
      </w:r>
      <w:r>
        <w:rPr>
          <w:rStyle w:val="markedcontent"/>
          <w:rFonts w:ascii="Times New Roman" w:hAnsi="Times New Roman"/>
          <w:sz w:val="24"/>
          <w:szCs w:val="24"/>
        </w:rPr>
        <w:t xml:space="preserve">., the State of Michigan Court of Appeals, held (3 to 0), in an unpublished decision, that trial court judge improperly dismissed the lawsuit because of “simple teasing” during the firefighter’s 15 months of probation with the fire department.  The Court of Appeals strongly disagreed. </w:t>
      </w:r>
    </w:p>
    <w:p w14:paraId="5499D05C" w14:textId="77777777" w:rsidR="00BD1702" w:rsidRDefault="00BD1702" w:rsidP="00BD1702">
      <w:pPr>
        <w:spacing w:before="100" w:beforeAutospacing="1" w:after="100" w:afterAutospacing="1" w:line="240" w:lineRule="auto"/>
        <w:ind w:left="720"/>
        <w:rPr>
          <w:rStyle w:val="markedcontent"/>
          <w:rFonts w:ascii="Times New Roman" w:hAnsi="Times New Roman"/>
          <w:sz w:val="24"/>
          <w:szCs w:val="24"/>
        </w:rPr>
      </w:pPr>
      <w:r w:rsidRPr="000A41C2">
        <w:rPr>
          <w:rStyle w:val="markedcontent"/>
          <w:rFonts w:ascii="Times New Roman" w:hAnsi="Times New Roman"/>
          <w:sz w:val="24"/>
          <w:szCs w:val="24"/>
        </w:rPr>
        <w:t xml:space="preserve">“In this case, plaintiff presented evidence sufficient to create a genuine issue of material fact regarding whether there was </w:t>
      </w:r>
      <w:r w:rsidRPr="000A41C2">
        <w:rPr>
          <w:rFonts w:ascii="Times New Roman" w:hAnsi="Times New Roman"/>
          <w:sz w:val="24"/>
          <w:szCs w:val="24"/>
        </w:rPr>
        <w:t xml:space="preserve">an intimidating, hostile, and offensive work environment. There was documentary evidence of the text message with an image of a camel, the questioning of plaintiff’s parentage in regard to his son, the ‘sand n****r’ slur, the playing of Arabic music over the firetruck’s PA system on multiple occasions, the beheaded camel figurine with an American flag stuck in it, and the references to towels being used for cleaning and not to wear on one’s head. In conjunction with that evidence, there was plaintiff’s testimony regarding his work conditions and his claimed mistreatment and harassment by full-timers and by Sergeant Rose, as well as his testimony that AFC Hammond and Fire Chief </w:t>
      </w:r>
      <w:proofErr w:type="spellStart"/>
      <w:r w:rsidRPr="000A41C2">
        <w:rPr>
          <w:rFonts w:ascii="Times New Roman" w:hAnsi="Times New Roman"/>
          <w:sz w:val="24"/>
          <w:szCs w:val="24"/>
        </w:rPr>
        <w:t>Vack</w:t>
      </w:r>
      <w:proofErr w:type="spellEnd"/>
      <w:r w:rsidRPr="000A41C2">
        <w:rPr>
          <w:rFonts w:ascii="Times New Roman" w:hAnsi="Times New Roman"/>
          <w:sz w:val="24"/>
          <w:szCs w:val="24"/>
        </w:rPr>
        <w:t xml:space="preserve"> did nothing to address or alleviate the toxic environment. We conclude that the trial court erred by determining </w:t>
      </w:r>
      <w:r w:rsidRPr="000A41C2">
        <w:rPr>
          <w:rFonts w:ascii="Times New Roman" w:hAnsi="Times New Roman"/>
          <w:sz w:val="24"/>
          <w:szCs w:val="24"/>
        </w:rPr>
        <w:br/>
      </w:r>
      <w:r w:rsidRPr="000A41C2">
        <w:rPr>
          <w:rStyle w:val="markedcontent"/>
          <w:rFonts w:ascii="Times New Roman" w:hAnsi="Times New Roman"/>
          <w:sz w:val="24"/>
          <w:szCs w:val="24"/>
        </w:rPr>
        <w:t>as a matter of law that there was no hostile work environment.”</w:t>
      </w:r>
      <w:r>
        <w:rPr>
          <w:rFonts w:ascii="Times New Roman" w:hAnsi="Times New Roman"/>
          <w:sz w:val="24"/>
          <w:szCs w:val="24"/>
        </w:rPr>
        <w:t xml:space="preserve"> </w:t>
      </w:r>
      <w:hyperlink r:id="rId1560" w:history="1">
        <w:r>
          <w:rPr>
            <w:rStyle w:val="Hyperlink"/>
            <w:sz w:val="24"/>
            <w:szCs w:val="24"/>
          </w:rPr>
          <w:t>https://www.courts.mi.gov/4a7f39/siteassets/case-documents/uploads/opinions/final/coa/20210916_c353618_41_353618.opn.pdf</w:t>
        </w:r>
      </w:hyperlink>
      <w:r>
        <w:rPr>
          <w:rStyle w:val="markedcontent"/>
          <w:rFonts w:ascii="Times New Roman" w:hAnsi="Times New Roman"/>
          <w:sz w:val="24"/>
          <w:szCs w:val="24"/>
        </w:rPr>
        <w:t xml:space="preserve"> </w:t>
      </w:r>
    </w:p>
    <w:p w14:paraId="299A1175" w14:textId="77777777" w:rsidR="00BD1702" w:rsidRDefault="00BD1702" w:rsidP="00BD1702">
      <w:pPr>
        <w:pStyle w:val="docdate"/>
        <w:rPr>
          <w:rStyle w:val="markedcontent"/>
          <w:rFonts w:eastAsiaTheme="majorEastAsia"/>
          <w:b/>
          <w:bCs/>
        </w:rPr>
      </w:pPr>
      <w:r>
        <w:rPr>
          <w:rStyle w:val="markedcontent"/>
          <w:rFonts w:eastAsiaTheme="majorEastAsia"/>
          <w:b/>
          <w:bCs/>
        </w:rPr>
        <w:t>Legal Lesson Learned:  Firefighters must understand that their acts of “simple teasing” can be very harmful, and officers have an obligation to prevent a hostile work atmosphere.</w:t>
      </w:r>
    </w:p>
    <w:p w14:paraId="640B75EA" w14:textId="77777777" w:rsidR="00BD1702" w:rsidRDefault="00BD1702" w:rsidP="00BC70A3">
      <w:pPr>
        <w:rPr>
          <w:rFonts w:ascii="Arial Black" w:hAnsi="Arial Black"/>
          <w:b/>
          <w:sz w:val="24"/>
          <w:szCs w:val="24"/>
        </w:rPr>
      </w:pPr>
    </w:p>
    <w:p w14:paraId="6A09C869" w14:textId="7F00FD89" w:rsidR="00BD263B" w:rsidRDefault="00BD263B" w:rsidP="00BC70A3">
      <w:pPr>
        <w:rPr>
          <w:rFonts w:ascii="Arial Black" w:hAnsi="Arial Black"/>
          <w:b/>
          <w:sz w:val="24"/>
          <w:szCs w:val="24"/>
        </w:rPr>
      </w:pPr>
      <w:r>
        <w:rPr>
          <w:rFonts w:ascii="Arial Black" w:hAnsi="Arial Black"/>
          <w:b/>
          <w:sz w:val="24"/>
          <w:szCs w:val="24"/>
        </w:rPr>
        <w:t>8-31</w:t>
      </w:r>
    </w:p>
    <w:p w14:paraId="60AEBF23" w14:textId="77777777" w:rsidR="00BD263B" w:rsidRDefault="00BD263B" w:rsidP="00BD263B">
      <w:pPr>
        <w:pStyle w:val="NoSpacing"/>
        <w:rPr>
          <w:rFonts w:ascii="Arial Black" w:hAnsi="Arial Black"/>
          <w:sz w:val="28"/>
          <w:szCs w:val="28"/>
        </w:rPr>
      </w:pPr>
      <w:bookmarkStart w:id="317" w:name="_Hlk81842350"/>
      <w:r>
        <w:rPr>
          <w:rFonts w:ascii="Arial Black" w:hAnsi="Arial Black"/>
          <w:sz w:val="28"/>
          <w:szCs w:val="28"/>
        </w:rPr>
        <w:t>NY:  FDNY – SCBAs – FD NOW FOLLOWING OSHA NO BEARD REQUIREMENT – ADA LAWSUIT BY BLACK FF DISMISSED</w:t>
      </w:r>
    </w:p>
    <w:bookmarkEnd w:id="317"/>
    <w:p w14:paraId="2AE784D9" w14:textId="77777777" w:rsidR="00BD263B" w:rsidRDefault="00BD263B" w:rsidP="00BD263B">
      <w:pPr>
        <w:pStyle w:val="NoSpacing"/>
        <w:rPr>
          <w:rFonts w:ascii="Arial Black" w:hAnsi="Arial Black"/>
          <w:sz w:val="28"/>
          <w:szCs w:val="28"/>
        </w:rPr>
      </w:pPr>
    </w:p>
    <w:p w14:paraId="0EE0383A" w14:textId="77777777" w:rsidR="00BD263B" w:rsidRDefault="00BD263B" w:rsidP="00BD263B">
      <w:pPr>
        <w:pStyle w:val="NoSpacing"/>
        <w:rPr>
          <w:rFonts w:ascii="Times New Roman" w:hAnsi="Times New Roman"/>
          <w:sz w:val="24"/>
          <w:szCs w:val="24"/>
        </w:rPr>
      </w:pPr>
      <w:r>
        <w:rPr>
          <w:rFonts w:ascii="Times New Roman" w:hAnsi="Times New Roman"/>
          <w:sz w:val="24"/>
          <w:szCs w:val="24"/>
        </w:rPr>
        <w:t xml:space="preserve">On June 9, 2021, in </w:t>
      </w:r>
      <w:r>
        <w:rPr>
          <w:rFonts w:ascii="Times New Roman" w:hAnsi="Times New Roman"/>
          <w:sz w:val="24"/>
          <w:szCs w:val="24"/>
          <w:u w:val="single"/>
        </w:rPr>
        <w:t>Sa</w:t>
      </w:r>
      <w:r w:rsidRPr="00730B7F">
        <w:rPr>
          <w:rFonts w:ascii="Times New Roman" w:hAnsi="Times New Roman"/>
          <w:sz w:val="24"/>
          <w:szCs w:val="24"/>
          <w:u w:val="single"/>
        </w:rPr>
        <w:t>lik Bey, Terrel Joseph, Steven Seymour, Clyde Phillips v. City of New York</w:t>
      </w:r>
      <w:r>
        <w:rPr>
          <w:rFonts w:ascii="Times New Roman" w:hAnsi="Times New Roman"/>
          <w:sz w:val="24"/>
          <w:szCs w:val="24"/>
        </w:rPr>
        <w:t xml:space="preserve">, the U.S. Court of Appeals for the Second District (New York City), held (3 to 0) that the U.S. District Court incorrectly found a violation of the ADA for enforcing a strict grooming policy. </w:t>
      </w:r>
    </w:p>
    <w:p w14:paraId="4AD9AFCF" w14:textId="77777777" w:rsidR="00BD263B" w:rsidRDefault="00BD263B" w:rsidP="00BD263B">
      <w:pPr>
        <w:pStyle w:val="NoSpacing"/>
        <w:rPr>
          <w:rFonts w:ascii="Times New Roman" w:hAnsi="Times New Roman"/>
          <w:sz w:val="24"/>
          <w:szCs w:val="24"/>
        </w:rPr>
      </w:pPr>
    </w:p>
    <w:p w14:paraId="1C3A6E85" w14:textId="77777777" w:rsidR="00BD263B" w:rsidRPr="00264EF8" w:rsidRDefault="00BD263B" w:rsidP="00BD263B">
      <w:pPr>
        <w:pStyle w:val="NoSpacing"/>
        <w:ind w:left="720"/>
        <w:rPr>
          <w:rFonts w:ascii="Times New Roman" w:hAnsi="Times New Roman"/>
          <w:sz w:val="24"/>
          <w:szCs w:val="24"/>
        </w:rPr>
      </w:pPr>
      <w:r>
        <w:rPr>
          <w:rFonts w:ascii="Times New Roman" w:hAnsi="Times New Roman"/>
          <w:sz w:val="24"/>
          <w:szCs w:val="24"/>
        </w:rPr>
        <w:t>“</w:t>
      </w:r>
      <w:r w:rsidRPr="00264EF8">
        <w:rPr>
          <w:rFonts w:ascii="Times New Roman" w:hAnsi="Times New Roman"/>
          <w:sz w:val="24"/>
          <w:szCs w:val="24"/>
        </w:rPr>
        <w:t xml:space="preserve">The fact that no adverse safety events were reported during the period when the FDNY permitted the Firefighters to avoid shaving does not now preclude the FDNY from enforcing the respiratory-protection standard as written. Nor does the fact that the FDNY previously permitted the Firefighters to maintain short beards. The regulation at issue is of OSHA’s devising, not the FDNY’s. </w:t>
      </w:r>
    </w:p>
    <w:p w14:paraId="08AEA163" w14:textId="77777777" w:rsidR="00BD263B" w:rsidRDefault="00BD263B" w:rsidP="00BD263B">
      <w:pPr>
        <w:pStyle w:val="NoSpacing"/>
        <w:rPr>
          <w:rFonts w:ascii="Times New Roman" w:hAnsi="Times New Roman"/>
          <w:sz w:val="24"/>
          <w:szCs w:val="24"/>
        </w:rPr>
      </w:pPr>
      <w:r>
        <w:rPr>
          <w:rFonts w:ascii="Times New Roman" w:hAnsi="Times New Roman"/>
          <w:sz w:val="24"/>
          <w:szCs w:val="24"/>
        </w:rPr>
        <w:tab/>
        <w:t>***</w:t>
      </w:r>
    </w:p>
    <w:p w14:paraId="2E7207DE" w14:textId="77777777" w:rsidR="00BD263B" w:rsidRDefault="00BD263B" w:rsidP="00BD263B">
      <w:pPr>
        <w:pStyle w:val="NoSpacing"/>
        <w:rPr>
          <w:rFonts w:ascii="Times New Roman" w:hAnsi="Times New Roman"/>
          <w:sz w:val="24"/>
          <w:szCs w:val="24"/>
        </w:rPr>
      </w:pPr>
    </w:p>
    <w:p w14:paraId="70B1664E" w14:textId="67A48C43" w:rsidR="00BD263B" w:rsidRDefault="00BD263B" w:rsidP="00BD263B">
      <w:pPr>
        <w:rPr>
          <w:rFonts w:ascii="Arial Black" w:hAnsi="Arial Black"/>
          <w:b/>
          <w:sz w:val="24"/>
          <w:szCs w:val="24"/>
        </w:rPr>
      </w:pPr>
      <w:r w:rsidRPr="00730B7F">
        <w:rPr>
          <w:rFonts w:ascii="Times New Roman" w:hAnsi="Times New Roman"/>
          <w:sz w:val="24"/>
          <w:szCs w:val="24"/>
        </w:rPr>
        <w:t>At bottom, OSHA’s regulations are binding on the FDNY and prohibit the accommodation that the Firefighters seek</w:t>
      </w:r>
      <w:r>
        <w:rPr>
          <w:rFonts w:ascii="Times New Roman" w:hAnsi="Times New Roman"/>
          <w:sz w:val="24"/>
          <w:szCs w:val="24"/>
        </w:rPr>
        <w:t>.</w:t>
      </w:r>
      <w:r w:rsidRPr="00730B7F">
        <w:rPr>
          <w:rFonts w:ascii="Times New Roman" w:hAnsi="Times New Roman"/>
          <w:sz w:val="24"/>
          <w:szCs w:val="24"/>
        </w:rPr>
        <w:t xml:space="preserve"> </w:t>
      </w:r>
      <w:r>
        <w:rPr>
          <w:rFonts w:ascii="Times New Roman" w:hAnsi="Times New Roman"/>
          <w:sz w:val="24"/>
          <w:szCs w:val="24"/>
        </w:rPr>
        <w:t xml:space="preserve"> </w:t>
      </w:r>
      <w:r w:rsidRPr="00730B7F">
        <w:rPr>
          <w:rFonts w:ascii="Times New Roman" w:hAnsi="Times New Roman"/>
          <w:sz w:val="24"/>
          <w:szCs w:val="24"/>
        </w:rPr>
        <w:t>That ends the matter. Of course, the Firefighters retain the ability to present their evidence to OSHA if they continue to believe that the respiratory-protection standard is unduly restrictive; but it is OSHA to which such a challenge should be directed, not the FDNY, and not the courts.</w:t>
      </w:r>
      <w:r>
        <w:rPr>
          <w:rFonts w:ascii="Times New Roman" w:hAnsi="Times New Roman"/>
          <w:sz w:val="24"/>
          <w:szCs w:val="24"/>
        </w:rPr>
        <w:t xml:space="preserve">” </w:t>
      </w:r>
      <w:hyperlink r:id="rId1561" w:history="1">
        <w:r w:rsidRPr="00C10414">
          <w:rPr>
            <w:rStyle w:val="Hyperlink"/>
            <w:sz w:val="24"/>
            <w:szCs w:val="24"/>
          </w:rPr>
          <w:t>https://law.justia.com/cases/federal/appellate-courts/ca2/20-456/20-456-2021-06-09.html</w:t>
        </w:r>
      </w:hyperlink>
    </w:p>
    <w:p w14:paraId="73CB2904" w14:textId="77777777" w:rsidR="00BD263B" w:rsidRPr="00D648D1" w:rsidRDefault="00BD263B" w:rsidP="00BD263B">
      <w:pPr>
        <w:spacing w:after="0" w:line="240" w:lineRule="auto"/>
        <w:rPr>
          <w:rFonts w:ascii="Times New Roman" w:eastAsia="Times New Roman" w:hAnsi="Times New Roman"/>
          <w:b/>
          <w:bCs/>
          <w:sz w:val="24"/>
          <w:szCs w:val="24"/>
        </w:rPr>
      </w:pPr>
      <w:r w:rsidRPr="00264EF8">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OSHA regulations are being enforced by FDNY and the Court.</w:t>
      </w:r>
    </w:p>
    <w:p w14:paraId="53F18540" w14:textId="77777777" w:rsidR="00BD263B" w:rsidRDefault="00BD263B" w:rsidP="00BD263B">
      <w:pPr>
        <w:pStyle w:val="NormalWeb"/>
        <w:ind w:left="720"/>
      </w:pPr>
      <w:r w:rsidRPr="00264EF8">
        <w:t xml:space="preserve">Note:  The Court recognized prior decisions may have required </w:t>
      </w:r>
      <w:proofErr w:type="gramStart"/>
      <w:r w:rsidRPr="00264EF8">
        <w:t>accommodations</w:t>
      </w:r>
      <w:proofErr w:type="gramEnd"/>
      <w:r w:rsidRPr="00264EF8">
        <w:t>. “Footnote 7. The Firefighters identify several cases involving similar disputes between firefighters and fire departments that they see as supporting an alternative outcome. But those cases are distinguishable as they either stated that OSHA regulations were not binding on the defendant fire department, see Potter v. District of Columbia, 558 F.3d 542, 553 (D.C. Cir. 2009) (Williams, J., concurring); Fitzpatrick v. City of Atlanta, 2 F.3d 1112, 1121 (11th Cir. 1993), or failed to mention OSHA regulations altogether, see generally Kennedy v. District of Columbia, 654 A.2d 847 (D.C. 1994).</w:t>
      </w:r>
      <w:r>
        <w:t>”</w:t>
      </w:r>
    </w:p>
    <w:p w14:paraId="673C24DE" w14:textId="77777777" w:rsidR="00BD263B" w:rsidRDefault="00BD263B" w:rsidP="00BC70A3">
      <w:pPr>
        <w:rPr>
          <w:rFonts w:ascii="Arial Black" w:hAnsi="Arial Black"/>
          <w:b/>
          <w:sz w:val="24"/>
          <w:szCs w:val="24"/>
        </w:rPr>
      </w:pPr>
    </w:p>
    <w:p w14:paraId="297EB944" w14:textId="77777777" w:rsidR="00BD263B" w:rsidRDefault="00BD263B" w:rsidP="00BC70A3">
      <w:pPr>
        <w:rPr>
          <w:rFonts w:ascii="Arial Black" w:hAnsi="Arial Black"/>
          <w:b/>
          <w:sz w:val="24"/>
          <w:szCs w:val="24"/>
        </w:rPr>
      </w:pPr>
    </w:p>
    <w:p w14:paraId="2B335A1C" w14:textId="095F564F" w:rsidR="005217D5" w:rsidRDefault="005217D5" w:rsidP="00BC70A3">
      <w:pPr>
        <w:rPr>
          <w:rFonts w:ascii="Arial Black" w:hAnsi="Arial Black"/>
          <w:b/>
          <w:sz w:val="24"/>
          <w:szCs w:val="24"/>
        </w:rPr>
      </w:pPr>
      <w:r>
        <w:rPr>
          <w:rFonts w:ascii="Arial Black" w:hAnsi="Arial Black"/>
          <w:b/>
          <w:sz w:val="24"/>
          <w:szCs w:val="24"/>
        </w:rPr>
        <w:t>8-30</w:t>
      </w:r>
    </w:p>
    <w:p w14:paraId="2E9D4824" w14:textId="77777777" w:rsidR="005217D5" w:rsidRDefault="005217D5" w:rsidP="005217D5">
      <w:pPr>
        <w:spacing w:before="100" w:beforeAutospacing="1" w:after="100" w:afterAutospacing="1" w:line="240" w:lineRule="auto"/>
        <w:rPr>
          <w:rFonts w:ascii="Arial Black" w:eastAsia="Times New Roman" w:hAnsi="Arial Black"/>
          <w:b/>
          <w:bCs/>
          <w:sz w:val="28"/>
          <w:szCs w:val="28"/>
        </w:rPr>
      </w:pPr>
      <w:r w:rsidRPr="002C3E25">
        <w:rPr>
          <w:rFonts w:ascii="Arial Black" w:eastAsia="Times New Roman" w:hAnsi="Arial Black"/>
          <w:b/>
          <w:bCs/>
          <w:sz w:val="28"/>
          <w:szCs w:val="28"/>
        </w:rPr>
        <w:t>OH</w:t>
      </w:r>
      <w:r>
        <w:rPr>
          <w:rFonts w:ascii="Arial Black" w:eastAsia="Times New Roman" w:hAnsi="Arial Black"/>
          <w:b/>
          <w:bCs/>
          <w:sz w:val="28"/>
          <w:szCs w:val="28"/>
        </w:rPr>
        <w:t xml:space="preserve">: SHIFT CHANGE TO HAVE ONE “WHITE” OFFICER ON DUTY – LAWSUIT BY 5 BLACK EMS CAPTAINS REINSTATED </w:t>
      </w:r>
    </w:p>
    <w:p w14:paraId="62E55010" w14:textId="77777777" w:rsidR="005217D5" w:rsidRPr="00F82822" w:rsidRDefault="005217D5" w:rsidP="005217D5">
      <w:pPr>
        <w:spacing w:before="100" w:beforeAutospacing="1" w:after="100" w:afterAutospacing="1" w:line="240" w:lineRule="auto"/>
        <w:rPr>
          <w:rFonts w:ascii="Times New Roman" w:eastAsia="Times New Roman" w:hAnsi="Times New Roman"/>
          <w:sz w:val="24"/>
          <w:szCs w:val="24"/>
        </w:rPr>
      </w:pPr>
      <w:r w:rsidRPr="00002E7A">
        <w:rPr>
          <w:rFonts w:ascii="Times New Roman" w:eastAsia="Times New Roman" w:hAnsi="Times New Roman"/>
          <w:sz w:val="24"/>
          <w:szCs w:val="24"/>
        </w:rPr>
        <w:t xml:space="preserve">On July 26, 2021, in </w:t>
      </w:r>
      <w:r w:rsidRPr="00002E7A">
        <w:rPr>
          <w:rFonts w:ascii="Times New Roman" w:eastAsia="Times New Roman" w:hAnsi="Times New Roman"/>
          <w:sz w:val="24"/>
          <w:szCs w:val="24"/>
          <w:u w:val="single"/>
        </w:rPr>
        <w:t>Michael Threat; Margarita Noland-Moore; Pamela Beavers; Lawrence Walker; Reginald Anderson v. City of Cleveland, Ohio; Nicole Carlton, Personally and in her official capacity as Commissioner</w:t>
      </w:r>
      <w:r w:rsidRPr="00002E7A">
        <w:rPr>
          <w:rFonts w:ascii="Times New Roman" w:eastAsia="Times New Roman" w:hAnsi="Times New Roman"/>
          <w:sz w:val="24"/>
          <w:szCs w:val="24"/>
        </w:rPr>
        <w:t xml:space="preserve">, </w:t>
      </w:r>
      <w:r>
        <w:rPr>
          <w:rFonts w:ascii="Times New Roman" w:eastAsia="Times New Roman" w:hAnsi="Times New Roman"/>
          <w:sz w:val="24"/>
          <w:szCs w:val="24"/>
        </w:rPr>
        <w:t>the U.S. Court of Appeals for 6</w:t>
      </w:r>
      <w:r w:rsidRPr="00002E7A">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(Cincinnati) held (3 to 0) that trial court improperly held shift change was not a </w:t>
      </w:r>
      <w:r w:rsidRPr="00F82822">
        <w:rPr>
          <w:rFonts w:ascii="Times New Roman" w:hAnsi="Times New Roman"/>
          <w:sz w:val="24"/>
          <w:szCs w:val="24"/>
        </w:rPr>
        <w:t>"materially adverse employment action"</w:t>
      </w:r>
      <w:r>
        <w:rPr>
          <w:rFonts w:ascii="Times New Roman" w:hAnsi="Times New Roman"/>
          <w:sz w:val="24"/>
          <w:szCs w:val="24"/>
        </w:rPr>
        <w:t xml:space="preserve"> since Captain Reginald Anderson he was only transferred to nights for five months. The 6</w:t>
      </w:r>
      <w:r w:rsidRPr="00F82822">
        <w:rPr>
          <w:rFonts w:ascii="Times New Roman" w:hAnsi="Times New Roman"/>
          <w:sz w:val="24"/>
          <w:szCs w:val="24"/>
          <w:vertAlign w:val="superscript"/>
        </w:rPr>
        <w:t>th</w:t>
      </w:r>
      <w:r>
        <w:rPr>
          <w:rFonts w:ascii="Times New Roman" w:hAnsi="Times New Roman"/>
          <w:sz w:val="24"/>
          <w:szCs w:val="24"/>
        </w:rPr>
        <w:t xml:space="preserve"> Circuit </w:t>
      </w:r>
      <w:r>
        <w:rPr>
          <w:rFonts w:ascii="Times New Roman" w:eastAsia="Times New Roman" w:hAnsi="Times New Roman"/>
          <w:sz w:val="24"/>
          <w:szCs w:val="24"/>
        </w:rPr>
        <w:t xml:space="preserve">disagreed and reinstated his lawsuit; it also ordered the trial judge to reconsider the claims by the other 4 Captains </w:t>
      </w:r>
      <w:r w:rsidRPr="00F82822">
        <w:rPr>
          <w:rFonts w:ascii="Times New Roman" w:hAnsi="Times New Roman"/>
          <w:sz w:val="24"/>
          <w:szCs w:val="24"/>
        </w:rPr>
        <w:t>that the city's race-based assignment policy</w:t>
      </w:r>
      <w:r>
        <w:rPr>
          <w:rFonts w:ascii="Times New Roman" w:hAnsi="Times New Roman"/>
          <w:sz w:val="24"/>
          <w:szCs w:val="24"/>
        </w:rPr>
        <w:t xml:space="preserve"> adversely affected them.</w:t>
      </w:r>
      <w:r w:rsidRPr="00F82822">
        <w:rPr>
          <w:rFonts w:ascii="Times New Roman" w:hAnsi="Times New Roman"/>
          <w:sz w:val="24"/>
          <w:szCs w:val="24"/>
        </w:rPr>
        <w:t xml:space="preserve"> </w:t>
      </w:r>
    </w:p>
    <w:p w14:paraId="123D5E7E" w14:textId="77777777" w:rsidR="005217D5" w:rsidRDefault="005217D5" w:rsidP="005217D5">
      <w:pPr>
        <w:spacing w:before="100" w:beforeAutospacing="1" w:after="100" w:afterAutospacing="1" w:line="240" w:lineRule="auto"/>
        <w:ind w:left="720"/>
        <w:rPr>
          <w:rFonts w:ascii="Times New Roman" w:hAnsi="Times New Roman"/>
          <w:sz w:val="24"/>
          <w:szCs w:val="24"/>
        </w:rPr>
      </w:pPr>
      <w:r w:rsidRPr="002C1532">
        <w:rPr>
          <w:rFonts w:ascii="Times New Roman" w:hAnsi="Times New Roman"/>
          <w:sz w:val="24"/>
          <w:szCs w:val="24"/>
        </w:rPr>
        <w:t>“Do discriminatory shift changes based on race violate Title VII of the Civil Rights Act of 1964? We think so.</w:t>
      </w:r>
    </w:p>
    <w:p w14:paraId="575EB1BB"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66D54858" w14:textId="77777777" w:rsidR="005217D5" w:rsidRDefault="005217D5" w:rsidP="005217D5">
      <w:pPr>
        <w:spacing w:before="100" w:beforeAutospacing="1" w:after="100" w:afterAutospacing="1" w:line="240" w:lineRule="auto"/>
        <w:ind w:left="720"/>
        <w:rPr>
          <w:rFonts w:ascii="Times New Roman" w:hAnsi="Times New Roman"/>
          <w:sz w:val="24"/>
          <w:szCs w:val="24"/>
        </w:rPr>
      </w:pPr>
      <w:r w:rsidRPr="000D43D9">
        <w:rPr>
          <w:rFonts w:ascii="Times New Roman" w:hAnsi="Times New Roman"/>
          <w:sz w:val="24"/>
          <w:szCs w:val="24"/>
        </w:rPr>
        <w:t xml:space="preserve">There also is little room for debate that the city treated the black captains differently </w:t>
      </w:r>
      <w:r>
        <w:rPr>
          <w:rFonts w:ascii="Times New Roman" w:hAnsi="Times New Roman"/>
          <w:sz w:val="24"/>
          <w:szCs w:val="24"/>
        </w:rPr>
        <w:t>‘</w:t>
      </w:r>
      <w:r w:rsidRPr="000D43D9">
        <w:rPr>
          <w:rFonts w:ascii="Times New Roman" w:hAnsi="Times New Roman"/>
          <w:sz w:val="24"/>
          <w:szCs w:val="24"/>
        </w:rPr>
        <w:t>because of</w:t>
      </w:r>
      <w:r>
        <w:rPr>
          <w:rFonts w:ascii="Times New Roman" w:hAnsi="Times New Roman"/>
          <w:sz w:val="24"/>
          <w:szCs w:val="24"/>
        </w:rPr>
        <w:t>’</w:t>
      </w:r>
      <w:r w:rsidRPr="000D43D9">
        <w:rPr>
          <w:rFonts w:ascii="Times New Roman" w:hAnsi="Times New Roman"/>
          <w:sz w:val="24"/>
          <w:szCs w:val="24"/>
        </w:rPr>
        <w:t xml:space="preserve"> their </w:t>
      </w:r>
      <w:r>
        <w:rPr>
          <w:rFonts w:ascii="Times New Roman" w:hAnsi="Times New Roman"/>
          <w:sz w:val="24"/>
          <w:szCs w:val="24"/>
        </w:rPr>
        <w:t>‘</w:t>
      </w:r>
      <w:r w:rsidRPr="000D43D9">
        <w:rPr>
          <w:rFonts w:ascii="Times New Roman" w:hAnsi="Times New Roman"/>
          <w:sz w:val="24"/>
          <w:szCs w:val="24"/>
        </w:rPr>
        <w:t>race.</w:t>
      </w:r>
      <w:r>
        <w:rPr>
          <w:rFonts w:ascii="Times New Roman" w:hAnsi="Times New Roman"/>
          <w:sz w:val="24"/>
          <w:szCs w:val="24"/>
        </w:rPr>
        <w:t>’</w:t>
      </w:r>
      <w:r w:rsidRPr="000D43D9">
        <w:rPr>
          <w:rFonts w:ascii="Times New Roman" w:hAnsi="Times New Roman"/>
          <w:sz w:val="24"/>
          <w:szCs w:val="24"/>
        </w:rPr>
        <w:t xml:space="preserve"> </w:t>
      </w:r>
      <w:r>
        <w:rPr>
          <w:rFonts w:ascii="Times New Roman" w:hAnsi="Times New Roman"/>
          <w:sz w:val="24"/>
          <w:szCs w:val="24"/>
        </w:rPr>
        <w:t xml:space="preserve"> [Cleveland EMS Commission Nicole] </w:t>
      </w:r>
      <w:r w:rsidRPr="000D43D9">
        <w:rPr>
          <w:rFonts w:ascii="Times New Roman" w:hAnsi="Times New Roman"/>
          <w:sz w:val="24"/>
          <w:szCs w:val="24"/>
        </w:rPr>
        <w:t>Carlton admitted that she switched out a black captain for a white one to adjust the shift's racial makeup. That counts as direct evidence of discrimination based on race.</w:t>
      </w:r>
    </w:p>
    <w:p w14:paraId="1F454A03"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0351A19" w14:textId="77777777" w:rsidR="005217D5" w:rsidRPr="000D43D9" w:rsidRDefault="005217D5" w:rsidP="005217D5">
      <w:pPr>
        <w:spacing w:before="100" w:beforeAutospacing="1" w:after="100" w:afterAutospacing="1" w:line="240" w:lineRule="auto"/>
        <w:ind w:left="720"/>
        <w:rPr>
          <w:rFonts w:ascii="Times New Roman" w:eastAsia="Times New Roman" w:hAnsi="Times New Roman"/>
          <w:sz w:val="24"/>
          <w:szCs w:val="24"/>
        </w:rPr>
      </w:pPr>
      <w:r w:rsidRPr="000D43D9">
        <w:rPr>
          <w:rFonts w:ascii="Times New Roman" w:hAnsi="Times New Roman"/>
          <w:sz w:val="24"/>
          <w:szCs w:val="24"/>
        </w:rPr>
        <w:t xml:space="preserve">In this instance, employer-required shift changes from </w:t>
      </w:r>
      <w:proofErr w:type="gramStart"/>
      <w:r w:rsidRPr="000D43D9">
        <w:rPr>
          <w:rFonts w:ascii="Times New Roman" w:hAnsi="Times New Roman"/>
          <w:sz w:val="24"/>
          <w:szCs w:val="24"/>
        </w:rPr>
        <w:t>a preferred</w:t>
      </w:r>
      <w:proofErr w:type="gramEnd"/>
      <w:r w:rsidRPr="000D43D9">
        <w:rPr>
          <w:rFonts w:ascii="Times New Roman" w:hAnsi="Times New Roman"/>
          <w:sz w:val="24"/>
          <w:szCs w:val="24"/>
        </w:rPr>
        <w:t xml:space="preserve"> day to another day or from day shifts to night shifts exceed any de minimis exception, any fair construction of the anchoring words of Title VII, and for that matter any Article III injury requirement. Whether we refer to claims of discrimination based on race in </w:t>
      </w:r>
      <w:r>
        <w:rPr>
          <w:rFonts w:ascii="Times New Roman" w:hAnsi="Times New Roman"/>
          <w:sz w:val="24"/>
          <w:szCs w:val="24"/>
        </w:rPr>
        <w:t>‘</w:t>
      </w:r>
      <w:r w:rsidRPr="000D43D9">
        <w:rPr>
          <w:rFonts w:ascii="Times New Roman" w:hAnsi="Times New Roman"/>
          <w:sz w:val="24"/>
          <w:szCs w:val="24"/>
        </w:rPr>
        <w:t>terms</w:t>
      </w:r>
      <w:r>
        <w:rPr>
          <w:rFonts w:ascii="Times New Roman" w:hAnsi="Times New Roman"/>
          <w:sz w:val="24"/>
          <w:szCs w:val="24"/>
        </w:rPr>
        <w:t>’</w:t>
      </w:r>
      <w:r w:rsidRPr="000D43D9">
        <w:rPr>
          <w:rFonts w:ascii="Times New Roman" w:hAnsi="Times New Roman"/>
          <w:sz w:val="24"/>
          <w:szCs w:val="24"/>
        </w:rPr>
        <w:t xml:space="preserve"> or </w:t>
      </w:r>
      <w:r>
        <w:rPr>
          <w:rFonts w:ascii="Times New Roman" w:hAnsi="Times New Roman"/>
          <w:sz w:val="24"/>
          <w:szCs w:val="24"/>
        </w:rPr>
        <w:t>‘</w:t>
      </w:r>
      <w:r w:rsidRPr="000D43D9">
        <w:rPr>
          <w:rFonts w:ascii="Times New Roman" w:hAnsi="Times New Roman"/>
          <w:sz w:val="24"/>
          <w:szCs w:val="24"/>
        </w:rPr>
        <w:t>privileges</w:t>
      </w:r>
      <w:r>
        <w:rPr>
          <w:rFonts w:ascii="Times New Roman" w:hAnsi="Times New Roman"/>
          <w:sz w:val="24"/>
          <w:szCs w:val="24"/>
        </w:rPr>
        <w:t>’</w:t>
      </w:r>
      <w:r w:rsidRPr="000D43D9">
        <w:rPr>
          <w:rFonts w:ascii="Times New Roman" w:hAnsi="Times New Roman"/>
          <w:sz w:val="24"/>
          <w:szCs w:val="24"/>
        </w:rPr>
        <w:t xml:space="preserve"> of employment or to claims of discrimination based on race in </w:t>
      </w:r>
      <w:r>
        <w:rPr>
          <w:rFonts w:ascii="Times New Roman" w:hAnsi="Times New Roman"/>
          <w:sz w:val="24"/>
          <w:szCs w:val="24"/>
        </w:rPr>
        <w:t>‘</w:t>
      </w:r>
      <w:r w:rsidRPr="000D43D9">
        <w:rPr>
          <w:rFonts w:ascii="Times New Roman" w:hAnsi="Times New Roman"/>
          <w:sz w:val="24"/>
          <w:szCs w:val="24"/>
        </w:rPr>
        <w:t>materially adverse</w:t>
      </w:r>
      <w:r>
        <w:rPr>
          <w:rFonts w:ascii="Times New Roman" w:hAnsi="Times New Roman"/>
          <w:sz w:val="24"/>
          <w:szCs w:val="24"/>
        </w:rPr>
        <w:t>’</w:t>
      </w:r>
      <w:r w:rsidRPr="000D43D9">
        <w:rPr>
          <w:rFonts w:ascii="Times New Roman" w:hAnsi="Times New Roman"/>
          <w:sz w:val="24"/>
          <w:szCs w:val="24"/>
        </w:rPr>
        <w:t xml:space="preserve"> terms of employment, the conclusion is the same: They state a cognizable claim under Title VII when they refer to shift changes of this sort and under these circumstances.</w:t>
      </w:r>
      <w:r>
        <w:rPr>
          <w:rFonts w:ascii="Times New Roman" w:hAnsi="Times New Roman"/>
          <w:sz w:val="24"/>
          <w:szCs w:val="24"/>
        </w:rPr>
        <w:t xml:space="preserve">” </w:t>
      </w:r>
      <w:hyperlink r:id="rId1562" w:history="1">
        <w:r w:rsidRPr="00814A02">
          <w:rPr>
            <w:rStyle w:val="Hyperlink"/>
            <w:sz w:val="24"/>
            <w:szCs w:val="24"/>
          </w:rPr>
          <w:t>https://www.justice.gov/crt/case-document/file/1419071/download</w:t>
        </w:r>
      </w:hyperlink>
      <w:r>
        <w:rPr>
          <w:rFonts w:ascii="Times New Roman" w:hAnsi="Times New Roman"/>
          <w:sz w:val="24"/>
          <w:szCs w:val="24"/>
        </w:rPr>
        <w:t xml:space="preserve"> </w:t>
      </w:r>
    </w:p>
    <w:p w14:paraId="6A343B0B" w14:textId="77777777" w:rsidR="005217D5" w:rsidRDefault="005217D5" w:rsidP="005217D5">
      <w:pPr>
        <w:pStyle w:val="Heading1"/>
        <w:rPr>
          <w:b w:val="0"/>
          <w:bCs w:val="0"/>
          <w:sz w:val="24"/>
          <w:szCs w:val="24"/>
        </w:rPr>
      </w:pPr>
      <w:r w:rsidRPr="00DB6861">
        <w:rPr>
          <w:sz w:val="24"/>
          <w:szCs w:val="24"/>
        </w:rPr>
        <w:t>Legal Lesson Learned: Using race to “balance a shift” is an invitation to a lawsuit</w:t>
      </w:r>
      <w:r>
        <w:rPr>
          <w:sz w:val="24"/>
          <w:szCs w:val="24"/>
        </w:rPr>
        <w:t xml:space="preserve">; this case needs to be settled. </w:t>
      </w:r>
    </w:p>
    <w:p w14:paraId="70CA0888" w14:textId="77777777" w:rsidR="005217D5" w:rsidRPr="00DB6861" w:rsidRDefault="005217D5" w:rsidP="005217D5">
      <w:pPr>
        <w:pStyle w:val="Heading1"/>
        <w:ind w:left="720"/>
        <w:rPr>
          <w:b w:val="0"/>
          <w:bCs w:val="0"/>
          <w:sz w:val="24"/>
          <w:szCs w:val="24"/>
        </w:rPr>
      </w:pPr>
      <w:r w:rsidRPr="00311032">
        <w:rPr>
          <w:b w:val="0"/>
          <w:bCs w:val="0"/>
          <w:sz w:val="24"/>
          <w:szCs w:val="24"/>
        </w:rPr>
        <w:t>See also Ohio Civil Rights Commission ruling</w:t>
      </w:r>
      <w:r>
        <w:rPr>
          <w:sz w:val="24"/>
          <w:szCs w:val="24"/>
        </w:rPr>
        <w:t>.</w:t>
      </w:r>
      <w:r>
        <w:rPr>
          <w:b w:val="0"/>
          <w:bCs w:val="0"/>
          <w:sz w:val="24"/>
          <w:szCs w:val="24"/>
        </w:rPr>
        <w:t xml:space="preserve"> “</w:t>
      </w:r>
      <w:r w:rsidRPr="00DB6861">
        <w:rPr>
          <w:b w:val="0"/>
          <w:bCs w:val="0"/>
          <w:sz w:val="24"/>
          <w:szCs w:val="24"/>
        </w:rPr>
        <w:t>I-Team: Race and sex used to schedule EMS bosses</w:t>
      </w:r>
      <w:r>
        <w:rPr>
          <w:b w:val="0"/>
          <w:bCs w:val="0"/>
          <w:sz w:val="24"/>
          <w:szCs w:val="24"/>
        </w:rPr>
        <w:t xml:space="preserve">.” (Aug. 3, 2018). </w:t>
      </w:r>
      <w:r w:rsidRPr="00DB6861">
        <w:rPr>
          <w:b w:val="0"/>
          <w:bCs w:val="0"/>
          <w:sz w:val="24"/>
          <w:szCs w:val="24"/>
        </w:rPr>
        <w:t xml:space="preserve">CLEVELAND — The FOX 8 I-Team has uncovered an explosive ruling by the Ohio Civil Rights Commission finding that </w:t>
      </w:r>
      <w:hyperlink r:id="rId1563" w:history="1">
        <w:r w:rsidRPr="00DB6861">
          <w:rPr>
            <w:rStyle w:val="Hyperlink"/>
            <w:sz w:val="24"/>
            <w:szCs w:val="24"/>
          </w:rPr>
          <w:t>Cleveland EMS</w:t>
        </w:r>
      </w:hyperlink>
      <w:r w:rsidRPr="00DB6861">
        <w:rPr>
          <w:b w:val="0"/>
          <w:bCs w:val="0"/>
          <w:sz w:val="24"/>
          <w:szCs w:val="24"/>
        </w:rPr>
        <w:t xml:space="preserve"> “more likely than not” assigned work shifts to Captains on the “basis of race and sex.” The Commission found it “PROBABLE” the city “has engaged in an unlawful discriminatory practice.” </w:t>
      </w:r>
      <w:hyperlink r:id="rId1564" w:history="1">
        <w:r w:rsidRPr="00DB6861">
          <w:rPr>
            <w:rStyle w:val="Hyperlink"/>
            <w:sz w:val="24"/>
            <w:szCs w:val="24"/>
          </w:rPr>
          <w:t>https://fox8.com/news/i-team-race-and-sex-used-to-schedule-ems-bosses/</w:t>
        </w:r>
      </w:hyperlink>
      <w:r>
        <w:rPr>
          <w:b w:val="0"/>
          <w:bCs w:val="0"/>
          <w:sz w:val="24"/>
          <w:szCs w:val="24"/>
        </w:rPr>
        <w:t xml:space="preserve"> </w:t>
      </w:r>
    </w:p>
    <w:p w14:paraId="11B64D0F" w14:textId="77777777" w:rsidR="005217D5" w:rsidRPr="00780B1D" w:rsidRDefault="005217D5" w:rsidP="005217D5">
      <w:pPr>
        <w:pStyle w:val="Heading1"/>
        <w:ind w:left="720"/>
        <w:rPr>
          <w:b w:val="0"/>
          <w:bCs w:val="0"/>
          <w:sz w:val="24"/>
          <w:szCs w:val="24"/>
        </w:rPr>
      </w:pPr>
      <w:r w:rsidRPr="001D5CFD">
        <w:rPr>
          <w:b w:val="0"/>
          <w:bCs w:val="0"/>
          <w:sz w:val="24"/>
          <w:szCs w:val="24"/>
        </w:rPr>
        <w:t>Note: See article on the</w:t>
      </w:r>
      <w:r>
        <w:rPr>
          <w:b w:val="0"/>
          <w:bCs w:val="0"/>
          <w:sz w:val="24"/>
          <w:szCs w:val="24"/>
        </w:rPr>
        <w:t xml:space="preserve"> 6th Cir. </w:t>
      </w:r>
      <w:r w:rsidRPr="001D5CFD">
        <w:rPr>
          <w:b w:val="0"/>
          <w:bCs w:val="0"/>
          <w:sz w:val="24"/>
          <w:szCs w:val="24"/>
        </w:rPr>
        <w:t xml:space="preserve"> decision.</w:t>
      </w:r>
      <w:r>
        <w:rPr>
          <w:sz w:val="24"/>
          <w:szCs w:val="24"/>
        </w:rPr>
        <w:t xml:space="preserve">  “</w:t>
      </w:r>
      <w:r w:rsidRPr="001D5CFD">
        <w:rPr>
          <w:b w:val="0"/>
          <w:bCs w:val="0"/>
          <w:sz w:val="24"/>
          <w:szCs w:val="24"/>
        </w:rPr>
        <w:t>Court rules in favor of five Cleveland EMS Captains who claimed discrimination against their boss</w:t>
      </w:r>
      <w:r>
        <w:rPr>
          <w:b w:val="0"/>
          <w:bCs w:val="0"/>
          <w:sz w:val="24"/>
          <w:szCs w:val="24"/>
        </w:rPr>
        <w:t>.” (July 27, 2021.) “</w:t>
      </w:r>
      <w:r w:rsidRPr="001D5CFD">
        <w:rPr>
          <w:b w:val="0"/>
          <w:bCs w:val="0"/>
          <w:sz w:val="24"/>
          <w:szCs w:val="24"/>
        </w:rPr>
        <w:t xml:space="preserve">Carlton admitted under oath that she required Black Captains to face a shift change when the shift was all Black when “there’s never been a change made when there’s </w:t>
      </w:r>
      <w:proofErr w:type="gramStart"/>
      <w:r w:rsidRPr="001D5CFD">
        <w:rPr>
          <w:b w:val="0"/>
          <w:bCs w:val="0"/>
          <w:sz w:val="24"/>
          <w:szCs w:val="24"/>
        </w:rPr>
        <w:t>an</w:t>
      </w:r>
      <w:proofErr w:type="gramEnd"/>
      <w:r w:rsidRPr="001D5CFD">
        <w:rPr>
          <w:b w:val="0"/>
          <w:bCs w:val="0"/>
          <w:sz w:val="24"/>
          <w:szCs w:val="24"/>
        </w:rPr>
        <w:t xml:space="preserve"> all Caucasian shift, to make it a not all Caucasian </w:t>
      </w:r>
      <w:proofErr w:type="gramStart"/>
      <w:r w:rsidRPr="001D5CFD">
        <w:rPr>
          <w:b w:val="0"/>
          <w:bCs w:val="0"/>
          <w:sz w:val="24"/>
          <w:szCs w:val="24"/>
        </w:rPr>
        <w:t>shift</w:t>
      </w:r>
      <w:proofErr w:type="gramEnd"/>
      <w:r w:rsidRPr="001D5CFD">
        <w:rPr>
          <w:b w:val="0"/>
          <w:bCs w:val="0"/>
          <w:sz w:val="24"/>
          <w:szCs w:val="24"/>
        </w:rPr>
        <w:t>.</w:t>
      </w:r>
      <w:r>
        <w:rPr>
          <w:b w:val="0"/>
          <w:bCs w:val="0"/>
          <w:sz w:val="24"/>
          <w:szCs w:val="24"/>
        </w:rPr>
        <w:t>”</w:t>
      </w:r>
      <w:r>
        <w:t xml:space="preserve"> </w:t>
      </w:r>
      <w:hyperlink r:id="rId1565" w:history="1">
        <w:r w:rsidRPr="00780B1D">
          <w:rPr>
            <w:rStyle w:val="Hyperlink"/>
            <w:sz w:val="24"/>
            <w:szCs w:val="24"/>
          </w:rPr>
          <w:t>https://www.cleveland19.com/2021/07/27/court-rules-favor-five-cleveland-ems-captains-who-claimed-discrimination-against-their-boss/</w:t>
        </w:r>
      </w:hyperlink>
      <w:r w:rsidRPr="00780B1D">
        <w:rPr>
          <w:b w:val="0"/>
          <w:bCs w:val="0"/>
          <w:sz w:val="24"/>
          <w:szCs w:val="24"/>
        </w:rPr>
        <w:t xml:space="preserve"> </w:t>
      </w:r>
    </w:p>
    <w:p w14:paraId="19B6F179" w14:textId="77777777" w:rsidR="005217D5" w:rsidRDefault="005217D5" w:rsidP="005217D5">
      <w:pPr>
        <w:pStyle w:val="Heading1"/>
        <w:ind w:left="720"/>
        <w:rPr>
          <w:b w:val="0"/>
          <w:bCs w:val="0"/>
          <w:sz w:val="24"/>
          <w:szCs w:val="24"/>
        </w:rPr>
      </w:pPr>
      <w:r>
        <w:rPr>
          <w:b w:val="0"/>
          <w:bCs w:val="0"/>
          <w:sz w:val="24"/>
          <w:szCs w:val="24"/>
        </w:rPr>
        <w:t>See also: “</w:t>
      </w:r>
      <w:r w:rsidRPr="002C1532">
        <w:rPr>
          <w:b w:val="0"/>
          <w:bCs w:val="0"/>
          <w:sz w:val="24"/>
          <w:szCs w:val="24"/>
        </w:rPr>
        <w:t>DOJ Says Black EMS Captains Can Prove Bias Without Material Harm</w:t>
      </w:r>
      <w:r>
        <w:rPr>
          <w:b w:val="0"/>
          <w:bCs w:val="0"/>
          <w:sz w:val="24"/>
          <w:szCs w:val="24"/>
        </w:rPr>
        <w:t xml:space="preserve">.” (July 13, 2021.) </w:t>
      </w:r>
      <w:hyperlink r:id="rId1566" w:history="1">
        <w:r w:rsidRPr="00814A02">
          <w:rPr>
            <w:rStyle w:val="Hyperlink"/>
            <w:sz w:val="24"/>
            <w:szCs w:val="24"/>
          </w:rPr>
          <w:t>https://news.bloomberglaw.com/daily-labor-report/doj-says-black-ems-captains-can-prove-bias-without-material-harm</w:t>
        </w:r>
      </w:hyperlink>
      <w:r>
        <w:rPr>
          <w:b w:val="0"/>
          <w:bCs w:val="0"/>
          <w:sz w:val="24"/>
          <w:szCs w:val="24"/>
        </w:rPr>
        <w:t xml:space="preserve"> </w:t>
      </w:r>
    </w:p>
    <w:p w14:paraId="1A5A6B34" w14:textId="77777777" w:rsidR="005217D5" w:rsidRDefault="005217D5" w:rsidP="005217D5">
      <w:pPr>
        <w:pStyle w:val="Heading1"/>
        <w:ind w:left="720"/>
        <w:rPr>
          <w:b w:val="0"/>
          <w:bCs w:val="0"/>
          <w:sz w:val="24"/>
          <w:szCs w:val="24"/>
        </w:rPr>
      </w:pPr>
    </w:p>
    <w:p w14:paraId="650291B9" w14:textId="77777777" w:rsidR="005217D5" w:rsidRDefault="005217D5" w:rsidP="00BC70A3">
      <w:pPr>
        <w:rPr>
          <w:rFonts w:ascii="Arial Black" w:hAnsi="Arial Black"/>
          <w:b/>
          <w:sz w:val="24"/>
          <w:szCs w:val="24"/>
        </w:rPr>
      </w:pPr>
    </w:p>
    <w:p w14:paraId="707FE524" w14:textId="77777777" w:rsidR="005217D5" w:rsidRDefault="005217D5" w:rsidP="00BC70A3">
      <w:pPr>
        <w:rPr>
          <w:rFonts w:ascii="Arial Black" w:hAnsi="Arial Black"/>
          <w:b/>
          <w:sz w:val="24"/>
          <w:szCs w:val="24"/>
        </w:rPr>
      </w:pPr>
    </w:p>
    <w:p w14:paraId="348674BE" w14:textId="6C14AEB9" w:rsidR="0077274E" w:rsidRDefault="0077274E" w:rsidP="00BC70A3">
      <w:pPr>
        <w:rPr>
          <w:rFonts w:ascii="Arial Black" w:hAnsi="Arial Black"/>
          <w:b/>
          <w:sz w:val="24"/>
          <w:szCs w:val="24"/>
        </w:rPr>
      </w:pPr>
      <w:r>
        <w:rPr>
          <w:rFonts w:ascii="Arial Black" w:hAnsi="Arial Black"/>
          <w:b/>
          <w:sz w:val="24"/>
          <w:szCs w:val="24"/>
        </w:rPr>
        <w:t>8-29</w:t>
      </w:r>
    </w:p>
    <w:p w14:paraId="18B376EC" w14:textId="77777777" w:rsidR="00EA7C42" w:rsidRPr="00EA7C42" w:rsidRDefault="00EA7C42" w:rsidP="00EA7C42">
      <w:pPr>
        <w:rPr>
          <w:rFonts w:ascii="Arial Black" w:hAnsi="Arial Black"/>
          <w:b/>
          <w:bCs/>
          <w:sz w:val="28"/>
          <w:szCs w:val="28"/>
        </w:rPr>
      </w:pPr>
      <w:r w:rsidRPr="00EA7C42">
        <w:rPr>
          <w:rFonts w:ascii="Arial Black" w:hAnsi="Arial Black"/>
          <w:b/>
          <w:bCs/>
          <w:sz w:val="28"/>
          <w:szCs w:val="28"/>
        </w:rPr>
        <w:t>MA: LT. MISTAKENLY LEFT “N” WORD VOICEMAIL - RACE COMPLAINT - THREATS “GO POSTAL” – FF REINSTATED</w:t>
      </w:r>
    </w:p>
    <w:p w14:paraId="51C70952" w14:textId="77777777" w:rsidR="0077274E" w:rsidRDefault="0077274E" w:rsidP="0077274E">
      <w:pPr>
        <w:spacing w:before="100" w:beforeAutospacing="1" w:after="100" w:afterAutospacing="1" w:line="240" w:lineRule="auto"/>
        <w:rPr>
          <w:rFonts w:ascii="Times New Roman" w:eastAsia="Times New Roman" w:hAnsi="Times New Roman"/>
          <w:sz w:val="24"/>
          <w:szCs w:val="24"/>
        </w:rPr>
      </w:pPr>
      <w:r w:rsidRPr="00FE7451">
        <w:rPr>
          <w:rFonts w:ascii="Times New Roman" w:eastAsia="Times New Roman" w:hAnsi="Times New Roman"/>
          <w:sz w:val="24"/>
          <w:szCs w:val="24"/>
        </w:rPr>
        <w:t> </w:t>
      </w:r>
      <w:r>
        <w:rPr>
          <w:rFonts w:ascii="Times New Roman" w:eastAsia="Times New Roman" w:hAnsi="Times New Roman"/>
          <w:sz w:val="24"/>
          <w:szCs w:val="24"/>
        </w:rPr>
        <w:t xml:space="preserve">On April 27, 2021, in </w:t>
      </w:r>
      <w:r w:rsidRPr="00FE7451">
        <w:rPr>
          <w:rFonts w:ascii="Times New Roman" w:eastAsia="Times New Roman" w:hAnsi="Times New Roman"/>
          <w:sz w:val="24"/>
          <w:szCs w:val="24"/>
          <w:u w:val="single"/>
        </w:rPr>
        <w:t>Town of Brookline v. Gerald Alston, et al</w:t>
      </w:r>
      <w:r>
        <w:rPr>
          <w:rFonts w:ascii="Times New Roman" w:eastAsia="Times New Roman" w:hAnsi="Times New Roman"/>
          <w:sz w:val="24"/>
          <w:szCs w:val="24"/>
        </w:rPr>
        <w:t xml:space="preserve">., the Supreme Judicial Court of Massachusetts (Chief Justice Scott L. </w:t>
      </w:r>
      <w:proofErr w:type="spellStart"/>
      <w:r>
        <w:rPr>
          <w:rFonts w:ascii="Times New Roman" w:eastAsia="Times New Roman" w:hAnsi="Times New Roman"/>
          <w:sz w:val="24"/>
          <w:szCs w:val="24"/>
        </w:rPr>
        <w:t>Kafker</w:t>
      </w:r>
      <w:proofErr w:type="spellEnd"/>
      <w:r>
        <w:rPr>
          <w:rFonts w:ascii="Times New Roman" w:eastAsia="Times New Roman" w:hAnsi="Times New Roman"/>
          <w:sz w:val="24"/>
          <w:szCs w:val="24"/>
        </w:rPr>
        <w:t>), after 6 years of litigation, upheld the Civil Service Commission and a trial court’s decision to reinstate the firefighter.  The Civil Service Commission, after a 10-day evidentiary hearing (14 witnesses; 280 exhibits) ordered him reinstated; the Town appealed to a Superior Court judge, who held for the firefighter; the Town then filed this appeal and lost again. In 2016, plaintiff was fired for refusing to comply with three (3) return to work conditions as recommended by psychiatrist retained by Town: “</w:t>
      </w:r>
      <w:r w:rsidRPr="00784C0E">
        <w:rPr>
          <w:rFonts w:ascii="Times New Roman" w:eastAsia="Times New Roman" w:hAnsi="Times New Roman"/>
          <w:sz w:val="24"/>
          <w:szCs w:val="24"/>
        </w:rPr>
        <w:t>First, Alston would have to receive monthly treatment from a psychiatrist and weekly treatment with a therapist. Second, there would have to be reasonable</w:t>
      </w:r>
      <w:r>
        <w:rPr>
          <w:rFonts w:ascii="Times New Roman" w:eastAsia="Times New Roman" w:hAnsi="Times New Roman"/>
          <w:sz w:val="24"/>
          <w:szCs w:val="24"/>
        </w:rPr>
        <w:t xml:space="preserve"> </w:t>
      </w:r>
      <w:r w:rsidRPr="00784C0E">
        <w:rPr>
          <w:rFonts w:ascii="Times New Roman" w:eastAsia="Times New Roman" w:hAnsi="Times New Roman"/>
          <w:sz w:val="24"/>
          <w:szCs w:val="24"/>
        </w:rPr>
        <w:t xml:space="preserve">workplace </w:t>
      </w:r>
      <w:proofErr w:type="gramStart"/>
      <w:r w:rsidRPr="00784C0E">
        <w:rPr>
          <w:rFonts w:ascii="Times New Roman" w:eastAsia="Times New Roman" w:hAnsi="Times New Roman"/>
          <w:sz w:val="24"/>
          <w:szCs w:val="24"/>
        </w:rPr>
        <w:t>accommodations</w:t>
      </w:r>
      <w:proofErr w:type="gramEnd"/>
      <w:r w:rsidRPr="00784C0E">
        <w:rPr>
          <w:rFonts w:ascii="Times New Roman" w:eastAsia="Times New Roman" w:hAnsi="Times New Roman"/>
          <w:sz w:val="24"/>
          <w:szCs w:val="24"/>
        </w:rPr>
        <w:t xml:space="preserve"> that reduced the level of stress for Alston. Third, Alston would have to undergo random drug screening for two years after he returned to work.</w:t>
      </w:r>
      <w:r>
        <w:rPr>
          <w:rFonts w:ascii="Times New Roman" w:eastAsia="Times New Roman" w:hAnsi="Times New Roman"/>
          <w:sz w:val="24"/>
          <w:szCs w:val="24"/>
        </w:rPr>
        <w:t xml:space="preserve">”  </w:t>
      </w:r>
    </w:p>
    <w:p w14:paraId="5BBD6914" w14:textId="77777777" w:rsidR="0077274E" w:rsidRDefault="0077274E" w:rsidP="0077274E">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963D04">
        <w:rPr>
          <w:rFonts w:ascii="Times New Roman" w:hAnsi="Times New Roman"/>
          <w:sz w:val="24"/>
          <w:szCs w:val="24"/>
        </w:rPr>
        <w:t xml:space="preserve">The underlying dispute in this case began with a racist comment, apparently on a misplaced telephone call. As Lieutenant Paul Pender was in a car driven by his son, he was cut off by a stranger. Pender referred to the person as a "fucking n----r." Unbeknownst to him, Pender had not properly hung up from a previous call, and he left a record of what he said on the voicemail of fellow firefighter Gerald Alston. Alston is </w:t>
      </w:r>
      <w:proofErr w:type="gramStart"/>
      <w:r w:rsidRPr="00963D04">
        <w:rPr>
          <w:rFonts w:ascii="Times New Roman" w:hAnsi="Times New Roman"/>
          <w:sz w:val="24"/>
          <w:szCs w:val="24"/>
        </w:rPr>
        <w:t>African-American</w:t>
      </w:r>
      <w:proofErr w:type="gramEnd"/>
      <w:r w:rsidRPr="00963D04">
        <w:rPr>
          <w:rFonts w:ascii="Times New Roman" w:hAnsi="Times New Roman"/>
          <w:sz w:val="24"/>
          <w:szCs w:val="24"/>
        </w:rPr>
        <w:t>; Pender, his supervisor at the time, is Caucasian. A tumultuous six years of litigation and acrimony ensued, culminating in 2016 with Pender receiving his third promotion since leaving the voicemail and Alston being fired by the town of Brookline (town).</w:t>
      </w:r>
    </w:p>
    <w:p w14:paraId="0C751064" w14:textId="77777777" w:rsidR="0077274E" w:rsidRDefault="0077274E" w:rsidP="0077274E">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p>
    <w:p w14:paraId="020283EE" w14:textId="77777777" w:rsidR="0077274E" w:rsidRPr="00A30885" w:rsidRDefault="0077274E" w:rsidP="0077274E">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w:t>
      </w:r>
      <w:r w:rsidRPr="002C4711">
        <w:rPr>
          <w:rFonts w:ascii="Times New Roman" w:eastAsia="Times New Roman" w:hAnsi="Times New Roman"/>
          <w:sz w:val="24"/>
          <w:szCs w:val="24"/>
        </w:rPr>
        <w:t xml:space="preserve">e </w:t>
      </w:r>
      <w:proofErr w:type="gramStart"/>
      <w:r w:rsidRPr="002C4711">
        <w:rPr>
          <w:rFonts w:ascii="Times New Roman" w:eastAsia="Times New Roman" w:hAnsi="Times New Roman"/>
          <w:sz w:val="24"/>
          <w:szCs w:val="24"/>
        </w:rPr>
        <w:t>conclude</w:t>
      </w:r>
      <w:proofErr w:type="gramEnd"/>
      <w:r w:rsidRPr="002C4711">
        <w:rPr>
          <w:rFonts w:ascii="Times New Roman" w:eastAsia="Times New Roman" w:hAnsi="Times New Roman"/>
          <w:sz w:val="24"/>
          <w:szCs w:val="24"/>
        </w:rPr>
        <w:t xml:space="preserve"> that there is substantial evidence to support the commission's determination that the town acted arbitrarily and capriciously and in violation of </w:t>
      </w:r>
      <w:r>
        <w:rPr>
          <w:rFonts w:ascii="Times New Roman" w:eastAsia="Times New Roman" w:hAnsi="Times New Roman"/>
          <w:sz w:val="24"/>
          <w:szCs w:val="24"/>
        </w:rPr>
        <w:t>‘</w:t>
      </w:r>
      <w:r w:rsidRPr="002C4711">
        <w:rPr>
          <w:rFonts w:ascii="Times New Roman" w:eastAsia="Times New Roman" w:hAnsi="Times New Roman"/>
          <w:sz w:val="24"/>
          <w:szCs w:val="24"/>
        </w:rPr>
        <w:t>Alston's rights under the civil service law to be treated fairly 'without regard to . . . race.' Considering Pender's racist comment, the retaliatory actions, and the town's continuously insensitive and inappropriate, if not outright</w:t>
      </w:r>
      <w:r>
        <w:rPr>
          <w:rFonts w:ascii="Times New Roman" w:eastAsia="Times New Roman" w:hAnsi="Times New Roman"/>
          <w:sz w:val="24"/>
          <w:szCs w:val="24"/>
        </w:rPr>
        <w:t xml:space="preserve"> </w:t>
      </w:r>
      <w:r w:rsidRPr="002C4711">
        <w:rPr>
          <w:rFonts w:ascii="Times New Roman" w:eastAsia="Times New Roman" w:hAnsi="Times New Roman"/>
          <w:sz w:val="24"/>
          <w:szCs w:val="24"/>
        </w:rPr>
        <w:t xml:space="preserve">discriminatory, responses, the commission's findings constitute </w:t>
      </w:r>
      <w:r>
        <w:rPr>
          <w:rFonts w:ascii="Times New Roman" w:eastAsia="Times New Roman" w:hAnsi="Times New Roman"/>
          <w:sz w:val="24"/>
          <w:szCs w:val="24"/>
        </w:rPr>
        <w:t>‘</w:t>
      </w:r>
      <w:r w:rsidRPr="002C4711">
        <w:rPr>
          <w:rFonts w:ascii="Times New Roman" w:eastAsia="Times New Roman" w:hAnsi="Times New Roman"/>
          <w:sz w:val="24"/>
          <w:szCs w:val="24"/>
        </w:rPr>
        <w:t>such evidence as a reasonable mind might accept as adequate to support</w:t>
      </w:r>
      <w:r>
        <w:rPr>
          <w:rFonts w:ascii="Times New Roman" w:eastAsia="Times New Roman" w:hAnsi="Times New Roman"/>
          <w:sz w:val="24"/>
          <w:szCs w:val="24"/>
        </w:rPr>
        <w:t>’</w:t>
      </w:r>
      <w:r w:rsidRPr="002C4711">
        <w:rPr>
          <w:rFonts w:ascii="Times New Roman" w:eastAsia="Times New Roman" w:hAnsi="Times New Roman"/>
          <w:sz w:val="24"/>
          <w:szCs w:val="24"/>
        </w:rPr>
        <w:t xml:space="preserve"> the conclusion that the town caused Alston's unfitness preventing his return to work.</w:t>
      </w:r>
      <w:r>
        <w:rPr>
          <w:rFonts w:ascii="Times New Roman" w:eastAsia="Times New Roman" w:hAnsi="Times New Roman"/>
          <w:sz w:val="24"/>
          <w:szCs w:val="24"/>
        </w:rPr>
        <w:t xml:space="preserve">” </w:t>
      </w:r>
      <w:hyperlink r:id="rId1567" w:history="1">
        <w:r w:rsidRPr="0041276B">
          <w:rPr>
            <w:rStyle w:val="Hyperlink"/>
            <w:rFonts w:ascii="Times New Roman" w:hAnsi="Times New Roman"/>
            <w:sz w:val="24"/>
            <w:szCs w:val="24"/>
          </w:rPr>
          <w:t>https://public.fastcase.com/9SKwsfNqTc6OieYDhNMyM6Hs9QyuQxgDWvshWHam%2BmmecJULtiEuwgF0cJ0eF8SA</w:t>
        </w:r>
      </w:hyperlink>
      <w:r w:rsidRPr="00A30885">
        <w:rPr>
          <w:rFonts w:ascii="Times New Roman" w:eastAsia="Times New Roman" w:hAnsi="Times New Roman"/>
          <w:sz w:val="24"/>
          <w:szCs w:val="24"/>
        </w:rPr>
        <w:t xml:space="preserve"> </w:t>
      </w:r>
    </w:p>
    <w:p w14:paraId="7907E375" w14:textId="77777777" w:rsidR="003E0A22" w:rsidRDefault="003E0A22" w:rsidP="003E0A22">
      <w:pPr>
        <w:pStyle w:val="NormalWeb"/>
        <w:rPr>
          <w:b/>
          <w:bCs/>
        </w:rPr>
      </w:pPr>
      <w:r w:rsidRPr="005542D3">
        <w:rPr>
          <w:b/>
          <w:bCs/>
        </w:rPr>
        <w:t xml:space="preserve">Legal Lesson Learned: </w:t>
      </w:r>
      <w:r>
        <w:rPr>
          <w:b/>
          <w:bCs/>
        </w:rPr>
        <w:t xml:space="preserve"> Words matter; most unfortunate set of facts. </w:t>
      </w:r>
    </w:p>
    <w:p w14:paraId="3EADF105" w14:textId="77777777" w:rsidR="003E0A22" w:rsidRPr="002C4711" w:rsidRDefault="003E0A22" w:rsidP="003E0A22">
      <w:pPr>
        <w:pStyle w:val="NormalWeb"/>
        <w:ind w:left="720"/>
      </w:pPr>
      <w:r w:rsidRPr="002C4711">
        <w:t xml:space="preserve">Note: The Court in </w:t>
      </w:r>
      <w:r>
        <w:t>F</w:t>
      </w:r>
      <w:r w:rsidRPr="002C4711">
        <w:t>ootnote 23 wrote: “We emphasize today what should no longer need to be said in 2021 -- the use of "n----r" has absolutely no place in any workplace environment in the Commonwealth, including among those subject to the civil service laws.”</w:t>
      </w:r>
    </w:p>
    <w:p w14:paraId="32042DDA" w14:textId="77777777" w:rsidR="003E0A22" w:rsidRPr="00E07F70" w:rsidRDefault="003E0A22" w:rsidP="003E0A22">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See also this article on the case: “</w:t>
      </w:r>
      <w:r w:rsidRPr="00E07F70">
        <w:rPr>
          <w:rFonts w:ascii="Times New Roman" w:hAnsi="Times New Roman"/>
          <w:sz w:val="24"/>
          <w:szCs w:val="24"/>
        </w:rPr>
        <w:t xml:space="preserve">Brookline Appeals Superior Court Ruling </w:t>
      </w:r>
      <w:proofErr w:type="gramStart"/>
      <w:r w:rsidRPr="00E07F70">
        <w:rPr>
          <w:rFonts w:ascii="Times New Roman" w:hAnsi="Times New Roman"/>
          <w:sz w:val="24"/>
          <w:szCs w:val="24"/>
        </w:rPr>
        <w:t>On</w:t>
      </w:r>
      <w:proofErr w:type="gramEnd"/>
      <w:r w:rsidRPr="00E07F70">
        <w:rPr>
          <w:rFonts w:ascii="Times New Roman" w:hAnsi="Times New Roman"/>
          <w:sz w:val="24"/>
          <w:szCs w:val="24"/>
        </w:rPr>
        <w:t xml:space="preserve"> Firefighter Alston</w:t>
      </w:r>
      <w:r>
        <w:rPr>
          <w:rFonts w:ascii="Times New Roman" w:hAnsi="Times New Roman"/>
          <w:sz w:val="24"/>
          <w:szCs w:val="24"/>
        </w:rPr>
        <w:t>”</w:t>
      </w:r>
      <w:r w:rsidRPr="00E07F70">
        <w:rPr>
          <w:rFonts w:ascii="Times New Roman" w:hAnsi="Times New Roman"/>
          <w:sz w:val="24"/>
          <w:szCs w:val="24"/>
        </w:rPr>
        <w:t xml:space="preserve"> (Oct. 3, 2019): </w:t>
      </w:r>
      <w:hyperlink r:id="rId1568" w:history="1">
        <w:r w:rsidRPr="0041276B">
          <w:rPr>
            <w:rStyle w:val="Hyperlink"/>
            <w:rFonts w:ascii="Times New Roman" w:hAnsi="Times New Roman"/>
            <w:sz w:val="24"/>
            <w:szCs w:val="24"/>
          </w:rPr>
          <w:t>https://patch.com/massachusetts/brookline/brookline-select-board-votes-appeal-gerald-alston-case</w:t>
        </w:r>
      </w:hyperlink>
      <w:r w:rsidRPr="00E07F70">
        <w:rPr>
          <w:rFonts w:ascii="Times New Roman" w:hAnsi="Times New Roman"/>
          <w:sz w:val="24"/>
          <w:szCs w:val="24"/>
        </w:rPr>
        <w:t xml:space="preserve"> </w:t>
      </w:r>
    </w:p>
    <w:p w14:paraId="655FC049" w14:textId="77777777" w:rsidR="003E0A22" w:rsidRPr="0041276B" w:rsidRDefault="003E0A22" w:rsidP="003E0A22">
      <w:pPr>
        <w:ind w:left="720"/>
        <w:rPr>
          <w:rFonts w:ascii="Times New Roman" w:hAnsi="Times New Roman"/>
          <w:color w:val="1F497D"/>
          <w:sz w:val="24"/>
          <w:szCs w:val="24"/>
        </w:rPr>
      </w:pPr>
      <w:r w:rsidRPr="00F4718C">
        <w:rPr>
          <w:rFonts w:ascii="Times New Roman" w:hAnsi="Times New Roman"/>
          <w:sz w:val="24"/>
          <w:szCs w:val="24"/>
        </w:rPr>
        <w:t xml:space="preserve">See also this NASCAR article: </w:t>
      </w:r>
      <w:hyperlink r:id="rId1569" w:history="1">
        <w:r w:rsidRPr="0041276B">
          <w:rPr>
            <w:rStyle w:val="Hyperlink"/>
            <w:rFonts w:ascii="Times New Roman" w:hAnsi="Times New Roman"/>
            <w:sz w:val="24"/>
            <w:szCs w:val="24"/>
          </w:rPr>
          <w:t>https://www.charlotteobserver.com/sports/nascar-auto-racing/article241998186.html</w:t>
        </w:r>
      </w:hyperlink>
    </w:p>
    <w:p w14:paraId="3885E13E" w14:textId="77777777" w:rsidR="0077274E" w:rsidRDefault="0077274E" w:rsidP="00BC70A3">
      <w:pPr>
        <w:rPr>
          <w:rFonts w:ascii="Arial Black" w:hAnsi="Arial Black"/>
          <w:b/>
          <w:sz w:val="24"/>
          <w:szCs w:val="24"/>
        </w:rPr>
      </w:pPr>
    </w:p>
    <w:p w14:paraId="25FCABB4" w14:textId="77777777" w:rsidR="0077274E" w:rsidRDefault="0077274E" w:rsidP="00BC70A3">
      <w:pPr>
        <w:rPr>
          <w:rFonts w:ascii="Arial Black" w:hAnsi="Arial Black"/>
          <w:b/>
          <w:sz w:val="24"/>
          <w:szCs w:val="24"/>
        </w:rPr>
      </w:pPr>
    </w:p>
    <w:p w14:paraId="52C02748" w14:textId="77777777" w:rsidR="0077274E" w:rsidRDefault="0077274E" w:rsidP="00BC70A3">
      <w:pPr>
        <w:rPr>
          <w:rFonts w:ascii="Arial Black" w:hAnsi="Arial Black"/>
          <w:b/>
          <w:sz w:val="24"/>
          <w:szCs w:val="24"/>
        </w:rPr>
      </w:pPr>
    </w:p>
    <w:p w14:paraId="31D2CD6A" w14:textId="6953E68A" w:rsidR="00EB2493" w:rsidRDefault="00EB2493" w:rsidP="00BC70A3">
      <w:pPr>
        <w:rPr>
          <w:rFonts w:ascii="Arial Black" w:hAnsi="Arial Black"/>
          <w:b/>
          <w:sz w:val="24"/>
          <w:szCs w:val="24"/>
        </w:rPr>
      </w:pPr>
      <w:r>
        <w:rPr>
          <w:rFonts w:ascii="Arial Black" w:hAnsi="Arial Black"/>
          <w:b/>
          <w:sz w:val="24"/>
          <w:szCs w:val="24"/>
        </w:rPr>
        <w:t>8-28</w:t>
      </w:r>
    </w:p>
    <w:p w14:paraId="6F577F09" w14:textId="77777777" w:rsidR="00EB2493" w:rsidRPr="002D7177" w:rsidRDefault="00EB2493" w:rsidP="00EB2493">
      <w:pPr>
        <w:pStyle w:val="NoSpacing"/>
        <w:rPr>
          <w:rFonts w:ascii="Arial Black" w:hAnsi="Arial Black"/>
          <w:sz w:val="28"/>
          <w:szCs w:val="28"/>
        </w:rPr>
      </w:pPr>
      <w:r>
        <w:rPr>
          <w:rFonts w:ascii="Arial Black" w:hAnsi="Arial Black"/>
          <w:sz w:val="28"/>
          <w:szCs w:val="28"/>
        </w:rPr>
        <w:t>MA: AFRICAN AMERICAN FF – FIRED “UNFIT FOR DUTY” – LAWSUIT DISMISSED AGAINST CITIZEN NOT ON TOWN BOARD OF SELECTMEN</w:t>
      </w:r>
    </w:p>
    <w:p w14:paraId="48E667E4" w14:textId="3D6832F9" w:rsidR="00EB2493" w:rsidRDefault="00EB2493" w:rsidP="00EB249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Feb. 19, 2021, in </w:t>
      </w:r>
      <w:r w:rsidRPr="002D7177">
        <w:rPr>
          <w:rFonts w:ascii="Times New Roman" w:eastAsia="Times New Roman" w:hAnsi="Times New Roman"/>
          <w:sz w:val="24"/>
          <w:szCs w:val="24"/>
          <w:u w:val="single"/>
        </w:rPr>
        <w:t>Gerald Alston v. Stanley Spiegel</w:t>
      </w:r>
      <w:r>
        <w:rPr>
          <w:rFonts w:ascii="Times New Roman" w:eastAsia="Times New Roman" w:hAnsi="Times New Roman"/>
          <w:sz w:val="24"/>
          <w:szCs w:val="24"/>
        </w:rPr>
        <w:t xml:space="preserve">, the U.S. Court of Appeals for the First Circuit (Boston), held (3 to 0) that the U.S. District Court properly dismissed Alston’s race discrimination, retaliation case against a non-member of the Town of </w:t>
      </w:r>
      <w:r w:rsidRPr="00214DCF">
        <w:rPr>
          <w:rFonts w:ascii="Times New Roman" w:eastAsia="Times New Roman" w:hAnsi="Times New Roman"/>
          <w:sz w:val="24"/>
          <w:szCs w:val="24"/>
        </w:rPr>
        <w:t xml:space="preserve">Brookline </w:t>
      </w:r>
      <w:r>
        <w:rPr>
          <w:rFonts w:ascii="Times New Roman" w:eastAsia="Times New Roman" w:hAnsi="Times New Roman"/>
          <w:sz w:val="24"/>
          <w:szCs w:val="24"/>
        </w:rPr>
        <w:t xml:space="preserve">Board of Selectmen who fired him from the Brookline </w:t>
      </w:r>
      <w:r w:rsidRPr="00214DCF">
        <w:rPr>
          <w:rFonts w:ascii="Times New Roman" w:eastAsia="Times New Roman" w:hAnsi="Times New Roman"/>
          <w:sz w:val="24"/>
          <w:szCs w:val="24"/>
        </w:rPr>
        <w:t>Fire Department</w:t>
      </w:r>
      <w:r>
        <w:rPr>
          <w:rFonts w:ascii="Times New Roman" w:eastAsia="Times New Roman" w:hAnsi="Times New Roman"/>
          <w:sz w:val="24"/>
          <w:szCs w:val="24"/>
        </w:rPr>
        <w:t xml:space="preserve">.  Stanley Spiegel is not on the Board, but is a citizen elected as a member of the 240 member “Town Meeting.” </w:t>
      </w:r>
    </w:p>
    <w:p w14:paraId="4A2C7343" w14:textId="77777777" w:rsidR="00EB2493" w:rsidRDefault="00EB2493" w:rsidP="00EB249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214DCF">
        <w:rPr>
          <w:rFonts w:ascii="Times New Roman" w:eastAsia="Times New Roman" w:hAnsi="Times New Roman"/>
          <w:sz w:val="24"/>
          <w:szCs w:val="24"/>
        </w:rPr>
        <w:t xml:space="preserve">On February 13, 2015, Alston was placed on paid administrative leave. He asserts that despite the Selectmen's publicly conciliatory stance toward </w:t>
      </w:r>
      <w:proofErr w:type="gramStart"/>
      <w:r w:rsidRPr="00214DCF">
        <w:rPr>
          <w:rFonts w:ascii="Times New Roman" w:eastAsia="Times New Roman" w:hAnsi="Times New Roman"/>
          <w:sz w:val="24"/>
          <w:szCs w:val="24"/>
        </w:rPr>
        <w:t xml:space="preserve">him, </w:t>
      </w:r>
      <w:r>
        <w:rPr>
          <w:rFonts w:ascii="Times New Roman" w:eastAsia="Times New Roman" w:hAnsi="Times New Roman"/>
          <w:sz w:val="24"/>
          <w:szCs w:val="24"/>
        </w:rPr>
        <w:t>‘</w:t>
      </w:r>
      <w:proofErr w:type="gramEnd"/>
      <w:r w:rsidRPr="00214DCF">
        <w:rPr>
          <w:rFonts w:ascii="Times New Roman" w:eastAsia="Times New Roman" w:hAnsi="Times New Roman"/>
          <w:sz w:val="24"/>
          <w:szCs w:val="24"/>
        </w:rPr>
        <w:t xml:space="preserve">they tacitly encouraged their unofficial surrogates, including advisory committee member and town meeting member, Stanley </w:t>
      </w:r>
      <w:proofErr w:type="gramStart"/>
      <w:r w:rsidRPr="00214DCF">
        <w:rPr>
          <w:rFonts w:ascii="Times New Roman" w:eastAsia="Times New Roman" w:hAnsi="Times New Roman"/>
          <w:sz w:val="24"/>
          <w:szCs w:val="24"/>
        </w:rPr>
        <w:t>Spiegel</w:t>
      </w:r>
      <w:proofErr w:type="gramEnd"/>
      <w:r w:rsidRPr="00214DCF">
        <w:rPr>
          <w:rFonts w:ascii="Times New Roman" w:eastAsia="Times New Roman" w:hAnsi="Times New Roman"/>
          <w:sz w:val="24"/>
          <w:szCs w:val="24"/>
        </w:rPr>
        <w:t xml:space="preserve"> to smear Mr. Alston and undermine public support for </w:t>
      </w:r>
      <w:proofErr w:type="gramStart"/>
      <w:r w:rsidRPr="00214DCF">
        <w:rPr>
          <w:rFonts w:ascii="Times New Roman" w:eastAsia="Times New Roman" w:hAnsi="Times New Roman"/>
          <w:sz w:val="24"/>
          <w:szCs w:val="24"/>
        </w:rPr>
        <w:t>him.</w:t>
      </w:r>
      <w:r>
        <w:rPr>
          <w:rFonts w:ascii="Times New Roman" w:eastAsia="Times New Roman" w:hAnsi="Times New Roman"/>
          <w:sz w:val="24"/>
          <w:szCs w:val="24"/>
        </w:rPr>
        <w:t>’</w:t>
      </w:r>
      <w:proofErr w:type="gramEnd"/>
      <w:r w:rsidRPr="00214DCF">
        <w:rPr>
          <w:rFonts w:ascii="Times New Roman" w:eastAsia="Times New Roman" w:hAnsi="Times New Roman"/>
          <w:sz w:val="24"/>
          <w:szCs w:val="24"/>
        </w:rPr>
        <w:t xml:space="preserve"> Just over a year later — on February 16, 2016 — the Board terminated Alston's paid administrative leave. Alston was formally dismissed from his</w:t>
      </w:r>
      <w:r>
        <w:rPr>
          <w:rFonts w:ascii="Times New Roman" w:eastAsia="Times New Roman" w:hAnsi="Times New Roman"/>
          <w:sz w:val="24"/>
          <w:szCs w:val="24"/>
        </w:rPr>
        <w:t xml:space="preserve"> </w:t>
      </w:r>
      <w:r w:rsidRPr="00214DCF">
        <w:rPr>
          <w:rFonts w:ascii="Times New Roman" w:eastAsia="Times New Roman" w:hAnsi="Times New Roman"/>
          <w:sz w:val="24"/>
          <w:szCs w:val="24"/>
        </w:rPr>
        <w:t>firefighter position by unanimous vote of the Board on October 5, 2016.</w:t>
      </w:r>
    </w:p>
    <w:p w14:paraId="264EBE96" w14:textId="77777777" w:rsidR="00EB2493" w:rsidRDefault="00EB2493" w:rsidP="00EB249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5F253E3" w14:textId="77777777" w:rsidR="00EB2493" w:rsidRPr="003E5782" w:rsidRDefault="00EB2493" w:rsidP="00EB2493">
      <w:pPr>
        <w:pStyle w:val="NormalWeb"/>
        <w:ind w:left="720"/>
      </w:pPr>
      <w:r w:rsidRPr="003E5782">
        <w:t>We need go no further. For aught that appears, Spiegel was at most a peripheral player in the evolving saga of Alston's difficulties with the Town, the Board, and the Department. Alston has had three opportunities to plead his claims against Spiegel, and he has come up empty. There simply are no facts pleaded in the SAC sufficient to ground a reasonable inference that Spiegel</w:t>
      </w:r>
      <w:r>
        <w:t xml:space="preserve"> </w:t>
      </w:r>
      <w:r w:rsidRPr="003E5782">
        <w:t xml:space="preserve">is liable to Alston for any of the wrongs alleged. Put bluntly, the facts set forth are too meager to lift Alston's claims over the threshold of conjecture. We therefore </w:t>
      </w:r>
      <w:r w:rsidRPr="003E5782">
        <w:rPr>
          <w:u w:val="single"/>
        </w:rPr>
        <w:t>affirm</w:t>
      </w:r>
      <w:r w:rsidRPr="003E5782">
        <w:t xml:space="preserve"> the judgment of the district court dismissing Alston's claims. We </w:t>
      </w:r>
      <w:r w:rsidRPr="003E5782">
        <w:rPr>
          <w:u w:val="single"/>
        </w:rPr>
        <w:t>retain</w:t>
      </w:r>
      <w:r w:rsidRPr="003E5782">
        <w:t xml:space="preserve"> appellate jurisdiction over Alston's appeal insofar as it relates to his claims against other defendants.</w:t>
      </w:r>
      <w:r>
        <w:t xml:space="preserve">” </w:t>
      </w:r>
      <w:hyperlink r:id="rId1570" w:history="1">
        <w:r w:rsidRPr="008561DB">
          <w:rPr>
            <w:rStyle w:val="Hyperlink"/>
          </w:rPr>
          <w:t>https://casetext.com/case/alston-v-spiegel</w:t>
        </w:r>
      </w:hyperlink>
      <w:r>
        <w:t xml:space="preserve"> </w:t>
      </w:r>
    </w:p>
    <w:p w14:paraId="609FE75B" w14:textId="77777777" w:rsidR="00EB2493" w:rsidRPr="003E5782" w:rsidRDefault="00EB2493" w:rsidP="00EB2493">
      <w:pPr>
        <w:spacing w:before="100" w:beforeAutospacing="1" w:after="100" w:afterAutospacing="1" w:line="240" w:lineRule="auto"/>
        <w:rPr>
          <w:rFonts w:ascii="Times New Roman" w:eastAsia="Times New Roman" w:hAnsi="Times New Roman"/>
          <w:b/>
          <w:bCs/>
          <w:sz w:val="24"/>
          <w:szCs w:val="24"/>
        </w:rPr>
      </w:pPr>
      <w:r w:rsidRPr="00670C0A">
        <w:rPr>
          <w:rFonts w:ascii="Times New Roman" w:hAnsi="Times New Roman"/>
          <w:b/>
          <w:bCs/>
          <w:sz w:val="24"/>
          <w:szCs w:val="24"/>
        </w:rPr>
        <w:t>Legal Lesson Learned:</w:t>
      </w:r>
      <w:r>
        <w:rPr>
          <w:rFonts w:ascii="Times New Roman" w:hAnsi="Times New Roman"/>
          <w:b/>
          <w:bCs/>
          <w:sz w:val="24"/>
          <w:szCs w:val="24"/>
        </w:rPr>
        <w:t xml:space="preserve">  There was no proof of racial discrimination, retaliation, or conspiracy by this elected member of the Town Meeting.  </w:t>
      </w:r>
    </w:p>
    <w:p w14:paraId="2314C85E" w14:textId="04D2ECAA" w:rsidR="00EB2493" w:rsidRDefault="00EB2493" w:rsidP="00BC70A3">
      <w:pPr>
        <w:rPr>
          <w:rFonts w:ascii="Arial Black" w:hAnsi="Arial Black"/>
          <w:b/>
          <w:sz w:val="24"/>
          <w:szCs w:val="24"/>
        </w:rPr>
      </w:pPr>
    </w:p>
    <w:p w14:paraId="2ACDEBA2" w14:textId="551AE366" w:rsidR="00EB2493" w:rsidRDefault="00EB2493" w:rsidP="00BC70A3">
      <w:pPr>
        <w:rPr>
          <w:rFonts w:ascii="Arial Black" w:hAnsi="Arial Black"/>
          <w:b/>
          <w:sz w:val="24"/>
          <w:szCs w:val="24"/>
        </w:rPr>
      </w:pPr>
      <w:r>
        <w:rPr>
          <w:rFonts w:ascii="Arial Black" w:hAnsi="Arial Black"/>
          <w:b/>
          <w:sz w:val="24"/>
          <w:szCs w:val="24"/>
        </w:rPr>
        <w:t>8-27</w:t>
      </w:r>
    </w:p>
    <w:p w14:paraId="2B320BD6" w14:textId="77777777" w:rsidR="00EB2493" w:rsidRPr="007C11FC" w:rsidRDefault="00EB2493" w:rsidP="00EB2493">
      <w:pPr>
        <w:pStyle w:val="NoSpacing"/>
        <w:rPr>
          <w:rFonts w:ascii="Arial Black" w:hAnsi="Arial Black"/>
          <w:sz w:val="28"/>
          <w:szCs w:val="28"/>
        </w:rPr>
      </w:pPr>
      <w:r>
        <w:rPr>
          <w:rFonts w:ascii="Arial Black" w:hAnsi="Arial Black"/>
          <w:sz w:val="28"/>
          <w:szCs w:val="28"/>
        </w:rPr>
        <w:t xml:space="preserve">IL: CHICAGO FF / PUERTO RICO - “HOSTILE WORK ENVIRONMENT” PROCEED– MADE INTERNAL COMPLAINTS </w:t>
      </w:r>
    </w:p>
    <w:p w14:paraId="39FCEA82" w14:textId="77777777" w:rsidR="00EB2493" w:rsidRDefault="00EB2493" w:rsidP="00EB2493">
      <w:pPr>
        <w:pStyle w:val="NoSpacing"/>
      </w:pPr>
    </w:p>
    <w:p w14:paraId="36BD47EE" w14:textId="77777777" w:rsidR="00EB2493" w:rsidRDefault="00EB2493" w:rsidP="00EB2493">
      <w:pPr>
        <w:pStyle w:val="NoSpacing"/>
        <w:rPr>
          <w:rFonts w:ascii="Times New Roman" w:hAnsi="Times New Roman"/>
          <w:sz w:val="24"/>
          <w:szCs w:val="24"/>
        </w:rPr>
      </w:pPr>
      <w:r>
        <w:rPr>
          <w:rFonts w:ascii="Times New Roman" w:hAnsi="Times New Roman"/>
          <w:sz w:val="24"/>
          <w:szCs w:val="24"/>
        </w:rPr>
        <w:t xml:space="preserve">On Feb. 18, 2021, in </w:t>
      </w:r>
      <w:r w:rsidRPr="007C11FC">
        <w:rPr>
          <w:rFonts w:ascii="Times New Roman" w:hAnsi="Times New Roman"/>
          <w:sz w:val="24"/>
          <w:szCs w:val="24"/>
          <w:u w:val="single"/>
        </w:rPr>
        <w:t>Robert G. Alamo v. The City of Chicago, et al</w:t>
      </w:r>
      <w:r>
        <w:rPr>
          <w:rFonts w:ascii="Times New Roman" w:hAnsi="Times New Roman"/>
          <w:sz w:val="24"/>
          <w:szCs w:val="24"/>
        </w:rPr>
        <w:t xml:space="preserve">., U.S. District Court Judge Sharon Johnson Coleman, U.S. District Court for the Northern District of Illinois (Eastern Division) held that the lawsuit by the former fighter, may proceed against the </w:t>
      </w:r>
      <w:proofErr w:type="gramStart"/>
      <w:r>
        <w:rPr>
          <w:rFonts w:ascii="Times New Roman" w:hAnsi="Times New Roman"/>
          <w:sz w:val="24"/>
          <w:szCs w:val="24"/>
        </w:rPr>
        <w:t>City</w:t>
      </w:r>
      <w:proofErr w:type="gramEnd"/>
      <w:r>
        <w:rPr>
          <w:rFonts w:ascii="Times New Roman" w:hAnsi="Times New Roman"/>
          <w:sz w:val="24"/>
          <w:szCs w:val="24"/>
        </w:rPr>
        <w:t xml:space="preserve"> on his claim of “hostile workplace environment” since he made complaints to Supervisors and to Internal Affairs.  His other claims in the lawsuit of national origin, race and disabilities discrimination were dismissed; he was fired after being diagnosed as “unfit for duty” (PTSD). </w:t>
      </w:r>
    </w:p>
    <w:p w14:paraId="167D52F9" w14:textId="77777777" w:rsidR="00EB2493"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305556">
        <w:rPr>
          <w:rFonts w:ascii="Times New Roman" w:hAnsi="Times New Roman"/>
          <w:sz w:val="24"/>
          <w:szCs w:val="24"/>
        </w:rPr>
        <w:t xml:space="preserve">On September 13, 2011, Alamo reported for duty at Engine 55. He was not feeling well, so he decided to go to the bunkroom to lie down, at which time he told a coworker to come get him if a call came in. Later that day, Captain Pat Stefan awakened Alamo by pushing and shaking him, and shouting </w:t>
      </w:r>
      <w:r>
        <w:rPr>
          <w:rFonts w:ascii="Times New Roman" w:hAnsi="Times New Roman"/>
          <w:sz w:val="24"/>
          <w:szCs w:val="24"/>
        </w:rPr>
        <w:t>‘</w:t>
      </w:r>
      <w:r w:rsidRPr="00305556">
        <w:rPr>
          <w:rFonts w:ascii="Times New Roman" w:hAnsi="Times New Roman"/>
          <w:sz w:val="24"/>
          <w:szCs w:val="24"/>
        </w:rPr>
        <w:t>Mother</w:t>
      </w:r>
      <w:r>
        <w:rPr>
          <w:rFonts w:ascii="Times New Roman" w:hAnsi="Times New Roman"/>
          <w:sz w:val="24"/>
          <w:szCs w:val="24"/>
        </w:rPr>
        <w:t xml:space="preserve"> </w:t>
      </w:r>
      <w:r w:rsidRPr="00305556">
        <w:rPr>
          <w:rFonts w:ascii="Times New Roman" w:hAnsi="Times New Roman"/>
          <w:sz w:val="24"/>
          <w:szCs w:val="24"/>
        </w:rPr>
        <w:t xml:space="preserve">fucker </w:t>
      </w:r>
      <w:proofErr w:type="gramStart"/>
      <w:r w:rsidRPr="00305556">
        <w:rPr>
          <w:rFonts w:ascii="Times New Roman" w:hAnsi="Times New Roman"/>
          <w:sz w:val="24"/>
          <w:szCs w:val="24"/>
        </w:rPr>
        <w:t>get</w:t>
      </w:r>
      <w:proofErr w:type="gramEnd"/>
      <w:r w:rsidRPr="00305556">
        <w:rPr>
          <w:rFonts w:ascii="Times New Roman" w:hAnsi="Times New Roman"/>
          <w:sz w:val="24"/>
          <w:szCs w:val="24"/>
        </w:rPr>
        <w:t xml:space="preserve"> up. You missed the run. You motherfucker. You lazy mother</w:t>
      </w:r>
      <w:r>
        <w:rPr>
          <w:rFonts w:ascii="Times New Roman" w:hAnsi="Times New Roman"/>
          <w:sz w:val="24"/>
          <w:szCs w:val="24"/>
        </w:rPr>
        <w:t xml:space="preserve"> </w:t>
      </w:r>
      <w:r w:rsidRPr="00305556">
        <w:rPr>
          <w:rFonts w:ascii="Times New Roman" w:hAnsi="Times New Roman"/>
          <w:sz w:val="24"/>
          <w:szCs w:val="24"/>
        </w:rPr>
        <w:t>fucker. You piece of shit.</w:t>
      </w:r>
      <w:r>
        <w:rPr>
          <w:rFonts w:ascii="Times New Roman" w:hAnsi="Times New Roman"/>
          <w:sz w:val="24"/>
          <w:szCs w:val="24"/>
        </w:rPr>
        <w:t>’</w:t>
      </w:r>
      <w:r w:rsidRPr="00305556">
        <w:rPr>
          <w:rFonts w:ascii="Times New Roman" w:hAnsi="Times New Roman"/>
          <w:sz w:val="24"/>
          <w:szCs w:val="24"/>
        </w:rPr>
        <w:t xml:space="preserve"> Alamo testified that during this altercation, Captain Stefan told him he did not like </w:t>
      </w:r>
      <w:r>
        <w:rPr>
          <w:rFonts w:ascii="Times New Roman" w:hAnsi="Times New Roman"/>
          <w:sz w:val="24"/>
          <w:szCs w:val="24"/>
        </w:rPr>
        <w:t>‘</w:t>
      </w:r>
      <w:r w:rsidRPr="00305556">
        <w:rPr>
          <w:rFonts w:ascii="Times New Roman" w:hAnsi="Times New Roman"/>
          <w:sz w:val="24"/>
          <w:szCs w:val="24"/>
        </w:rPr>
        <w:t>his kind.</w:t>
      </w:r>
      <w:r>
        <w:rPr>
          <w:rFonts w:ascii="Times New Roman" w:hAnsi="Times New Roman"/>
          <w:sz w:val="24"/>
          <w:szCs w:val="24"/>
        </w:rPr>
        <w:t>’</w:t>
      </w:r>
      <w:r w:rsidRPr="00305556">
        <w:rPr>
          <w:rFonts w:ascii="Times New Roman" w:hAnsi="Times New Roman"/>
          <w:sz w:val="24"/>
          <w:szCs w:val="24"/>
        </w:rPr>
        <w:t xml:space="preserve"> He also testified that </w:t>
      </w:r>
      <w:r>
        <w:rPr>
          <w:rFonts w:ascii="Times New Roman" w:hAnsi="Times New Roman"/>
          <w:sz w:val="24"/>
          <w:szCs w:val="24"/>
        </w:rPr>
        <w:t>‘</w:t>
      </w:r>
      <w:r w:rsidRPr="00305556">
        <w:rPr>
          <w:rFonts w:ascii="Times New Roman" w:hAnsi="Times New Roman"/>
          <w:sz w:val="24"/>
          <w:szCs w:val="24"/>
        </w:rPr>
        <w:t>I believe Captain Stefan called me a spic.</w:t>
      </w:r>
      <w:r>
        <w:rPr>
          <w:rFonts w:ascii="Times New Roman" w:hAnsi="Times New Roman"/>
          <w:sz w:val="24"/>
          <w:szCs w:val="24"/>
        </w:rPr>
        <w:t>’</w:t>
      </w:r>
      <w:r w:rsidRPr="00305556">
        <w:rPr>
          <w:rFonts w:ascii="Times New Roman" w:hAnsi="Times New Roman"/>
          <w:sz w:val="24"/>
          <w:szCs w:val="24"/>
        </w:rPr>
        <w:t xml:space="preserve"> During this incident, Captain Stefan chest bumped Alamo resulting in a contusion.</w:t>
      </w:r>
      <w:r>
        <w:rPr>
          <w:rFonts w:ascii="Times New Roman" w:hAnsi="Times New Roman"/>
          <w:sz w:val="24"/>
          <w:szCs w:val="24"/>
        </w:rPr>
        <w:t xml:space="preserve"> </w:t>
      </w:r>
      <w:r w:rsidRPr="00305556">
        <w:rPr>
          <w:rFonts w:ascii="Times New Roman" w:hAnsi="Times New Roman"/>
          <w:sz w:val="24"/>
          <w:szCs w:val="24"/>
        </w:rPr>
        <w:t xml:space="preserve">After this incident, Alamo called the police department and filed a report. Two days after the incident with Captain Stefan, Alamo went on a medical </w:t>
      </w:r>
      <w:r>
        <w:rPr>
          <w:rFonts w:ascii="Times New Roman" w:hAnsi="Times New Roman"/>
          <w:sz w:val="24"/>
          <w:szCs w:val="24"/>
        </w:rPr>
        <w:t>‘l</w:t>
      </w:r>
      <w:r w:rsidRPr="00305556">
        <w:rPr>
          <w:rFonts w:ascii="Times New Roman" w:hAnsi="Times New Roman"/>
          <w:sz w:val="24"/>
          <w:szCs w:val="24"/>
        </w:rPr>
        <w:t>ay-up</w:t>
      </w:r>
      <w:r>
        <w:rPr>
          <w:rFonts w:ascii="Times New Roman" w:hAnsi="Times New Roman"/>
          <w:sz w:val="24"/>
          <w:szCs w:val="24"/>
        </w:rPr>
        <w:t>’</w:t>
      </w:r>
      <w:r w:rsidRPr="00305556">
        <w:rPr>
          <w:rFonts w:ascii="Times New Roman" w:hAnsi="Times New Roman"/>
          <w:sz w:val="24"/>
          <w:szCs w:val="24"/>
        </w:rPr>
        <w:t xml:space="preserve"> for what Alamo described as chest pains, stress, and anxiety. Alamo testified that while he was on lay-up, other firefighters harassed him at his home during </w:t>
      </w:r>
      <w:r>
        <w:rPr>
          <w:rFonts w:ascii="Times New Roman" w:hAnsi="Times New Roman"/>
          <w:sz w:val="24"/>
          <w:szCs w:val="24"/>
        </w:rPr>
        <w:t>‘</w:t>
      </w:r>
      <w:r w:rsidRPr="00305556">
        <w:rPr>
          <w:rFonts w:ascii="Times New Roman" w:hAnsi="Times New Roman"/>
          <w:sz w:val="24"/>
          <w:szCs w:val="24"/>
        </w:rPr>
        <w:t>wellness checks.</w:t>
      </w:r>
      <w:r>
        <w:rPr>
          <w:rFonts w:ascii="Times New Roman" w:hAnsi="Times New Roman"/>
          <w:sz w:val="24"/>
          <w:szCs w:val="24"/>
        </w:rPr>
        <w:t>’</w:t>
      </w:r>
    </w:p>
    <w:p w14:paraId="60E4E84E" w14:textId="77777777" w:rsidR="00EB2493"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8B0EDF9" w14:textId="77777777" w:rsidR="00EB2493" w:rsidRPr="00E61BCF" w:rsidRDefault="00EB2493" w:rsidP="00EB2493">
      <w:pPr>
        <w:spacing w:before="100" w:beforeAutospacing="1" w:after="100" w:afterAutospacing="1" w:line="240" w:lineRule="auto"/>
        <w:ind w:left="720"/>
        <w:rPr>
          <w:sz w:val="24"/>
          <w:szCs w:val="24"/>
        </w:rPr>
      </w:pPr>
      <w:r w:rsidRPr="000B20EC">
        <w:rPr>
          <w:rFonts w:ascii="Times New Roman" w:eastAsia="Times New Roman" w:hAnsi="Times New Roman"/>
          <w:sz w:val="24"/>
          <w:szCs w:val="24"/>
        </w:rPr>
        <w:t>Alamo</w:t>
      </w:r>
      <w:r>
        <w:rPr>
          <w:rFonts w:ascii="Times New Roman" w:eastAsia="Times New Roman" w:hAnsi="Times New Roman"/>
          <w:sz w:val="24"/>
          <w:szCs w:val="24"/>
        </w:rPr>
        <w:t xml:space="preserve"> </w:t>
      </w:r>
      <w:r w:rsidRPr="000B20EC">
        <w:rPr>
          <w:rFonts w:ascii="Times New Roman" w:eastAsia="Times New Roman" w:hAnsi="Times New Roman"/>
          <w:sz w:val="24"/>
          <w:szCs w:val="24"/>
        </w:rPr>
        <w:t xml:space="preserve">has presented evidence that he complained to his supervisors of the harassment. For example, on a form in evidence dated January 2, 2012, Alamo explains why he believes he was subjected to a hostile work environment based on the September 2011 events with Captain Stefan and that he had also submitted </w:t>
      </w:r>
      <w:proofErr w:type="gramStart"/>
      <w:r w:rsidRPr="000B20EC">
        <w:rPr>
          <w:rFonts w:ascii="Times New Roman" w:eastAsia="Times New Roman" w:hAnsi="Times New Roman"/>
          <w:sz w:val="24"/>
          <w:szCs w:val="24"/>
        </w:rPr>
        <w:t>a Form</w:t>
      </w:r>
      <w:proofErr w:type="gramEnd"/>
      <w:r w:rsidRPr="000B20EC">
        <w:rPr>
          <w:rFonts w:ascii="Times New Roman" w:eastAsia="Times New Roman" w:hAnsi="Times New Roman"/>
          <w:sz w:val="24"/>
          <w:szCs w:val="24"/>
        </w:rPr>
        <w:t xml:space="preserve"> 2 to the Internal Affairs </w:t>
      </w:r>
      <w:proofErr w:type="gramStart"/>
      <w:r w:rsidRPr="000B20EC">
        <w:rPr>
          <w:rFonts w:ascii="Times New Roman" w:eastAsia="Times New Roman" w:hAnsi="Times New Roman"/>
          <w:sz w:val="24"/>
          <w:szCs w:val="24"/>
        </w:rPr>
        <w:t>Division (</w:t>
      </w:r>
      <w:r>
        <w:rPr>
          <w:rFonts w:ascii="Times New Roman" w:eastAsia="Times New Roman" w:hAnsi="Times New Roman"/>
          <w:sz w:val="24"/>
          <w:szCs w:val="24"/>
        </w:rPr>
        <w:t>‘</w:t>
      </w:r>
      <w:proofErr w:type="gramEnd"/>
      <w:r w:rsidRPr="000B20EC">
        <w:rPr>
          <w:rFonts w:ascii="Times New Roman" w:eastAsia="Times New Roman" w:hAnsi="Times New Roman"/>
          <w:sz w:val="24"/>
          <w:szCs w:val="24"/>
        </w:rPr>
        <w:t>IAD</w:t>
      </w:r>
      <w:r>
        <w:rPr>
          <w:rFonts w:ascii="Times New Roman" w:eastAsia="Times New Roman" w:hAnsi="Times New Roman"/>
          <w:sz w:val="24"/>
          <w:szCs w:val="24"/>
        </w:rPr>
        <w:t>’</w:t>
      </w:r>
      <w:r w:rsidRPr="000B20EC">
        <w:rPr>
          <w:rFonts w:ascii="Times New Roman" w:eastAsia="Times New Roman" w:hAnsi="Times New Roman"/>
          <w:sz w:val="24"/>
          <w:szCs w:val="24"/>
        </w:rPr>
        <w:t xml:space="preserve">). Alamo also filed a Form 2 to the IAD dated February 22, </w:t>
      </w:r>
      <w:proofErr w:type="gramStart"/>
      <w:r w:rsidRPr="000B20EC">
        <w:rPr>
          <w:rFonts w:ascii="Times New Roman" w:eastAsia="Times New Roman" w:hAnsi="Times New Roman"/>
          <w:sz w:val="24"/>
          <w:szCs w:val="24"/>
        </w:rPr>
        <w:t>2013</w:t>
      </w:r>
      <w:proofErr w:type="gramEnd"/>
      <w:r w:rsidRPr="000B20EC">
        <w:rPr>
          <w:rFonts w:ascii="Times New Roman" w:eastAsia="Times New Roman" w:hAnsi="Times New Roman"/>
          <w:sz w:val="24"/>
          <w:szCs w:val="24"/>
        </w:rPr>
        <w:t xml:space="preserve"> explaining that Captain Stefan stated he didn't like Alamo's </w:t>
      </w:r>
      <w:r>
        <w:rPr>
          <w:rFonts w:ascii="Times New Roman" w:eastAsia="Times New Roman" w:hAnsi="Times New Roman"/>
          <w:sz w:val="24"/>
          <w:szCs w:val="24"/>
        </w:rPr>
        <w:t>‘</w:t>
      </w:r>
      <w:r w:rsidRPr="000B20EC">
        <w:rPr>
          <w:rFonts w:ascii="Times New Roman" w:eastAsia="Times New Roman" w:hAnsi="Times New Roman"/>
          <w:sz w:val="24"/>
          <w:szCs w:val="24"/>
        </w:rPr>
        <w:t>kind.</w:t>
      </w:r>
      <w:r>
        <w:rPr>
          <w:rFonts w:ascii="Times New Roman" w:eastAsia="Times New Roman" w:hAnsi="Times New Roman"/>
          <w:sz w:val="24"/>
          <w:szCs w:val="24"/>
        </w:rPr>
        <w:t>’</w:t>
      </w:r>
      <w:r w:rsidRPr="000B20EC">
        <w:rPr>
          <w:rFonts w:ascii="Times New Roman" w:eastAsia="Times New Roman" w:hAnsi="Times New Roman"/>
          <w:sz w:val="24"/>
          <w:szCs w:val="24"/>
        </w:rPr>
        <w:t xml:space="preserve"> Other evidence of notice includes Lieutenant Bliss' testimony that after Alamo informed him of the incident with Captain Stefan, Bliss called Chief Steven </w:t>
      </w:r>
      <w:proofErr w:type="spellStart"/>
      <w:r w:rsidRPr="000B20EC">
        <w:rPr>
          <w:rFonts w:ascii="Times New Roman" w:eastAsia="Times New Roman" w:hAnsi="Times New Roman"/>
          <w:sz w:val="24"/>
          <w:szCs w:val="24"/>
        </w:rPr>
        <w:t>Chikerotis</w:t>
      </w:r>
      <w:proofErr w:type="spellEnd"/>
      <w:r w:rsidRPr="000B20EC">
        <w:rPr>
          <w:rFonts w:ascii="Times New Roman" w:eastAsia="Times New Roman" w:hAnsi="Times New Roman"/>
          <w:sz w:val="24"/>
          <w:szCs w:val="24"/>
        </w:rPr>
        <w:t xml:space="preserve"> to review the incident. Further, Alamo testified at his deposition that he turned in numerous Form 2s to his chain of command</w:t>
      </w:r>
      <w:r>
        <w:rPr>
          <w:rFonts w:ascii="Times New Roman" w:eastAsia="Times New Roman" w:hAnsi="Times New Roman"/>
          <w:sz w:val="24"/>
          <w:szCs w:val="24"/>
        </w:rPr>
        <w:t xml:space="preserve"> </w:t>
      </w:r>
      <w:r w:rsidRPr="000B20EC">
        <w:rPr>
          <w:rFonts w:ascii="Times New Roman" w:eastAsia="Times New Roman" w:hAnsi="Times New Roman"/>
          <w:sz w:val="24"/>
          <w:szCs w:val="24"/>
        </w:rPr>
        <w:t>about the harassment and that he reported the racial slurs and that other firefighters were throwing away his food to his supervisor Lieutenant Bliss.</w:t>
      </w:r>
      <w:r>
        <w:rPr>
          <w:rFonts w:ascii="Times New Roman" w:eastAsia="Times New Roman" w:hAnsi="Times New Roman"/>
          <w:sz w:val="24"/>
          <w:szCs w:val="24"/>
        </w:rPr>
        <w:t>”</w:t>
      </w:r>
    </w:p>
    <w:p w14:paraId="46A64A0A" w14:textId="77777777" w:rsidR="00EB2493"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747340A4" w14:textId="77777777" w:rsidR="00EB2493" w:rsidRDefault="00EB2493" w:rsidP="00EB2493">
      <w:pPr>
        <w:spacing w:before="100" w:beforeAutospacing="1" w:after="100" w:afterAutospacing="1" w:line="240" w:lineRule="auto"/>
        <w:ind w:left="720"/>
        <w:rPr>
          <w:rFonts w:ascii="Times New Roman" w:hAnsi="Times New Roman"/>
          <w:sz w:val="24"/>
          <w:szCs w:val="24"/>
        </w:rPr>
      </w:pPr>
      <w:r w:rsidRPr="00305556">
        <w:rPr>
          <w:rFonts w:ascii="Times New Roman" w:hAnsi="Times New Roman"/>
          <w:sz w:val="24"/>
          <w:szCs w:val="24"/>
        </w:rPr>
        <w:t xml:space="preserve">Looking at the totality of the evidence, it is </w:t>
      </w:r>
      <w:r>
        <w:rPr>
          <w:rFonts w:ascii="Times New Roman" w:hAnsi="Times New Roman"/>
          <w:sz w:val="24"/>
          <w:szCs w:val="24"/>
        </w:rPr>
        <w:t>‘</w:t>
      </w:r>
      <w:r w:rsidRPr="00305556">
        <w:rPr>
          <w:rFonts w:ascii="Times New Roman" w:hAnsi="Times New Roman"/>
          <w:sz w:val="24"/>
          <w:szCs w:val="24"/>
        </w:rPr>
        <w:t xml:space="preserve">significant that </w:t>
      </w:r>
      <w:proofErr w:type="gramStart"/>
      <w:r w:rsidRPr="00305556">
        <w:rPr>
          <w:rFonts w:ascii="Times New Roman" w:hAnsi="Times New Roman"/>
          <w:sz w:val="24"/>
          <w:szCs w:val="24"/>
        </w:rPr>
        <w:t>the harassment</w:t>
      </w:r>
      <w:proofErr w:type="gramEnd"/>
      <w:r w:rsidRPr="00305556">
        <w:rPr>
          <w:rFonts w:ascii="Times New Roman" w:hAnsi="Times New Roman"/>
          <w:sz w:val="24"/>
          <w:szCs w:val="24"/>
        </w:rPr>
        <w:t xml:space="preserve"> occurred in an atmosphere where firefighters live and serve together and in which mutual interdependence is an essential factor in effectiveness and, at times, survival.</w:t>
      </w:r>
      <w:r>
        <w:rPr>
          <w:rFonts w:ascii="Times New Roman" w:hAnsi="Times New Roman"/>
          <w:sz w:val="24"/>
          <w:szCs w:val="24"/>
        </w:rPr>
        <w:t>’</w:t>
      </w:r>
      <w:r w:rsidRPr="00305556">
        <w:rPr>
          <w:rFonts w:ascii="Times New Roman" w:hAnsi="Times New Roman"/>
          <w:sz w:val="24"/>
          <w:szCs w:val="24"/>
        </w:rPr>
        <w:t xml:space="preserve"> </w:t>
      </w:r>
      <w:r w:rsidRPr="00305556">
        <w:rPr>
          <w:rFonts w:ascii="Times New Roman" w:hAnsi="Times New Roman"/>
          <w:i/>
          <w:iCs/>
          <w:sz w:val="24"/>
          <w:szCs w:val="24"/>
        </w:rPr>
        <w:t>Alamo</w:t>
      </w:r>
      <w:r w:rsidRPr="00305556">
        <w:rPr>
          <w:rFonts w:ascii="Times New Roman" w:hAnsi="Times New Roman"/>
          <w:sz w:val="24"/>
          <w:szCs w:val="24"/>
        </w:rPr>
        <w:t>, 864 F.3d at 551.</w:t>
      </w:r>
      <w:r>
        <w:rPr>
          <w:rFonts w:ascii="Times New Roman" w:hAnsi="Times New Roman"/>
          <w:sz w:val="24"/>
          <w:szCs w:val="24"/>
        </w:rPr>
        <w:t xml:space="preserve">” </w:t>
      </w:r>
      <w:hyperlink r:id="rId1571" w:history="1">
        <w:r w:rsidRPr="00023471">
          <w:rPr>
            <w:rStyle w:val="Hyperlink"/>
            <w:rFonts w:ascii="Times New Roman" w:hAnsi="Times New Roman"/>
            <w:sz w:val="24"/>
            <w:szCs w:val="24"/>
          </w:rPr>
          <w:t>https://casetext.com/case/alamo-v-city-of-chi-2</w:t>
        </w:r>
      </w:hyperlink>
      <w:r>
        <w:rPr>
          <w:rFonts w:ascii="Times New Roman" w:hAnsi="Times New Roman"/>
          <w:sz w:val="24"/>
          <w:szCs w:val="24"/>
        </w:rPr>
        <w:t xml:space="preserve"> </w:t>
      </w:r>
    </w:p>
    <w:p w14:paraId="259761E5" w14:textId="77777777" w:rsidR="00EB2493" w:rsidRDefault="00EB2493" w:rsidP="00EB2493">
      <w:pPr>
        <w:spacing w:before="100" w:beforeAutospacing="1" w:after="100" w:afterAutospacing="1" w:line="240" w:lineRule="auto"/>
        <w:rPr>
          <w:rFonts w:ascii="Times New Roman" w:hAnsi="Times New Roman"/>
          <w:b/>
          <w:bCs/>
          <w:sz w:val="24"/>
          <w:szCs w:val="24"/>
        </w:rPr>
      </w:pPr>
      <w:r w:rsidRPr="000E79A2">
        <w:rPr>
          <w:rFonts w:ascii="Times New Roman" w:hAnsi="Times New Roman"/>
          <w:b/>
          <w:bCs/>
          <w:sz w:val="24"/>
          <w:szCs w:val="24"/>
        </w:rPr>
        <w:t>Legal Lesson Learned:</w:t>
      </w:r>
      <w:r>
        <w:rPr>
          <w:rFonts w:ascii="Times New Roman" w:hAnsi="Times New Roman"/>
          <w:b/>
          <w:bCs/>
          <w:sz w:val="24"/>
          <w:szCs w:val="24"/>
        </w:rPr>
        <w:t xml:space="preserve">  Internal complaints of hostile work environment, whether complaints about Supervisors or about fellow firefighters, should be promptly investigated and corrective action documented. </w:t>
      </w:r>
    </w:p>
    <w:p w14:paraId="0392A0DE" w14:textId="3AC07CD1" w:rsidR="00EB2493" w:rsidRDefault="00EB2493" w:rsidP="00BC70A3">
      <w:pPr>
        <w:rPr>
          <w:rFonts w:ascii="Arial Black" w:hAnsi="Arial Black"/>
          <w:b/>
          <w:sz w:val="24"/>
          <w:szCs w:val="24"/>
        </w:rPr>
      </w:pPr>
    </w:p>
    <w:p w14:paraId="05814076" w14:textId="547ED69B" w:rsidR="00EB2493" w:rsidRDefault="00EB2493" w:rsidP="00BC70A3">
      <w:pPr>
        <w:rPr>
          <w:rFonts w:ascii="Arial Black" w:hAnsi="Arial Black"/>
          <w:b/>
          <w:sz w:val="24"/>
          <w:szCs w:val="24"/>
        </w:rPr>
      </w:pPr>
      <w:r>
        <w:rPr>
          <w:rFonts w:ascii="Arial Black" w:hAnsi="Arial Black"/>
          <w:b/>
          <w:sz w:val="24"/>
          <w:szCs w:val="24"/>
        </w:rPr>
        <w:t>8-26</w:t>
      </w:r>
    </w:p>
    <w:p w14:paraId="369DD68E" w14:textId="77777777" w:rsidR="00EB2493" w:rsidRDefault="00EB2493" w:rsidP="00EB2493">
      <w:pPr>
        <w:spacing w:before="100" w:beforeAutospacing="1" w:after="100" w:afterAutospacing="1" w:line="240" w:lineRule="auto"/>
        <w:rPr>
          <w:rFonts w:ascii="Arial Black" w:hAnsi="Arial Black"/>
          <w:sz w:val="28"/>
          <w:szCs w:val="28"/>
        </w:rPr>
      </w:pPr>
      <w:r>
        <w:rPr>
          <w:rFonts w:ascii="Arial Black" w:hAnsi="Arial Black"/>
          <w:sz w:val="28"/>
          <w:szCs w:val="28"/>
        </w:rPr>
        <w:t>MI: PALESTINIAN FF – NATIONAL ORIGIN CLAIMS UNPROVEN – ALLOWED BEARD, AND TO WORK NIGHTS DURING RAMADAN</w:t>
      </w:r>
    </w:p>
    <w:p w14:paraId="603CE591" w14:textId="77777777" w:rsidR="00EB2493" w:rsidRDefault="00EB2493" w:rsidP="00EB2493">
      <w:pPr>
        <w:pStyle w:val="NormalWeb"/>
      </w:pPr>
      <w:r>
        <w:t xml:space="preserve">On Feb. 4, 2021, in </w:t>
      </w:r>
      <w:r w:rsidRPr="001E13BD">
        <w:rPr>
          <w:u w:val="single"/>
        </w:rPr>
        <w:t>Alaa Saade v. City of Detroit,</w:t>
      </w:r>
      <w:r>
        <w:rPr>
          <w:u w:val="single"/>
        </w:rPr>
        <w:t xml:space="preserve"> </w:t>
      </w:r>
      <w:r w:rsidRPr="001E13BD">
        <w:rPr>
          <w:u w:val="single"/>
        </w:rPr>
        <w:t>et al.</w:t>
      </w:r>
      <w:r>
        <w:t xml:space="preserve">  U.S. District Judge Judith E. Levy granted the defendants motion for summary judgment.  His claims of national origin discrimination, including not being promoted and disciplined for delaying ambulance response, dismissed for lack of proof.  He was allowed when hired to wear a beard, and his claim of not being accommodated during Ramadan was proven false – he was allowed to work Night Shift. </w:t>
      </w:r>
      <w:hyperlink r:id="rId1572" w:history="1">
        <w:r w:rsidRPr="005D199E">
          <w:rPr>
            <w:rStyle w:val="Hyperlink"/>
          </w:rPr>
          <w:t>https://casetext.com/case/saade-v-city-of-detroit-1</w:t>
        </w:r>
      </w:hyperlink>
      <w:r>
        <w:t xml:space="preserve">  </w:t>
      </w:r>
    </w:p>
    <w:p w14:paraId="1B3FDFAB" w14:textId="77777777" w:rsidR="00EB2493" w:rsidRDefault="00EB2493" w:rsidP="00EB2493">
      <w:pPr>
        <w:pStyle w:val="NormalWeb"/>
        <w:ind w:left="720"/>
        <w:rPr>
          <w:b/>
          <w:bCs/>
          <w:i/>
          <w:iCs/>
        </w:rPr>
      </w:pPr>
      <w:r>
        <w:rPr>
          <w:b/>
          <w:bCs/>
          <w:i/>
          <w:iCs/>
        </w:rPr>
        <w:t>“Failure to Promote</w:t>
      </w:r>
    </w:p>
    <w:p w14:paraId="7C745D7D" w14:textId="77777777" w:rsidR="00EB2493" w:rsidRDefault="00EB2493" w:rsidP="00EB2493">
      <w:pPr>
        <w:pStyle w:val="NormalWeb"/>
        <w:ind w:left="720"/>
      </w:pPr>
      <w:r>
        <w:t>In 2016, Plaintiff applied for job that would have led to a promotion to the rank of Shift Supervisor Grade II. (ECF No. 31, PageID.224.) He states that he was selected from many other candidates to take a written test and participate in an oral interview. Plaintiff states that he was the only candidate with a college degree, which was listed as one of the preferred job requirements.</w:t>
      </w:r>
    </w:p>
    <w:p w14:paraId="1733715C" w14:textId="77777777" w:rsidR="00EB2493" w:rsidRDefault="00EB2493" w:rsidP="00EB2493">
      <w:pPr>
        <w:pStyle w:val="NormalWeb"/>
        <w:ind w:left="720"/>
      </w:pPr>
      <w:r>
        <w:t>[Court]:  Plaintiff admitted in his deposition that he was unsuccessful at the oral interview portion of the selection process…. Specifically, when asked if it was possible another candidate got the position because they outscored Plaintiff in other categories of the application, Plaintiff admitted, "I have no idea. Anything is possible…." Plaintiff was asked what evidence he had to support his claim of discrimination and he stated, "I don't have any evidence of that. Just what I feel happened because of the way it happened, so." (</w:t>
      </w:r>
      <w:r>
        <w:rPr>
          <w:i/>
          <w:iCs/>
        </w:rPr>
        <w:t>Id</w:t>
      </w:r>
      <w:r>
        <w:t>.) This is not enough to sustain a claim of discrimination.</w:t>
      </w:r>
    </w:p>
    <w:p w14:paraId="2B908E18" w14:textId="77777777" w:rsidR="00EB2493" w:rsidRDefault="00EB2493" w:rsidP="00EB2493">
      <w:pPr>
        <w:pStyle w:val="NormalWeb"/>
        <w:ind w:left="720"/>
      </w:pPr>
      <w:r>
        <w:t>***</w:t>
      </w:r>
    </w:p>
    <w:p w14:paraId="63A806FC" w14:textId="77777777" w:rsidR="00EB2493" w:rsidRDefault="00EB2493" w:rsidP="00EB2493">
      <w:pPr>
        <w:pStyle w:val="paragraph"/>
        <w:ind w:firstLine="720"/>
      </w:pPr>
      <w:r>
        <w:rPr>
          <w:b/>
          <w:bCs/>
          <w:i/>
          <w:iCs/>
        </w:rPr>
        <w:t>March 27</w:t>
      </w:r>
      <w:r>
        <w:t xml:space="preserve">, </w:t>
      </w:r>
      <w:proofErr w:type="gramStart"/>
      <w:r>
        <w:rPr>
          <w:b/>
          <w:bCs/>
          <w:i/>
          <w:iCs/>
        </w:rPr>
        <w:t>2017</w:t>
      </w:r>
      <w:proofErr w:type="gramEnd"/>
      <w:r>
        <w:rPr>
          <w:b/>
          <w:bCs/>
          <w:i/>
          <w:iCs/>
        </w:rPr>
        <w:t xml:space="preserve"> Discipline</w:t>
      </w:r>
      <w:r>
        <w:rPr>
          <w:b/>
          <w:bCs/>
        </w:rPr>
        <w:t xml:space="preserve"> </w:t>
      </w:r>
    </w:p>
    <w:p w14:paraId="4020CA56" w14:textId="77777777" w:rsidR="00EB2493" w:rsidRDefault="00EB2493" w:rsidP="00EB2493">
      <w:pPr>
        <w:pStyle w:val="NormalWeb"/>
        <w:ind w:left="720"/>
      </w:pPr>
      <w:r>
        <w:t xml:space="preserve">On March 27, 2017, Plaintiff received a charge of discipline for delaying a run. During that </w:t>
      </w:r>
      <w:proofErr w:type="gramStart"/>
      <w:r>
        <w:t>time period</w:t>
      </w:r>
      <w:proofErr w:type="gramEnd"/>
      <w:r>
        <w:t xml:space="preserve">, the City of Detroit's EMS response times were an ongoing issue within the department….When response times exceeded eight minutes, the run would be flagged and reviewed for compliance with EMS's policy to have an ambulance in motion within one minute of a call…. </w:t>
      </w:r>
    </w:p>
    <w:p w14:paraId="44FF2873" w14:textId="77777777" w:rsidR="00EB2493" w:rsidRDefault="00EB2493" w:rsidP="00EB2493">
      <w:pPr>
        <w:pStyle w:val="NormalWeb"/>
        <w:ind w:left="720"/>
      </w:pPr>
      <w:r>
        <w:t xml:space="preserve">At 6:42 am that morning while Plaintiff was on duty, a run came in for an attempted suicide. Before the paramedics were notified of the run, another employee, Jeff Gaglio, arrived early for work on his shift and relieved Plaintiff's partner Nataki Vickers. As Gaglio and Plaintiff (who was driving the ambulance) began pulling out into the driveway for the run, Plaintiff saw his shift relief, Chris Photiades, arrive at work. Plaintiff turned the ambulance around to switch with </w:t>
      </w:r>
      <w:proofErr w:type="spellStart"/>
      <w:r>
        <w:t>Phiotades</w:t>
      </w:r>
      <w:proofErr w:type="spellEnd"/>
      <w:r>
        <w:t xml:space="preserve">. </w:t>
      </w:r>
      <w:proofErr w:type="spellStart"/>
      <w:r>
        <w:t>Phiotades</w:t>
      </w:r>
      <w:proofErr w:type="spellEnd"/>
      <w:r>
        <w:t xml:space="preserve"> and Gaglio then took the run, and arrived on the scene at 6:51 am—nine minutes after the run came in.</w:t>
      </w:r>
    </w:p>
    <w:p w14:paraId="0BBF8A23" w14:textId="77777777" w:rsidR="00EB2493" w:rsidRDefault="00EB2493" w:rsidP="00EB2493">
      <w:pPr>
        <w:pStyle w:val="NormalWeb"/>
        <w:ind w:left="720"/>
      </w:pPr>
      <w:r>
        <w:t xml:space="preserve">[Court]: Accordingly, an unserved six-hour suspension and discipline letter are not sufficient to establish a materially adverse employment action. Therefore, Plaintiff has not established a prima facie case of discrimination </w:t>
      </w:r>
      <w:proofErr w:type="gramStart"/>
      <w:r>
        <w:t>for</w:t>
      </w:r>
      <w:proofErr w:type="gramEnd"/>
      <w:r>
        <w:t xml:space="preserve"> this claim.</w:t>
      </w:r>
    </w:p>
    <w:p w14:paraId="4E2329B2" w14:textId="77777777" w:rsidR="00EB2493" w:rsidRDefault="00EB2493" w:rsidP="00EB2493">
      <w:pPr>
        <w:pStyle w:val="NormalWeb"/>
        <w:ind w:left="720"/>
        <w:rPr>
          <w:b/>
          <w:bCs/>
          <w:i/>
          <w:iCs/>
        </w:rPr>
      </w:pPr>
    </w:p>
    <w:p w14:paraId="3603685B" w14:textId="77777777" w:rsidR="00EB2493" w:rsidRDefault="00EB2493" w:rsidP="00EB2493">
      <w:pPr>
        <w:pStyle w:val="NormalWeb"/>
        <w:ind w:left="720"/>
      </w:pPr>
      <w:r>
        <w:rPr>
          <w:b/>
          <w:bCs/>
          <w:i/>
          <w:iCs/>
        </w:rPr>
        <w:t>April 2017 Ramadan Accommodation Request</w:t>
      </w:r>
    </w:p>
    <w:p w14:paraId="3BC74AF8" w14:textId="77777777" w:rsidR="00EB2493" w:rsidRDefault="00EB2493" w:rsidP="00EB2493">
      <w:pPr>
        <w:pStyle w:val="NormalWeb"/>
        <w:ind w:left="720"/>
      </w:pPr>
      <w:r>
        <w:t xml:space="preserve">[Court]: Defendants' motion for summary judgment contains e-mail exhibits indicating that Plaintiff was granted accommodations during Ramadan in 2017. For example, on Wednesday May 17, 2017, Jason Bestard, the Administrative Lieutenant for the City of Detroit Fire Department EMS Division wrote to </w:t>
      </w:r>
      <w:proofErr w:type="gramStart"/>
      <w:r>
        <w:t>Plaintiff: ‘</w:t>
      </w:r>
      <w:proofErr w:type="gramEnd"/>
      <w:r>
        <w:t xml:space="preserve">In order to accommodate your request, you will be moved to the NIGHTS 1 shift as a FLOAT PARAMEDIC for the dates, May 28 through June 20th. You will return to your regular shift Sunday, June 25th…. These dates covered the entire period for which Plaintiff sought an accommodation in his initial email to his supervisors.” </w:t>
      </w:r>
      <w:hyperlink r:id="rId1573" w:history="1">
        <w:r w:rsidRPr="005D199E">
          <w:rPr>
            <w:rStyle w:val="Hyperlink"/>
          </w:rPr>
          <w:t>https://casetext.com/case/saade-v-city-of-detroit-1</w:t>
        </w:r>
      </w:hyperlink>
      <w:r>
        <w:t xml:space="preserve">  </w:t>
      </w:r>
    </w:p>
    <w:p w14:paraId="0220A169" w14:textId="77777777" w:rsidR="00EB2493" w:rsidRDefault="00EB2493" w:rsidP="00EB2493">
      <w:pPr>
        <w:spacing w:before="100" w:beforeAutospacing="1" w:after="100" w:afterAutospacing="1" w:line="240" w:lineRule="auto"/>
        <w:rPr>
          <w:rFonts w:ascii="Times New Roman" w:hAnsi="Times New Roman"/>
          <w:b/>
          <w:bCs/>
          <w:sz w:val="24"/>
          <w:szCs w:val="24"/>
        </w:rPr>
      </w:pPr>
      <w:r w:rsidRPr="00FA450C">
        <w:rPr>
          <w:rFonts w:ascii="Times New Roman" w:hAnsi="Times New Roman"/>
          <w:b/>
          <w:bCs/>
          <w:sz w:val="24"/>
          <w:szCs w:val="24"/>
        </w:rPr>
        <w:t>Legal Lesson Learned:</w:t>
      </w:r>
      <w:r>
        <w:rPr>
          <w:rFonts w:ascii="Times New Roman" w:hAnsi="Times New Roman"/>
          <w:b/>
          <w:bCs/>
          <w:sz w:val="24"/>
          <w:szCs w:val="24"/>
        </w:rPr>
        <w:t xml:space="preserve">  Plaintiffs in establishing a “prima facie” case of discrimination has the burden of proof to demonstrate a material adverse change in the terms of his employment.</w:t>
      </w:r>
    </w:p>
    <w:p w14:paraId="20FBCC4E" w14:textId="77777777" w:rsidR="00EB2493" w:rsidRDefault="00EB2493" w:rsidP="00BC70A3">
      <w:pPr>
        <w:rPr>
          <w:rFonts w:ascii="Arial Black" w:hAnsi="Arial Black"/>
          <w:b/>
          <w:sz w:val="24"/>
          <w:szCs w:val="24"/>
        </w:rPr>
      </w:pPr>
    </w:p>
    <w:p w14:paraId="6C25FF4D" w14:textId="77777777" w:rsidR="00EB2493" w:rsidRDefault="00EB2493" w:rsidP="00BC70A3">
      <w:pPr>
        <w:rPr>
          <w:rFonts w:ascii="Arial Black" w:hAnsi="Arial Black"/>
          <w:b/>
          <w:sz w:val="24"/>
          <w:szCs w:val="24"/>
        </w:rPr>
      </w:pPr>
    </w:p>
    <w:p w14:paraId="51A776D8" w14:textId="7F1F3AF7" w:rsidR="007F3C7D" w:rsidRDefault="007F3C7D" w:rsidP="00BC70A3">
      <w:pPr>
        <w:rPr>
          <w:rFonts w:ascii="Arial Black" w:hAnsi="Arial Black"/>
          <w:b/>
          <w:sz w:val="24"/>
          <w:szCs w:val="24"/>
        </w:rPr>
      </w:pPr>
      <w:r>
        <w:rPr>
          <w:rFonts w:ascii="Arial Black" w:hAnsi="Arial Black"/>
          <w:b/>
          <w:sz w:val="24"/>
          <w:szCs w:val="24"/>
        </w:rPr>
        <w:t>8-25</w:t>
      </w:r>
    </w:p>
    <w:p w14:paraId="5C643133" w14:textId="77777777" w:rsidR="007F3C7D" w:rsidRPr="00890EBF" w:rsidRDefault="007F3C7D" w:rsidP="007F3C7D">
      <w:pPr>
        <w:pStyle w:val="NoSpacing"/>
        <w:rPr>
          <w:rFonts w:ascii="Arial Black" w:hAnsi="Arial Black"/>
          <w:sz w:val="28"/>
          <w:szCs w:val="28"/>
        </w:rPr>
      </w:pPr>
      <w:bookmarkStart w:id="318" w:name="_Hlk66947802"/>
      <w:r>
        <w:rPr>
          <w:rFonts w:ascii="Arial Black" w:hAnsi="Arial Black"/>
          <w:sz w:val="28"/>
          <w:szCs w:val="28"/>
        </w:rPr>
        <w:t xml:space="preserve">NY: SYRACUSE 1980 CONSENT DECREE – FED. JUDGE WON’T DISSOLVE – BUT DROP SEPARATE HIRING LISTS </w:t>
      </w:r>
    </w:p>
    <w:p w14:paraId="0AC04779" w14:textId="77777777" w:rsidR="007F3C7D" w:rsidRDefault="007F3C7D" w:rsidP="007F3C7D">
      <w:pPr>
        <w:pStyle w:val="NoSpacing"/>
      </w:pPr>
    </w:p>
    <w:p w14:paraId="0D82AD8C" w14:textId="77777777" w:rsidR="007F3C7D" w:rsidRPr="00890EBF" w:rsidRDefault="007F3C7D" w:rsidP="007F3C7D">
      <w:pPr>
        <w:pStyle w:val="NoSpacing"/>
        <w:rPr>
          <w:rFonts w:ascii="Times New Roman" w:hAnsi="Times New Roman"/>
          <w:sz w:val="24"/>
          <w:szCs w:val="24"/>
        </w:rPr>
      </w:pPr>
      <w:r w:rsidRPr="00890EBF">
        <w:rPr>
          <w:rFonts w:ascii="Times New Roman" w:hAnsi="Times New Roman"/>
          <w:sz w:val="24"/>
          <w:szCs w:val="24"/>
        </w:rPr>
        <w:t xml:space="preserve">On Jan. 12, 2021, in </w:t>
      </w:r>
      <w:r w:rsidRPr="00890EBF">
        <w:rPr>
          <w:rFonts w:ascii="Times New Roman" w:hAnsi="Times New Roman"/>
          <w:sz w:val="24"/>
          <w:szCs w:val="24"/>
          <w:u w:val="single"/>
        </w:rPr>
        <w:t>Lee Alexander, Mayor of Syracuse, et al. v. Victor S. Bahou, as President of the Civil Service Commission of the State of New York, et al</w:t>
      </w:r>
      <w:r w:rsidRPr="00890EBF">
        <w:rPr>
          <w:rFonts w:ascii="Times New Roman" w:hAnsi="Times New Roman"/>
          <w:sz w:val="24"/>
          <w:szCs w:val="24"/>
        </w:rPr>
        <w:t xml:space="preserve">., </w:t>
      </w:r>
      <w:r>
        <w:rPr>
          <w:rFonts w:ascii="Times New Roman" w:hAnsi="Times New Roman"/>
          <w:sz w:val="24"/>
          <w:szCs w:val="24"/>
        </w:rPr>
        <w:t xml:space="preserve">U.S. District Court Judge David, U.S. District Court for Northern District of New York, denied the U.S. Government’s motion to dissolve the 1980 Consent Decree, but did amend the Decree that had allowed the City for past 40 years to hire police and fire applicants off of separate hiring lists for minority and female applicants, instead of hiring by the State of New York “rule of three” from one list.  Instead of separate hiring lists, the </w:t>
      </w:r>
      <w:proofErr w:type="gramStart"/>
      <w:r>
        <w:rPr>
          <w:rFonts w:ascii="Times New Roman" w:hAnsi="Times New Roman"/>
          <w:sz w:val="24"/>
          <w:szCs w:val="24"/>
        </w:rPr>
        <w:t>City</w:t>
      </w:r>
      <w:proofErr w:type="gramEnd"/>
      <w:r>
        <w:rPr>
          <w:rFonts w:ascii="Times New Roman" w:hAnsi="Times New Roman"/>
          <w:sz w:val="24"/>
          <w:szCs w:val="24"/>
        </w:rPr>
        <w:t xml:space="preserve"> can give added points to minority and female applicants </w:t>
      </w:r>
      <w:proofErr w:type="gramStart"/>
      <w:r>
        <w:rPr>
          <w:rFonts w:ascii="Times New Roman" w:hAnsi="Times New Roman"/>
          <w:sz w:val="24"/>
          <w:szCs w:val="24"/>
        </w:rPr>
        <w:t>similar to</w:t>
      </w:r>
      <w:proofErr w:type="gramEnd"/>
      <w:r>
        <w:rPr>
          <w:rFonts w:ascii="Times New Roman" w:hAnsi="Times New Roman"/>
          <w:sz w:val="24"/>
          <w:szCs w:val="24"/>
        </w:rPr>
        <w:t xml:space="preserve"> points they award for residents. </w:t>
      </w:r>
    </w:p>
    <w:bookmarkEnd w:id="318"/>
    <w:p w14:paraId="69489D5D" w14:textId="77777777" w:rsidR="007F3C7D" w:rsidRDefault="007F3C7D" w:rsidP="007F3C7D">
      <w:pPr>
        <w:pStyle w:val="NoSpacing"/>
      </w:pPr>
    </w:p>
    <w:p w14:paraId="21C9D9E5" w14:textId="77777777" w:rsidR="007F3C7D" w:rsidRDefault="007F3C7D" w:rsidP="007F3C7D">
      <w:pPr>
        <w:pStyle w:val="NoSpacing"/>
        <w:ind w:left="720"/>
        <w:rPr>
          <w:rFonts w:ascii="Times New Roman" w:hAnsi="Times New Roman"/>
          <w:sz w:val="24"/>
          <w:szCs w:val="24"/>
        </w:rPr>
      </w:pPr>
      <w:r>
        <w:rPr>
          <w:rFonts w:ascii="Times New Roman" w:hAnsi="Times New Roman"/>
          <w:sz w:val="24"/>
          <w:szCs w:val="24"/>
        </w:rPr>
        <w:t>“</w:t>
      </w:r>
      <w:r w:rsidRPr="00B16549">
        <w:rPr>
          <w:rFonts w:ascii="Times New Roman" w:hAnsi="Times New Roman"/>
          <w:sz w:val="24"/>
          <w:szCs w:val="24"/>
        </w:rPr>
        <w:t>Syracuse's goal throughout this litigation is an admirable one. Its dedication to combating racial and sex discrimination within its police and fire departments even after forty years of effort is worthy of commendation. The work of remedying the city's past discriminatory hiring practices is far from over, and contrary to the government's arguments, the Court will not deprive the city of its tools for continuing in its labors. However, the government has made an adequate showing that the city's practice of using separate eligibility lists for women and African American candidates for police and fire work, a practice empowered by the consent decree, violates Title VII. The Court cannot allow its authority to be used to circumvent federal law, and accordingly the government's motion to modify the consent decree must be granted in part</w:t>
      </w:r>
      <w:r>
        <w:rPr>
          <w:rFonts w:ascii="Times New Roman" w:hAnsi="Times New Roman"/>
          <w:sz w:val="24"/>
          <w:szCs w:val="24"/>
        </w:rPr>
        <w:t>.</w:t>
      </w:r>
    </w:p>
    <w:p w14:paraId="57B8E940" w14:textId="77777777" w:rsidR="007F3C7D" w:rsidRDefault="007F3C7D" w:rsidP="007F3C7D">
      <w:pPr>
        <w:pStyle w:val="NoSpacing"/>
        <w:ind w:left="720"/>
        <w:rPr>
          <w:rFonts w:ascii="Times New Roman" w:hAnsi="Times New Roman"/>
          <w:sz w:val="24"/>
          <w:szCs w:val="24"/>
        </w:rPr>
      </w:pPr>
    </w:p>
    <w:p w14:paraId="6BD92BE4" w14:textId="77777777" w:rsidR="007F3C7D" w:rsidRDefault="007F3C7D" w:rsidP="007F3C7D">
      <w:pPr>
        <w:pStyle w:val="NoSpacing"/>
        <w:ind w:left="720"/>
        <w:rPr>
          <w:rFonts w:ascii="Times New Roman" w:hAnsi="Times New Roman"/>
          <w:sz w:val="24"/>
          <w:szCs w:val="24"/>
        </w:rPr>
      </w:pPr>
      <w:r>
        <w:rPr>
          <w:rFonts w:ascii="Times New Roman" w:hAnsi="Times New Roman"/>
          <w:sz w:val="24"/>
          <w:szCs w:val="24"/>
        </w:rPr>
        <w:t>***</w:t>
      </w:r>
    </w:p>
    <w:p w14:paraId="0575BC66" w14:textId="77777777" w:rsidR="007F3C7D" w:rsidRDefault="007F3C7D" w:rsidP="007F3C7D">
      <w:pPr>
        <w:pStyle w:val="paragraph"/>
        <w:ind w:left="720"/>
      </w:pPr>
      <w:r>
        <w:t xml:space="preserve">It can hardly be disputed that the separate eligibility lists use different cutoff scores, and therefore violate the 1991 amendment, because their purpose is to ensure that an African American or female candidate who would not otherwise have scored within the top three eligible applicants for a position would still be hirable. In other words, a non-African American male's score for consideration needs to fall within the top three, but an African American or female's score need not. </w:t>
      </w:r>
      <w:bookmarkStart w:id="319" w:name="_Hlk66947841"/>
      <w:r w:rsidR="00F00958">
        <w:fldChar w:fldCharType="begin"/>
      </w:r>
      <w:r w:rsidR="00F00958">
        <w:instrText xml:space="preserve"> HYPERLINK "https://casetext.com/statute/united-states-code/title-42-the-public-health-and-welfare/chapter-21-civil-rights/subchapter-vi-equal-employment-opportunities/section-2000e-2-unlawful-employment-practices" </w:instrText>
      </w:r>
      <w:r w:rsidR="00F00958">
        <w:fldChar w:fldCharType="separate"/>
      </w:r>
      <w:r>
        <w:rPr>
          <w:rStyle w:val="Hyperlink"/>
        </w:rPr>
        <w:t>42 U.S.C. § 2000e-2(</w:t>
      </w:r>
      <w:r>
        <w:rPr>
          <w:rStyle w:val="Hyperlink"/>
          <w:i/>
          <w:iCs/>
        </w:rPr>
        <w:t>l</w:t>
      </w:r>
      <w:r>
        <w:rPr>
          <w:rStyle w:val="Hyperlink"/>
        </w:rPr>
        <w:t>)</w:t>
      </w:r>
      <w:r w:rsidR="00F00958">
        <w:rPr>
          <w:rStyle w:val="Hyperlink"/>
        </w:rPr>
        <w:fldChar w:fldCharType="end"/>
      </w:r>
      <w:r>
        <w:t xml:space="preserve">. </w:t>
      </w:r>
      <w:hyperlink r:id="rId1574" w:history="1">
        <w:r w:rsidRPr="00E05602">
          <w:rPr>
            <w:rStyle w:val="Hyperlink"/>
          </w:rPr>
          <w:t>https://casetext.com/case/alexander-v-bahou/?PHONE_NUMBER_GROUP=P</w:t>
        </w:r>
      </w:hyperlink>
      <w:r>
        <w:t xml:space="preserve"> </w:t>
      </w:r>
    </w:p>
    <w:p w14:paraId="71A6F29D" w14:textId="77777777" w:rsidR="007F3C7D" w:rsidRDefault="007F3C7D" w:rsidP="007F3C7D">
      <w:pPr>
        <w:pStyle w:val="paragraph"/>
        <w:rPr>
          <w:b/>
          <w:bCs/>
        </w:rPr>
      </w:pPr>
      <w:r w:rsidRPr="009C106D">
        <w:rPr>
          <w:b/>
          <w:bCs/>
        </w:rPr>
        <w:t>Legal Lesson Learned:</w:t>
      </w:r>
      <w:r>
        <w:rPr>
          <w:b/>
          <w:bCs/>
        </w:rPr>
        <w:t xml:space="preserve">  Congress in 1991 amended Title VII of the Civil Rights Act to prohibit use of different cut off scores based on race or gender.</w:t>
      </w:r>
    </w:p>
    <w:p w14:paraId="2CB66DA4" w14:textId="77777777" w:rsidR="007F3C7D" w:rsidRPr="009E0EBC" w:rsidRDefault="007F3C7D" w:rsidP="007F3C7D">
      <w:pPr>
        <w:pStyle w:val="paragraph"/>
      </w:pPr>
      <w:r>
        <w:rPr>
          <w:b/>
          <w:bCs/>
        </w:rPr>
        <w:tab/>
      </w:r>
      <w:r w:rsidRPr="009E0EBC">
        <w:t xml:space="preserve">Note: </w:t>
      </w:r>
      <w:r>
        <w:t>The Federal judge in this case commented:</w:t>
      </w:r>
    </w:p>
    <w:p w14:paraId="6D99091D" w14:textId="77777777" w:rsidR="007F3C7D" w:rsidRDefault="007F3C7D" w:rsidP="007F3C7D">
      <w:pPr>
        <w:pStyle w:val="paragraph"/>
        <w:ind w:left="1440"/>
      </w:pPr>
      <w:r>
        <w:t xml:space="preserve">“In 1991, Congress made it unlawful under Title VII for employers ‘in connection with the selection or referral of applicants or candidates for employment[,] . . . to adjust the scores of, use different cutoff scores for, or otherwise alter the results of, employment[-]related tests on the basis of race, color, religion, sex, or national origin.’ </w:t>
      </w:r>
      <w:hyperlink r:id="rId1575" w:history="1">
        <w:r>
          <w:rPr>
            <w:rStyle w:val="Hyperlink"/>
          </w:rPr>
          <w:t>42 U.S.C. § 2000e-2(</w:t>
        </w:r>
        <w:r>
          <w:rPr>
            <w:rStyle w:val="Hyperlink"/>
            <w:i/>
            <w:iCs/>
          </w:rPr>
          <w:t>l</w:t>
        </w:r>
        <w:r>
          <w:rPr>
            <w:rStyle w:val="Hyperlink"/>
          </w:rPr>
          <w:t>)</w:t>
        </w:r>
      </w:hyperlink>
      <w:r>
        <w:t>.”</w:t>
      </w:r>
    </w:p>
    <w:p w14:paraId="22FF83E4" w14:textId="77777777" w:rsidR="007F3C7D" w:rsidRDefault="007F3C7D" w:rsidP="007F3C7D">
      <w:pPr>
        <w:pStyle w:val="paragraph"/>
        <w:ind w:left="720"/>
      </w:pPr>
      <w:r>
        <w:t xml:space="preserve">See also law review article by former General Counsel of EEOC: </w:t>
      </w:r>
    </w:p>
    <w:p w14:paraId="3F737A1A" w14:textId="77777777" w:rsidR="007F3C7D" w:rsidRPr="00FA716B" w:rsidRDefault="007F3C7D" w:rsidP="007F3C7D">
      <w:pPr>
        <w:pStyle w:val="paragraph"/>
        <w:ind w:left="720" w:firstLine="720"/>
      </w:pPr>
      <w:r w:rsidRPr="00FA716B">
        <w:t>THE CIVIL RIGHTS ACT OF 1991 AND EEOC ENFORCEMENT</w:t>
      </w:r>
    </w:p>
    <w:p w14:paraId="4C1FFABB" w14:textId="77777777" w:rsidR="007F3C7D" w:rsidRPr="009E0EBC" w:rsidRDefault="007F3C7D" w:rsidP="007F3C7D">
      <w:pPr>
        <w:pStyle w:val="NoSpacing"/>
        <w:ind w:left="1440"/>
        <w:rPr>
          <w:rFonts w:ascii="Times New Roman" w:hAnsi="Times New Roman"/>
          <w:sz w:val="24"/>
          <w:szCs w:val="24"/>
        </w:rPr>
      </w:pPr>
      <w:r w:rsidRPr="009E0EBC">
        <w:rPr>
          <w:rFonts w:ascii="Times New Roman" w:hAnsi="Times New Roman"/>
          <w:sz w:val="24"/>
          <w:szCs w:val="24"/>
        </w:rPr>
        <w:t>“On November 21, 1991, a new era of aggressive civil rights enforcement was introduced when President Bush signed the Civil Rights Act of 1991 (the Act) into law.</w:t>
      </w:r>
    </w:p>
    <w:p w14:paraId="01E2B61F" w14:textId="77777777" w:rsidR="007F3C7D" w:rsidRDefault="007F3C7D" w:rsidP="007F3C7D">
      <w:pPr>
        <w:pStyle w:val="paragraph"/>
        <w:ind w:left="720" w:firstLine="720"/>
      </w:pPr>
      <w:r>
        <w:rPr>
          <w:sz w:val="28"/>
          <w:szCs w:val="28"/>
        </w:rPr>
        <w:t>***</w:t>
      </w:r>
    </w:p>
    <w:p w14:paraId="5F33AC41" w14:textId="71718319" w:rsidR="007F3C7D" w:rsidRPr="007F3C7D" w:rsidRDefault="007F3C7D" w:rsidP="007F3C7D">
      <w:pPr>
        <w:ind w:left="720"/>
        <w:rPr>
          <w:rFonts w:ascii="Times New Roman" w:hAnsi="Times New Roman"/>
          <w:b/>
          <w:sz w:val="24"/>
          <w:szCs w:val="24"/>
        </w:rPr>
      </w:pPr>
      <w:r w:rsidRPr="007F3C7D">
        <w:rPr>
          <w:rFonts w:ascii="Times New Roman" w:hAnsi="Times New Roman"/>
          <w:sz w:val="24"/>
          <w:szCs w:val="24"/>
        </w:rPr>
        <w:t xml:space="preserve">Section 106 of the Civil Rights Act of 1991 prohibits practices often referred to as ‘within group scoring’ or ‘race norming.’ The Act makes it unlawful to adjust scores, to use different cutoff scores, or to alter the results of ‘employment related’ tests </w:t>
      </w:r>
      <w:proofErr w:type="gramStart"/>
      <w:r w:rsidRPr="007F3C7D">
        <w:rPr>
          <w:rFonts w:ascii="Times New Roman" w:hAnsi="Times New Roman"/>
          <w:sz w:val="24"/>
          <w:szCs w:val="24"/>
        </w:rPr>
        <w:t>on the basis of</w:t>
      </w:r>
      <w:proofErr w:type="gramEnd"/>
      <w:r w:rsidRPr="007F3C7D">
        <w:rPr>
          <w:rFonts w:ascii="Times New Roman" w:hAnsi="Times New Roman"/>
          <w:sz w:val="24"/>
          <w:szCs w:val="24"/>
        </w:rPr>
        <w:t xml:space="preserve"> race, color, religion, sex or national origin.144 The practice of score adjustment arose as a means of alleviating the disparate impact of certain selection tests. It had been adopted by some employers and test developers in lieu of the more difficult task of developing valid, non-discriminatory selection procedures.145” </w:t>
      </w:r>
      <w:hyperlink r:id="rId1576" w:history="1">
        <w:r w:rsidRPr="007F3C7D">
          <w:rPr>
            <w:rStyle w:val="Hyperlink"/>
            <w:rFonts w:ascii="Times New Roman" w:hAnsi="Times New Roman"/>
            <w:sz w:val="24"/>
            <w:szCs w:val="24"/>
          </w:rPr>
          <w:t>https://www.stetson.edu/law/lawreview/media/the-civil-rights-act-of-1991-and-eeoc-enforcement.pdf</w:t>
        </w:r>
      </w:hyperlink>
    </w:p>
    <w:p w14:paraId="7980E598" w14:textId="77777777" w:rsidR="007F3C7D" w:rsidRDefault="007F3C7D" w:rsidP="00BC70A3">
      <w:pPr>
        <w:rPr>
          <w:rFonts w:ascii="Arial Black" w:hAnsi="Arial Black"/>
          <w:b/>
          <w:sz w:val="24"/>
          <w:szCs w:val="24"/>
        </w:rPr>
      </w:pPr>
    </w:p>
    <w:p w14:paraId="2D254470" w14:textId="77777777" w:rsidR="007F3C7D" w:rsidRDefault="007F3C7D" w:rsidP="00BC70A3">
      <w:pPr>
        <w:rPr>
          <w:rFonts w:ascii="Arial Black" w:hAnsi="Arial Black"/>
          <w:b/>
          <w:sz w:val="24"/>
          <w:szCs w:val="24"/>
        </w:rPr>
      </w:pPr>
    </w:p>
    <w:bookmarkEnd w:id="319"/>
    <w:p w14:paraId="457D317C" w14:textId="60F4DF3E" w:rsidR="00BC70A3" w:rsidRPr="00BC70A3" w:rsidRDefault="00BC70A3" w:rsidP="00BC70A3">
      <w:pPr>
        <w:rPr>
          <w:rFonts w:ascii="Arial Black" w:hAnsi="Arial Black"/>
          <w:b/>
          <w:sz w:val="24"/>
          <w:szCs w:val="24"/>
        </w:rPr>
      </w:pPr>
      <w:r>
        <w:rPr>
          <w:rFonts w:ascii="Arial Black" w:hAnsi="Arial Black"/>
          <w:b/>
          <w:sz w:val="24"/>
          <w:szCs w:val="24"/>
        </w:rPr>
        <w:t xml:space="preserve">8-24 </w:t>
      </w:r>
      <w:r>
        <w:rPr>
          <w:rFonts w:ascii="Times New Roman" w:hAnsi="Times New Roman"/>
          <w:bCs/>
          <w:sz w:val="24"/>
          <w:szCs w:val="24"/>
        </w:rPr>
        <w:t xml:space="preserve">[Also filed, Chap. 9 -17] </w:t>
      </w:r>
    </w:p>
    <w:p w14:paraId="6EE04254" w14:textId="77777777" w:rsidR="00BC70A3" w:rsidRPr="00C03B09" w:rsidRDefault="00BC70A3" w:rsidP="00BC70A3">
      <w:pPr>
        <w:pStyle w:val="NoSpacing"/>
        <w:rPr>
          <w:rFonts w:ascii="Arial Black" w:hAnsi="Arial Black"/>
          <w:sz w:val="28"/>
          <w:szCs w:val="28"/>
        </w:rPr>
      </w:pPr>
      <w:r>
        <w:rPr>
          <w:rFonts w:ascii="Arial Black" w:hAnsi="Arial Black"/>
          <w:sz w:val="28"/>
          <w:szCs w:val="28"/>
        </w:rPr>
        <w:t xml:space="preserve">FL:  FDNY CHANGED GROOMING POLICY – REQUIRES CLEAN SHAVE – NOW ON APPEAL – JACKSONVILLE FF LAWSUIT </w:t>
      </w:r>
    </w:p>
    <w:p w14:paraId="2C5D7A04" w14:textId="77777777" w:rsidR="00BC70A3" w:rsidRPr="00473C64" w:rsidRDefault="00BC70A3" w:rsidP="00BC70A3">
      <w:pPr>
        <w:spacing w:before="100" w:beforeAutospacing="1" w:after="100" w:afterAutospacing="1" w:line="240" w:lineRule="auto"/>
        <w:rPr>
          <w:rFonts w:ascii="Times New Roman" w:hAnsi="Times New Roman"/>
          <w:sz w:val="24"/>
          <w:szCs w:val="24"/>
        </w:rPr>
      </w:pPr>
      <w:r w:rsidRPr="00473C64">
        <w:rPr>
          <w:rFonts w:ascii="Times New Roman" w:hAnsi="Times New Roman"/>
          <w:sz w:val="24"/>
          <w:szCs w:val="24"/>
        </w:rPr>
        <w:t xml:space="preserve">Nov. 25, 2020, “Black firefighters sue over Jacksonville policy requiring crews to be cleanshaven.”  It </w:t>
      </w:r>
      <w:proofErr w:type="gramStart"/>
      <w:r w:rsidRPr="00473C64">
        <w:rPr>
          <w:rFonts w:ascii="Times New Roman" w:hAnsi="Times New Roman"/>
          <w:sz w:val="24"/>
          <w:szCs w:val="24"/>
        </w:rPr>
        <w:t>referenced</w:t>
      </w:r>
      <w:proofErr w:type="gramEnd"/>
      <w:r w:rsidRPr="00473C64">
        <w:rPr>
          <w:rFonts w:ascii="Times New Roman" w:hAnsi="Times New Roman"/>
          <w:sz w:val="24"/>
          <w:szCs w:val="24"/>
        </w:rPr>
        <w:t xml:space="preserve"> a lawsuit by FDNY firefighters. </w:t>
      </w:r>
      <w:hyperlink r:id="rId1577" w:history="1">
        <w:r w:rsidRPr="00473C64">
          <w:rPr>
            <w:rStyle w:val="Hyperlink"/>
            <w:rFonts w:ascii="Times New Roman" w:hAnsi="Times New Roman"/>
            <w:sz w:val="24"/>
            <w:szCs w:val="24"/>
          </w:rPr>
          <w:t>https://www.jacksonville.com/story/news/courts/2020/11/25/jacksonville-lawsuit-cleanshaven-rule-unfair-black-firefighters/6406374002/</w:t>
        </w:r>
      </w:hyperlink>
    </w:p>
    <w:p w14:paraId="191EBBB4" w14:textId="77777777" w:rsidR="00BC70A3" w:rsidRDefault="00BC70A3" w:rsidP="00BC70A3">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The City of New York lost their case on Jan. 29, 2020, and has filed an appeal to the U.S. Court of Appeals for Second District. </w:t>
      </w:r>
      <w:r>
        <w:rPr>
          <w:rFonts w:ascii="Times New Roman" w:hAnsi="Times New Roman"/>
          <w:sz w:val="24"/>
          <w:szCs w:val="24"/>
        </w:rPr>
        <w:t xml:space="preserve">On July 2, 2020, the plaintiff firefighters filed their reply brief in the U.S. Court of Appeals for Second Circuit. </w:t>
      </w:r>
      <w:hyperlink r:id="rId1578" w:history="1">
        <w:r w:rsidRPr="007578D7">
          <w:rPr>
            <w:rStyle w:val="Hyperlink"/>
            <w:rFonts w:ascii="Times New Roman" w:hAnsi="Times New Roman"/>
            <w:sz w:val="24"/>
            <w:szCs w:val="24"/>
          </w:rPr>
          <w:t>https://www.law.georgetown.edu/icap/wp-content/uploads/sites/32/2020/07/Bey-2d-Cir.-Opening-Brief-FINAL-7-7-2020.pdf</w:t>
        </w:r>
      </w:hyperlink>
      <w:r>
        <w:rPr>
          <w:rFonts w:ascii="Times New Roman" w:hAnsi="Times New Roman"/>
          <w:sz w:val="24"/>
          <w:szCs w:val="24"/>
        </w:rPr>
        <w:t xml:space="preserve"> </w:t>
      </w:r>
    </w:p>
    <w:p w14:paraId="4B13B079" w14:textId="77777777" w:rsidR="00BC70A3" w:rsidRDefault="00BC70A3" w:rsidP="00BC70A3">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Jan. 29, 2020, in </w:t>
      </w:r>
      <w:r w:rsidRPr="00D115C7">
        <w:rPr>
          <w:rFonts w:ascii="Times New Roman" w:eastAsia="Times New Roman" w:hAnsi="Times New Roman"/>
          <w:sz w:val="24"/>
          <w:szCs w:val="24"/>
          <w:u w:val="single"/>
        </w:rPr>
        <w:t>Salik Bey, et al. v. City of New York, Daniel Nigro, et al</w:t>
      </w:r>
      <w:r>
        <w:rPr>
          <w:rFonts w:ascii="Times New Roman" w:eastAsia="Times New Roman" w:hAnsi="Times New Roman"/>
          <w:sz w:val="24"/>
          <w:szCs w:val="24"/>
        </w:rPr>
        <w:t>., 437 F. Supp. 3</w:t>
      </w:r>
      <w:r w:rsidRPr="009562EF">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2222, Senior U.S. District Court Judge Jack B. Weinstein, U.S. District Court for Eastern District of New York ordered FDNY to return to their former grooming policy (Aug. 2015 – Dec. 2017) which allowed </w:t>
      </w:r>
      <w:r w:rsidRPr="00CB7445">
        <w:rPr>
          <w:rFonts w:ascii="Times New Roman" w:eastAsia="Times New Roman" w:hAnsi="Times New Roman"/>
          <w:sz w:val="24"/>
          <w:szCs w:val="24"/>
        </w:rPr>
        <w:t>facial hair in the chin, cheek and neck area if it did not cause leakage around the mask's seal</w:t>
      </w:r>
      <w:r>
        <w:rPr>
          <w:rFonts w:ascii="Times New Roman" w:eastAsia="Times New Roman" w:hAnsi="Times New Roman"/>
          <w:sz w:val="24"/>
          <w:szCs w:val="24"/>
        </w:rPr>
        <w:t>.   Under the new policy: “</w:t>
      </w:r>
      <w:r w:rsidRPr="00313B2C">
        <w:rPr>
          <w:rFonts w:ascii="Times New Roman" w:hAnsi="Times New Roman"/>
          <w:sz w:val="24"/>
          <w:szCs w:val="24"/>
        </w:rPr>
        <w:t>If Plaintiffs shaved all facial hair in the chin area, they would maintain their status as full duty firefighters; otherwise, they would be placed on light duty.</w:t>
      </w:r>
      <w:r>
        <w:rPr>
          <w:rFonts w:ascii="Times New Roman" w:hAnsi="Times New Roman"/>
          <w:sz w:val="24"/>
          <w:szCs w:val="24"/>
        </w:rPr>
        <w:t xml:space="preserve">” </w:t>
      </w:r>
    </w:p>
    <w:p w14:paraId="4D65E1C1" w14:textId="77777777" w:rsidR="00BC70A3" w:rsidRDefault="00BC70A3" w:rsidP="00BC70A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Judge Weinstein’s decision: </w:t>
      </w:r>
    </w:p>
    <w:p w14:paraId="5892941C" w14:textId="77777777" w:rsidR="00BC70A3" w:rsidRDefault="00BC70A3" w:rsidP="00BC70A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FC3A40">
        <w:rPr>
          <w:rFonts w:ascii="Times New Roman" w:hAnsi="Times New Roman"/>
          <w:sz w:val="24"/>
          <w:szCs w:val="24"/>
        </w:rPr>
        <w:t xml:space="preserve">Defendants admit that no heightened safety risk to firefighters or the public was presented by the accommodation previously in effect. Two and a half years passed without incident, and Plaintiffs continued to perform their jobs satisfactorily. </w:t>
      </w:r>
      <w:proofErr w:type="gramStart"/>
      <w:r w:rsidRPr="00FC3A40">
        <w:rPr>
          <w:rFonts w:ascii="Times New Roman" w:hAnsi="Times New Roman"/>
          <w:sz w:val="24"/>
          <w:szCs w:val="24"/>
        </w:rPr>
        <w:t>The FDNY's</w:t>
      </w:r>
      <w:proofErr w:type="gramEnd"/>
      <w:r w:rsidRPr="00FC3A40">
        <w:rPr>
          <w:rFonts w:ascii="Times New Roman" w:hAnsi="Times New Roman"/>
          <w:sz w:val="24"/>
          <w:szCs w:val="24"/>
        </w:rPr>
        <w:t xml:space="preserve"> decision to abandon the prior accommodation was not based on any actual safety risks to firefighters or the public. Rather, driving the calculus was bureaucracy. Defendants cite no case law indicating that such bureaucratic considerations are a viable undue hardship defense; the court declines </w:t>
      </w:r>
      <w:proofErr w:type="gramStart"/>
      <w:r w:rsidRPr="00FC3A40">
        <w:rPr>
          <w:rFonts w:ascii="Times New Roman" w:hAnsi="Times New Roman"/>
          <w:sz w:val="24"/>
          <w:szCs w:val="24"/>
        </w:rPr>
        <w:t>to so</w:t>
      </w:r>
      <w:proofErr w:type="gramEnd"/>
      <w:r w:rsidRPr="00FC3A40">
        <w:rPr>
          <w:rFonts w:ascii="Times New Roman" w:hAnsi="Times New Roman"/>
          <w:sz w:val="24"/>
          <w:szCs w:val="24"/>
        </w:rPr>
        <w:t xml:space="preserve"> find</w:t>
      </w:r>
      <w:proofErr w:type="gramStart"/>
      <w:r>
        <w:rPr>
          <w:rFonts w:ascii="Times New Roman" w:hAnsi="Times New Roman"/>
          <w:sz w:val="24"/>
          <w:szCs w:val="24"/>
        </w:rPr>
        <w:t>.”</w:t>
      </w:r>
      <w:proofErr w:type="gramEnd"/>
      <w:r>
        <w:rPr>
          <w:rFonts w:ascii="Times New Roman" w:hAnsi="Times New Roman"/>
          <w:sz w:val="24"/>
          <w:szCs w:val="24"/>
        </w:rPr>
        <w:t xml:space="preserve"> </w:t>
      </w:r>
      <w:hyperlink r:id="rId1579" w:history="1">
        <w:r w:rsidRPr="007578D7">
          <w:rPr>
            <w:rStyle w:val="Hyperlink"/>
            <w:rFonts w:ascii="Times New Roman" w:hAnsi="Times New Roman"/>
            <w:sz w:val="24"/>
            <w:szCs w:val="24"/>
          </w:rPr>
          <w:t>https://casetext.com/case/bey-v-city-of-ny-7</w:t>
        </w:r>
      </w:hyperlink>
    </w:p>
    <w:p w14:paraId="0A48DEB3" w14:textId="77777777" w:rsidR="00BC70A3" w:rsidRPr="00FC3A40" w:rsidRDefault="00BC70A3" w:rsidP="00BC70A3">
      <w:pPr>
        <w:tabs>
          <w:tab w:val="left" w:pos="2810"/>
        </w:tabs>
        <w:spacing w:before="100" w:beforeAutospacing="1" w:after="100" w:afterAutospacing="1" w:line="240" w:lineRule="auto"/>
        <w:rPr>
          <w:rFonts w:ascii="Times New Roman" w:hAnsi="Times New Roman"/>
          <w:b/>
          <w:bCs/>
          <w:sz w:val="24"/>
          <w:szCs w:val="24"/>
        </w:rPr>
      </w:pPr>
      <w:r w:rsidRPr="00FC3A40">
        <w:rPr>
          <w:rFonts w:ascii="Times New Roman" w:hAnsi="Times New Roman"/>
          <w:b/>
          <w:bCs/>
          <w:sz w:val="24"/>
          <w:szCs w:val="24"/>
        </w:rPr>
        <w:t>Legal Lesson Learned</w:t>
      </w:r>
      <w:r>
        <w:rPr>
          <w:rFonts w:ascii="Times New Roman" w:hAnsi="Times New Roman"/>
          <w:b/>
          <w:bCs/>
          <w:sz w:val="24"/>
          <w:szCs w:val="24"/>
        </w:rPr>
        <w:t xml:space="preserve">: The FDNY case will now be decided by the U.S. Court of Appeals for the Second Circuit.  The Jacksonville FD case will proceed </w:t>
      </w:r>
      <w:proofErr w:type="gramStart"/>
      <w:r>
        <w:rPr>
          <w:rFonts w:ascii="Times New Roman" w:hAnsi="Times New Roman"/>
          <w:b/>
          <w:bCs/>
          <w:sz w:val="24"/>
          <w:szCs w:val="24"/>
        </w:rPr>
        <w:t>to</w:t>
      </w:r>
      <w:proofErr w:type="gramEnd"/>
      <w:r>
        <w:rPr>
          <w:rFonts w:ascii="Times New Roman" w:hAnsi="Times New Roman"/>
          <w:b/>
          <w:bCs/>
          <w:sz w:val="24"/>
          <w:szCs w:val="24"/>
        </w:rPr>
        <w:t xml:space="preserve"> pre-trial discovery.   </w:t>
      </w:r>
    </w:p>
    <w:p w14:paraId="6924D7F1" w14:textId="77777777" w:rsidR="00BC70A3" w:rsidRDefault="00BC70A3" w:rsidP="00DE0F03">
      <w:pPr>
        <w:rPr>
          <w:rFonts w:ascii="Arial Black" w:hAnsi="Arial Black"/>
          <w:b/>
          <w:sz w:val="24"/>
          <w:szCs w:val="24"/>
        </w:rPr>
      </w:pPr>
    </w:p>
    <w:p w14:paraId="755D19AE" w14:textId="77777777" w:rsidR="00BC70A3" w:rsidRDefault="00BC70A3" w:rsidP="00DE0F03">
      <w:pPr>
        <w:rPr>
          <w:rFonts w:ascii="Arial Black" w:hAnsi="Arial Black"/>
          <w:b/>
          <w:sz w:val="24"/>
          <w:szCs w:val="24"/>
        </w:rPr>
      </w:pPr>
    </w:p>
    <w:p w14:paraId="4C440C8D" w14:textId="77777777" w:rsidR="00BC70A3" w:rsidRDefault="00BC70A3" w:rsidP="00DE0F03">
      <w:pPr>
        <w:rPr>
          <w:rFonts w:ascii="Arial Black" w:hAnsi="Arial Black"/>
          <w:b/>
          <w:sz w:val="24"/>
          <w:szCs w:val="24"/>
        </w:rPr>
      </w:pPr>
    </w:p>
    <w:p w14:paraId="7C42C8B2" w14:textId="0FAF1EFA" w:rsidR="009E093C" w:rsidRDefault="009E093C" w:rsidP="00DE0F03">
      <w:pPr>
        <w:rPr>
          <w:rFonts w:ascii="Arial Black" w:hAnsi="Arial Black"/>
          <w:b/>
          <w:sz w:val="24"/>
          <w:szCs w:val="24"/>
        </w:rPr>
      </w:pPr>
      <w:r>
        <w:rPr>
          <w:rFonts w:ascii="Arial Black" w:hAnsi="Arial Black"/>
          <w:b/>
          <w:sz w:val="24"/>
          <w:szCs w:val="24"/>
        </w:rPr>
        <w:t>8-23</w:t>
      </w:r>
    </w:p>
    <w:p w14:paraId="7799276E" w14:textId="77777777" w:rsidR="009E093C" w:rsidRPr="001B0505" w:rsidRDefault="009E093C" w:rsidP="009E093C">
      <w:pPr>
        <w:pStyle w:val="NoSpacing"/>
        <w:rPr>
          <w:rFonts w:ascii="Arial Black" w:hAnsi="Arial Black"/>
          <w:sz w:val="28"/>
          <w:szCs w:val="28"/>
        </w:rPr>
      </w:pPr>
      <w:r>
        <w:rPr>
          <w:rFonts w:ascii="Arial Black" w:hAnsi="Arial Black"/>
          <w:sz w:val="28"/>
          <w:szCs w:val="28"/>
        </w:rPr>
        <w:t xml:space="preserve">AL:  AFRICAN AMERICAN FF – CUT LOCK OFF ANOTHER SHIFT’S CABINET, THREATENED FF – SUSP / NO PROMOTION – NO CASE </w:t>
      </w:r>
    </w:p>
    <w:p w14:paraId="498AA8A9" w14:textId="77777777" w:rsidR="009E093C" w:rsidRDefault="009E093C" w:rsidP="009E093C">
      <w:pPr>
        <w:tabs>
          <w:tab w:val="left" w:pos="6860"/>
        </w:tabs>
        <w:spacing w:before="100" w:beforeAutospacing="1" w:after="100" w:afterAutospacing="1" w:line="240" w:lineRule="auto"/>
        <w:rPr>
          <w:rFonts w:ascii="Times New Roman" w:eastAsia="Times New Roman" w:hAnsi="Times New Roman"/>
          <w:sz w:val="24"/>
          <w:szCs w:val="24"/>
        </w:rPr>
      </w:pPr>
      <w:r w:rsidRPr="001B0505">
        <w:rPr>
          <w:rFonts w:ascii="Times New Roman" w:eastAsia="Times New Roman" w:hAnsi="Times New Roman"/>
          <w:sz w:val="24"/>
          <w:szCs w:val="24"/>
        </w:rPr>
        <w:t> </w:t>
      </w:r>
      <w:r>
        <w:rPr>
          <w:rFonts w:ascii="Times New Roman" w:eastAsia="Times New Roman" w:hAnsi="Times New Roman"/>
          <w:sz w:val="24"/>
          <w:szCs w:val="24"/>
        </w:rPr>
        <w:t xml:space="preserve">On Nov. 23, 2020, in </w:t>
      </w:r>
      <w:r w:rsidRPr="00A0255E">
        <w:rPr>
          <w:rFonts w:ascii="Times New Roman" w:eastAsia="Times New Roman" w:hAnsi="Times New Roman"/>
          <w:sz w:val="24"/>
          <w:szCs w:val="24"/>
          <w:u w:val="single"/>
        </w:rPr>
        <w:t>Aaron Mitchell v. City of Newport, et al</w:t>
      </w:r>
      <w:r>
        <w:rPr>
          <w:rFonts w:ascii="Times New Roman" w:eastAsia="Times New Roman" w:hAnsi="Times New Roman"/>
          <w:sz w:val="24"/>
          <w:szCs w:val="24"/>
        </w:rPr>
        <w:t xml:space="preserve">., U.S. District Court Judge L. Scott Coogler, U.S. District Court for Northern District of Alabama (Western Division), granted the City’s motion for summary judgment, finding the Fire Department offered nondiscriminatory explanations for suspending him.   He was suspended in 2017, and later failed promotion exam for Sergeant, and in 2018 he was not permitted to apply for promotion to Lieutenant. </w:t>
      </w:r>
    </w:p>
    <w:p w14:paraId="6775456A" w14:textId="77777777" w:rsidR="009E093C" w:rsidRPr="006A3453" w:rsidRDefault="009E093C" w:rsidP="009E093C">
      <w:pPr>
        <w:pStyle w:val="NoSpacing"/>
        <w:ind w:left="720"/>
        <w:rPr>
          <w:rFonts w:ascii="Times New Roman" w:eastAsia="Times New Roman" w:hAnsi="Times New Roman"/>
          <w:sz w:val="24"/>
          <w:szCs w:val="24"/>
        </w:rPr>
      </w:pPr>
      <w:r>
        <w:rPr>
          <w:rFonts w:ascii="Times New Roman" w:eastAsia="Times New Roman" w:hAnsi="Times New Roman"/>
          <w:sz w:val="24"/>
          <w:szCs w:val="24"/>
        </w:rPr>
        <w:t>“</w:t>
      </w:r>
      <w:r w:rsidRPr="006A3453">
        <w:rPr>
          <w:rFonts w:ascii="Times New Roman" w:hAnsi="Times New Roman"/>
          <w:sz w:val="24"/>
          <w:szCs w:val="24"/>
        </w:rPr>
        <w:t>Even if Mitchell had established a prima facie case, Defendants again offered nondiscriminatory explanations for suspending him: he threatened a colleague, he cursed a colleague, and he destroyed a colleague</w:t>
      </w:r>
      <w:r>
        <w:rPr>
          <w:rFonts w:ascii="Times New Roman" w:hAnsi="Times New Roman"/>
          <w:sz w:val="24"/>
          <w:szCs w:val="24"/>
        </w:rPr>
        <w:t>’</w:t>
      </w:r>
      <w:r w:rsidRPr="006A3453">
        <w:rPr>
          <w:rFonts w:ascii="Times New Roman" w:hAnsi="Times New Roman"/>
          <w:sz w:val="24"/>
          <w:szCs w:val="24"/>
        </w:rPr>
        <w:t>s property. (Doc. 57 at 46.) Because Mitchell offered no new evidence or arguments suggesting these explanations are pretext for retaliation, summary judgment is due to be granted.</w:t>
      </w:r>
      <w:r>
        <w:rPr>
          <w:rFonts w:ascii="Times New Roman" w:hAnsi="Times New Roman"/>
          <w:sz w:val="24"/>
          <w:szCs w:val="24"/>
        </w:rPr>
        <w:t xml:space="preserve">”  </w:t>
      </w:r>
      <w:hyperlink r:id="rId1580" w:history="1">
        <w:r w:rsidRPr="00AA126E">
          <w:rPr>
            <w:rStyle w:val="Hyperlink"/>
            <w:rFonts w:ascii="Times New Roman" w:hAnsi="Times New Roman"/>
            <w:sz w:val="24"/>
            <w:szCs w:val="24"/>
          </w:rPr>
          <w:t>https://public.fastcase.com/Wl%2B2t%2BeVuI35%2FN70vAMFZkzhJOnk32e7%2BdWn1xTx2jApuUgRdcLBLFJLG9W4RHCQ</w:t>
        </w:r>
      </w:hyperlink>
      <w:r>
        <w:rPr>
          <w:rFonts w:ascii="Times New Roman" w:hAnsi="Times New Roman"/>
          <w:sz w:val="24"/>
          <w:szCs w:val="24"/>
        </w:rPr>
        <w:t xml:space="preserve"> </w:t>
      </w:r>
    </w:p>
    <w:p w14:paraId="3CA48BAC" w14:textId="77777777" w:rsidR="009E093C" w:rsidRPr="001B0505" w:rsidRDefault="009E093C" w:rsidP="009E093C">
      <w:pPr>
        <w:spacing w:before="100" w:beforeAutospacing="1" w:after="100" w:afterAutospacing="1" w:line="240" w:lineRule="auto"/>
        <w:rPr>
          <w:rFonts w:ascii="Times New Roman" w:eastAsia="Times New Roman" w:hAnsi="Times New Roman"/>
          <w:b/>
          <w:bCs/>
          <w:sz w:val="24"/>
          <w:szCs w:val="24"/>
        </w:rPr>
      </w:pPr>
      <w:r w:rsidRPr="006A3453">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FD investigated and documented their findings, as well as prior discipline. </w:t>
      </w:r>
    </w:p>
    <w:p w14:paraId="7159446D" w14:textId="77777777" w:rsidR="009E093C" w:rsidRDefault="009E093C" w:rsidP="00DE0F03">
      <w:pPr>
        <w:rPr>
          <w:rFonts w:ascii="Arial Black" w:hAnsi="Arial Black"/>
          <w:b/>
          <w:sz w:val="24"/>
          <w:szCs w:val="24"/>
        </w:rPr>
      </w:pPr>
    </w:p>
    <w:p w14:paraId="6F910840" w14:textId="77777777" w:rsidR="009E093C" w:rsidRDefault="009E093C" w:rsidP="00DE0F03">
      <w:pPr>
        <w:rPr>
          <w:rFonts w:ascii="Arial Black" w:hAnsi="Arial Black"/>
          <w:b/>
          <w:sz w:val="24"/>
          <w:szCs w:val="24"/>
        </w:rPr>
      </w:pPr>
    </w:p>
    <w:p w14:paraId="15B7ADC7" w14:textId="08A2FB58" w:rsidR="00DD03E3" w:rsidRDefault="00DD03E3" w:rsidP="00DE0F03">
      <w:pPr>
        <w:rPr>
          <w:rFonts w:ascii="Arial Black" w:hAnsi="Arial Black"/>
          <w:b/>
          <w:sz w:val="24"/>
          <w:szCs w:val="24"/>
        </w:rPr>
      </w:pPr>
      <w:r>
        <w:rPr>
          <w:rFonts w:ascii="Arial Black" w:hAnsi="Arial Black"/>
          <w:b/>
          <w:sz w:val="24"/>
          <w:szCs w:val="24"/>
        </w:rPr>
        <w:t>8-22</w:t>
      </w:r>
    </w:p>
    <w:p w14:paraId="22CD9306" w14:textId="77777777" w:rsidR="00DD03E3" w:rsidRPr="004E7805" w:rsidRDefault="00DD03E3" w:rsidP="00DD03E3">
      <w:pPr>
        <w:spacing w:before="100" w:beforeAutospacing="1" w:after="100" w:afterAutospacing="1" w:line="240" w:lineRule="auto"/>
        <w:rPr>
          <w:rFonts w:ascii="Arial Black" w:eastAsia="Times New Roman" w:hAnsi="Arial Black"/>
          <w:b/>
          <w:bCs/>
          <w:sz w:val="28"/>
          <w:szCs w:val="28"/>
        </w:rPr>
      </w:pPr>
      <w:r w:rsidRPr="004E7805">
        <w:rPr>
          <w:rFonts w:ascii="Arial Black" w:eastAsia="Times New Roman" w:hAnsi="Arial Black"/>
          <w:b/>
          <w:bCs/>
          <w:sz w:val="28"/>
          <w:szCs w:val="28"/>
        </w:rPr>
        <w:t>MI:</w:t>
      </w:r>
      <w:r>
        <w:rPr>
          <w:rFonts w:ascii="Arial Black" w:eastAsia="Times New Roman" w:hAnsi="Arial Black"/>
          <w:b/>
          <w:bCs/>
          <w:sz w:val="28"/>
          <w:szCs w:val="28"/>
        </w:rPr>
        <w:t xml:space="preserve"> PROB. FF (WHITE) - WATERMELLON WITH PINK RIBBON TO FIRE STATION WHERE HE WAS JUST ASSIGNED – FIRED – CASE PROCEED</w:t>
      </w:r>
    </w:p>
    <w:p w14:paraId="438E1D5A" w14:textId="77777777" w:rsidR="00DD03E3" w:rsidRDefault="00DD03E3" w:rsidP="00DD03E3">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On Oct. 22, 2020, in </w:t>
      </w:r>
      <w:r w:rsidRPr="004E7805">
        <w:rPr>
          <w:rFonts w:ascii="Times New Roman" w:eastAsia="Times New Roman" w:hAnsi="Times New Roman"/>
          <w:sz w:val="24"/>
          <w:szCs w:val="24"/>
          <w:u w:val="single"/>
        </w:rPr>
        <w:t>Robert Patterson v. City of Detroit, et al</w:t>
      </w:r>
      <w:r>
        <w:rPr>
          <w:rFonts w:ascii="Times New Roman" w:eastAsia="Times New Roman" w:hAnsi="Times New Roman"/>
          <w:sz w:val="24"/>
          <w:szCs w:val="24"/>
        </w:rPr>
        <w:t xml:space="preserve">., the State of Michigan Court of Appeals held (3 to 0) in an unpublished decision, that the trial court judge properly denied the City’s motion for summary judgment concerning race discrimination allegations in the complaint.  The probationary firefighter’s internal investigation was shoddy, and he was treated much more harshly than a non-probationary African American firefighter who had posted a racially insensitive item.  </w:t>
      </w:r>
    </w:p>
    <w:p w14:paraId="777F84E7" w14:textId="77777777" w:rsidR="00DD03E3" w:rsidRPr="004E7805" w:rsidRDefault="00DD03E3" w:rsidP="00DD03E3">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5D19EF">
        <w:rPr>
          <w:rFonts w:ascii="Times New Roman" w:hAnsi="Times New Roman"/>
          <w:sz w:val="24"/>
          <w:szCs w:val="24"/>
        </w:rPr>
        <w:t xml:space="preserve">The evidence indicates that both plaintiff and Bragg should have received substantially the same kind and intensity of investigation, impartiality, and benefit of any doubt. Because a violation of the zero-tolerance policy would seem to constitute </w:t>
      </w:r>
      <w:proofErr w:type="spellStart"/>
      <w:r>
        <w:rPr>
          <w:rFonts w:ascii="Times New Roman" w:hAnsi="Times New Roman"/>
          <w:sz w:val="24"/>
          <w:szCs w:val="24"/>
        </w:rPr>
        <w:t>‘</w:t>
      </w:r>
      <w:r w:rsidRPr="005D19EF">
        <w:rPr>
          <w:rFonts w:ascii="Times New Roman" w:hAnsi="Times New Roman"/>
          <w:sz w:val="24"/>
          <w:szCs w:val="24"/>
        </w:rPr>
        <w:t>cause</w:t>
      </w:r>
      <w:proofErr w:type="spellEnd"/>
      <w:r w:rsidRPr="005D19EF">
        <w:rPr>
          <w:rFonts w:ascii="Times New Roman" w:hAnsi="Times New Roman"/>
          <w:sz w:val="24"/>
          <w:szCs w:val="24"/>
        </w:rPr>
        <w:t>,</w:t>
      </w:r>
      <w:r>
        <w:rPr>
          <w:rFonts w:ascii="Times New Roman" w:hAnsi="Times New Roman"/>
          <w:sz w:val="24"/>
          <w:szCs w:val="24"/>
        </w:rPr>
        <w:t>’</w:t>
      </w:r>
      <w:r w:rsidRPr="005D19EF">
        <w:rPr>
          <w:rFonts w:ascii="Times New Roman" w:hAnsi="Times New Roman"/>
          <w:sz w:val="24"/>
          <w:szCs w:val="24"/>
        </w:rPr>
        <w:t xml:space="preserve"> it is irrelevant that plaintiff was at-will and Bragg was not. Because the real-world effect of both plaintiff's conduct and Bragg's conduct dramatically affected working conditions, the fact that one occurred on City premises and the other occurred on social media does not seem relevant. *** The trial court correctly denied summary disposition as to Counts I and III, being plaintiff's claims for race-based discrimination under the ELCRA and 42 USC § 1981</w:t>
      </w:r>
      <w:r>
        <w:rPr>
          <w:rFonts w:ascii="Times New Roman" w:hAnsi="Times New Roman"/>
          <w:sz w:val="24"/>
          <w:szCs w:val="24"/>
        </w:rPr>
        <w:t>.”</w:t>
      </w:r>
      <w:hyperlink r:id="rId1581" w:history="1">
        <w:r w:rsidRPr="003B2E68">
          <w:rPr>
            <w:rStyle w:val="Hyperlink"/>
            <w:rFonts w:ascii="Times New Roman" w:eastAsia="Times New Roman" w:hAnsi="Times New Roman"/>
            <w:sz w:val="24"/>
            <w:szCs w:val="24"/>
          </w:rPr>
          <w:t>https://law.justia.com/cases/michigan/court-of-appeals-unpublished/2020/350474.html</w:t>
        </w:r>
      </w:hyperlink>
      <w:r>
        <w:rPr>
          <w:rFonts w:ascii="Times New Roman" w:eastAsia="Times New Roman" w:hAnsi="Times New Roman"/>
          <w:sz w:val="24"/>
          <w:szCs w:val="24"/>
        </w:rPr>
        <w:t xml:space="preserve"> </w:t>
      </w:r>
    </w:p>
    <w:p w14:paraId="05EC0E83" w14:textId="77777777" w:rsidR="00DD03E3" w:rsidRDefault="00DD03E3" w:rsidP="00DD03E3">
      <w:pPr>
        <w:pStyle w:val="NormalWeb"/>
        <w:rPr>
          <w:b/>
          <w:bCs/>
        </w:rPr>
      </w:pPr>
      <w:r w:rsidRPr="0007304E">
        <w:rPr>
          <w:b/>
          <w:bCs/>
        </w:rPr>
        <w:t>Legal Lesson Learned:</w:t>
      </w:r>
      <w:r>
        <w:rPr>
          <w:b/>
          <w:bCs/>
        </w:rPr>
        <w:t xml:space="preserve"> Even an “at will” probationary firefighter is entitled to a thorough investigation prior to making a termination decision. </w:t>
      </w:r>
    </w:p>
    <w:p w14:paraId="0D932215" w14:textId="77777777" w:rsidR="00DD03E3" w:rsidRPr="00EB337A" w:rsidRDefault="00DD03E3" w:rsidP="00DD03E3">
      <w:pPr>
        <w:spacing w:before="100" w:beforeAutospacing="1" w:after="100" w:afterAutospacing="1" w:line="240" w:lineRule="auto"/>
        <w:ind w:left="720"/>
        <w:rPr>
          <w:rFonts w:ascii="Times New Roman" w:eastAsia="Times New Roman" w:hAnsi="Times New Roman"/>
          <w:sz w:val="24"/>
          <w:szCs w:val="24"/>
        </w:rPr>
      </w:pPr>
      <w:r w:rsidRPr="00EB337A">
        <w:rPr>
          <w:rFonts w:ascii="Times New Roman" w:hAnsi="Times New Roman"/>
          <w:sz w:val="24"/>
          <w:szCs w:val="24"/>
        </w:rPr>
        <w:t xml:space="preserve">Note: The Court </w:t>
      </w:r>
      <w:r>
        <w:rPr>
          <w:rFonts w:ascii="Times New Roman" w:hAnsi="Times New Roman"/>
          <w:sz w:val="24"/>
          <w:szCs w:val="24"/>
        </w:rPr>
        <w:t xml:space="preserve">of Appeals </w:t>
      </w:r>
      <w:r w:rsidRPr="00EB337A">
        <w:rPr>
          <w:rFonts w:ascii="Times New Roman" w:hAnsi="Times New Roman"/>
          <w:sz w:val="24"/>
          <w:szCs w:val="24"/>
        </w:rPr>
        <w:t xml:space="preserve">also held trial court judge properly dismissed </w:t>
      </w:r>
      <w:r>
        <w:rPr>
          <w:rFonts w:ascii="Times New Roman" w:hAnsi="Times New Roman"/>
          <w:sz w:val="24"/>
          <w:szCs w:val="24"/>
        </w:rPr>
        <w:t xml:space="preserve">plaintiff’s </w:t>
      </w:r>
      <w:r w:rsidRPr="00EB337A">
        <w:rPr>
          <w:rFonts w:ascii="Times New Roman" w:hAnsi="Times New Roman"/>
          <w:sz w:val="24"/>
          <w:szCs w:val="24"/>
        </w:rPr>
        <w:t xml:space="preserve">defamation claim against the Fire Commissioner for issuing a Press Release after plaintiff was terminated. </w:t>
      </w:r>
      <w:r>
        <w:rPr>
          <w:rFonts w:ascii="Times New Roman" w:hAnsi="Times New Roman"/>
          <w:sz w:val="24"/>
          <w:szCs w:val="24"/>
        </w:rPr>
        <w:t>“[T]</w:t>
      </w:r>
      <w:r w:rsidRPr="00EB337A">
        <w:rPr>
          <w:rFonts w:ascii="Times New Roman" w:hAnsi="Times New Roman"/>
          <w:sz w:val="24"/>
          <w:szCs w:val="24"/>
        </w:rPr>
        <w:t>he evidence indicates that Jones's issuance of the press release was within the scope of his authority as Fire Commissioner. Therefore, he is entitled to absolute immunity for any defamatory (or false light invasion of privacy) content within that press release.</w:t>
      </w:r>
      <w:r>
        <w:rPr>
          <w:rFonts w:ascii="Times New Roman" w:hAnsi="Times New Roman"/>
          <w:sz w:val="24"/>
          <w:szCs w:val="24"/>
        </w:rPr>
        <w:t>”</w:t>
      </w:r>
    </w:p>
    <w:p w14:paraId="608F477C" w14:textId="77777777" w:rsidR="00DD03E3" w:rsidRPr="00C17950" w:rsidRDefault="00DD03E3" w:rsidP="00DD03E3">
      <w:pPr>
        <w:pStyle w:val="NormalWeb"/>
        <w:ind w:left="720"/>
      </w:pPr>
      <w:r w:rsidRPr="00EB337A">
        <w:t xml:space="preserve">The </w:t>
      </w:r>
      <w:r w:rsidRPr="00C17950">
        <w:t xml:space="preserve">October 6, </w:t>
      </w:r>
      <w:proofErr w:type="gramStart"/>
      <w:r w:rsidRPr="00C17950">
        <w:t>201</w:t>
      </w:r>
      <w:r w:rsidRPr="00EB337A">
        <w:t>7</w:t>
      </w:r>
      <w:proofErr w:type="gramEnd"/>
      <w:r w:rsidRPr="00C17950">
        <w:t xml:space="preserve"> </w:t>
      </w:r>
      <w:r w:rsidRPr="00EB337A">
        <w:t xml:space="preserve">Press Release </w:t>
      </w:r>
      <w:r w:rsidRPr="00C17950">
        <w:t>read:</w:t>
      </w:r>
    </w:p>
    <w:p w14:paraId="73B6414D" w14:textId="78695253" w:rsidR="00DD03E3" w:rsidRDefault="00DD03E3" w:rsidP="00DD03E3">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C17950">
        <w:rPr>
          <w:rFonts w:ascii="Times New Roman" w:eastAsia="Times New Roman" w:hAnsi="Times New Roman"/>
          <w:sz w:val="24"/>
          <w:szCs w:val="24"/>
        </w:rPr>
        <w:t>There is zero tolerance for discriminatory behavior inside the Detroit Fire Department. On Saturday, Sept. 30, 2017, at Engine 55, a trial firefighter (probationary employee) engaged in unsatisfactory work behavior which was deemed offensive and racially insensitive to members of the Detroit Fire Department. After a thorough investigation, it was determined that the best course of action was to terminate the employment of this probationary employee.</w:t>
      </w:r>
      <w:r>
        <w:rPr>
          <w:rFonts w:ascii="Times New Roman" w:eastAsia="Times New Roman" w:hAnsi="Times New Roman"/>
          <w:sz w:val="24"/>
          <w:szCs w:val="24"/>
        </w:rPr>
        <w:t>”</w:t>
      </w:r>
    </w:p>
    <w:p w14:paraId="1DE5F9AF" w14:textId="1AA87ADB" w:rsidR="00DD03E3" w:rsidRDefault="00DD03E3" w:rsidP="00DD03E3">
      <w:pPr>
        <w:spacing w:after="100" w:line="240" w:lineRule="auto"/>
        <w:ind w:left="1440"/>
        <w:rPr>
          <w:rFonts w:ascii="Times New Roman" w:eastAsia="Times New Roman" w:hAnsi="Times New Roman"/>
          <w:sz w:val="24"/>
          <w:szCs w:val="24"/>
        </w:rPr>
      </w:pPr>
    </w:p>
    <w:p w14:paraId="4C7DD396" w14:textId="77777777" w:rsidR="00DD03E3" w:rsidRPr="00C17950" w:rsidRDefault="00DD03E3" w:rsidP="00DD03E3">
      <w:pPr>
        <w:spacing w:after="100" w:line="240" w:lineRule="auto"/>
        <w:ind w:left="1440"/>
        <w:rPr>
          <w:rFonts w:ascii="Times New Roman" w:eastAsia="Times New Roman" w:hAnsi="Times New Roman"/>
          <w:sz w:val="24"/>
          <w:szCs w:val="24"/>
        </w:rPr>
      </w:pPr>
    </w:p>
    <w:p w14:paraId="0B56FA50" w14:textId="77777777" w:rsidR="00DD03E3" w:rsidRDefault="00DD03E3" w:rsidP="00DE0F03">
      <w:pPr>
        <w:rPr>
          <w:rFonts w:ascii="Arial Black" w:hAnsi="Arial Black"/>
          <w:b/>
          <w:sz w:val="24"/>
          <w:szCs w:val="24"/>
        </w:rPr>
      </w:pPr>
    </w:p>
    <w:p w14:paraId="08948BD7" w14:textId="77777777" w:rsidR="00DD03E3" w:rsidRDefault="00DD03E3" w:rsidP="00DE0F03">
      <w:pPr>
        <w:rPr>
          <w:rFonts w:ascii="Arial Black" w:hAnsi="Arial Black"/>
          <w:b/>
          <w:sz w:val="24"/>
          <w:szCs w:val="24"/>
        </w:rPr>
      </w:pPr>
    </w:p>
    <w:p w14:paraId="4151AAE8" w14:textId="06849EA5" w:rsidR="00DD03E3" w:rsidRDefault="00DD03E3" w:rsidP="00DE0F03">
      <w:pPr>
        <w:rPr>
          <w:rFonts w:ascii="Arial Black" w:hAnsi="Arial Black"/>
          <w:b/>
          <w:sz w:val="24"/>
          <w:szCs w:val="24"/>
        </w:rPr>
      </w:pPr>
      <w:r>
        <w:rPr>
          <w:rFonts w:ascii="Arial Black" w:hAnsi="Arial Black"/>
          <w:b/>
          <w:sz w:val="24"/>
          <w:szCs w:val="24"/>
        </w:rPr>
        <w:t>8-21</w:t>
      </w:r>
    </w:p>
    <w:p w14:paraId="52E1EE47" w14:textId="77777777" w:rsidR="00DD03E3" w:rsidRPr="002C741B" w:rsidRDefault="00DD03E3" w:rsidP="00DD03E3">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OH: EMS CAPTAIN (BLACK) SHIFT CHANGED – SO WHITE CAPTAIN ON EACH SHIFT – UNFAIR, INCONVENIENT - BUT NOT TITLE VII VIOL. </w:t>
      </w:r>
    </w:p>
    <w:p w14:paraId="407EEA1E" w14:textId="77777777" w:rsidR="00DD03E3" w:rsidRDefault="00DD03E3" w:rsidP="00DD03E3">
      <w:pPr>
        <w:spacing w:before="100" w:beforeAutospacing="1" w:after="100" w:afterAutospacing="1" w:line="240" w:lineRule="auto"/>
        <w:rPr>
          <w:rFonts w:ascii="Times New Roman" w:eastAsia="Times New Roman" w:hAnsi="Times New Roman"/>
          <w:b/>
          <w:bCs/>
          <w:sz w:val="24"/>
          <w:szCs w:val="24"/>
        </w:rPr>
      </w:pPr>
      <w:r w:rsidRPr="002C741B">
        <w:rPr>
          <w:rFonts w:ascii="Times New Roman" w:hAnsi="Times New Roman"/>
          <w:sz w:val="24"/>
          <w:szCs w:val="24"/>
        </w:rPr>
        <w:t xml:space="preserve">On Oct. 8, 2020, in </w:t>
      </w:r>
      <w:r w:rsidRPr="00633F0B">
        <w:rPr>
          <w:rFonts w:ascii="Times New Roman" w:hAnsi="Times New Roman"/>
          <w:sz w:val="24"/>
          <w:szCs w:val="24"/>
          <w:u w:val="single"/>
        </w:rPr>
        <w:t>Michael Threat, et al. v. City of Cleveland</w:t>
      </w:r>
      <w:r w:rsidRPr="002C741B">
        <w:rPr>
          <w:rFonts w:ascii="Times New Roman" w:hAnsi="Times New Roman"/>
          <w:sz w:val="24"/>
          <w:szCs w:val="24"/>
        </w:rPr>
        <w:t xml:space="preserve">, </w:t>
      </w:r>
      <w:r>
        <w:rPr>
          <w:rFonts w:ascii="Times New Roman" w:hAnsi="Times New Roman"/>
          <w:sz w:val="24"/>
          <w:szCs w:val="24"/>
        </w:rPr>
        <w:t xml:space="preserve">U.S. District Court Judge James S. Gwin, Northern District of Ohio, granted the City’s motion for summary judgment. Five </w:t>
      </w:r>
      <w:proofErr w:type="gramStart"/>
      <w:r>
        <w:rPr>
          <w:rFonts w:ascii="Times New Roman" w:hAnsi="Times New Roman"/>
          <w:sz w:val="24"/>
          <w:szCs w:val="24"/>
        </w:rPr>
        <w:t>African-American</w:t>
      </w:r>
      <w:proofErr w:type="gramEnd"/>
      <w:r>
        <w:rPr>
          <w:rFonts w:ascii="Times New Roman" w:hAnsi="Times New Roman"/>
          <w:sz w:val="24"/>
          <w:szCs w:val="24"/>
        </w:rPr>
        <w:t xml:space="preserve"> Captains sued, after the EMS Commissioner changed the shift of Captain Reginal Anderson from his requested day shift to night shift; the Commissioner wanted at least one Caucasian Captain with more seniority on duty.  </w:t>
      </w:r>
    </w:p>
    <w:p w14:paraId="5FE84FF2" w14:textId="77777777" w:rsidR="00DD03E3" w:rsidRDefault="00DD03E3" w:rsidP="00DD03E3">
      <w:pPr>
        <w:pStyle w:val="NormalWeb"/>
        <w:ind w:left="720"/>
      </w:pPr>
      <w:r>
        <w:t>“Not all undesirable or unfair work conditions that employees face are material for purposes of Title VII.  ‘Reassignments without changes in salary, benefits, title, or work hours usually do not constitute adverse employment actions.’    Plaintiff Anderson's shift change, while unfair and inconvenient, does not rise to the level of a materially adverse employment action. A change to night shift ‘is not materially adverse without some reduction in pay, prestige, or responsibility.’ Anderson's shift change did not affect the basic terms of his employment; it merely temporarily affected when he worked and who he worked with. Anderson's family life preference for day shift does not change things.</w:t>
      </w:r>
      <w:bookmarkStart w:id="320" w:name="fn44"/>
      <w:r>
        <w:rPr>
          <w:sz w:val="20"/>
          <w:szCs w:val="20"/>
          <w:vertAlign w:val="superscript"/>
        </w:rPr>
        <w:fldChar w:fldCharType="begin"/>
      </w:r>
      <w:r>
        <w:rPr>
          <w:sz w:val="20"/>
          <w:szCs w:val="20"/>
          <w:vertAlign w:val="superscript"/>
        </w:rPr>
        <w:instrText xml:space="preserve"> HYPERLINK "https://public.fastcase.com/" \l "fr44" </w:instrText>
      </w:r>
      <w:r>
        <w:rPr>
          <w:sz w:val="20"/>
          <w:szCs w:val="20"/>
          <w:vertAlign w:val="superscript"/>
        </w:rPr>
      </w:r>
      <w:r>
        <w:rPr>
          <w:sz w:val="20"/>
          <w:szCs w:val="20"/>
          <w:vertAlign w:val="superscript"/>
        </w:rPr>
        <w:fldChar w:fldCharType="separate"/>
      </w:r>
      <w:r>
        <w:rPr>
          <w:rStyle w:val="Hyperlink"/>
          <w:rFonts w:eastAsiaTheme="majorEastAsia"/>
          <w:sz w:val="20"/>
          <w:szCs w:val="20"/>
          <w:vertAlign w:val="superscript"/>
        </w:rPr>
        <w:t>44</w:t>
      </w:r>
      <w:r>
        <w:rPr>
          <w:sz w:val="20"/>
          <w:szCs w:val="20"/>
          <w:vertAlign w:val="superscript"/>
        </w:rPr>
        <w:fldChar w:fldCharType="end"/>
      </w:r>
      <w:bookmarkEnd w:id="320"/>
      <w:r>
        <w:t xml:space="preserve"> Courts employ an objective standard for Title VII materiality. Working night shift is not objectively less desirable than day shift or viewed by the City or EMS Commissioner as a duty performed by lower-ranking employees. In fact, two captains more senior than Anderson each used their top bids on A-key and B-key nights.” </w:t>
      </w:r>
      <w:hyperlink r:id="rId1582" w:history="1">
        <w:r w:rsidRPr="00987F62">
          <w:rPr>
            <w:rStyle w:val="Hyperlink"/>
          </w:rPr>
          <w:t>https://casetext.com/case/threat-v-city-of-cleveland</w:t>
        </w:r>
      </w:hyperlink>
      <w:r>
        <w:t xml:space="preserve"> </w:t>
      </w:r>
    </w:p>
    <w:p w14:paraId="1D3228BD" w14:textId="77777777" w:rsidR="00DD03E3" w:rsidRDefault="00DD03E3" w:rsidP="00DD03E3">
      <w:pPr>
        <w:pStyle w:val="NormalWeb"/>
        <w:rPr>
          <w:b/>
          <w:bCs/>
        </w:rPr>
      </w:pPr>
      <w:r>
        <w:rPr>
          <w:b/>
          <w:bCs/>
        </w:rPr>
        <w:t>Legal Lesson Learned: Staffing decisions based on race can lead to litigation and poor workplace morale; should be carefully reviewed with legal counsel prior to implementation.</w:t>
      </w:r>
    </w:p>
    <w:p w14:paraId="2F0E4E63" w14:textId="77777777" w:rsidR="00DD03E3" w:rsidRDefault="00DD03E3" w:rsidP="00DE0F03">
      <w:pPr>
        <w:rPr>
          <w:rFonts w:ascii="Arial Black" w:hAnsi="Arial Black"/>
          <w:b/>
          <w:sz w:val="24"/>
          <w:szCs w:val="24"/>
        </w:rPr>
      </w:pPr>
    </w:p>
    <w:p w14:paraId="5FB5F61A" w14:textId="45C568C8" w:rsidR="00F824FE" w:rsidRDefault="00F824FE" w:rsidP="00DE0F03">
      <w:pPr>
        <w:rPr>
          <w:rFonts w:ascii="Arial Black" w:hAnsi="Arial Black"/>
          <w:b/>
          <w:sz w:val="24"/>
          <w:szCs w:val="24"/>
        </w:rPr>
      </w:pPr>
      <w:r>
        <w:rPr>
          <w:rFonts w:ascii="Arial Black" w:hAnsi="Arial Black"/>
          <w:b/>
          <w:sz w:val="24"/>
          <w:szCs w:val="24"/>
        </w:rPr>
        <w:t>8-20</w:t>
      </w:r>
    </w:p>
    <w:p w14:paraId="5526AEF1" w14:textId="77777777" w:rsidR="00F824FE" w:rsidRPr="001B5E57" w:rsidRDefault="00F824FE" w:rsidP="00F824FE">
      <w:pPr>
        <w:pStyle w:val="NormalWeb"/>
        <w:rPr>
          <w:rFonts w:ascii="Arial Black" w:hAnsi="Arial Black"/>
          <w:sz w:val="28"/>
          <w:szCs w:val="28"/>
        </w:rPr>
      </w:pPr>
      <w:r>
        <w:rPr>
          <w:rFonts w:ascii="Arial Black" w:hAnsi="Arial Black"/>
          <w:sz w:val="28"/>
          <w:szCs w:val="28"/>
        </w:rPr>
        <w:t>FL: FEMALE AFRICAN AMERICAN FF – ON PROMOTION LIST - JURY DETERMINED WERE NO OPENING – NEW TRIAL ORDER REVERSED</w:t>
      </w:r>
    </w:p>
    <w:p w14:paraId="481245AB" w14:textId="77777777" w:rsidR="00F824FE" w:rsidRDefault="00F824FE" w:rsidP="00F824FE">
      <w:pPr>
        <w:pStyle w:val="NormalWeb"/>
      </w:pPr>
      <w:r>
        <w:t xml:space="preserve">On Sept. 23, 2020, in </w:t>
      </w:r>
      <w:r w:rsidRPr="001B5E57">
        <w:rPr>
          <w:u w:val="single"/>
        </w:rPr>
        <w:t>Miami-Dade County v. Faye Davis</w:t>
      </w:r>
      <w:r>
        <w:t xml:space="preserve">, the Third District Court of Appeal, State of Florida, held (3 to 0) that the trial judge improperly granted the plaintiff’s motion for a new trial.   </w:t>
      </w:r>
    </w:p>
    <w:p w14:paraId="00077D1A" w14:textId="77777777" w:rsidR="00F824FE" w:rsidRDefault="00F824FE" w:rsidP="00F824FE">
      <w:pPr>
        <w:spacing w:before="100" w:beforeAutospacing="1" w:after="100" w:afterAutospacing="1" w:line="240" w:lineRule="auto"/>
        <w:ind w:left="720"/>
        <w:rPr>
          <w:rFonts w:ascii="Times New Roman" w:eastAsia="Times New Roman" w:hAnsi="Times New Roman"/>
          <w:sz w:val="24"/>
          <w:szCs w:val="24"/>
        </w:rPr>
      </w:pPr>
      <w:r w:rsidRPr="001C55DB">
        <w:rPr>
          <w:sz w:val="24"/>
          <w:szCs w:val="24"/>
        </w:rPr>
        <w:t>“</w:t>
      </w:r>
      <w:r w:rsidRPr="001B5E57">
        <w:rPr>
          <w:rFonts w:ascii="Times New Roman" w:eastAsia="Times New Roman" w:hAnsi="Times New Roman"/>
          <w:sz w:val="24"/>
          <w:szCs w:val="24"/>
        </w:rPr>
        <w:t xml:space="preserve">We hold that the evidence supported the jury's verdict, in which it determined that the County did not deny Davis a promotion during the 2009-10 and 2010-11 promotional cycles based on her race or sex, and further determined that the County did not deny her a promotion because she engaged in protected activity. The trial court erred in granting </w:t>
      </w:r>
      <w:proofErr w:type="spellStart"/>
      <w:r w:rsidRPr="001B5E57">
        <w:rPr>
          <w:rFonts w:ascii="Times New Roman" w:eastAsia="Times New Roman" w:hAnsi="Times New Roman"/>
          <w:sz w:val="24"/>
          <w:szCs w:val="24"/>
        </w:rPr>
        <w:t>Davis'</w:t>
      </w:r>
      <w:proofErr w:type="spellEnd"/>
      <w:r w:rsidRPr="001B5E57">
        <w:rPr>
          <w:rFonts w:ascii="Times New Roman" w:eastAsia="Times New Roman" w:hAnsi="Times New Roman"/>
          <w:sz w:val="24"/>
          <w:szCs w:val="24"/>
        </w:rPr>
        <w:t xml:space="preserve"> motion for directed verdict and abused its discretion in alternatively granting a new trial.</w:t>
      </w:r>
    </w:p>
    <w:p w14:paraId="3A5708F7" w14:textId="77777777" w:rsidR="00F824FE" w:rsidRPr="001B5E57" w:rsidRDefault="00F824FE" w:rsidP="00F824FE">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7FFC040" w14:textId="77777777" w:rsidR="00F824FE" w:rsidRPr="001C55DB" w:rsidRDefault="00F824FE" w:rsidP="00F824FE">
      <w:pPr>
        <w:pStyle w:val="NormalWeb"/>
        <w:ind w:left="720"/>
        <w:rPr>
          <w:b/>
          <w:bCs/>
        </w:rPr>
      </w:pPr>
      <w:r w:rsidRPr="001C55DB">
        <w:t xml:space="preserve">To find that the County failed to present any evidence showing a non-discriminatory reason for Davis's lack of promotion, the trial court's order relied on </w:t>
      </w:r>
      <w:r>
        <w:t xml:space="preserve">[Miami-Dade Fire Chief MDFR Fire Chief Herminio] </w:t>
      </w:r>
      <w:r w:rsidRPr="001C55DB">
        <w:t xml:space="preserve">Lorenzo's inability to remember his reasons for not promoting Davis. Such reliance is misplaced where, viewing the evidence in the light most favorable to the County, a reasonable inference can be drawn that the County's decision was based on legitimate, non-discriminatory, non-retaliatory reasons i.e., overages and an agreement between the County and the union prohibited Chief Lorenzo from filling the two ‘vacant’ positions. We also note that Chief Lorenzo testified that the only criteria he used to make CFO promotions was to go </w:t>
      </w:r>
      <w:r>
        <w:t>‘</w:t>
      </w:r>
      <w:r w:rsidRPr="001C55DB">
        <w:t>straight down the list,</w:t>
      </w:r>
      <w:r>
        <w:t>’</w:t>
      </w:r>
      <w:r w:rsidRPr="001C55DB">
        <w:t xml:space="preserve"> and that he never took race into consideration. </w:t>
      </w:r>
      <w:proofErr w:type="spellStart"/>
      <w:r w:rsidRPr="001C55DB">
        <w:t>Davis'</w:t>
      </w:r>
      <w:proofErr w:type="spellEnd"/>
      <w:r w:rsidRPr="001C55DB">
        <w:t xml:space="preserve"> own testimony on cross-examination allowed for the reasonable inference that Chief Lorenzo simply went </w:t>
      </w:r>
      <w:r>
        <w:t>‘</w:t>
      </w:r>
      <w:r w:rsidRPr="001C55DB">
        <w:t>straight down the list</w:t>
      </w:r>
      <w:r>
        <w:t>’</w:t>
      </w:r>
      <w:r w:rsidRPr="001C55DB">
        <w:t xml:space="preserve"> where she acknowledged that, from 2005 to 2009, he had promoted Blacks, Hispanics, women, and active members of the PFA.</w:t>
      </w:r>
      <w:r>
        <w:t xml:space="preserve">”  [Footnote 3.] </w:t>
      </w:r>
      <w:hyperlink r:id="rId1583" w:history="1">
        <w:r w:rsidRPr="002F1E28">
          <w:rPr>
            <w:rStyle w:val="Hyperlink"/>
          </w:rPr>
          <w:t>https://law.justia.com/cases/florida/third-district-court-of-appeal/2020/3d19-1144.html</w:t>
        </w:r>
      </w:hyperlink>
      <w:r>
        <w:t xml:space="preserve"> </w:t>
      </w:r>
    </w:p>
    <w:p w14:paraId="640ED975" w14:textId="77777777" w:rsidR="00F824FE" w:rsidRDefault="00F824FE" w:rsidP="00F824FE">
      <w:pPr>
        <w:spacing w:before="100" w:beforeAutospacing="1" w:after="100" w:afterAutospacing="1" w:line="240" w:lineRule="auto"/>
        <w:rPr>
          <w:rFonts w:ascii="Times New Roman" w:hAnsi="Times New Roman"/>
          <w:b/>
          <w:bCs/>
          <w:sz w:val="24"/>
          <w:szCs w:val="24"/>
        </w:rPr>
      </w:pPr>
      <w:r w:rsidRPr="0023112C">
        <w:rPr>
          <w:rFonts w:ascii="Times New Roman" w:hAnsi="Times New Roman"/>
          <w:b/>
          <w:bCs/>
          <w:sz w:val="24"/>
          <w:szCs w:val="24"/>
        </w:rPr>
        <w:t>Legal Lessons Learned:</w:t>
      </w:r>
      <w:r>
        <w:rPr>
          <w:rFonts w:ascii="Times New Roman" w:hAnsi="Times New Roman"/>
          <w:b/>
          <w:bCs/>
          <w:sz w:val="24"/>
          <w:szCs w:val="24"/>
        </w:rPr>
        <w:t xml:space="preserve"> Jury’s verdict is upheld. </w:t>
      </w:r>
    </w:p>
    <w:p w14:paraId="28B947C1" w14:textId="77777777" w:rsidR="00F824FE" w:rsidRDefault="00F824FE" w:rsidP="00F824FE">
      <w:pPr>
        <w:spacing w:before="100" w:beforeAutospacing="1" w:after="100" w:afterAutospacing="1" w:line="240" w:lineRule="auto"/>
        <w:ind w:left="720"/>
        <w:rPr>
          <w:rFonts w:ascii="Times New Roman" w:hAnsi="Times New Roman"/>
          <w:sz w:val="24"/>
          <w:szCs w:val="24"/>
        </w:rPr>
      </w:pPr>
      <w:r w:rsidRPr="0023112C">
        <w:rPr>
          <w:rFonts w:ascii="Times New Roman" w:hAnsi="Times New Roman"/>
          <w:sz w:val="24"/>
          <w:szCs w:val="24"/>
        </w:rPr>
        <w:t xml:space="preserve">Note: </w:t>
      </w:r>
      <w:r>
        <w:rPr>
          <w:rFonts w:ascii="Times New Roman" w:hAnsi="Times New Roman"/>
          <w:sz w:val="24"/>
          <w:szCs w:val="24"/>
        </w:rPr>
        <w:t xml:space="preserve">Trial judge who ordered new trial thought the jury had been “deceived” because a FD report had not been provided to plaintiff’s counsel prior to trail. </w:t>
      </w:r>
    </w:p>
    <w:p w14:paraId="67028051" w14:textId="77777777" w:rsidR="00F824FE" w:rsidRPr="0023112C" w:rsidRDefault="00F824FE" w:rsidP="00F824FE">
      <w:pPr>
        <w:spacing w:before="100" w:beforeAutospacing="1" w:after="100" w:afterAutospacing="1" w:line="240" w:lineRule="auto"/>
        <w:ind w:left="1440"/>
        <w:rPr>
          <w:rFonts w:ascii="Times New Roman" w:eastAsia="Times New Roman" w:hAnsi="Times New Roman"/>
          <w:sz w:val="24"/>
          <w:szCs w:val="24"/>
        </w:rPr>
      </w:pPr>
      <w:r w:rsidRPr="0023112C">
        <w:rPr>
          <w:rFonts w:ascii="Times New Roman" w:hAnsi="Times New Roman"/>
          <w:sz w:val="24"/>
          <w:szCs w:val="24"/>
        </w:rPr>
        <w:t>“</w:t>
      </w:r>
      <w:r w:rsidRPr="0023112C">
        <w:rPr>
          <w:rFonts w:ascii="Times New Roman" w:eastAsia="Times New Roman" w:hAnsi="Times New Roman"/>
          <w:sz w:val="24"/>
          <w:szCs w:val="24"/>
        </w:rPr>
        <w:t xml:space="preserve">The [trial judge’s] order also concluded the jury was ‘deceived as to the force and credibility of the evidence or [] [] influenced by considerations outside the record,’ a reference to a small portion of testimony stricken by the trial court. More specifically, the trial court struck testimony from Robin Duran (a division chief and then-Deputy Chief to Alfredo Suarez) stating that there were only seventy-seven ‘required’ CFO positions for the 2009-10 promotional cycle. Duran further explained that she prepared a report reaching the same number of available CFO positions—seventy-seven. Because the report was never provided to plaintiff's counsel, the trial court struck the testimony as a ‘blatant, willful violation of discovery.’ *** The trial court's finding that the jury was influenced by the stricken testimony is not supported by the evidence. We also note that the trial court gave a curative instruction as requested by Davis, and that Davis did not make a contemporaneous motion for mistrial. </w:t>
      </w:r>
      <w:r w:rsidRPr="0023112C">
        <w:rPr>
          <w:rFonts w:ascii="Times New Roman" w:eastAsia="Times New Roman" w:hAnsi="Times New Roman"/>
          <w:sz w:val="24"/>
          <w:szCs w:val="24"/>
          <w:u w:val="single"/>
        </w:rPr>
        <w:t>Black v. Cohen</w:t>
      </w:r>
      <w:r w:rsidRPr="0023112C">
        <w:rPr>
          <w:rFonts w:ascii="Times New Roman" w:eastAsia="Times New Roman" w:hAnsi="Times New Roman"/>
          <w:sz w:val="24"/>
          <w:szCs w:val="24"/>
        </w:rPr>
        <w:t>, 246 So. 3d 379, 384 (Fla. 4th DCA 2018) (noting: ‘[T]he Florida Supreme Court has held that a trial court may not grant a new trial based upon objections to attorney misconduct which were sustained, but for which no motion for mistrial was requested.’). The testimony in question was at most cumulative, did not advance the County's theory beyond that which had already been established.”  [Footnote 4.]</w:t>
      </w:r>
    </w:p>
    <w:p w14:paraId="7505D40A" w14:textId="77777777" w:rsidR="00F824FE" w:rsidRDefault="00F824FE" w:rsidP="00DE0F03">
      <w:pPr>
        <w:rPr>
          <w:rFonts w:ascii="Arial Black" w:hAnsi="Arial Black"/>
          <w:b/>
          <w:sz w:val="24"/>
          <w:szCs w:val="24"/>
        </w:rPr>
      </w:pPr>
    </w:p>
    <w:p w14:paraId="33FE153F" w14:textId="62AF2AB2" w:rsidR="00557CA2" w:rsidRDefault="00557CA2" w:rsidP="00DE0F03">
      <w:pPr>
        <w:rPr>
          <w:rFonts w:ascii="Arial Black" w:hAnsi="Arial Black"/>
          <w:b/>
          <w:sz w:val="24"/>
          <w:szCs w:val="24"/>
        </w:rPr>
      </w:pPr>
      <w:r>
        <w:rPr>
          <w:rFonts w:ascii="Arial Black" w:hAnsi="Arial Black"/>
          <w:b/>
          <w:sz w:val="24"/>
          <w:szCs w:val="24"/>
        </w:rPr>
        <w:t>8-19</w:t>
      </w:r>
    </w:p>
    <w:p w14:paraId="57D1F4FF" w14:textId="629C1CE0" w:rsidR="00557CA2" w:rsidRDefault="00557CA2" w:rsidP="00557CA2">
      <w:pPr>
        <w:spacing w:before="100" w:beforeAutospacing="1" w:after="100" w:afterAutospacing="1" w:line="240" w:lineRule="auto"/>
        <w:rPr>
          <w:rFonts w:ascii="Arial Black" w:hAnsi="Arial Black"/>
          <w:sz w:val="28"/>
          <w:szCs w:val="28"/>
        </w:rPr>
      </w:pPr>
      <w:r>
        <w:rPr>
          <w:rFonts w:ascii="Arial Black" w:hAnsi="Arial Black"/>
          <w:sz w:val="28"/>
          <w:szCs w:val="28"/>
        </w:rPr>
        <w:t>MI:  CITY OF WARREN – “DIVERSITY AND INCLUSION COORDINATOR” RESI</w:t>
      </w:r>
      <w:r w:rsidR="00DB72C4">
        <w:rPr>
          <w:rFonts w:ascii="Arial Black" w:hAnsi="Arial Black"/>
          <w:sz w:val="28"/>
          <w:szCs w:val="28"/>
        </w:rPr>
        <w:t>G</w:t>
      </w:r>
      <w:r>
        <w:rPr>
          <w:rFonts w:ascii="Arial Black" w:hAnsi="Arial Black"/>
          <w:sz w:val="28"/>
          <w:szCs w:val="28"/>
        </w:rPr>
        <w:t>NED - LAWSUIT MAY PROCEED</w:t>
      </w:r>
    </w:p>
    <w:p w14:paraId="2CB0BED1" w14:textId="77777777" w:rsidR="00557CA2" w:rsidRDefault="00557CA2" w:rsidP="00557CA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19, 2020, in </w:t>
      </w:r>
      <w:r>
        <w:rPr>
          <w:rFonts w:ascii="Times New Roman" w:hAnsi="Times New Roman"/>
          <w:sz w:val="24"/>
          <w:szCs w:val="24"/>
          <w:u w:val="single"/>
        </w:rPr>
        <w:t>Gregory Murray v. City of Warren</w:t>
      </w:r>
      <w:r>
        <w:rPr>
          <w:rFonts w:ascii="Times New Roman" w:hAnsi="Times New Roman"/>
          <w:sz w:val="24"/>
          <w:szCs w:val="24"/>
        </w:rPr>
        <w:t xml:space="preserve">, U.S. District Court Judge Gershwin A. Drain, Eastern District of Michigan (Southern Division) denied the city’s motion to dismiss portions of the lawsuit. </w:t>
      </w:r>
    </w:p>
    <w:p w14:paraId="13952C26" w14:textId="77777777" w:rsidR="00557CA2" w:rsidRDefault="00557CA2" w:rsidP="00557CA2">
      <w:pPr>
        <w:pStyle w:val="NormalWeb"/>
        <w:ind w:left="720"/>
      </w:pPr>
      <w:r>
        <w:t xml:space="preserve">“Plaintiff also claims similarly situated employees who are not in a protected class were treated more favorably than he was where his efforts to perform his job duties were thwarted forcing his resignation while his counterparts were able to retain their positions even after engaging in illegal discrimination, which had been reported to Defendants. Additionally, Defendant City's police commissioner allegedly called Plaintiff a racial slur and prevented Plaintiff, with Defendant Fouts' full support, from investigating past incidents of racial discrimination and civil rights violations within the police department. Accordingly, Plaintiff has stated a viable race discrimination claim under both Title VII and the [Michigan statute] ELCRA.” </w:t>
      </w:r>
      <w:hyperlink r:id="rId1584" w:history="1">
        <w:r>
          <w:rPr>
            <w:rStyle w:val="Hyperlink"/>
            <w:rFonts w:eastAsiaTheme="majorEastAsia"/>
          </w:rPr>
          <w:t>https://casetext.com/case/murray-v-city-of-warren-1</w:t>
        </w:r>
      </w:hyperlink>
      <w:r>
        <w:t xml:space="preserve"> </w:t>
      </w:r>
    </w:p>
    <w:p w14:paraId="3368901D" w14:textId="77777777" w:rsidR="00557CA2" w:rsidRDefault="00557CA2" w:rsidP="00557CA2">
      <w:pPr>
        <w:pStyle w:val="NormalWeb"/>
        <w:rPr>
          <w:b/>
          <w:bCs/>
        </w:rPr>
      </w:pPr>
      <w:r>
        <w:rPr>
          <w:b/>
          <w:bCs/>
        </w:rPr>
        <w:t xml:space="preserve">Legal Lessons Learned: The lawsuit will now proceed to pre-trial discovery.  The alleged comments are unacceptable in any workplace. </w:t>
      </w:r>
    </w:p>
    <w:p w14:paraId="50B0B91C" w14:textId="77777777" w:rsidR="00557CA2" w:rsidRDefault="00557CA2" w:rsidP="00DE0F03">
      <w:pPr>
        <w:rPr>
          <w:rFonts w:ascii="Arial Black" w:hAnsi="Arial Black"/>
          <w:b/>
          <w:sz w:val="24"/>
          <w:szCs w:val="24"/>
        </w:rPr>
      </w:pPr>
    </w:p>
    <w:p w14:paraId="14D4664C" w14:textId="3581D40D" w:rsidR="00557CA2" w:rsidRDefault="00557CA2" w:rsidP="00DE0F03">
      <w:pPr>
        <w:rPr>
          <w:rFonts w:ascii="Arial Black" w:hAnsi="Arial Black"/>
          <w:b/>
          <w:sz w:val="24"/>
          <w:szCs w:val="24"/>
        </w:rPr>
      </w:pPr>
      <w:r>
        <w:rPr>
          <w:rFonts w:ascii="Arial Black" w:hAnsi="Arial Black"/>
          <w:b/>
          <w:sz w:val="24"/>
          <w:szCs w:val="24"/>
        </w:rPr>
        <w:t>8-18</w:t>
      </w:r>
    </w:p>
    <w:p w14:paraId="5F795B86" w14:textId="77777777" w:rsidR="00557CA2" w:rsidRDefault="00557CA2" w:rsidP="00557CA2">
      <w:pPr>
        <w:spacing w:before="100" w:beforeAutospacing="1" w:after="100" w:afterAutospacing="1" w:line="240" w:lineRule="auto"/>
        <w:rPr>
          <w:rFonts w:ascii="Arial Black" w:hAnsi="Arial Black"/>
          <w:sz w:val="28"/>
          <w:szCs w:val="28"/>
        </w:rPr>
      </w:pPr>
      <w:bookmarkStart w:id="321" w:name="_Hlk66948003"/>
      <w:r>
        <w:rPr>
          <w:rFonts w:ascii="Arial Black" w:hAnsi="Arial Black"/>
          <w:sz w:val="28"/>
          <w:szCs w:val="28"/>
        </w:rPr>
        <w:t xml:space="preserve">PA: REVERSE DISCRIMINATION NOT PROVED - WHITE BATTALION CHIEF &amp; CAPTAIN LAWSUIT DISMISSED </w:t>
      </w:r>
    </w:p>
    <w:p w14:paraId="4DB91E1D" w14:textId="77777777" w:rsidR="00557CA2" w:rsidRDefault="00557CA2" w:rsidP="00557CA2">
      <w:pPr>
        <w:tabs>
          <w:tab w:val="left" w:pos="817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4, 2020, in </w:t>
      </w:r>
      <w:r>
        <w:rPr>
          <w:rFonts w:ascii="Times New Roman" w:hAnsi="Times New Roman"/>
          <w:sz w:val="24"/>
          <w:szCs w:val="24"/>
          <w:u w:val="single"/>
        </w:rPr>
        <w:t>Lawrence Boyle and Gerald Boyle v. City of Philadelphia</w:t>
      </w:r>
      <w:r>
        <w:rPr>
          <w:rFonts w:ascii="Times New Roman" w:hAnsi="Times New Roman"/>
          <w:sz w:val="24"/>
          <w:szCs w:val="24"/>
        </w:rPr>
        <w:t>, Senior U.S. District Court Judge Jan E. DuBois, Eastern District of Pennsylvania, granted the City’s motion for summary judgment.</w:t>
      </w:r>
    </w:p>
    <w:p w14:paraId="51C510BB" w14:textId="77777777" w:rsidR="00557CA2" w:rsidRDefault="00557CA2" w:rsidP="00557CA2">
      <w:pPr>
        <w:pStyle w:val="NormalWeb"/>
        <w:ind w:left="720"/>
      </w:pPr>
      <w:r>
        <w:t xml:space="preserve">“Plaintiffs offer no analysis of statistical significance whatsoever </w:t>
      </w:r>
      <w:proofErr w:type="gramStart"/>
      <w:r>
        <w:t>with regard to</w:t>
      </w:r>
      <w:proofErr w:type="gramEnd"/>
      <w:r>
        <w:t xml:space="preserve"> the record evidence of exam results and promotions. That failure alone is enough to grant the City's Motion on plaintiffs' disparate impact claim. *** Finally, courts have rejected alleged Equal Protection violations based on an employer's ‘reliance on various subjective criteria during the promotional process.’ </w:t>
      </w:r>
      <w:r>
        <w:rPr>
          <w:i/>
          <w:iCs/>
        </w:rPr>
        <w:t>Baldwin v</w:t>
      </w:r>
      <w:r>
        <w:t xml:space="preserve">. </w:t>
      </w:r>
      <w:proofErr w:type="spellStart"/>
      <w:r>
        <w:rPr>
          <w:i/>
          <w:iCs/>
        </w:rPr>
        <w:t>Gramiccioni</w:t>
      </w:r>
      <w:proofErr w:type="spellEnd"/>
      <w:r>
        <w:t>, No. 16-1675, 2019 WL 2281580, at*16 (D.N.J. May 29, 2019). Indeed, courts have held that ‘[s]</w:t>
      </w:r>
      <w:proofErr w:type="spellStart"/>
      <w:r>
        <w:t>ubjective</w:t>
      </w:r>
      <w:proofErr w:type="spellEnd"/>
      <w:r>
        <w:t xml:space="preserve"> promotion criteria are not discriminatory </w:t>
      </w:r>
      <w:r>
        <w:rPr>
          <w:i/>
          <w:iCs/>
        </w:rPr>
        <w:t>per</w:t>
      </w:r>
      <w:r>
        <w:t xml:space="preserve"> </w:t>
      </w:r>
      <w:proofErr w:type="spellStart"/>
      <w:r>
        <w:t>se.’</w:t>
      </w:r>
      <w:r>
        <w:rPr>
          <w:i/>
          <w:iCs/>
        </w:rPr>
        <w:t>Beckett</w:t>
      </w:r>
      <w:proofErr w:type="spellEnd"/>
      <w:r>
        <w:rPr>
          <w:i/>
          <w:iCs/>
        </w:rPr>
        <w:t xml:space="preserve"> v</w:t>
      </w:r>
      <w:r>
        <w:t xml:space="preserve">. </w:t>
      </w:r>
      <w:proofErr w:type="spellStart"/>
      <w:r>
        <w:rPr>
          <w:i/>
          <w:iCs/>
        </w:rPr>
        <w:t>Dep't</w:t>
      </w:r>
      <w:proofErr w:type="spellEnd"/>
      <w:r>
        <w:rPr>
          <w:i/>
          <w:iCs/>
        </w:rPr>
        <w:t xml:space="preserve"> of Corrections</w:t>
      </w:r>
      <w:r>
        <w:t xml:space="preserve">, 981 F. Supp. 319, 327 (D. Del. 1997) (citing </w:t>
      </w:r>
      <w:r>
        <w:rPr>
          <w:i/>
          <w:iCs/>
        </w:rPr>
        <w:t>Shealy v</w:t>
      </w:r>
      <w:r>
        <w:t xml:space="preserve">. </w:t>
      </w:r>
      <w:r>
        <w:rPr>
          <w:i/>
          <w:iCs/>
        </w:rPr>
        <w:t>City of Albany</w:t>
      </w:r>
      <w:r>
        <w:t xml:space="preserve">, 89 F.3d 804, 805 (11th Cir. 1996)).” </w:t>
      </w:r>
      <w:hyperlink r:id="rId1585" w:history="1">
        <w:r>
          <w:rPr>
            <w:rStyle w:val="Hyperlink"/>
            <w:rFonts w:eastAsiaTheme="majorEastAsia"/>
          </w:rPr>
          <w:t>http://www.paed.uscourts.gov/documents/opinions/20D0393P.pdf</w:t>
        </w:r>
      </w:hyperlink>
      <w:r>
        <w:t xml:space="preserve"> </w:t>
      </w:r>
    </w:p>
    <w:p w14:paraId="68B271DD" w14:textId="77777777" w:rsidR="00557CA2" w:rsidRDefault="00557CA2" w:rsidP="00557CA2">
      <w:pPr>
        <w:tabs>
          <w:tab w:val="left" w:pos="3210"/>
        </w:tabs>
        <w:spacing w:before="100" w:beforeAutospacing="1" w:after="100" w:afterAutospacing="1" w:line="240" w:lineRule="auto"/>
        <w:rPr>
          <w:rFonts w:ascii="Times New Roman" w:eastAsia="Times New Roman" w:hAnsi="Times New Roman"/>
          <w:sz w:val="24"/>
          <w:szCs w:val="24"/>
        </w:rPr>
      </w:pPr>
      <w:r>
        <w:rPr>
          <w:rFonts w:ascii="Times New Roman" w:hAnsi="Times New Roman"/>
          <w:b/>
          <w:bCs/>
          <w:sz w:val="24"/>
          <w:szCs w:val="24"/>
        </w:rPr>
        <w:t xml:space="preserve">Legal Lessons Learned: Lack of statistical significance in exams and promotions led to dismissal of this lawsuit. </w:t>
      </w:r>
    </w:p>
    <w:bookmarkEnd w:id="321"/>
    <w:p w14:paraId="18BB2B50" w14:textId="77777777" w:rsidR="00557CA2" w:rsidRDefault="00557CA2" w:rsidP="00DE0F03">
      <w:pPr>
        <w:rPr>
          <w:rFonts w:ascii="Arial Black" w:hAnsi="Arial Black"/>
          <w:b/>
          <w:sz w:val="24"/>
          <w:szCs w:val="24"/>
        </w:rPr>
      </w:pPr>
    </w:p>
    <w:p w14:paraId="4963B924" w14:textId="77777777" w:rsidR="00557CA2" w:rsidRDefault="00557CA2" w:rsidP="00DE0F03">
      <w:pPr>
        <w:rPr>
          <w:rFonts w:ascii="Arial Black" w:hAnsi="Arial Black"/>
          <w:b/>
          <w:sz w:val="24"/>
          <w:szCs w:val="24"/>
        </w:rPr>
      </w:pPr>
    </w:p>
    <w:p w14:paraId="4921AF32" w14:textId="33651F04" w:rsidR="006B2083" w:rsidRDefault="006B2083" w:rsidP="00DE0F03">
      <w:pPr>
        <w:rPr>
          <w:rFonts w:ascii="Arial Black" w:hAnsi="Arial Black"/>
          <w:b/>
          <w:sz w:val="24"/>
          <w:szCs w:val="24"/>
        </w:rPr>
      </w:pPr>
      <w:r>
        <w:rPr>
          <w:rFonts w:ascii="Arial Black" w:hAnsi="Arial Black"/>
          <w:b/>
          <w:sz w:val="24"/>
          <w:szCs w:val="24"/>
        </w:rPr>
        <w:t>8-17</w:t>
      </w:r>
    </w:p>
    <w:p w14:paraId="53B02748" w14:textId="77777777" w:rsidR="006B2083" w:rsidRPr="00230B50" w:rsidRDefault="006B2083" w:rsidP="006B2083">
      <w:pPr>
        <w:pStyle w:val="NoSpacing"/>
        <w:rPr>
          <w:rFonts w:ascii="Arial Black" w:hAnsi="Arial Black"/>
          <w:sz w:val="28"/>
          <w:szCs w:val="28"/>
        </w:rPr>
      </w:pPr>
      <w:r w:rsidRPr="00230B50">
        <w:rPr>
          <w:rFonts w:ascii="Arial Black" w:hAnsi="Arial Black"/>
          <w:sz w:val="28"/>
          <w:szCs w:val="28"/>
        </w:rPr>
        <w:t xml:space="preserve">CT: </w:t>
      </w:r>
      <w:r>
        <w:rPr>
          <w:rFonts w:ascii="Arial Black" w:hAnsi="Arial Black"/>
          <w:sz w:val="28"/>
          <w:szCs w:val="28"/>
        </w:rPr>
        <w:t xml:space="preserve"> FF ALLEGED RACE DISCRIM – TWO INCIDNTS - NO ALLEGATION RACE “PERMEATED OVERALL WORKING ENVIRONMENT” </w:t>
      </w:r>
    </w:p>
    <w:p w14:paraId="09E8B1C6" w14:textId="77777777" w:rsidR="00DB72C4" w:rsidRDefault="00DB72C4" w:rsidP="006B2083">
      <w:pPr>
        <w:rPr>
          <w:rFonts w:ascii="Times New Roman" w:hAnsi="Times New Roman"/>
          <w:sz w:val="24"/>
          <w:szCs w:val="24"/>
        </w:rPr>
      </w:pPr>
    </w:p>
    <w:p w14:paraId="7AACD68F" w14:textId="7F9E3C77" w:rsidR="006B2083" w:rsidRDefault="006B2083" w:rsidP="006B2083">
      <w:pPr>
        <w:rPr>
          <w:rStyle w:val="Hyperlink"/>
          <w:rFonts w:ascii="Times New Roman" w:hAnsi="Times New Roman"/>
          <w:sz w:val="24"/>
          <w:szCs w:val="24"/>
        </w:rPr>
      </w:pPr>
      <w:r w:rsidRPr="00E831B1">
        <w:rPr>
          <w:rFonts w:ascii="Times New Roman" w:hAnsi="Times New Roman"/>
          <w:sz w:val="24"/>
          <w:szCs w:val="24"/>
        </w:rPr>
        <w:t xml:space="preserve">On </w:t>
      </w:r>
      <w:r>
        <w:rPr>
          <w:rFonts w:ascii="Times New Roman" w:hAnsi="Times New Roman"/>
          <w:sz w:val="24"/>
          <w:szCs w:val="24"/>
        </w:rPr>
        <w:t xml:space="preserve">June 29, 2020, in </w:t>
      </w:r>
      <w:r w:rsidRPr="00E831B1">
        <w:rPr>
          <w:rFonts w:ascii="Times New Roman" w:hAnsi="Times New Roman"/>
          <w:sz w:val="24"/>
          <w:szCs w:val="24"/>
          <w:u w:val="single"/>
        </w:rPr>
        <w:t>Tony Milledge v. City of Hartford, et al</w:t>
      </w:r>
      <w:r>
        <w:rPr>
          <w:rFonts w:ascii="Times New Roman" w:hAnsi="Times New Roman"/>
          <w:sz w:val="24"/>
          <w:szCs w:val="24"/>
        </w:rPr>
        <w:t>., U.S. District Court Judge Jeffery Alker Meyer, District of Connecticut, dismissed the lawsuit by African American firefighter with 20 years on Hartford FD.  He filed complaint alleging two incidents</w:t>
      </w:r>
      <w:r w:rsidR="00DB72C4">
        <w:rPr>
          <w:rFonts w:ascii="Times New Roman" w:hAnsi="Times New Roman"/>
          <w:sz w:val="24"/>
          <w:szCs w:val="24"/>
        </w:rPr>
        <w:t xml:space="preserve"> </w:t>
      </w:r>
      <w:r>
        <w:rPr>
          <w:rFonts w:ascii="Times New Roman" w:hAnsi="Times New Roman"/>
          <w:sz w:val="24"/>
          <w:szCs w:val="24"/>
        </w:rPr>
        <w:t>but lacking specific on how these incidents were related to race.  The Court wrote: “</w:t>
      </w:r>
      <w:r w:rsidRPr="00D20A78">
        <w:rPr>
          <w:rFonts w:ascii="Times New Roman" w:hAnsi="Times New Roman"/>
          <w:sz w:val="24"/>
          <w:szCs w:val="24"/>
        </w:rPr>
        <w:t xml:space="preserve">What is lacking, however, are facts to suggest that any of the alleged abuse was </w:t>
      </w:r>
      <w:r w:rsidRPr="00D20A78">
        <w:rPr>
          <w:rFonts w:ascii="Times New Roman" w:hAnsi="Times New Roman"/>
          <w:i/>
          <w:iCs/>
          <w:sz w:val="24"/>
          <w:szCs w:val="24"/>
        </w:rPr>
        <w:t>because of</w:t>
      </w:r>
      <w:r w:rsidRPr="00D20A78">
        <w:rPr>
          <w:rFonts w:ascii="Times New Roman" w:hAnsi="Times New Roman"/>
          <w:sz w:val="24"/>
          <w:szCs w:val="24"/>
        </w:rPr>
        <w:t xml:space="preserve"> Milledge's race. Milledge does not recite any statements by the two supervisors to suggest that they picked on him because of his race. Nor does Milledge allege facts to suggest that race considerations generally permeated the overall working environment at the fire department—for example, that supervisors at the fire department made any remarks or engaged in any conduct reflecting race-based animus or stereotypical assumptions about race.</w:t>
      </w:r>
      <w:r>
        <w:rPr>
          <w:rFonts w:ascii="Times New Roman" w:hAnsi="Times New Roman"/>
          <w:sz w:val="24"/>
          <w:szCs w:val="24"/>
        </w:rPr>
        <w:t>”  The Court will allow him to file an amended complaint: “</w:t>
      </w:r>
      <w:r w:rsidRPr="00D20A78">
        <w:rPr>
          <w:rFonts w:ascii="Times New Roman" w:hAnsi="Times New Roman"/>
          <w:sz w:val="24"/>
          <w:szCs w:val="24"/>
        </w:rPr>
        <w:t>If Milledge chooses to file an amended complaint, the amended complaint should not only state additional facts to support an inference of discriminatory motive but also to show that the alleged acts of abuse created a hostile work environment.</w:t>
      </w:r>
      <w:r>
        <w:rPr>
          <w:rFonts w:ascii="Times New Roman" w:hAnsi="Times New Roman"/>
          <w:sz w:val="24"/>
          <w:szCs w:val="24"/>
        </w:rPr>
        <w:t xml:space="preserve">” </w:t>
      </w:r>
      <w:hyperlink r:id="rId1586" w:history="1">
        <w:r w:rsidRPr="00DE6B93">
          <w:rPr>
            <w:rStyle w:val="Hyperlink"/>
            <w:rFonts w:ascii="Times New Roman" w:hAnsi="Times New Roman"/>
            <w:sz w:val="24"/>
            <w:szCs w:val="24"/>
          </w:rPr>
          <w:t>https://public.fastcase.com/Wl%2B2t%2BeVuI35%2FN70vAMFZjxlcnGgF4KmxTbsHmdpUnhrKX1xZ8%2F1BaT4X1Cm7%2Fji</w:t>
        </w:r>
      </w:hyperlink>
    </w:p>
    <w:p w14:paraId="1C75DBD5" w14:textId="77777777" w:rsidR="006B2083" w:rsidRPr="00230B50" w:rsidRDefault="006B2083" w:rsidP="006B2083">
      <w:pPr>
        <w:spacing w:before="100" w:beforeAutospacing="1" w:after="100" w:afterAutospacing="1" w:line="240" w:lineRule="auto"/>
        <w:rPr>
          <w:rFonts w:ascii="Times New Roman" w:eastAsia="Times New Roman" w:hAnsi="Times New Roman"/>
          <w:b/>
          <w:bCs/>
          <w:sz w:val="24"/>
          <w:szCs w:val="24"/>
        </w:rPr>
      </w:pPr>
      <w:r w:rsidRPr="002754A9">
        <w:rPr>
          <w:rFonts w:ascii="Times New Roman" w:hAnsi="Times New Roman"/>
          <w:b/>
          <w:bCs/>
          <w:sz w:val="24"/>
          <w:szCs w:val="24"/>
        </w:rPr>
        <w:t>Legal Lesson Learned</w:t>
      </w:r>
      <w:r>
        <w:rPr>
          <w:rFonts w:ascii="Times New Roman" w:hAnsi="Times New Roman"/>
          <w:b/>
          <w:bCs/>
          <w:sz w:val="24"/>
          <w:szCs w:val="24"/>
        </w:rPr>
        <w:t xml:space="preserve">:  FDs can help avoid litigation by </w:t>
      </w:r>
      <w:proofErr w:type="gramStart"/>
      <w:r>
        <w:rPr>
          <w:rFonts w:ascii="Times New Roman" w:hAnsi="Times New Roman"/>
          <w:b/>
          <w:bCs/>
          <w:sz w:val="24"/>
          <w:szCs w:val="24"/>
        </w:rPr>
        <w:t>conduct</w:t>
      </w:r>
      <w:proofErr w:type="gramEnd"/>
      <w:r>
        <w:rPr>
          <w:rFonts w:ascii="Times New Roman" w:hAnsi="Times New Roman"/>
          <w:b/>
          <w:bCs/>
          <w:sz w:val="24"/>
          <w:szCs w:val="24"/>
        </w:rPr>
        <w:t xml:space="preserve"> prompt, thorough internal investigations of all complaints (after receipt of written complaint).  </w:t>
      </w:r>
    </w:p>
    <w:p w14:paraId="4EB54DC8" w14:textId="77777777" w:rsidR="006B2083" w:rsidRDefault="006B2083" w:rsidP="006B2083">
      <w:pPr>
        <w:rPr>
          <w:rFonts w:ascii="Arial Black" w:hAnsi="Arial Black"/>
          <w:b/>
          <w:sz w:val="24"/>
          <w:szCs w:val="24"/>
        </w:rPr>
      </w:pPr>
    </w:p>
    <w:p w14:paraId="4FF8849D" w14:textId="77777777" w:rsidR="006B2083" w:rsidRDefault="006B2083" w:rsidP="00DE0F03">
      <w:pPr>
        <w:rPr>
          <w:rFonts w:ascii="Arial Black" w:hAnsi="Arial Black"/>
          <w:b/>
          <w:sz w:val="24"/>
          <w:szCs w:val="24"/>
        </w:rPr>
      </w:pPr>
    </w:p>
    <w:p w14:paraId="598DBC2A" w14:textId="2C4AE323" w:rsidR="007105B3" w:rsidRDefault="007105B3" w:rsidP="00DE0F03">
      <w:pPr>
        <w:rPr>
          <w:rFonts w:ascii="Arial Black" w:hAnsi="Arial Black"/>
          <w:b/>
          <w:sz w:val="24"/>
          <w:szCs w:val="24"/>
        </w:rPr>
      </w:pPr>
      <w:r>
        <w:rPr>
          <w:rFonts w:ascii="Arial Black" w:hAnsi="Arial Black"/>
          <w:b/>
          <w:sz w:val="24"/>
          <w:szCs w:val="24"/>
        </w:rPr>
        <w:t>8-16</w:t>
      </w:r>
    </w:p>
    <w:p w14:paraId="64FED3DD" w14:textId="77777777" w:rsidR="007105B3" w:rsidRPr="005D212F" w:rsidRDefault="007105B3" w:rsidP="007105B3">
      <w:pPr>
        <w:pStyle w:val="NoSpacing"/>
        <w:rPr>
          <w:rFonts w:ascii="Arial Black" w:hAnsi="Arial Black"/>
          <w:sz w:val="28"/>
          <w:szCs w:val="28"/>
        </w:rPr>
      </w:pPr>
      <w:r w:rsidRPr="005D212F">
        <w:rPr>
          <w:rFonts w:ascii="Arial Black" w:hAnsi="Arial Black"/>
          <w:sz w:val="28"/>
          <w:szCs w:val="28"/>
        </w:rPr>
        <w:t xml:space="preserve">NY: </w:t>
      </w:r>
      <w:r>
        <w:rPr>
          <w:rFonts w:ascii="Arial Black" w:hAnsi="Arial Black"/>
          <w:sz w:val="28"/>
          <w:szCs w:val="28"/>
        </w:rPr>
        <w:t>FDNY - AFRICAN AMERICAN, MUSLIM – CLAIMED HOSTILE WORK ATMOSPHERE – ONLY “PETTY SLIGHTS”</w:t>
      </w:r>
    </w:p>
    <w:p w14:paraId="1F12C27E" w14:textId="77777777" w:rsidR="007105B3" w:rsidRDefault="007105B3" w:rsidP="007105B3">
      <w:pPr>
        <w:pStyle w:val="NoSpacing"/>
        <w:rPr>
          <w:rFonts w:ascii="On On" w:hAnsi="On On"/>
          <w:sz w:val="24"/>
          <w:szCs w:val="24"/>
        </w:rPr>
      </w:pPr>
    </w:p>
    <w:p w14:paraId="2DBC2342" w14:textId="77777777" w:rsidR="007105B3" w:rsidRPr="00CE6A11" w:rsidRDefault="007105B3" w:rsidP="007105B3">
      <w:pPr>
        <w:pStyle w:val="NoSpacing"/>
        <w:rPr>
          <w:rFonts w:ascii="Times New Roman" w:hAnsi="Times New Roman"/>
          <w:sz w:val="24"/>
          <w:szCs w:val="24"/>
        </w:rPr>
      </w:pPr>
      <w:r w:rsidRPr="005D212F">
        <w:rPr>
          <w:rFonts w:ascii="Times New Roman" w:hAnsi="Times New Roman"/>
          <w:sz w:val="24"/>
          <w:szCs w:val="24"/>
        </w:rPr>
        <w:t xml:space="preserve">On June 26, 2020, in </w:t>
      </w:r>
      <w:r w:rsidRPr="005D212F">
        <w:rPr>
          <w:rFonts w:ascii="Times New Roman" w:hAnsi="Times New Roman"/>
          <w:sz w:val="24"/>
          <w:szCs w:val="24"/>
          <w:u w:val="single"/>
        </w:rPr>
        <w:t>Gordon Springs v. City of New York, et al</w:t>
      </w:r>
      <w:r>
        <w:rPr>
          <w:rFonts w:ascii="Times New Roman" w:hAnsi="Times New Roman"/>
          <w:sz w:val="24"/>
          <w:szCs w:val="24"/>
        </w:rPr>
        <w:t>., U.S. District Court Judge Alvin K. Hellerstein granted the City’s motion to dismiss.  “</w:t>
      </w:r>
      <w:r w:rsidRPr="00CE6A11">
        <w:rPr>
          <w:rFonts w:ascii="Times New Roman" w:hAnsi="Times New Roman"/>
          <w:sz w:val="24"/>
          <w:szCs w:val="24"/>
        </w:rPr>
        <w:t xml:space="preserve">Springs fails to adequately plead a hostile work environment, because the FAC </w:t>
      </w:r>
      <w:r>
        <w:rPr>
          <w:rFonts w:ascii="Times New Roman" w:hAnsi="Times New Roman"/>
          <w:sz w:val="24"/>
          <w:szCs w:val="24"/>
        </w:rPr>
        <w:t xml:space="preserve">[First Amended Complaint] </w:t>
      </w:r>
      <w:r w:rsidRPr="00CE6A11">
        <w:rPr>
          <w:rFonts w:ascii="Times New Roman" w:hAnsi="Times New Roman"/>
          <w:sz w:val="24"/>
          <w:szCs w:val="24"/>
        </w:rPr>
        <w:t xml:space="preserve">does not sufficiently claim a causal connection between Springs's protected characteristics and most of the contested acts and, as to the remaining acts, the alleged acts of hostility do not rise above the level of </w:t>
      </w:r>
      <w:r>
        <w:rPr>
          <w:rFonts w:ascii="Times New Roman" w:hAnsi="Times New Roman"/>
          <w:sz w:val="24"/>
          <w:szCs w:val="24"/>
        </w:rPr>
        <w:t>‘</w:t>
      </w:r>
      <w:r w:rsidRPr="00CE6A11">
        <w:rPr>
          <w:rFonts w:ascii="Times New Roman" w:hAnsi="Times New Roman"/>
          <w:sz w:val="24"/>
          <w:szCs w:val="24"/>
        </w:rPr>
        <w:t>petty slight or trivial inconvenience.</w:t>
      </w:r>
      <w:r>
        <w:rPr>
          <w:rFonts w:ascii="Times New Roman" w:hAnsi="Times New Roman"/>
          <w:sz w:val="24"/>
          <w:szCs w:val="24"/>
        </w:rPr>
        <w:t xml:space="preserve">’ </w:t>
      </w:r>
      <w:hyperlink r:id="rId1587" w:history="1">
        <w:r w:rsidRPr="007062AF">
          <w:rPr>
            <w:rStyle w:val="Hyperlink"/>
            <w:rFonts w:ascii="Times New Roman" w:hAnsi="Times New Roman"/>
            <w:sz w:val="24"/>
            <w:szCs w:val="24"/>
          </w:rPr>
          <w:t>https://public.fastcase.com/Wl%2B2t%2BeVuI35%2FN70vAMFZu9WSCqieY3u1gfnWEwDVajGcV1Qbmc97gDjPt%2BB6d9C</w:t>
        </w:r>
      </w:hyperlink>
      <w:r>
        <w:rPr>
          <w:rFonts w:ascii="Times New Roman" w:hAnsi="Times New Roman"/>
          <w:sz w:val="24"/>
          <w:szCs w:val="24"/>
        </w:rPr>
        <w:t xml:space="preserve"> </w:t>
      </w:r>
    </w:p>
    <w:p w14:paraId="545207B2" w14:textId="77777777" w:rsidR="007105B3" w:rsidRPr="00CE6A11" w:rsidRDefault="007105B3" w:rsidP="007105B3">
      <w:pPr>
        <w:spacing w:before="100" w:beforeAutospacing="1" w:after="100" w:afterAutospacing="1" w:line="240" w:lineRule="auto"/>
        <w:rPr>
          <w:rFonts w:ascii="Times New Roman" w:hAnsi="Times New Roman"/>
          <w:b/>
          <w:bCs/>
          <w:sz w:val="24"/>
          <w:szCs w:val="24"/>
        </w:rPr>
      </w:pPr>
      <w:r w:rsidRPr="00CE6A11">
        <w:rPr>
          <w:rFonts w:ascii="Times New Roman" w:hAnsi="Times New Roman"/>
          <w:b/>
          <w:bCs/>
          <w:sz w:val="24"/>
          <w:szCs w:val="24"/>
        </w:rPr>
        <w:t xml:space="preserve">Legal Lessons Learned: To state a claim for </w:t>
      </w:r>
      <w:proofErr w:type="gramStart"/>
      <w:r w:rsidRPr="00CE6A11">
        <w:rPr>
          <w:rFonts w:ascii="Times New Roman" w:hAnsi="Times New Roman"/>
          <w:b/>
          <w:bCs/>
          <w:sz w:val="24"/>
          <w:szCs w:val="24"/>
        </w:rPr>
        <w:t>a hostile</w:t>
      </w:r>
      <w:proofErr w:type="gramEnd"/>
      <w:r w:rsidRPr="00CE6A11">
        <w:rPr>
          <w:rFonts w:ascii="Times New Roman" w:hAnsi="Times New Roman"/>
          <w:b/>
          <w:bCs/>
          <w:sz w:val="24"/>
          <w:szCs w:val="24"/>
        </w:rPr>
        <w:t xml:space="preserve"> work the plaintiff must allege "that the workplace is permeated with discriminatory intimidation, ridicule, and insult that is sufficiently severe or pervasive to alter the conditions of ... employment and create an abusive working environment."</w:t>
      </w:r>
    </w:p>
    <w:p w14:paraId="69FE09DC" w14:textId="77777777" w:rsidR="007105B3" w:rsidRDefault="007105B3" w:rsidP="007105B3">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ab/>
      </w:r>
      <w:r w:rsidRPr="00DE7C27">
        <w:rPr>
          <w:rFonts w:ascii="Times New Roman" w:hAnsi="Times New Roman"/>
          <w:sz w:val="24"/>
          <w:szCs w:val="24"/>
        </w:rPr>
        <w:t xml:space="preserve">Note: </w:t>
      </w:r>
      <w:r>
        <w:rPr>
          <w:rFonts w:ascii="Times New Roman" w:hAnsi="Times New Roman"/>
          <w:sz w:val="24"/>
          <w:szCs w:val="24"/>
        </w:rPr>
        <w:t xml:space="preserve"> Read Judge’s comments about the “pork incident.” </w:t>
      </w:r>
    </w:p>
    <w:p w14:paraId="51CD20BA" w14:textId="77777777" w:rsidR="007105B3" w:rsidRPr="00CE6A11" w:rsidRDefault="007105B3" w:rsidP="007105B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CE6A11">
        <w:rPr>
          <w:rFonts w:ascii="Times New Roman" w:eastAsia="Times New Roman" w:hAnsi="Times New Roman"/>
          <w:sz w:val="24"/>
          <w:szCs w:val="24"/>
        </w:rPr>
        <w:t xml:space="preserve">The alleged pork incident is equally if not more trivial. The full extent of that allegation is that unidentified firefighters in Engine 67 </w:t>
      </w:r>
      <w:r>
        <w:rPr>
          <w:rFonts w:ascii="Times New Roman" w:eastAsia="Times New Roman" w:hAnsi="Times New Roman"/>
          <w:sz w:val="24"/>
          <w:szCs w:val="24"/>
        </w:rPr>
        <w:t>‘</w:t>
      </w:r>
      <w:r w:rsidRPr="00CE6A11">
        <w:rPr>
          <w:rFonts w:ascii="Times New Roman" w:eastAsia="Times New Roman" w:hAnsi="Times New Roman"/>
          <w:sz w:val="24"/>
          <w:szCs w:val="24"/>
        </w:rPr>
        <w:t>cooked a meal and made hamburgers in the same pan used to cook bacon</w:t>
      </w:r>
      <w:r>
        <w:rPr>
          <w:rFonts w:ascii="Times New Roman" w:eastAsia="Times New Roman" w:hAnsi="Times New Roman"/>
          <w:sz w:val="24"/>
          <w:szCs w:val="24"/>
        </w:rPr>
        <w:t>’</w:t>
      </w:r>
      <w:r w:rsidRPr="00CE6A11">
        <w:rPr>
          <w:rFonts w:ascii="Times New Roman" w:eastAsia="Times New Roman" w:hAnsi="Times New Roman"/>
          <w:sz w:val="24"/>
          <w:szCs w:val="24"/>
        </w:rPr>
        <w:t xml:space="preserve"> even though they had </w:t>
      </w:r>
      <w:r>
        <w:rPr>
          <w:rFonts w:ascii="Times New Roman" w:eastAsia="Times New Roman" w:hAnsi="Times New Roman"/>
          <w:sz w:val="24"/>
          <w:szCs w:val="24"/>
        </w:rPr>
        <w:t>‘</w:t>
      </w:r>
      <w:r w:rsidRPr="00CE6A11">
        <w:rPr>
          <w:rFonts w:ascii="Times New Roman" w:eastAsia="Times New Roman" w:hAnsi="Times New Roman"/>
          <w:sz w:val="24"/>
          <w:szCs w:val="24"/>
        </w:rPr>
        <w:t>full knowledge</w:t>
      </w:r>
      <w:r>
        <w:rPr>
          <w:rFonts w:ascii="Times New Roman" w:eastAsia="Times New Roman" w:hAnsi="Times New Roman"/>
          <w:sz w:val="24"/>
          <w:szCs w:val="24"/>
        </w:rPr>
        <w:t>’</w:t>
      </w:r>
      <w:r w:rsidRPr="00CE6A11">
        <w:rPr>
          <w:rFonts w:ascii="Times New Roman" w:eastAsia="Times New Roman" w:hAnsi="Times New Roman"/>
          <w:sz w:val="24"/>
          <w:szCs w:val="24"/>
        </w:rPr>
        <w:t xml:space="preserve"> that Springs is Muslim and therefore </w:t>
      </w:r>
      <w:r>
        <w:rPr>
          <w:rFonts w:ascii="Times New Roman" w:eastAsia="Times New Roman" w:hAnsi="Times New Roman"/>
          <w:sz w:val="24"/>
          <w:szCs w:val="24"/>
        </w:rPr>
        <w:t>‘</w:t>
      </w:r>
      <w:r w:rsidRPr="00CE6A11">
        <w:rPr>
          <w:rFonts w:ascii="Times New Roman" w:eastAsia="Times New Roman" w:hAnsi="Times New Roman"/>
          <w:sz w:val="24"/>
          <w:szCs w:val="24"/>
        </w:rPr>
        <w:t>unable to eat pork or cook with pork.</w:t>
      </w:r>
      <w:r>
        <w:rPr>
          <w:rFonts w:ascii="Times New Roman" w:eastAsia="Times New Roman" w:hAnsi="Times New Roman"/>
          <w:sz w:val="24"/>
          <w:szCs w:val="24"/>
        </w:rPr>
        <w:t>’</w:t>
      </w:r>
      <w:r w:rsidRPr="00CE6A11">
        <w:rPr>
          <w:rFonts w:ascii="Times New Roman" w:eastAsia="Times New Roman" w:hAnsi="Times New Roman"/>
          <w:sz w:val="24"/>
          <w:szCs w:val="24"/>
        </w:rPr>
        <w:t xml:space="preserve"> FAC at ¶¶ 48-50. That's it. Springs does not say whether this was the only </w:t>
      </w:r>
      <w:proofErr w:type="gramStart"/>
      <w:r w:rsidRPr="00CE6A11">
        <w:rPr>
          <w:rFonts w:ascii="Times New Roman" w:eastAsia="Times New Roman" w:hAnsi="Times New Roman"/>
          <w:sz w:val="24"/>
          <w:szCs w:val="24"/>
        </w:rPr>
        <w:t>pan</w:t>
      </w:r>
      <w:proofErr w:type="gramEnd"/>
      <w:r w:rsidRPr="00CE6A11">
        <w:rPr>
          <w:rFonts w:ascii="Times New Roman" w:eastAsia="Times New Roman" w:hAnsi="Times New Roman"/>
          <w:sz w:val="24"/>
          <w:szCs w:val="24"/>
        </w:rPr>
        <w:t xml:space="preserve"> in Engine 67; whether any firefighters made comments to accompany their cooking with pork suggestive of animus; whether Springs, in the moment, said anything to his coworkers to remind them of his dietary restrictions, </w:t>
      </w:r>
      <w:r w:rsidRPr="00CE6A11">
        <w:rPr>
          <w:rFonts w:ascii="Times New Roman" w:eastAsia="Times New Roman" w:hAnsi="Times New Roman"/>
          <w:i/>
          <w:iCs/>
          <w:sz w:val="24"/>
          <w:szCs w:val="24"/>
        </w:rPr>
        <w:t>see id</w:t>
      </w:r>
      <w:r w:rsidRPr="00CE6A11">
        <w:rPr>
          <w:rFonts w:ascii="Times New Roman" w:eastAsia="Times New Roman" w:hAnsi="Times New Roman"/>
          <w:sz w:val="24"/>
          <w:szCs w:val="24"/>
        </w:rPr>
        <w:t xml:space="preserve">. at ¶ 49 (noting that Springs had advised </w:t>
      </w:r>
      <w:r>
        <w:rPr>
          <w:rFonts w:ascii="Times New Roman" w:eastAsia="Times New Roman" w:hAnsi="Times New Roman"/>
          <w:sz w:val="24"/>
          <w:szCs w:val="24"/>
        </w:rPr>
        <w:t>‘</w:t>
      </w:r>
      <w:r w:rsidRPr="00CE6A11">
        <w:rPr>
          <w:rFonts w:ascii="Times New Roman" w:eastAsia="Times New Roman" w:hAnsi="Times New Roman"/>
          <w:sz w:val="24"/>
          <w:szCs w:val="24"/>
        </w:rPr>
        <w:t>all firefighters</w:t>
      </w:r>
      <w:r>
        <w:rPr>
          <w:rFonts w:ascii="Times New Roman" w:eastAsia="Times New Roman" w:hAnsi="Times New Roman"/>
          <w:sz w:val="24"/>
          <w:szCs w:val="24"/>
        </w:rPr>
        <w:t>’</w:t>
      </w:r>
      <w:r w:rsidRPr="00CE6A11">
        <w:rPr>
          <w:rFonts w:ascii="Times New Roman" w:eastAsia="Times New Roman" w:hAnsi="Times New Roman"/>
          <w:sz w:val="24"/>
          <w:szCs w:val="24"/>
        </w:rPr>
        <w:t xml:space="preserve"> that he was Muslim </w:t>
      </w:r>
      <w:r>
        <w:rPr>
          <w:rFonts w:ascii="Times New Roman" w:eastAsia="Times New Roman" w:hAnsi="Times New Roman"/>
          <w:sz w:val="24"/>
          <w:szCs w:val="24"/>
        </w:rPr>
        <w:t>‘</w:t>
      </w:r>
      <w:r w:rsidRPr="00CE6A11">
        <w:rPr>
          <w:rFonts w:ascii="Times New Roman" w:eastAsia="Times New Roman" w:hAnsi="Times New Roman"/>
          <w:i/>
          <w:iCs/>
          <w:sz w:val="24"/>
          <w:szCs w:val="24"/>
        </w:rPr>
        <w:t>[p]</w:t>
      </w:r>
      <w:proofErr w:type="spellStart"/>
      <w:r w:rsidRPr="00CE6A11">
        <w:rPr>
          <w:rFonts w:ascii="Times New Roman" w:eastAsia="Times New Roman" w:hAnsi="Times New Roman"/>
          <w:i/>
          <w:iCs/>
          <w:sz w:val="24"/>
          <w:szCs w:val="24"/>
        </w:rPr>
        <w:t>rior</w:t>
      </w:r>
      <w:proofErr w:type="spellEnd"/>
      <w:r w:rsidRPr="00CE6A11">
        <w:rPr>
          <w:rFonts w:ascii="Times New Roman" w:eastAsia="Times New Roman" w:hAnsi="Times New Roman"/>
          <w:i/>
          <w:iCs/>
          <w:sz w:val="24"/>
          <w:szCs w:val="24"/>
        </w:rPr>
        <w:t xml:space="preserve"> to</w:t>
      </w:r>
      <w:r w:rsidRPr="00CE6A11">
        <w:rPr>
          <w:rFonts w:ascii="Times New Roman" w:eastAsia="Times New Roman" w:hAnsi="Times New Roman"/>
          <w:sz w:val="24"/>
          <w:szCs w:val="24"/>
        </w:rPr>
        <w:t xml:space="preserve"> this meal</w:t>
      </w:r>
      <w:r>
        <w:rPr>
          <w:rFonts w:ascii="Times New Roman" w:eastAsia="Times New Roman" w:hAnsi="Times New Roman"/>
          <w:sz w:val="24"/>
          <w:szCs w:val="24"/>
        </w:rPr>
        <w:t>’</w:t>
      </w:r>
      <w:r w:rsidRPr="00CE6A11">
        <w:rPr>
          <w:rFonts w:ascii="Times New Roman" w:eastAsia="Times New Roman" w:hAnsi="Times New Roman"/>
          <w:sz w:val="24"/>
          <w:szCs w:val="24"/>
        </w:rPr>
        <w:t>) (emphasis added); or even whether Springs was present at the time the cooking took place. But even stretching to its limit the duty to read the FAC in the light that is most favorable to Springs, it seems that at worst he would have been required to clean this pan in order to cook in it himself, or perhaps would have been required to notify a superior in Engine 67 that, in the future, his</w:t>
      </w:r>
      <w:r>
        <w:rPr>
          <w:rFonts w:ascii="Times New Roman" w:eastAsia="Times New Roman" w:hAnsi="Times New Roman"/>
          <w:sz w:val="24"/>
          <w:szCs w:val="24"/>
        </w:rPr>
        <w:t xml:space="preserve"> </w:t>
      </w:r>
      <w:r w:rsidRPr="00CE6A11">
        <w:rPr>
          <w:rFonts w:ascii="Times New Roman" w:eastAsia="Times New Roman" w:hAnsi="Times New Roman"/>
          <w:sz w:val="24"/>
          <w:szCs w:val="24"/>
        </w:rPr>
        <w:t>meals would need to be prepared separately. Again, this incident may have been insensitive, but it did not impose anything more than a petty slight or inconvenience.</w:t>
      </w:r>
      <w:r>
        <w:rPr>
          <w:rFonts w:ascii="Times New Roman" w:eastAsia="Times New Roman" w:hAnsi="Times New Roman"/>
          <w:sz w:val="24"/>
          <w:szCs w:val="24"/>
        </w:rPr>
        <w:t>”</w:t>
      </w:r>
    </w:p>
    <w:p w14:paraId="4C6B8820" w14:textId="77777777" w:rsidR="007105B3" w:rsidRDefault="007105B3" w:rsidP="00DE0F03">
      <w:pPr>
        <w:rPr>
          <w:rFonts w:ascii="Arial Black" w:hAnsi="Arial Black"/>
          <w:b/>
          <w:sz w:val="24"/>
          <w:szCs w:val="24"/>
        </w:rPr>
      </w:pPr>
    </w:p>
    <w:p w14:paraId="05070AAD" w14:textId="77777777" w:rsidR="007105B3" w:rsidRDefault="007105B3" w:rsidP="00DE0F03">
      <w:pPr>
        <w:rPr>
          <w:rFonts w:ascii="Arial Black" w:hAnsi="Arial Black"/>
          <w:b/>
          <w:sz w:val="24"/>
          <w:szCs w:val="24"/>
        </w:rPr>
      </w:pPr>
    </w:p>
    <w:p w14:paraId="4C3DB92E" w14:textId="77777777" w:rsidR="007105B3" w:rsidRDefault="007105B3" w:rsidP="00DE0F03">
      <w:pPr>
        <w:rPr>
          <w:rFonts w:ascii="Arial Black" w:hAnsi="Arial Black"/>
          <w:b/>
          <w:sz w:val="24"/>
          <w:szCs w:val="24"/>
        </w:rPr>
      </w:pPr>
    </w:p>
    <w:p w14:paraId="789AB306" w14:textId="7A313150" w:rsidR="007105B3" w:rsidRDefault="007105B3" w:rsidP="00DE0F03">
      <w:pPr>
        <w:rPr>
          <w:rFonts w:ascii="Arial Black" w:hAnsi="Arial Black"/>
          <w:b/>
          <w:sz w:val="24"/>
          <w:szCs w:val="24"/>
        </w:rPr>
      </w:pPr>
      <w:r>
        <w:rPr>
          <w:rFonts w:ascii="Arial Black" w:hAnsi="Arial Black"/>
          <w:b/>
          <w:sz w:val="24"/>
          <w:szCs w:val="24"/>
        </w:rPr>
        <w:t>8-15</w:t>
      </w:r>
    </w:p>
    <w:p w14:paraId="091FC893" w14:textId="77777777" w:rsidR="007105B3" w:rsidRPr="005262A7" w:rsidRDefault="007105B3" w:rsidP="007105B3">
      <w:pPr>
        <w:pStyle w:val="NoSpacing"/>
        <w:rPr>
          <w:rFonts w:ascii="Arial Black" w:hAnsi="Arial Black"/>
          <w:sz w:val="28"/>
          <w:szCs w:val="28"/>
        </w:rPr>
      </w:pPr>
      <w:bookmarkStart w:id="322" w:name="_Hlk66948130"/>
      <w:r w:rsidRPr="005262A7">
        <w:rPr>
          <w:rFonts w:ascii="Arial Black" w:hAnsi="Arial Black"/>
          <w:sz w:val="28"/>
          <w:szCs w:val="28"/>
        </w:rPr>
        <w:t xml:space="preserve">TX: </w:t>
      </w:r>
      <w:r>
        <w:rPr>
          <w:rFonts w:ascii="Arial Black" w:hAnsi="Arial Black"/>
          <w:sz w:val="28"/>
          <w:szCs w:val="28"/>
        </w:rPr>
        <w:t xml:space="preserve">FEMALE, AFRICAN AMERICAN FF LAWSUIT FOR HOSTILE WORK ATMOSPHER – NOT FREQUENT, PERVASIVE  </w:t>
      </w:r>
    </w:p>
    <w:p w14:paraId="235E5EC2" w14:textId="77777777" w:rsidR="007105B3" w:rsidRPr="00DF6019" w:rsidRDefault="007105B3" w:rsidP="007105B3">
      <w:pPr>
        <w:spacing w:before="100" w:beforeAutospacing="1" w:after="100" w:afterAutospacing="1" w:line="240" w:lineRule="auto"/>
        <w:rPr>
          <w:rFonts w:ascii="Times New Roman" w:hAnsi="Times New Roman"/>
          <w:sz w:val="24"/>
          <w:szCs w:val="24"/>
        </w:rPr>
      </w:pPr>
      <w:r w:rsidRPr="005262A7">
        <w:rPr>
          <w:rFonts w:ascii="Times New Roman" w:hAnsi="Times New Roman"/>
          <w:sz w:val="24"/>
          <w:szCs w:val="24"/>
        </w:rPr>
        <w:t xml:space="preserve">On June 9, 2020, </w:t>
      </w:r>
      <w:r>
        <w:rPr>
          <w:rFonts w:ascii="Times New Roman" w:hAnsi="Times New Roman"/>
          <w:sz w:val="24"/>
          <w:szCs w:val="24"/>
        </w:rPr>
        <w:t xml:space="preserve">in </w:t>
      </w:r>
      <w:r w:rsidRPr="005262A7">
        <w:rPr>
          <w:rFonts w:ascii="Times New Roman" w:hAnsi="Times New Roman"/>
          <w:sz w:val="24"/>
          <w:szCs w:val="24"/>
          <w:u w:val="single"/>
        </w:rPr>
        <w:t>Carla West v. City of Houston, Texas</w:t>
      </w:r>
      <w:r>
        <w:rPr>
          <w:rFonts w:ascii="Times New Roman" w:hAnsi="Times New Roman"/>
          <w:sz w:val="24"/>
          <w:szCs w:val="24"/>
        </w:rPr>
        <w:t>, the U.S. Court of Appeals for the Fifth Circuit (New Orleans) held (3 to 0) that the U.S. District Court Judge properly granted summary judgment to the City. The Court wrote: “</w:t>
      </w:r>
      <w:r w:rsidRPr="00DF6019">
        <w:rPr>
          <w:rFonts w:ascii="Times New Roman" w:hAnsi="Times New Roman"/>
          <w:sz w:val="24"/>
          <w:szCs w:val="24"/>
        </w:rPr>
        <w:t>West seeks to impose Title VII liability on her employer because her coworkers passed gas at the dinner table; infrequently slept in their underwear at the station; made the occasional racially insensitive joke;</w:t>
      </w:r>
      <w:r>
        <w:rPr>
          <w:rFonts w:ascii="Times New Roman" w:hAnsi="Times New Roman"/>
          <w:sz w:val="24"/>
          <w:szCs w:val="24"/>
        </w:rPr>
        <w:t xml:space="preserve"> </w:t>
      </w:r>
      <w:r w:rsidRPr="00DF6019">
        <w:rPr>
          <w:rFonts w:ascii="Times New Roman" w:hAnsi="Times New Roman"/>
          <w:sz w:val="24"/>
          <w:szCs w:val="24"/>
        </w:rPr>
        <w:t>and brought adult magazines to the station. That is not severe or humiliating under the governing standards.</w:t>
      </w:r>
      <w:r>
        <w:rPr>
          <w:rFonts w:ascii="Times New Roman" w:hAnsi="Times New Roman"/>
          <w:sz w:val="24"/>
          <w:szCs w:val="24"/>
        </w:rPr>
        <w:t>”</w:t>
      </w:r>
      <w:r w:rsidRPr="00DF6019">
        <w:t xml:space="preserve"> </w:t>
      </w:r>
      <w:hyperlink r:id="rId1588" w:history="1">
        <w:r w:rsidRPr="005B0C9C">
          <w:rPr>
            <w:rStyle w:val="Hyperlink"/>
            <w:rFonts w:ascii="Times New Roman" w:hAnsi="Times New Roman"/>
            <w:sz w:val="24"/>
            <w:szCs w:val="24"/>
          </w:rPr>
          <w:t>http://www.ca5.uscourts.gov/opinions/pub/19/19-20294-CV0.pdf</w:t>
        </w:r>
      </w:hyperlink>
      <w:r>
        <w:rPr>
          <w:rFonts w:ascii="Times New Roman" w:hAnsi="Times New Roman"/>
          <w:sz w:val="24"/>
          <w:szCs w:val="24"/>
        </w:rPr>
        <w:t xml:space="preserve"> </w:t>
      </w:r>
    </w:p>
    <w:p w14:paraId="1069D835" w14:textId="77777777" w:rsidR="007105B3" w:rsidRDefault="007105B3" w:rsidP="007105B3">
      <w:pPr>
        <w:pStyle w:val="NoSpacing"/>
        <w:tabs>
          <w:tab w:val="left" w:pos="3180"/>
        </w:tabs>
        <w:rPr>
          <w:rFonts w:ascii="Times New Roman" w:hAnsi="Times New Roman"/>
          <w:b/>
          <w:bCs/>
          <w:sz w:val="24"/>
          <w:szCs w:val="24"/>
        </w:rPr>
      </w:pPr>
      <w:r w:rsidRPr="00DF6019">
        <w:rPr>
          <w:rFonts w:ascii="Times New Roman" w:hAnsi="Times New Roman"/>
          <w:b/>
          <w:bCs/>
          <w:sz w:val="24"/>
          <w:szCs w:val="24"/>
        </w:rPr>
        <w:t>Legal Lessons Learned:</w:t>
      </w:r>
      <w:r>
        <w:rPr>
          <w:rFonts w:ascii="Times New Roman" w:hAnsi="Times New Roman"/>
          <w:b/>
          <w:bCs/>
          <w:sz w:val="24"/>
          <w:szCs w:val="24"/>
        </w:rPr>
        <w:t xml:space="preserve"> Hostile work atmosphere requires proof of “severe or humiliating” atmosphere.  </w:t>
      </w:r>
    </w:p>
    <w:bookmarkEnd w:id="322"/>
    <w:p w14:paraId="479820B3" w14:textId="77777777" w:rsidR="007105B3" w:rsidRPr="00DF6019" w:rsidRDefault="007105B3" w:rsidP="007105B3">
      <w:pPr>
        <w:pStyle w:val="NoSpacing"/>
        <w:tabs>
          <w:tab w:val="left" w:pos="3180"/>
        </w:tabs>
        <w:rPr>
          <w:rFonts w:ascii="Times New Roman" w:hAnsi="Times New Roman"/>
          <w:sz w:val="24"/>
          <w:szCs w:val="24"/>
        </w:rPr>
      </w:pPr>
    </w:p>
    <w:p w14:paraId="322B5CC1" w14:textId="77777777" w:rsidR="007105B3" w:rsidRDefault="007105B3" w:rsidP="007105B3">
      <w:pPr>
        <w:pStyle w:val="NoSpacing"/>
        <w:ind w:left="720"/>
        <w:rPr>
          <w:rFonts w:ascii="Times New Roman" w:hAnsi="Times New Roman"/>
          <w:sz w:val="24"/>
          <w:szCs w:val="24"/>
        </w:rPr>
      </w:pPr>
      <w:r w:rsidRPr="00DF6019">
        <w:rPr>
          <w:rFonts w:ascii="Times New Roman" w:hAnsi="Times New Roman"/>
          <w:sz w:val="24"/>
          <w:szCs w:val="24"/>
        </w:rPr>
        <w:t xml:space="preserve">Note:  The U.S. Supreme Court in </w:t>
      </w:r>
      <w:r w:rsidRPr="00DF6019">
        <w:rPr>
          <w:rFonts w:ascii="Times New Roman" w:hAnsi="Times New Roman"/>
          <w:sz w:val="24"/>
          <w:szCs w:val="24"/>
          <w:u w:val="single"/>
        </w:rPr>
        <w:t>Faragher v. City of Boca Raton</w:t>
      </w:r>
      <w:r w:rsidRPr="00DF6019">
        <w:rPr>
          <w:rFonts w:ascii="Times New Roman" w:hAnsi="Times New Roman"/>
          <w:sz w:val="24"/>
          <w:szCs w:val="24"/>
        </w:rPr>
        <w:t>, 524 U.S. 775 (1998) made it clear that Title VII of the Civil Rights Act of 1964 does not impose a “general civility code” on employers. Faragher, 524 U.S. at 788 (quoting Oncale, 523 U.S. at 80).</w:t>
      </w:r>
      <w:r w:rsidRPr="00DF6019">
        <w:rPr>
          <w:rFonts w:ascii="Times New Roman" w:hAnsi="Times New Roman"/>
          <w:sz w:val="24"/>
          <w:szCs w:val="24"/>
        </w:rPr>
        <w:tab/>
      </w:r>
    </w:p>
    <w:p w14:paraId="73E3DA9B" w14:textId="77777777" w:rsidR="007105B3" w:rsidRDefault="007105B3" w:rsidP="00DE0F03">
      <w:pPr>
        <w:rPr>
          <w:rFonts w:ascii="Arial Black" w:hAnsi="Arial Black"/>
          <w:b/>
          <w:sz w:val="24"/>
          <w:szCs w:val="24"/>
        </w:rPr>
      </w:pPr>
    </w:p>
    <w:p w14:paraId="30343800" w14:textId="77777777" w:rsidR="007105B3" w:rsidRDefault="007105B3" w:rsidP="00DE0F03">
      <w:pPr>
        <w:rPr>
          <w:rFonts w:ascii="Arial Black" w:hAnsi="Arial Black"/>
          <w:b/>
          <w:sz w:val="24"/>
          <w:szCs w:val="24"/>
        </w:rPr>
      </w:pPr>
    </w:p>
    <w:p w14:paraId="002E08E5" w14:textId="074654EA" w:rsidR="002147DA" w:rsidRDefault="002147DA" w:rsidP="00DE0F03">
      <w:pPr>
        <w:rPr>
          <w:rFonts w:ascii="Arial Black" w:hAnsi="Arial Black"/>
          <w:b/>
          <w:sz w:val="24"/>
          <w:szCs w:val="24"/>
        </w:rPr>
      </w:pPr>
      <w:r>
        <w:rPr>
          <w:rFonts w:ascii="Arial Black" w:hAnsi="Arial Black"/>
          <w:b/>
          <w:sz w:val="24"/>
          <w:szCs w:val="24"/>
        </w:rPr>
        <w:t>8-1</w:t>
      </w:r>
      <w:r w:rsidR="005A395B">
        <w:rPr>
          <w:rFonts w:ascii="Arial Black" w:hAnsi="Arial Black"/>
          <w:b/>
          <w:sz w:val="24"/>
          <w:szCs w:val="24"/>
        </w:rPr>
        <w:t>4</w:t>
      </w:r>
    </w:p>
    <w:p w14:paraId="7D904459" w14:textId="77777777" w:rsidR="002147DA" w:rsidRPr="00746077" w:rsidRDefault="002147DA" w:rsidP="002147DA">
      <w:pPr>
        <w:pStyle w:val="NoSpacing"/>
        <w:rPr>
          <w:rFonts w:ascii="Arial Black" w:hAnsi="Arial Black"/>
          <w:b/>
          <w:bCs/>
          <w:sz w:val="28"/>
          <w:szCs w:val="28"/>
        </w:rPr>
      </w:pPr>
      <w:r w:rsidRPr="00746077">
        <w:rPr>
          <w:rFonts w:ascii="Arial Black" w:hAnsi="Arial Black"/>
          <w:bCs/>
          <w:sz w:val="28"/>
          <w:szCs w:val="28"/>
        </w:rPr>
        <w:t>NY:</w:t>
      </w:r>
      <w:r>
        <w:rPr>
          <w:rFonts w:ascii="Arial Black" w:hAnsi="Arial Black"/>
          <w:bCs/>
          <w:sz w:val="28"/>
          <w:szCs w:val="28"/>
        </w:rPr>
        <w:t xml:space="preserve"> FDNY – FF NOT PROMOTED (2015) – ALLEGED RETALIATION FOR EEOC CHARGE (2012) – DISMISSED</w:t>
      </w:r>
    </w:p>
    <w:p w14:paraId="229AF3C2" w14:textId="77777777" w:rsidR="002147DA" w:rsidRDefault="002147DA" w:rsidP="002147DA">
      <w:pPr>
        <w:pStyle w:val="NoSpacing"/>
        <w:rPr>
          <w:b/>
          <w:bCs/>
          <w:sz w:val="24"/>
          <w:szCs w:val="24"/>
        </w:rPr>
      </w:pPr>
    </w:p>
    <w:p w14:paraId="2D8622D5"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Cs/>
          <w:sz w:val="24"/>
          <w:szCs w:val="24"/>
        </w:rPr>
        <w:t xml:space="preserve">On April 17, 2020, in </w:t>
      </w:r>
      <w:r w:rsidRPr="00AE3A49">
        <w:rPr>
          <w:rFonts w:ascii="Times New Roman" w:hAnsi="Times New Roman"/>
          <w:bCs/>
          <w:sz w:val="24"/>
          <w:szCs w:val="24"/>
          <w:u w:val="single"/>
        </w:rPr>
        <w:t xml:space="preserve">George Ful </w:t>
      </w:r>
      <w:proofErr w:type="spellStart"/>
      <w:r w:rsidRPr="00AE3A49">
        <w:rPr>
          <w:rFonts w:ascii="Times New Roman" w:hAnsi="Times New Roman"/>
          <w:bCs/>
          <w:sz w:val="24"/>
          <w:szCs w:val="24"/>
          <w:u w:val="single"/>
        </w:rPr>
        <w:t>Ninying</w:t>
      </w:r>
      <w:proofErr w:type="spellEnd"/>
      <w:r w:rsidRPr="00AE3A49">
        <w:rPr>
          <w:rFonts w:ascii="Times New Roman" w:hAnsi="Times New Roman"/>
          <w:bCs/>
          <w:sz w:val="24"/>
          <w:szCs w:val="24"/>
          <w:u w:val="single"/>
        </w:rPr>
        <w:t xml:space="preserve"> v. New York City Fire Department</w:t>
      </w:r>
      <w:r w:rsidRPr="00AE3A49">
        <w:rPr>
          <w:rFonts w:ascii="Times New Roman" w:hAnsi="Times New Roman"/>
          <w:bCs/>
          <w:sz w:val="24"/>
          <w:szCs w:val="24"/>
        </w:rPr>
        <w:t xml:space="preserve">, the U.S. Court of Appeals for the Second Circuit (New York City), held (3 to 0) in a Summary Order that the U.S. District Court judge had properly granted summary judgment to the City.   Plaintiff filed suit </w:t>
      </w:r>
      <w:r w:rsidRPr="00AE3A49">
        <w:rPr>
          <w:rFonts w:ascii="Times New Roman" w:hAnsi="Times New Roman"/>
          <w:bCs/>
          <w:i/>
          <w:iCs/>
          <w:sz w:val="24"/>
          <w:szCs w:val="24"/>
        </w:rPr>
        <w:t xml:space="preserve">pro se </w:t>
      </w:r>
      <w:r w:rsidRPr="00AE3A49">
        <w:rPr>
          <w:rFonts w:ascii="Times New Roman" w:hAnsi="Times New Roman"/>
          <w:bCs/>
          <w:sz w:val="24"/>
          <w:szCs w:val="24"/>
        </w:rPr>
        <w:t>(represented himself without an attorney in both trial court and on appeal).  Court of Appeals agreed with District Court judge, that plaintiff failed to allege facts to show that he would have been promoted in 2015, “but for” his having filed an EEOC complaint in 2012, and there was alleged facts support his claim of race discrimination because his wife is African-American and he is “Black Minority.”</w:t>
      </w:r>
    </w:p>
    <w:p w14:paraId="0DF3188D" w14:textId="77777777" w:rsidR="002147DA" w:rsidRPr="00AE3A49" w:rsidRDefault="002147DA" w:rsidP="002147DA">
      <w:pPr>
        <w:pStyle w:val="NoSpacing"/>
        <w:rPr>
          <w:rFonts w:ascii="Times New Roman" w:hAnsi="Times New Roman"/>
          <w:b/>
          <w:bCs/>
          <w:sz w:val="24"/>
          <w:szCs w:val="24"/>
        </w:rPr>
      </w:pPr>
    </w:p>
    <w:p w14:paraId="41F0B5A6" w14:textId="77777777" w:rsidR="002147DA" w:rsidRDefault="002147DA" w:rsidP="002147DA">
      <w:pPr>
        <w:pStyle w:val="NoSpacing"/>
        <w:ind w:left="720"/>
        <w:rPr>
          <w:rFonts w:ascii="Times New Roman" w:hAnsi="Times New Roman"/>
          <w:bCs/>
          <w:sz w:val="24"/>
          <w:szCs w:val="24"/>
        </w:rPr>
      </w:pPr>
      <w:r w:rsidRPr="00AE3A49">
        <w:rPr>
          <w:rFonts w:ascii="Times New Roman" w:hAnsi="Times New Roman"/>
          <w:bCs/>
          <w:sz w:val="24"/>
          <w:szCs w:val="24"/>
        </w:rPr>
        <w:t xml:space="preserve">“In order to plead a prima facie claim of retaliation under both Title VII and the ADEA, a plaintiff must allege that (1) he participated in a protected activity; (2) the employer knew of his protected activity; (3) he was subjected to an adverse employment action; and (4) there was a causal connection between the participation in the protected activity and the adverse employment action…. Here, too, </w:t>
      </w:r>
      <w:proofErr w:type="spellStart"/>
      <w:r w:rsidRPr="00AE3A49">
        <w:rPr>
          <w:rFonts w:ascii="Times New Roman" w:hAnsi="Times New Roman"/>
          <w:bCs/>
          <w:sz w:val="24"/>
          <w:szCs w:val="24"/>
        </w:rPr>
        <w:t>Ninying’s</w:t>
      </w:r>
      <w:proofErr w:type="spellEnd"/>
      <w:r w:rsidRPr="00AE3A49">
        <w:rPr>
          <w:rFonts w:ascii="Times New Roman" w:hAnsi="Times New Roman"/>
          <w:bCs/>
          <w:sz w:val="24"/>
          <w:szCs w:val="24"/>
        </w:rPr>
        <w:t xml:space="preserve"> conclusory</w:t>
      </w:r>
    </w:p>
    <w:p w14:paraId="4A757393" w14:textId="77777777" w:rsidR="002147DA" w:rsidRPr="00AE3A49" w:rsidRDefault="002147DA" w:rsidP="002147DA">
      <w:pPr>
        <w:pStyle w:val="NoSpacing"/>
        <w:ind w:left="720"/>
        <w:rPr>
          <w:rFonts w:ascii="Times New Roman" w:hAnsi="Times New Roman"/>
          <w:b/>
          <w:bCs/>
          <w:sz w:val="24"/>
          <w:szCs w:val="24"/>
        </w:rPr>
      </w:pPr>
      <w:r w:rsidRPr="00AE3A49">
        <w:rPr>
          <w:rFonts w:ascii="Times New Roman" w:hAnsi="Times New Roman"/>
          <w:bCs/>
          <w:sz w:val="24"/>
          <w:szCs w:val="24"/>
        </w:rPr>
        <w:t xml:space="preserve">allegation fails to state a retaliation claim under either the ADEA or Title VII, both of which required him to allege that his protected activity was the but-for cause of the adverse employment action. See Univ. of Tex. Sw. Med. Ctr. v. Nassar, 570 US. 338, 360, 362–63 (2013) (holding that unlike other Title VII claims, Title VII retaliation claims must be proved according to ‘traditional principles’ of but-for causation). Nor did </w:t>
      </w:r>
      <w:proofErr w:type="spellStart"/>
      <w:r w:rsidRPr="00AE3A49">
        <w:rPr>
          <w:rFonts w:ascii="Times New Roman" w:hAnsi="Times New Roman"/>
          <w:bCs/>
          <w:sz w:val="24"/>
          <w:szCs w:val="24"/>
        </w:rPr>
        <w:t>Ninying’s</w:t>
      </w:r>
      <w:proofErr w:type="spellEnd"/>
      <w:r w:rsidRPr="00AE3A49">
        <w:rPr>
          <w:rFonts w:ascii="Times New Roman" w:hAnsi="Times New Roman"/>
          <w:bCs/>
          <w:sz w:val="24"/>
          <w:szCs w:val="24"/>
        </w:rPr>
        <w:t xml:space="preserve"> allegation that he was retaliated against in 2015 for filing a 2012 EEOC complaint allege the requisite causation.”</w:t>
      </w:r>
    </w:p>
    <w:p w14:paraId="16DFB92E" w14:textId="77777777" w:rsidR="002147DA" w:rsidRPr="00AE3A49" w:rsidRDefault="002147DA" w:rsidP="002147DA">
      <w:pPr>
        <w:pStyle w:val="NoSpacing"/>
        <w:ind w:left="720"/>
        <w:rPr>
          <w:rFonts w:ascii="Times New Roman" w:eastAsia="Times New Roman" w:hAnsi="Times New Roman"/>
          <w:b/>
          <w:bCs/>
          <w:sz w:val="24"/>
          <w:szCs w:val="24"/>
        </w:rPr>
      </w:pPr>
      <w:hyperlink r:id="rId1589" w:anchor="xml=http://www.ca2.uscourts.gov/decisions/isysquery/83382276-eb3d-4d56-b5fe-4596b6d0f64b/1/hilite/" w:history="1">
        <w:r w:rsidRPr="00AE3A49">
          <w:rPr>
            <w:rStyle w:val="Hyperlink"/>
            <w:rFonts w:ascii="Times New Roman" w:hAnsi="Times New Roman"/>
            <w:b/>
            <w:sz w:val="24"/>
            <w:szCs w:val="24"/>
          </w:rPr>
          <w:t>http://www.ca2.uscourts.gov/decisions/isysquery/83382276-eb3d-4d56-b5fe-4596b6d0f64b/1/doc/19-1265_so.pdf#xml=http://www.ca2.uscourts.gov/decisions/isysquery/83382276-eb3d-4d56-b5fe-4596b6d0f64b/1/hilite/</w:t>
        </w:r>
      </w:hyperlink>
      <w:r w:rsidRPr="00AE3A49">
        <w:rPr>
          <w:rFonts w:ascii="Times New Roman" w:hAnsi="Times New Roman"/>
          <w:bCs/>
          <w:sz w:val="24"/>
          <w:szCs w:val="24"/>
        </w:rPr>
        <w:t xml:space="preserve"> </w:t>
      </w:r>
    </w:p>
    <w:p w14:paraId="1D379888" w14:textId="4C635AC2" w:rsidR="002147DA" w:rsidRDefault="002147DA" w:rsidP="00DE0F03">
      <w:pPr>
        <w:rPr>
          <w:rFonts w:ascii="Arial Black" w:hAnsi="Arial Black"/>
          <w:b/>
          <w:sz w:val="24"/>
          <w:szCs w:val="24"/>
        </w:rPr>
      </w:pPr>
    </w:p>
    <w:p w14:paraId="2BD0CAFF"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
          <w:bCs/>
          <w:sz w:val="24"/>
          <w:szCs w:val="24"/>
        </w:rPr>
        <w:t xml:space="preserve">Legal Lessons Learned: Plaintiff also alleged race discrimination based on his wife’s race, and that he is a “Black Minority.” </w:t>
      </w:r>
    </w:p>
    <w:p w14:paraId="04086C7C" w14:textId="77777777" w:rsidR="002147DA" w:rsidRPr="00AE3A49" w:rsidRDefault="002147DA" w:rsidP="002147DA">
      <w:pPr>
        <w:pStyle w:val="NoSpacing"/>
        <w:ind w:left="720"/>
        <w:rPr>
          <w:rFonts w:ascii="Times New Roman" w:hAnsi="Times New Roman"/>
          <w:sz w:val="24"/>
          <w:szCs w:val="24"/>
        </w:rPr>
      </w:pPr>
    </w:p>
    <w:p w14:paraId="52368E56" w14:textId="77777777" w:rsidR="002147DA" w:rsidRPr="00AE3A49" w:rsidRDefault="002147DA" w:rsidP="002147DA">
      <w:pPr>
        <w:pStyle w:val="NoSpacing"/>
        <w:ind w:left="1440"/>
        <w:rPr>
          <w:rFonts w:ascii="Times New Roman" w:hAnsi="Times New Roman"/>
          <w:b/>
          <w:bCs/>
          <w:sz w:val="24"/>
          <w:szCs w:val="24"/>
        </w:rPr>
      </w:pPr>
      <w:r w:rsidRPr="00AE3A49">
        <w:rPr>
          <w:rFonts w:ascii="Times New Roman" w:hAnsi="Times New Roman"/>
          <w:bCs/>
          <w:sz w:val="24"/>
          <w:szCs w:val="24"/>
        </w:rPr>
        <w:t>Note:</w:t>
      </w:r>
      <w:r w:rsidRPr="00AE3A49">
        <w:rPr>
          <w:rFonts w:ascii="Times New Roman" w:hAnsi="Times New Roman"/>
          <w:sz w:val="24"/>
          <w:szCs w:val="24"/>
        </w:rPr>
        <w:t xml:space="preserve"> </w:t>
      </w:r>
      <w:r w:rsidRPr="00AE3A49">
        <w:rPr>
          <w:rFonts w:ascii="Times New Roman" w:hAnsi="Times New Roman"/>
          <w:bCs/>
          <w:sz w:val="24"/>
          <w:szCs w:val="24"/>
        </w:rPr>
        <w:t>Court wrote:</w:t>
      </w:r>
      <w:r w:rsidRPr="00AE3A49">
        <w:rPr>
          <w:rFonts w:ascii="Times New Roman" w:hAnsi="Times New Roman"/>
          <w:sz w:val="24"/>
          <w:szCs w:val="24"/>
        </w:rPr>
        <w:t xml:space="preserve"> “</w:t>
      </w:r>
      <w:proofErr w:type="spellStart"/>
      <w:r w:rsidRPr="00AE3A49">
        <w:rPr>
          <w:rFonts w:ascii="Times New Roman" w:hAnsi="Times New Roman"/>
          <w:bCs/>
          <w:sz w:val="24"/>
          <w:szCs w:val="24"/>
        </w:rPr>
        <w:t>Ninying</w:t>
      </w:r>
      <w:proofErr w:type="spellEnd"/>
      <w:r w:rsidRPr="00AE3A49">
        <w:rPr>
          <w:rFonts w:ascii="Times New Roman" w:hAnsi="Times New Roman"/>
          <w:bCs/>
          <w:sz w:val="24"/>
          <w:szCs w:val="24"/>
        </w:rPr>
        <w:t xml:space="preserve"> asserts that he was discriminated against because his wife is African American and he is a ‘Black Minority,’ but he does not allege any facts relating his protected status to his failure to be promoted….  And though </w:t>
      </w:r>
      <w:proofErr w:type="spellStart"/>
      <w:r w:rsidRPr="00AE3A49">
        <w:rPr>
          <w:rFonts w:ascii="Times New Roman" w:hAnsi="Times New Roman"/>
          <w:bCs/>
          <w:sz w:val="24"/>
          <w:szCs w:val="24"/>
        </w:rPr>
        <w:t>Ninying</w:t>
      </w:r>
      <w:proofErr w:type="spellEnd"/>
      <w:r w:rsidRPr="00AE3A49">
        <w:rPr>
          <w:rFonts w:ascii="Times New Roman" w:hAnsi="Times New Roman"/>
          <w:bCs/>
          <w:sz w:val="24"/>
          <w:szCs w:val="24"/>
        </w:rPr>
        <w:t xml:space="preserve"> alleges that he is fluent in French because of his national origin, he has neither identified his national origin nor alleged that he faced discrimination because of it.”</w:t>
      </w:r>
    </w:p>
    <w:p w14:paraId="11FF696A" w14:textId="77777777" w:rsidR="002147DA" w:rsidRPr="00AE3A49" w:rsidRDefault="002147DA" w:rsidP="002147DA">
      <w:pPr>
        <w:pStyle w:val="NoSpacing"/>
        <w:rPr>
          <w:rFonts w:ascii="Times New Roman" w:hAnsi="Times New Roman"/>
          <w:sz w:val="24"/>
          <w:szCs w:val="24"/>
        </w:rPr>
      </w:pPr>
    </w:p>
    <w:p w14:paraId="1A9D9E5B" w14:textId="77777777" w:rsidR="002147DA" w:rsidRDefault="002147DA" w:rsidP="00DE0F03">
      <w:pPr>
        <w:rPr>
          <w:rFonts w:ascii="Arial Black" w:hAnsi="Arial Black"/>
          <w:b/>
          <w:sz w:val="24"/>
          <w:szCs w:val="24"/>
        </w:rPr>
      </w:pPr>
    </w:p>
    <w:p w14:paraId="0EE7A1E6" w14:textId="77777777" w:rsidR="002147DA" w:rsidRDefault="002147DA" w:rsidP="00DE0F03">
      <w:pPr>
        <w:rPr>
          <w:rFonts w:ascii="Arial Black" w:hAnsi="Arial Black"/>
          <w:b/>
          <w:sz w:val="24"/>
          <w:szCs w:val="24"/>
        </w:rPr>
      </w:pPr>
    </w:p>
    <w:p w14:paraId="55FF21E3" w14:textId="45961FFC" w:rsidR="007540BD" w:rsidRDefault="0066298F" w:rsidP="00DE0F03">
      <w:pPr>
        <w:rPr>
          <w:rFonts w:ascii="Arial Black" w:hAnsi="Arial Black"/>
          <w:b/>
          <w:sz w:val="24"/>
          <w:szCs w:val="24"/>
        </w:rPr>
      </w:pPr>
      <w:r>
        <w:rPr>
          <w:rFonts w:ascii="Arial Black" w:hAnsi="Arial Black"/>
          <w:b/>
          <w:sz w:val="24"/>
          <w:szCs w:val="24"/>
        </w:rPr>
        <w:t>8-1</w:t>
      </w:r>
      <w:r w:rsidR="005A395B">
        <w:rPr>
          <w:rFonts w:ascii="Arial Black" w:hAnsi="Arial Black"/>
          <w:b/>
          <w:sz w:val="24"/>
          <w:szCs w:val="24"/>
        </w:rPr>
        <w:t>3</w:t>
      </w:r>
    </w:p>
    <w:p w14:paraId="79365E88" w14:textId="77777777" w:rsidR="0066298F" w:rsidRDefault="0066298F" w:rsidP="0066298F">
      <w:pPr>
        <w:pStyle w:val="NoSpacing"/>
        <w:rPr>
          <w:rFonts w:ascii="Arial Black" w:hAnsi="Arial Black" w:cs="Arial"/>
          <w:sz w:val="28"/>
          <w:szCs w:val="28"/>
        </w:rPr>
      </w:pPr>
      <w:bookmarkStart w:id="323" w:name="_Hlk39764972"/>
      <w:r w:rsidRPr="00F2368F">
        <w:rPr>
          <w:rFonts w:ascii="Arial Black" w:hAnsi="Arial Black"/>
          <w:sz w:val="28"/>
          <w:szCs w:val="28"/>
        </w:rPr>
        <w:t xml:space="preserve">FL: </w:t>
      </w:r>
      <w:r>
        <w:rPr>
          <w:rFonts w:ascii="Arial Black" w:hAnsi="Arial Black"/>
          <w:sz w:val="28"/>
          <w:szCs w:val="28"/>
        </w:rPr>
        <w:t xml:space="preserve"> FIRED LT. SETTLEMENT – REHIRED, BUT NOT TO TRAINING DIV. – RETIREMENT $ NOT REPAID – $36,663 JURY VERDICT SET ASIDE</w:t>
      </w:r>
    </w:p>
    <w:p w14:paraId="35D57268" w14:textId="77777777" w:rsidR="0066298F" w:rsidRDefault="0066298F" w:rsidP="0066298F">
      <w:pPr>
        <w:pStyle w:val="NoSpacing"/>
        <w:rPr>
          <w:rFonts w:ascii="Arial Black" w:hAnsi="Arial Black" w:cs="Arial"/>
          <w:sz w:val="28"/>
          <w:szCs w:val="28"/>
        </w:rPr>
      </w:pPr>
    </w:p>
    <w:p w14:paraId="5892C1F1"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Cs/>
          <w:sz w:val="24"/>
          <w:szCs w:val="24"/>
        </w:rPr>
        <w:t xml:space="preserve">On March 27, 2020, in </w:t>
      </w:r>
      <w:r w:rsidRPr="00665BD0">
        <w:rPr>
          <w:rFonts w:ascii="Times New Roman" w:hAnsi="Times New Roman"/>
          <w:bCs/>
          <w:sz w:val="24"/>
          <w:szCs w:val="24"/>
          <w:u w:val="single"/>
        </w:rPr>
        <w:t>Orange County, FL v. Stacey Mclean</w:t>
      </w:r>
      <w:r w:rsidRPr="00665BD0">
        <w:rPr>
          <w:rFonts w:ascii="Times New Roman" w:hAnsi="Times New Roman"/>
          <w:bCs/>
          <w:sz w:val="24"/>
          <w:szCs w:val="24"/>
        </w:rPr>
        <w:t xml:space="preserve">, the District Court of Appeal of the State of Florida, Fifth District, held (3 to 0) that trial judge should have granted county’s motion for a directed verdict and set aside the jury’s verdict. Internal investigation in 2013 of improper recording hours worked – 56 disciplined; in 2014, County fired 3 </w:t>
      </w:r>
      <w:proofErr w:type="gramStart"/>
      <w:r w:rsidRPr="00665BD0">
        <w:rPr>
          <w:rFonts w:ascii="Times New Roman" w:hAnsi="Times New Roman"/>
          <w:bCs/>
          <w:sz w:val="24"/>
          <w:szCs w:val="24"/>
        </w:rPr>
        <w:t>African-American</w:t>
      </w:r>
      <w:proofErr w:type="gramEnd"/>
      <w:r w:rsidRPr="00665BD0">
        <w:rPr>
          <w:rFonts w:ascii="Times New Roman" w:hAnsi="Times New Roman"/>
          <w:bCs/>
          <w:sz w:val="24"/>
          <w:szCs w:val="24"/>
        </w:rPr>
        <w:t xml:space="preserve"> males, including Plaintiff (Lt. in Training Division). He sued in 2015 for race discrimination; County settled lawsuit, returned him to work [but no openings in Training Division] and paid him back wages.  State Board of Administration [retirement fund] ordered him to re-pay retirement funds he withdrew in 2014; he refused and </w:t>
      </w:r>
      <w:proofErr w:type="gramStart"/>
      <w:r w:rsidRPr="00665BD0">
        <w:rPr>
          <w:rFonts w:ascii="Times New Roman" w:hAnsi="Times New Roman"/>
          <w:bCs/>
          <w:sz w:val="24"/>
          <w:szCs w:val="24"/>
        </w:rPr>
        <w:t>was</w:t>
      </w:r>
      <w:proofErr w:type="gramEnd"/>
      <w:r w:rsidRPr="00665BD0">
        <w:rPr>
          <w:rFonts w:ascii="Times New Roman" w:hAnsi="Times New Roman"/>
          <w:bCs/>
          <w:sz w:val="24"/>
          <w:szCs w:val="24"/>
        </w:rPr>
        <w:t xml:space="preserve"> forced him to retire or FD would be dropped from the retirement fund.  He sued and jury awarded him $36,663.  </w:t>
      </w:r>
    </w:p>
    <w:p w14:paraId="1127234E" w14:textId="77777777" w:rsidR="0066298F" w:rsidRPr="00665BD0" w:rsidRDefault="0066298F" w:rsidP="0066298F">
      <w:pPr>
        <w:pStyle w:val="NoSpacing"/>
        <w:rPr>
          <w:rFonts w:ascii="Times New Roman" w:hAnsi="Times New Roman"/>
          <w:b/>
          <w:bCs/>
          <w:sz w:val="24"/>
          <w:szCs w:val="24"/>
        </w:rPr>
      </w:pPr>
    </w:p>
    <w:p w14:paraId="25821844"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“Here, the trial evidence established that the County met its burden. The County showed that it had a legitimate reason to comply with the SBA’s order when it required McLean to retire after he failed to reimburse his FRS account </w:t>
      </w:r>
      <w:proofErr w:type="gramStart"/>
      <w:r w:rsidRPr="00665BD0">
        <w:rPr>
          <w:rFonts w:ascii="Times New Roman" w:hAnsi="Times New Roman"/>
          <w:bCs/>
          <w:sz w:val="24"/>
          <w:szCs w:val="24"/>
        </w:rPr>
        <w:t>so as to</w:t>
      </w:r>
      <w:proofErr w:type="gramEnd"/>
      <w:r w:rsidRPr="00665BD0">
        <w:rPr>
          <w:rFonts w:ascii="Times New Roman" w:hAnsi="Times New Roman"/>
          <w:bCs/>
          <w:sz w:val="24"/>
          <w:szCs w:val="24"/>
        </w:rPr>
        <w:t xml:space="preserve"> not jeopardize its own continued participation in the FRS. Second, the County demonstrated that there were no vacancies or openings in the Training Division at the time McLean was reinstated.</w:t>
      </w:r>
    </w:p>
    <w:p w14:paraId="0AE9B3A3" w14:textId="77777777" w:rsidR="0066298F" w:rsidRPr="00665BD0" w:rsidRDefault="0066298F" w:rsidP="0066298F">
      <w:pPr>
        <w:pStyle w:val="NoSpacing"/>
        <w:ind w:left="720"/>
        <w:rPr>
          <w:rFonts w:ascii="Times New Roman" w:hAnsi="Times New Roman"/>
          <w:b/>
          <w:bCs/>
          <w:sz w:val="24"/>
          <w:szCs w:val="24"/>
        </w:rPr>
      </w:pPr>
    </w:p>
    <w:p w14:paraId="429D19E7"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w:t>
      </w:r>
    </w:p>
    <w:p w14:paraId="1FF79AC5"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McLean’s explanation that he expected to return to the Training Division, despite the County having no obligation under the settlement agreement to do so, without more, did not rise to an evidentiary level to allow the jury to decide whether the County’s reason here was pretextual.”</w:t>
      </w:r>
    </w:p>
    <w:p w14:paraId="527080A2" w14:textId="53CD9915" w:rsidR="0066298F" w:rsidRDefault="0066298F" w:rsidP="0066298F">
      <w:pPr>
        <w:rPr>
          <w:rStyle w:val="Hyperlink"/>
          <w:rFonts w:ascii="Times New Roman" w:hAnsi="Times New Roman"/>
          <w:b/>
          <w:sz w:val="24"/>
          <w:szCs w:val="24"/>
        </w:rPr>
      </w:pPr>
      <w:hyperlink r:id="rId1590" w:history="1">
        <w:r w:rsidRPr="00665BD0">
          <w:rPr>
            <w:rStyle w:val="Hyperlink"/>
            <w:rFonts w:ascii="Times New Roman" w:hAnsi="Times New Roman"/>
            <w:b/>
            <w:sz w:val="24"/>
            <w:szCs w:val="24"/>
          </w:rPr>
          <w:t>https://www.5dca.org/content/download/632688/7189187/file/183494_DC13_03272020_081652_i.pdf</w:t>
        </w:r>
      </w:hyperlink>
    </w:p>
    <w:p w14:paraId="577A308E" w14:textId="77777777" w:rsidR="0066298F" w:rsidRPr="00665BD0" w:rsidRDefault="0066298F" w:rsidP="0066298F">
      <w:pPr>
        <w:pStyle w:val="NoSpacing"/>
        <w:rPr>
          <w:rFonts w:ascii="Times New Roman" w:hAnsi="Times New Roman"/>
          <w:b/>
          <w:bCs/>
          <w:sz w:val="24"/>
          <w:szCs w:val="24"/>
        </w:rPr>
      </w:pPr>
      <w:bookmarkStart w:id="324" w:name="_Hlk40511406"/>
      <w:bookmarkEnd w:id="323"/>
      <w:r w:rsidRPr="00665BD0">
        <w:rPr>
          <w:rFonts w:ascii="Times New Roman" w:hAnsi="Times New Roman"/>
          <w:b/>
          <w:bCs/>
          <w:sz w:val="24"/>
          <w:szCs w:val="24"/>
        </w:rPr>
        <w:t xml:space="preserve">Legal Lesson Learned: When negotiating a return-to-work agreement, </w:t>
      </w:r>
      <w:r>
        <w:rPr>
          <w:rFonts w:ascii="Times New Roman" w:hAnsi="Times New Roman"/>
          <w:b/>
          <w:bCs/>
          <w:sz w:val="24"/>
          <w:szCs w:val="24"/>
        </w:rPr>
        <w:t xml:space="preserve">consider </w:t>
      </w:r>
      <w:r w:rsidRPr="00665BD0">
        <w:rPr>
          <w:rFonts w:ascii="Times New Roman" w:hAnsi="Times New Roman"/>
          <w:b/>
          <w:bCs/>
          <w:sz w:val="24"/>
          <w:szCs w:val="24"/>
        </w:rPr>
        <w:t>includ</w:t>
      </w:r>
      <w:r>
        <w:rPr>
          <w:rFonts w:ascii="Times New Roman" w:hAnsi="Times New Roman"/>
          <w:b/>
          <w:bCs/>
          <w:sz w:val="24"/>
          <w:szCs w:val="24"/>
        </w:rPr>
        <w:t>ing</w:t>
      </w:r>
      <w:r w:rsidRPr="00665BD0">
        <w:rPr>
          <w:rFonts w:ascii="Times New Roman" w:hAnsi="Times New Roman"/>
          <w:b/>
          <w:bCs/>
          <w:sz w:val="24"/>
          <w:szCs w:val="24"/>
        </w:rPr>
        <w:t xml:space="preserve"> a provision regarding the position to which the employee will be returning. </w:t>
      </w:r>
    </w:p>
    <w:bookmarkEnd w:id="324"/>
    <w:p w14:paraId="11769C1D" w14:textId="05A597B9" w:rsidR="0066298F" w:rsidRDefault="0066298F" w:rsidP="0066298F">
      <w:pPr>
        <w:rPr>
          <w:rStyle w:val="Hyperlink"/>
          <w:rFonts w:ascii="Times New Roman" w:hAnsi="Times New Roman"/>
          <w:b/>
          <w:sz w:val="24"/>
          <w:szCs w:val="24"/>
        </w:rPr>
      </w:pPr>
      <w:r>
        <w:rPr>
          <w:rStyle w:val="Hyperlink"/>
          <w:rFonts w:ascii="Times New Roman" w:hAnsi="Times New Roman"/>
          <w:b/>
          <w:sz w:val="24"/>
          <w:szCs w:val="24"/>
        </w:rPr>
        <w:t xml:space="preserve"> </w:t>
      </w:r>
    </w:p>
    <w:p w14:paraId="2521E7F1" w14:textId="20CBD6A1" w:rsidR="0066298F" w:rsidRDefault="0066298F" w:rsidP="0066298F">
      <w:pPr>
        <w:rPr>
          <w:rStyle w:val="Hyperlink"/>
          <w:rFonts w:ascii="Times New Roman" w:hAnsi="Times New Roman"/>
          <w:b/>
          <w:sz w:val="24"/>
          <w:szCs w:val="24"/>
        </w:rPr>
      </w:pPr>
    </w:p>
    <w:p w14:paraId="46F59C4E" w14:textId="77777777" w:rsidR="0066298F" w:rsidRDefault="0066298F" w:rsidP="0066298F">
      <w:pPr>
        <w:rPr>
          <w:rFonts w:ascii="Arial Black" w:hAnsi="Arial Black"/>
          <w:b/>
          <w:sz w:val="24"/>
          <w:szCs w:val="24"/>
        </w:rPr>
      </w:pPr>
    </w:p>
    <w:p w14:paraId="73A3A442" w14:textId="3373BAD7" w:rsidR="007540BD" w:rsidRDefault="007540BD" w:rsidP="00DE0F03">
      <w:pPr>
        <w:rPr>
          <w:rFonts w:ascii="Arial Black" w:hAnsi="Arial Black"/>
          <w:b/>
          <w:sz w:val="24"/>
          <w:szCs w:val="24"/>
        </w:rPr>
      </w:pPr>
      <w:r>
        <w:rPr>
          <w:rFonts w:ascii="Arial Black" w:hAnsi="Arial Black"/>
          <w:b/>
          <w:sz w:val="24"/>
          <w:szCs w:val="24"/>
        </w:rPr>
        <w:t>8-1</w:t>
      </w:r>
      <w:r w:rsidR="005A395B">
        <w:rPr>
          <w:rFonts w:ascii="Arial Black" w:hAnsi="Arial Black"/>
          <w:b/>
          <w:sz w:val="24"/>
          <w:szCs w:val="24"/>
        </w:rPr>
        <w:t>2</w:t>
      </w:r>
    </w:p>
    <w:p w14:paraId="63EF009E" w14:textId="77777777" w:rsidR="007540BD" w:rsidRDefault="007540BD" w:rsidP="007540BD">
      <w:pPr>
        <w:pStyle w:val="NoSpacing"/>
        <w:rPr>
          <w:rFonts w:eastAsia="Times New Roman"/>
          <w:bCs/>
          <w:sz w:val="24"/>
          <w:szCs w:val="24"/>
        </w:rPr>
      </w:pPr>
      <w:bookmarkStart w:id="325" w:name="_Hlk39818670"/>
      <w:r w:rsidRPr="000F0816">
        <w:rPr>
          <w:rFonts w:ascii="Arial Black" w:hAnsi="Arial Black"/>
          <w:sz w:val="28"/>
          <w:szCs w:val="28"/>
        </w:rPr>
        <w:t>U.S. SUP</w:t>
      </w:r>
      <w:r>
        <w:rPr>
          <w:rFonts w:ascii="Arial Black" w:hAnsi="Arial Black"/>
          <w:sz w:val="28"/>
          <w:szCs w:val="28"/>
        </w:rPr>
        <w:t xml:space="preserve">REME COURT: BLACK-OWNED MEDIA COMPANY DENIED CONTRACT - </w:t>
      </w:r>
      <w:r w:rsidRPr="000F0816">
        <w:rPr>
          <w:rFonts w:ascii="Arial Black" w:hAnsi="Arial Black"/>
          <w:sz w:val="28"/>
          <w:szCs w:val="28"/>
        </w:rPr>
        <w:t xml:space="preserve">MUST </w:t>
      </w:r>
      <w:r>
        <w:rPr>
          <w:rFonts w:ascii="Arial Black" w:hAnsi="Arial Black"/>
          <w:sz w:val="28"/>
          <w:szCs w:val="28"/>
        </w:rPr>
        <w:t xml:space="preserve">PROVE </w:t>
      </w:r>
      <w:r w:rsidRPr="000F0816">
        <w:rPr>
          <w:rFonts w:ascii="Arial Black" w:hAnsi="Arial Black"/>
          <w:sz w:val="28"/>
          <w:szCs w:val="28"/>
        </w:rPr>
        <w:t>“BUT FOR</w:t>
      </w:r>
      <w:r>
        <w:rPr>
          <w:rFonts w:ascii="Arial Black" w:hAnsi="Arial Black"/>
          <w:sz w:val="28"/>
          <w:szCs w:val="28"/>
        </w:rPr>
        <w:t xml:space="preserve">” RACE WOULD HAVE RECEIVED </w:t>
      </w:r>
    </w:p>
    <w:p w14:paraId="62F790FA" w14:textId="77777777" w:rsidR="007540BD" w:rsidRDefault="007540BD" w:rsidP="007540BD">
      <w:pPr>
        <w:pStyle w:val="NoSpacing"/>
        <w:rPr>
          <w:rFonts w:eastAsia="Times New Roman"/>
          <w:bCs/>
          <w:sz w:val="24"/>
          <w:szCs w:val="24"/>
        </w:rPr>
      </w:pPr>
    </w:p>
    <w:p w14:paraId="4E81B005" w14:textId="77777777" w:rsidR="007540BD" w:rsidRDefault="007540BD" w:rsidP="007540BD">
      <w:pPr>
        <w:pStyle w:val="NoSpacing"/>
        <w:rPr>
          <w:rFonts w:ascii="Times New Roman" w:hAnsi="Times New Roman"/>
          <w:bCs/>
          <w:sz w:val="24"/>
          <w:szCs w:val="24"/>
        </w:rPr>
      </w:pPr>
      <w:r w:rsidRPr="00665BD0">
        <w:rPr>
          <w:rFonts w:ascii="Times New Roman" w:eastAsia="Times New Roman" w:hAnsi="Times New Roman"/>
          <w:sz w:val="24"/>
          <w:szCs w:val="24"/>
        </w:rPr>
        <w:t xml:space="preserve">On </w:t>
      </w:r>
      <w:bookmarkStart w:id="326" w:name="_Hlk39837192"/>
      <w:r w:rsidRPr="00665BD0">
        <w:rPr>
          <w:rFonts w:ascii="Times New Roman" w:eastAsia="Times New Roman" w:hAnsi="Times New Roman"/>
          <w:sz w:val="24"/>
          <w:szCs w:val="24"/>
        </w:rPr>
        <w:t xml:space="preserve">March 23, 2020, in </w:t>
      </w:r>
      <w:r w:rsidRPr="00665BD0">
        <w:rPr>
          <w:rFonts w:ascii="Times New Roman" w:eastAsia="Times New Roman" w:hAnsi="Times New Roman"/>
          <w:sz w:val="24"/>
          <w:szCs w:val="24"/>
          <w:u w:val="single"/>
        </w:rPr>
        <w:t xml:space="preserve">Comcast Corp. v. National Association </w:t>
      </w:r>
      <w:proofErr w:type="gramStart"/>
      <w:r w:rsidRPr="00665BD0">
        <w:rPr>
          <w:rFonts w:ascii="Times New Roman" w:eastAsia="Times New Roman" w:hAnsi="Times New Roman"/>
          <w:sz w:val="24"/>
          <w:szCs w:val="24"/>
          <w:u w:val="single"/>
        </w:rPr>
        <w:t>Of</w:t>
      </w:r>
      <w:proofErr w:type="gramEnd"/>
      <w:r w:rsidRPr="00665BD0">
        <w:rPr>
          <w:rFonts w:ascii="Times New Roman" w:eastAsia="Times New Roman" w:hAnsi="Times New Roman"/>
          <w:sz w:val="24"/>
          <w:szCs w:val="24"/>
          <w:u w:val="single"/>
        </w:rPr>
        <w:t xml:space="preserve"> African American-Owned Media, et al</w:t>
      </w:r>
      <w:bookmarkEnd w:id="326"/>
      <w:r w:rsidRPr="00665BD0">
        <w:rPr>
          <w:rFonts w:ascii="Times New Roman" w:eastAsia="Times New Roman" w:hAnsi="Times New Roman"/>
          <w:sz w:val="24"/>
          <w:szCs w:val="24"/>
          <w:u w:val="single"/>
        </w:rPr>
        <w:t>.,</w:t>
      </w:r>
      <w:r w:rsidRPr="00665BD0">
        <w:rPr>
          <w:rFonts w:ascii="Times New Roman" w:eastAsia="Times New Roman" w:hAnsi="Times New Roman"/>
          <w:sz w:val="24"/>
          <w:szCs w:val="24"/>
        </w:rPr>
        <w:t xml:space="preserve">  the U.S. Supreme Court unanimously held (9 to 0) that the plaintiff, </w:t>
      </w:r>
      <w:r w:rsidRPr="00665BD0">
        <w:rPr>
          <w:rFonts w:ascii="Times New Roman" w:hAnsi="Times New Roman"/>
          <w:bCs/>
          <w:sz w:val="24"/>
          <w:szCs w:val="24"/>
        </w:rPr>
        <w:t>Entertainment Studios, must prove that race was the but-</w:t>
      </w:r>
    </w:p>
    <w:p w14:paraId="604A8A8E" w14:textId="77777777" w:rsidR="007540BD" w:rsidRPr="00665BD0" w:rsidRDefault="007540BD" w:rsidP="007540BD">
      <w:pPr>
        <w:pStyle w:val="NoSpacing"/>
        <w:rPr>
          <w:rFonts w:ascii="Times New Roman" w:hAnsi="Times New Roman"/>
          <w:b/>
          <w:bCs/>
          <w:sz w:val="24"/>
          <w:szCs w:val="24"/>
        </w:rPr>
      </w:pPr>
      <w:r w:rsidRPr="00665BD0">
        <w:rPr>
          <w:rFonts w:ascii="Times New Roman" w:hAnsi="Times New Roman"/>
          <w:bCs/>
          <w:sz w:val="24"/>
          <w:szCs w:val="24"/>
        </w:rPr>
        <w:t xml:space="preserve">for </w:t>
      </w:r>
      <w:proofErr w:type="gramStart"/>
      <w:r w:rsidRPr="00665BD0">
        <w:rPr>
          <w:rFonts w:ascii="Times New Roman" w:hAnsi="Times New Roman"/>
          <w:bCs/>
          <w:sz w:val="24"/>
          <w:szCs w:val="24"/>
        </w:rPr>
        <w:t>cause</w:t>
      </w:r>
      <w:proofErr w:type="gramEnd"/>
      <w:r w:rsidRPr="00665BD0">
        <w:rPr>
          <w:rFonts w:ascii="Times New Roman" w:hAnsi="Times New Roman"/>
          <w:bCs/>
          <w:sz w:val="24"/>
          <w:szCs w:val="24"/>
        </w:rPr>
        <w:t xml:space="preserve"> of its injury—in other words, that Comcast would have acted differently if Entertainment Studios were not </w:t>
      </w:r>
      <w:proofErr w:type="gramStart"/>
      <w:r w:rsidRPr="00665BD0">
        <w:rPr>
          <w:rFonts w:ascii="Times New Roman" w:hAnsi="Times New Roman"/>
          <w:bCs/>
          <w:sz w:val="24"/>
          <w:szCs w:val="24"/>
        </w:rPr>
        <w:t>African-American</w:t>
      </w:r>
      <w:proofErr w:type="gramEnd"/>
      <w:r w:rsidRPr="00665BD0">
        <w:rPr>
          <w:rFonts w:ascii="Times New Roman" w:hAnsi="Times New Roman"/>
          <w:bCs/>
          <w:sz w:val="24"/>
          <w:szCs w:val="24"/>
        </w:rPr>
        <w:t xml:space="preserve"> owned. </w:t>
      </w:r>
    </w:p>
    <w:p w14:paraId="26B24227" w14:textId="77777777" w:rsidR="007540BD" w:rsidRPr="00665BD0" w:rsidRDefault="007540BD" w:rsidP="007540BD">
      <w:pPr>
        <w:pStyle w:val="NoSpacing"/>
        <w:rPr>
          <w:rFonts w:ascii="Times New Roman" w:hAnsi="Times New Roman"/>
          <w:b/>
          <w:bCs/>
          <w:sz w:val="24"/>
          <w:szCs w:val="24"/>
        </w:rPr>
      </w:pPr>
    </w:p>
    <w:p w14:paraId="1FA0A078" w14:textId="77777777" w:rsidR="007540BD" w:rsidRPr="00665BD0" w:rsidRDefault="007540BD" w:rsidP="007540BD">
      <w:pPr>
        <w:pStyle w:val="NoSpacing"/>
        <w:rPr>
          <w:rFonts w:ascii="Times New Roman" w:hAnsi="Times New Roman"/>
          <w:b/>
          <w:bCs/>
          <w:sz w:val="24"/>
          <w:szCs w:val="24"/>
        </w:rPr>
      </w:pPr>
      <w:r w:rsidRPr="00665BD0">
        <w:rPr>
          <w:rFonts w:ascii="Times New Roman" w:hAnsi="Times New Roman"/>
          <w:bCs/>
          <w:sz w:val="24"/>
          <w:szCs w:val="24"/>
        </w:rPr>
        <w:t>In opinion by Justice Neil Gorsuch, the Court held:</w:t>
      </w:r>
    </w:p>
    <w:p w14:paraId="7038EE50" w14:textId="77777777" w:rsidR="007540BD" w:rsidRPr="00665BD0" w:rsidRDefault="007540BD" w:rsidP="007540BD">
      <w:pPr>
        <w:pStyle w:val="NoSpacing"/>
        <w:rPr>
          <w:rFonts w:ascii="Times New Roman" w:hAnsi="Times New Roman"/>
          <w:b/>
          <w:bCs/>
          <w:sz w:val="24"/>
          <w:szCs w:val="24"/>
        </w:rPr>
      </w:pPr>
    </w:p>
    <w:p w14:paraId="531B6148" w14:textId="77777777" w:rsidR="007540BD" w:rsidRPr="00665BD0" w:rsidRDefault="007540BD" w:rsidP="007540BD">
      <w:pPr>
        <w:pStyle w:val="NoSpacing"/>
        <w:ind w:left="720"/>
        <w:rPr>
          <w:rFonts w:ascii="Times New Roman" w:hAnsi="Times New Roman"/>
          <w:b/>
          <w:bCs/>
          <w:sz w:val="24"/>
          <w:szCs w:val="24"/>
        </w:rPr>
      </w:pPr>
      <w:r w:rsidRPr="00665BD0">
        <w:rPr>
          <w:rFonts w:ascii="Times New Roman" w:eastAsia="Times New Roman" w:hAnsi="Times New Roman"/>
          <w:bCs/>
          <w:sz w:val="24"/>
          <w:szCs w:val="24"/>
        </w:rPr>
        <w:t>“</w:t>
      </w:r>
      <w:r w:rsidRPr="00665BD0">
        <w:rPr>
          <w:rFonts w:ascii="Times New Roman" w:hAnsi="Times New Roman"/>
          <w:bCs/>
          <w:sz w:val="24"/>
          <w:szCs w:val="24"/>
        </w:rPr>
        <w:t xml:space="preserve">All the traditional tools of statutory interpretation persuade us that §1981 follows the usual rules, not any exception. To prevail, a plaintiff must initially plead and ultimately prove that, but for race, it would not have suffered the loss of a legally protected right…. The Ninth Circuit has yet to consider that question because it assessed ESN’s pleadings under a different and mistaken test. To allow that court the chance to determine the sufficiency of ESN’s pleadings under the correct legal rule in the first instance, we vacate the judgment of the court of </w:t>
      </w:r>
      <w:proofErr w:type="gramStart"/>
      <w:r w:rsidRPr="00665BD0">
        <w:rPr>
          <w:rFonts w:ascii="Times New Roman" w:hAnsi="Times New Roman"/>
          <w:bCs/>
          <w:sz w:val="24"/>
          <w:szCs w:val="24"/>
        </w:rPr>
        <w:t>ap-peals</w:t>
      </w:r>
      <w:proofErr w:type="gramEnd"/>
      <w:r w:rsidRPr="00665BD0">
        <w:rPr>
          <w:rFonts w:ascii="Times New Roman" w:hAnsi="Times New Roman"/>
          <w:bCs/>
          <w:sz w:val="24"/>
          <w:szCs w:val="24"/>
        </w:rPr>
        <w:t xml:space="preserve"> and remand the case for further proceedings </w:t>
      </w:r>
    </w:p>
    <w:p w14:paraId="5C6FE87D" w14:textId="77777777" w:rsidR="007540BD" w:rsidRPr="00665BD0" w:rsidRDefault="007540BD" w:rsidP="007540BD">
      <w:pPr>
        <w:pStyle w:val="NoSpacing"/>
        <w:ind w:left="720"/>
        <w:rPr>
          <w:rFonts w:ascii="Times New Roman" w:eastAsia="Times New Roman" w:hAnsi="Times New Roman"/>
          <w:b/>
          <w:bCs/>
          <w:sz w:val="24"/>
          <w:szCs w:val="24"/>
        </w:rPr>
      </w:pPr>
      <w:r w:rsidRPr="00665BD0">
        <w:rPr>
          <w:rFonts w:ascii="Times New Roman" w:hAnsi="Times New Roman"/>
          <w:bCs/>
          <w:sz w:val="24"/>
          <w:szCs w:val="24"/>
        </w:rPr>
        <w:t xml:space="preserve">consistent with this opinion.” </w:t>
      </w:r>
      <w:bookmarkStart w:id="327" w:name="_Hlk39837214"/>
      <w:r w:rsidR="00DC51D4">
        <w:fldChar w:fldCharType="begin"/>
      </w:r>
      <w:r w:rsidR="00DC51D4">
        <w:instrText xml:space="preserve"> HYPERLINK "https://www.supremecourt.gov/opinions/19pdf/18-1171_4425.pdf" </w:instrText>
      </w:r>
      <w:r w:rsidR="00DC51D4">
        <w:fldChar w:fldCharType="separate"/>
      </w:r>
      <w:r w:rsidRPr="00665BD0">
        <w:rPr>
          <w:rStyle w:val="Hyperlink"/>
          <w:rFonts w:ascii="Times New Roman" w:hAnsi="Times New Roman"/>
          <w:b/>
          <w:sz w:val="24"/>
          <w:szCs w:val="24"/>
        </w:rPr>
        <w:t>https://www.supremecourt.gov/opinions/19pdf/18-1171_4425.pdf</w:t>
      </w:r>
      <w:r w:rsidR="00DC51D4">
        <w:rPr>
          <w:rStyle w:val="Hyperlink"/>
          <w:rFonts w:ascii="Times New Roman" w:hAnsi="Times New Roman"/>
          <w:b/>
          <w:sz w:val="24"/>
          <w:szCs w:val="24"/>
        </w:rPr>
        <w:fldChar w:fldCharType="end"/>
      </w:r>
      <w:r w:rsidRPr="00665BD0">
        <w:rPr>
          <w:rFonts w:ascii="Times New Roman" w:hAnsi="Times New Roman"/>
          <w:bCs/>
          <w:sz w:val="24"/>
          <w:szCs w:val="24"/>
        </w:rPr>
        <w:t xml:space="preserve"> </w:t>
      </w:r>
    </w:p>
    <w:bookmarkEnd w:id="327"/>
    <w:p w14:paraId="46254098" w14:textId="77777777" w:rsidR="007540BD" w:rsidRDefault="007540BD" w:rsidP="007540BD">
      <w:pPr>
        <w:pStyle w:val="NoSpacing"/>
        <w:rPr>
          <w:rFonts w:ascii="Times New Roman" w:hAnsi="Times New Roman"/>
          <w:b/>
          <w:bCs/>
          <w:sz w:val="24"/>
          <w:szCs w:val="24"/>
        </w:rPr>
      </w:pPr>
    </w:p>
    <w:bookmarkEnd w:id="325"/>
    <w:p w14:paraId="3C202CDC" w14:textId="0E6EA7BA" w:rsidR="007540BD" w:rsidRPr="00665BD0" w:rsidRDefault="007540BD" w:rsidP="007540BD">
      <w:pPr>
        <w:pStyle w:val="NoSpacing"/>
        <w:rPr>
          <w:rFonts w:ascii="Times New Roman" w:hAnsi="Times New Roman"/>
          <w:b/>
          <w:bCs/>
          <w:sz w:val="24"/>
          <w:szCs w:val="24"/>
        </w:rPr>
      </w:pPr>
      <w:r w:rsidRPr="00665BD0">
        <w:rPr>
          <w:rFonts w:ascii="Times New Roman" w:hAnsi="Times New Roman"/>
          <w:b/>
          <w:bCs/>
          <w:sz w:val="24"/>
          <w:szCs w:val="24"/>
        </w:rPr>
        <w:t xml:space="preserve">Legal Lessons Learned: </w:t>
      </w:r>
      <w:r>
        <w:rPr>
          <w:rFonts w:ascii="Times New Roman" w:hAnsi="Times New Roman"/>
          <w:b/>
          <w:bCs/>
          <w:sz w:val="24"/>
          <w:szCs w:val="24"/>
        </w:rPr>
        <w:t xml:space="preserve">Important decision on race discrimination. </w:t>
      </w:r>
    </w:p>
    <w:p w14:paraId="3965B8C8" w14:textId="77777777" w:rsidR="007540BD" w:rsidRPr="00665BD0" w:rsidRDefault="007540BD" w:rsidP="007540BD">
      <w:pPr>
        <w:pStyle w:val="NoSpacing"/>
        <w:ind w:left="720"/>
        <w:rPr>
          <w:rFonts w:ascii="Times New Roman" w:hAnsi="Times New Roman"/>
          <w:b/>
          <w:bCs/>
          <w:sz w:val="24"/>
          <w:szCs w:val="24"/>
        </w:rPr>
      </w:pPr>
      <w:r w:rsidRPr="00665BD0">
        <w:rPr>
          <w:rFonts w:ascii="Times New Roman" w:hAnsi="Times New Roman"/>
          <w:bCs/>
          <w:sz w:val="24"/>
          <w:szCs w:val="24"/>
        </w:rPr>
        <w:t xml:space="preserve">See </w:t>
      </w:r>
      <w:bookmarkStart w:id="328" w:name="_Hlk39837140"/>
      <w:r w:rsidRPr="00665BD0">
        <w:rPr>
          <w:rFonts w:ascii="Times New Roman" w:hAnsi="Times New Roman"/>
          <w:bCs/>
          <w:sz w:val="24"/>
          <w:szCs w:val="24"/>
        </w:rPr>
        <w:t xml:space="preserve">March 23, </w:t>
      </w:r>
      <w:proofErr w:type="gramStart"/>
      <w:r w:rsidRPr="00665BD0">
        <w:rPr>
          <w:rFonts w:ascii="Times New Roman" w:hAnsi="Times New Roman"/>
          <w:bCs/>
          <w:sz w:val="24"/>
          <w:szCs w:val="24"/>
        </w:rPr>
        <w:t>2020</w:t>
      </w:r>
      <w:proofErr w:type="gramEnd"/>
      <w:r w:rsidRPr="00665BD0">
        <w:rPr>
          <w:rFonts w:ascii="Times New Roman" w:hAnsi="Times New Roman"/>
          <w:bCs/>
          <w:sz w:val="24"/>
          <w:szCs w:val="24"/>
        </w:rPr>
        <w:t xml:space="preserve"> article: Why Ginsburg Joined Ruling Civil Rights Advocates Decry as 'Terrible'- </w:t>
      </w:r>
      <w:hyperlink r:id="rId1591" w:history="1">
        <w:r w:rsidRPr="00665BD0">
          <w:rPr>
            <w:rStyle w:val="Hyperlink"/>
            <w:rFonts w:ascii="Times New Roman" w:hAnsi="Times New Roman"/>
            <w:b/>
            <w:sz w:val="24"/>
            <w:szCs w:val="24"/>
          </w:rPr>
          <w:t>https://www.law.com/nationallawjournal/2020/03/23/why-ginsburg-joined-a-ruling-civil-rights-advocates-decry-as-terrible/</w:t>
        </w:r>
      </w:hyperlink>
      <w:bookmarkEnd w:id="328"/>
      <w:r w:rsidRPr="00665BD0">
        <w:rPr>
          <w:rFonts w:ascii="Times New Roman" w:hAnsi="Times New Roman"/>
          <w:bCs/>
          <w:sz w:val="24"/>
          <w:szCs w:val="24"/>
        </w:rPr>
        <w:t xml:space="preserve"> </w:t>
      </w:r>
    </w:p>
    <w:p w14:paraId="69F7D68E" w14:textId="77777777" w:rsidR="007540BD" w:rsidRDefault="007540BD" w:rsidP="00DE0F03">
      <w:pPr>
        <w:rPr>
          <w:rFonts w:ascii="Arial Black" w:hAnsi="Arial Black"/>
          <w:b/>
          <w:sz w:val="24"/>
          <w:szCs w:val="24"/>
        </w:rPr>
      </w:pPr>
    </w:p>
    <w:p w14:paraId="4EC3DA5B" w14:textId="77777777" w:rsidR="007540BD" w:rsidRDefault="007540BD" w:rsidP="00DE0F03">
      <w:pPr>
        <w:rPr>
          <w:rFonts w:ascii="Arial Black" w:hAnsi="Arial Black"/>
          <w:b/>
          <w:sz w:val="24"/>
          <w:szCs w:val="24"/>
        </w:rPr>
      </w:pPr>
    </w:p>
    <w:p w14:paraId="2677AFDE" w14:textId="24A4310E" w:rsidR="00997329" w:rsidRDefault="00997329"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11</w:t>
      </w:r>
    </w:p>
    <w:p w14:paraId="0EE4A794" w14:textId="77777777" w:rsidR="00997329" w:rsidRPr="002E0D51" w:rsidRDefault="00997329" w:rsidP="00997329">
      <w:pPr>
        <w:pStyle w:val="NoSpacing"/>
        <w:rPr>
          <w:rFonts w:ascii="Arial Black" w:hAnsi="Arial Black"/>
          <w:b/>
          <w:bCs/>
          <w:sz w:val="28"/>
          <w:szCs w:val="28"/>
        </w:rPr>
      </w:pPr>
      <w:bookmarkStart w:id="329" w:name="_Hlk41156029"/>
      <w:r w:rsidRPr="002E0D51">
        <w:rPr>
          <w:rFonts w:ascii="Arial Black" w:hAnsi="Arial Black"/>
          <w:bCs/>
          <w:sz w:val="28"/>
          <w:szCs w:val="28"/>
        </w:rPr>
        <w:t xml:space="preserve">MD: </w:t>
      </w:r>
      <w:r>
        <w:rPr>
          <w:rFonts w:ascii="Arial Black" w:hAnsi="Arial Black"/>
          <w:bCs/>
          <w:sz w:val="28"/>
          <w:szCs w:val="28"/>
        </w:rPr>
        <w:t>TWO AFRICAN AMERICANS PROMOTED B/C – BUT LIST HAD EXPIRED - WHITE CAPTAIN PASSED OVER – LAWSUIT PROCEED</w:t>
      </w:r>
    </w:p>
    <w:p w14:paraId="74FDA38B" w14:textId="77777777" w:rsidR="00997329" w:rsidRDefault="00997329" w:rsidP="00997329">
      <w:pPr>
        <w:pStyle w:val="NoSpacing"/>
        <w:rPr>
          <w:b/>
          <w:bCs/>
          <w:sz w:val="24"/>
          <w:szCs w:val="24"/>
        </w:rPr>
      </w:pPr>
    </w:p>
    <w:p w14:paraId="4177EFFA" w14:textId="77777777" w:rsidR="00997329" w:rsidRPr="00465FB3" w:rsidRDefault="00997329" w:rsidP="00997329">
      <w:pPr>
        <w:pStyle w:val="NoSpacing"/>
        <w:rPr>
          <w:rFonts w:ascii="Times New Roman" w:hAnsi="Times New Roman"/>
          <w:b/>
          <w:bCs/>
          <w:sz w:val="24"/>
          <w:szCs w:val="24"/>
        </w:rPr>
      </w:pPr>
      <w:r w:rsidRPr="00465FB3">
        <w:rPr>
          <w:rFonts w:ascii="Times New Roman" w:hAnsi="Times New Roman"/>
          <w:bCs/>
          <w:sz w:val="24"/>
          <w:szCs w:val="24"/>
        </w:rPr>
        <w:t xml:space="preserve">On March 3, 2020, in </w:t>
      </w:r>
      <w:r w:rsidRPr="00465FB3">
        <w:rPr>
          <w:rFonts w:ascii="Times New Roman" w:hAnsi="Times New Roman"/>
          <w:bCs/>
          <w:sz w:val="24"/>
          <w:szCs w:val="24"/>
          <w:u w:val="single"/>
        </w:rPr>
        <w:t>Donald Dziwulski v. Mayor &amp; City Council of Baltimore</w:t>
      </w:r>
      <w:r w:rsidRPr="00465FB3">
        <w:rPr>
          <w:rFonts w:ascii="Times New Roman" w:hAnsi="Times New Roman"/>
          <w:bCs/>
          <w:sz w:val="24"/>
          <w:szCs w:val="24"/>
        </w:rPr>
        <w:t xml:space="preserve">, U.S. Magistrate Judge Deborah L. Boardman, District of Maryland (Northern Division) denied the City’s motion for summary judgment concerning Dziwulski's claim for race discrimination based on failure to promote and his retaliation claim based on the reclassification of Carter's position.   </w:t>
      </w:r>
    </w:p>
    <w:p w14:paraId="313E13A0" w14:textId="77777777" w:rsidR="00997329" w:rsidRPr="00465FB3" w:rsidRDefault="00997329" w:rsidP="00997329">
      <w:pPr>
        <w:pStyle w:val="NoSpacing"/>
        <w:rPr>
          <w:rFonts w:ascii="Times New Roman" w:hAnsi="Times New Roman"/>
          <w:b/>
          <w:bCs/>
          <w:sz w:val="24"/>
          <w:szCs w:val="24"/>
        </w:rPr>
      </w:pPr>
    </w:p>
    <w:p w14:paraId="3583B7BE" w14:textId="77777777" w:rsidR="00997329" w:rsidRPr="00465FB3" w:rsidRDefault="00997329" w:rsidP="00997329">
      <w:pPr>
        <w:pStyle w:val="NoSpacing"/>
        <w:ind w:left="720"/>
        <w:rPr>
          <w:rFonts w:ascii="Times New Roman" w:hAnsi="Times New Roman"/>
          <w:b/>
          <w:bCs/>
          <w:sz w:val="24"/>
          <w:szCs w:val="24"/>
        </w:rPr>
      </w:pPr>
      <w:r w:rsidRPr="00465FB3">
        <w:rPr>
          <w:rFonts w:ascii="Times New Roman" w:hAnsi="Times New Roman"/>
          <w:bCs/>
          <w:sz w:val="24"/>
          <w:szCs w:val="24"/>
        </w:rPr>
        <w:t xml:space="preserve">“Defendant argues that, throughout the entire process, [then Fire Chief James] Clack was planning to promote Claggett and Stokes into the two new positions. They were ranked first and second on the Eligibles List in effect at the time. To make their promotions possible despite the Board's failure to act on May 8, 2013, Clack promoted them on May 13, 2013, before the Board approved the position…. [But] by the time Clack acted on May 13, 2013, the Eligibles List that included Claggett and Stokes had expired. *** </w:t>
      </w:r>
      <w:r w:rsidRPr="00465FB3">
        <w:rPr>
          <w:rFonts w:ascii="Times New Roman" w:eastAsia="Times New Roman" w:hAnsi="Times New Roman"/>
          <w:bCs/>
          <w:sz w:val="24"/>
          <w:szCs w:val="24"/>
        </w:rPr>
        <w:t xml:space="preserve">On the record before me, Defendant has offered a legitimate, non-discriminatory reason for each of its employment decisions when considered individually. Thus, a reasonable jury, weighing the facts on the record before me as to each employment decision one at a time, could find that no race-based discrimination occurred. Nonetheless, considering the combined effect of these decisions, which collectively ‘undermine the credibility of the employer's stated reasons,’ Captain Dziwulski has identified sufficient evidence of pretext to survive Defendant's Motion for Summary Judgment. *** </w:t>
      </w:r>
      <w:r w:rsidRPr="00465FB3">
        <w:rPr>
          <w:rFonts w:ascii="Times New Roman" w:hAnsi="Times New Roman"/>
          <w:bCs/>
          <w:sz w:val="24"/>
          <w:szCs w:val="24"/>
        </w:rPr>
        <w:t xml:space="preserve">Most significantly, over the course of several months, Captain Dziwulski repeatedly was not selected for promotions for which he was eligible, even though he was ranked first on the Eligibles List in effect at the time. Each time, either African Americans were selected instead of </w:t>
      </w:r>
      <w:proofErr w:type="gramStart"/>
      <w:r w:rsidRPr="00465FB3">
        <w:rPr>
          <w:rFonts w:ascii="Times New Roman" w:hAnsi="Times New Roman"/>
          <w:bCs/>
          <w:sz w:val="24"/>
          <w:szCs w:val="24"/>
        </w:rPr>
        <w:t>him</w:t>
      </w:r>
      <w:proofErr w:type="gramEnd"/>
      <w:r w:rsidRPr="00465FB3">
        <w:rPr>
          <w:rFonts w:ascii="Times New Roman" w:hAnsi="Times New Roman"/>
          <w:bCs/>
          <w:sz w:val="24"/>
          <w:szCs w:val="24"/>
        </w:rPr>
        <w:t xml:space="preserve"> or the position was left open. Considering these events cumulatively, a genuine dispute exists regarding whether the Department's reasons each time were legitimate and non-discriminatory or pretext.”  </w:t>
      </w:r>
      <w:hyperlink r:id="rId1592" w:history="1">
        <w:r w:rsidRPr="00465FB3">
          <w:rPr>
            <w:rStyle w:val="Hyperlink"/>
            <w:rFonts w:ascii="Times New Roman" w:hAnsi="Times New Roman"/>
            <w:bCs/>
            <w:sz w:val="24"/>
            <w:szCs w:val="24"/>
          </w:rPr>
          <w:t>https://public.fastcase.com/Wl%2B2t%2BeVuI35%2FN70vAMFZtTeqjzzEnlP0E9gnOJzg5Beu%2B8e3Ta9mPaMkCNr0Gg4</w:t>
        </w:r>
      </w:hyperlink>
    </w:p>
    <w:p w14:paraId="192CCCF7" w14:textId="77777777" w:rsidR="00997329" w:rsidRPr="00465FB3" w:rsidRDefault="00997329" w:rsidP="00997329">
      <w:pPr>
        <w:pStyle w:val="NoSpacing"/>
        <w:rPr>
          <w:rFonts w:ascii="Times New Roman" w:hAnsi="Times New Roman"/>
          <w:b/>
          <w:bCs/>
          <w:sz w:val="24"/>
          <w:szCs w:val="24"/>
        </w:rPr>
      </w:pPr>
    </w:p>
    <w:p w14:paraId="3675267C" w14:textId="77777777" w:rsidR="00997329" w:rsidRPr="00465FB3" w:rsidRDefault="00997329" w:rsidP="00997329">
      <w:pPr>
        <w:pStyle w:val="NoSpacing"/>
        <w:tabs>
          <w:tab w:val="left" w:pos="2860"/>
        </w:tabs>
        <w:rPr>
          <w:rFonts w:ascii="Times New Roman" w:hAnsi="Times New Roman"/>
          <w:b/>
          <w:bCs/>
          <w:sz w:val="24"/>
          <w:szCs w:val="24"/>
        </w:rPr>
      </w:pPr>
      <w:r w:rsidRPr="00465FB3">
        <w:rPr>
          <w:rFonts w:ascii="Times New Roman" w:hAnsi="Times New Roman"/>
          <w:b/>
          <w:bCs/>
          <w:sz w:val="24"/>
          <w:szCs w:val="24"/>
        </w:rPr>
        <w:t xml:space="preserve">Legal Lessons Learned: Making promotions from expired lists can lead to litigation.  </w:t>
      </w:r>
    </w:p>
    <w:bookmarkEnd w:id="329"/>
    <w:p w14:paraId="7246B3B0" w14:textId="77777777" w:rsidR="00997329" w:rsidRDefault="00997329" w:rsidP="00DE0F03">
      <w:pPr>
        <w:rPr>
          <w:rFonts w:ascii="Arial Black" w:hAnsi="Arial Black"/>
          <w:b/>
          <w:sz w:val="24"/>
          <w:szCs w:val="24"/>
        </w:rPr>
      </w:pPr>
    </w:p>
    <w:p w14:paraId="3D7129FC" w14:textId="504F350F" w:rsidR="00177094" w:rsidRDefault="00177094" w:rsidP="00DE0F03">
      <w:pPr>
        <w:rPr>
          <w:rFonts w:ascii="Arial Black" w:hAnsi="Arial Black"/>
          <w:b/>
          <w:sz w:val="24"/>
          <w:szCs w:val="24"/>
        </w:rPr>
      </w:pPr>
      <w:r>
        <w:rPr>
          <w:rFonts w:ascii="Arial Black" w:hAnsi="Arial Black"/>
          <w:b/>
          <w:sz w:val="24"/>
          <w:szCs w:val="24"/>
        </w:rPr>
        <w:t>8-1</w:t>
      </w:r>
      <w:r w:rsidR="005A395B">
        <w:rPr>
          <w:rFonts w:ascii="Arial Black" w:hAnsi="Arial Black"/>
          <w:b/>
          <w:sz w:val="24"/>
          <w:szCs w:val="24"/>
        </w:rPr>
        <w:t>0</w:t>
      </w:r>
    </w:p>
    <w:p w14:paraId="71EC4F1F" w14:textId="77777777" w:rsidR="00177094" w:rsidRPr="00255FB0" w:rsidRDefault="00177094" w:rsidP="00177094">
      <w:pPr>
        <w:pStyle w:val="NoSpacing"/>
        <w:rPr>
          <w:rFonts w:ascii="Arial Black" w:hAnsi="Arial Black"/>
          <w:b/>
          <w:bCs/>
          <w:sz w:val="28"/>
          <w:szCs w:val="28"/>
        </w:rPr>
      </w:pPr>
      <w:r>
        <w:rPr>
          <w:rFonts w:ascii="Arial Black" w:hAnsi="Arial Black"/>
          <w:bCs/>
          <w:sz w:val="28"/>
          <w:szCs w:val="28"/>
        </w:rPr>
        <w:t>GA: KNEE SURGERY – FF NOT ALLOWED BACK TO WORK – LAWSUIT DISMISSED SINCE DIDN’T FILE IN 90 DAYS OF EEOC LETTER</w:t>
      </w:r>
    </w:p>
    <w:p w14:paraId="11A45DF0" w14:textId="77777777" w:rsidR="00177094" w:rsidRDefault="00177094" w:rsidP="00177094">
      <w:pPr>
        <w:pStyle w:val="NoSpacing"/>
        <w:rPr>
          <w:b/>
          <w:bCs/>
          <w:sz w:val="24"/>
          <w:szCs w:val="24"/>
        </w:rPr>
      </w:pPr>
    </w:p>
    <w:p w14:paraId="69B47576" w14:textId="77777777" w:rsidR="00177094" w:rsidRPr="004236BE" w:rsidRDefault="00177094" w:rsidP="00177094">
      <w:pPr>
        <w:pStyle w:val="NoSpacing"/>
        <w:rPr>
          <w:rFonts w:ascii="Times New Roman" w:hAnsi="Times New Roman"/>
          <w:b/>
          <w:bCs/>
          <w:sz w:val="24"/>
          <w:szCs w:val="24"/>
        </w:rPr>
      </w:pPr>
      <w:r w:rsidRPr="004236BE">
        <w:rPr>
          <w:rFonts w:ascii="Times New Roman" w:hAnsi="Times New Roman"/>
          <w:bCs/>
          <w:sz w:val="24"/>
          <w:szCs w:val="24"/>
        </w:rPr>
        <w:t xml:space="preserve">On Jan. 23, 2020, in </w:t>
      </w:r>
      <w:r w:rsidRPr="004236BE">
        <w:rPr>
          <w:rFonts w:ascii="Times New Roman" w:hAnsi="Times New Roman"/>
          <w:bCs/>
          <w:sz w:val="24"/>
          <w:szCs w:val="24"/>
          <w:u w:val="single"/>
        </w:rPr>
        <w:t>Derek Lee Colson v. City of Thomasville, et al.</w:t>
      </w:r>
      <w:r w:rsidRPr="004236BE">
        <w:rPr>
          <w:rFonts w:ascii="Times New Roman" w:hAnsi="Times New Roman"/>
          <w:bCs/>
          <w:sz w:val="24"/>
          <w:szCs w:val="24"/>
        </w:rPr>
        <w:t xml:space="preserve">, U.S. District Court Senior Judge Hugh Lawson, U.S. District Court for Middle District of Georgia, Valdosta Division, granted defendants motion for summary judgment and dismissed his lawsuit for failure to file within 90 days of the EEOC’s Right </w:t>
      </w:r>
      <w:proofErr w:type="gramStart"/>
      <w:r w:rsidRPr="004236BE">
        <w:rPr>
          <w:rFonts w:ascii="Times New Roman" w:hAnsi="Times New Roman"/>
          <w:bCs/>
          <w:sz w:val="24"/>
          <w:szCs w:val="24"/>
        </w:rPr>
        <w:t>To</w:t>
      </w:r>
      <w:proofErr w:type="gramEnd"/>
      <w:r w:rsidRPr="004236BE">
        <w:rPr>
          <w:rFonts w:ascii="Times New Roman" w:hAnsi="Times New Roman"/>
          <w:bCs/>
          <w:sz w:val="24"/>
          <w:szCs w:val="24"/>
        </w:rPr>
        <w:t xml:space="preserve"> Sue letter.</w:t>
      </w:r>
    </w:p>
    <w:p w14:paraId="4B0B0F53" w14:textId="77777777" w:rsidR="00177094" w:rsidRPr="004236BE" w:rsidRDefault="00177094" w:rsidP="00177094">
      <w:pPr>
        <w:pStyle w:val="NoSpacing"/>
        <w:rPr>
          <w:rFonts w:ascii="Times New Roman" w:hAnsi="Times New Roman"/>
          <w:b/>
          <w:bCs/>
          <w:sz w:val="24"/>
          <w:szCs w:val="24"/>
        </w:rPr>
      </w:pPr>
    </w:p>
    <w:p w14:paraId="0257CCBB"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 xml:space="preserve">“The undisputed evidence is that the EEOC mailed a Dismissal and Notice of Rights to Plaintiff on October 26, 2017. (Doc. 23-3). There is no evidence in the record beyond Plaintiff’s unsupported statement that the original notice was not delivered. Accepting this statement alone without further explanation would permit Plaintiff to enjoy a ‘manipulable, open-ended time extension,’ which the Eleventh Circuit has opined would ‘render the statutory minimum meaningless.’ *** Plaintiff did not file his Complaint until August 21, 2018 – 296 later. Plaintiff’s Complaint is therefore time-barred.”  </w:t>
      </w:r>
      <w:hyperlink r:id="rId1593" w:history="1">
        <w:r w:rsidRPr="004236BE">
          <w:rPr>
            <w:rStyle w:val="Hyperlink"/>
            <w:rFonts w:ascii="Times New Roman" w:hAnsi="Times New Roman"/>
            <w:b/>
            <w:sz w:val="24"/>
            <w:szCs w:val="24"/>
          </w:rPr>
          <w:t>https://ecf.gamd.uscourts.gov/cgi-bin/show_public_doc?2018-00132-29-7-cv</w:t>
        </w:r>
      </w:hyperlink>
      <w:r w:rsidRPr="004236BE">
        <w:rPr>
          <w:rFonts w:ascii="Times New Roman" w:hAnsi="Times New Roman"/>
          <w:bCs/>
          <w:sz w:val="24"/>
          <w:szCs w:val="24"/>
        </w:rPr>
        <w:t xml:space="preserve">  </w:t>
      </w:r>
    </w:p>
    <w:p w14:paraId="5AC697F4" w14:textId="77777777" w:rsidR="00177094" w:rsidRDefault="00177094" w:rsidP="00177094">
      <w:pPr>
        <w:pStyle w:val="NoSpacing"/>
        <w:rPr>
          <w:rFonts w:ascii="Times New Roman" w:hAnsi="Times New Roman"/>
          <w:b/>
          <w:bCs/>
          <w:sz w:val="24"/>
          <w:szCs w:val="24"/>
        </w:rPr>
      </w:pPr>
    </w:p>
    <w:p w14:paraId="51333060" w14:textId="33D3ADFD" w:rsidR="00177094" w:rsidRPr="004236BE" w:rsidRDefault="00177094" w:rsidP="00177094">
      <w:pPr>
        <w:pStyle w:val="NoSpacing"/>
        <w:rPr>
          <w:rFonts w:ascii="Times New Roman" w:hAnsi="Times New Roman"/>
          <w:b/>
          <w:bCs/>
          <w:sz w:val="24"/>
          <w:szCs w:val="24"/>
        </w:rPr>
      </w:pPr>
      <w:r w:rsidRPr="004236BE">
        <w:rPr>
          <w:rFonts w:ascii="Times New Roman" w:hAnsi="Times New Roman"/>
          <w:b/>
          <w:bCs/>
          <w:sz w:val="24"/>
          <w:szCs w:val="24"/>
        </w:rPr>
        <w:t xml:space="preserve">Legal Lessoned Learned:  Title VII requires lawsuit to be filed within 90 days of EEOC “Right </w:t>
      </w:r>
      <w:proofErr w:type="gramStart"/>
      <w:r w:rsidRPr="004236BE">
        <w:rPr>
          <w:rFonts w:ascii="Times New Roman" w:hAnsi="Times New Roman"/>
          <w:b/>
          <w:bCs/>
          <w:sz w:val="24"/>
          <w:szCs w:val="24"/>
        </w:rPr>
        <w:t>To</w:t>
      </w:r>
      <w:proofErr w:type="gramEnd"/>
      <w:r w:rsidRPr="004236BE">
        <w:rPr>
          <w:rFonts w:ascii="Times New Roman" w:hAnsi="Times New Roman"/>
          <w:b/>
          <w:bCs/>
          <w:sz w:val="24"/>
          <w:szCs w:val="24"/>
        </w:rPr>
        <w:t xml:space="preserve"> Sue” letter; if don’t have an attorney, need to make sure EEOC has your correct address, and periodically check on status of EEOC investigation. </w:t>
      </w:r>
    </w:p>
    <w:p w14:paraId="4C158DC3" w14:textId="77777777" w:rsidR="00177094" w:rsidRDefault="00177094" w:rsidP="00DE0F03">
      <w:pPr>
        <w:rPr>
          <w:rFonts w:ascii="Arial Black" w:hAnsi="Arial Black"/>
          <w:b/>
          <w:sz w:val="24"/>
          <w:szCs w:val="24"/>
        </w:rPr>
      </w:pPr>
    </w:p>
    <w:p w14:paraId="61C80C2B" w14:textId="77777777" w:rsidR="00177094" w:rsidRDefault="00177094" w:rsidP="00DE0F03">
      <w:pPr>
        <w:rPr>
          <w:rFonts w:ascii="Arial Black" w:hAnsi="Arial Black"/>
          <w:b/>
          <w:sz w:val="24"/>
          <w:szCs w:val="24"/>
        </w:rPr>
      </w:pPr>
    </w:p>
    <w:p w14:paraId="433413FB" w14:textId="7FE87610" w:rsidR="00A06387" w:rsidRDefault="00A06387"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9</w:t>
      </w:r>
    </w:p>
    <w:p w14:paraId="55C60D6F" w14:textId="6345C3BC" w:rsidR="00A06387" w:rsidRDefault="00A06387" w:rsidP="00A06387">
      <w:pPr>
        <w:pStyle w:val="NoSpacing"/>
        <w:rPr>
          <w:rFonts w:ascii="Arial Black" w:hAnsi="Arial Black"/>
          <w:bCs/>
          <w:sz w:val="28"/>
          <w:szCs w:val="28"/>
        </w:rPr>
      </w:pPr>
      <w:r w:rsidRPr="00AE7062">
        <w:rPr>
          <w:rFonts w:ascii="Arial Black" w:hAnsi="Arial Black"/>
          <w:bCs/>
          <w:sz w:val="28"/>
          <w:szCs w:val="28"/>
        </w:rPr>
        <w:t>AL</w:t>
      </w:r>
      <w:r>
        <w:rPr>
          <w:rFonts w:ascii="Arial Black" w:hAnsi="Arial Black"/>
          <w:bCs/>
          <w:sz w:val="28"/>
          <w:szCs w:val="28"/>
        </w:rPr>
        <w:t>: CAPT. (AFRICAN</w:t>
      </w:r>
      <w:r w:rsidR="00BF4DDE">
        <w:rPr>
          <w:rFonts w:ascii="Arial Black" w:hAnsi="Arial Black"/>
          <w:bCs/>
          <w:sz w:val="28"/>
          <w:szCs w:val="28"/>
        </w:rPr>
        <w:t xml:space="preserve"> </w:t>
      </w:r>
      <w:r>
        <w:rPr>
          <w:rFonts w:ascii="Arial Black" w:hAnsi="Arial Black"/>
          <w:bCs/>
          <w:sz w:val="28"/>
          <w:szCs w:val="28"/>
        </w:rPr>
        <w:t>AMERICAN) CLAIMED FIRE CHIEF</w:t>
      </w:r>
      <w:r w:rsidRPr="00AE7062">
        <w:rPr>
          <w:rFonts w:ascii="Arial Black" w:hAnsi="Arial Black"/>
          <w:bCs/>
          <w:sz w:val="28"/>
          <w:szCs w:val="28"/>
        </w:rPr>
        <w:t xml:space="preserve"> </w:t>
      </w:r>
      <w:r>
        <w:rPr>
          <w:rFonts w:ascii="Arial Black" w:hAnsi="Arial Black"/>
          <w:bCs/>
          <w:sz w:val="28"/>
          <w:szCs w:val="28"/>
        </w:rPr>
        <w:t>(ALSO AFRICAN</w:t>
      </w:r>
      <w:r w:rsidR="00BF4DDE">
        <w:rPr>
          <w:rFonts w:ascii="Arial Black" w:hAnsi="Arial Black"/>
          <w:bCs/>
          <w:sz w:val="28"/>
          <w:szCs w:val="28"/>
        </w:rPr>
        <w:t xml:space="preserve"> </w:t>
      </w:r>
      <w:r>
        <w:rPr>
          <w:rFonts w:ascii="Arial Black" w:hAnsi="Arial Black"/>
          <w:bCs/>
          <w:sz w:val="28"/>
          <w:szCs w:val="28"/>
        </w:rPr>
        <w:t xml:space="preserve">AMERICAN) PROMOTED SAME RACE OF PRIOR PERSON IN POSITION </w:t>
      </w:r>
    </w:p>
    <w:p w14:paraId="29FE3B16" w14:textId="77777777" w:rsidR="00A06387" w:rsidRDefault="00A06387" w:rsidP="00A06387">
      <w:pPr>
        <w:pStyle w:val="NoSpacing"/>
        <w:rPr>
          <w:rFonts w:ascii="Arial Black" w:hAnsi="Arial Black"/>
          <w:b/>
          <w:bCs/>
          <w:sz w:val="28"/>
          <w:szCs w:val="28"/>
        </w:rPr>
      </w:pPr>
    </w:p>
    <w:p w14:paraId="192D73B7" w14:textId="77777777" w:rsidR="00A06387" w:rsidRPr="00BF4DDE" w:rsidRDefault="00A06387" w:rsidP="00A06387">
      <w:pPr>
        <w:pStyle w:val="NoSpacing"/>
        <w:rPr>
          <w:rFonts w:ascii="Times New Roman" w:hAnsi="Times New Roman"/>
          <w:b/>
          <w:bCs/>
          <w:sz w:val="24"/>
          <w:szCs w:val="24"/>
        </w:rPr>
      </w:pPr>
      <w:r w:rsidRPr="00BF4DDE">
        <w:rPr>
          <w:rFonts w:ascii="Times New Roman" w:hAnsi="Times New Roman"/>
          <w:bCs/>
          <w:sz w:val="24"/>
          <w:szCs w:val="24"/>
        </w:rPr>
        <w:t xml:space="preserve">On Oct. 24, 2919, in </w:t>
      </w:r>
      <w:r w:rsidRPr="00BF4DDE">
        <w:rPr>
          <w:rFonts w:ascii="Times New Roman" w:hAnsi="Times New Roman"/>
          <w:bCs/>
          <w:sz w:val="24"/>
          <w:szCs w:val="24"/>
          <w:u w:val="single"/>
        </w:rPr>
        <w:t>Franklin Edwards v. City of Selma</w:t>
      </w:r>
      <w:r w:rsidRPr="00BF4DDE">
        <w:rPr>
          <w:rFonts w:ascii="Times New Roman" w:hAnsi="Times New Roman"/>
          <w:bCs/>
          <w:sz w:val="24"/>
          <w:szCs w:val="24"/>
        </w:rPr>
        <w:t xml:space="preserve">, U.S. District Court Judge Jeffrey U. </w:t>
      </w:r>
      <w:proofErr w:type="spellStart"/>
      <w:r w:rsidRPr="00BF4DDE">
        <w:rPr>
          <w:rFonts w:ascii="Times New Roman" w:hAnsi="Times New Roman"/>
          <w:bCs/>
          <w:sz w:val="24"/>
          <w:szCs w:val="24"/>
        </w:rPr>
        <w:t>Beaverstock</w:t>
      </w:r>
      <w:proofErr w:type="spellEnd"/>
      <w:r w:rsidRPr="00BF4DDE">
        <w:rPr>
          <w:rFonts w:ascii="Times New Roman" w:hAnsi="Times New Roman"/>
          <w:bCs/>
          <w:sz w:val="24"/>
          <w:szCs w:val="24"/>
        </w:rPr>
        <w:t xml:space="preserve">, U.S. District Court for the Southern District of Alabama (Northern Division) granted summary judgment for the </w:t>
      </w:r>
      <w:proofErr w:type="gramStart"/>
      <w:r w:rsidRPr="00BF4DDE">
        <w:rPr>
          <w:rFonts w:ascii="Times New Roman" w:hAnsi="Times New Roman"/>
          <w:bCs/>
          <w:sz w:val="24"/>
          <w:szCs w:val="24"/>
        </w:rPr>
        <w:t>City</w:t>
      </w:r>
      <w:proofErr w:type="gramEnd"/>
      <w:r w:rsidRPr="00BF4DDE">
        <w:rPr>
          <w:rFonts w:ascii="Times New Roman" w:hAnsi="Times New Roman"/>
          <w:bCs/>
          <w:sz w:val="24"/>
          <w:szCs w:val="24"/>
        </w:rPr>
        <w:t xml:space="preserve">.  </w:t>
      </w:r>
    </w:p>
    <w:p w14:paraId="7FBCFA36" w14:textId="77777777" w:rsidR="00A06387" w:rsidRPr="00BF4DDE" w:rsidRDefault="00A06387" w:rsidP="00A06387">
      <w:pPr>
        <w:pStyle w:val="NoSpacing"/>
        <w:rPr>
          <w:rFonts w:ascii="Times New Roman" w:hAnsi="Times New Roman"/>
          <w:b/>
          <w:bCs/>
          <w:sz w:val="24"/>
          <w:szCs w:val="24"/>
        </w:rPr>
      </w:pPr>
    </w:p>
    <w:p w14:paraId="082D87F9" w14:textId="150FE24D" w:rsidR="00A06387" w:rsidRPr="00BF4DDE" w:rsidRDefault="00A06387" w:rsidP="00A06387">
      <w:pPr>
        <w:ind w:left="720"/>
        <w:rPr>
          <w:rFonts w:ascii="Times New Roman" w:hAnsi="Times New Roman"/>
          <w:b/>
          <w:sz w:val="24"/>
          <w:szCs w:val="24"/>
        </w:rPr>
      </w:pPr>
      <w:r w:rsidRPr="00BF4DDE">
        <w:rPr>
          <w:rFonts w:ascii="Times New Roman" w:hAnsi="Times New Roman"/>
          <w:bCs/>
          <w:sz w:val="24"/>
          <w:szCs w:val="24"/>
        </w:rPr>
        <w:t>“Selma’s proffered reasons for failing to recommend or promote Plaintiff to a ‘Chief-level’ position include that applicants who received recommendations and promotions had been with the Fire Department longer than Plaintiff and had fewer disciplinary infractions… Selma has presented evidence that each candidate who received a ‘Chief-level’ recommendation and promotion was with the Fire Department longer than Plaintiff and/or had fewer disciplinary infractions than Plaintiff. Seniority and disciplinary history are legitimate non-discriminatory reasons for Stephens’ recommendations for promotion.</w:t>
      </w:r>
      <w:r w:rsidR="00BF4DDE">
        <w:rPr>
          <w:rFonts w:ascii="Times New Roman" w:hAnsi="Times New Roman"/>
          <w:bCs/>
          <w:sz w:val="24"/>
          <w:szCs w:val="24"/>
        </w:rPr>
        <w:t xml:space="preserve">” </w:t>
      </w:r>
      <w:hyperlink r:id="rId1594" w:history="1">
        <w:r w:rsidRPr="00BF4DDE">
          <w:rPr>
            <w:rStyle w:val="Hyperlink"/>
            <w:rFonts w:ascii="Times New Roman" w:hAnsi="Times New Roman"/>
            <w:bCs/>
            <w:sz w:val="24"/>
            <w:szCs w:val="24"/>
          </w:rPr>
          <w:t>https://cases.justia.com/federal/district-courts/alabama/alsdce/2:2018cv00293/62967/26/0.pdf?ts=1571995051</w:t>
        </w:r>
      </w:hyperlink>
    </w:p>
    <w:p w14:paraId="3A552CFB" w14:textId="77777777" w:rsidR="00A06387" w:rsidRPr="00BF4DDE" w:rsidRDefault="00A06387" w:rsidP="00A06387">
      <w:pPr>
        <w:pStyle w:val="NoSpacing"/>
        <w:rPr>
          <w:rFonts w:ascii="Times New Roman" w:hAnsi="Times New Roman"/>
          <w:b/>
          <w:bCs/>
          <w:sz w:val="24"/>
          <w:szCs w:val="24"/>
        </w:rPr>
      </w:pPr>
      <w:r w:rsidRPr="00BF4DDE">
        <w:rPr>
          <w:rFonts w:ascii="Times New Roman" w:hAnsi="Times New Roman"/>
          <w:b/>
          <w:bCs/>
          <w:sz w:val="24"/>
          <w:szCs w:val="24"/>
        </w:rPr>
        <w:t xml:space="preserve">Legal Lessons Learned:  Plaintiff failed to prove that the </w:t>
      </w:r>
      <w:proofErr w:type="gramStart"/>
      <w:r w:rsidRPr="00BF4DDE">
        <w:rPr>
          <w:rFonts w:ascii="Times New Roman" w:hAnsi="Times New Roman"/>
          <w:b/>
          <w:bCs/>
          <w:sz w:val="24"/>
          <w:szCs w:val="24"/>
        </w:rPr>
        <w:t>Mayor</w:t>
      </w:r>
      <w:proofErr w:type="gramEnd"/>
      <w:r w:rsidRPr="00BF4DDE">
        <w:rPr>
          <w:rFonts w:ascii="Times New Roman" w:hAnsi="Times New Roman"/>
          <w:b/>
          <w:bCs/>
          <w:sz w:val="24"/>
          <w:szCs w:val="24"/>
        </w:rPr>
        <w:t xml:space="preserve"> or other city officials knew about or concurred in the alleged “demographic promotion process.” </w:t>
      </w:r>
    </w:p>
    <w:p w14:paraId="5F60E20B" w14:textId="206CC893" w:rsidR="00A06387" w:rsidRPr="00BF4DDE" w:rsidRDefault="00A06387" w:rsidP="00DE0F03">
      <w:pPr>
        <w:rPr>
          <w:rFonts w:ascii="Times New Roman" w:hAnsi="Times New Roman"/>
          <w:b/>
          <w:sz w:val="24"/>
          <w:szCs w:val="24"/>
        </w:rPr>
      </w:pPr>
    </w:p>
    <w:p w14:paraId="29E0B30F" w14:textId="3744396C" w:rsidR="00A06387" w:rsidRDefault="00A06387"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8</w:t>
      </w:r>
    </w:p>
    <w:p w14:paraId="09723C99" w14:textId="6F581999" w:rsidR="00A06387" w:rsidRPr="00864E92" w:rsidRDefault="00A06387" w:rsidP="00A06387">
      <w:pPr>
        <w:pStyle w:val="NoSpacing"/>
        <w:rPr>
          <w:rFonts w:ascii="Arial Black" w:hAnsi="Arial Black"/>
          <w:sz w:val="28"/>
          <w:szCs w:val="28"/>
        </w:rPr>
      </w:pPr>
      <w:bookmarkStart w:id="330" w:name="_Hlk39765060"/>
      <w:r>
        <w:rPr>
          <w:rFonts w:ascii="Arial Black" w:hAnsi="Arial Black"/>
          <w:sz w:val="28"/>
          <w:szCs w:val="28"/>
        </w:rPr>
        <w:t>GA:  APPLICANT (AFRICAN</w:t>
      </w:r>
      <w:r w:rsidR="00BF4DDE">
        <w:rPr>
          <w:rFonts w:ascii="Arial Black" w:hAnsi="Arial Black"/>
          <w:sz w:val="28"/>
          <w:szCs w:val="28"/>
        </w:rPr>
        <w:t xml:space="preserve"> </w:t>
      </w:r>
      <w:r>
        <w:rPr>
          <w:rFonts w:ascii="Arial Black" w:hAnsi="Arial Black"/>
          <w:sz w:val="28"/>
          <w:szCs w:val="28"/>
        </w:rPr>
        <w:t xml:space="preserve">AMERICAN) FOR FIRE CHIEF NOT SELECTED – IN HOUSE CANDIDATE MORE QUALIFIED, EVEN IF NO DEGREE </w:t>
      </w:r>
    </w:p>
    <w:p w14:paraId="7E8B6D34" w14:textId="77777777" w:rsidR="00A06387" w:rsidRDefault="00A06387" w:rsidP="00A06387">
      <w:pPr>
        <w:pStyle w:val="NoSpacing"/>
      </w:pPr>
    </w:p>
    <w:p w14:paraId="45E969DD" w14:textId="77777777" w:rsidR="00A06387" w:rsidRPr="00BF4DDE" w:rsidRDefault="00A06387" w:rsidP="00A06387">
      <w:pPr>
        <w:pStyle w:val="NoSpacing"/>
        <w:rPr>
          <w:rFonts w:ascii="Times New Roman" w:hAnsi="Times New Roman"/>
          <w:b/>
          <w:bCs/>
          <w:sz w:val="24"/>
          <w:szCs w:val="24"/>
        </w:rPr>
      </w:pPr>
      <w:r w:rsidRPr="00BF4DDE">
        <w:rPr>
          <w:rFonts w:ascii="Times New Roman" w:hAnsi="Times New Roman"/>
          <w:bCs/>
          <w:sz w:val="24"/>
          <w:szCs w:val="24"/>
        </w:rPr>
        <w:t xml:space="preserve">On Oct. 4, 2019, in </w:t>
      </w:r>
      <w:r w:rsidRPr="00BF4DDE">
        <w:rPr>
          <w:rFonts w:ascii="Times New Roman" w:hAnsi="Times New Roman"/>
          <w:bCs/>
          <w:sz w:val="24"/>
          <w:szCs w:val="24"/>
          <w:u w:val="single"/>
        </w:rPr>
        <w:t>Roderick Jolivette v. City of Americus, Georgia</w:t>
      </w:r>
      <w:r w:rsidRPr="00BF4DDE">
        <w:rPr>
          <w:rFonts w:ascii="Times New Roman" w:hAnsi="Times New Roman"/>
          <w:bCs/>
          <w:sz w:val="24"/>
          <w:szCs w:val="24"/>
        </w:rPr>
        <w:t>, the U.S. Court of Appeals for 11</w:t>
      </w:r>
      <w:r w:rsidRPr="00BF4DDE">
        <w:rPr>
          <w:rFonts w:ascii="Times New Roman" w:hAnsi="Times New Roman"/>
          <w:bCs/>
          <w:sz w:val="24"/>
          <w:szCs w:val="24"/>
          <w:vertAlign w:val="superscript"/>
        </w:rPr>
        <w:t>th</w:t>
      </w:r>
      <w:r w:rsidRPr="00BF4DDE">
        <w:rPr>
          <w:rFonts w:ascii="Times New Roman" w:hAnsi="Times New Roman"/>
          <w:bCs/>
          <w:sz w:val="24"/>
          <w:szCs w:val="24"/>
        </w:rPr>
        <w:t xml:space="preserve"> Circuit (Atlanta) held 3 to 0 (unpublished opinion), upheld the U.S. District Court judge’s decision granting summary judgment to the City.  </w:t>
      </w:r>
    </w:p>
    <w:p w14:paraId="268F146F" w14:textId="77777777" w:rsidR="00A06387" w:rsidRPr="00BF4DDE" w:rsidRDefault="00A06387" w:rsidP="00A06387">
      <w:pPr>
        <w:pStyle w:val="NoSpacing"/>
        <w:rPr>
          <w:rFonts w:ascii="Times New Roman" w:hAnsi="Times New Roman"/>
          <w:b/>
          <w:bCs/>
          <w:sz w:val="24"/>
          <w:szCs w:val="24"/>
        </w:rPr>
      </w:pPr>
    </w:p>
    <w:p w14:paraId="5A0FB54C" w14:textId="77777777" w:rsidR="00A06387" w:rsidRPr="00BF4DDE" w:rsidRDefault="00A06387" w:rsidP="00A06387">
      <w:pPr>
        <w:pStyle w:val="NoSpacing"/>
        <w:ind w:left="720"/>
        <w:rPr>
          <w:rFonts w:ascii="Times New Roman" w:hAnsi="Times New Roman"/>
          <w:b/>
          <w:bCs/>
          <w:sz w:val="24"/>
          <w:szCs w:val="24"/>
        </w:rPr>
      </w:pPr>
      <w:r w:rsidRPr="00BF4DDE">
        <w:rPr>
          <w:rFonts w:ascii="Times New Roman" w:hAnsi="Times New Roman"/>
          <w:sz w:val="24"/>
          <w:szCs w:val="24"/>
        </w:rPr>
        <w:t>“</w:t>
      </w:r>
      <w:r w:rsidRPr="00BF4DDE">
        <w:rPr>
          <w:rFonts w:ascii="Times New Roman" w:hAnsi="Times New Roman"/>
          <w:bCs/>
          <w:sz w:val="24"/>
          <w:szCs w:val="24"/>
        </w:rPr>
        <w:t xml:space="preserve">Although Jolivette possessed a bachelor’s degree, as required in the job posting, the City policies weighed equally candidates who possessed an “equivalent combination of education, training, and experience.” Dee Jones, the human resources director for the </w:t>
      </w:r>
      <w:proofErr w:type="gramStart"/>
      <w:r w:rsidRPr="00BF4DDE">
        <w:rPr>
          <w:rFonts w:ascii="Times New Roman" w:hAnsi="Times New Roman"/>
          <w:bCs/>
          <w:sz w:val="24"/>
          <w:szCs w:val="24"/>
        </w:rPr>
        <w:t>City</w:t>
      </w:r>
      <w:proofErr w:type="gramEnd"/>
      <w:r w:rsidRPr="00BF4DDE">
        <w:rPr>
          <w:rFonts w:ascii="Times New Roman" w:hAnsi="Times New Roman"/>
          <w:bCs/>
          <w:sz w:val="24"/>
          <w:szCs w:val="24"/>
        </w:rPr>
        <w:t>, testified that [Roger] Bivins qualified for the position of Fire Chief ‘because of the totality’ of his skills, experience, and education, as provided for in the job posting and ‘our job description.’ Jolivette does not dispute that Bivins possessed skills, experience, and abilities that ‘substitute[d] for a lack of a college degree.’”</w:t>
      </w:r>
    </w:p>
    <w:p w14:paraId="27AB0FAF" w14:textId="46A71A7C" w:rsidR="00A06387" w:rsidRPr="00BF4DDE" w:rsidRDefault="00A06387" w:rsidP="00A06387">
      <w:pPr>
        <w:pStyle w:val="NoSpacing"/>
        <w:ind w:left="720"/>
        <w:rPr>
          <w:rFonts w:ascii="Times New Roman" w:hAnsi="Times New Roman"/>
          <w:bCs/>
          <w:sz w:val="24"/>
          <w:szCs w:val="24"/>
        </w:rPr>
      </w:pPr>
      <w:hyperlink r:id="rId1595" w:history="1">
        <w:r w:rsidRPr="00BF4DDE">
          <w:rPr>
            <w:rStyle w:val="Hyperlink"/>
            <w:rFonts w:ascii="Times New Roman" w:hAnsi="Times New Roman"/>
            <w:bCs/>
            <w:sz w:val="24"/>
            <w:szCs w:val="24"/>
          </w:rPr>
          <w:t>https://cases.justia.com/federal/appellate-courts/ca11/19-10138/19-10138-2019-10-04.pdf?ts=1570197627</w:t>
        </w:r>
      </w:hyperlink>
      <w:bookmarkEnd w:id="330"/>
      <w:r w:rsidRPr="00BF4DDE">
        <w:rPr>
          <w:rFonts w:ascii="Times New Roman" w:hAnsi="Times New Roman"/>
          <w:bCs/>
          <w:sz w:val="24"/>
          <w:szCs w:val="24"/>
        </w:rPr>
        <w:t xml:space="preserve"> </w:t>
      </w:r>
    </w:p>
    <w:p w14:paraId="541F3065" w14:textId="77777777" w:rsidR="00BF4DDE" w:rsidRDefault="00BF4DDE" w:rsidP="00A06387">
      <w:pPr>
        <w:pStyle w:val="NoSpacing"/>
        <w:rPr>
          <w:rFonts w:ascii="Times New Roman" w:hAnsi="Times New Roman"/>
          <w:b/>
          <w:bCs/>
          <w:sz w:val="24"/>
          <w:szCs w:val="24"/>
        </w:rPr>
      </w:pPr>
    </w:p>
    <w:p w14:paraId="5A9015F3" w14:textId="76C0BF90" w:rsidR="00A06387" w:rsidRPr="00BF4DDE" w:rsidRDefault="00A06387" w:rsidP="00A06387">
      <w:pPr>
        <w:pStyle w:val="NoSpacing"/>
        <w:rPr>
          <w:rFonts w:ascii="Times New Roman" w:hAnsi="Times New Roman"/>
          <w:b/>
          <w:bCs/>
          <w:sz w:val="24"/>
          <w:szCs w:val="24"/>
        </w:rPr>
      </w:pPr>
      <w:bookmarkStart w:id="331" w:name="_Hlk40511568"/>
      <w:r w:rsidRPr="00BF4DDE">
        <w:rPr>
          <w:rFonts w:ascii="Times New Roman" w:hAnsi="Times New Roman"/>
          <w:b/>
          <w:bCs/>
          <w:sz w:val="24"/>
          <w:szCs w:val="24"/>
        </w:rPr>
        <w:t>Legal Lessons Learned: Using panel</w:t>
      </w:r>
      <w:r w:rsidR="00363F33">
        <w:rPr>
          <w:rFonts w:ascii="Times New Roman" w:hAnsi="Times New Roman"/>
          <w:b/>
          <w:bCs/>
          <w:sz w:val="24"/>
          <w:szCs w:val="24"/>
        </w:rPr>
        <w:t xml:space="preserve"> of experienced senior officers from other FDs to </w:t>
      </w:r>
      <w:r w:rsidRPr="00BF4DDE">
        <w:rPr>
          <w:rFonts w:ascii="Times New Roman" w:hAnsi="Times New Roman"/>
          <w:b/>
          <w:bCs/>
          <w:sz w:val="24"/>
          <w:szCs w:val="24"/>
        </w:rPr>
        <w:t xml:space="preserve">rate candidates for Fire Chief is a great process. </w:t>
      </w:r>
    </w:p>
    <w:p w14:paraId="64A6F500" w14:textId="77777777" w:rsidR="00A06387" w:rsidRPr="00656FC7" w:rsidRDefault="00A06387" w:rsidP="00A06387">
      <w:pPr>
        <w:pStyle w:val="NoSpacing"/>
        <w:rPr>
          <w:b/>
          <w:bCs/>
          <w:sz w:val="24"/>
          <w:szCs w:val="24"/>
        </w:rPr>
      </w:pPr>
    </w:p>
    <w:bookmarkEnd w:id="331"/>
    <w:p w14:paraId="13AFCE75" w14:textId="77777777" w:rsidR="00A06387" w:rsidRDefault="00A06387" w:rsidP="00A06387">
      <w:pPr>
        <w:pStyle w:val="NoSpacing"/>
        <w:ind w:left="720"/>
        <w:rPr>
          <w:b/>
          <w:bCs/>
          <w:sz w:val="24"/>
          <w:szCs w:val="24"/>
        </w:rPr>
      </w:pPr>
    </w:p>
    <w:p w14:paraId="23581D50" w14:textId="77777777" w:rsidR="00A06387" w:rsidRDefault="00A06387" w:rsidP="00DE0F03">
      <w:pPr>
        <w:rPr>
          <w:rFonts w:ascii="Arial Black" w:hAnsi="Arial Black"/>
          <w:b/>
          <w:sz w:val="24"/>
          <w:szCs w:val="24"/>
        </w:rPr>
      </w:pPr>
    </w:p>
    <w:p w14:paraId="5D9956D6" w14:textId="11E6F5CA" w:rsidR="00853142" w:rsidRDefault="00853142"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7</w:t>
      </w:r>
    </w:p>
    <w:p w14:paraId="045FC81B" w14:textId="77777777" w:rsidR="00853142" w:rsidRDefault="00853142" w:rsidP="00853142">
      <w:pPr>
        <w:pStyle w:val="NoSpacing"/>
        <w:rPr>
          <w:rFonts w:ascii="Arial Black" w:hAnsi="Arial Black"/>
          <w:sz w:val="28"/>
          <w:szCs w:val="28"/>
        </w:rPr>
      </w:pPr>
      <w:bookmarkStart w:id="332" w:name="_Hlk40511653"/>
      <w:r>
        <w:rPr>
          <w:rFonts w:ascii="Arial Black" w:hAnsi="Arial Black"/>
          <w:sz w:val="28"/>
          <w:szCs w:val="28"/>
        </w:rPr>
        <w:t xml:space="preserve">LA: BLACK EMS CAPT. – NITROGLYCERIN WAS FOR MOUTH, NOT CHEST – SUSPENSION / REMEDIATION PROPER - NOT RACE / GENDER </w:t>
      </w:r>
    </w:p>
    <w:p w14:paraId="698C6FE6" w14:textId="77777777" w:rsidR="00853142" w:rsidRDefault="00853142" w:rsidP="00853142">
      <w:pPr>
        <w:pStyle w:val="NoSpacing"/>
      </w:pPr>
    </w:p>
    <w:p w14:paraId="4BADBE52" w14:textId="66241236" w:rsidR="00853142" w:rsidRDefault="00853142" w:rsidP="00853142">
      <w:pPr>
        <w:pStyle w:val="NoSpacing"/>
        <w:rPr>
          <w:rFonts w:ascii="Times New Roman" w:hAnsi="Times New Roman"/>
          <w:sz w:val="24"/>
          <w:szCs w:val="24"/>
        </w:rPr>
      </w:pPr>
      <w:r w:rsidRPr="008F2205">
        <w:rPr>
          <w:rFonts w:ascii="Times New Roman" w:hAnsi="Times New Roman"/>
          <w:sz w:val="24"/>
          <w:szCs w:val="24"/>
        </w:rPr>
        <w:t xml:space="preserve">On Sept. 17, 2019, in </w:t>
      </w:r>
      <w:r w:rsidRPr="008F2205">
        <w:rPr>
          <w:rFonts w:ascii="Times New Roman" w:hAnsi="Times New Roman"/>
          <w:sz w:val="24"/>
          <w:szCs w:val="24"/>
          <w:u w:val="single"/>
        </w:rPr>
        <w:t>Deborah Mills v. City of Shreveport</w:t>
      </w:r>
      <w:r w:rsidRPr="008F2205">
        <w:rPr>
          <w:rFonts w:ascii="Times New Roman" w:hAnsi="Times New Roman"/>
          <w:sz w:val="24"/>
          <w:szCs w:val="24"/>
        </w:rPr>
        <w:t xml:space="preserve">, </w:t>
      </w:r>
      <w:r>
        <w:rPr>
          <w:rFonts w:ascii="Times New Roman" w:hAnsi="Times New Roman"/>
          <w:sz w:val="24"/>
          <w:szCs w:val="24"/>
        </w:rPr>
        <w:t>U.S. District Court Judge Terry A. Doughty, U.S. District Court of Louisiana, Western District</w:t>
      </w:r>
      <w:r w:rsidRPr="00D91FDE">
        <w:rPr>
          <w:rFonts w:ascii="Times New Roman" w:hAnsi="Times New Roman"/>
          <w:sz w:val="24"/>
          <w:szCs w:val="24"/>
        </w:rPr>
        <w:t>, Shreveport Division,</w:t>
      </w:r>
      <w:r>
        <w:rPr>
          <w:b/>
          <w:bCs/>
        </w:rPr>
        <w:t xml:space="preserve"> </w:t>
      </w:r>
      <w:r>
        <w:rPr>
          <w:rFonts w:ascii="Times New Roman" w:hAnsi="Times New Roman"/>
          <w:sz w:val="24"/>
          <w:szCs w:val="24"/>
        </w:rPr>
        <w:t xml:space="preserve">dismissed her claim of “hostile work atmosphere.”  He had previously dismissed her race and gender discrimination claims. </w:t>
      </w:r>
      <w:hyperlink r:id="rId1596" w:history="1">
        <w:r w:rsidRPr="00DB571D">
          <w:rPr>
            <w:rStyle w:val="Hyperlink"/>
            <w:rFonts w:ascii="Times New Roman" w:hAnsi="Times New Roman"/>
            <w:sz w:val="24"/>
            <w:szCs w:val="24"/>
          </w:rPr>
          <w:t>https://scholar.google.com/scholar_case?case=2959279778538737103&amp;hl=en&amp;as_sdt=6,36</w:t>
        </w:r>
      </w:hyperlink>
      <w:r>
        <w:rPr>
          <w:rFonts w:ascii="Times New Roman" w:hAnsi="Times New Roman"/>
          <w:sz w:val="24"/>
          <w:szCs w:val="24"/>
        </w:rPr>
        <w:t xml:space="preserve"> </w:t>
      </w:r>
    </w:p>
    <w:bookmarkEnd w:id="332"/>
    <w:p w14:paraId="636B1B9D" w14:textId="77777777" w:rsidR="00853142" w:rsidRPr="008F2205" w:rsidRDefault="00853142" w:rsidP="00853142">
      <w:pPr>
        <w:pStyle w:val="NoSpacing"/>
        <w:rPr>
          <w:rFonts w:ascii="Times New Roman" w:hAnsi="Times New Roman"/>
          <w:sz w:val="24"/>
          <w:szCs w:val="24"/>
        </w:rPr>
      </w:pPr>
      <w:r>
        <w:rPr>
          <w:rFonts w:ascii="Times New Roman" w:hAnsi="Times New Roman"/>
          <w:sz w:val="24"/>
          <w:szCs w:val="24"/>
        </w:rPr>
        <w:t xml:space="preserve"> </w:t>
      </w:r>
    </w:p>
    <w:p w14:paraId="1F0F4F59" w14:textId="77777777" w:rsidR="00853142" w:rsidRDefault="00853142" w:rsidP="00853142">
      <w:pPr>
        <w:pStyle w:val="NoSpacing"/>
        <w:ind w:left="720"/>
        <w:rPr>
          <w:rFonts w:ascii="Times New Roman" w:hAnsi="Times New Roman"/>
          <w:sz w:val="24"/>
          <w:szCs w:val="24"/>
        </w:rPr>
      </w:pPr>
      <w:r>
        <w:rPr>
          <w:rFonts w:ascii="Times New Roman" w:hAnsi="Times New Roman"/>
          <w:sz w:val="24"/>
          <w:szCs w:val="24"/>
        </w:rPr>
        <w:t>“</w:t>
      </w:r>
      <w:r w:rsidRPr="008F2205">
        <w:rPr>
          <w:rFonts w:ascii="Times New Roman" w:hAnsi="Times New Roman"/>
          <w:sz w:val="24"/>
          <w:szCs w:val="24"/>
        </w:rPr>
        <w:t xml:space="preserve">While Mills may subjectively believe that she has been treated differently and more harshly because of her race and/or gender, neither her subjective belief </w:t>
      </w:r>
      <w:proofErr w:type="gramStart"/>
      <w:r w:rsidRPr="008F2205">
        <w:rPr>
          <w:rFonts w:ascii="Times New Roman" w:hAnsi="Times New Roman"/>
          <w:sz w:val="24"/>
          <w:szCs w:val="24"/>
        </w:rPr>
        <w:t>or</w:t>
      </w:r>
      <w:proofErr w:type="gramEnd"/>
      <w:r w:rsidRPr="008F2205">
        <w:rPr>
          <w:rFonts w:ascii="Times New Roman" w:hAnsi="Times New Roman"/>
          <w:sz w:val="24"/>
          <w:szCs w:val="24"/>
        </w:rPr>
        <w:t xml:space="preserve"> that of others is enough to present this case to a jury. The Court finds that Mills has presented no genuine issue of material fact regarding whether she was subjected to harassment based on race or gender, and therefore she has failed to present a </w:t>
      </w:r>
      <w:r w:rsidRPr="008F2205">
        <w:rPr>
          <w:rFonts w:ascii="Times New Roman" w:hAnsi="Times New Roman"/>
          <w:i/>
          <w:iCs/>
          <w:sz w:val="24"/>
          <w:szCs w:val="24"/>
        </w:rPr>
        <w:t>prima facie</w:t>
      </w:r>
      <w:r w:rsidRPr="008F2205">
        <w:rPr>
          <w:rFonts w:ascii="Times New Roman" w:hAnsi="Times New Roman"/>
          <w:sz w:val="24"/>
          <w:szCs w:val="24"/>
        </w:rPr>
        <w:t xml:space="preserve"> case for a hostile work environment under Title VII. Therefore, the Court GRANTS the City's Motion for Summary Judgment on this remaining claim.</w:t>
      </w:r>
      <w:r>
        <w:rPr>
          <w:rFonts w:ascii="Times New Roman" w:hAnsi="Times New Roman"/>
          <w:sz w:val="24"/>
          <w:szCs w:val="24"/>
        </w:rPr>
        <w:t>”</w:t>
      </w:r>
    </w:p>
    <w:p w14:paraId="2963BFBB" w14:textId="77777777" w:rsidR="00853142" w:rsidRDefault="00853142" w:rsidP="00853142">
      <w:pPr>
        <w:pStyle w:val="NoSpacing"/>
        <w:ind w:left="720"/>
        <w:rPr>
          <w:rFonts w:ascii="Times New Roman" w:hAnsi="Times New Roman"/>
          <w:sz w:val="24"/>
          <w:szCs w:val="24"/>
        </w:rPr>
      </w:pPr>
    </w:p>
    <w:p w14:paraId="72BF3DD3" w14:textId="2228C2EF" w:rsidR="00853142" w:rsidRDefault="00853142" w:rsidP="00853142">
      <w:pPr>
        <w:pStyle w:val="NoSpacing"/>
      </w:pPr>
      <w:r>
        <w:rPr>
          <w:rFonts w:ascii="Times New Roman" w:hAnsi="Times New Roman"/>
          <w:sz w:val="24"/>
          <w:szCs w:val="24"/>
        </w:rPr>
        <w:t xml:space="preserve">On June 21, 2019, her other claims of race and gender discrimination were dismissed: </w:t>
      </w:r>
      <w:hyperlink r:id="rId1597" w:history="1">
        <w:r w:rsidRPr="00062632">
          <w:rPr>
            <w:rStyle w:val="Hyperlink"/>
            <w:rFonts w:ascii="Times New Roman" w:hAnsi="Times New Roman"/>
            <w:sz w:val="24"/>
            <w:szCs w:val="24"/>
          </w:rPr>
          <w:t>https://www.leagle.com/decision/infdco20190624a02</w:t>
        </w:r>
      </w:hyperlink>
      <w:r>
        <w:rPr>
          <w:rFonts w:ascii="Times New Roman" w:hAnsi="Times New Roman"/>
          <w:sz w:val="24"/>
          <w:szCs w:val="24"/>
        </w:rPr>
        <w:t xml:space="preserve">  </w:t>
      </w:r>
    </w:p>
    <w:p w14:paraId="2DB3C023" w14:textId="77777777" w:rsidR="00853142" w:rsidRDefault="00853142" w:rsidP="00853142">
      <w:pPr>
        <w:pStyle w:val="NoSpacing"/>
        <w:rPr>
          <w:rFonts w:ascii="Times New Roman" w:hAnsi="Times New Roman"/>
          <w:sz w:val="24"/>
          <w:szCs w:val="24"/>
        </w:rPr>
      </w:pPr>
    </w:p>
    <w:p w14:paraId="266D51BA" w14:textId="5697C054" w:rsidR="00853142" w:rsidRDefault="00853142" w:rsidP="00853142">
      <w:pPr>
        <w:pStyle w:val="NoSpacing"/>
        <w:rPr>
          <w:rFonts w:ascii="Times New Roman" w:hAnsi="Times New Roman"/>
          <w:b/>
          <w:bCs/>
          <w:sz w:val="24"/>
          <w:szCs w:val="24"/>
        </w:rPr>
      </w:pPr>
      <w:bookmarkStart w:id="333" w:name="_Hlk40511708"/>
      <w:r w:rsidRPr="009871EA">
        <w:rPr>
          <w:rFonts w:ascii="Times New Roman" w:hAnsi="Times New Roman"/>
          <w:b/>
          <w:bCs/>
          <w:sz w:val="24"/>
          <w:szCs w:val="24"/>
        </w:rPr>
        <w:t xml:space="preserve">Legal Lessons Learned:  </w:t>
      </w:r>
      <w:r>
        <w:rPr>
          <w:rFonts w:ascii="Times New Roman" w:hAnsi="Times New Roman"/>
          <w:b/>
          <w:bCs/>
          <w:sz w:val="24"/>
          <w:szCs w:val="24"/>
        </w:rPr>
        <w:t xml:space="preserve">EMS protocols must be followed, and suspension / remediation training is an appropriate corrective action.    </w:t>
      </w:r>
      <w:bookmarkEnd w:id="333"/>
      <w:r>
        <w:rPr>
          <w:rFonts w:ascii="Times New Roman" w:hAnsi="Times New Roman"/>
          <w:b/>
          <w:bCs/>
          <w:sz w:val="24"/>
          <w:szCs w:val="24"/>
        </w:rPr>
        <w:t>[Also filed, Chap. 13, EMS.]</w:t>
      </w:r>
    </w:p>
    <w:p w14:paraId="4AE507B0" w14:textId="77777777" w:rsidR="00853142" w:rsidRDefault="00853142" w:rsidP="00853142">
      <w:pPr>
        <w:pStyle w:val="NoSpacing"/>
        <w:rPr>
          <w:rFonts w:ascii="Times New Roman" w:hAnsi="Times New Roman"/>
          <w:b/>
          <w:bCs/>
          <w:sz w:val="24"/>
          <w:szCs w:val="24"/>
        </w:rPr>
      </w:pPr>
    </w:p>
    <w:p w14:paraId="4AA3AE3A" w14:textId="5F9AEE97" w:rsidR="00853142" w:rsidRDefault="00853142" w:rsidP="00DE0F03">
      <w:pPr>
        <w:rPr>
          <w:rFonts w:ascii="Arial Black" w:hAnsi="Arial Black"/>
          <w:b/>
          <w:sz w:val="24"/>
          <w:szCs w:val="24"/>
        </w:rPr>
      </w:pPr>
    </w:p>
    <w:p w14:paraId="55BFF9FC" w14:textId="37E92331" w:rsidR="00C80464" w:rsidRDefault="00C80464"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6</w:t>
      </w:r>
    </w:p>
    <w:p w14:paraId="01A93CC9" w14:textId="77777777" w:rsidR="00C80464" w:rsidRDefault="00C80464" w:rsidP="00C80464">
      <w:pPr>
        <w:rPr>
          <w:rFonts w:ascii="Arial Black" w:hAnsi="Arial Black"/>
          <w:sz w:val="28"/>
          <w:szCs w:val="28"/>
        </w:rPr>
      </w:pPr>
      <w:r w:rsidRPr="008D7870">
        <w:rPr>
          <w:rFonts w:ascii="Arial Black" w:hAnsi="Arial Black"/>
          <w:sz w:val="28"/>
          <w:szCs w:val="28"/>
        </w:rPr>
        <w:t xml:space="preserve">MO: </w:t>
      </w:r>
      <w:r>
        <w:rPr>
          <w:rFonts w:ascii="Arial Black" w:hAnsi="Arial Black"/>
          <w:sz w:val="28"/>
          <w:szCs w:val="28"/>
        </w:rPr>
        <w:t>BLACK FF SCORED 32</w:t>
      </w:r>
      <w:r w:rsidRPr="00502E41">
        <w:rPr>
          <w:rFonts w:ascii="Arial Black" w:hAnsi="Arial Black"/>
          <w:sz w:val="28"/>
          <w:szCs w:val="28"/>
          <w:vertAlign w:val="superscript"/>
        </w:rPr>
        <w:t>nd</w:t>
      </w:r>
      <w:r>
        <w:rPr>
          <w:rFonts w:ascii="Arial Black" w:hAnsi="Arial Black"/>
          <w:sz w:val="28"/>
          <w:szCs w:val="28"/>
        </w:rPr>
        <w:t xml:space="preserve"> CAPTAIN’S TEST – RESIGNED 1-YR LATER &amp; RETIRED – NOT “CONSTRUCTIVE DISCHARGE” </w:t>
      </w:r>
    </w:p>
    <w:p w14:paraId="548D9C79" w14:textId="3C263712" w:rsidR="00C80464" w:rsidRDefault="00C80464" w:rsidP="00C80464">
      <w:pPr>
        <w:rPr>
          <w:rFonts w:ascii="Times New Roman" w:hAnsi="Times New Roman"/>
          <w:sz w:val="24"/>
          <w:szCs w:val="24"/>
        </w:rPr>
      </w:pPr>
      <w:r w:rsidRPr="008D7870">
        <w:rPr>
          <w:rFonts w:ascii="Times New Roman" w:hAnsi="Times New Roman"/>
          <w:sz w:val="24"/>
          <w:szCs w:val="24"/>
        </w:rPr>
        <w:t xml:space="preserve">On </w:t>
      </w:r>
      <w:bookmarkStart w:id="334" w:name="_Hlk39838078"/>
      <w:r w:rsidRPr="008D7870">
        <w:rPr>
          <w:rFonts w:ascii="Times New Roman" w:hAnsi="Times New Roman"/>
          <w:sz w:val="24"/>
          <w:szCs w:val="24"/>
        </w:rPr>
        <w:t xml:space="preserve">Sept. 6, 2019, in </w:t>
      </w:r>
      <w:r w:rsidRPr="008D7870">
        <w:rPr>
          <w:rFonts w:ascii="Times New Roman" w:hAnsi="Times New Roman"/>
          <w:sz w:val="24"/>
          <w:szCs w:val="24"/>
          <w:u w:val="single"/>
        </w:rPr>
        <w:t xml:space="preserve">Travis </w:t>
      </w:r>
      <w:proofErr w:type="spellStart"/>
      <w:r w:rsidRPr="008D7870">
        <w:rPr>
          <w:rFonts w:ascii="Times New Roman" w:hAnsi="Times New Roman"/>
          <w:sz w:val="24"/>
          <w:szCs w:val="24"/>
          <w:u w:val="single"/>
        </w:rPr>
        <w:t>Yeargans</w:t>
      </w:r>
      <w:proofErr w:type="spellEnd"/>
      <w:r w:rsidRPr="008D7870">
        <w:rPr>
          <w:rFonts w:ascii="Times New Roman" w:hAnsi="Times New Roman"/>
          <w:sz w:val="24"/>
          <w:szCs w:val="24"/>
          <w:u w:val="single"/>
        </w:rPr>
        <w:t xml:space="preserve"> v. City of Kansas City</w:t>
      </w:r>
      <w:r w:rsidRPr="008D7870">
        <w:rPr>
          <w:rFonts w:ascii="Times New Roman" w:hAnsi="Times New Roman"/>
          <w:sz w:val="24"/>
          <w:szCs w:val="24"/>
        </w:rPr>
        <w:t xml:space="preserve">, </w:t>
      </w:r>
      <w:bookmarkEnd w:id="334"/>
      <w:r>
        <w:rPr>
          <w:rFonts w:ascii="Times New Roman" w:hAnsi="Times New Roman"/>
          <w:sz w:val="24"/>
          <w:szCs w:val="24"/>
        </w:rPr>
        <w:t xml:space="preserve">Senior U.S. District Court Judge </w:t>
      </w:r>
      <w:proofErr w:type="spellStart"/>
      <w:r>
        <w:rPr>
          <w:rFonts w:ascii="Times New Roman" w:hAnsi="Times New Roman"/>
          <w:sz w:val="24"/>
          <w:szCs w:val="24"/>
        </w:rPr>
        <w:t>Ortrie</w:t>
      </w:r>
      <w:proofErr w:type="spellEnd"/>
      <w:r>
        <w:rPr>
          <w:rFonts w:ascii="Times New Roman" w:hAnsi="Times New Roman"/>
          <w:sz w:val="24"/>
          <w:szCs w:val="24"/>
        </w:rPr>
        <w:t xml:space="preserve"> D. Smith, U.S. District Court for Western District of Missouri, granted the City’s motion for summary judgment on the “constructive discharge” claim.  The lawsuit alleging other racial discrimination claims may now proceed to trial. </w:t>
      </w:r>
    </w:p>
    <w:p w14:paraId="57B8A34D" w14:textId="77777777" w:rsidR="00C80464" w:rsidRDefault="00C80464" w:rsidP="00C80464">
      <w:pPr>
        <w:rPr>
          <w:rFonts w:ascii="Times New Roman" w:hAnsi="Times New Roman"/>
          <w:sz w:val="24"/>
          <w:szCs w:val="24"/>
        </w:rPr>
      </w:pPr>
      <w:r>
        <w:rPr>
          <w:rFonts w:ascii="Times New Roman" w:hAnsi="Times New Roman"/>
          <w:sz w:val="24"/>
          <w:szCs w:val="24"/>
        </w:rPr>
        <w:tab/>
        <w:t xml:space="preserve">Senior Judge Smith wrote: </w:t>
      </w:r>
    </w:p>
    <w:p w14:paraId="615DA201" w14:textId="77777777" w:rsidR="00C80464" w:rsidRDefault="00C80464" w:rsidP="00C80464">
      <w:pPr>
        <w:pStyle w:val="NormalWeb"/>
        <w:ind w:left="1440"/>
      </w:pPr>
      <w:r>
        <w:t xml:space="preserve">“Moreover, Plaintiff admits he did not discuss his reasons for leaving the KCFD with Defendant, and he did not complain to Defendant that he was the victim of discrimination. </w:t>
      </w:r>
      <w:proofErr w:type="gramStart"/>
      <w:r>
        <w:t>Doc. #</w:t>
      </w:r>
      <w:proofErr w:type="gramEnd"/>
      <w:r>
        <w:t xml:space="preserve">36-5, at 1-2. These admissions are fatal to his constructive discharge claim. </w:t>
      </w:r>
      <w:r>
        <w:rPr>
          <w:i/>
          <w:iCs/>
        </w:rPr>
        <w:t>See, e.g., Anda,</w:t>
      </w:r>
      <w:r>
        <w:t xml:space="preserve"> 517 F.3d at 535; </w:t>
      </w:r>
      <w:r>
        <w:rPr>
          <w:i/>
          <w:iCs/>
        </w:rPr>
        <w:t>Davison,</w:t>
      </w:r>
      <w:r>
        <w:t xml:space="preserve"> 121 F. </w:t>
      </w:r>
      <w:proofErr w:type="spellStart"/>
      <w:r>
        <w:t>App'x</w:t>
      </w:r>
      <w:proofErr w:type="spellEnd"/>
      <w:r>
        <w:t xml:space="preserve"> at 672; </w:t>
      </w:r>
      <w:r>
        <w:rPr>
          <w:i/>
          <w:iCs/>
        </w:rPr>
        <w:t>Williams v. City of Kan. City,</w:t>
      </w:r>
      <w:r>
        <w:t> </w:t>
      </w:r>
      <w:hyperlink r:id="rId1598" w:history="1">
        <w:r>
          <w:rPr>
            <w:rStyle w:val="Hyperlink"/>
          </w:rPr>
          <w:t>223 F.3d 749</w:t>
        </w:r>
      </w:hyperlink>
      <w:r>
        <w:t xml:space="preserve">, 754 (8th Cir. 2000) (finding the plaintiff did not give the city an opportunity to address her concerns, and therefore, the Court could not say resignation was the plaintiff's only plausible alternative); </w:t>
      </w:r>
      <w:r>
        <w:rPr>
          <w:i/>
          <w:iCs/>
        </w:rPr>
        <w:t>Knowles v. Citicorp Mortg., Inc.,</w:t>
      </w:r>
      <w:r>
        <w:t> </w:t>
      </w:r>
      <w:hyperlink r:id="rId1599" w:history="1">
        <w:r>
          <w:rPr>
            <w:rStyle w:val="Hyperlink"/>
          </w:rPr>
          <w:t>142 F.3d 1082</w:t>
        </w:r>
      </w:hyperlink>
      <w:r>
        <w:t>, 1086 (8th Cir. 1998) (citations omitted).</w:t>
      </w:r>
    </w:p>
    <w:p w14:paraId="7D10CBF1" w14:textId="086CE11A" w:rsidR="005A395B" w:rsidRDefault="00C80464" w:rsidP="005A395B">
      <w:pPr>
        <w:pStyle w:val="NormalWeb"/>
        <w:ind w:left="1440"/>
      </w:pPr>
      <w:r>
        <w:t xml:space="preserve">In addition, Plaintiff does not explain why he left his employment in April 2014 when he received his oral examination scores in November 2012, and the promotional list was published in December 2012. Plaintiff does not demonstrate how his working conditions became ‘so intolerable’ during that timeframe. In fact, Plaintiff points to nothing specific that occurred during that timeframe that rendered his working conditions so intolerable. Instead, the passage of more than a year between the alleged discriminatory act(s) and Plaintiff's decision to leave his employment does not support his contention that his working conditions were </w:t>
      </w:r>
      <w:r w:rsidRPr="00EA4108">
        <w:t>so intolerable he felt he had no choice but to quit.”</w:t>
      </w:r>
      <w:r w:rsidR="005A395B">
        <w:t xml:space="preserve"> </w:t>
      </w:r>
      <w:bookmarkStart w:id="335" w:name="_Hlk39838123"/>
      <w:r w:rsidR="005A395B">
        <w:fldChar w:fldCharType="begin"/>
      </w:r>
      <w:r w:rsidR="005A395B">
        <w:instrText xml:space="preserve"> HYPERLINK "https://www.leagle.com/decision/infdco20190909844" </w:instrText>
      </w:r>
      <w:r w:rsidR="005A395B">
        <w:fldChar w:fldCharType="separate"/>
      </w:r>
      <w:r w:rsidR="005A395B" w:rsidRPr="00C712CE">
        <w:rPr>
          <w:rStyle w:val="Hyperlink"/>
        </w:rPr>
        <w:t>https://www.leagle.com/decision/infdco20190909844</w:t>
      </w:r>
      <w:r w:rsidR="005A395B">
        <w:rPr>
          <w:rStyle w:val="Hyperlink"/>
        </w:rPr>
        <w:fldChar w:fldCharType="end"/>
      </w:r>
      <w:r w:rsidR="005A395B">
        <w:t xml:space="preserve"> </w:t>
      </w:r>
    </w:p>
    <w:bookmarkEnd w:id="335"/>
    <w:p w14:paraId="30DF2EBD" w14:textId="77777777" w:rsidR="005A395B" w:rsidRPr="00EA4108" w:rsidRDefault="005A395B" w:rsidP="00C80464">
      <w:pPr>
        <w:pStyle w:val="NormalWeb"/>
        <w:ind w:left="1440"/>
      </w:pPr>
    </w:p>
    <w:p w14:paraId="2536D4AC" w14:textId="64177E4A" w:rsidR="00C80464" w:rsidRPr="00502E41" w:rsidRDefault="00C80464" w:rsidP="00C80464">
      <w:pPr>
        <w:pStyle w:val="Heading1"/>
        <w:rPr>
          <w:sz w:val="24"/>
          <w:szCs w:val="24"/>
        </w:rPr>
      </w:pPr>
      <w:r w:rsidRPr="00502E41">
        <w:rPr>
          <w:sz w:val="24"/>
          <w:szCs w:val="24"/>
        </w:rPr>
        <w:t xml:space="preserve">Legal Lessons Learned: The promotion process used </w:t>
      </w:r>
      <w:r>
        <w:rPr>
          <w:sz w:val="24"/>
          <w:szCs w:val="24"/>
        </w:rPr>
        <w:t xml:space="preserve">by Kansas City </w:t>
      </w:r>
      <w:r w:rsidRPr="00502E41">
        <w:rPr>
          <w:sz w:val="24"/>
          <w:szCs w:val="24"/>
        </w:rPr>
        <w:t>was well constructed</w:t>
      </w:r>
      <w:r>
        <w:rPr>
          <w:sz w:val="24"/>
          <w:szCs w:val="24"/>
        </w:rPr>
        <w:t xml:space="preserve"> and well documented</w:t>
      </w:r>
      <w:r w:rsidRPr="00502E41">
        <w:rPr>
          <w:sz w:val="24"/>
          <w:szCs w:val="24"/>
        </w:rPr>
        <w:t>.  If a firefighter believes that a promotion process was improperly conducted, or racially discriminatory, promptly file an internal complaint so the matter can be investigated</w:t>
      </w:r>
      <w:r>
        <w:rPr>
          <w:sz w:val="24"/>
          <w:szCs w:val="24"/>
        </w:rPr>
        <w:t xml:space="preserve">, or file an </w:t>
      </w:r>
      <w:r w:rsidRPr="00502E41">
        <w:rPr>
          <w:sz w:val="24"/>
          <w:szCs w:val="24"/>
        </w:rPr>
        <w:t xml:space="preserve">EEOC charge: </w:t>
      </w:r>
      <w:r>
        <w:rPr>
          <w:sz w:val="24"/>
          <w:szCs w:val="24"/>
        </w:rPr>
        <w:t>“</w:t>
      </w:r>
      <w:r w:rsidRPr="00502E41">
        <w:rPr>
          <w:sz w:val="24"/>
          <w:szCs w:val="24"/>
        </w:rPr>
        <w:t xml:space="preserve">Time Limits </w:t>
      </w:r>
      <w:proofErr w:type="gramStart"/>
      <w:r w:rsidRPr="00502E41">
        <w:rPr>
          <w:sz w:val="24"/>
          <w:szCs w:val="24"/>
        </w:rPr>
        <w:t>For</w:t>
      </w:r>
      <w:proofErr w:type="gramEnd"/>
      <w:r w:rsidRPr="00502E41">
        <w:rPr>
          <w:sz w:val="24"/>
          <w:szCs w:val="24"/>
        </w:rPr>
        <w:t xml:space="preserve"> Filing </w:t>
      </w:r>
      <w:proofErr w:type="gramStart"/>
      <w:r w:rsidRPr="00502E41">
        <w:rPr>
          <w:sz w:val="24"/>
          <w:szCs w:val="24"/>
        </w:rPr>
        <w:t>A</w:t>
      </w:r>
      <w:proofErr w:type="gramEnd"/>
      <w:r w:rsidRPr="00502E41">
        <w:rPr>
          <w:sz w:val="24"/>
          <w:szCs w:val="24"/>
        </w:rPr>
        <w:t xml:space="preserve"> Charge</w:t>
      </w:r>
      <w:r>
        <w:rPr>
          <w:sz w:val="24"/>
          <w:szCs w:val="24"/>
        </w:rPr>
        <w:t xml:space="preserve">: </w:t>
      </w:r>
      <w:r w:rsidRPr="00502E41">
        <w:rPr>
          <w:sz w:val="24"/>
          <w:szCs w:val="24"/>
        </w:rPr>
        <w:t xml:space="preserve">The anti-discrimination laws give you a limited amount of time to file a charge of discrimination. In general, you need to file a charge within 180 calendar days from the day the discrimination took place. The </w:t>
      </w:r>
      <w:proofErr w:type="gramStart"/>
      <w:r w:rsidRPr="00502E41">
        <w:rPr>
          <w:sz w:val="24"/>
          <w:szCs w:val="24"/>
        </w:rPr>
        <w:t>180</w:t>
      </w:r>
      <w:r w:rsidR="00BF4DDE">
        <w:rPr>
          <w:sz w:val="24"/>
          <w:szCs w:val="24"/>
        </w:rPr>
        <w:t xml:space="preserve"> </w:t>
      </w:r>
      <w:r w:rsidRPr="00502E41">
        <w:rPr>
          <w:sz w:val="24"/>
          <w:szCs w:val="24"/>
        </w:rPr>
        <w:t>calendar</w:t>
      </w:r>
      <w:proofErr w:type="gramEnd"/>
      <w:r>
        <w:rPr>
          <w:sz w:val="24"/>
          <w:szCs w:val="24"/>
        </w:rPr>
        <w:t xml:space="preserve"> </w:t>
      </w:r>
      <w:r w:rsidRPr="00502E41">
        <w:rPr>
          <w:sz w:val="24"/>
          <w:szCs w:val="24"/>
        </w:rPr>
        <w:t xml:space="preserve">day filing deadline is extended to 300 calendar days if a state or local agency enforces a law that prohibits employment discrimination on the same basis. </w:t>
      </w:r>
      <w:hyperlink r:id="rId1600" w:history="1">
        <w:r w:rsidRPr="00C712CE">
          <w:rPr>
            <w:rStyle w:val="Hyperlink"/>
            <w:sz w:val="24"/>
            <w:szCs w:val="24"/>
          </w:rPr>
          <w:t>https://www.eeoc.gov/employees/timeliness.cfm</w:t>
        </w:r>
      </w:hyperlink>
      <w:r>
        <w:rPr>
          <w:sz w:val="24"/>
          <w:szCs w:val="24"/>
        </w:rPr>
        <w:t xml:space="preserve"> </w:t>
      </w:r>
    </w:p>
    <w:p w14:paraId="033B93A8" w14:textId="77777777" w:rsidR="00853142" w:rsidRDefault="00853142" w:rsidP="00DE0F03">
      <w:pPr>
        <w:rPr>
          <w:rFonts w:ascii="Arial Black" w:hAnsi="Arial Black"/>
          <w:b/>
          <w:sz w:val="24"/>
          <w:szCs w:val="24"/>
        </w:rPr>
      </w:pPr>
    </w:p>
    <w:p w14:paraId="480E87CF" w14:textId="77777777" w:rsidR="00853142" w:rsidRDefault="00853142" w:rsidP="00DE0F03">
      <w:pPr>
        <w:rPr>
          <w:rFonts w:ascii="Arial Black" w:hAnsi="Arial Black"/>
          <w:b/>
          <w:sz w:val="24"/>
          <w:szCs w:val="24"/>
        </w:rPr>
      </w:pPr>
    </w:p>
    <w:p w14:paraId="24CA077B" w14:textId="0C23E665" w:rsidR="009F0F05" w:rsidRDefault="009F0F05" w:rsidP="00DE0F03">
      <w:pPr>
        <w:rPr>
          <w:rFonts w:ascii="Arial Black" w:hAnsi="Arial Black"/>
          <w:b/>
          <w:sz w:val="24"/>
          <w:szCs w:val="24"/>
        </w:rPr>
      </w:pPr>
      <w:r>
        <w:rPr>
          <w:rFonts w:ascii="Arial Black" w:hAnsi="Arial Black"/>
          <w:b/>
          <w:sz w:val="24"/>
          <w:szCs w:val="24"/>
        </w:rPr>
        <w:t>8-</w:t>
      </w:r>
      <w:r w:rsidR="005A395B">
        <w:rPr>
          <w:rFonts w:ascii="Arial Black" w:hAnsi="Arial Black"/>
          <w:b/>
          <w:sz w:val="24"/>
          <w:szCs w:val="24"/>
        </w:rPr>
        <w:t>5</w:t>
      </w:r>
    </w:p>
    <w:p w14:paraId="429CDB91" w14:textId="77777777" w:rsidR="009F0F05" w:rsidRDefault="009F0F05" w:rsidP="009F0F05">
      <w:pPr>
        <w:rPr>
          <w:rFonts w:ascii="Arial Black" w:hAnsi="Arial Black"/>
          <w:sz w:val="28"/>
          <w:szCs w:val="28"/>
        </w:rPr>
      </w:pPr>
      <w:bookmarkStart w:id="336" w:name="_Hlk39765165"/>
      <w:r>
        <w:rPr>
          <w:rFonts w:ascii="Arial Black" w:hAnsi="Arial Black"/>
          <w:sz w:val="28"/>
          <w:szCs w:val="28"/>
        </w:rPr>
        <w:t>U.S. SUP. CT:  MURDER DEFENDANT GETS NEW TRIAL (HIS 7</w:t>
      </w:r>
      <w:r w:rsidRPr="008C483C">
        <w:rPr>
          <w:rFonts w:ascii="Arial Black" w:hAnsi="Arial Black"/>
          <w:sz w:val="28"/>
          <w:szCs w:val="28"/>
          <w:vertAlign w:val="superscript"/>
        </w:rPr>
        <w:t>TH</w:t>
      </w:r>
      <w:r>
        <w:rPr>
          <w:rFonts w:ascii="Arial Black" w:hAnsi="Arial Black"/>
          <w:sz w:val="28"/>
          <w:szCs w:val="28"/>
        </w:rPr>
        <w:t xml:space="preserve">) - PROSECUTOR REPEATEDLY REMOVED BLACKS FROM JURY </w:t>
      </w:r>
    </w:p>
    <w:p w14:paraId="16A00F70" w14:textId="424D72BA" w:rsidR="009F0F05" w:rsidRPr="00AB528C" w:rsidRDefault="009F0F05" w:rsidP="009F0F05">
      <w:pPr>
        <w:rPr>
          <w:rFonts w:ascii="Times New Roman" w:hAnsi="Times New Roman"/>
          <w:sz w:val="24"/>
          <w:szCs w:val="24"/>
        </w:rPr>
      </w:pPr>
      <w:bookmarkStart w:id="337" w:name="_Hlk39837497"/>
      <w:r w:rsidRPr="00AB528C">
        <w:rPr>
          <w:rFonts w:ascii="Times New Roman" w:hAnsi="Times New Roman"/>
          <w:sz w:val="24"/>
          <w:szCs w:val="24"/>
        </w:rPr>
        <w:t xml:space="preserve">On June 21, 2019, in </w:t>
      </w:r>
      <w:r w:rsidRPr="00AB528C">
        <w:rPr>
          <w:rFonts w:ascii="Times New Roman" w:hAnsi="Times New Roman"/>
          <w:sz w:val="24"/>
          <w:szCs w:val="24"/>
          <w:u w:val="single"/>
        </w:rPr>
        <w:t>Flowers v. Mississippi</w:t>
      </w:r>
      <w:bookmarkEnd w:id="337"/>
      <w:r w:rsidRPr="00AB528C">
        <w:rPr>
          <w:rFonts w:ascii="Times New Roman" w:hAnsi="Times New Roman"/>
          <w:sz w:val="24"/>
          <w:szCs w:val="24"/>
        </w:rPr>
        <w:t xml:space="preserve">, the U.S. Supreme Court (7 to 2), </w:t>
      </w:r>
      <w:r>
        <w:rPr>
          <w:rFonts w:ascii="Times New Roman" w:hAnsi="Times New Roman"/>
          <w:sz w:val="24"/>
          <w:szCs w:val="24"/>
        </w:rPr>
        <w:t xml:space="preserve">overturned the defendant’s </w:t>
      </w:r>
      <w:r w:rsidRPr="00AB528C">
        <w:rPr>
          <w:rFonts w:ascii="Times New Roman" w:hAnsi="Times New Roman"/>
          <w:sz w:val="24"/>
          <w:szCs w:val="24"/>
        </w:rPr>
        <w:t>conviction of murdering four people</w:t>
      </w:r>
      <w:r>
        <w:rPr>
          <w:rFonts w:ascii="Times New Roman" w:hAnsi="Times New Roman"/>
          <w:sz w:val="24"/>
          <w:szCs w:val="24"/>
        </w:rPr>
        <w:t>, and remand the case for re-trial (he has previously been tried six times for the murders).</w:t>
      </w:r>
      <w:r w:rsidRPr="00AB528C">
        <w:rPr>
          <w:rFonts w:ascii="Times New Roman" w:hAnsi="Times New Roman"/>
          <w:sz w:val="24"/>
          <w:szCs w:val="24"/>
        </w:rPr>
        <w:t xml:space="preserve"> </w:t>
      </w:r>
    </w:p>
    <w:p w14:paraId="157CF34A" w14:textId="77777777" w:rsidR="009F0F05" w:rsidRPr="00D3075E" w:rsidRDefault="009F0F05" w:rsidP="009F0F05">
      <w:pPr>
        <w:rPr>
          <w:rFonts w:ascii="Times New Roman" w:hAnsi="Times New Roman"/>
          <w:sz w:val="24"/>
          <w:szCs w:val="24"/>
        </w:rPr>
      </w:pPr>
      <w:r>
        <w:rPr>
          <w:sz w:val="27"/>
          <w:szCs w:val="27"/>
        </w:rPr>
        <w:tab/>
      </w:r>
      <w:r w:rsidRPr="00D3075E">
        <w:rPr>
          <w:rFonts w:ascii="Times New Roman" w:hAnsi="Times New Roman"/>
          <w:sz w:val="24"/>
          <w:szCs w:val="24"/>
        </w:rPr>
        <w:t xml:space="preserve">Justice </w:t>
      </w:r>
      <w:r>
        <w:rPr>
          <w:rFonts w:ascii="Times New Roman" w:hAnsi="Times New Roman"/>
          <w:sz w:val="24"/>
          <w:szCs w:val="24"/>
        </w:rPr>
        <w:t xml:space="preserve">Brett </w:t>
      </w:r>
      <w:r w:rsidRPr="00D3075E">
        <w:rPr>
          <w:rFonts w:ascii="Times New Roman" w:hAnsi="Times New Roman"/>
          <w:sz w:val="24"/>
          <w:szCs w:val="24"/>
        </w:rPr>
        <w:t xml:space="preserve">Kavanaugh wrote majority opinion: </w:t>
      </w:r>
    </w:p>
    <w:p w14:paraId="4DC68B48" w14:textId="77777777" w:rsidR="00DB482B" w:rsidRPr="00AB528C" w:rsidRDefault="009F0F05" w:rsidP="00DB482B">
      <w:pPr>
        <w:ind w:left="720"/>
        <w:rPr>
          <w:rFonts w:ascii="Times New Roman" w:hAnsi="Times New Roman"/>
          <w:sz w:val="24"/>
          <w:szCs w:val="24"/>
        </w:rPr>
      </w:pPr>
      <w:r>
        <w:rPr>
          <w:sz w:val="27"/>
          <w:szCs w:val="27"/>
        </w:rPr>
        <w:t>“</w:t>
      </w:r>
      <w:r w:rsidRPr="00D3075E">
        <w:rPr>
          <w:rFonts w:ascii="Times New Roman" w:hAnsi="Times New Roman"/>
          <w:sz w:val="24"/>
          <w:szCs w:val="24"/>
        </w:rPr>
        <w:t>Four critical facts, taken together, require reversal. First, in the six trials combined, the State employed its peremptory challenges to strike 41 of the 42 black prospective jurors that it could have struck</w:t>
      </w:r>
      <w:proofErr w:type="gramStart"/>
      <w:r w:rsidRPr="00D3075E">
        <w:rPr>
          <w:rFonts w:ascii="Times New Roman" w:hAnsi="Times New Roman"/>
          <w:sz w:val="24"/>
          <w:szCs w:val="24"/>
        </w:rPr>
        <w:t>—a statistic</w:t>
      </w:r>
      <w:proofErr w:type="gramEnd"/>
      <w:r w:rsidRPr="00D3075E">
        <w:rPr>
          <w:rFonts w:ascii="Times New Roman" w:hAnsi="Times New Roman"/>
          <w:sz w:val="24"/>
          <w:szCs w:val="24"/>
        </w:rPr>
        <w:t xml:space="preserve"> that the State acknowledged at oral argument in this Court. Tr. of Oral Arg. 32. Second, in the most recent trial, the sixth trial, the State exercised peremptory strikes against five of the six black prospective jurors. Third, at the sixth trial, in an apparent effort to find pretextual reasons to strike black prospective jurors, the State engaged in dramatically disparate questioning of black and white prospective</w:t>
      </w:r>
      <w:r>
        <w:rPr>
          <w:rFonts w:ascii="Times New Roman" w:hAnsi="Times New Roman"/>
          <w:sz w:val="24"/>
          <w:szCs w:val="24"/>
        </w:rPr>
        <w:t xml:space="preserve"> </w:t>
      </w:r>
      <w:r w:rsidRPr="00D3075E">
        <w:rPr>
          <w:rFonts w:ascii="Times New Roman" w:hAnsi="Times New Roman"/>
          <w:sz w:val="24"/>
          <w:szCs w:val="24"/>
        </w:rPr>
        <w:t xml:space="preserve">jurors. Fourth, the State then struck at least one black prospective juror, Carolyn Wright, who was similarly situated to white prospective jurors who were not struck by the </w:t>
      </w:r>
      <w:proofErr w:type="gramStart"/>
      <w:r w:rsidRPr="00D3075E">
        <w:rPr>
          <w:rFonts w:ascii="Times New Roman" w:hAnsi="Times New Roman"/>
          <w:sz w:val="24"/>
          <w:szCs w:val="24"/>
        </w:rPr>
        <w:t>State</w:t>
      </w:r>
      <w:r>
        <w:rPr>
          <w:rFonts w:ascii="Times New Roman" w:hAnsi="Times New Roman"/>
          <w:sz w:val="24"/>
          <w:szCs w:val="24"/>
        </w:rPr>
        <w:t>.”</w:t>
      </w:r>
      <w:proofErr w:type="gramEnd"/>
      <w:r w:rsidR="00DB482B">
        <w:rPr>
          <w:rFonts w:ascii="Times New Roman" w:hAnsi="Times New Roman"/>
          <w:sz w:val="24"/>
          <w:szCs w:val="24"/>
        </w:rPr>
        <w:t xml:space="preserve"> </w:t>
      </w:r>
      <w:bookmarkStart w:id="338" w:name="_Hlk39837474"/>
      <w:r w:rsidR="00DC51D4">
        <w:fldChar w:fldCharType="begin"/>
      </w:r>
      <w:r w:rsidR="00DC51D4">
        <w:instrText xml:space="preserve"> HYPERLINK "https://www.supremecourt.gov/opinions/18pdf/17-9572_k536.pdf" </w:instrText>
      </w:r>
      <w:r w:rsidR="00DC51D4">
        <w:fldChar w:fldCharType="separate"/>
      </w:r>
      <w:r w:rsidR="00DB482B" w:rsidRPr="00AB528C">
        <w:rPr>
          <w:rStyle w:val="Hyperlink"/>
          <w:rFonts w:ascii="Times New Roman" w:hAnsi="Times New Roman"/>
          <w:sz w:val="24"/>
          <w:szCs w:val="24"/>
        </w:rPr>
        <w:t>https://www.supremecourt.gov/opinions/18pdf/17-9572_k536.pdf</w:t>
      </w:r>
      <w:r w:rsidR="00DC51D4">
        <w:rPr>
          <w:rStyle w:val="Hyperlink"/>
          <w:rFonts w:ascii="Times New Roman" w:hAnsi="Times New Roman"/>
          <w:sz w:val="24"/>
          <w:szCs w:val="24"/>
        </w:rPr>
        <w:fldChar w:fldCharType="end"/>
      </w:r>
      <w:r w:rsidR="00DB482B" w:rsidRPr="00AB528C">
        <w:rPr>
          <w:rFonts w:ascii="Times New Roman" w:hAnsi="Times New Roman"/>
          <w:sz w:val="24"/>
          <w:szCs w:val="24"/>
        </w:rPr>
        <w:t xml:space="preserve"> </w:t>
      </w:r>
    </w:p>
    <w:bookmarkEnd w:id="336"/>
    <w:bookmarkEnd w:id="338"/>
    <w:p w14:paraId="758E08D0" w14:textId="54DA30C8" w:rsidR="009F0F05" w:rsidRDefault="009F0F05" w:rsidP="009F0F05">
      <w:pPr>
        <w:ind w:left="1440"/>
        <w:rPr>
          <w:rFonts w:ascii="Times New Roman" w:hAnsi="Times New Roman"/>
          <w:sz w:val="24"/>
          <w:szCs w:val="24"/>
        </w:rPr>
      </w:pPr>
    </w:p>
    <w:p w14:paraId="482C96BE" w14:textId="77777777" w:rsidR="009F0F05" w:rsidRPr="00961F1A" w:rsidRDefault="009F0F05" w:rsidP="009F0F05">
      <w:pPr>
        <w:rPr>
          <w:rFonts w:ascii="Times New Roman" w:hAnsi="Times New Roman"/>
          <w:b/>
          <w:bCs/>
          <w:sz w:val="24"/>
          <w:szCs w:val="24"/>
        </w:rPr>
      </w:pPr>
      <w:r w:rsidRPr="00961F1A">
        <w:rPr>
          <w:rFonts w:ascii="Times New Roman" w:hAnsi="Times New Roman"/>
          <w:b/>
          <w:bCs/>
          <w:sz w:val="24"/>
          <w:szCs w:val="24"/>
        </w:rPr>
        <w:t xml:space="preserve">Legal Lessons Learned: </w:t>
      </w:r>
      <w:r>
        <w:rPr>
          <w:rFonts w:ascii="Times New Roman" w:hAnsi="Times New Roman"/>
          <w:b/>
          <w:bCs/>
          <w:sz w:val="24"/>
          <w:szCs w:val="24"/>
        </w:rPr>
        <w:t xml:space="preserve">The U.S. Supreme Court will not allow prosecutors to use peremptory strikes to unfairly exclude black jurors.  </w:t>
      </w:r>
    </w:p>
    <w:p w14:paraId="32778034" w14:textId="77777777" w:rsidR="009F0F05" w:rsidRDefault="009F0F05" w:rsidP="00DE0F03">
      <w:pPr>
        <w:rPr>
          <w:rFonts w:ascii="Arial Black" w:hAnsi="Arial Black"/>
          <w:b/>
          <w:sz w:val="24"/>
          <w:szCs w:val="24"/>
        </w:rPr>
      </w:pPr>
    </w:p>
    <w:p w14:paraId="0D1E589E" w14:textId="05EECF7E" w:rsidR="00DE0F03" w:rsidRDefault="00DE0F03" w:rsidP="00DE0F03">
      <w:pPr>
        <w:rPr>
          <w:color w:val="4A4A4A"/>
          <w:sz w:val="24"/>
          <w:szCs w:val="24"/>
          <w:lang w:val="en"/>
        </w:rPr>
      </w:pPr>
      <w:r>
        <w:rPr>
          <w:rFonts w:ascii="Arial Black" w:hAnsi="Arial Black"/>
          <w:b/>
          <w:sz w:val="24"/>
          <w:szCs w:val="24"/>
        </w:rPr>
        <w:t>8</w:t>
      </w:r>
      <w:r w:rsidRPr="00EF1133">
        <w:rPr>
          <w:rFonts w:ascii="Arial Black" w:hAnsi="Arial Black"/>
          <w:b/>
          <w:sz w:val="24"/>
          <w:szCs w:val="24"/>
        </w:rPr>
        <w:t>-</w:t>
      </w:r>
      <w:r w:rsidR="005A395B">
        <w:rPr>
          <w:rFonts w:ascii="Arial Black" w:hAnsi="Arial Black"/>
          <w:b/>
          <w:sz w:val="24"/>
          <w:szCs w:val="24"/>
        </w:rPr>
        <w:t>4</w:t>
      </w:r>
    </w:p>
    <w:p w14:paraId="43B34F40" w14:textId="7FD8A37E" w:rsidR="00F326E5" w:rsidRDefault="00F326E5" w:rsidP="00F326E5">
      <w:pPr>
        <w:pStyle w:val="NoSpacing"/>
        <w:rPr>
          <w:rFonts w:ascii="Arial Black" w:hAnsi="Arial Black"/>
          <w:sz w:val="28"/>
          <w:szCs w:val="28"/>
        </w:rPr>
      </w:pPr>
      <w:bookmarkStart w:id="339" w:name="_Hlk7344503"/>
      <w:r w:rsidRPr="00455CC9">
        <w:rPr>
          <w:rFonts w:ascii="Arial Black" w:hAnsi="Arial Black"/>
          <w:sz w:val="28"/>
          <w:szCs w:val="28"/>
        </w:rPr>
        <w:t xml:space="preserve">FL: </w:t>
      </w:r>
      <w:r>
        <w:rPr>
          <w:rFonts w:ascii="Arial Black" w:hAnsi="Arial Black"/>
          <w:sz w:val="28"/>
          <w:szCs w:val="28"/>
        </w:rPr>
        <w:t xml:space="preserve">DOCTOR COMPLAINED ABOUT MEDICAL CLEARANCE OF FF – NOT </w:t>
      </w:r>
      <w:r w:rsidR="0015021B">
        <w:rPr>
          <w:rFonts w:ascii="Arial Black" w:hAnsi="Arial Black"/>
          <w:sz w:val="28"/>
          <w:szCs w:val="28"/>
        </w:rPr>
        <w:t xml:space="preserve">PROTECTED </w:t>
      </w:r>
      <w:r>
        <w:rPr>
          <w:rFonts w:ascii="Arial Black" w:hAnsi="Arial Black"/>
          <w:sz w:val="28"/>
          <w:szCs w:val="28"/>
        </w:rPr>
        <w:t>FIRST AMENDMENT SPEECH</w:t>
      </w:r>
    </w:p>
    <w:p w14:paraId="50F41973" w14:textId="77777777" w:rsidR="00F326E5" w:rsidRPr="00BF4DDE" w:rsidRDefault="00F326E5" w:rsidP="00F326E5">
      <w:pPr>
        <w:pStyle w:val="NoSpacing"/>
        <w:rPr>
          <w:rFonts w:ascii="Times New Roman" w:hAnsi="Times New Roman"/>
          <w:sz w:val="24"/>
          <w:szCs w:val="24"/>
        </w:rPr>
      </w:pPr>
      <w:r w:rsidRPr="00BF4DDE">
        <w:rPr>
          <w:rFonts w:ascii="Times New Roman" w:hAnsi="Times New Roman"/>
          <w:sz w:val="24"/>
          <w:szCs w:val="24"/>
        </w:rPr>
        <w:t xml:space="preserve">On March 1, 2019, in </w:t>
      </w:r>
      <w:r w:rsidRPr="00BF4DDE">
        <w:rPr>
          <w:rFonts w:ascii="Times New Roman" w:hAnsi="Times New Roman"/>
          <w:sz w:val="24"/>
          <w:szCs w:val="24"/>
          <w:u w:val="single"/>
        </w:rPr>
        <w:t>Nancy King v. Board of County Commissioners, Polk County</w:t>
      </w:r>
      <w:r w:rsidRPr="00BF4DDE">
        <w:rPr>
          <w:rFonts w:ascii="Times New Roman" w:hAnsi="Times New Roman"/>
          <w:sz w:val="24"/>
          <w:szCs w:val="24"/>
        </w:rPr>
        <w:t>, the U.S. Court of Appeals for the 11</w:t>
      </w:r>
      <w:r w:rsidRPr="00BF4DDE">
        <w:rPr>
          <w:rFonts w:ascii="Times New Roman" w:hAnsi="Times New Roman"/>
          <w:sz w:val="24"/>
          <w:szCs w:val="24"/>
          <w:vertAlign w:val="superscript"/>
        </w:rPr>
        <w:t>th</w:t>
      </w:r>
      <w:r w:rsidRPr="00BF4DDE">
        <w:rPr>
          <w:rFonts w:ascii="Times New Roman" w:hAnsi="Times New Roman"/>
          <w:sz w:val="24"/>
          <w:szCs w:val="24"/>
        </w:rPr>
        <w:t xml:space="preserve"> Circuit (Atlanta) held (3 to 0) that U.S. District Court judge properly granted summary judgment to Polk County.  “She did not engage in speech protected by the First Amendment, however, because she spoke as an employee and not as a private citizen.”</w:t>
      </w:r>
    </w:p>
    <w:p w14:paraId="3F812A64" w14:textId="77777777" w:rsidR="00F326E5" w:rsidRPr="00BF4DDE" w:rsidRDefault="00F326E5" w:rsidP="00F326E5">
      <w:pPr>
        <w:rPr>
          <w:rFonts w:ascii="Times New Roman" w:hAnsi="Times New Roman"/>
          <w:b/>
          <w:sz w:val="24"/>
          <w:szCs w:val="24"/>
        </w:rPr>
      </w:pPr>
      <w:hyperlink r:id="rId1601" w:history="1">
        <w:r w:rsidRPr="00BF4DDE">
          <w:rPr>
            <w:rStyle w:val="Hyperlink"/>
            <w:rFonts w:ascii="Times New Roman" w:hAnsi="Times New Roman"/>
            <w:sz w:val="24"/>
            <w:szCs w:val="24"/>
          </w:rPr>
          <w:t>https://law.justia.com/cases/federal/appellate-courts/ca11/18-10631/18-10631-2019-03-01.html</w:t>
        </w:r>
      </w:hyperlink>
      <w:r w:rsidRPr="00BF4DDE">
        <w:rPr>
          <w:rFonts w:ascii="Times New Roman" w:hAnsi="Times New Roman"/>
          <w:b/>
          <w:sz w:val="24"/>
          <w:szCs w:val="24"/>
        </w:rPr>
        <w:t xml:space="preserve"> </w:t>
      </w:r>
    </w:p>
    <w:p w14:paraId="59442175" w14:textId="77777777" w:rsidR="00F326E5" w:rsidRPr="00BF4DDE" w:rsidRDefault="00F326E5" w:rsidP="00F326E5">
      <w:pPr>
        <w:pStyle w:val="NoSpacing"/>
        <w:rPr>
          <w:rFonts w:ascii="Times New Roman" w:hAnsi="Times New Roman"/>
          <w:b/>
          <w:sz w:val="24"/>
          <w:szCs w:val="24"/>
        </w:rPr>
      </w:pPr>
      <w:r w:rsidRPr="00BF4DDE">
        <w:rPr>
          <w:rFonts w:ascii="Times New Roman" w:hAnsi="Times New Roman"/>
          <w:b/>
          <w:sz w:val="24"/>
          <w:szCs w:val="24"/>
        </w:rPr>
        <w:t xml:space="preserve">Legal Lessons Learned:  Public employees have limited First Amendment rights; reverse discrimination not proven.  </w:t>
      </w:r>
    </w:p>
    <w:p w14:paraId="6CAA2169" w14:textId="77777777" w:rsidR="00C17A9D" w:rsidRDefault="00C17A9D" w:rsidP="00F326E5">
      <w:pPr>
        <w:pStyle w:val="NoSpacing"/>
        <w:rPr>
          <w:bCs/>
          <w:sz w:val="24"/>
          <w:szCs w:val="24"/>
        </w:rPr>
      </w:pPr>
    </w:p>
    <w:p w14:paraId="7B539013" w14:textId="77777777" w:rsidR="00F326E5" w:rsidRPr="00C56DAA" w:rsidRDefault="00F326E5" w:rsidP="00F326E5">
      <w:pPr>
        <w:pStyle w:val="NoSpacing"/>
        <w:rPr>
          <w:sz w:val="24"/>
          <w:szCs w:val="24"/>
        </w:rPr>
      </w:pPr>
    </w:p>
    <w:bookmarkEnd w:id="339"/>
    <w:p w14:paraId="102240D8" w14:textId="77777777" w:rsidR="00DE0F03" w:rsidRDefault="00DE0F03" w:rsidP="00DE0F03">
      <w:pPr>
        <w:rPr>
          <w:rFonts w:ascii="Arial Black" w:hAnsi="Arial Black"/>
          <w:b/>
          <w:sz w:val="24"/>
          <w:szCs w:val="24"/>
        </w:rPr>
      </w:pPr>
    </w:p>
    <w:p w14:paraId="2BFF8357" w14:textId="347D2420" w:rsidR="00DE0F03" w:rsidRDefault="00DE0F03" w:rsidP="00DE0F03">
      <w:pPr>
        <w:rPr>
          <w:color w:val="4A4A4A"/>
          <w:sz w:val="24"/>
          <w:szCs w:val="24"/>
          <w:lang w:val="en"/>
        </w:rPr>
      </w:pPr>
      <w:r>
        <w:rPr>
          <w:rFonts w:ascii="Arial Black" w:hAnsi="Arial Black"/>
          <w:b/>
          <w:sz w:val="24"/>
          <w:szCs w:val="24"/>
        </w:rPr>
        <w:t>8</w:t>
      </w:r>
      <w:r w:rsidRPr="00EF1133">
        <w:rPr>
          <w:rFonts w:ascii="Arial Black" w:hAnsi="Arial Black"/>
          <w:b/>
          <w:sz w:val="24"/>
          <w:szCs w:val="24"/>
        </w:rPr>
        <w:t>-</w:t>
      </w:r>
      <w:r w:rsidR="005A395B">
        <w:rPr>
          <w:rFonts w:ascii="Arial Black" w:hAnsi="Arial Black"/>
          <w:b/>
          <w:sz w:val="24"/>
          <w:szCs w:val="24"/>
        </w:rPr>
        <w:t>3</w:t>
      </w:r>
    </w:p>
    <w:p w14:paraId="3F6DA88F" w14:textId="350523EB" w:rsidR="00F326E5" w:rsidRDefault="00F326E5" w:rsidP="00F326E5">
      <w:pPr>
        <w:pStyle w:val="NoSpacing"/>
        <w:rPr>
          <w:rFonts w:ascii="Arial Black" w:hAnsi="Arial Black"/>
          <w:b/>
          <w:bCs/>
          <w:sz w:val="28"/>
          <w:szCs w:val="28"/>
        </w:rPr>
      </w:pPr>
      <w:bookmarkStart w:id="340" w:name="_Hlk7344544"/>
      <w:r>
        <w:rPr>
          <w:rFonts w:ascii="Arial Black" w:hAnsi="Arial Black"/>
          <w:bCs/>
          <w:sz w:val="28"/>
          <w:szCs w:val="28"/>
        </w:rPr>
        <w:t>MI: DETROIT – CITY WIDE LAYOFFS - 11 FF LAWSUIT AGAINST UNION DISMISSED, FOLLOWED CBA</w:t>
      </w:r>
    </w:p>
    <w:p w14:paraId="2B86F166" w14:textId="77777777" w:rsidR="00BF4DDE" w:rsidRDefault="00F326E5" w:rsidP="00F326E5">
      <w:pPr>
        <w:pStyle w:val="PlainText"/>
        <w:rPr>
          <w:rFonts w:ascii="Times New Roman" w:hAnsi="Times New Roman" w:cs="Times New Roman"/>
          <w:sz w:val="24"/>
          <w:szCs w:val="24"/>
        </w:rPr>
      </w:pPr>
      <w:r w:rsidRPr="00BF4DDE">
        <w:rPr>
          <w:rFonts w:ascii="Times New Roman" w:hAnsi="Times New Roman" w:cs="Times New Roman"/>
          <w:bCs/>
          <w:sz w:val="24"/>
          <w:szCs w:val="24"/>
        </w:rPr>
        <w:t xml:space="preserve">On Feb. 4, 2019, in </w:t>
      </w:r>
      <w:r w:rsidRPr="00BF4DDE">
        <w:rPr>
          <w:rFonts w:ascii="Times New Roman" w:hAnsi="Times New Roman" w:cs="Times New Roman"/>
          <w:bCs/>
          <w:sz w:val="24"/>
          <w:szCs w:val="24"/>
          <w:u w:val="single"/>
        </w:rPr>
        <w:t>Eric Peeples, et al. v. City of Detroit, et al</w:t>
      </w:r>
      <w:r w:rsidRPr="00BF4DDE">
        <w:rPr>
          <w:rFonts w:ascii="Times New Roman" w:hAnsi="Times New Roman" w:cs="Times New Roman"/>
          <w:bCs/>
          <w:sz w:val="24"/>
          <w:szCs w:val="24"/>
        </w:rPr>
        <w:t xml:space="preserve">, Civil Action No. 13-13858, U.S. District Court Judge Dean F. Cox, Eastern District of Michigan (Southern District), granted the motion for summary judgment filed by </w:t>
      </w:r>
      <w:r w:rsidRPr="00BF4DDE">
        <w:rPr>
          <w:rFonts w:ascii="Times New Roman" w:hAnsi="Times New Roman" w:cs="Times New Roman"/>
          <w:sz w:val="24"/>
          <w:szCs w:val="24"/>
        </w:rPr>
        <w:t xml:space="preserve">Detroit Fire Fighters Association, Local 344, finding: </w:t>
      </w:r>
    </w:p>
    <w:p w14:paraId="3BC147F8" w14:textId="77777777" w:rsidR="00BF4DDE" w:rsidRDefault="00BF4DDE" w:rsidP="00F326E5">
      <w:pPr>
        <w:pStyle w:val="PlainText"/>
        <w:rPr>
          <w:rFonts w:ascii="Times New Roman" w:hAnsi="Times New Roman" w:cs="Times New Roman"/>
          <w:sz w:val="24"/>
          <w:szCs w:val="24"/>
        </w:rPr>
      </w:pPr>
    </w:p>
    <w:p w14:paraId="6CE85136" w14:textId="4AF717C7" w:rsidR="00F326E5" w:rsidRPr="00BF4DDE" w:rsidRDefault="00BF4DDE" w:rsidP="00BF4DDE">
      <w:pPr>
        <w:pStyle w:val="PlainText"/>
        <w:ind w:left="720"/>
        <w:rPr>
          <w:rFonts w:ascii="Times New Roman" w:hAnsi="Times New Roman" w:cs="Times New Roman"/>
          <w:b/>
          <w:sz w:val="24"/>
          <w:szCs w:val="24"/>
        </w:rPr>
      </w:pPr>
      <w:r>
        <w:rPr>
          <w:rFonts w:ascii="Times New Roman" w:hAnsi="Times New Roman" w:cs="Times New Roman"/>
          <w:sz w:val="24"/>
          <w:szCs w:val="24"/>
        </w:rPr>
        <w:t>“</w:t>
      </w:r>
      <w:r w:rsidR="00F326E5" w:rsidRPr="00BF4DDE">
        <w:rPr>
          <w:rFonts w:ascii="Times New Roman" w:hAnsi="Times New Roman" w:cs="Times New Roman"/>
          <w:sz w:val="24"/>
          <w:szCs w:val="24"/>
        </w:rPr>
        <w:t xml:space="preserve">Plaintiffs have no direct evidence of race discrimination.  In opposing the Union's motion, Plaintiffs have not presented any statistical evidence to this Court.”  The Judge, however, did not require Plaintiffs to reimburse Union for its attorney fees: “The Court also concludes that the Union has not shown that an award of attorney fees against the Plaintiffs themselves is warranted in this case. </w:t>
      </w:r>
      <w:r w:rsidR="00F326E5" w:rsidRPr="00BF4DDE">
        <w:rPr>
          <w:rFonts w:ascii="Times New Roman" w:hAnsi="Times New Roman" w:cs="Times New Roman"/>
          <w:i/>
          <w:iCs/>
          <w:sz w:val="24"/>
          <w:szCs w:val="24"/>
        </w:rPr>
        <w:t>Christiansburg Garment Co</w:t>
      </w:r>
      <w:r w:rsidR="00F326E5" w:rsidRPr="00BF4DDE">
        <w:rPr>
          <w:rFonts w:ascii="Times New Roman" w:hAnsi="Times New Roman" w:cs="Times New Roman"/>
          <w:sz w:val="24"/>
          <w:szCs w:val="24"/>
        </w:rPr>
        <w:t xml:space="preserve">. </w:t>
      </w:r>
      <w:r w:rsidR="00F326E5" w:rsidRPr="00BF4DDE">
        <w:rPr>
          <w:rFonts w:ascii="Times New Roman" w:hAnsi="Times New Roman" w:cs="Times New Roman"/>
          <w:i/>
          <w:iCs/>
          <w:sz w:val="24"/>
          <w:szCs w:val="24"/>
        </w:rPr>
        <w:t>v</w:t>
      </w:r>
      <w:r w:rsidR="00F326E5" w:rsidRPr="00BF4DDE">
        <w:rPr>
          <w:rFonts w:ascii="Times New Roman" w:hAnsi="Times New Roman" w:cs="Times New Roman"/>
          <w:sz w:val="24"/>
          <w:szCs w:val="24"/>
        </w:rPr>
        <w:t xml:space="preserve">. </w:t>
      </w:r>
      <w:r w:rsidR="00F326E5" w:rsidRPr="00BF4DDE">
        <w:rPr>
          <w:rFonts w:ascii="Times New Roman" w:hAnsi="Times New Roman" w:cs="Times New Roman"/>
          <w:i/>
          <w:iCs/>
          <w:sz w:val="24"/>
          <w:szCs w:val="24"/>
        </w:rPr>
        <w:t>EEOC</w:t>
      </w:r>
      <w:hyperlink r:id="rId1602" w:history="1">
        <w:r w:rsidR="00F326E5" w:rsidRPr="00BF4DDE">
          <w:rPr>
            <w:rStyle w:val="Hyperlink"/>
            <w:rFonts w:ascii="Times New Roman" w:hAnsi="Times New Roman" w:cs="Times New Roman"/>
            <w:b/>
            <w:sz w:val="24"/>
            <w:szCs w:val="24"/>
          </w:rPr>
          <w:t>, 434 U.S. 412 (1978)</w:t>
        </w:r>
      </w:hyperlink>
      <w:r w:rsidR="00F326E5" w:rsidRPr="00BF4DDE">
        <w:rPr>
          <w:rFonts w:ascii="Times New Roman" w:hAnsi="Times New Roman" w:cs="Times New Roman"/>
          <w:sz w:val="24"/>
          <w:szCs w:val="24"/>
        </w:rPr>
        <w:t xml:space="preserve"> (A district court may, in its discretion, award attorney fees to a prevailing defendant in a Title VII case upon a finding that the plaintiff's action was frivolous, unreasonable, or without foundation, even though not brought in subjective bad faith). Such awards against Title VII plaintiffs are rare, and this Court does not believe one is warranted here.”  </w:t>
      </w:r>
      <w:hyperlink r:id="rId1603" w:history="1">
        <w:r w:rsidR="00F326E5" w:rsidRPr="00BF4DDE">
          <w:rPr>
            <w:rStyle w:val="Hyperlink"/>
            <w:rFonts w:ascii="Times New Roman" w:hAnsi="Times New Roman" w:cs="Times New Roman"/>
            <w:b/>
            <w:sz w:val="24"/>
            <w:szCs w:val="24"/>
          </w:rPr>
          <w:t>https://scholar.google.com/scholar_case?case=9814524894618299702&amp;q=+Eric+Peeples,+et+al.+v.+City+of+Detroit,+et+al,+Civil+Action+No.+13-13858&amp;hl=en&amp;as_sdt=6,36</w:t>
        </w:r>
      </w:hyperlink>
    </w:p>
    <w:p w14:paraId="27806799" w14:textId="77777777" w:rsidR="00F326E5" w:rsidRPr="00BF4DDE" w:rsidRDefault="00F326E5" w:rsidP="00F326E5">
      <w:pPr>
        <w:spacing w:before="100" w:beforeAutospacing="1" w:after="100" w:afterAutospacing="1"/>
        <w:rPr>
          <w:rFonts w:ascii="Times New Roman" w:hAnsi="Times New Roman"/>
          <w:b/>
          <w:sz w:val="24"/>
          <w:szCs w:val="24"/>
        </w:rPr>
      </w:pPr>
      <w:r w:rsidRPr="00BF4DDE">
        <w:rPr>
          <w:rFonts w:ascii="Times New Roman" w:hAnsi="Times New Roman"/>
          <w:b/>
          <w:sz w:val="24"/>
          <w:szCs w:val="24"/>
        </w:rPr>
        <w:t xml:space="preserve">Legal Lessons Learned:  Plaintiffs failed to establish Title VII liability for City or the Local. </w:t>
      </w:r>
    </w:p>
    <w:bookmarkEnd w:id="340"/>
    <w:p w14:paraId="6F376E44" w14:textId="77777777" w:rsidR="00F326E5" w:rsidRDefault="00F326E5" w:rsidP="00F326E5">
      <w:pPr>
        <w:rPr>
          <w:rFonts w:ascii="Arial Black" w:hAnsi="Arial Black"/>
          <w:sz w:val="40"/>
          <w:szCs w:val="40"/>
        </w:rPr>
      </w:pPr>
    </w:p>
    <w:p w14:paraId="56BD01EB" w14:textId="77777777" w:rsidR="00DE0F03" w:rsidRDefault="00DE0F03" w:rsidP="00DE0F03">
      <w:pPr>
        <w:rPr>
          <w:rFonts w:ascii="Arial Black" w:hAnsi="Arial Black"/>
          <w:b/>
          <w:sz w:val="24"/>
          <w:szCs w:val="24"/>
        </w:rPr>
      </w:pPr>
      <w:bookmarkStart w:id="341" w:name="_Hlk7344627"/>
    </w:p>
    <w:p w14:paraId="4AD38C46" w14:textId="2F3A302D" w:rsidR="00DE0F03" w:rsidRDefault="00DE0F03" w:rsidP="00DE0F03">
      <w:pPr>
        <w:rPr>
          <w:color w:val="4A4A4A"/>
          <w:sz w:val="24"/>
          <w:szCs w:val="24"/>
          <w:lang w:val="en"/>
        </w:rPr>
      </w:pPr>
      <w:r>
        <w:rPr>
          <w:rFonts w:ascii="Arial Black" w:hAnsi="Arial Black"/>
          <w:b/>
          <w:sz w:val="24"/>
          <w:szCs w:val="24"/>
        </w:rPr>
        <w:t>8</w:t>
      </w:r>
      <w:r w:rsidRPr="00EF1133">
        <w:rPr>
          <w:rFonts w:ascii="Arial Black" w:hAnsi="Arial Black"/>
          <w:b/>
          <w:sz w:val="24"/>
          <w:szCs w:val="24"/>
        </w:rPr>
        <w:t>-</w:t>
      </w:r>
      <w:r w:rsidR="005A395B">
        <w:rPr>
          <w:rFonts w:ascii="Arial Black" w:hAnsi="Arial Black"/>
          <w:b/>
          <w:sz w:val="24"/>
          <w:szCs w:val="24"/>
        </w:rPr>
        <w:t>2</w:t>
      </w:r>
    </w:p>
    <w:p w14:paraId="3C8E1E84" w14:textId="6AB7DF2D" w:rsidR="00F326E5" w:rsidRDefault="00F326E5" w:rsidP="00F326E5">
      <w:pPr>
        <w:pStyle w:val="NoSpacing"/>
        <w:rPr>
          <w:b/>
          <w:sz w:val="24"/>
          <w:szCs w:val="24"/>
        </w:rPr>
      </w:pPr>
      <w:r w:rsidRPr="00E54CAC">
        <w:rPr>
          <w:rFonts w:ascii="Arial Black" w:hAnsi="Arial Black"/>
          <w:b/>
          <w:sz w:val="28"/>
          <w:szCs w:val="28"/>
        </w:rPr>
        <w:t xml:space="preserve">MD:  </w:t>
      </w:r>
      <w:r>
        <w:rPr>
          <w:rFonts w:ascii="Arial Black" w:hAnsi="Arial Black"/>
          <w:b/>
          <w:sz w:val="28"/>
          <w:szCs w:val="28"/>
        </w:rPr>
        <w:t xml:space="preserve">AIRPORT </w:t>
      </w:r>
      <w:r w:rsidRPr="00E54CAC">
        <w:rPr>
          <w:rFonts w:ascii="Arial Black" w:hAnsi="Arial Black"/>
          <w:b/>
          <w:sz w:val="28"/>
          <w:szCs w:val="28"/>
        </w:rPr>
        <w:t>HIRED LATIN</w:t>
      </w:r>
      <w:r>
        <w:rPr>
          <w:rFonts w:ascii="Arial Black" w:hAnsi="Arial Black"/>
          <w:b/>
          <w:sz w:val="28"/>
          <w:szCs w:val="28"/>
        </w:rPr>
        <w:t xml:space="preserve">O AS FIRE CHIEF - </w:t>
      </w:r>
      <w:proofErr w:type="gramStart"/>
      <w:r w:rsidRPr="00E54CAC">
        <w:rPr>
          <w:rFonts w:ascii="Arial Black" w:hAnsi="Arial Black"/>
          <w:b/>
          <w:sz w:val="28"/>
          <w:szCs w:val="28"/>
        </w:rPr>
        <w:t>AFRICAN</w:t>
      </w:r>
      <w:r>
        <w:rPr>
          <w:rFonts w:ascii="Arial Black" w:hAnsi="Arial Black"/>
          <w:b/>
          <w:sz w:val="28"/>
          <w:szCs w:val="28"/>
        </w:rPr>
        <w:t>-</w:t>
      </w:r>
      <w:r w:rsidRPr="00E54CAC">
        <w:rPr>
          <w:rFonts w:ascii="Arial Black" w:hAnsi="Arial Black"/>
          <w:b/>
          <w:sz w:val="28"/>
          <w:szCs w:val="28"/>
        </w:rPr>
        <w:t>AMERICAN</w:t>
      </w:r>
      <w:r>
        <w:rPr>
          <w:rFonts w:ascii="Arial Black" w:hAnsi="Arial Black"/>
          <w:b/>
          <w:sz w:val="28"/>
          <w:szCs w:val="28"/>
        </w:rPr>
        <w:t>’S</w:t>
      </w:r>
      <w:proofErr w:type="gramEnd"/>
      <w:r>
        <w:rPr>
          <w:rFonts w:ascii="Arial Black" w:hAnsi="Arial Black"/>
          <w:b/>
          <w:sz w:val="28"/>
          <w:szCs w:val="28"/>
        </w:rPr>
        <w:t xml:space="preserve"> LAWSUIT MAY PROCEED</w:t>
      </w:r>
    </w:p>
    <w:p w14:paraId="6443C1A3" w14:textId="77777777" w:rsidR="00BF4DDE" w:rsidRDefault="00F326E5" w:rsidP="00F326E5">
      <w:pPr>
        <w:pStyle w:val="NoSpacing"/>
        <w:rPr>
          <w:rFonts w:ascii="Times New Roman" w:hAnsi="Times New Roman"/>
          <w:sz w:val="24"/>
          <w:szCs w:val="24"/>
        </w:rPr>
      </w:pPr>
      <w:r w:rsidRPr="00BF4DDE">
        <w:rPr>
          <w:rFonts w:ascii="Times New Roman" w:hAnsi="Times New Roman"/>
          <w:sz w:val="24"/>
          <w:szCs w:val="24"/>
        </w:rPr>
        <w:t xml:space="preserve">On </w:t>
      </w:r>
      <w:bookmarkStart w:id="342" w:name="_Hlk39839116"/>
      <w:r w:rsidRPr="00BF4DDE">
        <w:rPr>
          <w:rFonts w:ascii="Times New Roman" w:hAnsi="Times New Roman"/>
          <w:sz w:val="24"/>
          <w:szCs w:val="24"/>
        </w:rPr>
        <w:t xml:space="preserve">Jan. 19, 2018, in </w:t>
      </w:r>
      <w:r w:rsidRPr="002616A6">
        <w:rPr>
          <w:rFonts w:ascii="Times New Roman" w:hAnsi="Times New Roman"/>
          <w:sz w:val="24"/>
          <w:szCs w:val="24"/>
          <w:u w:val="single"/>
        </w:rPr>
        <w:t>Gregory C. Lawrence v. Maryland Aviation Administration</w:t>
      </w:r>
      <w:bookmarkEnd w:id="342"/>
      <w:r w:rsidRPr="00BF4DDE">
        <w:rPr>
          <w:rFonts w:ascii="Times New Roman" w:hAnsi="Times New Roman"/>
          <w:sz w:val="24"/>
          <w:szCs w:val="24"/>
        </w:rPr>
        <w:t xml:space="preserve">, U.S. District Court for District of Maryland, Judge Richard D. Bennett denied the motion to dismiss filed by the Maryland Aviation Administration. </w:t>
      </w:r>
    </w:p>
    <w:p w14:paraId="40CA1C9E" w14:textId="77777777" w:rsidR="00BF4DDE" w:rsidRDefault="00BF4DDE" w:rsidP="00F326E5">
      <w:pPr>
        <w:pStyle w:val="NoSpacing"/>
        <w:rPr>
          <w:rFonts w:ascii="Times New Roman" w:hAnsi="Times New Roman"/>
          <w:sz w:val="24"/>
          <w:szCs w:val="24"/>
        </w:rPr>
      </w:pPr>
    </w:p>
    <w:p w14:paraId="33357283" w14:textId="166877D6" w:rsidR="00F326E5" w:rsidRPr="00BF4DDE" w:rsidRDefault="00F326E5" w:rsidP="00BF4DDE">
      <w:pPr>
        <w:pStyle w:val="NoSpacing"/>
        <w:ind w:left="720"/>
        <w:rPr>
          <w:rFonts w:ascii="Times New Roman" w:hAnsi="Times New Roman"/>
          <w:sz w:val="24"/>
          <w:szCs w:val="24"/>
        </w:rPr>
      </w:pPr>
      <w:r w:rsidRPr="00BF4DDE">
        <w:rPr>
          <w:rFonts w:ascii="Times New Roman" w:hAnsi="Times New Roman"/>
          <w:sz w:val="24"/>
          <w:szCs w:val="24"/>
        </w:rPr>
        <w:t>“Plaintiff alleges that despite his experience and "stellar qualifications" for the position, he was not hired; instead, plaintiff alleges, "[t]he person hired was a Latino male, substantially less qualified for the position than Mr. Lawrence."</w:t>
      </w:r>
    </w:p>
    <w:bookmarkStart w:id="343" w:name="_Hlk39839090"/>
    <w:p w14:paraId="2476ED26" w14:textId="71B7A617" w:rsidR="00F326E5" w:rsidRPr="00BF4DDE" w:rsidRDefault="00DC51D4" w:rsidP="00BF4DDE">
      <w:pPr>
        <w:pStyle w:val="NoSpacing"/>
        <w:ind w:firstLine="720"/>
        <w:rPr>
          <w:rFonts w:ascii="Times New Roman" w:hAnsi="Times New Roman"/>
          <w:sz w:val="24"/>
          <w:szCs w:val="24"/>
        </w:rPr>
      </w:pPr>
      <w:r>
        <w:fldChar w:fldCharType="begin"/>
      </w:r>
      <w:r>
        <w:instrText xml:space="preserve"> HYPERLINK "https://www.leagle.com/decision/infdco20161011978" </w:instrText>
      </w:r>
      <w:r>
        <w:fldChar w:fldCharType="separate"/>
      </w:r>
      <w:r w:rsidR="00BF4DDE" w:rsidRPr="002F304C">
        <w:rPr>
          <w:rStyle w:val="Hyperlink"/>
          <w:rFonts w:ascii="Times New Roman" w:hAnsi="Times New Roman"/>
          <w:sz w:val="24"/>
          <w:szCs w:val="24"/>
        </w:rPr>
        <w:t>https://www.leagle.com/decision/infdco20161011978</w:t>
      </w:r>
      <w:r>
        <w:rPr>
          <w:rStyle w:val="Hyperlink"/>
          <w:rFonts w:ascii="Times New Roman" w:hAnsi="Times New Roman"/>
          <w:sz w:val="24"/>
          <w:szCs w:val="24"/>
        </w:rPr>
        <w:fldChar w:fldCharType="end"/>
      </w:r>
      <w:r w:rsidR="00F326E5" w:rsidRPr="00BF4DDE">
        <w:rPr>
          <w:rFonts w:ascii="Times New Roman" w:hAnsi="Times New Roman"/>
          <w:sz w:val="24"/>
          <w:szCs w:val="24"/>
        </w:rPr>
        <w:t xml:space="preserve"> </w:t>
      </w:r>
    </w:p>
    <w:bookmarkEnd w:id="343"/>
    <w:p w14:paraId="17D2D634" w14:textId="77777777" w:rsidR="00BF4DDE" w:rsidRDefault="00BF4DDE" w:rsidP="00F326E5">
      <w:pPr>
        <w:pStyle w:val="NoSpacing"/>
        <w:rPr>
          <w:rFonts w:ascii="Times New Roman" w:hAnsi="Times New Roman"/>
          <w:b/>
          <w:sz w:val="24"/>
          <w:szCs w:val="24"/>
        </w:rPr>
      </w:pPr>
    </w:p>
    <w:p w14:paraId="01749151" w14:textId="2D6BB386" w:rsidR="00F326E5" w:rsidRPr="00BF4DDE" w:rsidRDefault="00F326E5" w:rsidP="00F326E5">
      <w:pPr>
        <w:pStyle w:val="NoSpacing"/>
        <w:rPr>
          <w:rFonts w:ascii="Times New Roman" w:hAnsi="Times New Roman"/>
          <w:b/>
          <w:sz w:val="24"/>
          <w:szCs w:val="24"/>
        </w:rPr>
      </w:pPr>
      <w:r w:rsidRPr="00BF4DDE">
        <w:rPr>
          <w:rFonts w:ascii="Times New Roman" w:hAnsi="Times New Roman"/>
          <w:b/>
          <w:sz w:val="24"/>
          <w:szCs w:val="24"/>
        </w:rPr>
        <w:t xml:space="preserve">Legal Lessons Learned: Title VII claim may now proceed </w:t>
      </w:r>
      <w:proofErr w:type="gramStart"/>
      <w:r w:rsidRPr="00BF4DDE">
        <w:rPr>
          <w:rFonts w:ascii="Times New Roman" w:hAnsi="Times New Roman"/>
          <w:b/>
          <w:sz w:val="24"/>
          <w:szCs w:val="24"/>
        </w:rPr>
        <w:t>to</w:t>
      </w:r>
      <w:proofErr w:type="gramEnd"/>
      <w:r w:rsidRPr="00BF4DDE">
        <w:rPr>
          <w:rFonts w:ascii="Times New Roman" w:hAnsi="Times New Roman"/>
          <w:b/>
          <w:sz w:val="24"/>
          <w:szCs w:val="24"/>
        </w:rPr>
        <w:t xml:space="preserve"> pre-trial discovery. </w:t>
      </w:r>
    </w:p>
    <w:p w14:paraId="6FF780FA" w14:textId="77777777" w:rsidR="00F326E5" w:rsidRPr="00BF4DDE" w:rsidRDefault="00F326E5" w:rsidP="00F326E5">
      <w:pPr>
        <w:pStyle w:val="NoSpacing"/>
        <w:rPr>
          <w:rFonts w:ascii="Times New Roman" w:hAnsi="Times New Roman"/>
          <w:b/>
          <w:sz w:val="24"/>
          <w:szCs w:val="24"/>
        </w:rPr>
      </w:pPr>
    </w:p>
    <w:bookmarkEnd w:id="341"/>
    <w:p w14:paraId="051BEBA3" w14:textId="52237868" w:rsidR="00F326E5" w:rsidRDefault="00F326E5" w:rsidP="00F326E5">
      <w:pPr>
        <w:pStyle w:val="NoSpacing"/>
        <w:rPr>
          <w:b/>
          <w:sz w:val="24"/>
          <w:szCs w:val="24"/>
        </w:rPr>
      </w:pPr>
    </w:p>
    <w:p w14:paraId="1B2B9220" w14:textId="77777777" w:rsidR="00F326E5" w:rsidRDefault="00F326E5" w:rsidP="00F326E5">
      <w:pPr>
        <w:pStyle w:val="NoSpacing"/>
        <w:rPr>
          <w:b/>
          <w:sz w:val="24"/>
          <w:szCs w:val="24"/>
        </w:rPr>
      </w:pPr>
    </w:p>
    <w:p w14:paraId="71919B28" w14:textId="7C390FA1" w:rsidR="00F326E5" w:rsidRDefault="00DE0F03" w:rsidP="00F326E5">
      <w:pPr>
        <w:rPr>
          <w:color w:val="4A4A4A"/>
          <w:sz w:val="24"/>
          <w:szCs w:val="24"/>
          <w:lang w:val="en"/>
        </w:rPr>
      </w:pPr>
      <w:r>
        <w:rPr>
          <w:rFonts w:ascii="Arial Black" w:hAnsi="Arial Black"/>
          <w:b/>
          <w:sz w:val="24"/>
          <w:szCs w:val="24"/>
        </w:rPr>
        <w:t>8</w:t>
      </w:r>
      <w:r w:rsidRPr="00EF1133">
        <w:rPr>
          <w:rFonts w:ascii="Arial Black" w:hAnsi="Arial Black"/>
          <w:b/>
          <w:sz w:val="24"/>
          <w:szCs w:val="24"/>
        </w:rPr>
        <w:t>-1</w:t>
      </w:r>
    </w:p>
    <w:p w14:paraId="79FA3CF2" w14:textId="78A42FF9" w:rsidR="00F326E5" w:rsidRPr="00210017" w:rsidRDefault="00F326E5" w:rsidP="00F326E5">
      <w:pPr>
        <w:rPr>
          <w:rFonts w:ascii="Arial Black" w:hAnsi="Arial Black"/>
          <w:b/>
          <w:color w:val="4A4A4A"/>
          <w:sz w:val="28"/>
          <w:szCs w:val="28"/>
          <w:lang w:val="en"/>
        </w:rPr>
      </w:pPr>
      <w:bookmarkStart w:id="344" w:name="_Hlk7344666"/>
      <w:bookmarkStart w:id="345" w:name="_Hlk7344834"/>
      <w:r w:rsidRPr="00210017">
        <w:rPr>
          <w:rFonts w:ascii="Arial Black" w:hAnsi="Arial Black"/>
          <w:b/>
          <w:color w:val="4A4A4A"/>
          <w:sz w:val="28"/>
          <w:szCs w:val="28"/>
          <w:lang w:val="en"/>
        </w:rPr>
        <w:t>NY: FDNY’s FORMER EEOC OFFICER SUES FOR RACE DISCRIMINATION – LAWSUIT MAY PROCEED</w:t>
      </w:r>
    </w:p>
    <w:p w14:paraId="2E3A59DF" w14:textId="77777777" w:rsidR="00BF4DDE" w:rsidRDefault="00F326E5" w:rsidP="00F326E5">
      <w:pPr>
        <w:rPr>
          <w:rFonts w:ascii="Times New Roman" w:hAnsi="Times New Roman"/>
          <w:color w:val="4A4A4A"/>
          <w:sz w:val="24"/>
          <w:szCs w:val="24"/>
          <w:lang w:val="en"/>
        </w:rPr>
      </w:pPr>
      <w:r w:rsidRPr="00BF4DDE">
        <w:rPr>
          <w:rFonts w:ascii="Times New Roman" w:hAnsi="Times New Roman"/>
          <w:color w:val="4A4A4A"/>
          <w:sz w:val="24"/>
          <w:szCs w:val="24"/>
          <w:lang w:val="en"/>
        </w:rPr>
        <w:t xml:space="preserve">On Jan. 2, 2018, in </w:t>
      </w:r>
      <w:r w:rsidRPr="00BF4DDE">
        <w:rPr>
          <w:rFonts w:ascii="Times New Roman" w:hAnsi="Times New Roman"/>
          <w:color w:val="4A4A4A"/>
          <w:sz w:val="24"/>
          <w:szCs w:val="24"/>
          <w:u w:val="single"/>
          <w:lang w:val="en"/>
        </w:rPr>
        <w:t xml:space="preserve">Lyndelle T. Phillips, Esq. v. The City of New York, et </w:t>
      </w:r>
      <w:proofErr w:type="gramStart"/>
      <w:r w:rsidRPr="00BF4DDE">
        <w:rPr>
          <w:rFonts w:ascii="Times New Roman" w:hAnsi="Times New Roman"/>
          <w:color w:val="4A4A4A"/>
          <w:sz w:val="24"/>
          <w:szCs w:val="24"/>
          <w:u w:val="single"/>
          <w:lang w:val="en"/>
        </w:rPr>
        <w:t>al</w:t>
      </w:r>
      <w:r w:rsidRPr="00BF4DDE">
        <w:rPr>
          <w:rFonts w:ascii="Times New Roman" w:hAnsi="Times New Roman"/>
          <w:color w:val="4A4A4A"/>
          <w:sz w:val="24"/>
          <w:szCs w:val="24"/>
          <w:lang w:val="en"/>
        </w:rPr>
        <w:t>,,</w:t>
      </w:r>
      <w:proofErr w:type="gramEnd"/>
      <w:r w:rsidRPr="00BF4DDE">
        <w:rPr>
          <w:rFonts w:ascii="Times New Roman" w:hAnsi="Times New Roman"/>
          <w:color w:val="4A4A4A"/>
          <w:sz w:val="24"/>
          <w:szCs w:val="24"/>
          <w:lang w:val="en"/>
        </w:rPr>
        <w:t xml:space="preserve"> U.S. District Court Senior Judge Jack B. Weinstein, held that the City’s motion to dismiss is denied and her lawsuit may proceed.</w:t>
      </w:r>
    </w:p>
    <w:p w14:paraId="10011404" w14:textId="6E7B5281" w:rsidR="00F326E5" w:rsidRPr="00BF4DDE" w:rsidRDefault="00F326E5" w:rsidP="00BF4DDE">
      <w:pPr>
        <w:ind w:left="720"/>
        <w:rPr>
          <w:rFonts w:ascii="Times New Roman" w:hAnsi="Times New Roman"/>
          <w:color w:val="4A4A4A"/>
          <w:sz w:val="24"/>
          <w:szCs w:val="24"/>
          <w:lang w:val="en"/>
        </w:rPr>
      </w:pPr>
      <w:r w:rsidRPr="00BF4DDE">
        <w:rPr>
          <w:rFonts w:ascii="Times New Roman" w:hAnsi="Times New Roman"/>
          <w:color w:val="4A4A4A"/>
          <w:sz w:val="24"/>
          <w:szCs w:val="24"/>
          <w:lang w:val="en"/>
        </w:rPr>
        <w:t xml:space="preserve">“After observing plaintiff during her extended examination by the court, defendants' motion for summary judgment on plaintiffs Section 1981 claim is denied. A jury could find her to be a credible witness who took her job at the FDNY seriously and performed satisfactorily. Discrimination, and not poor job performance, a jury could conclude, was the reason for her termination by </w:t>
      </w:r>
      <w:proofErr w:type="gramStart"/>
      <w:r w:rsidRPr="00BF4DDE">
        <w:rPr>
          <w:rFonts w:ascii="Times New Roman" w:hAnsi="Times New Roman"/>
          <w:color w:val="4A4A4A"/>
          <w:sz w:val="24"/>
          <w:szCs w:val="24"/>
          <w:lang w:val="en"/>
        </w:rPr>
        <w:t>the FDNY</w:t>
      </w:r>
      <w:proofErr w:type="gramEnd"/>
      <w:r w:rsidRPr="00BF4DDE">
        <w:rPr>
          <w:rFonts w:ascii="Times New Roman" w:hAnsi="Times New Roman"/>
          <w:color w:val="4A4A4A"/>
          <w:sz w:val="24"/>
          <w:szCs w:val="24"/>
          <w:lang w:val="en"/>
        </w:rPr>
        <w:t xml:space="preserve">. </w:t>
      </w:r>
      <w:hyperlink r:id="rId1604" w:history="1">
        <w:r w:rsidRPr="00BF4DDE">
          <w:rPr>
            <w:rStyle w:val="Hyperlink"/>
            <w:rFonts w:ascii="Times New Roman" w:hAnsi="Times New Roman"/>
            <w:sz w:val="24"/>
            <w:szCs w:val="24"/>
            <w:lang w:val="en"/>
          </w:rPr>
          <w:t>file:///C:/Users/lawre/AppData/Local/Microsoft/Windows/INetCache/IE/XO250S7T/Phillips-FDNY.pdf</w:t>
        </w:r>
      </w:hyperlink>
      <w:r w:rsidRPr="00BF4DDE">
        <w:rPr>
          <w:rFonts w:ascii="Times New Roman" w:hAnsi="Times New Roman"/>
          <w:color w:val="4A4A4A"/>
          <w:sz w:val="24"/>
          <w:szCs w:val="24"/>
          <w:lang w:val="en"/>
        </w:rPr>
        <w:t xml:space="preserve"> </w:t>
      </w:r>
    </w:p>
    <w:p w14:paraId="146999EC" w14:textId="77777777" w:rsidR="00F326E5" w:rsidRPr="00BF4DDE" w:rsidRDefault="00F326E5" w:rsidP="00F326E5">
      <w:pPr>
        <w:rPr>
          <w:rFonts w:ascii="Times New Roman" w:hAnsi="Times New Roman"/>
          <w:b/>
          <w:color w:val="4A4A4A"/>
          <w:sz w:val="24"/>
          <w:szCs w:val="24"/>
          <w:lang w:val="en"/>
        </w:rPr>
      </w:pPr>
      <w:r w:rsidRPr="00BF4DDE">
        <w:rPr>
          <w:rFonts w:ascii="Times New Roman" w:hAnsi="Times New Roman"/>
          <w:b/>
          <w:color w:val="4A4A4A"/>
          <w:sz w:val="24"/>
          <w:szCs w:val="24"/>
          <w:lang w:val="en"/>
        </w:rPr>
        <w:t xml:space="preserve">Legal Lessons Learned: The lawsuit may proceed.  The judge referenced the Vulcan Society case. </w:t>
      </w:r>
    </w:p>
    <w:p w14:paraId="3242BC9D" w14:textId="77777777" w:rsidR="00F326E5" w:rsidRPr="00BF4DDE" w:rsidRDefault="00F326E5" w:rsidP="00F326E5">
      <w:pPr>
        <w:ind w:left="720"/>
        <w:rPr>
          <w:rFonts w:ascii="Times New Roman" w:hAnsi="Times New Roman"/>
          <w:color w:val="4A4A4A"/>
          <w:sz w:val="24"/>
          <w:szCs w:val="24"/>
          <w:lang w:val="en"/>
        </w:rPr>
      </w:pPr>
      <w:r w:rsidRPr="00BF4DDE">
        <w:rPr>
          <w:rFonts w:ascii="Times New Roman" w:hAnsi="Times New Roman"/>
          <w:color w:val="4A4A4A"/>
          <w:sz w:val="24"/>
          <w:szCs w:val="24"/>
          <w:lang w:val="en"/>
        </w:rPr>
        <w:t xml:space="preserve">Note: In </w:t>
      </w:r>
      <w:proofErr w:type="gramStart"/>
      <w:r w:rsidRPr="00BF4DDE">
        <w:rPr>
          <w:rFonts w:ascii="Times New Roman" w:hAnsi="Times New Roman"/>
          <w:color w:val="4A4A4A"/>
          <w:sz w:val="24"/>
          <w:szCs w:val="24"/>
          <w:lang w:val="en"/>
        </w:rPr>
        <w:t>March,</w:t>
      </w:r>
      <w:proofErr w:type="gramEnd"/>
      <w:r w:rsidRPr="00BF4DDE">
        <w:rPr>
          <w:rFonts w:ascii="Times New Roman" w:hAnsi="Times New Roman"/>
          <w:color w:val="4A4A4A"/>
          <w:sz w:val="24"/>
          <w:szCs w:val="24"/>
          <w:lang w:val="en"/>
        </w:rPr>
        <w:t xml:space="preserve"> 2014, the </w:t>
      </w:r>
      <w:proofErr w:type="gramStart"/>
      <w:r w:rsidRPr="00BF4DDE">
        <w:rPr>
          <w:rFonts w:ascii="Times New Roman" w:hAnsi="Times New Roman"/>
          <w:color w:val="4A4A4A"/>
          <w:sz w:val="24"/>
          <w:szCs w:val="24"/>
          <w:lang w:val="en"/>
        </w:rPr>
        <w:t>City</w:t>
      </w:r>
      <w:proofErr w:type="gramEnd"/>
      <w:r w:rsidRPr="00BF4DDE">
        <w:rPr>
          <w:rFonts w:ascii="Times New Roman" w:hAnsi="Times New Roman"/>
          <w:color w:val="4A4A4A"/>
          <w:sz w:val="24"/>
          <w:szCs w:val="24"/>
          <w:lang w:val="en"/>
        </w:rPr>
        <w:t xml:space="preserve"> settled the lawsuit with the Vulcan Society for $98 million. </w:t>
      </w:r>
      <w:hyperlink r:id="rId1605" w:history="1">
        <w:r w:rsidRPr="00BF4DDE">
          <w:rPr>
            <w:rStyle w:val="Hyperlink"/>
            <w:rFonts w:ascii="Times New Roman" w:hAnsi="Times New Roman"/>
            <w:sz w:val="24"/>
            <w:szCs w:val="24"/>
            <w:lang w:val="en"/>
          </w:rPr>
          <w:t>http://www.nydailynews.com/new-york/city-pay-98-million-fdny-discrimination-case-article-1.1725702</w:t>
        </w:r>
      </w:hyperlink>
      <w:bookmarkEnd w:id="344"/>
      <w:r w:rsidRPr="00BF4DDE">
        <w:rPr>
          <w:rFonts w:ascii="Times New Roman" w:hAnsi="Times New Roman"/>
          <w:color w:val="4A4A4A"/>
          <w:sz w:val="24"/>
          <w:szCs w:val="24"/>
          <w:lang w:val="en"/>
        </w:rPr>
        <w:t xml:space="preserve"> </w:t>
      </w:r>
    </w:p>
    <w:p w14:paraId="454AB09F" w14:textId="77777777" w:rsidR="00F326E5" w:rsidRPr="00BF4DDE" w:rsidRDefault="00F326E5" w:rsidP="00F326E5">
      <w:pPr>
        <w:pStyle w:val="NoSpacing"/>
        <w:rPr>
          <w:rFonts w:ascii="Times New Roman" w:hAnsi="Times New Roman"/>
          <w:b/>
          <w:sz w:val="24"/>
          <w:szCs w:val="24"/>
        </w:rPr>
      </w:pPr>
    </w:p>
    <w:p w14:paraId="5D669894" w14:textId="77777777" w:rsidR="00F326E5" w:rsidRPr="004128F7" w:rsidRDefault="00F326E5" w:rsidP="00F326E5">
      <w:pPr>
        <w:pStyle w:val="NoSpacing"/>
        <w:rPr>
          <w:b/>
          <w:sz w:val="24"/>
          <w:szCs w:val="24"/>
        </w:rPr>
      </w:pPr>
    </w:p>
    <w:bookmarkEnd w:id="345"/>
    <w:p w14:paraId="43F85748" w14:textId="77777777" w:rsidR="00F326E5" w:rsidRDefault="00F326E5" w:rsidP="00F326E5">
      <w:pPr>
        <w:rPr>
          <w:rFonts w:ascii="Arial Black" w:hAnsi="Arial Black"/>
          <w:sz w:val="40"/>
          <w:szCs w:val="40"/>
        </w:rPr>
      </w:pPr>
      <w:r>
        <w:rPr>
          <w:rFonts w:ascii="Arial Black" w:hAnsi="Arial Black"/>
          <w:sz w:val="40"/>
          <w:szCs w:val="40"/>
        </w:rPr>
        <w:br w:type="page"/>
      </w:r>
    </w:p>
    <w:p w14:paraId="2939461D" w14:textId="77777777" w:rsidR="00F326E5" w:rsidRPr="007732FA" w:rsidRDefault="00F326E5" w:rsidP="00F326E5">
      <w:pPr>
        <w:pStyle w:val="NoSpacing"/>
        <w:rPr>
          <w:rFonts w:ascii="Arial Black" w:hAnsi="Arial Black"/>
          <w:sz w:val="40"/>
          <w:szCs w:val="40"/>
        </w:rPr>
      </w:pPr>
    </w:p>
    <w:p w14:paraId="16A376F2" w14:textId="77777777" w:rsidR="00456C91" w:rsidRDefault="00456C91" w:rsidP="00F326E5">
      <w:pPr>
        <w:pStyle w:val="NoSpacing"/>
        <w:rPr>
          <w:rFonts w:ascii="Arial Black" w:hAnsi="Arial Black"/>
          <w:sz w:val="40"/>
          <w:szCs w:val="40"/>
        </w:rPr>
      </w:pPr>
    </w:p>
    <w:p w14:paraId="3F55AB61" w14:textId="77777777" w:rsidR="00456C91" w:rsidRDefault="00456C91" w:rsidP="00F326E5">
      <w:pPr>
        <w:pStyle w:val="NoSpacing"/>
        <w:rPr>
          <w:rFonts w:ascii="Arial Black" w:hAnsi="Arial Black"/>
          <w:sz w:val="40"/>
          <w:szCs w:val="40"/>
        </w:rPr>
      </w:pPr>
    </w:p>
    <w:p w14:paraId="131A4C3C" w14:textId="77777777" w:rsidR="00456C91" w:rsidRDefault="00456C91" w:rsidP="00F326E5">
      <w:pPr>
        <w:pStyle w:val="NoSpacing"/>
        <w:rPr>
          <w:rFonts w:ascii="Arial Black" w:hAnsi="Arial Black"/>
          <w:sz w:val="40"/>
          <w:szCs w:val="40"/>
        </w:rPr>
      </w:pPr>
    </w:p>
    <w:p w14:paraId="485C43F7" w14:textId="77777777" w:rsidR="00456C91" w:rsidRDefault="00456C91" w:rsidP="00F326E5">
      <w:pPr>
        <w:pStyle w:val="NoSpacing"/>
        <w:rPr>
          <w:rFonts w:ascii="Arial Black" w:hAnsi="Arial Black"/>
          <w:sz w:val="40"/>
          <w:szCs w:val="40"/>
        </w:rPr>
      </w:pPr>
    </w:p>
    <w:p w14:paraId="4B663432" w14:textId="77777777" w:rsidR="00456C91" w:rsidRDefault="00456C91" w:rsidP="00F326E5">
      <w:pPr>
        <w:pStyle w:val="NoSpacing"/>
        <w:rPr>
          <w:rFonts w:ascii="Arial Black" w:hAnsi="Arial Black"/>
          <w:sz w:val="40"/>
          <w:szCs w:val="40"/>
        </w:rPr>
      </w:pPr>
    </w:p>
    <w:p w14:paraId="6CE6E438" w14:textId="77777777" w:rsidR="00456C91" w:rsidRDefault="00456C91" w:rsidP="00F326E5">
      <w:pPr>
        <w:pStyle w:val="NoSpacing"/>
        <w:rPr>
          <w:rFonts w:ascii="Arial Black" w:hAnsi="Arial Black"/>
          <w:sz w:val="40"/>
          <w:szCs w:val="40"/>
        </w:rPr>
      </w:pPr>
    </w:p>
    <w:p w14:paraId="2FD84194" w14:textId="77777777" w:rsidR="00456C91" w:rsidRDefault="00456C91" w:rsidP="00F326E5">
      <w:pPr>
        <w:pStyle w:val="NoSpacing"/>
        <w:rPr>
          <w:rFonts w:ascii="Arial Black" w:hAnsi="Arial Black"/>
          <w:sz w:val="40"/>
          <w:szCs w:val="40"/>
        </w:rPr>
      </w:pPr>
    </w:p>
    <w:p w14:paraId="5D48D2AD" w14:textId="77777777" w:rsidR="00456C91" w:rsidRDefault="00456C91" w:rsidP="00F326E5">
      <w:pPr>
        <w:pStyle w:val="NoSpacing"/>
        <w:rPr>
          <w:rFonts w:ascii="Arial Black" w:hAnsi="Arial Black"/>
          <w:sz w:val="40"/>
          <w:szCs w:val="40"/>
        </w:rPr>
      </w:pPr>
    </w:p>
    <w:p w14:paraId="6967BB24" w14:textId="77777777" w:rsidR="00456C91" w:rsidRDefault="00456C91" w:rsidP="00F326E5">
      <w:pPr>
        <w:pStyle w:val="NoSpacing"/>
        <w:rPr>
          <w:rFonts w:ascii="Arial Black" w:hAnsi="Arial Black"/>
          <w:sz w:val="40"/>
          <w:szCs w:val="40"/>
        </w:rPr>
      </w:pPr>
    </w:p>
    <w:p w14:paraId="0611B92E" w14:textId="77777777" w:rsidR="00456C91" w:rsidRDefault="00456C91" w:rsidP="00F326E5">
      <w:pPr>
        <w:pStyle w:val="NoSpacing"/>
        <w:rPr>
          <w:rFonts w:ascii="Arial Black" w:hAnsi="Arial Black"/>
          <w:sz w:val="40"/>
          <w:szCs w:val="40"/>
        </w:rPr>
      </w:pPr>
    </w:p>
    <w:p w14:paraId="3A80B944" w14:textId="77777777" w:rsidR="00456C91" w:rsidRDefault="00456C91" w:rsidP="00F326E5">
      <w:pPr>
        <w:pStyle w:val="NoSpacing"/>
        <w:rPr>
          <w:rFonts w:ascii="Arial Black" w:hAnsi="Arial Black"/>
          <w:sz w:val="40"/>
          <w:szCs w:val="40"/>
        </w:rPr>
      </w:pPr>
    </w:p>
    <w:p w14:paraId="5A7AA1FF" w14:textId="77777777" w:rsidR="00456C91" w:rsidRDefault="00456C91" w:rsidP="00F326E5">
      <w:pPr>
        <w:pStyle w:val="NoSpacing"/>
        <w:rPr>
          <w:rFonts w:ascii="Arial Black" w:hAnsi="Arial Black"/>
          <w:sz w:val="40"/>
          <w:szCs w:val="40"/>
        </w:rPr>
      </w:pPr>
    </w:p>
    <w:p w14:paraId="46BDAA20" w14:textId="77777777" w:rsidR="00456C91" w:rsidRDefault="00456C91" w:rsidP="00F326E5">
      <w:pPr>
        <w:pStyle w:val="NoSpacing"/>
        <w:rPr>
          <w:rFonts w:ascii="Arial Black" w:hAnsi="Arial Black"/>
          <w:sz w:val="40"/>
          <w:szCs w:val="40"/>
        </w:rPr>
      </w:pPr>
    </w:p>
    <w:p w14:paraId="76B14F0E" w14:textId="77777777" w:rsidR="00456C91" w:rsidRDefault="00456C91" w:rsidP="00F326E5">
      <w:pPr>
        <w:pStyle w:val="NoSpacing"/>
        <w:rPr>
          <w:rFonts w:ascii="Arial Black" w:hAnsi="Arial Black"/>
          <w:sz w:val="40"/>
          <w:szCs w:val="40"/>
        </w:rPr>
      </w:pPr>
    </w:p>
    <w:p w14:paraId="34AC1D76" w14:textId="77777777" w:rsidR="00456C91" w:rsidRDefault="00456C91" w:rsidP="00F326E5">
      <w:pPr>
        <w:pStyle w:val="NoSpacing"/>
        <w:rPr>
          <w:rFonts w:ascii="Arial Black" w:hAnsi="Arial Black"/>
          <w:sz w:val="40"/>
          <w:szCs w:val="40"/>
        </w:rPr>
      </w:pPr>
    </w:p>
    <w:p w14:paraId="0BCD4C02" w14:textId="77777777" w:rsidR="00456C91" w:rsidRDefault="00456C91" w:rsidP="00F326E5">
      <w:pPr>
        <w:pStyle w:val="NoSpacing"/>
        <w:rPr>
          <w:rFonts w:ascii="Arial Black" w:hAnsi="Arial Black"/>
          <w:sz w:val="40"/>
          <w:szCs w:val="40"/>
        </w:rPr>
      </w:pPr>
    </w:p>
    <w:p w14:paraId="67A416D8" w14:textId="77777777" w:rsidR="00456C91" w:rsidRDefault="00456C91" w:rsidP="00F326E5">
      <w:pPr>
        <w:pStyle w:val="NoSpacing"/>
        <w:rPr>
          <w:rFonts w:ascii="Arial Black" w:hAnsi="Arial Black"/>
          <w:sz w:val="40"/>
          <w:szCs w:val="40"/>
        </w:rPr>
      </w:pPr>
    </w:p>
    <w:p w14:paraId="2078D466" w14:textId="77777777" w:rsidR="00456C91" w:rsidRDefault="00456C91" w:rsidP="00F326E5">
      <w:pPr>
        <w:pStyle w:val="NoSpacing"/>
        <w:rPr>
          <w:rFonts w:ascii="Arial Black" w:hAnsi="Arial Black"/>
          <w:sz w:val="40"/>
          <w:szCs w:val="40"/>
        </w:rPr>
      </w:pPr>
    </w:p>
    <w:p w14:paraId="7B698F53" w14:textId="77777777" w:rsidR="00456C91" w:rsidRDefault="00456C91" w:rsidP="00F326E5">
      <w:pPr>
        <w:pStyle w:val="NoSpacing"/>
        <w:rPr>
          <w:rFonts w:ascii="Arial Black" w:hAnsi="Arial Black"/>
          <w:sz w:val="40"/>
          <w:szCs w:val="40"/>
        </w:rPr>
      </w:pPr>
    </w:p>
    <w:p w14:paraId="3EB19449" w14:textId="77777777" w:rsidR="00456C91" w:rsidRDefault="00456C91" w:rsidP="00F326E5">
      <w:pPr>
        <w:pStyle w:val="NoSpacing"/>
        <w:rPr>
          <w:rFonts w:ascii="Arial Black" w:hAnsi="Arial Black"/>
          <w:sz w:val="40"/>
          <w:szCs w:val="40"/>
        </w:rPr>
      </w:pPr>
    </w:p>
    <w:p w14:paraId="3C57BAFB" w14:textId="77777777" w:rsidR="00456C91" w:rsidRDefault="00456C91" w:rsidP="00F326E5">
      <w:pPr>
        <w:pStyle w:val="NoSpacing"/>
        <w:rPr>
          <w:rFonts w:ascii="Arial Black" w:hAnsi="Arial Black"/>
          <w:sz w:val="40"/>
          <w:szCs w:val="40"/>
        </w:rPr>
      </w:pPr>
    </w:p>
    <w:p w14:paraId="630F7611" w14:textId="77777777" w:rsidR="00456C91" w:rsidRDefault="00456C91" w:rsidP="00F326E5">
      <w:pPr>
        <w:pStyle w:val="NoSpacing"/>
        <w:rPr>
          <w:rFonts w:ascii="Arial Black" w:hAnsi="Arial Black"/>
          <w:sz w:val="40"/>
          <w:szCs w:val="40"/>
        </w:rPr>
      </w:pPr>
    </w:p>
    <w:p w14:paraId="796C012D" w14:textId="77777777" w:rsidR="00456C91" w:rsidRDefault="00456C91" w:rsidP="00F326E5">
      <w:pPr>
        <w:pStyle w:val="NoSpacing"/>
        <w:rPr>
          <w:rFonts w:ascii="Arial Black" w:hAnsi="Arial Black"/>
          <w:sz w:val="40"/>
          <w:szCs w:val="40"/>
        </w:rPr>
      </w:pPr>
    </w:p>
    <w:p w14:paraId="2E5CC0CE" w14:textId="77777777" w:rsidR="00456C91" w:rsidRDefault="00456C91" w:rsidP="00F326E5">
      <w:pPr>
        <w:pStyle w:val="NoSpacing"/>
        <w:rPr>
          <w:rFonts w:ascii="Arial Black" w:hAnsi="Arial Black"/>
          <w:sz w:val="40"/>
          <w:szCs w:val="40"/>
        </w:rPr>
      </w:pPr>
    </w:p>
    <w:p w14:paraId="1543A207" w14:textId="3F7609A4" w:rsidR="00F326E5" w:rsidRDefault="00F326E5" w:rsidP="00F326E5">
      <w:pPr>
        <w:pStyle w:val="NoSpacing"/>
        <w:rPr>
          <w:rFonts w:ascii="Arial Black" w:hAnsi="Arial Black"/>
          <w:sz w:val="40"/>
          <w:szCs w:val="40"/>
        </w:rPr>
      </w:pPr>
      <w:r w:rsidRPr="007732FA">
        <w:rPr>
          <w:rFonts w:ascii="Arial Black" w:hAnsi="Arial Black"/>
          <w:sz w:val="40"/>
          <w:szCs w:val="40"/>
        </w:rPr>
        <w:t>Chap. 9</w:t>
      </w:r>
      <w:r w:rsidRPr="007732FA">
        <w:rPr>
          <w:rFonts w:ascii="Arial Black" w:hAnsi="Arial Black"/>
          <w:sz w:val="40"/>
          <w:szCs w:val="40"/>
        </w:rPr>
        <w:tab/>
        <w:t xml:space="preserve">Americans </w:t>
      </w:r>
      <w:proofErr w:type="gramStart"/>
      <w:r w:rsidRPr="007732FA">
        <w:rPr>
          <w:rFonts w:ascii="Arial Black" w:hAnsi="Arial Black"/>
          <w:sz w:val="40"/>
          <w:szCs w:val="40"/>
        </w:rPr>
        <w:t>With</w:t>
      </w:r>
      <w:proofErr w:type="gramEnd"/>
      <w:r w:rsidRPr="007732FA">
        <w:rPr>
          <w:rFonts w:ascii="Arial Black" w:hAnsi="Arial Black"/>
          <w:sz w:val="40"/>
          <w:szCs w:val="40"/>
        </w:rPr>
        <w:t xml:space="preserve"> Disabilities Act</w:t>
      </w:r>
    </w:p>
    <w:p w14:paraId="2E416640" w14:textId="77777777" w:rsidR="0015021B" w:rsidRDefault="0015021B" w:rsidP="00F326E5">
      <w:pPr>
        <w:pStyle w:val="NoSpacing"/>
        <w:rPr>
          <w:sz w:val="24"/>
          <w:szCs w:val="24"/>
        </w:rPr>
      </w:pPr>
    </w:p>
    <w:p w14:paraId="16B42586" w14:textId="1DF4E13E" w:rsidR="008C7243" w:rsidRDefault="00A0752D" w:rsidP="00BC4752">
      <w:pPr>
        <w:pStyle w:val="NoSpacing"/>
        <w:rPr>
          <w:rFonts w:ascii="Arial Black" w:hAnsi="Arial Black"/>
          <w:sz w:val="24"/>
          <w:szCs w:val="24"/>
        </w:rPr>
      </w:pPr>
      <w:bookmarkStart w:id="346" w:name="_Hlk7344938"/>
      <w:r>
        <w:rPr>
          <w:rFonts w:ascii="Arial Black" w:hAnsi="Arial Black"/>
          <w:sz w:val="24"/>
          <w:szCs w:val="24"/>
        </w:rPr>
        <w:t>9</w:t>
      </w:r>
      <w:r w:rsidR="008C3834">
        <w:rPr>
          <w:rFonts w:ascii="Arial Black" w:hAnsi="Arial Black"/>
          <w:sz w:val="24"/>
          <w:szCs w:val="24"/>
        </w:rPr>
        <w:t>-</w:t>
      </w:r>
      <w:r w:rsidR="0049781A">
        <w:rPr>
          <w:rFonts w:ascii="Arial Black" w:hAnsi="Arial Black"/>
          <w:sz w:val="24"/>
          <w:szCs w:val="24"/>
        </w:rPr>
        <w:t>67</w:t>
      </w:r>
    </w:p>
    <w:p w14:paraId="066BF749" w14:textId="77777777" w:rsidR="008C3834" w:rsidRDefault="008C3834" w:rsidP="00BC4752">
      <w:pPr>
        <w:pStyle w:val="NoSpacing"/>
        <w:rPr>
          <w:rFonts w:ascii="Arial Black" w:hAnsi="Arial Black"/>
          <w:sz w:val="24"/>
          <w:szCs w:val="24"/>
        </w:rPr>
      </w:pPr>
    </w:p>
    <w:p w14:paraId="50B69144" w14:textId="77777777" w:rsidR="008C3834" w:rsidRPr="006E13B1" w:rsidRDefault="008C3834" w:rsidP="008C3834">
      <w:pPr>
        <w:rPr>
          <w:rFonts w:ascii="Arial Black" w:hAnsi="Arial Black"/>
          <w:bCs/>
          <w:sz w:val="28"/>
          <w:szCs w:val="28"/>
        </w:rPr>
      </w:pPr>
      <w:r>
        <w:rPr>
          <w:rFonts w:ascii="Arial Black" w:hAnsi="Arial Black"/>
          <w:sz w:val="28"/>
          <w:szCs w:val="28"/>
        </w:rPr>
        <w:t>NV: PROB. FF INJURED – NO EXT. 1-YR</w:t>
      </w:r>
      <w:r>
        <w:rPr>
          <w:rFonts w:ascii="Arial Black" w:hAnsi="Arial Black"/>
          <w:bCs/>
          <w:sz w:val="28"/>
          <w:szCs w:val="28"/>
        </w:rPr>
        <w:t xml:space="preserve"> – </w:t>
      </w:r>
      <w:r>
        <w:rPr>
          <w:rFonts w:ascii="Arial Black" w:hAnsi="Arial Black"/>
          <w:sz w:val="28"/>
          <w:szCs w:val="28"/>
        </w:rPr>
        <w:t>CASE</w:t>
      </w:r>
      <w:r>
        <w:rPr>
          <w:rFonts w:ascii="Arial Black" w:hAnsi="Arial Black"/>
          <w:bCs/>
          <w:sz w:val="28"/>
          <w:szCs w:val="28"/>
        </w:rPr>
        <w:t xml:space="preserve"> PROCEED</w:t>
      </w:r>
    </w:p>
    <w:p w14:paraId="06EFB765" w14:textId="77777777" w:rsidR="008C3834" w:rsidRDefault="008C3834" w:rsidP="008C3834">
      <w:pPr>
        <w:rPr>
          <w:bCs/>
        </w:rPr>
      </w:pPr>
      <w:r>
        <w:t xml:space="preserve">On May 12, 2026, in </w:t>
      </w:r>
      <w:r w:rsidRPr="00520ECA">
        <w:rPr>
          <w:u w:val="single"/>
        </w:rPr>
        <w:t>Matthew Gregort Vannozzi v. Clark County, et al</w:t>
      </w:r>
      <w:r>
        <w:t xml:space="preserve">., U.S. District Court Judge </w:t>
      </w:r>
      <w:r w:rsidRPr="006E13B1">
        <w:t>Jennifer A. Dorsey</w:t>
      </w:r>
      <w:r>
        <w:t>, United States District Court for the District of Nevada, denied Clark County’s motion to dismiss the case.  THE COURT HELD: “</w:t>
      </w:r>
      <w:r w:rsidRPr="00225ABE">
        <w:t>Matthew Vannozzi brings Americans with Disabilities Act (ADA), Rehabilitation Act, and Nevada-law employment claims against Clark County, alleging that its fire department refused to preserve his probationary firefighter-paramedic position while he recovered from line-of-duty injuries and cardiac conditions, failed to engage in the interactive process, and fired him for his disability</w:t>
      </w:r>
      <w:r>
        <w:t>…. A</w:t>
      </w:r>
      <w:r w:rsidRPr="00225ABE">
        <w:t>nd because the second amended complaint plausibly alleges that Vannozzi sought a finite recovery-time accommodation and suffered adverse action after invoking ADA-protected rights, I deny the motion to dismiss, too.</w:t>
      </w:r>
      <w:r>
        <w:t xml:space="preserve">” </w:t>
      </w:r>
      <w:hyperlink r:id="rId1606" w:history="1">
        <w:r w:rsidRPr="00F85F03">
          <w:rPr>
            <w:rStyle w:val="Hyperlink"/>
          </w:rPr>
          <w:t>https://public.fastcase.com/Jhe1Qn%2BmJndQYQU6z%2FeNm2kS7VI9AQpJ451BKRyshBDGiqezkPNA%2BJ4Mc%2Fomhxj3zuPpdWN764R4JuE3lYQbe83p1Nq1XHA6CB8LuiXwXBM%3D?utm_medium=email&amp;_hsenc=p2ANqtz-_xBqvIlP1bgLDQ7-gr0MsyD2cqh9I-7H0nRbwq_ndvk4N-HbAk55liN5jXfY0IgeNEDhFcwLKOWXCSzt7avhQkvFQDlA&amp;_hsmi=226712652&amp;utm_content=226712652&amp;utm_source=hs_email</w:t>
        </w:r>
      </w:hyperlink>
    </w:p>
    <w:p w14:paraId="355B616D" w14:textId="77777777" w:rsidR="008C3834" w:rsidRDefault="008C3834" w:rsidP="008C3834">
      <w:pPr>
        <w:rPr>
          <w:bCs/>
        </w:rPr>
      </w:pPr>
      <w:r>
        <w:t>THE COURT HELD:</w:t>
      </w:r>
    </w:p>
    <w:p w14:paraId="0DB5743C" w14:textId="77777777" w:rsidR="008C3834" w:rsidRPr="006F10FA" w:rsidRDefault="008C3834" w:rsidP="008C3834">
      <w:pPr>
        <w:ind w:left="720"/>
        <w:rPr>
          <w:bCs/>
        </w:rPr>
      </w:pPr>
      <w:r>
        <w:t>“</w:t>
      </w:r>
      <w:r w:rsidRPr="006F10FA">
        <w:t xml:space="preserve">The Clark County Fire Department hired Matthew Vannozzi as a probationary firefighter-paramedic in January 2023. He completed the Clark County Fire Academy that May and began full-duty work as a firefighter-paramedic. But four months later, while responding to a fire incident, Vannozzi injured his left upper extremity, neck, and right wrist badly enough to prevent him from performing the essential functions of that job. About a month after that, he suffered a non-ST elevation myocardial infarction that required emergency stent placement. During that treatment, he was also diagnosed with an aortic aneurysm, hemochromatosis, and a hypercoagulable state. </w:t>
      </w:r>
    </w:p>
    <w:p w14:paraId="0538C8EA" w14:textId="77777777" w:rsidR="008C3834" w:rsidRDefault="008C3834" w:rsidP="008C3834">
      <w:pPr>
        <w:ind w:left="720"/>
        <w:rPr>
          <w:bCs/>
          <w:vertAlign w:val="superscript"/>
        </w:rPr>
      </w:pPr>
      <w:r w:rsidRPr="006F10FA">
        <w:t>Those cardiac and blood-related conditions required anticoagulation therapy, making the inherent risks of firefighting potentially fatal because traumatic injury could lead to dangerous bleeding Multiple doctors placed Vannozzi on disability status and complete work restrictions, leaving him unable to perform firefighting duties during his recovery period. His treating cardiologist estimated on November 8, 2023, that Vannozzi would need at least six weeks before</w:t>
      </w:r>
      <w:r>
        <w:t xml:space="preserve"> </w:t>
      </w:r>
      <w:r w:rsidRPr="006F10FA">
        <w:t>he could return to work from a cardiac standpoint, putting that timeframe in mid-to-late December. But that estimate did not account for his orthopedic injuries, which required additional recovery time.</w:t>
      </w:r>
    </w:p>
    <w:p w14:paraId="6E806570" w14:textId="77777777" w:rsidR="008C3834" w:rsidRDefault="008C3834" w:rsidP="008C3834">
      <w:pPr>
        <w:ind w:left="720"/>
        <w:rPr>
          <w:vertAlign w:val="superscript"/>
        </w:rPr>
      </w:pPr>
      <w:r w:rsidRPr="00A65F20">
        <w:t xml:space="preserve">Clark County knew about Vannozzi's injuries, medical restrictions, and workers' compensation status. So, while still unable to perform firefighting duties, Vannozzi requested an extension of his one-year probationary period to give him time to recover and return to full duty. Vannozzi alleges that Clark County had extended probationary periods for other injured firefighters, but it refused to do so for him. It also told him that he would </w:t>
      </w:r>
      <w:r>
        <w:t>‘</w:t>
      </w:r>
      <w:r w:rsidRPr="00A65F20">
        <w:t>surely fail</w:t>
      </w:r>
      <w:r>
        <w:t xml:space="preserve">’ </w:t>
      </w:r>
      <w:r w:rsidRPr="00A65F20">
        <w:t>probation even if the department extended his probation and he recovered. Clark County terminated him on December 27, 2023—13 days before his probationary period would have ended.</w:t>
      </w:r>
    </w:p>
    <w:p w14:paraId="4EC06EE0" w14:textId="77777777" w:rsidR="008C3834" w:rsidRPr="00FF04E5" w:rsidRDefault="008C3834" w:rsidP="008C3834">
      <w:pPr>
        <w:ind w:left="720"/>
      </w:pPr>
      <w:r w:rsidRPr="00FF04E5">
        <w:t>***</w:t>
      </w:r>
    </w:p>
    <w:p w14:paraId="476A6483" w14:textId="77777777" w:rsidR="008C3834" w:rsidRPr="00FF04E5" w:rsidRDefault="008C3834" w:rsidP="008C3834">
      <w:pPr>
        <w:ind w:left="720"/>
      </w:pPr>
      <w:r>
        <w:t>[T]</w:t>
      </w:r>
      <w:r w:rsidRPr="00FF04E5">
        <w:t>he Ninth Circuit recognizes that medical leave or an extension of leave may be a reasonable accommodation when it would allow the employee to return to the job's essential functions in the foreseeable future</w:t>
      </w:r>
      <w:r>
        <w:t xml:space="preserve">…. </w:t>
      </w:r>
      <w:r w:rsidRPr="00DF5943">
        <w:t>At this pleading stage, Vannozzi plausibly alleges that he could have been a qualified individual with a finite recovery-time accommodation, so I deny the motion to dismiss on those grounds.</w:t>
      </w:r>
      <w:r>
        <w:t>”</w:t>
      </w:r>
    </w:p>
    <w:p w14:paraId="579EC6F6" w14:textId="77777777" w:rsidR="008C3834" w:rsidRPr="005E465A" w:rsidRDefault="008C3834" w:rsidP="008C3834">
      <w:pPr>
        <w:rPr>
          <w:b/>
        </w:rPr>
      </w:pPr>
      <w:r>
        <w:rPr>
          <w:b/>
        </w:rPr>
        <w:t xml:space="preserve">Legal lesson learned: </w:t>
      </w:r>
      <w:r w:rsidRPr="005E465A">
        <w:rPr>
          <w:b/>
        </w:rPr>
        <w:t xml:space="preserve">Under ADA, requests </w:t>
      </w:r>
      <w:r>
        <w:rPr>
          <w:b/>
        </w:rPr>
        <w:t xml:space="preserve">by an injured employee </w:t>
      </w:r>
      <w:r w:rsidRPr="005E465A">
        <w:rPr>
          <w:b/>
        </w:rPr>
        <w:t>for a</w:t>
      </w:r>
      <w:r>
        <w:rPr>
          <w:b/>
        </w:rPr>
        <w:t xml:space="preserve"> reasonable  </w:t>
      </w:r>
      <w:r w:rsidRPr="005E465A">
        <w:rPr>
          <w:b/>
        </w:rPr>
        <w:t xml:space="preserve">extension </w:t>
      </w:r>
      <w:r>
        <w:rPr>
          <w:b/>
        </w:rPr>
        <w:t xml:space="preserve">of </w:t>
      </w:r>
      <w:r w:rsidRPr="005E465A">
        <w:rPr>
          <w:b/>
        </w:rPr>
        <w:t>recovery</w:t>
      </w:r>
      <w:r>
        <w:rPr>
          <w:b/>
        </w:rPr>
        <w:t xml:space="preserve"> time can be considered </w:t>
      </w:r>
      <w:proofErr w:type="gramStart"/>
      <w:r>
        <w:rPr>
          <w:b/>
        </w:rPr>
        <w:t>a</w:t>
      </w:r>
      <w:proofErr w:type="gramEnd"/>
      <w:r w:rsidRPr="005E465A">
        <w:rPr>
          <w:b/>
        </w:rPr>
        <w:t xml:space="preserve"> ADA-protected right</w:t>
      </w:r>
      <w:r>
        <w:rPr>
          <w:b/>
        </w:rPr>
        <w:t>;</w:t>
      </w:r>
      <w:r w:rsidRPr="005E465A">
        <w:rPr>
          <w:b/>
        </w:rPr>
        <w:t xml:space="preserve"> case will proceed with pre-trial discovery. </w:t>
      </w:r>
    </w:p>
    <w:p w14:paraId="1C03AEE4" w14:textId="77777777" w:rsidR="00535EBD" w:rsidRDefault="00535EBD" w:rsidP="008C3834">
      <w:pPr>
        <w:rPr>
          <w:rFonts w:ascii="Arial Black" w:hAnsi="Arial Black"/>
          <w:bCs/>
          <w:sz w:val="24"/>
          <w:szCs w:val="24"/>
        </w:rPr>
      </w:pPr>
    </w:p>
    <w:p w14:paraId="0143AF40" w14:textId="526F89BB" w:rsidR="008C3834" w:rsidRPr="00535EBD" w:rsidRDefault="00535EBD" w:rsidP="008C3834">
      <w:pPr>
        <w:rPr>
          <w:rFonts w:ascii="Arial Black" w:hAnsi="Arial Black"/>
          <w:bCs/>
          <w:sz w:val="24"/>
          <w:szCs w:val="24"/>
        </w:rPr>
      </w:pPr>
      <w:r w:rsidRPr="00535EBD">
        <w:rPr>
          <w:rFonts w:ascii="Arial Black" w:hAnsi="Arial Black"/>
          <w:bCs/>
          <w:sz w:val="24"/>
          <w:szCs w:val="24"/>
        </w:rPr>
        <w:t>9-66 [also filed, Chap. 15, Mental health]</w:t>
      </w:r>
    </w:p>
    <w:p w14:paraId="75EC92C3" w14:textId="77777777" w:rsidR="00A0752D" w:rsidRPr="00E60E4B" w:rsidRDefault="00A0752D" w:rsidP="00A0752D">
      <w:pPr>
        <w:rPr>
          <w:rFonts w:ascii="Arial Black" w:hAnsi="Arial Black"/>
          <w:b/>
          <w:sz w:val="28"/>
          <w:szCs w:val="28"/>
        </w:rPr>
      </w:pPr>
      <w:r>
        <w:rPr>
          <w:rFonts w:ascii="Arial Black" w:hAnsi="Arial Black"/>
          <w:b/>
          <w:sz w:val="28"/>
          <w:szCs w:val="28"/>
        </w:rPr>
        <w:t xml:space="preserve">KY: FIRE MARSHAL – NO MJ - SUICIDE ATTEMPT ADDERALL </w:t>
      </w:r>
    </w:p>
    <w:p w14:paraId="0FC738A1" w14:textId="77777777" w:rsidR="00A0752D" w:rsidRDefault="00A0752D" w:rsidP="00A0752D">
      <w:pPr>
        <w:pStyle w:val="NoSpacing"/>
      </w:pPr>
      <w:r>
        <w:t xml:space="preserve">On May 5, 2026, in </w:t>
      </w:r>
      <w:r w:rsidRPr="00BE6F41">
        <w:rPr>
          <w:u w:val="single"/>
        </w:rPr>
        <w:t>Joseph Wheeling v. City of Winchester</w:t>
      </w:r>
      <w:r>
        <w:t xml:space="preserve">, U.S. District Court Judge </w:t>
      </w:r>
      <w:r w:rsidRPr="003F4A5C">
        <w:t>Karen K. Caldwel</w:t>
      </w:r>
      <w:r>
        <w:t xml:space="preserve">, United States District Court for Eastern District of Kentucky, Central Division, Lexington, granted the City’s motion for summary judgment on his May 16, </w:t>
      </w:r>
      <w:proofErr w:type="gramStart"/>
      <w:r>
        <w:t>2023</w:t>
      </w:r>
      <w:proofErr w:type="gramEnd"/>
      <w:r>
        <w:t xml:space="preserve"> termination for breach of city’s drug policy - abuse of proscribed medication.  The Fire Marshal had taken FMLA leave </w:t>
      </w:r>
      <w:r w:rsidRPr="00D73A56">
        <w:t>June 22</w:t>
      </w:r>
      <w:r>
        <w:t>-</w:t>
      </w:r>
      <w:r w:rsidRPr="00D73A56">
        <w:t xml:space="preserve">25, 2022, </w:t>
      </w:r>
      <w:r>
        <w:t xml:space="preserve">for </w:t>
      </w:r>
      <w:r w:rsidRPr="00D73A56">
        <w:t>in-patient treatment at the International Association of Fire Fighters Center for Excellence</w:t>
      </w:r>
      <w:r>
        <w:t xml:space="preserve">, and upon return he was receiving treatment </w:t>
      </w:r>
      <w:r w:rsidRPr="00216F9E">
        <w:t>Bluegrass Behavioral Health and Consulting Services</w:t>
      </w:r>
      <w:r>
        <w:t xml:space="preserve">.  After a second FMLA, the </w:t>
      </w:r>
      <w:proofErr w:type="gramStart"/>
      <w:r>
        <w:t>City</w:t>
      </w:r>
      <w:proofErr w:type="gramEnd"/>
      <w:r>
        <w:t xml:space="preserve"> declined his return to work using proscribed marijuana, so he was proscribed Adderall.  He r</w:t>
      </w:r>
      <w:r w:rsidRPr="00724F86">
        <w:t>eturned to work on March 14, 2023</w:t>
      </w:r>
      <w:r>
        <w:t xml:space="preserve">; but on </w:t>
      </w:r>
      <w:r w:rsidRPr="00147A46">
        <w:t xml:space="preserve">March 31, 2023, Wheeling attempted suicide while at work by </w:t>
      </w:r>
      <w:r w:rsidRPr="00D600CD">
        <w:t>ingesting about 9 or 11 Adderall pills.</w:t>
      </w:r>
      <w:r>
        <w:t xml:space="preserve"> THE COURT WROTE: “</w:t>
      </w:r>
      <w:r w:rsidRPr="00835EAE">
        <w:t xml:space="preserve">Because the record conclusively reveals a nondiscriminatory reason for the termination, the </w:t>
      </w:r>
      <w:proofErr w:type="gramStart"/>
      <w:r w:rsidRPr="00835EAE">
        <w:t>City</w:t>
      </w:r>
      <w:proofErr w:type="gramEnd"/>
      <w:r w:rsidRPr="00835EAE">
        <w:t xml:space="preserve"> is entitled to summary judgment on the disability discrimination claim</w:t>
      </w:r>
      <w:r>
        <w:t xml:space="preserve">…. </w:t>
      </w:r>
      <w:r w:rsidRPr="00E60E4B">
        <w:t xml:space="preserve"> Here, the written job requirements, the undisputed testimony from Wheeling and his supervisors, and the duties inherent in being a first responder indicate that field inspections and fire prevention </w:t>
      </w:r>
      <w:proofErr w:type="gramStart"/>
      <w:r w:rsidRPr="00E60E4B">
        <w:t>is</w:t>
      </w:r>
      <w:proofErr w:type="gramEnd"/>
      <w:r w:rsidRPr="00E60E4B">
        <w:t xml:space="preserve"> essential to performing the Fire Marshal role. The </w:t>
      </w:r>
      <w:proofErr w:type="gramStart"/>
      <w:r w:rsidRPr="00E60E4B">
        <w:t>City</w:t>
      </w:r>
      <w:proofErr w:type="gramEnd"/>
      <w:r w:rsidRPr="00E60E4B">
        <w:t xml:space="preserve"> was not required to reassign Wheeling's fire inspection and prevention responsibilities to other employees</w:t>
      </w:r>
      <w:r>
        <w:t xml:space="preserve">…. </w:t>
      </w:r>
      <w:r w:rsidRPr="00E60E4B">
        <w:t xml:space="preserve">Therefore, based on the record, Wheeling's request to have other employees help with </w:t>
      </w:r>
      <w:r>
        <w:t>‘</w:t>
      </w:r>
      <w:r w:rsidRPr="00E60E4B">
        <w:t xml:space="preserve">fire </w:t>
      </w:r>
      <w:proofErr w:type="gramStart"/>
      <w:r w:rsidRPr="00E60E4B">
        <w:t>inspections</w:t>
      </w:r>
      <w:r>
        <w:t>’</w:t>
      </w:r>
      <w:r w:rsidRPr="00E60E4B">
        <w:t xml:space="preserve"> and </w:t>
      </w:r>
      <w:r>
        <w:t>‘</w:t>
      </w:r>
      <w:proofErr w:type="gramEnd"/>
      <w:r w:rsidRPr="00E60E4B">
        <w:t>fire prevention</w:t>
      </w:r>
      <w:r>
        <w:t xml:space="preserve">’ </w:t>
      </w:r>
      <w:r w:rsidRPr="00E60E4B">
        <w:t xml:space="preserve">seeks </w:t>
      </w:r>
      <w:proofErr w:type="gramStart"/>
      <w:r w:rsidRPr="00E60E4B">
        <w:t>an accommodation</w:t>
      </w:r>
      <w:proofErr w:type="gramEnd"/>
      <w:r w:rsidRPr="00E60E4B">
        <w:t xml:space="preserve"> relating to the most fundamental aspects of the job. On this evidence, no reasonable jury could conclude that Wheeling's accommodation request would not eliminate or reallocate the most essential functions of his job</w:t>
      </w:r>
      <w:r>
        <w:t xml:space="preserve">…. </w:t>
      </w:r>
      <w:r w:rsidRPr="00E60E4B">
        <w:t xml:space="preserve">Because Wheeling failed to provide a reasonable accommodation request, his failure to accommodate claim fails as a matter of </w:t>
      </w:r>
      <w:proofErr w:type="gramStart"/>
      <w:r w:rsidRPr="00E60E4B">
        <w:t>law.</w:t>
      </w:r>
      <w:r>
        <w:t>”</w:t>
      </w:r>
      <w:proofErr w:type="gramEnd"/>
      <w:r>
        <w:t xml:space="preserve"> </w:t>
      </w:r>
      <w:hyperlink r:id="rId1607" w:history="1">
        <w:r w:rsidRPr="00BC462E">
          <w:rPr>
            <w:rStyle w:val="Hyperlink"/>
          </w:rPr>
          <w:t>https://cases.justia.com/federal/district-courts/kentucky/kyedce/5:2024cv00129/104855/29/0.pdf?ts=1778093974</w:t>
        </w:r>
      </w:hyperlink>
      <w:r>
        <w:t xml:space="preserve"> </w:t>
      </w:r>
    </w:p>
    <w:p w14:paraId="68D440A4" w14:textId="77777777" w:rsidR="00A0752D" w:rsidRDefault="00A0752D" w:rsidP="00A0752D">
      <w:pPr>
        <w:pStyle w:val="NoSpacing"/>
      </w:pPr>
    </w:p>
    <w:p w14:paraId="31C0D0B6" w14:textId="77777777" w:rsidR="00A0752D" w:rsidRDefault="00A0752D" w:rsidP="00A0752D">
      <w:pPr>
        <w:pStyle w:val="NoSpacing"/>
      </w:pPr>
      <w:r>
        <w:t xml:space="preserve">THE COURT HELD: </w:t>
      </w:r>
    </w:p>
    <w:p w14:paraId="4D1396A1" w14:textId="77777777" w:rsidR="00A0752D" w:rsidRDefault="00A0752D" w:rsidP="00A0752D">
      <w:pPr>
        <w:pStyle w:val="NoSpacing"/>
      </w:pPr>
    </w:p>
    <w:p w14:paraId="03868764" w14:textId="77777777" w:rsidR="00A0752D" w:rsidRDefault="00A0752D" w:rsidP="00A0752D">
      <w:pPr>
        <w:pStyle w:val="NoSpacing"/>
        <w:ind w:left="720"/>
      </w:pPr>
      <w:r>
        <w:t>“</w:t>
      </w:r>
      <w:r w:rsidRPr="00CF2083">
        <w:t>Wheeling identifies two potential accommodations that could have aided him in his employment: using medical marijuana and additional personnel to assist him in the office</w:t>
      </w:r>
      <w:r>
        <w:t xml:space="preserve">…. </w:t>
      </w:r>
      <w:r w:rsidRPr="006A2B36">
        <w:t xml:space="preserve">The City's letter explained </w:t>
      </w:r>
      <w:proofErr w:type="gramStart"/>
      <w:r w:rsidRPr="006A2B36">
        <w:t>that,</w:t>
      </w:r>
      <w:proofErr w:type="gramEnd"/>
      <w:r w:rsidRPr="006A2B36">
        <w:t xml:space="preserve"> </w:t>
      </w:r>
      <w:r>
        <w:t>‘</w:t>
      </w:r>
      <w:r w:rsidRPr="006A2B36">
        <w:t xml:space="preserve">[Wheeling's] position of employment with the </w:t>
      </w:r>
      <w:proofErr w:type="gramStart"/>
      <w:r w:rsidRPr="006A2B36">
        <w:t>City</w:t>
      </w:r>
      <w:proofErr w:type="gramEnd"/>
      <w:r w:rsidRPr="006A2B36">
        <w:t xml:space="preserve"> is a heightened safety awareness level position (HSAL) that involves exceptional duties to the community citizens in the area of public safety.</w:t>
      </w:r>
      <w:r>
        <w:t xml:space="preserve">’ …. </w:t>
      </w:r>
      <w:r w:rsidRPr="006A2B36">
        <w:t xml:space="preserve">Because of the heightened safety level required of his position, the </w:t>
      </w:r>
      <w:proofErr w:type="gramStart"/>
      <w:r w:rsidRPr="006A2B36">
        <w:t>City</w:t>
      </w:r>
      <w:proofErr w:type="gramEnd"/>
      <w:r w:rsidRPr="006A2B36">
        <w:t xml:space="preserve"> explicitly prohibited his use of medical marijuana. </w:t>
      </w:r>
    </w:p>
    <w:p w14:paraId="5B04C631" w14:textId="77777777" w:rsidR="00A0752D" w:rsidRDefault="00A0752D" w:rsidP="00A0752D">
      <w:pPr>
        <w:pStyle w:val="NoSpacing"/>
        <w:ind w:left="720"/>
      </w:pPr>
    </w:p>
    <w:p w14:paraId="61342ED9" w14:textId="77777777" w:rsidR="00A0752D" w:rsidRDefault="00A0752D" w:rsidP="00A0752D">
      <w:pPr>
        <w:pStyle w:val="NoSpacing"/>
        <w:ind w:left="720"/>
      </w:pPr>
      <w:r>
        <w:t>***</w:t>
      </w:r>
    </w:p>
    <w:p w14:paraId="29F62E00" w14:textId="77777777" w:rsidR="00A0752D" w:rsidRDefault="00A0752D" w:rsidP="00A0752D">
      <w:pPr>
        <w:pStyle w:val="NoSpacing"/>
        <w:ind w:left="720"/>
      </w:pPr>
    </w:p>
    <w:p w14:paraId="644F7071" w14:textId="77777777" w:rsidR="00A0752D" w:rsidRPr="00A43D41" w:rsidRDefault="00A0752D" w:rsidP="00A0752D">
      <w:pPr>
        <w:pStyle w:val="NoSpacing"/>
        <w:ind w:left="720"/>
      </w:pPr>
      <w:r w:rsidRPr="00A43D41">
        <w:t xml:space="preserve">Wheeling's healthcare provider responded with a March 1, </w:t>
      </w:r>
      <w:proofErr w:type="gramStart"/>
      <w:r w:rsidRPr="00A43D41">
        <w:t>2023, letter</w:t>
      </w:r>
      <w:proofErr w:type="gramEnd"/>
      <w:r w:rsidRPr="00A43D41">
        <w:t xml:space="preserve">: </w:t>
      </w:r>
    </w:p>
    <w:p w14:paraId="569992F7" w14:textId="77777777" w:rsidR="00A0752D" w:rsidRDefault="00A0752D" w:rsidP="00A0752D">
      <w:pPr>
        <w:pStyle w:val="NoSpacing"/>
        <w:ind w:left="720" w:firstLine="720"/>
      </w:pPr>
    </w:p>
    <w:p w14:paraId="5CA7E77E" w14:textId="77777777" w:rsidR="00A0752D" w:rsidRPr="00A43D41" w:rsidRDefault="00A0752D" w:rsidP="00A0752D">
      <w:pPr>
        <w:pStyle w:val="NoSpacing"/>
        <w:ind w:left="1440"/>
      </w:pPr>
      <w:r w:rsidRPr="00A43D41">
        <w:t xml:space="preserve">This letter is to certify that Joseph Wheeling has been released to return to work effective immediately with the following accommodation(s): </w:t>
      </w:r>
    </w:p>
    <w:p w14:paraId="3068BDD7" w14:textId="77777777" w:rsidR="00A0752D" w:rsidRPr="00A43D41" w:rsidRDefault="00A0752D" w:rsidP="00A0752D">
      <w:pPr>
        <w:pStyle w:val="NoSpacing"/>
        <w:ind w:left="1440"/>
      </w:pPr>
      <w:r w:rsidRPr="00A43D41">
        <w:t xml:space="preserve">• Scheduling flexibility to allow him to continue his medical treatment which includes weekly </w:t>
      </w:r>
      <w:proofErr w:type="spellStart"/>
      <w:r w:rsidRPr="00A43D41">
        <w:t>Spravato</w:t>
      </w:r>
      <w:proofErr w:type="spellEnd"/>
      <w:r w:rsidRPr="00A43D41">
        <w:t xml:space="preserve"> treatment and therapy. </w:t>
      </w:r>
    </w:p>
    <w:p w14:paraId="3D47BE9E" w14:textId="77777777" w:rsidR="00A0752D" w:rsidRPr="00A43D41" w:rsidRDefault="00A0752D" w:rsidP="00A0752D">
      <w:pPr>
        <w:pStyle w:val="NoSpacing"/>
        <w:ind w:left="1440"/>
      </w:pPr>
      <w:r w:rsidRPr="00A43D41">
        <w:t xml:space="preserve">Please note that additional </w:t>
      </w:r>
      <w:proofErr w:type="gramStart"/>
      <w:r w:rsidRPr="00A43D41">
        <w:t>accommodations</w:t>
      </w:r>
      <w:proofErr w:type="gramEnd"/>
      <w:r w:rsidRPr="00A43D41">
        <w:t xml:space="preserve"> may be required in the future and are dependent on progress/status. </w:t>
      </w:r>
    </w:p>
    <w:p w14:paraId="04688141" w14:textId="77777777" w:rsidR="00A0752D" w:rsidRPr="00A43D41" w:rsidRDefault="00A0752D" w:rsidP="00A0752D">
      <w:pPr>
        <w:pStyle w:val="NoSpacing"/>
        <w:ind w:left="1440"/>
      </w:pPr>
      <w:r w:rsidRPr="00A43D41">
        <w:t xml:space="preserve">Please note that it is felt that the </w:t>
      </w:r>
      <w:proofErr w:type="gramStart"/>
      <w:r w:rsidRPr="00A43D41">
        <w:t>above mentioned</w:t>
      </w:r>
      <w:proofErr w:type="gramEnd"/>
      <w:r w:rsidRPr="00A43D41">
        <w:t xml:space="preserve"> is capable of safely performing the required functions of his job while taking his current prescribed medications: </w:t>
      </w:r>
      <w:proofErr w:type="spellStart"/>
      <w:r w:rsidRPr="00A43D41">
        <w:t>Spravato</w:t>
      </w:r>
      <w:proofErr w:type="spellEnd"/>
      <w:r w:rsidRPr="00A43D41">
        <w:t xml:space="preserve"> (administered in office, once weekly, and Clonazepam 0.5mg twice daily as needed. </w:t>
      </w:r>
    </w:p>
    <w:p w14:paraId="38334386" w14:textId="77777777" w:rsidR="00A0752D" w:rsidRDefault="00A0752D" w:rsidP="00A0752D">
      <w:pPr>
        <w:pStyle w:val="NoSpacing"/>
        <w:ind w:left="720"/>
      </w:pPr>
    </w:p>
    <w:p w14:paraId="21B24C44" w14:textId="77777777" w:rsidR="00A0752D" w:rsidRDefault="00A0752D" w:rsidP="00A0752D">
      <w:pPr>
        <w:pStyle w:val="NoSpacing"/>
        <w:ind w:left="720"/>
      </w:pPr>
      <w:r w:rsidRPr="00077FEA">
        <w:t xml:space="preserve">After </w:t>
      </w:r>
      <w:proofErr w:type="gramStart"/>
      <w:r w:rsidRPr="00077FEA">
        <w:t>receipt of</w:t>
      </w:r>
      <w:proofErr w:type="gramEnd"/>
      <w:r w:rsidRPr="00077FEA">
        <w:t xml:space="preserve"> the letter, the City confirmed that the proposed treatment plan complied with its policies.</w:t>
      </w:r>
    </w:p>
    <w:p w14:paraId="50248559" w14:textId="77777777" w:rsidR="00A0752D" w:rsidRDefault="00A0752D" w:rsidP="00A0752D">
      <w:pPr>
        <w:pStyle w:val="NoSpacing"/>
        <w:ind w:left="720"/>
      </w:pPr>
    </w:p>
    <w:p w14:paraId="241C8D76" w14:textId="77777777" w:rsidR="00A0752D" w:rsidRDefault="00A0752D" w:rsidP="00A0752D">
      <w:pPr>
        <w:pStyle w:val="NoSpacing"/>
        <w:ind w:left="720"/>
      </w:pPr>
      <w:r>
        <w:t>***</w:t>
      </w:r>
    </w:p>
    <w:p w14:paraId="766BB172" w14:textId="77777777" w:rsidR="00A0752D" w:rsidRDefault="00A0752D" w:rsidP="00A0752D">
      <w:pPr>
        <w:pStyle w:val="NoSpacing"/>
        <w:ind w:left="720"/>
      </w:pPr>
      <w:r w:rsidRPr="00746CE2">
        <w:t xml:space="preserve">The </w:t>
      </w:r>
      <w:proofErr w:type="gramStart"/>
      <w:r w:rsidRPr="00746CE2">
        <w:t>City</w:t>
      </w:r>
      <w:proofErr w:type="gramEnd"/>
      <w:r w:rsidRPr="00746CE2">
        <w:t xml:space="preserve"> was not required to reassign Wheeling's fire inspection and prevention responsibilities to other employees</w:t>
      </w:r>
      <w:r>
        <w:t xml:space="preserve">…. </w:t>
      </w:r>
      <w:r w:rsidRPr="00746CE2">
        <w:t xml:space="preserve">Therefore, based on the record, Wheeling's request to have other employees help with </w:t>
      </w:r>
      <w:r>
        <w:t>‘</w:t>
      </w:r>
      <w:r w:rsidRPr="00746CE2">
        <w:t xml:space="preserve">fire </w:t>
      </w:r>
      <w:proofErr w:type="gramStart"/>
      <w:r w:rsidRPr="00746CE2">
        <w:t>inspections</w:t>
      </w:r>
      <w:r>
        <w:t>’</w:t>
      </w:r>
      <w:r w:rsidRPr="00746CE2">
        <w:t xml:space="preserve"> and </w:t>
      </w:r>
      <w:r>
        <w:t>‘</w:t>
      </w:r>
      <w:proofErr w:type="gramEnd"/>
      <w:r w:rsidRPr="00746CE2">
        <w:t>fire prevention</w:t>
      </w:r>
      <w:r>
        <w:t>’</w:t>
      </w:r>
      <w:r w:rsidRPr="00746CE2">
        <w:t xml:space="preserve"> seeks </w:t>
      </w:r>
      <w:proofErr w:type="gramStart"/>
      <w:r w:rsidRPr="00746CE2">
        <w:t>an accommodation</w:t>
      </w:r>
      <w:proofErr w:type="gramEnd"/>
      <w:r w:rsidRPr="00746CE2">
        <w:t xml:space="preserve"> relating to the most fundamental aspects of the job. On this evidence, no reasonable jury could conclude that Wheeling's accommodation request would not eliminate or reallocate the most essential functions of his job</w:t>
      </w:r>
      <w:r>
        <w:t xml:space="preserve">…. </w:t>
      </w:r>
      <w:r w:rsidRPr="00746CE2">
        <w:t xml:space="preserve">Because Wheeling failed to provide a reasonable accommodation request, his failure to accommodate claim fails as a matter of </w:t>
      </w:r>
      <w:proofErr w:type="gramStart"/>
      <w:r w:rsidRPr="00746CE2">
        <w:t>law.</w:t>
      </w:r>
      <w:r>
        <w:t>”</w:t>
      </w:r>
      <w:proofErr w:type="gramEnd"/>
    </w:p>
    <w:p w14:paraId="1C834A7E" w14:textId="77777777" w:rsidR="00A0752D" w:rsidRDefault="00A0752D" w:rsidP="00A0752D">
      <w:pPr>
        <w:pStyle w:val="NoSpacing"/>
        <w:ind w:left="720"/>
      </w:pPr>
    </w:p>
    <w:p w14:paraId="73CD82C9" w14:textId="77777777" w:rsidR="00A0752D" w:rsidRDefault="00A0752D" w:rsidP="00A0752D">
      <w:pPr>
        <w:pStyle w:val="NoSpacing"/>
        <w:rPr>
          <w:b/>
          <w:bCs/>
        </w:rPr>
      </w:pPr>
      <w:r>
        <w:rPr>
          <w:b/>
        </w:rPr>
        <w:t xml:space="preserve">Legal lesson learned: The ADA does not require an employer to allow use of proscribed marijuana for an emergency responder. </w:t>
      </w:r>
    </w:p>
    <w:p w14:paraId="2E1F5002" w14:textId="77777777" w:rsidR="00A0752D" w:rsidRDefault="00A0752D" w:rsidP="00A0752D">
      <w:pPr>
        <w:pStyle w:val="NoSpacing"/>
        <w:rPr>
          <w:b/>
          <w:bCs/>
        </w:rPr>
      </w:pPr>
    </w:p>
    <w:p w14:paraId="024D214A" w14:textId="77777777" w:rsidR="00A0752D" w:rsidRPr="00CC791A" w:rsidRDefault="00A0752D" w:rsidP="00A0752D">
      <w:pPr>
        <w:pStyle w:val="NoSpacing"/>
        <w:ind w:left="720"/>
      </w:pPr>
      <w:r w:rsidRPr="00CC791A">
        <w:t>Note: Good news. The Court wrote that “Wheeling is currently employed at the Clark County Fire Department, which is also where he began his career as a firefighter in 2008.”</w:t>
      </w:r>
    </w:p>
    <w:p w14:paraId="6402CF13" w14:textId="77777777" w:rsidR="00A0752D" w:rsidRDefault="00A0752D" w:rsidP="00A0752D">
      <w:pPr>
        <w:pStyle w:val="NoSpacing"/>
        <w:rPr>
          <w:rFonts w:ascii="Arial Black" w:hAnsi="Arial Black"/>
          <w:sz w:val="24"/>
          <w:szCs w:val="24"/>
        </w:rPr>
      </w:pPr>
    </w:p>
    <w:p w14:paraId="1CA6E299" w14:textId="77777777" w:rsidR="008C3834" w:rsidRPr="00225ABE" w:rsidRDefault="008C3834" w:rsidP="008C3834">
      <w:pPr>
        <w:rPr>
          <w:bCs/>
        </w:rPr>
      </w:pPr>
    </w:p>
    <w:p w14:paraId="494FD1D6" w14:textId="77777777" w:rsidR="008C3834" w:rsidRDefault="008C3834" w:rsidP="008C3834">
      <w:pPr>
        <w:rPr>
          <w:bCs/>
        </w:rPr>
      </w:pPr>
    </w:p>
    <w:p w14:paraId="782AFD0C" w14:textId="77777777" w:rsidR="008C3834" w:rsidRDefault="008C3834" w:rsidP="00B35478">
      <w:pPr>
        <w:pStyle w:val="NoSpacing"/>
        <w:rPr>
          <w:rFonts w:ascii="Arial Black" w:hAnsi="Arial Black"/>
          <w:sz w:val="28"/>
          <w:szCs w:val="28"/>
        </w:rPr>
      </w:pPr>
    </w:p>
    <w:p w14:paraId="7C9338C7" w14:textId="77777777" w:rsidR="008C3834" w:rsidRDefault="008C3834" w:rsidP="00B35478">
      <w:pPr>
        <w:pStyle w:val="NoSpacing"/>
        <w:rPr>
          <w:rFonts w:ascii="Arial Black" w:hAnsi="Arial Black"/>
          <w:sz w:val="28"/>
          <w:szCs w:val="28"/>
        </w:rPr>
      </w:pPr>
    </w:p>
    <w:p w14:paraId="4F5A2076" w14:textId="68C9BE84" w:rsidR="00B35478" w:rsidRDefault="00A0752D" w:rsidP="00B35478">
      <w:pPr>
        <w:pStyle w:val="NoSpacing"/>
        <w:rPr>
          <w:rFonts w:ascii="Arial Black" w:hAnsi="Arial Black"/>
          <w:sz w:val="28"/>
          <w:szCs w:val="28"/>
        </w:rPr>
      </w:pPr>
      <w:r>
        <w:rPr>
          <w:rFonts w:ascii="Arial Black" w:hAnsi="Arial Black"/>
          <w:sz w:val="28"/>
          <w:szCs w:val="28"/>
        </w:rPr>
        <w:t>9</w:t>
      </w:r>
      <w:r w:rsidR="00B35478">
        <w:rPr>
          <w:rFonts w:ascii="Arial Black" w:hAnsi="Arial Black"/>
          <w:sz w:val="28"/>
          <w:szCs w:val="28"/>
        </w:rPr>
        <w:t>-</w:t>
      </w:r>
      <w:r w:rsidR="00535EBD">
        <w:rPr>
          <w:rFonts w:ascii="Arial Black" w:hAnsi="Arial Black"/>
          <w:sz w:val="28"/>
          <w:szCs w:val="28"/>
        </w:rPr>
        <w:t>65</w:t>
      </w:r>
      <w:r w:rsidR="00B35478">
        <w:rPr>
          <w:rFonts w:ascii="Arial Black" w:hAnsi="Arial Black"/>
          <w:sz w:val="28"/>
          <w:szCs w:val="28"/>
        </w:rPr>
        <w:t xml:space="preserve"> [also filed, Chap. 14, Physical Fitness]</w:t>
      </w:r>
    </w:p>
    <w:p w14:paraId="4F9C2A0E" w14:textId="77777777" w:rsidR="00B35478" w:rsidRDefault="00B35478" w:rsidP="00B35478">
      <w:pPr>
        <w:pStyle w:val="NoSpacing"/>
        <w:rPr>
          <w:rFonts w:ascii="Arial Black" w:hAnsi="Arial Black"/>
          <w:sz w:val="28"/>
          <w:szCs w:val="28"/>
        </w:rPr>
      </w:pPr>
    </w:p>
    <w:p w14:paraId="35063719" w14:textId="77777777" w:rsidR="00B35478" w:rsidRDefault="00B35478" w:rsidP="00B35478">
      <w:pPr>
        <w:pStyle w:val="NoSpacing"/>
        <w:rPr>
          <w:rFonts w:ascii="Arial Black" w:hAnsi="Arial Black"/>
          <w:bCs/>
          <w:sz w:val="28"/>
          <w:szCs w:val="28"/>
        </w:rPr>
      </w:pPr>
      <w:r>
        <w:rPr>
          <w:rFonts w:ascii="Arial Black" w:hAnsi="Arial Black"/>
          <w:sz w:val="28"/>
          <w:szCs w:val="28"/>
        </w:rPr>
        <w:t>MD: DEPRESSION – SLOWER STATION – CASE PROCEED</w:t>
      </w:r>
    </w:p>
    <w:p w14:paraId="4A7C9605" w14:textId="77777777" w:rsidR="00B35478" w:rsidRDefault="00B35478" w:rsidP="00B35478">
      <w:pPr>
        <w:pStyle w:val="NoSpacing"/>
        <w:rPr>
          <w:rFonts w:ascii="Arial Black" w:hAnsi="Arial Black"/>
          <w:bCs/>
          <w:sz w:val="28"/>
          <w:szCs w:val="28"/>
        </w:rPr>
      </w:pPr>
    </w:p>
    <w:p w14:paraId="289412C9" w14:textId="77777777" w:rsidR="00B35478" w:rsidRDefault="00B35478" w:rsidP="00B35478">
      <w:pPr>
        <w:pStyle w:val="NoSpacing"/>
      </w:pPr>
      <w:r>
        <w:t xml:space="preserve">On April 28, 2025, in </w:t>
      </w:r>
      <w:r w:rsidRPr="00636B1D">
        <w:rPr>
          <w:u w:val="single"/>
        </w:rPr>
        <w:t xml:space="preserve">Mark R. Levy v. Howard County, Maryland and Howard County Fire </w:t>
      </w:r>
      <w:proofErr w:type="gramStart"/>
      <w:r w:rsidRPr="00636B1D">
        <w:rPr>
          <w:u w:val="single"/>
        </w:rPr>
        <w:t>And</w:t>
      </w:r>
      <w:proofErr w:type="gramEnd"/>
      <w:r w:rsidRPr="00636B1D">
        <w:rPr>
          <w:u w:val="single"/>
        </w:rPr>
        <w:t xml:space="preserve"> Rescue,</w:t>
      </w:r>
      <w:r>
        <w:t xml:space="preserve"> U.S. Senior District Court Judge </w:t>
      </w:r>
      <w:r w:rsidRPr="000725BC">
        <w:t>Richard D. Bennett</w:t>
      </w:r>
      <w:r>
        <w:t xml:space="preserve">, United States District Court for the District of Maryland, denied plaintiff’s motion for pre-trial </w:t>
      </w:r>
      <w:r w:rsidRPr="00467BB4">
        <w:t>declaratory</w:t>
      </w:r>
      <w:r>
        <w:t xml:space="preserve"> judgement; case will proceed with pre-trial discovery. The firefighter / paramedic has </w:t>
      </w:r>
      <w:r w:rsidRPr="004765D7">
        <w:t>been diagnosed with anxiety and depression since 2002</w:t>
      </w:r>
      <w:r>
        <w:t>; the case will proceed with pre-trial discovery.  The Court wrote: “</w:t>
      </w:r>
      <w:r w:rsidRPr="00832DBD">
        <w:t>To be clear, it is Levy's burden in this case of proving that he is a qualified individual with a disability and that, with a reasonable accommodation, he would be able to properly do the job of a Fire Fighter/Paramedic at Station 3.</w:t>
      </w:r>
      <w:r>
        <w:t xml:space="preserve">”  </w:t>
      </w:r>
      <w:hyperlink r:id="rId1608" w:history="1">
        <w:r w:rsidRPr="003A1948">
          <w:rPr>
            <w:rStyle w:val="Hyperlink"/>
          </w:rPr>
          <w:t>https://cases.justia.com/federal/district-courts/maryland/mddce/1:2024cv03580/573207/56/0.pdf?ts=1777474810</w:t>
        </w:r>
      </w:hyperlink>
      <w:r>
        <w:t xml:space="preserve"> </w:t>
      </w:r>
    </w:p>
    <w:p w14:paraId="53A1821C" w14:textId="77777777" w:rsidR="00B35478" w:rsidRDefault="00B35478" w:rsidP="00B35478">
      <w:pPr>
        <w:pStyle w:val="NoSpacing"/>
      </w:pPr>
    </w:p>
    <w:p w14:paraId="760944E2" w14:textId="77777777" w:rsidR="00B35478" w:rsidRDefault="00B35478" w:rsidP="00B35478">
      <w:pPr>
        <w:pStyle w:val="NoSpacing"/>
      </w:pPr>
      <w:r>
        <w:t xml:space="preserve">THE COURT HELD: </w:t>
      </w:r>
    </w:p>
    <w:p w14:paraId="5CA494B3" w14:textId="77777777" w:rsidR="00B35478" w:rsidRDefault="00B35478" w:rsidP="00B35478">
      <w:pPr>
        <w:pStyle w:val="NoSpacing"/>
      </w:pPr>
    </w:p>
    <w:p w14:paraId="30E987F2" w14:textId="77777777" w:rsidR="00B35478" w:rsidRDefault="00B35478" w:rsidP="00B35478">
      <w:pPr>
        <w:pStyle w:val="NoSpacing"/>
        <w:ind w:left="720"/>
      </w:pPr>
      <w:r>
        <w:t>“</w:t>
      </w:r>
      <w:r w:rsidRPr="004765D7">
        <w:t>Plaintiff Mark R. Levy has been employed as a Fire Fighter/Paramedic with Defendant Howard County Department of Fire and Rescue Services since October 31, 2016</w:t>
      </w:r>
      <w:r>
        <w:t xml:space="preserve">…. </w:t>
      </w:r>
      <w:r w:rsidRPr="004765D7">
        <w:t>Levy alleges that he has been diagnosed with anxiety and depression since 2002</w:t>
      </w:r>
      <w:r>
        <w:t xml:space="preserve">…. </w:t>
      </w:r>
      <w:r w:rsidRPr="004765D7">
        <w:t>As of December 8, 2025, the date Levy filed his First Amended Complaint in this Court, he was assigned to B Shift at Station 3, which is within Battalion 3 of the Howard County Department of Fire and Rescue Services</w:t>
      </w:r>
      <w:r>
        <w:t xml:space="preserve">…. </w:t>
      </w:r>
      <w:r w:rsidRPr="0026656C">
        <w:t>Station 3 is located at 12535 Old Frederick Road in Sykesville, Maryland</w:t>
      </w:r>
      <w:r>
        <w:t xml:space="preserve">…. </w:t>
      </w:r>
      <w:r w:rsidRPr="004765D7">
        <w:t>He asserts that Station 3 has a lower call volume in comparison to other stations within the battalion</w:t>
      </w:r>
      <w:r>
        <w:t xml:space="preserve">…. </w:t>
      </w:r>
      <w:r w:rsidRPr="004765D7">
        <w:t xml:space="preserve">He claims that this lower call volume is the optimal assignment for him to be able to manage his mental health. </w:t>
      </w:r>
    </w:p>
    <w:p w14:paraId="0A111E7E" w14:textId="77777777" w:rsidR="00B35478" w:rsidRDefault="00B35478" w:rsidP="00B35478">
      <w:pPr>
        <w:pStyle w:val="NoSpacing"/>
        <w:ind w:left="720"/>
      </w:pPr>
    </w:p>
    <w:p w14:paraId="4DCB7781" w14:textId="77777777" w:rsidR="00B35478" w:rsidRDefault="00B35478" w:rsidP="00B35478">
      <w:pPr>
        <w:pStyle w:val="NoSpacing"/>
        <w:ind w:left="720"/>
      </w:pPr>
      <w:r>
        <w:t>***</w:t>
      </w:r>
    </w:p>
    <w:p w14:paraId="11B45E64" w14:textId="77777777" w:rsidR="00B35478" w:rsidRDefault="00B35478" w:rsidP="00B35478">
      <w:pPr>
        <w:pStyle w:val="NoSpacing"/>
        <w:ind w:left="720"/>
      </w:pPr>
      <w:r w:rsidRPr="00A26479">
        <w:t>Levy alleges that, on multiple different occasions in 2022, he was reassigned from Station 3 to other stations within Battalion 3</w:t>
      </w:r>
      <w:r>
        <w:t xml:space="preserve">…. </w:t>
      </w:r>
      <w:r w:rsidRPr="00A26479">
        <w:t>Each time, the Department apparently denied his requests to remain at Station 3</w:t>
      </w:r>
      <w:r>
        <w:t xml:space="preserve">…. </w:t>
      </w:r>
      <w:r w:rsidRPr="00A26479">
        <w:t>Levy claims that the Department determined, without engaging in any interactive process, that he did not need a reasonable accommodation</w:t>
      </w:r>
      <w:r>
        <w:t>….</w:t>
      </w:r>
      <w:r w:rsidRPr="00A26479">
        <w:t xml:space="preserve"> Ultimately, after multiple reassignments, Levy was placed at Station 3 under a Temporary Hardship Request</w:t>
      </w:r>
      <w:r>
        <w:t xml:space="preserve">…. </w:t>
      </w:r>
      <w:r w:rsidRPr="00A26479">
        <w:t xml:space="preserve">He contends that the Temporary Hardship Request was </w:t>
      </w:r>
      <w:r>
        <w:t>‘</w:t>
      </w:r>
      <w:r w:rsidRPr="00A26479">
        <w:t>wholly improper and simply an attempt by Defendants to circumvent</w:t>
      </w:r>
      <w:r>
        <w:t xml:space="preserve">’ </w:t>
      </w:r>
      <w:r w:rsidRPr="00A26479">
        <w:t xml:space="preserve"> the ADA's accommodation obligations</w:t>
      </w:r>
      <w:r>
        <w:t xml:space="preserve">…. </w:t>
      </w:r>
      <w:r w:rsidRPr="00A26479">
        <w:t>From the face of the First Amended Complaint, Levy continues to work as a Fire Fighter/Paramedic for the Department.</w:t>
      </w:r>
    </w:p>
    <w:p w14:paraId="4F95E397" w14:textId="77777777" w:rsidR="00B35478" w:rsidRDefault="00B35478" w:rsidP="00B35478">
      <w:pPr>
        <w:pStyle w:val="NoSpacing"/>
        <w:ind w:left="720"/>
      </w:pPr>
    </w:p>
    <w:p w14:paraId="4448F9B6" w14:textId="77777777" w:rsidR="00B35478" w:rsidRDefault="00B35478" w:rsidP="00B35478">
      <w:pPr>
        <w:pStyle w:val="NoSpacing"/>
        <w:ind w:left="720"/>
      </w:pPr>
      <w:r>
        <w:t>***</w:t>
      </w:r>
    </w:p>
    <w:p w14:paraId="3EA09D80" w14:textId="77777777" w:rsidR="00B35478" w:rsidRDefault="00B35478" w:rsidP="00B35478">
      <w:pPr>
        <w:pStyle w:val="NoSpacing"/>
        <w:ind w:left="720"/>
      </w:pPr>
      <w:r w:rsidRPr="00BA13D8">
        <w:t xml:space="preserve">As noted above, Levy seeks declarations in Count Four that (1) he is a qualified individual with a disability; (2) that he can perform the essential functions of his job with a reasonable accommodation; (3) that Defendants have an obligation to engage in the ADA's interactive process with him and explore reasonable alternatives; and (4) that Defendants have an obligation to grant him a reasonable accommodation. </w:t>
      </w:r>
    </w:p>
    <w:p w14:paraId="32C6FDEF" w14:textId="77777777" w:rsidR="00B35478" w:rsidRDefault="00B35478" w:rsidP="00B35478">
      <w:pPr>
        <w:pStyle w:val="NoSpacing"/>
        <w:ind w:left="720"/>
      </w:pPr>
    </w:p>
    <w:p w14:paraId="170889C7" w14:textId="77777777" w:rsidR="00B35478" w:rsidRDefault="00B35478" w:rsidP="00B35478">
      <w:pPr>
        <w:pStyle w:val="NoSpacing"/>
        <w:ind w:left="720"/>
      </w:pPr>
      <w:r>
        <w:t>***</w:t>
      </w:r>
    </w:p>
    <w:p w14:paraId="3D9A4380" w14:textId="77777777" w:rsidR="00B35478" w:rsidRDefault="00B35478" w:rsidP="00B35478">
      <w:pPr>
        <w:pStyle w:val="NoSpacing"/>
        <w:ind w:left="720"/>
      </w:pPr>
      <w:r w:rsidRPr="004A2357">
        <w:t xml:space="preserve">Again, it is Levy's burden to prove that he was entitled to the ADA's interactive process and, ultimately, </w:t>
      </w:r>
      <w:proofErr w:type="gramStart"/>
      <w:r w:rsidRPr="004A2357">
        <w:t>a reasonable</w:t>
      </w:r>
      <w:proofErr w:type="gramEnd"/>
      <w:r w:rsidRPr="004A2357">
        <w:t xml:space="preserve"> accommodation.</w:t>
      </w:r>
      <w:r>
        <w:rPr>
          <w:vertAlign w:val="superscript"/>
        </w:rPr>
        <w:t xml:space="preserve"> </w:t>
      </w:r>
      <w:r w:rsidRPr="004A2357">
        <w:t xml:space="preserve"> In sum, the four declarations that Levy requests in Count Four render that claim duplicative of Count One.</w:t>
      </w:r>
      <w:r>
        <w:t>”</w:t>
      </w:r>
    </w:p>
    <w:p w14:paraId="621C65C8" w14:textId="77777777" w:rsidR="00B35478" w:rsidRDefault="00B35478" w:rsidP="00B35478">
      <w:pPr>
        <w:pStyle w:val="NoSpacing"/>
        <w:ind w:left="720"/>
      </w:pPr>
    </w:p>
    <w:p w14:paraId="76799327" w14:textId="77777777" w:rsidR="00B35478" w:rsidRPr="004A2357" w:rsidRDefault="00B35478" w:rsidP="00B35478">
      <w:pPr>
        <w:rPr>
          <w:b/>
          <w:bCs/>
        </w:rPr>
      </w:pPr>
      <w:r>
        <w:rPr>
          <w:b/>
        </w:rPr>
        <w:t>Legal lesson learned: The firefighter has burden of proof in this ADA case; permanent assignment to a slower station is a unique request for “reasonable accommodation.”</w:t>
      </w:r>
    </w:p>
    <w:p w14:paraId="426799F4" w14:textId="77777777" w:rsidR="008C7243" w:rsidRDefault="008C7243" w:rsidP="00BC4752">
      <w:pPr>
        <w:pStyle w:val="NoSpacing"/>
        <w:rPr>
          <w:rFonts w:ascii="Arial Black" w:hAnsi="Arial Black"/>
          <w:sz w:val="24"/>
          <w:szCs w:val="24"/>
        </w:rPr>
      </w:pPr>
    </w:p>
    <w:p w14:paraId="160CDB06" w14:textId="77777777" w:rsidR="008C7243" w:rsidRDefault="008C7243" w:rsidP="00BC4752">
      <w:pPr>
        <w:pStyle w:val="NoSpacing"/>
        <w:rPr>
          <w:rFonts w:ascii="Arial Black" w:hAnsi="Arial Black"/>
          <w:sz w:val="24"/>
          <w:szCs w:val="24"/>
        </w:rPr>
      </w:pPr>
    </w:p>
    <w:p w14:paraId="2A4AFBE6" w14:textId="77777777" w:rsidR="008C7243" w:rsidRDefault="008C7243" w:rsidP="00BC4752">
      <w:pPr>
        <w:pStyle w:val="NoSpacing"/>
        <w:rPr>
          <w:rFonts w:ascii="Arial Black" w:hAnsi="Arial Black"/>
          <w:sz w:val="24"/>
          <w:szCs w:val="24"/>
        </w:rPr>
      </w:pPr>
    </w:p>
    <w:p w14:paraId="4A87BA82" w14:textId="063B4176" w:rsidR="00BC4752" w:rsidRDefault="001A57F9" w:rsidP="00BC4752">
      <w:pPr>
        <w:pStyle w:val="NoSpacing"/>
        <w:rPr>
          <w:rFonts w:ascii="Arial Black" w:hAnsi="Arial Black"/>
          <w:sz w:val="24"/>
          <w:szCs w:val="24"/>
        </w:rPr>
      </w:pPr>
      <w:r>
        <w:rPr>
          <w:rFonts w:ascii="Arial Black" w:hAnsi="Arial Black"/>
          <w:sz w:val="24"/>
          <w:szCs w:val="24"/>
        </w:rPr>
        <w:t xml:space="preserve">9-64 </w:t>
      </w:r>
      <w:r w:rsidR="00BC4752">
        <w:rPr>
          <w:rFonts w:ascii="Arial Black" w:hAnsi="Arial Black"/>
          <w:sz w:val="24"/>
          <w:szCs w:val="24"/>
        </w:rPr>
        <w:t xml:space="preserve">[also filed, Chap. </w:t>
      </w:r>
      <w:r w:rsidR="008A677D">
        <w:rPr>
          <w:rFonts w:ascii="Arial Black" w:hAnsi="Arial Black"/>
          <w:sz w:val="24"/>
          <w:szCs w:val="24"/>
        </w:rPr>
        <w:t>15</w:t>
      </w:r>
      <w:r w:rsidR="00BC4752">
        <w:rPr>
          <w:rFonts w:ascii="Arial Black" w:hAnsi="Arial Black"/>
          <w:sz w:val="24"/>
          <w:szCs w:val="24"/>
        </w:rPr>
        <w:t xml:space="preserve"> – </w:t>
      </w:r>
      <w:r w:rsidR="008A677D">
        <w:rPr>
          <w:rFonts w:ascii="Arial Black" w:hAnsi="Arial Black"/>
          <w:sz w:val="24"/>
          <w:szCs w:val="24"/>
        </w:rPr>
        <w:t>Mental Health</w:t>
      </w:r>
      <w:r w:rsidR="00BC4752">
        <w:rPr>
          <w:rFonts w:ascii="Arial Black" w:hAnsi="Arial Black"/>
          <w:sz w:val="24"/>
          <w:szCs w:val="24"/>
        </w:rPr>
        <w:t>]</w:t>
      </w:r>
    </w:p>
    <w:p w14:paraId="540AEF75" w14:textId="77777777" w:rsidR="00BC4752" w:rsidRDefault="00BC4752" w:rsidP="00BC4752">
      <w:pPr>
        <w:pStyle w:val="NoSpacing"/>
        <w:rPr>
          <w:rFonts w:ascii="Arial Black" w:hAnsi="Arial Black"/>
          <w:sz w:val="28"/>
          <w:szCs w:val="28"/>
        </w:rPr>
      </w:pPr>
    </w:p>
    <w:p w14:paraId="42913A5D" w14:textId="77777777" w:rsidR="00BC4752" w:rsidRDefault="00BC4752" w:rsidP="00BC4752">
      <w:pPr>
        <w:pStyle w:val="NoSpacing"/>
        <w:rPr>
          <w:rFonts w:ascii="Arial Black" w:hAnsi="Arial Black"/>
          <w:bCs/>
          <w:sz w:val="28"/>
          <w:szCs w:val="28"/>
        </w:rPr>
      </w:pPr>
      <w:r>
        <w:rPr>
          <w:rFonts w:ascii="Arial Black" w:hAnsi="Arial Black"/>
          <w:sz w:val="28"/>
          <w:szCs w:val="28"/>
        </w:rPr>
        <w:t>MD: DEPRESSION – SLOWER STATION – CASE PROCEED</w:t>
      </w:r>
    </w:p>
    <w:p w14:paraId="5878D9F9" w14:textId="77777777" w:rsidR="00BC4752" w:rsidRDefault="00BC4752" w:rsidP="00BC4752">
      <w:pPr>
        <w:pStyle w:val="NoSpacing"/>
        <w:rPr>
          <w:rFonts w:ascii="Arial Black" w:hAnsi="Arial Black"/>
          <w:bCs/>
          <w:sz w:val="28"/>
          <w:szCs w:val="28"/>
        </w:rPr>
      </w:pPr>
    </w:p>
    <w:p w14:paraId="2F4F1DA5" w14:textId="77777777" w:rsidR="00BC4752" w:rsidRDefault="00BC4752" w:rsidP="00BC4752">
      <w:pPr>
        <w:pStyle w:val="NoSpacing"/>
      </w:pPr>
      <w:r>
        <w:t xml:space="preserve">On April 28, 2025, in </w:t>
      </w:r>
      <w:r w:rsidRPr="00636B1D">
        <w:rPr>
          <w:u w:val="single"/>
        </w:rPr>
        <w:t xml:space="preserve">Mark R. Levy v. Howard County, Maryland and Howard County Fire </w:t>
      </w:r>
      <w:proofErr w:type="gramStart"/>
      <w:r w:rsidRPr="00636B1D">
        <w:rPr>
          <w:u w:val="single"/>
        </w:rPr>
        <w:t>And</w:t>
      </w:r>
      <w:proofErr w:type="gramEnd"/>
      <w:r w:rsidRPr="00636B1D">
        <w:rPr>
          <w:u w:val="single"/>
        </w:rPr>
        <w:t xml:space="preserve"> Rescue,</w:t>
      </w:r>
      <w:r>
        <w:t xml:space="preserve"> U.S. Senior District Court Judge </w:t>
      </w:r>
      <w:r w:rsidRPr="000725BC">
        <w:t>Richard D. Bennett</w:t>
      </w:r>
      <w:r>
        <w:t xml:space="preserve">, United States District Court for the District of Maryland, denied plaintiff’s motion for pre-trial </w:t>
      </w:r>
      <w:r w:rsidRPr="00467BB4">
        <w:t>declaratory</w:t>
      </w:r>
      <w:r>
        <w:t xml:space="preserve"> judgement; case will proceed with pre-trial discovery. The firefighter / paramedic has </w:t>
      </w:r>
      <w:r w:rsidRPr="004765D7">
        <w:t>been diagnosed with anxiety and depression since 2002</w:t>
      </w:r>
      <w:r>
        <w:t>; the case will proceed with pre-trial discovery.  The Court wrote: “</w:t>
      </w:r>
      <w:r w:rsidRPr="00832DBD">
        <w:t>To be clear, it is Levy's burden in this case of proving that he is a qualified individual with a disability and that, with a reasonable accommodation, he would be able to properly do the job of a Fire Fighter/Paramedic at Station 3.</w:t>
      </w:r>
      <w:r>
        <w:t xml:space="preserve">”  </w:t>
      </w:r>
      <w:hyperlink r:id="rId1609" w:history="1">
        <w:r w:rsidRPr="003A1948">
          <w:rPr>
            <w:rStyle w:val="Hyperlink"/>
          </w:rPr>
          <w:t>https://cases.justia.com/federal/district-courts/maryland/mddce/1:2024cv03580/573207/56/0.pdf?ts=1777474810</w:t>
        </w:r>
      </w:hyperlink>
      <w:r>
        <w:t xml:space="preserve"> </w:t>
      </w:r>
    </w:p>
    <w:p w14:paraId="093103E8" w14:textId="77777777" w:rsidR="00BC4752" w:rsidRDefault="00BC4752" w:rsidP="00BC4752">
      <w:pPr>
        <w:pStyle w:val="NoSpacing"/>
      </w:pPr>
    </w:p>
    <w:p w14:paraId="386FA144" w14:textId="77777777" w:rsidR="00BC4752" w:rsidRDefault="00BC4752" w:rsidP="00BC4752">
      <w:pPr>
        <w:pStyle w:val="NoSpacing"/>
      </w:pPr>
      <w:r>
        <w:t xml:space="preserve">THE COURT HELD: </w:t>
      </w:r>
    </w:p>
    <w:p w14:paraId="2D8A7A35" w14:textId="77777777" w:rsidR="00BC4752" w:rsidRDefault="00BC4752" w:rsidP="00BC4752">
      <w:pPr>
        <w:pStyle w:val="NoSpacing"/>
      </w:pPr>
    </w:p>
    <w:p w14:paraId="347F0830" w14:textId="77777777" w:rsidR="00BC4752" w:rsidRDefault="00BC4752" w:rsidP="00BC4752">
      <w:pPr>
        <w:pStyle w:val="NoSpacing"/>
        <w:ind w:left="720"/>
      </w:pPr>
      <w:r>
        <w:t>“</w:t>
      </w:r>
      <w:r w:rsidRPr="004765D7">
        <w:t>Plaintiff Mark R. Levy has been employed as a Fire Fighter/Paramedic with Defendant Howard County Department of Fire and Rescue Services since October 31, 2016</w:t>
      </w:r>
      <w:r>
        <w:t xml:space="preserve">…. </w:t>
      </w:r>
      <w:r w:rsidRPr="004765D7">
        <w:t>Levy alleges that he has been diagnosed with anxiety and depression since 2002</w:t>
      </w:r>
      <w:r>
        <w:t xml:space="preserve">…. </w:t>
      </w:r>
      <w:r w:rsidRPr="004765D7">
        <w:t>As of December 8, 2025, the date Levy filed his First Amended Complaint in this Court, he was assigned to B Shift at Station 3, which is within Battalion 3 of the Howard County Department of Fire and Rescue Services</w:t>
      </w:r>
      <w:r>
        <w:t xml:space="preserve">…. </w:t>
      </w:r>
      <w:r w:rsidRPr="0026656C">
        <w:t>Station 3 is located at 12535 Old Frederick Road in Sykesville, Maryland</w:t>
      </w:r>
      <w:r>
        <w:t xml:space="preserve">…. </w:t>
      </w:r>
      <w:r w:rsidRPr="004765D7">
        <w:t>He asserts that Station 3 has a lower call volume in comparison to other stations within the battalion</w:t>
      </w:r>
      <w:r>
        <w:t xml:space="preserve">…. </w:t>
      </w:r>
      <w:r w:rsidRPr="004765D7">
        <w:t xml:space="preserve">He claims that this lower call volume is the optimal assignment for him to be able to manage his mental health. </w:t>
      </w:r>
    </w:p>
    <w:p w14:paraId="0869F77A" w14:textId="77777777" w:rsidR="00BC4752" w:rsidRDefault="00BC4752" w:rsidP="00BC4752">
      <w:pPr>
        <w:pStyle w:val="NoSpacing"/>
        <w:ind w:left="720"/>
      </w:pPr>
    </w:p>
    <w:p w14:paraId="6447B538" w14:textId="77777777" w:rsidR="00BC4752" w:rsidRDefault="00BC4752" w:rsidP="00BC4752">
      <w:pPr>
        <w:pStyle w:val="NoSpacing"/>
        <w:ind w:left="720"/>
      </w:pPr>
      <w:r>
        <w:t>***</w:t>
      </w:r>
    </w:p>
    <w:p w14:paraId="2E002480" w14:textId="77777777" w:rsidR="00BC4752" w:rsidRDefault="00BC4752" w:rsidP="00BC4752">
      <w:pPr>
        <w:pStyle w:val="NoSpacing"/>
        <w:ind w:left="720"/>
      </w:pPr>
      <w:r w:rsidRPr="00A26479">
        <w:t>Levy alleges that, on multiple different occasions in 2022, he was reassigned from Station 3 to other stations within Battalion 3</w:t>
      </w:r>
      <w:r>
        <w:t xml:space="preserve">…. </w:t>
      </w:r>
      <w:r w:rsidRPr="00A26479">
        <w:t>Each time, the Department apparently denied his requests to remain at Station 3</w:t>
      </w:r>
      <w:r>
        <w:t xml:space="preserve">…. </w:t>
      </w:r>
      <w:r w:rsidRPr="00A26479">
        <w:t>Levy claims that the Department determined, without engaging in any interactive process, that he did not need a reasonable accommodation</w:t>
      </w:r>
      <w:r>
        <w:t>….</w:t>
      </w:r>
      <w:r w:rsidRPr="00A26479">
        <w:t xml:space="preserve"> Ultimately, after multiple reassignments, Levy was placed at Station 3 under a Temporary Hardship Request</w:t>
      </w:r>
      <w:r>
        <w:t xml:space="preserve">…. </w:t>
      </w:r>
      <w:r w:rsidRPr="00A26479">
        <w:t xml:space="preserve">He contends that the Temporary Hardship Request was </w:t>
      </w:r>
      <w:r>
        <w:t>‘</w:t>
      </w:r>
      <w:r w:rsidRPr="00A26479">
        <w:t>wholly improper and simply an attempt by Defendants to circumvent</w:t>
      </w:r>
      <w:r>
        <w:t xml:space="preserve">’ </w:t>
      </w:r>
      <w:r w:rsidRPr="00A26479">
        <w:t xml:space="preserve"> the ADA's accommodation obligations</w:t>
      </w:r>
      <w:r>
        <w:t xml:space="preserve">…. </w:t>
      </w:r>
      <w:r w:rsidRPr="00A26479">
        <w:t>From the face of the First Amended Complaint, Levy continues to work as a Fire Fighter/Paramedic for the Department.</w:t>
      </w:r>
    </w:p>
    <w:p w14:paraId="5684FF57" w14:textId="77777777" w:rsidR="00BC4752" w:rsidRDefault="00BC4752" w:rsidP="00BC4752">
      <w:pPr>
        <w:pStyle w:val="NoSpacing"/>
        <w:ind w:left="720"/>
      </w:pPr>
    </w:p>
    <w:p w14:paraId="47449954" w14:textId="77777777" w:rsidR="00BC4752" w:rsidRDefault="00BC4752" w:rsidP="00BC4752">
      <w:pPr>
        <w:pStyle w:val="NoSpacing"/>
        <w:ind w:left="720"/>
      </w:pPr>
      <w:r>
        <w:t>***</w:t>
      </w:r>
    </w:p>
    <w:p w14:paraId="2DBAF47F" w14:textId="77777777" w:rsidR="00BC4752" w:rsidRDefault="00BC4752" w:rsidP="00BC4752">
      <w:pPr>
        <w:pStyle w:val="NoSpacing"/>
        <w:ind w:left="720"/>
      </w:pPr>
      <w:r w:rsidRPr="00BA13D8">
        <w:t xml:space="preserve">As noted above, Levy seeks declarations in Count Four that (1) he is a qualified individual with a disability; (2) that he can perform the essential functions of his job with a reasonable accommodation; (3) that Defendants have an obligation to engage in the ADA's interactive process with him and explore reasonable alternatives; and (4) that Defendants have an obligation to grant him a reasonable accommodation. </w:t>
      </w:r>
    </w:p>
    <w:p w14:paraId="784282D3" w14:textId="77777777" w:rsidR="00BC4752" w:rsidRDefault="00BC4752" w:rsidP="00BC4752">
      <w:pPr>
        <w:pStyle w:val="NoSpacing"/>
        <w:ind w:left="720"/>
      </w:pPr>
    </w:p>
    <w:p w14:paraId="2AA1DEED" w14:textId="77777777" w:rsidR="00BC4752" w:rsidRDefault="00BC4752" w:rsidP="00BC4752">
      <w:pPr>
        <w:pStyle w:val="NoSpacing"/>
        <w:ind w:left="720"/>
      </w:pPr>
      <w:r>
        <w:t>***</w:t>
      </w:r>
    </w:p>
    <w:p w14:paraId="1EF1F0C2" w14:textId="77777777" w:rsidR="00BC4752" w:rsidRDefault="00BC4752" w:rsidP="00BC4752">
      <w:pPr>
        <w:pStyle w:val="NoSpacing"/>
        <w:ind w:left="720"/>
      </w:pPr>
      <w:r w:rsidRPr="004A2357">
        <w:t xml:space="preserve">Again, it is Levy's burden to prove that he was entitled to the ADA's interactive process and, ultimately, </w:t>
      </w:r>
      <w:proofErr w:type="gramStart"/>
      <w:r w:rsidRPr="004A2357">
        <w:t>a reasonable</w:t>
      </w:r>
      <w:proofErr w:type="gramEnd"/>
      <w:r w:rsidRPr="004A2357">
        <w:t xml:space="preserve"> accommodation.</w:t>
      </w:r>
      <w:r>
        <w:rPr>
          <w:vertAlign w:val="superscript"/>
        </w:rPr>
        <w:t xml:space="preserve"> </w:t>
      </w:r>
      <w:r w:rsidRPr="004A2357">
        <w:t xml:space="preserve"> In sum, the four declarations that Levy requests in Count Four render that claim duplicative of Count One.</w:t>
      </w:r>
      <w:r>
        <w:t>”</w:t>
      </w:r>
    </w:p>
    <w:p w14:paraId="42AE00F8" w14:textId="77777777" w:rsidR="00BC4752" w:rsidRDefault="00BC4752" w:rsidP="00BC4752">
      <w:pPr>
        <w:pStyle w:val="NoSpacing"/>
        <w:ind w:left="720"/>
      </w:pPr>
    </w:p>
    <w:p w14:paraId="2867F04E" w14:textId="77777777" w:rsidR="00BC4752" w:rsidRPr="004A2357" w:rsidRDefault="00BC4752" w:rsidP="00BC4752">
      <w:pPr>
        <w:rPr>
          <w:b/>
          <w:bCs/>
        </w:rPr>
      </w:pPr>
      <w:r>
        <w:rPr>
          <w:b/>
        </w:rPr>
        <w:t>Legal lesson learned: The firefighter has burden of proof in this ADA case; permanent assignment to a slower station is a unique request for “reasonable accommodation.”</w:t>
      </w:r>
    </w:p>
    <w:p w14:paraId="367A9B61" w14:textId="77777777" w:rsidR="00BC4752" w:rsidRDefault="00BC4752" w:rsidP="00BC4752">
      <w:pPr>
        <w:pStyle w:val="NoSpacing"/>
        <w:rPr>
          <w:rFonts w:ascii="Arial Black" w:hAnsi="Arial Black"/>
          <w:sz w:val="24"/>
          <w:szCs w:val="24"/>
        </w:rPr>
      </w:pPr>
    </w:p>
    <w:p w14:paraId="18A7B72D" w14:textId="77777777" w:rsidR="00BC4752" w:rsidRDefault="00BC4752" w:rsidP="00BC4752">
      <w:pPr>
        <w:pStyle w:val="NoSpacing"/>
        <w:rPr>
          <w:rFonts w:ascii="Arial Black" w:hAnsi="Arial Black"/>
          <w:b/>
          <w:sz w:val="28"/>
          <w:szCs w:val="28"/>
        </w:rPr>
      </w:pPr>
    </w:p>
    <w:p w14:paraId="752AF224" w14:textId="77777777" w:rsidR="00BC4752" w:rsidRDefault="00BC4752" w:rsidP="00BC4752">
      <w:pPr>
        <w:pStyle w:val="NoSpacing"/>
        <w:rPr>
          <w:rFonts w:ascii="Arial Black" w:hAnsi="Arial Black"/>
          <w:sz w:val="24"/>
          <w:szCs w:val="24"/>
        </w:rPr>
      </w:pPr>
    </w:p>
    <w:p w14:paraId="0B984325" w14:textId="46F7223E" w:rsidR="00BC4752" w:rsidRDefault="001A57F9" w:rsidP="00BC4752">
      <w:pPr>
        <w:pStyle w:val="NoSpacing"/>
        <w:rPr>
          <w:rFonts w:ascii="Arial Black" w:hAnsi="Arial Black"/>
          <w:sz w:val="24"/>
          <w:szCs w:val="24"/>
        </w:rPr>
      </w:pPr>
      <w:r>
        <w:rPr>
          <w:rFonts w:ascii="Arial Black" w:hAnsi="Arial Black"/>
          <w:sz w:val="24"/>
          <w:szCs w:val="24"/>
        </w:rPr>
        <w:t xml:space="preserve">9-63 </w:t>
      </w:r>
      <w:r w:rsidR="00BC4752">
        <w:rPr>
          <w:rFonts w:ascii="Arial Black" w:hAnsi="Arial Black"/>
          <w:sz w:val="24"/>
          <w:szCs w:val="24"/>
        </w:rPr>
        <w:t>[also filed, Chap.</w:t>
      </w:r>
      <w:r>
        <w:rPr>
          <w:rFonts w:ascii="Arial Black" w:hAnsi="Arial Black"/>
          <w:sz w:val="24"/>
          <w:szCs w:val="24"/>
        </w:rPr>
        <w:t xml:space="preserve"> 15</w:t>
      </w:r>
      <w:r w:rsidR="00BC4752">
        <w:rPr>
          <w:rFonts w:ascii="Arial Black" w:hAnsi="Arial Black"/>
          <w:sz w:val="24"/>
          <w:szCs w:val="24"/>
        </w:rPr>
        <w:t xml:space="preserve">, </w:t>
      </w:r>
      <w:r>
        <w:rPr>
          <w:rFonts w:ascii="Arial Black" w:hAnsi="Arial Black"/>
          <w:sz w:val="24"/>
          <w:szCs w:val="24"/>
        </w:rPr>
        <w:t>Mental Health</w:t>
      </w:r>
      <w:r w:rsidR="00BC4752">
        <w:rPr>
          <w:rFonts w:ascii="Arial Black" w:hAnsi="Arial Black"/>
          <w:sz w:val="24"/>
          <w:szCs w:val="24"/>
        </w:rPr>
        <w:t>]</w:t>
      </w:r>
    </w:p>
    <w:p w14:paraId="6B54A3DA" w14:textId="77777777" w:rsidR="00BC4752" w:rsidRDefault="00BC4752" w:rsidP="00BC4752">
      <w:pPr>
        <w:pStyle w:val="NoSpacing"/>
        <w:rPr>
          <w:rFonts w:ascii="Arial Black" w:hAnsi="Arial Black"/>
          <w:b/>
          <w:sz w:val="28"/>
          <w:szCs w:val="28"/>
        </w:rPr>
      </w:pPr>
    </w:p>
    <w:p w14:paraId="291ED1FD" w14:textId="77777777" w:rsidR="00BC4752" w:rsidRDefault="00BC4752" w:rsidP="00BC4752">
      <w:pPr>
        <w:pStyle w:val="NoSpacing"/>
        <w:rPr>
          <w:rFonts w:ascii="Arial Black" w:hAnsi="Arial Black"/>
          <w:b/>
          <w:sz w:val="28"/>
          <w:szCs w:val="28"/>
        </w:rPr>
      </w:pPr>
    </w:p>
    <w:p w14:paraId="1E6AB10D" w14:textId="77777777" w:rsidR="00BC4752" w:rsidRDefault="00BC4752" w:rsidP="00BC4752">
      <w:pPr>
        <w:pStyle w:val="NoSpacing"/>
        <w:rPr>
          <w:rFonts w:ascii="Arial Black" w:hAnsi="Arial Black"/>
          <w:b/>
          <w:sz w:val="28"/>
          <w:szCs w:val="28"/>
        </w:rPr>
      </w:pPr>
      <w:r>
        <w:rPr>
          <w:rFonts w:ascii="Arial Black" w:hAnsi="Arial Black"/>
          <w:b/>
          <w:sz w:val="28"/>
          <w:szCs w:val="28"/>
        </w:rPr>
        <w:t xml:space="preserve">TX: ASSISTANT CHIEF – PTSD – NOT RIGHT INDEF. LEAVE </w:t>
      </w:r>
    </w:p>
    <w:p w14:paraId="7E1706E7" w14:textId="77777777" w:rsidR="00BC4752" w:rsidRDefault="00BC4752" w:rsidP="00BC4752">
      <w:pPr>
        <w:pStyle w:val="NoSpacing"/>
        <w:rPr>
          <w:rFonts w:ascii="Arial Black" w:hAnsi="Arial Black"/>
          <w:b/>
          <w:sz w:val="28"/>
          <w:szCs w:val="28"/>
        </w:rPr>
      </w:pPr>
    </w:p>
    <w:p w14:paraId="5470BB30" w14:textId="77777777" w:rsidR="00BC4752" w:rsidRDefault="00BC4752" w:rsidP="00BC4752">
      <w:pPr>
        <w:pStyle w:val="NoSpacing"/>
        <w:rPr>
          <w:b/>
        </w:rPr>
      </w:pPr>
      <w:r>
        <w:t xml:space="preserve">On April 8, 2026, in </w:t>
      </w:r>
      <w:r w:rsidRPr="003A1915">
        <w:rPr>
          <w:u w:val="single"/>
        </w:rPr>
        <w:t>Cameron Kramer v. City of Frisco, Texas</w:t>
      </w:r>
      <w:r>
        <w:t xml:space="preserve">, the </w:t>
      </w:r>
      <w:r w:rsidRPr="003A1915">
        <w:t>Court of Appeals of Texas, Twelfth District, Tyler</w:t>
      </w:r>
      <w:r>
        <w:t xml:space="preserve"> held (3 to 0) that trial court properly granted summary judgment to the City since the Assistant Chief never able to provide a </w:t>
      </w:r>
      <w:r w:rsidRPr="006D408F">
        <w:t xml:space="preserve">psychological </w:t>
      </w:r>
      <w:r w:rsidRPr="008C5C09">
        <w:t>clearance</w:t>
      </w:r>
      <w:r>
        <w:t xml:space="preserve"> to return to work and indefinite leave is not a reasonable accommodation.   </w:t>
      </w:r>
      <w:r w:rsidRPr="00AA4727">
        <w:t>On August 15, 2022</w:t>
      </w:r>
      <w:r>
        <w:t xml:space="preserve"> he took Family Medical Leave Act leave for PTSD until November 1, 2022; took another 90 days of leave under City’s policy; in January 31, 2023 the city approved additional unpaid leave until March 31 as an accommodation for his PTSD; o</w:t>
      </w:r>
      <w:r w:rsidRPr="00E87171">
        <w:t>n March 31, Kraemer requested additional unpaid leave through April 30, stating at the</w:t>
      </w:r>
      <w:r>
        <w:t xml:space="preserve"> </w:t>
      </w:r>
      <w:r w:rsidRPr="00E87171">
        <w:t xml:space="preserve">end of the leave period, he would </w:t>
      </w:r>
      <w:r>
        <w:t>‘</w:t>
      </w:r>
      <w:r w:rsidRPr="00E87171">
        <w:t>be re-evaluated</w:t>
      </w:r>
      <w:r>
        <w:t xml:space="preserve">” by his treating physician.  </w:t>
      </w:r>
      <w:r w:rsidRPr="00C4058E">
        <w:t>The City viewed this as a request for</w:t>
      </w:r>
      <w:r>
        <w:t xml:space="preserve"> </w:t>
      </w:r>
      <w:r w:rsidRPr="00C4058E">
        <w:t>indefinite unpaid leave and the City’s human resources director, Lauren Safranek, initially</w:t>
      </w:r>
      <w:r>
        <w:t xml:space="preserve"> </w:t>
      </w:r>
      <w:r w:rsidRPr="00C4058E">
        <w:t xml:space="preserve">informed Kraemer that the City could not grant such a </w:t>
      </w:r>
      <w:proofErr w:type="gramStart"/>
      <w:r w:rsidRPr="00C4058E">
        <w:t>reques</w:t>
      </w:r>
      <w:r>
        <w:t>t, but</w:t>
      </w:r>
      <w:proofErr w:type="gramEnd"/>
      <w:r>
        <w:t xml:space="preserve"> gave him until </w:t>
      </w:r>
      <w:r w:rsidRPr="008C5C09">
        <w:t>April 30 to allow him to</w:t>
      </w:r>
      <w:r>
        <w:t xml:space="preserve"> </w:t>
      </w:r>
      <w:r w:rsidRPr="008C5C09">
        <w:t xml:space="preserve">obtain the required </w:t>
      </w:r>
      <w:r w:rsidRPr="006D408F">
        <w:t xml:space="preserve">psychological </w:t>
      </w:r>
      <w:r w:rsidRPr="008C5C09">
        <w:t>clearance, which Kraemer did not submit.</w:t>
      </w:r>
      <w:r>
        <w:t xml:space="preserve"> </w:t>
      </w:r>
      <w:r w:rsidRPr="00FB0730">
        <w:t xml:space="preserve">On May 1, 2023, the </w:t>
      </w:r>
      <w:proofErr w:type="gramStart"/>
      <w:r w:rsidRPr="00FB0730">
        <w:t>City</w:t>
      </w:r>
      <w:proofErr w:type="gramEnd"/>
      <w:r w:rsidRPr="00FB0730">
        <w:t xml:space="preserve"> informed Kraemer via letter that his employment was</w:t>
      </w:r>
      <w:r>
        <w:t xml:space="preserve"> </w:t>
      </w:r>
      <w:r w:rsidRPr="00FB0730">
        <w:t>terminated because of his inability to return to work “with or without reasonable</w:t>
      </w:r>
      <w:r>
        <w:t xml:space="preserve"> </w:t>
      </w:r>
      <w:r w:rsidRPr="00FB0730">
        <w:t>accommodations” following the end of his leave period</w:t>
      </w:r>
      <w:r>
        <w:t xml:space="preserve">. The letter stated, in relevant part, that “the vacancy in the position of Assistant Fire Chief is compromising the operations of the City of Frisco Fire Department and granting continued accommodations of additional leave would cause an undue burden and hardship for the department and the City, placing the safety of the community and the department at risk.” </w:t>
      </w:r>
      <w:hyperlink r:id="rId1610" w:history="1">
        <w:r w:rsidRPr="00941A72">
          <w:rPr>
            <w:rStyle w:val="Hyperlink"/>
            <w:b/>
          </w:rPr>
          <w:t>https://cases.justia.com/texas/twelfth-court-of-appeals/2026-12-25-00273-cv.pdf?ts=1775749638</w:t>
        </w:r>
      </w:hyperlink>
      <w:r>
        <w:rPr>
          <w:b/>
        </w:rPr>
        <w:t xml:space="preserve"> </w:t>
      </w:r>
    </w:p>
    <w:p w14:paraId="03C9F03D" w14:textId="77777777" w:rsidR="00BC4752" w:rsidRDefault="00BC4752" w:rsidP="00BC4752">
      <w:pPr>
        <w:pStyle w:val="NoSpacing"/>
      </w:pPr>
      <w:r>
        <w:t xml:space="preserve"> </w:t>
      </w:r>
    </w:p>
    <w:p w14:paraId="751218CB" w14:textId="77777777" w:rsidR="00BC4752" w:rsidRDefault="00BC4752" w:rsidP="00BC4752">
      <w:pPr>
        <w:pStyle w:val="NoSpacing"/>
        <w:rPr>
          <w:bCs/>
        </w:rPr>
      </w:pPr>
      <w:r>
        <w:t>THE COURT HELD:</w:t>
      </w:r>
    </w:p>
    <w:p w14:paraId="524E0C45" w14:textId="77777777" w:rsidR="00BC4752" w:rsidRDefault="00BC4752" w:rsidP="00BC4752">
      <w:pPr>
        <w:pStyle w:val="NoSpacing"/>
        <w:rPr>
          <w:bCs/>
        </w:rPr>
      </w:pPr>
    </w:p>
    <w:p w14:paraId="17399BE5" w14:textId="77777777" w:rsidR="00BC4752" w:rsidRDefault="00BC4752" w:rsidP="00BC4752">
      <w:pPr>
        <w:pStyle w:val="NoSpacing"/>
        <w:ind w:left="720"/>
      </w:pPr>
      <w:r>
        <w:t>“Although taking leave that is limited in duration may be a reasonable accommodation to enable an employee to perform the essential functions of the job upon return, taking leave without a specified date to return is not a reasonable accommodation.</w:t>
      </w:r>
    </w:p>
    <w:p w14:paraId="181E5817" w14:textId="77777777" w:rsidR="00BC4752" w:rsidRDefault="00BC4752" w:rsidP="00BC4752">
      <w:pPr>
        <w:pStyle w:val="NoSpacing"/>
        <w:ind w:left="720"/>
      </w:pPr>
    </w:p>
    <w:p w14:paraId="5F263129" w14:textId="77777777" w:rsidR="00BC4752" w:rsidRDefault="00BC4752" w:rsidP="00BC4752">
      <w:pPr>
        <w:pStyle w:val="NoSpacing"/>
        <w:ind w:left="720"/>
      </w:pPr>
      <w:r>
        <w:t>***</w:t>
      </w:r>
    </w:p>
    <w:p w14:paraId="5738E4AF" w14:textId="77777777" w:rsidR="00BC4752" w:rsidRDefault="00BC4752" w:rsidP="00BC4752">
      <w:pPr>
        <w:pStyle w:val="NoSpacing"/>
      </w:pPr>
    </w:p>
    <w:p w14:paraId="3CA9F1E7" w14:textId="77777777" w:rsidR="00BC4752" w:rsidRDefault="00BC4752" w:rsidP="00BC4752">
      <w:pPr>
        <w:pStyle w:val="NoSpacing"/>
        <w:ind w:firstLine="720"/>
      </w:pPr>
      <w:r>
        <w:t>The evidence shows that Kraemer discussed with Safranek whether he might be capable</w:t>
      </w:r>
    </w:p>
    <w:p w14:paraId="5EB20D13" w14:textId="77777777" w:rsidR="00BC4752" w:rsidRDefault="00BC4752" w:rsidP="00BC4752">
      <w:pPr>
        <w:pStyle w:val="NoSpacing"/>
        <w:ind w:left="720"/>
      </w:pPr>
      <w:r>
        <w:t xml:space="preserve">of returning to work on a reduced schedule, but nothing showing that he, or any of his doctors, ever concluded that, despite his disability, he </w:t>
      </w:r>
      <w:proofErr w:type="gramStart"/>
      <w:r>
        <w:t>was capable of performing</w:t>
      </w:r>
      <w:proofErr w:type="gramEnd"/>
      <w:r>
        <w:t xml:space="preserve"> the functions of the assistant fire chief position at all, even on a part-time basis…. In April of 2024, Dr. </w:t>
      </w:r>
      <w:proofErr w:type="spellStart"/>
      <w:r>
        <w:t>Tedwell</w:t>
      </w:r>
      <w:proofErr w:type="spellEnd"/>
      <w:r>
        <w:t xml:space="preserve"> testified before an administrative law judge that throughout her treatment relationship with Kraemer, her opinion has ‘always been that he has not been ready to go back to Frisco Fire Department[,]” an opinion which persisted until the time of her testimony.”</w:t>
      </w:r>
    </w:p>
    <w:p w14:paraId="6FAC69CA" w14:textId="77777777" w:rsidR="00BC4752" w:rsidRDefault="00BC4752" w:rsidP="00BC4752">
      <w:pPr>
        <w:pStyle w:val="NoSpacing"/>
        <w:ind w:left="720"/>
      </w:pPr>
    </w:p>
    <w:p w14:paraId="44636D0F" w14:textId="77777777" w:rsidR="00BC4752" w:rsidRDefault="00BC4752" w:rsidP="00BC4752">
      <w:pPr>
        <w:pStyle w:val="NoSpacing"/>
      </w:pPr>
      <w:r>
        <w:rPr>
          <w:b/>
        </w:rPr>
        <w:t xml:space="preserve">Legal lesson learned: Indefinite leave is not reasonable accommodation. </w:t>
      </w:r>
    </w:p>
    <w:p w14:paraId="355BA9E6" w14:textId="77777777" w:rsidR="00BC4752" w:rsidRDefault="00BC4752" w:rsidP="00BC4752">
      <w:pPr>
        <w:pStyle w:val="NoSpacing"/>
        <w:rPr>
          <w:b/>
        </w:rPr>
      </w:pPr>
    </w:p>
    <w:p w14:paraId="1891A10B" w14:textId="77777777" w:rsidR="00BC4752" w:rsidRDefault="00BC4752" w:rsidP="00BC4752">
      <w:pPr>
        <w:pStyle w:val="NoSpacing"/>
        <w:rPr>
          <w:bCs/>
        </w:rPr>
      </w:pPr>
    </w:p>
    <w:p w14:paraId="25DBD739" w14:textId="77777777" w:rsidR="00BC4752" w:rsidRDefault="00BC4752" w:rsidP="00BC4752">
      <w:pPr>
        <w:pStyle w:val="NoSpacing"/>
        <w:rPr>
          <w:rFonts w:ascii="Arial Black" w:hAnsi="Arial Black"/>
          <w:sz w:val="24"/>
          <w:szCs w:val="24"/>
        </w:rPr>
      </w:pPr>
    </w:p>
    <w:p w14:paraId="7DDC7055" w14:textId="77777777" w:rsidR="00BC4752" w:rsidRDefault="00BC4752" w:rsidP="00BC4752">
      <w:pPr>
        <w:pStyle w:val="NoSpacing"/>
        <w:rPr>
          <w:rFonts w:ascii="Arial Black" w:hAnsi="Arial Black"/>
          <w:sz w:val="24"/>
          <w:szCs w:val="24"/>
        </w:rPr>
      </w:pPr>
    </w:p>
    <w:p w14:paraId="2197C918" w14:textId="77777777" w:rsidR="00BC4752" w:rsidRDefault="00BC4752" w:rsidP="00684A51">
      <w:pPr>
        <w:pStyle w:val="NoSpacing"/>
        <w:rPr>
          <w:rFonts w:ascii="Arial Black" w:hAnsi="Arial Black"/>
          <w:sz w:val="24"/>
          <w:szCs w:val="24"/>
        </w:rPr>
      </w:pPr>
    </w:p>
    <w:p w14:paraId="470CA0F5" w14:textId="77777777" w:rsidR="00BC4752" w:rsidRDefault="00BC4752" w:rsidP="00684A51">
      <w:pPr>
        <w:pStyle w:val="NoSpacing"/>
        <w:rPr>
          <w:rFonts w:ascii="Arial Black" w:hAnsi="Arial Black"/>
          <w:sz w:val="24"/>
          <w:szCs w:val="24"/>
        </w:rPr>
      </w:pPr>
    </w:p>
    <w:p w14:paraId="41350198" w14:textId="570A73E3" w:rsidR="00684A51" w:rsidRDefault="00684A51" w:rsidP="00684A51">
      <w:pPr>
        <w:pStyle w:val="NoSpacing"/>
        <w:rPr>
          <w:rFonts w:ascii="Arial Black" w:hAnsi="Arial Black"/>
          <w:sz w:val="24"/>
          <w:szCs w:val="24"/>
        </w:rPr>
      </w:pPr>
      <w:r>
        <w:rPr>
          <w:rFonts w:ascii="Arial Black" w:hAnsi="Arial Black"/>
          <w:sz w:val="24"/>
          <w:szCs w:val="24"/>
        </w:rPr>
        <w:t>9-6</w:t>
      </w:r>
      <w:r w:rsidR="00BA6D04">
        <w:rPr>
          <w:rFonts w:ascii="Arial Black" w:hAnsi="Arial Black"/>
          <w:sz w:val="24"/>
          <w:szCs w:val="24"/>
        </w:rPr>
        <w:t>2</w:t>
      </w:r>
    </w:p>
    <w:p w14:paraId="06510B12" w14:textId="77777777" w:rsidR="003C742B" w:rsidRDefault="003C742B" w:rsidP="005C30A4">
      <w:pPr>
        <w:pStyle w:val="NoSpacing"/>
        <w:rPr>
          <w:rFonts w:ascii="Arial Black" w:hAnsi="Arial Black"/>
          <w:sz w:val="24"/>
          <w:szCs w:val="24"/>
        </w:rPr>
      </w:pPr>
    </w:p>
    <w:p w14:paraId="51897EA5" w14:textId="77777777" w:rsidR="003C742B" w:rsidRDefault="003C742B" w:rsidP="003C742B">
      <w:pPr>
        <w:pStyle w:val="NoSpacing"/>
        <w:rPr>
          <w:rFonts w:ascii="Arial Black" w:hAnsi="Arial Black"/>
          <w:bCs/>
          <w:sz w:val="28"/>
          <w:szCs w:val="28"/>
        </w:rPr>
      </w:pPr>
      <w:r>
        <w:rPr>
          <w:rFonts w:ascii="Arial Black" w:hAnsi="Arial Black"/>
          <w:sz w:val="28"/>
          <w:szCs w:val="28"/>
        </w:rPr>
        <w:t>FL: FF REFUSED TAKE TB TEST – ADA CASE TO PROCEED</w:t>
      </w:r>
    </w:p>
    <w:p w14:paraId="22CC5B5B" w14:textId="77777777" w:rsidR="003C742B" w:rsidRDefault="003C742B" w:rsidP="003C742B">
      <w:pPr>
        <w:pStyle w:val="NoSpacing"/>
        <w:rPr>
          <w:rFonts w:ascii="Arial Black" w:hAnsi="Arial Black"/>
          <w:bCs/>
          <w:sz w:val="28"/>
          <w:szCs w:val="28"/>
        </w:rPr>
      </w:pPr>
    </w:p>
    <w:p w14:paraId="14D97C9D" w14:textId="77777777" w:rsidR="003C742B" w:rsidRDefault="003C742B" w:rsidP="003C742B">
      <w:pPr>
        <w:pStyle w:val="NoSpacing"/>
        <w:rPr>
          <w:bCs/>
        </w:rPr>
      </w:pPr>
      <w:r>
        <w:t xml:space="preserve">On April 24, 2026, in </w:t>
      </w:r>
      <w:r w:rsidRPr="00026CBE">
        <w:rPr>
          <w:u w:val="single"/>
        </w:rPr>
        <w:t>Nathaniel Griffin v. City of South Pasadena</w:t>
      </w:r>
      <w:r>
        <w:t>, U.S. District Court Judge Wiiliam F. Jung, United States District Court for Middle District of Florida, Tampa Division, held that the firefighter’s ADA retaliation case may proceed with pretrial discovery.  “Plaintiff denies ever asking the Life Scan staff to lie about whether a TB test had been done.”   In his Amended Complaint he alleges that he “</w:t>
      </w:r>
      <w:r w:rsidRPr="00CB3F0C">
        <w:t>subjectively believed</w:t>
      </w:r>
      <w:r>
        <w:t>”</w:t>
      </w:r>
      <w:r w:rsidRPr="00CB3F0C">
        <w:t xml:space="preserve"> that portions of the CBA’s annual physical</w:t>
      </w:r>
      <w:r>
        <w:t xml:space="preserve"> </w:t>
      </w:r>
      <w:r w:rsidRPr="00CB3F0C">
        <w:t>examination requirement violated the ADA</w:t>
      </w:r>
      <w:r>
        <w:t xml:space="preserve"> and he made his concerns known to Fire Chief prior to the annual physical. After discovery is completed, the </w:t>
      </w:r>
      <w:proofErr w:type="gramStart"/>
      <w:r>
        <w:t>City</w:t>
      </w:r>
      <w:proofErr w:type="gramEnd"/>
      <w:r>
        <w:t xml:space="preserve"> may then file a motion for summary judgment based on a “business-necessity” defense.  </w:t>
      </w:r>
      <w:hyperlink r:id="rId1611" w:history="1">
        <w:r w:rsidRPr="00BE171B">
          <w:rPr>
            <w:rStyle w:val="Hyperlink"/>
          </w:rPr>
          <w:t>https://ecf.flmd.uscourts.gov/cgi-bin/show_public_doc?2025-02787-49-8-cv</w:t>
        </w:r>
      </w:hyperlink>
      <w:r>
        <w:t xml:space="preserve"> </w:t>
      </w:r>
    </w:p>
    <w:p w14:paraId="768E629B" w14:textId="77777777" w:rsidR="003C742B" w:rsidRDefault="003C742B" w:rsidP="003C742B">
      <w:pPr>
        <w:pStyle w:val="NoSpacing"/>
        <w:rPr>
          <w:bCs/>
        </w:rPr>
      </w:pPr>
    </w:p>
    <w:p w14:paraId="4F69D0C4" w14:textId="77777777" w:rsidR="003C742B" w:rsidRDefault="003C742B" w:rsidP="003C742B">
      <w:pPr>
        <w:pStyle w:val="NoSpacing"/>
        <w:rPr>
          <w:bCs/>
        </w:rPr>
      </w:pPr>
      <w:r>
        <w:t>THE COURT HELD:</w:t>
      </w:r>
    </w:p>
    <w:p w14:paraId="297ABDCE" w14:textId="77777777" w:rsidR="003C742B" w:rsidRDefault="003C742B" w:rsidP="003C742B">
      <w:pPr>
        <w:pStyle w:val="NoSpacing"/>
        <w:rPr>
          <w:bCs/>
        </w:rPr>
      </w:pPr>
    </w:p>
    <w:p w14:paraId="64D05011" w14:textId="77777777" w:rsidR="003C742B" w:rsidRDefault="003C742B" w:rsidP="003C742B">
      <w:pPr>
        <w:pStyle w:val="NoSpacing"/>
        <w:ind w:left="720"/>
      </w:pPr>
      <w:r>
        <w:t>“A statutorily protected activity for an ADA retaliation claim is ‘oppos[</w:t>
      </w:r>
      <w:proofErr w:type="spellStart"/>
      <w:r>
        <w:t>ing</w:t>
      </w:r>
      <w:proofErr w:type="spellEnd"/>
      <w:r>
        <w:t xml:space="preserve">] any act or practice made unlawful by this chapter.’ 42 U.S.C. § 12203(a)…. However, the plaintiff is not required to prove that the alleged discriminatory conduct was </w:t>
      </w:r>
      <w:proofErr w:type="gramStart"/>
      <w:r>
        <w:t>actually unlawful</w:t>
      </w:r>
      <w:proofErr w:type="gramEnd"/>
      <w:r>
        <w:t>;</w:t>
      </w:r>
    </w:p>
    <w:p w14:paraId="269C79EA" w14:textId="77777777" w:rsidR="003C742B" w:rsidRDefault="003C742B" w:rsidP="003C742B">
      <w:pPr>
        <w:pStyle w:val="NoSpacing"/>
        <w:ind w:left="720"/>
      </w:pPr>
      <w:r>
        <w:t>rather, the opposed conduct need only be “close enough” to support the objectively</w:t>
      </w:r>
    </w:p>
    <w:p w14:paraId="5BFDC266" w14:textId="77777777" w:rsidR="003C742B" w:rsidRDefault="003C742B" w:rsidP="003C742B">
      <w:pPr>
        <w:pStyle w:val="NoSpacing"/>
        <w:ind w:left="720"/>
      </w:pPr>
      <w:r>
        <w:t>reasonable belief.</w:t>
      </w:r>
    </w:p>
    <w:p w14:paraId="3117AC55" w14:textId="77777777" w:rsidR="003C742B" w:rsidRDefault="003C742B" w:rsidP="003C742B">
      <w:pPr>
        <w:pStyle w:val="NoSpacing"/>
        <w:ind w:left="720"/>
      </w:pPr>
    </w:p>
    <w:p w14:paraId="743AF438" w14:textId="77777777" w:rsidR="003C742B" w:rsidRDefault="003C742B" w:rsidP="003C742B">
      <w:pPr>
        <w:pStyle w:val="NoSpacing"/>
        <w:ind w:left="720"/>
      </w:pPr>
      <w:r>
        <w:t>***</w:t>
      </w:r>
    </w:p>
    <w:p w14:paraId="14B80327" w14:textId="77777777" w:rsidR="003C742B" w:rsidRDefault="003C742B" w:rsidP="003C742B">
      <w:pPr>
        <w:pStyle w:val="NoSpacing"/>
        <w:ind w:left="720"/>
      </w:pPr>
    </w:p>
    <w:p w14:paraId="725DBDEA" w14:textId="77777777" w:rsidR="003C742B" w:rsidRDefault="003C742B" w:rsidP="003C742B">
      <w:pPr>
        <w:pStyle w:val="NoSpacing"/>
        <w:ind w:left="720"/>
      </w:pPr>
      <w:r>
        <w:t>The Amended Complaint is also clear that Plaintiff subjectively believed that portions of the CBA’s annual physical examination requirement violated the ADA … and these objections about being forced by an employer to undergo an (allegedly) unlawful medical</w:t>
      </w:r>
    </w:p>
    <w:p w14:paraId="114BB68B" w14:textId="77777777" w:rsidR="003C742B" w:rsidRDefault="003C742B" w:rsidP="003C742B">
      <w:pPr>
        <w:pStyle w:val="NoSpacing"/>
        <w:ind w:left="720"/>
      </w:pPr>
      <w:proofErr w:type="gramStart"/>
      <w:r>
        <w:t>examination</w:t>
      </w:r>
      <w:proofErr w:type="gramEnd"/>
      <w:r>
        <w:t xml:space="preserve"> </w:t>
      </w:r>
      <w:proofErr w:type="gramStart"/>
      <w:r>
        <w:t>are</w:t>
      </w:r>
      <w:proofErr w:type="gramEnd"/>
      <w:r>
        <w:t xml:space="preserve"> objectively reasonable </w:t>
      </w:r>
      <w:proofErr w:type="gramStart"/>
      <w:r>
        <w:t>in light of</w:t>
      </w:r>
      <w:proofErr w:type="gramEnd"/>
      <w:r>
        <w:t xml:space="preserve"> the controlling substantive law.</w:t>
      </w:r>
    </w:p>
    <w:p w14:paraId="20A6A1C7" w14:textId="77777777" w:rsidR="003C742B" w:rsidRDefault="003C742B" w:rsidP="003C742B">
      <w:pPr>
        <w:pStyle w:val="NoSpacing"/>
        <w:ind w:left="720"/>
      </w:pPr>
    </w:p>
    <w:p w14:paraId="33991A5F" w14:textId="77777777" w:rsidR="003C742B" w:rsidRDefault="003C742B" w:rsidP="003C742B">
      <w:pPr>
        <w:pStyle w:val="NoSpacing"/>
        <w:ind w:left="720"/>
      </w:pPr>
      <w:r>
        <w:t>***</w:t>
      </w:r>
    </w:p>
    <w:p w14:paraId="13958881" w14:textId="77777777" w:rsidR="003C742B" w:rsidRDefault="003C742B" w:rsidP="003C742B">
      <w:pPr>
        <w:pStyle w:val="NoSpacing"/>
        <w:ind w:left="720"/>
      </w:pPr>
    </w:p>
    <w:p w14:paraId="6AA2761B" w14:textId="77777777" w:rsidR="003C742B" w:rsidRDefault="003C742B" w:rsidP="003C742B">
      <w:pPr>
        <w:pStyle w:val="NoSpacing"/>
        <w:ind w:left="720"/>
      </w:pPr>
      <w:r>
        <w:t>On August 2, 2022, Plaintiff was scheduled for an annual physical examination at Life Scan Wellness Center (‘Life Scan’)…. While at Life Scan, Plaintiff complained to the staff about the intrusive nature of the examinations, but still ‘made himself immediately available . . . for evaluation, and at no point refused any portion.’ … Life Scan staff member eventually told Plaintiff that it was too late to coordinate an accommodation and that he would have to reschedule his exam.</w:t>
      </w:r>
    </w:p>
    <w:p w14:paraId="7599E151" w14:textId="77777777" w:rsidR="003C742B" w:rsidRDefault="003C742B" w:rsidP="003C742B">
      <w:pPr>
        <w:pStyle w:val="NoSpacing"/>
        <w:ind w:left="720"/>
      </w:pPr>
    </w:p>
    <w:p w14:paraId="2B65D5C4" w14:textId="77777777" w:rsidR="003C742B" w:rsidRDefault="003C742B" w:rsidP="003C742B">
      <w:pPr>
        <w:pStyle w:val="NoSpacing"/>
        <w:ind w:left="720"/>
      </w:pPr>
      <w:r>
        <w:t>***</w:t>
      </w:r>
    </w:p>
    <w:p w14:paraId="7CC6850F" w14:textId="77777777" w:rsidR="003C742B" w:rsidRDefault="003C742B" w:rsidP="003C742B">
      <w:pPr>
        <w:pStyle w:val="NoSpacing"/>
        <w:ind w:left="720"/>
      </w:pPr>
    </w:p>
    <w:p w14:paraId="66EB8DE1" w14:textId="77777777" w:rsidR="003C742B" w:rsidRDefault="003C742B" w:rsidP="003C742B">
      <w:pPr>
        <w:pStyle w:val="NoSpacing"/>
        <w:ind w:left="720"/>
      </w:pPr>
      <w:r>
        <w:t>Plaintiff attended a rescheduled physical examination on August 12, 2022…. Plaintiff denies ever asking the Life Scan staff to lie about whether a TB test had been done.</w:t>
      </w:r>
    </w:p>
    <w:p w14:paraId="75AECD46" w14:textId="77777777" w:rsidR="003C742B" w:rsidRDefault="003C742B" w:rsidP="003C742B">
      <w:pPr>
        <w:pStyle w:val="NoSpacing"/>
        <w:ind w:left="720"/>
      </w:pPr>
    </w:p>
    <w:p w14:paraId="4E05DCC8" w14:textId="77777777" w:rsidR="003C742B" w:rsidRDefault="003C742B" w:rsidP="003C742B">
      <w:pPr>
        <w:pStyle w:val="NoSpacing"/>
        <w:ind w:left="720"/>
      </w:pPr>
      <w:r>
        <w:t>***</w:t>
      </w:r>
    </w:p>
    <w:p w14:paraId="51F3C34A" w14:textId="77777777" w:rsidR="003C742B" w:rsidRDefault="003C742B" w:rsidP="003C742B">
      <w:pPr>
        <w:pStyle w:val="NoSpacing"/>
        <w:rPr>
          <w:bCs/>
        </w:rPr>
      </w:pPr>
    </w:p>
    <w:p w14:paraId="0F97D789" w14:textId="77777777" w:rsidR="003C742B" w:rsidRDefault="003C742B" w:rsidP="003C742B">
      <w:pPr>
        <w:pStyle w:val="NoSpacing"/>
        <w:ind w:left="720"/>
      </w:pPr>
      <w:r>
        <w:t xml:space="preserve">On August 17, 2022, Fire Chief Mixson delivered a Notice of Discipline, asserting a ‘failure to complete annual physical in an efficient manner, creating additional expense to [Defendant]. Disrespectful and unprofessional interaction with members of the public (Life Scan staff). Violations of Employee Handbook Sections 7-4 B (9), 7-4 В (7), 7-4 В (8), 7-4 С (17).’ … Plaintiff was then suspended without pay for 24 hours….  On August 24, 2022, Plaintiff appealed this adverse employment action to Fire Commissioner Thomas B. Reid, which was denied. </w:t>
      </w:r>
    </w:p>
    <w:p w14:paraId="4F345A97" w14:textId="77777777" w:rsidR="003C742B" w:rsidRDefault="003C742B" w:rsidP="003C742B">
      <w:pPr>
        <w:pStyle w:val="NoSpacing"/>
        <w:ind w:left="720"/>
      </w:pPr>
    </w:p>
    <w:p w14:paraId="2684390F" w14:textId="77777777" w:rsidR="003C742B" w:rsidRDefault="003C742B" w:rsidP="003C742B">
      <w:pPr>
        <w:pStyle w:val="NoSpacing"/>
        <w:ind w:left="720"/>
      </w:pPr>
      <w:r>
        <w:t>***</w:t>
      </w:r>
    </w:p>
    <w:p w14:paraId="398DC4FF" w14:textId="77777777" w:rsidR="003C742B" w:rsidRDefault="003C742B" w:rsidP="003C742B">
      <w:pPr>
        <w:pStyle w:val="NoSpacing"/>
        <w:ind w:left="720"/>
      </w:pPr>
      <w:r>
        <w:t xml:space="preserve">On September 13, 2022, the </w:t>
      </w:r>
      <w:proofErr w:type="gramStart"/>
      <w:r>
        <w:t>City</w:t>
      </w:r>
      <w:proofErr w:type="gramEnd"/>
      <w:r>
        <w:t xml:space="preserve"> terminated Plaintiff’s employment…. The same day, Plaintiff appealed his termination to Fire Commissioner Reid … and during the appeal, Plaintiff was permitted to provide objections, case law, and scholarly articles…. In sum, Plaintiff was not only informed of the termination hearing and allowed to testify on his own </w:t>
      </w:r>
      <w:proofErr w:type="gramStart"/>
      <w:r>
        <w:t>behalf, but</w:t>
      </w:r>
      <w:proofErr w:type="gramEnd"/>
      <w:r>
        <w:t xml:space="preserve"> was also permitted to appeal his termination and (again) present evidence on his </w:t>
      </w:r>
      <w:proofErr w:type="gramStart"/>
      <w:r>
        <w:t>behalf.”</w:t>
      </w:r>
      <w:proofErr w:type="gramEnd"/>
    </w:p>
    <w:p w14:paraId="0ECB4E98" w14:textId="77777777" w:rsidR="003C742B" w:rsidRDefault="003C742B" w:rsidP="003C742B">
      <w:pPr>
        <w:pStyle w:val="NoSpacing"/>
        <w:ind w:left="720"/>
      </w:pPr>
    </w:p>
    <w:p w14:paraId="2892DC89" w14:textId="77777777" w:rsidR="003C742B" w:rsidRPr="001714F2" w:rsidRDefault="003C742B" w:rsidP="003C742B">
      <w:pPr>
        <w:pStyle w:val="NoSpacing"/>
        <w:rPr>
          <w:b/>
          <w:bCs/>
        </w:rPr>
      </w:pPr>
      <w:r>
        <w:rPr>
          <w:b/>
        </w:rPr>
        <w:t>Legal lesson learned:  Pre-trial discovery will now proceed; city has a strong defense.</w:t>
      </w:r>
    </w:p>
    <w:p w14:paraId="549BB924" w14:textId="77777777" w:rsidR="00684A51" w:rsidRDefault="00684A51" w:rsidP="00684A51">
      <w:pPr>
        <w:pStyle w:val="NoSpacing"/>
        <w:rPr>
          <w:rFonts w:ascii="Arial Black" w:hAnsi="Arial Black"/>
          <w:sz w:val="24"/>
          <w:szCs w:val="24"/>
        </w:rPr>
      </w:pPr>
    </w:p>
    <w:p w14:paraId="11D55BF2" w14:textId="77777777" w:rsidR="00684A51" w:rsidRDefault="00684A51" w:rsidP="00684A51">
      <w:pPr>
        <w:pStyle w:val="NoSpacing"/>
        <w:rPr>
          <w:rFonts w:ascii="Arial Black" w:hAnsi="Arial Black"/>
          <w:sz w:val="24"/>
          <w:szCs w:val="24"/>
        </w:rPr>
      </w:pPr>
    </w:p>
    <w:p w14:paraId="36F829C5" w14:textId="77777777" w:rsidR="008C7243" w:rsidRDefault="008C7243" w:rsidP="00684A51">
      <w:pPr>
        <w:pStyle w:val="NoSpacing"/>
        <w:rPr>
          <w:rFonts w:ascii="Arial Black" w:hAnsi="Arial Black"/>
          <w:sz w:val="24"/>
          <w:szCs w:val="24"/>
        </w:rPr>
      </w:pPr>
    </w:p>
    <w:p w14:paraId="0778D57D" w14:textId="7BE5B907" w:rsidR="00684A51" w:rsidRDefault="00684A51" w:rsidP="00684A51">
      <w:pPr>
        <w:pStyle w:val="NoSpacing"/>
        <w:rPr>
          <w:rFonts w:ascii="Arial Black" w:hAnsi="Arial Black"/>
          <w:sz w:val="24"/>
          <w:szCs w:val="24"/>
        </w:rPr>
      </w:pPr>
      <w:r>
        <w:rPr>
          <w:rFonts w:ascii="Arial Black" w:hAnsi="Arial Black"/>
          <w:sz w:val="24"/>
          <w:szCs w:val="24"/>
        </w:rPr>
        <w:t>9-6</w:t>
      </w:r>
      <w:r w:rsidR="00BA6D04">
        <w:rPr>
          <w:rFonts w:ascii="Arial Black" w:hAnsi="Arial Black"/>
          <w:sz w:val="24"/>
          <w:szCs w:val="24"/>
        </w:rPr>
        <w:t>1</w:t>
      </w:r>
    </w:p>
    <w:p w14:paraId="252339E8" w14:textId="77777777" w:rsidR="003C742B" w:rsidRPr="00043BF5" w:rsidRDefault="003C742B" w:rsidP="003C742B">
      <w:pPr>
        <w:pStyle w:val="NoSpacing"/>
      </w:pPr>
    </w:p>
    <w:p w14:paraId="7AFD4A5F" w14:textId="77777777" w:rsidR="007811A4" w:rsidRPr="0038660D" w:rsidRDefault="007811A4" w:rsidP="007811A4">
      <w:pPr>
        <w:pStyle w:val="NoSpacing"/>
        <w:rPr>
          <w:rFonts w:ascii="Arial Black" w:hAnsi="Arial Black"/>
          <w:sz w:val="28"/>
          <w:szCs w:val="28"/>
        </w:rPr>
      </w:pPr>
      <w:r>
        <w:rPr>
          <w:rFonts w:ascii="Arial Black" w:hAnsi="Arial Black"/>
          <w:sz w:val="28"/>
          <w:szCs w:val="28"/>
        </w:rPr>
        <w:t xml:space="preserve">AK: RIGHT ANKLE – DISABLED – NO RIGHT “LIGHT DUTY” </w:t>
      </w:r>
    </w:p>
    <w:p w14:paraId="621B28D4" w14:textId="77777777" w:rsidR="007811A4" w:rsidRDefault="007811A4" w:rsidP="007811A4">
      <w:pPr>
        <w:pStyle w:val="NoSpacing"/>
      </w:pPr>
    </w:p>
    <w:p w14:paraId="46FA32D8" w14:textId="77777777" w:rsidR="007811A4" w:rsidRDefault="007811A4" w:rsidP="007811A4">
      <w:pPr>
        <w:pStyle w:val="NoSpacing"/>
      </w:pPr>
      <w:r>
        <w:t xml:space="preserve">On March 31, 2026, in </w:t>
      </w:r>
      <w:r w:rsidRPr="00B31302">
        <w:rPr>
          <w:u w:val="single"/>
        </w:rPr>
        <w:t>Christopher Mackey v. City of Pine Bluff</w:t>
      </w:r>
      <w:r>
        <w:t xml:space="preserve">, U.S. District Court Judge </w:t>
      </w:r>
      <w:r w:rsidRPr="00B31302">
        <w:t>Kristine G. Bake</w:t>
      </w:r>
      <w:r>
        <w:t xml:space="preserve">, United States District Court for Eastern District of Arkansas, Central Division, granted the City’s motion for summary judgment.  </w:t>
      </w:r>
      <w:r w:rsidRPr="00DC23E7">
        <w:t xml:space="preserve">On July 31, 2022, Mackey </w:t>
      </w:r>
      <w:r>
        <w:t xml:space="preserve">(firefighter / engineer) </w:t>
      </w:r>
      <w:r w:rsidRPr="00DC23E7">
        <w:t>suffered an ankle injury as his shift began by stepping into a pothole in the parking lot of Station 1 in Pine Bluff</w:t>
      </w:r>
      <w:r>
        <w:t xml:space="preserve">, and MRI revealed </w:t>
      </w:r>
      <w:r w:rsidRPr="00390A1A">
        <w:t xml:space="preserve">“complete rupture of the peroneus brevis tendon” </w:t>
      </w:r>
      <w:r>
        <w:t xml:space="preserve">which required surgery.  After surgery he was </w:t>
      </w:r>
      <w:r w:rsidRPr="009A23D1">
        <w:t xml:space="preserve">without feeling </w:t>
      </w:r>
      <w:proofErr w:type="gramStart"/>
      <w:r w:rsidRPr="009A23D1">
        <w:t>in</w:t>
      </w:r>
      <w:proofErr w:type="gramEnd"/>
      <w:r w:rsidRPr="009A23D1">
        <w:t xml:space="preserve"> the right side of his foot</w:t>
      </w:r>
      <w:r>
        <w:t xml:space="preserve">.  The FD denied his two requests for light duty – as Engineer with no firefighting, or instructor in EMS school with no heavy lifting - but his physician could not provide FD with letter that he could eventually return to full duty.  </w:t>
      </w:r>
      <w:r w:rsidRPr="00E427CE">
        <w:t xml:space="preserve">Mackey resigned from </w:t>
      </w:r>
      <w:r>
        <w:t xml:space="preserve">FD </w:t>
      </w:r>
      <w:r w:rsidRPr="00E427CE">
        <w:t>on November 9, 202</w:t>
      </w:r>
      <w:r>
        <w:t xml:space="preserve">3. </w:t>
      </w:r>
      <w:r w:rsidRPr="00E427CE">
        <w:t xml:space="preserve"> </w:t>
      </w:r>
      <w:hyperlink r:id="rId1612" w:history="1">
        <w:r w:rsidRPr="00A849F7">
          <w:rPr>
            <w:rStyle w:val="Hyperlink"/>
          </w:rPr>
          <w:t>https://cases.justia.com/federal/district-courts/arkansas/aredce/4:2024cv00350/143122/28/0.pdf?ts=1775058402</w:t>
        </w:r>
      </w:hyperlink>
      <w:r>
        <w:t xml:space="preserve"> </w:t>
      </w:r>
    </w:p>
    <w:p w14:paraId="077D5C8B" w14:textId="77777777" w:rsidR="007811A4" w:rsidRDefault="007811A4" w:rsidP="007811A4">
      <w:pPr>
        <w:pStyle w:val="NoSpacing"/>
      </w:pPr>
    </w:p>
    <w:p w14:paraId="6F53EC54" w14:textId="77777777" w:rsidR="007811A4" w:rsidRDefault="007811A4" w:rsidP="007811A4">
      <w:pPr>
        <w:pStyle w:val="NoSpacing"/>
      </w:pPr>
      <w:r>
        <w:t xml:space="preserve">THE COURT HELD: </w:t>
      </w:r>
    </w:p>
    <w:p w14:paraId="019E3653" w14:textId="77777777" w:rsidR="007811A4" w:rsidRDefault="007811A4" w:rsidP="007811A4">
      <w:pPr>
        <w:pStyle w:val="NoSpacing"/>
      </w:pPr>
    </w:p>
    <w:p w14:paraId="2D96BF88" w14:textId="77777777" w:rsidR="007811A4" w:rsidRDefault="007811A4" w:rsidP="007811A4">
      <w:pPr>
        <w:pStyle w:val="NoSpacing"/>
        <w:ind w:left="720"/>
      </w:pPr>
      <w:r>
        <w:t>“</w:t>
      </w:r>
      <w:r w:rsidRPr="00AC2EE6">
        <w:t xml:space="preserve">Mackey's first purported reasonable accommodation fails as a matter of law. The Court finds that Mackey's request to continue as </w:t>
      </w:r>
      <w:r>
        <w:t>‘</w:t>
      </w:r>
      <w:r w:rsidRPr="00AC2EE6">
        <w:t>an engineer but without the firefighting - without having to be inside fighting the fire</w:t>
      </w:r>
      <w:r>
        <w:t xml:space="preserve">’ </w:t>
      </w:r>
      <w:r w:rsidRPr="00AC2EE6">
        <w:t xml:space="preserve">is not a request for </w:t>
      </w:r>
      <w:proofErr w:type="gramStart"/>
      <w:r w:rsidRPr="00AC2EE6">
        <w:t>a reasonable</w:t>
      </w:r>
      <w:proofErr w:type="gramEnd"/>
      <w:r w:rsidRPr="00AC2EE6">
        <w:t xml:space="preserve"> accommodation because that accommodation necessarily eliminates the essential functions of the engineer position</w:t>
      </w:r>
      <w:r>
        <w:t xml:space="preserve">. </w:t>
      </w:r>
    </w:p>
    <w:p w14:paraId="0B3E92C9" w14:textId="77777777" w:rsidR="007811A4" w:rsidRDefault="007811A4" w:rsidP="007811A4">
      <w:pPr>
        <w:pStyle w:val="NoSpacing"/>
        <w:ind w:left="720"/>
      </w:pPr>
    </w:p>
    <w:p w14:paraId="7A91E7D8" w14:textId="77777777" w:rsidR="007811A4" w:rsidRDefault="007811A4" w:rsidP="007811A4">
      <w:pPr>
        <w:pStyle w:val="NoSpacing"/>
        <w:ind w:left="720"/>
      </w:pPr>
      <w:r>
        <w:t xml:space="preserve">*** </w:t>
      </w:r>
    </w:p>
    <w:p w14:paraId="4A784237" w14:textId="77777777" w:rsidR="007811A4" w:rsidRDefault="007811A4" w:rsidP="007811A4">
      <w:pPr>
        <w:pStyle w:val="NoSpacing"/>
        <w:ind w:left="720"/>
      </w:pPr>
      <w:r w:rsidRPr="00AC2EE6">
        <w:t xml:space="preserve">Mackey's second purported accommodation also fails. Mackey requested to be moved to a trainer position as an accommodation, but Mackey is incapable of performing the essential functions of a trainer. </w:t>
      </w:r>
    </w:p>
    <w:p w14:paraId="02911A11" w14:textId="77777777" w:rsidR="007811A4" w:rsidRDefault="007811A4" w:rsidP="007811A4">
      <w:pPr>
        <w:pStyle w:val="NoSpacing"/>
        <w:ind w:left="720"/>
      </w:pPr>
    </w:p>
    <w:p w14:paraId="13A1A8BD" w14:textId="77777777" w:rsidR="007811A4" w:rsidRPr="00AC2EE6" w:rsidRDefault="007811A4" w:rsidP="007811A4">
      <w:pPr>
        <w:pStyle w:val="NoSpacing"/>
        <w:ind w:left="720"/>
      </w:pPr>
      <w:r>
        <w:t>***</w:t>
      </w:r>
    </w:p>
    <w:p w14:paraId="3BD314BC" w14:textId="77777777" w:rsidR="007811A4" w:rsidRDefault="007811A4" w:rsidP="007811A4">
      <w:pPr>
        <w:pStyle w:val="NoSpacing"/>
        <w:ind w:left="720"/>
      </w:pPr>
      <w:r w:rsidRPr="00A4315C">
        <w:t>Accordingly, the Court grants Pine Bluff's motion for summary judgment as to Mackey's ADA and ACRA failure to accommodate claims</w:t>
      </w:r>
      <w:r>
        <w:t xml:space="preserve">. </w:t>
      </w:r>
    </w:p>
    <w:p w14:paraId="2BCF3203" w14:textId="77777777" w:rsidR="007811A4" w:rsidRDefault="007811A4" w:rsidP="007811A4">
      <w:pPr>
        <w:pStyle w:val="NoSpacing"/>
        <w:ind w:left="720"/>
      </w:pPr>
    </w:p>
    <w:p w14:paraId="46BE5C08" w14:textId="77777777" w:rsidR="007811A4" w:rsidRPr="00EF5C04" w:rsidRDefault="007811A4" w:rsidP="007811A4">
      <w:pPr>
        <w:rPr>
          <w:b/>
          <w:bCs/>
        </w:rPr>
      </w:pPr>
      <w:r>
        <w:rPr>
          <w:b/>
        </w:rPr>
        <w:t xml:space="preserve">Legal lesson learned: ADA only requires reasonable accommodation if employee can still perform the essential functions of the job. </w:t>
      </w:r>
    </w:p>
    <w:p w14:paraId="0FDD6890" w14:textId="77777777" w:rsidR="007811A4" w:rsidRDefault="007811A4" w:rsidP="007811A4">
      <w:pPr>
        <w:pStyle w:val="NoSpacing"/>
      </w:pPr>
      <w:r>
        <w:tab/>
        <w:t xml:space="preserve">Note:  The FD does provide light duty. </w:t>
      </w:r>
    </w:p>
    <w:p w14:paraId="3C0124FE" w14:textId="77777777" w:rsidR="007811A4" w:rsidRDefault="007811A4" w:rsidP="007811A4">
      <w:pPr>
        <w:pStyle w:val="NoSpacing"/>
        <w:ind w:left="720"/>
      </w:pPr>
    </w:p>
    <w:p w14:paraId="12F50575" w14:textId="77777777" w:rsidR="007811A4" w:rsidRDefault="007811A4" w:rsidP="007811A4">
      <w:pPr>
        <w:pStyle w:val="NoSpacing"/>
        <w:ind w:left="720"/>
      </w:pPr>
      <w:r>
        <w:t xml:space="preserve">“After Mackey resigned, another employee, </w:t>
      </w:r>
      <w:proofErr w:type="spellStart"/>
      <w:r>
        <w:t>E’Leecia</w:t>
      </w:r>
      <w:proofErr w:type="spellEnd"/>
      <w:r>
        <w:t xml:space="preserve"> Clark, was offered temporary light duty work….However, she had received hip replacement surgery and had run out of sick days, so the department offered her a temporary light duty job until her doctor cleared her to return to full duty…. Clark was </w:t>
      </w:r>
      <w:r w:rsidRPr="008437C5">
        <w:t>only on light duty work for four to five days before she was able to return to full duty</w:t>
      </w:r>
      <w:r>
        <w:t>.”</w:t>
      </w:r>
    </w:p>
    <w:p w14:paraId="39A49BE4" w14:textId="77777777" w:rsidR="007811A4" w:rsidRDefault="007811A4" w:rsidP="005C30A4">
      <w:pPr>
        <w:pStyle w:val="NoSpacing"/>
        <w:rPr>
          <w:rFonts w:ascii="Arial Black" w:hAnsi="Arial Black"/>
          <w:sz w:val="24"/>
          <w:szCs w:val="24"/>
        </w:rPr>
      </w:pPr>
    </w:p>
    <w:p w14:paraId="55774586" w14:textId="77777777" w:rsidR="003C742B" w:rsidRDefault="003C742B" w:rsidP="005C30A4">
      <w:pPr>
        <w:pStyle w:val="NoSpacing"/>
        <w:rPr>
          <w:rFonts w:ascii="Arial Black" w:hAnsi="Arial Black"/>
          <w:sz w:val="24"/>
          <w:szCs w:val="24"/>
        </w:rPr>
      </w:pPr>
    </w:p>
    <w:p w14:paraId="0048BD3B" w14:textId="77777777" w:rsidR="003C742B" w:rsidRDefault="003C742B" w:rsidP="005C30A4">
      <w:pPr>
        <w:pStyle w:val="NoSpacing"/>
        <w:rPr>
          <w:rFonts w:ascii="Arial Black" w:hAnsi="Arial Black"/>
          <w:sz w:val="24"/>
          <w:szCs w:val="24"/>
        </w:rPr>
      </w:pPr>
    </w:p>
    <w:p w14:paraId="11F69C69" w14:textId="77777777" w:rsidR="003C742B" w:rsidRDefault="003C742B" w:rsidP="005C30A4">
      <w:pPr>
        <w:pStyle w:val="NoSpacing"/>
        <w:rPr>
          <w:rFonts w:ascii="Arial Black" w:hAnsi="Arial Black"/>
          <w:sz w:val="24"/>
          <w:szCs w:val="24"/>
        </w:rPr>
      </w:pPr>
    </w:p>
    <w:p w14:paraId="3DE9E881" w14:textId="77777777" w:rsidR="003C742B" w:rsidRDefault="003C742B" w:rsidP="005C30A4">
      <w:pPr>
        <w:pStyle w:val="NoSpacing"/>
        <w:rPr>
          <w:rFonts w:ascii="Arial Black" w:hAnsi="Arial Black"/>
          <w:sz w:val="24"/>
          <w:szCs w:val="24"/>
        </w:rPr>
      </w:pPr>
    </w:p>
    <w:p w14:paraId="0497BB99" w14:textId="1F4336D5" w:rsidR="008D4459" w:rsidRDefault="003F5F35" w:rsidP="005C30A4">
      <w:pPr>
        <w:pStyle w:val="NoSpacing"/>
        <w:rPr>
          <w:rFonts w:ascii="Arial Black" w:hAnsi="Arial Black"/>
          <w:sz w:val="24"/>
          <w:szCs w:val="24"/>
        </w:rPr>
      </w:pPr>
      <w:r>
        <w:rPr>
          <w:rFonts w:ascii="Arial Black" w:hAnsi="Arial Black"/>
          <w:sz w:val="24"/>
          <w:szCs w:val="24"/>
        </w:rPr>
        <w:t>9-</w:t>
      </w:r>
      <w:r w:rsidR="00BA6D04">
        <w:rPr>
          <w:rFonts w:ascii="Arial Black" w:hAnsi="Arial Black"/>
          <w:sz w:val="24"/>
          <w:szCs w:val="24"/>
        </w:rPr>
        <w:t>60</w:t>
      </w:r>
    </w:p>
    <w:p w14:paraId="7B68E4A7" w14:textId="77777777" w:rsidR="00ED6D00" w:rsidRDefault="00ED6D00" w:rsidP="005C30A4">
      <w:pPr>
        <w:pStyle w:val="NoSpacing"/>
        <w:rPr>
          <w:rFonts w:ascii="Arial Black" w:hAnsi="Arial Black"/>
          <w:sz w:val="24"/>
          <w:szCs w:val="24"/>
        </w:rPr>
      </w:pPr>
    </w:p>
    <w:p w14:paraId="5A886678" w14:textId="77777777" w:rsidR="00ED6D00" w:rsidRPr="00130A45" w:rsidRDefault="00ED6D00" w:rsidP="00ED6D00">
      <w:pPr>
        <w:pStyle w:val="NoSpacing"/>
        <w:rPr>
          <w:rFonts w:ascii="Arial Black" w:hAnsi="Arial Black"/>
          <w:b/>
          <w:sz w:val="28"/>
          <w:szCs w:val="28"/>
        </w:rPr>
      </w:pPr>
      <w:r>
        <w:rPr>
          <w:rFonts w:ascii="Arial Black" w:hAnsi="Arial Black"/>
          <w:b/>
          <w:sz w:val="28"/>
          <w:szCs w:val="28"/>
        </w:rPr>
        <w:t>NY: BACK / NECK – CAN’T DO JOB – ADA CASE DISMISSED</w:t>
      </w:r>
    </w:p>
    <w:p w14:paraId="3DCFDCEA" w14:textId="77777777" w:rsidR="00ED6D00" w:rsidRDefault="00ED6D00" w:rsidP="00ED6D00">
      <w:pPr>
        <w:pStyle w:val="NoSpacing"/>
        <w:rPr>
          <w:bCs/>
        </w:rPr>
      </w:pPr>
    </w:p>
    <w:p w14:paraId="6A5AD63F" w14:textId="118CB54E" w:rsidR="00ED6D00" w:rsidRDefault="00ED6D00" w:rsidP="00ED6D00">
      <w:pPr>
        <w:pStyle w:val="NoSpacing"/>
      </w:pPr>
      <w:r>
        <w:t>On Feb. 26, 2026</w:t>
      </w:r>
      <w:proofErr w:type="gramStart"/>
      <w:r w:rsidR="008C5EE7">
        <w:t xml:space="preserve">, </w:t>
      </w:r>
      <w:r>
        <w:t>in</w:t>
      </w:r>
      <w:proofErr w:type="gramEnd"/>
      <w:r>
        <w:t xml:space="preserve"> </w:t>
      </w:r>
      <w:r w:rsidRPr="00C8301C">
        <w:rPr>
          <w:u w:val="single"/>
        </w:rPr>
        <w:t>Michael Knapp v. The City of Utica Bureau of Fire, et al.,</w:t>
      </w:r>
      <w:r>
        <w:t xml:space="preserve"> U.S. District Court Judge </w:t>
      </w:r>
      <w:r w:rsidRPr="00C951D8">
        <w:t>Anthony Brindisi</w:t>
      </w:r>
      <w:r>
        <w:t xml:space="preserve">. United States District Court for the Northern District of New York dismissed the firefighter’s ADA case; he can no longer perform the essential functions of the job.  The Court gave him 30 days to file an amended ADA complaint.  On </w:t>
      </w:r>
      <w:r w:rsidRPr="00A62FEE">
        <w:t xml:space="preserve">May 19, 2023, during a </w:t>
      </w:r>
      <w:r>
        <w:t xml:space="preserve">fire department </w:t>
      </w:r>
      <w:r w:rsidRPr="00A62FEE">
        <w:t xml:space="preserve">training exercise “involving an obstacle course,” plaintiff </w:t>
      </w:r>
      <w:r>
        <w:t xml:space="preserve">claimed he </w:t>
      </w:r>
      <w:r w:rsidRPr="00A62FEE">
        <w:t>suffered another injury, which further aggravated his pre-existing “back and neck” injuries.</w:t>
      </w:r>
      <w:r>
        <w:t xml:space="preserve"> He was ordered to take a worker’s comp IME (Independent Medical Exam); </w:t>
      </w:r>
      <w:r w:rsidRPr="00B01EA0">
        <w:t>Dr. Warren Silverman, who examined plaintiff and determined that his “pain and medical conditions were not the result of work-related injuries.”</w:t>
      </w:r>
      <w:r>
        <w:t xml:space="preserve"> </w:t>
      </w:r>
      <w:hyperlink r:id="rId1613" w:history="1">
        <w:r w:rsidRPr="00255C30">
          <w:rPr>
            <w:rStyle w:val="Hyperlink"/>
          </w:rPr>
          <w:t>https://public.fastcase.com/Jhe1Qn%2BmJndQYQU6z%2FeNm07xnsMMe9XopEXpzbd8wBfIcwWisDZ8Xdk0vkVeza2z?utm_medium=email&amp;_hsenc=p2ANqtz-9GpH5Yl8KbaQKypiwjwBSc5ZewK71TROtHeH7A0Ky0SFDkHfwzpfrGRkv9wpK-L_sBVpNrip23D5GifO3TaI5YS4qT7w&amp;_hsmi=226712652&amp;utm_content=226712652&amp;utm_source=hs_email</w:t>
        </w:r>
      </w:hyperlink>
    </w:p>
    <w:p w14:paraId="39DA158A" w14:textId="77777777" w:rsidR="00ED6D00" w:rsidRDefault="00ED6D00" w:rsidP="00ED6D00">
      <w:pPr>
        <w:pStyle w:val="NoSpacing"/>
      </w:pPr>
    </w:p>
    <w:p w14:paraId="7E792320" w14:textId="77777777" w:rsidR="00ED6D00" w:rsidRDefault="00ED6D00" w:rsidP="00ED6D00">
      <w:pPr>
        <w:pStyle w:val="NoSpacing"/>
      </w:pPr>
    </w:p>
    <w:p w14:paraId="08457438" w14:textId="77777777" w:rsidR="00ED6D00" w:rsidRDefault="00ED6D00" w:rsidP="00ED6D00">
      <w:pPr>
        <w:pStyle w:val="NoSpacing"/>
      </w:pPr>
      <w:r>
        <w:t>THE COURT HELD: “</w:t>
      </w:r>
      <w:r w:rsidRPr="00CC10A1">
        <w:t xml:space="preserve">In sum, plaintiff alleges that UFD has never offered him </w:t>
      </w:r>
      <w:r>
        <w:t>‘</w:t>
      </w:r>
      <w:r w:rsidRPr="00CC10A1">
        <w:t>any accommodation for the several injuries he sustained while on the job</w:t>
      </w:r>
      <w:r>
        <w:t xml:space="preserve">’ </w:t>
      </w:r>
      <w:r w:rsidRPr="00CC10A1">
        <w:t xml:space="preserve">despite his </w:t>
      </w:r>
      <w:r>
        <w:t>‘</w:t>
      </w:r>
      <w:r w:rsidRPr="00CC10A1">
        <w:t>multiple requests for same.</w:t>
      </w:r>
      <w:r>
        <w:t>’</w:t>
      </w:r>
      <w:r w:rsidRPr="00CC10A1">
        <w:t xml:space="preserve"> </w:t>
      </w:r>
      <w:proofErr w:type="spellStart"/>
      <w:r w:rsidRPr="00CC10A1">
        <w:t>Compl</w:t>
      </w:r>
      <w:proofErr w:type="spellEnd"/>
      <w:r w:rsidRPr="00CC10A1">
        <w:t>. ¶ 49</w:t>
      </w:r>
      <w:r>
        <w:t xml:space="preserve">…. </w:t>
      </w:r>
      <w:r w:rsidRPr="00CC10A1">
        <w:t xml:space="preserve">Plaintiff alleges that he is </w:t>
      </w:r>
      <w:r>
        <w:t>‘</w:t>
      </w:r>
      <w:r w:rsidRPr="00CC10A1">
        <w:t>out of work,</w:t>
      </w:r>
      <w:r>
        <w:t>’</w:t>
      </w:r>
      <w:r w:rsidRPr="00CC10A1">
        <w:t xml:space="preserve"> </w:t>
      </w:r>
      <w:r>
        <w:t xml:space="preserve"> ‘</w:t>
      </w:r>
      <w:r w:rsidRPr="00CC10A1">
        <w:t>receiving no pay,</w:t>
      </w:r>
      <w:r>
        <w:t>’</w:t>
      </w:r>
      <w:r w:rsidRPr="00CC10A1">
        <w:t xml:space="preserve"> and suffering </w:t>
      </w:r>
      <w:r>
        <w:t>‘</w:t>
      </w:r>
      <w:r w:rsidRPr="00CC10A1">
        <w:t>chronic pain</w:t>
      </w:r>
      <w:r>
        <w:t>’</w:t>
      </w:r>
      <w:r w:rsidRPr="00CC10A1">
        <w:t xml:space="preserve"> and </w:t>
      </w:r>
      <w:r>
        <w:t>‘</w:t>
      </w:r>
      <w:r w:rsidRPr="00CC10A1">
        <w:t>mental anguish, depression, and anxiety about his inability to continue to work and the fact that no reasonable accommodations were ever made.</w:t>
      </w:r>
      <w:r>
        <w:t xml:space="preserve"> </w:t>
      </w:r>
      <w:r w:rsidRPr="00CC10A1">
        <w:rPr>
          <w:i/>
          <w:iCs/>
        </w:rPr>
        <w:t>Id</w:t>
      </w:r>
      <w:r w:rsidRPr="00CC10A1">
        <w:t>. ¶¶ 51-53</w:t>
      </w:r>
      <w:r>
        <w:t>.</w:t>
      </w:r>
    </w:p>
    <w:p w14:paraId="6B8849E7" w14:textId="77777777" w:rsidR="00ED6D00" w:rsidRDefault="00ED6D00" w:rsidP="00ED6D00">
      <w:pPr>
        <w:pStyle w:val="NoSpacing"/>
      </w:pPr>
      <w:r>
        <w:t xml:space="preserve">*** </w:t>
      </w:r>
      <w:r w:rsidRPr="00260C3A">
        <w:t xml:space="preserve">First, plaintiff has failed to plausibly allege that he suffered a </w:t>
      </w:r>
      <w:r>
        <w:t>‘</w:t>
      </w:r>
      <w:r w:rsidRPr="00260C3A">
        <w:t>disability</w:t>
      </w:r>
      <w:r>
        <w:t>’</w:t>
      </w:r>
      <w:r w:rsidRPr="00260C3A">
        <w:t xml:space="preserve"> within the meaning of the Act, dooming his disparate-treatment and reasonable-accommodation claims</w:t>
      </w:r>
      <w:r>
        <w:t xml:space="preserve">…. </w:t>
      </w:r>
      <w:r w:rsidRPr="00DA6E7F">
        <w:t xml:space="preserve">On the merits, defendants argue that plaintiff has failed to state a plausible ADA claim because he has failed to allege that: (a) he is </w:t>
      </w:r>
      <w:r>
        <w:t>‘</w:t>
      </w:r>
      <w:r w:rsidRPr="00DA6E7F">
        <w:t>disabled</w:t>
      </w:r>
      <w:r>
        <w:t>’</w:t>
      </w:r>
      <w:r w:rsidRPr="00DA6E7F">
        <w:t xml:space="preserve"> within the meaning of the statute; (b) he is </w:t>
      </w:r>
      <w:r>
        <w:t>‘</w:t>
      </w:r>
      <w:r w:rsidRPr="00DA6E7F">
        <w:t>qualified to perform the essential functions of the job</w:t>
      </w:r>
      <w:r>
        <w:t>’</w:t>
      </w:r>
      <w:r w:rsidRPr="00DA6E7F">
        <w:t xml:space="preserve">; or that (c) he suffered a qualifying </w:t>
      </w:r>
      <w:r>
        <w:t>‘</w:t>
      </w:r>
      <w:r w:rsidRPr="00DA6E7F">
        <w:t>adverse employment action.</w:t>
      </w:r>
      <w:r>
        <w:t xml:space="preserve">’” </w:t>
      </w:r>
    </w:p>
    <w:p w14:paraId="668820A5" w14:textId="77777777" w:rsidR="00ED6D00" w:rsidRDefault="00ED6D00" w:rsidP="00ED6D00">
      <w:pPr>
        <w:pStyle w:val="NoSpacing"/>
      </w:pPr>
    </w:p>
    <w:p w14:paraId="0F59525B" w14:textId="77777777" w:rsidR="00ED6D00" w:rsidRPr="005564F2" w:rsidRDefault="00ED6D00" w:rsidP="00ED6D00">
      <w:pPr>
        <w:pStyle w:val="NoSpacing"/>
        <w:rPr>
          <w:b/>
          <w:bCs/>
        </w:rPr>
      </w:pPr>
      <w:r w:rsidRPr="005564F2">
        <w:rPr>
          <w:b/>
        </w:rPr>
        <w:t xml:space="preserve">Legal lesson learned: Plaintiff is not a “qualified individual” under the ADA if unable to perform the essential functions of the job.  </w:t>
      </w:r>
    </w:p>
    <w:p w14:paraId="70B91C8F" w14:textId="77777777" w:rsidR="00ED6D00" w:rsidRDefault="00ED6D00" w:rsidP="00ED6D00">
      <w:pPr>
        <w:pStyle w:val="NoSpacing"/>
      </w:pPr>
    </w:p>
    <w:p w14:paraId="0889A04D" w14:textId="77777777" w:rsidR="00ED6D00" w:rsidRPr="00300D14" w:rsidRDefault="00ED6D00" w:rsidP="00ED6D00">
      <w:pPr>
        <w:pStyle w:val="NoSpacing"/>
        <w:ind w:left="720"/>
        <w:rPr>
          <w:bCs/>
        </w:rPr>
      </w:pPr>
      <w:r w:rsidRPr="00300D14">
        <w:t>Note:  EEOC - The ADA: Questions and Answers</w:t>
      </w:r>
      <w:r>
        <w:t xml:space="preserve">. </w:t>
      </w:r>
      <w:hyperlink r:id="rId1614" w:history="1">
        <w:r w:rsidRPr="00255C30">
          <w:rPr>
            <w:rStyle w:val="Hyperlink"/>
          </w:rPr>
          <w:t>https://www.eeoc.gov/laws/guidance/ada-questions-and-answers</w:t>
        </w:r>
      </w:hyperlink>
      <w:r>
        <w:t xml:space="preserve"> </w:t>
      </w:r>
    </w:p>
    <w:p w14:paraId="22D75150" w14:textId="77777777" w:rsidR="00ED6D00" w:rsidRDefault="00ED6D00" w:rsidP="00ED6D00">
      <w:pPr>
        <w:pStyle w:val="NoSpacing"/>
        <w:ind w:firstLine="720"/>
        <w:rPr>
          <w:b/>
        </w:rPr>
      </w:pPr>
    </w:p>
    <w:p w14:paraId="39572B67" w14:textId="77777777" w:rsidR="00ED6D00" w:rsidRPr="00030E56" w:rsidRDefault="00ED6D00" w:rsidP="00ED6D00">
      <w:pPr>
        <w:pStyle w:val="NoSpacing"/>
        <w:ind w:firstLine="720"/>
      </w:pPr>
      <w:r>
        <w:rPr>
          <w:b/>
        </w:rPr>
        <w:t>“</w:t>
      </w:r>
      <w:r w:rsidRPr="00030E56">
        <w:rPr>
          <w:b/>
        </w:rPr>
        <w:t>Who is a "qualified individual with a disability?"</w:t>
      </w:r>
    </w:p>
    <w:p w14:paraId="6028D0E1" w14:textId="77777777" w:rsidR="00ED6D00" w:rsidRPr="00030E56" w:rsidRDefault="00ED6D00" w:rsidP="00ED6D00">
      <w:pPr>
        <w:pStyle w:val="NoSpacing"/>
        <w:ind w:left="720"/>
      </w:pPr>
      <w:r w:rsidRPr="00030E56">
        <w:t xml:space="preserve">A. A qualified individual with a disability is a person who meets legitimate skill, experience, education, or other requirements of an employment position that he or she holds or seeks, and who can perform the "essential functions" of the position with or without reasonable accommodation. Requiring the ability to perform "essential" functions </w:t>
      </w:r>
      <w:proofErr w:type="gramStart"/>
      <w:r w:rsidRPr="00030E56">
        <w:t>assures</w:t>
      </w:r>
      <w:proofErr w:type="gramEnd"/>
      <w:r w:rsidRPr="00030E56">
        <w:t xml:space="preserve"> that an individual will not be considered unqualified simply because of inability to perform marginal or incidental job functions. If the individual is qualified to perform essential job functions except for limitations caused by a disability, the employer must consider whether the individual could perform these functions with </w:t>
      </w:r>
      <w:proofErr w:type="gramStart"/>
      <w:r w:rsidRPr="00030E56">
        <w:t>a reasonable</w:t>
      </w:r>
      <w:proofErr w:type="gramEnd"/>
      <w:r w:rsidRPr="00030E56">
        <w:t xml:space="preserve"> accommodation. If a written job description has been prepared in advance of advertising or interviewing applicants for a job, this will be considered as evidence, although not necessarily conclusive evidence, of the essential functions of the </w:t>
      </w:r>
      <w:proofErr w:type="gramStart"/>
      <w:r w:rsidRPr="00030E56">
        <w:t>job.</w:t>
      </w:r>
      <w:r>
        <w:t>”</w:t>
      </w:r>
      <w:proofErr w:type="gramEnd"/>
    </w:p>
    <w:p w14:paraId="10745909" w14:textId="77777777" w:rsidR="00ED6D00" w:rsidRDefault="00ED6D00" w:rsidP="005C30A4">
      <w:pPr>
        <w:pStyle w:val="NoSpacing"/>
        <w:rPr>
          <w:rFonts w:ascii="Arial Black" w:hAnsi="Arial Black"/>
          <w:sz w:val="24"/>
          <w:szCs w:val="24"/>
        </w:rPr>
      </w:pPr>
    </w:p>
    <w:p w14:paraId="03E85787" w14:textId="2FC63746" w:rsidR="00BA6D04" w:rsidRDefault="00BA6D04" w:rsidP="00BA6D04">
      <w:pPr>
        <w:pStyle w:val="NoSpacing"/>
        <w:rPr>
          <w:rFonts w:ascii="Arial Black" w:hAnsi="Arial Black"/>
          <w:sz w:val="24"/>
          <w:szCs w:val="24"/>
        </w:rPr>
      </w:pPr>
      <w:r>
        <w:rPr>
          <w:rFonts w:ascii="Arial Black" w:hAnsi="Arial Black"/>
          <w:sz w:val="24"/>
          <w:szCs w:val="24"/>
        </w:rPr>
        <w:t>9-59</w:t>
      </w:r>
    </w:p>
    <w:p w14:paraId="1CC4DFDE" w14:textId="77777777" w:rsidR="003F5F35" w:rsidRDefault="003F5F35" w:rsidP="009C7451">
      <w:pPr>
        <w:pStyle w:val="NoSpacing"/>
        <w:rPr>
          <w:rFonts w:ascii="Arial Black" w:hAnsi="Arial Black"/>
          <w:sz w:val="24"/>
          <w:szCs w:val="24"/>
        </w:rPr>
      </w:pPr>
    </w:p>
    <w:p w14:paraId="43B8E9E8" w14:textId="77777777" w:rsidR="00BA6D04" w:rsidRDefault="00BA6D04" w:rsidP="00BA6D04">
      <w:pPr>
        <w:pStyle w:val="NoSpacing"/>
        <w:rPr>
          <w:rFonts w:ascii="Arial Black" w:hAnsi="Arial Black"/>
          <w:sz w:val="28"/>
          <w:szCs w:val="28"/>
        </w:rPr>
      </w:pPr>
      <w:r>
        <w:rPr>
          <w:rFonts w:ascii="Arial Black" w:hAnsi="Arial Black"/>
          <w:sz w:val="28"/>
          <w:szCs w:val="28"/>
        </w:rPr>
        <w:t xml:space="preserve">OH: FF 15-YRS HEARING AIDS – NFPA 1582 REQ. - FIRED </w:t>
      </w:r>
    </w:p>
    <w:p w14:paraId="27F23509" w14:textId="77777777" w:rsidR="00BA6D04" w:rsidRDefault="00BA6D04" w:rsidP="00BA6D04">
      <w:pPr>
        <w:pStyle w:val="NoSpacing"/>
        <w:rPr>
          <w:rFonts w:ascii="Arial Black" w:hAnsi="Arial Black"/>
          <w:sz w:val="28"/>
          <w:szCs w:val="28"/>
        </w:rPr>
      </w:pPr>
    </w:p>
    <w:p w14:paraId="11E96640" w14:textId="77777777" w:rsidR="00BA6D04" w:rsidRDefault="00BA6D04" w:rsidP="00BA6D04">
      <w:pPr>
        <w:pStyle w:val="NoSpacing"/>
        <w:rPr>
          <w:b/>
        </w:rPr>
      </w:pPr>
      <w:r>
        <w:t xml:space="preserve">On February 23, 2026, in </w:t>
      </w:r>
      <w:r w:rsidRPr="005E030B">
        <w:rPr>
          <w:u w:val="single"/>
        </w:rPr>
        <w:t>Jeffrey Kibler v. Genoa Township, Ohio</w:t>
      </w:r>
      <w:r>
        <w:t xml:space="preserve">, U.S. District Court Judge </w:t>
      </w:r>
      <w:r w:rsidRPr="00E51D1A">
        <w:t>Sarah D. Morrison</w:t>
      </w:r>
      <w:r>
        <w:t xml:space="preserve">, United States District Court for the Southern District of Ohio, granted the Township’s motion for summary judgment. The firefighter, who worked for the Township from </w:t>
      </w:r>
      <w:r w:rsidRPr="006D6749">
        <w:t>2001</w:t>
      </w:r>
      <w:r>
        <w:t xml:space="preserve"> until his terminated April 21, 2022, wore a hearing aid in right ear since 2002, and left ear since 2006, with Fire Chiefs knowledge. During his August 19, </w:t>
      </w:r>
      <w:proofErr w:type="gramStart"/>
      <w:r>
        <w:t>2021</w:t>
      </w:r>
      <w:proofErr w:type="gramEnd"/>
      <w:r>
        <w:t xml:space="preserve"> annual physical, Dr. William </w:t>
      </w:r>
      <w:proofErr w:type="spellStart"/>
      <w:r>
        <w:t>Cann</w:t>
      </w:r>
      <w:proofErr w:type="spellEnd"/>
      <w:r>
        <w:t xml:space="preserve"> reviewed the firefighter’s hearing loss records and advised the Fire Chief that his hearing fell below the NFPA 1582 </w:t>
      </w:r>
      <w:r w:rsidRPr="00707150">
        <w:rPr>
          <w:i/>
          <w:iCs/>
        </w:rPr>
        <w:t>unaided</w:t>
      </w:r>
      <w:r>
        <w:t xml:space="preserve"> threshold, back to at least 2011, and his hearing has worsened over time. The firefighter suggested several possible ADA accommodations, including carrying a second set of hearing aids, or working as just an engineer, but they were not accepted. The Court referenced the testimony of Dr. Stanely C. Haimes, who served on the NFPA 1582 technical committee: “hearing aids are not designed for operation in structural firefighting environmental conditions of elevated heat, water deluge, and humidity and therefore being subject to unpredictable failure under those conditions.” </w:t>
      </w:r>
      <w:hyperlink r:id="rId1615" w:history="1">
        <w:r w:rsidRPr="0031614A">
          <w:rPr>
            <w:rStyle w:val="Hyperlink"/>
            <w:b/>
          </w:rPr>
          <w:t>https://cases.justia.com/federal/district-courts/ohio/ohsdce/2:2023cv02466/282351/63/0.pdf?ts=1771088328</w:t>
        </w:r>
      </w:hyperlink>
      <w:r>
        <w:rPr>
          <w:b/>
        </w:rPr>
        <w:t xml:space="preserve"> </w:t>
      </w:r>
    </w:p>
    <w:p w14:paraId="42045FC5" w14:textId="77777777" w:rsidR="00BA6D04" w:rsidRDefault="00BA6D04" w:rsidP="00BA6D04">
      <w:pPr>
        <w:pStyle w:val="NoSpacing"/>
      </w:pPr>
    </w:p>
    <w:p w14:paraId="3CDADD16" w14:textId="77777777" w:rsidR="00BA6D04" w:rsidRDefault="00BA6D04" w:rsidP="00BA6D04">
      <w:pPr>
        <w:pStyle w:val="NoSpacing"/>
      </w:pPr>
      <w:r>
        <w:t>THE COURT HELD:</w:t>
      </w:r>
    </w:p>
    <w:p w14:paraId="33606AA3" w14:textId="77777777" w:rsidR="00BA6D04" w:rsidRDefault="00BA6D04" w:rsidP="00BA6D04">
      <w:pPr>
        <w:pStyle w:val="NoSpacing"/>
      </w:pPr>
    </w:p>
    <w:p w14:paraId="14E7BA4C" w14:textId="77777777" w:rsidR="00BA6D04" w:rsidRDefault="00BA6D04" w:rsidP="00BA6D04">
      <w:pPr>
        <w:pStyle w:val="NoSpacing"/>
        <w:ind w:left="720"/>
      </w:pPr>
      <w:r>
        <w:t>“</w:t>
      </w:r>
      <w:r w:rsidRPr="00257A2D">
        <w:t>Mr. Kibler argues that</w:t>
      </w:r>
      <w:r>
        <w:t xml:space="preserve"> these accommodations are nevertheless reasonable because he used hearing aids in both ears while working as a Firefighter/EMT for 15 years without issue, even though he did not meet the NFPA threshold for </w:t>
      </w:r>
      <w:proofErr w:type="gramStart"/>
      <w:r>
        <w:t>the majority of</w:t>
      </w:r>
      <w:proofErr w:type="gramEnd"/>
      <w:r>
        <w:t xml:space="preserve"> that time [since at least 2011]. But, </w:t>
      </w:r>
      <w:proofErr w:type="gramStart"/>
      <w:r>
        <w:t>in light of</w:t>
      </w:r>
      <w:proofErr w:type="gramEnd"/>
      <w:r>
        <w:t xml:space="preserve"> the evidence that Mr. Kibler’s hearing has worsened over time, Mr. Kibler’s prior performance is not dispositive of his continued ability to meet the essential qualifications of the Firefighter/EMT role.</w:t>
      </w:r>
    </w:p>
    <w:p w14:paraId="18E2A93D" w14:textId="77777777" w:rsidR="00BA6D04" w:rsidRDefault="00BA6D04" w:rsidP="00BA6D04">
      <w:pPr>
        <w:pStyle w:val="NoSpacing"/>
        <w:ind w:left="720"/>
      </w:pPr>
    </w:p>
    <w:p w14:paraId="4A834268" w14:textId="77777777" w:rsidR="00BA6D04" w:rsidRDefault="00BA6D04" w:rsidP="00BA6D04">
      <w:pPr>
        <w:pStyle w:val="NoSpacing"/>
        <w:ind w:left="720"/>
      </w:pPr>
      <w:r>
        <w:t>***</w:t>
      </w:r>
    </w:p>
    <w:p w14:paraId="289760EE" w14:textId="77777777" w:rsidR="00BA6D04" w:rsidRDefault="00BA6D04" w:rsidP="00BA6D04">
      <w:pPr>
        <w:pStyle w:val="NoSpacing"/>
        <w:ind w:left="720"/>
      </w:pPr>
      <w:r>
        <w:t xml:space="preserve">Mr. Kibler argues that there are three accommodations that are reasonable and would allow him to perform the essential job functions: that Genoa (1) allow him to work with his hearing aids; (2) require Mr. Kibler carry a second pair of hearing aids as a backup; or (3) allow him to only work as an engineer and not perform other firefighting duties at scenes. With respect to the first two proposed accommodations, neither addresses that the NFPA threshold is a threshold for </w:t>
      </w:r>
      <w:r w:rsidRPr="00741231">
        <w:rPr>
          <w:i/>
          <w:iCs/>
        </w:rPr>
        <w:t>unaided</w:t>
      </w:r>
      <w:r>
        <w:t xml:space="preserve"> hearing.</w:t>
      </w:r>
    </w:p>
    <w:p w14:paraId="526E596F" w14:textId="77777777" w:rsidR="00BA6D04" w:rsidRDefault="00BA6D04" w:rsidP="00BA6D04">
      <w:pPr>
        <w:pStyle w:val="NoSpacing"/>
        <w:ind w:left="720"/>
      </w:pPr>
    </w:p>
    <w:p w14:paraId="6E69E265" w14:textId="77777777" w:rsidR="00BA6D04" w:rsidRDefault="00BA6D04" w:rsidP="00BA6D04">
      <w:pPr>
        <w:pStyle w:val="NoSpacing"/>
        <w:ind w:left="720"/>
      </w:pPr>
      <w:r>
        <w:t>***</w:t>
      </w:r>
    </w:p>
    <w:p w14:paraId="6F1F2C2F" w14:textId="77777777" w:rsidR="00BA6D04" w:rsidRDefault="00BA6D04" w:rsidP="00BA6D04">
      <w:pPr>
        <w:pStyle w:val="NoSpacing"/>
        <w:ind w:left="720"/>
      </w:pPr>
    </w:p>
    <w:p w14:paraId="19EEEBB5" w14:textId="77777777" w:rsidR="00BA6D04" w:rsidRDefault="00BA6D04" w:rsidP="00BA6D04">
      <w:pPr>
        <w:pStyle w:val="NoSpacing"/>
        <w:ind w:left="720"/>
      </w:pPr>
      <w:r>
        <w:t xml:space="preserve">Further, Genoa has offered evidence that the risk of Mr. Kibler’s hearing aids failing in an IDLH environment is not merely speculative. Dr. Stanely C. Haimes (a physician who works on the technical committee that established the NFPA threshold) testified that the NFPA 1582 Standard does not permit firefighters to use a hearing aid to meet the minimum hearing threshold because hearing aids are not ‘designed for operation in structural firefighting environmental conditions of elevated heat, water deluge, and humidity and therefore being subject to unpredictable failure under those conditions.’ (Haimes Rep., PAGEID # 2076.) Dr. Haimes says that carrying a spare hearing aid would not alleviate these safety concerns because ‘it would be extremely dangerous - if not life threatening - to have the firefighter remove his personal protective equipment” to replace his hearing aids while on a call. </w:t>
      </w:r>
    </w:p>
    <w:p w14:paraId="7DD53021" w14:textId="77777777" w:rsidR="00BA6D04" w:rsidRDefault="00BA6D04" w:rsidP="00BA6D04">
      <w:pPr>
        <w:pStyle w:val="NoSpacing"/>
        <w:ind w:left="720"/>
      </w:pPr>
    </w:p>
    <w:p w14:paraId="76A456B9" w14:textId="77777777" w:rsidR="00BA6D04" w:rsidRDefault="00BA6D04" w:rsidP="00BA6D04">
      <w:pPr>
        <w:pStyle w:val="NoSpacing"/>
        <w:ind w:left="720"/>
      </w:pPr>
      <w:r>
        <w:t>***</w:t>
      </w:r>
    </w:p>
    <w:p w14:paraId="199FF769" w14:textId="77777777" w:rsidR="00BA6D04" w:rsidRDefault="00BA6D04" w:rsidP="00BA6D04">
      <w:pPr>
        <w:pStyle w:val="NoSpacing"/>
        <w:ind w:left="720"/>
      </w:pPr>
      <w:r>
        <w:t xml:space="preserve">Mr. Kibler’s proposals to continue wearing hearing aids and/or carry a backup pair were thus unreasonable </w:t>
      </w:r>
      <w:proofErr w:type="gramStart"/>
      <w:r>
        <w:t>in light of</w:t>
      </w:r>
      <w:proofErr w:type="gramEnd"/>
      <w:r>
        <w:t xml:space="preserve"> a firefighter’s reliance on his hearing in low visibility situations and the testimony that hearing aids can unpredictably fail in an IDLH environment. Mr. Kibler effectively argues that Genoa should ignore its own policy and application of a national standard, recommendations from a medical professional, and the danger posed by the potential and ‘unpredictable’ failure of hearing aids in an IDLH environment, in favor of hoping that nothing goes wrong in the future. The law does not require Genoa to assume this risk.”</w:t>
      </w:r>
    </w:p>
    <w:p w14:paraId="28E348E5" w14:textId="77777777" w:rsidR="00BA6D04" w:rsidRDefault="00BA6D04" w:rsidP="00BA6D04">
      <w:pPr>
        <w:pStyle w:val="NoSpacing"/>
        <w:ind w:left="720"/>
      </w:pPr>
    </w:p>
    <w:p w14:paraId="32703330" w14:textId="77777777" w:rsidR="00BA6D04" w:rsidRDefault="00BA6D04" w:rsidP="00BA6D04">
      <w:pPr>
        <w:pStyle w:val="NoSpacing"/>
        <w:rPr>
          <w:b/>
          <w:bCs/>
        </w:rPr>
      </w:pPr>
      <w:r>
        <w:rPr>
          <w:b/>
        </w:rPr>
        <w:t>Legal lesson learned: The case has been appealed to the U.S. Court of Appeals for the 6</w:t>
      </w:r>
      <w:r w:rsidRPr="002E6678">
        <w:rPr>
          <w:b/>
          <w:vertAlign w:val="superscript"/>
        </w:rPr>
        <w:t>th</w:t>
      </w:r>
      <w:r>
        <w:rPr>
          <w:b/>
        </w:rPr>
        <w:t xml:space="preserve"> Circuit (Cincinnati); that decision may provide more guidance on obligations of a fire department to accommodate a firefighter that has long worn hearing aids without incident.</w:t>
      </w:r>
    </w:p>
    <w:p w14:paraId="1568828B" w14:textId="77777777" w:rsidR="00BA6D04" w:rsidRDefault="00BA6D04" w:rsidP="00BA6D04">
      <w:pPr>
        <w:pStyle w:val="NoSpacing"/>
        <w:rPr>
          <w:b/>
          <w:bCs/>
        </w:rPr>
      </w:pPr>
    </w:p>
    <w:p w14:paraId="6564DA9F" w14:textId="77777777" w:rsidR="00BA6D04" w:rsidRDefault="00BA6D04" w:rsidP="00BA6D04">
      <w:pPr>
        <w:pStyle w:val="NoSpacing"/>
        <w:ind w:left="720"/>
      </w:pPr>
      <w:r w:rsidRPr="000E4D36">
        <w:t>Note: See IAFC Guidance on NFPA 1582</w:t>
      </w:r>
      <w:r>
        <w:t xml:space="preserve"> (</w:t>
      </w:r>
      <w:r w:rsidRPr="000E6FDF">
        <w:t>6.5 Ears and Hearing – Candidates/New Hire</w:t>
      </w:r>
      <w:r>
        <w:t>)</w:t>
      </w:r>
      <w:r w:rsidRPr="000E4D36">
        <w:t xml:space="preserve">: </w:t>
      </w:r>
      <w:hyperlink r:id="rId1616" w:history="1">
        <w:r w:rsidRPr="0031614A">
          <w:rPr>
            <w:rStyle w:val="Hyperlink"/>
          </w:rPr>
          <w:t>https://www.iafc.org/docs/default-source/1safehealthshs/vws_rrkit_nfpa-1582.pdf?sfvrsn=ca9b9f0d_4</w:t>
        </w:r>
      </w:hyperlink>
    </w:p>
    <w:p w14:paraId="6923F494" w14:textId="77777777" w:rsidR="00BA6D04" w:rsidRDefault="00BA6D04" w:rsidP="00BA6D04">
      <w:pPr>
        <w:pStyle w:val="NoSpacing"/>
        <w:ind w:left="720"/>
      </w:pPr>
    </w:p>
    <w:p w14:paraId="236AC468" w14:textId="77777777" w:rsidR="00BA6D04" w:rsidRDefault="00BA6D04" w:rsidP="00BA6D04">
      <w:pPr>
        <w:pStyle w:val="NoSpacing"/>
        <w:ind w:left="720"/>
        <w:rPr>
          <w:bCs/>
        </w:rPr>
      </w:pPr>
      <w:r w:rsidRPr="00DE04B3">
        <w:t>August 16, 2023: Understanding NFPA 1582 Medication Disqualifications: A Comprehensive Guide</w:t>
      </w:r>
      <w:r>
        <w:t xml:space="preserve">.  </w:t>
      </w:r>
      <w:hyperlink r:id="rId1617" w:history="1">
        <w:r w:rsidRPr="00F54646">
          <w:rPr>
            <w:rStyle w:val="Hyperlink"/>
          </w:rPr>
          <w:t>https://acuityinternational.com/blog/nfpa-1582-medication-disqualifications/</w:t>
        </w:r>
      </w:hyperlink>
      <w:r>
        <w:t xml:space="preserve"> </w:t>
      </w:r>
    </w:p>
    <w:p w14:paraId="51FDA02C" w14:textId="77777777" w:rsidR="00BA6D04" w:rsidRDefault="00BA6D04" w:rsidP="00BA6D04">
      <w:pPr>
        <w:pStyle w:val="NoSpacing"/>
        <w:ind w:left="720"/>
        <w:rPr>
          <w:bCs/>
        </w:rPr>
      </w:pPr>
    </w:p>
    <w:p w14:paraId="09F6A263" w14:textId="77777777" w:rsidR="00BA6D04" w:rsidRPr="00C50BF9" w:rsidRDefault="00BA6D04" w:rsidP="00BA6D04">
      <w:pPr>
        <w:pStyle w:val="NoSpacing"/>
        <w:ind w:left="720"/>
        <w:rPr>
          <w:bCs/>
        </w:rPr>
      </w:pPr>
      <w:r>
        <w:t xml:space="preserve">June 2024: </w:t>
      </w:r>
      <w:r w:rsidRPr="00C50BF9">
        <w:t>Knowledge and Attitudes Towards Usage of Hearing Protection in</w:t>
      </w:r>
    </w:p>
    <w:p w14:paraId="55C060BE" w14:textId="77777777" w:rsidR="00BA6D04" w:rsidRDefault="00BA6D04" w:rsidP="00BA6D04">
      <w:pPr>
        <w:pStyle w:val="NoSpacing"/>
        <w:ind w:left="720"/>
        <w:rPr>
          <w:bCs/>
        </w:rPr>
      </w:pPr>
      <w:r w:rsidRPr="00C50BF9">
        <w:t>Volunteer Firefighter</w:t>
      </w:r>
      <w:r>
        <w:t xml:space="preserve">s. </w:t>
      </w:r>
      <w:hyperlink r:id="rId1618" w:history="1">
        <w:r w:rsidRPr="00F54646">
          <w:rPr>
            <w:rStyle w:val="Hyperlink"/>
          </w:rPr>
          <w:t>https://academicworks.cuny.edu/cgi/viewcontent.cgi?article=6894&amp;context=gc_etds</w:t>
        </w:r>
      </w:hyperlink>
      <w:r>
        <w:t xml:space="preserve"> </w:t>
      </w:r>
    </w:p>
    <w:p w14:paraId="504C3C61" w14:textId="77777777" w:rsidR="00BA6D04" w:rsidRPr="00131E8D" w:rsidRDefault="00BA6D04" w:rsidP="00BA6D04">
      <w:pPr>
        <w:pStyle w:val="NoSpacing"/>
        <w:ind w:firstLine="720"/>
        <w:rPr>
          <w:bCs/>
        </w:rPr>
      </w:pPr>
      <w:r>
        <w:t>“</w:t>
      </w:r>
      <w:r w:rsidRPr="00131E8D">
        <w:t>Despite most firefighters acknowledging exposure to noise during firefighting activities,</w:t>
      </w:r>
    </w:p>
    <w:p w14:paraId="17B52989" w14:textId="77777777" w:rsidR="00BA6D04" w:rsidRPr="00DE04B3" w:rsidRDefault="00BA6D04" w:rsidP="00BA6D04">
      <w:pPr>
        <w:pStyle w:val="NoSpacing"/>
        <w:ind w:left="720"/>
        <w:rPr>
          <w:bCs/>
        </w:rPr>
      </w:pPr>
      <w:r w:rsidRPr="00131E8D">
        <w:t>only one individual reported wearing hearing protection while firefighting, with an additional</w:t>
      </w:r>
      <w:r>
        <w:t xml:space="preserve"> </w:t>
      </w:r>
      <w:r w:rsidRPr="00131E8D">
        <w:t>five occasionally doing so, leaving 64 firefighters who do not utilize hearing protection.</w:t>
      </w:r>
      <w:r>
        <w:t>”</w:t>
      </w:r>
    </w:p>
    <w:p w14:paraId="1C072D83" w14:textId="77777777" w:rsidR="00BA6D04" w:rsidRDefault="00BA6D04" w:rsidP="00BA6D04">
      <w:pPr>
        <w:pStyle w:val="NoSpacing"/>
        <w:ind w:left="720"/>
      </w:pPr>
    </w:p>
    <w:p w14:paraId="5A69ABAB" w14:textId="77777777" w:rsidR="00BA6D04" w:rsidRDefault="00BA6D04" w:rsidP="00BA6D04">
      <w:pPr>
        <w:pStyle w:val="NoSpacing"/>
        <w:ind w:left="720"/>
      </w:pPr>
    </w:p>
    <w:p w14:paraId="154575EB" w14:textId="77777777" w:rsidR="003F5F35" w:rsidRDefault="003F5F35" w:rsidP="009C7451">
      <w:pPr>
        <w:pStyle w:val="NoSpacing"/>
        <w:rPr>
          <w:rFonts w:ascii="Arial Black" w:hAnsi="Arial Black"/>
          <w:sz w:val="24"/>
          <w:szCs w:val="24"/>
        </w:rPr>
      </w:pPr>
    </w:p>
    <w:p w14:paraId="40AE3BA4" w14:textId="77777777" w:rsidR="00BA6D04" w:rsidRDefault="00BA6D04" w:rsidP="009C7451">
      <w:pPr>
        <w:pStyle w:val="NoSpacing"/>
        <w:rPr>
          <w:rFonts w:ascii="Arial Black" w:hAnsi="Arial Black"/>
          <w:sz w:val="24"/>
          <w:szCs w:val="24"/>
        </w:rPr>
      </w:pPr>
    </w:p>
    <w:p w14:paraId="76165CD7" w14:textId="77777777" w:rsidR="00BA6D04" w:rsidRDefault="00BA6D04" w:rsidP="009C7451">
      <w:pPr>
        <w:pStyle w:val="NoSpacing"/>
        <w:rPr>
          <w:rFonts w:ascii="Arial Black" w:hAnsi="Arial Black"/>
          <w:sz w:val="24"/>
          <w:szCs w:val="24"/>
        </w:rPr>
      </w:pPr>
    </w:p>
    <w:p w14:paraId="0DEE80D9" w14:textId="77777777" w:rsidR="00BA6D04" w:rsidRDefault="00BA6D04" w:rsidP="009C7451">
      <w:pPr>
        <w:pStyle w:val="NoSpacing"/>
        <w:rPr>
          <w:rFonts w:ascii="Arial Black" w:hAnsi="Arial Black"/>
          <w:sz w:val="24"/>
          <w:szCs w:val="24"/>
        </w:rPr>
      </w:pPr>
    </w:p>
    <w:p w14:paraId="3492EC24" w14:textId="77777777" w:rsidR="00BA6D04" w:rsidRDefault="00BA6D04" w:rsidP="009C7451">
      <w:pPr>
        <w:pStyle w:val="NoSpacing"/>
        <w:rPr>
          <w:rFonts w:ascii="Arial Black" w:hAnsi="Arial Black"/>
          <w:sz w:val="24"/>
          <w:szCs w:val="24"/>
        </w:rPr>
      </w:pPr>
    </w:p>
    <w:p w14:paraId="78400AB0" w14:textId="77777777" w:rsidR="00BA6D04" w:rsidRDefault="00BA6D04" w:rsidP="009C7451">
      <w:pPr>
        <w:pStyle w:val="NoSpacing"/>
        <w:rPr>
          <w:rFonts w:ascii="Arial Black" w:hAnsi="Arial Black"/>
          <w:sz w:val="24"/>
          <w:szCs w:val="24"/>
        </w:rPr>
      </w:pPr>
    </w:p>
    <w:p w14:paraId="7835D1A7" w14:textId="77777777" w:rsidR="00BA6D04" w:rsidRDefault="00BA6D04" w:rsidP="009C7451">
      <w:pPr>
        <w:pStyle w:val="NoSpacing"/>
        <w:rPr>
          <w:rFonts w:ascii="Arial Black" w:hAnsi="Arial Black"/>
          <w:sz w:val="24"/>
          <w:szCs w:val="24"/>
        </w:rPr>
      </w:pPr>
    </w:p>
    <w:p w14:paraId="76B16E88" w14:textId="4BE7019D" w:rsidR="00730526" w:rsidRDefault="00730526" w:rsidP="009C7451">
      <w:pPr>
        <w:pStyle w:val="NoSpacing"/>
        <w:rPr>
          <w:rFonts w:ascii="Arial Black" w:hAnsi="Arial Black"/>
          <w:sz w:val="24"/>
          <w:szCs w:val="24"/>
        </w:rPr>
      </w:pPr>
      <w:r>
        <w:rPr>
          <w:rFonts w:ascii="Arial Black" w:hAnsi="Arial Black"/>
          <w:sz w:val="24"/>
          <w:szCs w:val="24"/>
        </w:rPr>
        <w:t>9-58</w:t>
      </w:r>
    </w:p>
    <w:p w14:paraId="3AF2129D" w14:textId="47175C21" w:rsidR="00C5485C" w:rsidRPr="00FC582A" w:rsidRDefault="00C5485C" w:rsidP="00C5485C">
      <w:pPr>
        <w:pStyle w:val="NoSpacing"/>
        <w:rPr>
          <w:rFonts w:ascii="Arial Black" w:hAnsi="Arial Black"/>
          <w:sz w:val="28"/>
          <w:szCs w:val="28"/>
        </w:rPr>
      </w:pPr>
      <w:r>
        <w:rPr>
          <w:rFonts w:ascii="Arial Black" w:hAnsi="Arial Black"/>
          <w:sz w:val="28"/>
          <w:szCs w:val="28"/>
        </w:rPr>
        <w:t xml:space="preserve">SC: </w:t>
      </w:r>
      <w:r w:rsidR="000C584B">
        <w:rPr>
          <w:rFonts w:ascii="Arial Black" w:hAnsi="Arial Black"/>
          <w:sz w:val="28"/>
          <w:szCs w:val="28"/>
        </w:rPr>
        <w:t xml:space="preserve">NO ADA VIOL - </w:t>
      </w:r>
      <w:r>
        <w:rPr>
          <w:rFonts w:ascii="Arial Black" w:hAnsi="Arial Black"/>
          <w:sz w:val="28"/>
          <w:szCs w:val="28"/>
        </w:rPr>
        <w:t>MEDIC PTSD – DIDN’T INTERVIEW BILLING JOB</w:t>
      </w:r>
    </w:p>
    <w:p w14:paraId="73C0D238" w14:textId="77777777" w:rsidR="00C5485C" w:rsidRDefault="00C5485C" w:rsidP="00C5485C">
      <w:pPr>
        <w:pStyle w:val="NoSpacing"/>
        <w:ind w:left="720"/>
      </w:pPr>
    </w:p>
    <w:p w14:paraId="474DAF98" w14:textId="77777777" w:rsidR="00C5485C" w:rsidRDefault="00C5485C" w:rsidP="00C5485C">
      <w:pPr>
        <w:pStyle w:val="NoSpacing"/>
      </w:pPr>
      <w:r>
        <w:t xml:space="preserve">On December 18, 2025, in </w:t>
      </w:r>
      <w:r w:rsidRPr="00AF68E6">
        <w:rPr>
          <w:u w:val="single"/>
        </w:rPr>
        <w:t>William D. Shugart v. Chester County</w:t>
      </w:r>
      <w:r>
        <w:t xml:space="preserve">, Senior U.S. District Court Judge Cameron McGowan Currie, </w:t>
      </w:r>
      <w:r w:rsidRPr="00AF68E6">
        <w:t>United States District Court, D. South Carolina, Rock Hill Division</w:t>
      </w:r>
      <w:r>
        <w:t xml:space="preserve">, granted defense motion for summary judgment; no proof of ADA discrimination or retaliation for taking FMLA leave.  Plaintiff was a Senior Medic with Chest County EMS, and on September 8, </w:t>
      </w:r>
      <w:proofErr w:type="gramStart"/>
      <w:r>
        <w:t>2021</w:t>
      </w:r>
      <w:proofErr w:type="gramEnd"/>
      <w:r>
        <w:t xml:space="preserve"> there was incident where a gun shot came from a house.  He sought treatment for PTSD and history of depression and went on 12-weeks of FMLA leave.  On January 1, </w:t>
      </w:r>
      <w:proofErr w:type="gramStart"/>
      <w:r>
        <w:t>2023</w:t>
      </w:r>
      <w:proofErr w:type="gramEnd"/>
      <w:r>
        <w:t xml:space="preserve"> he was terminated when he was medically cleared to return to work as a paramedic but did not return. His supervisor encouraged him to apply for billing position that opened with a recent retirement, but he cancelled the January 30 (1 pm) in-person interview the day </w:t>
      </w:r>
      <w:proofErr w:type="gramStart"/>
      <w:r>
        <w:t>prior, and</w:t>
      </w:r>
      <w:proofErr w:type="gramEnd"/>
      <w:r>
        <w:t xml:space="preserve"> did not respond to offer of ZOOM interview.  </w:t>
      </w:r>
      <w:hyperlink r:id="rId1619" w:history="1">
        <w:r w:rsidRPr="007B3445">
          <w:rPr>
            <w:rStyle w:val="Hyperlink"/>
          </w:rPr>
          <w:t>https://cases.justia.com/federal/district-courts/south-carolina/scdce/0:2024cv00826/288831/46/0.pdf</w:t>
        </w:r>
      </w:hyperlink>
      <w:r>
        <w:t xml:space="preserve"> </w:t>
      </w:r>
    </w:p>
    <w:p w14:paraId="0A5640CD" w14:textId="77777777" w:rsidR="00C5485C" w:rsidRDefault="00C5485C" w:rsidP="00C5485C">
      <w:pPr>
        <w:pStyle w:val="NoSpacing"/>
        <w:rPr>
          <w:bCs/>
        </w:rPr>
      </w:pPr>
    </w:p>
    <w:p w14:paraId="2A009F23" w14:textId="77777777" w:rsidR="00C5485C" w:rsidRDefault="00C5485C" w:rsidP="00C5485C">
      <w:pPr>
        <w:pStyle w:val="NoSpacing"/>
        <w:rPr>
          <w:bCs/>
        </w:rPr>
      </w:pPr>
      <w:r>
        <w:t xml:space="preserve">THE COURT HELD: </w:t>
      </w:r>
    </w:p>
    <w:p w14:paraId="74E5D110" w14:textId="77777777" w:rsidR="00C5485C" w:rsidRDefault="00C5485C" w:rsidP="00C5485C">
      <w:pPr>
        <w:pStyle w:val="NoSpacing"/>
        <w:rPr>
          <w:bCs/>
        </w:rPr>
      </w:pPr>
    </w:p>
    <w:p w14:paraId="2F923A5D" w14:textId="77777777" w:rsidR="00C5485C" w:rsidRDefault="00C5485C" w:rsidP="00C5485C">
      <w:pPr>
        <w:pStyle w:val="NoSpacing"/>
        <w:ind w:firstLine="720"/>
      </w:pPr>
      <w:r>
        <w:t>“Plaintiff was employed by Chester County in its Emergency Medical Services (‘EMS’)</w:t>
      </w:r>
    </w:p>
    <w:p w14:paraId="17D5DCD3" w14:textId="77777777" w:rsidR="00C5485C" w:rsidRDefault="00C5485C" w:rsidP="00C5485C">
      <w:pPr>
        <w:pStyle w:val="NoSpacing"/>
        <w:ind w:left="720"/>
      </w:pPr>
      <w:r>
        <w:t xml:space="preserve">department from May 2016 until January 2023….He was promoted to Senior Paramedic on December 4, 2021…. An essential function of the Senior Paramedic was operation of an ambulance. </w:t>
      </w:r>
    </w:p>
    <w:p w14:paraId="028558BB" w14:textId="77777777" w:rsidR="00C5485C" w:rsidRDefault="00C5485C" w:rsidP="00C5485C">
      <w:pPr>
        <w:pStyle w:val="NoSpacing"/>
        <w:ind w:left="720"/>
      </w:pPr>
    </w:p>
    <w:p w14:paraId="50A9BBC0" w14:textId="77777777" w:rsidR="00C5485C" w:rsidRDefault="00C5485C" w:rsidP="00C5485C">
      <w:pPr>
        <w:pStyle w:val="NoSpacing"/>
        <w:ind w:left="720"/>
      </w:pPr>
      <w:r>
        <w:t>***</w:t>
      </w:r>
    </w:p>
    <w:p w14:paraId="1A9488F9" w14:textId="77777777" w:rsidR="00C5485C" w:rsidRDefault="00C5485C" w:rsidP="00C5485C">
      <w:pPr>
        <w:pStyle w:val="NoSpacing"/>
      </w:pPr>
    </w:p>
    <w:p w14:paraId="4F57893B" w14:textId="77777777" w:rsidR="00C5485C" w:rsidRDefault="00C5485C" w:rsidP="00C5485C">
      <w:pPr>
        <w:pStyle w:val="NoSpacing"/>
        <w:ind w:firstLine="720"/>
      </w:pPr>
      <w:r>
        <w:t xml:space="preserve">Plaintiff was </w:t>
      </w:r>
      <w:proofErr w:type="gramStart"/>
      <w:r>
        <w:t>provided</w:t>
      </w:r>
      <w:proofErr w:type="gramEnd"/>
      <w:r>
        <w:t xml:space="preserve"> the opportunity to apply and interview for the billing specialist</w:t>
      </w:r>
    </w:p>
    <w:p w14:paraId="6C386EED" w14:textId="77777777" w:rsidR="00C5485C" w:rsidRDefault="00C5485C" w:rsidP="00C5485C">
      <w:pPr>
        <w:pStyle w:val="NoSpacing"/>
        <w:ind w:left="720"/>
      </w:pPr>
      <w:r>
        <w:t>position when it was posted, but cancelled the interview the day before, and did not respond to inquiries about another option for the interview. The job was filled by a person with finance or accounting experience. For the reasons above, the court finds summary judgment is appropriate for Defendant on Plaintiff’s claims of ADA discrimination and retaliation.</w:t>
      </w:r>
    </w:p>
    <w:p w14:paraId="4C0479C6" w14:textId="77777777" w:rsidR="00C5485C" w:rsidRDefault="00C5485C" w:rsidP="00C5485C">
      <w:pPr>
        <w:pStyle w:val="NoSpacing"/>
        <w:ind w:left="720"/>
      </w:pPr>
    </w:p>
    <w:p w14:paraId="62C08E8C" w14:textId="77777777" w:rsidR="00C5485C" w:rsidRDefault="00C5485C" w:rsidP="00C5485C">
      <w:pPr>
        <w:pStyle w:val="NoSpacing"/>
        <w:ind w:left="720"/>
      </w:pPr>
      <w:r>
        <w:t>***</w:t>
      </w:r>
    </w:p>
    <w:p w14:paraId="10298719" w14:textId="77777777" w:rsidR="00C5485C" w:rsidRDefault="00C5485C" w:rsidP="00C5485C">
      <w:pPr>
        <w:pStyle w:val="NoSpacing"/>
      </w:pPr>
    </w:p>
    <w:p w14:paraId="243095B0" w14:textId="77777777" w:rsidR="00C5485C" w:rsidRDefault="00C5485C" w:rsidP="00C5485C">
      <w:pPr>
        <w:pStyle w:val="NoSpacing"/>
        <w:ind w:firstLine="720"/>
      </w:pPr>
      <w:r>
        <w:t>To make out an FMLA interference claim, an employee must demonstrate he was entitled</w:t>
      </w:r>
    </w:p>
    <w:p w14:paraId="76EB3EFA" w14:textId="77777777" w:rsidR="00C5485C" w:rsidRDefault="00C5485C" w:rsidP="00C5485C">
      <w:pPr>
        <w:pStyle w:val="NoSpacing"/>
        <w:ind w:left="720"/>
      </w:pPr>
      <w:r>
        <w:t xml:space="preserve">to an FMLA benefit, his employer interfered with the provision of that benefit, and the interference caused him harm. Adkins v. CSX Transp., Inc., 70 F.4th 785, 796 (4th Cir. 2023). The court agrees with the Magistrate Judge Defendant has produced evidence Plaintiff was provided his twelve-week statutorily mandated FMLA leave, his position was protected during that time, and there is no evidence his use of FMLA leave was a factor in his termination. Plaintiff has failed to refute this evidence. In fact, the record shows Defendant went out of its way to assist Plaintiff in obtaining the appropriate paperwork when Plaintiff indicated he was ready to come back to work, even though he indicated he would not be going back on an </w:t>
      </w:r>
      <w:proofErr w:type="gramStart"/>
      <w:r>
        <w:t>ambulance.”</w:t>
      </w:r>
      <w:proofErr w:type="gramEnd"/>
    </w:p>
    <w:p w14:paraId="39DBE5F2" w14:textId="77777777" w:rsidR="00C5485C" w:rsidRDefault="00C5485C" w:rsidP="00C5485C">
      <w:pPr>
        <w:pStyle w:val="NoSpacing"/>
        <w:ind w:left="720"/>
      </w:pPr>
    </w:p>
    <w:p w14:paraId="441148C2" w14:textId="77777777" w:rsidR="00C5485C" w:rsidRPr="00E35214" w:rsidRDefault="00C5485C" w:rsidP="00C5485C">
      <w:pPr>
        <w:pStyle w:val="NoSpacing"/>
        <w:rPr>
          <w:b/>
          <w:bCs/>
        </w:rPr>
      </w:pPr>
      <w:r>
        <w:rPr>
          <w:b/>
        </w:rPr>
        <w:t xml:space="preserve">Legal lesson learned:  Plaintiff’s supervisors went out of their way to assist the paramedic. </w:t>
      </w:r>
    </w:p>
    <w:p w14:paraId="66211E21" w14:textId="77777777" w:rsidR="00C5485C" w:rsidRDefault="00C5485C" w:rsidP="00C5485C">
      <w:pPr>
        <w:pStyle w:val="NoSpacing"/>
      </w:pPr>
    </w:p>
    <w:p w14:paraId="1F8DC829" w14:textId="77777777" w:rsidR="00C5485C" w:rsidRDefault="00C5485C" w:rsidP="00C5485C">
      <w:pPr>
        <w:pStyle w:val="NoSpacing"/>
      </w:pPr>
    </w:p>
    <w:p w14:paraId="764BEFA8" w14:textId="77777777" w:rsidR="00730526" w:rsidRDefault="00730526" w:rsidP="009C7451">
      <w:pPr>
        <w:pStyle w:val="NoSpacing"/>
        <w:rPr>
          <w:rFonts w:ascii="Arial Black" w:hAnsi="Arial Black"/>
          <w:sz w:val="24"/>
          <w:szCs w:val="24"/>
        </w:rPr>
      </w:pPr>
    </w:p>
    <w:p w14:paraId="29F986F9" w14:textId="77777777" w:rsidR="00730526" w:rsidRDefault="00730526" w:rsidP="009C7451">
      <w:pPr>
        <w:pStyle w:val="NoSpacing"/>
        <w:rPr>
          <w:rFonts w:ascii="Arial Black" w:hAnsi="Arial Black"/>
          <w:sz w:val="24"/>
          <w:szCs w:val="24"/>
        </w:rPr>
      </w:pPr>
    </w:p>
    <w:p w14:paraId="2DB0BECD" w14:textId="0FEA48DA" w:rsidR="00C60483" w:rsidRDefault="00C60483" w:rsidP="009C7451">
      <w:pPr>
        <w:pStyle w:val="NoSpacing"/>
        <w:rPr>
          <w:rFonts w:ascii="Arial Black" w:hAnsi="Arial Black"/>
          <w:sz w:val="24"/>
          <w:szCs w:val="24"/>
        </w:rPr>
      </w:pPr>
      <w:r>
        <w:rPr>
          <w:rFonts w:ascii="Arial Black" w:hAnsi="Arial Black"/>
          <w:sz w:val="24"/>
          <w:szCs w:val="24"/>
        </w:rPr>
        <w:t>9-57</w:t>
      </w:r>
    </w:p>
    <w:p w14:paraId="2C197F7D" w14:textId="77777777" w:rsidR="00C60483" w:rsidRDefault="00C60483" w:rsidP="009C7451">
      <w:pPr>
        <w:pStyle w:val="NoSpacing"/>
        <w:rPr>
          <w:rFonts w:ascii="Arial Black" w:hAnsi="Arial Black"/>
          <w:sz w:val="24"/>
          <w:szCs w:val="24"/>
        </w:rPr>
      </w:pPr>
    </w:p>
    <w:p w14:paraId="384F0533" w14:textId="77777777" w:rsidR="00C60483" w:rsidRPr="00453214" w:rsidRDefault="00C60483" w:rsidP="00C60483">
      <w:pPr>
        <w:rPr>
          <w:rFonts w:ascii="Arial Black" w:hAnsi="Arial Black"/>
          <w:b/>
          <w:sz w:val="28"/>
          <w:szCs w:val="28"/>
        </w:rPr>
      </w:pPr>
      <w:r>
        <w:rPr>
          <w:rFonts w:ascii="Arial Black" w:hAnsi="Arial Black"/>
          <w:b/>
          <w:sz w:val="28"/>
          <w:szCs w:val="28"/>
        </w:rPr>
        <w:t>NH: PSTD – FF REQ. MEETING WITH CHIEF – CASE PROCEED</w:t>
      </w:r>
    </w:p>
    <w:p w14:paraId="566DD51B" w14:textId="194379C9" w:rsidR="00C60483" w:rsidRPr="00097E9A" w:rsidRDefault="00C60483" w:rsidP="00C60483">
      <w:pPr>
        <w:pStyle w:val="NoSpacing"/>
        <w:rPr>
          <w:bCs/>
        </w:rPr>
      </w:pPr>
      <w:r>
        <w:t xml:space="preserve">On Sept. 10, 2025, in </w:t>
      </w:r>
      <w:r w:rsidRPr="007E7B93">
        <w:rPr>
          <w:u w:val="single"/>
        </w:rPr>
        <w:t>John Powers v. Town of Durham</w:t>
      </w:r>
      <w:r>
        <w:t xml:space="preserve">, U.S. District Court Judge </w:t>
      </w:r>
      <w:r w:rsidRPr="00371F98">
        <w:t>Steven J. McAuliffe</w:t>
      </w:r>
      <w:r>
        <w:t xml:space="preserve">, United States District Court for the District of New Hampshire, denied the city’s motion for summary judgment.  </w:t>
      </w:r>
      <w:r w:rsidRPr="006222A0">
        <w:rPr>
          <w:bCs/>
        </w:rPr>
        <w:t>THE COURT HELD:</w:t>
      </w:r>
      <w:r>
        <w:t xml:space="preserve"> “[A] </w:t>
      </w:r>
      <w:r w:rsidRPr="00453214">
        <w:t>reasonable jury</w:t>
      </w:r>
      <w:r>
        <w:t xml:space="preserve"> </w:t>
      </w:r>
      <w:r w:rsidRPr="00453214">
        <w:t>could find on this record that Powers made requests for</w:t>
      </w:r>
      <w:r>
        <w:t xml:space="preserve"> </w:t>
      </w:r>
      <w:r w:rsidRPr="00453214">
        <w:t>reasonable accommodation</w:t>
      </w:r>
      <w:r>
        <w:t xml:space="preserve"> [one on one meeting]</w:t>
      </w:r>
      <w:r w:rsidRPr="00453214">
        <w:t>, was using a reasonable accommodation</w:t>
      </w:r>
      <w:r>
        <w:t xml:space="preserve"> </w:t>
      </w:r>
      <w:r w:rsidRPr="00453214">
        <w:t>already in place, and complained about discriminatory conduct.</w:t>
      </w:r>
      <w:r>
        <w:t xml:space="preserve"> </w:t>
      </w:r>
      <w:r w:rsidRPr="00453214">
        <w:t>There is no dispute that Durham imposed adverse employment</w:t>
      </w:r>
      <w:r>
        <w:t xml:space="preserve"> </w:t>
      </w:r>
      <w:r w:rsidRPr="00453214">
        <w:t>actions against Powers. The timing of these events and the</w:t>
      </w:r>
      <w:r>
        <w:t xml:space="preserve"> </w:t>
      </w:r>
      <w:r w:rsidRPr="00453214">
        <w:t>evidence of Chief Emanuel’s unusual familiarity with Powers’s</w:t>
      </w:r>
      <w:r>
        <w:t xml:space="preserve"> </w:t>
      </w:r>
      <w:r w:rsidRPr="00453214">
        <w:t>disability and his possible use of Powers’s disability against</w:t>
      </w:r>
      <w:r>
        <w:t xml:space="preserve"> </w:t>
      </w:r>
      <w:r w:rsidRPr="00453214">
        <w:t>him could support findings in his favor on the elements of his</w:t>
      </w:r>
      <w:r>
        <w:t xml:space="preserve"> </w:t>
      </w:r>
      <w:r w:rsidRPr="00453214">
        <w:t>ADA retaliation claim. For that reason, summary judgment is not</w:t>
      </w:r>
      <w:r>
        <w:t xml:space="preserve"> </w:t>
      </w:r>
      <w:r w:rsidRPr="00453214">
        <w:t>appropriate.</w:t>
      </w:r>
      <w:r>
        <w:t xml:space="preserve">” </w:t>
      </w:r>
      <w:hyperlink r:id="rId1620" w:history="1">
        <w:r w:rsidRPr="00097E9A">
          <w:rPr>
            <w:rStyle w:val="Hyperlink"/>
          </w:rPr>
          <w:t>https://www.govinfo.gov/content/pkg/USCOURTS-nhd-1_23-cv-00327/pdf/USCOURTS-nhd-1_23-cv-00327-0.pdf</w:t>
        </w:r>
      </w:hyperlink>
    </w:p>
    <w:p w14:paraId="4E953FC1" w14:textId="77777777" w:rsidR="00C60483" w:rsidRDefault="00C60483" w:rsidP="00C60483">
      <w:pPr>
        <w:pStyle w:val="NoSpacing"/>
        <w:rPr>
          <w:bCs/>
        </w:rPr>
      </w:pPr>
    </w:p>
    <w:p w14:paraId="4EBBABE0" w14:textId="77777777" w:rsidR="00C60483" w:rsidRPr="00C56294" w:rsidRDefault="00C60483" w:rsidP="00C60483">
      <w:pPr>
        <w:pStyle w:val="NoSpacing"/>
        <w:rPr>
          <w:b/>
        </w:rPr>
      </w:pPr>
      <w:r w:rsidRPr="00C56294">
        <w:rPr>
          <w:b/>
        </w:rPr>
        <w:t>KEY FACTS:</w:t>
      </w:r>
    </w:p>
    <w:p w14:paraId="10BD8546" w14:textId="77777777" w:rsidR="00C60483" w:rsidRDefault="00C60483" w:rsidP="00C60483">
      <w:pPr>
        <w:pStyle w:val="NoSpacing"/>
        <w:rPr>
          <w:bCs/>
        </w:rPr>
      </w:pPr>
    </w:p>
    <w:p w14:paraId="51AE7A30" w14:textId="77777777" w:rsidR="00C60483" w:rsidRDefault="00C60483" w:rsidP="00C60483">
      <w:pPr>
        <w:pStyle w:val="NoSpacing"/>
        <w:ind w:left="720"/>
        <w:rPr>
          <w:bCs/>
        </w:rPr>
      </w:pPr>
      <w:r>
        <w:t>“</w:t>
      </w:r>
      <w:r w:rsidRPr="004300F7">
        <w:t>The summary judgment record in this case presents unusual,</w:t>
      </w:r>
      <w:r>
        <w:t xml:space="preserve"> </w:t>
      </w:r>
      <w:r w:rsidRPr="004300F7">
        <w:t>if not unique, circumstances from which a jury could find that</w:t>
      </w:r>
      <w:r>
        <w:t xml:space="preserve"> </w:t>
      </w:r>
      <w:r w:rsidRPr="004300F7">
        <w:t>Durham, through the Durham Fire Department’s Chief, David</w:t>
      </w:r>
      <w:r>
        <w:t xml:space="preserve"> </w:t>
      </w:r>
      <w:r w:rsidRPr="004300F7">
        <w:t>Emanuel, was fully aware of Powers’s disability due to PTSD and</w:t>
      </w:r>
      <w:r>
        <w:t xml:space="preserve"> </w:t>
      </w:r>
      <w:r w:rsidRPr="004300F7">
        <w:t>its symptoms. Emanuel and Powers worked together in the Durham</w:t>
      </w:r>
      <w:r>
        <w:t xml:space="preserve"> </w:t>
      </w:r>
      <w:r w:rsidRPr="004300F7">
        <w:t>Fire Department from 2011 to 2016. Powers had PTSD when he was</w:t>
      </w:r>
      <w:r>
        <w:t xml:space="preserve"> </w:t>
      </w:r>
      <w:r w:rsidRPr="005530CB">
        <w:t>hired, a condition the fire department was aware of when he was</w:t>
      </w:r>
      <w:r>
        <w:t xml:space="preserve"> </w:t>
      </w:r>
      <w:r w:rsidRPr="005530CB">
        <w:t>hired. Indeed, Durham allowed Powers time for weekly therapy</w:t>
      </w:r>
      <w:r>
        <w:t xml:space="preserve"> </w:t>
      </w:r>
      <w:r w:rsidRPr="005530CB">
        <w:t>sessions during his working hours. Emanuel knew that Powers</w:t>
      </w:r>
      <w:r>
        <w:t xml:space="preserve"> </w:t>
      </w:r>
      <w:r w:rsidRPr="005530CB">
        <w:t>suffered from PTSD and that he attended weekly therapy sessions.</w:t>
      </w:r>
    </w:p>
    <w:p w14:paraId="2D926046" w14:textId="77777777" w:rsidR="00C60483" w:rsidRDefault="00C60483" w:rsidP="00C60483">
      <w:pPr>
        <w:pStyle w:val="NoSpacing"/>
        <w:ind w:left="720"/>
        <w:rPr>
          <w:bCs/>
        </w:rPr>
      </w:pPr>
    </w:p>
    <w:p w14:paraId="6384394A" w14:textId="77777777" w:rsidR="00C60483" w:rsidRDefault="00C60483" w:rsidP="00C60483">
      <w:pPr>
        <w:pStyle w:val="NoSpacing"/>
        <w:ind w:left="720"/>
        <w:rPr>
          <w:bCs/>
        </w:rPr>
      </w:pPr>
      <w:r>
        <w:t>***</w:t>
      </w:r>
    </w:p>
    <w:p w14:paraId="6296C03F" w14:textId="77777777" w:rsidR="00C60483" w:rsidRPr="003D0DC8" w:rsidRDefault="00C60483" w:rsidP="00C60483">
      <w:pPr>
        <w:pStyle w:val="NoSpacing"/>
        <w:ind w:left="720"/>
        <w:rPr>
          <w:bCs/>
        </w:rPr>
      </w:pPr>
      <w:r w:rsidRPr="00F7488F">
        <w:t>Powers left Durham in 2016 to work for the Rochester Fire</w:t>
      </w:r>
      <w:r>
        <w:t xml:space="preserve"> </w:t>
      </w:r>
      <w:r w:rsidRPr="00F7488F">
        <w:t>Department. Powers and Emanuel remained close friends and</w:t>
      </w:r>
      <w:r>
        <w:t xml:space="preserve"> </w:t>
      </w:r>
      <w:r w:rsidRPr="003D0DC8">
        <w:t>continued to communicate after Powers’s move to Rochester. In</w:t>
      </w:r>
      <w:r>
        <w:t xml:space="preserve"> </w:t>
      </w:r>
      <w:r w:rsidRPr="003D0DC8">
        <w:t>2018, Chief Landry left the Durham Fire Department and Emanuel</w:t>
      </w:r>
    </w:p>
    <w:p w14:paraId="4C5A0E19" w14:textId="77777777" w:rsidR="00C60483" w:rsidRPr="003D0DC8" w:rsidRDefault="00C60483" w:rsidP="00C60483">
      <w:pPr>
        <w:pStyle w:val="NoSpacing"/>
        <w:ind w:left="720"/>
        <w:rPr>
          <w:bCs/>
        </w:rPr>
      </w:pPr>
      <w:r w:rsidRPr="003D0DC8">
        <w:t>became chief. Powers then returned to Durham to work under</w:t>
      </w:r>
      <w:r>
        <w:t xml:space="preserve"> </w:t>
      </w:r>
      <w:r w:rsidRPr="003D0DC8">
        <w:t>Chief Emanuel. By the fall of 2019, however, their relationship</w:t>
      </w:r>
      <w:r>
        <w:t xml:space="preserve"> </w:t>
      </w:r>
      <w:r w:rsidRPr="003D0DC8">
        <w:t>began to deteriorate. Emanuel was concerned about Powers’s work</w:t>
      </w:r>
      <w:r>
        <w:t xml:space="preserve"> </w:t>
      </w:r>
      <w:r w:rsidRPr="003D0DC8">
        <w:t>performance, including complaints about his driving while in a</w:t>
      </w:r>
      <w:r>
        <w:t xml:space="preserve"> </w:t>
      </w:r>
      <w:r w:rsidRPr="003D0DC8">
        <w:t>fire department vehicle, the tone of some of his work</w:t>
      </w:r>
      <w:r>
        <w:t xml:space="preserve"> </w:t>
      </w:r>
      <w:r w:rsidRPr="003D0DC8">
        <w:t>communications, and his failure to attend several meetings</w:t>
      </w:r>
      <w:r>
        <w:t xml:space="preserve"> </w:t>
      </w:r>
      <w:r w:rsidRPr="003D0DC8">
        <w:t>without first communicating that he would be unavailable.</w:t>
      </w:r>
    </w:p>
    <w:p w14:paraId="35DBAD6C" w14:textId="77777777" w:rsidR="00C60483" w:rsidRDefault="00C60483" w:rsidP="00C60483">
      <w:pPr>
        <w:pStyle w:val="NoSpacing"/>
        <w:ind w:left="720"/>
        <w:rPr>
          <w:bCs/>
        </w:rPr>
      </w:pPr>
      <w:r w:rsidRPr="003D0DC8">
        <w:t>Powers considered it difficult to communicate with Emanuel,</w:t>
      </w:r>
      <w:r>
        <w:t xml:space="preserve"> </w:t>
      </w:r>
      <w:r w:rsidRPr="003D0DC8">
        <w:t>which he believed was triggering his PTSD symptoms. By early</w:t>
      </w:r>
      <w:r>
        <w:t xml:space="preserve"> </w:t>
      </w:r>
      <w:r w:rsidRPr="003D0DC8">
        <w:t>2020, Powers thought his relationship with Emanuel had become</w:t>
      </w:r>
      <w:r>
        <w:t xml:space="preserve"> </w:t>
      </w:r>
      <w:r w:rsidRPr="003D0DC8">
        <w:t>adversarial.</w:t>
      </w:r>
    </w:p>
    <w:p w14:paraId="4798E7FE" w14:textId="77777777" w:rsidR="00C60483" w:rsidRDefault="00C60483" w:rsidP="00C60483">
      <w:pPr>
        <w:pStyle w:val="NoSpacing"/>
        <w:rPr>
          <w:bCs/>
        </w:rPr>
      </w:pPr>
    </w:p>
    <w:p w14:paraId="5008DA5B" w14:textId="77777777" w:rsidR="00C60483" w:rsidRPr="00886207" w:rsidRDefault="00C60483" w:rsidP="00C60483">
      <w:pPr>
        <w:pStyle w:val="NoSpacing"/>
        <w:ind w:left="720"/>
        <w:rPr>
          <w:bCs/>
        </w:rPr>
      </w:pPr>
      <w:r w:rsidRPr="00886207">
        <w:t>On January 17, 2020, Powers asked to meet with Emanuel one-on-one to discuss their communication issues and Emanuel’s</w:t>
      </w:r>
      <w:r>
        <w:t xml:space="preserve"> </w:t>
      </w:r>
      <w:r w:rsidRPr="00886207">
        <w:t xml:space="preserve">expectations of him. Powers </w:t>
      </w:r>
      <w:proofErr w:type="gramStart"/>
      <w:r w:rsidRPr="00886207">
        <w:t>says</w:t>
      </w:r>
      <w:proofErr w:type="gramEnd"/>
      <w:r w:rsidRPr="00886207">
        <w:t xml:space="preserve"> that meeting never occurred.</w:t>
      </w:r>
      <w:r>
        <w:t xml:space="preserve"> </w:t>
      </w:r>
      <w:r w:rsidRPr="00886207">
        <w:t>In a different meeting among Chief Emanuel, Powers, and a</w:t>
      </w:r>
      <w:r>
        <w:t xml:space="preserve"> </w:t>
      </w:r>
      <w:r w:rsidRPr="00886207">
        <w:t>consultant, who was hired to improve the fire department’s</w:t>
      </w:r>
      <w:r>
        <w:t xml:space="preserve"> </w:t>
      </w:r>
      <w:r w:rsidRPr="00886207">
        <w:t>working culture, Powers attempted to raise those same</w:t>
      </w:r>
      <w:r>
        <w:t xml:space="preserve"> </w:t>
      </w:r>
      <w:r w:rsidRPr="00886207">
        <w:t>communication and expectation issues. The consultant responded</w:t>
      </w:r>
    </w:p>
    <w:p w14:paraId="7EADC227" w14:textId="77777777" w:rsidR="00C60483" w:rsidRDefault="00C60483" w:rsidP="00C60483">
      <w:pPr>
        <w:pStyle w:val="NoSpacing"/>
        <w:ind w:firstLine="720"/>
        <w:rPr>
          <w:bCs/>
        </w:rPr>
      </w:pPr>
      <w:r w:rsidRPr="00886207">
        <w:t>that Powers was causing problems and undermining Emanuel’s</w:t>
      </w:r>
      <w:r>
        <w:t xml:space="preserve"> </w:t>
      </w:r>
      <w:r w:rsidRPr="00886207">
        <w:t>authority as Chief.</w:t>
      </w:r>
    </w:p>
    <w:p w14:paraId="6AFE3DFD" w14:textId="77777777" w:rsidR="00C60483" w:rsidRDefault="00C60483" w:rsidP="00C60483">
      <w:pPr>
        <w:pStyle w:val="NoSpacing"/>
        <w:ind w:firstLine="720"/>
        <w:rPr>
          <w:bCs/>
        </w:rPr>
      </w:pPr>
    </w:p>
    <w:p w14:paraId="369CFB70" w14:textId="77777777" w:rsidR="00C60483" w:rsidRPr="008B1854" w:rsidRDefault="00C60483" w:rsidP="00C60483">
      <w:pPr>
        <w:pStyle w:val="NoSpacing"/>
        <w:ind w:left="720"/>
        <w:rPr>
          <w:bCs/>
        </w:rPr>
      </w:pPr>
      <w:r w:rsidRPr="001D39E3">
        <w:t xml:space="preserve">Emanuel prepared a Performance Improvement </w:t>
      </w:r>
      <w:proofErr w:type="gramStart"/>
      <w:r w:rsidRPr="001D39E3">
        <w:t>Plan (</w:t>
      </w:r>
      <w:r>
        <w:t>‘</w:t>
      </w:r>
      <w:proofErr w:type="gramEnd"/>
      <w:r w:rsidRPr="001D39E3">
        <w:t>PIP</w:t>
      </w:r>
      <w:r>
        <w:t>’</w:t>
      </w:r>
      <w:r w:rsidRPr="001D39E3">
        <w:t>) for</w:t>
      </w:r>
      <w:r>
        <w:t xml:space="preserve"> </w:t>
      </w:r>
      <w:r w:rsidRPr="001D39E3">
        <w:t xml:space="preserve">Powers, which he presented to Powers at a </w:t>
      </w:r>
      <w:r>
        <w:t>‘</w:t>
      </w:r>
      <w:r w:rsidRPr="001D39E3">
        <w:t>Chief’s Meeting</w:t>
      </w:r>
      <w:r>
        <w:t xml:space="preserve">’ </w:t>
      </w:r>
      <w:r w:rsidRPr="001D39E3">
        <w:t>on</w:t>
      </w:r>
      <w:r>
        <w:t xml:space="preserve"> </w:t>
      </w:r>
      <w:r w:rsidRPr="008B1854">
        <w:t xml:space="preserve">February 27, 2020, without </w:t>
      </w:r>
      <w:proofErr w:type="gramStart"/>
      <w:r w:rsidRPr="008B1854">
        <w:t>prior warning</w:t>
      </w:r>
      <w:proofErr w:type="gramEnd"/>
      <w:r w:rsidRPr="008B1854">
        <w:t>. Emanuel explained</w:t>
      </w:r>
      <w:r>
        <w:t xml:space="preserve"> </w:t>
      </w:r>
      <w:r w:rsidRPr="008B1854">
        <w:t>later that he surprised Powers with the PIP because otherwise</w:t>
      </w:r>
    </w:p>
    <w:p w14:paraId="3F66BA26" w14:textId="77777777" w:rsidR="00C60483" w:rsidRPr="008B1854" w:rsidRDefault="00C60483" w:rsidP="00C60483">
      <w:pPr>
        <w:pStyle w:val="NoSpacing"/>
        <w:ind w:left="720"/>
        <w:rPr>
          <w:bCs/>
        </w:rPr>
      </w:pPr>
      <w:r w:rsidRPr="008B1854">
        <w:t>Powers would have avoided that conversation. Powers was</w:t>
      </w:r>
      <w:r>
        <w:t xml:space="preserve"> </w:t>
      </w:r>
      <w:r w:rsidRPr="008B1854">
        <w:t>surprised and uncomfortable when Emanuel began to read the PIP</w:t>
      </w:r>
      <w:r>
        <w:t xml:space="preserve"> </w:t>
      </w:r>
      <w:r w:rsidRPr="008B1854">
        <w:t>to him aloud at the meeting. Powers twice asked Emanuel to stop</w:t>
      </w:r>
      <w:r>
        <w:t xml:space="preserve"> </w:t>
      </w:r>
      <w:r w:rsidRPr="008B1854">
        <w:t>reading and to allow him to take the PIP to read to himself and</w:t>
      </w:r>
    </w:p>
    <w:p w14:paraId="63002210" w14:textId="77777777" w:rsidR="00C60483" w:rsidRDefault="00C60483" w:rsidP="00C60483">
      <w:pPr>
        <w:pStyle w:val="NoSpacing"/>
        <w:ind w:left="720"/>
        <w:rPr>
          <w:bCs/>
        </w:rPr>
      </w:pPr>
      <w:r w:rsidRPr="008B1854">
        <w:t>respond, but Emanuel continued to read the PIP aloud.</w:t>
      </w:r>
      <w:r>
        <w:t xml:space="preserve"> </w:t>
      </w:r>
      <w:r w:rsidRPr="00940191">
        <w:t>When</w:t>
      </w:r>
      <w:r>
        <w:t xml:space="preserve"> </w:t>
      </w:r>
      <w:r w:rsidRPr="00940191">
        <w:t>Emanuel read a section of the PIP that required Powers to be at</w:t>
      </w:r>
      <w:r>
        <w:t xml:space="preserve"> </w:t>
      </w:r>
      <w:r w:rsidRPr="00940191">
        <w:t>the station during all days and all business hours, Powers</w:t>
      </w:r>
      <w:r>
        <w:t xml:space="preserve"> </w:t>
      </w:r>
      <w:r w:rsidRPr="00940191">
        <w:t>became distraught because he understood that requirement revoked</w:t>
      </w:r>
      <w:r>
        <w:t xml:space="preserve"> </w:t>
      </w:r>
      <w:r w:rsidRPr="00940191">
        <w:t>his leave to attend weekly therapy sessions for PTSD during work</w:t>
      </w:r>
      <w:r>
        <w:t xml:space="preserve"> </w:t>
      </w:r>
      <w:r w:rsidRPr="00940191">
        <w:t>hours. Powers was obviously agitated and shaking and excused</w:t>
      </w:r>
      <w:r>
        <w:t xml:space="preserve"> </w:t>
      </w:r>
      <w:r w:rsidRPr="00940191">
        <w:t>himself from the meeting. After the meeting, Emanuel drafted a</w:t>
      </w:r>
      <w:r>
        <w:t xml:space="preserve"> </w:t>
      </w:r>
      <w:r w:rsidRPr="00940191">
        <w:t>memo that questioned Powers’s state of mind after the PIP</w:t>
      </w:r>
      <w:r>
        <w:t xml:space="preserve"> </w:t>
      </w:r>
      <w:r w:rsidRPr="00940191">
        <w:t>meeting. Powers responded to a text from Emanuel that evening,</w:t>
      </w:r>
      <w:r>
        <w:t xml:space="preserve"> </w:t>
      </w:r>
      <w:r w:rsidRPr="00940191">
        <w:t xml:space="preserve">saying that he made it home safely but was not </w:t>
      </w:r>
      <w:r>
        <w:t>‘</w:t>
      </w:r>
      <w:r w:rsidRPr="00940191">
        <w:t>okay</w:t>
      </w:r>
      <w:r>
        <w:t>.’</w:t>
      </w:r>
    </w:p>
    <w:p w14:paraId="1727ACFC" w14:textId="77777777" w:rsidR="00C60483" w:rsidRDefault="00C60483" w:rsidP="00C60483">
      <w:pPr>
        <w:pStyle w:val="NoSpacing"/>
        <w:ind w:left="720"/>
        <w:rPr>
          <w:bCs/>
        </w:rPr>
      </w:pPr>
    </w:p>
    <w:p w14:paraId="68240BF9" w14:textId="77777777" w:rsidR="00C60483" w:rsidRPr="000840FB" w:rsidRDefault="00C60483" w:rsidP="00C60483">
      <w:pPr>
        <w:pStyle w:val="NoSpacing"/>
        <w:ind w:left="720"/>
        <w:rPr>
          <w:bCs/>
        </w:rPr>
      </w:pPr>
      <w:r w:rsidRPr="000840FB">
        <w:t>The next day, Emanuel informed Powers that he was suspended</w:t>
      </w:r>
      <w:r>
        <w:t xml:space="preserve"> </w:t>
      </w:r>
      <w:r w:rsidRPr="000840FB">
        <w:t>from the department because of his reaction to the PIP. Emanuel</w:t>
      </w:r>
      <w:r>
        <w:t xml:space="preserve"> </w:t>
      </w:r>
      <w:r w:rsidRPr="000840FB">
        <w:t xml:space="preserve">ordered Powers to have a fitness for </w:t>
      </w:r>
      <w:proofErr w:type="gramStart"/>
      <w:r w:rsidRPr="000840FB">
        <w:t>duty (</w:t>
      </w:r>
      <w:r>
        <w:t>‘</w:t>
      </w:r>
      <w:proofErr w:type="gramEnd"/>
      <w:r w:rsidRPr="000840FB">
        <w:t>FFD</w:t>
      </w:r>
      <w:r>
        <w:t>’</w:t>
      </w:r>
      <w:r w:rsidRPr="000840FB">
        <w:t>) evaluation.</w:t>
      </w:r>
      <w:r>
        <w:t xml:space="preserve"> </w:t>
      </w:r>
      <w:r w:rsidRPr="000840FB">
        <w:t>The evaluation was scheduled. Powers submitted a grievance to</w:t>
      </w:r>
    </w:p>
    <w:p w14:paraId="49EC33C9" w14:textId="77777777" w:rsidR="00C60483" w:rsidRDefault="00C60483" w:rsidP="00C60483">
      <w:pPr>
        <w:pStyle w:val="NoSpacing"/>
        <w:ind w:left="720"/>
        <w:rPr>
          <w:bCs/>
        </w:rPr>
      </w:pPr>
      <w:r w:rsidRPr="000840FB">
        <w:t>Emanuel challenging the PIP and the ordered evaluation. Emanuel</w:t>
      </w:r>
      <w:r>
        <w:t xml:space="preserve"> </w:t>
      </w:r>
      <w:r w:rsidRPr="000840FB">
        <w:t>thought Powers was out of line by filing the grievance and</w:t>
      </w:r>
      <w:r>
        <w:t xml:space="preserve"> </w:t>
      </w:r>
      <w:r w:rsidRPr="000840FB">
        <w:t xml:space="preserve">notified Powers that there was no </w:t>
      </w:r>
      <w:proofErr w:type="spellStart"/>
      <w:r w:rsidRPr="000840FB">
        <w:t>grievable</w:t>
      </w:r>
      <w:proofErr w:type="spellEnd"/>
      <w:r w:rsidRPr="000840FB">
        <w:t xml:space="preserve"> issue. He required</w:t>
      </w:r>
      <w:r>
        <w:t xml:space="preserve"> </w:t>
      </w:r>
      <w:r w:rsidRPr="000840FB">
        <w:t>Powers to return and finish listening to Emanuel read the PIP.</w:t>
      </w:r>
      <w:r>
        <w:t xml:space="preserve"> </w:t>
      </w:r>
      <w:r w:rsidRPr="009E3FF5">
        <w:t>Powers attended the scheduled FFD evaluation but would not</w:t>
      </w:r>
      <w:r>
        <w:t xml:space="preserve"> </w:t>
      </w:r>
      <w:r w:rsidRPr="009E3FF5">
        <w:t>release the results to Durham while his grievance was pending.</w:t>
      </w:r>
      <w:r>
        <w:t xml:space="preserve"> </w:t>
      </w:r>
      <w:r w:rsidRPr="009E3FF5">
        <w:t>Emanuel, in turn, fired Powers on March 19, 2020, because he did</w:t>
      </w:r>
      <w:r>
        <w:t xml:space="preserve"> </w:t>
      </w:r>
      <w:r w:rsidRPr="009E3FF5">
        <w:t>not submit the results of the FFD evaluation. The town</w:t>
      </w:r>
      <w:r>
        <w:t xml:space="preserve"> </w:t>
      </w:r>
      <w:r w:rsidRPr="009E3FF5">
        <w:t>administrator notified Powers the next day that his grievance</w:t>
      </w:r>
      <w:r>
        <w:t xml:space="preserve"> </w:t>
      </w:r>
      <w:r w:rsidRPr="009E3FF5">
        <w:t>was not valid.</w:t>
      </w:r>
      <w:r>
        <w:t>”</w:t>
      </w:r>
    </w:p>
    <w:p w14:paraId="058B882E" w14:textId="77777777" w:rsidR="00C60483" w:rsidRDefault="00C60483" w:rsidP="00C60483">
      <w:pPr>
        <w:pStyle w:val="NoSpacing"/>
        <w:ind w:left="720"/>
        <w:rPr>
          <w:bCs/>
        </w:rPr>
      </w:pPr>
    </w:p>
    <w:p w14:paraId="54F3FE3D" w14:textId="77777777" w:rsidR="00C60483" w:rsidRPr="00ED073D" w:rsidRDefault="00C60483" w:rsidP="00C60483">
      <w:pPr>
        <w:pStyle w:val="NoSpacing"/>
        <w:rPr>
          <w:b/>
          <w:bCs/>
        </w:rPr>
      </w:pPr>
      <w:r>
        <w:rPr>
          <w:b/>
        </w:rPr>
        <w:t xml:space="preserve">Legal lesson learned:  ADA requires both sides to communicate, seeking mutually acceptable reasonable accommodation. </w:t>
      </w:r>
    </w:p>
    <w:p w14:paraId="5450BC27" w14:textId="77777777" w:rsidR="00C60483" w:rsidRDefault="00C60483" w:rsidP="009C7451">
      <w:pPr>
        <w:pStyle w:val="NoSpacing"/>
        <w:rPr>
          <w:rFonts w:ascii="Arial Black" w:hAnsi="Arial Black"/>
          <w:sz w:val="24"/>
          <w:szCs w:val="24"/>
        </w:rPr>
      </w:pPr>
    </w:p>
    <w:p w14:paraId="0D5C80FE" w14:textId="77777777" w:rsidR="00C60483" w:rsidRDefault="00C60483" w:rsidP="009C7451">
      <w:pPr>
        <w:pStyle w:val="NoSpacing"/>
        <w:rPr>
          <w:rFonts w:ascii="Arial Black" w:hAnsi="Arial Black"/>
          <w:sz w:val="24"/>
          <w:szCs w:val="24"/>
        </w:rPr>
      </w:pPr>
    </w:p>
    <w:p w14:paraId="51F3E579" w14:textId="70948919" w:rsidR="00066EA4" w:rsidRDefault="00010BB9" w:rsidP="009C7451">
      <w:pPr>
        <w:pStyle w:val="NoSpacing"/>
        <w:rPr>
          <w:rFonts w:ascii="Arial Black" w:hAnsi="Arial Black"/>
          <w:sz w:val="24"/>
          <w:szCs w:val="24"/>
        </w:rPr>
      </w:pPr>
      <w:r>
        <w:rPr>
          <w:rFonts w:ascii="Arial Black" w:hAnsi="Arial Black"/>
          <w:sz w:val="24"/>
          <w:szCs w:val="24"/>
        </w:rPr>
        <w:t>9-56</w:t>
      </w:r>
    </w:p>
    <w:p w14:paraId="5E99A02A" w14:textId="77777777" w:rsidR="00010BB9" w:rsidRDefault="00010BB9" w:rsidP="009C7451">
      <w:pPr>
        <w:pStyle w:val="NoSpacing"/>
        <w:rPr>
          <w:rFonts w:ascii="Arial Black" w:hAnsi="Arial Black"/>
          <w:sz w:val="24"/>
          <w:szCs w:val="24"/>
        </w:rPr>
      </w:pPr>
    </w:p>
    <w:p w14:paraId="29A15087" w14:textId="77777777" w:rsidR="00010BB9" w:rsidRPr="00D56FD8" w:rsidRDefault="00010BB9" w:rsidP="00010BB9">
      <w:pPr>
        <w:rPr>
          <w:rFonts w:ascii="Arial Black" w:hAnsi="Arial Black"/>
          <w:b/>
          <w:sz w:val="28"/>
          <w:szCs w:val="28"/>
        </w:rPr>
      </w:pPr>
      <w:r>
        <w:rPr>
          <w:rFonts w:ascii="Arial Black" w:hAnsi="Arial Black"/>
          <w:b/>
          <w:sz w:val="28"/>
          <w:szCs w:val="28"/>
        </w:rPr>
        <w:t xml:space="preserve">CA:  CHIEF MED LEAVE / 4 SURGERIES – FIRED – JURY $4.1M </w:t>
      </w:r>
    </w:p>
    <w:p w14:paraId="2C9B2329" w14:textId="77777777" w:rsidR="00010BB9" w:rsidRPr="00880B66" w:rsidRDefault="00010BB9" w:rsidP="00010BB9">
      <w:pPr>
        <w:pStyle w:val="NoSpacing"/>
        <w:rPr>
          <w:rFonts w:ascii="Times New Roman" w:hAnsi="Times New Roman"/>
          <w:sz w:val="24"/>
          <w:szCs w:val="24"/>
        </w:rPr>
      </w:pPr>
      <w:r w:rsidRPr="00880B66">
        <w:rPr>
          <w:rFonts w:ascii="Times New Roman" w:hAnsi="Times New Roman"/>
          <w:sz w:val="24"/>
          <w:szCs w:val="24"/>
        </w:rPr>
        <w:t xml:space="preserve">On July 9, 2025, in </w:t>
      </w:r>
      <w:r w:rsidRPr="00880B66">
        <w:rPr>
          <w:rFonts w:ascii="Times New Roman" w:hAnsi="Times New Roman"/>
          <w:sz w:val="24"/>
          <w:szCs w:val="24"/>
          <w:u w:val="single"/>
        </w:rPr>
        <w:t>Larry Whithorn v. City of West Covina</w:t>
      </w:r>
      <w:r w:rsidRPr="00880B66">
        <w:rPr>
          <w:rFonts w:ascii="Times New Roman" w:hAnsi="Times New Roman"/>
          <w:sz w:val="24"/>
          <w:szCs w:val="24"/>
        </w:rPr>
        <w:t xml:space="preserve">, the California Court of Appeals, Second District, Eighth Division held (3 to 0; unpublished decision) that jury award of $4,145,595 in damages was appropriate based on evidence of being fired after four surgeries, and after filing internal complaint.  According to press reports, he was on extended medical leaves from December 2016 to April 2017 and June 2017 to September 2017 (four surgeries) and brief leaves in January 2018 and September 2018 to aid an ill relative. During Whithorn’s 2017 medical leave, newly elected City Councilmember Tony Wu expressed concerns to City Manager Freeland multiple times that Whithorn was an “absentee chief.” On March 19, 2019, Whithorn filed a grievance.  Tony Wu described the grievance as “bull shit.”  On April 22, 2019, within 17 days of starting as the new City Manager David Carmany, and after spending only 30 to 45 minutes interacting with Whithorn, Carmany fired Whithorn, without warning, reprimand or prior discipline. Carmany said City was going in a different direction but did not give Whithorn a specific reason for his termination.”  THE COURT HELD: “City again contends that Whithorn was required to prove that City’s stated reasons for termination were pretextual. He was not. Retaliation claims may be brought under a mixed-motives theory. (George v. California Unemployment Ins. Appeals Bd. (2009) 179 Cal.App.4th 1475, 1492.) That was the situation here…. As we have just discussed, the </w:t>
      </w:r>
      <w:proofErr w:type="gramStart"/>
      <w:r w:rsidRPr="00880B66">
        <w:rPr>
          <w:rFonts w:ascii="Times New Roman" w:hAnsi="Times New Roman"/>
          <w:sz w:val="24"/>
          <w:szCs w:val="24"/>
        </w:rPr>
        <w:t>fact</w:t>
      </w:r>
      <w:proofErr w:type="gramEnd"/>
      <w:r w:rsidRPr="00880B66">
        <w:rPr>
          <w:rFonts w:ascii="Times New Roman" w:hAnsi="Times New Roman"/>
          <w:sz w:val="24"/>
          <w:szCs w:val="24"/>
        </w:rPr>
        <w:t xml:space="preserve"> an employer has mixed reasons for terminating an employee, some permissible and some discriminatory, does not defeat a discrimination claim. In such situations, the employee need only show that ‘discrimination was a substantial motivating factor.’ City again contends there is no evidence to support that Councilmember Wu held retaliatory animus toward Whithorn, or that Wu influenced City Manager Carmany’s decision to terminate Whithorn based on the grievance. As set forth in more detail above, Councilmember Wu was  very clearly angry at Whithorn when Whithorn’s grievance was presented to the city council. Wu described the grievance as ‘bullshit’ and claimed he was being ‘bullied’ by staff members. Wu, along with other city council members, did not want to pay for an investigation. When Human Resources Director Pinon pressed for an investigation and provided contact information for an investigator, his contract was terminated four and one-half months early, supposedly for financial reasons, but he was given a three months’ severance.”  </w:t>
      </w:r>
      <w:hyperlink r:id="rId1621" w:history="1">
        <w:r w:rsidRPr="00880B66">
          <w:rPr>
            <w:rStyle w:val="Hyperlink"/>
            <w:rFonts w:ascii="Times New Roman" w:hAnsi="Times New Roman"/>
            <w:sz w:val="24"/>
            <w:szCs w:val="24"/>
          </w:rPr>
          <w:t>https://www4.courts.ca.gov/opinions/nonpub/B332558.PDF</w:t>
        </w:r>
      </w:hyperlink>
      <w:r w:rsidRPr="00880B66">
        <w:rPr>
          <w:rFonts w:ascii="Times New Roman" w:hAnsi="Times New Roman"/>
          <w:sz w:val="24"/>
          <w:szCs w:val="24"/>
        </w:rPr>
        <w:t xml:space="preserve"> </w:t>
      </w:r>
    </w:p>
    <w:p w14:paraId="56A0A6BF" w14:textId="77777777" w:rsidR="00010BB9" w:rsidRPr="00880B66" w:rsidRDefault="00010BB9" w:rsidP="00010BB9">
      <w:pPr>
        <w:pStyle w:val="NoSpacing"/>
        <w:rPr>
          <w:rFonts w:ascii="Times New Roman" w:hAnsi="Times New Roman"/>
          <w:sz w:val="24"/>
          <w:szCs w:val="24"/>
        </w:rPr>
      </w:pPr>
    </w:p>
    <w:p w14:paraId="65A069F1" w14:textId="77777777" w:rsidR="00880B66" w:rsidRPr="00880B66" w:rsidRDefault="00880B66" w:rsidP="00880B66">
      <w:pPr>
        <w:pStyle w:val="NoSpacing"/>
        <w:rPr>
          <w:rFonts w:ascii="Times New Roman" w:hAnsi="Times New Roman"/>
          <w:b/>
          <w:sz w:val="24"/>
          <w:szCs w:val="24"/>
        </w:rPr>
      </w:pPr>
      <w:r w:rsidRPr="00880B66">
        <w:rPr>
          <w:rFonts w:ascii="Times New Roman" w:hAnsi="Times New Roman"/>
          <w:b/>
          <w:sz w:val="24"/>
          <w:szCs w:val="24"/>
        </w:rPr>
        <w:t>Legal lesson learned:  The former Fire Chief proved to the jury that discrimination was a substantial motivating factor in his termination.</w:t>
      </w:r>
    </w:p>
    <w:p w14:paraId="560D25FB" w14:textId="77777777" w:rsidR="00880B66" w:rsidRPr="00880B66" w:rsidRDefault="00880B66" w:rsidP="00880B66">
      <w:pPr>
        <w:pStyle w:val="NoSpacing"/>
        <w:rPr>
          <w:rFonts w:ascii="Times New Roman" w:hAnsi="Times New Roman"/>
          <w:sz w:val="24"/>
          <w:szCs w:val="24"/>
        </w:rPr>
      </w:pPr>
    </w:p>
    <w:p w14:paraId="5176E972" w14:textId="77777777" w:rsidR="00880B66" w:rsidRPr="00880B66" w:rsidRDefault="00880B66" w:rsidP="00880B66">
      <w:pPr>
        <w:pStyle w:val="NoSpacing"/>
        <w:ind w:left="720"/>
        <w:rPr>
          <w:rFonts w:ascii="Times New Roman" w:hAnsi="Times New Roman"/>
          <w:b/>
          <w:sz w:val="24"/>
          <w:szCs w:val="24"/>
        </w:rPr>
      </w:pPr>
      <w:r w:rsidRPr="00880B66">
        <w:rPr>
          <w:rFonts w:ascii="Times New Roman" w:hAnsi="Times New Roman"/>
          <w:sz w:val="24"/>
          <w:szCs w:val="24"/>
        </w:rPr>
        <w:t xml:space="preserve">Note: See May 9, </w:t>
      </w:r>
      <w:proofErr w:type="gramStart"/>
      <w:r w:rsidRPr="00880B66">
        <w:rPr>
          <w:rFonts w:ascii="Times New Roman" w:hAnsi="Times New Roman"/>
          <w:sz w:val="24"/>
          <w:szCs w:val="24"/>
        </w:rPr>
        <w:t>2023</w:t>
      </w:r>
      <w:proofErr w:type="gramEnd"/>
      <w:r w:rsidRPr="00880B66">
        <w:rPr>
          <w:rFonts w:ascii="Times New Roman" w:hAnsi="Times New Roman"/>
          <w:sz w:val="24"/>
          <w:szCs w:val="24"/>
        </w:rPr>
        <w:t xml:space="preserve"> article, “Former West Covina fire chief wins $4.1 million in wrongful termination suit.” </w:t>
      </w:r>
      <w:hyperlink r:id="rId1622" w:history="1">
        <w:r w:rsidRPr="00880B66">
          <w:rPr>
            <w:rStyle w:val="Hyperlink"/>
            <w:rFonts w:ascii="Times New Roman" w:hAnsi="Times New Roman"/>
            <w:sz w:val="24"/>
            <w:szCs w:val="24"/>
          </w:rPr>
          <w:t>https://sac.media/2023/05/09/former-west-covina-fire-chief-awarded-4-1-million-in-wrongful-termination-suit/</w:t>
        </w:r>
      </w:hyperlink>
      <w:r w:rsidRPr="00880B66">
        <w:rPr>
          <w:rFonts w:ascii="Times New Roman" w:hAnsi="Times New Roman"/>
          <w:b/>
          <w:sz w:val="24"/>
          <w:szCs w:val="24"/>
        </w:rPr>
        <w:t xml:space="preserve"> </w:t>
      </w:r>
    </w:p>
    <w:p w14:paraId="59E69D65" w14:textId="77777777" w:rsidR="00880B66" w:rsidRPr="00880B66" w:rsidRDefault="00880B66" w:rsidP="00880B66">
      <w:pPr>
        <w:pStyle w:val="NoSpacing"/>
        <w:ind w:left="720"/>
        <w:rPr>
          <w:rFonts w:ascii="Times New Roman" w:hAnsi="Times New Roman"/>
          <w:sz w:val="24"/>
          <w:szCs w:val="24"/>
        </w:rPr>
      </w:pPr>
      <w:r w:rsidRPr="00880B66">
        <w:rPr>
          <w:rFonts w:ascii="Times New Roman" w:hAnsi="Times New Roman"/>
          <w:sz w:val="24"/>
          <w:szCs w:val="24"/>
        </w:rPr>
        <w:t>According to the lawsuit, Whithorn was harassed following multiple extended medical leaves from December 2016 to April 2017 and June 2017 to September 2017 and brief leaves in January 2018 and September 2018 to aid an ill relative.</w:t>
      </w:r>
    </w:p>
    <w:p w14:paraId="7F310381" w14:textId="77777777" w:rsidR="00880B66" w:rsidRPr="00880B66" w:rsidRDefault="00880B66" w:rsidP="00880B66">
      <w:pPr>
        <w:pStyle w:val="NoSpacing"/>
        <w:ind w:left="720"/>
        <w:rPr>
          <w:rFonts w:ascii="Times New Roman" w:hAnsi="Times New Roman"/>
          <w:sz w:val="24"/>
          <w:szCs w:val="24"/>
        </w:rPr>
      </w:pPr>
    </w:p>
    <w:p w14:paraId="5E637229" w14:textId="77777777" w:rsidR="00010BB9" w:rsidRPr="00880B66" w:rsidRDefault="00010BB9" w:rsidP="009C7451">
      <w:pPr>
        <w:pStyle w:val="NoSpacing"/>
        <w:rPr>
          <w:rFonts w:ascii="Times New Roman" w:hAnsi="Times New Roman"/>
          <w:sz w:val="24"/>
          <w:szCs w:val="24"/>
        </w:rPr>
      </w:pPr>
    </w:p>
    <w:p w14:paraId="5AA267B5" w14:textId="77777777" w:rsidR="00010BB9" w:rsidRPr="00880B66" w:rsidRDefault="00010BB9" w:rsidP="009C7451">
      <w:pPr>
        <w:pStyle w:val="NoSpacing"/>
        <w:rPr>
          <w:rFonts w:ascii="Times New Roman" w:hAnsi="Times New Roman"/>
          <w:sz w:val="24"/>
          <w:szCs w:val="24"/>
        </w:rPr>
      </w:pPr>
    </w:p>
    <w:p w14:paraId="4F5276B8" w14:textId="77777777" w:rsidR="00010BB9" w:rsidRDefault="00010BB9" w:rsidP="009C7451">
      <w:pPr>
        <w:pStyle w:val="NoSpacing"/>
        <w:rPr>
          <w:rFonts w:ascii="Arial Black" w:hAnsi="Arial Black"/>
          <w:sz w:val="24"/>
          <w:szCs w:val="24"/>
        </w:rPr>
      </w:pPr>
    </w:p>
    <w:p w14:paraId="51416B29" w14:textId="77777777" w:rsidR="00066EA4" w:rsidRDefault="00066EA4" w:rsidP="009C7451">
      <w:pPr>
        <w:pStyle w:val="NoSpacing"/>
        <w:rPr>
          <w:rFonts w:ascii="Arial Black" w:hAnsi="Arial Black"/>
          <w:sz w:val="24"/>
          <w:szCs w:val="24"/>
        </w:rPr>
      </w:pPr>
    </w:p>
    <w:p w14:paraId="0F3AF936" w14:textId="14B72635" w:rsidR="009C7451" w:rsidRDefault="009C7451" w:rsidP="009C7451">
      <w:pPr>
        <w:pStyle w:val="NoSpacing"/>
        <w:rPr>
          <w:rFonts w:ascii="Arial Black" w:hAnsi="Arial Black"/>
          <w:sz w:val="24"/>
          <w:szCs w:val="24"/>
        </w:rPr>
      </w:pPr>
      <w:r>
        <w:rPr>
          <w:rFonts w:ascii="Arial Black" w:hAnsi="Arial Black"/>
          <w:sz w:val="24"/>
          <w:szCs w:val="24"/>
        </w:rPr>
        <w:t>9-54</w:t>
      </w:r>
    </w:p>
    <w:p w14:paraId="48B264CC" w14:textId="77777777" w:rsidR="00066EA4" w:rsidRDefault="00066EA4" w:rsidP="008E25B6">
      <w:pPr>
        <w:rPr>
          <w:rFonts w:ascii="Arial Black" w:hAnsi="Arial Black"/>
          <w:b/>
          <w:sz w:val="28"/>
          <w:szCs w:val="28"/>
        </w:rPr>
      </w:pPr>
    </w:p>
    <w:p w14:paraId="34B19C75" w14:textId="30DA7B21" w:rsidR="008E25B6" w:rsidRPr="00363302" w:rsidRDefault="008E25B6" w:rsidP="008E25B6">
      <w:pPr>
        <w:rPr>
          <w:rFonts w:ascii="Arial Black" w:hAnsi="Arial Black"/>
          <w:b/>
          <w:sz w:val="28"/>
          <w:szCs w:val="28"/>
        </w:rPr>
      </w:pPr>
      <w:r>
        <w:rPr>
          <w:rFonts w:ascii="Arial Black" w:hAnsi="Arial Black"/>
          <w:b/>
          <w:sz w:val="28"/>
          <w:szCs w:val="28"/>
        </w:rPr>
        <w:t xml:space="preserve">FL: FF PERM. INJURIES – OFF DUTY MVA – NO LIGHT DUTY </w:t>
      </w:r>
    </w:p>
    <w:p w14:paraId="1CCC129E" w14:textId="77777777" w:rsidR="008E25B6" w:rsidRPr="00C07F42" w:rsidRDefault="008E25B6" w:rsidP="008E25B6">
      <w:pPr>
        <w:pStyle w:val="NoSpacing"/>
        <w:rPr>
          <w:rFonts w:ascii="Times New Roman" w:hAnsi="Times New Roman"/>
          <w:sz w:val="24"/>
          <w:szCs w:val="24"/>
        </w:rPr>
      </w:pPr>
      <w:r w:rsidRPr="00C07F42">
        <w:rPr>
          <w:rFonts w:ascii="Times New Roman" w:hAnsi="Times New Roman"/>
          <w:sz w:val="24"/>
          <w:szCs w:val="24"/>
        </w:rPr>
        <w:t xml:space="preserve">On June 23, 2025, in </w:t>
      </w:r>
      <w:r w:rsidRPr="00C07F42">
        <w:rPr>
          <w:rFonts w:ascii="Times New Roman" w:hAnsi="Times New Roman"/>
          <w:sz w:val="24"/>
          <w:szCs w:val="24"/>
          <w:u w:val="single"/>
        </w:rPr>
        <w:t>Jonathan Marshall v. Secretary of the Navy</w:t>
      </w:r>
      <w:r w:rsidRPr="00C07F42">
        <w:rPr>
          <w:rFonts w:ascii="Times New Roman" w:hAnsi="Times New Roman"/>
          <w:sz w:val="24"/>
          <w:szCs w:val="24"/>
        </w:rPr>
        <w:t xml:space="preserve">, the United State Court of Appeals, Eleventh Circuit (Atlanta) held (3 to 0; unpublished decision) that trial court properly granted summary judgment to the Navy. Because of a serious off duty automobile accident in May 2021, he suffered permanent brain and back injuries, and after a period of paid and unpaid leave was terminated in April 2022.  He claimed “gender discrimination” when the Navy allowed a female Captain, who suffered an on-duty accident, to do light duty clerical work for several months before she was able to return to “full duties” as a firefighter / EMT.  THE COURT HELD: “None of Marshall’s proffered evidence creates a triable issue of fact that the Navy discriminated against him based on his gender. Marshall’s supervisor’s isolated comments expressing disapproval of men receiving parental leave is divorced from the Navy’s decision to deny his light-duty request after he suffered traumatic injuries. That Marshall’s schedule was readjusted following the birth of his child—the very reason for which the schedule change was adopted in the first place—also does not show impermissible discrimination.” </w:t>
      </w:r>
    </w:p>
    <w:p w14:paraId="5BF2F045" w14:textId="77777777" w:rsidR="008E25B6" w:rsidRPr="00C07F42" w:rsidRDefault="008E25B6" w:rsidP="008E25B6">
      <w:pPr>
        <w:pStyle w:val="NoSpacing"/>
        <w:rPr>
          <w:rFonts w:ascii="Times New Roman" w:hAnsi="Times New Roman"/>
          <w:sz w:val="24"/>
          <w:szCs w:val="24"/>
        </w:rPr>
      </w:pPr>
      <w:hyperlink r:id="rId1623" w:history="1">
        <w:r w:rsidRPr="00C07F42">
          <w:rPr>
            <w:rStyle w:val="Hyperlink"/>
            <w:rFonts w:ascii="Times New Roman" w:hAnsi="Times New Roman"/>
            <w:sz w:val="24"/>
            <w:szCs w:val="24"/>
          </w:rPr>
          <w:t>https://cases.justia.com/federal/appellate-courts/ca11/24-12910/24-12910-2025-06-23.pdf?ts=1750690858</w:t>
        </w:r>
      </w:hyperlink>
      <w:r w:rsidRPr="00C07F42">
        <w:rPr>
          <w:rFonts w:ascii="Times New Roman" w:hAnsi="Times New Roman"/>
          <w:sz w:val="24"/>
          <w:szCs w:val="24"/>
        </w:rPr>
        <w:t xml:space="preserve"> </w:t>
      </w:r>
    </w:p>
    <w:p w14:paraId="15FA0CE5" w14:textId="77777777" w:rsidR="00456C91" w:rsidRPr="00C07F42" w:rsidRDefault="00456C91" w:rsidP="005C30A4">
      <w:pPr>
        <w:pStyle w:val="NoSpacing"/>
        <w:rPr>
          <w:rFonts w:ascii="Times New Roman" w:hAnsi="Times New Roman"/>
          <w:sz w:val="24"/>
          <w:szCs w:val="24"/>
        </w:rPr>
      </w:pPr>
    </w:p>
    <w:p w14:paraId="6615A5F5" w14:textId="77777777" w:rsidR="00C07F42" w:rsidRPr="00C07F42" w:rsidRDefault="00C07F42" w:rsidP="00C07F42">
      <w:pPr>
        <w:pStyle w:val="NoSpacing"/>
        <w:rPr>
          <w:rFonts w:ascii="Times New Roman" w:hAnsi="Times New Roman"/>
          <w:b/>
          <w:bCs/>
          <w:sz w:val="24"/>
          <w:szCs w:val="24"/>
        </w:rPr>
      </w:pPr>
      <w:r w:rsidRPr="00C07F42">
        <w:rPr>
          <w:rFonts w:ascii="Times New Roman" w:hAnsi="Times New Roman"/>
          <w:b/>
          <w:sz w:val="24"/>
          <w:szCs w:val="24"/>
        </w:rPr>
        <w:t xml:space="preserve">Legal lesson learned: Reasonable accommodation is required only if the employee can then perform the essential functions of the job. </w:t>
      </w:r>
    </w:p>
    <w:p w14:paraId="678C8D88" w14:textId="77777777" w:rsidR="00C07F42" w:rsidRPr="00C07F42" w:rsidRDefault="00C07F42" w:rsidP="00C07F42">
      <w:pPr>
        <w:rPr>
          <w:rFonts w:ascii="Times New Roman" w:hAnsi="Times New Roman"/>
          <w:bCs/>
          <w:sz w:val="24"/>
          <w:szCs w:val="24"/>
        </w:rPr>
      </w:pPr>
    </w:p>
    <w:p w14:paraId="6E69A617" w14:textId="77777777" w:rsidR="00C07F42" w:rsidRDefault="00C07F42" w:rsidP="005C30A4">
      <w:pPr>
        <w:pStyle w:val="NoSpacing"/>
        <w:rPr>
          <w:rFonts w:ascii="Arial Black" w:hAnsi="Arial Black"/>
          <w:sz w:val="24"/>
          <w:szCs w:val="24"/>
        </w:rPr>
      </w:pPr>
    </w:p>
    <w:p w14:paraId="22D9A007" w14:textId="6CDC2093" w:rsidR="009C7451" w:rsidRDefault="009C7451" w:rsidP="009C7451">
      <w:pPr>
        <w:pStyle w:val="NoSpacing"/>
        <w:rPr>
          <w:rFonts w:ascii="Arial Black" w:hAnsi="Arial Black"/>
          <w:sz w:val="24"/>
          <w:szCs w:val="24"/>
        </w:rPr>
      </w:pPr>
      <w:r>
        <w:rPr>
          <w:rFonts w:ascii="Arial Black" w:hAnsi="Arial Black"/>
          <w:sz w:val="24"/>
          <w:szCs w:val="24"/>
        </w:rPr>
        <w:t>9-53</w:t>
      </w:r>
    </w:p>
    <w:p w14:paraId="1175AF7F" w14:textId="77777777" w:rsidR="009C7451" w:rsidRDefault="009C7451" w:rsidP="005C30A4">
      <w:pPr>
        <w:pStyle w:val="NoSpacing"/>
        <w:rPr>
          <w:rFonts w:ascii="Arial Black" w:hAnsi="Arial Black"/>
          <w:sz w:val="24"/>
          <w:szCs w:val="24"/>
        </w:rPr>
      </w:pPr>
    </w:p>
    <w:p w14:paraId="57062C2D" w14:textId="77777777" w:rsidR="009C7451" w:rsidRDefault="009C7451" w:rsidP="005C30A4">
      <w:pPr>
        <w:pStyle w:val="NoSpacing"/>
        <w:rPr>
          <w:rFonts w:ascii="Arial Black" w:hAnsi="Arial Black"/>
          <w:sz w:val="24"/>
          <w:szCs w:val="24"/>
        </w:rPr>
      </w:pPr>
    </w:p>
    <w:p w14:paraId="7586FABA" w14:textId="2B998D43" w:rsidR="0069094F" w:rsidRPr="002100DB" w:rsidRDefault="0069094F" w:rsidP="0069094F">
      <w:pPr>
        <w:rPr>
          <w:rFonts w:ascii="Arial Black" w:hAnsi="Arial Black"/>
          <w:b/>
          <w:sz w:val="28"/>
          <w:szCs w:val="28"/>
        </w:rPr>
      </w:pPr>
      <w:r>
        <w:rPr>
          <w:rFonts w:ascii="Arial Black" w:hAnsi="Arial Black"/>
          <w:b/>
          <w:sz w:val="28"/>
          <w:szCs w:val="28"/>
        </w:rPr>
        <w:t>U.S. SUP. CT:  RETIRE</w:t>
      </w:r>
      <w:r w:rsidR="0051265E">
        <w:rPr>
          <w:rFonts w:ascii="Arial Black" w:hAnsi="Arial Black"/>
          <w:b/>
          <w:sz w:val="28"/>
          <w:szCs w:val="28"/>
        </w:rPr>
        <w:t>D</w:t>
      </w:r>
      <w:r>
        <w:rPr>
          <w:rFonts w:ascii="Arial Black" w:hAnsi="Arial Black"/>
          <w:b/>
          <w:sz w:val="28"/>
          <w:szCs w:val="28"/>
        </w:rPr>
        <w:t xml:space="preserve"> / PARKINSON’S – NO ADA</w:t>
      </w:r>
      <w:r w:rsidR="00F56294">
        <w:rPr>
          <w:rFonts w:ascii="Arial Black" w:hAnsi="Arial Black"/>
          <w:b/>
          <w:sz w:val="28"/>
          <w:szCs w:val="28"/>
        </w:rPr>
        <w:t xml:space="preserve"> VIOL</w:t>
      </w:r>
      <w:r>
        <w:rPr>
          <w:rFonts w:ascii="Arial Black" w:hAnsi="Arial Black"/>
          <w:b/>
          <w:sz w:val="28"/>
          <w:szCs w:val="28"/>
        </w:rPr>
        <w:t xml:space="preserve"> </w:t>
      </w:r>
      <w:r w:rsidR="002F270A">
        <w:rPr>
          <w:rFonts w:ascii="Arial Black" w:hAnsi="Arial Black"/>
          <w:b/>
          <w:sz w:val="28"/>
          <w:szCs w:val="28"/>
        </w:rPr>
        <w:t xml:space="preserve">ONLY </w:t>
      </w:r>
      <w:r>
        <w:rPr>
          <w:rFonts w:ascii="Arial Black" w:hAnsi="Arial Black"/>
          <w:b/>
          <w:sz w:val="28"/>
          <w:szCs w:val="28"/>
        </w:rPr>
        <w:t xml:space="preserve">2-YR </w:t>
      </w:r>
      <w:r w:rsidR="002F270A">
        <w:rPr>
          <w:rFonts w:ascii="Arial Black" w:hAnsi="Arial Black"/>
          <w:b/>
          <w:sz w:val="28"/>
          <w:szCs w:val="28"/>
        </w:rPr>
        <w:t xml:space="preserve">CITY </w:t>
      </w:r>
      <w:r>
        <w:rPr>
          <w:rFonts w:ascii="Arial Black" w:hAnsi="Arial Black"/>
          <w:b/>
          <w:sz w:val="28"/>
          <w:szCs w:val="28"/>
        </w:rPr>
        <w:t>INSUR</w:t>
      </w:r>
      <w:r w:rsidR="002F270A">
        <w:rPr>
          <w:rFonts w:ascii="Arial Black" w:hAnsi="Arial Black"/>
          <w:b/>
          <w:sz w:val="28"/>
          <w:szCs w:val="28"/>
        </w:rPr>
        <w:t>ANCE</w:t>
      </w:r>
    </w:p>
    <w:p w14:paraId="564DA748" w14:textId="77777777" w:rsidR="0069094F" w:rsidRPr="0004575D" w:rsidRDefault="0069094F" w:rsidP="0069094F">
      <w:pPr>
        <w:pStyle w:val="NoSpacing"/>
        <w:rPr>
          <w:rFonts w:ascii="Times New Roman" w:hAnsi="Times New Roman"/>
          <w:bCs/>
          <w:sz w:val="24"/>
          <w:szCs w:val="24"/>
        </w:rPr>
      </w:pPr>
      <w:r w:rsidRPr="0004575D">
        <w:rPr>
          <w:rFonts w:ascii="Times New Roman" w:hAnsi="Times New Roman"/>
          <w:sz w:val="24"/>
          <w:szCs w:val="24"/>
        </w:rPr>
        <w:t xml:space="preserve">On June 20, 2025, in </w:t>
      </w:r>
      <w:r w:rsidRPr="0004575D">
        <w:rPr>
          <w:rFonts w:ascii="Times New Roman" w:hAnsi="Times New Roman"/>
          <w:sz w:val="24"/>
          <w:szCs w:val="24"/>
          <w:u w:val="single"/>
        </w:rPr>
        <w:t>Karyn Stanley v. City of Sanford, Florida</w:t>
      </w:r>
      <w:r w:rsidRPr="0004575D">
        <w:rPr>
          <w:rFonts w:ascii="Times New Roman" w:hAnsi="Times New Roman"/>
          <w:sz w:val="24"/>
          <w:szCs w:val="24"/>
        </w:rPr>
        <w:t xml:space="preserve">, the United States Supreme Court held (7 to 2) that the lawsuit by retired firefighter was properly dismissed.  She was diagnosed in 2016 with Parkinson’s disease and after 19 years of service took disability retirement in 2018.  Her city insurance ran out in 2020.  When she retired, Stanley expected to continue receiving the City’s health insurance full subsidy until she turned 65 but learned that the City had changed the policy way back in 2003 for those retiring with less than 25 years.   Court agreed with U.S. District Court judge that ADA does not cover her since she does not meet the definition of a “qualified individual” under the ADA –  ADA protection is limited to active employees or applicants.  THE COURT HELD: “To sum up, we hold that, to prevail under §12112(a), a plaintiff must plead and prove that she held or desired a </w:t>
      </w:r>
      <w:proofErr w:type="gramStart"/>
      <w:r w:rsidRPr="0004575D">
        <w:rPr>
          <w:rFonts w:ascii="Times New Roman" w:hAnsi="Times New Roman"/>
          <w:sz w:val="24"/>
          <w:szCs w:val="24"/>
        </w:rPr>
        <w:t>job, and</w:t>
      </w:r>
      <w:proofErr w:type="gramEnd"/>
      <w:r w:rsidRPr="0004575D">
        <w:rPr>
          <w:rFonts w:ascii="Times New Roman" w:hAnsi="Times New Roman"/>
          <w:sz w:val="24"/>
          <w:szCs w:val="24"/>
        </w:rPr>
        <w:t xml:space="preserve"> could perform its essential functions with or without reasonable accommodation, at the time of an employer’s alleged act of disability-based discrimination.” </w:t>
      </w:r>
    </w:p>
    <w:p w14:paraId="7C175CC7" w14:textId="77777777" w:rsidR="0069094F" w:rsidRPr="0004575D" w:rsidRDefault="0069094F" w:rsidP="0069094F">
      <w:pPr>
        <w:rPr>
          <w:rFonts w:ascii="Times New Roman" w:hAnsi="Times New Roman"/>
          <w:bCs/>
          <w:sz w:val="24"/>
          <w:szCs w:val="24"/>
        </w:rPr>
      </w:pPr>
      <w:hyperlink r:id="rId1624" w:history="1">
        <w:r w:rsidRPr="0004575D">
          <w:rPr>
            <w:rStyle w:val="Hyperlink"/>
            <w:rFonts w:ascii="Times New Roman" w:hAnsi="Times New Roman"/>
            <w:sz w:val="24"/>
            <w:szCs w:val="24"/>
          </w:rPr>
          <w:t>https://www.supremecourt.gov/opinions/24pdf/23-997_6579.pdf</w:t>
        </w:r>
      </w:hyperlink>
      <w:r w:rsidRPr="0004575D">
        <w:rPr>
          <w:rFonts w:ascii="Times New Roman" w:hAnsi="Times New Roman"/>
          <w:sz w:val="24"/>
          <w:szCs w:val="24"/>
        </w:rPr>
        <w:t xml:space="preserve"> </w:t>
      </w:r>
    </w:p>
    <w:p w14:paraId="49462F71" w14:textId="77777777" w:rsidR="0004575D" w:rsidRPr="0004575D" w:rsidRDefault="0004575D" w:rsidP="0004575D">
      <w:pPr>
        <w:pStyle w:val="NoSpacing"/>
        <w:rPr>
          <w:rFonts w:ascii="Times New Roman" w:hAnsi="Times New Roman"/>
          <w:b/>
          <w:sz w:val="24"/>
          <w:szCs w:val="24"/>
        </w:rPr>
      </w:pPr>
      <w:r w:rsidRPr="0004575D">
        <w:rPr>
          <w:rFonts w:ascii="Times New Roman" w:hAnsi="Times New Roman"/>
          <w:b/>
          <w:sz w:val="24"/>
          <w:szCs w:val="24"/>
        </w:rPr>
        <w:t>Legal lesson learned:  Perhaps this decision will lead Congress to clarify the ADA claims filed by retirees.</w:t>
      </w:r>
    </w:p>
    <w:p w14:paraId="2496DCB7" w14:textId="77777777" w:rsidR="0004575D" w:rsidRPr="0004575D" w:rsidRDefault="0004575D" w:rsidP="0004575D">
      <w:pPr>
        <w:rPr>
          <w:rFonts w:ascii="Times New Roman" w:hAnsi="Times New Roman"/>
          <w:bCs/>
          <w:sz w:val="24"/>
          <w:szCs w:val="24"/>
        </w:rPr>
      </w:pPr>
    </w:p>
    <w:p w14:paraId="494C8BE6" w14:textId="77777777" w:rsidR="00456C91" w:rsidRDefault="00456C91" w:rsidP="005C30A4">
      <w:pPr>
        <w:pStyle w:val="NoSpacing"/>
        <w:rPr>
          <w:rFonts w:ascii="Arial Black" w:hAnsi="Arial Black"/>
          <w:sz w:val="24"/>
          <w:szCs w:val="24"/>
        </w:rPr>
      </w:pPr>
    </w:p>
    <w:p w14:paraId="5FE38A9E" w14:textId="453A3596" w:rsidR="009C7451" w:rsidRDefault="009C7451" w:rsidP="009C7451">
      <w:pPr>
        <w:pStyle w:val="NoSpacing"/>
        <w:rPr>
          <w:rFonts w:ascii="Arial Black" w:hAnsi="Arial Black"/>
          <w:sz w:val="24"/>
          <w:szCs w:val="24"/>
        </w:rPr>
      </w:pPr>
      <w:r>
        <w:rPr>
          <w:rFonts w:ascii="Arial Black" w:hAnsi="Arial Black"/>
          <w:sz w:val="24"/>
          <w:szCs w:val="24"/>
        </w:rPr>
        <w:t>9-52</w:t>
      </w:r>
    </w:p>
    <w:p w14:paraId="1E989D9E" w14:textId="77777777" w:rsidR="009C7451" w:rsidRDefault="009C7451" w:rsidP="005C30A4">
      <w:pPr>
        <w:pStyle w:val="NoSpacing"/>
        <w:rPr>
          <w:rFonts w:ascii="Arial Black" w:hAnsi="Arial Black"/>
          <w:sz w:val="24"/>
          <w:szCs w:val="24"/>
        </w:rPr>
      </w:pPr>
    </w:p>
    <w:p w14:paraId="288346C1" w14:textId="77777777" w:rsidR="009C7451" w:rsidRDefault="009C7451" w:rsidP="005C30A4">
      <w:pPr>
        <w:pStyle w:val="NoSpacing"/>
        <w:rPr>
          <w:rFonts w:ascii="Arial Black" w:hAnsi="Arial Black"/>
          <w:sz w:val="24"/>
          <w:szCs w:val="24"/>
        </w:rPr>
      </w:pPr>
    </w:p>
    <w:p w14:paraId="6E683485" w14:textId="77777777" w:rsidR="00EC5A2A" w:rsidRPr="00B73C35" w:rsidRDefault="00EC5A2A" w:rsidP="00EC5A2A">
      <w:pPr>
        <w:rPr>
          <w:rFonts w:ascii="Arial Black" w:hAnsi="Arial Black"/>
          <w:bCs/>
          <w:sz w:val="28"/>
          <w:szCs w:val="28"/>
        </w:rPr>
      </w:pPr>
      <w:r>
        <w:rPr>
          <w:rFonts w:ascii="Arial Black" w:hAnsi="Arial Black"/>
          <w:sz w:val="28"/>
          <w:szCs w:val="28"/>
        </w:rPr>
        <w:t xml:space="preserve">NY: COVID – RELIGION EXECPTION DENIED / FAIR PROCESS </w:t>
      </w:r>
    </w:p>
    <w:p w14:paraId="48FE825A" w14:textId="2EB3C1E3" w:rsidR="00456C91" w:rsidRPr="00C01718" w:rsidRDefault="00EC5A2A" w:rsidP="00EC5A2A">
      <w:pPr>
        <w:pStyle w:val="NoSpacing"/>
        <w:rPr>
          <w:rFonts w:ascii="Times New Roman" w:hAnsi="Times New Roman"/>
          <w:sz w:val="24"/>
          <w:szCs w:val="24"/>
        </w:rPr>
      </w:pPr>
      <w:r w:rsidRPr="00C01718">
        <w:rPr>
          <w:rFonts w:ascii="Times New Roman" w:hAnsi="Times New Roman"/>
          <w:sz w:val="24"/>
          <w:szCs w:val="24"/>
        </w:rPr>
        <w:t xml:space="preserve">On June 18, 2025, </w:t>
      </w:r>
      <w:r w:rsidRPr="00C01718">
        <w:rPr>
          <w:rFonts w:ascii="Times New Roman" w:hAnsi="Times New Roman"/>
          <w:sz w:val="24"/>
          <w:szCs w:val="24"/>
          <w:u w:val="single"/>
        </w:rPr>
        <w:t>In the Matter of Brian Smith v. New York City Fire Department, et al</w:t>
      </w:r>
      <w:r w:rsidRPr="00C01718">
        <w:rPr>
          <w:rFonts w:ascii="Times New Roman" w:hAnsi="Times New Roman"/>
          <w:sz w:val="24"/>
          <w:szCs w:val="24"/>
        </w:rPr>
        <w:t>.,</w:t>
      </w:r>
      <w:r w:rsidRPr="00C01718">
        <w:rPr>
          <w:rFonts w:ascii="Times New Roman" w:hAnsi="Times New Roman"/>
          <w:b/>
          <w:sz w:val="24"/>
          <w:szCs w:val="24"/>
        </w:rPr>
        <w:t xml:space="preserve"> </w:t>
      </w:r>
      <w:r w:rsidRPr="00C01718">
        <w:rPr>
          <w:rFonts w:ascii="Times New Roman" w:hAnsi="Times New Roman"/>
          <w:sz w:val="24"/>
          <w:szCs w:val="24"/>
        </w:rPr>
        <w:t xml:space="preserve">the Supreme Court of New York, Second Department, held (4 to 0) that trial court improperly reinstated the firefighter, awarded him back pay and attorney fees.  The firefighter was placed on unpaid leave on Nov. 1, </w:t>
      </w:r>
      <w:proofErr w:type="gramStart"/>
      <w:r w:rsidRPr="00C01718">
        <w:rPr>
          <w:rFonts w:ascii="Times New Roman" w:hAnsi="Times New Roman"/>
          <w:sz w:val="24"/>
          <w:szCs w:val="24"/>
        </w:rPr>
        <w:t>2021</w:t>
      </w:r>
      <w:proofErr w:type="gramEnd"/>
      <w:r w:rsidRPr="00C01718">
        <w:rPr>
          <w:rFonts w:ascii="Times New Roman" w:hAnsi="Times New Roman"/>
          <w:sz w:val="24"/>
          <w:szCs w:val="24"/>
        </w:rPr>
        <w:t xml:space="preserve"> for refusing to get vaccinated, and retired July 13, </w:t>
      </w:r>
      <w:proofErr w:type="gramStart"/>
      <w:r w:rsidRPr="00C01718">
        <w:rPr>
          <w:rFonts w:ascii="Times New Roman" w:hAnsi="Times New Roman"/>
          <w:sz w:val="24"/>
          <w:szCs w:val="24"/>
        </w:rPr>
        <w:t>2022</w:t>
      </w:r>
      <w:proofErr w:type="gramEnd"/>
      <w:r w:rsidRPr="00C01718">
        <w:rPr>
          <w:rFonts w:ascii="Times New Roman" w:hAnsi="Times New Roman"/>
          <w:sz w:val="24"/>
          <w:szCs w:val="24"/>
        </w:rPr>
        <w:t xml:space="preserve"> when his appeal was denied  by the City of New York Reasonable Accommodation Appeals Panel.   THE COURT HELD: </w:t>
      </w:r>
      <w:r w:rsidRPr="00C01718">
        <w:rPr>
          <w:rFonts w:ascii="Times New Roman" w:hAnsi="Times New Roman"/>
          <w:b/>
          <w:sz w:val="24"/>
          <w:szCs w:val="24"/>
        </w:rPr>
        <w:t>“</w:t>
      </w:r>
      <w:r w:rsidRPr="00C01718">
        <w:rPr>
          <w:rFonts w:ascii="Times New Roman" w:hAnsi="Times New Roman"/>
          <w:sz w:val="24"/>
          <w:szCs w:val="24"/>
        </w:rPr>
        <w:t xml:space="preserve">Here, the petitioner failed to demonstrate that the appellants' process for resolving requests for a reasonable accommodation from the vaccine mandate did not meet the requirements of the NYCHRL regarding cooperative dialogue…. The appellants provided information on the process for reviewing accommodation requests related to the vaccine mandate and informed employees on how to appeal request denials. The record demonstrates that the petitioner availed himself of this process. The record also shows that there were multiple communications between the petitioner, the FDNY, and the Panel regarding the petitioner's accommodation request. The petitioner failed to establish that, under the unique circumstances present at the time of the vaccine mandate, the NYCHRL required a more robust or individualized dialogue.”  </w:t>
      </w:r>
      <w:hyperlink r:id="rId1625" w:history="1">
        <w:r w:rsidRPr="00C01718">
          <w:rPr>
            <w:rStyle w:val="Hyperlink"/>
            <w:rFonts w:ascii="Times New Roman" w:hAnsi="Times New Roman"/>
            <w:sz w:val="24"/>
            <w:szCs w:val="24"/>
          </w:rPr>
          <w:t>https://public.fastcase.com/jaEE2PXzRXmZ99jOLMt1Ipey3nn80Qzm5FjlczUETsDTuQT39ugB8joG6QHEs86OG3nGrKzxwZV4%2Fla6pLxdspdlDpATTrpmmFlVcXapI1M%3D?utm_medium=email&amp;_hsenc=p2ANqtz-8lwnqzIFsmVJzuahWcWVuNvva5eg1m46jktTnS1rNp1Tgpui8ycBPAblsV379ZnZFl8lWnb4zQm5QdddO-2g4KXoMSJQ&amp;_hsmi=226712652&amp;utm_content=226712652&amp;utm_source=hs_email</w:t>
        </w:r>
      </w:hyperlink>
    </w:p>
    <w:p w14:paraId="13320DEE" w14:textId="77777777" w:rsidR="00C01718" w:rsidRPr="00C01718" w:rsidRDefault="00C01718" w:rsidP="00EC5A2A">
      <w:pPr>
        <w:pStyle w:val="NoSpacing"/>
        <w:rPr>
          <w:rFonts w:ascii="Times New Roman" w:hAnsi="Times New Roman"/>
          <w:sz w:val="24"/>
          <w:szCs w:val="24"/>
        </w:rPr>
      </w:pPr>
    </w:p>
    <w:p w14:paraId="5992F85B" w14:textId="77777777" w:rsidR="00C01718" w:rsidRPr="00C01718" w:rsidRDefault="00C01718" w:rsidP="00C01718">
      <w:pPr>
        <w:rPr>
          <w:rFonts w:ascii="Times New Roman" w:hAnsi="Times New Roman"/>
          <w:b/>
          <w:bCs/>
          <w:sz w:val="24"/>
          <w:szCs w:val="24"/>
        </w:rPr>
      </w:pPr>
      <w:r w:rsidRPr="00C01718">
        <w:rPr>
          <w:rFonts w:ascii="Times New Roman" w:hAnsi="Times New Roman"/>
          <w:b/>
          <w:sz w:val="24"/>
          <w:szCs w:val="24"/>
        </w:rPr>
        <w:t xml:space="preserve">Legal lesson learned: FDNY provided the firefighter with fair COVID vaccination appeal </w:t>
      </w:r>
      <w:r w:rsidRPr="00C01718">
        <w:rPr>
          <w:rFonts w:ascii="Times New Roman" w:hAnsi="Times New Roman"/>
          <w:b/>
          <w:bCs/>
          <w:sz w:val="24"/>
          <w:szCs w:val="24"/>
        </w:rPr>
        <w:t>process.</w:t>
      </w:r>
    </w:p>
    <w:p w14:paraId="615373EB" w14:textId="77777777" w:rsidR="00C01718" w:rsidRDefault="00C01718" w:rsidP="00EC5A2A">
      <w:pPr>
        <w:pStyle w:val="NoSpacing"/>
        <w:rPr>
          <w:rFonts w:ascii="Arial Black" w:hAnsi="Arial Black"/>
          <w:sz w:val="24"/>
          <w:szCs w:val="24"/>
        </w:rPr>
      </w:pPr>
    </w:p>
    <w:p w14:paraId="0A29B256" w14:textId="41B2171F" w:rsidR="009C7451" w:rsidRDefault="009C7451" w:rsidP="009C7451">
      <w:pPr>
        <w:pStyle w:val="NoSpacing"/>
        <w:rPr>
          <w:rFonts w:ascii="Arial Black" w:hAnsi="Arial Black"/>
          <w:sz w:val="24"/>
          <w:szCs w:val="24"/>
        </w:rPr>
      </w:pPr>
      <w:r>
        <w:rPr>
          <w:rFonts w:ascii="Arial Black" w:hAnsi="Arial Black"/>
          <w:sz w:val="24"/>
          <w:szCs w:val="24"/>
        </w:rPr>
        <w:t>9-51</w:t>
      </w:r>
    </w:p>
    <w:p w14:paraId="0874F6B8" w14:textId="77777777" w:rsidR="009C7451" w:rsidRDefault="009C7451" w:rsidP="005C30A4">
      <w:pPr>
        <w:pStyle w:val="NoSpacing"/>
        <w:rPr>
          <w:rFonts w:ascii="Arial Black" w:hAnsi="Arial Black"/>
          <w:sz w:val="24"/>
          <w:szCs w:val="24"/>
        </w:rPr>
      </w:pPr>
    </w:p>
    <w:p w14:paraId="6CBAD97C" w14:textId="77777777" w:rsidR="00475136" w:rsidRPr="0009639F" w:rsidRDefault="00475136" w:rsidP="00475136">
      <w:pPr>
        <w:rPr>
          <w:rFonts w:ascii="Arial Black" w:hAnsi="Arial Black"/>
          <w:b/>
          <w:sz w:val="28"/>
          <w:szCs w:val="28"/>
        </w:rPr>
      </w:pPr>
      <w:r>
        <w:rPr>
          <w:rFonts w:ascii="Arial Black" w:hAnsi="Arial Black"/>
          <w:b/>
          <w:sz w:val="28"/>
          <w:szCs w:val="28"/>
        </w:rPr>
        <w:t xml:space="preserve">NY: COVID – NO WK TESTING – FDNY “UNDUE HARDSHIP” </w:t>
      </w:r>
    </w:p>
    <w:p w14:paraId="57365A5D" w14:textId="77777777" w:rsidR="00475136" w:rsidRPr="009C7451" w:rsidRDefault="00475136" w:rsidP="00475136">
      <w:pPr>
        <w:pStyle w:val="NoSpacing"/>
        <w:rPr>
          <w:rFonts w:ascii="Times New Roman" w:hAnsi="Times New Roman"/>
          <w:sz w:val="24"/>
          <w:szCs w:val="24"/>
        </w:rPr>
      </w:pPr>
      <w:r w:rsidRPr="009C7451">
        <w:rPr>
          <w:rFonts w:ascii="Times New Roman" w:hAnsi="Times New Roman"/>
          <w:sz w:val="24"/>
          <w:szCs w:val="24"/>
        </w:rPr>
        <w:t xml:space="preserve">On June 17, 2025, in </w:t>
      </w:r>
      <w:r w:rsidRPr="009C7451">
        <w:rPr>
          <w:rFonts w:ascii="Times New Roman" w:hAnsi="Times New Roman"/>
          <w:sz w:val="24"/>
          <w:szCs w:val="24"/>
          <w:u w:val="single"/>
        </w:rPr>
        <w:t>Javier Vasquez v. City of New York</w:t>
      </w:r>
      <w:r w:rsidRPr="009C7451">
        <w:rPr>
          <w:rFonts w:ascii="Times New Roman" w:hAnsi="Times New Roman"/>
          <w:sz w:val="24"/>
          <w:szCs w:val="24"/>
        </w:rPr>
        <w:t xml:space="preserve">, U.S. District Court Judge Hector Gonzalez reconfirmed his June 2, </w:t>
      </w:r>
      <w:proofErr w:type="gramStart"/>
      <w:r w:rsidRPr="009C7451">
        <w:rPr>
          <w:rFonts w:ascii="Times New Roman" w:hAnsi="Times New Roman"/>
          <w:sz w:val="24"/>
          <w:szCs w:val="24"/>
        </w:rPr>
        <w:t>2025</w:t>
      </w:r>
      <w:proofErr w:type="gramEnd"/>
      <w:r w:rsidRPr="009C7451">
        <w:rPr>
          <w:rFonts w:ascii="Times New Roman" w:hAnsi="Times New Roman"/>
          <w:sz w:val="24"/>
          <w:szCs w:val="24"/>
        </w:rPr>
        <w:t xml:space="preserve"> decision which denied summary judgment for both the firefighter </w:t>
      </w:r>
      <w:proofErr w:type="gramStart"/>
      <w:r w:rsidRPr="009C7451">
        <w:rPr>
          <w:rFonts w:ascii="Times New Roman" w:hAnsi="Times New Roman"/>
          <w:sz w:val="24"/>
          <w:szCs w:val="24"/>
        </w:rPr>
        <w:t>and also</w:t>
      </w:r>
      <w:proofErr w:type="gramEnd"/>
      <w:r w:rsidRPr="009C7451">
        <w:rPr>
          <w:rFonts w:ascii="Times New Roman" w:hAnsi="Times New Roman"/>
          <w:sz w:val="24"/>
          <w:szCs w:val="24"/>
        </w:rPr>
        <w:t xml:space="preserve"> the </w:t>
      </w:r>
      <w:proofErr w:type="gramStart"/>
      <w:r w:rsidRPr="009C7451">
        <w:rPr>
          <w:rFonts w:ascii="Times New Roman" w:hAnsi="Times New Roman"/>
          <w:sz w:val="24"/>
          <w:szCs w:val="24"/>
        </w:rPr>
        <w:t>City</w:t>
      </w:r>
      <w:proofErr w:type="gramEnd"/>
      <w:r w:rsidRPr="009C7451">
        <w:rPr>
          <w:rFonts w:ascii="Times New Roman" w:hAnsi="Times New Roman"/>
          <w:sz w:val="24"/>
          <w:szCs w:val="24"/>
        </w:rPr>
        <w:t>.  He again held that a jury should decide whether it was an “undue hardship” for FDNY to weekly test firefighters who refused to be vaccinated.  THE COURT HELD: “As the Court previously explained, the ‘evidence shows that the FDNY undertook some individualized consideration of Plaintiff’s request,’ referring to testimony in which the FDNY’s Assistant Commissioner of Equal Employment Opportunity Don Nguyen testified that Plaintiff, in his light-duty role, worked in an environment ‘staffed with dozens of folks sitting in a room . . . working with each other and working with other agencies.’ … Notably, Plaintiff fails to grapple with this. And there is more, such as a declaration from Mr. Nguyen submitted in Plaintiff’s state court case in which he explained that the FDNY considered that Plaintiff was ‘a certified first responder who would respond not only to fires but [also] medical emergencies with vulnerable populations of people.”</w:t>
      </w:r>
      <w:hyperlink r:id="rId1626" w:history="1">
        <w:r w:rsidRPr="009C7451">
          <w:rPr>
            <w:rStyle w:val="Hyperlink"/>
            <w:rFonts w:ascii="Times New Roman" w:hAnsi="Times New Roman"/>
            <w:sz w:val="24"/>
            <w:szCs w:val="24"/>
          </w:rPr>
          <w:t>https://www.govinfo.gov/content/pkg/USCOURTS-nyed-1_22-cv-05068/pdf/USCOURTS-nyed-1_22-cv-05068-3.pdf</w:t>
        </w:r>
      </w:hyperlink>
      <w:r w:rsidRPr="009C7451">
        <w:rPr>
          <w:rFonts w:ascii="Times New Roman" w:hAnsi="Times New Roman"/>
          <w:sz w:val="24"/>
          <w:szCs w:val="24"/>
        </w:rPr>
        <w:t xml:space="preserve"> </w:t>
      </w:r>
    </w:p>
    <w:p w14:paraId="46D34062" w14:textId="77777777" w:rsidR="00475136" w:rsidRPr="009C7451" w:rsidRDefault="00475136" w:rsidP="005C30A4">
      <w:pPr>
        <w:pStyle w:val="NoSpacing"/>
        <w:rPr>
          <w:rFonts w:ascii="Times New Roman" w:hAnsi="Times New Roman"/>
          <w:sz w:val="24"/>
          <w:szCs w:val="24"/>
        </w:rPr>
      </w:pPr>
    </w:p>
    <w:p w14:paraId="6B70AA61" w14:textId="77777777" w:rsidR="009C7451" w:rsidRPr="009C7451" w:rsidRDefault="009C7451" w:rsidP="009C7451">
      <w:pPr>
        <w:pStyle w:val="NoSpacing"/>
        <w:rPr>
          <w:rFonts w:ascii="Times New Roman" w:hAnsi="Times New Roman"/>
          <w:b/>
          <w:bCs/>
          <w:sz w:val="24"/>
          <w:szCs w:val="24"/>
        </w:rPr>
      </w:pPr>
      <w:r w:rsidRPr="009C7451">
        <w:rPr>
          <w:rFonts w:ascii="Times New Roman" w:hAnsi="Times New Roman"/>
          <w:b/>
          <w:sz w:val="24"/>
          <w:szCs w:val="24"/>
        </w:rPr>
        <w:t>Legal lesson learned: The City has a strong “undue hardship” defense if this case goes to trial.</w:t>
      </w:r>
    </w:p>
    <w:p w14:paraId="5C4545F8" w14:textId="77777777" w:rsidR="009C7451" w:rsidRPr="009C7451" w:rsidRDefault="009C7451" w:rsidP="009C7451">
      <w:pPr>
        <w:pStyle w:val="NoSpacing"/>
        <w:rPr>
          <w:rFonts w:ascii="Times New Roman" w:hAnsi="Times New Roman"/>
          <w:b/>
          <w:bCs/>
          <w:sz w:val="24"/>
          <w:szCs w:val="24"/>
        </w:rPr>
      </w:pPr>
    </w:p>
    <w:p w14:paraId="689A2950" w14:textId="77777777" w:rsidR="009C7451" w:rsidRPr="009C7451" w:rsidRDefault="009C7451" w:rsidP="009C7451">
      <w:pPr>
        <w:pStyle w:val="NoSpacing"/>
        <w:ind w:left="720"/>
        <w:rPr>
          <w:rFonts w:ascii="Times New Roman" w:hAnsi="Times New Roman"/>
          <w:bCs/>
          <w:sz w:val="24"/>
          <w:szCs w:val="24"/>
        </w:rPr>
      </w:pPr>
      <w:r w:rsidRPr="009C7451">
        <w:rPr>
          <w:rFonts w:ascii="Times New Roman" w:hAnsi="Times New Roman"/>
          <w:sz w:val="24"/>
          <w:szCs w:val="24"/>
        </w:rPr>
        <w:t xml:space="preserve">Note: See Aug. 28, </w:t>
      </w:r>
      <w:proofErr w:type="gramStart"/>
      <w:r w:rsidRPr="009C7451">
        <w:rPr>
          <w:rFonts w:ascii="Times New Roman" w:hAnsi="Times New Roman"/>
          <w:sz w:val="24"/>
          <w:szCs w:val="24"/>
        </w:rPr>
        <w:t>2022</w:t>
      </w:r>
      <w:proofErr w:type="gramEnd"/>
      <w:r w:rsidRPr="009C7451">
        <w:rPr>
          <w:rFonts w:ascii="Times New Roman" w:hAnsi="Times New Roman"/>
          <w:sz w:val="24"/>
          <w:szCs w:val="24"/>
        </w:rPr>
        <w:t xml:space="preserve"> article, “Unvaccinated FDNY Firefighters Poised to be Fired Unless they roll up their sleeves, 70 FDNY firefighters have been notified they won't be responding.”</w:t>
      </w:r>
    </w:p>
    <w:p w14:paraId="7D2FC351" w14:textId="77777777" w:rsidR="009C7451" w:rsidRPr="009C7451" w:rsidRDefault="009C7451" w:rsidP="009C7451">
      <w:pPr>
        <w:pStyle w:val="NoSpacing"/>
        <w:ind w:left="720"/>
        <w:rPr>
          <w:rFonts w:ascii="Times New Roman" w:hAnsi="Times New Roman"/>
          <w:bCs/>
          <w:sz w:val="24"/>
          <w:szCs w:val="24"/>
        </w:rPr>
      </w:pPr>
    </w:p>
    <w:p w14:paraId="2C64F1CA" w14:textId="77777777" w:rsidR="009C7451" w:rsidRPr="009C7451" w:rsidRDefault="009C7451" w:rsidP="009C7451">
      <w:pPr>
        <w:pStyle w:val="NoSpacing"/>
        <w:ind w:left="720"/>
        <w:rPr>
          <w:rFonts w:ascii="Times New Roman" w:hAnsi="Times New Roman"/>
          <w:b/>
          <w:sz w:val="24"/>
          <w:szCs w:val="24"/>
        </w:rPr>
      </w:pPr>
      <w:r w:rsidRPr="009C7451">
        <w:rPr>
          <w:rFonts w:ascii="Times New Roman" w:hAnsi="Times New Roman"/>
          <w:sz w:val="24"/>
          <w:szCs w:val="24"/>
        </w:rPr>
        <w:t xml:space="preserve">See Feb. 15, </w:t>
      </w:r>
      <w:proofErr w:type="gramStart"/>
      <w:r w:rsidRPr="009C7451">
        <w:rPr>
          <w:rFonts w:ascii="Times New Roman" w:hAnsi="Times New Roman"/>
          <w:sz w:val="24"/>
          <w:szCs w:val="24"/>
        </w:rPr>
        <w:t>2022</w:t>
      </w:r>
      <w:proofErr w:type="gramEnd"/>
      <w:r w:rsidRPr="009C7451">
        <w:rPr>
          <w:rFonts w:ascii="Times New Roman" w:hAnsi="Times New Roman"/>
          <w:sz w:val="24"/>
          <w:szCs w:val="24"/>
        </w:rPr>
        <w:t xml:space="preserve"> article, “Nearly 1,500 NYC municipal workers fired for not being vaccinated against COVID.”</w:t>
      </w:r>
      <w:r w:rsidRPr="009C7451">
        <w:rPr>
          <w:rFonts w:ascii="Times New Roman" w:hAnsi="Times New Roman"/>
          <w:b/>
          <w:sz w:val="24"/>
          <w:szCs w:val="24"/>
        </w:rPr>
        <w:t xml:space="preserve">  </w:t>
      </w:r>
      <w:hyperlink r:id="rId1627" w:history="1">
        <w:r w:rsidRPr="009C7451">
          <w:rPr>
            <w:rStyle w:val="Hyperlink"/>
            <w:rFonts w:ascii="Times New Roman" w:hAnsi="Times New Roman"/>
            <w:b/>
            <w:sz w:val="24"/>
            <w:szCs w:val="24"/>
          </w:rPr>
          <w:t>https://abcnews.go.com/Health/1500-nyc-municipal-workers-fired-vaccinated-covid/story?id=82900617</w:t>
        </w:r>
      </w:hyperlink>
      <w:r w:rsidRPr="009C7451">
        <w:rPr>
          <w:rFonts w:ascii="Times New Roman" w:hAnsi="Times New Roman"/>
          <w:b/>
          <w:sz w:val="24"/>
          <w:szCs w:val="24"/>
        </w:rPr>
        <w:t xml:space="preserve"> </w:t>
      </w:r>
    </w:p>
    <w:p w14:paraId="379C937F" w14:textId="77777777" w:rsidR="009C7451" w:rsidRPr="009C7451" w:rsidRDefault="009C7451" w:rsidP="009C7451">
      <w:pPr>
        <w:pStyle w:val="NoSpacing"/>
        <w:rPr>
          <w:rFonts w:ascii="Times New Roman" w:hAnsi="Times New Roman"/>
          <w:b/>
          <w:bCs/>
          <w:sz w:val="24"/>
          <w:szCs w:val="24"/>
        </w:rPr>
      </w:pPr>
    </w:p>
    <w:p w14:paraId="0CD3430F" w14:textId="77777777" w:rsidR="009C7451" w:rsidRPr="009C7451" w:rsidRDefault="009C7451" w:rsidP="009C7451">
      <w:pPr>
        <w:ind w:left="720"/>
        <w:rPr>
          <w:rFonts w:ascii="Times New Roman" w:hAnsi="Times New Roman"/>
          <w:b/>
          <w:sz w:val="24"/>
          <w:szCs w:val="24"/>
        </w:rPr>
      </w:pPr>
      <w:r w:rsidRPr="009C7451">
        <w:rPr>
          <w:rFonts w:ascii="Times New Roman" w:hAnsi="Times New Roman"/>
          <w:sz w:val="24"/>
          <w:szCs w:val="24"/>
        </w:rPr>
        <w:t xml:space="preserve">See EEOC guidance, “Enforcement Guidance on Reasonable Accommodation and Undue Hardship under the ADA.” </w:t>
      </w:r>
      <w:hyperlink r:id="rId1628" w:history="1">
        <w:r w:rsidRPr="009C7451">
          <w:rPr>
            <w:rStyle w:val="Hyperlink"/>
            <w:rFonts w:ascii="Times New Roman" w:hAnsi="Times New Roman"/>
            <w:sz w:val="24"/>
            <w:szCs w:val="24"/>
          </w:rPr>
          <w:t>https://www.eeoc.gov/laws/guidance/enforcement-guidance-reasonable-accommodation-and-undue-hardship-under-ada</w:t>
        </w:r>
      </w:hyperlink>
      <w:r w:rsidRPr="009C7451">
        <w:rPr>
          <w:rFonts w:ascii="Times New Roman" w:hAnsi="Times New Roman"/>
          <w:sz w:val="24"/>
          <w:szCs w:val="24"/>
        </w:rPr>
        <w:t xml:space="preserve"> </w:t>
      </w:r>
    </w:p>
    <w:p w14:paraId="1FC05AB6" w14:textId="77777777" w:rsidR="009C7451" w:rsidRPr="009C7451" w:rsidRDefault="009C7451" w:rsidP="009C7451">
      <w:pPr>
        <w:ind w:left="1440"/>
        <w:rPr>
          <w:rFonts w:ascii="Times New Roman" w:hAnsi="Times New Roman"/>
          <w:bCs/>
          <w:sz w:val="24"/>
          <w:szCs w:val="24"/>
        </w:rPr>
      </w:pPr>
      <w:r w:rsidRPr="009C7451">
        <w:rPr>
          <w:rFonts w:ascii="Times New Roman" w:hAnsi="Times New Roman"/>
          <w:sz w:val="24"/>
          <w:szCs w:val="24"/>
        </w:rPr>
        <w:t xml:space="preserve">“’Undue hardship’ means significant difficulty or expense and focuses on the resources and circumstances of the </w:t>
      </w:r>
      <w:proofErr w:type="gramStart"/>
      <w:r w:rsidRPr="009C7451">
        <w:rPr>
          <w:rFonts w:ascii="Times New Roman" w:hAnsi="Times New Roman"/>
          <w:sz w:val="24"/>
          <w:szCs w:val="24"/>
        </w:rPr>
        <w:t>particular employer</w:t>
      </w:r>
      <w:proofErr w:type="gramEnd"/>
      <w:r w:rsidRPr="009C7451">
        <w:rPr>
          <w:rFonts w:ascii="Times New Roman" w:hAnsi="Times New Roman"/>
          <w:sz w:val="24"/>
          <w:szCs w:val="24"/>
        </w:rPr>
        <w:t xml:space="preserve"> in relationship to the cost or difficulty of providing a specific accommodation. Undue hardship refers not only to financial difficulty, but to reasonable accommodations that are unduly extensive, substantial, or disruptive, or those that would fundamentally alter the nature or operation of the business.” </w:t>
      </w:r>
    </w:p>
    <w:p w14:paraId="679F75A2" w14:textId="77777777" w:rsidR="009C7451" w:rsidRPr="009C7451" w:rsidRDefault="009C7451" w:rsidP="005C30A4">
      <w:pPr>
        <w:pStyle w:val="NoSpacing"/>
        <w:rPr>
          <w:rFonts w:ascii="Times New Roman" w:hAnsi="Times New Roman"/>
          <w:sz w:val="24"/>
          <w:szCs w:val="24"/>
        </w:rPr>
      </w:pPr>
    </w:p>
    <w:p w14:paraId="77EA25D8" w14:textId="77777777" w:rsidR="00475136" w:rsidRDefault="00475136" w:rsidP="005C30A4">
      <w:pPr>
        <w:pStyle w:val="NoSpacing"/>
        <w:rPr>
          <w:rFonts w:ascii="Arial Black" w:hAnsi="Arial Black"/>
          <w:sz w:val="24"/>
          <w:szCs w:val="24"/>
        </w:rPr>
      </w:pPr>
    </w:p>
    <w:p w14:paraId="310ECAE7" w14:textId="77777777" w:rsidR="00456C91" w:rsidRDefault="00456C91" w:rsidP="005C30A4">
      <w:pPr>
        <w:pStyle w:val="NoSpacing"/>
        <w:rPr>
          <w:rFonts w:ascii="Arial Black" w:hAnsi="Arial Black"/>
          <w:sz w:val="24"/>
          <w:szCs w:val="24"/>
        </w:rPr>
      </w:pPr>
    </w:p>
    <w:p w14:paraId="4A721DED" w14:textId="0E035634" w:rsidR="001C7270" w:rsidRDefault="001C7270" w:rsidP="005C30A4">
      <w:pPr>
        <w:pStyle w:val="NoSpacing"/>
        <w:rPr>
          <w:rFonts w:ascii="Arial Black" w:hAnsi="Arial Black"/>
          <w:sz w:val="24"/>
          <w:szCs w:val="24"/>
        </w:rPr>
      </w:pPr>
      <w:r>
        <w:rPr>
          <w:rFonts w:ascii="Arial Black" w:hAnsi="Arial Black"/>
          <w:sz w:val="24"/>
          <w:szCs w:val="24"/>
        </w:rPr>
        <w:t>9-50</w:t>
      </w:r>
    </w:p>
    <w:p w14:paraId="24A8C7DB" w14:textId="77777777" w:rsidR="000408CA" w:rsidRDefault="000408CA" w:rsidP="005C30A4">
      <w:pPr>
        <w:pStyle w:val="NoSpacing"/>
        <w:rPr>
          <w:rFonts w:ascii="Arial Black" w:hAnsi="Arial Black"/>
          <w:sz w:val="24"/>
          <w:szCs w:val="24"/>
        </w:rPr>
      </w:pPr>
    </w:p>
    <w:p w14:paraId="79342861" w14:textId="77777777" w:rsidR="000408CA" w:rsidRPr="004737F6" w:rsidRDefault="000408CA" w:rsidP="000408CA">
      <w:pPr>
        <w:pStyle w:val="NoSpacing"/>
        <w:rPr>
          <w:rFonts w:ascii="Arial Black" w:hAnsi="Arial Black"/>
          <w:bCs/>
          <w:sz w:val="28"/>
          <w:szCs w:val="28"/>
        </w:rPr>
      </w:pPr>
      <w:r>
        <w:rPr>
          <w:rFonts w:ascii="Arial Black" w:hAnsi="Arial Black"/>
          <w:sz w:val="28"/>
          <w:szCs w:val="28"/>
        </w:rPr>
        <w:t xml:space="preserve">TX: HOSTILE WORK CLAIM - AGE, WEIGHT, PTSD </w:t>
      </w:r>
    </w:p>
    <w:p w14:paraId="60FE0D9E" w14:textId="77777777" w:rsidR="000408CA" w:rsidRDefault="000408CA" w:rsidP="000408CA">
      <w:pPr>
        <w:pStyle w:val="NoSpacing"/>
        <w:rPr>
          <w:bCs/>
        </w:rPr>
      </w:pPr>
    </w:p>
    <w:p w14:paraId="186027D1" w14:textId="77777777" w:rsidR="002C10A9" w:rsidRPr="002C10A9" w:rsidRDefault="002C10A9" w:rsidP="002C10A9">
      <w:pPr>
        <w:rPr>
          <w:rStyle w:val="Hyperlink"/>
          <w:rFonts w:ascii="Times New Roman" w:hAnsi="Times New Roman"/>
          <w:sz w:val="24"/>
          <w:szCs w:val="24"/>
        </w:rPr>
      </w:pPr>
      <w:r w:rsidRPr="002C10A9">
        <w:rPr>
          <w:rFonts w:ascii="Times New Roman" w:hAnsi="Times New Roman"/>
          <w:sz w:val="24"/>
          <w:szCs w:val="24"/>
        </w:rPr>
        <w:t xml:space="preserve">On Dec. 17, 2024, in </w:t>
      </w:r>
      <w:r w:rsidRPr="002C10A9">
        <w:rPr>
          <w:rFonts w:ascii="Times New Roman" w:hAnsi="Times New Roman"/>
          <w:sz w:val="24"/>
          <w:szCs w:val="24"/>
          <w:u w:val="single"/>
        </w:rPr>
        <w:t xml:space="preserve">Timothy B. </w:t>
      </w:r>
      <w:proofErr w:type="spellStart"/>
      <w:r w:rsidRPr="002C10A9">
        <w:rPr>
          <w:rFonts w:ascii="Times New Roman" w:hAnsi="Times New Roman"/>
          <w:sz w:val="24"/>
          <w:szCs w:val="24"/>
          <w:u w:val="single"/>
        </w:rPr>
        <w:t>Hauptrief</w:t>
      </w:r>
      <w:proofErr w:type="spellEnd"/>
      <w:r w:rsidRPr="002C10A9">
        <w:rPr>
          <w:rFonts w:ascii="Times New Roman" w:hAnsi="Times New Roman"/>
          <w:sz w:val="24"/>
          <w:szCs w:val="24"/>
          <w:u w:val="single"/>
        </w:rPr>
        <w:t xml:space="preserve"> v. Denver </w:t>
      </w:r>
      <w:proofErr w:type="spellStart"/>
      <w:r w:rsidRPr="002C10A9">
        <w:rPr>
          <w:rFonts w:ascii="Times New Roman" w:hAnsi="Times New Roman"/>
          <w:sz w:val="24"/>
          <w:szCs w:val="24"/>
          <w:u w:val="single"/>
        </w:rPr>
        <w:t>Teleford</w:t>
      </w:r>
      <w:proofErr w:type="spellEnd"/>
      <w:r w:rsidRPr="002C10A9">
        <w:rPr>
          <w:rFonts w:ascii="Times New Roman" w:hAnsi="Times New Roman"/>
          <w:sz w:val="24"/>
          <w:szCs w:val="24"/>
          <w:u w:val="single"/>
        </w:rPr>
        <w:t>, Fire Lieutenant, City of Converse, Texas</w:t>
      </w:r>
      <w:r w:rsidRPr="002C10A9">
        <w:rPr>
          <w:rFonts w:ascii="Times New Roman" w:hAnsi="Times New Roman"/>
          <w:sz w:val="24"/>
          <w:szCs w:val="24"/>
        </w:rPr>
        <w:t xml:space="preserve">, United States District Court Judge Fred Biery, U.S. District Court for Western District, San Antonio Division, held that lawsuit should proceed by the firefighter / paramedic’s claims under ADA and ADEA [Age Discrimination in Employment].  Plaintiff alleges that he suffered a hostile work environment due to his age, weight, and PTSD,  and also retaliation for complaining about lack of training.  </w:t>
      </w:r>
      <w:hyperlink r:id="rId1629" w:history="1">
        <w:r w:rsidRPr="002C10A9">
          <w:rPr>
            <w:rStyle w:val="Hyperlink"/>
            <w:rFonts w:ascii="Times New Roman" w:hAnsi="Times New Roman"/>
            <w:sz w:val="24"/>
            <w:szCs w:val="24"/>
          </w:rPr>
          <w:t>https://casetext.com/case/hauptrief-v-telford-1</w:t>
        </w:r>
      </w:hyperlink>
      <w:r w:rsidRPr="002C10A9">
        <w:rPr>
          <w:rStyle w:val="Hyperlink"/>
          <w:rFonts w:ascii="Times New Roman" w:hAnsi="Times New Roman"/>
          <w:sz w:val="24"/>
          <w:szCs w:val="24"/>
        </w:rPr>
        <w:t xml:space="preserve"> </w:t>
      </w:r>
    </w:p>
    <w:p w14:paraId="56010828" w14:textId="77777777" w:rsidR="002C10A9" w:rsidRDefault="002C10A9" w:rsidP="000408CA">
      <w:pPr>
        <w:pStyle w:val="NoSpacing"/>
        <w:rPr>
          <w:rFonts w:ascii="Times New Roman" w:hAnsi="Times New Roman"/>
          <w:sz w:val="24"/>
          <w:szCs w:val="24"/>
        </w:rPr>
      </w:pPr>
    </w:p>
    <w:p w14:paraId="0D5D5452" w14:textId="6D83026D" w:rsidR="000408CA" w:rsidRPr="000408CA" w:rsidRDefault="000408CA" w:rsidP="000408CA">
      <w:pPr>
        <w:pStyle w:val="NoSpacing"/>
        <w:rPr>
          <w:rFonts w:ascii="Times New Roman" w:hAnsi="Times New Roman"/>
          <w:bCs/>
          <w:sz w:val="24"/>
          <w:szCs w:val="24"/>
        </w:rPr>
      </w:pPr>
      <w:r w:rsidRPr="000408CA">
        <w:rPr>
          <w:rFonts w:ascii="Times New Roman" w:hAnsi="Times New Roman"/>
          <w:sz w:val="24"/>
          <w:szCs w:val="24"/>
        </w:rPr>
        <w:t>Judge Fred Biery wrote:</w:t>
      </w:r>
    </w:p>
    <w:p w14:paraId="5078932C" w14:textId="77777777" w:rsidR="000408CA" w:rsidRPr="000408CA" w:rsidRDefault="000408CA" w:rsidP="000408CA">
      <w:pPr>
        <w:pStyle w:val="NoSpacing"/>
        <w:ind w:left="720"/>
        <w:rPr>
          <w:rFonts w:ascii="Times New Roman" w:hAnsi="Times New Roman"/>
          <w:bCs/>
          <w:sz w:val="24"/>
          <w:szCs w:val="24"/>
        </w:rPr>
      </w:pPr>
    </w:p>
    <w:p w14:paraId="3CB2E077" w14:textId="77777777" w:rsidR="000408CA" w:rsidRPr="000408CA" w:rsidRDefault="000408CA" w:rsidP="000408CA">
      <w:pPr>
        <w:pStyle w:val="NoSpacing"/>
        <w:ind w:left="720"/>
        <w:rPr>
          <w:rFonts w:ascii="Times New Roman" w:hAnsi="Times New Roman"/>
          <w:sz w:val="24"/>
          <w:szCs w:val="24"/>
        </w:rPr>
      </w:pPr>
      <w:r w:rsidRPr="000408CA">
        <w:rPr>
          <w:rFonts w:ascii="Times New Roman" w:hAnsi="Times New Roman"/>
          <w:sz w:val="24"/>
          <w:szCs w:val="24"/>
        </w:rPr>
        <w:t>“Because no party has objected to the Magistrate Judge's Report and Recommendation, the Court need not conduct a de novo review…. The motion to dismiss the ADA and ADEA claims against the City of Converse, however, shall be denied.”</w:t>
      </w:r>
    </w:p>
    <w:p w14:paraId="355A1B22" w14:textId="77777777" w:rsidR="000408CA" w:rsidRPr="000408CA" w:rsidRDefault="000408CA" w:rsidP="000408CA">
      <w:pPr>
        <w:pStyle w:val="NoSpacing"/>
        <w:ind w:left="720"/>
        <w:rPr>
          <w:rFonts w:ascii="Times New Roman" w:hAnsi="Times New Roman"/>
          <w:sz w:val="24"/>
          <w:szCs w:val="24"/>
        </w:rPr>
      </w:pPr>
    </w:p>
    <w:p w14:paraId="5CCFC263" w14:textId="77777777" w:rsidR="000408CA" w:rsidRPr="000408CA" w:rsidRDefault="000408CA" w:rsidP="000408CA">
      <w:pPr>
        <w:pStyle w:val="NoSpacing"/>
        <w:ind w:left="720"/>
        <w:rPr>
          <w:rFonts w:ascii="Times New Roman" w:hAnsi="Times New Roman"/>
          <w:sz w:val="24"/>
          <w:szCs w:val="24"/>
        </w:rPr>
      </w:pPr>
      <w:r w:rsidRPr="000408CA">
        <w:rPr>
          <w:rFonts w:ascii="Times New Roman" w:hAnsi="Times New Roman"/>
          <w:sz w:val="24"/>
          <w:szCs w:val="24"/>
        </w:rPr>
        <w:t>***</w:t>
      </w:r>
    </w:p>
    <w:p w14:paraId="29614468" w14:textId="77777777" w:rsidR="000408CA" w:rsidRPr="000408CA" w:rsidRDefault="000408CA" w:rsidP="000408CA">
      <w:pPr>
        <w:pStyle w:val="NoSpacing"/>
        <w:ind w:left="720"/>
        <w:rPr>
          <w:rFonts w:ascii="Times New Roman" w:hAnsi="Times New Roman"/>
          <w:sz w:val="24"/>
          <w:szCs w:val="24"/>
        </w:rPr>
      </w:pPr>
      <w:r w:rsidRPr="000408CA">
        <w:rPr>
          <w:rFonts w:ascii="Times New Roman" w:hAnsi="Times New Roman"/>
          <w:sz w:val="24"/>
          <w:szCs w:val="24"/>
        </w:rPr>
        <w:t xml:space="preserve">[Magistrate Judge wrote: “Defendants' briefing discusses why Plaintiff's ADA and ADEA claims should be denied as to the individual </w:t>
      </w:r>
      <w:proofErr w:type="gramStart"/>
      <w:r w:rsidRPr="000408CA">
        <w:rPr>
          <w:rFonts w:ascii="Times New Roman" w:hAnsi="Times New Roman"/>
          <w:sz w:val="24"/>
          <w:szCs w:val="24"/>
        </w:rPr>
        <w:t>defendants,</w:t>
      </w:r>
      <w:proofErr w:type="gramEnd"/>
      <w:r w:rsidRPr="000408CA">
        <w:rPr>
          <w:rFonts w:ascii="Times New Roman" w:hAnsi="Times New Roman"/>
          <w:sz w:val="24"/>
          <w:szCs w:val="24"/>
        </w:rPr>
        <w:t xml:space="preserve"> the briefing fails to make </w:t>
      </w:r>
      <w:r w:rsidRPr="000408CA">
        <w:rPr>
          <w:rFonts w:ascii="Times New Roman" w:hAnsi="Times New Roman"/>
          <w:i/>
          <w:iCs/>
          <w:sz w:val="24"/>
          <w:szCs w:val="24"/>
        </w:rPr>
        <w:t>any</w:t>
      </w:r>
      <w:r w:rsidRPr="000408CA">
        <w:rPr>
          <w:rFonts w:ascii="Times New Roman" w:hAnsi="Times New Roman"/>
          <w:sz w:val="24"/>
          <w:szCs w:val="24"/>
        </w:rPr>
        <w:t xml:space="preserve"> argument as to why the ADA and ADEA claims against the </w:t>
      </w:r>
      <w:proofErr w:type="gramStart"/>
      <w:r w:rsidRPr="000408CA">
        <w:rPr>
          <w:rFonts w:ascii="Times New Roman" w:hAnsi="Times New Roman"/>
          <w:sz w:val="24"/>
          <w:szCs w:val="24"/>
        </w:rPr>
        <w:t>City</w:t>
      </w:r>
      <w:proofErr w:type="gramEnd"/>
      <w:r w:rsidRPr="000408CA">
        <w:rPr>
          <w:rFonts w:ascii="Times New Roman" w:hAnsi="Times New Roman"/>
          <w:sz w:val="24"/>
          <w:szCs w:val="24"/>
        </w:rPr>
        <w:t xml:space="preserve"> should be dismissed.”]</w:t>
      </w:r>
    </w:p>
    <w:p w14:paraId="138A079A" w14:textId="7CEC6054" w:rsidR="000408CA" w:rsidRPr="000408CA" w:rsidRDefault="000408CA" w:rsidP="000408CA">
      <w:pPr>
        <w:pStyle w:val="NoSpacing"/>
        <w:ind w:left="720"/>
        <w:rPr>
          <w:rFonts w:ascii="Times New Roman" w:hAnsi="Times New Roman"/>
          <w:sz w:val="24"/>
          <w:szCs w:val="24"/>
        </w:rPr>
      </w:pPr>
      <w:r w:rsidRPr="000408CA">
        <w:rPr>
          <w:rFonts w:ascii="Times New Roman" w:hAnsi="Times New Roman"/>
          <w:sz w:val="24"/>
          <w:szCs w:val="24"/>
        </w:rPr>
        <w:t xml:space="preserve"> </w:t>
      </w:r>
    </w:p>
    <w:p w14:paraId="1B17C02C" w14:textId="77777777" w:rsidR="000408CA" w:rsidRPr="000408CA" w:rsidRDefault="000408CA" w:rsidP="005C30A4">
      <w:pPr>
        <w:pStyle w:val="NoSpacing"/>
        <w:rPr>
          <w:rFonts w:ascii="Times New Roman" w:hAnsi="Times New Roman"/>
          <w:sz w:val="24"/>
          <w:szCs w:val="24"/>
        </w:rPr>
      </w:pPr>
    </w:p>
    <w:p w14:paraId="6AFB575A" w14:textId="77777777" w:rsidR="00113D38" w:rsidRPr="00113D38" w:rsidRDefault="00113D38" w:rsidP="00113D38">
      <w:pPr>
        <w:pStyle w:val="NoSpacing"/>
        <w:rPr>
          <w:rFonts w:ascii="Times New Roman" w:hAnsi="Times New Roman"/>
          <w:sz w:val="24"/>
          <w:szCs w:val="24"/>
        </w:rPr>
      </w:pPr>
      <w:r w:rsidRPr="00113D38">
        <w:rPr>
          <w:rFonts w:ascii="Times New Roman" w:hAnsi="Times New Roman"/>
          <w:sz w:val="24"/>
          <w:szCs w:val="24"/>
        </w:rPr>
        <w:t>HOLDING [by Magistrate Judge]</w:t>
      </w:r>
    </w:p>
    <w:p w14:paraId="47531487" w14:textId="77777777" w:rsidR="00113D38" w:rsidRPr="00113D38" w:rsidRDefault="00113D38" w:rsidP="00113D38">
      <w:pPr>
        <w:pStyle w:val="NoSpacing"/>
        <w:rPr>
          <w:rFonts w:ascii="Times New Roman" w:hAnsi="Times New Roman"/>
          <w:sz w:val="24"/>
          <w:szCs w:val="24"/>
        </w:rPr>
      </w:pPr>
    </w:p>
    <w:p w14:paraId="59474A32" w14:textId="77777777" w:rsidR="00113D38" w:rsidRPr="00113D38" w:rsidRDefault="00113D38" w:rsidP="00113D38">
      <w:pPr>
        <w:pStyle w:val="NoSpacing"/>
        <w:ind w:left="720"/>
        <w:rPr>
          <w:rFonts w:ascii="Times New Roman" w:hAnsi="Times New Roman"/>
          <w:sz w:val="24"/>
          <w:szCs w:val="24"/>
        </w:rPr>
      </w:pPr>
      <w:r w:rsidRPr="00113D38">
        <w:rPr>
          <w:rFonts w:ascii="Times New Roman" w:hAnsi="Times New Roman"/>
          <w:sz w:val="24"/>
          <w:szCs w:val="24"/>
        </w:rPr>
        <w:t>“Plaintiff pleads that his firing was in retaliation for complaining to Captain Oefinger in August 2023 and to the Fire Chief and Director of Human Resources in January 2024 about harassment, discrimination, and failure to train him related to his weight, age, and PTSD  …</w:t>
      </w:r>
    </w:p>
    <w:p w14:paraId="1EF64120" w14:textId="77777777" w:rsidR="00113D38" w:rsidRPr="00113D38" w:rsidRDefault="00113D38" w:rsidP="00113D38">
      <w:pPr>
        <w:pStyle w:val="NoSpacing"/>
        <w:ind w:left="720"/>
        <w:rPr>
          <w:rFonts w:ascii="Times New Roman" w:hAnsi="Times New Roman"/>
          <w:sz w:val="24"/>
          <w:szCs w:val="24"/>
        </w:rPr>
      </w:pPr>
    </w:p>
    <w:p w14:paraId="682D1DBF" w14:textId="77777777" w:rsidR="00113D38" w:rsidRPr="00113D38" w:rsidRDefault="00113D38" w:rsidP="00113D38">
      <w:pPr>
        <w:pStyle w:val="NoSpacing"/>
        <w:ind w:left="720"/>
        <w:rPr>
          <w:rFonts w:ascii="Times New Roman" w:hAnsi="Times New Roman"/>
          <w:sz w:val="24"/>
          <w:szCs w:val="24"/>
        </w:rPr>
      </w:pPr>
      <w:r w:rsidRPr="00113D38">
        <w:rPr>
          <w:rFonts w:ascii="Times New Roman" w:hAnsi="Times New Roman"/>
          <w:sz w:val="24"/>
          <w:szCs w:val="24"/>
        </w:rPr>
        <w:t>***</w:t>
      </w:r>
    </w:p>
    <w:p w14:paraId="25DB2046" w14:textId="77777777" w:rsidR="00113D38" w:rsidRPr="00113D38" w:rsidRDefault="00113D38" w:rsidP="00113D38">
      <w:pPr>
        <w:pStyle w:val="NoSpacing"/>
        <w:ind w:left="720"/>
        <w:rPr>
          <w:rFonts w:ascii="Times New Roman" w:hAnsi="Times New Roman"/>
          <w:sz w:val="24"/>
          <w:szCs w:val="24"/>
        </w:rPr>
      </w:pPr>
    </w:p>
    <w:p w14:paraId="6271E8E1" w14:textId="77777777" w:rsidR="00113D38" w:rsidRPr="00113D38" w:rsidRDefault="00113D38" w:rsidP="00113D38">
      <w:pPr>
        <w:pStyle w:val="NoSpacing"/>
        <w:ind w:left="720"/>
        <w:rPr>
          <w:rFonts w:ascii="Times New Roman" w:hAnsi="Times New Roman"/>
          <w:bCs/>
          <w:sz w:val="24"/>
          <w:szCs w:val="24"/>
        </w:rPr>
      </w:pPr>
      <w:r w:rsidRPr="00113D38">
        <w:rPr>
          <w:rFonts w:ascii="Times New Roman" w:hAnsi="Times New Roman"/>
          <w:sz w:val="24"/>
          <w:szCs w:val="24"/>
        </w:rPr>
        <w:t xml:space="preserve">E. </w:t>
      </w:r>
      <w:r w:rsidRPr="00113D38">
        <w:rPr>
          <w:rFonts w:ascii="Times New Roman" w:hAnsi="Times New Roman"/>
          <w:i/>
          <w:iCs/>
          <w:sz w:val="24"/>
          <w:szCs w:val="24"/>
        </w:rPr>
        <w:t>Plaintiff's ADA and ADEA Claims Against the City</w:t>
      </w:r>
      <w:r w:rsidRPr="00113D38">
        <w:rPr>
          <w:rFonts w:ascii="Times New Roman" w:hAnsi="Times New Roman"/>
          <w:sz w:val="24"/>
          <w:szCs w:val="24"/>
        </w:rPr>
        <w:t xml:space="preserve"> </w:t>
      </w:r>
    </w:p>
    <w:p w14:paraId="46FFFC92" w14:textId="77777777" w:rsidR="00113D38" w:rsidRPr="00113D38" w:rsidRDefault="00113D38" w:rsidP="00113D38">
      <w:pPr>
        <w:pStyle w:val="NoSpacing"/>
        <w:ind w:left="720"/>
        <w:rPr>
          <w:rFonts w:ascii="Times New Roman" w:hAnsi="Times New Roman"/>
          <w:sz w:val="24"/>
          <w:szCs w:val="24"/>
        </w:rPr>
      </w:pPr>
    </w:p>
    <w:p w14:paraId="6589380A" w14:textId="77777777" w:rsidR="00113D38" w:rsidRPr="00113D38" w:rsidRDefault="00113D38" w:rsidP="00113D38">
      <w:pPr>
        <w:pStyle w:val="NoSpacing"/>
        <w:ind w:left="720"/>
        <w:rPr>
          <w:rFonts w:ascii="Times New Roman" w:hAnsi="Times New Roman"/>
          <w:sz w:val="24"/>
          <w:szCs w:val="24"/>
        </w:rPr>
      </w:pPr>
      <w:r w:rsidRPr="00113D38">
        <w:rPr>
          <w:rFonts w:ascii="Times New Roman" w:hAnsi="Times New Roman"/>
          <w:sz w:val="24"/>
          <w:szCs w:val="24"/>
        </w:rPr>
        <w:t xml:space="preserve">Plaintiff alleges that he suffered a hostile work environment under the ADA and ADEA due to his age and his disability, and that he was discriminated against due to his weight and PTSD and retaliated against him for complaining about this discrimination. (Am. </w:t>
      </w:r>
      <w:proofErr w:type="spellStart"/>
      <w:r w:rsidRPr="00113D38">
        <w:rPr>
          <w:rFonts w:ascii="Times New Roman" w:hAnsi="Times New Roman"/>
          <w:sz w:val="24"/>
          <w:szCs w:val="24"/>
        </w:rPr>
        <w:t>Compl</w:t>
      </w:r>
      <w:proofErr w:type="spellEnd"/>
      <w:r w:rsidRPr="00113D38">
        <w:rPr>
          <w:rFonts w:ascii="Times New Roman" w:hAnsi="Times New Roman"/>
          <w:sz w:val="24"/>
          <w:szCs w:val="24"/>
        </w:rPr>
        <w:t xml:space="preserve">. [#26], at 5, 10-12, 16.) While Defendants' motion to dismiss is styled as a motion to dismiss all claims, and Defendants' briefing discusses why Plaintiff's ADA and ADEA claims should be denied as to the individual defendants, the briefing fails to make </w:t>
      </w:r>
      <w:r w:rsidRPr="00113D38">
        <w:rPr>
          <w:rFonts w:ascii="Times New Roman" w:hAnsi="Times New Roman"/>
          <w:i/>
          <w:iCs/>
          <w:sz w:val="24"/>
          <w:szCs w:val="24"/>
        </w:rPr>
        <w:t>any</w:t>
      </w:r>
      <w:r w:rsidRPr="00113D38">
        <w:rPr>
          <w:rFonts w:ascii="Times New Roman" w:hAnsi="Times New Roman"/>
          <w:sz w:val="24"/>
          <w:szCs w:val="24"/>
        </w:rPr>
        <w:t xml:space="preserve"> argument as to why the ADA and ADEA claims against the </w:t>
      </w:r>
      <w:proofErr w:type="gramStart"/>
      <w:r w:rsidRPr="00113D38">
        <w:rPr>
          <w:rFonts w:ascii="Times New Roman" w:hAnsi="Times New Roman"/>
          <w:sz w:val="24"/>
          <w:szCs w:val="24"/>
        </w:rPr>
        <w:t>City</w:t>
      </w:r>
      <w:proofErr w:type="gramEnd"/>
      <w:r w:rsidRPr="00113D38">
        <w:rPr>
          <w:rFonts w:ascii="Times New Roman" w:hAnsi="Times New Roman"/>
          <w:sz w:val="24"/>
          <w:szCs w:val="24"/>
        </w:rPr>
        <w:t xml:space="preserve"> should be dismissed. The Court should therefore deny the Defendants' motion to dismiss the ADA and ADEA claims against the </w:t>
      </w:r>
      <w:proofErr w:type="gramStart"/>
      <w:r w:rsidRPr="00113D38">
        <w:rPr>
          <w:rFonts w:ascii="Times New Roman" w:hAnsi="Times New Roman"/>
          <w:sz w:val="24"/>
          <w:szCs w:val="24"/>
        </w:rPr>
        <w:t>City</w:t>
      </w:r>
      <w:proofErr w:type="gramEnd"/>
      <w:r w:rsidRPr="00113D38">
        <w:rPr>
          <w:rFonts w:ascii="Times New Roman" w:hAnsi="Times New Roman"/>
          <w:sz w:val="24"/>
          <w:szCs w:val="24"/>
        </w:rPr>
        <w:t xml:space="preserve">. </w:t>
      </w:r>
    </w:p>
    <w:p w14:paraId="5C37D104" w14:textId="77777777" w:rsidR="00113D38" w:rsidRPr="00113D38" w:rsidRDefault="00113D38" w:rsidP="00113D38">
      <w:pPr>
        <w:pStyle w:val="NoSpacing"/>
        <w:ind w:left="720"/>
        <w:rPr>
          <w:rFonts w:ascii="Times New Roman" w:hAnsi="Times New Roman"/>
          <w:sz w:val="24"/>
          <w:szCs w:val="24"/>
        </w:rPr>
      </w:pPr>
    </w:p>
    <w:p w14:paraId="645A6A2E" w14:textId="77777777" w:rsidR="00113D38" w:rsidRPr="00113D38" w:rsidRDefault="00113D38" w:rsidP="00113D38">
      <w:pPr>
        <w:pStyle w:val="NoSpacing"/>
        <w:ind w:left="720"/>
        <w:rPr>
          <w:rFonts w:ascii="Times New Roman" w:hAnsi="Times New Roman"/>
          <w:sz w:val="24"/>
          <w:szCs w:val="24"/>
        </w:rPr>
      </w:pPr>
      <w:r w:rsidRPr="00113D38">
        <w:rPr>
          <w:rFonts w:ascii="Times New Roman" w:hAnsi="Times New Roman"/>
          <w:sz w:val="24"/>
          <w:szCs w:val="24"/>
        </w:rPr>
        <w:t>***</w:t>
      </w:r>
    </w:p>
    <w:p w14:paraId="7BA85DD8" w14:textId="77777777" w:rsidR="00113D38" w:rsidRPr="00113D38" w:rsidRDefault="00113D38" w:rsidP="00113D38">
      <w:pPr>
        <w:pStyle w:val="NoSpacing"/>
        <w:ind w:left="720"/>
        <w:rPr>
          <w:rFonts w:ascii="Times New Roman" w:hAnsi="Times New Roman"/>
          <w:sz w:val="24"/>
          <w:szCs w:val="24"/>
        </w:rPr>
      </w:pPr>
      <w:r w:rsidRPr="00113D38">
        <w:rPr>
          <w:rFonts w:ascii="Times New Roman" w:hAnsi="Times New Roman"/>
          <w:sz w:val="24"/>
          <w:szCs w:val="24"/>
        </w:rPr>
        <w:t xml:space="preserve">Defendants' motion to dismiss Plaintiff's discrimination and retaliation claims under the Americans with Disabilities Act and Age Discrimination in Employment Act against the City of Converse be </w:t>
      </w:r>
      <w:r w:rsidRPr="00113D38">
        <w:rPr>
          <w:rFonts w:ascii="Times New Roman" w:hAnsi="Times New Roman"/>
          <w:b/>
          <w:sz w:val="24"/>
          <w:szCs w:val="24"/>
        </w:rPr>
        <w:t>DENIED</w:t>
      </w:r>
      <w:r w:rsidRPr="00113D38">
        <w:rPr>
          <w:rFonts w:ascii="Times New Roman" w:hAnsi="Times New Roman"/>
          <w:sz w:val="24"/>
          <w:szCs w:val="24"/>
        </w:rPr>
        <w:t>. These claims should proceed to discovery.”</w:t>
      </w:r>
    </w:p>
    <w:p w14:paraId="05252055" w14:textId="77777777" w:rsidR="00113D38" w:rsidRPr="00113D38" w:rsidRDefault="00113D38" w:rsidP="00113D38">
      <w:pPr>
        <w:pStyle w:val="NoSpacing"/>
        <w:ind w:left="720"/>
        <w:rPr>
          <w:rFonts w:ascii="Times New Roman" w:hAnsi="Times New Roman"/>
          <w:sz w:val="24"/>
          <w:szCs w:val="24"/>
        </w:rPr>
      </w:pPr>
    </w:p>
    <w:p w14:paraId="7C560FE7" w14:textId="77777777" w:rsidR="00113D38" w:rsidRPr="00113D38" w:rsidRDefault="00113D38" w:rsidP="00113D38">
      <w:pPr>
        <w:pStyle w:val="NoSpacing"/>
        <w:rPr>
          <w:rFonts w:ascii="Times New Roman" w:hAnsi="Times New Roman"/>
          <w:sz w:val="24"/>
          <w:szCs w:val="24"/>
        </w:rPr>
      </w:pPr>
      <w:r w:rsidRPr="00113D38">
        <w:rPr>
          <w:rFonts w:ascii="Times New Roman" w:hAnsi="Times New Roman"/>
          <w:b/>
          <w:sz w:val="24"/>
          <w:szCs w:val="24"/>
        </w:rPr>
        <w:t xml:space="preserve">Legal Lesson Learned:  Internal complaints of hazing, training or otherwise should be promptly and thoroughly investigated, with a written report;  the report can then be filed with court if there is subsequent litigation. </w:t>
      </w:r>
    </w:p>
    <w:p w14:paraId="0CAD0583" w14:textId="77777777" w:rsidR="00113D38" w:rsidRPr="00113D38" w:rsidRDefault="00113D38" w:rsidP="00113D38">
      <w:pPr>
        <w:pStyle w:val="NoSpacing"/>
        <w:ind w:left="720"/>
        <w:rPr>
          <w:rFonts w:ascii="Times New Roman" w:hAnsi="Times New Roman"/>
          <w:sz w:val="24"/>
          <w:szCs w:val="24"/>
        </w:rPr>
      </w:pPr>
    </w:p>
    <w:p w14:paraId="0221B961" w14:textId="77777777" w:rsidR="001C7270" w:rsidRDefault="001C7270" w:rsidP="005C30A4">
      <w:pPr>
        <w:pStyle w:val="NoSpacing"/>
        <w:rPr>
          <w:rFonts w:ascii="Arial Black" w:hAnsi="Arial Black"/>
          <w:sz w:val="24"/>
          <w:szCs w:val="24"/>
        </w:rPr>
      </w:pPr>
    </w:p>
    <w:p w14:paraId="151EAC86" w14:textId="77777777" w:rsidR="001C7270" w:rsidRDefault="001C7270" w:rsidP="005C30A4">
      <w:pPr>
        <w:pStyle w:val="NoSpacing"/>
        <w:rPr>
          <w:rFonts w:ascii="Arial Black" w:hAnsi="Arial Black"/>
          <w:sz w:val="24"/>
          <w:szCs w:val="24"/>
        </w:rPr>
      </w:pPr>
    </w:p>
    <w:p w14:paraId="2557C397" w14:textId="62D15E61" w:rsidR="002077DA" w:rsidRDefault="002077DA" w:rsidP="005C30A4">
      <w:pPr>
        <w:pStyle w:val="NoSpacing"/>
        <w:rPr>
          <w:rFonts w:ascii="Arial Black" w:hAnsi="Arial Black"/>
          <w:sz w:val="24"/>
          <w:szCs w:val="24"/>
        </w:rPr>
      </w:pPr>
      <w:r>
        <w:rPr>
          <w:rFonts w:ascii="Arial Black" w:hAnsi="Arial Black"/>
          <w:sz w:val="24"/>
          <w:szCs w:val="24"/>
        </w:rPr>
        <w:t>9-49</w:t>
      </w:r>
    </w:p>
    <w:p w14:paraId="2D86FD95" w14:textId="77777777" w:rsidR="002077DA" w:rsidRDefault="002077DA" w:rsidP="005C30A4">
      <w:pPr>
        <w:pStyle w:val="NoSpacing"/>
        <w:rPr>
          <w:rFonts w:ascii="Arial Black" w:hAnsi="Arial Black"/>
          <w:sz w:val="24"/>
          <w:szCs w:val="24"/>
        </w:rPr>
      </w:pPr>
    </w:p>
    <w:p w14:paraId="42976820" w14:textId="77777777" w:rsidR="001E5BE7" w:rsidRPr="001A7E68" w:rsidRDefault="001E5BE7" w:rsidP="001E5BE7">
      <w:pPr>
        <w:pStyle w:val="NoSpacing"/>
        <w:rPr>
          <w:rFonts w:ascii="Arial Black" w:hAnsi="Arial Black"/>
          <w:b/>
          <w:sz w:val="28"/>
          <w:szCs w:val="28"/>
        </w:rPr>
      </w:pPr>
      <w:r>
        <w:rPr>
          <w:rFonts w:ascii="Arial Black" w:hAnsi="Arial Black"/>
          <w:b/>
          <w:sz w:val="28"/>
          <w:szCs w:val="28"/>
        </w:rPr>
        <w:t>NJ: BROKE FOOT – PROMOTION TO CAPT. DELAYED</w:t>
      </w:r>
    </w:p>
    <w:p w14:paraId="458270C3" w14:textId="77777777" w:rsidR="001E5BE7" w:rsidRDefault="001E5BE7" w:rsidP="001E5BE7">
      <w:pPr>
        <w:pStyle w:val="NoSpacing"/>
        <w:rPr>
          <w:b/>
        </w:rPr>
      </w:pPr>
    </w:p>
    <w:p w14:paraId="7075EBE4" w14:textId="77777777" w:rsidR="00896D75" w:rsidRPr="00896D75" w:rsidRDefault="00896D75" w:rsidP="00896D75">
      <w:pPr>
        <w:rPr>
          <w:rStyle w:val="Hyperlink"/>
          <w:rFonts w:ascii="Times New Roman" w:hAnsi="Times New Roman"/>
          <w:bCs/>
          <w:sz w:val="24"/>
          <w:szCs w:val="24"/>
        </w:rPr>
      </w:pPr>
      <w:r w:rsidRPr="00896D75">
        <w:rPr>
          <w:rFonts w:ascii="Times New Roman" w:hAnsi="Times New Roman"/>
          <w:sz w:val="24"/>
          <w:szCs w:val="24"/>
        </w:rPr>
        <w:t xml:space="preserve">On Dec. 10, 2024, in </w:t>
      </w:r>
      <w:r w:rsidRPr="00896D75">
        <w:rPr>
          <w:rFonts w:ascii="Times New Roman" w:hAnsi="Times New Roman"/>
          <w:sz w:val="24"/>
          <w:szCs w:val="24"/>
          <w:u w:val="single"/>
        </w:rPr>
        <w:t>Jersey City IAFF Local 1066 v. City of Jersey City</w:t>
      </w:r>
      <w:r w:rsidRPr="00896D75">
        <w:rPr>
          <w:rFonts w:ascii="Times New Roman" w:hAnsi="Times New Roman"/>
          <w:sz w:val="24"/>
          <w:szCs w:val="24"/>
        </w:rPr>
        <w:t xml:space="preserve">, the Superior Court of New Jersey, Appellate Division, held (3 to 0; unpublished decision) that trial court improperly dismissed the lawsuit.  The city delayed the promotion of a Captain, who broke his foot on duty, until he could return to work. </w:t>
      </w:r>
      <w:hyperlink r:id="rId1630" w:history="1">
        <w:r w:rsidRPr="00896D75">
          <w:rPr>
            <w:rStyle w:val="Hyperlink"/>
            <w:rFonts w:ascii="Times New Roman" w:hAnsi="Times New Roman"/>
            <w:sz w:val="24"/>
            <w:szCs w:val="24"/>
          </w:rPr>
          <w:t>https://www.njcourts.gov/system/files/court-opinions/2024/a0448-23.pdf</w:t>
        </w:r>
      </w:hyperlink>
    </w:p>
    <w:p w14:paraId="3D45724D" w14:textId="77777777" w:rsidR="00896D75" w:rsidRDefault="00896D75" w:rsidP="001E5BE7">
      <w:pPr>
        <w:pStyle w:val="NoSpacing"/>
        <w:rPr>
          <w:rFonts w:ascii="Times New Roman" w:hAnsi="Times New Roman"/>
          <w:sz w:val="24"/>
          <w:szCs w:val="24"/>
        </w:rPr>
      </w:pPr>
    </w:p>
    <w:p w14:paraId="382CBA36" w14:textId="2A8BED5C" w:rsidR="001E5BE7" w:rsidRPr="001E5BE7" w:rsidRDefault="001E5BE7" w:rsidP="001E5BE7">
      <w:pPr>
        <w:pStyle w:val="NoSpacing"/>
        <w:rPr>
          <w:rFonts w:ascii="Times New Roman" w:hAnsi="Times New Roman"/>
          <w:bCs/>
          <w:sz w:val="24"/>
          <w:szCs w:val="24"/>
        </w:rPr>
      </w:pPr>
      <w:r w:rsidRPr="001E5BE7">
        <w:rPr>
          <w:rFonts w:ascii="Times New Roman" w:hAnsi="Times New Roman"/>
          <w:sz w:val="24"/>
          <w:szCs w:val="24"/>
        </w:rPr>
        <w:t>The Court wrote:</w:t>
      </w:r>
    </w:p>
    <w:p w14:paraId="26F08D80" w14:textId="77777777" w:rsidR="001E5BE7" w:rsidRPr="001E5BE7" w:rsidRDefault="001E5BE7" w:rsidP="001E5BE7">
      <w:pPr>
        <w:pStyle w:val="NoSpacing"/>
        <w:rPr>
          <w:rFonts w:ascii="Times New Roman" w:hAnsi="Times New Roman"/>
          <w:b/>
          <w:sz w:val="24"/>
          <w:szCs w:val="24"/>
        </w:rPr>
      </w:pPr>
    </w:p>
    <w:p w14:paraId="75711FD8" w14:textId="77777777" w:rsidR="001E5BE7" w:rsidRPr="001E5BE7" w:rsidRDefault="001E5BE7" w:rsidP="001E5BE7">
      <w:pPr>
        <w:pStyle w:val="NoSpacing"/>
        <w:ind w:left="720"/>
        <w:rPr>
          <w:rFonts w:ascii="Times New Roman" w:hAnsi="Times New Roman"/>
          <w:bCs/>
          <w:sz w:val="24"/>
          <w:szCs w:val="24"/>
        </w:rPr>
      </w:pPr>
      <w:r w:rsidRPr="001E5BE7">
        <w:rPr>
          <w:rFonts w:ascii="Times New Roman" w:hAnsi="Times New Roman"/>
          <w:b/>
          <w:sz w:val="24"/>
          <w:szCs w:val="24"/>
        </w:rPr>
        <w:t>“</w:t>
      </w:r>
      <w:r w:rsidRPr="001E5BE7">
        <w:rPr>
          <w:rFonts w:ascii="Times New Roman" w:hAnsi="Times New Roman"/>
          <w:sz w:val="24"/>
          <w:szCs w:val="24"/>
        </w:rPr>
        <w:t>Plaintiff [IAFF Local 1066] became aware of the previously undisclosed promotion policy when firefighter Richard Mulligan was denied a promotion to captain while he</w:t>
      </w:r>
    </w:p>
    <w:p w14:paraId="0FDF9217" w14:textId="77777777" w:rsidR="001E5BE7" w:rsidRPr="001E5BE7" w:rsidRDefault="001E5BE7" w:rsidP="001E5BE7">
      <w:pPr>
        <w:pStyle w:val="NoSpacing"/>
        <w:ind w:left="720"/>
        <w:rPr>
          <w:rFonts w:ascii="Times New Roman" w:hAnsi="Times New Roman"/>
          <w:bCs/>
          <w:sz w:val="24"/>
          <w:szCs w:val="24"/>
        </w:rPr>
      </w:pPr>
      <w:r w:rsidRPr="001E5BE7">
        <w:rPr>
          <w:rFonts w:ascii="Times New Roman" w:hAnsi="Times New Roman"/>
          <w:sz w:val="24"/>
          <w:szCs w:val="24"/>
        </w:rPr>
        <w:t>was on injury leave. Mulligan broke his foot while on duty in June 2022. He was expecting a promotion to captain on July 1. However, when he arrived at the promotion ceremony with his family, he learned he would not be promoted because he was on injury leave….  Although he was eventually promoted, the delay affected his seniority status.</w:t>
      </w:r>
    </w:p>
    <w:p w14:paraId="0EF43022" w14:textId="77777777" w:rsidR="001E5BE7" w:rsidRPr="001E5BE7" w:rsidRDefault="001E5BE7" w:rsidP="001E5BE7">
      <w:pPr>
        <w:pStyle w:val="NoSpacing"/>
        <w:ind w:left="720"/>
        <w:rPr>
          <w:rFonts w:ascii="Times New Roman" w:hAnsi="Times New Roman"/>
          <w:bCs/>
          <w:sz w:val="24"/>
          <w:szCs w:val="24"/>
        </w:rPr>
      </w:pPr>
    </w:p>
    <w:p w14:paraId="48E74F89" w14:textId="77777777" w:rsidR="001E5BE7" w:rsidRPr="001E5BE7" w:rsidRDefault="001E5BE7" w:rsidP="001E5BE7">
      <w:pPr>
        <w:pStyle w:val="NoSpacing"/>
        <w:ind w:left="720"/>
        <w:rPr>
          <w:rFonts w:ascii="Times New Roman" w:hAnsi="Times New Roman"/>
          <w:bCs/>
          <w:sz w:val="24"/>
          <w:szCs w:val="24"/>
        </w:rPr>
      </w:pPr>
      <w:r w:rsidRPr="001E5BE7">
        <w:rPr>
          <w:rFonts w:ascii="Times New Roman" w:hAnsi="Times New Roman"/>
          <w:sz w:val="24"/>
          <w:szCs w:val="24"/>
        </w:rPr>
        <w:t>***</w:t>
      </w:r>
    </w:p>
    <w:p w14:paraId="6CE303AC" w14:textId="77777777" w:rsidR="001E5BE7" w:rsidRPr="001E5BE7" w:rsidRDefault="001E5BE7" w:rsidP="001E5BE7">
      <w:pPr>
        <w:pStyle w:val="NoSpacing"/>
        <w:ind w:left="720"/>
        <w:rPr>
          <w:rFonts w:ascii="Times New Roman" w:hAnsi="Times New Roman"/>
          <w:bCs/>
          <w:sz w:val="24"/>
          <w:szCs w:val="24"/>
        </w:rPr>
      </w:pPr>
      <w:r w:rsidRPr="001E5BE7">
        <w:rPr>
          <w:rFonts w:ascii="Times New Roman" w:hAnsi="Times New Roman"/>
          <w:sz w:val="24"/>
          <w:szCs w:val="24"/>
        </w:rPr>
        <w:t>Plaintiff alleges the promotion policy is facially discriminatory, and it has presented sufficient evidence of direct discrimination and retaliation to survive the dismissal motion</w:t>
      </w:r>
    </w:p>
    <w:p w14:paraId="5C10D392" w14:textId="4211171A" w:rsidR="001E5BE7" w:rsidRDefault="001E5BE7" w:rsidP="001E5BE7">
      <w:pPr>
        <w:pStyle w:val="NoSpacing"/>
        <w:ind w:left="720"/>
        <w:rPr>
          <w:bCs/>
        </w:rPr>
      </w:pPr>
      <w:r w:rsidRPr="001E5BE7">
        <w:rPr>
          <w:rFonts w:ascii="Times New Roman" w:hAnsi="Times New Roman"/>
          <w:sz w:val="24"/>
          <w:szCs w:val="24"/>
        </w:rPr>
        <w:t>regarding the promotion policy 11 A-0448-23. In giving plaintiff every reasonable inference of fact, as we must, we are satisfied plaintiff has presented sufficient facts to support its cause of action. Therefore, we vacate the order of dismissal</w:t>
      </w:r>
      <w:r>
        <w:t xml:space="preserve"> </w:t>
      </w:r>
    </w:p>
    <w:p w14:paraId="6B554DD2" w14:textId="77777777" w:rsidR="001E5BE7" w:rsidRDefault="001E5BE7" w:rsidP="005C30A4">
      <w:pPr>
        <w:pStyle w:val="NoSpacing"/>
        <w:rPr>
          <w:rFonts w:ascii="Arial Black" w:hAnsi="Arial Black"/>
          <w:sz w:val="24"/>
          <w:szCs w:val="24"/>
        </w:rPr>
      </w:pPr>
    </w:p>
    <w:p w14:paraId="49C39DDF" w14:textId="77777777" w:rsidR="001C7270" w:rsidRPr="001C7270" w:rsidRDefault="001C7270" w:rsidP="001C7270">
      <w:pPr>
        <w:pStyle w:val="NoSpacing"/>
        <w:rPr>
          <w:rFonts w:ascii="Times New Roman" w:hAnsi="Times New Roman"/>
          <w:bCs/>
          <w:sz w:val="24"/>
          <w:szCs w:val="24"/>
        </w:rPr>
      </w:pPr>
      <w:r w:rsidRPr="001C7270">
        <w:rPr>
          <w:rFonts w:ascii="Times New Roman" w:hAnsi="Times New Roman"/>
          <w:sz w:val="24"/>
          <w:szCs w:val="24"/>
        </w:rPr>
        <w:t>HOLDING:</w:t>
      </w:r>
    </w:p>
    <w:p w14:paraId="708C3F16" w14:textId="77777777" w:rsidR="001C7270" w:rsidRPr="001C7270" w:rsidRDefault="001C7270" w:rsidP="001C7270">
      <w:pPr>
        <w:pStyle w:val="NoSpacing"/>
        <w:rPr>
          <w:rFonts w:ascii="Times New Roman" w:hAnsi="Times New Roman"/>
          <w:bCs/>
          <w:sz w:val="24"/>
          <w:szCs w:val="24"/>
        </w:rPr>
      </w:pPr>
    </w:p>
    <w:p w14:paraId="4F5D2F58"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“Plaintiff alleged temporarily disabled firefighters are a protected class</w:t>
      </w:r>
    </w:p>
    <w:p w14:paraId="44EE22A7"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under LAD and entitled to an accommodation. Plaintiff further alleged that</w:t>
      </w:r>
    </w:p>
    <w:p w14:paraId="7EB438C8"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denying an eligible firefighter a promotion without considering an</w:t>
      </w:r>
    </w:p>
    <w:p w14:paraId="62F341DF"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accommodation is retaliatory and violates the LAD. Plaintiff alleges the</w:t>
      </w:r>
    </w:p>
    <w:p w14:paraId="2932F389"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promotion policy is facially discriminatory, and it has presented sufficient</w:t>
      </w:r>
    </w:p>
    <w:p w14:paraId="22B59B59" w14:textId="77777777" w:rsidR="001C7270" w:rsidRPr="001C7270" w:rsidRDefault="001C7270" w:rsidP="001C7270">
      <w:pPr>
        <w:pStyle w:val="NoSpacing"/>
        <w:ind w:firstLine="720"/>
        <w:rPr>
          <w:rFonts w:ascii="Times New Roman" w:hAnsi="Times New Roman"/>
          <w:bCs/>
          <w:sz w:val="24"/>
          <w:szCs w:val="24"/>
        </w:rPr>
      </w:pPr>
      <w:r w:rsidRPr="001C7270">
        <w:rPr>
          <w:rFonts w:ascii="Times New Roman" w:hAnsi="Times New Roman"/>
          <w:sz w:val="24"/>
          <w:szCs w:val="24"/>
        </w:rPr>
        <w:t>evidence of direct discrimination and retaliation to survive the dismissal motion</w:t>
      </w:r>
    </w:p>
    <w:p w14:paraId="2C15713C" w14:textId="77777777" w:rsidR="001C7270" w:rsidRPr="001C7270" w:rsidRDefault="001C7270" w:rsidP="001C7270">
      <w:pPr>
        <w:pStyle w:val="NoSpacing"/>
        <w:ind w:left="720"/>
        <w:rPr>
          <w:rFonts w:ascii="Times New Roman" w:hAnsi="Times New Roman"/>
          <w:bCs/>
          <w:sz w:val="24"/>
          <w:szCs w:val="24"/>
        </w:rPr>
      </w:pPr>
      <w:r w:rsidRPr="001C7270">
        <w:rPr>
          <w:rFonts w:ascii="Times New Roman" w:hAnsi="Times New Roman"/>
          <w:sz w:val="24"/>
          <w:szCs w:val="24"/>
        </w:rPr>
        <w:t>regarding the promotion policy 11 A-0448-23.In giving plaintiff every reasonable inference of fact, as we must, we are satisfied plaintiff has presented sufficient facts to support its cause of action. Therefore, we vacate the order of dismissal.”</w:t>
      </w:r>
    </w:p>
    <w:p w14:paraId="4DA5E4B6" w14:textId="77777777" w:rsidR="001C7270" w:rsidRPr="001C7270" w:rsidRDefault="001C7270" w:rsidP="001C7270">
      <w:pPr>
        <w:pStyle w:val="NoSpacing"/>
        <w:ind w:left="720"/>
        <w:rPr>
          <w:rFonts w:ascii="Times New Roman" w:hAnsi="Times New Roman"/>
          <w:bCs/>
          <w:sz w:val="24"/>
          <w:szCs w:val="24"/>
        </w:rPr>
      </w:pPr>
    </w:p>
    <w:p w14:paraId="7043F2C1" w14:textId="77777777" w:rsidR="001C7270" w:rsidRPr="001C7270" w:rsidRDefault="001C7270" w:rsidP="001C7270">
      <w:pPr>
        <w:pStyle w:val="NoSpacing"/>
        <w:rPr>
          <w:rFonts w:ascii="Times New Roman" w:hAnsi="Times New Roman"/>
          <w:b/>
          <w:sz w:val="24"/>
          <w:szCs w:val="24"/>
        </w:rPr>
      </w:pPr>
      <w:r w:rsidRPr="001C7270">
        <w:rPr>
          <w:rFonts w:ascii="Times New Roman" w:hAnsi="Times New Roman"/>
          <w:b/>
          <w:sz w:val="24"/>
          <w:szCs w:val="24"/>
        </w:rPr>
        <w:t xml:space="preserve">Legal Lesson Learned: Delaying a promotion while firefighter heals from a broken foot seems unfair and illogical; pre-trial discovery will proceed. </w:t>
      </w:r>
    </w:p>
    <w:p w14:paraId="79C4D1BE" w14:textId="77777777" w:rsidR="001C7270" w:rsidRDefault="001C7270" w:rsidP="001C7270">
      <w:pPr>
        <w:rPr>
          <w:bCs/>
        </w:rPr>
      </w:pPr>
    </w:p>
    <w:p w14:paraId="4F96A9EE" w14:textId="77777777" w:rsidR="002077DA" w:rsidRDefault="002077DA" w:rsidP="005C30A4">
      <w:pPr>
        <w:pStyle w:val="NoSpacing"/>
        <w:rPr>
          <w:rFonts w:ascii="Arial Black" w:hAnsi="Arial Black"/>
          <w:sz w:val="24"/>
          <w:szCs w:val="24"/>
        </w:rPr>
      </w:pPr>
    </w:p>
    <w:p w14:paraId="7E4341EF" w14:textId="77777777" w:rsidR="002077DA" w:rsidRDefault="002077DA" w:rsidP="005C30A4">
      <w:pPr>
        <w:pStyle w:val="NoSpacing"/>
        <w:rPr>
          <w:rFonts w:ascii="Arial Black" w:hAnsi="Arial Black"/>
          <w:sz w:val="24"/>
          <w:szCs w:val="24"/>
        </w:rPr>
      </w:pPr>
    </w:p>
    <w:p w14:paraId="40779BBC" w14:textId="6201E88D" w:rsidR="008C116F" w:rsidRDefault="008C116F" w:rsidP="005C30A4">
      <w:pPr>
        <w:pStyle w:val="NoSpacing"/>
        <w:rPr>
          <w:rFonts w:ascii="Arial Black" w:hAnsi="Arial Black"/>
          <w:sz w:val="24"/>
          <w:szCs w:val="24"/>
        </w:rPr>
      </w:pPr>
      <w:r>
        <w:rPr>
          <w:rFonts w:ascii="Arial Black" w:hAnsi="Arial Black"/>
          <w:sz w:val="24"/>
          <w:szCs w:val="24"/>
        </w:rPr>
        <w:t>9-48</w:t>
      </w:r>
    </w:p>
    <w:p w14:paraId="2C0785E8" w14:textId="3D391069" w:rsidR="00034C75" w:rsidRDefault="00034C75" w:rsidP="00034C75">
      <w:pPr>
        <w:rPr>
          <w:rFonts w:ascii="Arial Black" w:hAnsi="Arial Black"/>
          <w:sz w:val="28"/>
          <w:szCs w:val="28"/>
        </w:rPr>
      </w:pPr>
      <w:r>
        <w:rPr>
          <w:rFonts w:ascii="Arial Black" w:hAnsi="Arial Black"/>
          <w:sz w:val="28"/>
          <w:szCs w:val="28"/>
        </w:rPr>
        <w:t xml:space="preserve">MA: NO ADA VIOL. - DOG BITE NOT “DISABILITY” - PROB. FF TERMINATED – FAILED SCBA AT TRAINING ACADEMY </w:t>
      </w:r>
    </w:p>
    <w:p w14:paraId="43E91DFD" w14:textId="77777777" w:rsidR="008C116F" w:rsidRPr="0066724F" w:rsidRDefault="008C116F" w:rsidP="008C116F">
      <w:pPr>
        <w:rPr>
          <w:rFonts w:ascii="Times New Roman" w:hAnsi="Times New Roman"/>
          <w:sz w:val="24"/>
          <w:szCs w:val="24"/>
        </w:rPr>
      </w:pPr>
      <w:r w:rsidRPr="0066724F">
        <w:rPr>
          <w:rFonts w:ascii="Times New Roman" w:hAnsi="Times New Roman"/>
          <w:sz w:val="24"/>
          <w:szCs w:val="24"/>
        </w:rPr>
        <w:t xml:space="preserve">On Nov. 21, 2024, in </w:t>
      </w:r>
      <w:r w:rsidRPr="0066724F">
        <w:rPr>
          <w:rFonts w:ascii="Times New Roman" w:hAnsi="Times New Roman"/>
          <w:sz w:val="24"/>
          <w:szCs w:val="24"/>
          <w:u w:val="single"/>
        </w:rPr>
        <w:t>James Fitzgerald v. City of Lawrence, et al</w:t>
      </w:r>
      <w:r w:rsidRPr="0066724F">
        <w:rPr>
          <w:rFonts w:ascii="Times New Roman" w:hAnsi="Times New Roman"/>
          <w:sz w:val="24"/>
          <w:szCs w:val="24"/>
        </w:rPr>
        <w:t xml:space="preserve">., United States Magistrate Judge Jennifer C. Boal, U.S. District Court for the District of Massachusetts, granted the City’s motion for summary judgment.  The Court wrote: “Fitzgerald argues that the puncture wound and resulting infection arising from the October 13, </w:t>
      </w:r>
      <w:proofErr w:type="gramStart"/>
      <w:r w:rsidRPr="0066724F">
        <w:rPr>
          <w:rFonts w:ascii="Times New Roman" w:hAnsi="Times New Roman"/>
          <w:sz w:val="24"/>
          <w:szCs w:val="24"/>
        </w:rPr>
        <w:t>2019</w:t>
      </w:r>
      <w:proofErr w:type="gramEnd"/>
      <w:r w:rsidRPr="0066724F">
        <w:rPr>
          <w:rFonts w:ascii="Times New Roman" w:hAnsi="Times New Roman"/>
          <w:sz w:val="24"/>
          <w:szCs w:val="24"/>
        </w:rPr>
        <w:t xml:space="preserve"> dog bite constituted an actual disability because they affected several major life activities, including the bending of his wrist and fingers, lifting, dressing himself, and carrying out household tasks such as cooking and laundry….  According to his own testimony, however, such limitations lasted, at most, three months…. In addition, it is undisputed that Fitzgerald was cleared to work without any restrictions after only fifteen days….  Given this record, therefore, no reasonable jury could conclude that Fitzgerald's puncture wound and resulting infection constituted an actual disability under the ADA or Chapter 151B.” </w:t>
      </w:r>
      <w:hyperlink r:id="rId1631" w:history="1">
        <w:r w:rsidRPr="0066724F">
          <w:rPr>
            <w:rStyle w:val="Hyperlink"/>
            <w:rFonts w:ascii="Times New Roman" w:hAnsi="Times New Roman"/>
            <w:sz w:val="24"/>
            <w:szCs w:val="24"/>
          </w:rPr>
          <w:t>https://casetext.com/case/fitzgerald-v-city-of-lawrence</w:t>
        </w:r>
      </w:hyperlink>
      <w:r w:rsidRPr="0066724F">
        <w:rPr>
          <w:rFonts w:ascii="Times New Roman" w:hAnsi="Times New Roman"/>
          <w:sz w:val="24"/>
          <w:szCs w:val="24"/>
        </w:rPr>
        <w:t xml:space="preserve"> </w:t>
      </w:r>
    </w:p>
    <w:p w14:paraId="3AD3F489" w14:textId="77777777" w:rsidR="00516941" w:rsidRPr="0066724F" w:rsidRDefault="00516941" w:rsidP="00516941">
      <w:pPr>
        <w:rPr>
          <w:rFonts w:ascii="Times New Roman" w:hAnsi="Times New Roman"/>
          <w:b/>
          <w:bCs/>
          <w:sz w:val="24"/>
          <w:szCs w:val="24"/>
        </w:rPr>
      </w:pPr>
      <w:r w:rsidRPr="0066724F">
        <w:rPr>
          <w:rFonts w:ascii="Times New Roman" w:hAnsi="Times New Roman"/>
          <w:b/>
          <w:sz w:val="24"/>
          <w:szCs w:val="24"/>
        </w:rPr>
        <w:t>Legal Lesson Learned: Poor performance at State Training Academy led to his termination.</w:t>
      </w:r>
    </w:p>
    <w:p w14:paraId="7059071B" w14:textId="77777777" w:rsidR="00516941" w:rsidRDefault="00516941" w:rsidP="00516941">
      <w:pPr>
        <w:pStyle w:val="NoSpacing"/>
        <w:rPr>
          <w:bCs/>
          <w:sz w:val="20"/>
          <w:szCs w:val="20"/>
        </w:rPr>
      </w:pPr>
    </w:p>
    <w:p w14:paraId="331C01F0" w14:textId="77777777" w:rsidR="008C116F" w:rsidRDefault="008C116F" w:rsidP="005C30A4">
      <w:pPr>
        <w:pStyle w:val="NoSpacing"/>
        <w:rPr>
          <w:rFonts w:ascii="Arial Black" w:hAnsi="Arial Black"/>
          <w:sz w:val="24"/>
          <w:szCs w:val="24"/>
        </w:rPr>
      </w:pPr>
    </w:p>
    <w:p w14:paraId="20FE2856" w14:textId="77777777" w:rsidR="008C116F" w:rsidRDefault="008C116F" w:rsidP="005C30A4">
      <w:pPr>
        <w:pStyle w:val="NoSpacing"/>
        <w:rPr>
          <w:rFonts w:ascii="Arial Black" w:hAnsi="Arial Black"/>
          <w:sz w:val="24"/>
          <w:szCs w:val="24"/>
        </w:rPr>
      </w:pPr>
    </w:p>
    <w:p w14:paraId="257F2B7B" w14:textId="77777777" w:rsidR="008C116F" w:rsidRDefault="008C116F" w:rsidP="005C30A4">
      <w:pPr>
        <w:pStyle w:val="NoSpacing"/>
        <w:rPr>
          <w:rFonts w:ascii="Arial Black" w:hAnsi="Arial Black"/>
          <w:sz w:val="24"/>
          <w:szCs w:val="24"/>
        </w:rPr>
      </w:pPr>
    </w:p>
    <w:p w14:paraId="6CCE7397" w14:textId="515E30B3" w:rsidR="00E43890" w:rsidRDefault="00E43890" w:rsidP="005C30A4">
      <w:pPr>
        <w:pStyle w:val="NoSpacing"/>
        <w:rPr>
          <w:rFonts w:ascii="Arial Black" w:hAnsi="Arial Black"/>
          <w:sz w:val="24"/>
          <w:szCs w:val="24"/>
        </w:rPr>
      </w:pPr>
      <w:r>
        <w:rPr>
          <w:rFonts w:ascii="Arial Black" w:hAnsi="Arial Black"/>
          <w:sz w:val="24"/>
          <w:szCs w:val="24"/>
        </w:rPr>
        <w:t>9-47</w:t>
      </w:r>
    </w:p>
    <w:p w14:paraId="6299F266" w14:textId="77777777" w:rsidR="00E43890" w:rsidRDefault="00E43890" w:rsidP="005C30A4">
      <w:pPr>
        <w:pStyle w:val="NoSpacing"/>
        <w:rPr>
          <w:rFonts w:ascii="Arial Black" w:hAnsi="Arial Black"/>
          <w:sz w:val="24"/>
          <w:szCs w:val="24"/>
        </w:rPr>
      </w:pPr>
    </w:p>
    <w:p w14:paraId="3D784247" w14:textId="77777777" w:rsidR="00E43890" w:rsidRPr="00B54163" w:rsidRDefault="00E43890" w:rsidP="00E43890">
      <w:pPr>
        <w:pStyle w:val="NoSpacing"/>
        <w:rPr>
          <w:rFonts w:ascii="Times New Roman" w:hAnsi="Times New Roman"/>
          <w:b/>
          <w:bCs/>
          <w:sz w:val="24"/>
          <w:szCs w:val="24"/>
        </w:rPr>
      </w:pPr>
      <w:r w:rsidRPr="00B54163">
        <w:rPr>
          <w:rFonts w:ascii="Times New Roman" w:hAnsi="Times New Roman"/>
          <w:b/>
          <w:bCs/>
          <w:sz w:val="24"/>
          <w:szCs w:val="24"/>
        </w:rPr>
        <w:t>CT: FF DISPUTE - PUT BOTH HANDS AROUND CO-WORKERS NECK – FIRED – NO ADA ACCOMODATION REQUIRED</w:t>
      </w:r>
    </w:p>
    <w:p w14:paraId="49936F77" w14:textId="77777777" w:rsidR="00E43890" w:rsidRPr="00B54163" w:rsidRDefault="00E43890" w:rsidP="00E43890">
      <w:pPr>
        <w:pStyle w:val="NoSpacing"/>
        <w:rPr>
          <w:rFonts w:ascii="Times New Roman" w:hAnsi="Times New Roman"/>
          <w:sz w:val="24"/>
          <w:szCs w:val="24"/>
        </w:rPr>
      </w:pPr>
    </w:p>
    <w:p w14:paraId="3828019F" w14:textId="77777777" w:rsidR="00E43890" w:rsidRPr="00B54163" w:rsidRDefault="00E43890" w:rsidP="00E43890">
      <w:pPr>
        <w:pStyle w:val="NoSpacing"/>
        <w:rPr>
          <w:rFonts w:ascii="Times New Roman" w:hAnsi="Times New Roman"/>
          <w:sz w:val="24"/>
          <w:szCs w:val="24"/>
        </w:rPr>
      </w:pPr>
      <w:r w:rsidRPr="00B54163">
        <w:rPr>
          <w:rFonts w:ascii="Times New Roman" w:hAnsi="Times New Roman"/>
          <w:sz w:val="24"/>
          <w:szCs w:val="24"/>
        </w:rPr>
        <w:t xml:space="preserve">On Sept. 16, 2024, in </w:t>
      </w:r>
      <w:r w:rsidRPr="00B54163">
        <w:rPr>
          <w:rFonts w:ascii="Times New Roman" w:hAnsi="Times New Roman"/>
          <w:sz w:val="24"/>
          <w:szCs w:val="24"/>
          <w:u w:val="single"/>
        </w:rPr>
        <w:t>Maurice Remillard v. Department of the Navy, the United States Merit System Protection Board</w:t>
      </w:r>
      <w:r w:rsidRPr="00B54163">
        <w:rPr>
          <w:rFonts w:ascii="Times New Roman" w:hAnsi="Times New Roman"/>
          <w:sz w:val="24"/>
          <w:szCs w:val="24"/>
        </w:rPr>
        <w:t xml:space="preserve"> (Washington, D.C.) held (3 to 0’ nonprecedential order): “The appellant has filed a petition for review of the initial decision, which affirmed the agency’s removal decision. *** After fully considering the filings in this appeal, we conclude that the petitioner</w:t>
      </w:r>
    </w:p>
    <w:p w14:paraId="71D2FEFC" w14:textId="77777777" w:rsidR="00E43890" w:rsidRPr="00B54163" w:rsidRDefault="00E43890" w:rsidP="00E43890">
      <w:pPr>
        <w:pStyle w:val="NoSpacing"/>
        <w:rPr>
          <w:rFonts w:ascii="Times New Roman" w:hAnsi="Times New Roman"/>
          <w:sz w:val="24"/>
          <w:szCs w:val="24"/>
        </w:rPr>
      </w:pPr>
      <w:r w:rsidRPr="00B54163">
        <w:rPr>
          <w:rFonts w:ascii="Times New Roman" w:hAnsi="Times New Roman"/>
          <w:sz w:val="24"/>
          <w:szCs w:val="24"/>
        </w:rPr>
        <w:t>has not established any basis under section 1201.115 for granting the petition for review. Therefore, we DENY the petition for review. Except as expressly MODIFIED to clearly state that the appellant was not a qualified individual with a disability and supplement the analysis of this finding, and to VACATE the administrative judge’s alternative basis for concluding that the appellant failed to prove that the agency denied him reasonable accommodation, we AFFIRM the</w:t>
      </w:r>
    </w:p>
    <w:p w14:paraId="468CFBAA" w14:textId="77777777" w:rsidR="00E43890" w:rsidRPr="00B54163" w:rsidRDefault="00E43890" w:rsidP="00E43890">
      <w:pPr>
        <w:pStyle w:val="NoSpacing"/>
        <w:rPr>
          <w:rFonts w:ascii="Times New Roman" w:hAnsi="Times New Roman"/>
          <w:sz w:val="24"/>
          <w:szCs w:val="24"/>
        </w:rPr>
      </w:pPr>
      <w:r w:rsidRPr="00B54163">
        <w:rPr>
          <w:rFonts w:ascii="Times New Roman" w:hAnsi="Times New Roman"/>
          <w:sz w:val="24"/>
          <w:szCs w:val="24"/>
        </w:rPr>
        <w:t>initial decision.”</w:t>
      </w:r>
    </w:p>
    <w:p w14:paraId="4463A330" w14:textId="299F74D0" w:rsidR="00E43890" w:rsidRPr="00B54163" w:rsidRDefault="00E43890" w:rsidP="00E43890">
      <w:pPr>
        <w:pStyle w:val="NoSpacing"/>
        <w:rPr>
          <w:rStyle w:val="Hyperlink"/>
          <w:rFonts w:ascii="Times New Roman" w:hAnsi="Times New Roman"/>
          <w:sz w:val="24"/>
          <w:szCs w:val="24"/>
        </w:rPr>
      </w:pPr>
      <w:hyperlink r:id="rId1632" w:history="1">
        <w:r w:rsidRPr="00B54163">
          <w:rPr>
            <w:rStyle w:val="Hyperlink"/>
            <w:rFonts w:ascii="Times New Roman" w:hAnsi="Times New Roman"/>
            <w:sz w:val="24"/>
            <w:szCs w:val="24"/>
          </w:rPr>
          <w:t>https://www.mspb.gov/decisions/nonprecedential/Remillard_MauricePH-0752-20-0259-I-1_Final_Order.pdf</w:t>
        </w:r>
      </w:hyperlink>
    </w:p>
    <w:p w14:paraId="585CA981" w14:textId="77777777" w:rsidR="00B54163" w:rsidRPr="00B54163" w:rsidRDefault="00B54163" w:rsidP="00E43890">
      <w:pPr>
        <w:pStyle w:val="NoSpacing"/>
        <w:rPr>
          <w:rStyle w:val="Hyperlink"/>
          <w:rFonts w:ascii="Times New Roman" w:hAnsi="Times New Roman"/>
          <w:sz w:val="24"/>
          <w:szCs w:val="24"/>
        </w:rPr>
      </w:pPr>
    </w:p>
    <w:p w14:paraId="2D85317B" w14:textId="77777777" w:rsidR="00B54163" w:rsidRPr="00B54163" w:rsidRDefault="00B54163" w:rsidP="00B54163">
      <w:pPr>
        <w:pStyle w:val="NoSpacing"/>
        <w:rPr>
          <w:rFonts w:ascii="Times New Roman" w:hAnsi="Times New Roman"/>
          <w:b/>
          <w:bCs/>
          <w:sz w:val="24"/>
          <w:szCs w:val="24"/>
        </w:rPr>
      </w:pPr>
      <w:r w:rsidRPr="00B54163">
        <w:rPr>
          <w:rFonts w:ascii="Times New Roman" w:hAnsi="Times New Roman"/>
          <w:b/>
          <w:sz w:val="24"/>
          <w:szCs w:val="24"/>
        </w:rPr>
        <w:t xml:space="preserve">Legal Lesson Learned: The firefighter failed to prove that his anxiety was so severe to constitute a disability under ADA. </w:t>
      </w:r>
    </w:p>
    <w:p w14:paraId="1E0128C1" w14:textId="77777777" w:rsidR="00B54163" w:rsidRDefault="00B54163" w:rsidP="00E43890">
      <w:pPr>
        <w:pStyle w:val="NoSpacing"/>
        <w:rPr>
          <w:rFonts w:ascii="Arial Black" w:hAnsi="Arial Black"/>
          <w:sz w:val="24"/>
          <w:szCs w:val="24"/>
        </w:rPr>
      </w:pPr>
    </w:p>
    <w:p w14:paraId="640E99FD" w14:textId="77777777" w:rsidR="00E43890" w:rsidRDefault="00E43890" w:rsidP="005C30A4">
      <w:pPr>
        <w:pStyle w:val="NoSpacing"/>
        <w:rPr>
          <w:rFonts w:ascii="Arial Black" w:hAnsi="Arial Black"/>
          <w:sz w:val="24"/>
          <w:szCs w:val="24"/>
        </w:rPr>
      </w:pPr>
    </w:p>
    <w:p w14:paraId="05B7B4F7" w14:textId="4735551A" w:rsidR="005E497B" w:rsidRDefault="005E497B" w:rsidP="005C30A4">
      <w:pPr>
        <w:pStyle w:val="NoSpacing"/>
        <w:rPr>
          <w:rFonts w:ascii="Arial Black" w:hAnsi="Arial Black"/>
          <w:sz w:val="24"/>
          <w:szCs w:val="24"/>
        </w:rPr>
      </w:pPr>
      <w:r>
        <w:rPr>
          <w:rFonts w:ascii="Arial Black" w:hAnsi="Arial Black"/>
          <w:sz w:val="24"/>
          <w:szCs w:val="24"/>
        </w:rPr>
        <w:t>9-46</w:t>
      </w:r>
    </w:p>
    <w:p w14:paraId="63576432" w14:textId="77777777" w:rsidR="00213946" w:rsidRDefault="00213946" w:rsidP="005C30A4">
      <w:pPr>
        <w:pStyle w:val="NoSpacing"/>
        <w:rPr>
          <w:rFonts w:ascii="Arial Black" w:hAnsi="Arial Black"/>
          <w:sz w:val="24"/>
          <w:szCs w:val="24"/>
        </w:rPr>
      </w:pPr>
    </w:p>
    <w:p w14:paraId="3AF55B4A" w14:textId="77777777" w:rsidR="00213946" w:rsidRPr="00BF002D" w:rsidRDefault="00213946" w:rsidP="00213946">
      <w:pPr>
        <w:rPr>
          <w:rFonts w:ascii="Arial Black" w:hAnsi="Arial Black"/>
          <w:b/>
          <w:bCs/>
          <w:sz w:val="28"/>
        </w:rPr>
      </w:pPr>
      <w:r>
        <w:rPr>
          <w:rFonts w:ascii="Arial Black" w:hAnsi="Arial Black"/>
          <w:b/>
          <w:bCs/>
          <w:sz w:val="28"/>
        </w:rPr>
        <w:t xml:space="preserve">U.S. SUP. CT: WILL HEAR APPEAL - FF WITH PARKINSON’S – RETIRED LESS 25 YRS - CITY INSUR. SUDSIDY ONLY 2 YRS </w:t>
      </w:r>
    </w:p>
    <w:p w14:paraId="71BBF4B4" w14:textId="77777777" w:rsidR="00213946" w:rsidRPr="00213946" w:rsidRDefault="00213946" w:rsidP="00213946">
      <w:pPr>
        <w:rPr>
          <w:rFonts w:ascii="Times New Roman" w:hAnsi="Times New Roman"/>
          <w:sz w:val="24"/>
          <w:szCs w:val="24"/>
        </w:rPr>
      </w:pPr>
      <w:r w:rsidRPr="00213946">
        <w:rPr>
          <w:rFonts w:ascii="Times New Roman" w:hAnsi="Times New Roman"/>
          <w:sz w:val="24"/>
          <w:szCs w:val="24"/>
        </w:rPr>
        <w:t xml:space="preserve">On June 24, 2024, in </w:t>
      </w:r>
      <w:r w:rsidRPr="00213946">
        <w:rPr>
          <w:rFonts w:ascii="Times New Roman" w:hAnsi="Times New Roman"/>
          <w:sz w:val="24"/>
          <w:szCs w:val="24"/>
          <w:u w:val="single"/>
        </w:rPr>
        <w:t>Karyn Stanley v. City of Sanford, Florida</w:t>
      </w:r>
      <w:r w:rsidRPr="00213946">
        <w:rPr>
          <w:rFonts w:ascii="Times New Roman" w:hAnsi="Times New Roman"/>
          <w:sz w:val="24"/>
          <w:szCs w:val="24"/>
        </w:rPr>
        <w:t xml:space="preserve">, the U.S. Supreme Court agreed to hear the appeal of the retired firefighter (this required votes of at least 4 of 9 Justices). </w:t>
      </w:r>
      <w:hyperlink r:id="rId1633" w:history="1">
        <w:r w:rsidRPr="00213946">
          <w:rPr>
            <w:rStyle w:val="Hyperlink"/>
            <w:rFonts w:ascii="Times New Roman" w:hAnsi="Times New Roman"/>
            <w:sz w:val="24"/>
            <w:szCs w:val="24"/>
          </w:rPr>
          <w:t>https://www.scotusblog.com/2024/06/court-adds-seven-cases-to-next-terms-docket/</w:t>
        </w:r>
      </w:hyperlink>
      <w:r w:rsidRPr="00213946">
        <w:rPr>
          <w:rFonts w:ascii="Times New Roman" w:hAnsi="Times New Roman"/>
          <w:sz w:val="24"/>
          <w:szCs w:val="24"/>
        </w:rPr>
        <w:t xml:space="preserve">. In 2003 the City </w:t>
      </w:r>
      <w:proofErr w:type="gramStart"/>
      <w:r w:rsidRPr="00213946">
        <w:rPr>
          <w:rFonts w:ascii="Times New Roman" w:hAnsi="Times New Roman"/>
          <w:sz w:val="24"/>
          <w:szCs w:val="24"/>
        </w:rPr>
        <w:t>in order to</w:t>
      </w:r>
      <w:proofErr w:type="gramEnd"/>
      <w:r w:rsidRPr="00213946">
        <w:rPr>
          <w:rFonts w:ascii="Times New Roman" w:hAnsi="Times New Roman"/>
          <w:sz w:val="24"/>
          <w:szCs w:val="24"/>
        </w:rPr>
        <w:t xml:space="preserve"> save money stopped paying retirees health insurance subsidy until age 65, unless the employee had 25 years of service, but if retired on disability they would pay for two years ($24,000 paid to plaintiff).   Under former City ordinance when she was hired in 1999, she would have received $216,000 in subsidy.   The plaintiff loss in U.S. District Court and in the 11</w:t>
      </w:r>
      <w:r w:rsidRPr="00213946">
        <w:rPr>
          <w:rFonts w:ascii="Times New Roman" w:hAnsi="Times New Roman"/>
          <w:sz w:val="24"/>
          <w:szCs w:val="24"/>
          <w:vertAlign w:val="superscript"/>
        </w:rPr>
        <w:t>th</w:t>
      </w:r>
      <w:r w:rsidRPr="00213946">
        <w:rPr>
          <w:rFonts w:ascii="Times New Roman" w:hAnsi="Times New Roman"/>
          <w:sz w:val="24"/>
          <w:szCs w:val="24"/>
        </w:rPr>
        <w:t xml:space="preserve"> Circuit, but U.S. Supreme Court may seek to resolve issue of whether a “former” employee is a “qualified individual” under ADA for loss of benefits (NO in 6</w:t>
      </w:r>
      <w:r w:rsidRPr="00213946">
        <w:rPr>
          <w:rFonts w:ascii="Times New Roman" w:hAnsi="Times New Roman"/>
          <w:sz w:val="24"/>
          <w:szCs w:val="24"/>
          <w:vertAlign w:val="superscript"/>
        </w:rPr>
        <w:t>th</w:t>
      </w:r>
      <w:r w:rsidRPr="00213946">
        <w:rPr>
          <w:rFonts w:ascii="Times New Roman" w:hAnsi="Times New Roman"/>
          <w:sz w:val="24"/>
          <w:szCs w:val="24"/>
        </w:rPr>
        <w:t>, 7</w:t>
      </w:r>
      <w:r w:rsidRPr="00213946">
        <w:rPr>
          <w:rFonts w:ascii="Times New Roman" w:hAnsi="Times New Roman"/>
          <w:sz w:val="24"/>
          <w:szCs w:val="24"/>
          <w:vertAlign w:val="superscript"/>
        </w:rPr>
        <w:t>th</w:t>
      </w:r>
      <w:r w:rsidRPr="00213946">
        <w:rPr>
          <w:rFonts w:ascii="Times New Roman" w:hAnsi="Times New Roman"/>
          <w:sz w:val="24"/>
          <w:szCs w:val="24"/>
        </w:rPr>
        <w:t>, 9</w:t>
      </w:r>
      <w:r w:rsidRPr="00213946">
        <w:rPr>
          <w:rFonts w:ascii="Times New Roman" w:hAnsi="Times New Roman"/>
          <w:sz w:val="24"/>
          <w:szCs w:val="24"/>
          <w:vertAlign w:val="superscript"/>
        </w:rPr>
        <w:t>th</w:t>
      </w:r>
      <w:r w:rsidRPr="00213946">
        <w:rPr>
          <w:rFonts w:ascii="Times New Roman" w:hAnsi="Times New Roman"/>
          <w:sz w:val="24"/>
          <w:szCs w:val="24"/>
        </w:rPr>
        <w:t>, 11</w:t>
      </w:r>
      <w:r w:rsidRPr="00213946">
        <w:rPr>
          <w:rFonts w:ascii="Times New Roman" w:hAnsi="Times New Roman"/>
          <w:sz w:val="24"/>
          <w:szCs w:val="24"/>
          <w:vertAlign w:val="superscript"/>
        </w:rPr>
        <w:t>th</w:t>
      </w:r>
      <w:r w:rsidRPr="00213946">
        <w:rPr>
          <w:rFonts w:ascii="Times New Roman" w:hAnsi="Times New Roman"/>
          <w:sz w:val="24"/>
          <w:szCs w:val="24"/>
        </w:rPr>
        <w:t xml:space="preserve"> Circuits; Yes in 2</w:t>
      </w:r>
      <w:r w:rsidRPr="00213946">
        <w:rPr>
          <w:rFonts w:ascii="Times New Roman" w:hAnsi="Times New Roman"/>
          <w:sz w:val="24"/>
          <w:szCs w:val="24"/>
          <w:vertAlign w:val="superscript"/>
        </w:rPr>
        <w:t>nd</w:t>
      </w:r>
      <w:r w:rsidRPr="00213946">
        <w:rPr>
          <w:rFonts w:ascii="Times New Roman" w:hAnsi="Times New Roman"/>
          <w:sz w:val="24"/>
          <w:szCs w:val="24"/>
        </w:rPr>
        <w:t xml:space="preserve"> and 3</w:t>
      </w:r>
      <w:r w:rsidRPr="00213946">
        <w:rPr>
          <w:rFonts w:ascii="Times New Roman" w:hAnsi="Times New Roman"/>
          <w:sz w:val="24"/>
          <w:szCs w:val="24"/>
          <w:vertAlign w:val="superscript"/>
        </w:rPr>
        <w:t>rd</w:t>
      </w:r>
      <w:r w:rsidRPr="00213946">
        <w:rPr>
          <w:rFonts w:ascii="Times New Roman" w:hAnsi="Times New Roman"/>
          <w:sz w:val="24"/>
          <w:szCs w:val="24"/>
        </w:rPr>
        <w:t xml:space="preserve"> Circuits).   </w:t>
      </w:r>
    </w:p>
    <w:p w14:paraId="52A7A0E4"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 xml:space="preserve">“In </w:t>
      </w:r>
      <w:hyperlink r:id="rId1634" w:history="1">
        <w:r w:rsidRPr="00213946">
          <w:rPr>
            <w:rStyle w:val="Hyperlink"/>
            <w:rFonts w:ascii="Times New Roman" w:hAnsi="Times New Roman"/>
            <w:i/>
            <w:iCs/>
            <w:sz w:val="24"/>
            <w:szCs w:val="24"/>
          </w:rPr>
          <w:t>Stanley v. City of Sanford, Fla.</w:t>
        </w:r>
      </w:hyperlink>
      <w:r w:rsidRPr="00213946">
        <w:rPr>
          <w:rFonts w:ascii="Times New Roman" w:hAnsi="Times New Roman"/>
          <w:sz w:val="24"/>
          <w:szCs w:val="24"/>
        </w:rPr>
        <w:t xml:space="preserve">, the justices will consider a question arising under the Americans with Disabilities Act: Does a former employee lose her right to sue over discrimination in the provision of benefits that she earned while she was employed? The question comes to the court in the case of Karyn Stanley, who worked as a firefighter for the city of Sanford, Fla., for more than two decades before Parkinson’s disease forced her to retire. She filed a lawsuit under the ADA alleging that the city’s benefits policy discriminated against disabled retirees, but the U.S. Court of Appeals for the 11th Circuit ruled that she was not a ‘qualified individual’ protected by the ADA because she was not currently employed by the city.”  </w:t>
      </w:r>
    </w:p>
    <w:p w14:paraId="03D41C47" w14:textId="77777777" w:rsidR="00213946" w:rsidRPr="00213946" w:rsidRDefault="00213946" w:rsidP="00213946">
      <w:pPr>
        <w:rPr>
          <w:rFonts w:ascii="Times New Roman" w:hAnsi="Times New Roman"/>
          <w:b/>
          <w:bCs/>
          <w:sz w:val="24"/>
          <w:szCs w:val="24"/>
        </w:rPr>
      </w:pPr>
      <w:r w:rsidRPr="00213946">
        <w:rPr>
          <w:rFonts w:ascii="Times New Roman" w:hAnsi="Times New Roman"/>
          <w:b/>
          <w:bCs/>
          <w:sz w:val="24"/>
          <w:szCs w:val="24"/>
        </w:rPr>
        <w:t>THE 11</w:t>
      </w:r>
      <w:r w:rsidRPr="00213946">
        <w:rPr>
          <w:rFonts w:ascii="Times New Roman" w:hAnsi="Times New Roman"/>
          <w:b/>
          <w:bCs/>
          <w:sz w:val="24"/>
          <w:szCs w:val="24"/>
          <w:vertAlign w:val="superscript"/>
        </w:rPr>
        <w:t>TH</w:t>
      </w:r>
      <w:r w:rsidRPr="00213946">
        <w:rPr>
          <w:rFonts w:ascii="Times New Roman" w:hAnsi="Times New Roman"/>
          <w:b/>
          <w:bCs/>
          <w:sz w:val="24"/>
          <w:szCs w:val="24"/>
        </w:rPr>
        <w:t xml:space="preserve"> CIRCUIT DECISION (Oct. 11, 2023): </w:t>
      </w:r>
      <w:hyperlink r:id="rId1635" w:history="1">
        <w:r w:rsidRPr="00213946">
          <w:rPr>
            <w:rStyle w:val="Hyperlink"/>
            <w:rFonts w:ascii="Times New Roman" w:hAnsi="Times New Roman"/>
            <w:b/>
            <w:bCs/>
            <w:sz w:val="24"/>
            <w:szCs w:val="24"/>
          </w:rPr>
          <w:t>https://caselaw.findlaw.com/court/us-11th-circuit/115273034.html</w:t>
        </w:r>
      </w:hyperlink>
      <w:r w:rsidRPr="00213946">
        <w:rPr>
          <w:rFonts w:ascii="Times New Roman" w:hAnsi="Times New Roman"/>
          <w:b/>
          <w:bCs/>
          <w:sz w:val="24"/>
          <w:szCs w:val="24"/>
        </w:rPr>
        <w:t xml:space="preserve"> </w:t>
      </w:r>
    </w:p>
    <w:p w14:paraId="7B4D9446" w14:textId="77777777" w:rsidR="00213946" w:rsidRPr="00213946" w:rsidRDefault="00213946" w:rsidP="00213946">
      <w:pPr>
        <w:ind w:left="720"/>
        <w:rPr>
          <w:rFonts w:ascii="Times New Roman" w:hAnsi="Times New Roman"/>
          <w:sz w:val="24"/>
          <w:szCs w:val="24"/>
        </w:rPr>
      </w:pPr>
      <w:r w:rsidRPr="00213946">
        <w:rPr>
          <w:rFonts w:ascii="Times New Roman" w:hAnsi="Times New Roman"/>
          <w:b/>
          <w:bCs/>
          <w:sz w:val="24"/>
          <w:szCs w:val="24"/>
        </w:rPr>
        <w:t>“</w:t>
      </w:r>
      <w:r w:rsidRPr="00213946">
        <w:rPr>
          <w:rFonts w:ascii="Times New Roman" w:hAnsi="Times New Roman"/>
          <w:sz w:val="24"/>
          <w:szCs w:val="24"/>
        </w:rPr>
        <w:t xml:space="preserve">When Stanley retired, she continued to receive free health insurance through the City. Under a policy in effect when Stanley first joined the fire department, employees retiring for qualifying disability reasons, such as Stanley's Parkinson's disease, received free health insurance until the age of 65. But, unbeknownst to Stanley, the </w:t>
      </w:r>
      <w:proofErr w:type="gramStart"/>
      <w:r w:rsidRPr="00213946">
        <w:rPr>
          <w:rFonts w:ascii="Times New Roman" w:hAnsi="Times New Roman"/>
          <w:sz w:val="24"/>
          <w:szCs w:val="24"/>
        </w:rPr>
        <w:t>City</w:t>
      </w:r>
      <w:proofErr w:type="gramEnd"/>
      <w:r w:rsidRPr="00213946">
        <w:rPr>
          <w:rFonts w:ascii="Times New Roman" w:hAnsi="Times New Roman"/>
          <w:sz w:val="24"/>
          <w:szCs w:val="24"/>
        </w:rPr>
        <w:t xml:space="preserve"> changed its benefits plan in 2003. Under the new plan, disability retirees such as Stanley are entitled to the health insurance subsidy for only twenty-four months after retiring. Stanley was thus set to become responsible for her own health insurance premiums beginning on December 1, 2020. She filed this suit in April 2020, seeking to establish her entitlement to the long-term healthcare subsidy.</w:t>
      </w:r>
    </w:p>
    <w:p w14:paraId="6A3E4261"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w:t>
      </w:r>
    </w:p>
    <w:p w14:paraId="7185744D"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 xml:space="preserve">The district court entered judgment for the </w:t>
      </w:r>
      <w:proofErr w:type="gramStart"/>
      <w:r w:rsidRPr="00213946">
        <w:rPr>
          <w:rFonts w:ascii="Times New Roman" w:hAnsi="Times New Roman"/>
          <w:sz w:val="24"/>
          <w:szCs w:val="24"/>
        </w:rPr>
        <w:t>City</w:t>
      </w:r>
      <w:proofErr w:type="gramEnd"/>
      <w:r w:rsidRPr="00213946">
        <w:rPr>
          <w:rFonts w:ascii="Times New Roman" w:hAnsi="Times New Roman"/>
          <w:sz w:val="24"/>
          <w:szCs w:val="24"/>
        </w:rPr>
        <w:t xml:space="preserve">. On a motion to dismiss, the district court concluded that Stanley's claims under the ADA, the Rehab Act, and the Florida Civil Rights Act were insufficiently pleaded. Relying on our decision in Gonzales, the district court reasoned that Stanley could not state a plausible disability discrimination claim because the discriminatory act alleged—the cessation of </w:t>
      </w:r>
      <w:proofErr w:type="gramStart"/>
      <w:r w:rsidRPr="00213946">
        <w:rPr>
          <w:rFonts w:ascii="Times New Roman" w:hAnsi="Times New Roman"/>
          <w:sz w:val="24"/>
          <w:szCs w:val="24"/>
        </w:rPr>
        <w:t>the health</w:t>
      </w:r>
      <w:proofErr w:type="gramEnd"/>
      <w:r w:rsidRPr="00213946">
        <w:rPr>
          <w:rFonts w:ascii="Times New Roman" w:hAnsi="Times New Roman"/>
          <w:sz w:val="24"/>
          <w:szCs w:val="24"/>
        </w:rPr>
        <w:t xml:space="preserve"> insurance premium payments—would occur while Stanley was no longer employed by the City.</w:t>
      </w:r>
    </w:p>
    <w:p w14:paraId="27CBB1D9"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w:t>
      </w:r>
    </w:p>
    <w:p w14:paraId="4C729FAF"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 xml:space="preserve">The City's benefits plan advances the legitimate governmental purpose of conserving funds. And its chosen method—decreasing the number of employees for whom the City subsidizes health insurance—is rationally related to that legitimate purpose. </w:t>
      </w:r>
      <w:proofErr w:type="gramStart"/>
      <w:r w:rsidRPr="00213946">
        <w:rPr>
          <w:rFonts w:ascii="Times New Roman" w:hAnsi="Times New Roman"/>
          <w:sz w:val="24"/>
          <w:szCs w:val="24"/>
        </w:rPr>
        <w:t>So</w:t>
      </w:r>
      <w:proofErr w:type="gramEnd"/>
      <w:r w:rsidRPr="00213946">
        <w:rPr>
          <w:rFonts w:ascii="Times New Roman" w:hAnsi="Times New Roman"/>
          <w:sz w:val="24"/>
          <w:szCs w:val="24"/>
        </w:rPr>
        <w:t xml:space="preserve"> there is no equal protection problem here.”</w:t>
      </w:r>
    </w:p>
    <w:p w14:paraId="699AD584" w14:textId="77777777" w:rsidR="00213946" w:rsidRPr="00213946" w:rsidRDefault="00213946" w:rsidP="00213946">
      <w:pPr>
        <w:rPr>
          <w:rFonts w:ascii="Times New Roman" w:hAnsi="Times New Roman"/>
          <w:b/>
          <w:bCs/>
          <w:sz w:val="24"/>
          <w:szCs w:val="24"/>
        </w:rPr>
      </w:pPr>
      <w:r w:rsidRPr="00213946">
        <w:rPr>
          <w:rFonts w:ascii="Times New Roman" w:hAnsi="Times New Roman"/>
          <w:b/>
          <w:bCs/>
          <w:sz w:val="24"/>
          <w:szCs w:val="24"/>
        </w:rPr>
        <w:t>Legal Lesson Learned: The U.S. Supreme Court can resolve the dispute among the Federal Circuit Courts, or Congress can pass clarifying amendment to ADA.</w:t>
      </w:r>
    </w:p>
    <w:p w14:paraId="73FE0F14" w14:textId="77777777" w:rsidR="00213946" w:rsidRPr="00213946" w:rsidRDefault="00213946" w:rsidP="00213946">
      <w:pPr>
        <w:ind w:left="720"/>
        <w:rPr>
          <w:rFonts w:ascii="Times New Roman" w:hAnsi="Times New Roman"/>
          <w:sz w:val="24"/>
          <w:szCs w:val="24"/>
        </w:rPr>
      </w:pPr>
      <w:r w:rsidRPr="00213946">
        <w:rPr>
          <w:rFonts w:ascii="Times New Roman" w:hAnsi="Times New Roman"/>
          <w:sz w:val="24"/>
          <w:szCs w:val="24"/>
        </w:rPr>
        <w:t xml:space="preserve">Note: See briefs by </w:t>
      </w:r>
      <w:proofErr w:type="gramStart"/>
      <w:r w:rsidRPr="00213946">
        <w:rPr>
          <w:rFonts w:ascii="Times New Roman" w:hAnsi="Times New Roman"/>
          <w:sz w:val="24"/>
          <w:szCs w:val="24"/>
        </w:rPr>
        <w:t>IAFF, and</w:t>
      </w:r>
      <w:proofErr w:type="gramEnd"/>
      <w:r w:rsidRPr="00213946">
        <w:rPr>
          <w:rFonts w:ascii="Times New Roman" w:hAnsi="Times New Roman"/>
          <w:sz w:val="24"/>
          <w:szCs w:val="24"/>
        </w:rPr>
        <w:t xml:space="preserve"> AFL-CIO and others. </w:t>
      </w:r>
      <w:hyperlink r:id="rId1636" w:history="1">
        <w:r w:rsidRPr="00213946">
          <w:rPr>
            <w:rStyle w:val="Hyperlink"/>
            <w:rFonts w:ascii="Times New Roman" w:hAnsi="Times New Roman"/>
            <w:sz w:val="24"/>
            <w:szCs w:val="24"/>
          </w:rPr>
          <w:t>https://www.scotusblog.com/case-files/cases/stanley-v-city-of-sanford-florida/</w:t>
        </w:r>
      </w:hyperlink>
      <w:r w:rsidRPr="00213946">
        <w:rPr>
          <w:rFonts w:ascii="Times New Roman" w:hAnsi="Times New Roman"/>
          <w:sz w:val="24"/>
          <w:szCs w:val="24"/>
        </w:rPr>
        <w:t xml:space="preserve"> </w:t>
      </w:r>
    </w:p>
    <w:p w14:paraId="181D6697" w14:textId="77777777" w:rsidR="00213946" w:rsidRDefault="00213946" w:rsidP="005C30A4">
      <w:pPr>
        <w:pStyle w:val="NoSpacing"/>
        <w:rPr>
          <w:rFonts w:ascii="Arial Black" w:hAnsi="Arial Black"/>
          <w:sz w:val="24"/>
          <w:szCs w:val="24"/>
        </w:rPr>
      </w:pPr>
    </w:p>
    <w:p w14:paraId="45F8B73A" w14:textId="77777777" w:rsidR="005E497B" w:rsidRDefault="005E497B" w:rsidP="005C30A4">
      <w:pPr>
        <w:pStyle w:val="NoSpacing"/>
        <w:rPr>
          <w:rFonts w:ascii="Arial Black" w:hAnsi="Arial Black"/>
          <w:sz w:val="24"/>
          <w:szCs w:val="24"/>
        </w:rPr>
      </w:pPr>
    </w:p>
    <w:p w14:paraId="3F263331" w14:textId="77777777" w:rsidR="005E497B" w:rsidRDefault="005E497B" w:rsidP="005C30A4">
      <w:pPr>
        <w:pStyle w:val="NoSpacing"/>
        <w:rPr>
          <w:rFonts w:ascii="Arial Black" w:hAnsi="Arial Black"/>
          <w:sz w:val="24"/>
          <w:szCs w:val="24"/>
        </w:rPr>
      </w:pPr>
    </w:p>
    <w:p w14:paraId="671FE398" w14:textId="719A150B" w:rsidR="008D4459" w:rsidRDefault="008D4459" w:rsidP="005C30A4">
      <w:pPr>
        <w:pStyle w:val="NoSpacing"/>
        <w:rPr>
          <w:rFonts w:ascii="Arial Black" w:hAnsi="Arial Black"/>
          <w:sz w:val="24"/>
          <w:szCs w:val="24"/>
        </w:rPr>
      </w:pPr>
      <w:r>
        <w:rPr>
          <w:rFonts w:ascii="Arial Black" w:hAnsi="Arial Black"/>
          <w:sz w:val="24"/>
          <w:szCs w:val="24"/>
        </w:rPr>
        <w:t>9-</w:t>
      </w:r>
      <w:r w:rsidR="00264998">
        <w:rPr>
          <w:rFonts w:ascii="Arial Black" w:hAnsi="Arial Black"/>
          <w:sz w:val="24"/>
          <w:szCs w:val="24"/>
        </w:rPr>
        <w:t>45</w:t>
      </w:r>
    </w:p>
    <w:p w14:paraId="4E4AC632" w14:textId="77777777" w:rsidR="00264998" w:rsidRDefault="00264998" w:rsidP="005C30A4">
      <w:pPr>
        <w:pStyle w:val="NoSpacing"/>
        <w:rPr>
          <w:rFonts w:ascii="Arial Black" w:hAnsi="Arial Black"/>
          <w:sz w:val="24"/>
          <w:szCs w:val="24"/>
        </w:rPr>
      </w:pPr>
    </w:p>
    <w:p w14:paraId="0C959699" w14:textId="77777777" w:rsidR="00264998" w:rsidRDefault="00264998" w:rsidP="00264998">
      <w:pPr>
        <w:rPr>
          <w:rFonts w:ascii="Arial Black" w:hAnsi="Arial Black"/>
          <w:sz w:val="28"/>
          <w:szCs w:val="28"/>
        </w:rPr>
      </w:pPr>
      <w:r>
        <w:rPr>
          <w:rFonts w:ascii="Arial Black" w:hAnsi="Arial Black"/>
          <w:sz w:val="28"/>
          <w:szCs w:val="28"/>
        </w:rPr>
        <w:t>U.S. SUP. CT:  AGREES TO HEAR FF PARKINSON’S CASE – OCT. 2024 TERM - INSURANCE REDUCED 2-YRS – CIR. SPLIT</w:t>
      </w:r>
    </w:p>
    <w:p w14:paraId="61BF1697" w14:textId="77777777" w:rsidR="00264998" w:rsidRDefault="00264998" w:rsidP="00264998">
      <w:pPr>
        <w:rPr>
          <w:rFonts w:ascii="Times New Roman" w:hAnsi="Times New Roman"/>
          <w:sz w:val="24"/>
          <w:szCs w:val="24"/>
        </w:rPr>
      </w:pPr>
      <w:r>
        <w:rPr>
          <w:rFonts w:ascii="Times New Roman" w:hAnsi="Times New Roman"/>
          <w:sz w:val="24"/>
          <w:szCs w:val="24"/>
        </w:rPr>
        <w:t xml:space="preserve">On June 24, 2024, in </w:t>
      </w:r>
      <w:r>
        <w:rPr>
          <w:rFonts w:ascii="Times New Roman" w:hAnsi="Times New Roman"/>
          <w:sz w:val="24"/>
          <w:szCs w:val="24"/>
          <w:u w:val="single"/>
        </w:rPr>
        <w:t>Karyn D. Stanley v.  City of Sanford, Florida</w:t>
      </w:r>
      <w:r>
        <w:rPr>
          <w:rFonts w:ascii="Times New Roman" w:hAnsi="Times New Roman"/>
          <w:sz w:val="24"/>
          <w:szCs w:val="24"/>
        </w:rPr>
        <w:t xml:space="preserve">, the U.S. Supreme Court granted firefighter’s petition for writ of certiorari (requires 4 votes of 9 Justices) and will schedule oral arguments during next Term. </w:t>
      </w:r>
      <w:hyperlink r:id="rId1637" w:history="1">
        <w:r>
          <w:rPr>
            <w:rStyle w:val="Hyperlink"/>
            <w:rFonts w:ascii="Times New Roman" w:hAnsi="Times New Roman"/>
            <w:sz w:val="24"/>
            <w:szCs w:val="24"/>
          </w:rPr>
          <w:t>https://www.supremecourt.gov/orders/courtorders/062424zor_e18f.pdf</w:t>
        </w:r>
      </w:hyperlink>
      <w:r>
        <w:rPr>
          <w:rFonts w:ascii="Times New Roman" w:hAnsi="Times New Roman"/>
          <w:sz w:val="24"/>
          <w:szCs w:val="24"/>
        </w:rPr>
        <w:t xml:space="preserve">.  Lt. Stanley retired on disability in 2018; she then learned that City in 2003 had reduced free medical insurance for disabled employees to two years coverage (was previously provided until age 65).  Her lawsuit was dismissed by U.S. District Court judge, and the dismissal was upheld on Oct. 11, </w:t>
      </w:r>
      <w:proofErr w:type="gramStart"/>
      <w:r>
        <w:rPr>
          <w:rFonts w:ascii="Times New Roman" w:hAnsi="Times New Roman"/>
          <w:sz w:val="24"/>
          <w:szCs w:val="24"/>
        </w:rPr>
        <w:t>2023</w:t>
      </w:r>
      <w:proofErr w:type="gramEnd"/>
      <w:r>
        <w:rPr>
          <w:rFonts w:ascii="Times New Roman" w:hAnsi="Times New Roman"/>
          <w:sz w:val="24"/>
          <w:szCs w:val="24"/>
        </w:rPr>
        <w:t xml:space="preserve"> by a 3-judge panel of 11</w:t>
      </w:r>
      <w:r>
        <w:rPr>
          <w:rFonts w:ascii="Times New Roman" w:hAnsi="Times New Roman"/>
          <w:sz w:val="24"/>
          <w:szCs w:val="24"/>
          <w:vertAlign w:val="superscript"/>
        </w:rPr>
        <w:t>th</w:t>
      </w:r>
      <w:r>
        <w:rPr>
          <w:rFonts w:ascii="Times New Roman" w:hAnsi="Times New Roman"/>
          <w:sz w:val="24"/>
          <w:szCs w:val="24"/>
        </w:rPr>
        <w:t xml:space="preserve"> Circuit (Atlanta) – their strict review of ADA statute language appears to limit lawsuits to only current employees and applicants. Other federal Circuits (2</w:t>
      </w:r>
      <w:r>
        <w:rPr>
          <w:rFonts w:ascii="Times New Roman" w:hAnsi="Times New Roman"/>
          <w:sz w:val="24"/>
          <w:szCs w:val="24"/>
          <w:vertAlign w:val="superscript"/>
        </w:rPr>
        <w:t>nd</w:t>
      </w:r>
      <w:r>
        <w:rPr>
          <w:rFonts w:ascii="Times New Roman" w:hAnsi="Times New Roman"/>
          <w:sz w:val="24"/>
          <w:szCs w:val="24"/>
        </w:rPr>
        <w:t xml:space="preserve"> &amp; 3</w:t>
      </w:r>
      <w:r>
        <w:rPr>
          <w:rFonts w:ascii="Times New Roman" w:hAnsi="Times New Roman"/>
          <w:sz w:val="24"/>
          <w:szCs w:val="24"/>
          <w:vertAlign w:val="superscript"/>
        </w:rPr>
        <w:t>rd</w:t>
      </w:r>
      <w:r>
        <w:rPr>
          <w:rFonts w:ascii="Times New Roman" w:hAnsi="Times New Roman"/>
          <w:sz w:val="24"/>
          <w:szCs w:val="24"/>
        </w:rPr>
        <w:t xml:space="preserve"> Circuits) disagree and have held that retirees can also sue under ADA. </w:t>
      </w:r>
      <w:hyperlink r:id="rId1638" w:history="1">
        <w:r>
          <w:rPr>
            <w:rStyle w:val="Hyperlink"/>
            <w:rFonts w:ascii="Times New Roman" w:hAnsi="Times New Roman"/>
            <w:sz w:val="24"/>
            <w:szCs w:val="24"/>
          </w:rPr>
          <w:t>https://cases.justia.com/federal/appellate-courts/ca11/22-10002/22-10002-2023-10-11.pdf?ts=1697045568</w:t>
        </w:r>
      </w:hyperlink>
      <w:r>
        <w:rPr>
          <w:rFonts w:ascii="Times New Roman" w:hAnsi="Times New Roman"/>
          <w:sz w:val="24"/>
          <w:szCs w:val="24"/>
        </w:rPr>
        <w:t xml:space="preserve"> </w:t>
      </w:r>
    </w:p>
    <w:p w14:paraId="7AD282BB" w14:textId="77777777" w:rsidR="00264998" w:rsidRDefault="00264998" w:rsidP="00264998">
      <w:pPr>
        <w:pStyle w:val="NoSpacing"/>
        <w:ind w:left="720"/>
        <w:rPr>
          <w:rFonts w:ascii="Times New Roman" w:hAnsi="Times New Roman"/>
          <w:sz w:val="24"/>
          <w:szCs w:val="24"/>
        </w:rPr>
      </w:pPr>
    </w:p>
    <w:p w14:paraId="78EE4501" w14:textId="77777777" w:rsidR="00264998" w:rsidRDefault="00264998" w:rsidP="00264998">
      <w:pPr>
        <w:rPr>
          <w:rFonts w:ascii="Times New Roman" w:hAnsi="Times New Roman"/>
          <w:sz w:val="24"/>
          <w:szCs w:val="24"/>
        </w:rPr>
      </w:pPr>
      <w:r>
        <w:rPr>
          <w:rFonts w:ascii="Times New Roman" w:hAnsi="Times New Roman"/>
          <w:sz w:val="24"/>
          <w:szCs w:val="24"/>
        </w:rPr>
        <w:t>11</w:t>
      </w:r>
      <w:r>
        <w:rPr>
          <w:rFonts w:ascii="Times New Roman" w:hAnsi="Times New Roman"/>
          <w:sz w:val="24"/>
          <w:szCs w:val="24"/>
          <w:vertAlign w:val="superscript"/>
        </w:rPr>
        <w:t>th</w:t>
      </w:r>
      <w:r>
        <w:rPr>
          <w:rFonts w:ascii="Times New Roman" w:hAnsi="Times New Roman"/>
          <w:sz w:val="24"/>
          <w:szCs w:val="24"/>
        </w:rPr>
        <w:t xml:space="preserve"> CIRCUIT HELD:</w:t>
      </w:r>
    </w:p>
    <w:p w14:paraId="67DA27FA" w14:textId="77777777" w:rsidR="00264998" w:rsidRDefault="00264998" w:rsidP="00264998">
      <w:pPr>
        <w:pStyle w:val="NoSpacing"/>
        <w:ind w:left="720"/>
        <w:rPr>
          <w:rFonts w:ascii="Times New Roman" w:hAnsi="Times New Roman"/>
          <w:sz w:val="24"/>
          <w:szCs w:val="24"/>
        </w:rPr>
      </w:pPr>
      <w:r>
        <w:rPr>
          <w:rFonts w:ascii="Times New Roman" w:hAnsi="Times New Roman"/>
          <w:sz w:val="24"/>
          <w:szCs w:val="24"/>
        </w:rPr>
        <w:t>“We believe Gonzales [v. Garner Food Services, Inc., 89 F.3d 1523 (11th Cir. 1996)] is still good law. We thus reaffirm that a Title I plaintiff must ‘hold[] or desire[]’ an employment position with the defendant at the time of the defendant’s allegedly wrong-</w:t>
      </w:r>
    </w:p>
    <w:p w14:paraId="373CA253" w14:textId="77777777" w:rsidR="00264998" w:rsidRDefault="00264998" w:rsidP="00264998">
      <w:pPr>
        <w:pStyle w:val="NoSpacing"/>
        <w:ind w:left="720"/>
        <w:rPr>
          <w:rFonts w:ascii="Times New Roman" w:hAnsi="Times New Roman"/>
          <w:sz w:val="24"/>
          <w:szCs w:val="24"/>
        </w:rPr>
      </w:pPr>
      <w:proofErr w:type="spellStart"/>
      <w:r>
        <w:rPr>
          <w:rFonts w:ascii="Times New Roman" w:hAnsi="Times New Roman"/>
          <w:sz w:val="24"/>
          <w:szCs w:val="24"/>
        </w:rPr>
        <w:t>ful</w:t>
      </w:r>
      <w:proofErr w:type="spellEnd"/>
      <w:r>
        <w:rPr>
          <w:rFonts w:ascii="Times New Roman" w:hAnsi="Times New Roman"/>
          <w:sz w:val="24"/>
          <w:szCs w:val="24"/>
        </w:rPr>
        <w:t xml:space="preserve"> act. 42 U.S.C. § 12111(8). Because plaintiff Karyn Stanley is suing over the termination of retirement benefits when she neither held nor desired to hold an employment position with her former employer, the City of Sanford, Gonzales bars her claim. We therefore affirm the district court.</w:t>
      </w:r>
    </w:p>
    <w:p w14:paraId="2C2C1156" w14:textId="77777777" w:rsidR="00264998" w:rsidRDefault="00264998" w:rsidP="00264998">
      <w:pPr>
        <w:pStyle w:val="NoSpacing"/>
        <w:ind w:left="720"/>
        <w:rPr>
          <w:rFonts w:ascii="Times New Roman" w:hAnsi="Times New Roman"/>
          <w:sz w:val="24"/>
          <w:szCs w:val="24"/>
        </w:rPr>
      </w:pPr>
    </w:p>
    <w:p w14:paraId="31A1D926" w14:textId="77777777" w:rsidR="00264998" w:rsidRDefault="00264998" w:rsidP="00264998">
      <w:pPr>
        <w:pStyle w:val="NoSpacing"/>
        <w:ind w:left="720"/>
        <w:rPr>
          <w:rFonts w:ascii="Times New Roman" w:hAnsi="Times New Roman"/>
          <w:sz w:val="24"/>
          <w:szCs w:val="24"/>
        </w:rPr>
      </w:pPr>
      <w:r>
        <w:rPr>
          <w:rFonts w:ascii="Times New Roman" w:hAnsi="Times New Roman"/>
          <w:sz w:val="24"/>
          <w:szCs w:val="24"/>
        </w:rPr>
        <w:t>***</w:t>
      </w:r>
    </w:p>
    <w:p w14:paraId="29145688" w14:textId="77777777" w:rsidR="00264998" w:rsidRDefault="00264998" w:rsidP="00264998">
      <w:pPr>
        <w:pStyle w:val="NoSpacing"/>
        <w:ind w:left="720"/>
        <w:rPr>
          <w:rFonts w:ascii="Times New Roman" w:hAnsi="Times New Roman"/>
          <w:sz w:val="24"/>
          <w:szCs w:val="24"/>
        </w:rPr>
      </w:pPr>
      <w:r>
        <w:rPr>
          <w:rFonts w:ascii="Times New Roman" w:hAnsi="Times New Roman"/>
          <w:sz w:val="24"/>
          <w:szCs w:val="24"/>
        </w:rPr>
        <w:t xml:space="preserve">Title I’s anti-discrimination provision is not afflicted with any such ambiguity. There is a clear temporal qualifier in Title I: Only someone ‘who, with or without reasonable accommodation, can perform the essential functions of the employment position that such individual holds or </w:t>
      </w:r>
      <w:proofErr w:type="gramStart"/>
      <w:r>
        <w:rPr>
          <w:rFonts w:ascii="Times New Roman" w:hAnsi="Times New Roman"/>
          <w:sz w:val="24"/>
          <w:szCs w:val="24"/>
        </w:rPr>
        <w:t>desires’</w:t>
      </w:r>
      <w:proofErr w:type="gramEnd"/>
      <w:r>
        <w:rPr>
          <w:rFonts w:ascii="Times New Roman" w:hAnsi="Times New Roman"/>
          <w:sz w:val="24"/>
          <w:szCs w:val="24"/>
        </w:rPr>
        <w:t xml:space="preserve"> is protected from disability discrimination. 42 U.S.C. §§ 12111(8) (emphases added), 12112(a); see also </w:t>
      </w:r>
      <w:proofErr w:type="spellStart"/>
      <w:r>
        <w:rPr>
          <w:rFonts w:ascii="Times New Roman" w:hAnsi="Times New Roman"/>
          <w:sz w:val="24"/>
          <w:szCs w:val="24"/>
        </w:rPr>
        <w:t>Slomcenski</w:t>
      </w:r>
      <w:proofErr w:type="spellEnd"/>
      <w:r>
        <w:rPr>
          <w:rFonts w:ascii="Times New Roman" w:hAnsi="Times New Roman"/>
          <w:sz w:val="24"/>
          <w:szCs w:val="24"/>
        </w:rPr>
        <w:t xml:space="preserve"> v. Citibank, N.A., 432 F.3d 1271, 1280–81 (11th Cir. 2005). ‘Can,’ ‘holds,’ and ‘desires’ are in the present tense. So, to be a victim of unlawful disability discrimination, the plaintiff must desire or already have a job with the defendant at the time the defendant commits the discriminatory </w:t>
      </w:r>
      <w:proofErr w:type="gramStart"/>
      <w:r>
        <w:rPr>
          <w:rFonts w:ascii="Times New Roman" w:hAnsi="Times New Roman"/>
          <w:sz w:val="24"/>
          <w:szCs w:val="24"/>
        </w:rPr>
        <w:t>act.”</w:t>
      </w:r>
      <w:proofErr w:type="gramEnd"/>
      <w:r>
        <w:rPr>
          <w:rFonts w:ascii="Times New Roman" w:hAnsi="Times New Roman"/>
          <w:sz w:val="24"/>
          <w:szCs w:val="24"/>
        </w:rPr>
        <w:t xml:space="preserve"> </w:t>
      </w:r>
      <w:hyperlink r:id="rId1639" w:history="1">
        <w:r>
          <w:rPr>
            <w:rStyle w:val="Hyperlink"/>
            <w:rFonts w:ascii="Times New Roman" w:hAnsi="Times New Roman"/>
            <w:sz w:val="24"/>
            <w:szCs w:val="24"/>
          </w:rPr>
          <w:t>https://cases.justia.com/federal/appellate-courts/ca11/22-10002/22-10002-2023-10-11.pdf?ts=1697045568</w:t>
        </w:r>
      </w:hyperlink>
      <w:r>
        <w:rPr>
          <w:rFonts w:ascii="Times New Roman" w:hAnsi="Times New Roman"/>
          <w:sz w:val="24"/>
          <w:szCs w:val="24"/>
        </w:rPr>
        <w:t xml:space="preserve"> </w:t>
      </w:r>
    </w:p>
    <w:p w14:paraId="0C485D13" w14:textId="77777777" w:rsidR="00264998" w:rsidRDefault="00264998" w:rsidP="00264998">
      <w:pPr>
        <w:rPr>
          <w:rFonts w:ascii="Times New Roman" w:hAnsi="Times New Roman"/>
          <w:sz w:val="24"/>
          <w:szCs w:val="24"/>
        </w:rPr>
      </w:pPr>
    </w:p>
    <w:p w14:paraId="4F27682F" w14:textId="77777777" w:rsidR="00264998" w:rsidRDefault="00264998" w:rsidP="00264998">
      <w:pPr>
        <w:rPr>
          <w:rFonts w:ascii="Times New Roman" w:hAnsi="Times New Roman"/>
          <w:sz w:val="24"/>
          <w:szCs w:val="24"/>
        </w:rPr>
      </w:pPr>
      <w:r>
        <w:rPr>
          <w:rFonts w:ascii="Times New Roman" w:hAnsi="Times New Roman"/>
          <w:sz w:val="24"/>
          <w:szCs w:val="24"/>
        </w:rPr>
        <w:t>FACTS:</w:t>
      </w:r>
    </w:p>
    <w:p w14:paraId="35D4BB73" w14:textId="77777777" w:rsidR="00264998" w:rsidRDefault="00264998" w:rsidP="00264998">
      <w:pPr>
        <w:pStyle w:val="NoSpacing"/>
        <w:ind w:left="720"/>
        <w:rPr>
          <w:rFonts w:ascii="Times New Roman" w:hAnsi="Times New Roman"/>
          <w:sz w:val="24"/>
          <w:szCs w:val="24"/>
        </w:rPr>
      </w:pPr>
      <w:r>
        <w:rPr>
          <w:rFonts w:ascii="Times New Roman" w:hAnsi="Times New Roman"/>
          <w:sz w:val="24"/>
          <w:szCs w:val="24"/>
        </w:rPr>
        <w:t>“Karyn Stanley became a firefighter for the City of Sanford, Florida, in 1999. She served the City in that capacity for about fifteen years until she was diagnosed with Parkinson’s disease in 2016. Although she managed to continue working as a firefighter for</w:t>
      </w:r>
    </w:p>
    <w:p w14:paraId="3D280597" w14:textId="77777777" w:rsidR="00264998" w:rsidRDefault="00264998" w:rsidP="00264998">
      <w:pPr>
        <w:pStyle w:val="NoSpacing"/>
        <w:ind w:left="720"/>
        <w:rPr>
          <w:rFonts w:ascii="Times New Roman" w:hAnsi="Times New Roman"/>
          <w:sz w:val="24"/>
          <w:szCs w:val="24"/>
        </w:rPr>
      </w:pPr>
      <w:proofErr w:type="gramStart"/>
      <w:r>
        <w:rPr>
          <w:rFonts w:ascii="Times New Roman" w:hAnsi="Times New Roman"/>
          <w:sz w:val="24"/>
          <w:szCs w:val="24"/>
        </w:rPr>
        <w:t>about</w:t>
      </w:r>
      <w:proofErr w:type="gramEnd"/>
      <w:r>
        <w:rPr>
          <w:rFonts w:ascii="Times New Roman" w:hAnsi="Times New Roman"/>
          <w:sz w:val="24"/>
          <w:szCs w:val="24"/>
        </w:rPr>
        <w:t xml:space="preserve"> two more years, her disease and accompanying physical disabilities eventually left her incapable of performing her job. So, at the age of 47, Stanley took disability retirement on November 1, 2018. When Stanley retired, she continued to receive free health insurance through the City. Under a policy in effect when Stanley first joined the fire department, employees retiring for qualifying disability reasons, such as Stanley’s Parkinson’s disease, received free health insurance until the age of 65. But, unbeknownst to Stanley, the </w:t>
      </w:r>
      <w:proofErr w:type="gramStart"/>
      <w:r>
        <w:rPr>
          <w:rFonts w:ascii="Times New Roman" w:hAnsi="Times New Roman"/>
          <w:sz w:val="24"/>
          <w:szCs w:val="24"/>
        </w:rPr>
        <w:t>City</w:t>
      </w:r>
      <w:proofErr w:type="gramEnd"/>
      <w:r>
        <w:rPr>
          <w:rFonts w:ascii="Times New Roman" w:hAnsi="Times New Roman"/>
          <w:sz w:val="24"/>
          <w:szCs w:val="24"/>
        </w:rPr>
        <w:t xml:space="preserve"> changed its benefits plan in 2003. Under the new plan, disability retirees such as Stanley are entitled to the health insurance subsidy for only twenty-four months after retiring. Stanley was thus set to become responsible for her own health insurance premiums beginning on December 1, 2020. She filed this suit in April 2020, seeking to establish her entitlement to the long-term healthcare subsidy.”</w:t>
      </w:r>
    </w:p>
    <w:p w14:paraId="436B5164" w14:textId="77777777" w:rsidR="00264998" w:rsidRDefault="00264998" w:rsidP="00264998">
      <w:pPr>
        <w:pStyle w:val="NoSpacing"/>
        <w:rPr>
          <w:rFonts w:ascii="Times New Roman" w:hAnsi="Times New Roman"/>
          <w:b/>
          <w:bCs/>
          <w:sz w:val="24"/>
          <w:szCs w:val="24"/>
        </w:rPr>
      </w:pPr>
    </w:p>
    <w:p w14:paraId="071E3383" w14:textId="77777777" w:rsidR="00264998" w:rsidRDefault="00264998" w:rsidP="00264998">
      <w:pPr>
        <w:pStyle w:val="NoSpacing"/>
        <w:rPr>
          <w:rFonts w:ascii="Times New Roman" w:hAnsi="Times New Roman"/>
          <w:b/>
          <w:bCs/>
          <w:sz w:val="24"/>
          <w:szCs w:val="24"/>
        </w:rPr>
      </w:pPr>
      <w:r>
        <w:rPr>
          <w:rFonts w:ascii="Times New Roman" w:hAnsi="Times New Roman"/>
          <w:b/>
          <w:bCs/>
          <w:sz w:val="24"/>
          <w:szCs w:val="24"/>
        </w:rPr>
        <w:t xml:space="preserve">Legal Lesson Learned: The U.S. Supreme Court has agreed to hear this case; presumably to resolve the split in Circuit Court decisions on whether ADA protects retired disabled employees when the employer changes pension benefits. </w:t>
      </w:r>
    </w:p>
    <w:p w14:paraId="2CAAD553" w14:textId="77777777" w:rsidR="00264998" w:rsidRDefault="00264998" w:rsidP="00264998">
      <w:pPr>
        <w:pStyle w:val="NoSpacing"/>
        <w:rPr>
          <w:rFonts w:ascii="Times New Roman" w:hAnsi="Times New Roman"/>
          <w:sz w:val="24"/>
          <w:szCs w:val="24"/>
        </w:rPr>
      </w:pPr>
    </w:p>
    <w:p w14:paraId="30C6957D" w14:textId="77777777" w:rsidR="00264998" w:rsidRDefault="00264998" w:rsidP="00264998">
      <w:pPr>
        <w:ind w:left="720"/>
        <w:rPr>
          <w:rFonts w:ascii="Times New Roman" w:hAnsi="Times New Roman"/>
          <w:sz w:val="24"/>
          <w:szCs w:val="24"/>
        </w:rPr>
      </w:pPr>
      <w:r>
        <w:rPr>
          <w:rFonts w:ascii="Times New Roman" w:hAnsi="Times New Roman"/>
          <w:sz w:val="24"/>
          <w:szCs w:val="24"/>
        </w:rPr>
        <w:t>Note: See these Briefs filed with U.S. Supreme Court:</w:t>
      </w:r>
    </w:p>
    <w:p w14:paraId="4D61A910" w14:textId="77777777" w:rsidR="00264998" w:rsidRDefault="00264998" w:rsidP="00264998">
      <w:pPr>
        <w:ind w:left="720"/>
        <w:rPr>
          <w:rFonts w:ascii="Times New Roman" w:hAnsi="Times New Roman"/>
          <w:sz w:val="24"/>
          <w:szCs w:val="24"/>
        </w:rPr>
      </w:pPr>
      <w:r>
        <w:rPr>
          <w:rFonts w:ascii="Times New Roman" w:hAnsi="Times New Roman"/>
          <w:sz w:val="24"/>
          <w:szCs w:val="24"/>
        </w:rPr>
        <w:t>CITY’s BRIEF:</w:t>
      </w:r>
    </w:p>
    <w:p w14:paraId="369F9DAF" w14:textId="77777777" w:rsidR="00264998" w:rsidRDefault="00264998" w:rsidP="00264998">
      <w:pPr>
        <w:ind w:left="1440"/>
        <w:rPr>
          <w:rFonts w:ascii="Times New Roman" w:hAnsi="Times New Roman"/>
          <w:sz w:val="24"/>
          <w:szCs w:val="24"/>
        </w:rPr>
      </w:pPr>
      <w:r>
        <w:rPr>
          <w:rFonts w:ascii="Times New Roman" w:hAnsi="Times New Roman"/>
          <w:sz w:val="24"/>
          <w:szCs w:val="24"/>
        </w:rPr>
        <w:t xml:space="preserve">“Thus, for just one employee like Petitioner retiring early at the age of 47, payment of the subsidy to age 65 would have cost the </w:t>
      </w:r>
      <w:proofErr w:type="gramStart"/>
      <w:r>
        <w:rPr>
          <w:rFonts w:ascii="Times New Roman" w:hAnsi="Times New Roman"/>
          <w:sz w:val="24"/>
          <w:szCs w:val="24"/>
        </w:rPr>
        <w:t>City</w:t>
      </w:r>
      <w:proofErr w:type="gramEnd"/>
      <w:r>
        <w:rPr>
          <w:rFonts w:ascii="Times New Roman" w:hAnsi="Times New Roman"/>
          <w:sz w:val="24"/>
          <w:szCs w:val="24"/>
        </w:rPr>
        <w:t xml:space="preserve"> over $216,000.00.” [City’s Brief in Opposition; </w:t>
      </w:r>
      <w:hyperlink r:id="rId1640" w:history="1">
        <w:r>
          <w:rPr>
            <w:rStyle w:val="Hyperlink"/>
            <w:rFonts w:ascii="Times New Roman" w:hAnsi="Times New Roman"/>
            <w:sz w:val="24"/>
            <w:szCs w:val="24"/>
          </w:rPr>
          <w:t>https://www.supremecourt.gov/DocketPDF/23/23-997/309679/20240513145152474_23-997%20Brief%20in%20Opposition%20Final.pdf</w:t>
        </w:r>
      </w:hyperlink>
      <w:r>
        <w:rPr>
          <w:rFonts w:ascii="Times New Roman" w:hAnsi="Times New Roman"/>
          <w:sz w:val="24"/>
          <w:szCs w:val="24"/>
        </w:rPr>
        <w:t>.]</w:t>
      </w:r>
    </w:p>
    <w:p w14:paraId="2471185E" w14:textId="77777777" w:rsidR="00264998" w:rsidRDefault="00264998" w:rsidP="00264998">
      <w:pPr>
        <w:ind w:left="720"/>
        <w:rPr>
          <w:rFonts w:ascii="Times New Roman" w:hAnsi="Times New Roman"/>
          <w:sz w:val="24"/>
          <w:szCs w:val="24"/>
        </w:rPr>
      </w:pPr>
      <w:r>
        <w:rPr>
          <w:rFonts w:ascii="Times New Roman" w:hAnsi="Times New Roman"/>
          <w:sz w:val="24"/>
          <w:szCs w:val="24"/>
        </w:rPr>
        <w:t xml:space="preserve">LT. STANLEY’S REPLY BRIEF: </w:t>
      </w:r>
    </w:p>
    <w:p w14:paraId="21C0A72A"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“The </w:t>
      </w:r>
      <w:proofErr w:type="gramStart"/>
      <w:r>
        <w:rPr>
          <w:rFonts w:ascii="Times New Roman" w:hAnsi="Times New Roman"/>
          <w:sz w:val="24"/>
          <w:szCs w:val="24"/>
        </w:rPr>
        <w:t>City</w:t>
      </w:r>
      <w:proofErr w:type="gramEnd"/>
      <w:r>
        <w:rPr>
          <w:rFonts w:ascii="Times New Roman" w:hAnsi="Times New Roman"/>
          <w:sz w:val="24"/>
          <w:szCs w:val="24"/>
        </w:rPr>
        <w:t xml:space="preserve"> concedes that there is a longstanding ‘circuit split” over whether former employees can sue for discrimination with respect to their post-employment benefits under the ADA…. It recognizes the same two-to-four split outlined in the petition: Although the Second and Third Circuits permit former employees to sue with respect to post-employment benefits, the Sixth, Seventh, Ninth, and Eleventh Circuits do not.</w:t>
      </w:r>
    </w:p>
    <w:p w14:paraId="76D9C800" w14:textId="77777777" w:rsidR="00264998" w:rsidRDefault="00264998" w:rsidP="00264998">
      <w:pPr>
        <w:pStyle w:val="NoSpacing"/>
        <w:ind w:left="720"/>
        <w:rPr>
          <w:rFonts w:ascii="Times New Roman" w:hAnsi="Times New Roman"/>
          <w:sz w:val="24"/>
          <w:szCs w:val="24"/>
        </w:rPr>
      </w:pPr>
    </w:p>
    <w:p w14:paraId="1BDAAEB9"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w:t>
      </w:r>
    </w:p>
    <w:p w14:paraId="2F6DB976" w14:textId="77777777" w:rsidR="00264998" w:rsidRDefault="00264998" w:rsidP="00264998">
      <w:pPr>
        <w:pStyle w:val="NoSpacing"/>
        <w:ind w:left="720"/>
        <w:rPr>
          <w:rFonts w:ascii="Times New Roman" w:hAnsi="Times New Roman"/>
          <w:sz w:val="24"/>
          <w:szCs w:val="24"/>
        </w:rPr>
      </w:pPr>
    </w:p>
    <w:p w14:paraId="1F70BDEF"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The City doesn’t contest that, when the City offered her the firefighter job, her employment package included a retirement ‘health insurance subsidy.’ Pet. App. 3a. Nor does it dispute, as the courts below recognized, that this subsidy was ‘a stand-alone fringe benefit of employment with [the] Defendant.’ Pet. App. 21a. The fringe benefit was thus covered by the ADA as part of the ‘terms, conditions, and privileges of [her] employment.’ 42 U.S.C. §§ 12111(8), 12112(a). That doesn’t mean that on remand the </w:t>
      </w:r>
      <w:proofErr w:type="gramStart"/>
      <w:r>
        <w:rPr>
          <w:rFonts w:ascii="Times New Roman" w:hAnsi="Times New Roman"/>
          <w:sz w:val="24"/>
          <w:szCs w:val="24"/>
        </w:rPr>
        <w:t>City</w:t>
      </w:r>
      <w:proofErr w:type="gramEnd"/>
      <w:r>
        <w:rPr>
          <w:rFonts w:ascii="Times New Roman" w:hAnsi="Times New Roman"/>
          <w:sz w:val="24"/>
          <w:szCs w:val="24"/>
        </w:rPr>
        <w:t xml:space="preserve"> won’t be able to argue that Ms. Stanley’s twenty years of service didn’t sufficiently ‘earn’ her the subsidy she was promised. The </w:t>
      </w:r>
      <w:proofErr w:type="gramStart"/>
      <w:r>
        <w:rPr>
          <w:rFonts w:ascii="Times New Roman" w:hAnsi="Times New Roman"/>
          <w:sz w:val="24"/>
          <w:szCs w:val="24"/>
        </w:rPr>
        <w:t>City</w:t>
      </w:r>
      <w:proofErr w:type="gramEnd"/>
      <w:r>
        <w:rPr>
          <w:rFonts w:ascii="Times New Roman" w:hAnsi="Times New Roman"/>
          <w:sz w:val="24"/>
          <w:szCs w:val="24"/>
        </w:rPr>
        <w:t xml:space="preserve"> can make whatever arguments it wants on </w:t>
      </w:r>
      <w:proofErr w:type="gramStart"/>
      <w:r>
        <w:rPr>
          <w:rFonts w:ascii="Times New Roman" w:hAnsi="Times New Roman"/>
          <w:sz w:val="24"/>
          <w:szCs w:val="24"/>
        </w:rPr>
        <w:t>remand</w:t>
      </w:r>
      <w:proofErr w:type="gramEnd"/>
      <w:r>
        <w:rPr>
          <w:rFonts w:ascii="Times New Roman" w:hAnsi="Times New Roman"/>
          <w:sz w:val="24"/>
          <w:szCs w:val="24"/>
        </w:rPr>
        <w:t xml:space="preserve">. But none of that bears on whether litigants in Ms. Stanley’s shoes can bring suit under the ADA in the first place.”  [Plaintiff’s Reply Brief; </w:t>
      </w:r>
      <w:hyperlink r:id="rId1641" w:history="1">
        <w:r>
          <w:rPr>
            <w:rStyle w:val="Hyperlink"/>
            <w:rFonts w:ascii="Times New Roman" w:hAnsi="Times New Roman"/>
            <w:sz w:val="24"/>
            <w:szCs w:val="24"/>
          </w:rPr>
          <w:t>https://www.supremecourt.gov/DocketPDF/23/23-997/311779/20240528141949268_23-997%20Stanley%20Reply%20In%20Support%20of%20Certiorari.pdf</w:t>
        </w:r>
      </w:hyperlink>
      <w:r>
        <w:rPr>
          <w:rFonts w:ascii="Times New Roman" w:hAnsi="Times New Roman"/>
          <w:sz w:val="24"/>
          <w:szCs w:val="24"/>
        </w:rPr>
        <w:t xml:space="preserve"> .] </w:t>
      </w:r>
    </w:p>
    <w:p w14:paraId="43333A0A" w14:textId="77777777" w:rsidR="00264998" w:rsidRDefault="00264998" w:rsidP="00264998">
      <w:pPr>
        <w:pStyle w:val="NoSpacing"/>
        <w:rPr>
          <w:rFonts w:ascii="Times New Roman" w:hAnsi="Times New Roman"/>
          <w:sz w:val="24"/>
          <w:szCs w:val="24"/>
        </w:rPr>
      </w:pPr>
    </w:p>
    <w:p w14:paraId="1F465EA9" w14:textId="77777777" w:rsidR="00264998" w:rsidRDefault="00264998" w:rsidP="00264998">
      <w:pPr>
        <w:pStyle w:val="NoSpacing"/>
        <w:ind w:left="720"/>
        <w:rPr>
          <w:rFonts w:ascii="Times New Roman" w:hAnsi="Times New Roman"/>
          <w:sz w:val="24"/>
          <w:szCs w:val="24"/>
        </w:rPr>
      </w:pPr>
      <w:r>
        <w:rPr>
          <w:rFonts w:ascii="Times New Roman" w:hAnsi="Times New Roman"/>
          <w:sz w:val="24"/>
          <w:szCs w:val="24"/>
        </w:rPr>
        <w:t>IAFF AMICUS BRIEF:</w:t>
      </w:r>
    </w:p>
    <w:p w14:paraId="69AA48BE" w14:textId="77777777" w:rsidR="00264998" w:rsidRDefault="00264998" w:rsidP="00264998">
      <w:pPr>
        <w:pStyle w:val="NoSpacing"/>
        <w:rPr>
          <w:rFonts w:ascii="Times New Roman" w:hAnsi="Times New Roman"/>
          <w:sz w:val="24"/>
          <w:szCs w:val="24"/>
        </w:rPr>
      </w:pPr>
    </w:p>
    <w:p w14:paraId="44B58893"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“This amicus brief is submitted in support of the Petition for Certiorari filed by Petitioner, Lt. Karyn D. Stanley (Ret.), who throughout her distinguished </w:t>
      </w:r>
      <w:proofErr w:type="spellStart"/>
      <w:r>
        <w:rPr>
          <w:rFonts w:ascii="Times New Roman" w:hAnsi="Times New Roman"/>
          <w:sz w:val="24"/>
          <w:szCs w:val="24"/>
        </w:rPr>
        <w:t>fire fighting</w:t>
      </w:r>
      <w:proofErr w:type="spellEnd"/>
      <w:r>
        <w:rPr>
          <w:rFonts w:ascii="Times New Roman" w:hAnsi="Times New Roman"/>
          <w:sz w:val="24"/>
          <w:szCs w:val="24"/>
        </w:rPr>
        <w:t xml:space="preserve"> career has been a member of one IAFF affiliate, the Sanford Professional Firefighters, IAFF Local 3996.</w:t>
      </w:r>
    </w:p>
    <w:p w14:paraId="03454A4B" w14:textId="77777777" w:rsidR="00264998" w:rsidRDefault="00264998" w:rsidP="00264998">
      <w:pPr>
        <w:pStyle w:val="NoSpacing"/>
        <w:ind w:left="720"/>
        <w:rPr>
          <w:rFonts w:ascii="Times New Roman" w:hAnsi="Times New Roman"/>
          <w:sz w:val="24"/>
          <w:szCs w:val="24"/>
        </w:rPr>
      </w:pPr>
    </w:p>
    <w:p w14:paraId="143FDF63"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w:t>
      </w:r>
    </w:p>
    <w:p w14:paraId="71699F06"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Notwithstanding these developments, the federal courts continue to perpetuate unnecessary disparities in fire fighter access to benefits following disability by illness or injury. Too many federal courts – including the Eleventh Circuit in its decision below - have remained closed for decades to claims of unlawful disability discrimination that does not manifest until after disability forces a premature end to the employment relationship. Overly narrow applications of the ADA persist, despite Congress passing legislation amending the statute in response to judicial </w:t>
      </w:r>
      <w:proofErr w:type="gramStart"/>
      <w:r>
        <w:rPr>
          <w:rFonts w:ascii="Times New Roman" w:hAnsi="Times New Roman"/>
          <w:sz w:val="24"/>
          <w:szCs w:val="24"/>
        </w:rPr>
        <w:t>decisions it</w:t>
      </w:r>
      <w:proofErr w:type="gramEnd"/>
      <w:r>
        <w:rPr>
          <w:rFonts w:ascii="Times New Roman" w:hAnsi="Times New Roman"/>
          <w:sz w:val="24"/>
          <w:szCs w:val="24"/>
        </w:rPr>
        <w:t xml:space="preserve"> criticized for ‘unduly restricting the </w:t>
      </w:r>
      <w:proofErr w:type="gramStart"/>
      <w:r>
        <w:rPr>
          <w:rFonts w:ascii="Times New Roman" w:hAnsi="Times New Roman"/>
          <w:sz w:val="24"/>
          <w:szCs w:val="24"/>
        </w:rPr>
        <w:t>time period</w:t>
      </w:r>
      <w:proofErr w:type="gramEnd"/>
      <w:r>
        <w:rPr>
          <w:rFonts w:ascii="Times New Roman" w:hAnsi="Times New Roman"/>
          <w:sz w:val="24"/>
          <w:szCs w:val="24"/>
        </w:rPr>
        <w:t xml:space="preserve"> in which victims of discrimination can challenge and recover for discriminatory compensation decisions or other practices, contrary to the intent of</w:t>
      </w:r>
    </w:p>
    <w:p w14:paraId="7C0693A6"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Congress.’ Pub. L. 111-2, 123 Stat. 5.</w:t>
      </w:r>
    </w:p>
    <w:p w14:paraId="235B4BDB" w14:textId="77777777" w:rsidR="00264998" w:rsidRDefault="00264998" w:rsidP="00264998">
      <w:pPr>
        <w:pStyle w:val="NoSpacing"/>
        <w:ind w:left="720"/>
        <w:rPr>
          <w:rFonts w:ascii="Times New Roman" w:hAnsi="Times New Roman"/>
          <w:sz w:val="24"/>
          <w:szCs w:val="24"/>
        </w:rPr>
      </w:pPr>
    </w:p>
    <w:p w14:paraId="0079D07A"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No disabled fire fighter, including Lt. Stanley, should be denied the opportunity to present a well pled complaint that the employer for whom she performed the essential work that likely contributed to her disability has unlawfully discriminated against her on account of that disability.  </w:t>
      </w:r>
    </w:p>
    <w:p w14:paraId="5C3F8979" w14:textId="77777777" w:rsidR="00264998" w:rsidRDefault="00264998" w:rsidP="00264998">
      <w:pPr>
        <w:pStyle w:val="NoSpacing"/>
        <w:ind w:left="720"/>
        <w:rPr>
          <w:rFonts w:ascii="Times New Roman" w:hAnsi="Times New Roman"/>
          <w:sz w:val="24"/>
          <w:szCs w:val="24"/>
        </w:rPr>
      </w:pPr>
    </w:p>
    <w:p w14:paraId="0C89C6CC"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w:t>
      </w:r>
    </w:p>
    <w:p w14:paraId="1C9C24E7" w14:textId="77777777" w:rsidR="00264998" w:rsidRDefault="00264998" w:rsidP="00264998">
      <w:pPr>
        <w:pStyle w:val="NoSpacing"/>
        <w:ind w:left="720"/>
        <w:rPr>
          <w:rFonts w:ascii="Times New Roman" w:hAnsi="Times New Roman"/>
          <w:sz w:val="24"/>
          <w:szCs w:val="24"/>
        </w:rPr>
      </w:pPr>
    </w:p>
    <w:p w14:paraId="2D406C83"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After nearly two decades of </w:t>
      </w:r>
      <w:proofErr w:type="spellStart"/>
      <w:r>
        <w:rPr>
          <w:rFonts w:ascii="Times New Roman" w:hAnsi="Times New Roman"/>
          <w:sz w:val="24"/>
          <w:szCs w:val="24"/>
        </w:rPr>
        <w:t>fire fighting</w:t>
      </w:r>
      <w:proofErr w:type="spellEnd"/>
      <w:r>
        <w:rPr>
          <w:rFonts w:ascii="Times New Roman" w:hAnsi="Times New Roman"/>
          <w:sz w:val="24"/>
          <w:szCs w:val="24"/>
        </w:rPr>
        <w:t xml:space="preserve">, Parkinsons disease robbed Lt. Stanley of her ability to perform the essential duties of her demanding position at age 47. Pet. App. 2a. But she first suffered discrimination within the purview of the ADA as modified by the Fair Pay Act, when a benefit plan that initially paid a monthly stipend to all service eligible retired employees until age 65 was modified so that employees who retired as a result of disability were only provided the monthly stipend for 24 months after retirement. Pet. App 3a. This benefit plan was unlawfully modified in or around 2003, while Lt. Stanley worked for the </w:t>
      </w:r>
      <w:proofErr w:type="gramStart"/>
      <w:r>
        <w:rPr>
          <w:rFonts w:ascii="Times New Roman" w:hAnsi="Times New Roman"/>
          <w:sz w:val="24"/>
          <w:szCs w:val="24"/>
        </w:rPr>
        <w:t>City</w:t>
      </w:r>
      <w:proofErr w:type="gramEnd"/>
      <w:r>
        <w:rPr>
          <w:rFonts w:ascii="Times New Roman" w:hAnsi="Times New Roman"/>
          <w:sz w:val="24"/>
          <w:szCs w:val="24"/>
        </w:rPr>
        <w:t>. Id. Thus, she was a ‘qualified individual’ at the time a “discriminatory compensation decision or other practice is adopted,” 42 U.S.C. §</w:t>
      </w:r>
    </w:p>
    <w:p w14:paraId="1B8FB914" w14:textId="77777777" w:rsidR="00264998" w:rsidRDefault="00264998" w:rsidP="00264998">
      <w:pPr>
        <w:pStyle w:val="NoSpacing"/>
        <w:ind w:left="1440"/>
        <w:rPr>
          <w:rFonts w:ascii="Times New Roman" w:hAnsi="Times New Roman"/>
          <w:sz w:val="24"/>
          <w:szCs w:val="24"/>
        </w:rPr>
      </w:pPr>
      <w:r>
        <w:rPr>
          <w:rFonts w:ascii="Times New Roman" w:hAnsi="Times New Roman"/>
          <w:sz w:val="24"/>
          <w:szCs w:val="24"/>
        </w:rPr>
        <w:t xml:space="preserve">2000e-5(e)(3)(A).” [IAFF Amicus Brief; </w:t>
      </w:r>
      <w:hyperlink r:id="rId1642" w:history="1">
        <w:r>
          <w:rPr>
            <w:rStyle w:val="Hyperlink"/>
            <w:rFonts w:ascii="Times New Roman" w:hAnsi="Times New Roman"/>
            <w:sz w:val="24"/>
            <w:szCs w:val="24"/>
          </w:rPr>
          <w:t>https://www.supremecourt.gov/DocketPDF/23/23-997/307313/20240411092101975_Amicus%20Brief.pdf</w:t>
        </w:r>
      </w:hyperlink>
      <w:r>
        <w:rPr>
          <w:rFonts w:ascii="Times New Roman" w:hAnsi="Times New Roman"/>
          <w:sz w:val="24"/>
          <w:szCs w:val="24"/>
        </w:rPr>
        <w:t xml:space="preserve"> .] </w:t>
      </w:r>
    </w:p>
    <w:p w14:paraId="5E80F93B" w14:textId="77777777" w:rsidR="00264998" w:rsidRDefault="00264998" w:rsidP="005C30A4">
      <w:pPr>
        <w:pStyle w:val="NoSpacing"/>
        <w:rPr>
          <w:rFonts w:ascii="Arial Black" w:hAnsi="Arial Black"/>
          <w:sz w:val="24"/>
          <w:szCs w:val="24"/>
        </w:rPr>
      </w:pPr>
    </w:p>
    <w:p w14:paraId="5E5F65B1" w14:textId="77777777" w:rsidR="00264998" w:rsidRDefault="00264998" w:rsidP="005C30A4">
      <w:pPr>
        <w:pStyle w:val="NoSpacing"/>
        <w:rPr>
          <w:rFonts w:ascii="Arial Black" w:hAnsi="Arial Black"/>
          <w:sz w:val="24"/>
          <w:szCs w:val="24"/>
        </w:rPr>
      </w:pPr>
    </w:p>
    <w:p w14:paraId="22BD0FA5" w14:textId="77777777" w:rsidR="008D4459" w:rsidRDefault="008D4459" w:rsidP="005C30A4">
      <w:pPr>
        <w:pStyle w:val="NoSpacing"/>
        <w:rPr>
          <w:rFonts w:ascii="Arial Black" w:hAnsi="Arial Black"/>
          <w:sz w:val="24"/>
          <w:szCs w:val="24"/>
        </w:rPr>
      </w:pPr>
    </w:p>
    <w:p w14:paraId="0FB266BC" w14:textId="4D6B26D1" w:rsidR="00AB6735" w:rsidRDefault="005E544B" w:rsidP="005C30A4">
      <w:pPr>
        <w:pStyle w:val="NoSpacing"/>
        <w:rPr>
          <w:rFonts w:ascii="Arial Black" w:hAnsi="Arial Black"/>
          <w:sz w:val="24"/>
          <w:szCs w:val="24"/>
        </w:rPr>
      </w:pPr>
      <w:r>
        <w:rPr>
          <w:rFonts w:ascii="Arial Black" w:hAnsi="Arial Black"/>
          <w:sz w:val="24"/>
          <w:szCs w:val="24"/>
        </w:rPr>
        <w:t>9-44</w:t>
      </w:r>
    </w:p>
    <w:p w14:paraId="6F266C64" w14:textId="77777777" w:rsidR="005E544B" w:rsidRDefault="005E544B" w:rsidP="005C30A4">
      <w:pPr>
        <w:pStyle w:val="NoSpacing"/>
        <w:rPr>
          <w:rFonts w:ascii="Arial Black" w:hAnsi="Arial Black"/>
          <w:sz w:val="24"/>
          <w:szCs w:val="24"/>
        </w:rPr>
      </w:pPr>
    </w:p>
    <w:p w14:paraId="7448EEBE" w14:textId="77777777" w:rsidR="005E544B" w:rsidRPr="00C14769" w:rsidRDefault="005E544B" w:rsidP="005E544B">
      <w:pPr>
        <w:rPr>
          <w:rFonts w:ascii="Arial Black" w:hAnsi="Arial Black"/>
          <w:sz w:val="28"/>
          <w:szCs w:val="28"/>
        </w:rPr>
      </w:pPr>
      <w:r>
        <w:rPr>
          <w:rFonts w:ascii="Arial Black" w:hAnsi="Arial Black"/>
          <w:sz w:val="28"/>
          <w:szCs w:val="28"/>
        </w:rPr>
        <w:t>OH: DISPATCHER &amp; DATA ENTRY CLERK – BIPOLAR - CAN NO LONGER PERFORM AS DISPATCHER – NO CASE</w:t>
      </w:r>
    </w:p>
    <w:p w14:paraId="2CFBF705" w14:textId="77777777" w:rsidR="005E544B" w:rsidRDefault="005E544B" w:rsidP="005E544B">
      <w:pPr>
        <w:pStyle w:val="NoSpacing"/>
        <w:rPr>
          <w:rFonts w:ascii="Times New Roman" w:hAnsi="Times New Roman"/>
          <w:sz w:val="24"/>
          <w:szCs w:val="24"/>
        </w:rPr>
      </w:pPr>
      <w:r>
        <w:rPr>
          <w:rFonts w:ascii="Times New Roman" w:hAnsi="Times New Roman"/>
          <w:sz w:val="24"/>
          <w:szCs w:val="24"/>
        </w:rPr>
        <w:t xml:space="preserve">On March 18, 2024, in </w:t>
      </w:r>
      <w:r w:rsidRPr="00391E7E">
        <w:rPr>
          <w:rFonts w:ascii="Times New Roman" w:hAnsi="Times New Roman"/>
          <w:sz w:val="24"/>
          <w:szCs w:val="24"/>
          <w:u w:val="single"/>
        </w:rPr>
        <w:t>Charity Hunt v. Randy Thorp, Licking County Sheriff</w:t>
      </w:r>
      <w:r>
        <w:rPr>
          <w:rFonts w:ascii="Times New Roman" w:hAnsi="Times New Roman"/>
          <w:sz w:val="24"/>
          <w:szCs w:val="24"/>
        </w:rPr>
        <w:t xml:space="preserve">, the U.S. Court of Appeals for Sixth Circuit (Cincinnati) held (2 to 1; unpublished decision) that trial court judge properly dismissed the case. </w:t>
      </w:r>
    </w:p>
    <w:p w14:paraId="0BC38053" w14:textId="77777777" w:rsidR="003956F7" w:rsidRDefault="003956F7" w:rsidP="003956F7">
      <w:pPr>
        <w:pStyle w:val="NoSpacing"/>
        <w:rPr>
          <w:rFonts w:ascii="Times New Roman" w:hAnsi="Times New Roman"/>
          <w:sz w:val="24"/>
          <w:szCs w:val="24"/>
          <w:shd w:val="clear" w:color="auto" w:fill="FFFFFF"/>
        </w:rPr>
      </w:pPr>
    </w:p>
    <w:p w14:paraId="11F7A970" w14:textId="1ABE25F9"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67D5A23" w14:textId="77777777" w:rsidR="003956F7" w:rsidRDefault="003956F7" w:rsidP="005E544B">
      <w:pPr>
        <w:pStyle w:val="NoSpacing"/>
        <w:rPr>
          <w:rFonts w:ascii="Times New Roman" w:hAnsi="Times New Roman"/>
          <w:sz w:val="24"/>
          <w:szCs w:val="24"/>
        </w:rPr>
      </w:pPr>
    </w:p>
    <w:p w14:paraId="122517EA" w14:textId="77777777" w:rsidR="005E544B" w:rsidRDefault="005E544B" w:rsidP="005E544B">
      <w:pPr>
        <w:pStyle w:val="NoSpacing"/>
        <w:ind w:left="720"/>
        <w:rPr>
          <w:rFonts w:ascii="Times New Roman" w:hAnsi="Times New Roman"/>
          <w:sz w:val="24"/>
          <w:szCs w:val="24"/>
        </w:rPr>
      </w:pPr>
      <w:r>
        <w:rPr>
          <w:rFonts w:ascii="Times New Roman" w:hAnsi="Times New Roman"/>
          <w:sz w:val="24"/>
          <w:szCs w:val="24"/>
        </w:rPr>
        <w:t>“</w:t>
      </w:r>
      <w:r w:rsidRPr="00AB520F">
        <w:rPr>
          <w:rFonts w:ascii="Times New Roman" w:hAnsi="Times New Roman"/>
          <w:sz w:val="24"/>
          <w:szCs w:val="24"/>
        </w:rPr>
        <w:t>This case arises from Charity Hunt’s complaint of</w:t>
      </w:r>
      <w:r>
        <w:rPr>
          <w:rFonts w:ascii="Times New Roman" w:hAnsi="Times New Roman"/>
          <w:sz w:val="24"/>
          <w:szCs w:val="24"/>
        </w:rPr>
        <w:t xml:space="preserve"> </w:t>
      </w:r>
      <w:r w:rsidRPr="00AB520F">
        <w:rPr>
          <w:rFonts w:ascii="Times New Roman" w:hAnsi="Times New Roman"/>
          <w:sz w:val="24"/>
          <w:szCs w:val="24"/>
        </w:rPr>
        <w:t>disability discrimination suffered in her workplace. The Licking County Sheriff’s Office (LCSO),</w:t>
      </w:r>
      <w:r>
        <w:rPr>
          <w:rFonts w:ascii="Times New Roman" w:hAnsi="Times New Roman"/>
          <w:sz w:val="24"/>
          <w:szCs w:val="24"/>
        </w:rPr>
        <w:t xml:space="preserve"> </w:t>
      </w:r>
      <w:r w:rsidRPr="00AB520F">
        <w:rPr>
          <w:rFonts w:ascii="Times New Roman" w:hAnsi="Times New Roman"/>
          <w:sz w:val="24"/>
          <w:szCs w:val="24"/>
        </w:rPr>
        <w:t>in May 2018, hired Hunt as a dispatcher. After approximately one year, she transferred to a new</w:t>
      </w:r>
      <w:r>
        <w:rPr>
          <w:rFonts w:ascii="Times New Roman" w:hAnsi="Times New Roman"/>
          <w:sz w:val="24"/>
          <w:szCs w:val="24"/>
        </w:rPr>
        <w:t xml:space="preserve"> </w:t>
      </w:r>
      <w:r w:rsidRPr="00AB520F">
        <w:rPr>
          <w:rFonts w:ascii="Times New Roman" w:hAnsi="Times New Roman"/>
          <w:sz w:val="24"/>
          <w:szCs w:val="24"/>
        </w:rPr>
        <w:t>position, the LCSO Dispatcher-Data Entry Specialist. In that job, she primarily entered warrants</w:t>
      </w:r>
      <w:r>
        <w:rPr>
          <w:rFonts w:ascii="Times New Roman" w:hAnsi="Times New Roman"/>
          <w:sz w:val="24"/>
          <w:szCs w:val="24"/>
        </w:rPr>
        <w:t xml:space="preserve"> </w:t>
      </w:r>
      <w:r w:rsidRPr="00AB520F">
        <w:rPr>
          <w:rFonts w:ascii="Times New Roman" w:hAnsi="Times New Roman"/>
          <w:sz w:val="24"/>
          <w:szCs w:val="24"/>
        </w:rPr>
        <w:t>and protective orders into the LCSO’s data system. But she was also expected to continue</w:t>
      </w:r>
      <w:r>
        <w:rPr>
          <w:rFonts w:ascii="Times New Roman" w:hAnsi="Times New Roman"/>
          <w:sz w:val="24"/>
          <w:szCs w:val="24"/>
        </w:rPr>
        <w:t xml:space="preserve"> </w:t>
      </w:r>
      <w:r w:rsidRPr="00AB520F">
        <w:rPr>
          <w:rFonts w:ascii="Times New Roman" w:hAnsi="Times New Roman"/>
          <w:sz w:val="24"/>
          <w:szCs w:val="24"/>
        </w:rPr>
        <w:t>performing dispatch duties when needed.</w:t>
      </w:r>
    </w:p>
    <w:p w14:paraId="341336B6" w14:textId="77777777" w:rsidR="005E544B" w:rsidRPr="00AB520F" w:rsidRDefault="005E544B" w:rsidP="005E544B">
      <w:pPr>
        <w:pStyle w:val="NoSpacing"/>
        <w:rPr>
          <w:rFonts w:ascii="Times New Roman" w:hAnsi="Times New Roman"/>
          <w:sz w:val="24"/>
          <w:szCs w:val="24"/>
        </w:rPr>
      </w:pPr>
    </w:p>
    <w:p w14:paraId="6026C1A0" w14:textId="77777777" w:rsidR="005E544B" w:rsidRPr="00AB520F" w:rsidRDefault="005E544B" w:rsidP="005E544B">
      <w:pPr>
        <w:pStyle w:val="NoSpacing"/>
        <w:ind w:firstLine="720"/>
        <w:rPr>
          <w:rFonts w:ascii="Times New Roman" w:hAnsi="Times New Roman"/>
          <w:sz w:val="24"/>
          <w:szCs w:val="24"/>
        </w:rPr>
      </w:pPr>
      <w:r w:rsidRPr="00AB520F">
        <w:rPr>
          <w:rFonts w:ascii="Times New Roman" w:hAnsi="Times New Roman"/>
          <w:sz w:val="24"/>
          <w:szCs w:val="24"/>
        </w:rPr>
        <w:t>After a bipolar episode severe enough to warrant an extended leave, Hunt attempted to</w:t>
      </w:r>
    </w:p>
    <w:p w14:paraId="49DF0B57" w14:textId="77777777" w:rsidR="005E544B" w:rsidRDefault="005E544B" w:rsidP="005E544B">
      <w:pPr>
        <w:pStyle w:val="NoSpacing"/>
        <w:ind w:left="720"/>
        <w:rPr>
          <w:rFonts w:ascii="Times New Roman" w:hAnsi="Times New Roman"/>
          <w:sz w:val="24"/>
          <w:szCs w:val="24"/>
        </w:rPr>
      </w:pPr>
      <w:r w:rsidRPr="00AB520F">
        <w:rPr>
          <w:rFonts w:ascii="Times New Roman" w:hAnsi="Times New Roman"/>
          <w:sz w:val="24"/>
          <w:szCs w:val="24"/>
        </w:rPr>
        <w:t>return to work. She requested that she no longer be required to perform dispatch duties because</w:t>
      </w:r>
      <w:r>
        <w:rPr>
          <w:rFonts w:ascii="Times New Roman" w:hAnsi="Times New Roman"/>
          <w:sz w:val="24"/>
          <w:szCs w:val="24"/>
        </w:rPr>
        <w:t xml:space="preserve"> </w:t>
      </w:r>
      <w:r w:rsidRPr="00AB520F">
        <w:rPr>
          <w:rFonts w:ascii="Times New Roman" w:hAnsi="Times New Roman"/>
          <w:sz w:val="24"/>
          <w:szCs w:val="24"/>
        </w:rPr>
        <w:t>of the stress of that task. After the LCSO rejected her request, Hunt sued for violations of the</w:t>
      </w:r>
      <w:r>
        <w:rPr>
          <w:rFonts w:ascii="Times New Roman" w:hAnsi="Times New Roman"/>
          <w:sz w:val="24"/>
          <w:szCs w:val="24"/>
        </w:rPr>
        <w:t xml:space="preserve"> </w:t>
      </w:r>
      <w:r w:rsidRPr="00AB520F">
        <w:rPr>
          <w:rFonts w:ascii="Times New Roman" w:hAnsi="Times New Roman"/>
          <w:sz w:val="24"/>
          <w:szCs w:val="24"/>
        </w:rPr>
        <w:t>Americans with Disabilities Act (ADA) and Family and Medical Leave Act (FMLA).</w:t>
      </w:r>
    </w:p>
    <w:p w14:paraId="0CC2D7E2" w14:textId="77777777" w:rsidR="005E544B" w:rsidRDefault="005E544B" w:rsidP="005E544B">
      <w:pPr>
        <w:pStyle w:val="NoSpacing"/>
        <w:rPr>
          <w:rFonts w:ascii="Times New Roman" w:hAnsi="Times New Roman"/>
          <w:sz w:val="24"/>
          <w:szCs w:val="24"/>
        </w:rPr>
      </w:pPr>
    </w:p>
    <w:p w14:paraId="29E0B353" w14:textId="77777777" w:rsidR="005E544B" w:rsidRDefault="005E544B" w:rsidP="005E544B">
      <w:pPr>
        <w:pStyle w:val="NoSpacing"/>
        <w:ind w:left="720"/>
        <w:rPr>
          <w:rFonts w:ascii="Times New Roman" w:hAnsi="Times New Roman"/>
          <w:sz w:val="24"/>
          <w:szCs w:val="24"/>
        </w:rPr>
      </w:pPr>
      <w:r w:rsidRPr="00772425">
        <w:rPr>
          <w:rFonts w:ascii="Times New Roman" w:hAnsi="Times New Roman"/>
          <w:sz w:val="24"/>
          <w:szCs w:val="24"/>
        </w:rPr>
        <w:t>This appeal comes down to one question: whether dispatch duties are an essential function</w:t>
      </w:r>
      <w:r>
        <w:rPr>
          <w:rFonts w:ascii="Times New Roman" w:hAnsi="Times New Roman"/>
          <w:sz w:val="24"/>
          <w:szCs w:val="24"/>
        </w:rPr>
        <w:t xml:space="preserve"> </w:t>
      </w:r>
      <w:r w:rsidRPr="00772425">
        <w:rPr>
          <w:rFonts w:ascii="Times New Roman" w:hAnsi="Times New Roman"/>
          <w:sz w:val="24"/>
          <w:szCs w:val="24"/>
        </w:rPr>
        <w:t>of Hunt’s position as a Dispatcher-Data Entry Specialist. The district court determined that they</w:t>
      </w:r>
      <w:r>
        <w:rPr>
          <w:rFonts w:ascii="Times New Roman" w:hAnsi="Times New Roman"/>
          <w:sz w:val="24"/>
          <w:szCs w:val="24"/>
        </w:rPr>
        <w:t xml:space="preserve"> </w:t>
      </w:r>
      <w:r w:rsidRPr="00772425">
        <w:rPr>
          <w:rFonts w:ascii="Times New Roman" w:hAnsi="Times New Roman"/>
          <w:sz w:val="24"/>
          <w:szCs w:val="24"/>
        </w:rPr>
        <w:t>are and thus held that Hunt was not a qualified individual under the ADA. Accordingly, she was</w:t>
      </w:r>
      <w:r>
        <w:rPr>
          <w:rFonts w:ascii="Times New Roman" w:hAnsi="Times New Roman"/>
          <w:sz w:val="24"/>
          <w:szCs w:val="24"/>
        </w:rPr>
        <w:t xml:space="preserve"> </w:t>
      </w:r>
      <w:r w:rsidRPr="00772425">
        <w:rPr>
          <w:rFonts w:ascii="Times New Roman" w:hAnsi="Times New Roman"/>
          <w:sz w:val="24"/>
          <w:szCs w:val="24"/>
        </w:rPr>
        <w:t xml:space="preserve">not entitled to </w:t>
      </w:r>
      <w:proofErr w:type="gramStart"/>
      <w:r w:rsidRPr="00772425">
        <w:rPr>
          <w:rFonts w:ascii="Times New Roman" w:hAnsi="Times New Roman"/>
          <w:sz w:val="24"/>
          <w:szCs w:val="24"/>
        </w:rPr>
        <w:t>the ADA’s</w:t>
      </w:r>
      <w:proofErr w:type="gramEnd"/>
      <w:r w:rsidRPr="00772425">
        <w:rPr>
          <w:rFonts w:ascii="Times New Roman" w:hAnsi="Times New Roman"/>
          <w:sz w:val="24"/>
          <w:szCs w:val="24"/>
        </w:rPr>
        <w:t xml:space="preserve"> protections, or related FMLA protections. For reasons that follow, we</w:t>
      </w:r>
      <w:r>
        <w:rPr>
          <w:rFonts w:ascii="Times New Roman" w:hAnsi="Times New Roman"/>
          <w:sz w:val="24"/>
          <w:szCs w:val="24"/>
        </w:rPr>
        <w:t xml:space="preserve"> </w:t>
      </w:r>
      <w:r w:rsidRPr="00772425">
        <w:rPr>
          <w:rFonts w:ascii="Times New Roman" w:hAnsi="Times New Roman"/>
          <w:sz w:val="24"/>
          <w:szCs w:val="24"/>
        </w:rPr>
        <w:t>agree with the district court and therefore AFFIRM.</w:t>
      </w:r>
    </w:p>
    <w:p w14:paraId="2C4C2FCD" w14:textId="77777777" w:rsidR="005E544B" w:rsidRDefault="005E544B" w:rsidP="005E544B">
      <w:pPr>
        <w:pStyle w:val="NoSpacing"/>
        <w:ind w:left="720"/>
        <w:rPr>
          <w:rFonts w:ascii="Times New Roman" w:hAnsi="Times New Roman"/>
          <w:sz w:val="24"/>
          <w:szCs w:val="24"/>
        </w:rPr>
      </w:pPr>
    </w:p>
    <w:p w14:paraId="01D28B3E" w14:textId="77777777" w:rsidR="005E544B" w:rsidRDefault="005E544B" w:rsidP="005E544B">
      <w:pPr>
        <w:pStyle w:val="NoSpacing"/>
        <w:ind w:left="720"/>
        <w:rPr>
          <w:rFonts w:ascii="Times New Roman" w:hAnsi="Times New Roman"/>
          <w:sz w:val="24"/>
          <w:szCs w:val="24"/>
        </w:rPr>
      </w:pPr>
      <w:r>
        <w:rPr>
          <w:rFonts w:ascii="Times New Roman" w:hAnsi="Times New Roman"/>
          <w:sz w:val="24"/>
          <w:szCs w:val="24"/>
        </w:rPr>
        <w:t>***</w:t>
      </w:r>
    </w:p>
    <w:p w14:paraId="05346CBE" w14:textId="77777777" w:rsidR="005E544B" w:rsidRPr="00CB05B4" w:rsidRDefault="005E544B" w:rsidP="005E544B">
      <w:pPr>
        <w:pStyle w:val="NoSpacing"/>
        <w:ind w:left="720"/>
        <w:rPr>
          <w:rFonts w:ascii="Times New Roman" w:hAnsi="Times New Roman"/>
          <w:sz w:val="24"/>
          <w:szCs w:val="24"/>
        </w:rPr>
      </w:pPr>
      <w:r w:rsidRPr="00CB05B4">
        <w:rPr>
          <w:rFonts w:ascii="Times New Roman" w:hAnsi="Times New Roman"/>
          <w:sz w:val="24"/>
          <w:szCs w:val="24"/>
        </w:rPr>
        <w:t>Hunt’s FMLA-interference claim fails for the same reason her ADA claim fails. That is,</w:t>
      </w:r>
    </w:p>
    <w:p w14:paraId="473C76BD" w14:textId="77777777" w:rsidR="005E544B" w:rsidRDefault="005E544B" w:rsidP="005E544B">
      <w:pPr>
        <w:pStyle w:val="NoSpacing"/>
        <w:ind w:left="720"/>
        <w:rPr>
          <w:rFonts w:ascii="Times New Roman" w:hAnsi="Times New Roman"/>
          <w:sz w:val="24"/>
          <w:szCs w:val="24"/>
        </w:rPr>
      </w:pPr>
      <w:r w:rsidRPr="00CB05B4">
        <w:rPr>
          <w:rFonts w:ascii="Times New Roman" w:hAnsi="Times New Roman"/>
          <w:sz w:val="24"/>
          <w:szCs w:val="24"/>
        </w:rPr>
        <w:t>because Hunt was not released to perform the essential functions of her position at the end of her</w:t>
      </w:r>
      <w:r>
        <w:rPr>
          <w:rFonts w:ascii="Times New Roman" w:hAnsi="Times New Roman"/>
          <w:sz w:val="24"/>
          <w:szCs w:val="24"/>
        </w:rPr>
        <w:t xml:space="preserve"> </w:t>
      </w:r>
      <w:r w:rsidRPr="00CB05B4">
        <w:rPr>
          <w:rFonts w:ascii="Times New Roman" w:hAnsi="Times New Roman"/>
          <w:sz w:val="24"/>
          <w:szCs w:val="24"/>
        </w:rPr>
        <w:t>FMLA leave (i.e., dispatch duties), the LCSO did not deny Hunt any benefits to which she was</w:t>
      </w:r>
      <w:r>
        <w:rPr>
          <w:rFonts w:ascii="Times New Roman" w:hAnsi="Times New Roman"/>
          <w:sz w:val="24"/>
          <w:szCs w:val="24"/>
        </w:rPr>
        <w:t xml:space="preserve"> </w:t>
      </w:r>
      <w:r w:rsidRPr="00CB05B4">
        <w:rPr>
          <w:rFonts w:ascii="Times New Roman" w:hAnsi="Times New Roman"/>
          <w:sz w:val="24"/>
          <w:szCs w:val="24"/>
        </w:rPr>
        <w:t xml:space="preserve">otherwise </w:t>
      </w:r>
      <w:proofErr w:type="gramStart"/>
      <w:r w:rsidRPr="00CB05B4">
        <w:rPr>
          <w:rFonts w:ascii="Times New Roman" w:hAnsi="Times New Roman"/>
          <w:sz w:val="24"/>
          <w:szCs w:val="24"/>
        </w:rPr>
        <w:t>entitled.</w:t>
      </w:r>
      <w:r>
        <w:rPr>
          <w:rFonts w:ascii="Times New Roman" w:hAnsi="Times New Roman"/>
          <w:sz w:val="24"/>
          <w:szCs w:val="24"/>
        </w:rPr>
        <w:t>”</w:t>
      </w:r>
      <w:proofErr w:type="gramEnd"/>
    </w:p>
    <w:p w14:paraId="75A40697" w14:textId="77777777" w:rsidR="005E544B" w:rsidRDefault="005E544B" w:rsidP="005E544B">
      <w:pPr>
        <w:pStyle w:val="NoSpacing"/>
        <w:ind w:left="720"/>
        <w:rPr>
          <w:rFonts w:ascii="Times New Roman" w:hAnsi="Times New Roman"/>
          <w:sz w:val="24"/>
          <w:szCs w:val="24"/>
        </w:rPr>
      </w:pPr>
      <w:r>
        <w:rPr>
          <w:rFonts w:ascii="Times New Roman" w:hAnsi="Times New Roman"/>
          <w:sz w:val="24"/>
          <w:szCs w:val="24"/>
        </w:rPr>
        <w:t xml:space="preserve"> </w:t>
      </w:r>
      <w:hyperlink r:id="rId1643" w:history="1">
        <w:r w:rsidRPr="001C375D">
          <w:rPr>
            <w:rStyle w:val="Hyperlink"/>
            <w:rFonts w:ascii="Times New Roman" w:hAnsi="Times New Roman"/>
            <w:sz w:val="24"/>
            <w:szCs w:val="24"/>
          </w:rPr>
          <w:t>https://cases.justia.com/federal/appellate-courts/ca6/23-3459/23-3459-2024-03-18.pdf?ts=1710795630</w:t>
        </w:r>
      </w:hyperlink>
      <w:r>
        <w:rPr>
          <w:rFonts w:ascii="Times New Roman" w:hAnsi="Times New Roman"/>
          <w:sz w:val="24"/>
          <w:szCs w:val="24"/>
        </w:rPr>
        <w:t xml:space="preserve"> </w:t>
      </w:r>
    </w:p>
    <w:p w14:paraId="309DCCE3" w14:textId="77777777" w:rsidR="005E544B" w:rsidRDefault="005E544B" w:rsidP="005E544B">
      <w:pPr>
        <w:pStyle w:val="NoSpacing"/>
        <w:ind w:left="720"/>
        <w:rPr>
          <w:rFonts w:ascii="Times New Roman" w:hAnsi="Times New Roman"/>
          <w:sz w:val="24"/>
          <w:szCs w:val="24"/>
        </w:rPr>
      </w:pPr>
    </w:p>
    <w:p w14:paraId="46E2D0DD" w14:textId="77777777" w:rsidR="005E544B" w:rsidRDefault="005E544B" w:rsidP="005E544B">
      <w:pPr>
        <w:pStyle w:val="NoSpacing"/>
        <w:ind w:left="720"/>
        <w:rPr>
          <w:rFonts w:ascii="Times New Roman" w:hAnsi="Times New Roman"/>
          <w:sz w:val="24"/>
          <w:szCs w:val="24"/>
        </w:rPr>
      </w:pPr>
    </w:p>
    <w:p w14:paraId="06738787" w14:textId="77777777" w:rsidR="005E544B" w:rsidRDefault="005E544B" w:rsidP="005E544B">
      <w:pPr>
        <w:pStyle w:val="NoSpacing"/>
        <w:rPr>
          <w:rFonts w:ascii="Times New Roman" w:hAnsi="Times New Roman"/>
          <w:sz w:val="24"/>
          <w:szCs w:val="24"/>
        </w:rPr>
      </w:pPr>
      <w:r>
        <w:rPr>
          <w:rFonts w:ascii="Times New Roman" w:hAnsi="Times New Roman"/>
          <w:sz w:val="24"/>
          <w:szCs w:val="24"/>
        </w:rPr>
        <w:t xml:space="preserve">DISSENT – JUDGE HELEN N. WHITE: </w:t>
      </w:r>
    </w:p>
    <w:p w14:paraId="19230656" w14:textId="77777777" w:rsidR="005E544B" w:rsidRDefault="005E544B" w:rsidP="005E544B">
      <w:pPr>
        <w:pStyle w:val="NoSpacing"/>
        <w:ind w:left="720"/>
        <w:rPr>
          <w:rFonts w:ascii="Times New Roman" w:hAnsi="Times New Roman"/>
          <w:sz w:val="24"/>
          <w:szCs w:val="24"/>
        </w:rPr>
      </w:pPr>
      <w:r>
        <w:rPr>
          <w:rFonts w:ascii="Times New Roman" w:hAnsi="Times New Roman"/>
          <w:sz w:val="24"/>
          <w:szCs w:val="24"/>
        </w:rPr>
        <w:t>“</w:t>
      </w:r>
      <w:r w:rsidRPr="00A30B7B">
        <w:rPr>
          <w:rFonts w:ascii="Times New Roman" w:hAnsi="Times New Roman"/>
          <w:sz w:val="24"/>
          <w:szCs w:val="24"/>
        </w:rPr>
        <w:t>When Charity Hunt served as the LCSO’s</w:t>
      </w:r>
      <w:r>
        <w:rPr>
          <w:rFonts w:ascii="Times New Roman" w:hAnsi="Times New Roman"/>
          <w:sz w:val="24"/>
          <w:szCs w:val="24"/>
        </w:rPr>
        <w:t xml:space="preserve"> </w:t>
      </w:r>
      <w:r w:rsidRPr="00A30B7B">
        <w:rPr>
          <w:rFonts w:ascii="Times New Roman" w:hAnsi="Times New Roman"/>
          <w:sz w:val="24"/>
          <w:szCs w:val="24"/>
        </w:rPr>
        <w:t>Dispatcher-Data Entry Specialist, dispatching emergency personnel was a virtually nonexistent</w:t>
      </w:r>
      <w:r>
        <w:rPr>
          <w:rFonts w:ascii="Times New Roman" w:hAnsi="Times New Roman"/>
          <w:sz w:val="24"/>
          <w:szCs w:val="24"/>
        </w:rPr>
        <w:t xml:space="preserve"> </w:t>
      </w:r>
      <w:r w:rsidRPr="00A30B7B">
        <w:rPr>
          <w:rFonts w:ascii="Times New Roman" w:hAnsi="Times New Roman"/>
          <w:sz w:val="24"/>
          <w:szCs w:val="24"/>
        </w:rPr>
        <w:t>element of her day-to-day duties</w:t>
      </w:r>
      <w:r>
        <w:rPr>
          <w:rFonts w:ascii="Times New Roman" w:hAnsi="Times New Roman"/>
          <w:sz w:val="24"/>
          <w:szCs w:val="24"/>
        </w:rPr>
        <w:t>.</w:t>
      </w:r>
    </w:p>
    <w:p w14:paraId="6FB6BEDF" w14:textId="77777777" w:rsidR="005E544B" w:rsidRDefault="005E544B" w:rsidP="005E544B">
      <w:pPr>
        <w:pStyle w:val="NoSpacing"/>
        <w:ind w:left="720"/>
        <w:rPr>
          <w:rFonts w:ascii="Times New Roman" w:hAnsi="Times New Roman"/>
          <w:sz w:val="24"/>
          <w:szCs w:val="24"/>
        </w:rPr>
      </w:pPr>
    </w:p>
    <w:p w14:paraId="50C5629A" w14:textId="77777777" w:rsidR="005E544B" w:rsidRDefault="005E544B" w:rsidP="005E544B">
      <w:pPr>
        <w:pStyle w:val="NoSpacing"/>
        <w:ind w:left="720"/>
        <w:rPr>
          <w:rFonts w:ascii="Times New Roman" w:hAnsi="Times New Roman"/>
          <w:sz w:val="24"/>
          <w:szCs w:val="24"/>
        </w:rPr>
      </w:pPr>
      <w:r>
        <w:rPr>
          <w:rFonts w:ascii="Times New Roman" w:hAnsi="Times New Roman"/>
          <w:sz w:val="24"/>
          <w:szCs w:val="24"/>
        </w:rPr>
        <w:t>***</w:t>
      </w:r>
    </w:p>
    <w:p w14:paraId="3F6495DF" w14:textId="77777777" w:rsidR="005E544B" w:rsidRDefault="005E544B" w:rsidP="005E544B">
      <w:pPr>
        <w:pStyle w:val="NoSpacing"/>
        <w:rPr>
          <w:rFonts w:ascii="Times New Roman" w:hAnsi="Times New Roman"/>
          <w:sz w:val="24"/>
          <w:szCs w:val="24"/>
        </w:rPr>
      </w:pPr>
    </w:p>
    <w:p w14:paraId="10D66362" w14:textId="77777777" w:rsidR="005E544B" w:rsidRDefault="005E544B" w:rsidP="005E544B">
      <w:pPr>
        <w:pStyle w:val="NoSpacing"/>
        <w:ind w:left="720"/>
        <w:rPr>
          <w:rFonts w:ascii="Times New Roman" w:hAnsi="Times New Roman"/>
          <w:sz w:val="24"/>
          <w:szCs w:val="24"/>
        </w:rPr>
      </w:pPr>
      <w:r w:rsidRPr="0039710A">
        <w:rPr>
          <w:rFonts w:ascii="Times New Roman" w:hAnsi="Times New Roman"/>
          <w:sz w:val="24"/>
          <w:szCs w:val="24"/>
        </w:rPr>
        <w:t>The LCSO knew that Hunt suffered</w:t>
      </w:r>
      <w:r>
        <w:rPr>
          <w:rFonts w:ascii="Times New Roman" w:hAnsi="Times New Roman"/>
          <w:sz w:val="24"/>
          <w:szCs w:val="24"/>
        </w:rPr>
        <w:t xml:space="preserve"> </w:t>
      </w:r>
      <w:r w:rsidRPr="0039710A">
        <w:rPr>
          <w:rFonts w:ascii="Times New Roman" w:hAnsi="Times New Roman"/>
          <w:sz w:val="24"/>
          <w:szCs w:val="24"/>
        </w:rPr>
        <w:t>from anxiety and bipolar disorder and knew her limitations were caused by those conditions, yet</w:t>
      </w:r>
      <w:r>
        <w:rPr>
          <w:rFonts w:ascii="Times New Roman" w:hAnsi="Times New Roman"/>
          <w:sz w:val="24"/>
          <w:szCs w:val="24"/>
        </w:rPr>
        <w:t xml:space="preserve"> </w:t>
      </w:r>
      <w:r w:rsidRPr="0039710A">
        <w:rPr>
          <w:rFonts w:ascii="Times New Roman" w:hAnsi="Times New Roman"/>
          <w:sz w:val="24"/>
          <w:szCs w:val="24"/>
        </w:rPr>
        <w:t>it refused to work with Hunt on an accommodation—even after Hunt’s doctor approved her to</w:t>
      </w:r>
      <w:r>
        <w:rPr>
          <w:rFonts w:ascii="Times New Roman" w:hAnsi="Times New Roman"/>
          <w:sz w:val="24"/>
          <w:szCs w:val="24"/>
        </w:rPr>
        <w:t xml:space="preserve"> </w:t>
      </w:r>
      <w:r w:rsidRPr="0039710A">
        <w:rPr>
          <w:rFonts w:ascii="Times New Roman" w:hAnsi="Times New Roman"/>
          <w:sz w:val="24"/>
          <w:szCs w:val="24"/>
        </w:rPr>
        <w:t>perform call-taking duties. Thus, I believe that a reasonable jury could conclude that the LCSO</w:t>
      </w:r>
      <w:r>
        <w:rPr>
          <w:rFonts w:ascii="Times New Roman" w:hAnsi="Times New Roman"/>
          <w:sz w:val="24"/>
          <w:szCs w:val="24"/>
        </w:rPr>
        <w:t xml:space="preserve"> </w:t>
      </w:r>
      <w:r w:rsidRPr="0039710A">
        <w:rPr>
          <w:rFonts w:ascii="Times New Roman" w:hAnsi="Times New Roman"/>
          <w:sz w:val="24"/>
          <w:szCs w:val="24"/>
        </w:rPr>
        <w:t>failed to fulfill its duty to engage in an interactive accommodation process with Hunt.</w:t>
      </w:r>
      <w:r>
        <w:rPr>
          <w:rFonts w:ascii="Times New Roman" w:hAnsi="Times New Roman"/>
          <w:sz w:val="24"/>
          <w:szCs w:val="24"/>
        </w:rPr>
        <w:t>”</w:t>
      </w:r>
    </w:p>
    <w:p w14:paraId="0BAF5223" w14:textId="77777777" w:rsidR="005E544B" w:rsidRDefault="005E544B" w:rsidP="005E544B">
      <w:pPr>
        <w:pStyle w:val="NoSpacing"/>
        <w:ind w:left="720"/>
        <w:rPr>
          <w:rFonts w:ascii="Times New Roman" w:hAnsi="Times New Roman"/>
          <w:sz w:val="24"/>
          <w:szCs w:val="24"/>
        </w:rPr>
      </w:pPr>
    </w:p>
    <w:p w14:paraId="5FEED0A5" w14:textId="77777777" w:rsidR="005E544B" w:rsidRPr="001A7756" w:rsidRDefault="005E544B" w:rsidP="005E544B">
      <w:pPr>
        <w:pStyle w:val="NoSpacing"/>
        <w:rPr>
          <w:rFonts w:ascii="Times New Roman" w:hAnsi="Times New Roman"/>
          <w:b/>
          <w:bCs/>
          <w:sz w:val="24"/>
          <w:szCs w:val="24"/>
        </w:rPr>
      </w:pPr>
      <w:r w:rsidRPr="001A7756">
        <w:rPr>
          <w:rFonts w:ascii="Times New Roman" w:hAnsi="Times New Roman"/>
          <w:b/>
          <w:bCs/>
          <w:sz w:val="24"/>
          <w:szCs w:val="24"/>
        </w:rPr>
        <w:t>Legal Lesson Learned:</w:t>
      </w:r>
      <w:r>
        <w:rPr>
          <w:rFonts w:ascii="Times New Roman" w:hAnsi="Times New Roman"/>
          <w:b/>
          <w:bCs/>
          <w:sz w:val="24"/>
          <w:szCs w:val="24"/>
        </w:rPr>
        <w:t xml:space="preserve"> Under ADA, an employee seeking accommodation must still be able to perform the essential functions of the job. </w:t>
      </w:r>
    </w:p>
    <w:p w14:paraId="67C7322A" w14:textId="77777777" w:rsidR="005E544B" w:rsidRPr="003255F2" w:rsidRDefault="005E544B" w:rsidP="005E544B">
      <w:pPr>
        <w:pStyle w:val="NoSpacing"/>
        <w:rPr>
          <w:rFonts w:ascii="Times New Roman" w:hAnsi="Times New Roman"/>
          <w:sz w:val="24"/>
          <w:szCs w:val="24"/>
        </w:rPr>
      </w:pPr>
    </w:p>
    <w:p w14:paraId="5FDC687F" w14:textId="77777777" w:rsidR="005E544B" w:rsidRDefault="005E544B" w:rsidP="005E544B">
      <w:pPr>
        <w:pStyle w:val="NormalWeb"/>
        <w:spacing w:before="0" w:beforeAutospacing="0"/>
        <w:jc w:val="center"/>
      </w:pPr>
    </w:p>
    <w:p w14:paraId="25A1B7EA" w14:textId="77777777" w:rsidR="005E544B" w:rsidRDefault="005E544B" w:rsidP="005E544B">
      <w:pPr>
        <w:spacing w:before="100" w:beforeAutospacing="1" w:after="100" w:afterAutospacing="1" w:line="240" w:lineRule="auto"/>
        <w:outlineLvl w:val="0"/>
        <w:rPr>
          <w:rFonts w:ascii="Times New Roman" w:eastAsia="Times New Roman" w:hAnsi="Times New Roman"/>
          <w:b/>
          <w:bCs/>
          <w:kern w:val="36"/>
          <w:sz w:val="48"/>
          <w:szCs w:val="48"/>
        </w:rPr>
      </w:pPr>
    </w:p>
    <w:p w14:paraId="4279CC4C" w14:textId="31277397" w:rsidR="005E544B" w:rsidRDefault="005E544B" w:rsidP="005E544B">
      <w:pPr>
        <w:pStyle w:val="NoSpacing"/>
        <w:rPr>
          <w:rFonts w:ascii="Arial Black" w:hAnsi="Arial Black"/>
          <w:sz w:val="24"/>
          <w:szCs w:val="24"/>
        </w:rPr>
      </w:pPr>
      <w:r>
        <w:rPr>
          <w:rFonts w:ascii="Arial Black" w:hAnsi="Arial Black"/>
          <w:sz w:val="24"/>
          <w:szCs w:val="24"/>
        </w:rPr>
        <w:t>9-43</w:t>
      </w:r>
    </w:p>
    <w:p w14:paraId="15A12333" w14:textId="0C42568D" w:rsidR="005E544B" w:rsidRPr="00EF37D9" w:rsidRDefault="005E544B" w:rsidP="005E544B">
      <w:pPr>
        <w:pStyle w:val="NormalWeb"/>
        <w:rPr>
          <w:rFonts w:ascii="Arial Black" w:hAnsi="Arial Black"/>
          <w:sz w:val="28"/>
          <w:szCs w:val="28"/>
        </w:rPr>
      </w:pPr>
      <w:r>
        <w:rPr>
          <w:rFonts w:ascii="Arial Black" w:hAnsi="Arial Black"/>
          <w:sz w:val="28"/>
          <w:szCs w:val="28"/>
        </w:rPr>
        <w:t>MD: VOL. FF IN PA WITH COCHLEAR IMPLANT / SCBA COOLING MASK – SEEKS VOL. MARYLAND - CASE PROCEED</w:t>
      </w:r>
    </w:p>
    <w:p w14:paraId="61D0246E" w14:textId="77777777" w:rsidR="005E544B" w:rsidRDefault="005E544B" w:rsidP="005E544B">
      <w:pPr>
        <w:pStyle w:val="NormalWeb"/>
      </w:pPr>
      <w:r>
        <w:t xml:space="preserve">On March 1, 2024, in </w:t>
      </w:r>
      <w:r w:rsidRPr="005858BF">
        <w:rPr>
          <w:u w:val="single"/>
        </w:rPr>
        <w:t>Charles Hine v. Prince George’s County, Maryland</w:t>
      </w:r>
      <w:r>
        <w:t xml:space="preserve">, United States District Court Judge Theodore D. Chuang, U.S. District Court for Maryland, denied motions for summary judgment for both parties; the County offered the firefighter an administrative position which he understandably rejected.  </w:t>
      </w:r>
    </w:p>
    <w:p w14:paraId="7158740B"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912860D" w14:textId="77777777" w:rsidR="005E544B" w:rsidRDefault="005E544B" w:rsidP="005E544B">
      <w:pPr>
        <w:pStyle w:val="NormalWeb"/>
        <w:ind w:left="720"/>
      </w:pPr>
      <w:r>
        <w:t xml:space="preserve">“Here, there is no serious dispute that the County rejected Hine's application based on the results of Hine's medical examination and Concentra's determination, based on his self-reported hearing test results, that he did not meet the NFPA hearing standard. There is also no material dispute that, although Hine requested an individualized assessment of whether, despite that hearing test score, he could still perform the job of an operational firefighter, no such individualized assessment occurred. Accordingly, the County's absolute reliance on the results of a medical examination or a general policy without conducting an individualized assessment of whether Hine could </w:t>
      </w:r>
      <w:proofErr w:type="gramStart"/>
      <w:r>
        <w:t>actually perform</w:t>
      </w:r>
      <w:proofErr w:type="gramEnd"/>
      <w:r>
        <w:t xml:space="preserve"> the job with </w:t>
      </w:r>
      <w:proofErr w:type="gramStart"/>
      <w:r>
        <w:t>a reasonable</w:t>
      </w:r>
      <w:proofErr w:type="gramEnd"/>
      <w:r>
        <w:t xml:space="preserve"> accommodation runs contrary to the requirements of the ADA. </w:t>
      </w:r>
      <w:r>
        <w:rPr>
          <w:rStyle w:val="Emphasis"/>
          <w:rFonts w:eastAsiaTheme="majorEastAsia"/>
        </w:rPr>
        <w:t>See, e.g., PGA Tour, Inc.,</w:t>
      </w:r>
      <w:r>
        <w:t xml:space="preserve"> 532 U.S. at 690; </w:t>
      </w:r>
      <w:r>
        <w:rPr>
          <w:rStyle w:val="Emphasis"/>
          <w:rFonts w:eastAsiaTheme="majorEastAsia"/>
        </w:rPr>
        <w:t>Gillen,</w:t>
      </w:r>
      <w:r>
        <w:t xml:space="preserve"> 283 F.3d at 29; </w:t>
      </w:r>
      <w:r>
        <w:rPr>
          <w:rStyle w:val="Emphasis"/>
          <w:rFonts w:eastAsiaTheme="majorEastAsia"/>
        </w:rPr>
        <w:t>Rodriguez,</w:t>
      </w:r>
      <w:r>
        <w:t xml:space="preserve"> 436 F.3d at 482.</w:t>
      </w:r>
    </w:p>
    <w:p w14:paraId="26AD5E64" w14:textId="77777777" w:rsidR="005E544B" w:rsidRDefault="005E544B" w:rsidP="005E544B">
      <w:pPr>
        <w:pStyle w:val="NormalWeb"/>
        <w:ind w:left="720"/>
      </w:pPr>
      <w:r>
        <w:t>***</w:t>
      </w:r>
    </w:p>
    <w:p w14:paraId="640AE89C" w14:textId="77777777" w:rsidR="005E544B" w:rsidRDefault="005E544B" w:rsidP="005E544B">
      <w:pPr>
        <w:pStyle w:val="NormalWeb"/>
        <w:ind w:left="720"/>
      </w:pPr>
      <w:r>
        <w:t>Thus, regardless of whether the County imposed a discriminatory blanket policy or failed to engage in an individualized inquiry, Hine is entitled to a finding of liability only if he establishes that he was a qualified individual, which in turn requires a determination that he could perform the essential functions of an operational firefighter with or without a reasonable accommodation.”</w:t>
      </w:r>
    </w:p>
    <w:p w14:paraId="0CAEC63C" w14:textId="77777777" w:rsidR="005E544B" w:rsidRDefault="005E544B" w:rsidP="005E544B">
      <w:pPr>
        <w:pStyle w:val="NormalWeb"/>
        <w:rPr>
          <w:b/>
          <w:bCs/>
        </w:rPr>
      </w:pPr>
      <w:r w:rsidRPr="00155B26">
        <w:rPr>
          <w:b/>
          <w:bCs/>
        </w:rPr>
        <w:t xml:space="preserve">Legal Lesson Learned: </w:t>
      </w:r>
      <w:r>
        <w:rPr>
          <w:b/>
          <w:bCs/>
        </w:rPr>
        <w:t xml:space="preserve">Pre-trial discovery will now proceed; employers cannot simply rely on NFPA to turn down an applicant without an individualized assessment. </w:t>
      </w:r>
    </w:p>
    <w:p w14:paraId="52303003" w14:textId="77777777" w:rsidR="005E544B" w:rsidRDefault="005E544B" w:rsidP="005C30A4">
      <w:pPr>
        <w:pStyle w:val="NoSpacing"/>
        <w:rPr>
          <w:rFonts w:ascii="Arial Black" w:hAnsi="Arial Black"/>
          <w:sz w:val="24"/>
          <w:szCs w:val="24"/>
        </w:rPr>
      </w:pPr>
    </w:p>
    <w:p w14:paraId="3D594ADE" w14:textId="77777777" w:rsidR="005E544B" w:rsidRDefault="005E544B" w:rsidP="005C30A4">
      <w:pPr>
        <w:pStyle w:val="NoSpacing"/>
        <w:rPr>
          <w:rFonts w:ascii="Arial Black" w:hAnsi="Arial Black"/>
          <w:sz w:val="24"/>
          <w:szCs w:val="24"/>
        </w:rPr>
      </w:pPr>
    </w:p>
    <w:p w14:paraId="1E59C0DF" w14:textId="77777777" w:rsidR="005E544B" w:rsidRDefault="005E544B" w:rsidP="005C30A4">
      <w:pPr>
        <w:pStyle w:val="NoSpacing"/>
        <w:rPr>
          <w:rFonts w:ascii="Arial Black" w:hAnsi="Arial Black"/>
          <w:sz w:val="24"/>
          <w:szCs w:val="24"/>
        </w:rPr>
      </w:pPr>
    </w:p>
    <w:p w14:paraId="17BE4733" w14:textId="517BF4D0" w:rsidR="007B3AE4" w:rsidRDefault="007B3AE4" w:rsidP="005C30A4">
      <w:pPr>
        <w:pStyle w:val="NoSpacing"/>
        <w:rPr>
          <w:rFonts w:ascii="Arial Black" w:hAnsi="Arial Black"/>
          <w:sz w:val="24"/>
          <w:szCs w:val="24"/>
        </w:rPr>
      </w:pPr>
      <w:r>
        <w:rPr>
          <w:rFonts w:ascii="Arial Black" w:hAnsi="Arial Black"/>
          <w:sz w:val="24"/>
          <w:szCs w:val="24"/>
        </w:rPr>
        <w:t>9-4</w:t>
      </w:r>
      <w:r w:rsidR="005E544B">
        <w:rPr>
          <w:rFonts w:ascii="Arial Black" w:hAnsi="Arial Black"/>
          <w:sz w:val="24"/>
          <w:szCs w:val="24"/>
        </w:rPr>
        <w:t>2</w:t>
      </w:r>
    </w:p>
    <w:p w14:paraId="39545A44" w14:textId="77777777" w:rsidR="007B3AE4" w:rsidRDefault="007B3AE4" w:rsidP="005C30A4">
      <w:pPr>
        <w:pStyle w:val="NoSpacing"/>
        <w:rPr>
          <w:rFonts w:ascii="Arial Black" w:hAnsi="Arial Black"/>
          <w:sz w:val="24"/>
          <w:szCs w:val="24"/>
        </w:rPr>
      </w:pPr>
    </w:p>
    <w:p w14:paraId="3B3EF512" w14:textId="34F52B50" w:rsidR="00DB5557" w:rsidRPr="00B510C3" w:rsidRDefault="00DB5557" w:rsidP="00DB5557">
      <w:pPr>
        <w:pStyle w:val="NormalWeb"/>
        <w:rPr>
          <w:rFonts w:ascii="Arial Black" w:hAnsi="Arial Black"/>
          <w:sz w:val="28"/>
          <w:szCs w:val="28"/>
        </w:rPr>
      </w:pPr>
      <w:r>
        <w:rPr>
          <w:rFonts w:ascii="Arial Black" w:hAnsi="Arial Black"/>
          <w:sz w:val="28"/>
          <w:szCs w:val="28"/>
        </w:rPr>
        <w:t xml:space="preserve">IL: ADA – DEPUTY CHIEF – IF EARN </w:t>
      </w:r>
      <w:r w:rsidR="009B38FF">
        <w:rPr>
          <w:rFonts w:ascii="Arial Black" w:hAnsi="Arial Black"/>
          <w:sz w:val="28"/>
          <w:szCs w:val="28"/>
        </w:rPr>
        <w:t>BACHELOR’S</w:t>
      </w:r>
      <w:r>
        <w:rPr>
          <w:rFonts w:ascii="Arial Black" w:hAnsi="Arial Black"/>
          <w:sz w:val="28"/>
          <w:szCs w:val="28"/>
        </w:rPr>
        <w:t xml:space="preserve"> DEGREE, PAY BUMP - REFUSED, HEART CONDITION – NO CASE</w:t>
      </w:r>
    </w:p>
    <w:p w14:paraId="794C7E2A" w14:textId="77777777" w:rsidR="00DB5557" w:rsidRDefault="00DB5557" w:rsidP="00DB5557">
      <w:pPr>
        <w:pStyle w:val="NormalWeb"/>
      </w:pPr>
      <w:r>
        <w:t xml:space="preserve">On Feb. 23, 2024, in </w:t>
      </w:r>
      <w:r w:rsidRPr="006C66EB">
        <w:rPr>
          <w:u w:val="single"/>
        </w:rPr>
        <w:t>Jeffrey Bruno v. Chasity Wells-Armstrong, James Ellexson, and City of Kankakee, Illinois</w:t>
      </w:r>
      <w:r>
        <w:t xml:space="preserve">, the U.S. Court of Appeals for the Seventh Circuit (Chicago) held (3 to 0) that trial court properly granted defense motion for summary judgment; attending college was not a requirement of his job and his request waive the college requirement to earn the pump in pay was not a request for reasonable accommodation. </w:t>
      </w:r>
    </w:p>
    <w:p w14:paraId="06910E2B" w14:textId="77777777" w:rsidR="00DB5557" w:rsidRDefault="00DB5557" w:rsidP="00DB5557">
      <w:pPr>
        <w:pStyle w:val="NormalWeb"/>
      </w:pPr>
      <w:r>
        <w:t>The Court held:</w:t>
      </w:r>
    </w:p>
    <w:p w14:paraId="05D9334F" w14:textId="77777777" w:rsidR="00DB5557" w:rsidRDefault="00DB5557" w:rsidP="00DB5557">
      <w:pPr>
        <w:pStyle w:val="NormalWeb"/>
        <w:ind w:left="720"/>
      </w:pPr>
      <w:r>
        <w:t xml:space="preserve">“Here, because the pay bump did not depend on Bruno performing his essential duties, the defendants did not have to provide an accommodation that enabled him to obtain it because doing so would have been awarding him compensation he did not earn-that was not a measure that enabled Bruno to work. </w:t>
      </w:r>
    </w:p>
    <w:p w14:paraId="78920D33" w14:textId="77777777" w:rsidR="00DB5557" w:rsidRDefault="00DB5557" w:rsidP="00DB5557">
      <w:pPr>
        <w:pStyle w:val="NormalWeb"/>
        <w:ind w:left="720"/>
      </w:pPr>
      <w:r>
        <w:t xml:space="preserve">Moreover, while the </w:t>
      </w:r>
      <w:proofErr w:type="gramStart"/>
      <w:r>
        <w:t>waiver</w:t>
      </w:r>
      <w:proofErr w:type="gramEnd"/>
      <w:r>
        <w:t xml:space="preserve"> would have entitled Bruno to more compensation without him having to jeopardize his health, it would not have impacted his ability to perform his job. Bruno conceded multiple times that-so long as he did not have to attend classes-he could perform the essential duties of his position without undermining his health and stressed that he had been performing satisfactorily without the pay bump. Attending college was not a requirement of his job. Bruno's request that he be compensated more for performing his essential duties because his health prevented him from attending and obtaining the pay bump was not a request for reasonable accommodation.” </w:t>
      </w:r>
      <w:hyperlink r:id="rId1644" w:history="1">
        <w:r w:rsidRPr="00644350">
          <w:rPr>
            <w:rStyle w:val="Hyperlink"/>
          </w:rPr>
          <w:t>https://casetext.com/case/bruno-v-wells-armstrong</w:t>
        </w:r>
      </w:hyperlink>
      <w:r>
        <w:t xml:space="preserve"> </w:t>
      </w:r>
    </w:p>
    <w:p w14:paraId="60E95DD3" w14:textId="77777777" w:rsidR="00DB5557" w:rsidRDefault="00DB5557" w:rsidP="00DB5557">
      <w:pPr>
        <w:pStyle w:val="NormalWeb"/>
        <w:rPr>
          <w:b/>
          <w:bCs/>
        </w:rPr>
      </w:pPr>
      <w:r w:rsidRPr="00125715">
        <w:rPr>
          <w:b/>
          <w:bCs/>
        </w:rPr>
        <w:t>Legal Lesson Learned</w:t>
      </w:r>
      <w:r>
        <w:rPr>
          <w:b/>
          <w:bCs/>
        </w:rPr>
        <w:t xml:space="preserve">: ADA claim fails because firefighter’s request to waive education condition was not a request for reasonable accommodation.  </w:t>
      </w:r>
    </w:p>
    <w:p w14:paraId="4CD43BBD" w14:textId="77777777" w:rsidR="007B3AE4" w:rsidRDefault="007B3AE4" w:rsidP="005C30A4">
      <w:pPr>
        <w:pStyle w:val="NoSpacing"/>
        <w:rPr>
          <w:rFonts w:ascii="Arial Black" w:hAnsi="Arial Black"/>
          <w:sz w:val="24"/>
          <w:szCs w:val="24"/>
        </w:rPr>
      </w:pPr>
    </w:p>
    <w:p w14:paraId="11B5C7FB" w14:textId="77777777" w:rsidR="007B3AE4" w:rsidRDefault="007B3AE4" w:rsidP="005C30A4">
      <w:pPr>
        <w:pStyle w:val="NoSpacing"/>
        <w:rPr>
          <w:rFonts w:ascii="Arial Black" w:hAnsi="Arial Black"/>
          <w:sz w:val="24"/>
          <w:szCs w:val="24"/>
        </w:rPr>
      </w:pPr>
    </w:p>
    <w:p w14:paraId="2E64F7F5" w14:textId="03185FFE" w:rsidR="00615F4E" w:rsidRDefault="00615F4E" w:rsidP="005C30A4">
      <w:pPr>
        <w:pStyle w:val="NoSpacing"/>
        <w:rPr>
          <w:rFonts w:ascii="Arial Black" w:hAnsi="Arial Black"/>
          <w:sz w:val="24"/>
          <w:szCs w:val="24"/>
        </w:rPr>
      </w:pPr>
      <w:r>
        <w:rPr>
          <w:rFonts w:ascii="Arial Black" w:hAnsi="Arial Black"/>
          <w:sz w:val="24"/>
          <w:szCs w:val="24"/>
        </w:rPr>
        <w:t>9-4</w:t>
      </w:r>
      <w:r w:rsidR="005E544B">
        <w:rPr>
          <w:rFonts w:ascii="Arial Black" w:hAnsi="Arial Black"/>
          <w:sz w:val="24"/>
          <w:szCs w:val="24"/>
        </w:rPr>
        <w:t>1</w:t>
      </w:r>
    </w:p>
    <w:p w14:paraId="4DB42664" w14:textId="77777777" w:rsidR="00615F4E" w:rsidRPr="001020C2" w:rsidRDefault="00615F4E" w:rsidP="00615F4E">
      <w:pPr>
        <w:pStyle w:val="NormalWeb"/>
        <w:rPr>
          <w:rFonts w:ascii="Arial Black" w:hAnsi="Arial Black"/>
          <w:sz w:val="28"/>
          <w:szCs w:val="28"/>
        </w:rPr>
      </w:pPr>
      <w:r>
        <w:rPr>
          <w:rFonts w:ascii="Arial Black" w:hAnsi="Arial Black"/>
          <w:sz w:val="28"/>
          <w:szCs w:val="28"/>
        </w:rPr>
        <w:t>MA: CAPTAIN – MARINE 50% DISABELED – NOT PROMOTED – ALLEGES CHIEF ANIMOSITY DISAB. VETS – CASE PROCEED</w:t>
      </w:r>
    </w:p>
    <w:p w14:paraId="1331A6DE" w14:textId="77777777" w:rsidR="00615F4E" w:rsidRDefault="00615F4E" w:rsidP="00615F4E">
      <w:pPr>
        <w:pStyle w:val="NormalWeb"/>
      </w:pPr>
      <w:r>
        <w:t xml:space="preserve">On Jan. 10, 2024, in </w:t>
      </w:r>
      <w:r w:rsidRPr="005E6561">
        <w:rPr>
          <w:u w:val="single"/>
        </w:rPr>
        <w:t>Pierre Grenier v. City of Springfield, et al</w:t>
      </w:r>
      <w:r>
        <w:t xml:space="preserve">., U.S. Magistrate Judge Katherine A. Robinson issued a Report &amp; Recommendation allowing case to proceed with pre-trial discovery regarding Captain’s allegation that Fire Commissioner had animosity against him because of his military service-connected disability (former Marine).  He was the only of six candidates not promoted to District Chief.  </w:t>
      </w:r>
    </w:p>
    <w:p w14:paraId="72DB52A2" w14:textId="77777777" w:rsidR="00615F4E" w:rsidRDefault="00615F4E" w:rsidP="00615F4E">
      <w:pPr>
        <w:pStyle w:val="NormalWeb"/>
        <w:ind w:left="720" w:firstLine="60"/>
      </w:pPr>
      <w:r>
        <w:t xml:space="preserve">“Drawing all inferences in Plaintiff’s favor, a reasonable employee in his position might interpret [Fire Commissioner] Calvi’s stop at the fire station [May 26, 2019] after hearing that Plaintiff had set the wheels in motion for a formal hearing], was intended to intimidate or coerce Plaintiff into abandoning his right to a hearing to protect his position and promotional aspirations in the Department. This aspect of the claim also merits evaluation on a more complete factual </w:t>
      </w:r>
      <w:proofErr w:type="gramStart"/>
      <w:r>
        <w:t>record.”</w:t>
      </w:r>
      <w:proofErr w:type="gramEnd"/>
      <w:r>
        <w:t xml:space="preserve">  </w:t>
      </w:r>
      <w:hyperlink r:id="rId1645" w:history="1">
        <w:r w:rsidRPr="009E6D51">
          <w:rPr>
            <w:rStyle w:val="Hyperlink"/>
          </w:rPr>
          <w:t>https://www.casemine.com/judgement/us/65a0c054bfe6241981ef91c8</w:t>
        </w:r>
      </w:hyperlink>
      <w:r>
        <w:t xml:space="preserve"> </w:t>
      </w:r>
    </w:p>
    <w:p w14:paraId="69D4F192" w14:textId="77777777" w:rsidR="00E851B0" w:rsidRDefault="00E851B0" w:rsidP="00E851B0">
      <w:pPr>
        <w:rPr>
          <w:rFonts w:ascii="Times New Roman" w:hAnsi="Times New Roman"/>
          <w:b/>
          <w:bCs/>
          <w:sz w:val="24"/>
          <w:szCs w:val="24"/>
        </w:rPr>
      </w:pPr>
      <w:r w:rsidRPr="00F53C85">
        <w:rPr>
          <w:rFonts w:ascii="Times New Roman" w:hAnsi="Times New Roman"/>
          <w:b/>
          <w:bCs/>
          <w:sz w:val="24"/>
          <w:szCs w:val="24"/>
        </w:rPr>
        <w:t xml:space="preserve">Legal Lesson Learned: </w:t>
      </w:r>
      <w:r>
        <w:rPr>
          <w:rFonts w:ascii="Times New Roman" w:hAnsi="Times New Roman"/>
          <w:b/>
          <w:bCs/>
          <w:sz w:val="24"/>
          <w:szCs w:val="24"/>
        </w:rPr>
        <w:t xml:space="preserve"> If an employee is claiming animosity, consider having a second person (another officer or HR) with you when holding discussion with the employee.</w:t>
      </w:r>
    </w:p>
    <w:p w14:paraId="2944525F" w14:textId="77777777" w:rsidR="00E851B0" w:rsidRDefault="00E851B0" w:rsidP="00E851B0">
      <w:pPr>
        <w:pStyle w:val="NormalWeb"/>
        <w:ind w:left="720"/>
      </w:pPr>
      <w:r>
        <w:t xml:space="preserve">Note:  March 8, 2023, Justice Michael K. Callan, Massachusetts Superior Court denied his appeal from Civil Service Commission.  </w:t>
      </w:r>
      <w:hyperlink r:id="rId1646" w:history="1">
        <w:r w:rsidRPr="00B22688">
          <w:rPr>
            <w:rStyle w:val="Hyperlink"/>
          </w:rPr>
          <w:t>https://www.mass.gov/doc/grenier-pierre-v-springfield-fire-department-related-superior-court-decision-3823/download</w:t>
        </w:r>
      </w:hyperlink>
      <w:r w:rsidRPr="00B22688">
        <w:t xml:space="preserve"> </w:t>
      </w:r>
    </w:p>
    <w:p w14:paraId="50E0734D" w14:textId="77777777" w:rsidR="00615F4E" w:rsidRDefault="00615F4E" w:rsidP="005C30A4">
      <w:pPr>
        <w:pStyle w:val="NoSpacing"/>
        <w:rPr>
          <w:rFonts w:ascii="Arial Black" w:hAnsi="Arial Black"/>
          <w:sz w:val="24"/>
          <w:szCs w:val="24"/>
        </w:rPr>
      </w:pPr>
    </w:p>
    <w:p w14:paraId="1674C30F" w14:textId="77777777" w:rsidR="00615F4E" w:rsidRPr="00615F4E" w:rsidRDefault="00615F4E" w:rsidP="005C30A4">
      <w:pPr>
        <w:pStyle w:val="NoSpacing"/>
        <w:rPr>
          <w:rFonts w:ascii="Arial Black" w:hAnsi="Arial Black"/>
          <w:i/>
          <w:iCs/>
          <w:sz w:val="24"/>
          <w:szCs w:val="24"/>
        </w:rPr>
      </w:pPr>
    </w:p>
    <w:p w14:paraId="2D49AD6C" w14:textId="7289404D" w:rsidR="00AB6735" w:rsidRDefault="00AB6735" w:rsidP="005C30A4">
      <w:pPr>
        <w:pStyle w:val="NoSpacing"/>
        <w:rPr>
          <w:rFonts w:ascii="Arial Black" w:hAnsi="Arial Black"/>
          <w:sz w:val="24"/>
          <w:szCs w:val="24"/>
        </w:rPr>
      </w:pPr>
      <w:r>
        <w:rPr>
          <w:rFonts w:ascii="Arial Black" w:hAnsi="Arial Black"/>
          <w:sz w:val="24"/>
          <w:szCs w:val="24"/>
        </w:rPr>
        <w:t>9-40</w:t>
      </w:r>
    </w:p>
    <w:p w14:paraId="1732C251" w14:textId="77777777" w:rsidR="00AB6735" w:rsidRPr="00D862E9" w:rsidRDefault="00AB6735" w:rsidP="00AB6735">
      <w:pPr>
        <w:pStyle w:val="Heading1"/>
        <w:rPr>
          <w:rFonts w:ascii="Arial Black" w:hAnsi="Arial Black"/>
          <w:b w:val="0"/>
          <w:sz w:val="28"/>
          <w:szCs w:val="28"/>
        </w:rPr>
      </w:pPr>
      <w:r>
        <w:rPr>
          <w:rFonts w:ascii="Arial Black" w:hAnsi="Arial Black"/>
          <w:b w:val="0"/>
          <w:sz w:val="28"/>
          <w:szCs w:val="28"/>
        </w:rPr>
        <w:t xml:space="preserve">MN: “ALCOHOL USE DISORDER” – DOJ FIRST ADA SETTLEMENT REQ. CITY PAY TREATMENT CDL DRIVERS </w:t>
      </w:r>
    </w:p>
    <w:p w14:paraId="11555FE4" w14:textId="77777777" w:rsidR="00AB6735" w:rsidRDefault="00AB6735" w:rsidP="00AB6735">
      <w:pPr>
        <w:pStyle w:val="Heading1"/>
        <w:rPr>
          <w:rStyle w:val="field-formatter--string"/>
          <w:b w:val="0"/>
          <w:bCs w:val="0"/>
          <w:sz w:val="24"/>
          <w:szCs w:val="24"/>
        </w:rPr>
      </w:pPr>
      <w:r>
        <w:rPr>
          <w:b w:val="0"/>
          <w:sz w:val="24"/>
          <w:szCs w:val="24"/>
        </w:rPr>
        <w:t xml:space="preserve">On Nov. 20, 2023, in </w:t>
      </w:r>
      <w:r w:rsidRPr="00B07419">
        <w:rPr>
          <w:b w:val="0"/>
          <w:sz w:val="24"/>
          <w:szCs w:val="24"/>
          <w:u w:val="single"/>
        </w:rPr>
        <w:t>United States of America v. City of Blane, Minnesota</w:t>
      </w:r>
      <w:r>
        <w:rPr>
          <w:b w:val="0"/>
          <w:sz w:val="24"/>
          <w:szCs w:val="24"/>
        </w:rPr>
        <w:t xml:space="preserve">, the parties entered a consent decree.  While this case does not specifically involve firefighters, this is “first ADA settlement” involving voluntary disclosure by CDL drivers.  In the Press Release, the </w:t>
      </w:r>
      <w:proofErr w:type="spellStart"/>
      <w:r>
        <w:rPr>
          <w:b w:val="0"/>
          <w:sz w:val="24"/>
          <w:szCs w:val="24"/>
        </w:rPr>
        <w:t>DoJ</w:t>
      </w:r>
      <w:proofErr w:type="spellEnd"/>
      <w:r>
        <w:rPr>
          <w:b w:val="0"/>
          <w:sz w:val="24"/>
          <w:szCs w:val="24"/>
        </w:rPr>
        <w:t xml:space="preserve"> stated: “</w:t>
      </w:r>
      <w:r w:rsidRPr="003526F1">
        <w:rPr>
          <w:b w:val="0"/>
          <w:bCs w:val="0"/>
          <w:sz w:val="24"/>
          <w:szCs w:val="24"/>
        </w:rPr>
        <w:t xml:space="preserve">The lawsuit alleges that the city discriminated against an employee with alcohol use disorder who voluntarily disclosed that he was to undergo treatment by requiring him to pay for alcohol and controlled substances testing and evaluation based on his disability. This is the Justice Department’s first ADA settlement resolving a claim of employment discrimination based on alcohol use </w:t>
      </w:r>
      <w:r>
        <w:rPr>
          <w:b w:val="0"/>
          <w:bCs w:val="0"/>
          <w:sz w:val="24"/>
          <w:szCs w:val="24"/>
        </w:rPr>
        <w:t xml:space="preserve"> d</w:t>
      </w:r>
      <w:r w:rsidRPr="003526F1">
        <w:rPr>
          <w:b w:val="0"/>
          <w:bCs w:val="0"/>
          <w:sz w:val="24"/>
          <w:szCs w:val="24"/>
        </w:rPr>
        <w:t>isorder.</w:t>
      </w:r>
      <w:r>
        <w:rPr>
          <w:b w:val="0"/>
          <w:bCs w:val="0"/>
          <w:sz w:val="24"/>
          <w:szCs w:val="24"/>
        </w:rPr>
        <w:t xml:space="preserve">”  </w:t>
      </w:r>
      <w:r w:rsidRPr="003526F1">
        <w:rPr>
          <w:b w:val="0"/>
          <w:bCs w:val="0"/>
          <w:sz w:val="24"/>
          <w:szCs w:val="24"/>
        </w:rPr>
        <w:t> </w:t>
      </w:r>
      <w:hyperlink r:id="rId1647" w:history="1">
        <w:r w:rsidRPr="003526F1">
          <w:rPr>
            <w:rStyle w:val="Hyperlink"/>
            <w:rFonts w:eastAsiaTheme="majorEastAsia"/>
            <w:b w:val="0"/>
            <w:bCs w:val="0"/>
            <w:sz w:val="24"/>
            <w:szCs w:val="24"/>
          </w:rPr>
          <w:t>https://www.justice.gov/opa/pr/justice-department-secures-agreement-city-blaine-minnesota-resolve-discrimination-claim</w:t>
        </w:r>
      </w:hyperlink>
      <w:r w:rsidRPr="003526F1">
        <w:rPr>
          <w:b w:val="0"/>
          <w:bCs w:val="0"/>
          <w:sz w:val="24"/>
          <w:szCs w:val="24"/>
        </w:rPr>
        <w:t xml:space="preserve"> </w:t>
      </w:r>
      <w:r w:rsidRPr="003526F1">
        <w:rPr>
          <w:rStyle w:val="field-formatter--string"/>
          <w:b w:val="0"/>
          <w:bCs w:val="0"/>
          <w:sz w:val="24"/>
          <w:szCs w:val="24"/>
        </w:rPr>
        <w:t xml:space="preserve"> </w:t>
      </w:r>
    </w:p>
    <w:p w14:paraId="049D54EC" w14:textId="77777777" w:rsidR="001031C3" w:rsidRDefault="001031C3" w:rsidP="001031C3">
      <w:pPr>
        <w:pStyle w:val="NoSpacing"/>
        <w:rPr>
          <w:rFonts w:ascii="Times New Roman" w:hAnsi="Times New Roman"/>
          <w:b/>
          <w:sz w:val="24"/>
          <w:szCs w:val="24"/>
        </w:rPr>
      </w:pPr>
      <w:r>
        <w:rPr>
          <w:rFonts w:ascii="Times New Roman" w:hAnsi="Times New Roman"/>
          <w:b/>
          <w:sz w:val="24"/>
          <w:szCs w:val="24"/>
        </w:rPr>
        <w:t xml:space="preserve">Legal Lesson Learned:  Fire &amp; EMS Departments should review their EAP policies regarding voluntary disclosure of substance abuse. </w:t>
      </w:r>
    </w:p>
    <w:p w14:paraId="22CF91EA" w14:textId="77777777" w:rsidR="001031C3" w:rsidRDefault="001031C3" w:rsidP="001031C3">
      <w:pPr>
        <w:pStyle w:val="NoSpacing"/>
        <w:rPr>
          <w:rFonts w:ascii="Times New Roman" w:hAnsi="Times New Roman"/>
          <w:b/>
          <w:sz w:val="24"/>
          <w:szCs w:val="24"/>
        </w:rPr>
      </w:pPr>
    </w:p>
    <w:p w14:paraId="57C03AD1" w14:textId="77777777" w:rsidR="001031C3" w:rsidRDefault="001031C3" w:rsidP="00AB6735">
      <w:pPr>
        <w:pStyle w:val="Heading1"/>
        <w:rPr>
          <w:rStyle w:val="field-formatter--string"/>
          <w:b w:val="0"/>
          <w:bCs w:val="0"/>
          <w:sz w:val="24"/>
          <w:szCs w:val="24"/>
        </w:rPr>
      </w:pPr>
    </w:p>
    <w:p w14:paraId="08F0C142" w14:textId="77777777" w:rsidR="00AB6735" w:rsidRDefault="00AB6735" w:rsidP="005C30A4">
      <w:pPr>
        <w:pStyle w:val="NoSpacing"/>
        <w:rPr>
          <w:rFonts w:ascii="Arial Black" w:hAnsi="Arial Black"/>
          <w:sz w:val="24"/>
          <w:szCs w:val="24"/>
        </w:rPr>
      </w:pPr>
    </w:p>
    <w:p w14:paraId="46D7CEDD" w14:textId="77777777" w:rsidR="00AB6735" w:rsidRDefault="00AB6735" w:rsidP="005C30A4">
      <w:pPr>
        <w:pStyle w:val="NoSpacing"/>
        <w:rPr>
          <w:rFonts w:ascii="Arial Black" w:hAnsi="Arial Black"/>
          <w:sz w:val="24"/>
          <w:szCs w:val="24"/>
        </w:rPr>
      </w:pPr>
    </w:p>
    <w:p w14:paraId="72C7EB89" w14:textId="77777777" w:rsidR="00AB6735" w:rsidRDefault="00AB6735" w:rsidP="005C30A4">
      <w:pPr>
        <w:pStyle w:val="NoSpacing"/>
        <w:rPr>
          <w:rFonts w:ascii="Arial Black" w:hAnsi="Arial Black"/>
          <w:sz w:val="24"/>
          <w:szCs w:val="24"/>
        </w:rPr>
      </w:pPr>
    </w:p>
    <w:p w14:paraId="2F69E385" w14:textId="6027D29E" w:rsidR="009B0593" w:rsidRDefault="00832745" w:rsidP="005C30A4">
      <w:pPr>
        <w:pStyle w:val="NoSpacing"/>
        <w:rPr>
          <w:rFonts w:ascii="Arial Black" w:hAnsi="Arial Black"/>
          <w:sz w:val="24"/>
          <w:szCs w:val="24"/>
        </w:rPr>
      </w:pPr>
      <w:r>
        <w:rPr>
          <w:rFonts w:ascii="Arial Black" w:hAnsi="Arial Black"/>
          <w:sz w:val="24"/>
          <w:szCs w:val="24"/>
        </w:rPr>
        <w:t>9-39</w:t>
      </w:r>
    </w:p>
    <w:p w14:paraId="749C2D26" w14:textId="77777777" w:rsidR="00832745" w:rsidRDefault="00832745" w:rsidP="00832745">
      <w:pPr>
        <w:pStyle w:val="NormalWeb"/>
        <w:rPr>
          <w:rFonts w:ascii="Arial Black" w:hAnsi="Arial Black"/>
          <w:sz w:val="28"/>
          <w:szCs w:val="28"/>
        </w:rPr>
      </w:pPr>
      <w:r>
        <w:rPr>
          <w:rFonts w:ascii="Arial Black" w:hAnsi="Arial Black"/>
          <w:sz w:val="28"/>
          <w:szCs w:val="28"/>
        </w:rPr>
        <w:t>FL: ADA - FF PARKINSON – CITY CHANGED HEALTH INSUR. TO 2 YEARS – RETIRED FF CAN’T SUE, NOT EMPLOYEE</w:t>
      </w:r>
    </w:p>
    <w:p w14:paraId="3AC3623A" w14:textId="267D0218" w:rsidR="00832745" w:rsidRDefault="00832745" w:rsidP="00832745">
      <w:pPr>
        <w:pStyle w:val="NoSpacing"/>
        <w:rPr>
          <w:rStyle w:val="Hyperlink"/>
          <w:rFonts w:ascii="Times New Roman" w:hAnsi="Times New Roman"/>
          <w:sz w:val="24"/>
          <w:szCs w:val="24"/>
        </w:rPr>
      </w:pPr>
      <w:r w:rsidRPr="00832745">
        <w:rPr>
          <w:rFonts w:ascii="Times New Roman" w:hAnsi="Times New Roman"/>
          <w:sz w:val="24"/>
          <w:szCs w:val="24"/>
        </w:rPr>
        <w:t xml:space="preserve">On Oct. 11, 2023, in </w:t>
      </w:r>
      <w:r w:rsidRPr="00832745">
        <w:rPr>
          <w:rFonts w:ascii="Times New Roman" w:hAnsi="Times New Roman"/>
          <w:sz w:val="24"/>
          <w:szCs w:val="24"/>
          <w:u w:val="single"/>
        </w:rPr>
        <w:t>Karyn D. Stanley v. City of Sanford, Florida</w:t>
      </w:r>
      <w:r w:rsidRPr="00832745">
        <w:rPr>
          <w:rFonts w:ascii="Times New Roman" w:hAnsi="Times New Roman"/>
          <w:sz w:val="24"/>
          <w:szCs w:val="24"/>
        </w:rPr>
        <w:t>, the U.S. Court of Appeals for the 11</w:t>
      </w:r>
      <w:r w:rsidRPr="00832745">
        <w:rPr>
          <w:rFonts w:ascii="Times New Roman" w:hAnsi="Times New Roman"/>
          <w:sz w:val="24"/>
          <w:szCs w:val="24"/>
          <w:vertAlign w:val="superscript"/>
        </w:rPr>
        <w:t>th</w:t>
      </w:r>
      <w:r w:rsidRPr="00832745">
        <w:rPr>
          <w:rFonts w:ascii="Times New Roman" w:hAnsi="Times New Roman"/>
          <w:sz w:val="24"/>
          <w:szCs w:val="24"/>
        </w:rPr>
        <w:t xml:space="preserve"> Circuit (Atlanta, GA) held (3 to 0): “Because Stanley cannot establish that the City committed any discriminatory acts against her while she could perform the essential functions of a job that she held or desired to hold, her Title I claim fails. For the same reason, so do her claims under the Rehab Act and the Florida Civil Rights </w:t>
      </w:r>
      <w:proofErr w:type="gramStart"/>
      <w:r w:rsidRPr="00832745">
        <w:rPr>
          <w:rFonts w:ascii="Times New Roman" w:hAnsi="Times New Roman"/>
          <w:sz w:val="24"/>
          <w:szCs w:val="24"/>
        </w:rPr>
        <w:t>Act.”</w:t>
      </w:r>
      <w:proofErr w:type="gramEnd"/>
      <w:r w:rsidRPr="00832745">
        <w:rPr>
          <w:rFonts w:ascii="Times New Roman" w:hAnsi="Times New Roman"/>
          <w:sz w:val="24"/>
          <w:szCs w:val="24"/>
        </w:rPr>
        <w:t xml:space="preserve"> </w:t>
      </w:r>
      <w:hyperlink r:id="rId1648" w:history="1">
        <w:r w:rsidRPr="00832745">
          <w:rPr>
            <w:rStyle w:val="Hyperlink"/>
            <w:rFonts w:ascii="Times New Roman" w:hAnsi="Times New Roman"/>
            <w:sz w:val="24"/>
            <w:szCs w:val="24"/>
          </w:rPr>
          <w:t>https://cases.justia.com/federal/appellate-courts/ca11/22-10002/22-10002-2023-10-11.pdf?ts=1697045568</w:t>
        </w:r>
      </w:hyperlink>
    </w:p>
    <w:p w14:paraId="0B6D9326" w14:textId="77777777" w:rsidR="00832745" w:rsidRDefault="00832745" w:rsidP="00832745">
      <w:pPr>
        <w:pStyle w:val="NormalWeb"/>
        <w:rPr>
          <w:b/>
          <w:bCs/>
        </w:rPr>
      </w:pPr>
      <w:r>
        <w:rPr>
          <w:b/>
          <w:bCs/>
        </w:rPr>
        <w:t xml:space="preserve">Legal Lesson Learned: Some other Circuit Courts have taken an opposite position; perhaps the U.S. Supreme Court will take an appeal and resolve the conflict. </w:t>
      </w:r>
    </w:p>
    <w:p w14:paraId="05B2D700" w14:textId="77777777" w:rsidR="00832745" w:rsidRDefault="00832745" w:rsidP="00832745">
      <w:pPr>
        <w:pStyle w:val="Heading1"/>
        <w:ind w:left="720"/>
        <w:rPr>
          <w:b w:val="0"/>
          <w:bCs w:val="0"/>
          <w:sz w:val="24"/>
          <w:szCs w:val="24"/>
        </w:rPr>
      </w:pPr>
      <w:r>
        <w:rPr>
          <w:b w:val="0"/>
          <w:bCs w:val="0"/>
          <w:sz w:val="24"/>
          <w:szCs w:val="24"/>
        </w:rPr>
        <w:t>Note: The Court stated: “The Second and Third Circuits have held that Title I’s anti-discrimination provision is ambiguous, however, and have resolved that purported ambiguity in favor of former employees. See Castellano v. City of New York, 142 F.3d 58, 66–69 (2d Cir. 1998); Ford v. Schering-Plough Corp., 145 F.3d 601, 604–08 (3d Cir. 1998).”</w:t>
      </w:r>
    </w:p>
    <w:p w14:paraId="5160D8E4" w14:textId="77777777" w:rsidR="00832745" w:rsidRPr="00832745" w:rsidRDefault="00832745" w:rsidP="00832745">
      <w:pPr>
        <w:pStyle w:val="NoSpacing"/>
        <w:rPr>
          <w:rFonts w:ascii="Times New Roman" w:hAnsi="Times New Roman"/>
          <w:sz w:val="24"/>
          <w:szCs w:val="24"/>
        </w:rPr>
      </w:pPr>
    </w:p>
    <w:p w14:paraId="78B2D967" w14:textId="77777777" w:rsidR="00832745" w:rsidRPr="00832745" w:rsidRDefault="00832745" w:rsidP="005C30A4">
      <w:pPr>
        <w:pStyle w:val="NoSpacing"/>
        <w:rPr>
          <w:rFonts w:ascii="Times New Roman" w:hAnsi="Times New Roman"/>
          <w:sz w:val="24"/>
          <w:szCs w:val="24"/>
        </w:rPr>
      </w:pPr>
    </w:p>
    <w:p w14:paraId="6174E670" w14:textId="77777777" w:rsidR="00832745" w:rsidRDefault="00832745" w:rsidP="005C30A4">
      <w:pPr>
        <w:pStyle w:val="NoSpacing"/>
        <w:rPr>
          <w:rFonts w:ascii="Arial Black" w:hAnsi="Arial Black"/>
          <w:sz w:val="24"/>
          <w:szCs w:val="24"/>
        </w:rPr>
      </w:pPr>
    </w:p>
    <w:p w14:paraId="5D9DA476" w14:textId="004B3D22" w:rsidR="00AC3E10" w:rsidRDefault="00AC3E10" w:rsidP="005C30A4">
      <w:pPr>
        <w:pStyle w:val="NoSpacing"/>
        <w:rPr>
          <w:rFonts w:ascii="Arial Black" w:hAnsi="Arial Black"/>
          <w:sz w:val="24"/>
          <w:szCs w:val="24"/>
        </w:rPr>
      </w:pPr>
      <w:r>
        <w:rPr>
          <w:rFonts w:ascii="Arial Black" w:hAnsi="Arial Black"/>
          <w:sz w:val="24"/>
          <w:szCs w:val="24"/>
        </w:rPr>
        <w:t>9-38</w:t>
      </w:r>
    </w:p>
    <w:p w14:paraId="24D2F0AF" w14:textId="77777777" w:rsidR="00832745" w:rsidRDefault="00832745" w:rsidP="005C30A4">
      <w:pPr>
        <w:pStyle w:val="NoSpacing"/>
        <w:rPr>
          <w:rFonts w:ascii="Arial Black" w:hAnsi="Arial Black"/>
          <w:sz w:val="24"/>
          <w:szCs w:val="24"/>
        </w:rPr>
      </w:pPr>
    </w:p>
    <w:p w14:paraId="5EE8E976" w14:textId="77777777" w:rsidR="00AC3E10" w:rsidRDefault="00AC3E10" w:rsidP="00AC3E10">
      <w:pPr>
        <w:rPr>
          <w:rFonts w:ascii="Arial Black" w:hAnsi="Arial Black"/>
          <w:sz w:val="28"/>
          <w:szCs w:val="28"/>
        </w:rPr>
      </w:pPr>
      <w:r>
        <w:rPr>
          <w:rFonts w:ascii="Arial Black" w:hAnsi="Arial Black"/>
          <w:sz w:val="28"/>
          <w:szCs w:val="28"/>
        </w:rPr>
        <w:t>PA: ADA – EMS CONVINCED COVID PATIENT REFUSE TRANSPORT - “REGARDED AS” DISABELED – CASE PROCEED</w:t>
      </w:r>
    </w:p>
    <w:p w14:paraId="28512F95" w14:textId="77777777" w:rsidR="00AC3E10" w:rsidRDefault="00AC3E10" w:rsidP="00AC3E10">
      <w:pPr>
        <w:rPr>
          <w:rFonts w:ascii="Times New Roman" w:hAnsi="Times New Roman"/>
          <w:sz w:val="24"/>
          <w:szCs w:val="24"/>
        </w:rPr>
      </w:pPr>
      <w:r>
        <w:rPr>
          <w:rFonts w:ascii="Times New Roman" w:hAnsi="Times New Roman"/>
          <w:sz w:val="24"/>
          <w:szCs w:val="24"/>
        </w:rPr>
        <w:t xml:space="preserve">On Sept. 19, 2023, in </w:t>
      </w:r>
      <w:r w:rsidRPr="000679CA">
        <w:rPr>
          <w:rFonts w:ascii="Times New Roman" w:hAnsi="Times New Roman"/>
          <w:sz w:val="24"/>
          <w:szCs w:val="24"/>
          <w:u w:val="single"/>
        </w:rPr>
        <w:t>Keisha Cappel, et al. v. Aston Township Fire Department, et al</w:t>
      </w:r>
      <w:r>
        <w:rPr>
          <w:rFonts w:ascii="Times New Roman" w:hAnsi="Times New Roman"/>
          <w:sz w:val="24"/>
          <w:szCs w:val="24"/>
        </w:rPr>
        <w:t xml:space="preserve">., U.S. District Court Judge John Frank Murphy, Eastern District of Pennsylvania, held that lawsuit may proceed to pre-trial discovery under Americans </w:t>
      </w:r>
      <w:proofErr w:type="gramStart"/>
      <w:r>
        <w:rPr>
          <w:rFonts w:ascii="Times New Roman" w:hAnsi="Times New Roman"/>
          <w:sz w:val="24"/>
          <w:szCs w:val="24"/>
        </w:rPr>
        <w:t>With</w:t>
      </w:r>
      <w:proofErr w:type="gramEnd"/>
      <w:r>
        <w:rPr>
          <w:rFonts w:ascii="Times New Roman" w:hAnsi="Times New Roman"/>
          <w:sz w:val="24"/>
          <w:szCs w:val="24"/>
        </w:rPr>
        <w:t xml:space="preserve"> Disabilities Act since the EMTs “regarded” the patient as having a disability.   The Court held that while the allegations fail to state a claim under Fourteenth Amendment because the EMTs did not create a danger, the lawsuit may proceed on claim under Americans </w:t>
      </w:r>
      <w:proofErr w:type="gramStart"/>
      <w:r>
        <w:rPr>
          <w:rFonts w:ascii="Times New Roman" w:hAnsi="Times New Roman"/>
          <w:sz w:val="24"/>
          <w:szCs w:val="24"/>
        </w:rPr>
        <w:t>With</w:t>
      </w:r>
      <w:proofErr w:type="gramEnd"/>
      <w:r>
        <w:rPr>
          <w:rFonts w:ascii="Times New Roman" w:hAnsi="Times New Roman"/>
          <w:sz w:val="24"/>
          <w:szCs w:val="24"/>
        </w:rPr>
        <w:t xml:space="preserve"> Disability Act because they “regarded” the patient as having a disability.  The Court focused on the </w:t>
      </w:r>
      <w:proofErr w:type="gramStart"/>
      <w:r>
        <w:rPr>
          <w:rFonts w:ascii="Times New Roman" w:hAnsi="Times New Roman"/>
          <w:sz w:val="24"/>
          <w:szCs w:val="24"/>
        </w:rPr>
        <w:t>EMTs</w:t>
      </w:r>
      <w:proofErr w:type="gramEnd"/>
      <w:r>
        <w:rPr>
          <w:rFonts w:ascii="Times New Roman" w:hAnsi="Times New Roman"/>
          <w:sz w:val="24"/>
          <w:szCs w:val="24"/>
        </w:rPr>
        <w:t xml:space="preserve"> comments prior to seeing the patient. </w:t>
      </w:r>
    </w:p>
    <w:p w14:paraId="4D9B2731" w14:textId="77777777" w:rsidR="00AC3E10" w:rsidRPr="00EF6867" w:rsidRDefault="00AC3E10" w:rsidP="00AC3E10">
      <w:pPr>
        <w:pStyle w:val="NoSpacing"/>
        <w:ind w:firstLine="720"/>
        <w:rPr>
          <w:rFonts w:ascii="Times New Roman" w:hAnsi="Times New Roman"/>
          <w:sz w:val="24"/>
          <w:szCs w:val="24"/>
        </w:rPr>
      </w:pPr>
      <w:r w:rsidRPr="00EF6867">
        <w:rPr>
          <w:rFonts w:ascii="Times New Roman" w:hAnsi="Times New Roman"/>
          <w:sz w:val="24"/>
          <w:szCs w:val="24"/>
        </w:rPr>
        <w:t>“A Basic Life Support (BLS) unit and Advanced Life Support (ALS) unit were deployed</w:t>
      </w:r>
    </w:p>
    <w:p w14:paraId="543B6841" w14:textId="77777777" w:rsidR="00AC3E10" w:rsidRPr="00EF6867" w:rsidRDefault="00AC3E10" w:rsidP="00AC3E10">
      <w:pPr>
        <w:pStyle w:val="NoSpacing"/>
        <w:ind w:firstLine="720"/>
        <w:rPr>
          <w:rFonts w:ascii="Times New Roman" w:hAnsi="Times New Roman"/>
          <w:sz w:val="24"/>
          <w:szCs w:val="24"/>
        </w:rPr>
      </w:pPr>
      <w:r w:rsidRPr="00EF6867">
        <w:rPr>
          <w:rFonts w:ascii="Times New Roman" w:hAnsi="Times New Roman"/>
          <w:sz w:val="24"/>
          <w:szCs w:val="24"/>
        </w:rPr>
        <w:t>in response</w:t>
      </w:r>
      <w:r>
        <w:rPr>
          <w:rFonts w:ascii="Times New Roman" w:hAnsi="Times New Roman"/>
          <w:sz w:val="24"/>
          <w:szCs w:val="24"/>
        </w:rPr>
        <w:t xml:space="preserve">…. </w:t>
      </w:r>
      <w:r w:rsidRPr="00EF6867">
        <w:rPr>
          <w:rFonts w:ascii="Times New Roman" w:hAnsi="Times New Roman"/>
          <w:sz w:val="24"/>
          <w:szCs w:val="24"/>
        </w:rPr>
        <w:t>On their way to Ms. Jones’s house, the BLS unit — consisting of</w:t>
      </w:r>
    </w:p>
    <w:p w14:paraId="061B5D35" w14:textId="77777777" w:rsidR="00AC3E10" w:rsidRDefault="00AC3E10" w:rsidP="00AC3E10">
      <w:pPr>
        <w:pStyle w:val="NoSpacing"/>
        <w:ind w:left="720"/>
        <w:rPr>
          <w:rFonts w:ascii="Times New Roman" w:hAnsi="Times New Roman"/>
          <w:sz w:val="24"/>
          <w:szCs w:val="24"/>
        </w:rPr>
      </w:pPr>
      <w:r w:rsidRPr="00EF6867">
        <w:rPr>
          <w:rFonts w:ascii="Times New Roman" w:hAnsi="Times New Roman"/>
          <w:sz w:val="24"/>
          <w:szCs w:val="24"/>
        </w:rPr>
        <w:t xml:space="preserve">Eoin Marshall and Aaron Kisela (together, </w:t>
      </w:r>
      <w:r>
        <w:rPr>
          <w:rFonts w:ascii="Times New Roman" w:hAnsi="Times New Roman"/>
          <w:sz w:val="24"/>
          <w:szCs w:val="24"/>
        </w:rPr>
        <w:t>‘</w:t>
      </w:r>
      <w:r w:rsidRPr="00EF6867">
        <w:rPr>
          <w:rFonts w:ascii="Times New Roman" w:hAnsi="Times New Roman"/>
          <w:sz w:val="24"/>
          <w:szCs w:val="24"/>
        </w:rPr>
        <w:t>the EMT-Bs</w:t>
      </w:r>
      <w:r>
        <w:rPr>
          <w:rFonts w:ascii="Times New Roman" w:hAnsi="Times New Roman"/>
          <w:sz w:val="24"/>
          <w:szCs w:val="24"/>
        </w:rPr>
        <w:t>’</w:t>
      </w:r>
      <w:r w:rsidRPr="00EF6867">
        <w:rPr>
          <w:rFonts w:ascii="Times New Roman" w:hAnsi="Times New Roman"/>
          <w:sz w:val="24"/>
          <w:szCs w:val="24"/>
        </w:rPr>
        <w:t xml:space="preserve">) — </w:t>
      </w:r>
      <w:r>
        <w:rPr>
          <w:rFonts w:ascii="Times New Roman" w:hAnsi="Times New Roman"/>
          <w:sz w:val="24"/>
          <w:szCs w:val="24"/>
        </w:rPr>
        <w:t>‘</w:t>
      </w:r>
      <w:r w:rsidRPr="00EF6867">
        <w:rPr>
          <w:rFonts w:ascii="Times New Roman" w:hAnsi="Times New Roman"/>
          <w:sz w:val="24"/>
          <w:szCs w:val="24"/>
        </w:rPr>
        <w:t>discussed</w:t>
      </w:r>
      <w:r>
        <w:rPr>
          <w:rFonts w:ascii="Times New Roman" w:hAnsi="Times New Roman"/>
          <w:sz w:val="24"/>
          <w:szCs w:val="24"/>
        </w:rPr>
        <w:t>’</w:t>
      </w:r>
      <w:r w:rsidRPr="00EF6867">
        <w:rPr>
          <w:rFonts w:ascii="Times New Roman" w:hAnsi="Times New Roman"/>
          <w:sz w:val="24"/>
          <w:szCs w:val="24"/>
        </w:rPr>
        <w:t xml:space="preserve"> how Mr. Kisela would</w:t>
      </w:r>
      <w:r>
        <w:rPr>
          <w:rFonts w:ascii="Times New Roman" w:hAnsi="Times New Roman"/>
          <w:sz w:val="24"/>
          <w:szCs w:val="24"/>
        </w:rPr>
        <w:t xml:space="preserve"> </w:t>
      </w:r>
      <w:r w:rsidRPr="00EF6867">
        <w:rPr>
          <w:rFonts w:ascii="Times New Roman" w:hAnsi="Times New Roman"/>
          <w:sz w:val="24"/>
          <w:szCs w:val="24"/>
        </w:rPr>
        <w:t xml:space="preserve">remain outside of the home, and how they would </w:t>
      </w:r>
      <w:r>
        <w:rPr>
          <w:rFonts w:ascii="Times New Roman" w:hAnsi="Times New Roman"/>
          <w:sz w:val="24"/>
          <w:szCs w:val="24"/>
        </w:rPr>
        <w:t>‘</w:t>
      </w:r>
      <w:r w:rsidRPr="00EF6867">
        <w:rPr>
          <w:rFonts w:ascii="Times New Roman" w:hAnsi="Times New Roman"/>
          <w:sz w:val="24"/>
          <w:szCs w:val="24"/>
        </w:rPr>
        <w:t>pressure</w:t>
      </w:r>
      <w:r>
        <w:rPr>
          <w:rFonts w:ascii="Times New Roman" w:hAnsi="Times New Roman"/>
          <w:sz w:val="24"/>
          <w:szCs w:val="24"/>
        </w:rPr>
        <w:t>’</w:t>
      </w:r>
      <w:r w:rsidRPr="00EF6867">
        <w:rPr>
          <w:rFonts w:ascii="Times New Roman" w:hAnsi="Times New Roman"/>
          <w:sz w:val="24"/>
          <w:szCs w:val="24"/>
        </w:rPr>
        <w:t xml:space="preserve"> Ms. Jones into </w:t>
      </w:r>
      <w:r>
        <w:rPr>
          <w:rFonts w:ascii="Times New Roman" w:hAnsi="Times New Roman"/>
          <w:sz w:val="24"/>
          <w:szCs w:val="24"/>
        </w:rPr>
        <w:t>‘</w:t>
      </w:r>
      <w:r w:rsidRPr="00EF6867">
        <w:rPr>
          <w:rFonts w:ascii="Times New Roman" w:hAnsi="Times New Roman"/>
          <w:sz w:val="24"/>
          <w:szCs w:val="24"/>
        </w:rPr>
        <w:t>not go[</w:t>
      </w:r>
      <w:proofErr w:type="spellStart"/>
      <w:r w:rsidRPr="00EF6867">
        <w:rPr>
          <w:rFonts w:ascii="Times New Roman" w:hAnsi="Times New Roman"/>
          <w:sz w:val="24"/>
          <w:szCs w:val="24"/>
        </w:rPr>
        <w:t>ing</w:t>
      </w:r>
      <w:proofErr w:type="spellEnd"/>
      <w:r w:rsidRPr="00EF6867">
        <w:rPr>
          <w:rFonts w:ascii="Times New Roman" w:hAnsi="Times New Roman"/>
          <w:sz w:val="24"/>
          <w:szCs w:val="24"/>
        </w:rPr>
        <w:t>] to the</w:t>
      </w:r>
      <w:r>
        <w:rPr>
          <w:rFonts w:ascii="Times New Roman" w:hAnsi="Times New Roman"/>
          <w:sz w:val="24"/>
          <w:szCs w:val="24"/>
        </w:rPr>
        <w:t xml:space="preserve"> </w:t>
      </w:r>
      <w:r w:rsidRPr="00EF6867">
        <w:rPr>
          <w:rFonts w:ascii="Times New Roman" w:hAnsi="Times New Roman"/>
          <w:sz w:val="24"/>
          <w:szCs w:val="24"/>
        </w:rPr>
        <w:t xml:space="preserve">hospital regardless of her medical needs.” </w:t>
      </w:r>
    </w:p>
    <w:p w14:paraId="62D37AB1" w14:textId="77777777" w:rsidR="00AC3E10" w:rsidRPr="00CC41C5" w:rsidRDefault="00AC3E10" w:rsidP="00AC3E10">
      <w:pPr>
        <w:pStyle w:val="NoSpacing"/>
        <w:ind w:left="720"/>
        <w:rPr>
          <w:rFonts w:ascii="Times New Roman" w:hAnsi="Times New Roman"/>
          <w:sz w:val="24"/>
          <w:szCs w:val="24"/>
        </w:rPr>
      </w:pPr>
      <w:hyperlink r:id="rId1649" w:history="1">
        <w:r w:rsidRPr="000C56E5">
          <w:rPr>
            <w:rStyle w:val="Hyperlink"/>
            <w:rFonts w:ascii="Times New Roman" w:hAnsi="Times New Roman"/>
            <w:sz w:val="24"/>
            <w:szCs w:val="24"/>
          </w:rPr>
          <w:t>https://www.govinfo.gov/content/pkg/USCOURTS-paed-2_23-cv-00155/pdf/USCOURTS-paed-2_23-cv-00155-0.pdf</w:t>
        </w:r>
      </w:hyperlink>
      <w:r>
        <w:rPr>
          <w:rFonts w:ascii="Times New Roman" w:hAnsi="Times New Roman"/>
          <w:sz w:val="24"/>
          <w:szCs w:val="24"/>
        </w:rPr>
        <w:t xml:space="preserve"> </w:t>
      </w:r>
    </w:p>
    <w:p w14:paraId="3A409801" w14:textId="77777777" w:rsidR="00AC3E10" w:rsidRDefault="00AC3E10" w:rsidP="00AC3E10">
      <w:pPr>
        <w:pStyle w:val="NoSpacing"/>
        <w:rPr>
          <w:rFonts w:ascii="Times New Roman" w:hAnsi="Times New Roman"/>
          <w:b/>
          <w:bCs/>
          <w:sz w:val="24"/>
          <w:szCs w:val="24"/>
        </w:rPr>
      </w:pPr>
    </w:p>
    <w:p w14:paraId="5DD1EA6A" w14:textId="2B215EDA" w:rsidR="00AC3E10" w:rsidRPr="00D173AB" w:rsidRDefault="00AC3E10" w:rsidP="00AC3E10">
      <w:pPr>
        <w:pStyle w:val="NoSpacing"/>
        <w:rPr>
          <w:rFonts w:ascii="Times New Roman" w:hAnsi="Times New Roman"/>
          <w:b/>
          <w:bCs/>
          <w:sz w:val="24"/>
          <w:szCs w:val="24"/>
        </w:rPr>
      </w:pPr>
      <w:r w:rsidRPr="00D173AB">
        <w:rPr>
          <w:rFonts w:ascii="Times New Roman" w:hAnsi="Times New Roman"/>
          <w:b/>
          <w:bCs/>
          <w:sz w:val="24"/>
          <w:szCs w:val="24"/>
        </w:rPr>
        <w:t xml:space="preserve">Legal Lesson Learned: </w:t>
      </w:r>
      <w:r>
        <w:rPr>
          <w:rFonts w:ascii="Times New Roman" w:hAnsi="Times New Roman"/>
          <w:b/>
          <w:bCs/>
          <w:sz w:val="24"/>
          <w:szCs w:val="24"/>
        </w:rPr>
        <w:t xml:space="preserve">If a patient is not going to be transported, then get a refusal document signed.  </w:t>
      </w:r>
    </w:p>
    <w:p w14:paraId="591ABAC0" w14:textId="77777777" w:rsidR="00AC3E10" w:rsidRPr="00140087" w:rsidRDefault="00AC3E10" w:rsidP="00AC3E10">
      <w:pPr>
        <w:pStyle w:val="NoSpacing"/>
        <w:rPr>
          <w:rFonts w:ascii="Times New Roman" w:hAnsi="Times New Roman"/>
          <w:sz w:val="24"/>
          <w:szCs w:val="24"/>
        </w:rPr>
      </w:pPr>
    </w:p>
    <w:p w14:paraId="1ACA5343" w14:textId="77777777" w:rsidR="00AC3E10" w:rsidRDefault="00AC3E10" w:rsidP="005C30A4">
      <w:pPr>
        <w:pStyle w:val="NoSpacing"/>
        <w:rPr>
          <w:rFonts w:ascii="Arial Black" w:hAnsi="Arial Black"/>
          <w:sz w:val="24"/>
          <w:szCs w:val="24"/>
        </w:rPr>
      </w:pPr>
    </w:p>
    <w:p w14:paraId="3E5445E4" w14:textId="77777777" w:rsidR="00AC3E10" w:rsidRDefault="00AC3E10" w:rsidP="005C30A4">
      <w:pPr>
        <w:pStyle w:val="NoSpacing"/>
        <w:rPr>
          <w:rFonts w:ascii="Arial Black" w:hAnsi="Arial Black"/>
          <w:sz w:val="24"/>
          <w:szCs w:val="24"/>
        </w:rPr>
      </w:pPr>
    </w:p>
    <w:p w14:paraId="130A6562" w14:textId="03BB2A59" w:rsidR="009B0593" w:rsidRDefault="009B0593" w:rsidP="005C30A4">
      <w:pPr>
        <w:pStyle w:val="NoSpacing"/>
        <w:rPr>
          <w:rFonts w:ascii="Arial Black" w:hAnsi="Arial Black"/>
          <w:sz w:val="24"/>
          <w:szCs w:val="24"/>
        </w:rPr>
      </w:pPr>
      <w:r>
        <w:rPr>
          <w:rFonts w:ascii="Arial Black" w:hAnsi="Arial Black"/>
          <w:sz w:val="24"/>
          <w:szCs w:val="24"/>
        </w:rPr>
        <w:t>9-37</w:t>
      </w:r>
    </w:p>
    <w:p w14:paraId="7097F79C" w14:textId="77777777" w:rsidR="009B0593" w:rsidRPr="000D58F5" w:rsidRDefault="009B0593" w:rsidP="009B0593">
      <w:pPr>
        <w:pStyle w:val="NormalWeb"/>
        <w:rPr>
          <w:rFonts w:ascii="Arial Black" w:hAnsi="Arial Black"/>
          <w:b/>
          <w:bCs/>
          <w:sz w:val="28"/>
          <w:szCs w:val="28"/>
        </w:rPr>
      </w:pPr>
      <w:r>
        <w:rPr>
          <w:rFonts w:ascii="Arial Black" w:hAnsi="Arial Black"/>
          <w:b/>
          <w:bCs/>
          <w:sz w:val="28"/>
          <w:szCs w:val="28"/>
        </w:rPr>
        <w:t>ME: CAPTAIN ENLARGED AORTA – CITY DOCTOR LIMITED MAX 75 LBS – JURY HELD FOR FD - REQ. 100 LBS LIFTING</w:t>
      </w:r>
    </w:p>
    <w:p w14:paraId="11031E93" w14:textId="77777777" w:rsidR="009B0593" w:rsidRDefault="009B0593" w:rsidP="009B0593">
      <w:pPr>
        <w:pStyle w:val="NormalWeb"/>
      </w:pPr>
      <w:r w:rsidRPr="000D58F5">
        <w:t xml:space="preserve">On Aug. 15, 2023, in </w:t>
      </w:r>
      <w:r w:rsidRPr="000D58F5">
        <w:rPr>
          <w:u w:val="single"/>
        </w:rPr>
        <w:t>Brian K. Smith v. City of Sanford</w:t>
      </w:r>
      <w:r w:rsidRPr="000D58F5">
        <w:t xml:space="preserve">, </w:t>
      </w:r>
      <w:r>
        <w:t xml:space="preserve">the Supreme Court of Maine held (6 to 0) that the jury properly held the </w:t>
      </w:r>
      <w:proofErr w:type="gramStart"/>
      <w:r>
        <w:t>City</w:t>
      </w:r>
      <w:proofErr w:type="gramEnd"/>
      <w:r>
        <w:t xml:space="preserve"> did not discriminate against him because of a disability under the Maine Human Rights Act.  The FD requires all firefighters </w:t>
      </w:r>
      <w:proofErr w:type="gramStart"/>
      <w:r>
        <w:t>be</w:t>
      </w:r>
      <w:proofErr w:type="gramEnd"/>
      <w:r>
        <w:t xml:space="preserve"> able to lift 100 pounds; the </w:t>
      </w:r>
      <w:proofErr w:type="gramStart"/>
      <w:r>
        <w:t>Captain</w:t>
      </w:r>
      <w:proofErr w:type="gramEnd"/>
      <w:r>
        <w:t xml:space="preserve"> saw two cardiologists; when first imposed </w:t>
      </w:r>
      <w:proofErr w:type="gramStart"/>
      <w:r>
        <w:t>40 pound</w:t>
      </w:r>
      <w:proofErr w:type="gramEnd"/>
      <w:r>
        <w:t xml:space="preserve"> limit, he then saw second who imposed no limit.  Given the two conflicting limits, the </w:t>
      </w:r>
      <w:proofErr w:type="gramStart"/>
      <w:r>
        <w:t>City</w:t>
      </w:r>
      <w:proofErr w:type="gramEnd"/>
      <w:r>
        <w:t xml:space="preserve"> sent him to their occupational health doctor </w:t>
      </w:r>
      <w:proofErr w:type="gramStart"/>
      <w:r>
        <w:t>limited</w:t>
      </w:r>
      <w:proofErr w:type="gramEnd"/>
      <w:r>
        <w:t xml:space="preserve"> him to 75 pounds.  The trial court judge refused a request by the </w:t>
      </w:r>
      <w:proofErr w:type="gramStart"/>
      <w:r>
        <w:t>Captain’s</w:t>
      </w:r>
      <w:proofErr w:type="gramEnd"/>
      <w:r>
        <w:t xml:space="preserve"> attorney to instruct jury that "[</w:t>
      </w:r>
      <w:proofErr w:type="spellStart"/>
      <w:r>
        <w:t>i</w:t>
      </w:r>
      <w:proofErr w:type="spellEnd"/>
      <w:r>
        <w:t>]t is illegal as a matter of law for any employer to impose a 100% healed or 100% fit policy on any applicants for employment or any employees."</w:t>
      </w:r>
    </w:p>
    <w:p w14:paraId="3FB8AD77" w14:textId="77777777" w:rsidR="009B0593" w:rsidRPr="009B0593" w:rsidRDefault="009B0593" w:rsidP="009B0593">
      <w:pPr>
        <w:pStyle w:val="NormalWeb"/>
        <w:ind w:left="720"/>
      </w:pPr>
      <w:r w:rsidRPr="009B0593">
        <w:t>The Supreme Court of Maine:</w:t>
      </w:r>
    </w:p>
    <w:p w14:paraId="1352F544" w14:textId="2AE393AF" w:rsidR="009B0593" w:rsidRPr="009B0593" w:rsidRDefault="009B0593" w:rsidP="009B0593">
      <w:pPr>
        <w:pStyle w:val="NoSpacing"/>
        <w:ind w:left="720"/>
        <w:rPr>
          <w:rStyle w:val="Hyperlink"/>
          <w:rFonts w:ascii="Times New Roman" w:eastAsiaTheme="majorEastAsia" w:hAnsi="Times New Roman"/>
          <w:sz w:val="24"/>
          <w:szCs w:val="24"/>
        </w:rPr>
      </w:pPr>
      <w:r w:rsidRPr="009B0593">
        <w:rPr>
          <w:rFonts w:ascii="Times New Roman" w:hAnsi="Times New Roman"/>
          <w:sz w:val="24"/>
          <w:szCs w:val="24"/>
        </w:rPr>
        <w:t>“[B]</w:t>
      </w:r>
      <w:proofErr w:type="spellStart"/>
      <w:r w:rsidRPr="009B0593">
        <w:rPr>
          <w:rFonts w:ascii="Times New Roman" w:hAnsi="Times New Roman"/>
          <w:sz w:val="24"/>
          <w:szCs w:val="24"/>
        </w:rPr>
        <w:t>ecause</w:t>
      </w:r>
      <w:proofErr w:type="spellEnd"/>
      <w:r w:rsidRPr="009B0593">
        <w:rPr>
          <w:rFonts w:ascii="Times New Roman" w:hAnsi="Times New Roman"/>
          <w:sz w:val="24"/>
          <w:szCs w:val="24"/>
        </w:rPr>
        <w:t xml:space="preserve"> the evidence and the parties' arguments at trial focused on the required individualized assessment, we conclude that it would have been misleading or confusing for the jury to receive Smith's proposed instruction as written.” </w:t>
      </w:r>
      <w:hyperlink r:id="rId1650" w:history="1">
        <w:r w:rsidRPr="009B0593">
          <w:rPr>
            <w:rStyle w:val="Hyperlink"/>
            <w:rFonts w:ascii="Times New Roman" w:eastAsiaTheme="majorEastAsia" w:hAnsi="Times New Roman"/>
            <w:sz w:val="24"/>
            <w:szCs w:val="24"/>
          </w:rPr>
          <w:t>https://casetext.com/case/smith-v-city-of-sanford-2</w:t>
        </w:r>
      </w:hyperlink>
    </w:p>
    <w:p w14:paraId="12D99D93" w14:textId="77777777" w:rsidR="009B0593" w:rsidRDefault="009B0593" w:rsidP="009B0593">
      <w:pPr>
        <w:pStyle w:val="NoSpacing"/>
        <w:ind w:left="720"/>
        <w:rPr>
          <w:rStyle w:val="Hyperlink"/>
          <w:rFonts w:eastAsiaTheme="majorEastAsia"/>
        </w:rPr>
      </w:pPr>
    </w:p>
    <w:p w14:paraId="73F67A1B" w14:textId="77777777" w:rsidR="009B0593" w:rsidRPr="00B86D33" w:rsidRDefault="009B0593" w:rsidP="009B0593">
      <w:pPr>
        <w:pStyle w:val="NormalWeb"/>
        <w:rPr>
          <w:b/>
          <w:bCs/>
        </w:rPr>
      </w:pPr>
      <w:r w:rsidRPr="00B86D33">
        <w:rPr>
          <w:b/>
          <w:bCs/>
        </w:rPr>
        <w:t>Legal Lesson Learned:</w:t>
      </w:r>
      <w:r>
        <w:rPr>
          <w:b/>
          <w:bCs/>
        </w:rPr>
        <w:t xml:space="preserve"> FDs may properly require personnel to meet physical lifting requirements; they should be published. </w:t>
      </w:r>
    </w:p>
    <w:p w14:paraId="3AD0B682" w14:textId="77777777" w:rsidR="009B0593" w:rsidRDefault="009B0593" w:rsidP="009B0593">
      <w:pPr>
        <w:pStyle w:val="NoSpacing"/>
        <w:ind w:left="720"/>
        <w:rPr>
          <w:rFonts w:ascii="Arial Black" w:hAnsi="Arial Black"/>
          <w:sz w:val="24"/>
          <w:szCs w:val="24"/>
        </w:rPr>
      </w:pPr>
    </w:p>
    <w:p w14:paraId="034628B6" w14:textId="77777777" w:rsidR="009B0593" w:rsidRDefault="009B0593" w:rsidP="005C30A4">
      <w:pPr>
        <w:pStyle w:val="NoSpacing"/>
        <w:rPr>
          <w:rFonts w:ascii="Arial Black" w:hAnsi="Arial Black"/>
          <w:sz w:val="24"/>
          <w:szCs w:val="24"/>
        </w:rPr>
      </w:pPr>
    </w:p>
    <w:p w14:paraId="516A49C0" w14:textId="10E02DB5" w:rsidR="00BC4628" w:rsidRDefault="000644B6" w:rsidP="005C30A4">
      <w:pPr>
        <w:pStyle w:val="NoSpacing"/>
        <w:rPr>
          <w:rFonts w:ascii="Arial Black" w:hAnsi="Arial Black"/>
          <w:sz w:val="24"/>
          <w:szCs w:val="24"/>
        </w:rPr>
      </w:pPr>
      <w:r>
        <w:rPr>
          <w:rFonts w:ascii="Arial Black" w:hAnsi="Arial Black"/>
          <w:sz w:val="24"/>
          <w:szCs w:val="24"/>
        </w:rPr>
        <w:t>9-36</w:t>
      </w:r>
    </w:p>
    <w:p w14:paraId="02CCC435" w14:textId="77777777" w:rsidR="000644B6" w:rsidRPr="00AD7405" w:rsidRDefault="000644B6" w:rsidP="000644B6">
      <w:pPr>
        <w:pStyle w:val="NormalWeb"/>
        <w:jc w:val="both"/>
        <w:rPr>
          <w:rFonts w:ascii="Arial Black" w:hAnsi="Arial Black"/>
          <w:sz w:val="28"/>
          <w:szCs w:val="28"/>
        </w:rPr>
      </w:pPr>
      <w:r>
        <w:rPr>
          <w:rFonts w:ascii="Arial Black" w:hAnsi="Arial Black"/>
          <w:sz w:val="28"/>
          <w:szCs w:val="28"/>
        </w:rPr>
        <w:t>MD: PRE-TRIAL DISCOVERY – EMT CLAIMS NOT PROMOTED BIPOLAR / DEPRESSION – MUST PROVIDE MEDICAL RECORDS</w:t>
      </w:r>
    </w:p>
    <w:p w14:paraId="048FE1BA" w14:textId="77777777" w:rsidR="000644B6" w:rsidRPr="000644B6" w:rsidRDefault="000644B6" w:rsidP="000644B6">
      <w:pPr>
        <w:pStyle w:val="NormalWeb"/>
      </w:pPr>
      <w:r w:rsidRPr="000644B6">
        <w:t xml:space="preserve">On July 10, 2023, in </w:t>
      </w:r>
      <w:r w:rsidRPr="000644B6">
        <w:rPr>
          <w:u w:val="single"/>
        </w:rPr>
        <w:t>Matthew Schaeffer v. Mayor and City Council of Baltimore</w:t>
      </w:r>
      <w:r w:rsidRPr="000644B6">
        <w:t xml:space="preserve">, U.S, Magistrate J. Mark Coulson, U.S. District Court for District of Maryland, held in a pre-trial discovery dispute that the </w:t>
      </w:r>
      <w:proofErr w:type="gramStart"/>
      <w:r w:rsidRPr="000644B6">
        <w:t>City</w:t>
      </w:r>
      <w:proofErr w:type="gramEnd"/>
      <w:r w:rsidRPr="000644B6">
        <w:t xml:space="preserve"> is entitled to the EMT’s mental and other medical records for past seven years.  The EMT has been with FD since 2015, and states FD has been aware of his diagnoses of bipolar disorder and depression.  Plaintiff further alleges that he was not promoted in 2015, and in February 2022 he received written notice of promotion qualification after completing all assessments and a medical screening, but City “then improperly imposed additional medical clearance requirements at the last minute based on Plaintiff's mental health conditions, resulting in Defendant revoking the promotion.” The </w:t>
      </w:r>
      <w:proofErr w:type="gramStart"/>
      <w:r w:rsidRPr="000644B6">
        <w:t>City</w:t>
      </w:r>
      <w:proofErr w:type="gramEnd"/>
      <w:r w:rsidRPr="000644B6">
        <w:t xml:space="preserve"> served plaintiff with written requests for records, </w:t>
      </w:r>
    </w:p>
    <w:p w14:paraId="1ED34017" w14:textId="77777777" w:rsidR="000644B6" w:rsidRPr="000644B6" w:rsidRDefault="000644B6" w:rsidP="000644B6">
      <w:pPr>
        <w:pStyle w:val="NormalWeb"/>
      </w:pPr>
      <w:r w:rsidRPr="000644B6">
        <w:t xml:space="preserve">The Court held: </w:t>
      </w:r>
    </w:p>
    <w:p w14:paraId="0F3F19C8" w14:textId="294E8093" w:rsidR="000644B6" w:rsidRDefault="000644B6" w:rsidP="000644B6">
      <w:pPr>
        <w:pStyle w:val="NoSpacing"/>
        <w:rPr>
          <w:rFonts w:ascii="Arial Black" w:hAnsi="Arial Black"/>
          <w:sz w:val="24"/>
          <w:szCs w:val="24"/>
        </w:rPr>
      </w:pPr>
      <w:r w:rsidRPr="000644B6">
        <w:rPr>
          <w:rFonts w:ascii="Times New Roman" w:hAnsi="Times New Roman"/>
          <w:sz w:val="24"/>
          <w:szCs w:val="24"/>
        </w:rPr>
        <w:t xml:space="preserve">“Defendant seeks discovery regarding, </w:t>
      </w:r>
      <w:r w:rsidRPr="000644B6">
        <w:rPr>
          <w:rStyle w:val="Emphasis"/>
          <w:rFonts w:ascii="Times New Roman" w:hAnsi="Times New Roman"/>
          <w:sz w:val="24"/>
          <w:szCs w:val="24"/>
        </w:rPr>
        <w:t>inter alia</w:t>
      </w:r>
      <w:r w:rsidRPr="000644B6">
        <w:rPr>
          <w:rFonts w:ascii="Times New Roman" w:hAnsi="Times New Roman"/>
          <w:sz w:val="24"/>
          <w:szCs w:val="24"/>
        </w:rPr>
        <w:t xml:space="preserve">, Plaintiff's mental health treatment. *** Interrogatory No. 6, reading, in pertinent part, ‘If you have undergone treatment in the past seven (7) years for a mental illness or emotional condition . . . please state all details . . .including the nature of the illness/condition, dates of treatment, the circumstances surrounding its occurrence, and the names of health care providers involved in the examination, diagnosis or treatment of it.’ *** Given that both </w:t>
      </w:r>
      <w:proofErr w:type="gramStart"/>
      <w:r w:rsidRPr="000644B6">
        <w:rPr>
          <w:rFonts w:ascii="Times New Roman" w:hAnsi="Times New Roman"/>
          <w:sz w:val="24"/>
          <w:szCs w:val="24"/>
        </w:rPr>
        <w:t>damages</w:t>
      </w:r>
      <w:proofErr w:type="gramEnd"/>
      <w:r w:rsidRPr="000644B6">
        <w:rPr>
          <w:rFonts w:ascii="Times New Roman" w:hAnsi="Times New Roman"/>
          <w:sz w:val="24"/>
          <w:szCs w:val="24"/>
        </w:rPr>
        <w:t xml:space="preserve"> and liability itself are premised on the nature and extent of Plaintiff's mental health diagnoses and treatment, Defendant should be allowed reasonable inquiry into such areas. Further, as noted above, given that the core claim in this case is that Defendant discriminated against Plaintiff because of Plaintiff's mental health diagnoses, the Court has no trouble concluding that those conditions are within the scope of discovery. Plaintiff's amended response is that he has not needed or undergone treatment for mental illness or emotional condition in the last seven years ‘except as previously provided to the defendant…. The Court finds Plaintiff's response insufficient. Although Plaintiff may well have provided medical and mental health information as part of his employment,</w:t>
      </w:r>
      <w:r w:rsidRPr="000644B6">
        <w:rPr>
          <w:rFonts w:ascii="Times New Roman" w:hAnsi="Times New Roman"/>
          <w:sz w:val="24"/>
          <w:szCs w:val="24"/>
          <w:vertAlign w:val="superscript"/>
        </w:rPr>
        <w:t xml:space="preserve"> </w:t>
      </w:r>
      <w:r w:rsidRPr="000644B6">
        <w:rPr>
          <w:rFonts w:ascii="Times New Roman" w:hAnsi="Times New Roman"/>
          <w:sz w:val="24"/>
          <w:szCs w:val="24"/>
        </w:rPr>
        <w:t xml:space="preserve">this does not excuse him from providing the narrative called for by this interrogatory, especially since Plaintiff has been a long-time employee of BCFD.” </w:t>
      </w:r>
      <w:hyperlink r:id="rId1651" w:history="1">
        <w:r w:rsidRPr="000E286F">
          <w:rPr>
            <w:rStyle w:val="Hyperlink"/>
            <w:rFonts w:eastAsiaTheme="majorEastAsia"/>
          </w:rPr>
          <w:t>https://public.fastcase.com/ZZhmr5v9wN%2FXOe5IsQ%2FqD0vptgQgkTgOc2XpReLMSYnB1s%2FjY6uEmfEHbXjNZYzwjdaE47PHCuenuGKG11vJGyDk8SuwK4ZV%2BjmAhdBj8vo%3D?utm_medium=email&amp;_hsmi=226712652&amp;_hsenc=p2ANqtz-8f3GbrLnvkkmFwGTcrnfHBUbhSWsI9S9n17c5FNvxL__Rb5dkxAl0xkukh9Thg8SYUm21fgYbaYJ57SsEv3B3vwn_tCQ&amp;utm_content=226712652&amp;utm_source=hs_email</w:t>
        </w:r>
      </w:hyperlink>
    </w:p>
    <w:p w14:paraId="3C355A9C" w14:textId="77777777" w:rsidR="000644B6" w:rsidRDefault="000644B6" w:rsidP="005C30A4">
      <w:pPr>
        <w:pStyle w:val="NoSpacing"/>
        <w:rPr>
          <w:rFonts w:ascii="Arial Black" w:hAnsi="Arial Black"/>
          <w:sz w:val="24"/>
          <w:szCs w:val="24"/>
        </w:rPr>
      </w:pPr>
    </w:p>
    <w:p w14:paraId="43E2F14D" w14:textId="77777777" w:rsidR="000644B6" w:rsidRPr="002C7617" w:rsidRDefault="000644B6" w:rsidP="000644B6">
      <w:pPr>
        <w:pStyle w:val="NormalWeb"/>
        <w:rPr>
          <w:b/>
          <w:bCs/>
        </w:rPr>
      </w:pPr>
      <w:r w:rsidRPr="002C7617">
        <w:rPr>
          <w:b/>
          <w:bCs/>
        </w:rPr>
        <w:t xml:space="preserve">Legal Lesson Learned: </w:t>
      </w:r>
      <w:r>
        <w:rPr>
          <w:b/>
          <w:bCs/>
        </w:rPr>
        <w:t xml:space="preserve">In pre-trial discovery involving alleged discrimination based on employee’s mental health, the City is entitled to plaintiff’s medical records. </w:t>
      </w:r>
    </w:p>
    <w:p w14:paraId="2433122F" w14:textId="4736E99A" w:rsidR="000644B6" w:rsidRDefault="000644B6" w:rsidP="005C30A4">
      <w:pPr>
        <w:pStyle w:val="NoSpacing"/>
        <w:rPr>
          <w:rFonts w:ascii="Arial Black" w:hAnsi="Arial Black"/>
          <w:sz w:val="24"/>
          <w:szCs w:val="24"/>
        </w:rPr>
      </w:pPr>
      <w:r>
        <w:rPr>
          <w:rFonts w:ascii="Arial Black" w:hAnsi="Arial Black"/>
          <w:sz w:val="24"/>
          <w:szCs w:val="24"/>
        </w:rPr>
        <w:t xml:space="preserve"> </w:t>
      </w:r>
    </w:p>
    <w:p w14:paraId="033A1AC3" w14:textId="65E1D847" w:rsidR="00BC4628" w:rsidRDefault="00BC4628" w:rsidP="005C30A4">
      <w:pPr>
        <w:pStyle w:val="NoSpacing"/>
        <w:rPr>
          <w:rFonts w:ascii="Arial Black" w:hAnsi="Arial Black"/>
          <w:sz w:val="24"/>
          <w:szCs w:val="24"/>
        </w:rPr>
      </w:pPr>
      <w:r>
        <w:rPr>
          <w:rFonts w:ascii="Arial Black" w:hAnsi="Arial Black"/>
          <w:sz w:val="24"/>
          <w:szCs w:val="24"/>
        </w:rPr>
        <w:t>9-3</w:t>
      </w:r>
      <w:r w:rsidR="00D33F96">
        <w:rPr>
          <w:rFonts w:ascii="Arial Black" w:hAnsi="Arial Black"/>
          <w:sz w:val="24"/>
          <w:szCs w:val="24"/>
        </w:rPr>
        <w:t>5</w:t>
      </w:r>
    </w:p>
    <w:p w14:paraId="580AB02E" w14:textId="77777777" w:rsidR="00BC4628" w:rsidRDefault="00BC4628" w:rsidP="00BC4628">
      <w:pPr>
        <w:pStyle w:val="NormalWeb"/>
        <w:rPr>
          <w:rFonts w:ascii="Arial Black" w:hAnsi="Arial Black"/>
          <w:sz w:val="28"/>
          <w:szCs w:val="28"/>
        </w:rPr>
      </w:pPr>
      <w:r>
        <w:rPr>
          <w:rFonts w:ascii="Arial Black" w:hAnsi="Arial Black"/>
          <w:sz w:val="28"/>
          <w:szCs w:val="28"/>
        </w:rPr>
        <w:t>IL: CHICAGO FD APPLICANT SENT PSYCH EXAM – PRIOR HISTORY – FAILED – CITY MUST NAME 12 OTHERS FAILED</w:t>
      </w:r>
    </w:p>
    <w:p w14:paraId="2D15B3CC" w14:textId="77777777" w:rsidR="00BC4628" w:rsidRDefault="00BC4628" w:rsidP="00BC4628">
      <w:pPr>
        <w:pStyle w:val="NormalWeb"/>
      </w:pPr>
      <w:r>
        <w:t xml:space="preserve">On July 5, 2023, in </w:t>
      </w:r>
      <w:r w:rsidRPr="00046C0A">
        <w:rPr>
          <w:u w:val="single"/>
        </w:rPr>
        <w:t>Nicholas Sintos v. City of Chicago</w:t>
      </w:r>
      <w:r>
        <w:t xml:space="preserve">, U.S. District Court </w:t>
      </w:r>
      <w:r w:rsidRPr="00046C0A">
        <w:t>Judge Sara L. Elli</w:t>
      </w:r>
      <w:r>
        <w:t xml:space="preserve">, U.S. District Court for Northern District of Illinois, Eastern Division, ordered the City to produce the names and unredacted psych exam records of12 other applicants who were ordered to take psychological exams having received job offers upon passing the exam.  The Court had initially held that names of these individuals should not be disclosed, upon after a court hearing decided that names must be disclosed, and no requirement city first get their authorization. </w:t>
      </w:r>
    </w:p>
    <w:p w14:paraId="349F5FD8" w14:textId="77777777" w:rsidR="00BC4628" w:rsidRPr="003D36C0" w:rsidRDefault="00BC4628" w:rsidP="00BC4628">
      <w:pPr>
        <w:pStyle w:val="NormalWeb"/>
      </w:pPr>
      <w:r>
        <w:t>The Court held: “</w:t>
      </w:r>
      <w:r w:rsidRPr="00046C0A">
        <w:t xml:space="preserve">During discovery, the </w:t>
      </w:r>
      <w:proofErr w:type="gramStart"/>
      <w:r w:rsidRPr="00046C0A">
        <w:t>City</w:t>
      </w:r>
      <w:proofErr w:type="gramEnd"/>
      <w:r w:rsidRPr="00046C0A">
        <w:t xml:space="preserve"> produced medical clearance files for other applicants, however, it redacted their names and contact information. </w:t>
      </w:r>
      <w:proofErr w:type="spellStart"/>
      <w:r w:rsidRPr="00046C0A">
        <w:t>Sintos</w:t>
      </w:r>
      <w:proofErr w:type="spellEnd"/>
      <w:r w:rsidRPr="00046C0A">
        <w:t xml:space="preserve"> asked the Court to require the </w:t>
      </w:r>
      <w:proofErr w:type="gramStart"/>
      <w:r w:rsidRPr="00046C0A">
        <w:t>City</w:t>
      </w:r>
      <w:proofErr w:type="gramEnd"/>
      <w:r w:rsidRPr="00046C0A">
        <w:t xml:space="preserve"> to produce unredacted versions so that he could contact other candidates who, like him, were required to undergo post-offer psychological exams. </w:t>
      </w:r>
      <w:proofErr w:type="spellStart"/>
      <w:r w:rsidRPr="00046C0A">
        <w:t>Sintos</w:t>
      </w:r>
      <w:proofErr w:type="spellEnd"/>
      <w:r w:rsidRPr="00046C0A">
        <w:t xml:space="preserve"> argued that he is entitled to contact these individuals as they are potential witnesses.</w:t>
      </w:r>
      <w:r>
        <w:t xml:space="preserve"> *** </w:t>
      </w:r>
      <w:r w:rsidRPr="003D36C0">
        <w:t xml:space="preserve">To support his argument that the practice is widespread, </w:t>
      </w:r>
      <w:proofErr w:type="spellStart"/>
      <w:r w:rsidRPr="003D36C0">
        <w:t>Sintos</w:t>
      </w:r>
      <w:proofErr w:type="spellEnd"/>
      <w:r w:rsidRPr="003D36C0">
        <w:t xml:space="preserve"> </w:t>
      </w:r>
      <w:proofErr w:type="gramStart"/>
      <w:r w:rsidRPr="003D36C0">
        <w:t>seeks</w:t>
      </w:r>
      <w:proofErr w:type="gramEnd"/>
      <w:r w:rsidRPr="003D36C0">
        <w:t xml:space="preserve"> to contact other applicants who underwent the psychological evaluation exam but were not hired. </w:t>
      </w:r>
      <w:r w:rsidRPr="003D36C0">
        <w:rPr>
          <w:rStyle w:val="Emphasis"/>
          <w:rFonts w:eastAsiaTheme="majorEastAsia"/>
        </w:rPr>
        <w:t>See Reed v. Wexford Health Sources, Inc.</w:t>
      </w:r>
      <w:r w:rsidRPr="003D36C0">
        <w:t>, No. 20-cv-01139-SPM, 2022 WL 4483949, at *6 (S.D. Ill. Sept. 27, 2022) (“</w:t>
      </w:r>
      <w:r w:rsidRPr="003D36C0">
        <w:rPr>
          <w:rStyle w:val="Emphasis"/>
          <w:rFonts w:eastAsiaTheme="majorEastAsia"/>
        </w:rPr>
        <w:t>Monell</w:t>
      </w:r>
      <w:r w:rsidRPr="003D36C0">
        <w:t xml:space="preserve"> claims often require broad discovery.). Here, the Court is allowing </w:t>
      </w:r>
      <w:proofErr w:type="spellStart"/>
      <w:r w:rsidRPr="003D36C0">
        <w:t>Sintos</w:t>
      </w:r>
      <w:proofErr w:type="spellEnd"/>
      <w:r w:rsidRPr="003D36C0">
        <w:t xml:space="preserve"> access to </w:t>
      </w:r>
      <w:proofErr w:type="gramStart"/>
      <w:r w:rsidRPr="003D36C0">
        <w:t>the unredacted</w:t>
      </w:r>
      <w:proofErr w:type="gramEnd"/>
      <w:r w:rsidRPr="003D36C0">
        <w:t xml:space="preserve"> information for at most twelve individuals. Given the small number of individuals and the need for this information to establish his </w:t>
      </w:r>
      <w:r w:rsidRPr="003D36C0">
        <w:rPr>
          <w:rStyle w:val="Emphasis"/>
          <w:rFonts w:eastAsiaTheme="majorEastAsia"/>
        </w:rPr>
        <w:t>Monell</w:t>
      </w:r>
      <w:r w:rsidRPr="003D36C0">
        <w:t xml:space="preserve"> claim, the Court found it appropriate to order the City to provide unredacted files.</w:t>
      </w:r>
      <w:r>
        <w:t xml:space="preserve"> *** </w:t>
      </w:r>
      <w:r w:rsidRPr="003D36C0">
        <w:t xml:space="preserve">The City contends that even if the federal psychotherapist-patient privilege, and not the Mental Health Act, applies, that it too bars the disclosure of the unredacted third-party applicant files absent consent from </w:t>
      </w:r>
      <w:proofErr w:type="gramStart"/>
      <w:r w:rsidRPr="003D36C0">
        <w:t>each individual</w:t>
      </w:r>
      <w:proofErr w:type="gramEnd"/>
      <w:r>
        <w:t xml:space="preserve">…. </w:t>
      </w:r>
      <w:r w:rsidRPr="003D36C0">
        <w:t xml:space="preserve">Here, the third-party applicants were not seeking mental health treatment, as in </w:t>
      </w:r>
      <w:r w:rsidRPr="003D36C0">
        <w:rPr>
          <w:rStyle w:val="Emphasis"/>
          <w:rFonts w:eastAsiaTheme="majorEastAsia"/>
        </w:rPr>
        <w:t>Jaffee</w:t>
      </w:r>
      <w:r>
        <w:t xml:space="preserve"> </w:t>
      </w:r>
      <w:r w:rsidRPr="003D36C0">
        <w:t>[</w:t>
      </w:r>
      <w:r w:rsidRPr="003D36C0">
        <w:rPr>
          <w:rStyle w:val="Emphasis"/>
          <w:rFonts w:eastAsiaTheme="majorEastAsia"/>
        </w:rPr>
        <w:t>v. Redmond</w:t>
      </w:r>
      <w:r w:rsidRPr="003D36C0">
        <w:t xml:space="preserve">, 518 U.S. 1, 10 (1996)] but instead were participating in a compelled evaluation in hopes of gaining employment with the City. </w:t>
      </w:r>
      <w:r w:rsidRPr="003D36C0">
        <w:rPr>
          <w:rStyle w:val="Emphasis"/>
          <w:rFonts w:eastAsiaTheme="majorEastAsia"/>
        </w:rPr>
        <w:t>See id.</w:t>
      </w:r>
      <w:r w:rsidRPr="003D36C0">
        <w:t xml:space="preserve"> Thus, the Court finds that neither the Mental Health Act nor the federal psychotherapist-patient privilege apply.</w:t>
      </w:r>
      <w:r>
        <w:t xml:space="preserve">” </w:t>
      </w:r>
      <w:hyperlink r:id="rId1652" w:history="1">
        <w:r w:rsidRPr="00E97EE7">
          <w:rPr>
            <w:rStyle w:val="Hyperlink"/>
          </w:rPr>
          <w:t>https://public.fastcase.com/ZZhmr5v9wN%2FXOe5IsQ%2FqD3krOQsYv7d%2B2FRanieXHrmbYJPE10W29y6OT9Ia%2FWEvM783GCgc1J%2FsNiq8x9hdfsWhS9nPoC1uzPRzllCUOIc%3D?utm_medium=email&amp;_hsmi=226712652&amp;_hsenc=p2ANqtz-8spF1R7Tf8jpK24zY2dxus9kZGwVA1F9Ooj2BZLJ_FR6fOEX3itYzYoKF0bR9AZ1zkqCBHaC-K0F7fdoWy1HLEeYJb6g&amp;utm_content=226712652&amp;utm_source=hs_email</w:t>
        </w:r>
      </w:hyperlink>
      <w:r>
        <w:t xml:space="preserve"> </w:t>
      </w:r>
    </w:p>
    <w:p w14:paraId="0A89A9BE" w14:textId="77777777" w:rsidR="00BC4628" w:rsidRPr="000A03A6" w:rsidRDefault="00BC4628" w:rsidP="00BC4628">
      <w:pPr>
        <w:pStyle w:val="NormalWeb"/>
        <w:rPr>
          <w:b/>
          <w:bCs/>
        </w:rPr>
      </w:pPr>
      <w:r w:rsidRPr="000A03A6">
        <w:rPr>
          <w:b/>
          <w:bCs/>
        </w:rPr>
        <w:t xml:space="preserve">Legal Lesson Learned: </w:t>
      </w:r>
      <w:r>
        <w:rPr>
          <w:b/>
          <w:bCs/>
        </w:rPr>
        <w:t xml:space="preserve">Many FDs require psych exams as part of final job </w:t>
      </w:r>
      <w:proofErr w:type="gramStart"/>
      <w:r>
        <w:rPr>
          <w:b/>
          <w:bCs/>
        </w:rPr>
        <w:t>offer</w:t>
      </w:r>
      <w:proofErr w:type="gramEnd"/>
      <w:r>
        <w:rPr>
          <w:b/>
          <w:bCs/>
        </w:rPr>
        <w:t xml:space="preserve"> for all finalists; see below EEOC Guidance.  </w:t>
      </w:r>
    </w:p>
    <w:p w14:paraId="5E419099" w14:textId="77777777" w:rsidR="00BC4628" w:rsidRDefault="00BC4628" w:rsidP="00BC4628">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See EEOC Enforcement Guidance </w:t>
      </w:r>
      <w:proofErr w:type="gramStart"/>
      <w:r>
        <w:rPr>
          <w:rFonts w:ascii="Times New Roman" w:hAnsi="Times New Roman"/>
          <w:sz w:val="24"/>
          <w:szCs w:val="24"/>
        </w:rPr>
        <w:t>On</w:t>
      </w:r>
      <w:proofErr w:type="gramEnd"/>
      <w:r>
        <w:rPr>
          <w:rFonts w:ascii="Times New Roman" w:hAnsi="Times New Roman"/>
          <w:sz w:val="24"/>
          <w:szCs w:val="24"/>
        </w:rPr>
        <w:t xml:space="preserve"> Disability-Related </w:t>
      </w:r>
      <w:proofErr w:type="spellStart"/>
      <w:r>
        <w:rPr>
          <w:rFonts w:ascii="Times New Roman" w:hAnsi="Times New Roman"/>
          <w:sz w:val="24"/>
          <w:szCs w:val="24"/>
        </w:rPr>
        <w:t>Inquries</w:t>
      </w:r>
      <w:proofErr w:type="spellEnd"/>
      <w:r>
        <w:rPr>
          <w:rFonts w:ascii="Times New Roman" w:hAnsi="Times New Roman"/>
          <w:sz w:val="24"/>
          <w:szCs w:val="24"/>
        </w:rPr>
        <w:t xml:space="preserve"> </w:t>
      </w:r>
      <w:proofErr w:type="gramStart"/>
      <w:r>
        <w:rPr>
          <w:rFonts w:ascii="Times New Roman" w:hAnsi="Times New Roman"/>
          <w:sz w:val="24"/>
          <w:szCs w:val="24"/>
        </w:rPr>
        <w:t>And</w:t>
      </w:r>
      <w:proofErr w:type="gramEnd"/>
      <w:r>
        <w:rPr>
          <w:rFonts w:ascii="Times New Roman" w:hAnsi="Times New Roman"/>
          <w:sz w:val="24"/>
          <w:szCs w:val="24"/>
        </w:rPr>
        <w:t xml:space="preserve"> Medical Examinations Under ADA . </w:t>
      </w:r>
      <w:hyperlink r:id="rId1653" w:history="1">
        <w:r w:rsidRPr="001055F4">
          <w:rPr>
            <w:rStyle w:val="Hyperlink"/>
            <w:sz w:val="24"/>
            <w:szCs w:val="24"/>
          </w:rPr>
          <w:t>https://www.eeoc.gov/laws/guidance/enforcement-guidance-disability-related-inquiries-and-medical-examinations-employees</w:t>
        </w:r>
      </w:hyperlink>
      <w:r>
        <w:rPr>
          <w:rFonts w:ascii="Times New Roman" w:hAnsi="Times New Roman"/>
          <w:sz w:val="24"/>
          <w:szCs w:val="24"/>
        </w:rPr>
        <w:t xml:space="preserve"> </w:t>
      </w:r>
    </w:p>
    <w:p w14:paraId="14552EBA" w14:textId="77777777" w:rsidR="00BC4628" w:rsidRPr="00103455" w:rsidRDefault="00BC4628" w:rsidP="00BC4628">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103455">
        <w:rPr>
          <w:rFonts w:ascii="Times New Roman" w:hAnsi="Times New Roman"/>
          <w:sz w:val="24"/>
          <w:szCs w:val="24"/>
        </w:rPr>
        <w:t xml:space="preserve">Under the ADA, an employer's ability to make disability-related inquiries or require medical examinations is analyzed in three stages: pre-offer, post-offer, and employment. At the first stage </w:t>
      </w:r>
      <w:r w:rsidRPr="00103455">
        <w:rPr>
          <w:rStyle w:val="Strong"/>
          <w:rFonts w:ascii="Times New Roman" w:hAnsi="Times New Roman"/>
          <w:sz w:val="24"/>
          <w:szCs w:val="24"/>
        </w:rPr>
        <w:t>(prior to an offer of employment)</w:t>
      </w:r>
      <w:r w:rsidRPr="00103455">
        <w:rPr>
          <w:rFonts w:ascii="Times New Roman" w:hAnsi="Times New Roman"/>
          <w:sz w:val="24"/>
          <w:szCs w:val="24"/>
        </w:rPr>
        <w:t>, the ADA prohibits all disability-related inquiries and medical examinations,</w:t>
      </w:r>
      <w:r w:rsidRPr="00103455">
        <w:rPr>
          <w:rStyle w:val="Emphasis"/>
          <w:rFonts w:ascii="Times New Roman" w:hAnsi="Times New Roman"/>
          <w:sz w:val="24"/>
          <w:szCs w:val="24"/>
        </w:rPr>
        <w:t xml:space="preserve"> even if</w:t>
      </w:r>
      <w:r w:rsidRPr="00103455">
        <w:rPr>
          <w:rFonts w:ascii="Times New Roman" w:hAnsi="Times New Roman"/>
          <w:sz w:val="24"/>
          <w:szCs w:val="24"/>
        </w:rPr>
        <w:t xml:space="preserve"> they are related to the job. At the second stage </w:t>
      </w:r>
      <w:r w:rsidRPr="00103455">
        <w:rPr>
          <w:rStyle w:val="Strong"/>
          <w:rFonts w:ascii="Times New Roman" w:hAnsi="Times New Roman"/>
          <w:sz w:val="24"/>
          <w:szCs w:val="24"/>
        </w:rPr>
        <w:t>(after an applicant is given a conditional job offer, but before s/he starts work)</w:t>
      </w:r>
      <w:r w:rsidRPr="00103455">
        <w:rPr>
          <w:rFonts w:ascii="Times New Roman" w:hAnsi="Times New Roman"/>
          <w:sz w:val="24"/>
          <w:szCs w:val="24"/>
        </w:rPr>
        <w:t xml:space="preserve">, an employer may make disability-related inquiries and conduct medical examinations, regardless of whether they are related to the job, as long as it does so for all entering employees in the same job category. At the third stage </w:t>
      </w:r>
      <w:r w:rsidRPr="00103455">
        <w:rPr>
          <w:rStyle w:val="Strong"/>
          <w:rFonts w:ascii="Times New Roman" w:hAnsi="Times New Roman"/>
          <w:sz w:val="24"/>
          <w:szCs w:val="24"/>
        </w:rPr>
        <w:t>(after employment begins)</w:t>
      </w:r>
      <w:r w:rsidRPr="00103455">
        <w:rPr>
          <w:rFonts w:ascii="Times New Roman" w:hAnsi="Times New Roman"/>
          <w:sz w:val="24"/>
          <w:szCs w:val="24"/>
        </w:rPr>
        <w:t xml:space="preserve">, an employer may make disability-related inquiries and require medical examinations </w:t>
      </w:r>
      <w:r w:rsidRPr="00103455">
        <w:rPr>
          <w:rStyle w:val="Emphasis"/>
          <w:rFonts w:ascii="Times New Roman" w:hAnsi="Times New Roman"/>
          <w:sz w:val="24"/>
          <w:szCs w:val="24"/>
        </w:rPr>
        <w:t>only</w:t>
      </w:r>
      <w:r w:rsidRPr="00103455">
        <w:rPr>
          <w:rFonts w:ascii="Times New Roman" w:hAnsi="Times New Roman"/>
          <w:sz w:val="24"/>
          <w:szCs w:val="24"/>
        </w:rPr>
        <w:t xml:space="preserve"> if they are job-related and consistent with business </w:t>
      </w:r>
      <w:proofErr w:type="gramStart"/>
      <w:r w:rsidRPr="00103455">
        <w:rPr>
          <w:rFonts w:ascii="Times New Roman" w:hAnsi="Times New Roman"/>
          <w:sz w:val="24"/>
          <w:szCs w:val="24"/>
        </w:rPr>
        <w:t>necessity.</w:t>
      </w:r>
      <w:r>
        <w:rPr>
          <w:rFonts w:ascii="Times New Roman" w:hAnsi="Times New Roman"/>
          <w:sz w:val="24"/>
          <w:szCs w:val="24"/>
        </w:rPr>
        <w:t>”</w:t>
      </w:r>
      <w:proofErr w:type="gramEnd"/>
      <w:r w:rsidRPr="00103455">
        <w:rPr>
          <w:rFonts w:ascii="Times New Roman" w:hAnsi="Times New Roman"/>
          <w:sz w:val="24"/>
          <w:szCs w:val="24"/>
        </w:rPr>
        <w:t xml:space="preserve"> </w:t>
      </w:r>
    </w:p>
    <w:p w14:paraId="2EC1B35D" w14:textId="77777777" w:rsidR="00BC4628" w:rsidRDefault="00BC4628" w:rsidP="005C30A4">
      <w:pPr>
        <w:pStyle w:val="NoSpacing"/>
        <w:rPr>
          <w:rFonts w:ascii="Arial Black" w:hAnsi="Arial Black"/>
          <w:sz w:val="24"/>
          <w:szCs w:val="24"/>
        </w:rPr>
      </w:pPr>
    </w:p>
    <w:p w14:paraId="1506AFF4" w14:textId="77777777" w:rsidR="00BC4628" w:rsidRDefault="00BC4628" w:rsidP="005C30A4">
      <w:pPr>
        <w:pStyle w:val="NoSpacing"/>
        <w:rPr>
          <w:rFonts w:ascii="Arial Black" w:hAnsi="Arial Black"/>
          <w:sz w:val="24"/>
          <w:szCs w:val="24"/>
        </w:rPr>
      </w:pPr>
    </w:p>
    <w:p w14:paraId="768A2985" w14:textId="4394DF78" w:rsidR="00C032D6" w:rsidRDefault="00C032D6" w:rsidP="005C30A4">
      <w:pPr>
        <w:pStyle w:val="NoSpacing"/>
        <w:rPr>
          <w:rFonts w:ascii="Arial Black" w:hAnsi="Arial Black"/>
          <w:sz w:val="24"/>
          <w:szCs w:val="24"/>
        </w:rPr>
      </w:pPr>
      <w:r>
        <w:rPr>
          <w:rFonts w:ascii="Arial Black" w:hAnsi="Arial Black"/>
          <w:sz w:val="24"/>
          <w:szCs w:val="24"/>
        </w:rPr>
        <w:t>9-3</w:t>
      </w:r>
      <w:r w:rsidR="00D33F96">
        <w:rPr>
          <w:rFonts w:ascii="Arial Black" w:hAnsi="Arial Black"/>
          <w:sz w:val="24"/>
          <w:szCs w:val="24"/>
        </w:rPr>
        <w:t>4</w:t>
      </w:r>
    </w:p>
    <w:p w14:paraId="26AD927A" w14:textId="77777777" w:rsidR="00C032D6" w:rsidRDefault="00C032D6" w:rsidP="005C30A4">
      <w:pPr>
        <w:pStyle w:val="NoSpacing"/>
        <w:rPr>
          <w:rFonts w:ascii="Arial Black" w:hAnsi="Arial Black"/>
          <w:sz w:val="24"/>
          <w:szCs w:val="24"/>
        </w:rPr>
      </w:pPr>
    </w:p>
    <w:p w14:paraId="44B04094" w14:textId="77777777" w:rsidR="00C032D6" w:rsidRDefault="00C032D6" w:rsidP="00C032D6">
      <w:pPr>
        <w:pStyle w:val="NormalWeb"/>
        <w:spacing w:before="0" w:beforeAutospacing="0" w:after="0" w:afterAutospacing="0"/>
        <w:rPr>
          <w:rFonts w:ascii="Arial Black" w:eastAsiaTheme="minorHAnsi" w:hAnsi="Arial Black" w:cs="Calibri"/>
          <w:color w:val="000000"/>
          <w:sz w:val="28"/>
          <w:szCs w:val="28"/>
        </w:rPr>
      </w:pPr>
      <w:r>
        <w:rPr>
          <w:rFonts w:ascii="Arial Black" w:hAnsi="Arial Black"/>
          <w:sz w:val="28"/>
          <w:szCs w:val="28"/>
        </w:rPr>
        <w:t xml:space="preserve">U.S. SUP. CT: EVANGELICAL POSTMAN - OFF ON SUNDAYS – POSTAL SERVICE MUST PROVE REAL “UNDUE HARDSHIP” </w:t>
      </w:r>
    </w:p>
    <w:p w14:paraId="00868BDD" w14:textId="38AA3673" w:rsidR="00C032D6" w:rsidRDefault="00C032D6" w:rsidP="00C032D6">
      <w:pPr>
        <w:pStyle w:val="NoSpacing"/>
        <w:rPr>
          <w:rStyle w:val="Hyperlink"/>
          <w:sz w:val="24"/>
          <w:szCs w:val="24"/>
        </w:rPr>
      </w:pPr>
      <w:r>
        <w:rPr>
          <w:rFonts w:ascii="Times New Roman" w:eastAsia="Times New Roman" w:hAnsi="Times New Roman"/>
          <w:sz w:val="24"/>
          <w:szCs w:val="24"/>
        </w:rPr>
        <w:t xml:space="preserve">On June 29, 2023, in </w:t>
      </w:r>
      <w:r>
        <w:rPr>
          <w:rFonts w:ascii="Times New Roman" w:eastAsia="Times New Roman" w:hAnsi="Times New Roman"/>
          <w:sz w:val="24"/>
          <w:szCs w:val="24"/>
          <w:u w:val="single"/>
        </w:rPr>
        <w:t>Groff v. DeJoy, Postmaster General</w:t>
      </w:r>
      <w:r>
        <w:rPr>
          <w:rFonts w:ascii="Times New Roman" w:eastAsia="Times New Roman" w:hAnsi="Times New Roman"/>
          <w:sz w:val="24"/>
          <w:szCs w:val="24"/>
        </w:rPr>
        <w:t xml:space="preserve">, the U.S. Supreme Court held (9 to 0) in an opinion by Justice </w:t>
      </w:r>
      <w:r>
        <w:rPr>
          <w:rFonts w:ascii="Times New Roman" w:hAnsi="Times New Roman"/>
          <w:sz w:val="24"/>
          <w:szCs w:val="24"/>
        </w:rPr>
        <w:t>Samuel Anthony Alito Jr., that U.S. Postal Service must accommodate a rural postman’s religious request to not work on Sundays delivering Amazon products, unless the “</w:t>
      </w:r>
      <w:r>
        <w:rPr>
          <w:rFonts w:ascii="Times New Roman" w:hAnsi="Times New Roman"/>
          <w:color w:val="343332"/>
          <w:sz w:val="24"/>
          <w:szCs w:val="24"/>
        </w:rPr>
        <w:t xml:space="preserve">burden of granting an accommodation would result in substantial increased costs in relation to the conduct of its particular business.”  Under Title VII of the Civil Rights Act of 1964, federal law bars employers from discriminating against workers for practicing their religion unless the employer can show that the worker’s religious practice cannot “reasonably” be accommodated without “undue hardship.”  </w:t>
      </w:r>
      <w:hyperlink r:id="rId1654" w:history="1">
        <w:r>
          <w:rPr>
            <w:rStyle w:val="Hyperlink"/>
            <w:sz w:val="24"/>
            <w:szCs w:val="24"/>
          </w:rPr>
          <w:t>https://www.supremecourt.gov/opinions/22pdf/22-174_k536.pdf</w:t>
        </w:r>
      </w:hyperlink>
    </w:p>
    <w:p w14:paraId="614685CF" w14:textId="77777777" w:rsidR="00C032D6" w:rsidRDefault="00C032D6" w:rsidP="00C032D6">
      <w:pPr>
        <w:pStyle w:val="NoSpacing"/>
        <w:rPr>
          <w:rStyle w:val="Hyperlink"/>
          <w:sz w:val="24"/>
          <w:szCs w:val="24"/>
        </w:rPr>
      </w:pPr>
    </w:p>
    <w:p w14:paraId="1756ADB3" w14:textId="77777777" w:rsidR="00C032D6" w:rsidRDefault="00C032D6" w:rsidP="00C032D6">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color w:val="343332"/>
          <w:sz w:val="24"/>
          <w:szCs w:val="24"/>
        </w:rPr>
        <w:t>Legal Lesson Learned: While this is a Title VII religious accommodations case, this decision may impact employers, including Fire &amp; EMS, when an employee seeks light duty or other accommodations for a disability.   If you decline an accommodation request, after discussion with the employee, thoroughly document the “undue hardship” to the department, including impact on operations and costs.</w:t>
      </w:r>
    </w:p>
    <w:p w14:paraId="7352651F" w14:textId="77777777" w:rsidR="00C032D6" w:rsidRDefault="00C032D6" w:rsidP="00C032D6">
      <w:pPr>
        <w:spacing w:before="100" w:beforeAutospacing="1" w:after="100" w:afterAutospacing="1" w:line="240" w:lineRule="auto"/>
        <w:ind w:left="720"/>
        <w:rPr>
          <w:rFonts w:ascii="Times New Roman" w:hAnsi="Times New Roman"/>
          <w:color w:val="343332"/>
          <w:kern w:val="2"/>
          <w:sz w:val="24"/>
          <w:szCs w:val="24"/>
          <w14:ligatures w14:val="standardContextual"/>
        </w:rPr>
      </w:pPr>
      <w:r>
        <w:rPr>
          <w:rFonts w:ascii="Times New Roman" w:hAnsi="Times New Roman"/>
          <w:color w:val="343332"/>
          <w:sz w:val="24"/>
          <w:szCs w:val="24"/>
        </w:rPr>
        <w:t xml:space="preserve">Note: The EEOC has described “undue hardship” under ADA. </w:t>
      </w:r>
      <w:hyperlink r:id="rId1655" w:history="1">
        <w:r>
          <w:rPr>
            <w:rStyle w:val="Hyperlink"/>
            <w:sz w:val="24"/>
            <w:szCs w:val="24"/>
          </w:rPr>
          <w:t>https://www.eeoc.gov/publications/ada-your-responsibilities-employer</w:t>
        </w:r>
      </w:hyperlink>
      <w:r>
        <w:rPr>
          <w:rFonts w:ascii="Times New Roman" w:hAnsi="Times New Roman"/>
          <w:color w:val="343332"/>
          <w:sz w:val="24"/>
          <w:szCs w:val="24"/>
        </w:rPr>
        <w:t xml:space="preserve"> </w:t>
      </w:r>
    </w:p>
    <w:p w14:paraId="3AFE3FD6" w14:textId="77777777" w:rsidR="00C032D6" w:rsidRDefault="00C032D6" w:rsidP="00C032D6">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“It is not necessary to provide a reasonable accommodation if doing so would cause an undue hardship. Undue hardship means that </w:t>
      </w:r>
      <w:proofErr w:type="gramStart"/>
      <w:r>
        <w:rPr>
          <w:rFonts w:ascii="Times New Roman" w:eastAsia="Times New Roman" w:hAnsi="Times New Roman"/>
          <w:sz w:val="24"/>
          <w:szCs w:val="24"/>
        </w:rPr>
        <w:t>an accommodation</w:t>
      </w:r>
      <w:proofErr w:type="gramEnd"/>
      <w:r>
        <w:rPr>
          <w:rFonts w:ascii="Times New Roman" w:eastAsia="Times New Roman" w:hAnsi="Times New Roman"/>
          <w:sz w:val="24"/>
          <w:szCs w:val="24"/>
        </w:rPr>
        <w:t xml:space="preserve"> would be unduly costly, extensive, substantial or disruptive, or would fundamentally alter the nature or operation of the business. Among the factors to be considered in determining whether </w:t>
      </w:r>
      <w:proofErr w:type="gramStart"/>
      <w:r>
        <w:rPr>
          <w:rFonts w:ascii="Times New Roman" w:eastAsia="Times New Roman" w:hAnsi="Times New Roman"/>
          <w:sz w:val="24"/>
          <w:szCs w:val="24"/>
        </w:rPr>
        <w:t>an accommodation</w:t>
      </w:r>
      <w:proofErr w:type="gramEnd"/>
      <w:r>
        <w:rPr>
          <w:rFonts w:ascii="Times New Roman" w:eastAsia="Times New Roman" w:hAnsi="Times New Roman"/>
          <w:sz w:val="24"/>
          <w:szCs w:val="24"/>
        </w:rPr>
        <w:t xml:space="preserve"> is an undue hardship are the cost of the accommodation, the employer's size, financial resources and the nature and structure of its operation.</w:t>
      </w:r>
    </w:p>
    <w:p w14:paraId="46E3CC09" w14:textId="77777777" w:rsidR="00C032D6" w:rsidRDefault="00C032D6" w:rsidP="00C032D6">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If a particular accommodation </w:t>
      </w:r>
      <w:proofErr w:type="gramStart"/>
      <w:r>
        <w:rPr>
          <w:rFonts w:ascii="Times New Roman" w:eastAsia="Times New Roman" w:hAnsi="Times New Roman"/>
          <w:sz w:val="24"/>
          <w:szCs w:val="24"/>
        </w:rPr>
        <w:t>would be</w:t>
      </w:r>
      <w:proofErr w:type="gramEnd"/>
      <w:r>
        <w:rPr>
          <w:rFonts w:ascii="Times New Roman" w:eastAsia="Times New Roman" w:hAnsi="Times New Roman"/>
          <w:sz w:val="24"/>
          <w:szCs w:val="24"/>
        </w:rPr>
        <w:t xml:space="preserve"> an undue hardship, you must try to identify another accommodation that will not pose such a hardship. If cost causes </w:t>
      </w:r>
      <w:proofErr w:type="gramStart"/>
      <w:r>
        <w:rPr>
          <w:rFonts w:ascii="Times New Roman" w:eastAsia="Times New Roman" w:hAnsi="Times New Roman"/>
          <w:sz w:val="24"/>
          <w:szCs w:val="24"/>
        </w:rPr>
        <w:t>the undue</w:t>
      </w:r>
      <w:proofErr w:type="gramEnd"/>
      <w:r>
        <w:rPr>
          <w:rFonts w:ascii="Times New Roman" w:eastAsia="Times New Roman" w:hAnsi="Times New Roman"/>
          <w:sz w:val="24"/>
          <w:szCs w:val="24"/>
        </w:rPr>
        <w:t xml:space="preserve"> hardship, you must also consider whether funding for </w:t>
      </w:r>
      <w:proofErr w:type="gramStart"/>
      <w:r>
        <w:rPr>
          <w:rFonts w:ascii="Times New Roman" w:eastAsia="Times New Roman" w:hAnsi="Times New Roman"/>
          <w:sz w:val="24"/>
          <w:szCs w:val="24"/>
        </w:rPr>
        <w:t>an accommodation</w:t>
      </w:r>
      <w:proofErr w:type="gramEnd"/>
      <w:r>
        <w:rPr>
          <w:rFonts w:ascii="Times New Roman" w:eastAsia="Times New Roman" w:hAnsi="Times New Roman"/>
          <w:sz w:val="24"/>
          <w:szCs w:val="24"/>
        </w:rPr>
        <w:t xml:space="preserve"> is available from an outside source, such as a vocational rehabilitation agency, and if the cost of providing the accommodation can be offset by state or federal tax credits or deductions. You must also give the applicant or employee with a disability the opportunity to provide the accommodation or pay for the portion of the accommodation that constitutes an undue </w:t>
      </w:r>
      <w:proofErr w:type="gramStart"/>
      <w:r>
        <w:rPr>
          <w:rFonts w:ascii="Times New Roman" w:eastAsia="Times New Roman" w:hAnsi="Times New Roman"/>
          <w:sz w:val="24"/>
          <w:szCs w:val="24"/>
        </w:rPr>
        <w:t>hardship.”</w:t>
      </w:r>
      <w:proofErr w:type="gramEnd"/>
    </w:p>
    <w:p w14:paraId="2C174033" w14:textId="77777777" w:rsidR="00C032D6" w:rsidRDefault="00C032D6" w:rsidP="00C032D6">
      <w:pPr>
        <w:spacing w:before="100" w:beforeAutospacing="1" w:after="100" w:afterAutospacing="1" w:line="240" w:lineRule="auto"/>
        <w:ind w:left="720"/>
        <w:rPr>
          <w:rFonts w:ascii="Times New Roman" w:hAnsi="Times New Roman"/>
          <w:kern w:val="2"/>
          <w:sz w:val="24"/>
          <w:szCs w:val="24"/>
          <w14:ligatures w14:val="standardContextual"/>
        </w:rPr>
      </w:pPr>
      <w:r>
        <w:rPr>
          <w:rFonts w:ascii="Times New Roman" w:hAnsi="Times New Roman"/>
          <w:sz w:val="24"/>
          <w:szCs w:val="24"/>
        </w:rPr>
        <w:t xml:space="preserve">Note also: The ADA's implementing regulations by EEOC state </w:t>
      </w:r>
      <w:proofErr w:type="gramStart"/>
      <w:r>
        <w:rPr>
          <w:rFonts w:ascii="Times New Roman" w:hAnsi="Times New Roman"/>
          <w:sz w:val="24"/>
          <w:szCs w:val="24"/>
        </w:rPr>
        <w:t>that, “[t]</w:t>
      </w:r>
      <w:proofErr w:type="gramEnd"/>
      <w:r>
        <w:rPr>
          <w:rFonts w:ascii="Times New Roman" w:hAnsi="Times New Roman"/>
          <w:sz w:val="24"/>
          <w:szCs w:val="24"/>
        </w:rPr>
        <w:t xml:space="preserve">o </w:t>
      </w:r>
      <w:proofErr w:type="gramStart"/>
      <w:r>
        <w:rPr>
          <w:rFonts w:ascii="Times New Roman" w:hAnsi="Times New Roman"/>
          <w:sz w:val="24"/>
          <w:szCs w:val="24"/>
        </w:rPr>
        <w:t>determine</w:t>
      </w:r>
      <w:proofErr w:type="gramEnd"/>
      <w:r>
        <w:rPr>
          <w:rFonts w:ascii="Times New Roman" w:hAnsi="Times New Roman"/>
          <w:sz w:val="24"/>
          <w:szCs w:val="24"/>
        </w:rPr>
        <w:t xml:space="preserve"> the appropriate reasonable accommodation it may be necessary for the [employer] to initiate an informal, interactive process with the qualified individual with a disability in need of accommodation.’ 29 C.F.R. § 1630.2(o)(3). </w:t>
      </w:r>
    </w:p>
    <w:p w14:paraId="1306B095" w14:textId="77777777" w:rsidR="00C032D6" w:rsidRDefault="00C032D6" w:rsidP="00C032D6">
      <w:pPr>
        <w:pStyle w:val="NormalWeb"/>
        <w:ind w:left="360"/>
      </w:pPr>
    </w:p>
    <w:p w14:paraId="02B1059F" w14:textId="19DE6530" w:rsidR="00C032D6" w:rsidRDefault="00D33F96" w:rsidP="00D33F9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9-33</w:t>
      </w:r>
    </w:p>
    <w:p w14:paraId="2A12830C" w14:textId="77777777" w:rsidR="00D33F96" w:rsidRPr="008A7EEF" w:rsidRDefault="00D33F96" w:rsidP="00D33F96">
      <w:pPr>
        <w:rPr>
          <w:rFonts w:ascii="Arial Black" w:hAnsi="Arial Black"/>
          <w:sz w:val="28"/>
          <w:szCs w:val="28"/>
        </w:rPr>
      </w:pPr>
      <w:r>
        <w:rPr>
          <w:rFonts w:ascii="Arial Black" w:hAnsi="Arial Black"/>
          <w:sz w:val="28"/>
          <w:szCs w:val="28"/>
        </w:rPr>
        <w:t>WA: FF PTSD – DENIED REQUESTED BRING HIS SERVICE DOG TO WORK – CITY PSYCHOLOGIST MAY EXAMINE FF</w:t>
      </w:r>
    </w:p>
    <w:p w14:paraId="233A2B25" w14:textId="77777777" w:rsidR="00D33F96" w:rsidRPr="008A7EEF" w:rsidRDefault="00D33F96" w:rsidP="00D33F96">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June 23, 2023, in </w:t>
      </w:r>
      <w:r w:rsidRPr="00795DC9">
        <w:rPr>
          <w:rFonts w:ascii="Times New Roman" w:hAnsi="Times New Roman"/>
          <w:sz w:val="24"/>
          <w:szCs w:val="24"/>
          <w:u w:val="single"/>
        </w:rPr>
        <w:t>Abraham Meyer v. City of Chehalis</w:t>
      </w:r>
      <w:r>
        <w:rPr>
          <w:rFonts w:ascii="Times New Roman" w:hAnsi="Times New Roman"/>
          <w:sz w:val="24"/>
          <w:szCs w:val="24"/>
        </w:rPr>
        <w:t>, U.S. District Court Judge David G. Estudillo, U.S. District Court for Western District of Washington, Tacoma, has agreed with the City that plaintiff must undergo a psychiatric examination by their expert to confirm he still suffers from PTSD as he did in 2019 when they turned down his request to bring a service dog to work.  The Court, however, denied the City’s request to have their expert examine the firefighter’s current service dog.  The Court held: “</w:t>
      </w:r>
      <w:r w:rsidRPr="00795DC9">
        <w:rPr>
          <w:rFonts w:ascii="Times New Roman" w:hAnsi="Times New Roman"/>
          <w:sz w:val="24"/>
          <w:szCs w:val="24"/>
        </w:rPr>
        <w:t>The Court also agrees with the City that there is good cause for a Rule 35 exam here since the City would otherwise be forced to rely on years-old psychological evaluations conducted by dueling medical professionals to build their case. The Court therefore GRANTS the City's motion to compel a psychological evaluation of Plaintiff.</w:t>
      </w:r>
      <w:r>
        <w:rPr>
          <w:rFonts w:ascii="Times New Roman" w:hAnsi="Times New Roman"/>
          <w:sz w:val="24"/>
          <w:szCs w:val="24"/>
        </w:rPr>
        <w:t xml:space="preserve"> *** </w:t>
      </w:r>
      <w:r w:rsidRPr="00795DC9">
        <w:rPr>
          <w:rFonts w:ascii="Times New Roman" w:hAnsi="Times New Roman"/>
          <w:sz w:val="24"/>
          <w:szCs w:val="24"/>
        </w:rPr>
        <w:t xml:space="preserve">Evaluating Plaintiff's current service dogs will not shed light on the training of his prior service dog at the time of the City's initial denial of Plaintiff's reasonable accommodation request. Additionally, Plaintiff need not use his current service dog as part of any future reasonable accommodation reached with the </w:t>
      </w:r>
      <w:proofErr w:type="gramStart"/>
      <w:r w:rsidRPr="00795DC9">
        <w:rPr>
          <w:rFonts w:ascii="Times New Roman" w:hAnsi="Times New Roman"/>
          <w:sz w:val="24"/>
          <w:szCs w:val="24"/>
        </w:rPr>
        <w:t>City</w:t>
      </w:r>
      <w:proofErr w:type="gramEnd"/>
      <w:r w:rsidRPr="00795DC9">
        <w:rPr>
          <w:rFonts w:ascii="Times New Roman" w:hAnsi="Times New Roman"/>
          <w:sz w:val="24"/>
          <w:szCs w:val="24"/>
        </w:rPr>
        <w:t xml:space="preserve">. Indeed, the focus on a specific </w:t>
      </w:r>
      <w:proofErr w:type="gramStart"/>
      <w:r w:rsidRPr="00795DC9">
        <w:rPr>
          <w:rFonts w:ascii="Times New Roman" w:hAnsi="Times New Roman"/>
          <w:sz w:val="24"/>
          <w:szCs w:val="24"/>
        </w:rPr>
        <w:t>service dog's training</w:t>
      </w:r>
      <w:proofErr w:type="gramEnd"/>
      <w:r w:rsidRPr="00795DC9">
        <w:rPr>
          <w:rFonts w:ascii="Times New Roman" w:hAnsi="Times New Roman"/>
          <w:sz w:val="24"/>
          <w:szCs w:val="24"/>
        </w:rPr>
        <w:t xml:space="preserve"> appears to be an implicit concession by the </w:t>
      </w:r>
      <w:proofErr w:type="gramStart"/>
      <w:r w:rsidRPr="00795DC9">
        <w:rPr>
          <w:rFonts w:ascii="Times New Roman" w:hAnsi="Times New Roman"/>
          <w:sz w:val="24"/>
          <w:szCs w:val="24"/>
        </w:rPr>
        <w:t>City</w:t>
      </w:r>
      <w:proofErr w:type="gramEnd"/>
      <w:r w:rsidRPr="00795DC9">
        <w:rPr>
          <w:rFonts w:ascii="Times New Roman" w:hAnsi="Times New Roman"/>
          <w:sz w:val="24"/>
          <w:szCs w:val="24"/>
        </w:rPr>
        <w:t xml:space="preserve"> that a service dog trained to their standards could constitute a reasonable accommodation. The Court therefore DENIES the City's motion to compel an evaluation of Plaintiff's current service dog.</w:t>
      </w:r>
      <w:r>
        <w:rPr>
          <w:rFonts w:ascii="Times New Roman" w:hAnsi="Times New Roman"/>
          <w:sz w:val="24"/>
          <w:szCs w:val="24"/>
        </w:rPr>
        <w:t xml:space="preserve">” </w:t>
      </w:r>
      <w:hyperlink r:id="rId1656" w:history="1">
        <w:r w:rsidRPr="00812663">
          <w:rPr>
            <w:rStyle w:val="Hyperlink"/>
            <w:sz w:val="24"/>
            <w:szCs w:val="24"/>
          </w:rPr>
          <w:t>https://casetext.com/case/meyer-v-city-of-chehalis</w:t>
        </w:r>
      </w:hyperlink>
      <w:r>
        <w:rPr>
          <w:rFonts w:ascii="Times New Roman" w:hAnsi="Times New Roman"/>
          <w:sz w:val="24"/>
          <w:szCs w:val="24"/>
        </w:rPr>
        <w:t xml:space="preserve"> </w:t>
      </w:r>
    </w:p>
    <w:p w14:paraId="0995DE5F" w14:textId="77777777" w:rsidR="00D33F96" w:rsidRDefault="00D33F96" w:rsidP="00D33F96">
      <w:pPr>
        <w:pStyle w:val="NoSpacing"/>
        <w:rPr>
          <w:rFonts w:ascii="Arial Black" w:hAnsi="Arial Black"/>
          <w:sz w:val="24"/>
          <w:szCs w:val="24"/>
        </w:rPr>
      </w:pPr>
      <w:r w:rsidRPr="00795DC9">
        <w:rPr>
          <w:rFonts w:ascii="Times New Roman" w:hAnsi="Times New Roman"/>
          <w:b/>
          <w:bCs/>
          <w:sz w:val="24"/>
          <w:szCs w:val="24"/>
        </w:rPr>
        <w:t xml:space="preserve">Legal Lesson Learned: </w:t>
      </w:r>
      <w:r>
        <w:rPr>
          <w:rFonts w:ascii="Times New Roman" w:hAnsi="Times New Roman"/>
          <w:b/>
          <w:bCs/>
          <w:sz w:val="24"/>
          <w:szCs w:val="24"/>
        </w:rPr>
        <w:t xml:space="preserve">Service dogs have been found to be reasonable accommodation in several industries; it is unclear how the firefighter in this case would house the dog when he is responding on a run.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55809144" w14:textId="0E3F7140" w:rsidR="00D33F96" w:rsidRDefault="00D33F96" w:rsidP="00D33F96">
      <w:pPr>
        <w:pStyle w:val="NoSpacing"/>
        <w:rPr>
          <w:rFonts w:ascii="Arial Black" w:hAnsi="Arial Black"/>
          <w:sz w:val="24"/>
          <w:szCs w:val="24"/>
        </w:rPr>
      </w:pPr>
      <w:r>
        <w:rPr>
          <w:rFonts w:ascii="Arial Black" w:hAnsi="Arial Black"/>
          <w:sz w:val="24"/>
          <w:szCs w:val="24"/>
        </w:rPr>
        <w:t>9-32</w:t>
      </w:r>
    </w:p>
    <w:p w14:paraId="0547073B" w14:textId="77777777" w:rsidR="00D33F96" w:rsidRDefault="00D33F96" w:rsidP="00D33F96">
      <w:pPr>
        <w:pStyle w:val="NormalWeb"/>
        <w:jc w:val="both"/>
        <w:rPr>
          <w:rFonts w:ascii="Arial Black" w:hAnsi="Arial Black"/>
          <w:b/>
          <w:bCs/>
          <w:sz w:val="28"/>
          <w:szCs w:val="28"/>
        </w:rPr>
      </w:pPr>
      <w:r>
        <w:rPr>
          <w:rFonts w:ascii="Arial Black" w:hAnsi="Arial Black"/>
          <w:b/>
          <w:bCs/>
          <w:sz w:val="28"/>
          <w:szCs w:val="28"/>
        </w:rPr>
        <w:t>TN: ADA – NASHVILLE FF INJURED BACK – DENIED LIGHT DUTY WHEN HR DIDN’T DISCUSS DR’S NOTE - CASE PROCEED</w:t>
      </w:r>
    </w:p>
    <w:p w14:paraId="10ED0C8C" w14:textId="77777777" w:rsidR="00D33F96" w:rsidRDefault="00D33F96" w:rsidP="00D33F96">
      <w:pPr>
        <w:pStyle w:val="NormalWeb"/>
      </w:pPr>
      <w:r w:rsidRPr="00E90532">
        <w:t xml:space="preserve">On </w:t>
      </w:r>
      <w:r>
        <w:t xml:space="preserve">June 15, 2023, in </w:t>
      </w:r>
      <w:r w:rsidRPr="00E90532">
        <w:rPr>
          <w:u w:val="single"/>
        </w:rPr>
        <w:t xml:space="preserve">Brian Moat v. The Metropolitan Government of Nashville </w:t>
      </w:r>
      <w:proofErr w:type="gramStart"/>
      <w:r w:rsidRPr="00E90532">
        <w:rPr>
          <w:u w:val="single"/>
        </w:rPr>
        <w:t>And</w:t>
      </w:r>
      <w:proofErr w:type="gramEnd"/>
      <w:r w:rsidRPr="00E90532">
        <w:rPr>
          <w:u w:val="single"/>
        </w:rPr>
        <w:t xml:space="preserve"> Davidson County, Tennessee</w:t>
      </w:r>
      <w:r>
        <w:t xml:space="preserve">, U.S. District Court Judge Aleta A. Trauger denied the city’s motion for summary judgment; the firefighter was injured on duty Dec. 13, 2019, and placed on Injured </w:t>
      </w:r>
      <w:proofErr w:type="gramStart"/>
      <w:r>
        <w:t>On</w:t>
      </w:r>
      <w:proofErr w:type="gramEnd"/>
      <w:r>
        <w:t xml:space="preserve"> Duty (IOD) medical leave with full pay for maximum period of six months (Dec. 13, 2019 – June 22, 2020). Before his IOD leave expired, he asked FD for light duty but was denied by HR.  When Civil Service Commission denied his extension of IOD leave because they needed medical letter on his expected return to work, he then provided HR with letter from his doctor authorizing light duty.   This was denied by HR Mgr. Jamie </w:t>
      </w:r>
      <w:proofErr w:type="gramStart"/>
      <w:r>
        <w:t>Summers</w:t>
      </w:r>
      <w:proofErr w:type="gramEnd"/>
      <w:r>
        <w:t xml:space="preserve"> and he was forced to go on disability retirement (lower pay) until he returned to full duty on July 1, 2021.  </w:t>
      </w:r>
    </w:p>
    <w:p w14:paraId="71070D7B" w14:textId="77777777" w:rsidR="00D33F96" w:rsidRDefault="00D33F96" w:rsidP="00D33F96">
      <w:pPr>
        <w:pStyle w:val="NormalWeb"/>
      </w:pPr>
      <w:r>
        <w:t>The Court held: “</w:t>
      </w:r>
      <w:r w:rsidRPr="00E90532">
        <w:t xml:space="preserve">As set forth above, the plaintiff has made a </w:t>
      </w:r>
      <w:r w:rsidRPr="00E90532">
        <w:rPr>
          <w:rStyle w:val="Emphasis"/>
          <w:rFonts w:eastAsiaTheme="majorEastAsia"/>
        </w:rPr>
        <w:t>prima facie</w:t>
      </w:r>
      <w:r w:rsidRPr="00E90532">
        <w:t xml:space="preserve"> showing that he requested a reasonable accommodation</w:t>
      </w:r>
      <w:r>
        <w:t xml:space="preserve"> [light duty]</w:t>
      </w:r>
      <w:r w:rsidRPr="00E90532">
        <w:t xml:space="preserve">. The defendant arguably engaged with the plaintiff's request for an extension of his IOD leave when the </w:t>
      </w:r>
      <w:r>
        <w:t xml:space="preserve">[Civil Service] </w:t>
      </w:r>
      <w:r w:rsidRPr="00E90532">
        <w:t xml:space="preserve">Commission considered that request in an open meeting. The interactive process, however, is </w:t>
      </w:r>
      <w:proofErr w:type="gramStart"/>
      <w:r w:rsidRPr="00E90532">
        <w:t>an</w:t>
      </w:r>
      <w:proofErr w:type="gramEnd"/>
      <w:r w:rsidRPr="00E90532">
        <w:t xml:space="preserve"> going process. </w:t>
      </w:r>
      <w:r w:rsidRPr="00E90532">
        <w:rPr>
          <w:rStyle w:val="Emphasis"/>
          <w:rFonts w:eastAsiaTheme="majorEastAsia"/>
        </w:rPr>
        <w:t>See, e.g.</w:t>
      </w:r>
      <w:r w:rsidRPr="00E90532">
        <w:t xml:space="preserve">, </w:t>
      </w:r>
      <w:r w:rsidRPr="00E90532">
        <w:rPr>
          <w:rStyle w:val="Emphasis"/>
          <w:rFonts w:eastAsiaTheme="majorEastAsia"/>
        </w:rPr>
        <w:t>Fisher v. Nissan N. Am., Inc.</w:t>
      </w:r>
      <w:r w:rsidRPr="00E90532">
        <w:t xml:space="preserve">, 951 F.3d 409, 422 (6th Cir. 2022). The plaintiff's reiteration of his request to </w:t>
      </w:r>
      <w:r>
        <w:t xml:space="preserve">[HR manager] </w:t>
      </w:r>
      <w:r w:rsidRPr="00E90532">
        <w:t>Summers for light-duty work after his doctor relaxed his work restrictions</w:t>
      </w:r>
      <w:r>
        <w:t xml:space="preserve"> </w:t>
      </w:r>
      <w:r w:rsidRPr="00E90532">
        <w:t>-</w:t>
      </w:r>
      <w:r>
        <w:t xml:space="preserve"> </w:t>
      </w:r>
      <w:r w:rsidRPr="00E90532">
        <w:t xml:space="preserve">which took place </w:t>
      </w:r>
      <w:r w:rsidRPr="00E90532">
        <w:rPr>
          <w:rStyle w:val="Emphasis"/>
          <w:rFonts w:eastAsiaTheme="majorEastAsia"/>
        </w:rPr>
        <w:t>before</w:t>
      </w:r>
      <w:r w:rsidRPr="00E90532">
        <w:t xml:space="preserve"> his IOD leave expired and apparently before his disability pension had been processed</w:t>
      </w:r>
      <w:r>
        <w:t xml:space="preserve"> </w:t>
      </w:r>
      <w:r w:rsidRPr="00E90532">
        <w:t>-</w:t>
      </w:r>
      <w:r>
        <w:t xml:space="preserve"> </w:t>
      </w:r>
      <w:r w:rsidRPr="00E90532">
        <w:t>at least arguably triggered a duty on the part of Metro to consider that request rather than to simply defer to the plaintiff's already-denied request for an extension of his IOD leave.</w:t>
      </w:r>
      <w:r>
        <w:t xml:space="preserve"> *** </w:t>
      </w:r>
      <w:r w:rsidRPr="002A07BB">
        <w:t>Because the defendant has not shown that either of the requested accommodations would have been unduly burdensome or that they would have resulted in the elimination of an essential job requirement, in view of the temporary nature of the requested accommodations, the defendant is not entitled to summary judgment on the plaintiff's ADA claim based on the failure to accommodate his disability.</w:t>
      </w:r>
      <w:r>
        <w:t xml:space="preserve">” </w:t>
      </w:r>
      <w:hyperlink r:id="rId1657" w:history="1">
        <w:r w:rsidRPr="00812663">
          <w:rPr>
            <w:rStyle w:val="Hyperlink"/>
          </w:rPr>
          <w:t>https://cases.justia.com/federal/district-courts/tennessee/tnmdce/3:2021cv00807/88141/32/0.pdf</w:t>
        </w:r>
      </w:hyperlink>
      <w:r>
        <w:t xml:space="preserve"> </w:t>
      </w:r>
    </w:p>
    <w:p w14:paraId="08727581" w14:textId="77777777" w:rsidR="00D33F96" w:rsidRDefault="00D33F96" w:rsidP="00D33F96">
      <w:pPr>
        <w:spacing w:before="100" w:beforeAutospacing="1" w:after="100" w:afterAutospacing="1" w:line="240" w:lineRule="auto"/>
        <w:rPr>
          <w:rFonts w:ascii="Arial Black" w:eastAsia="Times New Roman" w:hAnsi="Arial Black"/>
          <w:b/>
          <w:bCs/>
          <w:sz w:val="28"/>
          <w:szCs w:val="28"/>
        </w:rPr>
      </w:pPr>
    </w:p>
    <w:p w14:paraId="3307911C" w14:textId="496B0CF9" w:rsidR="00D33F96" w:rsidRDefault="00D33F96" w:rsidP="00D33F9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9-31</w:t>
      </w:r>
    </w:p>
    <w:p w14:paraId="75DB6E5E" w14:textId="77777777" w:rsidR="00D33F96" w:rsidRDefault="00D33F96" w:rsidP="00D33F9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DC: FEMALE FF CLAIMS SEXUALLY ASSAULTED BY TWO FF – MENTAL STRESS. FORCED RETIRE - ADA CASE PROCEED</w:t>
      </w:r>
    </w:p>
    <w:p w14:paraId="7E260DEC" w14:textId="77777777" w:rsidR="00D33F96" w:rsidRDefault="00D33F96" w:rsidP="00D33F96">
      <w:pPr>
        <w:spacing w:before="100" w:beforeAutospacing="1" w:after="100" w:afterAutospacing="1" w:line="240" w:lineRule="auto"/>
        <w:rPr>
          <w:rFonts w:ascii="Times New Roman" w:hAnsi="Times New Roman"/>
          <w:sz w:val="24"/>
          <w:szCs w:val="24"/>
        </w:rPr>
      </w:pPr>
      <w:r w:rsidRPr="00C16C93">
        <w:rPr>
          <w:rFonts w:ascii="Times New Roman" w:eastAsia="Times New Roman" w:hAnsi="Times New Roman"/>
          <w:sz w:val="24"/>
          <w:szCs w:val="24"/>
        </w:rPr>
        <w:t xml:space="preserve">On </w:t>
      </w:r>
      <w:r>
        <w:rPr>
          <w:rFonts w:ascii="Times New Roman" w:eastAsia="Times New Roman" w:hAnsi="Times New Roman"/>
          <w:sz w:val="24"/>
          <w:szCs w:val="24"/>
        </w:rPr>
        <w:t xml:space="preserve">June 14, 2023, in </w:t>
      </w:r>
      <w:r w:rsidRPr="00C16C93">
        <w:rPr>
          <w:rFonts w:ascii="Times New Roman" w:eastAsia="Times New Roman" w:hAnsi="Times New Roman"/>
          <w:sz w:val="24"/>
          <w:szCs w:val="24"/>
          <w:u w:val="single"/>
        </w:rPr>
        <w:t>Nicole Rena McCrea v. District of Columbia, et al</w:t>
      </w:r>
      <w:r>
        <w:rPr>
          <w:rFonts w:ascii="Times New Roman" w:eastAsia="Times New Roman" w:hAnsi="Times New Roman"/>
          <w:sz w:val="24"/>
          <w:szCs w:val="24"/>
        </w:rPr>
        <w:t>., U.S. District Court Judge Tanya S. Chatan, U.S. District Court for District of Columbia, denied the City’s motion to dismiss her ADA case</w:t>
      </w:r>
      <w:r>
        <w:rPr>
          <w:rFonts w:ascii="Times New Roman" w:hAnsi="Times New Roman"/>
          <w:sz w:val="24"/>
          <w:szCs w:val="24"/>
        </w:rPr>
        <w:t xml:space="preserve">. </w:t>
      </w:r>
    </w:p>
    <w:p w14:paraId="14F107A7" w14:textId="77777777" w:rsidR="00D33F96" w:rsidRDefault="00D33F96" w:rsidP="00D33F9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The Court held: </w:t>
      </w:r>
      <w:r w:rsidRPr="00092C19">
        <w:rPr>
          <w:rFonts w:ascii="Times New Roman" w:hAnsi="Times New Roman"/>
          <w:sz w:val="24"/>
          <w:szCs w:val="24"/>
        </w:rPr>
        <w:t xml:space="preserve">“Plaintiff Nicole McCrea is a former firefighter with the District of Columbia Fire and Emergency Medical Services Department (EMS). Proceeding </w:t>
      </w:r>
      <w:r w:rsidRPr="00092C19">
        <w:rPr>
          <w:rStyle w:val="Emphasis"/>
          <w:rFonts w:ascii="Times New Roman" w:hAnsi="Times New Roman"/>
          <w:sz w:val="24"/>
          <w:szCs w:val="24"/>
        </w:rPr>
        <w:t>pro se,</w:t>
      </w:r>
      <w:r w:rsidRPr="00092C19">
        <w:rPr>
          <w:rFonts w:ascii="Times New Roman" w:hAnsi="Times New Roman"/>
          <w:sz w:val="24"/>
          <w:szCs w:val="24"/>
        </w:rPr>
        <w:t xml:space="preserve"> she alleges that in May 2013, two fellow firefighters sexually assaulted her while she was on duty, and after she reported the incident, EMS managers, government employees, and mental health professionals conspired to deny her requests to classify her subsequent behavioral health challenges as job-related injuries and to force her into </w:t>
      </w:r>
      <w:r>
        <w:rPr>
          <w:rFonts w:ascii="Times New Roman" w:hAnsi="Times New Roman"/>
          <w:sz w:val="24"/>
          <w:szCs w:val="24"/>
        </w:rPr>
        <w:t xml:space="preserve">retirement. *** </w:t>
      </w:r>
      <w:r w:rsidRPr="008A04BF">
        <w:rPr>
          <w:rFonts w:ascii="Times New Roman" w:eastAsia="Times New Roman" w:hAnsi="Times New Roman"/>
          <w:sz w:val="24"/>
          <w:szCs w:val="24"/>
        </w:rPr>
        <w:t xml:space="preserve"> </w:t>
      </w:r>
      <w:r>
        <w:rPr>
          <w:rFonts w:ascii="Times New Roman" w:hAnsi="Times New Roman"/>
          <w:sz w:val="24"/>
          <w:szCs w:val="24"/>
        </w:rPr>
        <w:t>“’W</w:t>
      </w:r>
      <w:r w:rsidRPr="008A04BF">
        <w:rPr>
          <w:rFonts w:ascii="Times New Roman" w:hAnsi="Times New Roman"/>
          <w:sz w:val="24"/>
          <w:szCs w:val="24"/>
        </w:rPr>
        <w:t xml:space="preserve">hile the viability of her claim at the summary judgment stage appears tenuous given her apparent failure to provide the </w:t>
      </w:r>
      <w:proofErr w:type="gramStart"/>
      <w:r w:rsidRPr="008A04BF">
        <w:rPr>
          <w:rFonts w:ascii="Times New Roman" w:hAnsi="Times New Roman"/>
          <w:sz w:val="24"/>
          <w:szCs w:val="24"/>
        </w:rPr>
        <w:t>District</w:t>
      </w:r>
      <w:proofErr w:type="gramEnd"/>
      <w:r w:rsidRPr="008A04BF">
        <w:rPr>
          <w:rFonts w:ascii="Times New Roman" w:hAnsi="Times New Roman"/>
          <w:sz w:val="24"/>
          <w:szCs w:val="24"/>
        </w:rPr>
        <w:t xml:space="preserve"> with the requested medical documentation,</w:t>
      </w:r>
      <w:r>
        <w:rPr>
          <w:rFonts w:ascii="Times New Roman" w:hAnsi="Times New Roman"/>
          <w:sz w:val="24"/>
          <w:szCs w:val="24"/>
        </w:rPr>
        <w:t>’</w:t>
      </w:r>
      <w:r w:rsidRPr="008A04BF">
        <w:rPr>
          <w:rFonts w:ascii="Times New Roman" w:hAnsi="Times New Roman"/>
          <w:sz w:val="24"/>
          <w:szCs w:val="24"/>
        </w:rPr>
        <w:t xml:space="preserve"> the court reaffirms that Plaintiff's allegations plausibly state a claim that the </w:t>
      </w:r>
      <w:proofErr w:type="gramStart"/>
      <w:r w:rsidRPr="008A04BF">
        <w:rPr>
          <w:rFonts w:ascii="Times New Roman" w:hAnsi="Times New Roman"/>
          <w:sz w:val="24"/>
          <w:szCs w:val="24"/>
        </w:rPr>
        <w:t>District</w:t>
      </w:r>
      <w:proofErr w:type="gramEnd"/>
      <w:r w:rsidRPr="008A04BF">
        <w:rPr>
          <w:rFonts w:ascii="Times New Roman" w:hAnsi="Times New Roman"/>
          <w:sz w:val="24"/>
          <w:szCs w:val="24"/>
        </w:rPr>
        <w:t xml:space="preserve"> failed to provide reasonable accommodation for her disability. </w:t>
      </w:r>
      <w:r w:rsidRPr="008A04BF">
        <w:rPr>
          <w:rStyle w:val="Emphasis"/>
          <w:rFonts w:ascii="Times New Roman" w:hAnsi="Times New Roman"/>
          <w:sz w:val="24"/>
          <w:szCs w:val="24"/>
        </w:rPr>
        <w:t>Id.</w:t>
      </w:r>
      <w:r w:rsidRPr="008A04BF">
        <w:rPr>
          <w:rFonts w:ascii="Times New Roman" w:hAnsi="Times New Roman"/>
          <w:sz w:val="24"/>
          <w:szCs w:val="24"/>
        </w:rPr>
        <w:t xml:space="preserve"> (citing 42 U.S.C. § 12112; 29 U.S.C. § 794(d)).</w:t>
      </w:r>
      <w:r>
        <w:rPr>
          <w:rFonts w:ascii="Times New Roman" w:hAnsi="Times New Roman"/>
          <w:sz w:val="24"/>
          <w:szCs w:val="24"/>
        </w:rPr>
        <w:t xml:space="preserve">” </w:t>
      </w:r>
      <w:hyperlink r:id="rId1658" w:history="1">
        <w:r w:rsidRPr="00812663">
          <w:rPr>
            <w:rStyle w:val="Hyperlink"/>
            <w:sz w:val="24"/>
            <w:szCs w:val="24"/>
          </w:rPr>
          <w:t>https://casetext.com/case/mccrea-v-dist-of-columbia-3</w:t>
        </w:r>
      </w:hyperlink>
      <w:r>
        <w:rPr>
          <w:rFonts w:ascii="Times New Roman" w:hAnsi="Times New Roman"/>
          <w:sz w:val="24"/>
          <w:szCs w:val="24"/>
        </w:rPr>
        <w:t xml:space="preserve"> </w:t>
      </w:r>
      <w:r w:rsidRPr="00EC5AAA">
        <w:rPr>
          <w:rFonts w:ascii="Times New Roman" w:hAnsi="Times New Roman"/>
          <w:sz w:val="24"/>
          <w:szCs w:val="24"/>
        </w:rPr>
        <w:t xml:space="preserve"> </w:t>
      </w:r>
      <w:r>
        <w:rPr>
          <w:rFonts w:ascii="Times New Roman" w:hAnsi="Times New Roman"/>
          <w:sz w:val="24"/>
          <w:szCs w:val="24"/>
        </w:rPr>
        <w:t xml:space="preserve"> </w:t>
      </w:r>
    </w:p>
    <w:p w14:paraId="3CC1E783" w14:textId="77777777" w:rsidR="00D33F96" w:rsidRDefault="00D33F96" w:rsidP="00D33F96">
      <w:pPr>
        <w:spacing w:before="100" w:beforeAutospacing="1" w:after="100" w:afterAutospacing="1" w:line="240" w:lineRule="auto"/>
        <w:rPr>
          <w:rFonts w:ascii="Arial Black" w:eastAsia="Times New Roman" w:hAnsi="Arial Black"/>
          <w:b/>
          <w:bCs/>
          <w:sz w:val="28"/>
          <w:szCs w:val="28"/>
        </w:rPr>
      </w:pPr>
    </w:p>
    <w:p w14:paraId="292BFB5B" w14:textId="77777777" w:rsidR="00C032D6" w:rsidRDefault="00C032D6" w:rsidP="00C032D6">
      <w:pPr>
        <w:pStyle w:val="NoSpacing"/>
        <w:rPr>
          <w:rFonts w:ascii="Arial Black" w:hAnsi="Arial Black"/>
          <w:sz w:val="24"/>
          <w:szCs w:val="24"/>
        </w:rPr>
      </w:pPr>
    </w:p>
    <w:p w14:paraId="0455599E" w14:textId="77777777" w:rsidR="00C032D6" w:rsidRDefault="00C032D6" w:rsidP="005C30A4">
      <w:pPr>
        <w:pStyle w:val="NoSpacing"/>
        <w:rPr>
          <w:rFonts w:ascii="Arial Black" w:hAnsi="Arial Black"/>
          <w:sz w:val="24"/>
          <w:szCs w:val="24"/>
        </w:rPr>
      </w:pPr>
    </w:p>
    <w:p w14:paraId="4932D11B" w14:textId="2D67DB50" w:rsidR="00477016" w:rsidRDefault="00477016" w:rsidP="005C30A4">
      <w:pPr>
        <w:pStyle w:val="NoSpacing"/>
        <w:rPr>
          <w:rFonts w:ascii="Arial Black" w:hAnsi="Arial Black"/>
          <w:sz w:val="24"/>
          <w:szCs w:val="24"/>
        </w:rPr>
      </w:pPr>
      <w:r>
        <w:rPr>
          <w:rFonts w:ascii="Arial Black" w:hAnsi="Arial Black"/>
          <w:sz w:val="24"/>
          <w:szCs w:val="24"/>
        </w:rPr>
        <w:t>9-30</w:t>
      </w:r>
    </w:p>
    <w:p w14:paraId="7936F534" w14:textId="77777777" w:rsidR="00477016" w:rsidRPr="00AC2B99" w:rsidRDefault="00477016" w:rsidP="00477016">
      <w:pPr>
        <w:pStyle w:val="NormalWeb"/>
        <w:rPr>
          <w:rFonts w:ascii="Arial Black" w:hAnsi="Arial Black"/>
          <w:b/>
          <w:bCs/>
          <w:sz w:val="28"/>
          <w:szCs w:val="28"/>
        </w:rPr>
      </w:pPr>
      <w:bookmarkStart w:id="347" w:name="_Hlk136859866"/>
      <w:r>
        <w:rPr>
          <w:rFonts w:ascii="Arial Black" w:hAnsi="Arial Black"/>
          <w:b/>
          <w:bCs/>
          <w:sz w:val="28"/>
          <w:szCs w:val="28"/>
        </w:rPr>
        <w:t xml:space="preserve">LA: 16-YR OLD AUTISM – PD (365 LBS) SITS HIM – DIES ASPHYXIATION - DOJ POOR USE “DE-ESCALATION” POLICY </w:t>
      </w:r>
    </w:p>
    <w:bookmarkEnd w:id="347"/>
    <w:p w14:paraId="4C69B7B6" w14:textId="77777777" w:rsidR="00477016" w:rsidRDefault="00477016" w:rsidP="00477016">
      <w:pPr>
        <w:pStyle w:val="NormalWeb"/>
        <w:rPr>
          <w:rStyle w:val="markedcontent"/>
        </w:rPr>
      </w:pPr>
      <w:r>
        <w:rPr>
          <w:rStyle w:val="markedcontent"/>
        </w:rPr>
        <w:t xml:space="preserve">On May 18, 2023, in </w:t>
      </w:r>
      <w:r w:rsidRPr="00AC2B99">
        <w:rPr>
          <w:rStyle w:val="markedcontent"/>
          <w:u w:val="single"/>
        </w:rPr>
        <w:t>Donna Lou, et al. v. Sheriff Joseph P. Lopinto, III, et al</w:t>
      </w:r>
      <w:r>
        <w:rPr>
          <w:rStyle w:val="markedcontent"/>
        </w:rPr>
        <w:t xml:space="preserve">., U.S. District Court Judge Wendy B. Vitter, U.S. District Court for Eastern District of Louisiana, the Judge denied the Parents’ motion for partial summary judgement; but will allow them to file an Amended Complaint and may then allow case to proceed to trial. The Judge referenced the 80-page original Complaint, including alleged violation of ADA, but did not refence the May 12, 2023, the U.S. Department of Justice “Statement of Interest” with the Court, asserting Deputy Sheriffs may have violated ADA by failure to use “de-escalation strategies” including mobile crisis team. </w:t>
      </w:r>
      <w:hyperlink r:id="rId1659" w:history="1">
        <w:r w:rsidRPr="005906DC">
          <w:rPr>
            <w:rStyle w:val="Hyperlink"/>
            <w:rFonts w:eastAsiaTheme="majorEastAsia"/>
          </w:rPr>
          <w:t>https://www.justice.gov/crt/case-document/file/1583736/download</w:t>
        </w:r>
      </w:hyperlink>
      <w:r>
        <w:rPr>
          <w:rStyle w:val="markedcontent"/>
        </w:rPr>
        <w:t xml:space="preserve">. Judge Vitter held as follows. </w:t>
      </w:r>
    </w:p>
    <w:p w14:paraId="0EB9A9A5" w14:textId="77777777" w:rsidR="00477016" w:rsidRDefault="00477016" w:rsidP="00477016">
      <w:pPr>
        <w:pStyle w:val="NormalWeb"/>
        <w:ind w:left="720"/>
      </w:pPr>
      <w:r>
        <w:rPr>
          <w:rStyle w:val="markedcontent"/>
        </w:rPr>
        <w:t>“I</w:t>
      </w:r>
      <w:r>
        <w:t>n Count Three, Plaintiffs assert official capacity claims against Sheriff Lopinto based upon violations of Title II of the Americans with Disabilities Act (the ‘ADA’) and Section 504 of the Rehabilitation Act (‘RA’), alleging that the JPSO Deputy Defendants knew that E.P. had autism and failed to reasonably accommodate him or to avoid discriminating against him based upon his disability. *** The Court points out that the only two paragraphs in the Complaint cited by Plaintiffs that specifically reference the Fourth Amendment, Paragraphs 386 and 391, allege constitutional violations based upon the action or inaction of the JPSO Deputy Defendants ‘in using excessive and unreasonable force in the seizure and restraint of E.P. and in failing to intervene or act to prevent such actions, despite having the opportunity to do so,’ and in violating, among other things, E.P.'s ‘right to freedom from unreasonable seizure’ and ‘right to freedom from the use of unreasonable, unjustified, and excessive force and summary punishment.’”</w:t>
      </w:r>
      <w:hyperlink r:id="rId1660" w:history="1">
        <w:r w:rsidRPr="005906DC">
          <w:rPr>
            <w:rStyle w:val="Hyperlink"/>
            <w:rFonts w:eastAsiaTheme="majorEastAsia"/>
          </w:rPr>
          <w:t>https://public.fastcase.com/ZZhmr5v9wN%2FXOe5IsQ%2FqD213NfZOkBOT9oUFU2NATn1Aebu4tmd%2Bdm4Fq8wJV%2BgJ%2FUz5tDo4rrQTf5JLsx7PM2RT%2BnNbiLW8av7Jbge%2Fzbw%3D?utm_medium=email&amp;_hsmi=226712652&amp;_hsenc=p2ANqtz-83LxoyDBgyJFjB5J1tvKo9--ehLEBCqV6koHeoTan0Qm4V8taXVkAh8h56UhoHEEE4y9wodFDrH_2nxx13nTAr7JOLdw&amp;utm_content=226712652&amp;utm_source=hs_email</w:t>
        </w:r>
      </w:hyperlink>
      <w:r>
        <w:t xml:space="preserve">  </w:t>
      </w:r>
    </w:p>
    <w:p w14:paraId="0BEE42D8" w14:textId="77777777" w:rsidR="00477016" w:rsidRPr="005C3E45" w:rsidRDefault="00477016" w:rsidP="00477016">
      <w:pPr>
        <w:pStyle w:val="NormalWeb"/>
        <w:rPr>
          <w:b/>
          <w:bCs/>
        </w:rPr>
      </w:pPr>
      <w:r w:rsidRPr="005C3E45">
        <w:rPr>
          <w:b/>
          <w:bCs/>
        </w:rPr>
        <w:t xml:space="preserve">Legal Lesson Learned: </w:t>
      </w:r>
      <w:r>
        <w:rPr>
          <w:b/>
          <w:bCs/>
        </w:rPr>
        <w:t xml:space="preserve">U.S. Department of Justice obviously has a high degree of interest in police affixation cases.  </w:t>
      </w:r>
    </w:p>
    <w:p w14:paraId="4E8721C0" w14:textId="77777777" w:rsidR="00477016" w:rsidRPr="005C3E45" w:rsidRDefault="00477016" w:rsidP="00477016">
      <w:pPr>
        <w:pStyle w:val="NormalWeb"/>
        <w:ind w:left="720"/>
        <w:rPr>
          <w:rFonts w:ascii="Arial" w:hAnsi="Arial" w:cs="Arial"/>
        </w:rPr>
      </w:pPr>
      <w:r>
        <w:rPr>
          <w:rStyle w:val="markedcontent"/>
        </w:rPr>
        <w:t xml:space="preserve">Note: Read the DOJ Statement of Interest, where PDs are urged to modify </w:t>
      </w:r>
      <w:proofErr w:type="spellStart"/>
      <w:proofErr w:type="gramStart"/>
      <w:r>
        <w:rPr>
          <w:rStyle w:val="markedcontent"/>
        </w:rPr>
        <w:t>there</w:t>
      </w:r>
      <w:proofErr w:type="gramEnd"/>
      <w:r>
        <w:rPr>
          <w:rStyle w:val="markedcontent"/>
        </w:rPr>
        <w:t xml:space="preserve"> response</w:t>
      </w:r>
      <w:proofErr w:type="spellEnd"/>
      <w:r>
        <w:rPr>
          <w:rStyle w:val="markedcontent"/>
        </w:rPr>
        <w:t xml:space="preserve"> policies dealing with people with disabilities. </w:t>
      </w:r>
      <w:hyperlink r:id="rId1661" w:history="1">
        <w:r w:rsidRPr="005906DC">
          <w:rPr>
            <w:rStyle w:val="Hyperlink"/>
            <w:rFonts w:eastAsiaTheme="majorEastAsia"/>
          </w:rPr>
          <w:t>https://www.justice.gov/crt/case-document/file/1583736/download</w:t>
        </w:r>
      </w:hyperlink>
      <w:r>
        <w:rPr>
          <w:rStyle w:val="markedcontent"/>
        </w:rPr>
        <w:t xml:space="preserve"> </w:t>
      </w:r>
      <w:r w:rsidRPr="005C3E45">
        <w:t xml:space="preserve"> </w:t>
      </w:r>
    </w:p>
    <w:p w14:paraId="31268EF4" w14:textId="77777777" w:rsidR="00477016" w:rsidRPr="005C3E45" w:rsidRDefault="00477016" w:rsidP="00477016">
      <w:pPr>
        <w:pStyle w:val="NormalWeb"/>
        <w:ind w:left="720"/>
        <w:rPr>
          <w:rStyle w:val="markedcontent"/>
        </w:rPr>
      </w:pPr>
      <w:r>
        <w:rPr>
          <w:rStyle w:val="markedcontent"/>
        </w:rPr>
        <w:t>“</w:t>
      </w:r>
      <w:r w:rsidRPr="005C3E45">
        <w:rPr>
          <w:rStyle w:val="markedcontent"/>
        </w:rPr>
        <w:t>Modifications that may have been reasonable for officers to implement, depending on the circumstances and existing services, include dispatching crisis intervention trained officers or arranging for a mobile crisis team to respond; using de-escalation strategies; removing distractions and providing time and space to calm the situation when the child poses no significant safety threat; and avoiding or minimizing touching a child whose disability makes them sensitive to touch.</w:t>
      </w:r>
      <w:r w:rsidRPr="005C3E45">
        <w:t xml:space="preserve"> If</w:t>
      </w:r>
      <w:r w:rsidRPr="005C3E45">
        <w:rPr>
          <w:rStyle w:val="markedcontent"/>
        </w:rPr>
        <w:t xml:space="preserve"> available, officers should enlist a child’s parent, guardian, treating medical professional, or another trusted support person, to help to effectively communicate with the child and de-escalate the situation.</w:t>
      </w:r>
      <w:r>
        <w:rPr>
          <w:rStyle w:val="markedcontent"/>
        </w:rPr>
        <w:t>”</w:t>
      </w:r>
    </w:p>
    <w:p w14:paraId="5E18405F" w14:textId="77777777" w:rsidR="00477016" w:rsidRDefault="00477016" w:rsidP="005C30A4">
      <w:pPr>
        <w:pStyle w:val="NoSpacing"/>
        <w:rPr>
          <w:rFonts w:ascii="Arial Black" w:hAnsi="Arial Black"/>
          <w:sz w:val="24"/>
          <w:szCs w:val="24"/>
        </w:rPr>
      </w:pPr>
    </w:p>
    <w:p w14:paraId="3108848D" w14:textId="4F253EA0" w:rsidR="00477016" w:rsidRDefault="00477016" w:rsidP="005C30A4">
      <w:pPr>
        <w:pStyle w:val="NoSpacing"/>
        <w:rPr>
          <w:rFonts w:ascii="Arial Black" w:hAnsi="Arial Black"/>
          <w:sz w:val="24"/>
          <w:szCs w:val="24"/>
        </w:rPr>
      </w:pPr>
      <w:r>
        <w:rPr>
          <w:rFonts w:ascii="Arial Black" w:hAnsi="Arial Black"/>
          <w:sz w:val="24"/>
          <w:szCs w:val="24"/>
        </w:rPr>
        <w:t>9-29</w:t>
      </w:r>
    </w:p>
    <w:p w14:paraId="4E005429" w14:textId="77777777" w:rsidR="00477016" w:rsidRDefault="00477016" w:rsidP="00477016">
      <w:pPr>
        <w:pStyle w:val="NormalWeb"/>
        <w:rPr>
          <w:rFonts w:ascii="Arial Black" w:hAnsi="Arial Black"/>
          <w:sz w:val="28"/>
          <w:szCs w:val="28"/>
        </w:rPr>
      </w:pPr>
      <w:bookmarkStart w:id="348" w:name="_Hlk136860023"/>
      <w:r>
        <w:rPr>
          <w:rFonts w:ascii="Arial Black" w:hAnsi="Arial Black"/>
          <w:sz w:val="28"/>
          <w:szCs w:val="28"/>
        </w:rPr>
        <w:t>OH: TRANSGENDER EMT FIRED 2 MONTHS – “RUDE” COMMENTS HOSP – “REGARDED AS” CASE PROCEED</w:t>
      </w:r>
    </w:p>
    <w:bookmarkEnd w:id="348"/>
    <w:p w14:paraId="7DA98188" w14:textId="77777777" w:rsidR="00477016" w:rsidRPr="00477016" w:rsidRDefault="00477016" w:rsidP="00477016">
      <w:pPr>
        <w:pStyle w:val="NormalWeb"/>
      </w:pPr>
      <w:r w:rsidRPr="00477016">
        <w:t xml:space="preserve">On May 12, 2023, in </w:t>
      </w:r>
      <w:r w:rsidRPr="00477016">
        <w:rPr>
          <w:u w:val="single"/>
        </w:rPr>
        <w:t>Rayne S. Fedder v. Ohio Medical Transportation, Inc</w:t>
      </w:r>
      <w:r w:rsidRPr="00477016">
        <w:t xml:space="preserve">., U.S, Magistrate Judge Chelsey M. </w:t>
      </w:r>
      <w:proofErr w:type="spellStart"/>
      <w:r w:rsidRPr="00477016">
        <w:t>Vascura</w:t>
      </w:r>
      <w:proofErr w:type="spellEnd"/>
      <w:r w:rsidRPr="00477016">
        <w:t xml:space="preserve"> issued a Report and Recommendation to U.S. District Court Judge Saras D. Morrison, finding that plaintiff was fired after two months on the job, and while her claims of hostile work environment must be dismissed since she didn’t report incidents to management (for example, comments that she “stands up to pee”), she may proceed on claim that management fired her because she was “regard as” disabled.  On April 19, 2022, plaintiff and her partner were at a hospital to transport a psychiatric patient to Columbus Springs, In Dublin, OH, when plaintiff made strange comments to hospital staff., was placed on Administrative Leave and was fired on May 3, 2022.</w:t>
      </w:r>
    </w:p>
    <w:p w14:paraId="51EB614B" w14:textId="6ADB3A09" w:rsidR="00477016" w:rsidRDefault="00477016" w:rsidP="00477016">
      <w:pPr>
        <w:pStyle w:val="NoSpacing"/>
        <w:rPr>
          <w:rStyle w:val="Hyperlink"/>
          <w:rFonts w:ascii="Times New Roman" w:eastAsiaTheme="majorEastAsia" w:hAnsi="Times New Roman"/>
          <w:sz w:val="24"/>
          <w:szCs w:val="24"/>
        </w:rPr>
      </w:pPr>
      <w:r w:rsidRPr="00477016">
        <w:rPr>
          <w:rFonts w:ascii="Times New Roman" w:hAnsi="Times New Roman"/>
          <w:sz w:val="24"/>
          <w:szCs w:val="24"/>
        </w:rPr>
        <w:t xml:space="preserve">“On the evening of April 19, 2022, Plaintiff and her partner were dispatched to </w:t>
      </w:r>
      <w:proofErr w:type="spellStart"/>
      <w:r w:rsidRPr="00477016">
        <w:rPr>
          <w:rFonts w:ascii="Times New Roman" w:hAnsi="Times New Roman"/>
          <w:sz w:val="24"/>
          <w:szCs w:val="24"/>
        </w:rPr>
        <w:t>O'Bleness</w:t>
      </w:r>
      <w:proofErr w:type="spellEnd"/>
      <w:r w:rsidRPr="00477016">
        <w:rPr>
          <w:rFonts w:ascii="Times New Roman" w:hAnsi="Times New Roman"/>
          <w:sz w:val="24"/>
          <w:szCs w:val="24"/>
        </w:rPr>
        <w:t xml:space="preserve"> Memorial Hospital to transport a psychiatric patient to Columbus Springs Dublin…. Plaintiff felt that </w:t>
      </w:r>
      <w:proofErr w:type="spellStart"/>
      <w:r w:rsidRPr="00477016">
        <w:rPr>
          <w:rFonts w:ascii="Times New Roman" w:hAnsi="Times New Roman"/>
          <w:sz w:val="24"/>
          <w:szCs w:val="24"/>
        </w:rPr>
        <w:t>O'Bleness</w:t>
      </w:r>
      <w:proofErr w:type="spellEnd"/>
      <w:r w:rsidRPr="00477016">
        <w:rPr>
          <w:rFonts w:ascii="Times New Roman" w:hAnsi="Times New Roman"/>
          <w:sz w:val="24"/>
          <w:szCs w:val="24"/>
        </w:rPr>
        <w:t xml:space="preserve"> staff were not performing their jobs properly and voiced criticisms of the use of an armed security officer (‘asking what he even needed that gun holstered to his hip for, and </w:t>
      </w:r>
      <w:proofErr w:type="spellStart"/>
      <w:r w:rsidRPr="00477016">
        <w:rPr>
          <w:rFonts w:ascii="Times New Roman" w:hAnsi="Times New Roman"/>
          <w:sz w:val="24"/>
          <w:szCs w:val="24"/>
        </w:rPr>
        <w:t>quipp</w:t>
      </w:r>
      <w:proofErr w:type="spellEnd"/>
      <w:r w:rsidRPr="00477016">
        <w:rPr>
          <w:rFonts w:ascii="Times New Roman" w:hAnsi="Times New Roman"/>
          <w:sz w:val="24"/>
          <w:szCs w:val="24"/>
        </w:rPr>
        <w:t>[</w:t>
      </w:r>
      <w:proofErr w:type="spellStart"/>
      <w:r w:rsidRPr="00477016">
        <w:rPr>
          <w:rFonts w:ascii="Times New Roman" w:hAnsi="Times New Roman"/>
          <w:sz w:val="24"/>
          <w:szCs w:val="24"/>
        </w:rPr>
        <w:t>ing</w:t>
      </w:r>
      <w:proofErr w:type="spellEnd"/>
      <w:r w:rsidRPr="00477016">
        <w:rPr>
          <w:rFonts w:ascii="Times New Roman" w:hAnsi="Times New Roman"/>
          <w:sz w:val="24"/>
          <w:szCs w:val="24"/>
        </w:rPr>
        <w:t xml:space="preserve">] that he probably did not know how to operate it’) and the poor quality of the paperwork provided by the nursing staff (‘Plaintiff does not remember saying that the report from the charge nurse about the patient was ‘shitty,' though Plaintiff does concede that the sentiment was there….) Plaintiff also alleges that the desk attendant asked how Plaintiff was doing, and Plaintiff said ‘something about how she would be doing much better if she passed or if she did not work with a bunch of creepy bigots, or something of the sort….’After some resistance by the patient, Plaintiff, her partner, and other </w:t>
      </w:r>
      <w:proofErr w:type="spellStart"/>
      <w:r w:rsidRPr="00477016">
        <w:rPr>
          <w:rFonts w:ascii="Times New Roman" w:hAnsi="Times New Roman"/>
          <w:sz w:val="24"/>
          <w:szCs w:val="24"/>
        </w:rPr>
        <w:t>O'Blenness</w:t>
      </w:r>
      <w:proofErr w:type="spellEnd"/>
      <w:r w:rsidRPr="00477016">
        <w:rPr>
          <w:rFonts w:ascii="Times New Roman" w:hAnsi="Times New Roman"/>
          <w:sz w:val="24"/>
          <w:szCs w:val="24"/>
        </w:rPr>
        <w:t xml:space="preserve"> staff were able to buckle the patient to a stretcher and the patient was transported without further incident.” </w:t>
      </w:r>
      <w:hyperlink r:id="rId1662" w:history="1">
        <w:r w:rsidRPr="00477016">
          <w:rPr>
            <w:rStyle w:val="Hyperlink"/>
            <w:rFonts w:ascii="Times New Roman" w:eastAsiaTheme="majorEastAsia" w:hAnsi="Times New Roman"/>
            <w:sz w:val="24"/>
            <w:szCs w:val="24"/>
          </w:rPr>
          <w:t>https://public.fastcase.com/ZZhmr5v9wN%2FXOe5IsQ%2FqD5cOg4uDiWBiDgRVwEX7HkTgzpDy2YRC9dWsCSpL5q7NwLkYpJ%2BBy0X6CQVC4aXC0tZJlDrCMk2fa2%2Fy73T5jjU%3D?utm_medium=email&amp;_hsmi=226712652&amp;_hsenc=p2ANqtz-8FJorPS84jztogf_8o7olLe4m03Y-oUT6vKuzTkvf9gKaTxn2WPOeYqAoz6gwdnY0JMEeLDG0EyTmUqJkqtPPBYQ-lng&amp;utm_content=226712652&amp;utm_source=hs_email</w:t>
        </w:r>
      </w:hyperlink>
    </w:p>
    <w:p w14:paraId="467C4C28" w14:textId="77777777" w:rsidR="00477016" w:rsidRDefault="00477016" w:rsidP="00477016">
      <w:pPr>
        <w:pStyle w:val="NoSpacing"/>
        <w:rPr>
          <w:rStyle w:val="Hyperlink"/>
          <w:rFonts w:ascii="Times New Roman" w:eastAsiaTheme="majorEastAsia" w:hAnsi="Times New Roman"/>
          <w:sz w:val="24"/>
          <w:szCs w:val="24"/>
        </w:rPr>
      </w:pPr>
    </w:p>
    <w:p w14:paraId="614C5FEE" w14:textId="77777777" w:rsidR="00477016" w:rsidRDefault="00477016" w:rsidP="00477016">
      <w:pPr>
        <w:pStyle w:val="NormalWeb"/>
        <w:rPr>
          <w:b/>
          <w:bCs/>
        </w:rPr>
      </w:pPr>
      <w:r w:rsidRPr="00135F52">
        <w:rPr>
          <w:b/>
          <w:bCs/>
        </w:rPr>
        <w:t>Legal Lesson Learned:</w:t>
      </w:r>
      <w:r>
        <w:rPr>
          <w:b/>
          <w:bCs/>
        </w:rPr>
        <w:t xml:space="preserve"> Case will now proceed to pre-trial discovery. </w:t>
      </w:r>
    </w:p>
    <w:p w14:paraId="4A090F51" w14:textId="77777777" w:rsidR="00477016" w:rsidRPr="00477016" w:rsidRDefault="00477016" w:rsidP="00477016">
      <w:pPr>
        <w:pStyle w:val="Heading2"/>
        <w:ind w:left="720"/>
        <w:rPr>
          <w:rFonts w:ascii="Times New Roman" w:hAnsi="Times New Roman"/>
          <w:b w:val="0"/>
          <w:bCs w:val="0"/>
          <w:i w:val="0"/>
          <w:iCs w:val="0"/>
          <w:sz w:val="24"/>
          <w:szCs w:val="24"/>
        </w:rPr>
      </w:pPr>
      <w:r w:rsidRPr="00477016">
        <w:rPr>
          <w:rFonts w:ascii="Times New Roman" w:hAnsi="Times New Roman"/>
          <w:b w:val="0"/>
          <w:bCs w:val="0"/>
          <w:i w:val="0"/>
          <w:iCs w:val="0"/>
          <w:sz w:val="24"/>
          <w:szCs w:val="24"/>
        </w:rPr>
        <w:t xml:space="preserve">Note: See EEOC Guidance on “regarded as” disabilities.  </w:t>
      </w:r>
      <w:hyperlink r:id="rId1663" w:history="1">
        <w:r w:rsidRPr="00477016">
          <w:rPr>
            <w:rStyle w:val="Hyperlink"/>
            <w:rFonts w:ascii="Times New Roman" w:hAnsi="Times New Roman"/>
            <w:b w:val="0"/>
            <w:bCs w:val="0"/>
            <w:i w:val="0"/>
            <w:iCs w:val="0"/>
            <w:sz w:val="24"/>
            <w:szCs w:val="24"/>
          </w:rPr>
          <w:t>https://www.eeoc.gov/laws/guidance/questions-and-answers-final-rule-implementing-ada-amendments-act-2008</w:t>
        </w:r>
      </w:hyperlink>
      <w:r w:rsidRPr="00477016">
        <w:rPr>
          <w:rFonts w:ascii="Times New Roman" w:hAnsi="Times New Roman"/>
          <w:b w:val="0"/>
          <w:bCs w:val="0"/>
          <w:i w:val="0"/>
          <w:iCs w:val="0"/>
          <w:sz w:val="24"/>
          <w:szCs w:val="24"/>
        </w:rPr>
        <w:t xml:space="preserve"> </w:t>
      </w:r>
    </w:p>
    <w:p w14:paraId="589D78CE" w14:textId="77777777" w:rsidR="00477016" w:rsidRPr="00477016" w:rsidRDefault="00477016" w:rsidP="00477016">
      <w:pPr>
        <w:pStyle w:val="Heading2"/>
        <w:ind w:left="720" w:firstLine="720"/>
        <w:rPr>
          <w:rFonts w:ascii="Times New Roman" w:hAnsi="Times New Roman"/>
          <w:b w:val="0"/>
          <w:bCs w:val="0"/>
          <w:i w:val="0"/>
          <w:iCs w:val="0"/>
          <w:sz w:val="24"/>
          <w:szCs w:val="24"/>
        </w:rPr>
      </w:pPr>
      <w:r w:rsidRPr="00477016">
        <w:rPr>
          <w:rFonts w:ascii="Times New Roman" w:hAnsi="Times New Roman"/>
          <w:b w:val="0"/>
          <w:bCs w:val="0"/>
          <w:i w:val="0"/>
          <w:iCs w:val="0"/>
          <w:sz w:val="24"/>
          <w:szCs w:val="24"/>
        </w:rPr>
        <w:t xml:space="preserve">How does the ADAAA define "disability?" </w:t>
      </w:r>
    </w:p>
    <w:p w14:paraId="2C3063A2" w14:textId="77777777" w:rsidR="00477016" w:rsidRPr="00477016" w:rsidRDefault="00477016" w:rsidP="00477016">
      <w:pPr>
        <w:pStyle w:val="Heading2"/>
        <w:ind w:left="1440"/>
        <w:rPr>
          <w:rFonts w:ascii="Times New Roman" w:hAnsi="Times New Roman"/>
          <w:b w:val="0"/>
          <w:bCs w:val="0"/>
          <w:i w:val="0"/>
          <w:iCs w:val="0"/>
          <w:sz w:val="24"/>
          <w:szCs w:val="24"/>
        </w:rPr>
      </w:pPr>
      <w:r w:rsidRPr="00477016">
        <w:rPr>
          <w:rFonts w:ascii="Times New Roman" w:hAnsi="Times New Roman"/>
          <w:b w:val="0"/>
          <w:bCs w:val="0"/>
          <w:i w:val="0"/>
          <w:iCs w:val="0"/>
          <w:sz w:val="24"/>
          <w:szCs w:val="24"/>
        </w:rPr>
        <w:t xml:space="preserve">The ADA Amendments Act of 2008 (ADAAA) was enacted on September 25, 2008, and became effective on January 1, 2009. This law made </w:t>
      </w:r>
      <w:proofErr w:type="gramStart"/>
      <w:r w:rsidRPr="00477016">
        <w:rPr>
          <w:rFonts w:ascii="Times New Roman" w:hAnsi="Times New Roman"/>
          <w:b w:val="0"/>
          <w:bCs w:val="0"/>
          <w:i w:val="0"/>
          <w:iCs w:val="0"/>
          <w:sz w:val="24"/>
          <w:szCs w:val="24"/>
        </w:rPr>
        <w:t>a number of</w:t>
      </w:r>
      <w:proofErr w:type="gramEnd"/>
      <w:r w:rsidRPr="00477016">
        <w:rPr>
          <w:rFonts w:ascii="Times New Roman" w:hAnsi="Times New Roman"/>
          <w:b w:val="0"/>
          <w:bCs w:val="0"/>
          <w:i w:val="0"/>
          <w:iCs w:val="0"/>
          <w:sz w:val="24"/>
          <w:szCs w:val="24"/>
        </w:rPr>
        <w:t xml:space="preserve"> significant changes to the definition of "disability." ***</w:t>
      </w:r>
    </w:p>
    <w:p w14:paraId="576B0DCD" w14:textId="77777777" w:rsidR="00477016" w:rsidRPr="00477016" w:rsidRDefault="00477016" w:rsidP="00477016">
      <w:pPr>
        <w:ind w:left="1440"/>
        <w:rPr>
          <w:rFonts w:ascii="Times New Roman" w:hAnsi="Times New Roman"/>
          <w:sz w:val="24"/>
          <w:szCs w:val="24"/>
        </w:rPr>
      </w:pPr>
      <w:r w:rsidRPr="00477016">
        <w:rPr>
          <w:rFonts w:ascii="Times New Roman" w:hAnsi="Times New Roman"/>
          <w:sz w:val="24"/>
          <w:szCs w:val="24"/>
        </w:rPr>
        <w:t>The ADAAA and the final regulations define a disability using a three-pronged approach:</w:t>
      </w:r>
    </w:p>
    <w:p w14:paraId="40FD440B" w14:textId="77777777" w:rsidR="00477016" w:rsidRPr="00477016" w:rsidRDefault="00477016" w:rsidP="00477016">
      <w:pPr>
        <w:numPr>
          <w:ilvl w:val="0"/>
          <w:numId w:val="16"/>
        </w:numPr>
        <w:spacing w:before="100" w:beforeAutospacing="1" w:after="100" w:afterAutospacing="1" w:line="240" w:lineRule="auto"/>
        <w:rPr>
          <w:rFonts w:ascii="Times New Roman" w:hAnsi="Times New Roman"/>
          <w:sz w:val="24"/>
          <w:szCs w:val="24"/>
        </w:rPr>
      </w:pPr>
      <w:r w:rsidRPr="00477016">
        <w:rPr>
          <w:rFonts w:ascii="Times New Roman" w:hAnsi="Times New Roman"/>
          <w:sz w:val="24"/>
          <w:szCs w:val="24"/>
        </w:rPr>
        <w:t>a physical or mental impairment that substantially limits one or more major life activities (sometimes referred to in the regulations as an "actual disability"), or</w:t>
      </w:r>
    </w:p>
    <w:p w14:paraId="4F283A47" w14:textId="77777777" w:rsidR="00477016" w:rsidRPr="00477016" w:rsidRDefault="00477016" w:rsidP="00477016">
      <w:pPr>
        <w:numPr>
          <w:ilvl w:val="0"/>
          <w:numId w:val="16"/>
        </w:numPr>
        <w:spacing w:before="100" w:beforeAutospacing="1" w:after="100" w:afterAutospacing="1" w:line="240" w:lineRule="auto"/>
        <w:rPr>
          <w:rFonts w:ascii="Times New Roman" w:hAnsi="Times New Roman"/>
          <w:sz w:val="24"/>
          <w:szCs w:val="24"/>
        </w:rPr>
      </w:pPr>
      <w:r w:rsidRPr="00477016">
        <w:rPr>
          <w:rFonts w:ascii="Times New Roman" w:hAnsi="Times New Roman"/>
          <w:sz w:val="24"/>
          <w:szCs w:val="24"/>
        </w:rPr>
        <w:t>a record of a physical or mental impairment that substantially limited a major life activity ("record of"), or</w:t>
      </w:r>
    </w:p>
    <w:p w14:paraId="55509F4B" w14:textId="77777777" w:rsidR="00477016" w:rsidRPr="00477016" w:rsidRDefault="00477016" w:rsidP="00477016">
      <w:pPr>
        <w:numPr>
          <w:ilvl w:val="0"/>
          <w:numId w:val="16"/>
        </w:numPr>
        <w:spacing w:before="100" w:beforeAutospacing="1" w:after="100" w:afterAutospacing="1" w:line="240" w:lineRule="auto"/>
        <w:rPr>
          <w:rFonts w:ascii="Times New Roman" w:hAnsi="Times New Roman"/>
          <w:sz w:val="24"/>
          <w:szCs w:val="24"/>
        </w:rPr>
      </w:pPr>
      <w:r w:rsidRPr="00477016">
        <w:rPr>
          <w:rFonts w:ascii="Times New Roman" w:hAnsi="Times New Roman"/>
          <w:sz w:val="24"/>
          <w:szCs w:val="24"/>
        </w:rPr>
        <w:t>when a covered entity takes an action prohibited by the ADA because of an actual or perceived impairment that is not both transitory and minor ("regarded as"). [Section 1630.2(g)].</w:t>
      </w:r>
    </w:p>
    <w:p w14:paraId="0C2778A7" w14:textId="77777777" w:rsidR="00477016" w:rsidRPr="00477016" w:rsidRDefault="00477016" w:rsidP="00477016">
      <w:pPr>
        <w:pStyle w:val="NoSpacing"/>
        <w:rPr>
          <w:rFonts w:ascii="Times New Roman" w:hAnsi="Times New Roman"/>
          <w:sz w:val="24"/>
          <w:szCs w:val="24"/>
        </w:rPr>
      </w:pPr>
    </w:p>
    <w:p w14:paraId="47C43F5D" w14:textId="77777777" w:rsidR="00477016" w:rsidRPr="00477016" w:rsidRDefault="00477016" w:rsidP="005C30A4">
      <w:pPr>
        <w:pStyle w:val="NoSpacing"/>
        <w:rPr>
          <w:rFonts w:ascii="Times New Roman" w:hAnsi="Times New Roman"/>
          <w:sz w:val="24"/>
          <w:szCs w:val="24"/>
        </w:rPr>
      </w:pPr>
    </w:p>
    <w:p w14:paraId="624B5FA0" w14:textId="77777777" w:rsidR="00477016" w:rsidRDefault="00477016" w:rsidP="005C30A4">
      <w:pPr>
        <w:pStyle w:val="NoSpacing"/>
        <w:rPr>
          <w:rFonts w:ascii="Arial Black" w:hAnsi="Arial Black"/>
          <w:sz w:val="24"/>
          <w:szCs w:val="24"/>
        </w:rPr>
      </w:pPr>
    </w:p>
    <w:p w14:paraId="26CCBE83" w14:textId="77777777" w:rsidR="00477016" w:rsidRDefault="00477016" w:rsidP="005C30A4">
      <w:pPr>
        <w:pStyle w:val="NoSpacing"/>
        <w:rPr>
          <w:rFonts w:ascii="Arial Black" w:hAnsi="Arial Black"/>
          <w:sz w:val="24"/>
          <w:szCs w:val="24"/>
        </w:rPr>
      </w:pPr>
    </w:p>
    <w:p w14:paraId="30149857" w14:textId="00A0759D" w:rsidR="003F788B" w:rsidRDefault="003F788B" w:rsidP="005C30A4">
      <w:pPr>
        <w:pStyle w:val="NoSpacing"/>
        <w:rPr>
          <w:rFonts w:ascii="Arial Black" w:hAnsi="Arial Black"/>
          <w:sz w:val="24"/>
          <w:szCs w:val="24"/>
        </w:rPr>
      </w:pPr>
      <w:r>
        <w:rPr>
          <w:rFonts w:ascii="Arial Black" w:hAnsi="Arial Black"/>
          <w:sz w:val="24"/>
          <w:szCs w:val="24"/>
        </w:rPr>
        <w:t>9-28</w:t>
      </w:r>
    </w:p>
    <w:p w14:paraId="1756C8DD" w14:textId="77777777" w:rsidR="003F788B" w:rsidRDefault="003F788B" w:rsidP="003F788B">
      <w:pPr>
        <w:pStyle w:val="NormalWeb"/>
        <w:rPr>
          <w:rFonts w:ascii="Arial Black" w:hAnsi="Arial Black"/>
          <w:sz w:val="28"/>
          <w:szCs w:val="28"/>
        </w:rPr>
      </w:pPr>
      <w:r>
        <w:rPr>
          <w:rFonts w:ascii="Arial Black" w:hAnsi="Arial Black"/>
          <w:sz w:val="28"/>
          <w:szCs w:val="28"/>
        </w:rPr>
        <w:t xml:space="preserve">UT: ADA - FEMALE BAT. CHIEF DEMOTED CAPT – SEVERE ANXIETY, NO ACCOMODATIONS - LAWSUIT PROCEED </w:t>
      </w:r>
    </w:p>
    <w:p w14:paraId="77647D81" w14:textId="77777777" w:rsidR="003F788B" w:rsidRDefault="003F788B" w:rsidP="003F788B">
      <w:pPr>
        <w:pStyle w:val="NormalWeb"/>
      </w:pPr>
      <w:r>
        <w:t xml:space="preserve">On March 31, 2023, in </w:t>
      </w:r>
      <w:r>
        <w:rPr>
          <w:u w:val="single"/>
        </w:rPr>
        <w:t>Martha Ellis v. Salt Lake City Corporation, Karl Lieb, Brian Dale, and Robert McMicken</w:t>
      </w:r>
      <w:r>
        <w:t xml:space="preserve">, U.S, Magistrate Judge Jared C. Bennett denied the </w:t>
      </w:r>
      <w:proofErr w:type="gramStart"/>
      <w:r>
        <w:t>City</w:t>
      </w:r>
      <w:proofErr w:type="gramEnd"/>
      <w:r>
        <w:t xml:space="preserve"> and individual defendants’ motion for summary judgment.  Martha Ellis joined the Salt Lake City Fire Department as a firefighter in 1994; in 2004, she was promoted to Fire Captain and served as the Fire Marshal for the Salt Lake City International Airport; in 2009, she was promoted to Battalion Chief and assigned as the City Fire Marshal and Fire Prevention Bureau Division Chief. She served in this capacity until 2014. On May 3, 2016, she was demoted to Captain; she filed charge of discrimination with EEOC, and went on FMLA leave for severe anxiety, and when no light duty accommodation was offered, she was fired in March 2017 due to “your unavailability to return to work at this time.”  Shortly after she was fired, the City’s Civil Service Commission reversed her demotion, but she was never allowed back to work.</w:t>
      </w:r>
    </w:p>
    <w:p w14:paraId="652FB90B" w14:textId="77777777" w:rsidR="003F788B" w:rsidRDefault="003F788B" w:rsidP="003F788B">
      <w:pPr>
        <w:pStyle w:val="NormalWeb"/>
      </w:pPr>
      <w:r>
        <w:t>The Court held the lawsuit may proceed:</w:t>
      </w:r>
    </w:p>
    <w:p w14:paraId="72DACC82" w14:textId="77777777" w:rsidR="003F788B" w:rsidRDefault="003F788B" w:rsidP="003F788B">
      <w:pPr>
        <w:pStyle w:val="NormalWeb"/>
        <w:ind w:left="720"/>
      </w:pPr>
      <w:r>
        <w:rPr>
          <w:rStyle w:val="Strong"/>
        </w:rPr>
        <w:t>“FAILURE TO ACCOMMODATE…</w:t>
      </w:r>
      <w:r>
        <w:t xml:space="preserve"> After examining each party's analysis of the facts, the court finds that Ellis's evidence is sufficient to support her failure to accommodate claim….  Ellis claims that the City rejected two plausibly reasonable accommodations: (1) medical leave for her condition until the CSC appeal was resolved, and (2) the opportunity to receive some form of training from the Department on a temporary part-time schedule of five-hours a day, four-days a week…. The court agrees with Ellis that her requests for </w:t>
      </w:r>
      <w:proofErr w:type="gramStart"/>
      <w:r>
        <w:t>these accommodations</w:t>
      </w:r>
      <w:proofErr w:type="gramEnd"/>
      <w:r>
        <w:t xml:space="preserve"> were plausibly reasonable.</w:t>
      </w:r>
    </w:p>
    <w:p w14:paraId="4EE49E8C" w14:textId="77777777" w:rsidR="003F788B" w:rsidRDefault="003F788B" w:rsidP="003F788B">
      <w:pPr>
        <w:pStyle w:val="NormalWeb"/>
        <w:ind w:left="720"/>
      </w:pPr>
      <w:r>
        <w:rPr>
          <w:rStyle w:val="Strong"/>
        </w:rPr>
        <w:t>***</w:t>
      </w:r>
    </w:p>
    <w:p w14:paraId="33A33C7F" w14:textId="77777777" w:rsidR="003F788B" w:rsidRDefault="003F788B" w:rsidP="003F788B">
      <w:pPr>
        <w:pStyle w:val="NormalWeb"/>
        <w:ind w:left="720"/>
      </w:pPr>
      <w:r>
        <w:rPr>
          <w:rStyle w:val="Strong"/>
        </w:rPr>
        <w:t xml:space="preserve">DISABILITY DISCRIMINATION AND RETALIATION… </w:t>
      </w:r>
      <w:r>
        <w:t>Thus, a jury could find that the City's reason for termination was pretextual. In sum, Ellis has established that she has viable discrimination and retaliation claims under the ADA. As a result, all three of her ADA claims may proceed to trial.</w:t>
      </w:r>
    </w:p>
    <w:p w14:paraId="1854B399" w14:textId="77777777" w:rsidR="003F788B" w:rsidRDefault="003F788B" w:rsidP="003F788B">
      <w:pPr>
        <w:pStyle w:val="NormalWeb"/>
        <w:ind w:left="720"/>
      </w:pPr>
      <w:r>
        <w:rPr>
          <w:rStyle w:val="Strong"/>
        </w:rPr>
        <w:t>***</w:t>
      </w:r>
    </w:p>
    <w:p w14:paraId="047AB7CC" w14:textId="77777777" w:rsidR="003F788B" w:rsidRDefault="003F788B" w:rsidP="003F788B">
      <w:pPr>
        <w:pStyle w:val="NormalWeb"/>
        <w:ind w:left="720"/>
      </w:pPr>
      <w:r>
        <w:rPr>
          <w:rStyle w:val="Strong"/>
        </w:rPr>
        <w:t xml:space="preserve">SEX DISCRIMINATION AND RETALIATION CLAIMS… </w:t>
      </w:r>
      <w:r>
        <w:t>In sum, Ellis establishes prima facie cases of sex discrimination and retaliation under Title VII and § 1983. Because she presents evidence tending to show that Defendants' proffered reasons for taking adverse employment actions against her are pretextual, her claims survive summary judgment.</w:t>
      </w:r>
    </w:p>
    <w:p w14:paraId="72E9BDF6" w14:textId="77777777" w:rsidR="003F788B" w:rsidRDefault="003F788B" w:rsidP="003F788B">
      <w:pPr>
        <w:pStyle w:val="NormalWeb"/>
        <w:ind w:left="720"/>
      </w:pPr>
      <w:r>
        <w:rPr>
          <w:rStyle w:val="Strong"/>
        </w:rPr>
        <w:t>***</w:t>
      </w:r>
    </w:p>
    <w:p w14:paraId="0C2970B2" w14:textId="77777777" w:rsidR="003F788B" w:rsidRDefault="003F788B" w:rsidP="003F788B">
      <w:pPr>
        <w:pStyle w:val="NormalWeb"/>
        <w:ind w:left="720"/>
      </w:pPr>
      <w:r>
        <w:rPr>
          <w:rStyle w:val="Strong"/>
        </w:rPr>
        <w:t xml:space="preserve">HOSTILE WORK ENVIRONMENT CLAIMS… </w:t>
      </w:r>
      <w:r>
        <w:t xml:space="preserve">A jury could find that this treatment of Ellis, along with the sexist insults lobbed her way, significantly impeded her ability to work and, thus, constituted a hostile work environment.” </w:t>
      </w:r>
      <w:hyperlink r:id="rId1664" w:history="1">
        <w:r>
          <w:rPr>
            <w:rStyle w:val="Hyperlink"/>
          </w:rPr>
          <w:t>https://public.fastcase.com/J%2FJP6pdidelsXxEE4k%2BLMkpx4Tc1lqsghN0FDa1gb3wMFLVhhLo5FWrnkmMj5%2F%2BBVQtdjf8pXYj06hYu%2BnGwGl7dOZtJUpPBXfNPjPwixAs%3D?utm_medium=email&amp;_hsmi=226712652&amp;_hsenc=p2ANqtz--C2h-0vhrKpmBZ-sfV5NXYWdtLuQagg3T7ZppydHXd8lRUQhheIKUZNhzvLNm0zeXmkYrDIZXEzHKpdEczURzqVa6roA&amp;utm_content=226712652&amp;utm_source=hs_email</w:t>
        </w:r>
      </w:hyperlink>
      <w:r>
        <w:t xml:space="preserve"> </w:t>
      </w:r>
    </w:p>
    <w:p w14:paraId="2CD5068D" w14:textId="77777777" w:rsidR="003F788B" w:rsidRDefault="003F788B" w:rsidP="003F788B">
      <w:pPr>
        <w:pStyle w:val="NormalWeb"/>
      </w:pPr>
      <w:r>
        <w:t xml:space="preserve">The Court noted that shortly after she was fired, the three-member Civil Service Commission met (Match 18, 2017) and unanimously voted to overturn and reverse Ellis's demotion. </w:t>
      </w:r>
    </w:p>
    <w:p w14:paraId="0369174F" w14:textId="77777777" w:rsidR="003F788B" w:rsidRDefault="003F788B" w:rsidP="003F788B">
      <w:pPr>
        <w:pStyle w:val="NormalWeb"/>
        <w:ind w:firstLine="720"/>
      </w:pPr>
      <w:r>
        <w:t>“The CSC ultimately found that:</w:t>
      </w:r>
    </w:p>
    <w:p w14:paraId="71AFDB22" w14:textId="77777777" w:rsidR="003F788B" w:rsidRDefault="003F788B" w:rsidP="003F788B">
      <w:pPr>
        <w:spacing w:after="100" w:line="240" w:lineRule="auto"/>
        <w:ind w:left="720" w:firstLine="720"/>
        <w:rPr>
          <w:rFonts w:ascii="Times New Roman" w:eastAsia="Times New Roman" w:hAnsi="Times New Roman"/>
          <w:sz w:val="24"/>
          <w:szCs w:val="24"/>
        </w:rPr>
      </w:pPr>
      <w:proofErr w:type="gramStart"/>
      <w:r>
        <w:rPr>
          <w:rFonts w:ascii="Times New Roman" w:eastAsia="Times New Roman" w:hAnsi="Times New Roman"/>
          <w:sz w:val="24"/>
          <w:szCs w:val="24"/>
        </w:rPr>
        <w:t>1. ‘</w:t>
      </w:r>
      <w:proofErr w:type="gramEnd"/>
      <w:r>
        <w:rPr>
          <w:rFonts w:ascii="Times New Roman" w:eastAsia="Times New Roman" w:hAnsi="Times New Roman"/>
          <w:sz w:val="24"/>
          <w:szCs w:val="24"/>
        </w:rPr>
        <w:t xml:space="preserve">McMicken was looking for reasons to discipline Ellis.’ </w:t>
      </w:r>
    </w:p>
    <w:p w14:paraId="0276925A" w14:textId="77777777" w:rsidR="003F788B" w:rsidRDefault="003F788B" w:rsidP="003F788B">
      <w:pPr>
        <w:spacing w:after="100" w:line="240" w:lineRule="auto"/>
        <w:ind w:left="1440"/>
        <w:rPr>
          <w:rFonts w:ascii="Times New Roman" w:eastAsia="Times New Roman" w:hAnsi="Times New Roman"/>
          <w:sz w:val="24"/>
          <w:szCs w:val="24"/>
        </w:rPr>
      </w:pPr>
      <w:proofErr w:type="gramStart"/>
      <w:r>
        <w:rPr>
          <w:rFonts w:ascii="Times New Roman" w:eastAsia="Times New Roman" w:hAnsi="Times New Roman"/>
          <w:sz w:val="24"/>
          <w:szCs w:val="24"/>
        </w:rPr>
        <w:t>2. ‘</w:t>
      </w:r>
      <w:proofErr w:type="gramEnd"/>
      <w:r>
        <w:rPr>
          <w:rFonts w:ascii="Times New Roman" w:eastAsia="Times New Roman" w:hAnsi="Times New Roman"/>
          <w:sz w:val="24"/>
          <w:szCs w:val="24"/>
        </w:rPr>
        <w:t>[A]legations of Ellis' lack of performance are not supported by substantial evidence.’</w:t>
      </w:r>
    </w:p>
    <w:p w14:paraId="19D948DC" w14:textId="77777777" w:rsidR="003F788B" w:rsidRDefault="003F788B" w:rsidP="003F788B">
      <w:pPr>
        <w:spacing w:after="100" w:line="240" w:lineRule="auto"/>
        <w:ind w:left="720" w:firstLine="720"/>
        <w:rPr>
          <w:rFonts w:ascii="Times New Roman" w:eastAsia="Times New Roman" w:hAnsi="Times New Roman"/>
          <w:sz w:val="24"/>
          <w:szCs w:val="24"/>
        </w:rPr>
      </w:pPr>
      <w:r>
        <w:rPr>
          <w:rFonts w:ascii="Times New Roman" w:eastAsia="Times New Roman" w:hAnsi="Times New Roman"/>
          <w:sz w:val="24"/>
          <w:szCs w:val="24"/>
        </w:rPr>
        <w:t xml:space="preserve">3. The reasons for Ellis's demotion were ‘trivial in nature.’ </w:t>
      </w:r>
    </w:p>
    <w:p w14:paraId="3FCCE250" w14:textId="77777777" w:rsidR="003F788B" w:rsidRDefault="003F788B" w:rsidP="003F788B">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4. The ‘allegations appear to the Commission to be an attempt to manufacture misconduct and allege failure of performance to justify the disciplinary action, when there were no performance issues.’ </w:t>
      </w:r>
    </w:p>
    <w:p w14:paraId="3212DEFF" w14:textId="77777777" w:rsidR="003F788B" w:rsidRDefault="003F788B" w:rsidP="003F788B">
      <w:pPr>
        <w:spacing w:after="100" w:line="240" w:lineRule="auto"/>
        <w:ind w:left="720"/>
        <w:rPr>
          <w:rFonts w:ascii="Times New Roman" w:hAnsi="Times New Roman"/>
          <w:sz w:val="24"/>
          <w:szCs w:val="24"/>
        </w:rPr>
      </w:pPr>
      <w:r>
        <w:rPr>
          <w:rFonts w:ascii="Times New Roman" w:hAnsi="Times New Roman"/>
          <w:sz w:val="24"/>
          <w:szCs w:val="24"/>
        </w:rPr>
        <w:t>Although the CSC overturned Plaintiff's demotion, the Department never restored Ellis to her original position or reinstated her, since by this time her employment had been terminated. Ultimately, she was only paid the salary that she lost due to her demotion -$7,166.74.”</w:t>
      </w:r>
    </w:p>
    <w:p w14:paraId="19019E80" w14:textId="77777777" w:rsidR="003F788B" w:rsidRDefault="003F788B" w:rsidP="003F788B">
      <w:pPr>
        <w:spacing w:after="100" w:line="240" w:lineRule="auto"/>
        <w:rPr>
          <w:rFonts w:ascii="Times New Roman" w:hAnsi="Times New Roman"/>
          <w:b/>
          <w:bCs/>
          <w:sz w:val="24"/>
          <w:szCs w:val="24"/>
        </w:rPr>
      </w:pPr>
    </w:p>
    <w:p w14:paraId="6E2A6160" w14:textId="77777777" w:rsidR="003F788B" w:rsidRDefault="003F788B" w:rsidP="003F788B">
      <w:pPr>
        <w:spacing w:after="100" w:line="240" w:lineRule="auto"/>
        <w:rPr>
          <w:rFonts w:ascii="Times New Roman" w:eastAsia="Times New Roman" w:hAnsi="Times New Roman"/>
          <w:b/>
          <w:bCs/>
          <w:sz w:val="24"/>
          <w:szCs w:val="24"/>
        </w:rPr>
      </w:pPr>
      <w:r>
        <w:rPr>
          <w:rFonts w:ascii="Times New Roman" w:hAnsi="Times New Roman"/>
          <w:b/>
          <w:bCs/>
          <w:sz w:val="24"/>
          <w:szCs w:val="24"/>
        </w:rPr>
        <w:t xml:space="preserve">Legal Lessons Learned: The case will now proceed to trial, unless settled. </w:t>
      </w:r>
    </w:p>
    <w:p w14:paraId="6AE687A6" w14:textId="77777777" w:rsidR="003F788B" w:rsidRDefault="003F788B" w:rsidP="003F788B">
      <w:pPr>
        <w:pStyle w:val="NormalWeb"/>
      </w:pPr>
    </w:p>
    <w:p w14:paraId="18EEC093" w14:textId="2684E23B" w:rsidR="003F788B" w:rsidRDefault="003F788B" w:rsidP="005C30A4">
      <w:pPr>
        <w:pStyle w:val="NoSpacing"/>
        <w:rPr>
          <w:rFonts w:ascii="Arial Black" w:hAnsi="Arial Black"/>
          <w:sz w:val="24"/>
          <w:szCs w:val="24"/>
        </w:rPr>
      </w:pPr>
    </w:p>
    <w:p w14:paraId="52E7C0A2" w14:textId="1E1B2FD7" w:rsidR="003F788B" w:rsidRDefault="003F788B" w:rsidP="005C30A4">
      <w:pPr>
        <w:pStyle w:val="NoSpacing"/>
        <w:rPr>
          <w:rFonts w:ascii="Arial Black" w:hAnsi="Arial Black"/>
          <w:sz w:val="24"/>
          <w:szCs w:val="24"/>
        </w:rPr>
      </w:pPr>
      <w:r>
        <w:rPr>
          <w:rFonts w:ascii="Arial Black" w:hAnsi="Arial Black"/>
          <w:sz w:val="24"/>
          <w:szCs w:val="24"/>
        </w:rPr>
        <w:t>9-27</w:t>
      </w:r>
    </w:p>
    <w:p w14:paraId="1406FFEF" w14:textId="6B9534F9" w:rsidR="003F788B" w:rsidRDefault="003F788B" w:rsidP="005C30A4">
      <w:pPr>
        <w:pStyle w:val="NoSpacing"/>
        <w:rPr>
          <w:rFonts w:ascii="Arial Black" w:hAnsi="Arial Black"/>
          <w:sz w:val="24"/>
          <w:szCs w:val="24"/>
        </w:rPr>
      </w:pPr>
    </w:p>
    <w:p w14:paraId="7713B1A6" w14:textId="77777777" w:rsidR="003F788B" w:rsidRDefault="003F788B" w:rsidP="003F788B">
      <w:pPr>
        <w:pStyle w:val="NormalWeb"/>
        <w:rPr>
          <w:rFonts w:ascii="Arial Black" w:hAnsi="Arial Black"/>
          <w:sz w:val="28"/>
          <w:szCs w:val="28"/>
        </w:rPr>
      </w:pPr>
      <w:r>
        <w:rPr>
          <w:rFonts w:ascii="Arial Black" w:hAnsi="Arial Black"/>
          <w:sz w:val="28"/>
          <w:szCs w:val="28"/>
        </w:rPr>
        <w:t xml:space="preserve">UT: ADA – PARAMEDIC BACK INJURY – LIGHT DUTY – CLAIMS GIVEN HEAVY DUTIES – CASE MAY PROCEED </w:t>
      </w:r>
    </w:p>
    <w:p w14:paraId="49932A5C" w14:textId="77777777" w:rsidR="003F788B" w:rsidRDefault="003F788B" w:rsidP="003F788B">
      <w:pPr>
        <w:pStyle w:val="NormalWeb"/>
      </w:pPr>
      <w:r>
        <w:t xml:space="preserve">On March 28, 2023, in </w:t>
      </w:r>
      <w:r>
        <w:rPr>
          <w:u w:val="single"/>
        </w:rPr>
        <w:t>Patrick John v. Murray City</w:t>
      </w:r>
      <w:r>
        <w:t xml:space="preserve">, U.S. Magistrate Judge Daphne A. Oberg, U.S. District Court for District of Utah, held that his ADA lawsuit may proceed to trial on his claim that after a back injury on Nov. 24, 2017, he was on light duty for six weeks, and was inappropriately ordered to perform tasks like moving boxes that caused him pain. The </w:t>
      </w:r>
      <w:proofErr w:type="gramStart"/>
      <w:r>
        <w:t>City</w:t>
      </w:r>
      <w:proofErr w:type="gramEnd"/>
      <w:r>
        <w:t xml:space="preserve"> fired him in September 2018, after he was on probation, for “attitude, reckless driving, lack of initiative, and the Needle Stick Incident.”  </w:t>
      </w:r>
    </w:p>
    <w:p w14:paraId="2DCCEB68" w14:textId="77777777" w:rsidR="003F788B" w:rsidRDefault="003F788B" w:rsidP="003F788B">
      <w:pPr>
        <w:pStyle w:val="NormalWeb"/>
        <w:ind w:left="540"/>
      </w:pPr>
      <w:r>
        <w:t>While the Judge granted City’s motion for summary judgment on his claim he was fired in retaliation for his six workers comp claims (Dec. 2007; April 2016; Oct. 2016, Nov. 2017, June 2018), the Judge ordered case to trial on whether the City properly accommodated him while on light duty following another back injury on November 24, 2017. The Judge held that following testimony by the paramedic is “sufficient to create a genuine issue of material fact concerning whether the City accommodated John after his November 2017 injury.” *** On December 4, he went to Clements [his Physician Assistant] for treatment. Clements issued a work restriction note recommending the paramedic be allowed ‘to modify bending, lifting, twisting, carrying, stooping, kneeling as tolerated while being treated for the next 6-8 weeks.’  *** “During the restriction period after this injury, John met with Harris [who later became Fire Chief] ‘every morning’ to discuss light-duty work assignments for the day. At several of these meetings, John remembers Harris making disparaging remarks. For example, Harris told John that light-duty assignments were ‘unacceptable, especially [for] somebody on probation’ who was trying to prove he wanted to keep his job. According to John, Harris seemed ‘really frustrated and angry’ and repeatedly said some version of, ‘Well what are we going to do with you today?’ Harris also ‘forced him to complete tasks,’ like cleaning the gear room, ‘that were outside of his medical restrictions, causing him further pain.’”</w:t>
      </w:r>
      <w:hyperlink r:id="rId1665" w:history="1">
        <w:r>
          <w:rPr>
            <w:rStyle w:val="Hyperlink"/>
          </w:rPr>
          <w:t>https://public.fastcase.com/J%2FJP6pdidelsXxEE4k%2BLMiteJGWvZUfwvvNNihi30%2B3WDxUCsaXKSaCpKvBtAgs2vLiA9OVuPhL49GE7aECM8IIU6kbJlailTpTCbBqx2w4%3D?utm_medium=email&amp;_hsmi=226712652&amp;_hsenc=p2ANqtz---SEadQ3HE9lUqxxQW5cr7Vybxx0tHPHEXMPHfSJcPHzXu-t4fnJYchJuK4CNgA9WWUPQ6Jxn6Xff3x8kPfGcAZk9K8A&amp;utm_content=226712652&amp;utm_source=hs_email</w:t>
        </w:r>
      </w:hyperlink>
      <w:r>
        <w:t xml:space="preserve"> </w:t>
      </w:r>
    </w:p>
    <w:p w14:paraId="296FC269" w14:textId="77777777" w:rsidR="003F788B" w:rsidRDefault="003F788B" w:rsidP="003F788B">
      <w:pPr>
        <w:pStyle w:val="NormalWeb"/>
        <w:ind w:firstLine="540"/>
      </w:pPr>
      <w:r>
        <w:rPr>
          <w:rStyle w:val="Strong"/>
        </w:rPr>
        <w:t>“John's Monthly Probation Reports</w:t>
      </w:r>
      <w:r>
        <w:t xml:space="preserve"> </w:t>
      </w:r>
    </w:p>
    <w:p w14:paraId="3F81F084" w14:textId="77777777" w:rsidR="003F788B" w:rsidRDefault="003F788B" w:rsidP="003F788B">
      <w:pPr>
        <w:pStyle w:val="NormalWeb"/>
        <w:ind w:left="540"/>
      </w:pPr>
      <w:r>
        <w:t xml:space="preserve">John continued to receive monthly performance reviews as part of his probation. From October 2017 through December 2017, the reports were ‘mixed.’ However, from January through May 2018, John's supervisor noted he was improving and rated him as ‘meeting expectations.’ John signed each of these reports. </w:t>
      </w:r>
    </w:p>
    <w:p w14:paraId="76F4BE88" w14:textId="77777777" w:rsidR="003F788B" w:rsidRDefault="003F788B" w:rsidP="003F788B">
      <w:pPr>
        <w:pStyle w:val="NormalWeb"/>
        <w:ind w:left="540"/>
      </w:pPr>
      <w:r>
        <w:t xml:space="preserve">In the June 2018 report, the supervisor rated John as ‘needing improvement’ in the categories of safety, following instructions, and fire skills. These ratings were based on three incidents. </w:t>
      </w:r>
    </w:p>
    <w:p w14:paraId="263E6BA8" w14:textId="77777777" w:rsidR="003F788B" w:rsidRDefault="003F788B" w:rsidP="003F788B">
      <w:pPr>
        <w:pStyle w:val="NormalWeb"/>
        <w:ind w:left="540"/>
      </w:pPr>
      <w:r>
        <w:t xml:space="preserve">First, John ‘jeopardized his safety during a defensive fire operation’ when he entered a burning and abandoned building that his captain and crew told him not to enter (the Fire Incident). This was an ‘unreasonable risk’ because there was a partially collapsed wall and ‘heavy smoke.’ </w:t>
      </w:r>
    </w:p>
    <w:p w14:paraId="43B4D66F" w14:textId="77777777" w:rsidR="003F788B" w:rsidRDefault="003F788B" w:rsidP="003F788B">
      <w:pPr>
        <w:pStyle w:val="NormalWeb"/>
        <w:ind w:left="540"/>
      </w:pPr>
      <w:r>
        <w:t xml:space="preserve">Second, John accidentally exposed himself to a needlestick by recapping a bent needle (the Needle Stick Incident). The supervisor explained that recapping a bent needle is ‘against standard paramedic practice and should be avoided.’ </w:t>
      </w:r>
    </w:p>
    <w:p w14:paraId="0B934854" w14:textId="77777777" w:rsidR="003F788B" w:rsidRDefault="003F788B" w:rsidP="003F788B">
      <w:pPr>
        <w:pStyle w:val="NormalWeb"/>
        <w:ind w:left="540"/>
      </w:pPr>
      <w:r>
        <w:t>Third, the supervisor received reports that John had ‘been driving the ambulance recklessly and going back to his old ways with attitude.’</w:t>
      </w:r>
    </w:p>
    <w:p w14:paraId="2C4A767D" w14:textId="77777777" w:rsidR="003F788B" w:rsidRDefault="003F788B" w:rsidP="003F788B">
      <w:pPr>
        <w:pStyle w:val="NormalWeb"/>
        <w:ind w:left="540"/>
      </w:pPr>
      <w:r>
        <w:t>***</w:t>
      </w:r>
    </w:p>
    <w:p w14:paraId="3FB06730" w14:textId="77777777" w:rsidR="003F788B" w:rsidRDefault="003F788B" w:rsidP="003F788B">
      <w:pPr>
        <w:pStyle w:val="NormalWeb"/>
        <w:ind w:firstLine="540"/>
      </w:pPr>
      <w:r>
        <w:rPr>
          <w:rStyle w:val="Strong"/>
        </w:rPr>
        <w:t>The City Terminates John</w:t>
      </w:r>
      <w:r>
        <w:t xml:space="preserve"> </w:t>
      </w:r>
    </w:p>
    <w:p w14:paraId="6D7364BE" w14:textId="77777777" w:rsidR="003F788B" w:rsidRDefault="003F788B" w:rsidP="003F788B">
      <w:pPr>
        <w:pStyle w:val="NormalWeb"/>
        <w:ind w:left="540"/>
      </w:pPr>
      <w:r>
        <w:t xml:space="preserve">John's pre-disciplinary hearing was on August 28, 2018. At the hearing, John was able to present his ‘version of the </w:t>
      </w:r>
      <w:proofErr w:type="gramStart"/>
      <w:r>
        <w:t>facts’</w:t>
      </w:r>
      <w:proofErr w:type="gramEnd"/>
      <w:r>
        <w:t xml:space="preserve"> and other information he considered relevant</w:t>
      </w:r>
      <w:proofErr w:type="gramStart"/>
      <w:r>
        <w:t xml:space="preserve">.[Fire Chief] </w:t>
      </w:r>
      <w:proofErr w:type="gramEnd"/>
      <w:r>
        <w:t xml:space="preserve"> Harris, two assistant chiefs, and the City's human resources director attended the hearing and later investigated concerns John raised. </w:t>
      </w:r>
    </w:p>
    <w:p w14:paraId="7EECB1B9" w14:textId="77777777" w:rsidR="003F788B" w:rsidRDefault="003F788B" w:rsidP="003F788B">
      <w:pPr>
        <w:pStyle w:val="NormalWeb"/>
        <w:ind w:left="540"/>
      </w:pPr>
      <w:r>
        <w:t xml:space="preserve">After the investigation, the </w:t>
      </w:r>
      <w:proofErr w:type="gramStart"/>
      <w:r>
        <w:t>City</w:t>
      </w:r>
      <w:proofErr w:type="gramEnd"/>
      <w:r>
        <w:t xml:space="preserve"> terminated John on September 6, 2018. </w:t>
      </w:r>
      <w:r>
        <w:rPr>
          <w:vertAlign w:val="superscript"/>
        </w:rPr>
        <w:t>]</w:t>
      </w:r>
      <w:r>
        <w:t>Harris wrote John a letter explaining the reasons for the termination. For example, the letter described concerns about attitude, reckless driving, lack of initiative, and the Needle Stick Incident.</w:t>
      </w:r>
      <w:r>
        <w:rPr>
          <w:vertAlign w:val="superscript"/>
        </w:rPr>
        <w:t>”</w:t>
      </w:r>
    </w:p>
    <w:p w14:paraId="596B0B34" w14:textId="77777777" w:rsidR="003F788B" w:rsidRDefault="003F788B" w:rsidP="003F788B">
      <w:pPr>
        <w:pStyle w:val="NormalWeb"/>
        <w:rPr>
          <w:b/>
          <w:bCs/>
        </w:rPr>
      </w:pPr>
      <w:r>
        <w:rPr>
          <w:b/>
          <w:bCs/>
        </w:rPr>
        <w:t xml:space="preserve">Legal Lesson Learned: When accommodating a paramedic with light duty for a back injury, assign the medic duties consistent with recovery for that injury. </w:t>
      </w:r>
    </w:p>
    <w:p w14:paraId="7A99B39C" w14:textId="77777777" w:rsidR="003F788B" w:rsidRDefault="003F788B" w:rsidP="003F788B">
      <w:pPr>
        <w:pStyle w:val="NormalWeb"/>
      </w:pPr>
    </w:p>
    <w:p w14:paraId="561E1F0B" w14:textId="7B1BC8F5" w:rsidR="003F788B" w:rsidRDefault="003F788B" w:rsidP="005C30A4">
      <w:pPr>
        <w:pStyle w:val="NoSpacing"/>
        <w:rPr>
          <w:rFonts w:ascii="Arial Black" w:hAnsi="Arial Black"/>
          <w:sz w:val="24"/>
          <w:szCs w:val="24"/>
        </w:rPr>
      </w:pPr>
    </w:p>
    <w:p w14:paraId="73F94D85" w14:textId="53D17EB9" w:rsidR="003F788B" w:rsidRDefault="003F788B" w:rsidP="005C30A4">
      <w:pPr>
        <w:pStyle w:val="NoSpacing"/>
        <w:rPr>
          <w:rFonts w:ascii="Arial Black" w:hAnsi="Arial Black"/>
          <w:sz w:val="24"/>
          <w:szCs w:val="24"/>
        </w:rPr>
      </w:pPr>
      <w:r>
        <w:rPr>
          <w:rFonts w:ascii="Arial Black" w:hAnsi="Arial Black"/>
          <w:sz w:val="24"/>
          <w:szCs w:val="24"/>
        </w:rPr>
        <w:t>9-26</w:t>
      </w:r>
    </w:p>
    <w:p w14:paraId="26F75A3F" w14:textId="7A4DF0F5" w:rsidR="003F788B" w:rsidRDefault="003F788B" w:rsidP="005C30A4">
      <w:pPr>
        <w:pStyle w:val="NoSpacing"/>
        <w:rPr>
          <w:rFonts w:ascii="Arial Black" w:hAnsi="Arial Black"/>
          <w:sz w:val="24"/>
          <w:szCs w:val="24"/>
        </w:rPr>
      </w:pPr>
    </w:p>
    <w:p w14:paraId="125217A0" w14:textId="77777777" w:rsidR="003F788B" w:rsidRDefault="003F788B" w:rsidP="003F788B">
      <w:pPr>
        <w:pStyle w:val="NormalWeb"/>
        <w:rPr>
          <w:rFonts w:ascii="Arial Black" w:hAnsi="Arial Black"/>
          <w:sz w:val="28"/>
          <w:szCs w:val="28"/>
        </w:rPr>
      </w:pPr>
      <w:r>
        <w:rPr>
          <w:rFonts w:ascii="Arial Black" w:hAnsi="Arial Black"/>
          <w:sz w:val="28"/>
          <w:szCs w:val="28"/>
        </w:rPr>
        <w:t xml:space="preserve">IL: ADA - CHICAGO FF – FAILED ANNUAL STRESS TEST – CO-PAYS PRIVATE TESTING WHILE ON PAID LEAVE – NO VIOL. </w:t>
      </w:r>
    </w:p>
    <w:p w14:paraId="7260FF28" w14:textId="77777777" w:rsidR="003F788B" w:rsidRDefault="003F788B" w:rsidP="003F788B">
      <w:pPr>
        <w:pStyle w:val="NormalWeb"/>
      </w:pPr>
      <w:r>
        <w:t xml:space="preserve">On March 20, 2023, in </w:t>
      </w:r>
      <w:r>
        <w:rPr>
          <w:u w:val="single"/>
        </w:rPr>
        <w:t>Darren Verderber v. City of Chicago</w:t>
      </w:r>
      <w:r>
        <w:t xml:space="preserve">, U.S. District Court Judge Franklin U. Valderrama, U.S., District Court for Northern District of Illinois, Eastern Division, granted the City’s motion to dismiss.  Even though the firefighter had to submit numerous test results, and personally pay insurance co-pays, there was no “materially adverse employment action” as required to bring ADA lawsuit. </w:t>
      </w:r>
    </w:p>
    <w:p w14:paraId="0E299DEA" w14:textId="77777777" w:rsidR="003F788B" w:rsidRDefault="003F788B" w:rsidP="003F788B">
      <w:pPr>
        <w:pStyle w:val="NormalWeb"/>
      </w:pPr>
      <w:r>
        <w:t>The Court held:</w:t>
      </w:r>
    </w:p>
    <w:p w14:paraId="6D9BE190" w14:textId="77777777" w:rsidR="003F788B" w:rsidRDefault="003F788B" w:rsidP="003F788B">
      <w:pPr>
        <w:pStyle w:val="NormalWeb"/>
        <w:ind w:left="720"/>
      </w:pPr>
      <w:r>
        <w:t xml:space="preserve">“The Court agrees with the </w:t>
      </w:r>
      <w:proofErr w:type="gramStart"/>
      <w:r>
        <w:t>City</w:t>
      </w:r>
      <w:proofErr w:type="gramEnd"/>
      <w:r>
        <w:t xml:space="preserve"> that Verderber has failed to plausibly allege a materially adverse employment action. True, Verderber has alleged that he was required to undergo a series of medical examinations after his failed physical exam. But courts have repeatedly held that the ADA permits fitness for duty examinations for public safety employees….Nor has he alleged that other similarly situated firefighters were subjected to less testing after a failed stress test. Furthermore, in his Complaint, Verderber alleges that he was warned by the CFD how ‘physically demanding’ his job was, which supports that the series of medical examinations were within the scope of Verderber's employment…. Thus, Verderber has not plausibly alleged that the series of medical examination requirements was a materially adverse employment action. *** Apparently, the issue of whether payment of out-of-pocket expenses can constitute an adverse employment action has not been addressed in the Seventh Circuit.  In short, Verderber has not plausibly alleged that the out-of-pocket medical costs are a materially adverse employment action.           All in all, Verderber has not plausibly pled a materially adverse employment </w:t>
      </w:r>
      <w:proofErr w:type="gramStart"/>
      <w:r>
        <w:t>action, and</w:t>
      </w:r>
      <w:proofErr w:type="gramEnd"/>
      <w:r>
        <w:t xml:space="preserve"> so has not stated a claim under the ADA.  </w:t>
      </w:r>
      <w:hyperlink r:id="rId1666" w:history="1">
        <w:r>
          <w:rPr>
            <w:rStyle w:val="Hyperlink"/>
          </w:rPr>
          <w:t>https://law.justia.com/cases/federal/district-courts/illinois/ilndce/1:2021cv06211/409083/23/</w:t>
        </w:r>
      </w:hyperlink>
      <w:r>
        <w:t xml:space="preserve"> </w:t>
      </w:r>
    </w:p>
    <w:p w14:paraId="10293D10" w14:textId="77777777" w:rsidR="003F788B" w:rsidRDefault="003F788B" w:rsidP="003F788B">
      <w:pPr>
        <w:pStyle w:val="NormalWeb"/>
        <w:ind w:left="720"/>
      </w:pPr>
      <w:r>
        <w:t>CFD requires members of the Special Operations Division to undergo an annual physical exam…. The physical exam includes a stress test… Verderber underwent his annual physical exam on July 23, 2020…. Verderber alleges that during the stress test portion of the July 23 exam, one of the cardiac monitor leads fell off Verderber's chest, negatively impacting the results and causing Verderber to ‘not satisfactorily pass’ the stress test</w:t>
      </w:r>
      <w:proofErr w:type="gramStart"/>
      <w:r>
        <w:t>…..</w:t>
      </w:r>
      <w:proofErr w:type="gramEnd"/>
      <w:r>
        <w:t xml:space="preserve"> That same day, Verderber requested a second stress test, but his request was denied. </w:t>
      </w:r>
    </w:p>
    <w:p w14:paraId="19184A15" w14:textId="77777777" w:rsidR="003F788B" w:rsidRDefault="003F788B" w:rsidP="003F788B">
      <w:pPr>
        <w:pStyle w:val="NormalWeb"/>
        <w:ind w:left="720"/>
      </w:pPr>
      <w:r>
        <w:t>***</w:t>
      </w:r>
    </w:p>
    <w:p w14:paraId="53DED51B" w14:textId="77777777" w:rsidR="003F788B" w:rsidRDefault="003F788B" w:rsidP="003F788B">
      <w:pPr>
        <w:pStyle w:val="NormalWeb"/>
        <w:ind w:left="720"/>
      </w:pPr>
      <w:r>
        <w:t>From August 2020 to February 2021, Verderber was required to submit to various medical consultations, examinations and tests and obtain numerous medical releases</w:t>
      </w:r>
      <w:proofErr w:type="gramStart"/>
      <w:r>
        <w:t>…..</w:t>
      </w:r>
      <w:proofErr w:type="gramEnd"/>
      <w:r>
        <w:t xml:space="preserve"> Beginning on July 31, 2020, Verderber scheduled a medical consultation with his general practitioner, after which the doctor provided a medical release authorizing his return to work…. Verderber also scheduled an appointment with his cardiologist on August 3, 2020, who also gave him a written medical release</w:t>
      </w:r>
      <w:proofErr w:type="gramStart"/>
      <w:r>
        <w:t>…..</w:t>
      </w:r>
      <w:proofErr w:type="gramEnd"/>
      <w:r>
        <w:t xml:space="preserve"> However, after submitting both medical releases on August 4, 2020, the CFD Medical Division informed Verderber that the medical releases were insufficient without an echocardiogram.</w:t>
      </w:r>
    </w:p>
    <w:p w14:paraId="26A23F9B" w14:textId="77777777" w:rsidR="003F788B" w:rsidRDefault="003F788B" w:rsidP="003F788B">
      <w:pPr>
        <w:pStyle w:val="NormalWeb"/>
        <w:ind w:left="720"/>
      </w:pPr>
      <w:r>
        <w:t>***</w:t>
      </w:r>
    </w:p>
    <w:p w14:paraId="396EEC22" w14:textId="77777777" w:rsidR="003F788B" w:rsidRDefault="003F788B" w:rsidP="003F788B">
      <w:pPr>
        <w:pStyle w:val="NormalWeb"/>
        <w:ind w:left="720"/>
      </w:pPr>
      <w:r>
        <w:t xml:space="preserve">On August 21, 2020, Verderber saw a new cardiologist who performed an echocardiogram that produced normal and within range test results…. Following submission of the normal echocardiogram's results to the CFD, Verderber was informed on September 28, </w:t>
      </w:r>
      <w:proofErr w:type="gramStart"/>
      <w:r>
        <w:t>2020</w:t>
      </w:r>
      <w:proofErr w:type="gramEnd"/>
      <w:r>
        <w:t xml:space="preserve"> that he also needed to complete a Thoracic Aneurysm test…. Verderber complied, and submitted to the test, which came back normal and within range…. However, the CFD still did not allow Verderber to return to work and warned him about the ‘physically demanding’ work of his job….  Verderber underwent additional testing between October 29, 2020, when he was placed on extended layup, and February 25, 2021</w:t>
      </w:r>
      <w:proofErr w:type="gramStart"/>
      <w:r>
        <w:t>…..</w:t>
      </w:r>
      <w:proofErr w:type="gramEnd"/>
      <w:r>
        <w:t xml:space="preserve"> Verderber was told in late February 2021 to obtain a new medical release from his primary cardiologist, and Verderber complied. </w:t>
      </w:r>
    </w:p>
    <w:p w14:paraId="6F65B17C" w14:textId="77777777" w:rsidR="003F788B" w:rsidRDefault="003F788B" w:rsidP="003F788B">
      <w:pPr>
        <w:pStyle w:val="NormalWeb"/>
        <w:ind w:left="720"/>
      </w:pPr>
      <w:r>
        <w:t xml:space="preserve">Verderber was allowed to return to duty on February 26, 2021, following his final medical release from his cardiologist…. Although Verderber received full pay and benefits from the CFD during his layup, Verderber was unable to </w:t>
      </w:r>
      <w:proofErr w:type="gramStart"/>
      <w:r>
        <w:t>work</w:t>
      </w:r>
      <w:proofErr w:type="gramEnd"/>
      <w:r>
        <w:t xml:space="preserve"> his secondary employment during the same period due to the conditions of his secondary employment </w:t>
      </w:r>
      <w:proofErr w:type="gramStart"/>
      <w:r>
        <w:t>contract.”</w:t>
      </w:r>
      <w:proofErr w:type="gramEnd"/>
    </w:p>
    <w:p w14:paraId="2B56D9C9" w14:textId="77777777" w:rsidR="003F788B" w:rsidRDefault="003F788B" w:rsidP="003F788B">
      <w:pPr>
        <w:pStyle w:val="NormalWeb"/>
        <w:rPr>
          <w:b/>
          <w:bCs/>
        </w:rPr>
      </w:pPr>
      <w:r>
        <w:rPr>
          <w:b/>
          <w:bCs/>
        </w:rPr>
        <w:t xml:space="preserve">Legal Lessons Learned: The ADA is not violated when a firefighter incurs co-pays to prove he is physically fit for a physically demanding position. </w:t>
      </w:r>
    </w:p>
    <w:p w14:paraId="1B21F18D" w14:textId="77777777" w:rsidR="003F788B" w:rsidRDefault="003F788B" w:rsidP="005C30A4">
      <w:pPr>
        <w:pStyle w:val="NoSpacing"/>
        <w:rPr>
          <w:rFonts w:ascii="Arial Black" w:hAnsi="Arial Black"/>
          <w:sz w:val="24"/>
          <w:szCs w:val="24"/>
        </w:rPr>
      </w:pPr>
    </w:p>
    <w:p w14:paraId="240E5EF4" w14:textId="77777777" w:rsidR="003F788B" w:rsidRDefault="003F788B" w:rsidP="005C30A4">
      <w:pPr>
        <w:pStyle w:val="NoSpacing"/>
        <w:rPr>
          <w:rFonts w:ascii="Arial Black" w:hAnsi="Arial Black"/>
          <w:sz w:val="24"/>
          <w:szCs w:val="24"/>
        </w:rPr>
      </w:pPr>
    </w:p>
    <w:p w14:paraId="5E1AD4C0" w14:textId="77777777" w:rsidR="003F788B" w:rsidRDefault="003F788B" w:rsidP="005C30A4">
      <w:pPr>
        <w:pStyle w:val="NoSpacing"/>
        <w:rPr>
          <w:rFonts w:ascii="Arial Black" w:hAnsi="Arial Black"/>
          <w:sz w:val="24"/>
          <w:szCs w:val="24"/>
        </w:rPr>
      </w:pPr>
    </w:p>
    <w:p w14:paraId="3690C9B7" w14:textId="565D8DEE" w:rsidR="00C67B2A" w:rsidRDefault="00BA3CDE" w:rsidP="005C30A4">
      <w:pPr>
        <w:pStyle w:val="NoSpacing"/>
        <w:rPr>
          <w:rFonts w:ascii="Arial Black" w:hAnsi="Arial Black"/>
          <w:sz w:val="24"/>
          <w:szCs w:val="24"/>
        </w:rPr>
      </w:pPr>
      <w:r>
        <w:rPr>
          <w:rFonts w:ascii="Arial Black" w:hAnsi="Arial Black"/>
          <w:sz w:val="24"/>
          <w:szCs w:val="24"/>
        </w:rPr>
        <w:t>9-25</w:t>
      </w:r>
    </w:p>
    <w:p w14:paraId="68A12544" w14:textId="77777777" w:rsidR="00BA3CDE" w:rsidRDefault="00BA3CDE" w:rsidP="00BA3CDE">
      <w:pPr>
        <w:pStyle w:val="NormalWeb"/>
        <w:rPr>
          <w:rFonts w:ascii="Arial Black" w:hAnsi="Arial Black"/>
          <w:sz w:val="28"/>
          <w:szCs w:val="28"/>
        </w:rPr>
      </w:pPr>
      <w:r>
        <w:rPr>
          <w:rFonts w:ascii="Arial Black" w:hAnsi="Arial Black"/>
          <w:sz w:val="28"/>
          <w:szCs w:val="28"/>
        </w:rPr>
        <w:t>DE: FF BACK INJURY DURING TRAINING – NO LIGHT DUTY – ON MEDICAL LEAVE 1-YR, FIRED – CASE PROCEED</w:t>
      </w:r>
    </w:p>
    <w:p w14:paraId="091FA235" w14:textId="77777777" w:rsidR="00BA3CDE" w:rsidRDefault="00BA3CDE" w:rsidP="00BA3CDE">
      <w:pPr>
        <w:pStyle w:val="NormalWeb"/>
      </w:pPr>
      <w:r>
        <w:t xml:space="preserve">On Dec. 15, 2022, in </w:t>
      </w:r>
      <w:r w:rsidRPr="00402DBB">
        <w:rPr>
          <w:u w:val="single"/>
        </w:rPr>
        <w:t>Hiram Whatley v. City of Wilmington</w:t>
      </w:r>
      <w:r>
        <w:t>, U.S. District Court for Delaware, Federal Judge Stephanos Bibas, visiting judge from U.S. Court of Appeals for 3</w:t>
      </w:r>
      <w:r w:rsidRPr="00402DBB">
        <w:rPr>
          <w:vertAlign w:val="superscript"/>
        </w:rPr>
        <w:t>rd</w:t>
      </w:r>
      <w:r>
        <w:t xml:space="preserve"> Circuit (Boston), denied the City’s motion to dismiss; pre-trial discovery will now begin.  Hiram Whatley was a Wilmington firefighter for more than two decades, when in June 2019, he injured his back in a training exercise. “This injury kept him out of work and ultimately required surgery. When Whatley asked for light duty, the Fire Chief told him that no such assignment exists in the fire department. Whatley also sought extensions of his medical leave. But in July 2020, Wilmington fired Whatley after more than a year away from </w:t>
      </w:r>
      <w:proofErr w:type="gramStart"/>
      <w:r>
        <w:t>work.”</w:t>
      </w:r>
      <w:proofErr w:type="gramEnd"/>
      <w:r>
        <w:t xml:space="preserve">  Whatley claims the </w:t>
      </w:r>
      <w:proofErr w:type="gramStart"/>
      <w:r>
        <w:t>City</w:t>
      </w:r>
      <w:proofErr w:type="gramEnd"/>
      <w:r>
        <w:t xml:space="preserve"> has offered light duty to him for a previous injury, as well as to other injured firefighters. </w:t>
      </w:r>
    </w:p>
    <w:p w14:paraId="1D9E9270" w14:textId="77777777" w:rsidR="00BA3CDE" w:rsidRDefault="00BA3CDE" w:rsidP="00BA3CDE">
      <w:pPr>
        <w:pStyle w:val="NormalWeb"/>
        <w:ind w:left="720"/>
      </w:pPr>
      <w:r>
        <w:t xml:space="preserve">“Wilmington argues that Whatley is not qualified because his requests for additional leave and light duty were unreasonable accommodations….  At this stage, [his allegation about light duty] is enough to show that light duty is a reasonable accommodation.” </w:t>
      </w:r>
      <w:hyperlink r:id="rId1667" w:history="1">
        <w:r w:rsidRPr="00237809">
          <w:rPr>
            <w:rStyle w:val="Hyperlink"/>
            <w:rFonts w:eastAsiaTheme="majorEastAsia"/>
          </w:rPr>
          <w:t>https://law.justia.com/cases/federal/district-courts/delaware/dedce/1:2021cv01726/77337/17/</w:t>
        </w:r>
      </w:hyperlink>
      <w:r>
        <w:t xml:space="preserve"> </w:t>
      </w:r>
    </w:p>
    <w:p w14:paraId="67649B97" w14:textId="77777777" w:rsidR="00BA3CDE" w:rsidRDefault="00BA3CDE" w:rsidP="00BA3CDE">
      <w:pPr>
        <w:pStyle w:val="NormalWeb"/>
        <w:rPr>
          <w:b/>
          <w:bCs/>
        </w:rPr>
      </w:pPr>
      <w:r w:rsidRPr="00C91DD8">
        <w:rPr>
          <w:b/>
          <w:bCs/>
        </w:rPr>
        <w:t xml:space="preserve">Legal Lesson Learned: </w:t>
      </w:r>
      <w:r>
        <w:rPr>
          <w:b/>
          <w:bCs/>
        </w:rPr>
        <w:t xml:space="preserve"> The case will now proceed to pre-trial discovery.  </w:t>
      </w:r>
    </w:p>
    <w:p w14:paraId="3F3B7FC3" w14:textId="77777777" w:rsidR="00BA3CDE" w:rsidRDefault="00BA3CDE" w:rsidP="005C30A4">
      <w:pPr>
        <w:pStyle w:val="NoSpacing"/>
        <w:rPr>
          <w:rFonts w:ascii="Arial Black" w:hAnsi="Arial Black"/>
          <w:sz w:val="24"/>
          <w:szCs w:val="24"/>
        </w:rPr>
      </w:pPr>
    </w:p>
    <w:p w14:paraId="5D87CB18" w14:textId="77777777" w:rsidR="00BA3CDE" w:rsidRDefault="00BA3CDE" w:rsidP="005C30A4">
      <w:pPr>
        <w:pStyle w:val="NoSpacing"/>
        <w:rPr>
          <w:rFonts w:ascii="Arial Black" w:hAnsi="Arial Black"/>
          <w:sz w:val="24"/>
          <w:szCs w:val="24"/>
        </w:rPr>
      </w:pPr>
    </w:p>
    <w:p w14:paraId="0A1443A1" w14:textId="77777777" w:rsidR="00BA3CDE" w:rsidRDefault="00BA3CDE" w:rsidP="005C30A4">
      <w:pPr>
        <w:pStyle w:val="NoSpacing"/>
        <w:rPr>
          <w:rFonts w:ascii="Arial Black" w:hAnsi="Arial Black"/>
          <w:sz w:val="24"/>
          <w:szCs w:val="24"/>
        </w:rPr>
      </w:pPr>
    </w:p>
    <w:p w14:paraId="577E6223" w14:textId="3D87494F" w:rsidR="00804F3A" w:rsidRDefault="00804F3A" w:rsidP="005C30A4">
      <w:pPr>
        <w:pStyle w:val="NoSpacing"/>
        <w:rPr>
          <w:rFonts w:ascii="Arial Black" w:hAnsi="Arial Black"/>
          <w:sz w:val="24"/>
          <w:szCs w:val="24"/>
        </w:rPr>
      </w:pPr>
      <w:r>
        <w:rPr>
          <w:rFonts w:ascii="Arial Black" w:hAnsi="Arial Black"/>
          <w:sz w:val="24"/>
          <w:szCs w:val="24"/>
        </w:rPr>
        <w:t>9-24</w:t>
      </w:r>
    </w:p>
    <w:p w14:paraId="34E4E2F3" w14:textId="228AEE95" w:rsidR="00804F3A" w:rsidRDefault="00804F3A" w:rsidP="00804F3A">
      <w:pPr>
        <w:pStyle w:val="NormalWeb"/>
      </w:pPr>
      <w:r>
        <w:rPr>
          <w:rFonts w:ascii="Arial Black" w:hAnsi="Arial Black"/>
          <w:sz w:val="28"/>
          <w:szCs w:val="28"/>
        </w:rPr>
        <w:t xml:space="preserve">NY: DISABLED FF - CAN TERMINATE AFTER 1-YR ON MEDICAL LEAVE – BUT CITY MUST NEGOTIATE WITH UNION REVISED CBA </w:t>
      </w:r>
    </w:p>
    <w:p w14:paraId="4BE354E6" w14:textId="77777777" w:rsidR="00804F3A" w:rsidRDefault="00804F3A" w:rsidP="00804F3A">
      <w:pPr>
        <w:pStyle w:val="NormalWeb"/>
      </w:pPr>
      <w:r>
        <w:t xml:space="preserve">On Oct. 25, 2022, </w:t>
      </w:r>
      <w:r w:rsidRPr="00D91376">
        <w:rPr>
          <w:u w:val="single"/>
        </w:rPr>
        <w:t>In the Matter of City of Long Beach v. New York State Public Relations Board; Long Beach Firefighters Association, IAFF, Local 287</w:t>
      </w:r>
      <w:r>
        <w:t xml:space="preserve">, </w:t>
      </w:r>
      <w:r w:rsidRPr="00D91376">
        <w:t>2022 NY Slip Op 0593</w:t>
      </w:r>
      <w:r>
        <w:t xml:space="preserve">, the New York Court of Appeals held (6 to 0) that the City must collectively bargain the procedures for terminating disabled firefighters who have been on leave for one year.  Firefighters may be terminated after one year under the “Taylor Law” [enacted in 1967 following costly transit strikes in 1966], but the termination procedures and rights to reinstatement if no longer disabled must be collectively bargained in the Collective Bargaining Agreement.  </w:t>
      </w:r>
    </w:p>
    <w:p w14:paraId="64EEB6BA" w14:textId="6B3CE67A" w:rsidR="00804F3A" w:rsidRDefault="00804F3A" w:rsidP="00804F3A">
      <w:pPr>
        <w:pStyle w:val="NoSpacing"/>
        <w:rPr>
          <w:rFonts w:ascii="Arial Black" w:hAnsi="Arial Black"/>
          <w:sz w:val="24"/>
          <w:szCs w:val="24"/>
        </w:rPr>
      </w:pPr>
      <w:r>
        <w:rPr>
          <w:rFonts w:eastAsiaTheme="minorHAnsi"/>
        </w:rPr>
        <w:t>“</w:t>
      </w:r>
      <w:r w:rsidRPr="00C02FC1">
        <w:rPr>
          <w:rFonts w:eastAsiaTheme="minorHAnsi"/>
        </w:rPr>
        <w:t xml:space="preserve">We disagree with the </w:t>
      </w:r>
      <w:proofErr w:type="gramStart"/>
      <w:r w:rsidRPr="00C02FC1">
        <w:rPr>
          <w:rFonts w:eastAsiaTheme="minorHAnsi"/>
        </w:rPr>
        <w:t>City</w:t>
      </w:r>
      <w:proofErr w:type="gramEnd"/>
      <w:r w:rsidRPr="00C02FC1">
        <w:rPr>
          <w:rFonts w:eastAsiaTheme="minorHAnsi"/>
        </w:rPr>
        <w:t xml:space="preserve"> that requiring municipalities to negotiate those pretermination procedures frustrates the legislative intent of allowing employers to maintain efficiency by quickly filling vacancies on a permanent basis after a year. In the future, the City and the Union will only need to negotiate pretermination procedures as part of any new collective bargaining agreement, not every time the City seeks to terminate an employee.</w:t>
      </w:r>
      <w:r>
        <w:rPr>
          <w:rFonts w:eastAsiaTheme="minorHAnsi"/>
        </w:rPr>
        <w:t xml:space="preserve">” </w:t>
      </w:r>
      <w:hyperlink r:id="rId1668" w:history="1">
        <w:r w:rsidRPr="007662E8">
          <w:rPr>
            <w:rStyle w:val="Hyperlink"/>
            <w:rFonts w:eastAsiaTheme="majorEastAsia"/>
          </w:rPr>
          <w:t>https://public.fastcase.com/J%2FJP6pdidelsXxEE4k%2BLMidRzLaU3lxo2K4zeZ9a%2B%2Fta152zlny6vY4eG3S7CjdliNR92Qo6%2FTtAP%2FPl4klE6l7lrfhMF2W%2BjlSvdCQeS50%3D?utm_medium=email&amp;_hsmi=226712652&amp;_hsenc=p2ANqtz-_s5_cAHUvs_hrwWV9wgyTdwJuYKaiZto7jMWtL6vDykRwEZ1Wuy9IDC9088xTRtPn7fskJqvzz7SBtC6Rp8cJAGJmTVA&amp;utm_content=226712652&amp;utm_source=hs_email</w:t>
        </w:r>
      </w:hyperlink>
    </w:p>
    <w:p w14:paraId="3F807BC2" w14:textId="77777777" w:rsidR="00804F3A" w:rsidRDefault="00804F3A" w:rsidP="005C30A4">
      <w:pPr>
        <w:pStyle w:val="NoSpacing"/>
        <w:rPr>
          <w:rFonts w:ascii="Arial Black" w:hAnsi="Arial Black"/>
          <w:sz w:val="24"/>
          <w:szCs w:val="24"/>
        </w:rPr>
      </w:pPr>
    </w:p>
    <w:p w14:paraId="68551090" w14:textId="77777777" w:rsidR="00804F3A" w:rsidRPr="0070600A" w:rsidRDefault="00804F3A" w:rsidP="00804F3A">
      <w:pPr>
        <w:pStyle w:val="NormalWeb"/>
        <w:rPr>
          <w:b/>
          <w:bCs/>
        </w:rPr>
      </w:pPr>
      <w:r w:rsidRPr="0070600A">
        <w:rPr>
          <w:rFonts w:eastAsiaTheme="minorHAnsi"/>
          <w:b/>
          <w:bCs/>
        </w:rPr>
        <w:t>Legal Lesson Learned:</w:t>
      </w:r>
      <w:r>
        <w:rPr>
          <w:rFonts w:eastAsiaTheme="minorHAnsi"/>
          <w:b/>
          <w:bCs/>
        </w:rPr>
        <w:t xml:space="preserve"> The City and the IAFF Local must now collectively bargain the procedures for termination </w:t>
      </w:r>
      <w:proofErr w:type="gramStart"/>
      <w:r>
        <w:rPr>
          <w:rFonts w:eastAsiaTheme="minorHAnsi"/>
          <w:b/>
          <w:bCs/>
        </w:rPr>
        <w:t>and also</w:t>
      </w:r>
      <w:proofErr w:type="gramEnd"/>
      <w:r>
        <w:rPr>
          <w:rFonts w:eastAsiaTheme="minorHAnsi"/>
          <w:b/>
          <w:bCs/>
        </w:rPr>
        <w:t xml:space="preserve"> possible reinstatement of disabled firefighters. </w:t>
      </w:r>
    </w:p>
    <w:p w14:paraId="2CA6D423" w14:textId="698AB358" w:rsidR="00804F3A" w:rsidRDefault="00804F3A" w:rsidP="005C30A4">
      <w:pPr>
        <w:pStyle w:val="NoSpacing"/>
        <w:rPr>
          <w:rFonts w:ascii="Arial Black" w:hAnsi="Arial Black"/>
          <w:sz w:val="24"/>
          <w:szCs w:val="24"/>
        </w:rPr>
      </w:pPr>
    </w:p>
    <w:p w14:paraId="090F141C" w14:textId="2283212F" w:rsidR="00804F3A" w:rsidRDefault="00804F3A" w:rsidP="005C30A4">
      <w:pPr>
        <w:pStyle w:val="NoSpacing"/>
        <w:rPr>
          <w:rFonts w:ascii="Arial Black" w:hAnsi="Arial Black"/>
          <w:sz w:val="24"/>
          <w:szCs w:val="24"/>
        </w:rPr>
      </w:pPr>
    </w:p>
    <w:p w14:paraId="1B9CC598" w14:textId="77777777" w:rsidR="00804F3A" w:rsidRDefault="00804F3A" w:rsidP="005C30A4">
      <w:pPr>
        <w:pStyle w:val="NoSpacing"/>
        <w:rPr>
          <w:rFonts w:ascii="Arial Black" w:hAnsi="Arial Black"/>
          <w:sz w:val="24"/>
          <w:szCs w:val="24"/>
        </w:rPr>
      </w:pPr>
    </w:p>
    <w:p w14:paraId="78AF3E0C" w14:textId="3F189206" w:rsidR="008B64DA" w:rsidRDefault="008B64DA" w:rsidP="005C30A4">
      <w:pPr>
        <w:pStyle w:val="NoSpacing"/>
        <w:rPr>
          <w:rFonts w:ascii="Arial Black" w:hAnsi="Arial Black"/>
          <w:sz w:val="24"/>
          <w:szCs w:val="24"/>
        </w:rPr>
      </w:pPr>
      <w:r>
        <w:rPr>
          <w:rFonts w:ascii="Arial Black" w:hAnsi="Arial Black"/>
          <w:sz w:val="24"/>
          <w:szCs w:val="24"/>
        </w:rPr>
        <w:t>9-23</w:t>
      </w:r>
    </w:p>
    <w:p w14:paraId="0820D701" w14:textId="77777777" w:rsidR="00F04A7D" w:rsidRPr="00481FCA" w:rsidRDefault="00F04A7D" w:rsidP="00F04A7D">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CA: REASONABLE ACCOMODATION - STESS RELIEF - MALE FF TRANSFERRED – DIVIDERS IN SLEEPING QUARTERS  </w:t>
      </w:r>
    </w:p>
    <w:p w14:paraId="7A82C5E3" w14:textId="2923708D" w:rsidR="008B64DA" w:rsidRDefault="008B64DA" w:rsidP="008B64D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 19, 2022, in </w:t>
      </w:r>
      <w:r w:rsidRPr="003E4F49">
        <w:rPr>
          <w:rFonts w:ascii="Times New Roman" w:eastAsia="Times New Roman" w:hAnsi="Times New Roman"/>
          <w:sz w:val="24"/>
          <w:szCs w:val="24"/>
          <w:u w:val="single"/>
        </w:rPr>
        <w:t>Felipe Marcial v. County of Los Angeles</w:t>
      </w:r>
      <w:r>
        <w:rPr>
          <w:rFonts w:ascii="Times New Roman" w:eastAsia="Times New Roman" w:hAnsi="Times New Roman"/>
          <w:sz w:val="24"/>
          <w:szCs w:val="24"/>
        </w:rPr>
        <w:t>, the California Court of Appeals, Second District (Fourth Division) held (3 to 0) that trial court properly granted summary judgment for the City.  “</w:t>
      </w:r>
      <w:r w:rsidRPr="00481FCA">
        <w:rPr>
          <w:rFonts w:ascii="Times New Roman" w:eastAsia="Times New Roman" w:hAnsi="Times New Roman"/>
          <w:sz w:val="24"/>
          <w:szCs w:val="24"/>
        </w:rPr>
        <w:t>Thus, upon his return to work in 2018</w:t>
      </w:r>
      <w:r>
        <w:rPr>
          <w:rFonts w:ascii="Times New Roman" w:eastAsia="Times New Roman" w:hAnsi="Times New Roman"/>
          <w:sz w:val="24"/>
          <w:szCs w:val="24"/>
        </w:rPr>
        <w:t xml:space="preserve"> [after shoulder injury]</w:t>
      </w:r>
      <w:r w:rsidRPr="00481FCA">
        <w:rPr>
          <w:rFonts w:ascii="Times New Roman" w:eastAsia="Times New Roman" w:hAnsi="Times New Roman"/>
          <w:sz w:val="24"/>
          <w:szCs w:val="24"/>
        </w:rPr>
        <w:t xml:space="preserve">, Marcial requested a transfer to a non-USAR station (specifically, FS 80). LACOFD granted Marcial's request. Marcial admits he received </w:t>
      </w:r>
      <w:proofErr w:type="gramStart"/>
      <w:r w:rsidRPr="00481FCA">
        <w:rPr>
          <w:rFonts w:ascii="Times New Roman" w:eastAsia="Times New Roman" w:hAnsi="Times New Roman"/>
          <w:sz w:val="24"/>
          <w:szCs w:val="24"/>
        </w:rPr>
        <w:t>a reasonable</w:t>
      </w:r>
      <w:proofErr w:type="gramEnd"/>
      <w:r w:rsidRPr="00481FCA">
        <w:rPr>
          <w:rFonts w:ascii="Times New Roman" w:eastAsia="Times New Roman" w:hAnsi="Times New Roman"/>
          <w:sz w:val="24"/>
          <w:szCs w:val="24"/>
        </w:rPr>
        <w:t xml:space="preserve"> </w:t>
      </w:r>
      <w:proofErr w:type="gramStart"/>
      <w:r w:rsidRPr="00481FCA">
        <w:rPr>
          <w:rFonts w:ascii="Times New Roman" w:eastAsia="Times New Roman" w:hAnsi="Times New Roman"/>
          <w:sz w:val="24"/>
          <w:szCs w:val="24"/>
        </w:rPr>
        <w:t xml:space="preserve">accommodation: </w:t>
      </w:r>
      <w:r>
        <w:rPr>
          <w:rFonts w:ascii="Times New Roman" w:eastAsia="Times New Roman" w:hAnsi="Times New Roman"/>
          <w:sz w:val="24"/>
          <w:szCs w:val="24"/>
        </w:rPr>
        <w:t>‘</w:t>
      </w:r>
      <w:proofErr w:type="gramEnd"/>
      <w:r w:rsidRPr="00481FCA">
        <w:rPr>
          <w:rFonts w:ascii="Times New Roman" w:eastAsia="Times New Roman" w:hAnsi="Times New Roman"/>
          <w:sz w:val="24"/>
          <w:szCs w:val="24"/>
        </w:rPr>
        <w:t xml:space="preserve">FS 80 put up dividers in the sleeping quarters even without me requesting them. Unlike all the years previously, FS 80 took my situation seriously and finally made efforts to accommodate me. While there are </w:t>
      </w:r>
      <w:proofErr w:type="gramStart"/>
      <w:r w:rsidRPr="00481FCA">
        <w:rPr>
          <w:rFonts w:ascii="Times New Roman" w:eastAsia="Times New Roman" w:hAnsi="Times New Roman"/>
          <w:sz w:val="24"/>
          <w:szCs w:val="24"/>
        </w:rPr>
        <w:t>not</w:t>
      </w:r>
      <w:proofErr w:type="gramEnd"/>
      <w:r w:rsidRPr="00481FCA">
        <w:rPr>
          <w:rFonts w:ascii="Times New Roman" w:eastAsia="Times New Roman" w:hAnsi="Times New Roman"/>
          <w:sz w:val="24"/>
          <w:szCs w:val="24"/>
        </w:rPr>
        <w:t xml:space="preserve"> separate showers, unlike FS 103, there is a wall with a door and lockable area so that the shower can be locked and prevent anyone from seeing in. With accommodation I was able to perform my job duties.</w:t>
      </w:r>
      <w:r>
        <w:rPr>
          <w:rFonts w:ascii="Times New Roman" w:eastAsia="Times New Roman" w:hAnsi="Times New Roman"/>
          <w:sz w:val="24"/>
          <w:szCs w:val="24"/>
        </w:rPr>
        <w:t>’</w:t>
      </w:r>
      <w:r w:rsidRPr="00481FCA">
        <w:rPr>
          <w:rFonts w:ascii="Times New Roman" w:eastAsia="Times New Roman" w:hAnsi="Times New Roman"/>
          <w:sz w:val="24"/>
          <w:szCs w:val="24"/>
        </w:rPr>
        <w:t> On this record, we conclude Marcial not only received a reasonable accommodation, but the exact accommodation he sought (i.e., a transfer to FS 80 and privacy in the living quarters).</w:t>
      </w:r>
      <w:r>
        <w:rPr>
          <w:rFonts w:ascii="Times New Roman" w:eastAsia="Times New Roman" w:hAnsi="Times New Roman"/>
          <w:sz w:val="24"/>
          <w:szCs w:val="24"/>
        </w:rPr>
        <w:t xml:space="preserve">” </w:t>
      </w:r>
      <w:hyperlink r:id="rId1669" w:history="1">
        <w:r w:rsidRPr="00696C47">
          <w:rPr>
            <w:rStyle w:val="Hyperlink"/>
            <w:rFonts w:ascii="Times New Roman" w:eastAsia="Times New Roman" w:hAnsi="Times New Roman"/>
          </w:rPr>
          <w:t>https://public.fastcase.com/J%2FJP6pdidelsXxEE4k%2BLMiM7pwWb%2BJBiIrsmHTSQKCgTGoUCuPbfbRmZbIscWTRrl1YTX4iVhFAcHudcdl9kVeXDJy0GqMwEdaMu5Mx11Z8%3D</w:t>
        </w:r>
      </w:hyperlink>
      <w:r>
        <w:rPr>
          <w:rFonts w:ascii="Times New Roman" w:eastAsia="Times New Roman" w:hAnsi="Times New Roman"/>
          <w:sz w:val="24"/>
          <w:szCs w:val="24"/>
        </w:rPr>
        <w:t xml:space="preserve"> </w:t>
      </w:r>
    </w:p>
    <w:p w14:paraId="781391C0" w14:textId="77777777" w:rsidR="00F04A7D" w:rsidRPr="00424C1F" w:rsidRDefault="00F04A7D" w:rsidP="00F04A7D">
      <w:pPr>
        <w:spacing w:before="100" w:beforeAutospacing="1" w:after="100" w:afterAutospacing="1" w:line="240" w:lineRule="auto"/>
        <w:rPr>
          <w:rFonts w:ascii="Times New Roman" w:eastAsia="Times New Roman" w:hAnsi="Times New Roman"/>
          <w:b/>
          <w:bCs/>
          <w:sz w:val="24"/>
          <w:szCs w:val="24"/>
        </w:rPr>
      </w:pPr>
      <w:r w:rsidRPr="00424C1F">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The FD reasonably accommodated his transfer requests. </w:t>
      </w:r>
    </w:p>
    <w:p w14:paraId="367AA70A" w14:textId="77777777" w:rsidR="008B64DA" w:rsidRDefault="008B64DA" w:rsidP="005C30A4">
      <w:pPr>
        <w:pStyle w:val="NoSpacing"/>
        <w:rPr>
          <w:rFonts w:ascii="Arial Black" w:hAnsi="Arial Black"/>
          <w:sz w:val="24"/>
          <w:szCs w:val="24"/>
        </w:rPr>
      </w:pPr>
    </w:p>
    <w:p w14:paraId="035C7057" w14:textId="77777777" w:rsidR="008B64DA" w:rsidRDefault="008B64DA" w:rsidP="005C30A4">
      <w:pPr>
        <w:pStyle w:val="NoSpacing"/>
        <w:rPr>
          <w:rFonts w:ascii="Arial Black" w:hAnsi="Arial Black"/>
          <w:sz w:val="24"/>
          <w:szCs w:val="24"/>
        </w:rPr>
      </w:pPr>
    </w:p>
    <w:p w14:paraId="38510994" w14:textId="77777777" w:rsidR="008B64DA" w:rsidRDefault="008B64DA" w:rsidP="005C30A4">
      <w:pPr>
        <w:pStyle w:val="NoSpacing"/>
        <w:rPr>
          <w:rFonts w:ascii="Arial Black" w:hAnsi="Arial Black"/>
          <w:sz w:val="24"/>
          <w:szCs w:val="24"/>
        </w:rPr>
      </w:pPr>
    </w:p>
    <w:p w14:paraId="714C0467" w14:textId="0C4E70FB" w:rsidR="005644A4" w:rsidRDefault="005644A4" w:rsidP="005C30A4">
      <w:pPr>
        <w:pStyle w:val="NoSpacing"/>
        <w:rPr>
          <w:rFonts w:ascii="Arial Black" w:hAnsi="Arial Black"/>
          <w:sz w:val="24"/>
          <w:szCs w:val="24"/>
        </w:rPr>
      </w:pPr>
      <w:r>
        <w:rPr>
          <w:rFonts w:ascii="Arial Black" w:hAnsi="Arial Black"/>
          <w:sz w:val="24"/>
          <w:szCs w:val="24"/>
        </w:rPr>
        <w:t>9-22</w:t>
      </w:r>
    </w:p>
    <w:p w14:paraId="4991C1B8" w14:textId="238C853D" w:rsidR="005644A4" w:rsidRDefault="005644A4" w:rsidP="005C30A4">
      <w:pPr>
        <w:pStyle w:val="NoSpacing"/>
        <w:rPr>
          <w:rFonts w:ascii="Arial Black" w:hAnsi="Arial Black"/>
          <w:sz w:val="24"/>
          <w:szCs w:val="24"/>
        </w:rPr>
      </w:pPr>
    </w:p>
    <w:p w14:paraId="13024133" w14:textId="77777777" w:rsidR="005644A4" w:rsidRDefault="005644A4" w:rsidP="005644A4">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MD: DEAF APPLICANT TO VOLUNTEER FD – REJECTED - WAS VOLUNTEER IN PA – LAWSUIT PROCEED DISCOVERY</w:t>
      </w:r>
    </w:p>
    <w:p w14:paraId="588BFF0B" w14:textId="77777777" w:rsidR="005644A4" w:rsidRDefault="005644A4" w:rsidP="005644A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9, 2021, in </w:t>
      </w:r>
      <w:r w:rsidRPr="00D6728D">
        <w:rPr>
          <w:rFonts w:ascii="Times New Roman" w:eastAsia="Times New Roman" w:hAnsi="Times New Roman"/>
          <w:sz w:val="24"/>
          <w:szCs w:val="24"/>
          <w:u w:val="single"/>
        </w:rPr>
        <w:t>Charles Hine v. Prince George’s County, Maryland and Morningside Volunteer Fire Department, Inc</w:t>
      </w:r>
      <w:r>
        <w:rPr>
          <w:rFonts w:ascii="Times New Roman" w:eastAsia="Times New Roman" w:hAnsi="Times New Roman"/>
          <w:sz w:val="24"/>
          <w:szCs w:val="24"/>
        </w:rPr>
        <w:t xml:space="preserve">., U.S. District Court Judge Theodore D. Chuang, U.S. District Court for District of Maryland, denied the County’s motion to dismiss.  Pre-trial discovery will gather facts on (1) does the County have sufficient control over the volunteer FD to be considered a joint-employer, and (2) does the volunteer FD provide sufficient compensation or other benefits to be considered an employer under federal ADA and Title VII employment discrimination laws. </w:t>
      </w:r>
    </w:p>
    <w:p w14:paraId="0DC427B5" w14:textId="77777777" w:rsidR="005644A4" w:rsidRPr="000F1227" w:rsidRDefault="005644A4" w:rsidP="005644A4">
      <w:pPr>
        <w:spacing w:before="100" w:beforeAutospacing="1" w:after="100" w:afterAutospacing="1" w:line="240" w:lineRule="auto"/>
        <w:ind w:left="720"/>
        <w:rPr>
          <w:rFonts w:ascii="Times New Roman" w:hAnsi="Times New Roman"/>
          <w:sz w:val="24"/>
          <w:szCs w:val="24"/>
        </w:rPr>
      </w:pPr>
      <w:r w:rsidRPr="000F1227">
        <w:rPr>
          <w:rFonts w:ascii="Times New Roman" w:hAnsi="Times New Roman"/>
          <w:sz w:val="24"/>
          <w:szCs w:val="24"/>
        </w:rPr>
        <w:t>“Determining whether an entity exercises sufficient control to qualify as an employer is ‘a highly fact-specific’ endeavor. Id. at 410, In his Rule 56(d) affidavit, Hine notes that the denial letter he received ‘was sent by the Prince George's County Office of Law on behalf of the Prince George's County Fire &amp; EMS Department,’ not by the MVFD</w:t>
      </w:r>
      <w:r>
        <w:rPr>
          <w:rFonts w:ascii="Times New Roman" w:hAnsi="Times New Roman"/>
          <w:sz w:val="24"/>
          <w:szCs w:val="24"/>
        </w:rPr>
        <w:t xml:space="preserve">…. </w:t>
      </w:r>
      <w:r w:rsidRPr="000F1227">
        <w:rPr>
          <w:rFonts w:ascii="Times New Roman" w:hAnsi="Times New Roman"/>
          <w:sz w:val="24"/>
          <w:szCs w:val="24"/>
        </w:rPr>
        <w:t xml:space="preserve"> This assertion supports Hine's contention that there is a factual dispute over whether the County was an employer for purposes of the denial of Hine's application that should not be resolved without discovery. *** Hine has pleaded in the Amended Complaint that he would have been an employee based on the </w:t>
      </w:r>
      <w:r>
        <w:rPr>
          <w:rFonts w:ascii="Times New Roman" w:hAnsi="Times New Roman"/>
          <w:sz w:val="24"/>
          <w:szCs w:val="24"/>
        </w:rPr>
        <w:t>‘</w:t>
      </w:r>
      <w:r w:rsidRPr="000F1227">
        <w:rPr>
          <w:rFonts w:ascii="Times New Roman" w:hAnsi="Times New Roman"/>
          <w:sz w:val="24"/>
          <w:szCs w:val="24"/>
        </w:rPr>
        <w:t xml:space="preserve">significant </w:t>
      </w:r>
      <w:proofErr w:type="gramStart"/>
      <w:r w:rsidRPr="000F1227">
        <w:rPr>
          <w:rFonts w:ascii="Times New Roman" w:hAnsi="Times New Roman"/>
          <w:sz w:val="24"/>
          <w:szCs w:val="24"/>
        </w:rPr>
        <w:t>benefits</w:t>
      </w:r>
      <w:r>
        <w:rPr>
          <w:rFonts w:ascii="Times New Roman" w:hAnsi="Times New Roman"/>
          <w:sz w:val="24"/>
          <w:szCs w:val="24"/>
        </w:rPr>
        <w:t>’</w:t>
      </w:r>
      <w:proofErr w:type="gramEnd"/>
      <w:r w:rsidRPr="000F1227">
        <w:rPr>
          <w:rFonts w:ascii="Times New Roman" w:hAnsi="Times New Roman"/>
          <w:sz w:val="24"/>
          <w:szCs w:val="24"/>
        </w:rPr>
        <w:t xml:space="preserve"> he would have received as a volunteer firefighter, including disability and survivor benefits, insurance benefits, tuition reimbursement. tax exemptions, and other benefits.</w:t>
      </w:r>
      <w:r>
        <w:rPr>
          <w:rFonts w:ascii="Times New Roman" w:hAnsi="Times New Roman"/>
          <w:sz w:val="24"/>
          <w:szCs w:val="24"/>
        </w:rPr>
        <w:t xml:space="preserve">” </w:t>
      </w:r>
      <w:hyperlink r:id="rId1670" w:history="1">
        <w:r w:rsidRPr="00EC5853">
          <w:rPr>
            <w:rStyle w:val="Hyperlink"/>
            <w:rFonts w:ascii="Times New Roman" w:hAnsi="Times New Roman"/>
            <w:sz w:val="24"/>
            <w:szCs w:val="24"/>
          </w:rPr>
          <w:t>https://www.leagle.com/decision/infdco20211215796</w:t>
        </w:r>
      </w:hyperlink>
      <w:r>
        <w:rPr>
          <w:rFonts w:ascii="Times New Roman" w:hAnsi="Times New Roman"/>
          <w:sz w:val="24"/>
          <w:szCs w:val="24"/>
        </w:rPr>
        <w:t xml:space="preserve"> </w:t>
      </w:r>
    </w:p>
    <w:p w14:paraId="60E02BEE" w14:textId="77777777" w:rsidR="005644A4" w:rsidRDefault="005644A4" w:rsidP="005C30A4">
      <w:pPr>
        <w:pStyle w:val="NoSpacing"/>
        <w:rPr>
          <w:rFonts w:ascii="Arial Black" w:hAnsi="Arial Black"/>
          <w:sz w:val="24"/>
          <w:szCs w:val="24"/>
        </w:rPr>
      </w:pPr>
    </w:p>
    <w:p w14:paraId="37F2F1FF" w14:textId="77777777" w:rsidR="005644A4" w:rsidRDefault="005644A4" w:rsidP="005C30A4">
      <w:pPr>
        <w:pStyle w:val="NoSpacing"/>
        <w:rPr>
          <w:rFonts w:ascii="Arial Black" w:hAnsi="Arial Black"/>
          <w:sz w:val="24"/>
          <w:szCs w:val="24"/>
        </w:rPr>
      </w:pPr>
    </w:p>
    <w:p w14:paraId="268A7674" w14:textId="0C51C4AE" w:rsidR="00C67B2A" w:rsidRDefault="00C67B2A" w:rsidP="005C30A4">
      <w:pPr>
        <w:pStyle w:val="NoSpacing"/>
        <w:rPr>
          <w:rFonts w:ascii="Arial Black" w:hAnsi="Arial Black"/>
          <w:sz w:val="24"/>
          <w:szCs w:val="24"/>
        </w:rPr>
      </w:pPr>
      <w:r>
        <w:rPr>
          <w:rFonts w:ascii="Arial Black" w:hAnsi="Arial Black"/>
          <w:sz w:val="24"/>
          <w:szCs w:val="24"/>
        </w:rPr>
        <w:t>9-21</w:t>
      </w:r>
    </w:p>
    <w:p w14:paraId="145FE018" w14:textId="77777777" w:rsidR="00C67B2A" w:rsidRDefault="00C67B2A" w:rsidP="00C67B2A">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TN: SERVICE DOG – FORMER EMT WITH “PTSD” – NOW AT&amp;T, WANTS DOG RIDE WITH HIM - CASE TO PROCEED</w:t>
      </w:r>
    </w:p>
    <w:p w14:paraId="3D24C3DF" w14:textId="77777777" w:rsidR="00C67B2A" w:rsidRDefault="00C67B2A" w:rsidP="00C67B2A">
      <w:pPr>
        <w:spacing w:before="100" w:beforeAutospacing="1" w:after="100" w:afterAutospacing="1" w:line="240" w:lineRule="auto"/>
        <w:rPr>
          <w:rFonts w:ascii="Times New Roman" w:eastAsia="Times New Roman" w:hAnsi="Times New Roman"/>
          <w:sz w:val="24"/>
          <w:szCs w:val="24"/>
        </w:rPr>
      </w:pPr>
      <w:r w:rsidRPr="00792E67">
        <w:rPr>
          <w:rFonts w:ascii="Times New Roman" w:eastAsia="Times New Roman" w:hAnsi="Times New Roman"/>
          <w:sz w:val="24"/>
          <w:szCs w:val="24"/>
        </w:rPr>
        <w:t xml:space="preserve">On </w:t>
      </w:r>
      <w:r>
        <w:rPr>
          <w:rFonts w:ascii="Times New Roman" w:eastAsia="Times New Roman" w:hAnsi="Times New Roman"/>
          <w:sz w:val="24"/>
          <w:szCs w:val="24"/>
        </w:rPr>
        <w:t xml:space="preserve">Oct. 22, 2021, in </w:t>
      </w:r>
      <w:r w:rsidRPr="00792E67">
        <w:rPr>
          <w:rFonts w:ascii="Times New Roman" w:eastAsia="Times New Roman" w:hAnsi="Times New Roman"/>
          <w:sz w:val="24"/>
          <w:szCs w:val="24"/>
          <w:u w:val="single"/>
        </w:rPr>
        <w:t>Wayne Schroeder v. AT&amp;T Mobility Services, LLC</w:t>
      </w:r>
      <w:r>
        <w:rPr>
          <w:rFonts w:ascii="Times New Roman" w:eastAsia="Times New Roman" w:hAnsi="Times New Roman"/>
          <w:sz w:val="24"/>
          <w:szCs w:val="24"/>
        </w:rPr>
        <w:t xml:space="preserve">, U.S. District Court Chief Judge Waverly D. Crenshaw, Jr., U.S. District Court for Middle District of Tennessee (Nashville Division) held that neither the plaintiff, nor AT&amp;T are entitled to Summary Judgment.  Pre-trial discovery will therefore continue, and if not settled the case will go to trial. </w:t>
      </w:r>
    </w:p>
    <w:p w14:paraId="467B22F8" w14:textId="77777777" w:rsidR="00C67B2A" w:rsidRDefault="00C67B2A" w:rsidP="00C67B2A">
      <w:pPr>
        <w:spacing w:before="100" w:beforeAutospacing="1" w:after="100" w:afterAutospacing="1" w:line="240" w:lineRule="auto"/>
        <w:ind w:left="720"/>
        <w:rPr>
          <w:rFonts w:ascii="Times New Roman" w:hAnsi="Times New Roman"/>
          <w:sz w:val="24"/>
          <w:szCs w:val="24"/>
        </w:rPr>
      </w:pPr>
      <w:r w:rsidRPr="003A2F72">
        <w:rPr>
          <w:rFonts w:ascii="Times New Roman" w:hAnsi="Times New Roman"/>
          <w:sz w:val="24"/>
          <w:szCs w:val="24"/>
        </w:rPr>
        <w:t> Mr. Schroeder has a German shepherd named Dakota</w:t>
      </w:r>
      <w:r>
        <w:rPr>
          <w:rFonts w:ascii="Times New Roman" w:hAnsi="Times New Roman"/>
          <w:sz w:val="24"/>
          <w:szCs w:val="24"/>
        </w:rPr>
        <w:t xml:space="preserve">…. </w:t>
      </w:r>
      <w:r w:rsidRPr="003A2F72">
        <w:rPr>
          <w:rFonts w:ascii="Times New Roman" w:hAnsi="Times New Roman"/>
          <w:sz w:val="24"/>
          <w:szCs w:val="24"/>
        </w:rPr>
        <w:t xml:space="preserve">Dakota is a service dog who </w:t>
      </w:r>
      <w:r>
        <w:rPr>
          <w:rFonts w:ascii="Times New Roman" w:hAnsi="Times New Roman"/>
          <w:sz w:val="24"/>
          <w:szCs w:val="24"/>
        </w:rPr>
        <w:t>‘</w:t>
      </w:r>
      <w:r w:rsidRPr="003A2F72">
        <w:rPr>
          <w:rFonts w:ascii="Times New Roman" w:hAnsi="Times New Roman"/>
          <w:sz w:val="24"/>
          <w:szCs w:val="24"/>
        </w:rPr>
        <w:t>can sense when Mr. Schroeder is entering a depressive state or suffering from an anxiety attack and will notify Mr. Schroeder of his change in condition</w:t>
      </w:r>
      <w:r>
        <w:rPr>
          <w:rFonts w:ascii="Times New Roman" w:hAnsi="Times New Roman"/>
          <w:sz w:val="24"/>
          <w:szCs w:val="24"/>
        </w:rPr>
        <w:t>….</w:t>
      </w:r>
      <w:r w:rsidRPr="003A2F72">
        <w:rPr>
          <w:rFonts w:ascii="Times New Roman" w:hAnsi="Times New Roman"/>
          <w:sz w:val="24"/>
          <w:szCs w:val="24"/>
        </w:rPr>
        <w:t xml:space="preserve">” Without Dakota's help, Mr. Schroeder is </w:t>
      </w:r>
      <w:r>
        <w:rPr>
          <w:rFonts w:ascii="Times New Roman" w:hAnsi="Times New Roman"/>
          <w:sz w:val="24"/>
          <w:szCs w:val="24"/>
        </w:rPr>
        <w:t>‘</w:t>
      </w:r>
      <w:r w:rsidRPr="003A2F72">
        <w:rPr>
          <w:rFonts w:ascii="Times New Roman" w:hAnsi="Times New Roman"/>
          <w:sz w:val="24"/>
          <w:szCs w:val="24"/>
        </w:rPr>
        <w:t>more apt to keep going and try to work his way through a depressive episode or anxiety attack,</w:t>
      </w:r>
      <w:r>
        <w:rPr>
          <w:rFonts w:ascii="Times New Roman" w:hAnsi="Times New Roman"/>
          <w:sz w:val="24"/>
          <w:szCs w:val="24"/>
        </w:rPr>
        <w:t>’</w:t>
      </w:r>
      <w:r w:rsidRPr="003A2F72">
        <w:rPr>
          <w:rFonts w:ascii="Times New Roman" w:hAnsi="Times New Roman"/>
          <w:sz w:val="24"/>
          <w:szCs w:val="24"/>
        </w:rPr>
        <w:t xml:space="preserve"> rather than pausing what he is doing and </w:t>
      </w:r>
      <w:r>
        <w:rPr>
          <w:rFonts w:ascii="Times New Roman" w:hAnsi="Times New Roman"/>
          <w:sz w:val="24"/>
          <w:szCs w:val="24"/>
        </w:rPr>
        <w:t>‘</w:t>
      </w:r>
      <w:r w:rsidRPr="003A2F72">
        <w:rPr>
          <w:rFonts w:ascii="Times New Roman" w:hAnsi="Times New Roman"/>
          <w:sz w:val="24"/>
          <w:szCs w:val="24"/>
        </w:rPr>
        <w:t>refocus[</w:t>
      </w:r>
      <w:proofErr w:type="spellStart"/>
      <w:r w:rsidRPr="003A2F72">
        <w:rPr>
          <w:rFonts w:ascii="Times New Roman" w:hAnsi="Times New Roman"/>
          <w:sz w:val="24"/>
          <w:szCs w:val="24"/>
        </w:rPr>
        <w:t>ing</w:t>
      </w:r>
      <w:proofErr w:type="spellEnd"/>
      <w:r w:rsidRPr="003A2F72">
        <w:rPr>
          <w:rFonts w:ascii="Times New Roman" w:hAnsi="Times New Roman"/>
          <w:sz w:val="24"/>
          <w:szCs w:val="24"/>
        </w:rPr>
        <w:t>]</w:t>
      </w:r>
      <w:r>
        <w:rPr>
          <w:rFonts w:ascii="Times New Roman" w:hAnsi="Times New Roman"/>
          <w:sz w:val="24"/>
          <w:szCs w:val="24"/>
        </w:rPr>
        <w:t>’</w:t>
      </w:r>
      <w:r w:rsidRPr="003A2F72">
        <w:rPr>
          <w:rFonts w:ascii="Times New Roman" w:hAnsi="Times New Roman"/>
          <w:sz w:val="24"/>
          <w:szCs w:val="24"/>
        </w:rPr>
        <w:t xml:space="preserve"> as is necessary</w:t>
      </w:r>
      <w:r>
        <w:rPr>
          <w:rFonts w:ascii="Times New Roman" w:hAnsi="Times New Roman"/>
          <w:sz w:val="24"/>
          <w:szCs w:val="24"/>
        </w:rPr>
        <w:t>….</w:t>
      </w:r>
      <w:r w:rsidRPr="003A2F72">
        <w:rPr>
          <w:rFonts w:ascii="Times New Roman" w:hAnsi="Times New Roman"/>
          <w:sz w:val="24"/>
          <w:szCs w:val="24"/>
        </w:rPr>
        <w:t xml:space="preserve"> Dakota </w:t>
      </w:r>
      <w:r>
        <w:rPr>
          <w:rFonts w:ascii="Times New Roman" w:hAnsi="Times New Roman"/>
          <w:sz w:val="24"/>
          <w:szCs w:val="24"/>
        </w:rPr>
        <w:t>‘</w:t>
      </w:r>
      <w:r w:rsidRPr="003A2F72">
        <w:rPr>
          <w:rFonts w:ascii="Times New Roman" w:hAnsi="Times New Roman"/>
          <w:sz w:val="24"/>
          <w:szCs w:val="24"/>
        </w:rPr>
        <w:t>also acts as a physical barrier when Mr. Schroeder is in a public space, keeping people from crowding or getting too close to him, which can trigger Mr. Schroeder's PTSD and anxiety</w:t>
      </w:r>
      <w:r>
        <w:rPr>
          <w:rFonts w:ascii="Times New Roman" w:hAnsi="Times New Roman"/>
          <w:sz w:val="24"/>
          <w:szCs w:val="24"/>
        </w:rPr>
        <w:t xml:space="preserve">…. ‘ </w:t>
      </w:r>
    </w:p>
    <w:p w14:paraId="7CF95F94" w14:textId="77777777" w:rsidR="00C67B2A" w:rsidRDefault="00C67B2A" w:rsidP="00C67B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5D4A8A8" w14:textId="77777777" w:rsidR="00C67B2A" w:rsidRDefault="00C67B2A" w:rsidP="00C67B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3A2F72">
        <w:rPr>
          <w:rFonts w:ascii="Times New Roman" w:hAnsi="Times New Roman"/>
          <w:sz w:val="24"/>
          <w:szCs w:val="24"/>
        </w:rPr>
        <w:t xml:space="preserve">Mr. Schroeder claims AT&amp;T failed to accommodate his mental health conditions by refusing to alter his job requirements and company vehicle to permit his service dog to work alongside him. AT&amp;T argues the accommodations Mr. Schroeder </w:t>
      </w:r>
      <w:proofErr w:type="gramStart"/>
      <w:r w:rsidRPr="003A2F72">
        <w:rPr>
          <w:rFonts w:ascii="Times New Roman" w:hAnsi="Times New Roman"/>
          <w:sz w:val="24"/>
          <w:szCs w:val="24"/>
        </w:rPr>
        <w:t>proposed</w:t>
      </w:r>
      <w:proofErr w:type="gramEnd"/>
      <w:r w:rsidRPr="003A2F72">
        <w:rPr>
          <w:rFonts w:ascii="Times New Roman" w:hAnsi="Times New Roman"/>
          <w:sz w:val="24"/>
          <w:szCs w:val="24"/>
        </w:rPr>
        <w:t xml:space="preserve"> </w:t>
      </w:r>
      <w:proofErr w:type="gramStart"/>
      <w:r w:rsidRPr="003A2F72">
        <w:rPr>
          <w:rFonts w:ascii="Times New Roman" w:hAnsi="Times New Roman"/>
          <w:sz w:val="24"/>
          <w:szCs w:val="24"/>
        </w:rPr>
        <w:t>were</w:t>
      </w:r>
      <w:proofErr w:type="gramEnd"/>
      <w:r w:rsidRPr="003A2F72">
        <w:rPr>
          <w:rFonts w:ascii="Times New Roman" w:hAnsi="Times New Roman"/>
          <w:sz w:val="24"/>
          <w:szCs w:val="24"/>
        </w:rPr>
        <w:t xml:space="preserve"> unreasonable. Both parties moved for summary judgment</w:t>
      </w:r>
      <w:r>
        <w:rPr>
          <w:rFonts w:ascii="Times New Roman" w:hAnsi="Times New Roman"/>
          <w:sz w:val="24"/>
          <w:szCs w:val="24"/>
        </w:rPr>
        <w:t xml:space="preserve">…. </w:t>
      </w:r>
      <w:r w:rsidRPr="003A2F72">
        <w:rPr>
          <w:rFonts w:ascii="Times New Roman" w:hAnsi="Times New Roman"/>
          <w:sz w:val="24"/>
          <w:szCs w:val="24"/>
        </w:rPr>
        <w:t>The Court will deny each motion because genuine issues of material fact remain regarding the reasonableness of Mr. Schroeder's requested accommodations.</w:t>
      </w:r>
      <w:r>
        <w:rPr>
          <w:rFonts w:ascii="Times New Roman" w:hAnsi="Times New Roman"/>
          <w:sz w:val="24"/>
          <w:szCs w:val="24"/>
        </w:rPr>
        <w:t xml:space="preserve">” </w:t>
      </w:r>
      <w:hyperlink r:id="rId1671" w:history="1">
        <w:r w:rsidRPr="00410682">
          <w:rPr>
            <w:rStyle w:val="Hyperlink"/>
            <w:sz w:val="24"/>
            <w:szCs w:val="24"/>
          </w:rPr>
          <w:t>https://public.fastcase.com/9SKwsfNqTc6OieYDhNMyM6vC7U3N6pFiGGudI%2FRRBa2RM8NFylVCIr30mZgiL1xCGi%2BB4TwUGi23U%2F4WBRTxtqosYxdtzzhHp1yF4K4Z7P8%3D</w:t>
        </w:r>
      </w:hyperlink>
      <w:r>
        <w:rPr>
          <w:rFonts w:ascii="Times New Roman" w:hAnsi="Times New Roman"/>
          <w:sz w:val="24"/>
          <w:szCs w:val="24"/>
        </w:rPr>
        <w:t xml:space="preserve"> </w:t>
      </w:r>
    </w:p>
    <w:p w14:paraId="41F3BB95" w14:textId="77777777" w:rsidR="00C67B2A" w:rsidRDefault="00C67B2A" w:rsidP="00C67B2A">
      <w:pPr>
        <w:tabs>
          <w:tab w:val="left" w:pos="3280"/>
        </w:tabs>
        <w:spacing w:before="100" w:beforeAutospacing="1" w:after="100" w:afterAutospacing="1" w:line="240" w:lineRule="auto"/>
        <w:rPr>
          <w:rFonts w:ascii="Times New Roman" w:hAnsi="Times New Roman"/>
          <w:b/>
          <w:bCs/>
          <w:sz w:val="24"/>
          <w:szCs w:val="24"/>
        </w:rPr>
      </w:pPr>
      <w:r w:rsidRPr="00530A63">
        <w:rPr>
          <w:rFonts w:ascii="Times New Roman" w:hAnsi="Times New Roman"/>
          <w:b/>
          <w:bCs/>
          <w:sz w:val="24"/>
          <w:szCs w:val="24"/>
        </w:rPr>
        <w:t>Legal Lesson Learned:</w:t>
      </w:r>
      <w:r>
        <w:rPr>
          <w:rFonts w:ascii="Times New Roman" w:hAnsi="Times New Roman"/>
          <w:b/>
          <w:bCs/>
          <w:sz w:val="24"/>
          <w:szCs w:val="24"/>
        </w:rPr>
        <w:t xml:space="preserve"> </w:t>
      </w:r>
      <w:r w:rsidRPr="00530A63">
        <w:rPr>
          <w:rFonts w:ascii="Times New Roman" w:hAnsi="Times New Roman"/>
          <w:b/>
          <w:bCs/>
          <w:sz w:val="24"/>
          <w:szCs w:val="24"/>
        </w:rPr>
        <w:t xml:space="preserve">ADA requires employees to identify the precise limitations resulting from </w:t>
      </w:r>
      <w:proofErr w:type="gramStart"/>
      <w:r w:rsidRPr="00530A63">
        <w:rPr>
          <w:rFonts w:ascii="Times New Roman" w:hAnsi="Times New Roman"/>
          <w:b/>
          <w:bCs/>
          <w:sz w:val="24"/>
          <w:szCs w:val="24"/>
        </w:rPr>
        <w:t>the disability</w:t>
      </w:r>
      <w:proofErr w:type="gramEnd"/>
      <w:r w:rsidRPr="00530A63">
        <w:rPr>
          <w:rFonts w:ascii="Times New Roman" w:hAnsi="Times New Roman"/>
          <w:b/>
          <w:bCs/>
          <w:sz w:val="24"/>
          <w:szCs w:val="24"/>
        </w:rPr>
        <w:t xml:space="preserve"> and</w:t>
      </w:r>
      <w:r>
        <w:rPr>
          <w:rFonts w:ascii="Times New Roman" w:hAnsi="Times New Roman"/>
          <w:b/>
          <w:bCs/>
          <w:sz w:val="24"/>
          <w:szCs w:val="24"/>
        </w:rPr>
        <w:t xml:space="preserve"> employers to consider</w:t>
      </w:r>
      <w:r w:rsidRPr="00530A63">
        <w:rPr>
          <w:rFonts w:ascii="Times New Roman" w:hAnsi="Times New Roman"/>
          <w:b/>
          <w:bCs/>
          <w:sz w:val="24"/>
          <w:szCs w:val="24"/>
        </w:rPr>
        <w:t xml:space="preserve"> potential reasonable accommodations. </w:t>
      </w:r>
    </w:p>
    <w:p w14:paraId="3E700D4F" w14:textId="77777777" w:rsidR="00C67B2A" w:rsidRDefault="00C67B2A" w:rsidP="00C67B2A">
      <w:pPr>
        <w:pStyle w:val="Heading1"/>
        <w:ind w:left="720"/>
        <w:rPr>
          <w:b w:val="0"/>
          <w:bCs w:val="0"/>
          <w:sz w:val="24"/>
          <w:szCs w:val="24"/>
        </w:rPr>
      </w:pPr>
      <w:r w:rsidRPr="00B57FF7">
        <w:rPr>
          <w:b w:val="0"/>
          <w:bCs w:val="0"/>
          <w:sz w:val="24"/>
          <w:szCs w:val="24"/>
        </w:rPr>
        <w:t xml:space="preserve">Note:  Some fire departments have adopted “station dogs.”  City of Franklin, Ohio </w:t>
      </w:r>
      <w:r>
        <w:rPr>
          <w:b w:val="0"/>
          <w:bCs w:val="0"/>
          <w:sz w:val="24"/>
          <w:szCs w:val="24"/>
        </w:rPr>
        <w:t xml:space="preserve">Fire Department </w:t>
      </w:r>
      <w:r w:rsidRPr="00B57FF7">
        <w:rPr>
          <w:b w:val="0"/>
          <w:bCs w:val="0"/>
          <w:sz w:val="24"/>
          <w:szCs w:val="24"/>
        </w:rPr>
        <w:t xml:space="preserve">is one of the first in our state. </w:t>
      </w:r>
      <w:r>
        <w:rPr>
          <w:b w:val="0"/>
          <w:bCs w:val="0"/>
          <w:sz w:val="24"/>
          <w:szCs w:val="24"/>
        </w:rPr>
        <w:t xml:space="preserve">See article, </w:t>
      </w:r>
      <w:r w:rsidRPr="00B57FF7">
        <w:rPr>
          <w:b w:val="0"/>
          <w:bCs w:val="0"/>
          <w:sz w:val="24"/>
          <w:szCs w:val="24"/>
        </w:rPr>
        <w:t>July 17, 2021</w:t>
      </w:r>
      <w:r>
        <w:rPr>
          <w:b w:val="0"/>
          <w:bCs w:val="0"/>
          <w:sz w:val="24"/>
          <w:szCs w:val="24"/>
        </w:rPr>
        <w:t>,”</w:t>
      </w:r>
      <w:r w:rsidRPr="00B57FF7">
        <w:rPr>
          <w:b w:val="0"/>
          <w:bCs w:val="0"/>
          <w:sz w:val="24"/>
          <w:szCs w:val="24"/>
        </w:rPr>
        <w:t>Sworn Therapy Dog Supports Ohio Responders</w:t>
      </w:r>
      <w:r>
        <w:rPr>
          <w:b w:val="0"/>
          <w:bCs w:val="0"/>
          <w:sz w:val="24"/>
          <w:szCs w:val="24"/>
        </w:rPr>
        <w:t xml:space="preserve">.” </w:t>
      </w:r>
      <w:r w:rsidRPr="00B57FF7">
        <w:rPr>
          <w:b w:val="0"/>
          <w:bCs w:val="0"/>
          <w:sz w:val="24"/>
          <w:szCs w:val="24"/>
        </w:rPr>
        <w:t xml:space="preserve"> </w:t>
      </w:r>
      <w:hyperlink r:id="rId1672" w:history="1">
        <w:r w:rsidRPr="00B57FF7">
          <w:rPr>
            <w:rStyle w:val="Hyperlink"/>
            <w:sz w:val="24"/>
            <w:szCs w:val="24"/>
          </w:rPr>
          <w:t>https://www.hmpgloballearningnetwork.com/site/emsworld/original-contribution/sworn-therapy-dog-supports-ohio-responders</w:t>
        </w:r>
      </w:hyperlink>
      <w:r w:rsidRPr="00B57FF7">
        <w:rPr>
          <w:b w:val="0"/>
          <w:bCs w:val="0"/>
          <w:sz w:val="24"/>
          <w:szCs w:val="24"/>
        </w:rPr>
        <w:t xml:space="preserve"> </w:t>
      </w:r>
    </w:p>
    <w:p w14:paraId="6BBB62CB" w14:textId="77777777" w:rsidR="00C67B2A" w:rsidRPr="00B57FF7" w:rsidRDefault="00C67B2A" w:rsidP="00C67B2A">
      <w:pPr>
        <w:pStyle w:val="Heading1"/>
        <w:ind w:left="720"/>
        <w:rPr>
          <w:b w:val="0"/>
          <w:bCs w:val="0"/>
          <w:sz w:val="24"/>
          <w:szCs w:val="24"/>
        </w:rPr>
      </w:pPr>
      <w:r>
        <w:rPr>
          <w:b w:val="0"/>
          <w:bCs w:val="0"/>
          <w:sz w:val="24"/>
          <w:szCs w:val="24"/>
        </w:rPr>
        <w:t>[The author of this newsletter introduced FD to Circle Tail, which trains service dogs and places dogs that aren’t suited for service work.]</w:t>
      </w:r>
    </w:p>
    <w:p w14:paraId="67BB37FD" w14:textId="77777777" w:rsidR="00C67B2A" w:rsidRDefault="00C67B2A" w:rsidP="005C30A4">
      <w:pPr>
        <w:pStyle w:val="NoSpacing"/>
        <w:rPr>
          <w:rFonts w:ascii="Arial Black" w:hAnsi="Arial Black"/>
          <w:sz w:val="24"/>
          <w:szCs w:val="24"/>
        </w:rPr>
      </w:pPr>
    </w:p>
    <w:p w14:paraId="75D05A5B" w14:textId="77777777" w:rsidR="00C67B2A" w:rsidRDefault="00C67B2A" w:rsidP="005C30A4">
      <w:pPr>
        <w:pStyle w:val="NoSpacing"/>
        <w:rPr>
          <w:rFonts w:ascii="Arial Black" w:hAnsi="Arial Black"/>
          <w:sz w:val="24"/>
          <w:szCs w:val="24"/>
        </w:rPr>
      </w:pPr>
    </w:p>
    <w:p w14:paraId="5F27524B" w14:textId="77777777" w:rsidR="00C67B2A" w:rsidRDefault="00C67B2A" w:rsidP="005C30A4">
      <w:pPr>
        <w:pStyle w:val="NoSpacing"/>
        <w:rPr>
          <w:rFonts w:ascii="Arial Black" w:hAnsi="Arial Black"/>
          <w:sz w:val="24"/>
          <w:szCs w:val="24"/>
        </w:rPr>
      </w:pPr>
    </w:p>
    <w:p w14:paraId="358A4896" w14:textId="552748F9" w:rsidR="005C30A4" w:rsidRPr="005217D5" w:rsidRDefault="005217D5" w:rsidP="005C30A4">
      <w:pPr>
        <w:pStyle w:val="NoSpacing"/>
        <w:rPr>
          <w:rFonts w:ascii="Arial Black" w:hAnsi="Arial Black"/>
          <w:sz w:val="24"/>
          <w:szCs w:val="24"/>
        </w:rPr>
      </w:pPr>
      <w:r w:rsidRPr="005217D5">
        <w:rPr>
          <w:rFonts w:ascii="Arial Black" w:hAnsi="Arial Black"/>
          <w:sz w:val="24"/>
          <w:szCs w:val="24"/>
        </w:rPr>
        <w:t>9-20</w:t>
      </w:r>
    </w:p>
    <w:p w14:paraId="1C128D2C" w14:textId="77777777" w:rsidR="005217D5" w:rsidRDefault="005217D5" w:rsidP="005217D5">
      <w:pPr>
        <w:spacing w:before="100" w:beforeAutospacing="1" w:after="100" w:afterAutospacing="1" w:line="240" w:lineRule="auto"/>
        <w:rPr>
          <w:rFonts w:ascii="Arial Black" w:hAnsi="Arial Black"/>
          <w:sz w:val="28"/>
          <w:szCs w:val="28"/>
        </w:rPr>
      </w:pPr>
      <w:r w:rsidRPr="00953881">
        <w:rPr>
          <w:rFonts w:ascii="Arial Black" w:hAnsi="Arial Black"/>
          <w:sz w:val="28"/>
          <w:szCs w:val="28"/>
        </w:rPr>
        <w:t>PA:</w:t>
      </w:r>
      <w:r>
        <w:rPr>
          <w:rFonts w:ascii="Arial Black" w:hAnsi="Arial Black"/>
          <w:sz w:val="28"/>
          <w:szCs w:val="28"/>
        </w:rPr>
        <w:t xml:space="preserve">  VOL. FF LEFT ARM, RIGHT LEG AMPUTATED 2007 – DISABILITY INSUR. END 2017 – NOW WORKING AS MEDIC </w:t>
      </w:r>
    </w:p>
    <w:p w14:paraId="0EBE8B82" w14:textId="77777777" w:rsidR="005217D5" w:rsidRDefault="005217D5" w:rsidP="005217D5">
      <w:pPr>
        <w:spacing w:before="100" w:beforeAutospacing="1" w:after="100" w:afterAutospacing="1" w:line="240" w:lineRule="auto"/>
        <w:rPr>
          <w:rFonts w:ascii="Times New Roman" w:hAnsi="Times New Roman"/>
          <w:sz w:val="24"/>
          <w:szCs w:val="24"/>
        </w:rPr>
      </w:pPr>
      <w:r w:rsidRPr="00953881">
        <w:rPr>
          <w:rFonts w:ascii="Times New Roman" w:hAnsi="Times New Roman"/>
          <w:sz w:val="24"/>
          <w:szCs w:val="24"/>
        </w:rPr>
        <w:t xml:space="preserve">On </w:t>
      </w:r>
      <w:r>
        <w:rPr>
          <w:rFonts w:ascii="Times New Roman" w:hAnsi="Times New Roman"/>
          <w:sz w:val="24"/>
          <w:szCs w:val="24"/>
        </w:rPr>
        <w:t xml:space="preserve">July 20, 2021, in </w:t>
      </w:r>
      <w:r w:rsidRPr="00F9546F">
        <w:rPr>
          <w:rFonts w:ascii="Times New Roman" w:hAnsi="Times New Roman"/>
          <w:sz w:val="24"/>
          <w:szCs w:val="24"/>
          <w:u w:val="single"/>
        </w:rPr>
        <w:t xml:space="preserve">Chase Frost v. Provident Life </w:t>
      </w:r>
      <w:proofErr w:type="gramStart"/>
      <w:r w:rsidRPr="00F9546F">
        <w:rPr>
          <w:rFonts w:ascii="Times New Roman" w:hAnsi="Times New Roman"/>
          <w:sz w:val="24"/>
          <w:szCs w:val="24"/>
          <w:u w:val="single"/>
        </w:rPr>
        <w:t>And</w:t>
      </w:r>
      <w:proofErr w:type="gramEnd"/>
      <w:r w:rsidRPr="00F9546F">
        <w:rPr>
          <w:rFonts w:ascii="Times New Roman" w:hAnsi="Times New Roman"/>
          <w:sz w:val="24"/>
          <w:szCs w:val="24"/>
          <w:u w:val="single"/>
        </w:rPr>
        <w:t xml:space="preserve"> Accident Insurance Company</w:t>
      </w:r>
      <w:r>
        <w:rPr>
          <w:rFonts w:ascii="Times New Roman" w:hAnsi="Times New Roman"/>
          <w:sz w:val="24"/>
          <w:szCs w:val="24"/>
        </w:rPr>
        <w:t xml:space="preserve">, U.S. District Court Judge Jan Dubois, Eastern District of Pennsylvania, held that the insurance company was authorized to terminate the FF from disability benefits in 2017 since he was able to return to work.  </w:t>
      </w:r>
      <w:r w:rsidRPr="00F9546F">
        <w:rPr>
          <w:rFonts w:ascii="Times New Roman" w:hAnsi="Times New Roman"/>
          <w:sz w:val="24"/>
          <w:szCs w:val="24"/>
        </w:rPr>
        <w:t>In 2016, plaintiff was hired by the City of Philadelphia as a Fire Services Paramedic</w:t>
      </w:r>
      <w:r>
        <w:rPr>
          <w:rFonts w:ascii="Times New Roman" w:hAnsi="Times New Roman"/>
          <w:sz w:val="24"/>
          <w:szCs w:val="24"/>
        </w:rPr>
        <w:t xml:space="preserve"> cadet (but then was fired after failing a re-test)</w:t>
      </w:r>
      <w:r w:rsidRPr="00F9546F">
        <w:rPr>
          <w:rFonts w:ascii="Times New Roman" w:hAnsi="Times New Roman"/>
          <w:sz w:val="24"/>
          <w:szCs w:val="24"/>
        </w:rPr>
        <w:t>.</w:t>
      </w:r>
    </w:p>
    <w:p w14:paraId="3EFAA862"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F9546F">
        <w:rPr>
          <w:rFonts w:ascii="Times New Roman" w:hAnsi="Times New Roman"/>
          <w:sz w:val="24"/>
          <w:szCs w:val="24"/>
        </w:rPr>
        <w:t xml:space="preserve">Plaintiff further alleged in that case </w:t>
      </w:r>
      <w:r>
        <w:rPr>
          <w:rFonts w:ascii="Times New Roman" w:hAnsi="Times New Roman"/>
          <w:sz w:val="24"/>
          <w:szCs w:val="24"/>
        </w:rPr>
        <w:t xml:space="preserve">[lawsuit against City of Philadelphia for firing him] </w:t>
      </w:r>
      <w:r w:rsidRPr="00F9546F">
        <w:rPr>
          <w:rFonts w:ascii="Times New Roman" w:hAnsi="Times New Roman"/>
          <w:sz w:val="24"/>
          <w:szCs w:val="24"/>
        </w:rPr>
        <w:t xml:space="preserve">that he was </w:t>
      </w:r>
      <w:r>
        <w:rPr>
          <w:rFonts w:ascii="Times New Roman" w:hAnsi="Times New Roman"/>
          <w:sz w:val="24"/>
          <w:szCs w:val="24"/>
        </w:rPr>
        <w:t>‘</w:t>
      </w:r>
      <w:r w:rsidRPr="00F9546F">
        <w:rPr>
          <w:rFonts w:ascii="Times New Roman" w:hAnsi="Times New Roman"/>
          <w:sz w:val="24"/>
          <w:szCs w:val="24"/>
        </w:rPr>
        <w:t xml:space="preserve">a registered Paramedic with the National Registry of Emergency Technicians [], certified as a Paramedic with the Pennsylvania Department of Health, has over five (5) years of experience and education as a Paramedic, and has well over 1, 100 hours of field internship </w:t>
      </w:r>
      <w:proofErr w:type="spellStart"/>
      <w:r w:rsidRPr="00F9546F">
        <w:rPr>
          <w:rFonts w:ascii="Times New Roman" w:hAnsi="Times New Roman"/>
          <w:sz w:val="24"/>
          <w:szCs w:val="24"/>
        </w:rPr>
        <w:t>experience.</w:t>
      </w:r>
      <w:r>
        <w:rPr>
          <w:rFonts w:ascii="Times New Roman" w:hAnsi="Times New Roman"/>
          <w:sz w:val="24"/>
          <w:szCs w:val="24"/>
        </w:rPr>
        <w:t>’</w:t>
      </w:r>
      <w:r w:rsidRPr="00F9546F">
        <w:rPr>
          <w:rStyle w:val="Emphasis"/>
          <w:rFonts w:ascii="Times New Roman" w:hAnsi="Times New Roman"/>
          <w:sz w:val="24"/>
          <w:szCs w:val="24"/>
        </w:rPr>
        <w:t>Id</w:t>
      </w:r>
      <w:proofErr w:type="spellEnd"/>
      <w:r w:rsidRPr="00F9546F">
        <w:rPr>
          <w:rFonts w:ascii="Times New Roman" w:hAnsi="Times New Roman"/>
          <w:sz w:val="24"/>
          <w:szCs w:val="24"/>
        </w:rPr>
        <w:t>. ¶ 29.</w:t>
      </w:r>
    </w:p>
    <w:p w14:paraId="311A8D3F"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62A974F7" w14:textId="77777777" w:rsidR="005217D5" w:rsidRDefault="005217D5" w:rsidP="005217D5">
      <w:pPr>
        <w:spacing w:before="100" w:beforeAutospacing="1" w:after="100" w:afterAutospacing="1" w:line="240" w:lineRule="auto"/>
        <w:ind w:left="720"/>
        <w:rPr>
          <w:rFonts w:ascii="Times New Roman" w:hAnsi="Times New Roman"/>
          <w:sz w:val="24"/>
          <w:szCs w:val="24"/>
        </w:rPr>
      </w:pPr>
      <w:r w:rsidRPr="00F9546F">
        <w:rPr>
          <w:rFonts w:ascii="Times New Roman" w:hAnsi="Times New Roman"/>
          <w:sz w:val="24"/>
          <w:szCs w:val="24"/>
        </w:rPr>
        <w:t xml:space="preserve">On June 17, 2019, Judge Baylson </w:t>
      </w:r>
      <w:r>
        <w:rPr>
          <w:rFonts w:ascii="Times New Roman" w:hAnsi="Times New Roman"/>
          <w:sz w:val="24"/>
          <w:szCs w:val="24"/>
        </w:rPr>
        <w:t xml:space="preserve">[in the Philadelphia case] </w:t>
      </w:r>
      <w:r w:rsidRPr="00F9546F">
        <w:rPr>
          <w:rFonts w:ascii="Times New Roman" w:hAnsi="Times New Roman"/>
          <w:sz w:val="24"/>
          <w:szCs w:val="24"/>
        </w:rPr>
        <w:t xml:space="preserve">granted the City's Motion, concluding that: (1) although plaintiff “was qualified to perform the position of FSP [i.e., Fire Services Paramedic] cadet” with reasonable accommodations, (2) he failed to show that the City's justification for terminating him-the fact that he </w:t>
      </w:r>
      <w:r>
        <w:rPr>
          <w:rFonts w:ascii="Times New Roman" w:hAnsi="Times New Roman"/>
          <w:sz w:val="24"/>
          <w:szCs w:val="24"/>
        </w:rPr>
        <w:t>‘</w:t>
      </w:r>
      <w:r w:rsidRPr="00F9546F">
        <w:rPr>
          <w:rFonts w:ascii="Times New Roman" w:hAnsi="Times New Roman"/>
          <w:sz w:val="24"/>
          <w:szCs w:val="24"/>
        </w:rPr>
        <w:t>fail[ed] a retest</w:t>
      </w:r>
      <w:r>
        <w:rPr>
          <w:rFonts w:ascii="Times New Roman" w:hAnsi="Times New Roman"/>
          <w:sz w:val="24"/>
          <w:szCs w:val="24"/>
        </w:rPr>
        <w:t>’</w:t>
      </w:r>
      <w:r w:rsidRPr="00F9546F">
        <w:rPr>
          <w:rFonts w:ascii="Times New Roman" w:hAnsi="Times New Roman"/>
          <w:sz w:val="24"/>
          <w:szCs w:val="24"/>
        </w:rPr>
        <w:t xml:space="preserve"> at the Fire Academy-was pretextual. 2019 WL 2516987, at *6-8.</w:t>
      </w:r>
    </w:p>
    <w:p w14:paraId="19F901B9" w14:textId="77777777" w:rsidR="005217D5" w:rsidRDefault="005217D5" w:rsidP="005217D5">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0C3CF75" w14:textId="77777777" w:rsidR="005217D5" w:rsidRDefault="005217D5" w:rsidP="005217D5">
      <w:pPr>
        <w:spacing w:before="100" w:beforeAutospacing="1" w:after="100" w:afterAutospacing="1" w:line="240" w:lineRule="auto"/>
        <w:ind w:left="720"/>
        <w:rPr>
          <w:rFonts w:ascii="Times New Roman" w:hAnsi="Times New Roman"/>
          <w:sz w:val="24"/>
          <w:szCs w:val="24"/>
        </w:rPr>
      </w:pPr>
      <w:r w:rsidRPr="00F9546F">
        <w:rPr>
          <w:rFonts w:ascii="Times New Roman" w:hAnsi="Times New Roman"/>
          <w:sz w:val="24"/>
          <w:szCs w:val="24"/>
        </w:rPr>
        <w:t xml:space="preserve">For the foregoing reasons, collateral estoppel bars plaintiff from relitigating the issue of whether he </w:t>
      </w:r>
      <w:proofErr w:type="gramStart"/>
      <w:r w:rsidRPr="00F9546F">
        <w:rPr>
          <w:rFonts w:ascii="Times New Roman" w:hAnsi="Times New Roman"/>
          <w:sz w:val="24"/>
          <w:szCs w:val="24"/>
        </w:rPr>
        <w:t>is able to</w:t>
      </w:r>
      <w:proofErr w:type="gramEnd"/>
      <w:r w:rsidRPr="00F9546F">
        <w:rPr>
          <w:rFonts w:ascii="Times New Roman" w:hAnsi="Times New Roman"/>
          <w:sz w:val="24"/>
          <w:szCs w:val="24"/>
        </w:rPr>
        <w:t xml:space="preserve"> perform an occupation with reasonable accommodations.</w:t>
      </w:r>
      <w:r>
        <w:rPr>
          <w:rFonts w:ascii="Times New Roman" w:hAnsi="Times New Roman"/>
          <w:sz w:val="24"/>
          <w:szCs w:val="24"/>
        </w:rPr>
        <w:t xml:space="preserve">” </w:t>
      </w:r>
      <w:hyperlink r:id="rId1673" w:history="1">
        <w:r w:rsidRPr="004A379F">
          <w:rPr>
            <w:rStyle w:val="Hyperlink"/>
            <w:sz w:val="24"/>
            <w:szCs w:val="24"/>
          </w:rPr>
          <w:t>https://casetext.com/case/frost-v-provident-life-and-accident-insurance-co-1</w:t>
        </w:r>
      </w:hyperlink>
      <w:r>
        <w:rPr>
          <w:rFonts w:ascii="Times New Roman" w:hAnsi="Times New Roman"/>
          <w:sz w:val="24"/>
          <w:szCs w:val="24"/>
        </w:rPr>
        <w:t xml:space="preserve"> </w:t>
      </w:r>
    </w:p>
    <w:p w14:paraId="7E303FF5" w14:textId="77777777" w:rsidR="005217D5" w:rsidRDefault="005217D5" w:rsidP="005C30A4">
      <w:pPr>
        <w:pStyle w:val="NoSpacing"/>
        <w:rPr>
          <w:sz w:val="24"/>
          <w:szCs w:val="24"/>
        </w:rPr>
      </w:pPr>
    </w:p>
    <w:p w14:paraId="428A076C" w14:textId="77777777" w:rsidR="005217D5" w:rsidRDefault="005217D5" w:rsidP="005C30A4">
      <w:pPr>
        <w:pStyle w:val="NoSpacing"/>
        <w:rPr>
          <w:rFonts w:ascii="Arial Black" w:hAnsi="Arial Black"/>
          <w:b/>
          <w:sz w:val="24"/>
          <w:szCs w:val="24"/>
        </w:rPr>
      </w:pPr>
    </w:p>
    <w:p w14:paraId="2071461D" w14:textId="77777777" w:rsidR="005217D5" w:rsidRDefault="005217D5" w:rsidP="005C30A4">
      <w:pPr>
        <w:pStyle w:val="NoSpacing"/>
        <w:rPr>
          <w:rFonts w:ascii="Arial Black" w:hAnsi="Arial Black"/>
          <w:b/>
          <w:sz w:val="24"/>
          <w:szCs w:val="24"/>
        </w:rPr>
      </w:pPr>
    </w:p>
    <w:p w14:paraId="5A883879" w14:textId="444B8670" w:rsidR="007F3C7D" w:rsidRDefault="007F3C7D" w:rsidP="005C30A4">
      <w:pPr>
        <w:pStyle w:val="NoSpacing"/>
        <w:rPr>
          <w:rFonts w:ascii="Arial Black" w:hAnsi="Arial Black"/>
          <w:b/>
          <w:sz w:val="24"/>
          <w:szCs w:val="24"/>
        </w:rPr>
      </w:pPr>
      <w:r>
        <w:rPr>
          <w:rFonts w:ascii="Arial Black" w:hAnsi="Arial Black"/>
          <w:b/>
          <w:sz w:val="24"/>
          <w:szCs w:val="24"/>
        </w:rPr>
        <w:t>9-19</w:t>
      </w:r>
    </w:p>
    <w:p w14:paraId="17AB01F7" w14:textId="77777777" w:rsidR="007F3C7D" w:rsidRPr="00DD5323" w:rsidRDefault="007F3C7D" w:rsidP="007F3C7D">
      <w:pPr>
        <w:rPr>
          <w:rFonts w:ascii="Arial Black" w:hAnsi="Arial Black"/>
          <w:sz w:val="28"/>
          <w:szCs w:val="28"/>
        </w:rPr>
      </w:pPr>
      <w:bookmarkStart w:id="349" w:name="_Hlk66948236"/>
      <w:r>
        <w:rPr>
          <w:rFonts w:ascii="Arial Black" w:hAnsi="Arial Black"/>
          <w:sz w:val="28"/>
          <w:szCs w:val="28"/>
        </w:rPr>
        <w:t>AL: FF HEARING LOSS ONE EAR / TUMOR – FIRED, NO ACCOMMODATION – FAILED TO FILE EEOC CHARGE WITHIN 180 DAYS OF FIRING</w:t>
      </w:r>
    </w:p>
    <w:p w14:paraId="167726DE" w14:textId="77777777" w:rsidR="007F3C7D" w:rsidRDefault="007F3C7D" w:rsidP="007F3C7D">
      <w:pPr>
        <w:pStyle w:val="NoSpacing"/>
        <w:rPr>
          <w:rFonts w:ascii="Times New Roman" w:hAnsi="Times New Roman"/>
          <w:sz w:val="24"/>
          <w:szCs w:val="24"/>
        </w:rPr>
      </w:pPr>
      <w:r w:rsidRPr="005478D8">
        <w:rPr>
          <w:rFonts w:ascii="Times New Roman" w:hAnsi="Times New Roman"/>
          <w:sz w:val="24"/>
          <w:szCs w:val="24"/>
        </w:rPr>
        <w:t xml:space="preserve">On Jan. 21, 2021, in </w:t>
      </w:r>
      <w:r w:rsidRPr="005478D8">
        <w:rPr>
          <w:rFonts w:ascii="Times New Roman" w:hAnsi="Times New Roman"/>
          <w:sz w:val="24"/>
          <w:szCs w:val="24"/>
          <w:u w:val="single"/>
        </w:rPr>
        <w:t>Anthony M. Milner v. The City of Montgomery, Alabama</w:t>
      </w:r>
      <w:r>
        <w:rPr>
          <w:rFonts w:ascii="Times New Roman" w:hAnsi="Times New Roman"/>
          <w:sz w:val="24"/>
          <w:szCs w:val="24"/>
        </w:rPr>
        <w:t>, U.S. District Court Judge Myron H. Thompson, U.S. District Court for the Middle District of Alabama (Northern Division) granted the defense motion to dismiss, holding that under Americans With Disabilities Act he had to file EEOC charge within 180 days of firing, not when his appeal to City Personnel Department was denied.  Even if the EEOC online charging portal was shut down during the federal government’s closure [</w:t>
      </w:r>
      <w:r w:rsidRPr="005478D8">
        <w:rPr>
          <w:rFonts w:ascii="Times New Roman" w:hAnsi="Times New Roman"/>
          <w:sz w:val="24"/>
          <w:szCs w:val="24"/>
        </w:rPr>
        <w:t>December 22, 2018, and January 25, 2019]</w:t>
      </w:r>
      <w:r>
        <w:rPr>
          <w:rFonts w:ascii="Times New Roman" w:hAnsi="Times New Roman"/>
          <w:sz w:val="24"/>
          <w:szCs w:val="24"/>
        </w:rPr>
        <w:t xml:space="preserve"> when President Trump and Congress could not agree on an appropriations bill, either Milner or his attorney could have filed the charge by mail. </w:t>
      </w:r>
    </w:p>
    <w:bookmarkEnd w:id="349"/>
    <w:p w14:paraId="741AC6B9" w14:textId="77777777" w:rsidR="007F3C7D" w:rsidRDefault="007F3C7D" w:rsidP="007F3C7D">
      <w:pPr>
        <w:pStyle w:val="NoSpacing"/>
        <w:rPr>
          <w:rFonts w:ascii="Times New Roman" w:hAnsi="Times New Roman"/>
          <w:sz w:val="24"/>
          <w:szCs w:val="24"/>
        </w:rPr>
      </w:pPr>
    </w:p>
    <w:p w14:paraId="42468A43" w14:textId="77777777" w:rsidR="007F3C7D" w:rsidRDefault="007F3C7D" w:rsidP="007F3C7D">
      <w:pPr>
        <w:pStyle w:val="NoSpacing"/>
        <w:ind w:left="720"/>
        <w:rPr>
          <w:rFonts w:ascii="Times New Roman" w:hAnsi="Times New Roman"/>
          <w:sz w:val="24"/>
          <w:szCs w:val="24"/>
        </w:rPr>
      </w:pPr>
      <w:r>
        <w:rPr>
          <w:rFonts w:ascii="Times New Roman" w:hAnsi="Times New Roman"/>
          <w:sz w:val="24"/>
          <w:szCs w:val="24"/>
        </w:rPr>
        <w:t>“</w:t>
      </w:r>
      <w:r w:rsidRPr="00D735DB">
        <w:rPr>
          <w:rFonts w:ascii="Times New Roman" w:hAnsi="Times New Roman"/>
          <w:sz w:val="24"/>
          <w:szCs w:val="24"/>
        </w:rPr>
        <w:t xml:space="preserve">Milner received notice of his termination </w:t>
      </w:r>
      <w:r>
        <w:rPr>
          <w:rFonts w:ascii="Times New Roman" w:hAnsi="Times New Roman"/>
          <w:sz w:val="24"/>
          <w:szCs w:val="24"/>
        </w:rPr>
        <w:t xml:space="preserve">[on July 2] </w:t>
      </w:r>
      <w:r w:rsidRPr="00D735DB">
        <w:rPr>
          <w:rFonts w:ascii="Times New Roman" w:hAnsi="Times New Roman"/>
          <w:sz w:val="24"/>
          <w:szCs w:val="24"/>
        </w:rPr>
        <w:t xml:space="preserve">2018. He was told to return his equipment, and his dismissal was reflected in payroll. </w:t>
      </w:r>
      <w:r w:rsidRPr="00D735DB">
        <w:rPr>
          <w:rFonts w:ascii="Times New Roman" w:hAnsi="Times New Roman"/>
          <w:i/>
          <w:iCs/>
          <w:sz w:val="24"/>
          <w:szCs w:val="24"/>
        </w:rPr>
        <w:t>See</w:t>
      </w:r>
      <w:r w:rsidRPr="00D735DB">
        <w:rPr>
          <w:rFonts w:ascii="Times New Roman" w:hAnsi="Times New Roman"/>
          <w:sz w:val="24"/>
          <w:szCs w:val="24"/>
        </w:rPr>
        <w:t xml:space="preserve"> Termination Documents (doc. no. 12-2) at 2-3. The 180-day clock to file his charge with the EEOC began to run at that point. His appeal through the city's personnel department did not toll the running of this limitations period.</w:t>
      </w:r>
      <w:r>
        <w:rPr>
          <w:rFonts w:ascii="Times New Roman" w:hAnsi="Times New Roman"/>
          <w:sz w:val="24"/>
          <w:szCs w:val="24"/>
        </w:rPr>
        <w:t xml:space="preserve">”  </w:t>
      </w:r>
      <w:bookmarkStart w:id="350" w:name="_Hlk66948260"/>
      <w:r w:rsidR="00F00958">
        <w:fldChar w:fldCharType="begin"/>
      </w:r>
      <w:r w:rsidR="00F00958">
        <w:instrText xml:space="preserve"> HYPERLINK "https://law.justia.com/cases/federal/district-courts/alabama/almdce/2:2019cv00799/71056/23/" </w:instrText>
      </w:r>
      <w:r w:rsidR="00F00958">
        <w:fldChar w:fldCharType="separate"/>
      </w:r>
      <w:r w:rsidRPr="00574F77">
        <w:rPr>
          <w:rStyle w:val="Hyperlink"/>
          <w:rFonts w:ascii="Times New Roman" w:hAnsi="Times New Roman"/>
          <w:sz w:val="24"/>
          <w:szCs w:val="24"/>
        </w:rPr>
        <w:t>https://law.justia.com/cases/federal/district-courts/alabama/almdce/2:2019cv00799/71056/23/</w:t>
      </w:r>
      <w:r w:rsidR="00F00958">
        <w:rPr>
          <w:rStyle w:val="Hyperlink"/>
          <w:rFonts w:ascii="Times New Roman" w:hAnsi="Times New Roman"/>
          <w:sz w:val="24"/>
          <w:szCs w:val="24"/>
        </w:rPr>
        <w:fldChar w:fldCharType="end"/>
      </w:r>
      <w:r>
        <w:rPr>
          <w:rFonts w:ascii="Times New Roman" w:hAnsi="Times New Roman"/>
          <w:sz w:val="24"/>
          <w:szCs w:val="24"/>
        </w:rPr>
        <w:t xml:space="preserve"> </w:t>
      </w:r>
    </w:p>
    <w:p w14:paraId="07895D73" w14:textId="77777777" w:rsidR="007F3C7D" w:rsidRDefault="007F3C7D" w:rsidP="007F3C7D">
      <w:pPr>
        <w:spacing w:before="100" w:beforeAutospacing="1" w:after="100" w:afterAutospacing="1" w:line="240" w:lineRule="auto"/>
        <w:rPr>
          <w:rFonts w:ascii="Times New Roman" w:hAnsi="Times New Roman"/>
          <w:b/>
          <w:bCs/>
          <w:sz w:val="24"/>
          <w:szCs w:val="24"/>
        </w:rPr>
      </w:pPr>
      <w:r w:rsidRPr="005A33C2">
        <w:rPr>
          <w:rFonts w:ascii="Times New Roman" w:hAnsi="Times New Roman"/>
          <w:b/>
          <w:bCs/>
          <w:sz w:val="24"/>
          <w:szCs w:val="24"/>
        </w:rPr>
        <w:t>Legal Lesson Learned</w:t>
      </w:r>
      <w:r>
        <w:rPr>
          <w:rFonts w:ascii="Times New Roman" w:hAnsi="Times New Roman"/>
          <w:b/>
          <w:bCs/>
          <w:sz w:val="24"/>
          <w:szCs w:val="24"/>
        </w:rPr>
        <w:t xml:space="preserve">: EEOC filing timelines are not extended when </w:t>
      </w:r>
      <w:proofErr w:type="gramStart"/>
      <w:r>
        <w:rPr>
          <w:rFonts w:ascii="Times New Roman" w:hAnsi="Times New Roman"/>
          <w:b/>
          <w:bCs/>
          <w:sz w:val="24"/>
          <w:szCs w:val="24"/>
        </w:rPr>
        <w:t>employee seeks</w:t>
      </w:r>
      <w:proofErr w:type="gramEnd"/>
      <w:r>
        <w:rPr>
          <w:rFonts w:ascii="Times New Roman" w:hAnsi="Times New Roman"/>
          <w:b/>
          <w:bCs/>
          <w:sz w:val="24"/>
          <w:szCs w:val="24"/>
        </w:rPr>
        <w:t xml:space="preserve"> internal appeal.</w:t>
      </w:r>
    </w:p>
    <w:p w14:paraId="3BD2A752" w14:textId="77777777" w:rsidR="007F3C7D" w:rsidRDefault="007F3C7D" w:rsidP="007F3C7D">
      <w:pPr>
        <w:spacing w:before="100" w:beforeAutospacing="1" w:after="100" w:afterAutospacing="1" w:line="240" w:lineRule="auto"/>
        <w:ind w:left="720"/>
        <w:rPr>
          <w:rFonts w:ascii="Times New Roman" w:hAnsi="Times New Roman"/>
          <w:sz w:val="24"/>
          <w:szCs w:val="24"/>
        </w:rPr>
      </w:pPr>
      <w:r w:rsidRPr="005A33C2">
        <w:rPr>
          <w:rFonts w:ascii="Times New Roman" w:hAnsi="Times New Roman"/>
          <w:sz w:val="24"/>
          <w:szCs w:val="24"/>
        </w:rPr>
        <w:t xml:space="preserve">Note:  See EEOC guidance: </w:t>
      </w:r>
      <w:r>
        <w:rPr>
          <w:rFonts w:ascii="Times New Roman" w:hAnsi="Times New Roman"/>
          <w:sz w:val="24"/>
          <w:szCs w:val="24"/>
        </w:rPr>
        <w:t>“</w:t>
      </w:r>
      <w:r w:rsidRPr="005A33C2">
        <w:rPr>
          <w:rFonts w:ascii="Times New Roman" w:hAnsi="Times New Roman"/>
          <w:sz w:val="24"/>
          <w:szCs w:val="24"/>
        </w:rPr>
        <w:t>Time limits for filing a charge with EEOC generally will not be extended while you attempt to resolve a dispute through another forum such as an internal grievance procedure, a union grievance, arbitration or mediation before filing a charge with EEOC. Other forums for resolution may be pursued at the same time as the processing of the EEOC charge.</w:t>
      </w:r>
      <w:r>
        <w:rPr>
          <w:rFonts w:ascii="Times New Roman" w:hAnsi="Times New Roman"/>
          <w:sz w:val="24"/>
          <w:szCs w:val="24"/>
        </w:rPr>
        <w:t xml:space="preserve">” </w:t>
      </w:r>
      <w:hyperlink r:id="rId1674" w:history="1">
        <w:r w:rsidRPr="00574F77">
          <w:rPr>
            <w:rStyle w:val="Hyperlink"/>
            <w:rFonts w:ascii="Times New Roman" w:hAnsi="Times New Roman"/>
            <w:sz w:val="24"/>
            <w:szCs w:val="24"/>
          </w:rPr>
          <w:t>https://www.eeoc.gov/time-limits-filing-charge</w:t>
        </w:r>
      </w:hyperlink>
      <w:r>
        <w:rPr>
          <w:rFonts w:ascii="Times New Roman" w:hAnsi="Times New Roman"/>
          <w:sz w:val="24"/>
          <w:szCs w:val="24"/>
        </w:rPr>
        <w:t xml:space="preserve"> </w:t>
      </w:r>
    </w:p>
    <w:bookmarkEnd w:id="350"/>
    <w:p w14:paraId="1B69C484" w14:textId="29871AC6" w:rsidR="007F3C7D" w:rsidRPr="00D735DB" w:rsidRDefault="007F3C7D" w:rsidP="007F3C7D">
      <w:pPr>
        <w:spacing w:before="100" w:beforeAutospacing="1" w:after="100" w:afterAutospacing="1" w:line="240" w:lineRule="auto"/>
        <w:ind w:left="720"/>
        <w:rPr>
          <w:rFonts w:ascii="Times New Roman" w:eastAsia="Times New Roman" w:hAnsi="Times New Roman"/>
          <w:sz w:val="24"/>
          <w:szCs w:val="24"/>
        </w:rPr>
      </w:pPr>
      <w:r w:rsidRPr="00E935C6">
        <w:rPr>
          <w:rFonts w:ascii="Times New Roman" w:hAnsi="Times New Roman"/>
          <w:sz w:val="24"/>
          <w:szCs w:val="24"/>
        </w:rPr>
        <w:t>See IAFC</w:t>
      </w:r>
      <w:r>
        <w:rPr>
          <w:rFonts w:ascii="Times New Roman" w:hAnsi="Times New Roman"/>
          <w:sz w:val="24"/>
          <w:szCs w:val="24"/>
        </w:rPr>
        <w:t xml:space="preserve"> Guide </w:t>
      </w:r>
      <w:proofErr w:type="gramStart"/>
      <w:r>
        <w:rPr>
          <w:rFonts w:ascii="Times New Roman" w:hAnsi="Times New Roman"/>
          <w:sz w:val="24"/>
          <w:szCs w:val="24"/>
        </w:rPr>
        <w:t>To</w:t>
      </w:r>
      <w:proofErr w:type="gramEnd"/>
      <w:r>
        <w:rPr>
          <w:rFonts w:ascii="Times New Roman" w:hAnsi="Times New Roman"/>
          <w:sz w:val="24"/>
          <w:szCs w:val="24"/>
        </w:rPr>
        <w:t xml:space="preserve"> Implementing NFPA 1582</w:t>
      </w:r>
      <w:r w:rsidRPr="00E935C6">
        <w:rPr>
          <w:rFonts w:ascii="Times New Roman" w:hAnsi="Times New Roman"/>
          <w:sz w:val="24"/>
          <w:szCs w:val="24"/>
        </w:rPr>
        <w:t>:  C</w:t>
      </w:r>
      <w:r>
        <w:rPr>
          <w:rFonts w:ascii="Times New Roman" w:hAnsi="Times New Roman"/>
          <w:sz w:val="24"/>
          <w:szCs w:val="24"/>
        </w:rPr>
        <w:t>ategory B M</w:t>
      </w:r>
      <w:r w:rsidRPr="00E935C6">
        <w:rPr>
          <w:rFonts w:ascii="Times New Roman" w:hAnsi="Times New Roman"/>
          <w:sz w:val="24"/>
          <w:szCs w:val="24"/>
        </w:rPr>
        <w:t>edical Condition</w:t>
      </w:r>
      <w:r>
        <w:rPr>
          <w:rFonts w:ascii="Times New Roman" w:hAnsi="Times New Roman"/>
          <w:sz w:val="24"/>
          <w:szCs w:val="24"/>
        </w:rPr>
        <w:t>: “</w:t>
      </w:r>
      <w:r w:rsidRPr="00E935C6">
        <w:rPr>
          <w:rFonts w:ascii="Times New Roman" w:hAnsi="Times New Roman"/>
          <w:sz w:val="24"/>
          <w:szCs w:val="24"/>
        </w:rPr>
        <w:t xml:space="preserve">A condition that, based on its severity or degree, could preclude hire but only if despite the condition the candidate ‘can perform the essential job tasks without posing a significant safety and health risk to themselves, members, or civilians’.” </w:t>
      </w:r>
      <w:hyperlink r:id="rId1675" w:history="1">
        <w:r w:rsidRPr="00E935C6">
          <w:rPr>
            <w:rStyle w:val="Hyperlink"/>
            <w:rFonts w:ascii="Times New Roman" w:hAnsi="Times New Roman"/>
            <w:sz w:val="24"/>
            <w:szCs w:val="24"/>
          </w:rPr>
          <w:t>https://www.iafc.org/docs/default-source/1vcos/vws_rrkit_nfpa-1582.pdf?sfvrsn=ca9b9f0d_2</w:t>
        </w:r>
      </w:hyperlink>
      <w:r w:rsidRPr="00E935C6">
        <w:rPr>
          <w:rFonts w:ascii="Times New Roman" w:hAnsi="Times New Roman"/>
          <w:sz w:val="24"/>
          <w:szCs w:val="24"/>
        </w:rPr>
        <w:t xml:space="preserve"> </w:t>
      </w:r>
    </w:p>
    <w:p w14:paraId="48E516DD" w14:textId="43A4B99F" w:rsidR="007F3C7D" w:rsidRPr="007F3C7D" w:rsidRDefault="007F3C7D" w:rsidP="007F3C7D">
      <w:pPr>
        <w:pStyle w:val="NoSpacing"/>
        <w:ind w:left="720"/>
        <w:rPr>
          <w:rFonts w:ascii="Times New Roman" w:hAnsi="Times New Roman"/>
          <w:b/>
          <w:sz w:val="24"/>
          <w:szCs w:val="24"/>
        </w:rPr>
      </w:pPr>
      <w:r w:rsidRPr="007F3C7D">
        <w:rPr>
          <w:rFonts w:ascii="Times New Roman" w:hAnsi="Times New Roman"/>
          <w:sz w:val="24"/>
          <w:szCs w:val="24"/>
        </w:rPr>
        <w:t xml:space="preserve">See NFPA on hearing loss (9/27/2016 amendment). Category B medical conditions shall include the following: (1) Unequal hearing loss ….  </w:t>
      </w:r>
      <w:hyperlink r:id="rId1676" w:history="1">
        <w:r w:rsidRPr="007F3C7D">
          <w:rPr>
            <w:rStyle w:val="Hyperlink"/>
            <w:rFonts w:ascii="Times New Roman" w:hAnsi="Times New Roman"/>
            <w:sz w:val="24"/>
            <w:szCs w:val="24"/>
          </w:rPr>
          <w:t>https://www.nfpa.org/assets/files/AboutTheCodes/1582/1582_A2017_FIX_AAA_SD_SRStatements.pdf</w:t>
        </w:r>
      </w:hyperlink>
    </w:p>
    <w:p w14:paraId="418B1957" w14:textId="77777777" w:rsidR="005217D5" w:rsidRPr="00150169" w:rsidRDefault="005217D5" w:rsidP="005217D5">
      <w:pPr>
        <w:spacing w:before="100" w:beforeAutospacing="1" w:after="100" w:afterAutospacing="1" w:line="240" w:lineRule="auto"/>
        <w:rPr>
          <w:rFonts w:ascii="Times New Roman" w:hAnsi="Times New Roman"/>
          <w:b/>
          <w:bCs/>
          <w:sz w:val="24"/>
          <w:szCs w:val="24"/>
        </w:rPr>
      </w:pPr>
      <w:r w:rsidRPr="00150169">
        <w:rPr>
          <w:rFonts w:ascii="Times New Roman" w:hAnsi="Times New Roman"/>
          <w:b/>
          <w:bCs/>
          <w:sz w:val="24"/>
          <w:szCs w:val="24"/>
        </w:rPr>
        <w:t xml:space="preserve">Legal Lesson Learned: </w:t>
      </w:r>
      <w:r>
        <w:rPr>
          <w:rFonts w:ascii="Times New Roman" w:hAnsi="Times New Roman"/>
          <w:b/>
          <w:bCs/>
          <w:sz w:val="24"/>
          <w:szCs w:val="24"/>
        </w:rPr>
        <w:t xml:space="preserve">Plaintiff’s continuing work experience as a paramedic was reasonable basis to stop disability payments. </w:t>
      </w:r>
    </w:p>
    <w:p w14:paraId="015E7838" w14:textId="77777777" w:rsidR="007F3C7D" w:rsidRDefault="007F3C7D" w:rsidP="005C30A4">
      <w:pPr>
        <w:pStyle w:val="NoSpacing"/>
        <w:rPr>
          <w:rFonts w:ascii="Arial Black" w:hAnsi="Arial Black"/>
          <w:b/>
          <w:sz w:val="24"/>
          <w:szCs w:val="24"/>
        </w:rPr>
      </w:pPr>
    </w:p>
    <w:p w14:paraId="6CEFBDDD" w14:textId="77777777" w:rsidR="007F3C7D" w:rsidRDefault="007F3C7D" w:rsidP="005C30A4">
      <w:pPr>
        <w:pStyle w:val="NoSpacing"/>
        <w:rPr>
          <w:rFonts w:ascii="Arial Black" w:hAnsi="Arial Black"/>
          <w:b/>
          <w:sz w:val="24"/>
          <w:szCs w:val="24"/>
        </w:rPr>
      </w:pPr>
    </w:p>
    <w:p w14:paraId="2DDC3926" w14:textId="02461147" w:rsidR="007F3C7D" w:rsidRDefault="007F3C7D" w:rsidP="005C30A4">
      <w:pPr>
        <w:pStyle w:val="NoSpacing"/>
        <w:rPr>
          <w:rFonts w:ascii="Arial Black" w:hAnsi="Arial Black"/>
          <w:b/>
          <w:sz w:val="24"/>
          <w:szCs w:val="24"/>
        </w:rPr>
      </w:pPr>
      <w:r>
        <w:rPr>
          <w:rFonts w:ascii="Arial Black" w:hAnsi="Arial Black"/>
          <w:b/>
          <w:sz w:val="24"/>
          <w:szCs w:val="24"/>
        </w:rPr>
        <w:t>9-18</w:t>
      </w:r>
    </w:p>
    <w:p w14:paraId="1B234738" w14:textId="77777777" w:rsidR="007F3C7D" w:rsidRPr="006E0926" w:rsidRDefault="007F3C7D" w:rsidP="007F3C7D">
      <w:pPr>
        <w:rPr>
          <w:rFonts w:ascii="Arial Black" w:hAnsi="Arial Black"/>
          <w:sz w:val="28"/>
          <w:szCs w:val="28"/>
        </w:rPr>
      </w:pPr>
      <w:bookmarkStart w:id="351" w:name="_Hlk66948312"/>
      <w:r>
        <w:rPr>
          <w:rFonts w:ascii="Arial Black" w:hAnsi="Arial Black"/>
          <w:sz w:val="28"/>
          <w:szCs w:val="28"/>
        </w:rPr>
        <w:t>PA: CADET WITH PROSTHETIC LEG – FAILED EMS TESTING ON PATIENT CARE PROTOCOLS – ADA LAWSUIT DISMISSED</w:t>
      </w:r>
    </w:p>
    <w:p w14:paraId="336FEDE9" w14:textId="77777777" w:rsidR="007F3C7D" w:rsidRPr="0021077E" w:rsidRDefault="007F3C7D" w:rsidP="007F3C7D">
      <w:pPr>
        <w:rPr>
          <w:rFonts w:ascii="Times New Roman" w:hAnsi="Times New Roman"/>
          <w:sz w:val="24"/>
          <w:szCs w:val="24"/>
        </w:rPr>
      </w:pPr>
      <w:r w:rsidRPr="0021077E">
        <w:rPr>
          <w:rFonts w:ascii="Times New Roman" w:hAnsi="Times New Roman"/>
          <w:sz w:val="24"/>
          <w:szCs w:val="24"/>
        </w:rPr>
        <w:t xml:space="preserve">On Jan. 6, 2021, in </w:t>
      </w:r>
      <w:r w:rsidRPr="0021077E">
        <w:rPr>
          <w:rFonts w:ascii="Times New Roman" w:hAnsi="Times New Roman"/>
          <w:sz w:val="24"/>
          <w:szCs w:val="24"/>
          <w:u w:val="single"/>
        </w:rPr>
        <w:t xml:space="preserve">Chase Frost v. City </w:t>
      </w:r>
      <w:r>
        <w:rPr>
          <w:rFonts w:ascii="Times New Roman" w:hAnsi="Times New Roman"/>
          <w:sz w:val="24"/>
          <w:szCs w:val="24"/>
          <w:u w:val="single"/>
        </w:rPr>
        <w:t>o</w:t>
      </w:r>
      <w:r w:rsidRPr="0021077E">
        <w:rPr>
          <w:rFonts w:ascii="Times New Roman" w:hAnsi="Times New Roman"/>
          <w:sz w:val="24"/>
          <w:szCs w:val="24"/>
          <w:u w:val="single"/>
        </w:rPr>
        <w:t>f Philadelphia</w:t>
      </w:r>
      <w:r w:rsidRPr="0021077E">
        <w:rPr>
          <w:rFonts w:ascii="Times New Roman" w:hAnsi="Times New Roman"/>
          <w:sz w:val="24"/>
          <w:szCs w:val="24"/>
        </w:rPr>
        <w:t xml:space="preserve">, </w:t>
      </w:r>
      <w:r>
        <w:rPr>
          <w:rFonts w:ascii="Times New Roman" w:hAnsi="Times New Roman"/>
          <w:sz w:val="24"/>
          <w:szCs w:val="24"/>
        </w:rPr>
        <w:t xml:space="preserve">the U.S. Court of Appeals for the Third Circuit, held (3 to 0; non precedential decision) that the U.S. District Court judge properly granted summary judgment for the City in its decision to terminate the cadet.  </w:t>
      </w:r>
    </w:p>
    <w:bookmarkEnd w:id="351"/>
    <w:p w14:paraId="6806D0D2" w14:textId="77777777" w:rsidR="007F3C7D" w:rsidRDefault="007F3C7D" w:rsidP="007F3C7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21077E">
        <w:rPr>
          <w:rFonts w:ascii="Times New Roman" w:hAnsi="Times New Roman"/>
          <w:sz w:val="24"/>
          <w:szCs w:val="24"/>
        </w:rPr>
        <w:t>Frost alleges that he was terminated from the 2016 Fire Academy because of his disability. The District Court held that although Frost met his initial burden to establish a prima facie case of wrongful termination, he failed to establish that the City's nondiscriminatory reason for his termination, because of his failed re-test, was pretextual. We agree that Frost cannot show pretext.</w:t>
      </w:r>
      <w:r>
        <w:rPr>
          <w:rFonts w:ascii="Times New Roman" w:hAnsi="Times New Roman"/>
          <w:sz w:val="24"/>
          <w:szCs w:val="24"/>
        </w:rPr>
        <w:t xml:space="preserve"> </w:t>
      </w:r>
    </w:p>
    <w:p w14:paraId="6885E593" w14:textId="77777777" w:rsidR="007F3C7D" w:rsidRPr="0021077E" w:rsidRDefault="007F3C7D" w:rsidP="007F3C7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73C517B5" w14:textId="77777777" w:rsidR="007F3C7D" w:rsidRDefault="007F3C7D" w:rsidP="007F3C7D">
      <w:pPr>
        <w:spacing w:before="100" w:beforeAutospacing="1" w:after="100" w:afterAutospacing="1" w:line="240" w:lineRule="auto"/>
        <w:ind w:left="720"/>
        <w:rPr>
          <w:rFonts w:ascii="Times New Roman" w:eastAsia="Times New Roman" w:hAnsi="Times New Roman"/>
          <w:sz w:val="24"/>
          <w:szCs w:val="24"/>
        </w:rPr>
      </w:pPr>
      <w:r w:rsidRPr="006E0926">
        <w:rPr>
          <w:rFonts w:ascii="Times New Roman" w:eastAsia="Times New Roman" w:hAnsi="Times New Roman"/>
          <w:sz w:val="24"/>
          <w:szCs w:val="24"/>
        </w:rPr>
        <w:t>He has not</w:t>
      </w:r>
      <w:r w:rsidRPr="0021077E">
        <w:rPr>
          <w:rFonts w:ascii="Times New Roman" w:eastAsia="Times New Roman" w:hAnsi="Times New Roman"/>
          <w:sz w:val="24"/>
          <w:szCs w:val="24"/>
        </w:rPr>
        <w:t xml:space="preserve"> </w:t>
      </w:r>
      <w:r w:rsidRPr="006E0926">
        <w:rPr>
          <w:rFonts w:ascii="Times New Roman" w:eastAsia="Times New Roman" w:hAnsi="Times New Roman"/>
          <w:sz w:val="24"/>
          <w:szCs w:val="24"/>
        </w:rPr>
        <w:t>produced a cadet who failed a re-test and was treated more favorably than him. In fact, all other cadets who failed re-tests were also terminated. Other cadets who are not similarly situated cannot be used to establish pretext. Frost has not offered any other reason to believe that the City's proffered reason for his termination was pretextual.</w:t>
      </w:r>
      <w:r>
        <w:rPr>
          <w:rFonts w:ascii="Times New Roman" w:eastAsia="Times New Roman" w:hAnsi="Times New Roman"/>
          <w:sz w:val="24"/>
          <w:szCs w:val="24"/>
        </w:rPr>
        <w:t>”</w:t>
      </w:r>
      <w:r w:rsidRPr="0021077E">
        <w:t xml:space="preserve"> </w:t>
      </w:r>
      <w:bookmarkStart w:id="352" w:name="_Hlk66948333"/>
      <w:r w:rsidR="00F00958">
        <w:fldChar w:fldCharType="begin"/>
      </w:r>
      <w:r w:rsidR="00F00958">
        <w:instrText xml:space="preserve"> HYPERLINK "https://law.justia.com/cases/federal/appellate-courts/ca3/19-2636/19-2636-2021-01-06.html" </w:instrText>
      </w:r>
      <w:r w:rsidR="00F00958">
        <w:fldChar w:fldCharType="separate"/>
      </w:r>
      <w:r w:rsidRPr="00741B4E">
        <w:rPr>
          <w:rStyle w:val="Hyperlink"/>
          <w:rFonts w:ascii="Times New Roman" w:eastAsia="Times New Roman" w:hAnsi="Times New Roman"/>
          <w:sz w:val="24"/>
          <w:szCs w:val="24"/>
        </w:rPr>
        <w:t>https://law.justia.com/cases/federal/appellate-courts/ca3/19-2636/19-2636-2021-01-06.html</w:t>
      </w:r>
      <w:r w:rsidR="00F00958">
        <w:rPr>
          <w:rStyle w:val="Hyperlink"/>
          <w:rFonts w:ascii="Times New Roman" w:eastAsia="Times New Roman" w:hAnsi="Times New Roman"/>
          <w:sz w:val="24"/>
          <w:szCs w:val="24"/>
        </w:rPr>
        <w:fldChar w:fldCharType="end"/>
      </w:r>
      <w:r>
        <w:rPr>
          <w:rFonts w:ascii="Times New Roman" w:eastAsia="Times New Roman" w:hAnsi="Times New Roman"/>
          <w:sz w:val="24"/>
          <w:szCs w:val="24"/>
        </w:rPr>
        <w:t xml:space="preserve"> </w:t>
      </w:r>
    </w:p>
    <w:p w14:paraId="7775D916" w14:textId="77777777" w:rsidR="007F3C7D" w:rsidRPr="00CF503B" w:rsidRDefault="007F3C7D" w:rsidP="007F3C7D">
      <w:pPr>
        <w:pStyle w:val="NormalWeb"/>
        <w:rPr>
          <w:b/>
          <w:bCs/>
        </w:rPr>
      </w:pPr>
      <w:r w:rsidRPr="00CF503B">
        <w:rPr>
          <w:b/>
          <w:bCs/>
        </w:rPr>
        <w:t>Legal Lesson Learned:</w:t>
      </w:r>
      <w:r>
        <w:rPr>
          <w:b/>
          <w:bCs/>
        </w:rPr>
        <w:t xml:space="preserve">  It is unfortunate that this disabled cadet failed the patient protocol exam, but this is an essential job requirement. </w:t>
      </w:r>
    </w:p>
    <w:bookmarkEnd w:id="352"/>
    <w:p w14:paraId="5F507C3E" w14:textId="77777777" w:rsidR="007F3C7D" w:rsidRDefault="007F3C7D" w:rsidP="005C30A4">
      <w:pPr>
        <w:pStyle w:val="NoSpacing"/>
        <w:rPr>
          <w:rFonts w:ascii="Arial Black" w:hAnsi="Arial Black"/>
          <w:b/>
          <w:sz w:val="24"/>
          <w:szCs w:val="24"/>
        </w:rPr>
      </w:pPr>
    </w:p>
    <w:p w14:paraId="05E13BEC" w14:textId="77777777" w:rsidR="007F3C7D" w:rsidRDefault="007F3C7D" w:rsidP="005C30A4">
      <w:pPr>
        <w:pStyle w:val="NoSpacing"/>
        <w:rPr>
          <w:rFonts w:ascii="Arial Black" w:hAnsi="Arial Black"/>
          <w:b/>
          <w:sz w:val="24"/>
          <w:szCs w:val="24"/>
        </w:rPr>
      </w:pPr>
    </w:p>
    <w:p w14:paraId="1308F5A5" w14:textId="2DBB4F62" w:rsidR="00383EFC" w:rsidRPr="0031119E" w:rsidRDefault="00383EFC" w:rsidP="005C30A4">
      <w:pPr>
        <w:pStyle w:val="NoSpacing"/>
        <w:rPr>
          <w:rFonts w:ascii="Times New Roman" w:hAnsi="Times New Roman"/>
          <w:bCs/>
          <w:sz w:val="24"/>
          <w:szCs w:val="24"/>
        </w:rPr>
      </w:pPr>
      <w:r>
        <w:rPr>
          <w:rFonts w:ascii="Arial Black" w:hAnsi="Arial Black"/>
          <w:b/>
          <w:sz w:val="24"/>
          <w:szCs w:val="24"/>
        </w:rPr>
        <w:t>9-1</w:t>
      </w:r>
      <w:r w:rsidR="0031119E">
        <w:rPr>
          <w:rFonts w:ascii="Arial Black" w:hAnsi="Arial Black"/>
          <w:b/>
          <w:sz w:val="24"/>
          <w:szCs w:val="24"/>
        </w:rPr>
        <w:t xml:space="preserve">7 </w:t>
      </w:r>
      <w:r w:rsidR="0031119E">
        <w:rPr>
          <w:rFonts w:ascii="Times New Roman" w:hAnsi="Times New Roman"/>
          <w:bCs/>
          <w:sz w:val="24"/>
          <w:szCs w:val="24"/>
        </w:rPr>
        <w:t xml:space="preserve">[Also filed, Chap. 8] </w:t>
      </w:r>
    </w:p>
    <w:p w14:paraId="51D05885" w14:textId="77777777" w:rsidR="00383EFC" w:rsidRPr="00C03B09" w:rsidRDefault="00383EFC" w:rsidP="00383EFC">
      <w:pPr>
        <w:pStyle w:val="NoSpacing"/>
        <w:rPr>
          <w:rFonts w:ascii="Arial Black" w:hAnsi="Arial Black"/>
          <w:sz w:val="28"/>
          <w:szCs w:val="28"/>
        </w:rPr>
      </w:pPr>
      <w:bookmarkStart w:id="353" w:name="_Hlk57626474"/>
      <w:r>
        <w:rPr>
          <w:rFonts w:ascii="Arial Black" w:hAnsi="Arial Black"/>
          <w:sz w:val="28"/>
          <w:szCs w:val="28"/>
        </w:rPr>
        <w:t xml:space="preserve">FL:  FDNY CHANGED GROOMING POLICY – REQUIRES CLEAN SHAVE – NOW ON APPEAL – JACKSONVILLE FF LAWSUIT </w:t>
      </w:r>
    </w:p>
    <w:p w14:paraId="40E0D656" w14:textId="77777777" w:rsidR="00383EFC" w:rsidRPr="00473C64" w:rsidRDefault="00383EFC" w:rsidP="00383EFC">
      <w:pPr>
        <w:spacing w:before="100" w:beforeAutospacing="1" w:after="100" w:afterAutospacing="1" w:line="240" w:lineRule="auto"/>
        <w:rPr>
          <w:rFonts w:ascii="Times New Roman" w:hAnsi="Times New Roman"/>
          <w:sz w:val="24"/>
          <w:szCs w:val="24"/>
        </w:rPr>
      </w:pPr>
      <w:r w:rsidRPr="00473C64">
        <w:rPr>
          <w:rFonts w:ascii="Times New Roman" w:hAnsi="Times New Roman"/>
          <w:sz w:val="24"/>
          <w:szCs w:val="24"/>
        </w:rPr>
        <w:t xml:space="preserve">Nov. 25, 2020, “Black firefighters sue over Jacksonville policy requiring crews to be cleanshaven.”  It </w:t>
      </w:r>
      <w:proofErr w:type="gramStart"/>
      <w:r w:rsidRPr="00473C64">
        <w:rPr>
          <w:rFonts w:ascii="Times New Roman" w:hAnsi="Times New Roman"/>
          <w:sz w:val="24"/>
          <w:szCs w:val="24"/>
        </w:rPr>
        <w:t>referenced</w:t>
      </w:r>
      <w:proofErr w:type="gramEnd"/>
      <w:r w:rsidRPr="00473C64">
        <w:rPr>
          <w:rFonts w:ascii="Times New Roman" w:hAnsi="Times New Roman"/>
          <w:sz w:val="24"/>
          <w:szCs w:val="24"/>
        </w:rPr>
        <w:t xml:space="preserve"> a lawsuit by FDNY firefighters. </w:t>
      </w:r>
      <w:hyperlink r:id="rId1677" w:history="1">
        <w:r w:rsidRPr="00473C64">
          <w:rPr>
            <w:rStyle w:val="Hyperlink"/>
            <w:rFonts w:ascii="Times New Roman" w:hAnsi="Times New Roman"/>
            <w:sz w:val="24"/>
            <w:szCs w:val="24"/>
          </w:rPr>
          <w:t>https://www.jacksonville.com/story/news/courts/2020/11/25/jacksonville-lawsuit-cleanshaven-rule-unfair-black-firefighters/6406374002/</w:t>
        </w:r>
      </w:hyperlink>
    </w:p>
    <w:p w14:paraId="0C8B69ED" w14:textId="77777777" w:rsidR="00383EFC" w:rsidRDefault="00383EFC" w:rsidP="00383EFC">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The City of New York lost their case on Jan. 29, 2020, and has filed an appeal to the U.S. Court of Appeals for Second District. </w:t>
      </w:r>
      <w:r>
        <w:rPr>
          <w:rFonts w:ascii="Times New Roman" w:hAnsi="Times New Roman"/>
          <w:sz w:val="24"/>
          <w:szCs w:val="24"/>
        </w:rPr>
        <w:t xml:space="preserve">On July 2, 2020, the plaintiff firefighters filed their reply brief in the U.S. Court of Appeals for Second Circuit. </w:t>
      </w:r>
      <w:hyperlink r:id="rId1678" w:history="1">
        <w:r w:rsidRPr="007578D7">
          <w:rPr>
            <w:rStyle w:val="Hyperlink"/>
            <w:rFonts w:ascii="Times New Roman" w:hAnsi="Times New Roman"/>
            <w:sz w:val="24"/>
            <w:szCs w:val="24"/>
          </w:rPr>
          <w:t>https://www.law.georgetown.edu/icap/wp-content/uploads/sites/32/2020/07/Bey-2d-Cir.-Opening-Brief-FINAL-7-7-2020.pdf</w:t>
        </w:r>
      </w:hyperlink>
      <w:r>
        <w:rPr>
          <w:rFonts w:ascii="Times New Roman" w:hAnsi="Times New Roman"/>
          <w:sz w:val="24"/>
          <w:szCs w:val="24"/>
        </w:rPr>
        <w:t xml:space="preserve"> </w:t>
      </w:r>
    </w:p>
    <w:p w14:paraId="5B6B63EA" w14:textId="77777777" w:rsidR="00383EFC" w:rsidRDefault="00383EFC" w:rsidP="00383EFC">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Jan. 29, 2020, in </w:t>
      </w:r>
      <w:r w:rsidRPr="00D115C7">
        <w:rPr>
          <w:rFonts w:ascii="Times New Roman" w:eastAsia="Times New Roman" w:hAnsi="Times New Roman"/>
          <w:sz w:val="24"/>
          <w:szCs w:val="24"/>
          <w:u w:val="single"/>
        </w:rPr>
        <w:t>Salik Bey, et al. v. City of New York, Daniel Nigro, et al</w:t>
      </w:r>
      <w:r>
        <w:rPr>
          <w:rFonts w:ascii="Times New Roman" w:eastAsia="Times New Roman" w:hAnsi="Times New Roman"/>
          <w:sz w:val="24"/>
          <w:szCs w:val="24"/>
        </w:rPr>
        <w:t>., 437 F. Supp. 3</w:t>
      </w:r>
      <w:r w:rsidRPr="009562EF">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2222, Senior U.S. District Court Judge Jack B. Weinstein, U.S. District Court for Eastern District of New York ordered FDNY to return to their former grooming policy (Aug. 2015 – Dec. 2017) which allowed </w:t>
      </w:r>
      <w:r w:rsidRPr="00CB7445">
        <w:rPr>
          <w:rFonts w:ascii="Times New Roman" w:eastAsia="Times New Roman" w:hAnsi="Times New Roman"/>
          <w:sz w:val="24"/>
          <w:szCs w:val="24"/>
        </w:rPr>
        <w:t>facial hair in the chin, cheek and neck area if it did not cause leakage around the mask's seal</w:t>
      </w:r>
      <w:r>
        <w:rPr>
          <w:rFonts w:ascii="Times New Roman" w:eastAsia="Times New Roman" w:hAnsi="Times New Roman"/>
          <w:sz w:val="24"/>
          <w:szCs w:val="24"/>
        </w:rPr>
        <w:t>.   Under the new policy: “</w:t>
      </w:r>
      <w:r w:rsidRPr="00313B2C">
        <w:rPr>
          <w:rFonts w:ascii="Times New Roman" w:hAnsi="Times New Roman"/>
          <w:sz w:val="24"/>
          <w:szCs w:val="24"/>
        </w:rPr>
        <w:t>If Plaintiffs shaved all facial hair in the chin area, they would maintain their status as full duty firefighters; otherwise, they would be placed on light duty.</w:t>
      </w:r>
      <w:r>
        <w:rPr>
          <w:rFonts w:ascii="Times New Roman" w:hAnsi="Times New Roman"/>
          <w:sz w:val="24"/>
          <w:szCs w:val="24"/>
        </w:rPr>
        <w:t xml:space="preserve">” </w:t>
      </w:r>
    </w:p>
    <w:p w14:paraId="41E4F867" w14:textId="77777777" w:rsidR="00383EFC" w:rsidRDefault="00383EFC" w:rsidP="00383EFC">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Judge Weinstein’s decision: </w:t>
      </w:r>
    </w:p>
    <w:p w14:paraId="081A4C95" w14:textId="77777777" w:rsidR="00383EFC" w:rsidRDefault="00383EFC" w:rsidP="00383EFC">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FC3A40">
        <w:rPr>
          <w:rFonts w:ascii="Times New Roman" w:hAnsi="Times New Roman"/>
          <w:sz w:val="24"/>
          <w:szCs w:val="24"/>
        </w:rPr>
        <w:t xml:space="preserve">Defendants admit that no heightened safety risk to firefighters or the public was presented by the accommodation previously in effect. Two and a half years passed without incident, and Plaintiffs continued to perform their jobs satisfactorily. </w:t>
      </w:r>
      <w:proofErr w:type="gramStart"/>
      <w:r w:rsidRPr="00FC3A40">
        <w:rPr>
          <w:rFonts w:ascii="Times New Roman" w:hAnsi="Times New Roman"/>
          <w:sz w:val="24"/>
          <w:szCs w:val="24"/>
        </w:rPr>
        <w:t>The FDNY's</w:t>
      </w:r>
      <w:proofErr w:type="gramEnd"/>
      <w:r w:rsidRPr="00FC3A40">
        <w:rPr>
          <w:rFonts w:ascii="Times New Roman" w:hAnsi="Times New Roman"/>
          <w:sz w:val="24"/>
          <w:szCs w:val="24"/>
        </w:rPr>
        <w:t xml:space="preserve"> decision to abandon the prior accommodation was not based on any actual safety risks to firefighters or the public. Rather, driving the calculus was bureaucracy. Defendants cite no case law indicating that such bureaucratic considerations are a viable undue hardship defense; the court declines </w:t>
      </w:r>
      <w:proofErr w:type="gramStart"/>
      <w:r w:rsidRPr="00FC3A40">
        <w:rPr>
          <w:rFonts w:ascii="Times New Roman" w:hAnsi="Times New Roman"/>
          <w:sz w:val="24"/>
          <w:szCs w:val="24"/>
        </w:rPr>
        <w:t>to so</w:t>
      </w:r>
      <w:proofErr w:type="gramEnd"/>
      <w:r w:rsidRPr="00FC3A40">
        <w:rPr>
          <w:rFonts w:ascii="Times New Roman" w:hAnsi="Times New Roman"/>
          <w:sz w:val="24"/>
          <w:szCs w:val="24"/>
        </w:rPr>
        <w:t xml:space="preserve"> find</w:t>
      </w:r>
      <w:proofErr w:type="gramStart"/>
      <w:r>
        <w:rPr>
          <w:rFonts w:ascii="Times New Roman" w:hAnsi="Times New Roman"/>
          <w:sz w:val="24"/>
          <w:szCs w:val="24"/>
        </w:rPr>
        <w:t>.”</w:t>
      </w:r>
      <w:proofErr w:type="gramEnd"/>
      <w:r>
        <w:rPr>
          <w:rFonts w:ascii="Times New Roman" w:hAnsi="Times New Roman"/>
          <w:sz w:val="24"/>
          <w:szCs w:val="24"/>
        </w:rPr>
        <w:t xml:space="preserve"> </w:t>
      </w:r>
      <w:hyperlink r:id="rId1679" w:history="1">
        <w:r w:rsidRPr="007578D7">
          <w:rPr>
            <w:rStyle w:val="Hyperlink"/>
            <w:rFonts w:ascii="Times New Roman" w:hAnsi="Times New Roman"/>
            <w:sz w:val="24"/>
            <w:szCs w:val="24"/>
          </w:rPr>
          <w:t>https://casetext.com/case/bey-v-city-of-ny-7</w:t>
        </w:r>
      </w:hyperlink>
    </w:p>
    <w:bookmarkEnd w:id="353"/>
    <w:p w14:paraId="19E80FEF" w14:textId="77777777" w:rsidR="00383EFC" w:rsidRPr="00FC3A40" w:rsidRDefault="00383EFC" w:rsidP="00383EFC">
      <w:pPr>
        <w:tabs>
          <w:tab w:val="left" w:pos="2810"/>
        </w:tabs>
        <w:spacing w:before="100" w:beforeAutospacing="1" w:after="100" w:afterAutospacing="1" w:line="240" w:lineRule="auto"/>
        <w:rPr>
          <w:rFonts w:ascii="Times New Roman" w:hAnsi="Times New Roman"/>
          <w:b/>
          <w:bCs/>
          <w:sz w:val="24"/>
          <w:szCs w:val="24"/>
        </w:rPr>
      </w:pPr>
      <w:r w:rsidRPr="00FC3A40">
        <w:rPr>
          <w:rFonts w:ascii="Times New Roman" w:hAnsi="Times New Roman"/>
          <w:b/>
          <w:bCs/>
          <w:sz w:val="24"/>
          <w:szCs w:val="24"/>
        </w:rPr>
        <w:t>Legal Lesson Learned</w:t>
      </w:r>
      <w:r>
        <w:rPr>
          <w:rFonts w:ascii="Times New Roman" w:hAnsi="Times New Roman"/>
          <w:b/>
          <w:bCs/>
          <w:sz w:val="24"/>
          <w:szCs w:val="24"/>
        </w:rPr>
        <w:t xml:space="preserve">: The FDNY case will now be decided by the U.S. Court of Appeals for the Second Circuit.  The Jacksonville FD case will proceed </w:t>
      </w:r>
      <w:proofErr w:type="gramStart"/>
      <w:r>
        <w:rPr>
          <w:rFonts w:ascii="Times New Roman" w:hAnsi="Times New Roman"/>
          <w:b/>
          <w:bCs/>
          <w:sz w:val="24"/>
          <w:szCs w:val="24"/>
        </w:rPr>
        <w:t>to</w:t>
      </w:r>
      <w:proofErr w:type="gramEnd"/>
      <w:r>
        <w:rPr>
          <w:rFonts w:ascii="Times New Roman" w:hAnsi="Times New Roman"/>
          <w:b/>
          <w:bCs/>
          <w:sz w:val="24"/>
          <w:szCs w:val="24"/>
        </w:rPr>
        <w:t xml:space="preserve"> pre-trial discovery.   </w:t>
      </w:r>
    </w:p>
    <w:p w14:paraId="6C92ABA9" w14:textId="77777777" w:rsidR="00383EFC" w:rsidRDefault="00383EFC" w:rsidP="005C30A4">
      <w:pPr>
        <w:pStyle w:val="NoSpacing"/>
        <w:rPr>
          <w:rFonts w:ascii="Arial Black" w:hAnsi="Arial Black"/>
          <w:b/>
          <w:sz w:val="24"/>
          <w:szCs w:val="24"/>
        </w:rPr>
      </w:pPr>
    </w:p>
    <w:p w14:paraId="09A00A6A" w14:textId="77777777" w:rsidR="00383EFC" w:rsidRDefault="00383EFC" w:rsidP="005C30A4">
      <w:pPr>
        <w:pStyle w:val="NoSpacing"/>
        <w:rPr>
          <w:rFonts w:ascii="Arial Black" w:hAnsi="Arial Black"/>
          <w:b/>
          <w:sz w:val="24"/>
          <w:szCs w:val="24"/>
        </w:rPr>
      </w:pPr>
    </w:p>
    <w:p w14:paraId="4269CF3B" w14:textId="53288709" w:rsidR="00DD03E3" w:rsidRDefault="00DD03E3" w:rsidP="005C30A4">
      <w:pPr>
        <w:pStyle w:val="NoSpacing"/>
        <w:rPr>
          <w:rFonts w:ascii="Arial Black" w:hAnsi="Arial Black"/>
          <w:b/>
          <w:sz w:val="24"/>
          <w:szCs w:val="24"/>
        </w:rPr>
      </w:pPr>
      <w:r>
        <w:rPr>
          <w:rFonts w:ascii="Arial Black" w:hAnsi="Arial Black"/>
          <w:b/>
          <w:sz w:val="24"/>
          <w:szCs w:val="24"/>
        </w:rPr>
        <w:t>9</w:t>
      </w:r>
      <w:r w:rsidR="00383EFC">
        <w:rPr>
          <w:rFonts w:ascii="Arial Black" w:hAnsi="Arial Black"/>
          <w:b/>
          <w:sz w:val="24"/>
          <w:szCs w:val="24"/>
        </w:rPr>
        <w:t>-</w:t>
      </w:r>
      <w:r>
        <w:rPr>
          <w:rFonts w:ascii="Arial Black" w:hAnsi="Arial Black"/>
          <w:b/>
          <w:sz w:val="24"/>
          <w:szCs w:val="24"/>
        </w:rPr>
        <w:t>16</w:t>
      </w:r>
    </w:p>
    <w:p w14:paraId="7E0471FE" w14:textId="77777777" w:rsidR="00DD03E3" w:rsidRPr="00371299" w:rsidRDefault="00DD03E3" w:rsidP="00DD03E3">
      <w:pPr>
        <w:spacing w:before="100" w:beforeAutospacing="1" w:after="100" w:afterAutospacing="1" w:line="240" w:lineRule="auto"/>
        <w:rPr>
          <w:rFonts w:ascii="Arial Black" w:eastAsia="Times New Roman" w:hAnsi="Arial Black"/>
          <w:b/>
          <w:bCs/>
          <w:sz w:val="28"/>
          <w:szCs w:val="28"/>
        </w:rPr>
      </w:pPr>
      <w:r w:rsidRPr="00371299">
        <w:rPr>
          <w:rFonts w:ascii="Arial Black" w:eastAsia="Times New Roman" w:hAnsi="Arial Black"/>
          <w:b/>
          <w:bCs/>
          <w:sz w:val="28"/>
          <w:szCs w:val="28"/>
        </w:rPr>
        <w:t>AL:</w:t>
      </w:r>
      <w:r>
        <w:rPr>
          <w:rFonts w:ascii="Arial Black" w:eastAsia="Times New Roman" w:hAnsi="Arial Black"/>
          <w:b/>
          <w:bCs/>
          <w:sz w:val="28"/>
          <w:szCs w:val="28"/>
        </w:rPr>
        <w:t xml:space="preserve"> BATTALION CHIEF INJURED NECK IN OFF DUTY MVA – AFTER LIGHT DUTY PERIOD, ORDERED BACK TO 24-HRS – NO ADA VIOL. </w:t>
      </w:r>
    </w:p>
    <w:p w14:paraId="0B9614DD" w14:textId="77777777" w:rsidR="00DD03E3" w:rsidRDefault="00DD03E3" w:rsidP="00DD03E3">
      <w:pPr>
        <w:spacing w:before="100" w:beforeAutospacing="1" w:after="100" w:afterAutospacing="1" w:line="240" w:lineRule="auto"/>
        <w:rPr>
          <w:rFonts w:ascii="Times New Roman" w:eastAsia="Times New Roman" w:hAnsi="Times New Roman"/>
          <w:sz w:val="24"/>
          <w:szCs w:val="24"/>
        </w:rPr>
      </w:pPr>
      <w:r w:rsidRPr="008538E8">
        <w:rPr>
          <w:rFonts w:ascii="Times New Roman" w:eastAsia="Times New Roman" w:hAnsi="Times New Roman"/>
          <w:sz w:val="24"/>
          <w:szCs w:val="24"/>
        </w:rPr>
        <w:t xml:space="preserve">On Oct. 2, 2020, in </w:t>
      </w:r>
      <w:r w:rsidRPr="008538E8">
        <w:rPr>
          <w:rFonts w:ascii="Times New Roman" w:eastAsia="Times New Roman" w:hAnsi="Times New Roman"/>
          <w:sz w:val="24"/>
          <w:szCs w:val="24"/>
          <w:u w:val="single"/>
        </w:rPr>
        <w:t>Jay Hawthorne v. City of Prattville</w:t>
      </w:r>
      <w:r w:rsidRPr="008538E8">
        <w:rPr>
          <w:rFonts w:ascii="Times New Roman" w:eastAsia="Times New Roman" w:hAnsi="Times New Roman"/>
          <w:sz w:val="24"/>
          <w:szCs w:val="24"/>
        </w:rPr>
        <w:t xml:space="preserve">, </w:t>
      </w:r>
      <w:r>
        <w:rPr>
          <w:rFonts w:ascii="Times New Roman" w:eastAsia="Times New Roman" w:hAnsi="Times New Roman"/>
          <w:sz w:val="24"/>
          <w:szCs w:val="24"/>
        </w:rPr>
        <w:t xml:space="preserve">U.S. District Court Judge R. Austin Huffaker, Jr., Northern District of Alabama, granted the City’s motion for summary judgment.  Here’s the timeline after the March 31, </w:t>
      </w:r>
      <w:proofErr w:type="gramStart"/>
      <w:r>
        <w:rPr>
          <w:rFonts w:ascii="Times New Roman" w:eastAsia="Times New Roman" w:hAnsi="Times New Roman"/>
          <w:sz w:val="24"/>
          <w:szCs w:val="24"/>
        </w:rPr>
        <w:t>2017</w:t>
      </w:r>
      <w:proofErr w:type="gramEnd"/>
      <w:r>
        <w:rPr>
          <w:rFonts w:ascii="Times New Roman" w:eastAsia="Times New Roman" w:hAnsi="Times New Roman"/>
          <w:sz w:val="24"/>
          <w:szCs w:val="24"/>
        </w:rPr>
        <w:t xml:space="preserve"> MVA:  Battalion Chief granted light duty (8-hour clerical) from Oct. 23, </w:t>
      </w:r>
      <w:proofErr w:type="gramStart"/>
      <w:r>
        <w:rPr>
          <w:rFonts w:ascii="Times New Roman" w:eastAsia="Times New Roman" w:hAnsi="Times New Roman"/>
          <w:sz w:val="24"/>
          <w:szCs w:val="24"/>
        </w:rPr>
        <w:t>2017</w:t>
      </w:r>
      <w:proofErr w:type="gramEnd"/>
      <w:r>
        <w:rPr>
          <w:rFonts w:ascii="Times New Roman" w:eastAsia="Times New Roman" w:hAnsi="Times New Roman"/>
          <w:sz w:val="24"/>
          <w:szCs w:val="24"/>
        </w:rPr>
        <w:t xml:space="preserve"> until medically cleared back to work on May 2, 2018.  That day he was re-injured in quarterly physical fitness testing; returned to work May 20, 2018 (15-pound lifting restriction), and City put him back to 24-hour shift; he was denied 8-hour shift and given his continuing physical limitations, on Aug. 15, 2018 he was removed from active service, to go on worker’s comp (retired Sept. 17, 2019).</w:t>
      </w:r>
    </w:p>
    <w:p w14:paraId="17AB11DE" w14:textId="77777777" w:rsidR="00DD03E3" w:rsidRDefault="00DD03E3" w:rsidP="00DD03E3">
      <w:pPr>
        <w:tabs>
          <w:tab w:val="left" w:pos="3000"/>
        </w:tabs>
        <w:spacing w:before="100" w:beforeAutospacing="1" w:after="100" w:afterAutospacing="1" w:line="240" w:lineRule="auto"/>
        <w:ind w:left="720"/>
        <w:rPr>
          <w:rFonts w:ascii="Times New Roman" w:eastAsia="Times New Roman" w:hAnsi="Times New Roman"/>
          <w:b/>
          <w:bCs/>
          <w:sz w:val="24"/>
          <w:szCs w:val="24"/>
        </w:rPr>
      </w:pPr>
      <w:r>
        <w:rPr>
          <w:rFonts w:ascii="Times New Roman" w:eastAsia="Times New Roman" w:hAnsi="Times New Roman"/>
          <w:sz w:val="24"/>
          <w:szCs w:val="24"/>
        </w:rPr>
        <w:t xml:space="preserve"> “[A]n </w:t>
      </w:r>
      <w:r w:rsidRPr="00FF23B7">
        <w:rPr>
          <w:rFonts w:ascii="Times New Roman" w:hAnsi="Times New Roman"/>
          <w:sz w:val="24"/>
          <w:szCs w:val="24"/>
        </w:rPr>
        <w:t xml:space="preserve">employer is not obligated to </w:t>
      </w:r>
      <w:r>
        <w:rPr>
          <w:rFonts w:ascii="Times New Roman" w:hAnsi="Times New Roman"/>
          <w:sz w:val="24"/>
          <w:szCs w:val="24"/>
        </w:rPr>
        <w:t>‘</w:t>
      </w:r>
      <w:r w:rsidRPr="00FF23B7">
        <w:rPr>
          <w:rFonts w:ascii="Times New Roman" w:hAnsi="Times New Roman"/>
          <w:sz w:val="24"/>
          <w:szCs w:val="24"/>
        </w:rPr>
        <w:t>bump</w:t>
      </w:r>
      <w:r>
        <w:rPr>
          <w:rFonts w:ascii="Times New Roman" w:hAnsi="Times New Roman"/>
          <w:sz w:val="24"/>
          <w:szCs w:val="24"/>
        </w:rPr>
        <w:t>’</w:t>
      </w:r>
      <w:r w:rsidRPr="00FF23B7">
        <w:rPr>
          <w:rFonts w:ascii="Times New Roman" w:hAnsi="Times New Roman"/>
          <w:sz w:val="24"/>
          <w:szCs w:val="24"/>
        </w:rPr>
        <w:t xml:space="preserve"> another employee from a position to accommodate a disabled employee. </w:t>
      </w:r>
      <w:r w:rsidRPr="00FF23B7">
        <w:rPr>
          <w:rFonts w:ascii="Times New Roman" w:hAnsi="Times New Roman"/>
          <w:i/>
          <w:iCs/>
          <w:sz w:val="24"/>
          <w:szCs w:val="24"/>
        </w:rPr>
        <w:t>Lucas</w:t>
      </w:r>
      <w:r w:rsidRPr="00FF23B7">
        <w:rPr>
          <w:rFonts w:ascii="Times New Roman" w:hAnsi="Times New Roman"/>
          <w:sz w:val="24"/>
          <w:szCs w:val="24"/>
        </w:rPr>
        <w:t xml:space="preserve">, 257 F.3d at 1256. Nor is an employer required to create a new position for an employee. </w:t>
      </w:r>
      <w:r w:rsidRPr="00FF23B7">
        <w:rPr>
          <w:rFonts w:ascii="Times New Roman" w:hAnsi="Times New Roman"/>
          <w:i/>
          <w:iCs/>
          <w:sz w:val="24"/>
          <w:szCs w:val="24"/>
        </w:rPr>
        <w:t>Boyle v</w:t>
      </w:r>
      <w:r w:rsidRPr="00FF23B7">
        <w:rPr>
          <w:rFonts w:ascii="Times New Roman" w:hAnsi="Times New Roman"/>
          <w:sz w:val="24"/>
          <w:szCs w:val="24"/>
        </w:rPr>
        <w:t xml:space="preserve">. </w:t>
      </w:r>
      <w:r w:rsidRPr="00FF23B7">
        <w:rPr>
          <w:rFonts w:ascii="Times New Roman" w:hAnsi="Times New Roman"/>
          <w:i/>
          <w:iCs/>
          <w:sz w:val="24"/>
          <w:szCs w:val="24"/>
        </w:rPr>
        <w:t>City of Pell City</w:t>
      </w:r>
      <w:r w:rsidRPr="00FF23B7">
        <w:rPr>
          <w:rFonts w:ascii="Times New Roman" w:hAnsi="Times New Roman"/>
          <w:sz w:val="24"/>
          <w:szCs w:val="24"/>
        </w:rPr>
        <w:t xml:space="preserve">, 866 F.3d 1280, 1289 (11th Cir. 2017); </w:t>
      </w:r>
      <w:r w:rsidRPr="00FF23B7">
        <w:rPr>
          <w:rFonts w:ascii="Times New Roman" w:hAnsi="Times New Roman"/>
          <w:i/>
          <w:iCs/>
          <w:sz w:val="24"/>
          <w:szCs w:val="24"/>
        </w:rPr>
        <w:t>Sutton v</w:t>
      </w:r>
      <w:r w:rsidRPr="00FF23B7">
        <w:rPr>
          <w:rFonts w:ascii="Times New Roman" w:hAnsi="Times New Roman"/>
          <w:sz w:val="24"/>
          <w:szCs w:val="24"/>
        </w:rPr>
        <w:t xml:space="preserve">. </w:t>
      </w:r>
      <w:r w:rsidRPr="00FF23B7">
        <w:rPr>
          <w:rFonts w:ascii="Times New Roman" w:hAnsi="Times New Roman"/>
          <w:i/>
          <w:iCs/>
          <w:sz w:val="24"/>
          <w:szCs w:val="24"/>
        </w:rPr>
        <w:t>Lader</w:t>
      </w:r>
      <w:r w:rsidRPr="00FF23B7">
        <w:rPr>
          <w:rFonts w:ascii="Times New Roman" w:hAnsi="Times New Roman"/>
          <w:sz w:val="24"/>
          <w:szCs w:val="24"/>
        </w:rPr>
        <w:t xml:space="preserve">, 185 F.3d 1203, 1210-11 (11th Cir. 1999) (an employer </w:t>
      </w:r>
      <w:r>
        <w:rPr>
          <w:rFonts w:ascii="Times New Roman" w:hAnsi="Times New Roman"/>
          <w:sz w:val="24"/>
          <w:szCs w:val="24"/>
        </w:rPr>
        <w:t>‘</w:t>
      </w:r>
      <w:r w:rsidRPr="00FF23B7">
        <w:rPr>
          <w:rFonts w:ascii="Times New Roman" w:hAnsi="Times New Roman"/>
          <w:sz w:val="24"/>
          <w:szCs w:val="24"/>
        </w:rPr>
        <w:t>is under no obligation to hire an employee for a non-existent job,</w:t>
      </w:r>
      <w:r>
        <w:rPr>
          <w:rFonts w:ascii="Times New Roman" w:hAnsi="Times New Roman"/>
          <w:sz w:val="24"/>
          <w:szCs w:val="24"/>
        </w:rPr>
        <w:t>’</w:t>
      </w:r>
      <w:r w:rsidRPr="00FF23B7">
        <w:rPr>
          <w:rFonts w:ascii="Times New Roman" w:hAnsi="Times New Roman"/>
          <w:sz w:val="24"/>
          <w:szCs w:val="24"/>
        </w:rPr>
        <w:t xml:space="preserve"> nor is it required to create a light-duty position for a disabled employee).</w:t>
      </w:r>
      <w:r w:rsidRPr="00FF23B7">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 </w:t>
      </w:r>
    </w:p>
    <w:p w14:paraId="18D9323D" w14:textId="77777777" w:rsidR="00DD03E3" w:rsidRDefault="00DD03E3" w:rsidP="00DD03E3">
      <w:pPr>
        <w:tabs>
          <w:tab w:val="left" w:pos="3000"/>
        </w:tabs>
        <w:spacing w:before="100" w:beforeAutospacing="1" w:after="100" w:afterAutospacing="1" w:line="240" w:lineRule="auto"/>
        <w:ind w:left="720"/>
        <w:rPr>
          <w:rFonts w:ascii="Times New Roman" w:eastAsia="Times New Roman" w:hAnsi="Times New Roman"/>
          <w:b/>
          <w:bCs/>
          <w:sz w:val="24"/>
          <w:szCs w:val="24"/>
        </w:rPr>
      </w:pPr>
      <w:r>
        <w:rPr>
          <w:rFonts w:ascii="Times New Roman" w:eastAsia="Times New Roman" w:hAnsi="Times New Roman"/>
          <w:b/>
          <w:bCs/>
          <w:sz w:val="24"/>
          <w:szCs w:val="24"/>
        </w:rPr>
        <w:t>***</w:t>
      </w:r>
    </w:p>
    <w:p w14:paraId="5F6917AA" w14:textId="77777777" w:rsidR="00DD03E3" w:rsidRPr="00371299" w:rsidRDefault="00DD03E3" w:rsidP="00DD03E3">
      <w:pPr>
        <w:tabs>
          <w:tab w:val="left" w:pos="3000"/>
        </w:tabs>
        <w:spacing w:before="100" w:beforeAutospacing="1" w:after="100" w:afterAutospacing="1" w:line="240" w:lineRule="auto"/>
        <w:ind w:left="720"/>
        <w:rPr>
          <w:rFonts w:ascii="Times New Roman" w:eastAsia="Times New Roman" w:hAnsi="Times New Roman"/>
          <w:b/>
          <w:bCs/>
          <w:sz w:val="24"/>
          <w:szCs w:val="24"/>
        </w:rPr>
      </w:pPr>
      <w:r w:rsidRPr="00371299">
        <w:rPr>
          <w:rFonts w:ascii="Times New Roman" w:eastAsia="Times New Roman" w:hAnsi="Times New Roman"/>
          <w:sz w:val="24"/>
          <w:szCs w:val="24"/>
        </w:rPr>
        <w:t xml:space="preserve">The Court concludes that working a 24-hour shift is an essential function of the battalion chief position within the City's fire department. As Hawthorne admits, the fire department required a battalion chief to </w:t>
      </w:r>
      <w:proofErr w:type="gramStart"/>
      <w:r w:rsidRPr="00371299">
        <w:rPr>
          <w:rFonts w:ascii="Times New Roman" w:eastAsia="Times New Roman" w:hAnsi="Times New Roman"/>
          <w:sz w:val="24"/>
          <w:szCs w:val="24"/>
        </w:rPr>
        <w:t>be on-duty at all times</w:t>
      </w:r>
      <w:proofErr w:type="gramEnd"/>
      <w:r w:rsidRPr="00371299">
        <w:rPr>
          <w:rFonts w:ascii="Times New Roman" w:eastAsia="Times New Roman" w:hAnsi="Times New Roman"/>
          <w:sz w:val="24"/>
          <w:szCs w:val="24"/>
        </w:rPr>
        <w:t>, and all battalion chiefs and most other fire department personnel worked 24-hour shifts. As such, for Hawthorne to work only a daily 8-hour shift, compared to the 24-hour shifts required of all the other battalion chiefs, there would be a disruption</w:t>
      </w:r>
      <w:r>
        <w:rPr>
          <w:rFonts w:ascii="Times New Roman" w:eastAsia="Times New Roman" w:hAnsi="Times New Roman"/>
          <w:sz w:val="24"/>
          <w:szCs w:val="24"/>
        </w:rPr>
        <w:t xml:space="preserve"> </w:t>
      </w:r>
      <w:r w:rsidRPr="00371299">
        <w:rPr>
          <w:rFonts w:ascii="Times New Roman" w:eastAsia="Times New Roman" w:hAnsi="Times New Roman"/>
          <w:sz w:val="24"/>
          <w:szCs w:val="24"/>
        </w:rPr>
        <w:t>of the shift rotation of the other battalion chiefs who would have to cover Hawthorne's overnight hours in addition to their own, or alternatively, the City would have had to hire an additional battalion chief.</w:t>
      </w:r>
      <w:r>
        <w:rPr>
          <w:rFonts w:ascii="Times New Roman" w:eastAsia="Times New Roman" w:hAnsi="Times New Roman"/>
          <w:sz w:val="24"/>
          <w:szCs w:val="24"/>
        </w:rPr>
        <w:t xml:space="preserve">” </w:t>
      </w:r>
      <w:hyperlink r:id="rId1680" w:history="1">
        <w:r w:rsidRPr="00987F62">
          <w:rPr>
            <w:rStyle w:val="Hyperlink"/>
            <w:rFonts w:ascii="Times New Roman" w:eastAsia="Times New Roman" w:hAnsi="Times New Roman"/>
            <w:sz w:val="24"/>
            <w:szCs w:val="24"/>
          </w:rPr>
          <w:t>https://public.fastcase.com/Wl%2B2t%2BeVuI35%2FN70vAMFZtupy9a3EvXpG9ydLD29CKGnkdsXWzWbFQljc8xBD5GU</w:t>
        </w:r>
      </w:hyperlink>
      <w:r>
        <w:rPr>
          <w:rFonts w:ascii="Times New Roman" w:eastAsia="Times New Roman" w:hAnsi="Times New Roman"/>
          <w:sz w:val="24"/>
          <w:szCs w:val="24"/>
        </w:rPr>
        <w:t xml:space="preserve"> </w:t>
      </w:r>
    </w:p>
    <w:p w14:paraId="2F4E9042" w14:textId="77777777" w:rsidR="00DD03E3" w:rsidRPr="00DE77F1" w:rsidRDefault="00DD03E3" w:rsidP="00DD03E3">
      <w:pPr>
        <w:spacing w:before="100" w:beforeAutospacing="1" w:after="100" w:afterAutospacing="1" w:line="240" w:lineRule="auto"/>
        <w:rPr>
          <w:rFonts w:ascii="Times New Roman" w:eastAsia="Times New Roman" w:hAnsi="Times New Roman"/>
          <w:b/>
          <w:bCs/>
          <w:sz w:val="24"/>
          <w:szCs w:val="24"/>
        </w:rPr>
      </w:pPr>
      <w:r w:rsidRPr="00DE3455">
        <w:rPr>
          <w:rFonts w:ascii="Times New Roman" w:hAnsi="Times New Roman"/>
          <w:b/>
          <w:bCs/>
          <w:sz w:val="24"/>
          <w:szCs w:val="24"/>
        </w:rPr>
        <w:t>Legal Lesson Learned:</w:t>
      </w:r>
      <w:r>
        <w:rPr>
          <w:rFonts w:ascii="Times New Roman" w:hAnsi="Times New Roman"/>
          <w:b/>
          <w:bCs/>
          <w:sz w:val="24"/>
          <w:szCs w:val="24"/>
        </w:rPr>
        <w:t xml:space="preserve"> Under ADA, an employee’s inability to perform the job duties serves as a legitimate, non-discriminatory reason for termination. </w:t>
      </w:r>
    </w:p>
    <w:p w14:paraId="557B80AE" w14:textId="77777777" w:rsidR="00DD03E3" w:rsidRDefault="00DD03E3" w:rsidP="005C30A4">
      <w:pPr>
        <w:pStyle w:val="NoSpacing"/>
        <w:rPr>
          <w:rFonts w:ascii="Arial Black" w:hAnsi="Arial Black"/>
          <w:b/>
          <w:sz w:val="24"/>
          <w:szCs w:val="24"/>
        </w:rPr>
      </w:pPr>
    </w:p>
    <w:p w14:paraId="5D814A79" w14:textId="77777777" w:rsidR="00DD03E3" w:rsidRDefault="00DD03E3" w:rsidP="005C30A4">
      <w:pPr>
        <w:pStyle w:val="NoSpacing"/>
        <w:rPr>
          <w:rFonts w:ascii="Arial Black" w:hAnsi="Arial Black"/>
          <w:b/>
          <w:sz w:val="24"/>
          <w:szCs w:val="24"/>
        </w:rPr>
      </w:pPr>
    </w:p>
    <w:p w14:paraId="237A6548" w14:textId="77777777" w:rsidR="00DD03E3" w:rsidRDefault="00DD03E3" w:rsidP="005C30A4">
      <w:pPr>
        <w:pStyle w:val="NoSpacing"/>
        <w:rPr>
          <w:rFonts w:ascii="Arial Black" w:hAnsi="Arial Black"/>
          <w:b/>
          <w:sz w:val="24"/>
          <w:szCs w:val="24"/>
        </w:rPr>
      </w:pPr>
    </w:p>
    <w:p w14:paraId="4543480C" w14:textId="4412E224" w:rsidR="00F824FE" w:rsidRDefault="00F824FE" w:rsidP="005C30A4">
      <w:pPr>
        <w:pStyle w:val="NoSpacing"/>
        <w:rPr>
          <w:rFonts w:ascii="Arial Black" w:hAnsi="Arial Black"/>
          <w:b/>
          <w:sz w:val="24"/>
          <w:szCs w:val="24"/>
        </w:rPr>
      </w:pPr>
      <w:r>
        <w:rPr>
          <w:rFonts w:ascii="Arial Black" w:hAnsi="Arial Black"/>
          <w:b/>
          <w:sz w:val="24"/>
          <w:szCs w:val="24"/>
        </w:rPr>
        <w:t>9-15</w:t>
      </w:r>
    </w:p>
    <w:p w14:paraId="739E75DD" w14:textId="77777777" w:rsidR="00F824FE" w:rsidRPr="007E1736" w:rsidRDefault="00F824FE" w:rsidP="00F824FE">
      <w:pPr>
        <w:pStyle w:val="NormalWeb"/>
        <w:rPr>
          <w:rFonts w:ascii="Arial Black" w:hAnsi="Arial Black"/>
          <w:sz w:val="28"/>
          <w:szCs w:val="28"/>
        </w:rPr>
      </w:pPr>
      <w:r>
        <w:rPr>
          <w:rFonts w:ascii="Arial Black" w:hAnsi="Arial Black"/>
          <w:sz w:val="28"/>
          <w:szCs w:val="28"/>
        </w:rPr>
        <w:t>MA: FF RETIRED DISABILITY – CFH / HEARING LOSS – SEEKS JOB BACK WITH “AGE-ADJUSTED” HEARING TEST – TRIAL JUDGE TO REVIEW</w:t>
      </w:r>
    </w:p>
    <w:p w14:paraId="211C9826" w14:textId="77777777" w:rsidR="00F824FE" w:rsidRDefault="00F824FE" w:rsidP="00F824FE">
      <w:pPr>
        <w:pStyle w:val="NormalWeb"/>
      </w:pPr>
      <w:r>
        <w:t xml:space="preserve">On Sept. 29, 2020, in </w:t>
      </w:r>
      <w:r w:rsidRPr="003A1F5A">
        <w:rPr>
          <w:u w:val="single"/>
        </w:rPr>
        <w:t>John Rodrigues v. Public Employee Retirement Administration Commission,</w:t>
      </w:r>
      <w:r>
        <w:t xml:space="preserve"> the Appeals Court of Massachusetts held (3 to 0) that firefighter’s reinstatement was properly denied because of his heart condition, but case remanded to trial court to decide if the Commonwealth’s Human Resources Division [HRD] requirement that FF must past the hearing standard for new hires, not “age-adjusted” standards, is lawful. </w:t>
      </w:r>
    </w:p>
    <w:p w14:paraId="61059CD4" w14:textId="77777777" w:rsidR="00F824FE" w:rsidRPr="007E1736" w:rsidRDefault="00F824FE" w:rsidP="00F824FE">
      <w:pPr>
        <w:pStyle w:val="NormalWeb"/>
        <w:ind w:left="720"/>
      </w:pPr>
      <w:r>
        <w:t xml:space="preserve">In addition to his claims for reinstatement or damages, Rodrigues also brought claims seeking declaratory relief -- in particular, count one seeks, among other things, a determination that PERAC should apply age-adjusted, in-service health and fitness standards in determining restoration to service under c. 32, § 8, and count two specifically seeks a declaration that PERAC violated G. L. c. 31, § 61A, by failing to employ such age-adjusted hearing standards. </w:t>
      </w:r>
      <w:r w:rsidRPr="007E1736">
        <w:t>These claims should not have been dismissed. They raise primarily questions of law that could well arise in any of Rodrigues's future reinstatement evaluations (which under G. L. c. 32, § 8 [1] [</w:t>
      </w:r>
      <w:r w:rsidRPr="007E1736">
        <w:rPr>
          <w:u w:val="single"/>
        </w:rPr>
        <w:t>a</w:t>
      </w:r>
      <w:r w:rsidRPr="007E1736">
        <w:t>], are to occur at least every three years), not to mention those of other firefighters and police officers on disability retirement. The legal questions implicate the requirements of the two above-mentioned statutes, and how those statutes interrelate. Answering them also will require analysis</w:t>
      </w:r>
      <w:r>
        <w:t xml:space="preserve"> </w:t>
      </w:r>
      <w:r w:rsidRPr="007E1736">
        <w:t xml:space="preserve">of a 2016 regulation issued by PERAC, discussed </w:t>
      </w:r>
      <w:r w:rsidRPr="007E1736">
        <w:rPr>
          <w:u w:val="single"/>
        </w:rPr>
        <w:t>infra</w:t>
      </w:r>
      <w:r w:rsidRPr="007E1736">
        <w:t>. The issue is appropriate for declaratory relief.</w:t>
      </w:r>
      <w:r>
        <w:t xml:space="preserve">”  </w:t>
      </w:r>
      <w:hyperlink r:id="rId1681" w:history="1">
        <w:r w:rsidRPr="00D550EA">
          <w:rPr>
            <w:rStyle w:val="Hyperlink"/>
          </w:rPr>
          <w:t>https://www.mass.gov/files/documents/2020/09/29/q19P0676.pdf</w:t>
        </w:r>
      </w:hyperlink>
      <w:r>
        <w:t xml:space="preserve"> </w:t>
      </w:r>
    </w:p>
    <w:p w14:paraId="5374664E" w14:textId="77777777" w:rsidR="00B532F6" w:rsidRPr="00980A0C" w:rsidRDefault="00B532F6" w:rsidP="00B532F6">
      <w:pPr>
        <w:tabs>
          <w:tab w:val="left" w:pos="3689"/>
        </w:tabs>
        <w:spacing w:before="100" w:beforeAutospacing="1" w:after="100" w:afterAutospacing="1" w:line="240" w:lineRule="auto"/>
        <w:rPr>
          <w:rFonts w:ascii="Times New Roman" w:eastAsia="Times New Roman" w:hAnsi="Times New Roman"/>
          <w:b/>
          <w:bCs/>
          <w:sz w:val="24"/>
          <w:szCs w:val="24"/>
        </w:rPr>
      </w:pPr>
      <w:r w:rsidRPr="00980A0C">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Will be interesting to see if the Trial Court, and the Court of Appeals, eventually holds that hearing standards for firefighters and police officers seeking reinstatement can be “age adjusted.” </w:t>
      </w:r>
    </w:p>
    <w:p w14:paraId="33858E5C" w14:textId="77777777" w:rsidR="00B532F6" w:rsidRPr="00980A0C" w:rsidRDefault="00B532F6" w:rsidP="00B532F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See OSHA Guidance: </w:t>
      </w:r>
      <w:r w:rsidRPr="00980A0C">
        <w:rPr>
          <w:rFonts w:ascii="Times New Roman" w:hAnsi="Times New Roman"/>
          <w:sz w:val="24"/>
          <w:szCs w:val="24"/>
        </w:rPr>
        <w:t>1910.95 App F - Calculations and application of age corrections to audiograms</w:t>
      </w:r>
      <w:r>
        <w:rPr>
          <w:rFonts w:ascii="Times New Roman" w:hAnsi="Times New Roman"/>
          <w:sz w:val="24"/>
          <w:szCs w:val="24"/>
        </w:rPr>
        <w:t>:</w:t>
      </w:r>
    </w:p>
    <w:p w14:paraId="25B338F7" w14:textId="77777777" w:rsidR="00B532F6" w:rsidRPr="00980A0C" w:rsidRDefault="00B532F6" w:rsidP="00B532F6">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980A0C">
        <w:rPr>
          <w:rFonts w:ascii="Times New Roman" w:hAnsi="Times New Roman"/>
          <w:sz w:val="24"/>
          <w:szCs w:val="24"/>
        </w:rPr>
        <w:t xml:space="preserve">In determining whether a standard threshold shift has occurred, allowance may be made for the contribution of aging to the change in hearing level by adjusting the most recent audiogram. If the employer chooses to adjust the audiogram, the employer shall follow the procedure described below. This procedure and the age correction tables were developed by the National Institute for Occupational Safety and Health in the criteria document entitled </w:t>
      </w:r>
      <w:r>
        <w:rPr>
          <w:rFonts w:ascii="Times New Roman" w:hAnsi="Times New Roman"/>
          <w:sz w:val="24"/>
          <w:szCs w:val="24"/>
        </w:rPr>
        <w:t>‘</w:t>
      </w:r>
      <w:r w:rsidRPr="00980A0C">
        <w:rPr>
          <w:rFonts w:ascii="Times New Roman" w:hAnsi="Times New Roman"/>
          <w:sz w:val="24"/>
          <w:szCs w:val="24"/>
        </w:rPr>
        <w:t>Criteria for a Recommended Standard . . . Occupational Exposure to Noise,</w:t>
      </w:r>
      <w:r>
        <w:rPr>
          <w:rFonts w:ascii="Times New Roman" w:hAnsi="Times New Roman"/>
          <w:sz w:val="24"/>
          <w:szCs w:val="24"/>
        </w:rPr>
        <w:t>’</w:t>
      </w:r>
      <w:r w:rsidRPr="00980A0C">
        <w:rPr>
          <w:rFonts w:ascii="Times New Roman" w:hAnsi="Times New Roman"/>
          <w:sz w:val="24"/>
          <w:szCs w:val="24"/>
        </w:rPr>
        <w:t xml:space="preserve"> ((HSM)-11001).</w:t>
      </w:r>
      <w:r>
        <w:rPr>
          <w:rFonts w:ascii="Times New Roman" w:hAnsi="Times New Roman"/>
          <w:sz w:val="24"/>
          <w:szCs w:val="24"/>
        </w:rPr>
        <w:t xml:space="preserve">” </w:t>
      </w:r>
      <w:hyperlink r:id="rId1682" w:history="1">
        <w:r w:rsidRPr="00D550EA">
          <w:rPr>
            <w:rStyle w:val="Hyperlink"/>
            <w:rFonts w:ascii="Times New Roman" w:hAnsi="Times New Roman"/>
            <w:sz w:val="24"/>
            <w:szCs w:val="24"/>
          </w:rPr>
          <w:t>https://www.osha.gov/laws-regs/regulations/standardnumber/1910/1910.95AppF</w:t>
        </w:r>
      </w:hyperlink>
      <w:r>
        <w:rPr>
          <w:rFonts w:ascii="Times New Roman" w:hAnsi="Times New Roman"/>
          <w:sz w:val="24"/>
          <w:szCs w:val="24"/>
        </w:rPr>
        <w:t xml:space="preserve"> </w:t>
      </w:r>
    </w:p>
    <w:p w14:paraId="679D1187" w14:textId="77777777" w:rsidR="00B532F6" w:rsidRDefault="00B532F6" w:rsidP="00B532F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See also: IAFF’s “Fire Department Guide to Implementing NFPA 1582,” </w:t>
      </w:r>
      <w:hyperlink r:id="rId1683" w:history="1">
        <w:r w:rsidRPr="00D550EA">
          <w:rPr>
            <w:rStyle w:val="Hyperlink"/>
            <w:rFonts w:ascii="Times New Roman" w:eastAsia="Times New Roman" w:hAnsi="Times New Roman"/>
            <w:sz w:val="24"/>
            <w:szCs w:val="24"/>
          </w:rPr>
          <w:t>https://www.iafc.org/docs/default-source/1vcos/vws_rrkit_nfpa-1582.pdf?sfvrsn=ca9b9f0d_2</w:t>
        </w:r>
      </w:hyperlink>
      <w:r>
        <w:rPr>
          <w:rFonts w:ascii="Times New Roman" w:eastAsia="Times New Roman" w:hAnsi="Times New Roman"/>
          <w:sz w:val="24"/>
          <w:szCs w:val="24"/>
        </w:rPr>
        <w:t xml:space="preserve"> </w:t>
      </w:r>
    </w:p>
    <w:p w14:paraId="6100B7F7" w14:textId="0FB651EB" w:rsidR="00F824FE" w:rsidRPr="00B532F6" w:rsidRDefault="00B532F6" w:rsidP="00B532F6">
      <w:pPr>
        <w:pStyle w:val="NoSpacing"/>
        <w:ind w:left="720"/>
        <w:rPr>
          <w:rFonts w:ascii="Times New Roman" w:hAnsi="Times New Roman"/>
          <w:b/>
          <w:sz w:val="24"/>
          <w:szCs w:val="24"/>
        </w:rPr>
      </w:pPr>
      <w:r w:rsidRPr="00B532F6">
        <w:rPr>
          <w:rFonts w:ascii="Times New Roman" w:hAnsi="Times New Roman"/>
          <w:sz w:val="24"/>
          <w:szCs w:val="24"/>
        </w:rPr>
        <w:t>See also EEOC Guidance: “</w:t>
      </w:r>
      <w:r w:rsidRPr="00B532F6">
        <w:rPr>
          <w:rStyle w:val="field"/>
          <w:rFonts w:ascii="Times New Roman" w:eastAsiaTheme="majorEastAsia" w:hAnsi="Times New Roman"/>
          <w:sz w:val="24"/>
          <w:szCs w:val="24"/>
        </w:rPr>
        <w:t>Deafness and Hearing Impairments in the Workplace and the Americans with Disabilities Act.” “</w:t>
      </w:r>
      <w:r w:rsidRPr="00B532F6">
        <w:rPr>
          <w:rFonts w:ascii="Times New Roman" w:hAnsi="Times New Roman"/>
          <w:sz w:val="24"/>
          <w:szCs w:val="24"/>
        </w:rPr>
        <w:t xml:space="preserve">An employer only may exclude an individual with a hearing impairment from a job for safety reasons when the individual poses a direct threat. A ‘direct threat’ is a significant risk of substantial harm to the individual or others that cannot be eliminated or reduced through reasonable accommodation. This determination must be based on objective, factual evidence, including the best recent medical </w:t>
      </w:r>
      <w:proofErr w:type="gramStart"/>
      <w:r w:rsidRPr="00B532F6">
        <w:rPr>
          <w:rFonts w:ascii="Times New Roman" w:hAnsi="Times New Roman"/>
          <w:sz w:val="24"/>
          <w:szCs w:val="24"/>
        </w:rPr>
        <w:t>evidence.”</w:t>
      </w:r>
      <w:proofErr w:type="gramEnd"/>
      <w:r w:rsidRPr="00B532F6">
        <w:rPr>
          <w:rFonts w:ascii="Times New Roman" w:hAnsi="Times New Roman"/>
          <w:sz w:val="24"/>
          <w:szCs w:val="24"/>
        </w:rPr>
        <w:t xml:space="preserve"> </w:t>
      </w:r>
      <w:hyperlink r:id="rId1684" w:history="1">
        <w:r w:rsidRPr="00B532F6">
          <w:rPr>
            <w:rStyle w:val="Hyperlink"/>
            <w:rFonts w:ascii="Times New Roman" w:hAnsi="Times New Roman"/>
            <w:sz w:val="24"/>
            <w:szCs w:val="24"/>
          </w:rPr>
          <w:t>https://www.eeoc.gov/laws/guidance/deafness-and-hearing-impairments-workplace-and-americans-disabilities-act</w:t>
        </w:r>
      </w:hyperlink>
    </w:p>
    <w:p w14:paraId="10F409A7" w14:textId="77777777" w:rsidR="00F824FE" w:rsidRDefault="00F824FE" w:rsidP="005C30A4">
      <w:pPr>
        <w:pStyle w:val="NoSpacing"/>
        <w:rPr>
          <w:rFonts w:ascii="Arial Black" w:hAnsi="Arial Black"/>
          <w:b/>
          <w:sz w:val="24"/>
          <w:szCs w:val="24"/>
        </w:rPr>
      </w:pPr>
    </w:p>
    <w:p w14:paraId="42EC4CD1" w14:textId="77777777" w:rsidR="00F824FE" w:rsidRDefault="00F824FE" w:rsidP="005C30A4">
      <w:pPr>
        <w:pStyle w:val="NoSpacing"/>
        <w:rPr>
          <w:rFonts w:ascii="Arial Black" w:hAnsi="Arial Black"/>
          <w:b/>
          <w:sz w:val="24"/>
          <w:szCs w:val="24"/>
        </w:rPr>
      </w:pPr>
    </w:p>
    <w:p w14:paraId="366CCB0E" w14:textId="7D23010D" w:rsidR="00F824FE" w:rsidRDefault="00F824FE" w:rsidP="005C30A4">
      <w:pPr>
        <w:pStyle w:val="NoSpacing"/>
        <w:rPr>
          <w:rFonts w:ascii="Arial Black" w:hAnsi="Arial Black"/>
          <w:b/>
          <w:sz w:val="24"/>
          <w:szCs w:val="24"/>
        </w:rPr>
      </w:pPr>
      <w:r>
        <w:rPr>
          <w:rFonts w:ascii="Arial Black" w:hAnsi="Arial Black"/>
          <w:b/>
          <w:sz w:val="24"/>
          <w:szCs w:val="24"/>
        </w:rPr>
        <w:t>9-14</w:t>
      </w:r>
    </w:p>
    <w:p w14:paraId="6735E77D" w14:textId="77777777" w:rsidR="00F824FE" w:rsidRPr="00ED5C13" w:rsidRDefault="00F824FE" w:rsidP="00F824FE">
      <w:pPr>
        <w:pStyle w:val="NormalWeb"/>
        <w:rPr>
          <w:rFonts w:ascii="Arial Black" w:hAnsi="Arial Black"/>
          <w:b/>
          <w:bCs/>
          <w:sz w:val="28"/>
          <w:szCs w:val="28"/>
        </w:rPr>
      </w:pPr>
      <w:r>
        <w:rPr>
          <w:rFonts w:ascii="Arial Black" w:hAnsi="Arial Black"/>
          <w:b/>
          <w:bCs/>
          <w:sz w:val="28"/>
          <w:szCs w:val="28"/>
        </w:rPr>
        <w:t>LA: FF HEARING LOSS – REIMBURSED FOR HEARING AIDS – BUT NO ENTITLED TO DISABILITY PAYMENTS – NOT “SINGLE ACCIDENT”</w:t>
      </w:r>
    </w:p>
    <w:p w14:paraId="19FE875F" w14:textId="77777777" w:rsidR="00F824FE" w:rsidRDefault="00F824FE" w:rsidP="00F824FE">
      <w:pPr>
        <w:pStyle w:val="NormalWeb"/>
      </w:pPr>
      <w:r w:rsidRPr="00ED5C13">
        <w:t xml:space="preserve">On </w:t>
      </w:r>
      <w:r>
        <w:t xml:space="preserve">Sept. 22, 2020, in </w:t>
      </w:r>
      <w:r w:rsidRPr="0087261C">
        <w:rPr>
          <w:u w:val="single"/>
        </w:rPr>
        <w:t>Glenn Hankel v. Jefferson Parish Fire Department</w:t>
      </w:r>
      <w:r>
        <w:t>, the Fifth Circuit Court of Appeal of State of Louisiana, held (2 to 1) that while the fire department reimbursed the retired firefighter for cost of hearing aids based on LA firefighter statutory presumption statute, he was not entitled to permanent partial disability payments [which would be 66 2/3</w:t>
      </w:r>
      <w:r w:rsidRPr="00D038AA">
        <w:rPr>
          <w:vertAlign w:val="superscript"/>
        </w:rPr>
        <w:t>rd</w:t>
      </w:r>
      <w:r>
        <w:t xml:space="preserve"> weekly wages, up to 100 weeks] since the LA statute only applies to disabilities caused by a single accident. </w:t>
      </w:r>
    </w:p>
    <w:p w14:paraId="549BFCA3" w14:textId="77777777" w:rsidR="00F824FE" w:rsidRDefault="00F824FE" w:rsidP="00F824FE">
      <w:pPr>
        <w:pStyle w:val="NormalWeb"/>
        <w:ind w:left="720"/>
        <w:rPr>
          <w:b/>
          <w:bCs/>
        </w:rPr>
      </w:pPr>
      <w:r>
        <w:t xml:space="preserve">“In the instant case, there is no dispute that Mr. Hankel's hearing loss was gradual and not the result of a single accident or event. The plain language of La. R.S. 23:1221(4)(p) only provides benefits for permanent hearing losses resulting solely from a single traumatic accident. Accordingly, after a </w:t>
      </w:r>
      <w:r>
        <w:rPr>
          <w:i/>
          <w:iCs/>
        </w:rPr>
        <w:t>de novo</w:t>
      </w:r>
      <w:r>
        <w:t xml:space="preserve"> review of the record, we find that there is no genuine issue as to material fact and that the JPFD is entitled to judgment as a matter of law. Thus, we find no error in the trial court's ruling that Mr. Hankel is not entitled to permanent partial disability benefits for his hearing loss.  </w:t>
      </w:r>
      <w:hyperlink r:id="rId1685" w:history="1">
        <w:r w:rsidRPr="002F1E28">
          <w:rPr>
            <w:rStyle w:val="Hyperlink"/>
          </w:rPr>
          <w:t>https://law.justia.com/cases/louisiana/fifth-circuit-court-of-appeal/2020/19-ca-613.html</w:t>
        </w:r>
      </w:hyperlink>
      <w:r>
        <w:t xml:space="preserve"> </w:t>
      </w:r>
    </w:p>
    <w:p w14:paraId="69D8D625" w14:textId="77777777" w:rsidR="00F824FE" w:rsidRPr="00C30645" w:rsidRDefault="00F824FE" w:rsidP="00F824FE">
      <w:pPr>
        <w:spacing w:after="100" w:line="240" w:lineRule="auto"/>
        <w:rPr>
          <w:rFonts w:ascii="Times New Roman" w:eastAsia="Times New Roman" w:hAnsi="Times New Roman"/>
          <w:b/>
          <w:bCs/>
          <w:sz w:val="24"/>
          <w:szCs w:val="24"/>
        </w:rPr>
      </w:pPr>
      <w:r w:rsidRPr="00C30645">
        <w:rPr>
          <w:rFonts w:ascii="Times New Roman" w:hAnsi="Times New Roman"/>
          <w:b/>
          <w:bCs/>
          <w:sz w:val="24"/>
          <w:szCs w:val="24"/>
        </w:rPr>
        <w:t>Legal Lessons Learned:  This case may be appealed to the Louisiana Supreme Court; Dissenting judge references prior L</w:t>
      </w:r>
      <w:r>
        <w:rPr>
          <w:rFonts w:ascii="Times New Roman" w:hAnsi="Times New Roman"/>
          <w:b/>
          <w:bCs/>
          <w:sz w:val="24"/>
          <w:szCs w:val="24"/>
        </w:rPr>
        <w:t xml:space="preserve">ouisiana </w:t>
      </w:r>
      <w:r w:rsidRPr="00C30645">
        <w:rPr>
          <w:rFonts w:ascii="Times New Roman" w:hAnsi="Times New Roman"/>
          <w:b/>
          <w:bCs/>
          <w:sz w:val="24"/>
          <w:szCs w:val="24"/>
        </w:rPr>
        <w:t xml:space="preserve">Supreme Court decision in </w:t>
      </w:r>
      <w:r w:rsidRPr="00C30645">
        <w:rPr>
          <w:rFonts w:ascii="Times New Roman" w:hAnsi="Times New Roman"/>
          <w:b/>
          <w:bCs/>
          <w:i/>
          <w:iCs/>
          <w:sz w:val="24"/>
          <w:szCs w:val="24"/>
        </w:rPr>
        <w:t>Arrant v Graphic Packaging Int'l</w:t>
      </w:r>
      <w:r w:rsidRPr="00C30645">
        <w:rPr>
          <w:rFonts w:ascii="Times New Roman" w:hAnsi="Times New Roman"/>
          <w:b/>
          <w:bCs/>
          <w:sz w:val="24"/>
          <w:szCs w:val="24"/>
        </w:rPr>
        <w:t xml:space="preserve">, </w:t>
      </w:r>
      <w:r w:rsidRPr="00C30645">
        <w:rPr>
          <w:rFonts w:ascii="Times New Roman" w:hAnsi="Times New Roman"/>
          <w:b/>
          <w:bCs/>
          <w:i/>
          <w:iCs/>
          <w:sz w:val="24"/>
          <w:szCs w:val="24"/>
        </w:rPr>
        <w:t>Inc</w:t>
      </w:r>
      <w:r w:rsidRPr="00C30645">
        <w:rPr>
          <w:rFonts w:ascii="Times New Roman" w:hAnsi="Times New Roman"/>
          <w:b/>
          <w:bCs/>
          <w:sz w:val="24"/>
          <w:szCs w:val="24"/>
        </w:rPr>
        <w:t>., 13-2878, 169 So. 3d 296, 305 (La. 5/5/15</w:t>
      </w:r>
      <w:r>
        <w:rPr>
          <w:rFonts w:ascii="Times New Roman" w:hAnsi="Times New Roman"/>
          <w:b/>
          <w:bCs/>
          <w:sz w:val="24"/>
          <w:szCs w:val="24"/>
        </w:rPr>
        <w:t xml:space="preserve">). </w:t>
      </w:r>
      <w:hyperlink r:id="rId1686" w:history="1">
        <w:r w:rsidRPr="002F1E28">
          <w:rPr>
            <w:rStyle w:val="Hyperlink"/>
            <w:rFonts w:ascii="Times New Roman" w:hAnsi="Times New Roman"/>
            <w:b/>
            <w:bCs/>
            <w:sz w:val="24"/>
            <w:szCs w:val="24"/>
          </w:rPr>
          <w:t>https://law.justia.com/cases/louisiana/supreme-court/2015/2013-c-2878.html</w:t>
        </w:r>
      </w:hyperlink>
      <w:r>
        <w:rPr>
          <w:rFonts w:ascii="Times New Roman" w:hAnsi="Times New Roman"/>
          <w:b/>
          <w:bCs/>
          <w:sz w:val="24"/>
          <w:szCs w:val="24"/>
        </w:rPr>
        <w:t xml:space="preserve"> </w:t>
      </w:r>
    </w:p>
    <w:p w14:paraId="3E9C39FC" w14:textId="77777777" w:rsidR="00F824FE" w:rsidRDefault="00F824FE" w:rsidP="00F824FE">
      <w:pPr>
        <w:spacing w:before="100" w:beforeAutospacing="1" w:after="100" w:afterAutospacing="1" w:line="240" w:lineRule="auto"/>
        <w:ind w:left="720"/>
      </w:pPr>
      <w:r>
        <w:rPr>
          <w:rFonts w:ascii="Times New Roman" w:hAnsi="Times New Roman"/>
          <w:sz w:val="24"/>
          <w:szCs w:val="24"/>
        </w:rPr>
        <w:t xml:space="preserve">Note:  See Louisiana Firefighter Statutory Presumption </w:t>
      </w:r>
      <w:proofErr w:type="gramStart"/>
      <w:r>
        <w:rPr>
          <w:rFonts w:ascii="Times New Roman" w:hAnsi="Times New Roman"/>
          <w:sz w:val="24"/>
          <w:szCs w:val="24"/>
        </w:rPr>
        <w:t>For</w:t>
      </w:r>
      <w:proofErr w:type="gramEnd"/>
      <w:r>
        <w:rPr>
          <w:rFonts w:ascii="Times New Roman" w:hAnsi="Times New Roman"/>
          <w:sz w:val="24"/>
          <w:szCs w:val="24"/>
        </w:rPr>
        <w:t xml:space="preserve"> Hearing Loss</w:t>
      </w:r>
    </w:p>
    <w:p w14:paraId="0A694BA5" w14:textId="77777777" w:rsidR="00F824FE" w:rsidRPr="009240F1" w:rsidRDefault="00F824FE" w:rsidP="00F824FE">
      <w:pPr>
        <w:spacing w:before="100" w:beforeAutospacing="1" w:after="100" w:afterAutospacing="1" w:line="240" w:lineRule="auto"/>
        <w:rPr>
          <w:rFonts w:ascii="Times New Roman" w:eastAsia="Times New Roman" w:hAnsi="Times New Roman"/>
          <w:sz w:val="24"/>
          <w:szCs w:val="24"/>
        </w:rPr>
      </w:pPr>
      <w:r w:rsidRPr="009240F1">
        <w:rPr>
          <w:rFonts w:ascii="Times New Roman" w:eastAsia="Times New Roman" w:hAnsi="Times New Roman"/>
          <w:sz w:val="24"/>
          <w:szCs w:val="24"/>
        </w:rPr>
        <w:t> </w:t>
      </w:r>
      <w:r>
        <w:rPr>
          <w:rFonts w:ascii="Times New Roman" w:eastAsia="Times New Roman" w:hAnsi="Times New Roman"/>
          <w:sz w:val="24"/>
          <w:szCs w:val="24"/>
        </w:rPr>
        <w:tab/>
      </w:r>
      <w:r w:rsidRPr="009240F1">
        <w:rPr>
          <w:rFonts w:ascii="Times New Roman" w:eastAsia="Times New Roman" w:hAnsi="Times New Roman"/>
          <w:sz w:val="24"/>
          <w:szCs w:val="24"/>
        </w:rPr>
        <w:t>La. R.S. 33:2581.1 provides:</w:t>
      </w:r>
    </w:p>
    <w:p w14:paraId="0487BD48" w14:textId="77777777" w:rsidR="00F824FE" w:rsidRDefault="00F824FE" w:rsidP="00F824FE">
      <w:pPr>
        <w:pStyle w:val="ListParagraph"/>
        <w:numPr>
          <w:ilvl w:val="0"/>
          <w:numId w:val="5"/>
        </w:numPr>
        <w:spacing w:after="100" w:line="240" w:lineRule="auto"/>
        <w:rPr>
          <w:rFonts w:ascii="Times New Roman" w:eastAsia="Times New Roman" w:hAnsi="Times New Roman" w:cs="Times New Roman"/>
          <w:sz w:val="24"/>
          <w:szCs w:val="24"/>
        </w:rPr>
      </w:pPr>
      <w:r w:rsidRPr="00B3719C">
        <w:rPr>
          <w:rFonts w:ascii="Times New Roman" w:eastAsia="Times New Roman" w:hAnsi="Times New Roman" w:cs="Times New Roman"/>
          <w:sz w:val="24"/>
          <w:szCs w:val="24"/>
        </w:rPr>
        <w:t xml:space="preserve">Any loss of hearing which is ten percent greater than that of the affected employee's comparable age group in the general population and which develops during employment in the classified fire service in the state of Louisiana shall, for purposes of this Section only, be classified as a disease or infirmity connected with employment. The employee affected shall be entitled to medical benefits including hearing prosthesis as granted by the laws of the state of Louisiana to which one suffering an occupational disease is entitled, regardless of whether the fireman is on duty at the time he is stricken with the loss of hearing. Such loss of hearing shall be presumed to have </w:t>
      </w:r>
    </w:p>
    <w:p w14:paraId="66751971" w14:textId="77777777" w:rsidR="00F824FE" w:rsidRDefault="00F824FE" w:rsidP="00F824FE">
      <w:pPr>
        <w:pStyle w:val="ListParagraph"/>
        <w:spacing w:after="100" w:line="240" w:lineRule="auto"/>
        <w:ind w:left="1800"/>
        <w:rPr>
          <w:rFonts w:ascii="Times New Roman" w:eastAsia="Times New Roman" w:hAnsi="Times New Roman" w:cs="Times New Roman"/>
          <w:sz w:val="24"/>
          <w:szCs w:val="24"/>
        </w:rPr>
      </w:pPr>
    </w:p>
    <w:p w14:paraId="355DFD49" w14:textId="77777777" w:rsidR="00F824FE" w:rsidRDefault="00F824FE" w:rsidP="00F824FE">
      <w:pPr>
        <w:pStyle w:val="ListParagraph"/>
        <w:spacing w:after="100" w:line="240" w:lineRule="auto"/>
        <w:ind w:left="1800"/>
        <w:rPr>
          <w:rFonts w:ascii="Times New Roman" w:eastAsia="Times New Roman" w:hAnsi="Times New Roman" w:cs="Times New Roman"/>
          <w:sz w:val="24"/>
          <w:szCs w:val="24"/>
        </w:rPr>
      </w:pPr>
      <w:r w:rsidRPr="00B3719C">
        <w:rPr>
          <w:rFonts w:ascii="Times New Roman" w:eastAsia="Times New Roman" w:hAnsi="Times New Roman" w:cs="Times New Roman"/>
          <w:sz w:val="24"/>
          <w:szCs w:val="24"/>
        </w:rPr>
        <w:t>developed during employment and shall be presumed to have been caused by or to have resulted from the nature of the work performed whenever same is manifested at any time after the first five years of employment in such classified service. This presumption shall be rebuttable by evidence meeting judicial standards and shall be extended to an employee following termination of service for a period of twenty-four months.</w:t>
      </w:r>
    </w:p>
    <w:p w14:paraId="71CAAF4F" w14:textId="77777777" w:rsidR="00F824FE" w:rsidRDefault="00F824FE" w:rsidP="00F824FE">
      <w:pPr>
        <w:pStyle w:val="ListParagraph"/>
        <w:spacing w:after="100" w:line="240" w:lineRule="auto"/>
        <w:ind w:left="1800"/>
        <w:rPr>
          <w:rFonts w:ascii="Times New Roman" w:eastAsia="Times New Roman" w:hAnsi="Times New Roman" w:cs="Times New Roman"/>
          <w:sz w:val="24"/>
          <w:szCs w:val="24"/>
        </w:rPr>
      </w:pPr>
    </w:p>
    <w:p w14:paraId="2A645C4E" w14:textId="77777777" w:rsidR="00F824FE" w:rsidRDefault="00F824FE" w:rsidP="005C30A4">
      <w:pPr>
        <w:pStyle w:val="NoSpacing"/>
        <w:rPr>
          <w:rFonts w:ascii="Arial Black" w:hAnsi="Arial Black"/>
          <w:b/>
          <w:sz w:val="24"/>
          <w:szCs w:val="24"/>
        </w:rPr>
      </w:pPr>
    </w:p>
    <w:p w14:paraId="2D50AA47" w14:textId="77777777" w:rsidR="00F824FE" w:rsidRDefault="00F824FE" w:rsidP="005C30A4">
      <w:pPr>
        <w:pStyle w:val="NoSpacing"/>
        <w:rPr>
          <w:rFonts w:ascii="Arial Black" w:hAnsi="Arial Black"/>
          <w:b/>
          <w:sz w:val="24"/>
          <w:szCs w:val="24"/>
        </w:rPr>
      </w:pPr>
    </w:p>
    <w:p w14:paraId="6E7FF063" w14:textId="313A86C3" w:rsidR="001C563D" w:rsidRDefault="001C563D" w:rsidP="005C30A4">
      <w:pPr>
        <w:pStyle w:val="NoSpacing"/>
        <w:rPr>
          <w:rFonts w:ascii="Arial Black" w:hAnsi="Arial Black"/>
          <w:b/>
          <w:sz w:val="24"/>
          <w:szCs w:val="24"/>
        </w:rPr>
      </w:pPr>
      <w:r>
        <w:rPr>
          <w:rFonts w:ascii="Arial Black" w:hAnsi="Arial Black"/>
          <w:b/>
          <w:sz w:val="24"/>
          <w:szCs w:val="24"/>
        </w:rPr>
        <w:t>9-13</w:t>
      </w:r>
    </w:p>
    <w:p w14:paraId="6A5FFA1B" w14:textId="7F0ADDB5" w:rsidR="001C563D" w:rsidRDefault="001C563D" w:rsidP="005C30A4">
      <w:pPr>
        <w:pStyle w:val="NoSpacing"/>
        <w:rPr>
          <w:rFonts w:ascii="Arial Black" w:hAnsi="Arial Black"/>
          <w:b/>
          <w:sz w:val="24"/>
          <w:szCs w:val="24"/>
        </w:rPr>
      </w:pPr>
    </w:p>
    <w:p w14:paraId="44C2D4A9" w14:textId="77777777" w:rsidR="001C563D" w:rsidRDefault="001C563D" w:rsidP="001C563D">
      <w:pPr>
        <w:pStyle w:val="NoSpacing"/>
        <w:rPr>
          <w:rFonts w:ascii="Arial Black" w:hAnsi="Arial Black"/>
          <w:sz w:val="28"/>
          <w:szCs w:val="28"/>
        </w:rPr>
      </w:pPr>
      <w:r w:rsidRPr="001E444E">
        <w:rPr>
          <w:rFonts w:ascii="Arial Black" w:hAnsi="Arial Black"/>
          <w:sz w:val="28"/>
          <w:szCs w:val="28"/>
        </w:rPr>
        <w:t xml:space="preserve">NY: </w:t>
      </w:r>
      <w:r>
        <w:rPr>
          <w:rFonts w:ascii="Arial Black" w:hAnsi="Arial Black"/>
          <w:sz w:val="28"/>
          <w:szCs w:val="28"/>
        </w:rPr>
        <w:t>CIVILIAN FIRE PROTECTION INSPECTOR – ASTHMA, OFFICE ONLY WORK - NOT PROMOTED FIELD POSITION</w:t>
      </w:r>
    </w:p>
    <w:p w14:paraId="016522C7" w14:textId="77777777" w:rsidR="001C563D" w:rsidRDefault="001C563D" w:rsidP="001C563D">
      <w:pPr>
        <w:pStyle w:val="NoSpacing"/>
        <w:rPr>
          <w:rFonts w:ascii="Arial Black" w:hAnsi="Arial Black"/>
          <w:sz w:val="28"/>
          <w:szCs w:val="28"/>
        </w:rPr>
      </w:pPr>
    </w:p>
    <w:p w14:paraId="1FF3D56E" w14:textId="77777777" w:rsidR="001C563D" w:rsidRPr="00247349" w:rsidRDefault="001C563D" w:rsidP="001C563D">
      <w:pPr>
        <w:pStyle w:val="NoSpacing"/>
        <w:rPr>
          <w:rFonts w:ascii="Times New Roman" w:hAnsi="Times New Roman"/>
          <w:sz w:val="24"/>
          <w:szCs w:val="24"/>
        </w:rPr>
      </w:pPr>
      <w:r w:rsidRPr="001E444E">
        <w:rPr>
          <w:rFonts w:ascii="Times New Roman" w:hAnsi="Times New Roman"/>
          <w:sz w:val="24"/>
          <w:szCs w:val="24"/>
        </w:rPr>
        <w:t>On July 18, 2020</w:t>
      </w:r>
      <w:r>
        <w:rPr>
          <w:rFonts w:ascii="Times New Roman" w:hAnsi="Times New Roman"/>
          <w:sz w:val="24"/>
          <w:szCs w:val="24"/>
        </w:rPr>
        <w:t xml:space="preserve">, in </w:t>
      </w:r>
      <w:r w:rsidRPr="001E444E">
        <w:rPr>
          <w:rFonts w:ascii="Times New Roman" w:hAnsi="Times New Roman"/>
          <w:sz w:val="24"/>
          <w:szCs w:val="24"/>
          <w:u w:val="single"/>
        </w:rPr>
        <w:t>John Skariah v. The City of New York, et al</w:t>
      </w:r>
      <w:r>
        <w:rPr>
          <w:rFonts w:ascii="Times New Roman" w:hAnsi="Times New Roman"/>
          <w:sz w:val="24"/>
          <w:szCs w:val="24"/>
        </w:rPr>
        <w:t xml:space="preserve">., 2020 NY Slip Op 31890(U), Judge Lyle E. Frank, Supreme Court of State of New York (County Part 52) granted the City’s motion for summary judgment.  Plaintiff has been civilian employee with FDNY since 1992, and was promoted in 1997 to </w:t>
      </w:r>
      <w:r w:rsidRPr="00247349">
        <w:rPr>
          <w:rFonts w:ascii="Times New Roman" w:hAnsi="Times New Roman"/>
        </w:rPr>
        <w:t>Associate Fire Protection Inspector I</w:t>
      </w:r>
      <w:r>
        <w:rPr>
          <w:rFonts w:ascii="Times New Roman" w:hAnsi="Times New Roman"/>
        </w:rPr>
        <w:t xml:space="preserve">.  Plaintiff is from India </w:t>
      </w:r>
      <w:r w:rsidRPr="00247349">
        <w:rPr>
          <w:rFonts w:ascii="Times New Roman" w:hAnsi="Times New Roman"/>
          <w:sz w:val="24"/>
          <w:szCs w:val="24"/>
        </w:rPr>
        <w:t xml:space="preserve">and </w:t>
      </w:r>
      <w:r>
        <w:rPr>
          <w:rFonts w:ascii="Times New Roman" w:hAnsi="Times New Roman"/>
          <w:sz w:val="24"/>
          <w:szCs w:val="24"/>
        </w:rPr>
        <w:t xml:space="preserve">in </w:t>
      </w:r>
      <w:r w:rsidRPr="00247349">
        <w:rPr>
          <w:rFonts w:ascii="Times New Roman" w:hAnsi="Times New Roman"/>
          <w:sz w:val="24"/>
          <w:szCs w:val="24"/>
        </w:rPr>
        <w:t>1998</w:t>
      </w:r>
      <w:r>
        <w:rPr>
          <w:rFonts w:ascii="Times New Roman" w:hAnsi="Times New Roman"/>
          <w:sz w:val="24"/>
          <w:szCs w:val="24"/>
        </w:rPr>
        <w:t xml:space="preserve"> he</w:t>
      </w:r>
      <w:r w:rsidRPr="00247349">
        <w:rPr>
          <w:rFonts w:ascii="Times New Roman" w:hAnsi="Times New Roman"/>
          <w:sz w:val="24"/>
          <w:szCs w:val="24"/>
        </w:rPr>
        <w:t xml:space="preserve"> was given a raise and promoted from Associate Fire Inspector I to the position of Deputy Chief Inspector as part of a 1998 Equal Employment Opportunity Commission (</w:t>
      </w:r>
      <w:r>
        <w:rPr>
          <w:rFonts w:ascii="Times New Roman" w:hAnsi="Times New Roman"/>
          <w:sz w:val="24"/>
          <w:szCs w:val="24"/>
        </w:rPr>
        <w:t>‘</w:t>
      </w:r>
      <w:r w:rsidRPr="00247349">
        <w:rPr>
          <w:rFonts w:ascii="Times New Roman" w:hAnsi="Times New Roman"/>
          <w:sz w:val="24"/>
          <w:szCs w:val="24"/>
        </w:rPr>
        <w:t>EEOC</w:t>
      </w:r>
      <w:r>
        <w:rPr>
          <w:rFonts w:ascii="Times New Roman" w:hAnsi="Times New Roman"/>
          <w:sz w:val="24"/>
          <w:szCs w:val="24"/>
        </w:rPr>
        <w:t>’</w:t>
      </w:r>
      <w:r w:rsidRPr="00247349">
        <w:rPr>
          <w:rFonts w:ascii="Times New Roman" w:hAnsi="Times New Roman"/>
          <w:sz w:val="24"/>
          <w:szCs w:val="24"/>
        </w:rPr>
        <w:t>) Settlement Agreement.</w:t>
      </w:r>
      <w:r>
        <w:rPr>
          <w:rFonts w:ascii="Times New Roman" w:hAnsi="Times New Roman"/>
          <w:sz w:val="24"/>
          <w:szCs w:val="24"/>
        </w:rPr>
        <w:t xml:space="preserve"> </w:t>
      </w:r>
      <w:r w:rsidRPr="00247349">
        <w:rPr>
          <w:rFonts w:ascii="Times New Roman" w:hAnsi="Times New Roman"/>
          <w:sz w:val="24"/>
          <w:szCs w:val="24"/>
        </w:rPr>
        <w:t>“Plaintiff submitted a doctor's note to FDNY stating ‘</w:t>
      </w:r>
      <w:r>
        <w:rPr>
          <w:rFonts w:ascii="Times New Roman" w:hAnsi="Times New Roman"/>
          <w:sz w:val="24"/>
          <w:szCs w:val="24"/>
        </w:rPr>
        <w:t>P[</w:t>
      </w:r>
      <w:proofErr w:type="spellStart"/>
      <w:r>
        <w:rPr>
          <w:rFonts w:ascii="Times New Roman" w:hAnsi="Times New Roman"/>
          <w:sz w:val="24"/>
          <w:szCs w:val="24"/>
        </w:rPr>
        <w:t>atient</w:t>
      </w:r>
      <w:proofErr w:type="spellEnd"/>
      <w:r>
        <w:rPr>
          <w:rFonts w:ascii="Times New Roman" w:hAnsi="Times New Roman"/>
          <w:sz w:val="24"/>
          <w:szCs w:val="24"/>
        </w:rPr>
        <w:t xml:space="preserve">] </w:t>
      </w:r>
      <w:r w:rsidRPr="00247349">
        <w:rPr>
          <w:rFonts w:ascii="Times New Roman" w:hAnsi="Times New Roman"/>
          <w:sz w:val="24"/>
          <w:szCs w:val="24"/>
        </w:rPr>
        <w:t xml:space="preserve">is under my care for asthma. Due to his </w:t>
      </w:r>
      <w:proofErr w:type="gramStart"/>
      <w:r w:rsidRPr="00247349">
        <w:rPr>
          <w:rFonts w:ascii="Times New Roman" w:hAnsi="Times New Roman"/>
          <w:sz w:val="24"/>
          <w:szCs w:val="24"/>
        </w:rPr>
        <w:t>condition</w:t>
      </w:r>
      <w:proofErr w:type="gramEnd"/>
      <w:r w:rsidRPr="00247349">
        <w:rPr>
          <w:rFonts w:ascii="Times New Roman" w:hAnsi="Times New Roman"/>
          <w:sz w:val="24"/>
          <w:szCs w:val="24"/>
        </w:rPr>
        <w:t xml:space="preserve"> it is advisable for him to work in the office and not in the field.</w:t>
      </w:r>
      <w:r>
        <w:rPr>
          <w:rFonts w:ascii="Times New Roman" w:hAnsi="Times New Roman"/>
          <w:sz w:val="24"/>
          <w:szCs w:val="24"/>
        </w:rPr>
        <w:t xml:space="preserve"> *** </w:t>
      </w:r>
      <w:r w:rsidRPr="00247349">
        <w:rPr>
          <w:rFonts w:ascii="Times New Roman" w:hAnsi="Times New Roman"/>
          <w:sz w:val="24"/>
          <w:szCs w:val="24"/>
        </w:rPr>
        <w:t>Even if plaintiff could establish a prima facie claim, in response, defendants have proffered a legitimate nondiscriminatory reason for why plaintiff was not promoted, that is the disability he suffered for why a reasonable accommodation was required.</w:t>
      </w:r>
      <w:r>
        <w:rPr>
          <w:rFonts w:ascii="Times New Roman" w:hAnsi="Times New Roman"/>
          <w:sz w:val="24"/>
          <w:szCs w:val="24"/>
        </w:rPr>
        <w:t xml:space="preserve">” </w:t>
      </w:r>
      <w:hyperlink r:id="rId1687" w:history="1">
        <w:r w:rsidRPr="003B7380">
          <w:rPr>
            <w:rStyle w:val="Hyperlink"/>
            <w:rFonts w:ascii="Times New Roman" w:hAnsi="Times New Roman"/>
            <w:sz w:val="24"/>
            <w:szCs w:val="24"/>
          </w:rPr>
          <w:t>https://cases.justia.com/new-york/other-courts/2020-2020-ny-slip-op-31890-u.pdf?ts=1592946781</w:t>
        </w:r>
      </w:hyperlink>
      <w:r>
        <w:rPr>
          <w:rFonts w:ascii="Times New Roman" w:hAnsi="Times New Roman"/>
          <w:sz w:val="24"/>
          <w:szCs w:val="24"/>
        </w:rPr>
        <w:t xml:space="preserve"> </w:t>
      </w:r>
    </w:p>
    <w:p w14:paraId="684FAC16" w14:textId="77777777" w:rsidR="001C563D" w:rsidRDefault="001C563D" w:rsidP="001C563D">
      <w:pPr>
        <w:pStyle w:val="NoSpacing"/>
        <w:rPr>
          <w:rFonts w:ascii="Times New Roman" w:hAnsi="Times New Roman"/>
          <w:sz w:val="24"/>
          <w:szCs w:val="24"/>
        </w:rPr>
      </w:pPr>
    </w:p>
    <w:p w14:paraId="11A2055E" w14:textId="77777777" w:rsidR="001C563D" w:rsidRPr="00247349" w:rsidRDefault="001C563D" w:rsidP="001C563D">
      <w:pPr>
        <w:pStyle w:val="NoSpacing"/>
        <w:rPr>
          <w:rFonts w:ascii="Times New Roman" w:hAnsi="Times New Roman"/>
          <w:b/>
          <w:bCs/>
          <w:sz w:val="24"/>
          <w:szCs w:val="24"/>
        </w:rPr>
      </w:pPr>
      <w:r w:rsidRPr="00247349">
        <w:rPr>
          <w:rFonts w:ascii="Times New Roman" w:hAnsi="Times New Roman"/>
          <w:b/>
          <w:bCs/>
          <w:sz w:val="24"/>
          <w:szCs w:val="24"/>
        </w:rPr>
        <w:t>Legal Lessons Learned:</w:t>
      </w:r>
      <w:r>
        <w:rPr>
          <w:rFonts w:ascii="Times New Roman" w:hAnsi="Times New Roman"/>
          <w:b/>
          <w:bCs/>
          <w:sz w:val="24"/>
          <w:szCs w:val="24"/>
        </w:rPr>
        <w:t xml:space="preserve">  When employee advises employer they have a disability – in this case Asma requiring office position only, the employee’s lawsuit for not being promoted to positions requiring fieldwork will be dismissed. </w:t>
      </w:r>
    </w:p>
    <w:p w14:paraId="5EE86B47" w14:textId="77777777" w:rsidR="001C563D" w:rsidRDefault="001C563D" w:rsidP="005C30A4">
      <w:pPr>
        <w:pStyle w:val="NoSpacing"/>
        <w:rPr>
          <w:rFonts w:ascii="Arial Black" w:hAnsi="Arial Black"/>
          <w:b/>
          <w:sz w:val="24"/>
          <w:szCs w:val="24"/>
        </w:rPr>
      </w:pPr>
    </w:p>
    <w:p w14:paraId="5B66BF13" w14:textId="77777777" w:rsidR="001C563D" w:rsidRDefault="001C563D" w:rsidP="005C30A4">
      <w:pPr>
        <w:pStyle w:val="NoSpacing"/>
        <w:rPr>
          <w:rFonts w:ascii="Arial Black" w:hAnsi="Arial Black"/>
          <w:b/>
          <w:sz w:val="24"/>
          <w:szCs w:val="24"/>
        </w:rPr>
      </w:pPr>
    </w:p>
    <w:p w14:paraId="73217CB5" w14:textId="26DC4DBB" w:rsidR="00366CDD" w:rsidRDefault="00366CDD" w:rsidP="005C30A4">
      <w:pPr>
        <w:pStyle w:val="NoSpacing"/>
        <w:rPr>
          <w:rFonts w:ascii="Arial Black" w:hAnsi="Arial Black"/>
          <w:b/>
          <w:sz w:val="24"/>
          <w:szCs w:val="24"/>
        </w:rPr>
      </w:pPr>
      <w:r>
        <w:rPr>
          <w:rFonts w:ascii="Arial Black" w:hAnsi="Arial Black"/>
          <w:b/>
          <w:sz w:val="24"/>
          <w:szCs w:val="24"/>
        </w:rPr>
        <w:t xml:space="preserve">9-12 </w:t>
      </w:r>
      <w:r w:rsidRPr="001C563D">
        <w:rPr>
          <w:rFonts w:ascii="Times New Roman" w:hAnsi="Times New Roman"/>
          <w:bCs/>
          <w:sz w:val="24"/>
          <w:szCs w:val="24"/>
        </w:rPr>
        <w:t>[Also filed</w:t>
      </w:r>
      <w:r w:rsidR="001C563D">
        <w:rPr>
          <w:rFonts w:ascii="Times New Roman" w:hAnsi="Times New Roman"/>
          <w:bCs/>
          <w:sz w:val="24"/>
          <w:szCs w:val="24"/>
        </w:rPr>
        <w:t>:</w:t>
      </w:r>
      <w:r w:rsidRPr="001C563D">
        <w:rPr>
          <w:rFonts w:ascii="Times New Roman" w:hAnsi="Times New Roman"/>
          <w:bCs/>
          <w:sz w:val="24"/>
          <w:szCs w:val="24"/>
        </w:rPr>
        <w:t xml:space="preserve"> Chap. 10 &amp; 15]</w:t>
      </w:r>
    </w:p>
    <w:p w14:paraId="3DA94BED" w14:textId="77777777" w:rsidR="00366CDD" w:rsidRPr="00A670C3" w:rsidRDefault="00366CDD" w:rsidP="00366CDD">
      <w:pPr>
        <w:spacing w:before="100" w:beforeAutospacing="1" w:after="100" w:afterAutospacing="1" w:line="240" w:lineRule="auto"/>
        <w:rPr>
          <w:rFonts w:ascii="Arial Black" w:eastAsia="Times New Roman" w:hAnsi="Arial Black"/>
          <w:sz w:val="28"/>
          <w:szCs w:val="28"/>
        </w:rPr>
      </w:pPr>
      <w:bookmarkStart w:id="354" w:name="_Hlk39818832"/>
      <w:bookmarkStart w:id="355" w:name="_Hlk38198073"/>
      <w:bookmarkStart w:id="356" w:name="_Hlk41155472"/>
      <w:r w:rsidRPr="00A670C3">
        <w:rPr>
          <w:rFonts w:ascii="Arial Black" w:eastAsia="Times New Roman" w:hAnsi="Arial Black"/>
          <w:sz w:val="28"/>
          <w:szCs w:val="28"/>
        </w:rPr>
        <w:t xml:space="preserve">PA: </w:t>
      </w:r>
      <w:r>
        <w:rPr>
          <w:rFonts w:ascii="Arial Black" w:eastAsia="Times New Roman" w:hAnsi="Arial Black"/>
          <w:sz w:val="28"/>
          <w:szCs w:val="28"/>
        </w:rPr>
        <w:t>FF PANIC ATTACK ON DUTY – PTSD, MEDICATION – NO LONGER QUALIFIED AS FF – TERMINATION NOT VIOL. ADA</w:t>
      </w:r>
    </w:p>
    <w:p w14:paraId="22D294EC" w14:textId="77777777" w:rsidR="00366CDD" w:rsidRPr="008561E5" w:rsidRDefault="00366CDD" w:rsidP="00366CD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April 17, 2020, in </w:t>
      </w:r>
      <w:r w:rsidRPr="008561E5">
        <w:rPr>
          <w:rFonts w:ascii="Times New Roman" w:eastAsia="Times New Roman" w:hAnsi="Times New Roman"/>
          <w:sz w:val="24"/>
          <w:szCs w:val="24"/>
          <w:u w:val="single"/>
        </w:rPr>
        <w:t xml:space="preserve">Robert Carpenter v. York Area United Fire </w:t>
      </w:r>
      <w:proofErr w:type="gramStart"/>
      <w:r w:rsidRPr="008561E5">
        <w:rPr>
          <w:rFonts w:ascii="Times New Roman" w:eastAsia="Times New Roman" w:hAnsi="Times New Roman"/>
          <w:sz w:val="24"/>
          <w:szCs w:val="24"/>
          <w:u w:val="single"/>
        </w:rPr>
        <w:t>And</w:t>
      </w:r>
      <w:proofErr w:type="gramEnd"/>
      <w:r w:rsidRPr="008561E5">
        <w:rPr>
          <w:rFonts w:ascii="Times New Roman" w:eastAsia="Times New Roman" w:hAnsi="Times New Roman"/>
          <w:sz w:val="24"/>
          <w:szCs w:val="24"/>
          <w:u w:val="single"/>
        </w:rPr>
        <w:t xml:space="preserve"> Rescue</w:t>
      </w:r>
      <w:r>
        <w:rPr>
          <w:rFonts w:ascii="Times New Roman" w:eastAsia="Times New Roman" w:hAnsi="Times New Roman"/>
          <w:sz w:val="24"/>
          <w:szCs w:val="24"/>
        </w:rPr>
        <w:t>, U.S. District Court Judge Christopher C. Conner, Chief Judge, Middle District of Pennsylvania, granted the FD’s motion for summary judgment.  The Court held that the firefighter was not a “</w:t>
      </w:r>
      <w:r w:rsidRPr="00A670C3">
        <w:rPr>
          <w:rFonts w:ascii="Times New Roman" w:eastAsia="Times New Roman" w:hAnsi="Times New Roman"/>
          <w:sz w:val="24"/>
          <w:szCs w:val="24"/>
        </w:rPr>
        <w:t>qualified individual for ADA purposes because he could not perform the essential functions of his job with or without reasonable accommodation</w:t>
      </w:r>
      <w:r>
        <w:rPr>
          <w:rFonts w:ascii="Times New Roman" w:eastAsia="Times New Roman" w:hAnsi="Times New Roman"/>
          <w:sz w:val="24"/>
          <w:szCs w:val="24"/>
        </w:rPr>
        <w:t>,” and indefinite leave of absence was not a reasonable accommodation; “</w:t>
      </w:r>
      <w:r w:rsidRPr="008561E5">
        <w:rPr>
          <w:rFonts w:ascii="Times New Roman" w:hAnsi="Times New Roman"/>
          <w:sz w:val="24"/>
          <w:szCs w:val="24"/>
        </w:rPr>
        <w:t xml:space="preserve">there must be some expectation that the employee could perform his essential job functions in the </w:t>
      </w:r>
      <w:r>
        <w:rPr>
          <w:rFonts w:ascii="Times New Roman" w:hAnsi="Times New Roman"/>
          <w:sz w:val="24"/>
          <w:szCs w:val="24"/>
        </w:rPr>
        <w:t>‘</w:t>
      </w:r>
      <w:r w:rsidRPr="008561E5">
        <w:rPr>
          <w:rFonts w:ascii="Times New Roman" w:hAnsi="Times New Roman"/>
          <w:sz w:val="24"/>
          <w:szCs w:val="24"/>
        </w:rPr>
        <w:t>near future</w:t>
      </w:r>
      <w:r>
        <w:rPr>
          <w:rFonts w:ascii="Times New Roman" w:hAnsi="Times New Roman"/>
          <w:sz w:val="24"/>
          <w:szCs w:val="24"/>
        </w:rPr>
        <w:t>’</w:t>
      </w:r>
      <w:r w:rsidRPr="008561E5">
        <w:rPr>
          <w:rFonts w:ascii="Times New Roman" w:hAnsi="Times New Roman"/>
          <w:sz w:val="24"/>
          <w:szCs w:val="24"/>
        </w:rPr>
        <w:t xml:space="preserve"> following the requested leave.</w:t>
      </w:r>
      <w:r>
        <w:rPr>
          <w:rFonts w:ascii="Times New Roman" w:hAnsi="Times New Roman"/>
          <w:sz w:val="24"/>
          <w:szCs w:val="24"/>
        </w:rPr>
        <w:t xml:space="preserve">   </w:t>
      </w:r>
    </w:p>
    <w:p w14:paraId="03A7E2B4" w14:textId="77777777" w:rsidR="00366CDD" w:rsidRDefault="00366CDD" w:rsidP="00366CDD">
      <w:pPr>
        <w:pStyle w:val="NormalWeb"/>
        <w:ind w:left="720"/>
      </w:pPr>
      <w:r>
        <w:t xml:space="preserve">“[Fire Department] </w:t>
      </w:r>
      <w:r w:rsidRPr="00A670C3">
        <w:t>argues that Carpenter is not a qualified individual for ADA purposes because he could not perform the essential functions of his job with or without reasonable accommodation. We agree.</w:t>
      </w:r>
      <w:r>
        <w:t xml:space="preserve">” </w:t>
      </w:r>
      <w:hyperlink r:id="rId1688" w:history="1">
        <w:r w:rsidRPr="00377614">
          <w:rPr>
            <w:rStyle w:val="Hyperlink"/>
          </w:rPr>
          <w:t>https://public.fastcase.com/Wl%2B2t%2BeVuI35%2FN70vAMFZkkc03nKI8qkpSJ%2FzmzLggswfoR1RvbDETmM60pPGUhc</w:t>
        </w:r>
      </w:hyperlink>
      <w:bookmarkEnd w:id="354"/>
      <w:r>
        <w:t xml:space="preserve"> </w:t>
      </w:r>
    </w:p>
    <w:p w14:paraId="1C30FA28" w14:textId="77777777" w:rsidR="00366CDD" w:rsidRPr="00DE2E06" w:rsidRDefault="00366CDD" w:rsidP="00366CDD">
      <w:pPr>
        <w:rPr>
          <w:rFonts w:ascii="Times New Roman" w:hAnsi="Times New Roman"/>
          <w:b/>
          <w:bCs/>
          <w:sz w:val="24"/>
          <w:szCs w:val="24"/>
        </w:rPr>
      </w:pPr>
      <w:bookmarkStart w:id="357" w:name="_Hlk40512021"/>
      <w:bookmarkEnd w:id="355"/>
      <w:r w:rsidRPr="00DE2E06">
        <w:rPr>
          <w:rFonts w:ascii="Times New Roman" w:hAnsi="Times New Roman"/>
          <w:b/>
          <w:bCs/>
          <w:sz w:val="24"/>
          <w:szCs w:val="24"/>
        </w:rPr>
        <w:t>Legal Lessons Learned:  FF on leave and undergoing treatment, who desires to get back to the job, needs to stay in communication with FD.</w:t>
      </w:r>
      <w:r>
        <w:rPr>
          <w:rFonts w:ascii="Times New Roman" w:hAnsi="Times New Roman"/>
          <w:b/>
          <w:bCs/>
          <w:sz w:val="24"/>
          <w:szCs w:val="24"/>
        </w:rPr>
        <w:t xml:space="preserve"> </w:t>
      </w:r>
      <w:bookmarkEnd w:id="357"/>
      <w:r>
        <w:rPr>
          <w:rFonts w:ascii="Times New Roman" w:hAnsi="Times New Roman"/>
          <w:b/>
          <w:bCs/>
          <w:sz w:val="24"/>
          <w:szCs w:val="24"/>
        </w:rPr>
        <w:t xml:space="preserve">  </w:t>
      </w:r>
      <w:bookmarkEnd w:id="356"/>
      <w:r>
        <w:rPr>
          <w:rFonts w:ascii="Times New Roman" w:hAnsi="Times New Roman"/>
          <w:b/>
          <w:bCs/>
          <w:sz w:val="24"/>
          <w:szCs w:val="24"/>
        </w:rPr>
        <w:t>FMLA also addressed (see below).</w:t>
      </w:r>
    </w:p>
    <w:p w14:paraId="1DF98835" w14:textId="21E082E4" w:rsidR="00366CDD" w:rsidRPr="00063DF6" w:rsidRDefault="00366CDD" w:rsidP="00366CDD">
      <w:pPr>
        <w:pStyle w:val="NormalWeb"/>
        <w:ind w:left="720"/>
        <w:rPr>
          <w:b/>
          <w:bCs/>
        </w:rPr>
      </w:pPr>
      <w:r w:rsidRPr="00063DF6">
        <w:t xml:space="preserve">Note:  </w:t>
      </w:r>
      <w:r>
        <w:t xml:space="preserve">Court also held that the FF was not </w:t>
      </w:r>
      <w:proofErr w:type="gramStart"/>
      <w:r>
        <w:t>entitle</w:t>
      </w:r>
      <w:proofErr w:type="gramEnd"/>
      <w:r>
        <w:t xml:space="preserve"> the FMLA leave. </w:t>
      </w:r>
      <w:r>
        <w:rPr>
          <w:bCs/>
        </w:rPr>
        <w:t>“</w:t>
      </w:r>
      <w:r w:rsidRPr="00A670C3">
        <w:rPr>
          <w:bCs/>
        </w:rPr>
        <w:t>In a letter dated October 11, 2017, YAUFR denied Carpenter's FMLA leave request</w:t>
      </w:r>
      <w:r>
        <w:rPr>
          <w:bCs/>
        </w:rPr>
        <w:t>….</w:t>
      </w:r>
      <w:r>
        <w:rPr>
          <w:bCs/>
        </w:rPr>
        <w:tab/>
      </w:r>
      <w:r w:rsidRPr="00A670C3">
        <w:rPr>
          <w:bCs/>
        </w:rPr>
        <w:t xml:space="preserve"> YAUFR explained that, although it was a covered employer under the FMLA, it did not employ the requisite number of people for Carpenter to be considered an </w:t>
      </w:r>
      <w:r>
        <w:rPr>
          <w:bCs/>
        </w:rPr>
        <w:t>‘</w:t>
      </w:r>
      <w:r w:rsidRPr="00A670C3">
        <w:rPr>
          <w:bCs/>
        </w:rPr>
        <w:t>eligible employee</w:t>
      </w:r>
      <w:r>
        <w:rPr>
          <w:bCs/>
        </w:rPr>
        <w:t>’</w:t>
      </w:r>
      <w:r w:rsidRPr="00A670C3">
        <w:rPr>
          <w:bCs/>
        </w:rPr>
        <w:t xml:space="preserve"> under FMLA regulations.</w:t>
      </w:r>
      <w:r>
        <w:rPr>
          <w:bCs/>
        </w:rPr>
        <w:t xml:space="preserve"> *** </w:t>
      </w:r>
      <w:r w:rsidRPr="00063DF6">
        <w:rPr>
          <w:bCs/>
        </w:rPr>
        <w:t xml:space="preserve">To qualify as an </w:t>
      </w:r>
      <w:r>
        <w:rPr>
          <w:bCs/>
        </w:rPr>
        <w:t>‘</w:t>
      </w:r>
      <w:r w:rsidRPr="00063DF6">
        <w:rPr>
          <w:bCs/>
        </w:rPr>
        <w:t>eligible employee,</w:t>
      </w:r>
      <w:r>
        <w:rPr>
          <w:bCs/>
        </w:rPr>
        <w:t>’</w:t>
      </w:r>
      <w:r w:rsidRPr="00063DF6">
        <w:rPr>
          <w:bCs/>
        </w:rPr>
        <w:t xml:space="preserve"> the employee must be </w:t>
      </w:r>
      <w:r>
        <w:rPr>
          <w:bCs/>
        </w:rPr>
        <w:t>‘</w:t>
      </w:r>
      <w:r w:rsidRPr="00063DF6">
        <w:rPr>
          <w:bCs/>
        </w:rPr>
        <w:t>employed at a worksite where 50 or more employees are employed by the employer within 75 miles of that worksite.</w:t>
      </w:r>
      <w:r>
        <w:rPr>
          <w:bCs/>
        </w:rPr>
        <w:t>’</w:t>
      </w:r>
      <w:r w:rsidRPr="00063DF6">
        <w:rPr>
          <w:bCs/>
        </w:rPr>
        <w:t xml:space="preserve"> 29 C.F.R. § 825.110(a)(3); see 29 U.S.C. § 2611(2)(B)(ii). YAUFR avers, and Carpenter concedes, that YAUFR has never employed 50 or more people.</w:t>
      </w:r>
      <w:r>
        <w:rPr>
          <w:bCs/>
        </w:rPr>
        <w:t>”</w:t>
      </w:r>
    </w:p>
    <w:p w14:paraId="42395378" w14:textId="77777777" w:rsidR="00366CDD" w:rsidRDefault="00366CDD" w:rsidP="005C30A4">
      <w:pPr>
        <w:pStyle w:val="NoSpacing"/>
        <w:rPr>
          <w:rFonts w:ascii="Arial Black" w:hAnsi="Arial Black"/>
          <w:b/>
          <w:sz w:val="24"/>
          <w:szCs w:val="24"/>
        </w:rPr>
      </w:pPr>
    </w:p>
    <w:p w14:paraId="0DAB598C" w14:textId="77777777" w:rsidR="00366CDD" w:rsidRDefault="00366CDD" w:rsidP="005C30A4">
      <w:pPr>
        <w:pStyle w:val="NoSpacing"/>
        <w:rPr>
          <w:rFonts w:ascii="Arial Black" w:hAnsi="Arial Black"/>
          <w:b/>
          <w:sz w:val="24"/>
          <w:szCs w:val="24"/>
        </w:rPr>
      </w:pPr>
    </w:p>
    <w:p w14:paraId="058C5E4B" w14:textId="66BA21B0" w:rsidR="0066298F" w:rsidRDefault="0066298F" w:rsidP="005C30A4">
      <w:pPr>
        <w:pStyle w:val="NoSpacing"/>
        <w:rPr>
          <w:rFonts w:ascii="Arial Black" w:hAnsi="Arial Black"/>
          <w:b/>
          <w:sz w:val="24"/>
          <w:szCs w:val="24"/>
        </w:rPr>
      </w:pPr>
      <w:r>
        <w:rPr>
          <w:rFonts w:ascii="Arial Black" w:hAnsi="Arial Black"/>
          <w:b/>
          <w:sz w:val="24"/>
          <w:szCs w:val="24"/>
        </w:rPr>
        <w:t>9-11</w:t>
      </w:r>
    </w:p>
    <w:p w14:paraId="152D5C7A" w14:textId="0841815A" w:rsidR="0066298F" w:rsidRDefault="0066298F" w:rsidP="005C30A4">
      <w:pPr>
        <w:pStyle w:val="NoSpacing"/>
        <w:rPr>
          <w:rFonts w:ascii="Arial Black" w:hAnsi="Arial Black"/>
          <w:b/>
          <w:sz w:val="24"/>
          <w:szCs w:val="24"/>
        </w:rPr>
      </w:pPr>
    </w:p>
    <w:p w14:paraId="6BCFB4C2" w14:textId="77777777" w:rsidR="0066298F" w:rsidRDefault="0066298F" w:rsidP="0066298F">
      <w:pPr>
        <w:pStyle w:val="NoSpacing"/>
        <w:rPr>
          <w:rFonts w:ascii="Arial Black" w:hAnsi="Arial Black"/>
          <w:sz w:val="28"/>
          <w:szCs w:val="28"/>
        </w:rPr>
      </w:pPr>
      <w:bookmarkStart w:id="358" w:name="_Hlk39818972"/>
      <w:bookmarkStart w:id="359" w:name="_Hlk41299331"/>
      <w:r w:rsidRPr="0054472A">
        <w:rPr>
          <w:rFonts w:ascii="Arial Black" w:hAnsi="Arial Black"/>
          <w:sz w:val="28"/>
          <w:szCs w:val="28"/>
        </w:rPr>
        <w:t>EEOC</w:t>
      </w:r>
      <w:r>
        <w:rPr>
          <w:rFonts w:ascii="Arial Black" w:hAnsi="Arial Black"/>
          <w:sz w:val="28"/>
          <w:szCs w:val="28"/>
        </w:rPr>
        <w:t xml:space="preserve">: </w:t>
      </w:r>
      <w:r w:rsidRPr="0054472A">
        <w:rPr>
          <w:rFonts w:ascii="Arial Black" w:hAnsi="Arial Black"/>
          <w:sz w:val="28"/>
          <w:szCs w:val="28"/>
        </w:rPr>
        <w:t xml:space="preserve"> </w:t>
      </w:r>
      <w:r>
        <w:rPr>
          <w:rFonts w:ascii="Arial Black" w:hAnsi="Arial Black"/>
          <w:sz w:val="28"/>
          <w:szCs w:val="28"/>
        </w:rPr>
        <w:t>COVID19 PANDEMIC MEETS THE “DIRECT THREAT” STANDARD - MAY TEST EMPLOYEES – SOME FDs NOW SCREENING EVERY SHIFT</w:t>
      </w:r>
    </w:p>
    <w:p w14:paraId="1A5677BB" w14:textId="77777777" w:rsidR="0066298F" w:rsidRDefault="0066298F" w:rsidP="0066298F">
      <w:pPr>
        <w:pStyle w:val="NoSpacing"/>
        <w:rPr>
          <w:rFonts w:ascii="Arial Black" w:hAnsi="Arial Black"/>
          <w:sz w:val="28"/>
          <w:szCs w:val="28"/>
        </w:rPr>
      </w:pPr>
    </w:p>
    <w:p w14:paraId="023C0127" w14:textId="77777777" w:rsidR="0066298F" w:rsidRPr="00665BD0" w:rsidRDefault="0066298F" w:rsidP="0066298F">
      <w:pPr>
        <w:pStyle w:val="NoSpacing"/>
        <w:rPr>
          <w:rFonts w:ascii="Times New Roman" w:hAnsi="Times New Roman"/>
          <w:b/>
          <w:sz w:val="24"/>
          <w:szCs w:val="24"/>
        </w:rPr>
      </w:pPr>
      <w:r w:rsidRPr="00665BD0">
        <w:rPr>
          <w:rFonts w:ascii="Times New Roman" w:hAnsi="Times New Roman"/>
          <w:sz w:val="24"/>
          <w:szCs w:val="24"/>
        </w:rPr>
        <w:t>On March 21, 2020, the federal Equal Employment Opportunity Commission issued updated guidance:</w:t>
      </w:r>
    </w:p>
    <w:p w14:paraId="5304DBD5" w14:textId="77777777" w:rsidR="0066298F" w:rsidRPr="00665BD0" w:rsidRDefault="0066298F" w:rsidP="0066298F">
      <w:pPr>
        <w:pStyle w:val="NoSpacing"/>
        <w:rPr>
          <w:rFonts w:ascii="Times New Roman" w:hAnsi="Times New Roman"/>
          <w:b/>
          <w:sz w:val="24"/>
          <w:szCs w:val="24"/>
        </w:rPr>
      </w:pPr>
    </w:p>
    <w:p w14:paraId="540C02AE" w14:textId="7C7249BA" w:rsidR="0066298F" w:rsidRDefault="0066298F" w:rsidP="0066298F">
      <w:pPr>
        <w:pStyle w:val="NoSpacing"/>
        <w:ind w:left="720"/>
        <w:rPr>
          <w:rFonts w:ascii="Arial Black" w:hAnsi="Arial Black"/>
          <w:b/>
          <w:sz w:val="24"/>
          <w:szCs w:val="24"/>
        </w:rPr>
      </w:pPr>
      <w:r w:rsidRPr="006A5A83">
        <w:rPr>
          <w:rStyle w:val="Strong"/>
          <w:rFonts w:ascii="Times New Roman" w:hAnsi="Times New Roman"/>
          <w:b w:val="0"/>
          <w:bCs w:val="0"/>
          <w:sz w:val="24"/>
          <w:szCs w:val="24"/>
        </w:rPr>
        <w:t xml:space="preserve">“The EEOC is updating this 2009 publication to address its application to coronavirus disease 2019 (COVID-19).  Employers and employees should follow guidance from the Centers for Disease Control and Prevention (CDC) as well as state/local public health authorities on how best to slow the spread of this disease and protect workers, customers, clients, and the </w:t>
      </w:r>
      <w:proofErr w:type="gramStart"/>
      <w:r w:rsidRPr="006A5A83">
        <w:rPr>
          <w:rStyle w:val="Strong"/>
          <w:rFonts w:ascii="Times New Roman" w:hAnsi="Times New Roman"/>
          <w:b w:val="0"/>
          <w:bCs w:val="0"/>
          <w:sz w:val="24"/>
          <w:szCs w:val="24"/>
        </w:rPr>
        <w:t>general public</w:t>
      </w:r>
      <w:proofErr w:type="gramEnd"/>
      <w:r w:rsidRPr="006A5A83">
        <w:rPr>
          <w:rStyle w:val="Strong"/>
          <w:rFonts w:ascii="Times New Roman" w:hAnsi="Times New Roman"/>
          <w:b w:val="0"/>
          <w:bCs w:val="0"/>
          <w:sz w:val="24"/>
          <w:szCs w:val="24"/>
        </w:rPr>
        <w:t xml:space="preserve">.  The ADA and the Rehabilitation Act do not interfere with employers following advice from </w:t>
      </w:r>
      <w:proofErr w:type="gramStart"/>
      <w:r w:rsidRPr="006A5A83">
        <w:rPr>
          <w:rStyle w:val="Strong"/>
          <w:rFonts w:ascii="Times New Roman" w:hAnsi="Times New Roman"/>
          <w:b w:val="0"/>
          <w:bCs w:val="0"/>
          <w:sz w:val="24"/>
          <w:szCs w:val="24"/>
        </w:rPr>
        <w:t>the CDC</w:t>
      </w:r>
      <w:proofErr w:type="gramEnd"/>
      <w:r w:rsidRPr="006A5A83">
        <w:rPr>
          <w:rStyle w:val="Strong"/>
          <w:rFonts w:ascii="Times New Roman" w:hAnsi="Times New Roman"/>
          <w:b w:val="0"/>
          <w:bCs w:val="0"/>
          <w:sz w:val="24"/>
          <w:szCs w:val="24"/>
        </w:rPr>
        <w:t xml:space="preserve"> and other public health authorities on appropriate steps to take relating to the workplace.  This update retains the principles from the 2009 document but incorporates new information to respond to current employer questions.  For readers’ ease the COVID-19 updates are all in bold.” </w:t>
      </w:r>
      <w:hyperlink r:id="rId1689" w:anchor="q6" w:history="1">
        <w:r w:rsidRPr="006A5A83">
          <w:rPr>
            <w:rStyle w:val="Hyperlink"/>
            <w:rFonts w:ascii="Times New Roman" w:hAnsi="Times New Roman"/>
            <w:b/>
            <w:bCs/>
            <w:sz w:val="24"/>
            <w:szCs w:val="24"/>
          </w:rPr>
          <w:t>https://www.eeoc.gov/facts/pandemic_flu.html?mc_cid=0f5c4e93d9&amp;mc_eid=3f2d24c371#q6</w:t>
        </w:r>
      </w:hyperlink>
    </w:p>
    <w:bookmarkEnd w:id="358"/>
    <w:p w14:paraId="6CC82D23" w14:textId="648C6F7E" w:rsidR="0066298F" w:rsidRDefault="0066298F" w:rsidP="005C30A4">
      <w:pPr>
        <w:pStyle w:val="NoSpacing"/>
        <w:rPr>
          <w:rFonts w:ascii="Arial Black" w:hAnsi="Arial Black"/>
          <w:b/>
          <w:sz w:val="24"/>
          <w:szCs w:val="24"/>
        </w:rPr>
      </w:pPr>
    </w:p>
    <w:p w14:paraId="1F976CB2" w14:textId="77777777" w:rsidR="0066298F" w:rsidRPr="00E0273B" w:rsidRDefault="0066298F" w:rsidP="0066298F">
      <w:pPr>
        <w:pStyle w:val="NoSpacing"/>
        <w:tabs>
          <w:tab w:val="left" w:pos="3070"/>
        </w:tabs>
        <w:rPr>
          <w:rFonts w:ascii="Times New Roman" w:hAnsi="Times New Roman"/>
          <w:sz w:val="24"/>
          <w:szCs w:val="24"/>
        </w:rPr>
      </w:pPr>
      <w:r w:rsidRPr="00665BD0">
        <w:rPr>
          <w:rFonts w:ascii="Times New Roman" w:hAnsi="Times New Roman"/>
          <w:b/>
          <w:sz w:val="24"/>
          <w:szCs w:val="24"/>
        </w:rPr>
        <w:t xml:space="preserve">Legal Lessons Learned: Fire &amp; EMS departments, </w:t>
      </w:r>
      <w:r>
        <w:rPr>
          <w:rFonts w:ascii="Times New Roman" w:hAnsi="Times New Roman"/>
          <w:b/>
          <w:sz w:val="24"/>
          <w:szCs w:val="24"/>
        </w:rPr>
        <w:t xml:space="preserve">with the concurrence of </w:t>
      </w:r>
      <w:r w:rsidRPr="00665BD0">
        <w:rPr>
          <w:rFonts w:ascii="Times New Roman" w:hAnsi="Times New Roman"/>
          <w:b/>
          <w:sz w:val="24"/>
          <w:szCs w:val="24"/>
        </w:rPr>
        <w:t xml:space="preserve">their Medical Director, </w:t>
      </w:r>
      <w:r>
        <w:rPr>
          <w:rFonts w:ascii="Times New Roman" w:hAnsi="Times New Roman"/>
          <w:b/>
          <w:sz w:val="24"/>
          <w:szCs w:val="24"/>
        </w:rPr>
        <w:t xml:space="preserve">should consider </w:t>
      </w:r>
      <w:r w:rsidRPr="00665BD0">
        <w:rPr>
          <w:rFonts w:ascii="Times New Roman" w:hAnsi="Times New Roman"/>
          <w:b/>
          <w:sz w:val="24"/>
          <w:szCs w:val="24"/>
        </w:rPr>
        <w:t>tak</w:t>
      </w:r>
      <w:r>
        <w:rPr>
          <w:rFonts w:ascii="Times New Roman" w:hAnsi="Times New Roman"/>
          <w:b/>
          <w:sz w:val="24"/>
          <w:szCs w:val="24"/>
        </w:rPr>
        <w:t xml:space="preserve">ing </w:t>
      </w:r>
      <w:r w:rsidRPr="00665BD0">
        <w:rPr>
          <w:rFonts w:ascii="Times New Roman" w:hAnsi="Times New Roman"/>
          <w:b/>
          <w:sz w:val="24"/>
          <w:szCs w:val="24"/>
        </w:rPr>
        <w:t>the temperature of crews on each shift.</w:t>
      </w:r>
      <w:r w:rsidRPr="00665BD0">
        <w:rPr>
          <w:rFonts w:ascii="Times New Roman" w:hAnsi="Times New Roman"/>
          <w:bCs/>
          <w:sz w:val="24"/>
          <w:szCs w:val="24"/>
        </w:rPr>
        <w:t xml:space="preserve">   </w:t>
      </w:r>
      <w:r w:rsidRPr="00E0273B">
        <w:rPr>
          <w:rFonts w:ascii="Times New Roman" w:hAnsi="Times New Roman"/>
          <w:bCs/>
          <w:sz w:val="24"/>
          <w:szCs w:val="24"/>
        </w:rPr>
        <w:t>Note: The author of this Newsletter serves on the SW Ohio EMS Protocol Committee; two UC Health physicians on the committee sent out an update on March 27, 2019, including the following:</w:t>
      </w:r>
    </w:p>
    <w:p w14:paraId="0F31B877" w14:textId="77777777" w:rsidR="0066298F" w:rsidRPr="00E0273B" w:rsidRDefault="0066298F" w:rsidP="0066298F">
      <w:pPr>
        <w:ind w:left="720"/>
        <w:rPr>
          <w:rFonts w:ascii="Times New Roman" w:hAnsi="Times New Roman"/>
          <w:sz w:val="24"/>
          <w:szCs w:val="24"/>
        </w:rPr>
      </w:pPr>
      <w:r w:rsidRPr="00E0273B">
        <w:rPr>
          <w:rFonts w:ascii="Times New Roman" w:hAnsi="Times New Roman"/>
          <w:sz w:val="24"/>
          <w:szCs w:val="24"/>
        </w:rPr>
        <w:t>“Symptomatic Prehospital Provider Many Departments have already initiated screening of employees at the start of every shift.  Providers with fever (100.0 or higher) and/or symptoms should not work.  Symptomatic providers are a priority for COVID-19 testing.  The Department’s Employee Health and/or the provider’s PCP should be able to arrange testing.  The UC Health ‘Drive-Through’ testing center may be able to help (open M-F 10-4, must call 41-VIRUS to make appointment).  Test results may take 4-5 days</w:t>
      </w:r>
      <w:bookmarkEnd w:id="359"/>
      <w:r w:rsidRPr="00E0273B">
        <w:rPr>
          <w:rFonts w:ascii="Times New Roman" w:hAnsi="Times New Roman"/>
          <w:sz w:val="24"/>
          <w:szCs w:val="24"/>
        </w:rPr>
        <w:t>.”</w:t>
      </w:r>
    </w:p>
    <w:p w14:paraId="7A9E2251" w14:textId="77777777" w:rsidR="0066298F" w:rsidRDefault="0066298F" w:rsidP="005C30A4">
      <w:pPr>
        <w:pStyle w:val="NoSpacing"/>
        <w:rPr>
          <w:rFonts w:ascii="Arial Black" w:hAnsi="Arial Black"/>
          <w:b/>
          <w:sz w:val="24"/>
          <w:szCs w:val="24"/>
        </w:rPr>
      </w:pPr>
    </w:p>
    <w:p w14:paraId="5D5F0C6E" w14:textId="77777777" w:rsidR="0066298F" w:rsidRDefault="0066298F" w:rsidP="005C30A4">
      <w:pPr>
        <w:pStyle w:val="NoSpacing"/>
        <w:rPr>
          <w:rFonts w:ascii="Arial Black" w:hAnsi="Arial Black"/>
          <w:b/>
          <w:sz w:val="24"/>
          <w:szCs w:val="24"/>
        </w:rPr>
      </w:pPr>
    </w:p>
    <w:p w14:paraId="41047F17" w14:textId="77777777" w:rsidR="0066298F" w:rsidRDefault="0066298F" w:rsidP="005C30A4">
      <w:pPr>
        <w:pStyle w:val="NoSpacing"/>
        <w:rPr>
          <w:rFonts w:ascii="Arial Black" w:hAnsi="Arial Black"/>
          <w:b/>
          <w:sz w:val="24"/>
          <w:szCs w:val="24"/>
        </w:rPr>
      </w:pPr>
    </w:p>
    <w:p w14:paraId="752798EA" w14:textId="226CBFBD" w:rsidR="005C30A4" w:rsidRDefault="005C30A4" w:rsidP="005C30A4">
      <w:pPr>
        <w:pStyle w:val="NoSpacing"/>
        <w:rPr>
          <w:rFonts w:ascii="Arial Black" w:hAnsi="Arial Black"/>
          <w:b/>
          <w:sz w:val="24"/>
          <w:szCs w:val="24"/>
        </w:rPr>
      </w:pPr>
      <w:r>
        <w:rPr>
          <w:rFonts w:ascii="Arial Black" w:hAnsi="Arial Black"/>
          <w:b/>
          <w:sz w:val="24"/>
          <w:szCs w:val="24"/>
        </w:rPr>
        <w:t>9-10</w:t>
      </w:r>
    </w:p>
    <w:p w14:paraId="5F4DD4CB" w14:textId="77777777" w:rsidR="005C30A4" w:rsidRPr="00C14E57" w:rsidRDefault="005C30A4" w:rsidP="005C30A4">
      <w:pPr>
        <w:pStyle w:val="NormalWeb"/>
        <w:rPr>
          <w:rFonts w:ascii="Arial Black" w:hAnsi="Arial Black"/>
          <w:sz w:val="28"/>
          <w:szCs w:val="28"/>
        </w:rPr>
      </w:pPr>
      <w:r>
        <w:rPr>
          <w:rFonts w:ascii="Arial Black" w:hAnsi="Arial Black"/>
          <w:sz w:val="28"/>
          <w:szCs w:val="28"/>
        </w:rPr>
        <w:t xml:space="preserve">LA: DISPATCHER FIRED - POOR WORK PERFORMANCE – CLAIMED ANXIETY – DIDN’T REQUEST ACCOMODATIONS </w:t>
      </w:r>
    </w:p>
    <w:p w14:paraId="47E94D8E" w14:textId="77777777" w:rsidR="005C30A4" w:rsidRPr="00465FB3" w:rsidRDefault="005C30A4" w:rsidP="005C30A4">
      <w:pPr>
        <w:spacing w:before="100" w:beforeAutospacing="1" w:after="100" w:afterAutospacing="1" w:line="240" w:lineRule="auto"/>
        <w:rPr>
          <w:rFonts w:ascii="Times New Roman" w:eastAsia="Times New Roman" w:hAnsi="Times New Roman"/>
          <w:sz w:val="24"/>
          <w:szCs w:val="24"/>
        </w:rPr>
      </w:pPr>
      <w:r w:rsidRPr="00465FB3">
        <w:rPr>
          <w:rFonts w:ascii="Times New Roman" w:hAnsi="Times New Roman"/>
          <w:sz w:val="24"/>
          <w:szCs w:val="24"/>
        </w:rPr>
        <w:t xml:space="preserve">On Feb. 26, 2020, in </w:t>
      </w:r>
      <w:r w:rsidRPr="00465FB3">
        <w:rPr>
          <w:rFonts w:ascii="Times New Roman" w:hAnsi="Times New Roman"/>
          <w:sz w:val="24"/>
          <w:szCs w:val="24"/>
          <w:u w:val="single"/>
        </w:rPr>
        <w:t xml:space="preserve">Denise Watkins v. </w:t>
      </w:r>
      <w:r w:rsidRPr="00465FB3">
        <w:rPr>
          <w:rFonts w:ascii="Times New Roman" w:eastAsia="Times New Roman" w:hAnsi="Times New Roman"/>
          <w:sz w:val="24"/>
          <w:szCs w:val="24"/>
          <w:u w:val="single"/>
        </w:rPr>
        <w:t>Sheriff Michael Tregre</w:t>
      </w:r>
      <w:r w:rsidRPr="00465FB3">
        <w:rPr>
          <w:rFonts w:ascii="Times New Roman" w:eastAsia="Times New Roman" w:hAnsi="Times New Roman"/>
          <w:sz w:val="24"/>
          <w:szCs w:val="24"/>
        </w:rPr>
        <w:t xml:space="preserve">,  U.S. District Court Judge Greg Gerard Guidry, Eastern District of Louisiana, granted the Sheriff’s motion for summary judgment. </w:t>
      </w:r>
    </w:p>
    <w:p w14:paraId="53C247EB" w14:textId="5C512A4F" w:rsidR="005C30A4" w:rsidRDefault="005C30A4" w:rsidP="005C30A4">
      <w:pPr>
        <w:pStyle w:val="NoSpacing"/>
        <w:ind w:left="720"/>
        <w:rPr>
          <w:rFonts w:ascii="Arial Black" w:hAnsi="Arial Black"/>
          <w:b/>
          <w:sz w:val="24"/>
          <w:szCs w:val="24"/>
        </w:rPr>
      </w:pPr>
      <w:r w:rsidRPr="00465FB3">
        <w:rPr>
          <w:rFonts w:ascii="Times New Roman" w:hAnsi="Times New Roman"/>
          <w:bCs/>
          <w:sz w:val="24"/>
          <w:szCs w:val="24"/>
        </w:rPr>
        <w:t xml:space="preserve">“The Court finds Plaintiff has failed to produce competent summary judgment evidence to make out a </w:t>
      </w:r>
      <w:r w:rsidRPr="00465FB3">
        <w:rPr>
          <w:rFonts w:ascii="Times New Roman" w:hAnsi="Times New Roman"/>
          <w:bCs/>
          <w:i/>
          <w:iCs/>
          <w:sz w:val="24"/>
          <w:szCs w:val="24"/>
        </w:rPr>
        <w:t>prima facie</w:t>
      </w:r>
      <w:r w:rsidRPr="00465FB3">
        <w:rPr>
          <w:rFonts w:ascii="Times New Roman" w:hAnsi="Times New Roman"/>
          <w:bCs/>
          <w:sz w:val="24"/>
          <w:szCs w:val="24"/>
        </w:rPr>
        <w:t xml:space="preserve"> failure-to-accommodate claim. Plaintiff has not produced evidence to show that the consequential limitations of Plaintiff's alleged disability were known to Defendant or that Defendant failed to make reasonable </w:t>
      </w:r>
      <w:proofErr w:type="gramStart"/>
      <w:r w:rsidRPr="00465FB3">
        <w:rPr>
          <w:rFonts w:ascii="Times New Roman" w:hAnsi="Times New Roman"/>
          <w:bCs/>
          <w:sz w:val="24"/>
          <w:szCs w:val="24"/>
        </w:rPr>
        <w:t>accommodations</w:t>
      </w:r>
      <w:proofErr w:type="gramEnd"/>
      <w:r w:rsidRPr="00465FB3">
        <w:rPr>
          <w:rFonts w:ascii="Times New Roman" w:hAnsi="Times New Roman"/>
          <w:bCs/>
          <w:sz w:val="24"/>
          <w:szCs w:val="24"/>
        </w:rPr>
        <w:t xml:space="preserve"> for such limitations. Therefore, Defendant is entitled to judgment as a matter of law dismissing Plaintiff's failure-to-accommodate claim.” </w:t>
      </w:r>
      <w:hyperlink r:id="rId1690" w:history="1">
        <w:r w:rsidRPr="00465FB3">
          <w:rPr>
            <w:rStyle w:val="Hyperlink"/>
            <w:rFonts w:ascii="Times New Roman" w:hAnsi="Times New Roman"/>
            <w:bCs/>
            <w:sz w:val="24"/>
            <w:szCs w:val="24"/>
          </w:rPr>
          <w:t>https://public.fastcase.com/Wl%2B2t%2BeVuI35%2FN70vAMFZhmmbLojT%2FvpqyhULz0IXhVnEOLZ3Ga%2BMf6ctA4VMmca</w:t>
        </w:r>
      </w:hyperlink>
    </w:p>
    <w:p w14:paraId="1F7152B8" w14:textId="77777777" w:rsidR="005C30A4" w:rsidRPr="00465FB3" w:rsidRDefault="005C30A4" w:rsidP="005C30A4">
      <w:pPr>
        <w:pStyle w:val="NormalWeb"/>
        <w:rPr>
          <w:b/>
          <w:bCs/>
        </w:rPr>
      </w:pPr>
      <w:r w:rsidRPr="00465FB3">
        <w:rPr>
          <w:b/>
          <w:bCs/>
        </w:rPr>
        <w:t xml:space="preserve">Legal Lessons Learned:  As explained by the Court, “Under the ADA, an employer is only required to ‘accommodate the known limitations of an employee's disability."  A </w:t>
      </w:r>
      <w:r w:rsidRPr="00465FB3">
        <w:rPr>
          <w:b/>
          <w:bCs/>
          <w:i/>
          <w:iCs/>
        </w:rPr>
        <w:t>prima facie</w:t>
      </w:r>
      <w:r w:rsidRPr="00465FB3">
        <w:rPr>
          <w:b/>
          <w:bCs/>
        </w:rPr>
        <w:t xml:space="preserve"> case of failure-to-accommodate requires that: ‘(1) the plaintiff is a 'qualified individual with a disability;' (2) the disability and its consequential limitations were 'known' by the covered employer; and (3) the employer failed to make 'reasonable accommodations' for such known limitations.’”</w:t>
      </w:r>
    </w:p>
    <w:p w14:paraId="2B5B4844" w14:textId="67397E8A" w:rsidR="005C30A4" w:rsidRDefault="005C30A4" w:rsidP="005C30A4">
      <w:pPr>
        <w:pStyle w:val="NoSpacing"/>
        <w:rPr>
          <w:sz w:val="24"/>
          <w:szCs w:val="24"/>
        </w:rPr>
      </w:pPr>
    </w:p>
    <w:p w14:paraId="02F86562" w14:textId="77777777" w:rsidR="005C30A4" w:rsidRDefault="005C30A4" w:rsidP="005C30A4">
      <w:pPr>
        <w:pStyle w:val="NoSpacing"/>
        <w:rPr>
          <w:sz w:val="24"/>
          <w:szCs w:val="24"/>
        </w:rPr>
      </w:pPr>
    </w:p>
    <w:p w14:paraId="15086F11" w14:textId="2AB14CC9" w:rsidR="005C30A4" w:rsidRDefault="005C30A4" w:rsidP="005C30A4">
      <w:pPr>
        <w:pStyle w:val="NoSpacing"/>
        <w:rPr>
          <w:sz w:val="24"/>
          <w:szCs w:val="24"/>
        </w:rPr>
      </w:pPr>
    </w:p>
    <w:p w14:paraId="4164EED7" w14:textId="0E5604F2" w:rsidR="00997329" w:rsidRDefault="00997329" w:rsidP="005C30A4">
      <w:pPr>
        <w:pStyle w:val="NoSpacing"/>
        <w:rPr>
          <w:rFonts w:ascii="Arial Black" w:hAnsi="Arial Black"/>
          <w:b/>
          <w:sz w:val="24"/>
          <w:szCs w:val="24"/>
        </w:rPr>
      </w:pPr>
      <w:r>
        <w:rPr>
          <w:rFonts w:ascii="Arial Black" w:hAnsi="Arial Black"/>
          <w:b/>
          <w:sz w:val="24"/>
          <w:szCs w:val="24"/>
        </w:rPr>
        <w:t>9-9</w:t>
      </w:r>
    </w:p>
    <w:p w14:paraId="48F62CC5" w14:textId="77777777" w:rsidR="00997329" w:rsidRPr="00DB5BDD" w:rsidRDefault="00997329" w:rsidP="00997329">
      <w:pPr>
        <w:spacing w:before="100" w:beforeAutospacing="1" w:after="100" w:afterAutospacing="1" w:line="240" w:lineRule="auto"/>
        <w:rPr>
          <w:rFonts w:ascii="Arial Black" w:eastAsia="Times New Roman" w:hAnsi="Arial Black"/>
          <w:sz w:val="28"/>
          <w:szCs w:val="28"/>
        </w:rPr>
      </w:pPr>
      <w:r w:rsidRPr="00DB5BDD">
        <w:rPr>
          <w:rFonts w:ascii="Arial Black" w:eastAsia="Times New Roman" w:hAnsi="Arial Black"/>
          <w:sz w:val="28"/>
          <w:szCs w:val="28"/>
        </w:rPr>
        <w:t>NY:</w:t>
      </w:r>
      <w:r>
        <w:rPr>
          <w:rFonts w:ascii="Arial Black" w:eastAsia="Times New Roman" w:hAnsi="Arial Black"/>
          <w:sz w:val="28"/>
          <w:szCs w:val="28"/>
        </w:rPr>
        <w:t xml:space="preserve"> AFRICAN AMERICAN FFs WITH PFB – FDNY NEW POLICY REQUIRED FF TO SHAVE CHIN HAIR - VIOLATES ADA  </w:t>
      </w:r>
    </w:p>
    <w:p w14:paraId="27205C62" w14:textId="77777777" w:rsidR="00997329" w:rsidRPr="00465FB3" w:rsidRDefault="00997329" w:rsidP="00997329">
      <w:pPr>
        <w:tabs>
          <w:tab w:val="left" w:pos="6200"/>
        </w:tabs>
        <w:spacing w:before="100" w:beforeAutospacing="1" w:after="100" w:afterAutospacing="1" w:line="240" w:lineRule="auto"/>
        <w:rPr>
          <w:rFonts w:ascii="Times New Roman" w:eastAsia="Times New Roman" w:hAnsi="Times New Roman"/>
          <w:sz w:val="24"/>
          <w:szCs w:val="24"/>
        </w:rPr>
      </w:pPr>
      <w:r w:rsidRPr="00465FB3">
        <w:rPr>
          <w:rFonts w:ascii="Times New Roman" w:eastAsia="Times New Roman" w:hAnsi="Times New Roman"/>
          <w:sz w:val="24"/>
          <w:szCs w:val="24"/>
        </w:rPr>
        <w:t xml:space="preserve">On </w:t>
      </w:r>
      <w:bookmarkStart w:id="360" w:name="_Hlk39838735"/>
      <w:r w:rsidRPr="00465FB3">
        <w:rPr>
          <w:rFonts w:ascii="Times New Roman" w:eastAsia="Times New Roman" w:hAnsi="Times New Roman"/>
          <w:sz w:val="24"/>
          <w:szCs w:val="24"/>
        </w:rPr>
        <w:t xml:space="preserve">Jan. 29, 2020, in </w:t>
      </w:r>
      <w:r w:rsidRPr="00465FB3">
        <w:rPr>
          <w:rFonts w:ascii="Times New Roman" w:eastAsia="Times New Roman" w:hAnsi="Times New Roman"/>
          <w:sz w:val="24"/>
          <w:szCs w:val="24"/>
          <w:u w:val="single"/>
        </w:rPr>
        <w:t>Salif Bey, et al. v. City of New York</w:t>
      </w:r>
      <w:r w:rsidRPr="00465FB3">
        <w:rPr>
          <w:rFonts w:ascii="Times New Roman" w:eastAsia="Times New Roman" w:hAnsi="Times New Roman"/>
          <w:sz w:val="24"/>
          <w:szCs w:val="24"/>
        </w:rPr>
        <w:t xml:space="preserve">, </w:t>
      </w:r>
      <w:bookmarkEnd w:id="360"/>
      <w:r w:rsidRPr="00465FB3">
        <w:rPr>
          <w:rFonts w:ascii="Times New Roman" w:eastAsia="Times New Roman" w:hAnsi="Times New Roman"/>
          <w:sz w:val="24"/>
          <w:szCs w:val="24"/>
        </w:rPr>
        <w:t xml:space="preserve">Senior U.S. District Court Judge Jack B. Weinstein, Eastern District of New York, granted summary judgment to four FF who brought the lawsuit.   From Aug. 2015 until Dec. 2017, FDNY allowed 16 FF with </w:t>
      </w:r>
      <w:proofErr w:type="gramStart"/>
      <w:r w:rsidRPr="00465FB3">
        <w:rPr>
          <w:rFonts w:ascii="Times New Roman" w:eastAsia="Times New Roman" w:hAnsi="Times New Roman"/>
          <w:sz w:val="24"/>
          <w:szCs w:val="24"/>
        </w:rPr>
        <w:t>PFB to have</w:t>
      </w:r>
      <w:proofErr w:type="gramEnd"/>
      <w:r w:rsidRPr="00465FB3">
        <w:rPr>
          <w:rFonts w:ascii="Times New Roman" w:eastAsia="Times New Roman" w:hAnsi="Times New Roman"/>
          <w:sz w:val="24"/>
          <w:szCs w:val="24"/>
        </w:rPr>
        <w:t xml:space="preserve"> hair on their chin so long as they passed fit </w:t>
      </w:r>
      <w:proofErr w:type="gramStart"/>
      <w:r w:rsidRPr="00465FB3">
        <w:rPr>
          <w:rFonts w:ascii="Times New Roman" w:eastAsia="Times New Roman" w:hAnsi="Times New Roman"/>
          <w:sz w:val="24"/>
          <w:szCs w:val="24"/>
        </w:rPr>
        <w:t>test, but</w:t>
      </w:r>
      <w:proofErr w:type="gramEnd"/>
      <w:r w:rsidRPr="00465FB3">
        <w:rPr>
          <w:rFonts w:ascii="Times New Roman" w:eastAsia="Times New Roman" w:hAnsi="Times New Roman"/>
          <w:sz w:val="24"/>
          <w:szCs w:val="24"/>
        </w:rPr>
        <w:t xml:space="preserve"> changed the policy in 2018 to more strictly comply with OSHA requirements.  Judge, however, cited OSHA interpretation letter: </w:t>
      </w:r>
      <w:r w:rsidRPr="00465FB3">
        <w:rPr>
          <w:rFonts w:ascii="Times New Roman" w:eastAsia="Times New Roman" w:hAnsi="Times New Roman"/>
          <w:i/>
          <w:iCs/>
          <w:sz w:val="24"/>
          <w:szCs w:val="24"/>
        </w:rPr>
        <w:t xml:space="preserve">Facial hair is allowed </w:t>
      </w:r>
      <w:proofErr w:type="gramStart"/>
      <w:r w:rsidRPr="00465FB3">
        <w:rPr>
          <w:rFonts w:ascii="Times New Roman" w:eastAsia="Times New Roman" w:hAnsi="Times New Roman"/>
          <w:i/>
          <w:iCs/>
          <w:sz w:val="24"/>
          <w:szCs w:val="24"/>
        </w:rPr>
        <w:t>as long as</w:t>
      </w:r>
      <w:proofErr w:type="gramEnd"/>
      <w:r w:rsidRPr="00465FB3">
        <w:rPr>
          <w:rFonts w:ascii="Times New Roman" w:eastAsia="Times New Roman" w:hAnsi="Times New Roman"/>
          <w:i/>
          <w:iCs/>
          <w:sz w:val="24"/>
          <w:szCs w:val="24"/>
        </w:rPr>
        <w:t xml:space="preserve"> it does not protrude under the respirator seal, or extend far enough to interfere with the device's valve function.</w:t>
      </w:r>
    </w:p>
    <w:p w14:paraId="1F84D4C6" w14:textId="77777777" w:rsidR="00997329" w:rsidRPr="00465FB3" w:rsidRDefault="00997329" w:rsidP="00997329">
      <w:pPr>
        <w:spacing w:before="100" w:beforeAutospacing="1" w:after="100" w:afterAutospacing="1" w:line="240" w:lineRule="auto"/>
        <w:ind w:left="720"/>
        <w:rPr>
          <w:rFonts w:ascii="Times New Roman" w:eastAsia="Times New Roman" w:hAnsi="Times New Roman"/>
          <w:sz w:val="24"/>
          <w:szCs w:val="24"/>
        </w:rPr>
      </w:pPr>
      <w:r w:rsidRPr="00465FB3">
        <w:rPr>
          <w:rFonts w:ascii="Times New Roman" w:eastAsia="Times New Roman" w:hAnsi="Times New Roman"/>
          <w:sz w:val="24"/>
          <w:szCs w:val="24"/>
        </w:rPr>
        <w:t xml:space="preserve"> “Salik Bey (‘Bey’), Clyde Phillips (‘Phillips’), Steven Seymour (‘Seymour’) and Terrel Joseph (‘Joseph’) (collectively, ‘Plaintiffs’) are African American men who were employed as firefighters by the Fire Department of the City of New York (‘FDNY’ or ‘Department’) when the relevant events began. Amended </w:t>
      </w:r>
      <w:proofErr w:type="gramStart"/>
      <w:r w:rsidRPr="00465FB3">
        <w:rPr>
          <w:rFonts w:ascii="Times New Roman" w:eastAsia="Times New Roman" w:hAnsi="Times New Roman"/>
          <w:sz w:val="24"/>
          <w:szCs w:val="24"/>
        </w:rPr>
        <w:t>Complaint (‘</w:t>
      </w:r>
      <w:proofErr w:type="gramEnd"/>
      <w:r w:rsidRPr="00465FB3">
        <w:rPr>
          <w:rFonts w:ascii="Times New Roman" w:eastAsia="Times New Roman" w:hAnsi="Times New Roman"/>
          <w:sz w:val="24"/>
          <w:szCs w:val="24"/>
        </w:rPr>
        <w:t xml:space="preserve">Am. </w:t>
      </w:r>
      <w:proofErr w:type="spellStart"/>
      <w:r w:rsidRPr="00465FB3">
        <w:rPr>
          <w:rFonts w:ascii="Times New Roman" w:eastAsia="Times New Roman" w:hAnsi="Times New Roman"/>
          <w:sz w:val="24"/>
          <w:szCs w:val="24"/>
        </w:rPr>
        <w:t>Compl</w:t>
      </w:r>
      <w:proofErr w:type="spellEnd"/>
      <w:r w:rsidRPr="00465FB3">
        <w:rPr>
          <w:rFonts w:ascii="Times New Roman" w:eastAsia="Times New Roman" w:hAnsi="Times New Roman"/>
          <w:sz w:val="24"/>
          <w:szCs w:val="24"/>
        </w:rPr>
        <w:t xml:space="preserve">.’) ¶ 9, ECF No. 19. They suffer from Pseudofolliculitis Barbae ("PFB")—a physiological condition that causes disfigurement of the skin in the hair-bearing areas of the chin, cheek, and neck. </w:t>
      </w:r>
      <w:r w:rsidRPr="00465FB3">
        <w:rPr>
          <w:rFonts w:ascii="Times New Roman" w:eastAsia="Times New Roman" w:hAnsi="Times New Roman"/>
          <w:i/>
          <w:iCs/>
          <w:sz w:val="24"/>
          <w:szCs w:val="24"/>
        </w:rPr>
        <w:t>Id.</w:t>
      </w:r>
      <w:r w:rsidRPr="00465FB3">
        <w:rPr>
          <w:rFonts w:ascii="Times New Roman" w:eastAsia="Times New Roman" w:hAnsi="Times New Roman"/>
          <w:sz w:val="24"/>
          <w:szCs w:val="24"/>
        </w:rPr>
        <w:t xml:space="preserve"> at ¶¶ 22-23. *** By a letter dated May 9, 2016, OSHA interpreted the relevant RPS provision as clearing the way for Plaintiffs to maintain facial hair that does not protrude under the respirator seal:</w:t>
      </w:r>
    </w:p>
    <w:p w14:paraId="2C0EA5AA" w14:textId="0F525A13" w:rsidR="00997329" w:rsidRDefault="00997329" w:rsidP="00997329">
      <w:pPr>
        <w:ind w:left="720"/>
        <w:rPr>
          <w:rStyle w:val="Hyperlink"/>
          <w:rFonts w:ascii="Times New Roman" w:eastAsia="Times New Roman" w:hAnsi="Times New Roman"/>
          <w:sz w:val="24"/>
          <w:szCs w:val="24"/>
        </w:rPr>
      </w:pPr>
      <w:r w:rsidRPr="00465FB3">
        <w:rPr>
          <w:rFonts w:ascii="Times New Roman" w:eastAsia="Times New Roman" w:hAnsi="Times New Roman"/>
          <w:sz w:val="24"/>
          <w:szCs w:val="24"/>
        </w:rPr>
        <w:t>The Respiratory Protection standard, paragraph 29 CFR 1910.134(g)(1)(</w:t>
      </w:r>
      <w:proofErr w:type="spellStart"/>
      <w:r w:rsidRPr="00465FB3">
        <w:rPr>
          <w:rFonts w:ascii="Times New Roman" w:eastAsia="Times New Roman" w:hAnsi="Times New Roman"/>
          <w:sz w:val="24"/>
          <w:szCs w:val="24"/>
        </w:rPr>
        <w:t>i</w:t>
      </w:r>
      <w:proofErr w:type="spellEnd"/>
      <w:r w:rsidRPr="00465FB3">
        <w:rPr>
          <w:rFonts w:ascii="Times New Roman" w:eastAsia="Times New Roman" w:hAnsi="Times New Roman"/>
          <w:sz w:val="24"/>
          <w:szCs w:val="24"/>
        </w:rPr>
        <w:t xml:space="preserve">)(A), states that respirators shall not be worn when facial hair comes between the sealing surface of the facepiece and the face or that interferes with valve function. </w:t>
      </w:r>
      <w:r w:rsidRPr="00465FB3">
        <w:rPr>
          <w:rFonts w:ascii="Times New Roman" w:eastAsia="Times New Roman" w:hAnsi="Times New Roman"/>
          <w:i/>
          <w:iCs/>
          <w:sz w:val="24"/>
          <w:szCs w:val="24"/>
        </w:rPr>
        <w:t xml:space="preserve">Facial hair is allowed </w:t>
      </w:r>
      <w:proofErr w:type="gramStart"/>
      <w:r w:rsidRPr="00465FB3">
        <w:rPr>
          <w:rFonts w:ascii="Times New Roman" w:eastAsia="Times New Roman" w:hAnsi="Times New Roman"/>
          <w:i/>
          <w:iCs/>
          <w:sz w:val="24"/>
          <w:szCs w:val="24"/>
        </w:rPr>
        <w:t>as long as</w:t>
      </w:r>
      <w:proofErr w:type="gramEnd"/>
      <w:r w:rsidRPr="00465FB3">
        <w:rPr>
          <w:rFonts w:ascii="Times New Roman" w:eastAsia="Times New Roman" w:hAnsi="Times New Roman"/>
          <w:i/>
          <w:iCs/>
          <w:sz w:val="24"/>
          <w:szCs w:val="24"/>
        </w:rPr>
        <w:t xml:space="preserve"> it does not protrude under the respirator </w:t>
      </w:r>
      <w:proofErr w:type="gramStart"/>
      <w:r w:rsidRPr="00465FB3">
        <w:rPr>
          <w:rFonts w:ascii="Times New Roman" w:eastAsia="Times New Roman" w:hAnsi="Times New Roman"/>
          <w:i/>
          <w:iCs/>
          <w:sz w:val="24"/>
          <w:szCs w:val="24"/>
        </w:rPr>
        <w:t>seal, or</w:t>
      </w:r>
      <w:proofErr w:type="gramEnd"/>
      <w:r w:rsidRPr="00465FB3">
        <w:rPr>
          <w:rFonts w:ascii="Times New Roman" w:eastAsia="Times New Roman" w:hAnsi="Times New Roman"/>
          <w:i/>
          <w:iCs/>
          <w:sz w:val="24"/>
          <w:szCs w:val="24"/>
        </w:rPr>
        <w:t xml:space="preserve"> extend far enough to interfere with the device's valve function.</w:t>
      </w:r>
      <w:r w:rsidRPr="00465FB3">
        <w:rPr>
          <w:rFonts w:ascii="Times New Roman" w:eastAsia="Times New Roman" w:hAnsi="Times New Roman"/>
          <w:sz w:val="24"/>
          <w:szCs w:val="24"/>
        </w:rPr>
        <w:t xml:space="preserve"> Short mustaches, sideburns, and small goatees that are neatly trimmed so that no hair compromises the seal of the respirator usually do not present a hazard, and, therefore, do not violate paragraph 1910.134(g)(1)(</w:t>
      </w:r>
      <w:proofErr w:type="spellStart"/>
      <w:r w:rsidRPr="00465FB3">
        <w:rPr>
          <w:rFonts w:ascii="Times New Roman" w:eastAsia="Times New Roman" w:hAnsi="Times New Roman"/>
          <w:sz w:val="24"/>
          <w:szCs w:val="24"/>
        </w:rPr>
        <w:t>i</w:t>
      </w:r>
      <w:proofErr w:type="spellEnd"/>
      <w:r w:rsidRPr="00465FB3">
        <w:rPr>
          <w:rFonts w:ascii="Times New Roman" w:eastAsia="Times New Roman" w:hAnsi="Times New Roman"/>
          <w:sz w:val="24"/>
          <w:szCs w:val="24"/>
        </w:rPr>
        <w:t xml:space="preserve">). May 9, </w:t>
      </w:r>
      <w:proofErr w:type="gramStart"/>
      <w:r w:rsidRPr="00465FB3">
        <w:rPr>
          <w:rFonts w:ascii="Times New Roman" w:eastAsia="Times New Roman" w:hAnsi="Times New Roman"/>
          <w:sz w:val="24"/>
          <w:szCs w:val="24"/>
        </w:rPr>
        <w:t>2016</w:t>
      </w:r>
      <w:proofErr w:type="gramEnd"/>
      <w:r w:rsidRPr="00465FB3">
        <w:rPr>
          <w:rFonts w:ascii="Times New Roman" w:eastAsia="Times New Roman" w:hAnsi="Times New Roman"/>
          <w:sz w:val="24"/>
          <w:szCs w:val="24"/>
        </w:rPr>
        <w:t xml:space="preserve"> OSHA Interpretative Letter at 2, ECF No. 48-15 (emphasis added). *** On the theory and facts of the ‘failure to accommodate’ and disability discrimination claims under the Americans with Disabilities Act (‘ADA’), Plaintiffs are entitled to summary judgment against Defendants and to reinstatement of the accommodation previously in effect.”  </w:t>
      </w:r>
      <w:bookmarkStart w:id="361" w:name="_Hlk39838756"/>
      <w:r w:rsidR="00DC51D4">
        <w:fldChar w:fldCharType="begin"/>
      </w:r>
      <w:r w:rsidR="00DC51D4">
        <w:instrText xml:space="preserve"> HYPERLINK "https://scholar.google.com/scholar_case?case=10499866017529575475&amp;q=+Bey+v.+City+of+New+York&amp;hl=en&amp;as_sdt=6,36&amp;as_ylo=2020" </w:instrText>
      </w:r>
      <w:r w:rsidR="00DC51D4">
        <w:fldChar w:fldCharType="separate"/>
      </w:r>
      <w:r w:rsidRPr="00465FB3">
        <w:rPr>
          <w:rStyle w:val="Hyperlink"/>
          <w:rFonts w:ascii="Times New Roman" w:eastAsia="Times New Roman" w:hAnsi="Times New Roman"/>
          <w:sz w:val="24"/>
          <w:szCs w:val="24"/>
        </w:rPr>
        <w:t>https://scholar.google.com/scholar_case?case=10499866017529575475&amp;q=+Bey+v.+City+of+New+York&amp;hl=en&amp;as_sdt=6,36&amp;as_ylo=2020</w:t>
      </w:r>
      <w:r w:rsidR="00DC51D4">
        <w:rPr>
          <w:rStyle w:val="Hyperlink"/>
          <w:rFonts w:ascii="Times New Roman" w:eastAsia="Times New Roman" w:hAnsi="Times New Roman"/>
          <w:sz w:val="24"/>
          <w:szCs w:val="24"/>
        </w:rPr>
        <w:fldChar w:fldCharType="end"/>
      </w:r>
    </w:p>
    <w:bookmarkEnd w:id="361"/>
    <w:p w14:paraId="37988CF0" w14:textId="77777777" w:rsidR="00997329" w:rsidRPr="00465FB3" w:rsidRDefault="00997329" w:rsidP="00997329">
      <w:pPr>
        <w:spacing w:before="100" w:beforeAutospacing="1" w:after="100" w:afterAutospacing="1" w:line="240" w:lineRule="auto"/>
        <w:rPr>
          <w:rFonts w:ascii="Times New Roman" w:eastAsia="Times New Roman" w:hAnsi="Times New Roman"/>
          <w:b/>
          <w:bCs/>
          <w:sz w:val="24"/>
          <w:szCs w:val="24"/>
        </w:rPr>
      </w:pPr>
      <w:r w:rsidRPr="00465FB3">
        <w:rPr>
          <w:rFonts w:ascii="Times New Roman" w:eastAsia="Times New Roman" w:hAnsi="Times New Roman"/>
          <w:b/>
          <w:bCs/>
          <w:sz w:val="24"/>
          <w:szCs w:val="24"/>
        </w:rPr>
        <w:t xml:space="preserve">Legal Lessons Learned:  The OSHA interpretation letter, not requiring complete shaved face, was very important in this ADA litigation.   </w:t>
      </w:r>
    </w:p>
    <w:p w14:paraId="65563768" w14:textId="77777777" w:rsidR="00997329" w:rsidRDefault="00997329" w:rsidP="00997329">
      <w:pPr>
        <w:ind w:left="720"/>
        <w:rPr>
          <w:rFonts w:ascii="Arial Black" w:hAnsi="Arial Black"/>
          <w:b/>
          <w:sz w:val="24"/>
          <w:szCs w:val="24"/>
        </w:rPr>
      </w:pPr>
    </w:p>
    <w:p w14:paraId="173C5569" w14:textId="77777777" w:rsidR="00997329" w:rsidRDefault="00997329" w:rsidP="002B1283">
      <w:pPr>
        <w:rPr>
          <w:rFonts w:ascii="Arial Black" w:hAnsi="Arial Black"/>
          <w:b/>
          <w:sz w:val="24"/>
          <w:szCs w:val="24"/>
        </w:rPr>
      </w:pPr>
    </w:p>
    <w:p w14:paraId="538F52C2" w14:textId="582B7BE1" w:rsidR="00A52325" w:rsidRDefault="00177094" w:rsidP="002B1283">
      <w:pPr>
        <w:rPr>
          <w:rFonts w:ascii="Arial Black" w:hAnsi="Arial Black"/>
          <w:b/>
          <w:sz w:val="24"/>
          <w:szCs w:val="24"/>
        </w:rPr>
      </w:pPr>
      <w:r>
        <w:rPr>
          <w:rFonts w:ascii="Arial Black" w:hAnsi="Arial Black"/>
          <w:b/>
          <w:sz w:val="24"/>
          <w:szCs w:val="24"/>
        </w:rPr>
        <w:t>9-8</w:t>
      </w:r>
    </w:p>
    <w:p w14:paraId="4EEEDE16" w14:textId="77777777" w:rsidR="00177094" w:rsidRDefault="00177094" w:rsidP="00177094">
      <w:pPr>
        <w:pStyle w:val="NoSpacing"/>
        <w:rPr>
          <w:rFonts w:ascii="Arial Black" w:hAnsi="Arial Black"/>
          <w:b/>
          <w:bCs/>
          <w:sz w:val="28"/>
          <w:szCs w:val="28"/>
        </w:rPr>
      </w:pPr>
      <w:r>
        <w:rPr>
          <w:rFonts w:ascii="Arial Black" w:hAnsi="Arial Black"/>
          <w:bCs/>
          <w:sz w:val="28"/>
          <w:szCs w:val="28"/>
        </w:rPr>
        <w:t>GA: PARAMEDIC WITH MS – TEACHER / LAB ASSIS. – 3 DAYS SICK, COLLEGE REMOVED FULL SEMESTER – DOJ SETTLEMENT / BOJ BLOG</w:t>
      </w:r>
    </w:p>
    <w:p w14:paraId="490092D0" w14:textId="77777777" w:rsidR="00177094" w:rsidRPr="004236BE" w:rsidRDefault="00177094" w:rsidP="00177094">
      <w:pPr>
        <w:rPr>
          <w:rFonts w:ascii="Times New Roman" w:hAnsi="Times New Roman"/>
          <w:b/>
          <w:bCs/>
          <w:sz w:val="24"/>
          <w:szCs w:val="24"/>
        </w:rPr>
      </w:pPr>
      <w:r w:rsidRPr="00177094">
        <w:rPr>
          <w:rFonts w:ascii="Times New Roman" w:hAnsi="Times New Roman"/>
          <w:bCs/>
          <w:sz w:val="24"/>
          <w:szCs w:val="24"/>
        </w:rPr>
        <w:t>Ja</w:t>
      </w:r>
      <w:r w:rsidRPr="004236BE">
        <w:rPr>
          <w:rFonts w:ascii="Times New Roman" w:hAnsi="Times New Roman"/>
          <w:bCs/>
          <w:sz w:val="24"/>
          <w:szCs w:val="24"/>
        </w:rPr>
        <w:t xml:space="preserve">n. 27, 2020:  </w:t>
      </w:r>
      <w:proofErr w:type="spellStart"/>
      <w:r w:rsidRPr="004236BE">
        <w:rPr>
          <w:rFonts w:ascii="Times New Roman" w:hAnsi="Times New Roman"/>
          <w:bCs/>
          <w:sz w:val="24"/>
          <w:szCs w:val="24"/>
        </w:rPr>
        <w:t>DoJ</w:t>
      </w:r>
      <w:proofErr w:type="spellEnd"/>
      <w:r w:rsidRPr="004236BE">
        <w:rPr>
          <w:rFonts w:ascii="Times New Roman" w:hAnsi="Times New Roman"/>
          <w:bCs/>
          <w:sz w:val="24"/>
          <w:szCs w:val="24"/>
        </w:rPr>
        <w:t xml:space="preserve"> BLOG about settlement, about the Nov. 7, </w:t>
      </w:r>
      <w:proofErr w:type="gramStart"/>
      <w:r w:rsidRPr="004236BE">
        <w:rPr>
          <w:rFonts w:ascii="Times New Roman" w:hAnsi="Times New Roman"/>
          <w:bCs/>
          <w:sz w:val="24"/>
          <w:szCs w:val="24"/>
        </w:rPr>
        <w:t>2019</w:t>
      </w:r>
      <w:proofErr w:type="gramEnd"/>
      <w:r w:rsidRPr="004236BE">
        <w:rPr>
          <w:rFonts w:ascii="Times New Roman" w:hAnsi="Times New Roman"/>
          <w:bCs/>
          <w:sz w:val="24"/>
          <w:szCs w:val="24"/>
        </w:rPr>
        <w:t xml:space="preserve"> settlement:</w:t>
      </w:r>
      <w:r w:rsidRPr="004236BE">
        <w:rPr>
          <w:rFonts w:ascii="Times New Roman" w:hAnsi="Times New Roman"/>
          <w:bCs/>
          <w:sz w:val="24"/>
          <w:szCs w:val="24"/>
          <w:u w:val="single"/>
        </w:rPr>
        <w:t xml:space="preserve"> United States v. Lanier Technical College</w:t>
      </w:r>
      <w:r w:rsidRPr="004236BE">
        <w:rPr>
          <w:rFonts w:ascii="Times New Roman" w:hAnsi="Times New Roman"/>
          <w:bCs/>
          <w:sz w:val="24"/>
          <w:szCs w:val="24"/>
        </w:rPr>
        <w:t xml:space="preserve">: U.S. District Court, Northern District of Georgia (Atlanta).  </w:t>
      </w:r>
    </w:p>
    <w:p w14:paraId="360D0B5B"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 xml:space="preserve">“From 2009-2012, in addition to working as a full-time paramedic, Ms. Queen worked evening shifts as a part-time EMT lab assistant at Lanier Technical College, a unit of the Technical College System of Georgia. She loved teaching and hoped to someday become a full-time instructor. One former colleague described Ms. Queen as a ‘superstar’ lab assistant whom ‘students loved.’ But after Ms. Queen took three days of sick leave due to her MS, the college removed her from the teaching schedule for an entire school semester, thus reducing her hours and pay to zero. As alleged by the Justice Department in a complaint filed in federal district court in November 2019, the college’s actions effectively terminated Ms. Queen’s employment </w:t>
      </w:r>
      <w:proofErr w:type="gramStart"/>
      <w:r w:rsidRPr="004236BE">
        <w:rPr>
          <w:rFonts w:ascii="Times New Roman" w:hAnsi="Times New Roman"/>
          <w:bCs/>
          <w:sz w:val="24"/>
          <w:szCs w:val="24"/>
        </w:rPr>
        <w:t>on the basis of</w:t>
      </w:r>
      <w:proofErr w:type="gramEnd"/>
      <w:r w:rsidRPr="004236BE">
        <w:rPr>
          <w:rFonts w:ascii="Times New Roman" w:hAnsi="Times New Roman"/>
          <w:bCs/>
          <w:sz w:val="24"/>
          <w:szCs w:val="24"/>
        </w:rPr>
        <w:t xml:space="preserve"> her disability, in violation of Title I of the ADA.” </w:t>
      </w:r>
    </w:p>
    <w:p w14:paraId="2D797B13" w14:textId="77777777" w:rsidR="00177094" w:rsidRPr="004236BE" w:rsidRDefault="00177094" w:rsidP="00177094">
      <w:pPr>
        <w:pStyle w:val="NoSpacing"/>
        <w:ind w:left="720"/>
        <w:rPr>
          <w:rFonts w:ascii="Times New Roman" w:hAnsi="Times New Roman"/>
          <w:b/>
          <w:bCs/>
          <w:sz w:val="24"/>
          <w:szCs w:val="24"/>
        </w:rPr>
      </w:pPr>
      <w:hyperlink r:id="rId1691" w:history="1">
        <w:r w:rsidRPr="004236BE">
          <w:rPr>
            <w:rStyle w:val="Hyperlink"/>
            <w:rFonts w:ascii="Times New Roman" w:hAnsi="Times New Roman"/>
            <w:b/>
            <w:sz w:val="24"/>
            <w:szCs w:val="24"/>
          </w:rPr>
          <w:t>https://www.justice.gov/opa/blog/americans-disabilities-act-30th-anniversary-furthering-promise</w:t>
        </w:r>
      </w:hyperlink>
      <w:r w:rsidRPr="004236BE">
        <w:rPr>
          <w:rStyle w:val="Hyperlink"/>
          <w:rFonts w:ascii="Times New Roman" w:hAnsi="Times New Roman"/>
          <w:b/>
          <w:sz w:val="24"/>
          <w:szCs w:val="24"/>
        </w:rPr>
        <w:t xml:space="preserve"> </w:t>
      </w:r>
    </w:p>
    <w:p w14:paraId="287359A7" w14:textId="77777777" w:rsidR="00177094" w:rsidRPr="004236BE" w:rsidRDefault="00177094" w:rsidP="00177094">
      <w:pPr>
        <w:pStyle w:val="NoSpacing"/>
        <w:rPr>
          <w:rFonts w:ascii="Times New Roman" w:hAnsi="Times New Roman"/>
          <w:b/>
          <w:bCs/>
          <w:sz w:val="24"/>
          <w:szCs w:val="24"/>
        </w:rPr>
      </w:pPr>
    </w:p>
    <w:p w14:paraId="6C4315A9" w14:textId="77777777" w:rsidR="00177094" w:rsidRPr="004236BE" w:rsidRDefault="00177094" w:rsidP="00177094">
      <w:pPr>
        <w:pStyle w:val="NormalWeb"/>
        <w:rPr>
          <w:b/>
        </w:rPr>
      </w:pPr>
      <w:r w:rsidRPr="004236BE">
        <w:rPr>
          <w:bCs/>
        </w:rPr>
        <w:t xml:space="preserve">Nov. 7, </w:t>
      </w:r>
      <w:proofErr w:type="gramStart"/>
      <w:r w:rsidRPr="004236BE">
        <w:rPr>
          <w:bCs/>
        </w:rPr>
        <w:t>2019</w:t>
      </w:r>
      <w:proofErr w:type="gramEnd"/>
      <w:r w:rsidRPr="004236BE">
        <w:rPr>
          <w:bCs/>
        </w:rPr>
        <w:t xml:space="preserve"> Settlement Press Release:</w:t>
      </w:r>
    </w:p>
    <w:p w14:paraId="64A2E4DC" w14:textId="77777777" w:rsidR="00177094" w:rsidRPr="004236BE" w:rsidRDefault="00177094" w:rsidP="00177094">
      <w:pPr>
        <w:pStyle w:val="NormalWeb"/>
        <w:ind w:left="720"/>
        <w:rPr>
          <w:b/>
        </w:rPr>
      </w:pPr>
      <w:r w:rsidRPr="004236BE">
        <w:t xml:space="preserve">“The agreement resolves the Department’s complaint alleging that the college terminated an employee, who has multiple sclerosis, </w:t>
      </w:r>
      <w:proofErr w:type="gramStart"/>
      <w:r w:rsidRPr="004236BE">
        <w:t>on the basis of</w:t>
      </w:r>
      <w:proofErr w:type="gramEnd"/>
      <w:r w:rsidRPr="004236BE">
        <w:t xml:space="preserve"> her disability after years of service to the college. The complaint further alleges that, after the employee took three days of sick leave one summer, the college removed her from the teaching schedule for an entire school semester, thus reducing her hours and pay to zero, due to her multiple sclerosis.” </w:t>
      </w:r>
      <w:hyperlink r:id="rId1692" w:history="1">
        <w:r w:rsidRPr="004236BE">
          <w:rPr>
            <w:rStyle w:val="Hyperlink"/>
            <w:b/>
          </w:rPr>
          <w:t>https://www.justice.gov/opa/pr/justice-department-settles-college-resolve-disability-discrimination-complaint</w:t>
        </w:r>
      </w:hyperlink>
      <w:r w:rsidRPr="004236BE">
        <w:t xml:space="preserve"> </w:t>
      </w:r>
    </w:p>
    <w:p w14:paraId="2DC290D6" w14:textId="77777777" w:rsidR="00177094" w:rsidRPr="004236BE" w:rsidRDefault="00177094" w:rsidP="00177094">
      <w:pPr>
        <w:pStyle w:val="NoSpacing"/>
        <w:rPr>
          <w:rFonts w:ascii="Times New Roman" w:hAnsi="Times New Roman"/>
          <w:sz w:val="24"/>
          <w:szCs w:val="24"/>
        </w:rPr>
      </w:pPr>
      <w:r w:rsidRPr="004236BE">
        <w:rPr>
          <w:rFonts w:ascii="Times New Roman" w:hAnsi="Times New Roman"/>
          <w:b/>
          <w:bCs/>
          <w:sz w:val="24"/>
          <w:szCs w:val="24"/>
        </w:rPr>
        <w:t>Legal Lessons Learned:  U.S. Department of Justice aggressively enforces the ADA</w:t>
      </w:r>
      <w:r>
        <w:rPr>
          <w:rFonts w:ascii="Times New Roman" w:hAnsi="Times New Roman"/>
          <w:b/>
          <w:bCs/>
          <w:sz w:val="24"/>
          <w:szCs w:val="24"/>
        </w:rPr>
        <w:t>, including this lawsuit on behalf of a paramedic and teacher</w:t>
      </w:r>
      <w:r w:rsidRPr="004236BE">
        <w:rPr>
          <w:rFonts w:ascii="Times New Roman" w:hAnsi="Times New Roman"/>
          <w:sz w:val="24"/>
          <w:szCs w:val="24"/>
        </w:rPr>
        <w:t xml:space="preserve">. </w:t>
      </w:r>
    </w:p>
    <w:p w14:paraId="395D64C0" w14:textId="77777777" w:rsidR="00177094" w:rsidRDefault="00177094" w:rsidP="002B1283">
      <w:pPr>
        <w:rPr>
          <w:rFonts w:ascii="Arial Black" w:hAnsi="Arial Black"/>
          <w:b/>
          <w:sz w:val="24"/>
          <w:szCs w:val="24"/>
        </w:rPr>
      </w:pPr>
    </w:p>
    <w:p w14:paraId="4C2DAA6F" w14:textId="473A62E6" w:rsidR="00A52325" w:rsidRDefault="00A52325" w:rsidP="002B1283">
      <w:pPr>
        <w:rPr>
          <w:rFonts w:ascii="Arial Black" w:hAnsi="Arial Black"/>
          <w:b/>
          <w:sz w:val="24"/>
          <w:szCs w:val="24"/>
        </w:rPr>
      </w:pPr>
      <w:r>
        <w:rPr>
          <w:rFonts w:ascii="Arial Black" w:hAnsi="Arial Black"/>
          <w:b/>
          <w:sz w:val="24"/>
          <w:szCs w:val="24"/>
        </w:rPr>
        <w:t>9-7</w:t>
      </w:r>
    </w:p>
    <w:p w14:paraId="7F08866C" w14:textId="77777777" w:rsidR="00A52325" w:rsidRDefault="00A52325" w:rsidP="00A52325">
      <w:pPr>
        <w:pStyle w:val="NoSpacing"/>
        <w:rPr>
          <w:rFonts w:ascii="Arial Black" w:hAnsi="Arial Black"/>
          <w:sz w:val="28"/>
          <w:szCs w:val="28"/>
        </w:rPr>
      </w:pPr>
      <w:r>
        <w:rPr>
          <w:rFonts w:ascii="Arial Black" w:hAnsi="Arial Black"/>
          <w:sz w:val="28"/>
          <w:szCs w:val="28"/>
        </w:rPr>
        <w:t>FL:  FIREFIGHTER LATE FOR MANY SHIFTS – CLAIMED DISABILITY – PROPERLY FIRED – ESSENTIAL JOB FUNCTION TO BE ONTIME</w:t>
      </w:r>
    </w:p>
    <w:p w14:paraId="0519CE15" w14:textId="77777777" w:rsidR="00A52325" w:rsidRDefault="00A52325" w:rsidP="00A52325">
      <w:pPr>
        <w:pStyle w:val="NoSpacing"/>
        <w:rPr>
          <w:rFonts w:ascii="Arial Black" w:hAnsi="Arial Black"/>
          <w:sz w:val="28"/>
          <w:szCs w:val="28"/>
        </w:rPr>
      </w:pPr>
    </w:p>
    <w:p w14:paraId="4A039E05" w14:textId="77777777" w:rsidR="00A52325" w:rsidRDefault="00A52325" w:rsidP="00A52325">
      <w:pPr>
        <w:pStyle w:val="NoSpacing"/>
        <w:rPr>
          <w:rFonts w:ascii="Times New Roman" w:hAnsi="Times New Roman"/>
          <w:sz w:val="24"/>
          <w:szCs w:val="24"/>
        </w:rPr>
      </w:pPr>
      <w:r>
        <w:rPr>
          <w:rFonts w:ascii="Times New Roman" w:hAnsi="Times New Roman"/>
          <w:sz w:val="24"/>
          <w:szCs w:val="24"/>
        </w:rPr>
        <w:t xml:space="preserve">On Nov. 13, 2019, in </w:t>
      </w:r>
      <w:r>
        <w:rPr>
          <w:rFonts w:ascii="Times New Roman" w:hAnsi="Times New Roman"/>
          <w:sz w:val="24"/>
          <w:szCs w:val="24"/>
          <w:u w:val="single"/>
        </w:rPr>
        <w:t>Darrell C. Hartwell v. Richard Spencer, Secretary of U.S. Navy</w:t>
      </w:r>
      <w:r>
        <w:rPr>
          <w:rFonts w:ascii="Times New Roman" w:hAnsi="Times New Roman"/>
          <w:sz w:val="24"/>
          <w:szCs w:val="24"/>
        </w:rPr>
        <w:t>, the U.S. Court of Appeals for 11</w:t>
      </w:r>
      <w:r>
        <w:rPr>
          <w:rFonts w:ascii="Times New Roman" w:hAnsi="Times New Roman"/>
          <w:sz w:val="24"/>
          <w:szCs w:val="24"/>
          <w:vertAlign w:val="superscript"/>
        </w:rPr>
        <w:t>th</w:t>
      </w:r>
      <w:r>
        <w:rPr>
          <w:rFonts w:ascii="Times New Roman" w:hAnsi="Times New Roman"/>
          <w:sz w:val="24"/>
          <w:szCs w:val="24"/>
        </w:rPr>
        <w:t xml:space="preserve"> Circuit (Atlanta) held (3 to 0) in an unpublished decision, that U.S. District Court properly granted summary judgment to the U.S. Navy. </w:t>
      </w:r>
    </w:p>
    <w:p w14:paraId="25F0E9D3" w14:textId="5DD02A5B" w:rsidR="00A52325" w:rsidRDefault="00A52325" w:rsidP="00A52325">
      <w:pPr>
        <w:pStyle w:val="Heading1"/>
        <w:ind w:left="720"/>
        <w:rPr>
          <w:rStyle w:val="Hyperlink"/>
          <w:b w:val="0"/>
          <w:bCs w:val="0"/>
          <w:sz w:val="24"/>
          <w:szCs w:val="24"/>
        </w:rPr>
      </w:pPr>
      <w:r>
        <w:rPr>
          <w:b w:val="0"/>
          <w:bCs w:val="0"/>
          <w:sz w:val="24"/>
          <w:szCs w:val="24"/>
        </w:rPr>
        <w:t xml:space="preserve">“Hartwell contends that his medical conditions impair his time management skills and the medication that he takes causes morning drowsiness, making it impossible for him to consistently report for work by 7:00 a.m. The only accommodation he requested was to allow him to come to work up to an hour late without prior notice. A few days before he was fired, Hartwell provided a note from his doctor stating that Hartwell’s condition was permanent, but that his symptoms could be ‘minimized’ ‘with long term individual counseling and medication.’ In other words, with or without the accommodation he requested, Hartwell expected to continue his pattern of frequent tardiness indefinitely. The pivotal issue on appeal, therefore, is whether punctuality is an essential function of the job of a firefighter/EMT. *** We agree with the district court that reporting to work on time was an essential function of Hartwell’s job as a firefighter/EMT. Because Hartwell could not perform this function with or without his requested accommodation, he is not “otherwise qualified” within the meaning of the Rehabilitation Act, and the district court correctly granted the defendant’s motion for summary judgment on this claim. </w:t>
      </w:r>
      <w:hyperlink r:id="rId1693" w:history="1">
        <w:r>
          <w:rPr>
            <w:rStyle w:val="Hyperlink"/>
            <w:b w:val="0"/>
            <w:bCs w:val="0"/>
            <w:sz w:val="24"/>
            <w:szCs w:val="24"/>
          </w:rPr>
          <w:t>http://media.ca11.uscourts.gov/opinions/unpub/files/201814488.pdf</w:t>
        </w:r>
      </w:hyperlink>
    </w:p>
    <w:p w14:paraId="1121DE4A" w14:textId="77777777" w:rsidR="00A52325" w:rsidRDefault="00A52325" w:rsidP="00A52325">
      <w:pPr>
        <w:pStyle w:val="NoSpacing"/>
        <w:rPr>
          <w:rFonts w:ascii="Times New Roman" w:hAnsi="Times New Roman"/>
          <w:b/>
          <w:bCs/>
          <w:sz w:val="24"/>
          <w:szCs w:val="24"/>
        </w:rPr>
      </w:pPr>
      <w:bookmarkStart w:id="362" w:name="_Hlk40512080"/>
      <w:r>
        <w:rPr>
          <w:rFonts w:ascii="Times New Roman" w:hAnsi="Times New Roman"/>
          <w:b/>
          <w:bCs/>
          <w:sz w:val="24"/>
          <w:szCs w:val="24"/>
        </w:rPr>
        <w:t>Legal Lessons Learned: The Court properly recognized the essential job function of a firefighters – to show up for work on time.</w:t>
      </w:r>
    </w:p>
    <w:bookmarkEnd w:id="362"/>
    <w:p w14:paraId="15F5C8B7" w14:textId="20036D16" w:rsidR="00A52325" w:rsidRPr="00A52325" w:rsidRDefault="00A52325" w:rsidP="00A52325">
      <w:pPr>
        <w:pStyle w:val="Heading1"/>
        <w:rPr>
          <w:b w:val="0"/>
          <w:sz w:val="24"/>
          <w:szCs w:val="24"/>
        </w:rPr>
      </w:pPr>
    </w:p>
    <w:p w14:paraId="744C8397" w14:textId="3DD3CC71" w:rsidR="009F0F05" w:rsidRPr="00BC70A3" w:rsidRDefault="009F0F05" w:rsidP="002B1283">
      <w:pPr>
        <w:rPr>
          <w:rFonts w:ascii="Times New Roman" w:hAnsi="Times New Roman"/>
          <w:b/>
          <w:sz w:val="24"/>
          <w:szCs w:val="24"/>
        </w:rPr>
      </w:pPr>
      <w:r>
        <w:rPr>
          <w:rFonts w:ascii="Arial Black" w:hAnsi="Arial Black"/>
          <w:b/>
          <w:sz w:val="24"/>
          <w:szCs w:val="24"/>
        </w:rPr>
        <w:t>9-6</w:t>
      </w:r>
      <w:r w:rsidR="00BC70A3">
        <w:rPr>
          <w:rFonts w:ascii="Arial Black" w:hAnsi="Arial Black"/>
          <w:b/>
          <w:sz w:val="24"/>
          <w:szCs w:val="24"/>
        </w:rPr>
        <w:t xml:space="preserve"> </w:t>
      </w:r>
      <w:r w:rsidR="00BC70A3" w:rsidRPr="00BC70A3">
        <w:rPr>
          <w:rFonts w:ascii="Times New Roman" w:hAnsi="Times New Roman"/>
          <w:b/>
          <w:sz w:val="24"/>
          <w:szCs w:val="24"/>
        </w:rPr>
        <w:t>[See also 9-17, FDNY case]</w:t>
      </w:r>
      <w:r w:rsidR="00BC70A3">
        <w:rPr>
          <w:rFonts w:ascii="Times New Roman" w:hAnsi="Times New Roman"/>
          <w:b/>
          <w:sz w:val="24"/>
          <w:szCs w:val="24"/>
        </w:rPr>
        <w:t xml:space="preserve"> </w:t>
      </w:r>
    </w:p>
    <w:p w14:paraId="630CE311" w14:textId="77777777" w:rsidR="009F0F05" w:rsidRPr="0029740B" w:rsidRDefault="009F0F05" w:rsidP="009F0F05">
      <w:pPr>
        <w:rPr>
          <w:rFonts w:ascii="Arial Black" w:hAnsi="Arial Black"/>
          <w:sz w:val="28"/>
          <w:szCs w:val="28"/>
        </w:rPr>
      </w:pPr>
      <w:bookmarkStart w:id="363" w:name="_Hlk39771125"/>
      <w:r w:rsidRPr="0029740B">
        <w:rPr>
          <w:rFonts w:ascii="Arial Black" w:hAnsi="Arial Black"/>
          <w:sz w:val="28"/>
          <w:szCs w:val="28"/>
        </w:rPr>
        <w:t>PA</w:t>
      </w:r>
      <w:r>
        <w:rPr>
          <w:rFonts w:ascii="Arial Black" w:hAnsi="Arial Black"/>
          <w:sz w:val="28"/>
          <w:szCs w:val="28"/>
        </w:rPr>
        <w:t>:  PAINFUL TO SHAVE – POLICE DEPT. REQUIRED MEDICAL CERT. EACH 60 DAYS – LAWSUIT REINSTATED FOR ADA BREACH</w:t>
      </w:r>
    </w:p>
    <w:p w14:paraId="61DD0D53" w14:textId="3190450A" w:rsidR="009F0F05" w:rsidRDefault="009F0F05" w:rsidP="009F0F05">
      <w:pPr>
        <w:rPr>
          <w:rFonts w:ascii="Times New Roman" w:hAnsi="Times New Roman"/>
          <w:sz w:val="24"/>
          <w:szCs w:val="24"/>
        </w:rPr>
      </w:pPr>
      <w:r w:rsidRPr="000113F5">
        <w:rPr>
          <w:rFonts w:ascii="Times New Roman" w:hAnsi="Times New Roman"/>
          <w:sz w:val="24"/>
          <w:szCs w:val="24"/>
        </w:rPr>
        <w:t xml:space="preserve">On Aug. 8, 2019, in </w:t>
      </w:r>
      <w:r w:rsidRPr="00080E6F">
        <w:rPr>
          <w:rFonts w:ascii="Times New Roman" w:hAnsi="Times New Roman"/>
          <w:sz w:val="24"/>
          <w:szCs w:val="24"/>
          <w:u w:val="single"/>
        </w:rPr>
        <w:t>Joseph H. Lewis, Jr. v. University of Pennsylvania</w:t>
      </w:r>
      <w:r>
        <w:rPr>
          <w:rFonts w:ascii="Times New Roman" w:hAnsi="Times New Roman"/>
          <w:sz w:val="24"/>
          <w:szCs w:val="24"/>
        </w:rPr>
        <w:t>, the U.S. Court of Appeals for Third Circuit (Philadelphia), held (3 to 0) that a U.S. District Court incorrectly dismissed his ADA lawsuit.  Chief Judge Smith wrote:</w:t>
      </w:r>
    </w:p>
    <w:p w14:paraId="78552036" w14:textId="77777777" w:rsidR="009F0F05" w:rsidRDefault="009F0F05" w:rsidP="009F0F05">
      <w:pPr>
        <w:pStyle w:val="NoSpacing"/>
        <w:ind w:left="1440"/>
        <w:rPr>
          <w:sz w:val="32"/>
          <w:szCs w:val="32"/>
        </w:rPr>
      </w:pPr>
      <w:r>
        <w:rPr>
          <w:rFonts w:ascii="Times New Roman" w:hAnsi="Times New Roman"/>
          <w:sz w:val="24"/>
          <w:szCs w:val="24"/>
        </w:rPr>
        <w:t>“</w:t>
      </w:r>
      <w:r w:rsidRPr="00425C6F">
        <w:rPr>
          <w:rFonts w:ascii="Times New Roman" w:hAnsi="Times New Roman"/>
          <w:sz w:val="24"/>
          <w:szCs w:val="24"/>
        </w:rPr>
        <w:t>This is an employment discrimination appeal arising out of Plaintiff Joseph Lewis’s previous employment with the University of Pennsylvania Police Department. Lewis suffers from a skin condition, pseudofolliculitis barbae (PFB), which has led to issues giving rise to his discrimination claims.</w:t>
      </w:r>
      <w:r>
        <w:rPr>
          <w:rFonts w:ascii="Times New Roman" w:hAnsi="Times New Roman"/>
          <w:sz w:val="24"/>
          <w:szCs w:val="24"/>
        </w:rPr>
        <w:t xml:space="preserve"> ***</w:t>
      </w:r>
    </w:p>
    <w:p w14:paraId="74C1B4F8" w14:textId="77777777" w:rsidR="009F0F05" w:rsidRDefault="009F0F05" w:rsidP="009F0F05">
      <w:pPr>
        <w:ind w:left="1440"/>
        <w:rPr>
          <w:rFonts w:ascii="Times New Roman" w:hAnsi="Times New Roman"/>
          <w:sz w:val="24"/>
          <w:szCs w:val="24"/>
        </w:rPr>
      </w:pPr>
      <w:r w:rsidRPr="00425C6F">
        <w:rPr>
          <w:rFonts w:ascii="Times New Roman" w:hAnsi="Times New Roman"/>
          <w:sz w:val="24"/>
          <w:szCs w:val="24"/>
        </w:rPr>
        <w:t xml:space="preserve">Lewis submitted a request for accommodation, requesting to </w:t>
      </w:r>
      <w:r>
        <w:rPr>
          <w:rFonts w:ascii="Times New Roman" w:hAnsi="Times New Roman"/>
          <w:sz w:val="24"/>
          <w:szCs w:val="24"/>
        </w:rPr>
        <w:t>‘</w:t>
      </w:r>
      <w:r w:rsidRPr="00425C6F">
        <w:rPr>
          <w:rFonts w:ascii="Times New Roman" w:hAnsi="Times New Roman"/>
          <w:sz w:val="24"/>
          <w:szCs w:val="24"/>
        </w:rPr>
        <w:t>not shave face or neck</w:t>
      </w:r>
      <w:r>
        <w:rPr>
          <w:rFonts w:ascii="Times New Roman" w:hAnsi="Times New Roman"/>
          <w:sz w:val="24"/>
          <w:szCs w:val="24"/>
        </w:rPr>
        <w:t xml:space="preserve">….’ </w:t>
      </w:r>
      <w:r w:rsidRPr="00425C6F">
        <w:rPr>
          <w:rFonts w:ascii="Times New Roman" w:hAnsi="Times New Roman"/>
          <w:sz w:val="24"/>
          <w:szCs w:val="24"/>
        </w:rPr>
        <w:t>Penn was then on notice of Lewis’s claimed disability and the fact that he wanted accommodation, such that Penn had a duty to engage with Lewis in good faith. It is not</w:t>
      </w:r>
      <w:r>
        <w:rPr>
          <w:rFonts w:ascii="Times New Roman" w:hAnsi="Times New Roman"/>
          <w:sz w:val="24"/>
          <w:szCs w:val="24"/>
        </w:rPr>
        <w:t xml:space="preserve"> </w:t>
      </w:r>
      <w:r w:rsidRPr="00425C6F">
        <w:rPr>
          <w:rFonts w:ascii="Times New Roman" w:hAnsi="Times New Roman"/>
          <w:sz w:val="24"/>
          <w:szCs w:val="24"/>
        </w:rPr>
        <w:t>clear that Penn did so. According to Lewis, Penn issued a flat denial without making any</w:t>
      </w:r>
      <w:r>
        <w:rPr>
          <w:rFonts w:ascii="Times New Roman" w:hAnsi="Times New Roman"/>
          <w:sz w:val="24"/>
          <w:szCs w:val="24"/>
        </w:rPr>
        <w:t xml:space="preserve"> </w:t>
      </w:r>
      <w:r w:rsidRPr="00425C6F">
        <w:rPr>
          <w:rFonts w:ascii="Times New Roman" w:hAnsi="Times New Roman"/>
          <w:sz w:val="24"/>
          <w:szCs w:val="24"/>
        </w:rPr>
        <w:t>effort to communicate with him regarding his needs.</w:t>
      </w:r>
      <w:r>
        <w:rPr>
          <w:rFonts w:ascii="Times New Roman" w:hAnsi="Times New Roman"/>
          <w:sz w:val="24"/>
          <w:szCs w:val="24"/>
        </w:rPr>
        <w:t xml:space="preserve"> </w:t>
      </w:r>
    </w:p>
    <w:p w14:paraId="554335AC" w14:textId="77777777" w:rsidR="00DE37CD" w:rsidRDefault="009F0F05" w:rsidP="00DE37CD">
      <w:pPr>
        <w:ind w:left="1440"/>
        <w:rPr>
          <w:rFonts w:ascii="Times New Roman" w:hAnsi="Times New Roman"/>
          <w:sz w:val="24"/>
          <w:szCs w:val="24"/>
        </w:rPr>
      </w:pPr>
      <w:r w:rsidRPr="00453137">
        <w:rPr>
          <w:rFonts w:ascii="Times New Roman" w:hAnsi="Times New Roman"/>
          <w:sz w:val="24"/>
          <w:szCs w:val="24"/>
        </w:rPr>
        <w:t xml:space="preserve">Where there is evidence that the employer did not act in good faith to identify </w:t>
      </w:r>
      <w:proofErr w:type="gramStart"/>
      <w:r w:rsidRPr="00453137">
        <w:rPr>
          <w:rFonts w:ascii="Times New Roman" w:hAnsi="Times New Roman"/>
          <w:sz w:val="24"/>
          <w:szCs w:val="24"/>
        </w:rPr>
        <w:t xml:space="preserve">an accommodation, </w:t>
      </w:r>
      <w:r>
        <w:rPr>
          <w:rFonts w:ascii="Times New Roman" w:hAnsi="Times New Roman"/>
          <w:sz w:val="24"/>
          <w:szCs w:val="24"/>
        </w:rPr>
        <w:t>‘</w:t>
      </w:r>
      <w:proofErr w:type="gramEnd"/>
      <w:r w:rsidRPr="00453137">
        <w:rPr>
          <w:rFonts w:ascii="Times New Roman" w:hAnsi="Times New Roman"/>
          <w:sz w:val="24"/>
          <w:szCs w:val="24"/>
        </w:rPr>
        <w:t>we will not readily</w:t>
      </w:r>
      <w:r>
        <w:rPr>
          <w:rFonts w:ascii="Times New Roman" w:hAnsi="Times New Roman"/>
          <w:sz w:val="24"/>
          <w:szCs w:val="24"/>
        </w:rPr>
        <w:t xml:space="preserve"> </w:t>
      </w:r>
      <w:r w:rsidRPr="00453137">
        <w:rPr>
          <w:rFonts w:ascii="Times New Roman" w:hAnsi="Times New Roman"/>
          <w:sz w:val="24"/>
          <w:szCs w:val="24"/>
        </w:rPr>
        <w:t xml:space="preserve">decide on summary judgment that accommodation was not </w:t>
      </w:r>
      <w:proofErr w:type="gramStart"/>
      <w:r w:rsidRPr="00453137">
        <w:rPr>
          <w:rFonts w:ascii="Times New Roman" w:hAnsi="Times New Roman"/>
          <w:sz w:val="24"/>
          <w:szCs w:val="24"/>
        </w:rPr>
        <w:t>possible</w:t>
      </w:r>
      <w:proofErr w:type="gramEnd"/>
      <w:r w:rsidRPr="00453137">
        <w:rPr>
          <w:rFonts w:ascii="Times New Roman" w:hAnsi="Times New Roman"/>
          <w:sz w:val="24"/>
          <w:szCs w:val="24"/>
        </w:rPr>
        <w:t xml:space="preserve"> and the employer’s bad faith could have no effect.</w:t>
      </w:r>
      <w:r>
        <w:rPr>
          <w:rFonts w:ascii="Times New Roman" w:hAnsi="Times New Roman"/>
          <w:sz w:val="24"/>
          <w:szCs w:val="24"/>
        </w:rPr>
        <w:t>’</w:t>
      </w:r>
      <w:r w:rsidRPr="00453137">
        <w:rPr>
          <w:rFonts w:ascii="Times New Roman" w:hAnsi="Times New Roman"/>
          <w:sz w:val="24"/>
          <w:szCs w:val="24"/>
        </w:rPr>
        <w:t xml:space="preserve"> Taylor, 184 F.3d at 31</w:t>
      </w:r>
      <w:r>
        <w:rPr>
          <w:rFonts w:ascii="Times New Roman" w:hAnsi="Times New Roman"/>
          <w:sz w:val="24"/>
          <w:szCs w:val="24"/>
        </w:rPr>
        <w:t>.”</w:t>
      </w:r>
      <w:r w:rsidR="00DE37CD">
        <w:rPr>
          <w:rFonts w:ascii="Times New Roman" w:hAnsi="Times New Roman"/>
          <w:sz w:val="24"/>
          <w:szCs w:val="24"/>
        </w:rPr>
        <w:t xml:space="preserve"> </w:t>
      </w:r>
      <w:hyperlink r:id="rId1694" w:history="1">
        <w:r w:rsidR="00DE37CD" w:rsidRPr="004A0E57">
          <w:rPr>
            <w:rStyle w:val="Hyperlink"/>
            <w:rFonts w:ascii="Times New Roman" w:hAnsi="Times New Roman"/>
            <w:sz w:val="24"/>
            <w:szCs w:val="24"/>
          </w:rPr>
          <w:t>https://cases.justia.com/federal/appellate-courts/ca3/18-2706/18-2706-2019-08-09.pdf?ts=1565368208</w:t>
        </w:r>
      </w:hyperlink>
      <w:r w:rsidR="00DE37CD">
        <w:rPr>
          <w:rFonts w:ascii="Times New Roman" w:hAnsi="Times New Roman"/>
          <w:sz w:val="24"/>
          <w:szCs w:val="24"/>
        </w:rPr>
        <w:t xml:space="preserve"> </w:t>
      </w:r>
    </w:p>
    <w:bookmarkEnd w:id="363"/>
    <w:p w14:paraId="464889F3" w14:textId="0E6EDC88" w:rsidR="009F0F05" w:rsidRDefault="009F0F05" w:rsidP="009F0F05">
      <w:pPr>
        <w:ind w:left="1440"/>
        <w:rPr>
          <w:rFonts w:ascii="Times New Roman" w:hAnsi="Times New Roman"/>
          <w:sz w:val="24"/>
          <w:szCs w:val="24"/>
        </w:rPr>
      </w:pPr>
    </w:p>
    <w:p w14:paraId="5FBB275B" w14:textId="77777777" w:rsidR="009F0F05" w:rsidRDefault="009F0F05" w:rsidP="009F0F05">
      <w:pPr>
        <w:pStyle w:val="Heading1"/>
        <w:rPr>
          <w:sz w:val="24"/>
          <w:szCs w:val="24"/>
        </w:rPr>
      </w:pPr>
      <w:r w:rsidRPr="00B922AC">
        <w:rPr>
          <w:sz w:val="24"/>
          <w:szCs w:val="24"/>
        </w:rPr>
        <w:t xml:space="preserve">Legal Lessons Learned:  The PD will now have to justify its business reasons for no beards, and its 60-day medical certifications.  See Aug. 12, </w:t>
      </w:r>
      <w:proofErr w:type="gramStart"/>
      <w:r w:rsidRPr="00B922AC">
        <w:rPr>
          <w:sz w:val="24"/>
          <w:szCs w:val="24"/>
        </w:rPr>
        <w:t>2019</w:t>
      </w:r>
      <w:proofErr w:type="gramEnd"/>
      <w:r w:rsidRPr="00B922AC">
        <w:rPr>
          <w:sz w:val="24"/>
          <w:szCs w:val="24"/>
        </w:rPr>
        <w:t xml:space="preserve"> article on this case: </w:t>
      </w:r>
      <w:hyperlink r:id="rId1695" w:history="1">
        <w:r w:rsidRPr="00B922AC">
          <w:rPr>
            <w:rStyle w:val="Hyperlink"/>
            <w:sz w:val="24"/>
            <w:szCs w:val="24"/>
          </w:rPr>
          <w:t>https://www.law.com/thelegalintelligencer/2019/08/12/third-circuit-revives-beard-related-discrimination-claims-against-upenn/</w:t>
        </w:r>
      </w:hyperlink>
      <w:r w:rsidRPr="00B922AC">
        <w:rPr>
          <w:sz w:val="24"/>
          <w:szCs w:val="24"/>
        </w:rPr>
        <w:t xml:space="preserve">  </w:t>
      </w:r>
    </w:p>
    <w:p w14:paraId="29E1B40A" w14:textId="18AF20B5" w:rsidR="009F0F05" w:rsidRPr="00B922AC" w:rsidRDefault="009F0F05" w:rsidP="009F0F05">
      <w:pPr>
        <w:pStyle w:val="Heading1"/>
        <w:rPr>
          <w:sz w:val="24"/>
          <w:szCs w:val="24"/>
        </w:rPr>
      </w:pPr>
      <w:r w:rsidRPr="00B922AC">
        <w:rPr>
          <w:sz w:val="24"/>
          <w:szCs w:val="24"/>
        </w:rPr>
        <w:t xml:space="preserve">There has been race discrimination litigation in fire service about not shaving because of this skin condition, </w:t>
      </w:r>
      <w:r w:rsidR="00715CF2" w:rsidRPr="00B922AC">
        <w:rPr>
          <w:sz w:val="24"/>
          <w:szCs w:val="24"/>
        </w:rPr>
        <w:t>pseudo folliculitis</w:t>
      </w:r>
      <w:r w:rsidRPr="00B922AC">
        <w:rPr>
          <w:sz w:val="24"/>
          <w:szCs w:val="24"/>
        </w:rPr>
        <w:t xml:space="preserve"> barbae (PFB).   For example, see 2018 lawsuit by four FDNY firefighters:  </w:t>
      </w:r>
    </w:p>
    <w:p w14:paraId="52C49F46" w14:textId="77777777" w:rsidR="009F0F05" w:rsidRPr="00715CF2" w:rsidRDefault="009F0F05" w:rsidP="00715CF2">
      <w:pPr>
        <w:pStyle w:val="Heading1"/>
        <w:ind w:left="720"/>
        <w:rPr>
          <w:b w:val="0"/>
          <w:bCs w:val="0"/>
          <w:sz w:val="24"/>
          <w:szCs w:val="24"/>
        </w:rPr>
      </w:pPr>
      <w:r w:rsidRPr="00715CF2">
        <w:rPr>
          <w:b w:val="0"/>
          <w:bCs w:val="0"/>
          <w:sz w:val="24"/>
          <w:szCs w:val="24"/>
        </w:rPr>
        <w:t xml:space="preserve">See also D.C. Fire Department case: March 25, 2015 article: “Fireman’s Beard Bias Claims Given a Trim,” – “Kennedy says that the discrimination against his race and disability kept him from advancing his firefighting career because of his beard growth, but U.S. District Judge Christopher Cooper dismissed parts of the action Friday after finding that ‘PFB does not constitute a disability under the prevailing … interpretation’ of the Americans with Disabilities Act. </w:t>
      </w:r>
      <w:hyperlink r:id="rId1696" w:history="1">
        <w:r w:rsidRPr="00715CF2">
          <w:rPr>
            <w:rStyle w:val="Hyperlink"/>
            <w:b w:val="0"/>
            <w:bCs w:val="0"/>
            <w:sz w:val="24"/>
            <w:szCs w:val="24"/>
          </w:rPr>
          <w:t>https://www.courthousenews.com/firemans-beard-bias-claims-given-a-trim/</w:t>
        </w:r>
      </w:hyperlink>
      <w:r w:rsidRPr="00715CF2">
        <w:rPr>
          <w:b w:val="0"/>
          <w:bCs w:val="0"/>
          <w:sz w:val="24"/>
          <w:szCs w:val="24"/>
        </w:rPr>
        <w:t xml:space="preserve"> </w:t>
      </w:r>
    </w:p>
    <w:p w14:paraId="5C1F30BF" w14:textId="77777777" w:rsidR="009F0F05" w:rsidRPr="00715CF2" w:rsidRDefault="009F0F05" w:rsidP="00715CF2">
      <w:pPr>
        <w:pStyle w:val="NoSpacing"/>
        <w:ind w:left="720"/>
        <w:rPr>
          <w:rFonts w:ascii="Times New Roman" w:hAnsi="Times New Roman"/>
          <w:sz w:val="24"/>
          <w:szCs w:val="24"/>
        </w:rPr>
      </w:pPr>
      <w:r w:rsidRPr="00715CF2">
        <w:rPr>
          <w:rFonts w:ascii="Times New Roman" w:hAnsi="Times New Roman"/>
          <w:sz w:val="24"/>
          <w:szCs w:val="24"/>
        </w:rPr>
        <w:t>See also 1993 decision by 11</w:t>
      </w:r>
      <w:r w:rsidRPr="00715CF2">
        <w:rPr>
          <w:rFonts w:ascii="Times New Roman" w:hAnsi="Times New Roman"/>
          <w:sz w:val="24"/>
          <w:szCs w:val="24"/>
          <w:vertAlign w:val="superscript"/>
        </w:rPr>
        <w:t>th</w:t>
      </w:r>
      <w:r w:rsidRPr="00715CF2">
        <w:rPr>
          <w:rFonts w:ascii="Times New Roman" w:hAnsi="Times New Roman"/>
          <w:sz w:val="24"/>
          <w:szCs w:val="24"/>
        </w:rPr>
        <w:t xml:space="preserve"> Circuit involving the Atlanta FD: “The City defends the policy, contending that the respirator masks used by firefighters cannot safely be worn by bearded men. The district court granted summary judgment for the City and the firefighters have appealed. For the reasons set forth below, we affirm the judgment of the district court.” </w:t>
      </w:r>
      <w:hyperlink r:id="rId1697" w:history="1">
        <w:r w:rsidRPr="00715CF2">
          <w:rPr>
            <w:rStyle w:val="Hyperlink"/>
            <w:rFonts w:ascii="Times New Roman" w:hAnsi="Times New Roman"/>
            <w:sz w:val="24"/>
            <w:szCs w:val="24"/>
          </w:rPr>
          <w:t>https://law.resource.org/pub/us/case/reporter/F3/002/2.F3d.1112.92-8306.html</w:t>
        </w:r>
      </w:hyperlink>
      <w:r w:rsidRPr="00715CF2">
        <w:rPr>
          <w:rFonts w:ascii="Times New Roman" w:hAnsi="Times New Roman"/>
          <w:sz w:val="24"/>
          <w:szCs w:val="24"/>
        </w:rPr>
        <w:t xml:space="preserve"> </w:t>
      </w:r>
    </w:p>
    <w:p w14:paraId="339DF3F1" w14:textId="77777777" w:rsidR="009F0F05" w:rsidRPr="00463590" w:rsidRDefault="009F0F05" w:rsidP="009F0F05">
      <w:pPr>
        <w:pStyle w:val="NoSpacing"/>
        <w:rPr>
          <w:rFonts w:ascii="Times New Roman" w:hAnsi="Times New Roman"/>
          <w:b/>
          <w:sz w:val="24"/>
          <w:szCs w:val="24"/>
        </w:rPr>
      </w:pPr>
    </w:p>
    <w:p w14:paraId="0DBDB7FA" w14:textId="3E7C98FE" w:rsidR="00715CF2" w:rsidRPr="00715CF2" w:rsidRDefault="00715CF2" w:rsidP="00715CF2">
      <w:pPr>
        <w:rPr>
          <w:rFonts w:ascii="Times New Roman" w:hAnsi="Times New Roman"/>
          <w:bCs/>
          <w:sz w:val="24"/>
          <w:szCs w:val="24"/>
        </w:rPr>
      </w:pPr>
    </w:p>
    <w:p w14:paraId="49F2B1BB" w14:textId="77777777" w:rsidR="009F0F05" w:rsidRDefault="009F0F05" w:rsidP="002B1283">
      <w:pPr>
        <w:rPr>
          <w:rFonts w:ascii="Arial Black" w:hAnsi="Arial Black"/>
          <w:b/>
          <w:sz w:val="24"/>
          <w:szCs w:val="24"/>
        </w:rPr>
      </w:pPr>
    </w:p>
    <w:p w14:paraId="2FC40598" w14:textId="3661331D" w:rsidR="00DE0F03" w:rsidRDefault="00DE0F03" w:rsidP="002B1283">
      <w:pPr>
        <w:rPr>
          <w:rFonts w:ascii="Arial Black" w:hAnsi="Arial Black"/>
          <w:b/>
          <w:bCs/>
          <w:sz w:val="28"/>
          <w:szCs w:val="28"/>
        </w:rPr>
      </w:pPr>
      <w:r>
        <w:rPr>
          <w:rFonts w:ascii="Arial Black" w:hAnsi="Arial Black"/>
          <w:b/>
          <w:sz w:val="24"/>
          <w:szCs w:val="24"/>
        </w:rPr>
        <w:t>9</w:t>
      </w:r>
      <w:r w:rsidRPr="00EF1133">
        <w:rPr>
          <w:rFonts w:ascii="Arial Black" w:hAnsi="Arial Black"/>
          <w:b/>
          <w:sz w:val="24"/>
          <w:szCs w:val="24"/>
        </w:rPr>
        <w:t>-</w:t>
      </w:r>
      <w:r>
        <w:rPr>
          <w:rFonts w:ascii="Arial Black" w:hAnsi="Arial Black"/>
          <w:b/>
          <w:sz w:val="24"/>
          <w:szCs w:val="24"/>
        </w:rPr>
        <w:t>5</w:t>
      </w:r>
    </w:p>
    <w:p w14:paraId="1EEEABA3" w14:textId="0F39998A" w:rsidR="002B1283" w:rsidRDefault="002B1283" w:rsidP="002B1283">
      <w:pPr>
        <w:rPr>
          <w:b/>
          <w:bCs/>
        </w:rPr>
      </w:pPr>
      <w:r w:rsidRPr="006709F6">
        <w:rPr>
          <w:rFonts w:ascii="Arial Black" w:hAnsi="Arial Black"/>
          <w:b/>
          <w:bCs/>
          <w:sz w:val="28"/>
          <w:szCs w:val="28"/>
        </w:rPr>
        <w:t xml:space="preserve">VA: </w:t>
      </w:r>
      <w:r>
        <w:rPr>
          <w:rFonts w:ascii="Arial Black" w:hAnsi="Arial Black"/>
          <w:b/>
          <w:bCs/>
          <w:sz w:val="28"/>
          <w:szCs w:val="28"/>
        </w:rPr>
        <w:t>FF With PTSD – MOVED TO DAY SHIFT TEMPORARILY - BUT LATER MOVED BACK TO 24/48 SHIFT - LAWSUIT TO PROCEED</w:t>
      </w:r>
    </w:p>
    <w:p w14:paraId="453B44A3" w14:textId="77777777" w:rsidR="002B1283" w:rsidRDefault="002B1283" w:rsidP="002B1283">
      <w:pPr>
        <w:rPr>
          <w:rFonts w:ascii="Times New Roman" w:hAnsi="Times New Roman"/>
          <w:sz w:val="24"/>
          <w:szCs w:val="24"/>
        </w:rPr>
      </w:pPr>
      <w:r w:rsidRPr="001F2E5E">
        <w:rPr>
          <w:rFonts w:ascii="Times New Roman" w:hAnsi="Times New Roman"/>
          <w:sz w:val="24"/>
          <w:szCs w:val="24"/>
        </w:rPr>
        <w:t xml:space="preserve">On </w:t>
      </w:r>
      <w:bookmarkStart w:id="364" w:name="_Hlk39839629"/>
      <w:r w:rsidRPr="001F2E5E">
        <w:rPr>
          <w:rFonts w:ascii="Times New Roman" w:hAnsi="Times New Roman"/>
          <w:sz w:val="24"/>
          <w:szCs w:val="24"/>
        </w:rPr>
        <w:t xml:space="preserve">July 8, 2019, in </w:t>
      </w:r>
      <w:r w:rsidRPr="001F2E5E">
        <w:rPr>
          <w:rFonts w:ascii="Times New Roman" w:hAnsi="Times New Roman"/>
          <w:sz w:val="24"/>
          <w:szCs w:val="24"/>
          <w:u w:val="single"/>
        </w:rPr>
        <w:t>David Webb v. Chesterfield County, Virginia</w:t>
      </w:r>
      <w:r>
        <w:rPr>
          <w:rFonts w:ascii="Times New Roman" w:hAnsi="Times New Roman"/>
          <w:sz w:val="24"/>
          <w:szCs w:val="24"/>
          <w:u w:val="single"/>
        </w:rPr>
        <w:t xml:space="preserve"> aka Chesterfield Fire And EMS</w:t>
      </w:r>
      <w:bookmarkEnd w:id="364"/>
      <w:r w:rsidRPr="001F2E5E">
        <w:rPr>
          <w:rFonts w:ascii="Times New Roman" w:hAnsi="Times New Roman"/>
          <w:sz w:val="24"/>
          <w:szCs w:val="24"/>
        </w:rPr>
        <w:t xml:space="preserve">, </w:t>
      </w:r>
      <w:r>
        <w:rPr>
          <w:rFonts w:ascii="Times New Roman" w:hAnsi="Times New Roman"/>
          <w:sz w:val="24"/>
          <w:szCs w:val="24"/>
        </w:rPr>
        <w:t xml:space="preserve">U.S. District Court Judge John A. Gibney, Jr. denied the County’s motion to dismiss, finding that the firefighter has alleged sufficient facts to proceed on his claim for failure to accommodate under Americans </w:t>
      </w:r>
      <w:proofErr w:type="gramStart"/>
      <w:r>
        <w:rPr>
          <w:rFonts w:ascii="Times New Roman" w:hAnsi="Times New Roman"/>
          <w:sz w:val="24"/>
          <w:szCs w:val="24"/>
        </w:rPr>
        <w:t>With</w:t>
      </w:r>
      <w:proofErr w:type="gramEnd"/>
      <w:r>
        <w:rPr>
          <w:rFonts w:ascii="Times New Roman" w:hAnsi="Times New Roman"/>
          <w:sz w:val="24"/>
          <w:szCs w:val="24"/>
        </w:rPr>
        <w:t xml:space="preserve"> Disabilities Act. </w:t>
      </w:r>
    </w:p>
    <w:p w14:paraId="0DC4F271" w14:textId="77777777" w:rsidR="002B1283" w:rsidRDefault="002B1283" w:rsidP="002B1283">
      <w:pPr>
        <w:ind w:left="720" w:firstLine="60"/>
        <w:rPr>
          <w:rFonts w:ascii="Times New Roman" w:hAnsi="Times New Roman"/>
          <w:sz w:val="24"/>
          <w:szCs w:val="24"/>
        </w:rPr>
      </w:pPr>
      <w:r>
        <w:rPr>
          <w:rFonts w:ascii="Times New Roman" w:hAnsi="Times New Roman"/>
          <w:sz w:val="24"/>
          <w:szCs w:val="24"/>
        </w:rPr>
        <w:t>“Under the ADA, an employer discriminates against an employee by failing to ‘</w:t>
      </w:r>
      <w:proofErr w:type="spellStart"/>
      <w:r>
        <w:rPr>
          <w:rFonts w:ascii="Times New Roman" w:hAnsi="Times New Roman"/>
          <w:sz w:val="24"/>
          <w:szCs w:val="24"/>
        </w:rPr>
        <w:t>mak</w:t>
      </w:r>
      <w:proofErr w:type="spellEnd"/>
      <w:r>
        <w:rPr>
          <w:rFonts w:ascii="Times New Roman" w:hAnsi="Times New Roman"/>
          <w:sz w:val="24"/>
          <w:szCs w:val="24"/>
        </w:rPr>
        <w:t xml:space="preserve">[e] reasonable accommodations to the known physical or mental limitations of an otherwise qualified individual with a disability … unless [the employer] can demonstrate that the accommodation would impose an undue hardship on the operation of the business[.]  42 USC 12112(b)(5)(A).” </w:t>
      </w:r>
      <w:bookmarkStart w:id="365" w:name="_Hlk39839646"/>
      <w:r w:rsidR="00DC51D4">
        <w:fldChar w:fldCharType="begin"/>
      </w:r>
      <w:r w:rsidR="00DC51D4">
        <w:instrText xml:space="preserve"> HYPERLINK "https://cases.justia.com/federal/district-courts/virginia/vaedce/3:2019cv00183/406487/16/0.pdf?ts=1562771986" </w:instrText>
      </w:r>
      <w:r w:rsidR="00DC51D4">
        <w:fldChar w:fldCharType="separate"/>
      </w:r>
      <w:r w:rsidRPr="00455844">
        <w:rPr>
          <w:rStyle w:val="Hyperlink"/>
          <w:rFonts w:ascii="Times New Roman" w:hAnsi="Times New Roman"/>
          <w:sz w:val="24"/>
          <w:szCs w:val="24"/>
        </w:rPr>
        <w:t>https://cases.justia.com/federal/district-courts/virginia/vaedce/3:2019cv00183/406487/16/0.pdf?ts=1562771986</w:t>
      </w:r>
      <w:r w:rsidR="00DC51D4">
        <w:rPr>
          <w:rStyle w:val="Hyperlink"/>
          <w:rFonts w:ascii="Times New Roman" w:hAnsi="Times New Roman"/>
          <w:sz w:val="24"/>
          <w:szCs w:val="24"/>
        </w:rPr>
        <w:fldChar w:fldCharType="end"/>
      </w:r>
      <w:r>
        <w:rPr>
          <w:rFonts w:ascii="Times New Roman" w:hAnsi="Times New Roman"/>
          <w:sz w:val="24"/>
          <w:szCs w:val="24"/>
        </w:rPr>
        <w:t xml:space="preserve"> </w:t>
      </w:r>
    </w:p>
    <w:bookmarkEnd w:id="365"/>
    <w:p w14:paraId="52E8FD38" w14:textId="77777777" w:rsidR="002B1283" w:rsidRPr="00E441EA" w:rsidRDefault="002B1283" w:rsidP="002B1283">
      <w:pPr>
        <w:pStyle w:val="NoSpacing"/>
        <w:rPr>
          <w:rFonts w:ascii="Times New Roman" w:hAnsi="Times New Roman"/>
          <w:b/>
          <w:bCs/>
          <w:sz w:val="24"/>
          <w:szCs w:val="24"/>
        </w:rPr>
      </w:pPr>
      <w:r w:rsidRPr="00E441EA">
        <w:rPr>
          <w:rFonts w:ascii="Times New Roman" w:hAnsi="Times New Roman"/>
          <w:b/>
          <w:bCs/>
          <w:sz w:val="24"/>
          <w:szCs w:val="24"/>
        </w:rPr>
        <w:t xml:space="preserve">Legal Lessons Learned: PTSD is a real issue in fire service. Studies have found that anywhere between approximately 7 percent and 37 percent of firefighters meet criteria for a current </w:t>
      </w:r>
      <w:hyperlink r:id="rId1698" w:history="1">
        <w:r w:rsidRPr="00E441EA">
          <w:rPr>
            <w:rStyle w:val="Hyperlink"/>
            <w:rFonts w:ascii="Times New Roman" w:hAnsi="Times New Roman"/>
            <w:b/>
            <w:bCs/>
            <w:sz w:val="24"/>
            <w:szCs w:val="24"/>
          </w:rPr>
          <w:t>diagnosis of PTSD</w:t>
        </w:r>
      </w:hyperlink>
      <w:r w:rsidRPr="00E441EA">
        <w:rPr>
          <w:rFonts w:ascii="Times New Roman" w:hAnsi="Times New Roman"/>
          <w:b/>
          <w:bCs/>
          <w:sz w:val="24"/>
          <w:szCs w:val="24"/>
        </w:rPr>
        <w:t xml:space="preserve">.   “Development of PTSD in Firefighters,”  </w:t>
      </w:r>
    </w:p>
    <w:p w14:paraId="4F47339F" w14:textId="77777777" w:rsidR="002B1283" w:rsidRPr="00E441EA" w:rsidRDefault="002B1283" w:rsidP="002B1283">
      <w:pPr>
        <w:pStyle w:val="NoSpacing"/>
        <w:rPr>
          <w:rFonts w:ascii="Times New Roman" w:hAnsi="Times New Roman"/>
          <w:b/>
          <w:bCs/>
          <w:sz w:val="24"/>
          <w:szCs w:val="24"/>
        </w:rPr>
      </w:pPr>
      <w:r w:rsidRPr="00E441EA">
        <w:rPr>
          <w:rFonts w:ascii="Times New Roman" w:hAnsi="Times New Roman"/>
          <w:b/>
          <w:bCs/>
          <w:sz w:val="24"/>
          <w:szCs w:val="24"/>
        </w:rPr>
        <w:t xml:space="preserve">(June 10, 2019), </w:t>
      </w:r>
      <w:hyperlink r:id="rId1699" w:history="1">
        <w:r w:rsidRPr="00E441EA">
          <w:rPr>
            <w:rStyle w:val="Hyperlink"/>
            <w:rFonts w:ascii="Times New Roman" w:hAnsi="Times New Roman"/>
            <w:b/>
            <w:bCs/>
            <w:sz w:val="24"/>
            <w:szCs w:val="24"/>
          </w:rPr>
          <w:t>https://www.verywellmind.com/rates-of-ptsd-in-firefighters-2797428</w:t>
        </w:r>
      </w:hyperlink>
      <w:r w:rsidRPr="00E441EA">
        <w:rPr>
          <w:rFonts w:ascii="Times New Roman" w:hAnsi="Times New Roman"/>
          <w:b/>
          <w:bCs/>
          <w:sz w:val="24"/>
          <w:szCs w:val="24"/>
        </w:rPr>
        <w:t xml:space="preserve">  </w:t>
      </w:r>
    </w:p>
    <w:p w14:paraId="6B7CCF40" w14:textId="77777777" w:rsidR="00AE0ACC" w:rsidRDefault="00AE0ACC" w:rsidP="00F326E5">
      <w:pPr>
        <w:pStyle w:val="NoSpacing"/>
        <w:rPr>
          <w:sz w:val="24"/>
          <w:szCs w:val="24"/>
        </w:rPr>
      </w:pPr>
    </w:p>
    <w:p w14:paraId="4521B1D2" w14:textId="77777777" w:rsidR="00AE0ACC" w:rsidRDefault="00AE0ACC" w:rsidP="00DE0F03">
      <w:pPr>
        <w:rPr>
          <w:rFonts w:ascii="Arial Black" w:hAnsi="Arial Black"/>
          <w:b/>
          <w:sz w:val="24"/>
          <w:szCs w:val="24"/>
        </w:rPr>
      </w:pPr>
    </w:p>
    <w:p w14:paraId="6750B9A4" w14:textId="2E27BA45" w:rsidR="002B1283" w:rsidRDefault="00DE0F03" w:rsidP="00DE0F03">
      <w:pPr>
        <w:rPr>
          <w:sz w:val="24"/>
          <w:szCs w:val="24"/>
        </w:rPr>
      </w:pPr>
      <w:r>
        <w:rPr>
          <w:rFonts w:ascii="Arial Black" w:hAnsi="Arial Black"/>
          <w:b/>
          <w:sz w:val="24"/>
          <w:szCs w:val="24"/>
        </w:rPr>
        <w:t>9</w:t>
      </w:r>
      <w:r w:rsidRPr="00EF1133">
        <w:rPr>
          <w:rFonts w:ascii="Arial Black" w:hAnsi="Arial Black"/>
          <w:b/>
          <w:sz w:val="24"/>
          <w:szCs w:val="24"/>
        </w:rPr>
        <w:t>-</w:t>
      </w:r>
      <w:r>
        <w:rPr>
          <w:rFonts w:ascii="Arial Black" w:hAnsi="Arial Black"/>
          <w:b/>
          <w:sz w:val="24"/>
          <w:szCs w:val="24"/>
        </w:rPr>
        <w:t>4</w:t>
      </w:r>
    </w:p>
    <w:p w14:paraId="02FD01C6" w14:textId="77777777" w:rsidR="002B1283" w:rsidRDefault="002B1283" w:rsidP="002B1283">
      <w:pPr>
        <w:rPr>
          <w:rFonts w:ascii="Arial Black" w:hAnsi="Arial Black"/>
          <w:sz w:val="28"/>
          <w:szCs w:val="28"/>
        </w:rPr>
      </w:pPr>
      <w:r>
        <w:rPr>
          <w:rFonts w:ascii="Arial Black" w:hAnsi="Arial Black"/>
          <w:sz w:val="28"/>
          <w:szCs w:val="28"/>
        </w:rPr>
        <w:t>TX: PARAMEDIC INJURED ANKLE ON ICE COMING TO WORK - OFF 13 DAYS – LATER FIRED FOR MISSING SHIFTS – LAWSUIT DISMISSED</w:t>
      </w:r>
    </w:p>
    <w:p w14:paraId="3F39C805" w14:textId="77777777" w:rsidR="002B1283" w:rsidRDefault="002B1283" w:rsidP="002B1283">
      <w:pPr>
        <w:pStyle w:val="NoSpacing"/>
        <w:rPr>
          <w:rFonts w:ascii="Times New Roman" w:hAnsi="Times New Roman"/>
          <w:sz w:val="24"/>
          <w:szCs w:val="24"/>
        </w:rPr>
      </w:pPr>
      <w:r w:rsidRPr="00152892">
        <w:rPr>
          <w:rFonts w:ascii="Times New Roman" w:hAnsi="Times New Roman"/>
          <w:sz w:val="24"/>
          <w:szCs w:val="24"/>
        </w:rPr>
        <w:t xml:space="preserve">On July 3, 2019, in </w:t>
      </w:r>
      <w:r w:rsidRPr="00152892">
        <w:rPr>
          <w:rFonts w:ascii="Times New Roman" w:hAnsi="Times New Roman"/>
          <w:sz w:val="24"/>
          <w:szCs w:val="24"/>
          <w:u w:val="single"/>
        </w:rPr>
        <w:t>Michael Bankhead v. Lifeguard Ambulance Service of Texas</w:t>
      </w:r>
      <w:r w:rsidRPr="00152892">
        <w:rPr>
          <w:rFonts w:ascii="Times New Roman" w:hAnsi="Times New Roman"/>
          <w:sz w:val="24"/>
          <w:szCs w:val="24"/>
        </w:rPr>
        <w:t xml:space="preserve">, U.S. District Court Judge John McBryde granted the employer’s motion for summary judgment.  </w:t>
      </w:r>
    </w:p>
    <w:p w14:paraId="26BB3F69" w14:textId="77777777" w:rsidR="002B1283" w:rsidRDefault="002B1283" w:rsidP="002B1283">
      <w:pPr>
        <w:pStyle w:val="NoSpacing"/>
        <w:rPr>
          <w:rFonts w:ascii="Times New Roman" w:hAnsi="Times New Roman"/>
          <w:sz w:val="24"/>
          <w:szCs w:val="24"/>
        </w:rPr>
      </w:pPr>
    </w:p>
    <w:p w14:paraId="787C7695" w14:textId="77777777" w:rsidR="002B1283" w:rsidRDefault="002B1283" w:rsidP="002B1283">
      <w:pPr>
        <w:pStyle w:val="NoSpacing"/>
        <w:ind w:left="720"/>
        <w:rPr>
          <w:rFonts w:ascii="Times New Roman" w:hAnsi="Times New Roman"/>
          <w:sz w:val="24"/>
          <w:szCs w:val="24"/>
        </w:rPr>
      </w:pPr>
      <w:r w:rsidRPr="00152892">
        <w:rPr>
          <w:rFonts w:ascii="Times New Roman" w:hAnsi="Times New Roman"/>
          <w:sz w:val="24"/>
          <w:szCs w:val="24"/>
        </w:rPr>
        <w:t>“In this case, plaintiff has not shown that he suffered from a disability under the ADA. In fact, he pleaded that his injury was only temporary… (plaintiff injured his foot on January 13, 2017, wore a boot to stabilize his ankle, and was cleared to return to work on January 26, 2017). In his summary judgment response, he mentions that he has diabetes…. But, even if true, simply having a diagnosis does not amount to proof that one has an impairment under the ADA.</w:t>
      </w:r>
      <w:r>
        <w:rPr>
          <w:rFonts w:ascii="Times New Roman" w:hAnsi="Times New Roman"/>
          <w:sz w:val="24"/>
          <w:szCs w:val="24"/>
        </w:rPr>
        <w:t>”</w:t>
      </w:r>
    </w:p>
    <w:p w14:paraId="59DE315B" w14:textId="77777777" w:rsidR="002B1283" w:rsidRPr="00152892" w:rsidRDefault="002B1283" w:rsidP="002B1283">
      <w:pPr>
        <w:pStyle w:val="NoSpacing"/>
        <w:ind w:left="720"/>
        <w:rPr>
          <w:rFonts w:ascii="Times New Roman" w:hAnsi="Times New Roman"/>
          <w:sz w:val="24"/>
          <w:szCs w:val="24"/>
        </w:rPr>
      </w:pPr>
      <w:r w:rsidRPr="00152892">
        <w:rPr>
          <w:rFonts w:ascii="Times New Roman" w:hAnsi="Times New Roman"/>
          <w:sz w:val="24"/>
          <w:szCs w:val="24"/>
        </w:rPr>
        <w:t xml:space="preserve"> </w:t>
      </w:r>
      <w:hyperlink r:id="rId1700" w:history="1">
        <w:r w:rsidRPr="0076015A">
          <w:rPr>
            <w:rStyle w:val="Hyperlink"/>
            <w:rFonts w:ascii="Times New Roman" w:hAnsi="Times New Roman"/>
            <w:sz w:val="24"/>
            <w:szCs w:val="24"/>
          </w:rPr>
          <w:t>https://www.leagle.com/decision/infdco20190708957</w:t>
        </w:r>
      </w:hyperlink>
      <w:r>
        <w:rPr>
          <w:rFonts w:ascii="Times New Roman" w:hAnsi="Times New Roman"/>
          <w:sz w:val="24"/>
          <w:szCs w:val="24"/>
        </w:rPr>
        <w:t xml:space="preserve"> </w:t>
      </w:r>
    </w:p>
    <w:p w14:paraId="3C185A62" w14:textId="77777777" w:rsidR="002B1283" w:rsidRDefault="002B1283" w:rsidP="002B1283">
      <w:pPr>
        <w:pStyle w:val="NoSpacing"/>
        <w:rPr>
          <w:rFonts w:ascii="Times New Roman" w:hAnsi="Times New Roman"/>
        </w:rPr>
      </w:pPr>
    </w:p>
    <w:p w14:paraId="4578C5B8" w14:textId="77777777" w:rsidR="002B1283" w:rsidRDefault="002B1283" w:rsidP="002B1283">
      <w:pPr>
        <w:pStyle w:val="NoSpacing"/>
        <w:ind w:left="720"/>
        <w:rPr>
          <w:rFonts w:ascii="Times New Roman" w:hAnsi="Times New Roman"/>
          <w:sz w:val="24"/>
          <w:szCs w:val="24"/>
        </w:rPr>
      </w:pPr>
    </w:p>
    <w:p w14:paraId="4546021B" w14:textId="77777777" w:rsidR="002B1283" w:rsidRDefault="002B1283" w:rsidP="002B1283">
      <w:pPr>
        <w:pStyle w:val="NoSpacing"/>
        <w:rPr>
          <w:rFonts w:ascii="Times New Roman" w:hAnsi="Times New Roman"/>
          <w:b/>
          <w:bCs/>
          <w:sz w:val="24"/>
          <w:szCs w:val="24"/>
        </w:rPr>
      </w:pPr>
      <w:r w:rsidRPr="00152892">
        <w:rPr>
          <w:rFonts w:ascii="Times New Roman" w:hAnsi="Times New Roman"/>
          <w:b/>
          <w:bCs/>
          <w:sz w:val="24"/>
          <w:szCs w:val="24"/>
        </w:rPr>
        <w:t xml:space="preserve">Legal Lessons Learned: </w:t>
      </w:r>
      <w:r>
        <w:rPr>
          <w:rFonts w:ascii="Times New Roman" w:hAnsi="Times New Roman"/>
          <w:b/>
          <w:bCs/>
          <w:sz w:val="24"/>
          <w:szCs w:val="24"/>
        </w:rPr>
        <w:t xml:space="preserve">Impairment under ADA must be permanent or long term; even a broken leg does not qualify as a “disability.”  </w:t>
      </w:r>
    </w:p>
    <w:p w14:paraId="29CB8C9E" w14:textId="77777777" w:rsidR="002B1283" w:rsidRDefault="002B1283" w:rsidP="002B1283">
      <w:pPr>
        <w:pStyle w:val="NoSpacing"/>
        <w:rPr>
          <w:rFonts w:ascii="Times New Roman" w:hAnsi="Times New Roman"/>
          <w:b/>
          <w:bCs/>
          <w:sz w:val="24"/>
          <w:szCs w:val="24"/>
        </w:rPr>
      </w:pPr>
    </w:p>
    <w:p w14:paraId="00DE55D4" w14:textId="77777777" w:rsidR="002B1283" w:rsidRDefault="002B1283" w:rsidP="002B1283">
      <w:pPr>
        <w:pStyle w:val="NoSpacing"/>
        <w:ind w:left="720"/>
        <w:rPr>
          <w:rFonts w:ascii="Times New Roman" w:hAnsi="Times New Roman"/>
          <w:sz w:val="24"/>
          <w:szCs w:val="24"/>
        </w:rPr>
      </w:pPr>
      <w:r w:rsidRPr="00E441EA">
        <w:rPr>
          <w:rFonts w:ascii="Times New Roman" w:hAnsi="Times New Roman"/>
          <w:sz w:val="24"/>
          <w:szCs w:val="24"/>
        </w:rPr>
        <w:t xml:space="preserve">Under ADA, a “disability” is defined as: "(A) a physical or mental impairment that substantially limits one or more major life activities of such individual; (B) a record of such an impairment; or (C) being regarded as having such an impairment." 42 U.S.C. § 12102(1).  </w:t>
      </w:r>
    </w:p>
    <w:p w14:paraId="6C8F63FB" w14:textId="77777777" w:rsidR="002B1283" w:rsidRDefault="002B1283" w:rsidP="002B1283">
      <w:pPr>
        <w:pStyle w:val="NoSpacing"/>
        <w:rPr>
          <w:rFonts w:ascii="Times New Roman" w:hAnsi="Times New Roman"/>
          <w:sz w:val="24"/>
          <w:szCs w:val="24"/>
        </w:rPr>
      </w:pPr>
    </w:p>
    <w:p w14:paraId="500FF5F9" w14:textId="77777777" w:rsidR="00AE0ACC" w:rsidRDefault="00AE0ACC" w:rsidP="00AE0ACC">
      <w:pPr>
        <w:pStyle w:val="NoSpacing"/>
        <w:rPr>
          <w:sz w:val="24"/>
          <w:szCs w:val="24"/>
        </w:rPr>
      </w:pPr>
    </w:p>
    <w:p w14:paraId="50BD2338" w14:textId="3687750A" w:rsidR="002B1283" w:rsidRDefault="00DE0F03" w:rsidP="00DE0F03">
      <w:pPr>
        <w:rPr>
          <w:rFonts w:ascii="Arial Black" w:hAnsi="Arial Black"/>
          <w:sz w:val="28"/>
          <w:szCs w:val="28"/>
        </w:rPr>
      </w:pPr>
      <w:r>
        <w:rPr>
          <w:rFonts w:ascii="Arial Black" w:hAnsi="Arial Black"/>
          <w:b/>
          <w:sz w:val="24"/>
          <w:szCs w:val="24"/>
        </w:rPr>
        <w:t>9</w:t>
      </w:r>
      <w:r w:rsidRPr="00EF1133">
        <w:rPr>
          <w:rFonts w:ascii="Arial Black" w:hAnsi="Arial Black"/>
          <w:b/>
          <w:sz w:val="24"/>
          <w:szCs w:val="24"/>
        </w:rPr>
        <w:t>-</w:t>
      </w:r>
      <w:r>
        <w:rPr>
          <w:rFonts w:ascii="Arial Black" w:hAnsi="Arial Black"/>
          <w:b/>
          <w:sz w:val="24"/>
          <w:szCs w:val="24"/>
        </w:rPr>
        <w:t>3</w:t>
      </w:r>
    </w:p>
    <w:p w14:paraId="770171D7" w14:textId="6B87B87A" w:rsidR="00F326E5" w:rsidRDefault="00F326E5" w:rsidP="00F326E5">
      <w:pPr>
        <w:pStyle w:val="NoSpacing"/>
        <w:rPr>
          <w:rFonts w:ascii="Arial Black" w:hAnsi="Arial Black"/>
          <w:sz w:val="28"/>
          <w:szCs w:val="28"/>
        </w:rPr>
      </w:pPr>
      <w:bookmarkStart w:id="366" w:name="_Hlk39771248"/>
      <w:r>
        <w:rPr>
          <w:rFonts w:ascii="Arial Black" w:hAnsi="Arial Black"/>
          <w:sz w:val="28"/>
          <w:szCs w:val="28"/>
        </w:rPr>
        <w:t xml:space="preserve">WI: </w:t>
      </w:r>
      <w:r w:rsidRPr="00C667EE">
        <w:rPr>
          <w:rFonts w:ascii="Arial Black" w:hAnsi="Arial Black"/>
          <w:sz w:val="28"/>
          <w:szCs w:val="28"/>
        </w:rPr>
        <w:t xml:space="preserve">INJURED ANKLE </w:t>
      </w:r>
      <w:r>
        <w:rPr>
          <w:rFonts w:ascii="Arial Black" w:hAnsi="Arial Black"/>
          <w:sz w:val="28"/>
          <w:szCs w:val="28"/>
        </w:rPr>
        <w:t xml:space="preserve">– GIVEN “LIGHT DUTY” BUT TENNIS SHOES NOT ALLOWED – LAWSUIT MAY PROCEED </w:t>
      </w:r>
    </w:p>
    <w:p w14:paraId="7DF9EAFC" w14:textId="77777777" w:rsidR="00BF4DDE" w:rsidRDefault="00BF4DDE" w:rsidP="00F326E5">
      <w:pPr>
        <w:pStyle w:val="NoSpacing"/>
        <w:rPr>
          <w:rFonts w:ascii="Times New Roman" w:hAnsi="Times New Roman"/>
          <w:sz w:val="24"/>
          <w:szCs w:val="24"/>
        </w:rPr>
      </w:pPr>
    </w:p>
    <w:p w14:paraId="0D7941F0" w14:textId="22AA6538" w:rsidR="00F326E5" w:rsidRPr="00BF4DDE" w:rsidRDefault="00F326E5" w:rsidP="00F326E5">
      <w:pPr>
        <w:pStyle w:val="NoSpacing"/>
        <w:rPr>
          <w:rStyle w:val="Hyperlink"/>
          <w:rFonts w:ascii="Times New Roman" w:hAnsi="Times New Roman"/>
          <w:sz w:val="24"/>
          <w:szCs w:val="24"/>
        </w:rPr>
      </w:pPr>
      <w:r w:rsidRPr="00BF4DDE">
        <w:rPr>
          <w:rFonts w:ascii="Times New Roman" w:hAnsi="Times New Roman"/>
          <w:sz w:val="24"/>
          <w:szCs w:val="24"/>
        </w:rPr>
        <w:t xml:space="preserve">On Feb. 27, 2019, in </w:t>
      </w:r>
      <w:r w:rsidRPr="00BF4DDE">
        <w:rPr>
          <w:rFonts w:ascii="Times New Roman" w:hAnsi="Times New Roman"/>
          <w:sz w:val="24"/>
          <w:szCs w:val="24"/>
          <w:u w:val="single"/>
        </w:rPr>
        <w:t>Keith Daniel v. City of Minneapolis</w:t>
      </w:r>
      <w:r w:rsidRPr="00BF4DDE">
        <w:rPr>
          <w:rFonts w:ascii="Times New Roman" w:hAnsi="Times New Roman"/>
          <w:sz w:val="24"/>
          <w:szCs w:val="24"/>
        </w:rPr>
        <w:t xml:space="preserve">, the Supreme Court of MN held (5 to 2), “To give effect to the plain language of the workers’ compensation act and the human rights act, we hold that an employee can pursue claims under each act because each act provides a distinct cause of action that redresses a discrete type of injury to an employee.” </w:t>
      </w:r>
      <w:hyperlink r:id="rId1701" w:history="1">
        <w:r w:rsidRPr="00BF4DDE">
          <w:rPr>
            <w:rStyle w:val="Hyperlink"/>
            <w:rFonts w:ascii="Times New Roman" w:hAnsi="Times New Roman"/>
            <w:sz w:val="24"/>
            <w:szCs w:val="24"/>
          </w:rPr>
          <w:t>https://cases.justia.com/minnesota/supreme-court/2019-a17-0141.pdf?ts=1551286256</w:t>
        </w:r>
      </w:hyperlink>
    </w:p>
    <w:bookmarkEnd w:id="366"/>
    <w:p w14:paraId="457FE752" w14:textId="77777777" w:rsidR="00DE37CD" w:rsidRDefault="00DE37CD" w:rsidP="00F326E5">
      <w:pPr>
        <w:pStyle w:val="NoSpacing"/>
        <w:rPr>
          <w:rFonts w:ascii="Times New Roman" w:hAnsi="Times New Roman"/>
          <w:b/>
          <w:sz w:val="24"/>
          <w:szCs w:val="24"/>
        </w:rPr>
      </w:pPr>
    </w:p>
    <w:p w14:paraId="7FE35F56" w14:textId="014815FB" w:rsidR="00F326E5" w:rsidRDefault="00F326E5" w:rsidP="00F326E5">
      <w:pPr>
        <w:pStyle w:val="NoSpacing"/>
        <w:rPr>
          <w:rFonts w:ascii="Times New Roman" w:hAnsi="Times New Roman"/>
          <w:b/>
          <w:sz w:val="24"/>
          <w:szCs w:val="24"/>
        </w:rPr>
      </w:pPr>
      <w:bookmarkStart w:id="367" w:name="_Hlk40512128"/>
      <w:r w:rsidRPr="00BF4DDE">
        <w:rPr>
          <w:rFonts w:ascii="Times New Roman" w:hAnsi="Times New Roman"/>
          <w:b/>
          <w:sz w:val="24"/>
          <w:szCs w:val="24"/>
        </w:rPr>
        <w:t xml:space="preserve">Legal Lessons Learned:  FD dress policies, including policies on “station shoes” may need to be modified to “reasonably accommodate” a firefighter on light duty for an ankle injury.  This case will now go to a jury trial, unless settled. </w:t>
      </w:r>
    </w:p>
    <w:bookmarkEnd w:id="367"/>
    <w:p w14:paraId="6CA659FA" w14:textId="77777777" w:rsidR="00DE37CD" w:rsidRDefault="00DE37CD" w:rsidP="00F326E5">
      <w:pPr>
        <w:pStyle w:val="NoSpacing"/>
        <w:ind w:left="720"/>
        <w:rPr>
          <w:rFonts w:ascii="Times New Roman" w:hAnsi="Times New Roman"/>
          <w:b/>
          <w:sz w:val="24"/>
          <w:szCs w:val="24"/>
        </w:rPr>
      </w:pPr>
    </w:p>
    <w:p w14:paraId="50CD6D90" w14:textId="18F6876C" w:rsidR="00F326E5" w:rsidRPr="00BF4DDE" w:rsidRDefault="00F7048C" w:rsidP="00DE37CD">
      <w:pPr>
        <w:pStyle w:val="NoSpacing"/>
        <w:rPr>
          <w:rFonts w:ascii="Times New Roman" w:hAnsi="Times New Roman"/>
          <w:sz w:val="24"/>
          <w:szCs w:val="24"/>
        </w:rPr>
      </w:pPr>
      <w:bookmarkStart w:id="368" w:name="_Hlk40512160"/>
      <w:r>
        <w:rPr>
          <w:rFonts w:ascii="Times New Roman" w:hAnsi="Times New Roman"/>
          <w:sz w:val="24"/>
          <w:szCs w:val="24"/>
        </w:rPr>
        <w:t xml:space="preserve">Note:  </w:t>
      </w:r>
      <w:r w:rsidR="00F326E5" w:rsidRPr="00BF4DDE">
        <w:rPr>
          <w:rFonts w:ascii="Times New Roman" w:hAnsi="Times New Roman"/>
          <w:sz w:val="24"/>
          <w:szCs w:val="24"/>
        </w:rPr>
        <w:t xml:space="preserve">See article about </w:t>
      </w:r>
      <w:r>
        <w:rPr>
          <w:rFonts w:ascii="Times New Roman" w:hAnsi="Times New Roman"/>
          <w:sz w:val="24"/>
          <w:szCs w:val="24"/>
        </w:rPr>
        <w:t xml:space="preserve">the </w:t>
      </w:r>
      <w:r w:rsidR="00F326E5" w:rsidRPr="00BF4DDE">
        <w:rPr>
          <w:rFonts w:ascii="Times New Roman" w:hAnsi="Times New Roman"/>
          <w:sz w:val="24"/>
          <w:szCs w:val="24"/>
        </w:rPr>
        <w:t xml:space="preserve">case: </w:t>
      </w:r>
      <w:hyperlink r:id="rId1702" w:history="1">
        <w:r w:rsidR="00F326E5" w:rsidRPr="00BF4DDE">
          <w:rPr>
            <w:rStyle w:val="Hyperlink"/>
            <w:rFonts w:ascii="Times New Roman" w:hAnsi="Times New Roman"/>
            <w:sz w:val="24"/>
            <w:szCs w:val="24"/>
          </w:rPr>
          <w:t>http://www.startribune.com/former-mpls-firefighter-will-be-able-to-sue-for-disability-discrimination-high-court-rules/506468082/</w:t>
        </w:r>
      </w:hyperlink>
      <w:r w:rsidR="00F326E5" w:rsidRPr="00BF4DDE">
        <w:rPr>
          <w:rFonts w:ascii="Times New Roman" w:hAnsi="Times New Roman"/>
          <w:sz w:val="24"/>
          <w:szCs w:val="24"/>
        </w:rPr>
        <w:t xml:space="preserve"> </w:t>
      </w:r>
    </w:p>
    <w:bookmarkEnd w:id="346"/>
    <w:bookmarkEnd w:id="368"/>
    <w:p w14:paraId="7B12A446" w14:textId="77777777" w:rsidR="00C17A9D" w:rsidRPr="00BF4DDE" w:rsidRDefault="00C17A9D" w:rsidP="00C17A9D">
      <w:pPr>
        <w:pStyle w:val="NoSpacing"/>
        <w:rPr>
          <w:rFonts w:ascii="Times New Roman" w:hAnsi="Times New Roman"/>
          <w:bCs/>
          <w:sz w:val="24"/>
          <w:szCs w:val="24"/>
        </w:rPr>
      </w:pPr>
    </w:p>
    <w:p w14:paraId="73F108F2" w14:textId="55D0B9B8" w:rsidR="00F326E5" w:rsidRDefault="00F326E5" w:rsidP="00F326E5">
      <w:pPr>
        <w:pStyle w:val="NoSpacing"/>
        <w:rPr>
          <w:rFonts w:ascii="Arial Black" w:hAnsi="Arial Black"/>
          <w:sz w:val="40"/>
          <w:szCs w:val="40"/>
        </w:rPr>
      </w:pPr>
    </w:p>
    <w:p w14:paraId="4371BC5B" w14:textId="77777777" w:rsidR="00C17A9D" w:rsidRDefault="00C17A9D" w:rsidP="00F326E5">
      <w:pPr>
        <w:pStyle w:val="NoSpacing"/>
        <w:rPr>
          <w:rFonts w:ascii="Arial Black" w:hAnsi="Arial Black"/>
          <w:sz w:val="40"/>
          <w:szCs w:val="40"/>
        </w:rPr>
      </w:pPr>
    </w:p>
    <w:p w14:paraId="6DF46BDA" w14:textId="5AC36D6D" w:rsidR="00DE0F03" w:rsidRDefault="00DE0F03" w:rsidP="00DE0F03">
      <w:pPr>
        <w:rPr>
          <w:sz w:val="24"/>
          <w:szCs w:val="24"/>
        </w:rPr>
      </w:pPr>
      <w:r>
        <w:rPr>
          <w:rFonts w:ascii="Arial Black" w:hAnsi="Arial Black"/>
          <w:b/>
          <w:sz w:val="24"/>
          <w:szCs w:val="24"/>
        </w:rPr>
        <w:t>9</w:t>
      </w:r>
      <w:r w:rsidRPr="00EF1133">
        <w:rPr>
          <w:rFonts w:ascii="Arial Black" w:hAnsi="Arial Black"/>
          <w:b/>
          <w:sz w:val="24"/>
          <w:szCs w:val="24"/>
        </w:rPr>
        <w:t>-</w:t>
      </w:r>
      <w:r>
        <w:rPr>
          <w:rFonts w:ascii="Arial Black" w:hAnsi="Arial Black"/>
          <w:b/>
          <w:sz w:val="24"/>
          <w:szCs w:val="24"/>
        </w:rPr>
        <w:t>2</w:t>
      </w:r>
    </w:p>
    <w:p w14:paraId="400DE305" w14:textId="4DD16CE0" w:rsidR="00F326E5" w:rsidRPr="00C270C6" w:rsidRDefault="00F326E5" w:rsidP="00F326E5">
      <w:pPr>
        <w:pStyle w:val="NoSpacing"/>
        <w:rPr>
          <w:rFonts w:ascii="Arial Black" w:hAnsi="Arial Black"/>
          <w:b/>
          <w:sz w:val="28"/>
          <w:szCs w:val="28"/>
        </w:rPr>
      </w:pPr>
      <w:bookmarkStart w:id="369" w:name="_Hlk7344988"/>
      <w:r w:rsidRPr="00C270C6">
        <w:rPr>
          <w:rFonts w:ascii="Arial Black" w:hAnsi="Arial Black"/>
          <w:b/>
          <w:sz w:val="28"/>
          <w:szCs w:val="28"/>
        </w:rPr>
        <w:t>LA</w:t>
      </w:r>
      <w:r>
        <w:rPr>
          <w:rFonts w:ascii="Arial Black" w:hAnsi="Arial Black"/>
          <w:b/>
          <w:sz w:val="28"/>
          <w:szCs w:val="28"/>
        </w:rPr>
        <w:t xml:space="preserve">: </w:t>
      </w:r>
      <w:r w:rsidRPr="00C270C6">
        <w:rPr>
          <w:rFonts w:ascii="Arial Black" w:hAnsi="Arial Black"/>
          <w:b/>
          <w:sz w:val="28"/>
          <w:szCs w:val="28"/>
        </w:rPr>
        <w:t>BACK INJURY, RETIRING FF FAILED TO TIMELY FILE FOR DISABILITY BENEFITS</w:t>
      </w:r>
    </w:p>
    <w:p w14:paraId="404AF258" w14:textId="77777777" w:rsidR="00BF4DDE" w:rsidRDefault="00F326E5" w:rsidP="00F326E5">
      <w:pPr>
        <w:rPr>
          <w:rFonts w:ascii="Times New Roman" w:eastAsia="Times New Roman" w:hAnsi="Times New Roman"/>
          <w:sz w:val="24"/>
          <w:szCs w:val="24"/>
        </w:rPr>
      </w:pPr>
      <w:r w:rsidRPr="00BF4DDE">
        <w:rPr>
          <w:rFonts w:ascii="Times New Roman" w:eastAsia="Times New Roman" w:hAnsi="Times New Roman"/>
          <w:sz w:val="24"/>
          <w:szCs w:val="24"/>
        </w:rPr>
        <w:t xml:space="preserve">On Nov. 21, 2018, in </w:t>
      </w:r>
      <w:r w:rsidRPr="00BF4DDE">
        <w:rPr>
          <w:rFonts w:ascii="Times New Roman" w:eastAsia="Times New Roman" w:hAnsi="Times New Roman"/>
          <w:sz w:val="24"/>
          <w:szCs w:val="24"/>
          <w:u w:val="single"/>
        </w:rPr>
        <w:t>Brian Mule v. St. Bernard Parish Fire Department</w:t>
      </w:r>
      <w:r w:rsidRPr="00BF4DDE">
        <w:rPr>
          <w:rFonts w:ascii="Times New Roman" w:eastAsia="Times New Roman" w:hAnsi="Times New Roman"/>
          <w:sz w:val="24"/>
          <w:szCs w:val="24"/>
        </w:rPr>
        <w:t>, the Court of Appeal, 4</w:t>
      </w:r>
      <w:r w:rsidRPr="00BF4DDE">
        <w:rPr>
          <w:rFonts w:ascii="Times New Roman" w:eastAsia="Times New Roman" w:hAnsi="Times New Roman"/>
          <w:sz w:val="24"/>
          <w:szCs w:val="24"/>
          <w:vertAlign w:val="superscript"/>
        </w:rPr>
        <w:t>th</w:t>
      </w:r>
      <w:r w:rsidRPr="00BF4DDE">
        <w:rPr>
          <w:rFonts w:ascii="Times New Roman" w:eastAsia="Times New Roman" w:hAnsi="Times New Roman"/>
          <w:sz w:val="24"/>
          <w:szCs w:val="24"/>
        </w:rPr>
        <w:t xml:space="preserve"> District held (3 to 0) that Office of Workers Compensation trial judge properly ruled that the employee was not entitled to supplemental benefits: </w:t>
      </w:r>
    </w:p>
    <w:p w14:paraId="6FCB1BF8" w14:textId="10C06763" w:rsidR="00F326E5" w:rsidRPr="00BF4DDE" w:rsidRDefault="00F326E5" w:rsidP="00BF4DDE">
      <w:pPr>
        <w:ind w:left="720"/>
        <w:rPr>
          <w:rFonts w:ascii="Times New Roman" w:eastAsia="Times New Roman" w:hAnsi="Times New Roman"/>
          <w:sz w:val="24"/>
          <w:szCs w:val="24"/>
        </w:rPr>
      </w:pPr>
      <w:r w:rsidRPr="00BF4DDE">
        <w:rPr>
          <w:rFonts w:ascii="Times New Roman" w:eastAsia="Times New Roman" w:hAnsi="Times New Roman"/>
          <w:sz w:val="24"/>
          <w:szCs w:val="24"/>
        </w:rPr>
        <w:t xml:space="preserve">“Mr. Mule waited more than seven years after this May 22, </w:t>
      </w:r>
      <w:proofErr w:type="gramStart"/>
      <w:r w:rsidRPr="00BF4DDE">
        <w:rPr>
          <w:rFonts w:ascii="Times New Roman" w:eastAsia="Times New Roman" w:hAnsi="Times New Roman"/>
          <w:sz w:val="24"/>
          <w:szCs w:val="24"/>
        </w:rPr>
        <w:t>2009</w:t>
      </w:r>
      <w:proofErr w:type="gramEnd"/>
      <w:r w:rsidRPr="00BF4DDE">
        <w:rPr>
          <w:rFonts w:ascii="Times New Roman" w:eastAsia="Times New Roman" w:hAnsi="Times New Roman"/>
          <w:sz w:val="24"/>
          <w:szCs w:val="24"/>
        </w:rPr>
        <w:t xml:space="preserve"> injury to pursue his claim for indemnity benefits. The OWC, having reviewed the record, exhibits and listening to the testimony of Mr. Mule and Ms. Bradbury, held that Mr. Mule did not establish that he was lulled into not filing a claim within the prescriptive period under the totality of the </w:t>
      </w:r>
      <w:proofErr w:type="gramStart"/>
      <w:r w:rsidRPr="00BF4DDE">
        <w:rPr>
          <w:rFonts w:ascii="Times New Roman" w:eastAsia="Times New Roman" w:hAnsi="Times New Roman"/>
          <w:sz w:val="24"/>
          <w:szCs w:val="24"/>
        </w:rPr>
        <w:t>circumstances.”</w:t>
      </w:r>
      <w:proofErr w:type="gramEnd"/>
      <w:r w:rsidRPr="00BF4DDE">
        <w:rPr>
          <w:rFonts w:ascii="Times New Roman" w:eastAsia="Times New Roman" w:hAnsi="Times New Roman"/>
          <w:sz w:val="24"/>
          <w:szCs w:val="24"/>
        </w:rPr>
        <w:t xml:space="preserve"> </w:t>
      </w:r>
      <w:hyperlink r:id="rId1703" w:history="1">
        <w:r w:rsidRPr="00BF4DDE">
          <w:rPr>
            <w:rStyle w:val="Hyperlink"/>
            <w:rFonts w:ascii="Times New Roman" w:hAnsi="Times New Roman"/>
            <w:sz w:val="24"/>
            <w:szCs w:val="24"/>
          </w:rPr>
          <w:t>https://cases.justia.com/louisiana/fourth-circuit-court-of-appeal/2018-2018-ca-0507.pdf?ts=1542839104</w:t>
        </w:r>
      </w:hyperlink>
      <w:r w:rsidRPr="00BF4DDE">
        <w:rPr>
          <w:rFonts w:ascii="Times New Roman" w:eastAsia="Times New Roman" w:hAnsi="Times New Roman"/>
          <w:sz w:val="24"/>
          <w:szCs w:val="24"/>
        </w:rPr>
        <w:t xml:space="preserve"> </w:t>
      </w:r>
    </w:p>
    <w:p w14:paraId="5DFCE6A3" w14:textId="77777777" w:rsidR="00F326E5" w:rsidRPr="00BF4DDE" w:rsidRDefault="00F326E5" w:rsidP="00F326E5">
      <w:pPr>
        <w:rPr>
          <w:rFonts w:ascii="Times New Roman" w:eastAsia="Times New Roman" w:hAnsi="Times New Roman"/>
          <w:b/>
          <w:sz w:val="24"/>
          <w:szCs w:val="24"/>
        </w:rPr>
      </w:pPr>
      <w:r w:rsidRPr="00BF4DDE">
        <w:rPr>
          <w:rFonts w:ascii="Times New Roman" w:eastAsia="Times New Roman" w:hAnsi="Times New Roman"/>
          <w:b/>
          <w:sz w:val="24"/>
          <w:szCs w:val="24"/>
        </w:rPr>
        <w:t xml:space="preserve">Legal Lessons Learned:  Fire &amp; EMS personnel, injured on the job and facing disability retirement, should consult with a workers comp. expert regarding filing requirements for workers comp indemnity benefits.  </w:t>
      </w:r>
    </w:p>
    <w:bookmarkEnd w:id="369"/>
    <w:p w14:paraId="4A28EAA2" w14:textId="77777777" w:rsidR="00F326E5" w:rsidRDefault="00F326E5" w:rsidP="00F326E5">
      <w:pPr>
        <w:pStyle w:val="NoSpacing"/>
        <w:rPr>
          <w:sz w:val="24"/>
          <w:szCs w:val="24"/>
        </w:rPr>
      </w:pPr>
    </w:p>
    <w:p w14:paraId="1EBE2684" w14:textId="77777777" w:rsidR="00F326E5" w:rsidRDefault="00F326E5" w:rsidP="00F326E5">
      <w:pPr>
        <w:pStyle w:val="NoSpacing"/>
        <w:rPr>
          <w:sz w:val="24"/>
          <w:szCs w:val="24"/>
        </w:rPr>
      </w:pPr>
    </w:p>
    <w:p w14:paraId="522EC005" w14:textId="4C658EA4" w:rsidR="00F326E5" w:rsidRDefault="00DE0F03" w:rsidP="00DE0F03">
      <w:pPr>
        <w:rPr>
          <w:sz w:val="24"/>
          <w:szCs w:val="24"/>
        </w:rPr>
      </w:pPr>
      <w:r>
        <w:rPr>
          <w:rFonts w:ascii="Arial Black" w:hAnsi="Arial Black"/>
          <w:b/>
          <w:sz w:val="24"/>
          <w:szCs w:val="24"/>
        </w:rPr>
        <w:t>9</w:t>
      </w:r>
      <w:r w:rsidRPr="00EF1133">
        <w:rPr>
          <w:rFonts w:ascii="Arial Black" w:hAnsi="Arial Black"/>
          <w:b/>
          <w:sz w:val="24"/>
          <w:szCs w:val="24"/>
        </w:rPr>
        <w:t>-1</w:t>
      </w:r>
    </w:p>
    <w:p w14:paraId="66896318" w14:textId="764AAC4E" w:rsidR="00F326E5" w:rsidRPr="00512C93" w:rsidRDefault="00F326E5" w:rsidP="00F326E5">
      <w:pPr>
        <w:pStyle w:val="NoSpacing"/>
        <w:rPr>
          <w:rFonts w:ascii="Arial Black" w:hAnsi="Arial Black"/>
          <w:b/>
          <w:sz w:val="28"/>
          <w:szCs w:val="28"/>
        </w:rPr>
      </w:pPr>
      <w:bookmarkStart w:id="370" w:name="_Hlk7345026"/>
      <w:r>
        <w:rPr>
          <w:rFonts w:ascii="Arial Black" w:hAnsi="Arial Black"/>
          <w:b/>
          <w:sz w:val="28"/>
          <w:szCs w:val="28"/>
        </w:rPr>
        <w:t xml:space="preserve">CO: DEPUTY SHERIFF WITH DIABETES – INSULIN DEPENDENT – U.S. DOJ SETTLES LAWSUIT </w:t>
      </w:r>
    </w:p>
    <w:p w14:paraId="3FAB8369" w14:textId="77777777" w:rsidR="00F326E5" w:rsidRPr="00071B42" w:rsidRDefault="00F326E5" w:rsidP="00F326E5">
      <w:pPr>
        <w:rPr>
          <w:rFonts w:eastAsia="Times New Roman"/>
          <w:sz w:val="24"/>
          <w:szCs w:val="24"/>
        </w:rPr>
      </w:pPr>
      <w:r w:rsidRPr="00071B42">
        <w:rPr>
          <w:rFonts w:eastAsia="Times New Roman"/>
          <w:sz w:val="24"/>
          <w:szCs w:val="24"/>
        </w:rPr>
        <w:t xml:space="preserve">On May 15, 2018, the U.S. Department of Justice issued a Press Release about the agreement with the City and County of Denver: </w:t>
      </w:r>
    </w:p>
    <w:p w14:paraId="31DD1801" w14:textId="77777777" w:rsidR="00F326E5" w:rsidRPr="00071B42" w:rsidRDefault="00F326E5" w:rsidP="00F326E5">
      <w:pPr>
        <w:pStyle w:val="NormalWeb"/>
        <w:ind w:left="720"/>
      </w:pPr>
      <w:r w:rsidRPr="00071B42">
        <w:t xml:space="preserve">“The Justice Department today announced that it reached an agreement with the City and County of Denver, Colorado, (Denver) to resolve its lawsuit alleging that the Denver Sheriff Department discriminated against a long-time Deputy Sheriff </w:t>
      </w:r>
      <w:proofErr w:type="gramStart"/>
      <w:r w:rsidRPr="00071B42">
        <w:t>on the basis of</w:t>
      </w:r>
      <w:proofErr w:type="gramEnd"/>
      <w:r w:rsidRPr="00071B42">
        <w:t xml:space="preserve"> his disability, insulin-dependent diabetes.  The Justice Department’s complaint alleges that Denver failed to engage in an interactive process with the employee to determine an appropriate accommodation, failed to reasonably accommodate his disability, and then terminated him, in violation of the Americans with Disabilities Act (ADA).Under the agreement, Denver will revise its reasonable accommodation policies and procedures, and will conduct training on the ADA for Sheriff Department supervisors, command staff, and human resources personnel.  In addition, Denver will pay $100,000 in compensatory damages to the employee.”</w:t>
      </w:r>
    </w:p>
    <w:p w14:paraId="09EEB56F" w14:textId="1DDF965D" w:rsidR="00F326E5" w:rsidRPr="00071B42" w:rsidRDefault="00E658E1" w:rsidP="00E658E1">
      <w:pPr>
        <w:pStyle w:val="NoSpacing"/>
        <w:ind w:left="720"/>
        <w:rPr>
          <w:rStyle w:val="Hyperlink"/>
          <w:sz w:val="24"/>
          <w:szCs w:val="24"/>
        </w:rPr>
      </w:pPr>
      <w:hyperlink r:id="rId1704" w:history="1">
        <w:r w:rsidRPr="002F304C">
          <w:rPr>
            <w:rStyle w:val="Hyperlink"/>
            <w:sz w:val="24"/>
            <w:szCs w:val="24"/>
          </w:rPr>
          <w:t>https://www.justice.gov/opa/pr/justice-department-reaches-agreement-city-and-county-denver-resolve-disability-discrimination</w:t>
        </w:r>
      </w:hyperlink>
    </w:p>
    <w:p w14:paraId="25B31959" w14:textId="77777777" w:rsidR="00F326E5" w:rsidRDefault="00F326E5" w:rsidP="00F326E5">
      <w:pPr>
        <w:pStyle w:val="NormalWeb"/>
        <w:rPr>
          <w:b/>
        </w:rPr>
      </w:pPr>
      <w:r w:rsidRPr="00071B42">
        <w:rPr>
          <w:b/>
        </w:rPr>
        <w:t xml:space="preserve">Legal Lessons Learned: Fire &amp; EMS departments must also “engage in an interactive process” when an employee appears to have a disability, including exchange of medical information between employee’s physician and the department’s doctor. </w:t>
      </w:r>
    </w:p>
    <w:bookmarkEnd w:id="370"/>
    <w:p w14:paraId="53967C7F" w14:textId="77777777" w:rsidR="00F326E5" w:rsidRDefault="00F326E5" w:rsidP="00F326E5">
      <w:pPr>
        <w:rPr>
          <w:rFonts w:ascii="Arial Black" w:hAnsi="Arial Black"/>
          <w:sz w:val="40"/>
          <w:szCs w:val="40"/>
        </w:rPr>
      </w:pPr>
      <w:r>
        <w:rPr>
          <w:rFonts w:ascii="Arial Black" w:hAnsi="Arial Black"/>
          <w:sz w:val="40"/>
          <w:szCs w:val="40"/>
        </w:rPr>
        <w:br w:type="page"/>
      </w:r>
    </w:p>
    <w:p w14:paraId="63BE8F94" w14:textId="77777777" w:rsidR="009C7451" w:rsidRDefault="009C7451" w:rsidP="00F326E5">
      <w:pPr>
        <w:pStyle w:val="NoSpacing"/>
        <w:rPr>
          <w:rFonts w:ascii="Arial Black" w:hAnsi="Arial Black"/>
          <w:sz w:val="40"/>
          <w:szCs w:val="40"/>
        </w:rPr>
      </w:pPr>
    </w:p>
    <w:p w14:paraId="5B5DDAE0" w14:textId="77777777" w:rsidR="009C7451" w:rsidRDefault="009C7451" w:rsidP="00F326E5">
      <w:pPr>
        <w:pStyle w:val="NoSpacing"/>
        <w:rPr>
          <w:rFonts w:ascii="Arial Black" w:hAnsi="Arial Black"/>
          <w:sz w:val="40"/>
          <w:szCs w:val="40"/>
        </w:rPr>
      </w:pPr>
    </w:p>
    <w:p w14:paraId="0DD1BD7F" w14:textId="77777777" w:rsidR="009C7451" w:rsidRDefault="009C7451" w:rsidP="00F326E5">
      <w:pPr>
        <w:pStyle w:val="NoSpacing"/>
        <w:rPr>
          <w:rFonts w:ascii="Arial Black" w:hAnsi="Arial Black"/>
          <w:sz w:val="40"/>
          <w:szCs w:val="40"/>
        </w:rPr>
      </w:pPr>
    </w:p>
    <w:p w14:paraId="631C1041" w14:textId="77777777" w:rsidR="009C7451" w:rsidRDefault="009C7451" w:rsidP="00F326E5">
      <w:pPr>
        <w:pStyle w:val="NoSpacing"/>
        <w:rPr>
          <w:rFonts w:ascii="Arial Black" w:hAnsi="Arial Black"/>
          <w:sz w:val="40"/>
          <w:szCs w:val="40"/>
        </w:rPr>
      </w:pPr>
    </w:p>
    <w:p w14:paraId="47A0C746" w14:textId="77777777" w:rsidR="009C7451" w:rsidRDefault="009C7451" w:rsidP="00F326E5">
      <w:pPr>
        <w:pStyle w:val="NoSpacing"/>
        <w:rPr>
          <w:rFonts w:ascii="Arial Black" w:hAnsi="Arial Black"/>
          <w:sz w:val="40"/>
          <w:szCs w:val="40"/>
        </w:rPr>
      </w:pPr>
    </w:p>
    <w:p w14:paraId="5526E5C5" w14:textId="77777777" w:rsidR="009C7451" w:rsidRDefault="009C7451" w:rsidP="00F326E5">
      <w:pPr>
        <w:pStyle w:val="NoSpacing"/>
        <w:rPr>
          <w:rFonts w:ascii="Arial Black" w:hAnsi="Arial Black"/>
          <w:sz w:val="40"/>
          <w:szCs w:val="40"/>
        </w:rPr>
      </w:pPr>
    </w:p>
    <w:p w14:paraId="30CE3C1C" w14:textId="77777777" w:rsidR="009C7451" w:rsidRDefault="009C7451" w:rsidP="00F326E5">
      <w:pPr>
        <w:pStyle w:val="NoSpacing"/>
        <w:rPr>
          <w:rFonts w:ascii="Arial Black" w:hAnsi="Arial Black"/>
          <w:sz w:val="40"/>
          <w:szCs w:val="40"/>
        </w:rPr>
      </w:pPr>
    </w:p>
    <w:p w14:paraId="4F6B0655" w14:textId="77777777" w:rsidR="009C7451" w:rsidRDefault="009C7451" w:rsidP="00F326E5">
      <w:pPr>
        <w:pStyle w:val="NoSpacing"/>
        <w:rPr>
          <w:rFonts w:ascii="Arial Black" w:hAnsi="Arial Black"/>
          <w:sz w:val="40"/>
          <w:szCs w:val="40"/>
        </w:rPr>
      </w:pPr>
    </w:p>
    <w:p w14:paraId="17D19CA8" w14:textId="77777777" w:rsidR="009C7451" w:rsidRDefault="009C7451" w:rsidP="00F326E5">
      <w:pPr>
        <w:pStyle w:val="NoSpacing"/>
        <w:rPr>
          <w:rFonts w:ascii="Arial Black" w:hAnsi="Arial Black"/>
          <w:sz w:val="40"/>
          <w:szCs w:val="40"/>
        </w:rPr>
      </w:pPr>
    </w:p>
    <w:p w14:paraId="7154CCB4" w14:textId="77777777" w:rsidR="009C7451" w:rsidRDefault="009C7451" w:rsidP="00F326E5">
      <w:pPr>
        <w:pStyle w:val="NoSpacing"/>
        <w:rPr>
          <w:rFonts w:ascii="Arial Black" w:hAnsi="Arial Black"/>
          <w:sz w:val="40"/>
          <w:szCs w:val="40"/>
        </w:rPr>
      </w:pPr>
    </w:p>
    <w:p w14:paraId="2F56D66B" w14:textId="77777777" w:rsidR="009C7451" w:rsidRDefault="009C7451" w:rsidP="00F326E5">
      <w:pPr>
        <w:pStyle w:val="NoSpacing"/>
        <w:rPr>
          <w:rFonts w:ascii="Arial Black" w:hAnsi="Arial Black"/>
          <w:sz w:val="40"/>
          <w:szCs w:val="40"/>
        </w:rPr>
      </w:pPr>
    </w:p>
    <w:p w14:paraId="2E3BE4DA" w14:textId="77777777" w:rsidR="009C7451" w:rsidRDefault="009C7451" w:rsidP="00F326E5">
      <w:pPr>
        <w:pStyle w:val="NoSpacing"/>
        <w:rPr>
          <w:rFonts w:ascii="Arial Black" w:hAnsi="Arial Black"/>
          <w:sz w:val="40"/>
          <w:szCs w:val="40"/>
        </w:rPr>
      </w:pPr>
    </w:p>
    <w:p w14:paraId="5BC0EAAD" w14:textId="77777777" w:rsidR="009C7451" w:rsidRDefault="009C7451" w:rsidP="00F326E5">
      <w:pPr>
        <w:pStyle w:val="NoSpacing"/>
        <w:rPr>
          <w:rFonts w:ascii="Arial Black" w:hAnsi="Arial Black"/>
          <w:sz w:val="40"/>
          <w:szCs w:val="40"/>
        </w:rPr>
      </w:pPr>
    </w:p>
    <w:p w14:paraId="464DFFF2" w14:textId="77777777" w:rsidR="009C7451" w:rsidRDefault="009C7451" w:rsidP="00F326E5">
      <w:pPr>
        <w:pStyle w:val="NoSpacing"/>
        <w:rPr>
          <w:rFonts w:ascii="Arial Black" w:hAnsi="Arial Black"/>
          <w:sz w:val="40"/>
          <w:szCs w:val="40"/>
        </w:rPr>
      </w:pPr>
    </w:p>
    <w:p w14:paraId="51424D1A" w14:textId="77777777" w:rsidR="009C7451" w:rsidRDefault="009C7451" w:rsidP="00F326E5">
      <w:pPr>
        <w:pStyle w:val="NoSpacing"/>
        <w:rPr>
          <w:rFonts w:ascii="Arial Black" w:hAnsi="Arial Black"/>
          <w:sz w:val="40"/>
          <w:szCs w:val="40"/>
        </w:rPr>
      </w:pPr>
    </w:p>
    <w:p w14:paraId="202F3187" w14:textId="77777777" w:rsidR="009C7451" w:rsidRDefault="009C7451" w:rsidP="00F326E5">
      <w:pPr>
        <w:pStyle w:val="NoSpacing"/>
        <w:rPr>
          <w:rFonts w:ascii="Arial Black" w:hAnsi="Arial Black"/>
          <w:sz w:val="40"/>
          <w:szCs w:val="40"/>
        </w:rPr>
      </w:pPr>
    </w:p>
    <w:p w14:paraId="0934BA7C" w14:textId="77777777" w:rsidR="009C7451" w:rsidRDefault="009C7451" w:rsidP="00F326E5">
      <w:pPr>
        <w:pStyle w:val="NoSpacing"/>
        <w:rPr>
          <w:rFonts w:ascii="Arial Black" w:hAnsi="Arial Black"/>
          <w:sz w:val="40"/>
          <w:szCs w:val="40"/>
        </w:rPr>
      </w:pPr>
    </w:p>
    <w:p w14:paraId="0A0DFF86" w14:textId="77777777" w:rsidR="009C7451" w:rsidRDefault="009C7451" w:rsidP="00F326E5">
      <w:pPr>
        <w:pStyle w:val="NoSpacing"/>
        <w:rPr>
          <w:rFonts w:ascii="Arial Black" w:hAnsi="Arial Black"/>
          <w:sz w:val="40"/>
          <w:szCs w:val="40"/>
        </w:rPr>
      </w:pPr>
    </w:p>
    <w:p w14:paraId="51025726" w14:textId="77777777" w:rsidR="009C7451" w:rsidRDefault="009C7451" w:rsidP="00F326E5">
      <w:pPr>
        <w:pStyle w:val="NoSpacing"/>
        <w:rPr>
          <w:rFonts w:ascii="Arial Black" w:hAnsi="Arial Black"/>
          <w:sz w:val="40"/>
          <w:szCs w:val="40"/>
        </w:rPr>
      </w:pPr>
    </w:p>
    <w:p w14:paraId="6FA0D918" w14:textId="77777777" w:rsidR="009C7451" w:rsidRDefault="009C7451" w:rsidP="00F326E5">
      <w:pPr>
        <w:pStyle w:val="NoSpacing"/>
        <w:rPr>
          <w:rFonts w:ascii="Arial Black" w:hAnsi="Arial Black"/>
          <w:sz w:val="40"/>
          <w:szCs w:val="40"/>
        </w:rPr>
      </w:pPr>
    </w:p>
    <w:p w14:paraId="30BD25B6" w14:textId="77777777" w:rsidR="009C7451" w:rsidRDefault="009C7451" w:rsidP="00F326E5">
      <w:pPr>
        <w:pStyle w:val="NoSpacing"/>
        <w:rPr>
          <w:rFonts w:ascii="Arial Black" w:hAnsi="Arial Black"/>
          <w:sz w:val="40"/>
          <w:szCs w:val="40"/>
        </w:rPr>
      </w:pPr>
    </w:p>
    <w:p w14:paraId="6E045D46" w14:textId="77777777" w:rsidR="009C7451" w:rsidRDefault="009C7451" w:rsidP="00F326E5">
      <w:pPr>
        <w:pStyle w:val="NoSpacing"/>
        <w:rPr>
          <w:rFonts w:ascii="Arial Black" w:hAnsi="Arial Black"/>
          <w:sz w:val="40"/>
          <w:szCs w:val="40"/>
        </w:rPr>
      </w:pPr>
    </w:p>
    <w:p w14:paraId="68CDCF26" w14:textId="77777777" w:rsidR="009C7451" w:rsidRDefault="009C7451" w:rsidP="00F326E5">
      <w:pPr>
        <w:pStyle w:val="NoSpacing"/>
        <w:rPr>
          <w:rFonts w:ascii="Arial Black" w:hAnsi="Arial Black"/>
          <w:sz w:val="40"/>
          <w:szCs w:val="40"/>
        </w:rPr>
      </w:pPr>
    </w:p>
    <w:p w14:paraId="6388F114" w14:textId="77777777" w:rsidR="009C7451" w:rsidRDefault="009C7451" w:rsidP="00F326E5">
      <w:pPr>
        <w:pStyle w:val="NoSpacing"/>
        <w:rPr>
          <w:rFonts w:ascii="Arial Black" w:hAnsi="Arial Black"/>
          <w:sz w:val="40"/>
          <w:szCs w:val="40"/>
        </w:rPr>
      </w:pPr>
    </w:p>
    <w:p w14:paraId="266D0AB2" w14:textId="77777777" w:rsidR="00EC50D5" w:rsidRDefault="00EC50D5" w:rsidP="00F326E5">
      <w:pPr>
        <w:pStyle w:val="NoSpacing"/>
        <w:rPr>
          <w:rFonts w:ascii="Arial Black" w:hAnsi="Arial Black"/>
          <w:sz w:val="40"/>
          <w:szCs w:val="40"/>
        </w:rPr>
      </w:pPr>
    </w:p>
    <w:p w14:paraId="4F33019B" w14:textId="4F2A5789" w:rsidR="00F326E5" w:rsidRDefault="00F326E5" w:rsidP="00F326E5">
      <w:pPr>
        <w:pStyle w:val="NoSpacing"/>
        <w:rPr>
          <w:rFonts w:ascii="Arial Black" w:hAnsi="Arial Black"/>
          <w:sz w:val="40"/>
          <w:szCs w:val="40"/>
        </w:rPr>
      </w:pPr>
      <w:r w:rsidRPr="007732FA">
        <w:rPr>
          <w:rFonts w:ascii="Arial Black" w:hAnsi="Arial Black"/>
          <w:sz w:val="40"/>
          <w:szCs w:val="40"/>
        </w:rPr>
        <w:t>Chap. 10</w:t>
      </w:r>
      <w:r w:rsidRPr="007732FA">
        <w:rPr>
          <w:rFonts w:ascii="Arial Black" w:hAnsi="Arial Black"/>
          <w:sz w:val="40"/>
          <w:szCs w:val="40"/>
        </w:rPr>
        <w:tab/>
        <w:t>Family Medical Leave Act</w:t>
      </w:r>
      <w:r w:rsidR="00321766">
        <w:rPr>
          <w:rFonts w:ascii="Arial Black" w:hAnsi="Arial Black"/>
          <w:sz w:val="40"/>
          <w:szCs w:val="40"/>
        </w:rPr>
        <w:t xml:space="preserve"> </w:t>
      </w:r>
    </w:p>
    <w:p w14:paraId="1CDD0C90" w14:textId="77777777" w:rsidR="00097703" w:rsidRDefault="00097703" w:rsidP="00097703">
      <w:pPr>
        <w:rPr>
          <w:rFonts w:ascii="Arial Black" w:hAnsi="Arial Black"/>
          <w:b/>
          <w:sz w:val="28"/>
          <w:szCs w:val="28"/>
        </w:rPr>
      </w:pPr>
    </w:p>
    <w:p w14:paraId="681702F5" w14:textId="7732BA66" w:rsidR="00647EAC" w:rsidRPr="006D28DE" w:rsidRDefault="00647EAC" w:rsidP="00E9307E">
      <w:pPr>
        <w:rPr>
          <w:rFonts w:ascii="Times New Roman" w:hAnsi="Times New Roman"/>
          <w:bCs/>
          <w:sz w:val="24"/>
          <w:szCs w:val="24"/>
        </w:rPr>
      </w:pPr>
      <w:bookmarkStart w:id="371" w:name="_Hlk36108763"/>
      <w:r>
        <w:rPr>
          <w:rFonts w:ascii="Arial Black" w:hAnsi="Arial Black"/>
          <w:b/>
          <w:sz w:val="28"/>
          <w:szCs w:val="28"/>
        </w:rPr>
        <w:t>10-13</w:t>
      </w:r>
      <w:r w:rsidR="006D28DE">
        <w:rPr>
          <w:rFonts w:ascii="Arial Black" w:hAnsi="Arial Black"/>
          <w:b/>
          <w:sz w:val="28"/>
          <w:szCs w:val="28"/>
        </w:rPr>
        <w:t xml:space="preserve"> </w:t>
      </w:r>
      <w:r w:rsidR="006D28DE">
        <w:rPr>
          <w:rFonts w:ascii="Times New Roman" w:hAnsi="Times New Roman"/>
          <w:bCs/>
          <w:sz w:val="24"/>
          <w:szCs w:val="24"/>
        </w:rPr>
        <w:t>[also filed, Chap 9 -ADA ; Chap. 15 – Mental Health]</w:t>
      </w:r>
    </w:p>
    <w:p w14:paraId="54C7D6A8" w14:textId="77777777" w:rsidR="00647EAC" w:rsidRPr="00FC582A" w:rsidRDefault="00647EAC" w:rsidP="00647EAC">
      <w:pPr>
        <w:pStyle w:val="NoSpacing"/>
        <w:rPr>
          <w:rFonts w:ascii="Arial Black" w:hAnsi="Arial Black"/>
          <w:sz w:val="28"/>
          <w:szCs w:val="28"/>
        </w:rPr>
      </w:pPr>
      <w:r>
        <w:rPr>
          <w:rFonts w:ascii="Arial Black" w:hAnsi="Arial Black"/>
          <w:sz w:val="28"/>
          <w:szCs w:val="28"/>
        </w:rPr>
        <w:t>SC: MEDIC PTSD – DIDN’T INTERVIEW FOR BILLING JOB</w:t>
      </w:r>
    </w:p>
    <w:p w14:paraId="1182D283" w14:textId="77777777" w:rsidR="00647EAC" w:rsidRDefault="00647EAC" w:rsidP="00647EAC">
      <w:pPr>
        <w:pStyle w:val="NoSpacing"/>
        <w:ind w:left="720"/>
      </w:pPr>
    </w:p>
    <w:p w14:paraId="62D29925" w14:textId="77777777" w:rsidR="00647EAC" w:rsidRDefault="00647EAC" w:rsidP="00647EAC">
      <w:pPr>
        <w:pStyle w:val="NoSpacing"/>
      </w:pPr>
      <w:r>
        <w:t xml:space="preserve">On December 18, 2025, in </w:t>
      </w:r>
      <w:r w:rsidRPr="00AF68E6">
        <w:rPr>
          <w:u w:val="single"/>
        </w:rPr>
        <w:t>William D. Shugart v. Chester County</w:t>
      </w:r>
      <w:r>
        <w:t xml:space="preserve">, Senior U.S. District Court Judge Cameron McGowan Currie, </w:t>
      </w:r>
      <w:r w:rsidRPr="00AF68E6">
        <w:t>United States District Court, D. South Carolina, Rock Hill Division</w:t>
      </w:r>
      <w:r>
        <w:t xml:space="preserve">, granted defense motion for summary judgment; no proof of ADA discrimination or retaliation for taking FMLA leave.  Plaintiff was a Senior Medic with Chest County EMS, and on September 8, </w:t>
      </w:r>
      <w:proofErr w:type="gramStart"/>
      <w:r>
        <w:t>2021</w:t>
      </w:r>
      <w:proofErr w:type="gramEnd"/>
      <w:r>
        <w:t xml:space="preserve"> there was incident where a gun shot came from a house.  He sought treatment for PTSD and history of depression and went on 12-weeks of FMLA leave.  On January 1, </w:t>
      </w:r>
      <w:proofErr w:type="gramStart"/>
      <w:r>
        <w:t>2023</w:t>
      </w:r>
      <w:proofErr w:type="gramEnd"/>
      <w:r>
        <w:t xml:space="preserve"> he was terminated when he was medically cleared to return to work as a paramedic but did not return. His supervisor encouraged him to apply for billing position that opened with a recent retirement, but he cancelled the January 30 (1 pm) in-person interview the day </w:t>
      </w:r>
      <w:proofErr w:type="gramStart"/>
      <w:r>
        <w:t>prior, and</w:t>
      </w:r>
      <w:proofErr w:type="gramEnd"/>
      <w:r>
        <w:t xml:space="preserve"> did not respond to offer of ZOOM interview.  </w:t>
      </w:r>
      <w:hyperlink r:id="rId1705" w:history="1">
        <w:r w:rsidRPr="007B3445">
          <w:rPr>
            <w:rStyle w:val="Hyperlink"/>
          </w:rPr>
          <w:t>https://cases.justia.com/federal/district-courts/south-carolina/scdce/0:2024cv00826/288831/46/0.pdf</w:t>
        </w:r>
      </w:hyperlink>
      <w:r>
        <w:t xml:space="preserve"> </w:t>
      </w:r>
    </w:p>
    <w:p w14:paraId="444A0B10" w14:textId="77777777" w:rsidR="00647EAC" w:rsidRDefault="00647EAC" w:rsidP="00647EAC">
      <w:pPr>
        <w:pStyle w:val="NoSpacing"/>
        <w:rPr>
          <w:bCs/>
        </w:rPr>
      </w:pPr>
    </w:p>
    <w:p w14:paraId="679750DB" w14:textId="77777777" w:rsidR="00647EAC" w:rsidRDefault="00647EAC" w:rsidP="00647EAC">
      <w:pPr>
        <w:pStyle w:val="NoSpacing"/>
        <w:rPr>
          <w:bCs/>
        </w:rPr>
      </w:pPr>
      <w:r>
        <w:t xml:space="preserve">THE COURT HELD: </w:t>
      </w:r>
    </w:p>
    <w:p w14:paraId="3305DEEA" w14:textId="77777777" w:rsidR="00647EAC" w:rsidRDefault="00647EAC" w:rsidP="00647EAC">
      <w:pPr>
        <w:pStyle w:val="NoSpacing"/>
        <w:rPr>
          <w:bCs/>
        </w:rPr>
      </w:pPr>
    </w:p>
    <w:p w14:paraId="03458C6E" w14:textId="77777777" w:rsidR="00647EAC" w:rsidRDefault="00647EAC" w:rsidP="00647EAC">
      <w:pPr>
        <w:pStyle w:val="NoSpacing"/>
        <w:ind w:firstLine="720"/>
      </w:pPr>
      <w:r>
        <w:t>“Plaintiff was employed by Chester County in its Emergency Medical Services (‘EMS’)</w:t>
      </w:r>
    </w:p>
    <w:p w14:paraId="1E290E23" w14:textId="77777777" w:rsidR="00647EAC" w:rsidRDefault="00647EAC" w:rsidP="00647EAC">
      <w:pPr>
        <w:pStyle w:val="NoSpacing"/>
        <w:ind w:left="720"/>
      </w:pPr>
      <w:r>
        <w:t xml:space="preserve">department from May 2016 until January 2023….He was promoted to Senior Paramedic on December 4, 2021…. An essential function of the Senior Paramedic was operation of an ambulance. </w:t>
      </w:r>
    </w:p>
    <w:p w14:paraId="281014B5" w14:textId="77777777" w:rsidR="00647EAC" w:rsidRDefault="00647EAC" w:rsidP="00647EAC">
      <w:pPr>
        <w:pStyle w:val="NoSpacing"/>
        <w:ind w:left="720"/>
      </w:pPr>
    </w:p>
    <w:p w14:paraId="0BF732E2" w14:textId="77777777" w:rsidR="00647EAC" w:rsidRDefault="00647EAC" w:rsidP="00647EAC">
      <w:pPr>
        <w:pStyle w:val="NoSpacing"/>
        <w:ind w:left="720"/>
      </w:pPr>
      <w:r>
        <w:t>***</w:t>
      </w:r>
    </w:p>
    <w:p w14:paraId="2567B463" w14:textId="77777777" w:rsidR="00647EAC" w:rsidRDefault="00647EAC" w:rsidP="00647EAC">
      <w:pPr>
        <w:pStyle w:val="NoSpacing"/>
      </w:pPr>
    </w:p>
    <w:p w14:paraId="167FFADB" w14:textId="77777777" w:rsidR="00647EAC" w:rsidRDefault="00647EAC" w:rsidP="00647EAC">
      <w:pPr>
        <w:pStyle w:val="NoSpacing"/>
        <w:ind w:firstLine="720"/>
      </w:pPr>
      <w:r>
        <w:t xml:space="preserve">Plaintiff was </w:t>
      </w:r>
      <w:proofErr w:type="gramStart"/>
      <w:r>
        <w:t>provided</w:t>
      </w:r>
      <w:proofErr w:type="gramEnd"/>
      <w:r>
        <w:t xml:space="preserve"> the opportunity to apply and interview for the billing specialist</w:t>
      </w:r>
    </w:p>
    <w:p w14:paraId="46C76293" w14:textId="77777777" w:rsidR="00647EAC" w:rsidRDefault="00647EAC" w:rsidP="00647EAC">
      <w:pPr>
        <w:pStyle w:val="NoSpacing"/>
        <w:ind w:left="720"/>
      </w:pPr>
      <w:r>
        <w:t>position when it was posted, but cancelled the interview the day before, and did not respond to inquiries about another option for the interview. The job was filled by a person with finance or accounting experience. For the reasons above, the court finds summary judgment is appropriate for Defendant on Plaintiff’s claims of ADA discrimination and retaliation.</w:t>
      </w:r>
    </w:p>
    <w:p w14:paraId="6A1D7206" w14:textId="77777777" w:rsidR="00647EAC" w:rsidRDefault="00647EAC" w:rsidP="00647EAC">
      <w:pPr>
        <w:pStyle w:val="NoSpacing"/>
        <w:ind w:left="720"/>
      </w:pPr>
    </w:p>
    <w:p w14:paraId="06AC3B1B" w14:textId="77777777" w:rsidR="00647EAC" w:rsidRDefault="00647EAC" w:rsidP="00647EAC">
      <w:pPr>
        <w:pStyle w:val="NoSpacing"/>
        <w:ind w:left="720"/>
      </w:pPr>
      <w:r>
        <w:t>***</w:t>
      </w:r>
    </w:p>
    <w:p w14:paraId="18643601" w14:textId="77777777" w:rsidR="00647EAC" w:rsidRDefault="00647EAC" w:rsidP="00647EAC">
      <w:pPr>
        <w:pStyle w:val="NoSpacing"/>
      </w:pPr>
    </w:p>
    <w:p w14:paraId="57788ADF" w14:textId="77777777" w:rsidR="00647EAC" w:rsidRDefault="00647EAC" w:rsidP="00647EAC">
      <w:pPr>
        <w:pStyle w:val="NoSpacing"/>
        <w:ind w:firstLine="720"/>
      </w:pPr>
      <w:r>
        <w:t>To make out an FMLA interference claim, an employee must demonstrate he was entitled</w:t>
      </w:r>
    </w:p>
    <w:p w14:paraId="467463EE" w14:textId="77777777" w:rsidR="00647EAC" w:rsidRDefault="00647EAC" w:rsidP="00647EAC">
      <w:pPr>
        <w:pStyle w:val="NoSpacing"/>
        <w:ind w:left="720"/>
      </w:pPr>
      <w:r>
        <w:t xml:space="preserve">to an FMLA benefit, his employer interfered with the provision of that benefit, and the interference caused him harm. Adkins v. CSX Transp., Inc., 70 F.4th 785, 796 (4th Cir. 2023). The court agrees with the Magistrate Judge Defendant has produced evidence Plaintiff was provided his twelve-week statutorily mandated FMLA leave, his position was protected during that time, and there is no evidence his use of FMLA leave was a factor in his termination. Plaintiff has failed to refute this evidence. In fact, the record shows Defendant went out of its way to assist Plaintiff in obtaining the appropriate paperwork when Plaintiff indicated he was ready to come back to work, even though he indicated he would not be going back on an </w:t>
      </w:r>
      <w:proofErr w:type="gramStart"/>
      <w:r>
        <w:t>ambulance.”</w:t>
      </w:r>
      <w:proofErr w:type="gramEnd"/>
    </w:p>
    <w:p w14:paraId="7A2A6FE8" w14:textId="77777777" w:rsidR="00647EAC" w:rsidRDefault="00647EAC" w:rsidP="00647EAC">
      <w:pPr>
        <w:pStyle w:val="NoSpacing"/>
        <w:ind w:left="720"/>
      </w:pPr>
    </w:p>
    <w:p w14:paraId="49141E4D" w14:textId="77777777" w:rsidR="00647EAC" w:rsidRPr="00E35214" w:rsidRDefault="00647EAC" w:rsidP="00647EAC">
      <w:pPr>
        <w:pStyle w:val="NoSpacing"/>
        <w:rPr>
          <w:b/>
          <w:bCs/>
        </w:rPr>
      </w:pPr>
      <w:r>
        <w:rPr>
          <w:b/>
        </w:rPr>
        <w:t xml:space="preserve">Legal lesson learned:  Plaintiff’s supervisors went out of their way to assist the paramedic. </w:t>
      </w:r>
    </w:p>
    <w:p w14:paraId="23DB561A" w14:textId="77777777" w:rsidR="00647EAC" w:rsidRDefault="00647EAC" w:rsidP="00647EAC">
      <w:pPr>
        <w:pStyle w:val="NoSpacing"/>
      </w:pPr>
    </w:p>
    <w:p w14:paraId="1B9240AC" w14:textId="77777777" w:rsidR="00647EAC" w:rsidRDefault="00647EAC" w:rsidP="00E9307E">
      <w:pPr>
        <w:rPr>
          <w:rFonts w:ascii="Arial Black" w:hAnsi="Arial Black"/>
          <w:b/>
          <w:sz w:val="28"/>
          <w:szCs w:val="28"/>
        </w:rPr>
      </w:pPr>
    </w:p>
    <w:p w14:paraId="0E5DB805" w14:textId="77777777" w:rsidR="00647EAC" w:rsidRDefault="00647EAC" w:rsidP="00E9307E">
      <w:pPr>
        <w:rPr>
          <w:rFonts w:ascii="Arial Black" w:hAnsi="Arial Black"/>
          <w:b/>
          <w:sz w:val="28"/>
          <w:szCs w:val="28"/>
        </w:rPr>
      </w:pPr>
    </w:p>
    <w:p w14:paraId="3023BAC7" w14:textId="77777777" w:rsidR="00647EAC" w:rsidRDefault="00647EAC" w:rsidP="00E9307E">
      <w:pPr>
        <w:rPr>
          <w:rFonts w:ascii="Arial Black" w:hAnsi="Arial Black"/>
          <w:b/>
          <w:sz w:val="28"/>
          <w:szCs w:val="28"/>
        </w:rPr>
      </w:pPr>
    </w:p>
    <w:p w14:paraId="5CDCDC01" w14:textId="3C695662" w:rsidR="00113D38" w:rsidRDefault="00113D38" w:rsidP="00E9307E">
      <w:pPr>
        <w:rPr>
          <w:rFonts w:ascii="Arial Black" w:hAnsi="Arial Black"/>
          <w:b/>
          <w:sz w:val="28"/>
          <w:szCs w:val="28"/>
        </w:rPr>
      </w:pPr>
      <w:r>
        <w:rPr>
          <w:rFonts w:ascii="Arial Black" w:hAnsi="Arial Black"/>
          <w:b/>
          <w:sz w:val="28"/>
          <w:szCs w:val="28"/>
        </w:rPr>
        <w:t>10-1</w:t>
      </w:r>
      <w:r w:rsidR="00B13773">
        <w:rPr>
          <w:rFonts w:ascii="Arial Black" w:hAnsi="Arial Black"/>
          <w:b/>
          <w:sz w:val="28"/>
          <w:szCs w:val="28"/>
        </w:rPr>
        <w:t>2</w:t>
      </w:r>
    </w:p>
    <w:p w14:paraId="659BDF9E" w14:textId="32E82339" w:rsidR="00BD4978" w:rsidRPr="003C3EA4" w:rsidRDefault="00BD4978" w:rsidP="00BD4978">
      <w:pPr>
        <w:pStyle w:val="NoSpacing"/>
        <w:rPr>
          <w:rFonts w:ascii="Arial Black" w:hAnsi="Arial Black"/>
          <w:b/>
          <w:sz w:val="28"/>
          <w:szCs w:val="28"/>
        </w:rPr>
      </w:pPr>
      <w:r>
        <w:rPr>
          <w:rFonts w:ascii="Arial Black" w:hAnsi="Arial Black"/>
          <w:b/>
          <w:sz w:val="28"/>
          <w:szCs w:val="28"/>
        </w:rPr>
        <w:t>TN: NO FMLA VIOL – ALCOHOL</w:t>
      </w:r>
      <w:r w:rsidR="00656FDD">
        <w:rPr>
          <w:rFonts w:ascii="Arial Black" w:hAnsi="Arial Black"/>
          <w:b/>
          <w:sz w:val="28"/>
          <w:szCs w:val="28"/>
        </w:rPr>
        <w:t xml:space="preserve"> / </w:t>
      </w:r>
      <w:r w:rsidR="00A132BA">
        <w:rPr>
          <w:rFonts w:ascii="Arial Black" w:hAnsi="Arial Black"/>
          <w:b/>
          <w:sz w:val="28"/>
          <w:szCs w:val="28"/>
        </w:rPr>
        <w:t>MISSED RUN</w:t>
      </w:r>
      <w:r>
        <w:rPr>
          <w:rFonts w:ascii="Arial Black" w:hAnsi="Arial Black"/>
          <w:b/>
          <w:sz w:val="28"/>
          <w:szCs w:val="28"/>
        </w:rPr>
        <w:t xml:space="preserve"> - RESIGNED </w:t>
      </w:r>
    </w:p>
    <w:p w14:paraId="27DEA510" w14:textId="77777777" w:rsidR="00BD4978" w:rsidRDefault="00BD4978" w:rsidP="00BD4978">
      <w:pPr>
        <w:pStyle w:val="NoSpacing"/>
        <w:rPr>
          <w:b/>
        </w:rPr>
      </w:pPr>
    </w:p>
    <w:p w14:paraId="10BB7CCF" w14:textId="139135A3" w:rsidR="001C33D3" w:rsidRPr="001C33D3" w:rsidRDefault="001C33D3" w:rsidP="001C33D3">
      <w:pPr>
        <w:pStyle w:val="NoSpacing"/>
        <w:rPr>
          <w:rFonts w:ascii="Times New Roman" w:hAnsi="Times New Roman"/>
          <w:bCs/>
          <w:sz w:val="24"/>
          <w:szCs w:val="24"/>
        </w:rPr>
      </w:pPr>
      <w:r w:rsidRPr="001C33D3">
        <w:rPr>
          <w:rFonts w:ascii="Times New Roman" w:hAnsi="Times New Roman"/>
          <w:sz w:val="24"/>
          <w:szCs w:val="24"/>
        </w:rPr>
        <w:t xml:space="preserve">On Dec. 9, 2024, in </w:t>
      </w:r>
      <w:r w:rsidRPr="001C33D3">
        <w:rPr>
          <w:rFonts w:ascii="Times New Roman" w:hAnsi="Times New Roman"/>
          <w:sz w:val="24"/>
          <w:szCs w:val="24"/>
          <w:u w:val="single"/>
        </w:rPr>
        <w:t>Justin Gilbert v. City of Newport</w:t>
      </w:r>
      <w:r w:rsidRPr="001C33D3">
        <w:rPr>
          <w:rFonts w:ascii="Times New Roman" w:hAnsi="Times New Roman"/>
          <w:sz w:val="24"/>
          <w:szCs w:val="24"/>
        </w:rPr>
        <w:t>, United States District  Court Judge Thomas A. Varlan, U.S. District Court for Eastern District of Tennessee, held that the firefighter’s lawsuit is dismissed.  On June 11, 2021, plaintiff removed items belonging to Eric Herndon, a NFD battalion chief from a workplace locker and placed them on the tailboard of a fire truck; he received a written reprimand.   He took FMLA for alcohol treatment</w:t>
      </w:r>
      <w:r w:rsidR="00A132BA">
        <w:rPr>
          <w:rFonts w:ascii="Times New Roman" w:hAnsi="Times New Roman"/>
          <w:sz w:val="24"/>
          <w:szCs w:val="24"/>
        </w:rPr>
        <w:t xml:space="preserve"> </w:t>
      </w:r>
      <w:r w:rsidRPr="001C33D3">
        <w:rPr>
          <w:rFonts w:ascii="Times New Roman" w:hAnsi="Times New Roman"/>
          <w:sz w:val="24"/>
          <w:szCs w:val="24"/>
        </w:rPr>
        <w:t xml:space="preserve">and then returned to duty. On September 21, 2021, NFD received a call for a structure fire while plaintiff was experiencing alcohol withdrawal symptoms, </w:t>
      </w:r>
      <w:proofErr w:type="gramStart"/>
      <w:r w:rsidRPr="001C33D3">
        <w:rPr>
          <w:rFonts w:ascii="Times New Roman" w:hAnsi="Times New Roman"/>
          <w:sz w:val="24"/>
          <w:szCs w:val="24"/>
        </w:rPr>
        <w:t>plaintiff</w:t>
      </w:r>
      <w:proofErr w:type="gramEnd"/>
      <w:r w:rsidRPr="001C33D3">
        <w:rPr>
          <w:rFonts w:ascii="Times New Roman" w:hAnsi="Times New Roman"/>
          <w:sz w:val="24"/>
          <w:szCs w:val="24"/>
        </w:rPr>
        <w:t xml:space="preserve"> missed the fire truck pulling out of the station. He drove a secondary truck to the scene of the fire where he confronted a coworker, using aggressive and demeaning language.  </w:t>
      </w:r>
      <w:hyperlink r:id="rId1706" w:history="1">
        <w:r w:rsidRPr="001C33D3">
          <w:rPr>
            <w:rStyle w:val="Hyperlink"/>
            <w:rFonts w:ascii="Times New Roman" w:hAnsi="Times New Roman"/>
            <w:sz w:val="24"/>
            <w:szCs w:val="24"/>
          </w:rPr>
          <w:t>https://casetext.com/case/gilbert-v-city-of-newport</w:t>
        </w:r>
      </w:hyperlink>
      <w:r w:rsidRPr="001C33D3">
        <w:rPr>
          <w:rFonts w:ascii="Times New Roman" w:hAnsi="Times New Roman"/>
          <w:sz w:val="24"/>
          <w:szCs w:val="24"/>
        </w:rPr>
        <w:t xml:space="preserve"> </w:t>
      </w:r>
    </w:p>
    <w:p w14:paraId="007E2B4F" w14:textId="77777777" w:rsidR="001C33D3" w:rsidRPr="001C33D3" w:rsidRDefault="001C33D3" w:rsidP="00BD4978">
      <w:pPr>
        <w:pStyle w:val="NoSpacing"/>
        <w:rPr>
          <w:rFonts w:ascii="Times New Roman" w:hAnsi="Times New Roman"/>
          <w:sz w:val="24"/>
          <w:szCs w:val="24"/>
        </w:rPr>
      </w:pPr>
    </w:p>
    <w:p w14:paraId="236F2989" w14:textId="5A909EB0" w:rsidR="00BD4978" w:rsidRPr="00BD4978" w:rsidRDefault="00BD4978" w:rsidP="00BD4978">
      <w:pPr>
        <w:pStyle w:val="NoSpacing"/>
        <w:rPr>
          <w:rFonts w:ascii="Times New Roman" w:hAnsi="Times New Roman"/>
          <w:sz w:val="24"/>
          <w:szCs w:val="24"/>
        </w:rPr>
      </w:pPr>
      <w:r w:rsidRPr="00BD4978">
        <w:rPr>
          <w:rFonts w:ascii="Times New Roman" w:hAnsi="Times New Roman"/>
          <w:sz w:val="24"/>
          <w:szCs w:val="24"/>
        </w:rPr>
        <w:t xml:space="preserve">The Court wrote:  </w:t>
      </w:r>
    </w:p>
    <w:p w14:paraId="7A99349F" w14:textId="77777777" w:rsidR="00BD4978" w:rsidRPr="00BD4978" w:rsidRDefault="00BD4978" w:rsidP="00BD4978">
      <w:pPr>
        <w:pStyle w:val="NoSpacing"/>
        <w:rPr>
          <w:rFonts w:ascii="Times New Roman" w:hAnsi="Times New Roman"/>
          <w:sz w:val="24"/>
          <w:szCs w:val="24"/>
        </w:rPr>
      </w:pPr>
    </w:p>
    <w:p w14:paraId="5824AFBC" w14:textId="7B1F6515" w:rsidR="00113D38" w:rsidRPr="00BD4978" w:rsidRDefault="00BD4978" w:rsidP="00BD4978">
      <w:pPr>
        <w:ind w:left="720"/>
        <w:rPr>
          <w:rFonts w:ascii="Times New Roman" w:hAnsi="Times New Roman"/>
          <w:b/>
          <w:sz w:val="24"/>
          <w:szCs w:val="24"/>
        </w:rPr>
      </w:pPr>
      <w:r w:rsidRPr="00BD4978">
        <w:rPr>
          <w:rFonts w:ascii="Times New Roman" w:hAnsi="Times New Roman"/>
          <w:sz w:val="24"/>
          <w:szCs w:val="24"/>
        </w:rPr>
        <w:t>“Neither of plaintiff's FMLA theories survive summary judgment. Assuming without deciding that plaintiff could prove that he was constructively discharged (</w:t>
      </w:r>
      <w:r w:rsidRPr="00BD4978">
        <w:rPr>
          <w:rFonts w:ascii="Times New Roman" w:hAnsi="Times New Roman"/>
          <w:i/>
          <w:iCs/>
          <w:sz w:val="24"/>
          <w:szCs w:val="24"/>
        </w:rPr>
        <w:t xml:space="preserve">see </w:t>
      </w:r>
      <w:proofErr w:type="gramStart"/>
      <w:r w:rsidRPr="00BD4978">
        <w:rPr>
          <w:rFonts w:ascii="Times New Roman" w:hAnsi="Times New Roman"/>
          <w:i/>
          <w:iCs/>
          <w:sz w:val="24"/>
          <w:szCs w:val="24"/>
        </w:rPr>
        <w:t>supra</w:t>
      </w:r>
      <w:r w:rsidRPr="00BD4978">
        <w:rPr>
          <w:rFonts w:ascii="Times New Roman" w:hAnsi="Times New Roman"/>
          <w:sz w:val="24"/>
          <w:szCs w:val="24"/>
        </w:rPr>
        <w:t xml:space="preserve"> Section III</w:t>
      </w:r>
      <w:proofErr w:type="gramEnd"/>
      <w:r w:rsidRPr="00BD4978">
        <w:rPr>
          <w:rFonts w:ascii="Times New Roman" w:hAnsi="Times New Roman"/>
          <w:sz w:val="24"/>
          <w:szCs w:val="24"/>
        </w:rPr>
        <w:t xml:space="preserve">(a)(1)), plaintiff's FMLA interference claim fails for the same reason as his ADA accommodation claim: the leave at issue was requested on September 14, 2021, after his terminable conduct. Therefore, defendant was not obligated to provide leave to an employee who was no longer deemed eligible for his position.”  </w:t>
      </w:r>
    </w:p>
    <w:p w14:paraId="3FF4194C" w14:textId="77777777" w:rsidR="00EB30E7" w:rsidRPr="00EB30E7" w:rsidRDefault="00EB30E7" w:rsidP="00EB30E7">
      <w:pPr>
        <w:pStyle w:val="NoSpacing"/>
        <w:rPr>
          <w:rFonts w:ascii="Times New Roman" w:hAnsi="Times New Roman"/>
          <w:bCs/>
          <w:sz w:val="24"/>
          <w:szCs w:val="24"/>
        </w:rPr>
      </w:pPr>
      <w:r w:rsidRPr="00EB30E7">
        <w:rPr>
          <w:rFonts w:ascii="Times New Roman" w:hAnsi="Times New Roman"/>
          <w:sz w:val="24"/>
          <w:szCs w:val="24"/>
        </w:rPr>
        <w:t xml:space="preserve">HOLDING: </w:t>
      </w:r>
    </w:p>
    <w:p w14:paraId="127B3F1F" w14:textId="77777777" w:rsidR="00EB30E7" w:rsidRPr="00EB30E7" w:rsidRDefault="00EB30E7" w:rsidP="00EB30E7">
      <w:pPr>
        <w:pStyle w:val="NoSpacing"/>
        <w:rPr>
          <w:rFonts w:ascii="Times New Roman" w:hAnsi="Times New Roman"/>
          <w:bCs/>
          <w:sz w:val="24"/>
          <w:szCs w:val="24"/>
        </w:rPr>
      </w:pPr>
    </w:p>
    <w:p w14:paraId="1D3138D1" w14:textId="77777777" w:rsidR="00EB30E7" w:rsidRPr="00EB30E7" w:rsidRDefault="00EB30E7" w:rsidP="00EB30E7">
      <w:pPr>
        <w:pStyle w:val="NoSpacing"/>
        <w:ind w:left="720"/>
        <w:rPr>
          <w:rFonts w:ascii="Times New Roman" w:hAnsi="Times New Roman"/>
          <w:bCs/>
          <w:sz w:val="24"/>
          <w:szCs w:val="24"/>
        </w:rPr>
      </w:pPr>
      <w:r w:rsidRPr="00EB30E7">
        <w:rPr>
          <w:rFonts w:ascii="Times New Roman" w:hAnsi="Times New Roman"/>
          <w:sz w:val="24"/>
          <w:szCs w:val="24"/>
        </w:rPr>
        <w:t>“After carefully reviewing the parties' evidence, the Court finds that while plaintiff has established a prima facie case of discriminatory termination in violation of the ADA, no reasonable jury could find that defendant's cited basis for plaintiff's termination was pretextual.</w:t>
      </w:r>
    </w:p>
    <w:p w14:paraId="045D7861" w14:textId="77777777" w:rsidR="00EB30E7" w:rsidRPr="00EB30E7" w:rsidRDefault="00EB30E7" w:rsidP="00EB30E7">
      <w:pPr>
        <w:pStyle w:val="NoSpacing"/>
        <w:ind w:left="720"/>
        <w:rPr>
          <w:rFonts w:ascii="Times New Roman" w:hAnsi="Times New Roman"/>
          <w:bCs/>
          <w:sz w:val="24"/>
          <w:szCs w:val="24"/>
        </w:rPr>
      </w:pPr>
    </w:p>
    <w:p w14:paraId="10DFDB89" w14:textId="77777777" w:rsidR="00EB30E7" w:rsidRPr="00EB30E7" w:rsidRDefault="00EB30E7" w:rsidP="00EB30E7">
      <w:pPr>
        <w:pStyle w:val="NoSpacing"/>
        <w:ind w:left="720"/>
        <w:rPr>
          <w:rFonts w:ascii="Times New Roman" w:hAnsi="Times New Roman"/>
          <w:bCs/>
          <w:sz w:val="24"/>
          <w:szCs w:val="24"/>
        </w:rPr>
      </w:pPr>
      <w:r w:rsidRPr="00EB30E7">
        <w:rPr>
          <w:rFonts w:ascii="Times New Roman" w:hAnsi="Times New Roman"/>
          <w:sz w:val="24"/>
          <w:szCs w:val="24"/>
        </w:rPr>
        <w:t>***</w:t>
      </w:r>
    </w:p>
    <w:p w14:paraId="76F5D661" w14:textId="77777777" w:rsidR="00EB30E7" w:rsidRPr="00EB30E7" w:rsidRDefault="00EB30E7" w:rsidP="00EB30E7">
      <w:pPr>
        <w:pStyle w:val="NoSpacing"/>
        <w:ind w:left="720"/>
        <w:rPr>
          <w:rFonts w:ascii="Times New Roman" w:hAnsi="Times New Roman"/>
          <w:bCs/>
          <w:sz w:val="24"/>
          <w:szCs w:val="24"/>
        </w:rPr>
      </w:pPr>
      <w:r w:rsidRPr="00EB30E7">
        <w:rPr>
          <w:rFonts w:ascii="Times New Roman" w:hAnsi="Times New Roman"/>
          <w:sz w:val="24"/>
          <w:szCs w:val="24"/>
        </w:rPr>
        <w:t xml:space="preserve">If anything, the timing of these texts undermines plaintiff's position because they show the difficulty his misconduct caused for co-workers who, at that time, had no knowledge of his disabilities. And plaintiff does not dispute that he engaged in misconduct that led to Shelton's recommendation that he be terminated; accordingly, there is no dispute of material fact as to NFD's legitimate non-discriminatory basis for plaintiff's termination. Having already conceded the first method for rebutting defendant's justification under </w:t>
      </w:r>
      <w:r w:rsidRPr="00EB30E7">
        <w:rPr>
          <w:rFonts w:ascii="Times New Roman" w:hAnsi="Times New Roman"/>
          <w:i/>
          <w:iCs/>
          <w:sz w:val="24"/>
          <w:szCs w:val="24"/>
        </w:rPr>
        <w:t>Kocsis</w:t>
      </w:r>
      <w:r w:rsidRPr="00EB30E7">
        <w:rPr>
          <w:rFonts w:ascii="Times New Roman" w:hAnsi="Times New Roman"/>
          <w:sz w:val="24"/>
          <w:szCs w:val="24"/>
        </w:rPr>
        <w:t>, plaintiff has not presented evidence to create a dispute of fact as to whether defendant's ‘proffered reasons did not actually motivate the action; or [] that they were insufficient to motivate the action.</w:t>
      </w:r>
      <w:hyperlink r:id="rId1707" w:anchor="p883" w:history="1">
        <w:r w:rsidRPr="00EB30E7">
          <w:rPr>
            <w:rStyle w:val="Hyperlink"/>
            <w:rFonts w:ascii="Times New Roman" w:hAnsi="Times New Roman"/>
            <w:sz w:val="24"/>
            <w:szCs w:val="24"/>
          </w:rPr>
          <w:t>97 F.3d at 883</w:t>
        </w:r>
      </w:hyperlink>
      <w:r w:rsidRPr="00EB30E7">
        <w:rPr>
          <w:rFonts w:ascii="Times New Roman" w:hAnsi="Times New Roman"/>
          <w:sz w:val="24"/>
          <w:szCs w:val="24"/>
        </w:rPr>
        <w:t>.”</w:t>
      </w:r>
    </w:p>
    <w:p w14:paraId="502E4F9B" w14:textId="77777777" w:rsidR="00EB30E7" w:rsidRPr="00EB30E7" w:rsidRDefault="00EB30E7" w:rsidP="00EB30E7">
      <w:pPr>
        <w:pStyle w:val="NoSpacing"/>
        <w:rPr>
          <w:rFonts w:ascii="Times New Roman" w:hAnsi="Times New Roman"/>
          <w:b/>
          <w:sz w:val="24"/>
          <w:szCs w:val="24"/>
        </w:rPr>
      </w:pPr>
    </w:p>
    <w:p w14:paraId="1BB0DDA1" w14:textId="77777777" w:rsidR="00EB30E7" w:rsidRPr="00EB30E7" w:rsidRDefault="00EB30E7" w:rsidP="00EB30E7">
      <w:pPr>
        <w:pStyle w:val="NoSpacing"/>
        <w:rPr>
          <w:rFonts w:ascii="Times New Roman" w:hAnsi="Times New Roman"/>
          <w:b/>
          <w:sz w:val="24"/>
          <w:szCs w:val="24"/>
        </w:rPr>
      </w:pPr>
      <w:r w:rsidRPr="00EB30E7">
        <w:rPr>
          <w:rFonts w:ascii="Times New Roman" w:hAnsi="Times New Roman"/>
          <w:b/>
          <w:sz w:val="24"/>
          <w:szCs w:val="24"/>
        </w:rPr>
        <w:t xml:space="preserve">Legal Lesson Learned: Employer has no obligation to offer additional FMLA to an employee facing termination. </w:t>
      </w:r>
    </w:p>
    <w:p w14:paraId="6B3327AD" w14:textId="77777777" w:rsidR="00EB30E7" w:rsidRPr="00EB30E7" w:rsidRDefault="00EB30E7" w:rsidP="00EB30E7">
      <w:pPr>
        <w:pStyle w:val="NoSpacing"/>
        <w:rPr>
          <w:rFonts w:ascii="Times New Roman" w:hAnsi="Times New Roman"/>
          <w:bCs/>
          <w:sz w:val="24"/>
          <w:szCs w:val="24"/>
        </w:rPr>
      </w:pPr>
    </w:p>
    <w:p w14:paraId="7B03BD24" w14:textId="77777777" w:rsidR="00113D38" w:rsidRPr="00EB30E7" w:rsidRDefault="00113D38" w:rsidP="00E9307E">
      <w:pPr>
        <w:rPr>
          <w:rFonts w:ascii="Times New Roman" w:hAnsi="Times New Roman"/>
          <w:b/>
          <w:sz w:val="24"/>
          <w:szCs w:val="24"/>
        </w:rPr>
      </w:pPr>
    </w:p>
    <w:p w14:paraId="0878E3AE" w14:textId="77777777" w:rsidR="00113D38" w:rsidRDefault="00113D38" w:rsidP="00E9307E">
      <w:pPr>
        <w:rPr>
          <w:rFonts w:ascii="Arial Black" w:hAnsi="Arial Black"/>
          <w:b/>
          <w:sz w:val="28"/>
          <w:szCs w:val="28"/>
        </w:rPr>
      </w:pPr>
    </w:p>
    <w:p w14:paraId="46845826" w14:textId="2BDC65CB" w:rsidR="006A13EA" w:rsidRDefault="006A13EA" w:rsidP="00E9307E">
      <w:pPr>
        <w:rPr>
          <w:rFonts w:ascii="Arial Black" w:hAnsi="Arial Black"/>
          <w:b/>
          <w:sz w:val="28"/>
          <w:szCs w:val="28"/>
        </w:rPr>
      </w:pPr>
      <w:r>
        <w:rPr>
          <w:rFonts w:ascii="Arial Black" w:hAnsi="Arial Black"/>
          <w:b/>
          <w:sz w:val="28"/>
          <w:szCs w:val="28"/>
        </w:rPr>
        <w:t>10-1</w:t>
      </w:r>
      <w:r w:rsidR="00B13773">
        <w:rPr>
          <w:rFonts w:ascii="Arial Black" w:hAnsi="Arial Black"/>
          <w:b/>
          <w:sz w:val="28"/>
          <w:szCs w:val="28"/>
        </w:rPr>
        <w:t>1</w:t>
      </w:r>
    </w:p>
    <w:p w14:paraId="6DE23C0B" w14:textId="20209B42" w:rsidR="006A13EA" w:rsidRPr="00A708BF" w:rsidRDefault="006A13EA" w:rsidP="006A13EA">
      <w:pPr>
        <w:pStyle w:val="NoSpacing"/>
        <w:rPr>
          <w:rFonts w:ascii="Arial Black" w:hAnsi="Arial Black"/>
          <w:sz w:val="28"/>
          <w:szCs w:val="28"/>
        </w:rPr>
      </w:pPr>
      <w:r>
        <w:rPr>
          <w:rFonts w:ascii="Arial Black" w:hAnsi="Arial Black"/>
          <w:sz w:val="28"/>
          <w:szCs w:val="28"/>
        </w:rPr>
        <w:t>CT: MEDIC SUPERVISOR – BACK INJURY –MISSED WORK - FIRED</w:t>
      </w:r>
    </w:p>
    <w:p w14:paraId="1B267619" w14:textId="77777777" w:rsidR="006A13EA" w:rsidRDefault="006A13EA" w:rsidP="006A13EA">
      <w:pPr>
        <w:pStyle w:val="NoSpacing"/>
        <w:rPr>
          <w:rFonts w:ascii="Times New Roman" w:hAnsi="Times New Roman"/>
          <w:sz w:val="24"/>
          <w:szCs w:val="24"/>
        </w:rPr>
      </w:pPr>
    </w:p>
    <w:p w14:paraId="2D8D598D" w14:textId="33535CEC" w:rsidR="006A13EA" w:rsidRDefault="006A13EA" w:rsidP="006A13EA">
      <w:pPr>
        <w:pStyle w:val="NoSpacing"/>
        <w:rPr>
          <w:rFonts w:ascii="Times New Roman" w:hAnsi="Times New Roman"/>
          <w:sz w:val="24"/>
          <w:szCs w:val="24"/>
        </w:rPr>
      </w:pPr>
      <w:r>
        <w:rPr>
          <w:rFonts w:ascii="Times New Roman" w:hAnsi="Times New Roman"/>
          <w:sz w:val="24"/>
          <w:szCs w:val="24"/>
        </w:rPr>
        <w:t xml:space="preserve">On Feb. 23, 2024, in </w:t>
      </w:r>
      <w:r w:rsidRPr="00722030">
        <w:rPr>
          <w:rFonts w:ascii="Times New Roman" w:hAnsi="Times New Roman"/>
          <w:sz w:val="24"/>
          <w:szCs w:val="24"/>
          <w:u w:val="single"/>
        </w:rPr>
        <w:t>Robert Larose v. American Medical Response of Connecticut</w:t>
      </w:r>
      <w:r>
        <w:rPr>
          <w:rFonts w:ascii="Times New Roman" w:hAnsi="Times New Roman"/>
          <w:sz w:val="24"/>
          <w:szCs w:val="24"/>
        </w:rPr>
        <w:t xml:space="preserve">, United States District Court Judge Vernon D. Oliver, U.S. District Court for District of Connecticut, granted the defense motion for summary judgment on ADA and FMLA claims.  After numerous leaves of absence, he returned to work as part-time per diem </w:t>
      </w:r>
      <w:proofErr w:type="gramStart"/>
      <w:r>
        <w:rPr>
          <w:rFonts w:ascii="Times New Roman" w:hAnsi="Times New Roman"/>
          <w:sz w:val="24"/>
          <w:szCs w:val="24"/>
        </w:rPr>
        <w:t>medic, but</w:t>
      </w:r>
      <w:proofErr w:type="gramEnd"/>
      <w:r>
        <w:rPr>
          <w:rFonts w:ascii="Times New Roman" w:hAnsi="Times New Roman"/>
          <w:sz w:val="24"/>
          <w:szCs w:val="24"/>
        </w:rPr>
        <w:t xml:space="preserve"> failed to work the required one shift per week. </w:t>
      </w:r>
      <w:r w:rsidR="00AE2AF4">
        <w:rPr>
          <w:rFonts w:ascii="Times New Roman" w:hAnsi="Times New Roman"/>
          <w:sz w:val="24"/>
          <w:szCs w:val="24"/>
        </w:rPr>
        <w:t xml:space="preserve"> </w:t>
      </w:r>
      <w:hyperlink r:id="rId1708" w:history="1">
        <w:r w:rsidR="00AE2AF4" w:rsidRPr="007E7996">
          <w:rPr>
            <w:rStyle w:val="Hyperlink"/>
            <w:rFonts w:ascii="Times New Roman" w:hAnsi="Times New Roman"/>
            <w:sz w:val="24"/>
            <w:szCs w:val="24"/>
          </w:rPr>
          <w:t>https://caselaw.findlaw.com/court/us-dis-crt-d-con/115860244.html</w:t>
        </w:r>
      </w:hyperlink>
      <w:r w:rsidR="00AE2AF4">
        <w:t xml:space="preserve"> </w:t>
      </w:r>
    </w:p>
    <w:p w14:paraId="380F49E5" w14:textId="77777777" w:rsidR="003956F7" w:rsidRDefault="003956F7" w:rsidP="003956F7">
      <w:pPr>
        <w:pStyle w:val="NoSpacing"/>
        <w:rPr>
          <w:rFonts w:ascii="Times New Roman" w:hAnsi="Times New Roman"/>
          <w:sz w:val="24"/>
          <w:szCs w:val="24"/>
          <w:shd w:val="clear" w:color="auto" w:fill="FFFFFF"/>
        </w:rPr>
      </w:pPr>
    </w:p>
    <w:p w14:paraId="5AF4B9A9" w14:textId="46B8BBF4"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1A34141F" w14:textId="77777777" w:rsidR="003956F7" w:rsidRDefault="003956F7" w:rsidP="006A13EA">
      <w:pPr>
        <w:pStyle w:val="NoSpacing"/>
        <w:rPr>
          <w:rFonts w:ascii="Times New Roman" w:hAnsi="Times New Roman"/>
          <w:sz w:val="24"/>
          <w:szCs w:val="24"/>
        </w:rPr>
      </w:pPr>
    </w:p>
    <w:p w14:paraId="04F50309" w14:textId="77777777" w:rsidR="006A13EA" w:rsidRDefault="006A13EA" w:rsidP="006A13EA">
      <w:pPr>
        <w:ind w:left="720"/>
        <w:rPr>
          <w:rFonts w:ascii="Times New Roman" w:hAnsi="Times New Roman"/>
          <w:sz w:val="24"/>
          <w:szCs w:val="24"/>
        </w:rPr>
      </w:pPr>
      <w:r>
        <w:rPr>
          <w:rFonts w:ascii="Times New Roman" w:hAnsi="Times New Roman"/>
          <w:sz w:val="24"/>
          <w:szCs w:val="24"/>
        </w:rPr>
        <w:t>“</w:t>
      </w:r>
      <w:r w:rsidRPr="002D3623">
        <w:rPr>
          <w:rFonts w:ascii="Times New Roman" w:hAnsi="Times New Roman"/>
          <w:sz w:val="24"/>
          <w:szCs w:val="24"/>
        </w:rPr>
        <w:t xml:space="preserve">Here, Plaintiff alleges that after his shoulder injury, </w:t>
      </w:r>
      <w:r>
        <w:rPr>
          <w:rFonts w:ascii="Times New Roman" w:hAnsi="Times New Roman"/>
          <w:sz w:val="24"/>
          <w:szCs w:val="24"/>
        </w:rPr>
        <w:t>‘</w:t>
      </w:r>
      <w:r w:rsidRPr="002D3623">
        <w:rPr>
          <w:rFonts w:ascii="Times New Roman" w:hAnsi="Times New Roman"/>
          <w:sz w:val="24"/>
          <w:szCs w:val="24"/>
        </w:rPr>
        <w:t>the medical restriction that was preventing him from returning to work was that his doctor did not want him to do any heavy lifting.</w:t>
      </w:r>
      <w:r>
        <w:rPr>
          <w:rFonts w:ascii="Times New Roman" w:hAnsi="Times New Roman"/>
          <w:sz w:val="24"/>
          <w:szCs w:val="24"/>
        </w:rPr>
        <w:t>’</w:t>
      </w:r>
      <w:r w:rsidRPr="002D3623">
        <w:rPr>
          <w:rFonts w:ascii="Times New Roman" w:hAnsi="Times New Roman"/>
          <w:sz w:val="24"/>
          <w:szCs w:val="24"/>
        </w:rPr>
        <w:t xml:space="preserve"> He further asserts that </w:t>
      </w:r>
      <w:r>
        <w:rPr>
          <w:rFonts w:ascii="Times New Roman" w:hAnsi="Times New Roman"/>
          <w:sz w:val="24"/>
          <w:szCs w:val="24"/>
        </w:rPr>
        <w:t>‘</w:t>
      </w:r>
      <w:r w:rsidRPr="002D3623">
        <w:rPr>
          <w:rFonts w:ascii="Times New Roman" w:hAnsi="Times New Roman"/>
          <w:sz w:val="24"/>
          <w:szCs w:val="24"/>
        </w:rPr>
        <w:t>his injury caused [him] to be substantially limited in both the major life activities of ‘lifting’ and ‘working,’ thereby establishing that he was, at the time, a disabled person.</w:t>
      </w:r>
      <w:r>
        <w:rPr>
          <w:rFonts w:ascii="Times New Roman" w:hAnsi="Times New Roman"/>
          <w:sz w:val="24"/>
          <w:szCs w:val="24"/>
        </w:rPr>
        <w:t>’</w:t>
      </w:r>
      <w:r w:rsidRPr="002D3623">
        <w:rPr>
          <w:rFonts w:ascii="Times New Roman" w:hAnsi="Times New Roman"/>
          <w:sz w:val="24"/>
          <w:szCs w:val="24"/>
        </w:rPr>
        <w:t xml:space="preserve"> Plaintiff provides absolutely no medical records, evidence, or other information to support his claim that his neck/shoulder injury caused him to be substantially limited in the major life activities of lifting and working.</w:t>
      </w:r>
    </w:p>
    <w:p w14:paraId="46821EBA" w14:textId="77777777" w:rsidR="006A13EA" w:rsidRDefault="006A13EA" w:rsidP="006A13EA">
      <w:pPr>
        <w:ind w:left="720"/>
        <w:rPr>
          <w:rFonts w:ascii="Times New Roman" w:hAnsi="Times New Roman"/>
          <w:sz w:val="24"/>
          <w:szCs w:val="24"/>
        </w:rPr>
      </w:pPr>
      <w:r>
        <w:rPr>
          <w:rFonts w:ascii="Times New Roman" w:hAnsi="Times New Roman"/>
          <w:sz w:val="24"/>
          <w:szCs w:val="24"/>
        </w:rPr>
        <w:t>***</w:t>
      </w:r>
    </w:p>
    <w:p w14:paraId="08E190BA" w14:textId="77777777" w:rsidR="006A13EA" w:rsidRPr="004948B6" w:rsidRDefault="006A13EA" w:rsidP="006A13EA">
      <w:pPr>
        <w:ind w:left="720"/>
        <w:rPr>
          <w:rFonts w:ascii="Times New Roman" w:hAnsi="Times New Roman"/>
          <w:sz w:val="24"/>
          <w:szCs w:val="24"/>
        </w:rPr>
      </w:pPr>
      <w:r w:rsidRPr="004948B6">
        <w:rPr>
          <w:rFonts w:ascii="Times New Roman" w:hAnsi="Times New Roman"/>
          <w:sz w:val="24"/>
          <w:szCs w:val="24"/>
        </w:rPr>
        <w:t>As a preliminary matter, Plaintiff does not contend that AMR denied any FMLA leave he requested. Indeed, Plaintiff expressly concedes that he received all the leave to which he was entitled when he took leave twice between 2018-2019.</w:t>
      </w:r>
      <w:r>
        <w:rPr>
          <w:rFonts w:ascii="Times New Roman" w:hAnsi="Times New Roman"/>
          <w:sz w:val="24"/>
          <w:szCs w:val="24"/>
        </w:rPr>
        <w:t xml:space="preserve"> </w:t>
      </w:r>
      <w:r w:rsidRPr="004948B6">
        <w:rPr>
          <w:rFonts w:ascii="Times New Roman" w:hAnsi="Times New Roman"/>
          <w:sz w:val="24"/>
          <w:szCs w:val="24"/>
        </w:rPr>
        <w:t>Therefore, to prevail on his interference claim, Plaintiff must show that AMR interfered with his FMLA rights in some manner other than by denying him leave.</w:t>
      </w:r>
      <w:r>
        <w:rPr>
          <w:rFonts w:ascii="Times New Roman" w:hAnsi="Times New Roman"/>
          <w:sz w:val="24"/>
          <w:szCs w:val="24"/>
        </w:rPr>
        <w:t xml:space="preserve">”  </w:t>
      </w:r>
      <w:hyperlink r:id="rId1709" w:history="1">
        <w:r w:rsidRPr="007E7996">
          <w:rPr>
            <w:rStyle w:val="Hyperlink"/>
            <w:rFonts w:ascii="Times New Roman" w:hAnsi="Times New Roman"/>
            <w:sz w:val="24"/>
            <w:szCs w:val="24"/>
          </w:rPr>
          <w:t>https://caselaw.findlaw.com/court/us-dis-crt-d-con/115860244.html</w:t>
        </w:r>
      </w:hyperlink>
      <w:r>
        <w:rPr>
          <w:rFonts w:ascii="Times New Roman" w:hAnsi="Times New Roman"/>
          <w:sz w:val="24"/>
          <w:szCs w:val="24"/>
        </w:rPr>
        <w:t xml:space="preserve"> </w:t>
      </w:r>
    </w:p>
    <w:p w14:paraId="5DD1AD15" w14:textId="77777777" w:rsidR="006A13EA" w:rsidRDefault="006A13EA" w:rsidP="006A13EA">
      <w:pPr>
        <w:rPr>
          <w:rFonts w:ascii="Times New Roman" w:hAnsi="Times New Roman"/>
          <w:b/>
          <w:bCs/>
          <w:sz w:val="24"/>
          <w:szCs w:val="24"/>
        </w:rPr>
      </w:pPr>
      <w:r w:rsidRPr="00530114">
        <w:rPr>
          <w:rFonts w:ascii="Times New Roman" w:hAnsi="Times New Roman"/>
          <w:b/>
          <w:bCs/>
          <w:sz w:val="24"/>
          <w:szCs w:val="24"/>
        </w:rPr>
        <w:t>Legal Lesson Learned:</w:t>
      </w:r>
      <w:r>
        <w:rPr>
          <w:rFonts w:ascii="Times New Roman" w:hAnsi="Times New Roman"/>
          <w:b/>
          <w:bCs/>
          <w:sz w:val="24"/>
          <w:szCs w:val="24"/>
        </w:rPr>
        <w:t xml:space="preserve"> After employee uses all FMLA leave, employer does not have to hold open former position. </w:t>
      </w:r>
    </w:p>
    <w:p w14:paraId="4FE9F5C4" w14:textId="77777777" w:rsidR="006A13EA" w:rsidRPr="00401EB7" w:rsidRDefault="006A13EA" w:rsidP="006A13EA">
      <w:pPr>
        <w:pStyle w:val="NoSpacing"/>
        <w:rPr>
          <w:rFonts w:ascii="Times New Roman" w:hAnsi="Times New Roman"/>
          <w:sz w:val="24"/>
          <w:szCs w:val="24"/>
        </w:rPr>
      </w:pPr>
      <w:r>
        <w:rPr>
          <w:rFonts w:ascii="Times New Roman" w:hAnsi="Times New Roman"/>
          <w:b/>
          <w:bCs/>
          <w:sz w:val="24"/>
          <w:szCs w:val="24"/>
        </w:rPr>
        <w:tab/>
      </w:r>
      <w:r w:rsidRPr="00401EB7">
        <w:rPr>
          <w:rFonts w:ascii="Times New Roman" w:hAnsi="Times New Roman"/>
          <w:sz w:val="24"/>
          <w:szCs w:val="24"/>
        </w:rPr>
        <w:t xml:space="preserve">Note: FMLA Leave: </w:t>
      </w:r>
      <w:hyperlink r:id="rId1710" w:history="1">
        <w:r w:rsidRPr="00401EB7">
          <w:rPr>
            <w:rStyle w:val="Hyperlink"/>
            <w:rFonts w:ascii="Times New Roman" w:hAnsi="Times New Roman"/>
            <w:sz w:val="24"/>
            <w:szCs w:val="24"/>
          </w:rPr>
          <w:t>https://www.dol.gov/agencies/whd/fmla</w:t>
        </w:r>
      </w:hyperlink>
      <w:r w:rsidRPr="00401EB7">
        <w:rPr>
          <w:rFonts w:ascii="Times New Roman" w:hAnsi="Times New Roman"/>
          <w:sz w:val="24"/>
          <w:szCs w:val="24"/>
        </w:rPr>
        <w:t xml:space="preserve"> </w:t>
      </w:r>
    </w:p>
    <w:p w14:paraId="5D8632B3" w14:textId="77777777" w:rsidR="006A13EA" w:rsidRPr="0013397F" w:rsidRDefault="006A13EA" w:rsidP="006A13EA">
      <w:pPr>
        <w:pStyle w:val="NoSpacing"/>
        <w:ind w:firstLine="720"/>
        <w:rPr>
          <w:rFonts w:ascii="Times New Roman" w:hAnsi="Times New Roman"/>
          <w:sz w:val="24"/>
          <w:szCs w:val="24"/>
        </w:rPr>
      </w:pPr>
      <w:r>
        <w:rPr>
          <w:rFonts w:ascii="Times New Roman" w:hAnsi="Times New Roman"/>
          <w:b/>
          <w:bCs/>
          <w:sz w:val="24"/>
          <w:szCs w:val="24"/>
        </w:rPr>
        <w:t>“</w:t>
      </w:r>
      <w:r w:rsidRPr="0013397F">
        <w:rPr>
          <w:rFonts w:ascii="Times New Roman" w:hAnsi="Times New Roman"/>
          <w:sz w:val="24"/>
          <w:szCs w:val="24"/>
        </w:rPr>
        <w:t>Twelve workweeks of leave in a 12-month period for:</w:t>
      </w:r>
    </w:p>
    <w:p w14:paraId="0053D659" w14:textId="77777777" w:rsidR="006A13EA" w:rsidRPr="0013397F" w:rsidRDefault="006A13EA" w:rsidP="006A13EA">
      <w:pPr>
        <w:pStyle w:val="NoSpacing"/>
        <w:numPr>
          <w:ilvl w:val="0"/>
          <w:numId w:val="20"/>
        </w:numPr>
        <w:rPr>
          <w:rFonts w:ascii="Times New Roman" w:hAnsi="Times New Roman"/>
          <w:sz w:val="24"/>
          <w:szCs w:val="24"/>
        </w:rPr>
      </w:pPr>
      <w:r w:rsidRPr="0013397F">
        <w:rPr>
          <w:rFonts w:ascii="Times New Roman" w:hAnsi="Times New Roman"/>
          <w:sz w:val="24"/>
          <w:szCs w:val="24"/>
        </w:rPr>
        <w:t>the birth of a child and to care for the newborn child within one year of birth;</w:t>
      </w:r>
    </w:p>
    <w:p w14:paraId="2B52B53A" w14:textId="77777777" w:rsidR="006A13EA" w:rsidRPr="0013397F" w:rsidRDefault="006A13EA" w:rsidP="006A13EA">
      <w:pPr>
        <w:pStyle w:val="NoSpacing"/>
        <w:numPr>
          <w:ilvl w:val="0"/>
          <w:numId w:val="20"/>
        </w:numPr>
        <w:rPr>
          <w:rFonts w:ascii="Times New Roman" w:hAnsi="Times New Roman"/>
          <w:sz w:val="24"/>
          <w:szCs w:val="24"/>
        </w:rPr>
      </w:pPr>
      <w:r w:rsidRPr="0013397F">
        <w:rPr>
          <w:rFonts w:ascii="Times New Roman" w:hAnsi="Times New Roman"/>
          <w:sz w:val="24"/>
          <w:szCs w:val="24"/>
        </w:rPr>
        <w:t>the placement with the employee of a child for adoption or foster care and to care for the newly placed child within one year of placement;</w:t>
      </w:r>
    </w:p>
    <w:p w14:paraId="1EFF41F3" w14:textId="77777777" w:rsidR="006A13EA" w:rsidRPr="0013397F" w:rsidRDefault="006A13EA" w:rsidP="006A13EA">
      <w:pPr>
        <w:pStyle w:val="NoSpacing"/>
        <w:numPr>
          <w:ilvl w:val="0"/>
          <w:numId w:val="20"/>
        </w:numPr>
        <w:rPr>
          <w:rFonts w:ascii="Times New Roman" w:hAnsi="Times New Roman"/>
          <w:sz w:val="24"/>
          <w:szCs w:val="24"/>
        </w:rPr>
      </w:pPr>
      <w:r w:rsidRPr="0013397F">
        <w:rPr>
          <w:rFonts w:ascii="Times New Roman" w:hAnsi="Times New Roman"/>
          <w:sz w:val="24"/>
          <w:szCs w:val="24"/>
        </w:rPr>
        <w:t>to care for the employee’s spouse, child, or parent who has a serious health condition;</w:t>
      </w:r>
    </w:p>
    <w:p w14:paraId="4191BAE7" w14:textId="77777777" w:rsidR="006A13EA" w:rsidRPr="0013397F" w:rsidRDefault="006A13EA" w:rsidP="006A13EA">
      <w:pPr>
        <w:pStyle w:val="NoSpacing"/>
        <w:numPr>
          <w:ilvl w:val="0"/>
          <w:numId w:val="20"/>
        </w:numPr>
        <w:rPr>
          <w:rFonts w:ascii="Times New Roman" w:hAnsi="Times New Roman"/>
          <w:sz w:val="24"/>
          <w:szCs w:val="24"/>
        </w:rPr>
      </w:pPr>
      <w:r w:rsidRPr="0013397F">
        <w:rPr>
          <w:rFonts w:ascii="Times New Roman" w:hAnsi="Times New Roman"/>
          <w:sz w:val="24"/>
          <w:szCs w:val="24"/>
        </w:rPr>
        <w:t>a serious health condition that makes the employee unable to perform the essential functions of his or her job;</w:t>
      </w:r>
    </w:p>
    <w:p w14:paraId="0EBC0F88" w14:textId="77777777" w:rsidR="006A13EA" w:rsidRPr="0013397F" w:rsidRDefault="006A13EA" w:rsidP="006A13EA">
      <w:pPr>
        <w:pStyle w:val="NoSpacing"/>
        <w:numPr>
          <w:ilvl w:val="0"/>
          <w:numId w:val="20"/>
        </w:numPr>
        <w:rPr>
          <w:rFonts w:ascii="Times New Roman" w:hAnsi="Times New Roman"/>
          <w:sz w:val="24"/>
          <w:szCs w:val="24"/>
        </w:rPr>
      </w:pPr>
      <w:r w:rsidRPr="0013397F">
        <w:rPr>
          <w:rFonts w:ascii="Times New Roman" w:hAnsi="Times New Roman"/>
          <w:sz w:val="24"/>
          <w:szCs w:val="24"/>
        </w:rPr>
        <w:t>any qualifying exigency arising out of the fact that the employee’s spouse, son, daughter, or parent is a covered military member on “covered active duty;” or</w:t>
      </w:r>
    </w:p>
    <w:p w14:paraId="5FAC7F30" w14:textId="77777777" w:rsidR="006A13EA" w:rsidRDefault="006A13EA" w:rsidP="006A13EA">
      <w:pPr>
        <w:pStyle w:val="NoSpacing"/>
        <w:rPr>
          <w:rFonts w:ascii="Times New Roman" w:hAnsi="Times New Roman"/>
          <w:sz w:val="24"/>
          <w:szCs w:val="24"/>
        </w:rPr>
      </w:pPr>
    </w:p>
    <w:p w14:paraId="779849C6" w14:textId="77777777" w:rsidR="006A13EA" w:rsidRPr="0013397F" w:rsidRDefault="006A13EA" w:rsidP="006A13EA">
      <w:pPr>
        <w:pStyle w:val="NoSpacing"/>
        <w:ind w:left="720"/>
        <w:rPr>
          <w:rFonts w:ascii="Times New Roman" w:hAnsi="Times New Roman"/>
          <w:sz w:val="24"/>
          <w:szCs w:val="24"/>
        </w:rPr>
      </w:pPr>
      <w:r w:rsidRPr="0013397F">
        <w:rPr>
          <w:rFonts w:ascii="Times New Roman" w:hAnsi="Times New Roman"/>
          <w:sz w:val="24"/>
          <w:szCs w:val="24"/>
        </w:rPr>
        <w:t>Twenty-six work weeks of leave during a single 12-month period to care for a covered servicemember with a serious injury or illness if the eligible employee is the servicemember’s spouse, son, daughter, parent, or next of kin (military caregiver leave)</w:t>
      </w:r>
      <w:proofErr w:type="gramStart"/>
      <w:r w:rsidRPr="0013397F">
        <w:rPr>
          <w:rFonts w:ascii="Times New Roman" w:hAnsi="Times New Roman"/>
          <w:sz w:val="24"/>
          <w:szCs w:val="24"/>
        </w:rPr>
        <w:t>.</w:t>
      </w:r>
      <w:r>
        <w:rPr>
          <w:rFonts w:ascii="Times New Roman" w:hAnsi="Times New Roman"/>
          <w:sz w:val="24"/>
          <w:szCs w:val="24"/>
        </w:rPr>
        <w:t>”</w:t>
      </w:r>
      <w:proofErr w:type="gramEnd"/>
    </w:p>
    <w:p w14:paraId="75CA5315" w14:textId="77777777" w:rsidR="006A13EA" w:rsidRDefault="006A13EA" w:rsidP="00E9307E">
      <w:pPr>
        <w:rPr>
          <w:rFonts w:ascii="Arial Black" w:hAnsi="Arial Black"/>
          <w:b/>
          <w:sz w:val="28"/>
          <w:szCs w:val="28"/>
        </w:rPr>
      </w:pPr>
    </w:p>
    <w:p w14:paraId="6DE65148" w14:textId="77777777" w:rsidR="006A13EA" w:rsidRDefault="006A13EA" w:rsidP="00E9307E">
      <w:pPr>
        <w:rPr>
          <w:rFonts w:ascii="Arial Black" w:hAnsi="Arial Black"/>
          <w:b/>
          <w:sz w:val="28"/>
          <w:szCs w:val="28"/>
        </w:rPr>
      </w:pPr>
    </w:p>
    <w:p w14:paraId="00CF8FBD" w14:textId="77777777" w:rsidR="00D33F96" w:rsidRDefault="00D33F96" w:rsidP="00E9307E">
      <w:pPr>
        <w:rPr>
          <w:rFonts w:ascii="Arial Black" w:hAnsi="Arial Black"/>
          <w:b/>
          <w:sz w:val="28"/>
          <w:szCs w:val="28"/>
        </w:rPr>
      </w:pPr>
    </w:p>
    <w:p w14:paraId="2B0F2A19" w14:textId="7E80E2D3" w:rsidR="00237599" w:rsidRDefault="00237599" w:rsidP="00E9307E">
      <w:pPr>
        <w:rPr>
          <w:rFonts w:ascii="Arial Black" w:hAnsi="Arial Black"/>
          <w:b/>
          <w:sz w:val="28"/>
          <w:szCs w:val="28"/>
        </w:rPr>
      </w:pPr>
      <w:r>
        <w:rPr>
          <w:rFonts w:ascii="Arial Black" w:hAnsi="Arial Black"/>
          <w:b/>
          <w:sz w:val="28"/>
          <w:szCs w:val="28"/>
        </w:rPr>
        <w:t>10-1</w:t>
      </w:r>
      <w:r w:rsidR="00B13773">
        <w:rPr>
          <w:rFonts w:ascii="Arial Black" w:hAnsi="Arial Black"/>
          <w:b/>
          <w:sz w:val="28"/>
          <w:szCs w:val="28"/>
        </w:rPr>
        <w:t>0</w:t>
      </w:r>
    </w:p>
    <w:p w14:paraId="0AEA9C7D" w14:textId="25F4A1FE" w:rsidR="00237599" w:rsidRDefault="00237599" w:rsidP="00237599">
      <w:pPr>
        <w:pStyle w:val="NormalWeb"/>
        <w:rPr>
          <w:rFonts w:ascii="Arial Black" w:hAnsi="Arial Black"/>
          <w:b/>
          <w:bCs/>
          <w:sz w:val="28"/>
          <w:szCs w:val="28"/>
        </w:rPr>
      </w:pPr>
      <w:bookmarkStart w:id="372" w:name="_Hlk136860096"/>
      <w:r>
        <w:rPr>
          <w:rFonts w:ascii="Arial Black" w:hAnsi="Arial Black"/>
          <w:b/>
          <w:bCs/>
          <w:sz w:val="28"/>
          <w:szCs w:val="28"/>
        </w:rPr>
        <w:t xml:space="preserve">DC: FMLA – HOLIDAY </w:t>
      </w:r>
      <w:r w:rsidR="005F4A66">
        <w:rPr>
          <w:rFonts w:ascii="Arial Black" w:hAnsi="Arial Black"/>
          <w:b/>
          <w:bCs/>
          <w:sz w:val="28"/>
          <w:szCs w:val="28"/>
        </w:rPr>
        <w:t xml:space="preserve">- </w:t>
      </w:r>
      <w:r>
        <w:rPr>
          <w:rFonts w:ascii="Arial Black" w:hAnsi="Arial Black"/>
          <w:b/>
          <w:bCs/>
          <w:sz w:val="28"/>
          <w:szCs w:val="28"/>
        </w:rPr>
        <w:t>NOT COUNTED FULL WEEK OF LEAVE</w:t>
      </w:r>
    </w:p>
    <w:bookmarkEnd w:id="372"/>
    <w:p w14:paraId="65820FA5" w14:textId="77777777" w:rsidR="00237599" w:rsidRPr="00237599" w:rsidRDefault="00237599" w:rsidP="00237599">
      <w:pPr>
        <w:pStyle w:val="NormalWeb"/>
        <w:rPr>
          <w:rStyle w:val="markedcontent"/>
        </w:rPr>
      </w:pPr>
      <w:r w:rsidRPr="00237599">
        <w:t xml:space="preserve">On May 30, 2023, the U.S. Department of Labor, Wage and Hour Division, issued Opinion Letter </w:t>
      </w:r>
      <w:r w:rsidRPr="00237599">
        <w:rPr>
          <w:rStyle w:val="markedcontent"/>
        </w:rPr>
        <w:t>FMLA2023-2-A on calculating amount of leave used by an employee taking leave during a week where there is a holiday (such as 4</w:t>
      </w:r>
      <w:r w:rsidRPr="00237599">
        <w:rPr>
          <w:rStyle w:val="markedcontent"/>
          <w:vertAlign w:val="superscript"/>
        </w:rPr>
        <w:t>th</w:t>
      </w:r>
      <w:r w:rsidRPr="00237599">
        <w:rPr>
          <w:rStyle w:val="markedcontent"/>
        </w:rPr>
        <w:t xml:space="preserve"> of July).  Opinion Letter advised: </w:t>
      </w:r>
    </w:p>
    <w:p w14:paraId="4545340C" w14:textId="499F1B89" w:rsidR="00237599" w:rsidRPr="00237599" w:rsidRDefault="00237599" w:rsidP="00237599">
      <w:pPr>
        <w:rPr>
          <w:rFonts w:ascii="Times New Roman" w:hAnsi="Times New Roman"/>
          <w:b/>
          <w:sz w:val="24"/>
          <w:szCs w:val="24"/>
        </w:rPr>
      </w:pPr>
      <w:r w:rsidRPr="00237599">
        <w:rPr>
          <w:rStyle w:val="markedcontent"/>
          <w:rFonts w:ascii="Times New Roman" w:hAnsi="Times New Roman"/>
          <w:sz w:val="24"/>
          <w:szCs w:val="24"/>
        </w:rPr>
        <w:t xml:space="preserve">“When a holiday falls during a week that an employee is taking a full workweek of FMLA leave, the entire week is counted as FMLA leave. 29 C.F.R. § 825.200(h). Thus, for example, an employee who works Monday through Friday and takes leave for a week that includes the Fourth of July on Thursday would use one week of leave and not 4/5 of a week. However, when a holiday falls during a week when an employee is taking less than a full workweek of FMLA leave, the holiday is not counted as FMLA leave unless the employee was scheduled and expected to work on the holiday and used FMLA leave for that day.” </w:t>
      </w:r>
      <w:hyperlink r:id="rId1711" w:history="1">
        <w:r w:rsidRPr="00237599">
          <w:rPr>
            <w:rStyle w:val="Hyperlink"/>
            <w:rFonts w:ascii="Times New Roman" w:eastAsiaTheme="majorEastAsia" w:hAnsi="Times New Roman"/>
            <w:sz w:val="24"/>
            <w:szCs w:val="24"/>
          </w:rPr>
          <w:t>https://www.dol.gov/sites/dolgov/files/WHD/opinion-letters/FMLA/2023_05_30_02_FMLA.pdf</w:t>
        </w:r>
      </w:hyperlink>
    </w:p>
    <w:p w14:paraId="14526A0F" w14:textId="30FDBC05" w:rsidR="00237599" w:rsidRDefault="00237599" w:rsidP="00237599">
      <w:pPr>
        <w:pStyle w:val="NormalWeb"/>
        <w:rPr>
          <w:b/>
          <w:bCs/>
        </w:rPr>
      </w:pPr>
      <w:r>
        <w:rPr>
          <w:b/>
          <w:bCs/>
        </w:rPr>
        <w:t xml:space="preserve">Legal Lesson Learned: Wage &amp; Hour Opinion Letters are helpful, and Courts will often refer to them in litigation. </w:t>
      </w:r>
    </w:p>
    <w:p w14:paraId="3C6C9005" w14:textId="38BB7304" w:rsidR="00237599" w:rsidRDefault="00237599" w:rsidP="00237599">
      <w:pPr>
        <w:tabs>
          <w:tab w:val="left" w:pos="1050"/>
        </w:tabs>
        <w:rPr>
          <w:rFonts w:ascii="Arial Black" w:hAnsi="Arial Black"/>
          <w:b/>
          <w:sz w:val="28"/>
          <w:szCs w:val="28"/>
        </w:rPr>
      </w:pPr>
    </w:p>
    <w:p w14:paraId="60AE6181" w14:textId="4B4DE3E6" w:rsidR="0002742E" w:rsidRDefault="0002742E" w:rsidP="00E9307E">
      <w:pPr>
        <w:rPr>
          <w:rFonts w:ascii="Arial Black" w:hAnsi="Arial Black"/>
          <w:b/>
          <w:sz w:val="28"/>
          <w:szCs w:val="28"/>
        </w:rPr>
      </w:pPr>
      <w:r>
        <w:rPr>
          <w:rFonts w:ascii="Arial Black" w:hAnsi="Arial Black"/>
          <w:b/>
          <w:sz w:val="28"/>
          <w:szCs w:val="28"/>
        </w:rPr>
        <w:t>10-</w:t>
      </w:r>
      <w:r w:rsidR="00B13773">
        <w:rPr>
          <w:rFonts w:ascii="Arial Black" w:hAnsi="Arial Black"/>
          <w:b/>
          <w:sz w:val="28"/>
          <w:szCs w:val="28"/>
        </w:rPr>
        <w:t>9</w:t>
      </w:r>
    </w:p>
    <w:p w14:paraId="23B8FC55" w14:textId="77777777" w:rsidR="0002742E" w:rsidRPr="00915CA6" w:rsidRDefault="0002742E" w:rsidP="0002742E">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TX: HOSPITAL PARAMEDIC FIRED - 12 WEEKS FMLA LEAVE EXPIRED - JOB POSTED – TURNED DOWN NEW SHIFT </w:t>
      </w:r>
    </w:p>
    <w:p w14:paraId="346BB985" w14:textId="0AB51AA1" w:rsidR="0002742E" w:rsidRDefault="0002742E" w:rsidP="0002742E">
      <w:pPr>
        <w:rPr>
          <w:rFonts w:ascii="Arial Black" w:hAnsi="Arial Black"/>
          <w:b/>
          <w:sz w:val="28"/>
          <w:szCs w:val="28"/>
        </w:rPr>
      </w:pPr>
      <w:r w:rsidRPr="00990FC9">
        <w:rPr>
          <w:rFonts w:ascii="Times New Roman" w:hAnsi="Times New Roman"/>
          <w:sz w:val="24"/>
          <w:szCs w:val="24"/>
        </w:rPr>
        <w:t xml:space="preserve">On April 20, 2022, </w:t>
      </w:r>
      <w:r>
        <w:rPr>
          <w:rFonts w:ascii="Times New Roman" w:hAnsi="Times New Roman"/>
          <w:sz w:val="24"/>
          <w:szCs w:val="24"/>
        </w:rPr>
        <w:t xml:space="preserve">in </w:t>
      </w:r>
      <w:r w:rsidRPr="00990FC9">
        <w:rPr>
          <w:rFonts w:ascii="Times New Roman" w:hAnsi="Times New Roman"/>
          <w:sz w:val="24"/>
          <w:szCs w:val="24"/>
          <w:u w:val="single"/>
        </w:rPr>
        <w:t>Maria Jochims v. Houston Methodist Sugar Land Hospital</w:t>
      </w:r>
      <w:r>
        <w:rPr>
          <w:rFonts w:ascii="Times New Roman" w:hAnsi="Times New Roman"/>
          <w:sz w:val="24"/>
          <w:szCs w:val="24"/>
        </w:rPr>
        <w:t xml:space="preserve">, U.S. Magistrate Judge Andrew M. Edison issued a memorandum recommending that U.S. District Court judge dismiss the plaintiff’s sex and pregnancy discrimination claim.  The plaintiff worked as a Paramedic in the Emergency Services Department since 2013, and because of difficult pregnancy in Aug. 2016, she had used up her 12-weeks of “job protected” FMLA leave on Feb. 15, 2017.  The hospital needed the position filled ASAP, and the next day the job was posted (11 am – 11 pm shift) and quickly filled by a male Paramedic.  </w:t>
      </w:r>
      <w:r w:rsidRPr="00457431">
        <w:rPr>
          <w:rFonts w:ascii="Times New Roman" w:hAnsi="Times New Roman"/>
          <w:sz w:val="24"/>
          <w:szCs w:val="24"/>
        </w:rPr>
        <w:t>The hospital then offered the plaintiff a new shift (7 pm – 7 am), which she declined. Jochims failed to obtain a suitable position within 30 days. Houston Methodist gave Jochims an extension to locate and obtain an alternative position, but she failed to secure a new position within the extended time. Plaintiff was terminated effective April 25, 2017, under Houston Methodist's HR29 Policy.</w:t>
      </w:r>
      <w:r>
        <w:rPr>
          <w:rFonts w:ascii="Times New Roman" w:hAnsi="Times New Roman"/>
          <w:sz w:val="24"/>
          <w:szCs w:val="24"/>
        </w:rPr>
        <w:t xml:space="preserve"> </w:t>
      </w:r>
      <w:hyperlink r:id="rId1712" w:history="1">
        <w:r w:rsidRPr="005C2DF9">
          <w:rPr>
            <w:rStyle w:val="Hyperlink"/>
            <w:rFonts w:ascii="Times New Roman" w:hAnsi="Times New Roman"/>
            <w:sz w:val="24"/>
            <w:szCs w:val="24"/>
          </w:rPr>
          <w:t>https://public.fastcase.com/waZtJvSA54UAurM2rmIZz88A4DX9zJiHVSCLlaywcCbO%2FsN6H35lRLqBQI5YlUXLkpfw%2B63lWcDnyRlZDlxVAe7N7ayvxJpVWQxxLxisTNc%3D</w:t>
        </w:r>
      </w:hyperlink>
    </w:p>
    <w:p w14:paraId="264CE0D5" w14:textId="77777777" w:rsidR="0002742E" w:rsidRPr="00DA5B17" w:rsidRDefault="0002742E" w:rsidP="0002742E">
      <w:pPr>
        <w:spacing w:before="100" w:beforeAutospacing="1" w:after="100" w:afterAutospacing="1" w:line="240" w:lineRule="auto"/>
        <w:rPr>
          <w:rFonts w:ascii="Times New Roman" w:eastAsia="Times New Roman" w:hAnsi="Times New Roman"/>
          <w:b/>
          <w:bCs/>
          <w:sz w:val="24"/>
          <w:szCs w:val="24"/>
        </w:rPr>
      </w:pPr>
      <w:r w:rsidRPr="00DA5B17">
        <w:rPr>
          <w:rFonts w:ascii="Times New Roman" w:hAnsi="Times New Roman"/>
          <w:b/>
          <w:bCs/>
          <w:sz w:val="24"/>
          <w:szCs w:val="24"/>
        </w:rPr>
        <w:t>Legal Lesson Learned:</w:t>
      </w:r>
      <w:r>
        <w:rPr>
          <w:rFonts w:ascii="Times New Roman" w:hAnsi="Times New Roman"/>
          <w:b/>
          <w:bCs/>
          <w:sz w:val="24"/>
          <w:szCs w:val="24"/>
        </w:rPr>
        <w:t xml:space="preserve">  Fire &amp; EMS Departments should have a written FMLA policy. </w:t>
      </w:r>
    </w:p>
    <w:p w14:paraId="6E5A1242" w14:textId="77777777" w:rsidR="0002742E" w:rsidRDefault="0002742E" w:rsidP="0002742E">
      <w:pPr>
        <w:spacing w:before="100" w:beforeAutospacing="1" w:after="100" w:afterAutospacing="1" w:line="240" w:lineRule="auto"/>
        <w:rPr>
          <w:rFonts w:ascii="Times New Roman" w:hAnsi="Times New Roman"/>
          <w:sz w:val="24"/>
          <w:szCs w:val="24"/>
        </w:rPr>
      </w:pPr>
    </w:p>
    <w:p w14:paraId="46FF12D7" w14:textId="77777777" w:rsidR="0002742E" w:rsidRDefault="0002742E" w:rsidP="00E9307E">
      <w:pPr>
        <w:rPr>
          <w:rFonts w:ascii="Arial Black" w:hAnsi="Arial Black"/>
          <w:b/>
          <w:sz w:val="28"/>
          <w:szCs w:val="28"/>
        </w:rPr>
      </w:pPr>
    </w:p>
    <w:p w14:paraId="2854BCB3" w14:textId="77777777" w:rsidR="0002742E" w:rsidRDefault="0002742E" w:rsidP="00E9307E">
      <w:pPr>
        <w:rPr>
          <w:rFonts w:ascii="Arial Black" w:hAnsi="Arial Black"/>
          <w:b/>
          <w:sz w:val="28"/>
          <w:szCs w:val="28"/>
        </w:rPr>
      </w:pPr>
    </w:p>
    <w:p w14:paraId="7896CB0C" w14:textId="3BBC8E05" w:rsidR="00BD3FE4" w:rsidRDefault="00BD3FE4" w:rsidP="00E9307E">
      <w:pPr>
        <w:rPr>
          <w:rFonts w:ascii="Arial Black" w:hAnsi="Arial Black"/>
          <w:b/>
          <w:sz w:val="28"/>
          <w:szCs w:val="28"/>
        </w:rPr>
      </w:pPr>
      <w:r>
        <w:rPr>
          <w:rFonts w:ascii="Arial Black" w:hAnsi="Arial Black"/>
          <w:b/>
          <w:sz w:val="28"/>
          <w:szCs w:val="28"/>
        </w:rPr>
        <w:t>10-</w:t>
      </w:r>
      <w:r w:rsidR="00B13773">
        <w:rPr>
          <w:rFonts w:ascii="Arial Black" w:hAnsi="Arial Black"/>
          <w:b/>
          <w:sz w:val="28"/>
          <w:szCs w:val="28"/>
        </w:rPr>
        <w:t>8</w:t>
      </w:r>
      <w:r>
        <w:rPr>
          <w:rFonts w:ascii="Arial Black" w:hAnsi="Arial Black"/>
          <w:b/>
          <w:sz w:val="28"/>
          <w:szCs w:val="28"/>
        </w:rPr>
        <w:t xml:space="preserve"> [also Filed Chap. 15]</w:t>
      </w:r>
    </w:p>
    <w:p w14:paraId="344DA447" w14:textId="77777777" w:rsidR="00BD3FE4" w:rsidRDefault="00BD3FE4" w:rsidP="00BD3FE4">
      <w:pPr>
        <w:pStyle w:val="NormalWeb"/>
        <w:rPr>
          <w:rFonts w:ascii="Arial Black" w:hAnsi="Arial Black"/>
          <w:b/>
          <w:bCs/>
          <w:sz w:val="28"/>
          <w:szCs w:val="28"/>
        </w:rPr>
      </w:pPr>
      <w:r>
        <w:rPr>
          <w:rFonts w:ascii="Arial Black" w:hAnsi="Arial Black"/>
          <w:b/>
          <w:bCs/>
          <w:sz w:val="28"/>
          <w:szCs w:val="28"/>
        </w:rPr>
        <w:t xml:space="preserve">MA: CAPTAIN PSYCHIATRICT EXAM – FIRE CHIEF DENIED IMMUNITY – ALLEGED RETALIATION / BREACH OF FMLA </w:t>
      </w:r>
    </w:p>
    <w:p w14:paraId="21A411EF" w14:textId="77777777" w:rsidR="00BD3FE4" w:rsidRDefault="00BD3FE4" w:rsidP="00BD3FE4">
      <w:pPr>
        <w:pStyle w:val="NormalWeb"/>
      </w:pPr>
      <w:r w:rsidRPr="00944162">
        <w:t xml:space="preserve">On </w:t>
      </w:r>
      <w:r>
        <w:t xml:space="preserve">Jan. 26, 2022, in </w:t>
      </w:r>
      <w:r w:rsidRPr="00944162">
        <w:rPr>
          <w:u w:val="single"/>
        </w:rPr>
        <w:t>Andrew Brennan v. City of Everett and Anthony Carli</w:t>
      </w:r>
      <w:r>
        <w:t>, the Appeals Court of Massachusetts held (3 to 0; unpublished decision) that trial judge properly denied the Fire Chief Anthony Carli’s  motion to be dismissed from lawsuit based on qualified immunity.  “</w:t>
      </w:r>
      <w:r w:rsidRPr="00DE5CFC">
        <w:t>Here, Brennan alleged that Carli placed him on leave and provided false information to medical evaluators under the false belief that Brennan was mentally unfit.</w:t>
      </w:r>
      <w:r>
        <w:t xml:space="preserve">” </w:t>
      </w:r>
      <w:hyperlink r:id="rId1713" w:history="1">
        <w:r w:rsidRPr="003B2357">
          <w:rPr>
            <w:rStyle w:val="Hyperlink"/>
            <w:rFonts w:eastAsiaTheme="majorEastAsia"/>
          </w:rPr>
          <w:t>https://public.fastcase.com/9SKwsfNqTc6OieYDhNMyM%2BsbSTu241pOZ38l1fL3GtOxRE1iLhH6RZm0FIyTdVeF1XRK6Ebg7B5equTDg4ZQiMxFMDQEZko4UYsaxrmOuYk%3D</w:t>
        </w:r>
      </w:hyperlink>
      <w:r>
        <w:t xml:space="preserve"> </w:t>
      </w:r>
      <w:r w:rsidRPr="00266965">
        <w:t xml:space="preserve"> </w:t>
      </w:r>
      <w:r>
        <w:t xml:space="preserve"> </w:t>
      </w:r>
    </w:p>
    <w:p w14:paraId="2E50C502" w14:textId="77777777" w:rsidR="00BD3FE4" w:rsidRPr="003B747D" w:rsidRDefault="00BD3FE4" w:rsidP="00BD3FE4">
      <w:pPr>
        <w:spacing w:before="100" w:beforeAutospacing="1" w:after="100" w:afterAutospacing="1" w:line="240" w:lineRule="auto"/>
        <w:rPr>
          <w:rFonts w:ascii="Times New Roman" w:hAnsi="Times New Roman"/>
          <w:b/>
          <w:bCs/>
          <w:sz w:val="24"/>
          <w:szCs w:val="24"/>
        </w:rPr>
      </w:pPr>
      <w:r w:rsidRPr="003B747D">
        <w:rPr>
          <w:rFonts w:ascii="Times New Roman" w:hAnsi="Times New Roman"/>
          <w:b/>
          <w:bCs/>
          <w:sz w:val="24"/>
          <w:szCs w:val="24"/>
        </w:rPr>
        <w:t>Legal Lesson Learned:</w:t>
      </w:r>
      <w:r>
        <w:rPr>
          <w:rFonts w:ascii="Times New Roman" w:hAnsi="Times New Roman"/>
          <w:b/>
          <w:bCs/>
          <w:sz w:val="24"/>
          <w:szCs w:val="24"/>
        </w:rPr>
        <w:t xml:space="preserve">  If employee may need psychiatric evaluation, provide specific information to the medical evaluators; and if employee asks about FMLA, provide form to request leave.  </w:t>
      </w:r>
    </w:p>
    <w:p w14:paraId="5BB7C6AC" w14:textId="77777777" w:rsidR="00BD3FE4" w:rsidRDefault="00BD3FE4" w:rsidP="00E9307E">
      <w:pPr>
        <w:rPr>
          <w:rFonts w:ascii="Arial Black" w:hAnsi="Arial Black"/>
          <w:b/>
          <w:sz w:val="28"/>
          <w:szCs w:val="28"/>
        </w:rPr>
      </w:pPr>
    </w:p>
    <w:p w14:paraId="1AC0F19C" w14:textId="77777777" w:rsidR="00BD3FE4" w:rsidRDefault="00BD3FE4" w:rsidP="00E9307E">
      <w:pPr>
        <w:rPr>
          <w:rFonts w:ascii="Arial Black" w:hAnsi="Arial Black"/>
          <w:b/>
          <w:sz w:val="28"/>
          <w:szCs w:val="28"/>
        </w:rPr>
      </w:pPr>
    </w:p>
    <w:p w14:paraId="48770BC6" w14:textId="67C26F38" w:rsidR="00863F9E" w:rsidRDefault="00863F9E" w:rsidP="00E9307E">
      <w:pPr>
        <w:rPr>
          <w:rFonts w:ascii="Arial Black" w:hAnsi="Arial Black"/>
          <w:b/>
          <w:sz w:val="28"/>
          <w:szCs w:val="28"/>
        </w:rPr>
      </w:pPr>
      <w:r>
        <w:rPr>
          <w:rFonts w:ascii="Arial Black" w:hAnsi="Arial Black"/>
          <w:b/>
          <w:sz w:val="28"/>
          <w:szCs w:val="28"/>
        </w:rPr>
        <w:t>10-</w:t>
      </w:r>
      <w:r w:rsidR="00B13773">
        <w:rPr>
          <w:rFonts w:ascii="Arial Black" w:hAnsi="Arial Black"/>
          <w:b/>
          <w:sz w:val="28"/>
          <w:szCs w:val="28"/>
        </w:rPr>
        <w:t>7</w:t>
      </w:r>
      <w:r>
        <w:rPr>
          <w:rFonts w:ascii="Arial Black" w:hAnsi="Arial Black"/>
          <w:b/>
          <w:sz w:val="28"/>
          <w:szCs w:val="28"/>
        </w:rPr>
        <w:t xml:space="preserve"> [also filed, Chap. 11]</w:t>
      </w:r>
    </w:p>
    <w:p w14:paraId="1475517C" w14:textId="77777777" w:rsidR="00863F9E" w:rsidRDefault="00863F9E" w:rsidP="00863F9E">
      <w:pPr>
        <w:spacing w:before="100" w:beforeAutospacing="1" w:after="100" w:afterAutospacing="1" w:line="240" w:lineRule="auto"/>
        <w:rPr>
          <w:rFonts w:eastAsia="Times New Roman" w:cs="Calibri"/>
          <w:vanish/>
        </w:rPr>
      </w:pPr>
      <w:r>
        <w:rPr>
          <w:rFonts w:ascii="Arial Black" w:eastAsia="Times New Roman" w:hAnsi="Arial Black"/>
          <w:b/>
          <w:bCs/>
          <w:sz w:val="28"/>
          <w:szCs w:val="28"/>
        </w:rPr>
        <w:t>U.S. DOL: ELECTRONIC POSTING CAN’T REPLACE FLSA / FMLA POSTERS – UNLESS ALL EMPLOYEES WORK ONLINE</w:t>
      </w:r>
    </w:p>
    <w:tbl>
      <w:tblPr>
        <w:tblW w:w="5000" w:type="pct"/>
        <w:jc w:val="center"/>
        <w:tblCellMar>
          <w:left w:w="0" w:type="dxa"/>
          <w:right w:w="0" w:type="dxa"/>
        </w:tblCellMar>
        <w:tblLook w:val="04A0" w:firstRow="1" w:lastRow="0" w:firstColumn="1" w:lastColumn="0" w:noHBand="0" w:noVBand="1"/>
      </w:tblPr>
      <w:tblGrid>
        <w:gridCol w:w="10800"/>
      </w:tblGrid>
      <w:tr w:rsidR="00863F9E" w14:paraId="5DF71EAF" w14:textId="77777777" w:rsidTr="00F90EE5">
        <w:trPr>
          <w:jc w:val="center"/>
          <w:hidden/>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863F9E" w14:paraId="7D648905" w14:textId="77777777" w:rsidTr="00F90EE5">
              <w:trPr>
                <w:jc w:val="center"/>
                <w:hidden/>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863F9E" w14:paraId="354E7068" w14:textId="77777777" w:rsidTr="00F90EE5">
                    <w:trPr>
                      <w:jc w:val="center"/>
                      <w:hidden/>
                    </w:trPr>
                    <w:tc>
                      <w:tcPr>
                        <w:tcW w:w="0" w:type="auto"/>
                        <w:tcMar>
                          <w:top w:w="75" w:type="dxa"/>
                          <w:left w:w="0" w:type="dxa"/>
                          <w:bottom w:w="75" w:type="dxa"/>
                          <w:right w:w="0" w:type="dxa"/>
                        </w:tcMar>
                        <w:hideMark/>
                      </w:tcPr>
                      <w:p w14:paraId="73C3B046" w14:textId="77777777" w:rsidR="00863F9E" w:rsidRDefault="00863F9E" w:rsidP="00F90EE5">
                        <w:pPr>
                          <w:rPr>
                            <w:rFonts w:eastAsia="Times New Roman" w:cs="Calibri"/>
                            <w:vanish/>
                          </w:rPr>
                        </w:pPr>
                      </w:p>
                    </w:tc>
                  </w:tr>
                </w:tbl>
                <w:p w14:paraId="1D3B0CBE" w14:textId="77777777" w:rsidR="00863F9E" w:rsidRDefault="00863F9E" w:rsidP="00F90EE5">
                  <w:pPr>
                    <w:jc w:val="center"/>
                  </w:pPr>
                </w:p>
              </w:tc>
            </w:tr>
          </w:tbl>
          <w:p w14:paraId="14E98745" w14:textId="77777777" w:rsidR="00863F9E" w:rsidRDefault="00863F9E" w:rsidP="00F90EE5">
            <w:pPr>
              <w:jc w:val="center"/>
            </w:pPr>
          </w:p>
        </w:tc>
      </w:tr>
    </w:tbl>
    <w:p w14:paraId="6C60F763" w14:textId="77777777" w:rsidR="00863F9E" w:rsidRDefault="00863F9E" w:rsidP="00863F9E">
      <w:pPr>
        <w:pStyle w:val="NormalWeb"/>
        <w:spacing w:line="255" w:lineRule="atLeast"/>
        <w:rPr>
          <w:bCs/>
        </w:rPr>
      </w:pPr>
      <w:r>
        <w:rPr>
          <w:bCs/>
        </w:rPr>
        <w:t xml:space="preserve">On Dec. 29, 2020, the U.S. Department of Labor / Wage &amp; Hour Division issued Field Assistance Bulletin regarding posters that are required in workplaces, including the </w:t>
      </w:r>
      <w:r>
        <w:t>Fair Labor Standards Act (FLSA), the Family and Medical Leave Act (FMLA), Section 14I of the FLSA (Section 14I), the Employee Polygraph Protection Act (EPPA), and the Service Contract Act (SCA).</w:t>
      </w:r>
    </w:p>
    <w:p w14:paraId="5EFF8CAB" w14:textId="77777777" w:rsidR="00863F9E" w:rsidRDefault="00863F9E" w:rsidP="00863F9E">
      <w:pPr>
        <w:pStyle w:val="NormalWeb"/>
        <w:spacing w:line="255" w:lineRule="atLeast"/>
        <w:ind w:left="720"/>
      </w:pPr>
      <w:r>
        <w:t>“In most cases, these electronic notices supplement but do not replace the statutory and regulatory requirements that employers post a hard-copy notice. Whether notices are provided electronically or in hard-copy format, it is an employer’s obligation to provide the required notices to all affected individuals.</w:t>
      </w:r>
    </w:p>
    <w:p w14:paraId="0CC47822" w14:textId="77777777" w:rsidR="00863F9E" w:rsidRDefault="00863F9E" w:rsidP="00863F9E">
      <w:pPr>
        <w:pStyle w:val="NormalWeb"/>
        <w:spacing w:line="255" w:lineRule="atLeast"/>
        <w:ind w:left="720"/>
      </w:pPr>
      <w:r>
        <w:t>***</w:t>
      </w:r>
    </w:p>
    <w:p w14:paraId="68415510" w14:textId="77777777" w:rsidR="00863F9E" w:rsidRDefault="00863F9E" w:rsidP="00863F9E">
      <w:pPr>
        <w:pStyle w:val="NormalWeb"/>
        <w:spacing w:line="255" w:lineRule="atLeast"/>
        <w:ind w:left="720"/>
        <w:rPr>
          <w:rStyle w:val="Hyperlink"/>
        </w:rPr>
      </w:pPr>
      <w:r>
        <w:t xml:space="preserve">If a statute and its regulations require a notice to be continuously posted at a worksite, in most cases, WHD will only consider electronic posting an acceptable substitute for the continuous posting requirement where (1) all of the employer’s employees exclusively work remotely, (2) all employees customarily receive information from the employer via electronic means, and (3) all employees have readily available access to the electronic posting at all times. This ensures the electronic posting satisfies the statutory and regulatory requirements that such postings </w:t>
      </w:r>
      <w:proofErr w:type="gramStart"/>
      <w:r>
        <w:t>be</w:t>
      </w:r>
      <w:proofErr w:type="gramEnd"/>
      <w:r>
        <w:t xml:space="preserve"> continuously accessible to employees. Where an employer has employees on-site and other employees teleworking full-time, for example, the employer may supplement a hard-copy posting requirement with electronic posting and the Department would encourage both methods of posting.”  </w:t>
      </w:r>
      <w:hyperlink r:id="rId1714" w:history="1">
        <w:r>
          <w:rPr>
            <w:rStyle w:val="Hyperlink"/>
          </w:rPr>
          <w:t>https://www.dol.gov/sites/dolgov/files/WHD/legacy/files/fab_2020_7.pdf</w:t>
        </w:r>
      </w:hyperlink>
    </w:p>
    <w:p w14:paraId="2D69472B" w14:textId="77777777" w:rsidR="00863F9E" w:rsidRDefault="00863F9E" w:rsidP="00863F9E">
      <w:pPr>
        <w:pStyle w:val="NormalWeb"/>
        <w:spacing w:line="255" w:lineRule="atLeast"/>
        <w:rPr>
          <w:b/>
        </w:rPr>
      </w:pPr>
      <w:r>
        <w:rPr>
          <w:b/>
        </w:rPr>
        <w:t>Legal Lesson Learned: Fire Department need to keep posters on the wall.</w:t>
      </w:r>
    </w:p>
    <w:p w14:paraId="6BA0D76D" w14:textId="77777777" w:rsidR="00863F9E" w:rsidRDefault="00863F9E" w:rsidP="00E9307E">
      <w:pPr>
        <w:rPr>
          <w:rFonts w:ascii="Arial Black" w:hAnsi="Arial Black"/>
          <w:b/>
          <w:sz w:val="28"/>
          <w:szCs w:val="28"/>
        </w:rPr>
      </w:pPr>
    </w:p>
    <w:p w14:paraId="49165289" w14:textId="77777777" w:rsidR="00863F9E" w:rsidRDefault="00863F9E" w:rsidP="00E9307E">
      <w:pPr>
        <w:rPr>
          <w:rFonts w:ascii="Arial Black" w:hAnsi="Arial Black"/>
          <w:b/>
          <w:sz w:val="28"/>
          <w:szCs w:val="28"/>
        </w:rPr>
      </w:pPr>
    </w:p>
    <w:p w14:paraId="786F922C" w14:textId="77777777" w:rsidR="00863F9E" w:rsidRDefault="00863F9E" w:rsidP="00E9307E">
      <w:pPr>
        <w:rPr>
          <w:rFonts w:ascii="Arial Black" w:hAnsi="Arial Black"/>
          <w:b/>
          <w:sz w:val="28"/>
          <w:szCs w:val="28"/>
        </w:rPr>
      </w:pPr>
    </w:p>
    <w:p w14:paraId="753E5CAB" w14:textId="1400C63D" w:rsidR="00863F9E" w:rsidRDefault="00863F9E" w:rsidP="00E9307E">
      <w:pPr>
        <w:rPr>
          <w:rFonts w:ascii="Arial Black" w:hAnsi="Arial Black"/>
          <w:b/>
          <w:sz w:val="28"/>
          <w:szCs w:val="28"/>
        </w:rPr>
      </w:pPr>
      <w:r>
        <w:rPr>
          <w:rFonts w:ascii="Arial Black" w:hAnsi="Arial Black"/>
          <w:b/>
          <w:sz w:val="28"/>
          <w:szCs w:val="28"/>
        </w:rPr>
        <w:t>10-</w:t>
      </w:r>
      <w:r w:rsidR="00B06C3F">
        <w:rPr>
          <w:rFonts w:ascii="Arial Black" w:hAnsi="Arial Black"/>
          <w:b/>
          <w:sz w:val="28"/>
          <w:szCs w:val="28"/>
        </w:rPr>
        <w:t>6</w:t>
      </w:r>
    </w:p>
    <w:p w14:paraId="72F73E63" w14:textId="77777777" w:rsidR="00863F9E" w:rsidRDefault="00863F9E" w:rsidP="00863F9E">
      <w:pPr>
        <w:spacing w:before="100" w:beforeAutospacing="1" w:after="100" w:afterAutospacing="1" w:line="240" w:lineRule="auto"/>
        <w:rPr>
          <w:rFonts w:asciiTheme="minorHAnsi" w:eastAsiaTheme="minorHAnsi" w:hAnsiTheme="minorHAnsi" w:cstheme="minorBidi"/>
          <w:bCs/>
        </w:rPr>
      </w:pPr>
      <w:r>
        <w:rPr>
          <w:rFonts w:ascii="Arial Black" w:eastAsia="Times New Roman" w:hAnsi="Arial Black"/>
          <w:b/>
          <w:bCs/>
          <w:sz w:val="28"/>
          <w:szCs w:val="28"/>
        </w:rPr>
        <w:t>U.S. DOL:  TELEMEDICINE – EMPLOYEES MAY CONSULT DOCTOR ONLINE FOR FMLA – IF VIDEO CONFERENCES STATE APPROVED</w:t>
      </w:r>
    </w:p>
    <w:p w14:paraId="12214385" w14:textId="77777777" w:rsidR="00863F9E" w:rsidRDefault="00863F9E" w:rsidP="00863F9E">
      <w:pPr>
        <w:pStyle w:val="NormalWeb"/>
        <w:spacing w:line="255" w:lineRule="atLeast"/>
        <w:rPr>
          <w:bCs/>
        </w:rPr>
      </w:pPr>
      <w:r>
        <w:rPr>
          <w:bCs/>
        </w:rPr>
        <w:t xml:space="preserve">On Dec. 29, 2020, the U.S. Department of Labor / Wage &amp; Hour Division, issued a Field Assistance Bulletin regarding use of telemedicine. </w:t>
      </w:r>
    </w:p>
    <w:p w14:paraId="2127F9FE" w14:textId="77777777" w:rsidR="00863F9E" w:rsidRDefault="00863F9E" w:rsidP="00863F9E">
      <w:pPr>
        <w:pStyle w:val="NormalWeb"/>
        <w:spacing w:line="255" w:lineRule="atLeast"/>
        <w:ind w:left="720"/>
      </w:pPr>
      <w:r>
        <w:t xml:space="preserve">“WHD’s experience is that health care providers are now often using telemedicine to deliver examinations, evaluations, and other healthcare services that would previously have been provided only in an office setting. Given this </w:t>
      </w:r>
      <w:proofErr w:type="gramStart"/>
      <w:r>
        <w:t>experience, and</w:t>
      </w:r>
      <w:proofErr w:type="gramEnd"/>
      <w:r>
        <w:t xml:space="preserve"> continuing the policy adopted in response to the COVID-19 pandemic, WHD will consider a telemedicine visit with a health care provider as an in-person visit under 29 C.F.R. §825.115, provided specified criteria are met.</w:t>
      </w:r>
    </w:p>
    <w:p w14:paraId="15AE535A" w14:textId="77777777" w:rsidR="00863F9E" w:rsidRDefault="00863F9E" w:rsidP="00863F9E">
      <w:pPr>
        <w:pStyle w:val="NoSpacing"/>
        <w:ind w:firstLine="720"/>
        <w:rPr>
          <w:rFonts w:ascii="Times New Roman" w:hAnsi="Times New Roman"/>
          <w:sz w:val="24"/>
          <w:szCs w:val="24"/>
        </w:rPr>
      </w:pPr>
      <w:r>
        <w:rPr>
          <w:rFonts w:ascii="Times New Roman" w:hAnsi="Times New Roman"/>
          <w:sz w:val="24"/>
          <w:szCs w:val="24"/>
        </w:rPr>
        <w:t xml:space="preserve">To be considered an “in-person” visit, the telemedicine visit must include: </w:t>
      </w:r>
    </w:p>
    <w:p w14:paraId="5BC06183" w14:textId="77777777" w:rsidR="00863F9E" w:rsidRDefault="00863F9E" w:rsidP="00863F9E">
      <w:pPr>
        <w:pStyle w:val="NoSpacing"/>
        <w:numPr>
          <w:ilvl w:val="2"/>
          <w:numId w:val="8"/>
        </w:numPr>
        <w:rPr>
          <w:rFonts w:ascii="Times New Roman" w:hAnsi="Times New Roman"/>
          <w:sz w:val="24"/>
          <w:szCs w:val="24"/>
        </w:rPr>
      </w:pPr>
      <w:r>
        <w:rPr>
          <w:rFonts w:ascii="Times New Roman" w:hAnsi="Times New Roman"/>
          <w:sz w:val="24"/>
          <w:szCs w:val="24"/>
        </w:rPr>
        <w:t xml:space="preserve">an examination, evaluation, or treatment by a health care provider; </w:t>
      </w:r>
    </w:p>
    <w:p w14:paraId="7E69B2CE" w14:textId="77777777" w:rsidR="00863F9E" w:rsidRDefault="00863F9E" w:rsidP="00863F9E">
      <w:pPr>
        <w:pStyle w:val="NoSpacing"/>
        <w:numPr>
          <w:ilvl w:val="2"/>
          <w:numId w:val="8"/>
        </w:numPr>
        <w:rPr>
          <w:rFonts w:ascii="Times New Roman" w:hAnsi="Times New Roman"/>
          <w:sz w:val="24"/>
          <w:szCs w:val="24"/>
        </w:rPr>
      </w:pPr>
      <w:r>
        <w:rPr>
          <w:rFonts w:ascii="Times New Roman" w:hAnsi="Times New Roman"/>
          <w:sz w:val="24"/>
          <w:szCs w:val="24"/>
        </w:rPr>
        <w:t xml:space="preserve">be permitted and accepted by state licensing authorities; and, </w:t>
      </w:r>
    </w:p>
    <w:p w14:paraId="37FD8F55" w14:textId="77777777" w:rsidR="00863F9E" w:rsidRDefault="00863F9E" w:rsidP="00863F9E">
      <w:pPr>
        <w:pStyle w:val="NoSpacing"/>
        <w:numPr>
          <w:ilvl w:val="2"/>
          <w:numId w:val="8"/>
        </w:numPr>
        <w:rPr>
          <w:rFonts w:ascii="Times New Roman" w:hAnsi="Times New Roman"/>
          <w:bCs/>
          <w:sz w:val="24"/>
          <w:szCs w:val="24"/>
        </w:rPr>
      </w:pPr>
      <w:proofErr w:type="gramStart"/>
      <w:r>
        <w:rPr>
          <w:rFonts w:ascii="Times New Roman" w:hAnsi="Times New Roman"/>
          <w:sz w:val="24"/>
          <w:szCs w:val="24"/>
        </w:rPr>
        <w:t>generally</w:t>
      </w:r>
      <w:proofErr w:type="gramEnd"/>
      <w:r>
        <w:rPr>
          <w:rFonts w:ascii="Times New Roman" w:hAnsi="Times New Roman"/>
          <w:sz w:val="24"/>
          <w:szCs w:val="24"/>
        </w:rPr>
        <w:t>, should be performed by video conference.</w:t>
      </w:r>
    </w:p>
    <w:p w14:paraId="15708B85" w14:textId="77777777" w:rsidR="00863F9E" w:rsidRDefault="00863F9E" w:rsidP="00863F9E">
      <w:pPr>
        <w:pStyle w:val="NormalWeb"/>
        <w:spacing w:line="255" w:lineRule="atLeast"/>
        <w:ind w:left="720"/>
        <w:rPr>
          <w:b/>
        </w:rPr>
      </w:pPr>
      <w:r>
        <w:t xml:space="preserve">Communication methods that do not meet these criteria (e.g., a simple telephone call, letter, email, or text message) are insufficient, by themselves, to satisfy </w:t>
      </w:r>
      <w:proofErr w:type="spellStart"/>
      <w:r>
        <w:t>t he</w:t>
      </w:r>
      <w:proofErr w:type="spellEnd"/>
      <w:r>
        <w:t xml:space="preserve"> regulatory requirement of an ‘in-person’ visit.” </w:t>
      </w:r>
      <w:hyperlink r:id="rId1715" w:history="1">
        <w:r>
          <w:rPr>
            <w:rStyle w:val="Hyperlink"/>
          </w:rPr>
          <w:t>https://www.dol.gov/sites/dolgov/files/WHD/legacy/files/fab_2020_8.pdf</w:t>
        </w:r>
      </w:hyperlink>
      <w:r>
        <w:rPr>
          <w:b/>
        </w:rPr>
        <w:t xml:space="preserve"> </w:t>
      </w:r>
    </w:p>
    <w:p w14:paraId="19A5266A" w14:textId="77777777" w:rsidR="00863F9E" w:rsidRDefault="00863F9E" w:rsidP="00863F9E">
      <w:pPr>
        <w:pStyle w:val="NormalWeb"/>
        <w:spacing w:line="255" w:lineRule="atLeast"/>
        <w:rPr>
          <w:b/>
        </w:rPr>
      </w:pPr>
      <w:r>
        <w:rPr>
          <w:b/>
        </w:rPr>
        <w:t xml:space="preserve">Legal Lesson Learned: Fire &amp; EMS Department should consider updating their Employee Handbook with this new advice. </w:t>
      </w:r>
    </w:p>
    <w:p w14:paraId="5B01E691" w14:textId="77777777" w:rsidR="00863F9E" w:rsidRDefault="00863F9E" w:rsidP="00E9307E">
      <w:pPr>
        <w:rPr>
          <w:rFonts w:ascii="Arial Black" w:hAnsi="Arial Black"/>
          <w:b/>
          <w:sz w:val="28"/>
          <w:szCs w:val="28"/>
        </w:rPr>
      </w:pPr>
    </w:p>
    <w:p w14:paraId="6DAFD5E6" w14:textId="77777777" w:rsidR="00863F9E" w:rsidRDefault="00863F9E" w:rsidP="00E9307E">
      <w:pPr>
        <w:rPr>
          <w:rFonts w:ascii="Arial Black" w:hAnsi="Arial Black"/>
          <w:b/>
          <w:sz w:val="28"/>
          <w:szCs w:val="28"/>
        </w:rPr>
      </w:pPr>
    </w:p>
    <w:p w14:paraId="2E321BDA" w14:textId="77777777" w:rsidR="00DD03E3" w:rsidRDefault="00DD03E3" w:rsidP="00E9307E">
      <w:pPr>
        <w:rPr>
          <w:rFonts w:ascii="Arial Black" w:hAnsi="Arial Black"/>
          <w:b/>
          <w:sz w:val="28"/>
          <w:szCs w:val="28"/>
        </w:rPr>
      </w:pPr>
    </w:p>
    <w:p w14:paraId="5BC2EA81" w14:textId="212D5E1B" w:rsidR="00DD03E3" w:rsidRDefault="00102FD0" w:rsidP="00E9307E">
      <w:pPr>
        <w:rPr>
          <w:rFonts w:ascii="Arial Black" w:hAnsi="Arial Black"/>
          <w:b/>
          <w:sz w:val="28"/>
          <w:szCs w:val="28"/>
        </w:rPr>
      </w:pPr>
      <w:r>
        <w:rPr>
          <w:rFonts w:ascii="Arial Black" w:hAnsi="Arial Black"/>
          <w:b/>
          <w:sz w:val="28"/>
          <w:szCs w:val="28"/>
        </w:rPr>
        <w:t>10-</w:t>
      </w:r>
      <w:r w:rsidR="00AC1E3A">
        <w:rPr>
          <w:rFonts w:ascii="Arial Black" w:hAnsi="Arial Black"/>
          <w:b/>
          <w:sz w:val="28"/>
          <w:szCs w:val="28"/>
        </w:rPr>
        <w:t>5</w:t>
      </w:r>
    </w:p>
    <w:p w14:paraId="29891F42" w14:textId="77777777" w:rsidR="00102FD0" w:rsidRPr="00ED7936" w:rsidRDefault="00102FD0" w:rsidP="00102FD0">
      <w:pPr>
        <w:spacing w:before="100" w:beforeAutospacing="1" w:after="100" w:afterAutospacing="1" w:line="240" w:lineRule="auto"/>
        <w:rPr>
          <w:rFonts w:ascii="Arial Black" w:eastAsia="Times New Roman" w:hAnsi="Arial Black"/>
          <w:sz w:val="28"/>
          <w:szCs w:val="28"/>
        </w:rPr>
      </w:pPr>
      <w:r w:rsidRPr="00ED7936">
        <w:rPr>
          <w:rFonts w:ascii="Arial Black" w:eastAsia="Times New Roman" w:hAnsi="Arial Black"/>
          <w:sz w:val="28"/>
          <w:szCs w:val="28"/>
        </w:rPr>
        <w:t>AL:</w:t>
      </w:r>
      <w:r>
        <w:rPr>
          <w:rFonts w:ascii="Arial Black" w:eastAsia="Times New Roman" w:hAnsi="Arial Black"/>
          <w:sz w:val="28"/>
          <w:szCs w:val="28"/>
        </w:rPr>
        <w:t xml:space="preserve"> MEDIC WORKED  48-HR SHIFT - “I CAN’T TAKE IT ANYMORE” &amp; I’M TURNING IN GEAR – FD SAID HE RESIGNED - NO FMLA VIOL.</w:t>
      </w:r>
    </w:p>
    <w:p w14:paraId="1EAD66D9" w14:textId="77777777" w:rsidR="0037332F" w:rsidRPr="00C3618A" w:rsidRDefault="00102FD0" w:rsidP="0037332F">
      <w:pPr>
        <w:pStyle w:val="NormalWeb"/>
      </w:pPr>
      <w:r w:rsidRPr="00C3618A">
        <w:t xml:space="preserve">On </w:t>
      </w:r>
      <w:r>
        <w:t xml:space="preserve">Oct. 6, 2020, in </w:t>
      </w:r>
      <w:r w:rsidRPr="00C3618A">
        <w:rPr>
          <w:u w:val="single"/>
        </w:rPr>
        <w:t>Kyle Blake v. City of Montgomery, Alabama</w:t>
      </w:r>
      <w:r>
        <w:t xml:space="preserve">, U.S. District Court Judge R. Austin Huffaker, Jr., Middle District of Alabama, granted the City’s motion for summary judgment.  The plaintiff was burned out from being forced to work 48-hour shifts and told his </w:t>
      </w:r>
      <w:proofErr w:type="gramStart"/>
      <w:r>
        <w:t>Supervisor</w:t>
      </w:r>
      <w:proofErr w:type="gramEnd"/>
      <w:r>
        <w:t xml:space="preserve"> he would turn his stuff. </w:t>
      </w:r>
      <w:r w:rsidR="0037332F">
        <w:t xml:space="preserve"> </w:t>
      </w:r>
      <w:hyperlink r:id="rId1716" w:history="1">
        <w:r w:rsidR="0037332F" w:rsidRPr="00474EAE">
          <w:rPr>
            <w:rStyle w:val="Hyperlink"/>
          </w:rPr>
          <w:t>https://public.fastcase.com/Wl%2B2t%2BeVuI35%2FN70vAMFZmLHUFluj8t0T%2BAyFM6B%2B2S9SNpejaiKBu7OSzXfoy%2FQ</w:t>
        </w:r>
      </w:hyperlink>
      <w:r w:rsidR="0037332F">
        <w:t xml:space="preserve"> </w:t>
      </w:r>
    </w:p>
    <w:p w14:paraId="0C81017E" w14:textId="7D4F4628" w:rsidR="00102FD0" w:rsidRDefault="00102FD0" w:rsidP="00102FD0">
      <w:pPr>
        <w:pStyle w:val="NormalWeb"/>
      </w:pPr>
    </w:p>
    <w:p w14:paraId="4C23026F" w14:textId="77777777" w:rsidR="00102FD0" w:rsidRDefault="00102FD0" w:rsidP="00102FD0">
      <w:pPr>
        <w:pStyle w:val="NormalWeb"/>
        <w:ind w:left="720"/>
      </w:pPr>
      <w:r>
        <w:t xml:space="preserve">“Does telling your employer that, due to burnout, you ‘couldn't do it anymore’ and that you ‘would turn [your] stuff in if [you] needed to’ support a claim under the Family Medical Leave Act, 29 U.S.C. § 2601 </w:t>
      </w:r>
      <w:r>
        <w:rPr>
          <w:i/>
          <w:iCs/>
        </w:rPr>
        <w:t>et seq</w:t>
      </w:r>
      <w:r>
        <w:t>. (‘FMLA’) when your employer ultimately accepts these statements as your voluntary resignation from your job? … Plaintiff Kyle Blake claims that it does, and this lawsuit tests the legitimacy of that position.</w:t>
      </w:r>
    </w:p>
    <w:p w14:paraId="762136FC" w14:textId="77777777" w:rsidR="00102FD0" w:rsidRDefault="00102FD0" w:rsidP="00102FD0">
      <w:pPr>
        <w:pStyle w:val="NormalWeb"/>
        <w:ind w:left="720"/>
      </w:pPr>
      <w:r>
        <w:t>***</w:t>
      </w:r>
    </w:p>
    <w:p w14:paraId="73475981" w14:textId="77777777" w:rsidR="00102FD0" w:rsidRPr="00C3618A" w:rsidRDefault="00102FD0" w:rsidP="00102FD0">
      <w:pPr>
        <w:pStyle w:val="NormalWeb"/>
        <w:ind w:left="720"/>
      </w:pPr>
      <w:r>
        <w:t xml:space="preserve">“Blake's statements to Hackett that he ‘couldn't do it anymore,’ that he would ‘turn [his] stuff in,’ and that he needed to speak with his wife to sort this out, simply do not rise to a level sufficient to give the City notice he was experiencing a serious medical condition, let alone a qualifying medical condition, of any sort for which he wanted, needed or should be given FMLA leave.” </w:t>
      </w:r>
      <w:hyperlink r:id="rId1717" w:history="1">
        <w:r w:rsidRPr="00474EAE">
          <w:rPr>
            <w:rStyle w:val="Hyperlink"/>
          </w:rPr>
          <w:t>https://public.fastcase.com/Wl%2B2t%2BeVuI35%2FN70vAMFZmLHUFluj8t0T%2BAyFM6B%2B2S9SNpejaiKBu7OSzXfoy%2FQ</w:t>
        </w:r>
      </w:hyperlink>
      <w:r>
        <w:t xml:space="preserve"> </w:t>
      </w:r>
    </w:p>
    <w:p w14:paraId="0E3BDC8F" w14:textId="77777777" w:rsidR="00102FD0" w:rsidRDefault="00102FD0" w:rsidP="00E9307E">
      <w:pPr>
        <w:rPr>
          <w:rFonts w:ascii="Arial Black" w:hAnsi="Arial Black"/>
          <w:b/>
          <w:sz w:val="28"/>
          <w:szCs w:val="28"/>
        </w:rPr>
      </w:pPr>
    </w:p>
    <w:p w14:paraId="7901F0A8" w14:textId="77777777" w:rsidR="00B532F6" w:rsidRDefault="00B532F6" w:rsidP="00E9307E">
      <w:pPr>
        <w:rPr>
          <w:rFonts w:ascii="Arial Black" w:hAnsi="Arial Black"/>
          <w:b/>
          <w:sz w:val="28"/>
          <w:szCs w:val="28"/>
        </w:rPr>
      </w:pPr>
    </w:p>
    <w:p w14:paraId="11E3084E" w14:textId="1EDA6DC1" w:rsidR="006B2083" w:rsidRDefault="006B2083" w:rsidP="00E9307E">
      <w:pPr>
        <w:rPr>
          <w:rFonts w:ascii="Arial Black" w:hAnsi="Arial Black"/>
          <w:b/>
          <w:sz w:val="28"/>
          <w:szCs w:val="28"/>
        </w:rPr>
      </w:pPr>
      <w:r>
        <w:rPr>
          <w:rFonts w:ascii="Arial Black" w:hAnsi="Arial Black"/>
          <w:b/>
          <w:sz w:val="28"/>
          <w:szCs w:val="28"/>
        </w:rPr>
        <w:t>10-</w:t>
      </w:r>
      <w:r w:rsidR="00AC1E3A">
        <w:rPr>
          <w:rFonts w:ascii="Arial Black" w:hAnsi="Arial Black"/>
          <w:b/>
          <w:sz w:val="28"/>
          <w:szCs w:val="28"/>
        </w:rPr>
        <w:t>4</w:t>
      </w:r>
    </w:p>
    <w:p w14:paraId="47564AEA" w14:textId="77777777" w:rsidR="006B2083" w:rsidRDefault="006B2083" w:rsidP="006B2083">
      <w:pPr>
        <w:pStyle w:val="NoSpacing"/>
        <w:rPr>
          <w:rFonts w:ascii="Arial Black" w:hAnsi="Arial Black"/>
          <w:sz w:val="28"/>
          <w:szCs w:val="28"/>
        </w:rPr>
      </w:pPr>
      <w:r w:rsidRPr="008C3F94">
        <w:rPr>
          <w:rFonts w:ascii="Arial Black" w:hAnsi="Arial Black"/>
          <w:sz w:val="28"/>
          <w:szCs w:val="28"/>
        </w:rPr>
        <w:t xml:space="preserve">IL: </w:t>
      </w:r>
      <w:r>
        <w:rPr>
          <w:rFonts w:ascii="Arial Black" w:hAnsi="Arial Black"/>
          <w:sz w:val="28"/>
          <w:szCs w:val="28"/>
        </w:rPr>
        <w:t xml:space="preserve"> LT. TOOK FMLA LEAVE FOR A MONTH – FIRED AFTER FD INVESTIGATION - FAILURE TO PAY HIS SHARE OF SHIFT’S MEAL FUND</w:t>
      </w:r>
    </w:p>
    <w:p w14:paraId="4111C414" w14:textId="77777777" w:rsidR="009A7300" w:rsidRDefault="009A7300" w:rsidP="006B2083">
      <w:pPr>
        <w:pStyle w:val="NoSpacing"/>
        <w:rPr>
          <w:rFonts w:ascii="Times New Roman" w:hAnsi="Times New Roman"/>
          <w:sz w:val="24"/>
          <w:szCs w:val="24"/>
        </w:rPr>
      </w:pPr>
    </w:p>
    <w:p w14:paraId="5484D217" w14:textId="2B3C3D8B" w:rsidR="006B2083" w:rsidRPr="0098623B" w:rsidRDefault="006B2083" w:rsidP="006B2083">
      <w:pPr>
        <w:pStyle w:val="NoSpacing"/>
        <w:rPr>
          <w:rFonts w:ascii="Times New Roman" w:hAnsi="Times New Roman"/>
          <w:sz w:val="24"/>
          <w:szCs w:val="24"/>
        </w:rPr>
      </w:pPr>
      <w:r w:rsidRPr="006631A6">
        <w:rPr>
          <w:rFonts w:ascii="Times New Roman" w:hAnsi="Times New Roman"/>
          <w:sz w:val="24"/>
          <w:szCs w:val="24"/>
        </w:rPr>
        <w:t xml:space="preserve">On </w:t>
      </w:r>
      <w:r>
        <w:rPr>
          <w:rFonts w:ascii="Times New Roman" w:hAnsi="Times New Roman"/>
          <w:sz w:val="24"/>
          <w:szCs w:val="24"/>
        </w:rPr>
        <w:t xml:space="preserve">July 9, 2020, in </w:t>
      </w:r>
      <w:r w:rsidRPr="006631A6">
        <w:rPr>
          <w:rFonts w:ascii="Times New Roman" w:hAnsi="Times New Roman"/>
          <w:sz w:val="24"/>
          <w:szCs w:val="24"/>
          <w:u w:val="single"/>
        </w:rPr>
        <w:t>Melvin H. Brown v. UChicago Argonne LLC</w:t>
      </w:r>
      <w:r>
        <w:rPr>
          <w:rFonts w:ascii="Times New Roman" w:hAnsi="Times New Roman"/>
          <w:sz w:val="24"/>
          <w:szCs w:val="24"/>
        </w:rPr>
        <w:t xml:space="preserve">, U.S. District Court Judge Gary Feinerman, Northern District of Illinois, Eastern District (Chicago) granted summary judgment to the employer. The Court wrote: </w:t>
      </w:r>
      <w:r w:rsidRPr="0098623B">
        <w:rPr>
          <w:rFonts w:ascii="Times New Roman" w:hAnsi="Times New Roman"/>
          <w:sz w:val="24"/>
          <w:szCs w:val="24"/>
        </w:rPr>
        <w:t>Brown’s position that Argonne inadequately investigated Weber’s dinner fund complaint is, even if supported by the record, insufficient to establish pretext given the absence of evidence suggesting that Argonne did not sincerely believe that Brown had abused his authority in failing to reimburse Weber.</w:t>
      </w:r>
      <w:r>
        <w:rPr>
          <w:rFonts w:ascii="Times New Roman" w:hAnsi="Times New Roman"/>
          <w:sz w:val="24"/>
          <w:szCs w:val="24"/>
        </w:rPr>
        <w:t xml:space="preserve">”  </w:t>
      </w:r>
    </w:p>
    <w:p w14:paraId="067CA974" w14:textId="77777777" w:rsidR="006B2083" w:rsidRPr="0098623B" w:rsidRDefault="006B2083" w:rsidP="006B2083">
      <w:pPr>
        <w:pStyle w:val="NoSpacing"/>
        <w:rPr>
          <w:rFonts w:ascii="Times New Roman" w:hAnsi="Times New Roman"/>
          <w:sz w:val="24"/>
          <w:szCs w:val="24"/>
        </w:rPr>
      </w:pPr>
      <w:hyperlink r:id="rId1718" w:history="1">
        <w:r w:rsidRPr="000603D4">
          <w:rPr>
            <w:rStyle w:val="Hyperlink"/>
            <w:rFonts w:ascii="Times New Roman" w:hAnsi="Times New Roman"/>
            <w:sz w:val="24"/>
            <w:szCs w:val="24"/>
          </w:rPr>
          <w:t>https://cases.justia.com/federal/district-courts/illinois/ilndce/1:2018cv08500/359885/139/0.pdf?ts=1594372800</w:t>
        </w:r>
      </w:hyperlink>
      <w:r>
        <w:rPr>
          <w:rFonts w:ascii="Times New Roman" w:hAnsi="Times New Roman"/>
          <w:sz w:val="24"/>
          <w:szCs w:val="24"/>
        </w:rPr>
        <w:t xml:space="preserve"> </w:t>
      </w:r>
    </w:p>
    <w:p w14:paraId="6C90A1CC" w14:textId="77777777" w:rsidR="006B2083" w:rsidRPr="0098623B" w:rsidRDefault="006B2083" w:rsidP="006B2083">
      <w:pPr>
        <w:spacing w:before="100" w:beforeAutospacing="1" w:after="100" w:afterAutospacing="1" w:line="240" w:lineRule="auto"/>
        <w:rPr>
          <w:rFonts w:ascii="Times New Roman" w:hAnsi="Times New Roman"/>
          <w:b/>
          <w:bCs/>
          <w:sz w:val="24"/>
          <w:szCs w:val="24"/>
        </w:rPr>
      </w:pPr>
      <w:r w:rsidRPr="0098623B">
        <w:rPr>
          <w:rFonts w:ascii="Times New Roman" w:hAnsi="Times New Roman"/>
          <w:b/>
          <w:bCs/>
          <w:sz w:val="24"/>
          <w:szCs w:val="24"/>
        </w:rPr>
        <w:t xml:space="preserve">Legal Lesson Learned: </w:t>
      </w:r>
      <w:r>
        <w:rPr>
          <w:rFonts w:ascii="Times New Roman" w:hAnsi="Times New Roman"/>
          <w:b/>
          <w:bCs/>
          <w:sz w:val="24"/>
          <w:szCs w:val="24"/>
        </w:rPr>
        <w:t xml:space="preserve">FMLA statute includes protection against retaliation, but employee must still prove that the discipline imposed was in fact retaliation.  </w:t>
      </w:r>
    </w:p>
    <w:p w14:paraId="039C0174" w14:textId="77777777" w:rsidR="006B2083" w:rsidRDefault="006B2083" w:rsidP="006B2083">
      <w:pPr>
        <w:pStyle w:val="NoSpacing"/>
        <w:ind w:left="720"/>
        <w:rPr>
          <w:rFonts w:ascii="Times New Roman" w:hAnsi="Times New Roman"/>
          <w:sz w:val="24"/>
          <w:szCs w:val="24"/>
        </w:rPr>
      </w:pPr>
      <w:r w:rsidRPr="00EA7DA2">
        <w:rPr>
          <w:rFonts w:ascii="Times New Roman" w:eastAsia="Times New Roman" w:hAnsi="Times New Roman"/>
          <w:sz w:val="24"/>
          <w:szCs w:val="24"/>
        </w:rPr>
        <w:t>Note:</w:t>
      </w:r>
      <w:r>
        <w:rPr>
          <w:rFonts w:ascii="Times New Roman" w:eastAsia="Times New Roman" w:hAnsi="Times New Roman"/>
          <w:b/>
          <w:bCs/>
          <w:sz w:val="24"/>
          <w:szCs w:val="24"/>
        </w:rPr>
        <w:t xml:space="preserve"> </w:t>
      </w:r>
      <w:r>
        <w:rPr>
          <w:rFonts w:ascii="Times New Roman" w:hAnsi="Times New Roman"/>
          <w:sz w:val="24"/>
          <w:szCs w:val="24"/>
        </w:rPr>
        <w:t xml:space="preserve">Fire Department at Argonne National Laboratory, which is managed by the University of Chicago; </w:t>
      </w:r>
      <w:hyperlink r:id="rId1719" w:history="1">
        <w:r w:rsidRPr="00677A50">
          <w:rPr>
            <w:rStyle w:val="Hyperlink"/>
            <w:rFonts w:ascii="Times New Roman" w:hAnsi="Times New Roman"/>
            <w:sz w:val="24"/>
            <w:szCs w:val="24"/>
          </w:rPr>
          <w:t>http://chicagoareafire.com/blog/tag/argonne-national-laboratory-fire-department/</w:t>
        </w:r>
      </w:hyperlink>
      <w:r>
        <w:rPr>
          <w:rFonts w:ascii="Times New Roman" w:hAnsi="Times New Roman"/>
          <w:sz w:val="24"/>
          <w:szCs w:val="24"/>
        </w:rPr>
        <w:t xml:space="preserve">   </w:t>
      </w:r>
    </w:p>
    <w:p w14:paraId="12F079D0" w14:textId="77777777" w:rsidR="006B2083" w:rsidRDefault="006B2083" w:rsidP="006B2083">
      <w:pPr>
        <w:pStyle w:val="NoSpacing"/>
        <w:rPr>
          <w:rFonts w:ascii="Times New Roman" w:hAnsi="Times New Roman"/>
          <w:sz w:val="24"/>
          <w:szCs w:val="24"/>
        </w:rPr>
      </w:pPr>
    </w:p>
    <w:p w14:paraId="5780357B" w14:textId="77777777" w:rsidR="006B2083" w:rsidRDefault="006B2083" w:rsidP="00E9307E">
      <w:pPr>
        <w:rPr>
          <w:rFonts w:ascii="Arial Black" w:hAnsi="Arial Black"/>
          <w:b/>
          <w:sz w:val="28"/>
          <w:szCs w:val="28"/>
        </w:rPr>
      </w:pPr>
    </w:p>
    <w:p w14:paraId="30B849AF" w14:textId="77777777" w:rsidR="006B2083" w:rsidRDefault="006B2083" w:rsidP="00E9307E">
      <w:pPr>
        <w:rPr>
          <w:rFonts w:ascii="Arial Black" w:hAnsi="Arial Black"/>
          <w:b/>
          <w:sz w:val="28"/>
          <w:szCs w:val="28"/>
        </w:rPr>
      </w:pPr>
    </w:p>
    <w:p w14:paraId="0322A37A" w14:textId="56FF29C8" w:rsidR="00366CDD" w:rsidRDefault="00366CDD" w:rsidP="00E9307E">
      <w:pPr>
        <w:rPr>
          <w:rFonts w:ascii="Arial Black" w:hAnsi="Arial Black"/>
          <w:b/>
          <w:sz w:val="28"/>
          <w:szCs w:val="28"/>
        </w:rPr>
      </w:pPr>
      <w:r>
        <w:rPr>
          <w:rFonts w:ascii="Arial Black" w:hAnsi="Arial Black"/>
          <w:b/>
          <w:sz w:val="28"/>
          <w:szCs w:val="28"/>
        </w:rPr>
        <w:t>10-</w:t>
      </w:r>
      <w:r w:rsidR="00AC1E3A">
        <w:rPr>
          <w:rFonts w:ascii="Arial Black" w:hAnsi="Arial Black"/>
          <w:b/>
          <w:sz w:val="28"/>
          <w:szCs w:val="28"/>
        </w:rPr>
        <w:t>3</w:t>
      </w:r>
      <w:r>
        <w:rPr>
          <w:rFonts w:ascii="Arial Black" w:hAnsi="Arial Black"/>
          <w:b/>
          <w:sz w:val="28"/>
          <w:szCs w:val="28"/>
        </w:rPr>
        <w:t xml:space="preserve"> [Also filed, Chap. 9 &amp; Chap. 15]</w:t>
      </w:r>
    </w:p>
    <w:p w14:paraId="0123A73E" w14:textId="77777777" w:rsidR="00366CDD" w:rsidRPr="00A670C3" w:rsidRDefault="00366CDD" w:rsidP="00366CDD">
      <w:pPr>
        <w:spacing w:before="100" w:beforeAutospacing="1" w:after="100" w:afterAutospacing="1" w:line="240" w:lineRule="auto"/>
        <w:rPr>
          <w:rFonts w:ascii="Arial Black" w:eastAsia="Times New Roman" w:hAnsi="Arial Black"/>
          <w:sz w:val="28"/>
          <w:szCs w:val="28"/>
        </w:rPr>
      </w:pPr>
      <w:bookmarkStart w:id="373" w:name="_Hlk66948556"/>
      <w:r w:rsidRPr="00A670C3">
        <w:rPr>
          <w:rFonts w:ascii="Arial Black" w:eastAsia="Times New Roman" w:hAnsi="Arial Black"/>
          <w:sz w:val="28"/>
          <w:szCs w:val="28"/>
        </w:rPr>
        <w:t xml:space="preserve">PA: </w:t>
      </w:r>
      <w:r>
        <w:rPr>
          <w:rFonts w:ascii="Arial Black" w:eastAsia="Times New Roman" w:hAnsi="Arial Black"/>
          <w:sz w:val="28"/>
          <w:szCs w:val="28"/>
        </w:rPr>
        <w:t>FF PANIC ATTACK ON DUTY – PTSD, MEDICATION – NO LONGER QUALIFIED AS FF – TERMINATION NOT VIOL. ADA</w:t>
      </w:r>
    </w:p>
    <w:p w14:paraId="4FD3A7E0" w14:textId="77777777" w:rsidR="00366CDD" w:rsidRPr="008561E5" w:rsidRDefault="00366CDD" w:rsidP="00366CD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April 17, 2020, in </w:t>
      </w:r>
      <w:r w:rsidRPr="008561E5">
        <w:rPr>
          <w:rFonts w:ascii="Times New Roman" w:eastAsia="Times New Roman" w:hAnsi="Times New Roman"/>
          <w:sz w:val="24"/>
          <w:szCs w:val="24"/>
          <w:u w:val="single"/>
        </w:rPr>
        <w:t xml:space="preserve">Robert Carpenter v. York Area United Fire </w:t>
      </w:r>
      <w:proofErr w:type="gramStart"/>
      <w:r w:rsidRPr="008561E5">
        <w:rPr>
          <w:rFonts w:ascii="Times New Roman" w:eastAsia="Times New Roman" w:hAnsi="Times New Roman"/>
          <w:sz w:val="24"/>
          <w:szCs w:val="24"/>
          <w:u w:val="single"/>
        </w:rPr>
        <w:t>And</w:t>
      </w:r>
      <w:proofErr w:type="gramEnd"/>
      <w:r w:rsidRPr="008561E5">
        <w:rPr>
          <w:rFonts w:ascii="Times New Roman" w:eastAsia="Times New Roman" w:hAnsi="Times New Roman"/>
          <w:sz w:val="24"/>
          <w:szCs w:val="24"/>
          <w:u w:val="single"/>
        </w:rPr>
        <w:t xml:space="preserve"> Rescue</w:t>
      </w:r>
      <w:r>
        <w:rPr>
          <w:rFonts w:ascii="Times New Roman" w:eastAsia="Times New Roman" w:hAnsi="Times New Roman"/>
          <w:sz w:val="24"/>
          <w:szCs w:val="24"/>
        </w:rPr>
        <w:t>, U.S. District Court Judge Christopher C. Conner, Chief Judge, Middle District of Pennsylvania, granted the FD’s motion for summary judgment.  The Court held that the firefighter was not a “</w:t>
      </w:r>
      <w:r w:rsidRPr="00A670C3">
        <w:rPr>
          <w:rFonts w:ascii="Times New Roman" w:eastAsia="Times New Roman" w:hAnsi="Times New Roman"/>
          <w:sz w:val="24"/>
          <w:szCs w:val="24"/>
        </w:rPr>
        <w:t>qualified individual for ADA purposes because he could not perform the essential functions of his job with or without reasonable accommodation</w:t>
      </w:r>
      <w:r>
        <w:rPr>
          <w:rFonts w:ascii="Times New Roman" w:eastAsia="Times New Roman" w:hAnsi="Times New Roman"/>
          <w:sz w:val="24"/>
          <w:szCs w:val="24"/>
        </w:rPr>
        <w:t>,” and indefinite leave of absence was not a reasonable accommodation; “</w:t>
      </w:r>
      <w:r w:rsidRPr="008561E5">
        <w:rPr>
          <w:rFonts w:ascii="Times New Roman" w:hAnsi="Times New Roman"/>
          <w:sz w:val="24"/>
          <w:szCs w:val="24"/>
        </w:rPr>
        <w:t xml:space="preserve">there must be some expectation that the employee could perform his essential job functions in the </w:t>
      </w:r>
      <w:r>
        <w:rPr>
          <w:rFonts w:ascii="Times New Roman" w:hAnsi="Times New Roman"/>
          <w:sz w:val="24"/>
          <w:szCs w:val="24"/>
        </w:rPr>
        <w:t>‘</w:t>
      </w:r>
      <w:r w:rsidRPr="008561E5">
        <w:rPr>
          <w:rFonts w:ascii="Times New Roman" w:hAnsi="Times New Roman"/>
          <w:sz w:val="24"/>
          <w:szCs w:val="24"/>
        </w:rPr>
        <w:t>near future</w:t>
      </w:r>
      <w:r>
        <w:rPr>
          <w:rFonts w:ascii="Times New Roman" w:hAnsi="Times New Roman"/>
          <w:sz w:val="24"/>
          <w:szCs w:val="24"/>
        </w:rPr>
        <w:t>’</w:t>
      </w:r>
      <w:r w:rsidRPr="008561E5">
        <w:rPr>
          <w:rFonts w:ascii="Times New Roman" w:hAnsi="Times New Roman"/>
          <w:sz w:val="24"/>
          <w:szCs w:val="24"/>
        </w:rPr>
        <w:t xml:space="preserve"> following the requested leave.</w:t>
      </w:r>
      <w:r>
        <w:rPr>
          <w:rFonts w:ascii="Times New Roman" w:hAnsi="Times New Roman"/>
          <w:sz w:val="24"/>
          <w:szCs w:val="24"/>
        </w:rPr>
        <w:t xml:space="preserve">   </w:t>
      </w:r>
    </w:p>
    <w:bookmarkEnd w:id="373"/>
    <w:p w14:paraId="05DC189E" w14:textId="77777777" w:rsidR="00366CDD" w:rsidRDefault="00366CDD" w:rsidP="00366CDD">
      <w:pPr>
        <w:pStyle w:val="NormalWeb"/>
        <w:ind w:left="720"/>
      </w:pPr>
      <w:r>
        <w:t xml:space="preserve">“[Fire Department] </w:t>
      </w:r>
      <w:r w:rsidRPr="00A670C3">
        <w:t>argues that Carpenter is not a qualified individual for ADA purposes because he could not perform the essential functions of his job with or without reasonable accommodation. We agree.</w:t>
      </w:r>
      <w:r>
        <w:t xml:space="preserve">” </w:t>
      </w:r>
      <w:bookmarkStart w:id="374" w:name="_Hlk66948592"/>
      <w:r w:rsidR="00F00958">
        <w:fldChar w:fldCharType="begin"/>
      </w:r>
      <w:r w:rsidR="00F00958">
        <w:instrText xml:space="preserve"> HYPERLINK "https://public.fastcase.com/Wl%2B2t%2BeVuI35%2FN70vAMFZkkc03nKI8qkpSJ%2FzmzLggswfoR1RvbDETmM60pPGUhc" </w:instrText>
      </w:r>
      <w:r w:rsidR="00F00958">
        <w:fldChar w:fldCharType="separate"/>
      </w:r>
      <w:r w:rsidRPr="00377614">
        <w:rPr>
          <w:rStyle w:val="Hyperlink"/>
        </w:rPr>
        <w:t>https://public.fastcase.com/Wl%2B2t%2BeVuI35%2FN70vAMFZkkc03nKI8qkpSJ%2FzmzLggswfoR1RvbDETmM60pPGUhc</w:t>
      </w:r>
      <w:r w:rsidR="00F00958">
        <w:rPr>
          <w:rStyle w:val="Hyperlink"/>
        </w:rPr>
        <w:fldChar w:fldCharType="end"/>
      </w:r>
      <w:r>
        <w:t xml:space="preserve"> </w:t>
      </w:r>
    </w:p>
    <w:p w14:paraId="67A914FA" w14:textId="77777777" w:rsidR="00366CDD" w:rsidRPr="00DE2E06" w:rsidRDefault="00366CDD" w:rsidP="00366CDD">
      <w:pPr>
        <w:rPr>
          <w:rFonts w:ascii="Times New Roman" w:hAnsi="Times New Roman"/>
          <w:b/>
          <w:bCs/>
          <w:sz w:val="24"/>
          <w:szCs w:val="24"/>
        </w:rPr>
      </w:pPr>
      <w:r w:rsidRPr="00DE2E06">
        <w:rPr>
          <w:rFonts w:ascii="Times New Roman" w:hAnsi="Times New Roman"/>
          <w:b/>
          <w:bCs/>
          <w:sz w:val="24"/>
          <w:szCs w:val="24"/>
        </w:rPr>
        <w:t>Legal Lessons Learned:  FF on leave and undergoing treatment, who desires to get back to the job, needs to stay in communication with FD.</w:t>
      </w:r>
      <w:r>
        <w:rPr>
          <w:rFonts w:ascii="Times New Roman" w:hAnsi="Times New Roman"/>
          <w:b/>
          <w:bCs/>
          <w:sz w:val="24"/>
          <w:szCs w:val="24"/>
        </w:rPr>
        <w:t xml:space="preserve">   FMLA also addressed (see below).</w:t>
      </w:r>
    </w:p>
    <w:bookmarkEnd w:id="374"/>
    <w:p w14:paraId="5C96A1C5" w14:textId="7DD5B946" w:rsidR="00366CDD" w:rsidRPr="00063DF6" w:rsidRDefault="00366CDD" w:rsidP="00366CDD">
      <w:pPr>
        <w:pStyle w:val="NormalWeb"/>
        <w:ind w:left="720"/>
        <w:rPr>
          <w:b/>
          <w:bCs/>
        </w:rPr>
      </w:pPr>
      <w:r w:rsidRPr="00063DF6">
        <w:t xml:space="preserve">Note:  </w:t>
      </w:r>
      <w:r>
        <w:t xml:space="preserve">Court also held that the FF was not </w:t>
      </w:r>
      <w:proofErr w:type="gramStart"/>
      <w:r>
        <w:t>entitle</w:t>
      </w:r>
      <w:proofErr w:type="gramEnd"/>
      <w:r>
        <w:t xml:space="preserve"> the FMLA leave. </w:t>
      </w:r>
      <w:r>
        <w:rPr>
          <w:bCs/>
        </w:rPr>
        <w:t>“</w:t>
      </w:r>
      <w:r w:rsidRPr="00A670C3">
        <w:rPr>
          <w:bCs/>
        </w:rPr>
        <w:t>In a letter dated October 11, 2017, YAUFR denied Carpenter's FMLA leave request</w:t>
      </w:r>
      <w:r>
        <w:rPr>
          <w:bCs/>
        </w:rPr>
        <w:t xml:space="preserve">…. </w:t>
      </w:r>
      <w:r w:rsidRPr="00A670C3">
        <w:rPr>
          <w:bCs/>
        </w:rPr>
        <w:t xml:space="preserve"> YAUFR explained that, although it was a covered employer under the FMLA, it did not employ the requisite number of people for Carpenter to be considered an </w:t>
      </w:r>
      <w:r>
        <w:rPr>
          <w:bCs/>
        </w:rPr>
        <w:t>‘</w:t>
      </w:r>
      <w:r w:rsidRPr="00A670C3">
        <w:rPr>
          <w:bCs/>
        </w:rPr>
        <w:t>eligible employee</w:t>
      </w:r>
      <w:r>
        <w:rPr>
          <w:bCs/>
        </w:rPr>
        <w:t>’</w:t>
      </w:r>
      <w:r w:rsidRPr="00A670C3">
        <w:rPr>
          <w:bCs/>
        </w:rPr>
        <w:t xml:space="preserve"> under FMLA regulations.</w:t>
      </w:r>
      <w:r>
        <w:rPr>
          <w:bCs/>
        </w:rPr>
        <w:t xml:space="preserve"> *** </w:t>
      </w:r>
      <w:r w:rsidRPr="00063DF6">
        <w:rPr>
          <w:bCs/>
        </w:rPr>
        <w:t xml:space="preserve">To qualify as an </w:t>
      </w:r>
      <w:r>
        <w:rPr>
          <w:bCs/>
        </w:rPr>
        <w:t>‘</w:t>
      </w:r>
      <w:r w:rsidRPr="00063DF6">
        <w:rPr>
          <w:bCs/>
        </w:rPr>
        <w:t>eligible employee,</w:t>
      </w:r>
      <w:r>
        <w:rPr>
          <w:bCs/>
        </w:rPr>
        <w:t>’</w:t>
      </w:r>
      <w:r w:rsidRPr="00063DF6">
        <w:rPr>
          <w:bCs/>
        </w:rPr>
        <w:t xml:space="preserve"> the employee must be </w:t>
      </w:r>
      <w:r>
        <w:rPr>
          <w:bCs/>
        </w:rPr>
        <w:t>‘</w:t>
      </w:r>
      <w:r w:rsidRPr="00063DF6">
        <w:rPr>
          <w:bCs/>
        </w:rPr>
        <w:t>employed at a worksite where 50 or more employees are employed by the employer within 75 miles of that worksite.</w:t>
      </w:r>
      <w:r>
        <w:rPr>
          <w:bCs/>
        </w:rPr>
        <w:t>’</w:t>
      </w:r>
      <w:r w:rsidRPr="00063DF6">
        <w:rPr>
          <w:bCs/>
        </w:rPr>
        <w:t xml:space="preserve"> 29 C.F.R. § 825.110(a)(3); see 29 U.S.C. § 2611(2)(B)(ii). YAUFR avers, and Carpenter concedes, that YAUFR has never employed 50 or more people.</w:t>
      </w:r>
      <w:r>
        <w:rPr>
          <w:bCs/>
        </w:rPr>
        <w:t>”</w:t>
      </w:r>
    </w:p>
    <w:p w14:paraId="6530185D" w14:textId="77777777" w:rsidR="00366CDD" w:rsidRDefault="00366CDD" w:rsidP="00E9307E">
      <w:pPr>
        <w:rPr>
          <w:rFonts w:ascii="Arial Black" w:hAnsi="Arial Black"/>
          <w:b/>
          <w:sz w:val="28"/>
          <w:szCs w:val="28"/>
        </w:rPr>
      </w:pPr>
    </w:p>
    <w:bookmarkEnd w:id="371"/>
    <w:p w14:paraId="5B3FCE04" w14:textId="4D3A39C5" w:rsidR="00DE0F03" w:rsidRDefault="00DE0F03" w:rsidP="00DE0F03">
      <w:pPr>
        <w:rPr>
          <w:sz w:val="24"/>
          <w:szCs w:val="24"/>
        </w:rPr>
      </w:pPr>
      <w:r>
        <w:rPr>
          <w:rFonts w:ascii="Arial Black" w:hAnsi="Arial Black"/>
          <w:b/>
          <w:sz w:val="24"/>
          <w:szCs w:val="24"/>
        </w:rPr>
        <w:t>10</w:t>
      </w:r>
      <w:r w:rsidRPr="00EF1133">
        <w:rPr>
          <w:rFonts w:ascii="Arial Black" w:hAnsi="Arial Black"/>
          <w:b/>
          <w:sz w:val="24"/>
          <w:szCs w:val="24"/>
        </w:rPr>
        <w:t>-</w:t>
      </w:r>
      <w:r>
        <w:rPr>
          <w:rFonts w:ascii="Arial Black" w:hAnsi="Arial Black"/>
          <w:b/>
          <w:sz w:val="24"/>
          <w:szCs w:val="24"/>
        </w:rPr>
        <w:t>2</w:t>
      </w:r>
    </w:p>
    <w:p w14:paraId="6A195784" w14:textId="29C131DC" w:rsidR="00F326E5" w:rsidRPr="00C56DAA" w:rsidRDefault="00F326E5" w:rsidP="00F326E5">
      <w:pPr>
        <w:rPr>
          <w:rFonts w:ascii="Arial Black" w:hAnsi="Arial Black"/>
          <w:sz w:val="28"/>
          <w:szCs w:val="28"/>
        </w:rPr>
      </w:pPr>
      <w:bookmarkStart w:id="375" w:name="_Hlk39819188"/>
      <w:bookmarkStart w:id="376" w:name="_Hlk7345186"/>
      <w:r w:rsidRPr="00C56DAA">
        <w:rPr>
          <w:rFonts w:ascii="Arial Black" w:hAnsi="Arial Black"/>
          <w:sz w:val="28"/>
          <w:szCs w:val="28"/>
        </w:rPr>
        <w:t>U.S. D</w:t>
      </w:r>
      <w:r>
        <w:rPr>
          <w:rFonts w:ascii="Arial Black" w:hAnsi="Arial Black"/>
          <w:sz w:val="28"/>
          <w:szCs w:val="28"/>
        </w:rPr>
        <w:t xml:space="preserve">EPT. LABOR – HEALTHY PERSON DONATING ORGAN ENTITLED TO FMLA LEAVE </w:t>
      </w:r>
    </w:p>
    <w:p w14:paraId="17F4EA37" w14:textId="77777777" w:rsidR="00E658E1" w:rsidRDefault="00F326E5" w:rsidP="00F326E5">
      <w:pPr>
        <w:rPr>
          <w:rFonts w:ascii="Times New Roman" w:eastAsia="Times New Roman" w:hAnsi="Times New Roman"/>
          <w:sz w:val="24"/>
          <w:szCs w:val="24"/>
        </w:rPr>
      </w:pPr>
      <w:r w:rsidRPr="00E658E1">
        <w:rPr>
          <w:rFonts w:ascii="Times New Roman" w:eastAsia="Times New Roman" w:hAnsi="Times New Roman"/>
          <w:sz w:val="24"/>
          <w:szCs w:val="24"/>
        </w:rPr>
        <w:t xml:space="preserve">On Aug. 28, 2018, the U.S. Department of Labor issued Opinion No. FMLA2018-2- A. </w:t>
      </w:r>
    </w:p>
    <w:p w14:paraId="3B877859" w14:textId="475EF534" w:rsidR="00F326E5" w:rsidRPr="00E658E1" w:rsidRDefault="00F326E5" w:rsidP="00E658E1">
      <w:pPr>
        <w:ind w:left="720"/>
        <w:rPr>
          <w:rFonts w:ascii="Times New Roman" w:eastAsia="Times New Roman" w:hAnsi="Times New Roman"/>
          <w:sz w:val="24"/>
          <w:szCs w:val="24"/>
        </w:rPr>
      </w:pPr>
      <w:r w:rsidRPr="00E658E1">
        <w:rPr>
          <w:rFonts w:ascii="Times New Roman" w:eastAsia="Times New Roman" w:hAnsi="Times New Roman"/>
          <w:sz w:val="24"/>
          <w:szCs w:val="24"/>
        </w:rPr>
        <w:t>“This letter responds to your request for an opinion letter concerning whether organ-donation surgery can qualify as a ‘serious health condition’ under the Family and Medical Leave Act of 1993 (FMLA). As discussed below, we conclude that it can.”</w:t>
      </w:r>
      <w:r w:rsidR="00E658E1">
        <w:rPr>
          <w:rFonts w:ascii="Times New Roman" w:eastAsia="Times New Roman" w:hAnsi="Times New Roman"/>
          <w:sz w:val="24"/>
          <w:szCs w:val="24"/>
        </w:rPr>
        <w:t xml:space="preserve"> </w:t>
      </w:r>
      <w:hyperlink r:id="rId1720" w:history="1">
        <w:r w:rsidRPr="00E658E1">
          <w:rPr>
            <w:rStyle w:val="Hyperlink"/>
            <w:rFonts w:ascii="Times New Roman" w:hAnsi="Times New Roman"/>
            <w:sz w:val="24"/>
            <w:szCs w:val="24"/>
          </w:rPr>
          <w:t>https://www.dol.gov/whd/opinion/FMLA/2018/2018_08_28_2A_FMLA.pdf</w:t>
        </w:r>
      </w:hyperlink>
      <w:bookmarkEnd w:id="375"/>
      <w:r w:rsidRPr="00E658E1">
        <w:rPr>
          <w:rFonts w:ascii="Times New Roman" w:eastAsia="Times New Roman" w:hAnsi="Times New Roman"/>
          <w:sz w:val="24"/>
          <w:szCs w:val="24"/>
        </w:rPr>
        <w:t xml:space="preserve"> </w:t>
      </w:r>
    </w:p>
    <w:p w14:paraId="5720C0D4" w14:textId="51C1B863" w:rsidR="00F326E5" w:rsidRPr="00E658E1" w:rsidRDefault="00F326E5" w:rsidP="00F326E5">
      <w:pPr>
        <w:rPr>
          <w:rFonts w:ascii="Times New Roman" w:eastAsia="Times New Roman" w:hAnsi="Times New Roman"/>
          <w:b/>
          <w:sz w:val="24"/>
          <w:szCs w:val="24"/>
        </w:rPr>
      </w:pPr>
      <w:r w:rsidRPr="00E658E1">
        <w:rPr>
          <w:rFonts w:ascii="Times New Roman" w:eastAsia="Times New Roman" w:hAnsi="Times New Roman"/>
          <w:b/>
          <w:sz w:val="24"/>
          <w:szCs w:val="24"/>
        </w:rPr>
        <w:t xml:space="preserve">Legal Lessons Learned: Helpful to have an Opinion Letter that may encourage others to be organ donors. </w:t>
      </w:r>
    </w:p>
    <w:p w14:paraId="07D70E34" w14:textId="77777777" w:rsidR="00DE0F03" w:rsidRDefault="00DE0F03" w:rsidP="00DE0F03">
      <w:pPr>
        <w:rPr>
          <w:rFonts w:ascii="Arial Black" w:hAnsi="Arial Black"/>
          <w:b/>
          <w:sz w:val="24"/>
          <w:szCs w:val="24"/>
        </w:rPr>
      </w:pPr>
    </w:p>
    <w:p w14:paraId="48CE18B7" w14:textId="28A61DEE" w:rsidR="00DE0F03" w:rsidRDefault="00DE0F03" w:rsidP="00DE0F03">
      <w:pPr>
        <w:rPr>
          <w:sz w:val="24"/>
          <w:szCs w:val="24"/>
        </w:rPr>
      </w:pPr>
      <w:r>
        <w:rPr>
          <w:rFonts w:ascii="Arial Black" w:hAnsi="Arial Black"/>
          <w:b/>
          <w:sz w:val="24"/>
          <w:szCs w:val="24"/>
        </w:rPr>
        <w:t>10</w:t>
      </w:r>
      <w:r w:rsidRPr="00EF1133">
        <w:rPr>
          <w:rFonts w:ascii="Arial Black" w:hAnsi="Arial Black"/>
          <w:b/>
          <w:sz w:val="24"/>
          <w:szCs w:val="24"/>
        </w:rPr>
        <w:t>-1</w:t>
      </w:r>
    </w:p>
    <w:p w14:paraId="11711C48" w14:textId="6FCE684F" w:rsidR="008F1BBB" w:rsidRDefault="008F1BBB" w:rsidP="008F1BBB">
      <w:pPr>
        <w:pStyle w:val="NoSpacing"/>
        <w:rPr>
          <w:rFonts w:ascii="Arial Black" w:hAnsi="Arial Black"/>
          <w:b/>
          <w:sz w:val="24"/>
          <w:szCs w:val="24"/>
        </w:rPr>
      </w:pPr>
      <w:bookmarkStart w:id="377" w:name="_Hlk39771651"/>
      <w:bookmarkStart w:id="378" w:name="_Hlk7181215"/>
      <w:bookmarkEnd w:id="376"/>
      <w:r>
        <w:rPr>
          <w:rFonts w:ascii="Arial Black" w:hAnsi="Arial Black"/>
          <w:sz w:val="28"/>
          <w:szCs w:val="28"/>
        </w:rPr>
        <w:t>OH: DAYTON FD RECRUIT – RE</w:t>
      </w:r>
      <w:r w:rsidR="00BC38B6">
        <w:rPr>
          <w:rFonts w:ascii="Arial Black" w:hAnsi="Arial Black"/>
          <w:sz w:val="28"/>
          <w:szCs w:val="28"/>
        </w:rPr>
        <w:t xml:space="preserve">MOVED </w:t>
      </w:r>
      <w:r>
        <w:rPr>
          <w:rFonts w:ascii="Arial Black" w:hAnsi="Arial Black"/>
          <w:sz w:val="28"/>
          <w:szCs w:val="28"/>
        </w:rPr>
        <w:t xml:space="preserve">FROM CLASS AFTER KNEE INJURY – NO FMLA VIOLATION </w:t>
      </w:r>
      <w:r w:rsidRPr="00EB2673">
        <w:rPr>
          <w:b/>
          <w:sz w:val="24"/>
          <w:szCs w:val="24"/>
        </w:rPr>
        <w:t>[also filed, Chap. 14]</w:t>
      </w:r>
      <w:r>
        <w:rPr>
          <w:rFonts w:ascii="Arial Black" w:hAnsi="Arial Black"/>
          <w:sz w:val="28"/>
          <w:szCs w:val="28"/>
        </w:rPr>
        <w:t xml:space="preserve"> </w:t>
      </w:r>
    </w:p>
    <w:p w14:paraId="5D43F0E8" w14:textId="77777777" w:rsidR="00E658E1" w:rsidRDefault="008F1BBB" w:rsidP="008F1BBB">
      <w:pPr>
        <w:rPr>
          <w:rFonts w:ascii="Times New Roman" w:hAnsi="Times New Roman"/>
          <w:sz w:val="24"/>
          <w:szCs w:val="24"/>
        </w:rPr>
      </w:pPr>
      <w:r w:rsidRPr="00E658E1">
        <w:rPr>
          <w:rFonts w:ascii="Times New Roman" w:hAnsi="Times New Roman"/>
          <w:sz w:val="24"/>
          <w:szCs w:val="24"/>
        </w:rPr>
        <w:t xml:space="preserve">On </w:t>
      </w:r>
      <w:bookmarkStart w:id="379" w:name="_Hlk39847208"/>
      <w:r w:rsidRPr="00E658E1">
        <w:rPr>
          <w:rFonts w:ascii="Times New Roman" w:hAnsi="Times New Roman"/>
          <w:sz w:val="24"/>
          <w:szCs w:val="24"/>
        </w:rPr>
        <w:t xml:space="preserve">Feb. 9, </w:t>
      </w:r>
      <w:proofErr w:type="gramStart"/>
      <w:r w:rsidRPr="00E658E1">
        <w:rPr>
          <w:rFonts w:ascii="Times New Roman" w:hAnsi="Times New Roman"/>
          <w:sz w:val="24"/>
          <w:szCs w:val="24"/>
        </w:rPr>
        <w:t>2018</w:t>
      </w:r>
      <w:proofErr w:type="gramEnd"/>
      <w:r w:rsidRPr="00E658E1">
        <w:rPr>
          <w:rFonts w:ascii="Times New Roman" w:hAnsi="Times New Roman"/>
          <w:sz w:val="24"/>
          <w:szCs w:val="24"/>
        </w:rPr>
        <w:t xml:space="preserve"> in </w:t>
      </w:r>
      <w:r w:rsidRPr="00E658E1">
        <w:rPr>
          <w:rFonts w:ascii="Times New Roman" w:hAnsi="Times New Roman"/>
          <w:sz w:val="24"/>
          <w:szCs w:val="24"/>
          <w:u w:val="single"/>
        </w:rPr>
        <w:t>Shawn N. Geisel v. City of Dayton, et al</w:t>
      </w:r>
      <w:r w:rsidRPr="00E658E1">
        <w:rPr>
          <w:rFonts w:ascii="Times New Roman" w:hAnsi="Times New Roman"/>
          <w:sz w:val="24"/>
          <w:szCs w:val="24"/>
        </w:rPr>
        <w:t xml:space="preserve">., </w:t>
      </w:r>
      <w:bookmarkEnd w:id="379"/>
      <w:r w:rsidRPr="00E658E1">
        <w:rPr>
          <w:rFonts w:ascii="Times New Roman" w:hAnsi="Times New Roman"/>
          <w:sz w:val="24"/>
          <w:szCs w:val="24"/>
        </w:rPr>
        <w:t xml:space="preserve">Ohio Court of Appeals for Second Circuit (Montgomery County) held (3 to 0) that the FD had the authority to remove him from the recruit class and ‘demote’ him back to EMT.   </w:t>
      </w:r>
    </w:p>
    <w:p w14:paraId="3B569E18" w14:textId="5948E9F3" w:rsidR="008F1BBB" w:rsidRPr="00E658E1" w:rsidRDefault="008F1BBB" w:rsidP="00E658E1">
      <w:pPr>
        <w:ind w:left="720"/>
        <w:rPr>
          <w:rFonts w:ascii="Times New Roman" w:hAnsi="Times New Roman"/>
          <w:sz w:val="24"/>
          <w:szCs w:val="24"/>
        </w:rPr>
      </w:pPr>
      <w:r w:rsidRPr="00E658E1">
        <w:rPr>
          <w:rFonts w:ascii="Times New Roman" w:hAnsi="Times New Roman"/>
          <w:sz w:val="24"/>
          <w:szCs w:val="24"/>
        </w:rPr>
        <w:t xml:space="preserve">“We do not mean to imply that Geisel could not reapply for the position, but only that his appointment to Firefighter Recruit was a self-contained opportunity that did not entail a right to be reappointed or to continue as a recruit until he could complete the training program.”  </w:t>
      </w:r>
      <w:bookmarkStart w:id="380" w:name="_Hlk39847230"/>
      <w:r w:rsidR="00BC38B6">
        <w:fldChar w:fldCharType="begin"/>
      </w:r>
      <w:r w:rsidR="00BC38B6">
        <w:instrText xml:space="preserve"> HYPERLINK "http://www.supremecourt.ohio.gov/rod/docs/pdf/2/2018/2018-ohio-512.pdf" </w:instrText>
      </w:r>
      <w:r w:rsidR="00BC38B6">
        <w:fldChar w:fldCharType="separate"/>
      </w:r>
      <w:r w:rsidRPr="00E658E1">
        <w:rPr>
          <w:rStyle w:val="Hyperlink"/>
          <w:rFonts w:ascii="Times New Roman" w:hAnsi="Times New Roman"/>
          <w:sz w:val="24"/>
          <w:szCs w:val="24"/>
        </w:rPr>
        <w:t>http://www.supremecourt.ohio.gov/rod/docs/pdf/2/2018/2018-ohio-512.pdf</w:t>
      </w:r>
      <w:r w:rsidR="00BC38B6">
        <w:rPr>
          <w:rStyle w:val="Hyperlink"/>
          <w:rFonts w:ascii="Times New Roman" w:hAnsi="Times New Roman"/>
          <w:sz w:val="24"/>
          <w:szCs w:val="24"/>
        </w:rPr>
        <w:fldChar w:fldCharType="end"/>
      </w:r>
      <w:r w:rsidRPr="00E658E1">
        <w:rPr>
          <w:rFonts w:ascii="Times New Roman" w:hAnsi="Times New Roman"/>
          <w:sz w:val="24"/>
          <w:szCs w:val="24"/>
        </w:rPr>
        <w:t xml:space="preserve"> </w:t>
      </w:r>
    </w:p>
    <w:p w14:paraId="20A676B3" w14:textId="5A66D8AC" w:rsidR="008F1BBB" w:rsidRDefault="008F1BBB" w:rsidP="00B532F6">
      <w:pPr>
        <w:rPr>
          <w:rFonts w:ascii="Arial Black" w:hAnsi="Arial Black"/>
          <w:sz w:val="40"/>
          <w:szCs w:val="40"/>
        </w:rPr>
      </w:pPr>
      <w:bookmarkStart w:id="381" w:name="_Hlk40512893"/>
      <w:bookmarkEnd w:id="377"/>
      <w:bookmarkEnd w:id="380"/>
      <w:r w:rsidRPr="00E658E1">
        <w:rPr>
          <w:rFonts w:ascii="Times New Roman" w:hAnsi="Times New Roman"/>
          <w:b/>
          <w:sz w:val="24"/>
          <w:szCs w:val="24"/>
        </w:rPr>
        <w:t>L</w:t>
      </w:r>
      <w:r w:rsidR="0052665B">
        <w:rPr>
          <w:rFonts w:ascii="Times New Roman" w:hAnsi="Times New Roman"/>
          <w:b/>
          <w:sz w:val="24"/>
          <w:szCs w:val="24"/>
        </w:rPr>
        <w:t xml:space="preserve">egal Lesson Learned: </w:t>
      </w:r>
      <w:r w:rsidRPr="00E658E1">
        <w:rPr>
          <w:rFonts w:ascii="Times New Roman" w:hAnsi="Times New Roman"/>
          <w:b/>
          <w:sz w:val="24"/>
          <w:szCs w:val="24"/>
        </w:rPr>
        <w:t xml:space="preserve">Dayton Civil Services rules treat </w:t>
      </w:r>
      <w:proofErr w:type="gramStart"/>
      <w:r w:rsidRPr="00E658E1">
        <w:rPr>
          <w:rFonts w:ascii="Times New Roman" w:hAnsi="Times New Roman"/>
          <w:b/>
          <w:sz w:val="24"/>
          <w:szCs w:val="24"/>
        </w:rPr>
        <w:t>a</w:t>
      </w:r>
      <w:proofErr w:type="gramEnd"/>
      <w:r w:rsidRPr="00E658E1">
        <w:rPr>
          <w:rFonts w:ascii="Times New Roman" w:hAnsi="Times New Roman"/>
          <w:b/>
          <w:sz w:val="24"/>
          <w:szCs w:val="24"/>
        </w:rPr>
        <w:t xml:space="preserve"> FF recruit as a probationary employee; when injured in recruit school, </w:t>
      </w:r>
      <w:r w:rsidR="00A16B10">
        <w:rPr>
          <w:rFonts w:ascii="Times New Roman" w:hAnsi="Times New Roman"/>
          <w:b/>
          <w:sz w:val="24"/>
          <w:szCs w:val="24"/>
        </w:rPr>
        <w:t xml:space="preserve">he </w:t>
      </w:r>
      <w:r w:rsidRPr="00E658E1">
        <w:rPr>
          <w:rFonts w:ascii="Times New Roman" w:hAnsi="Times New Roman"/>
          <w:b/>
          <w:sz w:val="24"/>
          <w:szCs w:val="24"/>
        </w:rPr>
        <w:t>can be “demoted” back to EMT-B and placed on light duty.</w:t>
      </w:r>
      <w:bookmarkEnd w:id="378"/>
      <w:bookmarkEnd w:id="381"/>
    </w:p>
    <w:p w14:paraId="481B2BA8" w14:textId="77777777" w:rsidR="00B532F6" w:rsidRDefault="00B532F6" w:rsidP="00F326E5">
      <w:pPr>
        <w:pStyle w:val="NoSpacing"/>
        <w:rPr>
          <w:rFonts w:ascii="Arial Black" w:hAnsi="Arial Black"/>
          <w:sz w:val="40"/>
          <w:szCs w:val="40"/>
        </w:rPr>
      </w:pPr>
    </w:p>
    <w:p w14:paraId="1EDE9D39" w14:textId="7839FFA4" w:rsidR="00102FD0" w:rsidRDefault="00102FD0">
      <w:pPr>
        <w:spacing w:after="0" w:line="240" w:lineRule="auto"/>
        <w:rPr>
          <w:rFonts w:ascii="Arial Black" w:hAnsi="Arial Black"/>
          <w:sz w:val="40"/>
          <w:szCs w:val="40"/>
        </w:rPr>
      </w:pPr>
      <w:r>
        <w:rPr>
          <w:rFonts w:ascii="Arial Black" w:hAnsi="Arial Black"/>
          <w:sz w:val="40"/>
          <w:szCs w:val="40"/>
        </w:rPr>
        <w:br w:type="page"/>
      </w:r>
    </w:p>
    <w:p w14:paraId="5560A8D6" w14:textId="77777777" w:rsidR="00102FD0" w:rsidRDefault="00102FD0" w:rsidP="00F326E5">
      <w:pPr>
        <w:pStyle w:val="NoSpacing"/>
        <w:rPr>
          <w:rFonts w:ascii="Arial Black" w:hAnsi="Arial Black"/>
          <w:sz w:val="40"/>
          <w:szCs w:val="40"/>
        </w:rPr>
      </w:pPr>
    </w:p>
    <w:p w14:paraId="5BB13200" w14:textId="77777777" w:rsidR="009C7451" w:rsidRDefault="009C7451" w:rsidP="00F326E5">
      <w:pPr>
        <w:pStyle w:val="NoSpacing"/>
        <w:rPr>
          <w:rFonts w:ascii="Arial Black" w:hAnsi="Arial Black"/>
          <w:sz w:val="40"/>
          <w:szCs w:val="40"/>
        </w:rPr>
      </w:pPr>
    </w:p>
    <w:p w14:paraId="79D80A12" w14:textId="77777777" w:rsidR="009C7451" w:rsidRDefault="009C7451" w:rsidP="00F326E5">
      <w:pPr>
        <w:pStyle w:val="NoSpacing"/>
        <w:rPr>
          <w:rFonts w:ascii="Arial Black" w:hAnsi="Arial Black"/>
          <w:sz w:val="40"/>
          <w:szCs w:val="40"/>
        </w:rPr>
      </w:pPr>
    </w:p>
    <w:p w14:paraId="61B2CC91" w14:textId="77777777" w:rsidR="009C7451" w:rsidRDefault="009C7451" w:rsidP="00F326E5">
      <w:pPr>
        <w:pStyle w:val="NoSpacing"/>
        <w:rPr>
          <w:rFonts w:ascii="Arial Black" w:hAnsi="Arial Black"/>
          <w:sz w:val="40"/>
          <w:szCs w:val="40"/>
        </w:rPr>
      </w:pPr>
    </w:p>
    <w:p w14:paraId="0746D459" w14:textId="77777777" w:rsidR="009C7451" w:rsidRDefault="009C7451" w:rsidP="00F326E5">
      <w:pPr>
        <w:pStyle w:val="NoSpacing"/>
        <w:rPr>
          <w:rFonts w:ascii="Arial Black" w:hAnsi="Arial Black"/>
          <w:sz w:val="40"/>
          <w:szCs w:val="40"/>
        </w:rPr>
      </w:pPr>
    </w:p>
    <w:p w14:paraId="7C8AE1B7" w14:textId="77777777" w:rsidR="009C7451" w:rsidRDefault="009C7451" w:rsidP="00F326E5">
      <w:pPr>
        <w:pStyle w:val="NoSpacing"/>
        <w:rPr>
          <w:rFonts w:ascii="Arial Black" w:hAnsi="Arial Black"/>
          <w:sz w:val="40"/>
          <w:szCs w:val="40"/>
        </w:rPr>
      </w:pPr>
    </w:p>
    <w:p w14:paraId="27F1FCBD" w14:textId="77777777" w:rsidR="009C7451" w:rsidRDefault="009C7451" w:rsidP="00F326E5">
      <w:pPr>
        <w:pStyle w:val="NoSpacing"/>
        <w:rPr>
          <w:rFonts w:ascii="Arial Black" w:hAnsi="Arial Black"/>
          <w:sz w:val="40"/>
          <w:szCs w:val="40"/>
        </w:rPr>
      </w:pPr>
    </w:p>
    <w:p w14:paraId="1AB0FA51" w14:textId="77777777" w:rsidR="009C7451" w:rsidRDefault="009C7451" w:rsidP="00F326E5">
      <w:pPr>
        <w:pStyle w:val="NoSpacing"/>
        <w:rPr>
          <w:rFonts w:ascii="Arial Black" w:hAnsi="Arial Black"/>
          <w:sz w:val="40"/>
          <w:szCs w:val="40"/>
        </w:rPr>
      </w:pPr>
    </w:p>
    <w:p w14:paraId="487F2092" w14:textId="77777777" w:rsidR="009C7451" w:rsidRDefault="009C7451" w:rsidP="00F326E5">
      <w:pPr>
        <w:pStyle w:val="NoSpacing"/>
        <w:rPr>
          <w:rFonts w:ascii="Arial Black" w:hAnsi="Arial Black"/>
          <w:sz w:val="40"/>
          <w:szCs w:val="40"/>
        </w:rPr>
      </w:pPr>
    </w:p>
    <w:p w14:paraId="4414C434" w14:textId="77777777" w:rsidR="009C7451" w:rsidRDefault="009C7451" w:rsidP="00F326E5">
      <w:pPr>
        <w:pStyle w:val="NoSpacing"/>
        <w:rPr>
          <w:rFonts w:ascii="Arial Black" w:hAnsi="Arial Black"/>
          <w:sz w:val="40"/>
          <w:szCs w:val="40"/>
        </w:rPr>
      </w:pPr>
    </w:p>
    <w:p w14:paraId="08B17C36" w14:textId="77777777" w:rsidR="009C7451" w:rsidRDefault="009C7451" w:rsidP="00F326E5">
      <w:pPr>
        <w:pStyle w:val="NoSpacing"/>
        <w:rPr>
          <w:rFonts w:ascii="Arial Black" w:hAnsi="Arial Black"/>
          <w:sz w:val="40"/>
          <w:szCs w:val="40"/>
        </w:rPr>
      </w:pPr>
    </w:p>
    <w:p w14:paraId="66EE8DAA" w14:textId="77777777" w:rsidR="009C7451" w:rsidRDefault="009C7451" w:rsidP="00F326E5">
      <w:pPr>
        <w:pStyle w:val="NoSpacing"/>
        <w:rPr>
          <w:rFonts w:ascii="Arial Black" w:hAnsi="Arial Black"/>
          <w:sz w:val="40"/>
          <w:szCs w:val="40"/>
        </w:rPr>
      </w:pPr>
    </w:p>
    <w:p w14:paraId="4FBE2217" w14:textId="77777777" w:rsidR="009C7451" w:rsidRDefault="009C7451" w:rsidP="00F326E5">
      <w:pPr>
        <w:pStyle w:val="NoSpacing"/>
        <w:rPr>
          <w:rFonts w:ascii="Arial Black" w:hAnsi="Arial Black"/>
          <w:sz w:val="40"/>
          <w:szCs w:val="40"/>
        </w:rPr>
      </w:pPr>
    </w:p>
    <w:p w14:paraId="3795FC36" w14:textId="77777777" w:rsidR="009C7451" w:rsidRDefault="009C7451" w:rsidP="00F326E5">
      <w:pPr>
        <w:pStyle w:val="NoSpacing"/>
        <w:rPr>
          <w:rFonts w:ascii="Arial Black" w:hAnsi="Arial Black"/>
          <w:sz w:val="40"/>
          <w:szCs w:val="40"/>
        </w:rPr>
      </w:pPr>
    </w:p>
    <w:p w14:paraId="71A4FF4B" w14:textId="77777777" w:rsidR="009C7451" w:rsidRDefault="009C7451" w:rsidP="00F326E5">
      <w:pPr>
        <w:pStyle w:val="NoSpacing"/>
        <w:rPr>
          <w:rFonts w:ascii="Arial Black" w:hAnsi="Arial Black"/>
          <w:sz w:val="40"/>
          <w:szCs w:val="40"/>
        </w:rPr>
      </w:pPr>
    </w:p>
    <w:p w14:paraId="56707D0B" w14:textId="77777777" w:rsidR="009C7451" w:rsidRDefault="009C7451" w:rsidP="00F326E5">
      <w:pPr>
        <w:pStyle w:val="NoSpacing"/>
        <w:rPr>
          <w:rFonts w:ascii="Arial Black" w:hAnsi="Arial Black"/>
          <w:sz w:val="40"/>
          <w:szCs w:val="40"/>
        </w:rPr>
      </w:pPr>
    </w:p>
    <w:p w14:paraId="443F4768" w14:textId="77777777" w:rsidR="009C7451" w:rsidRDefault="009C7451" w:rsidP="00F326E5">
      <w:pPr>
        <w:pStyle w:val="NoSpacing"/>
        <w:rPr>
          <w:rFonts w:ascii="Arial Black" w:hAnsi="Arial Black"/>
          <w:sz w:val="40"/>
          <w:szCs w:val="40"/>
        </w:rPr>
      </w:pPr>
    </w:p>
    <w:p w14:paraId="7115AE10" w14:textId="77777777" w:rsidR="009C7451" w:rsidRDefault="009C7451" w:rsidP="00F326E5">
      <w:pPr>
        <w:pStyle w:val="NoSpacing"/>
        <w:rPr>
          <w:rFonts w:ascii="Arial Black" w:hAnsi="Arial Black"/>
          <w:sz w:val="40"/>
          <w:szCs w:val="40"/>
        </w:rPr>
      </w:pPr>
    </w:p>
    <w:p w14:paraId="550BC55F" w14:textId="77777777" w:rsidR="009C7451" w:rsidRDefault="009C7451" w:rsidP="00F326E5">
      <w:pPr>
        <w:pStyle w:val="NoSpacing"/>
        <w:rPr>
          <w:rFonts w:ascii="Arial Black" w:hAnsi="Arial Black"/>
          <w:sz w:val="40"/>
          <w:szCs w:val="40"/>
        </w:rPr>
      </w:pPr>
    </w:p>
    <w:p w14:paraId="6B3D155B" w14:textId="77777777" w:rsidR="009C7451" w:rsidRDefault="009C7451" w:rsidP="00F326E5">
      <w:pPr>
        <w:pStyle w:val="NoSpacing"/>
        <w:rPr>
          <w:rFonts w:ascii="Arial Black" w:hAnsi="Arial Black"/>
          <w:sz w:val="40"/>
          <w:szCs w:val="40"/>
        </w:rPr>
      </w:pPr>
    </w:p>
    <w:p w14:paraId="5C7586A4" w14:textId="77777777" w:rsidR="009C7451" w:rsidRDefault="009C7451" w:rsidP="00F326E5">
      <w:pPr>
        <w:pStyle w:val="NoSpacing"/>
        <w:rPr>
          <w:rFonts w:ascii="Arial Black" w:hAnsi="Arial Black"/>
          <w:sz w:val="40"/>
          <w:szCs w:val="40"/>
        </w:rPr>
      </w:pPr>
    </w:p>
    <w:p w14:paraId="609E156C" w14:textId="77777777" w:rsidR="009C7451" w:rsidRDefault="009C7451" w:rsidP="00F326E5">
      <w:pPr>
        <w:pStyle w:val="NoSpacing"/>
        <w:rPr>
          <w:rFonts w:ascii="Arial Black" w:hAnsi="Arial Black"/>
          <w:sz w:val="40"/>
          <w:szCs w:val="40"/>
        </w:rPr>
      </w:pPr>
    </w:p>
    <w:p w14:paraId="04939E69" w14:textId="77777777" w:rsidR="009C7451" w:rsidRDefault="009C7451" w:rsidP="00F326E5">
      <w:pPr>
        <w:pStyle w:val="NoSpacing"/>
        <w:rPr>
          <w:rFonts w:ascii="Arial Black" w:hAnsi="Arial Black"/>
          <w:sz w:val="40"/>
          <w:szCs w:val="40"/>
        </w:rPr>
      </w:pPr>
    </w:p>
    <w:p w14:paraId="206C3E5C" w14:textId="77777777" w:rsidR="009C7451" w:rsidRDefault="009C7451" w:rsidP="00F326E5">
      <w:pPr>
        <w:pStyle w:val="NoSpacing"/>
        <w:rPr>
          <w:rFonts w:ascii="Arial Black" w:hAnsi="Arial Black"/>
          <w:sz w:val="40"/>
          <w:szCs w:val="40"/>
        </w:rPr>
      </w:pPr>
    </w:p>
    <w:p w14:paraId="6F40D096" w14:textId="398B5402" w:rsidR="00F326E5" w:rsidRDefault="00F326E5" w:rsidP="00F326E5">
      <w:pPr>
        <w:pStyle w:val="NoSpacing"/>
        <w:rPr>
          <w:rFonts w:ascii="Arial Black" w:hAnsi="Arial Black"/>
          <w:sz w:val="40"/>
          <w:szCs w:val="40"/>
        </w:rPr>
      </w:pPr>
      <w:r w:rsidRPr="007732FA">
        <w:rPr>
          <w:rFonts w:ascii="Arial Black" w:hAnsi="Arial Black"/>
          <w:sz w:val="40"/>
          <w:szCs w:val="40"/>
        </w:rPr>
        <w:t>Chap. 11</w:t>
      </w:r>
      <w:r w:rsidRPr="007732FA">
        <w:rPr>
          <w:rFonts w:ascii="Arial Black" w:hAnsi="Arial Black"/>
          <w:sz w:val="40"/>
          <w:szCs w:val="40"/>
        </w:rPr>
        <w:tab/>
        <w:t>Fair Labor Standards Act</w:t>
      </w:r>
      <w:r w:rsidR="00EC50D5">
        <w:rPr>
          <w:rFonts w:ascii="Arial Black" w:hAnsi="Arial Black"/>
          <w:sz w:val="40"/>
          <w:szCs w:val="40"/>
        </w:rPr>
        <w:t xml:space="preserve"> and Military Pay</w:t>
      </w:r>
    </w:p>
    <w:p w14:paraId="3E3C2EA0" w14:textId="77777777" w:rsidR="00C5039F" w:rsidRDefault="00C5039F" w:rsidP="00020106">
      <w:pPr>
        <w:rPr>
          <w:rFonts w:ascii="Arial Black" w:hAnsi="Arial Black"/>
          <w:b/>
          <w:sz w:val="24"/>
          <w:szCs w:val="24"/>
        </w:rPr>
      </w:pPr>
    </w:p>
    <w:p w14:paraId="7200A2A0" w14:textId="2F788968" w:rsidR="00DD3D7A" w:rsidRDefault="00C5039F" w:rsidP="00020106">
      <w:pPr>
        <w:rPr>
          <w:rFonts w:ascii="Arial Black" w:hAnsi="Arial Black"/>
          <w:b/>
          <w:sz w:val="24"/>
          <w:szCs w:val="24"/>
        </w:rPr>
      </w:pPr>
      <w:r>
        <w:rPr>
          <w:rFonts w:ascii="Arial Black" w:hAnsi="Arial Black"/>
          <w:b/>
          <w:sz w:val="24"/>
          <w:szCs w:val="24"/>
        </w:rPr>
        <w:t>11-72</w:t>
      </w:r>
    </w:p>
    <w:p w14:paraId="6AC772CF" w14:textId="77777777" w:rsidR="00F53F21" w:rsidRPr="00FB7372" w:rsidRDefault="00F53F21" w:rsidP="00F53F21">
      <w:pPr>
        <w:pStyle w:val="NoSpacing"/>
        <w:rPr>
          <w:rFonts w:ascii="Arial Black" w:hAnsi="Arial Black"/>
          <w:sz w:val="28"/>
          <w:szCs w:val="28"/>
        </w:rPr>
      </w:pPr>
      <w:r>
        <w:rPr>
          <w:rFonts w:ascii="Arial Black" w:hAnsi="Arial Black"/>
          <w:sz w:val="28"/>
          <w:szCs w:val="28"/>
        </w:rPr>
        <w:t>IL: CITY’S CHANGE 24/48 SHIFT - CLASS ACTION DAMAGES</w:t>
      </w:r>
    </w:p>
    <w:p w14:paraId="008C55A1" w14:textId="77777777" w:rsidR="00F53F21" w:rsidRDefault="00F53F21" w:rsidP="00F53F21">
      <w:pPr>
        <w:pStyle w:val="NoSpacing"/>
      </w:pPr>
    </w:p>
    <w:p w14:paraId="22BDC0A8" w14:textId="77777777" w:rsidR="00F53F21" w:rsidRDefault="00F53F21" w:rsidP="00F53F21">
      <w:r>
        <w:t xml:space="preserve">On May 26, 2026, in </w:t>
      </w:r>
      <w:r w:rsidRPr="00266EFF">
        <w:rPr>
          <w:u w:val="single"/>
        </w:rPr>
        <w:t>East Chicago Professional Firefighters Local 365, et al. v. City of East Chicago, et al.</w:t>
      </w:r>
      <w:r>
        <w:t xml:space="preserve">, the Court of Appeals of Indiana held (3 to 0; unpublished decision) that the Indiana State Court Judge failed to send notice to all firefighters in a class action lawsuit for money damages. The state case is </w:t>
      </w:r>
      <w:proofErr w:type="gramStart"/>
      <w:r>
        <w:t>remanded</w:t>
      </w:r>
      <w:proofErr w:type="gramEnd"/>
      <w:r>
        <w:t xml:space="preserve"> to set damage award for 84 current and former firefighters who had their shift unilaterally changed on December 7, </w:t>
      </w:r>
      <w:proofErr w:type="gramStart"/>
      <w:r>
        <w:t>2019</w:t>
      </w:r>
      <w:proofErr w:type="gramEnd"/>
      <w:r>
        <w:t xml:space="preserve"> from 24/48 to rotating 8-hour days (off 24) and 8-hour nights (off 24 hours).  This unilateral change was spearheaded by </w:t>
      </w:r>
      <w:r w:rsidRPr="00BD274C">
        <w:t xml:space="preserve">Anthony Copeland, a former firefighter of twenty-six years, </w:t>
      </w:r>
      <w:r>
        <w:t xml:space="preserve">who </w:t>
      </w:r>
      <w:r w:rsidRPr="00BD274C">
        <w:t>was elected mayor of the City of East Chicago in 2010.</w:t>
      </w:r>
      <w:r>
        <w:t xml:space="preserve"> The union had previously won a federal injunction setting aside the shift change on March 28, 2022, which was upheld by United States Seventh </w:t>
      </w:r>
      <w:r w:rsidRPr="0097445E">
        <w:t>Circuit</w:t>
      </w:r>
      <w:r w:rsidRPr="00320051">
        <w:t xml:space="preserve"> </w:t>
      </w:r>
      <w:r>
        <w:t xml:space="preserve">on Dec. 21, 2022.  The Court wrote: “We conclude that the trial court erred as a matter of law by not directing the notice procedure to the members of the class who could be identified through reasonable effort.” </w:t>
      </w:r>
      <w:hyperlink r:id="rId1721" w:history="1">
        <w:r w:rsidRPr="00014504">
          <w:rPr>
            <w:rStyle w:val="Hyperlink"/>
            <w:b/>
          </w:rPr>
          <w:t>https://cases.justia.com/indiana/court-of-appeals/2026-25a-pl-01609.pdf?ts=1779819186</w:t>
        </w:r>
      </w:hyperlink>
    </w:p>
    <w:p w14:paraId="6494A53A" w14:textId="77777777" w:rsidR="00F53F21" w:rsidRDefault="00F53F21" w:rsidP="00F53F21">
      <w:pPr>
        <w:pStyle w:val="NoSpacing"/>
      </w:pPr>
      <w:r w:rsidRPr="00AB37D4">
        <w:rPr>
          <w:b/>
        </w:rPr>
        <w:t>FACTS:</w:t>
      </w:r>
      <w:r>
        <w:t xml:space="preserve"> </w:t>
      </w:r>
    </w:p>
    <w:p w14:paraId="35939041" w14:textId="77777777" w:rsidR="00F53F21" w:rsidRDefault="00F53F21" w:rsidP="00F53F21">
      <w:pPr>
        <w:pStyle w:val="NoSpacing"/>
      </w:pPr>
    </w:p>
    <w:p w14:paraId="7911D83D" w14:textId="77777777" w:rsidR="00F53F21" w:rsidRDefault="00F53F21" w:rsidP="00F53F21">
      <w:pPr>
        <w:pStyle w:val="NoSpacing"/>
      </w:pPr>
      <w:r>
        <w:t>“</w:t>
      </w:r>
      <w:r w:rsidRPr="00902CC0">
        <w:t>The Firefighters, who are eighty-four current and former East Chicago</w:t>
      </w:r>
      <w:r>
        <w:t xml:space="preserve"> </w:t>
      </w:r>
      <w:r w:rsidRPr="00902CC0">
        <w:t>firefighters, moved for class certification on June 23, 2022</w:t>
      </w:r>
      <w:r>
        <w:t xml:space="preserve">…. The trial court, in its July 29 [2022] Order, found that Trial Rule 23(B)(3) applied to the case and certified two damages classes: (1) firefighters employed by East Chicago from December 7, </w:t>
      </w:r>
      <w:proofErr w:type="gramStart"/>
      <w:r>
        <w:t>2019</w:t>
      </w:r>
      <w:proofErr w:type="gramEnd"/>
      <w:r>
        <w:t xml:space="preserve"> to present; and (2) firefighters employed by East Chicago in the year 2021. </w:t>
      </w:r>
    </w:p>
    <w:p w14:paraId="3CA19911" w14:textId="77777777" w:rsidR="00F53F21" w:rsidRDefault="00F53F21" w:rsidP="00F53F21">
      <w:pPr>
        <w:pStyle w:val="NoSpacing"/>
      </w:pPr>
    </w:p>
    <w:p w14:paraId="1E79F33A" w14:textId="77777777" w:rsidR="00F53F21" w:rsidRDefault="00F53F21" w:rsidP="00F53F21">
      <w:pPr>
        <w:pStyle w:val="NoSpacing"/>
      </w:pPr>
      <w:r>
        <w:t>***</w:t>
      </w:r>
    </w:p>
    <w:p w14:paraId="4774A793" w14:textId="77777777" w:rsidR="00F53F21" w:rsidRDefault="00F53F21" w:rsidP="00F53F21">
      <w:pPr>
        <w:pStyle w:val="NoSpacing"/>
      </w:pPr>
    </w:p>
    <w:p w14:paraId="614D9262" w14:textId="77777777" w:rsidR="00F53F21" w:rsidRDefault="00F53F21" w:rsidP="00F53F21">
      <w:pPr>
        <w:pStyle w:val="NoSpacing"/>
      </w:pPr>
      <w:r>
        <w:t>However, the court did not direct that formal notice of the class action and the options available to the purported class be given…. T</w:t>
      </w:r>
      <w:r w:rsidRPr="00952750">
        <w:t>he Firefighters argued against East Chicago’s suggestion of equitable</w:t>
      </w:r>
      <w:r>
        <w:t xml:space="preserve"> </w:t>
      </w:r>
      <w:r w:rsidRPr="00952750">
        <w:t>relief, stating that there was a legal remedy in the form of money damages.</w:t>
      </w:r>
    </w:p>
    <w:p w14:paraId="77F5AD96" w14:textId="77777777" w:rsidR="00F53F21" w:rsidRDefault="00F53F21" w:rsidP="00F53F21">
      <w:pPr>
        <w:pStyle w:val="NoSpacing"/>
      </w:pPr>
    </w:p>
    <w:p w14:paraId="27115A97" w14:textId="77777777" w:rsidR="00F53F21" w:rsidRDefault="00F53F21" w:rsidP="00F53F21">
      <w:pPr>
        <w:pStyle w:val="NoSpacing"/>
      </w:pPr>
      <w:r>
        <w:t>***</w:t>
      </w:r>
    </w:p>
    <w:p w14:paraId="5FCD1983" w14:textId="77777777" w:rsidR="00F53F21" w:rsidRDefault="00F53F21" w:rsidP="00F53F21">
      <w:pPr>
        <w:pStyle w:val="NoSpacing"/>
      </w:pPr>
      <w:r>
        <w:t xml:space="preserve">The court held a hearing to address The Firefighters’ Section 8 Petition , which sought further relief based on the court’s declaratory judgment entered on November 29, </w:t>
      </w:r>
      <w:proofErr w:type="gramStart"/>
      <w:r>
        <w:t>2023</w:t>
      </w:r>
      <w:proofErr w:type="gramEnd"/>
      <w:r>
        <w:t xml:space="preserve"> as to the statutory claim, in the form of compensatory damages, and explicitly stating injunctive relief was not being sought.”</w:t>
      </w:r>
    </w:p>
    <w:p w14:paraId="5A589B71" w14:textId="77777777" w:rsidR="00F53F21" w:rsidRPr="00AB37D4" w:rsidRDefault="00F53F21" w:rsidP="00F53F21">
      <w:pPr>
        <w:pStyle w:val="NoSpacing"/>
        <w:rPr>
          <w:b/>
          <w:bCs/>
        </w:rPr>
      </w:pPr>
    </w:p>
    <w:p w14:paraId="14502AA0" w14:textId="77777777" w:rsidR="00F53F21" w:rsidRDefault="00F53F21" w:rsidP="00F53F21">
      <w:pPr>
        <w:pStyle w:val="NoSpacing"/>
        <w:tabs>
          <w:tab w:val="left" w:pos="2580"/>
        </w:tabs>
      </w:pPr>
      <w:r w:rsidRPr="00AB37D4">
        <w:rPr>
          <w:b/>
        </w:rPr>
        <w:t>COURT HELD:</w:t>
      </w:r>
      <w:r>
        <w:t xml:space="preserve"> </w:t>
      </w:r>
    </w:p>
    <w:p w14:paraId="627FF72B" w14:textId="77777777" w:rsidR="00F53F21" w:rsidRDefault="00F53F21" w:rsidP="00F53F21">
      <w:pPr>
        <w:pStyle w:val="NoSpacing"/>
        <w:tabs>
          <w:tab w:val="left" w:pos="2580"/>
        </w:tabs>
      </w:pPr>
    </w:p>
    <w:p w14:paraId="623A0B8E" w14:textId="77777777" w:rsidR="00F53F21" w:rsidRDefault="00F53F21" w:rsidP="00F53F21">
      <w:pPr>
        <w:pStyle w:val="NoSpacing"/>
        <w:tabs>
          <w:tab w:val="left" w:pos="2580"/>
        </w:tabs>
        <w:rPr>
          <w:b/>
        </w:rPr>
      </w:pPr>
      <w:r>
        <w:t>“The Firefighters could not have anticipated that the trial court would proceed to final judgment prior to following the procedure for class actions, taking evidence or swearing in witnesses…. We conclude that the trial court erred as a matter of law by not directing the notice procedure to the members of the class who could be identified through reasonable effort. And because The Firefighters could not have anticipated the trial court would enter a final judgment without a trial or evidentiary hearing where witnesses were sworn and evidence was heard, they correctly brought the issue of lack of class notification to the trial court’s attention as soon as it was identifiable. Therefore, we remand this matter to the trial court for further proceedings.”</w:t>
      </w:r>
      <w:r w:rsidRPr="007920FB">
        <w:t xml:space="preserve"> </w:t>
      </w:r>
    </w:p>
    <w:p w14:paraId="67DA25BE" w14:textId="77777777" w:rsidR="00F53F21" w:rsidRDefault="00F53F21" w:rsidP="00F53F21">
      <w:pPr>
        <w:rPr>
          <w:b/>
        </w:rPr>
      </w:pPr>
    </w:p>
    <w:p w14:paraId="36E6DE17" w14:textId="77777777" w:rsidR="00F53F21" w:rsidRPr="00302C9C" w:rsidRDefault="00F53F21" w:rsidP="00F53F21">
      <w:pPr>
        <w:rPr>
          <w:b/>
        </w:rPr>
      </w:pPr>
      <w:r>
        <w:rPr>
          <w:b/>
        </w:rPr>
        <w:t xml:space="preserve">Legal lesson learned: City failed to collectively bargain the change in shift. </w:t>
      </w:r>
    </w:p>
    <w:p w14:paraId="51E2D9B1" w14:textId="77777777" w:rsidR="00F53F21" w:rsidRPr="0097445E" w:rsidRDefault="00F53F21" w:rsidP="00F53F21">
      <w:pPr>
        <w:rPr>
          <w:bCs/>
        </w:rPr>
      </w:pPr>
      <w:r>
        <w:rPr>
          <w:b/>
        </w:rPr>
        <w:tab/>
      </w:r>
      <w:r w:rsidRPr="0097445E">
        <w:t>Note:  See comments of the</w:t>
      </w:r>
      <w:r>
        <w:t xml:space="preserve"> United States Seventh </w:t>
      </w:r>
      <w:r w:rsidRPr="0097445E">
        <w:t>Circuit</w:t>
      </w:r>
      <w:r w:rsidRPr="00320051">
        <w:t xml:space="preserve"> </w:t>
      </w:r>
      <w:r>
        <w:t>on Dec. 21, 2022.</w:t>
      </w:r>
    </w:p>
    <w:p w14:paraId="06C64421" w14:textId="77777777" w:rsidR="00F53F21" w:rsidRDefault="00F53F21" w:rsidP="00F53F21">
      <w:pPr>
        <w:pStyle w:val="NoSpacing"/>
        <w:ind w:left="720"/>
      </w:pPr>
      <w:r>
        <w:t>“</w:t>
      </w:r>
      <w:r w:rsidRPr="0097445E">
        <w:t xml:space="preserve">No other fire department in the country has adopted the 8/24 schedule. Unlike the 24/48 system, where the firefighters are </w:t>
      </w:r>
      <w:proofErr w:type="gramStart"/>
      <w:r w:rsidRPr="0097445E">
        <w:t>on-duty</w:t>
      </w:r>
      <w:proofErr w:type="gramEnd"/>
      <w:r w:rsidRPr="0097445E">
        <w:t xml:space="preserve"> the same hours every day that they work, the 8/24 schedule assigns the firefighters to different shifts every day. A firefighter could, for example, work the day shift on one day, the night </w:t>
      </w:r>
      <w:proofErr w:type="gramStart"/>
      <w:r w:rsidRPr="0097445E">
        <w:t>shift</w:t>
      </w:r>
      <w:proofErr w:type="gramEnd"/>
      <w:r w:rsidRPr="0097445E">
        <w:t xml:space="preserve"> the next day, and the graveyard shift the day after. This rotating schedule wreaked havoc on the personal lives and wellbeing of the firefighters, making it difficult—if not impossible—for the firefighters to manage their children's regular schedules and establish consistent sleep schedules. As a result, the firefighters experienced weight gain, lack of sleep, irritability, and trouble concentrating.</w:t>
      </w:r>
      <w:r>
        <w:t>”</w:t>
      </w:r>
      <w:r w:rsidRPr="000C0354">
        <w:t xml:space="preserve"> </w:t>
      </w:r>
      <w:hyperlink r:id="rId1722" w:history="1">
        <w:r w:rsidRPr="001B1815">
          <w:rPr>
            <w:rStyle w:val="Hyperlink"/>
          </w:rPr>
          <w:t>https://caselaw.findlaw.com/court/us-7th-circuit/2104932.html</w:t>
        </w:r>
      </w:hyperlink>
      <w:r>
        <w:t xml:space="preserve"> </w:t>
      </w:r>
    </w:p>
    <w:p w14:paraId="415D8447" w14:textId="77777777" w:rsidR="00F53F21" w:rsidRDefault="00F53F21" w:rsidP="00CD1F10">
      <w:pPr>
        <w:rPr>
          <w:rFonts w:ascii="Arial Black" w:hAnsi="Arial Black"/>
          <w:b/>
          <w:sz w:val="28"/>
          <w:szCs w:val="28"/>
        </w:rPr>
      </w:pPr>
    </w:p>
    <w:p w14:paraId="49FC2FED" w14:textId="77777777" w:rsidR="00F53F21" w:rsidRDefault="00F53F21" w:rsidP="00CD1F10">
      <w:pPr>
        <w:rPr>
          <w:rFonts w:ascii="Arial Black" w:hAnsi="Arial Black"/>
          <w:b/>
          <w:sz w:val="28"/>
          <w:szCs w:val="28"/>
        </w:rPr>
      </w:pPr>
    </w:p>
    <w:p w14:paraId="4866F1F7" w14:textId="3BA87E25" w:rsidR="0036420D" w:rsidRDefault="0036420D" w:rsidP="00CD1F10">
      <w:pPr>
        <w:rPr>
          <w:rFonts w:ascii="Arial Black" w:hAnsi="Arial Black"/>
          <w:b/>
          <w:sz w:val="28"/>
          <w:szCs w:val="28"/>
        </w:rPr>
      </w:pPr>
      <w:r>
        <w:rPr>
          <w:rFonts w:ascii="Arial Black" w:hAnsi="Arial Black"/>
          <w:b/>
          <w:sz w:val="28"/>
          <w:szCs w:val="28"/>
        </w:rPr>
        <w:t>11-71</w:t>
      </w:r>
    </w:p>
    <w:p w14:paraId="0AB687BE" w14:textId="3584F2E4" w:rsidR="00CD1F10" w:rsidRDefault="00CD1F10" w:rsidP="00CD1F10">
      <w:pPr>
        <w:rPr>
          <w:rFonts w:ascii="Arial Black" w:hAnsi="Arial Black"/>
          <w:b/>
          <w:sz w:val="28"/>
          <w:szCs w:val="28"/>
        </w:rPr>
      </w:pPr>
      <w:r>
        <w:rPr>
          <w:rFonts w:ascii="Arial Black" w:hAnsi="Arial Black"/>
          <w:b/>
          <w:sz w:val="28"/>
          <w:szCs w:val="28"/>
        </w:rPr>
        <w:t>NJ: OVERTIME CLASS ACTION – 24/72 – FF / CAPTAINS / BCs</w:t>
      </w:r>
    </w:p>
    <w:p w14:paraId="1782437E" w14:textId="77777777" w:rsidR="00CD1F10" w:rsidRDefault="00CD1F10" w:rsidP="00CD1F10">
      <w:pPr>
        <w:pStyle w:val="NoSpacing"/>
      </w:pPr>
      <w:r w:rsidRPr="0099625C">
        <w:t xml:space="preserve">On May 26, 2026, in </w:t>
      </w:r>
      <w:r w:rsidRPr="0099625C">
        <w:rPr>
          <w:u w:val="single"/>
        </w:rPr>
        <w:t>Adrian Evans, et al. v. City of Patterson</w:t>
      </w:r>
      <w:r>
        <w:t xml:space="preserve">, the </w:t>
      </w:r>
      <w:r w:rsidRPr="00BF791A">
        <w:t>Superior Court of New Jersey, Appellate Division</w:t>
      </w:r>
      <w:r>
        <w:t xml:space="preserve"> held (3 to 0) that trial court properly granted the firefighters’ motion for class certification concerning alleged violation of state overtime laws.  </w:t>
      </w:r>
      <w:r w:rsidRPr="00033CC1">
        <w:t>Plaintiffs claim they routinely worked over forty hours per week without receiving the statutorily required overtime payment for doing so.</w:t>
      </w:r>
      <w:r>
        <w:t xml:space="preserve"> THE COURT WROTE: “By admitting that over forty fire fighters were employed by the City since 2017, we conclude the amount of forty fire fighters satisfies the numerosity requirement as determined by the court and there was no abuse of discretion…. plaintiffs point to the certifications submitted showing that captains and battalion chiefs regularly performed firefighting duties and were paid full-time uniformed firefighters who were subject to the terms and conditions in the CBA.” </w:t>
      </w:r>
      <w:hyperlink r:id="rId1723" w:history="1">
        <w:r w:rsidRPr="007272C4">
          <w:rPr>
            <w:rStyle w:val="Hyperlink"/>
          </w:rPr>
          <w:t>https://www.njcourts.gov/system/files/court-opinions/2026/a1218-25.pdf</w:t>
        </w:r>
      </w:hyperlink>
      <w:r>
        <w:t xml:space="preserve"> </w:t>
      </w:r>
    </w:p>
    <w:p w14:paraId="7B63E67A" w14:textId="77777777" w:rsidR="00CD1F10" w:rsidRDefault="00CD1F10" w:rsidP="00CD1F10">
      <w:pPr>
        <w:pStyle w:val="NoSpacing"/>
      </w:pPr>
    </w:p>
    <w:p w14:paraId="428DCEE1" w14:textId="77777777" w:rsidR="00CD1F10" w:rsidRDefault="00CD1F10" w:rsidP="00CD1F10">
      <w:pPr>
        <w:pStyle w:val="NoSpacing"/>
      </w:pPr>
      <w:r>
        <w:t xml:space="preserve"> THE COURT HELD:</w:t>
      </w:r>
    </w:p>
    <w:p w14:paraId="5546719E" w14:textId="77777777" w:rsidR="00CD1F10" w:rsidRDefault="00CD1F10" w:rsidP="00CD1F10">
      <w:pPr>
        <w:pStyle w:val="NoSpacing"/>
      </w:pPr>
    </w:p>
    <w:p w14:paraId="0A81991D" w14:textId="77777777" w:rsidR="00CD1F10" w:rsidRDefault="00CD1F10" w:rsidP="00CD1F10">
      <w:pPr>
        <w:pStyle w:val="NoSpacing"/>
        <w:ind w:left="720"/>
      </w:pPr>
      <w:r>
        <w:t>“Under Article XII Section A of the above-referenced CBAs, the work schedule for the firefighters was as follows:</w:t>
      </w:r>
    </w:p>
    <w:p w14:paraId="28DB916D" w14:textId="77777777" w:rsidR="00CD1F10" w:rsidRDefault="00CD1F10" w:rsidP="00CD1F10">
      <w:pPr>
        <w:pStyle w:val="NoSpacing"/>
        <w:ind w:firstLine="720"/>
      </w:pPr>
    </w:p>
    <w:p w14:paraId="0A66DCAA" w14:textId="77777777" w:rsidR="00CD1F10" w:rsidRDefault="00CD1F10" w:rsidP="00CD1F10">
      <w:pPr>
        <w:pStyle w:val="NoSpacing"/>
        <w:ind w:left="720" w:firstLine="720"/>
      </w:pPr>
      <w:r>
        <w:t>For Firefighters not assigned to the Chief's office, the</w:t>
      </w:r>
    </w:p>
    <w:p w14:paraId="272C25F9" w14:textId="77777777" w:rsidR="00CD1F10" w:rsidRDefault="00CD1F10" w:rsidP="00CD1F10">
      <w:pPr>
        <w:pStyle w:val="NoSpacing"/>
        <w:ind w:left="720" w:firstLine="720"/>
      </w:pPr>
      <w:r>
        <w:t>work week schedule shall consist of twenty-four (24)</w:t>
      </w:r>
    </w:p>
    <w:p w14:paraId="63B98E7B" w14:textId="77777777" w:rsidR="00CD1F10" w:rsidRDefault="00CD1F10" w:rsidP="00CD1F10">
      <w:pPr>
        <w:pStyle w:val="NoSpacing"/>
        <w:ind w:left="720" w:firstLine="720"/>
      </w:pPr>
      <w:r>
        <w:t>hours on duty followed by seventy-two (72) hours off</w:t>
      </w:r>
    </w:p>
    <w:p w14:paraId="609BFA65" w14:textId="77777777" w:rsidR="00CD1F10" w:rsidRDefault="00CD1F10" w:rsidP="00CD1F10">
      <w:pPr>
        <w:pStyle w:val="NoSpacing"/>
        <w:ind w:left="720" w:firstLine="720"/>
      </w:pPr>
      <w:r>
        <w:t>duty followed by twenty-four (24) hours on duty</w:t>
      </w:r>
    </w:p>
    <w:p w14:paraId="5AE1DC3E" w14:textId="77777777" w:rsidR="00CD1F10" w:rsidRDefault="00CD1F10" w:rsidP="00CD1F10">
      <w:pPr>
        <w:pStyle w:val="NoSpacing"/>
        <w:ind w:left="720" w:firstLine="720"/>
      </w:pPr>
      <w:r>
        <w:t>followed by seventy-two (72) hours off duty, etc.</w:t>
      </w:r>
    </w:p>
    <w:p w14:paraId="25CB116A" w14:textId="77777777" w:rsidR="00CD1F10" w:rsidRDefault="00CD1F10" w:rsidP="00CD1F10">
      <w:pPr>
        <w:pStyle w:val="NoSpacing"/>
        <w:ind w:left="720" w:firstLine="720"/>
      </w:pPr>
    </w:p>
    <w:p w14:paraId="7A67CFA5" w14:textId="77777777" w:rsidR="00CD1F10" w:rsidRDefault="00CD1F10" w:rsidP="00CD1F10">
      <w:pPr>
        <w:ind w:firstLine="720"/>
      </w:pPr>
      <w:r>
        <w:t>Furthermore, Article XII Section C states:</w:t>
      </w:r>
    </w:p>
    <w:p w14:paraId="7B95D95C" w14:textId="77777777" w:rsidR="00CD1F10" w:rsidRDefault="00CD1F10" w:rsidP="00CD1F10">
      <w:pPr>
        <w:pStyle w:val="NoSpacing"/>
        <w:ind w:left="720" w:firstLine="720"/>
      </w:pPr>
      <w:r>
        <w:t xml:space="preserve">Any member </w:t>
      </w:r>
      <w:proofErr w:type="gramStart"/>
      <w:r>
        <w:t>[o]f this</w:t>
      </w:r>
      <w:proofErr w:type="gramEnd"/>
      <w:r>
        <w:t xml:space="preserve"> bargaining unit assigned to staff</w:t>
      </w:r>
    </w:p>
    <w:p w14:paraId="3EC09855" w14:textId="77777777" w:rsidR="00CD1F10" w:rsidRDefault="00CD1F10" w:rsidP="00CD1F10">
      <w:pPr>
        <w:pStyle w:val="NoSpacing"/>
        <w:ind w:left="720" w:firstLine="720"/>
      </w:pPr>
      <w:r>
        <w:t>positions shall receive the same wages and benefits as</w:t>
      </w:r>
    </w:p>
    <w:p w14:paraId="7DA0BCBB" w14:textId="77777777" w:rsidR="00CD1F10" w:rsidRDefault="00CD1F10" w:rsidP="00CD1F10">
      <w:pPr>
        <w:pStyle w:val="NoSpacing"/>
        <w:ind w:left="720" w:firstLine="720"/>
      </w:pPr>
      <w:r>
        <w:t>those members assigned to the forty-two (42) hour</w:t>
      </w:r>
    </w:p>
    <w:p w14:paraId="1A75598E" w14:textId="77777777" w:rsidR="00CD1F10" w:rsidRDefault="00CD1F10" w:rsidP="00CD1F10">
      <w:pPr>
        <w:pStyle w:val="NoSpacing"/>
        <w:ind w:left="720" w:firstLine="720"/>
      </w:pPr>
      <w:r>
        <w:t>work schedule.</w:t>
      </w:r>
    </w:p>
    <w:p w14:paraId="22F96DBC" w14:textId="77777777" w:rsidR="00CD1F10" w:rsidRDefault="00CD1F10" w:rsidP="00CD1F10">
      <w:pPr>
        <w:pStyle w:val="NoSpacing"/>
        <w:ind w:firstLine="720"/>
      </w:pPr>
    </w:p>
    <w:p w14:paraId="55F39445" w14:textId="77777777" w:rsidR="00CD1F10" w:rsidRDefault="00CD1F10" w:rsidP="00CD1F10">
      <w:pPr>
        <w:pStyle w:val="NoSpacing"/>
        <w:ind w:firstLine="720"/>
      </w:pPr>
      <w:r>
        <w:t>***</w:t>
      </w:r>
    </w:p>
    <w:p w14:paraId="7C8C0623" w14:textId="77777777" w:rsidR="00CD1F10" w:rsidRDefault="00CD1F10" w:rsidP="00CD1F10">
      <w:pPr>
        <w:pStyle w:val="NoSpacing"/>
        <w:ind w:firstLine="720"/>
      </w:pPr>
    </w:p>
    <w:p w14:paraId="22D45C36" w14:textId="77777777" w:rsidR="00CD1F10" w:rsidRDefault="00CD1F10" w:rsidP="00CD1F10">
      <w:pPr>
        <w:pStyle w:val="NoSpacing"/>
        <w:ind w:left="720"/>
      </w:pPr>
      <w:r>
        <w:t>In accordance with the deferential standard that applies, we conclude the trial court did not abuse its discretion in defining the class based on the evidence before it, including the factual bases in plaintiffs' complaint. Defendant's contentions are premature at this stage of the litigation because they venture beyond the factual assertions of the class set forth in the complaint and the submitted evidence, including the factual assertions deemed admitted based on defendant's failure to respond to plaintiffs' Requests for Admissions.”</w:t>
      </w:r>
    </w:p>
    <w:p w14:paraId="47E241E2" w14:textId="77777777" w:rsidR="00CD1F10" w:rsidRDefault="00CD1F10" w:rsidP="00CD1F10">
      <w:pPr>
        <w:pStyle w:val="NoSpacing"/>
        <w:ind w:firstLine="720"/>
      </w:pPr>
    </w:p>
    <w:p w14:paraId="4E0652C4" w14:textId="77777777" w:rsidR="00CD1F10" w:rsidRPr="00EB4967" w:rsidRDefault="00CD1F10" w:rsidP="00CD1F10">
      <w:pPr>
        <w:rPr>
          <w:b/>
          <w:bCs/>
        </w:rPr>
      </w:pPr>
      <w:r>
        <w:rPr>
          <w:b/>
        </w:rPr>
        <w:t xml:space="preserve">Legal lesson learned: Case will now proceed to pre-trial discovery. FLSA class actions can include both firefighters, Captains and other non-exempt officers.   </w:t>
      </w:r>
    </w:p>
    <w:p w14:paraId="34BB263B" w14:textId="77777777" w:rsidR="00CD1F10" w:rsidRDefault="00CD1F10" w:rsidP="00020106">
      <w:pPr>
        <w:rPr>
          <w:rFonts w:ascii="Arial Black" w:hAnsi="Arial Black"/>
          <w:b/>
          <w:sz w:val="24"/>
          <w:szCs w:val="24"/>
        </w:rPr>
      </w:pPr>
    </w:p>
    <w:p w14:paraId="1CD60C7F" w14:textId="77777777" w:rsidR="00CD1F10" w:rsidRDefault="00CD1F10" w:rsidP="001F5522">
      <w:pPr>
        <w:rPr>
          <w:rFonts w:ascii="Arial Black" w:hAnsi="Arial Black"/>
          <w:b/>
          <w:sz w:val="24"/>
          <w:szCs w:val="24"/>
        </w:rPr>
      </w:pPr>
    </w:p>
    <w:p w14:paraId="4E103749" w14:textId="77777777" w:rsidR="00CD1F10" w:rsidRDefault="00CD1F10" w:rsidP="001F5522">
      <w:pPr>
        <w:rPr>
          <w:rFonts w:ascii="Arial Black" w:hAnsi="Arial Black"/>
          <w:b/>
          <w:sz w:val="24"/>
          <w:szCs w:val="24"/>
        </w:rPr>
      </w:pPr>
    </w:p>
    <w:p w14:paraId="48D477CA" w14:textId="77777777" w:rsidR="00CD1F10" w:rsidRDefault="00CD1F10" w:rsidP="001F5522">
      <w:pPr>
        <w:rPr>
          <w:rFonts w:ascii="Arial Black" w:hAnsi="Arial Black"/>
          <w:b/>
          <w:sz w:val="24"/>
          <w:szCs w:val="24"/>
        </w:rPr>
      </w:pPr>
    </w:p>
    <w:p w14:paraId="45B79AE2" w14:textId="5F25D11F" w:rsidR="001F5522" w:rsidRDefault="001F5522" w:rsidP="001F5522">
      <w:pPr>
        <w:rPr>
          <w:rFonts w:ascii="Arial Black" w:hAnsi="Arial Black"/>
          <w:b/>
          <w:sz w:val="24"/>
          <w:szCs w:val="24"/>
        </w:rPr>
      </w:pPr>
      <w:r>
        <w:rPr>
          <w:rFonts w:ascii="Arial Black" w:hAnsi="Arial Black"/>
          <w:b/>
          <w:sz w:val="24"/>
          <w:szCs w:val="24"/>
        </w:rPr>
        <w:t>11-70</w:t>
      </w:r>
    </w:p>
    <w:p w14:paraId="32B19981" w14:textId="77777777" w:rsidR="009C7749" w:rsidRPr="004441F2" w:rsidRDefault="009C7749" w:rsidP="009C7749">
      <w:pPr>
        <w:pStyle w:val="NoSpacing"/>
        <w:rPr>
          <w:rFonts w:ascii="Arial Black" w:hAnsi="Arial Black"/>
          <w:sz w:val="28"/>
          <w:szCs w:val="28"/>
        </w:rPr>
      </w:pPr>
      <w:r>
        <w:rPr>
          <w:rFonts w:ascii="Arial Black" w:hAnsi="Arial Black"/>
          <w:sz w:val="28"/>
          <w:szCs w:val="28"/>
        </w:rPr>
        <w:t xml:space="preserve">CA: FLSA - EMS VARIOUS BONUSES – NO CLASS ACTION </w:t>
      </w:r>
    </w:p>
    <w:p w14:paraId="625AB2C4" w14:textId="77777777" w:rsidR="009C7749" w:rsidRDefault="009C7749" w:rsidP="009C7749">
      <w:pPr>
        <w:pStyle w:val="NoSpacing"/>
      </w:pPr>
    </w:p>
    <w:p w14:paraId="4C88FF4A" w14:textId="77777777" w:rsidR="009C7749" w:rsidRDefault="009C7749" w:rsidP="009C7749">
      <w:pPr>
        <w:pStyle w:val="NoSpacing"/>
      </w:pPr>
      <w:r>
        <w:t xml:space="preserve">On April 21, 2026, in </w:t>
      </w:r>
      <w:r w:rsidRPr="003C18D7">
        <w:rPr>
          <w:u w:val="single"/>
        </w:rPr>
        <w:t xml:space="preserve">Adam N. Martinez v. Sierra </w:t>
      </w:r>
      <w:proofErr w:type="spellStart"/>
      <w:r w:rsidRPr="003C18D7">
        <w:rPr>
          <w:u w:val="single"/>
        </w:rPr>
        <w:t>Lifestar</w:t>
      </w:r>
      <w:proofErr w:type="spellEnd"/>
      <w:r w:rsidRPr="003C18D7">
        <w:rPr>
          <w:u w:val="single"/>
        </w:rPr>
        <w:t>, Inc.</w:t>
      </w:r>
      <w:r>
        <w:t xml:space="preserve">, the </w:t>
      </w:r>
      <w:r w:rsidRPr="003C18D7">
        <w:t>California Court of Appeals, Fifth District</w:t>
      </w:r>
      <w:r>
        <w:t xml:space="preserve"> held (3 to 0) that trial court should reconsider allowing lawsuit to proceed as a class action on behalf of 135 paramedics and EMTs who received various types of bonuses.  Plaintiff, for example, received a $100 bonus given to all EMTs employed during </w:t>
      </w:r>
      <w:r w:rsidRPr="003B0089">
        <w:t>Emergency Medical Services Week</w:t>
      </w:r>
      <w:r>
        <w:t xml:space="preserve"> (3</w:t>
      </w:r>
      <w:r w:rsidRPr="003B0089">
        <w:rPr>
          <w:vertAlign w:val="superscript"/>
        </w:rPr>
        <w:t>rd</w:t>
      </w:r>
      <w:r>
        <w:t xml:space="preserve"> week of </w:t>
      </w:r>
      <w:proofErr w:type="gramStart"/>
      <w:r>
        <w:t>May,</w:t>
      </w:r>
      <w:proofErr w:type="gramEnd"/>
      <w:r>
        <w:t xml:space="preserve"> 2025).  Under state law and the FLSA, only “nondiscretionary” bonuses must be calculated into employee regular rate of pay for overtime pay. </w:t>
      </w:r>
      <w:hyperlink r:id="rId1724" w:history="1">
        <w:r w:rsidRPr="00072B77">
          <w:rPr>
            <w:rStyle w:val="Hyperlink"/>
          </w:rPr>
          <w:t>https://cases.justia.com/california/court-of-appeal/2026-f089576.pdf?ts=1776802194</w:t>
        </w:r>
      </w:hyperlink>
      <w:r>
        <w:t xml:space="preserve"> </w:t>
      </w:r>
    </w:p>
    <w:p w14:paraId="3EB69DEA" w14:textId="77777777" w:rsidR="009C7749" w:rsidRPr="000F317A" w:rsidRDefault="009C7749" w:rsidP="009C7749">
      <w:pPr>
        <w:pStyle w:val="NoSpacing"/>
        <w:rPr>
          <w:b/>
        </w:rPr>
      </w:pPr>
    </w:p>
    <w:p w14:paraId="7ED4E049" w14:textId="77777777" w:rsidR="009C7749" w:rsidRPr="003C18D7" w:rsidRDefault="009C7749" w:rsidP="009C7749">
      <w:pPr>
        <w:pStyle w:val="NoSpacing"/>
        <w:rPr>
          <w:bCs/>
        </w:rPr>
      </w:pPr>
      <w:r>
        <w:t>THE COURT HELD:</w:t>
      </w:r>
    </w:p>
    <w:p w14:paraId="47AD5F42" w14:textId="77777777" w:rsidR="009C7749" w:rsidRDefault="009C7749" w:rsidP="009C7749">
      <w:pPr>
        <w:pStyle w:val="NoSpacing"/>
      </w:pPr>
    </w:p>
    <w:p w14:paraId="612C41DD" w14:textId="77777777" w:rsidR="009C7749" w:rsidRDefault="009C7749" w:rsidP="009C7749">
      <w:pPr>
        <w:pStyle w:val="NoSpacing"/>
        <w:ind w:left="720"/>
      </w:pPr>
      <w:r>
        <w:t>“Accordingly, in general terms, the legal theory for Martinez’s claim is the same as the legal theory for the class members’ claims—that is, the regular rate of pay used to</w:t>
      </w:r>
    </w:p>
    <w:p w14:paraId="79E7A1C9" w14:textId="77777777" w:rsidR="009C7749" w:rsidRDefault="009C7749" w:rsidP="009C7749">
      <w:pPr>
        <w:pStyle w:val="NoSpacing"/>
        <w:ind w:firstLine="720"/>
      </w:pPr>
      <w:proofErr w:type="gramStart"/>
      <w:r>
        <w:t>calculate</w:t>
      </w:r>
      <w:proofErr w:type="gramEnd"/>
      <w:r>
        <w:t xml:space="preserve"> overtime, double time, and premium pay owed to each employee was</w:t>
      </w:r>
    </w:p>
    <w:p w14:paraId="46368871" w14:textId="77777777" w:rsidR="009C7749" w:rsidRDefault="009C7749" w:rsidP="009C7749">
      <w:pPr>
        <w:pStyle w:val="NoSpacing"/>
        <w:ind w:firstLine="720"/>
      </w:pPr>
      <w:r>
        <w:t>understated because the rate of pay did not include one or more nondiscretionary bonuses</w:t>
      </w:r>
    </w:p>
    <w:p w14:paraId="351D2A99" w14:textId="77777777" w:rsidR="009C7749" w:rsidRDefault="009C7749" w:rsidP="009C7749">
      <w:pPr>
        <w:pStyle w:val="NoSpacing"/>
        <w:ind w:firstLine="720"/>
      </w:pPr>
      <w:r>
        <w:t>paid to the employee.</w:t>
      </w:r>
    </w:p>
    <w:p w14:paraId="3AF7F75D" w14:textId="77777777" w:rsidR="009C7749" w:rsidRDefault="009C7749" w:rsidP="009C7749">
      <w:pPr>
        <w:pStyle w:val="NoSpacing"/>
        <w:ind w:firstLine="720"/>
      </w:pPr>
    </w:p>
    <w:p w14:paraId="55D98513" w14:textId="77777777" w:rsidR="009C7749" w:rsidRDefault="009C7749" w:rsidP="009C7749">
      <w:pPr>
        <w:pStyle w:val="NoSpacing"/>
        <w:ind w:firstLine="720"/>
      </w:pPr>
      <w:r>
        <w:t>***</w:t>
      </w:r>
    </w:p>
    <w:p w14:paraId="14D2FF06" w14:textId="77777777" w:rsidR="009C7749" w:rsidRDefault="009C7749" w:rsidP="009C7749">
      <w:pPr>
        <w:pStyle w:val="NoSpacing"/>
        <w:ind w:left="720"/>
      </w:pPr>
      <w:r>
        <w:t xml:space="preserve">Martinez proposed a ‘regular rate </w:t>
      </w:r>
      <w:proofErr w:type="spellStart"/>
      <w:r>
        <w:t>class’</w:t>
      </w:r>
      <w:proofErr w:type="spellEnd"/>
      <w:r>
        <w:t xml:space="preserve"> consisting of current and former employees who were paid overtime and premium pay and also were paid nondiscretionary bonuses described as (1) Bonus, (2) Clerical Bonus, (3) Clerical Training Bonus, (4) EMS Bonus, (5) Lead Bonus, (6) Manager Bonus, (7) Paramedic Bonus, (8) Preceptor EMT Bonus, (9) Preceptor Paramedic Bonus, and (10) Sign-On Bonus.</w:t>
      </w:r>
    </w:p>
    <w:p w14:paraId="7D8E49D7" w14:textId="77777777" w:rsidR="009C7749" w:rsidRDefault="009C7749" w:rsidP="009C7749">
      <w:pPr>
        <w:pStyle w:val="NoSpacing"/>
        <w:ind w:left="720"/>
      </w:pPr>
    </w:p>
    <w:p w14:paraId="56B3B3F1" w14:textId="77777777" w:rsidR="009C7749" w:rsidRDefault="009C7749" w:rsidP="009C7749">
      <w:pPr>
        <w:pStyle w:val="NoSpacing"/>
        <w:ind w:left="720"/>
      </w:pPr>
      <w:r>
        <w:t>***</w:t>
      </w:r>
    </w:p>
    <w:p w14:paraId="470B01B0" w14:textId="77777777" w:rsidR="009C7749" w:rsidRDefault="009C7749" w:rsidP="009C7749">
      <w:pPr>
        <w:pStyle w:val="NoSpacing"/>
        <w:ind w:left="720"/>
      </w:pPr>
    </w:p>
    <w:p w14:paraId="0C4C8E50" w14:textId="77777777" w:rsidR="009C7749" w:rsidRDefault="009C7749" w:rsidP="009C7749">
      <w:pPr>
        <w:pStyle w:val="NoSpacing"/>
        <w:ind w:left="720"/>
      </w:pPr>
      <w:r>
        <w:t xml:space="preserve">We conclude the trial court committed legal error in its analysis of whether a unique defense defeated the typicality of Martinez’s claim. </w:t>
      </w:r>
      <w:proofErr w:type="spellStart"/>
      <w:r>
        <w:t>Lifestar’s</w:t>
      </w:r>
      <w:proofErr w:type="spellEnd"/>
      <w:r>
        <w:t xml:space="preserve"> arguments that</w:t>
      </w:r>
    </w:p>
    <w:p w14:paraId="6FFC5093" w14:textId="77777777" w:rsidR="009C7749" w:rsidRDefault="009C7749" w:rsidP="009C7749">
      <w:pPr>
        <w:pStyle w:val="NoSpacing"/>
        <w:ind w:firstLine="720"/>
      </w:pPr>
      <w:r>
        <w:t>Martinez’s EMS Bonus was properly excluded from his regular rate of pay because it was</w:t>
      </w:r>
    </w:p>
    <w:p w14:paraId="3DAC1C7A" w14:textId="77777777" w:rsidR="009C7749" w:rsidRDefault="009C7749" w:rsidP="009C7749">
      <w:pPr>
        <w:pStyle w:val="NoSpacing"/>
        <w:ind w:firstLine="720"/>
      </w:pPr>
      <w:proofErr w:type="gramStart"/>
      <w:r>
        <w:t>in the nature of a</w:t>
      </w:r>
      <w:proofErr w:type="gramEnd"/>
      <w:r>
        <w:t xml:space="preserve"> gift, was discretionary, or both, are not unique to Martinez. Those</w:t>
      </w:r>
    </w:p>
    <w:p w14:paraId="0ECD3E94" w14:textId="77777777" w:rsidR="009C7749" w:rsidRDefault="009C7749" w:rsidP="009C7749">
      <w:pPr>
        <w:pStyle w:val="NoSpacing"/>
        <w:ind w:firstLine="720"/>
      </w:pPr>
      <w:r>
        <w:t xml:space="preserve">arguments apply to all EMS Bonuses paid to </w:t>
      </w:r>
      <w:proofErr w:type="spellStart"/>
      <w:r>
        <w:t>Lifestar’s</w:t>
      </w:r>
      <w:proofErr w:type="spellEnd"/>
      <w:r>
        <w:t xml:space="preserve"> other employees for National</w:t>
      </w:r>
    </w:p>
    <w:p w14:paraId="72E66777" w14:textId="77777777" w:rsidR="009C7749" w:rsidRDefault="009C7749" w:rsidP="009C7749">
      <w:pPr>
        <w:pStyle w:val="NoSpacing"/>
        <w:ind w:firstLine="720"/>
      </w:pPr>
      <w:r>
        <w:t>Emergency Medical Services Week and, therefore, are not unique to Martinez.”</w:t>
      </w:r>
    </w:p>
    <w:p w14:paraId="0C1C26D0" w14:textId="77777777" w:rsidR="009C7749" w:rsidRDefault="009C7749" w:rsidP="009C7749">
      <w:pPr>
        <w:pStyle w:val="NoSpacing"/>
        <w:ind w:firstLine="720"/>
      </w:pPr>
    </w:p>
    <w:p w14:paraId="2F09A04D" w14:textId="77777777" w:rsidR="009C7749" w:rsidRDefault="009C7749" w:rsidP="009C7749">
      <w:pPr>
        <w:pStyle w:val="NoSpacing"/>
        <w:rPr>
          <w:b/>
          <w:bCs/>
        </w:rPr>
      </w:pPr>
      <w:r>
        <w:rPr>
          <w:b/>
        </w:rPr>
        <w:t xml:space="preserve">Legal lesson learned: The trial court judge must now re-consider plaintiff’s motion for class certification; bonuses that are “discretionary” do not impact regular rate of pay. </w:t>
      </w:r>
    </w:p>
    <w:p w14:paraId="1F57804B" w14:textId="77777777" w:rsidR="009C7749" w:rsidRDefault="009C7749" w:rsidP="009C7749">
      <w:pPr>
        <w:pStyle w:val="NoSpacing"/>
        <w:rPr>
          <w:b/>
          <w:bCs/>
        </w:rPr>
      </w:pPr>
    </w:p>
    <w:p w14:paraId="7AE17A4F" w14:textId="77777777" w:rsidR="009C7749" w:rsidRDefault="009C7749" w:rsidP="009C7749">
      <w:pPr>
        <w:pStyle w:val="NoSpacing"/>
        <w:ind w:left="720"/>
      </w:pPr>
      <w:r w:rsidRPr="00257720">
        <w:t xml:space="preserve">Note: See U.S. Department of Labor, Wage &amp; Hour Division - Fact Sheet #56C: Bonuses under the Fair Labor Standards Act (FLSA); December 2019. </w:t>
      </w:r>
      <w:hyperlink r:id="rId1725" w:history="1">
        <w:r w:rsidRPr="00257720">
          <w:rPr>
            <w:rStyle w:val="Hyperlink"/>
          </w:rPr>
          <w:t>https://www.dol.gov/agencies/whd/fact-sheets/56c-bonuses</w:t>
        </w:r>
      </w:hyperlink>
      <w:r w:rsidRPr="00257720">
        <w:t xml:space="preserve"> </w:t>
      </w:r>
    </w:p>
    <w:p w14:paraId="371E2A53" w14:textId="77777777" w:rsidR="009C7749" w:rsidRDefault="009C7749" w:rsidP="009C7749">
      <w:pPr>
        <w:pStyle w:val="NoSpacing"/>
        <w:ind w:left="720"/>
      </w:pPr>
    </w:p>
    <w:p w14:paraId="1B4A9549" w14:textId="77777777" w:rsidR="009C7749" w:rsidRPr="00BD4117" w:rsidRDefault="009C7749" w:rsidP="009C7749">
      <w:pPr>
        <w:pStyle w:val="NoSpacing"/>
        <w:ind w:left="720"/>
      </w:pPr>
      <w:r>
        <w:t>“</w:t>
      </w:r>
      <w:r w:rsidRPr="00BD4117">
        <w:t xml:space="preserve">Discretionary bonuses are excludable from the regular rate of pay.  A bonus is discretionary only if all the statutory requirements are met: </w:t>
      </w:r>
    </w:p>
    <w:p w14:paraId="174DD0E9" w14:textId="77777777" w:rsidR="009C7749" w:rsidRPr="00BD4117" w:rsidRDefault="009C7749" w:rsidP="009C7749">
      <w:pPr>
        <w:pStyle w:val="NoSpacing"/>
        <w:numPr>
          <w:ilvl w:val="0"/>
          <w:numId w:val="41"/>
        </w:numPr>
      </w:pPr>
      <w:r w:rsidRPr="00BD4117">
        <w:t xml:space="preserve">The employer has the sole discretion, until at or near the end of the period that corresponds to the bonus, to determine whether to pay the bonus; </w:t>
      </w:r>
    </w:p>
    <w:p w14:paraId="1F5447C0" w14:textId="77777777" w:rsidR="009C7749" w:rsidRPr="00BD4117" w:rsidRDefault="009C7749" w:rsidP="009C7749">
      <w:pPr>
        <w:pStyle w:val="NoSpacing"/>
        <w:numPr>
          <w:ilvl w:val="0"/>
          <w:numId w:val="41"/>
        </w:numPr>
      </w:pPr>
      <w:r w:rsidRPr="00BD4117">
        <w:t xml:space="preserve">The employer has the sole discretion, until at or near the end of the period that corresponds to the bonus, to determine the amount of the bonus; and </w:t>
      </w:r>
    </w:p>
    <w:p w14:paraId="7F5140B3" w14:textId="77777777" w:rsidR="009C7749" w:rsidRPr="00BD4117" w:rsidRDefault="009C7749" w:rsidP="009C7749">
      <w:pPr>
        <w:pStyle w:val="NoSpacing"/>
        <w:numPr>
          <w:ilvl w:val="0"/>
          <w:numId w:val="41"/>
        </w:numPr>
      </w:pPr>
      <w:r w:rsidRPr="00BD4117">
        <w:t>The bonus payment is not made according to any prior contract, agreement, or promise causing an employee to expect such payments regularly.</w:t>
      </w:r>
      <w:r>
        <w:t>”</w:t>
      </w:r>
    </w:p>
    <w:p w14:paraId="6B2C1CD1" w14:textId="77777777" w:rsidR="009C7749" w:rsidRPr="00257720" w:rsidRDefault="009C7749" w:rsidP="009C7749">
      <w:pPr>
        <w:pStyle w:val="NoSpacing"/>
        <w:ind w:left="720"/>
      </w:pPr>
    </w:p>
    <w:p w14:paraId="632FDE22" w14:textId="4513BF3C" w:rsidR="001F5522" w:rsidRDefault="001F5522" w:rsidP="001F5522">
      <w:pPr>
        <w:rPr>
          <w:rFonts w:ascii="Arial Black" w:hAnsi="Arial Black"/>
          <w:b/>
          <w:sz w:val="24"/>
          <w:szCs w:val="24"/>
        </w:rPr>
      </w:pPr>
      <w:r>
        <w:rPr>
          <w:rFonts w:ascii="Arial Black" w:hAnsi="Arial Black"/>
          <w:b/>
          <w:sz w:val="24"/>
          <w:szCs w:val="24"/>
        </w:rPr>
        <w:t>11-69</w:t>
      </w:r>
    </w:p>
    <w:p w14:paraId="79984F87" w14:textId="77777777" w:rsidR="001F5522" w:rsidRDefault="001F5522" w:rsidP="001F5522">
      <w:pPr>
        <w:pStyle w:val="NoSpacing"/>
        <w:rPr>
          <w:rFonts w:ascii="Arial Black" w:hAnsi="Arial Black"/>
          <w:b/>
          <w:sz w:val="28"/>
          <w:szCs w:val="28"/>
        </w:rPr>
      </w:pPr>
    </w:p>
    <w:p w14:paraId="52411DBB" w14:textId="2444AC72" w:rsidR="001F5522" w:rsidRDefault="001F5522" w:rsidP="001F5522">
      <w:pPr>
        <w:pStyle w:val="NoSpacing"/>
        <w:rPr>
          <w:rFonts w:ascii="Arial Black" w:hAnsi="Arial Black"/>
          <w:b/>
          <w:sz w:val="28"/>
          <w:szCs w:val="28"/>
        </w:rPr>
      </w:pPr>
      <w:r>
        <w:rPr>
          <w:rFonts w:ascii="Arial Black" w:hAnsi="Arial Black"/>
          <w:b/>
          <w:sz w:val="28"/>
          <w:szCs w:val="28"/>
        </w:rPr>
        <w:t xml:space="preserve">WA: USERRA - 5 YRS RE-EMPLOYMENT / IF RETURNING  </w:t>
      </w:r>
    </w:p>
    <w:p w14:paraId="271E80AD" w14:textId="77777777" w:rsidR="001F5522" w:rsidRDefault="001F5522" w:rsidP="001F5522">
      <w:pPr>
        <w:pStyle w:val="NoSpacing"/>
        <w:rPr>
          <w:bCs/>
        </w:rPr>
      </w:pPr>
    </w:p>
    <w:p w14:paraId="583B3C58" w14:textId="77777777" w:rsidR="001F5522" w:rsidRDefault="001F5522" w:rsidP="001F5522">
      <w:pPr>
        <w:pStyle w:val="NoSpacing"/>
        <w:rPr>
          <w:b/>
        </w:rPr>
      </w:pPr>
      <w:r>
        <w:t xml:space="preserve">On April 17, 2026, in </w:t>
      </w:r>
      <w:r w:rsidRPr="00BF3EFE">
        <w:rPr>
          <w:u w:val="single"/>
        </w:rPr>
        <w:t>Travis Bearden v. City of Ocean Shores</w:t>
      </w:r>
      <w:r>
        <w:t xml:space="preserve">, U.S. District Court Judge Benjamin H. Settle, United States District Court for the Western District of Washington, Tacoma held that the firefighter not entitled to summary judgment since no evidence he ever intends to return to FD. He last worked at FD in August 2020, and under USERRA he has reemployment rights if on leave max of 5 cumulative years.  The firefighter claims he is entitled to 21-day military pay for each fiscal year </w:t>
      </w:r>
      <w:r w:rsidRPr="00CC5A8F">
        <w:t>from 2020 “through the present day.”</w:t>
      </w:r>
      <w:r>
        <w:t xml:space="preserve"> The city </w:t>
      </w:r>
      <w:r w:rsidRPr="00B169AB">
        <w:t xml:space="preserve">disputes that Bearden is entitled to paid military leave for the following fiscal years, 2021-2026, arguing he cannot establish as a matter of law that he remained and remains a </w:t>
      </w:r>
      <w:proofErr w:type="gramStart"/>
      <w:r w:rsidRPr="00B169AB">
        <w:t>City</w:t>
      </w:r>
      <w:proofErr w:type="gramEnd"/>
      <w:r w:rsidRPr="00B169AB">
        <w:t xml:space="preserve"> employee.</w:t>
      </w:r>
      <w:r>
        <w:t xml:space="preserve"> The firefighter claims he is still employed by the </w:t>
      </w:r>
      <w:proofErr w:type="gramStart"/>
      <w:r>
        <w:t>City</w:t>
      </w:r>
      <w:proofErr w:type="gramEnd"/>
      <w:r>
        <w:t>.  Judge Settle doubts this claim - “</w:t>
      </w:r>
      <w:r w:rsidRPr="005D6FAC">
        <w:t xml:space="preserve">the record contains no statement or assertion that he currently </w:t>
      </w:r>
      <w:r w:rsidRPr="005D6FAC">
        <w:rPr>
          <w:i/>
          <w:iCs/>
        </w:rPr>
        <w:t>is</w:t>
      </w:r>
      <w:r w:rsidRPr="005D6FAC">
        <w:t xml:space="preserve"> an employee. Bearden provides no evidence supporting the conclusion that due to his </w:t>
      </w:r>
      <w:proofErr w:type="gramStart"/>
      <w:r w:rsidRPr="005D6FAC">
        <w:t>active duty</w:t>
      </w:r>
      <w:proofErr w:type="gramEnd"/>
      <w:r w:rsidRPr="005D6FAC">
        <w:t xml:space="preserve"> military commitments, he was unable to work for the </w:t>
      </w:r>
      <w:proofErr w:type="gramStart"/>
      <w:r w:rsidRPr="005D6FAC">
        <w:t>City</w:t>
      </w:r>
      <w:proofErr w:type="gramEnd"/>
      <w:r w:rsidRPr="005D6FAC">
        <w:t>, at all, over the past five years</w:t>
      </w:r>
      <w:r>
        <w:t xml:space="preserve">…. </w:t>
      </w:r>
      <w:r w:rsidRPr="005D33E8">
        <w:t>The parties should work in good faith to resolve the damages owed for the conceded period</w:t>
      </w:r>
      <w:r>
        <w:t xml:space="preserve"> (August 20, 2020 to May 2021).”</w:t>
      </w:r>
      <w:hyperlink r:id="rId1726" w:history="1">
        <w:r w:rsidRPr="00A77E89">
          <w:rPr>
            <w:rStyle w:val="Hyperlink"/>
            <w:b/>
          </w:rPr>
          <w:t>https://public.fastcase.com/Jhe1Qn%2BmJndQYQU6z%2FeNm2MBH8jjZypB1KxY%2B3GJWtt3pU7LQ0HG1TD%2BuEAPjcSSqkB%2F2Yca8lDVABp6qaMHSj5ZnKz4h2BUwQ71QZi85m8%3D?utm_medium=email&amp;_hsenc=p2ANqtz-_R5GvzVgy1X05e_vCvuMC9Q5e35U1J1WERhCn0fZcvatolnFVOIwTcjgpntEVG0Zn0QYI5aNrPmOIXD_9eLdzthe8Iwg&amp;_hsmi=226712652&amp;utm_content=226712652&amp;utm_source=hs_email</w:t>
        </w:r>
      </w:hyperlink>
      <w:r>
        <w:rPr>
          <w:b/>
        </w:rPr>
        <w:t xml:space="preserve"> </w:t>
      </w:r>
    </w:p>
    <w:p w14:paraId="7386F174" w14:textId="77777777" w:rsidR="001F5522" w:rsidRDefault="001F5522" w:rsidP="001F5522">
      <w:pPr>
        <w:pStyle w:val="NoSpacing"/>
        <w:rPr>
          <w:b/>
        </w:rPr>
      </w:pPr>
    </w:p>
    <w:p w14:paraId="1AE9E827" w14:textId="77777777" w:rsidR="001F5522" w:rsidRDefault="001F5522" w:rsidP="001F5522">
      <w:pPr>
        <w:pStyle w:val="NoSpacing"/>
      </w:pPr>
      <w:r>
        <w:t>THE COURT HELD:</w:t>
      </w:r>
    </w:p>
    <w:p w14:paraId="1A7BE122" w14:textId="77777777" w:rsidR="001F5522" w:rsidRDefault="001F5522" w:rsidP="001F5522">
      <w:pPr>
        <w:pStyle w:val="NoSpacing"/>
      </w:pPr>
    </w:p>
    <w:p w14:paraId="1D789B56" w14:textId="77777777" w:rsidR="001F5522" w:rsidRDefault="001F5522" w:rsidP="001F5522">
      <w:pPr>
        <w:pStyle w:val="NoSpacing"/>
        <w:ind w:left="720"/>
      </w:pPr>
      <w:r>
        <w:t>“</w:t>
      </w:r>
      <w:r w:rsidRPr="00BC652A">
        <w:t xml:space="preserve">There is no evidence or argument explaining why these military orders precluded Bearden from working as a </w:t>
      </w:r>
      <w:proofErr w:type="gramStart"/>
      <w:r w:rsidRPr="00BC652A">
        <w:t>City</w:t>
      </w:r>
      <w:proofErr w:type="gramEnd"/>
      <w:r w:rsidRPr="00BC652A">
        <w:t xml:space="preserve"> employee during the 140 days that he was not </w:t>
      </w:r>
      <w:r>
        <w:t>‘</w:t>
      </w:r>
      <w:r w:rsidRPr="00BC652A">
        <w:t>on orders</w:t>
      </w:r>
      <w:r>
        <w:t>’</w:t>
      </w:r>
      <w:r w:rsidRPr="00BC652A">
        <w:t xml:space="preserve"> or on active duty in 2022, or at any time after. There is no evidence that Bearden worked for, or even contacted, the </w:t>
      </w:r>
      <w:proofErr w:type="gramStart"/>
      <w:r w:rsidRPr="00BC652A">
        <w:t>City</w:t>
      </w:r>
      <w:proofErr w:type="gramEnd"/>
      <w:r w:rsidRPr="00BC652A">
        <w:t xml:space="preserve"> during this or any other period dating back at least five years.</w:t>
      </w:r>
    </w:p>
    <w:p w14:paraId="36EBFEBF" w14:textId="77777777" w:rsidR="001F5522" w:rsidRDefault="001F5522" w:rsidP="001F5522">
      <w:pPr>
        <w:pStyle w:val="NoSpacing"/>
        <w:ind w:left="720"/>
      </w:pPr>
    </w:p>
    <w:p w14:paraId="1698AA53" w14:textId="77777777" w:rsidR="001F5522" w:rsidRDefault="001F5522" w:rsidP="001F5522">
      <w:pPr>
        <w:pStyle w:val="NoSpacing"/>
        <w:ind w:left="720"/>
        <w:rPr>
          <w:bCs/>
        </w:rPr>
      </w:pPr>
      <w:r>
        <w:t>***</w:t>
      </w:r>
    </w:p>
    <w:p w14:paraId="79CAE9D2" w14:textId="77777777" w:rsidR="001F5522" w:rsidRDefault="001F5522" w:rsidP="001F5522">
      <w:pPr>
        <w:pStyle w:val="NoSpacing"/>
        <w:rPr>
          <w:bCs/>
        </w:rPr>
      </w:pPr>
    </w:p>
    <w:p w14:paraId="78791BEA" w14:textId="77777777" w:rsidR="001F5522" w:rsidRDefault="001F5522" w:rsidP="001F5522">
      <w:pPr>
        <w:pStyle w:val="NoSpacing"/>
        <w:ind w:left="720"/>
      </w:pPr>
      <w:r w:rsidRPr="009315F9">
        <w:t xml:space="preserve">There is no evidence in the record that Bearden has </w:t>
      </w:r>
      <w:r>
        <w:t>‘</w:t>
      </w:r>
      <w:r w:rsidRPr="009315F9">
        <w:t>remained</w:t>
      </w:r>
      <w:r>
        <w:t>’</w:t>
      </w:r>
      <w:r w:rsidRPr="009315F9">
        <w:t xml:space="preserve"> a </w:t>
      </w:r>
      <w:proofErr w:type="gramStart"/>
      <w:r w:rsidRPr="009315F9">
        <w:t>City</w:t>
      </w:r>
      <w:proofErr w:type="gramEnd"/>
      <w:r w:rsidRPr="009315F9">
        <w:t xml:space="preserve"> employee, since at least 2021. Bearden's motion does not even contend that he remained or remains an Ocean Shores employee. Instead, the declaration he filed in support of his motion attests only that he still has 215 days before he reaches the </w:t>
      </w:r>
      <w:r>
        <w:t>‘</w:t>
      </w:r>
      <w:r w:rsidRPr="009315F9">
        <w:t>USERRA 5-year limit, at which time I intend to return to the City of Ocean shores.</w:t>
      </w:r>
      <w:r>
        <w:t>’</w:t>
      </w:r>
      <w:r w:rsidRPr="009315F9">
        <w:t xml:space="preserve"> </w:t>
      </w:r>
      <w:proofErr w:type="spellStart"/>
      <w:r w:rsidRPr="009315F9">
        <w:t>Dkt</w:t>
      </w:r>
      <w:proofErr w:type="spellEnd"/>
      <w:r w:rsidRPr="009315F9">
        <w:t xml:space="preserve">. 61-1 at 3. But the record contains no statement or assertion that he currently </w:t>
      </w:r>
      <w:r w:rsidRPr="009315F9">
        <w:rPr>
          <w:i/>
          <w:iCs/>
        </w:rPr>
        <w:t>is</w:t>
      </w:r>
      <w:r w:rsidRPr="009315F9">
        <w:t xml:space="preserve"> an employee. Bearden provides no evidence supporting the conclusion that due to his </w:t>
      </w:r>
      <w:proofErr w:type="gramStart"/>
      <w:r w:rsidRPr="009315F9">
        <w:t>active duty</w:t>
      </w:r>
      <w:proofErr w:type="gramEnd"/>
      <w:r w:rsidRPr="009315F9">
        <w:t xml:space="preserve"> military commitments, he was unable to work for the </w:t>
      </w:r>
      <w:proofErr w:type="gramStart"/>
      <w:r w:rsidRPr="009315F9">
        <w:t>City</w:t>
      </w:r>
      <w:proofErr w:type="gramEnd"/>
      <w:r w:rsidRPr="009315F9">
        <w:t xml:space="preserve">, at all, over the past five </w:t>
      </w:r>
      <w:proofErr w:type="gramStart"/>
      <w:r w:rsidRPr="009315F9">
        <w:t>years.</w:t>
      </w:r>
      <w:r>
        <w:t>”</w:t>
      </w:r>
      <w:proofErr w:type="gramEnd"/>
    </w:p>
    <w:p w14:paraId="5930DF4F" w14:textId="77777777" w:rsidR="001F5522" w:rsidRDefault="001F5522" w:rsidP="001F5522">
      <w:pPr>
        <w:pStyle w:val="NoSpacing"/>
        <w:ind w:left="720"/>
      </w:pPr>
    </w:p>
    <w:p w14:paraId="42F3CAEA" w14:textId="77777777" w:rsidR="001F5522" w:rsidRDefault="001F5522" w:rsidP="001F5522">
      <w:pPr>
        <w:rPr>
          <w:bCs/>
        </w:rPr>
      </w:pPr>
      <w:r>
        <w:rPr>
          <w:b/>
        </w:rPr>
        <w:t xml:space="preserve">Legal lesson learned: </w:t>
      </w:r>
      <w:r w:rsidRPr="008F06C1">
        <w:rPr>
          <w:b/>
        </w:rPr>
        <w:t xml:space="preserve">Under USERRA, employees have reemployment rights if “cumulative length of service” does not exceed five years, but </w:t>
      </w:r>
      <w:r>
        <w:rPr>
          <w:b/>
        </w:rPr>
        <w:t xml:space="preserve">a best practice to </w:t>
      </w:r>
      <w:r w:rsidRPr="008F06C1">
        <w:rPr>
          <w:b/>
        </w:rPr>
        <w:t>let employer know you plan to return.</w:t>
      </w:r>
      <w:r>
        <w:t xml:space="preserve">  </w:t>
      </w:r>
      <w:hyperlink r:id="rId1727" w:anchor="ch1" w:history="1">
        <w:r w:rsidRPr="00A77E89">
          <w:rPr>
            <w:rStyle w:val="Hyperlink"/>
          </w:rPr>
          <w:t>https://www.dol.gov/agencies/vets/programs/userra/USERRA-Pocket-Guide#ch1</w:t>
        </w:r>
      </w:hyperlink>
      <w:r>
        <w:t>.</w:t>
      </w:r>
    </w:p>
    <w:p w14:paraId="1DBC5E75" w14:textId="77777777" w:rsidR="001F5522" w:rsidRDefault="001F5522" w:rsidP="001F5522">
      <w:pPr>
        <w:ind w:left="720"/>
        <w:rPr>
          <w:b/>
        </w:rPr>
      </w:pPr>
      <w:r>
        <w:t xml:space="preserve">Note: </w:t>
      </w:r>
      <w:proofErr w:type="gramStart"/>
      <w:r>
        <w:t xml:space="preserve"> See</w:t>
      </w:r>
      <w:proofErr w:type="gramEnd"/>
      <w:r>
        <w:t xml:space="preserve"> State of Washington Supreme Court June 26, </w:t>
      </w:r>
      <w:proofErr w:type="gramStart"/>
      <w:r>
        <w:t>2025</w:t>
      </w:r>
      <w:proofErr w:type="gramEnd"/>
      <w:r>
        <w:t xml:space="preserve"> opinion that he is entitled to 21 </w:t>
      </w:r>
      <w:proofErr w:type="spellStart"/>
      <w:r>
        <w:t>days</w:t>
      </w:r>
      <w:proofErr w:type="spellEnd"/>
      <w:r>
        <w:t xml:space="preserve"> pay for his third leave.  </w:t>
      </w:r>
      <w:hyperlink r:id="rId1728" w:history="1">
        <w:r w:rsidRPr="00A77E89">
          <w:rPr>
            <w:rStyle w:val="Hyperlink"/>
          </w:rPr>
          <w:t>https://www.courts.wa.gov/opinions/pdf/1031211.pdf</w:t>
        </w:r>
      </w:hyperlink>
      <w:r>
        <w:t xml:space="preserve"> FIRST LEAVE: </w:t>
      </w:r>
      <w:r w:rsidRPr="001A3676">
        <w:t>annual training from October 16 to October 30, 2019</w:t>
      </w:r>
      <w:r>
        <w:t xml:space="preserve">. SECOND LEAVE: active </w:t>
      </w:r>
      <w:proofErr w:type="gramStart"/>
      <w:r>
        <w:t>duty</w:t>
      </w:r>
      <w:proofErr w:type="gramEnd"/>
      <w:r>
        <w:t xml:space="preserve"> </w:t>
      </w:r>
      <w:r w:rsidRPr="0018404C">
        <w:t>next nine months, from November 5, 2019, to August 27, 2020</w:t>
      </w:r>
      <w:r>
        <w:t>.  THIRD LEAVE: while still on the Second Leave, he received orders for 273 more days active duty (A</w:t>
      </w:r>
      <w:r w:rsidRPr="004F5CED">
        <w:t>ugust 2020-May 2021</w:t>
      </w:r>
      <w:r>
        <w:t>.</w:t>
      </w:r>
    </w:p>
    <w:p w14:paraId="1005C4E8" w14:textId="77777777" w:rsidR="009C7749" w:rsidRDefault="009C7749" w:rsidP="00020106">
      <w:pPr>
        <w:rPr>
          <w:rFonts w:ascii="Arial Black" w:hAnsi="Arial Black"/>
          <w:b/>
          <w:sz w:val="24"/>
          <w:szCs w:val="24"/>
        </w:rPr>
      </w:pPr>
    </w:p>
    <w:p w14:paraId="18B1CA22" w14:textId="77777777" w:rsidR="009C7749" w:rsidRDefault="009C7749" w:rsidP="00020106">
      <w:pPr>
        <w:rPr>
          <w:rFonts w:ascii="Arial Black" w:hAnsi="Arial Black"/>
          <w:b/>
          <w:sz w:val="24"/>
          <w:szCs w:val="24"/>
        </w:rPr>
      </w:pPr>
    </w:p>
    <w:p w14:paraId="75083B70" w14:textId="77777777" w:rsidR="009C7749" w:rsidRDefault="009C7749" w:rsidP="00020106">
      <w:pPr>
        <w:rPr>
          <w:rFonts w:ascii="Arial Black" w:hAnsi="Arial Black"/>
          <w:b/>
          <w:sz w:val="24"/>
          <w:szCs w:val="24"/>
        </w:rPr>
      </w:pPr>
    </w:p>
    <w:p w14:paraId="5A601279" w14:textId="77777777" w:rsidR="009C7749" w:rsidRDefault="009C7749" w:rsidP="00020106">
      <w:pPr>
        <w:rPr>
          <w:rFonts w:ascii="Arial Black" w:hAnsi="Arial Black"/>
          <w:b/>
          <w:sz w:val="24"/>
          <w:szCs w:val="24"/>
        </w:rPr>
      </w:pPr>
    </w:p>
    <w:p w14:paraId="2B5D98F0" w14:textId="57DD284E" w:rsidR="00084E13" w:rsidRDefault="00084E13" w:rsidP="00020106">
      <w:pPr>
        <w:rPr>
          <w:rFonts w:ascii="Arial Black" w:hAnsi="Arial Black"/>
          <w:b/>
          <w:sz w:val="24"/>
          <w:szCs w:val="24"/>
        </w:rPr>
      </w:pPr>
      <w:r>
        <w:rPr>
          <w:rFonts w:ascii="Arial Black" w:hAnsi="Arial Black"/>
          <w:b/>
          <w:sz w:val="24"/>
          <w:szCs w:val="24"/>
        </w:rPr>
        <w:t>11-68</w:t>
      </w:r>
    </w:p>
    <w:p w14:paraId="7ABDA794" w14:textId="77777777" w:rsidR="00347723" w:rsidRDefault="00347723" w:rsidP="00347723">
      <w:pPr>
        <w:pStyle w:val="NoSpacing"/>
        <w:rPr>
          <w:rFonts w:ascii="Arial Black" w:hAnsi="Arial Black"/>
          <w:bCs/>
          <w:sz w:val="28"/>
          <w:szCs w:val="28"/>
        </w:rPr>
      </w:pPr>
      <w:r>
        <w:rPr>
          <w:rFonts w:ascii="Arial Black" w:hAnsi="Arial Black"/>
          <w:sz w:val="28"/>
          <w:szCs w:val="28"/>
        </w:rPr>
        <w:t>SC: FLSA – MEDIC / CROSS TRAINED – N</w:t>
      </w:r>
      <w:r>
        <w:rPr>
          <w:rFonts w:ascii="Arial Black" w:hAnsi="Arial Black"/>
          <w:bCs/>
          <w:sz w:val="28"/>
          <w:szCs w:val="28"/>
        </w:rPr>
        <w:t xml:space="preserve">EVER DID </w:t>
      </w:r>
      <w:r>
        <w:rPr>
          <w:rFonts w:ascii="Arial Black" w:hAnsi="Arial Black"/>
          <w:sz w:val="28"/>
          <w:szCs w:val="28"/>
        </w:rPr>
        <w:t>FIRE</w:t>
      </w:r>
      <w:r>
        <w:rPr>
          <w:rFonts w:ascii="Arial Black" w:hAnsi="Arial Black"/>
          <w:bCs/>
          <w:sz w:val="28"/>
          <w:szCs w:val="28"/>
        </w:rPr>
        <w:t xml:space="preserve">S </w:t>
      </w:r>
    </w:p>
    <w:p w14:paraId="58D2E422" w14:textId="77777777" w:rsidR="00347723" w:rsidRDefault="00347723" w:rsidP="00347723">
      <w:pPr>
        <w:pStyle w:val="NoSpacing"/>
        <w:rPr>
          <w:rFonts w:ascii="Arial Black" w:hAnsi="Arial Black"/>
          <w:bCs/>
          <w:sz w:val="28"/>
          <w:szCs w:val="28"/>
        </w:rPr>
      </w:pPr>
    </w:p>
    <w:p w14:paraId="2D86C07F" w14:textId="77777777" w:rsidR="00347723" w:rsidRDefault="00347723" w:rsidP="00347723">
      <w:pPr>
        <w:pStyle w:val="NoSpacing"/>
        <w:rPr>
          <w:bCs/>
        </w:rPr>
      </w:pPr>
      <w:r>
        <w:t xml:space="preserve">On March 19, 2026, in </w:t>
      </w:r>
      <w:r w:rsidRPr="008C66C0">
        <w:rPr>
          <w:u w:val="single"/>
        </w:rPr>
        <w:t>Abbey Beemer, individually and on behalf of similarly situated v. Clarendon County</w:t>
      </w:r>
      <w:r>
        <w:t xml:space="preserve">, U.S. District Court Judge David C. Norton, United States District Court for District of South Carolina, Charleston Division, denied the County’s motion for summary judgment.  </w:t>
      </w:r>
      <w:r w:rsidRPr="00DE325A">
        <w:t>At issue is whether Beemer had the legal authority and responsibility to engage in fire suppression</w:t>
      </w:r>
      <w:r>
        <w:t xml:space="preserve">; while plaintiff is classified as a “Paramedic / FF” and trained in fire suppression, she has never been engaged in fire suppression on an emergency run.  Lawsuit will therefore need to be tried. </w:t>
      </w:r>
      <w:hyperlink r:id="rId1729" w:history="1">
        <w:r w:rsidRPr="001F11D0">
          <w:rPr>
            <w:rStyle w:val="Hyperlink"/>
          </w:rPr>
          <w:t>https://public.fastcase.com/Jhe1Qn%2BmJndQYQU6z%2FeNm%2BPcmzEUVte9Pmbex8cM1KJhQVcQIKDJJA5UPuX3qlPH?utm_medium=email&amp;_hsenc=p2ANqtz-9n4bTEROfuVqHNVuq5wnBdHGUWCVVD7aN6VD7jCXCE8dULoI4uW2020fH1jBBreK2QqG5jL3hff-Wxt2LEWhDNRofrqw&amp;_hsmi=226712652&amp;utm_content=226712652&amp;utm_source=hs_email</w:t>
        </w:r>
      </w:hyperlink>
      <w:r>
        <w:t xml:space="preserve"> </w:t>
      </w:r>
      <w:r w:rsidRPr="00DE325A">
        <w:t xml:space="preserve"> </w:t>
      </w:r>
    </w:p>
    <w:p w14:paraId="2593A14E" w14:textId="77777777" w:rsidR="00347723" w:rsidRDefault="00347723" w:rsidP="00347723">
      <w:pPr>
        <w:pStyle w:val="NoSpacing"/>
        <w:rPr>
          <w:bCs/>
        </w:rPr>
      </w:pPr>
    </w:p>
    <w:p w14:paraId="2B9FE6A8" w14:textId="77777777" w:rsidR="00347723" w:rsidRDefault="00347723" w:rsidP="00347723">
      <w:pPr>
        <w:pStyle w:val="NoSpacing"/>
      </w:pPr>
      <w:r>
        <w:t>THE COURT HELD: ”</w:t>
      </w:r>
      <w:r w:rsidRPr="00B0183E">
        <w:t xml:space="preserve">Over the course of her employment with the County's Fire Rescue Department, Beemer was a part-time </w:t>
      </w:r>
      <w:r>
        <w:t>‘</w:t>
      </w:r>
      <w:r w:rsidRPr="00B0183E">
        <w:t>paramedic</w:t>
      </w:r>
      <w:r>
        <w:t>’</w:t>
      </w:r>
      <w:r w:rsidRPr="00B0183E">
        <w:t xml:space="preserve"> and then promoted to a full-time </w:t>
      </w:r>
      <w:r>
        <w:t>‘</w:t>
      </w:r>
      <w:r w:rsidRPr="00B0183E">
        <w:t>Paramedic/FF</w:t>
      </w:r>
      <w:r>
        <w:t xml:space="preserve">’…. </w:t>
      </w:r>
      <w:r w:rsidRPr="00B0183E">
        <w:t>The County required her to receive basic firefighter certifications from the South Carolina Fire Academy</w:t>
      </w:r>
      <w:r>
        <w:t xml:space="preserve"> … </w:t>
      </w:r>
      <w:r w:rsidRPr="00B0183E">
        <w:t>and participate in regular firefighter training exercises</w:t>
      </w:r>
      <w:r>
        <w:t xml:space="preserve">…. </w:t>
      </w:r>
      <w:r w:rsidRPr="00B0183E">
        <w:t xml:space="preserve">The ambulance to which she was assigned was equipped with firefighter </w:t>
      </w:r>
      <w:r>
        <w:t>‘</w:t>
      </w:r>
      <w:r w:rsidRPr="00B0183E">
        <w:t>turn out</w:t>
      </w:r>
      <w:r>
        <w:t>’</w:t>
      </w:r>
      <w:r w:rsidRPr="00B0183E">
        <w:t xml:space="preserve"> gear (protective, heat-resistant boots, helmet, and jacket), breathing apparatuses, and extrication equipment issued to her by the County</w:t>
      </w:r>
      <w:r>
        <w:t xml:space="preserve">…. </w:t>
      </w:r>
      <w:r w:rsidRPr="00B0183E">
        <w:t>Beemer has been routinely dispatched to fire emergencies alongside firefighter units</w:t>
      </w:r>
      <w:r>
        <w:t xml:space="preserve">…. </w:t>
      </w:r>
      <w:r w:rsidRPr="00B0183E">
        <w:t xml:space="preserve">However, Beemer has not engaged a live fire, and she believed that firefighting duties were not within the responsibilities of her employment. </w:t>
      </w:r>
    </w:p>
    <w:p w14:paraId="30609326" w14:textId="77777777" w:rsidR="00347723" w:rsidRDefault="00347723" w:rsidP="00347723">
      <w:pPr>
        <w:pStyle w:val="NoSpacing"/>
      </w:pPr>
    </w:p>
    <w:p w14:paraId="03F9E3A9" w14:textId="77777777" w:rsidR="00347723" w:rsidRDefault="00347723" w:rsidP="00347723">
      <w:pPr>
        <w:pStyle w:val="NoSpacing"/>
      </w:pPr>
      <w:r>
        <w:t>***</w:t>
      </w:r>
    </w:p>
    <w:p w14:paraId="249F8F7B" w14:textId="77777777" w:rsidR="00347723" w:rsidRPr="00246642" w:rsidRDefault="00347723" w:rsidP="00347723">
      <w:pPr>
        <w:pStyle w:val="NoSpacing"/>
      </w:pPr>
      <w:r w:rsidRPr="00246642">
        <w:t xml:space="preserve">There is a genuine issue of fact as to whether Beemer has a </w:t>
      </w:r>
      <w:r>
        <w:t>‘</w:t>
      </w:r>
      <w:r w:rsidRPr="00246642">
        <w:t>responsibility to engage in fire suppression</w:t>
      </w:r>
      <w:r>
        <w:t>’</w:t>
      </w:r>
      <w:r w:rsidRPr="00246642">
        <w:t xml:space="preserve"> under both the </w:t>
      </w:r>
      <w:r>
        <w:t>‘</w:t>
      </w:r>
      <w:r w:rsidRPr="00246642">
        <w:t>some real obligation</w:t>
      </w:r>
      <w:proofErr w:type="gramStart"/>
      <w:r>
        <w:t>’</w:t>
      </w:r>
      <w:r w:rsidRPr="00246642">
        <w:t xml:space="preserve"> the </w:t>
      </w:r>
      <w:r>
        <w:t>‘</w:t>
      </w:r>
      <w:proofErr w:type="gramEnd"/>
      <w:r w:rsidRPr="00246642">
        <w:t>forward-looking</w:t>
      </w:r>
      <w:r>
        <w:t>’</w:t>
      </w:r>
      <w:r w:rsidRPr="00246642">
        <w:t xml:space="preserve"> standards. There are not sufficient facts in the record to determine whether the County </w:t>
      </w:r>
      <w:proofErr w:type="gramStart"/>
      <w:r w:rsidRPr="00246642">
        <w:t>actually expected</w:t>
      </w:r>
      <w:proofErr w:type="gramEnd"/>
      <w:r w:rsidRPr="00246642">
        <w:t xml:space="preserve"> Beemer, as part of her employment, to perform the firefighting duties for which she was trained. </w:t>
      </w:r>
      <w:r w:rsidRPr="00246642">
        <w:rPr>
          <w:i/>
          <w:iCs/>
        </w:rPr>
        <w:t>Compare Cleveland</w:t>
      </w:r>
      <w:r w:rsidRPr="00246642">
        <w:t xml:space="preserve">, 420 F.3d at 984 (finding </w:t>
      </w:r>
      <w:r>
        <w:t>‘</w:t>
      </w:r>
      <w:r w:rsidRPr="00246642">
        <w:t>dual function paramedics</w:t>
      </w:r>
      <w:r>
        <w:t>’</w:t>
      </w:r>
      <w:r w:rsidRPr="00246642">
        <w:t xml:space="preserve"> who were fully trained in firefighting had no real obligation to engage in fire suppression because they were not regularly dispatched to fire scenes, did not carry firefighting equipment, and were expected to perform only medical services), </w:t>
      </w:r>
      <w:r w:rsidRPr="00246642">
        <w:rPr>
          <w:i/>
          <w:iCs/>
        </w:rPr>
        <w:t>with Huff</w:t>
      </w:r>
      <w:r w:rsidRPr="00246642">
        <w:t xml:space="preserve">, 516 F.3d at 1281 (finding </w:t>
      </w:r>
      <w:r>
        <w:t>‘</w:t>
      </w:r>
      <w:r w:rsidRPr="00246642">
        <w:t xml:space="preserve">cross-trained </w:t>
      </w:r>
      <w:r>
        <w:t>f</w:t>
      </w:r>
      <w:r w:rsidRPr="00246642">
        <w:t>irefighter/paramedics</w:t>
      </w:r>
      <w:r>
        <w:t>’</w:t>
      </w:r>
      <w:r w:rsidRPr="00246642">
        <w:t xml:space="preserve"> had forward-looking responsibility to engage in fire suppression because they possessed advanced training, were regularly dispatched to fire emergencies, and could be disciplined if they refused to do so). Beemer's job title is </w:t>
      </w:r>
      <w:r>
        <w:t>‘</w:t>
      </w:r>
      <w:r w:rsidRPr="00246642">
        <w:t>Paramedic/FF</w:t>
      </w:r>
      <w:proofErr w:type="gramStart"/>
      <w:r>
        <w:t>’</w:t>
      </w:r>
      <w:proofErr w:type="gramEnd"/>
      <w:r w:rsidRPr="00246642">
        <w:t xml:space="preserve"> and she is frequently dispatched to fire emergencies, but her job description does not explicitly detail whether she is responsible for fire suppression. </w:t>
      </w:r>
      <w:r w:rsidRPr="00246642">
        <w:rPr>
          <w:i/>
          <w:iCs/>
        </w:rPr>
        <w:t>See Lawrence</w:t>
      </w:r>
      <w:r w:rsidRPr="00246642">
        <w:t xml:space="preserve">, 527 F.3d at 305-06 (finding </w:t>
      </w:r>
      <w:r>
        <w:t>‘</w:t>
      </w:r>
      <w:r w:rsidRPr="00246642">
        <w:t>fire service paramedics</w:t>
      </w:r>
      <w:r>
        <w:t>’</w:t>
      </w:r>
      <w:r w:rsidRPr="00246642">
        <w:t xml:space="preserve"> lacked responsibility under Section 203(y) where their job description did </w:t>
      </w:r>
    </w:p>
    <w:p w14:paraId="1850274B" w14:textId="77777777" w:rsidR="00347723" w:rsidRDefault="00347723" w:rsidP="00347723">
      <w:pPr>
        <w:pStyle w:val="NoSpacing"/>
      </w:pPr>
      <w:r w:rsidRPr="00246642">
        <w:t xml:space="preserve">not </w:t>
      </w:r>
      <w:r>
        <w:t>‘</w:t>
      </w:r>
      <w:r w:rsidRPr="00246642">
        <w:t>refer[ ] to any role with respect to fire protection or fire suppression.</w:t>
      </w:r>
      <w:r>
        <w:t>’</w:t>
      </w:r>
      <w:r w:rsidRPr="00246642">
        <w:t>).</w:t>
      </w:r>
      <w:r>
        <w:t>”</w:t>
      </w:r>
    </w:p>
    <w:p w14:paraId="56003845" w14:textId="77777777" w:rsidR="00347723" w:rsidRDefault="00347723" w:rsidP="00347723">
      <w:pPr>
        <w:pStyle w:val="NoSpacing"/>
      </w:pPr>
    </w:p>
    <w:p w14:paraId="617B889B" w14:textId="77777777" w:rsidR="00347723" w:rsidRPr="00246642" w:rsidRDefault="00347723" w:rsidP="00347723">
      <w:pPr>
        <w:pStyle w:val="NoSpacing"/>
        <w:rPr>
          <w:b/>
          <w:bCs/>
        </w:rPr>
      </w:pPr>
      <w:r w:rsidRPr="006230AC">
        <w:rPr>
          <w:b/>
        </w:rPr>
        <w:t xml:space="preserve">Legal lesson learned: </w:t>
      </w:r>
      <w:r>
        <w:rPr>
          <w:b/>
        </w:rPr>
        <w:t xml:space="preserve">To avoid similar litigation, job descriptions should clearly include EMS role in fire suppression; also consider having EMS on occasion participate in fire suppression (at least overhaul while wearing SCBA). </w:t>
      </w:r>
    </w:p>
    <w:p w14:paraId="5B347E78" w14:textId="77777777" w:rsidR="00347723" w:rsidRPr="00B0183E" w:rsidRDefault="00347723" w:rsidP="00347723">
      <w:pPr>
        <w:pStyle w:val="NoSpacing"/>
      </w:pPr>
    </w:p>
    <w:p w14:paraId="480CA4E9" w14:textId="77777777" w:rsidR="00084E13" w:rsidRDefault="00084E13" w:rsidP="00020106">
      <w:pPr>
        <w:rPr>
          <w:rFonts w:ascii="Arial Black" w:hAnsi="Arial Black"/>
          <w:b/>
          <w:sz w:val="24"/>
          <w:szCs w:val="24"/>
        </w:rPr>
      </w:pPr>
    </w:p>
    <w:p w14:paraId="43FDC4F8" w14:textId="77777777" w:rsidR="00084E13" w:rsidRDefault="00084E13" w:rsidP="00020106">
      <w:pPr>
        <w:rPr>
          <w:rFonts w:ascii="Arial Black" w:hAnsi="Arial Black"/>
          <w:b/>
          <w:sz w:val="24"/>
          <w:szCs w:val="24"/>
        </w:rPr>
      </w:pPr>
    </w:p>
    <w:p w14:paraId="62B1E71F" w14:textId="77777777" w:rsidR="00084E13" w:rsidRDefault="00084E13" w:rsidP="00020106">
      <w:pPr>
        <w:rPr>
          <w:rFonts w:ascii="Arial Black" w:hAnsi="Arial Black"/>
          <w:b/>
          <w:sz w:val="24"/>
          <w:szCs w:val="24"/>
        </w:rPr>
      </w:pPr>
    </w:p>
    <w:p w14:paraId="2DB092AC" w14:textId="797A44E4" w:rsidR="0077176C" w:rsidRDefault="0077176C" w:rsidP="00020106">
      <w:pPr>
        <w:rPr>
          <w:rFonts w:ascii="Arial Black" w:hAnsi="Arial Black"/>
          <w:b/>
          <w:sz w:val="24"/>
          <w:szCs w:val="24"/>
        </w:rPr>
      </w:pPr>
      <w:r>
        <w:rPr>
          <w:rFonts w:ascii="Arial Black" w:hAnsi="Arial Black"/>
          <w:b/>
          <w:sz w:val="24"/>
          <w:szCs w:val="24"/>
        </w:rPr>
        <w:t>11-67</w:t>
      </w:r>
    </w:p>
    <w:p w14:paraId="13510ED9" w14:textId="77777777" w:rsidR="0077176C" w:rsidRDefault="0077176C" w:rsidP="0077176C">
      <w:pPr>
        <w:pStyle w:val="NoSpacing"/>
        <w:rPr>
          <w:rFonts w:ascii="Arial Black" w:hAnsi="Arial Black"/>
          <w:b/>
          <w:sz w:val="28"/>
          <w:szCs w:val="28"/>
        </w:rPr>
      </w:pPr>
      <w:r>
        <w:rPr>
          <w:rFonts w:ascii="Arial Black" w:hAnsi="Arial Black"/>
          <w:b/>
          <w:sz w:val="28"/>
          <w:szCs w:val="28"/>
        </w:rPr>
        <w:t>GA: DEATH INVEST. - NOT EXEMPT AS “ADMINISTRATIVE”</w:t>
      </w:r>
    </w:p>
    <w:p w14:paraId="27B35C19" w14:textId="77777777" w:rsidR="0077176C" w:rsidRDefault="0077176C" w:rsidP="0077176C">
      <w:pPr>
        <w:pStyle w:val="NoSpacing"/>
        <w:rPr>
          <w:rFonts w:ascii="Arial Black" w:hAnsi="Arial Black"/>
          <w:b/>
          <w:sz w:val="28"/>
          <w:szCs w:val="28"/>
        </w:rPr>
      </w:pPr>
    </w:p>
    <w:p w14:paraId="26E0E694" w14:textId="77777777" w:rsidR="0077176C" w:rsidRPr="006D4C67" w:rsidRDefault="0077176C" w:rsidP="0077176C">
      <w:pPr>
        <w:pStyle w:val="NoSpacing"/>
        <w:rPr>
          <w:bCs/>
        </w:rPr>
      </w:pPr>
      <w:r w:rsidRPr="006D4C67">
        <w:t xml:space="preserve">On February 10, 2026, in </w:t>
      </w:r>
      <w:r w:rsidRPr="006D4C67">
        <w:rPr>
          <w:u w:val="single"/>
        </w:rPr>
        <w:t>Robert Bumgardne, et al. v. Forensic Pathology Services, P.C</w:t>
      </w:r>
      <w:r>
        <w:rPr>
          <w:u w:val="single"/>
        </w:rPr>
        <w:t xml:space="preserve">, and </w:t>
      </w:r>
      <w:r w:rsidRPr="006D4C67">
        <w:rPr>
          <w:u w:val="single"/>
        </w:rPr>
        <w:t>Carol A. Terry, M.D</w:t>
      </w:r>
      <w:r w:rsidRPr="006D4C67">
        <w:t>., the United States Court of Appeals, Eleventh Circuit</w:t>
      </w:r>
      <w:r>
        <w:t xml:space="preserve"> (Atlanta) held (3 to 0; unpublished decision) that six former forensic death investigators at FPS were entitled to overtime; they did not meet the “administrative” employee exemption. </w:t>
      </w:r>
      <w:hyperlink r:id="rId1730" w:history="1">
        <w:r w:rsidRPr="00E5297F">
          <w:rPr>
            <w:rStyle w:val="Hyperlink"/>
          </w:rPr>
          <w:t>https://cases.justia.com/federal/appellate-courts/ca11/25-10673/25-10673-2026-02-10.pdf?ts=1770737597</w:t>
        </w:r>
      </w:hyperlink>
      <w:r>
        <w:t xml:space="preserve"> </w:t>
      </w:r>
    </w:p>
    <w:p w14:paraId="1CFA77C9" w14:textId="77777777" w:rsidR="0077176C" w:rsidRPr="006D4C67" w:rsidRDefault="0077176C" w:rsidP="0077176C">
      <w:pPr>
        <w:pStyle w:val="NoSpacing"/>
        <w:rPr>
          <w:bCs/>
        </w:rPr>
      </w:pPr>
    </w:p>
    <w:p w14:paraId="4FD22074" w14:textId="77777777" w:rsidR="0077176C" w:rsidRDefault="0077176C" w:rsidP="0077176C">
      <w:pPr>
        <w:pStyle w:val="NoSpacing"/>
        <w:rPr>
          <w:bCs/>
        </w:rPr>
      </w:pPr>
      <w:r w:rsidRPr="00046CDA">
        <w:t xml:space="preserve">THE COURT HELD: </w:t>
      </w:r>
      <w:r>
        <w:t xml:space="preserve"> “</w:t>
      </w:r>
      <w:r w:rsidRPr="00C52740">
        <w:t xml:space="preserve">Under the Fair Labor Standards Act (“FLSA”), workers in </w:t>
      </w:r>
    </w:p>
    <w:p w14:paraId="4B33D217" w14:textId="77777777" w:rsidR="0077176C" w:rsidRPr="00C52740" w:rsidRDefault="0077176C" w:rsidP="0077176C">
      <w:pPr>
        <w:pStyle w:val="NoSpacing"/>
        <w:rPr>
          <w:bCs/>
        </w:rPr>
      </w:pPr>
      <w:r w:rsidRPr="00C52740">
        <w:t>ad-</w:t>
      </w:r>
    </w:p>
    <w:p w14:paraId="1E0F8EEE" w14:textId="77777777" w:rsidR="0077176C" w:rsidRPr="00D1403A" w:rsidRDefault="0077176C" w:rsidP="0077176C">
      <w:pPr>
        <w:pStyle w:val="NoSpacing"/>
        <w:rPr>
          <w:bCs/>
        </w:rPr>
      </w:pPr>
      <w:r w:rsidRPr="00C52740">
        <w:t xml:space="preserve">ministrative roles like </w:t>
      </w:r>
      <w:r>
        <w:t>‘</w:t>
      </w:r>
      <w:r w:rsidRPr="00C52740">
        <w:t>legal and regulatory compliance</w:t>
      </w:r>
      <w:r>
        <w:t>’</w:t>
      </w:r>
      <w:r w:rsidRPr="00C52740">
        <w:t xml:space="preserve"> aren’t entitled to extra pay for overtime work. Defendants-Appellees Forensic Pathology Services, P.C. (</w:t>
      </w:r>
      <w:r>
        <w:t>‘</w:t>
      </w:r>
      <w:r w:rsidRPr="00C52740">
        <w:t>FPS</w:t>
      </w:r>
      <w:r>
        <w:t>’</w:t>
      </w:r>
      <w:r w:rsidRPr="00C52740">
        <w:t>), and its CEO, Dr. Carol A.</w:t>
      </w:r>
      <w:r>
        <w:t xml:space="preserve"> </w:t>
      </w:r>
      <w:r w:rsidRPr="00C52740">
        <w:t>Terry, contend that FPS’s forensic death investigators, who investigate unexpected or non-natural deaths in Gwinnett County,</w:t>
      </w:r>
      <w:r>
        <w:t xml:space="preserve"> </w:t>
      </w:r>
      <w:r w:rsidRPr="00C52740">
        <w:t>Georgia, fit this category</w:t>
      </w:r>
      <w:r>
        <w:t xml:space="preserve">…. </w:t>
      </w:r>
      <w:r w:rsidRPr="00563369">
        <w:t>Defendants are mistaken</w:t>
      </w:r>
      <w:r>
        <w:t xml:space="preserve">…. </w:t>
      </w:r>
      <w:r w:rsidRPr="00D1403A">
        <w:t>Plaintiffs-Appellants, six former forensic death investigators</w:t>
      </w:r>
      <w:r>
        <w:t xml:space="preserve"> </w:t>
      </w:r>
      <w:r w:rsidRPr="00D1403A">
        <w:t>at FPS</w:t>
      </w:r>
      <w:r>
        <w:t xml:space="preserve"> …</w:t>
      </w:r>
      <w:r w:rsidRPr="00D1403A">
        <w:t xml:space="preserve"> helped produce FPS’s core </w:t>
      </w:r>
      <w:r>
        <w:t>‘</w:t>
      </w:r>
      <w:r w:rsidRPr="00D1403A">
        <w:t>product</w:t>
      </w:r>
      <w:r>
        <w:t>’</w:t>
      </w:r>
      <w:r w:rsidRPr="00D1403A">
        <w:t xml:space="preserve"> of death-investigation services. FPS and</w:t>
      </w:r>
      <w:r>
        <w:t xml:space="preserve"> </w:t>
      </w:r>
      <w:r w:rsidRPr="00D1403A">
        <w:t>Dr. Terry provide no authority to support their view that if an employee adheres to state law while producing their employer’s core</w:t>
      </w:r>
    </w:p>
    <w:p w14:paraId="55EAFA61" w14:textId="77777777" w:rsidR="0077176C" w:rsidRDefault="0077176C" w:rsidP="0077176C">
      <w:pPr>
        <w:pStyle w:val="NoSpacing"/>
        <w:rPr>
          <w:bCs/>
        </w:rPr>
      </w:pPr>
      <w:r w:rsidRPr="00D1403A">
        <w:t xml:space="preserve">product, that somehow makes their work </w:t>
      </w:r>
      <w:r>
        <w:t>‘</w:t>
      </w:r>
      <w:r w:rsidRPr="00D1403A">
        <w:t>administrative</w:t>
      </w:r>
      <w:r>
        <w:t>’</w:t>
      </w:r>
      <w:r w:rsidRPr="00D1403A">
        <w:t xml:space="preserve"> within</w:t>
      </w:r>
      <w:r>
        <w:t xml:space="preserve"> </w:t>
      </w:r>
      <w:r w:rsidRPr="00D1403A">
        <w:t>the meaning of the FLSA. And if that were so, huge swaths of the</w:t>
      </w:r>
      <w:r>
        <w:t xml:space="preserve"> </w:t>
      </w:r>
      <w:r w:rsidRPr="00D1403A">
        <w:t xml:space="preserve">American workforce would be subject to the FLSA’s </w:t>
      </w:r>
      <w:r>
        <w:t>‘</w:t>
      </w:r>
      <w:r w:rsidRPr="00D1403A">
        <w:t>administrative</w:t>
      </w:r>
      <w:r>
        <w:t>’</w:t>
      </w:r>
      <w:r w:rsidRPr="00D1403A">
        <w:t xml:space="preserve"> exemption, meaning the FLSA’s wage protections would not</w:t>
      </w:r>
      <w:r>
        <w:t xml:space="preserve"> </w:t>
      </w:r>
      <w:r w:rsidRPr="00D1403A">
        <w:t>apply to them.</w:t>
      </w:r>
      <w:r>
        <w:t>”</w:t>
      </w:r>
    </w:p>
    <w:p w14:paraId="329444BD" w14:textId="77777777" w:rsidR="0077176C" w:rsidRDefault="0077176C" w:rsidP="0077176C">
      <w:pPr>
        <w:pStyle w:val="NoSpacing"/>
        <w:rPr>
          <w:bCs/>
        </w:rPr>
      </w:pPr>
    </w:p>
    <w:p w14:paraId="7D1DD6E8" w14:textId="77777777" w:rsidR="0077176C" w:rsidRPr="000A038E" w:rsidRDefault="0077176C" w:rsidP="0077176C">
      <w:pPr>
        <w:pStyle w:val="NoSpacing"/>
        <w:rPr>
          <w:b/>
        </w:rPr>
      </w:pPr>
      <w:r w:rsidRPr="000A038E">
        <w:rPr>
          <w:b/>
        </w:rPr>
        <w:t xml:space="preserve">Legal Lesson Learned: “Administrative” exemption applies to very few in Fire &amp; EMS. </w:t>
      </w:r>
    </w:p>
    <w:p w14:paraId="7CCA70B9" w14:textId="77777777" w:rsidR="0077176C" w:rsidRDefault="0077176C" w:rsidP="0077176C">
      <w:pPr>
        <w:pStyle w:val="NoSpacing"/>
        <w:rPr>
          <w:bCs/>
        </w:rPr>
      </w:pPr>
    </w:p>
    <w:p w14:paraId="7D535F84" w14:textId="77777777" w:rsidR="0077176C" w:rsidRPr="005E4175" w:rsidRDefault="0077176C" w:rsidP="0077176C">
      <w:pPr>
        <w:pStyle w:val="NoSpacing"/>
        <w:ind w:left="720"/>
        <w:rPr>
          <w:bCs/>
        </w:rPr>
      </w:pPr>
      <w:r>
        <w:t xml:space="preserve">Note: </w:t>
      </w:r>
      <w:r w:rsidRPr="005E4175">
        <w:t xml:space="preserve">See August 2024, U.S. Department of Labor </w:t>
      </w:r>
      <w:r>
        <w:t>–</w:t>
      </w:r>
      <w:r w:rsidRPr="005E4175">
        <w:t xml:space="preserve"> Fact Sheet #17C: Exemption for Administrative Employees Under the Fair Labor Standards Act (FLSA)</w:t>
      </w:r>
      <w:r>
        <w:t xml:space="preserve">. </w:t>
      </w:r>
      <w:hyperlink r:id="rId1731" w:history="1">
        <w:r w:rsidRPr="00E5297F">
          <w:rPr>
            <w:rStyle w:val="Hyperlink"/>
          </w:rPr>
          <w:t>https://www.dol.gov/agencies/whd/fact-sheets/17c-overtime-administrative</w:t>
        </w:r>
      </w:hyperlink>
      <w:r>
        <w:t xml:space="preserve"> </w:t>
      </w:r>
    </w:p>
    <w:p w14:paraId="028443F7" w14:textId="77777777" w:rsidR="0077176C" w:rsidRDefault="0077176C" w:rsidP="0077176C">
      <w:pPr>
        <w:pStyle w:val="NoSpacing"/>
        <w:rPr>
          <w:bCs/>
        </w:rPr>
      </w:pPr>
    </w:p>
    <w:p w14:paraId="27301BB2" w14:textId="77777777" w:rsidR="0077176C" w:rsidRDefault="0077176C" w:rsidP="0077176C">
      <w:pPr>
        <w:pStyle w:val="NoSpacing"/>
        <w:ind w:left="720"/>
      </w:pPr>
      <w:r>
        <w:t>“</w:t>
      </w:r>
      <w:r w:rsidRPr="00C352A2">
        <w:t>The employee's primary duty must be the performance of office or non-manual work directly related to the management or general business operations of the employer or the employer's customers; and</w:t>
      </w:r>
      <w:r>
        <w:t xml:space="preserve"> t</w:t>
      </w:r>
      <w:r w:rsidRPr="007E7C57">
        <w:t>he employee's primary duty includes the exercise of discretion and independent judgment with respect to matters of significance.</w:t>
      </w:r>
      <w:r>
        <w:t>”</w:t>
      </w:r>
    </w:p>
    <w:p w14:paraId="7BA341A5" w14:textId="77777777" w:rsidR="0077176C" w:rsidRDefault="0077176C" w:rsidP="0077176C">
      <w:pPr>
        <w:pStyle w:val="NoSpacing"/>
        <w:ind w:left="720"/>
      </w:pPr>
    </w:p>
    <w:p w14:paraId="411A60CF" w14:textId="77777777" w:rsidR="0077176C" w:rsidRDefault="0077176C" w:rsidP="0077176C">
      <w:pPr>
        <w:pStyle w:val="NoSpacing"/>
      </w:pPr>
    </w:p>
    <w:p w14:paraId="4C3169A3" w14:textId="77777777" w:rsidR="0077176C" w:rsidRDefault="0077176C" w:rsidP="00020106">
      <w:pPr>
        <w:rPr>
          <w:rFonts w:ascii="Arial Black" w:hAnsi="Arial Black"/>
          <w:b/>
          <w:sz w:val="24"/>
          <w:szCs w:val="24"/>
        </w:rPr>
      </w:pPr>
    </w:p>
    <w:p w14:paraId="7F660D02" w14:textId="250B008B" w:rsidR="0077176C" w:rsidRDefault="00D610F1" w:rsidP="00020106">
      <w:pPr>
        <w:rPr>
          <w:rFonts w:ascii="Arial Black" w:hAnsi="Arial Black"/>
          <w:b/>
          <w:sz w:val="24"/>
          <w:szCs w:val="24"/>
        </w:rPr>
      </w:pPr>
      <w:r>
        <w:rPr>
          <w:rFonts w:ascii="Arial Black" w:hAnsi="Arial Black"/>
          <w:b/>
          <w:sz w:val="24"/>
          <w:szCs w:val="24"/>
        </w:rPr>
        <w:t>11-66</w:t>
      </w:r>
    </w:p>
    <w:p w14:paraId="29B057B8" w14:textId="77777777" w:rsidR="00D610F1" w:rsidRDefault="00D610F1" w:rsidP="00020106">
      <w:pPr>
        <w:rPr>
          <w:rFonts w:ascii="Arial Black" w:hAnsi="Arial Black"/>
          <w:b/>
          <w:sz w:val="24"/>
          <w:szCs w:val="24"/>
        </w:rPr>
      </w:pPr>
    </w:p>
    <w:p w14:paraId="28B3F374" w14:textId="77777777" w:rsidR="00D610F1" w:rsidRPr="00EA49C0" w:rsidRDefault="00D610F1" w:rsidP="00D610F1">
      <w:pPr>
        <w:pStyle w:val="NoSpacing"/>
        <w:rPr>
          <w:rFonts w:ascii="Arial Black" w:hAnsi="Arial Black"/>
          <w:bCs/>
          <w:sz w:val="28"/>
          <w:szCs w:val="28"/>
        </w:rPr>
      </w:pPr>
      <w:r>
        <w:rPr>
          <w:rFonts w:ascii="Arial Black" w:hAnsi="Arial Black"/>
          <w:sz w:val="28"/>
          <w:szCs w:val="28"/>
        </w:rPr>
        <w:t>DC: FED. EMPLOYEE – OT MUST BE APPROVED “IN WRITING”</w:t>
      </w:r>
    </w:p>
    <w:p w14:paraId="1A8F82C2" w14:textId="77777777" w:rsidR="00D610F1" w:rsidRDefault="00D610F1" w:rsidP="00D610F1">
      <w:pPr>
        <w:pStyle w:val="NoSpacing"/>
        <w:rPr>
          <w:bCs/>
        </w:rPr>
      </w:pPr>
    </w:p>
    <w:p w14:paraId="0E98093F" w14:textId="77777777" w:rsidR="00D610F1" w:rsidRDefault="00D610F1" w:rsidP="00D610F1">
      <w:pPr>
        <w:pStyle w:val="NoSpacing"/>
        <w:rPr>
          <w:bCs/>
        </w:rPr>
      </w:pPr>
      <w:r>
        <w:t xml:space="preserve">On December 12, 2025, in </w:t>
      </w:r>
      <w:r w:rsidRPr="00C600B3">
        <w:rPr>
          <w:u w:val="single"/>
        </w:rPr>
        <w:t>Jillian Lesko v. United States</w:t>
      </w:r>
      <w:r>
        <w:t xml:space="preserve">, the </w:t>
      </w:r>
      <w:r w:rsidRPr="00CD346A">
        <w:t>United States Court of Appeals, Federal Circuit</w:t>
      </w:r>
      <w:r>
        <w:t xml:space="preserve">, Washington, D.C., held (7 to 4; </w:t>
      </w:r>
      <w:proofErr w:type="spellStart"/>
      <w:r>
        <w:t>en</w:t>
      </w:r>
      <w:proofErr w:type="spellEnd"/>
      <w:r>
        <w:t xml:space="preserve"> banc decision by all judges on the Court) that </w:t>
      </w:r>
      <w:r w:rsidRPr="005B55D9">
        <w:t>Ms. Lesko</w:t>
      </w:r>
      <w:r>
        <w:t xml:space="preserve">. </w:t>
      </w:r>
      <w:r w:rsidRPr="005B55D9">
        <w:t>a registered nurse for the Indian Health Service (IHS) for eight months during the COVID-19 pandemic</w:t>
      </w:r>
      <w:r>
        <w:t xml:space="preserve">, who worked very long days, was not entitled to overtime pay since Office of Personnel Management regulations requires that overtime be first </w:t>
      </w:r>
      <w:r w:rsidRPr="00602BD8">
        <w:rPr>
          <w:i/>
          <w:iCs/>
        </w:rPr>
        <w:t>ordered or approved only in writing</w:t>
      </w:r>
      <w:r w:rsidRPr="00602BD8">
        <w:t xml:space="preserve"> by an officer or employee to whom this authority has been specifically delegated.</w:t>
      </w:r>
      <w:r>
        <w:t xml:space="preserve"> </w:t>
      </w:r>
      <w:r w:rsidRPr="00602BD8">
        <w:t>5 C.F.R. § 550.111(c) (hereafter, overtime regulation).</w:t>
      </w:r>
      <w:r>
        <w:t xml:space="preserve"> </w:t>
      </w:r>
      <w:hyperlink r:id="rId1732" w:history="1">
        <w:r w:rsidRPr="00E759FB">
          <w:rPr>
            <w:rStyle w:val="Hyperlink"/>
          </w:rPr>
          <w:t>https://www.cafc.uscourts.gov/opinions-orders/23-1823.OPINION.12-12-2025_2618923.pdf</w:t>
        </w:r>
      </w:hyperlink>
      <w:r w:rsidRPr="00E759FB">
        <w:t xml:space="preserve"> </w:t>
      </w:r>
    </w:p>
    <w:p w14:paraId="79A77546" w14:textId="77777777" w:rsidR="00D610F1" w:rsidRDefault="00D610F1" w:rsidP="00D610F1">
      <w:pPr>
        <w:pStyle w:val="NoSpacing"/>
        <w:rPr>
          <w:bCs/>
        </w:rPr>
      </w:pPr>
    </w:p>
    <w:p w14:paraId="284AF1E5" w14:textId="77777777" w:rsidR="00D610F1" w:rsidRPr="00602BD8" w:rsidRDefault="00D610F1" w:rsidP="00D610F1">
      <w:pPr>
        <w:pStyle w:val="NoSpacing"/>
        <w:rPr>
          <w:bCs/>
        </w:rPr>
      </w:pPr>
      <w:r>
        <w:t xml:space="preserve">THE COURT HELD:  </w:t>
      </w:r>
      <w:r w:rsidRPr="005B55D9">
        <w:t>Ms. Lesko worked as a registered nurse for the Indian Health Service (IHS) for eight months during the COVID-19 pandemic</w:t>
      </w:r>
      <w:r>
        <w:t>….</w:t>
      </w:r>
      <w:r w:rsidRPr="005B55D9">
        <w:t xml:space="preserve"> During this time, she alleges nurses </w:t>
      </w:r>
      <w:r>
        <w:t>‘</w:t>
      </w:r>
      <w:r w:rsidRPr="005B55D9">
        <w:t>were stretched to their limits</w:t>
      </w:r>
      <w:r>
        <w:t>’</w:t>
      </w:r>
      <w:r w:rsidRPr="005B55D9">
        <w:t xml:space="preserve"> and </w:t>
      </w:r>
      <w:r>
        <w:t>‘</w:t>
      </w:r>
      <w:r w:rsidRPr="005B55D9">
        <w:t>[s]</w:t>
      </w:r>
      <w:proofErr w:type="spellStart"/>
      <w:r w:rsidRPr="005B55D9">
        <w:t>upervisors</w:t>
      </w:r>
      <w:proofErr w:type="spellEnd"/>
      <w:r w:rsidRPr="005B55D9">
        <w:t xml:space="preserve"> and managers regularly and routinely required nurses to stay after hours and work without compensation to meet the patient demands.</w:t>
      </w:r>
      <w:r>
        <w:t>’</w:t>
      </w:r>
      <w:r w:rsidRPr="005B55D9">
        <w:t xml:space="preserve"> J.A. 82 ¶ 42. After resigning from IHS, Ms. Lesko filed a complaint for a class action suit, which she amended after the Government moved to dismiss it</w:t>
      </w:r>
      <w:r>
        <w:t xml:space="preserve">…. </w:t>
      </w:r>
      <w:r w:rsidRPr="00A80574">
        <w:t>The</w:t>
      </w:r>
      <w:r>
        <w:t xml:space="preserve"> </w:t>
      </w:r>
      <w:r w:rsidRPr="00A80574">
        <w:t>Court of Federal Claims granted the motion and dismissed</w:t>
      </w:r>
      <w:r>
        <w:t xml:space="preserve"> </w:t>
      </w:r>
      <w:r w:rsidRPr="00A80574">
        <w:t>all counts</w:t>
      </w:r>
      <w:r>
        <w:t xml:space="preserve">…. </w:t>
      </w:r>
      <w:r w:rsidRPr="00F54BA4">
        <w:t>In relevant part, the statute and regulation governing</w:t>
      </w:r>
      <w:r>
        <w:t xml:space="preserve"> </w:t>
      </w:r>
      <w:r w:rsidRPr="00F54BA4">
        <w:t>overtime pay for federal employees have existed for eighty</w:t>
      </w:r>
      <w:r>
        <w:t xml:space="preserve"> </w:t>
      </w:r>
      <w:r w:rsidRPr="00F54BA4">
        <w:t>years.</w:t>
      </w:r>
      <w:r>
        <w:t xml:space="preserve"> </w:t>
      </w:r>
      <w:r w:rsidRPr="00D26584">
        <w:t>On July 4, 1945—four days after Congress enacted</w:t>
      </w:r>
      <w:r>
        <w:t xml:space="preserve"> </w:t>
      </w:r>
      <w:r w:rsidRPr="00D26584">
        <w:t>FEPA</w:t>
      </w:r>
      <w:r>
        <w:t xml:space="preserve"> [F</w:t>
      </w:r>
      <w:r w:rsidRPr="006F564E">
        <w:t>ederal Employees Pay Act of 1945</w:t>
      </w:r>
      <w:r>
        <w:t>]</w:t>
      </w:r>
      <w:r w:rsidRPr="00D26584">
        <w:t>—the Civil Service Commission promulgated regulations, approved by the President, to implement the Act</w:t>
      </w:r>
      <w:r>
        <w:t xml:space="preserve">…. </w:t>
      </w:r>
      <w:r w:rsidRPr="00602BD8">
        <w:t>The present regulatory language implementing the writing requirement, now codified at 5 C.F.R. § 550.111(c), has undergone additional amendments since recodification but, as relevant to this appeal, it contains the same operative language as the originally promulgated regulation:</w:t>
      </w:r>
    </w:p>
    <w:p w14:paraId="5E2EB495" w14:textId="77777777" w:rsidR="00D610F1" w:rsidRPr="00602BD8" w:rsidRDefault="00D610F1" w:rsidP="00D610F1">
      <w:pPr>
        <w:pStyle w:val="NoSpacing"/>
        <w:rPr>
          <w:bCs/>
        </w:rPr>
      </w:pPr>
      <w:r w:rsidRPr="00602BD8">
        <w:t xml:space="preserve">Overtime work </w:t>
      </w:r>
      <w:proofErr w:type="gramStart"/>
      <w:r w:rsidRPr="00602BD8">
        <w:t>in excess of</w:t>
      </w:r>
      <w:proofErr w:type="gramEnd"/>
      <w:r w:rsidRPr="00602BD8">
        <w:t xml:space="preserve"> any included in a regularly scheduled administrative </w:t>
      </w:r>
      <w:proofErr w:type="gramStart"/>
      <w:r w:rsidRPr="00602BD8">
        <w:t>workweek</w:t>
      </w:r>
      <w:proofErr w:type="gramEnd"/>
      <w:r w:rsidRPr="00602BD8">
        <w:t xml:space="preserve"> may be </w:t>
      </w:r>
      <w:r w:rsidRPr="00602BD8">
        <w:rPr>
          <w:i/>
          <w:iCs/>
        </w:rPr>
        <w:t>ordered or approved only in writing</w:t>
      </w:r>
      <w:r w:rsidRPr="00602BD8">
        <w:t xml:space="preserve"> by an officer or employee to whom this authority has been specifically delegated.</w:t>
      </w:r>
      <w:r>
        <w:t xml:space="preserve"> </w:t>
      </w:r>
      <w:r w:rsidRPr="00602BD8">
        <w:t>5 C.F.R. § 550.111(c) (hereafter, overtime regulation).</w:t>
      </w:r>
      <w:r>
        <w:t>”</w:t>
      </w:r>
    </w:p>
    <w:p w14:paraId="40D2A287" w14:textId="77777777" w:rsidR="00D610F1" w:rsidRDefault="00D610F1" w:rsidP="00D610F1">
      <w:pPr>
        <w:pStyle w:val="NoSpacing"/>
        <w:rPr>
          <w:bCs/>
        </w:rPr>
      </w:pPr>
    </w:p>
    <w:p w14:paraId="6BB1EC2F" w14:textId="77777777" w:rsidR="00D610F1" w:rsidRPr="00602BD8" w:rsidRDefault="00D610F1" w:rsidP="00D610F1">
      <w:pPr>
        <w:pStyle w:val="NoSpacing"/>
        <w:rPr>
          <w:b/>
        </w:rPr>
      </w:pPr>
      <w:r w:rsidRPr="006F564E">
        <w:rPr>
          <w:b/>
        </w:rPr>
        <w:t xml:space="preserve">Legal lesson learned: </w:t>
      </w:r>
      <w:r w:rsidRPr="006564B7">
        <w:rPr>
          <w:b/>
        </w:rPr>
        <w:t xml:space="preserve">The Office of Personnel Management regulations control; but it seems unfair that the Indian Health Service </w:t>
      </w:r>
      <w:r>
        <w:rPr>
          <w:b/>
        </w:rPr>
        <w:t xml:space="preserve">(or any other federal agency) </w:t>
      </w:r>
      <w:r w:rsidRPr="006564B7">
        <w:rPr>
          <w:b/>
        </w:rPr>
        <w:t xml:space="preserve">would allow work beyond 80 hours, but then not pay time and half. </w:t>
      </w:r>
    </w:p>
    <w:p w14:paraId="23BEAA6E" w14:textId="77777777" w:rsidR="00D610F1" w:rsidRPr="00E759FB" w:rsidRDefault="00D610F1" w:rsidP="00D610F1">
      <w:pPr>
        <w:pStyle w:val="NoSpacing"/>
        <w:rPr>
          <w:bCs/>
        </w:rPr>
      </w:pPr>
    </w:p>
    <w:p w14:paraId="649D1267" w14:textId="77777777" w:rsidR="00D610F1" w:rsidRPr="004C2FD6" w:rsidRDefault="00D610F1" w:rsidP="00D610F1">
      <w:pPr>
        <w:pStyle w:val="NoSpacing"/>
        <w:rPr>
          <w:bCs/>
        </w:rPr>
      </w:pPr>
      <w:r>
        <w:tab/>
        <w:t xml:space="preserve">Note: Four Dissenting Judges: </w:t>
      </w:r>
      <w:r w:rsidRPr="004C2FD6">
        <w:t>STOLL, Circuit Judge, dissenting, with whom Circuit</w:t>
      </w:r>
    </w:p>
    <w:p w14:paraId="78D7EE74" w14:textId="77777777" w:rsidR="00D610F1" w:rsidRDefault="00D610F1" w:rsidP="00D610F1">
      <w:pPr>
        <w:pStyle w:val="NoSpacing"/>
        <w:ind w:firstLine="720"/>
        <w:rPr>
          <w:bCs/>
        </w:rPr>
      </w:pPr>
      <w:r w:rsidRPr="004C2FD6">
        <w:t>Judges REYNA , CUNNINGHAM, and S TARK join</w:t>
      </w:r>
      <w:r>
        <w:t>.</w:t>
      </w:r>
    </w:p>
    <w:p w14:paraId="0EE3CDB5" w14:textId="77777777" w:rsidR="00D610F1" w:rsidRPr="00CD346A" w:rsidRDefault="00D610F1" w:rsidP="00D610F1">
      <w:pPr>
        <w:pStyle w:val="NoSpacing"/>
        <w:ind w:firstLine="720"/>
        <w:rPr>
          <w:bCs/>
        </w:rPr>
      </w:pPr>
      <w:r>
        <w:t>“</w:t>
      </w:r>
      <w:r w:rsidRPr="00821EA4">
        <w:t>In sum, it is up to Congress, not OPM, to impose a writing requirement.</w:t>
      </w:r>
      <w:r>
        <w:t>”</w:t>
      </w:r>
    </w:p>
    <w:p w14:paraId="54574C14" w14:textId="77777777" w:rsidR="00D610F1" w:rsidRDefault="00D610F1" w:rsidP="00D610F1">
      <w:pPr>
        <w:pStyle w:val="NoSpacing"/>
        <w:rPr>
          <w:bCs/>
        </w:rPr>
      </w:pPr>
    </w:p>
    <w:p w14:paraId="4B62CF35" w14:textId="77777777" w:rsidR="00D610F1" w:rsidRDefault="00D610F1" w:rsidP="00020106">
      <w:pPr>
        <w:rPr>
          <w:rFonts w:ascii="Arial Black" w:hAnsi="Arial Black"/>
          <w:b/>
          <w:sz w:val="24"/>
          <w:szCs w:val="24"/>
        </w:rPr>
      </w:pPr>
    </w:p>
    <w:p w14:paraId="5B93633E" w14:textId="77777777" w:rsidR="0077176C" w:rsidRDefault="0077176C" w:rsidP="00020106">
      <w:pPr>
        <w:rPr>
          <w:rFonts w:ascii="Arial Black" w:hAnsi="Arial Black"/>
          <w:b/>
          <w:sz w:val="24"/>
          <w:szCs w:val="24"/>
        </w:rPr>
      </w:pPr>
    </w:p>
    <w:p w14:paraId="4ECC3647" w14:textId="77777777" w:rsidR="0077176C" w:rsidRDefault="0077176C" w:rsidP="00020106">
      <w:pPr>
        <w:rPr>
          <w:rFonts w:ascii="Arial Black" w:hAnsi="Arial Black"/>
          <w:b/>
          <w:sz w:val="24"/>
          <w:szCs w:val="24"/>
        </w:rPr>
      </w:pPr>
    </w:p>
    <w:p w14:paraId="5C9A1B17" w14:textId="405317FE" w:rsidR="008626B6" w:rsidRDefault="008626B6" w:rsidP="00020106">
      <w:pPr>
        <w:rPr>
          <w:rFonts w:ascii="Arial Black" w:hAnsi="Arial Black"/>
          <w:b/>
          <w:sz w:val="24"/>
          <w:szCs w:val="24"/>
        </w:rPr>
      </w:pPr>
      <w:r>
        <w:rPr>
          <w:rFonts w:ascii="Arial Black" w:hAnsi="Arial Black"/>
          <w:b/>
          <w:sz w:val="24"/>
          <w:szCs w:val="24"/>
        </w:rPr>
        <w:t>11-65</w:t>
      </w:r>
    </w:p>
    <w:p w14:paraId="71AEEFA7" w14:textId="1BB09CB9" w:rsidR="005F4889" w:rsidRDefault="005F4889" w:rsidP="005F4889">
      <w:pPr>
        <w:pStyle w:val="NoSpacing"/>
        <w:rPr>
          <w:rFonts w:ascii="Arial Black" w:hAnsi="Arial Black"/>
          <w:sz w:val="28"/>
          <w:szCs w:val="28"/>
        </w:rPr>
      </w:pPr>
      <w:r>
        <w:rPr>
          <w:rFonts w:ascii="Arial Black" w:hAnsi="Arial Black"/>
          <w:sz w:val="28"/>
          <w:szCs w:val="28"/>
        </w:rPr>
        <w:t>VA: B</w:t>
      </w:r>
      <w:r w:rsidR="0018059E">
        <w:rPr>
          <w:rFonts w:ascii="Arial Black" w:hAnsi="Arial Black"/>
          <w:sz w:val="28"/>
          <w:szCs w:val="28"/>
        </w:rPr>
        <w:t>ATTALION CHIEF</w:t>
      </w:r>
      <w:r w:rsidR="007B72B3">
        <w:rPr>
          <w:rFonts w:ascii="Arial Black" w:hAnsi="Arial Black"/>
          <w:sz w:val="28"/>
          <w:szCs w:val="28"/>
        </w:rPr>
        <w:t>S</w:t>
      </w:r>
      <w:r w:rsidR="0018059E">
        <w:rPr>
          <w:rFonts w:ascii="Arial Black" w:hAnsi="Arial Black"/>
          <w:sz w:val="28"/>
          <w:szCs w:val="28"/>
        </w:rPr>
        <w:t xml:space="preserve"> </w:t>
      </w:r>
      <w:r>
        <w:rPr>
          <w:rFonts w:ascii="Arial Black" w:hAnsi="Arial Black"/>
          <w:sz w:val="28"/>
          <w:szCs w:val="28"/>
        </w:rPr>
        <w:t>PAID A FIXED SALARY – EXEMPT POSITION</w:t>
      </w:r>
    </w:p>
    <w:p w14:paraId="5F2CCBB5" w14:textId="77777777" w:rsidR="005F4889" w:rsidRDefault="005F4889" w:rsidP="005F4889">
      <w:pPr>
        <w:pStyle w:val="NoSpacing"/>
        <w:rPr>
          <w:rFonts w:ascii="Arial Black" w:hAnsi="Arial Black"/>
          <w:sz w:val="28"/>
          <w:szCs w:val="28"/>
        </w:rPr>
      </w:pPr>
    </w:p>
    <w:p w14:paraId="548FCA46" w14:textId="77777777" w:rsidR="005F4889" w:rsidRDefault="005F4889" w:rsidP="005F4889">
      <w:pPr>
        <w:pStyle w:val="NoSpacing"/>
      </w:pPr>
      <w:r w:rsidRPr="0012387F">
        <w:t xml:space="preserve">On </w:t>
      </w:r>
      <w:r>
        <w:t xml:space="preserve">December 31, 2025, in </w:t>
      </w:r>
      <w:r w:rsidRPr="000F3254">
        <w:rPr>
          <w:u w:val="single"/>
        </w:rPr>
        <w:t>Anthony Kelley, et al. v. The City of Alexandria</w:t>
      </w:r>
      <w:r>
        <w:t xml:space="preserve">, the United States Court of Appeals for the Fourth Circuit (Richmond, VA) held (3 to 0) that Battalion Chiefs are not entitled to overtime pay as “white collar” employees; they are guaranteed a salary payment regardless of hours worked. </w:t>
      </w:r>
      <w:r w:rsidRPr="002D02AF">
        <w:t>Although the City assigned each chief an annual salary, it converted that salary into hourly rates for payroll purposes.</w:t>
      </w:r>
      <w:r>
        <w:t xml:space="preserve">  When they work </w:t>
      </w:r>
      <w:r w:rsidRPr="007846E5">
        <w:t>off</w:t>
      </w:r>
      <w:r>
        <w:t xml:space="preserve">-schedule hours, they are paid at the chief’s hourly rate. If they don’t work a scheduled shift, the </w:t>
      </w:r>
      <w:proofErr w:type="gramStart"/>
      <w:r>
        <w:t>City</w:t>
      </w:r>
      <w:proofErr w:type="gramEnd"/>
      <w:r>
        <w:t xml:space="preserve"> properly deducts those hours from their paid leave balance.  The fight in this case is about this last category of hours. When an employee is paid weekly (or on a less frequent basis) then exemption in 29 C.F.R. § 541.602(b) applies.</w:t>
      </w:r>
    </w:p>
    <w:p w14:paraId="2B4FD25F" w14:textId="77777777" w:rsidR="005F4889" w:rsidRDefault="005F4889" w:rsidP="005F4889">
      <w:pPr>
        <w:pStyle w:val="NoSpacing"/>
      </w:pPr>
      <w:r>
        <w:t xml:space="preserve"> </w:t>
      </w:r>
      <w:hyperlink r:id="rId1733" w:history="1">
        <w:r w:rsidRPr="00EB1520">
          <w:rPr>
            <w:rStyle w:val="Hyperlink"/>
          </w:rPr>
          <w:t>https://www.ca4.uscourts.gov/opinions/231752.P.pdf</w:t>
        </w:r>
      </w:hyperlink>
      <w:r>
        <w:t xml:space="preserve"> </w:t>
      </w:r>
    </w:p>
    <w:p w14:paraId="3046526A" w14:textId="77777777" w:rsidR="005F4889" w:rsidRDefault="005F4889" w:rsidP="005F4889">
      <w:pPr>
        <w:pStyle w:val="NoSpacing"/>
      </w:pPr>
    </w:p>
    <w:p w14:paraId="14D4866D" w14:textId="77777777" w:rsidR="005F4889" w:rsidRDefault="005F4889" w:rsidP="005F4889">
      <w:pPr>
        <w:pStyle w:val="NoSpacing"/>
      </w:pPr>
      <w:r>
        <w:t>THE COURT HELD:</w:t>
      </w:r>
    </w:p>
    <w:p w14:paraId="3835B5E0" w14:textId="77777777" w:rsidR="005F4889" w:rsidRDefault="005F4889" w:rsidP="005F4889">
      <w:pPr>
        <w:pStyle w:val="NoSpacing"/>
      </w:pPr>
    </w:p>
    <w:p w14:paraId="7F8F27A4" w14:textId="77777777" w:rsidR="005F4889" w:rsidRDefault="005F4889" w:rsidP="005F4889">
      <w:pPr>
        <w:pStyle w:val="NoSpacing"/>
        <w:ind w:left="720"/>
      </w:pPr>
      <w:r>
        <w:t>“</w:t>
      </w:r>
      <w:r w:rsidRPr="003B4CBA">
        <w:t>Current and former battalion chiefs for the City of Alexandria Fire Department sued</w:t>
      </w:r>
      <w:r>
        <w:t xml:space="preserve"> </w:t>
      </w:r>
      <w:r w:rsidRPr="003B4CBA">
        <w:t xml:space="preserve">the </w:t>
      </w:r>
      <w:proofErr w:type="gramStart"/>
      <w:r w:rsidRPr="003B4CBA">
        <w:t>City</w:t>
      </w:r>
      <w:proofErr w:type="gramEnd"/>
      <w:r w:rsidRPr="003B4CBA">
        <w:t xml:space="preserve"> seeking payment of unpaid overtime wages under the Fair Labor Standards Act.</w:t>
      </w:r>
      <w:r>
        <w:t xml:space="preserve"> </w:t>
      </w:r>
      <w:r w:rsidRPr="003B4CBA">
        <w:t>The district court granted summary judgment for the City, concluding that the chiefs were</w:t>
      </w:r>
      <w:r>
        <w:t xml:space="preserve"> </w:t>
      </w:r>
      <w:r w:rsidRPr="003B4CBA">
        <w:t xml:space="preserve">exempt from the Act’s overtime-pay requirements under the </w:t>
      </w:r>
      <w:r>
        <w:t>‘</w:t>
      </w:r>
      <w:r w:rsidRPr="003B4CBA">
        <w:t>highly compensated</w:t>
      </w:r>
      <w:r>
        <w:t xml:space="preserve"> </w:t>
      </w:r>
      <w:proofErr w:type="gramStart"/>
      <w:r w:rsidRPr="003B4CBA">
        <w:t>employee</w:t>
      </w:r>
      <w:r>
        <w:t>’</w:t>
      </w:r>
      <w:proofErr w:type="gramEnd"/>
      <w:r w:rsidRPr="003B4CBA">
        <w:t xml:space="preserve"> exemption. That exemption requires (among other things) that the City</w:t>
      </w:r>
      <w:r>
        <w:t xml:space="preserve"> </w:t>
      </w:r>
      <w:r w:rsidRPr="003B4CBA">
        <w:t xml:space="preserve">compensate the chiefs on a </w:t>
      </w:r>
      <w:r>
        <w:t>‘</w:t>
      </w:r>
      <w:r w:rsidRPr="003B4CBA">
        <w:t>salary basis.</w:t>
      </w:r>
      <w:r>
        <w:t>’</w:t>
      </w:r>
    </w:p>
    <w:p w14:paraId="31F0B38B" w14:textId="77777777" w:rsidR="005F4889" w:rsidRDefault="005F4889" w:rsidP="005F4889">
      <w:pPr>
        <w:pStyle w:val="NoSpacing"/>
        <w:ind w:left="720"/>
      </w:pPr>
    </w:p>
    <w:p w14:paraId="7A24A3CC" w14:textId="77777777" w:rsidR="005F4889" w:rsidRDefault="005F4889" w:rsidP="005F4889">
      <w:pPr>
        <w:pStyle w:val="NoSpacing"/>
        <w:ind w:left="720"/>
      </w:pPr>
      <w:r>
        <w:t>***</w:t>
      </w:r>
    </w:p>
    <w:p w14:paraId="6AACD42D" w14:textId="77777777" w:rsidR="005F4889" w:rsidRDefault="005F4889" w:rsidP="005F4889">
      <w:pPr>
        <w:pStyle w:val="NoSpacing"/>
        <w:ind w:left="720"/>
      </w:pPr>
    </w:p>
    <w:p w14:paraId="0354A0FC" w14:textId="77777777" w:rsidR="005F4889" w:rsidRDefault="005F4889" w:rsidP="005F4889">
      <w:pPr>
        <w:pStyle w:val="NoSpacing"/>
        <w:ind w:left="720"/>
      </w:pPr>
      <w:r>
        <w:t>The Alexandria Fire Department has ten fire stations, split evenly between two battalions. The department employs ten battalion chiefs. Battalion chiefs rotate through operational or administrative schedules. Typically, the department assigns six chiefs (three for each of the two battalions) to an operational schedule, during which they’re responsible for the day-to-day operations of the fire stations within their assigned battalion. These chiefs are scheduled to work three 24-hour shifts according to a nine-day scheduling cycle.</w:t>
      </w:r>
    </w:p>
    <w:p w14:paraId="60B0A6D5" w14:textId="77777777" w:rsidR="005F4889" w:rsidRDefault="005F4889" w:rsidP="005F4889">
      <w:pPr>
        <w:pStyle w:val="NoSpacing"/>
      </w:pPr>
    </w:p>
    <w:p w14:paraId="73FD1790" w14:textId="77777777" w:rsidR="005F4889" w:rsidRDefault="005F4889" w:rsidP="005F4889">
      <w:pPr>
        <w:pStyle w:val="NoSpacing"/>
        <w:ind w:left="720"/>
      </w:pPr>
      <w:r>
        <w:t>The nine-day cycles are staggered such that two operational chiefs are on duty each day (one for each battalion). During each nine-day cycle, the chiefs are on duty the first, third, and fifth days, and off duty the remaining six days. Their ‘work period’ is 28 days.</w:t>
      </w:r>
    </w:p>
    <w:p w14:paraId="4F7DEC84" w14:textId="77777777" w:rsidR="005F4889" w:rsidRDefault="005F4889" w:rsidP="005F4889">
      <w:pPr>
        <w:pStyle w:val="NoSpacing"/>
      </w:pPr>
    </w:p>
    <w:p w14:paraId="2CE771E0" w14:textId="77777777" w:rsidR="005F4889" w:rsidRDefault="005F4889" w:rsidP="005F4889">
      <w:pPr>
        <w:pStyle w:val="NoSpacing"/>
        <w:ind w:left="720"/>
      </w:pPr>
      <w:proofErr w:type="gramStart"/>
      <w:r>
        <w:t>So</w:t>
      </w:r>
      <w:proofErr w:type="gramEnd"/>
      <w:r>
        <w:t xml:space="preserve"> if the </w:t>
      </w:r>
      <w:proofErr w:type="gramStart"/>
      <w:r>
        <w:t>City</w:t>
      </w:r>
      <w:proofErr w:type="gramEnd"/>
      <w:r>
        <w:t xml:space="preserve"> paid them strictly based on scheduled hours, their paychecks could vary substantially from one pay period to the next. To avoid that, the </w:t>
      </w:r>
      <w:proofErr w:type="gramStart"/>
      <w:r>
        <w:t>City</w:t>
      </w:r>
      <w:proofErr w:type="gramEnd"/>
      <w:r>
        <w:t xml:space="preserve"> pays those </w:t>
      </w:r>
      <w:proofErr w:type="gramStart"/>
      <w:r>
        <w:t>chiefs</w:t>
      </w:r>
      <w:proofErr w:type="gramEnd"/>
      <w:r>
        <w:t xml:space="preserve"> for at least 106 </w:t>
      </w:r>
      <w:proofErr w:type="gramStart"/>
      <w:r>
        <w:t>hours</w:t>
      </w:r>
      <w:proofErr w:type="gramEnd"/>
      <w:r>
        <w:t xml:space="preserve"> each pay period, regardless of the scheduled hours they work.</w:t>
      </w:r>
    </w:p>
    <w:p w14:paraId="460863C2" w14:textId="77777777" w:rsidR="005F4889" w:rsidRDefault="005F4889" w:rsidP="005F4889">
      <w:pPr>
        <w:pStyle w:val="NoSpacing"/>
      </w:pPr>
    </w:p>
    <w:p w14:paraId="4AE7EAF5" w14:textId="77777777" w:rsidR="005F4889" w:rsidRDefault="005F4889" w:rsidP="005F4889">
      <w:pPr>
        <w:pStyle w:val="NoSpacing"/>
        <w:ind w:left="720"/>
      </w:pPr>
      <w:r w:rsidRPr="007846E5">
        <w:t>And the City also pays them for the off</w:t>
      </w:r>
      <w:r>
        <w:t xml:space="preserve">-schedule hours they </w:t>
      </w:r>
      <w:proofErr w:type="gramStart"/>
      <w:r>
        <w:t>work,</w:t>
      </w:r>
      <w:proofErr w:type="gramEnd"/>
      <w:r>
        <w:t xml:space="preserve"> at the chief’s hourly rate. The fight in this case is about this last category of hours.</w:t>
      </w:r>
    </w:p>
    <w:p w14:paraId="3E2D9EE8" w14:textId="77777777" w:rsidR="005F4889" w:rsidRDefault="005F4889" w:rsidP="005F4889">
      <w:pPr>
        <w:pStyle w:val="NoSpacing"/>
        <w:ind w:left="720"/>
      </w:pPr>
    </w:p>
    <w:p w14:paraId="77360551" w14:textId="77777777" w:rsidR="005F4889" w:rsidRDefault="005F4889" w:rsidP="005F4889">
      <w:pPr>
        <w:pStyle w:val="NoSpacing"/>
        <w:ind w:left="720"/>
      </w:pPr>
      <w:r>
        <w:t>***</w:t>
      </w:r>
    </w:p>
    <w:p w14:paraId="6E76E8DD" w14:textId="77777777" w:rsidR="005F4889" w:rsidRDefault="005F4889" w:rsidP="005F4889">
      <w:pPr>
        <w:pStyle w:val="NoSpacing"/>
        <w:ind w:left="720"/>
      </w:pPr>
    </w:p>
    <w:p w14:paraId="62D04A9D" w14:textId="77777777" w:rsidR="005F4889" w:rsidRDefault="005F4889" w:rsidP="005F4889">
      <w:pPr>
        <w:pStyle w:val="NoSpacing"/>
        <w:ind w:firstLine="720"/>
      </w:pPr>
      <w:r>
        <w:t>Under 602(a), an employer must show that ‘the employee regularly receives each</w:t>
      </w:r>
    </w:p>
    <w:p w14:paraId="6BCB4B44" w14:textId="77777777" w:rsidR="005F4889" w:rsidRDefault="005F4889" w:rsidP="005F4889">
      <w:pPr>
        <w:pStyle w:val="NoSpacing"/>
        <w:ind w:firstLine="720"/>
      </w:pPr>
      <w:r>
        <w:t>pay period on a weekly, or less frequent basis, a predetermined amount constituting all or</w:t>
      </w:r>
    </w:p>
    <w:p w14:paraId="71134E8F" w14:textId="77777777" w:rsidR="005F4889" w:rsidRDefault="005F4889" w:rsidP="005F4889">
      <w:pPr>
        <w:pStyle w:val="NoSpacing"/>
        <w:ind w:firstLine="720"/>
      </w:pPr>
      <w:r>
        <w:t>part of the employee’s compensation, which amount is not subject to reduction because of</w:t>
      </w:r>
    </w:p>
    <w:p w14:paraId="0CB9C2A8" w14:textId="77777777" w:rsidR="005F4889" w:rsidRDefault="005F4889" w:rsidP="005F4889">
      <w:pPr>
        <w:pStyle w:val="NoSpacing"/>
        <w:ind w:firstLine="720"/>
      </w:pPr>
      <w:r>
        <w:t>variations in the quality or quantity of the work performed.’ 29 C.F.R. § 541.602(a). This</w:t>
      </w:r>
    </w:p>
    <w:p w14:paraId="4D6D6080" w14:textId="77777777" w:rsidR="005F4889" w:rsidRDefault="005F4889" w:rsidP="005F4889">
      <w:pPr>
        <w:pStyle w:val="NoSpacing"/>
        <w:ind w:firstLine="720"/>
      </w:pPr>
      <w:r>
        <w:t>standard ensures the employee ‘get[s] at least part of his compensation through a preset</w:t>
      </w:r>
    </w:p>
    <w:p w14:paraId="781BF48D" w14:textId="77777777" w:rsidR="005F4889" w:rsidRDefault="005F4889" w:rsidP="005F4889">
      <w:pPr>
        <w:pStyle w:val="NoSpacing"/>
        <w:ind w:firstLine="720"/>
      </w:pPr>
      <w:r>
        <w:t>weekly (or less frequent) salary.’ Helix, 598 U.S. at 46. Though employers are generally</w:t>
      </w:r>
    </w:p>
    <w:p w14:paraId="6381AE32" w14:textId="77777777" w:rsidR="005F4889" w:rsidRDefault="005F4889" w:rsidP="005F4889">
      <w:pPr>
        <w:pStyle w:val="NoSpacing"/>
        <w:ind w:left="720"/>
      </w:pPr>
      <w:r>
        <w:t>prohibited from taking deductions from this amount, the regulations allow them to do so in certain limited circumstances. 29 C.F.R. § 541.602(b).”</w:t>
      </w:r>
    </w:p>
    <w:p w14:paraId="0104A071" w14:textId="77777777" w:rsidR="005F4889" w:rsidRDefault="005F4889" w:rsidP="005F4889">
      <w:pPr>
        <w:pStyle w:val="NoSpacing"/>
        <w:ind w:left="720"/>
      </w:pPr>
    </w:p>
    <w:p w14:paraId="298BAE39" w14:textId="77777777" w:rsidR="005F4889" w:rsidRPr="0027338B" w:rsidRDefault="005F4889" w:rsidP="005F4889">
      <w:pPr>
        <w:pStyle w:val="NoSpacing"/>
        <w:rPr>
          <w:b/>
          <w:bCs/>
        </w:rPr>
      </w:pPr>
      <w:r>
        <w:rPr>
          <w:b/>
        </w:rPr>
        <w:t xml:space="preserve">Legal lesson learned:  There has been lots of litigation concerning Battalion Chiefs being exempt or entitled to overtime.  </w:t>
      </w:r>
    </w:p>
    <w:p w14:paraId="6EA789C3" w14:textId="77777777" w:rsidR="005F4889" w:rsidRDefault="005F4889" w:rsidP="005F4889">
      <w:pPr>
        <w:pStyle w:val="NoSpacing"/>
        <w:ind w:left="720"/>
      </w:pPr>
      <w:r>
        <w:t xml:space="preserve">  </w:t>
      </w:r>
    </w:p>
    <w:p w14:paraId="2C5CE701" w14:textId="77777777" w:rsidR="005F4889" w:rsidRDefault="005F4889" w:rsidP="005F4889">
      <w:pPr>
        <w:pStyle w:val="NoSpacing"/>
        <w:ind w:left="720"/>
      </w:pPr>
      <w:r>
        <w:t xml:space="preserve">Note: See this review of the decision.  </w:t>
      </w:r>
      <w:hyperlink r:id="rId1734" w:history="1">
        <w:r w:rsidRPr="002B4D2D">
          <w:rPr>
            <w:rStyle w:val="Hyperlink"/>
          </w:rPr>
          <w:t>https://www.firefighterovertime.org/2026/01/04/fourth-circuit-rules-against-battalion-chiefs-in-virginia-flsa-lawsuit/</w:t>
        </w:r>
      </w:hyperlink>
      <w:r>
        <w:t xml:space="preserve"> . See also: September 17, 2018. </w:t>
      </w:r>
      <w:r w:rsidRPr="00075C60">
        <w:t>Battalion Chiefs, Executive Exemption, and Overtime</w:t>
      </w:r>
      <w:r>
        <w:t xml:space="preserve">. </w:t>
      </w:r>
      <w:hyperlink r:id="rId1735" w:history="1">
        <w:r w:rsidRPr="002B4D2D">
          <w:rPr>
            <w:rStyle w:val="Hyperlink"/>
          </w:rPr>
          <w:t>https://www.firefighterovertime.org/2018/09/17/battalion/</w:t>
        </w:r>
      </w:hyperlink>
    </w:p>
    <w:p w14:paraId="0316D57A" w14:textId="77777777" w:rsidR="005F4889" w:rsidRDefault="005F4889" w:rsidP="005F4889">
      <w:pPr>
        <w:pStyle w:val="NoSpacing"/>
        <w:ind w:left="720"/>
      </w:pPr>
    </w:p>
    <w:p w14:paraId="1E086112" w14:textId="77777777" w:rsidR="005F4889" w:rsidRDefault="005F4889" w:rsidP="005F4889">
      <w:pPr>
        <w:pStyle w:val="NoSpacing"/>
        <w:ind w:left="720"/>
      </w:pPr>
      <w:r>
        <w:t>See also: The 6</w:t>
      </w:r>
      <w:r w:rsidRPr="00E002FB">
        <w:rPr>
          <w:vertAlign w:val="superscript"/>
        </w:rPr>
        <w:t>th</w:t>
      </w:r>
      <w:r>
        <w:t xml:space="preserve"> Circuit on </w:t>
      </w:r>
      <w:r w:rsidRPr="00E002FB">
        <w:t xml:space="preserve">June 3, </w:t>
      </w:r>
      <w:proofErr w:type="gramStart"/>
      <w:r w:rsidRPr="00E002FB">
        <w:t>2019</w:t>
      </w:r>
      <w:proofErr w:type="gramEnd"/>
      <w:r>
        <w:t xml:space="preserve"> in </w:t>
      </w:r>
      <w:r w:rsidRPr="00793A7B">
        <w:rPr>
          <w:u w:val="single"/>
        </w:rPr>
        <w:t>Howard Holt, et al. v. City of Battle Creek</w:t>
      </w:r>
      <w:r>
        <w:t xml:space="preserve">, </w:t>
      </w:r>
    </w:p>
    <w:p w14:paraId="4280A86A" w14:textId="77777777" w:rsidR="005F4889" w:rsidRDefault="005F4889" w:rsidP="005F4889">
      <w:pPr>
        <w:pStyle w:val="NoSpacing"/>
        <w:ind w:left="720"/>
      </w:pPr>
      <w:r>
        <w:t xml:space="preserve">held that Battalion Chiefs were not entitled to overtime pay. </w:t>
      </w:r>
      <w:hyperlink r:id="rId1736" w:history="1">
        <w:r w:rsidRPr="00EB1520">
          <w:rPr>
            <w:rStyle w:val="Hyperlink"/>
          </w:rPr>
          <w:t>https://www.opn.ca6.uscourts.gov/opinions.pdf/19a0114p-06.pdf</w:t>
        </w:r>
      </w:hyperlink>
      <w:r>
        <w:t xml:space="preserve"> </w:t>
      </w:r>
    </w:p>
    <w:p w14:paraId="5CC9AFD1" w14:textId="77777777" w:rsidR="005F4889" w:rsidRDefault="005F4889" w:rsidP="005F4889">
      <w:pPr>
        <w:pStyle w:val="NoSpacing"/>
        <w:ind w:left="720"/>
      </w:pPr>
    </w:p>
    <w:p w14:paraId="406ABF71" w14:textId="77777777" w:rsidR="005F4889" w:rsidRDefault="005F4889" w:rsidP="005F4889">
      <w:pPr>
        <w:pStyle w:val="NoSpacing"/>
        <w:ind w:left="720"/>
      </w:pPr>
      <w:r>
        <w:t xml:space="preserve">See IAFF FLSA Manual (July 2022): </w:t>
      </w:r>
      <w:hyperlink r:id="rId1737" w:history="1">
        <w:r w:rsidRPr="00EB1520">
          <w:rPr>
            <w:rStyle w:val="Hyperlink"/>
          </w:rPr>
          <w:t>https://www.iaff.org/wp-content/uploads/FLSA-Manual-2022-Edition_FINAL.22Aug01.pdf</w:t>
        </w:r>
      </w:hyperlink>
      <w:r>
        <w:t xml:space="preserve">  - Salary Basis.</w:t>
      </w:r>
    </w:p>
    <w:p w14:paraId="56EB6264" w14:textId="77777777" w:rsidR="008626B6" w:rsidRDefault="008626B6" w:rsidP="00020106">
      <w:pPr>
        <w:rPr>
          <w:rFonts w:ascii="Arial Black" w:hAnsi="Arial Black"/>
          <w:b/>
          <w:sz w:val="24"/>
          <w:szCs w:val="24"/>
        </w:rPr>
      </w:pPr>
    </w:p>
    <w:p w14:paraId="7BABF988" w14:textId="77777777" w:rsidR="008626B6" w:rsidRDefault="008626B6" w:rsidP="00020106">
      <w:pPr>
        <w:rPr>
          <w:rFonts w:ascii="Arial Black" w:hAnsi="Arial Black"/>
          <w:b/>
          <w:sz w:val="24"/>
          <w:szCs w:val="24"/>
        </w:rPr>
      </w:pPr>
    </w:p>
    <w:p w14:paraId="14765017" w14:textId="1F0E1E45" w:rsidR="004F2D19" w:rsidRDefault="004F2D19" w:rsidP="00020106">
      <w:pPr>
        <w:rPr>
          <w:rFonts w:ascii="Arial Black" w:hAnsi="Arial Black"/>
          <w:b/>
          <w:sz w:val="24"/>
          <w:szCs w:val="24"/>
        </w:rPr>
      </w:pPr>
      <w:r>
        <w:rPr>
          <w:rFonts w:ascii="Arial Black" w:hAnsi="Arial Black"/>
          <w:b/>
          <w:sz w:val="24"/>
          <w:szCs w:val="24"/>
        </w:rPr>
        <w:t>1</w:t>
      </w:r>
      <w:r w:rsidR="00006AE3">
        <w:rPr>
          <w:rFonts w:ascii="Arial Black" w:hAnsi="Arial Black"/>
          <w:b/>
          <w:sz w:val="24"/>
          <w:szCs w:val="24"/>
        </w:rPr>
        <w:t>1-64</w:t>
      </w:r>
    </w:p>
    <w:p w14:paraId="436A2A63" w14:textId="77777777" w:rsidR="004F2D19" w:rsidRPr="00FD47DD" w:rsidRDefault="004F2D19" w:rsidP="004F2D19">
      <w:pPr>
        <w:rPr>
          <w:rFonts w:ascii="Arial Black" w:hAnsi="Arial Black"/>
          <w:b/>
          <w:sz w:val="28"/>
          <w:szCs w:val="28"/>
        </w:rPr>
      </w:pPr>
      <w:r>
        <w:rPr>
          <w:rFonts w:ascii="Arial Black" w:hAnsi="Arial Black"/>
          <w:b/>
          <w:sz w:val="28"/>
          <w:szCs w:val="28"/>
        </w:rPr>
        <w:t>MA: FF / NAT. GUARD – CITY PAY 40 DAYS / FOR 40 SHIFTS</w:t>
      </w:r>
    </w:p>
    <w:p w14:paraId="5AE8FE9E" w14:textId="77777777" w:rsidR="004F2D19" w:rsidRDefault="004F2D19" w:rsidP="004F2D19">
      <w:r>
        <w:t xml:space="preserve">On November 21, 2025, in </w:t>
      </w:r>
      <w:r w:rsidRPr="00C30366">
        <w:rPr>
          <w:u w:val="single"/>
        </w:rPr>
        <w:t>Robert Driscoll v. City of Melrose</w:t>
      </w:r>
      <w:r>
        <w:t xml:space="preserve">, the </w:t>
      </w:r>
      <w:r w:rsidRPr="00504997">
        <w:t>Appeals Court of Massachusetts, Middlesex</w:t>
      </w:r>
      <w:r>
        <w:t xml:space="preserve"> held (3 to 0) that Firefighter / C</w:t>
      </w:r>
      <w:r w:rsidRPr="00DE1F7C">
        <w:t xml:space="preserve">olonel in the </w:t>
      </w:r>
      <w:r>
        <w:t xml:space="preserve">U.S. Air Force - </w:t>
      </w:r>
      <w:r w:rsidRPr="00DE1F7C">
        <w:t>Air National Guard</w:t>
      </w:r>
      <w:r>
        <w:t xml:space="preserve"> is entitled under Massachusetts law to full fire department of pay when on active duty for </w:t>
      </w:r>
      <w:r w:rsidRPr="00891DBD">
        <w:t>"the first 40 consecutive calendar days of an annual tour of duty"</w:t>
      </w:r>
      <w:r>
        <w:t xml:space="preserve"> and a calendar day must be calculated as each of his missed 24-hour shifts.  The city was calculating that each 24-shift was same </w:t>
      </w:r>
      <w:proofErr w:type="gramStart"/>
      <w:r>
        <w:t>a two</w:t>
      </w:r>
      <w:proofErr w:type="gramEnd"/>
      <w:r>
        <w:t xml:space="preserve"> calendar </w:t>
      </w:r>
      <w:proofErr w:type="gramStart"/>
      <w:r>
        <w:t>days, and</w:t>
      </w:r>
      <w:proofErr w:type="gramEnd"/>
      <w:r>
        <w:t xml:space="preserve"> only pay him for 20 consecutive calendar days.  THE COURT WROTE: “</w:t>
      </w:r>
      <w:r w:rsidRPr="00632518">
        <w:t xml:space="preserve">General Laws c. 33, § 59 (a), requires participating government entities to pay the full salary of an employee performing certain military service for "40 days in any federal fiscal year," and states that a day "shall mean any 24-hour period regardless of calendar day."  Applying the plain meaning of these words, we conclude that the firefighter is entitled to pay for up to forty </w:t>
      </w:r>
      <w:proofErr w:type="gramStart"/>
      <w:r w:rsidRPr="00632518">
        <w:t>twenty-four hour</w:t>
      </w:r>
      <w:proofErr w:type="gramEnd"/>
      <w:r w:rsidRPr="00632518">
        <w:t xml:space="preserve"> shifts missed during his military service in each Federal fiscal year, and not (as the city claims) up to twenty such shifts in a consecutive period of forty days.  Accordingly, we reverse.</w:t>
      </w:r>
      <w:r>
        <w:t>”</w:t>
      </w:r>
      <w:r w:rsidRPr="0076709D">
        <w:t xml:space="preserve"> </w:t>
      </w:r>
      <w:hyperlink r:id="rId1738" w:history="1">
        <w:r w:rsidRPr="00422760">
          <w:rPr>
            <w:rStyle w:val="Hyperlink"/>
          </w:rPr>
          <w:t>https://www.mass.gov/doc/driscoll-v-city-of-melrose-ac-s24p1114/download</w:t>
        </w:r>
      </w:hyperlink>
      <w:r>
        <w:t xml:space="preserve"> </w:t>
      </w:r>
    </w:p>
    <w:p w14:paraId="377CC765" w14:textId="77777777" w:rsidR="004F2D19" w:rsidRDefault="004F2D19" w:rsidP="004F2D19">
      <w:pPr>
        <w:pStyle w:val="NoSpacing"/>
      </w:pPr>
    </w:p>
    <w:p w14:paraId="48FA38EB" w14:textId="77777777" w:rsidR="004F2D19" w:rsidRDefault="004F2D19" w:rsidP="004F2D19">
      <w:pPr>
        <w:pStyle w:val="NoSpacing"/>
      </w:pPr>
      <w:r>
        <w:t>THE COURT HELD:</w:t>
      </w:r>
    </w:p>
    <w:p w14:paraId="4266774C" w14:textId="77777777" w:rsidR="004F2D19" w:rsidRDefault="004F2D19" w:rsidP="004F2D19">
      <w:pPr>
        <w:pStyle w:val="NoSpacing"/>
      </w:pPr>
    </w:p>
    <w:p w14:paraId="6FFB75F9" w14:textId="77777777" w:rsidR="004F2D19" w:rsidRDefault="004F2D19" w:rsidP="004F2D19">
      <w:pPr>
        <w:pStyle w:val="NoSpacing"/>
        <w:ind w:left="720"/>
      </w:pPr>
      <w:r>
        <w:t>“</w:t>
      </w:r>
      <w:r w:rsidRPr="005611B1">
        <w:t xml:space="preserve">Each </w:t>
      </w:r>
      <w:proofErr w:type="gramStart"/>
      <w:r w:rsidRPr="005611B1">
        <w:t>twenty-four hour</w:t>
      </w:r>
      <w:proofErr w:type="gramEnd"/>
      <w:r w:rsidRPr="005611B1">
        <w:t xml:space="preserve"> shift began at 7 A.M. and concluded the following calendar day at the same time.  Pursuant to the CBA, the </w:t>
      </w:r>
      <w:proofErr w:type="gramStart"/>
      <w:r w:rsidRPr="005611B1">
        <w:t>twenty-four hour</w:t>
      </w:r>
      <w:proofErr w:type="gramEnd"/>
      <w:r w:rsidRPr="005611B1">
        <w:t xml:space="preserve"> shift consisted of two separate shifts:  a ten-hour day shift followed by a fourteen-hour night shift.  For purposes of vacation or sick leave, the ten-hour and fourteen-hour shifts were considered separate days, amounting to two total days for one </w:t>
      </w:r>
      <w:proofErr w:type="gramStart"/>
      <w:r w:rsidRPr="005611B1">
        <w:t>twenty-four hour</w:t>
      </w:r>
      <w:proofErr w:type="gramEnd"/>
      <w:r w:rsidRPr="005611B1">
        <w:t xml:space="preserve"> shift.  Accordingly, a firefighter who missed a </w:t>
      </w:r>
      <w:proofErr w:type="gramStart"/>
      <w:r w:rsidRPr="005611B1">
        <w:t>twenty-four hour</w:t>
      </w:r>
      <w:proofErr w:type="gramEnd"/>
      <w:r w:rsidRPr="005611B1">
        <w:t xml:space="preserve"> shift because of a vacation or illness would expend two days of vacation time or sick time.</w:t>
      </w:r>
    </w:p>
    <w:p w14:paraId="1CE9C9B8" w14:textId="77777777" w:rsidR="004F2D19" w:rsidRDefault="004F2D19" w:rsidP="004F2D19">
      <w:pPr>
        <w:pStyle w:val="NoSpacing"/>
        <w:ind w:left="720"/>
      </w:pPr>
    </w:p>
    <w:p w14:paraId="4FEC5FD9" w14:textId="77777777" w:rsidR="004F2D19" w:rsidRDefault="004F2D19" w:rsidP="004F2D19">
      <w:pPr>
        <w:pStyle w:val="NoSpacing"/>
        <w:ind w:left="720"/>
      </w:pPr>
      <w:r>
        <w:t>***</w:t>
      </w:r>
    </w:p>
    <w:p w14:paraId="3A25F707" w14:textId="77777777" w:rsidR="004F2D19" w:rsidRDefault="004F2D19" w:rsidP="004F2D19">
      <w:pPr>
        <w:pStyle w:val="NoSpacing"/>
        <w:ind w:left="720"/>
      </w:pPr>
      <w:r w:rsidRPr="00E93688">
        <w:t xml:space="preserve">During the entire time that the firefighter worked for the city, he served as an officer in the United States Air Force, reaching the rank of colonel in the Air National Guard.  This role required the firefighter to take occasional leave for military service, both for training and after being called up for active duty.  Relevant here, between October 2019 and March 2020, the firefighter missed six </w:t>
      </w:r>
      <w:proofErr w:type="gramStart"/>
      <w:r w:rsidRPr="00E93688">
        <w:t>twenty-four hour</w:t>
      </w:r>
      <w:proofErr w:type="gramEnd"/>
      <w:r w:rsidRPr="00E93688">
        <w:t xml:space="preserve"> shifts for military training.  On April 10, 2020, he went on active military leave and missed thirty-two </w:t>
      </w:r>
      <w:proofErr w:type="gramStart"/>
      <w:r w:rsidRPr="00E93688">
        <w:t>twenty-four hour</w:t>
      </w:r>
      <w:proofErr w:type="gramEnd"/>
      <w:r w:rsidRPr="00E93688">
        <w:t xml:space="preserve"> shifts between that date and August 14, 2020.  In August and September 2020, the firefighter missed another four </w:t>
      </w:r>
      <w:proofErr w:type="gramStart"/>
      <w:r w:rsidRPr="00E93688">
        <w:t>twenty-four hour</w:t>
      </w:r>
      <w:proofErr w:type="gramEnd"/>
      <w:r w:rsidRPr="00E93688">
        <w:t xml:space="preserve"> shifts for military training.</w:t>
      </w:r>
    </w:p>
    <w:p w14:paraId="5D82904C" w14:textId="77777777" w:rsidR="004F2D19" w:rsidRDefault="004F2D19" w:rsidP="004F2D19">
      <w:pPr>
        <w:pStyle w:val="NoSpacing"/>
        <w:ind w:left="720"/>
      </w:pPr>
    </w:p>
    <w:p w14:paraId="74E69BC2" w14:textId="77777777" w:rsidR="004F2D19" w:rsidRDefault="004F2D19" w:rsidP="004F2D19">
      <w:pPr>
        <w:pStyle w:val="NoSpacing"/>
        <w:ind w:left="720"/>
      </w:pPr>
      <w:r w:rsidRPr="00646958">
        <w:t xml:space="preserve">The next Federal fiscal year began on October 1, 2020.  See 31 U.S.C. § 1102.  In October 2020, the firefighter missed one twenty-four shift and one fourteen-hour night shift for military training.  On November 28, 2020, the firefighter was again deployed for active military service, which lasted until September 5, 2021.  During that time, he missed seventy </w:t>
      </w:r>
      <w:proofErr w:type="gramStart"/>
      <w:r w:rsidRPr="00646958">
        <w:t>twenty-four hour</w:t>
      </w:r>
      <w:proofErr w:type="gramEnd"/>
      <w:r w:rsidRPr="00646958">
        <w:t xml:space="preserve"> shifts.</w:t>
      </w:r>
    </w:p>
    <w:p w14:paraId="4DF24DBF" w14:textId="77777777" w:rsidR="004F2D19" w:rsidRDefault="004F2D19" w:rsidP="004F2D19">
      <w:pPr>
        <w:pStyle w:val="NoSpacing"/>
        <w:ind w:left="720"/>
      </w:pPr>
    </w:p>
    <w:p w14:paraId="639D845B" w14:textId="77777777" w:rsidR="004F2D19" w:rsidRDefault="004F2D19" w:rsidP="004F2D19">
      <w:pPr>
        <w:pStyle w:val="NoSpacing"/>
        <w:ind w:left="720"/>
      </w:pPr>
      <w:r>
        <w:t>***</w:t>
      </w:r>
    </w:p>
    <w:p w14:paraId="2CEB8D72" w14:textId="77777777" w:rsidR="004F2D19" w:rsidRDefault="004F2D19" w:rsidP="004F2D19">
      <w:pPr>
        <w:pStyle w:val="NoSpacing"/>
        <w:ind w:left="720"/>
      </w:pPr>
    </w:p>
    <w:p w14:paraId="639E27F4" w14:textId="77777777" w:rsidR="004F2D19" w:rsidRDefault="004F2D19" w:rsidP="004F2D19">
      <w:pPr>
        <w:pStyle w:val="NoSpacing"/>
        <w:ind w:left="720"/>
      </w:pPr>
      <w:r>
        <w:t>[Footnote 2.]</w:t>
      </w:r>
      <w:r w:rsidRPr="003922F4">
        <w:t xml:space="preserve">As stated, the city actually paid the firefighter in full for twenty </w:t>
      </w:r>
      <w:proofErr w:type="gramStart"/>
      <w:r w:rsidRPr="003922F4">
        <w:t>twenty-four hour</w:t>
      </w:r>
      <w:proofErr w:type="gramEnd"/>
      <w:r w:rsidRPr="003922F4">
        <w:t xml:space="preserve"> shifts in each Federal fiscal year, regardless of whether that service occurred within a consecutive forty-day period.  Of course, G. L. c. 33, § 59 (a), provides a floor, not a ceiling.  The city was free to pay the firefighter more than its interpretation of G. L. c. 33, § 59 (a), </w:t>
      </w:r>
      <w:proofErr w:type="gramStart"/>
      <w:r w:rsidRPr="003922F4">
        <w:t>required.</w:t>
      </w:r>
      <w:r>
        <w:t>”</w:t>
      </w:r>
      <w:proofErr w:type="gramEnd"/>
    </w:p>
    <w:p w14:paraId="456F97CD" w14:textId="77777777" w:rsidR="004F2D19" w:rsidRDefault="004F2D19" w:rsidP="004F2D19">
      <w:pPr>
        <w:pStyle w:val="NoSpacing"/>
        <w:ind w:left="720"/>
      </w:pPr>
    </w:p>
    <w:p w14:paraId="651F7D58" w14:textId="77777777" w:rsidR="004F2D19" w:rsidRDefault="004F2D19" w:rsidP="004F2D19">
      <w:pPr>
        <w:pStyle w:val="NoSpacing"/>
        <w:rPr>
          <w:b/>
          <w:bCs/>
        </w:rPr>
      </w:pPr>
      <w:r>
        <w:rPr>
          <w:b/>
        </w:rPr>
        <w:t xml:space="preserve">Legal lesson learned: The firefighter’s position was supported by the Massachusetts Attorney General; hopefully the AG will send out communication to municipalities so other </w:t>
      </w:r>
      <w:proofErr w:type="gramStart"/>
      <w:r>
        <w:rPr>
          <w:b/>
        </w:rPr>
        <w:t>firefighter</w:t>
      </w:r>
      <w:proofErr w:type="gramEnd"/>
      <w:r>
        <w:rPr>
          <w:b/>
        </w:rPr>
        <w:t xml:space="preserve"> / military personnel don’t need to litigate similar claims. </w:t>
      </w:r>
    </w:p>
    <w:p w14:paraId="04188C10" w14:textId="77777777" w:rsidR="004F2D19" w:rsidRDefault="004F2D19" w:rsidP="004F2D19">
      <w:pPr>
        <w:pStyle w:val="NoSpacing"/>
        <w:rPr>
          <w:b/>
          <w:bCs/>
        </w:rPr>
      </w:pPr>
    </w:p>
    <w:p w14:paraId="3CC1F54A" w14:textId="77777777" w:rsidR="004F2D19" w:rsidRPr="001B2597" w:rsidRDefault="004F2D19" w:rsidP="004F2D19">
      <w:pPr>
        <w:pStyle w:val="NoSpacing"/>
        <w:ind w:left="720"/>
      </w:pPr>
      <w:r w:rsidRPr="001B2597">
        <w:t xml:space="preserve">Note: See the Federal Uniformed Services Employment and Reemployment Rights Act.   “Your USERRA Rights as an Employee.” </w:t>
      </w:r>
      <w:hyperlink r:id="rId1739" w:history="1">
        <w:r w:rsidRPr="001B2597">
          <w:rPr>
            <w:rStyle w:val="Hyperlink"/>
          </w:rPr>
          <w:t>https://osc.gov/Services/Pages/USERRA-Employee.aspx</w:t>
        </w:r>
      </w:hyperlink>
      <w:r w:rsidRPr="001B2597">
        <w:t xml:space="preserve"> </w:t>
      </w:r>
    </w:p>
    <w:p w14:paraId="77EBE98D" w14:textId="77777777" w:rsidR="004F2D19" w:rsidRDefault="004F2D19" w:rsidP="004F2D19">
      <w:pPr>
        <w:pStyle w:val="NoSpacing"/>
        <w:rPr>
          <w:b/>
          <w:bCs/>
        </w:rPr>
      </w:pPr>
    </w:p>
    <w:p w14:paraId="306BC5FA" w14:textId="77777777" w:rsidR="004F2D19" w:rsidRPr="00F76861" w:rsidRDefault="004F2D19" w:rsidP="004F2D19">
      <w:pPr>
        <w:pStyle w:val="NoSpacing"/>
        <w:ind w:left="720"/>
        <w:rPr>
          <w:bCs/>
        </w:rPr>
      </w:pPr>
      <w:r>
        <w:t>“</w:t>
      </w:r>
      <w:r w:rsidRPr="00F76861">
        <w:t>Returning service members are also entitled to receive benefits and seniority as ​though they had remained continuously employed. For instance, if an employee works at a company for two years and then completes one year of military service before returning, her employer must treat her as though she had worked continuously for three years when calculating the following benefits:</w:t>
      </w:r>
    </w:p>
    <w:p w14:paraId="3196D61F" w14:textId="77777777" w:rsidR="004F2D19" w:rsidRPr="00F76861" w:rsidRDefault="004F2D19" w:rsidP="004F2D19">
      <w:pPr>
        <w:pStyle w:val="NoSpacing"/>
        <w:numPr>
          <w:ilvl w:val="0"/>
          <w:numId w:val="37"/>
        </w:numPr>
        <w:tabs>
          <w:tab w:val="clear" w:pos="720"/>
          <w:tab w:val="num" w:pos="1440"/>
        </w:tabs>
        <w:ind w:left="1440"/>
        <w:rPr>
          <w:bCs/>
        </w:rPr>
      </w:pPr>
      <w:r w:rsidRPr="00F76861">
        <w:t>Paid leave (although no leave is accrued while the employee is absent)</w:t>
      </w:r>
    </w:p>
    <w:p w14:paraId="02A135FD" w14:textId="77777777" w:rsidR="004F2D19" w:rsidRPr="00F76861" w:rsidRDefault="004F2D19" w:rsidP="004F2D19">
      <w:pPr>
        <w:pStyle w:val="NoSpacing"/>
        <w:numPr>
          <w:ilvl w:val="0"/>
          <w:numId w:val="37"/>
        </w:numPr>
        <w:tabs>
          <w:tab w:val="clear" w:pos="720"/>
          <w:tab w:val="num" w:pos="1440"/>
        </w:tabs>
        <w:ind w:left="1440"/>
        <w:rPr>
          <w:bCs/>
        </w:rPr>
      </w:pPr>
      <w:r w:rsidRPr="00F76861">
        <w:t>Salary</w:t>
      </w:r>
    </w:p>
    <w:p w14:paraId="7DA0CC66" w14:textId="77777777" w:rsidR="004F2D19" w:rsidRPr="00F76861" w:rsidRDefault="004F2D19" w:rsidP="004F2D19">
      <w:pPr>
        <w:pStyle w:val="NoSpacing"/>
        <w:numPr>
          <w:ilvl w:val="0"/>
          <w:numId w:val="37"/>
        </w:numPr>
        <w:tabs>
          <w:tab w:val="clear" w:pos="720"/>
          <w:tab w:val="num" w:pos="1440"/>
        </w:tabs>
        <w:ind w:left="1440"/>
        <w:rPr>
          <w:bCs/>
        </w:rPr>
      </w:pPr>
      <w:r w:rsidRPr="00F76861">
        <w:t>Credit toward completing probationary periods</w:t>
      </w:r>
    </w:p>
    <w:p w14:paraId="1CCE6CAE" w14:textId="77777777" w:rsidR="004F2D19" w:rsidRPr="00F76861" w:rsidRDefault="004F2D19" w:rsidP="004F2D19">
      <w:pPr>
        <w:pStyle w:val="NoSpacing"/>
        <w:numPr>
          <w:ilvl w:val="0"/>
          <w:numId w:val="37"/>
        </w:numPr>
        <w:tabs>
          <w:tab w:val="clear" w:pos="720"/>
          <w:tab w:val="num" w:pos="1440"/>
        </w:tabs>
        <w:ind w:left="1440"/>
        <w:rPr>
          <w:bCs/>
        </w:rPr>
      </w:pPr>
      <w:r w:rsidRPr="00F76861">
        <w:t>Eligibility for promotions</w:t>
      </w:r>
    </w:p>
    <w:p w14:paraId="362C10ED" w14:textId="77777777" w:rsidR="004F2D19" w:rsidRPr="00F76861" w:rsidRDefault="004F2D19" w:rsidP="004F2D19">
      <w:pPr>
        <w:pStyle w:val="NoSpacing"/>
        <w:numPr>
          <w:ilvl w:val="0"/>
          <w:numId w:val="37"/>
        </w:numPr>
        <w:tabs>
          <w:tab w:val="clear" w:pos="720"/>
          <w:tab w:val="num" w:pos="1440"/>
        </w:tabs>
        <w:ind w:left="1440"/>
        <w:rPr>
          <w:bCs/>
        </w:rPr>
      </w:pPr>
      <w:r w:rsidRPr="00F76861">
        <w:t>Anything else that is tied to the employee’s longevity at the workplace</w:t>
      </w:r>
      <w:r>
        <w:t>.”</w:t>
      </w:r>
    </w:p>
    <w:p w14:paraId="53921309" w14:textId="77777777" w:rsidR="004F2D19" w:rsidRDefault="004F2D19" w:rsidP="004F2D19">
      <w:pPr>
        <w:pStyle w:val="NoSpacing"/>
      </w:pPr>
    </w:p>
    <w:p w14:paraId="54C2775E" w14:textId="7B566B44" w:rsidR="004F2D19" w:rsidRDefault="00006AE3" w:rsidP="00020106">
      <w:pPr>
        <w:rPr>
          <w:rFonts w:ascii="Arial Black" w:hAnsi="Arial Black"/>
          <w:b/>
          <w:sz w:val="24"/>
          <w:szCs w:val="24"/>
        </w:rPr>
      </w:pPr>
      <w:r>
        <w:rPr>
          <w:rFonts w:ascii="Arial Black" w:hAnsi="Arial Black"/>
          <w:b/>
          <w:sz w:val="24"/>
          <w:szCs w:val="24"/>
        </w:rPr>
        <w:t>11-63</w:t>
      </w:r>
    </w:p>
    <w:p w14:paraId="7F86A6A6" w14:textId="17F649B8" w:rsidR="00515C56" w:rsidRPr="007D35F7" w:rsidRDefault="005F2DAC" w:rsidP="00515C56">
      <w:pPr>
        <w:pStyle w:val="NoSpacing"/>
        <w:rPr>
          <w:rFonts w:ascii="Arial Black" w:hAnsi="Arial Black"/>
          <w:sz w:val="28"/>
          <w:szCs w:val="28"/>
        </w:rPr>
      </w:pPr>
      <w:r>
        <w:rPr>
          <w:rFonts w:ascii="Arial Black" w:hAnsi="Arial Black"/>
          <w:sz w:val="28"/>
          <w:szCs w:val="28"/>
        </w:rPr>
        <w:t>U.S. D</w:t>
      </w:r>
      <w:r w:rsidR="00E16F2F">
        <w:rPr>
          <w:rFonts w:ascii="Arial Black" w:hAnsi="Arial Black"/>
          <w:sz w:val="28"/>
          <w:szCs w:val="28"/>
        </w:rPr>
        <w:t xml:space="preserve">OL: </w:t>
      </w:r>
      <w:r w:rsidR="00515C56">
        <w:rPr>
          <w:rFonts w:ascii="Arial Black" w:hAnsi="Arial Black"/>
          <w:sz w:val="28"/>
          <w:szCs w:val="28"/>
        </w:rPr>
        <w:t xml:space="preserve">BONUS PAY / EMERG </w:t>
      </w:r>
      <w:r w:rsidR="00400FF9">
        <w:rPr>
          <w:rFonts w:ascii="Arial Black" w:hAnsi="Arial Black"/>
          <w:sz w:val="28"/>
          <w:szCs w:val="28"/>
        </w:rPr>
        <w:t>DAYS</w:t>
      </w:r>
      <w:r w:rsidR="00E8499A">
        <w:rPr>
          <w:rFonts w:ascii="Arial Black" w:hAnsi="Arial Black"/>
          <w:sz w:val="28"/>
          <w:szCs w:val="28"/>
        </w:rPr>
        <w:t xml:space="preserve"> – INC</w:t>
      </w:r>
      <w:r w:rsidR="00DC4A38">
        <w:rPr>
          <w:rFonts w:ascii="Arial Black" w:hAnsi="Arial Black"/>
          <w:sz w:val="28"/>
          <w:szCs w:val="28"/>
        </w:rPr>
        <w:t xml:space="preserve">LUDE AS </w:t>
      </w:r>
      <w:r w:rsidR="00515C56">
        <w:rPr>
          <w:rFonts w:ascii="Arial Black" w:hAnsi="Arial Black"/>
          <w:sz w:val="28"/>
          <w:szCs w:val="28"/>
        </w:rPr>
        <w:t>“REGULAR RATE</w:t>
      </w:r>
      <w:r w:rsidR="00E8499A">
        <w:rPr>
          <w:rFonts w:ascii="Arial Black" w:hAnsi="Arial Black"/>
          <w:sz w:val="28"/>
          <w:szCs w:val="28"/>
        </w:rPr>
        <w:t>”</w:t>
      </w:r>
    </w:p>
    <w:p w14:paraId="53B885B0" w14:textId="77777777" w:rsidR="0042214E" w:rsidRDefault="0042214E" w:rsidP="0042214E">
      <w:pPr>
        <w:pStyle w:val="NoSpacing"/>
        <w:ind w:left="720"/>
      </w:pPr>
    </w:p>
    <w:p w14:paraId="68EDA35A" w14:textId="77777777" w:rsidR="0042214E" w:rsidRDefault="0042214E" w:rsidP="0042214E">
      <w:pPr>
        <w:rPr>
          <w:b/>
        </w:rPr>
      </w:pPr>
      <w:r>
        <w:t xml:space="preserve">On September 30, 2025, the U.S. Department of Labor / Wage &amp; Hour Division issued Opinion Letter 2025-04, which concluded that the “emergency pay” bonus </w:t>
      </w:r>
      <w:r w:rsidRPr="00A221F2">
        <w:t>of one half the employee’s regular hourly rate of pay</w:t>
      </w:r>
      <w:r>
        <w:t xml:space="preserve"> </w:t>
      </w:r>
      <w:r w:rsidRPr="00A221F2">
        <w:t>for every hour worked during an “emergency period</w:t>
      </w:r>
      <w:r>
        <w:t xml:space="preserve">” is not a discretionary payment by the employer.  Since it must be paid, then employer must include the payments when calculating the firefighter’s “regular rate of pay” when working normal overtimes. </w:t>
      </w:r>
      <w:hyperlink r:id="rId1740" w:history="1">
        <w:r w:rsidRPr="000D68E6">
          <w:rPr>
            <w:rStyle w:val="Hyperlink"/>
            <w:b/>
          </w:rPr>
          <w:t>https://www.dol.gov/sites/dolgov/files/WHD/opinion-letters/FLSA/FLSA-2025-04.pdf</w:t>
        </w:r>
      </w:hyperlink>
      <w:r>
        <w:rPr>
          <w:b/>
        </w:rPr>
        <w:t xml:space="preserve"> </w:t>
      </w:r>
    </w:p>
    <w:p w14:paraId="7FA09B8B" w14:textId="77777777" w:rsidR="0042214E" w:rsidRDefault="0042214E" w:rsidP="0042214E">
      <w:pPr>
        <w:pStyle w:val="NoSpacing"/>
      </w:pPr>
    </w:p>
    <w:p w14:paraId="4F7C1A42" w14:textId="77777777" w:rsidR="0042214E" w:rsidRDefault="0042214E" w:rsidP="0042214E">
      <w:pPr>
        <w:pStyle w:val="NoSpacing"/>
      </w:pPr>
      <w:r>
        <w:t>THE OPINION CONCLUDED:</w:t>
      </w:r>
    </w:p>
    <w:p w14:paraId="67082C11" w14:textId="77777777" w:rsidR="0042214E" w:rsidRDefault="0042214E" w:rsidP="0042214E">
      <w:pPr>
        <w:pStyle w:val="NoSpacing"/>
      </w:pPr>
    </w:p>
    <w:p w14:paraId="3F8F7D10" w14:textId="77777777" w:rsidR="0042214E" w:rsidRDefault="0042214E" w:rsidP="0042214E">
      <w:pPr>
        <w:pStyle w:val="NoSpacing"/>
        <w:ind w:left="720"/>
      </w:pPr>
      <w:r>
        <w:t>“</w:t>
      </w:r>
      <w:r w:rsidRPr="00140178">
        <w:t>It is our opinion that, under the circumstances presented and limited to the specific facts set forth</w:t>
      </w:r>
      <w:r>
        <w:t xml:space="preserve"> </w:t>
      </w:r>
      <w:r w:rsidRPr="00140178">
        <w:t>in the request, the “emergency pay” is not excludable from the regular rate of pay because the fact</w:t>
      </w:r>
      <w:r>
        <w:t xml:space="preserve"> </w:t>
      </w:r>
      <w:r w:rsidRPr="00140178">
        <w:t>and amount of the payment are not within the sole discretion of the employer at or near the end of</w:t>
      </w:r>
      <w:r>
        <w:t xml:space="preserve"> </w:t>
      </w:r>
      <w:r w:rsidRPr="00140178">
        <w:t>the work period, and the pay does not otherwise fit within a statutory exclusion. Accordingly, the</w:t>
      </w:r>
      <w:r>
        <w:t xml:space="preserve"> </w:t>
      </w:r>
      <w:r w:rsidRPr="00140178">
        <w:t xml:space="preserve">employer at issue should include </w:t>
      </w:r>
      <w:r>
        <w:t>‘</w:t>
      </w:r>
      <w:r w:rsidRPr="00140178">
        <w:t>emergency pay</w:t>
      </w:r>
      <w:r>
        <w:t>’</w:t>
      </w:r>
      <w:r w:rsidRPr="00140178">
        <w:t xml:space="preserve"> earned for hours worked within the regular rate</w:t>
      </w:r>
      <w:r>
        <w:t xml:space="preserve"> </w:t>
      </w:r>
      <w:r w:rsidRPr="00140178">
        <w:t>for purposes of overtime premium calculations using the method described below.</w:t>
      </w:r>
    </w:p>
    <w:p w14:paraId="7EBDB66F" w14:textId="77777777" w:rsidR="0042214E" w:rsidRDefault="0042214E" w:rsidP="0042214E">
      <w:pPr>
        <w:pStyle w:val="NoSpacing"/>
        <w:ind w:left="720"/>
      </w:pPr>
    </w:p>
    <w:p w14:paraId="4F0CC88B" w14:textId="77777777" w:rsidR="0042214E" w:rsidRDefault="0042214E" w:rsidP="0042214E">
      <w:pPr>
        <w:pStyle w:val="NoSpacing"/>
        <w:ind w:left="720"/>
      </w:pPr>
      <w:r>
        <w:t>***</w:t>
      </w:r>
    </w:p>
    <w:p w14:paraId="38765F07" w14:textId="77777777" w:rsidR="0042214E" w:rsidRPr="00140178" w:rsidRDefault="0042214E" w:rsidP="0042214E">
      <w:pPr>
        <w:pStyle w:val="NoSpacing"/>
        <w:ind w:left="720"/>
      </w:pPr>
      <w:r>
        <w:t>The FLSA requires that three conditions be satisfied for a payment to qualify as an excludable discretionary bonus: (1) the fact and amount of the payment must be ‘determined at the sole discretion of the employer’; (2) the employer’s determination must occur ‘at or near the end of the period’ when the employee’s work was performed; and (3) the payment must not be made pursuant to ‘any prior contract, agreement, or promise’ causing employees to expect such payments regularly. 29 U.S.C. § 207(e)(3). Here, regardless of whether the city’s policy would constitute a prior contract, agreement, or promise, the first two conditions are not satisfied.”</w:t>
      </w:r>
    </w:p>
    <w:p w14:paraId="302863EA" w14:textId="77777777" w:rsidR="0042214E" w:rsidRDefault="0042214E" w:rsidP="0042214E">
      <w:pPr>
        <w:rPr>
          <w:b/>
        </w:rPr>
      </w:pPr>
    </w:p>
    <w:p w14:paraId="188DCFB8" w14:textId="58AB1A78" w:rsidR="0042214E" w:rsidRDefault="0042214E" w:rsidP="0042214E">
      <w:pPr>
        <w:rPr>
          <w:b/>
        </w:rPr>
      </w:pPr>
      <w:r>
        <w:rPr>
          <w:b/>
        </w:rPr>
        <w:t>Legal lesson learned: Consult with legal counsel prior to treat</w:t>
      </w:r>
      <w:r w:rsidR="00B973D2">
        <w:rPr>
          <w:b/>
        </w:rPr>
        <w:t>ing</w:t>
      </w:r>
      <w:r>
        <w:rPr>
          <w:b/>
        </w:rPr>
        <w:t xml:space="preserve"> any bonus payments as “excludable discretionary bonuses. ” </w:t>
      </w:r>
    </w:p>
    <w:p w14:paraId="136672CE" w14:textId="77777777" w:rsidR="0042214E" w:rsidRPr="00B00F68" w:rsidRDefault="0042214E" w:rsidP="0042214E">
      <w:pPr>
        <w:ind w:left="720"/>
        <w:rPr>
          <w:bCs/>
        </w:rPr>
      </w:pPr>
      <w:r w:rsidRPr="00B00F68">
        <w:t xml:space="preserve">Note: See FLSA Fact Sheet #56C, December 2019 for examples of bonuses thar may be excludable discretionary bonus. </w:t>
      </w:r>
      <w:hyperlink r:id="rId1741" w:history="1">
        <w:r w:rsidRPr="00D443D2">
          <w:rPr>
            <w:rStyle w:val="Hyperlink"/>
          </w:rPr>
          <w:t>https://www.dol.gov/agencies/whd/fact-sheets/56c-bonuses</w:t>
        </w:r>
      </w:hyperlink>
      <w:r>
        <w:t xml:space="preserve"> </w:t>
      </w:r>
    </w:p>
    <w:p w14:paraId="5C4EFBB6" w14:textId="77777777" w:rsidR="0042214E" w:rsidRPr="00236419" w:rsidRDefault="0042214E" w:rsidP="0042214E">
      <w:pPr>
        <w:ind w:left="720"/>
        <w:rPr>
          <w:bCs/>
        </w:rPr>
      </w:pPr>
      <w:r w:rsidRPr="00B00F68">
        <w:t>“</w:t>
      </w:r>
      <w:r w:rsidRPr="00236419">
        <w:t xml:space="preserve">Examples of some common bonuses that may be excludable discretionary bonuses if they meet the statutory requirements include: </w:t>
      </w:r>
    </w:p>
    <w:p w14:paraId="5D1B5BC4" w14:textId="77777777" w:rsidR="0042214E" w:rsidRPr="00236419" w:rsidRDefault="0042214E" w:rsidP="0042214E">
      <w:pPr>
        <w:numPr>
          <w:ilvl w:val="0"/>
          <w:numId w:val="38"/>
        </w:numPr>
        <w:spacing w:after="160" w:line="259" w:lineRule="auto"/>
        <w:rPr>
          <w:bCs/>
        </w:rPr>
      </w:pPr>
      <w:r w:rsidRPr="00236419">
        <w:t xml:space="preserve">Bonuses for overcoming a challenging or stressful situation; </w:t>
      </w:r>
    </w:p>
    <w:p w14:paraId="7D9C688F" w14:textId="77777777" w:rsidR="0042214E" w:rsidRPr="00236419" w:rsidRDefault="0042214E" w:rsidP="0042214E">
      <w:pPr>
        <w:numPr>
          <w:ilvl w:val="0"/>
          <w:numId w:val="38"/>
        </w:numPr>
        <w:spacing w:after="160" w:line="259" w:lineRule="auto"/>
        <w:rPr>
          <w:bCs/>
        </w:rPr>
      </w:pPr>
      <w:r w:rsidRPr="00236419">
        <w:t xml:space="preserve">Bonuses to employees who made unique or extraordinary efforts not awarded according to pre-established criteria; </w:t>
      </w:r>
    </w:p>
    <w:p w14:paraId="7464278A" w14:textId="77777777" w:rsidR="0042214E" w:rsidRPr="00236419" w:rsidRDefault="0042214E" w:rsidP="0042214E">
      <w:pPr>
        <w:numPr>
          <w:ilvl w:val="0"/>
          <w:numId w:val="38"/>
        </w:numPr>
        <w:spacing w:after="160" w:line="259" w:lineRule="auto"/>
        <w:rPr>
          <w:bCs/>
        </w:rPr>
      </w:pPr>
      <w:r w:rsidRPr="00236419">
        <w:t xml:space="preserve">Employee-of-the-month bonuses; </w:t>
      </w:r>
    </w:p>
    <w:p w14:paraId="414DC10F" w14:textId="77777777" w:rsidR="0042214E" w:rsidRPr="00236419" w:rsidRDefault="0042214E" w:rsidP="0042214E">
      <w:pPr>
        <w:numPr>
          <w:ilvl w:val="0"/>
          <w:numId w:val="38"/>
        </w:numPr>
        <w:spacing w:after="160" w:line="259" w:lineRule="auto"/>
        <w:rPr>
          <w:bCs/>
        </w:rPr>
      </w:pPr>
      <w:r w:rsidRPr="00236419">
        <w:t>Severance bonuses</w:t>
      </w:r>
      <w:r>
        <w:t xml:space="preserve">.” </w:t>
      </w:r>
    </w:p>
    <w:p w14:paraId="399DF0D8" w14:textId="19EB5095" w:rsidR="00020106" w:rsidRDefault="00020106" w:rsidP="00020106">
      <w:pPr>
        <w:rPr>
          <w:rFonts w:ascii="Arial Black" w:hAnsi="Arial Black"/>
          <w:b/>
          <w:sz w:val="24"/>
          <w:szCs w:val="24"/>
        </w:rPr>
      </w:pPr>
      <w:r>
        <w:rPr>
          <w:rFonts w:ascii="Arial Black" w:hAnsi="Arial Black"/>
          <w:b/>
          <w:sz w:val="24"/>
          <w:szCs w:val="24"/>
        </w:rPr>
        <w:t>11-</w:t>
      </w:r>
      <w:r w:rsidR="004C5670">
        <w:rPr>
          <w:rFonts w:ascii="Arial Black" w:hAnsi="Arial Black"/>
          <w:b/>
          <w:sz w:val="24"/>
          <w:szCs w:val="24"/>
        </w:rPr>
        <w:t>62</w:t>
      </w:r>
    </w:p>
    <w:p w14:paraId="6F370D07" w14:textId="15FAFC7E" w:rsidR="00A67DBF" w:rsidRPr="001E472F" w:rsidRDefault="00A67DBF" w:rsidP="00A67DBF">
      <w:pPr>
        <w:rPr>
          <w:rFonts w:ascii="Arial Black" w:hAnsi="Arial Black"/>
          <w:b/>
          <w:sz w:val="28"/>
          <w:szCs w:val="28"/>
        </w:rPr>
      </w:pPr>
      <w:r>
        <w:rPr>
          <w:rFonts w:ascii="Arial Black" w:hAnsi="Arial Black"/>
          <w:b/>
          <w:sz w:val="28"/>
          <w:szCs w:val="28"/>
        </w:rPr>
        <w:t>OK: SHIFT DIFFERENTIAL – OT RATE - $350K SETTLEMENT</w:t>
      </w:r>
    </w:p>
    <w:p w14:paraId="07ECAA33" w14:textId="2DFBAA53" w:rsidR="009C7451" w:rsidRPr="00F74343" w:rsidRDefault="00A67DBF" w:rsidP="00A67DBF">
      <w:pPr>
        <w:rPr>
          <w:rFonts w:ascii="Times New Roman" w:hAnsi="Times New Roman"/>
          <w:b/>
          <w:sz w:val="24"/>
          <w:szCs w:val="24"/>
        </w:rPr>
      </w:pPr>
      <w:r w:rsidRPr="00F74343">
        <w:rPr>
          <w:rFonts w:ascii="Times New Roman" w:hAnsi="Times New Roman"/>
          <w:sz w:val="24"/>
          <w:szCs w:val="24"/>
        </w:rPr>
        <w:t xml:space="preserve">On June 23, 2025, in </w:t>
      </w:r>
      <w:r w:rsidRPr="00F74343">
        <w:rPr>
          <w:rFonts w:ascii="Times New Roman" w:hAnsi="Times New Roman"/>
          <w:sz w:val="24"/>
          <w:szCs w:val="24"/>
          <w:u w:val="single"/>
        </w:rPr>
        <w:t>Jerry Sherley v. Muskogee County EMS</w:t>
      </w:r>
      <w:r w:rsidRPr="00F74343">
        <w:rPr>
          <w:rFonts w:ascii="Times New Roman" w:hAnsi="Times New Roman"/>
          <w:sz w:val="24"/>
          <w:szCs w:val="24"/>
        </w:rPr>
        <w:t xml:space="preserve">, U.S. District Court Judge John F. Heil, III, United States District Court for Eastern District of Oklahoma, approved a settlement agreement for EMTs employed by the County who received an hourly wage plus shift differential pay and who worked more than 40 hours in a workweek between July 18, 2020 to October 31, 2023.  The gross settlement amount of $350,000 (including </w:t>
      </w:r>
      <w:proofErr w:type="gramStart"/>
      <w:r w:rsidRPr="00F74343">
        <w:rPr>
          <w:rFonts w:ascii="Times New Roman" w:hAnsi="Times New Roman"/>
          <w:sz w:val="24"/>
          <w:szCs w:val="24"/>
        </w:rPr>
        <w:t>attorney's</w:t>
      </w:r>
      <w:proofErr w:type="gramEnd"/>
      <w:r w:rsidRPr="00F74343">
        <w:rPr>
          <w:rFonts w:ascii="Times New Roman" w:hAnsi="Times New Roman"/>
          <w:sz w:val="24"/>
          <w:szCs w:val="24"/>
        </w:rPr>
        <w:t xml:space="preserve"> fees and costs, as well as administration expenses) for up to 130 putative class members. Based on the amount of the settlement and the number of class members [78 EMS] opting into the settlement, members of the class will receive more than 200% of their unpaid wages.  THE COURT HELD: “Here, the standard for final certification is met. As to the first factor, there are no ‘disparate and factual employment settings’ that would preclude collective treatment because all the members of the Settlement Class were subject to MCEMS's policy of failing to include shift ‘differential’ pay when calculating overtime rates.” </w:t>
      </w:r>
      <w:hyperlink r:id="rId1742" w:history="1">
        <w:r w:rsidRPr="00F74343">
          <w:rPr>
            <w:rStyle w:val="Hyperlink"/>
            <w:rFonts w:ascii="Times New Roman" w:hAnsi="Times New Roman"/>
            <w:sz w:val="24"/>
            <w:szCs w:val="24"/>
          </w:rPr>
          <w:t>https://cases.justia.com/federal/district-courts/oklahoma/okedce/6:2023cv00241/34830/33/0.pdf?ts=1732294058</w:t>
        </w:r>
      </w:hyperlink>
    </w:p>
    <w:p w14:paraId="26A7C4B1" w14:textId="77777777" w:rsidR="00F74343" w:rsidRPr="00F74343" w:rsidRDefault="00F74343" w:rsidP="00F74343">
      <w:pPr>
        <w:rPr>
          <w:rFonts w:ascii="Times New Roman" w:hAnsi="Times New Roman"/>
          <w:b/>
          <w:bCs/>
          <w:sz w:val="24"/>
          <w:szCs w:val="24"/>
        </w:rPr>
      </w:pPr>
      <w:r w:rsidRPr="00F74343">
        <w:rPr>
          <w:rFonts w:ascii="Times New Roman" w:hAnsi="Times New Roman"/>
          <w:b/>
          <w:sz w:val="24"/>
          <w:szCs w:val="24"/>
        </w:rPr>
        <w:t xml:space="preserve">Legal lesson learned: Fire &amp; EMS employers should carefully review FLSA regulations on how shift differential pay and other incentive pay (such as paramedic pay) can impact an employee’s “regular rate of pay.” </w:t>
      </w:r>
    </w:p>
    <w:p w14:paraId="0D3193FE" w14:textId="77777777" w:rsidR="00F74343" w:rsidRPr="00F74343" w:rsidRDefault="00F74343" w:rsidP="00F74343">
      <w:pPr>
        <w:ind w:left="720"/>
        <w:rPr>
          <w:rFonts w:ascii="Times New Roman" w:hAnsi="Times New Roman"/>
          <w:sz w:val="24"/>
          <w:szCs w:val="24"/>
        </w:rPr>
      </w:pPr>
      <w:r w:rsidRPr="00F74343">
        <w:rPr>
          <w:rFonts w:ascii="Times New Roman" w:hAnsi="Times New Roman"/>
          <w:sz w:val="24"/>
          <w:szCs w:val="24"/>
        </w:rPr>
        <w:t xml:space="preserve">Note: See this article, “Wage and Hour Watch: Regular Rate of Pay Primer for Employers.” March 4, 2024. </w:t>
      </w:r>
      <w:hyperlink r:id="rId1743" w:history="1">
        <w:r w:rsidRPr="00F74343">
          <w:rPr>
            <w:rStyle w:val="Hyperlink"/>
            <w:rFonts w:ascii="Times New Roman" w:hAnsi="Times New Roman"/>
            <w:sz w:val="24"/>
            <w:szCs w:val="24"/>
          </w:rPr>
          <w:t>https://natlawreview.com/article/wage-and-hour-watch-regular-rate-pay-primer-employers</w:t>
        </w:r>
      </w:hyperlink>
      <w:r w:rsidRPr="00F74343">
        <w:rPr>
          <w:rFonts w:ascii="Times New Roman" w:hAnsi="Times New Roman"/>
          <w:sz w:val="24"/>
          <w:szCs w:val="24"/>
        </w:rPr>
        <w:t xml:space="preserve"> </w:t>
      </w:r>
    </w:p>
    <w:p w14:paraId="42073B02" w14:textId="77777777" w:rsidR="00F74343" w:rsidRPr="00F74343" w:rsidRDefault="00F74343" w:rsidP="00F74343">
      <w:pPr>
        <w:ind w:left="1440"/>
        <w:rPr>
          <w:rFonts w:ascii="Times New Roman" w:hAnsi="Times New Roman"/>
          <w:sz w:val="24"/>
          <w:szCs w:val="24"/>
        </w:rPr>
      </w:pPr>
      <w:r w:rsidRPr="00F74343">
        <w:rPr>
          <w:rFonts w:ascii="Times New Roman" w:hAnsi="Times New Roman"/>
          <w:sz w:val="24"/>
          <w:szCs w:val="24"/>
        </w:rPr>
        <w:t xml:space="preserve">“If an employee’s base hourly rate is $16 per hour, but the employee receives a 50 cent per hour shift differential for working certain shifts, such shift differential should be included in the employee’s regular rate of pay, and thus, the overtime calculation. So, in this example, if an employee worked 46 hours in a work </w:t>
      </w:r>
      <w:proofErr w:type="gramStart"/>
      <w:r w:rsidRPr="00F74343">
        <w:rPr>
          <w:rFonts w:ascii="Times New Roman" w:hAnsi="Times New Roman"/>
          <w:sz w:val="24"/>
          <w:szCs w:val="24"/>
        </w:rPr>
        <w:t>week, and</w:t>
      </w:r>
      <w:proofErr w:type="gramEnd"/>
      <w:r w:rsidRPr="00F74343">
        <w:rPr>
          <w:rFonts w:ascii="Times New Roman" w:hAnsi="Times New Roman"/>
          <w:sz w:val="24"/>
          <w:szCs w:val="24"/>
        </w:rPr>
        <w:t xml:space="preserve"> was paid the shift differential for six of those hours, the employee's overtime rate is not $24 per hour, it is $24.10.”</w:t>
      </w:r>
    </w:p>
    <w:p w14:paraId="3CA10362" w14:textId="2A6F9D5C" w:rsidR="009C7451" w:rsidRPr="00F74343" w:rsidRDefault="00F74343" w:rsidP="00F74343">
      <w:pPr>
        <w:ind w:left="720"/>
        <w:rPr>
          <w:rFonts w:ascii="Times New Roman" w:hAnsi="Times New Roman"/>
          <w:b/>
          <w:sz w:val="24"/>
          <w:szCs w:val="24"/>
        </w:rPr>
      </w:pPr>
      <w:r w:rsidRPr="00F74343">
        <w:rPr>
          <w:rFonts w:ascii="Times New Roman" w:hAnsi="Times New Roman"/>
          <w:sz w:val="24"/>
          <w:szCs w:val="24"/>
        </w:rPr>
        <w:t xml:space="preserve">See also: Fact Sheet #56A: Overview of the Regular Rate of Pay Under the Fair Labor Standards Act (FLSA). </w:t>
      </w:r>
      <w:hyperlink r:id="rId1744" w:history="1">
        <w:r w:rsidRPr="00F74343">
          <w:rPr>
            <w:rStyle w:val="Hyperlink"/>
            <w:rFonts w:ascii="Times New Roman" w:hAnsi="Times New Roman"/>
            <w:sz w:val="24"/>
            <w:szCs w:val="24"/>
          </w:rPr>
          <w:t>https://www.dol.gov/agencies/whd/fact-sheets/56a-regular-rate</w:t>
        </w:r>
      </w:hyperlink>
    </w:p>
    <w:p w14:paraId="41561DE1" w14:textId="77777777" w:rsidR="009C7451" w:rsidRDefault="009C7451" w:rsidP="00F326E5">
      <w:pPr>
        <w:rPr>
          <w:rFonts w:ascii="Arial Black" w:hAnsi="Arial Black"/>
          <w:b/>
          <w:sz w:val="24"/>
          <w:szCs w:val="24"/>
        </w:rPr>
      </w:pPr>
    </w:p>
    <w:p w14:paraId="0072E330" w14:textId="11D705E6" w:rsidR="00020106" w:rsidRDefault="00020106" w:rsidP="00020106">
      <w:pPr>
        <w:rPr>
          <w:rFonts w:ascii="Arial Black" w:hAnsi="Arial Black"/>
          <w:b/>
          <w:sz w:val="24"/>
          <w:szCs w:val="24"/>
        </w:rPr>
      </w:pPr>
      <w:r>
        <w:rPr>
          <w:rFonts w:ascii="Arial Black" w:hAnsi="Arial Black"/>
          <w:b/>
          <w:sz w:val="24"/>
          <w:szCs w:val="24"/>
        </w:rPr>
        <w:t>11-</w:t>
      </w:r>
      <w:r w:rsidR="004C5670">
        <w:rPr>
          <w:rFonts w:ascii="Arial Black" w:hAnsi="Arial Black"/>
          <w:b/>
          <w:sz w:val="24"/>
          <w:szCs w:val="24"/>
        </w:rPr>
        <w:t>61</w:t>
      </w:r>
    </w:p>
    <w:p w14:paraId="0F288793" w14:textId="2A55A3FA" w:rsidR="00EB050B" w:rsidRPr="00EA5A43" w:rsidRDefault="00EB050B" w:rsidP="00EB050B">
      <w:pPr>
        <w:rPr>
          <w:rFonts w:ascii="Arial Black" w:hAnsi="Arial Black"/>
          <w:b/>
          <w:sz w:val="28"/>
          <w:szCs w:val="28"/>
        </w:rPr>
      </w:pPr>
      <w:r>
        <w:rPr>
          <w:rFonts w:ascii="Arial Black" w:hAnsi="Arial Black"/>
          <w:b/>
          <w:sz w:val="28"/>
          <w:szCs w:val="28"/>
        </w:rPr>
        <w:t xml:space="preserve">MN: EMS “ON CALL” - 8-MIN </w:t>
      </w:r>
      <w:r w:rsidR="006E0471">
        <w:rPr>
          <w:rFonts w:ascii="Arial Black" w:hAnsi="Arial Black"/>
          <w:b/>
          <w:sz w:val="28"/>
          <w:szCs w:val="28"/>
        </w:rPr>
        <w:t xml:space="preserve">REQ. </w:t>
      </w:r>
      <w:r>
        <w:rPr>
          <w:rFonts w:ascii="Arial Black" w:hAnsi="Arial Black"/>
          <w:b/>
          <w:sz w:val="28"/>
          <w:szCs w:val="28"/>
        </w:rPr>
        <w:t>RESP</w:t>
      </w:r>
      <w:r w:rsidR="006E0471">
        <w:rPr>
          <w:rFonts w:ascii="Arial Black" w:hAnsi="Arial Black"/>
          <w:b/>
          <w:sz w:val="28"/>
          <w:szCs w:val="28"/>
        </w:rPr>
        <w:t>ONSE</w:t>
      </w:r>
      <w:r>
        <w:rPr>
          <w:rFonts w:ascii="Arial Black" w:hAnsi="Arial Black"/>
          <w:b/>
          <w:sz w:val="28"/>
          <w:szCs w:val="28"/>
        </w:rPr>
        <w:t xml:space="preserve"> TIME </w:t>
      </w:r>
      <w:r w:rsidR="00292532">
        <w:rPr>
          <w:rFonts w:ascii="Arial Black" w:hAnsi="Arial Black"/>
          <w:b/>
          <w:sz w:val="28"/>
          <w:szCs w:val="28"/>
        </w:rPr>
        <w:t>–</w:t>
      </w:r>
      <w:r w:rsidR="00B82986">
        <w:rPr>
          <w:rFonts w:ascii="Arial Black" w:hAnsi="Arial Black"/>
          <w:b/>
          <w:sz w:val="28"/>
          <w:szCs w:val="28"/>
        </w:rPr>
        <w:t xml:space="preserve"> </w:t>
      </w:r>
      <w:r w:rsidR="00292532">
        <w:rPr>
          <w:rFonts w:ascii="Arial Black" w:hAnsi="Arial Black"/>
          <w:b/>
          <w:sz w:val="28"/>
          <w:szCs w:val="28"/>
        </w:rPr>
        <w:t xml:space="preserve">GRANTED </w:t>
      </w:r>
      <w:r>
        <w:rPr>
          <w:rFonts w:ascii="Arial Black" w:hAnsi="Arial Black"/>
          <w:b/>
          <w:sz w:val="28"/>
          <w:szCs w:val="28"/>
        </w:rPr>
        <w:t>CLASS ACTION</w:t>
      </w:r>
      <w:r w:rsidR="00F41FAA">
        <w:rPr>
          <w:rFonts w:ascii="Arial Black" w:hAnsi="Arial Black"/>
          <w:b/>
          <w:sz w:val="28"/>
          <w:szCs w:val="28"/>
        </w:rPr>
        <w:t xml:space="preserve"> </w:t>
      </w:r>
    </w:p>
    <w:p w14:paraId="65718A44" w14:textId="20E5D6F7" w:rsidR="009C7451" w:rsidRPr="004C756A" w:rsidRDefault="00EB050B" w:rsidP="00EB050B">
      <w:pPr>
        <w:rPr>
          <w:rFonts w:ascii="Times New Roman" w:hAnsi="Times New Roman"/>
          <w:sz w:val="24"/>
          <w:szCs w:val="24"/>
        </w:rPr>
      </w:pPr>
      <w:r w:rsidRPr="004C756A">
        <w:rPr>
          <w:rFonts w:ascii="Times New Roman" w:hAnsi="Times New Roman"/>
          <w:sz w:val="24"/>
          <w:szCs w:val="24"/>
        </w:rPr>
        <w:t xml:space="preserve">On June 20, 2025, in </w:t>
      </w:r>
      <w:r w:rsidRPr="004C756A">
        <w:rPr>
          <w:rFonts w:ascii="Times New Roman" w:hAnsi="Times New Roman"/>
          <w:sz w:val="24"/>
          <w:szCs w:val="24"/>
          <w:u w:val="single"/>
        </w:rPr>
        <w:t>Jason Johnson, individually and on behalf of all others similarly situated v, North Memorial Health Care</w:t>
      </w:r>
      <w:r w:rsidRPr="004C756A">
        <w:rPr>
          <w:rFonts w:ascii="Times New Roman" w:hAnsi="Times New Roman"/>
          <w:sz w:val="24"/>
          <w:szCs w:val="24"/>
        </w:rPr>
        <w:t xml:space="preserve">,  U.S. District Court Chief Judge Patrick J. Schiltz, United States District Court for the District of Minnesota, granted the motion to certify a class action on behalf of 120 paramedics and EMTs who have agreed to join in the lawsuit. The EMS plaintiffs claim that the 8-minute response time requirement, in uniform, when they were scheduled to be “on call” from home so impacts their personal time they are entitled to their regular hourly pay rate (not just $4 per hour). THE COURT HELD: “Here, the EMTs were all subject to the same policies that, they contend, significantly restricted their ability to spend on-call time on personal pursuits. In particular, the EMTs were required, while on call, to be </w:t>
      </w:r>
      <w:proofErr w:type="spellStart"/>
      <w:r w:rsidRPr="004C756A">
        <w:rPr>
          <w:rFonts w:ascii="Times New Roman" w:hAnsi="Times New Roman"/>
          <w:sz w:val="24"/>
          <w:szCs w:val="24"/>
        </w:rPr>
        <w:t>en</w:t>
      </w:r>
      <w:proofErr w:type="spellEnd"/>
      <w:r w:rsidRPr="004C756A">
        <w:rPr>
          <w:rFonts w:ascii="Times New Roman" w:hAnsi="Times New Roman"/>
          <w:sz w:val="24"/>
          <w:szCs w:val="24"/>
        </w:rPr>
        <w:t xml:space="preserve"> route to calls within eight minutes of receiving a notification; to be in uniform or similar appropriate dress when responding to calls; and to refrain from using alcohol or other mind-altering substances while on call. Likewise, the EMTs were all subject to the same allegedly illegal policies in that they were all paid less than minimum wage for on-call hours (except when responding to calls) and those hours were not included in determining their entitlement to overtime pay. </w:t>
      </w:r>
      <w:proofErr w:type="gramStart"/>
      <w:r w:rsidRPr="004C756A">
        <w:rPr>
          <w:rFonts w:ascii="Times New Roman" w:hAnsi="Times New Roman"/>
          <w:sz w:val="24"/>
          <w:szCs w:val="24"/>
        </w:rPr>
        <w:t>All of</w:t>
      </w:r>
      <w:proofErr w:type="gramEnd"/>
      <w:r w:rsidRPr="004C756A">
        <w:rPr>
          <w:rFonts w:ascii="Times New Roman" w:hAnsi="Times New Roman"/>
          <w:sz w:val="24"/>
          <w:szCs w:val="24"/>
        </w:rPr>
        <w:t xml:space="preserve"> these commonalities suggest that collective adjudication is appropriate in this case.”  </w:t>
      </w:r>
      <w:hyperlink r:id="rId1745" w:history="1">
        <w:r w:rsidRPr="004C756A">
          <w:rPr>
            <w:rStyle w:val="Hyperlink"/>
            <w:rFonts w:ascii="Times New Roman" w:hAnsi="Times New Roman"/>
            <w:sz w:val="24"/>
            <w:szCs w:val="24"/>
          </w:rPr>
          <w:t>https://cases.justia.com/federal/district-courts/minnesota/mndce/0:2023cv01780/208467/146/0.pdf?ts=1750499803</w:t>
        </w:r>
      </w:hyperlink>
    </w:p>
    <w:p w14:paraId="5BD3662F" w14:textId="77777777" w:rsidR="004C756A" w:rsidRPr="004C756A" w:rsidRDefault="00D168B5" w:rsidP="004C756A">
      <w:pPr>
        <w:rPr>
          <w:rFonts w:ascii="Times New Roman" w:hAnsi="Times New Roman"/>
          <w:sz w:val="24"/>
          <w:szCs w:val="24"/>
        </w:rPr>
      </w:pPr>
      <w:r w:rsidRPr="004C756A">
        <w:rPr>
          <w:rFonts w:ascii="Times New Roman" w:hAnsi="Times New Roman"/>
          <w:b/>
          <w:sz w:val="24"/>
          <w:szCs w:val="24"/>
        </w:rPr>
        <w:t xml:space="preserve">Leegal lesson learned: Plaintiffs may now proceed with class action trial; “on call” policies requiring rapid response from home have been the subject of several cases around the nation. </w:t>
      </w:r>
      <w:r w:rsidRPr="004C756A">
        <w:rPr>
          <w:rFonts w:ascii="Times New Roman" w:hAnsi="Times New Roman"/>
          <w:b/>
          <w:sz w:val="24"/>
          <w:szCs w:val="24"/>
        </w:rPr>
        <w:br/>
      </w:r>
    </w:p>
    <w:p w14:paraId="6E0D6360" w14:textId="4370DCCC" w:rsidR="00541D60" w:rsidRPr="004C756A" w:rsidRDefault="00D168B5" w:rsidP="00D168B5">
      <w:pPr>
        <w:ind w:left="720"/>
        <w:rPr>
          <w:rFonts w:ascii="Times New Roman" w:hAnsi="Times New Roman"/>
          <w:bCs/>
          <w:sz w:val="24"/>
          <w:szCs w:val="24"/>
        </w:rPr>
      </w:pPr>
      <w:r w:rsidRPr="004C756A">
        <w:rPr>
          <w:rFonts w:ascii="Times New Roman" w:hAnsi="Times New Roman"/>
          <w:sz w:val="24"/>
          <w:szCs w:val="24"/>
        </w:rPr>
        <w:t>N</w:t>
      </w:r>
      <w:r w:rsidR="00541D60" w:rsidRPr="004C756A">
        <w:rPr>
          <w:rFonts w:ascii="Times New Roman" w:hAnsi="Times New Roman"/>
          <w:sz w:val="24"/>
          <w:szCs w:val="24"/>
        </w:rPr>
        <w:t xml:space="preserve">ote: See U.S. Department of Labor - Fact Sheet #22: Hours Worked Under the Fair Labor Standards Act (FLSA) – July 2008. </w:t>
      </w:r>
      <w:hyperlink r:id="rId1746" w:history="1">
        <w:r w:rsidR="00541D60" w:rsidRPr="004C756A">
          <w:rPr>
            <w:rStyle w:val="Hyperlink"/>
            <w:rFonts w:ascii="Times New Roman" w:hAnsi="Times New Roman"/>
            <w:sz w:val="24"/>
            <w:szCs w:val="24"/>
          </w:rPr>
          <w:t>https://www.dol.gov/agencies/whd/fact-sheets/22-flsa-hours-worked</w:t>
        </w:r>
      </w:hyperlink>
      <w:r w:rsidR="00541D60" w:rsidRPr="004C756A">
        <w:rPr>
          <w:rFonts w:ascii="Times New Roman" w:hAnsi="Times New Roman"/>
          <w:sz w:val="24"/>
          <w:szCs w:val="24"/>
        </w:rPr>
        <w:t xml:space="preserve"> </w:t>
      </w:r>
    </w:p>
    <w:p w14:paraId="12AA4BB2" w14:textId="77777777" w:rsidR="00541D60" w:rsidRPr="004C756A" w:rsidRDefault="00541D60" w:rsidP="00541D60">
      <w:pPr>
        <w:ind w:left="1440"/>
        <w:rPr>
          <w:rFonts w:ascii="Times New Roman" w:hAnsi="Times New Roman"/>
          <w:bCs/>
          <w:sz w:val="24"/>
          <w:szCs w:val="24"/>
        </w:rPr>
      </w:pPr>
      <w:r w:rsidRPr="004C756A">
        <w:rPr>
          <w:rFonts w:ascii="Times New Roman" w:hAnsi="Times New Roman"/>
          <w:sz w:val="24"/>
          <w:szCs w:val="24"/>
        </w:rPr>
        <w:t>“On-Call Time:</w:t>
      </w:r>
      <w:r w:rsidRPr="004C756A">
        <w:rPr>
          <w:rFonts w:ascii="Times New Roman" w:hAnsi="Times New Roman"/>
          <w:bCs/>
          <w:sz w:val="24"/>
          <w:szCs w:val="24"/>
        </w:rPr>
        <w:t xml:space="preserve"> </w:t>
      </w:r>
      <w:r w:rsidRPr="004C756A">
        <w:rPr>
          <w:rFonts w:ascii="Times New Roman" w:hAnsi="Times New Roman"/>
          <w:sz w:val="24"/>
          <w:szCs w:val="24"/>
        </w:rPr>
        <w:t xml:space="preserve">An employee who is required to remain on call on the employer's premises is working while ‘on call.’ An employee who is required to remain </w:t>
      </w:r>
      <w:proofErr w:type="gramStart"/>
      <w:r w:rsidRPr="004C756A">
        <w:rPr>
          <w:rFonts w:ascii="Times New Roman" w:hAnsi="Times New Roman"/>
          <w:sz w:val="24"/>
          <w:szCs w:val="24"/>
        </w:rPr>
        <w:t>on call at home</w:t>
      </w:r>
      <w:proofErr w:type="gramEnd"/>
      <w:r w:rsidRPr="004C756A">
        <w:rPr>
          <w:rFonts w:ascii="Times New Roman" w:hAnsi="Times New Roman"/>
          <w:sz w:val="24"/>
          <w:szCs w:val="24"/>
        </w:rPr>
        <w:t xml:space="preserve">, or who is allowed to leave a message where he/she can be reached, is not working (in most cases) while on call. Additional constraints on the employee's freedom could require this time to be </w:t>
      </w:r>
      <w:proofErr w:type="gramStart"/>
      <w:r w:rsidRPr="004C756A">
        <w:rPr>
          <w:rFonts w:ascii="Times New Roman" w:hAnsi="Times New Roman"/>
          <w:sz w:val="24"/>
          <w:szCs w:val="24"/>
        </w:rPr>
        <w:t>compensated.”</w:t>
      </w:r>
      <w:proofErr w:type="gramEnd"/>
    </w:p>
    <w:p w14:paraId="606ECAC9" w14:textId="26E57147" w:rsidR="00541D60" w:rsidRPr="004C756A" w:rsidRDefault="00541D60" w:rsidP="004C756A">
      <w:pPr>
        <w:ind w:left="720"/>
        <w:rPr>
          <w:rFonts w:ascii="Times New Roman" w:hAnsi="Times New Roman"/>
          <w:sz w:val="24"/>
          <w:szCs w:val="24"/>
        </w:rPr>
      </w:pPr>
      <w:r w:rsidRPr="004C756A">
        <w:rPr>
          <w:rFonts w:ascii="Times New Roman" w:hAnsi="Times New Roman"/>
          <w:sz w:val="24"/>
          <w:szCs w:val="24"/>
        </w:rPr>
        <w:t xml:space="preserve">See also May 23, </w:t>
      </w:r>
      <w:proofErr w:type="gramStart"/>
      <w:r w:rsidRPr="004C756A">
        <w:rPr>
          <w:rFonts w:ascii="Times New Roman" w:hAnsi="Times New Roman"/>
          <w:sz w:val="24"/>
          <w:szCs w:val="24"/>
        </w:rPr>
        <w:t>2008</w:t>
      </w:r>
      <w:proofErr w:type="gramEnd"/>
      <w:r w:rsidRPr="004C756A">
        <w:rPr>
          <w:rFonts w:ascii="Times New Roman" w:hAnsi="Times New Roman"/>
          <w:sz w:val="24"/>
          <w:szCs w:val="24"/>
        </w:rPr>
        <w:t xml:space="preserve"> U.S. Department of Labor – Opinion Letter FLSA2008-8NA, </w:t>
      </w:r>
      <w:hyperlink r:id="rId1747" w:history="1">
        <w:r w:rsidR="004C756A" w:rsidRPr="004C44CA">
          <w:rPr>
            <w:rStyle w:val="Hyperlink"/>
            <w:rFonts w:ascii="Times New Roman" w:hAnsi="Times New Roman"/>
            <w:sz w:val="24"/>
            <w:szCs w:val="24"/>
          </w:rPr>
          <w:t>https://www.dol.gov/sites/dolgov/files/WHD/legacy/files/2008_05_23_08NA_FLSA.pdf</w:t>
        </w:r>
      </w:hyperlink>
    </w:p>
    <w:p w14:paraId="1FF0A597" w14:textId="77777777" w:rsidR="00541D60" w:rsidRDefault="00541D60" w:rsidP="00EB050B">
      <w:pPr>
        <w:rPr>
          <w:rFonts w:ascii="Arial Black" w:hAnsi="Arial Black"/>
          <w:b/>
          <w:sz w:val="24"/>
          <w:szCs w:val="24"/>
        </w:rPr>
      </w:pPr>
    </w:p>
    <w:p w14:paraId="1FC3D304" w14:textId="4B3905E6" w:rsidR="00B92F73" w:rsidRDefault="00F616CC" w:rsidP="00F326E5">
      <w:pPr>
        <w:rPr>
          <w:rFonts w:ascii="Arial Black" w:hAnsi="Arial Black"/>
          <w:b/>
          <w:sz w:val="24"/>
          <w:szCs w:val="24"/>
        </w:rPr>
      </w:pPr>
      <w:r>
        <w:rPr>
          <w:rFonts w:ascii="Arial Black" w:hAnsi="Arial Black"/>
          <w:b/>
          <w:sz w:val="24"/>
          <w:szCs w:val="24"/>
        </w:rPr>
        <w:t>11-</w:t>
      </w:r>
      <w:r w:rsidR="004C5670">
        <w:rPr>
          <w:rFonts w:ascii="Arial Black" w:hAnsi="Arial Black"/>
          <w:b/>
          <w:sz w:val="24"/>
          <w:szCs w:val="24"/>
        </w:rPr>
        <w:t>60</w:t>
      </w:r>
    </w:p>
    <w:p w14:paraId="629D6975" w14:textId="1485DD0B" w:rsidR="00AB14AC" w:rsidRPr="006F2B87" w:rsidRDefault="00AB14AC" w:rsidP="00AB14AC">
      <w:pPr>
        <w:pStyle w:val="NoSpacing"/>
        <w:rPr>
          <w:rFonts w:ascii="Arial Black" w:hAnsi="Arial Black"/>
          <w:b/>
          <w:bCs/>
          <w:sz w:val="28"/>
          <w:szCs w:val="28"/>
        </w:rPr>
      </w:pPr>
      <w:r w:rsidRPr="006F2B87">
        <w:rPr>
          <w:rFonts w:ascii="Arial Black" w:hAnsi="Arial Black"/>
          <w:b/>
          <w:sz w:val="28"/>
          <w:szCs w:val="28"/>
        </w:rPr>
        <w:t>MA: FLSA –</w:t>
      </w:r>
      <w:r w:rsidR="0094704B">
        <w:rPr>
          <w:rFonts w:ascii="Arial Black" w:hAnsi="Arial Black"/>
          <w:b/>
          <w:sz w:val="28"/>
          <w:szCs w:val="28"/>
        </w:rPr>
        <w:t xml:space="preserve"> </w:t>
      </w:r>
      <w:r w:rsidRPr="006F2B87">
        <w:rPr>
          <w:rFonts w:ascii="Arial Black" w:hAnsi="Arial Black"/>
          <w:b/>
          <w:sz w:val="28"/>
          <w:szCs w:val="28"/>
        </w:rPr>
        <w:t>TOWN AGREES TO CHANGES</w:t>
      </w:r>
      <w:r>
        <w:rPr>
          <w:rFonts w:ascii="Arial Black" w:hAnsi="Arial Black"/>
          <w:b/>
          <w:sz w:val="28"/>
          <w:szCs w:val="28"/>
        </w:rPr>
        <w:t xml:space="preserve"> - D/C STILL EXEMPT</w:t>
      </w:r>
    </w:p>
    <w:p w14:paraId="4BE3A40A" w14:textId="77777777" w:rsidR="00AB14AC" w:rsidRDefault="00AB14AC" w:rsidP="00AB14AC">
      <w:pPr>
        <w:pStyle w:val="NoSpacing"/>
        <w:rPr>
          <w:bCs/>
        </w:rPr>
      </w:pPr>
    </w:p>
    <w:p w14:paraId="7718FB1B" w14:textId="77777777" w:rsidR="00AB14AC" w:rsidRPr="00AB14AC" w:rsidRDefault="00AB14AC" w:rsidP="00AB14AC">
      <w:pPr>
        <w:pStyle w:val="NoSpacing"/>
        <w:rPr>
          <w:rFonts w:ascii="Times New Roman" w:hAnsi="Times New Roman"/>
          <w:bCs/>
          <w:sz w:val="24"/>
          <w:szCs w:val="24"/>
        </w:rPr>
      </w:pPr>
      <w:r w:rsidRPr="00AB14AC">
        <w:rPr>
          <w:rFonts w:ascii="Times New Roman" w:hAnsi="Times New Roman"/>
          <w:sz w:val="24"/>
          <w:szCs w:val="24"/>
        </w:rPr>
        <w:t xml:space="preserve">On May 14, 2025, </w:t>
      </w:r>
      <w:r w:rsidRPr="00AB14AC">
        <w:rPr>
          <w:rFonts w:ascii="Times New Roman" w:hAnsi="Times New Roman"/>
          <w:sz w:val="24"/>
          <w:szCs w:val="24"/>
          <w:u w:val="single"/>
        </w:rPr>
        <w:t>Brian Bergeron and Paul Trahon, et al. v. Town of Brookline and Brookline Fire Department</w:t>
      </w:r>
      <w:r w:rsidRPr="00AB14AC">
        <w:rPr>
          <w:rFonts w:ascii="Times New Roman" w:hAnsi="Times New Roman"/>
          <w:sz w:val="24"/>
          <w:szCs w:val="24"/>
        </w:rPr>
        <w:t xml:space="preserve">, U.S. District Court Judge Julia E. </w:t>
      </w:r>
      <w:proofErr w:type="spellStart"/>
      <w:r w:rsidRPr="00AB14AC">
        <w:rPr>
          <w:rFonts w:ascii="Times New Roman" w:hAnsi="Times New Roman"/>
          <w:sz w:val="24"/>
          <w:szCs w:val="24"/>
        </w:rPr>
        <w:t>Kobick</w:t>
      </w:r>
      <w:proofErr w:type="spellEnd"/>
      <w:r w:rsidRPr="00AB14AC">
        <w:rPr>
          <w:rFonts w:ascii="Times New Roman" w:hAnsi="Times New Roman"/>
          <w:sz w:val="24"/>
          <w:szCs w:val="24"/>
        </w:rPr>
        <w:t xml:space="preserve">, United States District Court for the District of Massachusetts, approved the settlement agreement.  </w:t>
      </w:r>
    </w:p>
    <w:p w14:paraId="14663518" w14:textId="77777777" w:rsidR="00AB14AC" w:rsidRPr="00AB14AC" w:rsidRDefault="00AB14AC" w:rsidP="00AB14AC">
      <w:pPr>
        <w:pStyle w:val="NoSpacing"/>
        <w:rPr>
          <w:rFonts w:ascii="Times New Roman" w:hAnsi="Times New Roman"/>
          <w:bCs/>
          <w:sz w:val="24"/>
          <w:szCs w:val="24"/>
        </w:rPr>
      </w:pPr>
    </w:p>
    <w:p w14:paraId="0AF2C131" w14:textId="300F9DFB" w:rsidR="00F616CC" w:rsidRPr="00AB14AC" w:rsidRDefault="00AB14AC" w:rsidP="00AB14AC">
      <w:pPr>
        <w:rPr>
          <w:rFonts w:ascii="Times New Roman" w:hAnsi="Times New Roman"/>
          <w:b/>
          <w:sz w:val="24"/>
          <w:szCs w:val="24"/>
        </w:rPr>
      </w:pPr>
      <w:r w:rsidRPr="00AB14AC">
        <w:rPr>
          <w:rFonts w:ascii="Times New Roman" w:hAnsi="Times New Roman"/>
          <w:sz w:val="24"/>
          <w:szCs w:val="24"/>
        </w:rPr>
        <w:t xml:space="preserve">The Court wrote:  “The plaintiffs are 118 firefighters, fire lieutenants, fire captains, and deputy fire chiefs currently or formerly employed by the Town of Brookline…. The plaintiffs are part of a bargaining unit represented by Local 950, a chapter of the International Association of Firefighters (the ‘Union’)….  The parties restarted settlement negotiations when the litigation commenced in December 2023, and they agreed to a settlement in principle in April 2024….  After reaching this agreement, the Town modified its FLSA protocols to address the plaintiffs' concerns regarding how their hours were counted and how their rate of overtime pay was </w:t>
      </w:r>
      <w:proofErr w:type="gramStart"/>
      <w:r w:rsidRPr="00AB14AC">
        <w:rPr>
          <w:rFonts w:ascii="Times New Roman" w:hAnsi="Times New Roman"/>
          <w:sz w:val="24"/>
          <w:szCs w:val="24"/>
        </w:rPr>
        <w:t>calculated.”</w:t>
      </w:r>
      <w:proofErr w:type="gramEnd"/>
      <w:r w:rsidRPr="00AB14AC">
        <w:rPr>
          <w:rFonts w:ascii="Times New Roman" w:hAnsi="Times New Roman"/>
          <w:sz w:val="24"/>
          <w:szCs w:val="24"/>
        </w:rPr>
        <w:t xml:space="preserve"> </w:t>
      </w:r>
      <w:hyperlink r:id="rId1748" w:history="1">
        <w:r w:rsidRPr="00AB14AC">
          <w:rPr>
            <w:rStyle w:val="Hyperlink"/>
            <w:rFonts w:ascii="Times New Roman" w:hAnsi="Times New Roman"/>
            <w:sz w:val="24"/>
            <w:szCs w:val="24"/>
          </w:rPr>
          <w:t>https://public.fastcase.com/jaEE2PXzRXmZ99jOLMt1IrF9wD4fG884AOwA%2B%2B8sYndkdlA95em2xjLqn6HHRdZo?utm_medium=email&amp;_hsenc=p2ANqtz-_k9MVaO09mpQi5ToQ_rMR2msPFl5QNhVfsnrFCoGgDXkRnW8gb34HMapH4044HXAEb1Ni6dZoKu1yFSWgbbZwBVX_IXQ&amp;_hsmi=226712652&amp;utm_content=226712652&amp;utm_source=hs_email</w:t>
        </w:r>
      </w:hyperlink>
    </w:p>
    <w:p w14:paraId="49C8D394" w14:textId="77777777" w:rsidR="00785987" w:rsidRPr="00874DB0" w:rsidRDefault="00785987" w:rsidP="00785987">
      <w:pPr>
        <w:pStyle w:val="NoSpacing"/>
        <w:rPr>
          <w:rFonts w:ascii="Times New Roman" w:hAnsi="Times New Roman"/>
          <w:b/>
          <w:bCs/>
          <w:sz w:val="24"/>
          <w:szCs w:val="24"/>
        </w:rPr>
      </w:pPr>
      <w:r w:rsidRPr="00874DB0">
        <w:rPr>
          <w:rFonts w:ascii="Times New Roman" w:hAnsi="Times New Roman"/>
          <w:b/>
          <w:sz w:val="24"/>
          <w:szCs w:val="24"/>
        </w:rPr>
        <w:t xml:space="preserve">Legal Lesson Learned: Town wisely corrected their prior </w:t>
      </w:r>
      <w:r w:rsidRPr="00874DB0">
        <w:rPr>
          <w:rFonts w:ascii="Times New Roman" w:hAnsi="Times New Roman"/>
          <w:b/>
          <w:bCs/>
          <w:sz w:val="24"/>
          <w:szCs w:val="24"/>
        </w:rPr>
        <w:t xml:space="preserve">FLSA </w:t>
      </w:r>
      <w:r w:rsidRPr="00874DB0">
        <w:rPr>
          <w:rFonts w:ascii="Times New Roman" w:hAnsi="Times New Roman"/>
          <w:b/>
          <w:sz w:val="24"/>
          <w:szCs w:val="24"/>
        </w:rPr>
        <w:t>practices.</w:t>
      </w:r>
    </w:p>
    <w:p w14:paraId="3869B739" w14:textId="77777777" w:rsidR="00785987" w:rsidRPr="00874DB0" w:rsidRDefault="00785987" w:rsidP="00785987">
      <w:pPr>
        <w:pStyle w:val="NoSpacing"/>
        <w:rPr>
          <w:rFonts w:ascii="Times New Roman" w:hAnsi="Times New Roman"/>
          <w:sz w:val="24"/>
          <w:szCs w:val="24"/>
        </w:rPr>
      </w:pPr>
    </w:p>
    <w:p w14:paraId="0AA7A0B5" w14:textId="77777777" w:rsidR="00B92F73" w:rsidRDefault="00B92F73" w:rsidP="00F326E5">
      <w:pPr>
        <w:rPr>
          <w:rFonts w:ascii="Arial Black" w:hAnsi="Arial Black"/>
          <w:b/>
          <w:sz w:val="24"/>
          <w:szCs w:val="24"/>
        </w:rPr>
      </w:pPr>
    </w:p>
    <w:p w14:paraId="7F570084" w14:textId="51998654" w:rsidR="00061BDB" w:rsidRDefault="00061BDB" w:rsidP="00F326E5">
      <w:pPr>
        <w:rPr>
          <w:rFonts w:ascii="Arial Black" w:hAnsi="Arial Black"/>
          <w:b/>
          <w:sz w:val="24"/>
          <w:szCs w:val="24"/>
        </w:rPr>
      </w:pPr>
      <w:r>
        <w:rPr>
          <w:rFonts w:ascii="Arial Black" w:hAnsi="Arial Black"/>
          <w:b/>
          <w:sz w:val="24"/>
          <w:szCs w:val="24"/>
        </w:rPr>
        <w:t>11-5</w:t>
      </w:r>
      <w:r w:rsidR="00DE6B12">
        <w:rPr>
          <w:rFonts w:ascii="Arial Black" w:hAnsi="Arial Black"/>
          <w:b/>
          <w:sz w:val="24"/>
          <w:szCs w:val="24"/>
        </w:rPr>
        <w:t>9</w:t>
      </w:r>
    </w:p>
    <w:p w14:paraId="0679642C" w14:textId="77777777" w:rsidR="0079730A" w:rsidRPr="003121C0" w:rsidRDefault="0079730A" w:rsidP="0079730A">
      <w:pPr>
        <w:rPr>
          <w:rFonts w:ascii="Arial Black" w:hAnsi="Arial Black"/>
          <w:bCs/>
          <w:sz w:val="28"/>
          <w:szCs w:val="28"/>
        </w:rPr>
      </w:pPr>
      <w:r>
        <w:rPr>
          <w:rFonts w:ascii="Arial Black" w:hAnsi="Arial Black"/>
          <w:b/>
          <w:sz w:val="28"/>
          <w:szCs w:val="28"/>
        </w:rPr>
        <w:t xml:space="preserve">NC: FLSA – SOME WEEKS UNDERPAID / OVERPAID - NO CASE </w:t>
      </w:r>
    </w:p>
    <w:p w14:paraId="7A049438" w14:textId="77777777" w:rsidR="0079730A" w:rsidRPr="0079730A" w:rsidRDefault="0079730A" w:rsidP="0079730A">
      <w:pPr>
        <w:rPr>
          <w:rFonts w:ascii="Times New Roman" w:hAnsi="Times New Roman"/>
          <w:bCs/>
          <w:sz w:val="24"/>
          <w:szCs w:val="24"/>
        </w:rPr>
      </w:pPr>
      <w:r w:rsidRPr="0079730A">
        <w:rPr>
          <w:rFonts w:ascii="Times New Roman" w:hAnsi="Times New Roman"/>
          <w:sz w:val="24"/>
          <w:szCs w:val="24"/>
        </w:rPr>
        <w:t xml:space="preserve">On March 31, 2025, in </w:t>
      </w:r>
      <w:r w:rsidRPr="0079730A">
        <w:rPr>
          <w:rFonts w:ascii="Times New Roman" w:hAnsi="Times New Roman"/>
          <w:sz w:val="24"/>
          <w:szCs w:val="24"/>
          <w:u w:val="single"/>
        </w:rPr>
        <w:t>Sara A. Conner, on behalf of all others similarly situated v. Cleveland County, Noth Carolina</w:t>
      </w:r>
      <w:r w:rsidRPr="0079730A">
        <w:rPr>
          <w:rFonts w:ascii="Times New Roman" w:hAnsi="Times New Roman"/>
          <w:sz w:val="24"/>
          <w:szCs w:val="24"/>
        </w:rPr>
        <w:t xml:space="preserve">, Chief U.S. District Court Judge Martin Reidinger, United States District Court for the Western District of North Carolina, Asheville Division, held that the EMS personnel were fully paid despite a “technical violation” of FLSA and therefore the case was dismissed.  Sara Conner has been a fulltime paramedic with Cleveland County EMS [CCEMS] since 2017, annual salary of 2016 of $35,820, and she worked a </w:t>
      </w:r>
      <w:proofErr w:type="gramStart"/>
      <w:r w:rsidRPr="0079730A">
        <w:rPr>
          <w:rFonts w:ascii="Times New Roman" w:hAnsi="Times New Roman"/>
          <w:sz w:val="24"/>
          <w:szCs w:val="24"/>
        </w:rPr>
        <w:t>24/48 hour</w:t>
      </w:r>
      <w:proofErr w:type="gramEnd"/>
      <w:r w:rsidRPr="0079730A">
        <w:rPr>
          <w:rFonts w:ascii="Times New Roman" w:hAnsi="Times New Roman"/>
          <w:sz w:val="24"/>
          <w:szCs w:val="24"/>
        </w:rPr>
        <w:t xml:space="preserve"> schedule.  Per their pay plan (since changed in 2018), Conner was paid base “hourly rate” of $12.23 (her annual salary divided by total annual hours 2,928).  Her overtime rate was $18.35 (1.5 times her base rate).  </w:t>
      </w:r>
      <w:hyperlink r:id="rId1749" w:history="1">
        <w:r w:rsidRPr="0079730A">
          <w:rPr>
            <w:rStyle w:val="Hyperlink"/>
            <w:rFonts w:ascii="Times New Roman" w:hAnsi="Times New Roman"/>
            <w:sz w:val="24"/>
            <w:szCs w:val="24"/>
          </w:rPr>
          <w:t>https://www.carolinajournal.com/wp-content/uploads/2025/04/cleveland-ot-128-033125-courtorder.pdf</w:t>
        </w:r>
      </w:hyperlink>
      <w:r w:rsidRPr="0079730A">
        <w:rPr>
          <w:rFonts w:ascii="Times New Roman" w:hAnsi="Times New Roman"/>
          <w:sz w:val="24"/>
          <w:szCs w:val="24"/>
        </w:rPr>
        <w:t xml:space="preserve"> </w:t>
      </w:r>
    </w:p>
    <w:p w14:paraId="4F45799C" w14:textId="77777777" w:rsidR="003A305F" w:rsidRPr="003A305F" w:rsidRDefault="003A305F" w:rsidP="003A305F">
      <w:pPr>
        <w:pStyle w:val="NoSpacing"/>
        <w:rPr>
          <w:rFonts w:ascii="Times New Roman" w:hAnsi="Times New Roman"/>
          <w:b/>
          <w:sz w:val="24"/>
          <w:szCs w:val="24"/>
        </w:rPr>
      </w:pPr>
      <w:r w:rsidRPr="003A305F">
        <w:rPr>
          <w:rFonts w:ascii="Times New Roman" w:hAnsi="Times New Roman"/>
          <w:b/>
          <w:sz w:val="24"/>
          <w:szCs w:val="24"/>
        </w:rPr>
        <w:t xml:space="preserve">Legal Lesson Learned:  There was no loss of </w:t>
      </w:r>
      <w:proofErr w:type="gramStart"/>
      <w:r w:rsidRPr="003A305F">
        <w:rPr>
          <w:rFonts w:ascii="Times New Roman" w:hAnsi="Times New Roman"/>
          <w:b/>
          <w:sz w:val="24"/>
          <w:szCs w:val="24"/>
        </w:rPr>
        <w:t>wages</w:t>
      </w:r>
      <w:proofErr w:type="gramEnd"/>
      <w:r w:rsidRPr="003A305F">
        <w:rPr>
          <w:rFonts w:ascii="Times New Roman" w:hAnsi="Times New Roman"/>
          <w:b/>
          <w:sz w:val="24"/>
          <w:szCs w:val="24"/>
        </w:rPr>
        <w:t xml:space="preserve"> so case dismissed.</w:t>
      </w:r>
    </w:p>
    <w:p w14:paraId="2DB7D3A6" w14:textId="77777777" w:rsidR="00061BDB" w:rsidRDefault="00061BDB" w:rsidP="00F326E5">
      <w:pPr>
        <w:rPr>
          <w:rFonts w:ascii="Arial Black" w:hAnsi="Arial Black"/>
          <w:b/>
          <w:sz w:val="24"/>
          <w:szCs w:val="24"/>
        </w:rPr>
      </w:pPr>
    </w:p>
    <w:p w14:paraId="0B08AC20" w14:textId="77777777" w:rsidR="00061BDB" w:rsidRDefault="00061BDB" w:rsidP="00F326E5">
      <w:pPr>
        <w:rPr>
          <w:rFonts w:ascii="Arial Black" w:hAnsi="Arial Black"/>
          <w:b/>
          <w:sz w:val="24"/>
          <w:szCs w:val="24"/>
        </w:rPr>
      </w:pPr>
    </w:p>
    <w:p w14:paraId="2C7B6A1B" w14:textId="74154EB9" w:rsidR="00CE6BF6" w:rsidRDefault="00CE6BF6" w:rsidP="00F326E5">
      <w:pPr>
        <w:rPr>
          <w:rFonts w:ascii="Arial Black" w:hAnsi="Arial Black"/>
          <w:b/>
          <w:sz w:val="24"/>
          <w:szCs w:val="24"/>
        </w:rPr>
      </w:pPr>
      <w:r>
        <w:rPr>
          <w:rFonts w:ascii="Arial Black" w:hAnsi="Arial Black"/>
          <w:b/>
          <w:sz w:val="24"/>
          <w:szCs w:val="24"/>
        </w:rPr>
        <w:t>11-5</w:t>
      </w:r>
      <w:r w:rsidR="00DE6B12">
        <w:rPr>
          <w:rFonts w:ascii="Arial Black" w:hAnsi="Arial Black"/>
          <w:b/>
          <w:sz w:val="24"/>
          <w:szCs w:val="24"/>
        </w:rPr>
        <w:t>8</w:t>
      </w:r>
    </w:p>
    <w:p w14:paraId="7BB7164D" w14:textId="77777777" w:rsidR="00CE6BF6" w:rsidRDefault="00CE6BF6" w:rsidP="00CE6BF6">
      <w:pPr>
        <w:rPr>
          <w:rFonts w:ascii="Arial Black" w:hAnsi="Arial Black"/>
          <w:b/>
          <w:sz w:val="28"/>
          <w:szCs w:val="28"/>
        </w:rPr>
      </w:pPr>
      <w:r>
        <w:rPr>
          <w:rFonts w:ascii="Arial Black" w:hAnsi="Arial Black"/>
          <w:b/>
          <w:sz w:val="28"/>
          <w:szCs w:val="28"/>
        </w:rPr>
        <w:t xml:space="preserve">U.S. SUP. CT – ALL COURTS - PREPONDRANCE-OF-EVIDENCE </w:t>
      </w:r>
    </w:p>
    <w:p w14:paraId="39DF8900" w14:textId="70C599B3" w:rsidR="00CE6BF6" w:rsidRPr="00474F4B" w:rsidRDefault="00CE6BF6" w:rsidP="00CE6BF6">
      <w:pPr>
        <w:rPr>
          <w:rFonts w:ascii="Times New Roman" w:hAnsi="Times New Roman"/>
          <w:bCs/>
          <w:sz w:val="24"/>
          <w:szCs w:val="24"/>
        </w:rPr>
      </w:pPr>
      <w:r w:rsidRPr="00474F4B">
        <w:rPr>
          <w:rFonts w:ascii="Times New Roman" w:hAnsi="Times New Roman"/>
          <w:sz w:val="24"/>
          <w:szCs w:val="24"/>
        </w:rPr>
        <w:t xml:space="preserve">On Juan. 15, 2023, in </w:t>
      </w:r>
      <w:r w:rsidRPr="00474F4B">
        <w:rPr>
          <w:rFonts w:ascii="Times New Roman" w:hAnsi="Times New Roman"/>
          <w:sz w:val="24"/>
          <w:szCs w:val="24"/>
          <w:u w:val="single"/>
        </w:rPr>
        <w:t>EMD Sales, Inc., et al. v. Faustino Sanchez Carrera</w:t>
      </w:r>
      <w:r w:rsidRPr="00474F4B">
        <w:rPr>
          <w:rFonts w:ascii="Times New Roman" w:hAnsi="Times New Roman"/>
          <w:sz w:val="24"/>
          <w:szCs w:val="24"/>
        </w:rPr>
        <w:t xml:space="preserve">, the </w:t>
      </w:r>
      <w:r w:rsidR="0034221B">
        <w:rPr>
          <w:rFonts w:ascii="Times New Roman" w:hAnsi="Times New Roman"/>
          <w:sz w:val="24"/>
          <w:szCs w:val="24"/>
        </w:rPr>
        <w:t xml:space="preserve">U.S. </w:t>
      </w:r>
      <w:r w:rsidR="00883BD6">
        <w:rPr>
          <w:rFonts w:ascii="Times New Roman" w:hAnsi="Times New Roman"/>
          <w:sz w:val="24"/>
          <w:szCs w:val="24"/>
        </w:rPr>
        <w:t>Supreme</w:t>
      </w:r>
      <w:r w:rsidR="0034221B">
        <w:rPr>
          <w:rFonts w:ascii="Times New Roman" w:hAnsi="Times New Roman"/>
          <w:sz w:val="24"/>
          <w:szCs w:val="24"/>
        </w:rPr>
        <w:t xml:space="preserve"> Court</w:t>
      </w:r>
      <w:r w:rsidRPr="00474F4B">
        <w:rPr>
          <w:rFonts w:ascii="Times New Roman" w:hAnsi="Times New Roman"/>
          <w:sz w:val="24"/>
          <w:szCs w:val="24"/>
        </w:rPr>
        <w:t xml:space="preserve"> held (9 to 0) that employers, when sued by employees claiming they were improperly classified as exempt from overtime pay, will be judged by the normal standard in civil litigation – “preponderance-of-the-evidence.” The Court reversed the U.S. Court of Appeals for the 4</w:t>
      </w:r>
      <w:r w:rsidRPr="00474F4B">
        <w:rPr>
          <w:rFonts w:ascii="Times New Roman" w:hAnsi="Times New Roman"/>
          <w:sz w:val="24"/>
          <w:szCs w:val="24"/>
          <w:vertAlign w:val="superscript"/>
        </w:rPr>
        <w:t>th</w:t>
      </w:r>
      <w:r w:rsidRPr="00474F4B">
        <w:rPr>
          <w:rFonts w:ascii="Times New Roman" w:hAnsi="Times New Roman"/>
          <w:sz w:val="24"/>
          <w:szCs w:val="24"/>
        </w:rPr>
        <w:t xml:space="preserve"> Circuit (Richmond, VA) which required proof of an exemption by “clear-and-convincing evidence.” Employers in 4</w:t>
      </w:r>
      <w:r w:rsidRPr="00474F4B">
        <w:rPr>
          <w:rFonts w:ascii="Times New Roman" w:hAnsi="Times New Roman"/>
          <w:sz w:val="24"/>
          <w:szCs w:val="24"/>
          <w:vertAlign w:val="superscript"/>
        </w:rPr>
        <w:t>th</w:t>
      </w:r>
      <w:r w:rsidRPr="00474F4B">
        <w:rPr>
          <w:rFonts w:ascii="Times New Roman" w:hAnsi="Times New Roman"/>
          <w:sz w:val="24"/>
          <w:szCs w:val="24"/>
        </w:rPr>
        <w:t xml:space="preserve"> Circuit, including fire &amp; EMS  - Maryland, North Carolina, South Carolina, Virginia, and West Virginia – will now be held to same standard as rest of the nation. The lawsuit involved EMD Sales, Inc., is a distributor of Latin American, Caribbean, and Asian food products to chain and independent grocery stores, operating in the Washington, D.C. metropolitan area. The company paid salesmen commissions (up to 6.6%; some earned over $100,000) but no overtime; under FLSA regulations “outside salesman” and exempt.  After a nine-day bench trial, the U.S. District Court judge ruled for employees and the 4</w:t>
      </w:r>
      <w:r w:rsidRPr="00474F4B">
        <w:rPr>
          <w:rFonts w:ascii="Times New Roman" w:hAnsi="Times New Roman"/>
          <w:sz w:val="24"/>
          <w:szCs w:val="24"/>
          <w:vertAlign w:val="superscript"/>
        </w:rPr>
        <w:t>th</w:t>
      </w:r>
      <w:r w:rsidRPr="00474F4B">
        <w:rPr>
          <w:rFonts w:ascii="Times New Roman" w:hAnsi="Times New Roman"/>
          <w:sz w:val="24"/>
          <w:szCs w:val="24"/>
        </w:rPr>
        <w:t xml:space="preserve"> Circuit affirmed.  The U.S. Supreme Court reversed the 4</w:t>
      </w:r>
      <w:r w:rsidRPr="00474F4B">
        <w:rPr>
          <w:rFonts w:ascii="Times New Roman" w:hAnsi="Times New Roman"/>
          <w:sz w:val="24"/>
          <w:szCs w:val="24"/>
          <w:vertAlign w:val="superscript"/>
        </w:rPr>
        <w:t>th</w:t>
      </w:r>
      <w:r w:rsidRPr="00474F4B">
        <w:rPr>
          <w:rFonts w:ascii="Times New Roman" w:hAnsi="Times New Roman"/>
          <w:sz w:val="24"/>
          <w:szCs w:val="24"/>
        </w:rPr>
        <w:t xml:space="preserve"> Circuit on the standard of proof required [case will likely be re-tried].  </w:t>
      </w:r>
      <w:hyperlink r:id="rId1750" w:history="1">
        <w:r w:rsidRPr="00474F4B">
          <w:rPr>
            <w:rStyle w:val="Hyperlink"/>
            <w:rFonts w:ascii="Times New Roman" w:hAnsi="Times New Roman"/>
            <w:sz w:val="24"/>
            <w:szCs w:val="24"/>
          </w:rPr>
          <w:t>https://www.supremecourt.gov/opinions/24pdf/23-217_9o6b.pdf</w:t>
        </w:r>
      </w:hyperlink>
      <w:r w:rsidRPr="00474F4B">
        <w:rPr>
          <w:rFonts w:ascii="Times New Roman" w:hAnsi="Times New Roman"/>
          <w:sz w:val="24"/>
          <w:szCs w:val="24"/>
        </w:rPr>
        <w:t xml:space="preserve">   </w:t>
      </w:r>
    </w:p>
    <w:p w14:paraId="4F9796BF" w14:textId="77777777" w:rsidR="00CE6BF6" w:rsidRPr="00474F4B" w:rsidRDefault="00CE6BF6" w:rsidP="00CE6BF6">
      <w:pPr>
        <w:rPr>
          <w:rFonts w:ascii="Times New Roman" w:hAnsi="Times New Roman"/>
          <w:bCs/>
          <w:sz w:val="24"/>
          <w:szCs w:val="24"/>
        </w:rPr>
      </w:pPr>
      <w:r w:rsidRPr="00474F4B">
        <w:rPr>
          <w:rFonts w:ascii="Times New Roman" w:hAnsi="Times New Roman"/>
          <w:sz w:val="24"/>
          <w:szCs w:val="24"/>
        </w:rPr>
        <w:t xml:space="preserve">The Court held: </w:t>
      </w:r>
    </w:p>
    <w:p w14:paraId="057EFDC0" w14:textId="77777777" w:rsidR="00CE6BF6" w:rsidRPr="00474F4B" w:rsidRDefault="00CE6BF6" w:rsidP="00CE6BF6">
      <w:pPr>
        <w:pStyle w:val="NoSpacing"/>
        <w:ind w:left="720"/>
        <w:rPr>
          <w:rFonts w:ascii="Times New Roman" w:hAnsi="Times New Roman"/>
          <w:bCs/>
          <w:sz w:val="24"/>
          <w:szCs w:val="24"/>
        </w:rPr>
      </w:pPr>
      <w:r w:rsidRPr="00474F4B">
        <w:rPr>
          <w:rFonts w:ascii="Times New Roman" w:hAnsi="Times New Roman"/>
          <w:sz w:val="24"/>
          <w:szCs w:val="24"/>
        </w:rPr>
        <w:t>“We hold that the preponderance-of-the-evidence standard applies when an employer seeks to show that an employee is exempt from the minimum-wage and overtime-</w:t>
      </w:r>
    </w:p>
    <w:p w14:paraId="73D9527D" w14:textId="77777777" w:rsidR="00CE6BF6" w:rsidRPr="00474F4B" w:rsidRDefault="00CE6BF6" w:rsidP="00CE6BF6">
      <w:pPr>
        <w:pStyle w:val="NoSpacing"/>
        <w:ind w:left="720"/>
        <w:rPr>
          <w:rFonts w:ascii="Times New Roman" w:hAnsi="Times New Roman"/>
          <w:bCs/>
          <w:sz w:val="24"/>
          <w:szCs w:val="24"/>
        </w:rPr>
      </w:pPr>
      <w:r w:rsidRPr="00474F4B">
        <w:rPr>
          <w:rFonts w:ascii="Times New Roman" w:hAnsi="Times New Roman"/>
          <w:sz w:val="24"/>
          <w:szCs w:val="24"/>
        </w:rPr>
        <w:t>pay provisions of the Fair Labor Standards Act. The employees argue that we should still affirm because they would not qualify as outside salesmen even under a preponderance standard. But our usual practice is to leave matters of that sort for remand. We see no persuasive reason to stray from that usual practice here. We therefore reverse the judgment of the Court of Appeals and remand the case for further proceedings consistent with this opinion.”</w:t>
      </w:r>
    </w:p>
    <w:p w14:paraId="733E77E6" w14:textId="77777777" w:rsidR="00CE6BF6" w:rsidRPr="00474F4B" w:rsidRDefault="00CE6BF6" w:rsidP="00CE6BF6">
      <w:pPr>
        <w:rPr>
          <w:rFonts w:ascii="Times New Roman" w:hAnsi="Times New Roman"/>
          <w:b/>
          <w:sz w:val="24"/>
          <w:szCs w:val="24"/>
        </w:rPr>
      </w:pPr>
    </w:p>
    <w:p w14:paraId="3E8AA160" w14:textId="77777777" w:rsidR="00CE6BF6" w:rsidRPr="00474F4B" w:rsidRDefault="00CE6BF6" w:rsidP="00CE6BF6">
      <w:pPr>
        <w:rPr>
          <w:rFonts w:ascii="Times New Roman" w:hAnsi="Times New Roman"/>
          <w:b/>
          <w:sz w:val="24"/>
          <w:szCs w:val="24"/>
        </w:rPr>
      </w:pPr>
      <w:r w:rsidRPr="00474F4B">
        <w:rPr>
          <w:rFonts w:ascii="Times New Roman" w:hAnsi="Times New Roman"/>
          <w:b/>
          <w:sz w:val="24"/>
          <w:szCs w:val="24"/>
        </w:rPr>
        <w:t xml:space="preserve">Legal Lesson Learned: Fire &amp; EMS managers, when deciding “close questions” about FLSA exemptions – such as which senior officers are exempt from overtime – should consult with experienced FLSA legal counsel.  </w:t>
      </w:r>
    </w:p>
    <w:p w14:paraId="675DAC3A" w14:textId="77777777" w:rsidR="00CE6BF6" w:rsidRPr="00474F4B" w:rsidRDefault="00CE6BF6" w:rsidP="00CE6BF6">
      <w:pPr>
        <w:ind w:left="720"/>
        <w:rPr>
          <w:rFonts w:ascii="Times New Roman" w:hAnsi="Times New Roman"/>
          <w:bCs/>
          <w:sz w:val="24"/>
          <w:szCs w:val="24"/>
        </w:rPr>
      </w:pPr>
      <w:r w:rsidRPr="00474F4B">
        <w:rPr>
          <w:rFonts w:ascii="Times New Roman" w:hAnsi="Times New Roman"/>
          <w:sz w:val="24"/>
          <w:szCs w:val="24"/>
        </w:rPr>
        <w:t xml:space="preserve">Note: See Jan. 15, </w:t>
      </w:r>
      <w:proofErr w:type="gramStart"/>
      <w:r w:rsidRPr="00474F4B">
        <w:rPr>
          <w:rFonts w:ascii="Times New Roman" w:hAnsi="Times New Roman"/>
          <w:sz w:val="24"/>
          <w:szCs w:val="24"/>
        </w:rPr>
        <w:t>2025</w:t>
      </w:r>
      <w:proofErr w:type="gramEnd"/>
      <w:r w:rsidRPr="00474F4B">
        <w:rPr>
          <w:rFonts w:ascii="Times New Roman" w:hAnsi="Times New Roman"/>
          <w:sz w:val="24"/>
          <w:szCs w:val="24"/>
        </w:rPr>
        <w:t xml:space="preserve">  article: “US Supreme Court boosts companies' defense in wage lawsuits.” </w:t>
      </w:r>
      <w:hyperlink r:id="rId1751" w:history="1">
        <w:r w:rsidRPr="00474F4B">
          <w:rPr>
            <w:rStyle w:val="Hyperlink"/>
            <w:rFonts w:ascii="Times New Roman" w:hAnsi="Times New Roman"/>
            <w:sz w:val="24"/>
            <w:szCs w:val="24"/>
          </w:rPr>
          <w:t>https://www.reuters.com/legal/government/us-supreme-court-boosts-companies-defense-wage-lawsuits-2025-01-15/</w:t>
        </w:r>
      </w:hyperlink>
      <w:r w:rsidRPr="00474F4B">
        <w:rPr>
          <w:rFonts w:ascii="Times New Roman" w:hAnsi="Times New Roman"/>
          <w:sz w:val="24"/>
          <w:szCs w:val="24"/>
        </w:rPr>
        <w:t xml:space="preserve"> </w:t>
      </w:r>
    </w:p>
    <w:p w14:paraId="0FA50A6F" w14:textId="77777777" w:rsidR="00CE6BF6" w:rsidRPr="00474F4B" w:rsidRDefault="00CE6BF6" w:rsidP="00CE6BF6">
      <w:pPr>
        <w:ind w:left="720"/>
        <w:rPr>
          <w:rFonts w:ascii="Times New Roman" w:hAnsi="Times New Roman"/>
          <w:sz w:val="24"/>
          <w:szCs w:val="24"/>
        </w:rPr>
      </w:pPr>
      <w:r w:rsidRPr="00474F4B">
        <w:rPr>
          <w:rFonts w:ascii="Times New Roman" w:hAnsi="Times New Roman"/>
          <w:sz w:val="24"/>
          <w:szCs w:val="24"/>
        </w:rPr>
        <w:t>:The </w:t>
      </w:r>
      <w:hyperlink r:id="rId1752" w:tgtFrame="_blank" w:history="1">
        <w:r w:rsidRPr="00474F4B">
          <w:rPr>
            <w:rStyle w:val="Hyperlink"/>
            <w:rFonts w:ascii="Times New Roman" w:hAnsi="Times New Roman"/>
            <w:sz w:val="24"/>
            <w:szCs w:val="24"/>
          </w:rPr>
          <w:t>unanimous ruling, opens new tab</w:t>
        </w:r>
      </w:hyperlink>
      <w:r w:rsidRPr="00474F4B">
        <w:rPr>
          <w:rFonts w:ascii="Times New Roman" w:hAnsi="Times New Roman"/>
          <w:sz w:val="24"/>
          <w:szCs w:val="24"/>
        </w:rPr>
        <w:t> penned by Justice Brett Kavanaugh could make it easier for some businesses to defend against lawsuits, including many class actions, claiming that workers were improperly exempted from the federal Fair Labor Standards Act (FLSA).”</w:t>
      </w:r>
    </w:p>
    <w:p w14:paraId="498E043D" w14:textId="77777777" w:rsidR="00CE6BF6" w:rsidRPr="00474F4B" w:rsidRDefault="00CE6BF6" w:rsidP="00CE6BF6">
      <w:pPr>
        <w:ind w:left="720"/>
        <w:rPr>
          <w:rFonts w:ascii="Times New Roman" w:hAnsi="Times New Roman"/>
          <w:bCs/>
          <w:sz w:val="24"/>
          <w:szCs w:val="24"/>
        </w:rPr>
      </w:pPr>
    </w:p>
    <w:p w14:paraId="68456FAD" w14:textId="77777777" w:rsidR="00CE6BF6" w:rsidRPr="00474F4B" w:rsidRDefault="00CE6BF6" w:rsidP="00CE6BF6">
      <w:pPr>
        <w:ind w:left="720"/>
        <w:rPr>
          <w:rFonts w:ascii="Times New Roman" w:hAnsi="Times New Roman"/>
          <w:bCs/>
          <w:sz w:val="24"/>
          <w:szCs w:val="24"/>
        </w:rPr>
      </w:pPr>
      <w:r w:rsidRPr="00474F4B">
        <w:rPr>
          <w:rFonts w:ascii="Times New Roman" w:hAnsi="Times New Roman"/>
          <w:sz w:val="24"/>
          <w:szCs w:val="24"/>
        </w:rPr>
        <w:t xml:space="preserve">Company may have an uphill battle during retrial.  Read the brief by U.S. Solicitor General: </w:t>
      </w:r>
      <w:hyperlink r:id="rId1753" w:history="1">
        <w:r w:rsidRPr="00474F4B">
          <w:rPr>
            <w:rStyle w:val="Hyperlink"/>
            <w:rFonts w:ascii="Times New Roman" w:hAnsi="Times New Roman"/>
            <w:sz w:val="24"/>
            <w:szCs w:val="24"/>
          </w:rPr>
          <w:t>https://www.supremecourt.gov/DocketPDF/23/23-217/326778/20240924155125392_2024.09.24%20EMD%20v%20Carrera%20-%20Brief%20for%20Respondents.pdf</w:t>
        </w:r>
      </w:hyperlink>
      <w:r w:rsidRPr="00474F4B">
        <w:rPr>
          <w:rFonts w:ascii="Times New Roman" w:hAnsi="Times New Roman"/>
          <w:sz w:val="24"/>
          <w:szCs w:val="24"/>
        </w:rPr>
        <w:t xml:space="preserve"> </w:t>
      </w:r>
    </w:p>
    <w:p w14:paraId="4ADA1FAE" w14:textId="3A4AC9E9" w:rsidR="00CE6BF6" w:rsidRPr="00474F4B" w:rsidRDefault="00CE6BF6" w:rsidP="00CE6BF6">
      <w:pPr>
        <w:pStyle w:val="NoSpacing"/>
        <w:ind w:left="720"/>
        <w:rPr>
          <w:rFonts w:ascii="Times New Roman" w:hAnsi="Times New Roman"/>
          <w:bCs/>
          <w:sz w:val="24"/>
          <w:szCs w:val="24"/>
        </w:rPr>
      </w:pPr>
      <w:r w:rsidRPr="00474F4B">
        <w:rPr>
          <w:rFonts w:ascii="Times New Roman" w:hAnsi="Times New Roman"/>
          <w:sz w:val="24"/>
          <w:szCs w:val="24"/>
        </w:rPr>
        <w:t>“Respondents presented evidence that they did not and could not make sales at chain stores. Rather, when they serviced chain stores, they replenished stock based on ‘sales terms already negotiated by management,’ and ‘their time was spent only on promotion and inventory-management activities— restocking and rearranging products, issuing credits, taking orders—that were incidental to sales made at higher levels.’</w:t>
      </w:r>
      <w:r w:rsidR="00474F4B" w:rsidRPr="00474F4B">
        <w:rPr>
          <w:rFonts w:ascii="Times New Roman" w:hAnsi="Times New Roman"/>
          <w:sz w:val="24"/>
          <w:szCs w:val="24"/>
        </w:rPr>
        <w:t>”</w:t>
      </w:r>
    </w:p>
    <w:p w14:paraId="2CFE3C44" w14:textId="77777777" w:rsidR="00CE6BF6" w:rsidRPr="00A84124" w:rsidRDefault="00CE6BF6" w:rsidP="00CE6BF6">
      <w:pPr>
        <w:ind w:left="720"/>
        <w:rPr>
          <w:bCs/>
        </w:rPr>
      </w:pPr>
    </w:p>
    <w:p w14:paraId="2E5E88E9" w14:textId="77777777" w:rsidR="00CE6BF6" w:rsidRDefault="00CE6BF6" w:rsidP="00F326E5">
      <w:pPr>
        <w:rPr>
          <w:rFonts w:ascii="Arial Black" w:hAnsi="Arial Black"/>
          <w:b/>
          <w:sz w:val="24"/>
          <w:szCs w:val="24"/>
        </w:rPr>
      </w:pPr>
    </w:p>
    <w:p w14:paraId="790B3560" w14:textId="436BF811" w:rsidR="00C510D7" w:rsidRDefault="00F515EB" w:rsidP="00F326E5">
      <w:pPr>
        <w:rPr>
          <w:rFonts w:ascii="Arial Black" w:hAnsi="Arial Black"/>
          <w:b/>
          <w:sz w:val="24"/>
          <w:szCs w:val="24"/>
        </w:rPr>
      </w:pPr>
      <w:r>
        <w:rPr>
          <w:rFonts w:ascii="Arial Black" w:hAnsi="Arial Black"/>
          <w:b/>
          <w:sz w:val="24"/>
          <w:szCs w:val="24"/>
        </w:rPr>
        <w:t>1</w:t>
      </w:r>
      <w:r w:rsidR="00C510D7">
        <w:rPr>
          <w:rFonts w:ascii="Arial Black" w:hAnsi="Arial Black"/>
          <w:b/>
          <w:sz w:val="24"/>
          <w:szCs w:val="24"/>
        </w:rPr>
        <w:t>1-5</w:t>
      </w:r>
      <w:r w:rsidR="00DE6B12">
        <w:rPr>
          <w:rFonts w:ascii="Arial Black" w:hAnsi="Arial Black"/>
          <w:b/>
          <w:sz w:val="24"/>
          <w:szCs w:val="24"/>
        </w:rPr>
        <w:t>7</w:t>
      </w:r>
    </w:p>
    <w:p w14:paraId="29DFBA5B" w14:textId="77777777" w:rsidR="00C510D7" w:rsidRPr="00103331" w:rsidRDefault="00C510D7" w:rsidP="00C510D7">
      <w:pPr>
        <w:pStyle w:val="NoSpacing"/>
        <w:rPr>
          <w:rFonts w:ascii="Arial Black" w:hAnsi="Arial Black"/>
          <w:b/>
          <w:sz w:val="28"/>
          <w:szCs w:val="28"/>
        </w:rPr>
      </w:pPr>
      <w:r>
        <w:rPr>
          <w:rFonts w:ascii="Arial Black" w:hAnsi="Arial Black"/>
          <w:b/>
          <w:sz w:val="28"/>
          <w:szCs w:val="28"/>
        </w:rPr>
        <w:t xml:space="preserve">OK: FLSA – EMS SHIFT DIFFERENTIAL – HOURLY RATE OF PAY TO INCREASE – CLASS ACTION $350K SETTLEMENT  </w:t>
      </w:r>
    </w:p>
    <w:p w14:paraId="06FD023D" w14:textId="77777777" w:rsidR="00C510D7" w:rsidRDefault="00C510D7" w:rsidP="00C510D7">
      <w:pPr>
        <w:pStyle w:val="NoSpacing"/>
        <w:ind w:firstLine="720"/>
        <w:rPr>
          <w:b/>
        </w:rPr>
      </w:pPr>
    </w:p>
    <w:p w14:paraId="1DD25A52" w14:textId="334B9515" w:rsidR="00C510D7" w:rsidRPr="008032EA" w:rsidRDefault="00C510D7" w:rsidP="00C510D7">
      <w:pPr>
        <w:rPr>
          <w:rFonts w:ascii="Times New Roman" w:hAnsi="Times New Roman"/>
          <w:b/>
          <w:sz w:val="24"/>
          <w:szCs w:val="24"/>
        </w:rPr>
      </w:pPr>
      <w:r w:rsidRPr="008032EA">
        <w:rPr>
          <w:rFonts w:ascii="Times New Roman" w:hAnsi="Times New Roman"/>
          <w:sz w:val="24"/>
          <w:szCs w:val="24"/>
        </w:rPr>
        <w:t xml:space="preserve">On Nov. 21, 2024, in </w:t>
      </w:r>
      <w:r w:rsidRPr="008032EA">
        <w:rPr>
          <w:rFonts w:ascii="Times New Roman" w:hAnsi="Times New Roman"/>
          <w:sz w:val="24"/>
          <w:szCs w:val="24"/>
          <w:u w:val="single"/>
        </w:rPr>
        <w:t>Jerry Sherley v. Muskogee County EMS</w:t>
      </w:r>
      <w:r w:rsidRPr="008032EA">
        <w:rPr>
          <w:rFonts w:ascii="Times New Roman" w:hAnsi="Times New Roman"/>
          <w:sz w:val="24"/>
          <w:szCs w:val="24"/>
        </w:rPr>
        <w:t xml:space="preserve">, United States District Court Judge John F. Heil, III, U.S. District Court for approved the Eastern District of Oklahoma, approved the Notice to go to all EMS to “opt in” to the back pay settlement.  The Court wrote: “Plaintiff alleges that between July 18, </w:t>
      </w:r>
      <w:proofErr w:type="gramStart"/>
      <w:r w:rsidRPr="008032EA">
        <w:rPr>
          <w:rFonts w:ascii="Times New Roman" w:hAnsi="Times New Roman"/>
          <w:sz w:val="24"/>
          <w:szCs w:val="24"/>
        </w:rPr>
        <w:t>2020</w:t>
      </w:r>
      <w:proofErr w:type="gramEnd"/>
      <w:r w:rsidRPr="008032EA">
        <w:rPr>
          <w:rFonts w:ascii="Times New Roman" w:hAnsi="Times New Roman"/>
          <w:sz w:val="24"/>
          <w:szCs w:val="24"/>
        </w:rPr>
        <w:t xml:space="preserve"> and October 31, 2023, MCEMS failed to include EMTs’ shift differential pay in the rate for overtime pay, which resulted in less overtime pay than required by the FLSA…. The parties have reached a negotiated resolution…. Their settlement agreement defines the Settlement Collective to include ‘any EMT employed by MCEMS who was paid by the hour . . . plus shift differential pay and who worked more than 40 hours in a workweek during the period from July 18, </w:t>
      </w:r>
      <w:proofErr w:type="gramStart"/>
      <w:r w:rsidRPr="008032EA">
        <w:rPr>
          <w:rFonts w:ascii="Times New Roman" w:hAnsi="Times New Roman"/>
          <w:sz w:val="24"/>
          <w:szCs w:val="24"/>
        </w:rPr>
        <w:t>2020</w:t>
      </w:r>
      <w:proofErr w:type="gramEnd"/>
      <w:r w:rsidRPr="008032EA">
        <w:rPr>
          <w:rFonts w:ascii="Times New Roman" w:hAnsi="Times New Roman"/>
          <w:sz w:val="24"/>
          <w:szCs w:val="24"/>
        </w:rPr>
        <w:t xml:space="preserve"> to October 31, 2023.’” </w:t>
      </w:r>
      <w:hyperlink r:id="rId1754" w:history="1">
        <w:r w:rsidRPr="008032EA">
          <w:rPr>
            <w:rStyle w:val="Hyperlink"/>
            <w:rFonts w:ascii="Times New Roman" w:hAnsi="Times New Roman"/>
            <w:sz w:val="24"/>
            <w:szCs w:val="24"/>
          </w:rPr>
          <w:t>https://cases.justia.com/federal/district-courts/oklahoma/okedce/6:2023cv00241/34830/33/0.pdf?ts=1732294058</w:t>
        </w:r>
      </w:hyperlink>
    </w:p>
    <w:p w14:paraId="254F3FE1" w14:textId="77777777" w:rsidR="008032EA" w:rsidRPr="008032EA" w:rsidRDefault="008032EA" w:rsidP="008032EA">
      <w:pPr>
        <w:pStyle w:val="NoSpacing"/>
        <w:rPr>
          <w:rFonts w:ascii="Times New Roman" w:hAnsi="Times New Roman"/>
          <w:b/>
          <w:sz w:val="24"/>
          <w:szCs w:val="24"/>
        </w:rPr>
      </w:pPr>
      <w:r w:rsidRPr="008032EA">
        <w:rPr>
          <w:rFonts w:ascii="Times New Roman" w:hAnsi="Times New Roman"/>
          <w:b/>
          <w:sz w:val="24"/>
          <w:szCs w:val="24"/>
        </w:rPr>
        <w:t>Legal Lesson Learned: Shift differential increases the hourly rate of pay for EMS.</w:t>
      </w:r>
    </w:p>
    <w:p w14:paraId="6C52655D" w14:textId="77777777" w:rsidR="008032EA" w:rsidRPr="008032EA" w:rsidRDefault="008032EA" w:rsidP="008032EA">
      <w:pPr>
        <w:pStyle w:val="NoSpacing"/>
        <w:ind w:firstLine="720"/>
        <w:rPr>
          <w:rFonts w:ascii="Times New Roman" w:hAnsi="Times New Roman"/>
          <w:b/>
          <w:sz w:val="24"/>
          <w:szCs w:val="24"/>
        </w:rPr>
      </w:pPr>
    </w:p>
    <w:p w14:paraId="30079DB1" w14:textId="77777777" w:rsidR="008032EA" w:rsidRPr="000402D5" w:rsidRDefault="008032EA" w:rsidP="008032EA">
      <w:pPr>
        <w:pStyle w:val="NoSpacing"/>
        <w:ind w:left="720"/>
      </w:pPr>
      <w:r w:rsidRPr="008032EA">
        <w:rPr>
          <w:rFonts w:ascii="Times New Roman" w:hAnsi="Times New Roman"/>
          <w:sz w:val="24"/>
          <w:szCs w:val="24"/>
        </w:rPr>
        <w:t>Note:  See article, July 20, 2023: “Okla. EMS Dept. Shorts Workers On OT, Former EMT Says.”</w:t>
      </w:r>
      <w:r w:rsidRPr="008032EA">
        <w:rPr>
          <w:rFonts w:ascii="Times New Roman" w:hAnsi="Times New Roman"/>
          <w:b/>
          <w:sz w:val="24"/>
          <w:szCs w:val="24"/>
        </w:rPr>
        <w:t xml:space="preserve"> </w:t>
      </w:r>
      <w:r w:rsidRPr="008032EA">
        <w:rPr>
          <w:rFonts w:ascii="Times New Roman" w:hAnsi="Times New Roman"/>
          <w:sz w:val="24"/>
          <w:szCs w:val="24"/>
        </w:rPr>
        <w:t xml:space="preserve"> “A former emergency medical technician for an Oklahoma emergency medical services department hit his former employer with a proposed collective action accusing it of violating the Fair Labor Standards Act.” </w:t>
      </w:r>
      <w:hyperlink r:id="rId1755" w:history="1">
        <w:r w:rsidRPr="008032EA">
          <w:rPr>
            <w:rStyle w:val="Hyperlink"/>
            <w:rFonts w:ascii="Times New Roman" w:hAnsi="Times New Roman"/>
            <w:sz w:val="24"/>
            <w:szCs w:val="24"/>
          </w:rPr>
          <w:t>https://www.law360.com/employment-authority/articles/1701446/okla-ems-dept-shorts-workers-on-ot-former-emt-says</w:t>
        </w:r>
      </w:hyperlink>
      <w:r>
        <w:t xml:space="preserve"> </w:t>
      </w:r>
    </w:p>
    <w:p w14:paraId="2F396159" w14:textId="77777777" w:rsidR="008032EA" w:rsidRDefault="008032EA" w:rsidP="008032EA">
      <w:pPr>
        <w:pStyle w:val="NoSpacing"/>
      </w:pPr>
    </w:p>
    <w:p w14:paraId="5DA2BC08" w14:textId="7EA42683" w:rsidR="00C510D7" w:rsidRDefault="00F515EB" w:rsidP="00F515EB">
      <w:pPr>
        <w:rPr>
          <w:rFonts w:ascii="Arial Black" w:hAnsi="Arial Black"/>
          <w:b/>
          <w:sz w:val="24"/>
          <w:szCs w:val="24"/>
        </w:rPr>
      </w:pPr>
      <w:r>
        <w:rPr>
          <w:rFonts w:ascii="Arial Black" w:hAnsi="Arial Black"/>
          <w:b/>
          <w:sz w:val="24"/>
          <w:szCs w:val="24"/>
        </w:rPr>
        <w:t>11-5</w:t>
      </w:r>
      <w:r w:rsidR="00DE6B12">
        <w:rPr>
          <w:rFonts w:ascii="Arial Black" w:hAnsi="Arial Black"/>
          <w:b/>
          <w:sz w:val="24"/>
          <w:szCs w:val="24"/>
        </w:rPr>
        <w:t>6</w:t>
      </w:r>
    </w:p>
    <w:p w14:paraId="7893EA32" w14:textId="77777777" w:rsidR="00F515EB" w:rsidRPr="006E68AF" w:rsidRDefault="00F515EB" w:rsidP="00F515EB">
      <w:pPr>
        <w:pStyle w:val="NoSpacing"/>
        <w:rPr>
          <w:rFonts w:ascii="Arial Black" w:hAnsi="Arial Black"/>
          <w:bCs/>
          <w:sz w:val="28"/>
          <w:szCs w:val="28"/>
        </w:rPr>
      </w:pPr>
      <w:r w:rsidRPr="006E68AF">
        <w:rPr>
          <w:rFonts w:ascii="Arial Black" w:hAnsi="Arial Black"/>
          <w:sz w:val="28"/>
          <w:szCs w:val="28"/>
        </w:rPr>
        <w:t>MA: SETTLED – D</w:t>
      </w:r>
      <w:r>
        <w:rPr>
          <w:rFonts w:ascii="Arial Black" w:hAnsi="Arial Black"/>
          <w:sz w:val="28"/>
          <w:szCs w:val="28"/>
        </w:rPr>
        <w:t>ROP CLAIM DCs NON-EXEMPT</w:t>
      </w:r>
    </w:p>
    <w:p w14:paraId="5D8C6DDC" w14:textId="77777777" w:rsidR="00F515EB" w:rsidRPr="006E68AF" w:rsidRDefault="00F515EB" w:rsidP="00F515EB">
      <w:pPr>
        <w:pStyle w:val="NoSpacing"/>
        <w:rPr>
          <w:b/>
        </w:rPr>
      </w:pPr>
    </w:p>
    <w:p w14:paraId="385EED72" w14:textId="77777777" w:rsidR="00627EB5" w:rsidRPr="00627EB5" w:rsidRDefault="00627EB5" w:rsidP="00627EB5">
      <w:pPr>
        <w:pStyle w:val="NoSpacing"/>
        <w:rPr>
          <w:rStyle w:val="Hyperlink"/>
          <w:rFonts w:ascii="Times New Roman" w:hAnsi="Times New Roman"/>
          <w:bCs/>
          <w:sz w:val="24"/>
          <w:szCs w:val="24"/>
        </w:rPr>
      </w:pPr>
      <w:r w:rsidRPr="00627EB5">
        <w:rPr>
          <w:rFonts w:ascii="Times New Roman" w:hAnsi="Times New Roman"/>
          <w:sz w:val="24"/>
          <w:szCs w:val="24"/>
        </w:rPr>
        <w:t xml:space="preserve">On Nov. 18, 2024, in </w:t>
      </w:r>
      <w:r w:rsidRPr="00627EB5">
        <w:rPr>
          <w:rFonts w:ascii="Times New Roman" w:hAnsi="Times New Roman"/>
          <w:sz w:val="24"/>
          <w:szCs w:val="24"/>
          <w:u w:val="single"/>
        </w:rPr>
        <w:t>Brian Bergeron, et al. v. Town of Brookline and Brookline Fire Department</w:t>
      </w:r>
      <w:r w:rsidRPr="00627EB5">
        <w:rPr>
          <w:rFonts w:ascii="Times New Roman" w:hAnsi="Times New Roman"/>
          <w:sz w:val="24"/>
          <w:szCs w:val="24"/>
        </w:rPr>
        <w:t xml:space="preserve">, Unites States District Court for the District of Massachusetts, the </w:t>
      </w:r>
      <w:proofErr w:type="gramStart"/>
      <w:r w:rsidRPr="00627EB5">
        <w:rPr>
          <w:rFonts w:ascii="Times New Roman" w:hAnsi="Times New Roman"/>
          <w:sz w:val="24"/>
          <w:szCs w:val="24"/>
        </w:rPr>
        <w:t>City</w:t>
      </w:r>
      <w:proofErr w:type="gramEnd"/>
      <w:r w:rsidRPr="00627EB5">
        <w:rPr>
          <w:rFonts w:ascii="Times New Roman" w:hAnsi="Times New Roman"/>
          <w:sz w:val="24"/>
          <w:szCs w:val="24"/>
        </w:rPr>
        <w:t xml:space="preserve"> filed settlement agreement.  The lawsuit was filed December 1, </w:t>
      </w:r>
      <w:proofErr w:type="gramStart"/>
      <w:r w:rsidRPr="00627EB5">
        <w:rPr>
          <w:rFonts w:ascii="Times New Roman" w:hAnsi="Times New Roman"/>
          <w:sz w:val="24"/>
          <w:szCs w:val="24"/>
        </w:rPr>
        <w:t>2023</w:t>
      </w:r>
      <w:proofErr w:type="gramEnd"/>
      <w:r w:rsidRPr="00627EB5">
        <w:rPr>
          <w:rFonts w:ascii="Times New Roman" w:hAnsi="Times New Roman"/>
          <w:sz w:val="24"/>
          <w:szCs w:val="24"/>
        </w:rPr>
        <w:t xml:space="preserve"> by two Lieutenants on behalf of a class of 119 current and former firefighters and officers. The original complaint included a claim that Deputy Chiefs were improperly classified as exempt.  That claim was dropped in the settlement. </w:t>
      </w:r>
      <w:hyperlink r:id="rId1756" w:history="1">
        <w:r w:rsidRPr="00627EB5">
          <w:rPr>
            <w:rStyle w:val="Hyperlink"/>
            <w:rFonts w:ascii="Times New Roman" w:hAnsi="Times New Roman"/>
            <w:sz w:val="24"/>
            <w:szCs w:val="24"/>
          </w:rPr>
          <w:t>https://brookline.news/wp-content/uploads/2024/12/jointsettlementfiling.pdf</w:t>
        </w:r>
      </w:hyperlink>
    </w:p>
    <w:p w14:paraId="14B33F10" w14:textId="77777777" w:rsidR="00627EB5" w:rsidRDefault="00627EB5" w:rsidP="00F515EB">
      <w:pPr>
        <w:pStyle w:val="NoSpacing"/>
        <w:rPr>
          <w:rFonts w:ascii="Times New Roman" w:hAnsi="Times New Roman"/>
          <w:sz w:val="24"/>
          <w:szCs w:val="24"/>
        </w:rPr>
      </w:pPr>
    </w:p>
    <w:p w14:paraId="46F378C0" w14:textId="77777777" w:rsidR="00627EB5" w:rsidRDefault="00627EB5" w:rsidP="00F515EB">
      <w:pPr>
        <w:pStyle w:val="NoSpacing"/>
        <w:rPr>
          <w:rFonts w:ascii="Times New Roman" w:hAnsi="Times New Roman"/>
          <w:sz w:val="24"/>
          <w:szCs w:val="24"/>
        </w:rPr>
      </w:pPr>
    </w:p>
    <w:p w14:paraId="6F5F67C3" w14:textId="3B870C66" w:rsidR="00F515EB" w:rsidRPr="007C7655" w:rsidRDefault="00F515EB" w:rsidP="00F515EB">
      <w:pPr>
        <w:pStyle w:val="NoSpacing"/>
        <w:rPr>
          <w:rFonts w:ascii="Times New Roman" w:hAnsi="Times New Roman"/>
          <w:bCs/>
          <w:sz w:val="24"/>
          <w:szCs w:val="24"/>
        </w:rPr>
      </w:pPr>
      <w:r w:rsidRPr="007C7655">
        <w:rPr>
          <w:rFonts w:ascii="Times New Roman" w:hAnsi="Times New Roman"/>
          <w:sz w:val="24"/>
          <w:szCs w:val="24"/>
        </w:rPr>
        <w:t xml:space="preserve">The Settlement includes following. </w:t>
      </w:r>
    </w:p>
    <w:p w14:paraId="3A1C91AF" w14:textId="77777777" w:rsidR="00F515EB" w:rsidRPr="007C7655" w:rsidRDefault="00F515EB" w:rsidP="00F515EB">
      <w:pPr>
        <w:pStyle w:val="NoSpacing"/>
        <w:rPr>
          <w:rFonts w:ascii="Times New Roman" w:hAnsi="Times New Roman"/>
          <w:bCs/>
          <w:sz w:val="24"/>
          <w:szCs w:val="24"/>
        </w:rPr>
      </w:pPr>
    </w:p>
    <w:p w14:paraId="750DCB80" w14:textId="1327D8E8" w:rsidR="00F515EB" w:rsidRPr="007C7655" w:rsidRDefault="00627EB5" w:rsidP="00F515EB">
      <w:pPr>
        <w:ind w:left="720"/>
        <w:rPr>
          <w:rFonts w:ascii="Times New Roman" w:hAnsi="Times New Roman"/>
          <w:bCs/>
          <w:sz w:val="24"/>
          <w:szCs w:val="24"/>
        </w:rPr>
      </w:pPr>
      <w:r>
        <w:rPr>
          <w:rFonts w:ascii="Times New Roman" w:hAnsi="Times New Roman"/>
          <w:sz w:val="24"/>
          <w:szCs w:val="24"/>
        </w:rPr>
        <w:t>“</w:t>
      </w:r>
      <w:r w:rsidR="00F515EB" w:rsidRPr="007C7655">
        <w:rPr>
          <w:rFonts w:ascii="Times New Roman" w:hAnsi="Times New Roman"/>
          <w:sz w:val="24"/>
          <w:szCs w:val="24"/>
        </w:rPr>
        <w:t>The Town will pay the Plaintiffs the amount of $101,604.22 to resolve all claims as allocated in an attachment to the Settlement Agreement. *** By April 2024, the parties had reached an agreement in principle with the following elements:</w:t>
      </w:r>
    </w:p>
    <w:p w14:paraId="2D44E10A" w14:textId="77777777" w:rsidR="00F515EB" w:rsidRPr="007C7655" w:rsidRDefault="00F515EB" w:rsidP="00F515EB">
      <w:pPr>
        <w:ind w:left="720"/>
        <w:rPr>
          <w:rFonts w:ascii="Times New Roman" w:hAnsi="Times New Roman"/>
          <w:bCs/>
          <w:sz w:val="24"/>
          <w:szCs w:val="24"/>
        </w:rPr>
      </w:pPr>
      <w:r w:rsidRPr="007C7655">
        <w:rPr>
          <w:rFonts w:ascii="Times New Roman" w:hAnsi="Times New Roman"/>
          <w:sz w:val="24"/>
          <w:szCs w:val="24"/>
        </w:rPr>
        <w:t xml:space="preserve">(a) The Town would include the ASHER [Active Shooter / Hostile Event </w:t>
      </w:r>
      <w:proofErr w:type="gramStart"/>
      <w:r w:rsidRPr="007C7655">
        <w:rPr>
          <w:rFonts w:ascii="Times New Roman" w:hAnsi="Times New Roman"/>
          <w:sz w:val="24"/>
          <w:szCs w:val="24"/>
        </w:rPr>
        <w:t>Response]]</w:t>
      </w:r>
      <w:proofErr w:type="gramEnd"/>
      <w:r w:rsidRPr="007C7655">
        <w:rPr>
          <w:rFonts w:ascii="Times New Roman" w:hAnsi="Times New Roman"/>
          <w:sz w:val="24"/>
          <w:szCs w:val="24"/>
        </w:rPr>
        <w:t xml:space="preserve"> stipend in the FLSA regular rate;</w:t>
      </w:r>
    </w:p>
    <w:p w14:paraId="467A1A11" w14:textId="77777777" w:rsidR="00F515EB" w:rsidRPr="007C7655" w:rsidRDefault="00F515EB" w:rsidP="00F515EB">
      <w:pPr>
        <w:ind w:left="720"/>
        <w:rPr>
          <w:rFonts w:ascii="Times New Roman" w:hAnsi="Times New Roman"/>
          <w:bCs/>
          <w:sz w:val="24"/>
          <w:szCs w:val="24"/>
        </w:rPr>
      </w:pPr>
      <w:r w:rsidRPr="007C7655">
        <w:rPr>
          <w:rFonts w:ascii="Times New Roman" w:hAnsi="Times New Roman"/>
          <w:sz w:val="24"/>
          <w:szCs w:val="24"/>
        </w:rPr>
        <w:t>(b) The Town would count each shift as 24 hours instead of 21 hours as FLSA hours worked;</w:t>
      </w:r>
    </w:p>
    <w:p w14:paraId="5546EB6C" w14:textId="77777777" w:rsidR="00F515EB" w:rsidRPr="007C7655" w:rsidRDefault="00F515EB" w:rsidP="00F515EB">
      <w:pPr>
        <w:ind w:firstLine="720"/>
        <w:rPr>
          <w:rFonts w:ascii="Times New Roman" w:hAnsi="Times New Roman"/>
          <w:bCs/>
          <w:sz w:val="24"/>
          <w:szCs w:val="24"/>
        </w:rPr>
      </w:pPr>
      <w:r w:rsidRPr="007C7655">
        <w:rPr>
          <w:rFonts w:ascii="Times New Roman" w:hAnsi="Times New Roman"/>
          <w:sz w:val="24"/>
          <w:szCs w:val="24"/>
        </w:rPr>
        <w:t>(c) The Town would properly count the hours of employees who swap shifts;</w:t>
      </w:r>
    </w:p>
    <w:p w14:paraId="1CC261A2" w14:textId="77777777" w:rsidR="00F515EB" w:rsidRPr="007C7655" w:rsidRDefault="00F515EB" w:rsidP="00F515EB">
      <w:pPr>
        <w:ind w:firstLine="720"/>
        <w:rPr>
          <w:rFonts w:ascii="Times New Roman" w:hAnsi="Times New Roman"/>
          <w:bCs/>
          <w:sz w:val="24"/>
          <w:szCs w:val="24"/>
        </w:rPr>
      </w:pPr>
      <w:r w:rsidRPr="007C7655">
        <w:rPr>
          <w:rFonts w:ascii="Times New Roman" w:hAnsi="Times New Roman"/>
          <w:sz w:val="24"/>
          <w:szCs w:val="24"/>
        </w:rPr>
        <w:t>(d) The Town would include all types of overtime as FLSA hours worked;</w:t>
      </w:r>
    </w:p>
    <w:p w14:paraId="68283DB2" w14:textId="77777777" w:rsidR="00F515EB" w:rsidRPr="007C7655" w:rsidRDefault="00F515EB" w:rsidP="00F515EB">
      <w:pPr>
        <w:ind w:firstLine="720"/>
        <w:rPr>
          <w:rFonts w:ascii="Times New Roman" w:hAnsi="Times New Roman"/>
          <w:bCs/>
          <w:sz w:val="24"/>
          <w:szCs w:val="24"/>
        </w:rPr>
      </w:pPr>
      <w:r w:rsidRPr="007C7655">
        <w:rPr>
          <w:rFonts w:ascii="Times New Roman" w:hAnsi="Times New Roman"/>
          <w:sz w:val="24"/>
          <w:szCs w:val="24"/>
        </w:rPr>
        <w:t xml:space="preserve">(e) The Town would include ‘out of </w:t>
      </w:r>
      <w:proofErr w:type="spellStart"/>
      <w:r w:rsidRPr="007C7655">
        <w:rPr>
          <w:rFonts w:ascii="Times New Roman" w:hAnsi="Times New Roman"/>
          <w:sz w:val="24"/>
          <w:szCs w:val="24"/>
        </w:rPr>
        <w:t>class’</w:t>
      </w:r>
      <w:proofErr w:type="spellEnd"/>
      <w:r w:rsidRPr="007C7655">
        <w:rPr>
          <w:rFonts w:ascii="Times New Roman" w:hAnsi="Times New Roman"/>
          <w:sz w:val="24"/>
          <w:szCs w:val="24"/>
        </w:rPr>
        <w:t xml:space="preserve"> hours as FLSA hours worked;</w:t>
      </w:r>
    </w:p>
    <w:p w14:paraId="6AD3B831" w14:textId="77777777" w:rsidR="00F515EB" w:rsidRPr="007C7655" w:rsidRDefault="00F515EB" w:rsidP="00F515EB">
      <w:pPr>
        <w:ind w:left="720"/>
        <w:rPr>
          <w:rFonts w:ascii="Times New Roman" w:hAnsi="Times New Roman"/>
          <w:bCs/>
          <w:sz w:val="24"/>
          <w:szCs w:val="24"/>
        </w:rPr>
      </w:pPr>
      <w:r w:rsidRPr="007C7655">
        <w:rPr>
          <w:rFonts w:ascii="Times New Roman" w:hAnsi="Times New Roman"/>
          <w:sz w:val="24"/>
          <w:szCs w:val="24"/>
        </w:rPr>
        <w:t>(f) The Town would count the hours for all days worked, including those days they failed to previously certify;</w:t>
      </w:r>
    </w:p>
    <w:p w14:paraId="574E2A88" w14:textId="77777777" w:rsidR="00F515EB" w:rsidRPr="007C7655" w:rsidRDefault="00F515EB" w:rsidP="00F515EB">
      <w:pPr>
        <w:ind w:left="720"/>
        <w:rPr>
          <w:rFonts w:ascii="Times New Roman" w:hAnsi="Times New Roman"/>
          <w:bCs/>
          <w:sz w:val="24"/>
          <w:szCs w:val="24"/>
        </w:rPr>
      </w:pPr>
      <w:r w:rsidRPr="007C7655">
        <w:rPr>
          <w:rFonts w:ascii="Times New Roman" w:hAnsi="Times New Roman"/>
          <w:sz w:val="24"/>
          <w:szCs w:val="24"/>
        </w:rPr>
        <w:t xml:space="preserve">(g) The Town would not count deputy fire chiefs as FLSA non-exempt </w:t>
      </w:r>
      <w:proofErr w:type="gramStart"/>
      <w:r w:rsidRPr="007C7655">
        <w:rPr>
          <w:rFonts w:ascii="Times New Roman" w:hAnsi="Times New Roman"/>
          <w:sz w:val="24"/>
          <w:szCs w:val="24"/>
        </w:rPr>
        <w:t>employees</w:t>
      </w:r>
      <w:proofErr w:type="gramEnd"/>
      <w:r w:rsidRPr="007C7655">
        <w:rPr>
          <w:rFonts w:ascii="Times New Roman" w:hAnsi="Times New Roman"/>
          <w:sz w:val="24"/>
          <w:szCs w:val="24"/>
        </w:rPr>
        <w:t xml:space="preserve"> but they would count all fire lieutenants and fire captains as FLSA non-exempt employees;</w:t>
      </w:r>
    </w:p>
    <w:p w14:paraId="6CC291A0" w14:textId="77777777" w:rsidR="00F515EB" w:rsidRPr="007C7655" w:rsidRDefault="00F515EB" w:rsidP="00F515EB">
      <w:pPr>
        <w:ind w:firstLine="720"/>
        <w:rPr>
          <w:rFonts w:ascii="Times New Roman" w:hAnsi="Times New Roman"/>
          <w:bCs/>
          <w:sz w:val="24"/>
          <w:szCs w:val="24"/>
        </w:rPr>
      </w:pPr>
      <w:r w:rsidRPr="007C7655">
        <w:rPr>
          <w:rFonts w:ascii="Times New Roman" w:hAnsi="Times New Roman"/>
          <w:sz w:val="24"/>
          <w:szCs w:val="24"/>
        </w:rPr>
        <w:t>(h) The Plaintiffs would waive liquidated/double damages;</w:t>
      </w:r>
    </w:p>
    <w:p w14:paraId="7F598861" w14:textId="2945F44E" w:rsidR="00F515EB" w:rsidRPr="007C7655" w:rsidRDefault="00F515EB" w:rsidP="00F515EB">
      <w:pPr>
        <w:ind w:firstLine="720"/>
        <w:rPr>
          <w:rFonts w:ascii="Times New Roman" w:hAnsi="Times New Roman"/>
          <w:bCs/>
          <w:sz w:val="24"/>
          <w:szCs w:val="24"/>
        </w:rPr>
      </w:pPr>
      <w:r w:rsidRPr="007C7655">
        <w:rPr>
          <w:rFonts w:ascii="Times New Roman" w:hAnsi="Times New Roman"/>
          <w:sz w:val="24"/>
          <w:szCs w:val="24"/>
        </w:rPr>
        <w:t>(</w:t>
      </w:r>
      <w:proofErr w:type="spellStart"/>
      <w:r w:rsidRPr="007C7655">
        <w:rPr>
          <w:rFonts w:ascii="Times New Roman" w:hAnsi="Times New Roman"/>
          <w:sz w:val="24"/>
          <w:szCs w:val="24"/>
        </w:rPr>
        <w:t>i</w:t>
      </w:r>
      <w:proofErr w:type="spellEnd"/>
      <w:r w:rsidRPr="007C7655">
        <w:rPr>
          <w:rFonts w:ascii="Times New Roman" w:hAnsi="Times New Roman"/>
          <w:sz w:val="24"/>
          <w:szCs w:val="24"/>
        </w:rPr>
        <w:t>) The Plaintiffs would waive attorney’s fees.</w:t>
      </w:r>
      <w:r w:rsidR="00627EB5">
        <w:rPr>
          <w:rFonts w:ascii="Times New Roman" w:hAnsi="Times New Roman"/>
          <w:sz w:val="24"/>
          <w:szCs w:val="24"/>
        </w:rPr>
        <w:t>”</w:t>
      </w:r>
      <w:r w:rsidRPr="007C7655">
        <w:rPr>
          <w:rFonts w:ascii="Times New Roman" w:hAnsi="Times New Roman"/>
          <w:sz w:val="24"/>
          <w:szCs w:val="24"/>
        </w:rPr>
        <w:t xml:space="preserve">  </w:t>
      </w:r>
    </w:p>
    <w:p w14:paraId="28D1E8C0" w14:textId="1B510E58" w:rsidR="00F515EB" w:rsidRPr="007C7655" w:rsidRDefault="00F515EB" w:rsidP="00F515EB">
      <w:pPr>
        <w:pStyle w:val="NoSpacing"/>
        <w:rPr>
          <w:rFonts w:ascii="Times New Roman" w:hAnsi="Times New Roman"/>
          <w:bCs/>
          <w:sz w:val="24"/>
          <w:szCs w:val="24"/>
        </w:rPr>
      </w:pPr>
      <w:r w:rsidRPr="007C7655">
        <w:rPr>
          <w:rFonts w:ascii="Times New Roman" w:hAnsi="Times New Roman"/>
          <w:sz w:val="24"/>
          <w:szCs w:val="24"/>
        </w:rPr>
        <w:t xml:space="preserve"> </w:t>
      </w:r>
    </w:p>
    <w:p w14:paraId="17DADCCD" w14:textId="77777777" w:rsidR="00F515EB" w:rsidRPr="007C7655" w:rsidRDefault="00F515EB" w:rsidP="00F515EB">
      <w:pPr>
        <w:pStyle w:val="NoSpacing"/>
        <w:rPr>
          <w:rFonts w:ascii="Times New Roman" w:hAnsi="Times New Roman"/>
          <w:bCs/>
          <w:sz w:val="24"/>
          <w:szCs w:val="24"/>
        </w:rPr>
      </w:pPr>
    </w:p>
    <w:p w14:paraId="42557027" w14:textId="77777777" w:rsidR="00F515EB" w:rsidRPr="007C7655" w:rsidRDefault="00F515EB" w:rsidP="00F515EB">
      <w:pPr>
        <w:pStyle w:val="NoSpacing"/>
        <w:rPr>
          <w:rFonts w:ascii="Times New Roman" w:hAnsi="Times New Roman"/>
          <w:b/>
          <w:sz w:val="24"/>
          <w:szCs w:val="24"/>
        </w:rPr>
      </w:pPr>
      <w:r w:rsidRPr="007C7655">
        <w:rPr>
          <w:rFonts w:ascii="Times New Roman" w:hAnsi="Times New Roman"/>
          <w:b/>
          <w:sz w:val="24"/>
          <w:szCs w:val="24"/>
        </w:rPr>
        <w:t xml:space="preserve">Legal Lesson Learned: Lieutenants and Captains are non-exempt.  For higher ranks, FDs should consult with knowledgeable legal counsel and read opinion letters from the U.S. Department of Labor, Wage &amp; Hour Division.  </w:t>
      </w:r>
    </w:p>
    <w:p w14:paraId="62BC4D2D" w14:textId="77777777" w:rsidR="00F515EB" w:rsidRPr="007C7655" w:rsidRDefault="00F515EB" w:rsidP="00F515EB">
      <w:pPr>
        <w:pStyle w:val="p0"/>
        <w:ind w:firstLine="0"/>
        <w:rPr>
          <w:rFonts w:ascii="Times New Roman" w:hAnsi="Times New Roman" w:cs="Times New Roman"/>
          <w:sz w:val="24"/>
          <w:szCs w:val="24"/>
        </w:rPr>
      </w:pPr>
    </w:p>
    <w:p w14:paraId="6CE99C59" w14:textId="77777777" w:rsidR="00F515EB" w:rsidRPr="007C7655" w:rsidRDefault="00F515EB" w:rsidP="00F515EB">
      <w:pPr>
        <w:pStyle w:val="p0"/>
        <w:ind w:left="720" w:firstLine="0"/>
        <w:rPr>
          <w:rFonts w:ascii="Times New Roman" w:hAnsi="Times New Roman" w:cs="Times New Roman"/>
          <w:sz w:val="24"/>
          <w:szCs w:val="24"/>
        </w:rPr>
      </w:pPr>
      <w:r w:rsidRPr="007C7655">
        <w:rPr>
          <w:rFonts w:ascii="Times New Roman" w:hAnsi="Times New Roman" w:cs="Times New Roman"/>
          <w:sz w:val="24"/>
          <w:szCs w:val="24"/>
        </w:rPr>
        <w:t xml:space="preserve">Note: See Nov. 24, </w:t>
      </w:r>
      <w:proofErr w:type="gramStart"/>
      <w:r w:rsidRPr="007C7655">
        <w:rPr>
          <w:rFonts w:ascii="Times New Roman" w:hAnsi="Times New Roman" w:cs="Times New Roman"/>
          <w:sz w:val="24"/>
          <w:szCs w:val="24"/>
        </w:rPr>
        <w:t>2024</w:t>
      </w:r>
      <w:proofErr w:type="gramEnd"/>
      <w:r w:rsidRPr="007C7655">
        <w:rPr>
          <w:rFonts w:ascii="Times New Roman" w:hAnsi="Times New Roman" w:cs="Times New Roman"/>
          <w:sz w:val="24"/>
          <w:szCs w:val="24"/>
        </w:rPr>
        <w:t xml:space="preserve"> article, “Settlement Proposed for MA Firefighters Following 2023 FLSA Lawsuit.” </w:t>
      </w:r>
      <w:hyperlink r:id="rId1757" w:history="1">
        <w:r w:rsidRPr="007C7655">
          <w:rPr>
            <w:rStyle w:val="Hyperlink"/>
            <w:rFonts w:ascii="Times New Roman" w:hAnsi="Times New Roman" w:cs="Times New Roman"/>
            <w:sz w:val="24"/>
            <w:szCs w:val="24"/>
          </w:rPr>
          <w:t>https://www.firefighterovertime.org/2024/11/24/settlement-proposed-for-ma-firefighters-following-2023-flsa-lawsuit/</w:t>
        </w:r>
      </w:hyperlink>
      <w:r w:rsidRPr="007C7655">
        <w:rPr>
          <w:rFonts w:ascii="Times New Roman" w:hAnsi="Times New Roman" w:cs="Times New Roman"/>
          <w:sz w:val="24"/>
          <w:szCs w:val="24"/>
        </w:rPr>
        <w:t xml:space="preserve"> </w:t>
      </w:r>
    </w:p>
    <w:p w14:paraId="5FB25DC6" w14:textId="77777777" w:rsidR="00DE6B12" w:rsidRDefault="00DE6B12" w:rsidP="00F326E5">
      <w:pPr>
        <w:rPr>
          <w:rFonts w:ascii="Arial Black" w:hAnsi="Arial Black"/>
          <w:b/>
          <w:sz w:val="24"/>
          <w:szCs w:val="24"/>
        </w:rPr>
      </w:pPr>
    </w:p>
    <w:p w14:paraId="5BA23339" w14:textId="24BC1D07" w:rsidR="00F515EB" w:rsidRDefault="00DE6B12" w:rsidP="00F326E5">
      <w:pPr>
        <w:rPr>
          <w:rFonts w:ascii="Arial Black" w:hAnsi="Arial Black"/>
          <w:b/>
          <w:sz w:val="24"/>
          <w:szCs w:val="24"/>
        </w:rPr>
      </w:pPr>
      <w:r>
        <w:rPr>
          <w:rFonts w:ascii="Arial Black" w:hAnsi="Arial Black"/>
          <w:b/>
          <w:sz w:val="24"/>
          <w:szCs w:val="24"/>
        </w:rPr>
        <w:t>11-55</w:t>
      </w:r>
    </w:p>
    <w:p w14:paraId="41A193C7" w14:textId="77777777" w:rsidR="00AA4BA6" w:rsidRPr="00C841D2" w:rsidRDefault="00AA4BA6" w:rsidP="00AA4BA6">
      <w:pPr>
        <w:spacing w:before="100" w:beforeAutospacing="1" w:after="100" w:afterAutospacing="1" w:line="240" w:lineRule="auto"/>
        <w:rPr>
          <w:rFonts w:ascii="Arial Black" w:hAnsi="Arial Black"/>
          <w:sz w:val="28"/>
          <w:szCs w:val="28"/>
        </w:rPr>
      </w:pPr>
      <w:r>
        <w:rPr>
          <w:rFonts w:ascii="Arial Black" w:hAnsi="Arial Black"/>
          <w:sz w:val="28"/>
          <w:szCs w:val="28"/>
        </w:rPr>
        <w:t>FL: SHERIFF PILOT RESIGNED – FEMALE MGR ANTI-MILITARY – JURY “WILLFUL” VIOL., COURT MUST FOLLOW</w:t>
      </w:r>
    </w:p>
    <w:p w14:paraId="4D8F103F" w14:textId="77777777" w:rsidR="00AA4BA6" w:rsidRDefault="00AA4BA6" w:rsidP="00AA4BA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22, 2024, in </w:t>
      </w:r>
      <w:r w:rsidRPr="00E63245">
        <w:rPr>
          <w:rFonts w:ascii="Times New Roman" w:hAnsi="Times New Roman"/>
          <w:sz w:val="24"/>
          <w:szCs w:val="24"/>
          <w:u w:val="single"/>
        </w:rPr>
        <w:t>Scott Thomas v. Broward County Sheriff’s Office</w:t>
      </w:r>
      <w:r>
        <w:rPr>
          <w:rFonts w:ascii="Times New Roman" w:hAnsi="Times New Roman"/>
          <w:sz w:val="24"/>
          <w:szCs w:val="24"/>
        </w:rPr>
        <w:t>, the U.S. Court of Appeals for 11</w:t>
      </w:r>
      <w:r w:rsidRPr="00E63245">
        <w:rPr>
          <w:rFonts w:ascii="Times New Roman" w:hAnsi="Times New Roman"/>
          <w:sz w:val="24"/>
          <w:szCs w:val="24"/>
          <w:vertAlign w:val="superscript"/>
        </w:rPr>
        <w:t>th</w:t>
      </w:r>
      <w:r>
        <w:rPr>
          <w:rFonts w:ascii="Times New Roman" w:hAnsi="Times New Roman"/>
          <w:sz w:val="24"/>
          <w:szCs w:val="24"/>
        </w:rPr>
        <w:t xml:space="preserve"> Circuit (Atlanta) held (3 to 0) that under </w:t>
      </w:r>
      <w:r w:rsidRPr="006531DA">
        <w:rPr>
          <w:rFonts w:ascii="Times New Roman" w:hAnsi="Times New Roman"/>
          <w:sz w:val="24"/>
          <w:szCs w:val="24"/>
        </w:rPr>
        <w:t>the Uniformed</w:t>
      </w:r>
      <w:r>
        <w:rPr>
          <w:rFonts w:ascii="Times New Roman" w:hAnsi="Times New Roman"/>
          <w:sz w:val="24"/>
          <w:szCs w:val="24"/>
        </w:rPr>
        <w:t xml:space="preserve"> </w:t>
      </w:r>
      <w:r w:rsidRPr="006531DA">
        <w:rPr>
          <w:rFonts w:ascii="Times New Roman" w:hAnsi="Times New Roman"/>
          <w:sz w:val="24"/>
          <w:szCs w:val="24"/>
        </w:rPr>
        <w:t>Services Employment and Reemployment Rights Act</w:t>
      </w:r>
      <w:r>
        <w:rPr>
          <w:rFonts w:ascii="Times New Roman" w:hAnsi="Times New Roman"/>
          <w:sz w:val="24"/>
          <w:szCs w:val="24"/>
        </w:rPr>
        <w:t xml:space="preserve">, a federal District Court judge can double the lost wages verdict for “willful” violations of the Act, and when as in this case the parties agree to submit that decision to a jury, the District Court judge cannot set aside the jury’s finding of “willful” as merely advisory. Pilot awarded $240,000, which is then doubled, for willful violation. </w:t>
      </w:r>
    </w:p>
    <w:p w14:paraId="046F27EB" w14:textId="77777777" w:rsidR="00AA4BA6" w:rsidRDefault="00AA4BA6" w:rsidP="00AA4BA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The 11</w:t>
      </w:r>
      <w:r w:rsidRPr="00E63245">
        <w:rPr>
          <w:rFonts w:ascii="Times New Roman" w:hAnsi="Times New Roman"/>
          <w:sz w:val="24"/>
          <w:szCs w:val="24"/>
          <w:vertAlign w:val="superscript"/>
        </w:rPr>
        <w:t>th</w:t>
      </w:r>
      <w:r>
        <w:rPr>
          <w:rFonts w:ascii="Times New Roman" w:hAnsi="Times New Roman"/>
          <w:sz w:val="24"/>
          <w:szCs w:val="24"/>
        </w:rPr>
        <w:t xml:space="preserve"> Circuit held: “</w:t>
      </w:r>
      <w:r w:rsidRPr="00C841D2">
        <w:rPr>
          <w:rFonts w:ascii="Times New Roman" w:hAnsi="Times New Roman"/>
          <w:sz w:val="24"/>
          <w:szCs w:val="24"/>
        </w:rPr>
        <w:t>The jury determined that the sheriff’s office’s violation of the Act was willful. Thomas argues that this finding bound the district court because the parties consented to a jury</w:t>
      </w:r>
      <w:r>
        <w:rPr>
          <w:rFonts w:ascii="Times New Roman" w:hAnsi="Times New Roman"/>
          <w:sz w:val="24"/>
          <w:szCs w:val="24"/>
        </w:rPr>
        <w:t xml:space="preserve"> </w:t>
      </w:r>
      <w:r w:rsidRPr="00C841D2">
        <w:rPr>
          <w:rFonts w:ascii="Times New Roman" w:hAnsi="Times New Roman"/>
          <w:sz w:val="24"/>
          <w:szCs w:val="24"/>
        </w:rPr>
        <w:t>trial on the issue of willfulness. Alternatively, he argues that the</w:t>
      </w:r>
      <w:r>
        <w:rPr>
          <w:rFonts w:ascii="Times New Roman" w:hAnsi="Times New Roman"/>
          <w:sz w:val="24"/>
          <w:szCs w:val="24"/>
        </w:rPr>
        <w:t xml:space="preserve"> </w:t>
      </w:r>
      <w:r w:rsidRPr="00C841D2">
        <w:rPr>
          <w:rFonts w:ascii="Times New Roman" w:hAnsi="Times New Roman"/>
          <w:sz w:val="24"/>
          <w:szCs w:val="24"/>
        </w:rPr>
        <w:t>jury’s determination was conclusive because the statute itself gave</w:t>
      </w:r>
      <w:r>
        <w:rPr>
          <w:rFonts w:ascii="Times New Roman" w:hAnsi="Times New Roman"/>
          <w:sz w:val="24"/>
          <w:szCs w:val="24"/>
        </w:rPr>
        <w:t xml:space="preserve"> </w:t>
      </w:r>
      <w:r w:rsidRPr="00C841D2">
        <w:rPr>
          <w:rFonts w:ascii="Times New Roman" w:hAnsi="Times New Roman"/>
          <w:sz w:val="24"/>
          <w:szCs w:val="24"/>
        </w:rPr>
        <w:t>him the right to have the jury decide the issue. We need not reach</w:t>
      </w:r>
      <w:r>
        <w:rPr>
          <w:rFonts w:ascii="Times New Roman" w:hAnsi="Times New Roman"/>
          <w:sz w:val="24"/>
          <w:szCs w:val="24"/>
        </w:rPr>
        <w:t xml:space="preserve"> </w:t>
      </w:r>
      <w:r w:rsidRPr="00C841D2">
        <w:rPr>
          <w:rFonts w:ascii="Times New Roman" w:hAnsi="Times New Roman"/>
          <w:sz w:val="24"/>
          <w:szCs w:val="24"/>
        </w:rPr>
        <w:t>his second argument because his first argument is correct</w:t>
      </w:r>
      <w:r>
        <w:rPr>
          <w:rFonts w:ascii="Times New Roman" w:hAnsi="Times New Roman"/>
          <w:sz w:val="24"/>
          <w:szCs w:val="24"/>
        </w:rPr>
        <w:t>.”</w:t>
      </w:r>
      <w:r w:rsidRPr="00E63245">
        <w:t xml:space="preserve"> </w:t>
      </w:r>
      <w:hyperlink r:id="rId1758" w:history="1">
        <w:r w:rsidRPr="00AA56D8">
          <w:rPr>
            <w:rStyle w:val="Hyperlink"/>
            <w:sz w:val="24"/>
            <w:szCs w:val="24"/>
          </w:rPr>
          <w:t>https://media.ca11.uscourts.gov/opinions/pub/files/202211322.pdf</w:t>
        </w:r>
      </w:hyperlink>
      <w:r>
        <w:rPr>
          <w:rFonts w:ascii="Times New Roman" w:hAnsi="Times New Roman"/>
          <w:sz w:val="24"/>
          <w:szCs w:val="24"/>
        </w:rPr>
        <w:t xml:space="preserve"> </w:t>
      </w:r>
    </w:p>
    <w:p w14:paraId="375B0C7B" w14:textId="77777777" w:rsidR="00AA4BA6" w:rsidRPr="00091A17" w:rsidRDefault="00AA4BA6" w:rsidP="00AA4BA6">
      <w:pPr>
        <w:spacing w:before="100" w:beforeAutospacing="1" w:after="100" w:afterAutospacing="1" w:line="240" w:lineRule="auto"/>
        <w:rPr>
          <w:rFonts w:ascii="Times New Roman" w:hAnsi="Times New Roman"/>
          <w:b/>
          <w:bCs/>
          <w:sz w:val="24"/>
          <w:szCs w:val="24"/>
        </w:rPr>
      </w:pPr>
      <w:r w:rsidRPr="00091A17">
        <w:rPr>
          <w:rFonts w:ascii="Times New Roman" w:hAnsi="Times New Roman"/>
          <w:b/>
          <w:bCs/>
          <w:sz w:val="24"/>
          <w:szCs w:val="24"/>
        </w:rPr>
        <w:t>Legal Lesson Learned: USERRA prohibits employers</w:t>
      </w:r>
      <w:r>
        <w:rPr>
          <w:rFonts w:ascii="Times New Roman" w:hAnsi="Times New Roman"/>
          <w:b/>
          <w:bCs/>
          <w:sz w:val="24"/>
          <w:szCs w:val="24"/>
        </w:rPr>
        <w:t xml:space="preserve">, including sheriffs and Fire &amp; EMS, </w:t>
      </w:r>
      <w:r w:rsidRPr="00091A17">
        <w:rPr>
          <w:rFonts w:ascii="Times New Roman" w:hAnsi="Times New Roman"/>
          <w:b/>
          <w:bCs/>
          <w:sz w:val="24"/>
          <w:szCs w:val="24"/>
        </w:rPr>
        <w:t xml:space="preserve"> from</w:t>
      </w:r>
      <w:r>
        <w:rPr>
          <w:rFonts w:ascii="Times New Roman" w:hAnsi="Times New Roman"/>
          <w:b/>
          <w:bCs/>
          <w:sz w:val="24"/>
          <w:szCs w:val="24"/>
        </w:rPr>
        <w:t xml:space="preserve"> </w:t>
      </w:r>
      <w:r w:rsidRPr="00091A17">
        <w:rPr>
          <w:rFonts w:ascii="Times New Roman" w:hAnsi="Times New Roman"/>
          <w:b/>
          <w:bCs/>
          <w:sz w:val="24"/>
          <w:szCs w:val="24"/>
        </w:rPr>
        <w:t>discriminating against past and present members of the uniformed services</w:t>
      </w:r>
      <w:r>
        <w:rPr>
          <w:rFonts w:ascii="Times New Roman" w:hAnsi="Times New Roman"/>
          <w:b/>
          <w:bCs/>
          <w:sz w:val="24"/>
          <w:szCs w:val="24"/>
        </w:rPr>
        <w:t xml:space="preserve">. </w:t>
      </w:r>
      <w:r w:rsidRPr="00091A17">
        <w:rPr>
          <w:rFonts w:ascii="Times New Roman" w:hAnsi="Times New Roman"/>
          <w:b/>
          <w:bCs/>
          <w:sz w:val="24"/>
          <w:szCs w:val="24"/>
        </w:rPr>
        <w:t xml:space="preserve"> </w:t>
      </w:r>
    </w:p>
    <w:p w14:paraId="6AF34609" w14:textId="3AFAA7AC" w:rsidR="00F515EB" w:rsidRDefault="00AA4BA6" w:rsidP="00AA4BA6">
      <w:pPr>
        <w:rPr>
          <w:rFonts w:ascii="Arial Black" w:hAnsi="Arial Black"/>
          <w:b/>
          <w:sz w:val="24"/>
          <w:szCs w:val="24"/>
        </w:rPr>
      </w:pPr>
      <w:r w:rsidRPr="00091A17">
        <w:rPr>
          <w:rFonts w:ascii="Times New Roman" w:eastAsia="Times New Roman" w:hAnsi="Times New Roman"/>
          <w:sz w:val="24"/>
          <w:szCs w:val="24"/>
        </w:rPr>
        <w:t xml:space="preserve">Note: </w:t>
      </w:r>
      <w:r>
        <w:rPr>
          <w:rFonts w:ascii="Times New Roman" w:eastAsia="Times New Roman" w:hAnsi="Times New Roman"/>
          <w:sz w:val="24"/>
          <w:szCs w:val="24"/>
        </w:rPr>
        <w:t>“</w:t>
      </w:r>
      <w:r w:rsidRPr="00091A17">
        <w:rPr>
          <w:rFonts w:ascii="Times New Roman" w:hAnsi="Times New Roman"/>
          <w:sz w:val="24"/>
          <w:szCs w:val="24"/>
        </w:rPr>
        <w:t xml:space="preserve">USERRA applies to all public and private employers in the United States, regardless of size. For example, an employer with only one employee is covered for purposes of the act. USERRA also applies to foreign employers doing business in the United States. A foreign employer that has a physical location or branch in the United States (including U.S. territories and possessions) must comply with USERRA for any of its employees who are employed in the United States. </w:t>
      </w:r>
      <w:hyperlink r:id="rId1759" w:history="1">
        <w:r w:rsidRPr="00091A17">
          <w:rPr>
            <w:rStyle w:val="Hyperlink"/>
            <w:sz w:val="24"/>
            <w:szCs w:val="24"/>
          </w:rPr>
          <w:t>https://www.militaryonesource.mil/national-guard/employment-support/uniformed-services-employment-and-reemployment-rights-act/</w:t>
        </w:r>
      </w:hyperlink>
    </w:p>
    <w:p w14:paraId="5C7AD2E1" w14:textId="77777777" w:rsidR="00F515EB" w:rsidRDefault="00F515EB" w:rsidP="00F326E5">
      <w:pPr>
        <w:rPr>
          <w:rFonts w:ascii="Arial Black" w:hAnsi="Arial Black"/>
          <w:b/>
          <w:sz w:val="24"/>
          <w:szCs w:val="24"/>
        </w:rPr>
      </w:pPr>
    </w:p>
    <w:p w14:paraId="775DA168" w14:textId="47B04C89" w:rsidR="00421B7C" w:rsidRDefault="00421B7C" w:rsidP="00F326E5">
      <w:pPr>
        <w:rPr>
          <w:rFonts w:ascii="Arial Black" w:hAnsi="Arial Black"/>
          <w:b/>
          <w:sz w:val="24"/>
          <w:szCs w:val="24"/>
        </w:rPr>
      </w:pPr>
      <w:r>
        <w:rPr>
          <w:rFonts w:ascii="Arial Black" w:hAnsi="Arial Black"/>
          <w:b/>
          <w:sz w:val="24"/>
          <w:szCs w:val="24"/>
        </w:rPr>
        <w:t>11-5</w:t>
      </w:r>
      <w:r w:rsidR="009601CD">
        <w:rPr>
          <w:rFonts w:ascii="Arial Black" w:hAnsi="Arial Black"/>
          <w:b/>
          <w:sz w:val="24"/>
          <w:szCs w:val="24"/>
        </w:rPr>
        <w:t>4</w:t>
      </w:r>
    </w:p>
    <w:p w14:paraId="5ADFB112" w14:textId="77777777" w:rsidR="00421B7C" w:rsidRDefault="00421B7C" w:rsidP="00421B7C">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SC: FF / PARAMEDIC – 90% OF HER TIME EMS DUTIES – FF EXEMPTION STILL APPLIES - OVERTIME AFTER 53 HOURS</w:t>
      </w:r>
    </w:p>
    <w:p w14:paraId="5298F866" w14:textId="77777777" w:rsidR="00421B7C" w:rsidRPr="009D70F9" w:rsidRDefault="00421B7C" w:rsidP="00421B7C">
      <w:pPr>
        <w:pStyle w:val="NormalWeb"/>
        <w:rPr>
          <w:shd w:val="clear" w:color="auto" w:fill="FFFFFF"/>
        </w:rPr>
      </w:pPr>
      <w:r w:rsidRPr="009D70F9">
        <w:rPr>
          <w:color w:val="454545"/>
          <w:shd w:val="clear" w:color="auto" w:fill="FFFFFF"/>
        </w:rPr>
        <w:t xml:space="preserve">On July 30, 2024, in </w:t>
      </w:r>
      <w:r w:rsidRPr="009D70F9">
        <w:rPr>
          <w:color w:val="454545"/>
          <w:u w:val="single"/>
          <w:shd w:val="clear" w:color="auto" w:fill="FFFFFF"/>
        </w:rPr>
        <w:t>Heather Nicole Davis v. Jasper County</w:t>
      </w:r>
      <w:r w:rsidRPr="009D70F9">
        <w:rPr>
          <w:color w:val="454545"/>
          <w:shd w:val="clear" w:color="auto" w:fill="FFFFFF"/>
        </w:rPr>
        <w:t>,  U.S. District Court Judge Bruce Howe Hendricks granted summary judgment to Jasper County; as a firefighter / paramedic she is only entitled to overtime after 53 hours (not 40 hours).  “</w:t>
      </w:r>
      <w:r w:rsidRPr="009D70F9">
        <w:rPr>
          <w:shd w:val="clear" w:color="auto" w:fill="FFFFFF"/>
        </w:rPr>
        <w:t xml:space="preserve">The Court finds Plaintiff’s argument without merit. Based on the testimonial evidence set forth above, there is no genuine dispute that Plaintiff </w:t>
      </w:r>
      <w:proofErr w:type="gramStart"/>
      <w:r w:rsidRPr="009D70F9">
        <w:rPr>
          <w:shd w:val="clear" w:color="auto" w:fill="FFFFFF"/>
        </w:rPr>
        <w:t>actually engaged</w:t>
      </w:r>
      <w:proofErr w:type="gramEnd"/>
      <w:r w:rsidRPr="009D70F9">
        <w:rPr>
          <w:shd w:val="clear" w:color="auto" w:fill="FFFFFF"/>
        </w:rPr>
        <w:t xml:space="preserve"> in fire prevention and suppression – she sometimes drove the fire truck, has operated the fire pump, and has put on her turn out gear and entered a structure on fire. There is no requirement in the statute that Plaintiff engage in fire prevention and suppression with any specified </w:t>
      </w:r>
      <w:proofErr w:type="gramStart"/>
      <w:r w:rsidRPr="009D70F9">
        <w:rPr>
          <w:shd w:val="clear" w:color="auto" w:fill="FFFFFF"/>
        </w:rPr>
        <w:t>frequency.”</w:t>
      </w:r>
      <w:proofErr w:type="gramEnd"/>
      <w:r w:rsidRPr="009D70F9">
        <w:t xml:space="preserve"> </w:t>
      </w:r>
      <w:hyperlink r:id="rId1760" w:history="1">
        <w:r w:rsidRPr="009D70F9">
          <w:rPr>
            <w:rStyle w:val="Hyperlink"/>
            <w:shd w:val="clear" w:color="auto" w:fill="FFFFFF"/>
          </w:rPr>
          <w:t>https://www.firefighterovertime.org/wp-content/uploads/2024/07/US_DIS_SCD_9_21cv3964_d87991559e1450_ORDER_denying_40_Motion_for_Summary_Judgment_grant.pdf</w:t>
        </w:r>
      </w:hyperlink>
    </w:p>
    <w:p w14:paraId="517E3A5E" w14:textId="77777777" w:rsidR="00421B7C" w:rsidRPr="009D70F9" w:rsidRDefault="00421B7C" w:rsidP="00421B7C">
      <w:pPr>
        <w:pStyle w:val="NormalWeb"/>
        <w:rPr>
          <w:shd w:val="clear" w:color="auto" w:fill="FFFFFF"/>
        </w:rPr>
      </w:pPr>
      <w:r w:rsidRPr="009D70F9">
        <w:rPr>
          <w:shd w:val="clear" w:color="auto" w:fill="FFFFFF"/>
        </w:rPr>
        <w:t>THE COURT HELD:</w:t>
      </w:r>
    </w:p>
    <w:p w14:paraId="729215C4" w14:textId="77777777" w:rsidR="00421B7C" w:rsidRPr="009D70F9" w:rsidRDefault="00421B7C" w:rsidP="00421B7C">
      <w:pPr>
        <w:pStyle w:val="NormalWeb"/>
        <w:ind w:left="720"/>
        <w:rPr>
          <w:shd w:val="clear" w:color="auto" w:fill="FFFFFF"/>
        </w:rPr>
      </w:pPr>
      <w:r w:rsidRPr="009D70F9">
        <w:rPr>
          <w:shd w:val="clear" w:color="auto" w:fill="FFFFFF"/>
        </w:rPr>
        <w:t>“Here, Plaintiff does not dispute that she was employed as a Firefighter/Paramedic; that she trained in fire suppression; that she had the legal authority to engage in fire suppression; and that she was employed by a fire department of a county….  Thus, as to the first part of § 203(y), elements (1) through (4), the remaining issue is whether plaintiff had the responsibility to engage in fire suppression.</w:t>
      </w:r>
    </w:p>
    <w:p w14:paraId="6959F670" w14:textId="77777777" w:rsidR="00421B7C" w:rsidRDefault="00421B7C" w:rsidP="00421B7C">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ab/>
        <w:t>***</w:t>
      </w:r>
    </w:p>
    <w:p w14:paraId="3B5018CE" w14:textId="77777777" w:rsidR="00421B7C" w:rsidRDefault="00421B7C" w:rsidP="00421B7C">
      <w:pPr>
        <w:pStyle w:val="NoSpacing"/>
        <w:rPr>
          <w:rFonts w:ascii="Times New Roman" w:hAnsi="Times New Roman"/>
          <w:sz w:val="24"/>
          <w:szCs w:val="24"/>
          <w:shd w:val="clear" w:color="auto" w:fill="FFFFFF"/>
        </w:rPr>
      </w:pPr>
    </w:p>
    <w:p w14:paraId="0AD462D1" w14:textId="77777777" w:rsidR="00421B7C" w:rsidRPr="00A25A83" w:rsidRDefault="00421B7C" w:rsidP="00421B7C">
      <w:pPr>
        <w:pStyle w:val="NoSpacing"/>
        <w:ind w:firstLine="720"/>
        <w:rPr>
          <w:rFonts w:ascii="Times New Roman" w:hAnsi="Times New Roman"/>
          <w:sz w:val="24"/>
          <w:szCs w:val="24"/>
          <w:shd w:val="clear" w:color="auto" w:fill="FFFFFF"/>
        </w:rPr>
      </w:pPr>
      <w:r w:rsidRPr="00A25A83">
        <w:rPr>
          <w:rFonts w:ascii="Times New Roman" w:hAnsi="Times New Roman"/>
          <w:sz w:val="24"/>
          <w:szCs w:val="24"/>
          <w:shd w:val="clear" w:color="auto" w:fill="FFFFFF"/>
        </w:rPr>
        <w:t xml:space="preserve">In 1999, Congress amended the FLSA to </w:t>
      </w:r>
      <w:r>
        <w:rPr>
          <w:rFonts w:ascii="Times New Roman" w:hAnsi="Times New Roman"/>
          <w:sz w:val="24"/>
          <w:szCs w:val="24"/>
          <w:shd w:val="clear" w:color="auto" w:fill="FFFFFF"/>
        </w:rPr>
        <w:t>‘</w:t>
      </w:r>
      <w:r w:rsidRPr="00A25A83">
        <w:rPr>
          <w:rFonts w:ascii="Times New Roman" w:hAnsi="Times New Roman"/>
          <w:sz w:val="24"/>
          <w:szCs w:val="24"/>
          <w:shd w:val="clear" w:color="auto" w:fill="FFFFFF"/>
        </w:rPr>
        <w:t>clarify the overtime exemption for</w:t>
      </w:r>
    </w:p>
    <w:p w14:paraId="10DFA673" w14:textId="77777777" w:rsidR="00421B7C" w:rsidRPr="00A25A83" w:rsidRDefault="00421B7C" w:rsidP="00421B7C">
      <w:pPr>
        <w:pStyle w:val="NoSpacing"/>
        <w:ind w:firstLine="720"/>
        <w:rPr>
          <w:rFonts w:ascii="Times New Roman" w:hAnsi="Times New Roman"/>
          <w:sz w:val="24"/>
          <w:szCs w:val="24"/>
          <w:shd w:val="clear" w:color="auto" w:fill="FFFFFF"/>
        </w:rPr>
      </w:pPr>
      <w:r w:rsidRPr="00A25A83">
        <w:rPr>
          <w:rFonts w:ascii="Times New Roman" w:hAnsi="Times New Roman"/>
          <w:sz w:val="24"/>
          <w:szCs w:val="24"/>
          <w:shd w:val="clear" w:color="auto" w:fill="FFFFFF"/>
        </w:rPr>
        <w:t>employees engaged in fire protection activities.</w:t>
      </w:r>
      <w:r>
        <w:rPr>
          <w:rFonts w:ascii="Times New Roman" w:hAnsi="Times New Roman"/>
          <w:sz w:val="24"/>
          <w:szCs w:val="24"/>
          <w:shd w:val="clear" w:color="auto" w:fill="FFFFFF"/>
        </w:rPr>
        <w:t>’</w:t>
      </w:r>
      <w:r w:rsidRPr="00A25A83">
        <w:rPr>
          <w:rFonts w:ascii="Times New Roman" w:hAnsi="Times New Roman"/>
          <w:sz w:val="24"/>
          <w:szCs w:val="24"/>
          <w:shd w:val="clear" w:color="auto" w:fill="FFFFFF"/>
        </w:rPr>
        <w:t xml:space="preserve"> Pub. L. No. 106-151, 113 Stat.</w:t>
      </w:r>
    </w:p>
    <w:p w14:paraId="6F0137EE" w14:textId="77777777" w:rsidR="00421B7C" w:rsidRPr="00A25A83" w:rsidRDefault="00421B7C" w:rsidP="00421B7C">
      <w:pPr>
        <w:pStyle w:val="NoSpacing"/>
        <w:ind w:left="720"/>
        <w:rPr>
          <w:rFonts w:ascii="Times New Roman" w:hAnsi="Times New Roman"/>
          <w:sz w:val="24"/>
          <w:szCs w:val="24"/>
          <w:shd w:val="clear" w:color="auto" w:fill="FFFFFF"/>
        </w:rPr>
      </w:pPr>
      <w:r w:rsidRPr="00A25A83">
        <w:rPr>
          <w:rFonts w:ascii="Times New Roman" w:hAnsi="Times New Roman"/>
          <w:sz w:val="24"/>
          <w:szCs w:val="24"/>
          <w:shd w:val="clear" w:color="auto" w:fill="FFFFFF"/>
        </w:rPr>
        <w:t>1731(codified as amended at 29 U.S.C. § 203(y)). Under 29 U.S.C. § 203(y), the following</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 xml:space="preserve">employees are, by definition, considered to be involved </w:t>
      </w:r>
      <w:r>
        <w:rPr>
          <w:rFonts w:ascii="Times New Roman" w:hAnsi="Times New Roman"/>
          <w:sz w:val="24"/>
          <w:szCs w:val="24"/>
          <w:shd w:val="clear" w:color="auto" w:fill="FFFFFF"/>
        </w:rPr>
        <w:t>‘i</w:t>
      </w:r>
      <w:r w:rsidRPr="00A25A83">
        <w:rPr>
          <w:rFonts w:ascii="Times New Roman" w:hAnsi="Times New Roman"/>
          <w:sz w:val="24"/>
          <w:szCs w:val="24"/>
          <w:shd w:val="clear" w:color="auto" w:fill="FFFFFF"/>
        </w:rPr>
        <w:t>n fire protection activities</w:t>
      </w:r>
      <w:r>
        <w:rPr>
          <w:rFonts w:ascii="Times New Roman" w:hAnsi="Times New Roman"/>
          <w:sz w:val="24"/>
          <w:szCs w:val="24"/>
          <w:shd w:val="clear" w:color="auto" w:fill="FFFFFF"/>
        </w:rPr>
        <w:t>’</w:t>
      </w:r>
      <w:r w:rsidRPr="00A25A83">
        <w:rPr>
          <w:rFonts w:ascii="Times New Roman" w:hAnsi="Times New Roman"/>
          <w:sz w:val="24"/>
          <w:szCs w:val="24"/>
          <w:shd w:val="clear" w:color="auto" w:fill="FFFFFF"/>
        </w:rPr>
        <w:t xml:space="preserve"> for</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the purpose of the Section 207(k) exemption:</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an employee, including a firefighter, paramedic, emergency medical</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technician, rescue worker, ambulance personnel, or hazardous materials</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worker, who . . . is trained in fire suppression, has the legal authority and</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responsibility to engage in fire suppression, and is employed by a fire</w:t>
      </w:r>
    </w:p>
    <w:p w14:paraId="1CCBA178" w14:textId="77777777" w:rsidR="00421B7C" w:rsidRDefault="00421B7C" w:rsidP="00421B7C">
      <w:pPr>
        <w:pStyle w:val="NoSpacing"/>
        <w:ind w:left="720"/>
        <w:rPr>
          <w:rFonts w:ascii="Times New Roman" w:hAnsi="Times New Roman"/>
          <w:sz w:val="24"/>
          <w:szCs w:val="24"/>
          <w:shd w:val="clear" w:color="auto" w:fill="FFFFFF"/>
        </w:rPr>
      </w:pPr>
      <w:r w:rsidRPr="00A25A83">
        <w:rPr>
          <w:rFonts w:ascii="Times New Roman" w:hAnsi="Times New Roman"/>
          <w:sz w:val="24"/>
          <w:szCs w:val="24"/>
          <w:shd w:val="clear" w:color="auto" w:fill="FFFFFF"/>
        </w:rPr>
        <w:t>department of a municipality, county, fire district, or State; and is engaged</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in the prevention, control, and extinguishment of fires or response to</w:t>
      </w:r>
      <w:r>
        <w:rPr>
          <w:rFonts w:ascii="Times New Roman" w:hAnsi="Times New Roman"/>
          <w:sz w:val="24"/>
          <w:szCs w:val="24"/>
          <w:shd w:val="clear" w:color="auto" w:fill="FFFFFF"/>
        </w:rPr>
        <w:t xml:space="preserve"> </w:t>
      </w:r>
      <w:r w:rsidRPr="00A25A83">
        <w:rPr>
          <w:rFonts w:ascii="Times New Roman" w:hAnsi="Times New Roman"/>
          <w:sz w:val="24"/>
          <w:szCs w:val="24"/>
          <w:shd w:val="clear" w:color="auto" w:fill="FFFFFF"/>
        </w:rPr>
        <w:t>emergency situations where life, property, or the environment is at risk.</w:t>
      </w:r>
      <w:r>
        <w:rPr>
          <w:rFonts w:ascii="Times New Roman" w:hAnsi="Times New Roman"/>
          <w:sz w:val="24"/>
          <w:szCs w:val="24"/>
          <w:shd w:val="clear" w:color="auto" w:fill="FFFFFF"/>
        </w:rPr>
        <w:t>”</w:t>
      </w:r>
    </w:p>
    <w:p w14:paraId="43005CF1" w14:textId="77777777" w:rsidR="00693009" w:rsidRDefault="00693009" w:rsidP="00693009">
      <w:pPr>
        <w:pStyle w:val="NoSpacing"/>
        <w:rPr>
          <w:rFonts w:ascii="Times New Roman" w:hAnsi="Times New Roman"/>
          <w:b/>
          <w:bCs/>
          <w:sz w:val="24"/>
          <w:szCs w:val="24"/>
          <w:shd w:val="clear" w:color="auto" w:fill="FFFFFF"/>
        </w:rPr>
      </w:pPr>
    </w:p>
    <w:p w14:paraId="1DCE5728" w14:textId="0CB626EF" w:rsidR="00693009" w:rsidRPr="00A71244" w:rsidRDefault="00693009" w:rsidP="00693009">
      <w:pPr>
        <w:pStyle w:val="NoSpacing"/>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Legal Lesson Learned:  FLSA </w:t>
      </w:r>
      <w:r w:rsidRPr="003776C2">
        <w:rPr>
          <w:rFonts w:ascii="Times New Roman" w:hAnsi="Times New Roman"/>
          <w:b/>
          <w:bCs/>
          <w:sz w:val="24"/>
          <w:szCs w:val="24"/>
          <w:shd w:val="clear" w:color="auto" w:fill="FFFFFF"/>
        </w:rPr>
        <w:t>Section 207(k) exemption</w:t>
      </w:r>
      <w:r>
        <w:rPr>
          <w:rFonts w:ascii="Times New Roman" w:hAnsi="Times New Roman"/>
          <w:b/>
          <w:bCs/>
          <w:sz w:val="24"/>
          <w:szCs w:val="24"/>
          <w:shd w:val="clear" w:color="auto" w:fill="FFFFFF"/>
        </w:rPr>
        <w:t xml:space="preserve"> clearly applies to her; one </w:t>
      </w:r>
      <w:proofErr w:type="gramStart"/>
      <w:r>
        <w:rPr>
          <w:rFonts w:ascii="Times New Roman" w:hAnsi="Times New Roman"/>
          <w:b/>
          <w:bCs/>
          <w:sz w:val="24"/>
          <w:szCs w:val="24"/>
          <w:shd w:val="clear" w:color="auto" w:fill="FFFFFF"/>
        </w:rPr>
        <w:t>has to</w:t>
      </w:r>
      <w:proofErr w:type="gramEnd"/>
      <w:r>
        <w:rPr>
          <w:rFonts w:ascii="Times New Roman" w:hAnsi="Times New Roman"/>
          <w:b/>
          <w:bCs/>
          <w:sz w:val="24"/>
          <w:szCs w:val="24"/>
          <w:shd w:val="clear" w:color="auto" w:fill="FFFFFF"/>
        </w:rPr>
        <w:t xml:space="preserve"> wonder why she even filed this lawsuit. </w:t>
      </w:r>
    </w:p>
    <w:p w14:paraId="3B82A3AF" w14:textId="77777777" w:rsidR="00693009" w:rsidRDefault="00693009" w:rsidP="00F326E5">
      <w:pPr>
        <w:rPr>
          <w:rFonts w:ascii="Arial Black" w:hAnsi="Arial Black"/>
          <w:b/>
          <w:sz w:val="24"/>
          <w:szCs w:val="24"/>
        </w:rPr>
      </w:pPr>
    </w:p>
    <w:p w14:paraId="2644AB10" w14:textId="77777777" w:rsidR="00421B7C" w:rsidRDefault="00421B7C" w:rsidP="00F326E5">
      <w:pPr>
        <w:rPr>
          <w:rFonts w:ascii="Arial Black" w:hAnsi="Arial Black"/>
          <w:b/>
          <w:sz w:val="24"/>
          <w:szCs w:val="24"/>
        </w:rPr>
      </w:pPr>
    </w:p>
    <w:p w14:paraId="0DD39E4D" w14:textId="29B74782" w:rsidR="008A71A3" w:rsidRDefault="008A71A3" w:rsidP="00F326E5">
      <w:pPr>
        <w:rPr>
          <w:rFonts w:ascii="Arial Black" w:hAnsi="Arial Black"/>
          <w:b/>
          <w:sz w:val="24"/>
          <w:szCs w:val="24"/>
        </w:rPr>
      </w:pPr>
      <w:r>
        <w:rPr>
          <w:rFonts w:ascii="Arial Black" w:hAnsi="Arial Black"/>
          <w:b/>
          <w:sz w:val="24"/>
          <w:szCs w:val="24"/>
        </w:rPr>
        <w:t>11-5</w:t>
      </w:r>
      <w:r w:rsidR="009601CD">
        <w:rPr>
          <w:rFonts w:ascii="Arial Black" w:hAnsi="Arial Black"/>
          <w:b/>
          <w:sz w:val="24"/>
          <w:szCs w:val="24"/>
        </w:rPr>
        <w:t>3</w:t>
      </w:r>
    </w:p>
    <w:p w14:paraId="620353CE" w14:textId="77777777" w:rsidR="0060682A" w:rsidRPr="006179C5" w:rsidRDefault="0060682A" w:rsidP="0060682A">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OK: FLSA SETTLEMENT – SHIFT DIFFERENTIAL - $350,000 / UP TO 130 EMS MAY JOIN – AGREEMENT MUST BE PUBLIC </w:t>
      </w:r>
    </w:p>
    <w:p w14:paraId="34B30331" w14:textId="77777777" w:rsidR="0060682A" w:rsidRPr="0060682A" w:rsidRDefault="0060682A" w:rsidP="0060682A">
      <w:pPr>
        <w:pStyle w:val="NormalWeb"/>
        <w:rPr>
          <w:color w:val="454545"/>
          <w:shd w:val="clear" w:color="auto" w:fill="FFFFFF"/>
        </w:rPr>
      </w:pPr>
      <w:r w:rsidRPr="0060682A">
        <w:rPr>
          <w:color w:val="454545"/>
          <w:shd w:val="clear" w:color="auto" w:fill="FFFFFF"/>
        </w:rPr>
        <w:t xml:space="preserve">On May 23, 2024, in </w:t>
      </w:r>
      <w:r w:rsidRPr="0060682A">
        <w:rPr>
          <w:color w:val="454545"/>
          <w:u w:val="single"/>
          <w:shd w:val="clear" w:color="auto" w:fill="FFFFFF"/>
        </w:rPr>
        <w:t>Jerry Sherley v. Muskogee County EMS</w:t>
      </w:r>
      <w:r w:rsidRPr="0060682A">
        <w:rPr>
          <w:color w:val="454545"/>
          <w:shd w:val="clear" w:color="auto" w:fill="FFFFFF"/>
        </w:rPr>
        <w:t>, U.S. District Court Judge John F. Heil has agreed to review the terms for fairness the proposed settlement of class action after plaintiff submits a proposed notice to all 130 EMS, and the settlement must be a public record.  The Court held:</w:t>
      </w:r>
    </w:p>
    <w:p w14:paraId="13D05640" w14:textId="528E4438" w:rsidR="008A71A3" w:rsidRPr="0060682A" w:rsidRDefault="0060682A" w:rsidP="0060682A">
      <w:pPr>
        <w:ind w:left="720"/>
        <w:rPr>
          <w:rFonts w:ascii="Times New Roman" w:hAnsi="Times New Roman"/>
          <w:b/>
          <w:sz w:val="24"/>
          <w:szCs w:val="24"/>
        </w:rPr>
      </w:pPr>
      <w:r w:rsidRPr="0060682A">
        <w:rPr>
          <w:rFonts w:ascii="Times New Roman" w:hAnsi="Times New Roman"/>
          <w:color w:val="454545"/>
          <w:sz w:val="24"/>
          <w:szCs w:val="24"/>
          <w:shd w:val="clear" w:color="auto" w:fill="FFFFFF"/>
        </w:rPr>
        <w:t>“</w:t>
      </w:r>
      <w:r w:rsidRPr="0060682A">
        <w:rPr>
          <w:rFonts w:ascii="Times New Roman" w:hAnsi="Times New Roman"/>
          <w:sz w:val="24"/>
          <w:szCs w:val="24"/>
        </w:rPr>
        <w:t xml:space="preserve">Plaintiff should file a motion for conditional certification and approval of the proposed notice to the putative class members…. Lastly, Plaintiff argues that public interest is advanced by allowing the proposed settlement agreement to be sealed because doing so would ‘encourage[] settlement negotiations and </w:t>
      </w:r>
      <w:proofErr w:type="gramStart"/>
      <w:r w:rsidRPr="0060682A">
        <w:rPr>
          <w:rFonts w:ascii="Times New Roman" w:hAnsi="Times New Roman"/>
          <w:sz w:val="24"/>
          <w:szCs w:val="24"/>
        </w:rPr>
        <w:t>agreements, and</w:t>
      </w:r>
      <w:proofErr w:type="gramEnd"/>
      <w:r w:rsidRPr="0060682A">
        <w:rPr>
          <w:rFonts w:ascii="Times New Roman" w:hAnsi="Times New Roman"/>
          <w:sz w:val="24"/>
          <w:szCs w:val="24"/>
        </w:rPr>
        <w:t xml:space="preserve"> preserve judicial resources.’ </w:t>
      </w:r>
      <w:proofErr w:type="spellStart"/>
      <w:r w:rsidRPr="0060682A">
        <w:rPr>
          <w:rFonts w:ascii="Times New Roman" w:hAnsi="Times New Roman"/>
          <w:sz w:val="24"/>
          <w:szCs w:val="24"/>
        </w:rPr>
        <w:t>Dkt</w:t>
      </w:r>
      <w:proofErr w:type="spellEnd"/>
      <w:r w:rsidRPr="0060682A">
        <w:rPr>
          <w:rFonts w:ascii="Times New Roman" w:hAnsi="Times New Roman"/>
          <w:sz w:val="24"/>
          <w:szCs w:val="24"/>
        </w:rPr>
        <w:t xml:space="preserve">. No. 24 at 4. This conclusory statement does not demonstrate that the stated interest would outweigh the right to access </w:t>
      </w:r>
      <w:proofErr w:type="gramStart"/>
      <w:r w:rsidRPr="0060682A">
        <w:rPr>
          <w:rFonts w:ascii="Times New Roman" w:hAnsi="Times New Roman"/>
          <w:sz w:val="24"/>
          <w:szCs w:val="24"/>
        </w:rPr>
        <w:t>underlying the</w:t>
      </w:r>
      <w:proofErr w:type="gramEnd"/>
      <w:r w:rsidRPr="0060682A">
        <w:rPr>
          <w:rFonts w:ascii="Times New Roman" w:hAnsi="Times New Roman"/>
          <w:sz w:val="24"/>
          <w:szCs w:val="24"/>
        </w:rPr>
        <w:t xml:space="preserve"> Court's task in approving an FLSA settlement. </w:t>
      </w:r>
      <w:r w:rsidRPr="0060682A">
        <w:rPr>
          <w:rStyle w:val="Emphasis"/>
          <w:rFonts w:ascii="Times New Roman" w:eastAsiaTheme="majorEastAsia" w:hAnsi="Times New Roman"/>
          <w:sz w:val="24"/>
          <w:szCs w:val="24"/>
        </w:rPr>
        <w:t>See McGee</w:t>
      </w:r>
      <w:r w:rsidRPr="0060682A">
        <w:rPr>
          <w:rFonts w:ascii="Times New Roman" w:hAnsi="Times New Roman"/>
          <w:sz w:val="24"/>
          <w:szCs w:val="24"/>
        </w:rPr>
        <w:t xml:space="preserve">, 2017 WL 4679818, at *2 (noting that the parties failed to present evidence that allowing public access would discourage settlement and observing that ‘this contention may be contradicted by the fact that numerous FLSA settlement agreements contain no confidentiality provision, have been filed unrestricted, and/or have been filed redacted.’). Accordingly, sealing the proposed settlement agreement is not warranted in this case.” </w:t>
      </w:r>
      <w:hyperlink r:id="rId1761" w:history="1">
        <w:r w:rsidRPr="0060682A">
          <w:rPr>
            <w:rStyle w:val="Hyperlink"/>
            <w:rFonts w:ascii="Times New Roman" w:hAnsi="Times New Roman"/>
            <w:sz w:val="24"/>
            <w:szCs w:val="24"/>
          </w:rPr>
          <w:t>https://public.fastcase.com/H1P9uiW3J20SFp%2BGCG%2BxLZy365%2FN0MVDalUuZRIy4n4W%2BHhfv4X1Vzo9ca%2F3mj3k?utm_medium=email&amp;_hsenc=p2ANqtz-8KCYiZyhHUOjRg0MO9pgx_C58MSGHRNzoS8NOUFD5AstP_fG6MazYJg2nKApB1QIRI0-vQrIVEAwfGYCTHYw0GOi6xfA&amp;_hsmi=226712652&amp;utm_content=226712652&amp;utm_source=hs_email</w:t>
        </w:r>
      </w:hyperlink>
    </w:p>
    <w:p w14:paraId="01A89A93" w14:textId="77777777" w:rsidR="00CF5424" w:rsidRPr="00907039" w:rsidRDefault="00CF5424" w:rsidP="00CF5424">
      <w:pPr>
        <w:pStyle w:val="NormalWeb"/>
        <w:rPr>
          <w:b/>
          <w:bCs/>
        </w:rPr>
      </w:pPr>
      <w:r w:rsidRPr="00907039">
        <w:rPr>
          <w:b/>
          <w:bCs/>
        </w:rPr>
        <w:t>Legal Lesson Learned:</w:t>
      </w:r>
      <w:r>
        <w:rPr>
          <w:b/>
          <w:bCs/>
        </w:rPr>
        <w:t xml:space="preserve"> Under FLSA, employers must calculate the “regular rate of pay” that includes all renumerations paid to the employee. </w:t>
      </w:r>
    </w:p>
    <w:p w14:paraId="3C3EBD83" w14:textId="77777777" w:rsidR="00CF5424" w:rsidRPr="006A45C8" w:rsidRDefault="00CF5424" w:rsidP="00CF5424">
      <w:pPr>
        <w:pStyle w:val="NormalWeb"/>
        <w:ind w:left="720"/>
      </w:pPr>
      <w:r>
        <w:t xml:space="preserve">Note: See 29 Code of Federal Regulations 778.108. </w:t>
      </w:r>
      <w:hyperlink r:id="rId1762" w:history="1">
        <w:r w:rsidRPr="006A45C8">
          <w:rPr>
            <w:rStyle w:val="Hyperlink"/>
          </w:rPr>
          <w:t>https://www.ecfr.gov/current/title-29/subtitle-B/chapter-V/subchapter-B/part-778</w:t>
        </w:r>
      </w:hyperlink>
      <w:r w:rsidRPr="006A45C8">
        <w:t xml:space="preserve"> </w:t>
      </w:r>
    </w:p>
    <w:p w14:paraId="4DF928B3" w14:textId="77777777" w:rsidR="00CF5424" w:rsidRDefault="00CF5424" w:rsidP="00CF5424">
      <w:pPr>
        <w:pStyle w:val="NormalWeb"/>
        <w:ind w:left="1440"/>
      </w:pPr>
      <w:r>
        <w:t xml:space="preserve">“Section 7(e) of the Act requires inclusion in the ‘regular rate’ of ‘all remuneration for employment paid to, or on behalf of, the employee” except payments specifically excluded by paragraphs (1) through (7) of that subsection. (These seven types of payments, which are set forth in </w:t>
      </w:r>
      <w:hyperlink r:id="rId1763" w:history="1">
        <w:r>
          <w:rPr>
            <w:rStyle w:val="Hyperlink"/>
            <w:rFonts w:eastAsiaTheme="majorEastAsia"/>
          </w:rPr>
          <w:t>§ 778.200</w:t>
        </w:r>
      </w:hyperlink>
      <w:r>
        <w:t xml:space="preserve"> and discussed in </w:t>
      </w:r>
      <w:hyperlink r:id="rId1764" w:history="1">
        <w:r>
          <w:rPr>
            <w:rStyle w:val="Hyperlink"/>
            <w:rFonts w:eastAsiaTheme="majorEastAsia"/>
          </w:rPr>
          <w:t>§§ 778.201</w:t>
        </w:r>
      </w:hyperlink>
      <w:r>
        <w:t xml:space="preserve"> through </w:t>
      </w:r>
      <w:hyperlink r:id="rId1765" w:history="1">
        <w:r>
          <w:rPr>
            <w:rStyle w:val="Hyperlink"/>
            <w:rFonts w:eastAsiaTheme="majorEastAsia"/>
          </w:rPr>
          <w:t>778.224</w:t>
        </w:r>
      </w:hyperlink>
      <w:r>
        <w:t>, are hereafter referred to as ‘statutory exclusions.’)”</w:t>
      </w:r>
    </w:p>
    <w:p w14:paraId="6A9B45B9" w14:textId="77777777" w:rsidR="00CF5424" w:rsidRPr="00D600CA" w:rsidRDefault="00CF5424" w:rsidP="00CF5424">
      <w:pPr>
        <w:ind w:left="720"/>
        <w:rPr>
          <w:rFonts w:ascii="Times New Roman" w:hAnsi="Times New Roman"/>
          <w:sz w:val="24"/>
          <w:szCs w:val="24"/>
        </w:rPr>
      </w:pPr>
      <w:r w:rsidRPr="00D600CA">
        <w:rPr>
          <w:rFonts w:ascii="Times New Roman" w:hAnsi="Times New Roman"/>
          <w:sz w:val="24"/>
          <w:szCs w:val="24"/>
        </w:rPr>
        <w:t xml:space="preserve">See also: </w:t>
      </w:r>
      <w:r>
        <w:rPr>
          <w:rFonts w:ascii="Times New Roman" w:hAnsi="Times New Roman"/>
          <w:sz w:val="24"/>
          <w:szCs w:val="24"/>
        </w:rPr>
        <w:t>“</w:t>
      </w:r>
      <w:r w:rsidRPr="00D600CA">
        <w:rPr>
          <w:rFonts w:ascii="Times New Roman" w:hAnsi="Times New Roman"/>
          <w:sz w:val="24"/>
          <w:szCs w:val="24"/>
        </w:rPr>
        <w:t>FLSA Overtime Calculator Advisor for Nonexempt Employees</w:t>
      </w:r>
      <w:r>
        <w:rPr>
          <w:rFonts w:ascii="Times New Roman" w:hAnsi="Times New Roman"/>
          <w:sz w:val="24"/>
          <w:szCs w:val="24"/>
        </w:rPr>
        <w:t xml:space="preserve">.” </w:t>
      </w:r>
      <w:hyperlink r:id="rId1766" w:history="1">
        <w:r w:rsidRPr="005176E1">
          <w:rPr>
            <w:rStyle w:val="Hyperlink"/>
            <w:rFonts w:ascii="Times New Roman" w:hAnsi="Times New Roman"/>
            <w:sz w:val="24"/>
            <w:szCs w:val="24"/>
          </w:rPr>
          <w:t>https://webapps.dol.gov/elaws/otcalculator.htm</w:t>
        </w:r>
      </w:hyperlink>
      <w:r>
        <w:rPr>
          <w:rFonts w:ascii="Times New Roman" w:hAnsi="Times New Roman"/>
          <w:sz w:val="24"/>
          <w:szCs w:val="24"/>
        </w:rPr>
        <w:t xml:space="preserve"> </w:t>
      </w:r>
      <w:r w:rsidRPr="00D600CA">
        <w:rPr>
          <w:rFonts w:ascii="Times New Roman" w:hAnsi="Times New Roman"/>
          <w:sz w:val="24"/>
          <w:szCs w:val="24"/>
        </w:rPr>
        <w:t xml:space="preserve"> </w:t>
      </w:r>
    </w:p>
    <w:p w14:paraId="61CEBD38" w14:textId="77777777" w:rsidR="00CF5424" w:rsidRPr="006F0A01" w:rsidRDefault="00CF5424" w:rsidP="00CF5424">
      <w:pPr>
        <w:pStyle w:val="NormalWeb"/>
        <w:ind w:left="1440"/>
      </w:pPr>
    </w:p>
    <w:p w14:paraId="058F1896" w14:textId="77777777" w:rsidR="00DD0039" w:rsidRDefault="00DD0039" w:rsidP="00F326E5">
      <w:pPr>
        <w:rPr>
          <w:rFonts w:ascii="Arial Black" w:hAnsi="Arial Black"/>
          <w:b/>
          <w:sz w:val="24"/>
          <w:szCs w:val="24"/>
        </w:rPr>
      </w:pPr>
    </w:p>
    <w:p w14:paraId="183DBDD7" w14:textId="77777777" w:rsidR="00DD0039" w:rsidRDefault="00DD0039" w:rsidP="00F326E5">
      <w:pPr>
        <w:rPr>
          <w:rFonts w:ascii="Arial Black" w:hAnsi="Arial Black"/>
          <w:b/>
          <w:sz w:val="24"/>
          <w:szCs w:val="24"/>
        </w:rPr>
      </w:pPr>
    </w:p>
    <w:p w14:paraId="46501EAE" w14:textId="77777777" w:rsidR="00DD0039" w:rsidRDefault="00DD0039" w:rsidP="00F326E5">
      <w:pPr>
        <w:rPr>
          <w:rFonts w:ascii="Arial Black" w:hAnsi="Arial Black"/>
          <w:b/>
          <w:sz w:val="24"/>
          <w:szCs w:val="24"/>
        </w:rPr>
      </w:pPr>
    </w:p>
    <w:p w14:paraId="24545F7F" w14:textId="6C8FB96C" w:rsidR="009371E7" w:rsidRDefault="009371E7"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52</w:t>
      </w:r>
    </w:p>
    <w:p w14:paraId="2FD33F13" w14:textId="77777777" w:rsidR="009371E7" w:rsidRPr="00DC4DCB" w:rsidRDefault="009371E7" w:rsidP="009371E7">
      <w:pPr>
        <w:pStyle w:val="NormalWeb"/>
        <w:spacing w:before="0" w:beforeAutospacing="0"/>
        <w:rPr>
          <w:rFonts w:ascii="Arial Black" w:hAnsi="Arial Black"/>
          <w:sz w:val="28"/>
          <w:szCs w:val="28"/>
        </w:rPr>
      </w:pPr>
      <w:r>
        <w:rPr>
          <w:rFonts w:ascii="Arial Black" w:hAnsi="Arial Black"/>
          <w:sz w:val="28"/>
          <w:szCs w:val="28"/>
        </w:rPr>
        <w:t>TN: HOSPITAL MEDIC - 30-MINUTE UNPAID MEAL BREAKS –BREAKS INTERRUPTED - RN/PARAMEDIC CASE PROCEED</w:t>
      </w:r>
    </w:p>
    <w:p w14:paraId="562792D1" w14:textId="77777777" w:rsidR="009371E7" w:rsidRDefault="009371E7" w:rsidP="009371E7">
      <w:pPr>
        <w:pStyle w:val="NormalWeb"/>
        <w:spacing w:before="0" w:beforeAutospacing="0"/>
        <w:rPr>
          <w:color w:val="454545"/>
          <w:shd w:val="clear" w:color="auto" w:fill="FFFFFF"/>
        </w:rPr>
      </w:pPr>
      <w:r>
        <w:t xml:space="preserve">On March 20, 2024, in </w:t>
      </w:r>
      <w:r w:rsidRPr="00A71813">
        <w:rPr>
          <w:u w:val="single"/>
        </w:rPr>
        <w:t>Carlos Colon and Candace Harris v. HCA Healthcare, Inc. and CHC Payroll Agent, Inc.</w:t>
      </w:r>
      <w:r>
        <w:t xml:space="preserve">, U.S. District Court Judge William L. Campbell, </w:t>
      </w:r>
      <w:r w:rsidRPr="00671B49">
        <w:rPr>
          <w:color w:val="454545"/>
          <w:shd w:val="clear" w:color="auto" w:fill="FFFFFF"/>
        </w:rPr>
        <w:t xml:space="preserve">United States District Court, M.D. Tennessee, Nashville Division, </w:t>
      </w:r>
      <w:r>
        <w:rPr>
          <w:color w:val="454545"/>
          <w:shd w:val="clear" w:color="auto" w:fill="FFFFFF"/>
        </w:rPr>
        <w:t xml:space="preserve">denied the hospital’s motion to dismiss, where hospital claimed that they were not the employer (asserting the payroll company was employer). </w:t>
      </w:r>
    </w:p>
    <w:p w14:paraId="42CBC356" w14:textId="77777777" w:rsidR="003956F7" w:rsidRPr="004C0299" w:rsidRDefault="003956F7" w:rsidP="003956F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F9E0EAA" w14:textId="77777777" w:rsidR="00D90293" w:rsidRDefault="00D90293" w:rsidP="009371E7">
      <w:pPr>
        <w:pStyle w:val="NormalWeb"/>
        <w:spacing w:before="0" w:beforeAutospacing="0"/>
        <w:ind w:left="720"/>
      </w:pPr>
    </w:p>
    <w:p w14:paraId="473850BD" w14:textId="5F620D1E" w:rsidR="009371E7" w:rsidRDefault="009371E7" w:rsidP="009371E7">
      <w:pPr>
        <w:pStyle w:val="NormalWeb"/>
        <w:spacing w:before="0" w:beforeAutospacing="0"/>
        <w:ind w:left="720"/>
      </w:pPr>
      <w:r>
        <w:t xml:space="preserve">“Plaintiffs allege HCA required a 30-minute deduction from Plaintiffs' recorded hours worked per shift for meal breaks, regardless of whether they </w:t>
      </w:r>
      <w:proofErr w:type="gramStart"/>
      <w:r>
        <w:t>actually received</w:t>
      </w:r>
      <w:proofErr w:type="gramEnd"/>
      <w:r>
        <w:t xml:space="preserve"> an uninterrupted 30-minute meal period. Plaintiffs assert that they were not paid for time worked during meal periods.  Plaintiffs allege that during unpaid meal breaks, they substantially performed their regular patient care job duties and responsibilities. </w:t>
      </w:r>
    </w:p>
    <w:p w14:paraId="567E4351" w14:textId="77777777" w:rsidR="009371E7" w:rsidRDefault="009371E7" w:rsidP="009371E7">
      <w:pPr>
        <w:pStyle w:val="NormalWeb"/>
        <w:ind w:left="720"/>
      </w:pPr>
      <w:r>
        <w:t>***</w:t>
      </w:r>
    </w:p>
    <w:p w14:paraId="44E96067" w14:textId="77777777" w:rsidR="009371E7" w:rsidRDefault="009371E7" w:rsidP="009371E7">
      <w:pPr>
        <w:pStyle w:val="NormalWeb"/>
        <w:ind w:left="720"/>
      </w:pPr>
      <w:r>
        <w:t xml:space="preserve">Based only on the allegations set forth in the First Amended Complaint, the Court concludes that Plaintiffs have sufficiently alleged facts that, accepted as true, support Defendants' status as employers. While discovery and subsequent motion practice may provide the Court with additional arguments on that issue, at this juncture, Plaintiffs have satisfied their pleading </w:t>
      </w:r>
      <w:proofErr w:type="gramStart"/>
      <w:r>
        <w:t>burden.”</w:t>
      </w:r>
      <w:proofErr w:type="gramEnd"/>
      <w:r>
        <w:t xml:space="preserve"> </w:t>
      </w:r>
      <w:hyperlink r:id="rId1767" w:history="1">
        <w:r w:rsidRPr="007E4CA8">
          <w:rPr>
            <w:rStyle w:val="Hyperlink"/>
          </w:rPr>
          <w:t>https://public.fastcase.com/H1P9uiW3J20SFp%2BGCG%2BxLeHSDVXVzY4x%2FiI%2F4JAOmhXpvt%2FfNBAZjz4LKds0Mto6?utm_medium=email&amp;_hsmi=226712652&amp;_hsenc=p2ANqtz-_SyWNVWtV5-tteBsEO4doKNFedyWegAxLclup35D1iuddv31pPNK7Mxz83D6yx-CsHYOnImh2IAPqInLsAyxym-pCJTQ&amp;utm_content=226712652&amp;utm_source=hs_email</w:t>
        </w:r>
      </w:hyperlink>
      <w:r>
        <w:t xml:space="preserve"> </w:t>
      </w:r>
    </w:p>
    <w:p w14:paraId="0001BFFF" w14:textId="77777777" w:rsidR="009371E7" w:rsidRDefault="009371E7" w:rsidP="009371E7">
      <w:pPr>
        <w:pStyle w:val="NormalWeb"/>
        <w:rPr>
          <w:b/>
          <w:bCs/>
        </w:rPr>
      </w:pPr>
      <w:r w:rsidRPr="00A033E5">
        <w:rPr>
          <w:b/>
          <w:bCs/>
        </w:rPr>
        <w:t>Legal Lesson Learned:</w:t>
      </w:r>
      <w:r>
        <w:rPr>
          <w:b/>
          <w:bCs/>
        </w:rPr>
        <w:t xml:space="preserve"> Only “bona fide” (uninterrupted) meal breaks can be considered as hours not worked; Fire &amp; EMS departments should be very cautious in applying this exemption.</w:t>
      </w:r>
    </w:p>
    <w:p w14:paraId="5E2F3ECD" w14:textId="77777777" w:rsidR="009371E7" w:rsidRDefault="009371E7" w:rsidP="009371E7">
      <w:pPr>
        <w:pStyle w:val="NormalWeb"/>
        <w:ind w:left="720"/>
      </w:pPr>
      <w:r>
        <w:t>Note: 29 CFR § 785.19 Meal.</w:t>
      </w:r>
    </w:p>
    <w:p w14:paraId="55891BE9" w14:textId="77777777" w:rsidR="009371E7" w:rsidRDefault="009371E7" w:rsidP="009371E7">
      <w:pPr>
        <w:pStyle w:val="NormalWeb"/>
        <w:ind w:left="720"/>
      </w:pPr>
      <w:hyperlink r:id="rId1768" w:history="1">
        <w:r w:rsidRPr="00B268F0">
          <w:rPr>
            <w:rStyle w:val="Hyperlink"/>
          </w:rPr>
          <w:t>https://www.ecfr.gov/current/title-29/subtitle-B/chapter-V/subchapter-B/part-785/subpart-C/subject-group-ECFR3d1222debcd8ec6/section-785.19</w:t>
        </w:r>
      </w:hyperlink>
      <w:r>
        <w:t xml:space="preserve"> </w:t>
      </w:r>
    </w:p>
    <w:p w14:paraId="08008E64" w14:textId="77777777" w:rsidR="009371E7" w:rsidRDefault="009371E7" w:rsidP="009371E7">
      <w:pPr>
        <w:pStyle w:val="indent-1"/>
        <w:ind w:left="720"/>
      </w:pPr>
      <w:r>
        <w:rPr>
          <w:rStyle w:val="paren"/>
          <w:rFonts w:eastAsiaTheme="majorEastAsia"/>
        </w:rPr>
        <w:t>“(</w:t>
      </w:r>
      <w:r>
        <w:rPr>
          <w:rStyle w:val="paragraph-hierarchy"/>
          <w:rFonts w:eastAsiaTheme="majorEastAsia"/>
        </w:rPr>
        <w:t>a</w:t>
      </w:r>
      <w:r>
        <w:rPr>
          <w:rStyle w:val="paren"/>
          <w:rFonts w:eastAsiaTheme="majorEastAsia"/>
        </w:rPr>
        <w:t>)</w:t>
      </w:r>
      <w:r>
        <w:t xml:space="preserve"> </w:t>
      </w:r>
      <w:r>
        <w:rPr>
          <w:rStyle w:val="Emphasis"/>
          <w:rFonts w:eastAsiaTheme="majorEastAsia"/>
          <w:b/>
          <w:bCs/>
        </w:rPr>
        <w:t>Bona fide meal periods.</w:t>
      </w:r>
      <w:r>
        <w:t xml:space="preserve"> Bona fide meal periods are not worktime. Bona fide meal periods do not include coffee breaks or time for snacks. These are rest periods. The employee must be completely relieved from duty for the </w:t>
      </w:r>
      <w:proofErr w:type="gramStart"/>
      <w:r>
        <w:t>purposes</w:t>
      </w:r>
      <w:proofErr w:type="gramEnd"/>
      <w:r>
        <w:t xml:space="preserve"> of eating regular meals. Ordinarily 30 minutes or more is long enough for a bona fide meal period. A shorter period may be long enough under special conditions. The employee is not relieved if he is required to perform any duties, whether active or inactive, while eating. For example, an office employee who is required to eat at his desk or a factory worker who is required to be at his machine is working while eating. (</w:t>
      </w:r>
      <w:r>
        <w:rPr>
          <w:rStyle w:val="Emphasis"/>
          <w:rFonts w:eastAsiaTheme="majorEastAsia"/>
        </w:rPr>
        <w:t>Culkin</w:t>
      </w:r>
      <w:r>
        <w:t xml:space="preserve"> v. </w:t>
      </w:r>
      <w:r>
        <w:rPr>
          <w:rStyle w:val="Emphasis"/>
          <w:rFonts w:eastAsiaTheme="majorEastAsia"/>
        </w:rPr>
        <w:t>Glenn L. Martin, Nebraska Co.,</w:t>
      </w:r>
      <w:r>
        <w:t xml:space="preserve"> 97 F. Supp. 661 (D. Neb. 1951), aff'd 197 F. 2d 981 (C.A. 8, 1952), cert. denied 344 U.S. 888 (1952); </w:t>
      </w:r>
      <w:r>
        <w:rPr>
          <w:rStyle w:val="Emphasis"/>
          <w:rFonts w:eastAsiaTheme="majorEastAsia"/>
        </w:rPr>
        <w:t>Thompson</w:t>
      </w:r>
      <w:r>
        <w:t xml:space="preserve"> v. </w:t>
      </w:r>
      <w:r>
        <w:rPr>
          <w:rStyle w:val="Emphasis"/>
          <w:rFonts w:eastAsiaTheme="majorEastAsia"/>
        </w:rPr>
        <w:t>Stock &amp; Sons, Inc.,</w:t>
      </w:r>
      <w:r>
        <w:t xml:space="preserve"> 93 F. Supp. 213 (E.D. Mich 1950), aff'd 194 F. 2d 493 (C.A. 6, 1952); </w:t>
      </w:r>
      <w:r>
        <w:rPr>
          <w:rStyle w:val="Emphasis"/>
          <w:rFonts w:eastAsiaTheme="majorEastAsia"/>
        </w:rPr>
        <w:t>Biggs</w:t>
      </w:r>
      <w:r>
        <w:t xml:space="preserve"> v. </w:t>
      </w:r>
      <w:r>
        <w:rPr>
          <w:rStyle w:val="Emphasis"/>
          <w:rFonts w:eastAsiaTheme="majorEastAsia"/>
        </w:rPr>
        <w:t>Joshua Hendy Corp.,</w:t>
      </w:r>
      <w:r>
        <w:t xml:space="preserve"> 183 F. 2d 515 (C. A. 9, 1950), 187 F. 2d 447 (C.A. 9, 1951); </w:t>
      </w:r>
      <w:r>
        <w:rPr>
          <w:rStyle w:val="Emphasis"/>
          <w:rFonts w:eastAsiaTheme="majorEastAsia"/>
        </w:rPr>
        <w:t>Walling</w:t>
      </w:r>
      <w:r>
        <w:t xml:space="preserve"> v. </w:t>
      </w:r>
      <w:r>
        <w:rPr>
          <w:rStyle w:val="Emphasis"/>
          <w:rFonts w:eastAsiaTheme="majorEastAsia"/>
        </w:rPr>
        <w:t>Dunbar Transfer &amp; Storage Co.,</w:t>
      </w:r>
      <w:r>
        <w:t xml:space="preserve"> 3 W.H. Cases 284; 7 Labor Cases para. 61.565 (W.D. Tenn. 1943); </w:t>
      </w:r>
      <w:r>
        <w:rPr>
          <w:rStyle w:val="Emphasis"/>
          <w:rFonts w:eastAsiaTheme="majorEastAsia"/>
        </w:rPr>
        <w:t>Lofton</w:t>
      </w:r>
      <w:r>
        <w:t xml:space="preserve"> v. </w:t>
      </w:r>
      <w:r>
        <w:rPr>
          <w:rStyle w:val="Emphasis"/>
          <w:rFonts w:eastAsiaTheme="majorEastAsia"/>
        </w:rPr>
        <w:t>Seneca Coal and Coke Co.,</w:t>
      </w:r>
      <w:r>
        <w:t xml:space="preserve"> 2 W.H. Cases 669; 6 Labor Cases para. 61,271 (N.D. Okla. 1942); aff'd 136 F. 2d 359 (C.A. 10, 1943); cert. denied 320 U.S. 772 (1943); </w:t>
      </w:r>
      <w:r>
        <w:rPr>
          <w:rStyle w:val="Emphasis"/>
          <w:rFonts w:eastAsiaTheme="majorEastAsia"/>
        </w:rPr>
        <w:t>Mitchell</w:t>
      </w:r>
      <w:r>
        <w:t xml:space="preserve"> v. </w:t>
      </w:r>
      <w:r>
        <w:rPr>
          <w:rStyle w:val="Emphasis"/>
          <w:rFonts w:eastAsiaTheme="majorEastAsia"/>
        </w:rPr>
        <w:t>Tampa Cigar Co.,</w:t>
      </w:r>
      <w:r>
        <w:t xml:space="preserve"> 36 Labor Cases para. 65, 198, 14 W.H. Cases 38 (S.D. Fla. 1959); </w:t>
      </w:r>
      <w:r>
        <w:rPr>
          <w:rStyle w:val="Emphasis"/>
          <w:rFonts w:eastAsiaTheme="majorEastAsia"/>
        </w:rPr>
        <w:t>Douglass</w:t>
      </w:r>
      <w:r>
        <w:t xml:space="preserve"> v. </w:t>
      </w:r>
      <w:r>
        <w:rPr>
          <w:rStyle w:val="Emphasis"/>
          <w:rFonts w:eastAsiaTheme="majorEastAsia"/>
        </w:rPr>
        <w:t>Hurwitz Co.,</w:t>
      </w:r>
      <w:r>
        <w:t xml:space="preserve"> 145 F. Supp. 29, 13 W.H. Cases (E.D. Pa. 1956)) </w:t>
      </w:r>
    </w:p>
    <w:p w14:paraId="18635684" w14:textId="77777777" w:rsidR="009371E7" w:rsidRDefault="009371E7" w:rsidP="009371E7">
      <w:pPr>
        <w:pStyle w:val="indent-1"/>
        <w:ind w:left="720"/>
      </w:pPr>
      <w:r>
        <w:rPr>
          <w:rStyle w:val="paren"/>
          <w:rFonts w:eastAsiaTheme="majorEastAsia"/>
        </w:rPr>
        <w:t>(</w:t>
      </w:r>
      <w:r>
        <w:rPr>
          <w:rStyle w:val="paragraph-hierarchy"/>
          <w:rFonts w:eastAsiaTheme="majorEastAsia"/>
        </w:rPr>
        <w:t>b</w:t>
      </w:r>
      <w:r>
        <w:rPr>
          <w:rStyle w:val="paren"/>
          <w:rFonts w:eastAsiaTheme="majorEastAsia"/>
        </w:rPr>
        <w:t>)</w:t>
      </w:r>
      <w:r>
        <w:t xml:space="preserve"> </w:t>
      </w:r>
      <w:r>
        <w:rPr>
          <w:rStyle w:val="Emphasis"/>
          <w:rFonts w:eastAsiaTheme="majorEastAsia"/>
          <w:b/>
          <w:bCs/>
        </w:rPr>
        <w:t>Where no permission to leave premises.</w:t>
      </w:r>
      <w:r>
        <w:t xml:space="preserve"> It is not necessary that an employee be permitted to leave the premises if he is otherwise completely freed from duties during the meal </w:t>
      </w:r>
      <w:proofErr w:type="gramStart"/>
      <w:r>
        <w:t>period.”</w:t>
      </w:r>
      <w:proofErr w:type="gramEnd"/>
      <w:r>
        <w:t xml:space="preserve"> </w:t>
      </w:r>
    </w:p>
    <w:p w14:paraId="35FAC4AB" w14:textId="77777777" w:rsidR="009371E7" w:rsidRPr="005F5B75" w:rsidRDefault="009371E7" w:rsidP="009371E7">
      <w:pPr>
        <w:pStyle w:val="Heading2"/>
        <w:ind w:left="720"/>
        <w:rPr>
          <w:rFonts w:ascii="Times New Roman" w:hAnsi="Times New Roman"/>
          <w:sz w:val="24"/>
          <w:szCs w:val="24"/>
        </w:rPr>
      </w:pPr>
      <w:r w:rsidRPr="005F5B75">
        <w:rPr>
          <w:rFonts w:ascii="Times New Roman" w:hAnsi="Times New Roman"/>
          <w:sz w:val="24"/>
          <w:szCs w:val="24"/>
        </w:rPr>
        <w:t xml:space="preserve">See also: U.S. Department of Labor, FLSA Hours Worked Advisor. “The Fair Labor Standards Act (FLSA) does not require an employer to provide meal periods or rest breaks for their employees. Many employers, however, do provide breaks and/or meal periods. Breaks of short duration, from 5 to 20 minutes, are common. </w:t>
      </w:r>
      <w:proofErr w:type="gramStart"/>
      <w:r w:rsidRPr="005F5B75">
        <w:rPr>
          <w:rFonts w:ascii="Times New Roman" w:hAnsi="Times New Roman"/>
          <w:sz w:val="24"/>
          <w:szCs w:val="24"/>
        </w:rPr>
        <w:t>As a general rule</w:t>
      </w:r>
      <w:proofErr w:type="gramEnd"/>
      <w:r w:rsidRPr="005F5B75">
        <w:rPr>
          <w:rFonts w:ascii="Times New Roman" w:hAnsi="Times New Roman"/>
          <w:sz w:val="24"/>
          <w:szCs w:val="24"/>
        </w:rPr>
        <w:t>, rest breaks are considered hours worked and bona fide meal periods are not considered hours worked.</w:t>
      </w:r>
      <w:r>
        <w:rPr>
          <w:rFonts w:ascii="Times New Roman" w:hAnsi="Times New Roman"/>
          <w:sz w:val="24"/>
          <w:szCs w:val="24"/>
        </w:rPr>
        <w:t xml:space="preserve"> </w:t>
      </w:r>
    </w:p>
    <w:p w14:paraId="7057AF3B" w14:textId="77777777" w:rsidR="009371E7" w:rsidRDefault="009371E7" w:rsidP="009371E7">
      <w:pPr>
        <w:pStyle w:val="NormalWeb"/>
        <w:ind w:left="720"/>
      </w:pPr>
      <w:r>
        <w:t xml:space="preserve">Some </w:t>
      </w:r>
      <w:hyperlink r:id="rId1769" w:history="1">
        <w:r>
          <w:rPr>
            <w:rStyle w:val="Hyperlink"/>
            <w:rFonts w:eastAsiaTheme="majorEastAsia"/>
          </w:rPr>
          <w:t>states</w:t>
        </w:r>
      </w:hyperlink>
      <w:r>
        <w:t xml:space="preserve"> do have laws </w:t>
      </w:r>
      <w:proofErr w:type="gramStart"/>
      <w:r>
        <w:t>requiring rest</w:t>
      </w:r>
      <w:proofErr w:type="gramEnd"/>
      <w:r>
        <w:t xml:space="preserve"> breaks and/or meal periods. Such state requirements will prevail over the silence of the FLSA on this subject. In those situations where an employee is subject to both the FLSA and state labor laws, the employee is entitled to the most beneficial provisions of each law.” </w:t>
      </w:r>
      <w:hyperlink r:id="rId1770" w:history="1">
        <w:r w:rsidRPr="007E4CA8">
          <w:rPr>
            <w:rStyle w:val="Hyperlink"/>
          </w:rPr>
          <w:t>https://webapps.dol.gov/elaws/whd/flsa/hoursworked/screenEE4.asp</w:t>
        </w:r>
      </w:hyperlink>
      <w:r>
        <w:t xml:space="preserve"> </w:t>
      </w:r>
    </w:p>
    <w:p w14:paraId="6EEA65D7" w14:textId="77777777" w:rsidR="009371E7" w:rsidRPr="00FB79D7" w:rsidRDefault="009371E7" w:rsidP="009371E7">
      <w:pPr>
        <w:pStyle w:val="NoSpacing"/>
        <w:ind w:left="720" w:firstLine="48"/>
        <w:rPr>
          <w:rFonts w:ascii="Times New Roman" w:hAnsi="Times New Roman"/>
          <w:b/>
          <w:bCs/>
          <w:sz w:val="24"/>
          <w:szCs w:val="24"/>
        </w:rPr>
      </w:pPr>
      <w:r w:rsidRPr="00FB79D7">
        <w:rPr>
          <w:rFonts w:ascii="Times New Roman" w:hAnsi="Times New Roman"/>
          <w:sz w:val="24"/>
          <w:szCs w:val="24"/>
        </w:rPr>
        <w:t xml:space="preserve">See also this article: </w:t>
      </w:r>
      <w:r w:rsidRPr="00FB79D7">
        <w:rPr>
          <w:rFonts w:ascii="Times New Roman" w:hAnsi="Times New Roman"/>
          <w:color w:val="000000" w:themeColor="text1"/>
          <w:sz w:val="24"/>
          <w:szCs w:val="24"/>
        </w:rPr>
        <w:t xml:space="preserve">“Firefighters, Unpaid Meal Periods, and the FLSA.” Sept. 16, 2019.  </w:t>
      </w:r>
      <w:r w:rsidRPr="00FB79D7">
        <w:rPr>
          <w:rFonts w:ascii="Times New Roman" w:hAnsi="Times New Roman"/>
          <w:sz w:val="24"/>
          <w:szCs w:val="24"/>
        </w:rPr>
        <w:t xml:space="preserve">“Needless to say, deducting mealtime from firefighters can prove tricky.” </w:t>
      </w:r>
      <w:hyperlink r:id="rId1771" w:history="1">
        <w:r w:rsidRPr="00FB79D7">
          <w:rPr>
            <w:rStyle w:val="Hyperlink"/>
            <w:rFonts w:ascii="Times New Roman" w:hAnsi="Times New Roman"/>
            <w:sz w:val="24"/>
            <w:szCs w:val="24"/>
          </w:rPr>
          <w:t>https://www.firefighterovertime.org/2019/09/16/firefighter-meal-period/</w:t>
        </w:r>
      </w:hyperlink>
      <w:r w:rsidRPr="00FB79D7">
        <w:rPr>
          <w:rFonts w:ascii="Times New Roman" w:hAnsi="Times New Roman"/>
          <w:sz w:val="24"/>
          <w:szCs w:val="24"/>
        </w:rPr>
        <w:t xml:space="preserve"> </w:t>
      </w:r>
    </w:p>
    <w:p w14:paraId="3151C93D" w14:textId="77777777" w:rsidR="009371E7" w:rsidRPr="00FB79D7" w:rsidRDefault="009371E7" w:rsidP="009371E7">
      <w:pPr>
        <w:pStyle w:val="NoSpacing"/>
        <w:rPr>
          <w:rFonts w:ascii="Times New Roman" w:hAnsi="Times New Roman"/>
          <w:sz w:val="24"/>
          <w:szCs w:val="24"/>
        </w:rPr>
      </w:pPr>
    </w:p>
    <w:p w14:paraId="29A204CD" w14:textId="77777777" w:rsidR="009371E7" w:rsidRPr="00FB79D7" w:rsidRDefault="009371E7" w:rsidP="009371E7">
      <w:pPr>
        <w:pStyle w:val="NoSpacing"/>
        <w:rPr>
          <w:rFonts w:ascii="Times New Roman" w:hAnsi="Times New Roman"/>
          <w:sz w:val="24"/>
          <w:szCs w:val="24"/>
        </w:rPr>
      </w:pPr>
    </w:p>
    <w:p w14:paraId="479EE591" w14:textId="7776F079" w:rsidR="009371E7" w:rsidRPr="009371E7" w:rsidRDefault="009371E7" w:rsidP="009371E7">
      <w:pPr>
        <w:pStyle w:val="NoSpacing"/>
        <w:rPr>
          <w:rFonts w:ascii="Arial Black" w:hAnsi="Arial Black"/>
          <w:b/>
          <w:bCs/>
          <w:sz w:val="24"/>
          <w:szCs w:val="24"/>
        </w:rPr>
      </w:pPr>
      <w:r w:rsidRPr="009371E7">
        <w:rPr>
          <w:rFonts w:ascii="Arial Black" w:hAnsi="Arial Black"/>
          <w:b/>
          <w:bCs/>
          <w:sz w:val="24"/>
          <w:szCs w:val="24"/>
        </w:rPr>
        <w:t>11-</w:t>
      </w:r>
      <w:r w:rsidR="009601CD">
        <w:rPr>
          <w:rFonts w:ascii="Arial Black" w:hAnsi="Arial Black"/>
          <w:b/>
          <w:bCs/>
          <w:sz w:val="24"/>
          <w:szCs w:val="24"/>
        </w:rPr>
        <w:t>51</w:t>
      </w:r>
    </w:p>
    <w:p w14:paraId="00D6CF79" w14:textId="77777777" w:rsidR="009371E7" w:rsidRPr="00CB0C9A" w:rsidRDefault="009371E7" w:rsidP="009371E7">
      <w:pPr>
        <w:spacing w:before="100" w:beforeAutospacing="1" w:after="100" w:afterAutospacing="1" w:line="240" w:lineRule="auto"/>
        <w:outlineLvl w:val="0"/>
        <w:rPr>
          <w:rFonts w:ascii="Arial Black" w:eastAsia="Times New Roman" w:hAnsi="Arial Black"/>
          <w:b/>
          <w:bCs/>
          <w:kern w:val="36"/>
          <w:sz w:val="28"/>
          <w:szCs w:val="28"/>
        </w:rPr>
      </w:pPr>
      <w:r>
        <w:rPr>
          <w:rFonts w:ascii="Arial Black" w:eastAsia="Times New Roman" w:hAnsi="Arial Black"/>
          <w:b/>
          <w:bCs/>
          <w:kern w:val="36"/>
          <w:sz w:val="28"/>
          <w:szCs w:val="28"/>
        </w:rPr>
        <w:t>MO: FLSA – CLASS ACTION CERTIFIED - PAY WHEN WORKING OUT-OF-POSITION – 5% INCREASE ON WAGE</w:t>
      </w:r>
    </w:p>
    <w:p w14:paraId="4BE1F28E" w14:textId="77777777" w:rsidR="009371E7" w:rsidRDefault="009371E7" w:rsidP="009371E7">
      <w:pPr>
        <w:pStyle w:val="paragraph"/>
      </w:pPr>
      <w:r>
        <w:t xml:space="preserve">On March 5, 2024, in </w:t>
      </w:r>
      <w:r w:rsidRPr="00011D84">
        <w:rPr>
          <w:u w:val="single"/>
        </w:rPr>
        <w:t>Donnie Shook, individually and on behalf of all others similarly situated v. City of Independence, Missouri</w:t>
      </w:r>
      <w:r>
        <w:t xml:space="preserve">, United States District Court Judge Greg Kays, U.S District Court for Western District of Missouri, with no objection by the City has conditionally certified this class action lawsuit, where fellow firefighters with IAFF Local 781 may opt into the case as it proceeds in pre-trial discovery. Under the CBA, firefighters working “out-of-position” (for example, firefighter serving as Acting Lieutenant) receive a five percent increase in their regular hourly wage for those hours; the dispute concerns how this impacts the “regular hourly wage” rate of the firefighter. </w:t>
      </w:r>
    </w:p>
    <w:p w14:paraId="55AD63FA" w14:textId="77777777" w:rsidR="00D90293" w:rsidRPr="004C0299" w:rsidRDefault="00D90293" w:rsidP="00D90293">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FC50DC0" w14:textId="77777777" w:rsidR="00D90293" w:rsidRDefault="00D90293" w:rsidP="009371E7">
      <w:pPr>
        <w:pStyle w:val="paragraph"/>
      </w:pPr>
    </w:p>
    <w:p w14:paraId="362301C3" w14:textId="77777777" w:rsidR="009371E7" w:rsidRDefault="009371E7" w:rsidP="009371E7">
      <w:pPr>
        <w:pStyle w:val="paragraph"/>
        <w:ind w:left="720"/>
      </w:pPr>
      <w:r>
        <w:t xml:space="preserve">“Plaintiff alleges Defendant's pay calculation policy violates the FLSA because it dilutes overtime compensation for hours worked out-of-position, resulting in overtime not being paid at a rate of at least one and a half times the regular rate. Defendant denies these allegations and maintains its pay calculation </w:t>
      </w:r>
      <w:proofErr w:type="gramStart"/>
      <w:r>
        <w:t>policy</w:t>
      </w:r>
      <w:proofErr w:type="gramEnd"/>
      <w:r>
        <w:t xml:space="preserve"> accounts for all hours and pay rates worked during a 27-day pay cycle. </w:t>
      </w:r>
    </w:p>
    <w:p w14:paraId="7807626A" w14:textId="77777777" w:rsidR="009371E7" w:rsidRDefault="009371E7" w:rsidP="009371E7">
      <w:pPr>
        <w:pStyle w:val="paragraph"/>
        <w:ind w:left="720"/>
      </w:pPr>
      <w:r>
        <w:t>***</w:t>
      </w:r>
    </w:p>
    <w:p w14:paraId="4E576EC6" w14:textId="77777777" w:rsidR="009371E7" w:rsidRDefault="009371E7" w:rsidP="009371E7">
      <w:pPr>
        <w:spacing w:before="100" w:beforeAutospacing="1" w:after="100" w:afterAutospacing="1" w:line="240" w:lineRule="auto"/>
        <w:ind w:left="720"/>
        <w:rPr>
          <w:rFonts w:ascii="Times New Roman" w:eastAsia="Times New Roman" w:hAnsi="Times New Roman"/>
          <w:sz w:val="24"/>
          <w:szCs w:val="24"/>
        </w:rPr>
      </w:pPr>
      <w:r w:rsidRPr="003D356B">
        <w:rPr>
          <w:rFonts w:ascii="Times New Roman" w:eastAsia="Times New Roman" w:hAnsi="Times New Roman"/>
          <w:sz w:val="24"/>
          <w:szCs w:val="24"/>
        </w:rPr>
        <w:t xml:space="preserve">Accordingly, the Court conditionally certifies the following class: </w:t>
      </w:r>
    </w:p>
    <w:p w14:paraId="0B417BEC" w14:textId="77777777" w:rsidR="009371E7" w:rsidRDefault="009371E7" w:rsidP="009371E7">
      <w:pPr>
        <w:spacing w:before="100" w:beforeAutospacing="1" w:after="100" w:afterAutospacing="1" w:line="240" w:lineRule="auto"/>
        <w:ind w:left="1440"/>
        <w:rPr>
          <w:rFonts w:ascii="Times New Roman" w:eastAsia="Times New Roman" w:hAnsi="Times New Roman"/>
          <w:sz w:val="24"/>
          <w:szCs w:val="24"/>
        </w:rPr>
      </w:pPr>
      <w:r w:rsidRPr="003D356B">
        <w:rPr>
          <w:rFonts w:ascii="Times New Roman" w:eastAsia="Times New Roman" w:hAnsi="Times New Roman"/>
          <w:sz w:val="24"/>
          <w:szCs w:val="24"/>
        </w:rPr>
        <w:t xml:space="preserve">All current and former Independence, Missouri firefighters who worked out-of-position at a higher rate of pay and worked more than 204 hours in the </w:t>
      </w:r>
      <w:proofErr w:type="spellStart"/>
      <w:r w:rsidRPr="003D356B">
        <w:rPr>
          <w:rFonts w:ascii="Times New Roman" w:eastAsia="Times New Roman" w:hAnsi="Times New Roman"/>
          <w:sz w:val="24"/>
          <w:szCs w:val="24"/>
        </w:rPr>
        <w:t>sme</w:t>
      </w:r>
      <w:proofErr w:type="spellEnd"/>
      <w:r w:rsidRPr="003D356B">
        <w:rPr>
          <w:rFonts w:ascii="Times New Roman" w:eastAsia="Times New Roman" w:hAnsi="Times New Roman"/>
          <w:sz w:val="24"/>
          <w:szCs w:val="24"/>
        </w:rPr>
        <w:t xml:space="preserve"> 27-day period at any time beginning three years prior to joining this lawsuit.</w:t>
      </w:r>
      <w:r>
        <w:rPr>
          <w:rFonts w:ascii="Times New Roman" w:eastAsia="Times New Roman" w:hAnsi="Times New Roman"/>
          <w:sz w:val="24"/>
          <w:szCs w:val="24"/>
        </w:rPr>
        <w:t>’</w:t>
      </w:r>
    </w:p>
    <w:p w14:paraId="6A3BC5FA" w14:textId="77777777" w:rsidR="009371E7" w:rsidRDefault="009371E7" w:rsidP="009371E7">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ab/>
        <w:t>***</w:t>
      </w:r>
    </w:p>
    <w:p w14:paraId="1226FF56" w14:textId="77777777" w:rsidR="009371E7" w:rsidRPr="00FB03E9" w:rsidRDefault="009371E7" w:rsidP="009371E7">
      <w:pPr>
        <w:pStyle w:val="paragraph"/>
        <w:ind w:firstLine="720"/>
      </w:pPr>
      <w:r w:rsidRPr="00FB03E9">
        <w:t xml:space="preserve">Conclusion </w:t>
      </w:r>
    </w:p>
    <w:p w14:paraId="7D1E2EDA" w14:textId="77777777" w:rsidR="009371E7" w:rsidRDefault="009371E7" w:rsidP="009371E7">
      <w:pPr>
        <w:pStyle w:val="paragraph"/>
        <w:ind w:left="720"/>
      </w:pPr>
      <w:r>
        <w:t>The class is conditionally certified. Defendant shall produce to Plaintiff the names, job titles, dates of employment, last known addresses, and email addresses of potential plaintiffs within seven (7) days of this Order. Plaintiff is authorized to send notice and consent forms, by mail and email to potential class members. Each potential plaintiff shall have sixty (60) days from the date the mailing list is provided to opt-in to the litigation.”</w:t>
      </w:r>
    </w:p>
    <w:p w14:paraId="6F66E34D" w14:textId="77777777" w:rsidR="009371E7" w:rsidRPr="005B1A2F" w:rsidRDefault="009371E7" w:rsidP="009371E7">
      <w:pPr>
        <w:pStyle w:val="paragraph"/>
        <w:rPr>
          <w:b/>
          <w:bCs/>
        </w:rPr>
      </w:pPr>
      <w:r w:rsidRPr="005B1A2F">
        <w:rPr>
          <w:b/>
          <w:bCs/>
        </w:rPr>
        <w:t>Legal Lesson Learned:</w:t>
      </w:r>
      <w:r>
        <w:rPr>
          <w:b/>
          <w:bCs/>
        </w:rPr>
        <w:t xml:space="preserve"> Lawsuit will now proceed with pre-trial discovery.</w:t>
      </w:r>
    </w:p>
    <w:p w14:paraId="592AEF1E" w14:textId="77777777" w:rsidR="009371E7" w:rsidRDefault="009371E7" w:rsidP="009371E7">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Note: See this Notice from plaintiff’s law firm:</w:t>
      </w:r>
      <w:r w:rsidRPr="005B1A2F">
        <w:t xml:space="preserve"> </w:t>
      </w:r>
      <w:hyperlink r:id="rId1772" w:history="1">
        <w:r w:rsidRPr="0090149E">
          <w:rPr>
            <w:rStyle w:val="Hyperlink"/>
            <w:rFonts w:ascii="Times New Roman" w:eastAsia="Times New Roman" w:hAnsi="Times New Roman"/>
            <w:sz w:val="24"/>
            <w:szCs w:val="24"/>
          </w:rPr>
          <w:t>http://flsa-optin.com/</w:t>
        </w:r>
      </w:hyperlink>
      <w:r>
        <w:rPr>
          <w:rFonts w:ascii="Times New Roman" w:eastAsia="Times New Roman" w:hAnsi="Times New Roman"/>
          <w:sz w:val="24"/>
          <w:szCs w:val="24"/>
        </w:rPr>
        <w:t xml:space="preserve"> </w:t>
      </w:r>
    </w:p>
    <w:p w14:paraId="5F242C56" w14:textId="77777777" w:rsidR="009371E7" w:rsidRPr="007957B8" w:rsidRDefault="009371E7" w:rsidP="009371E7">
      <w:pPr>
        <w:pStyle w:val="NormalWeb"/>
        <w:ind w:firstLine="720"/>
        <w:jc w:val="both"/>
      </w:pPr>
      <w:r w:rsidRPr="007957B8">
        <w:rPr>
          <w:rStyle w:val="Strong"/>
          <w:rFonts w:eastAsiaTheme="majorEastAsia"/>
          <w:color w:val="003366"/>
        </w:rPr>
        <w:t>YOUR RIGHT TO PARTICIPATE IN THIS LAWSUIT</w:t>
      </w:r>
    </w:p>
    <w:p w14:paraId="09C5C24D" w14:textId="77777777" w:rsidR="009371E7" w:rsidRPr="007957B8" w:rsidRDefault="009371E7" w:rsidP="009371E7">
      <w:pPr>
        <w:pStyle w:val="NormalWeb"/>
        <w:ind w:left="720"/>
        <w:jc w:val="both"/>
        <w:rPr>
          <w:rStyle w:val="Strong"/>
          <w:rFonts w:eastAsiaTheme="majorEastAsia"/>
        </w:rPr>
      </w:pPr>
      <w:r w:rsidRPr="007957B8">
        <w:t xml:space="preserve">If you fit the definition above, you may join this suit (that is, you may “opt in”) </w:t>
      </w:r>
      <w:proofErr w:type="gramStart"/>
      <w:r w:rsidRPr="007957B8">
        <w:t>provided that</w:t>
      </w:r>
      <w:proofErr w:type="gramEnd"/>
      <w:r w:rsidRPr="007957B8">
        <w:t xml:space="preserve"> you file or cause to be filed the attached Consent to Join Collective Action. </w:t>
      </w:r>
      <w:r w:rsidRPr="007957B8">
        <w:rPr>
          <w:rStyle w:val="Strong"/>
          <w:rFonts w:eastAsiaTheme="majorEastAsia"/>
        </w:rPr>
        <w:t xml:space="preserve">You have two options: (1) you may file electronically by clicking </w:t>
      </w:r>
      <w:hyperlink r:id="rId1773" w:tgtFrame="_blank" w:history="1">
        <w:r w:rsidRPr="007957B8">
          <w:rPr>
            <w:rStyle w:val="Hyperlink"/>
            <w:rFonts w:eastAsiaTheme="majorEastAsia"/>
            <w:b/>
            <w:bCs/>
          </w:rPr>
          <w:t>here</w:t>
        </w:r>
      </w:hyperlink>
      <w:r w:rsidRPr="007957B8">
        <w:rPr>
          <w:rStyle w:val="Strong"/>
          <w:rFonts w:eastAsiaTheme="majorEastAsia"/>
        </w:rPr>
        <w:t xml:space="preserve"> </w:t>
      </w:r>
      <w:r w:rsidRPr="007957B8">
        <w:rPr>
          <w:rStyle w:val="Strong"/>
          <w:rFonts w:eastAsiaTheme="majorEastAsia"/>
          <w:color w:val="B22222"/>
        </w:rPr>
        <w:t>before</w:t>
      </w:r>
      <w:r w:rsidRPr="007957B8">
        <w:rPr>
          <w:rStyle w:val="Strong"/>
          <w:rFonts w:eastAsiaTheme="majorEastAsia"/>
        </w:rPr>
        <w:t xml:space="preserve"> </w:t>
      </w:r>
      <w:r w:rsidRPr="007957B8">
        <w:rPr>
          <w:rStyle w:val="Strong"/>
          <w:rFonts w:eastAsiaTheme="majorEastAsia"/>
          <w:color w:val="B22222"/>
        </w:rPr>
        <w:t>October 20, 2023</w:t>
      </w:r>
      <w:r w:rsidRPr="007957B8">
        <w:rPr>
          <w:rStyle w:val="Strong"/>
          <w:rFonts w:eastAsiaTheme="majorEastAsia"/>
        </w:rPr>
        <w:t xml:space="preserve">; or (2) you may </w:t>
      </w:r>
      <w:hyperlink r:id="rId1774" w:tgtFrame="_blank" w:history="1">
        <w:r w:rsidRPr="007957B8">
          <w:rPr>
            <w:rStyle w:val="Hyperlink"/>
            <w:rFonts w:eastAsiaTheme="majorEastAsia"/>
            <w:b/>
            <w:bCs/>
          </w:rPr>
          <w:t>download</w:t>
        </w:r>
      </w:hyperlink>
      <w:r w:rsidRPr="007957B8">
        <w:rPr>
          <w:rStyle w:val="Strong"/>
          <w:rFonts w:eastAsiaTheme="majorEastAsia"/>
        </w:rPr>
        <w:t xml:space="preserve"> and sign and mail the consent form before October 20, </w:t>
      </w:r>
      <w:proofErr w:type="gramStart"/>
      <w:r w:rsidRPr="007957B8">
        <w:rPr>
          <w:rStyle w:val="Strong"/>
          <w:rFonts w:eastAsiaTheme="majorEastAsia"/>
        </w:rPr>
        <w:t>2023</w:t>
      </w:r>
      <w:proofErr w:type="gramEnd"/>
      <w:r w:rsidRPr="007957B8">
        <w:rPr>
          <w:rStyle w:val="Strong"/>
          <w:rFonts w:eastAsiaTheme="majorEastAsia"/>
        </w:rPr>
        <w:t xml:space="preserve"> to:</w:t>
      </w:r>
    </w:p>
    <w:p w14:paraId="02BBBC66" w14:textId="77777777" w:rsidR="009371E7" w:rsidRPr="007957B8" w:rsidRDefault="009371E7" w:rsidP="009371E7">
      <w:pPr>
        <w:ind w:left="720"/>
        <w:rPr>
          <w:rFonts w:ascii="Times New Roman" w:hAnsi="Times New Roman"/>
          <w:sz w:val="24"/>
          <w:szCs w:val="24"/>
        </w:rPr>
      </w:pPr>
      <w:r w:rsidRPr="007957B8">
        <w:rPr>
          <w:rFonts w:ascii="Times New Roman" w:hAnsi="Times New Roman"/>
          <w:sz w:val="24"/>
          <w:szCs w:val="24"/>
        </w:rPr>
        <w:t>Boyd Kenter Thomas &amp; Parrish, LLC</w:t>
      </w:r>
      <w:r w:rsidRPr="007957B8">
        <w:rPr>
          <w:rFonts w:ascii="Times New Roman" w:hAnsi="Times New Roman"/>
          <w:sz w:val="24"/>
          <w:szCs w:val="24"/>
        </w:rPr>
        <w:br/>
        <w:t>PO BOX 439</w:t>
      </w:r>
      <w:r w:rsidRPr="007957B8">
        <w:rPr>
          <w:rFonts w:ascii="Times New Roman" w:hAnsi="Times New Roman"/>
          <w:sz w:val="24"/>
          <w:szCs w:val="24"/>
        </w:rPr>
        <w:br/>
        <w:t>Independence, Missouri 64050</w:t>
      </w:r>
    </w:p>
    <w:p w14:paraId="77373FE9" w14:textId="77777777" w:rsidR="009371E7" w:rsidRPr="007957B8" w:rsidRDefault="009371E7" w:rsidP="009371E7">
      <w:pPr>
        <w:pStyle w:val="NormalWeb"/>
        <w:ind w:left="720"/>
        <w:jc w:val="both"/>
      </w:pPr>
      <w:r w:rsidRPr="007957B8">
        <w:t>If you choose option (2), your consent form must be enclosed in an envelope that is postmarked on or before October 20, 2023.</w:t>
      </w:r>
    </w:p>
    <w:p w14:paraId="32778FC5" w14:textId="77777777" w:rsidR="009371E7" w:rsidRDefault="009371E7" w:rsidP="00F326E5">
      <w:pPr>
        <w:rPr>
          <w:rFonts w:ascii="Arial Black" w:hAnsi="Arial Black"/>
          <w:b/>
          <w:sz w:val="24"/>
          <w:szCs w:val="24"/>
        </w:rPr>
      </w:pPr>
    </w:p>
    <w:p w14:paraId="7FA9D57C" w14:textId="20F357AF" w:rsidR="00A82016" w:rsidRDefault="00A82016" w:rsidP="00F326E5">
      <w:pPr>
        <w:rPr>
          <w:rFonts w:ascii="Arial Black" w:hAnsi="Arial Black"/>
          <w:b/>
          <w:sz w:val="24"/>
          <w:szCs w:val="24"/>
        </w:rPr>
      </w:pPr>
      <w:r>
        <w:rPr>
          <w:rFonts w:ascii="Arial Black" w:hAnsi="Arial Black"/>
          <w:b/>
          <w:sz w:val="24"/>
          <w:szCs w:val="24"/>
        </w:rPr>
        <w:t>11-47</w:t>
      </w:r>
    </w:p>
    <w:p w14:paraId="4256C3CD" w14:textId="77777777" w:rsidR="00A82016" w:rsidRPr="00253890" w:rsidRDefault="00A82016" w:rsidP="00A82016">
      <w:pPr>
        <w:spacing w:before="100" w:beforeAutospacing="1" w:after="100" w:afterAutospacing="1" w:line="240" w:lineRule="auto"/>
        <w:rPr>
          <w:rFonts w:ascii="Times New Roman" w:eastAsia="Times New Roman" w:hAnsi="Times New Roman"/>
          <w:sz w:val="24"/>
          <w:szCs w:val="24"/>
        </w:rPr>
      </w:pPr>
      <w:r>
        <w:rPr>
          <w:rFonts w:ascii="Arial Black" w:eastAsia="Times New Roman" w:hAnsi="Arial Black"/>
          <w:sz w:val="28"/>
          <w:szCs w:val="28"/>
        </w:rPr>
        <w:t xml:space="preserve">MS: FLSA - LONGEVITY PAY – LAWSUIT SETTLED PAY OCT. 2023 FORWARD - 25 FF AGREED /10 OBJECTED - ENFORCED </w:t>
      </w:r>
    </w:p>
    <w:p w14:paraId="15A25AA1" w14:textId="77777777" w:rsidR="00A82016" w:rsidRDefault="00A82016" w:rsidP="00A82016">
      <w:pPr>
        <w:pStyle w:val="NoSpacing"/>
        <w:rPr>
          <w:rFonts w:ascii="Times New Roman" w:hAnsi="Times New Roman"/>
          <w:sz w:val="24"/>
          <w:szCs w:val="24"/>
        </w:rPr>
      </w:pPr>
      <w:r>
        <w:rPr>
          <w:rFonts w:ascii="Times New Roman" w:hAnsi="Times New Roman"/>
          <w:sz w:val="24"/>
          <w:szCs w:val="24"/>
        </w:rPr>
        <w:t xml:space="preserve">On Jan. 25, 2024, in </w:t>
      </w:r>
      <w:r w:rsidRPr="00CA23AA">
        <w:rPr>
          <w:rFonts w:ascii="Times New Roman" w:hAnsi="Times New Roman"/>
          <w:sz w:val="24"/>
          <w:szCs w:val="24"/>
          <w:u w:val="single"/>
        </w:rPr>
        <w:t>Derrick Gates, et al. v. City of Biloxi, Mississippi</w:t>
      </w:r>
      <w:r>
        <w:rPr>
          <w:rFonts w:ascii="Times New Roman" w:hAnsi="Times New Roman"/>
          <w:sz w:val="24"/>
          <w:szCs w:val="24"/>
        </w:rPr>
        <w:t xml:space="preserve">, U.S. District Court Judge Louis Guirola, Jr., U.S. District Court for Southern District of Mississippi (Southern Division) granted the City’s motion to enforce the settlement agreement. </w:t>
      </w:r>
    </w:p>
    <w:p w14:paraId="107B8D16" w14:textId="77777777" w:rsidR="00A82016" w:rsidRDefault="00A82016" w:rsidP="00A82016">
      <w:pPr>
        <w:pStyle w:val="NoSpacing"/>
        <w:rPr>
          <w:rFonts w:ascii="Times New Roman" w:hAnsi="Times New Roman"/>
          <w:sz w:val="24"/>
          <w:szCs w:val="24"/>
        </w:rPr>
      </w:pPr>
    </w:p>
    <w:p w14:paraId="58AB6537" w14:textId="6EE03A1D" w:rsidR="00A82016" w:rsidRDefault="00A82016" w:rsidP="00A82016">
      <w:pPr>
        <w:rPr>
          <w:rStyle w:val="Hyperlink"/>
          <w:rFonts w:ascii="Times New Roman" w:hAnsi="Times New Roman"/>
          <w:sz w:val="24"/>
          <w:szCs w:val="24"/>
        </w:rPr>
      </w:pPr>
      <w:r>
        <w:rPr>
          <w:rFonts w:ascii="Times New Roman" w:hAnsi="Times New Roman"/>
          <w:sz w:val="24"/>
          <w:szCs w:val="24"/>
        </w:rPr>
        <w:t>“</w:t>
      </w:r>
      <w:r w:rsidRPr="00195CB1">
        <w:rPr>
          <w:rFonts w:ascii="Times New Roman" w:hAnsi="Times New Roman"/>
          <w:sz w:val="24"/>
          <w:szCs w:val="24"/>
        </w:rPr>
        <w:t>Here, the parties through their retained counsel announced the</w:t>
      </w:r>
      <w:r>
        <w:rPr>
          <w:rFonts w:ascii="Times New Roman" w:hAnsi="Times New Roman"/>
          <w:sz w:val="24"/>
          <w:szCs w:val="24"/>
        </w:rPr>
        <w:t xml:space="preserve"> </w:t>
      </w:r>
      <w:r w:rsidRPr="00195CB1">
        <w:rPr>
          <w:rFonts w:ascii="Times New Roman" w:hAnsi="Times New Roman"/>
          <w:sz w:val="24"/>
          <w:szCs w:val="24"/>
        </w:rPr>
        <w:t>settlement, and the terms were recited into the record. It is the recorded recitations</w:t>
      </w:r>
      <w:r>
        <w:rPr>
          <w:rFonts w:ascii="Times New Roman" w:hAnsi="Times New Roman"/>
          <w:sz w:val="24"/>
          <w:szCs w:val="24"/>
        </w:rPr>
        <w:t xml:space="preserve"> </w:t>
      </w:r>
      <w:r w:rsidRPr="00195CB1">
        <w:rPr>
          <w:rFonts w:ascii="Times New Roman" w:hAnsi="Times New Roman"/>
          <w:sz w:val="24"/>
          <w:szCs w:val="24"/>
        </w:rPr>
        <w:t>that control. Therefore, the settlement agreement is enforceable as recorded in the</w:t>
      </w:r>
      <w:r>
        <w:rPr>
          <w:rFonts w:ascii="Times New Roman" w:hAnsi="Times New Roman"/>
          <w:sz w:val="24"/>
          <w:szCs w:val="24"/>
        </w:rPr>
        <w:t xml:space="preserve"> </w:t>
      </w:r>
      <w:r w:rsidRPr="00195CB1">
        <w:rPr>
          <w:rFonts w:ascii="Times New Roman" w:hAnsi="Times New Roman"/>
          <w:sz w:val="24"/>
          <w:szCs w:val="24"/>
        </w:rPr>
        <w:t>transcript at the close of the settlement conference, regardless of any alleged</w:t>
      </w:r>
      <w:r>
        <w:rPr>
          <w:rFonts w:ascii="Times New Roman" w:hAnsi="Times New Roman"/>
          <w:sz w:val="24"/>
          <w:szCs w:val="24"/>
        </w:rPr>
        <w:t xml:space="preserve"> </w:t>
      </w:r>
      <w:r w:rsidRPr="00195CB1">
        <w:rPr>
          <w:rFonts w:ascii="Times New Roman" w:hAnsi="Times New Roman"/>
          <w:sz w:val="24"/>
          <w:szCs w:val="24"/>
        </w:rPr>
        <w:t>omissions contained in a later memorialization of the parties’ agreement.</w:t>
      </w:r>
      <w:r>
        <w:rPr>
          <w:rFonts w:ascii="Times New Roman" w:hAnsi="Times New Roman"/>
          <w:sz w:val="24"/>
          <w:szCs w:val="24"/>
        </w:rPr>
        <w:t xml:space="preserve">”   </w:t>
      </w:r>
      <w:hyperlink r:id="rId1775" w:history="1">
        <w:r w:rsidRPr="00624A20">
          <w:rPr>
            <w:rStyle w:val="Hyperlink"/>
            <w:rFonts w:ascii="Times New Roman" w:hAnsi="Times New Roman"/>
            <w:sz w:val="24"/>
            <w:szCs w:val="24"/>
          </w:rPr>
          <w:t>https://cases.justia.com/federal/district-courts/mississippi/mssdce/1:2022cv00356/117172/19/0.pdf?ts=1706287990</w:t>
        </w:r>
      </w:hyperlink>
    </w:p>
    <w:p w14:paraId="3A00E7B4" w14:textId="4FC5B2D7" w:rsidR="00F260DB" w:rsidRDefault="00F260DB" w:rsidP="00A82016">
      <w:pPr>
        <w:rPr>
          <w:rFonts w:ascii="Arial Black" w:hAnsi="Arial Black"/>
          <w:b/>
          <w:sz w:val="24"/>
          <w:szCs w:val="24"/>
        </w:rPr>
      </w:pPr>
      <w:r w:rsidRPr="0027455C">
        <w:rPr>
          <w:rFonts w:ascii="Times New Roman" w:hAnsi="Times New Roman"/>
          <w:b/>
          <w:bCs/>
          <w:sz w:val="24"/>
          <w:szCs w:val="24"/>
        </w:rPr>
        <w:t>Legal Lesson Learned:</w:t>
      </w:r>
      <w:r>
        <w:rPr>
          <w:rFonts w:ascii="Times New Roman" w:hAnsi="Times New Roman"/>
          <w:b/>
          <w:bCs/>
          <w:sz w:val="24"/>
          <w:szCs w:val="24"/>
        </w:rPr>
        <w:t xml:space="preserve"> A settlement agreement agreed to by Plaintiffs’ legal counsel applies to all firefighters on the fire department</w:t>
      </w:r>
    </w:p>
    <w:p w14:paraId="2C52C8F0" w14:textId="77777777" w:rsidR="00A82016" w:rsidRDefault="00A82016" w:rsidP="00F326E5">
      <w:pPr>
        <w:rPr>
          <w:rFonts w:ascii="Arial Black" w:hAnsi="Arial Black"/>
          <w:b/>
          <w:sz w:val="24"/>
          <w:szCs w:val="24"/>
        </w:rPr>
      </w:pPr>
    </w:p>
    <w:p w14:paraId="7AD83869" w14:textId="071DD38E" w:rsidR="00357AB9" w:rsidRDefault="00357AB9"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50</w:t>
      </w:r>
    </w:p>
    <w:p w14:paraId="443FE29E" w14:textId="77777777" w:rsidR="00357AB9" w:rsidRDefault="00357AB9" w:rsidP="00357AB9">
      <w:pPr>
        <w:pStyle w:val="NormalWeb"/>
        <w:rPr>
          <w:rFonts w:ascii="Arial Black" w:hAnsi="Arial Black"/>
          <w:b/>
          <w:bCs/>
          <w:sz w:val="28"/>
          <w:szCs w:val="28"/>
        </w:rPr>
      </w:pPr>
      <w:r>
        <w:rPr>
          <w:rFonts w:ascii="Arial Black" w:hAnsi="Arial Black"/>
          <w:b/>
          <w:bCs/>
          <w:sz w:val="28"/>
          <w:szCs w:val="28"/>
        </w:rPr>
        <w:t>CA: FLSA - FF HAVE HEALTH INSUR. WITH SPOUSE CAN “OPT OUT” – OPT OUT FEE IS NOT PART “REGULAR WAGES”</w:t>
      </w:r>
    </w:p>
    <w:p w14:paraId="61E58FB4" w14:textId="77777777" w:rsidR="00357AB9" w:rsidRDefault="00357AB9" w:rsidP="00357AB9">
      <w:pPr>
        <w:pStyle w:val="NoSpacing"/>
        <w:rPr>
          <w:rFonts w:ascii="Times New Roman" w:hAnsi="Times New Roman"/>
          <w:sz w:val="24"/>
          <w:szCs w:val="24"/>
        </w:rPr>
      </w:pPr>
      <w:r w:rsidRPr="00EA69A8">
        <w:rPr>
          <w:rFonts w:ascii="Times New Roman" w:hAnsi="Times New Roman"/>
          <w:sz w:val="24"/>
          <w:szCs w:val="24"/>
        </w:rPr>
        <w:t xml:space="preserve">On Nov. 30, 2023, in </w:t>
      </w:r>
      <w:r w:rsidRPr="00F72B12">
        <w:rPr>
          <w:rFonts w:ascii="Times New Roman" w:hAnsi="Times New Roman"/>
          <w:sz w:val="24"/>
          <w:szCs w:val="24"/>
          <w:u w:val="single"/>
        </w:rPr>
        <w:t>Anthony Sanders, et al. v. County of Ventura</w:t>
      </w:r>
      <w:r w:rsidRPr="00EA69A8">
        <w:rPr>
          <w:rFonts w:ascii="Times New Roman" w:hAnsi="Times New Roman"/>
          <w:sz w:val="24"/>
          <w:szCs w:val="24"/>
        </w:rPr>
        <w:t>,  the U.S. Court of Appeals for the 9th Circuit (San Francisco) held (3 to 0) that trial court judge properly granted summary judgment to the County.  For example, PFA [Professional Firefighters Association] members in 2022 received a Flex Credit of $482, but their opt-out fee was $334.75, resulting in a net cash payment of $147.25 per pay period.</w:t>
      </w:r>
      <w:r>
        <w:rPr>
          <w:rFonts w:ascii="Times New Roman" w:hAnsi="Times New Roman"/>
          <w:sz w:val="24"/>
          <w:szCs w:val="24"/>
        </w:rPr>
        <w:t xml:space="preserve"> </w:t>
      </w:r>
      <w:r w:rsidRPr="00EA69A8">
        <w:rPr>
          <w:rFonts w:ascii="Times New Roman" w:hAnsi="Times New Roman"/>
          <w:sz w:val="24"/>
          <w:szCs w:val="24"/>
        </w:rPr>
        <w:t>The Court of Appeals wrote: “What this means is that § 207(e)(4) permits an employer</w:t>
      </w:r>
      <w:r>
        <w:rPr>
          <w:rFonts w:ascii="Times New Roman" w:hAnsi="Times New Roman"/>
          <w:sz w:val="24"/>
          <w:szCs w:val="24"/>
        </w:rPr>
        <w:t xml:space="preserve"> </w:t>
      </w:r>
      <w:r w:rsidRPr="00EA69A8">
        <w:rPr>
          <w:rFonts w:ascii="Times New Roman" w:hAnsi="Times New Roman"/>
          <w:sz w:val="24"/>
          <w:szCs w:val="24"/>
        </w:rPr>
        <w:t>to exempt from an employee’s regular rate of pay employer contributions made pursuant to bona fide health plans that are designed to alleviate the burden of a shrinking risk pool for the employees who choose to remain in the plans. When an employer, as here, decides to allow employees to retain some portion of an unused health insurance credit, it can permissibly structure the program to prop up the employee health plans without treating the full amount of the health credit as part of the FLSA regular rate of pay.”</w:t>
      </w:r>
      <w:r>
        <w:rPr>
          <w:rFonts w:ascii="Times New Roman" w:hAnsi="Times New Roman"/>
          <w:sz w:val="24"/>
          <w:szCs w:val="24"/>
        </w:rPr>
        <w:t xml:space="preserve"> </w:t>
      </w:r>
      <w:hyperlink r:id="rId1776" w:history="1">
        <w:r w:rsidRPr="001D6799">
          <w:rPr>
            <w:rStyle w:val="Hyperlink"/>
            <w:rFonts w:ascii="Times New Roman" w:hAnsi="Times New Roman"/>
            <w:sz w:val="24"/>
            <w:szCs w:val="24"/>
          </w:rPr>
          <w:t>https://cdn.ca9.uscourts.gov/datastore/opinions/2023/11/30/22-55663.pdf</w:t>
        </w:r>
      </w:hyperlink>
      <w:r>
        <w:rPr>
          <w:rFonts w:ascii="Times New Roman" w:hAnsi="Times New Roman"/>
          <w:sz w:val="24"/>
          <w:szCs w:val="24"/>
        </w:rPr>
        <w:t xml:space="preserve"> </w:t>
      </w:r>
    </w:p>
    <w:p w14:paraId="493FAE4B" w14:textId="77777777" w:rsidR="00FB5A0A" w:rsidRDefault="00FB5A0A" w:rsidP="00FB5A0A">
      <w:pPr>
        <w:pStyle w:val="NoSpacing"/>
        <w:rPr>
          <w:rFonts w:ascii="Times New Roman" w:hAnsi="Times New Roman"/>
          <w:b/>
          <w:bCs/>
          <w:sz w:val="24"/>
          <w:szCs w:val="24"/>
        </w:rPr>
      </w:pPr>
    </w:p>
    <w:p w14:paraId="4F255FE2" w14:textId="0311498F" w:rsidR="00FB5A0A" w:rsidRPr="00404656" w:rsidRDefault="00FB5A0A" w:rsidP="00FB5A0A">
      <w:pPr>
        <w:pStyle w:val="NoSpacing"/>
        <w:rPr>
          <w:rFonts w:ascii="Times New Roman" w:hAnsi="Times New Roman"/>
          <w:b/>
          <w:bCs/>
          <w:sz w:val="24"/>
          <w:szCs w:val="24"/>
        </w:rPr>
      </w:pPr>
      <w:r w:rsidRPr="00404656">
        <w:rPr>
          <w:rFonts w:ascii="Times New Roman" w:hAnsi="Times New Roman"/>
          <w:b/>
          <w:bCs/>
          <w:sz w:val="24"/>
          <w:szCs w:val="24"/>
        </w:rPr>
        <w:t>Legal Lesson Learned:</w:t>
      </w:r>
      <w:r>
        <w:rPr>
          <w:rFonts w:ascii="Times New Roman" w:hAnsi="Times New Roman"/>
          <w:b/>
          <w:bCs/>
          <w:sz w:val="24"/>
          <w:szCs w:val="24"/>
        </w:rPr>
        <w:t xml:space="preserve">  FF working overtime get time and one half of their “regular rate” of pay; the County does not want to include “opt out” fees in their regular rate of pay,  </w:t>
      </w:r>
    </w:p>
    <w:p w14:paraId="67DC5071" w14:textId="77777777" w:rsidR="00FB5A0A" w:rsidRDefault="00FB5A0A" w:rsidP="00FB5A0A">
      <w:pPr>
        <w:pStyle w:val="NoSpacing"/>
        <w:rPr>
          <w:rFonts w:ascii="Times New Roman" w:hAnsi="Times New Roman"/>
          <w:sz w:val="24"/>
          <w:szCs w:val="24"/>
        </w:rPr>
      </w:pPr>
    </w:p>
    <w:p w14:paraId="4CBB7932" w14:textId="77777777" w:rsidR="00FB5A0A" w:rsidRDefault="00FB5A0A" w:rsidP="00F326E5">
      <w:pPr>
        <w:rPr>
          <w:rFonts w:ascii="Arial Black" w:hAnsi="Arial Black"/>
          <w:b/>
          <w:sz w:val="24"/>
          <w:szCs w:val="24"/>
        </w:rPr>
      </w:pPr>
    </w:p>
    <w:p w14:paraId="121BF3B6" w14:textId="77777777" w:rsidR="00357AB9" w:rsidRDefault="00357AB9" w:rsidP="00F326E5">
      <w:pPr>
        <w:rPr>
          <w:rFonts w:ascii="Arial Black" w:hAnsi="Arial Black"/>
          <w:b/>
          <w:sz w:val="24"/>
          <w:szCs w:val="24"/>
        </w:rPr>
      </w:pPr>
    </w:p>
    <w:p w14:paraId="5866D335" w14:textId="4AED3211" w:rsidR="001A5080" w:rsidRDefault="001A5080" w:rsidP="00F326E5">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9</w:t>
      </w:r>
    </w:p>
    <w:p w14:paraId="1B66BA25" w14:textId="77777777" w:rsidR="001A5080" w:rsidRPr="00C75679" w:rsidRDefault="001A5080" w:rsidP="001A5080">
      <w:pPr>
        <w:pStyle w:val="NoSpacing"/>
        <w:rPr>
          <w:rFonts w:ascii="Arial Black" w:hAnsi="Arial Black"/>
          <w:b/>
          <w:sz w:val="28"/>
          <w:szCs w:val="28"/>
        </w:rPr>
      </w:pPr>
      <w:r>
        <w:rPr>
          <w:rFonts w:ascii="Arial Black" w:hAnsi="Arial Black"/>
          <w:b/>
          <w:sz w:val="28"/>
          <w:szCs w:val="28"/>
        </w:rPr>
        <w:t>WV: WORKING ON HOLIDAY – STATE LAW REQ. OT OR COMP TIME – BUT HRS THAT DAY - NOT 24HR SHIFT / NOT 12 HRS</w:t>
      </w:r>
    </w:p>
    <w:p w14:paraId="4EFFE3CC" w14:textId="77777777" w:rsidR="001A5080" w:rsidRDefault="001A5080" w:rsidP="001A5080">
      <w:pPr>
        <w:pStyle w:val="NoSpacing"/>
        <w:ind w:left="720"/>
        <w:rPr>
          <w:rFonts w:ascii="Arial Black" w:hAnsi="Arial Black"/>
          <w:b/>
          <w:sz w:val="20"/>
          <w:szCs w:val="20"/>
        </w:rPr>
      </w:pPr>
    </w:p>
    <w:p w14:paraId="49D2F874" w14:textId="77777777" w:rsidR="001A5080" w:rsidRPr="002C5D98" w:rsidRDefault="001A5080" w:rsidP="001A5080">
      <w:pPr>
        <w:pStyle w:val="NoSpacing"/>
        <w:rPr>
          <w:rFonts w:ascii="Times New Roman" w:hAnsi="Times New Roman"/>
          <w:bCs/>
          <w:sz w:val="24"/>
          <w:szCs w:val="24"/>
          <w:u w:val="single"/>
        </w:rPr>
      </w:pPr>
      <w:r w:rsidRPr="00FB4C5F">
        <w:rPr>
          <w:rFonts w:ascii="Times New Roman" w:hAnsi="Times New Roman"/>
          <w:bCs/>
          <w:sz w:val="24"/>
          <w:szCs w:val="24"/>
        </w:rPr>
        <w:t>On Nov. 8</w:t>
      </w:r>
      <w:r>
        <w:rPr>
          <w:rFonts w:ascii="Times New Roman" w:hAnsi="Times New Roman"/>
          <w:bCs/>
          <w:sz w:val="24"/>
          <w:szCs w:val="24"/>
        </w:rPr>
        <w:t xml:space="preserve">, 2023, in </w:t>
      </w:r>
      <w:r w:rsidRPr="002C5D98">
        <w:rPr>
          <w:rFonts w:ascii="Times New Roman" w:hAnsi="Times New Roman"/>
          <w:bCs/>
          <w:sz w:val="24"/>
          <w:szCs w:val="24"/>
          <w:u w:val="single"/>
        </w:rPr>
        <w:t>Jayson Nicewarner, et al. v. The City of Morgantown</w:t>
      </w:r>
      <w:r w:rsidRPr="002C5D98">
        <w:rPr>
          <w:rFonts w:ascii="Times New Roman" w:hAnsi="Times New Roman"/>
          <w:bCs/>
          <w:sz w:val="24"/>
          <w:szCs w:val="24"/>
        </w:rPr>
        <w:t xml:space="preserve">, </w:t>
      </w:r>
      <w:r w:rsidRPr="00BB5C82">
        <w:rPr>
          <w:rFonts w:ascii="Times New Roman" w:hAnsi="Times New Roman"/>
          <w:bCs/>
          <w:sz w:val="24"/>
          <w:szCs w:val="24"/>
        </w:rPr>
        <w:t xml:space="preserve">the Supreme Court of Appeals of West Virginia, </w:t>
      </w:r>
      <w:r>
        <w:rPr>
          <w:rFonts w:ascii="Times New Roman" w:hAnsi="Times New Roman"/>
          <w:bCs/>
          <w:sz w:val="24"/>
          <w:szCs w:val="24"/>
        </w:rPr>
        <w:t xml:space="preserve">held (4 to 1) that Lieutenant Nicewarner (then President </w:t>
      </w:r>
      <w:proofErr w:type="spellStart"/>
      <w:r>
        <w:rPr>
          <w:rFonts w:ascii="Times New Roman" w:hAnsi="Times New Roman"/>
          <w:bCs/>
          <w:sz w:val="24"/>
          <w:szCs w:val="24"/>
        </w:rPr>
        <w:t>ofIAFF</w:t>
      </w:r>
      <w:proofErr w:type="spellEnd"/>
      <w:r>
        <w:rPr>
          <w:rFonts w:ascii="Times New Roman" w:hAnsi="Times New Roman"/>
          <w:bCs/>
          <w:sz w:val="24"/>
          <w:szCs w:val="24"/>
        </w:rPr>
        <w:t xml:space="preserve">  Local 313) and fifty-three other current and former firefighters are not entitled to 24-hours of comp time off when their </w:t>
      </w:r>
      <w:proofErr w:type="gramStart"/>
      <w:r>
        <w:rPr>
          <w:rFonts w:ascii="Times New Roman" w:hAnsi="Times New Roman"/>
          <w:bCs/>
          <w:sz w:val="24"/>
          <w:szCs w:val="24"/>
        </w:rPr>
        <w:t>24/48 hour</w:t>
      </w:r>
      <w:proofErr w:type="gramEnd"/>
      <w:r>
        <w:rPr>
          <w:rFonts w:ascii="Times New Roman" w:hAnsi="Times New Roman"/>
          <w:bCs/>
          <w:sz w:val="24"/>
          <w:szCs w:val="24"/>
        </w:rPr>
        <w:t xml:space="preserve"> shift includes a state or federal holiday.  The </w:t>
      </w:r>
      <w:proofErr w:type="gramStart"/>
      <w:r>
        <w:rPr>
          <w:rFonts w:ascii="Times New Roman" w:hAnsi="Times New Roman"/>
          <w:bCs/>
          <w:sz w:val="24"/>
          <w:szCs w:val="24"/>
        </w:rPr>
        <w:t>City</w:t>
      </w:r>
      <w:proofErr w:type="gramEnd"/>
      <w:r>
        <w:rPr>
          <w:rFonts w:ascii="Times New Roman" w:hAnsi="Times New Roman"/>
          <w:bCs/>
          <w:sz w:val="24"/>
          <w:szCs w:val="24"/>
        </w:rPr>
        <w:t xml:space="preserve"> has for 48 years, based on a State Attorney General opinion about 2004 statute, granted firefighters 12-hours of comp time; the union claimed they were entitled to 24 hours since they worked 24/48 shift (8 am one day to 8 am next day).  The WV Supreme Court disagreed with both, holding that under State statute firefighters only get equivalent time off for hours worked on that holiday day – not entire 24-hour shift.  The Court ordered City to recalculate for past five years under new </w:t>
      </w:r>
      <w:proofErr w:type="gramStart"/>
      <w:r>
        <w:rPr>
          <w:rFonts w:ascii="Times New Roman" w:hAnsi="Times New Roman"/>
          <w:bCs/>
          <w:sz w:val="24"/>
          <w:szCs w:val="24"/>
        </w:rPr>
        <w:t>standard</w:t>
      </w:r>
      <w:proofErr w:type="gramEnd"/>
      <w:r>
        <w:rPr>
          <w:rFonts w:ascii="Times New Roman" w:hAnsi="Times New Roman"/>
          <w:bCs/>
          <w:sz w:val="24"/>
          <w:szCs w:val="24"/>
        </w:rPr>
        <w:t xml:space="preserve">, including retired firefighters who may have lost vacation pay.  </w:t>
      </w:r>
      <w:hyperlink r:id="rId1777" w:history="1">
        <w:r w:rsidRPr="00553FEF">
          <w:rPr>
            <w:rStyle w:val="Hyperlink"/>
            <w:rFonts w:ascii="Times New Roman" w:hAnsi="Times New Roman"/>
            <w:bCs/>
            <w:sz w:val="24"/>
            <w:szCs w:val="24"/>
          </w:rPr>
          <w:t>http://www.courtswv.gov/supreme-court/docs/fall2023/22-0185-hutchison-p.pdf</w:t>
        </w:r>
      </w:hyperlink>
      <w:r>
        <w:rPr>
          <w:rFonts w:ascii="Times New Roman" w:hAnsi="Times New Roman"/>
          <w:bCs/>
          <w:sz w:val="24"/>
          <w:szCs w:val="24"/>
          <w:u w:val="single"/>
        </w:rPr>
        <w:t xml:space="preserve"> </w:t>
      </w:r>
    </w:p>
    <w:p w14:paraId="3D9250D5" w14:textId="77777777" w:rsidR="001A5080" w:rsidRDefault="001A5080" w:rsidP="001A5080">
      <w:pPr>
        <w:pStyle w:val="NoSpacing"/>
        <w:rPr>
          <w:rFonts w:ascii="Times New Roman" w:hAnsi="Times New Roman"/>
          <w:bCs/>
          <w:sz w:val="24"/>
          <w:szCs w:val="24"/>
        </w:rPr>
      </w:pPr>
    </w:p>
    <w:p w14:paraId="2CE7F65F" w14:textId="77777777" w:rsidR="00B32E9A" w:rsidRDefault="00B32E9A" w:rsidP="00B32E9A">
      <w:pPr>
        <w:pStyle w:val="NoSpacing"/>
        <w:rPr>
          <w:rFonts w:ascii="Times New Roman" w:hAnsi="Times New Roman"/>
          <w:b/>
          <w:sz w:val="24"/>
          <w:szCs w:val="24"/>
        </w:rPr>
      </w:pPr>
      <w:r w:rsidRPr="00D328B7">
        <w:rPr>
          <w:rFonts w:ascii="Times New Roman" w:hAnsi="Times New Roman"/>
          <w:b/>
          <w:sz w:val="24"/>
          <w:szCs w:val="24"/>
        </w:rPr>
        <w:t>Legal Lesson Learned</w:t>
      </w:r>
      <w:r>
        <w:rPr>
          <w:rFonts w:ascii="Times New Roman" w:hAnsi="Times New Roman"/>
          <w:b/>
          <w:sz w:val="24"/>
          <w:szCs w:val="24"/>
        </w:rPr>
        <w:t>:  The statute was not clear; both union and City had different interpretations and Court rejected both.</w:t>
      </w:r>
    </w:p>
    <w:p w14:paraId="1D77E3B1" w14:textId="77777777" w:rsidR="001A5080" w:rsidRDefault="001A5080" w:rsidP="00F326E5">
      <w:pPr>
        <w:rPr>
          <w:rFonts w:ascii="Arial Black" w:hAnsi="Arial Black"/>
          <w:b/>
          <w:sz w:val="24"/>
          <w:szCs w:val="24"/>
        </w:rPr>
      </w:pPr>
    </w:p>
    <w:p w14:paraId="4A0BB451" w14:textId="77777777" w:rsidR="001A5080" w:rsidRDefault="001A5080" w:rsidP="00F326E5">
      <w:pPr>
        <w:rPr>
          <w:rFonts w:ascii="Arial Black" w:hAnsi="Arial Black"/>
          <w:b/>
          <w:sz w:val="24"/>
          <w:szCs w:val="24"/>
        </w:rPr>
      </w:pPr>
    </w:p>
    <w:p w14:paraId="11F869C1" w14:textId="58AF8DC9" w:rsidR="00AC3E10" w:rsidRDefault="00AC3E10" w:rsidP="00F326E5">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8</w:t>
      </w:r>
    </w:p>
    <w:p w14:paraId="4E09F5C4" w14:textId="77777777" w:rsidR="00AC3E10" w:rsidRPr="00AD671D" w:rsidRDefault="00AC3E10" w:rsidP="00AC3E10">
      <w:pPr>
        <w:pStyle w:val="NormalWeb"/>
        <w:rPr>
          <w:rFonts w:ascii="Arial Black" w:hAnsi="Arial Black"/>
          <w:b/>
          <w:bCs/>
          <w:sz w:val="28"/>
          <w:szCs w:val="28"/>
        </w:rPr>
      </w:pPr>
      <w:r>
        <w:rPr>
          <w:rFonts w:ascii="Arial Black" w:hAnsi="Arial Black"/>
          <w:b/>
          <w:bCs/>
          <w:sz w:val="28"/>
          <w:szCs w:val="28"/>
        </w:rPr>
        <w:t xml:space="preserve">NY: PRIVATE AMBULANCE CO. – CLASS ACTION BY 200 EMS – NOT PAID FOR PREP TIME – REQ. BUY THEIR UNIFORMS </w:t>
      </w:r>
    </w:p>
    <w:p w14:paraId="6F264474" w14:textId="77777777" w:rsidR="00AC3E10" w:rsidRDefault="00AC3E10" w:rsidP="00AC3E10">
      <w:pPr>
        <w:pStyle w:val="NormalWeb"/>
      </w:pPr>
      <w:r>
        <w:t xml:space="preserve">On Sept. 15, 2023, in </w:t>
      </w:r>
      <w:r w:rsidRPr="00704F94">
        <w:rPr>
          <w:u w:val="single"/>
        </w:rPr>
        <w:t>Tray Jackson, individually and on behalf of the proposed class v. Citywide Mobile Response Corp</w:t>
      </w:r>
      <w:r>
        <w:t>., Judge Fidel E. Gomez, New York Supreme Court, Bronx County, granted plaintiff’s motion to certify class action against the non-emergency ambulance company that has been in business for over 40 years.  Plaintiff EMT ($18 an hour in 2021 and 2022) alleges he would “clock in” prior to start of shift to check ambulance for supplies, and “clock out” after the schedule shift, but the company “rounded up” his start time and rounded down his end times.  The company also deducted from his pay the cost of his uniforms and tech bag in  amounts totaling $275-$400.</w:t>
      </w:r>
    </w:p>
    <w:p w14:paraId="2A1D17B1" w14:textId="77777777" w:rsidR="00AC3E10" w:rsidRDefault="00AC3E10" w:rsidP="00AC3E10">
      <w:pPr>
        <w:pStyle w:val="NormalWeb"/>
        <w:ind w:left="720"/>
      </w:pPr>
      <w:r>
        <w:t>“Here, with the affidavits by plaintiff, Alston and Lopez, which state that at the time of the alleged tortious practices on which the complaint is premised there were approximately 200 people employed by defendant, the record demonstrates that the size of the putative class is sufficient as a matter of law.</w:t>
      </w:r>
    </w:p>
    <w:p w14:paraId="3922BD63" w14:textId="77777777" w:rsidR="00AC3E10" w:rsidRDefault="00AC3E10" w:rsidP="00AC3E10">
      <w:pPr>
        <w:pStyle w:val="NormalWeb"/>
        <w:ind w:firstLine="720"/>
      </w:pPr>
      <w:r>
        <w:t>***</w:t>
      </w:r>
    </w:p>
    <w:p w14:paraId="4045BA54" w14:textId="04C861E0" w:rsidR="00AC3E10" w:rsidRPr="00AC3E10" w:rsidRDefault="00AC3E10" w:rsidP="00AC3E10">
      <w:pPr>
        <w:ind w:left="720"/>
        <w:rPr>
          <w:rFonts w:ascii="Times New Roman" w:hAnsi="Times New Roman"/>
          <w:b/>
          <w:sz w:val="24"/>
          <w:szCs w:val="24"/>
        </w:rPr>
      </w:pPr>
      <w:r w:rsidRPr="00AC3E10">
        <w:rPr>
          <w:rFonts w:ascii="Times New Roman" w:hAnsi="Times New Roman"/>
          <w:sz w:val="24"/>
          <w:szCs w:val="24"/>
        </w:rPr>
        <w:t xml:space="preserve">Here, the evidence demonstrates that there are three categories into which plaintiff's claims fit: whether defendant violated the law by failing to pay him appropriate wages; whether defendant violated the NYCRR by failing to reimburse plaintiff for uniform and equipment expenditures; and whether defendant violated the Labor Law by failing to provide him wage notices.” </w:t>
      </w:r>
      <w:hyperlink r:id="rId1778" w:history="1">
        <w:r w:rsidRPr="00AC3E10">
          <w:rPr>
            <w:rStyle w:val="Hyperlink"/>
            <w:rFonts w:ascii="Times New Roman" w:eastAsiaTheme="majorEastAsia" w:hAnsi="Times New Roman"/>
            <w:sz w:val="24"/>
            <w:szCs w:val="24"/>
          </w:rPr>
          <w:t>https://public.fastcase.com/ZZhmr5v9wN%2FXOe5IsQ%2FqD6h7oDGGEaQcvjGxXhP3wdarcxH65lzIz0WHpJ1071%2Fz6z3xzTYinPsWmKTOA4ARnDbKp9ycJPmOcwYRqStxafA%3D?utm_medium=email&amp;_hsmi=226712652&amp;_hsenc=p2ANqtz-8kFbodM_yCEg50hGETq70Ew_rKe4r85tHeNoAUvaEorCUJWcIF_sSd3vzx7ykWUIs8vIjN-q4A8Aji78d1bSF2B0Xuvw&amp;utm_content=226712652&amp;utm_source=hs_email</w:t>
        </w:r>
      </w:hyperlink>
    </w:p>
    <w:p w14:paraId="63A00A85" w14:textId="77777777" w:rsidR="00AC3E10" w:rsidRPr="00747F58" w:rsidRDefault="00AC3E10" w:rsidP="00AC3E10">
      <w:pPr>
        <w:pStyle w:val="NormalWeb"/>
        <w:rPr>
          <w:b/>
          <w:bCs/>
        </w:rPr>
      </w:pPr>
      <w:r w:rsidRPr="00747F58">
        <w:rPr>
          <w:b/>
          <w:bCs/>
        </w:rPr>
        <w:t>Legal Lesson Learned:</w:t>
      </w:r>
      <w:r>
        <w:rPr>
          <w:b/>
          <w:bCs/>
        </w:rPr>
        <w:t xml:space="preserve"> This lawsuit will now proceed to pre-trial discovery. </w:t>
      </w:r>
    </w:p>
    <w:p w14:paraId="11E1666F" w14:textId="77777777" w:rsidR="00AC3E10" w:rsidRDefault="00AC3E10" w:rsidP="00F326E5">
      <w:pPr>
        <w:rPr>
          <w:rFonts w:ascii="Arial Black" w:hAnsi="Arial Black"/>
          <w:b/>
          <w:sz w:val="24"/>
          <w:szCs w:val="24"/>
        </w:rPr>
      </w:pPr>
    </w:p>
    <w:p w14:paraId="2782B6D3" w14:textId="0EE737E3" w:rsidR="009B0593" w:rsidRDefault="009B0593" w:rsidP="00F326E5">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7</w:t>
      </w:r>
    </w:p>
    <w:p w14:paraId="46AB3787" w14:textId="77777777" w:rsidR="009B0593" w:rsidRDefault="009B0593" w:rsidP="009B0593">
      <w:pPr>
        <w:pStyle w:val="NormalWeb"/>
        <w:rPr>
          <w:rFonts w:ascii="Arial Black" w:hAnsi="Arial Black"/>
          <w:b/>
          <w:bCs/>
          <w:sz w:val="28"/>
          <w:szCs w:val="28"/>
        </w:rPr>
      </w:pPr>
      <w:r>
        <w:rPr>
          <w:rFonts w:ascii="Arial Black" w:hAnsi="Arial Black"/>
          <w:b/>
          <w:bCs/>
          <w:sz w:val="28"/>
          <w:szCs w:val="28"/>
        </w:rPr>
        <w:t>NY: FDNY EMS - 15 MIN PREP TIME – “CITYTIME” DIDN’T RECORD – JURY WILLFUL VIOL. – $17M - 2</w:t>
      </w:r>
      <w:r w:rsidRPr="007B3216">
        <w:rPr>
          <w:rFonts w:ascii="Arial Black" w:hAnsi="Arial Black"/>
          <w:b/>
          <w:bCs/>
          <w:sz w:val="28"/>
          <w:szCs w:val="28"/>
          <w:vertAlign w:val="superscript"/>
        </w:rPr>
        <w:t>nd</w:t>
      </w:r>
      <w:r>
        <w:rPr>
          <w:rFonts w:ascii="Arial Black" w:hAnsi="Arial Black"/>
          <w:b/>
          <w:bCs/>
          <w:sz w:val="28"/>
          <w:szCs w:val="28"/>
        </w:rPr>
        <w:t xml:space="preserve"> CIR UPHOLDS</w:t>
      </w:r>
    </w:p>
    <w:p w14:paraId="317E0D8F" w14:textId="77777777" w:rsidR="009B0593" w:rsidRDefault="009B0593" w:rsidP="009B0593">
      <w:pPr>
        <w:pStyle w:val="NormalWeb"/>
      </w:pPr>
      <w:r>
        <w:t xml:space="preserve">On Aug. 25, 2023, in </w:t>
      </w:r>
      <w:r w:rsidRPr="00FE512F">
        <w:rPr>
          <w:u w:val="single"/>
        </w:rPr>
        <w:t>Chaz Perry, et al. v. City of New York, New York Fire Department</w:t>
      </w:r>
      <w:r>
        <w:t xml:space="preserve">, the U.S. Court of Appeals for Second Circuit (NYC) held (3 to 0) that jury, after a 12-day trial (six and half years after lawsuit was filed), properly found a willful violation of the FLSA in a class action by 2,519 EMS.   The </w:t>
      </w:r>
      <w:proofErr w:type="gramStart"/>
      <w:r>
        <w:t>City</w:t>
      </w:r>
      <w:proofErr w:type="gramEnd"/>
      <w:r>
        <w:t xml:space="preserve"> required EMS to work 8-hour shifts, and earn overtime after 40 hours, but City did not pay them for pre-shift or post-shift time unless EMS specifically requested this (not done 99% of time).  During the trial, two senior FDNY supervisors testified that plaintiffs were not permitted to request overtime for such pre-shift work as checking PPE and equipment. The plaintiffs calculated unpaid overtime damages as 15 minutes per shift. Court rejected the City’s argument on appeal that time pre-shift and post-shift work was “de minimis” and thus not worthy of compensation. The $17,780.063 verdict is allocated as follows – backpay $7,238,513; same amount in liquidated damages for willful violation of FLSA; $3,303,037 in attorneys’ fee.  </w:t>
      </w:r>
    </w:p>
    <w:p w14:paraId="4BDB06C8" w14:textId="77777777" w:rsidR="009B0593" w:rsidRDefault="009B0593" w:rsidP="009B0593">
      <w:pPr>
        <w:pStyle w:val="NormalWeb"/>
      </w:pPr>
      <w:r>
        <w:tab/>
        <w:t xml:space="preserve">The Court held: </w:t>
      </w:r>
      <w:r>
        <w:tab/>
      </w:r>
    </w:p>
    <w:p w14:paraId="2CA00CB6" w14:textId="77777777" w:rsidR="009B0593" w:rsidRDefault="009B0593" w:rsidP="009B0593">
      <w:pPr>
        <w:pStyle w:val="NormalWeb"/>
        <w:ind w:left="720"/>
      </w:pPr>
      <w:r>
        <w:t>“The City’s principal argument on appeal is that it cannot be held liable for the unpaid overtime because it affords an opportunity to report overtime work and, since the plaintiffs failed to report the work at issue, the City did not know that any plaintiff was being short-changed. But an employer must pay for all work it knows about or requires, even if the employee does not specifically request compensation for it. Whether an employee reports overtime work will often be relevant to an employer’s knowledge of the work—but allowing, or even requiring, an employee to report overtime work does not absolve employers of the obligation to compensate for work they suffer or permit.</w:t>
      </w:r>
    </w:p>
    <w:p w14:paraId="131464BB" w14:textId="77777777" w:rsidR="009B0593" w:rsidRDefault="009B0593" w:rsidP="009B0593">
      <w:pPr>
        <w:pStyle w:val="NormalWeb"/>
        <w:ind w:left="720"/>
      </w:pPr>
      <w:r>
        <w:t xml:space="preserve">*** </w:t>
      </w:r>
    </w:p>
    <w:p w14:paraId="10691FC5" w14:textId="77777777" w:rsidR="009B0593" w:rsidRDefault="009B0593" w:rsidP="009B0593">
      <w:pPr>
        <w:pStyle w:val="NormalWeb"/>
        <w:ind w:left="720"/>
      </w:pPr>
      <w:r>
        <w:t xml:space="preserve">[W]e </w:t>
      </w:r>
      <w:proofErr w:type="gramStart"/>
      <w:r>
        <w:t>have</w:t>
      </w:r>
      <w:proofErr w:type="gramEnd"/>
      <w:r>
        <w:t xml:space="preserve"> long recognized that an employee’s failure to report work the employer in fact knew about or required does not protect the employer from FLSA liability… In any wage-and-hour regulatory scheme, somebody must bear ultimate responsibility for recording time worked and for ensuring that payment is made.</w:t>
      </w:r>
    </w:p>
    <w:p w14:paraId="2BF48722" w14:textId="77777777" w:rsidR="009B0593" w:rsidRDefault="009B0593" w:rsidP="009B0593">
      <w:pPr>
        <w:pStyle w:val="NormalWeb"/>
        <w:ind w:left="720"/>
      </w:pPr>
      <w:r>
        <w:t>***</w:t>
      </w:r>
    </w:p>
    <w:p w14:paraId="13E80241" w14:textId="5EF0F087" w:rsidR="009B0593" w:rsidRPr="009B0593" w:rsidRDefault="009B0593" w:rsidP="009B0593">
      <w:pPr>
        <w:ind w:left="720"/>
        <w:rPr>
          <w:rFonts w:ascii="Times New Roman" w:hAnsi="Times New Roman"/>
          <w:b/>
          <w:sz w:val="24"/>
          <w:szCs w:val="24"/>
        </w:rPr>
      </w:pPr>
      <w:r w:rsidRPr="009B0593">
        <w:rPr>
          <w:rFonts w:ascii="Times New Roman" w:hAnsi="Times New Roman"/>
          <w:sz w:val="24"/>
          <w:szCs w:val="24"/>
        </w:rPr>
        <w:t xml:space="preserve">In sum, there is trial evidence that the </w:t>
      </w:r>
      <w:proofErr w:type="gramStart"/>
      <w:r w:rsidRPr="009B0593">
        <w:rPr>
          <w:rFonts w:ascii="Times New Roman" w:hAnsi="Times New Roman"/>
          <w:sz w:val="24"/>
          <w:szCs w:val="24"/>
        </w:rPr>
        <w:t>City</w:t>
      </w:r>
      <w:proofErr w:type="gramEnd"/>
      <w:r w:rsidRPr="009B0593">
        <w:rPr>
          <w:rFonts w:ascii="Times New Roman" w:hAnsi="Times New Roman"/>
          <w:sz w:val="24"/>
          <w:szCs w:val="24"/>
        </w:rPr>
        <w:t xml:space="preserve"> created a job that requires significant preparation to be done properly; it then also required that plaintiffs be ready to go as soon as possible after the start of their shift. The City issued formal regulations and enforced informal expectations </w:t>
      </w:r>
      <w:proofErr w:type="gramStart"/>
      <w:r w:rsidRPr="009B0593">
        <w:rPr>
          <w:rFonts w:ascii="Times New Roman" w:hAnsi="Times New Roman"/>
          <w:sz w:val="24"/>
          <w:szCs w:val="24"/>
        </w:rPr>
        <w:t>to</w:t>
      </w:r>
      <w:proofErr w:type="gramEnd"/>
      <w:r w:rsidRPr="009B0593">
        <w:rPr>
          <w:rFonts w:ascii="Times New Roman" w:hAnsi="Times New Roman"/>
          <w:sz w:val="24"/>
          <w:szCs w:val="24"/>
        </w:rPr>
        <w:t xml:space="preserve"> that effect. Testimony showed that it was essentially impossible to comply with the City’s demands without starting work before the paid shift. Considering the evidence in the light most favorable to the plaintiffs, the jury had a legally sufficient evidentiary basis for concluding that the City maintained a policy or practice of ‘requiring’ plaintiffs to perform compensable, pre-shift work for which they were not automatically paid.” </w:t>
      </w:r>
      <w:hyperlink r:id="rId1779" w:anchor="xml=https://www.ca2.uscourts.gov/decisions/isysquery/8e9e3763-33d2-40e3-8df3-c0e92234493d/2/hilite/" w:history="1">
        <w:r w:rsidRPr="009B0593">
          <w:rPr>
            <w:rStyle w:val="Hyperlink"/>
            <w:rFonts w:ascii="Times New Roman" w:eastAsiaTheme="majorEastAsia" w:hAnsi="Times New Roman"/>
            <w:sz w:val="24"/>
            <w:szCs w:val="24"/>
          </w:rPr>
          <w:t>https://www.ca2.uscourts.gov/decisions/isysquery/8e9e3763-33d2-40e3-8df3-c0e92234493d/2/doc/21-2095_opn.pdf#xml=https://www.ca2.uscourts.gov/decisions/isysquery/8e9e3763-33d2-40e3-8df3-c0e92234493d/2/hilite/</w:t>
        </w:r>
      </w:hyperlink>
    </w:p>
    <w:p w14:paraId="145B77C2" w14:textId="77777777" w:rsidR="009B0593" w:rsidRPr="006126EA" w:rsidRDefault="009B0593" w:rsidP="009B0593">
      <w:pPr>
        <w:pStyle w:val="NormalWeb"/>
        <w:rPr>
          <w:b/>
          <w:bCs/>
        </w:rPr>
      </w:pPr>
      <w:r w:rsidRPr="006126EA">
        <w:rPr>
          <w:b/>
          <w:bCs/>
        </w:rPr>
        <w:t>Legal Lesson Learned:</w:t>
      </w:r>
      <w:r>
        <w:rPr>
          <w:b/>
          <w:bCs/>
        </w:rPr>
        <w:t xml:space="preserve"> FDs should provide in their FLSA policy or CBA what pre-shift and post-shift activities will be compensated and have a time keeping system that implements that policy.  </w:t>
      </w:r>
    </w:p>
    <w:p w14:paraId="642A508A" w14:textId="77777777" w:rsidR="009B0593" w:rsidRDefault="009B0593" w:rsidP="00F326E5">
      <w:pPr>
        <w:rPr>
          <w:rFonts w:ascii="Arial Black" w:hAnsi="Arial Black"/>
          <w:b/>
          <w:sz w:val="24"/>
          <w:szCs w:val="24"/>
        </w:rPr>
      </w:pPr>
    </w:p>
    <w:p w14:paraId="0B79086B" w14:textId="3A1E7619" w:rsidR="00237599" w:rsidRDefault="00237599" w:rsidP="00F326E5">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6</w:t>
      </w:r>
    </w:p>
    <w:p w14:paraId="3355BC80" w14:textId="77777777" w:rsidR="00237599" w:rsidRPr="00E9542D" w:rsidRDefault="00237599" w:rsidP="00237599">
      <w:pPr>
        <w:spacing w:before="100" w:beforeAutospacing="1" w:after="100" w:afterAutospacing="1" w:line="240" w:lineRule="auto"/>
        <w:outlineLvl w:val="0"/>
        <w:rPr>
          <w:rFonts w:ascii="Arial Black" w:hAnsi="Arial Black"/>
          <w:sz w:val="28"/>
          <w:szCs w:val="28"/>
        </w:rPr>
      </w:pPr>
      <w:bookmarkStart w:id="382" w:name="_Hlk136860229"/>
      <w:r>
        <w:rPr>
          <w:rFonts w:ascii="Arial Black" w:hAnsi="Arial Black"/>
          <w:sz w:val="28"/>
          <w:szCs w:val="28"/>
        </w:rPr>
        <w:t xml:space="preserve">OR: FLSA – COMPANY CONTRACTS TO PROVIDE FOREST FIRE PERSONNEL - NOT “INDEPENDENT CONTRACTORS” </w:t>
      </w:r>
    </w:p>
    <w:bookmarkEnd w:id="382"/>
    <w:p w14:paraId="7B2D4A38" w14:textId="77777777" w:rsidR="00237599" w:rsidRDefault="00237599" w:rsidP="00237599">
      <w:pPr>
        <w:spacing w:before="100" w:beforeAutospacing="1" w:after="100" w:afterAutospacing="1" w:line="240" w:lineRule="auto"/>
        <w:outlineLvl w:val="0"/>
        <w:rPr>
          <w:rFonts w:ascii="Times New Roman" w:hAnsi="Times New Roman"/>
          <w:sz w:val="24"/>
          <w:szCs w:val="24"/>
        </w:rPr>
      </w:pPr>
      <w:r>
        <w:rPr>
          <w:rFonts w:ascii="Times New Roman" w:hAnsi="Times New Roman"/>
          <w:sz w:val="24"/>
          <w:szCs w:val="24"/>
        </w:rPr>
        <w:t xml:space="preserve">On May 24, 2023, the U.S. Department of Labor, Wage and Hour Division, determined that the private company, under contract with U.S. Forest Service to fight forest fires in Oregon, Arizona, California and Washington, should have paid the firefighters and truck drivers for overtime after 40 hours.  Instead, they were paid between $200 and $250 per day regardless of overtime hours worked.  The company has now settled for $180,00, including $152,003 in overtime wages and fringe benefits, plus $12,577 in liquidated damages, and $16,981 in civil penalties; individual firefighters received from $101 to $14,783 per worker. </w:t>
      </w:r>
    </w:p>
    <w:p w14:paraId="138550BD" w14:textId="77777777" w:rsidR="00237599" w:rsidRDefault="00237599" w:rsidP="00237599">
      <w:pPr>
        <w:spacing w:before="100" w:beforeAutospacing="1" w:after="100" w:afterAutospacing="1" w:line="240" w:lineRule="auto"/>
        <w:ind w:left="720"/>
        <w:outlineLvl w:val="0"/>
        <w:rPr>
          <w:rStyle w:val="Hyperlink"/>
          <w:rFonts w:ascii="Times New Roman" w:hAnsi="Times New Roman"/>
          <w:sz w:val="24"/>
          <w:szCs w:val="24"/>
        </w:rPr>
      </w:pPr>
      <w:r>
        <w:rPr>
          <w:rFonts w:ascii="Times New Roman" w:hAnsi="Times New Roman"/>
          <w:sz w:val="24"/>
          <w:szCs w:val="24"/>
        </w:rPr>
        <w:t>“</w:t>
      </w:r>
      <w:r w:rsidRPr="00974C20">
        <w:rPr>
          <w:rFonts w:ascii="Times New Roman" w:hAnsi="Times New Roman"/>
          <w:sz w:val="24"/>
          <w:szCs w:val="24"/>
        </w:rPr>
        <w:t xml:space="preserve">Investigators with the department’s </w:t>
      </w:r>
      <w:hyperlink r:id="rId1780" w:history="1">
        <w:r w:rsidRPr="00974C20">
          <w:rPr>
            <w:rStyle w:val="Hyperlink"/>
            <w:rFonts w:ascii="Times New Roman" w:hAnsi="Times New Roman"/>
            <w:sz w:val="24"/>
            <w:szCs w:val="24"/>
          </w:rPr>
          <w:t>Wage and Hour Division</w:t>
        </w:r>
      </w:hyperlink>
      <w:r w:rsidRPr="00974C20">
        <w:rPr>
          <w:rFonts w:ascii="Times New Roman" w:hAnsi="Times New Roman"/>
          <w:sz w:val="24"/>
          <w:szCs w:val="24"/>
        </w:rPr>
        <w:t xml:space="preserve"> determined KL Farms/Fire LLC of Summerville paid a flat daily rate of between $200 and $250 to 57 firefighters and truck drivers, regardless of their total hours worked. From June 2019 through October 2021, the U.S. Forest Service contracted the company to provide fire engines, firefighters, trucks and driver services for fire suppression and firefighting in Arizona, California, Oregon and Washington.</w:t>
      </w:r>
      <w:r>
        <w:rPr>
          <w:rFonts w:ascii="Times New Roman" w:hAnsi="Times New Roman"/>
          <w:sz w:val="24"/>
          <w:szCs w:val="24"/>
        </w:rPr>
        <w:t xml:space="preserve">” </w:t>
      </w:r>
      <w:hyperlink r:id="rId1781" w:history="1">
        <w:r w:rsidRPr="00BD4D8D">
          <w:rPr>
            <w:rStyle w:val="Hyperlink"/>
            <w:rFonts w:ascii="Times New Roman" w:hAnsi="Times New Roman"/>
            <w:sz w:val="24"/>
            <w:szCs w:val="24"/>
          </w:rPr>
          <w:t>https://www.dol.gov/newsroom/releases/whd/whd20230524-0</w:t>
        </w:r>
      </w:hyperlink>
    </w:p>
    <w:p w14:paraId="0F0BA9A8" w14:textId="77777777" w:rsidR="00237599" w:rsidRPr="00974C20" w:rsidRDefault="00237599" w:rsidP="00237599">
      <w:pPr>
        <w:spacing w:before="100" w:beforeAutospacing="1" w:after="100" w:afterAutospacing="1" w:line="240" w:lineRule="auto"/>
        <w:outlineLvl w:val="0"/>
        <w:rPr>
          <w:rFonts w:ascii="Times New Roman" w:eastAsia="Times New Roman" w:hAnsi="Times New Roman"/>
          <w:b/>
          <w:bCs/>
          <w:kern w:val="36"/>
          <w:sz w:val="24"/>
          <w:szCs w:val="24"/>
        </w:rPr>
      </w:pPr>
      <w:r w:rsidRPr="00974C20">
        <w:rPr>
          <w:rFonts w:ascii="Times New Roman" w:hAnsi="Times New Roman"/>
          <w:b/>
          <w:bCs/>
          <w:sz w:val="24"/>
          <w:szCs w:val="24"/>
        </w:rPr>
        <w:t xml:space="preserve">Legal Lesson Learned: </w:t>
      </w:r>
      <w:r>
        <w:rPr>
          <w:rFonts w:ascii="Times New Roman" w:hAnsi="Times New Roman"/>
          <w:b/>
          <w:bCs/>
          <w:sz w:val="24"/>
          <w:szCs w:val="24"/>
        </w:rPr>
        <w:t xml:space="preserve">Miscalculation of workers as independent contractors is a common issue. Read the Wage and Hour advisory: </w:t>
      </w:r>
      <w:hyperlink r:id="rId1782" w:history="1">
        <w:r w:rsidRPr="00BD4D8D">
          <w:rPr>
            <w:rStyle w:val="Hyperlink"/>
            <w:rFonts w:ascii="Times New Roman" w:hAnsi="Times New Roman"/>
            <w:b/>
            <w:bCs/>
            <w:sz w:val="24"/>
            <w:szCs w:val="24"/>
          </w:rPr>
          <w:t>https://www.dol.gov/agencies/whd/flsa/misclassification</w:t>
        </w:r>
      </w:hyperlink>
      <w:r>
        <w:rPr>
          <w:rFonts w:ascii="Times New Roman" w:hAnsi="Times New Roman"/>
          <w:b/>
          <w:bCs/>
          <w:sz w:val="24"/>
          <w:szCs w:val="24"/>
        </w:rPr>
        <w:t xml:space="preserve"> . </w:t>
      </w:r>
    </w:p>
    <w:p w14:paraId="4D784FFF" w14:textId="77777777" w:rsidR="00237599" w:rsidRPr="009D31B3" w:rsidRDefault="00237599" w:rsidP="00237599">
      <w:pPr>
        <w:pStyle w:val="Heading1"/>
        <w:ind w:left="720"/>
        <w:rPr>
          <w:b w:val="0"/>
          <w:bCs w:val="0"/>
          <w:sz w:val="24"/>
          <w:szCs w:val="24"/>
        </w:rPr>
      </w:pPr>
      <w:r w:rsidRPr="00974C20">
        <w:rPr>
          <w:b w:val="0"/>
          <w:bCs w:val="0"/>
          <w:sz w:val="24"/>
          <w:szCs w:val="24"/>
        </w:rPr>
        <w:t xml:space="preserve">Note: See May 28, </w:t>
      </w:r>
      <w:proofErr w:type="gramStart"/>
      <w:r w:rsidRPr="00974C20">
        <w:rPr>
          <w:b w:val="0"/>
          <w:bCs w:val="0"/>
          <w:sz w:val="24"/>
          <w:szCs w:val="24"/>
        </w:rPr>
        <w:t>2023</w:t>
      </w:r>
      <w:proofErr w:type="gramEnd"/>
      <w:r w:rsidRPr="00974C20">
        <w:rPr>
          <w:b w:val="0"/>
          <w:bCs w:val="0"/>
          <w:sz w:val="24"/>
          <w:szCs w:val="24"/>
        </w:rPr>
        <w:t xml:space="preserve"> article, “Private Oregon firefighting company fined $180K after US Dept. of Labor investigation.” </w:t>
      </w:r>
      <w:hyperlink r:id="rId1783" w:history="1">
        <w:r w:rsidRPr="00974C20">
          <w:rPr>
            <w:rStyle w:val="Hyperlink"/>
            <w:rFonts w:eastAsiaTheme="majorEastAsia"/>
            <w:b w:val="0"/>
            <w:bCs w:val="0"/>
            <w:sz w:val="24"/>
            <w:szCs w:val="24"/>
          </w:rPr>
          <w:t>https://www.opb.org/article/2023/05/28/private-oregon-firefighting-company-fined-180000-dollars-after-us-labor-investigation/</w:t>
        </w:r>
      </w:hyperlink>
      <w:r w:rsidRPr="00974C20">
        <w:rPr>
          <w:b w:val="0"/>
          <w:bCs w:val="0"/>
          <w:sz w:val="24"/>
          <w:szCs w:val="24"/>
        </w:rPr>
        <w:t xml:space="preserve"> </w:t>
      </w:r>
      <w:r w:rsidRPr="009D31B3">
        <w:rPr>
          <w:b w:val="0"/>
          <w:bCs w:val="0"/>
          <w:sz w:val="24"/>
          <w:szCs w:val="24"/>
        </w:rPr>
        <w:t xml:space="preserve">“Investigators use a multi-prong test to determine whether contractors </w:t>
      </w:r>
      <w:proofErr w:type="gramStart"/>
      <w:r w:rsidRPr="009D31B3">
        <w:rPr>
          <w:b w:val="0"/>
          <w:bCs w:val="0"/>
          <w:sz w:val="24"/>
          <w:szCs w:val="24"/>
        </w:rPr>
        <w:t>actually qualify</w:t>
      </w:r>
      <w:proofErr w:type="gramEnd"/>
      <w:r w:rsidRPr="009D31B3">
        <w:rPr>
          <w:b w:val="0"/>
          <w:bCs w:val="0"/>
          <w:sz w:val="24"/>
          <w:szCs w:val="24"/>
        </w:rPr>
        <w:t xml:space="preserve"> as employees, said Carrie Aguilar, director of the Department of Labor’s Wage and Hour Division in Portland…. But Aguilar did say that wage issues are part of a growing trend in the private firefighting business. It’s </w:t>
      </w:r>
      <w:proofErr w:type="gramStart"/>
      <w:r w:rsidRPr="009D31B3">
        <w:rPr>
          <w:b w:val="0"/>
          <w:bCs w:val="0"/>
          <w:sz w:val="24"/>
          <w:szCs w:val="24"/>
        </w:rPr>
        <w:t>similar to</w:t>
      </w:r>
      <w:proofErr w:type="gramEnd"/>
      <w:r w:rsidRPr="009D31B3">
        <w:rPr>
          <w:b w:val="0"/>
          <w:bCs w:val="0"/>
          <w:sz w:val="24"/>
          <w:szCs w:val="24"/>
        </w:rPr>
        <w:t xml:space="preserve"> forestry, she said, which struggles with these issues.”</w:t>
      </w:r>
    </w:p>
    <w:p w14:paraId="47706D5D" w14:textId="7256BB2F" w:rsidR="00237599" w:rsidRDefault="00237599" w:rsidP="00237599">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5</w:t>
      </w:r>
    </w:p>
    <w:p w14:paraId="32D2C887" w14:textId="77777777" w:rsidR="00237599" w:rsidRDefault="00237599" w:rsidP="00237599">
      <w:pPr>
        <w:pStyle w:val="NormalWeb"/>
        <w:rPr>
          <w:rFonts w:ascii="Arial Black" w:hAnsi="Arial Black"/>
          <w:b/>
          <w:bCs/>
          <w:sz w:val="28"/>
          <w:szCs w:val="28"/>
        </w:rPr>
      </w:pPr>
      <w:bookmarkStart w:id="383" w:name="_Hlk136860302"/>
      <w:r>
        <w:rPr>
          <w:rFonts w:ascii="Arial Black" w:hAnsi="Arial Black"/>
          <w:b/>
          <w:bCs/>
          <w:sz w:val="28"/>
          <w:szCs w:val="28"/>
        </w:rPr>
        <w:t>HA: FLSA – HONOLULU FF CLASS ACTION PROCEED – 300 FF – ALLEGED ERRORS MULTIPLE SYSTEMS TRACK TIME</w:t>
      </w:r>
    </w:p>
    <w:bookmarkEnd w:id="383"/>
    <w:p w14:paraId="5B63BBE8" w14:textId="77777777" w:rsidR="00237599" w:rsidRDefault="00237599" w:rsidP="00237599">
      <w:pPr>
        <w:pStyle w:val="NormalWeb"/>
      </w:pPr>
      <w:r>
        <w:t xml:space="preserve">On April 28, 2023, in </w:t>
      </w:r>
      <w:r w:rsidRPr="0050374A">
        <w:rPr>
          <w:u w:val="single"/>
        </w:rPr>
        <w:t>Robert M. Hayslip, on behalf of other similarly situated individuals v. City and County of Honolulu</w:t>
      </w:r>
      <w:r>
        <w:t xml:space="preserve">, Chief U.S. District Court Judge Derrick K. Watson, U.S. District Court for District of Hawaii, granted the plaintiff’s motion for conditional certification of collective action.  The case will now proceed to pre-trial discovery on firefighter income that is allegedly not included in setting their overtime hourly rate of pay.  Hayslip alleges that the failure to pay overtime under the FLSA was due to ‘human and mechanical error through the use of multiple systems to track time.”  </w:t>
      </w:r>
      <w:hyperlink r:id="rId1784" w:history="1">
        <w:r w:rsidRPr="00010962">
          <w:rPr>
            <w:rStyle w:val="Hyperlink"/>
            <w:rFonts w:eastAsiaTheme="majorEastAsia"/>
          </w:rPr>
          <w:t>https://public.fastcase.com/ZZhmr5v9wN%2FXOe5IsQ%2FqDwe%2Bl2bMb8hsQzBhmq%2BKFWjfsnc%2Brn1NgeRpqQFDQ7VnnNgPvPdQabSyR0vz9Y1rYYCnr8USzlwvvvJ%2BE3sgG14%3D?utm_medium=email&amp;_hsmi=226712652&amp;_hsenc=p2ANqtz-9yLx0aoJRhvv2Vy8uTc7HU3fN6k1djWwCn0_TOB1MuUA7MVtIjTAZu2eDX0z4FTqDgKj_XXmkUdS-aKvCM9lVim5p6Eg&amp;utm_content=226712652&amp;utm_source=hs_email</w:t>
        </w:r>
      </w:hyperlink>
      <w:r>
        <w:t xml:space="preserve"> </w:t>
      </w:r>
    </w:p>
    <w:p w14:paraId="76A153BD" w14:textId="77777777" w:rsidR="00237599" w:rsidRDefault="00237599" w:rsidP="00237599">
      <w:pPr>
        <w:pStyle w:val="NormalWeb"/>
        <w:ind w:left="720"/>
      </w:pPr>
      <w:r>
        <w:t xml:space="preserve">“Plaintiff Robert Hayslip moves for conditional certification of a collective action comprised of emergency medical technicians and paramedics employed by Defendant City &amp; County of Honolulu (Honolulu), alleging that Honolulu has failed to properly calculate this group's ‘regular rate’ of pay or pay overtime as required by the Fair Labor Standards Act (FLSA). At the instant ‘preliminary’ stage of the litigation, as both parties acknowledge, the standard for certifying such a collective action under the FLSA is less than demanding. And, here, Hayslip has met this less than demanding standard. Specifically, Hayslip has alleged that the above-mentioned group is sufficiently ‘similarly situated’ with respect to the FLSA claims at issue. Therefore, the motion for conditional certification, </w:t>
      </w:r>
      <w:proofErr w:type="spellStart"/>
      <w:r>
        <w:t>Dkt</w:t>
      </w:r>
      <w:proofErr w:type="spellEnd"/>
      <w:r>
        <w:t xml:space="preserve">. </w:t>
      </w:r>
      <w:proofErr w:type="gramStart"/>
      <w:r>
        <w:t>No. 26,</w:t>
      </w:r>
      <w:proofErr w:type="gramEnd"/>
      <w:r>
        <w:t xml:space="preserve"> is GRANTED to that extent. Hayslip also moves for approval of a notice to be sent to potential members of the now conditionally certified collective action. Honolulu, however, has submitted an opposing proposed notice. As more fully explained below, the Court orders the parties to meet-and-confer on the same with the goal of submitting a </w:t>
      </w:r>
      <w:r>
        <w:rPr>
          <w:rStyle w:val="Emphasis"/>
        </w:rPr>
        <w:t>joint</w:t>
      </w:r>
      <w:r>
        <w:t xml:space="preserve"> proposed notice to the extent </w:t>
      </w:r>
      <w:proofErr w:type="gramStart"/>
      <w:r>
        <w:t>possible.”</w:t>
      </w:r>
      <w:proofErr w:type="gramEnd"/>
      <w:r>
        <w:t xml:space="preserve">  </w:t>
      </w:r>
    </w:p>
    <w:p w14:paraId="43706B8C" w14:textId="77777777" w:rsidR="00237599" w:rsidRPr="00003BCF" w:rsidRDefault="00237599" w:rsidP="00237599">
      <w:pPr>
        <w:pStyle w:val="NormalWeb"/>
        <w:rPr>
          <w:b/>
          <w:bCs/>
        </w:rPr>
      </w:pPr>
      <w:r w:rsidRPr="00003BCF">
        <w:rPr>
          <w:b/>
          <w:bCs/>
        </w:rPr>
        <w:t>Legal Lesson Learned:</w:t>
      </w:r>
      <w:r>
        <w:rPr>
          <w:b/>
          <w:bCs/>
        </w:rPr>
        <w:t xml:space="preserve"> Errors in tracking overtime can lead to FLSA litigation.</w:t>
      </w:r>
    </w:p>
    <w:p w14:paraId="4ADAA8D5" w14:textId="77777777" w:rsidR="00237599" w:rsidRPr="00317783" w:rsidRDefault="00237599" w:rsidP="00237599">
      <w:pPr>
        <w:pStyle w:val="NormalWeb"/>
        <w:ind w:left="720"/>
        <w:rPr>
          <w:rStyle w:val="markedcontent"/>
        </w:rPr>
      </w:pPr>
      <w:r w:rsidRPr="00003BCF">
        <w:t xml:space="preserve">Note: </w:t>
      </w:r>
      <w:r>
        <w:t>The Court referenced a “less than demanding standard” in determining what other employees are “similarly situations” and get the invitation to join in the class action. This “less than demanding” standard has been recently rejected by 6</w:t>
      </w:r>
      <w:r w:rsidRPr="00C33BAA">
        <w:rPr>
          <w:vertAlign w:val="superscript"/>
        </w:rPr>
        <w:t>th</w:t>
      </w:r>
      <w:r>
        <w:t xml:space="preserve"> Circuit Court of Appeals, </w:t>
      </w:r>
      <w:proofErr w:type="gramStart"/>
      <w:r>
        <w:t>and also</w:t>
      </w:r>
      <w:proofErr w:type="gramEnd"/>
      <w:r>
        <w:t xml:space="preserve"> 5</w:t>
      </w:r>
      <w:r w:rsidRPr="00C33BAA">
        <w:rPr>
          <w:vertAlign w:val="superscript"/>
        </w:rPr>
        <w:t>th</w:t>
      </w:r>
      <w:r>
        <w:t xml:space="preserve"> Circuit. </w:t>
      </w:r>
      <w:r w:rsidRPr="00482E40">
        <w:t xml:space="preserve">On May 19, 2023, in </w:t>
      </w:r>
      <w:r w:rsidRPr="00482E40">
        <w:rPr>
          <w:u w:val="single"/>
        </w:rPr>
        <w:t>Brooke Clark, et al. v. H&amp;L Homecare and Training Center, LLC et al</w:t>
      </w:r>
      <w:r>
        <w:t>., the U.S. Court of Appeals for the 6</w:t>
      </w:r>
      <w:r w:rsidRPr="00482E40">
        <w:rPr>
          <w:vertAlign w:val="superscript"/>
        </w:rPr>
        <w:t>th</w:t>
      </w:r>
      <w:r>
        <w:t xml:space="preserve"> Circuit (Cincinnati) held (2 to 1) that U.S. District Court judges in states controlled by the Court </w:t>
      </w:r>
      <w:r w:rsidRPr="00482E40">
        <w:t>(</w:t>
      </w:r>
      <w:r w:rsidRPr="00482E40">
        <w:rPr>
          <w:rStyle w:val="hgkelc"/>
          <w:lang w:val="en"/>
        </w:rPr>
        <w:t>Kentucky, Michigan, Ohio and Tennessee)</w:t>
      </w:r>
      <w:r>
        <w:rPr>
          <w:rStyle w:val="hgkelc"/>
          <w:b/>
          <w:bCs/>
          <w:lang w:val="en"/>
        </w:rPr>
        <w:t xml:space="preserve"> </w:t>
      </w:r>
      <w:r>
        <w:rPr>
          <w:rStyle w:val="hgkelc"/>
          <w:lang w:val="en"/>
        </w:rPr>
        <w:t xml:space="preserve">must apply a tougher “strong likelihood” standard when deciding which employees are “similarly situated” with plaintiffs and invited to join in a FLSA class action against the employers. </w:t>
      </w:r>
      <w:hyperlink r:id="rId1785" w:history="1">
        <w:r w:rsidRPr="009943CA">
          <w:rPr>
            <w:rStyle w:val="Hyperlink"/>
            <w:rFonts w:eastAsiaTheme="majorEastAsia"/>
          </w:rPr>
          <w:t>https://cases.justia.com/federal/appellate-courts/ca6/22-3101/22-3101-2023-05-19.pdf?ts=1684526463</w:t>
        </w:r>
      </w:hyperlink>
    </w:p>
    <w:p w14:paraId="418BDE74" w14:textId="77777777" w:rsidR="00237599" w:rsidRPr="00C86D96" w:rsidRDefault="00237599" w:rsidP="00237599">
      <w:pPr>
        <w:pStyle w:val="Heading1"/>
        <w:ind w:left="720"/>
        <w:rPr>
          <w:rStyle w:val="markedcontent"/>
          <w:b w:val="0"/>
          <w:bCs w:val="0"/>
          <w:sz w:val="24"/>
          <w:szCs w:val="24"/>
        </w:rPr>
      </w:pPr>
      <w:r w:rsidRPr="00C86D96">
        <w:rPr>
          <w:rStyle w:val="hgkelc"/>
          <w:b w:val="0"/>
          <w:bCs w:val="0"/>
          <w:sz w:val="24"/>
          <w:szCs w:val="24"/>
          <w:lang w:val="en"/>
        </w:rPr>
        <w:t>This is the second Circuit Court to require tougher standard; in 2021 the 5</w:t>
      </w:r>
      <w:r w:rsidRPr="00C86D96">
        <w:rPr>
          <w:rStyle w:val="hgkelc"/>
          <w:b w:val="0"/>
          <w:bCs w:val="0"/>
          <w:sz w:val="24"/>
          <w:szCs w:val="24"/>
          <w:vertAlign w:val="superscript"/>
          <w:lang w:val="en"/>
        </w:rPr>
        <w:t>th</w:t>
      </w:r>
      <w:r w:rsidRPr="00C86D96">
        <w:rPr>
          <w:rStyle w:val="hgkelc"/>
          <w:b w:val="0"/>
          <w:bCs w:val="0"/>
          <w:sz w:val="24"/>
          <w:szCs w:val="24"/>
          <w:lang w:val="en"/>
        </w:rPr>
        <w:t xml:space="preserve"> Circuit (Louisiana, Mississippi, and Texas) also adopted tougher standard. </w:t>
      </w:r>
      <w:hyperlink r:id="rId1786" w:history="1">
        <w:r w:rsidRPr="00C86D96">
          <w:rPr>
            <w:rStyle w:val="Hyperlink"/>
            <w:rFonts w:eastAsiaTheme="majorEastAsia"/>
            <w:b w:val="0"/>
            <w:bCs w:val="0"/>
            <w:sz w:val="24"/>
            <w:szCs w:val="24"/>
            <w:lang w:val="en"/>
          </w:rPr>
          <w:t>https://cases.justia.com/federal/appellate-courts/ca5/19-60847/19-60847-2021-01-12.pdf?ts=1610476251</w:t>
        </w:r>
      </w:hyperlink>
    </w:p>
    <w:p w14:paraId="2DE1D146" w14:textId="77777777" w:rsidR="00237599" w:rsidRPr="003C590F" w:rsidRDefault="00237599" w:rsidP="00237599">
      <w:pPr>
        <w:pStyle w:val="Heading1"/>
        <w:ind w:left="720"/>
        <w:rPr>
          <w:b w:val="0"/>
          <w:bCs w:val="0"/>
          <w:sz w:val="24"/>
          <w:szCs w:val="24"/>
        </w:rPr>
      </w:pPr>
      <w:r w:rsidRPr="003C590F">
        <w:rPr>
          <w:rStyle w:val="markedcontent"/>
          <w:b w:val="0"/>
          <w:bCs w:val="0"/>
          <w:sz w:val="24"/>
          <w:szCs w:val="24"/>
        </w:rPr>
        <w:t xml:space="preserve">See this May 22, </w:t>
      </w:r>
      <w:proofErr w:type="gramStart"/>
      <w:r w:rsidRPr="003C590F">
        <w:rPr>
          <w:rStyle w:val="markedcontent"/>
          <w:b w:val="0"/>
          <w:bCs w:val="0"/>
          <w:sz w:val="24"/>
          <w:szCs w:val="24"/>
        </w:rPr>
        <w:t>2023</w:t>
      </w:r>
      <w:proofErr w:type="gramEnd"/>
      <w:r w:rsidRPr="003C590F">
        <w:rPr>
          <w:rStyle w:val="markedcontent"/>
          <w:b w:val="0"/>
          <w:bCs w:val="0"/>
          <w:sz w:val="24"/>
          <w:szCs w:val="24"/>
        </w:rPr>
        <w:t xml:space="preserve"> article, </w:t>
      </w:r>
      <w:r>
        <w:rPr>
          <w:rStyle w:val="markedcontent"/>
          <w:b w:val="0"/>
          <w:bCs w:val="0"/>
          <w:sz w:val="24"/>
          <w:szCs w:val="24"/>
        </w:rPr>
        <w:t>“</w:t>
      </w:r>
      <w:r w:rsidRPr="003C590F">
        <w:rPr>
          <w:b w:val="0"/>
          <w:bCs w:val="0"/>
          <w:sz w:val="24"/>
          <w:szCs w:val="24"/>
        </w:rPr>
        <w:t>Sixth Circuit Establishes Stricter Standard for Granting Notice of FLSA Collective Action</w:t>
      </w:r>
      <w:r>
        <w:rPr>
          <w:b w:val="0"/>
          <w:bCs w:val="0"/>
          <w:sz w:val="24"/>
          <w:szCs w:val="24"/>
        </w:rPr>
        <w:t xml:space="preserve">.” </w:t>
      </w:r>
      <w:hyperlink r:id="rId1787" w:history="1">
        <w:r w:rsidRPr="009943CA">
          <w:rPr>
            <w:rStyle w:val="Hyperlink"/>
            <w:rFonts w:eastAsiaTheme="majorEastAsia"/>
            <w:b w:val="0"/>
            <w:bCs w:val="0"/>
            <w:sz w:val="24"/>
            <w:szCs w:val="24"/>
          </w:rPr>
          <w:t>https://www.littler.com/publication-press/publication/sixth-circuit-establishes-stricter-standard-granting-notice-flsa</w:t>
        </w:r>
      </w:hyperlink>
      <w:r>
        <w:rPr>
          <w:b w:val="0"/>
          <w:bCs w:val="0"/>
          <w:sz w:val="24"/>
          <w:szCs w:val="24"/>
        </w:rPr>
        <w:t xml:space="preserve"> </w:t>
      </w:r>
    </w:p>
    <w:p w14:paraId="4B2628B2" w14:textId="77777777" w:rsidR="00237599" w:rsidRPr="00003BCF" w:rsidRDefault="00237599" w:rsidP="00237599">
      <w:pPr>
        <w:pStyle w:val="NormalWeb"/>
        <w:ind w:left="720"/>
      </w:pPr>
    </w:p>
    <w:p w14:paraId="0C818618" w14:textId="77777777" w:rsidR="00237599" w:rsidRDefault="00237599" w:rsidP="00F326E5">
      <w:pPr>
        <w:rPr>
          <w:rFonts w:ascii="Arial Black" w:hAnsi="Arial Black"/>
          <w:b/>
          <w:sz w:val="24"/>
          <w:szCs w:val="24"/>
        </w:rPr>
      </w:pPr>
    </w:p>
    <w:p w14:paraId="69452F8A" w14:textId="58A15C21" w:rsidR="00227BDE" w:rsidRDefault="00227BDE" w:rsidP="00F326E5">
      <w:pPr>
        <w:rPr>
          <w:rFonts w:ascii="Arial Black" w:hAnsi="Arial Black"/>
          <w:b/>
          <w:sz w:val="24"/>
          <w:szCs w:val="24"/>
        </w:rPr>
      </w:pPr>
      <w:r>
        <w:rPr>
          <w:rFonts w:ascii="Arial Black" w:hAnsi="Arial Black"/>
          <w:b/>
          <w:sz w:val="24"/>
          <w:szCs w:val="24"/>
        </w:rPr>
        <w:t>11-4</w:t>
      </w:r>
      <w:r w:rsidR="009601CD">
        <w:rPr>
          <w:rFonts w:ascii="Arial Black" w:hAnsi="Arial Black"/>
          <w:b/>
          <w:sz w:val="24"/>
          <w:szCs w:val="24"/>
        </w:rPr>
        <w:t>4</w:t>
      </w:r>
    </w:p>
    <w:p w14:paraId="7E8E17F3" w14:textId="77777777" w:rsidR="00227BDE" w:rsidRPr="008426A6" w:rsidRDefault="00227BDE" w:rsidP="00227BDE">
      <w:pPr>
        <w:pStyle w:val="NoSpacing"/>
        <w:rPr>
          <w:rFonts w:ascii="Arial Black" w:hAnsi="Arial Black"/>
          <w:sz w:val="28"/>
          <w:szCs w:val="28"/>
        </w:rPr>
      </w:pPr>
      <w:r w:rsidRPr="008426A6">
        <w:rPr>
          <w:rFonts w:ascii="Arial Black" w:hAnsi="Arial Black"/>
          <w:sz w:val="28"/>
          <w:szCs w:val="28"/>
        </w:rPr>
        <w:t>NC (4/21/2023) – FLSA – COUNTY EMS LAWSUIT WILL BE CLASS ACTION – OVERTIME RATE CALCULATIONS</w:t>
      </w:r>
    </w:p>
    <w:p w14:paraId="2C39B8F8" w14:textId="77777777" w:rsidR="00227BDE" w:rsidRDefault="00227BDE" w:rsidP="00227BDE">
      <w:pPr>
        <w:pStyle w:val="NoSpacing"/>
      </w:pPr>
    </w:p>
    <w:p w14:paraId="3D79C6F4" w14:textId="77777777" w:rsidR="00227BDE" w:rsidRDefault="00227BDE" w:rsidP="00227BDE">
      <w:pPr>
        <w:pStyle w:val="NoSpacing"/>
        <w:rPr>
          <w:rFonts w:ascii="Times New Roman" w:hAnsi="Times New Roman"/>
          <w:sz w:val="24"/>
          <w:szCs w:val="24"/>
        </w:rPr>
      </w:pPr>
      <w:r w:rsidRPr="003C1643">
        <w:rPr>
          <w:rFonts w:ascii="Times New Roman" w:hAnsi="Times New Roman"/>
          <w:sz w:val="24"/>
          <w:szCs w:val="24"/>
          <w:u w:val="single"/>
        </w:rPr>
        <w:t>Sarah B. Conner v. Cleveland County, North Carlina</w:t>
      </w:r>
      <w:r w:rsidRPr="003C1643">
        <w:rPr>
          <w:rFonts w:ascii="Times New Roman" w:hAnsi="Times New Roman"/>
          <w:sz w:val="24"/>
          <w:szCs w:val="24"/>
        </w:rPr>
        <w:t xml:space="preserve">, Chief U.S. District Court Judge Martin Reidinger, U.S. District Court for Western District of North Carolina, Asheville District. </w:t>
      </w:r>
    </w:p>
    <w:p w14:paraId="2D8A011B" w14:textId="77777777" w:rsidR="00227BDE" w:rsidRDefault="00227BDE" w:rsidP="00227BDE">
      <w:pPr>
        <w:pStyle w:val="NoSpacing"/>
        <w:rPr>
          <w:rFonts w:ascii="Times New Roman" w:hAnsi="Times New Roman"/>
          <w:sz w:val="24"/>
          <w:szCs w:val="24"/>
        </w:rPr>
      </w:pPr>
    </w:p>
    <w:p w14:paraId="2DDF5346" w14:textId="77777777" w:rsidR="00227BDE" w:rsidRPr="003C1643" w:rsidRDefault="00227BDE" w:rsidP="00227BDE">
      <w:pPr>
        <w:pStyle w:val="NoSpacing"/>
        <w:rPr>
          <w:rFonts w:ascii="Times New Roman" w:hAnsi="Times New Roman"/>
          <w:sz w:val="24"/>
          <w:szCs w:val="24"/>
        </w:rPr>
      </w:pPr>
      <w:hyperlink r:id="rId1788" w:history="1">
        <w:r w:rsidRPr="003C1643">
          <w:rPr>
            <w:rStyle w:val="Hyperlink"/>
            <w:rFonts w:ascii="Times New Roman" w:hAnsi="Times New Roman"/>
            <w:sz w:val="24"/>
            <w:szCs w:val="24"/>
          </w:rPr>
          <w:t>https://public.fastcase.com/ZZhmr5v9wN%2FXOe5IsQ%2FqD6sjDusMj%2BpqHWJB3g3peOqB7r060z1DCjdHIpcn3tRLdaTmRHBEVoaEU7qCAearkbm3vxifIUs5cRZbbsNdVP8%3D?utm_medium=email&amp;_hsmi=226712652&amp;_hsenc=p2ANqtz-8gP-zHi-IOiqpnpXzunEXLHIYbdJXxowLQqk7bE6jqat0-j7JaN5Av0mj-PIwKwb5z_G2Wf06wKlilS-X5H1ndg63rYw&amp;utm_content=226712652&amp;utm_source=hs_email</w:t>
        </w:r>
      </w:hyperlink>
      <w:r w:rsidRPr="003C1643">
        <w:rPr>
          <w:rFonts w:ascii="Times New Roman" w:hAnsi="Times New Roman"/>
          <w:sz w:val="24"/>
          <w:szCs w:val="24"/>
        </w:rPr>
        <w:t xml:space="preserve"> </w:t>
      </w:r>
    </w:p>
    <w:p w14:paraId="6B8A8024" w14:textId="77777777" w:rsidR="00227BDE" w:rsidRPr="003C1643" w:rsidRDefault="00227BDE" w:rsidP="00227BDE">
      <w:pPr>
        <w:pStyle w:val="NormalWeb"/>
        <w:rPr>
          <w:b/>
          <w:bCs/>
        </w:rPr>
      </w:pPr>
      <w:bookmarkStart w:id="384" w:name="_Hlk133820320"/>
      <w:r w:rsidRPr="003C1643">
        <w:rPr>
          <w:b/>
          <w:bCs/>
        </w:rPr>
        <w:t xml:space="preserve">Legal Lessons Learned: FLSA </w:t>
      </w:r>
      <w:proofErr w:type="gramStart"/>
      <w:r w:rsidRPr="003C1643">
        <w:rPr>
          <w:b/>
          <w:bCs/>
        </w:rPr>
        <w:t>provides for</w:t>
      </w:r>
      <w:proofErr w:type="gramEnd"/>
      <w:r w:rsidRPr="003C1643">
        <w:rPr>
          <w:b/>
          <w:bCs/>
        </w:rPr>
        <w:t xml:space="preserve"> class action lawsuits. </w:t>
      </w:r>
    </w:p>
    <w:bookmarkEnd w:id="384"/>
    <w:p w14:paraId="55C62752" w14:textId="77777777" w:rsidR="00227BDE" w:rsidRPr="003C1643" w:rsidRDefault="00227BDE" w:rsidP="00227BDE">
      <w:pPr>
        <w:pStyle w:val="NoSpacing"/>
        <w:rPr>
          <w:rFonts w:ascii="Times New Roman" w:hAnsi="Times New Roman"/>
          <w:sz w:val="24"/>
          <w:szCs w:val="24"/>
        </w:rPr>
      </w:pPr>
    </w:p>
    <w:p w14:paraId="03D255B6" w14:textId="77777777" w:rsidR="00227BDE" w:rsidRPr="003C1643" w:rsidRDefault="00227BDE" w:rsidP="00227BDE">
      <w:pPr>
        <w:pStyle w:val="NoSpacing"/>
        <w:rPr>
          <w:rFonts w:ascii="Times New Roman" w:hAnsi="Times New Roman"/>
          <w:sz w:val="24"/>
          <w:szCs w:val="24"/>
        </w:rPr>
      </w:pPr>
    </w:p>
    <w:p w14:paraId="544BE49C" w14:textId="77777777" w:rsidR="00227BDE" w:rsidRDefault="00227BDE" w:rsidP="00F326E5">
      <w:pPr>
        <w:rPr>
          <w:rFonts w:ascii="Arial Black" w:hAnsi="Arial Black"/>
          <w:b/>
          <w:sz w:val="24"/>
          <w:szCs w:val="24"/>
        </w:rPr>
      </w:pPr>
    </w:p>
    <w:p w14:paraId="35A5432F" w14:textId="0D68AEAD" w:rsidR="00227BDE" w:rsidRDefault="00227BDE"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43</w:t>
      </w:r>
    </w:p>
    <w:p w14:paraId="45460164" w14:textId="77777777" w:rsidR="00227BDE" w:rsidRPr="00FF72ED" w:rsidRDefault="00227BDE" w:rsidP="00227BDE">
      <w:pPr>
        <w:pStyle w:val="NoSpacing"/>
        <w:rPr>
          <w:rFonts w:ascii="Arial Black" w:hAnsi="Arial Black"/>
          <w:sz w:val="28"/>
          <w:szCs w:val="28"/>
        </w:rPr>
      </w:pPr>
      <w:r w:rsidRPr="00FF72ED">
        <w:rPr>
          <w:rFonts w:ascii="Arial Black" w:hAnsi="Arial Black"/>
          <w:sz w:val="28"/>
          <w:szCs w:val="28"/>
        </w:rPr>
        <w:t>CA (4/19/2023) –</w:t>
      </w:r>
      <w:r>
        <w:rPr>
          <w:rFonts w:ascii="Arial Black" w:hAnsi="Arial Black"/>
          <w:sz w:val="28"/>
          <w:szCs w:val="28"/>
        </w:rPr>
        <w:t xml:space="preserve"> MEDIC WITH </w:t>
      </w:r>
      <w:r w:rsidRPr="00FF72ED">
        <w:rPr>
          <w:rFonts w:ascii="Arial Black" w:hAnsi="Arial Black"/>
          <w:sz w:val="28"/>
          <w:szCs w:val="28"/>
        </w:rPr>
        <w:t>AMR –</w:t>
      </w:r>
      <w:r>
        <w:rPr>
          <w:rFonts w:ascii="Arial Black" w:hAnsi="Arial Black"/>
          <w:sz w:val="28"/>
          <w:szCs w:val="28"/>
        </w:rPr>
        <w:t xml:space="preserve"> NO </w:t>
      </w:r>
      <w:r w:rsidRPr="00FF72ED">
        <w:rPr>
          <w:rFonts w:ascii="Arial Black" w:hAnsi="Arial Black"/>
          <w:sz w:val="28"/>
          <w:szCs w:val="28"/>
        </w:rPr>
        <w:t>MEAL / REST BREAKS</w:t>
      </w:r>
      <w:r>
        <w:rPr>
          <w:rFonts w:ascii="Arial Black" w:hAnsi="Arial Black"/>
          <w:sz w:val="28"/>
          <w:szCs w:val="28"/>
        </w:rPr>
        <w:t xml:space="preserve"> - CASE </w:t>
      </w:r>
      <w:r w:rsidRPr="00FF72ED">
        <w:rPr>
          <w:rFonts w:ascii="Arial Black" w:hAnsi="Arial Black"/>
          <w:sz w:val="28"/>
          <w:szCs w:val="28"/>
        </w:rPr>
        <w:t>DISMISSED</w:t>
      </w:r>
      <w:r>
        <w:rPr>
          <w:rFonts w:ascii="Arial Black" w:hAnsi="Arial Black"/>
          <w:sz w:val="28"/>
          <w:szCs w:val="28"/>
        </w:rPr>
        <w:t xml:space="preserve"> – 2018 VOTERS PROP. 11 </w:t>
      </w:r>
    </w:p>
    <w:p w14:paraId="29B031AC" w14:textId="77777777" w:rsidR="00227BDE" w:rsidRDefault="00227BDE" w:rsidP="00227BDE">
      <w:pPr>
        <w:pStyle w:val="NoSpacing"/>
      </w:pPr>
    </w:p>
    <w:p w14:paraId="676E4CE1" w14:textId="77777777" w:rsidR="00227BDE" w:rsidRPr="003C1643" w:rsidRDefault="00227BDE" w:rsidP="00227BDE">
      <w:pPr>
        <w:pStyle w:val="NoSpacing"/>
        <w:rPr>
          <w:rFonts w:ascii="Times New Roman" w:hAnsi="Times New Roman"/>
          <w:sz w:val="24"/>
          <w:szCs w:val="24"/>
        </w:rPr>
      </w:pPr>
      <w:r w:rsidRPr="003C1643">
        <w:rPr>
          <w:rFonts w:ascii="Times New Roman" w:hAnsi="Times New Roman"/>
          <w:sz w:val="24"/>
          <w:szCs w:val="24"/>
          <w:u w:val="single"/>
        </w:rPr>
        <w:t>Vaughn Banta v. American Medical Response, et al.</w:t>
      </w:r>
      <w:r w:rsidRPr="003C1643">
        <w:rPr>
          <w:rFonts w:ascii="Times New Roman" w:hAnsi="Times New Roman"/>
          <w:sz w:val="24"/>
          <w:szCs w:val="24"/>
        </w:rPr>
        <w:t xml:space="preserve">, California Court of Appeals, Second District, Second Division. [Unpublished Decision.] </w:t>
      </w:r>
    </w:p>
    <w:p w14:paraId="43B3C68B" w14:textId="77777777" w:rsidR="00227BDE" w:rsidRDefault="00227BDE" w:rsidP="00F326E5">
      <w:pPr>
        <w:rPr>
          <w:rFonts w:ascii="Arial Black" w:hAnsi="Arial Black"/>
          <w:b/>
          <w:sz w:val="24"/>
          <w:szCs w:val="24"/>
        </w:rPr>
      </w:pPr>
    </w:p>
    <w:p w14:paraId="4C4EB76A" w14:textId="77777777" w:rsidR="00227BDE" w:rsidRPr="003C1643" w:rsidRDefault="00227BDE" w:rsidP="00227BDE">
      <w:pPr>
        <w:pStyle w:val="NoSpacing"/>
        <w:rPr>
          <w:rFonts w:ascii="Times New Roman" w:hAnsi="Times New Roman"/>
          <w:sz w:val="24"/>
          <w:szCs w:val="24"/>
        </w:rPr>
      </w:pPr>
      <w:hyperlink r:id="rId1789" w:history="1">
        <w:r w:rsidRPr="003C1643">
          <w:rPr>
            <w:rStyle w:val="Hyperlink"/>
            <w:rFonts w:ascii="Times New Roman" w:hAnsi="Times New Roman"/>
            <w:sz w:val="24"/>
            <w:szCs w:val="24"/>
          </w:rPr>
          <w:t>https://public.fastcase.com/ZZhmr5v9wN%2FXOe5IsQ%2FqD%2Bile%2Foxyp5Z8Q8kvhZNO7gH1c2Z5qHls9xhvmb3awOvR3bsCkmvAqMtioFMMuxMBzUhvRQhP83bmryZorCoTbI%3D?utm_medium=email&amp;_hsmi=226712652&amp;_hsenc=p2ANqtz--nFpNqY7MlHedt-bGY2IVgigc3ATGuPz0zM2ZOCoWHuze-qmefTR0632sWWVlZvaDJFdCD_Gl1V9HSDzdZa4P3MSrw7A&amp;utm_content=226712652&amp;utm_source=hs_email</w:t>
        </w:r>
      </w:hyperlink>
      <w:r w:rsidRPr="003C1643">
        <w:rPr>
          <w:rFonts w:ascii="Times New Roman" w:hAnsi="Times New Roman"/>
          <w:sz w:val="24"/>
          <w:szCs w:val="24"/>
        </w:rPr>
        <w:t xml:space="preserve"> </w:t>
      </w:r>
    </w:p>
    <w:p w14:paraId="02DF39C0" w14:textId="77777777" w:rsidR="00227BDE" w:rsidRDefault="00227BDE" w:rsidP="00227BDE">
      <w:pPr>
        <w:pStyle w:val="NormalWeb"/>
        <w:rPr>
          <w:b/>
          <w:bCs/>
        </w:rPr>
      </w:pPr>
      <w:r w:rsidRPr="003C1643">
        <w:rPr>
          <w:b/>
          <w:bCs/>
        </w:rPr>
        <w:t>Legal Lesson Learned: California voters passed Proposition 11, requiring meal and rest period breaks for most employers, but not EMS.</w:t>
      </w:r>
      <w:r>
        <w:rPr>
          <w:b/>
          <w:bCs/>
        </w:rPr>
        <w:t xml:space="preserve"> </w:t>
      </w:r>
    </w:p>
    <w:p w14:paraId="7F49C670" w14:textId="77777777" w:rsidR="00227BDE" w:rsidRDefault="00227BDE" w:rsidP="00F326E5">
      <w:pPr>
        <w:rPr>
          <w:rFonts w:ascii="Arial Black" w:hAnsi="Arial Black"/>
          <w:b/>
          <w:sz w:val="24"/>
          <w:szCs w:val="24"/>
        </w:rPr>
      </w:pPr>
    </w:p>
    <w:p w14:paraId="3DE4C351" w14:textId="77777777" w:rsidR="00227BDE" w:rsidRDefault="00227BDE" w:rsidP="00F326E5">
      <w:pPr>
        <w:rPr>
          <w:rFonts w:ascii="Arial Black" w:hAnsi="Arial Black"/>
          <w:b/>
          <w:sz w:val="24"/>
          <w:szCs w:val="24"/>
        </w:rPr>
      </w:pPr>
    </w:p>
    <w:p w14:paraId="5C23A3D6" w14:textId="762A661C" w:rsidR="003F788B" w:rsidRDefault="003F788B"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42</w:t>
      </w:r>
    </w:p>
    <w:p w14:paraId="34ADE42A" w14:textId="77777777" w:rsidR="003F788B" w:rsidRDefault="003F788B" w:rsidP="003F788B">
      <w:pPr>
        <w:pStyle w:val="NormalWeb"/>
        <w:rPr>
          <w:rFonts w:ascii="Arial Black" w:hAnsi="Arial Black"/>
          <w:sz w:val="28"/>
          <w:szCs w:val="28"/>
        </w:rPr>
      </w:pPr>
      <w:r>
        <w:rPr>
          <w:rFonts w:ascii="Arial Black" w:hAnsi="Arial Black"/>
          <w:sz w:val="28"/>
          <w:szCs w:val="28"/>
        </w:rPr>
        <w:t>KS: RETIRED CAPT. CLAIMS BCs MISCHARDING VACATION TIME – NOT FLSA VIOLATION – FLSA CASE DISMISSED</w:t>
      </w:r>
    </w:p>
    <w:p w14:paraId="0E16EB50" w14:textId="77777777" w:rsidR="003F788B" w:rsidRDefault="003F788B" w:rsidP="003F788B">
      <w:pPr>
        <w:pStyle w:val="NormalWeb"/>
      </w:pPr>
      <w:r>
        <w:t xml:space="preserve">On March 30, 2023, in </w:t>
      </w:r>
      <w:r>
        <w:rPr>
          <w:u w:val="single"/>
        </w:rPr>
        <w:t>Tim Lepage v. City of Salina, Kansas, et al</w:t>
      </w:r>
      <w:r>
        <w:t>., U.S. District Court Judge Julie A. Robinson granted the City’s motion to dismiss the FLSA claim since his investigation of Battalion Chiefs never involved violations of FLSA, but rather “</w:t>
      </w:r>
      <w:proofErr w:type="gramStart"/>
      <w:r>
        <w:t>time card</w:t>
      </w:r>
      <w:proofErr w:type="gramEnd"/>
      <w:r>
        <w:t xml:space="preserve"> fraud” where BCs on vacation allegedly recorded their time as on duty. The case will now </w:t>
      </w:r>
      <w:proofErr w:type="gramStart"/>
      <w:r>
        <w:t>return</w:t>
      </w:r>
      <w:proofErr w:type="gramEnd"/>
      <w:r>
        <w:t xml:space="preserve"> to State court for further discovery.  Lepage became frustrated that the </w:t>
      </w:r>
      <w:proofErr w:type="gramStart"/>
      <w:r>
        <w:t>City</w:t>
      </w:r>
      <w:proofErr w:type="gramEnd"/>
      <w:r>
        <w:t xml:space="preserve"> stalled on the investigation, and per his request he was placed on paid leave and retired in </w:t>
      </w:r>
      <w:proofErr w:type="gramStart"/>
      <w:r>
        <w:t>June 2021, and</w:t>
      </w:r>
      <w:proofErr w:type="gramEnd"/>
      <w:r>
        <w:t xml:space="preserve"> then brought this lawsuit. </w:t>
      </w:r>
    </w:p>
    <w:p w14:paraId="204E1D8D" w14:textId="77777777" w:rsidR="003F788B" w:rsidRDefault="003F788B" w:rsidP="003F788B">
      <w:pPr>
        <w:pStyle w:val="NormalWeb"/>
        <w:ind w:left="720"/>
      </w:pPr>
      <w:r>
        <w:t xml:space="preserve">The Judge wrote: “Here, LePage fails to demonstrate a genuine issue of material fact about whether he engaged in protected activity under this objective standard. In terms of content, it is uncontroverted that LePage never explicitly invoked the FLSA when he complained about the BCs' alleged </w:t>
      </w:r>
      <w:proofErr w:type="gramStart"/>
      <w:r>
        <w:t>time card</w:t>
      </w:r>
      <w:proofErr w:type="gramEnd"/>
      <w:r>
        <w:t xml:space="preserve"> fraud. And while this fact standing alone is not fatal to his claim, the substance of his complaint did not involve conduct that is regulated by the FLSA. The FLSA ‘sets </w:t>
      </w:r>
      <w:proofErr w:type="gramStart"/>
      <w:r>
        <w:t>forth</w:t>
      </w:r>
      <w:proofErr w:type="gramEnd"/>
      <w:r>
        <w:t xml:space="preserve"> employment rules concerning minimum wages, maximum hours, and overtime pay.’ LePage did not complain about violations of the federal minimum wage or maximum hour laws.” </w:t>
      </w:r>
      <w:hyperlink r:id="rId1790" w:history="1">
        <w:r>
          <w:rPr>
            <w:rStyle w:val="Hyperlink"/>
          </w:rPr>
          <w:t>https://ecf.ksd.uscourts.gov/cgi-bin/show_public_doc?2022cv4020-41</w:t>
        </w:r>
      </w:hyperlink>
      <w:r>
        <w:t xml:space="preserve"> </w:t>
      </w:r>
    </w:p>
    <w:p w14:paraId="6FD07A9E" w14:textId="77777777" w:rsidR="003F788B" w:rsidRDefault="003F788B" w:rsidP="003F788B">
      <w:pPr>
        <w:pStyle w:val="NormalWeb"/>
        <w:ind w:left="720"/>
      </w:pPr>
      <w:r>
        <w:t xml:space="preserve">“In September 2019, LePage began working with Human Resources Specialist Diane Turner on a project to save money. Specifically, LePage began keeping track of the days BCs were taking vacation, knowing that their use of vacation would require </w:t>
      </w:r>
      <w:proofErr w:type="gramStart"/>
      <w:r>
        <w:t>more captain</w:t>
      </w:r>
      <w:proofErr w:type="gramEnd"/>
      <w:r>
        <w:t xml:space="preserve"> overtime, costing the </w:t>
      </w:r>
      <w:proofErr w:type="gramStart"/>
      <w:r>
        <w:t>City</w:t>
      </w:r>
      <w:proofErr w:type="gramEnd"/>
      <w:r>
        <w:t xml:space="preserve"> money. LePage began what he considered to be an </w:t>
      </w:r>
      <w:proofErr w:type="gramStart"/>
      <w:r>
        <w:t>in depth</w:t>
      </w:r>
      <w:proofErr w:type="gramEnd"/>
      <w:r>
        <w:t xml:space="preserve"> investigation with Human </w:t>
      </w:r>
      <w:proofErr w:type="gramStart"/>
      <w:r>
        <w:t>Resources (‘</w:t>
      </w:r>
      <w:proofErr w:type="gramEnd"/>
      <w:r>
        <w:t xml:space="preserve">HR’) on this issue because HR did not have access to the </w:t>
      </w:r>
      <w:proofErr w:type="spellStart"/>
      <w:r>
        <w:t>DataTracker</w:t>
      </w:r>
      <w:proofErr w:type="spellEnd"/>
      <w:r>
        <w:t xml:space="preserve"> and ‘FD outlook calendar.’ LePage would send HR the days he knew BCs were gone and the reason they had provided. LePage believed that all three [BCs] were . . . taking ten days of vacation, reporting they were on duty, </w:t>
      </w:r>
      <w:proofErr w:type="gramStart"/>
      <w:r>
        <w:t>thusly</w:t>
      </w:r>
      <w:proofErr w:type="gramEnd"/>
      <w:r>
        <w:t xml:space="preserve"> banking those hours and then taking an additional five days off, reporting it correctly and selling the other five days. After a week or two of review, it was found to be well </w:t>
      </w:r>
      <w:proofErr w:type="gramStart"/>
      <w:r>
        <w:t>north</w:t>
      </w:r>
      <w:proofErr w:type="gramEnd"/>
      <w:r>
        <w:t xml:space="preserve"> of $100K stolen in the previous 6 years.</w:t>
      </w:r>
    </w:p>
    <w:p w14:paraId="2BFCFBC8" w14:textId="77777777" w:rsidR="003F788B" w:rsidRDefault="003F788B" w:rsidP="003F788B">
      <w:pPr>
        <w:pStyle w:val="NormalWeb"/>
        <w:ind w:left="720"/>
      </w:pPr>
      <w:r>
        <w:t>***</w:t>
      </w:r>
    </w:p>
    <w:p w14:paraId="2353EF37" w14:textId="77777777" w:rsidR="003F788B" w:rsidRDefault="003F788B" w:rsidP="003F788B">
      <w:pPr>
        <w:pStyle w:val="NormalWeb"/>
        <w:ind w:left="720"/>
        <w:rPr>
          <w:vertAlign w:val="superscript"/>
        </w:rPr>
      </w:pPr>
      <w:r>
        <w:t xml:space="preserve">The Court finds that there are no substantial grounds for jurisdiction over the remaining claims for retaliatory discharge and defamation and that the state court is in a better position to evaluate LePage's claims under state </w:t>
      </w:r>
      <w:proofErr w:type="gramStart"/>
      <w:r>
        <w:t>law.”</w:t>
      </w:r>
      <w:proofErr w:type="gramEnd"/>
    </w:p>
    <w:p w14:paraId="660CD65D" w14:textId="77777777" w:rsidR="003F788B" w:rsidRDefault="003F788B" w:rsidP="003F788B">
      <w:pPr>
        <w:pStyle w:val="NormalWeb"/>
        <w:rPr>
          <w:b/>
          <w:bCs/>
        </w:rPr>
      </w:pPr>
      <w:r>
        <w:rPr>
          <w:b/>
          <w:bCs/>
        </w:rPr>
        <w:t xml:space="preserve">Legal Lessons Learned: The FLSA protects employees from retaliation, but only where there are claims of FLSA violations.  </w:t>
      </w:r>
    </w:p>
    <w:p w14:paraId="15888F45" w14:textId="77777777" w:rsidR="003F788B" w:rsidRDefault="003F788B" w:rsidP="003F788B">
      <w:pPr>
        <w:pStyle w:val="NormalWeb"/>
      </w:pPr>
    </w:p>
    <w:p w14:paraId="205822C3" w14:textId="1A849770" w:rsidR="00104A4C" w:rsidRDefault="00104A4C"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41</w:t>
      </w:r>
    </w:p>
    <w:p w14:paraId="57B91EA9" w14:textId="77777777" w:rsidR="00104A4C" w:rsidRDefault="00104A4C" w:rsidP="00104A4C">
      <w:pPr>
        <w:pStyle w:val="NormalWeb"/>
      </w:pPr>
      <w:r>
        <w:rPr>
          <w:rFonts w:ascii="Arial Black" w:hAnsi="Arial Black"/>
          <w:sz w:val="28"/>
          <w:szCs w:val="28"/>
        </w:rPr>
        <w:t>CA: FLSA – FOUR BATTALION CHIEFS CLAIM NOT “EXEMPT” – CITY SETTLEMENT – $145,000, PLUS $25,000 ATTY FEES</w:t>
      </w:r>
    </w:p>
    <w:p w14:paraId="73DA163A" w14:textId="77777777" w:rsidR="00104A4C" w:rsidRDefault="00104A4C" w:rsidP="00104A4C">
      <w:pPr>
        <w:pStyle w:val="NormalWeb"/>
      </w:pPr>
      <w:r>
        <w:t xml:space="preserve">On March 7, 2023, in </w:t>
      </w:r>
      <w:r w:rsidRPr="00BD4D01">
        <w:rPr>
          <w:u w:val="single"/>
        </w:rPr>
        <w:t>James Mickelson v. City of Encinitas</w:t>
      </w:r>
      <w:r>
        <w:t xml:space="preserve">, U.S. District Court Judge Cynthia Bashant, Southern District of California, approved a settlement of a lawsuit filed by four Battalion Chiefs, based on their pay for prior two years, with City not admitting to any violation of FLSA.  The Court agreed to the settlement because law is unclear on whether these Battalion Chiefs are exempt from overtime.  Under the terms of the Settlement, the City agreed to pay a total of $145,000.00 to Battalion Chiefs based on their hours works in two prior years (if willful violations were proven at trial, Court can award three years back pay, doubled as liquidated damages): (1) $26,108.22 paid to James Mickelson; (2) $12,373.71 paid to Terence Chiros; (3) $47,677.74 paid to Jorge Sanchez; and (4) $58,850.33 paid to Michael Spaulding. </w:t>
      </w:r>
      <w:hyperlink r:id="rId1791" w:history="1">
        <w:r w:rsidRPr="005C1F1B">
          <w:rPr>
            <w:rStyle w:val="Hyperlink"/>
            <w:rFonts w:eastAsiaTheme="majorEastAsia"/>
          </w:rPr>
          <w:t>https://law.justia.com/cases/federal/district-courts/california/casdce/3:2022cv00487/730899/28/</w:t>
        </w:r>
      </w:hyperlink>
      <w:r>
        <w:t xml:space="preserve"> </w:t>
      </w:r>
    </w:p>
    <w:p w14:paraId="1093B14D" w14:textId="77777777" w:rsidR="00104A4C" w:rsidRDefault="00104A4C" w:rsidP="00104A4C">
      <w:pPr>
        <w:pStyle w:val="NormalWeb"/>
      </w:pPr>
      <w:r>
        <w:t xml:space="preserve">The Court noted: </w:t>
      </w:r>
    </w:p>
    <w:p w14:paraId="0D057EC3" w14:textId="77777777" w:rsidR="00104A4C" w:rsidRDefault="00104A4C" w:rsidP="00104A4C">
      <w:pPr>
        <w:pStyle w:val="NormalWeb"/>
        <w:ind w:left="720"/>
      </w:pPr>
      <w:r>
        <w:t xml:space="preserve">“First, the parties disagree as to whether Encinitas Battalion Chiefs are FLSA-exempt employees. Plaintiff relies on regulations that clarify the scope of FLSA exemptions: ‘The [FLSA minimum wage provision] exemptions . . . do not apply to . . . fire fighters . . . who perform work such as preventing, controlling or extinguishing fires of any type.’ 29 C.F.R. § 541.3. Plaintiff maintains that Battalion Chiefs ‘actively engage in fire-fighter responsibilities’ and ‘regularly respond to calls for rescuing fire and accident victims; medical calls for </w:t>
      </w:r>
      <w:proofErr w:type="gramStart"/>
      <w:r>
        <w:t>services, and</w:t>
      </w:r>
      <w:proofErr w:type="gramEnd"/>
      <w:r>
        <w:t xml:space="preserve"> regularly carry and use fire suppression and medical equipment….’ </w:t>
      </w:r>
    </w:p>
    <w:p w14:paraId="26DCC3A0" w14:textId="77777777" w:rsidR="00104A4C" w:rsidRDefault="00104A4C" w:rsidP="00104A4C">
      <w:pPr>
        <w:pStyle w:val="NormalWeb"/>
        <w:ind w:left="600"/>
      </w:pPr>
      <w:r>
        <w:t xml:space="preserve">Defendants, by contrast, take the position that managerial fire employees like Battalion Chiefs are properly exempt, so long as they meet the requirements of the executive or administrative exemption….To qualify for the administrative exemption, the employee must meet a minimum salary and the employee's primary duty must be ‘the performance of office or non-manual work directly related to the management or general business operations of the employer....’ 28 C.F.R. § 541.200(a). The parties point to recent Fourth Circuit caselaw and a 2005 Department of Labor Opinion Letter that both determined fire department battalion chiefs were properly classified as exempt….Defendant asserts that Encinitas Battalion Chiefs are ‘always responsible for supervising both Captains and the other firefighters’ and that preliminary discovery confirmed they ‘rarely if ever engage in actual firefighting….”  </w:t>
      </w:r>
    </w:p>
    <w:p w14:paraId="7E49A138" w14:textId="77777777" w:rsidR="00104A4C" w:rsidRPr="00025BA7" w:rsidRDefault="00104A4C" w:rsidP="00104A4C">
      <w:pPr>
        <w:pStyle w:val="NormalWeb"/>
        <w:rPr>
          <w:b/>
          <w:bCs/>
        </w:rPr>
      </w:pPr>
      <w:r w:rsidRPr="00025BA7">
        <w:rPr>
          <w:b/>
          <w:bCs/>
        </w:rPr>
        <w:t xml:space="preserve">Legal Lesson Learned: </w:t>
      </w:r>
      <w:r>
        <w:rPr>
          <w:b/>
          <w:bCs/>
        </w:rPr>
        <w:t xml:space="preserve">The law is unsettled about Battalion Chiefs being “exempt”; be interesting to learn whether the next CBA with City of Encinitas will address this issue. </w:t>
      </w:r>
    </w:p>
    <w:p w14:paraId="69BAE836" w14:textId="77777777" w:rsidR="00104A4C" w:rsidRDefault="00104A4C" w:rsidP="00104A4C">
      <w:pPr>
        <w:pStyle w:val="NormalWeb"/>
        <w:ind w:left="720"/>
      </w:pPr>
      <w:r>
        <w:t>Note: The Court noted the attorney fees were reasonable. “Plaintiff's counsel has acted as lead counsel in more than fifty FLSA lawsuits representing tens of thousands of employees…. In addition, Plaintiff's counsel has published books on the FLSA, conducted FLSA audits, and lectured on the FLSA.”</w:t>
      </w:r>
    </w:p>
    <w:p w14:paraId="426B5E05" w14:textId="77777777" w:rsidR="00104A4C" w:rsidRDefault="00104A4C" w:rsidP="00104A4C">
      <w:pPr>
        <w:pStyle w:val="NormalWeb"/>
      </w:pPr>
    </w:p>
    <w:p w14:paraId="52426212" w14:textId="3C041114" w:rsidR="00104A4C" w:rsidRDefault="00104A4C" w:rsidP="00F326E5">
      <w:pPr>
        <w:rPr>
          <w:rFonts w:ascii="Arial Black" w:hAnsi="Arial Black"/>
          <w:b/>
          <w:sz w:val="24"/>
          <w:szCs w:val="24"/>
        </w:rPr>
      </w:pPr>
      <w:r>
        <w:rPr>
          <w:rFonts w:ascii="Arial Black" w:hAnsi="Arial Black"/>
          <w:b/>
          <w:sz w:val="24"/>
          <w:szCs w:val="24"/>
        </w:rPr>
        <w:t>11-</w:t>
      </w:r>
      <w:r w:rsidR="009601CD">
        <w:rPr>
          <w:rFonts w:ascii="Arial Black" w:hAnsi="Arial Black"/>
          <w:b/>
          <w:sz w:val="24"/>
          <w:szCs w:val="24"/>
        </w:rPr>
        <w:t>40</w:t>
      </w:r>
    </w:p>
    <w:p w14:paraId="2ED20389" w14:textId="77777777" w:rsidR="00104A4C" w:rsidRPr="00682E43" w:rsidRDefault="00104A4C" w:rsidP="00104A4C">
      <w:pPr>
        <w:pStyle w:val="NormalWeb"/>
        <w:rPr>
          <w:rFonts w:ascii="Arial Black" w:hAnsi="Arial Black"/>
          <w:b/>
          <w:bCs/>
          <w:sz w:val="28"/>
          <w:szCs w:val="28"/>
        </w:rPr>
      </w:pPr>
      <w:r>
        <w:rPr>
          <w:rFonts w:ascii="Arial Black" w:hAnsi="Arial Black"/>
          <w:b/>
          <w:bCs/>
          <w:sz w:val="28"/>
          <w:szCs w:val="28"/>
        </w:rPr>
        <w:t>DC: FLSA – U.S. SUP. CT. - OIL RIG “TOOL PUSHER” – MAKES $200,000 / YR - SINCE HE IS PAID HOURLY, NOT EXEMPT</w:t>
      </w:r>
    </w:p>
    <w:p w14:paraId="49DE6594" w14:textId="77777777" w:rsidR="00104A4C" w:rsidRDefault="00104A4C" w:rsidP="00104A4C">
      <w:pPr>
        <w:pStyle w:val="NormalWeb"/>
        <w:rPr>
          <w:rStyle w:val="markedcontent"/>
        </w:rPr>
      </w:pPr>
      <w:r>
        <w:rPr>
          <w:rStyle w:val="markedcontent"/>
        </w:rPr>
        <w:t xml:space="preserve">On Feb. 23, 2023, in </w:t>
      </w:r>
      <w:r w:rsidRPr="00275035">
        <w:rPr>
          <w:rStyle w:val="markedcontent"/>
        </w:rPr>
        <w:t>Helix Energy Solutions Group, Inc. et al. v. Michael Hewitt</w:t>
      </w:r>
      <w:r>
        <w:rPr>
          <w:rStyle w:val="markedcontent"/>
        </w:rPr>
        <w:t>, the U.S. Supreme Court held (6 to 3) that the Supervisor (earned $200,000 a year), working 84 hours a week on the oil rig, supervising 12-14 employees, was not “exempt” from earning overtime after 40 hours.  After he was fired, he sued for overtime pay, seeking “</w:t>
      </w:r>
      <w:r>
        <w:t xml:space="preserve">hundreds of thousands of dollars in retroactive overtime pay.” [Dissenting opinion, Justice Brett Kavanaugh.] The majority opinion has awarded him this windfall.  From 2015 to 2017, Hewitt worked 28-day "hitches," living on an offshore oil rig for 28 days at a time and being on-duty for 12 hours each day. His pay ranged from $963 to $1,341 per day. Hewitt earned $248,053 in 2015 and $218,863 in 2016, according to court records. </w:t>
      </w:r>
      <w:hyperlink r:id="rId1792" w:history="1">
        <w:r w:rsidRPr="00933DFB">
          <w:rPr>
            <w:rStyle w:val="Hyperlink"/>
            <w:rFonts w:eastAsiaTheme="majorEastAsia"/>
          </w:rPr>
          <w:t>https://www.supremecourt.gov/opinions/22pdf/21-984_j426.pdf</w:t>
        </w:r>
      </w:hyperlink>
      <w:r>
        <w:rPr>
          <w:rStyle w:val="markedcontent"/>
        </w:rPr>
        <w:t xml:space="preserve"> </w:t>
      </w:r>
    </w:p>
    <w:p w14:paraId="73EBAB31" w14:textId="77777777" w:rsidR="00104A4C" w:rsidRDefault="00104A4C" w:rsidP="00104A4C">
      <w:pPr>
        <w:pStyle w:val="NormalWeb"/>
        <w:ind w:left="720"/>
        <w:rPr>
          <w:rStyle w:val="markedcontent"/>
        </w:rPr>
      </w:pPr>
      <w:r>
        <w:rPr>
          <w:rStyle w:val="markedcontent"/>
        </w:rPr>
        <w:t xml:space="preserve">“The question here is whether a high-earning employee is compensated on a ‘salary </w:t>
      </w:r>
      <w:proofErr w:type="spellStart"/>
      <w:r>
        <w:rPr>
          <w:rStyle w:val="markedcontent"/>
        </w:rPr>
        <w:t>basis’</w:t>
      </w:r>
      <w:proofErr w:type="spellEnd"/>
      <w:r>
        <w:rPr>
          <w:rStyle w:val="markedcontent"/>
        </w:rPr>
        <w:t xml:space="preserve"> when his paycheck is based solely on a daily rate—so that he receives a certain amount if he works one day in a week, twice as much for two days, three times as much for three, and so on. We hold that such an employee is not paid on a salary </w:t>
      </w:r>
      <w:proofErr w:type="gramStart"/>
      <w:r>
        <w:rPr>
          <w:rStyle w:val="markedcontent"/>
        </w:rPr>
        <w:t>basis, and</w:t>
      </w:r>
      <w:proofErr w:type="gramEnd"/>
      <w:r>
        <w:rPr>
          <w:rStyle w:val="markedcontent"/>
        </w:rPr>
        <w:t xml:space="preserve"> thus is entitled to overtime </w:t>
      </w:r>
      <w:proofErr w:type="gramStart"/>
      <w:r>
        <w:rPr>
          <w:rStyle w:val="markedcontent"/>
        </w:rPr>
        <w:t>pay.”</w:t>
      </w:r>
      <w:proofErr w:type="gramEnd"/>
      <w:r>
        <w:rPr>
          <w:rStyle w:val="markedcontent"/>
        </w:rPr>
        <w:t xml:space="preserve"> </w:t>
      </w:r>
    </w:p>
    <w:p w14:paraId="33135B22" w14:textId="77777777" w:rsidR="00104A4C" w:rsidRPr="005B5614" w:rsidRDefault="00104A4C" w:rsidP="00104A4C">
      <w:pPr>
        <w:pStyle w:val="NormalWeb"/>
        <w:rPr>
          <w:rStyle w:val="markedcontent"/>
          <w:b/>
          <w:bCs/>
        </w:rPr>
      </w:pPr>
      <w:r w:rsidRPr="005B5614">
        <w:rPr>
          <w:rStyle w:val="markedcontent"/>
          <w:b/>
          <w:bCs/>
        </w:rPr>
        <w:t xml:space="preserve">Legal Lesson Learned: </w:t>
      </w:r>
      <w:r>
        <w:rPr>
          <w:rStyle w:val="markedcontent"/>
          <w:b/>
          <w:bCs/>
        </w:rPr>
        <w:t xml:space="preserve">In the fire service, typically Fire Chief are considered “executives” under FLSA and “exempt” from overtime pay.  Battalion Chiefs, and other lower ranked officers, may or may not be “exempt” based on their job duties.  </w:t>
      </w:r>
    </w:p>
    <w:p w14:paraId="089BE339" w14:textId="77777777" w:rsidR="00104A4C" w:rsidRDefault="00104A4C" w:rsidP="00104A4C">
      <w:pPr>
        <w:pStyle w:val="Heading1"/>
        <w:ind w:left="720"/>
        <w:rPr>
          <w:b w:val="0"/>
          <w:bCs w:val="0"/>
          <w:sz w:val="24"/>
          <w:szCs w:val="24"/>
        </w:rPr>
      </w:pPr>
      <w:r w:rsidRPr="00F76346">
        <w:rPr>
          <w:b w:val="0"/>
          <w:bCs w:val="0"/>
          <w:sz w:val="24"/>
          <w:szCs w:val="24"/>
        </w:rPr>
        <w:t xml:space="preserve">See this article: Battalion Chiefs, Executive Exemption, and Overtime (Sept. 17, 2018): </w:t>
      </w:r>
      <w:hyperlink r:id="rId1793" w:history="1">
        <w:r w:rsidRPr="00933DFB">
          <w:rPr>
            <w:rStyle w:val="Hyperlink"/>
            <w:rFonts w:eastAsiaTheme="majorEastAsia"/>
            <w:b w:val="0"/>
            <w:bCs w:val="0"/>
            <w:sz w:val="24"/>
            <w:szCs w:val="24"/>
          </w:rPr>
          <w:t>http://www.firefighterovertime.org/2018/09/17/battalion/</w:t>
        </w:r>
      </w:hyperlink>
      <w:r w:rsidRPr="00F76346">
        <w:rPr>
          <w:b w:val="0"/>
          <w:bCs w:val="0"/>
          <w:sz w:val="24"/>
          <w:szCs w:val="24"/>
        </w:rPr>
        <w:t xml:space="preserve"> </w:t>
      </w:r>
    </w:p>
    <w:p w14:paraId="5F68BA34" w14:textId="77777777" w:rsidR="00104A4C" w:rsidRPr="00F504E7" w:rsidRDefault="00104A4C" w:rsidP="00104A4C">
      <w:pPr>
        <w:pStyle w:val="Heading1"/>
        <w:ind w:left="720"/>
        <w:rPr>
          <w:b w:val="0"/>
          <w:bCs w:val="0"/>
          <w:sz w:val="24"/>
          <w:szCs w:val="24"/>
        </w:rPr>
      </w:pPr>
      <w:r w:rsidRPr="00F504E7">
        <w:rPr>
          <w:b w:val="0"/>
          <w:bCs w:val="0"/>
          <w:sz w:val="24"/>
          <w:szCs w:val="24"/>
        </w:rPr>
        <w:t xml:space="preserve">See Feb. 22, </w:t>
      </w:r>
      <w:proofErr w:type="gramStart"/>
      <w:r w:rsidRPr="00F504E7">
        <w:rPr>
          <w:b w:val="0"/>
          <w:bCs w:val="0"/>
          <w:sz w:val="24"/>
          <w:szCs w:val="24"/>
        </w:rPr>
        <w:t>2023</w:t>
      </w:r>
      <w:proofErr w:type="gramEnd"/>
      <w:r w:rsidRPr="00F504E7">
        <w:rPr>
          <w:b w:val="0"/>
          <w:bCs w:val="0"/>
          <w:sz w:val="24"/>
          <w:szCs w:val="24"/>
        </w:rPr>
        <w:t xml:space="preserve"> article on the Supreme Court’s decision: </w:t>
      </w:r>
      <w:r>
        <w:rPr>
          <w:b w:val="0"/>
          <w:bCs w:val="0"/>
          <w:sz w:val="24"/>
          <w:szCs w:val="24"/>
        </w:rPr>
        <w:t>“</w:t>
      </w:r>
      <w:r w:rsidRPr="00F504E7">
        <w:rPr>
          <w:b w:val="0"/>
          <w:bCs w:val="0"/>
          <w:sz w:val="24"/>
          <w:szCs w:val="24"/>
        </w:rPr>
        <w:t>Supreme Court Upholds Salary Requirement for Overtime Exemption</w:t>
      </w:r>
      <w:r>
        <w:rPr>
          <w:b w:val="0"/>
          <w:bCs w:val="0"/>
          <w:sz w:val="24"/>
          <w:szCs w:val="24"/>
        </w:rPr>
        <w:t xml:space="preserve">.” </w:t>
      </w:r>
      <w:hyperlink r:id="rId1794" w:history="1">
        <w:r w:rsidRPr="00933DFB">
          <w:rPr>
            <w:rStyle w:val="Hyperlink"/>
            <w:rFonts w:eastAsiaTheme="majorEastAsia"/>
            <w:b w:val="0"/>
            <w:bCs w:val="0"/>
            <w:sz w:val="24"/>
            <w:szCs w:val="24"/>
          </w:rPr>
          <w:t>https://www.shrm.org/resourcesandtools/legal-and-compliance/employment-law/pages/supreme-court-helix-flsa-exemption.aspx</w:t>
        </w:r>
      </w:hyperlink>
      <w:r>
        <w:rPr>
          <w:b w:val="0"/>
          <w:bCs w:val="0"/>
          <w:sz w:val="24"/>
          <w:szCs w:val="24"/>
        </w:rPr>
        <w:t xml:space="preserve"> </w:t>
      </w:r>
      <w:r w:rsidRPr="00F504E7">
        <w:rPr>
          <w:b w:val="0"/>
          <w:bCs w:val="0"/>
          <w:sz w:val="24"/>
          <w:szCs w:val="24"/>
        </w:rPr>
        <w:t xml:space="preserve"> </w:t>
      </w:r>
    </w:p>
    <w:p w14:paraId="216D60BA" w14:textId="77777777" w:rsidR="00104A4C" w:rsidRDefault="00104A4C" w:rsidP="00F326E5">
      <w:pPr>
        <w:rPr>
          <w:rFonts w:ascii="Arial Black" w:hAnsi="Arial Black"/>
          <w:b/>
          <w:sz w:val="24"/>
          <w:szCs w:val="24"/>
        </w:rPr>
      </w:pPr>
    </w:p>
    <w:p w14:paraId="72FB6AF6" w14:textId="2BF4197C" w:rsidR="008A4533" w:rsidRDefault="008A4533" w:rsidP="00F326E5">
      <w:pPr>
        <w:rPr>
          <w:rFonts w:ascii="Arial Black" w:hAnsi="Arial Black"/>
          <w:b/>
          <w:sz w:val="24"/>
          <w:szCs w:val="24"/>
        </w:rPr>
      </w:pPr>
      <w:r>
        <w:rPr>
          <w:rFonts w:ascii="Arial Black" w:hAnsi="Arial Black"/>
          <w:b/>
          <w:sz w:val="24"/>
          <w:szCs w:val="24"/>
        </w:rPr>
        <w:t>11-3</w:t>
      </w:r>
      <w:r w:rsidR="009601CD">
        <w:rPr>
          <w:rFonts w:ascii="Arial Black" w:hAnsi="Arial Black"/>
          <w:b/>
          <w:sz w:val="24"/>
          <w:szCs w:val="24"/>
        </w:rPr>
        <w:t>9</w:t>
      </w:r>
    </w:p>
    <w:p w14:paraId="647277E3" w14:textId="77777777" w:rsidR="008A4533" w:rsidRPr="00DC6943" w:rsidRDefault="008A4533" w:rsidP="008A4533">
      <w:pPr>
        <w:pStyle w:val="NormalWeb"/>
        <w:rPr>
          <w:rFonts w:ascii="Arial Black" w:hAnsi="Arial Black"/>
          <w:sz w:val="28"/>
          <w:szCs w:val="28"/>
        </w:rPr>
      </w:pPr>
      <w:r>
        <w:rPr>
          <w:rFonts w:ascii="Arial Black" w:hAnsi="Arial Black"/>
          <w:sz w:val="28"/>
          <w:szCs w:val="28"/>
        </w:rPr>
        <w:t>OH: FLSA – 7(K) EXEMPTION APPLIES TO SMALL UNINCORP. TOWNSHIPS – OVERTIME ONLY AFTER 53 HOURS / NOT 40</w:t>
      </w:r>
    </w:p>
    <w:p w14:paraId="166E38A0" w14:textId="77777777" w:rsidR="008A4533" w:rsidRDefault="008A4533" w:rsidP="008A4533">
      <w:pPr>
        <w:pStyle w:val="NormalWeb"/>
      </w:pPr>
      <w:r>
        <w:t xml:space="preserve">On Jan. 11, 2023, in </w:t>
      </w:r>
      <w:r w:rsidRPr="0036596D">
        <w:rPr>
          <w:u w:val="single"/>
        </w:rPr>
        <w:t>Phillip Strzalkowski v. Mary Ann Township</w:t>
      </w:r>
      <w:r>
        <w:t xml:space="preserve">, Chief U.S. District Court Judge Algenon L. Marbley, U.S. District Court for Southern District of Ohio, held that a former fulltime firefighter with Mary Ann Township, an unincorporated civil township located in northeastern Licking County, Ohio, is covered by the 7(K) exemption, and he is not entitled to overtime after 40 hours. Larger townships (i.e., with a population of 2,500 or more) are authorized to adopt a </w:t>
      </w:r>
      <w:proofErr w:type="gramStart"/>
      <w:r>
        <w:t>limited home</w:t>
      </w:r>
      <w:proofErr w:type="gramEnd"/>
      <w:r>
        <w:t xml:space="preserve"> </w:t>
      </w:r>
      <w:proofErr w:type="gramStart"/>
      <w:r>
        <w:t>rule government</w:t>
      </w:r>
      <w:proofErr w:type="gramEnd"/>
      <w:r>
        <w:t xml:space="preserve">. </w:t>
      </w:r>
      <w:r w:rsidRPr="008708F4">
        <w:t>Strzalkowski</w:t>
      </w:r>
      <w:r>
        <w:rPr>
          <w:u w:val="single"/>
        </w:rPr>
        <w:t xml:space="preserve"> b</w:t>
      </w:r>
      <w:r>
        <w:t xml:space="preserve">ecame a full-time firefighter with the township in </w:t>
      </w:r>
      <w:proofErr w:type="gramStart"/>
      <w:r>
        <w:t>2019, and</w:t>
      </w:r>
      <w:proofErr w:type="gramEnd"/>
      <w:r>
        <w:t xml:space="preserve"> continued in that role until August 9, 2021. He often worked more than 40 hours per week, and was given overtime pay (i.e., time-and-a-half pay, or 1.5 times his regular hourly wages) for time worked </w:t>
      </w:r>
      <w:proofErr w:type="gramStart"/>
      <w:r>
        <w:t>in excess of</w:t>
      </w:r>
      <w:proofErr w:type="gramEnd"/>
      <w:r>
        <w:t xml:space="preserve"> 106 hours during each two-week work period.</w:t>
      </w:r>
      <w:r>
        <w:rPr>
          <w:b/>
          <w:bCs/>
        </w:rPr>
        <w:t xml:space="preserve"> </w:t>
      </w:r>
      <w:r>
        <w:t>The Court held that a civil township (1,308 in Ohio) qualifies as “a municipality, county, fire district, or State” under the Fair Labor Standards Act. “Ultimately, it is clear to this Court that § 3(y) was not intended to exclude the numerous unincorporated local government units across the United States that provide fire protection services to their residents. The language of the statute is ambiguous as to the question of incorporation: as noted, whether the definition of municipality includes only incorporated local governments depends on the dictionary one cites.”</w:t>
      </w:r>
      <w:hyperlink r:id="rId1795" w:history="1">
        <w:r w:rsidRPr="006E56EF">
          <w:rPr>
            <w:rStyle w:val="Hyperlink"/>
          </w:rPr>
          <w:t>https://public.fastcase.com/J%2FJP6pdidelsXxEE4k%2BLMlJvV4SJAfGPsaCb1kEJI4NiHVvOih0KoHLgsQ3SFDCtHhkE7RYPh6rKF3vfpYjTBRyXwDRXesvaMheieGfjP1w%3D?utm_medium=email&amp;_hsmi=226712652&amp;_hsenc=p2ANqtz--UObyDUMiaZSwq-4NoEzNR5o4eO8V_D5uKHJYL4ZZ256ZhZPYzbGLx-gR6MhxNsQvJKJXWqSitgcrGqHUpT5pkRHztzQ&amp;utm_content=226712652&amp;utm_source=hs_emai</w:t>
        </w:r>
      </w:hyperlink>
      <w:r>
        <w:t xml:space="preserve"> </w:t>
      </w:r>
    </w:p>
    <w:p w14:paraId="1D7F20F4" w14:textId="77777777" w:rsidR="008A4533" w:rsidRDefault="008A4533" w:rsidP="008A4533">
      <w:pPr>
        <w:pStyle w:val="NormalWeb"/>
        <w:ind w:left="720"/>
      </w:pPr>
      <w:r>
        <w:t>“FLSA is a federal statute, applicable nationwide; the firefighter exemption applies in all fifty states, many of which use different names for their local governments. Given that background, this Court concludes that § 7(k) was intended by Congress to be applicable for the broad spectrum of local governments across the country that offer fire protection services, regardless of nomenclature or incorporation status. The applicability of the exemption should not depend on how a particular state labels its administrative subdivisions.</w:t>
      </w:r>
    </w:p>
    <w:p w14:paraId="311FE76A" w14:textId="77777777" w:rsidR="008A4533" w:rsidRDefault="008A4533" w:rsidP="008A4533">
      <w:pPr>
        <w:pStyle w:val="NormalWeb"/>
        <w:ind w:left="720"/>
      </w:pPr>
      <w:r>
        <w:t>***</w:t>
      </w:r>
    </w:p>
    <w:p w14:paraId="2FFD9EE2" w14:textId="77777777" w:rsidR="008A4533" w:rsidRDefault="008A4533" w:rsidP="008A4533">
      <w:pPr>
        <w:pStyle w:val="NormalWeb"/>
        <w:ind w:left="720"/>
      </w:pPr>
      <w:r>
        <w:t>But Congress created the § 7(k) exemption for public fire protection personnel, in acknowledgement of the unique schedules that firefighters work, and added the § 3(y) definition to expand, not limit, the scope of the firefighter exemption. A fair reading of Congress's intent leads to the inescapable conclusion that Mary Ann Township is a municipality under 29 U.S.C. § 203(y) and is authorized pay its firefighters according to the partial overtime exemption in 29 U.S.C. § 207(k).”</w:t>
      </w:r>
    </w:p>
    <w:p w14:paraId="2FC5019E" w14:textId="77777777" w:rsidR="008A4533" w:rsidRPr="0047379E" w:rsidRDefault="008A4533" w:rsidP="008A4533">
      <w:pPr>
        <w:pStyle w:val="NormalWeb"/>
        <w:rPr>
          <w:b/>
          <w:bCs/>
        </w:rPr>
      </w:pPr>
      <w:r w:rsidRPr="0047379E">
        <w:rPr>
          <w:b/>
          <w:bCs/>
        </w:rPr>
        <w:t>Legal Lesson Learned:</w:t>
      </w:r>
      <w:r>
        <w:rPr>
          <w:b/>
          <w:bCs/>
        </w:rPr>
        <w:t xml:space="preserve"> Important decision for 1,308 small, unincorporated civil townships in Ohio; their career firefighters are entitled to overtime, like </w:t>
      </w:r>
      <w:proofErr w:type="gramStart"/>
      <w:r>
        <w:rPr>
          <w:b/>
          <w:bCs/>
        </w:rPr>
        <w:t>firefighter</w:t>
      </w:r>
      <w:proofErr w:type="gramEnd"/>
      <w:r>
        <w:rPr>
          <w:b/>
          <w:bCs/>
        </w:rPr>
        <w:t xml:space="preserve"> in larger townships with 2,500 residents, after 106 hours in a 14-day period, or 53 hours in a 7-day period.</w:t>
      </w:r>
    </w:p>
    <w:p w14:paraId="27939972" w14:textId="77777777" w:rsidR="008A4533" w:rsidRDefault="008A4533" w:rsidP="00F326E5">
      <w:pPr>
        <w:rPr>
          <w:rFonts w:ascii="Arial Black" w:hAnsi="Arial Black"/>
          <w:b/>
          <w:sz w:val="24"/>
          <w:szCs w:val="24"/>
        </w:rPr>
      </w:pPr>
    </w:p>
    <w:p w14:paraId="5A4C5D1A" w14:textId="77777777" w:rsidR="008A4533" w:rsidRDefault="008A4533" w:rsidP="00F326E5">
      <w:pPr>
        <w:rPr>
          <w:rFonts w:ascii="Arial Black" w:hAnsi="Arial Black"/>
          <w:b/>
          <w:sz w:val="24"/>
          <w:szCs w:val="24"/>
        </w:rPr>
      </w:pPr>
    </w:p>
    <w:p w14:paraId="7B7861B6" w14:textId="70C488B9" w:rsidR="00BA3CDE" w:rsidRDefault="00BA3CDE" w:rsidP="00F326E5">
      <w:pPr>
        <w:rPr>
          <w:rFonts w:ascii="Arial Black" w:hAnsi="Arial Black"/>
          <w:b/>
          <w:sz w:val="24"/>
          <w:szCs w:val="24"/>
        </w:rPr>
      </w:pPr>
      <w:r>
        <w:rPr>
          <w:rFonts w:ascii="Arial Black" w:hAnsi="Arial Black"/>
          <w:b/>
          <w:sz w:val="24"/>
          <w:szCs w:val="24"/>
        </w:rPr>
        <w:t>11-3</w:t>
      </w:r>
      <w:r w:rsidR="00912048">
        <w:rPr>
          <w:rFonts w:ascii="Arial Black" w:hAnsi="Arial Black"/>
          <w:b/>
          <w:sz w:val="24"/>
          <w:szCs w:val="24"/>
        </w:rPr>
        <w:t>8</w:t>
      </w:r>
    </w:p>
    <w:p w14:paraId="16303F7C" w14:textId="77777777" w:rsidR="00BA3CDE" w:rsidRPr="006A274F" w:rsidRDefault="00BA3CDE" w:rsidP="00BA3CDE">
      <w:pPr>
        <w:pStyle w:val="NormalWeb"/>
        <w:rPr>
          <w:rFonts w:ascii="Arial Black" w:hAnsi="Arial Black"/>
          <w:b/>
          <w:bCs/>
          <w:sz w:val="28"/>
          <w:szCs w:val="28"/>
        </w:rPr>
      </w:pPr>
      <w:r>
        <w:rPr>
          <w:rFonts w:ascii="Arial Black" w:hAnsi="Arial Black"/>
          <w:b/>
          <w:bCs/>
          <w:sz w:val="28"/>
          <w:szCs w:val="28"/>
        </w:rPr>
        <w:t xml:space="preserve">CA: FLSA – SETTLEMENT SALARIED “REGIONAL DISASTER COORDINATOR” 16 COUNTIES - 71% OVERTIME CLAIMED </w:t>
      </w:r>
    </w:p>
    <w:p w14:paraId="540023F5" w14:textId="77777777" w:rsidR="00BA3CDE" w:rsidRDefault="00BA3CDE" w:rsidP="00BA3CDE">
      <w:pPr>
        <w:pStyle w:val="NormalWeb"/>
      </w:pPr>
      <w:r w:rsidRPr="006A274F">
        <w:t xml:space="preserve">On Dec. 9, 2022, in </w:t>
      </w:r>
      <w:r w:rsidRPr="006A274F">
        <w:rPr>
          <w:u w:val="single"/>
        </w:rPr>
        <w:t>Aram Bronston v. County of Alameda</w:t>
      </w:r>
      <w:r>
        <w:t xml:space="preserve">, U.S. Magistrate Judge Alex G. Tse, U.S. District Court for Northern District of California (San Francisco Division) approved the settlement: $97,448 to Mr. Bronston, and $52,531 to his attorney.  His original claim was for $135,000 in unpaid overtime and an equal amount in liquidated damages.  The plaintiff worked for 21 months as an EMS Coordinator, with job title of “Regional Disaster Medical Health Specialist,” where he coordinated regional medical and health responses for 16 counties in Northern California in the event of an epidemic, natural disaster, power shutoff, other situation requiring the coordination of medical and health needs. He worked 1,400 hours of overtime during his employment from November 19, 2018, and August 21, 2020; he was paid as a salaried employee with no overtime pay.  The County contends that Plaintiff's position fell within the FLSA's administrative and highly compensated employee exemptions to its overtime requirement because: (1) Plaintiff met the weekly and annual salary requirements for each exemption; (2) performed non-manual work directly related to the County and the State's general business operations; and (3) exercised discretion and independent judgment as to matters of significance. </w:t>
      </w:r>
      <w:r>
        <w:rPr>
          <w:rStyle w:val="Emphasis"/>
        </w:rPr>
        <w:t>See</w:t>
      </w:r>
      <w:r>
        <w:t xml:space="preserve"> 29 C.F.R. §§ 541.200(a) &amp; 541.601(a)(1).  Mr. Bronston Plaintiff disputes that his job duties directly related to the County's general business operations and required him to exercise discretion and independent judgment with respect to matters of significance. The Court referred the case to Magistrate Judge Donna Ryu for a settlement conference, who held a settlement conference on November 7, 2022, during which the parties reached a settlement agreement, conditioned upon this Court's approval.</w:t>
      </w:r>
    </w:p>
    <w:p w14:paraId="2470496B" w14:textId="77777777" w:rsidR="00BA3CDE" w:rsidRDefault="00BA3CDE" w:rsidP="00BA3CDE">
      <w:pPr>
        <w:pStyle w:val="NormalWeb"/>
        <w:ind w:left="720"/>
      </w:pPr>
      <w:r>
        <w:t xml:space="preserve">“The Court finds that the proposed agreement-which represents approximately seventy one percent of the overtime pay Plaintiff claims that he is due and seventy four percent of the attorney's fees and costs that Plaintiff claims would be recoverable as of the date of the settlement conference were this matter to proceed to trial-reflects a reasonable compromise with respect to these difficult issues. “  </w:t>
      </w:r>
      <w:hyperlink r:id="rId1796" w:history="1">
        <w:r w:rsidRPr="00237809">
          <w:rPr>
            <w:rStyle w:val="Hyperlink"/>
            <w:rFonts w:eastAsiaTheme="majorEastAsia"/>
          </w:rPr>
          <w:t>https://public.fastcase.com/J%2FJP6pdidelsXxEE4k%2BLMiCd6Oijia%2Fc6dpDEIpvDgGdBy7usCtPvTYolvlwqFI2OWdzcN0GLk8kd6eOjq%2BBgMFCfp0NjuKJ0H4Eu6Lk4a8%3D?utm_medium=email&amp;_hsmi=226712652&amp;_hsenc=p2ANqtz-_pRHETuUebeWpUr_lBMH_-KDZL8nDlWZhRdTrL-TINRZ0QEuK3FTmopjSHxO-qjinMuMJlbokRF3HYxxN6yYg5FnBUqg&amp;utm_content=226712652&amp;utm_source=hs_email</w:t>
        </w:r>
      </w:hyperlink>
      <w:r>
        <w:t xml:space="preserve"> </w:t>
      </w:r>
    </w:p>
    <w:p w14:paraId="02BD586E" w14:textId="77777777" w:rsidR="00BA3CDE" w:rsidRPr="00015813" w:rsidRDefault="00BA3CDE" w:rsidP="00BA3CDE">
      <w:pPr>
        <w:pStyle w:val="NormalWeb"/>
        <w:rPr>
          <w:b/>
          <w:bCs/>
        </w:rPr>
      </w:pPr>
      <w:r w:rsidRPr="00015813">
        <w:rPr>
          <w:b/>
          <w:bCs/>
        </w:rPr>
        <w:t xml:space="preserve">Legal Lesson Learned: </w:t>
      </w:r>
      <w:r>
        <w:rPr>
          <w:b/>
          <w:bCs/>
        </w:rPr>
        <w:t xml:space="preserve"> Settlement of the case avoids the expense and risk to both parties of protracted litigation.  </w:t>
      </w:r>
    </w:p>
    <w:p w14:paraId="0212616D" w14:textId="34F61D2C" w:rsidR="00BA3CDE" w:rsidRDefault="00BA3CDE" w:rsidP="00BA3CDE">
      <w:pPr>
        <w:ind w:firstLine="720"/>
        <w:rPr>
          <w:rFonts w:ascii="Arial Black" w:hAnsi="Arial Black"/>
          <w:b/>
          <w:sz w:val="24"/>
          <w:szCs w:val="24"/>
        </w:rPr>
      </w:pPr>
      <w:r>
        <w:t xml:space="preserve">Note: See article on this settlement. </w:t>
      </w:r>
      <w:hyperlink r:id="rId1797" w:history="1">
        <w:r w:rsidRPr="00237809">
          <w:rPr>
            <w:rStyle w:val="Hyperlink"/>
            <w:rFonts w:eastAsiaTheme="majorEastAsia"/>
          </w:rPr>
          <w:t>http://www.firefighterovertime.org/2022/12/12/ca-county-settles-flsa-suit/</w:t>
        </w:r>
      </w:hyperlink>
    </w:p>
    <w:p w14:paraId="1F9C5C71" w14:textId="77777777" w:rsidR="00BA3CDE" w:rsidRDefault="00BA3CDE" w:rsidP="00F326E5">
      <w:pPr>
        <w:rPr>
          <w:rFonts w:ascii="Arial Black" w:hAnsi="Arial Black"/>
          <w:b/>
          <w:sz w:val="24"/>
          <w:szCs w:val="24"/>
        </w:rPr>
      </w:pPr>
    </w:p>
    <w:p w14:paraId="29C73C68" w14:textId="1369E804" w:rsidR="00F04A7D" w:rsidRDefault="00F04A7D" w:rsidP="00F326E5">
      <w:pPr>
        <w:rPr>
          <w:rFonts w:ascii="Arial Black" w:hAnsi="Arial Black"/>
          <w:b/>
          <w:sz w:val="24"/>
          <w:szCs w:val="24"/>
        </w:rPr>
      </w:pPr>
      <w:r>
        <w:rPr>
          <w:rFonts w:ascii="Arial Black" w:hAnsi="Arial Black"/>
          <w:b/>
          <w:sz w:val="24"/>
          <w:szCs w:val="24"/>
        </w:rPr>
        <w:t>11-3</w:t>
      </w:r>
      <w:r w:rsidR="00912048">
        <w:rPr>
          <w:rFonts w:ascii="Arial Black" w:hAnsi="Arial Black"/>
          <w:b/>
          <w:sz w:val="24"/>
          <w:szCs w:val="24"/>
        </w:rPr>
        <w:t>7</w:t>
      </w:r>
    </w:p>
    <w:p w14:paraId="7C3E1D52" w14:textId="77777777" w:rsidR="00282AF3" w:rsidRPr="006E476B" w:rsidRDefault="00282AF3" w:rsidP="00282AF3">
      <w:pPr>
        <w:spacing w:before="100" w:beforeAutospacing="1" w:after="100" w:afterAutospacing="1" w:line="240" w:lineRule="auto"/>
        <w:rPr>
          <w:rFonts w:ascii="Arial Black" w:eastAsia="Times New Roman" w:hAnsi="Arial Black"/>
          <w:sz w:val="28"/>
          <w:szCs w:val="28"/>
        </w:rPr>
      </w:pPr>
      <w:bookmarkStart w:id="385" w:name="_Hlk112723375"/>
      <w:r>
        <w:rPr>
          <w:rFonts w:ascii="Arial Black" w:eastAsia="Times New Roman" w:hAnsi="Arial Black"/>
          <w:sz w:val="28"/>
          <w:szCs w:val="28"/>
        </w:rPr>
        <w:t>RI: FD IN RECEIVERSHIP – “CAP” OVERTIME PAY IN CBA – FLSA VIOL. – BACKPAY &amp; LIQUIDATED DAMAGES $279,969</w:t>
      </w:r>
    </w:p>
    <w:bookmarkEnd w:id="385"/>
    <w:p w14:paraId="500A89DD" w14:textId="6CD5E528" w:rsidR="00F04A7D" w:rsidRDefault="00282AF3" w:rsidP="00282AF3">
      <w:pPr>
        <w:rPr>
          <w:rStyle w:val="Hyperlink"/>
          <w:rFonts w:ascii="Times New Roman" w:eastAsiaTheme="majorEastAsia" w:hAnsi="Times New Roman"/>
          <w:sz w:val="24"/>
          <w:szCs w:val="24"/>
        </w:rPr>
      </w:pPr>
      <w:r w:rsidRPr="00282AF3">
        <w:rPr>
          <w:rFonts w:ascii="Times New Roman" w:hAnsi="Times New Roman"/>
          <w:sz w:val="24"/>
          <w:szCs w:val="24"/>
        </w:rPr>
        <w:t xml:space="preserve">On Aug. 19, 2022, in </w:t>
      </w:r>
      <w:r w:rsidRPr="00282AF3">
        <w:rPr>
          <w:rFonts w:ascii="Times New Roman" w:hAnsi="Times New Roman"/>
          <w:sz w:val="24"/>
          <w:szCs w:val="24"/>
          <w:u w:val="single"/>
        </w:rPr>
        <w:t>James Almagno, on behalf of all similarly situated current and former employees v. Central Coventry Fire District</w:t>
      </w:r>
      <w:r w:rsidRPr="00282AF3">
        <w:rPr>
          <w:rFonts w:ascii="Times New Roman" w:hAnsi="Times New Roman"/>
          <w:sz w:val="24"/>
          <w:szCs w:val="24"/>
        </w:rPr>
        <w:t xml:space="preserve">, U.S. District Court Judge John J. McConnell, Jr., U.S. District Court of Rhode Island, the Judge held that cap on overtime pay in the CBA violated FLSA. “The CBA also caps overtime paid. Under Article III, Section 3 of the CBA, ‘when the </w:t>
      </w:r>
      <w:proofErr w:type="gramStart"/>
      <w:r w:rsidRPr="00282AF3">
        <w:rPr>
          <w:rFonts w:ascii="Times New Roman" w:hAnsi="Times New Roman"/>
          <w:sz w:val="24"/>
          <w:szCs w:val="24"/>
        </w:rPr>
        <w:t>District</w:t>
      </w:r>
      <w:proofErr w:type="gramEnd"/>
      <w:r w:rsidRPr="00282AF3">
        <w:rPr>
          <w:rFonts w:ascii="Times New Roman" w:hAnsi="Times New Roman"/>
          <w:sz w:val="24"/>
          <w:szCs w:val="24"/>
        </w:rPr>
        <w:t xml:space="preserve"> reaches One Hundred Twenty Thousand Dollars ($120,000.00) in overtime expenses (i.e., time-and-one-half pay) in any fiscal year...the </w:t>
      </w:r>
      <w:proofErr w:type="gramStart"/>
      <w:r w:rsidRPr="00282AF3">
        <w:rPr>
          <w:rFonts w:ascii="Times New Roman" w:hAnsi="Times New Roman"/>
          <w:sz w:val="24"/>
          <w:szCs w:val="24"/>
        </w:rPr>
        <w:t>District</w:t>
      </w:r>
      <w:proofErr w:type="gramEnd"/>
      <w:r w:rsidRPr="00282AF3">
        <w:rPr>
          <w:rFonts w:ascii="Times New Roman" w:hAnsi="Times New Roman"/>
          <w:sz w:val="24"/>
          <w:szCs w:val="24"/>
        </w:rPr>
        <w:t xml:space="preserve"> shall pay firefighters...their straight time hourly rate... for each hour </w:t>
      </w:r>
      <w:proofErr w:type="gramStart"/>
      <w:r w:rsidRPr="00282AF3">
        <w:rPr>
          <w:rFonts w:ascii="Times New Roman" w:hAnsi="Times New Roman"/>
          <w:sz w:val="24"/>
          <w:szCs w:val="24"/>
        </w:rPr>
        <w:t>actually worked</w:t>
      </w:r>
      <w:proofErr w:type="gramEnd"/>
      <w:r w:rsidRPr="00282AF3">
        <w:rPr>
          <w:rFonts w:ascii="Times New Roman" w:hAnsi="Times New Roman"/>
          <w:sz w:val="24"/>
          <w:szCs w:val="24"/>
        </w:rPr>
        <w:t xml:space="preserve"> </w:t>
      </w:r>
      <w:proofErr w:type="gramStart"/>
      <w:r w:rsidRPr="00282AF3">
        <w:rPr>
          <w:rFonts w:ascii="Times New Roman" w:hAnsi="Times New Roman"/>
          <w:sz w:val="24"/>
          <w:szCs w:val="24"/>
        </w:rPr>
        <w:t>in excess of</w:t>
      </w:r>
      <w:proofErr w:type="gramEnd"/>
      <w:r w:rsidRPr="00282AF3">
        <w:rPr>
          <w:rFonts w:ascii="Times New Roman" w:hAnsi="Times New Roman"/>
          <w:sz w:val="24"/>
          <w:szCs w:val="24"/>
        </w:rPr>
        <w:t xml:space="preserve"> 212 hours. *** Relying on the DOL's investigation, Plaintiffs now move for summary judgment, arguing that there are no disputed issues of material fact as to the </w:t>
      </w:r>
      <w:proofErr w:type="gramStart"/>
      <w:r w:rsidRPr="00282AF3">
        <w:rPr>
          <w:rFonts w:ascii="Times New Roman" w:hAnsi="Times New Roman"/>
          <w:sz w:val="24"/>
          <w:szCs w:val="24"/>
        </w:rPr>
        <w:t>District's</w:t>
      </w:r>
      <w:proofErr w:type="gramEnd"/>
      <w:r w:rsidRPr="00282AF3">
        <w:rPr>
          <w:rFonts w:ascii="Times New Roman" w:hAnsi="Times New Roman"/>
          <w:sz w:val="24"/>
          <w:szCs w:val="24"/>
        </w:rPr>
        <w:t xml:space="preserve"> liability or damages such that they are entitled to judgment. After a thorough review of the briefing and record, the Court GRANTS Plaintiffs Motion for Summary Judgment. *** Considering the statutory double damage requirement for all but “reasonable,” ‘good faith’ mistakes, the Court finds that Plaintiffs are entitled to liquidated damages of $279,969.68. See 29 U.S.C. §§ 216(b), 260.” </w:t>
      </w:r>
      <w:hyperlink r:id="rId1798" w:history="1">
        <w:r w:rsidRPr="00282AF3">
          <w:rPr>
            <w:rStyle w:val="Hyperlink"/>
            <w:rFonts w:ascii="Times New Roman" w:eastAsiaTheme="majorEastAsia" w:hAnsi="Times New Roman"/>
            <w:sz w:val="24"/>
            <w:szCs w:val="24"/>
          </w:rPr>
          <w:t>https://public.fastcase.com/J%2FJP6pdidelsXxEE4k%2BLMr0y9kFOAzIUnYfOqh5rzor5PqJTkzf5B1o34%2FZmTTqCNP3Iy4k13qLiNXQ3dhjTd98I5NdjhvTfnAcaeUtmaKs%3D</w:t>
        </w:r>
      </w:hyperlink>
    </w:p>
    <w:p w14:paraId="51FCFA9D" w14:textId="77777777" w:rsidR="00282AF3" w:rsidRPr="00C0439B" w:rsidRDefault="00282AF3" w:rsidP="00282AF3">
      <w:pPr>
        <w:spacing w:before="100" w:beforeAutospacing="1" w:after="100" w:afterAutospacing="1" w:line="240" w:lineRule="auto"/>
        <w:rPr>
          <w:rFonts w:ascii="Times New Roman" w:eastAsia="Times New Roman" w:hAnsi="Times New Roman"/>
          <w:b/>
          <w:bCs/>
          <w:sz w:val="24"/>
          <w:szCs w:val="24"/>
        </w:rPr>
      </w:pPr>
      <w:r w:rsidRPr="00C0439B">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Fire Department and the Union </w:t>
      </w:r>
      <w:proofErr w:type="spellStart"/>
      <w:r>
        <w:rPr>
          <w:rFonts w:ascii="Times New Roman" w:eastAsia="Times New Roman" w:hAnsi="Times New Roman"/>
          <w:b/>
          <w:bCs/>
          <w:sz w:val="24"/>
          <w:szCs w:val="24"/>
        </w:rPr>
        <w:t>can not</w:t>
      </w:r>
      <w:proofErr w:type="spellEnd"/>
      <w:r>
        <w:rPr>
          <w:rFonts w:ascii="Times New Roman" w:eastAsia="Times New Roman" w:hAnsi="Times New Roman"/>
          <w:b/>
          <w:bCs/>
          <w:sz w:val="24"/>
          <w:szCs w:val="24"/>
        </w:rPr>
        <w:t xml:space="preserve"> agree to “cap” overtime pay in violation of the FLSA. </w:t>
      </w:r>
    </w:p>
    <w:p w14:paraId="71273AE4" w14:textId="77777777" w:rsidR="00282AF3" w:rsidRPr="003F16DC" w:rsidRDefault="00282AF3" w:rsidP="00282AF3">
      <w:pPr>
        <w:pStyle w:val="Heading1"/>
        <w:ind w:left="720"/>
        <w:rPr>
          <w:b w:val="0"/>
          <w:bCs w:val="0"/>
          <w:sz w:val="24"/>
          <w:szCs w:val="24"/>
        </w:rPr>
      </w:pPr>
      <w:r w:rsidRPr="00BD1685">
        <w:rPr>
          <w:b w:val="0"/>
          <w:bCs w:val="0"/>
          <w:sz w:val="24"/>
          <w:szCs w:val="24"/>
        </w:rPr>
        <w:t xml:space="preserve">Note: See article, Oct. 22, 2020, Central Coventry firefighters sue, claiming district stiffed them on overtime. </w:t>
      </w:r>
      <w:hyperlink r:id="rId1799" w:history="1">
        <w:r w:rsidRPr="004073E4">
          <w:rPr>
            <w:rStyle w:val="Hyperlink"/>
            <w:rFonts w:eastAsiaTheme="majorEastAsia"/>
            <w:b w:val="0"/>
            <w:bCs w:val="0"/>
            <w:sz w:val="24"/>
            <w:szCs w:val="24"/>
          </w:rPr>
          <w:t>https://www.providencejournal.com/story/news/courts/2020/10/20/central-coventry-firefighters-say-district-stiffed-them-overtime/5990213002/</w:t>
        </w:r>
      </w:hyperlink>
      <w:r w:rsidRPr="004073E4">
        <w:rPr>
          <w:b w:val="0"/>
          <w:bCs w:val="0"/>
          <w:sz w:val="24"/>
          <w:szCs w:val="24"/>
        </w:rPr>
        <w:t xml:space="preserve"> </w:t>
      </w:r>
      <w:r w:rsidRPr="004073E4">
        <w:rPr>
          <w:rStyle w:val="Strong"/>
          <w:sz w:val="24"/>
          <w:szCs w:val="24"/>
        </w:rPr>
        <w:t>“The suit follows</w:t>
      </w:r>
      <w:r w:rsidRPr="004073E4">
        <w:rPr>
          <w:b w:val="0"/>
          <w:bCs w:val="0"/>
          <w:sz w:val="24"/>
          <w:szCs w:val="24"/>
        </w:rPr>
        <w:t xml:space="preserve"> a U.S. Department of Labor investigation, launched in 2018, that </w:t>
      </w:r>
      <w:r w:rsidRPr="00BD1685">
        <w:rPr>
          <w:b w:val="0"/>
          <w:bCs w:val="0"/>
          <w:sz w:val="24"/>
          <w:szCs w:val="24"/>
        </w:rPr>
        <w:t>found the district owed $139,484 in unpaid overtime to 32 employees accrued from 2016 through 2018.</w:t>
      </w:r>
      <w:r>
        <w:rPr>
          <w:b w:val="0"/>
          <w:bCs w:val="0"/>
          <w:sz w:val="24"/>
          <w:szCs w:val="24"/>
        </w:rPr>
        <w:t xml:space="preserve"> *** </w:t>
      </w:r>
      <w:r w:rsidRPr="003F16DC">
        <w:rPr>
          <w:rStyle w:val="Strong"/>
          <w:sz w:val="24"/>
          <w:szCs w:val="24"/>
        </w:rPr>
        <w:t>The lawsuit is</w:t>
      </w:r>
      <w:r w:rsidRPr="003F16DC">
        <w:rPr>
          <w:b w:val="0"/>
          <w:bCs w:val="0"/>
          <w:sz w:val="24"/>
          <w:szCs w:val="24"/>
        </w:rPr>
        <w:t xml:space="preserve"> yet another chapter in the district’s sometimes-strained relationship with its firefighters. The union and the district were long mired in the courts after the district’s financial troubles surfaced in 2012 and it was taken into receivership by the state.</w:t>
      </w:r>
      <w:r>
        <w:rPr>
          <w:b w:val="0"/>
          <w:bCs w:val="0"/>
          <w:sz w:val="24"/>
          <w:szCs w:val="24"/>
        </w:rPr>
        <w:t>”</w:t>
      </w:r>
    </w:p>
    <w:p w14:paraId="0B839522" w14:textId="77777777" w:rsidR="00282AF3" w:rsidRPr="00282AF3" w:rsidRDefault="00282AF3" w:rsidP="00282AF3">
      <w:pPr>
        <w:rPr>
          <w:rFonts w:ascii="Times New Roman" w:hAnsi="Times New Roman"/>
          <w:b/>
          <w:sz w:val="24"/>
          <w:szCs w:val="24"/>
        </w:rPr>
      </w:pPr>
    </w:p>
    <w:p w14:paraId="5334B0E2" w14:textId="77777777" w:rsidR="00F04A7D" w:rsidRDefault="00F04A7D" w:rsidP="00F326E5">
      <w:pPr>
        <w:rPr>
          <w:rFonts w:ascii="Arial Black" w:hAnsi="Arial Black"/>
          <w:b/>
          <w:sz w:val="24"/>
          <w:szCs w:val="24"/>
        </w:rPr>
      </w:pPr>
    </w:p>
    <w:p w14:paraId="6F3F7015" w14:textId="44D402BA" w:rsidR="00C67B2A" w:rsidRDefault="00C67B2A" w:rsidP="00F326E5">
      <w:pPr>
        <w:rPr>
          <w:rFonts w:ascii="Arial Black" w:hAnsi="Arial Black"/>
          <w:b/>
          <w:sz w:val="24"/>
          <w:szCs w:val="24"/>
        </w:rPr>
      </w:pPr>
      <w:r>
        <w:rPr>
          <w:rFonts w:ascii="Arial Black" w:hAnsi="Arial Black"/>
          <w:b/>
          <w:sz w:val="24"/>
          <w:szCs w:val="24"/>
        </w:rPr>
        <w:t>11-3</w:t>
      </w:r>
      <w:r w:rsidR="00912048">
        <w:rPr>
          <w:rFonts w:ascii="Arial Black" w:hAnsi="Arial Black"/>
          <w:b/>
          <w:sz w:val="24"/>
          <w:szCs w:val="24"/>
        </w:rPr>
        <w:t>6</w:t>
      </w:r>
    </w:p>
    <w:p w14:paraId="2AC60FE0" w14:textId="77777777" w:rsidR="00C67B2A" w:rsidRDefault="00C67B2A" w:rsidP="00C67B2A">
      <w:pPr>
        <w:pStyle w:val="NormalWeb"/>
        <w:rPr>
          <w:rFonts w:ascii="Arial Black" w:hAnsi="Arial Black"/>
          <w:sz w:val="28"/>
          <w:szCs w:val="28"/>
        </w:rPr>
      </w:pPr>
      <w:r>
        <w:rPr>
          <w:rFonts w:ascii="Arial Black" w:hAnsi="Arial Black"/>
          <w:sz w:val="28"/>
          <w:szCs w:val="28"/>
        </w:rPr>
        <w:t xml:space="preserve">PA: FIRST DEPUTY CHIEF – 1996 RE-CLASSIFIED AS “EXEMPT” - LAWSUIT TO PROCEED – JURY DECISION </w:t>
      </w:r>
    </w:p>
    <w:p w14:paraId="0B5BD9B9" w14:textId="77777777" w:rsidR="00C67B2A" w:rsidRDefault="00C67B2A" w:rsidP="00C67B2A">
      <w:pPr>
        <w:pStyle w:val="NormalWeb"/>
      </w:pPr>
      <w:r>
        <w:t xml:space="preserve">On Oct. 27, 2021, in </w:t>
      </w:r>
      <w:r w:rsidRPr="00BA1555">
        <w:rPr>
          <w:u w:val="single"/>
        </w:rPr>
        <w:t>Gary Mogel v. City of Reading</w:t>
      </w:r>
      <w:r>
        <w:t xml:space="preserve">, U.S. District Court Judge John M. Gallagher, U.S. District Court for Eastern District of Pennsylvania, denied motions for summary judgment by both the plaintiff and the city, and will have a jury decide if there has been a violation of FLSA.  The Court did hold that if the plaintiff does win, he is entitled to liquidated damages (double amount of back pay) since the City failed to show it contacted U.S. Department of Labor or consulted legal counsel when in 1996 it stopped paying overtime to First Chiefs. </w:t>
      </w:r>
    </w:p>
    <w:p w14:paraId="5DBC3D69" w14:textId="77777777" w:rsidR="00C67B2A" w:rsidRDefault="00C67B2A" w:rsidP="00C67B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607549">
        <w:rPr>
          <w:rFonts w:ascii="Times New Roman" w:hAnsi="Times New Roman"/>
          <w:sz w:val="24"/>
          <w:szCs w:val="24"/>
        </w:rPr>
        <w:t>In sum, each party has produced evidence that could persuade a jury to resolve the exemption issue in its favor. Since there remains a genuine dispute as to what Plaintiff's primary duty was, it would be inappropriate to enter summary judgment for either party on this issue.</w:t>
      </w:r>
    </w:p>
    <w:p w14:paraId="198CCF9F" w14:textId="77777777" w:rsidR="00C67B2A" w:rsidRDefault="00C67B2A" w:rsidP="00C67B2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A05BE82" w14:textId="77777777" w:rsidR="00C67B2A" w:rsidRDefault="00C67B2A" w:rsidP="00C67B2A">
      <w:pPr>
        <w:spacing w:before="100" w:beforeAutospacing="1" w:after="100" w:afterAutospacing="1" w:line="240" w:lineRule="auto"/>
        <w:ind w:left="720"/>
        <w:rPr>
          <w:rFonts w:ascii="Times New Roman" w:hAnsi="Times New Roman"/>
          <w:sz w:val="24"/>
          <w:szCs w:val="24"/>
        </w:rPr>
      </w:pPr>
      <w:r w:rsidRPr="00607549">
        <w:rPr>
          <w:rFonts w:ascii="Times New Roman" w:hAnsi="Times New Roman"/>
          <w:sz w:val="24"/>
          <w:szCs w:val="24"/>
        </w:rPr>
        <w:t xml:space="preserve">Defendant argues that caselaw from other circuit courts, the Department of Labor's regulations, and a Department of Labor opinion letter comport with Defendant's compensation scheme, and Defendant asks the Court to infer from the mere existence of these authorities that Defendant relied on them in good faith. </w:t>
      </w:r>
      <w:proofErr w:type="spellStart"/>
      <w:r w:rsidRPr="00607549">
        <w:rPr>
          <w:rFonts w:ascii="Times New Roman" w:hAnsi="Times New Roman"/>
          <w:sz w:val="24"/>
          <w:szCs w:val="24"/>
        </w:rPr>
        <w:t>Def.'s</w:t>
      </w:r>
      <w:proofErr w:type="spellEnd"/>
      <w:r w:rsidRPr="00607549">
        <w:rPr>
          <w:rFonts w:ascii="Times New Roman" w:hAnsi="Times New Roman"/>
          <w:sz w:val="24"/>
          <w:szCs w:val="24"/>
        </w:rPr>
        <w:t xml:space="preserve"> Mem. Law Opp. Pl.'s Mot. Summ. J. at 18. But Defendant has not produced any evidence that it </w:t>
      </w:r>
      <w:proofErr w:type="gramStart"/>
      <w:r w:rsidRPr="00607549">
        <w:rPr>
          <w:rFonts w:ascii="Times New Roman" w:hAnsi="Times New Roman"/>
          <w:sz w:val="24"/>
          <w:szCs w:val="24"/>
        </w:rPr>
        <w:t>actually reviewed</w:t>
      </w:r>
      <w:proofErr w:type="gramEnd"/>
      <w:r w:rsidRPr="00607549">
        <w:rPr>
          <w:rFonts w:ascii="Times New Roman" w:hAnsi="Times New Roman"/>
          <w:sz w:val="24"/>
          <w:szCs w:val="24"/>
        </w:rPr>
        <w:t xml:space="preserve"> or was aware of these authorities when it decided to stop paying First Deputies overtime or at any point thereafter. While these authorities might support a conclusion that Defendant had a reasonable basis to change compensation schemes, they cannot support a finding of good faith unless Defendant can show that Defendant </w:t>
      </w:r>
      <w:proofErr w:type="gramStart"/>
      <w:r w:rsidRPr="00607549">
        <w:rPr>
          <w:rFonts w:ascii="Times New Roman" w:hAnsi="Times New Roman"/>
          <w:sz w:val="24"/>
          <w:szCs w:val="24"/>
        </w:rPr>
        <w:t>actually consulted</w:t>
      </w:r>
      <w:proofErr w:type="gramEnd"/>
      <w:r w:rsidRPr="00607549">
        <w:rPr>
          <w:rFonts w:ascii="Times New Roman" w:hAnsi="Times New Roman"/>
          <w:sz w:val="24"/>
          <w:szCs w:val="24"/>
        </w:rPr>
        <w:t xml:space="preserve"> them</w:t>
      </w:r>
      <w:r>
        <w:rPr>
          <w:rFonts w:ascii="Times New Roman" w:hAnsi="Times New Roman"/>
          <w:sz w:val="24"/>
          <w:szCs w:val="24"/>
        </w:rPr>
        <w:t xml:space="preserve">…. </w:t>
      </w:r>
      <w:r w:rsidRPr="00607549">
        <w:rPr>
          <w:rFonts w:ascii="Times New Roman" w:hAnsi="Times New Roman"/>
          <w:sz w:val="24"/>
          <w:szCs w:val="24"/>
        </w:rPr>
        <w:t>It is yet to be determined whether Defendant's compensation scheme violated the FLSA. But if a jury finds that it did, then Plaintiff will be entitled to liquidated damages.</w:t>
      </w:r>
      <w:r>
        <w:rPr>
          <w:rFonts w:ascii="Times New Roman" w:hAnsi="Times New Roman"/>
          <w:sz w:val="24"/>
          <w:szCs w:val="24"/>
        </w:rPr>
        <w:t xml:space="preserve">” </w:t>
      </w:r>
      <w:hyperlink r:id="rId1800" w:history="1">
        <w:r w:rsidRPr="009545D0">
          <w:rPr>
            <w:rStyle w:val="Hyperlink"/>
            <w:sz w:val="24"/>
            <w:szCs w:val="24"/>
          </w:rPr>
          <w:t>https://public.fastcase.com/9SKwsfNqTc6OieYDhNMyM6wIjV%2FgrP6%2B9MDXlv1tVkNXweOaDt%2BbGPgPJ0OsLFYAPgMRGXfDo03cnu2EwM1JQQOl%2Bf0LG6cX5zSOobt1xqY%3D</w:t>
        </w:r>
      </w:hyperlink>
      <w:r>
        <w:rPr>
          <w:rFonts w:ascii="Times New Roman" w:hAnsi="Times New Roman"/>
          <w:sz w:val="24"/>
          <w:szCs w:val="24"/>
        </w:rPr>
        <w:t xml:space="preserve"> </w:t>
      </w:r>
    </w:p>
    <w:p w14:paraId="74DFD987" w14:textId="77777777" w:rsidR="00C67B2A" w:rsidRPr="00607549" w:rsidRDefault="00C67B2A" w:rsidP="00C67B2A">
      <w:pPr>
        <w:spacing w:before="100" w:beforeAutospacing="1" w:after="100" w:afterAutospacing="1" w:line="240" w:lineRule="auto"/>
        <w:rPr>
          <w:rFonts w:ascii="Times New Roman" w:hAnsi="Times New Roman"/>
          <w:b/>
          <w:bCs/>
          <w:sz w:val="24"/>
          <w:szCs w:val="24"/>
        </w:rPr>
      </w:pPr>
      <w:r w:rsidRPr="00607549">
        <w:rPr>
          <w:rFonts w:ascii="Times New Roman" w:hAnsi="Times New Roman"/>
          <w:b/>
          <w:bCs/>
          <w:sz w:val="24"/>
          <w:szCs w:val="24"/>
        </w:rPr>
        <w:t>Legal Lesson Learned:</w:t>
      </w:r>
      <w:r>
        <w:rPr>
          <w:rFonts w:ascii="Times New Roman" w:hAnsi="Times New Roman"/>
          <w:b/>
          <w:bCs/>
          <w:sz w:val="24"/>
          <w:szCs w:val="24"/>
        </w:rPr>
        <w:t xml:space="preserve"> If a FD is going to re-classify officers as “exempt” it is wise to consult with legal counsel or the U.S. Department of Labor to prove you acted in “good faith” to avoid liquidated damages. </w:t>
      </w:r>
    </w:p>
    <w:p w14:paraId="13D6995C" w14:textId="184E075B" w:rsidR="00C67B2A" w:rsidRDefault="00C67B2A" w:rsidP="00F326E5">
      <w:pPr>
        <w:rPr>
          <w:rFonts w:ascii="Arial Black" w:hAnsi="Arial Black"/>
          <w:b/>
          <w:sz w:val="24"/>
          <w:szCs w:val="24"/>
        </w:rPr>
      </w:pPr>
      <w:r>
        <w:rPr>
          <w:rFonts w:ascii="Arial Black" w:hAnsi="Arial Black"/>
          <w:b/>
          <w:sz w:val="24"/>
          <w:szCs w:val="24"/>
        </w:rPr>
        <w:t>11-3</w:t>
      </w:r>
      <w:r w:rsidR="00912048">
        <w:rPr>
          <w:rFonts w:ascii="Arial Black" w:hAnsi="Arial Black"/>
          <w:b/>
          <w:sz w:val="24"/>
          <w:szCs w:val="24"/>
        </w:rPr>
        <w:t>5</w:t>
      </w:r>
    </w:p>
    <w:p w14:paraId="3ABABD46" w14:textId="77777777" w:rsidR="00C67B2A" w:rsidRDefault="00C67B2A" w:rsidP="00C67B2A">
      <w:pPr>
        <w:rPr>
          <w:rFonts w:ascii="Arial Black" w:eastAsia="Times New Roman" w:hAnsi="Arial Black"/>
          <w:sz w:val="28"/>
          <w:szCs w:val="28"/>
        </w:rPr>
      </w:pPr>
      <w:r>
        <w:rPr>
          <w:rFonts w:ascii="Arial Black" w:eastAsia="Times New Roman" w:hAnsi="Arial Black"/>
          <w:sz w:val="28"/>
          <w:szCs w:val="28"/>
        </w:rPr>
        <w:t>OH: VILLAGE FD FAILED TO PAY ANY OVERTIME – FF GET $25K BACK PAY – DOUBLED LIQUIDATED DAMAGES - $50K</w:t>
      </w:r>
    </w:p>
    <w:p w14:paraId="28FC0810" w14:textId="77777777" w:rsidR="00C67B2A" w:rsidRDefault="00C67B2A" w:rsidP="00C67B2A">
      <w:pPr>
        <w:rPr>
          <w:rFonts w:ascii="Times New Roman" w:eastAsia="Times New Roman" w:hAnsi="Times New Roman"/>
          <w:sz w:val="24"/>
          <w:szCs w:val="24"/>
        </w:rPr>
      </w:pPr>
      <w:r>
        <w:rPr>
          <w:rFonts w:ascii="Times New Roman" w:eastAsia="Times New Roman" w:hAnsi="Times New Roman"/>
          <w:sz w:val="24"/>
          <w:szCs w:val="24"/>
        </w:rPr>
        <w:t xml:space="preserve">On Oct. 26, 2021, in </w:t>
      </w:r>
      <w:r w:rsidRPr="00485145">
        <w:rPr>
          <w:rFonts w:ascii="Times New Roman" w:eastAsia="Times New Roman" w:hAnsi="Times New Roman"/>
          <w:sz w:val="24"/>
          <w:szCs w:val="24"/>
          <w:u w:val="single"/>
        </w:rPr>
        <w:t>David Vance v. Village of Highland Hills</w:t>
      </w:r>
      <w:r>
        <w:rPr>
          <w:rFonts w:ascii="Times New Roman" w:eastAsia="Times New Roman" w:hAnsi="Times New Roman"/>
          <w:sz w:val="24"/>
          <w:szCs w:val="24"/>
        </w:rPr>
        <w:t>, the U.S. Court of Appeals for 6</w:t>
      </w:r>
      <w:r w:rsidRPr="00485145">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(Cincinnati), held (3 to 0) in unpublished opinion that since the Fire Chief never paid any firefighters overtime, and never established a 28-day pay period, the U.S. District Court judge properly held that the firefighter is entitled to $50,160.90.</w:t>
      </w:r>
    </w:p>
    <w:p w14:paraId="67CE1B49" w14:textId="77777777" w:rsidR="00C67B2A" w:rsidRDefault="00C67B2A" w:rsidP="00C67B2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DA1574">
        <w:rPr>
          <w:rFonts w:ascii="Times New Roman" w:eastAsia="Times New Roman" w:hAnsi="Times New Roman"/>
          <w:sz w:val="24"/>
          <w:szCs w:val="24"/>
        </w:rPr>
        <w:t xml:space="preserve">The Village </w:t>
      </w:r>
      <w:r>
        <w:rPr>
          <w:rFonts w:ascii="Times New Roman" w:eastAsia="Times New Roman" w:hAnsi="Times New Roman"/>
          <w:sz w:val="24"/>
          <w:szCs w:val="24"/>
        </w:rPr>
        <w:t>‘</w:t>
      </w:r>
      <w:r w:rsidRPr="00DA1574">
        <w:rPr>
          <w:rFonts w:ascii="Times New Roman" w:eastAsia="Times New Roman" w:hAnsi="Times New Roman"/>
          <w:sz w:val="24"/>
          <w:szCs w:val="24"/>
        </w:rPr>
        <w:t>bears the burden of proving it adopted a work period that brings it within the rule of § 207(k).</w:t>
      </w:r>
      <w:r>
        <w:rPr>
          <w:rFonts w:ascii="Times New Roman" w:eastAsia="Times New Roman" w:hAnsi="Times New Roman"/>
          <w:sz w:val="24"/>
          <w:szCs w:val="24"/>
        </w:rPr>
        <w:t xml:space="preserve">’ </w:t>
      </w:r>
      <w:r w:rsidRPr="00DA1574">
        <w:rPr>
          <w:rFonts w:ascii="Times New Roman" w:eastAsia="Times New Roman" w:hAnsi="Times New Roman"/>
          <w:i/>
          <w:iCs/>
          <w:sz w:val="24"/>
          <w:szCs w:val="24"/>
        </w:rPr>
        <w:t>Brock</w:t>
      </w:r>
      <w:r w:rsidRPr="00DA1574">
        <w:rPr>
          <w:rFonts w:ascii="Times New Roman" w:eastAsia="Times New Roman" w:hAnsi="Times New Roman"/>
          <w:sz w:val="24"/>
          <w:szCs w:val="24"/>
        </w:rPr>
        <w:t xml:space="preserve">, 236 F.3d at 810. Based on the stipulated facts, the district court found that the Village did not meet this burden. The Village did provide evidence that its personnel manual calls for a 28-day pay period for public safety employees and for the payment of overtime, but both parties stipulated that this policy was not applied to Vance. The fire chief himself acknowledged this, noting both that a previous fire chief </w:t>
      </w:r>
      <w:r>
        <w:rPr>
          <w:rFonts w:ascii="Times New Roman" w:eastAsia="Times New Roman" w:hAnsi="Times New Roman"/>
          <w:sz w:val="24"/>
          <w:szCs w:val="24"/>
        </w:rPr>
        <w:t>‘</w:t>
      </w:r>
      <w:r w:rsidRPr="00DA1574">
        <w:rPr>
          <w:rFonts w:ascii="Times New Roman" w:eastAsia="Times New Roman" w:hAnsi="Times New Roman"/>
          <w:sz w:val="24"/>
          <w:szCs w:val="24"/>
        </w:rPr>
        <w:t>used to tell us, you guys can work as much as you want, but you're not going to get paid overtime . . .</w:t>
      </w:r>
      <w:r>
        <w:rPr>
          <w:rFonts w:ascii="Times New Roman" w:eastAsia="Times New Roman" w:hAnsi="Times New Roman"/>
          <w:sz w:val="24"/>
          <w:szCs w:val="24"/>
        </w:rPr>
        <w:t>’</w:t>
      </w:r>
      <w:r w:rsidRPr="00DA1574">
        <w:rPr>
          <w:rFonts w:ascii="Times New Roman" w:eastAsia="Times New Roman" w:hAnsi="Times New Roman"/>
          <w:sz w:val="24"/>
          <w:szCs w:val="24"/>
        </w:rPr>
        <w:t xml:space="preserve"> and that </w:t>
      </w:r>
      <w:r>
        <w:rPr>
          <w:rFonts w:ascii="Times New Roman" w:eastAsia="Times New Roman" w:hAnsi="Times New Roman"/>
          <w:sz w:val="24"/>
          <w:szCs w:val="24"/>
        </w:rPr>
        <w:t>‘</w:t>
      </w:r>
      <w:r w:rsidRPr="00DA1574">
        <w:rPr>
          <w:rFonts w:ascii="Times New Roman" w:eastAsia="Times New Roman" w:hAnsi="Times New Roman"/>
          <w:sz w:val="24"/>
          <w:szCs w:val="24"/>
        </w:rPr>
        <w:t>[t]o my knowledge nobody was paid overtime within our department.</w:t>
      </w:r>
      <w:r>
        <w:rPr>
          <w:rFonts w:ascii="Times New Roman" w:eastAsia="Times New Roman" w:hAnsi="Times New Roman"/>
          <w:sz w:val="24"/>
          <w:szCs w:val="24"/>
        </w:rPr>
        <w:t>’</w:t>
      </w:r>
      <w:r w:rsidRPr="00DA1574">
        <w:rPr>
          <w:rFonts w:ascii="Times New Roman" w:eastAsia="Times New Roman" w:hAnsi="Times New Roman"/>
          <w:sz w:val="24"/>
          <w:szCs w:val="24"/>
        </w:rPr>
        <w:t xml:space="preserve"> This led the district court to find that the Village </w:t>
      </w:r>
      <w:r>
        <w:rPr>
          <w:rFonts w:ascii="Times New Roman" w:eastAsia="Times New Roman" w:hAnsi="Times New Roman"/>
          <w:sz w:val="24"/>
          <w:szCs w:val="24"/>
        </w:rPr>
        <w:t>‘</w:t>
      </w:r>
      <w:r w:rsidRPr="00DA1574">
        <w:rPr>
          <w:rFonts w:ascii="Times New Roman" w:eastAsia="Times New Roman" w:hAnsi="Times New Roman"/>
          <w:sz w:val="24"/>
          <w:szCs w:val="24"/>
        </w:rPr>
        <w:t>did not establish a 28-day work period as the § 207(k) exemption required[, ]</w:t>
      </w:r>
      <w:r>
        <w:rPr>
          <w:rFonts w:ascii="Times New Roman" w:eastAsia="Times New Roman" w:hAnsi="Times New Roman"/>
          <w:sz w:val="24"/>
          <w:szCs w:val="24"/>
        </w:rPr>
        <w:t>’</w:t>
      </w:r>
      <w:r w:rsidRPr="00DA1574">
        <w:rPr>
          <w:rFonts w:ascii="Times New Roman" w:eastAsia="Times New Roman" w:hAnsi="Times New Roman"/>
          <w:sz w:val="24"/>
          <w:szCs w:val="24"/>
        </w:rPr>
        <w:t xml:space="preserve"> and </w:t>
      </w:r>
      <w:r>
        <w:rPr>
          <w:rFonts w:ascii="Times New Roman" w:eastAsia="Times New Roman" w:hAnsi="Times New Roman"/>
          <w:sz w:val="24"/>
          <w:szCs w:val="24"/>
        </w:rPr>
        <w:t>‘</w:t>
      </w:r>
      <w:r w:rsidRPr="00DA1574">
        <w:rPr>
          <w:rFonts w:ascii="Times New Roman" w:eastAsia="Times New Roman" w:hAnsi="Times New Roman"/>
          <w:sz w:val="24"/>
          <w:szCs w:val="24"/>
        </w:rPr>
        <w:t>[t]here is no indication that the fire department ever actually followed the employee manual policy with respect to [Vance].</w:t>
      </w:r>
      <w:r>
        <w:rPr>
          <w:rFonts w:ascii="Times New Roman" w:eastAsia="Times New Roman" w:hAnsi="Times New Roman"/>
          <w:sz w:val="24"/>
          <w:szCs w:val="24"/>
        </w:rPr>
        <w:t>’</w:t>
      </w:r>
      <w:r w:rsidRPr="00DA1574">
        <w:rPr>
          <w:rFonts w:ascii="Times New Roman" w:eastAsia="Times New Roman" w:hAnsi="Times New Roman"/>
          <w:sz w:val="24"/>
          <w:szCs w:val="24"/>
        </w:rPr>
        <w:t xml:space="preserve"> </w:t>
      </w:r>
      <w:r w:rsidRPr="00DA1574">
        <w:rPr>
          <w:rFonts w:ascii="Times New Roman" w:eastAsia="Times New Roman" w:hAnsi="Times New Roman"/>
          <w:i/>
          <w:iCs/>
          <w:sz w:val="24"/>
          <w:szCs w:val="24"/>
        </w:rPr>
        <w:t>Vance</w:t>
      </w:r>
      <w:r w:rsidRPr="00DA1574">
        <w:rPr>
          <w:rFonts w:ascii="Times New Roman" w:eastAsia="Times New Roman" w:hAnsi="Times New Roman"/>
          <w:sz w:val="24"/>
          <w:szCs w:val="24"/>
        </w:rPr>
        <w:t>, 2020 WL 7490100, at *2-3. This conclusion is well-supported by the record, and it was not erroneous. We affirm.</w:t>
      </w:r>
      <w:r>
        <w:rPr>
          <w:rFonts w:ascii="Times New Roman" w:eastAsia="Times New Roman" w:hAnsi="Times New Roman"/>
          <w:sz w:val="24"/>
          <w:szCs w:val="24"/>
        </w:rPr>
        <w:t xml:space="preserve">”  </w:t>
      </w:r>
      <w:hyperlink r:id="rId1801" w:history="1">
        <w:r w:rsidRPr="009545D0">
          <w:rPr>
            <w:rStyle w:val="Hyperlink"/>
            <w:sz w:val="24"/>
            <w:szCs w:val="24"/>
          </w:rPr>
          <w:t>https://www.opn.ca6.uscourts.gov/opinions.pdf/21a0485n-06.pdf</w:t>
        </w:r>
      </w:hyperlink>
      <w:r>
        <w:rPr>
          <w:rFonts w:ascii="Times New Roman" w:eastAsia="Times New Roman" w:hAnsi="Times New Roman"/>
          <w:sz w:val="24"/>
          <w:szCs w:val="24"/>
        </w:rPr>
        <w:t xml:space="preserve"> </w:t>
      </w:r>
    </w:p>
    <w:p w14:paraId="0CEE2F0D" w14:textId="77777777" w:rsidR="00C67B2A" w:rsidRPr="00DA1574" w:rsidRDefault="00C67B2A" w:rsidP="00C67B2A">
      <w:pPr>
        <w:spacing w:before="100" w:beforeAutospacing="1" w:after="100" w:afterAutospacing="1" w:line="240" w:lineRule="auto"/>
        <w:jc w:val="both"/>
        <w:rPr>
          <w:rFonts w:ascii="Times New Roman" w:eastAsia="Times New Roman" w:hAnsi="Times New Roman"/>
          <w:b/>
          <w:bCs/>
          <w:sz w:val="24"/>
          <w:szCs w:val="24"/>
        </w:rPr>
      </w:pPr>
      <w:r w:rsidRPr="00DA1574">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Under the FLSA, liquidated damages are designed to punish an employer who ignores the law. </w:t>
      </w:r>
    </w:p>
    <w:p w14:paraId="288FBE25" w14:textId="77777777" w:rsidR="00C67B2A" w:rsidRPr="00DA1574" w:rsidRDefault="00C67B2A" w:rsidP="00C67B2A">
      <w:pPr>
        <w:spacing w:before="100" w:beforeAutospacing="1" w:after="100" w:afterAutospacing="1" w:line="240" w:lineRule="auto"/>
        <w:ind w:left="720"/>
        <w:rPr>
          <w:rFonts w:ascii="Times New Roman" w:eastAsia="Times New Roman" w:hAnsi="Times New Roman"/>
          <w:b/>
          <w:bCs/>
          <w:sz w:val="24"/>
          <w:szCs w:val="24"/>
        </w:rPr>
      </w:pPr>
      <w:r w:rsidRPr="00DA1574">
        <w:rPr>
          <w:rFonts w:ascii="Times New Roman" w:eastAsia="Times New Roman" w:hAnsi="Times New Roman"/>
          <w:sz w:val="24"/>
          <w:szCs w:val="24"/>
        </w:rPr>
        <w:t xml:space="preserve">Note: Good faith exception under FLSA: </w:t>
      </w:r>
      <w:hyperlink r:id="rId1802" w:history="1">
        <w:r w:rsidRPr="009545D0">
          <w:rPr>
            <w:rStyle w:val="Hyperlink"/>
            <w:sz w:val="24"/>
            <w:szCs w:val="24"/>
          </w:rPr>
          <w:t>https://www.law.cornell.edu/uscode/text/29/260</w:t>
        </w:r>
      </w:hyperlink>
      <w:r>
        <w:rPr>
          <w:rFonts w:ascii="Times New Roman" w:eastAsia="Times New Roman" w:hAnsi="Times New Roman"/>
          <w:sz w:val="24"/>
          <w:szCs w:val="24"/>
        </w:rPr>
        <w:t xml:space="preserve"> </w:t>
      </w:r>
      <w:r>
        <w:rPr>
          <w:rFonts w:ascii="Times New Roman" w:hAnsi="Times New Roman"/>
          <w:sz w:val="24"/>
          <w:szCs w:val="24"/>
        </w:rPr>
        <w:t>“</w:t>
      </w:r>
      <w:r w:rsidRPr="00DA1574">
        <w:rPr>
          <w:rFonts w:ascii="Times New Roman" w:hAnsi="Times New Roman"/>
          <w:sz w:val="24"/>
          <w:szCs w:val="24"/>
        </w:rPr>
        <w:t xml:space="preserve">In any action commenced prior to or on or after </w:t>
      </w:r>
      <w:r w:rsidRPr="00DA1574">
        <w:rPr>
          <w:rStyle w:val="Date2"/>
          <w:rFonts w:ascii="Times New Roman" w:hAnsi="Times New Roman"/>
          <w:sz w:val="24"/>
          <w:szCs w:val="24"/>
        </w:rPr>
        <w:t>May 14, 1947</w:t>
      </w:r>
      <w:r w:rsidRPr="00DA1574">
        <w:rPr>
          <w:rFonts w:ascii="Times New Roman" w:hAnsi="Times New Roman"/>
          <w:sz w:val="24"/>
          <w:szCs w:val="24"/>
        </w:rPr>
        <w:t xml:space="preserve"> to recover unpaid minimum</w:t>
      </w:r>
      <w:hyperlink r:id="rId1803" w:history="1">
        <w:r w:rsidRPr="00DA1574">
          <w:rPr>
            <w:rStyle w:val="Hyperlink"/>
            <w:sz w:val="24"/>
            <w:szCs w:val="24"/>
          </w:rPr>
          <w:t xml:space="preserve"> wages,</w:t>
        </w:r>
      </w:hyperlink>
      <w:r w:rsidRPr="00DA1574">
        <w:rPr>
          <w:rFonts w:ascii="Times New Roman" w:hAnsi="Times New Roman"/>
          <w:sz w:val="24"/>
          <w:szCs w:val="24"/>
        </w:rPr>
        <w:t xml:space="preserve"> unpaid overtime compensation, or liquidated damages, under the </w:t>
      </w:r>
      <w:hyperlink r:id="rId1804" w:history="1">
        <w:r w:rsidRPr="00DA1574">
          <w:rPr>
            <w:rStyle w:val="Hyperlink"/>
            <w:sz w:val="24"/>
            <w:szCs w:val="24"/>
          </w:rPr>
          <w:t>Fair Labor Standards Act of 1938</w:t>
        </w:r>
      </w:hyperlink>
      <w:r w:rsidRPr="00DA1574">
        <w:rPr>
          <w:rFonts w:ascii="Times New Roman" w:hAnsi="Times New Roman"/>
          <w:sz w:val="24"/>
          <w:szCs w:val="24"/>
        </w:rPr>
        <w:t>, as amended [</w:t>
      </w:r>
      <w:hyperlink r:id="rId1805" w:history="1">
        <w:r w:rsidRPr="00DA1574">
          <w:rPr>
            <w:rStyle w:val="Hyperlink"/>
            <w:sz w:val="24"/>
            <w:szCs w:val="24"/>
          </w:rPr>
          <w:t>29 U.S.C. 201</w:t>
        </w:r>
      </w:hyperlink>
      <w:r w:rsidRPr="00DA1574">
        <w:rPr>
          <w:rFonts w:ascii="Times New Roman" w:hAnsi="Times New Roman"/>
          <w:sz w:val="24"/>
          <w:szCs w:val="24"/>
        </w:rPr>
        <w:t xml:space="preserve"> et seq.], if the</w:t>
      </w:r>
      <w:hyperlink r:id="rId1806" w:history="1">
        <w:r w:rsidRPr="00DA1574">
          <w:rPr>
            <w:rStyle w:val="Hyperlink"/>
            <w:sz w:val="24"/>
            <w:szCs w:val="24"/>
          </w:rPr>
          <w:t xml:space="preserve"> employer </w:t>
        </w:r>
      </w:hyperlink>
      <w:r w:rsidRPr="00DA1574">
        <w:rPr>
          <w:rFonts w:ascii="Times New Roman" w:hAnsi="Times New Roman"/>
          <w:sz w:val="24"/>
          <w:szCs w:val="24"/>
        </w:rPr>
        <w:t xml:space="preserve">shows to the satisfaction of the court that the act or omission giving rise to such action was in good faith and that he had reasonable grounds for believing that his act or omission was not a violation of the </w:t>
      </w:r>
      <w:hyperlink r:id="rId1807" w:history="1">
        <w:r w:rsidRPr="00DA1574">
          <w:rPr>
            <w:rStyle w:val="Hyperlink"/>
            <w:sz w:val="24"/>
            <w:szCs w:val="24"/>
          </w:rPr>
          <w:t>Fair Labor Standards Act of 1938</w:t>
        </w:r>
      </w:hyperlink>
      <w:r w:rsidRPr="00DA1574">
        <w:rPr>
          <w:rFonts w:ascii="Times New Roman" w:hAnsi="Times New Roman"/>
          <w:sz w:val="24"/>
          <w:szCs w:val="24"/>
        </w:rPr>
        <w:t xml:space="preserve">, as amended, the court may, in its sound discretion, award no liquidated damages or award any amount thereof not to exceed the amount specified in </w:t>
      </w:r>
      <w:hyperlink r:id="rId1808" w:history="1">
        <w:r w:rsidRPr="00DA1574">
          <w:rPr>
            <w:rStyle w:val="Hyperlink"/>
            <w:sz w:val="24"/>
            <w:szCs w:val="24"/>
          </w:rPr>
          <w:t>section 216 of this title</w:t>
        </w:r>
      </w:hyperlink>
      <w:r w:rsidRPr="00DA1574">
        <w:rPr>
          <w:rFonts w:ascii="Times New Roman" w:hAnsi="Times New Roman"/>
          <w:sz w:val="24"/>
          <w:szCs w:val="24"/>
        </w:rPr>
        <w:t>.</w:t>
      </w:r>
      <w:r>
        <w:rPr>
          <w:rFonts w:ascii="Times New Roman" w:hAnsi="Times New Roman"/>
          <w:sz w:val="24"/>
          <w:szCs w:val="24"/>
        </w:rPr>
        <w:t>”</w:t>
      </w:r>
    </w:p>
    <w:p w14:paraId="65E28ACE" w14:textId="77777777" w:rsidR="00C67B2A" w:rsidRDefault="00C67B2A" w:rsidP="00F326E5">
      <w:pPr>
        <w:rPr>
          <w:rFonts w:ascii="Arial Black" w:hAnsi="Arial Black"/>
          <w:b/>
          <w:sz w:val="24"/>
          <w:szCs w:val="24"/>
        </w:rPr>
      </w:pPr>
    </w:p>
    <w:p w14:paraId="4DF2F127" w14:textId="660C835F" w:rsidR="00C67B2A" w:rsidRDefault="00C67B2A" w:rsidP="00F326E5">
      <w:pPr>
        <w:rPr>
          <w:rFonts w:ascii="Arial Black" w:hAnsi="Arial Black"/>
          <w:b/>
          <w:sz w:val="24"/>
          <w:szCs w:val="24"/>
        </w:rPr>
      </w:pPr>
      <w:r>
        <w:rPr>
          <w:rFonts w:ascii="Arial Black" w:hAnsi="Arial Black"/>
          <w:b/>
          <w:sz w:val="24"/>
          <w:szCs w:val="24"/>
        </w:rPr>
        <w:t>11-</w:t>
      </w:r>
      <w:r w:rsidR="00885321">
        <w:rPr>
          <w:rFonts w:ascii="Arial Black" w:hAnsi="Arial Black"/>
          <w:b/>
          <w:sz w:val="24"/>
          <w:szCs w:val="24"/>
        </w:rPr>
        <w:t>3</w:t>
      </w:r>
      <w:r w:rsidR="00912048">
        <w:rPr>
          <w:rFonts w:ascii="Arial Black" w:hAnsi="Arial Black"/>
          <w:b/>
          <w:sz w:val="24"/>
          <w:szCs w:val="24"/>
        </w:rPr>
        <w:t>4</w:t>
      </w:r>
    </w:p>
    <w:p w14:paraId="6478C3D0" w14:textId="77777777" w:rsidR="00774A91" w:rsidRPr="002531E2" w:rsidRDefault="00774A91" w:rsidP="00774A91">
      <w:pPr>
        <w:spacing w:before="100" w:beforeAutospacing="1" w:after="100" w:afterAutospacing="1" w:line="240" w:lineRule="auto"/>
        <w:rPr>
          <w:rFonts w:ascii="Arial Black" w:hAnsi="Arial Black"/>
          <w:sz w:val="28"/>
          <w:szCs w:val="28"/>
        </w:rPr>
      </w:pPr>
      <w:r>
        <w:rPr>
          <w:rFonts w:ascii="Arial Black" w:hAnsi="Arial Black"/>
          <w:sz w:val="28"/>
          <w:szCs w:val="28"/>
        </w:rPr>
        <w:t>MO: FLSA VIOLATED – 450 FF – CITY PAID OVERTIME WITHOUT “REGULATE RATE” – CBA NOT DEFENSE</w:t>
      </w:r>
    </w:p>
    <w:p w14:paraId="07FCDE0E" w14:textId="77777777" w:rsidR="00774A91" w:rsidRPr="004E4533" w:rsidRDefault="00774A91" w:rsidP="00774A91">
      <w:pPr>
        <w:spacing w:before="100" w:beforeAutospacing="1" w:after="100" w:afterAutospacing="1" w:line="240" w:lineRule="auto"/>
        <w:ind w:left="90"/>
        <w:rPr>
          <w:rFonts w:ascii="Times New Roman" w:hAnsi="Times New Roman"/>
          <w:sz w:val="24"/>
          <w:szCs w:val="24"/>
        </w:rPr>
      </w:pPr>
      <w:r>
        <w:rPr>
          <w:rFonts w:ascii="Times New Roman" w:hAnsi="Times New Roman"/>
          <w:sz w:val="24"/>
          <w:szCs w:val="24"/>
        </w:rPr>
        <w:t xml:space="preserve">On September 29, 2021, in </w:t>
      </w:r>
      <w:r w:rsidRPr="002531E2">
        <w:rPr>
          <w:rFonts w:ascii="Times New Roman" w:hAnsi="Times New Roman"/>
          <w:sz w:val="24"/>
          <w:szCs w:val="24"/>
          <w:u w:val="single"/>
        </w:rPr>
        <w:t>Craig Adams, et al. v. City of Kansas City, Missouri</w:t>
      </w:r>
      <w:r>
        <w:rPr>
          <w:rFonts w:ascii="Times New Roman" w:hAnsi="Times New Roman"/>
          <w:sz w:val="24"/>
          <w:szCs w:val="24"/>
        </w:rPr>
        <w:t xml:space="preserve">, U.S. Magistrate Judge W. Brian Gaddy, U.S. District Court for District of Missouri (Western Division) granted summary judgment in this class action on behalf of 450 firefighters.  The </w:t>
      </w:r>
      <w:proofErr w:type="gramStart"/>
      <w:r>
        <w:rPr>
          <w:rFonts w:ascii="Times New Roman" w:hAnsi="Times New Roman"/>
          <w:sz w:val="24"/>
          <w:szCs w:val="24"/>
        </w:rPr>
        <w:t>City</w:t>
      </w:r>
      <w:proofErr w:type="gramEnd"/>
      <w:r>
        <w:rPr>
          <w:rFonts w:ascii="Times New Roman" w:hAnsi="Times New Roman"/>
          <w:sz w:val="24"/>
          <w:szCs w:val="24"/>
        </w:rPr>
        <w:t xml:space="preserve"> didn’t include their wage augments (such as for HAZMAT cert) in calculating their “regular rate of pay” for time they were working overtime, while they did include wage augments for FF non-overtime hours.  The City’s defense is that they were following the CBA.  </w:t>
      </w:r>
      <w:r w:rsidRPr="004E4533">
        <w:rPr>
          <w:rFonts w:ascii="Times New Roman" w:hAnsi="Times New Roman"/>
          <w:sz w:val="24"/>
          <w:szCs w:val="24"/>
        </w:rPr>
        <w:t>“The CBA pronounces the wage augments ‘shall not be regarded as wages.’ states that wage augments ‘shall not be considered wages.</w:t>
      </w:r>
      <w:r>
        <w:rPr>
          <w:rFonts w:ascii="Times New Roman" w:hAnsi="Times New Roman"/>
          <w:sz w:val="24"/>
          <w:szCs w:val="24"/>
        </w:rPr>
        <w:t>’</w:t>
      </w:r>
      <w:r w:rsidRPr="004E4533">
        <w:rPr>
          <w:rFonts w:ascii="Times New Roman" w:hAnsi="Times New Roman"/>
          <w:sz w:val="24"/>
          <w:szCs w:val="24"/>
        </w:rPr>
        <w:t xml:space="preserve">” </w:t>
      </w:r>
      <w:r>
        <w:rPr>
          <w:rFonts w:ascii="Times New Roman" w:hAnsi="Times New Roman"/>
          <w:sz w:val="24"/>
          <w:szCs w:val="24"/>
        </w:rPr>
        <w:t xml:space="preserve">The Court found that this is violation of FLSA. </w:t>
      </w:r>
    </w:p>
    <w:p w14:paraId="0ADF6A40" w14:textId="77777777" w:rsidR="00774A91" w:rsidRPr="00A37557" w:rsidRDefault="00774A91" w:rsidP="00774A91">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A37557">
        <w:rPr>
          <w:rFonts w:ascii="Times New Roman" w:hAnsi="Times New Roman"/>
          <w:sz w:val="24"/>
          <w:szCs w:val="24"/>
        </w:rPr>
        <w:t xml:space="preserve">The </w:t>
      </w:r>
      <w:proofErr w:type="gramStart"/>
      <w:r w:rsidRPr="00A37557">
        <w:rPr>
          <w:rFonts w:ascii="Times New Roman" w:hAnsi="Times New Roman"/>
          <w:sz w:val="24"/>
          <w:szCs w:val="24"/>
        </w:rPr>
        <w:t>City</w:t>
      </w:r>
      <w:proofErr w:type="gramEnd"/>
      <w:r w:rsidRPr="00A37557">
        <w:rPr>
          <w:rFonts w:ascii="Times New Roman" w:hAnsi="Times New Roman"/>
          <w:sz w:val="24"/>
          <w:szCs w:val="24"/>
        </w:rPr>
        <w:t xml:space="preserve"> argues the firefighters are paid a salary, and the salary is intended to compensate the firefighters for working 49.5 hours per week</w:t>
      </w:r>
      <w:r>
        <w:rPr>
          <w:rFonts w:ascii="Times New Roman" w:hAnsi="Times New Roman"/>
          <w:sz w:val="24"/>
          <w:szCs w:val="24"/>
        </w:rPr>
        <w:t xml:space="preserve">…. </w:t>
      </w:r>
      <w:r w:rsidRPr="00A37557">
        <w:rPr>
          <w:rFonts w:ascii="Times New Roman" w:hAnsi="Times New Roman"/>
          <w:sz w:val="24"/>
          <w:szCs w:val="24"/>
        </w:rPr>
        <w:t xml:space="preserve">According to the City, if a firefighter </w:t>
      </w:r>
      <w:r>
        <w:rPr>
          <w:rFonts w:ascii="Times New Roman" w:hAnsi="Times New Roman"/>
          <w:sz w:val="24"/>
          <w:szCs w:val="24"/>
        </w:rPr>
        <w:t>‘</w:t>
      </w:r>
      <w:r w:rsidRPr="00A37557">
        <w:rPr>
          <w:rFonts w:ascii="Times New Roman" w:hAnsi="Times New Roman"/>
          <w:sz w:val="24"/>
          <w:szCs w:val="24"/>
        </w:rPr>
        <w:t>chooses to work beyond those 49.5 hours in a week,</w:t>
      </w:r>
      <w:r>
        <w:rPr>
          <w:rFonts w:ascii="Times New Roman" w:hAnsi="Times New Roman"/>
          <w:sz w:val="24"/>
          <w:szCs w:val="24"/>
        </w:rPr>
        <w:t>’</w:t>
      </w:r>
      <w:r w:rsidRPr="00A37557">
        <w:rPr>
          <w:rFonts w:ascii="Times New Roman" w:hAnsi="Times New Roman"/>
          <w:sz w:val="24"/>
          <w:szCs w:val="24"/>
        </w:rPr>
        <w:t xml:space="preserve"> the firefighter is paid the base hourly rate</w:t>
      </w:r>
      <w:r>
        <w:rPr>
          <w:rFonts w:ascii="Times New Roman" w:hAnsi="Times New Roman"/>
          <w:sz w:val="24"/>
          <w:szCs w:val="24"/>
        </w:rPr>
        <w:t xml:space="preserve">…. </w:t>
      </w:r>
      <w:r w:rsidRPr="00A37557">
        <w:rPr>
          <w:rFonts w:ascii="Times New Roman" w:hAnsi="Times New Roman"/>
          <w:sz w:val="24"/>
          <w:szCs w:val="24"/>
        </w:rPr>
        <w:t xml:space="preserve">The firefighter is not paid the wage augment because the wage augment </w:t>
      </w:r>
      <w:r>
        <w:rPr>
          <w:rFonts w:ascii="Times New Roman" w:hAnsi="Times New Roman"/>
          <w:sz w:val="24"/>
          <w:szCs w:val="24"/>
        </w:rPr>
        <w:t>‘</w:t>
      </w:r>
      <w:r w:rsidRPr="00A37557">
        <w:rPr>
          <w:rFonts w:ascii="Times New Roman" w:hAnsi="Times New Roman"/>
          <w:sz w:val="24"/>
          <w:szCs w:val="24"/>
        </w:rPr>
        <w:t>pay is only to be awarded in addition to the salary, not for hours worked beyond what the salary covers.</w:t>
      </w:r>
      <w:r>
        <w:rPr>
          <w:rFonts w:ascii="Times New Roman" w:hAnsi="Times New Roman"/>
          <w:sz w:val="24"/>
          <w:szCs w:val="24"/>
        </w:rPr>
        <w:t>’</w:t>
      </w:r>
      <w:r w:rsidRPr="00A37557">
        <w:rPr>
          <w:rFonts w:ascii="Times New Roman" w:hAnsi="Times New Roman"/>
          <w:sz w:val="24"/>
          <w:szCs w:val="24"/>
        </w:rPr>
        <w:t xml:space="preserve"> The City, however, cites no authority for this proposition</w:t>
      </w:r>
      <w:r>
        <w:rPr>
          <w:rFonts w:ascii="Times New Roman" w:hAnsi="Times New Roman"/>
          <w:sz w:val="24"/>
          <w:szCs w:val="24"/>
        </w:rPr>
        <w:t xml:space="preserve">…. </w:t>
      </w:r>
    </w:p>
    <w:p w14:paraId="37FBBE57" w14:textId="77777777" w:rsidR="00774A91" w:rsidRPr="00A37557" w:rsidRDefault="00774A91" w:rsidP="00774A91">
      <w:pPr>
        <w:spacing w:before="100" w:beforeAutospacing="1" w:after="100" w:afterAutospacing="1" w:line="240" w:lineRule="auto"/>
        <w:ind w:left="720"/>
        <w:rPr>
          <w:rFonts w:ascii="Times New Roman" w:hAnsi="Times New Roman"/>
          <w:sz w:val="24"/>
          <w:szCs w:val="24"/>
        </w:rPr>
      </w:pPr>
      <w:r w:rsidRPr="00A37557">
        <w:rPr>
          <w:rFonts w:ascii="Times New Roman" w:hAnsi="Times New Roman"/>
          <w:sz w:val="24"/>
          <w:szCs w:val="24"/>
        </w:rPr>
        <w:t xml:space="preserve">Instead, the </w:t>
      </w:r>
      <w:proofErr w:type="gramStart"/>
      <w:r w:rsidRPr="00A37557">
        <w:rPr>
          <w:rFonts w:ascii="Times New Roman" w:hAnsi="Times New Roman"/>
          <w:sz w:val="24"/>
          <w:szCs w:val="24"/>
        </w:rPr>
        <w:t>City</w:t>
      </w:r>
      <w:proofErr w:type="gramEnd"/>
      <w:r w:rsidRPr="00A37557">
        <w:rPr>
          <w:rFonts w:ascii="Times New Roman" w:hAnsi="Times New Roman"/>
          <w:sz w:val="24"/>
          <w:szCs w:val="24"/>
        </w:rPr>
        <w:t xml:space="preserve"> directs the Court’s attention to the CBA, which indicates the wage </w:t>
      </w:r>
      <w:r w:rsidRPr="00A37557">
        <w:rPr>
          <w:rFonts w:ascii="Times New Roman" w:hAnsi="Times New Roman"/>
          <w:sz w:val="24"/>
          <w:szCs w:val="24"/>
        </w:rPr>
        <w:br/>
        <w:t xml:space="preserve">augments are not to be regarded as </w:t>
      </w:r>
      <w:r>
        <w:rPr>
          <w:rFonts w:ascii="Times New Roman" w:hAnsi="Times New Roman"/>
          <w:sz w:val="24"/>
          <w:szCs w:val="24"/>
        </w:rPr>
        <w:t>‘</w:t>
      </w:r>
      <w:r w:rsidRPr="00A37557">
        <w:rPr>
          <w:rFonts w:ascii="Times New Roman" w:hAnsi="Times New Roman"/>
          <w:sz w:val="24"/>
          <w:szCs w:val="24"/>
        </w:rPr>
        <w:t>wages</w:t>
      </w:r>
      <w:r>
        <w:rPr>
          <w:rFonts w:ascii="Times New Roman" w:hAnsi="Times New Roman"/>
          <w:sz w:val="24"/>
          <w:szCs w:val="24"/>
        </w:rPr>
        <w:t>…’</w:t>
      </w:r>
      <w:r w:rsidRPr="00A37557">
        <w:rPr>
          <w:rFonts w:ascii="Times New Roman" w:hAnsi="Times New Roman"/>
          <w:sz w:val="24"/>
          <w:szCs w:val="24"/>
        </w:rPr>
        <w:t>This argument is without merit and ignores the precedent this Court must follow. See Barrentine</w:t>
      </w:r>
      <w:r>
        <w:rPr>
          <w:rFonts w:ascii="Times New Roman" w:hAnsi="Times New Roman"/>
          <w:sz w:val="24"/>
          <w:szCs w:val="24"/>
        </w:rPr>
        <w:t xml:space="preserve"> [v. Arkansas-Best Freight Sys., 450 U.S. 728 (!981); </w:t>
      </w:r>
      <w:hyperlink r:id="rId1809" w:history="1">
        <w:r w:rsidRPr="007B327B">
          <w:rPr>
            <w:rStyle w:val="Hyperlink"/>
            <w:sz w:val="24"/>
            <w:szCs w:val="24"/>
          </w:rPr>
          <w:t>https://supreme.justia.com/cases/federal/us/450/728/</w:t>
        </w:r>
      </w:hyperlink>
      <w:r>
        <w:rPr>
          <w:rFonts w:ascii="Times New Roman" w:hAnsi="Times New Roman"/>
          <w:sz w:val="24"/>
          <w:szCs w:val="24"/>
        </w:rPr>
        <w:t xml:space="preserve"> ]</w:t>
      </w:r>
      <w:r w:rsidRPr="00A37557">
        <w:rPr>
          <w:rFonts w:ascii="Times New Roman" w:hAnsi="Times New Roman"/>
          <w:sz w:val="24"/>
          <w:szCs w:val="24"/>
        </w:rPr>
        <w:t xml:space="preserve">450 U.S. at 740 (holding </w:t>
      </w:r>
      <w:r>
        <w:rPr>
          <w:rFonts w:ascii="Times New Roman" w:hAnsi="Times New Roman"/>
          <w:sz w:val="24"/>
          <w:szCs w:val="24"/>
        </w:rPr>
        <w:t>‘</w:t>
      </w:r>
      <w:r w:rsidRPr="00A37557">
        <w:rPr>
          <w:rFonts w:ascii="Times New Roman" w:hAnsi="Times New Roman"/>
          <w:sz w:val="24"/>
          <w:szCs w:val="24"/>
        </w:rPr>
        <w:t>FLSA rights cannot be abridged by contract or otherwise waived because this would ‘nullify the purposes’ of the statute and thwart the legislative policies it was designed to effectuate.</w:t>
      </w:r>
      <w:r>
        <w:rPr>
          <w:rFonts w:ascii="Times New Roman" w:hAnsi="Times New Roman"/>
          <w:sz w:val="24"/>
          <w:szCs w:val="24"/>
        </w:rPr>
        <w:t>’</w:t>
      </w:r>
      <w:r w:rsidRPr="00A37557">
        <w:rPr>
          <w:rFonts w:ascii="Times New Roman" w:hAnsi="Times New Roman"/>
          <w:sz w:val="24"/>
          <w:szCs w:val="24"/>
        </w:rPr>
        <w:t xml:space="preserve">). The City’s failure to pay the regular rate (i.e., the “one...times the regular rate”) for hours worked </w:t>
      </w:r>
      <w:proofErr w:type="gramStart"/>
      <w:r w:rsidRPr="00A37557">
        <w:rPr>
          <w:rFonts w:ascii="Times New Roman" w:hAnsi="Times New Roman"/>
          <w:sz w:val="24"/>
          <w:szCs w:val="24"/>
        </w:rPr>
        <w:t>in excess of</w:t>
      </w:r>
      <w:proofErr w:type="gramEnd"/>
      <w:r w:rsidRPr="00A37557">
        <w:rPr>
          <w:rFonts w:ascii="Times New Roman" w:hAnsi="Times New Roman"/>
          <w:sz w:val="24"/>
          <w:szCs w:val="24"/>
        </w:rPr>
        <w:t xml:space="preserve"> 212 hours during a 28-day period violates the FLSA.</w:t>
      </w:r>
    </w:p>
    <w:p w14:paraId="4FC1E612" w14:textId="77777777" w:rsidR="00774A91" w:rsidRPr="00A37557" w:rsidRDefault="00774A91" w:rsidP="00774A91">
      <w:pPr>
        <w:spacing w:before="100" w:beforeAutospacing="1" w:after="100" w:afterAutospacing="1" w:line="240" w:lineRule="auto"/>
        <w:ind w:left="720"/>
        <w:rPr>
          <w:rFonts w:ascii="Times New Roman" w:eastAsia="Times New Roman" w:hAnsi="Times New Roman"/>
          <w:sz w:val="24"/>
          <w:szCs w:val="24"/>
        </w:rPr>
      </w:pPr>
      <w:r w:rsidRPr="00A37557">
        <w:rPr>
          <w:rFonts w:ascii="Times New Roman" w:hAnsi="Times New Roman"/>
          <w:sz w:val="24"/>
          <w:szCs w:val="24"/>
        </w:rPr>
        <w:t xml:space="preserve">Because, at a minimum, the City failed to pay the regular rate (i.e., the </w:t>
      </w:r>
      <w:r>
        <w:rPr>
          <w:rFonts w:ascii="Times New Roman" w:hAnsi="Times New Roman"/>
          <w:sz w:val="24"/>
          <w:szCs w:val="24"/>
        </w:rPr>
        <w:t>‘</w:t>
      </w:r>
      <w:r w:rsidRPr="00A37557">
        <w:rPr>
          <w:rFonts w:ascii="Times New Roman" w:hAnsi="Times New Roman"/>
          <w:sz w:val="24"/>
          <w:szCs w:val="24"/>
        </w:rPr>
        <w:t xml:space="preserve">one...times the </w:t>
      </w:r>
      <w:r w:rsidRPr="00A37557">
        <w:rPr>
          <w:rFonts w:ascii="Times New Roman" w:hAnsi="Times New Roman"/>
          <w:sz w:val="24"/>
          <w:szCs w:val="24"/>
        </w:rPr>
        <w:br/>
        <w:t>regular rate</w:t>
      </w:r>
      <w:r>
        <w:rPr>
          <w:rFonts w:ascii="Times New Roman" w:hAnsi="Times New Roman"/>
          <w:sz w:val="24"/>
          <w:szCs w:val="24"/>
        </w:rPr>
        <w:t>’</w:t>
      </w:r>
      <w:r w:rsidRPr="00A37557">
        <w:rPr>
          <w:rFonts w:ascii="Times New Roman" w:hAnsi="Times New Roman"/>
          <w:sz w:val="24"/>
          <w:szCs w:val="24"/>
        </w:rPr>
        <w:t>) for hours worked in excess of 212 hours during a 28-day period, and thus, violated the FLSA, the Court DENIES the City’s motion for summary judgment on the issue of whether it violated the FLSA and GRANTS Plaintiffs’ motion for partial summary judgment.</w:t>
      </w:r>
      <w:r>
        <w:rPr>
          <w:rFonts w:ascii="Times New Roman" w:hAnsi="Times New Roman"/>
          <w:sz w:val="24"/>
          <w:szCs w:val="24"/>
        </w:rPr>
        <w:t xml:space="preserve">” </w:t>
      </w:r>
      <w:hyperlink r:id="rId1810" w:history="1">
        <w:r w:rsidRPr="007B327B">
          <w:rPr>
            <w:rStyle w:val="Hyperlink"/>
            <w:sz w:val="24"/>
            <w:szCs w:val="24"/>
          </w:rPr>
          <w:t>https://www.govinfo.gov/content/pkg/USCOURTS-mowd-4_19-cv-00093/pdf/USCOURTS-mowd-4_19-cv-00093-1.pdf</w:t>
        </w:r>
      </w:hyperlink>
      <w:r>
        <w:rPr>
          <w:rFonts w:ascii="Times New Roman" w:hAnsi="Times New Roman"/>
          <w:sz w:val="24"/>
          <w:szCs w:val="24"/>
        </w:rPr>
        <w:t xml:space="preserve"> </w:t>
      </w:r>
    </w:p>
    <w:p w14:paraId="0103AD6F" w14:textId="77777777" w:rsidR="00774A91" w:rsidRDefault="00774A91" w:rsidP="00774A91">
      <w:pPr>
        <w:spacing w:before="100" w:beforeAutospacing="1" w:after="100" w:afterAutospacing="1" w:line="240" w:lineRule="auto"/>
        <w:rPr>
          <w:rFonts w:ascii="Times New Roman" w:hAnsi="Times New Roman"/>
          <w:b/>
          <w:bCs/>
          <w:sz w:val="24"/>
          <w:szCs w:val="24"/>
        </w:rPr>
      </w:pPr>
      <w:r w:rsidRPr="004E4533">
        <w:rPr>
          <w:rFonts w:ascii="Times New Roman" w:hAnsi="Times New Roman"/>
          <w:b/>
          <w:bCs/>
          <w:sz w:val="24"/>
          <w:szCs w:val="24"/>
        </w:rPr>
        <w:t xml:space="preserve">Legal Lesson Learned: </w:t>
      </w:r>
      <w:r>
        <w:rPr>
          <w:rFonts w:ascii="Times New Roman" w:hAnsi="Times New Roman"/>
          <w:b/>
          <w:bCs/>
          <w:sz w:val="24"/>
          <w:szCs w:val="24"/>
        </w:rPr>
        <w:t>The City will now have to pay back pay; the amount is based on whether the Court finds this a “willful” violation (3 years versus 2 years back pay) and “liquidated damages” (back pay doubles) if City did not act in good faith.</w:t>
      </w:r>
    </w:p>
    <w:p w14:paraId="05211C39" w14:textId="77777777" w:rsidR="00774A91" w:rsidRDefault="00774A91" w:rsidP="00774A91">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w:t>
      </w:r>
      <w:r w:rsidRPr="004E4533">
        <w:rPr>
          <w:rFonts w:ascii="Times New Roman" w:hAnsi="Times New Roman"/>
          <w:sz w:val="24"/>
          <w:szCs w:val="24"/>
        </w:rPr>
        <w:t xml:space="preserve">Under the FLSA, the statute of limitations is “two years after the cause of action accrued...except that a cause of action arising out of a willful violation may be </w:t>
      </w:r>
      <w:r w:rsidRPr="004E4533">
        <w:rPr>
          <w:rFonts w:ascii="Times New Roman" w:hAnsi="Times New Roman"/>
          <w:sz w:val="24"/>
          <w:szCs w:val="24"/>
        </w:rPr>
        <w:br/>
        <w:t>commenced within three years after the cause of action accrued.” 29 U.S.C. § 255(a)</w:t>
      </w:r>
    </w:p>
    <w:p w14:paraId="62446037" w14:textId="77777777" w:rsidR="00774A91" w:rsidRPr="00697B15" w:rsidRDefault="00774A91" w:rsidP="00774A91">
      <w:pPr>
        <w:spacing w:before="100" w:beforeAutospacing="1" w:after="100" w:afterAutospacing="1" w:line="240" w:lineRule="auto"/>
        <w:ind w:left="720"/>
        <w:rPr>
          <w:rFonts w:ascii="Times New Roman" w:hAnsi="Times New Roman"/>
          <w:b/>
          <w:bCs/>
          <w:sz w:val="24"/>
          <w:szCs w:val="24"/>
        </w:rPr>
      </w:pPr>
      <w:r w:rsidRPr="00697B15">
        <w:rPr>
          <w:rFonts w:ascii="Times New Roman" w:hAnsi="Times New Roman"/>
          <w:sz w:val="24"/>
          <w:szCs w:val="24"/>
        </w:rPr>
        <w:t xml:space="preserve">If an employer violates 29 U.S.C. § 207, the employer is liable to the affected </w:t>
      </w:r>
      <w:r w:rsidRPr="00697B15">
        <w:rPr>
          <w:rFonts w:ascii="Times New Roman" w:hAnsi="Times New Roman"/>
          <w:sz w:val="24"/>
          <w:szCs w:val="24"/>
        </w:rPr>
        <w:br/>
        <w:t xml:space="preserve">employees in the amount of unpaid overtime compensation, and it may also be liable for </w:t>
      </w:r>
      <w:r>
        <w:rPr>
          <w:rFonts w:ascii="Times New Roman" w:hAnsi="Times New Roman"/>
          <w:sz w:val="24"/>
          <w:szCs w:val="24"/>
        </w:rPr>
        <w:t>‘</w:t>
      </w:r>
      <w:r w:rsidRPr="00697B15">
        <w:rPr>
          <w:rFonts w:ascii="Times New Roman" w:hAnsi="Times New Roman"/>
          <w:sz w:val="24"/>
          <w:szCs w:val="24"/>
        </w:rPr>
        <w:t>an additional equal amount as liquidated damages.</w:t>
      </w:r>
      <w:r>
        <w:rPr>
          <w:rFonts w:ascii="Times New Roman" w:hAnsi="Times New Roman"/>
          <w:sz w:val="24"/>
          <w:szCs w:val="24"/>
        </w:rPr>
        <w:t>’</w:t>
      </w:r>
      <w:r w:rsidRPr="00697B15">
        <w:rPr>
          <w:rFonts w:ascii="Times New Roman" w:hAnsi="Times New Roman"/>
          <w:sz w:val="24"/>
          <w:szCs w:val="24"/>
        </w:rPr>
        <w:t xml:space="preserve"> 29 U.S.C. § 216(b). If the employer </w:t>
      </w:r>
      <w:r>
        <w:rPr>
          <w:rFonts w:ascii="Times New Roman" w:hAnsi="Times New Roman"/>
          <w:sz w:val="24"/>
          <w:szCs w:val="24"/>
        </w:rPr>
        <w:t>‘</w:t>
      </w:r>
      <w:r w:rsidRPr="00697B15">
        <w:rPr>
          <w:rFonts w:ascii="Times New Roman" w:hAnsi="Times New Roman"/>
          <w:sz w:val="24"/>
          <w:szCs w:val="24"/>
        </w:rPr>
        <w:t>shows to the satisfaction of the court</w:t>
      </w:r>
      <w:r>
        <w:rPr>
          <w:rFonts w:ascii="Times New Roman" w:hAnsi="Times New Roman"/>
          <w:sz w:val="24"/>
          <w:szCs w:val="24"/>
        </w:rPr>
        <w:t>’</w:t>
      </w:r>
      <w:r w:rsidRPr="00697B15">
        <w:rPr>
          <w:rFonts w:ascii="Times New Roman" w:hAnsi="Times New Roman"/>
          <w:sz w:val="24"/>
          <w:szCs w:val="24"/>
        </w:rPr>
        <w:t xml:space="preserve"> that its actions were </w:t>
      </w:r>
      <w:r>
        <w:rPr>
          <w:rFonts w:ascii="Times New Roman" w:hAnsi="Times New Roman"/>
          <w:sz w:val="24"/>
          <w:szCs w:val="24"/>
        </w:rPr>
        <w:t>‘</w:t>
      </w:r>
      <w:r w:rsidRPr="00697B15">
        <w:rPr>
          <w:rFonts w:ascii="Times New Roman" w:hAnsi="Times New Roman"/>
          <w:sz w:val="24"/>
          <w:szCs w:val="24"/>
        </w:rPr>
        <w:t>in good faith</w:t>
      </w:r>
      <w:r>
        <w:rPr>
          <w:rFonts w:ascii="Times New Roman" w:hAnsi="Times New Roman"/>
          <w:sz w:val="24"/>
          <w:szCs w:val="24"/>
        </w:rPr>
        <w:t>’</w:t>
      </w:r>
      <w:r w:rsidRPr="00697B15">
        <w:rPr>
          <w:rFonts w:ascii="Times New Roman" w:hAnsi="Times New Roman"/>
          <w:sz w:val="24"/>
          <w:szCs w:val="24"/>
        </w:rPr>
        <w:t xml:space="preserve"> and it </w:t>
      </w:r>
      <w:r>
        <w:rPr>
          <w:rFonts w:ascii="Times New Roman" w:hAnsi="Times New Roman"/>
          <w:sz w:val="24"/>
          <w:szCs w:val="24"/>
        </w:rPr>
        <w:t>‘</w:t>
      </w:r>
      <w:r w:rsidRPr="00697B15">
        <w:rPr>
          <w:rFonts w:ascii="Times New Roman" w:hAnsi="Times New Roman"/>
          <w:sz w:val="24"/>
          <w:szCs w:val="24"/>
        </w:rPr>
        <w:t>had reasonable grounds</w:t>
      </w:r>
      <w:r>
        <w:rPr>
          <w:rFonts w:ascii="Times New Roman" w:hAnsi="Times New Roman"/>
          <w:sz w:val="24"/>
          <w:szCs w:val="24"/>
        </w:rPr>
        <w:t xml:space="preserve"> </w:t>
      </w:r>
      <w:r w:rsidRPr="00697B15">
        <w:rPr>
          <w:rFonts w:ascii="Times New Roman" w:hAnsi="Times New Roman"/>
          <w:sz w:val="24"/>
          <w:szCs w:val="24"/>
        </w:rPr>
        <w:t>for believing</w:t>
      </w:r>
      <w:r>
        <w:rPr>
          <w:rFonts w:ascii="Times New Roman" w:hAnsi="Times New Roman"/>
          <w:sz w:val="24"/>
          <w:szCs w:val="24"/>
        </w:rPr>
        <w:t>’</w:t>
      </w:r>
      <w:r w:rsidRPr="00697B15">
        <w:rPr>
          <w:rFonts w:ascii="Times New Roman" w:hAnsi="Times New Roman"/>
          <w:sz w:val="24"/>
          <w:szCs w:val="24"/>
        </w:rPr>
        <w:t xml:space="preserve"> its actions were not violating the FLSA, </w:t>
      </w:r>
      <w:r>
        <w:rPr>
          <w:rFonts w:ascii="Times New Roman" w:hAnsi="Times New Roman"/>
          <w:sz w:val="24"/>
          <w:szCs w:val="24"/>
        </w:rPr>
        <w:t>‘</w:t>
      </w:r>
      <w:r w:rsidRPr="00697B15">
        <w:rPr>
          <w:rFonts w:ascii="Times New Roman" w:hAnsi="Times New Roman"/>
          <w:sz w:val="24"/>
          <w:szCs w:val="24"/>
        </w:rPr>
        <w:t xml:space="preserve">the court may, in its sound discretion, award no liquidated damages or award any amount thereof not to exceed the amount specified in section 216 of this title.” </w:t>
      </w:r>
    </w:p>
    <w:p w14:paraId="11FBF5AB" w14:textId="202C29D3" w:rsidR="00C67B2A" w:rsidRDefault="00C67B2A" w:rsidP="00F326E5">
      <w:pPr>
        <w:rPr>
          <w:rFonts w:ascii="Arial Black" w:hAnsi="Arial Black"/>
          <w:b/>
          <w:sz w:val="24"/>
          <w:szCs w:val="24"/>
        </w:rPr>
      </w:pPr>
    </w:p>
    <w:p w14:paraId="594D4C08" w14:textId="705BC43C" w:rsidR="00885321" w:rsidRDefault="00885321" w:rsidP="00F326E5">
      <w:pPr>
        <w:rPr>
          <w:rFonts w:ascii="Arial Black" w:hAnsi="Arial Black"/>
          <w:b/>
          <w:sz w:val="24"/>
          <w:szCs w:val="24"/>
        </w:rPr>
      </w:pPr>
      <w:r>
        <w:rPr>
          <w:rFonts w:ascii="Arial Black" w:hAnsi="Arial Black"/>
          <w:b/>
          <w:sz w:val="24"/>
          <w:szCs w:val="24"/>
        </w:rPr>
        <w:t>11-</w:t>
      </w:r>
      <w:r w:rsidR="00912048">
        <w:rPr>
          <w:rFonts w:ascii="Arial Black" w:hAnsi="Arial Black"/>
          <w:b/>
          <w:sz w:val="24"/>
          <w:szCs w:val="24"/>
        </w:rPr>
        <w:t>33</w:t>
      </w:r>
    </w:p>
    <w:p w14:paraId="7B7419EA" w14:textId="77777777" w:rsidR="00885321" w:rsidRPr="00E1552C" w:rsidRDefault="00885321" w:rsidP="00885321">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VA: FLSA - VIRGINIA BEACH FD SETTLEMENT – EMS CAPTAINS WILL BE “NON-EXEMPT” - BACK PAY 3 YEARS </w:t>
      </w:r>
    </w:p>
    <w:p w14:paraId="301332F3" w14:textId="77777777" w:rsidR="00885321" w:rsidRDefault="00885321" w:rsidP="00885321">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Sept. 14, 2021, in </w:t>
      </w:r>
      <w:r w:rsidRPr="00696625">
        <w:rPr>
          <w:rStyle w:val="markedcontent"/>
          <w:rFonts w:ascii="Times New Roman" w:hAnsi="Times New Roman"/>
          <w:sz w:val="24"/>
          <w:szCs w:val="24"/>
          <w:u w:val="single"/>
        </w:rPr>
        <w:t>David Bust, et al. v. Virginia Beach, Virginia</w:t>
      </w:r>
      <w:r>
        <w:rPr>
          <w:rStyle w:val="markedcontent"/>
          <w:rFonts w:ascii="Times New Roman" w:hAnsi="Times New Roman"/>
          <w:sz w:val="24"/>
          <w:szCs w:val="24"/>
        </w:rPr>
        <w:t xml:space="preserve">, U.S. District Court for Eastern District of Virginia (Norfolk Division), eight EMS Captains settled their 2020 lawsuit with the city.  The settlement included agreement by the City to re-classify EMS Captains as non-exempt effective Aug. 26, 2021, and back pay from </w:t>
      </w:r>
      <w:r w:rsidRPr="000D7DF7">
        <w:rPr>
          <w:rStyle w:val="markedcontent"/>
          <w:rFonts w:ascii="Times New Roman" w:hAnsi="Times New Roman"/>
          <w:sz w:val="24"/>
          <w:szCs w:val="24"/>
        </w:rPr>
        <w:t>November 25, 2017</w:t>
      </w:r>
      <w:r>
        <w:rPr>
          <w:rStyle w:val="markedcontent"/>
          <w:rFonts w:ascii="Times New Roman" w:hAnsi="Times New Roman"/>
          <w:sz w:val="24"/>
          <w:szCs w:val="24"/>
        </w:rPr>
        <w:t xml:space="preserve">. </w:t>
      </w:r>
    </w:p>
    <w:p w14:paraId="6B966160" w14:textId="77777777" w:rsidR="00885321" w:rsidRPr="00B42905" w:rsidRDefault="00885321" w:rsidP="00885321">
      <w:pPr>
        <w:spacing w:before="100" w:beforeAutospacing="1" w:after="100" w:afterAutospacing="1" w:line="240" w:lineRule="auto"/>
        <w:ind w:left="720"/>
        <w:rPr>
          <w:rStyle w:val="markedcontent"/>
          <w:rFonts w:ascii="Times New Roman" w:eastAsiaTheme="majorEastAsia" w:hAnsi="Times New Roman"/>
          <w:sz w:val="24"/>
          <w:szCs w:val="24"/>
        </w:rPr>
      </w:pPr>
      <w:r w:rsidRPr="00B42905">
        <w:rPr>
          <w:rStyle w:val="markedcontent"/>
          <w:rFonts w:ascii="Times New Roman" w:eastAsiaTheme="majorEastAsia" w:hAnsi="Times New Roman"/>
          <w:sz w:val="24"/>
          <w:szCs w:val="24"/>
        </w:rPr>
        <w:t xml:space="preserve">“Under the Settlement Agreement, the </w:t>
      </w:r>
      <w:proofErr w:type="gramStart"/>
      <w:r w:rsidRPr="00B42905">
        <w:rPr>
          <w:rStyle w:val="markedcontent"/>
          <w:rFonts w:ascii="Times New Roman" w:eastAsiaTheme="majorEastAsia" w:hAnsi="Times New Roman"/>
          <w:sz w:val="24"/>
          <w:szCs w:val="24"/>
        </w:rPr>
        <w:t>City</w:t>
      </w:r>
      <w:proofErr w:type="gramEnd"/>
      <w:r w:rsidRPr="00B42905">
        <w:rPr>
          <w:rStyle w:val="markedcontent"/>
          <w:rFonts w:ascii="Times New Roman" w:eastAsiaTheme="majorEastAsia" w:hAnsi="Times New Roman"/>
          <w:sz w:val="24"/>
          <w:szCs w:val="24"/>
        </w:rPr>
        <w:t xml:space="preserve"> will pay a total of $200,000.00 (two hundred thousand dollars) to resolve the Plaintiffs’ FLSA and VGPA claims. Ex. 1, ¶ 2.1. The Settlement Amount will be divided and distributed as follows: (1) one check in the amount of $80,000.00, payable to Plaintiffs’ counsel, McGillivary Steele Elkin </w:t>
      </w:r>
      <w:r w:rsidRPr="00B42905">
        <w:rPr>
          <w:rFonts w:ascii="Times New Roman" w:hAnsi="Times New Roman"/>
          <w:sz w:val="24"/>
          <w:szCs w:val="24"/>
        </w:rPr>
        <w:br/>
      </w:r>
      <w:r w:rsidRPr="00B42905">
        <w:rPr>
          <w:rStyle w:val="markedcontent"/>
          <w:rFonts w:ascii="Times New Roman" w:eastAsiaTheme="majorEastAsia" w:hAnsi="Times New Roman"/>
          <w:sz w:val="24"/>
          <w:szCs w:val="24"/>
        </w:rPr>
        <w:t xml:space="preserve">LLP, representing a negotiated amount of reimbursed attorneys’ fees and expenses; and (2) a set of payroll checks payable to individual Plaintiffs, totaling a pre-tax amount of $120,000.00, which shall be distributed to individual Plaintiffs in accordance with the pre-tax amounts set forth in Exhibit A to the Settlement Agreement, to which the City shall be entitled to apply all applicable deductions and withholdings for each individual Plaintiff. Id., ¶ 2.2. In addition, the City agreed to re-classify Plaintiffs in the position of EMS Captain as non-exempt, effective August 26, 2021. Id., ¶ 2.1. These amounts and terms are agreed to among the Parties to compromise, settle, and satisfy the Released Claims described in paragraph 3.1 of the Settlement Agreement, and all attorneys’ fees and expenses related to the Released Claims. Significantly, Plaintiffs and their </w:t>
      </w:r>
      <w:r w:rsidRPr="00B42905">
        <w:rPr>
          <w:rFonts w:ascii="Times New Roman" w:hAnsi="Times New Roman"/>
          <w:sz w:val="24"/>
          <w:szCs w:val="24"/>
        </w:rPr>
        <w:br/>
      </w:r>
      <w:r w:rsidRPr="00B42905">
        <w:rPr>
          <w:rStyle w:val="markedcontent"/>
          <w:rFonts w:ascii="Times New Roman" w:eastAsiaTheme="majorEastAsia" w:hAnsi="Times New Roman"/>
          <w:sz w:val="24"/>
          <w:szCs w:val="24"/>
        </w:rPr>
        <w:t xml:space="preserve">counsel determined the method used to calculate the pro rata amounts to be paid to each Plaintiff for the Back Pay Amount. Id., ¶ 2.6.”  </w:t>
      </w:r>
      <w:hyperlink r:id="rId1811" w:history="1">
        <w:r w:rsidRPr="00B42905">
          <w:rPr>
            <w:rStyle w:val="Hyperlink"/>
            <w:rFonts w:ascii="Times New Roman" w:eastAsiaTheme="majorEastAsia" w:hAnsi="Times New Roman"/>
            <w:sz w:val="24"/>
            <w:szCs w:val="24"/>
          </w:rPr>
          <w:t>http://www.firefighterovertime.org/wp-content/uploads/2021/11/US_DIS_VAED_2_20cv595_Memorandum_in_Support_re_41_Joint_MOTION_for_Settl.pdf</w:t>
        </w:r>
      </w:hyperlink>
      <w:r w:rsidRPr="00B42905">
        <w:rPr>
          <w:rStyle w:val="markedcontent"/>
          <w:rFonts w:ascii="Times New Roman" w:eastAsiaTheme="majorEastAsia" w:hAnsi="Times New Roman"/>
          <w:sz w:val="24"/>
          <w:szCs w:val="24"/>
        </w:rPr>
        <w:t xml:space="preserve"> </w:t>
      </w:r>
    </w:p>
    <w:p w14:paraId="566BF8FB" w14:textId="77777777" w:rsidR="00885321" w:rsidRPr="000D7DF7" w:rsidRDefault="00885321" w:rsidP="00885321">
      <w:pPr>
        <w:rPr>
          <w:rFonts w:ascii="Times New Roman" w:eastAsia="Times New Roman" w:hAnsi="Times New Roman"/>
          <w:b/>
          <w:bCs/>
          <w:sz w:val="24"/>
          <w:szCs w:val="24"/>
        </w:rPr>
      </w:pPr>
      <w:r w:rsidRPr="000D7DF7">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Settlements are encouraged to avoid “liquidated damages” (back pay doubled) under FLSA.  Fire &amp; EMS department, when in doubt about classification of officers under FLSA, are encouraged to consult with experienced FLSA attorneys and the U.S. Department of Labor, Wage &amp; Hour Division. </w:t>
      </w:r>
    </w:p>
    <w:p w14:paraId="073B8B5B" w14:textId="77777777" w:rsidR="00885321" w:rsidRDefault="00885321" w:rsidP="00885321">
      <w:pPr>
        <w:pStyle w:val="NormalWeb"/>
        <w:ind w:left="720"/>
        <w:rPr>
          <w:rStyle w:val="markedcontent"/>
          <w:rFonts w:eastAsiaTheme="majorEastAsia"/>
        </w:rPr>
      </w:pPr>
      <w:r>
        <w:rPr>
          <w:rStyle w:val="markedcontent"/>
          <w:rFonts w:eastAsiaTheme="majorEastAsia"/>
        </w:rPr>
        <w:t xml:space="preserve">Note: See article on the settlement. Nov. 16, 2021: </w:t>
      </w:r>
      <w:r w:rsidRPr="00EF1C86">
        <w:t>“VA Beach Settles ‘White Collar’ FLSA Lawsuit with EMS Captains.”</w:t>
      </w:r>
      <w:r>
        <w:t xml:space="preserve"> </w:t>
      </w:r>
      <w:hyperlink r:id="rId1812" w:history="1">
        <w:r w:rsidRPr="00673E18">
          <w:rPr>
            <w:rStyle w:val="Hyperlink"/>
          </w:rPr>
          <w:t>http://www.firefighterovertime.org/2021/11/08/va-beach-settles-flsa-lawsuit/</w:t>
        </w:r>
      </w:hyperlink>
      <w:r>
        <w:rPr>
          <w:rStyle w:val="Hyperlink"/>
        </w:rPr>
        <w:t xml:space="preserve"> </w:t>
      </w:r>
    </w:p>
    <w:p w14:paraId="056B2B98" w14:textId="77777777" w:rsidR="00885321" w:rsidRDefault="00885321" w:rsidP="00F326E5">
      <w:pPr>
        <w:rPr>
          <w:rFonts w:ascii="Arial Black" w:hAnsi="Arial Black"/>
          <w:b/>
          <w:sz w:val="24"/>
          <w:szCs w:val="24"/>
        </w:rPr>
      </w:pPr>
    </w:p>
    <w:p w14:paraId="147E159F" w14:textId="77777777" w:rsidR="00C67B2A" w:rsidRDefault="00C67B2A" w:rsidP="00F326E5">
      <w:pPr>
        <w:rPr>
          <w:rFonts w:ascii="Arial Black" w:hAnsi="Arial Black"/>
          <w:b/>
          <w:sz w:val="24"/>
          <w:szCs w:val="24"/>
        </w:rPr>
      </w:pPr>
    </w:p>
    <w:p w14:paraId="5A6E75A2" w14:textId="7BD80205" w:rsidR="00B03268" w:rsidRDefault="00B03268"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32</w:t>
      </w:r>
    </w:p>
    <w:p w14:paraId="4CA007ED" w14:textId="77777777" w:rsidR="00B03268" w:rsidRPr="00D1078B" w:rsidRDefault="00B03268" w:rsidP="00B03268">
      <w:pPr>
        <w:pStyle w:val="NoSpacing"/>
        <w:rPr>
          <w:rFonts w:ascii="Arial Black" w:hAnsi="Arial Black"/>
          <w:sz w:val="28"/>
          <w:szCs w:val="28"/>
        </w:rPr>
      </w:pPr>
      <w:r>
        <w:rPr>
          <w:rFonts w:ascii="Arial Black" w:hAnsi="Arial Black"/>
          <w:sz w:val="28"/>
          <w:szCs w:val="28"/>
        </w:rPr>
        <w:t xml:space="preserve">IL: CITY OF CHICAGO MAILROOM EMPLOYEE – “EQUAL PAY” CASE DISMISSED – DUTIES NOT SAME FF, OTHERS </w:t>
      </w:r>
    </w:p>
    <w:p w14:paraId="325CFA06" w14:textId="77777777" w:rsidR="00B03268" w:rsidRDefault="00B03268" w:rsidP="00B03268">
      <w:pPr>
        <w:pStyle w:val="NoSpacing"/>
      </w:pPr>
    </w:p>
    <w:p w14:paraId="33F07360" w14:textId="77777777" w:rsidR="00B03268" w:rsidRPr="00BD5433" w:rsidRDefault="00B03268" w:rsidP="00B03268">
      <w:pPr>
        <w:pStyle w:val="NoSpacing"/>
        <w:rPr>
          <w:rFonts w:ascii="Times New Roman" w:hAnsi="Times New Roman"/>
          <w:sz w:val="24"/>
          <w:szCs w:val="24"/>
        </w:rPr>
      </w:pPr>
      <w:r>
        <w:rPr>
          <w:rFonts w:ascii="Times New Roman" w:hAnsi="Times New Roman"/>
          <w:sz w:val="24"/>
          <w:szCs w:val="24"/>
        </w:rPr>
        <w:t xml:space="preserve">On May 20, 2021, in </w:t>
      </w:r>
      <w:r w:rsidRPr="00D1078B">
        <w:rPr>
          <w:rFonts w:ascii="Times New Roman" w:hAnsi="Times New Roman"/>
          <w:sz w:val="24"/>
          <w:szCs w:val="24"/>
          <w:u w:val="single"/>
        </w:rPr>
        <w:t>Angela D. Boyd v. City of Chicago</w:t>
      </w:r>
      <w:r>
        <w:rPr>
          <w:rFonts w:ascii="Times New Roman" w:hAnsi="Times New Roman"/>
          <w:sz w:val="24"/>
          <w:szCs w:val="24"/>
        </w:rPr>
        <w:t xml:space="preserve">, U.S. District Court Judge Charles P. </w:t>
      </w:r>
      <w:proofErr w:type="spellStart"/>
      <w:r>
        <w:rPr>
          <w:rFonts w:ascii="Times New Roman" w:hAnsi="Times New Roman"/>
          <w:sz w:val="24"/>
          <w:szCs w:val="24"/>
        </w:rPr>
        <w:t>Kocoras</w:t>
      </w:r>
      <w:proofErr w:type="spellEnd"/>
      <w:r>
        <w:rPr>
          <w:rFonts w:ascii="Times New Roman" w:hAnsi="Times New Roman"/>
          <w:sz w:val="24"/>
          <w:szCs w:val="24"/>
        </w:rPr>
        <w:t xml:space="preserve">, U.S. District Court for Northern District of Illinois, Eastern District, granted the City’s motion to dismiss this lawsuit, </w:t>
      </w:r>
      <w:proofErr w:type="gramStart"/>
      <w:r>
        <w:rPr>
          <w:rFonts w:ascii="Times New Roman" w:hAnsi="Times New Roman"/>
          <w:sz w:val="24"/>
          <w:szCs w:val="24"/>
        </w:rPr>
        <w:t>and also</w:t>
      </w:r>
      <w:proofErr w:type="gramEnd"/>
      <w:r>
        <w:rPr>
          <w:rFonts w:ascii="Times New Roman" w:hAnsi="Times New Roman"/>
          <w:sz w:val="24"/>
          <w:szCs w:val="24"/>
        </w:rPr>
        <w:t xml:space="preserve"> the motion of her union, </w:t>
      </w:r>
      <w:r w:rsidRPr="00BD5433">
        <w:rPr>
          <w:rFonts w:ascii="Times New Roman" w:hAnsi="Times New Roman"/>
          <w:sz w:val="24"/>
          <w:szCs w:val="24"/>
        </w:rPr>
        <w:t>AFSCME Council 31</w:t>
      </w:r>
      <w:r>
        <w:rPr>
          <w:rFonts w:ascii="Times New Roman" w:hAnsi="Times New Roman"/>
          <w:sz w:val="24"/>
          <w:szCs w:val="24"/>
        </w:rPr>
        <w:t>.</w:t>
      </w:r>
    </w:p>
    <w:p w14:paraId="6E3043A5" w14:textId="2A86F062" w:rsidR="00B03268" w:rsidRDefault="00B03268" w:rsidP="00B03268">
      <w:pPr>
        <w:rPr>
          <w:rFonts w:ascii="Arial Black" w:hAnsi="Arial Black"/>
          <w:b/>
          <w:sz w:val="24"/>
          <w:szCs w:val="24"/>
        </w:rPr>
      </w:pPr>
      <w:r>
        <w:rPr>
          <w:rFonts w:ascii="Times New Roman" w:eastAsia="Times New Roman" w:hAnsi="Times New Roman"/>
          <w:sz w:val="24"/>
          <w:szCs w:val="24"/>
        </w:rPr>
        <w:t>“</w:t>
      </w:r>
      <w:r w:rsidRPr="00BD5433">
        <w:rPr>
          <w:rFonts w:ascii="Times New Roman" w:eastAsia="Times New Roman" w:hAnsi="Times New Roman"/>
          <w:sz w:val="24"/>
          <w:szCs w:val="24"/>
        </w:rPr>
        <w:t xml:space="preserve">Boyd's duties specifically included picking up and dropping off mail and boxes at various City locations. Despite these distinct duties, Boyd alleges that she was paid less than three other men. First, she alleges that she was paid less than Mr. Romell Short, a concrete laborer, who was paid $40.20 an hour. Second, she alleges that she was paid less than Mr. Michael Evans, a City Assistant Commissioner, who was paid an annual salary of over $90,000. And third, Boyd alleges that another man—a firefighter—was paid an annual salary of over $100,000. *** </w:t>
      </w:r>
      <w:r w:rsidRPr="00BD5433">
        <w:rPr>
          <w:rFonts w:ascii="Times New Roman" w:hAnsi="Times New Roman"/>
          <w:sz w:val="24"/>
          <w:szCs w:val="24"/>
        </w:rPr>
        <w:t>Put simply: Boyd alleges no facts to support an inference that the three men at issue completed equal work that required similar skill, effort, or responsibility. That is fatal to Boyd's Amended Complaint.</w:t>
      </w:r>
      <w:r>
        <w:rPr>
          <w:rFonts w:ascii="Times New Roman" w:hAnsi="Times New Roman"/>
          <w:sz w:val="24"/>
          <w:szCs w:val="24"/>
        </w:rPr>
        <w:t xml:space="preserve">” </w:t>
      </w:r>
      <w:hyperlink r:id="rId1813" w:history="1">
        <w:r w:rsidRPr="007344F4">
          <w:rPr>
            <w:rStyle w:val="Hyperlink"/>
            <w:sz w:val="24"/>
            <w:szCs w:val="24"/>
          </w:rPr>
          <w:t>https://public.fastcase.com/9SKwsfNqTc6OieYDhNMyM%2Bd%2B2eK88WBpQndaMaa6S5BNLFOYsG1I8lL7zJutyS4p</w:t>
        </w:r>
      </w:hyperlink>
    </w:p>
    <w:p w14:paraId="24E94DF9" w14:textId="77777777" w:rsidR="00B03268" w:rsidRPr="00BD5433" w:rsidRDefault="00B03268" w:rsidP="00B03268">
      <w:pPr>
        <w:spacing w:before="100" w:beforeAutospacing="1" w:after="100" w:afterAutospacing="1"/>
        <w:rPr>
          <w:rFonts w:ascii="Times New Roman" w:eastAsia="Times New Roman" w:hAnsi="Times New Roman"/>
          <w:b/>
          <w:bCs/>
          <w:sz w:val="24"/>
          <w:szCs w:val="24"/>
        </w:rPr>
      </w:pPr>
      <w:r w:rsidRPr="00F9640F">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plaintiff obviously does not do the same work as those she used to compare her pay - a concrete laborer, fire fighter, Assistant Commissioner. </w:t>
      </w:r>
    </w:p>
    <w:p w14:paraId="568C8649" w14:textId="77777777" w:rsidR="00B03268" w:rsidRDefault="00B03268" w:rsidP="00F326E5">
      <w:pPr>
        <w:rPr>
          <w:rFonts w:ascii="Arial Black" w:hAnsi="Arial Black"/>
          <w:b/>
          <w:sz w:val="24"/>
          <w:szCs w:val="24"/>
        </w:rPr>
      </w:pPr>
    </w:p>
    <w:p w14:paraId="77405754" w14:textId="09C8B91B" w:rsidR="00BC5936" w:rsidRPr="00BC5936" w:rsidRDefault="00BC5936" w:rsidP="00F326E5">
      <w:pPr>
        <w:rPr>
          <w:rFonts w:ascii="Times New Roman" w:hAnsi="Times New Roman"/>
          <w:bCs/>
          <w:sz w:val="24"/>
          <w:szCs w:val="24"/>
        </w:rPr>
      </w:pPr>
      <w:r>
        <w:rPr>
          <w:rFonts w:ascii="Arial Black" w:hAnsi="Arial Black"/>
          <w:b/>
          <w:sz w:val="24"/>
          <w:szCs w:val="24"/>
        </w:rPr>
        <w:t>11-</w:t>
      </w:r>
      <w:r w:rsidR="00B13773">
        <w:rPr>
          <w:rFonts w:ascii="Arial Black" w:hAnsi="Arial Black"/>
          <w:b/>
          <w:sz w:val="24"/>
          <w:szCs w:val="24"/>
        </w:rPr>
        <w:t>31</w:t>
      </w:r>
      <w:r>
        <w:rPr>
          <w:rFonts w:ascii="Arial Black" w:hAnsi="Arial Black"/>
          <w:b/>
          <w:sz w:val="24"/>
          <w:szCs w:val="24"/>
        </w:rPr>
        <w:t xml:space="preserve"> </w:t>
      </w:r>
      <w:r>
        <w:rPr>
          <w:rFonts w:ascii="Times New Roman" w:hAnsi="Times New Roman"/>
          <w:bCs/>
          <w:sz w:val="24"/>
          <w:szCs w:val="24"/>
        </w:rPr>
        <w:t>[also filed, Chap. 16]</w:t>
      </w:r>
    </w:p>
    <w:p w14:paraId="4D4EF384" w14:textId="77777777" w:rsidR="00BC5936" w:rsidRPr="003A1BB2" w:rsidRDefault="00BC5936" w:rsidP="00BC5936">
      <w:pPr>
        <w:pStyle w:val="NoSpacing"/>
        <w:rPr>
          <w:rFonts w:ascii="Arial Black" w:hAnsi="Arial Black"/>
          <w:sz w:val="28"/>
          <w:szCs w:val="28"/>
        </w:rPr>
      </w:pPr>
      <w:r>
        <w:rPr>
          <w:rFonts w:ascii="Arial Black" w:hAnsi="Arial Black"/>
          <w:sz w:val="28"/>
          <w:szCs w:val="28"/>
        </w:rPr>
        <w:t>NV: AT-WILL HOSPITAL PARAMEDIC - TERMINATED WITHIN 1-YR PROBATIONARY PERIOD – LAWSUIT DISMISSED</w:t>
      </w:r>
    </w:p>
    <w:p w14:paraId="68E0DE4D" w14:textId="77777777" w:rsidR="00BC5936" w:rsidRDefault="00BC5936" w:rsidP="00BC5936">
      <w:pPr>
        <w:pStyle w:val="NoSpacing"/>
      </w:pPr>
    </w:p>
    <w:p w14:paraId="15BD1787" w14:textId="77777777" w:rsidR="00BC5936" w:rsidRPr="00D106AE" w:rsidRDefault="00BC5936" w:rsidP="00BC5936">
      <w:pPr>
        <w:pStyle w:val="NoSpacing"/>
        <w:rPr>
          <w:rFonts w:ascii="Times New Roman" w:hAnsi="Times New Roman"/>
          <w:sz w:val="24"/>
          <w:szCs w:val="24"/>
        </w:rPr>
      </w:pPr>
      <w:r>
        <w:rPr>
          <w:rFonts w:ascii="Times New Roman" w:hAnsi="Times New Roman"/>
          <w:sz w:val="24"/>
          <w:szCs w:val="24"/>
        </w:rPr>
        <w:t xml:space="preserve">On May 13, 2021, in </w:t>
      </w:r>
      <w:r w:rsidRPr="00D106AE">
        <w:rPr>
          <w:rFonts w:ascii="Times New Roman" w:hAnsi="Times New Roman"/>
          <w:sz w:val="24"/>
          <w:szCs w:val="24"/>
          <w:u w:val="single"/>
        </w:rPr>
        <w:t>Todd P. Evans v. Lander County Hospital District, d/b/a Battle Mountain General Hospital</w:t>
      </w:r>
      <w:r w:rsidRPr="00D106AE">
        <w:rPr>
          <w:rFonts w:ascii="Times New Roman" w:hAnsi="Times New Roman"/>
          <w:sz w:val="24"/>
          <w:szCs w:val="24"/>
        </w:rPr>
        <w:t xml:space="preserve">, U.S. District Court Judge Larry R. Hicks, U.S. District Court, District of Nevada, </w:t>
      </w:r>
      <w:r>
        <w:rPr>
          <w:rFonts w:ascii="Times New Roman" w:hAnsi="Times New Roman"/>
          <w:sz w:val="24"/>
          <w:szCs w:val="24"/>
        </w:rPr>
        <w:t>held that the paramedic did not file or otherwise orally make a complaint of FLSA violation, and he was an at-will employee that can be terminated without cause by the hospital.</w:t>
      </w:r>
    </w:p>
    <w:p w14:paraId="123C4A92" w14:textId="77777777" w:rsidR="00BC5936" w:rsidRDefault="00BC5936" w:rsidP="00BC5936">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sz w:val="24"/>
          <w:szCs w:val="24"/>
        </w:rPr>
        <w:t>“</w:t>
      </w:r>
      <w:r w:rsidRPr="003A1BB2">
        <w:rPr>
          <w:rFonts w:ascii="Times New Roman" w:eastAsia="Times New Roman" w:hAnsi="Times New Roman"/>
          <w:sz w:val="24"/>
          <w:szCs w:val="24"/>
        </w:rPr>
        <w:t>Again, based on Evans' testimony, the Court finds that Evans' statements during the April 2019 meeting do not constitute filling a complaint with the BMGH as contemplated by the FLSA anti-retaliation statute. The content of this meeting was the financial and economic status of the EMS Department and was focused on how Evans' suggested alterations to the department, including transitioning the volunteer EMTs to paid staff, would make the department more fiscally responsible and increase staff. While Evans did address the FLSA and again suggested that the volunteer program may be violating the federal statute, he did not specify an illegality related to the program and did not provide Trustee Roberts with any documentation related to the FLSA. A reasonable employer would have seen Evans' statements as an attempt to recruit a board member to support his budget proposal, not an assertion of the employment rights of the volunteer EMTs in the program. Accordingly, his statements cannot be considered a filed complaint under the FLSA anti-retaliation statute.</w:t>
      </w:r>
    </w:p>
    <w:p w14:paraId="2E05832E" w14:textId="77777777" w:rsidR="00BC5936" w:rsidRDefault="00BC5936" w:rsidP="00BC5936">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sz w:val="24"/>
          <w:szCs w:val="24"/>
        </w:rPr>
        <w:t>***</w:t>
      </w:r>
    </w:p>
    <w:p w14:paraId="248641C5" w14:textId="77777777" w:rsidR="00BC5936" w:rsidRPr="003A1BB2" w:rsidRDefault="00BC5936" w:rsidP="00BC5936">
      <w:pPr>
        <w:spacing w:before="100" w:beforeAutospacing="1" w:after="100" w:afterAutospacing="1"/>
        <w:ind w:left="720"/>
        <w:rPr>
          <w:rFonts w:ascii="Times New Roman" w:eastAsia="Times New Roman" w:hAnsi="Times New Roman"/>
          <w:sz w:val="24"/>
          <w:szCs w:val="24"/>
        </w:rPr>
      </w:pPr>
      <w:r w:rsidRPr="00D106AE">
        <w:rPr>
          <w:rFonts w:ascii="Times New Roman" w:hAnsi="Times New Roman"/>
          <w:sz w:val="24"/>
          <w:szCs w:val="24"/>
        </w:rPr>
        <w:t xml:space="preserve">Evans' fourth cause of action alleges Defendant breached its oral employment contract in which BMGH agreed to pay Evans a salary of $115,000.00 per year plus a travel stipend of no more than $500.00 per month. ECF No. 1 ¶¶ 55-58. Defendant argues that it could not have breached an employment contract that did not exist as Evans was an at-will employee. Having reviewed the record, there can be no dispute that Evans was an at-will </w:t>
      </w:r>
      <w:proofErr w:type="gramStart"/>
      <w:r w:rsidRPr="00D106AE">
        <w:rPr>
          <w:rFonts w:ascii="Times New Roman" w:hAnsi="Times New Roman"/>
          <w:sz w:val="24"/>
          <w:szCs w:val="24"/>
        </w:rPr>
        <w:t>employee.</w:t>
      </w:r>
      <w:r>
        <w:rPr>
          <w:rFonts w:ascii="Times New Roman" w:hAnsi="Times New Roman"/>
          <w:sz w:val="24"/>
          <w:szCs w:val="24"/>
        </w:rPr>
        <w:t>”</w:t>
      </w:r>
      <w:proofErr w:type="gramEnd"/>
      <w:r>
        <w:rPr>
          <w:rFonts w:ascii="Times New Roman" w:hAnsi="Times New Roman"/>
          <w:sz w:val="24"/>
          <w:szCs w:val="24"/>
        </w:rPr>
        <w:t xml:space="preserve"> </w:t>
      </w:r>
      <w:hyperlink r:id="rId1814" w:history="1">
        <w:r w:rsidRPr="00C724D5">
          <w:rPr>
            <w:rStyle w:val="Hyperlink"/>
            <w:sz w:val="24"/>
            <w:szCs w:val="24"/>
          </w:rPr>
          <w:t>https://www.leagle.com/decision/infdco20210518900</w:t>
        </w:r>
      </w:hyperlink>
      <w:r>
        <w:rPr>
          <w:rFonts w:ascii="Times New Roman" w:eastAsia="Times New Roman" w:hAnsi="Times New Roman"/>
          <w:sz w:val="24"/>
          <w:szCs w:val="24"/>
        </w:rPr>
        <w:t xml:space="preserve"> </w:t>
      </w:r>
    </w:p>
    <w:p w14:paraId="4D95F609" w14:textId="77777777" w:rsidR="00BC5936" w:rsidRPr="00E7248E" w:rsidRDefault="00BC5936" w:rsidP="00BC5936">
      <w:pPr>
        <w:pStyle w:val="NormalWeb"/>
        <w:rPr>
          <w:b/>
          <w:bCs/>
        </w:rPr>
      </w:pPr>
      <w:r w:rsidRPr="00E7248E">
        <w:rPr>
          <w:b/>
          <w:bCs/>
        </w:rPr>
        <w:t>Legal Lesson Learned:</w:t>
      </w:r>
      <w:r>
        <w:rPr>
          <w:b/>
          <w:bCs/>
        </w:rPr>
        <w:t xml:space="preserve"> At will employees can be terminated, with or without cause.  </w:t>
      </w:r>
    </w:p>
    <w:p w14:paraId="6C3BCDB1" w14:textId="77777777" w:rsidR="00BC5936" w:rsidRDefault="00BC5936" w:rsidP="00F326E5">
      <w:pPr>
        <w:rPr>
          <w:rFonts w:ascii="Arial Black" w:hAnsi="Arial Black"/>
          <w:b/>
          <w:sz w:val="24"/>
          <w:szCs w:val="24"/>
        </w:rPr>
      </w:pPr>
    </w:p>
    <w:p w14:paraId="46528163" w14:textId="77777777" w:rsidR="00BC5936" w:rsidRDefault="00BC5936" w:rsidP="00F326E5">
      <w:pPr>
        <w:rPr>
          <w:rFonts w:ascii="Arial Black" w:hAnsi="Arial Black"/>
          <w:b/>
          <w:sz w:val="24"/>
          <w:szCs w:val="24"/>
        </w:rPr>
      </w:pPr>
    </w:p>
    <w:p w14:paraId="6F2D0D06" w14:textId="77777777" w:rsidR="00BC5936" w:rsidRDefault="00BC5936" w:rsidP="00F326E5">
      <w:pPr>
        <w:rPr>
          <w:rFonts w:ascii="Arial Black" w:hAnsi="Arial Black"/>
          <w:b/>
          <w:sz w:val="24"/>
          <w:szCs w:val="24"/>
        </w:rPr>
      </w:pPr>
    </w:p>
    <w:p w14:paraId="1BA09A10" w14:textId="241CE1CD" w:rsidR="003E0A22" w:rsidRDefault="003E0A22"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30</w:t>
      </w:r>
    </w:p>
    <w:p w14:paraId="562E3288" w14:textId="77777777" w:rsidR="003E0A22" w:rsidRDefault="003E0A22" w:rsidP="003E0A22">
      <w:pPr>
        <w:rPr>
          <w:rFonts w:ascii="Arial Black" w:hAnsi="Arial Black"/>
          <w:sz w:val="28"/>
          <w:szCs w:val="28"/>
        </w:rPr>
      </w:pPr>
      <w:r>
        <w:rPr>
          <w:rFonts w:ascii="Arial Black" w:hAnsi="Arial Black"/>
          <w:sz w:val="28"/>
          <w:szCs w:val="28"/>
        </w:rPr>
        <w:t>MO:  FLSA CLASS ACTION MAY PROCEED – 400+ FF – SPECIALTY PAY NOT ADDED TO “REGULAR RATE OF PAY”</w:t>
      </w:r>
    </w:p>
    <w:p w14:paraId="455574E8" w14:textId="77777777" w:rsidR="003E0A22" w:rsidRDefault="003E0A22" w:rsidP="003E0A22">
      <w:pPr>
        <w:rPr>
          <w:rFonts w:ascii="Times New Roman" w:hAnsi="Times New Roman"/>
          <w:sz w:val="24"/>
          <w:szCs w:val="24"/>
        </w:rPr>
      </w:pPr>
      <w:r>
        <w:rPr>
          <w:rFonts w:ascii="Times New Roman" w:hAnsi="Times New Roman"/>
          <w:sz w:val="24"/>
          <w:szCs w:val="24"/>
        </w:rPr>
        <w:t xml:space="preserve">On March 30, 2021, in </w:t>
      </w:r>
      <w:r w:rsidRPr="00EE3F62">
        <w:rPr>
          <w:rFonts w:ascii="Times New Roman" w:hAnsi="Times New Roman"/>
          <w:sz w:val="24"/>
          <w:szCs w:val="24"/>
          <w:u w:val="single"/>
        </w:rPr>
        <w:t>Craig Adams and Joseph Knopp, individually and on behalf of similarly situated plaintiffs v. City of Kansas, Missouri</w:t>
      </w:r>
      <w:r>
        <w:rPr>
          <w:rFonts w:ascii="Times New Roman" w:hAnsi="Times New Roman"/>
          <w:sz w:val="24"/>
          <w:szCs w:val="24"/>
        </w:rPr>
        <w:t>, U.S. Magistrate W. Brian Gaddy denied the City’s motion to decertify the class action, where 474 firefighters submitted consent forms to join the class action (91 firefighters who did not receive the specialty pay since 2016 were with agreement dropped from the case).   The Complaint, filed in 2019, alleges that City failed to increase the firefighters “regular rate of pay” for those FF receiving specialty pay, including members of the Hazards Material Team (3%); members of ARFF receive a 5% pay increase; Instructors (10%); FTO’s (5%); EST maintaining cardiac monitors and hydraulic cots (10%); cross trained FF / EMS assigned to combined rescue and Squad (3%).</w:t>
      </w:r>
    </w:p>
    <w:p w14:paraId="7A72B887" w14:textId="77777777" w:rsidR="003E0A22" w:rsidRDefault="003E0A22" w:rsidP="003E0A22">
      <w:pPr>
        <w:pStyle w:val="NormalWeb"/>
        <w:ind w:left="720"/>
      </w:pPr>
      <w:r>
        <w:t>“</w:t>
      </w:r>
      <w:r w:rsidRPr="006F4267">
        <w:t xml:space="preserve">The Court notes the more than 400 collective action members have been and continue to be represented by the same law firm. Throughout more than two years of litigation, counsel has sought and continues to seek relief on behalf of the collective action members. </w:t>
      </w:r>
    </w:p>
    <w:p w14:paraId="1E1E017D" w14:textId="77777777" w:rsidR="003E0A22" w:rsidRPr="006F4267" w:rsidRDefault="003E0A22" w:rsidP="003E0A22">
      <w:pPr>
        <w:pStyle w:val="NormalWeb"/>
        <w:ind w:left="720"/>
      </w:pPr>
      <w:r>
        <w:t>***</w:t>
      </w:r>
    </w:p>
    <w:p w14:paraId="002BE85D" w14:textId="77777777" w:rsidR="003E0A22" w:rsidRDefault="003E0A22" w:rsidP="003E0A22">
      <w:pPr>
        <w:ind w:left="720"/>
        <w:rPr>
          <w:rFonts w:ascii="Times New Roman" w:hAnsi="Times New Roman"/>
          <w:sz w:val="24"/>
          <w:szCs w:val="24"/>
        </w:rPr>
      </w:pPr>
      <w:r w:rsidRPr="006F4267">
        <w:rPr>
          <w:rFonts w:ascii="Times New Roman" w:hAnsi="Times New Roman"/>
          <w:sz w:val="24"/>
          <w:szCs w:val="24"/>
        </w:rPr>
        <w:t xml:space="preserve">Here, the Court concludes collective adjudication reduces the burden on Plaintiffs through the pooling of resources and efficiently resolves common issues of law and fact arising from the City’s application of a pay policy. Not only would it be impractical or difficult for each collective action member to pursue his or her FLSA claim individually, the legal questions and common factual issues lend themselves to resolution through common evidence. By permitting this matter to proceed as a collective action, the result will be one judgment. </w:t>
      </w:r>
      <w:proofErr w:type="gramStart"/>
      <w:r w:rsidRPr="006F4267">
        <w:rPr>
          <w:rFonts w:ascii="Times New Roman" w:hAnsi="Times New Roman"/>
          <w:sz w:val="24"/>
          <w:szCs w:val="24"/>
        </w:rPr>
        <w:t>Whereas,</w:t>
      </w:r>
      <w:proofErr w:type="gramEnd"/>
      <w:r w:rsidRPr="006F4267">
        <w:rPr>
          <w:rFonts w:ascii="Times New Roman" w:hAnsi="Times New Roman"/>
          <w:sz w:val="24"/>
          <w:szCs w:val="24"/>
        </w:rPr>
        <w:t xml:space="preserve"> decertification could result in hundreds of individual trials. See </w:t>
      </w:r>
      <w:proofErr w:type="spellStart"/>
      <w:r w:rsidRPr="006F4267">
        <w:rPr>
          <w:rFonts w:ascii="Times New Roman" w:hAnsi="Times New Roman"/>
          <w:sz w:val="24"/>
          <w:szCs w:val="24"/>
        </w:rPr>
        <w:t>Kautsch</w:t>
      </w:r>
      <w:proofErr w:type="spellEnd"/>
      <w:r w:rsidRPr="006F4267">
        <w:rPr>
          <w:rFonts w:ascii="Times New Roman" w:hAnsi="Times New Roman"/>
          <w:sz w:val="24"/>
          <w:szCs w:val="24"/>
        </w:rPr>
        <w:t>, 2008 WL 294271, at *4; see also Shoots, 325 F.R.D. at 279-80. Accordingly, the issues will be efficiently resolved for the parties and the Court.</w:t>
      </w:r>
      <w:r>
        <w:t xml:space="preserve">” </w:t>
      </w:r>
      <w:hyperlink r:id="rId1815" w:history="1">
        <w:r w:rsidRPr="0041276B">
          <w:rPr>
            <w:rStyle w:val="Hyperlink"/>
            <w:rFonts w:ascii="Times New Roman" w:hAnsi="Times New Roman"/>
            <w:sz w:val="24"/>
            <w:szCs w:val="24"/>
          </w:rPr>
          <w:t>https://casetext.com/case/adams-v-city-of-kan-city-1</w:t>
        </w:r>
      </w:hyperlink>
      <w:r w:rsidRPr="005D1860">
        <w:rPr>
          <w:rFonts w:ascii="Times New Roman" w:hAnsi="Times New Roman"/>
          <w:sz w:val="24"/>
          <w:szCs w:val="24"/>
        </w:rPr>
        <w:t xml:space="preserve">  </w:t>
      </w:r>
    </w:p>
    <w:p w14:paraId="4D772AC9" w14:textId="77777777" w:rsidR="003E0A22" w:rsidRPr="005C2B75" w:rsidRDefault="003E0A22" w:rsidP="003E0A22">
      <w:pPr>
        <w:pStyle w:val="NormalWeb"/>
      </w:pPr>
      <w:r w:rsidRPr="005C2B75">
        <w:rPr>
          <w:b/>
          <w:bCs/>
        </w:rPr>
        <w:t>Legal Lesson Learned:</w:t>
      </w:r>
      <w:r>
        <w:rPr>
          <w:b/>
          <w:bCs/>
        </w:rPr>
        <w:t xml:space="preserve"> Case will now proceed to trial.  See the Complaint: </w:t>
      </w:r>
      <w:hyperlink r:id="rId1816" w:history="1">
        <w:r w:rsidRPr="005C2B75">
          <w:rPr>
            <w:rStyle w:val="Hyperlink"/>
          </w:rPr>
          <w:t>http://www.firefighterovertime.org/wp-content/uploads/2021/04/KC-MO-FF-FLSA-Complaint-1.pdf</w:t>
        </w:r>
      </w:hyperlink>
      <w:r w:rsidRPr="005C2B75">
        <w:t xml:space="preserve"> </w:t>
      </w:r>
    </w:p>
    <w:p w14:paraId="6FB13DDA" w14:textId="77777777" w:rsidR="003E0A22" w:rsidRPr="005C2B75" w:rsidRDefault="003E0A22" w:rsidP="003E0A22">
      <w:pPr>
        <w:pStyle w:val="NormalWeb"/>
        <w:ind w:left="720"/>
      </w:pPr>
      <w:r>
        <w:t xml:space="preserve">Note: See this helpful U.S. Department of Labor, Wage &amp; Hour instructions on “regular rate of pay” (Dec. 2019): </w:t>
      </w:r>
      <w:hyperlink r:id="rId1817" w:history="1">
        <w:r w:rsidRPr="0094590E">
          <w:rPr>
            <w:rStyle w:val="Hyperlink"/>
          </w:rPr>
          <w:t>https://www.dol.gov/agencies/whd/fact-sheets/56a-regular-rate</w:t>
        </w:r>
      </w:hyperlink>
      <w:r>
        <w:t xml:space="preserve"> </w:t>
      </w:r>
    </w:p>
    <w:p w14:paraId="7D9ED66B" w14:textId="77777777" w:rsidR="003E0A22" w:rsidRDefault="003E0A22" w:rsidP="003E0A22">
      <w:pPr>
        <w:pStyle w:val="NormalWeb"/>
        <w:ind w:left="720"/>
        <w:rPr>
          <w:rFonts w:ascii="Arial" w:hAnsi="Arial" w:cs="Arial"/>
          <w:sz w:val="30"/>
          <w:szCs w:val="30"/>
        </w:rPr>
      </w:pPr>
      <w:r>
        <w:t xml:space="preserve">“Under the FLSA, the regular rate includes ‘all remuneration for employment paid to, or on behalf of, the employee.’ The FLSA (29 USC § 207(e)) provides an exhaustive list of types of payments that can be excluded from the regular rate of pay when calculating overtime compensation.  Unless specifically noted, payments that are excludable from the regular rate may not be credited towards overtime compensation due under the FLSA.  Additional information regarding exclusions from the regular rate may be found in the regulations, </w:t>
      </w:r>
      <w:hyperlink r:id="rId1818" w:anchor="sp29.3.778.c" w:tgtFrame="_blank" w:history="1">
        <w:r>
          <w:rPr>
            <w:rStyle w:val="Hyperlink"/>
          </w:rPr>
          <w:t>29 C.F.R. § 778</w:t>
        </w:r>
      </w:hyperlink>
      <w:r>
        <w:t>.200-.225.”</w:t>
      </w:r>
    </w:p>
    <w:p w14:paraId="6524F740" w14:textId="77777777" w:rsidR="003E0A22" w:rsidRDefault="003E0A22" w:rsidP="00F326E5">
      <w:pPr>
        <w:rPr>
          <w:rFonts w:ascii="Arial Black" w:hAnsi="Arial Black"/>
          <w:b/>
          <w:sz w:val="24"/>
          <w:szCs w:val="24"/>
        </w:rPr>
      </w:pPr>
    </w:p>
    <w:p w14:paraId="5642E57C" w14:textId="77777777" w:rsidR="003E0A22" w:rsidRDefault="003E0A22" w:rsidP="00F326E5">
      <w:pPr>
        <w:rPr>
          <w:rFonts w:ascii="Arial Black" w:hAnsi="Arial Black"/>
          <w:b/>
          <w:sz w:val="24"/>
          <w:szCs w:val="24"/>
        </w:rPr>
      </w:pPr>
    </w:p>
    <w:p w14:paraId="66993A39" w14:textId="18C10217" w:rsidR="00EB2493" w:rsidRDefault="00EB2493"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9</w:t>
      </w:r>
    </w:p>
    <w:p w14:paraId="01B977B2" w14:textId="77777777" w:rsidR="00EB2493" w:rsidRPr="002D1748" w:rsidRDefault="00EB2493" w:rsidP="00EB2493">
      <w:pPr>
        <w:pStyle w:val="Heading1"/>
        <w:rPr>
          <w:rFonts w:ascii="Arial Black" w:hAnsi="Arial Black"/>
          <w:sz w:val="28"/>
          <w:szCs w:val="28"/>
        </w:rPr>
      </w:pPr>
      <w:bookmarkStart w:id="386" w:name="_Hlk66948836"/>
      <w:r>
        <w:rPr>
          <w:rFonts w:ascii="Arial Black" w:hAnsi="Arial Black"/>
          <w:sz w:val="28"/>
          <w:szCs w:val="28"/>
        </w:rPr>
        <w:t>CA: $3.4M FLSA SETTLEMENT – FF CASH IF DON’T USE MEDICAL BENEFITS - “REGULAR RATE” PAY IMPACT</w:t>
      </w:r>
    </w:p>
    <w:p w14:paraId="29DB577E" w14:textId="1A1832F7" w:rsidR="00EB2493" w:rsidRDefault="00EB2493" w:rsidP="00EB2493">
      <w:pPr>
        <w:pStyle w:val="Heading1"/>
        <w:rPr>
          <w:b w:val="0"/>
          <w:bCs w:val="0"/>
          <w:sz w:val="24"/>
          <w:szCs w:val="24"/>
        </w:rPr>
      </w:pPr>
      <w:r>
        <w:rPr>
          <w:b w:val="0"/>
          <w:bCs w:val="0"/>
          <w:sz w:val="24"/>
          <w:szCs w:val="24"/>
        </w:rPr>
        <w:t xml:space="preserve">On Feb. 8, 2021, in </w:t>
      </w:r>
      <w:r w:rsidRPr="002D1748">
        <w:rPr>
          <w:b w:val="0"/>
          <w:bCs w:val="0"/>
          <w:sz w:val="24"/>
          <w:szCs w:val="24"/>
          <w:u w:val="single"/>
        </w:rPr>
        <w:t>Eric Kelley, et al. v. City of San Diego</w:t>
      </w:r>
      <w:r>
        <w:rPr>
          <w:b w:val="0"/>
          <w:bCs w:val="0"/>
          <w:sz w:val="24"/>
          <w:szCs w:val="24"/>
        </w:rPr>
        <w:t xml:space="preserve">, U.S. District Court Judge Gonzalo P. Curiel, U.S. District Court for Southern District of California, approved this settlement; if a firefighter’s spouse has medical coverage from the spouse’s employer, the City pay the firefighter “cash-in-lieu” of using City’s insurance.  </w:t>
      </w:r>
      <w:bookmarkEnd w:id="386"/>
      <w:r>
        <w:rPr>
          <w:b w:val="0"/>
          <w:bCs w:val="0"/>
          <w:sz w:val="24"/>
          <w:szCs w:val="24"/>
        </w:rPr>
        <w:t>In a 2016 decision by the U.S. Court of Appeals for the 9</w:t>
      </w:r>
      <w:r w:rsidRPr="002D1748">
        <w:rPr>
          <w:b w:val="0"/>
          <w:bCs w:val="0"/>
          <w:sz w:val="24"/>
          <w:szCs w:val="24"/>
          <w:vertAlign w:val="superscript"/>
        </w:rPr>
        <w:t>th</w:t>
      </w:r>
      <w:r>
        <w:rPr>
          <w:b w:val="0"/>
          <w:bCs w:val="0"/>
          <w:sz w:val="24"/>
          <w:szCs w:val="24"/>
        </w:rPr>
        <w:t xml:space="preserve"> Circuit, </w:t>
      </w:r>
      <w:r w:rsidRPr="002D1748">
        <w:rPr>
          <w:b w:val="0"/>
          <w:bCs w:val="0"/>
          <w:i/>
          <w:iCs/>
          <w:sz w:val="24"/>
          <w:szCs w:val="24"/>
        </w:rPr>
        <w:t>Flores v</w:t>
      </w:r>
      <w:r w:rsidRPr="002D1748">
        <w:rPr>
          <w:b w:val="0"/>
          <w:bCs w:val="0"/>
          <w:sz w:val="24"/>
          <w:szCs w:val="24"/>
        </w:rPr>
        <w:t xml:space="preserve">. </w:t>
      </w:r>
      <w:r w:rsidRPr="002D1748">
        <w:rPr>
          <w:b w:val="0"/>
          <w:bCs w:val="0"/>
          <w:i/>
          <w:iCs/>
          <w:sz w:val="24"/>
          <w:szCs w:val="24"/>
        </w:rPr>
        <w:t>City of San Gabriel</w:t>
      </w:r>
      <w:r w:rsidRPr="002D1748">
        <w:rPr>
          <w:b w:val="0"/>
          <w:bCs w:val="0"/>
          <w:sz w:val="24"/>
          <w:szCs w:val="24"/>
        </w:rPr>
        <w:t>, 824 F.3d 890, 895 (9th Cir. 2016)</w:t>
      </w:r>
      <w:r>
        <w:rPr>
          <w:b w:val="0"/>
          <w:bCs w:val="0"/>
          <w:sz w:val="24"/>
          <w:szCs w:val="24"/>
        </w:rPr>
        <w:t>, the City of San Gabriel provided a “Flexible Benefit Plan” where a designated monetary amount was furnished to each employee for purchase of medical, vision and dental benefits.  Employees could decline the purchase of medical benefits on proof of alternate coverage, such as spouse’s medical coverage.  9</w:t>
      </w:r>
      <w:r w:rsidRPr="00A47DED">
        <w:rPr>
          <w:b w:val="0"/>
          <w:bCs w:val="0"/>
          <w:sz w:val="24"/>
          <w:szCs w:val="24"/>
          <w:vertAlign w:val="superscript"/>
        </w:rPr>
        <w:t>th</w:t>
      </w:r>
      <w:r>
        <w:rPr>
          <w:b w:val="0"/>
          <w:bCs w:val="0"/>
          <w:sz w:val="24"/>
          <w:szCs w:val="24"/>
        </w:rPr>
        <w:t xml:space="preserve"> Circuit held that these guaranteed cash payments (42% - 47%; over $1,000 per month) must be treated like other guaranteed employee payments [such as annual Medic bonuses] to increase the “regular rate” of pay when calculating overtime pay. </w:t>
      </w:r>
    </w:p>
    <w:p w14:paraId="5EB839D7" w14:textId="77777777" w:rsidR="00EB2493" w:rsidRDefault="00EB2493" w:rsidP="00EB2493">
      <w:pPr>
        <w:pStyle w:val="Heading1"/>
        <w:ind w:left="720"/>
        <w:rPr>
          <w:b w:val="0"/>
          <w:bCs w:val="0"/>
          <w:sz w:val="24"/>
          <w:szCs w:val="24"/>
        </w:rPr>
      </w:pPr>
      <w:r>
        <w:rPr>
          <w:b w:val="0"/>
          <w:bCs w:val="0"/>
          <w:sz w:val="24"/>
          <w:szCs w:val="24"/>
        </w:rPr>
        <w:t>“</w:t>
      </w:r>
      <w:r w:rsidRPr="002D1748">
        <w:rPr>
          <w:b w:val="0"/>
          <w:bCs w:val="0"/>
          <w:sz w:val="24"/>
          <w:szCs w:val="24"/>
        </w:rPr>
        <w:t>The Parties now move for the Court to approve the Settlement Agreement, which provides that the City will pay a total sum of $3,400,000, comprised of three elements: A payment of back overtime of $1,575,000, liquidated damages of $1,575,000, and a payment by the City of $250,000 towards Plaintiffs' attorney's fees and litigation costs.</w:t>
      </w:r>
    </w:p>
    <w:p w14:paraId="5C8FC85E" w14:textId="77777777" w:rsidR="00EB2493" w:rsidRDefault="00EB2493" w:rsidP="00EB2493">
      <w:pPr>
        <w:pStyle w:val="Heading1"/>
        <w:ind w:left="720"/>
        <w:rPr>
          <w:b w:val="0"/>
          <w:bCs w:val="0"/>
          <w:sz w:val="24"/>
          <w:szCs w:val="24"/>
        </w:rPr>
      </w:pPr>
      <w:r>
        <w:rPr>
          <w:b w:val="0"/>
          <w:bCs w:val="0"/>
          <w:sz w:val="24"/>
          <w:szCs w:val="24"/>
        </w:rPr>
        <w:t>***</w:t>
      </w:r>
    </w:p>
    <w:p w14:paraId="5DD2F979" w14:textId="1306A122" w:rsidR="00EB2493" w:rsidRPr="00EB2493" w:rsidRDefault="00EB2493" w:rsidP="00EB2493">
      <w:pPr>
        <w:rPr>
          <w:rFonts w:ascii="Times New Roman" w:hAnsi="Times New Roman"/>
          <w:b/>
          <w:sz w:val="24"/>
          <w:szCs w:val="24"/>
        </w:rPr>
      </w:pPr>
      <w:r w:rsidRPr="00EB2493">
        <w:rPr>
          <w:rFonts w:ascii="Times New Roman" w:hAnsi="Times New Roman"/>
          <w:sz w:val="24"/>
          <w:szCs w:val="24"/>
        </w:rPr>
        <w:t xml:space="preserve">This case involves a wage-and-hour class action, wherein Plaintiffs are non-exempt City of San Diego employees of the City' Fire Department who argue that they are entitled to overtime compensation under the Fair Labor Standards Act ("FLSA"), 29 U.S.C. § 201, </w:t>
      </w:r>
      <w:r w:rsidRPr="00EB2493">
        <w:rPr>
          <w:rFonts w:ascii="Times New Roman" w:hAnsi="Times New Roman"/>
          <w:i/>
          <w:iCs/>
          <w:sz w:val="24"/>
          <w:szCs w:val="24"/>
        </w:rPr>
        <w:t>et seq</w:t>
      </w:r>
      <w:r w:rsidRPr="00EB2493">
        <w:rPr>
          <w:rFonts w:ascii="Times New Roman" w:hAnsi="Times New Roman"/>
          <w:sz w:val="24"/>
          <w:szCs w:val="24"/>
        </w:rPr>
        <w:t xml:space="preserve">. and seek unpaid overtime compensation, liquidated damages, and reasonable attorney's fees on the basis of the Ninth Circuit decision </w:t>
      </w:r>
      <w:r w:rsidRPr="00EB2493">
        <w:rPr>
          <w:rFonts w:ascii="Times New Roman" w:hAnsi="Times New Roman"/>
          <w:i/>
          <w:iCs/>
          <w:sz w:val="24"/>
          <w:szCs w:val="24"/>
        </w:rPr>
        <w:t>Flores v</w:t>
      </w:r>
      <w:r w:rsidRPr="00EB2493">
        <w:rPr>
          <w:rFonts w:ascii="Times New Roman" w:hAnsi="Times New Roman"/>
          <w:sz w:val="24"/>
          <w:szCs w:val="24"/>
        </w:rPr>
        <w:t xml:space="preserve">. </w:t>
      </w:r>
      <w:r w:rsidRPr="00EB2493">
        <w:rPr>
          <w:rFonts w:ascii="Times New Roman" w:hAnsi="Times New Roman"/>
          <w:i/>
          <w:iCs/>
          <w:sz w:val="24"/>
          <w:szCs w:val="24"/>
        </w:rPr>
        <w:t>City of San Gabriel</w:t>
      </w:r>
      <w:r w:rsidRPr="00EB2493">
        <w:rPr>
          <w:rFonts w:ascii="Times New Roman" w:hAnsi="Times New Roman"/>
          <w:sz w:val="24"/>
          <w:szCs w:val="24"/>
        </w:rPr>
        <w:t xml:space="preserve">, 824 F.3d 890, 895 (9th Cir. 2016). </w:t>
      </w:r>
      <w:r w:rsidRPr="00EB2493">
        <w:rPr>
          <w:rFonts w:ascii="Times New Roman" w:hAnsi="Times New Roman"/>
          <w:i/>
          <w:iCs/>
          <w:sz w:val="24"/>
          <w:szCs w:val="24"/>
        </w:rPr>
        <w:t>Flores</w:t>
      </w:r>
      <w:r w:rsidRPr="00EB2493">
        <w:rPr>
          <w:rFonts w:ascii="Times New Roman" w:hAnsi="Times New Roman"/>
          <w:sz w:val="24"/>
          <w:szCs w:val="24"/>
        </w:rPr>
        <w:t xml:space="preserve"> held that employees who did not spend the whole of their allocated flex benefit plan dollars received the unused portions as cash, sometimes referred to as ‘cash-in-lieu’ (‘CIL’) payments, and that the employee's CIL payments must be included in the calculation of the regular rate of pay for overtime payments under FLSA. </w:t>
      </w:r>
      <w:r w:rsidRPr="00EB2493">
        <w:rPr>
          <w:rFonts w:ascii="Times New Roman" w:hAnsi="Times New Roman"/>
          <w:i/>
          <w:iCs/>
          <w:sz w:val="24"/>
          <w:szCs w:val="24"/>
        </w:rPr>
        <w:t>Flores</w:t>
      </w:r>
      <w:r w:rsidRPr="00EB2493">
        <w:rPr>
          <w:rFonts w:ascii="Times New Roman" w:hAnsi="Times New Roman"/>
          <w:sz w:val="24"/>
          <w:szCs w:val="24"/>
        </w:rPr>
        <w:t xml:space="preserve">, 824 F.3d at 901-02. </w:t>
      </w:r>
      <w:r w:rsidRPr="00EB2493">
        <w:rPr>
          <w:rFonts w:ascii="Times New Roman" w:hAnsi="Times New Roman"/>
          <w:i/>
          <w:iCs/>
          <w:sz w:val="24"/>
          <w:szCs w:val="24"/>
        </w:rPr>
        <w:t>Flores</w:t>
      </w:r>
      <w:r w:rsidRPr="00EB2493">
        <w:rPr>
          <w:rFonts w:ascii="Times New Roman" w:hAnsi="Times New Roman"/>
          <w:sz w:val="24"/>
          <w:szCs w:val="24"/>
        </w:rPr>
        <w:t xml:space="preserve"> additionally held that the total value of flex benefit dollars provided by the flexible benefits plan ("FBP") became eligible for inclusion in the regular rate of pay when calculating overtime payments under FLSA because it was not a ‘bona fide’ plan. </w:t>
      </w:r>
      <w:r w:rsidRPr="00EB2493">
        <w:rPr>
          <w:rFonts w:ascii="Times New Roman" w:hAnsi="Times New Roman"/>
          <w:i/>
          <w:iCs/>
          <w:sz w:val="24"/>
          <w:szCs w:val="24"/>
        </w:rPr>
        <w:t>Id</w:t>
      </w:r>
      <w:r w:rsidRPr="00EB2493">
        <w:rPr>
          <w:rFonts w:ascii="Times New Roman" w:hAnsi="Times New Roman"/>
          <w:sz w:val="24"/>
          <w:szCs w:val="24"/>
        </w:rPr>
        <w:t xml:space="preserve">. at 903.”  </w:t>
      </w:r>
      <w:bookmarkStart w:id="387" w:name="_Hlk66948897"/>
      <w:r w:rsidR="00F00958">
        <w:fldChar w:fldCharType="begin"/>
      </w:r>
      <w:r w:rsidR="00F00958">
        <w:instrText xml:space="preserve"> HYPERLINK "https://casetext.com/case/kelley-v-city-of-san-diego" </w:instrText>
      </w:r>
      <w:r w:rsidR="00F00958">
        <w:fldChar w:fldCharType="separate"/>
      </w:r>
      <w:r w:rsidRPr="00EB2493">
        <w:rPr>
          <w:rStyle w:val="Hyperlink"/>
          <w:rFonts w:ascii="Times New Roman" w:hAnsi="Times New Roman"/>
          <w:sz w:val="24"/>
          <w:szCs w:val="24"/>
        </w:rPr>
        <w:t>https://casetext.com/case/kelley-v-city-of-san-diego</w:t>
      </w:r>
      <w:r w:rsidR="00F00958">
        <w:rPr>
          <w:rStyle w:val="Hyperlink"/>
          <w:rFonts w:ascii="Times New Roman" w:hAnsi="Times New Roman"/>
          <w:sz w:val="24"/>
          <w:szCs w:val="24"/>
        </w:rPr>
        <w:fldChar w:fldCharType="end"/>
      </w:r>
    </w:p>
    <w:p w14:paraId="1F514879" w14:textId="77777777" w:rsidR="00EB2493" w:rsidRDefault="00EB2493" w:rsidP="00EB2493">
      <w:pPr>
        <w:spacing w:before="100" w:beforeAutospacing="1" w:after="100" w:afterAutospacing="1" w:line="240" w:lineRule="auto"/>
        <w:rPr>
          <w:rFonts w:ascii="Times New Roman" w:hAnsi="Times New Roman"/>
          <w:b/>
          <w:bCs/>
          <w:sz w:val="24"/>
          <w:szCs w:val="24"/>
        </w:rPr>
      </w:pPr>
      <w:r w:rsidRPr="00A47DED">
        <w:rPr>
          <w:rFonts w:ascii="Times New Roman" w:hAnsi="Times New Roman"/>
          <w:b/>
          <w:bCs/>
          <w:sz w:val="24"/>
          <w:szCs w:val="24"/>
        </w:rPr>
        <w:t>Legal Lesson Learned:</w:t>
      </w:r>
      <w:r>
        <w:rPr>
          <w:rFonts w:ascii="Times New Roman" w:hAnsi="Times New Roman"/>
          <w:b/>
          <w:bCs/>
          <w:sz w:val="24"/>
          <w:szCs w:val="24"/>
        </w:rPr>
        <w:t xml:space="preserve"> If your FD pays “cash-in-lieu” payments for unused medical or other benefits, consult with Legal Counsel and U.S. Department of Labor on its impact on the “regular rate” of pay for your personnel. </w:t>
      </w:r>
    </w:p>
    <w:p w14:paraId="0C56096D" w14:textId="77777777" w:rsidR="00EB2493" w:rsidRPr="00451D4E" w:rsidRDefault="00EB2493" w:rsidP="00EB2493">
      <w:pPr>
        <w:ind w:left="720"/>
        <w:rPr>
          <w:rFonts w:ascii="Times New Roman" w:eastAsia="Times New Roman" w:hAnsi="Times New Roman"/>
          <w:sz w:val="24"/>
          <w:szCs w:val="24"/>
        </w:rPr>
      </w:pPr>
      <w:r>
        <w:rPr>
          <w:rFonts w:ascii="Times New Roman" w:hAnsi="Times New Roman"/>
          <w:sz w:val="24"/>
          <w:szCs w:val="24"/>
        </w:rPr>
        <w:t xml:space="preserve">Note:  See U.S. Department of Labor revised regulations.  29 CFR </w:t>
      </w:r>
      <w:r w:rsidRPr="00451D4E">
        <w:rPr>
          <w:rFonts w:ascii="Times New Roman" w:eastAsia="Times New Roman" w:hAnsi="Times New Roman"/>
          <w:sz w:val="24"/>
          <w:szCs w:val="24"/>
        </w:rPr>
        <w:t>§ 778.215</w:t>
      </w:r>
      <w:r>
        <w:rPr>
          <w:rFonts w:ascii="Times New Roman" w:eastAsia="Times New Roman" w:hAnsi="Times New Roman"/>
          <w:sz w:val="24"/>
          <w:szCs w:val="24"/>
        </w:rPr>
        <w:t>,</w:t>
      </w:r>
      <w:r w:rsidRPr="00451D4E">
        <w:rPr>
          <w:rFonts w:ascii="Times New Roman" w:eastAsia="Times New Roman" w:hAnsi="Times New Roman"/>
          <w:sz w:val="24"/>
          <w:szCs w:val="24"/>
        </w:rPr>
        <w:t xml:space="preserve"> Conditions for exclusion of benefit-plan contributions under section 7(e)(4).</w:t>
      </w:r>
      <w:r>
        <w:rPr>
          <w:rFonts w:ascii="Times New Roman" w:eastAsia="Times New Roman" w:hAnsi="Times New Roman"/>
          <w:sz w:val="24"/>
          <w:szCs w:val="24"/>
        </w:rPr>
        <w:t xml:space="preserve"> </w:t>
      </w:r>
      <w:hyperlink r:id="rId1819" w:history="1">
        <w:r w:rsidRPr="00FE7279">
          <w:rPr>
            <w:rStyle w:val="Hyperlink"/>
            <w:rFonts w:ascii="Times New Roman" w:eastAsia="Times New Roman" w:hAnsi="Times New Roman"/>
            <w:sz w:val="24"/>
            <w:szCs w:val="24"/>
          </w:rPr>
          <w:t>https://www.law.cornell.edu/cfr/text/29/778.215</w:t>
        </w:r>
      </w:hyperlink>
      <w:r>
        <w:rPr>
          <w:rFonts w:ascii="Times New Roman" w:eastAsia="Times New Roman" w:hAnsi="Times New Roman"/>
          <w:sz w:val="24"/>
          <w:szCs w:val="24"/>
        </w:rPr>
        <w:t xml:space="preserve"> </w:t>
      </w:r>
      <w:r w:rsidRPr="00451D4E">
        <w:rPr>
          <w:rFonts w:ascii="Times New Roman" w:eastAsia="Times New Roman" w:hAnsi="Times New Roman"/>
          <w:sz w:val="24"/>
          <w:szCs w:val="24"/>
        </w:rPr>
        <w:t xml:space="preserve"> </w:t>
      </w:r>
    </w:p>
    <w:bookmarkEnd w:id="387"/>
    <w:p w14:paraId="5BB4484D" w14:textId="77777777" w:rsidR="00EB2493" w:rsidRPr="00451D4E"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See Aug. 11, </w:t>
      </w:r>
      <w:proofErr w:type="gramStart"/>
      <w:r>
        <w:rPr>
          <w:rFonts w:ascii="Times New Roman" w:hAnsi="Times New Roman"/>
          <w:sz w:val="24"/>
          <w:szCs w:val="24"/>
        </w:rPr>
        <w:t>2016</w:t>
      </w:r>
      <w:proofErr w:type="gramEnd"/>
      <w:r>
        <w:rPr>
          <w:rFonts w:ascii="Times New Roman" w:hAnsi="Times New Roman"/>
          <w:sz w:val="24"/>
          <w:szCs w:val="24"/>
        </w:rPr>
        <w:t xml:space="preserve"> article from California law firm about </w:t>
      </w:r>
      <w:r w:rsidRPr="00451D4E">
        <w:rPr>
          <w:rFonts w:ascii="Times New Roman" w:hAnsi="Times New Roman"/>
          <w:i/>
          <w:iCs/>
          <w:sz w:val="24"/>
          <w:szCs w:val="24"/>
        </w:rPr>
        <w:t xml:space="preserve">Flores </w:t>
      </w:r>
      <w:r>
        <w:rPr>
          <w:rFonts w:ascii="Times New Roman" w:hAnsi="Times New Roman"/>
          <w:sz w:val="24"/>
          <w:szCs w:val="24"/>
        </w:rPr>
        <w:t xml:space="preserve">decision. </w:t>
      </w:r>
      <w:hyperlink r:id="rId1820" w:history="1">
        <w:r w:rsidRPr="00FE7279">
          <w:rPr>
            <w:rStyle w:val="Hyperlink"/>
            <w:rFonts w:ascii="Times New Roman" w:hAnsi="Times New Roman"/>
            <w:sz w:val="24"/>
            <w:szCs w:val="24"/>
          </w:rPr>
          <w:t>https://www.lcwlegal.com/news/cash-in-lieu-must-be-included-in-the-regular-rate-for-overtime-purposes-under-the-flsa-4</w:t>
        </w:r>
      </w:hyperlink>
      <w:r>
        <w:rPr>
          <w:rFonts w:ascii="Times New Roman" w:hAnsi="Times New Roman"/>
          <w:sz w:val="24"/>
          <w:szCs w:val="24"/>
        </w:rPr>
        <w:t xml:space="preserve"> </w:t>
      </w:r>
    </w:p>
    <w:p w14:paraId="13444602" w14:textId="77777777" w:rsidR="00EB2493" w:rsidRDefault="00EB2493" w:rsidP="00F326E5">
      <w:pPr>
        <w:rPr>
          <w:rFonts w:ascii="Arial Black" w:hAnsi="Arial Black"/>
          <w:b/>
          <w:sz w:val="24"/>
          <w:szCs w:val="24"/>
        </w:rPr>
      </w:pPr>
    </w:p>
    <w:p w14:paraId="2066E36F" w14:textId="77777777" w:rsidR="00EB2493" w:rsidRDefault="00EB2493" w:rsidP="00F326E5">
      <w:pPr>
        <w:rPr>
          <w:rFonts w:ascii="Arial Black" w:hAnsi="Arial Black"/>
          <w:b/>
          <w:sz w:val="24"/>
          <w:szCs w:val="24"/>
        </w:rPr>
      </w:pPr>
    </w:p>
    <w:p w14:paraId="690D20CC" w14:textId="3DDACDD2" w:rsidR="007F3C7D" w:rsidRDefault="007F3C7D"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8</w:t>
      </w:r>
    </w:p>
    <w:p w14:paraId="59CFBF11" w14:textId="77777777" w:rsidR="007F3C7D" w:rsidRPr="006C3119" w:rsidRDefault="007F3C7D" w:rsidP="007F3C7D">
      <w:pPr>
        <w:spacing w:before="100" w:beforeAutospacing="1" w:after="100" w:afterAutospacing="1" w:line="240" w:lineRule="auto"/>
        <w:rPr>
          <w:rFonts w:ascii="Arial Black" w:hAnsi="Arial Black"/>
          <w:sz w:val="28"/>
          <w:szCs w:val="28"/>
        </w:rPr>
      </w:pPr>
      <w:r>
        <w:rPr>
          <w:rFonts w:ascii="Arial Black" w:hAnsi="Arial Black"/>
          <w:sz w:val="28"/>
          <w:szCs w:val="28"/>
        </w:rPr>
        <w:t>NY: FDNY VEHICLE MAINTENANCE EMPLOYEES - CLAIM NOT PAID WORKING PRE-SHIFT OR LUNCH PERIOD – CASE TO TRIAL</w:t>
      </w:r>
    </w:p>
    <w:p w14:paraId="11E1DBC0" w14:textId="77777777" w:rsidR="007F3C7D" w:rsidRDefault="007F3C7D" w:rsidP="007F3C7D">
      <w:pPr>
        <w:rPr>
          <w:rFonts w:ascii="Times New Roman" w:hAnsi="Times New Roman"/>
          <w:sz w:val="24"/>
          <w:szCs w:val="24"/>
        </w:rPr>
      </w:pPr>
      <w:r w:rsidRPr="006C3119">
        <w:rPr>
          <w:rFonts w:ascii="Times New Roman" w:hAnsi="Times New Roman"/>
          <w:sz w:val="24"/>
          <w:szCs w:val="24"/>
        </w:rPr>
        <w:t xml:space="preserve">On </w:t>
      </w:r>
      <w:r>
        <w:rPr>
          <w:rFonts w:ascii="Times New Roman" w:hAnsi="Times New Roman"/>
          <w:sz w:val="24"/>
          <w:szCs w:val="24"/>
        </w:rPr>
        <w:t xml:space="preserve">Jan. 8, 2021, in </w:t>
      </w:r>
      <w:r w:rsidRPr="006C3119">
        <w:rPr>
          <w:rFonts w:ascii="Times New Roman" w:hAnsi="Times New Roman"/>
          <w:sz w:val="24"/>
          <w:szCs w:val="24"/>
          <w:u w:val="single"/>
        </w:rPr>
        <w:t>Christopher Viera, et al. v. City of New York</w:t>
      </w:r>
      <w:r>
        <w:rPr>
          <w:rFonts w:ascii="Times New Roman" w:hAnsi="Times New Roman"/>
          <w:sz w:val="24"/>
          <w:szCs w:val="24"/>
        </w:rPr>
        <w:t xml:space="preserve">, U.S. Magistrate Judge Stewart D. Aaron, U.S. District Court, Southern District of New York, held that neither the Plaintiffs, nor the </w:t>
      </w:r>
      <w:proofErr w:type="gramStart"/>
      <w:r>
        <w:rPr>
          <w:rFonts w:ascii="Times New Roman" w:hAnsi="Times New Roman"/>
          <w:sz w:val="24"/>
          <w:szCs w:val="24"/>
        </w:rPr>
        <w:t>City</w:t>
      </w:r>
      <w:proofErr w:type="gramEnd"/>
      <w:r>
        <w:rPr>
          <w:rFonts w:ascii="Times New Roman" w:hAnsi="Times New Roman"/>
          <w:sz w:val="24"/>
          <w:szCs w:val="24"/>
        </w:rPr>
        <w:t xml:space="preserve"> are entitled to summary judgment.  While there is an established process for employees to submit overtime hours into “Citytime” computer system, the employees claim that they often must start work early to locate and move vehicles, and also do work during their 30-minute lunch breaks, and that their Supervisors have directed them to not submit overtime unless it was “pre-approve.” </w:t>
      </w:r>
    </w:p>
    <w:p w14:paraId="20B80FCC" w14:textId="77777777" w:rsidR="007F3C7D" w:rsidRDefault="007F3C7D" w:rsidP="007F3C7D">
      <w:pPr>
        <w:ind w:left="720"/>
        <w:rPr>
          <w:rFonts w:ascii="Times New Roman" w:hAnsi="Times New Roman"/>
          <w:sz w:val="24"/>
          <w:szCs w:val="24"/>
        </w:rPr>
      </w:pPr>
      <w:r>
        <w:rPr>
          <w:rFonts w:ascii="Times New Roman" w:hAnsi="Times New Roman"/>
          <w:sz w:val="24"/>
          <w:szCs w:val="24"/>
        </w:rPr>
        <w:t>“</w:t>
      </w:r>
      <w:r w:rsidRPr="003503A8">
        <w:rPr>
          <w:rFonts w:ascii="Times New Roman" w:hAnsi="Times New Roman"/>
          <w:sz w:val="24"/>
          <w:szCs w:val="24"/>
        </w:rPr>
        <w:t xml:space="preserve">The </w:t>
      </w:r>
      <w:proofErr w:type="gramStart"/>
      <w:r w:rsidRPr="003503A8">
        <w:rPr>
          <w:rFonts w:ascii="Times New Roman" w:hAnsi="Times New Roman"/>
          <w:sz w:val="24"/>
          <w:szCs w:val="24"/>
        </w:rPr>
        <w:t>City</w:t>
      </w:r>
      <w:proofErr w:type="gramEnd"/>
      <w:r w:rsidRPr="003503A8">
        <w:rPr>
          <w:rFonts w:ascii="Times New Roman" w:hAnsi="Times New Roman"/>
          <w:sz w:val="24"/>
          <w:szCs w:val="24"/>
        </w:rPr>
        <w:t xml:space="preserve"> submits an expert declaration asserting that over 94% of the overtime requests that Plaintiffs submitted in </w:t>
      </w:r>
      <w:proofErr w:type="spellStart"/>
      <w:r w:rsidRPr="003503A8">
        <w:rPr>
          <w:rFonts w:ascii="Times New Roman" w:hAnsi="Times New Roman"/>
          <w:sz w:val="24"/>
          <w:szCs w:val="24"/>
        </w:rPr>
        <w:t>CityTime</w:t>
      </w:r>
      <w:proofErr w:type="spellEnd"/>
      <w:r w:rsidRPr="003503A8">
        <w:rPr>
          <w:rFonts w:ascii="Times New Roman" w:hAnsi="Times New Roman"/>
          <w:sz w:val="24"/>
          <w:szCs w:val="24"/>
        </w:rPr>
        <w:t xml:space="preserve"> during the relevant </w:t>
      </w:r>
      <w:proofErr w:type="gramStart"/>
      <w:r w:rsidRPr="003503A8">
        <w:rPr>
          <w:rFonts w:ascii="Times New Roman" w:hAnsi="Times New Roman"/>
          <w:sz w:val="24"/>
          <w:szCs w:val="24"/>
        </w:rPr>
        <w:t>time period</w:t>
      </w:r>
      <w:proofErr w:type="gramEnd"/>
      <w:r w:rsidRPr="003503A8">
        <w:rPr>
          <w:rFonts w:ascii="Times New Roman" w:hAnsi="Times New Roman"/>
          <w:sz w:val="24"/>
          <w:szCs w:val="24"/>
        </w:rPr>
        <w:t xml:space="preserve"> were approved.</w:t>
      </w:r>
    </w:p>
    <w:p w14:paraId="5042BDAE" w14:textId="77777777" w:rsidR="007F3C7D" w:rsidRDefault="007F3C7D" w:rsidP="007F3C7D">
      <w:pPr>
        <w:ind w:left="720"/>
        <w:rPr>
          <w:rFonts w:ascii="Times New Roman" w:hAnsi="Times New Roman"/>
          <w:sz w:val="24"/>
          <w:szCs w:val="24"/>
        </w:rPr>
      </w:pPr>
    </w:p>
    <w:p w14:paraId="2B739B5F" w14:textId="77777777" w:rsidR="007F3C7D" w:rsidRDefault="007F3C7D" w:rsidP="007F3C7D">
      <w:pPr>
        <w:ind w:left="720"/>
        <w:rPr>
          <w:rFonts w:ascii="Times New Roman" w:hAnsi="Times New Roman"/>
          <w:sz w:val="24"/>
          <w:szCs w:val="24"/>
        </w:rPr>
      </w:pPr>
      <w:r>
        <w:rPr>
          <w:rFonts w:ascii="Times New Roman" w:hAnsi="Times New Roman"/>
          <w:sz w:val="24"/>
          <w:szCs w:val="24"/>
        </w:rPr>
        <w:t>***</w:t>
      </w:r>
    </w:p>
    <w:p w14:paraId="0D1C5937" w14:textId="77777777" w:rsidR="007F3C7D" w:rsidRDefault="007F3C7D" w:rsidP="007F3C7D">
      <w:pPr>
        <w:ind w:left="720"/>
        <w:rPr>
          <w:rFonts w:ascii="Times New Roman" w:hAnsi="Times New Roman"/>
          <w:sz w:val="24"/>
          <w:szCs w:val="24"/>
        </w:rPr>
      </w:pPr>
      <w:r w:rsidRPr="000020A0">
        <w:rPr>
          <w:rFonts w:ascii="Times New Roman" w:hAnsi="Times New Roman"/>
          <w:sz w:val="24"/>
          <w:szCs w:val="24"/>
        </w:rPr>
        <w:t xml:space="preserve">For its part, Defendant argues that it is entitled to summary judgment on Count I because </w:t>
      </w:r>
      <w:r>
        <w:rPr>
          <w:rFonts w:ascii="Times New Roman" w:hAnsi="Times New Roman"/>
          <w:sz w:val="24"/>
          <w:szCs w:val="24"/>
        </w:rPr>
        <w:t>‘</w:t>
      </w:r>
      <w:r w:rsidRPr="000020A0">
        <w:rPr>
          <w:rFonts w:ascii="Times New Roman" w:hAnsi="Times New Roman"/>
          <w:sz w:val="24"/>
          <w:szCs w:val="24"/>
        </w:rPr>
        <w:t>it is undisputed that the allegedly uncompensated work time at issue in this case was not reported to the City through its timekeeping system, and therefore, the City did not have the requisite knowledge to establish liability.</w:t>
      </w:r>
      <w:r>
        <w:rPr>
          <w:rFonts w:ascii="Times New Roman" w:hAnsi="Times New Roman"/>
          <w:sz w:val="24"/>
          <w:szCs w:val="24"/>
        </w:rPr>
        <w:t>’</w:t>
      </w:r>
      <w:r w:rsidRPr="000020A0">
        <w:rPr>
          <w:rFonts w:ascii="Times New Roman" w:hAnsi="Times New Roman"/>
          <w:sz w:val="24"/>
          <w:szCs w:val="24"/>
        </w:rPr>
        <w:t xml:space="preserve"> (</w:t>
      </w:r>
      <w:proofErr w:type="spellStart"/>
      <w:r w:rsidRPr="000020A0">
        <w:rPr>
          <w:rFonts w:ascii="Times New Roman" w:hAnsi="Times New Roman"/>
          <w:sz w:val="24"/>
          <w:szCs w:val="24"/>
        </w:rPr>
        <w:t>Def.'s</w:t>
      </w:r>
      <w:proofErr w:type="spellEnd"/>
      <w:r w:rsidRPr="000020A0">
        <w:rPr>
          <w:rFonts w:ascii="Times New Roman" w:hAnsi="Times New Roman"/>
          <w:sz w:val="24"/>
          <w:szCs w:val="24"/>
        </w:rPr>
        <w:t xml:space="preserve"> Mem. at 4.) </w:t>
      </w:r>
      <w:r>
        <w:rPr>
          <w:rFonts w:ascii="Times New Roman" w:hAnsi="Times New Roman"/>
          <w:sz w:val="24"/>
          <w:szCs w:val="24"/>
        </w:rPr>
        <w:t>‘</w:t>
      </w:r>
      <w:r w:rsidRPr="000020A0">
        <w:rPr>
          <w:rFonts w:ascii="Times New Roman" w:hAnsi="Times New Roman"/>
          <w:sz w:val="24"/>
          <w:szCs w:val="24"/>
        </w:rPr>
        <w:t xml:space="preserve">The </w:t>
      </w:r>
      <w:proofErr w:type="gramStart"/>
      <w:r w:rsidRPr="000020A0">
        <w:rPr>
          <w:rFonts w:ascii="Times New Roman" w:hAnsi="Times New Roman"/>
          <w:sz w:val="24"/>
          <w:szCs w:val="24"/>
        </w:rPr>
        <w:t>City</w:t>
      </w:r>
      <w:proofErr w:type="gramEnd"/>
      <w:r w:rsidRPr="000020A0">
        <w:rPr>
          <w:rFonts w:ascii="Times New Roman" w:hAnsi="Times New Roman"/>
          <w:sz w:val="24"/>
          <w:szCs w:val="24"/>
        </w:rPr>
        <w:t xml:space="preserve"> has made this [same] argument repeatedly in FLSA overtime litigation in this District and it has been unanimously rejected.</w:t>
      </w:r>
      <w:r>
        <w:rPr>
          <w:rFonts w:ascii="Times New Roman" w:hAnsi="Times New Roman"/>
          <w:sz w:val="24"/>
          <w:szCs w:val="24"/>
        </w:rPr>
        <w:t>’</w:t>
      </w:r>
      <w:r w:rsidRPr="000020A0">
        <w:rPr>
          <w:rFonts w:ascii="Times New Roman" w:hAnsi="Times New Roman"/>
          <w:sz w:val="24"/>
          <w:szCs w:val="24"/>
        </w:rPr>
        <w:t xml:space="preserve"> </w:t>
      </w:r>
      <w:proofErr w:type="spellStart"/>
      <w:r w:rsidRPr="000020A0">
        <w:rPr>
          <w:rFonts w:ascii="Times New Roman" w:hAnsi="Times New Roman"/>
          <w:i/>
          <w:iCs/>
          <w:sz w:val="24"/>
          <w:szCs w:val="24"/>
        </w:rPr>
        <w:t>Lawtone</w:t>
      </w:r>
      <w:proofErr w:type="spellEnd"/>
      <w:r w:rsidRPr="000020A0">
        <w:rPr>
          <w:rFonts w:ascii="Times New Roman" w:hAnsi="Times New Roman"/>
          <w:i/>
          <w:iCs/>
          <w:sz w:val="24"/>
          <w:szCs w:val="24"/>
        </w:rPr>
        <w:t>-Bowles</w:t>
      </w:r>
      <w:r w:rsidRPr="000020A0">
        <w:rPr>
          <w:rFonts w:ascii="Times New Roman" w:hAnsi="Times New Roman"/>
          <w:sz w:val="24"/>
          <w:szCs w:val="24"/>
        </w:rPr>
        <w:t xml:space="preserve">, 2020 WL 2833366, at *4. Here, as in </w:t>
      </w:r>
      <w:proofErr w:type="spellStart"/>
      <w:r w:rsidRPr="000020A0">
        <w:rPr>
          <w:rFonts w:ascii="Times New Roman" w:hAnsi="Times New Roman"/>
          <w:i/>
          <w:iCs/>
          <w:sz w:val="24"/>
          <w:szCs w:val="24"/>
        </w:rPr>
        <w:t>Lawtone</w:t>
      </w:r>
      <w:proofErr w:type="spellEnd"/>
      <w:r w:rsidRPr="000020A0">
        <w:rPr>
          <w:rFonts w:ascii="Times New Roman" w:hAnsi="Times New Roman"/>
          <w:i/>
          <w:iCs/>
          <w:sz w:val="24"/>
          <w:szCs w:val="24"/>
        </w:rPr>
        <w:t>-Bowles</w:t>
      </w:r>
      <w:r w:rsidRPr="000020A0">
        <w:rPr>
          <w:rFonts w:ascii="Times New Roman" w:hAnsi="Times New Roman"/>
          <w:sz w:val="24"/>
          <w:szCs w:val="24"/>
        </w:rPr>
        <w:t xml:space="preserve">, the record </w:t>
      </w:r>
      <w:proofErr w:type="gramStart"/>
      <w:r w:rsidRPr="000020A0">
        <w:rPr>
          <w:rFonts w:ascii="Times New Roman" w:hAnsi="Times New Roman"/>
          <w:sz w:val="24"/>
          <w:szCs w:val="24"/>
        </w:rPr>
        <w:t>evidence—</w:t>
      </w:r>
      <w:proofErr w:type="gramEnd"/>
      <w:r w:rsidRPr="000020A0">
        <w:rPr>
          <w:rFonts w:ascii="Times New Roman" w:hAnsi="Times New Roman"/>
          <w:sz w:val="24"/>
          <w:szCs w:val="24"/>
        </w:rPr>
        <w:t xml:space="preserve">including Plaintiffs' testimony that their supervisors, </w:t>
      </w:r>
      <w:r w:rsidRPr="000020A0">
        <w:rPr>
          <w:rFonts w:ascii="Times New Roman" w:hAnsi="Times New Roman"/>
          <w:i/>
          <w:iCs/>
          <w:sz w:val="24"/>
          <w:szCs w:val="24"/>
        </w:rPr>
        <w:t>e</w:t>
      </w:r>
      <w:r w:rsidRPr="000020A0">
        <w:rPr>
          <w:rFonts w:ascii="Times New Roman" w:hAnsi="Times New Roman"/>
          <w:sz w:val="24"/>
          <w:szCs w:val="24"/>
        </w:rPr>
        <w:t>.</w:t>
      </w:r>
      <w:r w:rsidRPr="000020A0">
        <w:rPr>
          <w:rFonts w:ascii="Times New Roman" w:hAnsi="Times New Roman"/>
          <w:i/>
          <w:iCs/>
          <w:sz w:val="24"/>
          <w:szCs w:val="24"/>
        </w:rPr>
        <w:t>g</w:t>
      </w:r>
      <w:r w:rsidRPr="000020A0">
        <w:rPr>
          <w:rFonts w:ascii="Times New Roman" w:hAnsi="Times New Roman"/>
          <w:sz w:val="24"/>
          <w:szCs w:val="24"/>
        </w:rPr>
        <w:t>., assigned pre-shift and mealtime work tasks, reviewed time sheets on a weekly basis, and gave instructions not to submit overtime requests for work that was not pre-approved (</w:t>
      </w:r>
      <w:r w:rsidRPr="000020A0">
        <w:rPr>
          <w:rFonts w:ascii="Times New Roman" w:hAnsi="Times New Roman"/>
          <w:i/>
          <w:iCs/>
          <w:sz w:val="24"/>
          <w:szCs w:val="24"/>
        </w:rPr>
        <w:t>see</w:t>
      </w:r>
      <w:r w:rsidRPr="000020A0">
        <w:rPr>
          <w:rFonts w:ascii="Times New Roman" w:hAnsi="Times New Roman"/>
          <w:sz w:val="24"/>
          <w:szCs w:val="24"/>
        </w:rPr>
        <w:t xml:space="preserve"> Pls.' Mem. at 10, 12)—could, if credited, allow </w:t>
      </w:r>
      <w:r>
        <w:rPr>
          <w:rFonts w:ascii="Times New Roman" w:hAnsi="Times New Roman"/>
          <w:sz w:val="24"/>
          <w:szCs w:val="24"/>
        </w:rPr>
        <w:t>‘</w:t>
      </w:r>
      <w:r w:rsidRPr="000020A0">
        <w:rPr>
          <w:rFonts w:ascii="Times New Roman" w:hAnsi="Times New Roman"/>
          <w:sz w:val="24"/>
          <w:szCs w:val="24"/>
        </w:rPr>
        <w:t>[a] reasonable factfinder [to] conclude that Plaintiffs worked uncompensated overtime, that Defendant had actual or constructive knowledge of this time, and that Defendant discouraged the reporting of accurate overtime that was not pre-approved.</w:t>
      </w:r>
      <w:r>
        <w:rPr>
          <w:rFonts w:ascii="Times New Roman" w:hAnsi="Times New Roman"/>
          <w:sz w:val="24"/>
          <w:szCs w:val="24"/>
        </w:rPr>
        <w:t xml:space="preserve">’” </w:t>
      </w:r>
      <w:hyperlink r:id="rId1821" w:history="1">
        <w:r w:rsidRPr="002F4AC3">
          <w:rPr>
            <w:rStyle w:val="Hyperlink"/>
            <w:rFonts w:ascii="Times New Roman" w:hAnsi="Times New Roman"/>
            <w:sz w:val="24"/>
            <w:szCs w:val="24"/>
          </w:rPr>
          <w:t>https://law.justia.com/cases/federal/district-courts/new-york/nysdce/1:2019cv05773/517969/98/</w:t>
        </w:r>
      </w:hyperlink>
      <w:r>
        <w:rPr>
          <w:rFonts w:ascii="Times New Roman" w:hAnsi="Times New Roman"/>
          <w:sz w:val="24"/>
          <w:szCs w:val="24"/>
        </w:rPr>
        <w:t xml:space="preserve"> </w:t>
      </w:r>
    </w:p>
    <w:p w14:paraId="57C1F965" w14:textId="77777777" w:rsidR="007F3C7D" w:rsidRPr="000020A0" w:rsidRDefault="007F3C7D" w:rsidP="007F3C7D">
      <w:pPr>
        <w:pStyle w:val="NormalWeb"/>
        <w:rPr>
          <w:b/>
          <w:bCs/>
        </w:rPr>
      </w:pPr>
      <w:r w:rsidRPr="00DA0ACA">
        <w:rPr>
          <w:b/>
          <w:bCs/>
        </w:rPr>
        <w:t>Legal Lesson Learned:</w:t>
      </w:r>
      <w:r>
        <w:rPr>
          <w:b/>
          <w:bCs/>
        </w:rPr>
        <w:t xml:space="preserve">  It appears that this case is headed to trial, unless the parties can settle.  </w:t>
      </w:r>
    </w:p>
    <w:p w14:paraId="663351A3" w14:textId="77777777" w:rsidR="007F3C7D" w:rsidRDefault="007F3C7D" w:rsidP="00F326E5">
      <w:pPr>
        <w:rPr>
          <w:rFonts w:ascii="Arial Black" w:hAnsi="Arial Black"/>
          <w:b/>
          <w:sz w:val="24"/>
          <w:szCs w:val="24"/>
        </w:rPr>
      </w:pPr>
    </w:p>
    <w:p w14:paraId="7BE06BBE" w14:textId="77777777" w:rsidR="007F3C7D" w:rsidRDefault="007F3C7D" w:rsidP="00F326E5">
      <w:pPr>
        <w:rPr>
          <w:rFonts w:ascii="Arial Black" w:hAnsi="Arial Black"/>
          <w:b/>
          <w:sz w:val="24"/>
          <w:szCs w:val="24"/>
        </w:rPr>
      </w:pPr>
    </w:p>
    <w:p w14:paraId="0CFF1339" w14:textId="432F29BD" w:rsidR="00863F9E" w:rsidRDefault="00863F9E"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 xml:space="preserve">7 </w:t>
      </w:r>
      <w:r w:rsidRPr="007F3C7D">
        <w:rPr>
          <w:rFonts w:ascii="Times New Roman" w:hAnsi="Times New Roman"/>
          <w:bCs/>
          <w:sz w:val="24"/>
          <w:szCs w:val="24"/>
        </w:rPr>
        <w:t>[also filed, Chap. 10]</w:t>
      </w:r>
    </w:p>
    <w:p w14:paraId="6CBCF93F" w14:textId="77777777" w:rsidR="00863F9E" w:rsidRDefault="00863F9E" w:rsidP="00863F9E">
      <w:pPr>
        <w:spacing w:before="100" w:beforeAutospacing="1" w:after="100" w:afterAutospacing="1" w:line="240" w:lineRule="auto"/>
        <w:rPr>
          <w:rFonts w:eastAsia="Times New Roman" w:cs="Calibri"/>
          <w:vanish/>
        </w:rPr>
      </w:pPr>
      <w:r>
        <w:rPr>
          <w:rFonts w:ascii="Arial Black" w:eastAsia="Times New Roman" w:hAnsi="Arial Black"/>
          <w:b/>
          <w:bCs/>
          <w:sz w:val="28"/>
          <w:szCs w:val="28"/>
        </w:rPr>
        <w:t>U.S. DOL: ELECTRONIC POSTING CAN’T REPLACE FLSA / FMLA POSTERS – UNLESS ALL EMPLOYEES WORK ONLINE</w:t>
      </w:r>
    </w:p>
    <w:tbl>
      <w:tblPr>
        <w:tblW w:w="5000" w:type="pct"/>
        <w:jc w:val="center"/>
        <w:tblCellMar>
          <w:left w:w="0" w:type="dxa"/>
          <w:right w:w="0" w:type="dxa"/>
        </w:tblCellMar>
        <w:tblLook w:val="04A0" w:firstRow="1" w:lastRow="0" w:firstColumn="1" w:lastColumn="0" w:noHBand="0" w:noVBand="1"/>
      </w:tblPr>
      <w:tblGrid>
        <w:gridCol w:w="10800"/>
      </w:tblGrid>
      <w:tr w:rsidR="00863F9E" w14:paraId="40599FA2" w14:textId="77777777" w:rsidTr="00F90EE5">
        <w:trPr>
          <w:jc w:val="center"/>
          <w:hidden/>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863F9E" w14:paraId="1E1D5657" w14:textId="77777777" w:rsidTr="00F90EE5">
              <w:trPr>
                <w:jc w:val="center"/>
                <w:hidden/>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863F9E" w14:paraId="6E54FE96" w14:textId="77777777" w:rsidTr="00F90EE5">
                    <w:trPr>
                      <w:jc w:val="center"/>
                      <w:hidden/>
                    </w:trPr>
                    <w:tc>
                      <w:tcPr>
                        <w:tcW w:w="0" w:type="auto"/>
                        <w:tcMar>
                          <w:top w:w="75" w:type="dxa"/>
                          <w:left w:w="0" w:type="dxa"/>
                          <w:bottom w:w="75" w:type="dxa"/>
                          <w:right w:w="0" w:type="dxa"/>
                        </w:tcMar>
                        <w:hideMark/>
                      </w:tcPr>
                      <w:p w14:paraId="28B2CC51" w14:textId="77777777" w:rsidR="00863F9E" w:rsidRDefault="00863F9E" w:rsidP="00F90EE5">
                        <w:pPr>
                          <w:rPr>
                            <w:rFonts w:eastAsia="Times New Roman" w:cs="Calibri"/>
                            <w:vanish/>
                          </w:rPr>
                        </w:pPr>
                      </w:p>
                    </w:tc>
                  </w:tr>
                </w:tbl>
                <w:p w14:paraId="4DB7C56A" w14:textId="77777777" w:rsidR="00863F9E" w:rsidRDefault="00863F9E" w:rsidP="00F90EE5">
                  <w:pPr>
                    <w:jc w:val="center"/>
                  </w:pPr>
                </w:p>
              </w:tc>
            </w:tr>
          </w:tbl>
          <w:p w14:paraId="6686117C" w14:textId="77777777" w:rsidR="00863F9E" w:rsidRDefault="00863F9E" w:rsidP="00F90EE5">
            <w:pPr>
              <w:jc w:val="center"/>
            </w:pPr>
          </w:p>
        </w:tc>
      </w:tr>
    </w:tbl>
    <w:p w14:paraId="494DDEAC" w14:textId="77777777" w:rsidR="00863F9E" w:rsidRDefault="00863F9E" w:rsidP="00863F9E">
      <w:pPr>
        <w:pStyle w:val="NormalWeb"/>
        <w:spacing w:line="255" w:lineRule="atLeast"/>
        <w:rPr>
          <w:bCs/>
        </w:rPr>
      </w:pPr>
      <w:r>
        <w:rPr>
          <w:bCs/>
        </w:rPr>
        <w:t xml:space="preserve">On Dec. 29, 2020, the U.S. Department of Labor / Wage &amp; Hour Division issued Field Assistance Bulletin regarding posters that are required in workplaces, including the </w:t>
      </w:r>
      <w:r>
        <w:t>Fair Labor Standards Act (FLSA), the Family and Medical Leave Act (FMLA), Section 14I of the FLSA (Section 14I), the Employee Polygraph Protection Act (EPPA), and the Service Contract Act (SCA).</w:t>
      </w:r>
    </w:p>
    <w:p w14:paraId="4B6437A3" w14:textId="77777777" w:rsidR="00863F9E" w:rsidRDefault="00863F9E" w:rsidP="00863F9E">
      <w:pPr>
        <w:pStyle w:val="NormalWeb"/>
        <w:spacing w:line="255" w:lineRule="atLeast"/>
        <w:ind w:left="720"/>
      </w:pPr>
      <w:r>
        <w:t>“In most cases, these electronic notices supplement but do not replace the statutory and regulatory requirements that employers post a hard-copy notice. Whether notices are provided electronically or in hard-copy format, it is an employer’s obligation to provide the required notices to all affected individuals.</w:t>
      </w:r>
    </w:p>
    <w:p w14:paraId="5EB7492C" w14:textId="77777777" w:rsidR="00863F9E" w:rsidRDefault="00863F9E" w:rsidP="00863F9E">
      <w:pPr>
        <w:pStyle w:val="NormalWeb"/>
        <w:spacing w:line="255" w:lineRule="atLeast"/>
        <w:ind w:left="720"/>
      </w:pPr>
      <w:r>
        <w:t>***</w:t>
      </w:r>
    </w:p>
    <w:p w14:paraId="387EF879" w14:textId="77777777" w:rsidR="00863F9E" w:rsidRDefault="00863F9E" w:rsidP="00863F9E">
      <w:pPr>
        <w:pStyle w:val="NormalWeb"/>
        <w:spacing w:line="255" w:lineRule="atLeast"/>
        <w:ind w:left="720"/>
        <w:rPr>
          <w:rStyle w:val="Hyperlink"/>
        </w:rPr>
      </w:pPr>
      <w:r>
        <w:t xml:space="preserve">If a statute and its regulations require a notice to be continuously posted at a worksite, in most cases, WHD will only consider electronic posting an acceptable substitute for the continuous posting requirement where (1) all of the employer’s employees exclusively work remotely, (2) all employees customarily receive information from the employer via electronic means, and (3) all employees have readily available access to the electronic posting at all times. This ensures the electronic posting satisfies the statutory and regulatory requirements that such postings </w:t>
      </w:r>
      <w:proofErr w:type="gramStart"/>
      <w:r>
        <w:t>be</w:t>
      </w:r>
      <w:proofErr w:type="gramEnd"/>
      <w:r>
        <w:t xml:space="preserve"> continuously accessible to employees. Where an employer has employees on-site and other employees teleworking full-time, for example, the employer may supplement a hard-copy posting requirement with electronic posting and the Department would encourage both methods of posting.”  </w:t>
      </w:r>
      <w:hyperlink r:id="rId1822" w:history="1">
        <w:r>
          <w:rPr>
            <w:rStyle w:val="Hyperlink"/>
          </w:rPr>
          <w:t>https://www.dol.gov/sites/dolgov/files/WHD/legacy/files/fab_2020_7.pdf</w:t>
        </w:r>
      </w:hyperlink>
    </w:p>
    <w:p w14:paraId="7A0F0B7A" w14:textId="77777777" w:rsidR="00863F9E" w:rsidRDefault="00863F9E" w:rsidP="00863F9E">
      <w:pPr>
        <w:pStyle w:val="NormalWeb"/>
        <w:spacing w:line="255" w:lineRule="atLeast"/>
        <w:rPr>
          <w:b/>
        </w:rPr>
      </w:pPr>
      <w:r>
        <w:rPr>
          <w:b/>
        </w:rPr>
        <w:t>Legal Lesson Learned: Fire Department need to keep posters on the wall.</w:t>
      </w:r>
    </w:p>
    <w:p w14:paraId="1774891E" w14:textId="7906AF94" w:rsidR="00863F9E" w:rsidRDefault="00863F9E" w:rsidP="00F326E5">
      <w:pPr>
        <w:rPr>
          <w:rFonts w:ascii="Arial Black" w:hAnsi="Arial Black"/>
          <w:b/>
          <w:sz w:val="24"/>
          <w:szCs w:val="24"/>
        </w:rPr>
      </w:pPr>
    </w:p>
    <w:p w14:paraId="108AB8E1" w14:textId="73EC4A4F" w:rsidR="00863F9E" w:rsidRDefault="00863F9E"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6</w:t>
      </w:r>
    </w:p>
    <w:p w14:paraId="0A361B27" w14:textId="77777777" w:rsidR="00863F9E" w:rsidRDefault="00863F9E" w:rsidP="00863F9E">
      <w:pPr>
        <w:spacing w:before="100" w:beforeAutospacing="1" w:after="100" w:afterAutospacing="1" w:line="240" w:lineRule="auto"/>
        <w:rPr>
          <w:rFonts w:ascii="Arial Black" w:eastAsia="Times New Roman" w:hAnsi="Arial Black"/>
          <w:b/>
          <w:bCs/>
          <w:sz w:val="28"/>
          <w:szCs w:val="28"/>
        </w:rPr>
      </w:pPr>
      <w:bookmarkStart w:id="388" w:name="_Hlk66949025"/>
      <w:r>
        <w:rPr>
          <w:rFonts w:ascii="Arial Black" w:eastAsia="Times New Roman" w:hAnsi="Arial Black"/>
          <w:b/>
          <w:bCs/>
          <w:sz w:val="28"/>
          <w:szCs w:val="28"/>
        </w:rPr>
        <w:t xml:space="preserve">OH: FIRE CHIEF POLICY - NO OVERTIME – BACK PAY / DOUBLED – DAMAGES CALCULATED AFTER 40 HOURS (NOT 53 HRS)  </w:t>
      </w:r>
    </w:p>
    <w:p w14:paraId="58BC7039" w14:textId="77777777" w:rsidR="00863F9E" w:rsidRDefault="00863F9E" w:rsidP="00863F9E">
      <w:pPr>
        <w:tabs>
          <w:tab w:val="left" w:pos="6970"/>
        </w:tabs>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21, 2020, in </w:t>
      </w:r>
      <w:r>
        <w:rPr>
          <w:rFonts w:ascii="Times New Roman" w:eastAsia="Times New Roman" w:hAnsi="Times New Roman"/>
          <w:sz w:val="24"/>
          <w:szCs w:val="24"/>
          <w:u w:val="single"/>
        </w:rPr>
        <w:t>David Vance v. Village of Highlands, OH</w:t>
      </w:r>
      <w:r>
        <w:rPr>
          <w:rFonts w:ascii="Times New Roman" w:eastAsia="Times New Roman" w:hAnsi="Times New Roman"/>
          <w:sz w:val="24"/>
          <w:szCs w:val="24"/>
        </w:rPr>
        <w:t>, U.S. District Court Judge James S. Gwin, U.S. District Court for Northern District of Ohio, held given the deposition testimony of the Fire Chief that the FD never paid overtime to any firefighter, despite what the FD Employee Manual provided.  The former firefighter is entitled to back pay and liquidated damages (double the back pay) for all hours he worked beyond 40 hours, not 53 hours [216 hours / 28-day pay period exemption in Sec. 207(k)], since FD never established a 28-day “work period.”</w:t>
      </w:r>
    </w:p>
    <w:bookmarkEnd w:id="388"/>
    <w:p w14:paraId="502A185E" w14:textId="77777777" w:rsidR="00863F9E" w:rsidRDefault="00863F9E" w:rsidP="00863F9E">
      <w:pPr>
        <w:tabs>
          <w:tab w:val="left" w:pos="6970"/>
        </w:tabs>
        <w:spacing w:before="100" w:beforeAutospacing="1" w:after="100" w:afterAutospacing="1" w:line="240" w:lineRule="auto"/>
        <w:ind w:left="720"/>
        <w:rPr>
          <w:rFonts w:ascii="Times New Roman" w:eastAsiaTheme="minorHAnsi" w:hAnsi="Times New Roman"/>
          <w:sz w:val="24"/>
          <w:szCs w:val="24"/>
        </w:rPr>
      </w:pPr>
      <w:r>
        <w:rPr>
          <w:rFonts w:ascii="Times New Roman" w:hAnsi="Times New Roman"/>
          <w:sz w:val="24"/>
          <w:szCs w:val="24"/>
        </w:rPr>
        <w:t>“At his deposition, Defendant’s fire chief explained that the fire department followed a policy of never paying overtime.</w:t>
      </w:r>
      <w:bookmarkStart w:id="389" w:name="fn7"/>
      <w:bookmarkEnd w:id="389"/>
      <w:r>
        <w:rPr>
          <w:rFonts w:ascii="Times New Roman" w:hAnsi="Times New Roman"/>
          <w:sz w:val="24"/>
          <w:szCs w:val="24"/>
          <w:vertAlign w:val="superscript"/>
        </w:rPr>
        <w:t xml:space="preserve"> </w:t>
      </w:r>
      <w:r>
        <w:rPr>
          <w:rFonts w:ascii="Times New Roman" w:hAnsi="Times New Roman"/>
          <w:sz w:val="24"/>
          <w:szCs w:val="24"/>
        </w:rPr>
        <w:t>Defendant now accepts that it must pay overtime. The parties stipulate that Plaintiff is entitled to the overtime Defendant did not pay together with liquidated damages.</w:t>
      </w:r>
    </w:p>
    <w:p w14:paraId="79F5A9EF" w14:textId="77777777" w:rsidR="00863F9E" w:rsidRDefault="00863F9E" w:rsidP="00863F9E">
      <w:pPr>
        <w:tabs>
          <w:tab w:val="left" w:pos="6970"/>
        </w:tabs>
        <w:spacing w:before="100" w:beforeAutospacing="1" w:after="100" w:afterAutospacing="1" w:line="240" w:lineRule="auto"/>
        <w:ind w:left="810"/>
        <w:rPr>
          <w:rFonts w:ascii="Times New Roman" w:eastAsia="Times New Roman" w:hAnsi="Times New Roman"/>
          <w:sz w:val="24"/>
          <w:szCs w:val="24"/>
        </w:rPr>
      </w:pPr>
      <w:r>
        <w:rPr>
          <w:rFonts w:ascii="Times New Roman" w:hAnsi="Times New Roman"/>
          <w:sz w:val="24"/>
          <w:szCs w:val="24"/>
        </w:rPr>
        <w:t>***</w:t>
      </w:r>
      <w:r>
        <w:rPr>
          <w:rFonts w:ascii="Times New Roman" w:eastAsia="Times New Roman" w:hAnsi="Times New Roman"/>
          <w:sz w:val="24"/>
          <w:szCs w:val="24"/>
        </w:rPr>
        <w:t xml:space="preserve">  </w:t>
      </w:r>
    </w:p>
    <w:p w14:paraId="60852338" w14:textId="77777777" w:rsidR="00863F9E" w:rsidRDefault="00863F9E" w:rsidP="00863F9E">
      <w:pPr>
        <w:spacing w:before="100" w:beforeAutospacing="1" w:after="100" w:afterAutospacing="1" w:line="240" w:lineRule="auto"/>
        <w:ind w:left="720"/>
        <w:rPr>
          <w:rFonts w:ascii="Times New Roman" w:eastAsiaTheme="minorHAnsi" w:hAnsi="Times New Roman"/>
          <w:sz w:val="24"/>
          <w:szCs w:val="24"/>
        </w:rPr>
      </w:pPr>
      <w:r>
        <w:rPr>
          <w:rFonts w:ascii="Times New Roman" w:hAnsi="Times New Roman"/>
          <w:sz w:val="24"/>
          <w:szCs w:val="24"/>
        </w:rPr>
        <w:t xml:space="preserve">The Court agrees with Plaintiff that the 29 U.S.C.§207(k) exemption should not apply in this instance. Defendant did not establish a 28-day work period as the §207(k) exemption required. There may have been a policy on the books, but Defendant made no effort to apply it to </w:t>
      </w:r>
      <w:proofErr w:type="gramStart"/>
      <w:r>
        <w:rPr>
          <w:rFonts w:ascii="Times New Roman" w:hAnsi="Times New Roman"/>
          <w:sz w:val="24"/>
          <w:szCs w:val="24"/>
        </w:rPr>
        <w:t>Plaintiff.”</w:t>
      </w:r>
      <w:proofErr w:type="gramEnd"/>
      <w:r>
        <w:rPr>
          <w:rFonts w:ascii="Times New Roman" w:hAnsi="Times New Roman"/>
          <w:sz w:val="24"/>
          <w:szCs w:val="24"/>
        </w:rPr>
        <w:t xml:space="preserve">  </w:t>
      </w:r>
      <w:bookmarkStart w:id="390" w:name="_Hlk66949056"/>
      <w:r w:rsidR="00F00958">
        <w:fldChar w:fldCharType="begin"/>
      </w:r>
      <w:r w:rsidR="00F00958">
        <w:instrText xml:space="preserve"> HYPERLINK "https://www.leagle.com/decision/infdco20201224948" </w:instrText>
      </w:r>
      <w:r w:rsidR="00F00958">
        <w:fldChar w:fldCharType="separate"/>
      </w:r>
      <w:r>
        <w:rPr>
          <w:rStyle w:val="Hyperlink"/>
        </w:rPr>
        <w:t>https://www.leagle.com/decision/infdco20201224948</w:t>
      </w:r>
      <w:r w:rsidR="00F00958">
        <w:rPr>
          <w:rStyle w:val="Hyperlink"/>
        </w:rPr>
        <w:fldChar w:fldCharType="end"/>
      </w:r>
      <w:r>
        <w:rPr>
          <w:rFonts w:ascii="Times New Roman" w:hAnsi="Times New Roman"/>
          <w:sz w:val="24"/>
          <w:szCs w:val="24"/>
        </w:rPr>
        <w:t xml:space="preserve"> </w:t>
      </w:r>
    </w:p>
    <w:p w14:paraId="602D57A5" w14:textId="77777777" w:rsidR="00863F9E" w:rsidRDefault="00863F9E" w:rsidP="00863F9E">
      <w:pPr>
        <w:pStyle w:val="NoSpacing"/>
        <w:jc w:val="both"/>
        <w:rPr>
          <w:rFonts w:ascii="Times New Roman" w:hAnsi="Times New Roman"/>
          <w:b/>
          <w:bCs/>
          <w:sz w:val="24"/>
          <w:szCs w:val="24"/>
        </w:rPr>
      </w:pPr>
      <w:r>
        <w:rPr>
          <w:rFonts w:ascii="Times New Roman" w:hAnsi="Times New Roman"/>
          <w:b/>
          <w:bCs/>
          <w:sz w:val="24"/>
          <w:szCs w:val="24"/>
        </w:rPr>
        <w:t xml:space="preserve">Legal Lesson Learned: FD’s legal counsel wisely stipulated violated FLSA and avoided expense of trial.  FD will most likely now review payroll records and pay back </w:t>
      </w:r>
      <w:proofErr w:type="gramStart"/>
      <w:r>
        <w:rPr>
          <w:rFonts w:ascii="Times New Roman" w:hAnsi="Times New Roman"/>
          <w:b/>
          <w:bCs/>
          <w:sz w:val="24"/>
          <w:szCs w:val="24"/>
        </w:rPr>
        <w:t>pay</w:t>
      </w:r>
      <w:proofErr w:type="gramEnd"/>
      <w:r>
        <w:rPr>
          <w:rFonts w:ascii="Times New Roman" w:hAnsi="Times New Roman"/>
          <w:b/>
          <w:bCs/>
          <w:sz w:val="24"/>
          <w:szCs w:val="24"/>
        </w:rPr>
        <w:t xml:space="preserve"> to other firefighters. </w:t>
      </w:r>
    </w:p>
    <w:bookmarkEnd w:id="390"/>
    <w:p w14:paraId="0B565636" w14:textId="239A72CC" w:rsidR="00863F9E" w:rsidRDefault="00863F9E" w:rsidP="00F326E5">
      <w:pPr>
        <w:rPr>
          <w:rFonts w:ascii="Arial Black" w:hAnsi="Arial Black"/>
          <w:b/>
          <w:sz w:val="24"/>
          <w:szCs w:val="24"/>
        </w:rPr>
      </w:pPr>
    </w:p>
    <w:p w14:paraId="7732C6CF" w14:textId="402CF6B2" w:rsidR="00863F9E" w:rsidRDefault="00863F9E"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5</w:t>
      </w:r>
    </w:p>
    <w:p w14:paraId="0262F877" w14:textId="77777777" w:rsidR="00863F9E" w:rsidRDefault="00863F9E" w:rsidP="00863F9E">
      <w:pPr>
        <w:pStyle w:val="NoSpacing"/>
        <w:rPr>
          <w:rFonts w:ascii="Arial Black" w:hAnsi="Arial Black"/>
          <w:sz w:val="28"/>
          <w:szCs w:val="28"/>
        </w:rPr>
      </w:pPr>
      <w:r>
        <w:rPr>
          <w:rFonts w:ascii="Arial Black" w:hAnsi="Arial Black"/>
          <w:sz w:val="28"/>
          <w:szCs w:val="28"/>
        </w:rPr>
        <w:t>VA: BATTALION CHIEFS – DUTIES SHOW THEY ARE “EXECUTIVE” EMPLOYEES – “EXEMPT” UNDER FLSA FROM OVERTIME PAY</w:t>
      </w:r>
    </w:p>
    <w:p w14:paraId="29E2AE6B" w14:textId="77777777" w:rsidR="00863F9E" w:rsidRDefault="00863F9E" w:rsidP="00863F9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4, 2020, in </w:t>
      </w:r>
      <w:r>
        <w:rPr>
          <w:rFonts w:ascii="Times New Roman" w:eastAsia="Times New Roman" w:hAnsi="Times New Roman"/>
          <w:sz w:val="24"/>
          <w:szCs w:val="24"/>
          <w:u w:val="single"/>
        </w:rPr>
        <w:t>Shean Emmons, et al. v. City of Chesapeake</w:t>
      </w:r>
      <w:r>
        <w:rPr>
          <w:rFonts w:ascii="Times New Roman" w:eastAsia="Times New Roman" w:hAnsi="Times New Roman"/>
          <w:sz w:val="24"/>
          <w:szCs w:val="24"/>
        </w:rPr>
        <w:t>, the U.S. Court of Appeals for the Fourth Circuit (Richmond, VA) held (3 to 0) that the Battalion Chiefs are “managers” and “executive” employees under the FLSA.</w:t>
      </w:r>
    </w:p>
    <w:p w14:paraId="784A19C2" w14:textId="77777777" w:rsidR="00863F9E" w:rsidRDefault="00863F9E" w:rsidP="00863F9E">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“The appellants in this case are Battalion Chiefs who have sued their employer, the City of Chesapeake Fire Department (CFD), for non-compliance with the overtime pay requirement of the Fair Labor Standards Act (FLSA). </w:t>
      </w:r>
    </w:p>
    <w:p w14:paraId="4DCB24FB" w14:textId="77777777" w:rsidR="00863F9E" w:rsidRDefault="00863F9E" w:rsidP="00863F9E">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0556949E" w14:textId="77777777" w:rsidR="00863F9E" w:rsidRDefault="00863F9E" w:rsidP="00863F9E">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We disagree. Section 541.3(b) does not categorically except the plaintiff BCs from the FLSA's system of exemptions, because the BCs are, first and foremost, managers within the CFD, not frontline firefighters. Nor do the plain terms of the FLSA's exemptions fail to apply. The BCs are executive employees under the FLSA, and it is on this basis that we affirm the district court's grant of summary judgment in favor of the CFD.”</w:t>
      </w:r>
      <w:r>
        <w:t xml:space="preserve">  </w:t>
      </w:r>
      <w:hyperlink r:id="rId1823" w:history="1">
        <w:r>
          <w:rPr>
            <w:rStyle w:val="Hyperlink"/>
          </w:rPr>
          <w:t>https://www.ca4.uscourts.gov/Opinions/191755.P.pdf</w:t>
        </w:r>
      </w:hyperlink>
      <w:r>
        <w:t xml:space="preserve">   </w:t>
      </w:r>
    </w:p>
    <w:p w14:paraId="31571927" w14:textId="77777777" w:rsidR="00863F9E" w:rsidRDefault="00863F9E" w:rsidP="00863F9E">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The Court was extremely thorough in describing the duties of the Battalion Chiefs; this decision will undoubtedly be referenced in future court decisions throughout the Nation. </w:t>
      </w:r>
    </w:p>
    <w:p w14:paraId="507061C1" w14:textId="77777777" w:rsidR="00863F9E" w:rsidRDefault="00863F9E" w:rsidP="00F326E5">
      <w:pPr>
        <w:rPr>
          <w:rFonts w:ascii="Arial Black" w:hAnsi="Arial Black"/>
          <w:b/>
          <w:sz w:val="24"/>
          <w:szCs w:val="24"/>
        </w:rPr>
      </w:pPr>
    </w:p>
    <w:p w14:paraId="2810CEDC" w14:textId="77777777" w:rsidR="00B13773" w:rsidRDefault="00B13773" w:rsidP="00AC1E3A">
      <w:pPr>
        <w:pStyle w:val="NormalWeb"/>
        <w:rPr>
          <w:rFonts w:ascii="Arial Black" w:hAnsi="Arial Black"/>
          <w:sz w:val="28"/>
          <w:szCs w:val="28"/>
        </w:rPr>
      </w:pPr>
    </w:p>
    <w:p w14:paraId="533A2242" w14:textId="6780D87F" w:rsidR="00B13773" w:rsidRDefault="00B13773" w:rsidP="00AC1E3A">
      <w:pPr>
        <w:pStyle w:val="NormalWeb"/>
        <w:rPr>
          <w:rFonts w:ascii="Arial Black" w:hAnsi="Arial Black"/>
          <w:sz w:val="28"/>
          <w:szCs w:val="28"/>
        </w:rPr>
      </w:pPr>
      <w:r>
        <w:rPr>
          <w:rFonts w:ascii="Arial Black" w:hAnsi="Arial Black"/>
          <w:sz w:val="28"/>
          <w:szCs w:val="28"/>
        </w:rPr>
        <w:t>11-24</w:t>
      </w:r>
    </w:p>
    <w:p w14:paraId="2FA7CCFF" w14:textId="27DC8DD6" w:rsidR="00AC1E3A" w:rsidRDefault="00AC1E3A" w:rsidP="00AC1E3A">
      <w:pPr>
        <w:pStyle w:val="NormalWeb"/>
        <w:rPr>
          <w:rFonts w:ascii="Arial Black" w:hAnsi="Arial Black"/>
          <w:sz w:val="28"/>
          <w:szCs w:val="28"/>
        </w:rPr>
      </w:pPr>
      <w:r>
        <w:rPr>
          <w:rFonts w:ascii="Arial Black" w:hAnsi="Arial Black"/>
          <w:sz w:val="28"/>
          <w:szCs w:val="28"/>
        </w:rPr>
        <w:t>IL: CHICAGO FF WHILE ON MILITARY LEAVE – MISSED TEST FOR ENGINEER, FD REFUSED MAKE-UP – CASE PROCEED</w:t>
      </w:r>
    </w:p>
    <w:p w14:paraId="1025247B" w14:textId="77777777" w:rsidR="00AC1E3A" w:rsidRPr="00CB0145" w:rsidRDefault="00AC1E3A" w:rsidP="00AC1E3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23, 2020, in lawsuit filed by U.S. Department of Justice in </w:t>
      </w:r>
      <w:r w:rsidRPr="006D68B7">
        <w:rPr>
          <w:rFonts w:ascii="Times New Roman" w:eastAsia="Times New Roman" w:hAnsi="Times New Roman"/>
          <w:sz w:val="24"/>
          <w:szCs w:val="24"/>
          <w:u w:val="single"/>
        </w:rPr>
        <w:t>Derrick Strong v. City of Chicago</w:t>
      </w:r>
      <w:r>
        <w:rPr>
          <w:rFonts w:ascii="Times New Roman" w:eastAsia="Times New Roman" w:hAnsi="Times New Roman"/>
          <w:sz w:val="24"/>
          <w:szCs w:val="24"/>
        </w:rPr>
        <w:t xml:space="preserve">, U.S. District Court Judge Elain E. </w:t>
      </w:r>
      <w:proofErr w:type="spellStart"/>
      <w:r>
        <w:rPr>
          <w:rFonts w:ascii="Times New Roman" w:eastAsia="Times New Roman" w:hAnsi="Times New Roman"/>
          <w:sz w:val="24"/>
          <w:szCs w:val="24"/>
        </w:rPr>
        <w:t>Bucklo</w:t>
      </w:r>
      <w:proofErr w:type="spellEnd"/>
      <w:r>
        <w:rPr>
          <w:rFonts w:ascii="Times New Roman" w:eastAsia="Times New Roman" w:hAnsi="Times New Roman"/>
          <w:sz w:val="24"/>
          <w:szCs w:val="24"/>
        </w:rPr>
        <w:t xml:space="preserve">, Northern District of Illinois,  denied the City’s motion for summary judgment. The written exam for Firefighter Engineer was given on Nov. 14, 2016. When the firefighter completed his active duty </w:t>
      </w:r>
      <w:proofErr w:type="gramStart"/>
      <w:r>
        <w:rPr>
          <w:rFonts w:ascii="Times New Roman" w:eastAsia="Times New Roman" w:hAnsi="Times New Roman"/>
          <w:sz w:val="24"/>
          <w:szCs w:val="24"/>
        </w:rPr>
        <w:t>in</w:t>
      </w:r>
      <w:proofErr w:type="gramEnd"/>
      <w:r>
        <w:rPr>
          <w:rFonts w:ascii="Times New Roman" w:eastAsia="Times New Roman" w:hAnsi="Times New Roman"/>
          <w:sz w:val="24"/>
          <w:szCs w:val="24"/>
        </w:rPr>
        <w:t xml:space="preserve"> June 26, 2017, he requested a make-up exam but was denied.  The U.S. Department of Justice filed this lawsuit on his behalf under the </w:t>
      </w:r>
      <w:r w:rsidRPr="00CB0145">
        <w:rPr>
          <w:rFonts w:ascii="Times New Roman" w:hAnsi="Times New Roman"/>
          <w:sz w:val="24"/>
          <w:szCs w:val="24"/>
        </w:rPr>
        <w:t>Uniformed Services Employment and Reemployment Rights Act of 1994 ("USERRA"), 38 U.S.C. § 4313</w:t>
      </w:r>
      <w:r>
        <w:rPr>
          <w:rFonts w:ascii="Times New Roman" w:hAnsi="Times New Roman"/>
          <w:sz w:val="24"/>
          <w:szCs w:val="24"/>
        </w:rPr>
        <w:t xml:space="preserve">, even if the </w:t>
      </w:r>
      <w:proofErr w:type="gramStart"/>
      <w:r>
        <w:rPr>
          <w:rFonts w:ascii="Times New Roman" w:hAnsi="Times New Roman"/>
          <w:sz w:val="24"/>
          <w:szCs w:val="24"/>
        </w:rPr>
        <w:t>City</w:t>
      </w:r>
      <w:proofErr w:type="gramEnd"/>
      <w:r>
        <w:rPr>
          <w:rFonts w:ascii="Times New Roman" w:hAnsi="Times New Roman"/>
          <w:sz w:val="24"/>
          <w:szCs w:val="24"/>
        </w:rPr>
        <w:t xml:space="preserve"> had </w:t>
      </w:r>
      <w:r>
        <w:rPr>
          <w:rFonts w:ascii="Times New Roman" w:eastAsia="Times New Roman" w:hAnsi="Times New Roman"/>
          <w:sz w:val="24"/>
          <w:szCs w:val="24"/>
        </w:rPr>
        <w:t>offered him opportunity to take exam remotely while on military duty.</w:t>
      </w:r>
    </w:p>
    <w:p w14:paraId="7BF536E8" w14:textId="77777777" w:rsidR="00AC1E3A" w:rsidRDefault="00AC1E3A" w:rsidP="00AC1E3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6D68B7">
        <w:rPr>
          <w:rFonts w:ascii="Times New Roman" w:eastAsia="Times New Roman" w:hAnsi="Times New Roman"/>
          <w:sz w:val="24"/>
          <w:szCs w:val="24"/>
        </w:rPr>
        <w:t>Accordingly, plaintiff can potentially prevail on his § 4313 claim if he can</w:t>
      </w:r>
      <w:r>
        <w:rPr>
          <w:rFonts w:ascii="Times New Roman" w:eastAsia="Times New Roman" w:hAnsi="Times New Roman"/>
          <w:sz w:val="24"/>
          <w:szCs w:val="24"/>
        </w:rPr>
        <w:t xml:space="preserve"> </w:t>
      </w:r>
      <w:r w:rsidRPr="006D68B7">
        <w:rPr>
          <w:rFonts w:ascii="Times New Roman" w:eastAsia="Times New Roman" w:hAnsi="Times New Roman"/>
          <w:sz w:val="24"/>
          <w:szCs w:val="24"/>
        </w:rPr>
        <w:t xml:space="preserve">show that without undue hardship, the City could have administered a make-up examination upon his return to service that might have earned him a spot on the 2016 Eligibility List. Of course, plaintiff would also have to show that his promotion to Fire Engineer was reasonably </w:t>
      </w:r>
      <w:proofErr w:type="gramStart"/>
      <w:r w:rsidRPr="006D68B7">
        <w:rPr>
          <w:rFonts w:ascii="Times New Roman" w:eastAsia="Times New Roman" w:hAnsi="Times New Roman"/>
          <w:sz w:val="24"/>
          <w:szCs w:val="24"/>
        </w:rPr>
        <w:t>certain</w:t>
      </w:r>
      <w:proofErr w:type="gramEnd"/>
      <w:r w:rsidRPr="006D68B7">
        <w:rPr>
          <w:rFonts w:ascii="Times New Roman" w:eastAsia="Times New Roman" w:hAnsi="Times New Roman"/>
          <w:sz w:val="24"/>
          <w:szCs w:val="24"/>
        </w:rPr>
        <w:t xml:space="preserve"> assuming his successful completion of the exam.</w:t>
      </w:r>
    </w:p>
    <w:p w14:paraId="09485347" w14:textId="77777777" w:rsidR="00AC1E3A" w:rsidRDefault="00AC1E3A" w:rsidP="00AC1E3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6AF7AF9" w14:textId="77777777" w:rsidR="00AC1E3A" w:rsidRDefault="00AC1E3A" w:rsidP="00AC1E3A">
      <w:pPr>
        <w:spacing w:before="100" w:beforeAutospacing="1" w:after="100" w:afterAutospacing="1" w:line="240" w:lineRule="auto"/>
        <w:ind w:left="720"/>
        <w:rPr>
          <w:rFonts w:ascii="Times New Roman" w:eastAsia="Times New Roman" w:hAnsi="Times New Roman"/>
          <w:sz w:val="24"/>
          <w:szCs w:val="24"/>
        </w:rPr>
      </w:pPr>
      <w:r w:rsidRPr="00E57CCD">
        <w:rPr>
          <w:rFonts w:ascii="Times New Roman" w:eastAsia="Times New Roman" w:hAnsi="Times New Roman"/>
          <w:sz w:val="24"/>
          <w:szCs w:val="24"/>
        </w:rPr>
        <w:t xml:space="preserve">The City also argues that because it offered to administer the exam remotely during plaintiff's period of active duty, it was not required to offer him a make-up exam upon his return. As noted above, however, the inquiry into the reasonableness of an employer's efforts focuses on hardship to the employer in qualifying the returning service member </w:t>
      </w:r>
      <w:r w:rsidRPr="00E57CCD">
        <w:rPr>
          <w:rFonts w:ascii="Times New Roman" w:eastAsia="Times New Roman" w:hAnsi="Times New Roman"/>
          <w:i/>
          <w:iCs/>
          <w:sz w:val="24"/>
          <w:szCs w:val="24"/>
        </w:rPr>
        <w:t>after</w:t>
      </w:r>
      <w:r w:rsidRPr="00E57CCD">
        <w:rPr>
          <w:rFonts w:ascii="Times New Roman" w:eastAsia="Times New Roman" w:hAnsi="Times New Roman"/>
          <w:sz w:val="24"/>
          <w:szCs w:val="24"/>
        </w:rPr>
        <w:t xml:space="preserve"> his or her return from service, not on the employer's conduct during the service member's military leave. Moreover, one of USERRA's primary purposes is </w:t>
      </w:r>
      <w:r>
        <w:rPr>
          <w:rFonts w:ascii="Times New Roman" w:eastAsia="Times New Roman" w:hAnsi="Times New Roman"/>
          <w:sz w:val="24"/>
          <w:szCs w:val="24"/>
        </w:rPr>
        <w:t>‘</w:t>
      </w:r>
      <w:r w:rsidRPr="00E57CCD">
        <w:rPr>
          <w:rFonts w:ascii="Times New Roman" w:eastAsia="Times New Roman" w:hAnsi="Times New Roman"/>
          <w:sz w:val="24"/>
          <w:szCs w:val="24"/>
        </w:rPr>
        <w:t>to encourage military service by minimizing the disadvantages to civilian careers.</w:t>
      </w:r>
      <w:r>
        <w:rPr>
          <w:rFonts w:ascii="Times New Roman" w:eastAsia="Times New Roman" w:hAnsi="Times New Roman"/>
          <w:sz w:val="24"/>
          <w:szCs w:val="24"/>
        </w:rPr>
        <w:t>’</w:t>
      </w:r>
      <w:r w:rsidRPr="00E57CCD">
        <w:rPr>
          <w:rFonts w:ascii="Times New Roman" w:eastAsia="Times New Roman" w:hAnsi="Times New Roman"/>
          <w:sz w:val="24"/>
          <w:szCs w:val="24"/>
        </w:rPr>
        <w:t xml:space="preserve"> </w:t>
      </w:r>
      <w:r w:rsidRPr="00E57CCD">
        <w:rPr>
          <w:rFonts w:ascii="Times New Roman" w:eastAsia="Times New Roman" w:hAnsi="Times New Roman"/>
          <w:i/>
          <w:iCs/>
          <w:sz w:val="24"/>
          <w:szCs w:val="24"/>
        </w:rPr>
        <w:t>DeLee v</w:t>
      </w:r>
      <w:r w:rsidRPr="00E57CCD">
        <w:rPr>
          <w:rFonts w:ascii="Times New Roman" w:eastAsia="Times New Roman" w:hAnsi="Times New Roman"/>
          <w:sz w:val="24"/>
          <w:szCs w:val="24"/>
        </w:rPr>
        <w:t xml:space="preserve">. </w:t>
      </w:r>
      <w:r w:rsidRPr="00E57CCD">
        <w:rPr>
          <w:rFonts w:ascii="Times New Roman" w:eastAsia="Times New Roman" w:hAnsi="Times New Roman"/>
          <w:i/>
          <w:iCs/>
          <w:sz w:val="24"/>
          <w:szCs w:val="24"/>
        </w:rPr>
        <w:t>City of Plymouth</w:t>
      </w:r>
      <w:r w:rsidRPr="00E57CCD">
        <w:rPr>
          <w:rFonts w:ascii="Times New Roman" w:eastAsia="Times New Roman" w:hAnsi="Times New Roman"/>
          <w:sz w:val="24"/>
          <w:szCs w:val="24"/>
        </w:rPr>
        <w:t xml:space="preserve">, </w:t>
      </w:r>
      <w:r w:rsidRPr="00E57CCD">
        <w:rPr>
          <w:rFonts w:ascii="Times New Roman" w:eastAsia="Times New Roman" w:hAnsi="Times New Roman"/>
          <w:i/>
          <w:iCs/>
          <w:sz w:val="24"/>
          <w:szCs w:val="24"/>
        </w:rPr>
        <w:t>Ind</w:t>
      </w:r>
      <w:r w:rsidRPr="00E57CCD">
        <w:rPr>
          <w:rFonts w:ascii="Times New Roman" w:eastAsia="Times New Roman" w:hAnsi="Times New Roman"/>
          <w:sz w:val="24"/>
          <w:szCs w:val="24"/>
        </w:rPr>
        <w:t>., 773 F.3d 172, 175 (7th Cir. 2014). While it may be true that plaintiff could have avoided missing the qualifying exam if he had agreed to take the written portion remotely, plaintiff might be able to show that requiring him to prepare for and take the test during his period of active duty placed him at a disadvantage as</w:t>
      </w:r>
      <w:r>
        <w:rPr>
          <w:rFonts w:ascii="Times New Roman" w:eastAsia="Times New Roman" w:hAnsi="Times New Roman"/>
          <w:sz w:val="24"/>
          <w:szCs w:val="24"/>
        </w:rPr>
        <w:t xml:space="preserve"> </w:t>
      </w:r>
      <w:r w:rsidRPr="00E57CCD">
        <w:rPr>
          <w:rFonts w:ascii="Times New Roman" w:eastAsia="Times New Roman" w:hAnsi="Times New Roman"/>
          <w:sz w:val="24"/>
          <w:szCs w:val="24"/>
        </w:rPr>
        <w:t>compared to non-service members, arguably in violation of the statute's purpose.</w:t>
      </w:r>
      <w:r>
        <w:rPr>
          <w:rFonts w:ascii="Times New Roman" w:eastAsia="Times New Roman" w:hAnsi="Times New Roman"/>
          <w:sz w:val="24"/>
          <w:szCs w:val="24"/>
        </w:rPr>
        <w:t>”</w:t>
      </w:r>
      <w:hyperlink r:id="rId1824" w:history="1">
        <w:r w:rsidRPr="00C34615">
          <w:rPr>
            <w:rStyle w:val="Hyperlink"/>
            <w:rFonts w:ascii="Times New Roman" w:eastAsia="Times New Roman" w:hAnsi="Times New Roman"/>
            <w:sz w:val="24"/>
            <w:szCs w:val="24"/>
          </w:rPr>
          <w:t>https://public.fastcase.com/Wl%2B2t%2BeVuI35%2FN70vAMFZq7BNtl3UAn66ukthA6exr4OG2Q55i9ib96ohnNtBuMo</w:t>
        </w:r>
      </w:hyperlink>
      <w:r>
        <w:rPr>
          <w:rFonts w:ascii="Times New Roman" w:eastAsia="Times New Roman" w:hAnsi="Times New Roman"/>
          <w:sz w:val="24"/>
          <w:szCs w:val="24"/>
        </w:rPr>
        <w:t xml:space="preserve"> </w:t>
      </w:r>
    </w:p>
    <w:p w14:paraId="050D746F" w14:textId="77777777" w:rsidR="00AC1E3A" w:rsidRDefault="00AC1E3A" w:rsidP="00AC1E3A">
      <w:pPr>
        <w:spacing w:before="100" w:beforeAutospacing="1" w:after="100" w:afterAutospacing="1" w:line="240" w:lineRule="auto"/>
        <w:rPr>
          <w:rStyle w:val="Hyperlink"/>
          <w:rFonts w:ascii="Times New Roman" w:hAnsi="Times New Roman"/>
          <w:sz w:val="24"/>
          <w:szCs w:val="24"/>
        </w:rPr>
      </w:pPr>
      <w:r w:rsidRPr="00C17950">
        <w:rPr>
          <w:rFonts w:ascii="Times New Roman" w:eastAsia="Times New Roman" w:hAnsi="Times New Roman"/>
          <w:b/>
          <w:bCs/>
          <w:sz w:val="24"/>
          <w:szCs w:val="24"/>
        </w:rPr>
        <w:t>Legal Lesson</w:t>
      </w:r>
      <w:r>
        <w:rPr>
          <w:rFonts w:ascii="Times New Roman" w:eastAsia="Times New Roman" w:hAnsi="Times New Roman"/>
          <w:b/>
          <w:bCs/>
          <w:sz w:val="24"/>
          <w:szCs w:val="24"/>
        </w:rPr>
        <w:t xml:space="preserve"> </w:t>
      </w:r>
      <w:r w:rsidRPr="00C17950">
        <w:rPr>
          <w:rFonts w:ascii="Times New Roman" w:eastAsia="Times New Roman" w:hAnsi="Times New Roman"/>
          <w:b/>
          <w:bCs/>
          <w:sz w:val="24"/>
          <w:szCs w:val="24"/>
        </w:rPr>
        <w:t xml:space="preserve">Learned: The U.S. Department of Justice has aggressively enforced the </w:t>
      </w:r>
      <w:r w:rsidRPr="00C17950">
        <w:rPr>
          <w:rFonts w:ascii="Times New Roman" w:hAnsi="Times New Roman"/>
          <w:b/>
          <w:bCs/>
          <w:sz w:val="24"/>
          <w:szCs w:val="24"/>
        </w:rPr>
        <w:t>Uniformed Services Employment and Reemployment Rights Act.  See their Web page:</w:t>
      </w:r>
      <w:r>
        <w:rPr>
          <w:rFonts w:ascii="Times New Roman" w:hAnsi="Times New Roman"/>
          <w:sz w:val="24"/>
          <w:szCs w:val="24"/>
        </w:rPr>
        <w:t xml:space="preserve"> </w:t>
      </w:r>
      <w:hyperlink r:id="rId1825" w:history="1">
        <w:r w:rsidRPr="00C34615">
          <w:rPr>
            <w:rStyle w:val="Hyperlink"/>
            <w:rFonts w:ascii="Times New Roman" w:hAnsi="Times New Roman"/>
            <w:sz w:val="24"/>
            <w:szCs w:val="24"/>
          </w:rPr>
          <w:t>https://www.justice.gov/servicemembers/other-resources</w:t>
        </w:r>
      </w:hyperlink>
      <w:r>
        <w:rPr>
          <w:rStyle w:val="Hyperlink"/>
          <w:rFonts w:ascii="Times New Roman" w:hAnsi="Times New Roman"/>
          <w:sz w:val="24"/>
          <w:szCs w:val="24"/>
        </w:rPr>
        <w:t>.</w:t>
      </w:r>
    </w:p>
    <w:p w14:paraId="70386EDC" w14:textId="77777777" w:rsidR="00AC1E3A" w:rsidRDefault="00AC1E3A" w:rsidP="00AC1E3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See also the Complaint they filed in this case: </w:t>
      </w:r>
      <w:hyperlink r:id="rId1826" w:history="1">
        <w:r w:rsidRPr="00C34615">
          <w:rPr>
            <w:rStyle w:val="Hyperlink"/>
            <w:rFonts w:ascii="Times New Roman" w:eastAsia="Times New Roman" w:hAnsi="Times New Roman"/>
            <w:sz w:val="24"/>
            <w:szCs w:val="24"/>
          </w:rPr>
          <w:t>https://www.justice.gov/crt/case-document/file/1227366/download</w:t>
        </w:r>
      </w:hyperlink>
      <w:r>
        <w:rPr>
          <w:rFonts w:ascii="Times New Roman" w:eastAsia="Times New Roman" w:hAnsi="Times New Roman"/>
          <w:sz w:val="24"/>
          <w:szCs w:val="24"/>
        </w:rPr>
        <w:t xml:space="preserve"> .   He was on military duty as an attorney at Fort Riley, Kansas. </w:t>
      </w:r>
      <w:r>
        <w:rPr>
          <w:rFonts w:ascii="Times New Roman" w:hAnsi="Times New Roman"/>
          <w:sz w:val="24"/>
          <w:szCs w:val="24"/>
        </w:rPr>
        <w:t>“</w:t>
      </w:r>
      <w:r w:rsidRPr="00425EED">
        <w:rPr>
          <w:rFonts w:ascii="Times New Roman" w:hAnsi="Times New Roman"/>
          <w:sz w:val="24"/>
          <w:szCs w:val="24"/>
        </w:rPr>
        <w:t>On October 31, 2016, Jill May notified Strong that the DHR’s October 5, 2016, grant of his request to take the Fire Engineer examination upon his return from</w:t>
      </w:r>
      <w:r>
        <w:rPr>
          <w:rFonts w:ascii="Times New Roman" w:hAnsi="Times New Roman"/>
          <w:sz w:val="24"/>
          <w:szCs w:val="24"/>
        </w:rPr>
        <w:t xml:space="preserve"> </w:t>
      </w:r>
      <w:r w:rsidRPr="00425EED">
        <w:rPr>
          <w:rFonts w:ascii="Times New Roman" w:hAnsi="Times New Roman"/>
          <w:sz w:val="24"/>
          <w:szCs w:val="24"/>
        </w:rPr>
        <w:t>active duty was</w:t>
      </w:r>
      <w:r>
        <w:rPr>
          <w:rFonts w:ascii="Times New Roman" w:hAnsi="Times New Roman"/>
          <w:sz w:val="24"/>
          <w:szCs w:val="24"/>
        </w:rPr>
        <w:t xml:space="preserve"> </w:t>
      </w:r>
      <w:r w:rsidRPr="00425EED">
        <w:rPr>
          <w:rFonts w:ascii="Times New Roman" w:hAnsi="Times New Roman"/>
          <w:sz w:val="24"/>
          <w:szCs w:val="24"/>
        </w:rPr>
        <w:t>erroneous. She noted that</w:t>
      </w:r>
      <w:r>
        <w:rPr>
          <w:rFonts w:ascii="Times New Roman" w:hAnsi="Times New Roman"/>
          <w:sz w:val="24"/>
          <w:szCs w:val="24"/>
        </w:rPr>
        <w:t xml:space="preserve"> </w:t>
      </w:r>
      <w:r w:rsidRPr="00425EED">
        <w:rPr>
          <w:rFonts w:ascii="Times New Roman" w:hAnsi="Times New Roman"/>
          <w:sz w:val="24"/>
          <w:szCs w:val="24"/>
        </w:rPr>
        <w:t>the</w:t>
      </w:r>
      <w:r>
        <w:rPr>
          <w:rFonts w:ascii="Times New Roman" w:hAnsi="Times New Roman"/>
          <w:sz w:val="24"/>
          <w:szCs w:val="24"/>
        </w:rPr>
        <w:t xml:space="preserve"> </w:t>
      </w:r>
      <w:r w:rsidRPr="00425EED">
        <w:rPr>
          <w:rFonts w:ascii="Times New Roman" w:hAnsi="Times New Roman"/>
          <w:sz w:val="24"/>
          <w:szCs w:val="24"/>
        </w:rPr>
        <w:t>DHR was prepared</w:t>
      </w:r>
      <w:r>
        <w:rPr>
          <w:rFonts w:ascii="Times New Roman" w:hAnsi="Times New Roman"/>
          <w:sz w:val="24"/>
          <w:szCs w:val="24"/>
        </w:rPr>
        <w:t xml:space="preserve"> </w:t>
      </w:r>
      <w:r w:rsidRPr="00425EED">
        <w:rPr>
          <w:rFonts w:ascii="Times New Roman" w:hAnsi="Times New Roman"/>
          <w:sz w:val="24"/>
          <w:szCs w:val="24"/>
        </w:rPr>
        <w:t>to remotely</w:t>
      </w:r>
      <w:r>
        <w:rPr>
          <w:rFonts w:ascii="Times New Roman" w:hAnsi="Times New Roman"/>
          <w:sz w:val="24"/>
          <w:szCs w:val="24"/>
        </w:rPr>
        <w:t xml:space="preserve"> </w:t>
      </w:r>
      <w:r w:rsidRPr="00425EED">
        <w:rPr>
          <w:rFonts w:ascii="Times New Roman" w:hAnsi="Times New Roman"/>
          <w:sz w:val="24"/>
          <w:szCs w:val="24"/>
        </w:rPr>
        <w:t>administer the first part of the examination to Strong on</w:t>
      </w:r>
      <w:r>
        <w:rPr>
          <w:rFonts w:ascii="Times New Roman" w:hAnsi="Times New Roman"/>
          <w:sz w:val="24"/>
          <w:szCs w:val="24"/>
        </w:rPr>
        <w:t xml:space="preserve"> </w:t>
      </w:r>
      <w:r w:rsidRPr="00425EED">
        <w:rPr>
          <w:rFonts w:ascii="Times New Roman" w:hAnsi="Times New Roman"/>
          <w:sz w:val="24"/>
          <w:szCs w:val="24"/>
        </w:rPr>
        <w:t>December 10, 2016, while he was on approved</w:t>
      </w:r>
      <w:r>
        <w:rPr>
          <w:rFonts w:ascii="Times New Roman" w:hAnsi="Times New Roman"/>
          <w:sz w:val="24"/>
          <w:szCs w:val="24"/>
        </w:rPr>
        <w:t xml:space="preserve"> </w:t>
      </w:r>
      <w:r w:rsidRPr="00425EED">
        <w:rPr>
          <w:rFonts w:ascii="Times New Roman" w:hAnsi="Times New Roman"/>
          <w:sz w:val="24"/>
          <w:szCs w:val="24"/>
        </w:rPr>
        <w:t>military leave from</w:t>
      </w:r>
      <w:r>
        <w:rPr>
          <w:rFonts w:ascii="Times New Roman" w:hAnsi="Times New Roman"/>
          <w:sz w:val="24"/>
          <w:szCs w:val="24"/>
        </w:rPr>
        <w:t xml:space="preserve"> </w:t>
      </w:r>
      <w:r w:rsidRPr="00425EED">
        <w:rPr>
          <w:rFonts w:ascii="Times New Roman" w:hAnsi="Times New Roman"/>
          <w:sz w:val="24"/>
          <w:szCs w:val="24"/>
        </w:rPr>
        <w:t>the CFD, at the site</w:t>
      </w:r>
      <w:r>
        <w:rPr>
          <w:rFonts w:ascii="Times New Roman" w:hAnsi="Times New Roman"/>
          <w:sz w:val="24"/>
          <w:szCs w:val="24"/>
        </w:rPr>
        <w:t xml:space="preserve"> </w:t>
      </w:r>
      <w:r w:rsidRPr="00425EED">
        <w:rPr>
          <w:rFonts w:ascii="Times New Roman" w:hAnsi="Times New Roman"/>
          <w:sz w:val="24"/>
          <w:szCs w:val="24"/>
        </w:rPr>
        <w:t>of</w:t>
      </w:r>
      <w:r>
        <w:rPr>
          <w:rFonts w:ascii="Times New Roman" w:hAnsi="Times New Roman"/>
          <w:sz w:val="24"/>
          <w:szCs w:val="24"/>
        </w:rPr>
        <w:t xml:space="preserve"> </w:t>
      </w:r>
      <w:r w:rsidRPr="00425EED">
        <w:rPr>
          <w:rFonts w:ascii="Times New Roman" w:hAnsi="Times New Roman"/>
          <w:sz w:val="24"/>
          <w:szCs w:val="24"/>
        </w:rPr>
        <w:t>his military</w:t>
      </w:r>
      <w:r>
        <w:rPr>
          <w:rFonts w:ascii="Times New Roman" w:hAnsi="Times New Roman"/>
          <w:sz w:val="24"/>
          <w:szCs w:val="24"/>
        </w:rPr>
        <w:t xml:space="preserve"> </w:t>
      </w:r>
      <w:r w:rsidRPr="00425EED">
        <w:rPr>
          <w:rFonts w:ascii="Times New Roman" w:hAnsi="Times New Roman"/>
          <w:sz w:val="24"/>
          <w:szCs w:val="24"/>
        </w:rPr>
        <w:t>duty</w:t>
      </w:r>
      <w:r>
        <w:rPr>
          <w:rFonts w:ascii="Times New Roman" w:hAnsi="Times New Roman"/>
          <w:sz w:val="24"/>
          <w:szCs w:val="24"/>
        </w:rPr>
        <w:t xml:space="preserve"> </w:t>
      </w:r>
      <w:r w:rsidRPr="00425EED">
        <w:rPr>
          <w:rFonts w:ascii="Times New Roman" w:hAnsi="Times New Roman"/>
          <w:sz w:val="24"/>
          <w:szCs w:val="24"/>
        </w:rPr>
        <w:t>station, and required that he accept or decline the remote test administration notice by November 4, 2016.</w:t>
      </w:r>
      <w:r>
        <w:rPr>
          <w:rFonts w:ascii="Times New Roman" w:hAnsi="Times New Roman"/>
          <w:sz w:val="24"/>
          <w:szCs w:val="24"/>
        </w:rPr>
        <w:t xml:space="preserve">” [Para. 32.]  </w:t>
      </w:r>
    </w:p>
    <w:p w14:paraId="4001D207" w14:textId="77777777" w:rsidR="00AC1E3A" w:rsidRPr="00425EED" w:rsidRDefault="00AC1E3A" w:rsidP="00AC1E3A">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Relief requested includes: “</w:t>
      </w:r>
      <w:r w:rsidRPr="00425EED">
        <w:rPr>
          <w:rFonts w:ascii="Times New Roman" w:hAnsi="Times New Roman"/>
          <w:sz w:val="24"/>
          <w:szCs w:val="24"/>
        </w:rPr>
        <w:t>should his score merit, providing Strong a certification for promotion date that corresponds to that of others who took the 2016 Fire Engineer promotional examination and achieved the same or similar score</w:t>
      </w:r>
      <w:r>
        <w:rPr>
          <w:rFonts w:ascii="Times New Roman" w:hAnsi="Times New Roman"/>
          <w:sz w:val="24"/>
          <w:szCs w:val="24"/>
        </w:rPr>
        <w:t>….” [Para. 62 (40.]</w:t>
      </w:r>
    </w:p>
    <w:p w14:paraId="7A8A889C" w14:textId="77777777" w:rsidR="00AC1E3A" w:rsidRDefault="00AC1E3A" w:rsidP="00F326E5">
      <w:pPr>
        <w:rPr>
          <w:rFonts w:ascii="Arial Black" w:hAnsi="Arial Black"/>
          <w:b/>
          <w:sz w:val="24"/>
          <w:szCs w:val="24"/>
        </w:rPr>
      </w:pPr>
    </w:p>
    <w:p w14:paraId="4E06CE52" w14:textId="77777777" w:rsidR="00863F9E" w:rsidRDefault="00863F9E" w:rsidP="00F326E5">
      <w:pPr>
        <w:rPr>
          <w:rFonts w:ascii="Arial Black" w:hAnsi="Arial Black"/>
          <w:b/>
          <w:sz w:val="24"/>
          <w:szCs w:val="24"/>
        </w:rPr>
      </w:pPr>
    </w:p>
    <w:p w14:paraId="486BB607" w14:textId="5B83DAE4" w:rsidR="00102FD0" w:rsidRDefault="00102FD0" w:rsidP="00F326E5">
      <w:pPr>
        <w:rPr>
          <w:rFonts w:ascii="Arial Black" w:hAnsi="Arial Black"/>
          <w:b/>
          <w:sz w:val="24"/>
          <w:szCs w:val="24"/>
        </w:rPr>
      </w:pPr>
      <w:r>
        <w:rPr>
          <w:rFonts w:ascii="Arial Black" w:hAnsi="Arial Black"/>
          <w:b/>
          <w:sz w:val="24"/>
          <w:szCs w:val="24"/>
        </w:rPr>
        <w:t>11-2</w:t>
      </w:r>
      <w:r w:rsidR="00B13773">
        <w:rPr>
          <w:rFonts w:ascii="Arial Black" w:hAnsi="Arial Black"/>
          <w:b/>
          <w:sz w:val="24"/>
          <w:szCs w:val="24"/>
        </w:rPr>
        <w:t>3</w:t>
      </w:r>
    </w:p>
    <w:p w14:paraId="61003C9D" w14:textId="77777777" w:rsidR="00102FD0" w:rsidRDefault="00102FD0" w:rsidP="00102FD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FL: “ON CALL” TIME - DEPUTY SHERIFF, 1-HR TO RESPOND – PERSONAL TIME NOT SEVERELY RESTRICTED – NO PAY</w:t>
      </w:r>
    </w:p>
    <w:p w14:paraId="61223A6F" w14:textId="77777777" w:rsidR="00102FD0" w:rsidRDefault="00102FD0" w:rsidP="00102FD0">
      <w:pPr>
        <w:tabs>
          <w:tab w:val="left" w:pos="2220"/>
        </w:tabs>
        <w:spacing w:before="100" w:beforeAutospacing="1" w:after="100" w:afterAutospacing="1" w:line="240" w:lineRule="auto"/>
        <w:rPr>
          <w:rFonts w:ascii="Times New Roman" w:eastAsia="Times New Roman" w:hAnsi="Times New Roman"/>
          <w:sz w:val="24"/>
          <w:szCs w:val="24"/>
        </w:rPr>
      </w:pPr>
      <w:r w:rsidRPr="00B05EAF">
        <w:rPr>
          <w:rFonts w:ascii="Times New Roman" w:eastAsia="Times New Roman" w:hAnsi="Times New Roman"/>
          <w:sz w:val="24"/>
          <w:szCs w:val="24"/>
        </w:rPr>
        <w:t xml:space="preserve">On Oct. 3, 2020, </w:t>
      </w:r>
      <w:r>
        <w:rPr>
          <w:rFonts w:ascii="Times New Roman" w:eastAsia="Times New Roman" w:hAnsi="Times New Roman"/>
          <w:sz w:val="24"/>
          <w:szCs w:val="24"/>
        </w:rPr>
        <w:t xml:space="preserve">in </w:t>
      </w:r>
      <w:r w:rsidRPr="00B05EAF">
        <w:rPr>
          <w:rFonts w:ascii="Times New Roman" w:eastAsia="Times New Roman" w:hAnsi="Times New Roman"/>
          <w:sz w:val="24"/>
          <w:szCs w:val="24"/>
          <w:u w:val="single"/>
        </w:rPr>
        <w:t>Joseph Caiazza</w:t>
      </w:r>
      <w:r>
        <w:rPr>
          <w:rFonts w:ascii="Times New Roman" w:eastAsia="Times New Roman" w:hAnsi="Times New Roman"/>
          <w:sz w:val="24"/>
          <w:szCs w:val="24"/>
          <w:u w:val="single"/>
        </w:rPr>
        <w:t>, on his own behalf and those similarly situated</w:t>
      </w:r>
      <w:r w:rsidRPr="00B05EAF">
        <w:rPr>
          <w:rFonts w:ascii="Times New Roman" w:eastAsia="Times New Roman" w:hAnsi="Times New Roman"/>
          <w:sz w:val="24"/>
          <w:szCs w:val="24"/>
          <w:u w:val="single"/>
        </w:rPr>
        <w:t xml:space="preserve"> v. Carmine Marceno</w:t>
      </w:r>
      <w:r>
        <w:rPr>
          <w:rFonts w:ascii="Times New Roman" w:eastAsia="Times New Roman" w:hAnsi="Times New Roman"/>
          <w:sz w:val="24"/>
          <w:szCs w:val="24"/>
        </w:rPr>
        <w:t xml:space="preserve">, U.S. District Court Judge Sheri P. Chappell, Middle District of Florida (Fort Myers Division), granted the County’s motion for summary judgment concerning on call time;  during on call times, Deputy Sheriff had to respond within one hour, and no alcohol; but case may proceed on plaintiff’s allegation that County failed to pay him when held over after working shifts. </w:t>
      </w:r>
    </w:p>
    <w:p w14:paraId="407BD0D3" w14:textId="4943E67C" w:rsidR="00102FD0" w:rsidRPr="00944B05" w:rsidRDefault="00102FD0" w:rsidP="00102FD0">
      <w:pPr>
        <w:tabs>
          <w:tab w:val="left" w:pos="2220"/>
        </w:tabs>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r w:rsidRPr="00944B05">
        <w:rPr>
          <w:rFonts w:ascii="Times New Roman" w:hAnsi="Times New Roman"/>
          <w:sz w:val="24"/>
          <w:szCs w:val="24"/>
        </w:rPr>
        <w:t xml:space="preserve">Caiazza contends all the time he spent on call is compensable. </w:t>
      </w:r>
      <w:proofErr w:type="spellStart"/>
      <w:r w:rsidRPr="00944B05">
        <w:rPr>
          <w:rFonts w:ascii="Times New Roman" w:hAnsi="Times New Roman"/>
          <w:sz w:val="24"/>
          <w:szCs w:val="24"/>
        </w:rPr>
        <w:t>Marceno</w:t>
      </w:r>
      <w:proofErr w:type="spellEnd"/>
      <w:r w:rsidRPr="00944B05">
        <w:rPr>
          <w:rFonts w:ascii="Times New Roman" w:hAnsi="Times New Roman"/>
          <w:sz w:val="24"/>
          <w:szCs w:val="24"/>
        </w:rPr>
        <w:t xml:space="preserve"> counters </w:t>
      </w:r>
      <w:r>
        <w:rPr>
          <w:rFonts w:ascii="Times New Roman" w:hAnsi="Times New Roman"/>
          <w:sz w:val="24"/>
          <w:szCs w:val="24"/>
        </w:rPr>
        <w:t xml:space="preserve">  </w:t>
      </w:r>
      <w:r w:rsidRPr="00944B05">
        <w:rPr>
          <w:rFonts w:ascii="Times New Roman" w:hAnsi="Times New Roman"/>
          <w:sz w:val="24"/>
          <w:szCs w:val="24"/>
        </w:rPr>
        <w:t xml:space="preserve">that such time was not spent working under the FLSA, so no pay was necessary. The Court agrees with </w:t>
      </w:r>
      <w:proofErr w:type="spellStart"/>
      <w:r w:rsidRPr="00944B05">
        <w:rPr>
          <w:rFonts w:ascii="Times New Roman" w:hAnsi="Times New Roman"/>
          <w:sz w:val="24"/>
          <w:szCs w:val="24"/>
        </w:rPr>
        <w:t>Marceno</w:t>
      </w:r>
      <w:proofErr w:type="spellEnd"/>
      <w:r w:rsidRPr="00944B05">
        <w:rPr>
          <w:rFonts w:ascii="Times New Roman" w:hAnsi="Times New Roman"/>
          <w:sz w:val="24"/>
          <w:szCs w:val="24"/>
        </w:rPr>
        <w:t xml:space="preserve"> and holds the time Caiazza spent on call (but not called out) was not compensable, so Caiazza is not entitled to overtime pay based on those hours.</w:t>
      </w:r>
      <w:r>
        <w:rPr>
          <w:rFonts w:ascii="Times New Roman" w:hAnsi="Times New Roman"/>
          <w:sz w:val="24"/>
          <w:szCs w:val="24"/>
        </w:rPr>
        <w:t xml:space="preserve">”  </w:t>
      </w:r>
      <w:hyperlink r:id="rId1827" w:history="1">
        <w:r w:rsidRPr="00A8739B">
          <w:rPr>
            <w:rStyle w:val="Hyperlink"/>
            <w:rFonts w:ascii="Times New Roman" w:hAnsi="Times New Roman"/>
            <w:sz w:val="24"/>
            <w:szCs w:val="24"/>
          </w:rPr>
          <w:t>https://public.fastcase.com/Wl%2B2t%2BeVuI35%2FN70vAMFZjQ0yk8eNGgy%2FibI6B2NDAJYgZ2PRe3I9j%2FKWgfFbNa7</w:t>
        </w:r>
      </w:hyperlink>
      <w:r w:rsidRPr="00944B05">
        <w:rPr>
          <w:rFonts w:ascii="Times New Roman" w:hAnsi="Times New Roman"/>
          <w:sz w:val="24"/>
          <w:szCs w:val="24"/>
        </w:rPr>
        <w:t xml:space="preserve"> </w:t>
      </w:r>
    </w:p>
    <w:p w14:paraId="733B539C" w14:textId="77777777" w:rsidR="00102FD0" w:rsidRPr="005C6354" w:rsidRDefault="00102FD0" w:rsidP="00102FD0">
      <w:pPr>
        <w:spacing w:before="100" w:beforeAutospacing="1" w:after="100" w:afterAutospacing="1" w:line="240" w:lineRule="auto"/>
        <w:rPr>
          <w:rFonts w:ascii="Times New Roman" w:eastAsia="Times New Roman" w:hAnsi="Times New Roman"/>
          <w:b/>
          <w:bCs/>
          <w:sz w:val="24"/>
          <w:szCs w:val="24"/>
        </w:rPr>
      </w:pPr>
      <w:r w:rsidRPr="005C6354">
        <w:rPr>
          <w:rFonts w:ascii="Times New Roman" w:eastAsia="Times New Roman" w:hAnsi="Times New Roman"/>
          <w:b/>
          <w:bCs/>
          <w:sz w:val="24"/>
          <w:szCs w:val="24"/>
        </w:rPr>
        <w:t>Legal Lesson</w:t>
      </w:r>
      <w:r>
        <w:rPr>
          <w:rFonts w:ascii="Times New Roman" w:eastAsia="Times New Roman" w:hAnsi="Times New Roman"/>
          <w:b/>
          <w:bCs/>
          <w:sz w:val="24"/>
          <w:szCs w:val="24"/>
        </w:rPr>
        <w:t xml:space="preserve"> </w:t>
      </w:r>
      <w:r w:rsidRPr="005C6354">
        <w:rPr>
          <w:rFonts w:ascii="Times New Roman" w:eastAsia="Times New Roman" w:hAnsi="Times New Roman"/>
          <w:b/>
          <w:bCs/>
          <w:sz w:val="24"/>
          <w:szCs w:val="24"/>
        </w:rPr>
        <w:t xml:space="preserve">Learned: Unless the </w:t>
      </w:r>
      <w:proofErr w:type="gramStart"/>
      <w:r w:rsidRPr="005C6354">
        <w:rPr>
          <w:rFonts w:ascii="Times New Roman" w:eastAsia="Times New Roman" w:hAnsi="Times New Roman"/>
          <w:b/>
          <w:bCs/>
          <w:sz w:val="24"/>
          <w:szCs w:val="24"/>
        </w:rPr>
        <w:t>on call</w:t>
      </w:r>
      <w:proofErr w:type="gramEnd"/>
      <w:r w:rsidRPr="005C6354">
        <w:rPr>
          <w:rFonts w:ascii="Times New Roman" w:eastAsia="Times New Roman" w:hAnsi="Times New Roman"/>
          <w:b/>
          <w:bCs/>
          <w:sz w:val="24"/>
          <w:szCs w:val="24"/>
        </w:rPr>
        <w:t xml:space="preserve"> </w:t>
      </w:r>
      <w:r w:rsidRPr="00944B05">
        <w:rPr>
          <w:rFonts w:ascii="Times New Roman" w:eastAsia="Times New Roman" w:hAnsi="Times New Roman"/>
          <w:b/>
          <w:bCs/>
          <w:sz w:val="24"/>
          <w:szCs w:val="24"/>
        </w:rPr>
        <w:t xml:space="preserve">employee </w:t>
      </w:r>
      <w:r>
        <w:rPr>
          <w:rFonts w:ascii="Times New Roman" w:eastAsia="Times New Roman" w:hAnsi="Times New Roman"/>
          <w:b/>
          <w:bCs/>
          <w:sz w:val="24"/>
          <w:szCs w:val="24"/>
        </w:rPr>
        <w:t xml:space="preserve">is severely restricted in his </w:t>
      </w:r>
      <w:r w:rsidRPr="00944B05">
        <w:rPr>
          <w:rFonts w:ascii="Times New Roman" w:eastAsia="Times New Roman" w:hAnsi="Times New Roman"/>
          <w:b/>
          <w:bCs/>
          <w:sz w:val="24"/>
          <w:szCs w:val="24"/>
        </w:rPr>
        <w:t>personal pursuits</w:t>
      </w:r>
      <w:r w:rsidRPr="005C6354">
        <w:rPr>
          <w:rFonts w:ascii="Times New Roman" w:eastAsia="Times New Roman" w:hAnsi="Times New Roman"/>
          <w:b/>
          <w:bCs/>
          <w:sz w:val="24"/>
          <w:szCs w:val="24"/>
        </w:rPr>
        <w:t>, the employee is “off the clock.”</w:t>
      </w:r>
    </w:p>
    <w:p w14:paraId="65BB6435" w14:textId="77777777" w:rsidR="00102FD0" w:rsidRDefault="00102FD0" w:rsidP="00F326E5">
      <w:pPr>
        <w:rPr>
          <w:rFonts w:ascii="Arial Black" w:hAnsi="Arial Black"/>
          <w:b/>
          <w:sz w:val="24"/>
          <w:szCs w:val="24"/>
        </w:rPr>
      </w:pPr>
    </w:p>
    <w:p w14:paraId="29C64616" w14:textId="57C42E14" w:rsidR="00102FD0" w:rsidRDefault="00102FD0"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22</w:t>
      </w:r>
    </w:p>
    <w:p w14:paraId="5BEF003E" w14:textId="77777777" w:rsidR="00102FD0" w:rsidRPr="00DC2F46" w:rsidRDefault="00102FD0" w:rsidP="00102FD0">
      <w:pPr>
        <w:pStyle w:val="NoSpacing"/>
        <w:rPr>
          <w:rFonts w:ascii="Arial Black" w:hAnsi="Arial Black"/>
          <w:sz w:val="28"/>
          <w:szCs w:val="28"/>
        </w:rPr>
      </w:pPr>
      <w:r>
        <w:rPr>
          <w:rFonts w:ascii="Arial Black" w:hAnsi="Arial Black"/>
          <w:sz w:val="28"/>
          <w:szCs w:val="28"/>
        </w:rPr>
        <w:t>IN: FLSA SETTLEMENT APPROVED BY FED. JUDGE - $26K AND TOWN DROPPED DEMAND THAT FF PAY BACK $89,878 IN OVERPAY</w:t>
      </w:r>
    </w:p>
    <w:p w14:paraId="7AE93764" w14:textId="77777777" w:rsidR="00102FD0" w:rsidRDefault="00102FD0" w:rsidP="00102FD0">
      <w:pPr>
        <w:spacing w:before="100" w:beforeAutospacing="1" w:after="100" w:afterAutospacing="1" w:line="240" w:lineRule="auto"/>
        <w:rPr>
          <w:rFonts w:ascii="Times New Roman" w:eastAsia="Times New Roman" w:hAnsi="Times New Roman"/>
          <w:sz w:val="24"/>
          <w:szCs w:val="24"/>
        </w:rPr>
      </w:pPr>
      <w:r w:rsidRPr="00DC2F46">
        <w:rPr>
          <w:rFonts w:ascii="Times New Roman" w:eastAsia="Times New Roman" w:hAnsi="Times New Roman"/>
          <w:sz w:val="24"/>
          <w:szCs w:val="24"/>
        </w:rPr>
        <w:t xml:space="preserve">On </w:t>
      </w:r>
      <w:r>
        <w:rPr>
          <w:rFonts w:ascii="Times New Roman" w:eastAsia="Times New Roman" w:hAnsi="Times New Roman"/>
          <w:sz w:val="24"/>
          <w:szCs w:val="24"/>
        </w:rPr>
        <w:t xml:space="preserve">Oct. 2, 2020, in </w:t>
      </w:r>
      <w:r w:rsidRPr="00DC2F46">
        <w:rPr>
          <w:rFonts w:ascii="Times New Roman" w:eastAsia="Times New Roman" w:hAnsi="Times New Roman"/>
          <w:sz w:val="24"/>
          <w:szCs w:val="24"/>
          <w:u w:val="single"/>
        </w:rPr>
        <w:t>Eric Camel, et al. v.  Town of Chesterton</w:t>
      </w:r>
      <w:r>
        <w:rPr>
          <w:rFonts w:ascii="Times New Roman" w:eastAsia="Times New Roman" w:hAnsi="Times New Roman"/>
          <w:sz w:val="24"/>
          <w:szCs w:val="24"/>
        </w:rPr>
        <w:t xml:space="preserve">, U.S. District Court Judge Theresa L. Springmann, Northern District of Indiana, approved the settlement for overtime pay of from 2011 to 2019 of $26,371, and waiver of City’s demand for repayment by 10 firefighters of $89,878 in overpayments received. </w:t>
      </w:r>
    </w:p>
    <w:p w14:paraId="5FFEF49B" w14:textId="77777777" w:rsidR="00102FD0" w:rsidRPr="00DC2F46" w:rsidRDefault="00102FD0" w:rsidP="00102FD0">
      <w:pPr>
        <w:spacing w:before="100" w:beforeAutospacing="1" w:after="100" w:afterAutospacing="1" w:line="240" w:lineRule="auto"/>
        <w:ind w:left="720"/>
        <w:rPr>
          <w:rFonts w:ascii="Times New Roman" w:eastAsia="Times New Roman" w:hAnsi="Times New Roman"/>
          <w:sz w:val="24"/>
          <w:szCs w:val="24"/>
        </w:rPr>
      </w:pPr>
      <w:r>
        <w:t>“</w:t>
      </w:r>
      <w:r w:rsidRPr="00DC2F46">
        <w:rPr>
          <w:rFonts w:ascii="Times New Roman" w:eastAsia="Times New Roman" w:hAnsi="Times New Roman"/>
          <w:sz w:val="24"/>
          <w:szCs w:val="24"/>
        </w:rPr>
        <w:t>Counsel for the parties represent that they reached an arms-length agreement</w:t>
      </w:r>
      <w:r>
        <w:rPr>
          <w:rFonts w:ascii="Times New Roman" w:eastAsia="Times New Roman" w:hAnsi="Times New Roman"/>
          <w:sz w:val="24"/>
          <w:szCs w:val="24"/>
        </w:rPr>
        <w:t xml:space="preserve"> </w:t>
      </w:r>
      <w:r w:rsidRPr="00DC2F46">
        <w:rPr>
          <w:rFonts w:ascii="Times New Roman" w:eastAsia="Times New Roman" w:hAnsi="Times New Roman"/>
          <w:sz w:val="24"/>
          <w:szCs w:val="24"/>
        </w:rPr>
        <w:t>to settle the case on August 10, 2020, after two months of extensive negotiations over the language of the Settlement Agreement. The parties agree that Plaintiffs' attorney's fees are reasonable in relation to the requirements of the case. They finalized the terms of the Settlement Agreement on August 25, 2020.</w:t>
      </w:r>
    </w:p>
    <w:p w14:paraId="52FAD31F" w14:textId="77777777" w:rsidR="00102FD0" w:rsidRDefault="00102FD0" w:rsidP="00102FD0">
      <w:pPr>
        <w:spacing w:before="100" w:beforeAutospacing="1" w:after="100" w:afterAutospacing="1" w:line="240" w:lineRule="auto"/>
        <w:ind w:left="720"/>
        <w:rPr>
          <w:rFonts w:ascii="Times New Roman" w:eastAsia="Times New Roman" w:hAnsi="Times New Roman"/>
          <w:sz w:val="24"/>
          <w:szCs w:val="24"/>
        </w:rPr>
      </w:pPr>
      <w:r w:rsidRPr="00DC2F46">
        <w:rPr>
          <w:rFonts w:ascii="Times New Roman" w:eastAsia="Times New Roman" w:hAnsi="Times New Roman"/>
          <w:sz w:val="24"/>
          <w:szCs w:val="24"/>
        </w:rPr>
        <w:t xml:space="preserve">The Settlement Agreement provides for a total payment of $26,371.24, which includes (1) a payment of $647.40 to Plaintiff Amanda Shine for back pay and liquidated damages, inclusive of all attorney's fees and costs; (2) a payment of $723.84 to Plaintiff Michael A. Coslet for back pay and liquidated damages, inclusive of all attorney's fees and costs; and (3) a payment of $25,000.00 in attorney's fees. The Settlement </w:t>
      </w:r>
    </w:p>
    <w:p w14:paraId="7B822CEA" w14:textId="77777777" w:rsidR="00102FD0" w:rsidRDefault="00102FD0" w:rsidP="00102FD0">
      <w:pPr>
        <w:spacing w:before="100" w:beforeAutospacing="1" w:after="100" w:afterAutospacing="1" w:line="240" w:lineRule="auto"/>
        <w:ind w:left="720"/>
        <w:rPr>
          <w:rFonts w:ascii="Times New Roman" w:eastAsia="Times New Roman" w:hAnsi="Times New Roman"/>
          <w:sz w:val="24"/>
          <w:szCs w:val="24"/>
        </w:rPr>
      </w:pPr>
    </w:p>
    <w:p w14:paraId="4C021959" w14:textId="77777777" w:rsidR="00102FD0" w:rsidRPr="00DC2F46" w:rsidRDefault="00102FD0" w:rsidP="00102FD0">
      <w:pPr>
        <w:spacing w:before="100" w:beforeAutospacing="1" w:after="100" w:afterAutospacing="1" w:line="240" w:lineRule="auto"/>
        <w:ind w:left="720"/>
        <w:rPr>
          <w:rFonts w:ascii="Times New Roman" w:eastAsia="Times New Roman" w:hAnsi="Times New Roman"/>
          <w:sz w:val="24"/>
          <w:szCs w:val="24"/>
        </w:rPr>
      </w:pPr>
      <w:r w:rsidRPr="00DC2F46">
        <w:rPr>
          <w:rFonts w:ascii="Times New Roman" w:eastAsia="Times New Roman" w:hAnsi="Times New Roman"/>
          <w:sz w:val="24"/>
          <w:szCs w:val="24"/>
        </w:rPr>
        <w:t xml:space="preserve">Agreement further provides for significant non-economic awards such as the addition of four vacation days in lieu of reduction time (and the elimination of reduction time), enacted through amendments to the Personnel Handbook and to the agreement between the Town of Chesterton and Chesterton Firefighters Local 4600; waiver of the $89,878.26 overpayment the Town of Chesterton alleges is owed by ten of the Plaintiffs; and the removal of a reprimand in two of the Plaintiffs' personnel files. </w:t>
      </w:r>
      <w:proofErr w:type="gramStart"/>
      <w:r w:rsidRPr="00DC2F46">
        <w:rPr>
          <w:rFonts w:ascii="Times New Roman" w:eastAsia="Times New Roman" w:hAnsi="Times New Roman"/>
          <w:sz w:val="24"/>
          <w:szCs w:val="24"/>
        </w:rPr>
        <w:t>And,</w:t>
      </w:r>
      <w:proofErr w:type="gramEnd"/>
      <w:r w:rsidRPr="00DC2F46">
        <w:rPr>
          <w:rFonts w:ascii="Times New Roman" w:eastAsia="Times New Roman" w:hAnsi="Times New Roman"/>
          <w:sz w:val="24"/>
          <w:szCs w:val="24"/>
        </w:rPr>
        <w:t xml:space="preserve"> the Settlement Agreement provides that Plaintiffs and the Town of Chesterton agree to dismiss </w:t>
      </w:r>
      <w:proofErr w:type="gramStart"/>
      <w:r w:rsidRPr="00DC2F46">
        <w:rPr>
          <w:rFonts w:ascii="Times New Roman" w:eastAsia="Times New Roman" w:hAnsi="Times New Roman"/>
          <w:sz w:val="24"/>
          <w:szCs w:val="24"/>
        </w:rPr>
        <w:t>all of</w:t>
      </w:r>
      <w:proofErr w:type="gramEnd"/>
      <w:r w:rsidRPr="00DC2F46">
        <w:rPr>
          <w:rFonts w:ascii="Times New Roman" w:eastAsia="Times New Roman" w:hAnsi="Times New Roman"/>
          <w:sz w:val="24"/>
          <w:szCs w:val="24"/>
        </w:rPr>
        <w:t xml:space="preserve"> their claims with prejudice within three business days of receipt of the settlement funds. The parties have submitted a spreadsheet showing the breakdown by named Plaintiff of the alleged overtime wages owed, the pre-suit payments made, the amounts to be paid pursuant to the Settlement Agreement, and the overpayments that will be waived pursuant to the Settlement Agreement. </w:t>
      </w:r>
      <w:r w:rsidRPr="00DC2F46">
        <w:rPr>
          <w:rFonts w:ascii="Times New Roman" w:eastAsia="Times New Roman" w:hAnsi="Times New Roman"/>
          <w:i/>
          <w:iCs/>
          <w:sz w:val="24"/>
          <w:szCs w:val="24"/>
        </w:rPr>
        <w:t>See</w:t>
      </w:r>
      <w:r w:rsidRPr="00DC2F46">
        <w:rPr>
          <w:rFonts w:ascii="Times New Roman" w:eastAsia="Times New Roman" w:hAnsi="Times New Roman"/>
          <w:sz w:val="24"/>
          <w:szCs w:val="24"/>
        </w:rPr>
        <w:t xml:space="preserve"> ECF No. 60-1.</w:t>
      </w:r>
      <w:r>
        <w:rPr>
          <w:rFonts w:ascii="Times New Roman" w:eastAsia="Times New Roman" w:hAnsi="Times New Roman"/>
          <w:sz w:val="24"/>
          <w:szCs w:val="24"/>
        </w:rPr>
        <w:t xml:space="preserve">” </w:t>
      </w:r>
      <w:hyperlink r:id="rId1828" w:history="1">
        <w:r w:rsidRPr="00987F62">
          <w:rPr>
            <w:rStyle w:val="Hyperlink"/>
            <w:rFonts w:ascii="Times New Roman" w:eastAsia="Times New Roman" w:hAnsi="Times New Roman"/>
            <w:sz w:val="24"/>
            <w:szCs w:val="24"/>
          </w:rPr>
          <w:t>https://law.justia.com/cases/federal/district-courts/indiana/inndce/2:2019cv00065/97508/61/</w:t>
        </w:r>
      </w:hyperlink>
      <w:r>
        <w:rPr>
          <w:rFonts w:ascii="Times New Roman" w:eastAsia="Times New Roman" w:hAnsi="Times New Roman"/>
          <w:sz w:val="24"/>
          <w:szCs w:val="24"/>
        </w:rPr>
        <w:t xml:space="preserve"> </w:t>
      </w:r>
    </w:p>
    <w:p w14:paraId="53580E72" w14:textId="77777777" w:rsidR="00102FD0" w:rsidRDefault="00102FD0" w:rsidP="00102FD0">
      <w:pPr>
        <w:tabs>
          <w:tab w:val="left" w:pos="3000"/>
        </w:tabs>
        <w:spacing w:before="100" w:beforeAutospacing="1" w:after="100" w:afterAutospacing="1" w:line="240" w:lineRule="auto"/>
        <w:rPr>
          <w:rFonts w:ascii="Times New Roman" w:eastAsia="Times New Roman" w:hAnsi="Times New Roman"/>
          <w:b/>
          <w:bCs/>
          <w:sz w:val="24"/>
          <w:szCs w:val="24"/>
        </w:rPr>
      </w:pPr>
      <w:r w:rsidRPr="00C01300">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FLSA settlements must be approved by Federal court or by the U.S. Department of Labor to ensure fairness of the settlements. </w:t>
      </w:r>
    </w:p>
    <w:p w14:paraId="742F1A88" w14:textId="77777777" w:rsidR="00102FD0" w:rsidRPr="00C01300" w:rsidRDefault="00102FD0" w:rsidP="00102FD0">
      <w:pPr>
        <w:pStyle w:val="NormalWeb"/>
        <w:ind w:firstLine="720"/>
      </w:pPr>
      <w:r w:rsidRPr="00C01300">
        <w:t>Note:</w:t>
      </w:r>
      <w:r>
        <w:rPr>
          <w:b/>
          <w:bCs/>
        </w:rPr>
        <w:t xml:space="preserve"> </w:t>
      </w:r>
      <w:r w:rsidRPr="00C01300">
        <w:t>The governing provision of the FLSA provides:</w:t>
      </w:r>
    </w:p>
    <w:p w14:paraId="4E19BB8E" w14:textId="77777777" w:rsidR="00102FD0" w:rsidRPr="00C01300" w:rsidRDefault="00102FD0" w:rsidP="00102FD0">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C01300">
        <w:rPr>
          <w:rFonts w:ascii="Times New Roman" w:eastAsia="Times New Roman" w:hAnsi="Times New Roman"/>
          <w:sz w:val="24"/>
          <w:szCs w:val="24"/>
        </w:rPr>
        <w:t>The Secretary is authorized to supervise the payment of the unpaid minimum wages or the unpaid overtime compensation owing to any employee or employees under section 206 or section 207 of this title, and the agreement of any employee to accept such payment shall upon payment in full constitute a waiver by such employee of any right he may have under subsection (b) of this section to such unpaid minimum wages or unpaid overtime compensation and an additional equal amount as liquidated damages.</w:t>
      </w:r>
      <w:r>
        <w:rPr>
          <w:rFonts w:ascii="Times New Roman" w:eastAsia="Times New Roman" w:hAnsi="Times New Roman"/>
          <w:sz w:val="24"/>
          <w:szCs w:val="24"/>
        </w:rPr>
        <w:t xml:space="preserve">” </w:t>
      </w:r>
      <w:r w:rsidRPr="00C01300">
        <w:rPr>
          <w:rFonts w:ascii="Times New Roman" w:eastAsia="Times New Roman" w:hAnsi="Times New Roman"/>
          <w:sz w:val="24"/>
          <w:szCs w:val="24"/>
        </w:rPr>
        <w:t>29 U.S.C. § 216(c).</w:t>
      </w:r>
    </w:p>
    <w:p w14:paraId="2F1D3C70" w14:textId="77777777" w:rsidR="00102FD0" w:rsidRDefault="00102FD0" w:rsidP="00F326E5">
      <w:pPr>
        <w:rPr>
          <w:rFonts w:ascii="Arial Black" w:hAnsi="Arial Black"/>
          <w:b/>
          <w:sz w:val="24"/>
          <w:szCs w:val="24"/>
        </w:rPr>
      </w:pPr>
    </w:p>
    <w:p w14:paraId="0D26F710" w14:textId="77777777" w:rsidR="00D4542A" w:rsidRDefault="00D4542A" w:rsidP="00F326E5">
      <w:pPr>
        <w:rPr>
          <w:rFonts w:ascii="Arial Black" w:hAnsi="Arial Black"/>
          <w:b/>
          <w:sz w:val="24"/>
          <w:szCs w:val="24"/>
        </w:rPr>
      </w:pPr>
    </w:p>
    <w:p w14:paraId="0DF50FCB" w14:textId="45200451" w:rsidR="00D4542A" w:rsidRDefault="00B13773" w:rsidP="00F326E5">
      <w:pPr>
        <w:rPr>
          <w:rFonts w:ascii="Arial Black" w:hAnsi="Arial Black"/>
          <w:b/>
          <w:sz w:val="24"/>
          <w:szCs w:val="24"/>
        </w:rPr>
      </w:pPr>
      <w:r>
        <w:rPr>
          <w:rFonts w:ascii="Arial Black" w:hAnsi="Arial Black"/>
          <w:b/>
          <w:sz w:val="24"/>
          <w:szCs w:val="24"/>
        </w:rPr>
        <w:t>11-21</w:t>
      </w:r>
    </w:p>
    <w:p w14:paraId="0B156FDA" w14:textId="77777777" w:rsidR="00D4542A" w:rsidRDefault="00D4542A" w:rsidP="00D4542A">
      <w:pPr>
        <w:rPr>
          <w:rFonts w:ascii="Arial Black" w:hAnsi="Arial Black"/>
          <w:sz w:val="28"/>
          <w:szCs w:val="28"/>
        </w:rPr>
      </w:pPr>
      <w:r>
        <w:rPr>
          <w:rFonts w:ascii="Arial Black" w:hAnsi="Arial Black"/>
          <w:sz w:val="28"/>
          <w:szCs w:val="28"/>
        </w:rPr>
        <w:t xml:space="preserve">IL: FF IN U.S. ARMY RESERVE – NOT ENTITLED TO “DIFFERENTIAL PAY” UNDER </w:t>
      </w:r>
      <w:r w:rsidRPr="00742B82">
        <w:rPr>
          <w:rFonts w:ascii="Arial Black" w:hAnsi="Arial Black"/>
          <w:sz w:val="28"/>
          <w:szCs w:val="28"/>
        </w:rPr>
        <w:t>USERRA</w:t>
      </w:r>
      <w:r>
        <w:rPr>
          <w:rFonts w:ascii="Arial Black" w:hAnsi="Arial Black"/>
          <w:sz w:val="28"/>
          <w:szCs w:val="28"/>
        </w:rPr>
        <w:t xml:space="preserve"> – MAY HAVE CLAIM UNDER STATE STATUTE</w:t>
      </w:r>
    </w:p>
    <w:p w14:paraId="117C0135" w14:textId="77777777" w:rsidR="00D4542A" w:rsidRDefault="00D4542A" w:rsidP="00D4542A">
      <w:pPr>
        <w:rPr>
          <w:rFonts w:ascii="Times New Roman" w:hAnsi="Times New Roman"/>
          <w:sz w:val="24"/>
          <w:szCs w:val="24"/>
        </w:rPr>
      </w:pPr>
      <w:r>
        <w:rPr>
          <w:rFonts w:ascii="Times New Roman" w:hAnsi="Times New Roman"/>
          <w:sz w:val="24"/>
          <w:szCs w:val="24"/>
        </w:rPr>
        <w:t xml:space="preserve">On September 28, 2020, in </w:t>
      </w:r>
      <w:r w:rsidRPr="00FC1C33">
        <w:rPr>
          <w:rFonts w:ascii="Times New Roman" w:hAnsi="Times New Roman"/>
          <w:sz w:val="24"/>
          <w:szCs w:val="24"/>
          <w:u w:val="single"/>
        </w:rPr>
        <w:t>Gregory Heckenbach v. Bloomingdale Fire Protection District et al</w:t>
      </w:r>
      <w:r>
        <w:rPr>
          <w:rFonts w:ascii="Times New Roman" w:hAnsi="Times New Roman"/>
          <w:sz w:val="24"/>
          <w:szCs w:val="24"/>
        </w:rPr>
        <w:t>., U.S. District Court Judge Steven C. Seeger granted the City’s motion for judgment on the pleadings concerning alleged violation of the federal USERRA (Uniformed Services Employment and Reemployment Rights Act of 1964).  While the State of Illinois has enacted a statute requiring differential pay under the Illinois Military Leave of Absence Act (for example, plaintiff states Chicago Police Department makes up difference) the federal statute has no such provision. Court also dismissed his defamation claim concerning FD calls to his Army Reserve commanders, since Illinois has a statute protecting public employees from on duty defamation claims.  His lawsuit on other counts concerning hostile workplace may proceed; he may also now sue in State court on his differential pay claim.</w:t>
      </w:r>
    </w:p>
    <w:p w14:paraId="5D470686" w14:textId="77777777" w:rsidR="00D4542A" w:rsidRPr="00EC52DB" w:rsidRDefault="00D4542A" w:rsidP="00D4542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EC52DB">
        <w:rPr>
          <w:rFonts w:ascii="Times New Roman" w:eastAsia="Times New Roman" w:hAnsi="Times New Roman"/>
          <w:sz w:val="24"/>
          <w:szCs w:val="24"/>
        </w:rPr>
        <w:t xml:space="preserve">Heckenbach relies on the fact that the Illinois Military Leave of Absence Act requires differential pay. </w:t>
      </w:r>
      <w:r w:rsidRPr="00EC52DB">
        <w:rPr>
          <w:rFonts w:ascii="Times New Roman" w:eastAsia="Times New Roman" w:hAnsi="Times New Roman"/>
          <w:i/>
          <w:iCs/>
          <w:sz w:val="24"/>
          <w:szCs w:val="24"/>
        </w:rPr>
        <w:t>Id</w:t>
      </w:r>
      <w:r w:rsidRPr="00EC52DB">
        <w:rPr>
          <w:rFonts w:ascii="Times New Roman" w:eastAsia="Times New Roman" w:hAnsi="Times New Roman"/>
          <w:sz w:val="24"/>
          <w:szCs w:val="24"/>
        </w:rPr>
        <w:t xml:space="preserve">. at 4-5. Again, that's the statute that governed during the period in question. The text of the statute required differential pay during training, </w:t>
      </w:r>
      <w:r w:rsidRPr="00EC52DB">
        <w:rPr>
          <w:rFonts w:ascii="Times New Roman" w:eastAsia="Times New Roman" w:hAnsi="Times New Roman"/>
          <w:i/>
          <w:iCs/>
          <w:sz w:val="24"/>
          <w:szCs w:val="24"/>
        </w:rPr>
        <w:t>see</w:t>
      </w:r>
      <w:r w:rsidRPr="00EC52DB">
        <w:rPr>
          <w:rFonts w:ascii="Times New Roman" w:eastAsia="Times New Roman" w:hAnsi="Times New Roman"/>
          <w:sz w:val="24"/>
          <w:szCs w:val="24"/>
        </w:rPr>
        <w:t xml:space="preserve"> 5 ILCS 325/1(a) (repealed 2019), and during active duty, </w:t>
      </w:r>
      <w:r w:rsidRPr="00EC52DB">
        <w:rPr>
          <w:rFonts w:ascii="Times New Roman" w:eastAsia="Times New Roman" w:hAnsi="Times New Roman"/>
          <w:i/>
          <w:iCs/>
          <w:sz w:val="24"/>
          <w:szCs w:val="24"/>
        </w:rPr>
        <w:t>see id</w:t>
      </w:r>
      <w:r w:rsidRPr="00EC52DB">
        <w:rPr>
          <w:rFonts w:ascii="Times New Roman" w:eastAsia="Times New Roman" w:hAnsi="Times New Roman"/>
          <w:sz w:val="24"/>
          <w:szCs w:val="24"/>
        </w:rPr>
        <w:t xml:space="preserve">. at § 1(b). Like that statute, the current Illinois statute requires differential pay, too. The text is </w:t>
      </w:r>
      <w:proofErr w:type="gramStart"/>
      <w:r w:rsidRPr="00EC52DB">
        <w:rPr>
          <w:rFonts w:ascii="Times New Roman" w:eastAsia="Times New Roman" w:hAnsi="Times New Roman"/>
          <w:sz w:val="24"/>
          <w:szCs w:val="24"/>
        </w:rPr>
        <w:t xml:space="preserve">straightforward: </w:t>
      </w:r>
      <w:r>
        <w:rPr>
          <w:rFonts w:ascii="Times New Roman" w:eastAsia="Times New Roman" w:hAnsi="Times New Roman"/>
          <w:sz w:val="24"/>
          <w:szCs w:val="24"/>
        </w:rPr>
        <w:t>‘</w:t>
      </w:r>
      <w:proofErr w:type="gramEnd"/>
      <w:r w:rsidRPr="00EC52DB">
        <w:rPr>
          <w:rFonts w:ascii="Times New Roman" w:eastAsia="Times New Roman" w:hAnsi="Times New Roman"/>
          <w:sz w:val="24"/>
          <w:szCs w:val="24"/>
        </w:rPr>
        <w:t>Differential compensation shall be paid to all forms of active service except active service without pay.</w:t>
      </w:r>
      <w:r>
        <w:rPr>
          <w:rFonts w:ascii="Times New Roman" w:eastAsia="Times New Roman" w:hAnsi="Times New Roman"/>
          <w:sz w:val="24"/>
          <w:szCs w:val="24"/>
        </w:rPr>
        <w:t>’</w:t>
      </w:r>
      <w:r w:rsidRPr="00EC52DB">
        <w:rPr>
          <w:rFonts w:ascii="Times New Roman" w:eastAsia="Times New Roman" w:hAnsi="Times New Roman"/>
          <w:sz w:val="24"/>
          <w:szCs w:val="24"/>
        </w:rPr>
        <w:t xml:space="preserve"> </w:t>
      </w:r>
      <w:r w:rsidRPr="00EC52DB">
        <w:rPr>
          <w:rFonts w:ascii="Times New Roman" w:eastAsia="Times New Roman" w:hAnsi="Times New Roman"/>
          <w:i/>
          <w:iCs/>
          <w:sz w:val="24"/>
          <w:szCs w:val="24"/>
        </w:rPr>
        <w:t>See</w:t>
      </w:r>
      <w:r w:rsidRPr="00EC52DB">
        <w:rPr>
          <w:rFonts w:ascii="Times New Roman" w:eastAsia="Times New Roman" w:hAnsi="Times New Roman"/>
          <w:sz w:val="24"/>
          <w:szCs w:val="24"/>
        </w:rPr>
        <w:t xml:space="preserve"> 330 ILCS 61/1-15(b).</w:t>
      </w:r>
    </w:p>
    <w:p w14:paraId="08D22C55" w14:textId="77777777" w:rsidR="00D4542A" w:rsidRDefault="00D4542A" w:rsidP="00D4542A">
      <w:pPr>
        <w:spacing w:before="100" w:beforeAutospacing="1" w:after="100" w:afterAutospacing="1" w:line="240" w:lineRule="auto"/>
        <w:ind w:left="720"/>
        <w:rPr>
          <w:rFonts w:ascii="Times New Roman" w:eastAsia="Times New Roman" w:hAnsi="Times New Roman"/>
          <w:sz w:val="24"/>
          <w:szCs w:val="24"/>
        </w:rPr>
      </w:pPr>
      <w:r w:rsidRPr="00EC52DB">
        <w:rPr>
          <w:rFonts w:ascii="Times New Roman" w:eastAsia="Times New Roman" w:hAnsi="Times New Roman"/>
          <w:sz w:val="24"/>
          <w:szCs w:val="24"/>
        </w:rPr>
        <w:t>That language sinks, rather than supports, Heckenbach's argument. No comparable language appears in the federal statute. The USERRA does not mention differential pay, let alone require public entities to pay it. The text of the state statute expressly requires differential pay, but the text of the federal statute does not. If anything, the foothold for differential pay in the state statute exposes the fact that there is no toehold for differential pay in the federal statute</w:t>
      </w:r>
      <w:r>
        <w:rPr>
          <w:rFonts w:ascii="Times New Roman" w:eastAsia="Times New Roman" w:hAnsi="Times New Roman"/>
          <w:sz w:val="24"/>
          <w:szCs w:val="24"/>
        </w:rPr>
        <w:t xml:space="preserve">.” </w:t>
      </w:r>
      <w:hyperlink r:id="rId1829" w:history="1">
        <w:r w:rsidRPr="00141589">
          <w:rPr>
            <w:rStyle w:val="Hyperlink"/>
            <w:rFonts w:ascii="Times New Roman" w:eastAsia="Times New Roman" w:hAnsi="Times New Roman"/>
            <w:sz w:val="24"/>
            <w:szCs w:val="24"/>
          </w:rPr>
          <w:t>https://public.fastcase.com/Wl%2B2t%2BeVuI35%2FN70vAMFZpdjKXDmRY5LJSAOUJ86zVs5waUL1YS3yBNtSKE8F5Gl</w:t>
        </w:r>
      </w:hyperlink>
      <w:r>
        <w:rPr>
          <w:rFonts w:ascii="Times New Roman" w:eastAsia="Times New Roman" w:hAnsi="Times New Roman"/>
          <w:sz w:val="24"/>
          <w:szCs w:val="24"/>
        </w:rPr>
        <w:t xml:space="preserve"> </w:t>
      </w:r>
    </w:p>
    <w:p w14:paraId="01FB70B4" w14:textId="77777777" w:rsidR="00D4542A" w:rsidRPr="004D5BFC" w:rsidRDefault="00D4542A" w:rsidP="00D4542A">
      <w:pPr>
        <w:spacing w:before="100" w:beforeAutospacing="1" w:after="100" w:afterAutospacing="1" w:line="240" w:lineRule="auto"/>
        <w:rPr>
          <w:rFonts w:ascii="Times New Roman" w:hAnsi="Times New Roman"/>
          <w:b/>
          <w:bCs/>
          <w:sz w:val="24"/>
          <w:szCs w:val="24"/>
        </w:rPr>
      </w:pPr>
      <w:r w:rsidRPr="00C63CA5">
        <w:rPr>
          <w:rFonts w:ascii="Times New Roman" w:hAnsi="Times New Roman"/>
          <w:b/>
          <w:bCs/>
          <w:sz w:val="24"/>
          <w:szCs w:val="24"/>
        </w:rPr>
        <w:t>Legal Lessons Learned</w:t>
      </w:r>
      <w:r w:rsidRPr="004D5BFC">
        <w:rPr>
          <w:rFonts w:ascii="Times New Roman" w:hAnsi="Times New Roman"/>
          <w:b/>
          <w:bCs/>
          <w:sz w:val="24"/>
          <w:szCs w:val="24"/>
        </w:rPr>
        <w:t xml:space="preserve">: USERRA provides for </w:t>
      </w:r>
      <w:proofErr w:type="gramStart"/>
      <w:r w:rsidRPr="004D5BFC">
        <w:rPr>
          <w:rFonts w:ascii="Times New Roman" w:hAnsi="Times New Roman"/>
          <w:b/>
          <w:bCs/>
          <w:i/>
          <w:iCs/>
          <w:sz w:val="24"/>
          <w:szCs w:val="24"/>
        </w:rPr>
        <w:t>unpaid</w:t>
      </w:r>
      <w:proofErr w:type="gramEnd"/>
      <w:r w:rsidRPr="004D5BFC">
        <w:rPr>
          <w:rFonts w:ascii="Times New Roman" w:hAnsi="Times New Roman"/>
          <w:b/>
          <w:bCs/>
          <w:sz w:val="24"/>
          <w:szCs w:val="24"/>
        </w:rPr>
        <w:t xml:space="preserve"> but job protected leave for service in the uniformed services. </w:t>
      </w:r>
      <w:r>
        <w:rPr>
          <w:rFonts w:ascii="Times New Roman" w:hAnsi="Times New Roman"/>
          <w:b/>
          <w:bCs/>
          <w:sz w:val="24"/>
          <w:szCs w:val="24"/>
        </w:rPr>
        <w:t xml:space="preserve"> If you are in the Reserves, keep your FD well informed when you </w:t>
      </w:r>
      <w:proofErr w:type="gramStart"/>
      <w:r>
        <w:rPr>
          <w:rFonts w:ascii="Times New Roman" w:hAnsi="Times New Roman"/>
          <w:b/>
          <w:bCs/>
          <w:sz w:val="24"/>
          <w:szCs w:val="24"/>
        </w:rPr>
        <w:t>will be</w:t>
      </w:r>
      <w:proofErr w:type="gramEnd"/>
      <w:r>
        <w:rPr>
          <w:rFonts w:ascii="Times New Roman" w:hAnsi="Times New Roman"/>
          <w:b/>
          <w:bCs/>
          <w:sz w:val="24"/>
          <w:szCs w:val="24"/>
        </w:rPr>
        <w:t xml:space="preserve"> on military duty. </w:t>
      </w:r>
    </w:p>
    <w:p w14:paraId="261F693B" w14:textId="77777777" w:rsidR="00D4542A" w:rsidRDefault="00D4542A" w:rsidP="00D4542A">
      <w:pPr>
        <w:pStyle w:val="Heading1"/>
        <w:ind w:left="720"/>
        <w:rPr>
          <w:b w:val="0"/>
          <w:bCs w:val="0"/>
          <w:sz w:val="24"/>
          <w:szCs w:val="24"/>
        </w:rPr>
      </w:pPr>
      <w:r w:rsidRPr="000A6F2D">
        <w:rPr>
          <w:b w:val="0"/>
          <w:bCs w:val="0"/>
          <w:sz w:val="24"/>
          <w:szCs w:val="24"/>
        </w:rPr>
        <w:t xml:space="preserve">See </w:t>
      </w:r>
      <w:r>
        <w:rPr>
          <w:b w:val="0"/>
          <w:bCs w:val="0"/>
          <w:sz w:val="24"/>
          <w:szCs w:val="24"/>
        </w:rPr>
        <w:t xml:space="preserve">Sept. 23, </w:t>
      </w:r>
      <w:proofErr w:type="gramStart"/>
      <w:r>
        <w:rPr>
          <w:b w:val="0"/>
          <w:bCs w:val="0"/>
          <w:sz w:val="24"/>
          <w:szCs w:val="24"/>
        </w:rPr>
        <w:t>2019</w:t>
      </w:r>
      <w:proofErr w:type="gramEnd"/>
      <w:r>
        <w:rPr>
          <w:b w:val="0"/>
          <w:bCs w:val="0"/>
          <w:sz w:val="24"/>
          <w:szCs w:val="24"/>
        </w:rPr>
        <w:t xml:space="preserve"> </w:t>
      </w:r>
      <w:r w:rsidRPr="000A6F2D">
        <w:rPr>
          <w:b w:val="0"/>
          <w:bCs w:val="0"/>
          <w:sz w:val="24"/>
          <w:szCs w:val="24"/>
        </w:rPr>
        <w:t xml:space="preserve">TV news story interviewing plaintiff: </w:t>
      </w:r>
      <w:r>
        <w:rPr>
          <w:b w:val="0"/>
          <w:bCs w:val="0"/>
          <w:sz w:val="24"/>
          <w:szCs w:val="24"/>
        </w:rPr>
        <w:t>“</w:t>
      </w:r>
      <w:r w:rsidRPr="000A6F2D">
        <w:rPr>
          <w:b w:val="0"/>
          <w:bCs w:val="0"/>
          <w:sz w:val="24"/>
          <w:szCs w:val="24"/>
        </w:rPr>
        <w:t>Army Reservist Sues Suburban Fire District for Alleged Retaliation</w:t>
      </w:r>
      <w:r>
        <w:rPr>
          <w:b w:val="0"/>
          <w:bCs w:val="0"/>
          <w:sz w:val="24"/>
          <w:szCs w:val="24"/>
        </w:rPr>
        <w:t xml:space="preserve">.” </w:t>
      </w:r>
      <w:r w:rsidRPr="000A6F2D">
        <w:rPr>
          <w:b w:val="0"/>
          <w:bCs w:val="0"/>
          <w:sz w:val="24"/>
          <w:szCs w:val="24"/>
        </w:rPr>
        <w:t xml:space="preserve"> </w:t>
      </w:r>
      <w:hyperlink r:id="rId1830" w:history="1">
        <w:r w:rsidRPr="000A6F2D">
          <w:rPr>
            <w:rStyle w:val="Hyperlink"/>
            <w:b w:val="0"/>
            <w:bCs w:val="0"/>
            <w:sz w:val="24"/>
            <w:szCs w:val="24"/>
          </w:rPr>
          <w:t>https://www.nbcchicago.com/news/local/reservist-sues-civilian-employer-nbc-investigates/153292/</w:t>
        </w:r>
      </w:hyperlink>
      <w:r w:rsidRPr="000A6F2D">
        <w:rPr>
          <w:b w:val="0"/>
          <w:bCs w:val="0"/>
          <w:sz w:val="24"/>
          <w:szCs w:val="24"/>
        </w:rPr>
        <w:t xml:space="preserve"> </w:t>
      </w:r>
    </w:p>
    <w:p w14:paraId="1E14CCFC" w14:textId="77777777" w:rsidR="00D4542A" w:rsidRPr="00C63CA5" w:rsidRDefault="00D4542A" w:rsidP="00D4542A">
      <w:pPr>
        <w:spacing w:before="100" w:beforeAutospacing="1" w:after="100" w:afterAutospacing="1" w:line="240" w:lineRule="auto"/>
        <w:ind w:left="720"/>
        <w:rPr>
          <w:rFonts w:ascii="Times New Roman" w:eastAsia="Times New Roman" w:hAnsi="Times New Roman"/>
          <w:b/>
          <w:bCs/>
          <w:sz w:val="24"/>
          <w:szCs w:val="24"/>
        </w:rPr>
      </w:pPr>
      <w:r w:rsidRPr="00711F3A">
        <w:rPr>
          <w:rFonts w:ascii="Times New Roman" w:hAnsi="Times New Roman"/>
          <w:sz w:val="24"/>
          <w:szCs w:val="24"/>
        </w:rPr>
        <w:t>See this July 2016 Law Review article</w:t>
      </w:r>
      <w:r>
        <w:rPr>
          <w:rFonts w:ascii="Times New Roman" w:hAnsi="Times New Roman"/>
          <w:sz w:val="24"/>
          <w:szCs w:val="24"/>
        </w:rPr>
        <w:t xml:space="preserve"> concerning lawsuit by Indianapolis firefighters who were in the Reserves</w:t>
      </w:r>
      <w:r w:rsidRPr="00711F3A">
        <w:rPr>
          <w:rFonts w:ascii="Times New Roman" w:hAnsi="Times New Roman"/>
          <w:sz w:val="24"/>
          <w:szCs w:val="24"/>
        </w:rPr>
        <w:t>:</w:t>
      </w:r>
      <w:r w:rsidRPr="00711F3A">
        <w:rPr>
          <w:rFonts w:ascii="Times New Roman" w:hAnsi="Times New Roman"/>
          <w:b/>
          <w:bCs/>
          <w:sz w:val="24"/>
          <w:szCs w:val="24"/>
        </w:rPr>
        <w:t xml:space="preserve"> </w:t>
      </w:r>
      <w:r>
        <w:rPr>
          <w:rFonts w:ascii="Times New Roman" w:hAnsi="Times New Roman"/>
          <w:b/>
          <w:bCs/>
          <w:sz w:val="24"/>
          <w:szCs w:val="24"/>
        </w:rPr>
        <w:t>“</w:t>
      </w:r>
      <w:r w:rsidRPr="00711F3A">
        <w:rPr>
          <w:rFonts w:ascii="Times New Roman" w:hAnsi="Times New Roman"/>
          <w:sz w:val="24"/>
          <w:szCs w:val="24"/>
        </w:rPr>
        <w:t>Right to Paid Military Leave Is a Matter of State Law, not USERRA</w:t>
      </w:r>
      <w:r>
        <w:rPr>
          <w:rFonts w:ascii="Times New Roman" w:hAnsi="Times New Roman"/>
          <w:sz w:val="24"/>
          <w:szCs w:val="24"/>
        </w:rPr>
        <w:t xml:space="preserve">.” </w:t>
      </w:r>
      <w:r w:rsidRPr="00711F3A">
        <w:rPr>
          <w:rFonts w:ascii="Times New Roman" w:hAnsi="Times New Roman"/>
          <w:sz w:val="24"/>
          <w:szCs w:val="24"/>
        </w:rPr>
        <w:t xml:space="preserve"> </w:t>
      </w:r>
      <w:hyperlink r:id="rId1831" w:history="1">
        <w:r w:rsidRPr="00711F3A">
          <w:rPr>
            <w:rStyle w:val="Hyperlink"/>
            <w:rFonts w:ascii="Times New Roman" w:hAnsi="Times New Roman"/>
            <w:sz w:val="24"/>
            <w:szCs w:val="24"/>
          </w:rPr>
          <w:t>https://cdn.ymaws.com/www.roa.org/resource/resmgr/LawReviews/2016/16065-LR.pdf</w:t>
        </w:r>
      </w:hyperlink>
      <w:r w:rsidRPr="00711F3A">
        <w:rPr>
          <w:rFonts w:ascii="Times New Roman" w:hAnsi="Times New Roman"/>
          <w:sz w:val="24"/>
          <w:szCs w:val="24"/>
        </w:rPr>
        <w:t xml:space="preserve"> </w:t>
      </w:r>
    </w:p>
    <w:p w14:paraId="1F08B425" w14:textId="77777777" w:rsidR="00D4542A" w:rsidRPr="00894498" w:rsidRDefault="00D4542A" w:rsidP="00D4542A">
      <w:pPr>
        <w:pStyle w:val="Heading1"/>
        <w:ind w:left="720"/>
        <w:rPr>
          <w:b w:val="0"/>
          <w:bCs w:val="0"/>
          <w:sz w:val="24"/>
          <w:szCs w:val="24"/>
        </w:rPr>
      </w:pPr>
      <w:r w:rsidRPr="00894498">
        <w:rPr>
          <w:b w:val="0"/>
          <w:bCs w:val="0"/>
          <w:sz w:val="24"/>
          <w:szCs w:val="24"/>
        </w:rPr>
        <w:t>Miller v. City of Indianapolis, 281 F.3d 648(7</w:t>
      </w:r>
      <w:r w:rsidRPr="00894498">
        <w:rPr>
          <w:b w:val="0"/>
          <w:bCs w:val="0"/>
          <w:sz w:val="24"/>
          <w:szCs w:val="24"/>
          <w:vertAlign w:val="superscript"/>
        </w:rPr>
        <w:t>th</w:t>
      </w:r>
      <w:r w:rsidRPr="00894498">
        <w:rPr>
          <w:b w:val="0"/>
          <w:bCs w:val="0"/>
          <w:sz w:val="24"/>
          <w:szCs w:val="24"/>
        </w:rPr>
        <w:t xml:space="preserve"> Cir. 2002): </w:t>
      </w:r>
      <w:hyperlink r:id="rId1832" w:history="1">
        <w:r w:rsidRPr="00894498">
          <w:rPr>
            <w:rStyle w:val="Hyperlink"/>
            <w:b w:val="0"/>
            <w:bCs w:val="0"/>
            <w:sz w:val="24"/>
            <w:szCs w:val="24"/>
          </w:rPr>
          <w:t>https://casetext.com/case/miller-v-city-of-indianapolis</w:t>
        </w:r>
      </w:hyperlink>
      <w:r w:rsidRPr="00894498">
        <w:rPr>
          <w:b w:val="0"/>
          <w:bCs w:val="0"/>
          <w:sz w:val="24"/>
          <w:szCs w:val="24"/>
        </w:rPr>
        <w:t xml:space="preserve"> </w:t>
      </w:r>
    </w:p>
    <w:p w14:paraId="70F55BF9" w14:textId="77777777" w:rsidR="00D4542A" w:rsidRDefault="00D4542A" w:rsidP="00F326E5">
      <w:pPr>
        <w:rPr>
          <w:rFonts w:ascii="Arial Black" w:hAnsi="Arial Black"/>
          <w:b/>
          <w:sz w:val="24"/>
          <w:szCs w:val="24"/>
        </w:rPr>
      </w:pPr>
    </w:p>
    <w:p w14:paraId="2DB64D01" w14:textId="77777777" w:rsidR="00D4542A" w:rsidRDefault="00D4542A" w:rsidP="00F326E5">
      <w:pPr>
        <w:rPr>
          <w:rFonts w:ascii="Arial Black" w:hAnsi="Arial Black"/>
          <w:b/>
          <w:sz w:val="24"/>
          <w:szCs w:val="24"/>
        </w:rPr>
      </w:pPr>
    </w:p>
    <w:p w14:paraId="46E95E2E" w14:textId="77777777" w:rsidR="00D4542A" w:rsidRDefault="00D4542A" w:rsidP="00F326E5">
      <w:pPr>
        <w:rPr>
          <w:rFonts w:ascii="Arial Black" w:hAnsi="Arial Black"/>
          <w:b/>
          <w:sz w:val="24"/>
          <w:szCs w:val="24"/>
        </w:rPr>
      </w:pPr>
    </w:p>
    <w:p w14:paraId="796AA3A8" w14:textId="77777777" w:rsidR="00D4542A" w:rsidRDefault="00D4542A" w:rsidP="00F326E5">
      <w:pPr>
        <w:rPr>
          <w:rFonts w:ascii="Arial Black" w:hAnsi="Arial Black"/>
          <w:b/>
          <w:sz w:val="24"/>
          <w:szCs w:val="24"/>
        </w:rPr>
      </w:pPr>
    </w:p>
    <w:p w14:paraId="0E2202D7" w14:textId="58181084" w:rsidR="00B532F6" w:rsidRDefault="00B532F6"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20</w:t>
      </w:r>
    </w:p>
    <w:p w14:paraId="3F16C831" w14:textId="77777777" w:rsidR="00B532F6" w:rsidRPr="007444E2" w:rsidRDefault="00B532F6" w:rsidP="00B532F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TX: DALLAS / FORT WORTH AIRPORT FD – CROSS-TRAINED PERSONNEL IN EMS DIVISION ONLY DID EMS DUTIES - OVERTIME AFTER 40 HOURS </w:t>
      </w:r>
    </w:p>
    <w:p w14:paraId="680AE28E" w14:textId="77777777" w:rsidR="00B532F6" w:rsidRDefault="00B532F6" w:rsidP="00B532F6">
      <w:pPr>
        <w:tabs>
          <w:tab w:val="left" w:pos="2970"/>
        </w:tabs>
        <w:spacing w:before="100" w:beforeAutospacing="1" w:after="100" w:afterAutospacing="1" w:line="240" w:lineRule="auto"/>
        <w:rPr>
          <w:rFonts w:ascii="Times New Roman" w:eastAsia="Times New Roman" w:hAnsi="Times New Roman"/>
          <w:sz w:val="24"/>
          <w:szCs w:val="24"/>
        </w:rPr>
      </w:pPr>
      <w:r w:rsidRPr="00D617B8">
        <w:rPr>
          <w:rFonts w:ascii="Times New Roman" w:eastAsia="Times New Roman" w:hAnsi="Times New Roman"/>
          <w:sz w:val="24"/>
          <w:szCs w:val="24"/>
        </w:rPr>
        <w:t xml:space="preserve">On Sept. 28, 2020, in </w:t>
      </w:r>
      <w:r w:rsidRPr="00D617B8">
        <w:rPr>
          <w:rFonts w:ascii="Times New Roman" w:eastAsia="Times New Roman" w:hAnsi="Times New Roman"/>
          <w:sz w:val="24"/>
          <w:szCs w:val="24"/>
          <w:u w:val="single"/>
        </w:rPr>
        <w:t>Douglas Patterson, et al. v. Dallas/Fort Worth International Airport Board</w:t>
      </w:r>
      <w:r>
        <w:rPr>
          <w:rFonts w:ascii="Times New Roman" w:eastAsia="Times New Roman" w:hAnsi="Times New Roman"/>
          <w:sz w:val="24"/>
          <w:szCs w:val="24"/>
        </w:rPr>
        <w:t xml:space="preserve">, U.S. District Court Judge Ada Brown held that the FD failed to prove that the cross-trained EMS Division personnel ever engaged in firefighting in 3 years prior to the 2019 merger of EMS and Fire Service Divisions; only two of EMS personnel engaged in live fire training, and SOG for EMS Division had no firefighting responsibilities.  Court granted Summary Judgment to the </w:t>
      </w:r>
      <w:proofErr w:type="gramStart"/>
      <w:r>
        <w:rPr>
          <w:rFonts w:ascii="Times New Roman" w:eastAsia="Times New Roman" w:hAnsi="Times New Roman"/>
          <w:sz w:val="24"/>
          <w:szCs w:val="24"/>
        </w:rPr>
        <w:t>plaintiffs</w:t>
      </w:r>
      <w:proofErr w:type="gramEnd"/>
      <w:r>
        <w:rPr>
          <w:rFonts w:ascii="Times New Roman" w:eastAsia="Times New Roman" w:hAnsi="Times New Roman"/>
          <w:sz w:val="24"/>
          <w:szCs w:val="24"/>
        </w:rPr>
        <w:t xml:space="preserve"> and they are entitled to overtime after 40 hours, with back pay for 2 years; not 3 years and not liquidated damages [back pay doubled] since FD acted in good faith. 29 USC 260: </w:t>
      </w:r>
      <w:hyperlink r:id="rId1833" w:history="1">
        <w:r w:rsidRPr="00141589">
          <w:rPr>
            <w:rStyle w:val="Hyperlink"/>
            <w:rFonts w:ascii="Times New Roman" w:eastAsia="Times New Roman" w:hAnsi="Times New Roman"/>
            <w:sz w:val="24"/>
            <w:szCs w:val="24"/>
          </w:rPr>
          <w:t>https://www.law.cornell.edu/uscode/text/29/260</w:t>
        </w:r>
      </w:hyperlink>
      <w:r>
        <w:rPr>
          <w:rFonts w:ascii="Times New Roman" w:eastAsia="Times New Roman" w:hAnsi="Times New Roman"/>
          <w:sz w:val="24"/>
          <w:szCs w:val="24"/>
        </w:rPr>
        <w:t xml:space="preserve">  </w:t>
      </w:r>
    </w:p>
    <w:p w14:paraId="04A24ADD" w14:textId="77777777" w:rsidR="00B532F6" w:rsidRDefault="00B532F6" w:rsidP="00B532F6">
      <w:pPr>
        <w:pStyle w:val="NormalWeb"/>
        <w:ind w:left="720"/>
      </w:pPr>
      <w:r>
        <w:t xml:space="preserve">“The fact that DFW required plaintiffs to hold firefighting certifications is some indication that they might be expected to engage in fire suppression. However, neither Chief McKinney's declaration nor any other evidence shows the circumstances, other than the odd training exercise, under which plaintiffs might have been required to engage in fire suppression prior to this lawsuit being </w:t>
      </w:r>
      <w:proofErr w:type="spellStart"/>
      <w:r>
        <w:t>filed.</w:t>
      </w:r>
      <w:bookmarkStart w:id="391" w:name="fn10"/>
      <w:r>
        <w:rPr>
          <w:sz w:val="20"/>
          <w:szCs w:val="20"/>
          <w:vertAlign w:val="superscript"/>
        </w:rPr>
        <w:fldChar w:fldCharType="begin"/>
      </w:r>
      <w:r>
        <w:rPr>
          <w:sz w:val="20"/>
          <w:szCs w:val="20"/>
          <w:vertAlign w:val="superscript"/>
        </w:rPr>
        <w:instrText xml:space="preserve"> HYPERLINK "https://public.fastcase.com/" \l "fr10" </w:instrText>
      </w:r>
      <w:r>
        <w:rPr>
          <w:sz w:val="20"/>
          <w:szCs w:val="20"/>
          <w:vertAlign w:val="superscript"/>
        </w:rPr>
      </w:r>
      <w:r>
        <w:rPr>
          <w:sz w:val="20"/>
          <w:szCs w:val="20"/>
          <w:vertAlign w:val="superscript"/>
        </w:rPr>
        <w:fldChar w:fldCharType="separate"/>
      </w:r>
      <w:r w:rsidR="00814FB6">
        <w:rPr>
          <w:rStyle w:val="Hyperlink"/>
          <w:rFonts w:ascii="Calibri" w:eastAsia="Calibri" w:hAnsi="Calibri"/>
          <w:sz w:val="22"/>
          <w:szCs w:val="22"/>
        </w:rPr>
        <w:t>https</w:t>
      </w:r>
      <w:proofErr w:type="spellEnd"/>
      <w:r w:rsidR="00814FB6">
        <w:rPr>
          <w:rStyle w:val="Hyperlink"/>
          <w:rFonts w:ascii="Calibri" w:eastAsia="Calibri" w:hAnsi="Calibri"/>
          <w:sz w:val="22"/>
          <w:szCs w:val="22"/>
        </w:rPr>
        <w:t>://public.fastcase.com/ - fr10</w:t>
      </w:r>
      <w:r>
        <w:rPr>
          <w:sz w:val="20"/>
          <w:szCs w:val="20"/>
          <w:vertAlign w:val="superscript"/>
        </w:rPr>
        <w:fldChar w:fldCharType="end"/>
      </w:r>
      <w:bookmarkEnd w:id="391"/>
      <w:r>
        <w:rPr>
          <w:sz w:val="20"/>
          <w:szCs w:val="20"/>
          <w:vertAlign w:val="superscript"/>
        </w:rPr>
        <w:t xml:space="preserve"> </w:t>
      </w:r>
      <w:r>
        <w:t xml:space="preserve">  Instead, they were assigned exclusively to MICUs or Trauma Unit 611, neither of which held any fire rescue or firefighting equipment. They were not dispatched to every fire incident and did not wear their bunker gear when responding to calls. Perhaps most importantly, the SOP setting out their procedures and responsibilities made no reference to fire suppression. Nor is there any evidence that plaintiffs would be disciplined for failing to engage in fire suppression. Without more, the Court finds DFW has not met its burden to show, or raised a genuine issue of material fact, that plaintiffs had even a forward-looking obligation or responsibility to engage in fire suppression as EMS division Firefighters before this suit was filed.</w:t>
      </w:r>
      <w:r>
        <w:rPr>
          <w:sz w:val="20"/>
          <w:szCs w:val="20"/>
          <w:vertAlign w:val="superscript"/>
        </w:rPr>
        <w:t xml:space="preserve">  </w:t>
      </w:r>
      <w:r>
        <w:rPr>
          <w:i/>
          <w:iCs/>
        </w:rPr>
        <w:t xml:space="preserve"> Compare Regan v</w:t>
      </w:r>
      <w:r>
        <w:t xml:space="preserve">. </w:t>
      </w:r>
      <w:r>
        <w:rPr>
          <w:i/>
          <w:iCs/>
        </w:rPr>
        <w:t>City of Hanahan</w:t>
      </w:r>
      <w:r>
        <w:t xml:space="preserve">, No. 02-16-cv-1077-RMG, 2017 WL 2303504, at *3 (D.S.C. May 26, 2017) (plaintiffs, who were almost always assigned to ambulances but, at various times, were assigned to fire trucks, were employees in fire protection activities). Accordingly, plaintiffs are entitled to summary judgment that they were not employees in fire protection </w:t>
      </w:r>
      <w:proofErr w:type="gramStart"/>
      <w:r>
        <w:t>activities</w:t>
      </w:r>
      <w:proofErr w:type="gramEnd"/>
      <w:r>
        <w:t xml:space="preserve"> and the section 207(k) exemption does not apply.” </w:t>
      </w:r>
      <w:hyperlink r:id="rId1834" w:history="1">
        <w:r w:rsidRPr="00141589">
          <w:rPr>
            <w:rStyle w:val="Hyperlink"/>
          </w:rPr>
          <w:t>https://public.fastcase.com/Wl%2B2t%2BeVuI35%2FN70vAMFZsSjCAViXICEJmEyj88%2Bo6FVmb%2F3MefopOCGEPTmoSc%2F</w:t>
        </w:r>
      </w:hyperlink>
      <w:r>
        <w:t xml:space="preserve"> </w:t>
      </w:r>
    </w:p>
    <w:p w14:paraId="5E20673F" w14:textId="77777777" w:rsidR="00B532F6" w:rsidRDefault="00B532F6" w:rsidP="00B532F6">
      <w:pPr>
        <w:pStyle w:val="NormalWeb"/>
        <w:rPr>
          <w:b/>
          <w:bCs/>
        </w:rPr>
      </w:pPr>
      <w:r w:rsidRPr="00E91965">
        <w:rPr>
          <w:b/>
          <w:bCs/>
        </w:rPr>
        <w:t>Legal Lessons Learned:</w:t>
      </w:r>
      <w:r>
        <w:rPr>
          <w:b/>
          <w:bCs/>
        </w:rPr>
        <w:t xml:space="preserve">  The FD may appeal this decision.  As the Trial Court judge acknowledged in this case, there are several Federal Courts of Appeal that have held that FD personnel who are trained as both EMS and firefighters (“cross trained”), but assigned only to EMS duties, are “firefighters” under the 207(k) exemption. </w:t>
      </w:r>
    </w:p>
    <w:p w14:paraId="1C25B701" w14:textId="77777777" w:rsidR="00B532F6" w:rsidRPr="00E91965" w:rsidRDefault="00B532F6" w:rsidP="00B532F6">
      <w:pPr>
        <w:pStyle w:val="NormalWeb"/>
        <w:ind w:left="720"/>
        <w:rPr>
          <w:b/>
          <w:bCs/>
        </w:rPr>
      </w:pPr>
      <w:r>
        <w:t xml:space="preserve">Note: The Court denied summary judgment to plaintiffs on issue of bonus payments; this will be decided in future proceedings. The </w:t>
      </w:r>
      <w:proofErr w:type="gramStart"/>
      <w:r>
        <w:t>plaintiffs’</w:t>
      </w:r>
      <w:proofErr w:type="gramEnd"/>
      <w:r>
        <w:t xml:space="preserve"> in their 2018 Complaint allege that bonuses were not included in their “regular rate” of pay when calculating overtime pay.</w:t>
      </w:r>
    </w:p>
    <w:p w14:paraId="6DEA500B" w14:textId="77777777" w:rsidR="00B532F6" w:rsidRPr="00EC52DB" w:rsidRDefault="00B532F6" w:rsidP="00B532F6">
      <w:pPr>
        <w:spacing w:before="100" w:beforeAutospacing="1" w:after="100" w:afterAutospacing="1" w:line="240" w:lineRule="auto"/>
        <w:ind w:left="1440"/>
        <w:rPr>
          <w:rFonts w:ascii="Times New Roman" w:eastAsia="Times New Roman" w:hAnsi="Times New Roman"/>
          <w:sz w:val="24"/>
          <w:szCs w:val="24"/>
        </w:rPr>
      </w:pPr>
      <w:r w:rsidRPr="006B7587">
        <w:rPr>
          <w:rFonts w:ascii="Times New Roman" w:hAnsi="Times New Roman"/>
          <w:sz w:val="24"/>
          <w:szCs w:val="24"/>
        </w:rPr>
        <w:t>56.</w:t>
      </w:r>
      <w:r>
        <w:rPr>
          <w:rFonts w:ascii="Times New Roman" w:hAnsi="Times New Roman"/>
          <w:sz w:val="24"/>
          <w:szCs w:val="24"/>
        </w:rPr>
        <w:t xml:space="preserve"> </w:t>
      </w:r>
      <w:r w:rsidRPr="006B7587">
        <w:rPr>
          <w:rFonts w:ascii="Times New Roman" w:hAnsi="Times New Roman"/>
          <w:sz w:val="24"/>
          <w:szCs w:val="24"/>
        </w:rPr>
        <w:t>Plaintiff and Class Members’ regular rate must include all compensation, bonuses, and other remuneration paid by Defendant</w:t>
      </w:r>
      <w:r>
        <w:rPr>
          <w:rFonts w:ascii="Times New Roman" w:hAnsi="Times New Roman"/>
          <w:sz w:val="24"/>
          <w:szCs w:val="24"/>
        </w:rPr>
        <w:t xml:space="preserve"> </w:t>
      </w:r>
      <w:r w:rsidRPr="006B7587">
        <w:rPr>
          <w:rFonts w:ascii="Times New Roman" w:hAnsi="Times New Roman"/>
          <w:sz w:val="24"/>
          <w:szCs w:val="24"/>
        </w:rPr>
        <w:t xml:space="preserve">for purposes of calculating the overtime rate. See 29 C.F.R. 778.208. Defendant has failed to include all bonuses </w:t>
      </w:r>
      <w:proofErr w:type="gramStart"/>
      <w:r w:rsidRPr="006B7587">
        <w:rPr>
          <w:rFonts w:ascii="Times New Roman" w:hAnsi="Times New Roman"/>
          <w:sz w:val="24"/>
          <w:szCs w:val="24"/>
        </w:rPr>
        <w:t>into</w:t>
      </w:r>
      <w:proofErr w:type="gramEnd"/>
      <w:r w:rsidRPr="006B7587">
        <w:rPr>
          <w:rFonts w:ascii="Times New Roman" w:hAnsi="Times New Roman"/>
          <w:sz w:val="24"/>
          <w:szCs w:val="24"/>
        </w:rPr>
        <w:t xml:space="preserve"> the regular rate for purposes of calculating the overtime premium rate.</w:t>
      </w:r>
      <w:r>
        <w:rPr>
          <w:rFonts w:ascii="Times New Roman" w:hAnsi="Times New Roman"/>
          <w:sz w:val="24"/>
          <w:szCs w:val="24"/>
        </w:rPr>
        <w:t xml:space="preserve"> </w:t>
      </w:r>
      <w:hyperlink r:id="rId1835" w:history="1">
        <w:r w:rsidRPr="00EC52DB">
          <w:rPr>
            <w:rStyle w:val="Hyperlink"/>
            <w:rFonts w:ascii="Times New Roman" w:hAnsi="Times New Roman"/>
            <w:sz w:val="24"/>
            <w:szCs w:val="24"/>
          </w:rPr>
          <w:t>http://www.firefighterovertime.org/wp-content/uploads/2018/03/DFW-FLSA-Complaint-2018.pdf</w:t>
        </w:r>
      </w:hyperlink>
      <w:r w:rsidRPr="00EC52DB">
        <w:rPr>
          <w:rFonts w:ascii="Times New Roman" w:eastAsia="Times New Roman" w:hAnsi="Times New Roman"/>
          <w:sz w:val="24"/>
          <w:szCs w:val="24"/>
        </w:rPr>
        <w:t xml:space="preserve">  </w:t>
      </w:r>
    </w:p>
    <w:p w14:paraId="510D960E" w14:textId="77777777" w:rsidR="00B532F6" w:rsidRDefault="00B532F6" w:rsidP="00B532F6">
      <w:pPr>
        <w:pStyle w:val="NormalWeb"/>
        <w:ind w:left="720"/>
      </w:pPr>
      <w:r>
        <w:t xml:space="preserve">Court held:  Without any evidence on the issue, plaintiffs cannot be entitled to summary judgment. </w:t>
      </w:r>
      <w:r>
        <w:rPr>
          <w:i/>
          <w:iCs/>
        </w:rPr>
        <w:t>See</w:t>
      </w:r>
      <w:r>
        <w:t xml:space="preserve"> FED. R. CIV. P. 56(c). Further, DFW presented evidence that, where plaintiffs were entitled to overtime pay </w:t>
      </w:r>
      <w:proofErr w:type="gramStart"/>
      <w:r>
        <w:t>in a given</w:t>
      </w:r>
      <w:proofErr w:type="gramEnd"/>
      <w:r>
        <w:t xml:space="preserve"> pay period, they received an overtime adjustment to compensate them for the increased regular rate for that pay period based on incentive pay received (Doc. 65-30). Accordingly, the Court must deny plaintiffs' summary judgment motion on this ground. </w:t>
      </w:r>
    </w:p>
    <w:p w14:paraId="11426BD5" w14:textId="77777777" w:rsidR="00B532F6" w:rsidRDefault="00B532F6" w:rsidP="00B532F6">
      <w:pPr>
        <w:pStyle w:val="NormalWeb"/>
        <w:ind w:left="720"/>
      </w:pPr>
      <w:r>
        <w:t xml:space="preserve">Note – New DOL Rules On Regular Rate </w:t>
      </w:r>
      <w:proofErr w:type="gramStart"/>
      <w:r>
        <w:t>Of</w:t>
      </w:r>
      <w:proofErr w:type="gramEnd"/>
      <w:r>
        <w:t xml:space="preserve"> Pay</w:t>
      </w:r>
    </w:p>
    <w:p w14:paraId="3C2F8E90" w14:textId="77777777" w:rsidR="00B532F6" w:rsidRDefault="00B532F6" w:rsidP="00B532F6">
      <w:pPr>
        <w:pStyle w:val="NormalWeb"/>
        <w:ind w:left="720"/>
      </w:pPr>
      <w:r>
        <w:t>The U.S. Department of Labor, on Jan. 15, 2020, issued its “Final Rule” changes on items to be excluded from the “regular rate of pay.” “The final rule clarifies when payments for forgoing unused paid leave, payments for bona fide meal periods, reimbursements, benefit plan contributions, and certain ancillary benefits may be excluded from the regular rate.”</w:t>
      </w:r>
      <w:r w:rsidRPr="00EC52DB">
        <w:t xml:space="preserve"> </w:t>
      </w:r>
      <w:hyperlink r:id="rId1836" w:history="1">
        <w:r w:rsidRPr="00141589">
          <w:rPr>
            <w:rStyle w:val="Hyperlink"/>
          </w:rPr>
          <w:t>https://www.federalregister.gov/documents/2019/12/16/2019-26447/regular-rate-under-the-fair-labor-standards-act</w:t>
        </w:r>
      </w:hyperlink>
      <w:r>
        <w:t xml:space="preserve"> </w:t>
      </w:r>
    </w:p>
    <w:p w14:paraId="0CB962FA" w14:textId="77777777" w:rsidR="00B532F6" w:rsidRDefault="00B532F6" w:rsidP="00F326E5">
      <w:pPr>
        <w:rPr>
          <w:rFonts w:ascii="Arial Black" w:hAnsi="Arial Black"/>
          <w:b/>
          <w:sz w:val="24"/>
          <w:szCs w:val="24"/>
        </w:rPr>
      </w:pPr>
    </w:p>
    <w:p w14:paraId="56256694" w14:textId="77777777" w:rsidR="00B532F6" w:rsidRDefault="00B532F6" w:rsidP="00F326E5">
      <w:pPr>
        <w:rPr>
          <w:rFonts w:ascii="Arial Black" w:hAnsi="Arial Black"/>
          <w:b/>
          <w:sz w:val="24"/>
          <w:szCs w:val="24"/>
        </w:rPr>
      </w:pPr>
    </w:p>
    <w:p w14:paraId="041CA6C7" w14:textId="77777777" w:rsidR="00B532F6" w:rsidRDefault="00B532F6" w:rsidP="00F326E5">
      <w:pPr>
        <w:rPr>
          <w:rFonts w:ascii="Arial Black" w:hAnsi="Arial Black"/>
          <w:b/>
          <w:sz w:val="24"/>
          <w:szCs w:val="24"/>
        </w:rPr>
      </w:pPr>
    </w:p>
    <w:p w14:paraId="66CC5F95" w14:textId="604DB300" w:rsidR="00B532F6" w:rsidRDefault="00B532F6"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9</w:t>
      </w:r>
    </w:p>
    <w:p w14:paraId="3A450ABB" w14:textId="77777777" w:rsidR="00B532F6" w:rsidRPr="00D20EA3" w:rsidRDefault="00B532F6" w:rsidP="00B532F6">
      <w:pPr>
        <w:pStyle w:val="text"/>
        <w:rPr>
          <w:rFonts w:ascii="Arial Black" w:hAnsi="Arial Black"/>
          <w:sz w:val="28"/>
          <w:szCs w:val="28"/>
        </w:rPr>
      </w:pPr>
      <w:r w:rsidRPr="00D20EA3">
        <w:rPr>
          <w:rFonts w:ascii="Arial Black" w:hAnsi="Arial Black"/>
          <w:sz w:val="28"/>
          <w:szCs w:val="28"/>
        </w:rPr>
        <w:t xml:space="preserve">LA: </w:t>
      </w:r>
      <w:r>
        <w:rPr>
          <w:rFonts w:ascii="Arial Black" w:hAnsi="Arial Black"/>
          <w:sz w:val="28"/>
          <w:szCs w:val="28"/>
        </w:rPr>
        <w:t>CITY OWES $1.6 MILLION BACKPAY 32 FF – LONGEVITY - MUST WAIT FOR MUNICIPALITY TO RAISE $ THROUGH LEVY</w:t>
      </w:r>
    </w:p>
    <w:p w14:paraId="2CBC03AD" w14:textId="1A93435B" w:rsidR="00B532F6" w:rsidRPr="00B532F6" w:rsidRDefault="00B532F6" w:rsidP="00B532F6">
      <w:pPr>
        <w:rPr>
          <w:rStyle w:val="Hyperlink"/>
          <w:rFonts w:ascii="Times New Roman" w:hAnsi="Times New Roman"/>
          <w:sz w:val="24"/>
          <w:szCs w:val="24"/>
        </w:rPr>
      </w:pPr>
      <w:r w:rsidRPr="00B532F6">
        <w:rPr>
          <w:rFonts w:ascii="Times New Roman" w:hAnsi="Times New Roman"/>
          <w:sz w:val="24"/>
          <w:szCs w:val="24"/>
        </w:rPr>
        <w:t xml:space="preserve">On Sept. 23, 2020, in </w:t>
      </w:r>
      <w:r w:rsidRPr="00B532F6">
        <w:rPr>
          <w:rFonts w:ascii="Times New Roman" w:hAnsi="Times New Roman"/>
          <w:sz w:val="24"/>
          <w:szCs w:val="24"/>
          <w:u w:val="single"/>
        </w:rPr>
        <w:t>Arnold Lowther v. Town of Bastrop</w:t>
      </w:r>
      <w:r w:rsidRPr="00B532F6">
        <w:rPr>
          <w:rFonts w:ascii="Times New Roman" w:hAnsi="Times New Roman"/>
          <w:sz w:val="24"/>
          <w:szCs w:val="24"/>
        </w:rPr>
        <w:t xml:space="preserve">, the Court of Appeal, Second Circuit, State of Louisiana, held (3 to 0) that while the firefighters won their 2008 lawsuit in 2014, and trial court ordered the City and its fire department to enact a uniform pay plan, which the trial court approved with backpay from 2005. </w:t>
      </w:r>
      <w:proofErr w:type="gramStart"/>
      <w:r w:rsidRPr="00B532F6">
        <w:rPr>
          <w:rFonts w:ascii="Times New Roman" w:hAnsi="Times New Roman"/>
          <w:sz w:val="24"/>
          <w:szCs w:val="24"/>
        </w:rPr>
        <w:t>However</w:t>
      </w:r>
      <w:proofErr w:type="gramEnd"/>
      <w:r w:rsidRPr="00B532F6">
        <w:rPr>
          <w:rFonts w:ascii="Times New Roman" w:hAnsi="Times New Roman"/>
          <w:sz w:val="24"/>
          <w:szCs w:val="24"/>
        </w:rPr>
        <w:t xml:space="preserve"> under Louisiana law the courts cannot order municipality to create a deficit.  According to Press Reports, $1.6 million in back pay: “A recent judgement from a lawsuit dating back to 2005 under a </w:t>
      </w:r>
      <w:proofErr w:type="gramStart"/>
      <w:r w:rsidRPr="00B532F6">
        <w:rPr>
          <w:rFonts w:ascii="Times New Roman" w:hAnsi="Times New Roman"/>
          <w:sz w:val="24"/>
          <w:szCs w:val="24"/>
        </w:rPr>
        <w:t>prior administration mandates</w:t>
      </w:r>
      <w:proofErr w:type="gramEnd"/>
      <w:r w:rsidRPr="00B532F6">
        <w:rPr>
          <w:rFonts w:ascii="Times New Roman" w:hAnsi="Times New Roman"/>
          <w:sz w:val="24"/>
          <w:szCs w:val="24"/>
        </w:rPr>
        <w:t xml:space="preserve"> that the city must repay $1.6 million to 32 current and former firemen. The suit claimed city firemen weren't paid properly for their longevity, performance or responsibilities for </w:t>
      </w:r>
      <w:proofErr w:type="gramStart"/>
      <w:r w:rsidRPr="00B532F6">
        <w:rPr>
          <w:rFonts w:ascii="Times New Roman" w:hAnsi="Times New Roman"/>
          <w:sz w:val="24"/>
          <w:szCs w:val="24"/>
        </w:rPr>
        <w:t>a number of</w:t>
      </w:r>
      <w:proofErr w:type="gramEnd"/>
      <w:r w:rsidRPr="00B532F6">
        <w:rPr>
          <w:rFonts w:ascii="Times New Roman" w:hAnsi="Times New Roman"/>
          <w:sz w:val="24"/>
          <w:szCs w:val="24"/>
        </w:rPr>
        <w:t xml:space="preserve"> years. The problem Mayor Henry Cotton says is that the city doesn't have that kind of money, and needs a mill increase to do it. The proposal would be designated for 10 years to repay the debt.” </w:t>
      </w:r>
      <w:hyperlink r:id="rId1837" w:history="1">
        <w:r w:rsidRPr="00B532F6">
          <w:rPr>
            <w:rStyle w:val="Hyperlink"/>
            <w:rFonts w:ascii="Times New Roman" w:hAnsi="Times New Roman"/>
            <w:sz w:val="24"/>
            <w:szCs w:val="24"/>
          </w:rPr>
          <w:t>https://www.knoe.com/content/news/Bastrop-mayor-proposes-3-mill-increase-to-repay-debt-from-fireman-lawsuit-513531241.html</w:t>
        </w:r>
      </w:hyperlink>
    </w:p>
    <w:p w14:paraId="73D4612A" w14:textId="77777777" w:rsidR="00B532F6" w:rsidRPr="00A726BF" w:rsidRDefault="00B532F6" w:rsidP="00B532F6">
      <w:pPr>
        <w:pStyle w:val="Heading1"/>
        <w:tabs>
          <w:tab w:val="left" w:pos="2990"/>
        </w:tabs>
        <w:rPr>
          <w:sz w:val="24"/>
          <w:szCs w:val="24"/>
        </w:rPr>
      </w:pPr>
      <w:r w:rsidRPr="00A726BF">
        <w:rPr>
          <w:sz w:val="24"/>
          <w:szCs w:val="24"/>
        </w:rPr>
        <w:t xml:space="preserve">Legal Lessons Learned: </w:t>
      </w:r>
      <w:proofErr w:type="gramStart"/>
      <w:r>
        <w:rPr>
          <w:sz w:val="24"/>
          <w:szCs w:val="24"/>
        </w:rPr>
        <w:t>In order for</w:t>
      </w:r>
      <w:proofErr w:type="gramEnd"/>
      <w:r>
        <w:rPr>
          <w:sz w:val="24"/>
          <w:szCs w:val="24"/>
        </w:rPr>
        <w:t xml:space="preserve"> these 32 current and former fighters to collect on their judgment, they must wait for the City to raise the money.  </w:t>
      </w:r>
    </w:p>
    <w:p w14:paraId="1E8BCA16" w14:textId="77777777" w:rsidR="00B532F6" w:rsidRDefault="00B532F6" w:rsidP="00B532F6">
      <w:pPr>
        <w:rPr>
          <w:rFonts w:ascii="Arial Black" w:hAnsi="Arial Black"/>
          <w:b/>
          <w:sz w:val="24"/>
          <w:szCs w:val="24"/>
        </w:rPr>
      </w:pPr>
    </w:p>
    <w:p w14:paraId="62AA8F4D" w14:textId="77777777" w:rsidR="00B532F6" w:rsidRDefault="00B532F6" w:rsidP="00F326E5">
      <w:pPr>
        <w:rPr>
          <w:rFonts w:ascii="Arial Black" w:hAnsi="Arial Black"/>
          <w:b/>
          <w:sz w:val="24"/>
          <w:szCs w:val="24"/>
        </w:rPr>
      </w:pPr>
    </w:p>
    <w:p w14:paraId="2739EF99" w14:textId="77777777" w:rsidR="00B532F6" w:rsidRDefault="00B532F6" w:rsidP="00F326E5">
      <w:pPr>
        <w:rPr>
          <w:rFonts w:ascii="Arial Black" w:hAnsi="Arial Black"/>
          <w:b/>
          <w:sz w:val="24"/>
          <w:szCs w:val="24"/>
        </w:rPr>
      </w:pPr>
    </w:p>
    <w:p w14:paraId="5BE2659C" w14:textId="78540CB4" w:rsidR="00B532F6" w:rsidRDefault="00B532F6"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8</w:t>
      </w:r>
    </w:p>
    <w:p w14:paraId="5CC2291A" w14:textId="77777777" w:rsidR="00B532F6" w:rsidRDefault="00B532F6" w:rsidP="00B532F6">
      <w:pPr>
        <w:rPr>
          <w:rFonts w:ascii="Arial Black" w:hAnsi="Arial Black"/>
          <w:sz w:val="28"/>
          <w:szCs w:val="28"/>
        </w:rPr>
      </w:pPr>
      <w:r w:rsidRPr="00B42CBD">
        <w:rPr>
          <w:rFonts w:ascii="Arial Black" w:hAnsi="Arial Black"/>
          <w:sz w:val="28"/>
          <w:szCs w:val="28"/>
        </w:rPr>
        <w:t xml:space="preserve">IN: </w:t>
      </w:r>
      <w:r>
        <w:rPr>
          <w:rFonts w:ascii="Arial Black" w:hAnsi="Arial Black"/>
          <w:sz w:val="28"/>
          <w:szCs w:val="28"/>
        </w:rPr>
        <w:t xml:space="preserve">FLSA SETTLEMENT – CITY SETTLES WITH </w:t>
      </w:r>
      <w:r w:rsidRPr="00B42CBD">
        <w:rPr>
          <w:rFonts w:ascii="Arial Black" w:hAnsi="Arial Black"/>
          <w:sz w:val="28"/>
          <w:szCs w:val="28"/>
        </w:rPr>
        <w:t>15 FF</w:t>
      </w:r>
      <w:r>
        <w:rPr>
          <w:rFonts w:ascii="Arial Black" w:hAnsi="Arial Black"/>
          <w:sz w:val="28"/>
          <w:szCs w:val="28"/>
        </w:rPr>
        <w:t xml:space="preserve"> -</w:t>
      </w:r>
      <w:r w:rsidRPr="00B42CBD">
        <w:rPr>
          <w:rFonts w:ascii="Arial Black" w:hAnsi="Arial Black"/>
          <w:sz w:val="28"/>
          <w:szCs w:val="28"/>
        </w:rPr>
        <w:t xml:space="preserve"> </w:t>
      </w:r>
      <w:r>
        <w:rPr>
          <w:rFonts w:ascii="Arial Black" w:hAnsi="Arial Black"/>
          <w:sz w:val="28"/>
          <w:szCs w:val="28"/>
        </w:rPr>
        <w:t>PLUS NOT DEMAND PAYBACK OVERPAYMENTS – FED JUDGE MUST APPROVE</w:t>
      </w:r>
    </w:p>
    <w:p w14:paraId="1FAFA749" w14:textId="77777777" w:rsidR="00B532F6" w:rsidRDefault="00B532F6" w:rsidP="00B532F6">
      <w:pPr>
        <w:pStyle w:val="NormalWeb"/>
      </w:pPr>
      <w:r>
        <w:t xml:space="preserve">On Sept. 22, 2020, in </w:t>
      </w:r>
      <w:r w:rsidRPr="00743799">
        <w:rPr>
          <w:u w:val="single"/>
        </w:rPr>
        <w:t>Eric Camel, et al. v. Town of Chesterton, Indiana and J</w:t>
      </w:r>
      <w:r>
        <w:rPr>
          <w:u w:val="single"/>
        </w:rPr>
        <w:t>ohn</w:t>
      </w:r>
      <w:r w:rsidRPr="00743799">
        <w:rPr>
          <w:u w:val="single"/>
        </w:rPr>
        <w:t xml:space="preserve"> Jarka, Fire Chief</w:t>
      </w:r>
      <w:r>
        <w:t xml:space="preserve">, U.S. District Court Judge Theresa L. Springmann, U.S. District Court, Norther District of Indiana (Hammond Division) has generally approved the settlement, but has taken the matter “under advisement” until the parties advise the Court how much of the funds go to attorney fees.  Plaintiffs allege, among numerous other claims against both Defendants, that Defendant Town of Chesterton failed to comply with statutory overtime provisions when </w:t>
      </w:r>
      <w:proofErr w:type="gramStart"/>
      <w:r>
        <w:t>it</w:t>
      </w:r>
      <w:proofErr w:type="gramEnd"/>
      <w:r>
        <w:t xml:space="preserve"> failed to pay them overtime wages when they worked </w:t>
      </w:r>
      <w:proofErr w:type="gramStart"/>
      <w:r>
        <w:t>in excess of</w:t>
      </w:r>
      <w:proofErr w:type="gramEnd"/>
      <w:r>
        <w:t xml:space="preserve"> 204 hours in a twenty-seven (27) day work period from 2011 through and including 2019.</w:t>
      </w:r>
    </w:p>
    <w:p w14:paraId="30B15105" w14:textId="77777777" w:rsidR="00B532F6" w:rsidRDefault="00B532F6" w:rsidP="00B532F6">
      <w:pPr>
        <w:pStyle w:val="NormalWeb"/>
        <w:ind w:left="720"/>
      </w:pPr>
      <w:r>
        <w:t>“Under the FLSA, settlement agreements for the recovery of unpaid overtime compensation must be approved by the Court in the absence of direct supervision by the Secretary of Labor.</w:t>
      </w:r>
    </w:p>
    <w:p w14:paraId="1D7DFAD2" w14:textId="77777777" w:rsidR="00B532F6" w:rsidRDefault="00B532F6" w:rsidP="00B532F6">
      <w:pPr>
        <w:pStyle w:val="NormalWeb"/>
        <w:ind w:left="720"/>
      </w:pPr>
      <w:r>
        <w:t>***</w:t>
      </w:r>
    </w:p>
    <w:p w14:paraId="050C0124" w14:textId="77777777" w:rsidR="00B532F6" w:rsidRDefault="00B532F6" w:rsidP="00B532F6">
      <w:pPr>
        <w:pStyle w:val="NormalWeb"/>
        <w:ind w:left="720"/>
      </w:pPr>
      <w:r>
        <w:t>The Settlement Agreement provides for a total payment of $26,371.24, which includes (1) a payment of $647.40 to Plaintiff Amanda Shine for back pay and liquidated damages, inclusive of all attorney's fees and costs; (2) a payment of $723.84 to Plaintiff Michael A. Coslet for back pay and liquidated damages [amount owed, doubled], inclusive of all attorney's fees and costs; and (3) a payment of $25,000 to all Plaintiffs, inclusive of all attorney's fees and costs.</w:t>
      </w:r>
    </w:p>
    <w:p w14:paraId="3894740E" w14:textId="77777777" w:rsidR="00B532F6" w:rsidRDefault="00B532F6" w:rsidP="00B532F6">
      <w:pPr>
        <w:pStyle w:val="NormalWeb"/>
        <w:ind w:left="720"/>
      </w:pPr>
      <w:r>
        <w:t>***</w:t>
      </w:r>
    </w:p>
    <w:p w14:paraId="32351CD8" w14:textId="77777777" w:rsidR="00B532F6" w:rsidRDefault="00B532F6" w:rsidP="00B532F6">
      <w:pPr>
        <w:pStyle w:val="NormalWeb"/>
        <w:ind w:left="720"/>
      </w:pPr>
      <w:r>
        <w:t>The Settlement Agreement further provides for significant non-economic awards such as the addition of four vacation days in lieu of reduction time (and the elimination of reduction time), enacted through amendments to the Personnel Handbook and to the agreement between the Town of Chesterton and Chesterton Firefighters Local 4600; waiver of the $89,878.26 overpayment the Town of Chesterton alleges is owed by ten of the Plaintiffs; and the removal of a reprimand in two of the Plaintiffs' personnel files.”</w:t>
      </w:r>
      <w:r w:rsidRPr="00743799">
        <w:t xml:space="preserve"> </w:t>
      </w:r>
      <w:hyperlink r:id="rId1838" w:history="1">
        <w:r w:rsidRPr="000929D2">
          <w:rPr>
            <w:rStyle w:val="Hyperlink"/>
          </w:rPr>
          <w:t>https://public.fastcase.com/Wl%2B2t%2BeVuI35%2FN70vAMFZtsu4ffMdPWfOx%2BdxBXmfVAnwIw9ms7kbCEt1faHV%2BzM</w:t>
        </w:r>
      </w:hyperlink>
      <w:r>
        <w:t xml:space="preserve"> </w:t>
      </w:r>
    </w:p>
    <w:p w14:paraId="7C05CE01" w14:textId="77777777" w:rsidR="00B532F6" w:rsidRPr="00BA2CA5" w:rsidRDefault="00B532F6" w:rsidP="00B532F6">
      <w:pPr>
        <w:rPr>
          <w:rFonts w:ascii="Times New Roman" w:hAnsi="Times New Roman"/>
          <w:b/>
          <w:bCs/>
          <w:sz w:val="24"/>
          <w:szCs w:val="24"/>
        </w:rPr>
      </w:pPr>
      <w:r w:rsidRPr="00BA2CA5">
        <w:rPr>
          <w:rFonts w:ascii="Times New Roman" w:hAnsi="Times New Roman"/>
          <w:b/>
          <w:bCs/>
          <w:sz w:val="24"/>
          <w:szCs w:val="24"/>
        </w:rPr>
        <w:t>Legal Lessons Learned:</w:t>
      </w:r>
      <w:r>
        <w:rPr>
          <w:rFonts w:ascii="Times New Roman" w:hAnsi="Times New Roman"/>
          <w:b/>
          <w:bCs/>
          <w:sz w:val="24"/>
          <w:szCs w:val="24"/>
        </w:rPr>
        <w:t xml:space="preserve"> FLSA requires approval of settlements by U.S. Department of Labor, or by U.S. District Court judge.</w:t>
      </w:r>
    </w:p>
    <w:p w14:paraId="05BCF706" w14:textId="77777777" w:rsidR="00B532F6" w:rsidRDefault="00B532F6" w:rsidP="00B532F6">
      <w:pPr>
        <w:pStyle w:val="NormalWeb"/>
        <w:ind w:left="720"/>
      </w:pPr>
      <w:r>
        <w:t xml:space="preserve">Note: See FD’s web page: The department currently has 15 full-time personnel that staff an engine 24/7/365, as well as a full time Fire Chief and Deputy Fire Chief. The department also utilizes a staff of 15 volunteer personnel who respond to calls for assistance. </w:t>
      </w:r>
      <w:hyperlink r:id="rId1839" w:history="1">
        <w:r w:rsidRPr="000929D2">
          <w:rPr>
            <w:rStyle w:val="Hyperlink"/>
          </w:rPr>
          <w:t>https://www.chestertonin.org/145/Fire-Department</w:t>
        </w:r>
      </w:hyperlink>
      <w:r>
        <w:t xml:space="preserve"> </w:t>
      </w:r>
    </w:p>
    <w:p w14:paraId="7BEA0B58" w14:textId="77777777" w:rsidR="00B532F6" w:rsidRDefault="00B532F6" w:rsidP="00F326E5">
      <w:pPr>
        <w:rPr>
          <w:rFonts w:ascii="Arial Black" w:hAnsi="Arial Black"/>
          <w:b/>
          <w:sz w:val="24"/>
          <w:szCs w:val="24"/>
        </w:rPr>
      </w:pPr>
    </w:p>
    <w:p w14:paraId="7B6BBB71" w14:textId="77777777" w:rsidR="00B532F6" w:rsidRDefault="00B532F6" w:rsidP="00F326E5">
      <w:pPr>
        <w:rPr>
          <w:rFonts w:ascii="Arial Black" w:hAnsi="Arial Black"/>
          <w:b/>
          <w:sz w:val="24"/>
          <w:szCs w:val="24"/>
        </w:rPr>
      </w:pPr>
    </w:p>
    <w:p w14:paraId="0422D056" w14:textId="47F6C820" w:rsidR="00557CA2" w:rsidRDefault="00557CA2"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7</w:t>
      </w:r>
    </w:p>
    <w:p w14:paraId="1C0A2D23" w14:textId="77777777" w:rsidR="00557CA2" w:rsidRDefault="00557CA2" w:rsidP="00557CA2">
      <w:pPr>
        <w:pStyle w:val="NormalWeb"/>
        <w:spacing w:line="255" w:lineRule="atLeast"/>
        <w:rPr>
          <w:rFonts w:ascii="Arial Black" w:hAnsi="Arial Black"/>
          <w:sz w:val="28"/>
          <w:szCs w:val="28"/>
        </w:rPr>
      </w:pPr>
      <w:r>
        <w:rPr>
          <w:rFonts w:ascii="Arial Black" w:hAnsi="Arial Black"/>
          <w:sz w:val="28"/>
          <w:szCs w:val="28"/>
        </w:rPr>
        <w:t>DC: FLSA – WORKING FROM HOME – NEED SYSTEM THAT REQUIRES HOURLY EMPLOYEES TO REPORT THEIR HOURS</w:t>
      </w:r>
    </w:p>
    <w:p w14:paraId="4D725FDF" w14:textId="77777777" w:rsidR="00557CA2" w:rsidRDefault="00557CA2" w:rsidP="00557CA2">
      <w:pPr>
        <w:pStyle w:val="NormalWeb"/>
        <w:spacing w:line="255" w:lineRule="atLeast"/>
      </w:pPr>
      <w:r>
        <w:t>On Aug. 24, 2020, the U.S. Department of Labor, Wage &amp; Hour Division, published FIELD ASSISTANCE BULLETIN No. 2020-5: “Employers’ obligation to exercise reasonable diligence in tracking teleworking employees’ hours of work.”</w:t>
      </w:r>
    </w:p>
    <w:p w14:paraId="37D4C4C8" w14:textId="77777777" w:rsidR="00557CA2" w:rsidRDefault="00557CA2" w:rsidP="00557CA2">
      <w:pPr>
        <w:pStyle w:val="NormalWeb"/>
        <w:spacing w:line="255" w:lineRule="atLeast"/>
        <w:ind w:left="720"/>
      </w:pPr>
      <w:r>
        <w:t xml:space="preserve">“In a telework or remote work arrangement, the question of the employer’s obligation to track hours </w:t>
      </w:r>
      <w:proofErr w:type="gramStart"/>
      <w:r>
        <w:t>actually worked</w:t>
      </w:r>
      <w:proofErr w:type="gramEnd"/>
      <w:r>
        <w:t xml:space="preserve"> for which the employee was not scheduled may often arise. While this guidance responds directly to needs created by new telework or remote work arrangements that arose in response to COVID-19, it also applies to other telework or remote work arrangements. An employer is required to pay </w:t>
      </w:r>
      <w:proofErr w:type="gramStart"/>
      <w:r>
        <w:t>its</w:t>
      </w:r>
      <w:proofErr w:type="gramEnd"/>
      <w:r>
        <w:t xml:space="preserve"> employees for all hours worked, including work not requested but suffered or permitted, including work performed at home. See 29 C.F.R. § 785.11-12. If the employer knows or has reason to believe that work is being performed, the time must be counted as hours worked.</w:t>
      </w:r>
    </w:p>
    <w:p w14:paraId="788DED2B" w14:textId="77777777" w:rsidR="00557CA2" w:rsidRDefault="00557CA2" w:rsidP="00557CA2">
      <w:pPr>
        <w:pStyle w:val="NormalWeb"/>
        <w:spacing w:line="255" w:lineRule="atLeast"/>
        <w:ind w:left="720"/>
      </w:pPr>
      <w:r>
        <w:t>***</w:t>
      </w:r>
    </w:p>
    <w:p w14:paraId="77D07385" w14:textId="77777777" w:rsidR="00557CA2" w:rsidRDefault="00557CA2" w:rsidP="00557CA2">
      <w:pPr>
        <w:pStyle w:val="NormalWeb"/>
        <w:spacing w:line="255" w:lineRule="atLeast"/>
        <w:ind w:left="720"/>
      </w:pPr>
      <w:r>
        <w:t xml:space="preserve">If an employee fails to report unscheduled hours worked through such a procedure, the employer is not required to undergo impractical efforts to investigate further to uncover unreported hours of work and provide compensation for those hours.” </w:t>
      </w:r>
      <w:hyperlink r:id="rId1840" w:history="1">
        <w:r>
          <w:rPr>
            <w:rStyle w:val="Hyperlink"/>
            <w:rFonts w:eastAsiaTheme="majorEastAsia"/>
          </w:rPr>
          <w:t>https://www.dol.gov/sites/dolgov/files/WHD/legacy/files/fab_2020_5.pdf</w:t>
        </w:r>
      </w:hyperlink>
      <w:r>
        <w:t xml:space="preserve"> </w:t>
      </w:r>
    </w:p>
    <w:p w14:paraId="12EC9A8C" w14:textId="77777777" w:rsidR="00557CA2" w:rsidRDefault="00557CA2" w:rsidP="00557CA2">
      <w:pPr>
        <w:pStyle w:val="NormalWeb"/>
        <w:spacing w:line="255" w:lineRule="atLeast"/>
        <w:rPr>
          <w:b/>
          <w:bCs/>
        </w:rPr>
      </w:pPr>
    </w:p>
    <w:p w14:paraId="5470047E" w14:textId="77777777" w:rsidR="00557CA2" w:rsidRDefault="00557CA2" w:rsidP="00557CA2">
      <w:pPr>
        <w:pStyle w:val="NormalWeb"/>
        <w:spacing w:line="255" w:lineRule="atLeast"/>
        <w:rPr>
          <w:b/>
          <w:bCs/>
        </w:rPr>
      </w:pPr>
      <w:r>
        <w:rPr>
          <w:b/>
          <w:bCs/>
        </w:rPr>
        <w:t xml:space="preserve">Legal Lessons Learned:  Fire departments that allow administrative or other hourly personnel to work from home should implement an online system for reporting of hours worked.  </w:t>
      </w:r>
    </w:p>
    <w:p w14:paraId="68692DAA" w14:textId="77777777" w:rsidR="00557CA2" w:rsidRDefault="00557CA2" w:rsidP="00557CA2">
      <w:pPr>
        <w:pStyle w:val="NormalWeb"/>
        <w:spacing w:line="255" w:lineRule="atLeast"/>
        <w:ind w:left="720"/>
      </w:pPr>
      <w:r>
        <w:t xml:space="preserve">Note: The </w:t>
      </w:r>
      <w:proofErr w:type="spellStart"/>
      <w:r>
        <w:t>DoL</w:t>
      </w:r>
      <w:proofErr w:type="spellEnd"/>
      <w:r>
        <w:t xml:space="preserve"> referenced Allen v. City of Chicago, 865 F.3d 936, 945 (7th Cir. 2017), cert. denied, 138 S. Ct. 1302 (2018), where the 7</w:t>
      </w:r>
      <w:r>
        <w:rPr>
          <w:vertAlign w:val="superscript"/>
        </w:rPr>
        <w:t>th</w:t>
      </w:r>
      <w:r>
        <w:t xml:space="preserve"> Circuit </w:t>
      </w:r>
      <w:proofErr w:type="gramStart"/>
      <w:r>
        <w:t>held</w:t>
      </w:r>
      <w:proofErr w:type="gramEnd"/>
      <w:r>
        <w:t xml:space="preserve">: </w:t>
      </w:r>
      <w:r>
        <w:tab/>
      </w:r>
    </w:p>
    <w:p w14:paraId="2609AF12" w14:textId="77777777" w:rsidR="00557CA2" w:rsidRDefault="00557CA2" w:rsidP="00557CA2">
      <w:pPr>
        <w:pStyle w:val="NormalWeb"/>
        <w:spacing w:line="255" w:lineRule="atLeast"/>
        <w:ind w:left="720"/>
      </w:pPr>
      <w:r>
        <w:t xml:space="preserve">“This appeal arises from a Fair Labor Standards Act collective action. Plaintiffs are current and former members of the Chicago Police Department's Bureau of Organized Crime who claim that the Bureau did not compensate them for work they did </w:t>
      </w:r>
      <w:proofErr w:type="gramStart"/>
      <w:r>
        <w:t>off-duty</w:t>
      </w:r>
      <w:proofErr w:type="gramEnd"/>
      <w:r>
        <w:t xml:space="preserve"> on their mobile electronic devices (BlackBerrys). The case was </w:t>
      </w:r>
      <w:proofErr w:type="spellStart"/>
      <w:r>
        <w:t>tried</w:t>
      </w:r>
      <w:proofErr w:type="spellEnd"/>
      <w:r>
        <w:t xml:space="preserve"> to the court, Magistrate Judge Schenkier, presiding by consent under 28 U.S.C. § 636(c). The judge issued detailed findings of </w:t>
      </w:r>
      <w:proofErr w:type="gramStart"/>
      <w:r>
        <w:t>fact</w:t>
      </w:r>
      <w:proofErr w:type="gramEnd"/>
      <w:r>
        <w:t xml:space="preserve"> and conclusions of law in favor of the Bureau, finding that it did not prevent plaintiffs from requesting payment for such non-scheduled overtime work and did not know that plaintiffs were not being paid for it. Plaintiffs appeal, but we find no persuasive reason to upset the judgment of the district court. We affirm the judgment for the Bureau.</w:t>
      </w:r>
    </w:p>
    <w:p w14:paraId="5C8E16FC" w14:textId="77777777" w:rsidR="00557CA2" w:rsidRDefault="00557CA2" w:rsidP="00557CA2">
      <w:pPr>
        <w:pStyle w:val="NormalWeb"/>
        <w:spacing w:line="255" w:lineRule="atLeast"/>
        <w:ind w:left="720"/>
      </w:pPr>
      <w:r>
        <w:t>***</w:t>
      </w:r>
    </w:p>
    <w:p w14:paraId="5214AC65" w14:textId="77777777" w:rsidR="00557CA2" w:rsidRDefault="00557CA2" w:rsidP="00557CA2">
      <w:pPr>
        <w:spacing w:after="0" w:line="240" w:lineRule="auto"/>
        <w:ind w:left="720"/>
        <w:rPr>
          <w:rFonts w:ascii="Times New Roman" w:hAnsi="Times New Roman"/>
          <w:sz w:val="24"/>
          <w:szCs w:val="24"/>
        </w:rPr>
      </w:pPr>
      <w:r>
        <w:rPr>
          <w:rFonts w:ascii="Times New Roman" w:hAnsi="Times New Roman"/>
          <w:sz w:val="24"/>
          <w:szCs w:val="24"/>
        </w:rPr>
        <w:t>The [trial court judge, after a 6-day bench trial] agreed with plaintiffs that some of their off-duty BlackBerry activity was work that was compensable under the FLSA. It acknowledged evidence that Bureau supervisors knew plaintiffs sometimes worked off-duty on their Black-</w:t>
      </w:r>
      <w:proofErr w:type="spellStart"/>
      <w:r>
        <w:rPr>
          <w:rFonts w:ascii="Times New Roman" w:hAnsi="Times New Roman"/>
          <w:sz w:val="24"/>
          <w:szCs w:val="24"/>
        </w:rPr>
        <w:t>Berrys</w:t>
      </w:r>
      <w:proofErr w:type="spellEnd"/>
      <w:r>
        <w:rPr>
          <w:rFonts w:ascii="Times New Roman" w:hAnsi="Times New Roman"/>
          <w:sz w:val="24"/>
          <w:szCs w:val="24"/>
        </w:rPr>
        <w:t xml:space="preserve">. But the court also found that the supervisors did not know or have reason to know that plaintiffs were not submitting slips and therefore were not being paid for that work. Although supervisors in theory could have checked what they knew of plaintiffs' off-duty work against the time slips they approved, the court found that requiring them to do so would be impractical: supervisors approved a large number of slips per day, and slips were sometimes submitted and reviewed well after the work was performed. Also, the court found, plaintiffs never told their supervisors that they were not being paid for such work.” </w:t>
      </w:r>
      <w:hyperlink r:id="rId1841" w:history="1">
        <w:r>
          <w:rPr>
            <w:rStyle w:val="Hyperlink"/>
            <w:sz w:val="24"/>
            <w:szCs w:val="24"/>
          </w:rPr>
          <w:t>https://www.leagle.com/decision/infco20170803124</w:t>
        </w:r>
      </w:hyperlink>
      <w:r>
        <w:rPr>
          <w:rFonts w:ascii="Times New Roman" w:hAnsi="Times New Roman"/>
          <w:sz w:val="24"/>
          <w:szCs w:val="24"/>
        </w:rPr>
        <w:t xml:space="preserve"> </w:t>
      </w:r>
    </w:p>
    <w:p w14:paraId="7E267947" w14:textId="77777777" w:rsidR="00557CA2" w:rsidRDefault="00557CA2" w:rsidP="00557CA2">
      <w:pPr>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14:paraId="60D14735" w14:textId="77777777" w:rsidR="00557CA2" w:rsidRDefault="00557CA2" w:rsidP="00F326E5">
      <w:pPr>
        <w:rPr>
          <w:rFonts w:ascii="Arial Black" w:hAnsi="Arial Black"/>
          <w:b/>
          <w:sz w:val="24"/>
          <w:szCs w:val="24"/>
        </w:rPr>
      </w:pPr>
    </w:p>
    <w:p w14:paraId="182846F8" w14:textId="1B13F31E" w:rsidR="00557CA2" w:rsidRDefault="00557CA2"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6</w:t>
      </w:r>
    </w:p>
    <w:p w14:paraId="11052372" w14:textId="77777777" w:rsidR="00557CA2" w:rsidRDefault="00557CA2" w:rsidP="00557CA2">
      <w:pPr>
        <w:spacing w:before="100" w:beforeAutospacing="1" w:after="100" w:afterAutospacing="1" w:line="240" w:lineRule="auto"/>
        <w:rPr>
          <w:rFonts w:ascii="Arial Black" w:hAnsi="Arial Black"/>
          <w:sz w:val="28"/>
          <w:szCs w:val="28"/>
        </w:rPr>
      </w:pPr>
      <w:r>
        <w:rPr>
          <w:rFonts w:ascii="Arial Black" w:hAnsi="Arial Black"/>
          <w:sz w:val="28"/>
          <w:szCs w:val="28"/>
        </w:rPr>
        <w:t>MO: FLSA – FLIGHT MEDIC – AIR EVAC IS “COMMON CARRIER” AND CAN PAY OVERTIME AFTER 84 HRS / 2 WKS</w:t>
      </w:r>
    </w:p>
    <w:p w14:paraId="0D2D9433" w14:textId="77777777" w:rsidR="00557CA2" w:rsidRDefault="00557CA2" w:rsidP="00557CA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17, 2020, in </w:t>
      </w:r>
      <w:r>
        <w:rPr>
          <w:rFonts w:ascii="Times New Roman" w:hAnsi="Times New Roman"/>
          <w:sz w:val="24"/>
          <w:szCs w:val="24"/>
          <w:u w:val="single"/>
        </w:rPr>
        <w:t>Jacob Rieglsberger, individually and on behalf of all similarly situated persons v. Air Evac EMS, Inc. et al</w:t>
      </w:r>
      <w:r>
        <w:rPr>
          <w:rFonts w:ascii="Times New Roman" w:hAnsi="Times New Roman"/>
          <w:sz w:val="24"/>
          <w:szCs w:val="24"/>
        </w:rPr>
        <w:t>., the U.S. Court of Appeals for the 8</w:t>
      </w:r>
      <w:r>
        <w:rPr>
          <w:rFonts w:ascii="Times New Roman" w:hAnsi="Times New Roman"/>
          <w:sz w:val="24"/>
          <w:szCs w:val="24"/>
          <w:vertAlign w:val="superscript"/>
        </w:rPr>
        <w:t>th</w:t>
      </w:r>
      <w:r>
        <w:rPr>
          <w:rFonts w:ascii="Times New Roman" w:hAnsi="Times New Roman"/>
          <w:sz w:val="24"/>
          <w:szCs w:val="24"/>
        </w:rPr>
        <w:t xml:space="preserve"> Circuit (St. Louis) held (3 to 0) that plaintiff’s arguments “do not get off the ground.” </w:t>
      </w:r>
    </w:p>
    <w:p w14:paraId="3AAFC201" w14:textId="2EAE3A2A"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“Riegelsberger's arguments to the contrary do not get off the ground. It makes no difference, for example, that medical providers, rather than the patients themselves, are the primary points of contact in arranging transportation. Just as a major airline can still be a common carrier if a passenger uses a travel agent to arrange transportation, health-care providers can provide the same service for their patients without affecting Air Evac's common-carrier status. </w:t>
      </w:r>
      <w:r>
        <w:rPr>
          <w:rFonts w:ascii="Times New Roman" w:eastAsia="Times New Roman" w:hAnsi="Times New Roman"/>
          <w:i/>
          <w:iCs/>
          <w:sz w:val="24"/>
          <w:szCs w:val="24"/>
        </w:rPr>
        <w:t>Cf</w:t>
      </w:r>
      <w:r>
        <w:rPr>
          <w:rFonts w:ascii="Times New Roman" w:eastAsia="Times New Roman" w:hAnsi="Times New Roman"/>
          <w:sz w:val="24"/>
          <w:szCs w:val="24"/>
        </w:rPr>
        <w:t xml:space="preserve">. </w:t>
      </w:r>
      <w:r>
        <w:rPr>
          <w:rFonts w:ascii="Times New Roman" w:eastAsia="Times New Roman" w:hAnsi="Times New Roman"/>
          <w:i/>
          <w:iCs/>
          <w:sz w:val="24"/>
          <w:szCs w:val="24"/>
        </w:rPr>
        <w:t>Air Evac EMS</w:t>
      </w:r>
      <w:r>
        <w:rPr>
          <w:rFonts w:ascii="Times New Roman" w:eastAsia="Times New Roman" w:hAnsi="Times New Roman"/>
          <w:sz w:val="24"/>
          <w:szCs w:val="24"/>
        </w:rPr>
        <w:t xml:space="preserve">, </w:t>
      </w:r>
      <w:r>
        <w:rPr>
          <w:rFonts w:ascii="Times New Roman" w:eastAsia="Times New Roman" w:hAnsi="Times New Roman"/>
          <w:i/>
          <w:iCs/>
          <w:sz w:val="24"/>
          <w:szCs w:val="24"/>
        </w:rPr>
        <w:t>Inc</w:t>
      </w:r>
      <w:r>
        <w:rPr>
          <w:rFonts w:ascii="Times New Roman" w:eastAsia="Times New Roman" w:hAnsi="Times New Roman"/>
          <w:sz w:val="24"/>
          <w:szCs w:val="24"/>
        </w:rPr>
        <w:t xml:space="preserve">., 910 F.3d at 764 (making a similar analogy). The fact that intermediaries are involved, in other words, does not change what Air Evac ‘actually does,’ which is to transport patients for a fee. </w:t>
      </w:r>
      <w:r>
        <w:rPr>
          <w:rFonts w:ascii="Times New Roman" w:eastAsia="Times New Roman" w:hAnsi="Times New Roman"/>
          <w:i/>
          <w:iCs/>
          <w:sz w:val="24"/>
          <w:szCs w:val="24"/>
        </w:rPr>
        <w:t>United States v</w:t>
      </w:r>
      <w:r>
        <w:rPr>
          <w:rFonts w:ascii="Times New Roman" w:eastAsia="Times New Roman" w:hAnsi="Times New Roman"/>
          <w:sz w:val="24"/>
          <w:szCs w:val="24"/>
        </w:rPr>
        <w:t xml:space="preserve">. </w:t>
      </w:r>
      <w:r>
        <w:rPr>
          <w:rFonts w:ascii="Times New Roman" w:eastAsia="Times New Roman" w:hAnsi="Times New Roman"/>
          <w:i/>
          <w:iCs/>
          <w:sz w:val="24"/>
          <w:szCs w:val="24"/>
        </w:rPr>
        <w:t>One Rockwell Int'l Commander 690C/840</w:t>
      </w:r>
      <w:r>
        <w:rPr>
          <w:rFonts w:ascii="Times New Roman" w:eastAsia="Times New Roman" w:hAnsi="Times New Roman"/>
          <w:sz w:val="24"/>
          <w:szCs w:val="24"/>
        </w:rPr>
        <w:t xml:space="preserve">, </w:t>
      </w:r>
      <w:r>
        <w:rPr>
          <w:rFonts w:ascii="Times New Roman" w:eastAsia="Times New Roman" w:hAnsi="Times New Roman"/>
          <w:i/>
          <w:iCs/>
          <w:sz w:val="24"/>
          <w:szCs w:val="24"/>
        </w:rPr>
        <w:t>Serial No</w:t>
      </w:r>
      <w:r>
        <w:rPr>
          <w:rFonts w:ascii="Times New Roman" w:eastAsia="Times New Roman" w:hAnsi="Times New Roman"/>
          <w:sz w:val="24"/>
          <w:szCs w:val="24"/>
        </w:rPr>
        <w:t xml:space="preserve">. </w:t>
      </w:r>
      <w:r>
        <w:rPr>
          <w:rFonts w:ascii="Times New Roman" w:eastAsia="Times New Roman" w:hAnsi="Times New Roman"/>
          <w:i/>
          <w:iCs/>
          <w:sz w:val="24"/>
          <w:szCs w:val="24"/>
        </w:rPr>
        <w:t>11627</w:t>
      </w:r>
      <w:r>
        <w:rPr>
          <w:rFonts w:ascii="Times New Roman" w:eastAsia="Times New Roman" w:hAnsi="Times New Roman"/>
          <w:sz w:val="24"/>
          <w:szCs w:val="24"/>
        </w:rPr>
        <w:t xml:space="preserve">, 754 F.2d 284, 287 (8th Cir. 1985).”  </w:t>
      </w:r>
      <w:hyperlink r:id="rId1842" w:history="1">
        <w:r>
          <w:rPr>
            <w:rStyle w:val="Hyperlink"/>
            <w:sz w:val="24"/>
            <w:szCs w:val="24"/>
          </w:rPr>
          <w:t>https://law.justia.com/cases/federal/appellate-courts/ca8/19-1414/19-1414-2020-08-17.html</w:t>
        </w:r>
      </w:hyperlink>
      <w:r>
        <w:rPr>
          <w:rFonts w:ascii="Times New Roman" w:eastAsia="Times New Roman" w:hAnsi="Times New Roman"/>
          <w:sz w:val="24"/>
          <w:szCs w:val="24"/>
        </w:rPr>
        <w:t xml:space="preserve"> </w:t>
      </w:r>
    </w:p>
    <w:p w14:paraId="1614ADB0" w14:textId="77777777" w:rsidR="00557CA2" w:rsidRDefault="00557CA2" w:rsidP="00557CA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Lessons Learned:  Flight medics are entitled to overtime.  </w:t>
      </w:r>
    </w:p>
    <w:p w14:paraId="3257FCF9" w14:textId="77777777" w:rsidR="00557CA2" w:rsidRDefault="00557CA2" w:rsidP="00557CA2">
      <w:pPr>
        <w:pStyle w:val="Heading1"/>
        <w:ind w:left="720"/>
      </w:pPr>
      <w:r>
        <w:rPr>
          <w:b w:val="0"/>
          <w:bCs w:val="0"/>
          <w:sz w:val="24"/>
          <w:szCs w:val="24"/>
        </w:rPr>
        <w:t xml:space="preserve">Note: See this recent settlement: “Air medical company agrees to $78M settlement for overtime” (July 2, 2020); </w:t>
      </w:r>
      <w:hyperlink r:id="rId1843" w:history="1">
        <w:r>
          <w:rPr>
            <w:rStyle w:val="Hyperlink"/>
            <w:rFonts w:eastAsiaTheme="majorEastAsia"/>
            <w:b w:val="0"/>
            <w:bCs w:val="0"/>
            <w:sz w:val="24"/>
            <w:szCs w:val="24"/>
          </w:rPr>
          <w:t>https://www.ems1.com/legal/articles/air-medical-company-agrees-to-78m-settlement-for-overtime-ExknCez8O1D6ZfI4/</w:t>
        </w:r>
      </w:hyperlink>
      <w:r>
        <w:t xml:space="preserve"> </w:t>
      </w:r>
    </w:p>
    <w:p w14:paraId="7490B399" w14:textId="77777777"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“OAKLAND, Calif. — A medical helicopter operator has been ordered to pay $78 million to its flight crew employees for unpaid overtime and missed breaks in a class-action lawsuit settlement. Alameda County Superior Court Judge Winifred Y. Smith agreed Wednesday to the preliminary settlement filed by about 450 former and current medical flight crew members employed in California by Air Methods Corporation of Colorado.</w:t>
      </w:r>
    </w:p>
    <w:p w14:paraId="6E46D7EF" w14:textId="77777777"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Air Methods also is expected to pay daily overtime to its medical flight crew starting from June 28, resulting in an estimated 20% or more increase to their salaries, according to the attorneys representing the crew.</w:t>
      </w:r>
    </w:p>
    <w:p w14:paraId="2ED6E6A2" w14:textId="77777777"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Air Methods is reportedly the country’s largest air medical transport company and operates helicopter bases. Teams of nurses and paramedics are dispatched in </w:t>
      </w:r>
      <w:proofErr w:type="gramStart"/>
      <w:r>
        <w:rPr>
          <w:rFonts w:ascii="Times New Roman" w:eastAsia="Times New Roman" w:hAnsi="Times New Roman"/>
          <w:sz w:val="24"/>
          <w:szCs w:val="24"/>
        </w:rPr>
        <w:t>the helicopters</w:t>
      </w:r>
      <w:proofErr w:type="gramEnd"/>
      <w:r>
        <w:rPr>
          <w:rFonts w:ascii="Times New Roman" w:eastAsia="Times New Roman" w:hAnsi="Times New Roman"/>
          <w:sz w:val="24"/>
          <w:szCs w:val="24"/>
        </w:rPr>
        <w:t>, often to remote areas.</w:t>
      </w:r>
    </w:p>
    <w:p w14:paraId="055AA39B" w14:textId="77777777" w:rsidR="00557CA2" w:rsidRDefault="00557CA2" w:rsidP="00557CA2">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Air Methods was accused of refusing to pay daily overtime for crews working more than eight hours in a workday. The flight crew commonly worked 24-hour shifts, according to attorney James Sitkin, who represented the crew. He alleged that Air Methods did not allow the flight crew to take off-duty meal breaks or rest breaks.”</w:t>
      </w:r>
    </w:p>
    <w:p w14:paraId="0EC4051F" w14:textId="77777777" w:rsidR="00557CA2" w:rsidRDefault="00557CA2" w:rsidP="00F326E5">
      <w:pPr>
        <w:rPr>
          <w:rFonts w:ascii="Arial Black" w:hAnsi="Arial Black"/>
          <w:b/>
          <w:sz w:val="24"/>
          <w:szCs w:val="24"/>
        </w:rPr>
      </w:pPr>
    </w:p>
    <w:p w14:paraId="54600369" w14:textId="77777777" w:rsidR="00557CA2" w:rsidRDefault="00557CA2" w:rsidP="00F326E5">
      <w:pPr>
        <w:rPr>
          <w:rFonts w:ascii="Arial Black" w:hAnsi="Arial Black"/>
          <w:b/>
          <w:sz w:val="24"/>
          <w:szCs w:val="24"/>
        </w:rPr>
      </w:pPr>
    </w:p>
    <w:p w14:paraId="354AC977" w14:textId="4AF74980" w:rsidR="006B2083" w:rsidRDefault="006B2083"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5</w:t>
      </w:r>
    </w:p>
    <w:p w14:paraId="5E111747" w14:textId="77777777" w:rsidR="006B2083" w:rsidRPr="000046E6" w:rsidRDefault="006B2083" w:rsidP="006B2083">
      <w:pPr>
        <w:pStyle w:val="NoSpacing"/>
        <w:rPr>
          <w:rFonts w:ascii="Arial Black" w:hAnsi="Arial Black"/>
          <w:sz w:val="28"/>
          <w:szCs w:val="28"/>
        </w:rPr>
      </w:pPr>
      <w:r w:rsidRPr="000046E6">
        <w:rPr>
          <w:rFonts w:ascii="Arial Black" w:hAnsi="Arial Black"/>
          <w:sz w:val="28"/>
          <w:szCs w:val="28"/>
        </w:rPr>
        <w:t xml:space="preserve">GA: </w:t>
      </w:r>
      <w:r>
        <w:rPr>
          <w:rFonts w:ascii="Arial Black" w:hAnsi="Arial Black"/>
          <w:sz w:val="28"/>
          <w:szCs w:val="28"/>
        </w:rPr>
        <w:t>COMP TIME – FIREFIGHTERS SUED FD FOR DENIAL LEAVE - SETTLED, 14 FF PAID $1000 EACH - NEW FD POLICY – ATTY FEES</w:t>
      </w:r>
    </w:p>
    <w:p w14:paraId="50B6F46E" w14:textId="77777777" w:rsidR="006B2083" w:rsidRDefault="006B2083" w:rsidP="006B2083">
      <w:pPr>
        <w:pStyle w:val="NoSpacing"/>
        <w:rPr>
          <w:rFonts w:ascii="Times New Roman" w:hAnsi="Times New Roman"/>
          <w:sz w:val="24"/>
          <w:szCs w:val="24"/>
        </w:rPr>
      </w:pPr>
    </w:p>
    <w:p w14:paraId="15CC008C" w14:textId="77777777" w:rsidR="006B2083" w:rsidRDefault="006B2083" w:rsidP="006B2083">
      <w:pPr>
        <w:pStyle w:val="NoSpacing"/>
        <w:rPr>
          <w:rFonts w:ascii="Times New Roman" w:hAnsi="Times New Roman"/>
          <w:sz w:val="24"/>
          <w:szCs w:val="24"/>
        </w:rPr>
      </w:pPr>
      <w:r w:rsidRPr="00EA7DA2">
        <w:rPr>
          <w:rFonts w:ascii="Times New Roman" w:hAnsi="Times New Roman"/>
          <w:sz w:val="24"/>
          <w:szCs w:val="24"/>
        </w:rPr>
        <w:t xml:space="preserve">On July 16, 2020, in </w:t>
      </w:r>
      <w:r w:rsidRPr="00EA7DA2">
        <w:rPr>
          <w:rFonts w:ascii="Times New Roman" w:hAnsi="Times New Roman"/>
          <w:sz w:val="24"/>
          <w:szCs w:val="24"/>
          <w:u w:val="single"/>
        </w:rPr>
        <w:t>Robert Milie, et. al. v. City of Savannah</w:t>
      </w:r>
      <w:r w:rsidRPr="00EA7DA2">
        <w:rPr>
          <w:rFonts w:ascii="Times New Roman" w:hAnsi="Times New Roman"/>
          <w:sz w:val="24"/>
          <w:szCs w:val="24"/>
        </w:rPr>
        <w:t xml:space="preserve">, U.S. District Court Judge R. Stan Baker, Southern District of Georgia, the Court pursuant to the settlement agreement approved attorneys’ fees. </w:t>
      </w:r>
      <w:r>
        <w:rPr>
          <w:rFonts w:ascii="Times New Roman" w:hAnsi="Times New Roman"/>
          <w:sz w:val="24"/>
          <w:szCs w:val="24"/>
        </w:rPr>
        <w:t xml:space="preserve"> Court wrote: </w:t>
      </w:r>
      <w:r w:rsidRPr="005174B8">
        <w:rPr>
          <w:rFonts w:ascii="Times New Roman" w:hAnsi="Times New Roman"/>
          <w:sz w:val="24"/>
          <w:szCs w:val="24"/>
        </w:rPr>
        <w:t>For the reasons set forth below, the Court finds the following across-the-board reductions of Plaintiffs' requested hours to be appropriate: a thirty percent (30%) reduction to the hours billed in Plaintiffs' initial fee petition</w:t>
      </w:r>
      <w:r>
        <w:rPr>
          <w:rFonts w:ascii="Times New Roman" w:hAnsi="Times New Roman"/>
          <w:sz w:val="24"/>
          <w:szCs w:val="24"/>
        </w:rPr>
        <w:t xml:space="preserve"> …;</w:t>
      </w:r>
      <w:r w:rsidRPr="005174B8">
        <w:rPr>
          <w:rFonts w:ascii="Times New Roman" w:hAnsi="Times New Roman"/>
          <w:sz w:val="24"/>
          <w:szCs w:val="24"/>
        </w:rPr>
        <w:t xml:space="preserve"> a sixty percent (60%) reduction to the hours billed in Plaintiffs' first supplemental request</w:t>
      </w:r>
      <w:r>
        <w:rPr>
          <w:rFonts w:ascii="Times New Roman" w:hAnsi="Times New Roman"/>
          <w:sz w:val="24"/>
          <w:szCs w:val="24"/>
        </w:rPr>
        <w:t>…</w:t>
      </w:r>
      <w:r w:rsidRPr="005174B8">
        <w:rPr>
          <w:rFonts w:ascii="Times New Roman" w:hAnsi="Times New Roman"/>
          <w:sz w:val="24"/>
          <w:szCs w:val="24"/>
        </w:rPr>
        <w:t>; and a one-hundred percent (100%) reduction to the hours billed in the second supplemental request</w:t>
      </w:r>
      <w:r>
        <w:rPr>
          <w:rFonts w:ascii="Times New Roman" w:hAnsi="Times New Roman"/>
          <w:sz w:val="24"/>
          <w:szCs w:val="24"/>
        </w:rPr>
        <w:t>….</w:t>
      </w:r>
      <w:r w:rsidRPr="005174B8">
        <w:rPr>
          <w:rFonts w:ascii="Times New Roman" w:hAnsi="Times New Roman"/>
          <w:sz w:val="24"/>
          <w:szCs w:val="24"/>
        </w:rPr>
        <w:t>.</w:t>
      </w:r>
      <w:r>
        <w:rPr>
          <w:rFonts w:ascii="Times New Roman" w:hAnsi="Times New Roman"/>
          <w:sz w:val="24"/>
          <w:szCs w:val="24"/>
        </w:rPr>
        <w:t xml:space="preserve">”  </w:t>
      </w:r>
    </w:p>
    <w:p w14:paraId="4E3DB381" w14:textId="77777777" w:rsidR="006B2083" w:rsidRDefault="006B2083" w:rsidP="006B2083">
      <w:pPr>
        <w:pStyle w:val="NoSpacing"/>
        <w:rPr>
          <w:rFonts w:ascii="Times New Roman" w:hAnsi="Times New Roman"/>
          <w:sz w:val="24"/>
          <w:szCs w:val="24"/>
        </w:rPr>
      </w:pPr>
      <w:hyperlink r:id="rId1844" w:history="1">
        <w:r w:rsidRPr="000603D4">
          <w:rPr>
            <w:rStyle w:val="Hyperlink"/>
            <w:rFonts w:ascii="Times New Roman" w:hAnsi="Times New Roman"/>
            <w:sz w:val="24"/>
            <w:szCs w:val="24"/>
          </w:rPr>
          <w:t>https://public.fastcase.com/Wl%2B2t%2BeVuI35%2FN70vAMFZqOCIluAWFXT7dyIbWSJtbA2tJbGDR%2F5EmjVBjMYm1QS</w:t>
        </w:r>
      </w:hyperlink>
      <w:r>
        <w:rPr>
          <w:rFonts w:ascii="Times New Roman" w:hAnsi="Times New Roman"/>
          <w:sz w:val="24"/>
          <w:szCs w:val="24"/>
        </w:rPr>
        <w:t xml:space="preserve"> </w:t>
      </w:r>
    </w:p>
    <w:p w14:paraId="0F856D1F" w14:textId="77777777" w:rsidR="006B2083" w:rsidRDefault="006B2083" w:rsidP="006B2083">
      <w:pPr>
        <w:pStyle w:val="NoSpacing"/>
        <w:rPr>
          <w:rFonts w:ascii="Times New Roman" w:hAnsi="Times New Roman"/>
          <w:b/>
          <w:bCs/>
          <w:sz w:val="24"/>
          <w:szCs w:val="24"/>
        </w:rPr>
      </w:pPr>
    </w:p>
    <w:p w14:paraId="74C2B557" w14:textId="2BFC779C" w:rsidR="006B2083" w:rsidRDefault="006B2083" w:rsidP="006B2083">
      <w:pPr>
        <w:pStyle w:val="NoSpacing"/>
        <w:rPr>
          <w:rFonts w:ascii="Times New Roman" w:hAnsi="Times New Roman"/>
          <w:b/>
          <w:bCs/>
          <w:sz w:val="24"/>
          <w:szCs w:val="24"/>
        </w:rPr>
      </w:pPr>
      <w:r w:rsidRPr="005174B8">
        <w:rPr>
          <w:rFonts w:ascii="Times New Roman" w:hAnsi="Times New Roman"/>
          <w:b/>
          <w:bCs/>
          <w:sz w:val="24"/>
          <w:szCs w:val="24"/>
        </w:rPr>
        <w:t>Legal Lessons Learned:</w:t>
      </w:r>
      <w:r>
        <w:rPr>
          <w:rFonts w:ascii="Times New Roman" w:hAnsi="Times New Roman"/>
          <w:b/>
          <w:bCs/>
          <w:sz w:val="24"/>
          <w:szCs w:val="24"/>
        </w:rPr>
        <w:t xml:space="preserve"> Comp time requests can sometimes lead to disputes; helpful to have a clear process in the CBA or FD policy. </w:t>
      </w:r>
    </w:p>
    <w:p w14:paraId="6CB3B05B" w14:textId="77777777" w:rsidR="006B2083" w:rsidRDefault="006B2083" w:rsidP="006B2083">
      <w:pPr>
        <w:pStyle w:val="NoSpacing"/>
        <w:rPr>
          <w:rFonts w:ascii="Times New Roman" w:hAnsi="Times New Roman"/>
          <w:b/>
          <w:bCs/>
          <w:sz w:val="24"/>
          <w:szCs w:val="24"/>
        </w:rPr>
      </w:pPr>
    </w:p>
    <w:p w14:paraId="448186AC" w14:textId="77777777" w:rsidR="006B2083" w:rsidRDefault="006B2083" w:rsidP="006B2083">
      <w:pPr>
        <w:pStyle w:val="NoSpacing"/>
        <w:ind w:left="720"/>
        <w:rPr>
          <w:rFonts w:ascii="Times New Roman" w:hAnsi="Times New Roman"/>
          <w:sz w:val="24"/>
          <w:szCs w:val="24"/>
        </w:rPr>
      </w:pPr>
      <w:r w:rsidRPr="005174B8">
        <w:rPr>
          <w:rFonts w:ascii="Times New Roman" w:hAnsi="Times New Roman"/>
          <w:sz w:val="24"/>
          <w:szCs w:val="24"/>
        </w:rPr>
        <w:t xml:space="preserve">Note: While researching this case, found this disturbing </w:t>
      </w:r>
      <w:r>
        <w:rPr>
          <w:rFonts w:ascii="Times New Roman" w:hAnsi="Times New Roman"/>
          <w:sz w:val="24"/>
          <w:szCs w:val="24"/>
        </w:rPr>
        <w:t xml:space="preserve">article about named plaintiff.  </w:t>
      </w:r>
    </w:p>
    <w:p w14:paraId="381858D0" w14:textId="77777777" w:rsidR="006B2083" w:rsidRPr="005174B8" w:rsidRDefault="006B2083" w:rsidP="006B2083">
      <w:pPr>
        <w:pStyle w:val="NoSpacing"/>
        <w:ind w:left="720"/>
        <w:rPr>
          <w:rFonts w:ascii="Times New Roman" w:hAnsi="Times New Roman"/>
          <w:sz w:val="24"/>
          <w:szCs w:val="24"/>
        </w:rPr>
      </w:pPr>
      <w:r w:rsidRPr="005174B8">
        <w:rPr>
          <w:rStyle w:val="timestamp"/>
          <w:rFonts w:ascii="Times New Roman" w:hAnsi="Times New Roman"/>
          <w:sz w:val="24"/>
          <w:szCs w:val="24"/>
        </w:rPr>
        <w:t xml:space="preserve">October 12, 2018, </w:t>
      </w:r>
      <w:r w:rsidRPr="005174B8">
        <w:rPr>
          <w:rFonts w:ascii="Times New Roman" w:hAnsi="Times New Roman"/>
          <w:sz w:val="24"/>
          <w:szCs w:val="24"/>
        </w:rPr>
        <w:t xml:space="preserve">SAVANNAH, GA (WTOC) - The president of the Savannah Professional Firefighters Association has been arrested and is awaiting extradition to Colorado. Robert Milie is in the Chatham County Jail on an extradition hold. The hold is for a sexual assault charge, according to the El Paso County Sheriff’s Office in Colorado. </w:t>
      </w:r>
      <w:hyperlink r:id="rId1845" w:history="1">
        <w:r w:rsidRPr="005174B8">
          <w:rPr>
            <w:rStyle w:val="Hyperlink"/>
            <w:rFonts w:ascii="Times New Roman" w:hAnsi="Times New Roman"/>
            <w:sz w:val="24"/>
            <w:szCs w:val="24"/>
          </w:rPr>
          <w:t>https://www.wtoc.com/2018/10/12/president-savannah-firefighters-association-arrested-incident-colorado/</w:t>
        </w:r>
      </w:hyperlink>
      <w:r w:rsidRPr="005174B8">
        <w:rPr>
          <w:rFonts w:ascii="Times New Roman" w:hAnsi="Times New Roman"/>
          <w:sz w:val="24"/>
          <w:szCs w:val="24"/>
        </w:rPr>
        <w:t xml:space="preserve"> </w:t>
      </w:r>
    </w:p>
    <w:p w14:paraId="191405B9" w14:textId="77777777" w:rsidR="006B2083" w:rsidRDefault="006B2083" w:rsidP="006B2083">
      <w:pPr>
        <w:pStyle w:val="NoSpacing"/>
        <w:rPr>
          <w:rFonts w:ascii="Times New Roman" w:hAnsi="Times New Roman"/>
          <w:b/>
          <w:bCs/>
          <w:sz w:val="24"/>
          <w:szCs w:val="24"/>
        </w:rPr>
      </w:pPr>
    </w:p>
    <w:p w14:paraId="302C3BBC" w14:textId="77777777" w:rsidR="006B2083" w:rsidRPr="005174B8" w:rsidRDefault="006B2083" w:rsidP="006B2083">
      <w:pPr>
        <w:pStyle w:val="NoSpacing"/>
        <w:rPr>
          <w:rFonts w:ascii="Times New Roman" w:eastAsia="Times New Roman" w:hAnsi="Times New Roman"/>
          <w:b/>
          <w:bCs/>
          <w:sz w:val="24"/>
          <w:szCs w:val="24"/>
        </w:rPr>
      </w:pPr>
    </w:p>
    <w:p w14:paraId="2A364FEB" w14:textId="77777777" w:rsidR="006B2083" w:rsidRDefault="006B2083" w:rsidP="00F326E5">
      <w:pPr>
        <w:rPr>
          <w:rFonts w:ascii="Arial Black" w:hAnsi="Arial Black"/>
          <w:b/>
          <w:sz w:val="24"/>
          <w:szCs w:val="24"/>
        </w:rPr>
      </w:pPr>
    </w:p>
    <w:p w14:paraId="44D09ECF" w14:textId="0BED738B" w:rsidR="00FA7B26" w:rsidRDefault="00FA7B26"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4</w:t>
      </w:r>
    </w:p>
    <w:p w14:paraId="6E9FAF7C" w14:textId="77777777" w:rsidR="00FA7B26" w:rsidRPr="00B370C5" w:rsidRDefault="00FA7B26" w:rsidP="00FA7B26">
      <w:pPr>
        <w:spacing w:before="100" w:beforeAutospacing="1" w:after="100" w:afterAutospacing="1" w:line="240" w:lineRule="auto"/>
        <w:rPr>
          <w:rFonts w:ascii="Arial Black" w:eastAsia="Times New Roman" w:hAnsi="Arial Black"/>
          <w:b/>
          <w:bCs/>
          <w:sz w:val="28"/>
          <w:szCs w:val="28"/>
        </w:rPr>
      </w:pPr>
      <w:r w:rsidRPr="00B370C5">
        <w:rPr>
          <w:rFonts w:ascii="Arial Black" w:eastAsia="Times New Roman" w:hAnsi="Arial Black"/>
          <w:b/>
          <w:bCs/>
          <w:sz w:val="28"/>
          <w:szCs w:val="28"/>
        </w:rPr>
        <w:t xml:space="preserve">WI: </w:t>
      </w:r>
      <w:r>
        <w:rPr>
          <w:rFonts w:ascii="Arial Black" w:eastAsia="Times New Roman" w:hAnsi="Arial Black"/>
          <w:b/>
          <w:bCs/>
          <w:sz w:val="28"/>
          <w:szCs w:val="28"/>
        </w:rPr>
        <w:t>PARAMEDIC SUED VILLAGE – CLAIMED NOT PAID OVERTIME AFTER 40 HRS - PROPOSED $55K SETTLEMENT, COURT REQUIRES MORE INFO TO CONFIRM FAIR AMOUNT</w:t>
      </w:r>
    </w:p>
    <w:p w14:paraId="7F1C2B8B" w14:textId="77777777" w:rsidR="00FA7B26" w:rsidRPr="00085C91" w:rsidRDefault="00FA7B26" w:rsidP="00FA7B26">
      <w:pPr>
        <w:pStyle w:val="NoSpacing"/>
        <w:jc w:val="both"/>
        <w:rPr>
          <w:rFonts w:ascii="Times New Roman" w:eastAsia="Times New Roman" w:hAnsi="Times New Roman"/>
          <w:b/>
          <w:bCs/>
          <w:sz w:val="24"/>
          <w:szCs w:val="24"/>
        </w:rPr>
      </w:pPr>
      <w:r w:rsidRPr="00085C91">
        <w:rPr>
          <w:rFonts w:ascii="Times New Roman" w:hAnsi="Times New Roman"/>
          <w:bCs/>
          <w:sz w:val="24"/>
          <w:szCs w:val="24"/>
        </w:rPr>
        <w:t xml:space="preserve">On May 13, 2020, in </w:t>
      </w:r>
      <w:r w:rsidRPr="00085C91">
        <w:rPr>
          <w:rFonts w:ascii="Times New Roman" w:hAnsi="Times New Roman"/>
          <w:bCs/>
          <w:sz w:val="24"/>
          <w:szCs w:val="24"/>
          <w:u w:val="single"/>
        </w:rPr>
        <w:t>Joshua Wendorf v. Village of Plover</w:t>
      </w:r>
      <w:r w:rsidRPr="00085C91">
        <w:rPr>
          <w:rFonts w:ascii="Times New Roman" w:hAnsi="Times New Roman"/>
          <w:bCs/>
          <w:sz w:val="24"/>
          <w:szCs w:val="24"/>
        </w:rPr>
        <w:t>, U.S. District Court William M. Conley, Western District of Wisconsin, declined to approve the settlement, and gave parties 14 days to submit further information regarding “</w:t>
      </w:r>
      <w:r w:rsidRPr="00085C91">
        <w:rPr>
          <w:rFonts w:ascii="Times New Roman" w:eastAsia="Times New Roman" w:hAnsi="Times New Roman"/>
          <w:bCs/>
          <w:sz w:val="24"/>
          <w:szCs w:val="24"/>
        </w:rPr>
        <w:t>whether (a) plaintiff's compensation under the agreement is reasonably consistent with the minimum hourly wage calculation contemplated by the FLSA; and (b) counsel's fee recovery is consistent with plaintiff's written agreement or otherwise supported on this record.”</w:t>
      </w:r>
    </w:p>
    <w:p w14:paraId="76BF6B4E" w14:textId="77777777" w:rsidR="00FA7B26" w:rsidRPr="00085C91" w:rsidRDefault="00FA7B26" w:rsidP="00FA7B26">
      <w:pPr>
        <w:pStyle w:val="NoSpacing"/>
        <w:jc w:val="both"/>
        <w:rPr>
          <w:rFonts w:eastAsia="Times New Roman"/>
          <w:sz w:val="24"/>
          <w:szCs w:val="24"/>
        </w:rPr>
      </w:pPr>
      <w:hyperlink r:id="rId1846" w:history="1">
        <w:r w:rsidRPr="00085C91">
          <w:rPr>
            <w:rStyle w:val="Hyperlink"/>
            <w:rFonts w:ascii="Times New Roman" w:hAnsi="Times New Roman"/>
            <w:sz w:val="24"/>
            <w:szCs w:val="24"/>
          </w:rPr>
          <w:t>https://public.fastcase.com/Wl%2B2t%2BeVuI35%2FN70vAMFZiOi%2BYkXYMCNnCyjC1oPHdpZa1VeLChap2kxy9UfPfNs</w:t>
        </w:r>
      </w:hyperlink>
      <w:r w:rsidRPr="00085C91">
        <w:rPr>
          <w:rFonts w:eastAsia="Times New Roman"/>
          <w:sz w:val="24"/>
          <w:szCs w:val="24"/>
        </w:rPr>
        <w:t xml:space="preserve"> </w:t>
      </w:r>
    </w:p>
    <w:p w14:paraId="12574E10" w14:textId="77777777" w:rsidR="00FA7B26" w:rsidRDefault="00FA7B26" w:rsidP="00FA7B26">
      <w:pPr>
        <w:spacing w:before="100" w:beforeAutospacing="1" w:after="100" w:afterAutospacing="1" w:line="240" w:lineRule="auto"/>
        <w:rPr>
          <w:rFonts w:ascii="Times New Roman" w:eastAsia="Times New Roman" w:hAnsi="Times New Roman"/>
          <w:b/>
          <w:bCs/>
          <w:sz w:val="24"/>
          <w:szCs w:val="24"/>
        </w:rPr>
      </w:pPr>
      <w:r w:rsidRPr="00E06806">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If the paramedic was not “cross-trained” as a firefighter, or had no firefighting duties, he would normally be entitled to overtime pay after 40 hours in a work week.   </w:t>
      </w:r>
    </w:p>
    <w:p w14:paraId="3A5A72A9" w14:textId="77777777" w:rsidR="00FA7B26" w:rsidRPr="00E06806" w:rsidRDefault="00FA7B26" w:rsidP="00FA7B26">
      <w:pPr>
        <w:spacing w:before="100" w:beforeAutospacing="1" w:after="100" w:afterAutospacing="1" w:line="240" w:lineRule="auto"/>
        <w:ind w:left="720"/>
        <w:rPr>
          <w:rFonts w:ascii="Times New Roman" w:eastAsia="Times New Roman" w:hAnsi="Times New Roman"/>
          <w:sz w:val="24"/>
          <w:szCs w:val="24"/>
        </w:rPr>
      </w:pPr>
      <w:r w:rsidRPr="00E06806">
        <w:rPr>
          <w:rFonts w:ascii="Times New Roman" w:eastAsia="Times New Roman" w:hAnsi="Times New Roman"/>
          <w:sz w:val="24"/>
          <w:szCs w:val="24"/>
        </w:rPr>
        <w:t xml:space="preserve">Note: </w:t>
      </w:r>
      <w:r w:rsidRPr="00E06806">
        <w:rPr>
          <w:rFonts w:ascii="Times New Roman" w:hAnsi="Times New Roman"/>
          <w:sz w:val="24"/>
          <w:szCs w:val="24"/>
        </w:rPr>
        <w:t>Section 7(k) of the</w:t>
      </w:r>
      <w:r>
        <w:rPr>
          <w:rFonts w:ascii="Times New Roman" w:hAnsi="Times New Roman"/>
          <w:sz w:val="24"/>
          <w:szCs w:val="24"/>
        </w:rPr>
        <w:t xml:space="preserve"> FLSA </w:t>
      </w:r>
      <w:r w:rsidRPr="00E06806">
        <w:rPr>
          <w:rFonts w:ascii="Times New Roman" w:hAnsi="Times New Roman"/>
          <w:sz w:val="24"/>
          <w:szCs w:val="24"/>
        </w:rPr>
        <w:t xml:space="preserve">provides a partial overtime pay exemption for fire protection and law enforcement personnel (including security personnel in correctional institutions) who are employed by public agencies on a work period basis. </w:t>
      </w:r>
      <w:hyperlink r:id="rId1847" w:history="1">
        <w:r w:rsidRPr="00E06806">
          <w:rPr>
            <w:rStyle w:val="Hyperlink"/>
            <w:sz w:val="24"/>
            <w:szCs w:val="24"/>
          </w:rPr>
          <w:t>https://www.law.cornell.edu/cfr/text/29/553.201</w:t>
        </w:r>
      </w:hyperlink>
      <w:r w:rsidRPr="00E06806">
        <w:rPr>
          <w:rFonts w:ascii="Times New Roman" w:hAnsi="Times New Roman"/>
          <w:sz w:val="24"/>
          <w:szCs w:val="24"/>
        </w:rPr>
        <w:t xml:space="preserve"> </w:t>
      </w:r>
    </w:p>
    <w:p w14:paraId="6508815A" w14:textId="77777777" w:rsidR="00FA7B26" w:rsidRDefault="00FA7B26" w:rsidP="00F326E5">
      <w:pPr>
        <w:rPr>
          <w:rFonts w:ascii="Arial Black" w:hAnsi="Arial Black"/>
          <w:b/>
          <w:sz w:val="24"/>
          <w:szCs w:val="24"/>
        </w:rPr>
      </w:pPr>
    </w:p>
    <w:p w14:paraId="6C539940" w14:textId="77777777" w:rsidR="00FA7B26" w:rsidRDefault="00FA7B26" w:rsidP="00F326E5">
      <w:pPr>
        <w:rPr>
          <w:rFonts w:ascii="Arial Black" w:hAnsi="Arial Black"/>
          <w:b/>
          <w:sz w:val="24"/>
          <w:szCs w:val="24"/>
        </w:rPr>
      </w:pPr>
    </w:p>
    <w:p w14:paraId="726D3577" w14:textId="041E76C7" w:rsidR="0066298F" w:rsidRDefault="003E0062" w:rsidP="00F326E5">
      <w:pPr>
        <w:rPr>
          <w:rFonts w:ascii="Arial Black" w:hAnsi="Arial Black"/>
          <w:b/>
          <w:sz w:val="24"/>
          <w:szCs w:val="24"/>
        </w:rPr>
      </w:pPr>
      <w:r>
        <w:rPr>
          <w:rFonts w:ascii="Arial Black" w:hAnsi="Arial Black"/>
          <w:b/>
          <w:sz w:val="24"/>
          <w:szCs w:val="24"/>
        </w:rPr>
        <w:t>1</w:t>
      </w:r>
      <w:r w:rsidR="0066298F">
        <w:rPr>
          <w:rFonts w:ascii="Arial Black" w:hAnsi="Arial Black"/>
          <w:b/>
          <w:sz w:val="24"/>
          <w:szCs w:val="24"/>
        </w:rPr>
        <w:t>1-1</w:t>
      </w:r>
      <w:r w:rsidR="00B13773">
        <w:rPr>
          <w:rFonts w:ascii="Arial Black" w:hAnsi="Arial Black"/>
          <w:b/>
          <w:sz w:val="24"/>
          <w:szCs w:val="24"/>
        </w:rPr>
        <w:t>3</w:t>
      </w:r>
    </w:p>
    <w:p w14:paraId="14EAB4C5" w14:textId="77777777" w:rsidR="0066298F" w:rsidRDefault="0066298F" w:rsidP="0066298F">
      <w:pPr>
        <w:pStyle w:val="NoSpacing"/>
        <w:rPr>
          <w:rFonts w:ascii="DArial Black" w:hAnsi="DArial Black"/>
          <w:sz w:val="28"/>
          <w:szCs w:val="28"/>
        </w:rPr>
      </w:pPr>
      <w:bookmarkStart w:id="392" w:name="_Hlk39771771"/>
      <w:r w:rsidRPr="001953A2">
        <w:rPr>
          <w:rFonts w:ascii="Arial Black" w:hAnsi="Arial Black"/>
          <w:sz w:val="28"/>
          <w:szCs w:val="28"/>
        </w:rPr>
        <w:t>U.S. DEPT. OF LABOR:  BONUS PAYMENTS FOR LENGTH OF SERVICE – IF GUARANTEED</w:t>
      </w:r>
      <w:r>
        <w:rPr>
          <w:rFonts w:ascii="Arial Black" w:hAnsi="Arial Black"/>
          <w:sz w:val="28"/>
          <w:szCs w:val="28"/>
        </w:rPr>
        <w:t>, M</w:t>
      </w:r>
      <w:r w:rsidRPr="001953A2">
        <w:rPr>
          <w:rFonts w:ascii="Arial Black" w:hAnsi="Arial Black"/>
          <w:sz w:val="28"/>
          <w:szCs w:val="28"/>
        </w:rPr>
        <w:t xml:space="preserve">UST </w:t>
      </w:r>
      <w:r>
        <w:rPr>
          <w:rFonts w:ascii="Arial Black" w:hAnsi="Arial Black"/>
          <w:sz w:val="28"/>
          <w:szCs w:val="28"/>
        </w:rPr>
        <w:t>INCLUDE IN “</w:t>
      </w:r>
      <w:r w:rsidRPr="001953A2">
        <w:rPr>
          <w:rFonts w:ascii="Arial Black" w:hAnsi="Arial Black"/>
          <w:sz w:val="28"/>
          <w:szCs w:val="28"/>
        </w:rPr>
        <w:t>REGULAR RATE OF PAY</w:t>
      </w:r>
      <w:r>
        <w:rPr>
          <w:rFonts w:ascii="DArial Black" w:hAnsi="DArial Black"/>
          <w:sz w:val="28"/>
          <w:szCs w:val="28"/>
        </w:rPr>
        <w:t>”</w:t>
      </w:r>
    </w:p>
    <w:p w14:paraId="0B259E05" w14:textId="77777777" w:rsidR="0066298F" w:rsidRDefault="0066298F" w:rsidP="0066298F">
      <w:pPr>
        <w:pStyle w:val="NoSpacing"/>
        <w:rPr>
          <w:rFonts w:ascii="DArial Black" w:hAnsi="DArial Black"/>
          <w:sz w:val="28"/>
          <w:szCs w:val="28"/>
        </w:rPr>
      </w:pPr>
    </w:p>
    <w:p w14:paraId="3D2BDEFD"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Cs/>
          <w:sz w:val="24"/>
          <w:szCs w:val="24"/>
        </w:rPr>
        <w:t xml:space="preserve">On March 26, 2020, the U.S. Department of Labor, Wage &amp; Hour Division, issued Opinion Letter </w:t>
      </w:r>
      <w:bookmarkStart w:id="393" w:name="_Hlk39847348"/>
      <w:r w:rsidRPr="00665BD0">
        <w:rPr>
          <w:rFonts w:ascii="Times New Roman" w:hAnsi="Times New Roman"/>
          <w:bCs/>
          <w:sz w:val="24"/>
          <w:szCs w:val="24"/>
        </w:rPr>
        <w:t>FLSA 2020-3</w:t>
      </w:r>
      <w:bookmarkEnd w:id="393"/>
      <w:r w:rsidRPr="00665BD0">
        <w:rPr>
          <w:rFonts w:ascii="Times New Roman" w:hAnsi="Times New Roman"/>
          <w:bCs/>
          <w:sz w:val="24"/>
          <w:szCs w:val="24"/>
        </w:rPr>
        <w:t>.</w:t>
      </w:r>
    </w:p>
    <w:p w14:paraId="57165A17" w14:textId="77777777" w:rsidR="0066298F" w:rsidRPr="00665BD0" w:rsidRDefault="0066298F" w:rsidP="0066298F">
      <w:pPr>
        <w:pStyle w:val="NoSpacing"/>
        <w:rPr>
          <w:rFonts w:ascii="Times New Roman" w:hAnsi="Times New Roman"/>
          <w:b/>
          <w:bCs/>
          <w:sz w:val="24"/>
          <w:szCs w:val="24"/>
        </w:rPr>
      </w:pPr>
    </w:p>
    <w:p w14:paraId="0F8AF774"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“Based on the facts you have provided, the City’s longevity payments made to employees pursuant to the 1981 Resolution are not excludable as ‘payments </w:t>
      </w:r>
      <w:proofErr w:type="gramStart"/>
      <w:r w:rsidRPr="00665BD0">
        <w:rPr>
          <w:rFonts w:ascii="Times New Roman" w:hAnsi="Times New Roman"/>
          <w:bCs/>
          <w:sz w:val="24"/>
          <w:szCs w:val="24"/>
        </w:rPr>
        <w:t>in the nature of gifts’</w:t>
      </w:r>
      <w:proofErr w:type="gramEnd"/>
      <w:r w:rsidRPr="00665BD0">
        <w:rPr>
          <w:rFonts w:ascii="Times New Roman" w:hAnsi="Times New Roman"/>
          <w:bCs/>
          <w:sz w:val="24"/>
          <w:szCs w:val="24"/>
        </w:rPr>
        <w:t xml:space="preserve"> under Section 207(e)(1)…. Thus, longevity payments to eligible employees are </w:t>
      </w:r>
      <w:r w:rsidRPr="00665BD0">
        <w:rPr>
          <w:rFonts w:ascii="Times New Roman" w:hAnsi="Times New Roman"/>
          <w:bCs/>
          <w:i/>
          <w:iCs/>
          <w:sz w:val="24"/>
          <w:szCs w:val="24"/>
        </w:rPr>
        <w:t>required</w:t>
      </w:r>
      <w:r w:rsidRPr="00665BD0">
        <w:rPr>
          <w:rFonts w:ascii="Times New Roman" w:hAnsi="Times New Roman"/>
          <w:bCs/>
          <w:sz w:val="24"/>
          <w:szCs w:val="24"/>
        </w:rPr>
        <w:t xml:space="preserve"> by the 1981 Resolution…. Rather, such longevity </w:t>
      </w:r>
      <w:proofErr w:type="gramStart"/>
      <w:r w:rsidRPr="00665BD0">
        <w:rPr>
          <w:rFonts w:ascii="Times New Roman" w:hAnsi="Times New Roman"/>
          <w:bCs/>
          <w:sz w:val="24"/>
          <w:szCs w:val="24"/>
        </w:rPr>
        <w:t>pay</w:t>
      </w:r>
      <w:proofErr w:type="gramEnd"/>
      <w:r w:rsidRPr="00665BD0">
        <w:rPr>
          <w:rFonts w:ascii="Times New Roman" w:hAnsi="Times New Roman"/>
          <w:bCs/>
          <w:sz w:val="24"/>
          <w:szCs w:val="24"/>
        </w:rPr>
        <w:t xml:space="preserve"> required by law must be included in the regular rate…. If, on the other hand, the City’s Resolution said that “eligible employees of the City </w:t>
      </w:r>
      <w:r w:rsidRPr="00665BD0">
        <w:rPr>
          <w:rFonts w:ascii="Times New Roman" w:hAnsi="Times New Roman"/>
          <w:bCs/>
          <w:i/>
          <w:iCs/>
          <w:sz w:val="24"/>
          <w:szCs w:val="24"/>
        </w:rPr>
        <w:t xml:space="preserve">may </w:t>
      </w:r>
      <w:r w:rsidRPr="00665BD0">
        <w:rPr>
          <w:rFonts w:ascii="Times New Roman" w:hAnsi="Times New Roman"/>
          <w:bCs/>
          <w:sz w:val="24"/>
          <w:szCs w:val="24"/>
        </w:rPr>
        <w:t xml:space="preserve">be entitled to longevity pay” of up to a maximum amount … the payments could still be excluded from the regular rate….”   </w:t>
      </w:r>
      <w:bookmarkStart w:id="394" w:name="_Hlk39847370"/>
      <w:r w:rsidR="00BC38B6">
        <w:fldChar w:fldCharType="begin"/>
      </w:r>
      <w:r w:rsidR="00BC38B6">
        <w:instrText xml:space="preserve"> HYPERLINK "https://www.dol.gov/sites/dolgov/files/WHD/legacy/files/2020_03_26_03_FLSA.pdf" </w:instrText>
      </w:r>
      <w:r w:rsidR="00BC38B6">
        <w:fldChar w:fldCharType="separate"/>
      </w:r>
      <w:r w:rsidRPr="00665BD0">
        <w:rPr>
          <w:rStyle w:val="Hyperlink"/>
          <w:rFonts w:ascii="Times New Roman" w:hAnsi="Times New Roman"/>
          <w:b/>
          <w:sz w:val="24"/>
          <w:szCs w:val="24"/>
        </w:rPr>
        <w:t>https://www.dol.gov/sites/dolgov/files/WHD/legacy/files/2020_03_26_03_FLSA.pdf</w:t>
      </w:r>
      <w:r w:rsidR="00BC38B6">
        <w:rPr>
          <w:rStyle w:val="Hyperlink"/>
          <w:rFonts w:ascii="Times New Roman" w:hAnsi="Times New Roman"/>
          <w:b/>
          <w:sz w:val="24"/>
          <w:szCs w:val="24"/>
        </w:rPr>
        <w:fldChar w:fldCharType="end"/>
      </w:r>
    </w:p>
    <w:bookmarkEnd w:id="392"/>
    <w:bookmarkEnd w:id="394"/>
    <w:p w14:paraId="6143E179" w14:textId="77777777" w:rsidR="0066298F" w:rsidRPr="00665BD0" w:rsidRDefault="0066298F" w:rsidP="0066298F">
      <w:pPr>
        <w:pStyle w:val="NoSpacing"/>
        <w:rPr>
          <w:rFonts w:ascii="Times New Roman" w:hAnsi="Times New Roman"/>
          <w:b/>
          <w:bCs/>
          <w:sz w:val="24"/>
          <w:szCs w:val="24"/>
        </w:rPr>
      </w:pPr>
    </w:p>
    <w:p w14:paraId="6E3767DF"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
          <w:bCs/>
          <w:sz w:val="24"/>
          <w:szCs w:val="24"/>
        </w:rPr>
        <w:t>Legal Lessons Learned: Under this opinion letter, employees of this city who are paid on an hourly basis will now be entitled to a higher hourly rate of pay based on the guaranteed annual longevity bonus.</w:t>
      </w:r>
      <w:r w:rsidRPr="00665BD0">
        <w:rPr>
          <w:rFonts w:ascii="Times New Roman" w:hAnsi="Times New Roman"/>
          <w:sz w:val="24"/>
          <w:szCs w:val="24"/>
        </w:rPr>
        <w:t xml:space="preserve">  </w:t>
      </w:r>
      <w:r w:rsidRPr="00665BD0">
        <w:rPr>
          <w:rFonts w:ascii="Times New Roman" w:hAnsi="Times New Roman"/>
          <w:bCs/>
          <w:sz w:val="24"/>
          <w:szCs w:val="24"/>
        </w:rPr>
        <w:t xml:space="preserve">See the regulation: </w:t>
      </w:r>
    </w:p>
    <w:p w14:paraId="5E98D311" w14:textId="77777777" w:rsidR="0066298F" w:rsidRPr="00665BD0" w:rsidRDefault="0066298F" w:rsidP="0066298F">
      <w:pPr>
        <w:pStyle w:val="NoSpacing"/>
        <w:ind w:firstLine="720"/>
        <w:rPr>
          <w:rFonts w:ascii="Times New Roman" w:hAnsi="Times New Roman"/>
          <w:b/>
          <w:bCs/>
          <w:sz w:val="24"/>
          <w:szCs w:val="24"/>
        </w:rPr>
      </w:pPr>
      <w:r w:rsidRPr="00665BD0">
        <w:rPr>
          <w:rFonts w:ascii="Times New Roman" w:hAnsi="Times New Roman"/>
          <w:bCs/>
          <w:sz w:val="24"/>
          <w:szCs w:val="24"/>
        </w:rPr>
        <w:t>29 U.S.C. § 207(e)(l)</w:t>
      </w:r>
    </w:p>
    <w:p w14:paraId="27E61329" w14:textId="77777777" w:rsidR="0066298F" w:rsidRPr="00665BD0" w:rsidRDefault="0066298F" w:rsidP="0066298F">
      <w:pPr>
        <w:pStyle w:val="NoSpacing"/>
        <w:ind w:left="720"/>
        <w:rPr>
          <w:rStyle w:val="heading"/>
          <w:rFonts w:ascii="Times New Roman" w:hAnsi="Times New Roman"/>
          <w:b/>
          <w:bCs/>
          <w:sz w:val="24"/>
          <w:szCs w:val="24"/>
        </w:rPr>
      </w:pPr>
      <w:r w:rsidRPr="00665BD0">
        <w:rPr>
          <w:rStyle w:val="num"/>
          <w:rFonts w:ascii="Times New Roman" w:hAnsi="Times New Roman"/>
          <w:bCs/>
          <w:sz w:val="24"/>
          <w:szCs w:val="24"/>
        </w:rPr>
        <w:t>(e)</w:t>
      </w:r>
      <w:r w:rsidRPr="00665BD0">
        <w:rPr>
          <w:rStyle w:val="heading"/>
          <w:rFonts w:ascii="Times New Roman" w:hAnsi="Times New Roman"/>
          <w:bCs/>
          <w:sz w:val="24"/>
          <w:szCs w:val="24"/>
        </w:rPr>
        <w:t xml:space="preserve"> “Regular rate” defined</w:t>
      </w:r>
    </w:p>
    <w:p w14:paraId="4079D985" w14:textId="77777777" w:rsidR="0066298F" w:rsidRPr="00665BD0" w:rsidRDefault="0066298F" w:rsidP="0066298F">
      <w:pPr>
        <w:pStyle w:val="NoSpacing"/>
        <w:ind w:left="720"/>
        <w:rPr>
          <w:rFonts w:ascii="Times New Roman" w:hAnsi="Times New Roman"/>
          <w:b/>
          <w:bCs/>
          <w:sz w:val="24"/>
          <w:szCs w:val="24"/>
        </w:rPr>
      </w:pPr>
      <w:r w:rsidRPr="00665BD0">
        <w:rPr>
          <w:rStyle w:val="chapeau"/>
          <w:rFonts w:ascii="Times New Roman" w:hAnsi="Times New Roman"/>
          <w:bCs/>
          <w:sz w:val="24"/>
          <w:szCs w:val="24"/>
        </w:rPr>
        <w:t xml:space="preserve">As used in this section the “regular rate” at which an </w:t>
      </w:r>
      <w:hyperlink r:id="rId1848" w:history="1">
        <w:r w:rsidRPr="00665BD0">
          <w:rPr>
            <w:rStyle w:val="Hyperlink"/>
            <w:rFonts w:ascii="Times New Roman" w:hAnsi="Times New Roman"/>
            <w:b/>
            <w:sz w:val="24"/>
            <w:szCs w:val="24"/>
          </w:rPr>
          <w:t>employee</w:t>
        </w:r>
      </w:hyperlink>
      <w:r w:rsidRPr="00665BD0">
        <w:rPr>
          <w:rStyle w:val="chapeau"/>
          <w:rFonts w:ascii="Times New Roman" w:hAnsi="Times New Roman"/>
          <w:bCs/>
          <w:sz w:val="24"/>
          <w:szCs w:val="24"/>
        </w:rPr>
        <w:t xml:space="preserve"> is employed shall be deemed to include all remuneration for employment paid to, or on behalf of, the </w:t>
      </w:r>
      <w:hyperlink r:id="rId1849" w:history="1">
        <w:r w:rsidRPr="00665BD0">
          <w:rPr>
            <w:rStyle w:val="Hyperlink"/>
            <w:rFonts w:ascii="Times New Roman" w:hAnsi="Times New Roman"/>
            <w:b/>
            <w:sz w:val="24"/>
            <w:szCs w:val="24"/>
          </w:rPr>
          <w:t>employee</w:t>
        </w:r>
      </w:hyperlink>
      <w:r w:rsidRPr="00665BD0">
        <w:rPr>
          <w:rStyle w:val="chapeau"/>
          <w:rFonts w:ascii="Times New Roman" w:hAnsi="Times New Roman"/>
          <w:bCs/>
          <w:sz w:val="24"/>
          <w:szCs w:val="24"/>
        </w:rPr>
        <w:t>, but shall not be deemed to include—</w:t>
      </w:r>
      <w:r w:rsidRPr="00665BD0">
        <w:rPr>
          <w:rFonts w:ascii="Times New Roman" w:hAnsi="Times New Roman"/>
          <w:bCs/>
          <w:sz w:val="24"/>
          <w:szCs w:val="24"/>
        </w:rPr>
        <w:t xml:space="preserve"> </w:t>
      </w:r>
    </w:p>
    <w:p w14:paraId="1D9AA40D" w14:textId="77777777" w:rsidR="0066298F" w:rsidRPr="00665BD0" w:rsidRDefault="0066298F" w:rsidP="0066298F">
      <w:pPr>
        <w:pStyle w:val="NoSpacing"/>
        <w:ind w:left="720"/>
        <w:rPr>
          <w:rFonts w:ascii="Times New Roman" w:hAnsi="Times New Roman"/>
          <w:b/>
          <w:bCs/>
          <w:sz w:val="24"/>
          <w:szCs w:val="24"/>
        </w:rPr>
      </w:pPr>
      <w:bookmarkStart w:id="395" w:name="e_1"/>
      <w:bookmarkEnd w:id="395"/>
      <w:r w:rsidRPr="00665BD0">
        <w:rPr>
          <w:rStyle w:val="num"/>
          <w:rFonts w:ascii="Times New Roman" w:hAnsi="Times New Roman"/>
          <w:bCs/>
          <w:sz w:val="24"/>
          <w:szCs w:val="24"/>
        </w:rPr>
        <w:t>(1)</w:t>
      </w:r>
      <w:r w:rsidRPr="00665BD0">
        <w:rPr>
          <w:rFonts w:ascii="Times New Roman" w:hAnsi="Times New Roman"/>
          <w:bCs/>
          <w:sz w:val="24"/>
          <w:szCs w:val="24"/>
        </w:rPr>
        <w:t xml:space="preserve"> sums paid as gifts; payments </w:t>
      </w:r>
      <w:proofErr w:type="gramStart"/>
      <w:r w:rsidRPr="00665BD0">
        <w:rPr>
          <w:rFonts w:ascii="Times New Roman" w:hAnsi="Times New Roman"/>
          <w:bCs/>
          <w:sz w:val="24"/>
          <w:szCs w:val="24"/>
        </w:rPr>
        <w:t>in the nature of gifts</w:t>
      </w:r>
      <w:proofErr w:type="gramEnd"/>
      <w:r w:rsidRPr="00665BD0">
        <w:rPr>
          <w:rFonts w:ascii="Times New Roman" w:hAnsi="Times New Roman"/>
          <w:bCs/>
          <w:sz w:val="24"/>
          <w:szCs w:val="24"/>
        </w:rPr>
        <w:t xml:space="preserve"> made at Christmas time or on other special occasions, as a reward for service, the amounts of which are not measured by or dependent on hours worked, production, or efficiency…. </w:t>
      </w:r>
      <w:hyperlink r:id="rId1850" w:history="1">
        <w:r w:rsidRPr="00665BD0">
          <w:rPr>
            <w:rStyle w:val="Hyperlink"/>
            <w:rFonts w:ascii="Times New Roman" w:hAnsi="Times New Roman"/>
            <w:b/>
            <w:sz w:val="24"/>
            <w:szCs w:val="24"/>
          </w:rPr>
          <w:t>https://www.law.cornell.edu/uscode/text/29/207</w:t>
        </w:r>
      </w:hyperlink>
      <w:r w:rsidRPr="00665BD0">
        <w:rPr>
          <w:rFonts w:ascii="Times New Roman" w:hAnsi="Times New Roman"/>
          <w:bCs/>
          <w:sz w:val="24"/>
          <w:szCs w:val="24"/>
        </w:rPr>
        <w:t xml:space="preserve"> </w:t>
      </w:r>
    </w:p>
    <w:p w14:paraId="50944D4E" w14:textId="77777777" w:rsidR="0066298F" w:rsidRPr="000426EE" w:rsidRDefault="0066298F" w:rsidP="0066298F">
      <w:pPr>
        <w:pStyle w:val="NoSpacing"/>
        <w:rPr>
          <w:b/>
          <w:bCs/>
          <w:sz w:val="24"/>
          <w:szCs w:val="24"/>
        </w:rPr>
      </w:pPr>
    </w:p>
    <w:p w14:paraId="245CFAD0" w14:textId="77777777" w:rsidR="0066298F" w:rsidRDefault="0066298F" w:rsidP="00F326E5">
      <w:pPr>
        <w:rPr>
          <w:rFonts w:ascii="Arial Black" w:hAnsi="Arial Black"/>
          <w:b/>
          <w:sz w:val="24"/>
          <w:szCs w:val="24"/>
        </w:rPr>
      </w:pPr>
    </w:p>
    <w:p w14:paraId="67C345AF" w14:textId="6C40945C" w:rsidR="00F55498" w:rsidRDefault="00B13773" w:rsidP="00F326E5">
      <w:pPr>
        <w:rPr>
          <w:rFonts w:ascii="Arial Black" w:hAnsi="Arial Black"/>
          <w:b/>
          <w:sz w:val="24"/>
          <w:szCs w:val="24"/>
        </w:rPr>
      </w:pPr>
      <w:r>
        <w:rPr>
          <w:rFonts w:ascii="Arial Black" w:hAnsi="Arial Black"/>
          <w:b/>
          <w:sz w:val="24"/>
          <w:szCs w:val="24"/>
        </w:rPr>
        <w:t>11-12</w:t>
      </w:r>
    </w:p>
    <w:p w14:paraId="76825F13" w14:textId="77777777" w:rsidR="00F55498" w:rsidRDefault="00F55498" w:rsidP="00F55498">
      <w:pPr>
        <w:rPr>
          <w:rFonts w:ascii="Arial Black" w:hAnsi="Arial Black"/>
          <w:b/>
          <w:sz w:val="28"/>
          <w:szCs w:val="28"/>
        </w:rPr>
      </w:pPr>
      <w:r>
        <w:rPr>
          <w:rFonts w:ascii="Arial Black" w:hAnsi="Arial Black"/>
          <w:b/>
          <w:sz w:val="28"/>
          <w:szCs w:val="28"/>
        </w:rPr>
        <w:t>DC: U.S. DEPARTMENT OF JUSTICE – SERVICEMEMBERS’ CIVIL RIGHTS</w:t>
      </w:r>
    </w:p>
    <w:p w14:paraId="74101197" w14:textId="77777777" w:rsidR="00F55498" w:rsidRDefault="00F55498" w:rsidP="00F55498">
      <w:pPr>
        <w:pStyle w:val="NoSpacing"/>
        <w:rPr>
          <w:rFonts w:ascii="Times New Roman" w:hAnsi="Times New Roman"/>
          <w:sz w:val="24"/>
          <w:szCs w:val="24"/>
        </w:rPr>
      </w:pPr>
      <w:r w:rsidRPr="00E9307E">
        <w:rPr>
          <w:rFonts w:ascii="Times New Roman" w:hAnsi="Times New Roman"/>
          <w:sz w:val="24"/>
          <w:szCs w:val="24"/>
        </w:rPr>
        <w:t xml:space="preserve">March 30, 2020: DC – COVID-19: Servicemembers’ Civil Rights - Message </w:t>
      </w:r>
      <w:proofErr w:type="gramStart"/>
      <w:r w:rsidRPr="00E9307E">
        <w:rPr>
          <w:rFonts w:ascii="Times New Roman" w:hAnsi="Times New Roman"/>
          <w:sz w:val="24"/>
          <w:szCs w:val="24"/>
        </w:rPr>
        <w:t>From</w:t>
      </w:r>
      <w:proofErr w:type="gramEnd"/>
      <w:r w:rsidRPr="00E9307E">
        <w:rPr>
          <w:rFonts w:ascii="Times New Roman" w:hAnsi="Times New Roman"/>
          <w:sz w:val="24"/>
          <w:szCs w:val="24"/>
        </w:rPr>
        <w:t xml:space="preserve"> </w:t>
      </w:r>
      <w:proofErr w:type="gramStart"/>
      <w:r w:rsidRPr="00E9307E">
        <w:rPr>
          <w:rFonts w:ascii="Times New Roman" w:hAnsi="Times New Roman"/>
          <w:sz w:val="24"/>
          <w:szCs w:val="24"/>
        </w:rPr>
        <w:t>The</w:t>
      </w:r>
      <w:proofErr w:type="gramEnd"/>
      <w:r w:rsidRPr="00E9307E">
        <w:rPr>
          <w:rFonts w:ascii="Times New Roman" w:hAnsi="Times New Roman"/>
          <w:sz w:val="24"/>
          <w:szCs w:val="24"/>
        </w:rPr>
        <w:t xml:space="preserve"> Assistant Attorney General </w:t>
      </w:r>
    </w:p>
    <w:p w14:paraId="277FBC9B" w14:textId="77777777" w:rsidR="00F55498" w:rsidRDefault="00F55498" w:rsidP="00F55498">
      <w:pPr>
        <w:pStyle w:val="NoSpacing"/>
        <w:ind w:left="720"/>
        <w:rPr>
          <w:rFonts w:ascii="Times New Roman" w:hAnsi="Times New Roman"/>
          <w:sz w:val="24"/>
          <w:szCs w:val="24"/>
        </w:rPr>
      </w:pPr>
      <w:r>
        <w:rPr>
          <w:rFonts w:ascii="Times New Roman" w:hAnsi="Times New Roman"/>
          <w:sz w:val="24"/>
          <w:szCs w:val="24"/>
        </w:rPr>
        <w:t>“</w:t>
      </w:r>
      <w:r w:rsidRPr="00E9307E">
        <w:rPr>
          <w:rFonts w:ascii="Times New Roman" w:hAnsi="Times New Roman"/>
          <w:sz w:val="24"/>
          <w:szCs w:val="24"/>
        </w:rPr>
        <w:t xml:space="preserve">The Civil Rights Division enforces multiple federal laws that protect the rights of servicemembers and veterans.  We protect servicemembers’ financial and housing rights by enforcing the Servicemembers Civil Relief Act, or the SCRA.  Since January 2017, our SCRA settlements have included over $10 million in damages and civil penalties.  We protect servicemembers’ civilian employment rights by litigating claims against employers who violate the Uniformed Services Employment and Reemployment Rights Act, or USERRA.  And, we protect their voting rights by enforcing the Uniformed and Overseas Citizens Absentee Voting Act, also known as UOCAVA.  The Division also safeguards the rights of servicemember spouses, dependents, and veterans eligible for certain protections under the SCRA and UOCAVA. *** It is </w:t>
      </w:r>
      <w:proofErr w:type="gramStart"/>
      <w:r w:rsidRPr="00E9307E">
        <w:rPr>
          <w:rFonts w:ascii="Times New Roman" w:hAnsi="Times New Roman"/>
          <w:sz w:val="24"/>
          <w:szCs w:val="24"/>
        </w:rPr>
        <w:t>at this time</w:t>
      </w:r>
      <w:proofErr w:type="gramEnd"/>
      <w:r w:rsidRPr="00E9307E">
        <w:rPr>
          <w:rFonts w:ascii="Times New Roman" w:hAnsi="Times New Roman"/>
          <w:sz w:val="24"/>
          <w:szCs w:val="24"/>
        </w:rPr>
        <w:t xml:space="preserve"> we also ask employers and landlords to be mindful of the responsibilities they have with respect to members of the National Guard and Reserve under USERRA, the SCRA and similar state laws.  These </w:t>
      </w:r>
      <w:proofErr w:type="gramStart"/>
      <w:r w:rsidRPr="00E9307E">
        <w:rPr>
          <w:rFonts w:ascii="Times New Roman" w:hAnsi="Times New Roman"/>
          <w:sz w:val="24"/>
          <w:szCs w:val="24"/>
        </w:rPr>
        <w:t>servicemembers</w:t>
      </w:r>
      <w:proofErr w:type="gramEnd"/>
      <w:r w:rsidRPr="00E9307E">
        <w:rPr>
          <w:rFonts w:ascii="Times New Roman" w:hAnsi="Times New Roman"/>
          <w:sz w:val="24"/>
          <w:szCs w:val="24"/>
        </w:rPr>
        <w:t xml:space="preserve"> are being pulled from their homes and jobs and tasked with vital operations in protection of our most vulnerable citizens.  When this emergency ends, USERRA and other state laws will protect servicemembers’ prompt reemployment and continued pension benefits.  These laws also protect servicemembers from discrimination based on their service.</w:t>
      </w:r>
      <w:r>
        <w:rPr>
          <w:rFonts w:ascii="Times New Roman" w:hAnsi="Times New Roman"/>
          <w:sz w:val="24"/>
          <w:szCs w:val="24"/>
        </w:rPr>
        <w:t>”</w:t>
      </w:r>
      <w:r w:rsidRPr="00E9307E">
        <w:rPr>
          <w:rFonts w:ascii="Times New Roman" w:hAnsi="Times New Roman"/>
          <w:sz w:val="24"/>
          <w:szCs w:val="24"/>
        </w:rPr>
        <w:t xml:space="preserve">  </w:t>
      </w:r>
    </w:p>
    <w:p w14:paraId="6A733C54" w14:textId="77777777" w:rsidR="00F55498" w:rsidRPr="00E9307E" w:rsidRDefault="00F55498" w:rsidP="00F55498">
      <w:pPr>
        <w:pStyle w:val="NoSpacing"/>
        <w:ind w:left="720"/>
        <w:rPr>
          <w:rFonts w:ascii="Times New Roman" w:hAnsi="Times New Roman"/>
          <w:b/>
          <w:sz w:val="24"/>
          <w:szCs w:val="24"/>
        </w:rPr>
      </w:pPr>
      <w:hyperlink r:id="rId1851" w:history="1">
        <w:r w:rsidRPr="00D07486">
          <w:rPr>
            <w:rStyle w:val="Hyperlink"/>
            <w:rFonts w:ascii="Times New Roman" w:hAnsi="Times New Roman"/>
            <w:b/>
            <w:sz w:val="24"/>
            <w:szCs w:val="24"/>
          </w:rPr>
          <w:t>https://www.justice.gov/opa/pr/covid-19-servicemembers-civil-rights-message-assistant-attorney-general</w:t>
        </w:r>
      </w:hyperlink>
      <w:r w:rsidRPr="00E9307E">
        <w:rPr>
          <w:rFonts w:ascii="Times New Roman" w:hAnsi="Times New Roman"/>
          <w:b/>
          <w:sz w:val="24"/>
          <w:szCs w:val="24"/>
        </w:rPr>
        <w:t xml:space="preserve"> </w:t>
      </w:r>
    </w:p>
    <w:p w14:paraId="61DE614B" w14:textId="77777777" w:rsidR="00F55498" w:rsidRDefault="00F55498" w:rsidP="00F55498">
      <w:pPr>
        <w:rPr>
          <w:rFonts w:ascii="Arial Black" w:hAnsi="Arial Black"/>
          <w:b/>
          <w:sz w:val="28"/>
          <w:szCs w:val="28"/>
        </w:rPr>
      </w:pPr>
    </w:p>
    <w:p w14:paraId="6456F1AD" w14:textId="77777777" w:rsidR="00F55498" w:rsidRDefault="00F55498" w:rsidP="00F326E5">
      <w:pPr>
        <w:rPr>
          <w:rFonts w:ascii="Arial Black" w:hAnsi="Arial Black"/>
          <w:b/>
          <w:sz w:val="24"/>
          <w:szCs w:val="24"/>
        </w:rPr>
      </w:pPr>
    </w:p>
    <w:p w14:paraId="474CC558" w14:textId="5A6463F9" w:rsidR="00177094" w:rsidRDefault="00177094" w:rsidP="00F326E5">
      <w:pPr>
        <w:rPr>
          <w:rFonts w:ascii="Arial Black" w:hAnsi="Arial Black"/>
          <w:b/>
          <w:sz w:val="24"/>
          <w:szCs w:val="24"/>
        </w:rPr>
      </w:pPr>
      <w:r>
        <w:rPr>
          <w:rFonts w:ascii="Arial Black" w:hAnsi="Arial Black"/>
          <w:b/>
          <w:sz w:val="24"/>
          <w:szCs w:val="24"/>
        </w:rPr>
        <w:t>11-1</w:t>
      </w:r>
      <w:r w:rsidR="00B13773">
        <w:rPr>
          <w:rFonts w:ascii="Arial Black" w:hAnsi="Arial Black"/>
          <w:b/>
          <w:sz w:val="24"/>
          <w:szCs w:val="24"/>
        </w:rPr>
        <w:t>1</w:t>
      </w:r>
    </w:p>
    <w:p w14:paraId="55D674C5" w14:textId="77777777" w:rsidR="00177094" w:rsidRPr="00BE0EBB" w:rsidRDefault="00177094" w:rsidP="00177094">
      <w:pPr>
        <w:spacing w:before="100" w:beforeAutospacing="1" w:after="100" w:afterAutospacing="1"/>
        <w:rPr>
          <w:rFonts w:ascii="Arial Black" w:eastAsia="Times New Roman" w:hAnsi="Arial Black"/>
          <w:bCs/>
          <w:sz w:val="28"/>
          <w:szCs w:val="28"/>
        </w:rPr>
      </w:pPr>
      <w:bookmarkStart w:id="396" w:name="_Hlk39819600"/>
      <w:r w:rsidRPr="00BE0EBB">
        <w:rPr>
          <w:rFonts w:ascii="Arial Black" w:eastAsia="Times New Roman" w:hAnsi="Arial Black"/>
          <w:bCs/>
          <w:sz w:val="28"/>
          <w:szCs w:val="28"/>
        </w:rPr>
        <w:t xml:space="preserve">KY:  </w:t>
      </w:r>
      <w:r>
        <w:rPr>
          <w:rFonts w:ascii="Arial Black" w:eastAsia="Times New Roman" w:hAnsi="Arial Black"/>
          <w:bCs/>
          <w:sz w:val="28"/>
          <w:szCs w:val="28"/>
        </w:rPr>
        <w:t xml:space="preserve">428 </w:t>
      </w:r>
      <w:r w:rsidRPr="00BE0EBB">
        <w:rPr>
          <w:rFonts w:ascii="Arial Black" w:eastAsia="Times New Roman" w:hAnsi="Arial Black"/>
          <w:bCs/>
          <w:sz w:val="28"/>
          <w:szCs w:val="28"/>
        </w:rPr>
        <w:t xml:space="preserve">FLIGHT MEDICS, </w:t>
      </w:r>
      <w:r>
        <w:rPr>
          <w:rFonts w:ascii="Arial Black" w:eastAsia="Times New Roman" w:hAnsi="Arial Black"/>
          <w:bCs/>
          <w:sz w:val="28"/>
          <w:szCs w:val="28"/>
        </w:rPr>
        <w:t xml:space="preserve">RNS, PILOTS - OVERTIME AFTER 120 HOURS – CLASS ACTION - </w:t>
      </w:r>
      <w:r w:rsidRPr="00BE0EBB">
        <w:rPr>
          <w:rFonts w:ascii="Arial Black" w:eastAsia="Times New Roman" w:hAnsi="Arial Black"/>
          <w:bCs/>
          <w:sz w:val="28"/>
          <w:szCs w:val="28"/>
        </w:rPr>
        <w:t>$2,950,000</w:t>
      </w:r>
      <w:r>
        <w:rPr>
          <w:rFonts w:ascii="Arial Black" w:eastAsia="Times New Roman" w:hAnsi="Arial Black"/>
          <w:bCs/>
          <w:sz w:val="28"/>
          <w:szCs w:val="28"/>
        </w:rPr>
        <w:t xml:space="preserve"> SETTLEMENT</w:t>
      </w:r>
    </w:p>
    <w:p w14:paraId="1F4A7F96" w14:textId="77777777" w:rsidR="00177094" w:rsidRPr="004236BE" w:rsidRDefault="00177094" w:rsidP="00177094">
      <w:pPr>
        <w:spacing w:before="100" w:beforeAutospacing="1" w:after="100" w:afterAutospacing="1"/>
        <w:rPr>
          <w:rFonts w:ascii="Times New Roman" w:eastAsia="Times New Roman" w:hAnsi="Times New Roman"/>
          <w:b/>
          <w:sz w:val="24"/>
          <w:szCs w:val="24"/>
        </w:rPr>
      </w:pPr>
      <w:r w:rsidRPr="004236BE">
        <w:rPr>
          <w:rFonts w:ascii="Times New Roman" w:eastAsia="Times New Roman" w:hAnsi="Times New Roman"/>
          <w:sz w:val="24"/>
          <w:szCs w:val="24"/>
        </w:rPr>
        <w:t xml:space="preserve">On Jan. 21, 2020, in </w:t>
      </w:r>
      <w:r w:rsidRPr="004236BE">
        <w:rPr>
          <w:rFonts w:ascii="Times New Roman" w:eastAsia="Times New Roman" w:hAnsi="Times New Roman"/>
          <w:sz w:val="24"/>
          <w:szCs w:val="24"/>
          <w:u w:val="single"/>
        </w:rPr>
        <w:t xml:space="preserve">Jason Peck v. Air Evac EMS, Inc., d/b/a Air Evac </w:t>
      </w:r>
      <w:proofErr w:type="spellStart"/>
      <w:r w:rsidRPr="004236BE">
        <w:rPr>
          <w:rFonts w:ascii="Times New Roman" w:eastAsia="Times New Roman" w:hAnsi="Times New Roman"/>
          <w:sz w:val="24"/>
          <w:szCs w:val="24"/>
          <w:u w:val="single"/>
        </w:rPr>
        <w:t>Lifeteam</w:t>
      </w:r>
      <w:proofErr w:type="spellEnd"/>
      <w:r w:rsidRPr="004236BE">
        <w:rPr>
          <w:rFonts w:ascii="Times New Roman" w:eastAsia="Times New Roman" w:hAnsi="Times New Roman"/>
          <w:sz w:val="24"/>
          <w:szCs w:val="24"/>
        </w:rPr>
        <w:t>, U.S. District Court Chief Judge Danny C. Reeves, U.S. District Court, Eastern District of Kentucky, Central Division (Lexington), approved the class action settlement, including attorney fees.</w:t>
      </w:r>
    </w:p>
    <w:p w14:paraId="080D650D" w14:textId="77777777" w:rsidR="00177094" w:rsidRPr="004236BE" w:rsidRDefault="00177094" w:rsidP="00177094">
      <w:pPr>
        <w:pStyle w:val="NoSpacing"/>
        <w:ind w:left="720"/>
        <w:rPr>
          <w:rFonts w:ascii="Times New Roman" w:eastAsia="Times New Roman" w:hAnsi="Times New Roman"/>
          <w:b/>
          <w:bCs/>
          <w:sz w:val="24"/>
          <w:szCs w:val="24"/>
        </w:rPr>
      </w:pPr>
      <w:r w:rsidRPr="004236BE">
        <w:rPr>
          <w:rFonts w:ascii="Times New Roman" w:hAnsi="Times New Roman"/>
          <w:bCs/>
          <w:sz w:val="24"/>
          <w:szCs w:val="24"/>
        </w:rPr>
        <w:t xml:space="preserve">“The parties previously agreed to a gross settlement fund of $3,000,000.00, including up to $800,000.000 in attorney's fees and costs and a $15,000.00 incentive for Peck. The parties later filed a motion to amend the settlement seeking $750,000.00 in attorney's fees and a gross settlement fund of $2,950,000.00…  The Court granted the motion to amend the settlement to reduce the amount of attorney's fees. The proposed class includes 428 ‘current and former flight nurses, flight paramedics, and pilots employed by [Air Evac] in the Commonwealth of Kentucky at any time from October 25, </w:t>
      </w:r>
      <w:proofErr w:type="gramStart"/>
      <w:r w:rsidRPr="004236BE">
        <w:rPr>
          <w:rFonts w:ascii="Times New Roman" w:hAnsi="Times New Roman"/>
          <w:bCs/>
          <w:sz w:val="24"/>
          <w:szCs w:val="24"/>
        </w:rPr>
        <w:t>2013</w:t>
      </w:r>
      <w:proofErr w:type="gramEnd"/>
      <w:r w:rsidRPr="004236BE">
        <w:rPr>
          <w:rFonts w:ascii="Times New Roman" w:hAnsi="Times New Roman"/>
          <w:bCs/>
          <w:sz w:val="24"/>
          <w:szCs w:val="24"/>
        </w:rPr>
        <w:t xml:space="preserve"> through July 17, </w:t>
      </w:r>
      <w:proofErr w:type="gramStart"/>
      <w:r w:rsidRPr="004236BE">
        <w:rPr>
          <w:rFonts w:ascii="Times New Roman" w:hAnsi="Times New Roman"/>
          <w:bCs/>
          <w:sz w:val="24"/>
          <w:szCs w:val="24"/>
        </w:rPr>
        <w:t>2019.’</w:t>
      </w:r>
      <w:proofErr w:type="gramEnd"/>
      <w:r w:rsidRPr="004236BE">
        <w:rPr>
          <w:rFonts w:ascii="Times New Roman" w:hAnsi="Times New Roman"/>
          <w:bCs/>
          <w:sz w:val="24"/>
          <w:szCs w:val="24"/>
        </w:rPr>
        <w:t xml:space="preserve"> …. The parties explained that individual settlement payments were calculated by reviewing Air Evac's payroll and timecard records to establish the amount of unpaid overtime for each class member assuming that the claims were true.” </w:t>
      </w:r>
      <w:hyperlink r:id="rId1852" w:history="1">
        <w:r w:rsidRPr="004236BE">
          <w:rPr>
            <w:rStyle w:val="Hyperlink"/>
            <w:rFonts w:ascii="Times New Roman" w:hAnsi="Times New Roman"/>
            <w:b/>
            <w:sz w:val="24"/>
            <w:szCs w:val="24"/>
          </w:rPr>
          <w:t>https://public.fastcase.com/Wl%2B2t%2BeVuI35%2FN70vAMFZpr47IXL%2FNqq46QG15nW3r0g0xInlPjrGPn7upgPO%2BUR</w:t>
        </w:r>
      </w:hyperlink>
      <w:bookmarkEnd w:id="396"/>
      <w:r w:rsidRPr="004236BE">
        <w:rPr>
          <w:rFonts w:ascii="Times New Roman" w:hAnsi="Times New Roman"/>
          <w:bCs/>
          <w:sz w:val="24"/>
          <w:szCs w:val="24"/>
        </w:rPr>
        <w:t xml:space="preserve"> </w:t>
      </w:r>
    </w:p>
    <w:p w14:paraId="2FCF124B" w14:textId="77777777" w:rsidR="00177094" w:rsidRPr="004236BE" w:rsidRDefault="00177094" w:rsidP="00177094">
      <w:pPr>
        <w:spacing w:before="100" w:beforeAutospacing="1" w:after="100" w:afterAutospacing="1"/>
        <w:rPr>
          <w:rFonts w:ascii="Times New Roman" w:eastAsia="Times New Roman" w:hAnsi="Times New Roman"/>
          <w:b/>
          <w:sz w:val="24"/>
          <w:szCs w:val="24"/>
        </w:rPr>
      </w:pPr>
      <w:r w:rsidRPr="004236BE">
        <w:rPr>
          <w:rFonts w:ascii="Times New Roman" w:eastAsia="Times New Roman" w:hAnsi="Times New Roman"/>
          <w:b/>
          <w:sz w:val="24"/>
          <w:szCs w:val="24"/>
        </w:rPr>
        <w:t xml:space="preserve">Legal Lessons Learned: Overtime claims can result in very large settlements; if in doubt about overtime eligibility, contact U.S. Department of Labor, Wage &amp; Hour Division. </w:t>
      </w:r>
    </w:p>
    <w:p w14:paraId="1A5F51EB" w14:textId="77777777" w:rsidR="00177094" w:rsidRDefault="00177094" w:rsidP="00F326E5">
      <w:pPr>
        <w:rPr>
          <w:rFonts w:ascii="Arial Black" w:hAnsi="Arial Black"/>
          <w:b/>
          <w:sz w:val="24"/>
          <w:szCs w:val="24"/>
        </w:rPr>
      </w:pPr>
    </w:p>
    <w:p w14:paraId="75BA1CD7" w14:textId="00344DED" w:rsidR="00177094" w:rsidRDefault="00177094"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10</w:t>
      </w:r>
    </w:p>
    <w:p w14:paraId="3AD46F5F" w14:textId="77777777" w:rsidR="00177094" w:rsidRDefault="00177094" w:rsidP="00177094">
      <w:pPr>
        <w:pStyle w:val="NoSpacing"/>
        <w:rPr>
          <w:rFonts w:ascii="Arial Black" w:hAnsi="Arial Black"/>
          <w:b/>
          <w:bCs/>
          <w:sz w:val="28"/>
          <w:szCs w:val="28"/>
        </w:rPr>
      </w:pPr>
      <w:bookmarkStart w:id="397" w:name="_Hlk39771850"/>
      <w:r w:rsidRPr="009A44AE">
        <w:rPr>
          <w:rFonts w:ascii="Arial Black" w:hAnsi="Arial Black"/>
          <w:bCs/>
          <w:sz w:val="28"/>
          <w:szCs w:val="28"/>
        </w:rPr>
        <w:t>CA</w:t>
      </w:r>
      <w:r>
        <w:rPr>
          <w:rFonts w:ascii="Arial Black" w:hAnsi="Arial Black"/>
          <w:bCs/>
          <w:sz w:val="28"/>
          <w:szCs w:val="28"/>
        </w:rPr>
        <w:t>: THREE FF CLAIMED NOT PAID CORRECT “REGULAR RATE OF PAY” FOR 6 PAY PERIODS – CITY PROVED IT WAS ACTUALLY OVERPAYING</w:t>
      </w:r>
    </w:p>
    <w:p w14:paraId="522FA524" w14:textId="77777777" w:rsidR="00177094" w:rsidRPr="004236BE" w:rsidRDefault="00177094" w:rsidP="00177094">
      <w:pPr>
        <w:pStyle w:val="NoSpacing"/>
        <w:rPr>
          <w:rFonts w:ascii="Times New Roman" w:hAnsi="Times New Roman"/>
          <w:b/>
          <w:bCs/>
          <w:sz w:val="24"/>
          <w:szCs w:val="24"/>
        </w:rPr>
      </w:pPr>
      <w:r w:rsidRPr="004236BE">
        <w:rPr>
          <w:rFonts w:ascii="Times New Roman" w:hAnsi="Times New Roman"/>
          <w:bCs/>
          <w:sz w:val="24"/>
          <w:szCs w:val="24"/>
        </w:rPr>
        <w:t xml:space="preserve">On </w:t>
      </w:r>
      <w:bookmarkStart w:id="398" w:name="_Hlk39847841"/>
      <w:r w:rsidRPr="004236BE">
        <w:rPr>
          <w:rFonts w:ascii="Times New Roman" w:hAnsi="Times New Roman"/>
          <w:bCs/>
          <w:sz w:val="24"/>
          <w:szCs w:val="24"/>
        </w:rPr>
        <w:t xml:space="preserve">Jan. 15, 2020, in </w:t>
      </w:r>
      <w:r w:rsidRPr="004236BE">
        <w:rPr>
          <w:rFonts w:ascii="Times New Roman" w:hAnsi="Times New Roman"/>
          <w:bCs/>
          <w:sz w:val="24"/>
          <w:szCs w:val="24"/>
          <w:u w:val="single"/>
        </w:rPr>
        <w:t>Darren Wallace v. City of San Jose</w:t>
      </w:r>
      <w:bookmarkEnd w:id="398"/>
      <w:r w:rsidRPr="004236BE">
        <w:rPr>
          <w:rFonts w:ascii="Times New Roman" w:hAnsi="Times New Roman"/>
          <w:bCs/>
          <w:sz w:val="24"/>
          <w:szCs w:val="24"/>
        </w:rPr>
        <w:t>, the U.S. Court of Appeals for the 9</w:t>
      </w:r>
      <w:r w:rsidRPr="004236BE">
        <w:rPr>
          <w:rFonts w:ascii="Times New Roman" w:hAnsi="Times New Roman"/>
          <w:bCs/>
          <w:sz w:val="24"/>
          <w:szCs w:val="24"/>
          <w:vertAlign w:val="superscript"/>
        </w:rPr>
        <w:t>th</w:t>
      </w:r>
      <w:r w:rsidRPr="004236BE">
        <w:rPr>
          <w:rFonts w:ascii="Times New Roman" w:hAnsi="Times New Roman"/>
          <w:bCs/>
          <w:sz w:val="24"/>
          <w:szCs w:val="24"/>
        </w:rPr>
        <w:t xml:space="preserve"> Circuit (San Francisco) held (3 to 0) that the U.S. District Court judge properly granted summary judgement for the city.  Court decided case without even needing to schedule oral </w:t>
      </w:r>
      <w:proofErr w:type="gramStart"/>
      <w:r w:rsidRPr="004236BE">
        <w:rPr>
          <w:rFonts w:ascii="Times New Roman" w:hAnsi="Times New Roman"/>
          <w:bCs/>
          <w:sz w:val="24"/>
          <w:szCs w:val="24"/>
        </w:rPr>
        <w:t>argument</w:t>
      </w:r>
      <w:proofErr w:type="gramEnd"/>
      <w:r w:rsidRPr="004236BE">
        <w:rPr>
          <w:rFonts w:ascii="Times New Roman" w:hAnsi="Times New Roman"/>
          <w:bCs/>
          <w:sz w:val="24"/>
          <w:szCs w:val="24"/>
        </w:rPr>
        <w:t xml:space="preserve">. </w:t>
      </w:r>
    </w:p>
    <w:p w14:paraId="08DF3684" w14:textId="77777777" w:rsidR="00177094" w:rsidRPr="004236BE" w:rsidRDefault="00177094" w:rsidP="00177094">
      <w:pPr>
        <w:pStyle w:val="NoSpacing"/>
        <w:rPr>
          <w:rFonts w:ascii="Times New Roman" w:hAnsi="Times New Roman"/>
          <w:b/>
          <w:bCs/>
          <w:sz w:val="24"/>
          <w:szCs w:val="24"/>
        </w:rPr>
      </w:pPr>
    </w:p>
    <w:p w14:paraId="763B27AA" w14:textId="77777777" w:rsidR="00177094" w:rsidRPr="004236BE" w:rsidRDefault="00177094" w:rsidP="00177094">
      <w:pPr>
        <w:pStyle w:val="NoSpacing"/>
        <w:ind w:left="720"/>
        <w:rPr>
          <w:rFonts w:ascii="Times New Roman" w:hAnsi="Times New Roman"/>
          <w:b/>
          <w:bCs/>
          <w:sz w:val="24"/>
          <w:szCs w:val="24"/>
        </w:rPr>
      </w:pPr>
      <w:r w:rsidRPr="004236BE">
        <w:rPr>
          <w:rFonts w:ascii="Times New Roman" w:hAnsi="Times New Roman"/>
          <w:bCs/>
          <w:sz w:val="24"/>
          <w:szCs w:val="24"/>
        </w:rPr>
        <w:t>“Under 29 U.S.C. § 207(k), public agencies employing firefighters may adopt a 28-day work period for purposes of calculating FLSA overtime pay. FLSA requires overtime pay of 1.5times the regular rate of pay for every hour above 212 hours that a firefighter works in a 28-</w:t>
      </w:r>
      <w:proofErr w:type="gramStart"/>
      <w:r w:rsidRPr="004236BE">
        <w:rPr>
          <w:rFonts w:ascii="Times New Roman" w:hAnsi="Times New Roman"/>
          <w:bCs/>
          <w:sz w:val="24"/>
          <w:szCs w:val="24"/>
        </w:rPr>
        <w:t>daywork</w:t>
      </w:r>
      <w:proofErr w:type="gramEnd"/>
      <w:r w:rsidRPr="004236BE">
        <w:rPr>
          <w:rFonts w:ascii="Times New Roman" w:hAnsi="Times New Roman"/>
          <w:bCs/>
          <w:sz w:val="24"/>
          <w:szCs w:val="24"/>
        </w:rPr>
        <w:t xml:space="preserve"> period. See id.; 29 C.F.R. § 553.230. The </w:t>
      </w:r>
      <w:proofErr w:type="gramStart"/>
      <w:r w:rsidRPr="004236BE">
        <w:rPr>
          <w:rFonts w:ascii="Times New Roman" w:hAnsi="Times New Roman"/>
          <w:bCs/>
          <w:sz w:val="24"/>
          <w:szCs w:val="24"/>
        </w:rPr>
        <w:t>City</w:t>
      </w:r>
      <w:proofErr w:type="gramEnd"/>
      <w:r w:rsidRPr="004236BE">
        <w:rPr>
          <w:rFonts w:ascii="Times New Roman" w:hAnsi="Times New Roman"/>
          <w:bCs/>
          <w:sz w:val="24"/>
          <w:szCs w:val="24"/>
        </w:rPr>
        <w:t xml:space="preserve"> has adopted a 28-day pay period for its firefighters and pays them biweekly. It pays firefighters a base hourly rate for 224 hours per work period, regardless of whether they </w:t>
      </w:r>
      <w:proofErr w:type="gramStart"/>
      <w:r w:rsidRPr="004236BE">
        <w:rPr>
          <w:rFonts w:ascii="Times New Roman" w:hAnsi="Times New Roman"/>
          <w:bCs/>
          <w:sz w:val="24"/>
          <w:szCs w:val="24"/>
        </w:rPr>
        <w:t>actually work</w:t>
      </w:r>
      <w:proofErr w:type="gramEnd"/>
      <w:r w:rsidRPr="004236BE">
        <w:rPr>
          <w:rFonts w:ascii="Times New Roman" w:hAnsi="Times New Roman"/>
          <w:bCs/>
          <w:sz w:val="24"/>
          <w:szCs w:val="24"/>
        </w:rPr>
        <w:t xml:space="preserve"> a full 224 hours. Furthermore, when a firefighter works hours outside of his or her regularly scheduled shifts, the </w:t>
      </w:r>
      <w:proofErr w:type="gramStart"/>
      <w:r w:rsidRPr="004236BE">
        <w:rPr>
          <w:rFonts w:ascii="Times New Roman" w:hAnsi="Times New Roman"/>
          <w:bCs/>
          <w:sz w:val="24"/>
          <w:szCs w:val="24"/>
        </w:rPr>
        <w:t>City</w:t>
      </w:r>
      <w:proofErr w:type="gramEnd"/>
      <w:r w:rsidRPr="004236BE">
        <w:rPr>
          <w:rFonts w:ascii="Times New Roman" w:hAnsi="Times New Roman"/>
          <w:bCs/>
          <w:sz w:val="24"/>
          <w:szCs w:val="24"/>
        </w:rPr>
        <w:t xml:space="preserve"> pays ‘contractual overtime’ of 1.5 times his or her base hourly rate for each additional hour worked. The City’s ‘contractual overtime’ payments are distinct from FLSA overtime pay, and the firefighters are entitled to FLSA overtime pay for each hour worked over the 212-hour threshold</w:t>
      </w:r>
      <w:r w:rsidRPr="004236BE">
        <w:rPr>
          <w:rFonts w:ascii="Times New Roman" w:hAnsi="Times New Roman"/>
          <w:sz w:val="24"/>
          <w:szCs w:val="24"/>
        </w:rPr>
        <w:t xml:space="preserve">…. </w:t>
      </w:r>
      <w:r w:rsidRPr="004236BE">
        <w:rPr>
          <w:rFonts w:ascii="Times New Roman" w:hAnsi="Times New Roman"/>
          <w:bCs/>
          <w:sz w:val="24"/>
          <w:szCs w:val="24"/>
        </w:rPr>
        <w:t xml:space="preserve">Each work period, the </w:t>
      </w:r>
      <w:proofErr w:type="gramStart"/>
      <w:r w:rsidRPr="004236BE">
        <w:rPr>
          <w:rFonts w:ascii="Times New Roman" w:hAnsi="Times New Roman"/>
          <w:bCs/>
          <w:sz w:val="24"/>
          <w:szCs w:val="24"/>
        </w:rPr>
        <w:t>City</w:t>
      </w:r>
      <w:proofErr w:type="gramEnd"/>
      <w:r w:rsidRPr="004236BE">
        <w:rPr>
          <w:rFonts w:ascii="Times New Roman" w:hAnsi="Times New Roman"/>
          <w:bCs/>
          <w:sz w:val="24"/>
          <w:szCs w:val="24"/>
        </w:rPr>
        <w:t xml:space="preserve"> calculates what is owed to its firefighters under FLSA. If the amount the </w:t>
      </w:r>
      <w:proofErr w:type="gramStart"/>
      <w:r w:rsidRPr="004236BE">
        <w:rPr>
          <w:rFonts w:ascii="Times New Roman" w:hAnsi="Times New Roman"/>
          <w:bCs/>
          <w:sz w:val="24"/>
          <w:szCs w:val="24"/>
        </w:rPr>
        <w:t>City</w:t>
      </w:r>
      <w:proofErr w:type="gramEnd"/>
      <w:r w:rsidRPr="004236BE">
        <w:rPr>
          <w:rFonts w:ascii="Times New Roman" w:hAnsi="Times New Roman"/>
          <w:bCs/>
          <w:sz w:val="24"/>
          <w:szCs w:val="24"/>
        </w:rPr>
        <w:t xml:space="preserve"> paid a firefighter is less than required under FLSA, it adds a FLSA overtime adjustment to the firefighter’s paycheck at the end of the work period. If the amount the </w:t>
      </w:r>
      <w:proofErr w:type="gramStart"/>
      <w:r w:rsidRPr="004236BE">
        <w:rPr>
          <w:rFonts w:ascii="Times New Roman" w:hAnsi="Times New Roman"/>
          <w:bCs/>
          <w:sz w:val="24"/>
          <w:szCs w:val="24"/>
        </w:rPr>
        <w:t>City</w:t>
      </w:r>
      <w:proofErr w:type="gramEnd"/>
      <w:r w:rsidRPr="004236BE">
        <w:rPr>
          <w:rFonts w:ascii="Times New Roman" w:hAnsi="Times New Roman"/>
          <w:bCs/>
          <w:sz w:val="24"/>
          <w:szCs w:val="24"/>
        </w:rPr>
        <w:t xml:space="preserve"> paid is more than required under FLSA, no adjustment is made.” </w:t>
      </w:r>
      <w:bookmarkStart w:id="399" w:name="_Hlk39847867"/>
      <w:r w:rsidR="00BC38B6">
        <w:fldChar w:fldCharType="begin"/>
      </w:r>
      <w:r w:rsidR="00BC38B6">
        <w:instrText xml:space="preserve"> HYPERLINK "http://cdn.ca9.uscourts.gov/datastore/memoranda/2020/01/15/18-16083.pdf" </w:instrText>
      </w:r>
      <w:r w:rsidR="00BC38B6">
        <w:fldChar w:fldCharType="separate"/>
      </w:r>
      <w:r w:rsidRPr="004236BE">
        <w:rPr>
          <w:rStyle w:val="Hyperlink"/>
          <w:rFonts w:ascii="Times New Roman" w:hAnsi="Times New Roman"/>
          <w:b/>
          <w:sz w:val="24"/>
          <w:szCs w:val="24"/>
        </w:rPr>
        <w:t>http://cdn.ca9.uscourts.gov/datastore/memoranda/2020/01/15/18-16083.pdf</w:t>
      </w:r>
      <w:r w:rsidR="00BC38B6">
        <w:rPr>
          <w:rStyle w:val="Hyperlink"/>
          <w:rFonts w:ascii="Times New Roman" w:hAnsi="Times New Roman"/>
          <w:b/>
          <w:sz w:val="24"/>
          <w:szCs w:val="24"/>
        </w:rPr>
        <w:fldChar w:fldCharType="end"/>
      </w:r>
      <w:r w:rsidRPr="004236BE">
        <w:rPr>
          <w:rFonts w:ascii="Times New Roman" w:hAnsi="Times New Roman"/>
          <w:bCs/>
          <w:sz w:val="24"/>
          <w:szCs w:val="24"/>
        </w:rPr>
        <w:t xml:space="preserve"> </w:t>
      </w:r>
      <w:bookmarkEnd w:id="399"/>
    </w:p>
    <w:bookmarkEnd w:id="397"/>
    <w:p w14:paraId="73CE8155" w14:textId="77777777" w:rsidR="00177094" w:rsidRDefault="00177094" w:rsidP="00177094">
      <w:pPr>
        <w:pStyle w:val="NoSpacing"/>
        <w:rPr>
          <w:rFonts w:ascii="Times New Roman" w:hAnsi="Times New Roman"/>
          <w:b/>
          <w:bCs/>
          <w:sz w:val="24"/>
          <w:szCs w:val="24"/>
        </w:rPr>
      </w:pPr>
    </w:p>
    <w:p w14:paraId="0DEF2B9D" w14:textId="61B2E8CA" w:rsidR="00177094" w:rsidRPr="004236BE" w:rsidRDefault="00177094" w:rsidP="00177094">
      <w:pPr>
        <w:pStyle w:val="NoSpacing"/>
        <w:rPr>
          <w:rFonts w:ascii="Times New Roman" w:eastAsia="Times New Roman" w:hAnsi="Times New Roman"/>
          <w:b/>
          <w:bCs/>
          <w:sz w:val="24"/>
          <w:szCs w:val="24"/>
        </w:rPr>
      </w:pPr>
      <w:bookmarkStart w:id="400" w:name="_Hlk40512999"/>
      <w:r w:rsidRPr="004236BE">
        <w:rPr>
          <w:rFonts w:ascii="Times New Roman" w:hAnsi="Times New Roman"/>
          <w:b/>
          <w:bCs/>
          <w:sz w:val="24"/>
          <w:szCs w:val="24"/>
        </w:rPr>
        <w:t xml:space="preserve">Legal Lessons Learned: If </w:t>
      </w:r>
      <w:r w:rsidR="00A16B10">
        <w:rPr>
          <w:rFonts w:ascii="Times New Roman" w:hAnsi="Times New Roman"/>
          <w:b/>
          <w:bCs/>
          <w:sz w:val="24"/>
          <w:szCs w:val="24"/>
        </w:rPr>
        <w:t>C</w:t>
      </w:r>
      <w:r w:rsidRPr="004236BE">
        <w:rPr>
          <w:rFonts w:ascii="Times New Roman" w:hAnsi="Times New Roman"/>
          <w:b/>
          <w:bCs/>
          <w:sz w:val="24"/>
          <w:szCs w:val="24"/>
        </w:rPr>
        <w:t xml:space="preserve">ity is paying more than required under FLSA, then courts will grant summary judgment. </w:t>
      </w:r>
    </w:p>
    <w:bookmarkEnd w:id="400"/>
    <w:p w14:paraId="61803146" w14:textId="77777777" w:rsidR="00177094" w:rsidRDefault="00177094" w:rsidP="00F326E5">
      <w:pPr>
        <w:rPr>
          <w:rFonts w:ascii="Arial Black" w:hAnsi="Arial Black"/>
          <w:b/>
          <w:sz w:val="24"/>
          <w:szCs w:val="24"/>
        </w:rPr>
      </w:pPr>
    </w:p>
    <w:p w14:paraId="12B6E77D" w14:textId="439633A1" w:rsidR="007C6FEF" w:rsidRDefault="007C6FEF" w:rsidP="00F326E5">
      <w:pPr>
        <w:rPr>
          <w:rFonts w:ascii="Arial Black" w:hAnsi="Arial Black"/>
          <w:b/>
          <w:sz w:val="24"/>
          <w:szCs w:val="24"/>
        </w:rPr>
      </w:pPr>
      <w:r>
        <w:rPr>
          <w:rFonts w:ascii="Arial Black" w:hAnsi="Arial Black"/>
          <w:b/>
          <w:sz w:val="24"/>
          <w:szCs w:val="24"/>
        </w:rPr>
        <w:t>11-</w:t>
      </w:r>
      <w:r w:rsidR="00B13773">
        <w:rPr>
          <w:rFonts w:ascii="Arial Black" w:hAnsi="Arial Black"/>
          <w:b/>
          <w:sz w:val="24"/>
          <w:szCs w:val="24"/>
        </w:rPr>
        <w:t>9</w:t>
      </w:r>
    </w:p>
    <w:p w14:paraId="01A48BA9" w14:textId="77777777" w:rsidR="007C6FEF" w:rsidRDefault="007C6FEF" w:rsidP="007C6FEF">
      <w:pPr>
        <w:rPr>
          <w:rFonts w:ascii="Arial Black" w:hAnsi="Arial Black"/>
          <w:sz w:val="28"/>
          <w:szCs w:val="28"/>
        </w:rPr>
      </w:pPr>
      <w:bookmarkStart w:id="401" w:name="_Hlk40513169"/>
      <w:bookmarkStart w:id="402" w:name="_Hlk29205188"/>
      <w:bookmarkStart w:id="403" w:name="_Hlk41155747"/>
      <w:r w:rsidRPr="00AC7203">
        <w:rPr>
          <w:rFonts w:ascii="Arial Black" w:hAnsi="Arial Black"/>
          <w:sz w:val="28"/>
          <w:szCs w:val="28"/>
        </w:rPr>
        <w:t>NY</w:t>
      </w:r>
      <w:r>
        <w:rPr>
          <w:rFonts w:ascii="Arial Black" w:hAnsi="Arial Black"/>
          <w:sz w:val="28"/>
          <w:szCs w:val="28"/>
        </w:rPr>
        <w:t>:  FDNY - BACK PAY FOR EMS – HRS WORKED BEFORE / AFTER SHIFT – WILFULL VIOLATION – 3-YRS BACK PAY, DOUBLED - $14.4 MILLION</w:t>
      </w:r>
    </w:p>
    <w:p w14:paraId="208E8366" w14:textId="77777777" w:rsidR="007C6FEF" w:rsidRDefault="007C6FEF" w:rsidP="007C6FEF">
      <w:pPr>
        <w:rPr>
          <w:rFonts w:ascii="Times New Roman" w:hAnsi="Times New Roman"/>
          <w:sz w:val="24"/>
          <w:szCs w:val="24"/>
        </w:rPr>
      </w:pPr>
      <w:r w:rsidRPr="00AC7203">
        <w:rPr>
          <w:rFonts w:ascii="Times New Roman" w:hAnsi="Times New Roman"/>
          <w:sz w:val="24"/>
          <w:szCs w:val="24"/>
        </w:rPr>
        <w:t xml:space="preserve">On </w:t>
      </w:r>
      <w:bookmarkStart w:id="404" w:name="_Hlk39848062"/>
      <w:r>
        <w:rPr>
          <w:rFonts w:ascii="Times New Roman" w:hAnsi="Times New Roman"/>
          <w:sz w:val="24"/>
          <w:szCs w:val="24"/>
        </w:rPr>
        <w:t xml:space="preserve">Dec. 23, 2019, in </w:t>
      </w:r>
      <w:r w:rsidRPr="00AC7203">
        <w:rPr>
          <w:rFonts w:ascii="Times New Roman" w:hAnsi="Times New Roman"/>
          <w:sz w:val="24"/>
          <w:szCs w:val="24"/>
          <w:u w:val="single"/>
        </w:rPr>
        <w:t>Chaz Perry, et al. v. City of New York</w:t>
      </w:r>
      <w:r>
        <w:rPr>
          <w:rFonts w:ascii="Times New Roman" w:hAnsi="Times New Roman"/>
          <w:sz w:val="24"/>
          <w:szCs w:val="24"/>
        </w:rPr>
        <w:t xml:space="preserve">, </w:t>
      </w:r>
      <w:bookmarkEnd w:id="404"/>
      <w:r>
        <w:rPr>
          <w:rFonts w:ascii="Times New Roman" w:hAnsi="Times New Roman"/>
          <w:sz w:val="24"/>
          <w:szCs w:val="24"/>
        </w:rPr>
        <w:t xml:space="preserve">U.S. District Court Judge Vernon S. Broderick, Southern District of New York, granted plaintiff’s motion for final judgment on behalf of </w:t>
      </w:r>
      <w:r w:rsidRPr="003C5EA4">
        <w:rPr>
          <w:rFonts w:ascii="Times New Roman" w:hAnsi="Times New Roman"/>
          <w:sz w:val="24"/>
          <w:szCs w:val="24"/>
        </w:rPr>
        <w:t>2,519</w:t>
      </w:r>
      <w:r>
        <w:rPr>
          <w:rFonts w:ascii="Times New Roman" w:hAnsi="Times New Roman"/>
          <w:sz w:val="24"/>
          <w:szCs w:val="24"/>
        </w:rPr>
        <w:t xml:space="preserve"> </w:t>
      </w:r>
      <w:r w:rsidRPr="003C5EA4">
        <w:rPr>
          <w:rFonts w:ascii="Times New Roman" w:hAnsi="Times New Roman"/>
          <w:sz w:val="24"/>
          <w:szCs w:val="24"/>
        </w:rPr>
        <w:t xml:space="preserve">current </w:t>
      </w:r>
      <w:r>
        <w:rPr>
          <w:rFonts w:ascii="Times New Roman" w:hAnsi="Times New Roman"/>
          <w:sz w:val="24"/>
          <w:szCs w:val="24"/>
        </w:rPr>
        <w:t>and</w:t>
      </w:r>
      <w:r w:rsidRPr="003C5EA4">
        <w:rPr>
          <w:rFonts w:ascii="Times New Roman" w:hAnsi="Times New Roman"/>
          <w:sz w:val="24"/>
          <w:szCs w:val="24"/>
        </w:rPr>
        <w:t xml:space="preserve"> former</w:t>
      </w:r>
      <w:r>
        <w:rPr>
          <w:rFonts w:ascii="Times New Roman" w:hAnsi="Times New Roman"/>
          <w:sz w:val="24"/>
          <w:szCs w:val="24"/>
        </w:rPr>
        <w:t xml:space="preserve"> EMS</w:t>
      </w:r>
      <w:r w:rsidRPr="003C5EA4">
        <w:rPr>
          <w:rFonts w:ascii="Times New Roman" w:hAnsi="Times New Roman"/>
          <w:sz w:val="24"/>
          <w:szCs w:val="24"/>
        </w:rPr>
        <w:t xml:space="preserve">, </w:t>
      </w:r>
      <w:proofErr w:type="gramStart"/>
      <w:r w:rsidRPr="003C5EA4">
        <w:rPr>
          <w:rFonts w:ascii="Times New Roman" w:hAnsi="Times New Roman"/>
          <w:sz w:val="24"/>
          <w:szCs w:val="24"/>
        </w:rPr>
        <w:t xml:space="preserve">and </w:t>
      </w:r>
      <w:r>
        <w:rPr>
          <w:rFonts w:ascii="Times New Roman" w:hAnsi="Times New Roman"/>
          <w:sz w:val="24"/>
          <w:szCs w:val="24"/>
        </w:rPr>
        <w:t>also</w:t>
      </w:r>
      <w:proofErr w:type="gramEnd"/>
      <w:r>
        <w:rPr>
          <w:rFonts w:ascii="Times New Roman" w:hAnsi="Times New Roman"/>
          <w:sz w:val="24"/>
          <w:szCs w:val="24"/>
        </w:rPr>
        <w:t xml:space="preserve"> </w:t>
      </w:r>
      <w:r w:rsidRPr="003C5EA4">
        <w:rPr>
          <w:rFonts w:ascii="Times New Roman" w:hAnsi="Times New Roman"/>
          <w:sz w:val="24"/>
          <w:szCs w:val="24"/>
        </w:rPr>
        <w:t>Fire Safety Inspectors below the rank of lieutenan</w:t>
      </w:r>
      <w:r>
        <w:rPr>
          <w:rFonts w:ascii="Times New Roman" w:hAnsi="Times New Roman"/>
          <w:sz w:val="24"/>
          <w:szCs w:val="24"/>
        </w:rPr>
        <w:t xml:space="preserve">t.   A jury found the FDNY willfully violated FLSA by allowing EMS and Inspector to work early or after shift while not “on the clock.”  Federal judge awarded backpay for three years for willful violation (not just two years) of </w:t>
      </w:r>
      <w:r w:rsidRPr="003C5EA4">
        <w:rPr>
          <w:rFonts w:ascii="Times New Roman" w:hAnsi="Times New Roman"/>
          <w:sz w:val="24"/>
          <w:szCs w:val="24"/>
        </w:rPr>
        <w:t>$7,238,513.00</w:t>
      </w:r>
      <w:r>
        <w:rPr>
          <w:rFonts w:ascii="Times New Roman" w:hAnsi="Times New Roman"/>
          <w:sz w:val="24"/>
          <w:szCs w:val="24"/>
        </w:rPr>
        <w:t xml:space="preserve">, </w:t>
      </w:r>
      <w:r w:rsidRPr="003C5EA4">
        <w:rPr>
          <w:rFonts w:ascii="Times New Roman" w:hAnsi="Times New Roman"/>
          <w:sz w:val="24"/>
          <w:szCs w:val="24"/>
        </w:rPr>
        <w:t>as well as</w:t>
      </w:r>
      <w:r>
        <w:rPr>
          <w:rFonts w:ascii="Times New Roman" w:hAnsi="Times New Roman"/>
          <w:sz w:val="24"/>
          <w:szCs w:val="24"/>
        </w:rPr>
        <w:t xml:space="preserve"> an equal amount of </w:t>
      </w:r>
      <w:r w:rsidRPr="003C5EA4">
        <w:rPr>
          <w:rFonts w:ascii="Times New Roman" w:hAnsi="Times New Roman"/>
          <w:sz w:val="24"/>
          <w:szCs w:val="24"/>
        </w:rPr>
        <w:t>$7,238,513.00 in liquidated damages</w:t>
      </w:r>
      <w:r>
        <w:rPr>
          <w:rFonts w:ascii="Times New Roman" w:hAnsi="Times New Roman"/>
          <w:sz w:val="24"/>
          <w:szCs w:val="24"/>
        </w:rPr>
        <w:t xml:space="preserve">. </w:t>
      </w:r>
    </w:p>
    <w:bookmarkEnd w:id="401"/>
    <w:p w14:paraId="1653B1F5" w14:textId="77777777" w:rsidR="007C6FEF" w:rsidRPr="003C5EA4" w:rsidRDefault="007C6FEF" w:rsidP="007C6FEF">
      <w:pPr>
        <w:ind w:left="720"/>
        <w:rPr>
          <w:rFonts w:ascii="Times New Roman" w:hAnsi="Times New Roman"/>
          <w:sz w:val="24"/>
          <w:szCs w:val="24"/>
        </w:rPr>
      </w:pPr>
      <w:r>
        <w:rPr>
          <w:rFonts w:ascii="Times New Roman" w:hAnsi="Times New Roman"/>
          <w:sz w:val="24"/>
          <w:szCs w:val="24"/>
        </w:rPr>
        <w:t>“</w:t>
      </w:r>
      <w:r w:rsidRPr="003C5EA4">
        <w:rPr>
          <w:rFonts w:ascii="Times New Roman" w:hAnsi="Times New Roman"/>
          <w:sz w:val="24"/>
          <w:szCs w:val="24"/>
        </w:rPr>
        <w:t>Because the jury in this case has already determined that Defendants committed a willful violation of the FLSA, I reject Defendants’ request to deny liquidated damages in this case.</w:t>
      </w:r>
      <w:r>
        <w:rPr>
          <w:rFonts w:ascii="Times New Roman" w:hAnsi="Times New Roman"/>
          <w:sz w:val="24"/>
          <w:szCs w:val="24"/>
        </w:rPr>
        <w:t xml:space="preserve">”   </w:t>
      </w:r>
      <w:bookmarkStart w:id="405" w:name="_Hlk29205937"/>
      <w:bookmarkStart w:id="406" w:name="_Hlk39848078"/>
      <w:r>
        <w:rPr>
          <w:rFonts w:ascii="Times New Roman" w:hAnsi="Times New Roman"/>
          <w:sz w:val="24"/>
          <w:szCs w:val="24"/>
        </w:rPr>
        <w:fldChar w:fldCharType="begin"/>
      </w:r>
      <w:r>
        <w:rPr>
          <w:rFonts w:ascii="Times New Roman" w:hAnsi="Times New Roman"/>
          <w:sz w:val="24"/>
          <w:szCs w:val="24"/>
        </w:rPr>
        <w:instrText xml:space="preserve"> HYPERLINK "</w:instrText>
      </w:r>
      <w:r w:rsidRPr="004B1B03">
        <w:rPr>
          <w:rFonts w:ascii="Times New Roman" w:hAnsi="Times New Roman"/>
          <w:sz w:val="24"/>
          <w:szCs w:val="24"/>
        </w:rPr>
        <w:instrText>https://casetext.com/case/perry-v-city-of-ny-4</w:instrText>
      </w:r>
      <w:r>
        <w:rPr>
          <w:rFonts w:ascii="Times New Roman" w:hAnsi="Times New Roman"/>
          <w:sz w:val="24"/>
          <w:szCs w:val="24"/>
        </w:rPr>
        <w:instrText xml:space="preserve">" </w:instrText>
      </w:r>
      <w:r>
        <w:rPr>
          <w:rFonts w:ascii="Times New Roman" w:hAnsi="Times New Roman"/>
          <w:sz w:val="24"/>
          <w:szCs w:val="24"/>
        </w:rPr>
      </w:r>
      <w:r>
        <w:rPr>
          <w:rFonts w:ascii="Times New Roman" w:hAnsi="Times New Roman"/>
          <w:sz w:val="24"/>
          <w:szCs w:val="24"/>
        </w:rPr>
        <w:fldChar w:fldCharType="separate"/>
      </w:r>
      <w:r w:rsidRPr="00D24870">
        <w:rPr>
          <w:rStyle w:val="Hyperlink"/>
          <w:rFonts w:ascii="Times New Roman" w:hAnsi="Times New Roman"/>
          <w:sz w:val="24"/>
          <w:szCs w:val="24"/>
        </w:rPr>
        <w:t>https://casetext.com/case/perry-v-city-of-ny-4</w:t>
      </w:r>
      <w:r>
        <w:rPr>
          <w:rFonts w:ascii="Times New Roman" w:hAnsi="Times New Roman"/>
          <w:sz w:val="24"/>
          <w:szCs w:val="24"/>
        </w:rPr>
        <w:fldChar w:fldCharType="end"/>
      </w:r>
      <w:r>
        <w:rPr>
          <w:rFonts w:ascii="Times New Roman" w:hAnsi="Times New Roman"/>
          <w:sz w:val="24"/>
          <w:szCs w:val="24"/>
        </w:rPr>
        <w:t xml:space="preserve"> </w:t>
      </w:r>
      <w:bookmarkEnd w:id="405"/>
    </w:p>
    <w:bookmarkEnd w:id="402"/>
    <w:bookmarkEnd w:id="406"/>
    <w:p w14:paraId="5C6A6D25" w14:textId="77777777" w:rsidR="00A16B10" w:rsidRDefault="00A16B10" w:rsidP="00A16B10">
      <w:pPr>
        <w:rPr>
          <w:rFonts w:ascii="Times New Roman" w:hAnsi="Times New Roman"/>
          <w:b/>
          <w:bCs/>
          <w:sz w:val="24"/>
          <w:szCs w:val="24"/>
        </w:rPr>
      </w:pPr>
      <w:r w:rsidRPr="00A16B10">
        <w:rPr>
          <w:rFonts w:ascii="Times New Roman" w:hAnsi="Times New Roman"/>
          <w:b/>
          <w:bCs/>
          <w:sz w:val="24"/>
          <w:szCs w:val="24"/>
        </w:rPr>
        <w:t>Legal Lesson Learned: Willful violations of FLSA can result in damages of three years of back pay, doubled</w:t>
      </w:r>
      <w:bookmarkEnd w:id="403"/>
      <w:r w:rsidRPr="00A16B10">
        <w:rPr>
          <w:rFonts w:ascii="Times New Roman" w:hAnsi="Times New Roman"/>
          <w:b/>
          <w:bCs/>
          <w:sz w:val="24"/>
          <w:szCs w:val="24"/>
        </w:rPr>
        <w:t xml:space="preserve">. </w:t>
      </w:r>
    </w:p>
    <w:p w14:paraId="1585BA87" w14:textId="77777777" w:rsidR="00B13773" w:rsidRDefault="00B13773" w:rsidP="00A16B10">
      <w:pPr>
        <w:rPr>
          <w:rFonts w:ascii="Arial Black" w:hAnsi="Arial Black"/>
          <w:b/>
          <w:bCs/>
          <w:sz w:val="28"/>
          <w:szCs w:val="28"/>
        </w:rPr>
      </w:pPr>
    </w:p>
    <w:p w14:paraId="06DAD8A5" w14:textId="5C82806D" w:rsidR="00411E0E" w:rsidRPr="00B13773" w:rsidRDefault="00B13773" w:rsidP="00A16B10">
      <w:pPr>
        <w:rPr>
          <w:rFonts w:ascii="Arial Black" w:hAnsi="Arial Black"/>
          <w:b/>
          <w:bCs/>
          <w:sz w:val="28"/>
          <w:szCs w:val="28"/>
        </w:rPr>
      </w:pPr>
      <w:r w:rsidRPr="00B13773">
        <w:rPr>
          <w:rFonts w:ascii="Arial Black" w:hAnsi="Arial Black"/>
          <w:b/>
          <w:bCs/>
          <w:sz w:val="28"/>
          <w:szCs w:val="28"/>
        </w:rPr>
        <w:t>11-8</w:t>
      </w:r>
    </w:p>
    <w:p w14:paraId="61C21C93" w14:textId="77777777" w:rsidR="00411E0E" w:rsidRDefault="00411E0E" w:rsidP="00411E0E">
      <w:pPr>
        <w:rPr>
          <w:sz w:val="48"/>
          <w:szCs w:val="48"/>
        </w:rPr>
      </w:pPr>
      <w:r>
        <w:rPr>
          <w:rFonts w:ascii="Arial Black" w:hAnsi="Arial Black"/>
          <w:b/>
          <w:sz w:val="28"/>
          <w:szCs w:val="28"/>
        </w:rPr>
        <w:t xml:space="preserve">IL: </w:t>
      </w:r>
      <w:r w:rsidRPr="00097703">
        <w:rPr>
          <w:rFonts w:ascii="Arial Black" w:hAnsi="Arial Black"/>
          <w:sz w:val="28"/>
          <w:szCs w:val="28"/>
        </w:rPr>
        <w:t xml:space="preserve">Justice Department Files Lawsuit Against the City of Chicago </w:t>
      </w:r>
      <w:proofErr w:type="gramStart"/>
      <w:r w:rsidRPr="00097703">
        <w:rPr>
          <w:rFonts w:ascii="Arial Black" w:hAnsi="Arial Black"/>
          <w:sz w:val="28"/>
          <w:szCs w:val="28"/>
        </w:rPr>
        <w:t>To</w:t>
      </w:r>
      <w:proofErr w:type="gramEnd"/>
      <w:r w:rsidRPr="00097703">
        <w:rPr>
          <w:rFonts w:ascii="Arial Black" w:hAnsi="Arial Black"/>
          <w:sz w:val="28"/>
          <w:szCs w:val="28"/>
        </w:rPr>
        <w:t xml:space="preserve"> Enforce USERRA Rights of U.S. Army Reservist</w:t>
      </w:r>
    </w:p>
    <w:p w14:paraId="1AC29819" w14:textId="77777777" w:rsidR="00411E0E" w:rsidRDefault="00411E0E" w:rsidP="00411E0E">
      <w:pPr>
        <w:pStyle w:val="NoSpacing"/>
        <w:rPr>
          <w:rFonts w:ascii="Times New Roman" w:hAnsi="Times New Roman"/>
          <w:sz w:val="24"/>
          <w:szCs w:val="24"/>
        </w:rPr>
      </w:pPr>
    </w:p>
    <w:p w14:paraId="3651CA07" w14:textId="77777777" w:rsidR="00411E0E" w:rsidRDefault="00411E0E" w:rsidP="00411E0E">
      <w:pPr>
        <w:pStyle w:val="NoSpacing"/>
        <w:ind w:left="720"/>
        <w:rPr>
          <w:rFonts w:ascii="Times New Roman" w:hAnsi="Times New Roman"/>
          <w:sz w:val="24"/>
          <w:szCs w:val="24"/>
        </w:rPr>
      </w:pPr>
      <w:r w:rsidRPr="00097703">
        <w:rPr>
          <w:rFonts w:ascii="Times New Roman" w:hAnsi="Times New Roman"/>
          <w:sz w:val="24"/>
          <w:szCs w:val="24"/>
        </w:rPr>
        <w:t xml:space="preserve">“On Dec. 17, 2019, the Department of Justice filed a complaint in the U.S. District Court for the Northern District of Illinois on behalf of Captain and Judge Advocate Derrick Strong against the City of Chicago Fire Department (CFD), alleging that the City violated the Uniformed Services Employment and Reemployment Rights Act of 1994 (USERRA) when it failed to provide Strong with an opportunity, after his return from active duty military service, to take a promotional examination that he missed while deployed.  ***  According to the complaint, Strong is currently assigned to the 416th Theater Engineer Command’s (TEC), Office of the Staff Judge Advocate as a trial counsel and administrative law attorney, where he provides legal advice and overall legal support to the 416th TEC and its Command. He is also employed as a cross-trained firefighter and emergency medical technician-basic (firefighter/EMT) for the Chicago Fire Department. Strong is currently assigned to Squad 5, which is a special operations heavy rescue unit. From Sept. 30, 2016, to June 26, 2017, he was actively deployed with the U.S. Army Reserve in support of Operation Enduring Freedom. While Strong was deployed, the city of Chicago administered a test for firefighters to become fire engineers. He alleges, as outlined in the complaint filed in federal court, that the CFD violated USERRA by failing to provide him with an opportunity to take a fire engineer promotional examination following his return to work upon his honorable discharge from </w:t>
      </w:r>
      <w:proofErr w:type="gramStart"/>
      <w:r w:rsidRPr="00097703">
        <w:rPr>
          <w:rFonts w:ascii="Times New Roman" w:hAnsi="Times New Roman"/>
          <w:sz w:val="24"/>
          <w:szCs w:val="24"/>
        </w:rPr>
        <w:t>active duty</w:t>
      </w:r>
      <w:proofErr w:type="gramEnd"/>
      <w:r w:rsidRPr="00097703">
        <w:rPr>
          <w:rFonts w:ascii="Times New Roman" w:hAnsi="Times New Roman"/>
          <w:sz w:val="24"/>
          <w:szCs w:val="24"/>
        </w:rPr>
        <w:t xml:space="preserve"> military service. </w:t>
      </w:r>
    </w:p>
    <w:p w14:paraId="7AC04B4D" w14:textId="77777777" w:rsidR="00411E0E" w:rsidRDefault="00411E0E" w:rsidP="00411E0E">
      <w:pPr>
        <w:pStyle w:val="NoSpacing"/>
        <w:ind w:left="720"/>
        <w:rPr>
          <w:rFonts w:ascii="Times New Roman" w:hAnsi="Times New Roman"/>
          <w:sz w:val="24"/>
          <w:szCs w:val="24"/>
        </w:rPr>
      </w:pPr>
    </w:p>
    <w:p w14:paraId="3E15C43B" w14:textId="77777777" w:rsidR="00411E0E" w:rsidRPr="00097703" w:rsidRDefault="00411E0E" w:rsidP="00411E0E">
      <w:pPr>
        <w:pStyle w:val="NoSpacing"/>
        <w:ind w:left="1440"/>
        <w:rPr>
          <w:rFonts w:ascii="Times New Roman" w:hAnsi="Times New Roman"/>
          <w:sz w:val="24"/>
          <w:szCs w:val="24"/>
        </w:rPr>
      </w:pPr>
      <w:r>
        <w:rPr>
          <w:rFonts w:ascii="Times New Roman" w:hAnsi="Times New Roman"/>
          <w:sz w:val="24"/>
          <w:szCs w:val="24"/>
        </w:rPr>
        <w:t>“</w:t>
      </w:r>
      <w:r w:rsidRPr="00097703">
        <w:rPr>
          <w:rFonts w:ascii="Times New Roman" w:hAnsi="Times New Roman"/>
          <w:sz w:val="24"/>
          <w:szCs w:val="24"/>
        </w:rPr>
        <w:t xml:space="preserve">The Justice Department gives high priority to the enforcement of servicemembers’ rights under USERRA. This lawsuit stems from a referral to the Department of Justice from the U.S. Department of Labor, after an investigation by the Department of Labor’s Veterans’ Employment and Training Service. Additional information about USERRA can be found on the Justice Department’s websites at </w:t>
      </w:r>
      <w:hyperlink r:id="rId1853" w:history="1">
        <w:r w:rsidRPr="00097703">
          <w:rPr>
            <w:rStyle w:val="Hyperlink"/>
            <w:rFonts w:ascii="Times New Roman" w:hAnsi="Times New Roman"/>
            <w:color w:val="auto"/>
            <w:sz w:val="24"/>
            <w:szCs w:val="24"/>
            <w:u w:val="none"/>
          </w:rPr>
          <w:t>https://www.justice.gov/crt-military/employment-rights-userra</w:t>
        </w:r>
      </w:hyperlink>
      <w:r w:rsidRPr="00097703">
        <w:rPr>
          <w:rFonts w:ascii="Times New Roman" w:hAnsi="Times New Roman"/>
          <w:sz w:val="24"/>
          <w:szCs w:val="24"/>
        </w:rPr>
        <w:t xml:space="preserve"> and </w:t>
      </w:r>
      <w:hyperlink r:id="rId1854" w:history="1">
        <w:r w:rsidRPr="00097703">
          <w:rPr>
            <w:rStyle w:val="Hyperlink"/>
            <w:rFonts w:ascii="Times New Roman" w:hAnsi="Times New Roman"/>
            <w:color w:val="auto"/>
            <w:sz w:val="24"/>
            <w:szCs w:val="24"/>
            <w:u w:val="none"/>
          </w:rPr>
          <w:t>https://www.justice.gov/servicemembers</w:t>
        </w:r>
      </w:hyperlink>
      <w:r w:rsidRPr="00097703">
        <w:rPr>
          <w:rFonts w:ascii="Times New Roman" w:hAnsi="Times New Roman"/>
          <w:sz w:val="24"/>
          <w:szCs w:val="24"/>
        </w:rPr>
        <w:t xml:space="preserve">, as well as on the Department of Labor’s website at </w:t>
      </w:r>
      <w:hyperlink r:id="rId1855" w:history="1">
        <w:r w:rsidRPr="00097703">
          <w:rPr>
            <w:rStyle w:val="Hyperlink"/>
            <w:rFonts w:ascii="Times New Roman" w:hAnsi="Times New Roman"/>
            <w:color w:val="auto"/>
            <w:sz w:val="24"/>
            <w:szCs w:val="24"/>
            <w:u w:val="none"/>
          </w:rPr>
          <w:t>https://www.dol.gov/agencies/vets/programs/userra</w:t>
        </w:r>
      </w:hyperlink>
      <w:r w:rsidRPr="00097703">
        <w:rPr>
          <w:rFonts w:ascii="Times New Roman" w:hAnsi="Times New Roman"/>
          <w:sz w:val="24"/>
          <w:szCs w:val="24"/>
        </w:rPr>
        <w:t>.</w:t>
      </w:r>
      <w:r>
        <w:rPr>
          <w:rFonts w:ascii="Times New Roman" w:hAnsi="Times New Roman"/>
          <w:sz w:val="24"/>
          <w:szCs w:val="24"/>
        </w:rPr>
        <w:t>”</w:t>
      </w:r>
    </w:p>
    <w:p w14:paraId="6415DDA1" w14:textId="77777777" w:rsidR="00411E0E" w:rsidRPr="00097703" w:rsidRDefault="00411E0E" w:rsidP="00411E0E">
      <w:pPr>
        <w:pStyle w:val="NoSpacing"/>
        <w:ind w:left="720"/>
        <w:rPr>
          <w:rFonts w:ascii="Times New Roman" w:hAnsi="Times New Roman"/>
          <w:b/>
          <w:sz w:val="24"/>
          <w:szCs w:val="24"/>
        </w:rPr>
      </w:pPr>
      <w:hyperlink r:id="rId1856" w:history="1">
        <w:r w:rsidRPr="00E54FA8">
          <w:rPr>
            <w:rStyle w:val="Hyperlink"/>
            <w:rFonts w:ascii="Times New Roman" w:hAnsi="Times New Roman"/>
            <w:b/>
            <w:sz w:val="24"/>
            <w:szCs w:val="24"/>
          </w:rPr>
          <w:t>https://www.justice.gov/opa/pr/justice-department-files-lawsuit-against-city-chicago-enforce-userra-rights-us-army-reservist</w:t>
        </w:r>
      </w:hyperlink>
      <w:r w:rsidRPr="00097703">
        <w:rPr>
          <w:rFonts w:ascii="Times New Roman" w:hAnsi="Times New Roman"/>
          <w:b/>
          <w:sz w:val="24"/>
          <w:szCs w:val="24"/>
        </w:rPr>
        <w:t xml:space="preserve"> </w:t>
      </w:r>
    </w:p>
    <w:p w14:paraId="35E44D4B" w14:textId="77777777" w:rsidR="00411E0E" w:rsidRPr="0052665B" w:rsidRDefault="00411E0E" w:rsidP="00411E0E">
      <w:pPr>
        <w:ind w:left="720"/>
        <w:rPr>
          <w:rFonts w:ascii="Times New Roman" w:hAnsi="Times New Roman"/>
          <w:b/>
          <w:sz w:val="24"/>
          <w:szCs w:val="24"/>
        </w:rPr>
      </w:pPr>
      <w:r w:rsidRPr="0052665B">
        <w:rPr>
          <w:rFonts w:ascii="Times New Roman" w:hAnsi="Times New Roman"/>
          <w:b/>
          <w:sz w:val="24"/>
          <w:szCs w:val="24"/>
        </w:rPr>
        <w:t xml:space="preserve">Legal Lesson Learned: U.S. Department of Justice gives high priority to enforcement of servicemember’s rights under USERRA. </w:t>
      </w:r>
    </w:p>
    <w:p w14:paraId="220981B7" w14:textId="12760DFD" w:rsidR="00411E0E" w:rsidRPr="00A16B10" w:rsidRDefault="00411E0E" w:rsidP="00411E0E">
      <w:pPr>
        <w:rPr>
          <w:rFonts w:ascii="Times New Roman" w:hAnsi="Times New Roman"/>
          <w:b/>
          <w:bCs/>
          <w:sz w:val="24"/>
          <w:szCs w:val="24"/>
        </w:rPr>
      </w:pPr>
      <w:r w:rsidRPr="0052665B">
        <w:rPr>
          <w:rFonts w:ascii="Times New Roman" w:hAnsi="Times New Roman"/>
          <w:bCs/>
          <w:sz w:val="24"/>
          <w:szCs w:val="24"/>
        </w:rPr>
        <w:tab/>
        <w:t>Note:</w:t>
      </w:r>
      <w:r>
        <w:rPr>
          <w:rFonts w:ascii="Arial Black" w:hAnsi="Arial Black"/>
          <w:b/>
          <w:sz w:val="28"/>
          <w:szCs w:val="28"/>
        </w:rPr>
        <w:t xml:space="preserve"> </w:t>
      </w:r>
      <w:r w:rsidRPr="003A64EA">
        <w:rPr>
          <w:rFonts w:ascii="Times New Roman" w:hAnsi="Times New Roman"/>
          <w:bCs/>
          <w:sz w:val="24"/>
          <w:szCs w:val="24"/>
        </w:rPr>
        <w:t xml:space="preserve">See the complaint: </w:t>
      </w:r>
      <w:hyperlink r:id="rId1857" w:history="1">
        <w:r w:rsidRPr="003A64EA">
          <w:rPr>
            <w:rStyle w:val="Hyperlink"/>
            <w:rFonts w:ascii="Times New Roman" w:hAnsi="Times New Roman"/>
            <w:bCs/>
            <w:sz w:val="24"/>
            <w:szCs w:val="24"/>
          </w:rPr>
          <w:t>https://www.justice.gov/crt/case-document/file/1227366/download</w:t>
        </w:r>
      </w:hyperlink>
    </w:p>
    <w:p w14:paraId="31F797F1" w14:textId="77777777" w:rsidR="007C6FEF" w:rsidRDefault="007C6FEF" w:rsidP="00F326E5">
      <w:pPr>
        <w:rPr>
          <w:rFonts w:ascii="Arial Black" w:hAnsi="Arial Black"/>
          <w:b/>
          <w:sz w:val="24"/>
          <w:szCs w:val="24"/>
        </w:rPr>
      </w:pPr>
    </w:p>
    <w:p w14:paraId="015CE13D" w14:textId="2D6F740D" w:rsidR="00C80464" w:rsidRDefault="00C80464" w:rsidP="00F326E5">
      <w:pPr>
        <w:rPr>
          <w:rFonts w:ascii="Arial Black" w:hAnsi="Arial Black"/>
          <w:b/>
          <w:sz w:val="24"/>
          <w:szCs w:val="24"/>
        </w:rPr>
      </w:pPr>
      <w:r>
        <w:rPr>
          <w:rFonts w:ascii="Arial Black" w:hAnsi="Arial Black"/>
          <w:b/>
          <w:sz w:val="24"/>
          <w:szCs w:val="24"/>
        </w:rPr>
        <w:t>11-</w:t>
      </w:r>
      <w:r w:rsidR="00E9307E">
        <w:rPr>
          <w:rFonts w:ascii="Arial Black" w:hAnsi="Arial Black"/>
          <w:b/>
          <w:sz w:val="24"/>
          <w:szCs w:val="24"/>
        </w:rPr>
        <w:t>7</w:t>
      </w:r>
    </w:p>
    <w:p w14:paraId="6C87C887" w14:textId="77777777" w:rsidR="00C80464" w:rsidRPr="008B02FC" w:rsidRDefault="00C80464" w:rsidP="00C80464">
      <w:pPr>
        <w:pStyle w:val="NoSpacing"/>
        <w:rPr>
          <w:rFonts w:ascii="Arial Black" w:eastAsia="Times New Roman" w:hAnsi="Arial Black"/>
          <w:b/>
          <w:bCs/>
          <w:sz w:val="28"/>
          <w:szCs w:val="28"/>
        </w:rPr>
      </w:pPr>
      <w:bookmarkStart w:id="407" w:name="_Hlk39771953"/>
      <w:r w:rsidRPr="008B02FC">
        <w:rPr>
          <w:rFonts w:ascii="Arial Black" w:hAnsi="Arial Black"/>
          <w:b/>
          <w:bCs/>
          <w:sz w:val="28"/>
          <w:szCs w:val="28"/>
        </w:rPr>
        <w:t>GA</w:t>
      </w:r>
      <w:r>
        <w:rPr>
          <w:rFonts w:ascii="Arial Black" w:hAnsi="Arial Black"/>
          <w:b/>
          <w:bCs/>
          <w:sz w:val="28"/>
          <w:szCs w:val="28"/>
        </w:rPr>
        <w:t xml:space="preserve">:  FF WORKING 40-HOURS, BUT CLASSIFIED “PART-TIME” - CLASS ACTION LAWSUIT ON BEHALF OF 86 FF PROCEED </w:t>
      </w:r>
    </w:p>
    <w:p w14:paraId="12797646" w14:textId="58DE771F" w:rsidR="00C80464" w:rsidRDefault="00C80464" w:rsidP="00C8046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Sept. 16, 2019, in </w:t>
      </w:r>
      <w:r w:rsidRPr="00D26715">
        <w:rPr>
          <w:rFonts w:ascii="Times New Roman" w:eastAsia="Times New Roman" w:hAnsi="Times New Roman"/>
          <w:sz w:val="24"/>
          <w:szCs w:val="24"/>
          <w:u w:val="single"/>
        </w:rPr>
        <w:t>City of Roswell v. David Bible and Brian Rogers</w:t>
      </w:r>
      <w:r>
        <w:rPr>
          <w:rFonts w:ascii="Times New Roman" w:eastAsia="Times New Roman" w:hAnsi="Times New Roman"/>
          <w:sz w:val="24"/>
          <w:szCs w:val="24"/>
        </w:rPr>
        <w:t xml:space="preserve">, the Court of Appeals of Georgia, held (3 to 0) that trial judge properly held that the class action lawsuit on behalf of about 86 firefighters may proceed.  </w:t>
      </w:r>
      <w:r w:rsidR="00E75F94">
        <w:rPr>
          <w:rFonts w:ascii="Times New Roman" w:eastAsia="Times New Roman" w:hAnsi="Times New Roman"/>
          <w:sz w:val="24"/>
          <w:szCs w:val="24"/>
        </w:rPr>
        <w:t>P</w:t>
      </w:r>
      <w:r>
        <w:rPr>
          <w:rFonts w:ascii="Times New Roman" w:eastAsia="Times New Roman" w:hAnsi="Times New Roman"/>
          <w:sz w:val="24"/>
          <w:szCs w:val="24"/>
        </w:rPr>
        <w:t xml:space="preserve">residing Judge Christopher J. McMillan wrote:  </w:t>
      </w:r>
    </w:p>
    <w:p w14:paraId="65530C47" w14:textId="53A66770" w:rsidR="00C80464" w:rsidRDefault="00C80464" w:rsidP="00A16B1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D2295F">
        <w:rPr>
          <w:rFonts w:ascii="Times New Roman" w:hAnsi="Times New Roman"/>
          <w:sz w:val="24"/>
          <w:szCs w:val="24"/>
        </w:rPr>
        <w:t>The</w:t>
      </w:r>
      <w:r>
        <w:rPr>
          <w:rFonts w:ascii="Times New Roman" w:hAnsi="Times New Roman"/>
          <w:sz w:val="24"/>
          <w:szCs w:val="24"/>
        </w:rPr>
        <w:t xml:space="preserve"> </w:t>
      </w:r>
      <w:proofErr w:type="gramStart"/>
      <w:r w:rsidRPr="00D2295F">
        <w:rPr>
          <w:rFonts w:ascii="Times New Roman" w:hAnsi="Times New Roman"/>
          <w:sz w:val="24"/>
          <w:szCs w:val="24"/>
        </w:rPr>
        <w:t>City</w:t>
      </w:r>
      <w:proofErr w:type="gramEnd"/>
      <w:r>
        <w:rPr>
          <w:rFonts w:ascii="Times New Roman" w:hAnsi="Times New Roman"/>
          <w:sz w:val="24"/>
          <w:szCs w:val="24"/>
        </w:rPr>
        <w:t xml:space="preserve"> </w:t>
      </w:r>
      <w:r w:rsidRPr="00D2295F">
        <w:rPr>
          <w:rFonts w:ascii="Times New Roman" w:hAnsi="Times New Roman"/>
          <w:sz w:val="24"/>
          <w:szCs w:val="24"/>
        </w:rPr>
        <w:t>alleges</w:t>
      </w:r>
      <w:r>
        <w:rPr>
          <w:rFonts w:ascii="Times New Roman" w:hAnsi="Times New Roman"/>
          <w:sz w:val="24"/>
          <w:szCs w:val="24"/>
        </w:rPr>
        <w:t xml:space="preserve"> </w:t>
      </w:r>
      <w:r w:rsidRPr="00D2295F">
        <w:rPr>
          <w:rFonts w:ascii="Times New Roman" w:hAnsi="Times New Roman"/>
          <w:sz w:val="24"/>
          <w:szCs w:val="24"/>
        </w:rPr>
        <w:t>that</w:t>
      </w:r>
      <w:r>
        <w:rPr>
          <w:rFonts w:ascii="Times New Roman" w:hAnsi="Times New Roman"/>
          <w:sz w:val="24"/>
          <w:szCs w:val="24"/>
        </w:rPr>
        <w:t xml:space="preserve"> </w:t>
      </w:r>
      <w:r w:rsidRPr="00D2295F">
        <w:rPr>
          <w:rFonts w:ascii="Times New Roman" w:hAnsi="Times New Roman"/>
          <w:sz w:val="24"/>
          <w:szCs w:val="24"/>
        </w:rPr>
        <w:t>because Bible and</w:t>
      </w:r>
      <w:r>
        <w:rPr>
          <w:rFonts w:ascii="Times New Roman" w:hAnsi="Times New Roman"/>
          <w:sz w:val="24"/>
          <w:szCs w:val="24"/>
        </w:rPr>
        <w:t xml:space="preserve"> </w:t>
      </w:r>
      <w:r w:rsidRPr="00D2295F">
        <w:rPr>
          <w:rFonts w:ascii="Times New Roman" w:hAnsi="Times New Roman"/>
          <w:sz w:val="24"/>
          <w:szCs w:val="24"/>
        </w:rPr>
        <w:t>Rogers</w:t>
      </w:r>
      <w:r>
        <w:rPr>
          <w:rFonts w:ascii="Times New Roman" w:hAnsi="Times New Roman"/>
          <w:sz w:val="24"/>
          <w:szCs w:val="24"/>
        </w:rPr>
        <w:t xml:space="preserve"> </w:t>
      </w:r>
      <w:r w:rsidRPr="00D2295F">
        <w:rPr>
          <w:rFonts w:ascii="Times New Roman" w:hAnsi="Times New Roman"/>
          <w:sz w:val="24"/>
          <w:szCs w:val="24"/>
        </w:rPr>
        <w:t>acquiesced</w:t>
      </w:r>
      <w:r>
        <w:rPr>
          <w:rFonts w:ascii="Times New Roman" w:hAnsi="Times New Roman"/>
          <w:sz w:val="24"/>
          <w:szCs w:val="24"/>
        </w:rPr>
        <w:t xml:space="preserve"> </w:t>
      </w:r>
      <w:r w:rsidRPr="00D2295F">
        <w:rPr>
          <w:rFonts w:ascii="Times New Roman" w:hAnsi="Times New Roman"/>
          <w:sz w:val="24"/>
          <w:szCs w:val="24"/>
        </w:rPr>
        <w:t>in</w:t>
      </w:r>
      <w:r>
        <w:rPr>
          <w:rFonts w:ascii="Times New Roman" w:hAnsi="Times New Roman"/>
          <w:sz w:val="24"/>
          <w:szCs w:val="24"/>
        </w:rPr>
        <w:t xml:space="preserve"> </w:t>
      </w:r>
      <w:r w:rsidRPr="00D2295F">
        <w:rPr>
          <w:rFonts w:ascii="Times New Roman" w:hAnsi="Times New Roman"/>
          <w:sz w:val="24"/>
          <w:szCs w:val="24"/>
        </w:rPr>
        <w:t>their non-benefitted</w:t>
      </w:r>
      <w:r>
        <w:rPr>
          <w:rFonts w:ascii="Times New Roman" w:hAnsi="Times New Roman"/>
          <w:sz w:val="24"/>
          <w:szCs w:val="24"/>
        </w:rPr>
        <w:t xml:space="preserve"> </w:t>
      </w:r>
      <w:r w:rsidRPr="00D2295F">
        <w:rPr>
          <w:rFonts w:ascii="Times New Roman" w:hAnsi="Times New Roman"/>
          <w:sz w:val="24"/>
          <w:szCs w:val="24"/>
        </w:rPr>
        <w:t>status</w:t>
      </w:r>
      <w:r>
        <w:rPr>
          <w:rFonts w:ascii="Times New Roman" w:hAnsi="Times New Roman"/>
          <w:sz w:val="24"/>
          <w:szCs w:val="24"/>
        </w:rPr>
        <w:t xml:space="preserve"> </w:t>
      </w:r>
      <w:r w:rsidRPr="00D2295F">
        <w:rPr>
          <w:rFonts w:ascii="Times New Roman" w:hAnsi="Times New Roman"/>
          <w:sz w:val="24"/>
          <w:szCs w:val="24"/>
        </w:rPr>
        <w:t>and</w:t>
      </w:r>
      <w:r>
        <w:rPr>
          <w:rFonts w:ascii="Times New Roman" w:hAnsi="Times New Roman"/>
          <w:sz w:val="24"/>
          <w:szCs w:val="24"/>
        </w:rPr>
        <w:t xml:space="preserve"> </w:t>
      </w:r>
      <w:r w:rsidRPr="00D2295F">
        <w:rPr>
          <w:rFonts w:ascii="Times New Roman" w:hAnsi="Times New Roman"/>
          <w:sz w:val="24"/>
          <w:szCs w:val="24"/>
        </w:rPr>
        <w:t>worked</w:t>
      </w:r>
      <w:r>
        <w:rPr>
          <w:rFonts w:ascii="Times New Roman" w:hAnsi="Times New Roman"/>
          <w:sz w:val="24"/>
          <w:szCs w:val="24"/>
        </w:rPr>
        <w:t xml:space="preserve"> </w:t>
      </w:r>
      <w:r w:rsidRPr="00D2295F">
        <w:rPr>
          <w:rFonts w:ascii="Times New Roman" w:hAnsi="Times New Roman"/>
          <w:sz w:val="24"/>
          <w:szCs w:val="24"/>
        </w:rPr>
        <w:t>over 2,080</w:t>
      </w:r>
      <w:r>
        <w:rPr>
          <w:rFonts w:ascii="Times New Roman" w:hAnsi="Times New Roman"/>
          <w:sz w:val="24"/>
          <w:szCs w:val="24"/>
        </w:rPr>
        <w:t xml:space="preserve"> </w:t>
      </w:r>
      <w:r w:rsidRPr="00D2295F">
        <w:rPr>
          <w:rFonts w:ascii="Times New Roman" w:hAnsi="Times New Roman"/>
          <w:sz w:val="24"/>
          <w:szCs w:val="24"/>
        </w:rPr>
        <w:t>hours</w:t>
      </w:r>
      <w:r>
        <w:rPr>
          <w:rFonts w:ascii="Times New Roman" w:hAnsi="Times New Roman"/>
          <w:sz w:val="24"/>
          <w:szCs w:val="24"/>
        </w:rPr>
        <w:t xml:space="preserve"> </w:t>
      </w:r>
      <w:r w:rsidRPr="00D2295F">
        <w:rPr>
          <w:rFonts w:ascii="Times New Roman" w:hAnsi="Times New Roman"/>
          <w:sz w:val="24"/>
          <w:szCs w:val="24"/>
        </w:rPr>
        <w:t>per year, they</w:t>
      </w:r>
      <w:r>
        <w:rPr>
          <w:rFonts w:ascii="Times New Roman" w:hAnsi="Times New Roman"/>
          <w:sz w:val="24"/>
          <w:szCs w:val="24"/>
        </w:rPr>
        <w:t xml:space="preserve"> </w:t>
      </w:r>
      <w:r w:rsidRPr="00D2295F">
        <w:rPr>
          <w:rFonts w:ascii="Times New Roman" w:hAnsi="Times New Roman"/>
          <w:sz w:val="24"/>
          <w:szCs w:val="24"/>
        </w:rPr>
        <w:t>are not</w:t>
      </w:r>
      <w:r>
        <w:rPr>
          <w:rFonts w:ascii="Times New Roman" w:hAnsi="Times New Roman"/>
          <w:sz w:val="24"/>
          <w:szCs w:val="24"/>
        </w:rPr>
        <w:t xml:space="preserve"> </w:t>
      </w:r>
      <w:r w:rsidRPr="00D2295F">
        <w:rPr>
          <w:rFonts w:ascii="Times New Roman" w:hAnsi="Times New Roman"/>
          <w:sz w:val="24"/>
          <w:szCs w:val="24"/>
        </w:rPr>
        <w:t>typical</w:t>
      </w:r>
      <w:r>
        <w:rPr>
          <w:rFonts w:ascii="Times New Roman" w:hAnsi="Times New Roman"/>
          <w:sz w:val="24"/>
          <w:szCs w:val="24"/>
        </w:rPr>
        <w:t xml:space="preserve"> </w:t>
      </w:r>
      <w:r w:rsidRPr="00D2295F">
        <w:rPr>
          <w:rFonts w:ascii="Times New Roman" w:hAnsi="Times New Roman"/>
          <w:sz w:val="24"/>
          <w:szCs w:val="24"/>
        </w:rPr>
        <w:t>of other</w:t>
      </w:r>
      <w:r>
        <w:rPr>
          <w:rFonts w:ascii="Times New Roman" w:hAnsi="Times New Roman"/>
          <w:sz w:val="24"/>
          <w:szCs w:val="24"/>
        </w:rPr>
        <w:t xml:space="preserve"> </w:t>
      </w:r>
      <w:r w:rsidRPr="00D2295F">
        <w:rPr>
          <w:rFonts w:ascii="Times New Roman" w:hAnsi="Times New Roman"/>
          <w:sz w:val="24"/>
          <w:szCs w:val="24"/>
        </w:rPr>
        <w:t>class</w:t>
      </w:r>
      <w:r>
        <w:rPr>
          <w:rFonts w:ascii="Times New Roman" w:hAnsi="Times New Roman"/>
          <w:sz w:val="24"/>
          <w:szCs w:val="24"/>
        </w:rPr>
        <w:t xml:space="preserve"> </w:t>
      </w:r>
      <w:r w:rsidRPr="00D2295F">
        <w:rPr>
          <w:rFonts w:ascii="Times New Roman" w:hAnsi="Times New Roman"/>
          <w:sz w:val="24"/>
          <w:szCs w:val="24"/>
        </w:rPr>
        <w:t>members</w:t>
      </w:r>
      <w:r>
        <w:rPr>
          <w:rFonts w:ascii="Times New Roman" w:hAnsi="Times New Roman"/>
          <w:sz w:val="24"/>
          <w:szCs w:val="24"/>
        </w:rPr>
        <w:t xml:space="preserve"> </w:t>
      </w:r>
      <w:r w:rsidRPr="00D2295F">
        <w:rPr>
          <w:rFonts w:ascii="Times New Roman" w:hAnsi="Times New Roman"/>
          <w:sz w:val="24"/>
          <w:szCs w:val="24"/>
        </w:rPr>
        <w:t>who</w:t>
      </w:r>
      <w:r>
        <w:rPr>
          <w:rFonts w:ascii="Times New Roman" w:hAnsi="Times New Roman"/>
          <w:sz w:val="24"/>
          <w:szCs w:val="24"/>
        </w:rPr>
        <w:t xml:space="preserve"> </w:t>
      </w:r>
      <w:r w:rsidRPr="00D2295F">
        <w:rPr>
          <w:rFonts w:ascii="Times New Roman" w:hAnsi="Times New Roman"/>
          <w:sz w:val="24"/>
          <w:szCs w:val="24"/>
        </w:rPr>
        <w:t>did</w:t>
      </w:r>
      <w:r>
        <w:rPr>
          <w:rFonts w:ascii="Times New Roman" w:hAnsi="Times New Roman"/>
          <w:sz w:val="24"/>
          <w:szCs w:val="24"/>
        </w:rPr>
        <w:t xml:space="preserve"> </w:t>
      </w:r>
      <w:r w:rsidRPr="00D2295F">
        <w:rPr>
          <w:rFonts w:ascii="Times New Roman" w:hAnsi="Times New Roman"/>
          <w:sz w:val="24"/>
          <w:szCs w:val="24"/>
        </w:rPr>
        <w:t>not waive their entitlement</w:t>
      </w:r>
      <w:r>
        <w:rPr>
          <w:rFonts w:ascii="Times New Roman" w:hAnsi="Times New Roman"/>
          <w:sz w:val="24"/>
          <w:szCs w:val="24"/>
        </w:rPr>
        <w:t xml:space="preserve"> </w:t>
      </w:r>
      <w:r w:rsidRPr="00D2295F">
        <w:rPr>
          <w:rFonts w:ascii="Times New Roman" w:hAnsi="Times New Roman"/>
          <w:sz w:val="24"/>
          <w:szCs w:val="24"/>
        </w:rPr>
        <w:t>to</w:t>
      </w:r>
      <w:r>
        <w:rPr>
          <w:rFonts w:ascii="Times New Roman" w:hAnsi="Times New Roman"/>
          <w:sz w:val="24"/>
          <w:szCs w:val="24"/>
        </w:rPr>
        <w:t xml:space="preserve"> </w:t>
      </w:r>
      <w:r w:rsidRPr="00D2295F">
        <w:rPr>
          <w:rFonts w:ascii="Times New Roman" w:hAnsi="Times New Roman"/>
          <w:sz w:val="24"/>
          <w:szCs w:val="24"/>
        </w:rPr>
        <w:t>any</w:t>
      </w:r>
      <w:r>
        <w:rPr>
          <w:rFonts w:ascii="Times New Roman" w:hAnsi="Times New Roman"/>
          <w:sz w:val="24"/>
          <w:szCs w:val="24"/>
        </w:rPr>
        <w:t xml:space="preserve"> </w:t>
      </w:r>
      <w:r w:rsidRPr="00D2295F">
        <w:rPr>
          <w:rFonts w:ascii="Times New Roman" w:hAnsi="Times New Roman"/>
          <w:sz w:val="24"/>
          <w:szCs w:val="24"/>
        </w:rPr>
        <w:t>benefits</w:t>
      </w:r>
      <w:r>
        <w:rPr>
          <w:rFonts w:ascii="Times New Roman" w:hAnsi="Times New Roman"/>
          <w:sz w:val="24"/>
          <w:szCs w:val="24"/>
        </w:rPr>
        <w:t xml:space="preserve"> </w:t>
      </w:r>
      <w:r w:rsidRPr="00D2295F">
        <w:rPr>
          <w:rFonts w:ascii="Times New Roman" w:hAnsi="Times New Roman"/>
          <w:sz w:val="24"/>
          <w:szCs w:val="24"/>
        </w:rPr>
        <w:t>or those who</w:t>
      </w:r>
      <w:r>
        <w:rPr>
          <w:rFonts w:ascii="Times New Roman" w:hAnsi="Times New Roman"/>
          <w:sz w:val="24"/>
          <w:szCs w:val="24"/>
        </w:rPr>
        <w:t xml:space="preserve"> </w:t>
      </w:r>
      <w:r w:rsidRPr="00D2295F">
        <w:rPr>
          <w:rFonts w:ascii="Times New Roman" w:hAnsi="Times New Roman"/>
          <w:sz w:val="24"/>
          <w:szCs w:val="24"/>
        </w:rPr>
        <w:t>worked</w:t>
      </w:r>
      <w:r>
        <w:rPr>
          <w:rFonts w:ascii="Times New Roman" w:hAnsi="Times New Roman"/>
          <w:sz w:val="24"/>
          <w:szCs w:val="24"/>
        </w:rPr>
        <w:t xml:space="preserve"> </w:t>
      </w:r>
      <w:r w:rsidRPr="00D2295F">
        <w:rPr>
          <w:rFonts w:ascii="Times New Roman" w:hAnsi="Times New Roman"/>
          <w:sz w:val="24"/>
          <w:szCs w:val="24"/>
        </w:rPr>
        <w:t>less</w:t>
      </w:r>
      <w:r>
        <w:rPr>
          <w:rFonts w:ascii="Times New Roman" w:hAnsi="Times New Roman"/>
          <w:sz w:val="24"/>
          <w:szCs w:val="24"/>
        </w:rPr>
        <w:t xml:space="preserve"> </w:t>
      </w:r>
      <w:r w:rsidRPr="00D2295F">
        <w:rPr>
          <w:rFonts w:ascii="Times New Roman" w:hAnsi="Times New Roman"/>
          <w:sz w:val="24"/>
          <w:szCs w:val="24"/>
        </w:rPr>
        <w:t>than</w:t>
      </w:r>
      <w:r>
        <w:rPr>
          <w:rFonts w:ascii="Times New Roman" w:hAnsi="Times New Roman"/>
          <w:sz w:val="24"/>
          <w:szCs w:val="24"/>
        </w:rPr>
        <w:t xml:space="preserve"> </w:t>
      </w:r>
      <w:r w:rsidRPr="00D2295F">
        <w:rPr>
          <w:rFonts w:ascii="Times New Roman" w:hAnsi="Times New Roman"/>
          <w:sz w:val="24"/>
          <w:szCs w:val="24"/>
        </w:rPr>
        <w:t>2,080</w:t>
      </w:r>
      <w:r>
        <w:rPr>
          <w:rFonts w:ascii="Times New Roman" w:hAnsi="Times New Roman"/>
          <w:sz w:val="24"/>
          <w:szCs w:val="24"/>
        </w:rPr>
        <w:t xml:space="preserve"> </w:t>
      </w:r>
      <w:r w:rsidRPr="00D2295F">
        <w:rPr>
          <w:rFonts w:ascii="Times New Roman" w:hAnsi="Times New Roman"/>
          <w:sz w:val="24"/>
          <w:szCs w:val="24"/>
        </w:rPr>
        <w:t>hours</w:t>
      </w:r>
      <w:r>
        <w:rPr>
          <w:rFonts w:ascii="Times New Roman" w:hAnsi="Times New Roman"/>
          <w:sz w:val="24"/>
          <w:szCs w:val="24"/>
        </w:rPr>
        <w:t xml:space="preserve"> </w:t>
      </w:r>
      <w:r w:rsidRPr="00D2295F">
        <w:rPr>
          <w:rFonts w:ascii="Times New Roman" w:hAnsi="Times New Roman"/>
          <w:sz w:val="24"/>
          <w:szCs w:val="24"/>
        </w:rPr>
        <w:t xml:space="preserve">per year. However, </w:t>
      </w:r>
      <w:proofErr w:type="gramStart"/>
      <w:r w:rsidRPr="00D2295F">
        <w:rPr>
          <w:rFonts w:ascii="Times New Roman" w:hAnsi="Times New Roman"/>
          <w:sz w:val="24"/>
          <w:szCs w:val="24"/>
        </w:rPr>
        <w:t>it</w:t>
      </w:r>
      <w:r>
        <w:rPr>
          <w:rFonts w:ascii="Times New Roman" w:hAnsi="Times New Roman"/>
          <w:sz w:val="24"/>
          <w:szCs w:val="24"/>
        </w:rPr>
        <w:t xml:space="preserve"> </w:t>
      </w:r>
      <w:r w:rsidRPr="00D2295F">
        <w:rPr>
          <w:rFonts w:ascii="Times New Roman" w:hAnsi="Times New Roman"/>
          <w:sz w:val="24"/>
          <w:szCs w:val="24"/>
        </w:rPr>
        <w:t>is</w:t>
      </w:r>
      <w:r>
        <w:rPr>
          <w:rFonts w:ascii="Times New Roman" w:hAnsi="Times New Roman"/>
          <w:sz w:val="24"/>
          <w:szCs w:val="24"/>
        </w:rPr>
        <w:t xml:space="preserve"> </w:t>
      </w:r>
      <w:r w:rsidRPr="00D2295F">
        <w:rPr>
          <w:rFonts w:ascii="Times New Roman" w:hAnsi="Times New Roman"/>
          <w:sz w:val="24"/>
          <w:szCs w:val="24"/>
        </w:rPr>
        <w:t>clear</w:t>
      </w:r>
      <w:r>
        <w:rPr>
          <w:rFonts w:ascii="Times New Roman" w:hAnsi="Times New Roman"/>
          <w:sz w:val="24"/>
          <w:szCs w:val="24"/>
        </w:rPr>
        <w:t xml:space="preserve"> </w:t>
      </w:r>
      <w:r w:rsidRPr="00D2295F">
        <w:rPr>
          <w:rFonts w:ascii="Times New Roman" w:hAnsi="Times New Roman"/>
          <w:sz w:val="24"/>
          <w:szCs w:val="24"/>
        </w:rPr>
        <w:t>that</w:t>
      </w:r>
      <w:r>
        <w:rPr>
          <w:rFonts w:ascii="Times New Roman" w:hAnsi="Times New Roman"/>
          <w:sz w:val="24"/>
          <w:szCs w:val="24"/>
        </w:rPr>
        <w:t xml:space="preserve"> </w:t>
      </w:r>
      <w:r w:rsidRPr="00D2295F">
        <w:rPr>
          <w:rFonts w:ascii="Times New Roman" w:hAnsi="Times New Roman"/>
          <w:sz w:val="24"/>
          <w:szCs w:val="24"/>
        </w:rPr>
        <w:t>Appellees’</w:t>
      </w:r>
      <w:proofErr w:type="gramEnd"/>
      <w:r>
        <w:rPr>
          <w:rFonts w:ascii="Times New Roman" w:hAnsi="Times New Roman"/>
          <w:sz w:val="24"/>
          <w:szCs w:val="24"/>
        </w:rPr>
        <w:t xml:space="preserve"> </w:t>
      </w:r>
      <w:r w:rsidRPr="00D2295F">
        <w:rPr>
          <w:rFonts w:ascii="Times New Roman" w:hAnsi="Times New Roman"/>
          <w:sz w:val="24"/>
          <w:szCs w:val="24"/>
        </w:rPr>
        <w:t>breach</w:t>
      </w:r>
      <w:r>
        <w:rPr>
          <w:rFonts w:ascii="Times New Roman" w:hAnsi="Times New Roman"/>
          <w:sz w:val="24"/>
          <w:szCs w:val="24"/>
        </w:rPr>
        <w:t xml:space="preserve"> </w:t>
      </w:r>
      <w:r w:rsidRPr="00D2295F">
        <w:rPr>
          <w:rFonts w:ascii="Times New Roman" w:hAnsi="Times New Roman"/>
          <w:sz w:val="24"/>
          <w:szCs w:val="24"/>
        </w:rPr>
        <w:t>of</w:t>
      </w:r>
      <w:r>
        <w:rPr>
          <w:rFonts w:ascii="Times New Roman" w:hAnsi="Times New Roman"/>
          <w:sz w:val="24"/>
          <w:szCs w:val="24"/>
        </w:rPr>
        <w:t xml:space="preserve"> </w:t>
      </w:r>
      <w:r w:rsidRPr="00D2295F">
        <w:rPr>
          <w:rFonts w:ascii="Times New Roman" w:hAnsi="Times New Roman"/>
          <w:sz w:val="24"/>
          <w:szCs w:val="24"/>
        </w:rPr>
        <w:t>contract</w:t>
      </w:r>
      <w:r>
        <w:rPr>
          <w:rFonts w:ascii="Times New Roman" w:hAnsi="Times New Roman"/>
          <w:sz w:val="24"/>
          <w:szCs w:val="24"/>
        </w:rPr>
        <w:t xml:space="preserve"> </w:t>
      </w:r>
      <w:r w:rsidRPr="00D2295F">
        <w:rPr>
          <w:rFonts w:ascii="Times New Roman" w:hAnsi="Times New Roman"/>
          <w:sz w:val="24"/>
          <w:szCs w:val="24"/>
        </w:rPr>
        <w:t>claims, arising from</w:t>
      </w:r>
      <w:r>
        <w:rPr>
          <w:rFonts w:ascii="Times New Roman" w:hAnsi="Times New Roman"/>
          <w:sz w:val="24"/>
          <w:szCs w:val="24"/>
        </w:rPr>
        <w:t xml:space="preserve"> </w:t>
      </w:r>
      <w:r w:rsidRPr="00D2295F">
        <w:rPr>
          <w:rFonts w:ascii="Times New Roman" w:hAnsi="Times New Roman"/>
          <w:sz w:val="24"/>
          <w:szCs w:val="24"/>
        </w:rPr>
        <w:t>the City’s</w:t>
      </w:r>
      <w:r>
        <w:rPr>
          <w:rFonts w:ascii="Times New Roman" w:hAnsi="Times New Roman"/>
          <w:sz w:val="24"/>
          <w:szCs w:val="24"/>
        </w:rPr>
        <w:t xml:space="preserve"> </w:t>
      </w:r>
      <w:r w:rsidRPr="00D2295F">
        <w:rPr>
          <w:rFonts w:ascii="Times New Roman" w:hAnsi="Times New Roman"/>
          <w:sz w:val="24"/>
          <w:szCs w:val="24"/>
        </w:rPr>
        <w:t>denial</w:t>
      </w:r>
      <w:r>
        <w:rPr>
          <w:rFonts w:ascii="Times New Roman" w:hAnsi="Times New Roman"/>
          <w:sz w:val="24"/>
          <w:szCs w:val="24"/>
        </w:rPr>
        <w:t xml:space="preserve"> </w:t>
      </w:r>
      <w:r w:rsidRPr="00D2295F">
        <w:rPr>
          <w:rFonts w:ascii="Times New Roman" w:hAnsi="Times New Roman"/>
          <w:sz w:val="24"/>
          <w:szCs w:val="24"/>
        </w:rPr>
        <w:t>of full-time employment</w:t>
      </w:r>
      <w:r>
        <w:rPr>
          <w:rFonts w:ascii="Times New Roman" w:hAnsi="Times New Roman"/>
          <w:sz w:val="24"/>
          <w:szCs w:val="24"/>
        </w:rPr>
        <w:t xml:space="preserve"> </w:t>
      </w:r>
      <w:r w:rsidRPr="00D2295F">
        <w:rPr>
          <w:rFonts w:ascii="Times New Roman" w:hAnsi="Times New Roman"/>
          <w:sz w:val="24"/>
          <w:szCs w:val="24"/>
        </w:rPr>
        <w:t>benefits, are</w:t>
      </w:r>
      <w:r>
        <w:rPr>
          <w:rFonts w:ascii="Times New Roman" w:hAnsi="Times New Roman"/>
          <w:sz w:val="24"/>
          <w:szCs w:val="24"/>
        </w:rPr>
        <w:t xml:space="preserve"> </w:t>
      </w:r>
      <w:r w:rsidRPr="00D2295F">
        <w:rPr>
          <w:rFonts w:ascii="Times New Roman" w:hAnsi="Times New Roman"/>
          <w:sz w:val="24"/>
          <w:szCs w:val="24"/>
        </w:rPr>
        <w:t>virtually</w:t>
      </w:r>
      <w:r>
        <w:rPr>
          <w:rFonts w:ascii="Times New Roman" w:hAnsi="Times New Roman"/>
          <w:sz w:val="24"/>
          <w:szCs w:val="24"/>
        </w:rPr>
        <w:t xml:space="preserve"> </w:t>
      </w:r>
      <w:r w:rsidRPr="00D2295F">
        <w:rPr>
          <w:rFonts w:ascii="Times New Roman" w:hAnsi="Times New Roman"/>
          <w:sz w:val="24"/>
          <w:szCs w:val="24"/>
        </w:rPr>
        <w:t>identical</w:t>
      </w:r>
      <w:r>
        <w:rPr>
          <w:rFonts w:ascii="Times New Roman" w:hAnsi="Times New Roman"/>
          <w:sz w:val="24"/>
          <w:szCs w:val="24"/>
        </w:rPr>
        <w:t xml:space="preserve"> </w:t>
      </w:r>
      <w:r w:rsidRPr="00D2295F">
        <w:rPr>
          <w:rFonts w:ascii="Times New Roman" w:hAnsi="Times New Roman"/>
          <w:sz w:val="24"/>
          <w:szCs w:val="24"/>
        </w:rPr>
        <w:t>to</w:t>
      </w:r>
      <w:r>
        <w:rPr>
          <w:rFonts w:ascii="Times New Roman" w:hAnsi="Times New Roman"/>
          <w:sz w:val="24"/>
          <w:szCs w:val="24"/>
        </w:rPr>
        <w:t xml:space="preserve"> </w:t>
      </w:r>
      <w:r w:rsidRPr="00D2295F">
        <w:rPr>
          <w:rFonts w:ascii="Times New Roman" w:hAnsi="Times New Roman"/>
          <w:sz w:val="24"/>
          <w:szCs w:val="24"/>
        </w:rPr>
        <w:t>the claims</w:t>
      </w:r>
      <w:r>
        <w:rPr>
          <w:rFonts w:ascii="Times New Roman" w:hAnsi="Times New Roman"/>
          <w:sz w:val="24"/>
          <w:szCs w:val="24"/>
        </w:rPr>
        <w:t xml:space="preserve"> </w:t>
      </w:r>
      <w:r w:rsidRPr="00D2295F">
        <w:rPr>
          <w:rFonts w:ascii="Times New Roman" w:hAnsi="Times New Roman"/>
          <w:sz w:val="24"/>
          <w:szCs w:val="24"/>
        </w:rPr>
        <w:t>of each</w:t>
      </w:r>
      <w:r>
        <w:rPr>
          <w:rFonts w:ascii="Times New Roman" w:hAnsi="Times New Roman"/>
          <w:sz w:val="24"/>
          <w:szCs w:val="24"/>
        </w:rPr>
        <w:t xml:space="preserve"> </w:t>
      </w:r>
      <w:r w:rsidRPr="00D2295F">
        <w:rPr>
          <w:rFonts w:ascii="Times New Roman" w:hAnsi="Times New Roman"/>
          <w:sz w:val="24"/>
          <w:szCs w:val="24"/>
        </w:rPr>
        <w:t>proposed</w:t>
      </w:r>
      <w:r>
        <w:rPr>
          <w:rFonts w:ascii="Times New Roman" w:hAnsi="Times New Roman"/>
          <w:sz w:val="24"/>
          <w:szCs w:val="24"/>
        </w:rPr>
        <w:t xml:space="preserve"> </w:t>
      </w:r>
      <w:r w:rsidRPr="00D2295F">
        <w:rPr>
          <w:rFonts w:ascii="Times New Roman" w:hAnsi="Times New Roman"/>
          <w:sz w:val="24"/>
          <w:szCs w:val="24"/>
        </w:rPr>
        <w:t>class</w:t>
      </w:r>
      <w:r>
        <w:rPr>
          <w:rFonts w:ascii="Times New Roman" w:hAnsi="Times New Roman"/>
          <w:sz w:val="24"/>
          <w:szCs w:val="24"/>
        </w:rPr>
        <w:t xml:space="preserve"> </w:t>
      </w:r>
      <w:r w:rsidRPr="00D2295F">
        <w:rPr>
          <w:rFonts w:ascii="Times New Roman" w:hAnsi="Times New Roman"/>
          <w:sz w:val="24"/>
          <w:szCs w:val="24"/>
        </w:rPr>
        <w:t xml:space="preserve">member. </w:t>
      </w:r>
      <w:r>
        <w:rPr>
          <w:rFonts w:ascii="Times New Roman" w:hAnsi="Times New Roman"/>
          <w:sz w:val="24"/>
          <w:szCs w:val="24"/>
        </w:rPr>
        <w:t xml:space="preserve"> *** </w:t>
      </w:r>
      <w:r w:rsidRPr="00D2295F">
        <w:rPr>
          <w:rFonts w:ascii="Times New Roman" w:hAnsi="Times New Roman"/>
          <w:sz w:val="24"/>
          <w:szCs w:val="24"/>
        </w:rPr>
        <w:t xml:space="preserve">The </w:t>
      </w:r>
      <w:proofErr w:type="gramStart"/>
      <w:r w:rsidRPr="00D2295F">
        <w:rPr>
          <w:rFonts w:ascii="Times New Roman" w:hAnsi="Times New Roman"/>
          <w:sz w:val="24"/>
          <w:szCs w:val="24"/>
        </w:rPr>
        <w:t>City</w:t>
      </w:r>
      <w:proofErr w:type="gramEnd"/>
      <w:r w:rsidRPr="00D2295F">
        <w:rPr>
          <w:rFonts w:ascii="Times New Roman" w:hAnsi="Times New Roman"/>
          <w:sz w:val="24"/>
          <w:szCs w:val="24"/>
        </w:rPr>
        <w:t xml:space="preserve"> argued</w:t>
      </w:r>
      <w:r>
        <w:rPr>
          <w:rFonts w:ascii="Times New Roman" w:hAnsi="Times New Roman"/>
          <w:sz w:val="24"/>
          <w:szCs w:val="24"/>
        </w:rPr>
        <w:t xml:space="preserve"> </w:t>
      </w:r>
      <w:r w:rsidRPr="00D2295F">
        <w:rPr>
          <w:rFonts w:ascii="Times New Roman" w:hAnsi="Times New Roman"/>
          <w:sz w:val="24"/>
          <w:szCs w:val="24"/>
        </w:rPr>
        <w:t>that</w:t>
      </w:r>
      <w:r>
        <w:rPr>
          <w:rFonts w:ascii="Times New Roman" w:hAnsi="Times New Roman"/>
          <w:sz w:val="24"/>
          <w:szCs w:val="24"/>
        </w:rPr>
        <w:t xml:space="preserve"> </w:t>
      </w:r>
      <w:proofErr w:type="gramStart"/>
      <w:r w:rsidRPr="00D2295F">
        <w:rPr>
          <w:rFonts w:ascii="Times New Roman" w:hAnsi="Times New Roman"/>
          <w:sz w:val="24"/>
          <w:szCs w:val="24"/>
        </w:rPr>
        <w:t>in</w:t>
      </w:r>
      <w:r>
        <w:rPr>
          <w:rFonts w:ascii="Times New Roman" w:hAnsi="Times New Roman"/>
          <w:sz w:val="24"/>
          <w:szCs w:val="24"/>
        </w:rPr>
        <w:t xml:space="preserve"> </w:t>
      </w:r>
      <w:r w:rsidRPr="00D2295F">
        <w:rPr>
          <w:rFonts w:ascii="Times New Roman" w:hAnsi="Times New Roman"/>
          <w:sz w:val="24"/>
          <w:szCs w:val="24"/>
        </w:rPr>
        <w:t>order to</w:t>
      </w:r>
      <w:proofErr w:type="gramEnd"/>
      <w:r>
        <w:rPr>
          <w:rFonts w:ascii="Times New Roman" w:hAnsi="Times New Roman"/>
          <w:sz w:val="24"/>
          <w:szCs w:val="24"/>
        </w:rPr>
        <w:t xml:space="preserve"> </w:t>
      </w:r>
      <w:r w:rsidRPr="00D2295F">
        <w:rPr>
          <w:rFonts w:ascii="Times New Roman" w:hAnsi="Times New Roman"/>
          <w:sz w:val="24"/>
          <w:szCs w:val="24"/>
        </w:rPr>
        <w:t>be considered</w:t>
      </w:r>
      <w:r>
        <w:rPr>
          <w:rFonts w:ascii="Times New Roman" w:hAnsi="Times New Roman"/>
          <w:sz w:val="24"/>
          <w:szCs w:val="24"/>
        </w:rPr>
        <w:t xml:space="preserve"> </w:t>
      </w:r>
      <w:r w:rsidRPr="00D2295F">
        <w:rPr>
          <w:rFonts w:ascii="Times New Roman" w:hAnsi="Times New Roman"/>
          <w:sz w:val="24"/>
          <w:szCs w:val="24"/>
        </w:rPr>
        <w:t>a full-time employee, the</w:t>
      </w:r>
      <w:r>
        <w:rPr>
          <w:rFonts w:ascii="Times New Roman" w:hAnsi="Times New Roman"/>
          <w:sz w:val="24"/>
          <w:szCs w:val="24"/>
        </w:rPr>
        <w:t xml:space="preserve"> </w:t>
      </w:r>
      <w:r w:rsidRPr="00D2295F">
        <w:rPr>
          <w:rFonts w:ascii="Times New Roman" w:hAnsi="Times New Roman"/>
          <w:sz w:val="24"/>
          <w:szCs w:val="24"/>
        </w:rPr>
        <w:t>employee should</w:t>
      </w:r>
      <w:r>
        <w:rPr>
          <w:rFonts w:ascii="Times New Roman" w:hAnsi="Times New Roman"/>
          <w:sz w:val="24"/>
          <w:szCs w:val="24"/>
        </w:rPr>
        <w:t xml:space="preserve"> </w:t>
      </w:r>
      <w:r w:rsidRPr="00D2295F">
        <w:rPr>
          <w:rFonts w:ascii="Times New Roman" w:hAnsi="Times New Roman"/>
          <w:sz w:val="24"/>
          <w:szCs w:val="24"/>
        </w:rPr>
        <w:t>have worked</w:t>
      </w:r>
      <w:r>
        <w:rPr>
          <w:rFonts w:ascii="Times New Roman" w:hAnsi="Times New Roman"/>
          <w:sz w:val="24"/>
          <w:szCs w:val="24"/>
        </w:rPr>
        <w:t xml:space="preserve"> </w:t>
      </w:r>
      <w:r w:rsidRPr="00D2295F">
        <w:rPr>
          <w:rFonts w:ascii="Times New Roman" w:hAnsi="Times New Roman"/>
          <w:sz w:val="24"/>
          <w:szCs w:val="24"/>
        </w:rPr>
        <w:t>2,080</w:t>
      </w:r>
      <w:r>
        <w:rPr>
          <w:rFonts w:ascii="Times New Roman" w:hAnsi="Times New Roman"/>
          <w:sz w:val="24"/>
          <w:szCs w:val="24"/>
        </w:rPr>
        <w:t xml:space="preserve"> </w:t>
      </w:r>
      <w:r w:rsidRPr="00D2295F">
        <w:rPr>
          <w:rFonts w:ascii="Times New Roman" w:hAnsi="Times New Roman"/>
          <w:sz w:val="24"/>
          <w:szCs w:val="24"/>
        </w:rPr>
        <w:t>hours</w:t>
      </w:r>
      <w:r>
        <w:rPr>
          <w:rFonts w:ascii="Times New Roman" w:hAnsi="Times New Roman"/>
          <w:sz w:val="24"/>
          <w:szCs w:val="24"/>
        </w:rPr>
        <w:t xml:space="preserve"> </w:t>
      </w:r>
      <w:r w:rsidRPr="00D2295F">
        <w:rPr>
          <w:rFonts w:ascii="Times New Roman" w:hAnsi="Times New Roman"/>
          <w:sz w:val="24"/>
          <w:szCs w:val="24"/>
        </w:rPr>
        <w:t>each</w:t>
      </w:r>
      <w:r>
        <w:rPr>
          <w:rFonts w:ascii="Times New Roman" w:hAnsi="Times New Roman"/>
          <w:sz w:val="24"/>
          <w:szCs w:val="24"/>
        </w:rPr>
        <w:t xml:space="preserve"> </w:t>
      </w:r>
      <w:r w:rsidRPr="00D2295F">
        <w:rPr>
          <w:rFonts w:ascii="Times New Roman" w:hAnsi="Times New Roman"/>
          <w:sz w:val="24"/>
          <w:szCs w:val="24"/>
        </w:rPr>
        <w:t>year (a number that would</w:t>
      </w:r>
      <w:r>
        <w:rPr>
          <w:rFonts w:ascii="Times New Roman" w:hAnsi="Times New Roman"/>
          <w:sz w:val="24"/>
          <w:szCs w:val="24"/>
        </w:rPr>
        <w:t xml:space="preserve"> </w:t>
      </w:r>
      <w:r w:rsidRPr="00D2295F">
        <w:rPr>
          <w:rFonts w:ascii="Times New Roman" w:hAnsi="Times New Roman"/>
          <w:sz w:val="24"/>
          <w:szCs w:val="24"/>
        </w:rPr>
        <w:t>require</w:t>
      </w:r>
      <w:r>
        <w:rPr>
          <w:rFonts w:ascii="Times New Roman" w:hAnsi="Times New Roman"/>
          <w:sz w:val="24"/>
          <w:szCs w:val="24"/>
        </w:rPr>
        <w:t xml:space="preserve"> </w:t>
      </w:r>
      <w:r w:rsidRPr="00D2295F">
        <w:rPr>
          <w:rFonts w:ascii="Times New Roman" w:hAnsi="Times New Roman"/>
          <w:sz w:val="24"/>
          <w:szCs w:val="24"/>
        </w:rPr>
        <w:t>the employee to</w:t>
      </w:r>
      <w:r>
        <w:rPr>
          <w:rFonts w:ascii="Times New Roman" w:hAnsi="Times New Roman"/>
          <w:sz w:val="24"/>
          <w:szCs w:val="24"/>
        </w:rPr>
        <w:t xml:space="preserve"> </w:t>
      </w:r>
      <w:r w:rsidRPr="00D2295F">
        <w:rPr>
          <w:rFonts w:ascii="Times New Roman" w:hAnsi="Times New Roman"/>
          <w:sz w:val="24"/>
          <w:szCs w:val="24"/>
        </w:rPr>
        <w:t>work</w:t>
      </w:r>
      <w:r>
        <w:rPr>
          <w:rFonts w:ascii="Times New Roman" w:hAnsi="Times New Roman"/>
          <w:sz w:val="24"/>
          <w:szCs w:val="24"/>
        </w:rPr>
        <w:t xml:space="preserve"> </w:t>
      </w:r>
      <w:r w:rsidRPr="00D2295F">
        <w:rPr>
          <w:rFonts w:ascii="Times New Roman" w:hAnsi="Times New Roman"/>
          <w:sz w:val="24"/>
          <w:szCs w:val="24"/>
        </w:rPr>
        <w:t>40hours</w:t>
      </w:r>
      <w:r>
        <w:rPr>
          <w:rFonts w:ascii="Times New Roman" w:hAnsi="Times New Roman"/>
          <w:sz w:val="24"/>
          <w:szCs w:val="24"/>
        </w:rPr>
        <w:t xml:space="preserve"> </w:t>
      </w:r>
      <w:r w:rsidRPr="00D2295F">
        <w:rPr>
          <w:rFonts w:ascii="Times New Roman" w:hAnsi="Times New Roman"/>
          <w:sz w:val="24"/>
          <w:szCs w:val="24"/>
        </w:rPr>
        <w:t>per week</w:t>
      </w:r>
      <w:r>
        <w:rPr>
          <w:rFonts w:ascii="Times New Roman" w:hAnsi="Times New Roman"/>
          <w:sz w:val="24"/>
          <w:szCs w:val="24"/>
        </w:rPr>
        <w:t xml:space="preserve"> </w:t>
      </w:r>
      <w:r w:rsidRPr="00D2295F">
        <w:rPr>
          <w:rFonts w:ascii="Times New Roman" w:hAnsi="Times New Roman"/>
          <w:sz w:val="24"/>
          <w:szCs w:val="24"/>
        </w:rPr>
        <w:t>for each</w:t>
      </w:r>
      <w:r>
        <w:rPr>
          <w:rFonts w:ascii="Times New Roman" w:hAnsi="Times New Roman"/>
          <w:sz w:val="24"/>
          <w:szCs w:val="24"/>
        </w:rPr>
        <w:t xml:space="preserve"> </w:t>
      </w:r>
      <w:r w:rsidRPr="00D2295F">
        <w:rPr>
          <w:rFonts w:ascii="Times New Roman" w:hAnsi="Times New Roman"/>
          <w:sz w:val="24"/>
          <w:szCs w:val="24"/>
        </w:rPr>
        <w:t>of the 52</w:t>
      </w:r>
      <w:r>
        <w:rPr>
          <w:rFonts w:ascii="Times New Roman" w:hAnsi="Times New Roman"/>
          <w:sz w:val="24"/>
          <w:szCs w:val="24"/>
        </w:rPr>
        <w:t xml:space="preserve"> </w:t>
      </w:r>
      <w:r w:rsidRPr="00D2295F">
        <w:rPr>
          <w:rFonts w:ascii="Times New Roman" w:hAnsi="Times New Roman"/>
          <w:sz w:val="24"/>
          <w:szCs w:val="24"/>
        </w:rPr>
        <w:t>weeks</w:t>
      </w:r>
      <w:r>
        <w:rPr>
          <w:rFonts w:ascii="Times New Roman" w:hAnsi="Times New Roman"/>
          <w:sz w:val="24"/>
          <w:szCs w:val="24"/>
        </w:rPr>
        <w:t xml:space="preserve"> </w:t>
      </w:r>
      <w:r w:rsidRPr="00D2295F">
        <w:rPr>
          <w:rFonts w:ascii="Times New Roman" w:hAnsi="Times New Roman"/>
          <w:sz w:val="24"/>
          <w:szCs w:val="24"/>
        </w:rPr>
        <w:t>per year). However,</w:t>
      </w:r>
      <w:r>
        <w:rPr>
          <w:rFonts w:ascii="Times New Roman" w:hAnsi="Times New Roman"/>
          <w:sz w:val="24"/>
          <w:szCs w:val="24"/>
        </w:rPr>
        <w:t xml:space="preserve"> </w:t>
      </w:r>
      <w:r w:rsidRPr="00D2295F">
        <w:rPr>
          <w:rFonts w:ascii="Times New Roman" w:hAnsi="Times New Roman"/>
          <w:sz w:val="24"/>
          <w:szCs w:val="24"/>
        </w:rPr>
        <w:t>even</w:t>
      </w:r>
      <w:r>
        <w:rPr>
          <w:rFonts w:ascii="Times New Roman" w:hAnsi="Times New Roman"/>
          <w:sz w:val="24"/>
          <w:szCs w:val="24"/>
        </w:rPr>
        <w:t xml:space="preserve"> </w:t>
      </w:r>
      <w:r w:rsidRPr="00D2295F">
        <w:rPr>
          <w:rFonts w:ascii="Times New Roman" w:hAnsi="Times New Roman"/>
          <w:sz w:val="24"/>
          <w:szCs w:val="24"/>
        </w:rPr>
        <w:t>under the City’s</w:t>
      </w:r>
      <w:r>
        <w:rPr>
          <w:rFonts w:ascii="Times New Roman" w:hAnsi="Times New Roman"/>
          <w:sz w:val="24"/>
          <w:szCs w:val="24"/>
        </w:rPr>
        <w:t xml:space="preserve"> </w:t>
      </w:r>
      <w:r w:rsidRPr="00D2295F">
        <w:rPr>
          <w:rFonts w:ascii="Times New Roman" w:hAnsi="Times New Roman"/>
          <w:sz w:val="24"/>
          <w:szCs w:val="24"/>
        </w:rPr>
        <w:t>proposed</w:t>
      </w:r>
      <w:r>
        <w:rPr>
          <w:rFonts w:ascii="Times New Roman" w:hAnsi="Times New Roman"/>
          <w:sz w:val="24"/>
          <w:szCs w:val="24"/>
        </w:rPr>
        <w:t xml:space="preserve"> </w:t>
      </w:r>
      <w:r w:rsidRPr="00D2295F">
        <w:rPr>
          <w:rFonts w:ascii="Times New Roman" w:hAnsi="Times New Roman"/>
          <w:sz w:val="24"/>
          <w:szCs w:val="24"/>
        </w:rPr>
        <w:t>definition, the Appellees</w:t>
      </w:r>
      <w:r>
        <w:rPr>
          <w:rFonts w:ascii="Times New Roman" w:hAnsi="Times New Roman"/>
          <w:sz w:val="24"/>
          <w:szCs w:val="24"/>
        </w:rPr>
        <w:t xml:space="preserve"> </w:t>
      </w:r>
      <w:r w:rsidRPr="00D2295F">
        <w:rPr>
          <w:rFonts w:ascii="Times New Roman" w:hAnsi="Times New Roman"/>
          <w:sz w:val="24"/>
          <w:szCs w:val="24"/>
        </w:rPr>
        <w:t>maintained</w:t>
      </w:r>
      <w:r>
        <w:rPr>
          <w:rFonts w:ascii="Times New Roman" w:hAnsi="Times New Roman"/>
          <w:sz w:val="24"/>
          <w:szCs w:val="24"/>
        </w:rPr>
        <w:t xml:space="preserve"> </w:t>
      </w:r>
      <w:r w:rsidRPr="00D2295F">
        <w:rPr>
          <w:rFonts w:ascii="Times New Roman" w:hAnsi="Times New Roman"/>
          <w:sz w:val="24"/>
          <w:szCs w:val="24"/>
        </w:rPr>
        <w:t>that</w:t>
      </w:r>
      <w:r>
        <w:rPr>
          <w:rFonts w:ascii="Times New Roman" w:hAnsi="Times New Roman"/>
          <w:sz w:val="24"/>
          <w:szCs w:val="24"/>
        </w:rPr>
        <w:t xml:space="preserve"> </w:t>
      </w:r>
      <w:r w:rsidRPr="00D2295F">
        <w:rPr>
          <w:rFonts w:ascii="Times New Roman" w:hAnsi="Times New Roman"/>
          <w:sz w:val="24"/>
          <w:szCs w:val="24"/>
        </w:rPr>
        <w:t>the class</w:t>
      </w:r>
      <w:r>
        <w:rPr>
          <w:rFonts w:ascii="Times New Roman" w:hAnsi="Times New Roman"/>
          <w:sz w:val="24"/>
          <w:szCs w:val="24"/>
        </w:rPr>
        <w:t xml:space="preserve"> </w:t>
      </w:r>
      <w:r w:rsidRPr="00D2295F">
        <w:rPr>
          <w:rFonts w:ascii="Times New Roman" w:hAnsi="Times New Roman"/>
          <w:sz w:val="24"/>
          <w:szCs w:val="24"/>
        </w:rPr>
        <w:t>would include 86 members.</w:t>
      </w:r>
      <w:r>
        <w:rPr>
          <w:rFonts w:ascii="Times New Roman" w:hAnsi="Times New Roman"/>
          <w:sz w:val="24"/>
          <w:szCs w:val="24"/>
        </w:rPr>
        <w:t>”</w:t>
      </w:r>
      <w:r w:rsidR="00E75F94">
        <w:rPr>
          <w:rFonts w:ascii="Times New Roman" w:hAnsi="Times New Roman"/>
          <w:sz w:val="24"/>
          <w:szCs w:val="24"/>
        </w:rPr>
        <w:t xml:space="preserve"> </w:t>
      </w:r>
      <w:hyperlink r:id="rId1858" w:history="1">
        <w:r w:rsidR="00E75F94" w:rsidRPr="00DB571D">
          <w:rPr>
            <w:rStyle w:val="Hyperlink"/>
            <w:rFonts w:ascii="Times New Roman" w:eastAsia="Times New Roman" w:hAnsi="Times New Roman"/>
            <w:sz w:val="24"/>
            <w:szCs w:val="24"/>
          </w:rPr>
          <w:t>https://cases.justia.com/georgia/court-of-appeals/2019-a19a1310.pdf?ts=1568657244</w:t>
        </w:r>
      </w:hyperlink>
      <w:bookmarkEnd w:id="407"/>
    </w:p>
    <w:p w14:paraId="3C915AFB" w14:textId="77777777" w:rsidR="00A16B10" w:rsidRDefault="00C80464" w:rsidP="00C80464">
      <w:pPr>
        <w:pStyle w:val="NoSpacing"/>
        <w:rPr>
          <w:rFonts w:ascii="Times New Roman" w:hAnsi="Times New Roman"/>
          <w:b/>
          <w:bCs/>
          <w:sz w:val="24"/>
          <w:szCs w:val="24"/>
        </w:rPr>
      </w:pPr>
      <w:bookmarkStart w:id="408" w:name="_Hlk40513525"/>
      <w:r>
        <w:rPr>
          <w:rFonts w:ascii="Times New Roman" w:hAnsi="Times New Roman"/>
          <w:b/>
          <w:bCs/>
          <w:sz w:val="24"/>
          <w:szCs w:val="24"/>
        </w:rPr>
        <w:t xml:space="preserve">Legal Lessons Learned: Class actions are an effective method of resolving a matter affecting numerous class members. This case will now proceed to trial, unless settled by the parties.  </w:t>
      </w:r>
    </w:p>
    <w:p w14:paraId="3E0AFB0D" w14:textId="0AF730F0" w:rsidR="00C80464" w:rsidRPr="00A16B10" w:rsidRDefault="00A16B10" w:rsidP="00C80464">
      <w:pPr>
        <w:pStyle w:val="NoSpacing"/>
        <w:rPr>
          <w:rFonts w:ascii="Times New Roman" w:hAnsi="Times New Roman"/>
          <w:sz w:val="24"/>
          <w:szCs w:val="24"/>
        </w:rPr>
      </w:pPr>
      <w:r w:rsidRPr="00A16B10">
        <w:rPr>
          <w:rFonts w:ascii="Times New Roman" w:hAnsi="Times New Roman"/>
          <w:sz w:val="24"/>
          <w:szCs w:val="24"/>
        </w:rPr>
        <w:t xml:space="preserve">Note: </w:t>
      </w:r>
      <w:r w:rsidR="00C80464" w:rsidRPr="00A16B10">
        <w:rPr>
          <w:rFonts w:ascii="Times New Roman" w:hAnsi="Times New Roman"/>
          <w:sz w:val="24"/>
          <w:szCs w:val="24"/>
        </w:rPr>
        <w:t>In Ohio, see Ohio Revised Code</w:t>
      </w:r>
      <w:r>
        <w:rPr>
          <w:rFonts w:ascii="Times New Roman" w:hAnsi="Times New Roman"/>
          <w:sz w:val="24"/>
          <w:szCs w:val="24"/>
        </w:rPr>
        <w:t xml:space="preserve">’s </w:t>
      </w:r>
      <w:r w:rsidR="00C80464" w:rsidRPr="00A16B10">
        <w:rPr>
          <w:rFonts w:ascii="Times New Roman" w:hAnsi="Times New Roman"/>
          <w:sz w:val="24"/>
          <w:szCs w:val="24"/>
        </w:rPr>
        <w:t>“1500 Hour Rule”</w:t>
      </w:r>
      <w:r>
        <w:rPr>
          <w:rFonts w:ascii="Times New Roman" w:hAnsi="Times New Roman"/>
          <w:sz w:val="24"/>
          <w:szCs w:val="24"/>
        </w:rPr>
        <w:t xml:space="preserve"> </w:t>
      </w:r>
      <w:r w:rsidR="00C80464" w:rsidRPr="00A16B10">
        <w:rPr>
          <w:rFonts w:ascii="Times New Roman" w:hAnsi="Times New Roman"/>
          <w:sz w:val="24"/>
          <w:szCs w:val="24"/>
        </w:rPr>
        <w:t>applies to Township firefighters:</w:t>
      </w:r>
    </w:p>
    <w:p w14:paraId="464DF3D8" w14:textId="77777777" w:rsidR="00C80464" w:rsidRPr="00A16B10" w:rsidRDefault="00C80464" w:rsidP="00C80464">
      <w:pPr>
        <w:pStyle w:val="NoSpacing"/>
        <w:rPr>
          <w:rFonts w:ascii="Times New Roman" w:hAnsi="Times New Roman"/>
          <w:sz w:val="24"/>
          <w:szCs w:val="24"/>
        </w:rPr>
      </w:pPr>
    </w:p>
    <w:p w14:paraId="0CED5D89" w14:textId="77777777" w:rsidR="00A16B10" w:rsidRDefault="00C80464" w:rsidP="00A16B10">
      <w:pPr>
        <w:ind w:left="720" w:firstLine="720"/>
        <w:rPr>
          <w:rFonts w:asciiTheme="minorHAnsi" w:hAnsiTheme="minorHAnsi" w:cstheme="minorHAnsi"/>
          <w:sz w:val="24"/>
          <w:szCs w:val="24"/>
        </w:rPr>
      </w:pPr>
      <w:hyperlink r:id="rId1859" w:history="1">
        <w:r w:rsidRPr="00A16B10">
          <w:rPr>
            <w:rStyle w:val="Hyperlink"/>
            <w:rFonts w:asciiTheme="minorHAnsi" w:hAnsiTheme="minorHAnsi" w:cstheme="minorHAnsi"/>
            <w:sz w:val="24"/>
            <w:szCs w:val="24"/>
          </w:rPr>
          <w:t>http://codes.ohio.gov/orc/505.60</w:t>
        </w:r>
      </w:hyperlink>
      <w:r w:rsidRPr="00A16B10">
        <w:rPr>
          <w:rFonts w:asciiTheme="minorHAnsi" w:hAnsiTheme="minorHAnsi" w:cstheme="minorHAnsi"/>
          <w:sz w:val="24"/>
          <w:szCs w:val="24"/>
        </w:rPr>
        <w:t xml:space="preserve"> </w:t>
      </w:r>
    </w:p>
    <w:p w14:paraId="3DE3C633" w14:textId="0CAE11CB" w:rsidR="00C80464" w:rsidRPr="00A16B10" w:rsidRDefault="00C80464" w:rsidP="00A16B10">
      <w:pPr>
        <w:ind w:left="720" w:firstLine="720"/>
        <w:rPr>
          <w:rFonts w:asciiTheme="minorHAnsi" w:hAnsiTheme="minorHAnsi" w:cstheme="minorHAnsi"/>
        </w:rPr>
      </w:pPr>
      <w:r w:rsidRPr="00A16B10">
        <w:rPr>
          <w:rFonts w:asciiTheme="minorHAnsi" w:hAnsiTheme="minorHAnsi" w:cstheme="minorHAnsi"/>
        </w:rPr>
        <w:t xml:space="preserve">(G) As used in this section and section </w:t>
      </w:r>
      <w:hyperlink r:id="rId1860" w:history="1">
        <w:r w:rsidRPr="00A16B10">
          <w:rPr>
            <w:rStyle w:val="Hyperlink"/>
            <w:rFonts w:asciiTheme="minorHAnsi" w:hAnsiTheme="minorHAnsi" w:cstheme="minorHAnsi"/>
          </w:rPr>
          <w:t>505.601</w:t>
        </w:r>
      </w:hyperlink>
      <w:r w:rsidRPr="00A16B10">
        <w:rPr>
          <w:rFonts w:asciiTheme="minorHAnsi" w:hAnsiTheme="minorHAnsi" w:cstheme="minorHAnsi"/>
        </w:rPr>
        <w:t xml:space="preserve"> of the Revised Code: </w:t>
      </w:r>
    </w:p>
    <w:p w14:paraId="66376087" w14:textId="77777777" w:rsidR="00C80464" w:rsidRPr="00A16B10" w:rsidRDefault="00C80464" w:rsidP="00C80464">
      <w:pPr>
        <w:pStyle w:val="NormalWeb"/>
        <w:ind w:left="1440"/>
        <w:rPr>
          <w:rFonts w:asciiTheme="minorHAnsi" w:hAnsiTheme="minorHAnsi" w:cstheme="minorHAnsi"/>
        </w:rPr>
      </w:pPr>
      <w:r w:rsidRPr="00A16B10">
        <w:rPr>
          <w:rFonts w:asciiTheme="minorHAnsi" w:hAnsiTheme="minorHAnsi" w:cstheme="minorHAnsi"/>
        </w:rPr>
        <w:t xml:space="preserve">(1) "Part-time township employee" means a township employee who is hired with the expectation that the employee will work not more than one thousand five hundred hours in any year. </w:t>
      </w:r>
    </w:p>
    <w:bookmarkEnd w:id="408"/>
    <w:p w14:paraId="79E17F21" w14:textId="77777777" w:rsidR="00A67C57" w:rsidRDefault="00A67C57" w:rsidP="00F326E5">
      <w:pPr>
        <w:rPr>
          <w:rFonts w:ascii="Arial Black" w:hAnsi="Arial Black"/>
          <w:b/>
          <w:sz w:val="24"/>
          <w:szCs w:val="24"/>
        </w:rPr>
      </w:pPr>
    </w:p>
    <w:p w14:paraId="4E5ED752" w14:textId="753BA38B" w:rsidR="009F0F05" w:rsidRDefault="009F0F05" w:rsidP="00F326E5">
      <w:pPr>
        <w:rPr>
          <w:rFonts w:ascii="Arial Black" w:hAnsi="Arial Black"/>
          <w:b/>
          <w:sz w:val="24"/>
          <w:szCs w:val="24"/>
        </w:rPr>
      </w:pPr>
      <w:r>
        <w:rPr>
          <w:rFonts w:ascii="Arial Black" w:hAnsi="Arial Black"/>
          <w:b/>
          <w:sz w:val="24"/>
          <w:szCs w:val="24"/>
        </w:rPr>
        <w:t>11-</w:t>
      </w:r>
      <w:r w:rsidR="00E9307E">
        <w:rPr>
          <w:rFonts w:ascii="Arial Black" w:hAnsi="Arial Black"/>
          <w:b/>
          <w:sz w:val="24"/>
          <w:szCs w:val="24"/>
        </w:rPr>
        <w:t>6</w:t>
      </w:r>
    </w:p>
    <w:p w14:paraId="45A1D981" w14:textId="77777777" w:rsidR="009F0F05" w:rsidRDefault="009F0F05" w:rsidP="009F0F05">
      <w:pPr>
        <w:rPr>
          <w:rFonts w:ascii="Arial Black" w:hAnsi="Arial Black"/>
          <w:sz w:val="28"/>
          <w:szCs w:val="28"/>
        </w:rPr>
      </w:pPr>
      <w:r>
        <w:rPr>
          <w:rFonts w:ascii="Arial Black" w:hAnsi="Arial Black"/>
          <w:sz w:val="28"/>
          <w:szCs w:val="28"/>
        </w:rPr>
        <w:t xml:space="preserve">FLSA:  DOL OPINION LETTER – WHEN EMPLOYEE IS BOTH FF / POLICE OFFICER SAME PUBLIC AGENCY – CALCULATING OVERTIME </w:t>
      </w:r>
    </w:p>
    <w:p w14:paraId="6D21F96F" w14:textId="77777777" w:rsidR="009F0F05" w:rsidRDefault="009F0F05" w:rsidP="009F0F05">
      <w:pPr>
        <w:rPr>
          <w:rFonts w:ascii="Times New Roman" w:hAnsi="Times New Roman"/>
          <w:sz w:val="24"/>
          <w:szCs w:val="24"/>
        </w:rPr>
      </w:pPr>
      <w:r w:rsidRPr="00AB528C">
        <w:rPr>
          <w:rFonts w:ascii="Times New Roman" w:hAnsi="Times New Roman"/>
          <w:sz w:val="24"/>
          <w:szCs w:val="24"/>
        </w:rPr>
        <w:t>On</w:t>
      </w:r>
      <w:r>
        <w:rPr>
          <w:rFonts w:ascii="Times New Roman" w:hAnsi="Times New Roman"/>
          <w:sz w:val="24"/>
          <w:szCs w:val="24"/>
        </w:rPr>
        <w:t xml:space="preserve"> Aug. 8, 2019, the U.S. Department of Labor issued Opinion Letter </w:t>
      </w:r>
      <w:r w:rsidRPr="000235F1">
        <w:rPr>
          <w:rFonts w:ascii="Times New Roman" w:hAnsi="Times New Roman"/>
          <w:sz w:val="24"/>
          <w:szCs w:val="24"/>
        </w:rPr>
        <w:t>FLSA2019- 11</w:t>
      </w:r>
      <w:r>
        <w:rPr>
          <w:rFonts w:ascii="Times New Roman" w:hAnsi="Times New Roman"/>
          <w:sz w:val="24"/>
          <w:szCs w:val="24"/>
        </w:rPr>
        <w:t xml:space="preserve">, confirmed that if working for same public agency, then the total hours worked are aggregated when determining overtime pay. </w:t>
      </w:r>
      <w:hyperlink r:id="rId1861" w:history="1">
        <w:r w:rsidRPr="00A05487">
          <w:rPr>
            <w:rStyle w:val="Hyperlink"/>
            <w:rFonts w:ascii="Times New Roman" w:hAnsi="Times New Roman"/>
            <w:sz w:val="24"/>
            <w:szCs w:val="24"/>
          </w:rPr>
          <w:t>https://www.dol.gov/whd/opinion/FLSA/2019/2019_08_08_11_FLSA.pdf</w:t>
        </w:r>
      </w:hyperlink>
      <w:r>
        <w:rPr>
          <w:rFonts w:ascii="Times New Roman" w:hAnsi="Times New Roman"/>
          <w:sz w:val="24"/>
          <w:szCs w:val="24"/>
        </w:rPr>
        <w:t xml:space="preserve"> </w:t>
      </w:r>
    </w:p>
    <w:p w14:paraId="4B6B13C8" w14:textId="77777777" w:rsidR="009F0F05" w:rsidRDefault="009F0F05" w:rsidP="009F0F05">
      <w:pPr>
        <w:ind w:left="720"/>
        <w:rPr>
          <w:rFonts w:ascii="Times New Roman" w:hAnsi="Times New Roman"/>
          <w:sz w:val="24"/>
          <w:szCs w:val="24"/>
        </w:rPr>
      </w:pPr>
      <w:r>
        <w:rPr>
          <w:rFonts w:ascii="Times New Roman" w:hAnsi="Times New Roman"/>
          <w:sz w:val="24"/>
          <w:szCs w:val="24"/>
        </w:rPr>
        <w:t>“</w:t>
      </w:r>
      <w:r w:rsidRPr="00A4365A">
        <w:rPr>
          <w:rFonts w:ascii="Times New Roman" w:hAnsi="Times New Roman"/>
          <w:sz w:val="24"/>
          <w:szCs w:val="24"/>
        </w:rPr>
        <w:t>If an employee works for separate and distinct employers, each employer may disregard work performed by the employee for the other employer when determining its responsibility under the Fair Labor Standards Act (FLSA). 29 C.F.R. § 791.2. However, where the employee performs “fire protection activities” for the fire department and “law enforcement activities” for the police department of the same public agency, as you state is the case here, the hours are aggregated.</w:t>
      </w:r>
      <w:r>
        <w:rPr>
          <w:rFonts w:ascii="Times New Roman" w:hAnsi="Times New Roman"/>
          <w:sz w:val="24"/>
          <w:szCs w:val="24"/>
        </w:rPr>
        <w:t>”</w:t>
      </w:r>
    </w:p>
    <w:p w14:paraId="4443E235" w14:textId="73B61801" w:rsidR="009F0F05" w:rsidRDefault="009F0F05" w:rsidP="009F0F05">
      <w:pPr>
        <w:rPr>
          <w:rFonts w:ascii="Times New Roman" w:hAnsi="Times New Roman"/>
          <w:b/>
          <w:bCs/>
          <w:sz w:val="24"/>
          <w:szCs w:val="24"/>
        </w:rPr>
      </w:pPr>
      <w:r w:rsidRPr="003E4638">
        <w:rPr>
          <w:rFonts w:ascii="Times New Roman" w:hAnsi="Times New Roman"/>
          <w:b/>
          <w:bCs/>
          <w:sz w:val="24"/>
          <w:szCs w:val="24"/>
        </w:rPr>
        <w:t>Legal Lessons Learned:</w:t>
      </w:r>
      <w:r>
        <w:rPr>
          <w:rFonts w:ascii="Times New Roman" w:hAnsi="Times New Roman"/>
          <w:b/>
          <w:bCs/>
          <w:sz w:val="24"/>
          <w:szCs w:val="24"/>
        </w:rPr>
        <w:t xml:space="preserve">  When in doubt about paying overtime, review FLSA opinion letters.  </w:t>
      </w:r>
      <w:hyperlink r:id="rId1862" w:history="1">
        <w:r w:rsidRPr="00A05487">
          <w:rPr>
            <w:rStyle w:val="Hyperlink"/>
            <w:rFonts w:ascii="Times New Roman" w:hAnsi="Times New Roman"/>
            <w:b/>
            <w:bCs/>
            <w:sz w:val="24"/>
            <w:szCs w:val="24"/>
          </w:rPr>
          <w:t>https://www.dol.gov/whd/opinion/search/index.htm?FLSA</w:t>
        </w:r>
      </w:hyperlink>
      <w:r>
        <w:rPr>
          <w:rFonts w:ascii="Times New Roman" w:hAnsi="Times New Roman"/>
          <w:b/>
          <w:bCs/>
          <w:sz w:val="24"/>
          <w:szCs w:val="24"/>
        </w:rPr>
        <w:t xml:space="preserve">   If still not clear, call </w:t>
      </w:r>
      <w:proofErr w:type="spellStart"/>
      <w:r>
        <w:rPr>
          <w:rFonts w:ascii="Times New Roman" w:hAnsi="Times New Roman"/>
          <w:b/>
          <w:bCs/>
          <w:sz w:val="24"/>
          <w:szCs w:val="24"/>
        </w:rPr>
        <w:t>DoL</w:t>
      </w:r>
      <w:proofErr w:type="spellEnd"/>
      <w:r>
        <w:rPr>
          <w:rFonts w:ascii="Times New Roman" w:hAnsi="Times New Roman"/>
          <w:b/>
          <w:bCs/>
          <w:sz w:val="24"/>
          <w:szCs w:val="24"/>
        </w:rPr>
        <w:t xml:space="preserve"> Wage </w:t>
      </w:r>
      <w:proofErr w:type="gramStart"/>
      <w:r>
        <w:rPr>
          <w:rFonts w:ascii="Times New Roman" w:hAnsi="Times New Roman"/>
          <w:b/>
          <w:bCs/>
          <w:sz w:val="24"/>
          <w:szCs w:val="24"/>
        </w:rPr>
        <w:t>And</w:t>
      </w:r>
      <w:proofErr w:type="gramEnd"/>
      <w:r>
        <w:rPr>
          <w:rFonts w:ascii="Times New Roman" w:hAnsi="Times New Roman"/>
          <w:b/>
          <w:bCs/>
          <w:sz w:val="24"/>
          <w:szCs w:val="24"/>
        </w:rPr>
        <w:t xml:space="preserve"> Hour Division and consult with experienced Legal Counsel.  </w:t>
      </w:r>
    </w:p>
    <w:p w14:paraId="1224AA89" w14:textId="127DE820" w:rsidR="00E052A6" w:rsidRDefault="00E052A6" w:rsidP="00E052A6">
      <w:pPr>
        <w:rPr>
          <w:rFonts w:ascii="Times New Roman" w:hAnsi="Times New Roman"/>
          <w:bCs/>
          <w:sz w:val="24"/>
          <w:szCs w:val="24"/>
        </w:rPr>
      </w:pPr>
    </w:p>
    <w:p w14:paraId="5714D2E1" w14:textId="77777777" w:rsidR="00EC50D5" w:rsidRPr="004647F6" w:rsidRDefault="00EC50D5" w:rsidP="00EC50D5">
      <w:pPr>
        <w:rPr>
          <w:rFonts w:ascii="Arial Black" w:hAnsi="Arial Black"/>
          <w:b/>
          <w:sz w:val="28"/>
          <w:szCs w:val="28"/>
        </w:rPr>
      </w:pPr>
      <w:r w:rsidRPr="004647F6">
        <w:rPr>
          <w:rFonts w:ascii="Arial Black" w:hAnsi="Arial Black"/>
          <w:b/>
          <w:sz w:val="28"/>
          <w:szCs w:val="28"/>
        </w:rPr>
        <w:t xml:space="preserve">FL – </w:t>
      </w:r>
      <w:r>
        <w:rPr>
          <w:rFonts w:ascii="Arial Black" w:hAnsi="Arial Black"/>
          <w:b/>
          <w:sz w:val="28"/>
          <w:szCs w:val="28"/>
        </w:rPr>
        <w:t xml:space="preserve">FF / U.S. ARMY RESERVE - </w:t>
      </w:r>
      <w:r w:rsidRPr="004647F6">
        <w:rPr>
          <w:rFonts w:ascii="Arial Black" w:hAnsi="Arial Black"/>
          <w:b/>
          <w:sz w:val="28"/>
          <w:szCs w:val="28"/>
        </w:rPr>
        <w:t>USERRA LAWSUIT DISMISSED –</w:t>
      </w:r>
      <w:r>
        <w:rPr>
          <w:rFonts w:ascii="Arial Black" w:hAnsi="Arial Black"/>
          <w:b/>
          <w:sz w:val="28"/>
          <w:szCs w:val="28"/>
        </w:rPr>
        <w:t xml:space="preserve"> NOT </w:t>
      </w:r>
      <w:r w:rsidRPr="004647F6">
        <w:rPr>
          <w:rFonts w:ascii="Arial Black" w:hAnsi="Arial Black"/>
          <w:b/>
          <w:sz w:val="28"/>
          <w:szCs w:val="28"/>
        </w:rPr>
        <w:t>PROMOTE</w:t>
      </w:r>
      <w:r>
        <w:rPr>
          <w:rFonts w:ascii="Arial Black" w:hAnsi="Arial Black"/>
          <w:b/>
          <w:sz w:val="28"/>
          <w:szCs w:val="28"/>
        </w:rPr>
        <w:t>D TO DISTRICT CHIEF – CITY USES “RULE OF 5”</w:t>
      </w:r>
    </w:p>
    <w:p w14:paraId="54EAF161" w14:textId="77777777" w:rsidR="00EC50D5" w:rsidRPr="002119A9" w:rsidRDefault="00EC50D5" w:rsidP="00EC50D5">
      <w:pPr>
        <w:pStyle w:val="NoSpacing"/>
        <w:rPr>
          <w:rFonts w:ascii="Times New Roman" w:hAnsi="Times New Roman"/>
          <w:sz w:val="24"/>
          <w:szCs w:val="24"/>
        </w:rPr>
      </w:pPr>
      <w:r w:rsidRPr="002119A9">
        <w:rPr>
          <w:rFonts w:ascii="Times New Roman" w:hAnsi="Times New Roman"/>
          <w:sz w:val="24"/>
          <w:szCs w:val="24"/>
        </w:rPr>
        <w:t xml:space="preserve">On April 29, 2019, in </w:t>
      </w:r>
      <w:r w:rsidRPr="002119A9">
        <w:rPr>
          <w:rFonts w:ascii="Times New Roman" w:hAnsi="Times New Roman"/>
          <w:sz w:val="24"/>
          <w:szCs w:val="24"/>
          <w:u w:val="single"/>
        </w:rPr>
        <w:t>John H. Ramirez v. City of Fort Lauderdale</w:t>
      </w:r>
      <w:r w:rsidRPr="002119A9">
        <w:rPr>
          <w:rFonts w:ascii="Times New Roman" w:hAnsi="Times New Roman"/>
          <w:sz w:val="24"/>
          <w:szCs w:val="24"/>
        </w:rPr>
        <w:t xml:space="preserve">, U.S. District Court judge William P. </w:t>
      </w:r>
      <w:proofErr w:type="spellStart"/>
      <w:r w:rsidRPr="002119A9">
        <w:rPr>
          <w:rFonts w:ascii="Times New Roman" w:hAnsi="Times New Roman"/>
          <w:sz w:val="24"/>
          <w:szCs w:val="24"/>
        </w:rPr>
        <w:t>Dimitrouleas</w:t>
      </w:r>
      <w:proofErr w:type="spellEnd"/>
      <w:r w:rsidRPr="002119A9">
        <w:rPr>
          <w:rFonts w:ascii="Times New Roman" w:hAnsi="Times New Roman"/>
          <w:sz w:val="24"/>
          <w:szCs w:val="24"/>
        </w:rPr>
        <w:t xml:space="preserve">, Southern District of Florida, granted the City’s motion to dismiss, but Plaintiff was afforded an opportunity to file an amended Complaint to show he was denied promotions because of his military service. </w:t>
      </w:r>
    </w:p>
    <w:p w14:paraId="543B08CD" w14:textId="77777777" w:rsidR="00EC50D5" w:rsidRPr="002119A9" w:rsidRDefault="00EC50D5" w:rsidP="00EC50D5">
      <w:pPr>
        <w:pStyle w:val="NoSpacing"/>
        <w:rPr>
          <w:rFonts w:ascii="Times New Roman" w:hAnsi="Times New Roman"/>
          <w:sz w:val="24"/>
          <w:szCs w:val="24"/>
        </w:rPr>
      </w:pPr>
    </w:p>
    <w:p w14:paraId="77CD9642" w14:textId="77777777" w:rsidR="00EC50D5" w:rsidRPr="002119A9" w:rsidRDefault="00EC50D5" w:rsidP="00EC50D5">
      <w:pPr>
        <w:pStyle w:val="NoSpacing"/>
        <w:ind w:left="720"/>
        <w:rPr>
          <w:rFonts w:ascii="Times New Roman" w:hAnsi="Times New Roman"/>
          <w:sz w:val="24"/>
          <w:szCs w:val="24"/>
        </w:rPr>
      </w:pPr>
      <w:r w:rsidRPr="002119A9">
        <w:rPr>
          <w:rFonts w:ascii="Times New Roman" w:hAnsi="Times New Roman"/>
          <w:sz w:val="24"/>
          <w:szCs w:val="24"/>
        </w:rPr>
        <w:t xml:space="preserve">During Plaintiff's employment, he served in the United States Army and was called for various deployments.  Plaintiff has repeatedly applied for promotion to Division Chief and was passed over for promotion several times. *** Defendant uses the rule of five to select personnel for promotion, which, according to Plaintiff violates Plaintiff's rights under USERRA by ‘not following the State of Florida Veterans preference.’  Plaintiff has complained to the Defendant that his military service was a factor in the decision to deny him promotion. </w:t>
      </w:r>
    </w:p>
    <w:p w14:paraId="250A507F" w14:textId="77777777" w:rsidR="00EC50D5" w:rsidRPr="002119A9" w:rsidRDefault="00EC50D5" w:rsidP="00EC50D5">
      <w:pPr>
        <w:pStyle w:val="NoSpacing"/>
        <w:ind w:left="720"/>
        <w:rPr>
          <w:rFonts w:ascii="Times New Roman" w:hAnsi="Times New Roman"/>
          <w:sz w:val="24"/>
          <w:szCs w:val="24"/>
        </w:rPr>
      </w:pPr>
    </w:p>
    <w:p w14:paraId="17BEEEFB" w14:textId="77777777" w:rsidR="00EC50D5" w:rsidRPr="002119A9" w:rsidRDefault="00EC50D5" w:rsidP="00EC50D5">
      <w:pPr>
        <w:pStyle w:val="NoSpacing"/>
        <w:ind w:left="720"/>
        <w:rPr>
          <w:rFonts w:ascii="Times New Roman" w:hAnsi="Times New Roman"/>
          <w:sz w:val="24"/>
          <w:szCs w:val="24"/>
        </w:rPr>
      </w:pPr>
      <w:r w:rsidRPr="002119A9">
        <w:rPr>
          <w:rFonts w:ascii="Times New Roman" w:hAnsi="Times New Roman"/>
          <w:sz w:val="24"/>
          <w:szCs w:val="24"/>
        </w:rPr>
        <w:t>***</w:t>
      </w:r>
    </w:p>
    <w:p w14:paraId="12E2DAAB" w14:textId="77777777" w:rsidR="00EC50D5" w:rsidRPr="002119A9" w:rsidRDefault="00EC50D5" w:rsidP="00EC50D5">
      <w:pPr>
        <w:pStyle w:val="NoSpacing"/>
        <w:rPr>
          <w:rFonts w:ascii="Times New Roman" w:hAnsi="Times New Roman"/>
          <w:sz w:val="24"/>
          <w:szCs w:val="24"/>
        </w:rPr>
      </w:pPr>
    </w:p>
    <w:p w14:paraId="23EB908A" w14:textId="77777777" w:rsidR="00EC50D5" w:rsidRPr="002119A9" w:rsidRDefault="00EC50D5" w:rsidP="00EC50D5">
      <w:pPr>
        <w:pStyle w:val="NoSpacing"/>
        <w:ind w:left="720"/>
        <w:rPr>
          <w:rFonts w:ascii="Times New Roman" w:eastAsia="Times New Roman" w:hAnsi="Times New Roman"/>
          <w:b/>
          <w:bCs/>
          <w:sz w:val="24"/>
          <w:szCs w:val="24"/>
        </w:rPr>
      </w:pPr>
      <w:r w:rsidRPr="002119A9">
        <w:rPr>
          <w:rFonts w:ascii="Times New Roman" w:hAnsi="Times New Roman"/>
          <w:sz w:val="24"/>
          <w:szCs w:val="24"/>
        </w:rPr>
        <w:t xml:space="preserve">To establish a prima facie case under USERRA, "a plaintiff must show by a preponderance of the evidence that his protected status was a motivating factor in the challenged action." Dominguez v. Miami-Dade </w:t>
      </w:r>
      <w:proofErr w:type="spellStart"/>
      <w:r w:rsidRPr="002119A9">
        <w:rPr>
          <w:rFonts w:ascii="Times New Roman" w:hAnsi="Times New Roman"/>
          <w:sz w:val="24"/>
          <w:szCs w:val="24"/>
        </w:rPr>
        <w:t>Cty</w:t>
      </w:r>
      <w:proofErr w:type="spellEnd"/>
      <w:r w:rsidRPr="002119A9">
        <w:rPr>
          <w:rFonts w:ascii="Times New Roman" w:hAnsi="Times New Roman"/>
          <w:sz w:val="24"/>
          <w:szCs w:val="24"/>
        </w:rPr>
        <w:t xml:space="preserve">., 669 F. Supp. 2d 1340, 1347 (S.D. Fla. 2009), aff'd, 416 F. </w:t>
      </w:r>
      <w:proofErr w:type="spellStart"/>
      <w:r w:rsidRPr="002119A9">
        <w:rPr>
          <w:rFonts w:ascii="Times New Roman" w:hAnsi="Times New Roman"/>
          <w:sz w:val="24"/>
          <w:szCs w:val="24"/>
        </w:rPr>
        <w:t>App'x</w:t>
      </w:r>
      <w:proofErr w:type="spellEnd"/>
      <w:r w:rsidRPr="002119A9">
        <w:rPr>
          <w:rFonts w:ascii="Times New Roman" w:hAnsi="Times New Roman"/>
          <w:sz w:val="24"/>
          <w:szCs w:val="24"/>
        </w:rPr>
        <w:t xml:space="preserve"> 884 (11th Cir. 2011). *** The Court finds that Plaintiff has failed to meet the burden to allege that his protected status as a servicemember was the motivating factor behind Defendant's choice not to promote him.  </w:t>
      </w:r>
      <w:hyperlink r:id="rId1863" w:history="1">
        <w:r w:rsidRPr="002119A9">
          <w:rPr>
            <w:rStyle w:val="Hyperlink"/>
            <w:rFonts w:ascii="Times New Roman" w:eastAsia="Times New Roman" w:hAnsi="Times New Roman"/>
            <w:b/>
            <w:bCs/>
            <w:sz w:val="24"/>
            <w:szCs w:val="24"/>
          </w:rPr>
          <w:t>http://41af3k34gprx4f6bg12df75i.wpengine.netdna-cdn.com/wp-content/uploads/sites/19/2019/05/Ramirez-v.-City-of-Fort-Lauderdale-Fire-Rescue_-2019-U.pdf</w:t>
        </w:r>
      </w:hyperlink>
      <w:r w:rsidRPr="002119A9">
        <w:rPr>
          <w:rFonts w:ascii="Times New Roman" w:eastAsia="Times New Roman" w:hAnsi="Times New Roman"/>
          <w:b/>
          <w:bCs/>
          <w:sz w:val="24"/>
          <w:szCs w:val="24"/>
        </w:rPr>
        <w:t xml:space="preserve"> </w:t>
      </w:r>
    </w:p>
    <w:p w14:paraId="66F16DF9" w14:textId="1F14BD60" w:rsidR="00EC50D5" w:rsidRPr="00715CF2" w:rsidRDefault="00EC50D5" w:rsidP="00EC50D5">
      <w:pPr>
        <w:rPr>
          <w:rFonts w:ascii="Times New Roman" w:hAnsi="Times New Roman"/>
          <w:bCs/>
          <w:sz w:val="24"/>
          <w:szCs w:val="24"/>
        </w:rPr>
      </w:pPr>
      <w:r w:rsidRPr="0052665B">
        <w:rPr>
          <w:rFonts w:ascii="Times New Roman" w:hAnsi="Times New Roman"/>
          <w:b/>
          <w:sz w:val="24"/>
          <w:szCs w:val="24"/>
        </w:rPr>
        <w:t>Legal Lesson Learned:  Plaintiff failed to show that his protected military status was a motivating factor in not being promoted</w:t>
      </w:r>
    </w:p>
    <w:p w14:paraId="115D1A0E" w14:textId="77777777" w:rsidR="005B0774" w:rsidRDefault="005B0774" w:rsidP="00F326E5">
      <w:pPr>
        <w:rPr>
          <w:rFonts w:ascii="Arial Black" w:hAnsi="Arial Black"/>
          <w:b/>
          <w:sz w:val="24"/>
          <w:szCs w:val="24"/>
        </w:rPr>
      </w:pPr>
    </w:p>
    <w:p w14:paraId="6968C5B4" w14:textId="3C2D78DC" w:rsidR="005B0774" w:rsidRDefault="005B0774" w:rsidP="00F326E5">
      <w:pPr>
        <w:rPr>
          <w:rFonts w:ascii="Arial Black" w:hAnsi="Arial Black"/>
          <w:b/>
          <w:sz w:val="24"/>
          <w:szCs w:val="24"/>
        </w:rPr>
      </w:pPr>
      <w:r>
        <w:rPr>
          <w:rFonts w:ascii="Arial Black" w:hAnsi="Arial Black"/>
          <w:b/>
          <w:sz w:val="24"/>
          <w:szCs w:val="24"/>
        </w:rPr>
        <w:t>11-5</w:t>
      </w:r>
    </w:p>
    <w:p w14:paraId="16813B02" w14:textId="2766604B" w:rsidR="005B0774" w:rsidRPr="00E9307E" w:rsidRDefault="005B0774" w:rsidP="00F326E5">
      <w:pPr>
        <w:rPr>
          <w:rFonts w:ascii="Arial Black" w:hAnsi="Arial Black"/>
          <w:sz w:val="28"/>
          <w:szCs w:val="28"/>
        </w:rPr>
      </w:pPr>
      <w:r w:rsidRPr="00E9307E">
        <w:rPr>
          <w:rFonts w:ascii="Arial Black" w:hAnsi="Arial Black" w:cs="Arial"/>
          <w:sz w:val="28"/>
          <w:szCs w:val="28"/>
        </w:rPr>
        <w:t xml:space="preserve">WA: FED. JUDGE REFUSES DECLARATORY JUDGMENT – BATTALION </w:t>
      </w:r>
      <w:r w:rsidRPr="00E9307E">
        <w:rPr>
          <w:rFonts w:ascii="Arial Black" w:hAnsi="Arial Black"/>
          <w:sz w:val="28"/>
          <w:szCs w:val="28"/>
        </w:rPr>
        <w:t xml:space="preserve">CHIEFS / FIRE MARSHALS ARE “EXEMPT” FLSA </w:t>
      </w:r>
    </w:p>
    <w:p w14:paraId="195ACE47" w14:textId="77777777" w:rsidR="00E658E1" w:rsidRDefault="005B0774" w:rsidP="00F326E5">
      <w:pPr>
        <w:rPr>
          <w:rFonts w:ascii="Times New Roman" w:hAnsi="Times New Roman"/>
          <w:sz w:val="24"/>
          <w:szCs w:val="24"/>
        </w:rPr>
      </w:pPr>
      <w:r w:rsidRPr="0036327D">
        <w:rPr>
          <w:rFonts w:ascii="Times New Roman" w:hAnsi="Times New Roman"/>
          <w:sz w:val="24"/>
          <w:szCs w:val="24"/>
        </w:rPr>
        <w:t>On April 18, 2019, in Spokane Valley Fire Department v. IAFF Local 3701, U.S. District Court Judge Salvador Mendoza, Jr., held:</w:t>
      </w:r>
    </w:p>
    <w:p w14:paraId="7AACB06E" w14:textId="033EC010" w:rsidR="005B0774" w:rsidRPr="0036327D" w:rsidRDefault="005B0774" w:rsidP="00E658E1">
      <w:pPr>
        <w:ind w:left="720"/>
        <w:rPr>
          <w:rFonts w:ascii="Times New Roman" w:hAnsi="Times New Roman"/>
          <w:sz w:val="24"/>
          <w:szCs w:val="24"/>
        </w:rPr>
      </w:pPr>
      <w:r w:rsidRPr="0036327D">
        <w:rPr>
          <w:rFonts w:ascii="Times New Roman" w:hAnsi="Times New Roman"/>
          <w:sz w:val="24"/>
          <w:szCs w:val="24"/>
        </w:rPr>
        <w:t xml:space="preserve">“But the problem for the Department is that it fails to demonstrate any potential FLSA overtime claims have accrued or are certainly impending and pose an imminent threat, </w:t>
      </w:r>
      <w:proofErr w:type="gramStart"/>
      <w:r w:rsidRPr="0036327D">
        <w:rPr>
          <w:rFonts w:ascii="Times New Roman" w:hAnsi="Times New Roman"/>
          <w:sz w:val="24"/>
          <w:szCs w:val="24"/>
        </w:rPr>
        <w:t>so as to</w:t>
      </w:r>
      <w:proofErr w:type="gramEnd"/>
      <w:r w:rsidRPr="0036327D">
        <w:rPr>
          <w:rFonts w:ascii="Times New Roman" w:hAnsi="Times New Roman"/>
          <w:sz w:val="24"/>
          <w:szCs w:val="24"/>
        </w:rPr>
        <w:t xml:space="preserve"> establish standing and ripeness. By continuing to operate under the existing collective bargaining agreement, the Department is preserving an injury-free status quo.”</w:t>
      </w:r>
      <w:r w:rsidR="00C95AF6" w:rsidRPr="0036327D">
        <w:rPr>
          <w:rFonts w:ascii="Times New Roman" w:hAnsi="Times New Roman"/>
          <w:sz w:val="24"/>
          <w:szCs w:val="24"/>
        </w:rPr>
        <w:t xml:space="preserve"> </w:t>
      </w:r>
      <w:hyperlink r:id="rId1864" w:history="1">
        <w:r w:rsidR="00C95AF6" w:rsidRPr="0036327D">
          <w:rPr>
            <w:rStyle w:val="Hyperlink"/>
            <w:rFonts w:ascii="Times New Roman" w:hAnsi="Times New Roman"/>
            <w:sz w:val="24"/>
            <w:szCs w:val="24"/>
          </w:rPr>
          <w:t>http://41af3k34gprx4f6bg12df75i.wpengine.netdna-cdn.com/wp-content/uploads/sites/19/2019/04/Spokane-Valley-Fire-Department-v-IAFF-Local-3701-RULING.pdf</w:t>
        </w:r>
      </w:hyperlink>
      <w:r w:rsidR="00C95AF6" w:rsidRPr="0036327D">
        <w:rPr>
          <w:rFonts w:ascii="Times New Roman" w:hAnsi="Times New Roman"/>
          <w:sz w:val="24"/>
          <w:szCs w:val="24"/>
        </w:rPr>
        <w:t xml:space="preserve"> </w:t>
      </w:r>
    </w:p>
    <w:p w14:paraId="611A277B" w14:textId="77777777" w:rsidR="00C95AF6" w:rsidRPr="0036327D" w:rsidRDefault="00C95AF6" w:rsidP="00F326E5">
      <w:pPr>
        <w:rPr>
          <w:rFonts w:ascii="Times New Roman" w:hAnsi="Times New Roman"/>
          <w:b/>
          <w:bCs/>
          <w:sz w:val="24"/>
          <w:szCs w:val="24"/>
        </w:rPr>
      </w:pPr>
      <w:r w:rsidRPr="0036327D">
        <w:rPr>
          <w:rFonts w:ascii="Times New Roman" w:hAnsi="Times New Roman"/>
          <w:b/>
          <w:bCs/>
          <w:sz w:val="24"/>
          <w:szCs w:val="24"/>
        </w:rPr>
        <w:t>Legal Lessons Learned: The Fire Department can always consult with U.S. Department of Labor, Wage &amp; Hour Division, or seek a formal opinion letter concerning the proper classification of their Battalion Chiefs and Fire Marshals based on a detailed description of their job duties.</w:t>
      </w:r>
    </w:p>
    <w:p w14:paraId="7C470B39" w14:textId="0F5AB7AC" w:rsidR="00C95AF6" w:rsidRPr="0036327D" w:rsidRDefault="00C95AF6" w:rsidP="00C95AF6">
      <w:pPr>
        <w:ind w:left="720"/>
        <w:rPr>
          <w:rFonts w:ascii="Times New Roman" w:hAnsi="Times New Roman"/>
          <w:sz w:val="24"/>
          <w:szCs w:val="24"/>
        </w:rPr>
      </w:pPr>
      <w:r w:rsidRPr="0036327D">
        <w:rPr>
          <w:rFonts w:ascii="Times New Roman" w:hAnsi="Times New Roman"/>
          <w:sz w:val="24"/>
          <w:szCs w:val="24"/>
        </w:rPr>
        <w:t xml:space="preserve">For example, see Opinion Letter FLSA 2005-40: “Accordingly, the duties described in your letter are sufficient to qualify the City’s Police Lieutenants, Police Captains, and Fire Battalion Chiefs as exempt from the minimum wage and overtime provisions of the FLSA. Therefore, so long as the actual duties performed by these employees are consistent with those described, the referenced employees are exempt from these provisions of the FLSA.” </w:t>
      </w:r>
      <w:hyperlink r:id="rId1865" w:history="1">
        <w:r w:rsidRPr="0036327D">
          <w:rPr>
            <w:rStyle w:val="Hyperlink"/>
            <w:rFonts w:ascii="Times New Roman" w:hAnsi="Times New Roman"/>
            <w:sz w:val="24"/>
            <w:szCs w:val="24"/>
          </w:rPr>
          <w:t>https://www.dol.gov/whd/opinion/FLSA/2005/2005_10_14_40_FLSA.pdf</w:t>
        </w:r>
      </w:hyperlink>
      <w:r w:rsidRPr="0036327D">
        <w:rPr>
          <w:rFonts w:ascii="Times New Roman" w:hAnsi="Times New Roman"/>
          <w:sz w:val="24"/>
          <w:szCs w:val="24"/>
        </w:rPr>
        <w:t xml:space="preserve"> </w:t>
      </w:r>
    </w:p>
    <w:p w14:paraId="719DFCB2" w14:textId="77777777" w:rsidR="005B0774" w:rsidRPr="0036327D" w:rsidRDefault="005B0774" w:rsidP="00F326E5">
      <w:pPr>
        <w:rPr>
          <w:rFonts w:ascii="Times New Roman" w:hAnsi="Times New Roman"/>
          <w:b/>
          <w:sz w:val="24"/>
          <w:szCs w:val="24"/>
        </w:rPr>
      </w:pPr>
    </w:p>
    <w:p w14:paraId="6D127516" w14:textId="4DF9577C" w:rsidR="00DE0F03" w:rsidRDefault="00DE0F03" w:rsidP="00F326E5">
      <w:pPr>
        <w:rPr>
          <w:rFonts w:ascii="Arial Black" w:hAnsi="Arial Black"/>
          <w:sz w:val="40"/>
          <w:szCs w:val="40"/>
        </w:rPr>
      </w:pPr>
      <w:r>
        <w:rPr>
          <w:rFonts w:ascii="Arial Black" w:hAnsi="Arial Black"/>
          <w:b/>
          <w:sz w:val="24"/>
          <w:szCs w:val="24"/>
        </w:rPr>
        <w:t>11</w:t>
      </w:r>
      <w:r w:rsidRPr="00EF1133">
        <w:rPr>
          <w:rFonts w:ascii="Arial Black" w:hAnsi="Arial Black"/>
          <w:b/>
          <w:sz w:val="24"/>
          <w:szCs w:val="24"/>
        </w:rPr>
        <w:t>-</w:t>
      </w:r>
      <w:r>
        <w:rPr>
          <w:rFonts w:ascii="Arial Black" w:hAnsi="Arial Black"/>
          <w:b/>
          <w:sz w:val="24"/>
          <w:szCs w:val="24"/>
        </w:rPr>
        <w:t>4</w:t>
      </w:r>
    </w:p>
    <w:p w14:paraId="1C7DB8BA" w14:textId="0633FCA0" w:rsidR="00F326E5" w:rsidRDefault="00F326E5" w:rsidP="00F326E5">
      <w:pPr>
        <w:pStyle w:val="NoSpacing"/>
        <w:rPr>
          <w:rFonts w:ascii="Arial Black" w:hAnsi="Arial Black"/>
          <w:sz w:val="28"/>
          <w:szCs w:val="28"/>
        </w:rPr>
      </w:pPr>
      <w:bookmarkStart w:id="409" w:name="_Hlk7345398"/>
      <w:r>
        <w:rPr>
          <w:rFonts w:ascii="Arial Black" w:hAnsi="Arial Black"/>
          <w:sz w:val="28"/>
          <w:szCs w:val="28"/>
        </w:rPr>
        <w:t>U.S. DEPT. OF LABOR: PROPOSED NEW RULE –</w:t>
      </w:r>
      <w:r w:rsidR="008F1BBB">
        <w:rPr>
          <w:rFonts w:ascii="Arial Black" w:hAnsi="Arial Black"/>
          <w:sz w:val="28"/>
          <w:szCs w:val="28"/>
        </w:rPr>
        <w:t xml:space="preserve"> </w:t>
      </w:r>
      <w:r>
        <w:rPr>
          <w:rFonts w:ascii="Arial Black" w:hAnsi="Arial Black"/>
          <w:sz w:val="28"/>
          <w:szCs w:val="28"/>
        </w:rPr>
        <w:t xml:space="preserve">ITEMS NOT INCLUDED IN “REGULAR RATE OF PAY” </w:t>
      </w:r>
    </w:p>
    <w:p w14:paraId="1E24790F" w14:textId="77777777" w:rsidR="00F326E5" w:rsidRPr="00E658E1" w:rsidRDefault="00F326E5" w:rsidP="00F326E5">
      <w:pPr>
        <w:spacing w:before="100" w:beforeAutospacing="1" w:after="100" w:afterAutospacing="1"/>
        <w:rPr>
          <w:rFonts w:ascii="Times New Roman" w:eastAsia="Times New Roman" w:hAnsi="Times New Roman"/>
          <w:sz w:val="24"/>
          <w:szCs w:val="24"/>
        </w:rPr>
      </w:pPr>
      <w:r w:rsidRPr="00E658E1">
        <w:rPr>
          <w:rFonts w:ascii="Times New Roman" w:eastAsia="Times New Roman" w:hAnsi="Times New Roman"/>
          <w:sz w:val="24"/>
          <w:szCs w:val="24"/>
        </w:rPr>
        <w:t xml:space="preserve">On March 28, 2019, the U.S. Department of Labor (Department) announced a proposed rule to amend 29 CFR part 778 to clarify and update regular rate requirements under section 7(e) of the Fair Labor Standards Act (FLSA).  </w:t>
      </w:r>
      <w:hyperlink r:id="rId1866" w:history="1">
        <w:r w:rsidRPr="00E658E1">
          <w:rPr>
            <w:rStyle w:val="Hyperlink"/>
            <w:rFonts w:ascii="Times New Roman" w:hAnsi="Times New Roman"/>
            <w:sz w:val="24"/>
            <w:szCs w:val="24"/>
          </w:rPr>
          <w:t>https://www.dol.gov/whd/overtime/regularrate2019.htm</w:t>
        </w:r>
      </w:hyperlink>
      <w:r w:rsidRPr="00E658E1">
        <w:rPr>
          <w:rFonts w:ascii="Times New Roman" w:eastAsia="Times New Roman" w:hAnsi="Times New Roman"/>
          <w:sz w:val="24"/>
          <w:szCs w:val="24"/>
        </w:rPr>
        <w:t xml:space="preserve"> </w:t>
      </w:r>
    </w:p>
    <w:p w14:paraId="784504D8" w14:textId="77777777" w:rsidR="00F326E5" w:rsidRPr="00E658E1" w:rsidRDefault="00F326E5" w:rsidP="00F326E5">
      <w:pPr>
        <w:spacing w:before="100" w:beforeAutospacing="1" w:after="100" w:afterAutospacing="1"/>
        <w:ind w:left="720"/>
        <w:rPr>
          <w:rFonts w:ascii="Times New Roman" w:eastAsia="Times New Roman" w:hAnsi="Times New Roman"/>
          <w:sz w:val="24"/>
          <w:szCs w:val="24"/>
        </w:rPr>
      </w:pPr>
      <w:r w:rsidRPr="00E658E1">
        <w:rPr>
          <w:rFonts w:ascii="Times New Roman" w:eastAsia="Times New Roman" w:hAnsi="Times New Roman"/>
          <w:sz w:val="24"/>
          <w:szCs w:val="24"/>
        </w:rPr>
        <w:t xml:space="preserve">“The FLSA generally requires overtime pay of at least one and one-half times the regular rate of pay for hours worked </w:t>
      </w:r>
      <w:proofErr w:type="gramStart"/>
      <w:r w:rsidRPr="00E658E1">
        <w:rPr>
          <w:rFonts w:ascii="Times New Roman" w:eastAsia="Times New Roman" w:hAnsi="Times New Roman"/>
          <w:sz w:val="24"/>
          <w:szCs w:val="24"/>
        </w:rPr>
        <w:t>in excess of</w:t>
      </w:r>
      <w:proofErr w:type="gramEnd"/>
      <w:r w:rsidRPr="00E658E1">
        <w:rPr>
          <w:rFonts w:ascii="Times New Roman" w:eastAsia="Times New Roman" w:hAnsi="Times New Roman"/>
          <w:sz w:val="24"/>
          <w:szCs w:val="24"/>
        </w:rPr>
        <w:t xml:space="preserve"> 40 hours per workweek. Regular rate requirements define what forms of payment employers include and exclude in the “time and one-half” calculation when determining workers’ overtime rates. Under current rules, employers are discouraged from offering more perks to their employees as it may be unclear whether those perks must be included in the calculation of an employees’ regular rate of pay. The proposed rule focuses primarily on clarifying whether certain kinds of perks, benefits, or other miscellaneous items must be included in the regular rate. Because these regulations have not been updated in decades, the proposal would better define the regular rate for today’s workplace practices.</w:t>
      </w:r>
    </w:p>
    <w:p w14:paraId="0AD7CEDA" w14:textId="77777777" w:rsidR="00F326E5" w:rsidRPr="00E658E1" w:rsidRDefault="00F326E5" w:rsidP="00F326E5">
      <w:pPr>
        <w:spacing w:before="100" w:beforeAutospacing="1" w:after="100" w:afterAutospacing="1"/>
        <w:ind w:left="720"/>
        <w:rPr>
          <w:rFonts w:ascii="Times New Roman" w:eastAsia="Times New Roman" w:hAnsi="Times New Roman"/>
          <w:sz w:val="24"/>
          <w:szCs w:val="24"/>
        </w:rPr>
      </w:pPr>
      <w:r w:rsidRPr="00E658E1">
        <w:rPr>
          <w:rFonts w:ascii="Times New Roman" w:eastAsia="Times New Roman" w:hAnsi="Times New Roman"/>
          <w:sz w:val="24"/>
          <w:szCs w:val="24"/>
        </w:rPr>
        <w:t>The Department proposes clarifications to the regulations to confirm that employers may exclude the following from an employee’s regular rate of pay:</w:t>
      </w:r>
    </w:p>
    <w:p w14:paraId="142748C1"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the cost of providing wellness programs, onsite specialist treatment, gym access and fitness classes, and employee discounts on retail goods and services;</w:t>
      </w:r>
    </w:p>
    <w:p w14:paraId="421ED97F"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payments for unused paid leave, including paid sick leave;</w:t>
      </w:r>
    </w:p>
    <w:p w14:paraId="348ABE9F"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reimbursed expenses, even if not incurred “solely” for the employer’s benefit;</w:t>
      </w:r>
    </w:p>
    <w:p w14:paraId="49BF994D"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reimbursed travel expenses that do not exceed the maximum travel reimbursement permitted under the Federal Travel Regulation System regulations and that satisfy other regulatory requirements;</w:t>
      </w:r>
    </w:p>
    <w:p w14:paraId="5668FA02"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discretionary bonuses;</w:t>
      </w:r>
    </w:p>
    <w:p w14:paraId="144C132B"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Benefit plans, including accident, unemployment, and legal services; and</w:t>
      </w:r>
    </w:p>
    <w:p w14:paraId="45881670" w14:textId="77777777" w:rsidR="00F326E5" w:rsidRPr="00E658E1" w:rsidRDefault="00F326E5" w:rsidP="00F326E5">
      <w:pPr>
        <w:numPr>
          <w:ilvl w:val="0"/>
          <w:numId w:val="3"/>
        </w:numPr>
        <w:spacing w:before="100" w:beforeAutospacing="1" w:after="100" w:afterAutospacing="1" w:line="240" w:lineRule="auto"/>
        <w:rPr>
          <w:rFonts w:ascii="Times New Roman" w:eastAsia="Times New Roman" w:hAnsi="Times New Roman"/>
          <w:sz w:val="24"/>
          <w:szCs w:val="24"/>
        </w:rPr>
      </w:pPr>
      <w:r w:rsidRPr="00E658E1">
        <w:rPr>
          <w:rFonts w:ascii="Times New Roman" w:eastAsia="Times New Roman" w:hAnsi="Times New Roman"/>
          <w:sz w:val="24"/>
          <w:szCs w:val="24"/>
        </w:rPr>
        <w:t xml:space="preserve">Tuition programs, such as reimbursement programs or repayment of educational </w:t>
      </w:r>
      <w:proofErr w:type="gramStart"/>
      <w:r w:rsidRPr="00E658E1">
        <w:rPr>
          <w:rFonts w:ascii="Times New Roman" w:eastAsia="Times New Roman" w:hAnsi="Times New Roman"/>
          <w:sz w:val="24"/>
          <w:szCs w:val="24"/>
        </w:rPr>
        <w:t>deb</w:t>
      </w:r>
      <w:proofErr w:type="gramEnd"/>
    </w:p>
    <w:p w14:paraId="10D19AE9" w14:textId="77777777" w:rsidR="00F326E5" w:rsidRPr="00E658E1" w:rsidRDefault="00F326E5" w:rsidP="00F326E5">
      <w:pPr>
        <w:spacing w:before="100" w:beforeAutospacing="1" w:after="100" w:afterAutospacing="1"/>
        <w:ind w:left="360"/>
        <w:rPr>
          <w:rFonts w:ascii="Times New Roman" w:eastAsia="Times New Roman" w:hAnsi="Times New Roman"/>
          <w:sz w:val="24"/>
          <w:szCs w:val="24"/>
        </w:rPr>
      </w:pPr>
      <w:r w:rsidRPr="00E658E1">
        <w:rPr>
          <w:rFonts w:ascii="Times New Roman" w:eastAsia="Times New Roman" w:hAnsi="Times New Roman"/>
          <w:sz w:val="24"/>
          <w:szCs w:val="24"/>
        </w:rPr>
        <w:t xml:space="preserve">The proposed rule also includes additional clarification about other forms of compensation, including payment for meal </w:t>
      </w:r>
      <w:proofErr w:type="gramStart"/>
      <w:r w:rsidRPr="00E658E1">
        <w:rPr>
          <w:rFonts w:ascii="Times New Roman" w:eastAsia="Times New Roman" w:hAnsi="Times New Roman"/>
          <w:sz w:val="24"/>
          <w:szCs w:val="24"/>
        </w:rPr>
        <w:t>periods, ‘</w:t>
      </w:r>
      <w:proofErr w:type="gramEnd"/>
      <w:r w:rsidRPr="00E658E1">
        <w:rPr>
          <w:rFonts w:ascii="Times New Roman" w:eastAsia="Times New Roman" w:hAnsi="Times New Roman"/>
          <w:sz w:val="24"/>
          <w:szCs w:val="24"/>
        </w:rPr>
        <w:t>call back’ pay, and others.</w:t>
      </w:r>
    </w:p>
    <w:p w14:paraId="5430966A" w14:textId="77777777" w:rsidR="00F326E5" w:rsidRPr="00E658E1" w:rsidRDefault="00F326E5" w:rsidP="00F326E5">
      <w:pPr>
        <w:spacing w:before="100" w:beforeAutospacing="1" w:after="100" w:afterAutospacing="1"/>
        <w:rPr>
          <w:rFonts w:ascii="Times New Roman" w:eastAsia="Times New Roman" w:hAnsi="Times New Roman"/>
          <w:b/>
          <w:sz w:val="24"/>
          <w:szCs w:val="24"/>
        </w:rPr>
      </w:pPr>
      <w:r w:rsidRPr="00E658E1">
        <w:rPr>
          <w:rFonts w:ascii="Times New Roman" w:eastAsia="Times New Roman" w:hAnsi="Times New Roman"/>
          <w:b/>
          <w:sz w:val="24"/>
          <w:szCs w:val="24"/>
        </w:rPr>
        <w:t xml:space="preserve">Legal Lessons Learned:  This new rule will hopefully provide more clarification for Fire &amp; EMS Departments and avoid litigation about “regular rate” of pay. </w:t>
      </w:r>
    </w:p>
    <w:p w14:paraId="67073C11" w14:textId="77777777" w:rsidR="00F326E5" w:rsidRPr="00E658E1" w:rsidRDefault="00F326E5" w:rsidP="00F326E5">
      <w:pPr>
        <w:spacing w:before="100" w:beforeAutospacing="1" w:after="100" w:afterAutospacing="1"/>
        <w:ind w:left="720"/>
        <w:rPr>
          <w:rFonts w:ascii="Times New Roman" w:hAnsi="Times New Roman"/>
          <w:sz w:val="24"/>
          <w:szCs w:val="24"/>
        </w:rPr>
      </w:pPr>
      <w:r w:rsidRPr="00E658E1">
        <w:rPr>
          <w:rFonts w:ascii="Times New Roman" w:eastAsia="Times New Roman" w:hAnsi="Times New Roman"/>
          <w:sz w:val="24"/>
          <w:szCs w:val="24"/>
        </w:rPr>
        <w:t xml:space="preserve">See, for example, </w:t>
      </w:r>
      <w:proofErr w:type="spellStart"/>
      <w:r w:rsidRPr="00E658E1">
        <w:rPr>
          <w:rFonts w:ascii="Times New Roman" w:eastAsia="Times New Roman" w:hAnsi="Times New Roman"/>
          <w:sz w:val="24"/>
          <w:szCs w:val="24"/>
        </w:rPr>
        <w:t>DoL</w:t>
      </w:r>
      <w:proofErr w:type="spellEnd"/>
      <w:r w:rsidRPr="00E658E1">
        <w:rPr>
          <w:rFonts w:ascii="Times New Roman" w:eastAsia="Times New Roman" w:hAnsi="Times New Roman"/>
          <w:sz w:val="24"/>
          <w:szCs w:val="24"/>
        </w:rPr>
        <w:t xml:space="preserve"> Advisory Opinion </w:t>
      </w:r>
      <w:r w:rsidRPr="00E658E1">
        <w:rPr>
          <w:rFonts w:ascii="Times New Roman" w:hAnsi="Times New Roman"/>
          <w:sz w:val="24"/>
          <w:szCs w:val="24"/>
        </w:rPr>
        <w:t xml:space="preserve">FLSA2018-5 (Jan. 5, 2018) regarding a Fire Department’s calculation of “regular rate of pay” concerning annual bonuses, such as certification pay, education pay, and longevity pay: </w:t>
      </w:r>
      <w:hyperlink r:id="rId1867" w:history="1">
        <w:r w:rsidRPr="00E658E1">
          <w:rPr>
            <w:rStyle w:val="Hyperlink"/>
            <w:rFonts w:ascii="Times New Roman" w:hAnsi="Times New Roman"/>
            <w:sz w:val="24"/>
            <w:szCs w:val="24"/>
          </w:rPr>
          <w:t>https://www.dol.gov/whd/opinion/FLSA/2018/2018_01_05_05_FLSA.pdf</w:t>
        </w:r>
      </w:hyperlink>
      <w:r w:rsidRPr="00E658E1">
        <w:rPr>
          <w:rFonts w:ascii="Times New Roman" w:hAnsi="Times New Roman"/>
          <w:sz w:val="24"/>
          <w:szCs w:val="24"/>
        </w:rPr>
        <w:t xml:space="preserve"> </w:t>
      </w:r>
      <w:bookmarkEnd w:id="409"/>
    </w:p>
    <w:p w14:paraId="350BF387" w14:textId="77777777" w:rsidR="005B0774" w:rsidRDefault="005B0774" w:rsidP="00F326E5">
      <w:pPr>
        <w:rPr>
          <w:rFonts w:ascii="Arial Black" w:hAnsi="Arial Black"/>
          <w:b/>
          <w:sz w:val="24"/>
          <w:szCs w:val="24"/>
        </w:rPr>
      </w:pPr>
    </w:p>
    <w:p w14:paraId="3E4F953D" w14:textId="5D30D298" w:rsidR="00F326E5" w:rsidRDefault="00DE0F03" w:rsidP="00F326E5">
      <w:pPr>
        <w:rPr>
          <w:rFonts w:ascii="Arial Black" w:hAnsi="Arial Black"/>
          <w:sz w:val="40"/>
          <w:szCs w:val="40"/>
        </w:rPr>
      </w:pPr>
      <w:r>
        <w:rPr>
          <w:rFonts w:ascii="Arial Black" w:hAnsi="Arial Black"/>
          <w:b/>
          <w:sz w:val="24"/>
          <w:szCs w:val="24"/>
        </w:rPr>
        <w:t>11</w:t>
      </w:r>
      <w:r w:rsidRPr="00EF1133">
        <w:rPr>
          <w:rFonts w:ascii="Arial Black" w:hAnsi="Arial Black"/>
          <w:b/>
          <w:sz w:val="24"/>
          <w:szCs w:val="24"/>
        </w:rPr>
        <w:t>-</w:t>
      </w:r>
      <w:r>
        <w:rPr>
          <w:rFonts w:ascii="Arial Black" w:hAnsi="Arial Black"/>
          <w:b/>
          <w:sz w:val="24"/>
          <w:szCs w:val="24"/>
        </w:rPr>
        <w:t>3</w:t>
      </w:r>
    </w:p>
    <w:p w14:paraId="0E1D1C01" w14:textId="136F4CB6" w:rsidR="00F326E5" w:rsidRDefault="00F326E5" w:rsidP="00F326E5">
      <w:pPr>
        <w:pStyle w:val="NoSpacing"/>
        <w:rPr>
          <w:rFonts w:ascii="Arial Black" w:eastAsia="Times New Roman" w:hAnsi="Arial Black"/>
          <w:sz w:val="28"/>
          <w:szCs w:val="28"/>
        </w:rPr>
      </w:pPr>
      <w:bookmarkStart w:id="410" w:name="_Hlk7345530"/>
      <w:r>
        <w:rPr>
          <w:rFonts w:ascii="Arial Black" w:eastAsia="Times New Roman" w:hAnsi="Arial Black"/>
          <w:sz w:val="28"/>
          <w:szCs w:val="28"/>
        </w:rPr>
        <w:t xml:space="preserve">NC: FLSA – NONPROFIT, PRIVATE VOL. FD – NOT ELIGIBLE OVERTIME EXEMPTION – NOT “PUBLIC AGENCY” </w:t>
      </w:r>
    </w:p>
    <w:p w14:paraId="0DC819D9" w14:textId="77777777" w:rsidR="00F326E5" w:rsidRPr="00E658E1" w:rsidRDefault="00F326E5" w:rsidP="00F326E5">
      <w:pPr>
        <w:rPr>
          <w:rFonts w:ascii="Times New Roman" w:eastAsia="Times New Roman" w:hAnsi="Times New Roman"/>
          <w:sz w:val="24"/>
          <w:szCs w:val="24"/>
        </w:rPr>
      </w:pPr>
      <w:r w:rsidRPr="00E658E1">
        <w:rPr>
          <w:rFonts w:ascii="Times New Roman" w:eastAsia="Times New Roman" w:hAnsi="Times New Roman"/>
          <w:sz w:val="24"/>
          <w:szCs w:val="24"/>
        </w:rPr>
        <w:t xml:space="preserve">On Nov. 8, 2018, the U.S. Department of Labor issued Opinion Letter FLSA 2018-24, concluding: “Based on the facts you have provided, the nonprofit, privately owned fire departments that you describe are not public agencies within the meaning of Section 7(k) and are therefore not entitled to its partial overtime exemption.” </w:t>
      </w:r>
      <w:hyperlink r:id="rId1868" w:history="1">
        <w:r w:rsidRPr="00E658E1">
          <w:rPr>
            <w:rStyle w:val="Hyperlink"/>
            <w:rFonts w:ascii="Times New Roman" w:hAnsi="Times New Roman"/>
            <w:sz w:val="24"/>
            <w:szCs w:val="24"/>
          </w:rPr>
          <w:t>https://www.dol.gov/whd/opinion/FLSA/2018/2018_11_08_24_FLSA.pdf</w:t>
        </w:r>
      </w:hyperlink>
      <w:r w:rsidRPr="00E658E1">
        <w:rPr>
          <w:rFonts w:ascii="Times New Roman" w:eastAsia="Times New Roman" w:hAnsi="Times New Roman"/>
          <w:sz w:val="24"/>
          <w:szCs w:val="24"/>
        </w:rPr>
        <w:t xml:space="preserve"> </w:t>
      </w:r>
    </w:p>
    <w:p w14:paraId="5094583F" w14:textId="77777777" w:rsidR="00F326E5" w:rsidRPr="00E658E1" w:rsidRDefault="00F326E5" w:rsidP="00F326E5">
      <w:pPr>
        <w:jc w:val="both"/>
        <w:rPr>
          <w:rFonts w:ascii="Times New Roman" w:eastAsia="Times New Roman" w:hAnsi="Times New Roman"/>
          <w:b/>
          <w:sz w:val="24"/>
          <w:szCs w:val="24"/>
        </w:rPr>
      </w:pPr>
      <w:r w:rsidRPr="00E658E1">
        <w:rPr>
          <w:rFonts w:ascii="Times New Roman" w:eastAsia="Times New Roman" w:hAnsi="Times New Roman"/>
          <w:b/>
          <w:sz w:val="24"/>
          <w:szCs w:val="24"/>
        </w:rPr>
        <w:t xml:space="preserve">Legal Lessons Learned:  When in doubt, it is helpful to seek an “official” Opinion Letter;   helps avoid litigation. These North Carolina nonprofit FDs must therefore continue to  pay overtime to employees working over 40 hours in a work week.  They don’t enjoy the “7(k) exemption” which allows public-sector FDs, for example, to pay overtime after 212 hours in a 28-day pay period (after 53 hours in a work week). </w:t>
      </w:r>
    </w:p>
    <w:p w14:paraId="131B33C0" w14:textId="77777777" w:rsidR="00F326E5" w:rsidRPr="00071B42" w:rsidRDefault="00F326E5" w:rsidP="00F326E5">
      <w:pPr>
        <w:ind w:firstLine="720"/>
        <w:jc w:val="both"/>
        <w:rPr>
          <w:rFonts w:eastAsia="Times New Roman"/>
          <w:sz w:val="24"/>
          <w:szCs w:val="24"/>
        </w:rPr>
      </w:pPr>
      <w:r w:rsidRPr="00071B42">
        <w:rPr>
          <w:rFonts w:eastAsia="Times New Roman"/>
          <w:sz w:val="24"/>
          <w:szCs w:val="24"/>
        </w:rPr>
        <w:t xml:space="preserve">See IAFF Manual (page 8); court cases involving 7k exemption: </w:t>
      </w:r>
    </w:p>
    <w:p w14:paraId="159D0912" w14:textId="77777777" w:rsidR="00F326E5" w:rsidRPr="00071B42" w:rsidRDefault="00F326E5" w:rsidP="00F326E5">
      <w:pPr>
        <w:ind w:firstLine="720"/>
        <w:jc w:val="both"/>
        <w:rPr>
          <w:rFonts w:eastAsia="Times New Roman"/>
          <w:sz w:val="24"/>
          <w:szCs w:val="24"/>
        </w:rPr>
      </w:pPr>
      <w:hyperlink r:id="rId1869" w:history="1">
        <w:r w:rsidRPr="00071B42">
          <w:rPr>
            <w:rStyle w:val="Hyperlink"/>
            <w:sz w:val="24"/>
            <w:szCs w:val="24"/>
          </w:rPr>
          <w:t>http://www.iaff.org/Legal/PDF/1996FLSAManual.pdf</w:t>
        </w:r>
      </w:hyperlink>
      <w:r w:rsidRPr="00071B42">
        <w:rPr>
          <w:rFonts w:eastAsia="Times New Roman"/>
          <w:sz w:val="24"/>
          <w:szCs w:val="24"/>
        </w:rPr>
        <w:t xml:space="preserve"> </w:t>
      </w:r>
    </w:p>
    <w:bookmarkEnd w:id="410"/>
    <w:p w14:paraId="4471B37B" w14:textId="77777777" w:rsidR="00F326E5" w:rsidRPr="00071B42" w:rsidRDefault="00F326E5" w:rsidP="00F326E5">
      <w:pPr>
        <w:rPr>
          <w:rFonts w:eastAsia="Times New Roman"/>
          <w:sz w:val="24"/>
          <w:szCs w:val="24"/>
        </w:rPr>
      </w:pPr>
    </w:p>
    <w:p w14:paraId="6C6E99A8" w14:textId="77777777" w:rsidR="00F326E5" w:rsidRDefault="00F326E5" w:rsidP="00F326E5">
      <w:pPr>
        <w:pStyle w:val="NoSpacing"/>
        <w:rPr>
          <w:sz w:val="24"/>
          <w:szCs w:val="24"/>
        </w:rPr>
      </w:pPr>
    </w:p>
    <w:p w14:paraId="365AB88B" w14:textId="6E96CDB6" w:rsidR="00DE0F03" w:rsidRDefault="00DE0F03" w:rsidP="00DE0F03">
      <w:pPr>
        <w:rPr>
          <w:sz w:val="24"/>
          <w:szCs w:val="24"/>
        </w:rPr>
      </w:pPr>
      <w:r>
        <w:rPr>
          <w:rFonts w:ascii="Arial Black" w:hAnsi="Arial Black"/>
          <w:b/>
          <w:sz w:val="24"/>
          <w:szCs w:val="24"/>
        </w:rPr>
        <w:t>11</w:t>
      </w:r>
      <w:r w:rsidRPr="00EF1133">
        <w:rPr>
          <w:rFonts w:ascii="Arial Black" w:hAnsi="Arial Black"/>
          <w:b/>
          <w:sz w:val="24"/>
          <w:szCs w:val="24"/>
        </w:rPr>
        <w:t>-</w:t>
      </w:r>
      <w:r>
        <w:rPr>
          <w:rFonts w:ascii="Arial Black" w:hAnsi="Arial Black"/>
          <w:b/>
          <w:sz w:val="24"/>
          <w:szCs w:val="24"/>
        </w:rPr>
        <w:t>2</w:t>
      </w:r>
    </w:p>
    <w:p w14:paraId="6A09C022" w14:textId="77777777" w:rsidR="00F326E5" w:rsidRDefault="00F326E5" w:rsidP="00F326E5">
      <w:pPr>
        <w:pStyle w:val="NoSpacing"/>
        <w:rPr>
          <w:sz w:val="24"/>
          <w:szCs w:val="24"/>
        </w:rPr>
      </w:pPr>
    </w:p>
    <w:p w14:paraId="131CCD2B" w14:textId="2FDE99A4" w:rsidR="00F326E5" w:rsidRDefault="00F326E5" w:rsidP="00F326E5">
      <w:pPr>
        <w:pStyle w:val="NoSpacing"/>
        <w:rPr>
          <w:b/>
          <w:sz w:val="24"/>
          <w:szCs w:val="24"/>
        </w:rPr>
      </w:pPr>
      <w:bookmarkStart w:id="411" w:name="_Hlk7345571"/>
      <w:r w:rsidRPr="00B018B0">
        <w:rPr>
          <w:rFonts w:ascii="Arial Black" w:hAnsi="Arial Black"/>
          <w:b/>
          <w:sz w:val="28"/>
          <w:szCs w:val="28"/>
        </w:rPr>
        <w:t xml:space="preserve">NY:  MEAL ALLOWANCES FOR FDNY EMS – MUST BE INCLUDED IN CALCULATING </w:t>
      </w:r>
      <w:r>
        <w:rPr>
          <w:rFonts w:ascii="Arial Black" w:hAnsi="Arial Black"/>
          <w:b/>
          <w:sz w:val="28"/>
          <w:szCs w:val="28"/>
        </w:rPr>
        <w:t>“REGUL</w:t>
      </w:r>
      <w:r w:rsidR="000F0910">
        <w:rPr>
          <w:rFonts w:ascii="Arial Black" w:hAnsi="Arial Black"/>
          <w:b/>
          <w:sz w:val="28"/>
          <w:szCs w:val="28"/>
        </w:rPr>
        <w:t>A</w:t>
      </w:r>
      <w:r>
        <w:rPr>
          <w:rFonts w:ascii="Arial Black" w:hAnsi="Arial Black"/>
          <w:b/>
          <w:sz w:val="28"/>
          <w:szCs w:val="28"/>
        </w:rPr>
        <w:t xml:space="preserve">R </w:t>
      </w:r>
      <w:r w:rsidRPr="00B018B0">
        <w:rPr>
          <w:rFonts w:ascii="Arial Black" w:hAnsi="Arial Black"/>
          <w:b/>
          <w:sz w:val="28"/>
          <w:szCs w:val="28"/>
        </w:rPr>
        <w:t>RATE OF PAY</w:t>
      </w:r>
      <w:r>
        <w:rPr>
          <w:rFonts w:ascii="Arial Black" w:hAnsi="Arial Black"/>
          <w:b/>
          <w:sz w:val="28"/>
          <w:szCs w:val="28"/>
        </w:rPr>
        <w:t>”</w:t>
      </w:r>
    </w:p>
    <w:p w14:paraId="52F7A4EA" w14:textId="77777777" w:rsidR="00F326E5" w:rsidRPr="00E658E1" w:rsidRDefault="00F326E5" w:rsidP="00F326E5">
      <w:pPr>
        <w:pStyle w:val="NoSpacing"/>
        <w:rPr>
          <w:rFonts w:ascii="Times New Roman" w:hAnsi="Times New Roman"/>
          <w:sz w:val="24"/>
          <w:szCs w:val="24"/>
        </w:rPr>
      </w:pPr>
      <w:r w:rsidRPr="00E658E1">
        <w:rPr>
          <w:rFonts w:ascii="Times New Roman" w:hAnsi="Times New Roman"/>
          <w:sz w:val="24"/>
          <w:szCs w:val="24"/>
        </w:rPr>
        <w:t xml:space="preserve">On March 26, 2018, in </w:t>
      </w:r>
      <w:r w:rsidRPr="00E658E1">
        <w:rPr>
          <w:rFonts w:ascii="Times New Roman" w:hAnsi="Times New Roman"/>
          <w:sz w:val="24"/>
          <w:szCs w:val="24"/>
          <w:u w:val="single"/>
        </w:rPr>
        <w:t>Chaz Perry et al. v. City of New York</w:t>
      </w:r>
      <w:r w:rsidRPr="00E658E1">
        <w:rPr>
          <w:rFonts w:ascii="Times New Roman" w:hAnsi="Times New Roman"/>
          <w:sz w:val="24"/>
          <w:szCs w:val="24"/>
        </w:rPr>
        <w:t xml:space="preserve">, U.S. District Court for Southern District of New York, Federal District Judge Vernon S. Broderick held that the </w:t>
      </w:r>
      <w:proofErr w:type="gramStart"/>
      <w:r w:rsidRPr="00E658E1">
        <w:rPr>
          <w:rFonts w:ascii="Times New Roman" w:hAnsi="Times New Roman"/>
          <w:sz w:val="24"/>
          <w:szCs w:val="24"/>
        </w:rPr>
        <w:t>City</w:t>
      </w:r>
      <w:proofErr w:type="gramEnd"/>
      <w:r w:rsidRPr="00E658E1">
        <w:rPr>
          <w:rFonts w:ascii="Times New Roman" w:hAnsi="Times New Roman"/>
          <w:sz w:val="24"/>
          <w:szCs w:val="24"/>
        </w:rPr>
        <w:t xml:space="preserve"> must include meal allowances when calculating the “regular rate” of pay for overtime, just as City does for night shift differential pay.  In this lawsuit by over 2,600 FDNY paramedics, EMTs and Fire Inspectors, other claims in the lawsuit, including compensable work performed before and after Plaintiffs’ shifts, will go to trial. </w:t>
      </w:r>
      <w:hyperlink r:id="rId1870" w:history="1">
        <w:r w:rsidRPr="00E658E1">
          <w:rPr>
            <w:rStyle w:val="Hyperlink"/>
            <w:rFonts w:ascii="Times New Roman" w:hAnsi="Times New Roman"/>
            <w:sz w:val="24"/>
            <w:szCs w:val="24"/>
          </w:rPr>
          <w:t>https://law.justia.com/cases/federal/district-courts/new-york/nysdce/1:2013cv01015/407972/168/</w:t>
        </w:r>
      </w:hyperlink>
      <w:r w:rsidRPr="00E658E1">
        <w:rPr>
          <w:rFonts w:ascii="Times New Roman" w:hAnsi="Times New Roman"/>
          <w:sz w:val="24"/>
          <w:szCs w:val="24"/>
        </w:rPr>
        <w:t xml:space="preserve"> </w:t>
      </w:r>
    </w:p>
    <w:p w14:paraId="351228D4" w14:textId="77777777" w:rsidR="00E658E1" w:rsidRDefault="00E658E1" w:rsidP="00F326E5">
      <w:pPr>
        <w:rPr>
          <w:rFonts w:ascii="Times New Roman" w:hAnsi="Times New Roman"/>
          <w:b/>
          <w:sz w:val="24"/>
          <w:szCs w:val="24"/>
        </w:rPr>
      </w:pPr>
    </w:p>
    <w:p w14:paraId="017E8AFD" w14:textId="64B2A934" w:rsidR="00F326E5" w:rsidRPr="00E658E1" w:rsidRDefault="00F326E5" w:rsidP="00F326E5">
      <w:pPr>
        <w:rPr>
          <w:rFonts w:ascii="Times New Roman" w:hAnsi="Times New Roman"/>
          <w:b/>
          <w:sz w:val="24"/>
          <w:szCs w:val="24"/>
        </w:rPr>
      </w:pPr>
      <w:r w:rsidRPr="00E658E1">
        <w:rPr>
          <w:rFonts w:ascii="Times New Roman" w:hAnsi="Times New Roman"/>
          <w:b/>
          <w:sz w:val="24"/>
          <w:szCs w:val="24"/>
        </w:rPr>
        <w:t xml:space="preserve">Legal Lessons Learned:  Overtime pay is calculated by not only your hourly rate, but also other bonuses received, such as paramedic </w:t>
      </w:r>
      <w:proofErr w:type="gramStart"/>
      <w:r w:rsidRPr="00E658E1">
        <w:rPr>
          <w:rFonts w:ascii="Times New Roman" w:hAnsi="Times New Roman"/>
          <w:b/>
          <w:sz w:val="24"/>
          <w:szCs w:val="24"/>
        </w:rPr>
        <w:t>bonus</w:t>
      </w:r>
      <w:proofErr w:type="gramEnd"/>
      <w:r w:rsidRPr="00E658E1">
        <w:rPr>
          <w:rFonts w:ascii="Times New Roman" w:hAnsi="Times New Roman"/>
          <w:b/>
          <w:sz w:val="24"/>
          <w:szCs w:val="24"/>
        </w:rPr>
        <w:t xml:space="preserve"> and night shift differential. </w:t>
      </w:r>
    </w:p>
    <w:p w14:paraId="6EA6C78D" w14:textId="225D146E" w:rsidR="00F326E5" w:rsidRPr="00E658E1" w:rsidRDefault="00F326E5" w:rsidP="00F326E5">
      <w:pPr>
        <w:ind w:left="720"/>
        <w:rPr>
          <w:rFonts w:ascii="Times New Roman" w:hAnsi="Times New Roman"/>
          <w:sz w:val="24"/>
          <w:szCs w:val="24"/>
        </w:rPr>
      </w:pPr>
      <w:r w:rsidRPr="00E658E1">
        <w:rPr>
          <w:rFonts w:ascii="Times New Roman" w:hAnsi="Times New Roman"/>
          <w:sz w:val="24"/>
          <w:szCs w:val="24"/>
        </w:rPr>
        <w:t xml:space="preserve">See U.S. Department of Labor, Fact Sheet No. 23, and regulations. </w:t>
      </w:r>
      <w:hyperlink r:id="rId1871" w:history="1">
        <w:r w:rsidRPr="00E658E1">
          <w:rPr>
            <w:rStyle w:val="Hyperlink"/>
            <w:rFonts w:ascii="Times New Roman" w:hAnsi="Times New Roman"/>
            <w:sz w:val="24"/>
            <w:szCs w:val="24"/>
          </w:rPr>
          <w:t>file:///C:/Users/lawre/AppData/Local/Microsoft/Windows/INetCache/IE/CTCRXJ99/whdfs23.pdf</w:t>
        </w:r>
      </w:hyperlink>
      <w:r w:rsidRPr="00E658E1">
        <w:rPr>
          <w:rFonts w:ascii="Times New Roman" w:hAnsi="Times New Roman"/>
          <w:sz w:val="24"/>
          <w:szCs w:val="24"/>
        </w:rPr>
        <w:t xml:space="preserve">  </w:t>
      </w:r>
    </w:p>
    <w:p w14:paraId="6EA47649" w14:textId="77777777" w:rsidR="00DE0F03" w:rsidRPr="00E658E1" w:rsidRDefault="00DE0F03" w:rsidP="00DE0F03">
      <w:pPr>
        <w:rPr>
          <w:rFonts w:ascii="Times New Roman" w:hAnsi="Times New Roman"/>
          <w:b/>
          <w:sz w:val="24"/>
          <w:szCs w:val="24"/>
        </w:rPr>
      </w:pPr>
    </w:p>
    <w:p w14:paraId="5BEB22CC" w14:textId="7C98027D" w:rsidR="00DE0F03" w:rsidRDefault="00DE0F03" w:rsidP="00DE0F03">
      <w:pPr>
        <w:rPr>
          <w:sz w:val="24"/>
          <w:szCs w:val="24"/>
        </w:rPr>
      </w:pPr>
      <w:r>
        <w:rPr>
          <w:rFonts w:ascii="Arial Black" w:hAnsi="Arial Black"/>
          <w:b/>
          <w:sz w:val="24"/>
          <w:szCs w:val="24"/>
        </w:rPr>
        <w:t>11</w:t>
      </w:r>
      <w:r w:rsidRPr="00EF1133">
        <w:rPr>
          <w:rFonts w:ascii="Arial Black" w:hAnsi="Arial Black"/>
          <w:b/>
          <w:sz w:val="24"/>
          <w:szCs w:val="24"/>
        </w:rPr>
        <w:t>-1</w:t>
      </w:r>
    </w:p>
    <w:p w14:paraId="7FE50A4C" w14:textId="09B8F2E9" w:rsidR="00F326E5" w:rsidRPr="0000463F" w:rsidRDefault="00F326E5" w:rsidP="00F326E5">
      <w:pPr>
        <w:rPr>
          <w:rFonts w:ascii="Arial Black" w:hAnsi="Arial Black"/>
          <w:sz w:val="28"/>
          <w:szCs w:val="28"/>
        </w:rPr>
      </w:pPr>
      <w:bookmarkStart w:id="412" w:name="_Hlk7345626"/>
      <w:bookmarkEnd w:id="411"/>
      <w:r w:rsidRPr="0000463F">
        <w:rPr>
          <w:rFonts w:ascii="Arial Black" w:hAnsi="Arial Black"/>
          <w:sz w:val="28"/>
          <w:szCs w:val="28"/>
        </w:rPr>
        <w:t xml:space="preserve">U.S. </w:t>
      </w:r>
      <w:r>
        <w:rPr>
          <w:rFonts w:ascii="Arial Black" w:hAnsi="Arial Black"/>
          <w:sz w:val="28"/>
          <w:szCs w:val="28"/>
        </w:rPr>
        <w:t xml:space="preserve">DOL:  FD CONTRACTS WITH PRIVATE COMPANY FOR EMS – </w:t>
      </w:r>
      <w:r w:rsidR="008F1BBB">
        <w:rPr>
          <w:rFonts w:ascii="Arial Black" w:hAnsi="Arial Black"/>
          <w:sz w:val="28"/>
          <w:szCs w:val="28"/>
        </w:rPr>
        <w:t xml:space="preserve">EMT </w:t>
      </w:r>
      <w:r>
        <w:rPr>
          <w:rFonts w:ascii="Arial Black" w:hAnsi="Arial Black"/>
          <w:sz w:val="28"/>
          <w:szCs w:val="28"/>
        </w:rPr>
        <w:t>CAN’T VOL</w:t>
      </w:r>
      <w:r w:rsidR="008F1BBB">
        <w:rPr>
          <w:rFonts w:ascii="Arial Black" w:hAnsi="Arial Black"/>
          <w:sz w:val="28"/>
          <w:szCs w:val="28"/>
        </w:rPr>
        <w:t xml:space="preserve">UNTEER </w:t>
      </w:r>
      <w:r>
        <w:rPr>
          <w:rFonts w:ascii="Arial Black" w:hAnsi="Arial Black"/>
          <w:sz w:val="28"/>
          <w:szCs w:val="28"/>
        </w:rPr>
        <w:t xml:space="preserve">IF </w:t>
      </w:r>
      <w:r w:rsidR="008F1BBB">
        <w:rPr>
          <w:rFonts w:ascii="Arial Black" w:hAnsi="Arial Black"/>
          <w:sz w:val="28"/>
          <w:szCs w:val="28"/>
        </w:rPr>
        <w:t xml:space="preserve">PERFORMING </w:t>
      </w:r>
      <w:r>
        <w:rPr>
          <w:rFonts w:ascii="Arial Black" w:hAnsi="Arial Black"/>
          <w:sz w:val="28"/>
          <w:szCs w:val="28"/>
        </w:rPr>
        <w:t>SAME SERVICES</w:t>
      </w:r>
    </w:p>
    <w:p w14:paraId="43E1D9EC" w14:textId="77777777" w:rsidR="00E658E1" w:rsidRDefault="00F326E5" w:rsidP="00F326E5">
      <w:pPr>
        <w:rPr>
          <w:rFonts w:ascii="Times New Roman" w:eastAsia="Times New Roman" w:hAnsi="Times New Roman"/>
          <w:sz w:val="24"/>
          <w:szCs w:val="24"/>
        </w:rPr>
      </w:pPr>
      <w:r w:rsidRPr="00E658E1">
        <w:rPr>
          <w:rFonts w:ascii="Times New Roman" w:eastAsia="Times New Roman" w:hAnsi="Times New Roman"/>
          <w:sz w:val="24"/>
          <w:szCs w:val="24"/>
        </w:rPr>
        <w:t xml:space="preserve">On Jan. 5, 2018, the U.S. Department of Labor issued Opinion Letter FLSA 2018-16, re-affirmed a 2009 Opinion Letter: </w:t>
      </w:r>
    </w:p>
    <w:p w14:paraId="10C90298" w14:textId="7265BBC8" w:rsidR="00F326E5" w:rsidRPr="00E658E1" w:rsidRDefault="00F326E5" w:rsidP="00E658E1">
      <w:pPr>
        <w:ind w:left="720"/>
        <w:rPr>
          <w:rFonts w:ascii="Times New Roman" w:eastAsia="Times New Roman" w:hAnsi="Times New Roman"/>
          <w:sz w:val="24"/>
          <w:szCs w:val="24"/>
        </w:rPr>
      </w:pPr>
      <w:r w:rsidRPr="00E658E1">
        <w:rPr>
          <w:rFonts w:ascii="Times New Roman" w:eastAsia="Times New Roman" w:hAnsi="Times New Roman"/>
          <w:sz w:val="24"/>
          <w:szCs w:val="24"/>
        </w:rPr>
        <w:t xml:space="preserve">“You [ask] whether the EMTs paid by the VFC’s contractor may continue to ‘volunteer’ as EMTs for the VFC without being compensated in accordance with the FLSA. The answer to this question depends on whether the VFC </w:t>
      </w:r>
      <w:proofErr w:type="gramStart"/>
      <w:r w:rsidRPr="00E658E1">
        <w:rPr>
          <w:rFonts w:ascii="Times New Roman" w:eastAsia="Times New Roman" w:hAnsi="Times New Roman"/>
          <w:sz w:val="24"/>
          <w:szCs w:val="24"/>
        </w:rPr>
        <w:t>is considered to be</w:t>
      </w:r>
      <w:proofErr w:type="gramEnd"/>
      <w:r w:rsidRPr="00E658E1">
        <w:rPr>
          <w:rFonts w:ascii="Times New Roman" w:eastAsia="Times New Roman" w:hAnsi="Times New Roman"/>
          <w:sz w:val="24"/>
          <w:szCs w:val="24"/>
        </w:rPr>
        <w:t xml:space="preserve"> an employer of the paid staff members. If the VFC is in fact deemed to be an employer (along with the contractor) of the paid staff members, the EMTs could not ‘volunteer’ to the VFC the same services that they perform </w:t>
      </w:r>
      <w:proofErr w:type="gramStart"/>
      <w:r w:rsidRPr="00E658E1">
        <w:rPr>
          <w:rFonts w:ascii="Times New Roman" w:eastAsia="Times New Roman" w:hAnsi="Times New Roman"/>
          <w:sz w:val="24"/>
          <w:szCs w:val="24"/>
        </w:rPr>
        <w:t>for</w:t>
      </w:r>
      <w:proofErr w:type="gramEnd"/>
      <w:r w:rsidRPr="00E658E1">
        <w:rPr>
          <w:rFonts w:ascii="Times New Roman" w:eastAsia="Times New Roman" w:hAnsi="Times New Roman"/>
          <w:sz w:val="24"/>
          <w:szCs w:val="24"/>
        </w:rPr>
        <w:t xml:space="preserve"> pay for the contractor. </w:t>
      </w:r>
      <w:hyperlink r:id="rId1872" w:history="1">
        <w:r w:rsidRPr="00E658E1">
          <w:rPr>
            <w:rStyle w:val="Hyperlink"/>
            <w:rFonts w:ascii="Times New Roman" w:hAnsi="Times New Roman"/>
            <w:sz w:val="24"/>
            <w:szCs w:val="24"/>
          </w:rPr>
          <w:t>https://www.dol.gov/whd/opinion/FLSA/2018/2018_01_05_16_FLSA.pdf</w:t>
        </w:r>
      </w:hyperlink>
      <w:r w:rsidRPr="00E658E1">
        <w:rPr>
          <w:rFonts w:ascii="Times New Roman" w:eastAsia="Times New Roman" w:hAnsi="Times New Roman"/>
          <w:sz w:val="24"/>
          <w:szCs w:val="24"/>
        </w:rPr>
        <w:t xml:space="preserve"> </w:t>
      </w:r>
    </w:p>
    <w:p w14:paraId="4AAFD519" w14:textId="77777777" w:rsidR="00F44623" w:rsidRDefault="00F326E5" w:rsidP="00F326E5">
      <w:pPr>
        <w:rPr>
          <w:rFonts w:ascii="Times New Roman" w:eastAsia="Times New Roman" w:hAnsi="Times New Roman"/>
          <w:b/>
          <w:sz w:val="24"/>
          <w:szCs w:val="24"/>
        </w:rPr>
      </w:pPr>
      <w:r w:rsidRPr="00E658E1">
        <w:rPr>
          <w:rFonts w:ascii="Times New Roman" w:eastAsia="Times New Roman" w:hAnsi="Times New Roman"/>
          <w:b/>
          <w:sz w:val="24"/>
          <w:szCs w:val="24"/>
        </w:rPr>
        <w:t xml:space="preserve">Legal Lessons Learned: FLSA Opinion Letters are helpful, but as in this matter are not always definitive.  Fire &amp; EMS Departments are also encouraged to meet “face to face” with Wage &amp; Hour staff and get their informal </w:t>
      </w:r>
      <w:proofErr w:type="gramStart"/>
      <w:r w:rsidRPr="00E658E1">
        <w:rPr>
          <w:rFonts w:ascii="Times New Roman" w:eastAsia="Times New Roman" w:hAnsi="Times New Roman"/>
          <w:b/>
          <w:sz w:val="24"/>
          <w:szCs w:val="24"/>
        </w:rPr>
        <w:t xml:space="preserve">feedback, </w:t>
      </w:r>
      <w:r w:rsidR="00E658E1">
        <w:rPr>
          <w:rFonts w:ascii="Times New Roman" w:eastAsia="Times New Roman" w:hAnsi="Times New Roman"/>
          <w:b/>
          <w:sz w:val="24"/>
          <w:szCs w:val="24"/>
        </w:rPr>
        <w:t xml:space="preserve"> </w:t>
      </w:r>
      <w:r w:rsidRPr="00E658E1">
        <w:rPr>
          <w:rFonts w:ascii="Times New Roman" w:eastAsia="Times New Roman" w:hAnsi="Times New Roman"/>
          <w:b/>
          <w:sz w:val="24"/>
          <w:szCs w:val="24"/>
        </w:rPr>
        <w:t>and</w:t>
      </w:r>
      <w:proofErr w:type="gramEnd"/>
      <w:r w:rsidRPr="00E658E1">
        <w:rPr>
          <w:rFonts w:ascii="Times New Roman" w:eastAsia="Times New Roman" w:hAnsi="Times New Roman"/>
          <w:b/>
          <w:sz w:val="24"/>
          <w:szCs w:val="24"/>
        </w:rPr>
        <w:t xml:space="preserve"> consider retaining Legal Counsel experienced with FLSA issues. </w:t>
      </w:r>
    </w:p>
    <w:bookmarkEnd w:id="412"/>
    <w:p w14:paraId="3ABE2BFD" w14:textId="77777777" w:rsidR="00F44623" w:rsidRDefault="00F44623" w:rsidP="00F326E5">
      <w:pPr>
        <w:pStyle w:val="NoSpacing"/>
        <w:rPr>
          <w:rFonts w:ascii="Arial Black" w:hAnsi="Arial Black"/>
          <w:sz w:val="40"/>
          <w:szCs w:val="40"/>
        </w:rPr>
      </w:pPr>
    </w:p>
    <w:p w14:paraId="0F6AF8AF" w14:textId="4C154D1E" w:rsidR="00F44623" w:rsidRDefault="00F44623" w:rsidP="00F326E5">
      <w:pPr>
        <w:pStyle w:val="NoSpacing"/>
        <w:rPr>
          <w:rFonts w:ascii="Arial Black" w:hAnsi="Arial Black"/>
          <w:sz w:val="40"/>
          <w:szCs w:val="40"/>
        </w:rPr>
      </w:pPr>
      <w:r w:rsidRPr="00F44623">
        <w:rPr>
          <w:rFonts w:ascii="Times New Roman" w:hAnsi="Times New Roman"/>
          <w:b/>
          <w:bCs/>
          <w:sz w:val="24"/>
          <w:szCs w:val="24"/>
        </w:rPr>
        <w:t>See also 2018 PowerPoints by David Comstock, Esq.:</w:t>
      </w:r>
      <w:r>
        <w:rPr>
          <w:rFonts w:ascii="Arial Black" w:hAnsi="Arial Black"/>
          <w:sz w:val="40"/>
          <w:szCs w:val="40"/>
        </w:rPr>
        <w:t xml:space="preserve"> </w:t>
      </w:r>
      <w:hyperlink r:id="rId1873" w:history="1">
        <w:r w:rsidRPr="00F44623">
          <w:rPr>
            <w:rStyle w:val="Hyperlink"/>
            <w:rFonts w:ascii="Times New Roman" w:hAnsi="Times New Roman"/>
            <w:sz w:val="24"/>
            <w:szCs w:val="24"/>
          </w:rPr>
          <w:t>https://www.ohioauditor.gov/trainings/lgoc/2018/Fair%20Labor%20Standards%20Act%20for%20Firefighters.pdf</w:t>
        </w:r>
      </w:hyperlink>
      <w:r>
        <w:rPr>
          <w:rFonts w:ascii="Arial Black" w:hAnsi="Arial Black"/>
          <w:sz w:val="40"/>
          <w:szCs w:val="40"/>
        </w:rPr>
        <w:t xml:space="preserve"> </w:t>
      </w:r>
    </w:p>
    <w:p w14:paraId="71E4CC93" w14:textId="71892566" w:rsidR="00F44623" w:rsidRDefault="00F44623" w:rsidP="00F326E5">
      <w:pPr>
        <w:pStyle w:val="NoSpacing"/>
        <w:rPr>
          <w:rFonts w:ascii="Arial Black" w:hAnsi="Arial Black"/>
          <w:sz w:val="40"/>
          <w:szCs w:val="40"/>
        </w:rPr>
      </w:pPr>
    </w:p>
    <w:p w14:paraId="0D2D6C43" w14:textId="6A77043A" w:rsidR="00F44623" w:rsidRPr="00F44623" w:rsidRDefault="00F44623" w:rsidP="00F326E5">
      <w:pPr>
        <w:pStyle w:val="NoSpacing"/>
        <w:rPr>
          <w:rFonts w:ascii="Times New Roman" w:hAnsi="Times New Roman"/>
          <w:sz w:val="24"/>
          <w:szCs w:val="24"/>
        </w:rPr>
      </w:pPr>
      <w:r>
        <w:rPr>
          <w:rFonts w:ascii="Times New Roman" w:hAnsi="Times New Roman"/>
          <w:sz w:val="24"/>
          <w:szCs w:val="24"/>
        </w:rPr>
        <w:t xml:space="preserve">Nov. 14, 2014: </w:t>
      </w:r>
      <w:r w:rsidRPr="00F44623">
        <w:rPr>
          <w:rFonts w:ascii="Times New Roman" w:hAnsi="Times New Roman"/>
          <w:sz w:val="24"/>
          <w:szCs w:val="24"/>
          <w:u w:val="single"/>
        </w:rPr>
        <w:t>Jon Misewicz, et al. v. City of Memphis</w:t>
      </w:r>
      <w:r w:rsidRPr="00F44623">
        <w:rPr>
          <w:rFonts w:ascii="Times New Roman" w:hAnsi="Times New Roman"/>
          <w:sz w:val="24"/>
          <w:szCs w:val="24"/>
        </w:rPr>
        <w:t xml:space="preserve"> (6</w:t>
      </w:r>
      <w:r w:rsidRPr="00F44623">
        <w:rPr>
          <w:rFonts w:ascii="Times New Roman" w:hAnsi="Times New Roman"/>
          <w:sz w:val="24"/>
          <w:szCs w:val="24"/>
          <w:vertAlign w:val="superscript"/>
        </w:rPr>
        <w:t>th</w:t>
      </w:r>
      <w:r w:rsidRPr="00F44623">
        <w:rPr>
          <w:rFonts w:ascii="Times New Roman" w:hAnsi="Times New Roman"/>
          <w:sz w:val="24"/>
          <w:szCs w:val="24"/>
        </w:rPr>
        <w:t xml:space="preserve"> Circuit)</w:t>
      </w:r>
    </w:p>
    <w:p w14:paraId="19A23741" w14:textId="77777777" w:rsidR="00F44623" w:rsidRDefault="00F44623" w:rsidP="00F326E5">
      <w:pPr>
        <w:pStyle w:val="NoSpacing"/>
        <w:rPr>
          <w:rFonts w:ascii="Times New Roman" w:hAnsi="Times New Roman"/>
          <w:sz w:val="24"/>
          <w:szCs w:val="24"/>
        </w:rPr>
      </w:pPr>
    </w:p>
    <w:p w14:paraId="356CBFF4" w14:textId="3FACB675" w:rsidR="00F44623" w:rsidRPr="00F44623" w:rsidRDefault="00F44623" w:rsidP="00F44623">
      <w:pPr>
        <w:pStyle w:val="NoSpacing"/>
        <w:ind w:left="720"/>
        <w:rPr>
          <w:rFonts w:ascii="Times New Roman" w:hAnsi="Times New Roman"/>
          <w:sz w:val="24"/>
          <w:szCs w:val="24"/>
        </w:rPr>
      </w:pPr>
      <w:r>
        <w:rPr>
          <w:rFonts w:ascii="Times New Roman" w:hAnsi="Times New Roman"/>
          <w:sz w:val="24"/>
          <w:szCs w:val="24"/>
        </w:rPr>
        <w:t>“</w:t>
      </w:r>
      <w:r w:rsidRPr="00F44623">
        <w:rPr>
          <w:rFonts w:ascii="Times New Roman" w:hAnsi="Times New Roman"/>
          <w:sz w:val="24"/>
          <w:szCs w:val="24"/>
        </w:rPr>
        <w:t xml:space="preserve">In this case alleging violations of § 207 of the Fair Labor Standards Act, 29 U.S.C. § 207, plaintiffs-appellants (hereinafter </w:t>
      </w:r>
      <w:r w:rsidR="00AE3176">
        <w:rPr>
          <w:rFonts w:ascii="Times New Roman" w:hAnsi="Times New Roman"/>
          <w:sz w:val="24"/>
          <w:szCs w:val="24"/>
        </w:rPr>
        <w:t>‘</w:t>
      </w:r>
      <w:r w:rsidRPr="00F44623">
        <w:rPr>
          <w:rFonts w:ascii="Times New Roman" w:hAnsi="Times New Roman"/>
          <w:sz w:val="24"/>
          <w:szCs w:val="24"/>
        </w:rPr>
        <w:t>Plaintiffs</w:t>
      </w:r>
      <w:r w:rsidR="00AE3176">
        <w:rPr>
          <w:rFonts w:ascii="Times New Roman" w:hAnsi="Times New Roman"/>
          <w:sz w:val="24"/>
          <w:szCs w:val="24"/>
        </w:rPr>
        <w:t>’</w:t>
      </w:r>
      <w:r w:rsidRPr="00F44623">
        <w:rPr>
          <w:rFonts w:ascii="Times New Roman" w:hAnsi="Times New Roman"/>
          <w:sz w:val="24"/>
          <w:szCs w:val="24"/>
        </w:rPr>
        <w:t xml:space="preserve">), fire fighters employed by the Memphis Fire Department, appeal the district court’s grant of summary judgment to defendant-appellee the City of Memphis, Tennessee on their complaint asserting overtime pay for paramedic training time. For the reasons set forth below, we AFFIRM the district court’s grant of summary judgment to the City of Memphis. *** In relevant part, the form required an applicant to agree that </w:t>
      </w:r>
      <w:r w:rsidR="00AE3176">
        <w:rPr>
          <w:rFonts w:ascii="Times New Roman" w:hAnsi="Times New Roman"/>
          <w:sz w:val="24"/>
          <w:szCs w:val="24"/>
        </w:rPr>
        <w:t>‘</w:t>
      </w:r>
      <w:r w:rsidRPr="00F44623">
        <w:rPr>
          <w:rFonts w:ascii="Times New Roman" w:hAnsi="Times New Roman"/>
          <w:sz w:val="24"/>
          <w:szCs w:val="24"/>
        </w:rPr>
        <w:t>[w]</w:t>
      </w:r>
      <w:proofErr w:type="spellStart"/>
      <w:r w:rsidRPr="00F44623">
        <w:rPr>
          <w:rFonts w:ascii="Times New Roman" w:hAnsi="Times New Roman"/>
          <w:sz w:val="24"/>
          <w:szCs w:val="24"/>
        </w:rPr>
        <w:t>ithin</w:t>
      </w:r>
      <w:proofErr w:type="spellEnd"/>
      <w:r w:rsidRPr="00F44623">
        <w:rPr>
          <w:rFonts w:ascii="Times New Roman" w:hAnsi="Times New Roman"/>
          <w:sz w:val="24"/>
          <w:szCs w:val="24"/>
        </w:rPr>
        <w:t xml:space="preserve"> three (3) years of employment with the Memphis Fire Department, you must become licensed by the State of Tennessee as a Paramedic (EMT-Advanced), as a condition of continued employment.</w:t>
      </w:r>
      <w:r w:rsidR="00AE3176">
        <w:rPr>
          <w:rFonts w:ascii="Times New Roman" w:hAnsi="Times New Roman"/>
          <w:sz w:val="24"/>
          <w:szCs w:val="24"/>
        </w:rPr>
        <w:t>’</w:t>
      </w:r>
      <w:r w:rsidRPr="00F44623">
        <w:rPr>
          <w:rFonts w:ascii="Times New Roman" w:hAnsi="Times New Roman"/>
          <w:sz w:val="24"/>
          <w:szCs w:val="24"/>
        </w:rPr>
        <w:t xml:space="preserve">1Id. One hundred and eleven Plaintiffs signed the forms, and </w:t>
      </w:r>
      <w:r w:rsidR="00AE3176">
        <w:rPr>
          <w:rFonts w:ascii="Times New Roman" w:hAnsi="Times New Roman"/>
          <w:sz w:val="24"/>
          <w:szCs w:val="24"/>
        </w:rPr>
        <w:t>‘</w:t>
      </w:r>
      <w:r w:rsidRPr="00F44623">
        <w:rPr>
          <w:rFonts w:ascii="Times New Roman" w:hAnsi="Times New Roman"/>
          <w:sz w:val="24"/>
          <w:szCs w:val="24"/>
        </w:rPr>
        <w:t>[a]</w:t>
      </w:r>
      <w:proofErr w:type="spellStart"/>
      <w:r w:rsidRPr="00F44623">
        <w:rPr>
          <w:rFonts w:ascii="Times New Roman" w:hAnsi="Times New Roman"/>
          <w:sz w:val="24"/>
          <w:szCs w:val="24"/>
        </w:rPr>
        <w:t>ll</w:t>
      </w:r>
      <w:proofErr w:type="spellEnd"/>
      <w:r w:rsidRPr="00F44623">
        <w:rPr>
          <w:rFonts w:ascii="Times New Roman" w:hAnsi="Times New Roman"/>
          <w:sz w:val="24"/>
          <w:szCs w:val="24"/>
        </w:rPr>
        <w:t xml:space="preserve"> but four . . . signed in January or February 2007.</w:t>
      </w:r>
      <w:r w:rsidR="00AE3176">
        <w:rPr>
          <w:rFonts w:ascii="Times New Roman" w:hAnsi="Times New Roman"/>
          <w:sz w:val="24"/>
          <w:szCs w:val="24"/>
        </w:rPr>
        <w:t>’</w:t>
      </w:r>
      <w:r w:rsidRPr="00F44623">
        <w:rPr>
          <w:rFonts w:ascii="Times New Roman" w:hAnsi="Times New Roman"/>
          <w:sz w:val="24"/>
          <w:szCs w:val="24"/>
        </w:rPr>
        <w:t xml:space="preserve"> Id. ¶ 17 (Page ID #906). When Plaintiffs signed the forms, the MFD did not tell them that the training would be uncompensated or </w:t>
      </w:r>
      <w:proofErr w:type="gramStart"/>
      <w:r w:rsidRPr="00F44623">
        <w:rPr>
          <w:rFonts w:ascii="Times New Roman" w:hAnsi="Times New Roman"/>
          <w:sz w:val="24"/>
          <w:szCs w:val="24"/>
        </w:rPr>
        <w:t>off-duty</w:t>
      </w:r>
      <w:proofErr w:type="gramEnd"/>
      <w:r w:rsidRPr="00F44623">
        <w:rPr>
          <w:rFonts w:ascii="Times New Roman" w:hAnsi="Times New Roman"/>
          <w:sz w:val="24"/>
          <w:szCs w:val="24"/>
        </w:rPr>
        <w:t xml:space="preserve">. Id. ¶ 16 (Page ID #906). </w:t>
      </w:r>
      <w:hyperlink r:id="rId1874" w:history="1">
        <w:r w:rsidRPr="00F44623">
          <w:rPr>
            <w:rStyle w:val="Hyperlink"/>
            <w:rFonts w:ascii="Times New Roman" w:hAnsi="Times New Roman"/>
            <w:sz w:val="24"/>
            <w:szCs w:val="24"/>
          </w:rPr>
          <w:t>https://cases.justia.com/federal/appellate-courts/ca6/14-5053/14-5053-2014-11-14.pdf?ts=1415984433</w:t>
        </w:r>
      </w:hyperlink>
      <w:r w:rsidRPr="00F44623">
        <w:rPr>
          <w:rFonts w:ascii="Times New Roman" w:hAnsi="Times New Roman"/>
          <w:sz w:val="24"/>
          <w:szCs w:val="24"/>
        </w:rPr>
        <w:t xml:space="preserve"> </w:t>
      </w:r>
    </w:p>
    <w:p w14:paraId="0BDDD442" w14:textId="5824A830" w:rsidR="00F44623" w:rsidRDefault="00F44623">
      <w:pPr>
        <w:spacing w:after="0" w:line="240" w:lineRule="auto"/>
        <w:rPr>
          <w:rFonts w:ascii="Arial Black" w:hAnsi="Arial Black"/>
          <w:sz w:val="40"/>
          <w:szCs w:val="40"/>
        </w:rPr>
      </w:pPr>
      <w:r>
        <w:rPr>
          <w:rFonts w:ascii="Arial Black" w:hAnsi="Arial Black"/>
          <w:sz w:val="40"/>
          <w:szCs w:val="40"/>
        </w:rPr>
        <w:br w:type="page"/>
      </w:r>
    </w:p>
    <w:p w14:paraId="1ABCC0DD" w14:textId="098F2555" w:rsidR="00411E0E" w:rsidRDefault="00411E0E" w:rsidP="00411E0E">
      <w:pPr>
        <w:rPr>
          <w:rFonts w:ascii="Arial Black" w:hAnsi="Arial Black"/>
          <w:b/>
          <w:sz w:val="24"/>
          <w:szCs w:val="24"/>
        </w:rPr>
      </w:pPr>
    </w:p>
    <w:p w14:paraId="563FADC8" w14:textId="77777777" w:rsidR="00411E0E" w:rsidRDefault="00411E0E" w:rsidP="00411E0E">
      <w:pPr>
        <w:rPr>
          <w:rFonts w:ascii="Arial Black" w:hAnsi="Arial Black"/>
          <w:b/>
          <w:sz w:val="28"/>
          <w:szCs w:val="28"/>
        </w:rPr>
      </w:pPr>
    </w:p>
    <w:p w14:paraId="7B0D7F06" w14:textId="77777777" w:rsidR="00411E0E" w:rsidRDefault="00411E0E">
      <w:pPr>
        <w:spacing w:after="0" w:line="240" w:lineRule="auto"/>
        <w:rPr>
          <w:rFonts w:ascii="Arial Black" w:hAnsi="Arial Black"/>
          <w:sz w:val="40"/>
          <w:szCs w:val="40"/>
        </w:rPr>
      </w:pPr>
    </w:p>
    <w:p w14:paraId="11552CD5" w14:textId="77777777" w:rsidR="00F44623" w:rsidRDefault="00F44623" w:rsidP="00F326E5">
      <w:pPr>
        <w:pStyle w:val="NoSpacing"/>
        <w:rPr>
          <w:rFonts w:ascii="Arial Black" w:hAnsi="Arial Black"/>
          <w:sz w:val="40"/>
          <w:szCs w:val="40"/>
        </w:rPr>
      </w:pPr>
    </w:p>
    <w:p w14:paraId="588CE49C" w14:textId="77777777" w:rsidR="00020106" w:rsidRDefault="00020106" w:rsidP="00F326E5">
      <w:pPr>
        <w:pStyle w:val="NoSpacing"/>
        <w:rPr>
          <w:rFonts w:ascii="Arial Black" w:hAnsi="Arial Black"/>
          <w:sz w:val="40"/>
          <w:szCs w:val="40"/>
        </w:rPr>
      </w:pPr>
    </w:p>
    <w:p w14:paraId="030B98E6" w14:textId="77777777" w:rsidR="00020106" w:rsidRDefault="00020106" w:rsidP="00F326E5">
      <w:pPr>
        <w:pStyle w:val="NoSpacing"/>
        <w:rPr>
          <w:rFonts w:ascii="Arial Black" w:hAnsi="Arial Black"/>
          <w:sz w:val="40"/>
          <w:szCs w:val="40"/>
        </w:rPr>
      </w:pPr>
    </w:p>
    <w:p w14:paraId="55D107FF" w14:textId="77777777" w:rsidR="00020106" w:rsidRDefault="00020106" w:rsidP="00F326E5">
      <w:pPr>
        <w:pStyle w:val="NoSpacing"/>
        <w:rPr>
          <w:rFonts w:ascii="Arial Black" w:hAnsi="Arial Black"/>
          <w:sz w:val="40"/>
          <w:szCs w:val="40"/>
        </w:rPr>
      </w:pPr>
    </w:p>
    <w:p w14:paraId="7CC5AF74" w14:textId="77777777" w:rsidR="00020106" w:rsidRDefault="00020106" w:rsidP="00F326E5">
      <w:pPr>
        <w:pStyle w:val="NoSpacing"/>
        <w:rPr>
          <w:rFonts w:ascii="Arial Black" w:hAnsi="Arial Black"/>
          <w:sz w:val="40"/>
          <w:szCs w:val="40"/>
        </w:rPr>
      </w:pPr>
    </w:p>
    <w:p w14:paraId="7429EAEB" w14:textId="77777777" w:rsidR="00020106" w:rsidRDefault="00020106" w:rsidP="00F326E5">
      <w:pPr>
        <w:pStyle w:val="NoSpacing"/>
        <w:rPr>
          <w:rFonts w:ascii="Arial Black" w:hAnsi="Arial Black"/>
          <w:sz w:val="40"/>
          <w:szCs w:val="40"/>
        </w:rPr>
      </w:pPr>
    </w:p>
    <w:p w14:paraId="5D0ED5AB" w14:textId="77777777" w:rsidR="00020106" w:rsidRDefault="00020106" w:rsidP="00F326E5">
      <w:pPr>
        <w:pStyle w:val="NoSpacing"/>
        <w:rPr>
          <w:rFonts w:ascii="Arial Black" w:hAnsi="Arial Black"/>
          <w:sz w:val="40"/>
          <w:szCs w:val="40"/>
        </w:rPr>
      </w:pPr>
    </w:p>
    <w:p w14:paraId="1DB17969" w14:textId="77777777" w:rsidR="00020106" w:rsidRDefault="00020106" w:rsidP="00F326E5">
      <w:pPr>
        <w:pStyle w:val="NoSpacing"/>
        <w:rPr>
          <w:rFonts w:ascii="Arial Black" w:hAnsi="Arial Black"/>
          <w:sz w:val="40"/>
          <w:szCs w:val="40"/>
        </w:rPr>
      </w:pPr>
    </w:p>
    <w:p w14:paraId="4E5D2E5E" w14:textId="77777777" w:rsidR="00020106" w:rsidRDefault="00020106" w:rsidP="00F326E5">
      <w:pPr>
        <w:pStyle w:val="NoSpacing"/>
        <w:rPr>
          <w:rFonts w:ascii="Arial Black" w:hAnsi="Arial Black"/>
          <w:sz w:val="40"/>
          <w:szCs w:val="40"/>
        </w:rPr>
      </w:pPr>
    </w:p>
    <w:p w14:paraId="18D3BE3B" w14:textId="77777777" w:rsidR="00020106" w:rsidRDefault="00020106" w:rsidP="00F326E5">
      <w:pPr>
        <w:pStyle w:val="NoSpacing"/>
        <w:rPr>
          <w:rFonts w:ascii="Arial Black" w:hAnsi="Arial Black"/>
          <w:sz w:val="40"/>
          <w:szCs w:val="40"/>
        </w:rPr>
      </w:pPr>
    </w:p>
    <w:p w14:paraId="3863E80D" w14:textId="77777777" w:rsidR="00020106" w:rsidRDefault="00020106" w:rsidP="00F326E5">
      <w:pPr>
        <w:pStyle w:val="NoSpacing"/>
        <w:rPr>
          <w:rFonts w:ascii="Arial Black" w:hAnsi="Arial Black"/>
          <w:sz w:val="40"/>
          <w:szCs w:val="40"/>
        </w:rPr>
      </w:pPr>
    </w:p>
    <w:p w14:paraId="3F506ED8" w14:textId="77777777" w:rsidR="00020106" w:rsidRDefault="00020106" w:rsidP="00F326E5">
      <w:pPr>
        <w:pStyle w:val="NoSpacing"/>
        <w:rPr>
          <w:rFonts w:ascii="Arial Black" w:hAnsi="Arial Black"/>
          <w:sz w:val="40"/>
          <w:szCs w:val="40"/>
        </w:rPr>
      </w:pPr>
    </w:p>
    <w:p w14:paraId="57EDB87E" w14:textId="77777777" w:rsidR="00020106" w:rsidRDefault="00020106" w:rsidP="00F326E5">
      <w:pPr>
        <w:pStyle w:val="NoSpacing"/>
        <w:rPr>
          <w:rFonts w:ascii="Arial Black" w:hAnsi="Arial Black"/>
          <w:sz w:val="40"/>
          <w:szCs w:val="40"/>
        </w:rPr>
      </w:pPr>
    </w:p>
    <w:p w14:paraId="01DE9230" w14:textId="77777777" w:rsidR="00020106" w:rsidRDefault="00020106" w:rsidP="00F326E5">
      <w:pPr>
        <w:pStyle w:val="NoSpacing"/>
        <w:rPr>
          <w:rFonts w:ascii="Arial Black" w:hAnsi="Arial Black"/>
          <w:sz w:val="40"/>
          <w:szCs w:val="40"/>
        </w:rPr>
      </w:pPr>
    </w:p>
    <w:p w14:paraId="1DCF0D0C" w14:textId="77777777" w:rsidR="00020106" w:rsidRDefault="00020106" w:rsidP="00F326E5">
      <w:pPr>
        <w:pStyle w:val="NoSpacing"/>
        <w:rPr>
          <w:rFonts w:ascii="Arial Black" w:hAnsi="Arial Black"/>
          <w:sz w:val="40"/>
          <w:szCs w:val="40"/>
        </w:rPr>
      </w:pPr>
    </w:p>
    <w:p w14:paraId="0CFF60B8" w14:textId="77777777" w:rsidR="00020106" w:rsidRDefault="00020106" w:rsidP="00F326E5">
      <w:pPr>
        <w:pStyle w:val="NoSpacing"/>
        <w:rPr>
          <w:rFonts w:ascii="Arial Black" w:hAnsi="Arial Black"/>
          <w:sz w:val="40"/>
          <w:szCs w:val="40"/>
        </w:rPr>
      </w:pPr>
    </w:p>
    <w:p w14:paraId="53C2AF77" w14:textId="77777777" w:rsidR="00020106" w:rsidRDefault="00020106" w:rsidP="00F326E5">
      <w:pPr>
        <w:pStyle w:val="NoSpacing"/>
        <w:rPr>
          <w:rFonts w:ascii="Arial Black" w:hAnsi="Arial Black"/>
          <w:sz w:val="40"/>
          <w:szCs w:val="40"/>
        </w:rPr>
      </w:pPr>
    </w:p>
    <w:p w14:paraId="158503F6" w14:textId="77777777" w:rsidR="00020106" w:rsidRDefault="00020106" w:rsidP="00F326E5">
      <w:pPr>
        <w:pStyle w:val="NoSpacing"/>
        <w:rPr>
          <w:rFonts w:ascii="Arial Black" w:hAnsi="Arial Black"/>
          <w:sz w:val="40"/>
          <w:szCs w:val="40"/>
        </w:rPr>
      </w:pPr>
    </w:p>
    <w:p w14:paraId="2E430EFC" w14:textId="77777777" w:rsidR="00020106" w:rsidRDefault="00020106" w:rsidP="00F326E5">
      <w:pPr>
        <w:pStyle w:val="NoSpacing"/>
        <w:rPr>
          <w:rFonts w:ascii="Arial Black" w:hAnsi="Arial Black"/>
          <w:sz w:val="40"/>
          <w:szCs w:val="40"/>
        </w:rPr>
      </w:pPr>
    </w:p>
    <w:p w14:paraId="4527B5E1" w14:textId="77777777" w:rsidR="00020106" w:rsidRDefault="00020106" w:rsidP="00F326E5">
      <w:pPr>
        <w:pStyle w:val="NoSpacing"/>
        <w:rPr>
          <w:rFonts w:ascii="Arial Black" w:hAnsi="Arial Black"/>
          <w:sz w:val="40"/>
          <w:szCs w:val="40"/>
        </w:rPr>
      </w:pPr>
    </w:p>
    <w:p w14:paraId="0C67892F" w14:textId="77777777" w:rsidR="00020106" w:rsidRDefault="00020106" w:rsidP="00F326E5">
      <w:pPr>
        <w:pStyle w:val="NoSpacing"/>
        <w:rPr>
          <w:rFonts w:ascii="Arial Black" w:hAnsi="Arial Black"/>
          <w:sz w:val="40"/>
          <w:szCs w:val="40"/>
        </w:rPr>
      </w:pPr>
    </w:p>
    <w:p w14:paraId="42A418E5" w14:textId="77777777" w:rsidR="00020106" w:rsidRDefault="00020106" w:rsidP="00F326E5">
      <w:pPr>
        <w:pStyle w:val="NoSpacing"/>
        <w:rPr>
          <w:rFonts w:ascii="Arial Black" w:hAnsi="Arial Black"/>
          <w:sz w:val="40"/>
          <w:szCs w:val="40"/>
        </w:rPr>
      </w:pPr>
    </w:p>
    <w:p w14:paraId="21EDD998" w14:textId="76740DD5" w:rsidR="00F326E5" w:rsidRDefault="00F326E5" w:rsidP="00F326E5">
      <w:pPr>
        <w:pStyle w:val="NoSpacing"/>
        <w:rPr>
          <w:rFonts w:ascii="Arial Black" w:hAnsi="Arial Black"/>
          <w:sz w:val="40"/>
          <w:szCs w:val="40"/>
        </w:rPr>
      </w:pPr>
      <w:r w:rsidRPr="007732FA">
        <w:rPr>
          <w:rFonts w:ascii="Arial Black" w:hAnsi="Arial Black"/>
          <w:sz w:val="40"/>
          <w:szCs w:val="40"/>
        </w:rPr>
        <w:t>Chap. 12</w:t>
      </w:r>
      <w:r w:rsidRPr="007732FA">
        <w:rPr>
          <w:rFonts w:ascii="Arial Black" w:hAnsi="Arial Black"/>
          <w:sz w:val="40"/>
          <w:szCs w:val="40"/>
        </w:rPr>
        <w:tab/>
        <w:t>Drug-Free Workplace</w:t>
      </w:r>
    </w:p>
    <w:p w14:paraId="23B984FE" w14:textId="77777777" w:rsidR="00743B05" w:rsidRDefault="00743B05" w:rsidP="00F326E5">
      <w:pPr>
        <w:rPr>
          <w:rFonts w:ascii="Arial Black" w:hAnsi="Arial Black"/>
          <w:b/>
          <w:sz w:val="24"/>
          <w:szCs w:val="24"/>
        </w:rPr>
      </w:pPr>
    </w:p>
    <w:p w14:paraId="5E682FA1" w14:textId="599B3327" w:rsidR="00E147E0" w:rsidRDefault="00E147E0" w:rsidP="00986B93">
      <w:pPr>
        <w:rPr>
          <w:rFonts w:ascii="Arial Black" w:hAnsi="Arial Black"/>
          <w:b/>
          <w:sz w:val="28"/>
          <w:szCs w:val="28"/>
        </w:rPr>
      </w:pPr>
      <w:r>
        <w:rPr>
          <w:rFonts w:ascii="Arial Black" w:hAnsi="Arial Black"/>
          <w:b/>
          <w:sz w:val="28"/>
          <w:szCs w:val="28"/>
        </w:rPr>
        <w:t>12-38</w:t>
      </w:r>
    </w:p>
    <w:p w14:paraId="5E348CFC" w14:textId="3BF5C3E0" w:rsidR="00986B93" w:rsidRPr="00D52490" w:rsidRDefault="00986B93" w:rsidP="00986B93">
      <w:pPr>
        <w:rPr>
          <w:rFonts w:ascii="Arial Black" w:hAnsi="Arial Black"/>
          <w:b/>
          <w:sz w:val="28"/>
          <w:szCs w:val="28"/>
        </w:rPr>
      </w:pPr>
      <w:r>
        <w:rPr>
          <w:rFonts w:ascii="Arial Black" w:hAnsi="Arial Black"/>
          <w:b/>
          <w:sz w:val="28"/>
          <w:szCs w:val="28"/>
        </w:rPr>
        <w:t>U.S. SUP. CT. – MARIJUANA LEGAL 40 STATES – OWN GUN</w:t>
      </w:r>
    </w:p>
    <w:p w14:paraId="2111969C" w14:textId="77777777" w:rsidR="00986B93" w:rsidRDefault="00986B93" w:rsidP="00986B93">
      <w:pPr>
        <w:pStyle w:val="NoSpacing"/>
      </w:pPr>
      <w:r>
        <w:t xml:space="preserve">On June 18, 2026, in </w:t>
      </w:r>
      <w:r w:rsidRPr="00270B86">
        <w:rPr>
          <w:u w:val="single"/>
        </w:rPr>
        <w:t>United States v. Ali Hemani</w:t>
      </w:r>
      <w:r>
        <w:t>, the United States Supreme Court held (9 to 0) that federal law banning possession of a firearm for someone who regularly smokes marijuana is violation of Second Amendment; recognizing that millions of Americans now regularly use marijuana. The opinion by Justice Neil, the Court held unconstitutional a provision in the federal Gun Control Act, §922(g)(3): anyone who is an “unlawful user of ” or “addicted to” a “controlled substance” is automatically banned from possessing a gun. In future litigation, this case may impact Fire Departments that seek to prohibit (rather than impose restrictions) the use of proscribed marijuana. The Court wrote: “Whatever one thinks of these developments, the federal government has not just tolerated them; it helped fuel them. All of which leaves it awkwardly positioned to suggest that the millions of Americans who now regularly use marijuana are categorically and unusually dangerous.”</w:t>
      </w:r>
    </w:p>
    <w:p w14:paraId="3ACBAA33" w14:textId="77777777" w:rsidR="00986B93" w:rsidRPr="00270B86" w:rsidRDefault="00986B93" w:rsidP="00986B93">
      <w:pPr>
        <w:rPr>
          <w:bCs/>
        </w:rPr>
      </w:pPr>
      <w:r>
        <w:t xml:space="preserve"> </w:t>
      </w:r>
      <w:hyperlink r:id="rId1875" w:history="1">
        <w:r w:rsidRPr="004E2277">
          <w:rPr>
            <w:rStyle w:val="Hyperlink"/>
          </w:rPr>
          <w:t>https://www.supremecourt.gov/opinions/25pdf/24-1234_g2bh.pdf</w:t>
        </w:r>
      </w:hyperlink>
      <w:r>
        <w:t xml:space="preserve"> </w:t>
      </w:r>
    </w:p>
    <w:p w14:paraId="324D43F7" w14:textId="77777777" w:rsidR="00986B93" w:rsidRDefault="00986B93" w:rsidP="00986B93">
      <w:pPr>
        <w:rPr>
          <w:b/>
        </w:rPr>
      </w:pPr>
      <w:r>
        <w:rPr>
          <w:b/>
        </w:rPr>
        <w:t>FACTS:</w:t>
      </w:r>
    </w:p>
    <w:p w14:paraId="5935219D" w14:textId="77777777" w:rsidR="00986B93" w:rsidRDefault="00986B93" w:rsidP="00986B93">
      <w:pPr>
        <w:pStyle w:val="NoSpacing"/>
      </w:pPr>
      <w:r>
        <w:t>“</w:t>
      </w:r>
      <w:r w:rsidRPr="00AF0E8D">
        <w:t>Ali Hemani uses marijuana a few times a week. That fact</w:t>
      </w:r>
      <w:r>
        <w:t xml:space="preserve"> </w:t>
      </w:r>
      <w:r w:rsidRPr="00AF0E8D">
        <w:t>alone, the government says, means he is automatically</w:t>
      </w:r>
      <w:r>
        <w:t xml:space="preserve"> </w:t>
      </w:r>
      <w:r w:rsidRPr="00AF0E8D">
        <w:t>banned from possessing a firearm under federal law. And</w:t>
      </w:r>
      <w:r>
        <w:t xml:space="preserve"> </w:t>
      </w:r>
      <w:r w:rsidRPr="00AF0E8D">
        <w:t>because Mr. Hemani admits he owns a gun despite this ban,</w:t>
      </w:r>
      <w:r>
        <w:t xml:space="preserve"> </w:t>
      </w:r>
      <w:r w:rsidRPr="00AF0E8D">
        <w:t>the government now seeks to prosecute him, imprison him</w:t>
      </w:r>
      <w:r>
        <w:t xml:space="preserve"> </w:t>
      </w:r>
      <w:r w:rsidRPr="00AF0E8D">
        <w:t>for up to 15 years, and disarm him for life. This case poses</w:t>
      </w:r>
      <w:r>
        <w:t xml:space="preserve"> </w:t>
      </w:r>
      <w:r w:rsidRPr="00AF0E8D">
        <w:t>the question whether the government’s prosecution of Mr.</w:t>
      </w:r>
      <w:r>
        <w:t xml:space="preserve"> </w:t>
      </w:r>
      <w:r w:rsidRPr="00AF0E8D">
        <w:t>Hemani is consistent with the Second Amendment.</w:t>
      </w:r>
    </w:p>
    <w:p w14:paraId="6657576E" w14:textId="77777777" w:rsidR="00986B93" w:rsidRDefault="00986B93" w:rsidP="00986B93">
      <w:pPr>
        <w:pStyle w:val="NoSpacing"/>
      </w:pPr>
    </w:p>
    <w:p w14:paraId="3FC1F72B" w14:textId="77777777" w:rsidR="00986B93" w:rsidRDefault="00986B93" w:rsidP="00986B93">
      <w:pPr>
        <w:pStyle w:val="NoSpacing"/>
      </w:pPr>
      <w:r>
        <w:t>***</w:t>
      </w:r>
    </w:p>
    <w:p w14:paraId="0F340F28" w14:textId="77777777" w:rsidR="00986B93" w:rsidRDefault="00986B93" w:rsidP="00986B93">
      <w:pPr>
        <w:pStyle w:val="NoSpacing"/>
      </w:pPr>
      <w:r>
        <w:t xml:space="preserve">Mr. Hemani is a dual citizen of the United States and Pakistan who was born in Texas and has spent most of his life there. In recent years, he has lived in the Dallas area with his parents and worked a stable job. But, suspecting Mr. Hemani and his family members of terrorism-related activities, the government conducted a search </w:t>
      </w:r>
      <w:proofErr w:type="gramStart"/>
      <w:r>
        <w:t>of</w:t>
      </w:r>
      <w:proofErr w:type="gramEnd"/>
      <w:r>
        <w:t xml:space="preserve"> the family home in 2022. Throughout the process, Mr. Hemani proved cooperative. He surrendered a gun he kept in the house and </w:t>
      </w:r>
      <w:proofErr w:type="gramStart"/>
      <w:r>
        <w:t>pointed agents to</w:t>
      </w:r>
      <w:proofErr w:type="gramEnd"/>
      <w:r>
        <w:t xml:space="preserve"> some marijuana on the property. He also consented to an interview, telling law enforcement agents that he used marijuana ‘about every other </w:t>
      </w:r>
      <w:proofErr w:type="gramStart"/>
      <w:r>
        <w:t>day.”’</w:t>
      </w:r>
      <w:proofErr w:type="gramEnd"/>
      <w:r>
        <w:t xml:space="preserve"> …  After the agents found cocaine in his parents’ closet, Mr. Hemani claimed ownership of that as well, though he maintained that his mother had hidden it from him and that he had not used any recently.</w:t>
      </w:r>
    </w:p>
    <w:p w14:paraId="5B361F89" w14:textId="77777777" w:rsidR="00986B93" w:rsidRDefault="00986B93" w:rsidP="00986B93">
      <w:pPr>
        <w:pStyle w:val="NoSpacing"/>
      </w:pPr>
    </w:p>
    <w:p w14:paraId="4664B8D7" w14:textId="77777777" w:rsidR="00986B93" w:rsidRDefault="00986B93" w:rsidP="00986B93">
      <w:pPr>
        <w:pStyle w:val="NoSpacing"/>
      </w:pPr>
      <w:r>
        <w:t xml:space="preserve">More than six months after the search, the government brought a single-charge indictment against Mr. Hemani. The charge had nothing to do with </w:t>
      </w:r>
      <w:proofErr w:type="gramStart"/>
      <w:r>
        <w:t>terrorism—</w:t>
      </w:r>
      <w:proofErr w:type="gramEnd"/>
      <w:r>
        <w:t>the reason for the search in the first place. Nor did the charge involve possession of cocaine, drug trafficking, or anything like that. Instead, relying solely on his admitted use of marijuana about every other day, the government prosecuted Mr. Hemani for knowingly possessing a gun in his home while being an ‘unlawful user’ of a controlled substance…. For that alone, the government claimed, Mr. Hemani</w:t>
      </w:r>
    </w:p>
    <w:p w14:paraId="2113E36E" w14:textId="77777777" w:rsidR="00986B93" w:rsidRDefault="00986B93" w:rsidP="00986B93">
      <w:pPr>
        <w:pStyle w:val="NoSpacing"/>
      </w:pPr>
      <w:r>
        <w:t>faced up to 15 years in prison and disarmament for life.</w:t>
      </w:r>
    </w:p>
    <w:p w14:paraId="1308A5D7" w14:textId="77777777" w:rsidR="00986B93" w:rsidRDefault="00986B93" w:rsidP="00986B93">
      <w:pPr>
        <w:pStyle w:val="NoSpacing"/>
      </w:pPr>
    </w:p>
    <w:p w14:paraId="4DCEE965" w14:textId="77777777" w:rsidR="00986B93" w:rsidRDefault="00986B93" w:rsidP="00986B93">
      <w:pPr>
        <w:pStyle w:val="NoSpacing"/>
      </w:pPr>
      <w:r>
        <w:t>***</w:t>
      </w:r>
    </w:p>
    <w:p w14:paraId="15DC9BB0" w14:textId="77777777" w:rsidR="00986B93" w:rsidRDefault="00986B93" w:rsidP="00986B93">
      <w:pPr>
        <w:pStyle w:val="NoSpacing"/>
      </w:pPr>
      <w:r>
        <w:t>Mr. Hemani moved to dismiss the indictment, arguing that the government’s effort to enforce §922(g)(3) against him violated the Second Amendment. The district court granted the motion and, after an unsuccessful appeal to the Fifth Circuit, the government asked us to review the case. We agreed to do so.</w:t>
      </w:r>
    </w:p>
    <w:p w14:paraId="4B4D7A2A" w14:textId="77777777" w:rsidR="00986B93" w:rsidRDefault="00986B93" w:rsidP="00986B93">
      <w:pPr>
        <w:pStyle w:val="NoSpacing"/>
      </w:pPr>
    </w:p>
    <w:p w14:paraId="7654852E" w14:textId="77777777" w:rsidR="00986B93" w:rsidRDefault="00986B93" w:rsidP="00986B93">
      <w:pPr>
        <w:pStyle w:val="NoSpacing"/>
        <w:rPr>
          <w:b/>
          <w:bCs/>
        </w:rPr>
      </w:pPr>
      <w:r w:rsidRPr="00B1025D">
        <w:rPr>
          <w:b/>
        </w:rPr>
        <w:t xml:space="preserve">COURT HELD: </w:t>
      </w:r>
    </w:p>
    <w:p w14:paraId="23863371" w14:textId="77777777" w:rsidR="00986B93" w:rsidRDefault="00986B93" w:rsidP="00986B93">
      <w:pPr>
        <w:pStyle w:val="NoSpacing"/>
        <w:rPr>
          <w:b/>
          <w:bCs/>
        </w:rPr>
      </w:pPr>
    </w:p>
    <w:p w14:paraId="6E704818" w14:textId="77777777" w:rsidR="00986B93" w:rsidRPr="00CB01DE" w:rsidRDefault="00986B93" w:rsidP="00986B93">
      <w:pPr>
        <w:pStyle w:val="NoSpacing"/>
      </w:pPr>
      <w:r>
        <w:t>“</w:t>
      </w:r>
      <w:r w:rsidRPr="00CB01DE">
        <w:t>The law, says the government, doesn’t</w:t>
      </w:r>
      <w:r>
        <w:t xml:space="preserve"> </w:t>
      </w:r>
      <w:r w:rsidRPr="00CB01DE">
        <w:t>require anything more. It doesn’t matter what controlled</w:t>
      </w:r>
    </w:p>
    <w:p w14:paraId="648ABCF3" w14:textId="77777777" w:rsidR="00986B93" w:rsidRDefault="00986B93" w:rsidP="00986B93">
      <w:pPr>
        <w:pStyle w:val="NoSpacing"/>
      </w:pPr>
      <w:r w:rsidRPr="00CB01DE">
        <w:t>substance an individual uses, in what amounts he does so,</w:t>
      </w:r>
      <w:r>
        <w:t xml:space="preserve"> </w:t>
      </w:r>
      <w:r w:rsidRPr="00CB01DE">
        <w:t>or whether his drug use has ever made him a danger to himself or others. It doesn’t even matter why he keeps a gun or</w:t>
      </w:r>
      <w:r>
        <w:t xml:space="preserve"> </w:t>
      </w:r>
      <w:r w:rsidRPr="00CB01DE">
        <w:t>how safely he does so. And for violating this automatic ban,</w:t>
      </w:r>
      <w:r>
        <w:t xml:space="preserve"> </w:t>
      </w:r>
      <w:r w:rsidRPr="00CB01DE">
        <w:t xml:space="preserve">the government </w:t>
      </w:r>
      <w:proofErr w:type="gramStart"/>
      <w:r w:rsidRPr="00CB01DE">
        <w:t>insists,</w:t>
      </w:r>
      <w:proofErr w:type="gramEnd"/>
      <w:r w:rsidRPr="00CB01DE">
        <w:t xml:space="preserve"> an individual like Mr. Hemani may</w:t>
      </w:r>
      <w:r>
        <w:t xml:space="preserve"> </w:t>
      </w:r>
      <w:r w:rsidRPr="00CB01DE">
        <w:t>be sent to prison for up to 15 years and disarmed for life.</w:t>
      </w:r>
    </w:p>
    <w:p w14:paraId="397F9669" w14:textId="77777777" w:rsidR="00986B93" w:rsidRDefault="00986B93" w:rsidP="00986B93">
      <w:pPr>
        <w:pStyle w:val="NoSpacing"/>
      </w:pPr>
    </w:p>
    <w:p w14:paraId="6EBA15B4" w14:textId="77777777" w:rsidR="00986B93" w:rsidRDefault="00986B93" w:rsidP="00986B93">
      <w:pPr>
        <w:pStyle w:val="NoSpacing"/>
      </w:pPr>
      <w:r>
        <w:t>***</w:t>
      </w:r>
    </w:p>
    <w:p w14:paraId="73DF993E" w14:textId="77777777" w:rsidR="00986B93" w:rsidRDefault="00986B93" w:rsidP="00986B93">
      <w:pPr>
        <w:pStyle w:val="NoSpacing"/>
      </w:pPr>
      <w:r>
        <w:t xml:space="preserve">The second reason has to do with the government’s approach to the drug at issue here. As this case came to us, marijuana was listed on Schedule I—a schedule reserved for drugs with ‘a high potential for abuse’ with ‘no currently accepted medical use.’ 21 U. S. C. §812(b)(1). But after we heard oral argument, the government moved some marijuana products to Schedule III, 91 Fed. Reg. 22714 (2026), a schedule that applies to drugs with a lower potential for dependence and abuse and for which a ‘currently accepted medical use’ exists, §812(b)(3). </w:t>
      </w:r>
    </w:p>
    <w:p w14:paraId="6406CD4B" w14:textId="77777777" w:rsidR="00986B93" w:rsidRDefault="00986B93" w:rsidP="00986B93">
      <w:pPr>
        <w:pStyle w:val="NoSpacing"/>
      </w:pPr>
    </w:p>
    <w:p w14:paraId="73FE9421" w14:textId="77777777" w:rsidR="00986B93" w:rsidRDefault="00986B93" w:rsidP="00986B93">
      <w:pPr>
        <w:pStyle w:val="NoSpacing"/>
      </w:pPr>
      <w:r>
        <w:t>Years before that, too, the Department of Justice issued a memorandum directing federal prosecutors nationwide to curtail their enforcement efforts against marijuana users even while all</w:t>
      </w:r>
    </w:p>
    <w:p w14:paraId="0885A6AF" w14:textId="77777777" w:rsidR="00986B93" w:rsidRDefault="00986B93" w:rsidP="00986B93">
      <w:pPr>
        <w:pStyle w:val="NoSpacing"/>
      </w:pPr>
      <w:proofErr w:type="gramStart"/>
      <w:r>
        <w:t>marijuana</w:t>
      </w:r>
      <w:proofErr w:type="gramEnd"/>
      <w:r>
        <w:t xml:space="preserve"> products remained on Schedule I. Attorney General Memo (Aug. 29, 2013).</w:t>
      </w:r>
    </w:p>
    <w:p w14:paraId="0A58423F" w14:textId="77777777" w:rsidR="00986B93" w:rsidRDefault="00986B93" w:rsidP="00986B93">
      <w:pPr>
        <w:pStyle w:val="NoSpacing"/>
      </w:pPr>
    </w:p>
    <w:p w14:paraId="76F226FA" w14:textId="77777777" w:rsidR="00986B93" w:rsidRDefault="00986B93" w:rsidP="00986B93">
      <w:pPr>
        <w:pStyle w:val="NoSpacing"/>
      </w:pPr>
      <w:r>
        <w:t>Seismic changes followed that memorandum. While marijuana use largely remained unlawful under federal law, the number of federal offenders sentenced for possession of marijuana dwindled. See United States Sentencing Commission, Interactive Data Analyzer. And most States responded by legalizing marijuana use to one degree or another as a matter of state law. See Nat. Conf. of State Legislatures, State Medical Cannabis Laws (June 27, 2025)(‘Forty states, three territories and the District of Columbia’ have legalized some marijuana use). As a result, some</w:t>
      </w:r>
    </w:p>
    <w:p w14:paraId="42CE3896" w14:textId="77777777" w:rsidR="00986B93" w:rsidRDefault="00986B93" w:rsidP="00986B93">
      <w:pPr>
        <w:pStyle w:val="NoSpacing"/>
      </w:pPr>
      <w:r>
        <w:t>surveys suggest there now may be more adults in this country who regularly use marijuana than consume alcohol. See, e.g., J. Caulkins, Changes in Self-Reported Cannabis Use in the United States from 1979 to 2022, 119 Addiction 1648 (2024) (finding, for the first time in 2022, more individuals who self-report daily or near-daily marijuana use than alcohol use). Whatever one thinks of these developments, the federal government has not just tolerated them; it helped fuel them. All of which leaves it awkwardly positioned to suggest that the millions of Americans who now regularly use marijuana are categorically and unusually dangerous.”</w:t>
      </w:r>
    </w:p>
    <w:p w14:paraId="7C5D9E64" w14:textId="77777777" w:rsidR="00986B93" w:rsidRDefault="00986B93" w:rsidP="00986B93">
      <w:pPr>
        <w:pStyle w:val="NoSpacing"/>
      </w:pPr>
    </w:p>
    <w:p w14:paraId="2E92629B" w14:textId="77777777" w:rsidR="00986B93" w:rsidRPr="00AD5B03" w:rsidRDefault="00986B93" w:rsidP="00986B93">
      <w:pPr>
        <w:pStyle w:val="NoSpacing"/>
        <w:rPr>
          <w:b/>
          <w:bCs/>
        </w:rPr>
      </w:pPr>
      <w:r>
        <w:rPr>
          <w:b/>
        </w:rPr>
        <w:t xml:space="preserve">Legal lesson learned: The unanimous decision may be cited in future litigation against fire departments that prohibit use of proscribed marijuana. </w:t>
      </w:r>
    </w:p>
    <w:p w14:paraId="40DDACF3" w14:textId="77777777" w:rsidR="00986B93" w:rsidRDefault="00986B93" w:rsidP="00986B93">
      <w:pPr>
        <w:pStyle w:val="NoSpacing"/>
        <w:rPr>
          <w:sz w:val="20"/>
          <w:szCs w:val="20"/>
        </w:rPr>
      </w:pPr>
    </w:p>
    <w:p w14:paraId="71A7F468" w14:textId="77777777" w:rsidR="00986B93" w:rsidRDefault="00986B93" w:rsidP="00A13485">
      <w:pPr>
        <w:rPr>
          <w:rFonts w:ascii="Arial Black" w:hAnsi="Arial Black"/>
          <w:b/>
          <w:sz w:val="24"/>
          <w:szCs w:val="24"/>
        </w:rPr>
      </w:pPr>
    </w:p>
    <w:p w14:paraId="775F90C6" w14:textId="77777777" w:rsidR="00986B93" w:rsidRDefault="00986B93" w:rsidP="00A13485">
      <w:pPr>
        <w:rPr>
          <w:rFonts w:ascii="Arial Black" w:hAnsi="Arial Black"/>
          <w:b/>
          <w:sz w:val="24"/>
          <w:szCs w:val="24"/>
        </w:rPr>
      </w:pPr>
    </w:p>
    <w:p w14:paraId="07EB053C" w14:textId="77777777" w:rsidR="00986B93" w:rsidRDefault="00986B93" w:rsidP="00A13485">
      <w:pPr>
        <w:rPr>
          <w:rFonts w:ascii="Arial Black" w:hAnsi="Arial Black"/>
          <w:b/>
          <w:sz w:val="24"/>
          <w:szCs w:val="24"/>
        </w:rPr>
      </w:pPr>
    </w:p>
    <w:p w14:paraId="75398E76" w14:textId="284205F3" w:rsidR="00A13485" w:rsidRDefault="00A13485" w:rsidP="00A13485">
      <w:pPr>
        <w:rPr>
          <w:rFonts w:ascii="Arial Black" w:hAnsi="Arial Black"/>
          <w:b/>
          <w:sz w:val="28"/>
          <w:szCs w:val="28"/>
        </w:rPr>
      </w:pPr>
      <w:r>
        <w:rPr>
          <w:rFonts w:ascii="Arial Black" w:hAnsi="Arial Black"/>
          <w:b/>
          <w:sz w:val="24"/>
          <w:szCs w:val="24"/>
        </w:rPr>
        <w:t>12-37</w:t>
      </w:r>
    </w:p>
    <w:p w14:paraId="7D8E5026" w14:textId="4BF0F025" w:rsidR="00A13485" w:rsidRPr="0086572F" w:rsidRDefault="00A13485" w:rsidP="00A13485">
      <w:pPr>
        <w:pStyle w:val="NoSpacing"/>
        <w:rPr>
          <w:rFonts w:ascii="Arial Black" w:hAnsi="Arial Black"/>
          <w:b/>
          <w:sz w:val="28"/>
          <w:szCs w:val="28"/>
        </w:rPr>
      </w:pPr>
      <w:r>
        <w:rPr>
          <w:rFonts w:ascii="Arial Black" w:hAnsi="Arial Black"/>
          <w:b/>
          <w:sz w:val="28"/>
          <w:szCs w:val="28"/>
        </w:rPr>
        <w:t>LA: CAPT PTSD – 2</w:t>
      </w:r>
      <w:r w:rsidRPr="00DC1547">
        <w:rPr>
          <w:rFonts w:ascii="Arial Black" w:hAnsi="Arial Black"/>
          <w:b/>
          <w:sz w:val="28"/>
          <w:szCs w:val="28"/>
          <w:vertAlign w:val="superscript"/>
        </w:rPr>
        <w:t>nd</w:t>
      </w:r>
      <w:r>
        <w:rPr>
          <w:rFonts w:ascii="Arial Black" w:hAnsi="Arial Black"/>
          <w:b/>
          <w:sz w:val="28"/>
          <w:szCs w:val="28"/>
        </w:rPr>
        <w:t xml:space="preserve"> POSITIVE MJ – TERMINATION UPHELD</w:t>
      </w:r>
    </w:p>
    <w:p w14:paraId="57A5BA10" w14:textId="77777777" w:rsidR="00A13485" w:rsidRDefault="00A13485" w:rsidP="00A13485">
      <w:pPr>
        <w:pStyle w:val="NoSpacing"/>
      </w:pPr>
    </w:p>
    <w:p w14:paraId="0BDFE62F" w14:textId="77777777" w:rsidR="00A13485" w:rsidRDefault="00A13485" w:rsidP="00A13485">
      <w:pPr>
        <w:pStyle w:val="NoSpacing"/>
        <w:rPr>
          <w:b/>
        </w:rPr>
      </w:pPr>
      <w:r>
        <w:t xml:space="preserve">On April 23, 2026, </w:t>
      </w:r>
      <w:r w:rsidRPr="001627E8">
        <w:rPr>
          <w:u w:val="single"/>
        </w:rPr>
        <w:t>In Re Appeal of Todd David</w:t>
      </w:r>
      <w:r>
        <w:t xml:space="preserve">, the </w:t>
      </w:r>
      <w:r w:rsidRPr="004D370E">
        <w:t>Court of Appeals of Louisiana, First Circuit</w:t>
      </w:r>
      <w:r>
        <w:t xml:space="preserve"> held (3 to 0) that the Fire &amp; Police Board had reasonable basis for the termination, and trial court judge improperly reversed the Board.  On September 14, 2022, the firefighter tested positive for marijuana; at the pre-termination hearing he stated that a doctor gave him the marijuana recommendation because he experienced issues during his sleep due to PTSD.  This was his second positive for marijuana; 1999 he testified positive and signed a rehabilitation agreement that under Board’s ordinance, police and firefighters, as ‘safety-sensitive” employees, can only have one positive in their employment.  The City of Baton Rouge has more lenient policy.  </w:t>
      </w:r>
      <w:hyperlink r:id="rId1876" w:history="1">
        <w:r w:rsidRPr="006400E9">
          <w:rPr>
            <w:rStyle w:val="Hyperlink"/>
            <w:b/>
          </w:rPr>
          <w:t>https://cases.justia.com/louisiana/first-circuit-court-of-appeal/2026-2025cw0332.pdf?ts=1776975731</w:t>
        </w:r>
      </w:hyperlink>
      <w:r>
        <w:rPr>
          <w:b/>
        </w:rPr>
        <w:t xml:space="preserve"> </w:t>
      </w:r>
    </w:p>
    <w:p w14:paraId="278E61E8" w14:textId="77777777" w:rsidR="00A13485" w:rsidRDefault="00A13485" w:rsidP="00A13485">
      <w:pPr>
        <w:pStyle w:val="NoSpacing"/>
        <w:rPr>
          <w:b/>
        </w:rPr>
      </w:pPr>
    </w:p>
    <w:p w14:paraId="1C4ECA0A" w14:textId="77777777" w:rsidR="00A13485" w:rsidRPr="004D370E" w:rsidRDefault="00A13485" w:rsidP="00A13485">
      <w:pPr>
        <w:pStyle w:val="NoSpacing"/>
        <w:rPr>
          <w:bCs/>
        </w:rPr>
      </w:pPr>
      <w:r>
        <w:t>THE COURT HELD:</w:t>
      </w:r>
    </w:p>
    <w:p w14:paraId="15A9A36C" w14:textId="77777777" w:rsidR="00A13485" w:rsidRDefault="00A13485" w:rsidP="00A13485">
      <w:pPr>
        <w:pStyle w:val="NoSpacing"/>
      </w:pPr>
    </w:p>
    <w:p w14:paraId="27EF2C25" w14:textId="77777777" w:rsidR="00A13485" w:rsidRDefault="00A13485" w:rsidP="00A13485">
      <w:pPr>
        <w:pStyle w:val="NoSpacing"/>
        <w:ind w:firstLine="720"/>
      </w:pPr>
      <w:r>
        <w:t>“The district court exceeded its authority by reversing the board's decision in this</w:t>
      </w:r>
    </w:p>
    <w:p w14:paraId="1D7D4CFA" w14:textId="77777777" w:rsidR="00A13485" w:rsidRDefault="00A13485" w:rsidP="00A13485">
      <w:pPr>
        <w:pStyle w:val="NoSpacing"/>
        <w:ind w:firstLine="720"/>
      </w:pPr>
      <w:r>
        <w:t>matter…. [T</w:t>
      </w:r>
      <w:proofErr w:type="gramStart"/>
      <w:r>
        <w:t xml:space="preserve">]he </w:t>
      </w:r>
      <w:proofErr w:type="gramEnd"/>
      <w:r>
        <w:t xml:space="preserve">evidence in the administrative record establishes </w:t>
      </w:r>
      <w:proofErr w:type="gramStart"/>
      <w:r>
        <w:t>the reasonableness</w:t>
      </w:r>
      <w:proofErr w:type="gramEnd"/>
    </w:p>
    <w:p w14:paraId="6AFEDBE0" w14:textId="77777777" w:rsidR="00A13485" w:rsidRDefault="00A13485" w:rsidP="00A13485">
      <w:pPr>
        <w:pStyle w:val="NoSpacing"/>
        <w:ind w:firstLine="720"/>
      </w:pPr>
      <w:r>
        <w:t>of the board' s determination. After all, David' s attorney did not dispute that there was a</w:t>
      </w:r>
    </w:p>
    <w:p w14:paraId="4E45FE09" w14:textId="77777777" w:rsidR="00A13485" w:rsidRDefault="00A13485" w:rsidP="00A13485">
      <w:pPr>
        <w:pStyle w:val="NoSpacing"/>
        <w:ind w:firstLine="720"/>
      </w:pPr>
      <w:r>
        <w:t>“</w:t>
      </w:r>
      <w:proofErr w:type="gramStart"/>
      <w:r>
        <w:t>positive</w:t>
      </w:r>
      <w:proofErr w:type="gramEnd"/>
      <w:r>
        <w:t xml:space="preserve"> test" at the hearing. Instead, David argued that he did not know his use of</w:t>
      </w:r>
    </w:p>
    <w:p w14:paraId="6E2F7B34" w14:textId="77777777" w:rsidR="00A13485" w:rsidRDefault="00A13485" w:rsidP="00A13485">
      <w:pPr>
        <w:pStyle w:val="NoSpacing"/>
        <w:ind w:left="720"/>
      </w:pPr>
      <w:proofErr w:type="gramStart"/>
      <w:r>
        <w:t>marijuana</w:t>
      </w:r>
      <w:proofErr w:type="gramEnd"/>
      <w:r>
        <w:t xml:space="preserve"> under these circumstances would jeopardize his employment.</w:t>
      </w:r>
    </w:p>
    <w:p w14:paraId="2E967539" w14:textId="77777777" w:rsidR="00A13485" w:rsidRDefault="00A13485" w:rsidP="00A13485">
      <w:pPr>
        <w:pStyle w:val="NoSpacing"/>
        <w:ind w:left="720"/>
      </w:pPr>
    </w:p>
    <w:p w14:paraId="5D1BE4F2" w14:textId="77777777" w:rsidR="00A13485" w:rsidRDefault="00A13485" w:rsidP="00A13485">
      <w:pPr>
        <w:pStyle w:val="NoSpacing"/>
        <w:ind w:left="720"/>
      </w:pPr>
      <w:r>
        <w:t>***</w:t>
      </w:r>
    </w:p>
    <w:p w14:paraId="122AFE92" w14:textId="77777777" w:rsidR="00A13485" w:rsidRDefault="00A13485" w:rsidP="00A13485">
      <w:pPr>
        <w:pStyle w:val="NoSpacing"/>
        <w:ind w:left="720"/>
      </w:pPr>
      <w:r>
        <w:t>Chief Kimble' s termination letter did not find David's actions were justified, stating:</w:t>
      </w:r>
    </w:p>
    <w:p w14:paraId="1674D4AC" w14:textId="77777777" w:rsidR="00A13485" w:rsidRDefault="00A13485" w:rsidP="00A13485">
      <w:pPr>
        <w:pStyle w:val="NoSpacing"/>
        <w:ind w:left="720"/>
      </w:pPr>
      <w:r>
        <w:t>“</w:t>
      </w:r>
      <w:proofErr w:type="gramStart"/>
      <w:r>
        <w:t>particularly</w:t>
      </w:r>
      <w:proofErr w:type="gramEnd"/>
      <w:r>
        <w:t xml:space="preserve"> since you [ David] previously acknowledged to me [ Chief Kimble] that you</w:t>
      </w:r>
    </w:p>
    <w:p w14:paraId="1B0F95B7" w14:textId="77777777" w:rsidR="00A13485" w:rsidRDefault="00A13485" w:rsidP="00A13485">
      <w:pPr>
        <w:pStyle w:val="NoSpacing"/>
        <w:ind w:left="720"/>
      </w:pPr>
      <w:r>
        <w:t>were aware [ taking] medical marijuana would place me in the difficult position to have</w:t>
      </w:r>
    </w:p>
    <w:p w14:paraId="3FEF4F0B" w14:textId="77777777" w:rsidR="00A13485" w:rsidRDefault="00A13485" w:rsidP="00A13485">
      <w:pPr>
        <w:pStyle w:val="NoSpacing"/>
        <w:ind w:left="720"/>
      </w:pPr>
      <w:r>
        <w:t xml:space="preserve">to make a decision regarding your employment." </w:t>
      </w:r>
    </w:p>
    <w:p w14:paraId="5AB8305C" w14:textId="77777777" w:rsidR="00A13485" w:rsidRDefault="00A13485" w:rsidP="00A13485">
      <w:pPr>
        <w:pStyle w:val="NoSpacing"/>
        <w:ind w:left="720"/>
      </w:pPr>
    </w:p>
    <w:p w14:paraId="672431AE" w14:textId="77777777" w:rsidR="00A13485" w:rsidRDefault="00A13485" w:rsidP="00A13485">
      <w:pPr>
        <w:pStyle w:val="NoSpacing"/>
        <w:ind w:left="720"/>
      </w:pPr>
      <w:r>
        <w:t>***</w:t>
      </w:r>
    </w:p>
    <w:p w14:paraId="7292CE81" w14:textId="77777777" w:rsidR="00A13485" w:rsidRDefault="00A13485" w:rsidP="00A13485">
      <w:pPr>
        <w:pStyle w:val="NoSpacing"/>
        <w:ind w:left="720"/>
      </w:pPr>
      <w:r>
        <w:t>David suggested that it would be unfair to terminate him for violating a rule that he was unable to find-- either on his employer's website, the State Examiner's website, or in the BRFD policy manual. In response, BRFD pointed out that the rehabilitation agreement David signed in 1999 specifically cited the Fire and Police Board' s Drug -Free Ordinance. BRFD also pointed out that its policy manual was implemented in 1997, when there were no valid recommendations for medical marijuana.”</w:t>
      </w:r>
    </w:p>
    <w:p w14:paraId="05091318" w14:textId="77777777" w:rsidR="00A13485" w:rsidRDefault="00A13485" w:rsidP="00A13485">
      <w:pPr>
        <w:pStyle w:val="NoSpacing"/>
        <w:ind w:left="720"/>
      </w:pPr>
    </w:p>
    <w:p w14:paraId="482E264F" w14:textId="77777777" w:rsidR="00A13485" w:rsidRPr="00AC3281" w:rsidRDefault="00A13485" w:rsidP="00A13485">
      <w:pPr>
        <w:pStyle w:val="NoSpacing"/>
        <w:rPr>
          <w:b/>
          <w:bCs/>
        </w:rPr>
      </w:pPr>
      <w:r>
        <w:rPr>
          <w:b/>
        </w:rPr>
        <w:t xml:space="preserve">Legal lesson learned: Fire Boards can implement tougher drug-free policy than city policy; it would also be helpful to update FD policy manual with the policy. </w:t>
      </w:r>
    </w:p>
    <w:p w14:paraId="2D806D15" w14:textId="77777777" w:rsidR="00A13485" w:rsidRDefault="00A13485" w:rsidP="00A13485">
      <w:pPr>
        <w:pStyle w:val="NoSpacing"/>
        <w:rPr>
          <w:bCs/>
        </w:rPr>
      </w:pPr>
    </w:p>
    <w:p w14:paraId="35FD28BA" w14:textId="77777777" w:rsidR="001C5665" w:rsidRDefault="001C5665" w:rsidP="00800ACD">
      <w:pPr>
        <w:rPr>
          <w:rFonts w:ascii="Arial Black" w:hAnsi="Arial Black"/>
          <w:b/>
          <w:sz w:val="24"/>
          <w:szCs w:val="24"/>
        </w:rPr>
      </w:pPr>
    </w:p>
    <w:p w14:paraId="231DD3AF" w14:textId="77777777" w:rsidR="001C5665" w:rsidRDefault="001C5665" w:rsidP="00800ACD">
      <w:pPr>
        <w:rPr>
          <w:rFonts w:ascii="Arial Black" w:hAnsi="Arial Black"/>
          <w:b/>
          <w:sz w:val="24"/>
          <w:szCs w:val="24"/>
        </w:rPr>
      </w:pPr>
    </w:p>
    <w:p w14:paraId="630D72B0" w14:textId="4C1029BB" w:rsidR="006C0A0C" w:rsidRDefault="006C0A0C" w:rsidP="00800ACD">
      <w:pPr>
        <w:rPr>
          <w:rFonts w:ascii="Arial Black" w:hAnsi="Arial Black"/>
          <w:b/>
          <w:sz w:val="24"/>
          <w:szCs w:val="24"/>
        </w:rPr>
      </w:pPr>
      <w:r>
        <w:rPr>
          <w:rFonts w:ascii="Arial Black" w:hAnsi="Arial Black"/>
          <w:b/>
          <w:sz w:val="24"/>
          <w:szCs w:val="24"/>
        </w:rPr>
        <w:t>12-36</w:t>
      </w:r>
    </w:p>
    <w:p w14:paraId="4D4EEE90" w14:textId="77777777" w:rsidR="00B170D7" w:rsidRDefault="00B170D7" w:rsidP="00B170D7">
      <w:pPr>
        <w:pStyle w:val="NoSpacing"/>
        <w:rPr>
          <w:rFonts w:ascii="Arial Black" w:hAnsi="Arial Black"/>
          <w:b/>
          <w:sz w:val="28"/>
          <w:szCs w:val="28"/>
        </w:rPr>
      </w:pPr>
      <w:r>
        <w:rPr>
          <w:rFonts w:ascii="Arial Black" w:hAnsi="Arial Black"/>
          <w:b/>
          <w:sz w:val="28"/>
          <w:szCs w:val="28"/>
        </w:rPr>
        <w:t>FL: DRUG-TEST - FF/EMT TOOK HUSBAND’S DRUG – FIRED</w:t>
      </w:r>
    </w:p>
    <w:p w14:paraId="6822E340" w14:textId="77777777" w:rsidR="00B170D7" w:rsidRDefault="00B170D7" w:rsidP="00B170D7">
      <w:pPr>
        <w:pStyle w:val="NoSpacing"/>
        <w:rPr>
          <w:bCs/>
        </w:rPr>
      </w:pPr>
    </w:p>
    <w:p w14:paraId="1D74FF65" w14:textId="77777777" w:rsidR="00B170D7" w:rsidRDefault="00B170D7" w:rsidP="00B170D7">
      <w:pPr>
        <w:pStyle w:val="NoSpacing"/>
      </w:pPr>
      <w:r w:rsidRPr="00442D02">
        <w:t xml:space="preserve">On March 4, 2026, in </w:t>
      </w:r>
      <w:r w:rsidRPr="00442D02">
        <w:rPr>
          <w:u w:val="single"/>
        </w:rPr>
        <w:t>Dawn Oakley v. Polk County Board of Commissioners</w:t>
      </w:r>
      <w:r>
        <w:rPr>
          <w:b/>
        </w:rPr>
        <w:t xml:space="preserve">,  </w:t>
      </w:r>
      <w:r w:rsidRPr="008864DD">
        <w:t>U.S. District Court Judge</w:t>
      </w:r>
      <w:r>
        <w:t xml:space="preserve"> Virginia M. Hernandez Covington</w:t>
      </w:r>
      <w:r w:rsidRPr="008864DD">
        <w:t>, United States District Court, Middle District of Florida, Tampa Division</w:t>
      </w:r>
      <w:r>
        <w:t xml:space="preserve">, granted the County’s motion for summary judgment. </w:t>
      </w:r>
      <w:r w:rsidRPr="00430AF4">
        <w:t> </w:t>
      </w:r>
      <w:r>
        <w:t>The Court wrote: “</w:t>
      </w:r>
      <w:r w:rsidRPr="00430AF4">
        <w:t xml:space="preserve">Ms. Oakley argues that termination was a draconian punishment for a good employee who made a mistake. The Court tends to agree and has sympathy for Ms. Oakley. But this Court cannot second guess whether the County's decision was </w:t>
      </w:r>
      <w:r>
        <w:t>“</w:t>
      </w:r>
      <w:r w:rsidRPr="00430AF4">
        <w:t>prudent or fair.</w:t>
      </w:r>
      <w:r>
        <w:t xml:space="preserve">”… </w:t>
      </w:r>
      <w:r w:rsidRPr="00E97B54">
        <w:t> This Court does “not sit as a super-personnel department that reexamines an entity's business decisions.</w:t>
      </w:r>
      <w:r>
        <w:t xml:space="preserve">” </w:t>
      </w:r>
      <w:hyperlink r:id="rId1877" w:history="1">
        <w:r w:rsidRPr="00502BCE">
          <w:rPr>
            <w:rStyle w:val="Hyperlink"/>
          </w:rPr>
          <w:t>https://ecf.flmd.uscourts.gov/cgi-bin/show_public_doc?2025-00120-37-8-cv</w:t>
        </w:r>
      </w:hyperlink>
      <w:r>
        <w:t xml:space="preserve"> </w:t>
      </w:r>
    </w:p>
    <w:p w14:paraId="2C7683CF" w14:textId="77777777" w:rsidR="00B170D7" w:rsidRDefault="00B170D7" w:rsidP="00B170D7">
      <w:pPr>
        <w:pStyle w:val="NoSpacing"/>
      </w:pPr>
    </w:p>
    <w:p w14:paraId="59AB65ED" w14:textId="77777777" w:rsidR="00B170D7" w:rsidRDefault="00B170D7" w:rsidP="00B170D7">
      <w:pPr>
        <w:pStyle w:val="NoSpacing"/>
      </w:pPr>
      <w:r>
        <w:t>THE COURT HELD: “</w:t>
      </w:r>
      <w:r w:rsidRPr="002965D8">
        <w:t>On March 28, 2022, Ms. Oakley was selected to undergo a random drug test</w:t>
      </w:r>
      <w:r>
        <w:t xml:space="preserve">…. </w:t>
      </w:r>
      <w:r w:rsidRPr="002965D8">
        <w:t>Before she drove to Bartow where the test would be administered, Ms. Oakley took two pills from her to-go pill bottle that she believed were Tylenol to alleviate her back pain</w:t>
      </w:r>
      <w:r>
        <w:t>….</w:t>
      </w:r>
      <w:r w:rsidRPr="002965D8">
        <w:t>But Ms. Oakley accidentally ingested her husband's Vyvanse, which she mistook for Tylenol</w:t>
      </w:r>
      <w:r>
        <w:t>….</w:t>
      </w:r>
      <w:r w:rsidRPr="002965D8">
        <w:t xml:space="preserve"> The weekend before her drug test, Ms. Oakley put one of her husband's Vyvanse pills in her to-go pill bottle in case they decided to spend the night in Orlando after a concert</w:t>
      </w:r>
      <w:r>
        <w:t xml:space="preserve">…. </w:t>
      </w:r>
      <w:r w:rsidRPr="002965D8">
        <w:t>Ms. Oakley had forgotten about her husband's Vyvanse, failing to remove it from her to-go bottle</w:t>
      </w:r>
      <w:r>
        <w:t xml:space="preserve">…. </w:t>
      </w:r>
      <w:r w:rsidRPr="002965D8">
        <w:t>Ms. Oakley completed a breathalyzer test and provided a urine sample</w:t>
      </w:r>
      <w:r>
        <w:t xml:space="preserve">…. </w:t>
      </w:r>
      <w:r w:rsidRPr="007803F7">
        <w:t>Ms. Oakley admitted to taking 70 milligrams of Vyvanse, and, although she did not feel any effects from the medication, she was still under its influence during her shift.</w:t>
      </w:r>
    </w:p>
    <w:p w14:paraId="1F722B1D" w14:textId="77777777" w:rsidR="00B170D7" w:rsidRDefault="00B170D7" w:rsidP="00B170D7">
      <w:pPr>
        <w:pStyle w:val="NoSpacing"/>
      </w:pPr>
    </w:p>
    <w:p w14:paraId="79ECAE3B" w14:textId="77777777" w:rsidR="00B170D7" w:rsidRDefault="00B170D7" w:rsidP="00B170D7">
      <w:pPr>
        <w:pStyle w:val="NoSpacing"/>
      </w:pPr>
      <w:r>
        <w:t>***</w:t>
      </w:r>
    </w:p>
    <w:p w14:paraId="07E4FE34" w14:textId="77777777" w:rsidR="00B170D7" w:rsidRDefault="00B170D7" w:rsidP="00B170D7">
      <w:pPr>
        <w:pStyle w:val="NoSpacing"/>
      </w:pPr>
    </w:p>
    <w:p w14:paraId="76F8D29A" w14:textId="77777777" w:rsidR="00B170D7" w:rsidRDefault="00B170D7" w:rsidP="00B170D7">
      <w:pPr>
        <w:pStyle w:val="NoSpacing"/>
      </w:pPr>
      <w:r w:rsidRPr="00F97586">
        <w:t>From January 2015 through December 2023, Polk County either terminated or allowed resignation in lieu of termination for 14 employees after positive random drug tests</w:t>
      </w:r>
      <w:r>
        <w:t>….</w:t>
      </w:r>
      <w:r w:rsidRPr="00F97586">
        <w:t>Eight of these employees, including Ms. Oakley, worked for PCFR</w:t>
      </w:r>
      <w:r>
        <w:t xml:space="preserve">…. </w:t>
      </w:r>
      <w:r w:rsidRPr="00F97586">
        <w:t xml:space="preserve">The group included two African American males, one Hispanic </w:t>
      </w:r>
      <w:r>
        <w:t xml:space="preserve"> </w:t>
      </w:r>
      <w:r w:rsidRPr="00F97586">
        <w:t>male, and one white male</w:t>
      </w:r>
      <w:r>
        <w:t xml:space="preserve">…. </w:t>
      </w:r>
      <w:r w:rsidRPr="00F97586">
        <w:t>The fifth male did not disclose his racial identity, so that remains unknown</w:t>
      </w:r>
      <w:r>
        <w:t xml:space="preserve">…. </w:t>
      </w:r>
      <w:r w:rsidRPr="00F97586">
        <w:t>In addition to Ms. Oakley, two white females have also been terminated for positive drug tests</w:t>
      </w:r>
      <w:r>
        <w:t xml:space="preserve">…. </w:t>
      </w:r>
      <w:r w:rsidRPr="00F97586">
        <w:t>Four white males and two Hispanic males who worked in the County's other divisions also lost their jobs after positive drug tests.</w:t>
      </w:r>
      <w:r>
        <w:t>”</w:t>
      </w:r>
    </w:p>
    <w:p w14:paraId="42B44340" w14:textId="77777777" w:rsidR="00B170D7" w:rsidRDefault="00B170D7" w:rsidP="00B170D7">
      <w:pPr>
        <w:pStyle w:val="NoSpacing"/>
      </w:pPr>
    </w:p>
    <w:p w14:paraId="1884B7E8" w14:textId="77777777" w:rsidR="00B170D7" w:rsidRPr="00F97586" w:rsidRDefault="00B170D7" w:rsidP="00B170D7">
      <w:pPr>
        <w:pStyle w:val="NoSpacing"/>
        <w:rPr>
          <w:b/>
          <w:bCs/>
        </w:rPr>
      </w:pPr>
      <w:r w:rsidRPr="003E0542">
        <w:rPr>
          <w:b/>
        </w:rPr>
        <w:t xml:space="preserve">Legal lesson learned: </w:t>
      </w:r>
      <w:r>
        <w:rPr>
          <w:b/>
        </w:rPr>
        <w:t xml:space="preserve">The County has consistently followed its drug free workplace policy (even if it may be called “harsh”). </w:t>
      </w:r>
    </w:p>
    <w:p w14:paraId="1E9A86A8" w14:textId="77777777" w:rsidR="006C0A0C" w:rsidRDefault="006C0A0C" w:rsidP="00800ACD">
      <w:pPr>
        <w:rPr>
          <w:rFonts w:ascii="Arial Black" w:hAnsi="Arial Black"/>
          <w:b/>
          <w:sz w:val="24"/>
          <w:szCs w:val="24"/>
        </w:rPr>
      </w:pPr>
    </w:p>
    <w:p w14:paraId="0D4247D4" w14:textId="77777777" w:rsidR="006C0A0C" w:rsidRDefault="006C0A0C" w:rsidP="00800ACD">
      <w:pPr>
        <w:rPr>
          <w:rFonts w:ascii="Arial Black" w:hAnsi="Arial Black"/>
          <w:b/>
          <w:sz w:val="24"/>
          <w:szCs w:val="24"/>
        </w:rPr>
      </w:pPr>
    </w:p>
    <w:p w14:paraId="7FCA3057" w14:textId="15F5AEDE" w:rsidR="005F4889" w:rsidRDefault="005F4889" w:rsidP="00800ACD">
      <w:pPr>
        <w:rPr>
          <w:rFonts w:ascii="Arial Black" w:hAnsi="Arial Black"/>
          <w:b/>
          <w:sz w:val="24"/>
          <w:szCs w:val="24"/>
        </w:rPr>
      </w:pPr>
      <w:r>
        <w:rPr>
          <w:rFonts w:ascii="Arial Black" w:hAnsi="Arial Black"/>
          <w:b/>
          <w:sz w:val="24"/>
          <w:szCs w:val="24"/>
        </w:rPr>
        <w:t>12-35</w:t>
      </w:r>
    </w:p>
    <w:p w14:paraId="5599C142" w14:textId="77777777" w:rsidR="00C812C2" w:rsidRPr="00E361DB" w:rsidRDefault="00C812C2" w:rsidP="00C812C2">
      <w:pPr>
        <w:rPr>
          <w:rFonts w:ascii="Arial Black" w:hAnsi="Arial Black"/>
          <w:b/>
          <w:sz w:val="28"/>
          <w:szCs w:val="28"/>
        </w:rPr>
      </w:pPr>
      <w:r>
        <w:rPr>
          <w:rFonts w:ascii="Arial Black" w:hAnsi="Arial Black"/>
          <w:b/>
          <w:sz w:val="28"/>
          <w:szCs w:val="28"/>
        </w:rPr>
        <w:t xml:space="preserve">FL: B/C MJ MEDICAL USE – DEMOTED -  NOT COVERED ADA </w:t>
      </w:r>
    </w:p>
    <w:p w14:paraId="0697D919" w14:textId="77777777" w:rsidR="00C812C2" w:rsidRDefault="00C812C2" w:rsidP="00C812C2">
      <w:pPr>
        <w:pStyle w:val="NoSpacing"/>
      </w:pPr>
      <w:r>
        <w:t>On January 13, 2026</w:t>
      </w:r>
      <w:proofErr w:type="gramStart"/>
      <w:r>
        <w:t>, in</w:t>
      </w:r>
      <w:proofErr w:type="gramEnd"/>
      <w:r>
        <w:t xml:space="preserve"> </w:t>
      </w:r>
      <w:r w:rsidRPr="005515CC">
        <w:rPr>
          <w:u w:val="single"/>
        </w:rPr>
        <w:t>John Beckman v. The Collier County Board of Commissioners</w:t>
      </w:r>
      <w:r>
        <w:t xml:space="preserve">, Senior U.S. District Court Judge John E. Steele, United States District Court for the Middle District of Florida, Fort Myers Division, granted summary judgment to the County; even though Florida allows medically prescribed marijuana, it is still an illegal Federal drug and under ADA persons using illegal drugs are not “qualified individual.” The record shows that Beckman’s disability disclosures to Fire Department occurred in October 2020, April 2021, and September 2022. He  was selected for random drug testing on September 1, 2023, and after testing positive, placed on unpaid administrative leave, returned to work on October 17, </w:t>
      </w:r>
      <w:proofErr w:type="gramStart"/>
      <w:r>
        <w:t>2023</w:t>
      </w:r>
      <w:proofErr w:type="gramEnd"/>
      <w:r>
        <w:t xml:space="preserve"> he was demoted.  He </w:t>
      </w:r>
      <w:proofErr w:type="gramStart"/>
      <w:r>
        <w:t>resigned</w:t>
      </w:r>
      <w:proofErr w:type="gramEnd"/>
      <w:r>
        <w:t xml:space="preserve"> November 9, 2023.  </w:t>
      </w:r>
      <w:hyperlink r:id="rId1878" w:history="1">
        <w:r w:rsidRPr="00EB79A3">
          <w:rPr>
            <w:rStyle w:val="Hyperlink"/>
          </w:rPr>
          <w:t>https://cases.justia.com/federal/district-courts/florida/flmdce/2:2024cv00585/429227/35/0.pdf?ts=1768388107</w:t>
        </w:r>
      </w:hyperlink>
      <w:r>
        <w:t xml:space="preserve"> </w:t>
      </w:r>
    </w:p>
    <w:p w14:paraId="0A703893" w14:textId="77777777" w:rsidR="00C812C2" w:rsidRDefault="00C812C2" w:rsidP="00C812C2">
      <w:pPr>
        <w:pStyle w:val="NoSpacing"/>
      </w:pPr>
    </w:p>
    <w:p w14:paraId="0E37247D" w14:textId="77777777" w:rsidR="00C812C2" w:rsidRDefault="00C812C2" w:rsidP="00C812C2">
      <w:pPr>
        <w:pStyle w:val="NoSpacing"/>
      </w:pPr>
      <w:r>
        <w:t>THE COURT HELD:</w:t>
      </w:r>
    </w:p>
    <w:p w14:paraId="747F9504" w14:textId="77777777" w:rsidR="00C812C2" w:rsidRDefault="00C812C2" w:rsidP="00C812C2">
      <w:pPr>
        <w:pStyle w:val="NoSpacing"/>
      </w:pPr>
    </w:p>
    <w:p w14:paraId="5D84B0D7" w14:textId="77777777" w:rsidR="00C812C2" w:rsidRDefault="00C812C2" w:rsidP="00C812C2">
      <w:pPr>
        <w:pStyle w:val="NoSpacing"/>
        <w:ind w:left="720"/>
      </w:pPr>
      <w:r>
        <w:t>“</w:t>
      </w:r>
      <w:r w:rsidRPr="00AF601A">
        <w:t>Beckman began his employment with the County in 2006 as an</w:t>
      </w:r>
      <w:r>
        <w:t xml:space="preserve"> </w:t>
      </w:r>
      <w:r w:rsidRPr="00AF601A">
        <w:t>Emergency Medical Technician. Beckman enjoyed a successful career</w:t>
      </w:r>
      <w:r>
        <w:t xml:space="preserve"> </w:t>
      </w:r>
      <w:r w:rsidRPr="00AF601A">
        <w:t>with the County, and by 2016 had been promoted to Battalion Chief.</w:t>
      </w:r>
      <w:r>
        <w:t xml:space="preserve"> </w:t>
      </w:r>
      <w:r w:rsidRPr="00AF601A">
        <w:t>At all relevant times Beckman had been able to perform the</w:t>
      </w:r>
      <w:r>
        <w:t xml:space="preserve"> </w:t>
      </w:r>
      <w:r w:rsidRPr="00AF601A">
        <w:t xml:space="preserve">essential functions of his employment position with </w:t>
      </w:r>
      <w:proofErr w:type="gramStart"/>
      <w:r w:rsidRPr="00AF601A">
        <w:t>an</w:t>
      </w:r>
      <w:r>
        <w:t xml:space="preserve"> </w:t>
      </w:r>
      <w:r w:rsidRPr="00AF601A">
        <w:t>accommodation</w:t>
      </w:r>
      <w:proofErr w:type="gramEnd"/>
      <w:r w:rsidRPr="00AF601A">
        <w:t xml:space="preserve"> for a gastrointestinal condition that substantially</w:t>
      </w:r>
      <w:r>
        <w:t xml:space="preserve"> </w:t>
      </w:r>
      <w:r w:rsidRPr="00AF601A">
        <w:t>limits his major life activities. After multiple medications</w:t>
      </w:r>
      <w:r>
        <w:t xml:space="preserve"> </w:t>
      </w:r>
      <w:r w:rsidRPr="00AF601A">
        <w:t>proved unsuccessful in managing the condition, on September 12,</w:t>
      </w:r>
      <w:r>
        <w:t xml:space="preserve"> </w:t>
      </w:r>
      <w:r w:rsidRPr="00AF601A">
        <w:t>2020, Beckman obtained a certification for medical marijuana use</w:t>
      </w:r>
      <w:r>
        <w:t xml:space="preserve"> </w:t>
      </w:r>
      <w:r w:rsidRPr="00AF601A">
        <w:t>from the State of Florida.</w:t>
      </w:r>
    </w:p>
    <w:p w14:paraId="468101A5" w14:textId="77777777" w:rsidR="00C812C2" w:rsidRDefault="00C812C2" w:rsidP="00C812C2">
      <w:pPr>
        <w:pStyle w:val="NoSpacing"/>
        <w:ind w:left="720"/>
      </w:pPr>
    </w:p>
    <w:p w14:paraId="5E28F31A" w14:textId="77777777" w:rsidR="00C812C2" w:rsidRDefault="00C812C2" w:rsidP="00C812C2">
      <w:pPr>
        <w:pStyle w:val="NoSpacing"/>
        <w:ind w:left="720"/>
      </w:pPr>
      <w:r>
        <w:t>***</w:t>
      </w:r>
    </w:p>
    <w:p w14:paraId="64031651" w14:textId="77777777" w:rsidR="00C812C2" w:rsidRDefault="00C812C2" w:rsidP="00C812C2">
      <w:pPr>
        <w:pStyle w:val="NoSpacing"/>
        <w:ind w:left="720"/>
      </w:pPr>
    </w:p>
    <w:p w14:paraId="657C1484" w14:textId="77777777" w:rsidR="00C812C2" w:rsidRDefault="00C812C2" w:rsidP="00C812C2">
      <w:pPr>
        <w:pStyle w:val="NoSpacing"/>
        <w:ind w:left="720"/>
      </w:pPr>
      <w:r>
        <w:t>In October 2020 Beckman notified both Deputy Chief Tony Camps (‘Deputy Chief Camps’) and Chief Tabatha Butcher (‘Chief Butcher’)about his medical marijuana use certification…. Beckman would periodically request and receive paid time off because of his medical condition. There were no issues about Beckman’s work performance, and Beckman continued to use the medical marijuana on and off as needed. Beckman was only tested at work because of the random drug testing protocol, and until September 1, 2023, he had never tested positive for the presence of marijuana in his system.</w:t>
      </w:r>
    </w:p>
    <w:p w14:paraId="642BE5CA" w14:textId="77777777" w:rsidR="00C812C2" w:rsidRDefault="00C812C2" w:rsidP="00C812C2">
      <w:pPr>
        <w:pStyle w:val="NoSpacing"/>
        <w:ind w:left="720"/>
      </w:pPr>
    </w:p>
    <w:p w14:paraId="031B6E6C" w14:textId="77777777" w:rsidR="00C812C2" w:rsidRDefault="00C812C2" w:rsidP="00C812C2">
      <w:pPr>
        <w:pStyle w:val="NoSpacing"/>
        <w:ind w:left="720"/>
      </w:pPr>
      <w:r>
        <w:t>On September 1, 2023, Beckman was selected for random drug testing as part of the County’s testing protocol. The test came back positive for the presence of marijuana in Beckman’s system, and he was immediately placed on unpaid administrative leave until completing counseling with a substance abuse professional and returning a negative drug screening.</w:t>
      </w:r>
    </w:p>
    <w:p w14:paraId="4E67D843" w14:textId="77777777" w:rsidR="00C812C2" w:rsidRDefault="00C812C2" w:rsidP="00C812C2">
      <w:pPr>
        <w:pStyle w:val="NoSpacing"/>
        <w:ind w:left="720"/>
      </w:pPr>
    </w:p>
    <w:p w14:paraId="00E05092" w14:textId="77777777" w:rsidR="00C812C2" w:rsidRDefault="00C812C2" w:rsidP="00C812C2">
      <w:pPr>
        <w:pStyle w:val="NoSpacing"/>
        <w:ind w:left="720"/>
      </w:pPr>
      <w:r>
        <w:t xml:space="preserve">Beckman was cleared to return to work after testing negative for illegal substances on October 17, 2023. By October 24, 2023, Beckman received and signed a Behavioral Action Plan (‘BAP’) which included: (1) a thirty-day suspension credited as time served, (2) demotion from Battalion Chief II to Paramedic II with an approximate 24.5% pay cut, (3) a six-month driving prohibition, (4) a six-month probationary period, and (5) ineligibility for promotional opportunities for up to twenty-four months. Beckman did not appeal this </w:t>
      </w:r>
      <w:proofErr w:type="gramStart"/>
      <w:r>
        <w:t>discipline, but</w:t>
      </w:r>
      <w:proofErr w:type="gramEnd"/>
      <w:r>
        <w:t xml:space="preserve"> was unwilling to accept the demotion in rank. Beckman submitted a letter of resignation on October 26, 2023, and terminated his employment with the County on November 9, 2023. Beckman characterizes this as a constructive discharge by the County.</w:t>
      </w:r>
    </w:p>
    <w:p w14:paraId="387FAD6F" w14:textId="77777777" w:rsidR="00C812C2" w:rsidRDefault="00C812C2" w:rsidP="00C812C2">
      <w:pPr>
        <w:pStyle w:val="NoSpacing"/>
        <w:ind w:left="720"/>
      </w:pPr>
    </w:p>
    <w:p w14:paraId="152D3E3D" w14:textId="77777777" w:rsidR="00C812C2" w:rsidRDefault="00C812C2" w:rsidP="00C812C2">
      <w:pPr>
        <w:pStyle w:val="NoSpacing"/>
        <w:ind w:left="720"/>
      </w:pPr>
      <w:r>
        <w:t>***</w:t>
      </w:r>
    </w:p>
    <w:p w14:paraId="03B970F9" w14:textId="77777777" w:rsidR="00C812C2" w:rsidRDefault="00C812C2" w:rsidP="00C812C2">
      <w:pPr>
        <w:pStyle w:val="NoSpacing"/>
        <w:ind w:left="720"/>
      </w:pPr>
      <w:r>
        <w:t xml:space="preserve">Beckman’s use of marijuana, even pursuant to his Florida certificate, was illegal under federal law, and the statutory exclusion is not satisfied by the Florida medical marijuana program. Accordingly, Beckman was not a qualified individual with a disability under the ADA…. But even construing this conduct as being a requested accommodation to allow the use of marijuana, it was not reasonable under the ADA because medical marijuana use was and still is illegal under federal law. Accordingly, any failure to accommodate claim based on the underlying facts fails as a matter of </w:t>
      </w:r>
      <w:proofErr w:type="gramStart"/>
      <w:r>
        <w:t>law.”</w:t>
      </w:r>
      <w:proofErr w:type="gramEnd"/>
    </w:p>
    <w:p w14:paraId="7C2FA684" w14:textId="77777777" w:rsidR="00C812C2" w:rsidRDefault="00C812C2" w:rsidP="00C812C2">
      <w:pPr>
        <w:pStyle w:val="NoSpacing"/>
        <w:ind w:left="720"/>
      </w:pPr>
    </w:p>
    <w:p w14:paraId="4B1420A5" w14:textId="77777777" w:rsidR="00C812C2" w:rsidRPr="003032F5" w:rsidRDefault="00C812C2" w:rsidP="00C812C2">
      <w:pPr>
        <w:pStyle w:val="NoSpacing"/>
        <w:rPr>
          <w:b/>
          <w:bCs/>
        </w:rPr>
      </w:pPr>
      <w:r>
        <w:rPr>
          <w:b/>
        </w:rPr>
        <w:t xml:space="preserve">Legal lesson learned: Unfortunate to discipline a Battalion Chief for use of proscribed medical marijuana; numerous fire departments have in their </w:t>
      </w:r>
      <w:proofErr w:type="gramStart"/>
      <w:r>
        <w:rPr>
          <w:b/>
        </w:rPr>
        <w:t>policies</w:t>
      </w:r>
      <w:proofErr w:type="gramEnd"/>
      <w:r>
        <w:rPr>
          <w:b/>
        </w:rPr>
        <w:t xml:space="preserve"> or Collective Bargaining Agreements recognized the use of proscribed medical marijuana.</w:t>
      </w:r>
    </w:p>
    <w:p w14:paraId="5E353C2C" w14:textId="77777777" w:rsidR="00C812C2" w:rsidRDefault="00C812C2" w:rsidP="00C812C2">
      <w:pPr>
        <w:pStyle w:val="NoSpacing"/>
      </w:pPr>
    </w:p>
    <w:p w14:paraId="3B5242D8" w14:textId="77777777" w:rsidR="00C812C2" w:rsidRDefault="00C812C2" w:rsidP="00C812C2">
      <w:pPr>
        <w:pStyle w:val="NoSpacing"/>
        <w:ind w:left="720"/>
      </w:pPr>
      <w:r>
        <w:t xml:space="preserve">Note: The Drug Enforcement Administration (DEA) recently proposed a new rule to reclassify Marijuana as a Schedule III drug, which would allow use of marijuana for medical treatment. On December 18, </w:t>
      </w:r>
      <w:proofErr w:type="gramStart"/>
      <w:r>
        <w:t>2025</w:t>
      </w:r>
      <w:proofErr w:type="gramEnd"/>
      <w:r>
        <w:t xml:space="preserve"> President Donald J. Trump has issued an Executive Order to speed up consideration of the reclassification of marijuana. Increasing</w:t>
      </w:r>
    </w:p>
    <w:p w14:paraId="5DDB30A8" w14:textId="77777777" w:rsidR="00C812C2" w:rsidRDefault="00C812C2" w:rsidP="00C812C2">
      <w:pPr>
        <w:pStyle w:val="NoSpacing"/>
        <w:ind w:left="720"/>
      </w:pPr>
      <w:r>
        <w:t xml:space="preserve">Medical Marijuana and Cannabidiol Research, 90 FR 60541. </w:t>
      </w:r>
      <w:hyperlink r:id="rId1879" w:history="1">
        <w:r w:rsidRPr="00EB79A3">
          <w:rPr>
            <w:rStyle w:val="Hyperlink"/>
          </w:rPr>
          <w:t>https://www.federalregister.gov/documents/2025/12/23/2025-23846/increasing-medical-marijuana-and-cannabidiol-research</w:t>
        </w:r>
      </w:hyperlink>
      <w:r>
        <w:t xml:space="preserve"> </w:t>
      </w:r>
    </w:p>
    <w:p w14:paraId="3CE69537" w14:textId="77777777" w:rsidR="00C812C2" w:rsidRDefault="00C812C2" w:rsidP="00C812C2">
      <w:pPr>
        <w:pStyle w:val="NoSpacing"/>
        <w:ind w:left="720"/>
      </w:pPr>
    </w:p>
    <w:p w14:paraId="74F7464E" w14:textId="77777777" w:rsidR="00C812C2" w:rsidRDefault="00C812C2" w:rsidP="00C812C2">
      <w:pPr>
        <w:pStyle w:val="NoSpacing"/>
        <w:ind w:left="720"/>
        <w:rPr>
          <w:bCs/>
        </w:rPr>
      </w:pPr>
      <w:r>
        <w:t xml:space="preserve">See also: Dec. 22, 2025: MD – </w:t>
      </w:r>
      <w:r w:rsidRPr="005841E1">
        <w:t xml:space="preserve">Howard County firefighters may use medical cannabis during off-hours, starting soon. </w:t>
      </w:r>
      <w:hyperlink r:id="rId1880" w:history="1">
        <w:r w:rsidRPr="00815351">
          <w:rPr>
            <w:rStyle w:val="Hyperlink"/>
          </w:rPr>
          <w:t>https://baltimorefishbowl.com/stories/howard-county-firefighters-medical-cannabis/</w:t>
        </w:r>
      </w:hyperlink>
      <w:r>
        <w:t xml:space="preserve"> </w:t>
      </w:r>
    </w:p>
    <w:p w14:paraId="4D510AAF" w14:textId="77777777" w:rsidR="00C812C2" w:rsidRPr="005841E1" w:rsidRDefault="00C812C2" w:rsidP="00C812C2">
      <w:pPr>
        <w:pStyle w:val="NoSpacing"/>
        <w:ind w:left="720"/>
        <w:rPr>
          <w:bCs/>
        </w:rPr>
      </w:pPr>
      <w:r w:rsidRPr="00BC6E53">
        <w:t>Howard County Executive Calvin Ball on Friday announced an agreement between Howard County Government and the Howard County International Association of Fire Fighters (IAFF) Local 2000 to allow County Department of Fire and Rescue Services (DFRS) uniformed personnel off-duty usage of medical cannabis. The employees may not use the substance 12 hours before reporting to work, and they must present a valid medical cannabis authorization form to the County’s Office of Human Resources.</w:t>
      </w:r>
    </w:p>
    <w:p w14:paraId="3913A83A" w14:textId="77777777" w:rsidR="00C812C2" w:rsidRDefault="00C812C2" w:rsidP="00C812C2">
      <w:pPr>
        <w:pStyle w:val="NoSpacing"/>
        <w:ind w:left="720"/>
      </w:pPr>
    </w:p>
    <w:p w14:paraId="42298BF1" w14:textId="77777777" w:rsidR="00C812C2" w:rsidRPr="00C83C95" w:rsidRDefault="00C812C2" w:rsidP="00C812C2">
      <w:pPr>
        <w:pStyle w:val="NoSpacing"/>
        <w:ind w:left="720"/>
        <w:rPr>
          <w:b/>
        </w:rPr>
      </w:pPr>
      <w:r w:rsidRPr="00C83C95">
        <w:t>New policy allows Howard County firefighters to use medical cannabis</w:t>
      </w:r>
      <w:r>
        <w:t xml:space="preserve">. </w:t>
      </w:r>
      <w:hyperlink r:id="rId1881" w:history="1">
        <w:r w:rsidRPr="00815351">
          <w:rPr>
            <w:rStyle w:val="Hyperlink"/>
          </w:rPr>
          <w:t>https://www.youtube.com/watch?v=wVEUB8WSdp8</w:t>
        </w:r>
      </w:hyperlink>
      <w:r>
        <w:t xml:space="preserve"> </w:t>
      </w:r>
    </w:p>
    <w:p w14:paraId="4EEA7258" w14:textId="77777777" w:rsidR="00C812C2" w:rsidRDefault="00C812C2" w:rsidP="00C812C2">
      <w:pPr>
        <w:pStyle w:val="NoSpacing"/>
        <w:ind w:left="720"/>
      </w:pPr>
    </w:p>
    <w:p w14:paraId="133172FD" w14:textId="77777777" w:rsidR="00C812C2" w:rsidRPr="00F71B22" w:rsidRDefault="00C812C2" w:rsidP="00C812C2">
      <w:pPr>
        <w:pStyle w:val="NoSpacing"/>
        <w:ind w:left="720"/>
        <w:rPr>
          <w:bCs/>
        </w:rPr>
      </w:pPr>
      <w:r>
        <w:t xml:space="preserve">Dec. 19, 2025: </w:t>
      </w:r>
      <w:r w:rsidRPr="00F71B22">
        <w:t>What Does President Trump’s New Marijuana Directive Mean for You as a Fire Chief?</w:t>
      </w:r>
      <w:r>
        <w:t xml:space="preserve"> </w:t>
      </w:r>
      <w:hyperlink r:id="rId1882" w:history="1">
        <w:r w:rsidRPr="00815351">
          <w:rPr>
            <w:rStyle w:val="Hyperlink"/>
          </w:rPr>
          <w:t>https://www.firefighternation.com/fire-leadership/what-does-president-trumps-new-marijuana-directive-mean-for-you-as-a-fire-chief/</w:t>
        </w:r>
      </w:hyperlink>
      <w:r>
        <w:t xml:space="preserve"> </w:t>
      </w:r>
    </w:p>
    <w:p w14:paraId="6B14FF4B" w14:textId="77777777" w:rsidR="00C812C2" w:rsidRDefault="00C812C2" w:rsidP="00C812C2">
      <w:pPr>
        <w:pStyle w:val="NoSpacing"/>
        <w:ind w:left="720"/>
      </w:pPr>
    </w:p>
    <w:p w14:paraId="1F92C09B" w14:textId="77777777" w:rsidR="00C812C2" w:rsidRPr="001B7700" w:rsidRDefault="00C812C2" w:rsidP="00C812C2">
      <w:pPr>
        <w:pStyle w:val="NoSpacing"/>
        <w:ind w:left="720"/>
        <w:rPr>
          <w:vanish/>
        </w:rPr>
      </w:pPr>
      <w:r>
        <w:t xml:space="preserve">Jan. 2025: KY - </w:t>
      </w:r>
      <w:r w:rsidRPr="00FE3452">
        <w:t xml:space="preserve">Louisville union sues city to allow firefighters to use medical cannabis. </w:t>
      </w:r>
      <w:hyperlink r:id="rId1883" w:history="1">
        <w:r w:rsidRPr="00FE3452">
          <w:rPr>
            <w:rStyle w:val="Hyperlink"/>
          </w:rPr>
          <w:t>https://www.youtube.com/watch?v=1jL6w0_sguI</w:t>
        </w:r>
      </w:hyperlink>
      <w:r w:rsidRPr="00FE3452">
        <w:t xml:space="preserve"> </w:t>
      </w:r>
    </w:p>
    <w:p w14:paraId="5BF3C490" w14:textId="77777777" w:rsidR="00C812C2" w:rsidRPr="001B7700" w:rsidRDefault="00C812C2" w:rsidP="00C812C2">
      <w:pPr>
        <w:ind w:left="720"/>
        <w:rPr>
          <w:vanish/>
        </w:rPr>
      </w:pPr>
      <w:r w:rsidRPr="001B7700">
        <w:rPr>
          <w:vanish/>
        </w:rPr>
        <w:t>Bottom of Form</w:t>
      </w:r>
    </w:p>
    <w:p w14:paraId="31C8A261" w14:textId="77777777" w:rsidR="00C812C2" w:rsidRPr="001B7700" w:rsidRDefault="00C812C2" w:rsidP="00C812C2">
      <w:pPr>
        <w:ind w:left="720"/>
        <w:rPr>
          <w:rStyle w:val="Hyperlink"/>
        </w:rPr>
      </w:pPr>
      <w:r w:rsidRPr="001B7700">
        <w:fldChar w:fldCharType="begin"/>
      </w:r>
      <w:r w:rsidRPr="001B7700">
        <w:instrText>HYPERLINK "https://www.youtube.com/" \o "YouTube Home"</w:instrText>
      </w:r>
      <w:r w:rsidRPr="001B7700">
        <w:fldChar w:fldCharType="separate"/>
      </w:r>
    </w:p>
    <w:p w14:paraId="44D30990" w14:textId="790A2373" w:rsidR="005F4889" w:rsidRDefault="00C812C2" w:rsidP="00C812C2">
      <w:pPr>
        <w:rPr>
          <w:rFonts w:ascii="Arial Black" w:hAnsi="Arial Black"/>
          <w:b/>
          <w:sz w:val="24"/>
          <w:szCs w:val="24"/>
        </w:rPr>
      </w:pPr>
      <w:r w:rsidRPr="001B7700">
        <w:fldChar w:fldCharType="end"/>
      </w:r>
    </w:p>
    <w:p w14:paraId="3BEA6EBD" w14:textId="77777777" w:rsidR="005F4889" w:rsidRDefault="005F4889" w:rsidP="00800ACD">
      <w:pPr>
        <w:rPr>
          <w:rFonts w:ascii="Arial Black" w:hAnsi="Arial Black"/>
          <w:b/>
          <w:sz w:val="24"/>
          <w:szCs w:val="24"/>
        </w:rPr>
      </w:pPr>
    </w:p>
    <w:p w14:paraId="43A1942B" w14:textId="77777777" w:rsidR="005F4889" w:rsidRDefault="005F4889" w:rsidP="00800ACD">
      <w:pPr>
        <w:rPr>
          <w:rFonts w:ascii="Arial Black" w:hAnsi="Arial Black"/>
          <w:b/>
          <w:sz w:val="24"/>
          <w:szCs w:val="24"/>
        </w:rPr>
      </w:pPr>
    </w:p>
    <w:p w14:paraId="08BAB7EB" w14:textId="2BA71371" w:rsidR="008E743B" w:rsidRDefault="00A34683" w:rsidP="00800ACD">
      <w:pPr>
        <w:rPr>
          <w:rFonts w:ascii="Arial Black" w:hAnsi="Arial Black"/>
          <w:b/>
          <w:sz w:val="24"/>
          <w:szCs w:val="24"/>
        </w:rPr>
      </w:pPr>
      <w:r>
        <w:rPr>
          <w:rFonts w:ascii="Arial Black" w:hAnsi="Arial Black"/>
          <w:b/>
          <w:sz w:val="24"/>
          <w:szCs w:val="24"/>
        </w:rPr>
        <w:t>12-34</w:t>
      </w:r>
    </w:p>
    <w:p w14:paraId="15394B7C" w14:textId="77777777" w:rsidR="00A34683" w:rsidRPr="005F4150" w:rsidRDefault="00A34683" w:rsidP="00A34683">
      <w:pPr>
        <w:rPr>
          <w:rFonts w:ascii="Arial Black" w:hAnsi="Arial Black"/>
          <w:b/>
          <w:sz w:val="28"/>
          <w:szCs w:val="28"/>
        </w:rPr>
      </w:pPr>
      <w:r>
        <w:rPr>
          <w:rFonts w:ascii="Arial Black" w:hAnsi="Arial Black"/>
          <w:b/>
          <w:sz w:val="28"/>
          <w:szCs w:val="28"/>
        </w:rPr>
        <w:t>CT: MEDICAL MJ – FF VIOL. LAST CHANCE AGREEMENT</w:t>
      </w:r>
    </w:p>
    <w:p w14:paraId="61FF3C09" w14:textId="77777777" w:rsidR="00D104F2" w:rsidRDefault="00A34683" w:rsidP="00D104F2">
      <w:pPr>
        <w:pStyle w:val="NoSpacing"/>
      </w:pPr>
      <w:r>
        <w:t xml:space="preserve">On June 11, 2025, in </w:t>
      </w:r>
      <w:r w:rsidRPr="00BC5D65">
        <w:rPr>
          <w:u w:val="single"/>
        </w:rPr>
        <w:t>Thomas Eccleston, III v. City of Waterbury</w:t>
      </w:r>
      <w:r>
        <w:t xml:space="preserve">, Judge Kiberly P. Massicotte, </w:t>
      </w:r>
      <w:r w:rsidRPr="00270B5A">
        <w:t>Superior Court of Connecticut, Judicial District of Waterbury, Waterbury</w:t>
      </w:r>
      <w:r>
        <w:t xml:space="preserve">, held after a bench </w:t>
      </w:r>
      <w:r w:rsidRPr="007F5AEF">
        <w:t xml:space="preserve">trial on February 20, </w:t>
      </w:r>
      <w:proofErr w:type="gramStart"/>
      <w:r w:rsidRPr="007F5AEF">
        <w:t>2025</w:t>
      </w:r>
      <w:proofErr w:type="gramEnd"/>
      <w:r>
        <w:t xml:space="preserve"> that the city properly fired the firefighter for violation of Las Chance agreement.   On </w:t>
      </w:r>
      <w:r w:rsidRPr="00CA655F">
        <w:t>November 19, 2015, to avoid termination, the plaintiff signed a "last chance agreement" after the plaintiff was arrested for domestic violence</w:t>
      </w:r>
      <w:r>
        <w:t xml:space="preserve">; the agreement prohibits use of alcohol or a controlled substance.  He tested positive in random drug test on </w:t>
      </w:r>
      <w:r w:rsidRPr="0094669A">
        <w:t>March 20, 2018</w:t>
      </w:r>
      <w:r>
        <w:t xml:space="preserve"> (obtained medical marijuana card March 6, 2018).  </w:t>
      </w:r>
      <w:hyperlink r:id="rId1884" w:history="1">
        <w:r w:rsidR="00D104F2" w:rsidRPr="00774087">
          <w:rPr>
            <w:rStyle w:val="Hyperlink"/>
          </w:rPr>
          <w:t>https://public.fastcase.com/jaEE2PXzRXmZ99jOLMt1It2Tjmgxo5hSPIplN9zr2RKL3xaZLK1Vh5eTa9w8Wk8pfXZv57sP%2BSheWcKHfFgy9Ah5Ev5ZnvIAKgdp6Yn%2FiQI%3D?utm_medium=email&amp;_hsenc=p2ANqtz-_xr08pWLevFeFI8Ge2XvipIP7qRBaDeRzA2aeNOeAMxf3drkc7WBb-blscAE4MgKHVvRlF4GyH0W6s2eAyYhQEv9ZP9w&amp;_hsmi=226712652&amp;utm_content=226712652&amp;utm_source=hs_email</w:t>
        </w:r>
      </w:hyperlink>
      <w:r w:rsidR="00D104F2">
        <w:t xml:space="preserve"> </w:t>
      </w:r>
    </w:p>
    <w:p w14:paraId="52119EE6" w14:textId="17AF1E5B" w:rsidR="00A34683" w:rsidRDefault="00A34683" w:rsidP="00A34683"/>
    <w:p w14:paraId="0909C901" w14:textId="77777777" w:rsidR="00A34683" w:rsidRPr="00FF6498" w:rsidRDefault="00A34683" w:rsidP="00A34683">
      <w:pPr>
        <w:rPr>
          <w:b/>
          <w:bCs/>
        </w:rPr>
      </w:pPr>
      <w:r w:rsidRPr="00FF6498">
        <w:rPr>
          <w:b/>
        </w:rPr>
        <w:t>THE COURT HELD:</w:t>
      </w:r>
    </w:p>
    <w:p w14:paraId="5770F0F8" w14:textId="77777777" w:rsidR="00A34683" w:rsidRDefault="00A34683" w:rsidP="00A34683">
      <w:pPr>
        <w:pStyle w:val="NoSpacing"/>
        <w:ind w:left="720"/>
      </w:pPr>
      <w:r>
        <w:t>“</w:t>
      </w:r>
      <w:r w:rsidRPr="002321AE">
        <w:t xml:space="preserve">The </w:t>
      </w:r>
      <w:r>
        <w:t xml:space="preserve">[Last Chance] </w:t>
      </w:r>
      <w:r w:rsidRPr="002321AE">
        <w:t xml:space="preserve">Agreement provides: </w:t>
      </w:r>
      <w:r>
        <w:t>‘</w:t>
      </w:r>
      <w:r w:rsidRPr="002321AE">
        <w:t>WHEREAS, Thomas F. Eccleston has issues with alcohol abuse and domestic violence; WHEREAS, the parties wish to enter into this stipulated agreement, in lieu of Thomas F. Eccleston's termination, setting forth the terms and conditions of Thomas F. Eccleston's continued employment with the City; and WHEREAS, Thomas F. Eccleston accepts responsibility for the issues and acknowledges the need for immediate improvement.</w:t>
      </w:r>
      <w:r>
        <w:t xml:space="preserve">’ … </w:t>
      </w:r>
      <w:r w:rsidRPr="002321AE">
        <w:t xml:space="preserve">The condition relevant to this case is that the plaintiff agreed that he may be subject to immediate termination </w:t>
      </w:r>
      <w:r>
        <w:t>‘</w:t>
      </w:r>
      <w:r w:rsidRPr="002321AE">
        <w:t>[</w:t>
      </w:r>
      <w:proofErr w:type="spellStart"/>
      <w:r w:rsidRPr="002321AE">
        <w:t>i</w:t>
      </w:r>
      <w:proofErr w:type="spellEnd"/>
      <w:r w:rsidRPr="002321AE">
        <w:t>]f Thomas F. Eccleston tests positive for alcohol (at the level of 0.04 or above) or a controlled substance.</w:t>
      </w:r>
      <w:r>
        <w:t>’</w:t>
      </w:r>
    </w:p>
    <w:p w14:paraId="22D9507C" w14:textId="77777777" w:rsidR="00A34683" w:rsidRDefault="00A34683" w:rsidP="00A34683">
      <w:pPr>
        <w:pStyle w:val="NoSpacing"/>
        <w:ind w:left="720"/>
      </w:pPr>
    </w:p>
    <w:p w14:paraId="05F1583A" w14:textId="77777777" w:rsidR="00A34683" w:rsidRDefault="00A34683" w:rsidP="00A34683">
      <w:pPr>
        <w:pStyle w:val="NoSpacing"/>
        <w:ind w:left="720"/>
      </w:pPr>
      <w:r>
        <w:t>***</w:t>
      </w:r>
    </w:p>
    <w:p w14:paraId="16D25EDF" w14:textId="77777777" w:rsidR="00A34683" w:rsidRDefault="00A34683" w:rsidP="00A34683">
      <w:pPr>
        <w:pStyle w:val="NoSpacing"/>
        <w:ind w:left="720"/>
      </w:pPr>
      <w:r w:rsidRPr="008036C4">
        <w:t>This can only mean that the plaintiff waived his rights under PUMA.</w:t>
      </w:r>
      <w:r>
        <w:t xml:space="preserve"> </w:t>
      </w:r>
      <w:r w:rsidRPr="00DC3909">
        <w:t>His agreement to waive his rights under PUMA did not run contrary to state law because the sound reasons for prohibiting the use of marijuana under the circumstances leave no room, without more, for the claim that the plaintiff's status as a qualifying patient was the sole reason for discharge pursuant to the Agreement. The plaintiff contractually agreed that he could be terminated for testing positive for the use of marijuana. He did so to save himself for other alleged and cumulative misconduct including substance abuse. Having done so, he cannot now invoke the statutory protections of PUMA which he effectively surrendered.</w:t>
      </w:r>
      <w:r>
        <w:t>”</w:t>
      </w:r>
      <w:r w:rsidRPr="00D8111A">
        <w:t xml:space="preserve"> </w:t>
      </w:r>
      <w:hyperlink r:id="rId1885" w:history="1">
        <w:r w:rsidRPr="00774087">
          <w:rPr>
            <w:rStyle w:val="Hyperlink"/>
          </w:rPr>
          <w:t>https://public.fastcase.com/jaEE2PXzRXmZ99jOLMt1It2Tjmgxo5hSPIplN9zr2RKL3xaZLK1Vh5eTa9w8Wk8pfXZv57sP%2BSheWcKHfFgy9Ah5Ev5ZnvIAKgdp6Yn%2FiQI%3D?utm_medium=email&amp;_hsenc=p2ANqtz-_xr08pWLevFeFI8Ge2XvipIP7qRBaDeRzA2aeNOeAMxf3drkc7WBb-blscAE4MgKHVvRlF4GyH0W6s2eAyYhQEv9ZP9w&amp;_hsmi=226712652&amp;utm_content=226712652&amp;utm_source=hs_email</w:t>
        </w:r>
      </w:hyperlink>
      <w:r>
        <w:t xml:space="preserve"> </w:t>
      </w:r>
    </w:p>
    <w:p w14:paraId="1F8E5486" w14:textId="77777777" w:rsidR="00A34683" w:rsidRDefault="00A34683" w:rsidP="00A34683">
      <w:pPr>
        <w:pStyle w:val="NoSpacing"/>
        <w:ind w:left="720"/>
      </w:pPr>
    </w:p>
    <w:p w14:paraId="324D6568" w14:textId="77777777" w:rsidR="00A34683" w:rsidRDefault="00A34683" w:rsidP="00A34683">
      <w:pPr>
        <w:pStyle w:val="NoSpacing"/>
        <w:rPr>
          <w:b/>
          <w:bCs/>
        </w:rPr>
      </w:pPr>
      <w:r>
        <w:rPr>
          <w:b/>
        </w:rPr>
        <w:t xml:space="preserve">KEY FACTS: </w:t>
      </w:r>
    </w:p>
    <w:p w14:paraId="5E38209E" w14:textId="77777777" w:rsidR="00A34683" w:rsidRDefault="00A34683" w:rsidP="00A34683">
      <w:pPr>
        <w:pStyle w:val="NoSpacing"/>
        <w:rPr>
          <w:b/>
          <w:bCs/>
        </w:rPr>
      </w:pPr>
    </w:p>
    <w:p w14:paraId="2A48456F" w14:textId="77777777" w:rsidR="00A34683" w:rsidRDefault="00A34683" w:rsidP="00A34683">
      <w:pPr>
        <w:pStyle w:val="NoSpacing"/>
        <w:ind w:left="720"/>
      </w:pPr>
      <w:r>
        <w:rPr>
          <w:b/>
        </w:rPr>
        <w:t>“</w:t>
      </w:r>
      <w:r w:rsidRPr="00C30B72">
        <w:t xml:space="preserve">The plaintiff obtained a medical marijuana card on March 6, 2018. During a random drug test on March 20, 2018, the plaintiff tested positive for marijuana. On March 30, 2018, Dr. Leela </w:t>
      </w:r>
      <w:proofErr w:type="spellStart"/>
      <w:r w:rsidRPr="00C30B72">
        <w:t>Panoor</w:t>
      </w:r>
      <w:proofErr w:type="spellEnd"/>
      <w:r w:rsidRPr="00C30B72">
        <w:t xml:space="preserve"> declared him fit for duty. On April 23, 2018, the plaintiff was terminated. The parties stipulated that the plaintiff obtained a valid medical marijuana card under PUMA, but the plaintiff did not tell his employer that he had the card until after he tested positive for marijuana and before he was terminated.</w:t>
      </w:r>
    </w:p>
    <w:p w14:paraId="319C8CB7" w14:textId="77777777" w:rsidR="00A34683" w:rsidRDefault="00A34683" w:rsidP="00A34683">
      <w:pPr>
        <w:pStyle w:val="NoSpacing"/>
        <w:ind w:left="720"/>
      </w:pPr>
    </w:p>
    <w:p w14:paraId="5DCF16B4" w14:textId="77777777" w:rsidR="00A34683" w:rsidRDefault="00A34683" w:rsidP="00A34683">
      <w:pPr>
        <w:pStyle w:val="NoSpacing"/>
        <w:ind w:left="720"/>
      </w:pPr>
      <w:r>
        <w:t>***</w:t>
      </w:r>
    </w:p>
    <w:p w14:paraId="6CA6E981" w14:textId="77777777" w:rsidR="00A34683" w:rsidRDefault="00A34683" w:rsidP="00A34683">
      <w:pPr>
        <w:pStyle w:val="NoSpacing"/>
      </w:pPr>
    </w:p>
    <w:p w14:paraId="5A58EC34" w14:textId="77777777" w:rsidR="00A34683" w:rsidRDefault="00A34683" w:rsidP="00A34683">
      <w:pPr>
        <w:pStyle w:val="NoSpacing"/>
        <w:ind w:left="720"/>
        <w:rPr>
          <w:vertAlign w:val="superscript"/>
        </w:rPr>
      </w:pPr>
      <w:r w:rsidRPr="00416AA3">
        <w:t xml:space="preserve">The plaintiff testified, and the court takes as true for the purpose of this motion, that he was diagnosed with PTSD on September 20, 2017. His doctor recommended medical marijuana as a treatment. He obtained two additional opinions. He talked to his crew about taking marijuana for medical treatment. He subsequently received all state law requirements necessary to obtain prescribed marijuana for the treatment of his PTSD on March 6, 2018. He took measures to prevent the possibility of being under the influence at work by not taking the prescribed marijuana the day before or the day of work. As an added measure, he asked his immediate supervisor to keep an eye on him because </w:t>
      </w:r>
      <w:r>
        <w:t>‘</w:t>
      </w:r>
      <w:r w:rsidRPr="00416AA3">
        <w:t>if he was under the influence, how would he know?</w:t>
      </w:r>
      <w:r>
        <w:t>’</w:t>
      </w:r>
      <w:r w:rsidRPr="00416AA3">
        <w:t xml:space="preserve"> Testimony, Thomas Eccleston, 2/20/25. He was not accused of being under the influence at work, nor was he accused of taking marijuana during work hours. The plaintiff testified that it was his understanding that if one ingested marijuana, one could test positive for it up to 30 days later. The plaintiff challenged his termination through administrative processes available to him. He was unsuccessful in his challenge and the termination was upheld. When he appealed the administrative decision upholding his termination to court, the case was dismissed because the union named the wrong party.</w:t>
      </w:r>
      <w:r>
        <w:rPr>
          <w:vertAlign w:val="superscript"/>
        </w:rPr>
        <w:t>”</w:t>
      </w:r>
    </w:p>
    <w:p w14:paraId="206A67ED" w14:textId="77777777" w:rsidR="00A34683" w:rsidRDefault="00A34683" w:rsidP="00A34683">
      <w:pPr>
        <w:pStyle w:val="NoSpacing"/>
        <w:ind w:left="720"/>
        <w:rPr>
          <w:vertAlign w:val="superscript"/>
        </w:rPr>
      </w:pPr>
    </w:p>
    <w:p w14:paraId="2D21AB31" w14:textId="77777777" w:rsidR="00A34683" w:rsidRPr="00416AA3" w:rsidRDefault="00A34683" w:rsidP="00A34683">
      <w:pPr>
        <w:pStyle w:val="NoSpacing"/>
      </w:pPr>
      <w:r>
        <w:rPr>
          <w:b/>
        </w:rPr>
        <w:t xml:space="preserve">Legal lesson learned: The firefighter might have avoided termination if he informed the fire department of his medical condition and need for prescribed marijuana, and they worked out a reasonable accommodation plan (including no use of marijuana for specific </w:t>
      </w:r>
      <w:proofErr w:type="gramStart"/>
      <w:r>
        <w:rPr>
          <w:b/>
        </w:rPr>
        <w:t>period of time</w:t>
      </w:r>
      <w:proofErr w:type="gramEnd"/>
      <w:r>
        <w:rPr>
          <w:b/>
        </w:rPr>
        <w:t xml:space="preserve"> before reporting for duty). </w:t>
      </w:r>
    </w:p>
    <w:p w14:paraId="7FB14433" w14:textId="77777777" w:rsidR="00A34683" w:rsidRDefault="00A34683" w:rsidP="00A34683">
      <w:pPr>
        <w:pStyle w:val="NoSpacing"/>
        <w:rPr>
          <w:b/>
          <w:bCs/>
        </w:rPr>
      </w:pPr>
    </w:p>
    <w:p w14:paraId="4E924AB8" w14:textId="77777777" w:rsidR="00A34683" w:rsidRPr="00914A87" w:rsidRDefault="00A34683" w:rsidP="00A34683">
      <w:pPr>
        <w:pStyle w:val="NoSpacing"/>
        <w:ind w:left="720"/>
      </w:pPr>
      <w:r w:rsidRPr="00914A87">
        <w:t xml:space="preserve">Note: See this article, “Medical Marijuana and Firefighters: Creating a Medical Marijuana Use Policy” Dec. 15, 2022; </w:t>
      </w:r>
      <w:hyperlink r:id="rId1886" w:history="1">
        <w:r w:rsidRPr="00914A87">
          <w:rPr>
            <w:rStyle w:val="Hyperlink"/>
          </w:rPr>
          <w:t>https://www.fireengineering.com/firefighting/medical-marijuana-and-firefighters-creating-a-medical-marijuana-use-policy/</w:t>
        </w:r>
      </w:hyperlink>
      <w:r w:rsidRPr="00914A87">
        <w:t xml:space="preserve"> </w:t>
      </w:r>
    </w:p>
    <w:p w14:paraId="2BC08EF6" w14:textId="77777777" w:rsidR="00A34683" w:rsidRDefault="00A34683" w:rsidP="00800ACD">
      <w:pPr>
        <w:rPr>
          <w:rFonts w:ascii="Arial Black" w:hAnsi="Arial Black"/>
          <w:b/>
          <w:sz w:val="24"/>
          <w:szCs w:val="24"/>
        </w:rPr>
      </w:pPr>
    </w:p>
    <w:p w14:paraId="57FA10FE" w14:textId="77777777" w:rsidR="008E743B" w:rsidRDefault="008E743B" w:rsidP="00800ACD">
      <w:pPr>
        <w:rPr>
          <w:rFonts w:ascii="Arial Black" w:hAnsi="Arial Black"/>
          <w:b/>
          <w:sz w:val="24"/>
          <w:szCs w:val="24"/>
        </w:rPr>
      </w:pPr>
    </w:p>
    <w:p w14:paraId="67DDF5FB" w14:textId="7E2E798D" w:rsidR="00800ACD" w:rsidRDefault="00800ACD" w:rsidP="00800ACD">
      <w:pPr>
        <w:rPr>
          <w:rFonts w:ascii="Arial Black" w:hAnsi="Arial Black"/>
          <w:b/>
          <w:sz w:val="24"/>
          <w:szCs w:val="24"/>
        </w:rPr>
      </w:pPr>
      <w:r>
        <w:rPr>
          <w:rFonts w:ascii="Arial Black" w:hAnsi="Arial Black"/>
          <w:b/>
          <w:sz w:val="24"/>
          <w:szCs w:val="24"/>
        </w:rPr>
        <w:t>12-33</w:t>
      </w:r>
    </w:p>
    <w:p w14:paraId="12FDA850" w14:textId="695C5977" w:rsidR="00985434" w:rsidRPr="00C707AE" w:rsidRDefault="00985434" w:rsidP="00985434">
      <w:pPr>
        <w:pStyle w:val="NoSpacing"/>
        <w:rPr>
          <w:rFonts w:ascii="Arial Black" w:hAnsi="Arial Black"/>
          <w:sz w:val="28"/>
          <w:szCs w:val="28"/>
        </w:rPr>
      </w:pPr>
      <w:r>
        <w:rPr>
          <w:rFonts w:ascii="Arial Black" w:hAnsi="Arial Black"/>
          <w:sz w:val="28"/>
          <w:szCs w:val="28"/>
        </w:rPr>
        <w:t xml:space="preserve">LA: AMBULANCE DAMAGED – DRUG TEST - COCAINE / METH </w:t>
      </w:r>
      <w:r w:rsidR="006D37B6">
        <w:rPr>
          <w:rFonts w:ascii="Arial Black" w:hAnsi="Arial Black"/>
          <w:sz w:val="28"/>
          <w:szCs w:val="28"/>
        </w:rPr>
        <w:t>- FIRED</w:t>
      </w:r>
    </w:p>
    <w:p w14:paraId="282EBF35" w14:textId="77777777" w:rsidR="00985434" w:rsidRDefault="00985434" w:rsidP="00985434">
      <w:pPr>
        <w:pStyle w:val="NoSpacing"/>
      </w:pPr>
    </w:p>
    <w:p w14:paraId="246A2C4C" w14:textId="77777777" w:rsidR="00985434" w:rsidRPr="00826327" w:rsidRDefault="00985434" w:rsidP="00985434">
      <w:pPr>
        <w:rPr>
          <w:rFonts w:ascii="Times New Roman" w:hAnsi="Times New Roman"/>
          <w:sz w:val="24"/>
          <w:szCs w:val="24"/>
        </w:rPr>
      </w:pPr>
      <w:r w:rsidRPr="00826327">
        <w:rPr>
          <w:rFonts w:ascii="Times New Roman" w:hAnsi="Times New Roman"/>
          <w:sz w:val="24"/>
          <w:szCs w:val="24"/>
        </w:rPr>
        <w:t xml:space="preserve">On June 13, 2025, </w:t>
      </w:r>
      <w:r w:rsidRPr="00826327">
        <w:rPr>
          <w:rFonts w:ascii="Times New Roman" w:hAnsi="Times New Roman"/>
          <w:sz w:val="24"/>
          <w:szCs w:val="24"/>
          <w:u w:val="single"/>
        </w:rPr>
        <w:t>in Benjamin Woods v. City of Baton Rouge, through the Department of Emergency Medical Services</w:t>
      </w:r>
      <w:r w:rsidRPr="00826327">
        <w:rPr>
          <w:rFonts w:ascii="Times New Roman" w:hAnsi="Times New Roman"/>
          <w:sz w:val="24"/>
          <w:szCs w:val="24"/>
        </w:rPr>
        <w:t xml:space="preserve">, the Court of Appeals of Louisiana, First Circuit held (3 to 0) that the Paramedic was properly fired by the Department and the City Personnel Board – tested positive for meth and cocaine after telling supervisor had no knowledge of how the ambulance he was driving was damaged. The Court reversed the trial court, which found that the administration of the drug test to Mr. Woods was unreasonable ($2,060 in damage in ambulance; “serious incident” was $2,500 or more damage).  The Court of Appeals found that management had “reasonable suspicion” to drug test, not because of the amount of damage, but because the Paramedic transporting a patient non-emergency to hospital on July 5, </w:t>
      </w:r>
      <w:proofErr w:type="gramStart"/>
      <w:r w:rsidRPr="00826327">
        <w:rPr>
          <w:rFonts w:ascii="Times New Roman" w:hAnsi="Times New Roman"/>
          <w:sz w:val="24"/>
          <w:szCs w:val="24"/>
        </w:rPr>
        <w:t>2018</w:t>
      </w:r>
      <w:proofErr w:type="gramEnd"/>
      <w:r w:rsidRPr="00826327">
        <w:rPr>
          <w:rFonts w:ascii="Times New Roman" w:hAnsi="Times New Roman"/>
          <w:sz w:val="24"/>
          <w:szCs w:val="24"/>
        </w:rPr>
        <w:t xml:space="preserve">  did not immediately stop when he reportedly felt a bump and heard a “pop.” He didn’t immediately inspect the ambulance for damage, initially denied any knowledge of damages, and had no explanation for how “one and a half to two feet of rub rail broke off.”  THE COURT HELD: “We find these circumstances sufficient to support a reasonable suspicion that the Mr. Wood' s behavior indicated that he may have been under the influence of drugs or alcohol while working for the City/Parish such that the administration of a drug test was reasonable and warranted.” </w:t>
      </w:r>
      <w:hyperlink r:id="rId1887" w:history="1">
        <w:r w:rsidRPr="00826327">
          <w:rPr>
            <w:rStyle w:val="Hyperlink"/>
            <w:rFonts w:ascii="Times New Roman" w:hAnsi="Times New Roman"/>
            <w:sz w:val="24"/>
            <w:szCs w:val="24"/>
          </w:rPr>
          <w:t>https://cases.justia.com/louisiana/first-circuit-court-of-appeal/2025-2023ca0459.pdf?ts=1749828408</w:t>
        </w:r>
      </w:hyperlink>
      <w:r w:rsidRPr="00826327">
        <w:rPr>
          <w:rFonts w:ascii="Times New Roman" w:hAnsi="Times New Roman"/>
          <w:sz w:val="24"/>
          <w:szCs w:val="24"/>
        </w:rPr>
        <w:t xml:space="preserve"> </w:t>
      </w:r>
    </w:p>
    <w:p w14:paraId="4AC7CBF3" w14:textId="77777777" w:rsidR="00826327" w:rsidRPr="00826327" w:rsidRDefault="00826327" w:rsidP="00826327">
      <w:pPr>
        <w:rPr>
          <w:rFonts w:ascii="Times New Roman" w:hAnsi="Times New Roman"/>
          <w:b/>
          <w:bCs/>
          <w:sz w:val="24"/>
          <w:szCs w:val="24"/>
        </w:rPr>
      </w:pPr>
      <w:r w:rsidRPr="00826327">
        <w:rPr>
          <w:rFonts w:ascii="Times New Roman" w:hAnsi="Times New Roman"/>
          <w:b/>
          <w:sz w:val="24"/>
          <w:szCs w:val="24"/>
        </w:rPr>
        <w:t xml:space="preserve">Legal lesson learned:  “Reasonable suspicion” includes questionable responses by ambulance driver concerning how ambulance was seriously damaged. </w:t>
      </w:r>
    </w:p>
    <w:p w14:paraId="136B016B" w14:textId="77777777" w:rsidR="00020106" w:rsidRDefault="00020106" w:rsidP="00F326E5">
      <w:pPr>
        <w:rPr>
          <w:rFonts w:ascii="Arial Black" w:hAnsi="Arial Black"/>
          <w:b/>
          <w:sz w:val="24"/>
          <w:szCs w:val="24"/>
        </w:rPr>
      </w:pPr>
    </w:p>
    <w:p w14:paraId="2286877B" w14:textId="6721B6B4" w:rsidR="00707821" w:rsidRDefault="00707821" w:rsidP="00F326E5">
      <w:pPr>
        <w:rPr>
          <w:rFonts w:ascii="Arial Black" w:hAnsi="Arial Black"/>
          <w:b/>
          <w:sz w:val="24"/>
          <w:szCs w:val="24"/>
        </w:rPr>
      </w:pPr>
      <w:r>
        <w:rPr>
          <w:rFonts w:ascii="Arial Black" w:hAnsi="Arial Black"/>
          <w:b/>
          <w:sz w:val="24"/>
          <w:szCs w:val="24"/>
        </w:rPr>
        <w:t>12-32</w:t>
      </w:r>
    </w:p>
    <w:p w14:paraId="244AD6AC" w14:textId="5D4CF884" w:rsidR="00707821" w:rsidRPr="009B58E5" w:rsidRDefault="00707821" w:rsidP="00707821">
      <w:pPr>
        <w:pStyle w:val="NoSpacing"/>
        <w:rPr>
          <w:rFonts w:ascii="Arial Black" w:hAnsi="Arial Black"/>
          <w:b/>
          <w:sz w:val="28"/>
          <w:szCs w:val="28"/>
        </w:rPr>
      </w:pPr>
      <w:r>
        <w:rPr>
          <w:rFonts w:ascii="Arial Black" w:hAnsi="Arial Black"/>
          <w:b/>
          <w:sz w:val="28"/>
          <w:szCs w:val="28"/>
        </w:rPr>
        <w:t xml:space="preserve">AL: FLIGHT RN - TAMPERED KETAMINE – </w:t>
      </w:r>
      <w:r w:rsidR="0017434A">
        <w:rPr>
          <w:rFonts w:ascii="Arial Black" w:hAnsi="Arial Black"/>
          <w:b/>
          <w:sz w:val="28"/>
          <w:szCs w:val="28"/>
        </w:rPr>
        <w:t>ONE YR FEDERAL PRISON</w:t>
      </w:r>
    </w:p>
    <w:p w14:paraId="661A44EC" w14:textId="77777777" w:rsidR="00707821" w:rsidRDefault="00707821" w:rsidP="00707821">
      <w:pPr>
        <w:pStyle w:val="NoSpacing"/>
        <w:rPr>
          <w:b/>
        </w:rPr>
      </w:pPr>
    </w:p>
    <w:p w14:paraId="18D2F3AB" w14:textId="77777777" w:rsidR="00707821" w:rsidRPr="00F065F7" w:rsidRDefault="00707821" w:rsidP="00707821">
      <w:pPr>
        <w:pStyle w:val="NoSpacing"/>
        <w:rPr>
          <w:rFonts w:ascii="Times New Roman" w:hAnsi="Times New Roman"/>
          <w:bCs/>
          <w:sz w:val="24"/>
          <w:szCs w:val="24"/>
        </w:rPr>
      </w:pPr>
      <w:r w:rsidRPr="00F065F7">
        <w:rPr>
          <w:rFonts w:ascii="Times New Roman" w:hAnsi="Times New Roman"/>
          <w:sz w:val="24"/>
          <w:szCs w:val="24"/>
        </w:rPr>
        <w:t xml:space="preserve">On March 21, 2025, </w:t>
      </w:r>
      <w:proofErr w:type="gramStart"/>
      <w:r w:rsidRPr="00F065F7">
        <w:rPr>
          <w:rFonts w:ascii="Times New Roman" w:hAnsi="Times New Roman"/>
          <w:sz w:val="24"/>
          <w:szCs w:val="24"/>
        </w:rPr>
        <w:t>in</w:t>
      </w:r>
      <w:proofErr w:type="gramEnd"/>
      <w:r w:rsidRPr="00F065F7">
        <w:rPr>
          <w:rFonts w:ascii="Times New Roman" w:hAnsi="Times New Roman"/>
          <w:sz w:val="24"/>
          <w:szCs w:val="24"/>
        </w:rPr>
        <w:t xml:space="preserve"> </w:t>
      </w:r>
      <w:r w:rsidRPr="00F065F7">
        <w:rPr>
          <w:rFonts w:ascii="Times New Roman" w:hAnsi="Times New Roman"/>
          <w:sz w:val="24"/>
          <w:szCs w:val="24"/>
          <w:u w:val="single"/>
        </w:rPr>
        <w:t xml:space="preserve">Ex </w:t>
      </w:r>
      <w:proofErr w:type="spellStart"/>
      <w:r w:rsidRPr="00F065F7">
        <w:rPr>
          <w:rFonts w:ascii="Times New Roman" w:hAnsi="Times New Roman"/>
          <w:sz w:val="24"/>
          <w:szCs w:val="24"/>
          <w:u w:val="single"/>
        </w:rPr>
        <w:t>parte</w:t>
      </w:r>
      <w:proofErr w:type="spellEnd"/>
      <w:r w:rsidRPr="00F065F7">
        <w:rPr>
          <w:rFonts w:ascii="Times New Roman" w:hAnsi="Times New Roman"/>
          <w:sz w:val="24"/>
          <w:szCs w:val="24"/>
          <w:u w:val="single"/>
        </w:rPr>
        <w:t xml:space="preserve"> Air Evac EMS, Inc. (In re: Ernest Charles Jones, by and through Ovetta Jones, as spouse and next friend) v. Bryan Heath Webster, et al.</w:t>
      </w:r>
      <w:r w:rsidRPr="00F065F7">
        <w:rPr>
          <w:rFonts w:ascii="Times New Roman" w:hAnsi="Times New Roman"/>
          <w:sz w:val="24"/>
          <w:szCs w:val="24"/>
        </w:rPr>
        <w:t xml:space="preserve">, the Supreme Court of Alabama held (7 to 0) that Air Evac’s motion for summary judgment on plaintiff’s amended complaint should have been granted; it was filed 6 years after the patient’s transport on Aug. 18, 2018 (well beyond the two-year statute of limitation) and dealt with flight nurse tampering with two vials of ketamine the day prior to the transport. The flight nurse, Bryan Heath Wester, pled guilty and was sentenced on Aug. 5, </w:t>
      </w:r>
      <w:proofErr w:type="gramStart"/>
      <w:r w:rsidRPr="00F065F7">
        <w:rPr>
          <w:rFonts w:ascii="Times New Roman" w:hAnsi="Times New Roman"/>
          <w:sz w:val="24"/>
          <w:szCs w:val="24"/>
        </w:rPr>
        <w:t>2019</w:t>
      </w:r>
      <w:proofErr w:type="gramEnd"/>
      <w:r w:rsidRPr="00F065F7">
        <w:rPr>
          <w:rFonts w:ascii="Times New Roman" w:hAnsi="Times New Roman"/>
          <w:sz w:val="24"/>
          <w:szCs w:val="24"/>
        </w:rPr>
        <w:t xml:space="preserve"> </w:t>
      </w:r>
      <w:proofErr w:type="gramStart"/>
      <w:r w:rsidRPr="00F065F7">
        <w:rPr>
          <w:rFonts w:ascii="Times New Roman" w:hAnsi="Times New Roman"/>
          <w:sz w:val="24"/>
          <w:szCs w:val="24"/>
        </w:rPr>
        <w:t>in</w:t>
      </w:r>
      <w:proofErr w:type="gramEnd"/>
      <w:r w:rsidRPr="00F065F7">
        <w:rPr>
          <w:rFonts w:ascii="Times New Roman" w:hAnsi="Times New Roman"/>
          <w:sz w:val="24"/>
          <w:szCs w:val="24"/>
        </w:rPr>
        <w:t xml:space="preserve"> federal court to one year in prison [see details in Note below]. “Because the Joneses’ amended complaint ‘clearly addresses conduct distinct in kind and in time from the conduct alleged in [their] original complaint,’ … and ‘listed several actions by [the defendants] that [the Joneses] alleged had breached the applicable standard of care owed to [Earnest] that were entirely different than some of the actions listed in the original complaint,’ their amended complaint cannot relate back to the filing of their initial complaint.” </w:t>
      </w:r>
      <w:hyperlink r:id="rId1888" w:history="1">
        <w:r w:rsidRPr="00F065F7">
          <w:rPr>
            <w:rStyle w:val="Hyperlink"/>
            <w:rFonts w:ascii="Times New Roman" w:hAnsi="Times New Roman"/>
            <w:sz w:val="24"/>
            <w:szCs w:val="24"/>
          </w:rPr>
          <w:t>https://caselaw.findlaw.com/court/al-supreme-court/117080306.html</w:t>
        </w:r>
      </w:hyperlink>
      <w:r w:rsidRPr="00F065F7">
        <w:rPr>
          <w:rFonts w:ascii="Times New Roman" w:hAnsi="Times New Roman"/>
          <w:sz w:val="24"/>
          <w:szCs w:val="24"/>
        </w:rPr>
        <w:t xml:space="preserve"> </w:t>
      </w:r>
    </w:p>
    <w:p w14:paraId="0A1D6225" w14:textId="77777777" w:rsidR="00707821" w:rsidRPr="00F065F7" w:rsidRDefault="00707821" w:rsidP="00F326E5">
      <w:pPr>
        <w:rPr>
          <w:rFonts w:ascii="Times New Roman" w:hAnsi="Times New Roman"/>
          <w:b/>
          <w:sz w:val="24"/>
          <w:szCs w:val="24"/>
        </w:rPr>
      </w:pPr>
    </w:p>
    <w:p w14:paraId="67A00B31" w14:textId="77777777" w:rsidR="00012C74" w:rsidRPr="00F065F7" w:rsidRDefault="00012C74" w:rsidP="00012C74">
      <w:pPr>
        <w:pStyle w:val="NoSpacing"/>
        <w:rPr>
          <w:rFonts w:ascii="Times New Roman" w:hAnsi="Times New Roman"/>
          <w:b/>
          <w:bCs/>
          <w:sz w:val="24"/>
          <w:szCs w:val="24"/>
        </w:rPr>
      </w:pPr>
      <w:r w:rsidRPr="00F065F7">
        <w:rPr>
          <w:rFonts w:ascii="Times New Roman" w:hAnsi="Times New Roman"/>
          <w:b/>
          <w:sz w:val="24"/>
          <w:szCs w:val="24"/>
        </w:rPr>
        <w:t xml:space="preserve">Legal Lesson Learned: Read below details of how the tampering occurred; share with your </w:t>
      </w:r>
      <w:proofErr w:type="gramStart"/>
      <w:r w:rsidRPr="00F065F7">
        <w:rPr>
          <w:rFonts w:ascii="Times New Roman" w:hAnsi="Times New Roman"/>
          <w:b/>
          <w:sz w:val="24"/>
          <w:szCs w:val="24"/>
        </w:rPr>
        <w:t>crews</w:t>
      </w:r>
      <w:proofErr w:type="gramEnd"/>
      <w:r w:rsidRPr="00F065F7">
        <w:rPr>
          <w:rFonts w:ascii="Times New Roman" w:hAnsi="Times New Roman"/>
          <w:b/>
          <w:sz w:val="24"/>
          <w:szCs w:val="24"/>
        </w:rPr>
        <w:t xml:space="preserve">. </w:t>
      </w:r>
    </w:p>
    <w:p w14:paraId="01DA3344" w14:textId="77777777" w:rsidR="00012C74" w:rsidRPr="00F065F7" w:rsidRDefault="00012C74" w:rsidP="00012C74">
      <w:pPr>
        <w:pStyle w:val="NoSpacing"/>
        <w:rPr>
          <w:rFonts w:ascii="Times New Roman" w:hAnsi="Times New Roman"/>
          <w:bCs/>
          <w:sz w:val="24"/>
          <w:szCs w:val="24"/>
        </w:rPr>
      </w:pPr>
    </w:p>
    <w:p w14:paraId="2AED70BA" w14:textId="77777777" w:rsidR="00012C74" w:rsidRPr="00F065F7" w:rsidRDefault="00012C74" w:rsidP="00012C74">
      <w:pPr>
        <w:pStyle w:val="NoSpacing"/>
        <w:rPr>
          <w:rFonts w:ascii="Times New Roman" w:hAnsi="Times New Roman"/>
          <w:bCs/>
          <w:sz w:val="24"/>
          <w:szCs w:val="24"/>
        </w:rPr>
      </w:pPr>
      <w:r w:rsidRPr="00F065F7">
        <w:rPr>
          <w:rFonts w:ascii="Times New Roman" w:hAnsi="Times New Roman"/>
          <w:sz w:val="24"/>
          <w:szCs w:val="24"/>
        </w:rPr>
        <w:tab/>
        <w:t>Note: Aug. 5, 2019: U.S. Department of Justice / Press Release.</w:t>
      </w:r>
    </w:p>
    <w:p w14:paraId="720A4BD0" w14:textId="77777777" w:rsidR="00012C74" w:rsidRPr="00F065F7" w:rsidRDefault="00012C74" w:rsidP="00012C74">
      <w:pPr>
        <w:pStyle w:val="NoSpacing"/>
        <w:rPr>
          <w:rFonts w:ascii="Times New Roman" w:hAnsi="Times New Roman"/>
          <w:bCs/>
          <w:sz w:val="24"/>
          <w:szCs w:val="24"/>
        </w:rPr>
      </w:pPr>
    </w:p>
    <w:p w14:paraId="100B5CE8" w14:textId="77777777" w:rsidR="00012C74" w:rsidRPr="00F065F7" w:rsidRDefault="00012C74" w:rsidP="00012C74">
      <w:pPr>
        <w:pStyle w:val="NoSpacing"/>
        <w:ind w:left="720"/>
        <w:rPr>
          <w:rFonts w:ascii="Times New Roman" w:hAnsi="Times New Roman"/>
          <w:bCs/>
          <w:sz w:val="24"/>
          <w:szCs w:val="24"/>
        </w:rPr>
      </w:pPr>
      <w:r w:rsidRPr="00F065F7">
        <w:rPr>
          <w:rFonts w:ascii="Times New Roman" w:hAnsi="Times New Roman"/>
          <w:sz w:val="24"/>
          <w:szCs w:val="24"/>
        </w:rPr>
        <w:t xml:space="preserve">Former Paramedic and Flight Nurse Receives One Year in Prison for Tampering with Ketamine Vials. </w:t>
      </w:r>
    </w:p>
    <w:p w14:paraId="1EF7EAF4" w14:textId="77777777" w:rsidR="00012C74" w:rsidRPr="00F065F7" w:rsidRDefault="00012C74" w:rsidP="00012C74">
      <w:pPr>
        <w:pStyle w:val="NoSpacing"/>
        <w:rPr>
          <w:rFonts w:ascii="Times New Roman" w:hAnsi="Times New Roman"/>
          <w:b/>
          <w:sz w:val="24"/>
          <w:szCs w:val="24"/>
        </w:rPr>
      </w:pPr>
    </w:p>
    <w:p w14:paraId="27FD4EBC" w14:textId="77777777" w:rsidR="00012C74" w:rsidRPr="00F065F7" w:rsidRDefault="00012C74" w:rsidP="00012C74">
      <w:pPr>
        <w:pStyle w:val="NoSpacing"/>
        <w:ind w:left="720"/>
        <w:rPr>
          <w:rFonts w:ascii="Times New Roman" w:hAnsi="Times New Roman"/>
          <w:bCs/>
          <w:sz w:val="24"/>
          <w:szCs w:val="24"/>
        </w:rPr>
      </w:pPr>
      <w:r w:rsidRPr="00F065F7">
        <w:rPr>
          <w:rFonts w:ascii="Times New Roman" w:hAnsi="Times New Roman"/>
          <w:sz w:val="24"/>
          <w:szCs w:val="24"/>
        </w:rPr>
        <w:t xml:space="preserve">United States Attorney Richard W. Moore of the Southern District of Alabama announces today that United States District Judge Jeffrey U. </w:t>
      </w:r>
      <w:proofErr w:type="spellStart"/>
      <w:r w:rsidRPr="00F065F7">
        <w:rPr>
          <w:rFonts w:ascii="Times New Roman" w:hAnsi="Times New Roman"/>
          <w:sz w:val="24"/>
          <w:szCs w:val="24"/>
        </w:rPr>
        <w:t>Beaverstock</w:t>
      </w:r>
      <w:proofErr w:type="spellEnd"/>
      <w:r w:rsidRPr="00F065F7">
        <w:rPr>
          <w:rFonts w:ascii="Times New Roman" w:hAnsi="Times New Roman"/>
          <w:sz w:val="24"/>
          <w:szCs w:val="24"/>
        </w:rPr>
        <w:t xml:space="preserve"> sentenced defendant Bryan Heath Wester, 43, a resident of Springville, Alabama, to imprisonment for 12 months and one day for tampering with a consumer product. As part of the sentence, the judge ordered that Wester undergo three years of supervised release after finishing his term of imprisonment, pay a $100 mandatory special assessment, receive substance abuse and mental health treatment as directed by the U.S. Probation Office, and pay restitution totaling $511.48 to a patient-victim in the case.</w:t>
      </w:r>
    </w:p>
    <w:p w14:paraId="3BC24FB3" w14:textId="77777777" w:rsidR="00012C74" w:rsidRPr="00F065F7" w:rsidRDefault="00012C74" w:rsidP="00012C74">
      <w:pPr>
        <w:pStyle w:val="NoSpacing"/>
        <w:rPr>
          <w:rFonts w:ascii="Times New Roman" w:hAnsi="Times New Roman"/>
          <w:b/>
          <w:sz w:val="24"/>
          <w:szCs w:val="24"/>
        </w:rPr>
      </w:pPr>
    </w:p>
    <w:p w14:paraId="287851DB" w14:textId="77777777" w:rsidR="00012C74" w:rsidRPr="00F065F7" w:rsidRDefault="00012C74" w:rsidP="00012C74">
      <w:pPr>
        <w:pStyle w:val="NoSpacing"/>
        <w:ind w:firstLine="720"/>
        <w:rPr>
          <w:rFonts w:ascii="Times New Roman" w:hAnsi="Times New Roman"/>
          <w:b/>
          <w:sz w:val="24"/>
          <w:szCs w:val="24"/>
        </w:rPr>
      </w:pPr>
      <w:r w:rsidRPr="00F065F7">
        <w:rPr>
          <w:rFonts w:ascii="Times New Roman" w:hAnsi="Times New Roman"/>
          <w:b/>
          <w:sz w:val="24"/>
          <w:szCs w:val="24"/>
        </w:rPr>
        <w:t>***</w:t>
      </w:r>
    </w:p>
    <w:p w14:paraId="2AE91181" w14:textId="77777777" w:rsidR="00012C74" w:rsidRPr="00F065F7" w:rsidRDefault="00012C74" w:rsidP="00012C74">
      <w:pPr>
        <w:pStyle w:val="NoSpacing"/>
        <w:rPr>
          <w:rFonts w:ascii="Times New Roman" w:hAnsi="Times New Roman"/>
          <w:b/>
          <w:sz w:val="24"/>
          <w:szCs w:val="24"/>
        </w:rPr>
      </w:pPr>
    </w:p>
    <w:p w14:paraId="4A515EA0" w14:textId="77777777" w:rsidR="00012C74" w:rsidRPr="00F065F7" w:rsidRDefault="00012C74" w:rsidP="00012C74">
      <w:pPr>
        <w:pStyle w:val="NoSpacing"/>
        <w:ind w:left="720"/>
        <w:rPr>
          <w:rFonts w:ascii="Times New Roman" w:hAnsi="Times New Roman"/>
          <w:bCs/>
          <w:sz w:val="24"/>
          <w:szCs w:val="24"/>
        </w:rPr>
      </w:pPr>
      <w:r w:rsidRPr="00F065F7">
        <w:rPr>
          <w:rFonts w:ascii="Times New Roman" w:hAnsi="Times New Roman"/>
          <w:sz w:val="24"/>
          <w:szCs w:val="24"/>
        </w:rPr>
        <w:t xml:space="preserve">Wester </w:t>
      </w:r>
      <w:proofErr w:type="gramStart"/>
      <w:r w:rsidRPr="00F065F7">
        <w:rPr>
          <w:rFonts w:ascii="Times New Roman" w:hAnsi="Times New Roman"/>
          <w:sz w:val="24"/>
          <w:szCs w:val="24"/>
        </w:rPr>
        <w:t>admitted to</w:t>
      </w:r>
      <w:proofErr w:type="gramEnd"/>
      <w:r w:rsidRPr="00F065F7">
        <w:rPr>
          <w:rFonts w:ascii="Times New Roman" w:hAnsi="Times New Roman"/>
          <w:sz w:val="24"/>
          <w:szCs w:val="24"/>
        </w:rPr>
        <w:t xml:space="preserve"> the following facts at his plea hearing. He was previously a licensed nurse and a paramedic who worked for an air ambulance service in Demopolis, Alabama. On August 26, 2018, Wester, with reckless disregard for the risk that another person would be placed in danger of death and bodily injury, and under circumstances manifesting extreme indifference to such risk, tampered with ketamine hydrochloride (ketamine), a consumer product that was manufactured outside of Alabama and affected interstate commerce. Wester accessed the controlled substances box inside a locked safe located on board an emergency helicopter, removed ketamine from two vials, and replaced the removed ketamine with saline, knowing that the ketamine was intended to be administered via injection to critically ill and injured patients being transported by helicopter for emergency treatment. </w:t>
      </w:r>
    </w:p>
    <w:p w14:paraId="2EA7F505" w14:textId="77777777" w:rsidR="00012C74" w:rsidRPr="00F065F7" w:rsidRDefault="00012C74" w:rsidP="00012C74">
      <w:pPr>
        <w:pStyle w:val="NoSpacing"/>
        <w:rPr>
          <w:rFonts w:ascii="Times New Roman" w:hAnsi="Times New Roman"/>
          <w:bCs/>
          <w:sz w:val="24"/>
          <w:szCs w:val="24"/>
        </w:rPr>
      </w:pPr>
    </w:p>
    <w:p w14:paraId="7C6F92EF" w14:textId="77777777" w:rsidR="00012C74" w:rsidRPr="00F065F7" w:rsidRDefault="00012C74" w:rsidP="00012C74">
      <w:pPr>
        <w:pStyle w:val="NoSpacing"/>
        <w:ind w:left="720"/>
        <w:rPr>
          <w:rFonts w:ascii="Times New Roman" w:hAnsi="Times New Roman"/>
          <w:bCs/>
          <w:sz w:val="24"/>
          <w:szCs w:val="24"/>
        </w:rPr>
      </w:pPr>
      <w:r w:rsidRPr="00F065F7">
        <w:rPr>
          <w:rFonts w:ascii="Times New Roman" w:hAnsi="Times New Roman"/>
          <w:sz w:val="24"/>
          <w:szCs w:val="24"/>
        </w:rPr>
        <w:t xml:space="preserve">On August 27, 2018, a critically injured patient required air transport to Mobile, Alabama. The patient had been run over by a cow and suffered head trauma and loss of consciousness. The on-board nurse attempted to administer ketamine. The vial appeared to have a blue glue on the cap. When the needle was inserted, the vial did not appear to be vacuum sealed. The nurse administered the </w:t>
      </w:r>
      <w:proofErr w:type="gramStart"/>
      <w:r w:rsidRPr="00F065F7">
        <w:rPr>
          <w:rFonts w:ascii="Times New Roman" w:hAnsi="Times New Roman"/>
          <w:sz w:val="24"/>
          <w:szCs w:val="24"/>
        </w:rPr>
        <w:t>dose</w:t>
      </w:r>
      <w:proofErr w:type="gramEnd"/>
      <w:r w:rsidRPr="00F065F7">
        <w:rPr>
          <w:rFonts w:ascii="Times New Roman" w:hAnsi="Times New Roman"/>
          <w:sz w:val="24"/>
          <w:szCs w:val="24"/>
        </w:rPr>
        <w:t xml:space="preserve"> but it did not have the anticipated effect. The nurse then obtained a second vial of ketamine and found that the cap had been glued on. </w:t>
      </w:r>
    </w:p>
    <w:p w14:paraId="5F64DE06" w14:textId="77777777" w:rsidR="00012C74" w:rsidRPr="00F065F7" w:rsidRDefault="00012C74" w:rsidP="00012C74">
      <w:pPr>
        <w:pStyle w:val="NoSpacing"/>
        <w:rPr>
          <w:rFonts w:ascii="Times New Roman" w:hAnsi="Times New Roman"/>
          <w:bCs/>
          <w:sz w:val="24"/>
          <w:szCs w:val="24"/>
        </w:rPr>
      </w:pPr>
    </w:p>
    <w:p w14:paraId="3BA6681E" w14:textId="77777777" w:rsidR="00012C74" w:rsidRPr="00F065F7" w:rsidRDefault="00012C74" w:rsidP="00012C74">
      <w:pPr>
        <w:pStyle w:val="NoSpacing"/>
        <w:ind w:left="720"/>
        <w:rPr>
          <w:rFonts w:ascii="Times New Roman" w:hAnsi="Times New Roman"/>
          <w:bCs/>
          <w:sz w:val="24"/>
          <w:szCs w:val="24"/>
        </w:rPr>
      </w:pPr>
      <w:r w:rsidRPr="00F065F7">
        <w:rPr>
          <w:rFonts w:ascii="Times New Roman" w:hAnsi="Times New Roman"/>
          <w:sz w:val="24"/>
          <w:szCs w:val="24"/>
        </w:rPr>
        <w:t xml:space="preserve">On August 30, 2018, a special agent with the Food and Drug Administration (FDA)’s Office of Criminal Investigations interviewed Wester, who admitted to removing ketamine from two vials on August 26. According to his statements, around midday on August 26 Wester asked another nurse on duty for the nurse’s set of keys to the locked narcotics on the helicopter, telling the other nurse that he would do the equipment check. The nurse gave Wester the keys. Wester opened the safe and did not lock one side back. The two-key lock system allowed Wester to return later with his own keys and access the safe. Later that evening, Wester went out to the helicopter, withdrew the ketamine from two vials, and replaced it with saline. Wester re-glued the tops of the vials with </w:t>
      </w:r>
      <w:proofErr w:type="spellStart"/>
      <w:r w:rsidRPr="00F065F7">
        <w:rPr>
          <w:rFonts w:ascii="Times New Roman" w:hAnsi="Times New Roman"/>
          <w:sz w:val="24"/>
          <w:szCs w:val="24"/>
        </w:rPr>
        <w:t>dermabond</w:t>
      </w:r>
      <w:proofErr w:type="spellEnd"/>
      <w:r w:rsidRPr="00F065F7">
        <w:rPr>
          <w:rFonts w:ascii="Times New Roman" w:hAnsi="Times New Roman"/>
          <w:sz w:val="24"/>
          <w:szCs w:val="24"/>
        </w:rPr>
        <w:t>. There was a zip-tie securing the plastic narcotics box inside the safe; Wester cut the zip-tie off and replaced it with a new one. Wester also changed the number in the logbook to reflect the new number. The old number ended in a “2.” Wester changed it to a “1.”</w:t>
      </w:r>
    </w:p>
    <w:p w14:paraId="79F51BDD" w14:textId="77777777" w:rsidR="00012C74" w:rsidRPr="003D63D9" w:rsidRDefault="00012C74" w:rsidP="00012C74">
      <w:pPr>
        <w:pStyle w:val="NoSpacing"/>
        <w:rPr>
          <w:bCs/>
        </w:rPr>
      </w:pPr>
    </w:p>
    <w:p w14:paraId="4B3AECBD" w14:textId="77777777" w:rsidR="00012C74" w:rsidRDefault="00012C74" w:rsidP="00012C74">
      <w:pPr>
        <w:pStyle w:val="NoSpacing"/>
        <w:rPr>
          <w:b/>
        </w:rPr>
      </w:pPr>
    </w:p>
    <w:p w14:paraId="302A738F" w14:textId="77777777" w:rsidR="00012C74" w:rsidRDefault="00012C74" w:rsidP="00F326E5">
      <w:pPr>
        <w:rPr>
          <w:rFonts w:ascii="Arial Black" w:hAnsi="Arial Black"/>
          <w:b/>
          <w:sz w:val="24"/>
          <w:szCs w:val="24"/>
        </w:rPr>
      </w:pPr>
    </w:p>
    <w:p w14:paraId="3EE69F75" w14:textId="77777777" w:rsidR="00707821" w:rsidRDefault="00707821" w:rsidP="00F326E5">
      <w:pPr>
        <w:rPr>
          <w:rFonts w:ascii="Arial Black" w:hAnsi="Arial Black"/>
          <w:b/>
          <w:sz w:val="24"/>
          <w:szCs w:val="24"/>
        </w:rPr>
      </w:pPr>
    </w:p>
    <w:p w14:paraId="3F4DB0D5" w14:textId="77777777" w:rsidR="00707821" w:rsidRDefault="00707821" w:rsidP="00F326E5">
      <w:pPr>
        <w:rPr>
          <w:rFonts w:ascii="Arial Black" w:hAnsi="Arial Black"/>
          <w:b/>
          <w:sz w:val="24"/>
          <w:szCs w:val="24"/>
        </w:rPr>
      </w:pPr>
    </w:p>
    <w:p w14:paraId="6A5A9D4D" w14:textId="30802665" w:rsidR="00131912" w:rsidRDefault="00131912" w:rsidP="00F326E5">
      <w:pPr>
        <w:rPr>
          <w:rFonts w:ascii="Arial Black" w:hAnsi="Arial Black"/>
          <w:b/>
          <w:sz w:val="24"/>
          <w:szCs w:val="24"/>
        </w:rPr>
      </w:pPr>
      <w:r>
        <w:rPr>
          <w:rFonts w:ascii="Arial Black" w:hAnsi="Arial Black"/>
          <w:b/>
          <w:sz w:val="24"/>
          <w:szCs w:val="24"/>
        </w:rPr>
        <w:t>12-31</w:t>
      </w:r>
    </w:p>
    <w:p w14:paraId="22710BCE" w14:textId="77777777" w:rsidR="00131912" w:rsidRPr="0089400B" w:rsidRDefault="00131912" w:rsidP="00131912">
      <w:pPr>
        <w:pStyle w:val="NoSpacing"/>
        <w:rPr>
          <w:rFonts w:ascii="Arial Black" w:hAnsi="Arial Black"/>
          <w:sz w:val="28"/>
          <w:szCs w:val="28"/>
        </w:rPr>
      </w:pPr>
      <w:r w:rsidRPr="0089400B">
        <w:rPr>
          <w:rFonts w:ascii="Arial Black" w:hAnsi="Arial Black"/>
          <w:sz w:val="28"/>
          <w:szCs w:val="28"/>
        </w:rPr>
        <w:t>MA: FF PINPOINT PUPILS – DELAY DRUG TEST / CBD - FIRED</w:t>
      </w:r>
    </w:p>
    <w:p w14:paraId="65DE9069" w14:textId="77777777" w:rsidR="00131912" w:rsidRPr="0089400B" w:rsidRDefault="00131912" w:rsidP="00131912">
      <w:pPr>
        <w:pStyle w:val="NoSpacing"/>
        <w:rPr>
          <w:rFonts w:ascii="Times New Roman" w:hAnsi="Times New Roman"/>
          <w:sz w:val="24"/>
          <w:szCs w:val="24"/>
        </w:rPr>
      </w:pPr>
    </w:p>
    <w:p w14:paraId="36950906" w14:textId="77777777" w:rsidR="003E0872" w:rsidRDefault="00131912" w:rsidP="003E0872">
      <w:pPr>
        <w:pStyle w:val="NoSpacing"/>
      </w:pPr>
      <w:r w:rsidRPr="0089400B">
        <w:rPr>
          <w:rFonts w:ascii="Times New Roman" w:hAnsi="Times New Roman"/>
          <w:sz w:val="24"/>
          <w:szCs w:val="24"/>
        </w:rPr>
        <w:t xml:space="preserve">On March 20, 2025, in </w:t>
      </w:r>
      <w:r w:rsidRPr="0089400B">
        <w:rPr>
          <w:rFonts w:ascii="Times New Roman" w:hAnsi="Times New Roman"/>
          <w:sz w:val="24"/>
          <w:szCs w:val="24"/>
          <w:u w:val="single"/>
        </w:rPr>
        <w:t>Patrick F. Burns, Sr, v. The City of Worchester, et al</w:t>
      </w:r>
      <w:r w:rsidRPr="0089400B">
        <w:rPr>
          <w:rFonts w:ascii="Times New Roman" w:hAnsi="Times New Roman"/>
          <w:sz w:val="24"/>
          <w:szCs w:val="24"/>
        </w:rPr>
        <w:t xml:space="preserve">., U.S. District Court Judge Margaret R. Guzman, U.S. District Court for the District of Massachusetts, granted the city’s motion to dismiss.  A Deputy Fire Chief observed the firefighter with “pinpoint” pupils during Recue 1 training on September 7, </w:t>
      </w:r>
      <w:proofErr w:type="gramStart"/>
      <w:r w:rsidRPr="0089400B">
        <w:rPr>
          <w:rFonts w:ascii="Times New Roman" w:hAnsi="Times New Roman"/>
          <w:sz w:val="24"/>
          <w:szCs w:val="24"/>
        </w:rPr>
        <w:t>2023</w:t>
      </w:r>
      <w:proofErr w:type="gramEnd"/>
      <w:r w:rsidRPr="0089400B">
        <w:rPr>
          <w:rFonts w:ascii="Times New Roman" w:hAnsi="Times New Roman"/>
          <w:sz w:val="24"/>
          <w:szCs w:val="24"/>
        </w:rPr>
        <w:t xml:space="preserve"> and ordered him to take drug test.  The firefighter didn’t take urine test until Nov. 8.  “Burns had recently begun the lawful off-duty use of prescribed oral cannabidiol (CBD), a non-intoxicating derivative of cannabis, as a sleep aid; he was unsure how this could affect drug test results or how such results might be interpreted or portrayed. He was suspended without pay since Oct. 8, 2023, and on Jan. 21, </w:t>
      </w:r>
      <w:proofErr w:type="gramStart"/>
      <w:r w:rsidRPr="0089400B">
        <w:rPr>
          <w:rFonts w:ascii="Times New Roman" w:hAnsi="Times New Roman"/>
          <w:sz w:val="24"/>
          <w:szCs w:val="24"/>
        </w:rPr>
        <w:t>2024</w:t>
      </w:r>
      <w:proofErr w:type="gramEnd"/>
      <w:r w:rsidRPr="0089400B">
        <w:rPr>
          <w:rFonts w:ascii="Times New Roman" w:hAnsi="Times New Roman"/>
          <w:sz w:val="24"/>
          <w:szCs w:val="24"/>
        </w:rPr>
        <w:t xml:space="preserve"> the FD offered him a substance abuse agreement [which he rejected].  The agreement “required Burns to accept its premise that he was an admitted drug abuser…. The agreement called for Burns to complete treatment with a licensed substance abuse rehabilitation program and provide negative results from hair, urine, and breathalyzer tests, or to accept a ‘last chance agreement’ requiring three years of highly intrusive drug testing on demand with ‘physical inspection’ before providing a urine sample and provision of each sample ‘under direct observation.’ …  The agreement also included ‘permanent transfer off the Rescue [unit] and outside the Franklin Street Fire Station’ with Burns to be barred from assignment to that station ‘even on a temporary basis.’ The letter stated the </w:t>
      </w:r>
      <w:proofErr w:type="gramStart"/>
      <w:r w:rsidRPr="0089400B">
        <w:rPr>
          <w:rFonts w:ascii="Times New Roman" w:hAnsi="Times New Roman"/>
          <w:sz w:val="24"/>
          <w:szCs w:val="24"/>
        </w:rPr>
        <w:t>City</w:t>
      </w:r>
      <w:proofErr w:type="gramEnd"/>
      <w:r w:rsidRPr="0089400B">
        <w:rPr>
          <w:rFonts w:ascii="Times New Roman" w:hAnsi="Times New Roman"/>
          <w:sz w:val="24"/>
          <w:szCs w:val="24"/>
        </w:rPr>
        <w:t xml:space="preserve"> would ‘move for your termination’ if Burns did not return the signed agreement within 10 days.”  His termination was upheld by a city Hearing Officer upheld after full hearing on June 7, 2023; and by Civil Service Commission on June 27, </w:t>
      </w:r>
      <w:proofErr w:type="gramStart"/>
      <w:r w:rsidRPr="0089400B">
        <w:rPr>
          <w:rFonts w:ascii="Times New Roman" w:hAnsi="Times New Roman"/>
          <w:sz w:val="24"/>
          <w:szCs w:val="24"/>
        </w:rPr>
        <w:t>2024</w:t>
      </w:r>
      <w:proofErr w:type="gramEnd"/>
      <w:r w:rsidRPr="0089400B">
        <w:rPr>
          <w:rFonts w:ascii="Times New Roman" w:hAnsi="Times New Roman"/>
          <w:sz w:val="24"/>
          <w:szCs w:val="24"/>
        </w:rPr>
        <w:t xml:space="preserve"> after a hearing.”</w:t>
      </w:r>
      <w:r w:rsidR="003E0872">
        <w:rPr>
          <w:rFonts w:ascii="Times New Roman" w:hAnsi="Times New Roman"/>
          <w:sz w:val="24"/>
          <w:szCs w:val="24"/>
        </w:rPr>
        <w:t xml:space="preserve"> </w:t>
      </w:r>
      <w:hyperlink r:id="rId1889" w:history="1">
        <w:r w:rsidR="003E0872" w:rsidRPr="00A02498">
          <w:rPr>
            <w:rStyle w:val="Hyperlink"/>
          </w:rPr>
          <w:t>https://public.fastcase.com/jaEE2PXzRXmZ99jOLMt1IkwLjDIafZivsAf6axO%2B3QZjm6x80NhvTxxrXJiS64do?utm_medium=email&amp;_hsenc=p2ANqtz-_ZLiMFX9yN1wO2MCWrhyQko1U4dUXhzxPQAtrBDBjCrjbe9Dh7_kNIbfrc-1zaAPZ0Y1FmrwNmXCeWeaeUVjh5p5R-nw&amp;_hsmi=226712652&amp;utm_content=226712652&amp;utm_source=hs_email</w:t>
        </w:r>
      </w:hyperlink>
      <w:r w:rsidR="003E0872">
        <w:t xml:space="preserve"> </w:t>
      </w:r>
    </w:p>
    <w:p w14:paraId="0E880446" w14:textId="77777777" w:rsidR="003E0872" w:rsidRDefault="003E0872" w:rsidP="003E0872">
      <w:pPr>
        <w:pStyle w:val="NoSpacing"/>
      </w:pPr>
    </w:p>
    <w:p w14:paraId="2656FD4A" w14:textId="1318A3C9" w:rsidR="00131912" w:rsidRPr="0089400B" w:rsidRDefault="00131912" w:rsidP="00131912">
      <w:pPr>
        <w:pStyle w:val="NoSpacing"/>
        <w:rPr>
          <w:rFonts w:ascii="Times New Roman" w:hAnsi="Times New Roman"/>
          <w:sz w:val="24"/>
          <w:szCs w:val="24"/>
        </w:rPr>
      </w:pPr>
    </w:p>
    <w:p w14:paraId="56CACE56" w14:textId="77777777" w:rsidR="0089400B" w:rsidRPr="0089400B" w:rsidRDefault="0089400B" w:rsidP="0089400B">
      <w:pPr>
        <w:pStyle w:val="NoSpacing"/>
        <w:rPr>
          <w:rFonts w:ascii="Times New Roman" w:hAnsi="Times New Roman"/>
          <w:b/>
          <w:sz w:val="24"/>
          <w:szCs w:val="24"/>
        </w:rPr>
      </w:pPr>
    </w:p>
    <w:p w14:paraId="6E5747C4" w14:textId="07DA2504" w:rsidR="0089400B" w:rsidRPr="0089400B" w:rsidRDefault="0089400B" w:rsidP="0089400B">
      <w:pPr>
        <w:pStyle w:val="NoSpacing"/>
        <w:rPr>
          <w:rFonts w:ascii="Times New Roman" w:hAnsi="Times New Roman"/>
          <w:b/>
          <w:bCs/>
          <w:sz w:val="24"/>
          <w:szCs w:val="24"/>
        </w:rPr>
      </w:pPr>
      <w:r w:rsidRPr="0089400B">
        <w:rPr>
          <w:rFonts w:ascii="Times New Roman" w:hAnsi="Times New Roman"/>
          <w:b/>
          <w:sz w:val="24"/>
          <w:szCs w:val="24"/>
        </w:rPr>
        <w:t xml:space="preserve">Legal Lesson Learned: Firefighting is a “safety-sensitive” job and employer may order drug test if there is reasonable suspicion.  </w:t>
      </w:r>
    </w:p>
    <w:p w14:paraId="25692397" w14:textId="77777777" w:rsidR="0089400B" w:rsidRPr="0089400B" w:rsidRDefault="0089400B" w:rsidP="0089400B">
      <w:pPr>
        <w:pStyle w:val="NoSpacing"/>
        <w:rPr>
          <w:rFonts w:ascii="Times New Roman" w:hAnsi="Times New Roman"/>
          <w:sz w:val="24"/>
          <w:szCs w:val="24"/>
        </w:rPr>
      </w:pPr>
    </w:p>
    <w:p w14:paraId="38429B94" w14:textId="77777777" w:rsidR="0089400B" w:rsidRDefault="0089400B" w:rsidP="00131912">
      <w:pPr>
        <w:pStyle w:val="NoSpacing"/>
      </w:pPr>
    </w:p>
    <w:p w14:paraId="101F78FC" w14:textId="77777777" w:rsidR="00131912" w:rsidRDefault="00131912" w:rsidP="00F326E5">
      <w:pPr>
        <w:rPr>
          <w:rFonts w:ascii="Arial Black" w:hAnsi="Arial Black"/>
          <w:b/>
          <w:sz w:val="24"/>
          <w:szCs w:val="24"/>
        </w:rPr>
      </w:pPr>
    </w:p>
    <w:p w14:paraId="1D88A510" w14:textId="77777777" w:rsidR="00131912" w:rsidRDefault="00131912" w:rsidP="00F326E5">
      <w:pPr>
        <w:rPr>
          <w:rFonts w:ascii="Arial Black" w:hAnsi="Arial Black"/>
          <w:b/>
          <w:sz w:val="24"/>
          <w:szCs w:val="24"/>
        </w:rPr>
      </w:pPr>
    </w:p>
    <w:p w14:paraId="5BB7BB4B" w14:textId="77777777" w:rsidR="00131912" w:rsidRDefault="00131912" w:rsidP="00F326E5">
      <w:pPr>
        <w:rPr>
          <w:rFonts w:ascii="Arial Black" w:hAnsi="Arial Black"/>
          <w:b/>
          <w:sz w:val="24"/>
          <w:szCs w:val="24"/>
        </w:rPr>
      </w:pPr>
    </w:p>
    <w:p w14:paraId="08E6AC15" w14:textId="1E311322" w:rsidR="00EE6BDE" w:rsidRDefault="00EE6BDE" w:rsidP="00F326E5">
      <w:pPr>
        <w:rPr>
          <w:rFonts w:ascii="Arial Black" w:hAnsi="Arial Black"/>
          <w:b/>
          <w:sz w:val="24"/>
          <w:szCs w:val="24"/>
        </w:rPr>
      </w:pPr>
      <w:r>
        <w:rPr>
          <w:rFonts w:ascii="Arial Black" w:hAnsi="Arial Black"/>
          <w:b/>
          <w:sz w:val="24"/>
          <w:szCs w:val="24"/>
        </w:rPr>
        <w:t>12-30</w:t>
      </w:r>
    </w:p>
    <w:p w14:paraId="10BA2680" w14:textId="77777777" w:rsidR="00EE6BDE" w:rsidRPr="000B7F2C" w:rsidRDefault="00EE6BDE" w:rsidP="00EE6BDE">
      <w:pPr>
        <w:rPr>
          <w:rFonts w:ascii="Arial Black" w:hAnsi="Arial Black"/>
          <w:sz w:val="28"/>
          <w:szCs w:val="28"/>
        </w:rPr>
      </w:pPr>
      <w:r w:rsidRPr="000B7F2C">
        <w:rPr>
          <w:rFonts w:ascii="Arial Black" w:hAnsi="Arial Black"/>
          <w:sz w:val="28"/>
          <w:szCs w:val="28"/>
        </w:rPr>
        <w:t xml:space="preserve">PA: MEDICAL MJ – PTSD – LAB HIRE DEMOTED – NO ADA </w:t>
      </w:r>
    </w:p>
    <w:p w14:paraId="5063C9C0" w14:textId="77777777" w:rsidR="00EE6BDE" w:rsidRPr="00BA592A" w:rsidRDefault="00EE6BDE" w:rsidP="00EE6BDE">
      <w:pPr>
        <w:rPr>
          <w:rFonts w:ascii="Times New Roman" w:hAnsi="Times New Roman"/>
          <w:sz w:val="24"/>
          <w:szCs w:val="24"/>
        </w:rPr>
      </w:pPr>
      <w:r w:rsidRPr="00BA592A">
        <w:rPr>
          <w:rFonts w:ascii="Times New Roman" w:hAnsi="Times New Roman"/>
          <w:sz w:val="24"/>
          <w:szCs w:val="24"/>
        </w:rPr>
        <w:t xml:space="preserve">On Feb. 12, 2025, in </w:t>
      </w:r>
      <w:r w:rsidRPr="00BA592A">
        <w:rPr>
          <w:rFonts w:ascii="Times New Roman" w:hAnsi="Times New Roman"/>
          <w:sz w:val="24"/>
          <w:szCs w:val="24"/>
          <w:u w:val="single"/>
        </w:rPr>
        <w:t>Nicole Zimmerman v. Health Network Laboratories, L.P</w:t>
      </w:r>
      <w:r w:rsidRPr="00BA592A">
        <w:rPr>
          <w:rFonts w:ascii="Times New Roman" w:hAnsi="Times New Roman"/>
          <w:sz w:val="24"/>
          <w:szCs w:val="24"/>
        </w:rPr>
        <w:t xml:space="preserve">., United States District Court Judge Gail A. Weilheimer, U.S. District Court for Eastern District of Pennsylvania, granted defense motion for summary judgment’ medical marijuana use is not protected under the Americans with Disabilities Act (ADA).   The company (50 locations; 1,500 employees) hired the plaintiff on March 3, </w:t>
      </w:r>
      <w:proofErr w:type="gramStart"/>
      <w:r w:rsidRPr="00BA592A">
        <w:rPr>
          <w:rFonts w:ascii="Times New Roman" w:hAnsi="Times New Roman"/>
          <w:sz w:val="24"/>
          <w:szCs w:val="24"/>
        </w:rPr>
        <w:t>2022</w:t>
      </w:r>
      <w:proofErr w:type="gramEnd"/>
      <w:r w:rsidRPr="00BA592A">
        <w:rPr>
          <w:rFonts w:ascii="Times New Roman" w:hAnsi="Times New Roman"/>
          <w:sz w:val="24"/>
          <w:szCs w:val="24"/>
        </w:rPr>
        <w:t xml:space="preserve"> as a </w:t>
      </w:r>
      <w:proofErr w:type="gramStart"/>
      <w:r w:rsidRPr="00BA592A">
        <w:rPr>
          <w:rFonts w:ascii="Times New Roman" w:hAnsi="Times New Roman"/>
          <w:sz w:val="24"/>
          <w:szCs w:val="24"/>
        </w:rPr>
        <w:t>Phlebotomist</w:t>
      </w:r>
      <w:proofErr w:type="gramEnd"/>
      <w:r w:rsidRPr="00BA592A">
        <w:rPr>
          <w:rFonts w:ascii="Times New Roman" w:hAnsi="Times New Roman"/>
          <w:sz w:val="24"/>
          <w:szCs w:val="24"/>
        </w:rPr>
        <w:t xml:space="preserve"> II.  She suffers from Post-Traumatic Stress Disorder ("PTSD") and Generalized Anxiety Disorder ("GAD") and uses medical marijuana to support her treatment for these diagnoses.  On April 13, 2022, Ms. Zimmerman was instead offered a position as a Laboratory Assistant</w:t>
      </w:r>
      <w:r w:rsidRPr="00BA592A">
        <w:rPr>
          <w:rFonts w:ascii="Times New Roman" w:hAnsi="Times New Roman"/>
          <w:sz w:val="24"/>
          <w:szCs w:val="24"/>
          <w:vertAlign w:val="superscript"/>
        </w:rPr>
        <w:t xml:space="preserve"> </w:t>
      </w:r>
      <w:r w:rsidRPr="00BA592A">
        <w:rPr>
          <w:rFonts w:ascii="Times New Roman" w:hAnsi="Times New Roman"/>
          <w:sz w:val="24"/>
          <w:szCs w:val="24"/>
        </w:rPr>
        <w:t xml:space="preserve">[classified as non-safety sensitive] which constituted a demotion with a lower hourly rate of pay.  </w:t>
      </w:r>
      <w:hyperlink r:id="rId1890" w:history="1">
        <w:r w:rsidRPr="00BA592A">
          <w:rPr>
            <w:rStyle w:val="Hyperlink"/>
            <w:rFonts w:ascii="Times New Roman" w:hAnsi="Times New Roman"/>
            <w:sz w:val="24"/>
            <w:szCs w:val="24"/>
          </w:rPr>
          <w:t>https://public.fastcase.com/jaEE2PXzRXmZ99jOLMt1IkeXMb88bktridCVT2cNJQMzpCQ6GgqcAq9z2DsPb3SV?utm_medium=email&amp;_hsenc=p2ANqtz-85xVo1nyN3HdtXmyEBbnKz3steTpDAfhmpvG3xr6TrZ9DYf7Sn2b546JhEk92EHRSHghCxIzSuD7PvUX919GE5tGfx5g&amp;_hsmi=226712652&amp;utm_content=226712652&amp;utm_source=hs_email</w:t>
        </w:r>
      </w:hyperlink>
      <w:r w:rsidRPr="00BA592A">
        <w:rPr>
          <w:rFonts w:ascii="Times New Roman" w:hAnsi="Times New Roman"/>
          <w:sz w:val="24"/>
          <w:szCs w:val="24"/>
        </w:rPr>
        <w:t xml:space="preserve"> </w:t>
      </w:r>
    </w:p>
    <w:p w14:paraId="1F3FAF02" w14:textId="77777777" w:rsidR="00EE6BDE" w:rsidRPr="00BA592A" w:rsidRDefault="00EE6BDE" w:rsidP="00EE6BDE">
      <w:pPr>
        <w:pStyle w:val="NoSpacing"/>
        <w:rPr>
          <w:rFonts w:ascii="Times New Roman" w:hAnsi="Times New Roman"/>
          <w:sz w:val="24"/>
          <w:szCs w:val="24"/>
        </w:rPr>
      </w:pPr>
      <w:r w:rsidRPr="00BA592A">
        <w:rPr>
          <w:rFonts w:ascii="Times New Roman" w:hAnsi="Times New Roman"/>
          <w:sz w:val="24"/>
          <w:szCs w:val="24"/>
        </w:rPr>
        <w:t>The Court wrote:</w:t>
      </w:r>
    </w:p>
    <w:p w14:paraId="6929948C" w14:textId="77777777" w:rsidR="00EE6BDE" w:rsidRPr="00BA592A" w:rsidRDefault="00EE6BDE" w:rsidP="00EE6BDE">
      <w:pPr>
        <w:pStyle w:val="NoSpacing"/>
        <w:rPr>
          <w:rFonts w:ascii="Times New Roman" w:hAnsi="Times New Roman"/>
          <w:sz w:val="24"/>
          <w:szCs w:val="24"/>
        </w:rPr>
      </w:pPr>
    </w:p>
    <w:p w14:paraId="7B34C13B" w14:textId="77777777" w:rsidR="00EE6BDE" w:rsidRPr="00BA592A" w:rsidRDefault="00EE6BDE" w:rsidP="00EE6BDE">
      <w:pPr>
        <w:pStyle w:val="NoSpacing"/>
        <w:ind w:left="720"/>
        <w:rPr>
          <w:rFonts w:ascii="Times New Roman" w:hAnsi="Times New Roman"/>
          <w:sz w:val="24"/>
          <w:szCs w:val="24"/>
        </w:rPr>
      </w:pPr>
      <w:r w:rsidRPr="00BA592A">
        <w:rPr>
          <w:rFonts w:ascii="Times New Roman" w:hAnsi="Times New Roman"/>
          <w:sz w:val="24"/>
          <w:szCs w:val="24"/>
        </w:rPr>
        <w:t xml:space="preserve">“Because the adverse employment action here was precipitated by Ms. Zimmerman's use of medical marijuana, she is not a qualified individual per the ADA. </w:t>
      </w:r>
    </w:p>
    <w:p w14:paraId="31E5F6BC" w14:textId="77777777" w:rsidR="00EE6BDE" w:rsidRPr="00BA592A" w:rsidRDefault="00EE6BDE" w:rsidP="00EE6BDE">
      <w:pPr>
        <w:pStyle w:val="NoSpacing"/>
        <w:rPr>
          <w:rFonts w:ascii="Times New Roman" w:hAnsi="Times New Roman"/>
          <w:sz w:val="24"/>
          <w:szCs w:val="24"/>
        </w:rPr>
      </w:pPr>
    </w:p>
    <w:p w14:paraId="5E375F57" w14:textId="77777777" w:rsidR="00EE6BDE" w:rsidRPr="00BA592A" w:rsidRDefault="00EE6BDE" w:rsidP="00EE6BDE">
      <w:pPr>
        <w:pStyle w:val="NoSpacing"/>
        <w:ind w:left="720"/>
        <w:rPr>
          <w:rFonts w:ascii="Times New Roman" w:hAnsi="Times New Roman"/>
          <w:sz w:val="24"/>
          <w:szCs w:val="24"/>
        </w:rPr>
      </w:pPr>
      <w:r w:rsidRPr="00BA592A">
        <w:rPr>
          <w:rFonts w:ascii="Times New Roman" w:hAnsi="Times New Roman"/>
          <w:sz w:val="24"/>
          <w:szCs w:val="24"/>
        </w:rPr>
        <w:t xml:space="preserve">[Fire Department case – in] </w:t>
      </w:r>
      <w:r w:rsidRPr="00BA592A">
        <w:rPr>
          <w:rFonts w:ascii="Times New Roman" w:hAnsi="Times New Roman"/>
          <w:i/>
          <w:iCs/>
          <w:sz w:val="24"/>
          <w:szCs w:val="24"/>
        </w:rPr>
        <w:t>Eccleston v. City of Waterbury,</w:t>
      </w:r>
      <w:r w:rsidRPr="00BA592A">
        <w:rPr>
          <w:rFonts w:ascii="Times New Roman" w:hAnsi="Times New Roman"/>
          <w:sz w:val="24"/>
          <w:szCs w:val="24"/>
        </w:rPr>
        <w:t xml:space="preserve"> No. 3:19-cv-1614, 2021 WL 1090754, at *6 (D. Conn. Mar. 22, 2021). In </w:t>
      </w:r>
      <w:r w:rsidRPr="00BA592A">
        <w:rPr>
          <w:rFonts w:ascii="Times New Roman" w:hAnsi="Times New Roman"/>
          <w:i/>
          <w:iCs/>
          <w:sz w:val="24"/>
          <w:szCs w:val="24"/>
        </w:rPr>
        <w:t>Eccleston,</w:t>
      </w:r>
      <w:r w:rsidRPr="00BA592A">
        <w:rPr>
          <w:rFonts w:ascii="Times New Roman" w:hAnsi="Times New Roman"/>
          <w:sz w:val="24"/>
          <w:szCs w:val="24"/>
        </w:rPr>
        <w:t xml:space="preserve"> the District Court of Connecticut held that a firefighter, lawfully prescribed medical marijuana under Connecticut state law, was not protected as a qualified individual under the ADA. </w:t>
      </w:r>
      <w:r w:rsidRPr="00BA592A">
        <w:rPr>
          <w:rFonts w:ascii="Times New Roman" w:hAnsi="Times New Roman"/>
          <w:i/>
          <w:iCs/>
          <w:sz w:val="24"/>
          <w:szCs w:val="24"/>
        </w:rPr>
        <w:t>See Eccleston,</w:t>
      </w:r>
      <w:r w:rsidRPr="00BA592A">
        <w:rPr>
          <w:rFonts w:ascii="Times New Roman" w:hAnsi="Times New Roman"/>
          <w:sz w:val="24"/>
          <w:szCs w:val="24"/>
        </w:rPr>
        <w:t xml:space="preserve"> at *6. The Court explained that to hold ‘otherwise would place [the ADA] in direct tension with the clear provisions of the CSA-a statute the ADA relies upon </w:t>
      </w:r>
      <w:proofErr w:type="gramStart"/>
      <w:r w:rsidRPr="00BA592A">
        <w:rPr>
          <w:rFonts w:ascii="Times New Roman" w:hAnsi="Times New Roman"/>
          <w:sz w:val="24"/>
          <w:szCs w:val="24"/>
        </w:rPr>
        <w:t>to define</w:t>
      </w:r>
      <w:proofErr w:type="gramEnd"/>
      <w:r w:rsidRPr="00BA592A">
        <w:rPr>
          <w:rFonts w:ascii="Times New Roman" w:hAnsi="Times New Roman"/>
          <w:sz w:val="24"/>
          <w:szCs w:val="24"/>
        </w:rPr>
        <w:t xml:space="preserve"> the term "illegal drug use.’ </w:t>
      </w:r>
    </w:p>
    <w:p w14:paraId="0D516CAB" w14:textId="77777777" w:rsidR="00EE6BDE" w:rsidRPr="00BA592A" w:rsidRDefault="00EE6BDE" w:rsidP="00EE6BDE">
      <w:pPr>
        <w:pStyle w:val="NoSpacing"/>
        <w:rPr>
          <w:rFonts w:ascii="Times New Roman" w:hAnsi="Times New Roman"/>
          <w:sz w:val="24"/>
          <w:szCs w:val="24"/>
        </w:rPr>
      </w:pPr>
    </w:p>
    <w:p w14:paraId="07C28A5B" w14:textId="77777777" w:rsidR="00EE6BDE" w:rsidRPr="00BA592A" w:rsidRDefault="00EE6BDE" w:rsidP="00EE6BDE">
      <w:pPr>
        <w:pStyle w:val="NoSpacing"/>
        <w:ind w:firstLine="720"/>
        <w:rPr>
          <w:rFonts w:ascii="Times New Roman" w:hAnsi="Times New Roman"/>
          <w:sz w:val="24"/>
          <w:szCs w:val="24"/>
        </w:rPr>
      </w:pPr>
      <w:r w:rsidRPr="00BA592A">
        <w:rPr>
          <w:rFonts w:ascii="Times New Roman" w:hAnsi="Times New Roman"/>
          <w:sz w:val="24"/>
          <w:szCs w:val="24"/>
        </w:rPr>
        <w:t>***</w:t>
      </w:r>
    </w:p>
    <w:p w14:paraId="4D427B4E" w14:textId="77777777" w:rsidR="00EE6BDE" w:rsidRPr="00BA592A" w:rsidRDefault="00EE6BDE" w:rsidP="00EE6BDE">
      <w:pPr>
        <w:pStyle w:val="NoSpacing"/>
        <w:rPr>
          <w:rFonts w:ascii="Times New Roman" w:hAnsi="Times New Roman"/>
          <w:sz w:val="24"/>
          <w:szCs w:val="24"/>
        </w:rPr>
      </w:pPr>
    </w:p>
    <w:p w14:paraId="0A814CA9" w14:textId="77777777" w:rsidR="00EE6BDE" w:rsidRPr="00BA592A" w:rsidRDefault="00EE6BDE" w:rsidP="00EE6BDE">
      <w:pPr>
        <w:pStyle w:val="NoSpacing"/>
        <w:ind w:left="720"/>
        <w:rPr>
          <w:rFonts w:ascii="Times New Roman" w:hAnsi="Times New Roman"/>
          <w:sz w:val="24"/>
          <w:szCs w:val="24"/>
        </w:rPr>
      </w:pPr>
      <w:r w:rsidRPr="00BA592A">
        <w:rPr>
          <w:rFonts w:ascii="Times New Roman" w:hAnsi="Times New Roman"/>
          <w:sz w:val="24"/>
          <w:szCs w:val="24"/>
        </w:rPr>
        <w:t xml:space="preserve">Similarly, the District Court of Colorado held termination on account of complainant's medical marijuana use did not constitute discrimination under the ADA. </w:t>
      </w:r>
      <w:r w:rsidRPr="00BA592A">
        <w:rPr>
          <w:rFonts w:ascii="Times New Roman" w:hAnsi="Times New Roman"/>
          <w:i/>
          <w:iCs/>
          <w:sz w:val="24"/>
          <w:szCs w:val="24"/>
        </w:rPr>
        <w:t>Steele v. Stallion Rockies Ltd,</w:t>
      </w:r>
      <w:r w:rsidRPr="00BA592A">
        <w:rPr>
          <w:rFonts w:ascii="Times New Roman" w:hAnsi="Times New Roman"/>
          <w:sz w:val="24"/>
          <w:szCs w:val="24"/>
        </w:rPr>
        <w:t xml:space="preserve"> 106 F.Supp.3d 1205, 1218 (D. Colo. 2015); </w:t>
      </w:r>
      <w:r w:rsidRPr="00BA592A">
        <w:rPr>
          <w:rFonts w:ascii="Times New Roman" w:hAnsi="Times New Roman"/>
          <w:i/>
          <w:iCs/>
          <w:sz w:val="24"/>
          <w:szCs w:val="24"/>
        </w:rPr>
        <w:t xml:space="preserve">see also </w:t>
      </w:r>
      <w:proofErr w:type="spellStart"/>
      <w:r w:rsidRPr="00BA592A">
        <w:rPr>
          <w:rFonts w:ascii="Times New Roman" w:hAnsi="Times New Roman"/>
          <w:i/>
          <w:iCs/>
          <w:sz w:val="24"/>
          <w:szCs w:val="24"/>
        </w:rPr>
        <w:t>Aiiderson</w:t>
      </w:r>
      <w:proofErr w:type="spellEnd"/>
      <w:r w:rsidRPr="00BA592A">
        <w:rPr>
          <w:rFonts w:ascii="Times New Roman" w:hAnsi="Times New Roman"/>
          <w:i/>
          <w:iCs/>
          <w:sz w:val="24"/>
          <w:szCs w:val="24"/>
        </w:rPr>
        <w:t xml:space="preserve"> v. Diamondback Investment Group,</w:t>
      </w:r>
      <w:r w:rsidRPr="00BA592A">
        <w:rPr>
          <w:rFonts w:ascii="Times New Roman" w:hAnsi="Times New Roman"/>
          <w:sz w:val="24"/>
          <w:szCs w:val="24"/>
        </w:rPr>
        <w:t xml:space="preserve"> 117 F.4</w:t>
      </w:r>
      <w:r w:rsidRPr="00BA592A">
        <w:rPr>
          <w:rFonts w:ascii="Times New Roman" w:hAnsi="Times New Roman"/>
          <w:sz w:val="24"/>
          <w:szCs w:val="24"/>
          <w:vertAlign w:val="superscript"/>
        </w:rPr>
        <w:t>th</w:t>
      </w:r>
      <w:r w:rsidRPr="00BA592A">
        <w:rPr>
          <w:rFonts w:ascii="Times New Roman" w:hAnsi="Times New Roman"/>
          <w:sz w:val="24"/>
          <w:szCs w:val="24"/>
        </w:rPr>
        <w:t xml:space="preserve"> 165 (4th Cir. 2024) (terminating individuals taking illegal drugs to treat a disability is permissible, so long as the goal of the drug testing scheme does not intentionally exclude any individual taking a </w:t>
      </w:r>
      <w:r w:rsidRPr="00BA592A">
        <w:rPr>
          <w:rFonts w:ascii="Times New Roman" w:hAnsi="Times New Roman"/>
          <w:i/>
          <w:iCs/>
          <w:sz w:val="24"/>
          <w:szCs w:val="24"/>
        </w:rPr>
        <w:t>lawfully prescribed</w:t>
      </w:r>
      <w:r w:rsidRPr="00BA592A">
        <w:rPr>
          <w:rFonts w:ascii="Times New Roman" w:hAnsi="Times New Roman"/>
          <w:sz w:val="24"/>
          <w:szCs w:val="24"/>
        </w:rPr>
        <w:t xml:space="preserve"> drug to treat a disability); </w:t>
      </w:r>
      <w:r w:rsidRPr="00BA592A">
        <w:rPr>
          <w:rFonts w:ascii="Times New Roman" w:hAnsi="Times New Roman"/>
          <w:i/>
          <w:iCs/>
          <w:sz w:val="24"/>
          <w:szCs w:val="24"/>
        </w:rPr>
        <w:t>Zarazua v. Ricketts,</w:t>
      </w:r>
      <w:r w:rsidRPr="00BA592A">
        <w:rPr>
          <w:rFonts w:ascii="Times New Roman" w:hAnsi="Times New Roman"/>
          <w:sz w:val="24"/>
          <w:szCs w:val="24"/>
        </w:rPr>
        <w:t xml:space="preserve"> 8:17CV318, 2017 WL 6503395, at *2 (D. Neb. Oct. 2, 2017) (exception for medical marijuana in state law is not a reasonable accommodation under the ADA); </w:t>
      </w:r>
      <w:r w:rsidRPr="00BA592A">
        <w:rPr>
          <w:rFonts w:ascii="Times New Roman" w:hAnsi="Times New Roman"/>
          <w:i/>
          <w:iCs/>
          <w:sz w:val="24"/>
          <w:szCs w:val="24"/>
        </w:rPr>
        <w:t>Barber v. Gonzalez</w:t>
      </w:r>
      <w:r w:rsidRPr="00BA592A">
        <w:rPr>
          <w:rFonts w:ascii="Times New Roman" w:hAnsi="Times New Roman"/>
          <w:sz w:val="24"/>
          <w:szCs w:val="24"/>
        </w:rPr>
        <w:t xml:space="preserve"> No. CV-05-0173, 2005 WL 1607189, at *1 (E.D. Wash. Jul. 1, 2005) (physician supervised drug use must be authorized under the Controlled Substances Act or other provisions of Federal law, regardless of any state law authorization).</w:t>
      </w:r>
    </w:p>
    <w:p w14:paraId="1D66A366" w14:textId="77777777" w:rsidR="00EE6BDE" w:rsidRPr="00BA592A" w:rsidRDefault="00EE6BDE" w:rsidP="00EE6BDE">
      <w:pPr>
        <w:pStyle w:val="NoSpacing"/>
        <w:rPr>
          <w:rFonts w:ascii="Times New Roman" w:hAnsi="Times New Roman"/>
          <w:sz w:val="24"/>
          <w:szCs w:val="24"/>
        </w:rPr>
      </w:pPr>
    </w:p>
    <w:p w14:paraId="059735C8" w14:textId="77777777" w:rsidR="00EE6BDE" w:rsidRPr="00BA592A" w:rsidRDefault="00EE6BDE" w:rsidP="00EE6BDE">
      <w:pPr>
        <w:pStyle w:val="NoSpacing"/>
        <w:ind w:firstLine="720"/>
        <w:rPr>
          <w:rFonts w:ascii="Times New Roman" w:hAnsi="Times New Roman"/>
          <w:sz w:val="24"/>
          <w:szCs w:val="24"/>
        </w:rPr>
      </w:pPr>
      <w:r w:rsidRPr="00BA592A">
        <w:rPr>
          <w:rFonts w:ascii="Times New Roman" w:hAnsi="Times New Roman"/>
          <w:sz w:val="24"/>
          <w:szCs w:val="24"/>
        </w:rPr>
        <w:t>***</w:t>
      </w:r>
    </w:p>
    <w:p w14:paraId="14F6F634" w14:textId="77777777" w:rsidR="00EE6BDE" w:rsidRPr="00BA592A" w:rsidRDefault="00EE6BDE" w:rsidP="00EE6BDE">
      <w:pPr>
        <w:pStyle w:val="NoSpacing"/>
        <w:rPr>
          <w:rFonts w:ascii="Times New Roman" w:hAnsi="Times New Roman"/>
          <w:sz w:val="24"/>
          <w:szCs w:val="24"/>
        </w:rPr>
      </w:pPr>
    </w:p>
    <w:p w14:paraId="614FD360" w14:textId="77777777" w:rsidR="00EE6BDE" w:rsidRPr="00BA592A" w:rsidRDefault="00EE6BDE" w:rsidP="00EE6BDE">
      <w:pPr>
        <w:pStyle w:val="NoSpacing"/>
        <w:ind w:left="720"/>
        <w:rPr>
          <w:rFonts w:ascii="Times New Roman" w:hAnsi="Times New Roman"/>
          <w:sz w:val="24"/>
          <w:szCs w:val="24"/>
        </w:rPr>
      </w:pPr>
      <w:r w:rsidRPr="00BA592A">
        <w:rPr>
          <w:rFonts w:ascii="Times New Roman" w:hAnsi="Times New Roman"/>
          <w:sz w:val="24"/>
          <w:szCs w:val="24"/>
        </w:rPr>
        <w:t xml:space="preserve">Accordingly, this Court concludes that employees properly prescribed marijuana in compliance with Pennsylvania law, who then experience adverse employment determinations based on that use, are not "qualified individuals" contemplated at 42 U.S.C, § 12101, et seq. Although this specific issue has not been decided by the Third Circuit, this Court's conclusion accords with case law within the Circuit examining failed drug tests in slightly different factual contexts. </w:t>
      </w:r>
      <w:r w:rsidRPr="00BA592A">
        <w:rPr>
          <w:rFonts w:ascii="Times New Roman" w:hAnsi="Times New Roman"/>
          <w:i/>
          <w:iCs/>
          <w:sz w:val="24"/>
          <w:szCs w:val="24"/>
        </w:rPr>
        <w:t>See Drift, supra</w:t>
      </w:r>
      <w:r w:rsidRPr="00BA592A">
        <w:rPr>
          <w:rFonts w:ascii="Times New Roman" w:hAnsi="Times New Roman"/>
          <w:sz w:val="24"/>
          <w:szCs w:val="24"/>
        </w:rPr>
        <w:t xml:space="preserve"> (use of marijuana precludes and individual from being "qualified" under the ADA if the employer acts on this use); </w:t>
      </w:r>
      <w:proofErr w:type="spellStart"/>
      <w:r w:rsidRPr="00BA592A">
        <w:rPr>
          <w:rFonts w:ascii="Times New Roman" w:hAnsi="Times New Roman"/>
          <w:i/>
          <w:iCs/>
          <w:sz w:val="24"/>
          <w:szCs w:val="24"/>
        </w:rPr>
        <w:t>Lehenky</w:t>
      </w:r>
      <w:proofErr w:type="spellEnd"/>
      <w:r w:rsidRPr="00BA592A">
        <w:rPr>
          <w:rFonts w:ascii="Times New Roman" w:hAnsi="Times New Roman"/>
          <w:i/>
          <w:iCs/>
          <w:sz w:val="24"/>
          <w:szCs w:val="24"/>
        </w:rPr>
        <w:t xml:space="preserve"> v. Toshiba America Energy Systems Corp.,</w:t>
      </w:r>
      <w:r w:rsidRPr="00BA592A">
        <w:rPr>
          <w:rFonts w:ascii="Times New Roman" w:hAnsi="Times New Roman"/>
          <w:sz w:val="24"/>
          <w:szCs w:val="24"/>
        </w:rPr>
        <w:t xml:space="preserve"> No. 20-4573, 2022 WL 523739, at *3 (E.D. Pa. 2022) (over-the-counter CBD product resulting in positive drug test and subsequent termination not covered by ADA), </w:t>
      </w:r>
      <w:r w:rsidRPr="00BA592A">
        <w:rPr>
          <w:rFonts w:ascii="Times New Roman" w:hAnsi="Times New Roman"/>
          <w:i/>
          <w:iCs/>
          <w:sz w:val="24"/>
          <w:szCs w:val="24"/>
        </w:rPr>
        <w:t>aff'd,</w:t>
      </w:r>
      <w:r w:rsidRPr="00BA592A">
        <w:rPr>
          <w:rFonts w:ascii="Times New Roman" w:hAnsi="Times New Roman"/>
          <w:sz w:val="24"/>
          <w:szCs w:val="24"/>
        </w:rPr>
        <w:t xml:space="preserve"> 2023 WL 3562981 (3d Cir. May 19, 2023). As such, Plaintiff cannot make </w:t>
      </w:r>
      <w:r w:rsidRPr="00BA592A">
        <w:rPr>
          <w:rFonts w:ascii="Times New Roman" w:hAnsi="Times New Roman"/>
          <w:i/>
          <w:iCs/>
          <w:sz w:val="24"/>
          <w:szCs w:val="24"/>
        </w:rPr>
        <w:t>a prima facie</w:t>
      </w:r>
      <w:r w:rsidRPr="00BA592A">
        <w:rPr>
          <w:rFonts w:ascii="Times New Roman" w:hAnsi="Times New Roman"/>
          <w:sz w:val="24"/>
          <w:szCs w:val="24"/>
        </w:rPr>
        <w:t xml:space="preserve"> showing of discrimination to even engage the </w:t>
      </w:r>
      <w:r w:rsidRPr="00BA592A">
        <w:rPr>
          <w:rFonts w:ascii="Times New Roman" w:hAnsi="Times New Roman"/>
          <w:i/>
          <w:iCs/>
          <w:sz w:val="24"/>
          <w:szCs w:val="24"/>
        </w:rPr>
        <w:t>McDonnell Douglas</w:t>
      </w:r>
      <w:r w:rsidRPr="00BA592A">
        <w:rPr>
          <w:rFonts w:ascii="Times New Roman" w:hAnsi="Times New Roman"/>
          <w:sz w:val="24"/>
          <w:szCs w:val="24"/>
        </w:rPr>
        <w:t xml:space="preserve"> burden shifting framework in the first place.”</w:t>
      </w:r>
    </w:p>
    <w:p w14:paraId="4E6CE357" w14:textId="77777777" w:rsidR="00EE6BDE" w:rsidRPr="00BA592A" w:rsidRDefault="00EE6BDE" w:rsidP="00EE6BDE">
      <w:pPr>
        <w:pStyle w:val="NoSpacing"/>
        <w:rPr>
          <w:rFonts w:ascii="Times New Roman" w:hAnsi="Times New Roman"/>
          <w:sz w:val="24"/>
          <w:szCs w:val="24"/>
        </w:rPr>
      </w:pPr>
    </w:p>
    <w:p w14:paraId="425A55CD" w14:textId="77777777" w:rsidR="00EE6BDE" w:rsidRPr="00BA592A" w:rsidRDefault="00EE6BDE" w:rsidP="00EE6BDE">
      <w:pPr>
        <w:pStyle w:val="NoSpacing"/>
        <w:rPr>
          <w:rFonts w:ascii="Times New Roman" w:hAnsi="Times New Roman"/>
          <w:b/>
          <w:sz w:val="24"/>
          <w:szCs w:val="24"/>
        </w:rPr>
      </w:pPr>
      <w:r w:rsidRPr="00BA592A">
        <w:rPr>
          <w:rFonts w:ascii="Times New Roman" w:hAnsi="Times New Roman"/>
          <w:b/>
          <w:sz w:val="24"/>
          <w:szCs w:val="24"/>
        </w:rPr>
        <w:t xml:space="preserve">Legal Lesson Learned:  Fire &amp; EMS department dug use policies should address medical marijuana and recreational marijuana. </w:t>
      </w:r>
    </w:p>
    <w:p w14:paraId="4AE6BBA9" w14:textId="77777777" w:rsidR="00EE6BDE" w:rsidRDefault="00EE6BDE" w:rsidP="00F326E5">
      <w:pPr>
        <w:rPr>
          <w:rFonts w:ascii="Arial Black" w:hAnsi="Arial Black"/>
          <w:b/>
          <w:sz w:val="24"/>
          <w:szCs w:val="24"/>
        </w:rPr>
      </w:pPr>
    </w:p>
    <w:p w14:paraId="67D701D7" w14:textId="77777777" w:rsidR="00EE6BDE" w:rsidRDefault="00EE6BDE" w:rsidP="00F326E5">
      <w:pPr>
        <w:rPr>
          <w:rFonts w:ascii="Arial Black" w:hAnsi="Arial Black"/>
          <w:b/>
          <w:sz w:val="24"/>
          <w:szCs w:val="24"/>
        </w:rPr>
      </w:pPr>
    </w:p>
    <w:p w14:paraId="188AF957" w14:textId="14645329" w:rsidR="00743B05" w:rsidRDefault="00743B05" w:rsidP="00F326E5">
      <w:pPr>
        <w:rPr>
          <w:rFonts w:ascii="Arial Black" w:hAnsi="Arial Black"/>
          <w:b/>
          <w:sz w:val="24"/>
          <w:szCs w:val="24"/>
        </w:rPr>
      </w:pPr>
      <w:r>
        <w:rPr>
          <w:rFonts w:ascii="Arial Black" w:hAnsi="Arial Black"/>
          <w:b/>
          <w:sz w:val="24"/>
          <w:szCs w:val="24"/>
        </w:rPr>
        <w:t>12-29</w:t>
      </w:r>
    </w:p>
    <w:p w14:paraId="57BA6686" w14:textId="77777777" w:rsidR="00743B05" w:rsidRPr="00444233" w:rsidRDefault="00743B05" w:rsidP="00743B05">
      <w:pPr>
        <w:rPr>
          <w:rFonts w:ascii="Arial Black" w:hAnsi="Arial Black"/>
          <w:b/>
          <w:sz w:val="28"/>
          <w:szCs w:val="28"/>
        </w:rPr>
      </w:pPr>
      <w:r>
        <w:rPr>
          <w:rFonts w:ascii="Arial Black" w:hAnsi="Arial Black"/>
          <w:b/>
          <w:sz w:val="28"/>
          <w:szCs w:val="28"/>
        </w:rPr>
        <w:t xml:space="preserve">WA: ALCOHOL – FRAT - STUDENT DEAD – CAN SUE UNIV. </w:t>
      </w:r>
    </w:p>
    <w:p w14:paraId="4F9EEA30" w14:textId="0711D694" w:rsidR="00151EBE" w:rsidRDefault="00743B05" w:rsidP="00151EBE">
      <w:pPr>
        <w:pStyle w:val="NoSpacing"/>
        <w:rPr>
          <w:rFonts w:ascii="Times New Roman" w:hAnsi="Times New Roman"/>
          <w:sz w:val="24"/>
          <w:szCs w:val="24"/>
        </w:rPr>
      </w:pPr>
      <w:r w:rsidRPr="00151EBE">
        <w:rPr>
          <w:rFonts w:ascii="Times New Roman" w:hAnsi="Times New Roman"/>
          <w:sz w:val="24"/>
          <w:szCs w:val="24"/>
        </w:rPr>
        <w:t xml:space="preserve">On Jan. 21, 2025, in </w:t>
      </w:r>
      <w:r w:rsidRPr="00151EBE">
        <w:rPr>
          <w:rFonts w:ascii="Times New Roman" w:hAnsi="Times New Roman"/>
          <w:sz w:val="24"/>
          <w:szCs w:val="24"/>
          <w:u w:val="single"/>
        </w:rPr>
        <w:t xml:space="preserve">Hector Martinez and Jolayne Houtz, husband and wife and co-personal representatives of the Estate of Samuel H. Marinez v. Washington State University, Gamma Chi Chapter of Alpha Tau Omega Fraternity, et al., </w:t>
      </w:r>
      <w:r w:rsidRPr="00151EBE">
        <w:rPr>
          <w:rFonts w:ascii="Times New Roman" w:hAnsi="Times New Roman"/>
          <w:sz w:val="24"/>
          <w:szCs w:val="24"/>
        </w:rPr>
        <w:t xml:space="preserve">the Court of Appeals of Washington, Division 1 held (3 to 0) that the lawsuit should be reinstated against the University, and not just against the Gamma Chi fraternity.  The university can be sued because it has a “special relationship” with its recognized fraternal organizations – a similar legal doctrine to the duty of EMS when transporting a patient, or a jail holding a prisoner.  </w:t>
      </w:r>
      <w:hyperlink r:id="rId1891" w:history="1">
        <w:r w:rsidRPr="00151EBE">
          <w:rPr>
            <w:rStyle w:val="Hyperlink"/>
            <w:rFonts w:ascii="Times New Roman" w:hAnsi="Times New Roman"/>
            <w:sz w:val="24"/>
            <w:szCs w:val="24"/>
          </w:rPr>
          <w:t>https://cases.justia.com/washington/court-of-appeals-division-i/2025-83853-9.pdf?ts=1737494121</w:t>
        </w:r>
      </w:hyperlink>
      <w:r w:rsidRPr="00151EBE">
        <w:rPr>
          <w:rFonts w:ascii="Times New Roman" w:hAnsi="Times New Roman"/>
          <w:sz w:val="24"/>
          <w:szCs w:val="24"/>
        </w:rPr>
        <w:t xml:space="preserve"> </w:t>
      </w:r>
    </w:p>
    <w:p w14:paraId="07C1ECB5" w14:textId="77777777" w:rsidR="00151EBE" w:rsidRPr="00151EBE" w:rsidRDefault="00151EBE" w:rsidP="00151EBE">
      <w:pPr>
        <w:pStyle w:val="NoSpacing"/>
        <w:rPr>
          <w:rFonts w:ascii="Times New Roman" w:hAnsi="Times New Roman"/>
          <w:bCs/>
          <w:sz w:val="24"/>
          <w:szCs w:val="24"/>
        </w:rPr>
      </w:pPr>
    </w:p>
    <w:p w14:paraId="129DF7D2" w14:textId="77777777" w:rsidR="00743B05" w:rsidRPr="00151EBE" w:rsidRDefault="00743B05" w:rsidP="00743B05">
      <w:pPr>
        <w:rPr>
          <w:rFonts w:ascii="Times New Roman" w:hAnsi="Times New Roman"/>
          <w:bCs/>
          <w:sz w:val="24"/>
          <w:szCs w:val="24"/>
        </w:rPr>
      </w:pPr>
      <w:r w:rsidRPr="00151EBE">
        <w:rPr>
          <w:rFonts w:ascii="Times New Roman" w:hAnsi="Times New Roman"/>
          <w:sz w:val="24"/>
          <w:szCs w:val="24"/>
        </w:rPr>
        <w:t>The Court wrote:</w:t>
      </w:r>
    </w:p>
    <w:p w14:paraId="5138EAA9" w14:textId="77777777" w:rsidR="00743B05" w:rsidRPr="00151EBE" w:rsidRDefault="00743B05" w:rsidP="00743B05">
      <w:pPr>
        <w:pStyle w:val="NoSpacing"/>
        <w:ind w:left="720"/>
        <w:rPr>
          <w:rFonts w:ascii="Times New Roman" w:hAnsi="Times New Roman"/>
          <w:bCs/>
          <w:sz w:val="24"/>
          <w:szCs w:val="24"/>
        </w:rPr>
      </w:pPr>
      <w:r w:rsidRPr="00151EBE">
        <w:rPr>
          <w:rFonts w:ascii="Times New Roman" w:hAnsi="Times New Roman"/>
          <w:sz w:val="24"/>
          <w:szCs w:val="24"/>
        </w:rPr>
        <w:t xml:space="preserve">“Samuel ‘Sam’ Martinez died of acute alcohol poisoning in November 2019 following a hazing ritual at a fraternity house located near the Pullman campus of Washington State University (WSU). Sam’s estate representatives and parents Hector Martinez and Jolayne Houtz (collectively Estate) appeal summary judgment dismissal of their lawsuit against WSU. WSU contends that it </w:t>
      </w:r>
      <w:proofErr w:type="gramStart"/>
      <w:r w:rsidRPr="00151EBE">
        <w:rPr>
          <w:rFonts w:ascii="Times New Roman" w:hAnsi="Times New Roman"/>
          <w:sz w:val="24"/>
          <w:szCs w:val="24"/>
        </w:rPr>
        <w:t>owed</w:t>
      </w:r>
      <w:proofErr w:type="gramEnd"/>
      <w:r w:rsidRPr="00151EBE">
        <w:rPr>
          <w:rFonts w:ascii="Times New Roman" w:hAnsi="Times New Roman"/>
          <w:sz w:val="24"/>
          <w:szCs w:val="24"/>
        </w:rPr>
        <w:t xml:space="preserve"> no duty to protect Sam. Because WSU has a special</w:t>
      </w:r>
    </w:p>
    <w:p w14:paraId="0F8F3827" w14:textId="77777777" w:rsidR="00743B05" w:rsidRPr="00151EBE" w:rsidRDefault="00743B05" w:rsidP="00743B05">
      <w:pPr>
        <w:pStyle w:val="NoSpacing"/>
        <w:ind w:left="720"/>
        <w:rPr>
          <w:rFonts w:ascii="Times New Roman" w:hAnsi="Times New Roman"/>
          <w:bCs/>
          <w:sz w:val="24"/>
          <w:szCs w:val="24"/>
        </w:rPr>
      </w:pPr>
      <w:r w:rsidRPr="00151EBE">
        <w:rPr>
          <w:rFonts w:ascii="Times New Roman" w:hAnsi="Times New Roman"/>
          <w:sz w:val="24"/>
          <w:szCs w:val="24"/>
        </w:rPr>
        <w:t>relationship with its recognized fraternal organizations, we conclude that it owed a duty to use reasonable care to control the fraternity and protect Sam from the foreseeable harms of fraternal hazing and alcohol misuse. We reverse and remand.</w:t>
      </w:r>
    </w:p>
    <w:p w14:paraId="0469F315" w14:textId="77777777" w:rsidR="00743B05" w:rsidRPr="00151EBE" w:rsidRDefault="00743B05" w:rsidP="00743B05">
      <w:pPr>
        <w:rPr>
          <w:rFonts w:ascii="Times New Roman" w:hAnsi="Times New Roman"/>
          <w:bCs/>
          <w:sz w:val="24"/>
          <w:szCs w:val="24"/>
        </w:rPr>
      </w:pPr>
    </w:p>
    <w:p w14:paraId="6F9F27F8" w14:textId="77777777" w:rsidR="00743B05" w:rsidRPr="00151EBE" w:rsidRDefault="00743B05" w:rsidP="00743B05">
      <w:pPr>
        <w:rPr>
          <w:rFonts w:ascii="Times New Roman" w:hAnsi="Times New Roman"/>
          <w:bCs/>
          <w:sz w:val="24"/>
          <w:szCs w:val="24"/>
        </w:rPr>
      </w:pPr>
      <w:r w:rsidRPr="00151EBE">
        <w:rPr>
          <w:rFonts w:ascii="Times New Roman" w:hAnsi="Times New Roman"/>
          <w:sz w:val="24"/>
          <w:szCs w:val="24"/>
        </w:rPr>
        <w:tab/>
        <w:t>***</w:t>
      </w:r>
    </w:p>
    <w:p w14:paraId="47CD4FE7" w14:textId="77777777" w:rsidR="00743B05" w:rsidRPr="00151EBE" w:rsidRDefault="00743B05" w:rsidP="00743B05">
      <w:pPr>
        <w:pStyle w:val="NoSpacing"/>
        <w:ind w:left="720"/>
        <w:rPr>
          <w:rFonts w:ascii="Times New Roman" w:hAnsi="Times New Roman"/>
          <w:bCs/>
          <w:sz w:val="24"/>
          <w:szCs w:val="24"/>
        </w:rPr>
      </w:pPr>
      <w:r w:rsidRPr="00151EBE">
        <w:rPr>
          <w:rFonts w:ascii="Times New Roman" w:hAnsi="Times New Roman"/>
          <w:sz w:val="24"/>
          <w:szCs w:val="24"/>
        </w:rPr>
        <w:t>During the ritual [on Nov. 11, 2019] Sam drank straight from the bottle. After 30 to 45 minutes in the live-out house, the event moved to Gamma Chi’s chapter house, where the drinking continued. Sam ‘tried to shotgun a beer’ and drank ‘clear hard alcohol.’ He began ‘slurring his words’ and ‘lost coordination.’ After seeing Sam ‘getting visibly more intoxicated,’ Oswald ‘cut him off’ around 11:00 p.m., telling Sam, ‘Hey, let’s take a break for a little bit.’ Sam eventually passed out on a couch in Oswald’s room. ‘He was asleep</w:t>
      </w:r>
    </w:p>
    <w:p w14:paraId="2A7F1FAB" w14:textId="77777777" w:rsidR="00743B05" w:rsidRPr="00151EBE" w:rsidRDefault="00743B05" w:rsidP="00743B05">
      <w:pPr>
        <w:pStyle w:val="NoSpacing"/>
        <w:ind w:left="720"/>
        <w:rPr>
          <w:rFonts w:ascii="Times New Roman" w:hAnsi="Times New Roman"/>
          <w:bCs/>
          <w:sz w:val="24"/>
          <w:szCs w:val="24"/>
        </w:rPr>
      </w:pPr>
      <w:r w:rsidRPr="00151EBE">
        <w:rPr>
          <w:rFonts w:ascii="Times New Roman" w:hAnsi="Times New Roman"/>
          <w:sz w:val="24"/>
          <w:szCs w:val="24"/>
        </w:rPr>
        <w:t xml:space="preserve">for a while, woke back up, and was still visibly drunk.’ So, Oswald and another fraternity member carried Sam to the bathroom and tried to force him to vomit for 5 to 10 minutes. Their efforts failed. A few people then helped Oswald move Sam to the </w:t>
      </w:r>
      <w:proofErr w:type="gramStart"/>
      <w:r w:rsidRPr="00151EBE">
        <w:rPr>
          <w:rFonts w:ascii="Times New Roman" w:hAnsi="Times New Roman"/>
          <w:sz w:val="24"/>
          <w:szCs w:val="24"/>
        </w:rPr>
        <w:t>basement, ‘</w:t>
      </w:r>
      <w:proofErr w:type="gramEnd"/>
      <w:r w:rsidRPr="00151EBE">
        <w:rPr>
          <w:rFonts w:ascii="Times New Roman" w:hAnsi="Times New Roman"/>
          <w:sz w:val="24"/>
          <w:szCs w:val="24"/>
        </w:rPr>
        <w:t xml:space="preserve">where a variety of pledges were already asleep.’ They placed Sam on a couch, where he remained ‘for the rest of the night.’ Oswald said he checked on Sam ‘two to three </w:t>
      </w:r>
      <w:proofErr w:type="gramStart"/>
      <w:r w:rsidRPr="00151EBE">
        <w:rPr>
          <w:rFonts w:ascii="Times New Roman" w:hAnsi="Times New Roman"/>
          <w:sz w:val="24"/>
          <w:szCs w:val="24"/>
        </w:rPr>
        <w:t>times’</w:t>
      </w:r>
      <w:proofErr w:type="gramEnd"/>
      <w:r w:rsidRPr="00151EBE">
        <w:rPr>
          <w:rFonts w:ascii="Times New Roman" w:hAnsi="Times New Roman"/>
          <w:sz w:val="24"/>
          <w:szCs w:val="24"/>
        </w:rPr>
        <w:t xml:space="preserve"> before going to bed around 3:00 a.m. on November 12. Hours later at about 9:00 a.m., Gamma Chi member Soreano found Sam face down on the couch with </w:t>
      </w:r>
      <w:proofErr w:type="gramStart"/>
      <w:r w:rsidRPr="00151EBE">
        <w:rPr>
          <w:rFonts w:ascii="Times New Roman" w:hAnsi="Times New Roman"/>
          <w:sz w:val="24"/>
          <w:szCs w:val="24"/>
        </w:rPr>
        <w:t>vomit</w:t>
      </w:r>
      <w:proofErr w:type="gramEnd"/>
      <w:r w:rsidRPr="00151EBE">
        <w:rPr>
          <w:rFonts w:ascii="Times New Roman" w:hAnsi="Times New Roman"/>
          <w:sz w:val="24"/>
          <w:szCs w:val="24"/>
        </w:rPr>
        <w:t xml:space="preserve"> in his mouth and unresponsive. He called 911 and tried to resuscitate Sam. Paramedics arrived but ceased their efforts to resuscitate Sam soon after. The medical examiner determined Sam died from ‘acute ethanol intoxication’ at about 4:30 a.m. on November 12, 2019. His</w:t>
      </w:r>
    </w:p>
    <w:p w14:paraId="69EEB949" w14:textId="77777777" w:rsidR="00743B05" w:rsidRPr="00151EBE" w:rsidRDefault="00743B05" w:rsidP="00743B05">
      <w:pPr>
        <w:pStyle w:val="NoSpacing"/>
        <w:ind w:left="720"/>
        <w:rPr>
          <w:rFonts w:ascii="Times New Roman" w:hAnsi="Times New Roman"/>
          <w:bCs/>
          <w:sz w:val="24"/>
          <w:szCs w:val="24"/>
        </w:rPr>
      </w:pPr>
      <w:r w:rsidRPr="00151EBE">
        <w:rPr>
          <w:rFonts w:ascii="Times New Roman" w:hAnsi="Times New Roman"/>
          <w:sz w:val="24"/>
          <w:szCs w:val="24"/>
        </w:rPr>
        <w:t>femoral blood alcohol concentration measured 0.372. Sam had just turned 19 years old in October.”</w:t>
      </w:r>
    </w:p>
    <w:p w14:paraId="06472161" w14:textId="77777777" w:rsidR="00743B05" w:rsidRPr="00151EBE" w:rsidRDefault="00743B05" w:rsidP="00743B05">
      <w:pPr>
        <w:rPr>
          <w:rFonts w:ascii="Times New Roman" w:hAnsi="Times New Roman"/>
          <w:b/>
          <w:sz w:val="24"/>
          <w:szCs w:val="24"/>
        </w:rPr>
      </w:pPr>
    </w:p>
    <w:p w14:paraId="71D84361" w14:textId="57D37232" w:rsidR="00743B05" w:rsidRPr="00151EBE" w:rsidRDefault="00743B05" w:rsidP="00743B05">
      <w:pPr>
        <w:rPr>
          <w:rFonts w:ascii="Times New Roman" w:hAnsi="Times New Roman"/>
          <w:b/>
          <w:sz w:val="24"/>
          <w:szCs w:val="24"/>
        </w:rPr>
      </w:pPr>
      <w:r w:rsidRPr="00151EBE">
        <w:rPr>
          <w:rFonts w:ascii="Times New Roman" w:hAnsi="Times New Roman"/>
          <w:b/>
          <w:sz w:val="24"/>
          <w:szCs w:val="24"/>
        </w:rPr>
        <w:t>Legal Lesson Learned: Fire &amp; EMS responders are all too familiar with deaths by students in fraternities and elsewhere from acute ethanol intoxication.</w:t>
      </w:r>
      <w:r w:rsidR="00151EBE">
        <w:rPr>
          <w:rFonts w:ascii="Times New Roman" w:hAnsi="Times New Roman"/>
          <w:b/>
          <w:sz w:val="24"/>
          <w:szCs w:val="24"/>
        </w:rPr>
        <w:t xml:space="preserve"> Perhaps this decision will “get the attention” of </w:t>
      </w:r>
      <w:proofErr w:type="gramStart"/>
      <w:r w:rsidR="00CC049C">
        <w:rPr>
          <w:rFonts w:ascii="Times New Roman" w:hAnsi="Times New Roman"/>
          <w:b/>
          <w:sz w:val="24"/>
          <w:szCs w:val="24"/>
        </w:rPr>
        <w:t>University</w:t>
      </w:r>
      <w:proofErr w:type="gramEnd"/>
      <w:r w:rsidR="00CC049C">
        <w:rPr>
          <w:rFonts w:ascii="Times New Roman" w:hAnsi="Times New Roman"/>
          <w:b/>
          <w:sz w:val="24"/>
          <w:szCs w:val="24"/>
        </w:rPr>
        <w:t xml:space="preserve"> officials who </w:t>
      </w:r>
      <w:r w:rsidR="00896888">
        <w:rPr>
          <w:rFonts w:ascii="Times New Roman" w:hAnsi="Times New Roman"/>
          <w:b/>
          <w:sz w:val="24"/>
          <w:szCs w:val="24"/>
        </w:rPr>
        <w:t xml:space="preserve">have responsibilities </w:t>
      </w:r>
      <w:r w:rsidR="00275738">
        <w:rPr>
          <w:rFonts w:ascii="Times New Roman" w:hAnsi="Times New Roman"/>
          <w:b/>
          <w:sz w:val="24"/>
          <w:szCs w:val="24"/>
        </w:rPr>
        <w:t xml:space="preserve">concerning </w:t>
      </w:r>
      <w:r w:rsidR="00CC049C">
        <w:rPr>
          <w:rFonts w:ascii="Times New Roman" w:hAnsi="Times New Roman"/>
          <w:b/>
          <w:sz w:val="24"/>
          <w:szCs w:val="24"/>
        </w:rPr>
        <w:t xml:space="preserve">fraternities. </w:t>
      </w:r>
    </w:p>
    <w:p w14:paraId="61ECE281" w14:textId="77777777" w:rsidR="00743B05" w:rsidRDefault="00743B05" w:rsidP="00F326E5">
      <w:pPr>
        <w:rPr>
          <w:rFonts w:ascii="Arial Black" w:hAnsi="Arial Black"/>
          <w:b/>
          <w:sz w:val="24"/>
          <w:szCs w:val="24"/>
        </w:rPr>
      </w:pPr>
    </w:p>
    <w:p w14:paraId="56C1FBB0" w14:textId="7C074363" w:rsidR="00BF78AE" w:rsidRDefault="00BF78AE" w:rsidP="00F326E5">
      <w:pPr>
        <w:rPr>
          <w:rFonts w:ascii="Arial Black" w:hAnsi="Arial Black"/>
          <w:b/>
          <w:sz w:val="24"/>
          <w:szCs w:val="24"/>
        </w:rPr>
      </w:pPr>
      <w:r>
        <w:rPr>
          <w:rFonts w:ascii="Arial Black" w:hAnsi="Arial Black"/>
          <w:b/>
          <w:sz w:val="24"/>
          <w:szCs w:val="24"/>
        </w:rPr>
        <w:t>12-28</w:t>
      </w:r>
    </w:p>
    <w:p w14:paraId="3C188998" w14:textId="77777777" w:rsidR="00BF78AE" w:rsidRPr="00E17720" w:rsidRDefault="00BF78AE" w:rsidP="00BF78AE">
      <w:pPr>
        <w:pStyle w:val="NoSpacing"/>
        <w:rPr>
          <w:rFonts w:ascii="Arial Black" w:hAnsi="Arial Black"/>
          <w:b/>
          <w:sz w:val="28"/>
          <w:szCs w:val="28"/>
        </w:rPr>
      </w:pPr>
      <w:r>
        <w:rPr>
          <w:rFonts w:ascii="Arial Black" w:hAnsi="Arial Black"/>
          <w:b/>
          <w:sz w:val="28"/>
          <w:szCs w:val="28"/>
        </w:rPr>
        <w:t>MT: NEW RANDOM POLICY – MUST BARGAIN</w:t>
      </w:r>
    </w:p>
    <w:p w14:paraId="14635188" w14:textId="77777777" w:rsidR="00BF78AE" w:rsidRDefault="00BF78AE" w:rsidP="00BF78AE">
      <w:pPr>
        <w:pStyle w:val="NoSpacing"/>
        <w:rPr>
          <w:b/>
        </w:rPr>
      </w:pPr>
      <w:r>
        <w:rPr>
          <w:b/>
        </w:rPr>
        <w:t xml:space="preserve"> </w:t>
      </w:r>
    </w:p>
    <w:p w14:paraId="470B9448" w14:textId="0927FC7E" w:rsidR="0026092A" w:rsidRPr="0026092A" w:rsidRDefault="0026092A" w:rsidP="00BF78AE">
      <w:pPr>
        <w:pStyle w:val="NoSpacing"/>
        <w:rPr>
          <w:rFonts w:ascii="Times New Roman" w:hAnsi="Times New Roman"/>
          <w:sz w:val="24"/>
          <w:szCs w:val="24"/>
        </w:rPr>
      </w:pPr>
      <w:r w:rsidRPr="0026092A">
        <w:rPr>
          <w:rFonts w:ascii="Times New Roman" w:hAnsi="Times New Roman"/>
          <w:sz w:val="24"/>
          <w:szCs w:val="24"/>
        </w:rPr>
        <w:t xml:space="preserve">On Dec. 10, 2024, in </w:t>
      </w:r>
      <w:r w:rsidRPr="0026092A">
        <w:rPr>
          <w:rFonts w:ascii="Times New Roman" w:hAnsi="Times New Roman"/>
          <w:sz w:val="24"/>
          <w:szCs w:val="24"/>
          <w:u w:val="single"/>
        </w:rPr>
        <w:t xml:space="preserve">City of Great Falls v. Int'l </w:t>
      </w:r>
      <w:proofErr w:type="spellStart"/>
      <w:r w:rsidRPr="0026092A">
        <w:rPr>
          <w:rFonts w:ascii="Times New Roman" w:hAnsi="Times New Roman"/>
          <w:sz w:val="24"/>
          <w:szCs w:val="24"/>
          <w:u w:val="single"/>
        </w:rPr>
        <w:t>Ass'n</w:t>
      </w:r>
      <w:proofErr w:type="spellEnd"/>
      <w:r w:rsidRPr="0026092A">
        <w:rPr>
          <w:rFonts w:ascii="Times New Roman" w:hAnsi="Times New Roman"/>
          <w:sz w:val="24"/>
          <w:szCs w:val="24"/>
          <w:u w:val="single"/>
        </w:rPr>
        <w:t xml:space="preserve"> of Fire Fighters, Local #8</w:t>
      </w:r>
      <w:r w:rsidRPr="0026092A">
        <w:rPr>
          <w:rFonts w:ascii="Times New Roman" w:hAnsi="Times New Roman"/>
          <w:sz w:val="24"/>
          <w:szCs w:val="24"/>
        </w:rPr>
        <w:t xml:space="preserve">, the Supreme Court of Montana held (5 to 0) that the city failed to collectively bargain the new policy and failed to exhaust its administrative remedies. The pre-2019 collectively bargained random drug testing policy applied only to employees with CDLs [commercial driver licenses] and specific “safety-sensitive positions.”   The new policy included all city drivers of city vehicles, including firefighters. Multiple city unions filed unfair labor practice charges with the Montana Board of Personnel Appeals (MBPA), and on October 22, </w:t>
      </w:r>
      <w:proofErr w:type="gramStart"/>
      <w:r w:rsidRPr="0026092A">
        <w:rPr>
          <w:rFonts w:ascii="Times New Roman" w:hAnsi="Times New Roman"/>
          <w:sz w:val="24"/>
          <w:szCs w:val="24"/>
        </w:rPr>
        <w:t>2020</w:t>
      </w:r>
      <w:proofErr w:type="gramEnd"/>
      <w:r w:rsidRPr="0026092A">
        <w:rPr>
          <w:rFonts w:ascii="Times New Roman" w:hAnsi="Times New Roman"/>
          <w:sz w:val="24"/>
          <w:szCs w:val="24"/>
        </w:rPr>
        <w:t xml:space="preserve"> the hearing officer found for the unions. The city did not appeal to the MBPA, but instead on November 20, 2020, petitioned for district court judicial review. The District Court judge denied the petition since the city failed to exhaust administrative rights. </w:t>
      </w:r>
      <w:hyperlink r:id="rId1892" w:history="1">
        <w:r w:rsidRPr="0026092A">
          <w:rPr>
            <w:rStyle w:val="Hyperlink"/>
            <w:rFonts w:ascii="Times New Roman" w:hAnsi="Times New Roman"/>
            <w:sz w:val="24"/>
            <w:szCs w:val="24"/>
          </w:rPr>
          <w:t>https://casetext.com/case/city-of-great-falls-v-intl-assn-of-fire-fighters-loca</w:t>
        </w:r>
      </w:hyperlink>
    </w:p>
    <w:p w14:paraId="37F1554E" w14:textId="77777777" w:rsidR="0026092A" w:rsidRPr="0026092A" w:rsidRDefault="0026092A" w:rsidP="00BF78AE">
      <w:pPr>
        <w:pStyle w:val="NoSpacing"/>
        <w:rPr>
          <w:rFonts w:ascii="Times New Roman" w:hAnsi="Times New Roman"/>
          <w:sz w:val="24"/>
          <w:szCs w:val="24"/>
        </w:rPr>
      </w:pPr>
    </w:p>
    <w:p w14:paraId="413B828E" w14:textId="014F1AB3" w:rsidR="00BF78AE" w:rsidRPr="005A220C" w:rsidRDefault="00BF78AE" w:rsidP="00BF78AE">
      <w:pPr>
        <w:pStyle w:val="NoSpacing"/>
        <w:rPr>
          <w:rFonts w:ascii="Times New Roman" w:hAnsi="Times New Roman"/>
          <w:sz w:val="24"/>
          <w:szCs w:val="24"/>
        </w:rPr>
      </w:pPr>
      <w:r w:rsidRPr="005A220C">
        <w:rPr>
          <w:rFonts w:ascii="Times New Roman" w:hAnsi="Times New Roman"/>
          <w:sz w:val="24"/>
          <w:szCs w:val="24"/>
        </w:rPr>
        <w:t xml:space="preserve">The </w:t>
      </w:r>
      <w:r w:rsidR="0026092A">
        <w:rPr>
          <w:rFonts w:ascii="Times New Roman" w:hAnsi="Times New Roman"/>
          <w:sz w:val="24"/>
          <w:szCs w:val="24"/>
        </w:rPr>
        <w:t xml:space="preserve">MT </w:t>
      </w:r>
      <w:r w:rsidRPr="005A220C">
        <w:rPr>
          <w:rFonts w:ascii="Times New Roman" w:hAnsi="Times New Roman"/>
          <w:sz w:val="24"/>
          <w:szCs w:val="24"/>
        </w:rPr>
        <w:t>Supreme Court wrote:</w:t>
      </w:r>
    </w:p>
    <w:p w14:paraId="230C6B9D" w14:textId="77777777" w:rsidR="00BF78AE" w:rsidRPr="005A220C" w:rsidRDefault="00BF78AE" w:rsidP="00BF78AE">
      <w:pPr>
        <w:pStyle w:val="NoSpacing"/>
        <w:rPr>
          <w:rFonts w:ascii="Times New Roman" w:hAnsi="Times New Roman"/>
          <w:sz w:val="24"/>
          <w:szCs w:val="24"/>
        </w:rPr>
      </w:pPr>
    </w:p>
    <w:p w14:paraId="2E891A56" w14:textId="77777777" w:rsidR="00BF78AE" w:rsidRPr="005A220C" w:rsidRDefault="00BF78AE" w:rsidP="00BF78AE">
      <w:pPr>
        <w:pStyle w:val="NoSpacing"/>
        <w:ind w:left="720"/>
        <w:rPr>
          <w:rFonts w:ascii="Times New Roman" w:hAnsi="Times New Roman"/>
          <w:sz w:val="24"/>
          <w:szCs w:val="24"/>
        </w:rPr>
      </w:pPr>
      <w:r w:rsidRPr="005A220C">
        <w:rPr>
          <w:rFonts w:ascii="Times New Roman" w:hAnsi="Times New Roman"/>
          <w:sz w:val="24"/>
          <w:szCs w:val="24"/>
        </w:rPr>
        <w:t xml:space="preserve">“We must thus consider whether the District Court correctly concluded that the October 2020 hearing examiner's decision and order was not eligible for judicial review under </w:t>
      </w:r>
      <w:hyperlink r:id="rId1893" w:history="1">
        <w:r w:rsidRPr="005A220C">
          <w:rPr>
            <w:rStyle w:val="Hyperlink"/>
            <w:rFonts w:ascii="Times New Roman" w:hAnsi="Times New Roman"/>
            <w:sz w:val="24"/>
            <w:szCs w:val="24"/>
          </w:rPr>
          <w:t>§ 2-4-702(1)(a), MCA</w:t>
        </w:r>
      </w:hyperlink>
      <w:r w:rsidRPr="005A220C">
        <w:rPr>
          <w:rFonts w:ascii="Times New Roman" w:hAnsi="Times New Roman"/>
          <w:sz w:val="24"/>
          <w:szCs w:val="24"/>
        </w:rPr>
        <w:t xml:space="preserve">, due to the City's failure to exhaust the administrative ‘exceptions’ and final agency review remedy provided by </w:t>
      </w:r>
      <w:hyperlink r:id="rId1894" w:history="1">
        <w:r w:rsidRPr="005A220C">
          <w:rPr>
            <w:rStyle w:val="Hyperlink"/>
            <w:rFonts w:ascii="Times New Roman" w:hAnsi="Times New Roman"/>
            <w:sz w:val="24"/>
            <w:szCs w:val="24"/>
          </w:rPr>
          <w:t>§§ 39-31-406(6)</w:t>
        </w:r>
      </w:hyperlink>
      <w:r w:rsidRPr="005A220C">
        <w:rPr>
          <w:rFonts w:ascii="Times New Roman" w:hAnsi="Times New Roman"/>
          <w:sz w:val="24"/>
          <w:szCs w:val="24"/>
        </w:rPr>
        <w:t xml:space="preserve">, </w:t>
      </w:r>
      <w:hyperlink r:id="rId1895" w:history="1">
        <w:r w:rsidRPr="005A220C">
          <w:rPr>
            <w:rStyle w:val="Hyperlink"/>
            <w:rFonts w:ascii="Times New Roman" w:hAnsi="Times New Roman"/>
            <w:sz w:val="24"/>
            <w:szCs w:val="24"/>
          </w:rPr>
          <w:t>2-4-621(1)</w:t>
        </w:r>
      </w:hyperlink>
      <w:r w:rsidRPr="005A220C">
        <w:rPr>
          <w:rFonts w:ascii="Times New Roman" w:hAnsi="Times New Roman"/>
          <w:sz w:val="24"/>
          <w:szCs w:val="24"/>
        </w:rPr>
        <w:t xml:space="preserve">-(3), and -623(1)(a), MCA. *** We hold that the District Court correctly concluded that the hearing examiner's October 2020 proposed agency/MBPA decision and order was not eligible for judicial review as a preliminary order under </w:t>
      </w:r>
      <w:hyperlink r:id="rId1896" w:history="1">
        <w:r w:rsidRPr="005A220C">
          <w:rPr>
            <w:rStyle w:val="Hyperlink"/>
            <w:rFonts w:ascii="Times New Roman" w:hAnsi="Times New Roman"/>
            <w:sz w:val="24"/>
            <w:szCs w:val="24"/>
          </w:rPr>
          <w:t>§ 2-4-701, MCA.</w:t>
        </w:r>
      </w:hyperlink>
      <w:r w:rsidRPr="005A220C">
        <w:rPr>
          <w:rFonts w:ascii="Times New Roman" w:hAnsi="Times New Roman"/>
          <w:sz w:val="24"/>
          <w:szCs w:val="24"/>
        </w:rPr>
        <w:t xml:space="preserve"> We hold further that the District Court also correctly concluded that the resulting October 2020 final agency/MBPA decision and order was not eligible for judicial review under </w:t>
      </w:r>
      <w:hyperlink r:id="rId1897" w:history="1">
        <w:r w:rsidRPr="005A220C">
          <w:rPr>
            <w:rStyle w:val="Hyperlink"/>
            <w:rFonts w:ascii="Times New Roman" w:hAnsi="Times New Roman"/>
            <w:sz w:val="24"/>
            <w:szCs w:val="24"/>
          </w:rPr>
          <w:t>§ 2-4-702(1)(a), MCA</w:t>
        </w:r>
      </w:hyperlink>
      <w:r w:rsidRPr="005A220C">
        <w:rPr>
          <w:rFonts w:ascii="Times New Roman" w:hAnsi="Times New Roman"/>
          <w:sz w:val="24"/>
          <w:szCs w:val="24"/>
        </w:rPr>
        <w:t xml:space="preserve">, due to the City's failure to exhaust the ‘exceptions’ and final agency review remedy available under </w:t>
      </w:r>
      <w:hyperlink r:id="rId1898" w:history="1">
        <w:r w:rsidRPr="005A220C">
          <w:rPr>
            <w:rStyle w:val="Hyperlink"/>
            <w:rFonts w:ascii="Times New Roman" w:hAnsi="Times New Roman"/>
            <w:sz w:val="24"/>
            <w:szCs w:val="24"/>
          </w:rPr>
          <w:t>§§ 39-31-406(6)</w:t>
        </w:r>
      </w:hyperlink>
      <w:r w:rsidRPr="005A220C">
        <w:rPr>
          <w:rFonts w:ascii="Times New Roman" w:hAnsi="Times New Roman"/>
          <w:sz w:val="24"/>
          <w:szCs w:val="24"/>
        </w:rPr>
        <w:t xml:space="preserve">, </w:t>
      </w:r>
      <w:hyperlink r:id="rId1899" w:history="1">
        <w:r w:rsidRPr="005A220C">
          <w:rPr>
            <w:rStyle w:val="Hyperlink"/>
            <w:rFonts w:ascii="Times New Roman" w:hAnsi="Times New Roman"/>
            <w:sz w:val="24"/>
            <w:szCs w:val="24"/>
          </w:rPr>
          <w:t>2-4-621(1)</w:t>
        </w:r>
      </w:hyperlink>
      <w:r w:rsidRPr="005A220C">
        <w:rPr>
          <w:rFonts w:ascii="Times New Roman" w:hAnsi="Times New Roman"/>
          <w:sz w:val="24"/>
          <w:szCs w:val="24"/>
        </w:rPr>
        <w:t>-(3), and -623(1)(a), MCA. The District Court's 2022 order and judgment denying the City's petition for judicial review of the October 2020 MBPA hearing examiner decision and order is therefore AFFIRMED.”</w:t>
      </w:r>
    </w:p>
    <w:p w14:paraId="6C12D886" w14:textId="0D77E60D" w:rsidR="00BF78AE" w:rsidRDefault="00BF78AE" w:rsidP="0026092A">
      <w:pPr>
        <w:pStyle w:val="NoSpacing"/>
        <w:ind w:left="720"/>
      </w:pPr>
      <w:r w:rsidRPr="005A220C">
        <w:rPr>
          <w:rFonts w:ascii="Times New Roman" w:hAnsi="Times New Roman"/>
          <w:sz w:val="24"/>
          <w:szCs w:val="24"/>
        </w:rPr>
        <w:t xml:space="preserve"> </w:t>
      </w:r>
    </w:p>
    <w:p w14:paraId="5A0B81C0" w14:textId="77777777" w:rsidR="003923C6" w:rsidRPr="003923C6" w:rsidRDefault="003923C6" w:rsidP="003923C6">
      <w:pPr>
        <w:pStyle w:val="NoSpacing"/>
        <w:rPr>
          <w:rFonts w:ascii="Times New Roman" w:hAnsi="Times New Roman"/>
          <w:bCs/>
          <w:sz w:val="24"/>
          <w:szCs w:val="24"/>
        </w:rPr>
      </w:pPr>
      <w:r w:rsidRPr="003923C6">
        <w:rPr>
          <w:rFonts w:ascii="Times New Roman" w:hAnsi="Times New Roman"/>
          <w:sz w:val="24"/>
          <w:szCs w:val="24"/>
        </w:rPr>
        <w:t>HOLDING:</w:t>
      </w:r>
    </w:p>
    <w:p w14:paraId="067D8DC0" w14:textId="77777777" w:rsidR="003923C6" w:rsidRPr="003923C6" w:rsidRDefault="003923C6" w:rsidP="003923C6">
      <w:pPr>
        <w:pStyle w:val="NoSpacing"/>
        <w:rPr>
          <w:rFonts w:ascii="Times New Roman" w:hAnsi="Times New Roman"/>
          <w:bCs/>
          <w:sz w:val="24"/>
          <w:szCs w:val="24"/>
        </w:rPr>
      </w:pPr>
    </w:p>
    <w:p w14:paraId="19B3C0EA" w14:textId="77777777" w:rsidR="003923C6" w:rsidRPr="003923C6" w:rsidRDefault="003923C6" w:rsidP="003923C6">
      <w:pPr>
        <w:pStyle w:val="NoSpacing"/>
        <w:ind w:left="720"/>
        <w:rPr>
          <w:rFonts w:ascii="Times New Roman" w:hAnsi="Times New Roman"/>
          <w:bCs/>
          <w:sz w:val="24"/>
          <w:szCs w:val="24"/>
        </w:rPr>
      </w:pPr>
      <w:r w:rsidRPr="003923C6">
        <w:rPr>
          <w:rFonts w:ascii="Times New Roman" w:hAnsi="Times New Roman"/>
          <w:sz w:val="24"/>
          <w:szCs w:val="24"/>
        </w:rPr>
        <w:t xml:space="preserve">“We hold that the District Court correctly concluded that the hearing examiner's October 2020 proposed agency/MBPA decision and order was not eligible for judicial review as a preliminary order under </w:t>
      </w:r>
      <w:hyperlink r:id="rId1900" w:history="1">
        <w:r w:rsidRPr="003923C6">
          <w:rPr>
            <w:rStyle w:val="Hyperlink"/>
            <w:rFonts w:ascii="Times New Roman" w:hAnsi="Times New Roman"/>
            <w:sz w:val="24"/>
            <w:szCs w:val="24"/>
          </w:rPr>
          <w:t>§ 2-4-701, MCA.</w:t>
        </w:r>
      </w:hyperlink>
      <w:r w:rsidRPr="003923C6">
        <w:rPr>
          <w:rFonts w:ascii="Times New Roman" w:hAnsi="Times New Roman"/>
          <w:sz w:val="24"/>
          <w:szCs w:val="24"/>
        </w:rPr>
        <w:t>”</w:t>
      </w:r>
    </w:p>
    <w:p w14:paraId="1FFC9366" w14:textId="77777777" w:rsidR="003923C6" w:rsidRPr="003923C6" w:rsidRDefault="003923C6" w:rsidP="003923C6">
      <w:pPr>
        <w:pStyle w:val="NoSpacing"/>
        <w:ind w:left="720"/>
        <w:rPr>
          <w:rFonts w:ascii="Times New Roman" w:hAnsi="Times New Roman"/>
          <w:bCs/>
          <w:sz w:val="24"/>
          <w:szCs w:val="24"/>
        </w:rPr>
      </w:pPr>
    </w:p>
    <w:p w14:paraId="37AF60FC" w14:textId="77777777" w:rsidR="003923C6" w:rsidRPr="003923C6" w:rsidRDefault="003923C6" w:rsidP="003923C6">
      <w:pPr>
        <w:pStyle w:val="NoSpacing"/>
        <w:rPr>
          <w:rFonts w:ascii="Times New Roman" w:hAnsi="Times New Roman"/>
          <w:b/>
          <w:sz w:val="24"/>
          <w:szCs w:val="24"/>
        </w:rPr>
      </w:pPr>
      <w:r w:rsidRPr="003923C6">
        <w:rPr>
          <w:rFonts w:ascii="Times New Roman" w:hAnsi="Times New Roman"/>
          <w:b/>
          <w:sz w:val="24"/>
          <w:szCs w:val="24"/>
        </w:rPr>
        <w:t xml:space="preserve">Legal Lesson Learned:  A collectively bargained random drug testing policy can be modified through additional collective bargaining. </w:t>
      </w:r>
    </w:p>
    <w:p w14:paraId="188186AE" w14:textId="77777777" w:rsidR="00BF78AE" w:rsidRDefault="00BF78AE" w:rsidP="00F326E5">
      <w:pPr>
        <w:rPr>
          <w:rFonts w:ascii="Arial Black" w:hAnsi="Arial Black"/>
          <w:b/>
          <w:sz w:val="24"/>
          <w:szCs w:val="24"/>
        </w:rPr>
      </w:pPr>
    </w:p>
    <w:p w14:paraId="63CE13DA" w14:textId="77777777" w:rsidR="00BF78AE" w:rsidRDefault="00BF78AE" w:rsidP="00F326E5">
      <w:pPr>
        <w:rPr>
          <w:rFonts w:ascii="Arial Black" w:hAnsi="Arial Black"/>
          <w:b/>
          <w:sz w:val="24"/>
          <w:szCs w:val="24"/>
        </w:rPr>
      </w:pPr>
    </w:p>
    <w:p w14:paraId="6D4882FD" w14:textId="77777777" w:rsidR="00BF78AE" w:rsidRDefault="00BF78AE" w:rsidP="00F326E5">
      <w:pPr>
        <w:rPr>
          <w:rFonts w:ascii="Arial Black" w:hAnsi="Arial Black"/>
          <w:b/>
          <w:sz w:val="24"/>
          <w:szCs w:val="24"/>
        </w:rPr>
      </w:pPr>
    </w:p>
    <w:p w14:paraId="0F8553BF" w14:textId="73DC80DD" w:rsidR="00081AD1" w:rsidRDefault="00081AD1" w:rsidP="00F326E5">
      <w:pPr>
        <w:rPr>
          <w:rFonts w:ascii="Arial Black" w:hAnsi="Arial Black"/>
          <w:b/>
          <w:sz w:val="24"/>
          <w:szCs w:val="24"/>
        </w:rPr>
      </w:pPr>
      <w:r>
        <w:rPr>
          <w:rFonts w:ascii="Arial Black" w:hAnsi="Arial Black"/>
          <w:b/>
          <w:sz w:val="24"/>
          <w:szCs w:val="24"/>
        </w:rPr>
        <w:t>12-27</w:t>
      </w:r>
    </w:p>
    <w:p w14:paraId="49253D6F" w14:textId="77777777" w:rsidR="003378B6" w:rsidRPr="00340F44" w:rsidRDefault="003378B6" w:rsidP="003378B6">
      <w:pPr>
        <w:rPr>
          <w:rFonts w:ascii="Arial Black" w:hAnsi="Arial Black"/>
          <w:b/>
          <w:bCs/>
          <w:sz w:val="28"/>
        </w:rPr>
      </w:pPr>
      <w:r>
        <w:rPr>
          <w:rFonts w:ascii="Arial Black" w:hAnsi="Arial Black"/>
          <w:b/>
          <w:bCs/>
          <w:sz w:val="28"/>
        </w:rPr>
        <w:t>IN: FF DRUG TEST - MARIJUANA – ADMIN. INVEST. STOPPED, MIGHT NOT HAVE USED – CANNOT SUE CITY</w:t>
      </w:r>
    </w:p>
    <w:p w14:paraId="34B2A16B" w14:textId="77777777" w:rsidR="003378B6" w:rsidRPr="003378B6" w:rsidRDefault="003378B6" w:rsidP="003378B6">
      <w:pPr>
        <w:rPr>
          <w:rFonts w:ascii="Times New Roman" w:hAnsi="Times New Roman"/>
          <w:sz w:val="24"/>
          <w:szCs w:val="24"/>
        </w:rPr>
      </w:pPr>
      <w:r w:rsidRPr="003378B6">
        <w:rPr>
          <w:rFonts w:ascii="Times New Roman" w:hAnsi="Times New Roman"/>
          <w:sz w:val="24"/>
          <w:szCs w:val="24"/>
        </w:rPr>
        <w:t xml:space="preserve">On Aug. 8, 2024, in </w:t>
      </w:r>
      <w:r w:rsidRPr="003378B6">
        <w:rPr>
          <w:rFonts w:ascii="Times New Roman" w:hAnsi="Times New Roman"/>
          <w:sz w:val="24"/>
          <w:szCs w:val="24"/>
          <w:u w:val="single"/>
        </w:rPr>
        <w:t xml:space="preserve">Paul Russell v. John Doe, M.D., John Doe Hospital, John Doe Retracted Network, Inc. d/b/a John Doe Redacted Health, Omega Laboratories Inc., and City of East Chicago, </w:t>
      </w:r>
      <w:r w:rsidRPr="003378B6">
        <w:rPr>
          <w:rFonts w:ascii="Times New Roman" w:hAnsi="Times New Roman"/>
          <w:sz w:val="24"/>
          <w:szCs w:val="24"/>
        </w:rPr>
        <w:t xml:space="preserve">the Court of Appeals of Indiana held (3 to 0) that trial court properly dismissed his complaint against the City of East Chicago. The Court wrote: “In his complaint, Russell made clear that he was ‘not alleging that [the City] wrongly or negligently initiated an administrative process’ but that ‘there came a point in [that] administrative process when [the City] knew or had reason to know that [Russell] had not ingested marijuana.’ Appellant's App. Vol. 2, p. 40; </w:t>
      </w:r>
      <w:r w:rsidRPr="003378B6">
        <w:rPr>
          <w:rFonts w:ascii="Times New Roman" w:hAnsi="Times New Roman"/>
          <w:i/>
          <w:iCs/>
          <w:sz w:val="24"/>
          <w:szCs w:val="24"/>
        </w:rPr>
        <w:t>see also</w:t>
      </w:r>
      <w:r w:rsidRPr="003378B6">
        <w:rPr>
          <w:rFonts w:ascii="Times New Roman" w:hAnsi="Times New Roman"/>
          <w:sz w:val="24"/>
          <w:szCs w:val="24"/>
        </w:rPr>
        <w:t xml:space="preserve"> Appellant's Br. at 45. Russell thus alleged that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had caused him monetary harm by continuing with the administrative process after having received the conflicting evidence. *** Indiana Code section 34-13-3-3(a)(6) provides that a governmental entity "is not liable if a loss </w:t>
      </w:r>
      <w:r w:rsidRPr="003378B6">
        <w:rPr>
          <w:rFonts w:ascii="Times New Roman" w:hAnsi="Times New Roman"/>
          <w:i/>
          <w:iCs/>
          <w:sz w:val="24"/>
          <w:szCs w:val="24"/>
        </w:rPr>
        <w:t>results from</w:t>
      </w:r>
      <w:r w:rsidRPr="003378B6">
        <w:rPr>
          <w:rFonts w:ascii="Times New Roman" w:hAnsi="Times New Roman"/>
          <w:sz w:val="24"/>
          <w:szCs w:val="24"/>
        </w:rPr>
        <w:t xml:space="preserve"> . . . [t]</w:t>
      </w:r>
      <w:proofErr w:type="gramStart"/>
      <w:r w:rsidRPr="003378B6">
        <w:rPr>
          <w:rFonts w:ascii="Times New Roman" w:hAnsi="Times New Roman"/>
          <w:sz w:val="24"/>
          <w:szCs w:val="24"/>
        </w:rPr>
        <w:t>he</w:t>
      </w:r>
      <w:proofErr w:type="gramEnd"/>
      <w:r w:rsidRPr="003378B6">
        <w:rPr>
          <w:rFonts w:ascii="Times New Roman" w:hAnsi="Times New Roman"/>
          <w:sz w:val="24"/>
          <w:szCs w:val="24"/>
        </w:rPr>
        <w:t xml:space="preserve"> initiation of a judicial or an administrative proceeding." (Emphasis added.) We think that language is clear: a governmental entity is not liable for any loss that arises from the initiation of an administrative proceeding or "results from" the initiation of that proceeding. A loss plainly "results from" the initiation of a proceeding if it occurred </w:t>
      </w:r>
      <w:r w:rsidRPr="003378B6">
        <w:rPr>
          <w:rFonts w:ascii="Times New Roman" w:hAnsi="Times New Roman"/>
          <w:i/>
          <w:iCs/>
          <w:sz w:val="24"/>
          <w:szCs w:val="24"/>
        </w:rPr>
        <w:t>during</w:t>
      </w:r>
      <w:r w:rsidRPr="003378B6">
        <w:rPr>
          <w:rFonts w:ascii="Times New Roman" w:hAnsi="Times New Roman"/>
          <w:sz w:val="24"/>
          <w:szCs w:val="24"/>
        </w:rPr>
        <w:t xml:space="preserve"> the proceeding and </w:t>
      </w:r>
      <w:r w:rsidRPr="003378B6">
        <w:rPr>
          <w:rFonts w:ascii="Times New Roman" w:hAnsi="Times New Roman"/>
          <w:i/>
          <w:iCs/>
          <w:sz w:val="24"/>
          <w:szCs w:val="24"/>
        </w:rPr>
        <w:t>after</w:t>
      </w:r>
      <w:r w:rsidRPr="003378B6">
        <w:rPr>
          <w:rFonts w:ascii="Times New Roman" w:hAnsi="Times New Roman"/>
          <w:sz w:val="24"/>
          <w:szCs w:val="24"/>
        </w:rPr>
        <w:t xml:space="preserve"> its initiation.” </w:t>
      </w:r>
      <w:hyperlink r:id="rId1901" w:history="1">
        <w:r w:rsidRPr="003378B6">
          <w:rPr>
            <w:rStyle w:val="Hyperlink"/>
            <w:rFonts w:ascii="Times New Roman" w:hAnsi="Times New Roman"/>
            <w:sz w:val="24"/>
            <w:szCs w:val="24"/>
          </w:rPr>
          <w:t>https://caselaw.findlaw.com/court/in-court-of-appeals/116468399.html</w:t>
        </w:r>
      </w:hyperlink>
      <w:r w:rsidRPr="003378B6">
        <w:rPr>
          <w:rFonts w:ascii="Times New Roman" w:hAnsi="Times New Roman"/>
          <w:sz w:val="24"/>
          <w:szCs w:val="24"/>
        </w:rPr>
        <w:t xml:space="preserve"> </w:t>
      </w:r>
    </w:p>
    <w:p w14:paraId="43E75465" w14:textId="77777777" w:rsidR="003378B6" w:rsidRPr="003378B6" w:rsidRDefault="003378B6" w:rsidP="003378B6">
      <w:pPr>
        <w:rPr>
          <w:rFonts w:ascii="Times New Roman" w:hAnsi="Times New Roman"/>
          <w:sz w:val="24"/>
          <w:szCs w:val="24"/>
        </w:rPr>
      </w:pPr>
      <w:r w:rsidRPr="003378B6">
        <w:rPr>
          <w:rFonts w:ascii="Times New Roman" w:hAnsi="Times New Roman"/>
          <w:sz w:val="24"/>
          <w:szCs w:val="24"/>
        </w:rPr>
        <w:t>THE COURT HELD:</w:t>
      </w:r>
    </w:p>
    <w:p w14:paraId="1C9D8E52" w14:textId="77777777" w:rsidR="003378B6" w:rsidRPr="003378B6" w:rsidRDefault="003378B6" w:rsidP="003378B6">
      <w:pPr>
        <w:ind w:left="720"/>
        <w:rPr>
          <w:rFonts w:ascii="Times New Roman" w:hAnsi="Times New Roman"/>
          <w:sz w:val="24"/>
          <w:szCs w:val="24"/>
        </w:rPr>
      </w:pPr>
      <w:r w:rsidRPr="003378B6">
        <w:rPr>
          <w:rFonts w:ascii="Times New Roman" w:hAnsi="Times New Roman"/>
          <w:sz w:val="24"/>
          <w:szCs w:val="24"/>
        </w:rPr>
        <w:t xml:space="preserve">“Russell's claims against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are expressly premised on information obtained by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after it had initiated the administrative proceedings against him and while those administrative proceedings were ongoing. Russell's claims against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therefore seek to hold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liable for losses that ‘result from’ the City's initiation of the administrative proceedings against Russell.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 xml:space="preserve"> is therefore immune from Russell's claims, and the trial court properly dismissed them. </w:t>
      </w:r>
    </w:p>
    <w:p w14:paraId="63699B48" w14:textId="77777777" w:rsidR="003378B6" w:rsidRPr="003378B6" w:rsidRDefault="003378B6" w:rsidP="003378B6">
      <w:pPr>
        <w:ind w:left="720"/>
        <w:rPr>
          <w:rFonts w:ascii="Times New Roman" w:hAnsi="Times New Roman"/>
          <w:sz w:val="24"/>
          <w:szCs w:val="24"/>
        </w:rPr>
      </w:pPr>
      <w:r w:rsidRPr="003378B6">
        <w:rPr>
          <w:rFonts w:ascii="Times New Roman" w:hAnsi="Times New Roman"/>
          <w:sz w:val="24"/>
          <w:szCs w:val="24"/>
        </w:rPr>
        <w:t>Still, Russell asserts that, insofar as his claims against the City are premised on ‘intentional misrepresentation’ by the City, they should proceed because Indiana Code section 34-</w:t>
      </w:r>
      <w:proofErr w:type="gramStart"/>
      <w:r w:rsidRPr="003378B6">
        <w:rPr>
          <w:rFonts w:ascii="Times New Roman" w:hAnsi="Times New Roman"/>
          <w:sz w:val="24"/>
          <w:szCs w:val="24"/>
        </w:rPr>
        <w:t>13-3-3</w:t>
      </w:r>
      <w:proofErr w:type="gramEnd"/>
      <w:r w:rsidRPr="003378B6">
        <w:rPr>
          <w:rFonts w:ascii="Times New Roman" w:hAnsi="Times New Roman"/>
          <w:sz w:val="24"/>
          <w:szCs w:val="24"/>
        </w:rPr>
        <w:t xml:space="preserve">(a)(14) provides that a governmental entity is not liable for only ‘unintentional’ misrepresentations. Appellant's Br. at 10-11. But we conclude that section 34-13-3-3(a)(14) is irrelevant where, as here, the governmental entity has established that it is entitled to immunity under a different subsection of the ITCA on the same facts. </w:t>
      </w:r>
    </w:p>
    <w:p w14:paraId="6576FB89" w14:textId="77777777" w:rsidR="003378B6" w:rsidRPr="003378B6" w:rsidRDefault="003378B6" w:rsidP="003378B6">
      <w:pPr>
        <w:ind w:left="720"/>
        <w:rPr>
          <w:rFonts w:ascii="Times New Roman" w:hAnsi="Times New Roman"/>
          <w:sz w:val="24"/>
          <w:szCs w:val="24"/>
        </w:rPr>
      </w:pPr>
      <w:r w:rsidRPr="003378B6">
        <w:rPr>
          <w:rFonts w:ascii="Times New Roman" w:hAnsi="Times New Roman"/>
          <w:sz w:val="24"/>
          <w:szCs w:val="24"/>
        </w:rPr>
        <w:t xml:space="preserve">For </w:t>
      </w:r>
      <w:proofErr w:type="gramStart"/>
      <w:r w:rsidRPr="003378B6">
        <w:rPr>
          <w:rFonts w:ascii="Times New Roman" w:hAnsi="Times New Roman"/>
          <w:sz w:val="24"/>
          <w:szCs w:val="24"/>
        </w:rPr>
        <w:t>all of</w:t>
      </w:r>
      <w:proofErr w:type="gramEnd"/>
      <w:r w:rsidRPr="003378B6">
        <w:rPr>
          <w:rFonts w:ascii="Times New Roman" w:hAnsi="Times New Roman"/>
          <w:sz w:val="24"/>
          <w:szCs w:val="24"/>
        </w:rPr>
        <w:t xml:space="preserve"> these reasons, we affirm the trial court's dismissal of Russell's complaint against the </w:t>
      </w:r>
      <w:proofErr w:type="gramStart"/>
      <w:r w:rsidRPr="003378B6">
        <w:rPr>
          <w:rFonts w:ascii="Times New Roman" w:hAnsi="Times New Roman"/>
          <w:sz w:val="24"/>
          <w:szCs w:val="24"/>
        </w:rPr>
        <w:t>City</w:t>
      </w:r>
      <w:proofErr w:type="gramEnd"/>
      <w:r w:rsidRPr="003378B6">
        <w:rPr>
          <w:rFonts w:ascii="Times New Roman" w:hAnsi="Times New Roman"/>
          <w:sz w:val="24"/>
          <w:szCs w:val="24"/>
        </w:rPr>
        <w:t>.”</w:t>
      </w:r>
    </w:p>
    <w:p w14:paraId="0D3531F3" w14:textId="77777777" w:rsidR="003378B6" w:rsidRPr="003378B6" w:rsidRDefault="003378B6" w:rsidP="003378B6">
      <w:pPr>
        <w:rPr>
          <w:rFonts w:ascii="Times New Roman" w:hAnsi="Times New Roman"/>
          <w:b/>
          <w:bCs/>
          <w:sz w:val="24"/>
          <w:szCs w:val="24"/>
        </w:rPr>
      </w:pPr>
      <w:r w:rsidRPr="003378B6">
        <w:rPr>
          <w:rFonts w:ascii="Times New Roman" w:hAnsi="Times New Roman"/>
          <w:b/>
          <w:bCs/>
          <w:sz w:val="24"/>
          <w:szCs w:val="24"/>
        </w:rPr>
        <w:t xml:space="preserve">Legal Lesson Learned: City not liable for bringing administrative charges; </w:t>
      </w:r>
      <w:proofErr w:type="gramStart"/>
      <w:r w:rsidRPr="003378B6">
        <w:rPr>
          <w:rFonts w:ascii="Times New Roman" w:hAnsi="Times New Roman"/>
          <w:b/>
          <w:bCs/>
          <w:sz w:val="24"/>
          <w:szCs w:val="24"/>
        </w:rPr>
        <w:t>firefighter</w:t>
      </w:r>
      <w:proofErr w:type="gramEnd"/>
      <w:r w:rsidRPr="003378B6">
        <w:rPr>
          <w:rFonts w:ascii="Times New Roman" w:hAnsi="Times New Roman"/>
          <w:b/>
          <w:bCs/>
          <w:sz w:val="24"/>
          <w:szCs w:val="24"/>
        </w:rPr>
        <w:t xml:space="preserve"> however can still bring lawsuit against drug testing facility. </w:t>
      </w:r>
    </w:p>
    <w:p w14:paraId="0572A433" w14:textId="77777777" w:rsidR="00081AD1" w:rsidRDefault="00081AD1" w:rsidP="00F326E5">
      <w:pPr>
        <w:rPr>
          <w:rFonts w:ascii="Arial Black" w:hAnsi="Arial Black"/>
          <w:b/>
          <w:sz w:val="24"/>
          <w:szCs w:val="24"/>
        </w:rPr>
      </w:pPr>
    </w:p>
    <w:p w14:paraId="27715807" w14:textId="77777777" w:rsidR="00081AD1" w:rsidRDefault="00081AD1" w:rsidP="00F326E5">
      <w:pPr>
        <w:rPr>
          <w:rFonts w:ascii="Arial Black" w:hAnsi="Arial Black"/>
          <w:b/>
          <w:sz w:val="24"/>
          <w:szCs w:val="24"/>
        </w:rPr>
      </w:pPr>
    </w:p>
    <w:p w14:paraId="2109E1A9" w14:textId="08EA815C" w:rsidR="00CF5424" w:rsidRDefault="00CF5424" w:rsidP="00F326E5">
      <w:pPr>
        <w:rPr>
          <w:rFonts w:ascii="Arial Black" w:hAnsi="Arial Black"/>
          <w:b/>
          <w:sz w:val="24"/>
          <w:szCs w:val="24"/>
        </w:rPr>
      </w:pPr>
      <w:r>
        <w:rPr>
          <w:rFonts w:ascii="Arial Black" w:hAnsi="Arial Black"/>
          <w:b/>
          <w:sz w:val="24"/>
          <w:szCs w:val="24"/>
        </w:rPr>
        <w:t>12-26</w:t>
      </w:r>
    </w:p>
    <w:p w14:paraId="337444A1" w14:textId="77777777" w:rsidR="0041296B" w:rsidRPr="00767FB4" w:rsidRDefault="0041296B" w:rsidP="0041296B">
      <w:pPr>
        <w:pStyle w:val="NormalWeb"/>
        <w:spacing w:before="0" w:beforeAutospacing="0"/>
        <w:rPr>
          <w:rFonts w:ascii="Arial Black" w:hAnsi="Arial Black"/>
          <w:sz w:val="28"/>
          <w:szCs w:val="28"/>
        </w:rPr>
      </w:pPr>
      <w:r>
        <w:rPr>
          <w:rFonts w:ascii="Arial Black" w:hAnsi="Arial Black"/>
          <w:sz w:val="28"/>
          <w:szCs w:val="28"/>
        </w:rPr>
        <w:t xml:space="preserve">CA: FIREFIGHTER - U.S. ARMY - FIRED POSITIVE RANDOM DRUG TEST METH – WAS IN TREATMENT - NO CASE </w:t>
      </w:r>
    </w:p>
    <w:p w14:paraId="0E799514" w14:textId="20378D7F" w:rsidR="0041296B" w:rsidRPr="0041296B" w:rsidRDefault="0041296B" w:rsidP="0041296B">
      <w:pPr>
        <w:pStyle w:val="NormalWeb"/>
      </w:pPr>
      <w:r w:rsidRPr="0041296B">
        <w:t xml:space="preserve">On May 22, 2024, in </w:t>
      </w:r>
      <w:r w:rsidRPr="0041296B">
        <w:rPr>
          <w:u w:val="single"/>
        </w:rPr>
        <w:t xml:space="preserve">Roger E. Greer v. Christine Wormuth </w:t>
      </w:r>
      <w:r w:rsidRPr="0041296B">
        <w:t>(Secretary of U.S. Army), United States District Court Judge Maxine M. Chesney, U.S. District Court for Northern District of California, granted defense motion to dismiss (firefighter filed lawsuit pro se; without an attorney).  Ten months (Aug. 2014) prior to his notice of removal (June 26, 2015), he told Supervisor he was in treatment and detoxification for drug use under 'Safe Harbor' under the government's DFWP [Drug-Free Workplace Program. On April 16, 2015, he tested positive for tested positive for amphetamine and methamphetamine</w:t>
      </w:r>
      <w:proofErr w:type="gramStart"/>
      <w:r w:rsidRPr="0041296B">
        <w:t>/d-</w:t>
      </w:r>
      <w:proofErr w:type="gramEnd"/>
      <w:r w:rsidRPr="0041296B">
        <w:t>methamphetamine. The Court held:</w:t>
      </w:r>
    </w:p>
    <w:p w14:paraId="5688E531" w14:textId="6958E9C5" w:rsidR="00CF5424" w:rsidRPr="0041296B" w:rsidRDefault="0041296B" w:rsidP="0041296B">
      <w:pPr>
        <w:ind w:left="720"/>
        <w:rPr>
          <w:rFonts w:ascii="Times New Roman" w:hAnsi="Times New Roman"/>
          <w:b/>
          <w:sz w:val="24"/>
          <w:szCs w:val="24"/>
        </w:rPr>
      </w:pPr>
      <w:r w:rsidRPr="0041296B">
        <w:rPr>
          <w:rFonts w:ascii="Times New Roman" w:hAnsi="Times New Roman"/>
          <w:sz w:val="24"/>
          <w:szCs w:val="24"/>
        </w:rPr>
        <w:t xml:space="preserve">“Further, even assuming Greer is, in some manner, disabled, his reliance on the Rehabilitation Act's ‘safe harbor’ provision is unavailing. </w:t>
      </w:r>
      <w:proofErr w:type="gramStart"/>
      <w:r w:rsidRPr="0041296B">
        <w:rPr>
          <w:rFonts w:ascii="Times New Roman" w:hAnsi="Times New Roman"/>
          <w:sz w:val="24"/>
          <w:szCs w:val="24"/>
        </w:rPr>
        <w:t>In particular, said</w:t>
      </w:r>
      <w:proofErr w:type="gramEnd"/>
      <w:r w:rsidRPr="0041296B">
        <w:rPr>
          <w:rFonts w:ascii="Times New Roman" w:hAnsi="Times New Roman"/>
          <w:sz w:val="24"/>
          <w:szCs w:val="24"/>
        </w:rPr>
        <w:t xml:space="preserve"> statutory provision sets forth three ‘exceptions’ to the general rule that, if ‘currently engaged in the illegal use of drugs,’ an employee is not disabled where the employer ‘acts on the basis of such use.’ </w:t>
      </w:r>
      <w:r w:rsidRPr="0041296B">
        <w:rPr>
          <w:rStyle w:val="Emphasis"/>
          <w:rFonts w:ascii="Times New Roman" w:eastAsiaTheme="majorEastAsia" w:hAnsi="Times New Roman"/>
          <w:sz w:val="24"/>
          <w:szCs w:val="24"/>
        </w:rPr>
        <w:t>See</w:t>
      </w:r>
      <w:r w:rsidRPr="0041296B">
        <w:rPr>
          <w:rFonts w:ascii="Times New Roman" w:hAnsi="Times New Roman"/>
          <w:sz w:val="24"/>
          <w:szCs w:val="24"/>
        </w:rPr>
        <w:t xml:space="preserve"> 29 U.S.C. § 705(20)(C)(</w:t>
      </w:r>
      <w:proofErr w:type="spellStart"/>
      <w:r w:rsidRPr="0041296B">
        <w:rPr>
          <w:rFonts w:ascii="Times New Roman" w:hAnsi="Times New Roman"/>
          <w:sz w:val="24"/>
          <w:szCs w:val="24"/>
        </w:rPr>
        <w:t>i</w:t>
      </w:r>
      <w:proofErr w:type="spellEnd"/>
      <w:r w:rsidRPr="0041296B">
        <w:rPr>
          <w:rFonts w:ascii="Times New Roman" w:hAnsi="Times New Roman"/>
          <w:sz w:val="24"/>
          <w:szCs w:val="24"/>
        </w:rPr>
        <w:t xml:space="preserve">). Each such exception, however, requires a showing that the employee ‘is no longer’ or ‘is not’ engaging in the illegal use of drugs, </w:t>
      </w:r>
      <w:r w:rsidRPr="0041296B">
        <w:rPr>
          <w:rStyle w:val="Emphasis"/>
          <w:rFonts w:ascii="Times New Roman" w:eastAsiaTheme="majorEastAsia" w:hAnsi="Times New Roman"/>
          <w:sz w:val="24"/>
          <w:szCs w:val="24"/>
        </w:rPr>
        <w:t>see</w:t>
      </w:r>
      <w:r w:rsidRPr="0041296B">
        <w:rPr>
          <w:rFonts w:ascii="Times New Roman" w:hAnsi="Times New Roman"/>
          <w:sz w:val="24"/>
          <w:szCs w:val="24"/>
        </w:rPr>
        <w:t xml:space="preserve"> 29 U.S.C. § 705(20)(C)(ii),</w:t>
      </w:r>
      <w:r w:rsidRPr="0041296B">
        <w:rPr>
          <w:rFonts w:ascii="Times New Roman" w:hAnsi="Times New Roman"/>
          <w:sz w:val="24"/>
          <w:szCs w:val="24"/>
          <w:vertAlign w:val="superscript"/>
        </w:rPr>
        <w:t>[</w:t>
      </w:r>
      <w:bookmarkStart w:id="413" w:name="FN1"/>
      <w:r w:rsidRPr="0041296B">
        <w:rPr>
          <w:rFonts w:ascii="Times New Roman" w:hAnsi="Times New Roman"/>
          <w:sz w:val="24"/>
          <w:szCs w:val="24"/>
          <w:vertAlign w:val="superscript"/>
        </w:rPr>
        <w:fldChar w:fldCharType="begin"/>
      </w:r>
      <w:r w:rsidRPr="0041296B">
        <w:rPr>
          <w:rFonts w:ascii="Times New Roman" w:hAnsi="Times New Roman"/>
          <w:sz w:val="24"/>
          <w:szCs w:val="24"/>
          <w:vertAlign w:val="superscript"/>
        </w:rPr>
        <w:instrText>HYPERLINK "https://public.fastcase.com/" \l "ftn.FN1"</w:instrText>
      </w:r>
      <w:r w:rsidRPr="0041296B">
        <w:rPr>
          <w:rFonts w:ascii="Times New Roman" w:hAnsi="Times New Roman"/>
          <w:sz w:val="24"/>
          <w:szCs w:val="24"/>
          <w:vertAlign w:val="superscript"/>
        </w:rPr>
      </w:r>
      <w:r w:rsidRPr="0041296B">
        <w:rPr>
          <w:rFonts w:ascii="Times New Roman" w:hAnsi="Times New Roman"/>
          <w:sz w:val="24"/>
          <w:szCs w:val="24"/>
          <w:vertAlign w:val="superscript"/>
        </w:rPr>
        <w:fldChar w:fldCharType="separate"/>
      </w:r>
      <w:r w:rsidRPr="0041296B">
        <w:rPr>
          <w:rStyle w:val="Hyperlink"/>
          <w:rFonts w:ascii="Times New Roman" w:eastAsiaTheme="majorEastAsia" w:hAnsi="Times New Roman"/>
          <w:sz w:val="24"/>
          <w:szCs w:val="24"/>
          <w:vertAlign w:val="superscript"/>
        </w:rPr>
        <w:t>1</w:t>
      </w:r>
      <w:r w:rsidRPr="0041296B">
        <w:rPr>
          <w:rFonts w:ascii="Times New Roman" w:hAnsi="Times New Roman"/>
          <w:sz w:val="24"/>
          <w:szCs w:val="24"/>
          <w:vertAlign w:val="superscript"/>
        </w:rPr>
        <w:fldChar w:fldCharType="end"/>
      </w:r>
      <w:bookmarkEnd w:id="413"/>
      <w:r w:rsidRPr="0041296B">
        <w:rPr>
          <w:rFonts w:ascii="Times New Roman" w:hAnsi="Times New Roman"/>
          <w:sz w:val="24"/>
          <w:szCs w:val="24"/>
          <w:vertAlign w:val="superscript"/>
        </w:rPr>
        <w:t>]</w:t>
      </w:r>
      <w:r w:rsidRPr="0041296B">
        <w:rPr>
          <w:rFonts w:ascii="Times New Roman" w:hAnsi="Times New Roman"/>
          <w:sz w:val="24"/>
          <w:szCs w:val="24"/>
        </w:rPr>
        <w:t xml:space="preserve"> and Greer, at best, alleges he stated to his supervisor that he was ‘seeking treatment and detoxification,’ not that he was no longer using illegal drugs.” </w:t>
      </w:r>
      <w:hyperlink r:id="rId1902" w:history="1">
        <w:r w:rsidRPr="0041296B">
          <w:rPr>
            <w:rStyle w:val="Hyperlink"/>
            <w:rFonts w:ascii="Times New Roman" w:hAnsi="Times New Roman"/>
            <w:sz w:val="24"/>
            <w:szCs w:val="24"/>
          </w:rPr>
          <w:t>https://cases.justia.com/federal/district-courts/california/candce/3:2024cv00614/424391/24/0.pdf</w:t>
        </w:r>
      </w:hyperlink>
    </w:p>
    <w:p w14:paraId="146E6E78" w14:textId="77777777" w:rsidR="00303E7B" w:rsidRDefault="00303E7B" w:rsidP="00303E7B">
      <w:pPr>
        <w:spacing w:after="100" w:line="240" w:lineRule="auto"/>
        <w:rPr>
          <w:rFonts w:ascii="Times New Roman" w:eastAsia="Times New Roman" w:hAnsi="Times New Roman"/>
          <w:b/>
          <w:bCs/>
          <w:sz w:val="24"/>
          <w:szCs w:val="24"/>
        </w:rPr>
      </w:pPr>
      <w:r w:rsidRPr="00A92D10">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The “Safe Harbor” provisions of the federal Rehabilitation Act, </w:t>
      </w:r>
      <w:proofErr w:type="gramStart"/>
      <w:r>
        <w:rPr>
          <w:rFonts w:ascii="Times New Roman" w:eastAsia="Times New Roman" w:hAnsi="Times New Roman"/>
          <w:b/>
          <w:bCs/>
          <w:sz w:val="24"/>
          <w:szCs w:val="24"/>
        </w:rPr>
        <w:t>similar to</w:t>
      </w:r>
      <w:proofErr w:type="gramEnd"/>
      <w:r>
        <w:rPr>
          <w:rFonts w:ascii="Times New Roman" w:eastAsia="Times New Roman" w:hAnsi="Times New Roman"/>
          <w:b/>
          <w:bCs/>
          <w:sz w:val="24"/>
          <w:szCs w:val="24"/>
        </w:rPr>
        <w:t xml:space="preserve"> ADA, does not protect employees who continue to use illegal drugs. </w:t>
      </w:r>
    </w:p>
    <w:p w14:paraId="25A0E628" w14:textId="47C19348" w:rsidR="00303E7B" w:rsidRPr="00303E7B" w:rsidRDefault="00303E7B" w:rsidP="00303E7B">
      <w:pPr>
        <w:pStyle w:val="Heading1"/>
        <w:ind w:left="720"/>
        <w:rPr>
          <w:b w:val="0"/>
          <w:bCs w:val="0"/>
          <w:sz w:val="24"/>
          <w:szCs w:val="24"/>
        </w:rPr>
      </w:pPr>
      <w:r w:rsidRPr="00303E7B">
        <w:rPr>
          <w:b w:val="0"/>
          <w:bCs w:val="0"/>
          <w:kern w:val="0"/>
          <w:sz w:val="24"/>
          <w:szCs w:val="24"/>
        </w:rPr>
        <w:t>Note: “</w:t>
      </w:r>
      <w:r w:rsidRPr="00303E7B">
        <w:rPr>
          <w:b w:val="0"/>
          <w:bCs w:val="0"/>
          <w:sz w:val="24"/>
          <w:szCs w:val="24"/>
        </w:rPr>
        <w:t xml:space="preserve">Addiction and the ADA: The “Current User,” Safe Harbor.” </w:t>
      </w:r>
      <w:hyperlink r:id="rId1903" w:history="1">
        <w:r w:rsidRPr="00303E7B">
          <w:rPr>
            <w:rStyle w:val="Hyperlink"/>
            <w:b w:val="0"/>
            <w:bCs w:val="0"/>
            <w:sz w:val="24"/>
            <w:szCs w:val="24"/>
          </w:rPr>
          <w:t>https://www.understandingtheada.com/blog/2015/02/03/addiction-ada-current-user-safe-harbor/</w:t>
        </w:r>
      </w:hyperlink>
      <w:r w:rsidRPr="00303E7B">
        <w:rPr>
          <w:b w:val="0"/>
          <w:bCs w:val="0"/>
          <w:sz w:val="24"/>
          <w:szCs w:val="24"/>
        </w:rPr>
        <w:t xml:space="preserve">  </w:t>
      </w:r>
    </w:p>
    <w:p w14:paraId="28AA4268" w14:textId="77777777" w:rsidR="00303E7B" w:rsidRPr="003F5245" w:rsidRDefault="00303E7B" w:rsidP="00303E7B">
      <w:pPr>
        <w:spacing w:after="100" w:line="240" w:lineRule="auto"/>
        <w:ind w:left="720"/>
        <w:rPr>
          <w:rFonts w:ascii="Times New Roman" w:eastAsia="Times New Roman" w:hAnsi="Times New Roman"/>
          <w:b/>
          <w:bCs/>
          <w:sz w:val="24"/>
          <w:szCs w:val="24"/>
        </w:rPr>
      </w:pPr>
      <w:r>
        <w:rPr>
          <w:rFonts w:ascii="Times New Roman" w:hAnsi="Times New Roman"/>
          <w:sz w:val="24"/>
          <w:szCs w:val="24"/>
        </w:rPr>
        <w:t>“</w:t>
      </w:r>
      <w:r w:rsidRPr="005C7112">
        <w:rPr>
          <w:rFonts w:ascii="Times New Roman" w:hAnsi="Times New Roman"/>
          <w:sz w:val="24"/>
          <w:szCs w:val="24"/>
        </w:rPr>
        <w:t xml:space="preserve">When it comes to drugs and alcohol, those addicted to drugs and alcohol are not treated the same way as persons with other disabilities. For example, an employer has the right to evaluate an alcoholic employee or an employee addicted to drugs as if the disability didn’t exist. 42 U.S.C. § 12114(c)(4); EEOC interpretive guidance on 29 C.F.R. § 1630.16(b). Also, under </w:t>
      </w:r>
      <w:hyperlink r:id="rId1904" w:tooltip="42 U.S.C. § 12114" w:history="1">
        <w:r w:rsidRPr="005C7112">
          <w:rPr>
            <w:rStyle w:val="Hyperlink"/>
            <w:rFonts w:ascii="Times New Roman" w:hAnsi="Times New Roman"/>
            <w:sz w:val="24"/>
            <w:szCs w:val="24"/>
          </w:rPr>
          <w:t>42 U.S.C. § 12114(a)</w:t>
        </w:r>
      </w:hyperlink>
      <w:r w:rsidRPr="005C7112">
        <w:rPr>
          <w:rFonts w:ascii="Times New Roman" w:hAnsi="Times New Roman"/>
          <w:sz w:val="24"/>
          <w:szCs w:val="24"/>
        </w:rPr>
        <w:t xml:space="preserve"> a person currently using illegal drugs or alcohol is not protected. Finally, a person who is in a rehabilitation program or has completed a rehabilitation program and is no longer engaging in the use of alcohol or drugs can be protected under the ADA. 42 U.S.C. § 12114(b)(1),(2). In short, a person using drugs or alcohol is not protected, but a person with a record of using drugs or alcohol can be. Case law often refers to this as a safe harbor. Case law may also refer to it as a person not being qualified since that is the statutory language.</w:t>
      </w:r>
      <w:r>
        <w:rPr>
          <w:rFonts w:ascii="Times New Roman" w:hAnsi="Times New Roman"/>
          <w:sz w:val="24"/>
          <w:szCs w:val="24"/>
        </w:rPr>
        <w:t>”</w:t>
      </w:r>
    </w:p>
    <w:p w14:paraId="399E3E37" w14:textId="77777777" w:rsidR="00CF5424" w:rsidRDefault="00CF5424" w:rsidP="00F326E5">
      <w:pPr>
        <w:rPr>
          <w:rFonts w:ascii="Arial Black" w:hAnsi="Arial Black"/>
          <w:b/>
          <w:sz w:val="24"/>
          <w:szCs w:val="24"/>
        </w:rPr>
      </w:pPr>
    </w:p>
    <w:p w14:paraId="672A489D" w14:textId="77777777" w:rsidR="00CF5424" w:rsidRDefault="00CF5424" w:rsidP="00F326E5">
      <w:pPr>
        <w:rPr>
          <w:rFonts w:ascii="Arial Black" w:hAnsi="Arial Black"/>
          <w:b/>
          <w:sz w:val="24"/>
          <w:szCs w:val="24"/>
        </w:rPr>
      </w:pPr>
    </w:p>
    <w:p w14:paraId="18134E19" w14:textId="06C5A3D1" w:rsidR="005677A6" w:rsidRDefault="005677A6" w:rsidP="00F326E5">
      <w:pPr>
        <w:rPr>
          <w:rFonts w:ascii="Arial Black" w:hAnsi="Arial Black"/>
          <w:b/>
          <w:sz w:val="24"/>
          <w:szCs w:val="24"/>
        </w:rPr>
      </w:pPr>
      <w:r>
        <w:rPr>
          <w:rFonts w:ascii="Arial Black" w:hAnsi="Arial Black"/>
          <w:b/>
          <w:sz w:val="24"/>
          <w:szCs w:val="24"/>
        </w:rPr>
        <w:t>12-25</w:t>
      </w:r>
    </w:p>
    <w:p w14:paraId="192FE1E1" w14:textId="77777777" w:rsidR="005677A6" w:rsidRPr="00057368" w:rsidRDefault="005677A6" w:rsidP="005677A6">
      <w:pPr>
        <w:pStyle w:val="NormalWeb"/>
        <w:rPr>
          <w:rFonts w:ascii="Arial Black" w:hAnsi="Arial Black"/>
          <w:sz w:val="28"/>
          <w:szCs w:val="28"/>
        </w:rPr>
      </w:pPr>
      <w:r>
        <w:rPr>
          <w:rFonts w:ascii="Arial Black" w:hAnsi="Arial Black"/>
          <w:sz w:val="28"/>
          <w:szCs w:val="28"/>
        </w:rPr>
        <w:t>MD: FF SUPPORTIVE 1</w:t>
      </w:r>
      <w:r w:rsidRPr="00DA29D6">
        <w:rPr>
          <w:rFonts w:ascii="Arial Black" w:hAnsi="Arial Black"/>
          <w:sz w:val="28"/>
          <w:szCs w:val="28"/>
          <w:vertAlign w:val="superscript"/>
        </w:rPr>
        <w:t>st</w:t>
      </w:r>
      <w:r>
        <w:rPr>
          <w:rFonts w:ascii="Arial Black" w:hAnsi="Arial Black"/>
          <w:sz w:val="28"/>
          <w:szCs w:val="28"/>
        </w:rPr>
        <w:t xml:space="preserve"> DUI - WENT TO IAFF CENTER OF EXCELLENCE – 2</w:t>
      </w:r>
      <w:r w:rsidRPr="00025810">
        <w:rPr>
          <w:rFonts w:ascii="Arial Black" w:hAnsi="Arial Black"/>
          <w:sz w:val="28"/>
          <w:szCs w:val="28"/>
          <w:vertAlign w:val="superscript"/>
        </w:rPr>
        <w:t>nd</w:t>
      </w:r>
      <w:r>
        <w:rPr>
          <w:rFonts w:ascii="Arial Black" w:hAnsi="Arial Black"/>
          <w:sz w:val="28"/>
          <w:szCs w:val="28"/>
        </w:rPr>
        <w:t xml:space="preserve"> DUI / FIRED, NOT BECAUSE PTSD</w:t>
      </w:r>
    </w:p>
    <w:p w14:paraId="5CF93CE5" w14:textId="77777777" w:rsidR="005677A6" w:rsidRDefault="005677A6" w:rsidP="005677A6">
      <w:pPr>
        <w:pStyle w:val="NormalWeb"/>
      </w:pPr>
      <w:r>
        <w:t xml:space="preserve">On March 28, </w:t>
      </w:r>
      <w:proofErr w:type="gramStart"/>
      <w:r>
        <w:t>2024</w:t>
      </w:r>
      <w:proofErr w:type="gramEnd"/>
      <w:r>
        <w:t xml:space="preserve"> in </w:t>
      </w:r>
      <w:r w:rsidRPr="00546246">
        <w:rPr>
          <w:u w:val="single"/>
        </w:rPr>
        <w:t>Deanna Jones v. Cecil County, Maryland</w:t>
      </w:r>
      <w:r>
        <w:t xml:space="preserve">, United States District Court Judge Richard D. Bennett, U.S. District Court for District of Maryland, granted County’s motion for summary judgment. </w:t>
      </w:r>
    </w:p>
    <w:p w14:paraId="5BF8AA74" w14:textId="77777777" w:rsidR="00D90293" w:rsidRPr="004C0299" w:rsidRDefault="00D90293" w:rsidP="00D90293">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60A1F3F5" w14:textId="77777777" w:rsidR="005677A6" w:rsidRDefault="005677A6" w:rsidP="005677A6">
      <w:pPr>
        <w:pStyle w:val="NormalWeb"/>
        <w:ind w:left="720"/>
      </w:pPr>
      <w:r>
        <w:t xml:space="preserve">“Even assuming arguendo that Jones is a qualified individual with a disability under the meaning of the ADA, she has not plausibly stated that she was terminated because of her disability. Jones provides nothing more than conclusory statements that she was terminated because of her alcohol use disorder. As discussed, the facts alleged by Jones indicate that she was terminated because of her second DUI, not because of her disability. Moreover, the Department's support of Jones after her first DUI undermines her claim of discrimination. Jones admits that the Department was supportive of her following her first DUI and that it was only after her second DUI that she was terminated.” </w:t>
      </w:r>
      <w:hyperlink r:id="rId1905" w:history="1">
        <w:r w:rsidRPr="007E7996">
          <w:rPr>
            <w:rStyle w:val="Hyperlink"/>
          </w:rPr>
          <w:t>https://public.fastcase.com/H1P9uiW3J20SFp%2BGCG%2BxLWxsjT87vgsYeUyD6XhJjN4sWvyHUDi1iD6eePPdFLtF?utm_medium=email&amp;_hsmi=226712652&amp;_hsenc=p2ANqtz-_iI2JExLit36jQEG92m9s-4sdtZgfob1tVRc-o7xFd5g7DvtyOGh3o-vGJ1z88YzXriHS74jMuVuWJoviL5aHAnGRzpg&amp;utm_content=226712652&amp;utm_source=hs_email</w:t>
        </w:r>
      </w:hyperlink>
      <w:r>
        <w:t xml:space="preserve"> </w:t>
      </w:r>
    </w:p>
    <w:p w14:paraId="4F3D12BE" w14:textId="77777777" w:rsidR="005677A6" w:rsidRPr="009614DD" w:rsidRDefault="005677A6" w:rsidP="005677A6">
      <w:pPr>
        <w:pStyle w:val="NormalWeb"/>
        <w:rPr>
          <w:b/>
          <w:bCs/>
        </w:rPr>
      </w:pPr>
      <w:r>
        <w:rPr>
          <w:b/>
          <w:bCs/>
        </w:rPr>
        <w:t xml:space="preserve">Legal Lesson Learned: Fire &amp; EMS departments should require in their policies an immediate written notice of DUI arrests, not just convictions. </w:t>
      </w:r>
    </w:p>
    <w:p w14:paraId="5272CD04" w14:textId="77777777" w:rsidR="005677A6" w:rsidRDefault="005677A6" w:rsidP="00F326E5">
      <w:pPr>
        <w:rPr>
          <w:rFonts w:ascii="Arial Black" w:hAnsi="Arial Black"/>
          <w:b/>
          <w:sz w:val="24"/>
          <w:szCs w:val="24"/>
        </w:rPr>
      </w:pPr>
    </w:p>
    <w:p w14:paraId="3B839F16" w14:textId="77777777" w:rsidR="005677A6" w:rsidRDefault="005677A6" w:rsidP="00F326E5">
      <w:pPr>
        <w:rPr>
          <w:rFonts w:ascii="Arial Black" w:hAnsi="Arial Black"/>
          <w:b/>
          <w:sz w:val="24"/>
          <w:szCs w:val="24"/>
        </w:rPr>
      </w:pPr>
    </w:p>
    <w:p w14:paraId="2602E47B" w14:textId="37A7CD81" w:rsidR="009C19A1" w:rsidRDefault="009C19A1" w:rsidP="00F326E5">
      <w:pPr>
        <w:rPr>
          <w:rFonts w:ascii="Arial Black" w:hAnsi="Arial Black"/>
          <w:b/>
          <w:sz w:val="24"/>
          <w:szCs w:val="24"/>
        </w:rPr>
      </w:pPr>
      <w:r>
        <w:rPr>
          <w:rFonts w:ascii="Arial Black" w:hAnsi="Arial Black"/>
          <w:b/>
          <w:sz w:val="24"/>
          <w:szCs w:val="24"/>
        </w:rPr>
        <w:t>12-24</w:t>
      </w:r>
    </w:p>
    <w:p w14:paraId="7F14028C" w14:textId="77777777" w:rsidR="00C72905" w:rsidRDefault="00C72905" w:rsidP="00C72905">
      <w:pPr>
        <w:pStyle w:val="NormalWeb"/>
        <w:rPr>
          <w:b/>
          <w:bCs/>
        </w:rPr>
      </w:pPr>
      <w:r>
        <w:rPr>
          <w:rFonts w:ascii="Arial Black" w:hAnsi="Arial Black"/>
          <w:b/>
          <w:bCs/>
          <w:sz w:val="28"/>
          <w:szCs w:val="28"/>
        </w:rPr>
        <w:t>TX: OFF DUTY DALLAS FF – DRUNK DRIVING, KILLED PREGNANT TEEN – 12 YRS, PLED GUILTY AVOID 40 YRS</w:t>
      </w:r>
      <w:r>
        <w:rPr>
          <w:b/>
          <w:bCs/>
        </w:rPr>
        <w:t xml:space="preserve"> </w:t>
      </w:r>
    </w:p>
    <w:p w14:paraId="3DB2B4C3" w14:textId="77777777" w:rsidR="00C72905" w:rsidRDefault="00C72905" w:rsidP="00C72905">
      <w:pPr>
        <w:pStyle w:val="NoSpacing"/>
        <w:rPr>
          <w:rFonts w:ascii="Times New Roman" w:hAnsi="Times New Roman"/>
          <w:sz w:val="24"/>
          <w:szCs w:val="24"/>
        </w:rPr>
      </w:pPr>
      <w:r>
        <w:rPr>
          <w:rFonts w:ascii="Times New Roman" w:hAnsi="Times New Roman"/>
          <w:sz w:val="24"/>
          <w:szCs w:val="24"/>
        </w:rPr>
        <w:t xml:space="preserve">On Feb. 20, 2024, in </w:t>
      </w:r>
      <w:r w:rsidRPr="00461ABE">
        <w:rPr>
          <w:rFonts w:ascii="Times New Roman" w:hAnsi="Times New Roman"/>
          <w:sz w:val="24"/>
          <w:szCs w:val="24"/>
          <w:u w:val="single"/>
        </w:rPr>
        <w:t>Horace Shaw v. The State of Texas</w:t>
      </w:r>
      <w:r>
        <w:rPr>
          <w:rFonts w:ascii="Times New Roman" w:hAnsi="Times New Roman"/>
          <w:sz w:val="24"/>
          <w:szCs w:val="24"/>
        </w:rPr>
        <w:t xml:space="preserve">, the </w:t>
      </w:r>
      <w:r w:rsidRPr="003A17CB">
        <w:rPr>
          <w:rFonts w:ascii="Times New Roman" w:hAnsi="Times New Roman"/>
          <w:sz w:val="24"/>
          <w:szCs w:val="24"/>
        </w:rPr>
        <w:t>Court of Appeals</w:t>
      </w:r>
      <w:r>
        <w:rPr>
          <w:rFonts w:ascii="Times New Roman" w:hAnsi="Times New Roman"/>
          <w:sz w:val="24"/>
          <w:szCs w:val="24"/>
        </w:rPr>
        <w:t xml:space="preserve">, </w:t>
      </w:r>
      <w:r w:rsidRPr="003A17CB">
        <w:rPr>
          <w:rFonts w:ascii="Times New Roman" w:hAnsi="Times New Roman"/>
          <w:sz w:val="24"/>
          <w:szCs w:val="24"/>
        </w:rPr>
        <w:t>Fifth District of Texas at Dallas</w:t>
      </w:r>
      <w:r>
        <w:rPr>
          <w:rFonts w:ascii="Times New Roman" w:hAnsi="Times New Roman"/>
          <w:sz w:val="24"/>
          <w:szCs w:val="24"/>
        </w:rPr>
        <w:t xml:space="preserve"> held (3 to 0; unpublished opinion) denied the defendant’s appeal based on alleged in effective of counsel; he pled guilty to manslaughter, and if convicted of intoxicated manslaughter he could have sentenced up to 40 years. </w:t>
      </w:r>
    </w:p>
    <w:p w14:paraId="0BCD7915" w14:textId="77777777" w:rsidR="00C72905" w:rsidRDefault="00C72905" w:rsidP="00C72905">
      <w:pPr>
        <w:pStyle w:val="NoSpacing"/>
        <w:rPr>
          <w:rFonts w:ascii="Times New Roman" w:hAnsi="Times New Roman"/>
          <w:sz w:val="24"/>
          <w:szCs w:val="24"/>
        </w:rPr>
      </w:pPr>
    </w:p>
    <w:p w14:paraId="64AABEBE" w14:textId="77777777" w:rsidR="00C72905" w:rsidRDefault="00C72905" w:rsidP="00C72905">
      <w:pPr>
        <w:pStyle w:val="NoSpacing"/>
        <w:rPr>
          <w:rFonts w:ascii="Times New Roman" w:hAnsi="Times New Roman"/>
          <w:sz w:val="24"/>
          <w:szCs w:val="24"/>
        </w:rPr>
      </w:pPr>
      <w:r>
        <w:rPr>
          <w:rFonts w:ascii="Times New Roman" w:hAnsi="Times New Roman"/>
          <w:sz w:val="24"/>
          <w:szCs w:val="24"/>
        </w:rPr>
        <w:t>The Court held:</w:t>
      </w:r>
    </w:p>
    <w:p w14:paraId="05646DFF" w14:textId="77777777" w:rsidR="00C72905" w:rsidRDefault="00C72905" w:rsidP="00C72905">
      <w:pPr>
        <w:pStyle w:val="NoSpacing"/>
        <w:rPr>
          <w:rFonts w:ascii="Times New Roman" w:hAnsi="Times New Roman"/>
          <w:sz w:val="24"/>
          <w:szCs w:val="24"/>
        </w:rPr>
      </w:pPr>
    </w:p>
    <w:p w14:paraId="78DC837C" w14:textId="77777777" w:rsidR="00C72905" w:rsidRPr="00527850" w:rsidRDefault="00C72905" w:rsidP="00C72905">
      <w:pPr>
        <w:pStyle w:val="NoSpacing"/>
        <w:ind w:firstLine="720"/>
        <w:rPr>
          <w:rFonts w:ascii="Times New Roman" w:hAnsi="Times New Roman"/>
          <w:sz w:val="24"/>
          <w:szCs w:val="24"/>
        </w:rPr>
      </w:pPr>
      <w:r>
        <w:rPr>
          <w:rFonts w:ascii="Times New Roman" w:hAnsi="Times New Roman"/>
          <w:sz w:val="24"/>
          <w:szCs w:val="24"/>
        </w:rPr>
        <w:t>“</w:t>
      </w:r>
      <w:r w:rsidRPr="00527850">
        <w:rPr>
          <w:rFonts w:ascii="Times New Roman" w:hAnsi="Times New Roman"/>
          <w:sz w:val="24"/>
          <w:szCs w:val="24"/>
        </w:rPr>
        <w:t>Notably, the record shows these cases were filed by information and the state</w:t>
      </w:r>
    </w:p>
    <w:p w14:paraId="3EAD2090" w14:textId="77777777" w:rsidR="00C72905" w:rsidRPr="00527850" w:rsidRDefault="00C72905" w:rsidP="00C72905">
      <w:pPr>
        <w:pStyle w:val="NoSpacing"/>
        <w:ind w:firstLine="720"/>
        <w:rPr>
          <w:rFonts w:ascii="Times New Roman" w:hAnsi="Times New Roman"/>
          <w:sz w:val="24"/>
          <w:szCs w:val="24"/>
        </w:rPr>
      </w:pPr>
      <w:r w:rsidRPr="00527850">
        <w:rPr>
          <w:rFonts w:ascii="Times New Roman" w:hAnsi="Times New Roman"/>
          <w:sz w:val="24"/>
          <w:szCs w:val="24"/>
        </w:rPr>
        <w:t>only charged Mr. Shaw with manslaughter for which the sentences could only run</w:t>
      </w:r>
    </w:p>
    <w:p w14:paraId="12C6F92D" w14:textId="77777777" w:rsidR="00C72905" w:rsidRPr="00527850" w:rsidRDefault="00C72905" w:rsidP="00C72905">
      <w:pPr>
        <w:pStyle w:val="NoSpacing"/>
        <w:ind w:firstLine="720"/>
        <w:rPr>
          <w:rFonts w:ascii="Times New Roman" w:hAnsi="Times New Roman"/>
          <w:sz w:val="24"/>
          <w:szCs w:val="24"/>
        </w:rPr>
      </w:pPr>
      <w:r w:rsidRPr="00527850">
        <w:rPr>
          <w:rFonts w:ascii="Times New Roman" w:hAnsi="Times New Roman"/>
          <w:sz w:val="24"/>
          <w:szCs w:val="24"/>
        </w:rPr>
        <w:t>concurrently. See TEX. PENAL CODE § 3.03(a). Had the state charged Mr. Shaw with</w:t>
      </w:r>
    </w:p>
    <w:p w14:paraId="7651E40C" w14:textId="77777777" w:rsidR="00C72905" w:rsidRPr="00527850" w:rsidRDefault="00C72905" w:rsidP="00C72905">
      <w:pPr>
        <w:pStyle w:val="NoSpacing"/>
        <w:ind w:firstLine="720"/>
        <w:rPr>
          <w:rFonts w:ascii="Times New Roman" w:hAnsi="Times New Roman"/>
          <w:sz w:val="24"/>
          <w:szCs w:val="24"/>
        </w:rPr>
      </w:pPr>
      <w:r w:rsidRPr="00527850">
        <w:rPr>
          <w:rFonts w:ascii="Times New Roman" w:hAnsi="Times New Roman"/>
          <w:sz w:val="24"/>
          <w:szCs w:val="24"/>
        </w:rPr>
        <w:t>intoxication manslaughter, also a second-degree felony, the judge could have</w:t>
      </w:r>
    </w:p>
    <w:p w14:paraId="3EA6A31C" w14:textId="77777777" w:rsidR="00C72905" w:rsidRPr="00527850" w:rsidRDefault="00C72905" w:rsidP="00C72905">
      <w:pPr>
        <w:pStyle w:val="NoSpacing"/>
        <w:ind w:firstLine="720"/>
        <w:rPr>
          <w:rFonts w:ascii="Times New Roman" w:hAnsi="Times New Roman"/>
          <w:sz w:val="24"/>
          <w:szCs w:val="24"/>
        </w:rPr>
      </w:pPr>
      <w:r w:rsidRPr="00527850">
        <w:rPr>
          <w:rFonts w:ascii="Times New Roman" w:hAnsi="Times New Roman"/>
          <w:sz w:val="24"/>
          <w:szCs w:val="24"/>
        </w:rPr>
        <w:t>ordered the sentences to run consecutively, opening Mr. Shaw up to a potential forty</w:t>
      </w:r>
    </w:p>
    <w:p w14:paraId="19CC41AA" w14:textId="77777777" w:rsidR="00C72905" w:rsidRDefault="00C72905" w:rsidP="00C72905">
      <w:pPr>
        <w:pStyle w:val="NoSpacing"/>
        <w:ind w:left="720"/>
        <w:rPr>
          <w:rFonts w:ascii="Times New Roman" w:hAnsi="Times New Roman"/>
          <w:sz w:val="24"/>
          <w:szCs w:val="24"/>
        </w:rPr>
      </w:pPr>
      <w:r w:rsidRPr="00527850">
        <w:rPr>
          <w:rFonts w:ascii="Times New Roman" w:hAnsi="Times New Roman"/>
          <w:sz w:val="24"/>
          <w:szCs w:val="24"/>
        </w:rPr>
        <w:t>years in prison.</w:t>
      </w:r>
      <w:r>
        <w:rPr>
          <w:rFonts w:ascii="Times New Roman" w:hAnsi="Times New Roman"/>
          <w:sz w:val="24"/>
          <w:szCs w:val="24"/>
        </w:rPr>
        <w:t xml:space="preserve"> *** </w:t>
      </w:r>
      <w:r w:rsidRPr="006C19C6">
        <w:rPr>
          <w:rFonts w:ascii="Times New Roman" w:hAnsi="Times New Roman"/>
          <w:sz w:val="24"/>
          <w:szCs w:val="24"/>
        </w:rPr>
        <w:t>We agree the appeal is frivolous and</w:t>
      </w:r>
      <w:r>
        <w:rPr>
          <w:rFonts w:ascii="Times New Roman" w:hAnsi="Times New Roman"/>
          <w:sz w:val="24"/>
          <w:szCs w:val="24"/>
        </w:rPr>
        <w:t xml:space="preserve"> </w:t>
      </w:r>
      <w:r w:rsidRPr="006C19C6">
        <w:rPr>
          <w:rFonts w:ascii="Times New Roman" w:hAnsi="Times New Roman"/>
          <w:sz w:val="24"/>
          <w:szCs w:val="24"/>
        </w:rPr>
        <w:t>without merit, and we find nothing in the record that might arguably support the</w:t>
      </w:r>
      <w:r>
        <w:rPr>
          <w:rFonts w:ascii="Times New Roman" w:hAnsi="Times New Roman"/>
          <w:sz w:val="24"/>
          <w:szCs w:val="24"/>
        </w:rPr>
        <w:t xml:space="preserve"> </w:t>
      </w:r>
      <w:r w:rsidRPr="006C19C6">
        <w:rPr>
          <w:rFonts w:ascii="Times New Roman" w:hAnsi="Times New Roman"/>
          <w:sz w:val="24"/>
          <w:szCs w:val="24"/>
        </w:rPr>
        <w:t>appea</w:t>
      </w:r>
      <w:r>
        <w:rPr>
          <w:rFonts w:ascii="Times New Roman" w:hAnsi="Times New Roman"/>
          <w:sz w:val="24"/>
          <w:szCs w:val="24"/>
        </w:rPr>
        <w:t xml:space="preserve">l.” </w:t>
      </w:r>
      <w:hyperlink r:id="rId1906" w:history="1">
        <w:r w:rsidRPr="00216BB3">
          <w:rPr>
            <w:rStyle w:val="Hyperlink"/>
            <w:rFonts w:ascii="Times New Roman" w:hAnsi="Times New Roman"/>
            <w:sz w:val="24"/>
            <w:szCs w:val="24"/>
          </w:rPr>
          <w:t>https://cases.justia.com/texas/fifth-court-of-appeals/2024-05-22-01220-cr.pdf?ts=1708523726</w:t>
        </w:r>
      </w:hyperlink>
      <w:r>
        <w:rPr>
          <w:rFonts w:ascii="Times New Roman" w:hAnsi="Times New Roman"/>
          <w:sz w:val="24"/>
          <w:szCs w:val="24"/>
        </w:rPr>
        <w:t xml:space="preserve"> </w:t>
      </w:r>
    </w:p>
    <w:p w14:paraId="4BFFDE17" w14:textId="77777777" w:rsidR="00C72905" w:rsidRDefault="00C72905" w:rsidP="00C72905">
      <w:pPr>
        <w:jc w:val="center"/>
        <w:rPr>
          <w:rFonts w:cs="Calibri"/>
        </w:rPr>
      </w:pPr>
    </w:p>
    <w:p w14:paraId="345180C2" w14:textId="77777777" w:rsidR="00C72905" w:rsidRDefault="00C72905" w:rsidP="00C72905">
      <w:pPr>
        <w:pStyle w:val="NoSpacing"/>
        <w:rPr>
          <w:rFonts w:ascii="Times New Roman" w:hAnsi="Times New Roman"/>
          <w:b/>
          <w:bCs/>
          <w:sz w:val="24"/>
          <w:szCs w:val="24"/>
        </w:rPr>
      </w:pPr>
      <w:r w:rsidRPr="00A15543">
        <w:rPr>
          <w:rFonts w:ascii="Times New Roman" w:hAnsi="Times New Roman"/>
          <w:b/>
          <w:bCs/>
          <w:sz w:val="24"/>
          <w:szCs w:val="24"/>
        </w:rPr>
        <w:t>Legal Lesson Learned:</w:t>
      </w:r>
      <w:r>
        <w:rPr>
          <w:rFonts w:ascii="Times New Roman" w:hAnsi="Times New Roman"/>
          <w:b/>
          <w:bCs/>
          <w:sz w:val="24"/>
          <w:szCs w:val="24"/>
        </w:rPr>
        <w:t xml:space="preserve"> If you plead guilty to a lesser offense to avoid much longer prison sentence, with advice of legal counsel, then </w:t>
      </w:r>
      <w:proofErr w:type="gramStart"/>
      <w:r>
        <w:rPr>
          <w:rFonts w:ascii="Times New Roman" w:hAnsi="Times New Roman"/>
          <w:b/>
          <w:bCs/>
          <w:sz w:val="24"/>
          <w:szCs w:val="24"/>
        </w:rPr>
        <w:t>very</w:t>
      </w:r>
      <w:proofErr w:type="gramEnd"/>
      <w:r>
        <w:rPr>
          <w:rFonts w:ascii="Times New Roman" w:hAnsi="Times New Roman"/>
          <w:b/>
          <w:bCs/>
          <w:sz w:val="24"/>
          <w:szCs w:val="24"/>
        </w:rPr>
        <w:t xml:space="preserve"> difficult to appeal on basis of ineffective legal counsel. </w:t>
      </w:r>
    </w:p>
    <w:p w14:paraId="35C5711D" w14:textId="77777777" w:rsidR="00C72905" w:rsidRDefault="00C72905" w:rsidP="00C72905">
      <w:pPr>
        <w:pStyle w:val="NoSpacing"/>
        <w:rPr>
          <w:rFonts w:ascii="Times New Roman" w:hAnsi="Times New Roman"/>
          <w:b/>
          <w:bCs/>
          <w:sz w:val="24"/>
          <w:szCs w:val="24"/>
        </w:rPr>
      </w:pPr>
    </w:p>
    <w:p w14:paraId="729128D1" w14:textId="77777777" w:rsidR="00C72905" w:rsidRPr="00A15543" w:rsidRDefault="00C72905" w:rsidP="00C72905">
      <w:pPr>
        <w:pStyle w:val="NoSpacing"/>
        <w:rPr>
          <w:rFonts w:ascii="Times New Roman" w:hAnsi="Times New Roman"/>
          <w:b/>
          <w:bCs/>
          <w:sz w:val="24"/>
          <w:szCs w:val="24"/>
        </w:rPr>
      </w:pPr>
      <w:r>
        <w:rPr>
          <w:rFonts w:ascii="Times New Roman" w:hAnsi="Times New Roman"/>
          <w:b/>
          <w:bCs/>
          <w:sz w:val="24"/>
          <w:szCs w:val="24"/>
        </w:rPr>
        <w:tab/>
      </w:r>
      <w:r w:rsidRPr="00F3105C">
        <w:rPr>
          <w:rFonts w:ascii="Times New Roman" w:hAnsi="Times New Roman"/>
          <w:sz w:val="24"/>
          <w:szCs w:val="24"/>
        </w:rPr>
        <w:t>Note: See articles on this tragic event</w:t>
      </w:r>
      <w:r>
        <w:rPr>
          <w:rFonts w:ascii="Times New Roman" w:hAnsi="Times New Roman"/>
          <w:b/>
          <w:bCs/>
          <w:sz w:val="24"/>
          <w:szCs w:val="24"/>
        </w:rPr>
        <w:t xml:space="preserve">.  </w:t>
      </w:r>
    </w:p>
    <w:p w14:paraId="45D7DE79" w14:textId="77777777" w:rsidR="00C72905" w:rsidRPr="00F3105C" w:rsidRDefault="00C72905" w:rsidP="00C72905">
      <w:pPr>
        <w:pStyle w:val="NoSpacing"/>
        <w:ind w:left="720"/>
        <w:rPr>
          <w:rFonts w:ascii="Times New Roman" w:eastAsia="Times New Roman" w:hAnsi="Times New Roman"/>
          <w:sz w:val="24"/>
          <w:szCs w:val="24"/>
        </w:rPr>
      </w:pPr>
      <w:r>
        <w:rPr>
          <w:rFonts w:ascii="Times New Roman" w:eastAsia="Times New Roman" w:hAnsi="Times New Roman"/>
          <w:kern w:val="36"/>
          <w:sz w:val="24"/>
          <w:szCs w:val="24"/>
        </w:rPr>
        <w:t xml:space="preserve">Dec. 14, 2017: </w:t>
      </w:r>
      <w:r w:rsidRPr="00F3105C">
        <w:rPr>
          <w:rFonts w:ascii="Times New Roman" w:eastAsia="Times New Roman" w:hAnsi="Times New Roman"/>
          <w:kern w:val="36"/>
          <w:sz w:val="24"/>
          <w:szCs w:val="24"/>
        </w:rPr>
        <w:t>“Firefighter charged with killing pregnant teen in DUI crash</w:t>
      </w:r>
      <w:r>
        <w:rPr>
          <w:rFonts w:ascii="Times New Roman" w:eastAsia="Times New Roman" w:hAnsi="Times New Roman"/>
          <w:kern w:val="36"/>
          <w:sz w:val="24"/>
          <w:szCs w:val="24"/>
        </w:rPr>
        <w:t xml:space="preserve">.” </w:t>
      </w:r>
      <w:hyperlink r:id="rId1907" w:history="1">
        <w:r w:rsidRPr="00216BB3">
          <w:rPr>
            <w:rStyle w:val="Hyperlink"/>
            <w:rFonts w:ascii="Times New Roman" w:eastAsia="Times New Roman" w:hAnsi="Times New Roman"/>
            <w:sz w:val="24"/>
            <w:szCs w:val="24"/>
          </w:rPr>
          <w:t>https://www.10tv.com/article/news/nation-world/firefighter-charged-killing-pregnant-teen-dui-crash/530-c59458ea-0d76-4ce2-8b1e-022640f424f8</w:t>
        </w:r>
      </w:hyperlink>
      <w:r w:rsidRPr="00F3105C">
        <w:rPr>
          <w:rFonts w:ascii="Times New Roman" w:eastAsia="Times New Roman" w:hAnsi="Times New Roman"/>
          <w:sz w:val="24"/>
          <w:szCs w:val="24"/>
        </w:rPr>
        <w:t xml:space="preserve"> </w:t>
      </w:r>
    </w:p>
    <w:p w14:paraId="057EAE3D" w14:textId="77777777" w:rsidR="00C72905" w:rsidRDefault="00C72905" w:rsidP="00C72905">
      <w:pPr>
        <w:spacing w:after="0" w:line="240" w:lineRule="auto"/>
        <w:rPr>
          <w:rFonts w:ascii="Times New Roman" w:eastAsia="Times New Roman" w:hAnsi="Times New Roman"/>
          <w:sz w:val="24"/>
          <w:szCs w:val="24"/>
        </w:rPr>
      </w:pPr>
    </w:p>
    <w:p w14:paraId="67EF0B50" w14:textId="77777777" w:rsidR="00C72905" w:rsidRPr="00A870A8" w:rsidRDefault="00C72905" w:rsidP="00C72905">
      <w:pPr>
        <w:pStyle w:val="Heading1"/>
        <w:ind w:left="720"/>
        <w:rPr>
          <w:b w:val="0"/>
          <w:bCs w:val="0"/>
          <w:kern w:val="0"/>
          <w:sz w:val="24"/>
          <w:szCs w:val="24"/>
        </w:rPr>
      </w:pPr>
      <w:r>
        <w:rPr>
          <w:b w:val="0"/>
          <w:bCs w:val="0"/>
          <w:sz w:val="24"/>
          <w:szCs w:val="24"/>
        </w:rPr>
        <w:t xml:space="preserve">Nov. 7, 2022: </w:t>
      </w:r>
      <w:r w:rsidRPr="00A870A8">
        <w:rPr>
          <w:b w:val="0"/>
          <w:bCs w:val="0"/>
          <w:sz w:val="24"/>
          <w:szCs w:val="24"/>
        </w:rPr>
        <w:t>“Former DFR firefighter sent to prison for DWI accident</w:t>
      </w:r>
      <w:r>
        <w:rPr>
          <w:b w:val="0"/>
          <w:bCs w:val="0"/>
          <w:sz w:val="24"/>
          <w:szCs w:val="24"/>
        </w:rPr>
        <w:t xml:space="preserve">. </w:t>
      </w:r>
      <w:r w:rsidRPr="00A870A8">
        <w:rPr>
          <w:b w:val="0"/>
          <w:bCs w:val="0"/>
          <w:sz w:val="24"/>
          <w:szCs w:val="24"/>
        </w:rPr>
        <w:t xml:space="preserve"> </w:t>
      </w:r>
      <w:hyperlink r:id="rId1908" w:history="1">
        <w:r w:rsidRPr="00216BB3">
          <w:rPr>
            <w:rStyle w:val="Hyperlink"/>
            <w:b w:val="0"/>
            <w:bCs w:val="0"/>
            <w:kern w:val="0"/>
            <w:sz w:val="24"/>
            <w:szCs w:val="24"/>
          </w:rPr>
          <w:t>https://www.audacy.com/krld/news/local/former-dfr-firefighter-sent-to-prison-for-dwi-accident</w:t>
        </w:r>
      </w:hyperlink>
      <w:r w:rsidRPr="00A870A8">
        <w:rPr>
          <w:b w:val="0"/>
          <w:bCs w:val="0"/>
          <w:kern w:val="0"/>
          <w:sz w:val="24"/>
          <w:szCs w:val="24"/>
        </w:rPr>
        <w:t xml:space="preserve"> </w:t>
      </w:r>
    </w:p>
    <w:p w14:paraId="44678573" w14:textId="77777777" w:rsidR="009C19A1" w:rsidRDefault="009C19A1" w:rsidP="00F326E5">
      <w:pPr>
        <w:rPr>
          <w:rFonts w:ascii="Arial Black" w:hAnsi="Arial Black"/>
          <w:b/>
          <w:sz w:val="24"/>
          <w:szCs w:val="24"/>
        </w:rPr>
      </w:pPr>
    </w:p>
    <w:p w14:paraId="2ED008FC" w14:textId="77777777" w:rsidR="009C19A1" w:rsidRDefault="009C19A1" w:rsidP="00F326E5">
      <w:pPr>
        <w:rPr>
          <w:rFonts w:ascii="Arial Black" w:hAnsi="Arial Black"/>
          <w:b/>
          <w:sz w:val="24"/>
          <w:szCs w:val="24"/>
        </w:rPr>
      </w:pPr>
    </w:p>
    <w:p w14:paraId="70FD9879" w14:textId="58040F69" w:rsidR="000644B6" w:rsidRDefault="000644B6" w:rsidP="00F326E5">
      <w:pPr>
        <w:rPr>
          <w:rFonts w:ascii="Arial Black" w:hAnsi="Arial Black"/>
          <w:b/>
          <w:sz w:val="24"/>
          <w:szCs w:val="24"/>
        </w:rPr>
      </w:pPr>
      <w:r>
        <w:rPr>
          <w:rFonts w:ascii="Arial Black" w:hAnsi="Arial Black"/>
          <w:b/>
          <w:sz w:val="24"/>
          <w:szCs w:val="24"/>
        </w:rPr>
        <w:t>12-23</w:t>
      </w:r>
    </w:p>
    <w:p w14:paraId="3B39510E" w14:textId="77777777" w:rsidR="000644B6" w:rsidRDefault="000644B6" w:rsidP="000644B6">
      <w:pPr>
        <w:pStyle w:val="NormalWeb"/>
        <w:rPr>
          <w:rFonts w:ascii="Arial Black" w:hAnsi="Arial Black"/>
          <w:b/>
          <w:bCs/>
          <w:sz w:val="28"/>
          <w:szCs w:val="28"/>
        </w:rPr>
      </w:pPr>
      <w:r>
        <w:rPr>
          <w:rFonts w:ascii="Arial Black" w:hAnsi="Arial Black"/>
          <w:b/>
          <w:bCs/>
          <w:sz w:val="28"/>
          <w:szCs w:val="28"/>
        </w:rPr>
        <w:t>TX: OFF DUTY FF AT CITY HALL TO COPY EEOC DOCUMENT – APPEARED INTOXICATED – REFUSED BE TESTED – FIRED</w:t>
      </w:r>
    </w:p>
    <w:p w14:paraId="20E748A0" w14:textId="77777777" w:rsidR="000644B6" w:rsidRDefault="000644B6" w:rsidP="000644B6">
      <w:pPr>
        <w:pStyle w:val="NormalWeb"/>
      </w:pPr>
      <w:r w:rsidRPr="00A65A26">
        <w:t xml:space="preserve">On </w:t>
      </w:r>
      <w:r>
        <w:t xml:space="preserve">July 24, 2023, in </w:t>
      </w:r>
      <w:r w:rsidRPr="00A65A26">
        <w:rPr>
          <w:u w:val="single"/>
        </w:rPr>
        <w:t>Jason January v. City of Huntsville</w:t>
      </w:r>
      <w:r>
        <w:t>, the U.S. Court of Appeals for 5</w:t>
      </w:r>
      <w:r w:rsidRPr="00A65A26">
        <w:rPr>
          <w:vertAlign w:val="superscript"/>
        </w:rPr>
        <w:t>th</w:t>
      </w:r>
      <w:r>
        <w:t xml:space="preserve"> Circuit (New Orleans), held (2 to 1) that the City was properly granted summary judgment since the FF could not prove City’s explication for firing him was a pretext.  According to secretary in City Hall, the FF boxed her in and blocked the copy room </w:t>
      </w:r>
      <w:proofErr w:type="gramStart"/>
      <w:r>
        <w:t>exit, and</w:t>
      </w:r>
      <w:proofErr w:type="gramEnd"/>
      <w:r>
        <w:t xml:space="preserve"> told her that “when all of this comes out, they're going to be sorry that they messed with me." Ms. Poe, feeling threatened, escaped past him when she could and ran to hide in the women's bathroom nearby.  A video camera in the City Manager’s office showed the City Manager, with several other officials, ordering him to stay until his wife could drive him home.  He repeatedly refused to take a drug test (took test the following day). </w:t>
      </w:r>
    </w:p>
    <w:p w14:paraId="63D9E0FD" w14:textId="77777777" w:rsidR="000644B6" w:rsidRDefault="000644B6" w:rsidP="000644B6">
      <w:pPr>
        <w:pStyle w:val="NormalWeb"/>
      </w:pPr>
      <w:r>
        <w:t xml:space="preserve">The Court noted: “All told then, beyond temporal proximity, January produces no evidence that Lunsford's reasoning concerning his intoxication was false (such that he was not actually intoxicated at the time) or pretextual (such that January's protected activities were the real reason for his firing).  *** [The City’s explanation was as follows.] The </w:t>
      </w:r>
      <w:proofErr w:type="gramStart"/>
      <w:r>
        <w:t>City</w:t>
      </w:r>
      <w:proofErr w:type="gramEnd"/>
      <w:r>
        <w:t xml:space="preserve"> placed January on administrative leave and investigated. Two weeks later, it fired him. Director of Public Safety Kevin Lunsford, the decisionmaker, explained that January was fired because: 1) despite a drug test taken the next day showing no intoxication, there remained a ‘high probability’ that January was impaired at City Hall; 2) January was insubordinate because he refused to leave City Hall when told to do so; 3) January's lack of cooperation and intoxication harmed the City's reputation; and 4) January was disrespectful in intimidating and scaring Poe. Given January's past warning that any further violation could end his employment, the </w:t>
      </w:r>
      <w:proofErr w:type="gramStart"/>
      <w:r>
        <w:t>City</w:t>
      </w:r>
      <w:proofErr w:type="gramEnd"/>
      <w:r>
        <w:t xml:space="preserve"> terminated him. </w:t>
      </w:r>
      <w:hyperlink r:id="rId1909" w:history="1">
        <w:r w:rsidRPr="00B46EE7">
          <w:rPr>
            <w:rStyle w:val="Hyperlink"/>
            <w:rFonts w:eastAsiaTheme="majorEastAsia"/>
          </w:rPr>
          <w:t>https://cases.justia.com/federal/appellate-courts/ca5/22-20380/22-20380-2023-07-24.pdf?ts=1690219861</w:t>
        </w:r>
      </w:hyperlink>
      <w:r>
        <w:t xml:space="preserve"> </w:t>
      </w:r>
    </w:p>
    <w:p w14:paraId="18BF19E3" w14:textId="77777777" w:rsidR="000644B6" w:rsidRDefault="000644B6" w:rsidP="000644B6">
      <w:pPr>
        <w:pStyle w:val="NormalWeb"/>
      </w:pPr>
      <w:r>
        <w:t xml:space="preserve">Dissent:  </w:t>
      </w:r>
    </w:p>
    <w:p w14:paraId="7650D2A2" w14:textId="77777777" w:rsidR="000644B6" w:rsidRDefault="000644B6" w:rsidP="000644B6">
      <w:pPr>
        <w:pStyle w:val="NormalWeb"/>
        <w:ind w:left="720"/>
      </w:pPr>
      <w:r>
        <w:t>“As [</w:t>
      </w:r>
      <w:proofErr w:type="gramStart"/>
      <w:r>
        <w:t>secretary</w:t>
      </w:r>
      <w:proofErr w:type="gramEnd"/>
      <w:r>
        <w:t xml:space="preserve"> Ms.] Poe acknowledged, it was entirely normal for January to wait in the copy machine room with her while she was making copies. That is what most people do, so there is nothing to support the notion that he was threatening her by doing so. At some point January made his allegedly threatening statement, but, as Poe also admitted, she understood this statement to be directed </w:t>
      </w:r>
      <w:r>
        <w:rPr>
          <w:rStyle w:val="Emphasis"/>
        </w:rPr>
        <w:t>at Huntsville</w:t>
      </w:r>
      <w:r>
        <w:t xml:space="preserve">, rather than </w:t>
      </w:r>
      <w:r>
        <w:rPr>
          <w:rStyle w:val="Emphasis"/>
        </w:rPr>
        <w:t>herself</w:t>
      </w:r>
      <w:r>
        <w:t xml:space="preserve">. Put another way, he was threatening to sue the </w:t>
      </w:r>
      <w:proofErr w:type="gramStart"/>
      <w:r>
        <w:t>City</w:t>
      </w:r>
      <w:proofErr w:type="gramEnd"/>
      <w:r>
        <w:t>, not to hurt her physically (or otherwise). If telling one of the employees of a company or city that you are going to sue their employer is a threat that allows firing, that would be the opposite of the exact point of the retaliation clause: to preserve the protected activities of employees to file EEOC claims.”</w:t>
      </w:r>
    </w:p>
    <w:p w14:paraId="15AD8166" w14:textId="77777777" w:rsidR="000644B6" w:rsidRPr="006B356E" w:rsidRDefault="000644B6" w:rsidP="000644B6">
      <w:pPr>
        <w:pStyle w:val="NormalWeb"/>
        <w:rPr>
          <w:b/>
          <w:bCs/>
        </w:rPr>
      </w:pPr>
      <w:r w:rsidRPr="006B356E">
        <w:rPr>
          <w:b/>
          <w:bCs/>
        </w:rPr>
        <w:t xml:space="preserve">Legal Lesson Learned: </w:t>
      </w:r>
      <w:r>
        <w:rPr>
          <w:b/>
          <w:bCs/>
        </w:rPr>
        <w:t xml:space="preserve">The City officials had a reasonable basis to order a drug test; no retaliation for filing EEOC complaint was proven.  </w:t>
      </w:r>
    </w:p>
    <w:p w14:paraId="7D319C06" w14:textId="77777777" w:rsidR="000644B6" w:rsidRDefault="000644B6" w:rsidP="00F326E5">
      <w:pPr>
        <w:rPr>
          <w:rFonts w:ascii="Arial Black" w:hAnsi="Arial Black"/>
          <w:b/>
          <w:sz w:val="24"/>
          <w:szCs w:val="24"/>
        </w:rPr>
      </w:pPr>
    </w:p>
    <w:p w14:paraId="687B79FD" w14:textId="77777777" w:rsidR="000644B6" w:rsidRDefault="000644B6" w:rsidP="00F326E5">
      <w:pPr>
        <w:rPr>
          <w:rFonts w:ascii="Arial Black" w:hAnsi="Arial Black"/>
          <w:b/>
          <w:sz w:val="24"/>
          <w:szCs w:val="24"/>
        </w:rPr>
      </w:pPr>
    </w:p>
    <w:p w14:paraId="7F6E7CED" w14:textId="77777777" w:rsidR="000644B6" w:rsidRDefault="000644B6" w:rsidP="00F326E5">
      <w:pPr>
        <w:rPr>
          <w:rFonts w:ascii="Arial Black" w:hAnsi="Arial Black"/>
          <w:b/>
          <w:sz w:val="24"/>
          <w:szCs w:val="24"/>
        </w:rPr>
      </w:pPr>
    </w:p>
    <w:p w14:paraId="5C9B86D8" w14:textId="6403C376" w:rsidR="00237599" w:rsidRDefault="00237599" w:rsidP="00F326E5">
      <w:pPr>
        <w:rPr>
          <w:rFonts w:ascii="Arial Black" w:hAnsi="Arial Black"/>
          <w:b/>
          <w:sz w:val="24"/>
          <w:szCs w:val="24"/>
        </w:rPr>
      </w:pPr>
      <w:r>
        <w:rPr>
          <w:rFonts w:ascii="Arial Black" w:hAnsi="Arial Black"/>
          <w:b/>
          <w:sz w:val="24"/>
          <w:szCs w:val="24"/>
        </w:rPr>
        <w:t>12-22</w:t>
      </w:r>
    </w:p>
    <w:p w14:paraId="5CCE0507" w14:textId="77777777" w:rsidR="00237599" w:rsidRDefault="00237599" w:rsidP="00237599">
      <w:pPr>
        <w:pStyle w:val="NormalWeb"/>
        <w:rPr>
          <w:rFonts w:ascii="Arial Black" w:hAnsi="Arial Black"/>
          <w:sz w:val="28"/>
          <w:szCs w:val="28"/>
        </w:rPr>
      </w:pPr>
      <w:bookmarkStart w:id="414" w:name="_Hlk136860476"/>
      <w:r>
        <w:rPr>
          <w:rFonts w:ascii="Arial Black" w:hAnsi="Arial Black"/>
          <w:sz w:val="28"/>
          <w:szCs w:val="28"/>
        </w:rPr>
        <w:t>NY: OXYCONTIN – CO. BANKRUPTCY APPROVED, ALONG WITH SACKLER FAMILY RELEASE - $5 - $6B TO STATES</w:t>
      </w:r>
    </w:p>
    <w:bookmarkEnd w:id="414"/>
    <w:p w14:paraId="66A3C9AA" w14:textId="77777777" w:rsidR="00237599" w:rsidRPr="005B0088" w:rsidRDefault="00237599" w:rsidP="00237599">
      <w:pPr>
        <w:pStyle w:val="NormalWeb"/>
        <w:rPr>
          <w:rFonts w:ascii="Arial Black" w:hAnsi="Arial Black"/>
          <w:sz w:val="28"/>
          <w:szCs w:val="28"/>
        </w:rPr>
      </w:pPr>
      <w:r>
        <w:t xml:space="preserve">On May 30, 2023, in bankruptcy case </w:t>
      </w:r>
      <w:r w:rsidRPr="002F4F98">
        <w:rPr>
          <w:rStyle w:val="markedcontent"/>
          <w:u w:val="single"/>
        </w:rPr>
        <w:t>In Re: Purdue Pharma L.P., et a</w:t>
      </w:r>
      <w:r>
        <w:rPr>
          <w:rStyle w:val="markedcontent"/>
        </w:rPr>
        <w:t xml:space="preserve">l., </w:t>
      </w:r>
      <w:r>
        <w:t>the U.S. Court of Appeals for Second Circuit (in New York City), approved (3 to 0) settlement of mass tort litigation from overdose deaths from OxyContin, and the Sackler family owners will pay about $5 to $6 billion to state and local governments and others and give up control of Purdue Pharma (based in Stamford, CT) , and about $750 million will go to individuals (ranging from $3,500 to $48,000). Several states had opposed the plan, but with revisions all agreed to the plan. In 2021, U.S. District Judge Colleen McMahon in New York found that federal bankruptcy law does not give the bankruptcy judge who had accepted the plan the authority to grant that kind of release to Sackler family; the 2</w:t>
      </w:r>
      <w:r w:rsidRPr="007A5B02">
        <w:rPr>
          <w:vertAlign w:val="superscript"/>
        </w:rPr>
        <w:t>nd</w:t>
      </w:r>
      <w:r>
        <w:t xml:space="preserve"> Circuit reversed that ruling.  </w:t>
      </w:r>
      <w:hyperlink r:id="rId1910" w:anchor="xml=https://www.ca2.uscourts.gov/decisions/isysquery/8c1d712c-7872-4b25-a064-fe1fbb801f2a/1/hilite/" w:history="1">
        <w:r w:rsidRPr="00BA70FB">
          <w:rPr>
            <w:rStyle w:val="Hyperlink"/>
            <w:rFonts w:eastAsiaTheme="majorEastAsia"/>
          </w:rPr>
          <w:t>https://www.ca2.uscourts.gov/decisions/isysquery/8c1d712c-7872-4b25-a064-fe1fbb801f2a/1/doc/22-110_complete_opn.pdf#xml=https://www.ca2.uscourts.gov/decisions/isysquery/8c1d712c-7872-4b25-a064-fe1fbb801f2a/1/hilite/</w:t>
        </w:r>
      </w:hyperlink>
      <w:r>
        <w:t xml:space="preserve">  </w:t>
      </w:r>
    </w:p>
    <w:p w14:paraId="347C5CB8" w14:textId="77777777" w:rsidR="00237599" w:rsidRPr="005B0088" w:rsidRDefault="00237599" w:rsidP="00237599">
      <w:pPr>
        <w:pStyle w:val="NormalWeb"/>
        <w:ind w:left="720"/>
        <w:jc w:val="both"/>
        <w:rPr>
          <w:rFonts w:ascii="Arial Black" w:hAnsi="Arial Black"/>
          <w:sz w:val="28"/>
          <w:szCs w:val="28"/>
        </w:rPr>
      </w:pPr>
      <w:r>
        <w:t>“</w:t>
      </w:r>
      <w:r>
        <w:rPr>
          <w:rStyle w:val="markedcontent"/>
        </w:rPr>
        <w:t xml:space="preserve">In sum, we reverse the district court’s holding that the bankruptcy court lacked the authority to approve the Plan that included the nonconsensual third-party releases. We instead hold that the bankruptcy court properly approved the Plan and made the requisite detailed factual findings to approve of the Shareholder Releases.” </w:t>
      </w:r>
    </w:p>
    <w:p w14:paraId="2863C9AB" w14:textId="77777777" w:rsidR="00237599" w:rsidRPr="001F18CE" w:rsidRDefault="00237599" w:rsidP="00237599">
      <w:pPr>
        <w:pStyle w:val="NormalWeb"/>
        <w:rPr>
          <w:rStyle w:val="markedcontent"/>
          <w:b/>
          <w:bCs/>
        </w:rPr>
      </w:pPr>
      <w:r w:rsidRPr="001F18CE">
        <w:rPr>
          <w:rStyle w:val="markedcontent"/>
          <w:b/>
          <w:bCs/>
        </w:rPr>
        <w:t xml:space="preserve">Legal Lesson Learned: </w:t>
      </w:r>
      <w:r>
        <w:rPr>
          <w:rStyle w:val="markedcontent"/>
          <w:b/>
          <w:bCs/>
        </w:rPr>
        <w:t xml:space="preserve">OxyContin has led to death of many; this bankruptcy ends numerous mass tort cases.  </w:t>
      </w:r>
    </w:p>
    <w:p w14:paraId="173C6EB4" w14:textId="77777777" w:rsidR="00237599" w:rsidRDefault="00237599" w:rsidP="00237599">
      <w:pPr>
        <w:pStyle w:val="NormalWeb"/>
        <w:ind w:left="720"/>
        <w:rPr>
          <w:b/>
          <w:bCs/>
        </w:rPr>
      </w:pPr>
      <w:r>
        <w:rPr>
          <w:rStyle w:val="markedcontent"/>
        </w:rPr>
        <w:t xml:space="preserve">Note: </w:t>
      </w:r>
      <w:r w:rsidRPr="005B0088">
        <w:t xml:space="preserve">See May 30, </w:t>
      </w:r>
      <w:proofErr w:type="gramStart"/>
      <w:r w:rsidRPr="005B0088">
        <w:t>2023</w:t>
      </w:r>
      <w:proofErr w:type="gramEnd"/>
      <w:r w:rsidRPr="005B0088">
        <w:t xml:space="preserve"> article, “A landmark appeals court ruling clears way for Purdue Pharma-Sackler bankruptcy deal.”</w:t>
      </w:r>
      <w:r>
        <w:rPr>
          <w:b/>
          <w:bCs/>
        </w:rPr>
        <w:t xml:space="preserve"> </w:t>
      </w:r>
      <w:hyperlink r:id="rId1911" w:history="1">
        <w:r w:rsidRPr="00BA70FB">
          <w:rPr>
            <w:rStyle w:val="Hyperlink"/>
            <w:rFonts w:eastAsiaTheme="majorEastAsia"/>
          </w:rPr>
          <w:t>https://www.npr.org/2023/05/30/1178850879/sackler-family-purdue-pharma-immunity-lawsuits-oxycontin-opioid</w:t>
        </w:r>
      </w:hyperlink>
      <w:r>
        <w:rPr>
          <w:b/>
          <w:bCs/>
        </w:rPr>
        <w:t xml:space="preserve"> </w:t>
      </w:r>
    </w:p>
    <w:p w14:paraId="046FBC9C" w14:textId="77777777" w:rsidR="00237599" w:rsidRPr="005B0088" w:rsidRDefault="00237599" w:rsidP="00237599">
      <w:pPr>
        <w:pStyle w:val="NormalWeb"/>
        <w:ind w:left="1440"/>
        <w:rPr>
          <w:color w:val="000000" w:themeColor="text1"/>
        </w:rPr>
      </w:pPr>
      <w:r w:rsidRPr="005B0088">
        <w:rPr>
          <w:color w:val="000000" w:themeColor="text1"/>
        </w:rPr>
        <w:t xml:space="preserve">“As part of the bankruptcy settlement, the </w:t>
      </w:r>
      <w:proofErr w:type="spellStart"/>
      <w:r w:rsidRPr="005B0088">
        <w:rPr>
          <w:color w:val="000000" w:themeColor="text1"/>
        </w:rPr>
        <w:t>Sacklers</w:t>
      </w:r>
      <w:proofErr w:type="spellEnd"/>
      <w:r w:rsidRPr="005B0088">
        <w:rPr>
          <w:color w:val="000000" w:themeColor="text1"/>
        </w:rPr>
        <w:t xml:space="preserve"> are </w:t>
      </w:r>
      <w:hyperlink r:id="rId1912" w:anchor=":~:text=The%20Sackler%20families%20must%20pay,to%20the%20previous%20bankruptcy%20plan." w:history="1">
        <w:r w:rsidRPr="005B0088">
          <w:rPr>
            <w:rStyle w:val="Hyperlink"/>
            <w:rFonts w:eastAsiaTheme="majorEastAsia"/>
            <w:color w:val="000000" w:themeColor="text1"/>
          </w:rPr>
          <w:t>expected to pay roughly $5 to $6 billion and give up control of Purdue Pharma</w:t>
        </w:r>
      </w:hyperlink>
      <w:r w:rsidRPr="005B0088">
        <w:rPr>
          <w:color w:val="000000" w:themeColor="text1"/>
        </w:rPr>
        <w:t>. Roughly $750 million from that payout will go to individuals across the U.S. who became addicted to OxyContin and to the families of those who died from overdoses.”</w:t>
      </w:r>
    </w:p>
    <w:p w14:paraId="4DA353E5" w14:textId="77777777" w:rsidR="00237599" w:rsidRPr="00BD34DC" w:rsidRDefault="00237599" w:rsidP="00237599">
      <w:pPr>
        <w:pStyle w:val="Heading1"/>
        <w:ind w:left="720"/>
        <w:rPr>
          <w:b w:val="0"/>
          <w:bCs w:val="0"/>
          <w:sz w:val="24"/>
          <w:szCs w:val="24"/>
        </w:rPr>
      </w:pPr>
      <w:r w:rsidRPr="00BD34DC">
        <w:rPr>
          <w:b w:val="0"/>
          <w:bCs w:val="0"/>
          <w:sz w:val="24"/>
          <w:szCs w:val="24"/>
        </w:rPr>
        <w:t xml:space="preserve">See March 3, </w:t>
      </w:r>
      <w:proofErr w:type="gramStart"/>
      <w:r w:rsidRPr="00BD34DC">
        <w:rPr>
          <w:b w:val="0"/>
          <w:bCs w:val="0"/>
          <w:sz w:val="24"/>
          <w:szCs w:val="24"/>
        </w:rPr>
        <w:t>2022</w:t>
      </w:r>
      <w:proofErr w:type="gramEnd"/>
      <w:r w:rsidRPr="00BD34DC">
        <w:rPr>
          <w:b w:val="0"/>
          <w:bCs w:val="0"/>
          <w:sz w:val="24"/>
          <w:szCs w:val="24"/>
        </w:rPr>
        <w:t xml:space="preserve"> New York Times article, </w:t>
      </w:r>
      <w:r>
        <w:rPr>
          <w:b w:val="0"/>
          <w:bCs w:val="0"/>
          <w:sz w:val="24"/>
          <w:szCs w:val="24"/>
        </w:rPr>
        <w:t>“</w:t>
      </w:r>
      <w:proofErr w:type="spellStart"/>
      <w:r w:rsidRPr="00BD34DC">
        <w:rPr>
          <w:b w:val="0"/>
          <w:bCs w:val="0"/>
          <w:sz w:val="24"/>
          <w:szCs w:val="24"/>
        </w:rPr>
        <w:t>Sacklers</w:t>
      </w:r>
      <w:proofErr w:type="spellEnd"/>
      <w:r w:rsidRPr="00BD34DC">
        <w:rPr>
          <w:b w:val="0"/>
          <w:bCs w:val="0"/>
          <w:sz w:val="24"/>
          <w:szCs w:val="24"/>
        </w:rPr>
        <w:t xml:space="preserve"> and Purdue Pharma Reach New Deal </w:t>
      </w:r>
      <w:proofErr w:type="gramStart"/>
      <w:r w:rsidRPr="00BD34DC">
        <w:rPr>
          <w:b w:val="0"/>
          <w:bCs w:val="0"/>
          <w:sz w:val="24"/>
          <w:szCs w:val="24"/>
        </w:rPr>
        <w:t>With</w:t>
      </w:r>
      <w:proofErr w:type="gramEnd"/>
      <w:r w:rsidRPr="00BD34DC">
        <w:rPr>
          <w:b w:val="0"/>
          <w:bCs w:val="0"/>
          <w:sz w:val="24"/>
          <w:szCs w:val="24"/>
        </w:rPr>
        <w:t xml:space="preserve"> States Over Opioids</w:t>
      </w:r>
      <w:r>
        <w:rPr>
          <w:b w:val="0"/>
          <w:bCs w:val="0"/>
          <w:sz w:val="24"/>
          <w:szCs w:val="24"/>
        </w:rPr>
        <w:t xml:space="preserve">.” </w:t>
      </w:r>
      <w:hyperlink r:id="rId1913" w:history="1">
        <w:r w:rsidRPr="006E17D1">
          <w:rPr>
            <w:rStyle w:val="Hyperlink"/>
            <w:rFonts w:eastAsiaTheme="majorEastAsia"/>
            <w:b w:val="0"/>
            <w:bCs w:val="0"/>
            <w:sz w:val="24"/>
            <w:szCs w:val="24"/>
          </w:rPr>
          <w:t>https://www.nytimes.com/2022/03/03/health/sacklers-purdue-oxycontin-settlement.html</w:t>
        </w:r>
      </w:hyperlink>
      <w:r>
        <w:rPr>
          <w:b w:val="0"/>
          <w:bCs w:val="0"/>
          <w:sz w:val="24"/>
          <w:szCs w:val="24"/>
        </w:rPr>
        <w:t xml:space="preserve"> </w:t>
      </w:r>
    </w:p>
    <w:p w14:paraId="0DD668A0" w14:textId="77777777" w:rsidR="00237599" w:rsidRDefault="00237599" w:rsidP="00237599">
      <w:pPr>
        <w:pStyle w:val="css-1n0orw4"/>
        <w:ind w:left="1440"/>
      </w:pPr>
      <w:r>
        <w:t xml:space="preserve">“The agreement brought holdout states on </w:t>
      </w:r>
      <w:proofErr w:type="gramStart"/>
      <w:r>
        <w:t>board, and</w:t>
      </w:r>
      <w:proofErr w:type="gramEnd"/>
      <w:r>
        <w:t xml:space="preserve"> would settle thousands of lawsuits over the company’s and family’s roles in the opioid epidemic. The </w:t>
      </w:r>
      <w:proofErr w:type="spellStart"/>
      <w:r>
        <w:t>Sacklers</w:t>
      </w:r>
      <w:proofErr w:type="spellEnd"/>
      <w:r>
        <w:t xml:space="preserve"> agreed to pay an extra $1 billion. Members of the billionaire Sackler family and their company, Purdue Pharma, have reached a deal with a group of states that had long resisted the company’s bankruptcy plan — a crucial step toward funneling billions of dollars from the family’s fortune to addiction treatment programs nationwide, according to a </w:t>
      </w:r>
      <w:hyperlink r:id="rId1914" w:tgtFrame="_blank" w:history="1">
        <w:r>
          <w:rPr>
            <w:rStyle w:val="Hyperlink"/>
            <w:rFonts w:eastAsiaTheme="majorEastAsia"/>
          </w:rPr>
          <w:t>court filing</w:t>
        </w:r>
      </w:hyperlink>
      <w:r>
        <w:t xml:space="preserve"> on Thursday. If Judge Robert Drain, who has presided over Purdue’s bankruptcy proceedings in White Plains, N.Y., approves the agreement, the </w:t>
      </w:r>
      <w:proofErr w:type="spellStart"/>
      <w:r>
        <w:t>Sacklers</w:t>
      </w:r>
      <w:proofErr w:type="spellEnd"/>
      <w:r>
        <w:t xml:space="preserve"> would pay as much as $6 billion to help communities address the damage from the opioid crisis. In return, Sackler family members would get the</w:t>
      </w:r>
      <w:hyperlink r:id="rId1915" w:history="1">
        <w:r>
          <w:rPr>
            <w:rStyle w:val="Hyperlink"/>
            <w:rFonts w:eastAsiaTheme="majorEastAsia"/>
          </w:rPr>
          <w:t xml:space="preserve"> prize they insisted upon for nearly three years</w:t>
        </w:r>
      </w:hyperlink>
      <w:r>
        <w:t xml:space="preserve">: an end to all current and future civil claims against them over the company’s prescription opioid </w:t>
      </w:r>
      <w:proofErr w:type="gramStart"/>
      <w:r>
        <w:t>business.”</w:t>
      </w:r>
      <w:proofErr w:type="gramEnd"/>
    </w:p>
    <w:p w14:paraId="7578779F" w14:textId="77777777" w:rsidR="00237599" w:rsidRDefault="00237599" w:rsidP="00237599">
      <w:pPr>
        <w:pStyle w:val="Heading1"/>
        <w:ind w:left="720"/>
        <w:rPr>
          <w:b w:val="0"/>
          <w:bCs w:val="0"/>
          <w:sz w:val="24"/>
          <w:szCs w:val="24"/>
        </w:rPr>
      </w:pPr>
      <w:r>
        <w:rPr>
          <w:b w:val="0"/>
          <w:bCs w:val="0"/>
          <w:sz w:val="24"/>
          <w:szCs w:val="24"/>
        </w:rPr>
        <w:t xml:space="preserve">See </w:t>
      </w:r>
      <w:r w:rsidRPr="00022A47">
        <w:rPr>
          <w:b w:val="0"/>
          <w:bCs w:val="0"/>
          <w:sz w:val="24"/>
          <w:szCs w:val="24"/>
        </w:rPr>
        <w:t xml:space="preserve">Oct. 21, </w:t>
      </w:r>
      <w:proofErr w:type="gramStart"/>
      <w:r w:rsidRPr="00022A47">
        <w:rPr>
          <w:b w:val="0"/>
          <w:bCs w:val="0"/>
          <w:sz w:val="24"/>
          <w:szCs w:val="24"/>
        </w:rPr>
        <w:t>20</w:t>
      </w:r>
      <w:r>
        <w:rPr>
          <w:b w:val="0"/>
          <w:bCs w:val="0"/>
          <w:sz w:val="24"/>
          <w:szCs w:val="24"/>
        </w:rPr>
        <w:t>20</w:t>
      </w:r>
      <w:proofErr w:type="gramEnd"/>
      <w:r>
        <w:rPr>
          <w:b w:val="0"/>
          <w:bCs w:val="0"/>
          <w:sz w:val="24"/>
          <w:szCs w:val="24"/>
        </w:rPr>
        <w:t xml:space="preserve"> Press Release, “</w:t>
      </w:r>
      <w:r w:rsidRPr="00022A47">
        <w:rPr>
          <w:b w:val="0"/>
          <w:bCs w:val="0"/>
          <w:sz w:val="24"/>
          <w:szCs w:val="24"/>
        </w:rPr>
        <w:t>Justice Department Announces Global Resolution of Criminal and Civil Investigations with Opioid Manufacturer Purdue Pharma and Civil Settlement with Members of the Sackler Family</w:t>
      </w:r>
      <w:r>
        <w:rPr>
          <w:b w:val="0"/>
          <w:bCs w:val="0"/>
          <w:sz w:val="24"/>
          <w:szCs w:val="24"/>
        </w:rPr>
        <w:t>.”</w:t>
      </w:r>
      <w:r w:rsidRPr="00022A47">
        <w:t xml:space="preserve"> </w:t>
      </w:r>
      <w:hyperlink r:id="rId1916" w:history="1">
        <w:r w:rsidRPr="005639A2">
          <w:rPr>
            <w:rStyle w:val="Hyperlink"/>
            <w:rFonts w:eastAsiaTheme="majorEastAsia"/>
            <w:b w:val="0"/>
            <w:bCs w:val="0"/>
            <w:sz w:val="24"/>
            <w:szCs w:val="24"/>
          </w:rPr>
          <w:t>https://www.justice.gov/opa/pr/justice-department-announces-global-resolution-criminal-and-civil-investigations-opioid</w:t>
        </w:r>
      </w:hyperlink>
      <w:r>
        <w:rPr>
          <w:b w:val="0"/>
          <w:bCs w:val="0"/>
          <w:sz w:val="24"/>
          <w:szCs w:val="24"/>
        </w:rPr>
        <w:t xml:space="preserve"> </w:t>
      </w:r>
    </w:p>
    <w:p w14:paraId="29920321" w14:textId="77777777" w:rsidR="00237599" w:rsidRPr="00022A47" w:rsidRDefault="00237599" w:rsidP="00237599">
      <w:pPr>
        <w:pStyle w:val="Heading1"/>
        <w:ind w:left="1440"/>
        <w:rPr>
          <w:b w:val="0"/>
          <w:bCs w:val="0"/>
          <w:sz w:val="24"/>
          <w:szCs w:val="24"/>
        </w:rPr>
      </w:pPr>
      <w:r>
        <w:rPr>
          <w:b w:val="0"/>
          <w:bCs w:val="0"/>
          <w:sz w:val="24"/>
          <w:szCs w:val="24"/>
        </w:rPr>
        <w:t>“</w:t>
      </w:r>
      <w:r w:rsidRPr="00022A47">
        <w:rPr>
          <w:b w:val="0"/>
          <w:bCs w:val="0"/>
          <w:sz w:val="24"/>
          <w:szCs w:val="24"/>
        </w:rPr>
        <w:t xml:space="preserve">Under a separate civil settlement, individual members of the Sackler family will pay the United States $225 million arising from the alleged conduct of Dr. Richard Sackler, David Sackler, Mortimer D.A. Sackler, Dr. Kathe Sackler, and Jonathan Sackler (the Named </w:t>
      </w:r>
      <w:proofErr w:type="spellStart"/>
      <w:r w:rsidRPr="00022A47">
        <w:rPr>
          <w:b w:val="0"/>
          <w:bCs w:val="0"/>
          <w:sz w:val="24"/>
          <w:szCs w:val="24"/>
        </w:rPr>
        <w:t>Sacklers</w:t>
      </w:r>
      <w:proofErr w:type="spellEnd"/>
      <w:r w:rsidRPr="00022A47">
        <w:rPr>
          <w:b w:val="0"/>
          <w:bCs w:val="0"/>
          <w:sz w:val="24"/>
          <w:szCs w:val="24"/>
        </w:rPr>
        <w:t xml:space="preserve">).  This settlement resolves allegations that, in 2012, the Named </w:t>
      </w:r>
      <w:proofErr w:type="spellStart"/>
      <w:r w:rsidRPr="00022A47">
        <w:rPr>
          <w:b w:val="0"/>
          <w:bCs w:val="0"/>
          <w:sz w:val="24"/>
          <w:szCs w:val="24"/>
        </w:rPr>
        <w:t>Sacklers</w:t>
      </w:r>
      <w:proofErr w:type="spellEnd"/>
      <w:r w:rsidRPr="00022A47">
        <w:rPr>
          <w:b w:val="0"/>
          <w:bCs w:val="0"/>
          <w:sz w:val="24"/>
          <w:szCs w:val="24"/>
        </w:rPr>
        <w:t xml:space="preserve"> knew that the legitimate market for Purdue’s opioids had contracted.  Nevertheless, they requested that Purdue executives recapture lost sales and increase Purdue’s share of the opioid market.  The Named </w:t>
      </w:r>
      <w:proofErr w:type="spellStart"/>
      <w:r w:rsidRPr="00022A47">
        <w:rPr>
          <w:b w:val="0"/>
          <w:bCs w:val="0"/>
          <w:sz w:val="24"/>
          <w:szCs w:val="24"/>
        </w:rPr>
        <w:t>Sacklers</w:t>
      </w:r>
      <w:proofErr w:type="spellEnd"/>
      <w:r w:rsidRPr="00022A47">
        <w:rPr>
          <w:b w:val="0"/>
          <w:bCs w:val="0"/>
          <w:sz w:val="24"/>
          <w:szCs w:val="24"/>
        </w:rPr>
        <w:t xml:space="preserve"> then approved a new marketing program beginning in 2013 called </w:t>
      </w:r>
      <w:r>
        <w:rPr>
          <w:b w:val="0"/>
          <w:bCs w:val="0"/>
          <w:sz w:val="24"/>
          <w:szCs w:val="24"/>
        </w:rPr>
        <w:t>‘</w:t>
      </w:r>
      <w:r w:rsidRPr="00022A47">
        <w:rPr>
          <w:b w:val="0"/>
          <w:bCs w:val="0"/>
          <w:sz w:val="24"/>
          <w:szCs w:val="24"/>
        </w:rPr>
        <w:t>Evolve to Excellence,</w:t>
      </w:r>
      <w:r>
        <w:rPr>
          <w:b w:val="0"/>
          <w:bCs w:val="0"/>
          <w:sz w:val="24"/>
          <w:szCs w:val="24"/>
        </w:rPr>
        <w:t>’</w:t>
      </w:r>
      <w:r w:rsidRPr="00022A47">
        <w:rPr>
          <w:b w:val="0"/>
          <w:bCs w:val="0"/>
          <w:sz w:val="24"/>
          <w:szCs w:val="24"/>
        </w:rPr>
        <w:t xml:space="preserve"> through which Purdue sales representatives intensified their marketing of OxyContin to extreme, high-volume prescribers who were already writing “25 times as many OxyContin scripts” as their peers, causing health care providers to prescribe opioids for uses that were unsafe, ineffective, and medically unnecessary, and that often led to abuse and diversion.</w:t>
      </w:r>
      <w:r>
        <w:rPr>
          <w:b w:val="0"/>
          <w:bCs w:val="0"/>
          <w:sz w:val="24"/>
          <w:szCs w:val="24"/>
        </w:rPr>
        <w:t>”</w:t>
      </w:r>
      <w:r w:rsidRPr="00022A47">
        <w:rPr>
          <w:b w:val="0"/>
          <w:bCs w:val="0"/>
          <w:sz w:val="24"/>
          <w:szCs w:val="24"/>
        </w:rPr>
        <w:t xml:space="preserve">    </w:t>
      </w:r>
    </w:p>
    <w:p w14:paraId="6BD81C99" w14:textId="77777777" w:rsidR="00237599" w:rsidRDefault="00237599" w:rsidP="00F326E5">
      <w:pPr>
        <w:rPr>
          <w:rFonts w:ascii="Arial Black" w:hAnsi="Arial Black"/>
          <w:b/>
          <w:sz w:val="24"/>
          <w:szCs w:val="24"/>
        </w:rPr>
      </w:pPr>
    </w:p>
    <w:p w14:paraId="37276519" w14:textId="77777777" w:rsidR="00237599" w:rsidRDefault="00237599" w:rsidP="00F326E5">
      <w:pPr>
        <w:rPr>
          <w:rFonts w:ascii="Arial Black" w:hAnsi="Arial Black"/>
          <w:b/>
          <w:sz w:val="24"/>
          <w:szCs w:val="24"/>
        </w:rPr>
      </w:pPr>
    </w:p>
    <w:p w14:paraId="73A66DE2" w14:textId="559102DB" w:rsidR="00F55395" w:rsidRDefault="00F55395" w:rsidP="00F326E5">
      <w:pPr>
        <w:rPr>
          <w:rFonts w:ascii="Arial Black" w:hAnsi="Arial Black"/>
          <w:b/>
          <w:sz w:val="24"/>
          <w:szCs w:val="24"/>
        </w:rPr>
      </w:pPr>
      <w:r>
        <w:rPr>
          <w:rFonts w:ascii="Arial Black" w:hAnsi="Arial Black"/>
          <w:b/>
          <w:sz w:val="24"/>
          <w:szCs w:val="24"/>
        </w:rPr>
        <w:t>12-21</w:t>
      </w:r>
    </w:p>
    <w:p w14:paraId="6EA76482" w14:textId="77777777" w:rsidR="00F55395" w:rsidRDefault="00F55395" w:rsidP="00F55395">
      <w:pPr>
        <w:pStyle w:val="NormalWeb"/>
        <w:rPr>
          <w:rFonts w:ascii="Arial Black" w:hAnsi="Arial Black"/>
          <w:sz w:val="28"/>
          <w:szCs w:val="28"/>
        </w:rPr>
      </w:pPr>
      <w:r>
        <w:rPr>
          <w:rFonts w:ascii="Arial Black" w:hAnsi="Arial Black"/>
          <w:sz w:val="28"/>
          <w:szCs w:val="28"/>
        </w:rPr>
        <w:t>PA: 7 DISPATCHERS FIRED – EGG NOG / ALCOHOL – THEIR PRIOR CALL CENTER ISSUES NOT “CITIZEN SPEECH”</w:t>
      </w:r>
    </w:p>
    <w:p w14:paraId="26C7C252" w14:textId="77777777" w:rsidR="00F55395" w:rsidRDefault="00F55395" w:rsidP="00F55395">
      <w:pPr>
        <w:pStyle w:val="NormalWeb"/>
      </w:pPr>
      <w:r>
        <w:t xml:space="preserve">On March 9, 2023, in </w:t>
      </w:r>
      <w:r w:rsidRPr="00D85D57">
        <w:rPr>
          <w:u w:val="single"/>
        </w:rPr>
        <w:t>Justin Zucal, et al. v. County of Lehigh, et al</w:t>
      </w:r>
      <w:r>
        <w:t xml:space="preserve">., U.S. District Court Judge John M. Gallaher, Eastern District of Pennsylvania, granted the defense motion to dismiss the lawsuit filed by seven dispatchers who were fired on Jan. 21, </w:t>
      </w:r>
      <w:proofErr w:type="gramStart"/>
      <w:r>
        <w:t>2020</w:t>
      </w:r>
      <w:proofErr w:type="gramEnd"/>
      <w:r>
        <w:t xml:space="preserve"> after the New Year’s Eve toast.  In January 2019, the Allentown 911 Emergency Call Center merged with the Lehigh County 911 Emergency Call Center; some dispatchers complained to County officials, and police and fire agencies about call center issues, and alleged discrimination against a Latino dispatcher.  The Court rejected their claim that they were fired in retaliation for exercising their First Amendment rights to complain to public.  “[T]he Court finds that Plaintiffs' complaints that serve as the basis for their retaliation claim are not protected by the First Amendment as citizen speech. And because the Plaintiffs' statements were made within their duties as government employees, the Court need not address whether their statements involved a matter of public concern or whether the government lacked an ‘adequate justification' for treating the employee differently than the </w:t>
      </w:r>
      <w:proofErr w:type="gramStart"/>
      <w:r>
        <w:t>general public</w:t>
      </w:r>
      <w:proofErr w:type="gramEnd"/>
      <w:r>
        <w:t xml:space="preserve"> based on its needs as an employer under the </w:t>
      </w:r>
      <w:r>
        <w:rPr>
          <w:rStyle w:val="Emphasis"/>
        </w:rPr>
        <w:t>Pickering</w:t>
      </w:r>
      <w:r>
        <w:t xml:space="preserve"> balancing test.’ </w:t>
      </w:r>
      <w:r>
        <w:rPr>
          <w:rStyle w:val="Emphasis"/>
        </w:rPr>
        <w:t>Dougherty</w:t>
      </w:r>
      <w:r>
        <w:t xml:space="preserve">, 772 F.3d at 987 (quoting </w:t>
      </w:r>
      <w:r>
        <w:rPr>
          <w:rStyle w:val="Emphasis"/>
        </w:rPr>
        <w:t>Gorum</w:t>
      </w:r>
      <w:r>
        <w:t xml:space="preserve">, 561 F.3d at 185). Accordingly, Defendants' motion to dismiss this claim is granted.” </w:t>
      </w:r>
      <w:hyperlink r:id="rId1917" w:history="1">
        <w:r w:rsidRPr="005C1F1B">
          <w:rPr>
            <w:rStyle w:val="Hyperlink"/>
            <w:rFonts w:eastAsiaTheme="majorEastAsia"/>
          </w:rPr>
          <w:t>https://public.fastcase.com/J%2FJP6pdidelsXxEE4k%2BLMjguDlksD8dKELdpfFWP9cYBmH83FdbmlTzl%2FYR%2FGHKVJmTrfPX2dR0kqVK5JcTrQwWj0Xyj7G2BHa1wkLBWvR8%3D?utm_medium=email&amp;_hsmi=226712652&amp;_hsenc=p2ANqtz-8X8hd1OyKx9xBVWTYyyRcKWZqDrqGklavKHA9oFy03k-3f0cMxPP9GwSn13jNQOldot2axaAKjxlo1irLgFnquT2grYg&amp;utm_content=226712652&amp;utm_source=hs_email</w:t>
        </w:r>
      </w:hyperlink>
      <w:r>
        <w:t xml:space="preserve"> </w:t>
      </w:r>
    </w:p>
    <w:p w14:paraId="587682CD" w14:textId="77777777" w:rsidR="00F55395" w:rsidRDefault="00F55395" w:rsidP="00F55395">
      <w:pPr>
        <w:pStyle w:val="NormalWeb"/>
      </w:pPr>
      <w:r>
        <w:t xml:space="preserve">The Court described the “Fact Finding” meeting that led to their termination. </w:t>
      </w:r>
    </w:p>
    <w:p w14:paraId="5584E975" w14:textId="77777777" w:rsidR="00F55395" w:rsidRDefault="00F55395" w:rsidP="00F55395">
      <w:pPr>
        <w:pStyle w:val="NormalWeb"/>
        <w:ind w:left="720"/>
      </w:pPr>
      <w:r>
        <w:t>On December 31, 2019, Alvarez-Carril, Plaintiffs and other 911 dispatchers shared a New Year's Eve toast over small cups of eggnog….Plaintiffs claim that Gieringer granted permission to Alvarez-Carril to use alcohol for the toast….Plaintiffs also claim that prior to the toast, they had observed supervisors and other Lehigh County employees use, possess, or distribute alcohol on county property without any discipline….</w:t>
      </w:r>
    </w:p>
    <w:p w14:paraId="66FD186D" w14:textId="77777777" w:rsidR="00F55395" w:rsidRDefault="00F55395" w:rsidP="00F55395">
      <w:pPr>
        <w:pStyle w:val="NormalWeb"/>
        <w:ind w:left="720"/>
      </w:pPr>
      <w:r>
        <w:t>***</w:t>
      </w:r>
    </w:p>
    <w:p w14:paraId="169EEF28" w14:textId="77777777" w:rsidR="00F55395" w:rsidRDefault="00F55395" w:rsidP="00F55395">
      <w:pPr>
        <w:pStyle w:val="NormalWeb"/>
        <w:ind w:left="720"/>
      </w:pPr>
      <w:r>
        <w:t>On January 21, 2020, Plaintiffs were all ordered to attend individual meetings with Redding the next day…. Plaintiffs claim that during these meetings with Redding, they learned that county supervisors were alleging they had “drinking problems….” During these meetings, Plaintiffs Zucal, Francis C. Gatens, Geiger, Landis and Palmer were told their positions were being terminated and they were given an opportunity to resign….These plaintiffs claim Redding told them they could reapply for their positions, and that resignation would look better than termination…. They subsequently resigned, wrote a resignation letter, and immediately applied for reinstatement…. Plaintiffs claim the applications for reinstatement were ignored and dismissed….During their meetings with Redding that day, Plaintiffs David M. Gatens and Kirchner were informed their employment was being terminated and were subsequently escorted from the premises.”</w:t>
      </w:r>
    </w:p>
    <w:p w14:paraId="6A499809" w14:textId="77777777" w:rsidR="00F55395" w:rsidRPr="00D35EF0" w:rsidRDefault="00F55395" w:rsidP="00F55395">
      <w:pPr>
        <w:pStyle w:val="NormalWeb"/>
        <w:rPr>
          <w:b/>
          <w:bCs/>
        </w:rPr>
      </w:pPr>
      <w:r w:rsidRPr="00D35EF0">
        <w:rPr>
          <w:b/>
          <w:bCs/>
        </w:rPr>
        <w:t xml:space="preserve">Legal Lesson Learned:  </w:t>
      </w:r>
      <w:r>
        <w:rPr>
          <w:b/>
          <w:bCs/>
        </w:rPr>
        <w:t xml:space="preserve">Dispatchers drinking alcohol on duty, of any amount, can lead to termination. </w:t>
      </w:r>
    </w:p>
    <w:p w14:paraId="245A8E8D" w14:textId="77777777" w:rsidR="00F55395" w:rsidRPr="00D35EF0" w:rsidRDefault="00F55395" w:rsidP="00F55395">
      <w:pPr>
        <w:pStyle w:val="Heading1"/>
        <w:ind w:left="720"/>
        <w:rPr>
          <w:b w:val="0"/>
          <w:bCs w:val="0"/>
          <w:sz w:val="24"/>
          <w:szCs w:val="24"/>
        </w:rPr>
      </w:pPr>
      <w:r w:rsidRPr="00D35EF0">
        <w:rPr>
          <w:b w:val="0"/>
          <w:bCs w:val="0"/>
          <w:sz w:val="24"/>
          <w:szCs w:val="24"/>
        </w:rPr>
        <w:t xml:space="preserve">Note: See </w:t>
      </w:r>
      <w:r>
        <w:rPr>
          <w:b w:val="0"/>
          <w:bCs w:val="0"/>
          <w:sz w:val="24"/>
          <w:szCs w:val="24"/>
        </w:rPr>
        <w:t xml:space="preserve">Oct. 22, </w:t>
      </w:r>
      <w:proofErr w:type="gramStart"/>
      <w:r>
        <w:rPr>
          <w:b w:val="0"/>
          <w:bCs w:val="0"/>
          <w:sz w:val="24"/>
          <w:szCs w:val="24"/>
        </w:rPr>
        <w:t>2021</w:t>
      </w:r>
      <w:proofErr w:type="gramEnd"/>
      <w:r>
        <w:rPr>
          <w:b w:val="0"/>
          <w:bCs w:val="0"/>
          <w:sz w:val="24"/>
          <w:szCs w:val="24"/>
        </w:rPr>
        <w:t xml:space="preserve"> </w:t>
      </w:r>
      <w:r w:rsidRPr="00D35EF0">
        <w:rPr>
          <w:b w:val="0"/>
          <w:bCs w:val="0"/>
          <w:sz w:val="24"/>
          <w:szCs w:val="24"/>
        </w:rPr>
        <w:t>article</w:t>
      </w:r>
      <w:r>
        <w:rPr>
          <w:b w:val="0"/>
          <w:bCs w:val="0"/>
          <w:sz w:val="24"/>
          <w:szCs w:val="24"/>
        </w:rPr>
        <w:t>, “</w:t>
      </w:r>
      <w:r w:rsidRPr="00D35EF0">
        <w:rPr>
          <w:b w:val="0"/>
          <w:bCs w:val="0"/>
          <w:sz w:val="24"/>
          <w:szCs w:val="24"/>
        </w:rPr>
        <w:t>Lehigh County Pushes Back Against Lawsuit Alleging that Racism, Negligence at Emergency Call Center Led to Deaths</w:t>
      </w:r>
      <w:r>
        <w:rPr>
          <w:b w:val="0"/>
          <w:bCs w:val="0"/>
          <w:sz w:val="24"/>
          <w:szCs w:val="24"/>
        </w:rPr>
        <w:t xml:space="preserve">.” </w:t>
      </w:r>
      <w:hyperlink r:id="rId1918" w:history="1">
        <w:r w:rsidRPr="005C1F1B">
          <w:rPr>
            <w:rStyle w:val="Hyperlink"/>
            <w:rFonts w:eastAsiaTheme="majorEastAsia"/>
            <w:b w:val="0"/>
            <w:bCs w:val="0"/>
            <w:sz w:val="24"/>
            <w:szCs w:val="24"/>
          </w:rPr>
          <w:t>https://lawandcrime.com/lawsuit/racism-negligence-at-pennsylvania-emergency-call-center-led-to-deaths-lawsuit/</w:t>
        </w:r>
      </w:hyperlink>
      <w:r>
        <w:rPr>
          <w:b w:val="0"/>
          <w:bCs w:val="0"/>
          <w:sz w:val="24"/>
          <w:szCs w:val="24"/>
        </w:rPr>
        <w:t xml:space="preserve"> </w:t>
      </w:r>
    </w:p>
    <w:p w14:paraId="00F91500" w14:textId="77777777" w:rsidR="00F55395" w:rsidRDefault="00F55395" w:rsidP="00F326E5">
      <w:pPr>
        <w:rPr>
          <w:rFonts w:ascii="Arial Black" w:hAnsi="Arial Black"/>
          <w:b/>
          <w:sz w:val="24"/>
          <w:szCs w:val="24"/>
        </w:rPr>
      </w:pPr>
    </w:p>
    <w:p w14:paraId="6F3D7CD2" w14:textId="77777777" w:rsidR="00F55395" w:rsidRDefault="00F55395" w:rsidP="00F326E5">
      <w:pPr>
        <w:rPr>
          <w:rFonts w:ascii="Arial Black" w:hAnsi="Arial Black"/>
          <w:b/>
          <w:sz w:val="24"/>
          <w:szCs w:val="24"/>
        </w:rPr>
      </w:pPr>
    </w:p>
    <w:p w14:paraId="74BE185E" w14:textId="52D27774" w:rsidR="00D47B53" w:rsidRDefault="00D47B53" w:rsidP="00F326E5">
      <w:pPr>
        <w:rPr>
          <w:rFonts w:ascii="Arial Black" w:hAnsi="Arial Black"/>
          <w:b/>
          <w:sz w:val="24"/>
          <w:szCs w:val="24"/>
        </w:rPr>
      </w:pPr>
      <w:r>
        <w:rPr>
          <w:rFonts w:ascii="Arial Black" w:hAnsi="Arial Black"/>
          <w:b/>
          <w:sz w:val="24"/>
          <w:szCs w:val="24"/>
        </w:rPr>
        <w:t>12-20</w:t>
      </w:r>
    </w:p>
    <w:p w14:paraId="75EA4B90" w14:textId="77777777" w:rsidR="00D47B53" w:rsidRDefault="00D47B53" w:rsidP="00D47B53">
      <w:pPr>
        <w:pStyle w:val="NormalWeb"/>
      </w:pPr>
      <w:bookmarkStart w:id="415" w:name="_Hlk120878043"/>
      <w:r>
        <w:rPr>
          <w:rFonts w:ascii="Arial Black" w:hAnsi="Arial Black"/>
          <w:sz w:val="28"/>
          <w:szCs w:val="28"/>
        </w:rPr>
        <w:t>CT: FF BREACHED LAST CHANCE AGREEMENT – FIRED – PRESCRIPTION MARIJUANA – WINS UNEMPLOYMENT</w:t>
      </w:r>
      <w:r>
        <w:t xml:space="preserve"> </w:t>
      </w:r>
    </w:p>
    <w:p w14:paraId="3861BE3C" w14:textId="77777777" w:rsidR="00D47B53" w:rsidRDefault="00D47B53" w:rsidP="00D47B53">
      <w:pPr>
        <w:pStyle w:val="NormalWeb"/>
      </w:pPr>
      <w:r>
        <w:t xml:space="preserve">On Nov. 29, 2022, in </w:t>
      </w:r>
      <w:r w:rsidRPr="00544DBB">
        <w:rPr>
          <w:u w:val="single"/>
        </w:rPr>
        <w:t>City of Waterbury v. Administrator, Unemployment Compensation Act, et al.</w:t>
      </w:r>
      <w:r>
        <w:t xml:space="preserve">, the Court of Appeals of Connecticut held (3 to 0) that the referee decision and the Board of Review correctly held that firefighter </w:t>
      </w:r>
      <w:r w:rsidRPr="00AC0FB0">
        <w:t>Thomas F. Eccleston II, fired for use of marijuana, was</w:t>
      </w:r>
      <w:r>
        <w:t xml:space="preserve"> entitled to unemployment compensation. He was using prescribed marijuana under the state’s Palliative Use of Marijuana Act (PUMA); the Last Chance Agreement was signed prior to new marijuana prescription statute.   Under state law, employees may receive unemployment unless not discharged for “</w:t>
      </w:r>
      <w:proofErr w:type="spellStart"/>
      <w:r>
        <w:t>wilful</w:t>
      </w:r>
      <w:proofErr w:type="spellEnd"/>
      <w:r>
        <w:t xml:space="preserve"> misconduct.” </w:t>
      </w:r>
    </w:p>
    <w:p w14:paraId="18CBE56E" w14:textId="77777777" w:rsidR="00D47B53" w:rsidRDefault="00D47B53" w:rsidP="00D47B53">
      <w:pPr>
        <w:pStyle w:val="NormalWeb"/>
        <w:ind w:left="720"/>
      </w:pPr>
      <w:r>
        <w:t xml:space="preserve">“It is undisputed that the claimant is a qualifying patient entitled to protections under PUMA, which likewise entails protection against employment penalties resulting from the claimant's legal, off-duty use of medical marijuana. General Statutes § 21a-408p (b) (3); see also General Statutes § 21a-408a (a) (‘ [a] qualifying patient who has a valid registration certificate from the Department of Consumer Protection . . . and complies with the requirements of [PUMA] . . . shall not be subject to arrest or prosecution, penalized in any manner, including, but not limited to, being subject to any civil penalty, or denied any right or privilege, including, but not limited to, being subject to any disciplinary action by a professional licensing board, for the palliative </w:t>
      </w:r>
      <w:r>
        <w:rPr>
          <w:rStyle w:val="Emphasis"/>
        </w:rPr>
        <w:t>use</w:t>
      </w:r>
      <w:r>
        <w:t xml:space="preserve"> of marijuana’ (emphasis added)). Consequently, the board reasonably concluded that, insofar as the last chance agreement operated to allow the plaintiff to terminate the claimant's employment for his palliative use of marijuana, it was unreasonable. See Regs., Conn. State Agencies § 31-236-26b (d). Further, the unreasonable application of the last chance agreement to the claimant's palliative marijuana use forecloses the possibility that the claimant's employment was terminated for </w:t>
      </w:r>
      <w:proofErr w:type="spellStart"/>
      <w:r>
        <w:t>wilful</w:t>
      </w:r>
      <w:proofErr w:type="spellEnd"/>
      <w:r>
        <w:t xml:space="preserve"> misconduct. See General Statutes § 31-236 (a) (16).</w:t>
      </w:r>
      <w:r>
        <w:rPr>
          <w:vertAlign w:val="superscript"/>
        </w:rPr>
        <w:t xml:space="preserve">” </w:t>
      </w:r>
      <w:hyperlink r:id="rId1919" w:history="1">
        <w:r w:rsidRPr="00AF231E">
          <w:rPr>
            <w:rStyle w:val="Hyperlink"/>
            <w:rFonts w:eastAsiaTheme="majorEastAsia"/>
          </w:rPr>
          <w:t>https://www.jud.ct.gov/external/supapp/Cases/AROap/AP216/216AP25.pdf</w:t>
        </w:r>
      </w:hyperlink>
      <w:r>
        <w:t xml:space="preserve"> </w:t>
      </w:r>
    </w:p>
    <w:bookmarkEnd w:id="415"/>
    <w:p w14:paraId="1D75FEF6" w14:textId="77777777" w:rsidR="00D47B53" w:rsidRPr="00F5602A" w:rsidRDefault="00D47B53" w:rsidP="00D47B53">
      <w:pPr>
        <w:pStyle w:val="NormalWeb"/>
        <w:rPr>
          <w:b/>
          <w:bCs/>
        </w:rPr>
      </w:pPr>
      <w:r w:rsidRPr="00F5602A">
        <w:rPr>
          <w:b/>
          <w:bCs/>
        </w:rPr>
        <w:t>Legal Lesson Learned:</w:t>
      </w:r>
      <w:r>
        <w:rPr>
          <w:b/>
          <w:bCs/>
        </w:rPr>
        <w:t xml:space="preserve"> The last chance agreement was signed prior to the State’s new palliative marijuana legislation; future last chance agreements should address prescription marijuana. </w:t>
      </w:r>
    </w:p>
    <w:p w14:paraId="79CB2FF6" w14:textId="77777777" w:rsidR="00D47B53" w:rsidRDefault="00D47B53" w:rsidP="00F326E5">
      <w:pPr>
        <w:rPr>
          <w:rFonts w:ascii="Arial Black" w:hAnsi="Arial Black"/>
          <w:b/>
          <w:sz w:val="24"/>
          <w:szCs w:val="24"/>
        </w:rPr>
      </w:pPr>
    </w:p>
    <w:p w14:paraId="5E27A2D7" w14:textId="77777777" w:rsidR="00D47B53" w:rsidRDefault="00D47B53" w:rsidP="00F326E5">
      <w:pPr>
        <w:rPr>
          <w:rFonts w:ascii="Arial Black" w:hAnsi="Arial Black"/>
          <w:b/>
          <w:sz w:val="24"/>
          <w:szCs w:val="24"/>
        </w:rPr>
      </w:pPr>
    </w:p>
    <w:p w14:paraId="28A59F4E" w14:textId="3BB9B37D" w:rsidR="00AC5FED" w:rsidRDefault="00AC5FED" w:rsidP="00F326E5">
      <w:pPr>
        <w:rPr>
          <w:rFonts w:ascii="Arial Black" w:hAnsi="Arial Black"/>
          <w:b/>
          <w:sz w:val="24"/>
          <w:szCs w:val="24"/>
        </w:rPr>
      </w:pPr>
      <w:r>
        <w:rPr>
          <w:rFonts w:ascii="Arial Black" w:hAnsi="Arial Black"/>
          <w:b/>
          <w:sz w:val="24"/>
          <w:szCs w:val="24"/>
        </w:rPr>
        <w:t>12-19</w:t>
      </w:r>
    </w:p>
    <w:p w14:paraId="7A191B74" w14:textId="77777777" w:rsidR="00AC5FED" w:rsidRDefault="00AC5FED" w:rsidP="00AC5FED">
      <w:pPr>
        <w:pStyle w:val="NormalWeb"/>
        <w:rPr>
          <w:rFonts w:ascii="Arial Black" w:hAnsi="Arial Black"/>
          <w:b/>
          <w:bCs/>
          <w:sz w:val="28"/>
          <w:szCs w:val="28"/>
        </w:rPr>
      </w:pPr>
      <w:r>
        <w:rPr>
          <w:rFonts w:ascii="Arial Black" w:hAnsi="Arial Black"/>
          <w:b/>
          <w:bCs/>
          <w:sz w:val="28"/>
          <w:szCs w:val="28"/>
        </w:rPr>
        <w:t>FL: DRUG OVERDOSE / 911 CALLED - GOOD SAMARITAN ACT DOES NOT PREVENT PD ARREST OUTSTANDING WARRANT</w:t>
      </w:r>
    </w:p>
    <w:p w14:paraId="303F189E" w14:textId="77777777" w:rsidR="00AC5FED" w:rsidRDefault="00AC5FED" w:rsidP="00AC5FED">
      <w:pPr>
        <w:pStyle w:val="NormalWeb"/>
        <w:rPr>
          <w:rFonts w:eastAsiaTheme="minorHAnsi"/>
        </w:rPr>
      </w:pPr>
      <w:r>
        <w:t xml:space="preserve">On Sept. 23, 2022, in </w:t>
      </w:r>
      <w:r>
        <w:rPr>
          <w:u w:val="single"/>
        </w:rPr>
        <w:t>State of Florida v. Anthony L. Waiters</w:t>
      </w:r>
      <w:r>
        <w:t xml:space="preserve">, the Florida Court of Appeals, Second District, held (3 to 0) that the trial court improperly dismissed </w:t>
      </w:r>
      <w:r>
        <w:rPr>
          <w:rFonts w:eastAsiaTheme="minorHAnsi"/>
        </w:rPr>
        <w:t xml:space="preserve">the drug-related offenses under the 911 Good Samaritan Act, § 893.21(2), Fla. Stat. (2020). </w:t>
      </w:r>
    </w:p>
    <w:p w14:paraId="72DF42F8" w14:textId="29F24255" w:rsidR="00AC5FED" w:rsidRPr="00AC5FED" w:rsidRDefault="00AC5FED" w:rsidP="00AC5FED">
      <w:pPr>
        <w:ind w:left="720"/>
        <w:rPr>
          <w:rStyle w:val="Hyperlink"/>
          <w:rFonts w:ascii="Times New Roman" w:hAnsi="Times New Roman"/>
          <w:sz w:val="24"/>
          <w:szCs w:val="24"/>
        </w:rPr>
      </w:pPr>
      <w:r w:rsidRPr="00AC5FED">
        <w:rPr>
          <w:rFonts w:ascii="Times New Roman" w:eastAsiaTheme="minorHAnsi" w:hAnsi="Times New Roman"/>
          <w:sz w:val="24"/>
          <w:szCs w:val="24"/>
        </w:rPr>
        <w:t>“[T]</w:t>
      </w:r>
      <w:r w:rsidRPr="00AC5FED">
        <w:rPr>
          <w:rFonts w:ascii="Times New Roman" w:hAnsi="Times New Roman"/>
          <w:sz w:val="24"/>
          <w:szCs w:val="24"/>
        </w:rPr>
        <w:t xml:space="preserve">he legislature did not intend to immunize individuals seeking medical assistance for a drug overdose from arrest pursuant to an outstanding arrest warrant.” </w:t>
      </w:r>
      <w:hyperlink r:id="rId1920" w:history="1">
        <w:r w:rsidRPr="00AC5FED">
          <w:rPr>
            <w:rStyle w:val="Hyperlink"/>
            <w:rFonts w:ascii="Times New Roman" w:hAnsi="Times New Roman"/>
            <w:sz w:val="24"/>
            <w:szCs w:val="24"/>
          </w:rPr>
          <w:t>https://www.2dca.org/content/download/849844/opinion/211477_DC13_09232022_081840_i.pdf</w:t>
        </w:r>
      </w:hyperlink>
    </w:p>
    <w:p w14:paraId="0502456E" w14:textId="77777777" w:rsidR="00AC5FED" w:rsidRDefault="00AC5FED" w:rsidP="00AC5FED">
      <w:pPr>
        <w:pStyle w:val="NormalWeb"/>
        <w:rPr>
          <w:b/>
          <w:bCs/>
        </w:rPr>
      </w:pPr>
      <w:r>
        <w:rPr>
          <w:b/>
          <w:bCs/>
        </w:rPr>
        <w:t>Legal Lesson Learned: Several states have enacted drug overdose “Good Samaritan Acts.”  In Florida, you are still subject to arrest for an outstanding warrant.</w:t>
      </w:r>
    </w:p>
    <w:p w14:paraId="432E2EE7" w14:textId="77777777" w:rsidR="00AC5FED" w:rsidRPr="00AC5FED" w:rsidRDefault="00AC5FED" w:rsidP="00AC5FED">
      <w:pPr>
        <w:pStyle w:val="NormalWeb"/>
      </w:pPr>
      <w:r>
        <w:rPr>
          <w:b/>
          <w:bCs/>
        </w:rPr>
        <w:tab/>
      </w:r>
      <w:r w:rsidRPr="00AC5FED">
        <w:t>Note: See Court’s Opinion, footnote 4:</w:t>
      </w:r>
    </w:p>
    <w:p w14:paraId="4B1BCFDE" w14:textId="5DCA389F" w:rsidR="00AC5FED" w:rsidRPr="00AC5FED" w:rsidRDefault="00AC5FED" w:rsidP="00AC5FED">
      <w:pPr>
        <w:ind w:left="720"/>
        <w:rPr>
          <w:rFonts w:ascii="Times New Roman" w:hAnsi="Times New Roman"/>
          <w:b/>
          <w:sz w:val="24"/>
          <w:szCs w:val="24"/>
        </w:rPr>
      </w:pPr>
      <w:r w:rsidRPr="00AC5FED">
        <w:rPr>
          <w:rFonts w:ascii="Times New Roman" w:eastAsiaTheme="minorHAnsi" w:hAnsi="Times New Roman"/>
          <w:sz w:val="24"/>
          <w:szCs w:val="24"/>
        </w:rPr>
        <w:t xml:space="preserve">“Other states have adopted similar laws; however, the statutory language in some is more explicit. </w:t>
      </w:r>
      <w:r w:rsidRPr="00AC5FED">
        <w:rPr>
          <w:rFonts w:ascii="Times New Roman" w:eastAsiaTheme="minorHAnsi" w:hAnsi="Times New Roman"/>
          <w:i/>
          <w:iCs/>
          <w:sz w:val="24"/>
          <w:szCs w:val="24"/>
        </w:rPr>
        <w:t>See</w:t>
      </w:r>
      <w:r w:rsidRPr="00AC5FED">
        <w:rPr>
          <w:rFonts w:ascii="Times New Roman" w:eastAsiaTheme="minorHAnsi" w:hAnsi="Times New Roman"/>
          <w:sz w:val="24"/>
          <w:szCs w:val="24"/>
        </w:rPr>
        <w:t xml:space="preserve">, </w:t>
      </w:r>
      <w:r w:rsidRPr="00AC5FED">
        <w:rPr>
          <w:rFonts w:ascii="Times New Roman" w:eastAsiaTheme="minorHAnsi" w:hAnsi="Times New Roman"/>
          <w:i/>
          <w:iCs/>
          <w:sz w:val="24"/>
          <w:szCs w:val="24"/>
        </w:rPr>
        <w:t>e.g.</w:t>
      </w:r>
      <w:r w:rsidRPr="00AC5FED">
        <w:rPr>
          <w:rFonts w:ascii="Times New Roman" w:eastAsiaTheme="minorHAnsi" w:hAnsi="Times New Roman"/>
          <w:sz w:val="24"/>
          <w:szCs w:val="24"/>
        </w:rPr>
        <w:t xml:space="preserve">, Ga. Code Ann. § 16-13-5(b) (West 2014) (‘Any person who is experiencing a drug overdose and, in good faith, seeks medical assistance for himself or herself or is the subject of such a request shall not be arrested, charged, or prosecuted for a drug violation if the evidence for the arrest, charge, or prosecution of such drug violation </w:t>
      </w:r>
      <w:r w:rsidRPr="00AC5FED">
        <w:rPr>
          <w:rFonts w:ascii="Times New Roman" w:eastAsiaTheme="minorHAnsi" w:hAnsi="Times New Roman"/>
          <w:i/>
          <w:iCs/>
          <w:sz w:val="24"/>
          <w:szCs w:val="24"/>
        </w:rPr>
        <w:t>resulted solely from</w:t>
      </w:r>
      <w:r w:rsidRPr="00AC5FED">
        <w:rPr>
          <w:rFonts w:ascii="Times New Roman" w:eastAsiaTheme="minorHAnsi" w:hAnsi="Times New Roman"/>
          <w:sz w:val="24"/>
          <w:szCs w:val="24"/>
        </w:rPr>
        <w:t xml:space="preserve"> seeking such medical assistance.’ (emphasis added)); Md. Code Ann., Crim. Proc. § 1-210(b) (West 2016) (‘A person who, in good faith, seeks, provides, or assists with the provision of medical assistance for a person reasonably believed to be experiencing a medical emergency after ingesting or using alcohol or drugs shall be immune from criminal arrest, charge, or prosecution for a violation of § 5-601, § 5-619, § 5-620, § 10-114, § 10-116, or § 10-117 of the Criminal Law Article if the evidence for the criminal arrest, charge, or prosecution was obtained </w:t>
      </w:r>
      <w:r w:rsidRPr="00AC5FED">
        <w:rPr>
          <w:rFonts w:ascii="Times New Roman" w:eastAsiaTheme="minorHAnsi" w:hAnsi="Times New Roman"/>
          <w:i/>
          <w:iCs/>
          <w:sz w:val="24"/>
          <w:szCs w:val="24"/>
        </w:rPr>
        <w:t>solely as a result</w:t>
      </w:r>
      <w:r w:rsidRPr="00AC5FED">
        <w:rPr>
          <w:rFonts w:ascii="Times New Roman" w:eastAsiaTheme="minorHAnsi" w:hAnsi="Times New Roman"/>
          <w:sz w:val="24"/>
          <w:szCs w:val="24"/>
        </w:rPr>
        <w:t xml:space="preserve"> of the person's seeking, providing, or assisting with the provision of medical assistance.’ (emphasis added)); N.H. Rev. Stat. Ann. § 318-B:28-b (2021) (creating a defense to enumerated drug possession charges ‘if the evidence for the charge was gained as a </w:t>
      </w:r>
      <w:r w:rsidRPr="00AC5FED">
        <w:rPr>
          <w:rFonts w:ascii="Times New Roman" w:eastAsiaTheme="minorHAnsi" w:hAnsi="Times New Roman"/>
          <w:i/>
          <w:iCs/>
          <w:sz w:val="24"/>
          <w:szCs w:val="24"/>
        </w:rPr>
        <w:t>proximate result</w:t>
      </w:r>
      <w:r w:rsidRPr="00AC5FED">
        <w:rPr>
          <w:rFonts w:ascii="Times New Roman" w:eastAsiaTheme="minorHAnsi" w:hAnsi="Times New Roman"/>
          <w:sz w:val="24"/>
          <w:szCs w:val="24"/>
        </w:rPr>
        <w:t xml:space="preserve"> of the request for medical assistance or the report to law enforcement’ (emphasis added)).”</w:t>
      </w:r>
    </w:p>
    <w:p w14:paraId="66DE406D" w14:textId="77777777" w:rsidR="00AC5FED" w:rsidRDefault="00AC5FED" w:rsidP="00F326E5">
      <w:pPr>
        <w:rPr>
          <w:rFonts w:ascii="Arial Black" w:hAnsi="Arial Black"/>
          <w:b/>
          <w:sz w:val="24"/>
          <w:szCs w:val="24"/>
        </w:rPr>
      </w:pPr>
    </w:p>
    <w:p w14:paraId="65F010A6" w14:textId="77777777" w:rsidR="00AC5FED" w:rsidRDefault="00AC5FED" w:rsidP="00F326E5">
      <w:pPr>
        <w:rPr>
          <w:rFonts w:ascii="Arial Black" w:hAnsi="Arial Black"/>
          <w:b/>
          <w:sz w:val="24"/>
          <w:szCs w:val="24"/>
        </w:rPr>
      </w:pPr>
    </w:p>
    <w:p w14:paraId="55F8EA15" w14:textId="775A8011" w:rsidR="007F3F5A" w:rsidRDefault="00A707E2" w:rsidP="00F326E5">
      <w:pPr>
        <w:rPr>
          <w:rFonts w:ascii="Arial Black" w:hAnsi="Arial Black"/>
          <w:b/>
          <w:sz w:val="24"/>
          <w:szCs w:val="24"/>
        </w:rPr>
      </w:pPr>
      <w:r>
        <w:rPr>
          <w:rFonts w:ascii="Arial Black" w:hAnsi="Arial Black"/>
          <w:b/>
          <w:sz w:val="24"/>
          <w:szCs w:val="24"/>
        </w:rPr>
        <w:t>12-18</w:t>
      </w:r>
    </w:p>
    <w:p w14:paraId="368F49EB" w14:textId="77777777" w:rsidR="00A707E2" w:rsidRDefault="00A707E2" w:rsidP="00A707E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NJ: RANDOM DRUG TEST - “INDUSTRY STANDARDS” FOR EQUIPMENT CALIBRATION UNCLEAR - FF REINSTATED</w:t>
      </w:r>
    </w:p>
    <w:p w14:paraId="1D63D7C4" w14:textId="6B4AC4C6" w:rsidR="00A707E2" w:rsidRDefault="00A707E2" w:rsidP="00A707E2">
      <w:pPr>
        <w:rPr>
          <w:rStyle w:val="Hyperlink"/>
          <w:sz w:val="24"/>
          <w:szCs w:val="24"/>
        </w:rPr>
      </w:pPr>
      <w:r>
        <w:rPr>
          <w:rFonts w:ascii="Times New Roman" w:eastAsia="Times New Roman" w:hAnsi="Times New Roman"/>
          <w:sz w:val="24"/>
          <w:szCs w:val="24"/>
        </w:rPr>
        <w:t xml:space="preserve">On June 28, 2022, </w:t>
      </w:r>
      <w:r>
        <w:rPr>
          <w:rFonts w:ascii="Times New Roman" w:eastAsia="Times New Roman" w:hAnsi="Times New Roman"/>
          <w:sz w:val="24"/>
          <w:szCs w:val="24"/>
          <w:u w:val="single"/>
        </w:rPr>
        <w:t>In The Matter Of Eric Beagin, City of Paterson, Fire Department</w:t>
      </w:r>
      <w:r>
        <w:rPr>
          <w:rFonts w:ascii="Times New Roman" w:eastAsia="Times New Roman" w:hAnsi="Times New Roman"/>
          <w:sz w:val="24"/>
          <w:szCs w:val="24"/>
        </w:rPr>
        <w:t>, the Superior Court of New Jersey, Appellate Division, held (2 to 0) the Court stated that the Civil Service Commission’s decisions [reversing Administrative Law Judge who found calibrations of drug testing equipment questionable] “</w:t>
      </w:r>
      <w:r>
        <w:rPr>
          <w:rFonts w:ascii="Times New Roman" w:hAnsi="Times New Roman"/>
          <w:sz w:val="24"/>
          <w:szCs w:val="24"/>
        </w:rPr>
        <w:t xml:space="preserve">are not supported by sufficient, credible evidence in the record and are arbitrary, capricious, and unreasonable. The urine sample was sent to the New Jersey State Toxicology Laboratory (State Lab) and on July 17, 2015, the State Lab reported </w:t>
      </w:r>
      <w:proofErr w:type="spellStart"/>
      <w:r>
        <w:rPr>
          <w:rFonts w:ascii="Times New Roman" w:hAnsi="Times New Roman"/>
          <w:sz w:val="24"/>
          <w:szCs w:val="24"/>
        </w:rPr>
        <w:t>Beagin's</w:t>
      </w:r>
      <w:proofErr w:type="spellEnd"/>
      <w:r>
        <w:rPr>
          <w:rFonts w:ascii="Times New Roman" w:hAnsi="Times New Roman"/>
          <w:sz w:val="24"/>
          <w:szCs w:val="24"/>
        </w:rPr>
        <w:t xml:space="preserve"> random urine screen positive for oxycodone at 114 ng/mL, 14 nanograms over the State Lab's defined cutoff of 100 ng/</w:t>
      </w:r>
      <w:proofErr w:type="spellStart"/>
      <w:r>
        <w:rPr>
          <w:rFonts w:ascii="Times New Roman" w:hAnsi="Times New Roman"/>
          <w:sz w:val="24"/>
          <w:szCs w:val="24"/>
        </w:rPr>
        <w:t>mL.</w:t>
      </w:r>
      <w:proofErr w:type="spellEnd"/>
      <w:r>
        <w:rPr>
          <w:rFonts w:ascii="Times New Roman" w:hAnsi="Times New Roman"/>
          <w:sz w:val="24"/>
          <w:szCs w:val="24"/>
        </w:rPr>
        <w:t xml:space="preserve">  He was immediately suspended.  On March 11 and 15, 2019, a hearing was held before ALJ Celentano. Dr. Robert  Havier, with State Lab for 40 years and Acting Director for 8 years, was cross examined about “industry standards” on calibrating testing equipment used by federal government in testing military, but FD never had him write a report on those standards. The ALJ recommended </w:t>
      </w:r>
      <w:proofErr w:type="spellStart"/>
      <w:r>
        <w:rPr>
          <w:rFonts w:ascii="Times New Roman" w:hAnsi="Times New Roman"/>
          <w:sz w:val="24"/>
          <w:szCs w:val="24"/>
        </w:rPr>
        <w:t>Beagin</w:t>
      </w:r>
      <w:proofErr w:type="spellEnd"/>
      <w:r>
        <w:rPr>
          <w:rFonts w:ascii="Times New Roman" w:hAnsi="Times New Roman"/>
          <w:sz w:val="24"/>
          <w:szCs w:val="24"/>
        </w:rPr>
        <w:t xml:space="preserve"> be reinstated to the position of firefighter. The Civil Service Commission rejected the ALJ’s recommendation, placing burden on the firefighter to prove “industry standards” were not followed.  </w:t>
      </w:r>
      <w:hyperlink r:id="rId1921" w:history="1">
        <w:r>
          <w:rPr>
            <w:rStyle w:val="Hyperlink"/>
            <w:sz w:val="24"/>
            <w:szCs w:val="24"/>
          </w:rPr>
          <w:t>https://public.fastcase.com/J%2FJP6pdidelsXxEE4k%2BLMm7PttKNvW62%2BDA0%2BSJrBHAICFIaFusuxX5Jb%2BuxRPK6Bzlob%2BslGSm9QeXJwFgRUwDQqdPl09RLYbpqdskqtWk%3D</w:t>
        </w:r>
      </w:hyperlink>
    </w:p>
    <w:p w14:paraId="1D1093FF" w14:textId="77777777" w:rsidR="00936792" w:rsidRDefault="00936792" w:rsidP="00936792">
      <w:pPr>
        <w:spacing w:after="100" w:line="240" w:lineRule="auto"/>
        <w:rPr>
          <w:rFonts w:ascii="Times New Roman" w:hAnsi="Times New Roman"/>
          <w:sz w:val="24"/>
          <w:szCs w:val="24"/>
        </w:rPr>
      </w:pPr>
      <w:r>
        <w:rPr>
          <w:rFonts w:ascii="Times New Roman" w:hAnsi="Times New Roman"/>
          <w:b/>
          <w:bCs/>
          <w:sz w:val="24"/>
          <w:szCs w:val="24"/>
        </w:rPr>
        <w:t xml:space="preserve">Legal Lesson Learned: Since the main issue was “industry standards” on calibration of testing equipment, the State Lab expert should have been asked to provide a report to the ALJ on those standards.  </w:t>
      </w:r>
    </w:p>
    <w:p w14:paraId="200A6472" w14:textId="77777777" w:rsidR="00936792" w:rsidRPr="004535AA" w:rsidRDefault="00936792" w:rsidP="00936792">
      <w:pPr>
        <w:pStyle w:val="Heading1"/>
        <w:ind w:left="720"/>
        <w:rPr>
          <w:b w:val="0"/>
          <w:bCs w:val="0"/>
          <w:sz w:val="24"/>
          <w:szCs w:val="24"/>
        </w:rPr>
      </w:pPr>
      <w:r>
        <w:rPr>
          <w:b w:val="0"/>
          <w:bCs w:val="0"/>
          <w:sz w:val="24"/>
          <w:szCs w:val="24"/>
        </w:rPr>
        <w:t xml:space="preserve">Note: See article after ALJ decision: “Judge orders Paterson firefighter terminated for failing drug test reinstated” (Dec. 9, 2019): </w:t>
      </w:r>
      <w:hyperlink r:id="rId1922" w:history="1">
        <w:r w:rsidRPr="004535AA">
          <w:rPr>
            <w:rStyle w:val="Hyperlink"/>
            <w:b w:val="0"/>
            <w:bCs w:val="0"/>
            <w:sz w:val="24"/>
            <w:szCs w:val="24"/>
          </w:rPr>
          <w:t>https://patersontimes.com/2019/12/09/judge-orders-paterson-firefighter-terminated-for-failing-drug-test-reinstated/</w:t>
        </w:r>
      </w:hyperlink>
      <w:r w:rsidRPr="004535AA">
        <w:rPr>
          <w:b w:val="0"/>
          <w:bCs w:val="0"/>
          <w:sz w:val="24"/>
          <w:szCs w:val="24"/>
        </w:rPr>
        <w:t xml:space="preserve"> </w:t>
      </w:r>
    </w:p>
    <w:p w14:paraId="49CE837F" w14:textId="77777777" w:rsidR="00A707E2" w:rsidRDefault="00A707E2" w:rsidP="00A707E2">
      <w:pPr>
        <w:rPr>
          <w:rFonts w:ascii="Arial Black" w:hAnsi="Arial Black"/>
          <w:b/>
          <w:sz w:val="24"/>
          <w:szCs w:val="24"/>
        </w:rPr>
      </w:pPr>
    </w:p>
    <w:p w14:paraId="2D2D90EB" w14:textId="1E43D974" w:rsidR="007F3F5A" w:rsidRDefault="007F3F5A" w:rsidP="00F326E5">
      <w:pPr>
        <w:rPr>
          <w:rFonts w:ascii="Arial Black" w:hAnsi="Arial Black"/>
          <w:b/>
          <w:sz w:val="24"/>
          <w:szCs w:val="24"/>
        </w:rPr>
      </w:pPr>
      <w:r>
        <w:rPr>
          <w:rFonts w:ascii="Arial Black" w:hAnsi="Arial Black"/>
          <w:b/>
          <w:sz w:val="24"/>
          <w:szCs w:val="24"/>
        </w:rPr>
        <w:t>12-17</w:t>
      </w:r>
    </w:p>
    <w:p w14:paraId="0244E688" w14:textId="77777777" w:rsidR="00A707E2" w:rsidRDefault="00A707E2" w:rsidP="00A707E2">
      <w:pPr>
        <w:pStyle w:val="Heading1"/>
        <w:jc w:val="both"/>
        <w:rPr>
          <w:rFonts w:ascii="Arial Black" w:hAnsi="Arial Black"/>
          <w:b w:val="0"/>
          <w:bCs w:val="0"/>
          <w:sz w:val="28"/>
          <w:szCs w:val="28"/>
        </w:rPr>
      </w:pPr>
      <w:bookmarkStart w:id="416" w:name="_Hlk107815505"/>
      <w:r>
        <w:rPr>
          <w:rFonts w:ascii="Arial Black" w:hAnsi="Arial Black"/>
          <w:b w:val="0"/>
          <w:bCs w:val="0"/>
          <w:sz w:val="28"/>
          <w:szCs w:val="28"/>
        </w:rPr>
        <w:t xml:space="preserve">U.S. SUP. COURT: THREE “PAIN MILL” DOCTORS – RE-TRIAL - MUST PROVE KNEW ACTING IN “UNAUHORIZED MANNER” </w:t>
      </w:r>
    </w:p>
    <w:p w14:paraId="284C940C" w14:textId="109E851B" w:rsidR="00A707E2" w:rsidRDefault="00A707E2" w:rsidP="00A707E2">
      <w:pPr>
        <w:pStyle w:val="Heading1"/>
        <w:rPr>
          <w:rStyle w:val="markedcontent"/>
          <w:sz w:val="24"/>
          <w:szCs w:val="24"/>
        </w:rPr>
      </w:pPr>
      <w:r>
        <w:rPr>
          <w:b w:val="0"/>
          <w:bCs w:val="0"/>
          <w:sz w:val="24"/>
          <w:szCs w:val="24"/>
        </w:rPr>
        <w:t xml:space="preserve">On June 27, 2022, in </w:t>
      </w:r>
      <w:proofErr w:type="spellStart"/>
      <w:r>
        <w:rPr>
          <w:b w:val="0"/>
          <w:bCs w:val="0"/>
          <w:sz w:val="24"/>
          <w:szCs w:val="24"/>
          <w:u w:val="single"/>
        </w:rPr>
        <w:t>Xiulu</w:t>
      </w:r>
      <w:proofErr w:type="spellEnd"/>
      <w:r>
        <w:rPr>
          <w:b w:val="0"/>
          <w:bCs w:val="0"/>
          <w:sz w:val="24"/>
          <w:szCs w:val="24"/>
          <w:u w:val="single"/>
        </w:rPr>
        <w:t xml:space="preserve"> Ruan v. United States</w:t>
      </w:r>
      <w:r>
        <w:rPr>
          <w:b w:val="0"/>
          <w:bCs w:val="0"/>
          <w:sz w:val="24"/>
          <w:szCs w:val="24"/>
        </w:rPr>
        <w:t xml:space="preserve">, the U.S. Supreme Court held (9 to 0) that a Mobile, Alabama pain mill doctor, </w:t>
      </w:r>
      <w:proofErr w:type="spellStart"/>
      <w:r>
        <w:rPr>
          <w:rStyle w:val="markedcontent"/>
          <w:b w:val="0"/>
          <w:bCs w:val="0"/>
          <w:sz w:val="24"/>
          <w:szCs w:val="24"/>
        </w:rPr>
        <w:t>Xiulu</w:t>
      </w:r>
      <w:proofErr w:type="spellEnd"/>
      <w:r>
        <w:rPr>
          <w:rStyle w:val="markedcontent"/>
          <w:b w:val="0"/>
          <w:bCs w:val="0"/>
          <w:sz w:val="24"/>
          <w:szCs w:val="24"/>
        </w:rPr>
        <w:t xml:space="preserve"> Ruan, who was sentenced in to 21 years in federal prison in 2017 and pain mill doctor from Arizona and Wyoming, Dr. Shakeel Kahn, 25 years in prison, may be entitled to new trials because the jury instructions did not clearly state the Government must prove they were acting in an “unauthorized manner” when issuing thousands of proscriptions, including for fentanyl. </w:t>
      </w:r>
      <w:hyperlink r:id="rId1923" w:history="1">
        <w:r>
          <w:rPr>
            <w:rStyle w:val="Hyperlink"/>
            <w:sz w:val="24"/>
            <w:szCs w:val="24"/>
          </w:rPr>
          <w:t>https://www.supremecourt.gov/opinions/21pdf/20-1410_1an2.pdf</w:t>
        </w:r>
      </w:hyperlink>
      <w:r>
        <w:rPr>
          <w:rStyle w:val="markedcontent"/>
          <w:b w:val="0"/>
          <w:bCs w:val="0"/>
          <w:sz w:val="24"/>
          <w:szCs w:val="24"/>
        </w:rPr>
        <w:t xml:space="preserve">.  Dr. Ruan’s partner, Dr. Patrick Couch, 20 years in prison, had his conviction also set aside, by separate Court order, and will likely also get a new trial. </w:t>
      </w:r>
      <w:hyperlink r:id="rId1924" w:history="1">
        <w:r>
          <w:rPr>
            <w:rStyle w:val="Hyperlink"/>
            <w:sz w:val="24"/>
            <w:szCs w:val="24"/>
          </w:rPr>
          <w:t>https://www.supremecourt.gov/docket/docketfiles/html/public/20-7934.html</w:t>
        </w:r>
      </w:hyperlink>
      <w:r>
        <w:rPr>
          <w:rStyle w:val="markedcontent"/>
          <w:b w:val="0"/>
          <w:bCs w:val="0"/>
          <w:sz w:val="24"/>
          <w:szCs w:val="24"/>
        </w:rPr>
        <w:t xml:space="preserve"> </w:t>
      </w:r>
    </w:p>
    <w:p w14:paraId="1D407EBB" w14:textId="44B1A327" w:rsidR="00A707E2" w:rsidRDefault="00A707E2" w:rsidP="00A707E2">
      <w:pPr>
        <w:pStyle w:val="Heading1"/>
        <w:rPr>
          <w:rStyle w:val="markedcontent"/>
          <w:sz w:val="24"/>
          <w:szCs w:val="24"/>
        </w:rPr>
      </w:pPr>
      <w:bookmarkStart w:id="417" w:name="_Hlk107815724"/>
      <w:bookmarkEnd w:id="416"/>
      <w:r>
        <w:rPr>
          <w:rStyle w:val="markedcontent"/>
          <w:sz w:val="24"/>
          <w:szCs w:val="24"/>
        </w:rPr>
        <w:t xml:space="preserve">Legal Lesson Learned: This decision may impact numerous other “pain mill” physicians. </w:t>
      </w:r>
    </w:p>
    <w:bookmarkEnd w:id="417"/>
    <w:p w14:paraId="3531F9CE" w14:textId="77777777" w:rsidR="00A707E2" w:rsidRDefault="007F3F5A" w:rsidP="00A707E2">
      <w:pPr>
        <w:pStyle w:val="Heading1"/>
        <w:ind w:left="720"/>
        <w:rPr>
          <w:b w:val="0"/>
          <w:bCs w:val="0"/>
        </w:rPr>
      </w:pPr>
      <w:r>
        <w:rPr>
          <w:rStyle w:val="markedcontent"/>
          <w:b w:val="0"/>
          <w:bCs w:val="0"/>
          <w:sz w:val="24"/>
          <w:szCs w:val="24"/>
        </w:rPr>
        <w:t xml:space="preserve"> </w:t>
      </w:r>
      <w:r w:rsidR="00A707E2">
        <w:rPr>
          <w:b w:val="0"/>
          <w:bCs w:val="0"/>
          <w:sz w:val="24"/>
          <w:szCs w:val="24"/>
        </w:rPr>
        <w:t xml:space="preserve">Note: “Mobile doctor’s Supreme Court win could impact other ‘pill mill’ convictions” (June 27, 2022) – VIDEO: </w:t>
      </w:r>
      <w:hyperlink r:id="rId1925" w:history="1">
        <w:r w:rsidR="00A707E2">
          <w:rPr>
            <w:rStyle w:val="Hyperlink"/>
            <w:sz w:val="24"/>
            <w:szCs w:val="24"/>
          </w:rPr>
          <w:t>https://www.fox10tv.com/2022/06/27/mobile-doctors-supreme-court-win-could-impact-other-pill-mill-convictions/</w:t>
        </w:r>
      </w:hyperlink>
      <w:r w:rsidR="00A707E2">
        <w:rPr>
          <w:b w:val="0"/>
          <w:bCs w:val="0"/>
          <w:sz w:val="24"/>
          <w:szCs w:val="24"/>
        </w:rPr>
        <w:t xml:space="preserve"> . “The justices sent the case against Dr. </w:t>
      </w:r>
      <w:proofErr w:type="spellStart"/>
      <w:r w:rsidR="00A707E2">
        <w:rPr>
          <w:b w:val="0"/>
          <w:bCs w:val="0"/>
          <w:sz w:val="24"/>
          <w:szCs w:val="24"/>
        </w:rPr>
        <w:t>Xiulu</w:t>
      </w:r>
      <w:proofErr w:type="spellEnd"/>
      <w:r w:rsidR="00A707E2">
        <w:rPr>
          <w:b w:val="0"/>
          <w:bCs w:val="0"/>
          <w:sz w:val="24"/>
          <w:szCs w:val="24"/>
        </w:rPr>
        <w:t xml:space="preserve"> Ruan back to the Atlanta-based 11th U.S. Circuit Court of Appeals, which likely will instruct a federal judge in Mobile to order a new trial. A spokesman for the U.S. Attorney’s Office in Mobile declined to comment.”</w:t>
      </w:r>
    </w:p>
    <w:p w14:paraId="713499C6" w14:textId="5949159F" w:rsidR="007F3F5A" w:rsidRPr="00A707E2" w:rsidRDefault="00A707E2" w:rsidP="00A707E2">
      <w:pPr>
        <w:pStyle w:val="Heading1"/>
        <w:ind w:left="720"/>
        <w:rPr>
          <w:rStyle w:val="markedcontent"/>
          <w:b w:val="0"/>
          <w:bCs w:val="0"/>
          <w:sz w:val="24"/>
          <w:szCs w:val="24"/>
        </w:rPr>
      </w:pPr>
      <w:r w:rsidRPr="00A707E2">
        <w:rPr>
          <w:b w:val="0"/>
          <w:bCs w:val="0"/>
          <w:sz w:val="24"/>
          <w:szCs w:val="24"/>
        </w:rPr>
        <w:t xml:space="preserve">Regarding Dr. </w:t>
      </w:r>
      <w:r w:rsidRPr="00A707E2">
        <w:rPr>
          <w:rStyle w:val="markedcontent"/>
          <w:b w:val="0"/>
          <w:bCs w:val="0"/>
          <w:sz w:val="24"/>
          <w:szCs w:val="24"/>
        </w:rPr>
        <w:t xml:space="preserve">Shakeel Kahn in Wyoming, see this article: </w:t>
      </w:r>
      <w:r w:rsidRPr="00A707E2">
        <w:rPr>
          <w:b w:val="0"/>
          <w:bCs w:val="0"/>
          <w:sz w:val="24"/>
          <w:szCs w:val="24"/>
        </w:rPr>
        <w:t xml:space="preserve"> “Federal Appellate Court Upholds Former Casper Doctor’s Drug Conspiracy Verdict” (Feb. 23, 2021): </w:t>
      </w:r>
      <w:hyperlink r:id="rId1926" w:history="1">
        <w:r w:rsidRPr="00A707E2">
          <w:rPr>
            <w:rStyle w:val="Hyperlink"/>
            <w:b w:val="0"/>
            <w:bCs w:val="0"/>
            <w:sz w:val="24"/>
            <w:szCs w:val="24"/>
          </w:rPr>
          <w:t>https://k2radio.com/federal-appellate-court-upholds-former-casper-doctors-drug-conspiracy-verdict/</w:t>
        </w:r>
      </w:hyperlink>
      <w:r w:rsidRPr="00A707E2">
        <w:rPr>
          <w:b w:val="0"/>
          <w:bCs w:val="0"/>
          <w:sz w:val="24"/>
          <w:szCs w:val="24"/>
        </w:rPr>
        <w:t xml:space="preserve">.  In late 2016, federal authorities </w:t>
      </w:r>
      <w:proofErr w:type="gramStart"/>
      <w:r w:rsidRPr="00A707E2">
        <w:rPr>
          <w:b w:val="0"/>
          <w:bCs w:val="0"/>
          <w:sz w:val="24"/>
          <w:szCs w:val="24"/>
        </w:rPr>
        <w:t>searched</w:t>
      </w:r>
      <w:proofErr w:type="gramEnd"/>
      <w:r w:rsidRPr="00A707E2">
        <w:rPr>
          <w:b w:val="0"/>
          <w:bCs w:val="0"/>
          <w:sz w:val="24"/>
          <w:szCs w:val="24"/>
        </w:rPr>
        <w:t xml:space="preserve"> the Kahns’ properties in Casper and Arizona, and seized financial and business records, cars, firearms and more than $1 million in cash.</w:t>
      </w:r>
      <w:r w:rsidRPr="00A707E2">
        <w:rPr>
          <w:b w:val="0"/>
          <w:bCs w:val="0"/>
          <w:sz w:val="24"/>
          <w:szCs w:val="24"/>
        </w:rPr>
        <w:br/>
      </w:r>
    </w:p>
    <w:p w14:paraId="2BF9F243" w14:textId="77777777" w:rsidR="007F3F5A" w:rsidRDefault="007F3F5A" w:rsidP="00F326E5">
      <w:pPr>
        <w:rPr>
          <w:rFonts w:ascii="Arial Black" w:hAnsi="Arial Black"/>
          <w:b/>
          <w:sz w:val="24"/>
          <w:szCs w:val="24"/>
        </w:rPr>
      </w:pPr>
    </w:p>
    <w:p w14:paraId="29C56AB0" w14:textId="77777777" w:rsidR="007F3F5A" w:rsidRDefault="007F3F5A" w:rsidP="00F326E5">
      <w:pPr>
        <w:rPr>
          <w:rFonts w:ascii="Arial Black" w:hAnsi="Arial Black"/>
          <w:b/>
          <w:sz w:val="24"/>
          <w:szCs w:val="24"/>
        </w:rPr>
      </w:pPr>
    </w:p>
    <w:p w14:paraId="113351E4" w14:textId="481D5EAA" w:rsidR="00174109" w:rsidRDefault="00174109" w:rsidP="00F326E5">
      <w:pPr>
        <w:rPr>
          <w:rFonts w:ascii="Arial Black" w:hAnsi="Arial Black"/>
          <w:b/>
          <w:sz w:val="24"/>
          <w:szCs w:val="24"/>
        </w:rPr>
      </w:pPr>
      <w:r>
        <w:rPr>
          <w:rFonts w:ascii="Arial Black" w:hAnsi="Arial Black"/>
          <w:b/>
          <w:sz w:val="24"/>
          <w:szCs w:val="24"/>
        </w:rPr>
        <w:t>12-16</w:t>
      </w:r>
    </w:p>
    <w:p w14:paraId="4911B6F8" w14:textId="77777777" w:rsidR="00174109" w:rsidRDefault="00174109" w:rsidP="0017410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LA: DRUG TEST - EMT FAILED / FIRED - INJURED BACK WITH PATIENT – TOOK WIFE’S BARBITURATE PILLS BEFORE TEST </w:t>
      </w:r>
    </w:p>
    <w:p w14:paraId="47A523BB" w14:textId="77777777" w:rsidR="00174109" w:rsidRPr="00021FC8" w:rsidRDefault="00174109" w:rsidP="00174109">
      <w:pPr>
        <w:spacing w:before="100" w:beforeAutospacing="1" w:after="100" w:afterAutospacing="1" w:line="240" w:lineRule="auto"/>
        <w:rPr>
          <w:rFonts w:ascii="Times New Roman" w:eastAsia="Times New Roman" w:hAnsi="Times New Roman"/>
          <w:sz w:val="24"/>
          <w:szCs w:val="24"/>
        </w:rPr>
      </w:pPr>
      <w:r w:rsidRPr="00021FC8">
        <w:rPr>
          <w:rFonts w:ascii="Times New Roman" w:eastAsia="Times New Roman" w:hAnsi="Times New Roman"/>
          <w:sz w:val="24"/>
          <w:szCs w:val="24"/>
        </w:rPr>
        <w:t xml:space="preserve">On </w:t>
      </w:r>
      <w:r>
        <w:rPr>
          <w:rFonts w:ascii="Times New Roman" w:eastAsia="Times New Roman" w:hAnsi="Times New Roman"/>
          <w:sz w:val="24"/>
          <w:szCs w:val="24"/>
        </w:rPr>
        <w:t xml:space="preserve">Dec. 22, 2021, in </w:t>
      </w:r>
      <w:r w:rsidRPr="00021FC8">
        <w:rPr>
          <w:rFonts w:ascii="Times New Roman" w:eastAsia="Times New Roman" w:hAnsi="Times New Roman"/>
          <w:sz w:val="24"/>
          <w:szCs w:val="24"/>
          <w:u w:val="single"/>
        </w:rPr>
        <w:t>Antoine Dufrene v. Northshore EMS, LLC</w:t>
      </w:r>
      <w:r>
        <w:rPr>
          <w:rFonts w:ascii="Times New Roman" w:eastAsia="Times New Roman" w:hAnsi="Times New Roman"/>
          <w:sz w:val="24"/>
          <w:szCs w:val="24"/>
        </w:rPr>
        <w:t xml:space="preserve">, Court of Appeals of Louisiana, Fire Circuit, held (3 to 0) that trial judge properly granted summary judgment to the employer which terminated the EMT for breach of Drug-Free Workplace policy; plaintiff failed to that he  was fired in retaliation for filing workers comp claim. </w:t>
      </w:r>
    </w:p>
    <w:p w14:paraId="25589C65" w14:textId="77777777" w:rsidR="00174109" w:rsidRPr="00021FC8" w:rsidRDefault="00174109" w:rsidP="00174109">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w:t>
      </w:r>
      <w:r w:rsidRPr="00021FC8">
        <w:rPr>
          <w:rFonts w:ascii="Times New Roman" w:hAnsi="Times New Roman"/>
          <w:sz w:val="24"/>
          <w:szCs w:val="24"/>
        </w:rPr>
        <w:t>e find that the plaintiff failed to produce sufficient factual support demonstrating the existence of a genuine issue of material fact on the question of whether he was terminated from his employment due to him filing a workers' compensation claim. The evidence offered by the plaintiff in opposition to the motion for summary judgment did not establish that he could demonstrate a causal connection between his termination of employment and his workers' compensation claim with any reasonable probability. In fact, the plaintiff offered no evidence to rebut the defendant's claim that his employment was terminated due to the plaintiff</w:t>
      </w:r>
      <w:r>
        <w:rPr>
          <w:rFonts w:ascii="Times New Roman" w:hAnsi="Times New Roman"/>
          <w:sz w:val="24"/>
          <w:szCs w:val="24"/>
        </w:rPr>
        <w:t>’</w:t>
      </w:r>
      <w:r w:rsidRPr="00021FC8">
        <w:rPr>
          <w:rFonts w:ascii="Times New Roman" w:hAnsi="Times New Roman"/>
          <w:sz w:val="24"/>
          <w:szCs w:val="24"/>
        </w:rPr>
        <w:t>s violation of the defendant's Drug-Free Workplace policy. Therefore, the trial court correctly granted summary judgment in favor of the</w:t>
      </w:r>
      <w:r>
        <w:rPr>
          <w:rFonts w:ascii="Times New Roman" w:hAnsi="Times New Roman"/>
          <w:sz w:val="24"/>
          <w:szCs w:val="24"/>
        </w:rPr>
        <w:t xml:space="preserve"> </w:t>
      </w:r>
      <w:proofErr w:type="gramStart"/>
      <w:r w:rsidRPr="00021FC8">
        <w:rPr>
          <w:rFonts w:ascii="Times New Roman" w:hAnsi="Times New Roman"/>
          <w:sz w:val="24"/>
          <w:szCs w:val="24"/>
        </w:rPr>
        <w:t>defendant.</w:t>
      </w:r>
      <w:r>
        <w:rPr>
          <w:rFonts w:ascii="Times New Roman" w:hAnsi="Times New Roman"/>
          <w:sz w:val="24"/>
          <w:szCs w:val="24"/>
        </w:rPr>
        <w:t>”</w:t>
      </w:r>
      <w:proofErr w:type="gramEnd"/>
      <w:r>
        <w:rPr>
          <w:rFonts w:ascii="Times New Roman" w:hAnsi="Times New Roman"/>
          <w:sz w:val="24"/>
          <w:szCs w:val="24"/>
        </w:rPr>
        <w:t xml:space="preserve"> </w:t>
      </w:r>
      <w:hyperlink r:id="rId1927" w:history="1">
        <w:r w:rsidRPr="00EC5853">
          <w:rPr>
            <w:rStyle w:val="Hyperlink"/>
            <w:rFonts w:ascii="Times New Roman" w:hAnsi="Times New Roman"/>
            <w:sz w:val="24"/>
            <w:szCs w:val="24"/>
          </w:rPr>
          <w:t>https://casetext.com/case/dufrene-v-northshore-ems-llc</w:t>
        </w:r>
      </w:hyperlink>
      <w:r>
        <w:rPr>
          <w:rFonts w:ascii="Times New Roman" w:hAnsi="Times New Roman"/>
          <w:sz w:val="24"/>
          <w:szCs w:val="24"/>
        </w:rPr>
        <w:t xml:space="preserve"> </w:t>
      </w:r>
    </w:p>
    <w:p w14:paraId="481ABC2A" w14:textId="77777777" w:rsidR="00001D9A" w:rsidRDefault="00001D9A" w:rsidP="00001D9A">
      <w:pPr>
        <w:spacing w:before="100" w:beforeAutospacing="1" w:after="100" w:afterAutospacing="1" w:line="240" w:lineRule="auto"/>
        <w:rPr>
          <w:rFonts w:ascii="Times New Roman" w:hAnsi="Times New Roman"/>
          <w:b/>
          <w:bCs/>
          <w:sz w:val="24"/>
          <w:szCs w:val="24"/>
        </w:rPr>
      </w:pPr>
      <w:r w:rsidRPr="00B27F71">
        <w:rPr>
          <w:rFonts w:ascii="Times New Roman" w:hAnsi="Times New Roman"/>
          <w:b/>
          <w:bCs/>
          <w:sz w:val="24"/>
          <w:szCs w:val="24"/>
        </w:rPr>
        <w:t>Legal Lesson Learned:</w:t>
      </w:r>
      <w:r>
        <w:rPr>
          <w:rFonts w:ascii="Times New Roman" w:hAnsi="Times New Roman"/>
          <w:b/>
          <w:bCs/>
          <w:sz w:val="24"/>
          <w:szCs w:val="24"/>
        </w:rPr>
        <w:t xml:space="preserve"> Drug-Free Workplace policies, including post injury drug testing, are lawful for EMS and other emergency responders. </w:t>
      </w:r>
    </w:p>
    <w:p w14:paraId="44B174D8" w14:textId="77777777" w:rsidR="00001D9A" w:rsidRDefault="00001D9A" w:rsidP="00001D9A">
      <w:pPr>
        <w:spacing w:before="100" w:beforeAutospacing="1" w:after="100" w:afterAutospacing="1" w:line="240" w:lineRule="auto"/>
        <w:ind w:left="720"/>
        <w:rPr>
          <w:rFonts w:ascii="Times New Roman" w:hAnsi="Times New Roman"/>
          <w:sz w:val="24"/>
          <w:szCs w:val="24"/>
        </w:rPr>
      </w:pPr>
      <w:r w:rsidRPr="00D456FB">
        <w:rPr>
          <w:rFonts w:ascii="Times New Roman" w:hAnsi="Times New Roman"/>
          <w:sz w:val="24"/>
          <w:szCs w:val="24"/>
        </w:rPr>
        <w:t xml:space="preserve">Note: Drug-Free Workplace policies should require all personnel to report in writing if they are on prescribed medication. </w:t>
      </w:r>
    </w:p>
    <w:p w14:paraId="66DC5749" w14:textId="77777777" w:rsidR="00001D9A" w:rsidRDefault="00001D9A" w:rsidP="00001D9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For example, s</w:t>
      </w:r>
      <w:r w:rsidRPr="00D456FB">
        <w:rPr>
          <w:rFonts w:ascii="Times New Roman" w:hAnsi="Times New Roman"/>
          <w:sz w:val="24"/>
          <w:szCs w:val="24"/>
        </w:rPr>
        <w:t xml:space="preserve">ee </w:t>
      </w:r>
      <w:r>
        <w:rPr>
          <w:rFonts w:ascii="Times New Roman" w:hAnsi="Times New Roman"/>
          <w:sz w:val="24"/>
          <w:szCs w:val="24"/>
        </w:rPr>
        <w:t xml:space="preserve">Court’s comment in this case. </w:t>
      </w:r>
    </w:p>
    <w:p w14:paraId="2E0D7D0A" w14:textId="77777777" w:rsidR="00001D9A" w:rsidRPr="00021FC8" w:rsidRDefault="00001D9A" w:rsidP="00001D9A">
      <w:pPr>
        <w:spacing w:before="100" w:beforeAutospacing="1" w:after="100" w:afterAutospacing="1" w:line="240" w:lineRule="auto"/>
        <w:ind w:left="1440"/>
        <w:rPr>
          <w:rFonts w:ascii="Times New Roman" w:eastAsia="Times New Roman" w:hAnsi="Times New Roman"/>
          <w:sz w:val="24"/>
          <w:szCs w:val="24"/>
        </w:rPr>
      </w:pPr>
      <w:r>
        <w:rPr>
          <w:rFonts w:ascii="Times New Roman" w:hAnsi="Times New Roman"/>
          <w:sz w:val="24"/>
          <w:szCs w:val="24"/>
        </w:rPr>
        <w:t>“</w:t>
      </w:r>
      <w:r w:rsidRPr="00D456FB">
        <w:rPr>
          <w:rFonts w:ascii="Times New Roman" w:hAnsi="Times New Roman"/>
          <w:sz w:val="24"/>
          <w:szCs w:val="24"/>
        </w:rPr>
        <w:t>Dr. Jasmin further stated that the plaintiff was undergoing opioid treatment with suboxone, which is buprenorphine. The plaintiff had been treated for his opioid addiction with suboxone for over five years.</w:t>
      </w:r>
      <w:r>
        <w:rPr>
          <w:rFonts w:ascii="Times New Roman" w:hAnsi="Times New Roman"/>
          <w:sz w:val="24"/>
          <w:szCs w:val="24"/>
        </w:rPr>
        <w:t>”</w:t>
      </w:r>
      <w:r w:rsidRPr="00D456FB">
        <w:rPr>
          <w:rFonts w:ascii="Times New Roman" w:hAnsi="Times New Roman"/>
          <w:sz w:val="24"/>
          <w:szCs w:val="24"/>
        </w:rPr>
        <w:t xml:space="preserve"> </w:t>
      </w:r>
      <w:hyperlink r:id="rId1928" w:history="1">
        <w:r w:rsidRPr="004065C6">
          <w:rPr>
            <w:rStyle w:val="Hyperlink"/>
            <w:rFonts w:ascii="Times New Roman" w:hAnsi="Times New Roman"/>
            <w:sz w:val="24"/>
            <w:szCs w:val="24"/>
          </w:rPr>
          <w:t>https://casetext.com/case/dufrene-v-northshore-ems-llc</w:t>
        </w:r>
      </w:hyperlink>
      <w:r>
        <w:rPr>
          <w:rFonts w:ascii="Times New Roman" w:hAnsi="Times New Roman"/>
          <w:sz w:val="24"/>
          <w:szCs w:val="24"/>
        </w:rPr>
        <w:t xml:space="preserve"> </w:t>
      </w:r>
    </w:p>
    <w:p w14:paraId="5682A33A" w14:textId="77777777" w:rsidR="00001D9A" w:rsidRDefault="00001D9A" w:rsidP="00001D9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See also this info on suboxone: </w:t>
      </w:r>
    </w:p>
    <w:p w14:paraId="6CBCC38E" w14:textId="77777777" w:rsidR="00001D9A" w:rsidRDefault="00001D9A" w:rsidP="00001D9A">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C914C9">
        <w:rPr>
          <w:rFonts w:ascii="Times New Roman" w:eastAsia="Times New Roman" w:hAnsi="Times New Roman"/>
          <w:sz w:val="24"/>
          <w:szCs w:val="24"/>
        </w:rPr>
        <w:t>Suboxone does sometimes create mild side effects such as dizziness that could affect your ability to do certain types of work. You will begin using suboxone while you are in the treatment center and under the care of your medical team. This allows you to learn how your body responds to the suboxone before you ever return home and go back to work.</w:t>
      </w:r>
      <w:r>
        <w:rPr>
          <w:rFonts w:ascii="Times New Roman" w:eastAsia="Times New Roman" w:hAnsi="Times New Roman"/>
          <w:sz w:val="24"/>
          <w:szCs w:val="24"/>
        </w:rPr>
        <w:t xml:space="preserve"> </w:t>
      </w:r>
      <w:r w:rsidRPr="00C914C9">
        <w:rPr>
          <w:rFonts w:ascii="Times New Roman" w:eastAsia="Times New Roman" w:hAnsi="Times New Roman"/>
          <w:sz w:val="24"/>
          <w:szCs w:val="24"/>
        </w:rPr>
        <w:t>In most cases, you will find that any side effects that you experience are mild enough that they do not affect your ability to perform your job duties. In fact, you will be better able to maintain a career when you are not stuck in the throes of dealing with addiction. Keep in mind that adjustments to your dosage could alter your reaction so always follow the medication instructions and be cautious about activities such as driving until you know how you react.</w:t>
      </w:r>
      <w:r>
        <w:rPr>
          <w:rFonts w:ascii="Times New Roman" w:eastAsia="Times New Roman" w:hAnsi="Times New Roman"/>
          <w:sz w:val="24"/>
          <w:szCs w:val="24"/>
        </w:rPr>
        <w:t xml:space="preserve">” </w:t>
      </w:r>
      <w:hyperlink r:id="rId1929" w:history="1">
        <w:r w:rsidRPr="004065C6">
          <w:rPr>
            <w:rStyle w:val="Hyperlink"/>
            <w:rFonts w:ascii="Times New Roman" w:eastAsia="Times New Roman" w:hAnsi="Times New Roman"/>
            <w:sz w:val="24"/>
            <w:szCs w:val="24"/>
          </w:rPr>
          <w:t>https://dreamcenterforrecovery.com/can-take-suboxone-still-go-work/</w:t>
        </w:r>
      </w:hyperlink>
      <w:r>
        <w:rPr>
          <w:rFonts w:ascii="Times New Roman" w:eastAsia="Times New Roman" w:hAnsi="Times New Roman"/>
          <w:sz w:val="24"/>
          <w:szCs w:val="24"/>
        </w:rPr>
        <w:t xml:space="preserve"> </w:t>
      </w:r>
    </w:p>
    <w:p w14:paraId="20A71679" w14:textId="77777777" w:rsidR="00001D9A" w:rsidRDefault="00001D9A" w:rsidP="00001D9A">
      <w:pPr>
        <w:spacing w:before="100" w:beforeAutospacing="1" w:after="100" w:afterAutospacing="1" w:line="240" w:lineRule="auto"/>
        <w:rPr>
          <w:rFonts w:ascii="Arial Black" w:eastAsia="Times New Roman" w:hAnsi="Arial Black"/>
          <w:sz w:val="28"/>
          <w:szCs w:val="28"/>
        </w:rPr>
      </w:pPr>
    </w:p>
    <w:p w14:paraId="3E34AC99" w14:textId="77777777" w:rsidR="00174109" w:rsidRDefault="00174109" w:rsidP="00F326E5">
      <w:pPr>
        <w:rPr>
          <w:rFonts w:ascii="Arial Black" w:hAnsi="Arial Black"/>
          <w:b/>
          <w:sz w:val="24"/>
          <w:szCs w:val="24"/>
        </w:rPr>
      </w:pPr>
    </w:p>
    <w:p w14:paraId="4563E767" w14:textId="77777777" w:rsidR="00174109" w:rsidRDefault="00174109" w:rsidP="00F326E5">
      <w:pPr>
        <w:rPr>
          <w:rFonts w:ascii="Arial Black" w:hAnsi="Arial Black"/>
          <w:b/>
          <w:sz w:val="24"/>
          <w:szCs w:val="24"/>
        </w:rPr>
      </w:pPr>
    </w:p>
    <w:p w14:paraId="5DD01093" w14:textId="78D95A23" w:rsidR="00174109" w:rsidRDefault="00174109" w:rsidP="00F326E5">
      <w:pPr>
        <w:rPr>
          <w:rFonts w:ascii="Arial Black" w:hAnsi="Arial Black"/>
          <w:b/>
          <w:sz w:val="24"/>
          <w:szCs w:val="24"/>
        </w:rPr>
      </w:pPr>
      <w:r>
        <w:rPr>
          <w:rFonts w:ascii="Arial Black" w:hAnsi="Arial Black"/>
          <w:b/>
          <w:sz w:val="24"/>
          <w:szCs w:val="24"/>
        </w:rPr>
        <w:t>12-15</w:t>
      </w:r>
    </w:p>
    <w:p w14:paraId="7A969389" w14:textId="77777777" w:rsidR="00174109" w:rsidRDefault="00174109" w:rsidP="00174109">
      <w:pPr>
        <w:ind w:left="90"/>
        <w:rPr>
          <w:rFonts w:ascii="Arial Black" w:hAnsi="Arial Black"/>
          <w:sz w:val="28"/>
          <w:szCs w:val="28"/>
        </w:rPr>
      </w:pPr>
      <w:r>
        <w:rPr>
          <w:rFonts w:ascii="Arial Black" w:hAnsi="Arial Black"/>
          <w:sz w:val="28"/>
          <w:szCs w:val="28"/>
        </w:rPr>
        <w:t>LA: URINE TEST – “SHY BLADDER” - 1</w:t>
      </w:r>
      <w:r w:rsidRPr="00D20B2B">
        <w:rPr>
          <w:rFonts w:ascii="Arial Black" w:hAnsi="Arial Black"/>
          <w:sz w:val="28"/>
          <w:szCs w:val="28"/>
          <w:vertAlign w:val="superscript"/>
        </w:rPr>
        <w:t>st</w:t>
      </w:r>
      <w:r>
        <w:rPr>
          <w:rFonts w:ascii="Arial Black" w:hAnsi="Arial Black"/>
          <w:sz w:val="28"/>
          <w:szCs w:val="28"/>
        </w:rPr>
        <w:t xml:space="preserve"> SAMPLE TOO COLD - 3 HRS NO SAMPLES – REHIRED – BREACH FED. PROTOCOL  </w:t>
      </w:r>
    </w:p>
    <w:p w14:paraId="7DA6F4BD" w14:textId="77777777" w:rsidR="00174109" w:rsidRPr="00EF39AB" w:rsidRDefault="00174109" w:rsidP="00174109">
      <w:pPr>
        <w:ind w:left="90"/>
        <w:rPr>
          <w:rFonts w:ascii="Times New Roman" w:hAnsi="Times New Roman"/>
          <w:sz w:val="24"/>
          <w:szCs w:val="24"/>
        </w:rPr>
      </w:pPr>
      <w:r w:rsidRPr="00EF39AB">
        <w:rPr>
          <w:rFonts w:ascii="Times New Roman" w:hAnsi="Times New Roman"/>
          <w:sz w:val="24"/>
          <w:szCs w:val="24"/>
        </w:rPr>
        <w:t xml:space="preserve">On Dec. 1, 2021, in </w:t>
      </w:r>
      <w:r w:rsidRPr="00EF39AB">
        <w:rPr>
          <w:rFonts w:ascii="Times New Roman" w:hAnsi="Times New Roman"/>
          <w:sz w:val="24"/>
          <w:szCs w:val="24"/>
          <w:u w:val="single"/>
        </w:rPr>
        <w:t>Roy Neely v. Department of Fire [New Orleans]</w:t>
      </w:r>
      <w:r w:rsidRPr="00EF39AB">
        <w:rPr>
          <w:rFonts w:ascii="Times New Roman" w:hAnsi="Times New Roman"/>
          <w:sz w:val="24"/>
          <w:szCs w:val="24"/>
        </w:rPr>
        <w:t xml:space="preserve">, the Court of Appeals of Louisiana, Fourth Circuit, held (3 to 0) that the City Civil Service Commission properly ordered the 11-year firefighter (no prior discipline) reinstated. “Had the SAMHSA [federal Substance Abuse and Mental Health Services Administration] guidelines been followed, an alternate specimen would have been quickly </w:t>
      </w:r>
      <w:proofErr w:type="gramStart"/>
      <w:r w:rsidRPr="00EF39AB">
        <w:rPr>
          <w:rFonts w:ascii="Times New Roman" w:hAnsi="Times New Roman"/>
          <w:sz w:val="24"/>
          <w:szCs w:val="24"/>
        </w:rPr>
        <w:t>collected</w:t>
      </w:r>
      <w:proofErr w:type="gramEnd"/>
      <w:r w:rsidRPr="00EF39AB">
        <w:rPr>
          <w:rFonts w:ascii="Times New Roman" w:hAnsi="Times New Roman"/>
          <w:sz w:val="24"/>
          <w:szCs w:val="24"/>
        </w:rPr>
        <w:t xml:space="preserve"> or a medical evaluation would have occurred within five days, thereby facilitating the agency's efficient operation.” The Court noted that the FD could have provided in its protocol for hair or blood testing for “shy bladder” cases. </w:t>
      </w:r>
    </w:p>
    <w:p w14:paraId="0907EE2D" w14:textId="77777777" w:rsidR="00174109" w:rsidRPr="00EF39AB" w:rsidRDefault="00174109" w:rsidP="00174109">
      <w:pPr>
        <w:spacing w:before="100" w:beforeAutospacing="1" w:after="100" w:afterAutospacing="1" w:line="240" w:lineRule="auto"/>
        <w:ind w:left="720"/>
        <w:rPr>
          <w:rFonts w:ascii="Times New Roman" w:eastAsia="Times New Roman" w:hAnsi="Times New Roman"/>
          <w:b/>
          <w:bCs/>
          <w:sz w:val="24"/>
          <w:szCs w:val="24"/>
        </w:rPr>
      </w:pPr>
      <w:r w:rsidRPr="00EF39AB">
        <w:rPr>
          <w:rFonts w:ascii="Times New Roman" w:hAnsi="Times New Roman"/>
          <w:sz w:val="24"/>
          <w:szCs w:val="24"/>
        </w:rPr>
        <w:t xml:space="preserve">“Analyzing these guidelines together, it is evident that the appellee's conduct did not characterize a refusal to test. He appeared for the test, underwent and passed the first portion of it, stayed on the premises for the duration of the test, drank more than the minimum amount of fluid to facilitate urination, made three observed attempts to provide a sample, and expressed a willingness to undergo additional testing when he was unable to provide a second specimen. The appellee believed that he would have an opportunity to provide an alternate specimen, and when one was not requested, he paid for an additional test himself. The appellant failed to follow the mandatory testing protocol set forth in SAMHSA by not requesting an alternate sample or ordering a medical </w:t>
      </w:r>
      <w:proofErr w:type="gramStart"/>
      <w:r w:rsidRPr="00EF39AB">
        <w:rPr>
          <w:rFonts w:ascii="Times New Roman" w:hAnsi="Times New Roman"/>
          <w:sz w:val="24"/>
          <w:szCs w:val="24"/>
        </w:rPr>
        <w:t>evaluation, and</w:t>
      </w:r>
      <w:proofErr w:type="gramEnd"/>
      <w:r w:rsidRPr="00EF39AB">
        <w:rPr>
          <w:rFonts w:ascii="Times New Roman" w:hAnsi="Times New Roman"/>
          <w:sz w:val="24"/>
          <w:szCs w:val="24"/>
        </w:rPr>
        <w:t xml:space="preserve"> incorrectly concluded that the appellee's behavior constituted a refusal to test. *** The comments reveal that in drafting updates to the guidelines, a commenter requested that immediate alternate collections be made mandatory, to avoid additional costs associated with medical evaluations of "shy bladder" that would otherwise be necessary. Instead, the Department gave agencies the authority to decide whether to implement a standard protocol requiring an immediate alternate specimen, or to decide on a case-by-case basis whether to request an alternate specimen. This commentary illustrates a collective understanding that a ‘shy bladder’ is a condition requiring further evaluation.” </w:t>
      </w:r>
      <w:hyperlink r:id="rId1930" w:history="1">
        <w:r w:rsidRPr="00EC5853">
          <w:rPr>
            <w:rStyle w:val="Hyperlink"/>
            <w:rFonts w:ascii="Times New Roman" w:hAnsi="Times New Roman"/>
            <w:sz w:val="24"/>
            <w:szCs w:val="24"/>
          </w:rPr>
          <w:t>https://law.justia.com/cases/louisiana/fourth-circuit-court-of-appeal/2021/2021-ca-0454.html</w:t>
        </w:r>
      </w:hyperlink>
      <w:r>
        <w:rPr>
          <w:rFonts w:ascii="Times New Roman" w:hAnsi="Times New Roman"/>
          <w:sz w:val="24"/>
          <w:szCs w:val="24"/>
        </w:rPr>
        <w:t xml:space="preserve"> </w:t>
      </w:r>
    </w:p>
    <w:p w14:paraId="38B27D86" w14:textId="77777777" w:rsidR="00174109" w:rsidRPr="00131B6D" w:rsidRDefault="00174109" w:rsidP="00174109">
      <w:pPr>
        <w:spacing w:before="100" w:beforeAutospacing="1" w:after="100" w:afterAutospacing="1" w:line="240" w:lineRule="auto"/>
        <w:rPr>
          <w:rFonts w:ascii="Times New Roman" w:eastAsia="Times New Roman" w:hAnsi="Times New Roman"/>
          <w:b/>
          <w:bCs/>
          <w:sz w:val="24"/>
          <w:szCs w:val="24"/>
        </w:rPr>
      </w:pPr>
      <w:r w:rsidRPr="00131B6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To avoid similar litigation, FDs should adopt a policy that gives firefighters with a “shy bladder” the option taking a hair or blood test, or a medical exam at the firefighter’s expense. </w:t>
      </w:r>
    </w:p>
    <w:p w14:paraId="5CDAD513" w14:textId="77777777" w:rsidR="00174109" w:rsidRDefault="00174109" w:rsidP="00F326E5">
      <w:pPr>
        <w:rPr>
          <w:rFonts w:ascii="Arial Black" w:hAnsi="Arial Black"/>
          <w:b/>
          <w:sz w:val="24"/>
          <w:szCs w:val="24"/>
        </w:rPr>
      </w:pPr>
    </w:p>
    <w:p w14:paraId="4C38BEE5" w14:textId="1218CF71" w:rsidR="00885321" w:rsidRDefault="00885321" w:rsidP="00F326E5">
      <w:pPr>
        <w:rPr>
          <w:rFonts w:ascii="Arial Black" w:hAnsi="Arial Black"/>
          <w:b/>
          <w:sz w:val="24"/>
          <w:szCs w:val="24"/>
        </w:rPr>
      </w:pPr>
      <w:r>
        <w:rPr>
          <w:rFonts w:ascii="Arial Black" w:hAnsi="Arial Black"/>
          <w:b/>
          <w:sz w:val="24"/>
          <w:szCs w:val="24"/>
        </w:rPr>
        <w:t>12-14</w:t>
      </w:r>
    </w:p>
    <w:p w14:paraId="1FBB9DF8" w14:textId="77777777" w:rsidR="00885321" w:rsidRDefault="00885321" w:rsidP="00885321">
      <w:pPr>
        <w:pStyle w:val="NormalWeb"/>
        <w:rPr>
          <w:rFonts w:ascii="Arial Black" w:hAnsi="Arial Black"/>
          <w:sz w:val="28"/>
          <w:szCs w:val="28"/>
        </w:rPr>
      </w:pPr>
      <w:r>
        <w:rPr>
          <w:rFonts w:ascii="Arial Black" w:hAnsi="Arial Black"/>
          <w:sz w:val="28"/>
          <w:szCs w:val="28"/>
        </w:rPr>
        <w:t>OK: STATE AG SUES OPIOID MANUFACTURERS – MARKETING DRUGS - $465M VERDICT SET ASIDE – J&amp;J</w:t>
      </w:r>
    </w:p>
    <w:p w14:paraId="7BA7E78A" w14:textId="77777777" w:rsidR="00885321" w:rsidRDefault="00885321" w:rsidP="00885321">
      <w:pPr>
        <w:pStyle w:val="NormalWeb"/>
      </w:pPr>
      <w:r>
        <w:t xml:space="preserve">On Nov. 9, 2021, in </w:t>
      </w:r>
      <w:r w:rsidRPr="00CA6C2D">
        <w:rPr>
          <w:u w:val="single"/>
        </w:rPr>
        <w:t>State ex rel. Attorney General of Oklahoma v. Johnson &amp; Johnson</w:t>
      </w:r>
      <w:r>
        <w:t>, the Supreme Court of the State of Oklahoma (5 to 1) overturned $465 million judgment won by the State.  In 2019, state District Judge Thad Balkman ruled in a bench trial supporting the State’s argument that J&amp;J created a "public nuisance" through its marketing of prescription pain pills.</w:t>
      </w:r>
    </w:p>
    <w:p w14:paraId="736A9F07" w14:textId="77777777" w:rsidR="00885321" w:rsidRDefault="00885321" w:rsidP="00885321">
      <w:pPr>
        <w:pStyle w:val="NormalWeb"/>
        <w:ind w:left="720"/>
      </w:pPr>
      <w:r>
        <w:t xml:space="preserve">“To address this problem, the State of Oklahoma ex rel. Mike Hunter, Attorney General of Oklahoma ("State"), sued three prescription opioid manufacturers and requested that the district court hold opioid manufacturers liable for violating Oklahoma's public nuisance statute. The question before the Court is whether the conduct of an opioid manufacturer in marketing and selling its products constituted a public nuisance under 50 O.S.2011, §§ 1 &amp; 2. We hold that the district court's expansion of public nuisance law went too far. Oklahoma public nuisance law does not extend to the manufacturing, marketing, and selling of prescription opioids.” </w:t>
      </w:r>
      <w:hyperlink r:id="rId1931" w:history="1">
        <w:r w:rsidRPr="0085682C">
          <w:rPr>
            <w:rStyle w:val="Hyperlink"/>
          </w:rPr>
          <w:t>https://law.justia.com/cases/oklahoma/supreme-court/2021/118474.html</w:t>
        </w:r>
      </w:hyperlink>
      <w:r>
        <w:t xml:space="preserve"> </w:t>
      </w:r>
    </w:p>
    <w:p w14:paraId="4270A239" w14:textId="77777777" w:rsidR="00885321" w:rsidRPr="00D37C80" w:rsidRDefault="00885321" w:rsidP="00885321">
      <w:pPr>
        <w:spacing w:before="100" w:beforeAutospacing="1" w:after="100" w:afterAutospacing="1" w:line="240" w:lineRule="auto"/>
        <w:rPr>
          <w:rFonts w:ascii="Times New Roman" w:eastAsia="Times New Roman" w:hAnsi="Times New Roman"/>
          <w:b/>
          <w:bCs/>
          <w:sz w:val="24"/>
          <w:szCs w:val="24"/>
        </w:rPr>
      </w:pPr>
      <w:r w:rsidRPr="00D37C80">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Numerous states have sued drug manufacturers and drug retail stores; the Oklahoma Supreme Court decision applies only to Oklahoma.</w:t>
      </w:r>
    </w:p>
    <w:p w14:paraId="760C2990" w14:textId="77777777" w:rsidR="00885321" w:rsidRDefault="00885321" w:rsidP="00885321">
      <w:pPr>
        <w:pStyle w:val="Heading1"/>
        <w:ind w:left="720"/>
        <w:rPr>
          <w:b w:val="0"/>
          <w:bCs w:val="0"/>
          <w:sz w:val="24"/>
          <w:szCs w:val="24"/>
        </w:rPr>
      </w:pPr>
      <w:r>
        <w:rPr>
          <w:b w:val="0"/>
          <w:bCs w:val="0"/>
          <w:sz w:val="24"/>
          <w:szCs w:val="24"/>
        </w:rPr>
        <w:t>See article on this decision:</w:t>
      </w:r>
      <w:r w:rsidRPr="00190C74">
        <w:rPr>
          <w:b w:val="0"/>
          <w:bCs w:val="0"/>
          <w:sz w:val="24"/>
          <w:szCs w:val="24"/>
        </w:rPr>
        <w:t xml:space="preserve"> </w:t>
      </w:r>
    </w:p>
    <w:p w14:paraId="4BA376BE" w14:textId="77777777" w:rsidR="00885321" w:rsidRDefault="00885321" w:rsidP="00885321">
      <w:pPr>
        <w:pStyle w:val="Heading1"/>
        <w:ind w:left="720"/>
        <w:rPr>
          <w:b w:val="0"/>
          <w:bCs w:val="0"/>
          <w:sz w:val="24"/>
          <w:szCs w:val="24"/>
        </w:rPr>
      </w:pPr>
      <w:r>
        <w:rPr>
          <w:b w:val="0"/>
          <w:bCs w:val="0"/>
          <w:sz w:val="24"/>
          <w:szCs w:val="24"/>
        </w:rPr>
        <w:t>Nov. 9, 2021: “</w:t>
      </w:r>
      <w:r w:rsidRPr="00190C74">
        <w:rPr>
          <w:b w:val="0"/>
          <w:bCs w:val="0"/>
          <w:sz w:val="24"/>
          <w:szCs w:val="24"/>
        </w:rPr>
        <w:t>Oklahoma's Supreme Court tossed out a landmark $465 million opioid ruling</w:t>
      </w:r>
      <w:r>
        <w:rPr>
          <w:b w:val="0"/>
          <w:bCs w:val="0"/>
          <w:sz w:val="24"/>
          <w:szCs w:val="24"/>
        </w:rPr>
        <w:t xml:space="preserve">.” </w:t>
      </w:r>
      <w:r w:rsidRPr="00190C74">
        <w:rPr>
          <w:b w:val="0"/>
          <w:bCs w:val="0"/>
          <w:sz w:val="24"/>
          <w:szCs w:val="24"/>
        </w:rPr>
        <w:t xml:space="preserve"> </w:t>
      </w:r>
      <w:hyperlink r:id="rId1932" w:history="1">
        <w:r w:rsidRPr="0085682C">
          <w:rPr>
            <w:rStyle w:val="Hyperlink"/>
            <w:b w:val="0"/>
            <w:bCs w:val="0"/>
            <w:sz w:val="24"/>
            <w:szCs w:val="24"/>
          </w:rPr>
          <w:t>https://www.npr.org/2021/11/09/1054000996/oklahoma-supreme-court-465-million-opioid-ruling</w:t>
        </w:r>
      </w:hyperlink>
      <w:r w:rsidRPr="00190C74">
        <w:rPr>
          <w:b w:val="0"/>
          <w:bCs w:val="0"/>
          <w:sz w:val="24"/>
          <w:szCs w:val="24"/>
        </w:rPr>
        <w:t xml:space="preserve"> </w:t>
      </w:r>
    </w:p>
    <w:p w14:paraId="590F338F" w14:textId="77777777" w:rsidR="00885321" w:rsidRDefault="00885321" w:rsidP="00885321">
      <w:pPr>
        <w:pStyle w:val="Heading1"/>
        <w:ind w:left="720"/>
        <w:rPr>
          <w:b w:val="0"/>
          <w:bCs w:val="0"/>
          <w:sz w:val="24"/>
          <w:szCs w:val="24"/>
        </w:rPr>
      </w:pPr>
      <w:r>
        <w:rPr>
          <w:b w:val="0"/>
          <w:bCs w:val="0"/>
          <w:sz w:val="24"/>
          <w:szCs w:val="24"/>
        </w:rPr>
        <w:t xml:space="preserve">But see other Court decisions: </w:t>
      </w:r>
    </w:p>
    <w:p w14:paraId="3739DB4D" w14:textId="77777777" w:rsidR="00885321" w:rsidRDefault="00885321" w:rsidP="00885321">
      <w:pPr>
        <w:pStyle w:val="Heading1"/>
        <w:ind w:left="720"/>
        <w:rPr>
          <w:b w:val="0"/>
          <w:bCs w:val="0"/>
          <w:sz w:val="24"/>
          <w:szCs w:val="24"/>
        </w:rPr>
      </w:pPr>
      <w:r>
        <w:rPr>
          <w:b w:val="0"/>
          <w:bCs w:val="0"/>
          <w:sz w:val="24"/>
          <w:szCs w:val="24"/>
        </w:rPr>
        <w:t xml:space="preserve">Nov. 23, 2021: </w:t>
      </w:r>
      <w:r w:rsidRPr="00C201AC">
        <w:rPr>
          <w:b w:val="0"/>
          <w:bCs w:val="0"/>
          <w:sz w:val="24"/>
          <w:szCs w:val="24"/>
        </w:rPr>
        <w:t xml:space="preserve">“3 of America's biggest pharmacy chains </w:t>
      </w:r>
      <w:proofErr w:type="gramStart"/>
      <w:r w:rsidRPr="00C201AC">
        <w:rPr>
          <w:b w:val="0"/>
          <w:bCs w:val="0"/>
          <w:sz w:val="24"/>
          <w:szCs w:val="24"/>
        </w:rPr>
        <w:t>have</w:t>
      </w:r>
      <w:proofErr w:type="gramEnd"/>
      <w:r w:rsidRPr="00C201AC">
        <w:rPr>
          <w:b w:val="0"/>
          <w:bCs w:val="0"/>
          <w:sz w:val="24"/>
          <w:szCs w:val="24"/>
        </w:rPr>
        <w:t xml:space="preserve"> been found liable for the opioid crisis.” </w:t>
      </w:r>
      <w:hyperlink r:id="rId1933" w:history="1">
        <w:r w:rsidRPr="0085682C">
          <w:rPr>
            <w:rStyle w:val="Hyperlink"/>
            <w:b w:val="0"/>
            <w:bCs w:val="0"/>
            <w:sz w:val="24"/>
            <w:szCs w:val="24"/>
          </w:rPr>
          <w:t>https://www.npr.org/2021/11/23/1058539458/a-jury-in-ohio-says-americas-big-pharmacy-chains-are-liable-for-the-opioid-epide</w:t>
        </w:r>
      </w:hyperlink>
      <w:r w:rsidRPr="00C201AC">
        <w:rPr>
          <w:b w:val="0"/>
          <w:bCs w:val="0"/>
          <w:sz w:val="24"/>
          <w:szCs w:val="24"/>
        </w:rPr>
        <w:t xml:space="preserve"> </w:t>
      </w:r>
    </w:p>
    <w:p w14:paraId="419EF775" w14:textId="77777777" w:rsidR="00885321" w:rsidRPr="00C201AC" w:rsidRDefault="00885321" w:rsidP="00885321">
      <w:pPr>
        <w:pStyle w:val="Heading1"/>
        <w:ind w:left="1440"/>
        <w:rPr>
          <w:b w:val="0"/>
          <w:bCs w:val="0"/>
          <w:sz w:val="24"/>
          <w:szCs w:val="24"/>
        </w:rPr>
      </w:pPr>
      <w:r>
        <w:rPr>
          <w:b w:val="0"/>
          <w:bCs w:val="0"/>
          <w:sz w:val="24"/>
          <w:szCs w:val="24"/>
        </w:rPr>
        <w:t>“</w:t>
      </w:r>
      <w:r w:rsidRPr="00C201AC">
        <w:rPr>
          <w:b w:val="0"/>
          <w:bCs w:val="0"/>
          <w:sz w:val="24"/>
          <w:szCs w:val="24"/>
        </w:rPr>
        <w:t>A federal jury on Tuesday found three of the nation's biggest pharmacy chains, CVS, Walgreens and Walmart, liable for helping to fuel the U.S. opioid crisis — a decision that's expected to have legal repercussions as thousands of similar lawsuits move forward in courts across the country.</w:t>
      </w:r>
      <w:r>
        <w:rPr>
          <w:b w:val="0"/>
          <w:bCs w:val="0"/>
          <w:sz w:val="24"/>
          <w:szCs w:val="24"/>
        </w:rPr>
        <w:t>”</w:t>
      </w:r>
    </w:p>
    <w:p w14:paraId="0A881F38" w14:textId="77777777" w:rsidR="00885321" w:rsidRPr="00190C74" w:rsidRDefault="00885321" w:rsidP="00885321">
      <w:pPr>
        <w:pStyle w:val="Heading1"/>
        <w:ind w:left="720"/>
        <w:rPr>
          <w:b w:val="0"/>
          <w:bCs w:val="0"/>
          <w:sz w:val="24"/>
          <w:szCs w:val="24"/>
        </w:rPr>
      </w:pPr>
      <w:r>
        <w:rPr>
          <w:b w:val="0"/>
          <w:bCs w:val="0"/>
          <w:sz w:val="24"/>
          <w:szCs w:val="24"/>
        </w:rPr>
        <w:t xml:space="preserve"> Nov. 1, 2021: “</w:t>
      </w:r>
      <w:r w:rsidRPr="00190C74">
        <w:rPr>
          <w:b w:val="0"/>
          <w:bCs w:val="0"/>
          <w:sz w:val="24"/>
          <w:szCs w:val="24"/>
        </w:rPr>
        <w:t xml:space="preserve">A California court says drug companies aren't liable for the state's opioid crisis. </w:t>
      </w:r>
      <w:hyperlink r:id="rId1934" w:history="1">
        <w:r w:rsidRPr="0085682C">
          <w:rPr>
            <w:rStyle w:val="Hyperlink"/>
            <w:b w:val="0"/>
            <w:bCs w:val="0"/>
            <w:sz w:val="24"/>
            <w:szCs w:val="24"/>
          </w:rPr>
          <w:t>https://www.npr.org/2021/11/01/1051321580/california-judge-drug-companies-opioid-crisis-allergan-endo-johnson-teva</w:t>
        </w:r>
      </w:hyperlink>
      <w:r w:rsidRPr="00190C74">
        <w:rPr>
          <w:b w:val="0"/>
          <w:bCs w:val="0"/>
          <w:sz w:val="24"/>
          <w:szCs w:val="24"/>
        </w:rPr>
        <w:t xml:space="preserve"> </w:t>
      </w:r>
    </w:p>
    <w:p w14:paraId="23226769" w14:textId="77777777" w:rsidR="00885321" w:rsidRPr="00C201AC" w:rsidRDefault="00885321" w:rsidP="00885321">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C201AC">
        <w:rPr>
          <w:rFonts w:ascii="Times New Roman" w:eastAsia="Times New Roman" w:hAnsi="Times New Roman"/>
          <w:sz w:val="24"/>
          <w:szCs w:val="24"/>
        </w:rPr>
        <w:t xml:space="preserve">A state judge in California ruled late Monday that four drug companies can't be held liable for that state's opioid epidemic. Communities had hoped for tens of billions of dollars in compensation to help ease the addiction crisis. </w:t>
      </w:r>
      <w:r>
        <w:rPr>
          <w:rFonts w:ascii="Times New Roman" w:eastAsia="Times New Roman" w:hAnsi="Times New Roman"/>
          <w:sz w:val="24"/>
          <w:szCs w:val="24"/>
        </w:rPr>
        <w:t xml:space="preserve"> </w:t>
      </w:r>
      <w:r w:rsidRPr="00C201AC">
        <w:rPr>
          <w:rFonts w:ascii="Times New Roman" w:eastAsia="Times New Roman" w:hAnsi="Times New Roman"/>
          <w:sz w:val="24"/>
          <w:szCs w:val="24"/>
        </w:rPr>
        <w:t>Attorneys representing four California counties argued the drug companies Allergan, Endo, Johnson &amp; Johnson and Teva used false and misleading marketing to push up the sale of prescription opioids.</w:t>
      </w:r>
      <w:r>
        <w:rPr>
          <w:rFonts w:ascii="Times New Roman" w:eastAsia="Times New Roman" w:hAnsi="Times New Roman"/>
          <w:sz w:val="24"/>
          <w:szCs w:val="24"/>
        </w:rPr>
        <w:t>”</w:t>
      </w:r>
    </w:p>
    <w:p w14:paraId="5CAE2483" w14:textId="77777777" w:rsidR="00885321" w:rsidRDefault="00885321" w:rsidP="00F326E5">
      <w:pPr>
        <w:rPr>
          <w:rFonts w:ascii="Arial Black" w:hAnsi="Arial Black"/>
          <w:b/>
          <w:sz w:val="24"/>
          <w:szCs w:val="24"/>
        </w:rPr>
      </w:pPr>
    </w:p>
    <w:p w14:paraId="7ECE1CD5" w14:textId="357215CC" w:rsidR="00774A91" w:rsidRDefault="00774A91" w:rsidP="00F326E5">
      <w:pPr>
        <w:rPr>
          <w:rFonts w:ascii="Arial Black" w:hAnsi="Arial Black"/>
          <w:b/>
          <w:sz w:val="24"/>
          <w:szCs w:val="24"/>
        </w:rPr>
      </w:pPr>
      <w:r>
        <w:rPr>
          <w:rFonts w:ascii="Arial Black" w:hAnsi="Arial Black"/>
          <w:b/>
          <w:sz w:val="24"/>
          <w:szCs w:val="24"/>
        </w:rPr>
        <w:t>12-13</w:t>
      </w:r>
    </w:p>
    <w:p w14:paraId="3D0AFAC3" w14:textId="77777777" w:rsidR="00774A91" w:rsidRPr="005C4D5B" w:rsidRDefault="00774A91" w:rsidP="00774A91">
      <w:pPr>
        <w:spacing w:before="100" w:beforeAutospacing="1" w:after="100" w:afterAutospacing="1" w:line="240" w:lineRule="auto"/>
        <w:rPr>
          <w:rFonts w:ascii="Arial Black" w:eastAsia="Times New Roman" w:hAnsi="Arial Black"/>
          <w:b/>
          <w:bCs/>
          <w:sz w:val="28"/>
          <w:szCs w:val="28"/>
        </w:rPr>
      </w:pPr>
      <w:r w:rsidRPr="005C4D5B">
        <w:rPr>
          <w:rFonts w:ascii="Arial Black" w:eastAsia="Times New Roman" w:hAnsi="Arial Black"/>
          <w:b/>
          <w:bCs/>
          <w:sz w:val="28"/>
          <w:szCs w:val="28"/>
        </w:rPr>
        <w:t>MI: FREELANCE PHOTOGRAPHER –</w:t>
      </w:r>
      <w:r>
        <w:rPr>
          <w:rFonts w:ascii="Arial Black" w:eastAsia="Times New Roman" w:hAnsi="Arial Black"/>
          <w:b/>
          <w:bCs/>
          <w:sz w:val="28"/>
          <w:szCs w:val="28"/>
        </w:rPr>
        <w:t xml:space="preserve"> LAWFULLY BANNED FROM FIREHOUSES FOR DRINKING – NOT RETALIATION</w:t>
      </w:r>
    </w:p>
    <w:p w14:paraId="6942F097" w14:textId="77777777" w:rsidR="00774A91" w:rsidRDefault="00774A91" w:rsidP="00774A91">
      <w:pPr>
        <w:pStyle w:val="NormalWeb"/>
      </w:pPr>
      <w:r>
        <w:t xml:space="preserve">On Oct. 27, 2021, in </w:t>
      </w:r>
      <w:r w:rsidRPr="005C4D5B">
        <w:rPr>
          <w:u w:val="single"/>
        </w:rPr>
        <w:t>Alexander Haggart v. City of Detroit, et al</w:t>
      </w:r>
      <w:r>
        <w:t xml:space="preserve">., U.S. District Court Judge Steven J. Murphy, U.S. District Court, Eastern District of Michigan (Southern Division) granted defendants’ motion for summary judgment, </w:t>
      </w:r>
      <w:r w:rsidRPr="00B97D8A">
        <w:t xml:space="preserve">including </w:t>
      </w:r>
      <w:r>
        <w:t xml:space="preserve">Fire </w:t>
      </w:r>
      <w:r w:rsidRPr="00B97D8A">
        <w:t>Chief Patrick McNulty</w:t>
      </w:r>
      <w:r>
        <w:t xml:space="preserve"> and </w:t>
      </w:r>
      <w:r w:rsidRPr="00B97D8A">
        <w:t>Deputy Chief Robert Shinske</w:t>
      </w:r>
      <w:r>
        <w:t xml:space="preserve">.  The Court held the </w:t>
      </w:r>
      <w:proofErr w:type="gramStart"/>
      <w:r>
        <w:t>banning</w:t>
      </w:r>
      <w:proofErr w:type="gramEnd"/>
      <w:r>
        <w:t xml:space="preserve"> was not in retaliation for taking photo of Deputy Chief Shinske’s command vehicle at bar 18 months earlier, where Deputy Chief received a 5-day suspension. Note: the photo was picked up by press and “went viral.”  See Oct. 18, </w:t>
      </w:r>
      <w:proofErr w:type="gramStart"/>
      <w:r>
        <w:t>2017</w:t>
      </w:r>
      <w:proofErr w:type="gramEnd"/>
      <w:r>
        <w:t xml:space="preserve"> article, “Detroit fire chief investigated for taking department car to bar.” </w:t>
      </w:r>
      <w:hyperlink r:id="rId1935" w:history="1">
        <w:r w:rsidRPr="00EF1618">
          <w:rPr>
            <w:rStyle w:val="Hyperlink"/>
          </w:rPr>
          <w:t>https://www.fox2detroit.com/news/detroit-fire-chief-investigated-for-taking-department-car-to-bar</w:t>
        </w:r>
      </w:hyperlink>
      <w:r>
        <w:t xml:space="preserve"> </w:t>
      </w:r>
    </w:p>
    <w:p w14:paraId="4814C452" w14:textId="77777777" w:rsidR="00774A91" w:rsidRDefault="00774A91" w:rsidP="00774A91">
      <w:pPr>
        <w:pStyle w:val="NormalWeb"/>
        <w:ind w:left="720"/>
      </w:pPr>
      <w:r>
        <w:t xml:space="preserve">“And the evidence shows that Deputy Chief Shinske had a legitimate reason to ban Plaintiff from firehouses based on Plaintiff's drinking and horsing around on department equipment. </w:t>
      </w:r>
      <w:r w:rsidRPr="005C4D5B">
        <w:t xml:space="preserve">In all, Plaintiff has failed to show that Deputy Chief Shinske would not have banned him but for posting </w:t>
      </w:r>
      <w:proofErr w:type="gramStart"/>
      <w:r w:rsidRPr="005C4D5B">
        <w:t>the photos</w:t>
      </w:r>
      <w:proofErr w:type="gramEnd"/>
      <w:r w:rsidRPr="005C4D5B">
        <w:t xml:space="preserve"> on social media. Because no evidence shows a </w:t>
      </w:r>
      <w:proofErr w:type="spellStart"/>
      <w:r w:rsidRPr="005C4D5B">
        <w:t>but</w:t>
      </w:r>
      <w:proofErr w:type="spellEnd"/>
      <w:r w:rsidRPr="005C4D5B">
        <w:t>-for causation, Deputy Chief Shinske did not violate Plaintiff's constitutional rights and is therefore entitled to qualified immunity.</w:t>
      </w:r>
      <w:r>
        <w:t xml:space="preserve">” </w:t>
      </w:r>
      <w:hyperlink r:id="rId1936" w:history="1">
        <w:r w:rsidRPr="009545D0">
          <w:rPr>
            <w:rStyle w:val="Hyperlink"/>
          </w:rPr>
          <w:t>https://public.fastcase.com/9SKwsfNqTc6OieYDhNMyM8QDIumtbytcTIYRS7vEe0pQ3%2BAszz%2FAIWxBBPTdhGkJW%2FsZnkZT639gd%2FCKUheamGpg8tPb2WiD4LZsCmDtik8%3D</w:t>
        </w:r>
      </w:hyperlink>
      <w:r>
        <w:t xml:space="preserve"> </w:t>
      </w:r>
    </w:p>
    <w:p w14:paraId="74BB0873" w14:textId="77777777" w:rsidR="00774A91" w:rsidRDefault="00774A91" w:rsidP="00774A91">
      <w:pPr>
        <w:pStyle w:val="NormalWeb"/>
        <w:rPr>
          <w:b/>
          <w:bCs/>
        </w:rPr>
      </w:pPr>
      <w:r w:rsidRPr="00FC31F8">
        <w:rPr>
          <w:b/>
          <w:bCs/>
        </w:rPr>
        <w:t>Legal Lesson Learned:</w:t>
      </w:r>
      <w:r>
        <w:rPr>
          <w:b/>
          <w:bCs/>
        </w:rPr>
        <w:t xml:space="preserve"> (1) Even if off duty, don’t drive your marked FD vehicle to bar unless conducting official business; (2) station officers who allow </w:t>
      </w:r>
      <w:proofErr w:type="gramStart"/>
      <w:r>
        <w:rPr>
          <w:b/>
          <w:bCs/>
        </w:rPr>
        <w:t>civilian</w:t>
      </w:r>
      <w:proofErr w:type="gramEnd"/>
      <w:r>
        <w:rPr>
          <w:b/>
          <w:bCs/>
        </w:rPr>
        <w:t xml:space="preserve"> to drink </w:t>
      </w:r>
      <w:proofErr w:type="gramStart"/>
      <w:r>
        <w:rPr>
          <w:b/>
          <w:bCs/>
        </w:rPr>
        <w:t>a beer</w:t>
      </w:r>
      <w:proofErr w:type="gramEnd"/>
      <w:r>
        <w:rPr>
          <w:b/>
          <w:bCs/>
        </w:rPr>
        <w:t xml:space="preserve"> at the station should also face discipline. </w:t>
      </w:r>
    </w:p>
    <w:p w14:paraId="2DF5780B" w14:textId="0A5E47ED" w:rsidR="00774A91" w:rsidRDefault="00774A91" w:rsidP="00F326E5">
      <w:pPr>
        <w:rPr>
          <w:rFonts w:ascii="Arial Black" w:hAnsi="Arial Black"/>
          <w:b/>
          <w:sz w:val="24"/>
          <w:szCs w:val="24"/>
        </w:rPr>
      </w:pPr>
    </w:p>
    <w:p w14:paraId="1F406173" w14:textId="666A1562" w:rsidR="00774A91" w:rsidRDefault="00774A91" w:rsidP="00F326E5">
      <w:pPr>
        <w:rPr>
          <w:rFonts w:ascii="Arial Black" w:hAnsi="Arial Black"/>
          <w:b/>
          <w:sz w:val="24"/>
          <w:szCs w:val="24"/>
        </w:rPr>
      </w:pPr>
      <w:r>
        <w:rPr>
          <w:rFonts w:ascii="Arial Black" w:hAnsi="Arial Black"/>
          <w:b/>
          <w:sz w:val="24"/>
          <w:szCs w:val="24"/>
        </w:rPr>
        <w:t>12-12</w:t>
      </w:r>
    </w:p>
    <w:p w14:paraId="15F7599E" w14:textId="77777777" w:rsidR="00774A91" w:rsidRPr="002B1B5D" w:rsidRDefault="00774A91" w:rsidP="00774A91">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LA: FF 3rd DUI – AFTER FIRST DUI SIGNED “RETURN TO WORK AGREEMENT” - TERMINATION UPHELD </w:t>
      </w:r>
    </w:p>
    <w:p w14:paraId="4D35CBAE" w14:textId="77777777" w:rsidR="00774A91" w:rsidRDefault="00774A91" w:rsidP="00774A9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20, 2021, in </w:t>
      </w:r>
      <w:r w:rsidRPr="00C0791C">
        <w:rPr>
          <w:rFonts w:ascii="Times New Roman" w:eastAsia="Times New Roman" w:hAnsi="Times New Roman"/>
          <w:sz w:val="24"/>
          <w:szCs w:val="24"/>
          <w:u w:val="single"/>
        </w:rPr>
        <w:t>Lance Martin v. Department of Fire [New Orleans]</w:t>
      </w:r>
      <w:r>
        <w:rPr>
          <w:rFonts w:ascii="Times New Roman" w:eastAsia="Times New Roman" w:hAnsi="Times New Roman"/>
          <w:sz w:val="24"/>
          <w:szCs w:val="24"/>
        </w:rPr>
        <w:t>, the Court of Appeals of Louisiana, Fourth Circuit, held (3 to 0) that the Civil Service Commission properly upheld the  firefighter’s termination.  After his first DUI (July 18, 2018), he agreed to seek help from EAP and signed a “</w:t>
      </w:r>
      <w:r w:rsidRPr="00C0791C">
        <w:rPr>
          <w:rFonts w:ascii="Times New Roman" w:hAnsi="Times New Roman"/>
          <w:sz w:val="24"/>
          <w:szCs w:val="24"/>
        </w:rPr>
        <w:t>Return to Work Consent for Information Disclosure</w:t>
      </w:r>
      <w:r>
        <w:rPr>
          <w:rFonts w:ascii="Times New Roman" w:hAnsi="Times New Roman"/>
          <w:sz w:val="24"/>
          <w:szCs w:val="24"/>
        </w:rPr>
        <w:t>’</w:t>
      </w:r>
      <w:r w:rsidRPr="00C0791C">
        <w:rPr>
          <w:rFonts w:ascii="Times New Roman" w:hAnsi="Times New Roman"/>
          <w:sz w:val="24"/>
          <w:szCs w:val="24"/>
        </w:rPr>
        <w:t xml:space="preserve"> </w:t>
      </w:r>
      <w:r>
        <w:rPr>
          <w:rFonts w:ascii="Times New Roman" w:hAnsi="Times New Roman"/>
          <w:sz w:val="24"/>
          <w:szCs w:val="24"/>
        </w:rPr>
        <w:t>A</w:t>
      </w:r>
      <w:r w:rsidRPr="00C0791C">
        <w:rPr>
          <w:rFonts w:ascii="Times New Roman" w:hAnsi="Times New Roman"/>
          <w:sz w:val="24"/>
          <w:szCs w:val="24"/>
        </w:rPr>
        <w:t>greement</w:t>
      </w:r>
      <w:r>
        <w:rPr>
          <w:rFonts w:ascii="Times New Roman" w:hAnsi="Times New Roman"/>
          <w:sz w:val="24"/>
          <w:szCs w:val="24"/>
        </w:rPr>
        <w:t xml:space="preserve"> </w:t>
      </w:r>
      <w:r w:rsidRPr="00D431D9">
        <w:rPr>
          <w:rFonts w:ascii="Times New Roman" w:hAnsi="Times New Roman"/>
          <w:sz w:val="24"/>
          <w:szCs w:val="24"/>
        </w:rPr>
        <w:t>which obligated him to abstain from alcohol consumption during the term of his employment</w:t>
      </w:r>
      <w:r>
        <w:rPr>
          <w:rFonts w:ascii="Times New Roman" w:hAnsi="Times New Roman"/>
          <w:sz w:val="24"/>
          <w:szCs w:val="24"/>
        </w:rPr>
        <w:t>.  Thereafter he had two more DUIs: Oct. 10, 2018, and July 12, 2019.</w:t>
      </w:r>
    </w:p>
    <w:p w14:paraId="23D3B56B" w14:textId="77777777" w:rsidR="00774A91" w:rsidRDefault="00774A91" w:rsidP="00774A91">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2B1B5D">
        <w:rPr>
          <w:rFonts w:ascii="Times New Roman" w:eastAsia="Times New Roman" w:hAnsi="Times New Roman"/>
          <w:sz w:val="24"/>
          <w:szCs w:val="24"/>
        </w:rPr>
        <w:t xml:space="preserve">Upon review of the record, we find the Commission's decision to uphold Mr. Martin's termination is rationally based on the facts established in the record. The record reflects that after </w:t>
      </w:r>
      <w:proofErr w:type="gramStart"/>
      <w:r w:rsidRPr="002B1B5D">
        <w:rPr>
          <w:rFonts w:ascii="Times New Roman" w:eastAsia="Times New Roman" w:hAnsi="Times New Roman"/>
          <w:sz w:val="24"/>
          <w:szCs w:val="24"/>
        </w:rPr>
        <w:t>entering into</w:t>
      </w:r>
      <w:proofErr w:type="gramEnd"/>
      <w:r w:rsidRPr="002B1B5D">
        <w:rPr>
          <w:rFonts w:ascii="Times New Roman" w:eastAsia="Times New Roman" w:hAnsi="Times New Roman"/>
          <w:sz w:val="24"/>
          <w:szCs w:val="24"/>
        </w:rPr>
        <w:t xml:space="preserve"> the </w:t>
      </w:r>
      <w:proofErr w:type="gramStart"/>
      <w:r w:rsidRPr="002B1B5D">
        <w:rPr>
          <w:rFonts w:ascii="Times New Roman" w:eastAsia="Times New Roman" w:hAnsi="Times New Roman"/>
          <w:sz w:val="24"/>
          <w:szCs w:val="24"/>
        </w:rPr>
        <w:t>return to work</w:t>
      </w:r>
      <w:proofErr w:type="gramEnd"/>
      <w:r w:rsidRPr="002B1B5D">
        <w:rPr>
          <w:rFonts w:ascii="Times New Roman" w:eastAsia="Times New Roman" w:hAnsi="Times New Roman"/>
          <w:sz w:val="24"/>
          <w:szCs w:val="24"/>
        </w:rPr>
        <w:t xml:space="preserve"> agreement, Mr. Martin had two additional incidents of alcohol misuse, which led to him being arrested. Consequently, he violated his </w:t>
      </w:r>
      <w:proofErr w:type="gramStart"/>
      <w:r w:rsidRPr="002B1B5D">
        <w:rPr>
          <w:rFonts w:ascii="Times New Roman" w:eastAsia="Times New Roman" w:hAnsi="Times New Roman"/>
          <w:sz w:val="24"/>
          <w:szCs w:val="24"/>
        </w:rPr>
        <w:t>return to work</w:t>
      </w:r>
      <w:proofErr w:type="gramEnd"/>
      <w:r w:rsidRPr="002B1B5D">
        <w:rPr>
          <w:rFonts w:ascii="Times New Roman" w:eastAsia="Times New Roman" w:hAnsi="Times New Roman"/>
          <w:sz w:val="24"/>
          <w:szCs w:val="24"/>
        </w:rPr>
        <w:t xml:space="preserve"> agreement. While we acknowledge that termination from permanent employment is the most extreme form of disciplinary action taken against an employee, we cannot say the Commission's decision to uphold the termination in this case was arbitrary, capricious, or an abuse of discretion.</w:t>
      </w:r>
      <w:r>
        <w:rPr>
          <w:rFonts w:ascii="Times New Roman" w:eastAsia="Times New Roman" w:hAnsi="Times New Roman"/>
          <w:sz w:val="24"/>
          <w:szCs w:val="24"/>
        </w:rPr>
        <w:t xml:space="preserve">” </w:t>
      </w:r>
      <w:hyperlink r:id="rId1937" w:history="1">
        <w:r w:rsidRPr="00ED2C8C">
          <w:rPr>
            <w:rStyle w:val="Hyperlink"/>
            <w:sz w:val="24"/>
            <w:szCs w:val="24"/>
          </w:rPr>
          <w:t>https://law.justia.com/cases/louisiana/fourth-circuit-court-of-appeal/2021/2021-ca-0070.html</w:t>
        </w:r>
      </w:hyperlink>
      <w:r>
        <w:rPr>
          <w:rFonts w:ascii="Times New Roman" w:eastAsia="Times New Roman" w:hAnsi="Times New Roman"/>
          <w:sz w:val="24"/>
          <w:szCs w:val="24"/>
        </w:rPr>
        <w:t xml:space="preserve"> </w:t>
      </w:r>
    </w:p>
    <w:p w14:paraId="07062970" w14:textId="77777777" w:rsidR="00774A91" w:rsidRPr="00C0791C" w:rsidRDefault="00774A91" w:rsidP="00774A91">
      <w:pPr>
        <w:spacing w:before="100" w:beforeAutospacing="1" w:after="100" w:afterAutospacing="1" w:line="240" w:lineRule="auto"/>
        <w:rPr>
          <w:rFonts w:ascii="Times New Roman" w:eastAsia="Times New Roman" w:hAnsi="Times New Roman"/>
          <w:b/>
          <w:bCs/>
          <w:sz w:val="24"/>
          <w:szCs w:val="24"/>
        </w:rPr>
      </w:pPr>
      <w:r w:rsidRPr="00D431D9">
        <w:rPr>
          <w:rFonts w:ascii="Times New Roman" w:hAnsi="Times New Roman"/>
          <w:b/>
          <w:bCs/>
          <w:sz w:val="24"/>
          <w:szCs w:val="24"/>
        </w:rPr>
        <w:t>Legal Lesson Learned:</w:t>
      </w:r>
      <w:r>
        <w:rPr>
          <w:rFonts w:ascii="Times New Roman" w:hAnsi="Times New Roman"/>
          <w:b/>
          <w:bCs/>
          <w:sz w:val="24"/>
          <w:szCs w:val="24"/>
        </w:rPr>
        <w:t xml:space="preserve"> Return to work agreements and other “last chance agreements” are enforceable. </w:t>
      </w:r>
    </w:p>
    <w:p w14:paraId="41723C7F" w14:textId="77777777" w:rsidR="00774A91" w:rsidRDefault="00774A91" w:rsidP="00F326E5">
      <w:pPr>
        <w:rPr>
          <w:rFonts w:ascii="Arial Black" w:hAnsi="Arial Black"/>
          <w:b/>
          <w:sz w:val="24"/>
          <w:szCs w:val="24"/>
        </w:rPr>
      </w:pPr>
    </w:p>
    <w:p w14:paraId="2D0D6631" w14:textId="4435079F" w:rsidR="003E0A22" w:rsidRDefault="00A82898" w:rsidP="00F326E5">
      <w:pPr>
        <w:rPr>
          <w:rFonts w:ascii="Arial Black" w:hAnsi="Arial Black"/>
          <w:b/>
          <w:sz w:val="24"/>
          <w:szCs w:val="24"/>
        </w:rPr>
      </w:pPr>
      <w:r>
        <w:rPr>
          <w:rFonts w:ascii="Arial Black" w:hAnsi="Arial Black"/>
          <w:b/>
          <w:sz w:val="24"/>
          <w:szCs w:val="24"/>
        </w:rPr>
        <w:t>12-11</w:t>
      </w:r>
    </w:p>
    <w:p w14:paraId="16D4701E" w14:textId="77777777" w:rsidR="00A82898" w:rsidRDefault="00A82898" w:rsidP="00A82898">
      <w:pPr>
        <w:pStyle w:val="NormalWeb"/>
        <w:spacing w:before="0" w:beforeAutospacing="0" w:after="0" w:afterAutospacing="0" w:line="255" w:lineRule="atLeast"/>
        <w:rPr>
          <w:rStyle w:val="markedcontent"/>
          <w:rFonts w:ascii="Arial Black" w:hAnsi="Arial Black"/>
          <w:sz w:val="28"/>
          <w:szCs w:val="28"/>
        </w:rPr>
      </w:pPr>
      <w:r>
        <w:rPr>
          <w:rStyle w:val="markedcontent"/>
          <w:rFonts w:ascii="Arial Black" w:hAnsi="Arial Black"/>
          <w:sz w:val="28"/>
          <w:szCs w:val="28"/>
        </w:rPr>
        <w:t xml:space="preserve">CO: MARIJUANA - 44 STATES ALLOW USE – U.S. SUPREME COURT JUSTICE THOMAS: FEDS ARE “HALF-IN, HALF OUT” </w:t>
      </w:r>
    </w:p>
    <w:p w14:paraId="6EDDF135" w14:textId="77777777" w:rsidR="00A82898" w:rsidRDefault="00A82898" w:rsidP="00A82898">
      <w:pPr>
        <w:pStyle w:val="NormalWeb"/>
        <w:spacing w:before="0" w:beforeAutospacing="0" w:after="0" w:afterAutospacing="0" w:line="255" w:lineRule="atLeast"/>
        <w:rPr>
          <w:rStyle w:val="markedcontent"/>
          <w:rFonts w:ascii="Arial Black" w:hAnsi="Arial Black"/>
          <w:sz w:val="28"/>
          <w:szCs w:val="28"/>
        </w:rPr>
      </w:pPr>
    </w:p>
    <w:p w14:paraId="537B74F1" w14:textId="77777777" w:rsidR="00A82898" w:rsidRPr="005B0F3E" w:rsidRDefault="00A82898" w:rsidP="00A82898">
      <w:pPr>
        <w:pStyle w:val="NormalWeb"/>
        <w:spacing w:before="0" w:beforeAutospacing="0" w:after="0" w:afterAutospacing="0" w:line="255" w:lineRule="atLeast"/>
        <w:rPr>
          <w:rStyle w:val="markedcontent"/>
        </w:rPr>
      </w:pPr>
      <w:r w:rsidRPr="00C13F94">
        <w:rPr>
          <w:rStyle w:val="markedcontent"/>
        </w:rPr>
        <w:t xml:space="preserve">On June 28, 2021, in </w:t>
      </w:r>
      <w:r w:rsidRPr="00C13F94">
        <w:rPr>
          <w:rStyle w:val="markedcontent"/>
          <w:u w:val="single"/>
        </w:rPr>
        <w:t>Standing Akimbo, LLC et al. v. United States</w:t>
      </w:r>
      <w:r w:rsidRPr="00C13F94">
        <w:rPr>
          <w:rStyle w:val="markedcontent"/>
        </w:rPr>
        <w:t xml:space="preserve">, filed a dissent when the </w:t>
      </w:r>
      <w:r w:rsidRPr="005B0F3E">
        <w:rPr>
          <w:rStyle w:val="markedcontent"/>
        </w:rPr>
        <w:t xml:space="preserve">Court declined to hear appeal (requires 4 Justices to hear an appeal) of a medical marijuana dispensary in Colorado, that under Federal law cannot deduct cost of doing business from IRS taxes.  His dissent pointed out that “36 States allow medicinal marijuana use and 18 of those States also allow recreational use.”  </w:t>
      </w:r>
    </w:p>
    <w:p w14:paraId="4242109A" w14:textId="77777777" w:rsidR="00A82898" w:rsidRPr="005B0F3E" w:rsidRDefault="00A82898" w:rsidP="00A82898">
      <w:pPr>
        <w:pStyle w:val="NormalWeb"/>
        <w:spacing w:before="0" w:beforeAutospacing="0" w:after="0" w:afterAutospacing="0" w:line="255" w:lineRule="atLeast"/>
        <w:rPr>
          <w:rStyle w:val="markedcontent"/>
        </w:rPr>
      </w:pPr>
    </w:p>
    <w:p w14:paraId="7B83AF9F" w14:textId="77777777" w:rsidR="00A82898" w:rsidRPr="005B0F3E" w:rsidRDefault="00A82898" w:rsidP="00A82898">
      <w:pPr>
        <w:pStyle w:val="NormalWeb"/>
        <w:spacing w:before="0" w:beforeAutospacing="0" w:after="0" w:afterAutospacing="0" w:line="255" w:lineRule="atLeast"/>
        <w:ind w:left="720"/>
        <w:rPr>
          <w:rStyle w:val="Strong"/>
          <w:rFonts w:ascii="Arial" w:eastAsiaTheme="majorEastAsia" w:hAnsi="Arial" w:cs="Arial"/>
          <w:color w:val="555555"/>
        </w:rPr>
      </w:pPr>
      <w:r w:rsidRPr="005B0F3E">
        <w:rPr>
          <w:rStyle w:val="markedcontent"/>
        </w:rPr>
        <w:t xml:space="preserve">“Once comprehensive, the Federal Government’s current approach is a half-in, half-out regime that simultaneously tolerates and forbids local use of marijuana. This contradictory and unstable </w:t>
      </w:r>
      <w:proofErr w:type="gramStart"/>
      <w:r w:rsidRPr="005B0F3E">
        <w:rPr>
          <w:rStyle w:val="markedcontent"/>
        </w:rPr>
        <w:t>state of affairs</w:t>
      </w:r>
      <w:proofErr w:type="gramEnd"/>
      <w:r w:rsidRPr="005B0F3E">
        <w:rPr>
          <w:rStyle w:val="markedcontent"/>
        </w:rPr>
        <w:t xml:space="preserve"> strains basic principles of federalism and conceals traps for the unwary.  ***A prohibition on intrastate use or cultivation of marijuana may no longer be necessary or proper to support the Federal Government’s piecemeal approach.” </w:t>
      </w:r>
      <w:hyperlink r:id="rId1938" w:history="1">
        <w:r w:rsidRPr="005B0F3E">
          <w:rPr>
            <w:rStyle w:val="Hyperlink"/>
          </w:rPr>
          <w:t>https://www.supremecourt.gov/opinions/20pdf/20-645_9p6b.pdf</w:t>
        </w:r>
      </w:hyperlink>
      <w:r w:rsidRPr="005B0F3E">
        <w:rPr>
          <w:rStyle w:val="markedcontent"/>
        </w:rPr>
        <w:t xml:space="preserve"> </w:t>
      </w:r>
    </w:p>
    <w:p w14:paraId="05F55223" w14:textId="77777777" w:rsidR="00A82898" w:rsidRPr="005B0F3E" w:rsidRDefault="00A82898" w:rsidP="00A82898">
      <w:pPr>
        <w:pStyle w:val="NormalWeb"/>
        <w:spacing w:before="0" w:beforeAutospacing="0" w:after="0" w:afterAutospacing="0" w:line="255" w:lineRule="atLeast"/>
        <w:rPr>
          <w:rStyle w:val="markedcontent"/>
        </w:rPr>
      </w:pPr>
    </w:p>
    <w:p w14:paraId="2F5CC76E" w14:textId="77777777" w:rsidR="00A82898" w:rsidRPr="005B0F3E" w:rsidRDefault="00A82898" w:rsidP="00A82898">
      <w:pPr>
        <w:pStyle w:val="NormalWeb"/>
        <w:spacing w:before="0" w:beforeAutospacing="0" w:after="0" w:afterAutospacing="0" w:line="255" w:lineRule="atLeast"/>
        <w:rPr>
          <w:rStyle w:val="markedcontent"/>
        </w:rPr>
      </w:pPr>
      <w:r w:rsidRPr="005B0F3E">
        <w:rPr>
          <w:rStyle w:val="markedcontent"/>
        </w:rPr>
        <w:t>Facts [from 10</w:t>
      </w:r>
      <w:r w:rsidRPr="005B0F3E">
        <w:rPr>
          <w:rStyle w:val="markedcontent"/>
          <w:vertAlign w:val="superscript"/>
        </w:rPr>
        <w:t>th</w:t>
      </w:r>
      <w:r w:rsidRPr="005B0F3E">
        <w:rPr>
          <w:rStyle w:val="markedcontent"/>
        </w:rPr>
        <w:t xml:space="preserve"> Circuit decision, April 7, 2020: </w:t>
      </w:r>
    </w:p>
    <w:p w14:paraId="155BA214" w14:textId="77777777" w:rsidR="00A82898" w:rsidRPr="005B0F3E" w:rsidRDefault="00A82898" w:rsidP="00A82898">
      <w:pPr>
        <w:pStyle w:val="NormalWeb"/>
        <w:spacing w:before="0" w:beforeAutospacing="0" w:after="0" w:afterAutospacing="0" w:line="255" w:lineRule="atLeast"/>
        <w:rPr>
          <w:rStyle w:val="markedcontent"/>
        </w:rPr>
      </w:pPr>
    </w:p>
    <w:p w14:paraId="776587F1" w14:textId="77777777" w:rsidR="00A82898" w:rsidRPr="005B0F3E" w:rsidRDefault="00A82898" w:rsidP="00A82898">
      <w:pPr>
        <w:pStyle w:val="NormalWeb"/>
        <w:spacing w:before="0" w:beforeAutospacing="0" w:after="0" w:afterAutospacing="0" w:line="255" w:lineRule="atLeast"/>
        <w:ind w:left="720"/>
      </w:pPr>
      <w:r w:rsidRPr="005B0F3E">
        <w:t>“The Internal Revenue Service (IRS) is responsible to enforce the federal tax code against marijuana businesses operating legally under state law. This led to a civil audit of Peter Hermes, Kevin Desilet, Samantha Murphy, and John Murphy (collectively, the ‘Taxpayers’) to verify their tax liabilities for their medical-marijuana dispensary, Standing Akimbo, LLC. The IRS was investigating whether the Taxpayers had taken improper deductions for business expenses arising from a ‘trade or business’ that ‘consists of trafficking in controlled substances.’ 26 U.S.C. § 280E. But claiming to fear criminal prosecution, the Taxpayers declined to provide the audit information to the IRS. This left the IRS to seek the information elsewhere—it issued four summonses for plant reports, gross-sales reports and license information to the Colorado Department of Revenue’s Marijuana Enforcement Division (the ‘Enforcement Division’), which is the state entity responsible for regulating licensed marijuana sales.</w:t>
      </w:r>
    </w:p>
    <w:p w14:paraId="0D1D2EFA" w14:textId="77777777" w:rsidR="00A82898" w:rsidRPr="005B0F3E" w:rsidRDefault="00A82898" w:rsidP="00A82898">
      <w:pPr>
        <w:pStyle w:val="NormalWeb"/>
        <w:spacing w:before="0" w:beforeAutospacing="0" w:after="0" w:afterAutospacing="0" w:line="255" w:lineRule="atLeast"/>
        <w:ind w:left="720"/>
      </w:pPr>
    </w:p>
    <w:p w14:paraId="339FDB34" w14:textId="77777777" w:rsidR="00A82898" w:rsidRDefault="00A82898" w:rsidP="00A82898">
      <w:pPr>
        <w:pStyle w:val="NormalWeb"/>
        <w:spacing w:before="0" w:beforeAutospacing="0" w:after="0" w:afterAutospacing="0" w:line="255" w:lineRule="atLeast"/>
        <w:ind w:left="720"/>
        <w:rPr>
          <w:rStyle w:val="markedcontent"/>
          <w:sz w:val="27"/>
          <w:szCs w:val="27"/>
        </w:rPr>
      </w:pPr>
      <w:r w:rsidRPr="005B0F3E">
        <w:t>In Colorado federal district court, the Taxpayers filed a petition to quash the summonses. The government moved to dismiss the petition and to enforce the summonses. The district court granted the motion to dismiss and ordered the summonses enforced. Exercising jurisdiction under 28 U.S.C. § 1291, we affirm.”</w:t>
      </w:r>
      <w:r w:rsidRPr="005B0F3E">
        <w:rPr>
          <w:rStyle w:val="markedcontent"/>
        </w:rPr>
        <w:t xml:space="preserve"> </w:t>
      </w:r>
      <w:hyperlink r:id="rId1939" w:history="1">
        <w:r w:rsidRPr="005B0F3E">
          <w:rPr>
            <w:rStyle w:val="Hyperlink"/>
          </w:rPr>
          <w:t>https://cases.justia.com/federal/appellate-courts/ca10/19-1049/19-1049-2020-04-07.pdf?ts=1586277066</w:t>
        </w:r>
      </w:hyperlink>
      <w:r>
        <w:rPr>
          <w:rStyle w:val="markedcontent"/>
          <w:sz w:val="27"/>
          <w:szCs w:val="27"/>
        </w:rPr>
        <w:t xml:space="preserve"> ]</w:t>
      </w:r>
    </w:p>
    <w:p w14:paraId="16A91E14" w14:textId="77777777" w:rsidR="00A82898" w:rsidRPr="00AE19EB" w:rsidRDefault="00A82898" w:rsidP="00A82898">
      <w:pPr>
        <w:pStyle w:val="NormalWeb"/>
        <w:spacing w:before="0" w:beforeAutospacing="0" w:after="0" w:afterAutospacing="0" w:line="255" w:lineRule="atLeast"/>
        <w:ind w:left="720"/>
        <w:rPr>
          <w:rStyle w:val="markedcontent"/>
        </w:rPr>
      </w:pPr>
    </w:p>
    <w:p w14:paraId="70F3A3FA" w14:textId="77777777" w:rsidR="00A82898" w:rsidRPr="00AE19EB" w:rsidRDefault="00A82898" w:rsidP="00A82898">
      <w:pPr>
        <w:pStyle w:val="NormalWeb"/>
        <w:spacing w:before="0" w:beforeAutospacing="0" w:after="0" w:afterAutospacing="0" w:line="255" w:lineRule="atLeast"/>
        <w:rPr>
          <w:rStyle w:val="markedcontent"/>
          <w:b/>
          <w:bCs/>
        </w:rPr>
      </w:pPr>
      <w:r w:rsidRPr="00AE19EB">
        <w:rPr>
          <w:rStyle w:val="markedcontent"/>
          <w:b/>
          <w:bCs/>
        </w:rPr>
        <w:t xml:space="preserve">Legal Lesson Learned: Fire Departments should </w:t>
      </w:r>
      <w:r>
        <w:rPr>
          <w:rStyle w:val="markedcontent"/>
          <w:b/>
          <w:bCs/>
        </w:rPr>
        <w:t xml:space="preserve">consider </w:t>
      </w:r>
      <w:proofErr w:type="gramStart"/>
      <w:r w:rsidRPr="00AE19EB">
        <w:rPr>
          <w:rStyle w:val="markedcontent"/>
          <w:b/>
          <w:bCs/>
        </w:rPr>
        <w:t>adopt</w:t>
      </w:r>
      <w:proofErr w:type="gramEnd"/>
      <w:r w:rsidRPr="00AE19EB">
        <w:rPr>
          <w:rStyle w:val="markedcontent"/>
          <w:b/>
          <w:bCs/>
        </w:rPr>
        <w:t xml:space="preserve"> policies that </w:t>
      </w:r>
      <w:proofErr w:type="gramStart"/>
      <w:r w:rsidRPr="00AE19EB">
        <w:rPr>
          <w:rStyle w:val="markedcontent"/>
          <w:b/>
          <w:bCs/>
        </w:rPr>
        <w:t>requires</w:t>
      </w:r>
      <w:proofErr w:type="gramEnd"/>
      <w:r w:rsidRPr="00AE19EB">
        <w:rPr>
          <w:rStyle w:val="markedcontent"/>
          <w:b/>
          <w:bCs/>
        </w:rPr>
        <w:t xml:space="preserve"> firefighters to disclose any prescription for medicinal marijuana use, and </w:t>
      </w:r>
      <w:r>
        <w:rPr>
          <w:rStyle w:val="markedcontent"/>
          <w:b/>
          <w:bCs/>
        </w:rPr>
        <w:t xml:space="preserve">the </w:t>
      </w:r>
      <w:r w:rsidRPr="00AE19EB">
        <w:rPr>
          <w:rStyle w:val="markedcontent"/>
          <w:b/>
          <w:bCs/>
        </w:rPr>
        <w:t>duty restrictions</w:t>
      </w:r>
      <w:r>
        <w:rPr>
          <w:rStyle w:val="markedcontent"/>
          <w:b/>
          <w:bCs/>
        </w:rPr>
        <w:t xml:space="preserve"> for such firefighters. </w:t>
      </w:r>
    </w:p>
    <w:p w14:paraId="4DE6AF4C" w14:textId="77777777" w:rsidR="00A82898" w:rsidRDefault="00A82898" w:rsidP="00A82898">
      <w:pPr>
        <w:pStyle w:val="NoSpacing"/>
        <w:rPr>
          <w:rStyle w:val="markedcontent"/>
          <w:rFonts w:ascii="Times New Roman" w:hAnsi="Times New Roman"/>
          <w:sz w:val="24"/>
          <w:szCs w:val="24"/>
        </w:rPr>
      </w:pPr>
      <w:r w:rsidRPr="0041393A">
        <w:rPr>
          <w:rStyle w:val="markedcontent"/>
          <w:rFonts w:ascii="Times New Roman" w:hAnsi="Times New Roman"/>
          <w:sz w:val="24"/>
          <w:szCs w:val="24"/>
        </w:rPr>
        <w:tab/>
        <w:t>Note:</w:t>
      </w:r>
    </w:p>
    <w:p w14:paraId="25DFCBA8" w14:textId="77777777" w:rsidR="00A82898" w:rsidRDefault="00A82898" w:rsidP="00A82898">
      <w:pPr>
        <w:pStyle w:val="NoSpacing"/>
        <w:rPr>
          <w:rStyle w:val="markedcontent"/>
        </w:rPr>
      </w:pPr>
    </w:p>
    <w:p w14:paraId="1594A5BB" w14:textId="77777777" w:rsidR="00A82898" w:rsidRPr="0041393A" w:rsidRDefault="00A82898" w:rsidP="00A82898">
      <w:pPr>
        <w:pStyle w:val="NoSpacing"/>
        <w:ind w:firstLine="720"/>
        <w:rPr>
          <w:rFonts w:ascii="Times New Roman" w:hAnsi="Times New Roman"/>
          <w:sz w:val="24"/>
          <w:szCs w:val="24"/>
        </w:rPr>
      </w:pPr>
      <w:r w:rsidRPr="0041393A">
        <w:rPr>
          <w:rStyle w:val="markedcontent"/>
          <w:rFonts w:ascii="Times New Roman" w:hAnsi="Times New Roman"/>
          <w:sz w:val="24"/>
          <w:szCs w:val="24"/>
        </w:rPr>
        <w:t xml:space="preserve">June 29, 2021: </w:t>
      </w:r>
      <w:r w:rsidRPr="0041393A">
        <w:rPr>
          <w:rFonts w:ascii="Times New Roman" w:hAnsi="Times New Roman"/>
          <w:sz w:val="24"/>
          <w:szCs w:val="24"/>
        </w:rPr>
        <w:t>Mexico's supreme court decriminalizes recreational use of cannabis</w:t>
      </w:r>
    </w:p>
    <w:p w14:paraId="02A6A52B" w14:textId="77777777" w:rsidR="00A82898" w:rsidRDefault="00A82898" w:rsidP="00A82898">
      <w:pPr>
        <w:pStyle w:val="NoSpacing"/>
        <w:ind w:left="720"/>
      </w:pPr>
      <w:hyperlink r:id="rId1940" w:history="1">
        <w:r w:rsidRPr="004E5B98">
          <w:rPr>
            <w:rStyle w:val="Hyperlink"/>
            <w:sz w:val="24"/>
            <w:szCs w:val="24"/>
          </w:rPr>
          <w:t>https://www.cnn.com/2021/06/29/americas/mexico-cannabis-decriminalization-intl/index.html?utm_content=2021-06-29T08%3A51%3A14&amp;utm_term=link&amp;utm_source=twcnnbrk&amp;utm_medium=social</w:t>
        </w:r>
      </w:hyperlink>
      <w:r>
        <w:t xml:space="preserve"> </w:t>
      </w:r>
    </w:p>
    <w:p w14:paraId="4E1B18DE" w14:textId="77777777" w:rsidR="00A82898" w:rsidRPr="007E3D25" w:rsidRDefault="00A82898" w:rsidP="00A82898">
      <w:pPr>
        <w:pStyle w:val="NormalWeb"/>
        <w:spacing w:before="0" w:beforeAutospacing="0" w:after="0" w:afterAutospacing="0" w:line="255" w:lineRule="atLeast"/>
        <w:rPr>
          <w:rStyle w:val="markedcontent"/>
        </w:rPr>
      </w:pPr>
    </w:p>
    <w:p w14:paraId="0095E9FA" w14:textId="77777777" w:rsidR="00A82898" w:rsidRPr="00A82898" w:rsidRDefault="00A82898" w:rsidP="00A82898">
      <w:pPr>
        <w:pStyle w:val="Heading1"/>
        <w:ind w:left="720"/>
        <w:rPr>
          <w:b w:val="0"/>
          <w:bCs w:val="0"/>
          <w:sz w:val="24"/>
          <w:szCs w:val="24"/>
        </w:rPr>
      </w:pPr>
      <w:r>
        <w:rPr>
          <w:b w:val="0"/>
          <w:bCs w:val="0"/>
          <w:sz w:val="24"/>
          <w:szCs w:val="24"/>
        </w:rPr>
        <w:t>Sept. 23, 2020: “</w:t>
      </w:r>
      <w:r w:rsidRPr="00AE19EB">
        <w:rPr>
          <w:b w:val="0"/>
          <w:bCs w:val="0"/>
          <w:sz w:val="24"/>
          <w:szCs w:val="24"/>
        </w:rPr>
        <w:t>Can Fire Departments Prohibit Firefighter Off-Duty Medical Marijuana Use?</w:t>
      </w:r>
      <w:r>
        <w:rPr>
          <w:b w:val="0"/>
          <w:bCs w:val="0"/>
          <w:sz w:val="24"/>
          <w:szCs w:val="24"/>
        </w:rPr>
        <w:t xml:space="preserve">” </w:t>
      </w:r>
      <w:hyperlink r:id="rId1941" w:history="1">
        <w:r w:rsidRPr="00A82898">
          <w:rPr>
            <w:rStyle w:val="Hyperlink"/>
            <w:b w:val="0"/>
            <w:bCs w:val="0"/>
            <w:sz w:val="24"/>
            <w:szCs w:val="24"/>
          </w:rPr>
          <w:t>https://www.lexipol.com/resources/blog/can-fire-departments-prohibit-firefighter-off-duty-medical-marijuana-use/</w:t>
        </w:r>
      </w:hyperlink>
      <w:r w:rsidRPr="00A82898">
        <w:rPr>
          <w:b w:val="0"/>
          <w:bCs w:val="0"/>
          <w:sz w:val="24"/>
          <w:szCs w:val="24"/>
        </w:rPr>
        <w:t xml:space="preserve"> </w:t>
      </w:r>
    </w:p>
    <w:p w14:paraId="123DC077" w14:textId="77777777" w:rsidR="00A82898" w:rsidRPr="003D5D8C" w:rsidRDefault="00A82898" w:rsidP="00A82898">
      <w:pPr>
        <w:pStyle w:val="Heading1"/>
        <w:ind w:left="720"/>
        <w:rPr>
          <w:b w:val="0"/>
          <w:bCs w:val="0"/>
          <w:sz w:val="24"/>
          <w:szCs w:val="24"/>
        </w:rPr>
      </w:pPr>
      <w:r>
        <w:rPr>
          <w:b w:val="0"/>
          <w:bCs w:val="0"/>
          <w:sz w:val="24"/>
          <w:szCs w:val="24"/>
        </w:rPr>
        <w:t>Feb. 5, 2020: “</w:t>
      </w:r>
      <w:r w:rsidRPr="00434B0D">
        <w:rPr>
          <w:b w:val="0"/>
          <w:bCs w:val="0"/>
          <w:sz w:val="24"/>
          <w:szCs w:val="24"/>
        </w:rPr>
        <w:t>Marijuana in the Fire Service: Up in Smoke, Part II</w:t>
      </w:r>
      <w:r>
        <w:rPr>
          <w:b w:val="0"/>
          <w:bCs w:val="0"/>
          <w:sz w:val="24"/>
          <w:szCs w:val="24"/>
        </w:rPr>
        <w:t xml:space="preserve">.” </w:t>
      </w:r>
      <w:hyperlink r:id="rId1942" w:anchor="gref" w:history="1">
        <w:r w:rsidRPr="00A82898">
          <w:rPr>
            <w:rStyle w:val="Hyperlink"/>
            <w:b w:val="0"/>
            <w:bCs w:val="0"/>
            <w:sz w:val="24"/>
            <w:szCs w:val="24"/>
          </w:rPr>
          <w:t>https://www.fireengineering.com/leadership/marijuana-in-the-fire-service-up-in-smoke-part-ii/#gref</w:t>
        </w:r>
      </w:hyperlink>
      <w:r w:rsidRPr="00A82898">
        <w:rPr>
          <w:b w:val="0"/>
          <w:bCs w:val="0"/>
          <w:sz w:val="24"/>
          <w:szCs w:val="24"/>
        </w:rPr>
        <w:t xml:space="preserve"> </w:t>
      </w:r>
    </w:p>
    <w:p w14:paraId="427E286B" w14:textId="7CE17B31" w:rsidR="00A82898" w:rsidRDefault="00A82898" w:rsidP="00F326E5">
      <w:pPr>
        <w:rPr>
          <w:rFonts w:ascii="Arial Black" w:hAnsi="Arial Black"/>
          <w:b/>
          <w:sz w:val="24"/>
          <w:szCs w:val="24"/>
        </w:rPr>
      </w:pPr>
    </w:p>
    <w:p w14:paraId="338F2D95" w14:textId="77777777" w:rsidR="00A82898" w:rsidRDefault="00A82898" w:rsidP="00F326E5">
      <w:pPr>
        <w:rPr>
          <w:rFonts w:ascii="Arial Black" w:hAnsi="Arial Black"/>
          <w:b/>
          <w:sz w:val="24"/>
          <w:szCs w:val="24"/>
        </w:rPr>
      </w:pPr>
    </w:p>
    <w:p w14:paraId="4AAED520" w14:textId="37F24BB6" w:rsidR="003E0A22" w:rsidRDefault="003E0A22" w:rsidP="00F326E5">
      <w:pPr>
        <w:rPr>
          <w:rFonts w:ascii="Arial Black" w:hAnsi="Arial Black"/>
          <w:b/>
          <w:sz w:val="24"/>
          <w:szCs w:val="24"/>
        </w:rPr>
      </w:pPr>
      <w:r>
        <w:rPr>
          <w:rFonts w:ascii="Arial Black" w:hAnsi="Arial Black"/>
          <w:b/>
          <w:sz w:val="24"/>
          <w:szCs w:val="24"/>
        </w:rPr>
        <w:t>12-10</w:t>
      </w:r>
    </w:p>
    <w:p w14:paraId="11740AD7" w14:textId="77777777" w:rsidR="003E0A22" w:rsidRDefault="003E0A22" w:rsidP="003E0A22">
      <w:pPr>
        <w:rPr>
          <w:rFonts w:ascii="Arial Black" w:hAnsi="Arial Black"/>
          <w:b/>
          <w:sz w:val="28"/>
          <w:szCs w:val="28"/>
        </w:rPr>
      </w:pPr>
      <w:r>
        <w:rPr>
          <w:rFonts w:ascii="Arial Black" w:hAnsi="Arial Black"/>
          <w:b/>
          <w:sz w:val="28"/>
          <w:szCs w:val="28"/>
        </w:rPr>
        <w:t>NC: DIVISION CHIEF’S DUI CONVICTION – NOT ELIGIBLE TWO PROMOTIONS 2019 – TITLE VII (RACE) DISMISSED</w:t>
      </w:r>
    </w:p>
    <w:p w14:paraId="2BD0929A" w14:textId="77777777" w:rsidR="003E0A22" w:rsidRDefault="003E0A22" w:rsidP="003E0A22">
      <w:pPr>
        <w:rPr>
          <w:rFonts w:ascii="Times New Roman" w:hAnsi="Times New Roman"/>
          <w:bCs/>
          <w:sz w:val="24"/>
          <w:szCs w:val="24"/>
        </w:rPr>
      </w:pPr>
      <w:r>
        <w:rPr>
          <w:rFonts w:ascii="Times New Roman" w:hAnsi="Times New Roman"/>
          <w:bCs/>
          <w:sz w:val="24"/>
          <w:szCs w:val="24"/>
        </w:rPr>
        <w:t xml:space="preserve">On April 1, 2021, in </w:t>
      </w:r>
      <w:r>
        <w:rPr>
          <w:rFonts w:ascii="Times New Roman" w:hAnsi="Times New Roman"/>
          <w:bCs/>
          <w:sz w:val="24"/>
          <w:szCs w:val="24"/>
          <w:u w:val="single"/>
        </w:rPr>
        <w:t>Kevin Coppage v. City of Raleigh</w:t>
      </w:r>
      <w:r>
        <w:rPr>
          <w:rFonts w:ascii="Times New Roman" w:hAnsi="Times New Roman"/>
          <w:bCs/>
          <w:sz w:val="24"/>
          <w:szCs w:val="24"/>
        </w:rPr>
        <w:t xml:space="preserve">, U.S. District Court Chief Judge Richard E, Myers, II, </w:t>
      </w:r>
      <w:r>
        <w:rPr>
          <w:rFonts w:ascii="Times New Roman" w:hAnsi="Times New Roman"/>
          <w:sz w:val="24"/>
          <w:szCs w:val="24"/>
        </w:rPr>
        <w:t xml:space="preserve">United States District Court for the Eastern District of North Carolina, </w:t>
      </w:r>
      <w:r>
        <w:rPr>
          <w:rFonts w:ascii="Times New Roman" w:hAnsi="Times New Roman"/>
          <w:bCs/>
          <w:sz w:val="24"/>
          <w:szCs w:val="24"/>
        </w:rPr>
        <w:t xml:space="preserve">granted the City’s motion to for partial dismissal of the Amended Complaint. The plaintiff, a Division Chief (highest ranking </w:t>
      </w:r>
      <w:proofErr w:type="gramStart"/>
      <w:r>
        <w:rPr>
          <w:rFonts w:ascii="Times New Roman" w:hAnsi="Times New Roman"/>
          <w:bCs/>
          <w:sz w:val="24"/>
          <w:szCs w:val="24"/>
        </w:rPr>
        <w:t>African-American</w:t>
      </w:r>
      <w:proofErr w:type="gramEnd"/>
      <w:r>
        <w:rPr>
          <w:rFonts w:ascii="Times New Roman" w:hAnsi="Times New Roman"/>
          <w:bCs/>
          <w:sz w:val="24"/>
          <w:szCs w:val="24"/>
        </w:rPr>
        <w:t xml:space="preserve"> on the fire department), was convicted of an off-duty DUI on July 10, 2019.  In Oct. 2019, he was denied promotion to Assistant Fire </w:t>
      </w:r>
      <w:proofErr w:type="gramStart"/>
      <w:r>
        <w:rPr>
          <w:rFonts w:ascii="Times New Roman" w:hAnsi="Times New Roman"/>
          <w:bCs/>
          <w:sz w:val="24"/>
          <w:szCs w:val="24"/>
        </w:rPr>
        <w:t>based</w:t>
      </w:r>
      <w:proofErr w:type="gramEnd"/>
      <w:r>
        <w:rPr>
          <w:rFonts w:ascii="Times New Roman" w:hAnsi="Times New Roman"/>
          <w:bCs/>
          <w:sz w:val="24"/>
          <w:szCs w:val="24"/>
        </w:rPr>
        <w:t xml:space="preserve"> the FD’s Administrative Directive of March 21, </w:t>
      </w:r>
      <w:proofErr w:type="gramStart"/>
      <w:r>
        <w:rPr>
          <w:rFonts w:ascii="Times New Roman" w:hAnsi="Times New Roman"/>
          <w:bCs/>
          <w:sz w:val="24"/>
          <w:szCs w:val="24"/>
        </w:rPr>
        <w:t>2019</w:t>
      </w:r>
      <w:proofErr w:type="gramEnd"/>
      <w:r>
        <w:rPr>
          <w:rFonts w:ascii="Times New Roman" w:hAnsi="Times New Roman"/>
          <w:bCs/>
          <w:sz w:val="24"/>
          <w:szCs w:val="24"/>
        </w:rPr>
        <w:t xml:space="preserve"> that </w:t>
      </w:r>
      <w:proofErr w:type="gramStart"/>
      <w:r>
        <w:rPr>
          <w:rFonts w:ascii="Times New Roman" w:hAnsi="Times New Roman"/>
          <w:bCs/>
          <w:sz w:val="24"/>
          <w:szCs w:val="24"/>
        </w:rPr>
        <w:t>employees are current promotion lists</w:t>
      </w:r>
      <w:proofErr w:type="gramEnd"/>
      <w:r>
        <w:rPr>
          <w:rFonts w:ascii="Times New Roman" w:hAnsi="Times New Roman"/>
          <w:bCs/>
          <w:sz w:val="24"/>
          <w:szCs w:val="24"/>
        </w:rPr>
        <w:t xml:space="preserve"> are ineligible upon conviction. On </w:t>
      </w:r>
      <w:r>
        <w:rPr>
          <w:rFonts w:ascii="Times New Roman" w:hAnsi="Times New Roman"/>
          <w:sz w:val="24"/>
          <w:szCs w:val="24"/>
        </w:rPr>
        <w:t>November 29, 2019, plaintiff applied for the position of Division Chief of Service and was again denied based on his DUI conviction.  In Dec. 2019, he filed EEOC charge claiming he was denied seven (7) promotions because of his race.</w:t>
      </w:r>
    </w:p>
    <w:p w14:paraId="7B94F622" w14:textId="77777777" w:rsidR="003E0A22" w:rsidRDefault="003E0A22" w:rsidP="003E0A22">
      <w:pPr>
        <w:ind w:left="1440"/>
        <w:rPr>
          <w:rFonts w:ascii="Times New Roman" w:hAnsi="Times New Roman"/>
          <w:sz w:val="24"/>
          <w:szCs w:val="24"/>
        </w:rPr>
      </w:pPr>
      <w:r>
        <w:rPr>
          <w:rFonts w:ascii="Times New Roman" w:hAnsi="Times New Roman"/>
          <w:sz w:val="24"/>
          <w:szCs w:val="24"/>
        </w:rPr>
        <w:t xml:space="preserve">“On or about March 4, 2019, when Plaintiff was off duty, he was charged with ‘driving under the influence’ (‘DUI’); he was eventually convicted of the charge on or about July 10, 2019. On or about March 21, 2019, the Fire Department's Office of the Fire Chief published an Administrative Directive titled, ‘Impaired Driving Offenses,’ which directed that ‘[a]n employee . . . [who] is eligible for promotion on a concurrent promotional list will be ineligible for the current promotion if charged and convicted with an impaired driving offense.’ While the Administrative Directive was published with an effective date of March 1, 2019, the Office of the Fire Chief issued two other policies on March 21, </w:t>
      </w:r>
      <w:proofErr w:type="gramStart"/>
      <w:r>
        <w:rPr>
          <w:rFonts w:ascii="Times New Roman" w:hAnsi="Times New Roman"/>
          <w:sz w:val="24"/>
          <w:szCs w:val="24"/>
        </w:rPr>
        <w:t>2019</w:t>
      </w:r>
      <w:proofErr w:type="gramEnd"/>
      <w:r>
        <w:rPr>
          <w:rFonts w:ascii="Times New Roman" w:hAnsi="Times New Roman"/>
          <w:sz w:val="24"/>
          <w:szCs w:val="24"/>
        </w:rPr>
        <w:t xml:space="preserve"> that had effective dates of March 21, 2019. Plaintiff believes that the Office of </w:t>
      </w:r>
      <w:proofErr w:type="gramStart"/>
      <w:r>
        <w:rPr>
          <w:rFonts w:ascii="Times New Roman" w:hAnsi="Times New Roman"/>
          <w:sz w:val="24"/>
          <w:szCs w:val="24"/>
        </w:rPr>
        <w:t>the Fire</w:t>
      </w:r>
      <w:proofErr w:type="gramEnd"/>
      <w:r>
        <w:rPr>
          <w:rFonts w:ascii="Times New Roman" w:hAnsi="Times New Roman"/>
          <w:sz w:val="24"/>
          <w:szCs w:val="24"/>
        </w:rPr>
        <w:t xml:space="preserve"> Chief had never issued new policies with effective dates prior to the publication date and that the purpose of backdating the ‘Impaired Driving Offenses’ Administrative Directive was to provide a racially neutral pretext for denying Plaintiff further promotions. Plaintiff also believes that the Fire Department has promoted white firefighters who have been subject to the March 2019 Administrative Directive.</w:t>
      </w:r>
    </w:p>
    <w:p w14:paraId="1CB36E8A" w14:textId="77777777" w:rsidR="003E0A22" w:rsidRDefault="003E0A22" w:rsidP="003E0A22">
      <w:pPr>
        <w:ind w:left="720"/>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t>***</w:t>
      </w:r>
    </w:p>
    <w:p w14:paraId="2AA46519" w14:textId="77777777" w:rsidR="003E0A22" w:rsidRDefault="003E0A22" w:rsidP="003E0A22">
      <w:pPr>
        <w:ind w:left="1440"/>
        <w:rPr>
          <w:rFonts w:ascii="Times New Roman" w:hAnsi="Times New Roman"/>
          <w:sz w:val="24"/>
          <w:szCs w:val="24"/>
        </w:rPr>
      </w:pPr>
      <w:r>
        <w:rPr>
          <w:rFonts w:ascii="Times New Roman" w:hAnsi="Times New Roman"/>
          <w:sz w:val="24"/>
          <w:szCs w:val="24"/>
        </w:rPr>
        <w:t>Plaintiff's [Dec. 2019 EEOC] charge of discrimination lists only the discrete acts of failures to promote [on 7 occasions] and does not mention Defendant's treatment of other non-white firefighters, statistics concerning non-white employees in the Department, or the application of the Administrative Directive to Plaintiff or any other employee.</w:t>
      </w:r>
    </w:p>
    <w:p w14:paraId="7FC73610" w14:textId="77777777" w:rsidR="003E0A22" w:rsidRDefault="003E0A22" w:rsidP="003E0A22">
      <w:pPr>
        <w:ind w:left="1440"/>
        <w:rPr>
          <w:rFonts w:ascii="Times New Roman" w:hAnsi="Times New Roman"/>
          <w:sz w:val="24"/>
          <w:szCs w:val="24"/>
        </w:rPr>
      </w:pPr>
      <w:r>
        <w:rPr>
          <w:rFonts w:ascii="Times New Roman" w:hAnsi="Times New Roman"/>
          <w:sz w:val="24"/>
          <w:szCs w:val="24"/>
        </w:rPr>
        <w:t>***</w:t>
      </w:r>
    </w:p>
    <w:p w14:paraId="1871F6AE" w14:textId="77777777" w:rsidR="003E0A22" w:rsidRDefault="003E0A22" w:rsidP="003E0A22">
      <w:pPr>
        <w:ind w:left="1440"/>
        <w:rPr>
          <w:rFonts w:ascii="Times New Roman" w:hAnsi="Times New Roman"/>
          <w:bCs/>
          <w:sz w:val="24"/>
          <w:szCs w:val="24"/>
        </w:rPr>
      </w:pPr>
      <w:r>
        <w:rPr>
          <w:rFonts w:ascii="Times New Roman" w:hAnsi="Times New Roman"/>
          <w:sz w:val="24"/>
          <w:szCs w:val="24"/>
        </w:rPr>
        <w:t xml:space="preserve">The court must conclude that the factual allegations in the Amended Complaint are not reasonably related to the factual allegations in </w:t>
      </w:r>
      <w:proofErr w:type="gramStart"/>
      <w:r>
        <w:rPr>
          <w:rFonts w:ascii="Times New Roman" w:hAnsi="Times New Roman"/>
          <w:sz w:val="24"/>
          <w:szCs w:val="24"/>
        </w:rPr>
        <w:t>the charge</w:t>
      </w:r>
      <w:proofErr w:type="gramEnd"/>
      <w:r>
        <w:rPr>
          <w:rFonts w:ascii="Times New Roman" w:hAnsi="Times New Roman"/>
          <w:sz w:val="24"/>
          <w:szCs w:val="24"/>
        </w:rPr>
        <w:t xml:space="preserve"> of discrimination and, therefore, the Plaintiff's hostile work environment claim has exceeded the scope of the EEOC charge. As such, Plaintiff fails to state a plausible second claim for relief having failed to exhaust required administrative remedies.” </w:t>
      </w:r>
      <w:hyperlink r:id="rId1943" w:history="1">
        <w:r w:rsidRPr="0041276B">
          <w:rPr>
            <w:rStyle w:val="Hyperlink"/>
            <w:rFonts w:ascii="Times New Roman" w:hAnsi="Times New Roman"/>
            <w:sz w:val="24"/>
            <w:szCs w:val="24"/>
          </w:rPr>
          <w:t>https://casetext.com/case/coppage-v-city-of-raleigh-1</w:t>
        </w:r>
      </w:hyperlink>
      <w:r>
        <w:rPr>
          <w:rFonts w:ascii="Times New Roman" w:hAnsi="Times New Roman"/>
          <w:sz w:val="24"/>
          <w:szCs w:val="24"/>
        </w:rPr>
        <w:t xml:space="preserve"> </w:t>
      </w:r>
    </w:p>
    <w:p w14:paraId="3F8D963A" w14:textId="77777777" w:rsidR="003E0A22" w:rsidRDefault="003E0A22" w:rsidP="003E0A22">
      <w:pPr>
        <w:rPr>
          <w:rFonts w:ascii="Times New Roman" w:hAnsi="Times New Roman"/>
          <w:b/>
          <w:bCs/>
          <w:sz w:val="24"/>
          <w:szCs w:val="24"/>
        </w:rPr>
      </w:pPr>
      <w:r>
        <w:rPr>
          <w:rFonts w:ascii="Times New Roman" w:hAnsi="Times New Roman"/>
          <w:b/>
          <w:bCs/>
          <w:sz w:val="24"/>
          <w:szCs w:val="24"/>
        </w:rPr>
        <w:t xml:space="preserve">Legal Lesson Learned: FDs may adopt DUI policy prohibiting promotion based on a DUI conviction. </w:t>
      </w:r>
    </w:p>
    <w:p w14:paraId="35C8FF2B" w14:textId="77777777" w:rsidR="003E0A22" w:rsidRPr="0026670B" w:rsidRDefault="003E0A22" w:rsidP="003E0A22">
      <w:pPr>
        <w:ind w:left="720"/>
        <w:rPr>
          <w:rFonts w:ascii="Times New Roman" w:hAnsi="Times New Roman"/>
          <w:b/>
          <w:bCs/>
          <w:sz w:val="24"/>
          <w:szCs w:val="24"/>
        </w:rPr>
      </w:pPr>
      <w:r>
        <w:rPr>
          <w:rFonts w:ascii="Times New Roman" w:hAnsi="Times New Roman"/>
          <w:sz w:val="24"/>
          <w:szCs w:val="24"/>
        </w:rPr>
        <w:t xml:space="preserve">Note:  See article on San Antonio policy (Jan. 15, 2015): “Fire dept. changes rules after firefighter DWI arrests. The change in protocol comes after three firefighters were arrested for suspected drunk driving during a seven-week period last summer.” </w:t>
      </w:r>
      <w:hyperlink r:id="rId1944" w:history="1">
        <w:r w:rsidRPr="0026670B">
          <w:rPr>
            <w:rStyle w:val="Hyperlink"/>
            <w:sz w:val="24"/>
            <w:szCs w:val="24"/>
          </w:rPr>
          <w:t>https://www.firerescue1.com/dwi/articles/fire-dept-changes-rules-after-firefighter-dwi-arrests-rmaW6QcL6R9YmTqf/</w:t>
        </w:r>
      </w:hyperlink>
      <w:r w:rsidRPr="0026670B">
        <w:rPr>
          <w:rFonts w:ascii="Times New Roman" w:hAnsi="Times New Roman"/>
          <w:sz w:val="24"/>
          <w:szCs w:val="24"/>
        </w:rPr>
        <w:t xml:space="preserve"> </w:t>
      </w:r>
    </w:p>
    <w:p w14:paraId="7AF1F520" w14:textId="77777777" w:rsidR="003E0A22" w:rsidRDefault="003E0A22" w:rsidP="003E0A22">
      <w:pPr>
        <w:ind w:left="1440"/>
        <w:rPr>
          <w:rFonts w:ascii="Times New Roman" w:hAnsi="Times New Roman"/>
          <w:b/>
          <w:bCs/>
          <w:sz w:val="24"/>
          <w:szCs w:val="24"/>
        </w:rPr>
      </w:pPr>
      <w:r>
        <w:rPr>
          <w:rFonts w:ascii="Times New Roman" w:hAnsi="Times New Roman"/>
          <w:sz w:val="24"/>
          <w:szCs w:val="24"/>
        </w:rPr>
        <w:t xml:space="preserve">“SAFD has increased suspension lengths for firefighters arrested for Driving While Intoxicated. </w:t>
      </w:r>
      <w:proofErr w:type="gramStart"/>
      <w:r>
        <w:rPr>
          <w:rFonts w:ascii="Times New Roman" w:hAnsi="Times New Roman"/>
          <w:sz w:val="24"/>
          <w:szCs w:val="24"/>
        </w:rPr>
        <w:t>A first</w:t>
      </w:r>
      <w:proofErr w:type="gramEnd"/>
      <w:r>
        <w:rPr>
          <w:rFonts w:ascii="Times New Roman" w:hAnsi="Times New Roman"/>
          <w:sz w:val="24"/>
          <w:szCs w:val="24"/>
        </w:rPr>
        <w:t xml:space="preserve"> DWI arrest now results in a 60-day suspension and mandatory alcohol abuse counseling. This suspension length is four times longer than the 15-day suspension previously given for a first offense. A second DWI arrest results in termination.” </w:t>
      </w:r>
    </w:p>
    <w:p w14:paraId="2F55CB08" w14:textId="77777777" w:rsidR="003E0A22" w:rsidRPr="0078387A" w:rsidRDefault="003E0A22" w:rsidP="003E0A22">
      <w:pPr>
        <w:pStyle w:val="Heading1"/>
        <w:ind w:left="720"/>
        <w:rPr>
          <w:b w:val="0"/>
          <w:bCs w:val="0"/>
          <w:sz w:val="24"/>
          <w:szCs w:val="24"/>
        </w:rPr>
      </w:pPr>
      <w:r w:rsidRPr="0078387A">
        <w:rPr>
          <w:b w:val="0"/>
          <w:bCs w:val="0"/>
          <w:sz w:val="24"/>
          <w:szCs w:val="24"/>
        </w:rPr>
        <w:t xml:space="preserve">See this article on firefighter DUIs in California, written by Retired Captain Rafael Ortiz, Los Angeles County Fire Department.  “What Happens if a Firefighter Drinks/Drives in their Personal Life?”  </w:t>
      </w:r>
      <w:hyperlink r:id="rId1945" w:history="1">
        <w:r w:rsidRPr="003E0A22">
          <w:rPr>
            <w:rStyle w:val="Hyperlink"/>
            <w:b w:val="0"/>
            <w:bCs w:val="0"/>
            <w:sz w:val="24"/>
            <w:szCs w:val="24"/>
          </w:rPr>
          <w:t>http://futurefirefighters.org/firefighter-drinking-driving/</w:t>
        </w:r>
      </w:hyperlink>
      <w:r w:rsidRPr="003E0A22">
        <w:rPr>
          <w:b w:val="0"/>
          <w:bCs w:val="0"/>
          <w:sz w:val="24"/>
          <w:szCs w:val="24"/>
        </w:rPr>
        <w:t xml:space="preserve"> </w:t>
      </w:r>
    </w:p>
    <w:p w14:paraId="095AB5DF" w14:textId="77777777" w:rsidR="003E0A22" w:rsidRDefault="003E0A22" w:rsidP="003E0A22">
      <w:pPr>
        <w:pStyle w:val="Heading3"/>
        <w:ind w:left="720" w:firstLine="720"/>
        <w:rPr>
          <w:rFonts w:ascii="Times New Roman" w:hAnsi="Times New Roman" w:cs="Times New Roman"/>
          <w:color w:val="auto"/>
        </w:rPr>
      </w:pPr>
      <w:r>
        <w:rPr>
          <w:rFonts w:ascii="Times New Roman" w:hAnsi="Times New Roman" w:cs="Times New Roman"/>
          <w:color w:val="auto"/>
        </w:rPr>
        <w:t xml:space="preserve">“Typical Costs and Consequences of First Offense DUI. </w:t>
      </w:r>
    </w:p>
    <w:p w14:paraId="77FFD5D2" w14:textId="77777777" w:rsidR="003E0A22" w:rsidRDefault="003E0A22" w:rsidP="003E0A22">
      <w:pPr>
        <w:pStyle w:val="NormalWeb"/>
        <w:ind w:left="1440"/>
      </w:pPr>
      <w:r>
        <w:t>These would be without any aggravated circumstances, such as collision, injury, etc.</w:t>
      </w:r>
    </w:p>
    <w:p w14:paraId="2CBAC0C4" w14:textId="77777777" w:rsidR="003E0A22" w:rsidRDefault="003E0A22" w:rsidP="003E0A22">
      <w:pPr>
        <w:pStyle w:val="NormalWeb"/>
        <w:ind w:left="1440"/>
      </w:pPr>
      <w:r>
        <w:t>• Attorney Fees: $8,500.00</w:t>
      </w:r>
      <w:r>
        <w:br/>
        <w:t>• Court fines/fees: $1,500.00</w:t>
      </w:r>
      <w:r>
        <w:br/>
        <w:t>• Court mandated classes: $500.00</w:t>
      </w:r>
      <w:r>
        <w:br/>
        <w:t>• Additional insurance of: $1200.00 (per year for three years)</w:t>
      </w:r>
      <w:r>
        <w:br/>
        <w:t>• 6 months restricted license</w:t>
      </w:r>
      <w:r>
        <w:br/>
        <w:t>• Time off work during DMV license suspension (typically 30 days)</w:t>
      </w:r>
      <w:r>
        <w:br/>
        <w:t>• Attend eight classes at Alcohol Anonymous – 12 hours</w:t>
      </w:r>
      <w:r>
        <w:br/>
        <w:t>• Attend ten classes for Alcohol Awareness – 30 hours</w:t>
      </w:r>
      <w:r>
        <w:br/>
        <w:t>• Suspension or discharges from Fire Department or various lesser charges</w:t>
      </w:r>
    </w:p>
    <w:p w14:paraId="1381F333" w14:textId="77777777" w:rsidR="003E0A22" w:rsidRDefault="003E0A22" w:rsidP="003E0A22">
      <w:pPr>
        <w:pStyle w:val="NormalWeb"/>
        <w:ind w:left="1440"/>
        <w:rPr>
          <w:rFonts w:ascii="Arial Black" w:hAnsi="Arial Black"/>
          <w:b/>
          <w:bCs/>
          <w:sz w:val="40"/>
          <w:szCs w:val="40"/>
        </w:rPr>
      </w:pPr>
      <w:r>
        <w:t xml:space="preserve">The point is, if you want to be a firefighter (or remain a firefighter), don’t drink and drive.”  </w:t>
      </w:r>
    </w:p>
    <w:p w14:paraId="654F51C4" w14:textId="77777777" w:rsidR="003E0A22" w:rsidRDefault="003E0A22" w:rsidP="00F326E5">
      <w:pPr>
        <w:rPr>
          <w:rFonts w:ascii="Arial Black" w:hAnsi="Arial Black"/>
          <w:b/>
          <w:sz w:val="24"/>
          <w:szCs w:val="24"/>
        </w:rPr>
      </w:pPr>
    </w:p>
    <w:p w14:paraId="3212C351" w14:textId="77777777" w:rsidR="003E0A22" w:rsidRDefault="003E0A22" w:rsidP="00F326E5">
      <w:pPr>
        <w:rPr>
          <w:rFonts w:ascii="Arial Black" w:hAnsi="Arial Black"/>
          <w:b/>
          <w:sz w:val="24"/>
          <w:szCs w:val="24"/>
        </w:rPr>
      </w:pPr>
    </w:p>
    <w:p w14:paraId="32A05B25" w14:textId="303310A8" w:rsidR="00AD5461" w:rsidRDefault="00AD5461" w:rsidP="00F326E5">
      <w:pPr>
        <w:rPr>
          <w:rFonts w:ascii="Arial Black" w:hAnsi="Arial Black"/>
          <w:b/>
          <w:sz w:val="24"/>
          <w:szCs w:val="24"/>
        </w:rPr>
      </w:pPr>
      <w:r>
        <w:rPr>
          <w:rFonts w:ascii="Arial Black" w:hAnsi="Arial Black"/>
          <w:b/>
          <w:sz w:val="24"/>
          <w:szCs w:val="24"/>
        </w:rPr>
        <w:t>12-9</w:t>
      </w:r>
    </w:p>
    <w:p w14:paraId="0C5E5BF4" w14:textId="77777777" w:rsidR="00AD5461" w:rsidRPr="006C3DB9" w:rsidRDefault="00AD5461" w:rsidP="00AD5461">
      <w:pPr>
        <w:pStyle w:val="NoSpacing"/>
        <w:rPr>
          <w:rFonts w:ascii="Arial Black" w:hAnsi="Arial Black"/>
          <w:sz w:val="28"/>
          <w:szCs w:val="28"/>
        </w:rPr>
      </w:pPr>
      <w:r>
        <w:rPr>
          <w:rFonts w:ascii="Arial Black" w:hAnsi="Arial Black"/>
          <w:sz w:val="28"/>
          <w:szCs w:val="28"/>
        </w:rPr>
        <w:t>PA: PHILADELPHIA CANNOT OPEN A “SAFEHOUSE” WHERE DRUG ADDICTS CAN USE DRUGS – VIOL. FEDERAL LAW</w:t>
      </w:r>
    </w:p>
    <w:p w14:paraId="1AFA66E6" w14:textId="77777777" w:rsidR="00AD5461" w:rsidRPr="0043365C" w:rsidRDefault="00AD5461" w:rsidP="00AD5461">
      <w:pPr>
        <w:tabs>
          <w:tab w:val="left" w:pos="3820"/>
        </w:tabs>
        <w:spacing w:before="100" w:beforeAutospacing="1" w:after="100" w:afterAutospacing="1" w:line="240" w:lineRule="auto"/>
        <w:rPr>
          <w:rFonts w:ascii="Times New Roman" w:hAnsi="Times New Roman"/>
          <w:sz w:val="24"/>
          <w:szCs w:val="24"/>
        </w:rPr>
      </w:pPr>
      <w:r w:rsidRPr="0043365C">
        <w:rPr>
          <w:rFonts w:ascii="Times New Roman" w:hAnsi="Times New Roman"/>
          <w:sz w:val="24"/>
          <w:szCs w:val="24"/>
        </w:rPr>
        <w:t xml:space="preserve">On Jan. 12, 2021, in </w:t>
      </w:r>
      <w:r w:rsidRPr="0043365C">
        <w:rPr>
          <w:rFonts w:ascii="Times New Roman" w:hAnsi="Times New Roman"/>
          <w:sz w:val="24"/>
          <w:szCs w:val="24"/>
          <w:u w:val="single"/>
        </w:rPr>
        <w:t>Safehouse, a Pennsylvania nonprofit corporation, et al. v. U.S. Department of Justice</w:t>
      </w:r>
      <w:r w:rsidRPr="0043365C">
        <w:rPr>
          <w:rFonts w:ascii="Times New Roman" w:hAnsi="Times New Roman"/>
          <w:sz w:val="24"/>
          <w:szCs w:val="24"/>
        </w:rPr>
        <w:t xml:space="preserve">, </w:t>
      </w:r>
      <w:r>
        <w:rPr>
          <w:rFonts w:ascii="Times New Roman" w:hAnsi="Times New Roman"/>
          <w:sz w:val="24"/>
          <w:szCs w:val="24"/>
        </w:rPr>
        <w:t xml:space="preserve">the U.S. Court of Appeals for the Third Circuit, held (2 to 1) that the U.S. District Court improperly held that Safehouses conduct would not violate the Controlled Substance Act of 1970, and denied the Government’s motion for declaratory judgment.  </w:t>
      </w:r>
    </w:p>
    <w:p w14:paraId="134A556E" w14:textId="77777777" w:rsidR="00AD5461" w:rsidRDefault="00AD5461" w:rsidP="00AD5461">
      <w:pPr>
        <w:pStyle w:val="NoSpacing"/>
        <w:ind w:left="720"/>
        <w:rPr>
          <w:rFonts w:ascii="Times New Roman" w:hAnsi="Times New Roman"/>
          <w:sz w:val="24"/>
          <w:szCs w:val="24"/>
        </w:rPr>
      </w:pPr>
      <w:r w:rsidRPr="0043365C">
        <w:rPr>
          <w:rFonts w:ascii="Times New Roman" w:hAnsi="Times New Roman"/>
          <w:sz w:val="24"/>
          <w:szCs w:val="24"/>
        </w:rPr>
        <w:t xml:space="preserve">“The opioid crisis is a grave problem that calls for creative solutions. Safehouse wants to experiment with one. Its goal, saving lives, is laudable. But it is not our job to </w:t>
      </w:r>
      <w:proofErr w:type="gramStart"/>
      <w:r w:rsidRPr="0043365C">
        <w:rPr>
          <w:rFonts w:ascii="Times New Roman" w:hAnsi="Times New Roman"/>
          <w:sz w:val="24"/>
          <w:szCs w:val="24"/>
        </w:rPr>
        <w:t>opine on</w:t>
      </w:r>
      <w:proofErr w:type="gramEnd"/>
      <w:r w:rsidRPr="0043365C">
        <w:rPr>
          <w:rFonts w:ascii="Times New Roman" w:hAnsi="Times New Roman"/>
          <w:sz w:val="24"/>
          <w:szCs w:val="24"/>
        </w:rPr>
        <w:t xml:space="preserve"> whether its experiment is wise. The statute forbids opening and maintaining any place for visitors to come use drugs. Its words are not limited to crack houses. Congress has chosen one rational approach to reducing drug use and trafficking: a flat ban. We cannot rewrite the statute. Only Congress can. </w:t>
      </w:r>
      <w:proofErr w:type="gramStart"/>
      <w:r w:rsidRPr="0043365C">
        <w:rPr>
          <w:rFonts w:ascii="Times New Roman" w:hAnsi="Times New Roman"/>
          <w:sz w:val="24"/>
          <w:szCs w:val="24"/>
        </w:rPr>
        <w:t>So</w:t>
      </w:r>
      <w:proofErr w:type="gramEnd"/>
      <w:r w:rsidRPr="0043365C">
        <w:rPr>
          <w:rFonts w:ascii="Times New Roman" w:hAnsi="Times New Roman"/>
          <w:sz w:val="24"/>
          <w:szCs w:val="24"/>
        </w:rPr>
        <w:t xml:space="preserve"> we will reverse and remand for the District Court to consider the RFRA counterclaim.”  </w:t>
      </w:r>
      <w:hyperlink r:id="rId1946" w:history="1">
        <w:r w:rsidRPr="00AA6AFA">
          <w:rPr>
            <w:rStyle w:val="Hyperlink"/>
            <w:rFonts w:ascii="Times New Roman" w:hAnsi="Times New Roman"/>
            <w:sz w:val="24"/>
            <w:szCs w:val="24"/>
          </w:rPr>
          <w:t>https://law.justia.com/cases/federal/appellate-courts/ca3/20-1422/20-1422-2021-01-12.html</w:t>
        </w:r>
      </w:hyperlink>
      <w:r>
        <w:rPr>
          <w:rFonts w:ascii="Times New Roman" w:hAnsi="Times New Roman"/>
          <w:sz w:val="24"/>
          <w:szCs w:val="24"/>
        </w:rPr>
        <w:t xml:space="preserve"> </w:t>
      </w:r>
    </w:p>
    <w:p w14:paraId="0206A222" w14:textId="77777777" w:rsidR="00AD5461" w:rsidRDefault="00AD5461" w:rsidP="00AD5461">
      <w:pPr>
        <w:spacing w:before="100" w:beforeAutospacing="1" w:after="100" w:afterAutospacing="1" w:line="240" w:lineRule="auto"/>
        <w:rPr>
          <w:rFonts w:ascii="Times New Roman" w:eastAsia="Times New Roman" w:hAnsi="Times New Roman"/>
          <w:b/>
          <w:bCs/>
          <w:sz w:val="24"/>
          <w:szCs w:val="24"/>
        </w:rPr>
      </w:pPr>
      <w:r w:rsidRPr="0015227C">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Amsterdam and other locations in Europe proved “safe sites” for drug use, but in U.S. this violates federal law.</w:t>
      </w:r>
    </w:p>
    <w:p w14:paraId="5386A4B4" w14:textId="77777777" w:rsidR="00AD5461" w:rsidRDefault="00AD5461" w:rsidP="00AD546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See Report – “Drug Consumption Rooms </w:t>
      </w:r>
      <w:proofErr w:type="gramStart"/>
      <w:r>
        <w:rPr>
          <w:rFonts w:ascii="Times New Roman" w:eastAsia="Times New Roman" w:hAnsi="Times New Roman"/>
          <w:sz w:val="24"/>
          <w:szCs w:val="24"/>
        </w:rPr>
        <w:t>In</w:t>
      </w:r>
      <w:proofErr w:type="gramEnd"/>
      <w:r>
        <w:rPr>
          <w:rFonts w:ascii="Times New Roman" w:eastAsia="Times New Roman" w:hAnsi="Times New Roman"/>
          <w:sz w:val="24"/>
          <w:szCs w:val="24"/>
        </w:rPr>
        <w:t xml:space="preserve"> Europe.” </w:t>
      </w:r>
    </w:p>
    <w:p w14:paraId="6F6969A1" w14:textId="77777777" w:rsidR="00AD5461" w:rsidRPr="0015227C" w:rsidRDefault="00AD5461" w:rsidP="00AD5461">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15227C">
        <w:rPr>
          <w:rFonts w:ascii="Times New Roman" w:hAnsi="Times New Roman"/>
          <w:sz w:val="24"/>
          <w:szCs w:val="24"/>
        </w:rPr>
        <w:t>Clients generally report low levels of public drug use, particularly during the hours when DCR [drug consumption room] facilities are open. Respondents indicated that the main reasons for</w:t>
      </w:r>
      <w:r>
        <w:rPr>
          <w:rFonts w:ascii="Times New Roman" w:hAnsi="Times New Roman"/>
          <w:sz w:val="24"/>
          <w:szCs w:val="24"/>
        </w:rPr>
        <w:t xml:space="preserve"> </w:t>
      </w:r>
      <w:r w:rsidRPr="0015227C">
        <w:rPr>
          <w:rFonts w:ascii="Times New Roman" w:hAnsi="Times New Roman"/>
          <w:sz w:val="24"/>
          <w:szCs w:val="24"/>
        </w:rPr>
        <w:t>attending DCR facilities included safety, social interaction, and police avoidance. Clients rely heavily on the social functions of the DCR –many clients who have their own home or other private place to use their drugs still choose to regularly access DCR services and to maintain contact with peers.</w:t>
      </w:r>
      <w:r>
        <w:rPr>
          <w:rFonts w:ascii="Times New Roman" w:hAnsi="Times New Roman"/>
          <w:sz w:val="24"/>
          <w:szCs w:val="24"/>
        </w:rPr>
        <w:t xml:space="preserve">” </w:t>
      </w:r>
      <w:hyperlink r:id="rId1947" w:history="1">
        <w:r w:rsidRPr="00AA6AFA">
          <w:rPr>
            <w:rStyle w:val="Hyperlink"/>
            <w:rFonts w:ascii="Times New Roman" w:eastAsia="Times New Roman" w:hAnsi="Times New Roman"/>
            <w:sz w:val="24"/>
            <w:szCs w:val="24"/>
          </w:rPr>
          <w:t>http://www.drugconsumptionroom-international.org/images/pdf/dcr_in_rotterdam_amsterdam.pdf</w:t>
        </w:r>
      </w:hyperlink>
      <w:r>
        <w:rPr>
          <w:rFonts w:ascii="Times New Roman" w:eastAsia="Times New Roman" w:hAnsi="Times New Roman"/>
          <w:sz w:val="24"/>
          <w:szCs w:val="24"/>
        </w:rPr>
        <w:t xml:space="preserve"> </w:t>
      </w:r>
    </w:p>
    <w:p w14:paraId="1F650893" w14:textId="77777777" w:rsidR="00AD5461" w:rsidRDefault="00AD5461" w:rsidP="00F326E5">
      <w:pPr>
        <w:rPr>
          <w:rFonts w:ascii="Arial Black" w:hAnsi="Arial Black"/>
          <w:b/>
          <w:sz w:val="24"/>
          <w:szCs w:val="24"/>
        </w:rPr>
      </w:pPr>
    </w:p>
    <w:p w14:paraId="2B8A163C" w14:textId="561F4D04" w:rsidR="00557CA2" w:rsidRDefault="00557CA2" w:rsidP="00F326E5">
      <w:pPr>
        <w:rPr>
          <w:rFonts w:ascii="Arial Black" w:hAnsi="Arial Black"/>
          <w:b/>
          <w:sz w:val="24"/>
          <w:szCs w:val="24"/>
        </w:rPr>
      </w:pPr>
      <w:r>
        <w:rPr>
          <w:rFonts w:ascii="Arial Black" w:hAnsi="Arial Black"/>
          <w:b/>
          <w:sz w:val="24"/>
          <w:szCs w:val="24"/>
        </w:rPr>
        <w:t>12-8</w:t>
      </w:r>
    </w:p>
    <w:p w14:paraId="40883192" w14:textId="77777777" w:rsidR="00557CA2" w:rsidRDefault="00557CA2" w:rsidP="00557CA2">
      <w:pPr>
        <w:pStyle w:val="Heading1"/>
        <w:rPr>
          <w:rFonts w:ascii="Arial Black" w:hAnsi="Arial Black"/>
          <w:sz w:val="28"/>
          <w:szCs w:val="28"/>
        </w:rPr>
      </w:pPr>
      <w:r>
        <w:rPr>
          <w:rFonts w:ascii="Arial Black" w:hAnsi="Arial Black"/>
          <w:sz w:val="28"/>
          <w:szCs w:val="28"/>
        </w:rPr>
        <w:t xml:space="preserve">PA: TACO BELL MANAGER CALLS 911 – CUSTOMER “ASLEEP STANDING UP” – PD FIND DRUGS – CUSTOMER CONVICTED </w:t>
      </w:r>
    </w:p>
    <w:p w14:paraId="43E28C99" w14:textId="77777777" w:rsidR="00557CA2" w:rsidRDefault="00557CA2" w:rsidP="00557CA2">
      <w:pPr>
        <w:pStyle w:val="Heading1"/>
        <w:rPr>
          <w:b w:val="0"/>
          <w:bCs w:val="0"/>
          <w:sz w:val="24"/>
          <w:szCs w:val="24"/>
        </w:rPr>
      </w:pPr>
      <w:r>
        <w:rPr>
          <w:b w:val="0"/>
          <w:bCs w:val="0"/>
          <w:sz w:val="24"/>
          <w:szCs w:val="24"/>
        </w:rPr>
        <w:t xml:space="preserve">On Aug. 14, 2020, in </w:t>
      </w:r>
      <w:r>
        <w:rPr>
          <w:b w:val="0"/>
          <w:bCs w:val="0"/>
          <w:sz w:val="24"/>
          <w:szCs w:val="24"/>
          <w:u w:val="single"/>
        </w:rPr>
        <w:t>Commonwealth of Pennsylvania v. Obed Nunez</w:t>
      </w:r>
      <w:r>
        <w:rPr>
          <w:b w:val="0"/>
          <w:bCs w:val="0"/>
          <w:sz w:val="24"/>
          <w:szCs w:val="24"/>
        </w:rPr>
        <w:t xml:space="preserve">, Superior Court of Pennsylvania, 2020 PA Super 198, held (3 to 0) that the trial court judge properly held that the PA Overdose Immunity statute does not apply since the Taco Bell Manager William Jay called 911 because a customer was “asleep standing up,” not because the customer was necessarily having an overdose.  </w:t>
      </w:r>
      <w:proofErr w:type="gramStart"/>
      <w:r>
        <w:rPr>
          <w:b w:val="0"/>
          <w:bCs w:val="0"/>
          <w:sz w:val="24"/>
          <w:szCs w:val="24"/>
        </w:rPr>
        <w:t>Also</w:t>
      </w:r>
      <w:proofErr w:type="gramEnd"/>
      <w:r>
        <w:rPr>
          <w:b w:val="0"/>
          <w:bCs w:val="0"/>
          <w:sz w:val="24"/>
          <w:szCs w:val="24"/>
        </w:rPr>
        <w:t xml:space="preserve"> PA statute requires 911 </w:t>
      </w:r>
      <w:proofErr w:type="gramStart"/>
      <w:r>
        <w:rPr>
          <w:b w:val="0"/>
          <w:bCs w:val="0"/>
          <w:sz w:val="24"/>
          <w:szCs w:val="24"/>
        </w:rPr>
        <w:t>caller</w:t>
      </w:r>
      <w:proofErr w:type="gramEnd"/>
      <w:r>
        <w:rPr>
          <w:b w:val="0"/>
          <w:bCs w:val="0"/>
          <w:sz w:val="24"/>
          <w:szCs w:val="24"/>
        </w:rPr>
        <w:t xml:space="preserve"> to remain with overdose person. </w:t>
      </w:r>
    </w:p>
    <w:p w14:paraId="6538AC43" w14:textId="27055F52" w:rsidR="00557CA2" w:rsidRDefault="00557CA2" w:rsidP="00557CA2">
      <w:pPr>
        <w:spacing w:after="100" w:line="240" w:lineRule="auto"/>
        <w:ind w:left="720"/>
        <w:rPr>
          <w:rFonts w:ascii="Times New Roman" w:hAnsi="Times New Roman"/>
          <w:sz w:val="24"/>
          <w:szCs w:val="24"/>
        </w:rPr>
      </w:pPr>
      <w:r>
        <w:rPr>
          <w:rFonts w:ascii="Times New Roman" w:hAnsi="Times New Roman"/>
          <w:sz w:val="24"/>
          <w:szCs w:val="24"/>
        </w:rPr>
        <w:t xml:space="preserve">“However, Mr. Jay [Taco Bell Manager] did not make any statement during this call that he reasonably believed Appellant required immediate medical attention, </w:t>
      </w:r>
      <w:r>
        <w:rPr>
          <w:rFonts w:ascii="Times New Roman" w:hAnsi="Times New Roman"/>
          <w:i/>
          <w:iCs/>
          <w:sz w:val="24"/>
          <w:szCs w:val="24"/>
        </w:rPr>
        <w:t>see id.,</w:t>
      </w:r>
      <w:r>
        <w:rPr>
          <w:rFonts w:ascii="Times New Roman" w:hAnsi="Times New Roman"/>
          <w:sz w:val="24"/>
          <w:szCs w:val="24"/>
        </w:rPr>
        <w:t xml:space="preserve"> nor did Mr. Jay relay to the dispatcher that he reasonably believed Appellant was experiencing a drug overdose event, as defined by the Act.” </w:t>
      </w:r>
      <w:hyperlink r:id="rId1948" w:history="1">
        <w:r>
          <w:rPr>
            <w:rStyle w:val="Hyperlink"/>
            <w:sz w:val="24"/>
            <w:szCs w:val="24"/>
          </w:rPr>
          <w:t>https://scholar.google.com/scholar_case?case=14934683326774120071&amp;q=Pennsylvania+%22overdose+response%22&amp;hl=en&amp;scisbd=2&amp;as_sdt=6,36&amp;as_ylo=2020</w:t>
        </w:r>
      </w:hyperlink>
      <w:r>
        <w:rPr>
          <w:rFonts w:ascii="Times New Roman" w:hAnsi="Times New Roman"/>
          <w:sz w:val="24"/>
          <w:szCs w:val="24"/>
        </w:rPr>
        <w:t xml:space="preserve"> </w:t>
      </w:r>
    </w:p>
    <w:p w14:paraId="273E1DE8" w14:textId="77777777" w:rsidR="00557CA2" w:rsidRDefault="00557CA2" w:rsidP="00557CA2">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Over 40 states have enacted Drug Overdose Immunity statutes, designed to encourage fellow drug users to call 911, without fear of their own arrest.   </w:t>
      </w:r>
    </w:p>
    <w:p w14:paraId="150E1B6F" w14:textId="77777777" w:rsidR="00557CA2" w:rsidRDefault="00557CA2" w:rsidP="00557CA2">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A similar decision involving a customer in a McDonald’s restaurant, Aug. 13, 2020: Commonwealth of Pennsylvania v. Francis South, 2020 PA Super 194: </w:t>
      </w:r>
    </w:p>
    <w:p w14:paraId="593F361B" w14:textId="77777777" w:rsidR="00557CA2" w:rsidRDefault="00557CA2" w:rsidP="00557CA2">
      <w:pPr>
        <w:spacing w:after="100" w:line="240" w:lineRule="auto"/>
        <w:ind w:left="720"/>
        <w:rPr>
          <w:rFonts w:ascii="Times New Roman" w:eastAsia="Times New Roman" w:hAnsi="Times New Roman"/>
          <w:sz w:val="24"/>
          <w:szCs w:val="24"/>
        </w:rPr>
      </w:pPr>
      <w:r>
        <w:rPr>
          <w:rFonts w:ascii="Times New Roman" w:hAnsi="Times New Roman"/>
          <w:sz w:val="24"/>
          <w:szCs w:val="24"/>
        </w:rPr>
        <w:t>“During her shift, Ms. Glass called 911 and [reported that an adult white male was passed out in the restaurant, and during the call, he got up and proceeded to exit the building and stumble through the parking lot….  To qualify for immunity, it was Appellant's burden to show that Ms. Glass reasonably believed he required emergency medical care due to a drug overdose. 35 P.S. § 780-113.7(2)(</w:t>
      </w:r>
      <w:proofErr w:type="spellStart"/>
      <w:r>
        <w:rPr>
          <w:rFonts w:ascii="Times New Roman" w:hAnsi="Times New Roman"/>
          <w:sz w:val="24"/>
          <w:szCs w:val="24"/>
        </w:rPr>
        <w:t>i</w:t>
      </w:r>
      <w:proofErr w:type="spellEnd"/>
      <w:r>
        <w:rPr>
          <w:rFonts w:ascii="Times New Roman" w:hAnsi="Times New Roman"/>
          <w:sz w:val="24"/>
          <w:szCs w:val="24"/>
        </w:rPr>
        <w:t xml:space="preserve">); </w:t>
      </w:r>
      <w:hyperlink r:id="rId1949" w:history="1">
        <w:r>
          <w:rPr>
            <w:rStyle w:val="Hyperlink"/>
            <w:i/>
            <w:iCs/>
            <w:sz w:val="24"/>
            <w:szCs w:val="24"/>
          </w:rPr>
          <w:t>Lewis,</w:t>
        </w:r>
        <w:r>
          <w:rPr>
            <w:rStyle w:val="Hyperlink"/>
            <w:sz w:val="24"/>
            <w:szCs w:val="24"/>
          </w:rPr>
          <w:t xml:space="preserve"> 180 A.3d at 791</w:t>
        </w:r>
      </w:hyperlink>
      <w:r>
        <w:rPr>
          <w:rFonts w:ascii="Times New Roman" w:hAnsi="Times New Roman"/>
          <w:sz w:val="24"/>
          <w:szCs w:val="24"/>
        </w:rPr>
        <w:t xml:space="preserve">. We agree with the trial court's conclusion that there was no evidence submitted at Appellant's trial ‘which would support that Ms. Glass, as the reporter, had any reasonable belief that Appellant was in need of immediate medical attention to prevent death or serious bodily injury from a drug overdose." Trial Court Opinion, 1/10/20, at 8.’”  </w:t>
      </w:r>
      <w:hyperlink r:id="rId1950" w:history="1">
        <w:r>
          <w:rPr>
            <w:rStyle w:val="Hyperlink"/>
            <w:sz w:val="24"/>
            <w:szCs w:val="24"/>
          </w:rPr>
          <w:t>https://scholar.google.com/scholar_case?case=1228128574784444684&amp;q=Pennsylvania+%22overdose+response%22&amp;hl=en&amp;scisbd=2&amp;as_sdt=6,36&amp;as_ylo=2020</w:t>
        </w:r>
      </w:hyperlink>
      <w:r>
        <w:rPr>
          <w:rFonts w:ascii="Times New Roman" w:eastAsia="Times New Roman" w:hAnsi="Times New Roman"/>
          <w:sz w:val="24"/>
          <w:szCs w:val="24"/>
        </w:rPr>
        <w:t xml:space="preserve"> </w:t>
      </w:r>
    </w:p>
    <w:p w14:paraId="690BA045" w14:textId="77777777" w:rsidR="00557CA2" w:rsidRDefault="00557CA2" w:rsidP="00557CA2">
      <w:pPr>
        <w:spacing w:after="100" w:line="240" w:lineRule="auto"/>
        <w:ind w:left="720"/>
        <w:rPr>
          <w:rFonts w:ascii="Times New Roman" w:eastAsia="Times New Roman" w:hAnsi="Times New Roman"/>
          <w:b/>
          <w:bCs/>
          <w:sz w:val="24"/>
          <w:szCs w:val="24"/>
        </w:rPr>
      </w:pPr>
    </w:p>
    <w:p w14:paraId="7E105792" w14:textId="77777777" w:rsidR="00557CA2" w:rsidRPr="007C158F" w:rsidRDefault="00557CA2" w:rsidP="00557CA2">
      <w:pPr>
        <w:pStyle w:val="Heading2"/>
        <w:ind w:left="720"/>
        <w:rPr>
          <w:rFonts w:ascii="Times New Roman" w:eastAsiaTheme="majorEastAsia" w:hAnsi="Times New Roman"/>
          <w:b w:val="0"/>
          <w:bCs w:val="0"/>
          <w:i w:val="0"/>
          <w:iCs w:val="0"/>
          <w:sz w:val="24"/>
          <w:szCs w:val="24"/>
        </w:rPr>
      </w:pPr>
      <w:r w:rsidRPr="007C158F">
        <w:rPr>
          <w:rFonts w:ascii="Times New Roman" w:hAnsi="Times New Roman"/>
          <w:b w:val="0"/>
          <w:bCs w:val="0"/>
          <w:i w:val="0"/>
          <w:iCs w:val="0"/>
          <w:sz w:val="24"/>
          <w:szCs w:val="24"/>
        </w:rPr>
        <w:t xml:space="preserve">See also Ohio law – ORC 2925.11 Possession of controlled substances. </w:t>
      </w:r>
      <w:hyperlink r:id="rId1951" w:history="1">
        <w:r w:rsidRPr="007C158F">
          <w:rPr>
            <w:rStyle w:val="Hyperlink"/>
            <w:rFonts w:ascii="Times New Roman" w:hAnsi="Times New Roman"/>
            <w:b w:val="0"/>
            <w:bCs w:val="0"/>
            <w:i w:val="0"/>
            <w:iCs w:val="0"/>
            <w:sz w:val="24"/>
            <w:szCs w:val="24"/>
          </w:rPr>
          <w:t>https://codes.ohio.gov/orc/2925.11</w:t>
        </w:r>
      </w:hyperlink>
      <w:r w:rsidRPr="007C158F">
        <w:rPr>
          <w:rFonts w:ascii="Times New Roman" w:hAnsi="Times New Roman"/>
          <w:b w:val="0"/>
          <w:bCs w:val="0"/>
          <w:i w:val="0"/>
          <w:iCs w:val="0"/>
          <w:sz w:val="24"/>
          <w:szCs w:val="24"/>
        </w:rPr>
        <w:t xml:space="preserve"> </w:t>
      </w:r>
    </w:p>
    <w:p w14:paraId="53FC7A71" w14:textId="77777777" w:rsidR="00557CA2" w:rsidRDefault="00557CA2" w:rsidP="00557CA2">
      <w:pPr>
        <w:pStyle w:val="Heading1"/>
        <w:ind w:left="1440"/>
        <w:rPr>
          <w:b w:val="0"/>
          <w:bCs w:val="0"/>
          <w:sz w:val="24"/>
          <w:szCs w:val="24"/>
        </w:rPr>
      </w:pPr>
      <w:r>
        <w:rPr>
          <w:b w:val="0"/>
          <w:bCs w:val="0"/>
          <w:sz w:val="24"/>
          <w:szCs w:val="24"/>
        </w:rPr>
        <w:t>(viii) "Qualified individual" means a person who is not on community control or post-release control and is a person acting in good faith who seeks or obtains medical assistance for another person who is experiencing a drug overdose, a person who experiences a drug overdose and who seeks medical assistance for that overdose, or a person who is the subject of another person seeking or obtaining medical assistance for that overdose as described in division (B)(2)(b) of  this section</w:t>
      </w:r>
      <w:r>
        <w:rPr>
          <w:sz w:val="24"/>
          <w:szCs w:val="24"/>
        </w:rPr>
        <w:t>.</w:t>
      </w:r>
    </w:p>
    <w:p w14:paraId="17F22B60" w14:textId="77777777" w:rsidR="00557CA2" w:rsidRDefault="00557CA2" w:rsidP="00557CA2">
      <w:pPr>
        <w:pStyle w:val="Heading1"/>
        <w:rPr>
          <w:b w:val="0"/>
          <w:bCs w:val="0"/>
          <w:sz w:val="24"/>
          <w:szCs w:val="24"/>
        </w:rPr>
      </w:pPr>
      <w:r>
        <w:rPr>
          <w:b w:val="0"/>
          <w:bCs w:val="0"/>
          <w:sz w:val="24"/>
          <w:szCs w:val="24"/>
        </w:rPr>
        <w:tab/>
        <w:t>But there is a treatment requirement:</w:t>
      </w:r>
    </w:p>
    <w:p w14:paraId="226ACEAA" w14:textId="4AAD1061" w:rsidR="00557CA2" w:rsidRDefault="00557CA2" w:rsidP="00557CA2">
      <w:pPr>
        <w:pStyle w:val="Heading1"/>
        <w:ind w:left="1440"/>
        <w:rPr>
          <w:b w:val="0"/>
          <w:bCs w:val="0"/>
          <w:sz w:val="24"/>
          <w:szCs w:val="24"/>
        </w:rPr>
      </w:pPr>
      <w:r>
        <w:rPr>
          <w:b w:val="0"/>
          <w:bCs w:val="0"/>
          <w:sz w:val="24"/>
          <w:szCs w:val="24"/>
        </w:rPr>
        <w:t xml:space="preserve">(ii) Subject to division (B)(2)(g) of this section, within thirty days after seeking or obtaining </w:t>
      </w:r>
      <w:proofErr w:type="gramStart"/>
      <w:r>
        <w:rPr>
          <w:b w:val="0"/>
          <w:bCs w:val="0"/>
          <w:sz w:val="24"/>
          <w:szCs w:val="24"/>
        </w:rPr>
        <w:t>the medical</w:t>
      </w:r>
      <w:proofErr w:type="gramEnd"/>
      <w:r>
        <w:rPr>
          <w:b w:val="0"/>
          <w:bCs w:val="0"/>
          <w:sz w:val="24"/>
          <w:szCs w:val="24"/>
        </w:rPr>
        <w:t xml:space="preserve"> assistance, the qualified individual seeks and obtains a screening and receives a referral for treatment from a community addiction services provider or a properly credentialed addiction treatment professional.</w:t>
      </w:r>
    </w:p>
    <w:p w14:paraId="76871404" w14:textId="77777777" w:rsidR="00557CA2" w:rsidRDefault="00557CA2" w:rsidP="00557CA2">
      <w:pPr>
        <w:pStyle w:val="Heading1"/>
        <w:ind w:left="720"/>
      </w:pPr>
      <w:r>
        <w:rPr>
          <w:b w:val="0"/>
          <w:bCs w:val="0"/>
          <w:sz w:val="24"/>
          <w:szCs w:val="24"/>
        </w:rPr>
        <w:t xml:space="preserve">But see criticism: The Network </w:t>
      </w:r>
      <w:proofErr w:type="gramStart"/>
      <w:r>
        <w:rPr>
          <w:b w:val="0"/>
          <w:bCs w:val="0"/>
          <w:sz w:val="24"/>
          <w:szCs w:val="24"/>
        </w:rPr>
        <w:t>For</w:t>
      </w:r>
      <w:proofErr w:type="gramEnd"/>
      <w:r>
        <w:rPr>
          <w:b w:val="0"/>
          <w:bCs w:val="0"/>
          <w:sz w:val="24"/>
          <w:szCs w:val="24"/>
        </w:rPr>
        <w:t xml:space="preserve"> Public Health Law - “Overdose ‘Good Samaritan’ Laws Should Protect, Not Punish” (Jan. 26, 2020): </w:t>
      </w:r>
      <w:hyperlink r:id="rId1952" w:history="1">
        <w:r>
          <w:rPr>
            <w:rStyle w:val="Hyperlink"/>
            <w:rFonts w:eastAsiaTheme="majorEastAsia"/>
            <w:b w:val="0"/>
            <w:bCs w:val="0"/>
            <w:sz w:val="24"/>
            <w:szCs w:val="24"/>
          </w:rPr>
          <w:t>https://www.networkforphl.org/news-insights/overdose-good-samaritan-laws-should-protect-not-punish/</w:t>
        </w:r>
      </w:hyperlink>
      <w:r>
        <w:rPr>
          <w:b w:val="0"/>
          <w:bCs w:val="0"/>
          <w:sz w:val="24"/>
          <w:szCs w:val="24"/>
        </w:rPr>
        <w:t xml:space="preserve"> </w:t>
      </w:r>
    </w:p>
    <w:p w14:paraId="3717C980" w14:textId="77777777" w:rsidR="00557CA2" w:rsidRDefault="00557CA2" w:rsidP="00557CA2">
      <w:pPr>
        <w:pStyle w:val="NormalWeb"/>
        <w:ind w:left="1440"/>
      </w:pPr>
      <w:r>
        <w:t xml:space="preserve">“These laws have further limitations as well. In at least a </w:t>
      </w:r>
      <w:hyperlink r:id="rId1953" w:history="1">
        <w:r>
          <w:rPr>
            <w:rStyle w:val="Hyperlink"/>
            <w:rFonts w:eastAsiaTheme="majorEastAsia"/>
          </w:rPr>
          <w:t>dozen states</w:t>
        </w:r>
      </w:hyperlink>
      <w:r>
        <w:t>, the Good Samaritan is required not only to call for help but also to jump through additional hoops such as providing their full name to law enforcement, staying on the scene, and cooperating with responding officers. None of those requirements are necessary to help the person suffering from an overdose; all are likely to discourage people from calling for help.”</w:t>
      </w:r>
    </w:p>
    <w:p w14:paraId="269A0AA5" w14:textId="77777777" w:rsidR="00557CA2" w:rsidRDefault="00557CA2" w:rsidP="00557CA2">
      <w:pPr>
        <w:rPr>
          <w:rFonts w:ascii="Times New Roman" w:hAnsi="Times New Roman"/>
          <w:b/>
          <w:sz w:val="20"/>
          <w:szCs w:val="20"/>
        </w:rPr>
      </w:pPr>
    </w:p>
    <w:p w14:paraId="3B3D44AC" w14:textId="77777777" w:rsidR="00557CA2" w:rsidRDefault="00557CA2" w:rsidP="00F326E5">
      <w:pPr>
        <w:rPr>
          <w:rFonts w:ascii="Arial Black" w:hAnsi="Arial Black"/>
          <w:b/>
          <w:sz w:val="24"/>
          <w:szCs w:val="24"/>
        </w:rPr>
      </w:pPr>
    </w:p>
    <w:p w14:paraId="605C3CF9" w14:textId="6B83D2DC" w:rsidR="007105B3" w:rsidRDefault="007105B3" w:rsidP="00F326E5">
      <w:pPr>
        <w:rPr>
          <w:rFonts w:ascii="Arial Black" w:hAnsi="Arial Black"/>
          <w:b/>
          <w:sz w:val="24"/>
          <w:szCs w:val="24"/>
        </w:rPr>
      </w:pPr>
      <w:r>
        <w:rPr>
          <w:rFonts w:ascii="Arial Black" w:hAnsi="Arial Black"/>
          <w:b/>
          <w:sz w:val="24"/>
          <w:szCs w:val="24"/>
        </w:rPr>
        <w:t>12-7</w:t>
      </w:r>
    </w:p>
    <w:p w14:paraId="131EB7B1" w14:textId="77777777" w:rsidR="001C563D" w:rsidRDefault="001C563D" w:rsidP="001C563D">
      <w:pPr>
        <w:pStyle w:val="Heading1"/>
        <w:rPr>
          <w:rFonts w:ascii="Arial Black" w:hAnsi="Arial Black"/>
          <w:sz w:val="28"/>
          <w:szCs w:val="28"/>
        </w:rPr>
      </w:pPr>
      <w:r w:rsidRPr="003B2D7D">
        <w:rPr>
          <w:rFonts w:ascii="Arial Black" w:hAnsi="Arial Black"/>
          <w:sz w:val="28"/>
          <w:szCs w:val="28"/>
        </w:rPr>
        <w:t xml:space="preserve">PA: </w:t>
      </w:r>
      <w:r>
        <w:rPr>
          <w:rFonts w:ascii="Arial Black" w:hAnsi="Arial Black"/>
          <w:sz w:val="28"/>
          <w:szCs w:val="28"/>
        </w:rPr>
        <w:t>PHILADELPHIA NEW “SAFE INJECTION SITE” PROGRAM – INJUNCTION DURING COVID-19 &amp; NATIONWIDE PROTESTS</w:t>
      </w:r>
    </w:p>
    <w:p w14:paraId="1C79BBE6" w14:textId="77777777" w:rsidR="001C563D" w:rsidRPr="00F72F3E" w:rsidRDefault="001C563D" w:rsidP="001C563D">
      <w:pPr>
        <w:pStyle w:val="NoSpacing"/>
        <w:rPr>
          <w:rFonts w:ascii="Times New Roman" w:hAnsi="Times New Roman"/>
          <w:sz w:val="24"/>
          <w:szCs w:val="24"/>
        </w:rPr>
      </w:pPr>
      <w:r w:rsidRPr="003B2D7D">
        <w:rPr>
          <w:rFonts w:ascii="Times New Roman" w:hAnsi="Times New Roman"/>
          <w:sz w:val="24"/>
          <w:szCs w:val="24"/>
        </w:rPr>
        <w:t xml:space="preserve">On </w:t>
      </w:r>
      <w:r>
        <w:rPr>
          <w:rFonts w:ascii="Times New Roman" w:hAnsi="Times New Roman"/>
          <w:sz w:val="24"/>
          <w:szCs w:val="24"/>
        </w:rPr>
        <w:t xml:space="preserve">June 24, 2020, in </w:t>
      </w:r>
      <w:r w:rsidRPr="003B2D7D">
        <w:rPr>
          <w:rFonts w:ascii="Times New Roman" w:hAnsi="Times New Roman"/>
          <w:sz w:val="24"/>
          <w:szCs w:val="24"/>
          <w:u w:val="single"/>
        </w:rPr>
        <w:t>United States of America v. SAFEHOUSE</w:t>
      </w:r>
      <w:r>
        <w:rPr>
          <w:rFonts w:ascii="Times New Roman" w:hAnsi="Times New Roman"/>
          <w:sz w:val="24"/>
          <w:szCs w:val="24"/>
        </w:rPr>
        <w:t>, U.S. District Court Judge George Austin McHugh, U.S. District Court for Eastern District of Pennsylvania, ordered that the injection program in South Philadelphia be stayed.  “</w:t>
      </w:r>
      <w:r w:rsidRPr="00F72F3E">
        <w:rPr>
          <w:rFonts w:ascii="Times New Roman" w:hAnsi="Times New Roman"/>
          <w:sz w:val="24"/>
          <w:szCs w:val="24"/>
        </w:rPr>
        <w:t>Although the Government has failed to show that it will suffer harms that cannot be prevented or fully rectified by a successful appeal, the ongoing challenges posed by COVID-19 and the deep social currents and introspection following the tragic killing of Mr. Floyd make this the wrong moment for another change in the status quo. Accordingly, the Government’s request for a stay will be granted.</w:t>
      </w:r>
      <w:r>
        <w:rPr>
          <w:rFonts w:ascii="Times New Roman" w:hAnsi="Times New Roman"/>
          <w:sz w:val="24"/>
          <w:szCs w:val="24"/>
        </w:rPr>
        <w:t>”</w:t>
      </w:r>
      <w:r w:rsidRPr="00F72F3E">
        <w:t xml:space="preserve"> </w:t>
      </w:r>
      <w:hyperlink r:id="rId1954" w:history="1">
        <w:r w:rsidRPr="003B7380">
          <w:rPr>
            <w:rStyle w:val="Hyperlink"/>
            <w:rFonts w:ascii="Times New Roman" w:hAnsi="Times New Roman"/>
            <w:sz w:val="24"/>
            <w:szCs w:val="24"/>
          </w:rPr>
          <w:t>https://www.courthousenews.com/wp-content/uploads/2020/06/safehouse-pa.pdf</w:t>
        </w:r>
      </w:hyperlink>
      <w:r>
        <w:rPr>
          <w:rFonts w:ascii="Times New Roman" w:hAnsi="Times New Roman"/>
          <w:sz w:val="24"/>
          <w:szCs w:val="24"/>
        </w:rPr>
        <w:t xml:space="preserve"> </w:t>
      </w:r>
    </w:p>
    <w:p w14:paraId="15CF32E1" w14:textId="77777777" w:rsidR="001C563D" w:rsidRDefault="001C563D" w:rsidP="001C563D">
      <w:pPr>
        <w:pStyle w:val="NoSpacing"/>
        <w:rPr>
          <w:rFonts w:ascii="Times New Roman" w:hAnsi="Times New Roman"/>
          <w:b/>
          <w:bCs/>
          <w:sz w:val="24"/>
          <w:szCs w:val="24"/>
        </w:rPr>
      </w:pPr>
    </w:p>
    <w:p w14:paraId="538C0A36" w14:textId="5D68BAB2" w:rsidR="001C563D" w:rsidRPr="002B1D2F" w:rsidRDefault="001C563D" w:rsidP="001C563D">
      <w:pPr>
        <w:pStyle w:val="NoSpacing"/>
        <w:rPr>
          <w:rFonts w:ascii="Times New Roman" w:hAnsi="Times New Roman"/>
          <w:b/>
          <w:bCs/>
          <w:sz w:val="24"/>
          <w:szCs w:val="24"/>
        </w:rPr>
      </w:pPr>
      <w:r w:rsidRPr="002B1D2F">
        <w:rPr>
          <w:rFonts w:ascii="Times New Roman" w:hAnsi="Times New Roman"/>
          <w:b/>
          <w:bCs/>
          <w:sz w:val="24"/>
          <w:szCs w:val="24"/>
        </w:rPr>
        <w:t xml:space="preserve">Legal Lessons Learned: The Court has wise issued an injunction preventing the opening a “safe injection site” during the COVID-19 pandemic.  </w:t>
      </w:r>
    </w:p>
    <w:p w14:paraId="3E70ACC8" w14:textId="77777777" w:rsidR="001C563D" w:rsidRDefault="001C563D" w:rsidP="001C563D">
      <w:pPr>
        <w:pStyle w:val="NoSpacing"/>
        <w:ind w:left="720"/>
        <w:rPr>
          <w:rFonts w:ascii="Times New Roman" w:hAnsi="Times New Roman"/>
          <w:sz w:val="24"/>
          <w:szCs w:val="24"/>
        </w:rPr>
      </w:pPr>
    </w:p>
    <w:p w14:paraId="03A15578" w14:textId="77777777" w:rsidR="001C563D" w:rsidRPr="002B1D2F" w:rsidRDefault="001C563D" w:rsidP="001C563D">
      <w:pPr>
        <w:pStyle w:val="NoSpacing"/>
        <w:ind w:left="720"/>
        <w:rPr>
          <w:rFonts w:ascii="Times New Roman" w:hAnsi="Times New Roman"/>
          <w:sz w:val="24"/>
          <w:szCs w:val="24"/>
        </w:rPr>
      </w:pPr>
      <w:r w:rsidRPr="002B1D2F">
        <w:rPr>
          <w:rFonts w:ascii="Times New Roman" w:hAnsi="Times New Roman"/>
          <w:sz w:val="24"/>
          <w:szCs w:val="24"/>
        </w:rPr>
        <w:t xml:space="preserve">Note: See June 25, 2020 article, </w:t>
      </w:r>
      <w:r>
        <w:rPr>
          <w:rFonts w:ascii="Times New Roman" w:hAnsi="Times New Roman"/>
          <w:sz w:val="24"/>
          <w:szCs w:val="24"/>
        </w:rPr>
        <w:t>“</w:t>
      </w:r>
      <w:r w:rsidRPr="002B1D2F">
        <w:rPr>
          <w:rFonts w:ascii="Times New Roman" w:hAnsi="Times New Roman"/>
          <w:sz w:val="24"/>
          <w:szCs w:val="24"/>
        </w:rPr>
        <w:t>Judge Halts Opening of Safe Injection Site, Citing COVID-19 Pandemic and Protests</w:t>
      </w:r>
      <w:r>
        <w:rPr>
          <w:rFonts w:ascii="Times New Roman" w:hAnsi="Times New Roman"/>
          <w:sz w:val="24"/>
          <w:szCs w:val="24"/>
        </w:rPr>
        <w:t xml:space="preserve">” </w:t>
      </w:r>
      <w:r w:rsidRPr="002B1D2F">
        <w:rPr>
          <w:rFonts w:ascii="Times New Roman" w:hAnsi="Times New Roman"/>
          <w:sz w:val="24"/>
          <w:szCs w:val="24"/>
        </w:rPr>
        <w:t xml:space="preserve">-  A federal judge has hit pause on efforts to open the nation’s first so-called </w:t>
      </w:r>
      <w:hyperlink r:id="rId1955" w:history="1">
        <w:r w:rsidRPr="002B1D2F">
          <w:rPr>
            <w:rStyle w:val="Hyperlink"/>
            <w:rFonts w:ascii="Times New Roman" w:hAnsi="Times New Roman"/>
            <w:sz w:val="24"/>
            <w:szCs w:val="24"/>
          </w:rPr>
          <w:t>safe injection</w:t>
        </w:r>
      </w:hyperlink>
      <w:r w:rsidRPr="002B1D2F">
        <w:rPr>
          <w:rFonts w:ascii="Times New Roman" w:hAnsi="Times New Roman"/>
          <w:sz w:val="24"/>
          <w:szCs w:val="24"/>
        </w:rPr>
        <w:t xml:space="preserve"> site, where heroin users would be able to inject the drug under </w:t>
      </w:r>
      <w:hyperlink r:id="rId1956" w:history="1">
        <w:r w:rsidRPr="002B1D2F">
          <w:rPr>
            <w:rStyle w:val="Hyperlink"/>
            <w:rFonts w:ascii="Times New Roman" w:hAnsi="Times New Roman"/>
            <w:sz w:val="24"/>
            <w:szCs w:val="24"/>
          </w:rPr>
          <w:t>medical supervision</w:t>
        </w:r>
      </w:hyperlink>
      <w:r w:rsidRPr="002B1D2F">
        <w:rPr>
          <w:rFonts w:ascii="Times New Roman" w:hAnsi="Times New Roman"/>
          <w:sz w:val="24"/>
          <w:szCs w:val="24"/>
        </w:rPr>
        <w:t>, citing Philadelphia’s “frayed” nerves in the midst of a global pandemic and mounting protests for social justice reform.</w:t>
      </w:r>
    </w:p>
    <w:p w14:paraId="5F5883C8" w14:textId="77777777" w:rsidR="001C563D" w:rsidRPr="002B1D2F" w:rsidRDefault="001C563D" w:rsidP="001C563D">
      <w:pPr>
        <w:pStyle w:val="NoSpacing"/>
        <w:ind w:left="720"/>
        <w:rPr>
          <w:rFonts w:ascii="Times New Roman" w:hAnsi="Times New Roman"/>
          <w:sz w:val="24"/>
          <w:szCs w:val="24"/>
        </w:rPr>
      </w:pPr>
      <w:hyperlink r:id="rId1957" w:history="1">
        <w:r w:rsidRPr="003B7380">
          <w:rPr>
            <w:rStyle w:val="Hyperlink"/>
            <w:rFonts w:ascii="Times New Roman" w:hAnsi="Times New Roman"/>
            <w:sz w:val="24"/>
            <w:szCs w:val="24"/>
          </w:rPr>
          <w:t>https://www.law.com/thelegalintelligencer/2020/06/25/judge-halts-opening-of-safe-injection-site-citing-covid-19-pandemic-and-protests/</w:t>
        </w:r>
      </w:hyperlink>
      <w:r w:rsidRPr="002B1D2F">
        <w:rPr>
          <w:rFonts w:ascii="Times New Roman" w:hAnsi="Times New Roman"/>
          <w:sz w:val="24"/>
          <w:szCs w:val="24"/>
        </w:rPr>
        <w:t xml:space="preserve"> </w:t>
      </w:r>
    </w:p>
    <w:p w14:paraId="720C0E43" w14:textId="77777777" w:rsidR="001C563D" w:rsidRDefault="001C563D" w:rsidP="00F326E5">
      <w:pPr>
        <w:rPr>
          <w:rFonts w:ascii="Arial Black" w:hAnsi="Arial Black"/>
          <w:b/>
          <w:sz w:val="24"/>
          <w:szCs w:val="24"/>
        </w:rPr>
      </w:pPr>
    </w:p>
    <w:p w14:paraId="746F85D4" w14:textId="77777777" w:rsidR="007105B3" w:rsidRDefault="007105B3" w:rsidP="00F326E5">
      <w:pPr>
        <w:rPr>
          <w:rFonts w:ascii="Arial Black" w:hAnsi="Arial Black"/>
          <w:b/>
          <w:sz w:val="24"/>
          <w:szCs w:val="24"/>
        </w:rPr>
      </w:pPr>
    </w:p>
    <w:p w14:paraId="423860FC" w14:textId="4D9BFE17" w:rsidR="00FA7B26" w:rsidRDefault="00FA7B26" w:rsidP="00F326E5">
      <w:pPr>
        <w:rPr>
          <w:rFonts w:ascii="Arial Black" w:hAnsi="Arial Black"/>
          <w:b/>
          <w:sz w:val="24"/>
          <w:szCs w:val="24"/>
        </w:rPr>
      </w:pPr>
      <w:r>
        <w:rPr>
          <w:rFonts w:ascii="Arial Black" w:hAnsi="Arial Black"/>
          <w:b/>
          <w:sz w:val="24"/>
          <w:szCs w:val="24"/>
        </w:rPr>
        <w:t>12-6</w:t>
      </w:r>
    </w:p>
    <w:p w14:paraId="4DF99FA8" w14:textId="77777777" w:rsidR="00FA7B26" w:rsidRPr="00BE492A" w:rsidRDefault="00FA7B26" w:rsidP="00FA7B26">
      <w:pPr>
        <w:spacing w:before="100" w:beforeAutospacing="1" w:after="100" w:afterAutospacing="1" w:line="240" w:lineRule="auto"/>
        <w:rPr>
          <w:rFonts w:ascii="Arial Black" w:eastAsia="Times New Roman" w:hAnsi="Arial Black"/>
          <w:b/>
          <w:bCs/>
          <w:sz w:val="28"/>
          <w:szCs w:val="28"/>
        </w:rPr>
      </w:pPr>
      <w:bookmarkStart w:id="418" w:name="_Hlk66949143"/>
      <w:r w:rsidRPr="00BE492A">
        <w:rPr>
          <w:rFonts w:ascii="Arial Black" w:eastAsia="Times New Roman" w:hAnsi="Arial Black"/>
          <w:b/>
          <w:bCs/>
          <w:sz w:val="28"/>
          <w:szCs w:val="28"/>
        </w:rPr>
        <w:t xml:space="preserve">LA: </w:t>
      </w:r>
      <w:r>
        <w:rPr>
          <w:rFonts w:ascii="Arial Black" w:eastAsia="Times New Roman" w:hAnsi="Arial Black"/>
          <w:b/>
          <w:bCs/>
          <w:sz w:val="28"/>
          <w:szCs w:val="28"/>
        </w:rPr>
        <w:t>FF REINSTATED – FIRED FOR POSITIVE MARIJUANA – HIS DOCTOR HAD APPROVED USE OF OVER-THE-COUNTER CANNABIODAL (CBD) FOR PAIN</w:t>
      </w:r>
    </w:p>
    <w:p w14:paraId="7C6EE212" w14:textId="77777777" w:rsidR="00FA7B26" w:rsidRDefault="00FA7B26" w:rsidP="00FA7B26">
      <w:pPr>
        <w:spacing w:before="100" w:beforeAutospacing="1" w:after="100" w:afterAutospacing="1" w:line="240" w:lineRule="auto"/>
        <w:jc w:val="both"/>
        <w:rPr>
          <w:rFonts w:ascii="Times New Roman" w:hAnsi="Times New Roman"/>
          <w:sz w:val="24"/>
          <w:szCs w:val="24"/>
        </w:rPr>
      </w:pPr>
      <w:r w:rsidRPr="00BE492A">
        <w:rPr>
          <w:rFonts w:ascii="Times New Roman" w:hAnsi="Times New Roman"/>
          <w:sz w:val="24"/>
          <w:szCs w:val="24"/>
        </w:rPr>
        <w:t xml:space="preserve">On May 20, 2020, in </w:t>
      </w:r>
      <w:r w:rsidRPr="00BE492A">
        <w:rPr>
          <w:rFonts w:ascii="Times New Roman" w:hAnsi="Times New Roman"/>
          <w:sz w:val="24"/>
          <w:szCs w:val="24"/>
          <w:u w:val="single"/>
        </w:rPr>
        <w:t>Gregory Matusoff v. New Orleans Department of Fire</w:t>
      </w:r>
      <w:r>
        <w:rPr>
          <w:rFonts w:ascii="Times New Roman" w:hAnsi="Times New Roman"/>
          <w:sz w:val="24"/>
          <w:szCs w:val="24"/>
        </w:rPr>
        <w:t xml:space="preserve">, the Court of Appeal, Fourth Circuit, State of Louisiana, held (3 to 0) that City’s Civil Service Commission abused its discretion in deny the firefighter’s appeal. </w:t>
      </w:r>
      <w:hyperlink r:id="rId1958" w:history="1">
        <w:r w:rsidRPr="004A7721">
          <w:rPr>
            <w:rStyle w:val="Hyperlink"/>
            <w:sz w:val="24"/>
            <w:szCs w:val="24"/>
          </w:rPr>
          <w:t>https://www.la4th.org/opinion/2019/486077.pdf</w:t>
        </w:r>
      </w:hyperlink>
      <w:r>
        <w:rPr>
          <w:rFonts w:ascii="Times New Roman" w:hAnsi="Times New Roman"/>
          <w:sz w:val="24"/>
          <w:szCs w:val="24"/>
        </w:rPr>
        <w:t xml:space="preserve"> </w:t>
      </w:r>
    </w:p>
    <w:p w14:paraId="2895FCD6" w14:textId="1BE1D3DE" w:rsidR="00FA7B26" w:rsidRPr="00B53124" w:rsidRDefault="00FA7B26" w:rsidP="00FA7B26">
      <w:pPr>
        <w:spacing w:before="100" w:beforeAutospacing="1" w:after="100" w:afterAutospacing="1" w:line="240" w:lineRule="auto"/>
        <w:jc w:val="both"/>
        <w:rPr>
          <w:rFonts w:ascii="Times New Roman" w:eastAsia="Times New Roman" w:hAnsi="Times New Roman"/>
          <w:b/>
          <w:bCs/>
          <w:sz w:val="24"/>
          <w:szCs w:val="24"/>
        </w:rPr>
      </w:pPr>
      <w:r w:rsidRPr="00B53124">
        <w:rPr>
          <w:rFonts w:ascii="Times New Roman" w:hAnsi="Times New Roman"/>
          <w:b/>
          <w:bCs/>
          <w:sz w:val="24"/>
          <w:szCs w:val="24"/>
        </w:rPr>
        <w:t>Legal Lessons Learned:</w:t>
      </w:r>
      <w:r>
        <w:rPr>
          <w:rFonts w:ascii="Times New Roman" w:hAnsi="Times New Roman"/>
          <w:b/>
          <w:bCs/>
          <w:sz w:val="24"/>
          <w:szCs w:val="24"/>
        </w:rPr>
        <w:t xml:space="preserve">  This termination makes one wonder what the FD and the Civil Service Commission were thinking.  Suggestion to FF using CBD; ask your physician for a “prescription” or other written authorization, that you can then </w:t>
      </w:r>
      <w:r w:rsidR="00D44294">
        <w:rPr>
          <w:rFonts w:ascii="Times New Roman" w:hAnsi="Times New Roman"/>
          <w:b/>
          <w:bCs/>
          <w:sz w:val="24"/>
          <w:szCs w:val="24"/>
        </w:rPr>
        <w:t xml:space="preserve">provide to </w:t>
      </w:r>
      <w:r>
        <w:rPr>
          <w:rFonts w:ascii="Times New Roman" w:hAnsi="Times New Roman"/>
          <w:b/>
          <w:bCs/>
          <w:sz w:val="24"/>
          <w:szCs w:val="24"/>
        </w:rPr>
        <w:t xml:space="preserve">your FD. </w:t>
      </w:r>
    </w:p>
    <w:bookmarkEnd w:id="418"/>
    <w:p w14:paraId="3B830110" w14:textId="77777777" w:rsidR="00FA7B26" w:rsidRDefault="00FA7B26" w:rsidP="00F326E5">
      <w:pPr>
        <w:rPr>
          <w:rFonts w:ascii="Arial Black" w:hAnsi="Arial Black"/>
          <w:b/>
          <w:sz w:val="24"/>
          <w:szCs w:val="24"/>
        </w:rPr>
      </w:pPr>
    </w:p>
    <w:p w14:paraId="0249E464" w14:textId="07ED73E0" w:rsidR="005C30A4" w:rsidRDefault="005C30A4" w:rsidP="00F326E5">
      <w:pPr>
        <w:rPr>
          <w:rFonts w:ascii="Arial Black" w:hAnsi="Arial Black"/>
          <w:b/>
          <w:sz w:val="24"/>
          <w:szCs w:val="24"/>
        </w:rPr>
      </w:pPr>
      <w:r>
        <w:rPr>
          <w:rFonts w:ascii="Arial Black" w:hAnsi="Arial Black"/>
          <w:b/>
          <w:sz w:val="24"/>
          <w:szCs w:val="24"/>
        </w:rPr>
        <w:t>12-5</w:t>
      </w:r>
    </w:p>
    <w:p w14:paraId="197B1E2A" w14:textId="77777777" w:rsidR="005C30A4" w:rsidRPr="00514F51" w:rsidRDefault="005C30A4" w:rsidP="005C30A4">
      <w:pPr>
        <w:pStyle w:val="NoSpacing"/>
        <w:rPr>
          <w:rFonts w:ascii="Arial Black" w:hAnsi="Arial Black"/>
          <w:sz w:val="28"/>
          <w:szCs w:val="28"/>
        </w:rPr>
      </w:pPr>
      <w:bookmarkStart w:id="419" w:name="_Hlk39772175"/>
      <w:r w:rsidRPr="00514F51">
        <w:rPr>
          <w:rFonts w:ascii="Arial Black" w:hAnsi="Arial Black"/>
          <w:sz w:val="28"/>
          <w:szCs w:val="28"/>
        </w:rPr>
        <w:t>KY:</w:t>
      </w:r>
      <w:r>
        <w:rPr>
          <w:rFonts w:ascii="Arial Black" w:hAnsi="Arial Black"/>
          <w:sz w:val="28"/>
          <w:szCs w:val="28"/>
        </w:rPr>
        <w:t xml:space="preserve"> DRUG USER - GOOD SAMARITAN STATUTE – IMMUNITY FROM PROSECUTION – EVEN IF 911 CALLER LEAVES</w:t>
      </w:r>
    </w:p>
    <w:p w14:paraId="2340F6DE" w14:textId="77777777" w:rsidR="005C30A4" w:rsidRDefault="005C30A4" w:rsidP="005C30A4">
      <w:pPr>
        <w:pStyle w:val="NoSpacing"/>
        <w:ind w:left="720"/>
        <w:rPr>
          <w:rFonts w:ascii="KYArial Black" w:hAnsi="KYArial Black"/>
          <w:sz w:val="28"/>
          <w:szCs w:val="28"/>
        </w:rPr>
      </w:pPr>
    </w:p>
    <w:p w14:paraId="0E4B72AD" w14:textId="77777777" w:rsidR="005C30A4" w:rsidRPr="00465FB3" w:rsidRDefault="005C30A4" w:rsidP="005C30A4">
      <w:pPr>
        <w:pStyle w:val="NoSpacing"/>
        <w:rPr>
          <w:rFonts w:ascii="Times New Roman" w:hAnsi="Times New Roman"/>
          <w:b/>
          <w:bCs/>
          <w:sz w:val="24"/>
          <w:szCs w:val="24"/>
        </w:rPr>
      </w:pPr>
      <w:r w:rsidRPr="00465FB3">
        <w:rPr>
          <w:rFonts w:ascii="Times New Roman" w:hAnsi="Times New Roman"/>
          <w:bCs/>
          <w:sz w:val="24"/>
          <w:szCs w:val="24"/>
        </w:rPr>
        <w:t xml:space="preserve">On </w:t>
      </w:r>
      <w:bookmarkStart w:id="420" w:name="_Hlk39848381"/>
      <w:r w:rsidRPr="00465FB3">
        <w:rPr>
          <w:rFonts w:ascii="Times New Roman" w:hAnsi="Times New Roman"/>
          <w:bCs/>
          <w:sz w:val="24"/>
          <w:szCs w:val="24"/>
        </w:rPr>
        <w:t xml:space="preserve">Feb. 21, 2020, in </w:t>
      </w:r>
      <w:r w:rsidRPr="00465FB3">
        <w:rPr>
          <w:rFonts w:ascii="Times New Roman" w:hAnsi="Times New Roman"/>
          <w:bCs/>
          <w:sz w:val="24"/>
          <w:szCs w:val="24"/>
          <w:u w:val="single"/>
        </w:rPr>
        <w:t>Jeremy Logsdon v. Commonwealth of Kentucky</w:t>
      </w:r>
      <w:bookmarkEnd w:id="420"/>
      <w:r w:rsidRPr="00465FB3">
        <w:rPr>
          <w:rFonts w:ascii="Times New Roman" w:hAnsi="Times New Roman"/>
          <w:bCs/>
          <w:sz w:val="24"/>
          <w:szCs w:val="24"/>
        </w:rPr>
        <w:t>, the Kentucky Court of Appeals held (3 to 0) that the defendant enjoys immunity from prosecution, even if the 911 caller took off (had outstanding warrants) before police &amp; EMS arrived, reversing the decision of the [Boone Circuit Court] judge.</w:t>
      </w:r>
    </w:p>
    <w:p w14:paraId="7F7B0A05" w14:textId="77777777" w:rsidR="005C30A4" w:rsidRPr="00465FB3" w:rsidRDefault="005C30A4" w:rsidP="005C30A4">
      <w:pPr>
        <w:spacing w:before="100" w:beforeAutospacing="1" w:after="100" w:afterAutospacing="1" w:line="240" w:lineRule="auto"/>
        <w:ind w:left="720"/>
        <w:rPr>
          <w:rFonts w:ascii="Times New Roman" w:eastAsia="Times New Roman" w:hAnsi="Times New Roman"/>
          <w:sz w:val="24"/>
          <w:szCs w:val="24"/>
        </w:rPr>
      </w:pPr>
      <w:r w:rsidRPr="00465FB3">
        <w:rPr>
          <w:rFonts w:ascii="Times New Roman" w:eastAsia="Times New Roman" w:hAnsi="Times New Roman"/>
          <w:sz w:val="24"/>
          <w:szCs w:val="24"/>
        </w:rPr>
        <w:t xml:space="preserve">“We agree with both Appellant … that the Boone Circuit Court's ruling is not supported by a strict interpretation of KRS 218A.133(2). Throughout this </w:t>
      </w:r>
      <w:proofErr w:type="gramStart"/>
      <w:r w:rsidRPr="00465FB3">
        <w:rPr>
          <w:rFonts w:ascii="Times New Roman" w:eastAsia="Times New Roman" w:hAnsi="Times New Roman"/>
          <w:sz w:val="24"/>
          <w:szCs w:val="24"/>
        </w:rPr>
        <w:t>statute, ‘</w:t>
      </w:r>
      <w:proofErr w:type="gramEnd"/>
      <w:r w:rsidRPr="00465FB3">
        <w:rPr>
          <w:rFonts w:ascii="Times New Roman" w:eastAsia="Times New Roman" w:hAnsi="Times New Roman"/>
          <w:sz w:val="24"/>
          <w:szCs w:val="24"/>
        </w:rPr>
        <w:t>the person’ may reasonably be construed as the individual experiencing a drug overdose, and for whom a third-party caller requested medical assistance. When read in this light, KRS 218A.133(2) does not require a third-party caller to be present with the individual experiencing a drug overdose when medical personnel arrive. As such, the circuit court erred in concluding that Appellant was not entitled to the KRS 218A.133(2) exemption from prosecution. Accordingly, we REVERSE the judgment of the Boone Circuit Court.”</w:t>
      </w:r>
      <w:r w:rsidRPr="00465FB3">
        <w:rPr>
          <w:rFonts w:ascii="Times New Roman" w:hAnsi="Times New Roman"/>
          <w:sz w:val="24"/>
          <w:szCs w:val="24"/>
        </w:rPr>
        <w:t xml:space="preserve"> </w:t>
      </w:r>
      <w:bookmarkStart w:id="421" w:name="_Hlk39848396"/>
      <w:r w:rsidR="00BC38B6">
        <w:fldChar w:fldCharType="begin"/>
      </w:r>
      <w:r w:rsidR="00BC38B6">
        <w:instrText xml:space="preserve"> HYPERLINK "https://public.fastcase.com/Wl%2B2t%2BeVuI35%2FN70vAMFZhWagCVrrnIVHI5ze3ezrqb5nbCRO4xyuBvAFcv5WsVX" </w:instrText>
      </w:r>
      <w:r w:rsidR="00BC38B6">
        <w:fldChar w:fldCharType="separate"/>
      </w:r>
      <w:r w:rsidRPr="00465FB3">
        <w:rPr>
          <w:rStyle w:val="Hyperlink"/>
          <w:rFonts w:ascii="Times New Roman" w:eastAsia="Times New Roman" w:hAnsi="Times New Roman"/>
          <w:sz w:val="24"/>
          <w:szCs w:val="24"/>
        </w:rPr>
        <w:t>https://public.fastcase.com/Wl%2B2t%2BeVuI35%2FN70vAMFZhWagCVrrnIVHI5ze3ezrqb5nbCRO4xyuBvAFcv5WsVX</w:t>
      </w:r>
      <w:r w:rsidR="00BC38B6">
        <w:rPr>
          <w:rStyle w:val="Hyperlink"/>
          <w:rFonts w:ascii="Times New Roman" w:eastAsia="Times New Roman" w:hAnsi="Times New Roman"/>
          <w:sz w:val="24"/>
          <w:szCs w:val="24"/>
        </w:rPr>
        <w:fldChar w:fldCharType="end"/>
      </w:r>
      <w:bookmarkEnd w:id="419"/>
      <w:r w:rsidRPr="00465FB3">
        <w:rPr>
          <w:rFonts w:ascii="Times New Roman" w:eastAsia="Times New Roman" w:hAnsi="Times New Roman"/>
          <w:sz w:val="24"/>
          <w:szCs w:val="24"/>
        </w:rPr>
        <w:t xml:space="preserve"> </w:t>
      </w:r>
      <w:bookmarkEnd w:id="421"/>
    </w:p>
    <w:p w14:paraId="5DE247A1" w14:textId="15558E64" w:rsidR="005C30A4" w:rsidRPr="00465FB3" w:rsidRDefault="005C30A4" w:rsidP="005C30A4">
      <w:pPr>
        <w:pStyle w:val="NoSpacing"/>
        <w:rPr>
          <w:rFonts w:ascii="Times New Roman" w:eastAsia="Times New Roman" w:hAnsi="Times New Roman"/>
          <w:b/>
          <w:bCs/>
          <w:sz w:val="24"/>
          <w:szCs w:val="24"/>
        </w:rPr>
      </w:pPr>
      <w:bookmarkStart w:id="422" w:name="_Hlk40513640"/>
      <w:r w:rsidRPr="00465FB3">
        <w:rPr>
          <w:rFonts w:ascii="Times New Roman" w:hAnsi="Times New Roman"/>
          <w:b/>
          <w:bCs/>
          <w:sz w:val="24"/>
          <w:szCs w:val="24"/>
        </w:rPr>
        <w:t>Legal Lesson</w:t>
      </w:r>
      <w:r w:rsidR="00E71BA9">
        <w:rPr>
          <w:rFonts w:ascii="Times New Roman" w:hAnsi="Times New Roman"/>
          <w:b/>
          <w:bCs/>
          <w:sz w:val="24"/>
          <w:szCs w:val="24"/>
        </w:rPr>
        <w:t xml:space="preserve"> </w:t>
      </w:r>
      <w:r w:rsidRPr="00465FB3">
        <w:rPr>
          <w:rFonts w:ascii="Times New Roman" w:hAnsi="Times New Roman"/>
          <w:b/>
          <w:bCs/>
          <w:sz w:val="24"/>
          <w:szCs w:val="24"/>
        </w:rPr>
        <w:t xml:space="preserve">Learned: Many states have enacted drug-user Good Samaritan statutes, to encourage the user or friend to call 911. </w:t>
      </w:r>
    </w:p>
    <w:bookmarkEnd w:id="422"/>
    <w:p w14:paraId="02A5BE40" w14:textId="77777777" w:rsidR="005C30A4" w:rsidRDefault="005C30A4" w:rsidP="00F326E5">
      <w:pPr>
        <w:rPr>
          <w:rFonts w:ascii="Arial Black" w:hAnsi="Arial Black"/>
          <w:b/>
          <w:sz w:val="24"/>
          <w:szCs w:val="24"/>
        </w:rPr>
      </w:pPr>
    </w:p>
    <w:p w14:paraId="065B3E34" w14:textId="77777777" w:rsidR="005C30A4" w:rsidRDefault="005C30A4" w:rsidP="00F326E5">
      <w:pPr>
        <w:rPr>
          <w:rFonts w:ascii="Arial Black" w:hAnsi="Arial Black"/>
          <w:b/>
          <w:sz w:val="24"/>
          <w:szCs w:val="24"/>
        </w:rPr>
      </w:pPr>
    </w:p>
    <w:p w14:paraId="7B9EE014" w14:textId="67CB8932" w:rsidR="005C30A4" w:rsidRDefault="005C30A4" w:rsidP="00F326E5">
      <w:pPr>
        <w:rPr>
          <w:rFonts w:ascii="Arial Black" w:hAnsi="Arial Black"/>
          <w:b/>
          <w:sz w:val="24"/>
          <w:szCs w:val="24"/>
        </w:rPr>
      </w:pPr>
      <w:r>
        <w:rPr>
          <w:rFonts w:ascii="Arial Black" w:hAnsi="Arial Black"/>
          <w:b/>
          <w:sz w:val="24"/>
          <w:szCs w:val="24"/>
        </w:rPr>
        <w:t>12-4</w:t>
      </w:r>
    </w:p>
    <w:p w14:paraId="1777747A" w14:textId="77777777" w:rsidR="005C30A4" w:rsidRPr="00021226" w:rsidRDefault="005C30A4" w:rsidP="005C30A4">
      <w:pPr>
        <w:pStyle w:val="NoSpacing"/>
        <w:rPr>
          <w:rFonts w:ascii="Arial Black" w:hAnsi="Arial Black"/>
          <w:sz w:val="28"/>
          <w:szCs w:val="28"/>
        </w:rPr>
      </w:pPr>
      <w:r>
        <w:rPr>
          <w:rFonts w:ascii="Arial Black" w:hAnsi="Arial Black"/>
          <w:sz w:val="28"/>
          <w:szCs w:val="28"/>
        </w:rPr>
        <w:t>RI: DRUG USER - GOOD SAMARITAN ACT - PD FOUND 6 MARIJUANA PLANTS – IMMUNITY EVEN IF DEALER</w:t>
      </w:r>
    </w:p>
    <w:p w14:paraId="5CBC19BA" w14:textId="77777777" w:rsidR="005C30A4" w:rsidRDefault="005C30A4" w:rsidP="005C30A4">
      <w:pPr>
        <w:pStyle w:val="NoSpacing"/>
        <w:rPr>
          <w:b/>
          <w:bCs/>
          <w:sz w:val="24"/>
          <w:szCs w:val="24"/>
        </w:rPr>
      </w:pPr>
    </w:p>
    <w:p w14:paraId="3733D142" w14:textId="77777777" w:rsidR="005C30A4" w:rsidRPr="00465FB3" w:rsidRDefault="005C30A4" w:rsidP="005C30A4">
      <w:pPr>
        <w:pStyle w:val="NoSpacing"/>
        <w:rPr>
          <w:rFonts w:ascii="Times New Roman" w:hAnsi="Times New Roman"/>
          <w:b/>
          <w:bCs/>
          <w:sz w:val="24"/>
          <w:szCs w:val="24"/>
        </w:rPr>
      </w:pPr>
      <w:r w:rsidRPr="00465FB3">
        <w:rPr>
          <w:rFonts w:ascii="Times New Roman" w:hAnsi="Times New Roman"/>
          <w:bCs/>
          <w:sz w:val="24"/>
          <w:szCs w:val="24"/>
        </w:rPr>
        <w:t xml:space="preserve">On </w:t>
      </w:r>
      <w:bookmarkStart w:id="423" w:name="_Hlk39848608"/>
      <w:r w:rsidRPr="00465FB3">
        <w:rPr>
          <w:rFonts w:ascii="Times New Roman" w:hAnsi="Times New Roman"/>
          <w:bCs/>
          <w:sz w:val="24"/>
          <w:szCs w:val="24"/>
        </w:rPr>
        <w:t xml:space="preserve">Feb. 7, 2020, in </w:t>
      </w:r>
      <w:r w:rsidRPr="00465FB3">
        <w:rPr>
          <w:rFonts w:ascii="Times New Roman" w:hAnsi="Times New Roman"/>
          <w:bCs/>
          <w:sz w:val="24"/>
          <w:szCs w:val="24"/>
          <w:u w:val="single"/>
        </w:rPr>
        <w:t xml:space="preserve">State of Rhode Island v. Daniel </w:t>
      </w:r>
      <w:proofErr w:type="spellStart"/>
      <w:r w:rsidRPr="00465FB3">
        <w:rPr>
          <w:rFonts w:ascii="Times New Roman" w:hAnsi="Times New Roman"/>
          <w:bCs/>
          <w:sz w:val="24"/>
          <w:szCs w:val="24"/>
          <w:u w:val="single"/>
        </w:rPr>
        <w:t>Disalvo</w:t>
      </w:r>
      <w:proofErr w:type="spellEnd"/>
      <w:r w:rsidRPr="00465FB3">
        <w:rPr>
          <w:rFonts w:ascii="Times New Roman" w:hAnsi="Times New Roman"/>
          <w:bCs/>
          <w:sz w:val="24"/>
          <w:szCs w:val="24"/>
        </w:rPr>
        <w:t xml:space="preserve">, </w:t>
      </w:r>
      <w:bookmarkEnd w:id="423"/>
      <w:r w:rsidRPr="00465FB3">
        <w:rPr>
          <w:rFonts w:ascii="Times New Roman" w:hAnsi="Times New Roman"/>
          <w:bCs/>
          <w:sz w:val="24"/>
          <w:szCs w:val="24"/>
        </w:rPr>
        <w:t>the Superior Court (Washington County) Judge Melanie Thunberg held that the criminal complaint must be dismissed, since the defendant is covered by the Good Samaritan Act even though he appears to be a dealer.</w:t>
      </w:r>
    </w:p>
    <w:p w14:paraId="59EF9EE7" w14:textId="77777777" w:rsidR="005C30A4" w:rsidRPr="00465FB3" w:rsidRDefault="005C30A4" w:rsidP="005C30A4">
      <w:pPr>
        <w:pStyle w:val="NoSpacing"/>
        <w:rPr>
          <w:rFonts w:ascii="Times New Roman" w:hAnsi="Times New Roman"/>
          <w:b/>
          <w:bCs/>
          <w:sz w:val="24"/>
          <w:szCs w:val="24"/>
        </w:rPr>
      </w:pPr>
    </w:p>
    <w:p w14:paraId="58AFDA29" w14:textId="77777777" w:rsidR="005C30A4" w:rsidRPr="00465FB3" w:rsidRDefault="005C30A4" w:rsidP="005C30A4">
      <w:pPr>
        <w:pStyle w:val="NoSpacing"/>
        <w:ind w:left="720"/>
        <w:rPr>
          <w:rFonts w:ascii="Times New Roman" w:hAnsi="Times New Roman"/>
          <w:b/>
          <w:bCs/>
          <w:sz w:val="24"/>
          <w:szCs w:val="24"/>
        </w:rPr>
      </w:pPr>
      <w:r w:rsidRPr="00465FB3">
        <w:rPr>
          <w:rFonts w:ascii="Times New Roman" w:hAnsi="Times New Roman"/>
          <w:bCs/>
          <w:sz w:val="24"/>
          <w:szCs w:val="24"/>
        </w:rPr>
        <w:t xml:space="preserve">“At issue here is whether the State may prosecute Defendant for possession of controlled substances with the intent to deliver </w:t>
      </w:r>
      <w:proofErr w:type="gramStart"/>
      <w:r w:rsidRPr="00465FB3">
        <w:rPr>
          <w:rFonts w:ascii="Times New Roman" w:hAnsi="Times New Roman"/>
          <w:bCs/>
          <w:sz w:val="24"/>
          <w:szCs w:val="24"/>
        </w:rPr>
        <w:t>despite the fact that</w:t>
      </w:r>
      <w:proofErr w:type="gramEnd"/>
      <w:r w:rsidRPr="00465FB3">
        <w:rPr>
          <w:rFonts w:ascii="Times New Roman" w:hAnsi="Times New Roman"/>
          <w:bCs/>
          <w:sz w:val="24"/>
          <w:szCs w:val="24"/>
        </w:rPr>
        <w:t xml:space="preserve"> law enforcement would not have discovered the contraband but for Defendant’s need for medical attention. The parties dispute the application of G.L. 1956 § 21-28.9-4, the Good Samaritan Overdose Prevention Act of 2016 (the Act). Their arguments turn on whether the individual who experiences an overdose may seek immunity under the Act; whether the drug or alcohol user needs to </w:t>
      </w:r>
      <w:proofErr w:type="gramStart"/>
      <w:r w:rsidRPr="00465FB3">
        <w:rPr>
          <w:rFonts w:ascii="Times New Roman" w:hAnsi="Times New Roman"/>
          <w:bCs/>
          <w:sz w:val="24"/>
          <w:szCs w:val="24"/>
        </w:rPr>
        <w:t>actually overdose</w:t>
      </w:r>
      <w:proofErr w:type="gramEnd"/>
      <w:r w:rsidRPr="00465FB3">
        <w:rPr>
          <w:rFonts w:ascii="Times New Roman" w:hAnsi="Times New Roman"/>
          <w:bCs/>
          <w:sz w:val="24"/>
          <w:szCs w:val="24"/>
        </w:rPr>
        <w:t xml:space="preserve"> </w:t>
      </w:r>
      <w:proofErr w:type="gramStart"/>
      <w:r w:rsidRPr="00465FB3">
        <w:rPr>
          <w:rFonts w:ascii="Times New Roman" w:hAnsi="Times New Roman"/>
          <w:bCs/>
          <w:sz w:val="24"/>
          <w:szCs w:val="24"/>
        </w:rPr>
        <w:t>in order for</w:t>
      </w:r>
      <w:proofErr w:type="gramEnd"/>
      <w:r w:rsidRPr="00465FB3">
        <w:rPr>
          <w:rFonts w:ascii="Times New Roman" w:hAnsi="Times New Roman"/>
          <w:bCs/>
          <w:sz w:val="24"/>
          <w:szCs w:val="24"/>
        </w:rPr>
        <w:t xml:space="preserve"> the </w:t>
      </w:r>
      <w:proofErr w:type="gramStart"/>
      <w:r w:rsidRPr="00465FB3">
        <w:rPr>
          <w:rFonts w:ascii="Times New Roman" w:hAnsi="Times New Roman"/>
          <w:bCs/>
          <w:sz w:val="24"/>
          <w:szCs w:val="24"/>
        </w:rPr>
        <w:t>protections</w:t>
      </w:r>
      <w:proofErr w:type="gramEnd"/>
      <w:r w:rsidRPr="00465FB3">
        <w:rPr>
          <w:rFonts w:ascii="Times New Roman" w:hAnsi="Times New Roman"/>
          <w:bCs/>
          <w:sz w:val="24"/>
          <w:szCs w:val="24"/>
        </w:rPr>
        <w:t xml:space="preserve"> of the Act to apply; and whether the Act immunizes only possession related </w:t>
      </w:r>
      <w:proofErr w:type="gramStart"/>
      <w:r w:rsidRPr="00465FB3">
        <w:rPr>
          <w:rFonts w:ascii="Times New Roman" w:hAnsi="Times New Roman"/>
          <w:bCs/>
          <w:sz w:val="24"/>
          <w:szCs w:val="24"/>
        </w:rPr>
        <w:t>crimes—</w:t>
      </w:r>
      <w:proofErr w:type="gramEnd"/>
      <w:r w:rsidRPr="00465FB3">
        <w:rPr>
          <w:rFonts w:ascii="Times New Roman" w:hAnsi="Times New Roman"/>
          <w:bCs/>
          <w:sz w:val="24"/>
          <w:szCs w:val="24"/>
        </w:rPr>
        <w:t xml:space="preserve">not the crime of possession with the intent to deliver.  *** Again, the language contained in § 21-28.9-4(b) is dispositive. This section provides that qualifying individuals ‘shall not be charged or prosecuted for any crime related to the possession of a controlled substance or drug paraphernalia, possession or transportation of alcohol by an underage person, or the operation of a drug-involved premises, if the evidence. . .was gained as a result of the overdose and the need for medical assistance.’Section21-28.9-4(b) (emphasis added). *** The outcome of this dispute turns on whether the crime of unlawful possession of a controlled substance with the intent to distribute is a crime ‘related to the possession of a controlled substance.’ Id. Clearly, it is.  An individual must possess the controlled substances with which he or she intends to distribute </w:t>
      </w:r>
      <w:proofErr w:type="gramStart"/>
      <w:r w:rsidRPr="00465FB3">
        <w:rPr>
          <w:rFonts w:ascii="Times New Roman" w:hAnsi="Times New Roman"/>
          <w:bCs/>
          <w:sz w:val="24"/>
          <w:szCs w:val="24"/>
        </w:rPr>
        <w:t>in order to</w:t>
      </w:r>
      <w:proofErr w:type="gramEnd"/>
      <w:r w:rsidRPr="00465FB3">
        <w:rPr>
          <w:rFonts w:ascii="Times New Roman" w:hAnsi="Times New Roman"/>
          <w:bCs/>
          <w:sz w:val="24"/>
          <w:szCs w:val="24"/>
        </w:rPr>
        <w:t xml:space="preserve"> be guilty of possession with the intent to deliver. Moreover, the unambiguous language of § 21-28.9-4(b) establishes that the Legislature intended that the individual who </w:t>
      </w:r>
      <w:proofErr w:type="gramStart"/>
      <w:r w:rsidRPr="00465FB3">
        <w:rPr>
          <w:rFonts w:ascii="Times New Roman" w:hAnsi="Times New Roman"/>
          <w:bCs/>
          <w:sz w:val="24"/>
          <w:szCs w:val="24"/>
        </w:rPr>
        <w:t>overdoses</w:t>
      </w:r>
      <w:proofErr w:type="gramEnd"/>
      <w:r w:rsidRPr="00465FB3">
        <w:rPr>
          <w:rFonts w:ascii="Times New Roman" w:hAnsi="Times New Roman"/>
          <w:bCs/>
          <w:sz w:val="24"/>
          <w:szCs w:val="24"/>
        </w:rPr>
        <w:t xml:space="preserve"> or experiences a drug-or alcohol-related medical emergency receive immunity for ‘any crime related to the possession of a controlled substance or drug paraphernalia. . . .’ Section 21-28.9-4(b) (emphasis added). The Legislature chose to use the words ‘any crime related to the possession of a controlled substance’ to delineate the crimes that would fall under the umbrella of protection afforded by the Act. The Legislature could have carved out crimes related to the delivery or distribution of controlled substances; however, as demonstrated by the existing statute, it did not.</w:t>
      </w:r>
    </w:p>
    <w:bookmarkStart w:id="424" w:name="_Hlk39848627"/>
    <w:p w14:paraId="6D51335B" w14:textId="77777777" w:rsidR="005C30A4" w:rsidRPr="00465FB3" w:rsidRDefault="00BC38B6" w:rsidP="005C30A4">
      <w:pPr>
        <w:pStyle w:val="NoSpacing"/>
        <w:ind w:left="720"/>
        <w:rPr>
          <w:rFonts w:ascii="Times New Roman" w:hAnsi="Times New Roman"/>
          <w:b/>
          <w:bCs/>
          <w:sz w:val="24"/>
          <w:szCs w:val="24"/>
        </w:rPr>
      </w:pPr>
      <w:r>
        <w:fldChar w:fldCharType="begin"/>
      </w:r>
      <w:r>
        <w:instrText xml:space="preserve"> HYPERLINK "https://cases.justia.com/rhode-island/superior-court/2020-18-0273.pdf?ts=1581362174" </w:instrText>
      </w:r>
      <w:r>
        <w:fldChar w:fldCharType="separate"/>
      </w:r>
      <w:r w:rsidR="005C30A4" w:rsidRPr="00465FB3">
        <w:rPr>
          <w:rStyle w:val="Hyperlink"/>
          <w:rFonts w:ascii="Times New Roman" w:hAnsi="Times New Roman"/>
          <w:bCs/>
          <w:sz w:val="24"/>
          <w:szCs w:val="24"/>
        </w:rPr>
        <w:t>https://cases.justia.com/rhode-island/superior-court/2020-18-0273.pdf?ts=1581362174</w:t>
      </w:r>
      <w:r>
        <w:rPr>
          <w:rStyle w:val="Hyperlink"/>
          <w:rFonts w:ascii="Times New Roman" w:hAnsi="Times New Roman"/>
          <w:bCs/>
          <w:sz w:val="24"/>
          <w:szCs w:val="24"/>
        </w:rPr>
        <w:fldChar w:fldCharType="end"/>
      </w:r>
      <w:r w:rsidR="005C30A4" w:rsidRPr="00465FB3">
        <w:rPr>
          <w:rFonts w:ascii="Times New Roman" w:hAnsi="Times New Roman"/>
          <w:bCs/>
          <w:sz w:val="24"/>
          <w:szCs w:val="24"/>
        </w:rPr>
        <w:t xml:space="preserve"> </w:t>
      </w:r>
    </w:p>
    <w:bookmarkEnd w:id="424"/>
    <w:p w14:paraId="5F2C0971" w14:textId="77777777" w:rsidR="005C30A4" w:rsidRPr="00465FB3" w:rsidRDefault="005C30A4" w:rsidP="005C30A4">
      <w:pPr>
        <w:pStyle w:val="NoSpacing"/>
        <w:ind w:left="720"/>
        <w:rPr>
          <w:rFonts w:ascii="Times New Roman" w:hAnsi="Times New Roman"/>
          <w:b/>
          <w:bCs/>
          <w:sz w:val="24"/>
          <w:szCs w:val="24"/>
        </w:rPr>
      </w:pPr>
    </w:p>
    <w:p w14:paraId="553BE63D" w14:textId="77777777" w:rsidR="005C30A4" w:rsidRPr="00465FB3" w:rsidRDefault="005C30A4" w:rsidP="005C30A4">
      <w:pPr>
        <w:pStyle w:val="NoSpacing"/>
        <w:rPr>
          <w:rFonts w:ascii="Times New Roman" w:hAnsi="Times New Roman"/>
          <w:b/>
          <w:bCs/>
          <w:sz w:val="24"/>
          <w:szCs w:val="24"/>
        </w:rPr>
      </w:pPr>
      <w:r w:rsidRPr="00465FB3">
        <w:rPr>
          <w:rFonts w:ascii="Times New Roman" w:hAnsi="Times New Roman"/>
          <w:b/>
          <w:bCs/>
          <w:sz w:val="24"/>
          <w:szCs w:val="24"/>
        </w:rPr>
        <w:t xml:space="preserve">Legal Lessons Learned: This Good Samaritan Act was written to broadly protect drug users and others who call 911 for help. </w:t>
      </w:r>
    </w:p>
    <w:p w14:paraId="607C312D" w14:textId="77777777" w:rsidR="005C30A4" w:rsidRDefault="005C30A4" w:rsidP="00F326E5">
      <w:pPr>
        <w:rPr>
          <w:rFonts w:ascii="Arial Black" w:hAnsi="Arial Black"/>
          <w:b/>
          <w:sz w:val="24"/>
          <w:szCs w:val="24"/>
        </w:rPr>
      </w:pPr>
    </w:p>
    <w:p w14:paraId="483A2F1F" w14:textId="77777777" w:rsidR="005C30A4" w:rsidRDefault="005C30A4" w:rsidP="00F326E5">
      <w:pPr>
        <w:rPr>
          <w:rFonts w:ascii="Arial Black" w:hAnsi="Arial Black"/>
          <w:b/>
          <w:sz w:val="24"/>
          <w:szCs w:val="24"/>
        </w:rPr>
      </w:pPr>
    </w:p>
    <w:p w14:paraId="4323B294" w14:textId="77777777" w:rsidR="005C30A4" w:rsidRDefault="005C30A4" w:rsidP="00F326E5">
      <w:pPr>
        <w:rPr>
          <w:rFonts w:ascii="Arial Black" w:hAnsi="Arial Black"/>
          <w:b/>
          <w:sz w:val="24"/>
          <w:szCs w:val="24"/>
        </w:rPr>
      </w:pPr>
    </w:p>
    <w:p w14:paraId="2E040259" w14:textId="7B2E87FB" w:rsidR="00A52325" w:rsidRDefault="00A52325" w:rsidP="00F326E5">
      <w:pPr>
        <w:rPr>
          <w:rFonts w:ascii="Arial Black" w:hAnsi="Arial Black"/>
          <w:b/>
          <w:sz w:val="24"/>
          <w:szCs w:val="24"/>
        </w:rPr>
      </w:pPr>
      <w:r>
        <w:rPr>
          <w:rFonts w:ascii="Arial Black" w:hAnsi="Arial Black"/>
          <w:b/>
          <w:sz w:val="24"/>
          <w:szCs w:val="24"/>
        </w:rPr>
        <w:t>12-3</w:t>
      </w:r>
    </w:p>
    <w:p w14:paraId="6C5A2033" w14:textId="77777777" w:rsidR="00A52325" w:rsidRDefault="00A52325" w:rsidP="00A52325">
      <w:pPr>
        <w:pStyle w:val="NoSpacing"/>
        <w:rPr>
          <w:rFonts w:ascii="Arial Black" w:hAnsi="Arial Black"/>
          <w:sz w:val="28"/>
          <w:szCs w:val="28"/>
        </w:rPr>
      </w:pPr>
      <w:bookmarkStart w:id="425" w:name="_Hlk39772024"/>
      <w:bookmarkStart w:id="426" w:name="_Hlk41155561"/>
      <w:r>
        <w:rPr>
          <w:rFonts w:ascii="Arial Black" w:hAnsi="Arial Black"/>
          <w:sz w:val="28"/>
          <w:szCs w:val="28"/>
        </w:rPr>
        <w:t>IL: PARAMEDIC USING SQUAD FENTANYL – HOSPITAL FOUND PIN HOLES IN VIALS – CONVICTION UPHELD</w:t>
      </w:r>
    </w:p>
    <w:p w14:paraId="58922B2E" w14:textId="77777777" w:rsidR="00A52325" w:rsidRDefault="00A52325" w:rsidP="00A52325">
      <w:pPr>
        <w:pStyle w:val="NoSpacing"/>
        <w:rPr>
          <w:rFonts w:ascii="Times New Roman" w:hAnsi="Times New Roman"/>
          <w:sz w:val="24"/>
          <w:szCs w:val="24"/>
        </w:rPr>
      </w:pPr>
    </w:p>
    <w:p w14:paraId="7A8F57DA" w14:textId="77777777" w:rsidR="00A52325" w:rsidRDefault="00A52325" w:rsidP="00A52325">
      <w:pPr>
        <w:pStyle w:val="NoSpacing"/>
        <w:rPr>
          <w:rFonts w:ascii="Times New Roman" w:hAnsi="Times New Roman"/>
          <w:sz w:val="24"/>
          <w:szCs w:val="24"/>
        </w:rPr>
      </w:pPr>
      <w:r>
        <w:rPr>
          <w:rFonts w:ascii="Times New Roman" w:hAnsi="Times New Roman"/>
          <w:sz w:val="24"/>
          <w:szCs w:val="24"/>
        </w:rPr>
        <w:t xml:space="preserve">On </w:t>
      </w:r>
      <w:bookmarkStart w:id="427" w:name="_Hlk39849052"/>
      <w:r>
        <w:rPr>
          <w:rFonts w:ascii="Times New Roman" w:hAnsi="Times New Roman"/>
          <w:sz w:val="24"/>
          <w:szCs w:val="24"/>
        </w:rPr>
        <w:t xml:space="preserve">Dec. 6, 2019, in </w:t>
      </w:r>
      <w:r>
        <w:rPr>
          <w:rFonts w:ascii="Times New Roman" w:hAnsi="Times New Roman"/>
          <w:sz w:val="24"/>
          <w:szCs w:val="24"/>
          <w:u w:val="single"/>
        </w:rPr>
        <w:t>United States v. Jason Laut</w:t>
      </w:r>
      <w:bookmarkEnd w:id="427"/>
      <w:r>
        <w:rPr>
          <w:rFonts w:ascii="Times New Roman" w:hAnsi="Times New Roman"/>
          <w:sz w:val="24"/>
          <w:szCs w:val="24"/>
        </w:rPr>
        <w:t>, the U.S. Court of Appeals for the 7</w:t>
      </w:r>
      <w:r>
        <w:rPr>
          <w:rFonts w:ascii="Times New Roman" w:hAnsi="Times New Roman"/>
          <w:sz w:val="24"/>
          <w:szCs w:val="24"/>
          <w:vertAlign w:val="superscript"/>
        </w:rPr>
        <w:t>th</w:t>
      </w:r>
      <w:r>
        <w:rPr>
          <w:rFonts w:ascii="Times New Roman" w:hAnsi="Times New Roman"/>
          <w:sz w:val="24"/>
          <w:szCs w:val="24"/>
        </w:rPr>
        <w:t xml:space="preserve"> Circuit (Chicago), held (3 to 0) that in a nonprecedential disposition that his jury conviction was affirmed. </w:t>
      </w:r>
    </w:p>
    <w:p w14:paraId="682A45B9" w14:textId="77777777" w:rsidR="00A52325" w:rsidRDefault="00A52325" w:rsidP="00A52325">
      <w:pPr>
        <w:pStyle w:val="NoSpacing"/>
        <w:rPr>
          <w:rFonts w:ascii="Times New Roman" w:hAnsi="Times New Roman"/>
          <w:sz w:val="24"/>
          <w:szCs w:val="24"/>
        </w:rPr>
      </w:pPr>
    </w:p>
    <w:p w14:paraId="38C1AA0B" w14:textId="77777777" w:rsidR="00A52325" w:rsidRDefault="00A52325" w:rsidP="00A52325">
      <w:pPr>
        <w:pStyle w:val="NoSpacing"/>
        <w:ind w:left="720"/>
        <w:rPr>
          <w:rFonts w:ascii="Times New Roman" w:hAnsi="Times New Roman"/>
          <w:sz w:val="24"/>
          <w:szCs w:val="24"/>
        </w:rPr>
      </w:pPr>
      <w:r>
        <w:rPr>
          <w:rFonts w:ascii="Times New Roman" w:hAnsi="Times New Roman"/>
          <w:sz w:val="24"/>
          <w:szCs w:val="24"/>
        </w:rPr>
        <w:t>“Specifically, the government stated that Laut had tampered with fentanyl vials ‘57 times in 2014, 28 times in 2015; and repeatedly referred to the ‘85 tampered vials.’ Also, when describing the 2015 tampering, the government stated that pharmacists discovered the tampered vials ‘after Jason Laut’s tampering had already been caught once ... but he got away with it.’ *** The jury found Laut guilty on all 38 counts.</w:t>
      </w:r>
    </w:p>
    <w:bookmarkStart w:id="428" w:name="_Hlk39849070"/>
    <w:p w14:paraId="78A527AF" w14:textId="77777777" w:rsidR="00A52325" w:rsidRDefault="00BC38B6" w:rsidP="00A52325">
      <w:pPr>
        <w:pStyle w:val="NoSpacing"/>
        <w:ind w:left="720"/>
        <w:rPr>
          <w:rFonts w:ascii="Times New Roman" w:hAnsi="Times New Roman"/>
          <w:sz w:val="24"/>
          <w:szCs w:val="24"/>
        </w:rPr>
      </w:pPr>
      <w:r>
        <w:fldChar w:fldCharType="begin"/>
      </w:r>
      <w:r>
        <w:instrText xml:space="preserve"> HYPERLINK "http://media.ca7.uscourts.gov/cgi-bin/rssExec.pl?Submit=Display&amp;Path=Y2019/D12-06/C:18-2843:J:PerCuriam:aut:T:npDp:N:2440892:S:0" </w:instrText>
      </w:r>
      <w:r>
        <w:fldChar w:fldCharType="separate"/>
      </w:r>
      <w:r w:rsidR="00A52325">
        <w:rPr>
          <w:rStyle w:val="Hyperlink"/>
          <w:rFonts w:ascii="Times New Roman" w:hAnsi="Times New Roman"/>
          <w:sz w:val="24"/>
          <w:szCs w:val="24"/>
        </w:rPr>
        <w:t>http://media.ca7.uscourts.gov/cgi-bin/rssExec.pl?Submit=Display&amp;Path=Y2019/D12-06/C:18-2843:J:PerCuriam:aut:T:npDp:N:2440892:S:0</w:t>
      </w:r>
      <w:r>
        <w:rPr>
          <w:rStyle w:val="Hyperlink"/>
          <w:rFonts w:ascii="Times New Roman" w:hAnsi="Times New Roman"/>
          <w:sz w:val="24"/>
          <w:szCs w:val="24"/>
        </w:rPr>
        <w:fldChar w:fldCharType="end"/>
      </w:r>
      <w:r w:rsidR="00A52325">
        <w:rPr>
          <w:rFonts w:ascii="Times New Roman" w:hAnsi="Times New Roman"/>
          <w:sz w:val="24"/>
          <w:szCs w:val="24"/>
        </w:rPr>
        <w:t xml:space="preserve"> </w:t>
      </w:r>
    </w:p>
    <w:p w14:paraId="208CA5FC" w14:textId="56C65859" w:rsidR="00A52325" w:rsidRPr="00E71BA9" w:rsidRDefault="00A52325" w:rsidP="00A52325">
      <w:pPr>
        <w:spacing w:before="100" w:beforeAutospacing="1" w:after="100" w:afterAutospacing="1" w:line="240" w:lineRule="auto"/>
        <w:rPr>
          <w:rFonts w:ascii="Times New Roman" w:hAnsi="Times New Roman"/>
          <w:b/>
          <w:bCs/>
          <w:sz w:val="24"/>
          <w:szCs w:val="24"/>
        </w:rPr>
      </w:pPr>
      <w:bookmarkStart w:id="429" w:name="_Hlk40513758"/>
      <w:bookmarkEnd w:id="425"/>
      <w:bookmarkEnd w:id="428"/>
      <w:r>
        <w:rPr>
          <w:rFonts w:ascii="Times New Roman" w:hAnsi="Times New Roman"/>
          <w:b/>
          <w:bCs/>
          <w:sz w:val="24"/>
          <w:szCs w:val="24"/>
        </w:rPr>
        <w:t xml:space="preserve">Legal Lesson Learned: Conduct training of all </w:t>
      </w:r>
      <w:r w:rsidR="00E71BA9">
        <w:rPr>
          <w:rFonts w:ascii="Times New Roman" w:hAnsi="Times New Roman"/>
          <w:b/>
          <w:bCs/>
          <w:sz w:val="24"/>
          <w:szCs w:val="24"/>
        </w:rPr>
        <w:t xml:space="preserve">FD </w:t>
      </w:r>
      <w:r>
        <w:rPr>
          <w:rFonts w:ascii="Times New Roman" w:hAnsi="Times New Roman"/>
          <w:b/>
          <w:bCs/>
          <w:sz w:val="24"/>
          <w:szCs w:val="24"/>
        </w:rPr>
        <w:t>personnel on tamperin</w:t>
      </w:r>
      <w:r w:rsidR="00E71BA9">
        <w:rPr>
          <w:rFonts w:ascii="Times New Roman" w:hAnsi="Times New Roman"/>
          <w:b/>
          <w:bCs/>
          <w:sz w:val="24"/>
          <w:szCs w:val="24"/>
        </w:rPr>
        <w:t xml:space="preserve">g.   </w:t>
      </w:r>
      <w:r w:rsidR="00E71BA9" w:rsidRPr="00E71BA9">
        <w:rPr>
          <w:rFonts w:ascii="Times New Roman" w:hAnsi="Times New Roman"/>
          <w:sz w:val="24"/>
          <w:szCs w:val="24"/>
        </w:rPr>
        <w:t xml:space="preserve">Note:  See this web site: </w:t>
      </w:r>
      <w:hyperlink r:id="rId1959" w:history="1">
        <w:r w:rsidRPr="00E71BA9">
          <w:rPr>
            <w:rStyle w:val="Hyperlink"/>
            <w:rFonts w:ascii="Times New Roman" w:hAnsi="Times New Roman"/>
            <w:sz w:val="24"/>
            <w:szCs w:val="24"/>
          </w:rPr>
          <w:t>http://www.diversionspecialists.com/wp-content/uploads/Considerations-When-Tampering-Occurs.pdf</w:t>
        </w:r>
      </w:hyperlink>
      <w:r w:rsidRPr="00E71BA9">
        <w:rPr>
          <w:rFonts w:ascii="Times New Roman" w:hAnsi="Times New Roman"/>
          <w:b/>
          <w:bCs/>
          <w:sz w:val="24"/>
          <w:szCs w:val="24"/>
        </w:rPr>
        <w:t xml:space="preserve"> </w:t>
      </w:r>
    </w:p>
    <w:bookmarkEnd w:id="426"/>
    <w:bookmarkEnd w:id="429"/>
    <w:p w14:paraId="160E7F52" w14:textId="2BFBF2E1" w:rsidR="00A52325" w:rsidRDefault="00A52325" w:rsidP="00F326E5">
      <w:pPr>
        <w:rPr>
          <w:rFonts w:ascii="Times New Roman" w:hAnsi="Times New Roman"/>
          <w:bCs/>
          <w:sz w:val="24"/>
          <w:szCs w:val="24"/>
        </w:rPr>
      </w:pPr>
    </w:p>
    <w:p w14:paraId="7BA16672" w14:textId="77777777" w:rsidR="00E658E1" w:rsidRPr="00A52325" w:rsidRDefault="00E658E1" w:rsidP="00F326E5">
      <w:pPr>
        <w:rPr>
          <w:rFonts w:ascii="Times New Roman" w:hAnsi="Times New Roman"/>
          <w:bCs/>
          <w:sz w:val="24"/>
          <w:szCs w:val="24"/>
        </w:rPr>
      </w:pPr>
    </w:p>
    <w:p w14:paraId="6C0B8382" w14:textId="77777777" w:rsidR="00A52325" w:rsidRDefault="00A52325" w:rsidP="00F326E5">
      <w:pPr>
        <w:rPr>
          <w:rFonts w:ascii="Arial Black" w:hAnsi="Arial Black"/>
          <w:b/>
          <w:sz w:val="24"/>
          <w:szCs w:val="24"/>
        </w:rPr>
      </w:pPr>
    </w:p>
    <w:p w14:paraId="689E5B5E" w14:textId="6ADAEEE4" w:rsidR="009F0F05" w:rsidRDefault="009F0F05" w:rsidP="00F326E5">
      <w:pPr>
        <w:rPr>
          <w:rFonts w:ascii="Arial Black" w:hAnsi="Arial Black"/>
          <w:b/>
          <w:sz w:val="24"/>
          <w:szCs w:val="24"/>
        </w:rPr>
      </w:pPr>
      <w:r>
        <w:rPr>
          <w:rFonts w:ascii="Arial Black" w:hAnsi="Arial Black"/>
          <w:b/>
          <w:sz w:val="24"/>
          <w:szCs w:val="24"/>
        </w:rPr>
        <w:t>12-2</w:t>
      </w:r>
    </w:p>
    <w:p w14:paraId="511B0FF8" w14:textId="77777777" w:rsidR="009F0F05" w:rsidRPr="00412490" w:rsidRDefault="009F0F05" w:rsidP="009F0F05">
      <w:pPr>
        <w:rPr>
          <w:rFonts w:ascii="Arial Black" w:hAnsi="Arial Black"/>
          <w:sz w:val="28"/>
          <w:szCs w:val="28"/>
        </w:rPr>
      </w:pPr>
      <w:r w:rsidRPr="00412490">
        <w:rPr>
          <w:rFonts w:ascii="Arial Black" w:hAnsi="Arial Black"/>
          <w:sz w:val="28"/>
          <w:szCs w:val="28"/>
        </w:rPr>
        <w:t xml:space="preserve">NY: </w:t>
      </w:r>
      <w:r>
        <w:rPr>
          <w:rFonts w:ascii="Arial Black" w:hAnsi="Arial Black"/>
          <w:sz w:val="28"/>
          <w:szCs w:val="28"/>
        </w:rPr>
        <w:t xml:space="preserve">COURT REFUSES TO DROP DUI CHARGES AGAINST POLICE OFFICER / EMT – NOT “INTEREST OF JUSTICE” </w:t>
      </w:r>
    </w:p>
    <w:p w14:paraId="1640859F" w14:textId="77777777" w:rsidR="009F0F05" w:rsidRPr="00412490" w:rsidRDefault="009F0F05" w:rsidP="009F0F05">
      <w:pPr>
        <w:rPr>
          <w:rFonts w:ascii="Times New Roman" w:hAnsi="Times New Roman"/>
          <w:sz w:val="24"/>
          <w:szCs w:val="24"/>
        </w:rPr>
      </w:pPr>
      <w:r w:rsidRPr="00412490">
        <w:rPr>
          <w:rFonts w:ascii="Times New Roman" w:hAnsi="Times New Roman"/>
          <w:sz w:val="24"/>
          <w:szCs w:val="24"/>
        </w:rPr>
        <w:t xml:space="preserve">On </w:t>
      </w:r>
      <w:r>
        <w:rPr>
          <w:rFonts w:ascii="Times New Roman" w:hAnsi="Times New Roman"/>
          <w:sz w:val="24"/>
          <w:szCs w:val="24"/>
        </w:rPr>
        <w:t xml:space="preserve">Aug. 13, 2019, in </w:t>
      </w:r>
      <w:r w:rsidRPr="00412490">
        <w:rPr>
          <w:rFonts w:ascii="Times New Roman" w:hAnsi="Times New Roman"/>
          <w:sz w:val="24"/>
          <w:szCs w:val="24"/>
          <w:u w:val="single"/>
        </w:rPr>
        <w:t xml:space="preserve">The People </w:t>
      </w:r>
      <w:proofErr w:type="gramStart"/>
      <w:r w:rsidRPr="00412490">
        <w:rPr>
          <w:rFonts w:ascii="Times New Roman" w:hAnsi="Times New Roman"/>
          <w:sz w:val="24"/>
          <w:szCs w:val="24"/>
          <w:u w:val="single"/>
        </w:rPr>
        <w:t>Of</w:t>
      </w:r>
      <w:proofErr w:type="gramEnd"/>
      <w:r w:rsidRPr="00412490">
        <w:rPr>
          <w:rFonts w:ascii="Times New Roman" w:hAnsi="Times New Roman"/>
          <w:sz w:val="24"/>
          <w:szCs w:val="24"/>
          <w:u w:val="single"/>
        </w:rPr>
        <w:t xml:space="preserve"> </w:t>
      </w:r>
      <w:proofErr w:type="gramStart"/>
      <w:r w:rsidRPr="00412490">
        <w:rPr>
          <w:rFonts w:ascii="Times New Roman" w:hAnsi="Times New Roman"/>
          <w:sz w:val="24"/>
          <w:szCs w:val="24"/>
          <w:u w:val="single"/>
        </w:rPr>
        <w:t>The</w:t>
      </w:r>
      <w:proofErr w:type="gramEnd"/>
      <w:r w:rsidRPr="00412490">
        <w:rPr>
          <w:rFonts w:ascii="Times New Roman" w:hAnsi="Times New Roman"/>
          <w:sz w:val="24"/>
          <w:szCs w:val="24"/>
          <w:u w:val="single"/>
        </w:rPr>
        <w:t xml:space="preserve"> State Of New York v. Shreeganes Meade</w:t>
      </w:r>
      <w:r>
        <w:rPr>
          <w:rFonts w:ascii="Times New Roman" w:hAnsi="Times New Roman"/>
          <w:sz w:val="24"/>
          <w:szCs w:val="24"/>
        </w:rPr>
        <w:t xml:space="preserve">, </w:t>
      </w:r>
      <w:r w:rsidRPr="00A31BF5">
        <w:rPr>
          <w:rFonts w:ascii="Times New Roman" w:hAnsi="Times New Roman"/>
          <w:sz w:val="24"/>
          <w:szCs w:val="24"/>
        </w:rPr>
        <w:t>2019 NY Slip Op 51419(U)</w:t>
      </w:r>
      <w:r>
        <w:rPr>
          <w:rFonts w:ascii="Times New Roman" w:hAnsi="Times New Roman"/>
          <w:sz w:val="24"/>
          <w:szCs w:val="24"/>
        </w:rPr>
        <w:t>,</w:t>
      </w:r>
      <w:r>
        <w:t xml:space="preserve"> </w:t>
      </w:r>
      <w:r w:rsidRPr="00A31BF5">
        <w:rPr>
          <w:rFonts w:ascii="Times New Roman" w:hAnsi="Times New Roman"/>
          <w:sz w:val="24"/>
          <w:szCs w:val="24"/>
        </w:rPr>
        <w:t>N.Y. Crim. Ct., 2019</w:t>
      </w:r>
      <w:r>
        <w:t xml:space="preserve">, </w:t>
      </w:r>
      <w:r>
        <w:rPr>
          <w:rFonts w:ascii="Times New Roman" w:hAnsi="Times New Roman"/>
          <w:sz w:val="24"/>
          <w:szCs w:val="24"/>
        </w:rPr>
        <w:t xml:space="preserve"> trial judge Kate Paek, Criminal Court of the City of New York, denied the defense motion to dismiss the two misdemeanor counts “in the interest of justice.”  </w:t>
      </w:r>
      <w:hyperlink r:id="rId1960" w:history="1">
        <w:r w:rsidRPr="00412490">
          <w:rPr>
            <w:rStyle w:val="Hyperlink"/>
            <w:rFonts w:ascii="Times New Roman" w:hAnsi="Times New Roman"/>
            <w:sz w:val="24"/>
            <w:szCs w:val="24"/>
          </w:rPr>
          <w:t>https://law.justia.com/cases/new-york/other-courts/2019/2019-ny-slip-op-51419-u.html</w:t>
        </w:r>
      </w:hyperlink>
      <w:r w:rsidRPr="00412490">
        <w:rPr>
          <w:rFonts w:ascii="Times New Roman" w:hAnsi="Times New Roman"/>
          <w:sz w:val="24"/>
          <w:szCs w:val="24"/>
        </w:rPr>
        <w:t xml:space="preserve"> </w:t>
      </w:r>
    </w:p>
    <w:p w14:paraId="4452E726" w14:textId="77777777" w:rsidR="009F0F05" w:rsidRDefault="009F0F05" w:rsidP="009F0F05">
      <w:pPr>
        <w:ind w:firstLine="720"/>
        <w:rPr>
          <w:rFonts w:ascii="Times New Roman" w:hAnsi="Times New Roman"/>
          <w:sz w:val="24"/>
          <w:szCs w:val="24"/>
        </w:rPr>
      </w:pPr>
      <w:r>
        <w:rPr>
          <w:rFonts w:ascii="Times New Roman" w:hAnsi="Times New Roman"/>
          <w:sz w:val="24"/>
          <w:szCs w:val="24"/>
        </w:rPr>
        <w:t>The judge held:</w:t>
      </w:r>
    </w:p>
    <w:p w14:paraId="3B7A7419" w14:textId="77777777" w:rsidR="009F0F05" w:rsidRPr="00412490" w:rsidRDefault="009F0F05" w:rsidP="009F0F05">
      <w:pPr>
        <w:ind w:left="720"/>
        <w:rPr>
          <w:rFonts w:ascii="Times New Roman" w:hAnsi="Times New Roman"/>
          <w:sz w:val="24"/>
          <w:szCs w:val="24"/>
        </w:rPr>
      </w:pPr>
      <w:r>
        <w:rPr>
          <w:rFonts w:ascii="Times New Roman" w:hAnsi="Times New Roman"/>
          <w:sz w:val="24"/>
          <w:szCs w:val="24"/>
        </w:rPr>
        <w:t>“</w:t>
      </w:r>
      <w:r w:rsidRPr="00412490">
        <w:rPr>
          <w:rFonts w:ascii="Times New Roman" w:hAnsi="Times New Roman"/>
          <w:sz w:val="24"/>
          <w:szCs w:val="24"/>
        </w:rPr>
        <w:t xml:space="preserve">The defendant asserts that he will face discipline, including possible termination from the NYPD, if he is convicted of a misdemeanor DWI offense. He also states that he will face removal from the New York State Guard and could lose his license to work as an Emergency Medical Technician. Defense counsel asserts that these consequences would not only impact the defendant </w:t>
      </w:r>
      <w:proofErr w:type="gramStart"/>
      <w:r w:rsidRPr="00412490">
        <w:rPr>
          <w:rFonts w:ascii="Times New Roman" w:hAnsi="Times New Roman"/>
          <w:sz w:val="24"/>
          <w:szCs w:val="24"/>
        </w:rPr>
        <w:t>personally,</w:t>
      </w:r>
      <w:r>
        <w:rPr>
          <w:rFonts w:ascii="Times New Roman" w:hAnsi="Times New Roman"/>
          <w:sz w:val="24"/>
          <w:szCs w:val="24"/>
        </w:rPr>
        <w:t xml:space="preserve"> </w:t>
      </w:r>
      <w:r w:rsidRPr="00412490">
        <w:rPr>
          <w:rFonts w:ascii="Times New Roman" w:hAnsi="Times New Roman"/>
          <w:sz w:val="24"/>
          <w:szCs w:val="24"/>
        </w:rPr>
        <w:t>but</w:t>
      </w:r>
      <w:proofErr w:type="gramEnd"/>
      <w:r w:rsidRPr="00412490">
        <w:rPr>
          <w:rFonts w:ascii="Times New Roman" w:hAnsi="Times New Roman"/>
          <w:sz w:val="24"/>
          <w:szCs w:val="24"/>
        </w:rPr>
        <w:t xml:space="preserve"> would deprive the community of the defendant's service in those roles. The court is mindful of these potential collateral </w:t>
      </w:r>
      <w:proofErr w:type="gramStart"/>
      <w:r w:rsidRPr="00412490">
        <w:rPr>
          <w:rFonts w:ascii="Times New Roman" w:hAnsi="Times New Roman"/>
          <w:sz w:val="24"/>
          <w:szCs w:val="24"/>
        </w:rPr>
        <w:t>consequences, but</w:t>
      </w:r>
      <w:proofErr w:type="gramEnd"/>
      <w:r w:rsidRPr="00412490">
        <w:rPr>
          <w:rFonts w:ascii="Times New Roman" w:hAnsi="Times New Roman"/>
          <w:sz w:val="24"/>
          <w:szCs w:val="24"/>
        </w:rPr>
        <w:t xml:space="preserve"> finds that they do not mandate dismissal in this case.</w:t>
      </w:r>
      <w:r>
        <w:rPr>
          <w:rFonts w:ascii="Times New Roman" w:hAnsi="Times New Roman"/>
          <w:sz w:val="24"/>
          <w:szCs w:val="24"/>
        </w:rPr>
        <w:t>”</w:t>
      </w:r>
    </w:p>
    <w:p w14:paraId="0B547525" w14:textId="77777777" w:rsidR="009F0F05" w:rsidRDefault="009F0F05" w:rsidP="009F0F05">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The job consequences of an emergency responder being convicted of driving while intoxicated can be very severe.  The case will now go to a jury, unless the police officer elects to have a “bench trial” or pleads guilty.   </w:t>
      </w:r>
    </w:p>
    <w:p w14:paraId="3DB632E9" w14:textId="77777777" w:rsidR="00E658E1" w:rsidRDefault="00E658E1" w:rsidP="00F326E5">
      <w:pPr>
        <w:rPr>
          <w:rFonts w:ascii="Arial Black" w:hAnsi="Arial Black"/>
          <w:b/>
          <w:sz w:val="24"/>
          <w:szCs w:val="24"/>
        </w:rPr>
      </w:pPr>
    </w:p>
    <w:p w14:paraId="3CC152EB" w14:textId="79E412E7" w:rsidR="00F326E5" w:rsidRDefault="00DE0F03" w:rsidP="00F326E5">
      <w:pPr>
        <w:rPr>
          <w:rFonts w:ascii="Arial Black" w:hAnsi="Arial Black"/>
          <w:sz w:val="40"/>
          <w:szCs w:val="40"/>
        </w:rPr>
      </w:pPr>
      <w:r>
        <w:rPr>
          <w:rFonts w:ascii="Arial Black" w:hAnsi="Arial Black"/>
          <w:b/>
          <w:sz w:val="24"/>
          <w:szCs w:val="24"/>
        </w:rPr>
        <w:t xml:space="preserve">12-1 </w:t>
      </w:r>
    </w:p>
    <w:p w14:paraId="5F96CBC6" w14:textId="174B8F51" w:rsidR="00F326E5" w:rsidRDefault="00F326E5" w:rsidP="00F326E5">
      <w:pPr>
        <w:pStyle w:val="NoSpacing"/>
        <w:rPr>
          <w:rFonts w:ascii="Arial Black" w:hAnsi="Arial Black"/>
          <w:sz w:val="28"/>
          <w:szCs w:val="28"/>
        </w:rPr>
      </w:pPr>
      <w:bookmarkStart w:id="430" w:name="_Hlk39772079"/>
      <w:bookmarkStart w:id="431" w:name="_Hlk7345754"/>
      <w:r w:rsidRPr="00541B0F">
        <w:rPr>
          <w:rFonts w:ascii="Arial Black" w:hAnsi="Arial Black"/>
          <w:b/>
          <w:sz w:val="28"/>
          <w:szCs w:val="28"/>
        </w:rPr>
        <w:t>MD</w:t>
      </w:r>
      <w:r>
        <w:rPr>
          <w:rFonts w:ascii="Arial Black" w:hAnsi="Arial Black"/>
          <w:b/>
          <w:sz w:val="28"/>
          <w:szCs w:val="28"/>
        </w:rPr>
        <w:t xml:space="preserve">: </w:t>
      </w:r>
      <w:r w:rsidRPr="00541B0F">
        <w:rPr>
          <w:rFonts w:ascii="Arial Black" w:hAnsi="Arial Black"/>
          <w:b/>
          <w:sz w:val="28"/>
          <w:szCs w:val="28"/>
        </w:rPr>
        <w:t>F</w:t>
      </w:r>
      <w:r>
        <w:rPr>
          <w:rFonts w:ascii="Arial Black" w:hAnsi="Arial Black"/>
          <w:b/>
          <w:sz w:val="28"/>
          <w:szCs w:val="28"/>
        </w:rPr>
        <w:t xml:space="preserve">F </w:t>
      </w:r>
      <w:r w:rsidRPr="00541B0F">
        <w:rPr>
          <w:rFonts w:ascii="Arial Black" w:hAnsi="Arial Black"/>
          <w:b/>
          <w:sz w:val="28"/>
          <w:szCs w:val="28"/>
        </w:rPr>
        <w:t>TERMINATED FOR ALCOHOL</w:t>
      </w:r>
      <w:r>
        <w:rPr>
          <w:rFonts w:ascii="Arial Black" w:hAnsi="Arial Black"/>
          <w:sz w:val="28"/>
          <w:szCs w:val="28"/>
        </w:rPr>
        <w:t xml:space="preserve"> – GIVEN SECOND CHANCE – PRE-TERMINATION HEARING</w:t>
      </w:r>
    </w:p>
    <w:p w14:paraId="09636522" w14:textId="77777777" w:rsidR="00E658E1" w:rsidRDefault="00F326E5" w:rsidP="00F326E5">
      <w:pPr>
        <w:pStyle w:val="NoSpacing"/>
        <w:rPr>
          <w:rFonts w:ascii="Times New Roman" w:hAnsi="Times New Roman"/>
          <w:sz w:val="24"/>
          <w:szCs w:val="24"/>
        </w:rPr>
      </w:pPr>
      <w:r w:rsidRPr="00E658E1">
        <w:rPr>
          <w:rFonts w:ascii="Times New Roman" w:hAnsi="Times New Roman"/>
          <w:sz w:val="24"/>
          <w:szCs w:val="24"/>
        </w:rPr>
        <w:t xml:space="preserve">On Oct. 19, 2018, in </w:t>
      </w:r>
      <w:r w:rsidRPr="00E658E1">
        <w:rPr>
          <w:rFonts w:ascii="Times New Roman" w:hAnsi="Times New Roman"/>
          <w:sz w:val="24"/>
          <w:szCs w:val="24"/>
          <w:u w:val="single"/>
        </w:rPr>
        <w:t>Darryl K. Lewis, Jr. v. City of Baltimore Civil Service Commission, et al</w:t>
      </w:r>
      <w:r w:rsidRPr="00E658E1">
        <w:rPr>
          <w:rFonts w:ascii="Times New Roman" w:hAnsi="Times New Roman"/>
          <w:sz w:val="24"/>
          <w:szCs w:val="24"/>
        </w:rPr>
        <w:t xml:space="preserve">, the Circuit Court for Baltimore City, held (3 to 0) in unreported decision that the firefighter was provided due process, affirming the Hearing Officer’s findings: </w:t>
      </w:r>
    </w:p>
    <w:p w14:paraId="2EBA2134" w14:textId="77777777" w:rsidR="00E658E1" w:rsidRDefault="00E658E1" w:rsidP="00F326E5">
      <w:pPr>
        <w:pStyle w:val="NoSpacing"/>
        <w:rPr>
          <w:rFonts w:ascii="Times New Roman" w:hAnsi="Times New Roman"/>
          <w:sz w:val="24"/>
          <w:szCs w:val="24"/>
        </w:rPr>
      </w:pPr>
    </w:p>
    <w:p w14:paraId="371452EE" w14:textId="452B71D0" w:rsidR="00F326E5" w:rsidRPr="00E658E1" w:rsidRDefault="00F326E5" w:rsidP="00E658E1">
      <w:pPr>
        <w:pStyle w:val="NoSpacing"/>
        <w:ind w:left="720"/>
        <w:rPr>
          <w:rFonts w:ascii="Times New Roman" w:eastAsia="Times New Roman" w:hAnsi="Times New Roman"/>
          <w:sz w:val="24"/>
          <w:szCs w:val="24"/>
        </w:rPr>
      </w:pPr>
      <w:r w:rsidRPr="00E658E1">
        <w:rPr>
          <w:rFonts w:ascii="Times New Roman" w:hAnsi="Times New Roman"/>
          <w:sz w:val="24"/>
          <w:szCs w:val="24"/>
        </w:rPr>
        <w:t>“</w:t>
      </w:r>
      <w:r w:rsidRPr="00E658E1">
        <w:rPr>
          <w:rFonts w:ascii="Times New Roman" w:eastAsia="Times New Roman" w:hAnsi="Times New Roman"/>
          <w:sz w:val="24"/>
          <w:szCs w:val="24"/>
        </w:rPr>
        <w:t xml:space="preserve">The Hearing Officer’s Recommendation states, ‘Procedural due process was afforded in that Lewis received notice of the underlying charges and an opportunity to be heard at a pre-termination hearing. He received sufficient notification of the outcome of that hearing and was advised of his right to this investigation.’” </w:t>
      </w:r>
      <w:hyperlink r:id="rId1961" w:history="1">
        <w:r w:rsidRPr="00E658E1">
          <w:rPr>
            <w:rStyle w:val="Hyperlink"/>
            <w:rFonts w:ascii="Times New Roman" w:hAnsi="Times New Roman"/>
            <w:sz w:val="24"/>
            <w:szCs w:val="24"/>
          </w:rPr>
          <w:t>https://www.courts.state.md.us/sites/default/files/unreported-opinions/2605s16.pdf</w:t>
        </w:r>
      </w:hyperlink>
      <w:r w:rsidRPr="00E658E1">
        <w:rPr>
          <w:rFonts w:ascii="Times New Roman" w:eastAsia="Times New Roman" w:hAnsi="Times New Roman"/>
          <w:sz w:val="24"/>
          <w:szCs w:val="24"/>
        </w:rPr>
        <w:t xml:space="preserve"> </w:t>
      </w:r>
    </w:p>
    <w:p w14:paraId="4E968E6B" w14:textId="77777777" w:rsidR="00E658E1" w:rsidRDefault="00E658E1" w:rsidP="00F326E5">
      <w:pPr>
        <w:pStyle w:val="NoSpacing"/>
        <w:rPr>
          <w:rFonts w:ascii="Times New Roman" w:hAnsi="Times New Roman"/>
          <w:b/>
          <w:sz w:val="24"/>
          <w:szCs w:val="24"/>
        </w:rPr>
      </w:pPr>
    </w:p>
    <w:p w14:paraId="21BE52CC" w14:textId="3494E15D" w:rsidR="00F326E5" w:rsidRPr="00E658E1" w:rsidRDefault="00F326E5" w:rsidP="00F326E5">
      <w:pPr>
        <w:pStyle w:val="NoSpacing"/>
        <w:rPr>
          <w:rFonts w:ascii="Times New Roman" w:hAnsi="Times New Roman"/>
          <w:b/>
          <w:sz w:val="24"/>
          <w:szCs w:val="24"/>
        </w:rPr>
      </w:pPr>
      <w:bookmarkStart w:id="432" w:name="_Hlk40513865"/>
      <w:bookmarkEnd w:id="430"/>
      <w:r w:rsidRPr="00E658E1">
        <w:rPr>
          <w:rFonts w:ascii="Times New Roman" w:hAnsi="Times New Roman"/>
          <w:b/>
          <w:sz w:val="24"/>
          <w:szCs w:val="24"/>
        </w:rPr>
        <w:t xml:space="preserve">Legal Lesson Learned: “After Care Contracts” and other forms of last chance agreements are enforceable, and procedural due process rights were followed in this case.   </w:t>
      </w:r>
    </w:p>
    <w:p w14:paraId="79D791FF" w14:textId="0B8F9210" w:rsidR="000F0910" w:rsidRPr="00E658E1" w:rsidRDefault="00F326E5" w:rsidP="00E71BA9">
      <w:pPr>
        <w:pStyle w:val="NoSpacing"/>
        <w:ind w:left="720"/>
        <w:rPr>
          <w:rFonts w:ascii="Times New Roman" w:hAnsi="Times New Roman"/>
          <w:sz w:val="24"/>
          <w:szCs w:val="24"/>
        </w:rPr>
      </w:pPr>
      <w:r w:rsidRPr="00E658E1">
        <w:rPr>
          <w:rFonts w:ascii="Times New Roman" w:hAnsi="Times New Roman"/>
          <w:sz w:val="24"/>
          <w:szCs w:val="24"/>
        </w:rPr>
        <w:t>Note:  Consider in such agreements a requirement that the employee enroll in a continuing care program</w:t>
      </w:r>
      <w:bookmarkEnd w:id="431"/>
      <w:bookmarkEnd w:id="432"/>
      <w:r w:rsidR="00E71BA9">
        <w:rPr>
          <w:rFonts w:ascii="Times New Roman" w:hAnsi="Times New Roman"/>
          <w:sz w:val="24"/>
          <w:szCs w:val="24"/>
        </w:rPr>
        <w:t>.</w:t>
      </w:r>
    </w:p>
    <w:p w14:paraId="10F8BFED" w14:textId="77777777" w:rsidR="000F0910" w:rsidRDefault="000F0910" w:rsidP="00F326E5">
      <w:pPr>
        <w:pStyle w:val="NoSpacing"/>
        <w:rPr>
          <w:rFonts w:ascii="Arial Black" w:hAnsi="Arial Black"/>
          <w:sz w:val="40"/>
          <w:szCs w:val="40"/>
        </w:rPr>
      </w:pPr>
    </w:p>
    <w:p w14:paraId="4E25EFB5" w14:textId="2D2AEA7B" w:rsidR="00FA7B26" w:rsidRDefault="00FA7B26">
      <w:pPr>
        <w:spacing w:after="0" w:line="240" w:lineRule="auto"/>
        <w:rPr>
          <w:rFonts w:ascii="Arial Black" w:hAnsi="Arial Black"/>
          <w:sz w:val="40"/>
          <w:szCs w:val="40"/>
        </w:rPr>
      </w:pPr>
      <w:r>
        <w:rPr>
          <w:rFonts w:ascii="Arial Black" w:hAnsi="Arial Black"/>
          <w:sz w:val="40"/>
          <w:szCs w:val="40"/>
        </w:rPr>
        <w:br w:type="page"/>
      </w:r>
    </w:p>
    <w:p w14:paraId="18E891B7" w14:textId="77777777" w:rsidR="00FA7B26" w:rsidRDefault="00FA7B26" w:rsidP="00F326E5">
      <w:pPr>
        <w:pStyle w:val="NoSpacing"/>
        <w:rPr>
          <w:rFonts w:ascii="Arial Black" w:hAnsi="Arial Black"/>
          <w:sz w:val="40"/>
          <w:szCs w:val="40"/>
        </w:rPr>
      </w:pPr>
    </w:p>
    <w:p w14:paraId="6111C988" w14:textId="77777777" w:rsidR="00F55DAF" w:rsidRDefault="00F55DAF" w:rsidP="00F326E5">
      <w:pPr>
        <w:pStyle w:val="NoSpacing"/>
        <w:rPr>
          <w:rFonts w:ascii="Arial Black" w:hAnsi="Arial Black"/>
          <w:sz w:val="40"/>
          <w:szCs w:val="40"/>
        </w:rPr>
      </w:pPr>
    </w:p>
    <w:p w14:paraId="3485BFB7" w14:textId="77777777" w:rsidR="00F55DAF" w:rsidRDefault="00F55DAF" w:rsidP="00F326E5">
      <w:pPr>
        <w:pStyle w:val="NoSpacing"/>
        <w:rPr>
          <w:rFonts w:ascii="Arial Black" w:hAnsi="Arial Black"/>
          <w:sz w:val="40"/>
          <w:szCs w:val="40"/>
        </w:rPr>
      </w:pPr>
    </w:p>
    <w:p w14:paraId="6CFCB04B" w14:textId="77777777" w:rsidR="00F55DAF" w:rsidRDefault="00F55DAF" w:rsidP="00F326E5">
      <w:pPr>
        <w:pStyle w:val="NoSpacing"/>
        <w:rPr>
          <w:rFonts w:ascii="Arial Black" w:hAnsi="Arial Black"/>
          <w:sz w:val="40"/>
          <w:szCs w:val="40"/>
        </w:rPr>
      </w:pPr>
    </w:p>
    <w:p w14:paraId="78BB6FB3" w14:textId="77777777" w:rsidR="00F55DAF" w:rsidRDefault="00F55DAF" w:rsidP="00F326E5">
      <w:pPr>
        <w:pStyle w:val="NoSpacing"/>
        <w:rPr>
          <w:rFonts w:ascii="Arial Black" w:hAnsi="Arial Black"/>
          <w:sz w:val="40"/>
          <w:szCs w:val="40"/>
        </w:rPr>
      </w:pPr>
    </w:p>
    <w:p w14:paraId="60750650" w14:textId="77777777" w:rsidR="00F55DAF" w:rsidRDefault="00F55DAF" w:rsidP="00F326E5">
      <w:pPr>
        <w:pStyle w:val="NoSpacing"/>
        <w:rPr>
          <w:rFonts w:ascii="Arial Black" w:hAnsi="Arial Black"/>
          <w:sz w:val="40"/>
          <w:szCs w:val="40"/>
        </w:rPr>
      </w:pPr>
    </w:p>
    <w:p w14:paraId="3FE3F119" w14:textId="77777777" w:rsidR="00F55DAF" w:rsidRDefault="00F55DAF" w:rsidP="00F326E5">
      <w:pPr>
        <w:pStyle w:val="NoSpacing"/>
        <w:rPr>
          <w:rFonts w:ascii="Arial Black" w:hAnsi="Arial Black"/>
          <w:sz w:val="40"/>
          <w:szCs w:val="40"/>
        </w:rPr>
      </w:pPr>
    </w:p>
    <w:p w14:paraId="2687991C" w14:textId="77777777" w:rsidR="00F55DAF" w:rsidRDefault="00F55DAF" w:rsidP="00F326E5">
      <w:pPr>
        <w:pStyle w:val="NoSpacing"/>
        <w:rPr>
          <w:rFonts w:ascii="Arial Black" w:hAnsi="Arial Black"/>
          <w:sz w:val="40"/>
          <w:szCs w:val="40"/>
        </w:rPr>
      </w:pPr>
    </w:p>
    <w:p w14:paraId="789B827A" w14:textId="77777777" w:rsidR="00F55DAF" w:rsidRDefault="00F55DAF" w:rsidP="00F326E5">
      <w:pPr>
        <w:pStyle w:val="NoSpacing"/>
        <w:rPr>
          <w:rFonts w:ascii="Arial Black" w:hAnsi="Arial Black"/>
          <w:sz w:val="40"/>
          <w:szCs w:val="40"/>
        </w:rPr>
      </w:pPr>
    </w:p>
    <w:p w14:paraId="1A35755D" w14:textId="77777777" w:rsidR="00F55DAF" w:rsidRDefault="00F55DAF" w:rsidP="00F326E5">
      <w:pPr>
        <w:pStyle w:val="NoSpacing"/>
        <w:rPr>
          <w:rFonts w:ascii="Arial Black" w:hAnsi="Arial Black"/>
          <w:sz w:val="40"/>
          <w:szCs w:val="40"/>
        </w:rPr>
      </w:pPr>
    </w:p>
    <w:p w14:paraId="3D7E24F4" w14:textId="77777777" w:rsidR="00F55DAF" w:rsidRDefault="00F55DAF" w:rsidP="00F326E5">
      <w:pPr>
        <w:pStyle w:val="NoSpacing"/>
        <w:rPr>
          <w:rFonts w:ascii="Arial Black" w:hAnsi="Arial Black"/>
          <w:sz w:val="40"/>
          <w:szCs w:val="40"/>
        </w:rPr>
      </w:pPr>
    </w:p>
    <w:p w14:paraId="17A4E84A" w14:textId="77777777" w:rsidR="00F55DAF" w:rsidRDefault="00F55DAF" w:rsidP="00F326E5">
      <w:pPr>
        <w:pStyle w:val="NoSpacing"/>
        <w:rPr>
          <w:rFonts w:ascii="Arial Black" w:hAnsi="Arial Black"/>
          <w:sz w:val="40"/>
          <w:szCs w:val="40"/>
        </w:rPr>
      </w:pPr>
    </w:p>
    <w:p w14:paraId="63E1950E" w14:textId="77777777" w:rsidR="00F55DAF" w:rsidRDefault="00F55DAF" w:rsidP="00F326E5">
      <w:pPr>
        <w:pStyle w:val="NoSpacing"/>
        <w:rPr>
          <w:rFonts w:ascii="Arial Black" w:hAnsi="Arial Black"/>
          <w:sz w:val="40"/>
          <w:szCs w:val="40"/>
        </w:rPr>
      </w:pPr>
    </w:p>
    <w:p w14:paraId="4D80508A" w14:textId="77777777" w:rsidR="00F55DAF" w:rsidRDefault="00F55DAF" w:rsidP="00F326E5">
      <w:pPr>
        <w:pStyle w:val="NoSpacing"/>
        <w:rPr>
          <w:rFonts w:ascii="Arial Black" w:hAnsi="Arial Black"/>
          <w:sz w:val="40"/>
          <w:szCs w:val="40"/>
        </w:rPr>
      </w:pPr>
    </w:p>
    <w:p w14:paraId="36A8EC93" w14:textId="77777777" w:rsidR="00F55DAF" w:rsidRDefault="00F55DAF" w:rsidP="00F326E5">
      <w:pPr>
        <w:pStyle w:val="NoSpacing"/>
        <w:rPr>
          <w:rFonts w:ascii="Arial Black" w:hAnsi="Arial Black"/>
          <w:sz w:val="40"/>
          <w:szCs w:val="40"/>
        </w:rPr>
      </w:pPr>
    </w:p>
    <w:p w14:paraId="5A63D56B" w14:textId="77777777" w:rsidR="00F55DAF" w:rsidRDefault="00F55DAF" w:rsidP="00F326E5">
      <w:pPr>
        <w:pStyle w:val="NoSpacing"/>
        <w:rPr>
          <w:rFonts w:ascii="Arial Black" w:hAnsi="Arial Black"/>
          <w:sz w:val="40"/>
          <w:szCs w:val="40"/>
        </w:rPr>
      </w:pPr>
    </w:p>
    <w:p w14:paraId="5528F68C" w14:textId="77777777" w:rsidR="00F55DAF" w:rsidRDefault="00F55DAF" w:rsidP="00F326E5">
      <w:pPr>
        <w:pStyle w:val="NoSpacing"/>
        <w:rPr>
          <w:rFonts w:ascii="Arial Black" w:hAnsi="Arial Black"/>
          <w:sz w:val="40"/>
          <w:szCs w:val="40"/>
        </w:rPr>
      </w:pPr>
    </w:p>
    <w:p w14:paraId="232EF1FE" w14:textId="77777777" w:rsidR="00F55DAF" w:rsidRDefault="00F55DAF" w:rsidP="00F326E5">
      <w:pPr>
        <w:pStyle w:val="NoSpacing"/>
        <w:rPr>
          <w:rFonts w:ascii="Arial Black" w:hAnsi="Arial Black"/>
          <w:sz w:val="40"/>
          <w:szCs w:val="40"/>
        </w:rPr>
      </w:pPr>
    </w:p>
    <w:p w14:paraId="1D239E1D" w14:textId="77777777" w:rsidR="00F55DAF" w:rsidRDefault="00F55DAF" w:rsidP="00F326E5">
      <w:pPr>
        <w:pStyle w:val="NoSpacing"/>
        <w:rPr>
          <w:rFonts w:ascii="Arial Black" w:hAnsi="Arial Black"/>
          <w:sz w:val="40"/>
          <w:szCs w:val="40"/>
        </w:rPr>
      </w:pPr>
    </w:p>
    <w:p w14:paraId="08195DF4" w14:textId="77777777" w:rsidR="00F55DAF" w:rsidRDefault="00F55DAF" w:rsidP="00F326E5">
      <w:pPr>
        <w:pStyle w:val="NoSpacing"/>
        <w:rPr>
          <w:rFonts w:ascii="Arial Black" w:hAnsi="Arial Black"/>
          <w:sz w:val="40"/>
          <w:szCs w:val="40"/>
        </w:rPr>
      </w:pPr>
    </w:p>
    <w:p w14:paraId="44C48805" w14:textId="77777777" w:rsidR="00F55DAF" w:rsidRDefault="00F55DAF" w:rsidP="00F326E5">
      <w:pPr>
        <w:pStyle w:val="NoSpacing"/>
        <w:rPr>
          <w:rFonts w:ascii="Arial Black" w:hAnsi="Arial Black"/>
          <w:sz w:val="40"/>
          <w:szCs w:val="40"/>
        </w:rPr>
      </w:pPr>
    </w:p>
    <w:p w14:paraId="00C8AFA0" w14:textId="77777777" w:rsidR="00F55DAF" w:rsidRDefault="00F55DAF" w:rsidP="00F326E5">
      <w:pPr>
        <w:pStyle w:val="NoSpacing"/>
        <w:rPr>
          <w:rFonts w:ascii="Arial Black" w:hAnsi="Arial Black"/>
          <w:sz w:val="40"/>
          <w:szCs w:val="40"/>
        </w:rPr>
      </w:pPr>
    </w:p>
    <w:p w14:paraId="3E3744A8" w14:textId="77777777" w:rsidR="00F55DAF" w:rsidRDefault="00F55DAF" w:rsidP="00F326E5">
      <w:pPr>
        <w:pStyle w:val="NoSpacing"/>
        <w:rPr>
          <w:rFonts w:ascii="Arial Black" w:hAnsi="Arial Black"/>
          <w:sz w:val="40"/>
          <w:szCs w:val="40"/>
        </w:rPr>
      </w:pPr>
    </w:p>
    <w:p w14:paraId="7FE0DA20" w14:textId="77777777" w:rsidR="00F55DAF" w:rsidRDefault="00F55DAF" w:rsidP="00F326E5">
      <w:pPr>
        <w:pStyle w:val="NoSpacing"/>
        <w:rPr>
          <w:rFonts w:ascii="Arial Black" w:hAnsi="Arial Black"/>
          <w:sz w:val="40"/>
          <w:szCs w:val="40"/>
        </w:rPr>
      </w:pPr>
    </w:p>
    <w:p w14:paraId="50B99505" w14:textId="6951BD87" w:rsidR="00F326E5" w:rsidRDefault="00F326E5" w:rsidP="00F326E5">
      <w:pPr>
        <w:pStyle w:val="NoSpacing"/>
        <w:rPr>
          <w:rFonts w:ascii="Arial Black" w:hAnsi="Arial Black"/>
          <w:sz w:val="40"/>
          <w:szCs w:val="40"/>
        </w:rPr>
      </w:pPr>
      <w:r w:rsidRPr="007732FA">
        <w:rPr>
          <w:rFonts w:ascii="Arial Black" w:hAnsi="Arial Black"/>
          <w:sz w:val="40"/>
          <w:szCs w:val="40"/>
        </w:rPr>
        <w:t>Chap. 13</w:t>
      </w:r>
      <w:r w:rsidRPr="007732FA">
        <w:rPr>
          <w:rFonts w:ascii="Arial Black" w:hAnsi="Arial Black"/>
          <w:sz w:val="40"/>
          <w:szCs w:val="40"/>
        </w:rPr>
        <w:tab/>
        <w:t>EMS</w:t>
      </w:r>
      <w:r w:rsidR="003F660F">
        <w:rPr>
          <w:rFonts w:ascii="Arial Black" w:hAnsi="Arial Black"/>
          <w:sz w:val="40"/>
          <w:szCs w:val="40"/>
        </w:rPr>
        <w:t xml:space="preserve">, including </w:t>
      </w:r>
      <w:r w:rsidR="00636395">
        <w:rPr>
          <w:rFonts w:ascii="Arial Black" w:hAnsi="Arial Black"/>
          <w:sz w:val="40"/>
          <w:szCs w:val="40"/>
        </w:rPr>
        <w:t>Community Paramedicine</w:t>
      </w:r>
      <w:r w:rsidR="003F660F">
        <w:rPr>
          <w:rFonts w:ascii="Arial Black" w:hAnsi="Arial Black"/>
          <w:sz w:val="40"/>
          <w:szCs w:val="40"/>
        </w:rPr>
        <w:t>, Corona Virus</w:t>
      </w:r>
      <w:r w:rsidRPr="007732FA">
        <w:rPr>
          <w:rFonts w:ascii="Arial Black" w:hAnsi="Arial Black"/>
          <w:sz w:val="40"/>
          <w:szCs w:val="40"/>
        </w:rPr>
        <w:tab/>
      </w:r>
    </w:p>
    <w:p w14:paraId="4145B648" w14:textId="77777777" w:rsidR="00AC1F80" w:rsidRDefault="00AC1F80" w:rsidP="002B1283">
      <w:pPr>
        <w:rPr>
          <w:rFonts w:ascii="Arial Black" w:hAnsi="Arial Black"/>
          <w:b/>
          <w:bCs/>
          <w:sz w:val="28"/>
          <w:szCs w:val="28"/>
        </w:rPr>
      </w:pPr>
      <w:bookmarkStart w:id="433" w:name="_Hlk7346153"/>
    </w:p>
    <w:p w14:paraId="733571F4" w14:textId="0106122F" w:rsidR="00752531" w:rsidRPr="00DA5EE8" w:rsidRDefault="00752531" w:rsidP="00752531">
      <w:pPr>
        <w:pStyle w:val="NoSpacing"/>
        <w:rPr>
          <w:rFonts w:ascii="Arial Black" w:hAnsi="Arial Black"/>
          <w:sz w:val="24"/>
          <w:szCs w:val="24"/>
        </w:rPr>
      </w:pPr>
      <w:r w:rsidRPr="00DA5EE8">
        <w:rPr>
          <w:rFonts w:ascii="Arial Black" w:hAnsi="Arial Black"/>
          <w:sz w:val="24"/>
          <w:szCs w:val="24"/>
        </w:rPr>
        <w:t>13-2</w:t>
      </w:r>
      <w:r>
        <w:rPr>
          <w:rFonts w:ascii="Arial Black" w:hAnsi="Arial Black"/>
          <w:sz w:val="24"/>
          <w:szCs w:val="24"/>
        </w:rPr>
        <w:t>6</w:t>
      </w:r>
      <w:r>
        <w:rPr>
          <w:rFonts w:ascii="Arial Black" w:hAnsi="Arial Black"/>
          <w:sz w:val="24"/>
          <w:szCs w:val="24"/>
        </w:rPr>
        <w:t>5</w:t>
      </w:r>
    </w:p>
    <w:p w14:paraId="391A2C8D" w14:textId="77777777" w:rsidR="00EB0265" w:rsidRDefault="00EB0265" w:rsidP="00824E5F">
      <w:pPr>
        <w:pStyle w:val="NoSpacing"/>
        <w:rPr>
          <w:rFonts w:ascii="Arial Black" w:hAnsi="Arial Black"/>
          <w:sz w:val="24"/>
          <w:szCs w:val="24"/>
        </w:rPr>
      </w:pPr>
    </w:p>
    <w:p w14:paraId="052A904C" w14:textId="77777777" w:rsidR="00EB0265" w:rsidRPr="00805D73" w:rsidRDefault="00EB0265" w:rsidP="00EB0265">
      <w:pPr>
        <w:pStyle w:val="NoSpacing"/>
        <w:rPr>
          <w:rFonts w:ascii="Arial Black" w:hAnsi="Arial Black"/>
          <w:bCs/>
          <w:sz w:val="28"/>
          <w:szCs w:val="28"/>
        </w:rPr>
      </w:pPr>
      <w:r>
        <w:rPr>
          <w:rFonts w:ascii="Arial Black" w:hAnsi="Arial Black"/>
          <w:sz w:val="28"/>
          <w:szCs w:val="28"/>
        </w:rPr>
        <w:t xml:space="preserve">NJ: HOSP. MD OK’D DRUG / INTUBATION – EMS IMMUNITY </w:t>
      </w:r>
    </w:p>
    <w:p w14:paraId="4CEE6CDB" w14:textId="77777777" w:rsidR="00EB0265" w:rsidRDefault="00EB0265" w:rsidP="00EB0265">
      <w:pPr>
        <w:pStyle w:val="NoSpacing"/>
        <w:rPr>
          <w:bCs/>
        </w:rPr>
      </w:pPr>
    </w:p>
    <w:p w14:paraId="71D2DEB4" w14:textId="77777777" w:rsidR="00EB0265" w:rsidRPr="002B7C2B" w:rsidRDefault="00EB0265" w:rsidP="00EB0265">
      <w:pPr>
        <w:pStyle w:val="NoSpacing"/>
        <w:rPr>
          <w:bCs/>
          <w:u w:val="single"/>
        </w:rPr>
      </w:pPr>
      <w:r>
        <w:t xml:space="preserve">On June 25, 2026, in </w:t>
      </w:r>
      <w:r w:rsidRPr="002B7C2B">
        <w:rPr>
          <w:u w:val="single"/>
        </w:rPr>
        <w:t>Jari Almonte and Yahaira Almanzar, individually and as parents and</w:t>
      </w:r>
    </w:p>
    <w:p w14:paraId="41B694BB" w14:textId="77777777" w:rsidR="00EB0265" w:rsidRPr="006A0694" w:rsidRDefault="00EB0265" w:rsidP="00EB0265">
      <w:pPr>
        <w:pStyle w:val="NoSpacing"/>
        <w:rPr>
          <w:bCs/>
        </w:rPr>
      </w:pPr>
      <w:r w:rsidRPr="002B7C2B">
        <w:rPr>
          <w:u w:val="single"/>
        </w:rPr>
        <w:t>natural guardians of Jeremy Almonte, an infant v. Township of Union, Township of Union Fire Department, et al</w:t>
      </w:r>
      <w:r w:rsidRPr="002B7C2B">
        <w:t xml:space="preserve">., </w:t>
      </w:r>
      <w:r>
        <w:t xml:space="preserve">the Supreme Court of New Jersey held (7 to 0) that trial court judge, and the Appellate Court properly held that the paramedics and their employer </w:t>
      </w:r>
      <w:r w:rsidRPr="006A0694">
        <w:t xml:space="preserve">have immunity under </w:t>
      </w:r>
      <w:r>
        <w:t xml:space="preserve">NJ statute, failed intubations, but made two calls to hospital doctor and there is no requirement they have “constant, live stream” with the physician. </w:t>
      </w:r>
      <w:r w:rsidRPr="005B4CCA">
        <w:t>The version of the EMSA that controls this appeal was</w:t>
      </w:r>
      <w:r>
        <w:t xml:space="preserve"> </w:t>
      </w:r>
      <w:r w:rsidRPr="005B4CCA">
        <w:t>adopted in 1984. At that time, N.J.S.A. 26:2K-14 immunized paramedics who</w:t>
      </w:r>
      <w:r>
        <w:t xml:space="preserve"> </w:t>
      </w:r>
      <w:r w:rsidRPr="005B4CCA">
        <w:t xml:space="preserve">perform advanced life support services </w:t>
      </w:r>
      <w:r>
        <w:t>‘</w:t>
      </w:r>
      <w:r w:rsidRPr="005B4CCA">
        <w:t>in good faith</w:t>
      </w:r>
      <w:r>
        <w:t>’</w:t>
      </w:r>
      <w:r w:rsidRPr="005B4CCA">
        <w:t xml:space="preserve"> and </w:t>
      </w:r>
      <w:r>
        <w:t>‘</w:t>
      </w:r>
      <w:r w:rsidRPr="005B4CCA">
        <w:t>in accordance with [the</w:t>
      </w:r>
      <w:r>
        <w:t xml:space="preserve"> </w:t>
      </w:r>
      <w:r w:rsidRPr="005B4CCA">
        <w:t xml:space="preserve">EMSA].” </w:t>
      </w:r>
      <w:r>
        <w:t>The Court wrote: “</w:t>
      </w:r>
      <w:r w:rsidRPr="005B4CCA">
        <w:t>The latter requirement, which is at issue in plaintiffs’ challenge, is</w:t>
      </w:r>
      <w:r>
        <w:t xml:space="preserve"> </w:t>
      </w:r>
      <w:r w:rsidRPr="005B4CCA">
        <w:t xml:space="preserve">fulfilled if paramedics (1) </w:t>
      </w:r>
      <w:r>
        <w:t>‘</w:t>
      </w:r>
      <w:r w:rsidRPr="005B4CCA">
        <w:t>maintain direct voice communication with</w:t>
      </w:r>
      <w:r>
        <w:t>’</w:t>
      </w:r>
      <w:r w:rsidRPr="005B4CCA">
        <w:t xml:space="preserve"> and (2) </w:t>
      </w:r>
      <w:r>
        <w:t>‘</w:t>
      </w:r>
      <w:r w:rsidRPr="005B4CCA">
        <w:t>are</w:t>
      </w:r>
      <w:r>
        <w:t xml:space="preserve"> </w:t>
      </w:r>
      <w:r w:rsidRPr="005B4CCA">
        <w:t>taking orders from a licensed physician</w:t>
      </w:r>
      <w:r>
        <w:t>’</w:t>
      </w:r>
      <w:r w:rsidRPr="005B4CCA">
        <w:t xml:space="preserve"> while providing ALS.</w:t>
      </w:r>
      <w:r>
        <w:t xml:space="preserve">” </w:t>
      </w:r>
      <w:hyperlink r:id="rId1962" w:history="1">
        <w:r w:rsidRPr="005431AD">
          <w:rPr>
            <w:rStyle w:val="Hyperlink"/>
          </w:rPr>
          <w:t>https://www.njcourts.gov/system/files/court-opinions/2026/a_73_24.pdf</w:t>
        </w:r>
      </w:hyperlink>
      <w:r>
        <w:t xml:space="preserve"> </w:t>
      </w:r>
    </w:p>
    <w:p w14:paraId="14748ECC" w14:textId="77777777" w:rsidR="00EB0265" w:rsidRDefault="00EB0265" w:rsidP="00EB0265">
      <w:pPr>
        <w:pStyle w:val="NoSpacing"/>
        <w:rPr>
          <w:b/>
        </w:rPr>
      </w:pPr>
    </w:p>
    <w:p w14:paraId="5696D8D0" w14:textId="77777777" w:rsidR="00EB0265" w:rsidRPr="00F26F6D" w:rsidRDefault="00EB0265" w:rsidP="00EB0265">
      <w:pPr>
        <w:pStyle w:val="NoSpacing"/>
        <w:rPr>
          <w:b/>
        </w:rPr>
      </w:pPr>
      <w:r w:rsidRPr="00F26F6D">
        <w:rPr>
          <w:b/>
        </w:rPr>
        <w:t xml:space="preserve">FACTS: </w:t>
      </w:r>
    </w:p>
    <w:p w14:paraId="74087FF2" w14:textId="77777777" w:rsidR="00EB0265" w:rsidRDefault="00EB0265" w:rsidP="00EB0265">
      <w:pPr>
        <w:pStyle w:val="NoSpacing"/>
        <w:rPr>
          <w:b/>
        </w:rPr>
      </w:pPr>
    </w:p>
    <w:p w14:paraId="052165B2" w14:textId="77777777" w:rsidR="00EB0265" w:rsidRDefault="00EB0265" w:rsidP="00EB0265">
      <w:pPr>
        <w:pStyle w:val="NoSpacing"/>
      </w:pPr>
      <w:r>
        <w:t>“8:56 p.m. Jeremy Almonte’s mother called 9-1-1 immediately after observing her twenty-one-month-old son fall and strike his head on a hardwood floor while running and playing in their Vauxhall home. After the fall, Almonte’s face and neck began ‘twitching</w:t>
      </w:r>
      <w:proofErr w:type="gramStart"/>
      <w:r>
        <w:t>,’ ‘</w:t>
      </w:r>
      <w:proofErr w:type="gramEnd"/>
      <w:r>
        <w:t>which rapidly</w:t>
      </w:r>
    </w:p>
    <w:p w14:paraId="6D471E06" w14:textId="77777777" w:rsidR="00EB0265" w:rsidRDefault="00EB0265" w:rsidP="00EB0265">
      <w:pPr>
        <w:pStyle w:val="NoSpacing"/>
      </w:pPr>
      <w:r>
        <w:t>progressed into full body convulsions.’</w:t>
      </w:r>
    </w:p>
    <w:p w14:paraId="5C57CD81" w14:textId="77777777" w:rsidR="00EB0265" w:rsidRDefault="00EB0265" w:rsidP="00EB0265">
      <w:pPr>
        <w:pStyle w:val="NoSpacing"/>
      </w:pPr>
    </w:p>
    <w:p w14:paraId="2F73BB7C" w14:textId="77777777" w:rsidR="00EB0265" w:rsidRDefault="00EB0265" w:rsidP="00EB0265">
      <w:pPr>
        <w:pStyle w:val="NoSpacing"/>
      </w:pPr>
      <w:r>
        <w:t>9:00 p.m. Basic life support (BLS) Emergency Medical Technicians (EMTs) arrived at the Almonte home. They found Almonte with a fist-sized lump on the rear of his head and reported that he was actively seizing and ‘unresponsive’ but breathing on his own. Almonte was</w:t>
      </w:r>
    </w:p>
    <w:p w14:paraId="05EC53ED" w14:textId="77777777" w:rsidR="00EB0265" w:rsidRDefault="00EB0265" w:rsidP="00EB0265">
      <w:pPr>
        <w:pStyle w:val="NoSpacing"/>
      </w:pPr>
      <w:r>
        <w:t>‘</w:t>
      </w:r>
      <w:proofErr w:type="gramStart"/>
      <w:r>
        <w:t>vomiting</w:t>
      </w:r>
      <w:proofErr w:type="gramEnd"/>
      <w:r>
        <w:t xml:space="preserve"> large amounts of fluid from his oral and nasal airway.’ The BLS EMTs administered oxygen, suctioned fluid from Almonte’s airway, and loaded him into an ambulance.</w:t>
      </w:r>
    </w:p>
    <w:p w14:paraId="565C5056" w14:textId="77777777" w:rsidR="00EB0265" w:rsidRDefault="00EB0265" w:rsidP="00EB0265">
      <w:pPr>
        <w:pStyle w:val="NoSpacing"/>
      </w:pPr>
    </w:p>
    <w:p w14:paraId="2E82D7A6" w14:textId="77777777" w:rsidR="00EB0265" w:rsidRDefault="00EB0265" w:rsidP="00EB0265">
      <w:pPr>
        <w:pStyle w:val="NoSpacing"/>
      </w:pPr>
      <w:r>
        <w:t xml:space="preserve">9:10 p.m. Advanced life support (ALS) paramedics employed by the Atlantic Ambulance Corporation, David Pernell and Denyel Cusimano (the paramedics), arrived and assumed care of Almonte. Almonte remained ‘unresponsive,’ with his </w:t>
      </w:r>
      <w:proofErr w:type="gramStart"/>
      <w:r>
        <w:t>lips blue</w:t>
      </w:r>
      <w:proofErr w:type="gramEnd"/>
      <w:r>
        <w:t xml:space="preserve">, extremities cool </w:t>
      </w:r>
      <w:proofErr w:type="gramStart"/>
      <w:r>
        <w:t>to</w:t>
      </w:r>
      <w:proofErr w:type="gramEnd"/>
      <w:r>
        <w:t xml:space="preserve"> the</w:t>
      </w:r>
    </w:p>
    <w:p w14:paraId="6C97BE10" w14:textId="77777777" w:rsidR="00EB0265" w:rsidRDefault="00EB0265" w:rsidP="00EB0265">
      <w:pPr>
        <w:pStyle w:val="NoSpacing"/>
      </w:pPr>
      <w:r>
        <w:t>touch, and jaw clenched shut; his breathing became ‘labored’ and he continued to actively seize.</w:t>
      </w:r>
    </w:p>
    <w:p w14:paraId="146365F3" w14:textId="77777777" w:rsidR="00EB0265" w:rsidRDefault="00EB0265" w:rsidP="00EB0265">
      <w:pPr>
        <w:pStyle w:val="NoSpacing"/>
      </w:pPr>
    </w:p>
    <w:p w14:paraId="444AD1C0" w14:textId="77777777" w:rsidR="00EB0265" w:rsidRDefault="00EB0265" w:rsidP="00EB0265">
      <w:pPr>
        <w:pStyle w:val="NoSpacing"/>
      </w:pPr>
      <w:r w:rsidRPr="00722122">
        <w:t>9:17 p.m. Pernell placed the first cellular phone call to Dr. Sharma</w:t>
      </w:r>
      <w:r>
        <w:t xml:space="preserve"> [Dr. Niti Sharma, M.D., a licensed physician working in the Emergency Department at Overlook Medical Center]…. DR. SHARMA: You can give him . . . one milligram [of Valium]….</w:t>
      </w:r>
    </w:p>
    <w:p w14:paraId="055D8E9E" w14:textId="77777777" w:rsidR="00EB0265" w:rsidRDefault="00EB0265" w:rsidP="00EB0265">
      <w:pPr>
        <w:pStyle w:val="NoSpacing"/>
      </w:pPr>
    </w:p>
    <w:p w14:paraId="7134EB08" w14:textId="77777777" w:rsidR="00EB0265" w:rsidRDefault="00EB0265" w:rsidP="00EB0265">
      <w:pPr>
        <w:pStyle w:val="NoSpacing"/>
      </w:pPr>
      <w:r>
        <w:t>9:29 p.m. Almonte’s ‘respiratory drive had decreased’ and his heart rate declined to 158 beats per minute (bpm). The paramedics suctioned ‘large amount[s] of fluid’ from Almonte’s ‘oral and nasal airways. Cusimano was able to open Almonte’s airway enough to insert a device to perform ventilation through a bag-valve-mask.</w:t>
      </w:r>
    </w:p>
    <w:p w14:paraId="1629957C" w14:textId="77777777" w:rsidR="00EB0265" w:rsidRDefault="00EB0265" w:rsidP="00EB0265">
      <w:pPr>
        <w:pStyle w:val="NoSpacing"/>
      </w:pPr>
    </w:p>
    <w:p w14:paraId="54586806" w14:textId="77777777" w:rsidR="00EB0265" w:rsidRDefault="00EB0265" w:rsidP="00EB0265">
      <w:pPr>
        <w:pStyle w:val="NoSpacing"/>
      </w:pPr>
      <w:r>
        <w:t>9:30 p.m. Pernell made the second cellular phone call to Dr. Sharma, during which the following exchange occurred:</w:t>
      </w:r>
    </w:p>
    <w:p w14:paraId="5E9B8DF0" w14:textId="77777777" w:rsidR="00EB0265" w:rsidRDefault="00EB0265" w:rsidP="00EB0265">
      <w:pPr>
        <w:pStyle w:val="NoSpacing"/>
        <w:ind w:left="720"/>
      </w:pPr>
    </w:p>
    <w:p w14:paraId="10A10F46" w14:textId="77777777" w:rsidR="00EB0265" w:rsidRDefault="00EB0265" w:rsidP="00EB0265">
      <w:pPr>
        <w:pStyle w:val="NoSpacing"/>
        <w:ind w:left="720"/>
      </w:pPr>
      <w:r>
        <w:t xml:space="preserve">PERNELL: This kid needs to be intubated. I need to get some orders for </w:t>
      </w:r>
      <w:proofErr w:type="spellStart"/>
      <w:r>
        <w:t>Succ</w:t>
      </w:r>
      <w:proofErr w:type="spellEnd"/>
      <w:r>
        <w:t xml:space="preserve"> and Etomidate. . . .</w:t>
      </w:r>
    </w:p>
    <w:p w14:paraId="0DD3B72A" w14:textId="77777777" w:rsidR="00EB0265" w:rsidRDefault="00EB0265" w:rsidP="00EB0265">
      <w:pPr>
        <w:pStyle w:val="NoSpacing"/>
      </w:pPr>
    </w:p>
    <w:p w14:paraId="0E268BB8" w14:textId="77777777" w:rsidR="00EB0265" w:rsidRDefault="00EB0265" w:rsidP="00EB0265">
      <w:pPr>
        <w:pStyle w:val="NoSpacing"/>
        <w:ind w:left="720"/>
      </w:pPr>
      <w:r>
        <w:t>DR. SHARMA: Etomidate . . . would be around four milligrams . . . And Succinylcholine . . . you can give him about [twenty-four] milligrams</w:t>
      </w:r>
      <w:proofErr w:type="gramStart"/>
      <w:r>
        <w:t>…..</w:t>
      </w:r>
      <w:proofErr w:type="gramEnd"/>
    </w:p>
    <w:p w14:paraId="77CAD3ED" w14:textId="77777777" w:rsidR="00EB0265" w:rsidRDefault="00EB0265" w:rsidP="00EB0265">
      <w:pPr>
        <w:pStyle w:val="NoSpacing"/>
        <w:ind w:left="720"/>
      </w:pPr>
    </w:p>
    <w:p w14:paraId="3B31333E" w14:textId="77777777" w:rsidR="00EB0265" w:rsidRDefault="00EB0265" w:rsidP="00EB0265">
      <w:pPr>
        <w:pStyle w:val="NoSpacing"/>
      </w:pPr>
      <w:r>
        <w:t>***</w:t>
      </w:r>
    </w:p>
    <w:p w14:paraId="6987AD02" w14:textId="77777777" w:rsidR="00EB0265" w:rsidRDefault="00EB0265" w:rsidP="00EB0265">
      <w:pPr>
        <w:pStyle w:val="NoSpacing"/>
      </w:pPr>
    </w:p>
    <w:p w14:paraId="15051D9D" w14:textId="77777777" w:rsidR="00EB0265" w:rsidRDefault="00EB0265" w:rsidP="00EB0265">
      <w:pPr>
        <w:pStyle w:val="NoSpacing"/>
      </w:pPr>
      <w:r>
        <w:t>9:37 p.m. The ambulance arrived at University Hospital. The paramedics remained with Almonte in the ambulance to continue their attempts to intubate him.</w:t>
      </w:r>
    </w:p>
    <w:p w14:paraId="004DDB7E" w14:textId="77777777" w:rsidR="00EB0265" w:rsidRDefault="00EB0265" w:rsidP="00EB0265">
      <w:pPr>
        <w:pStyle w:val="NoSpacing"/>
      </w:pPr>
    </w:p>
    <w:p w14:paraId="45EA20E1" w14:textId="77777777" w:rsidR="00EB0265" w:rsidRDefault="00EB0265" w:rsidP="00EB0265">
      <w:pPr>
        <w:pStyle w:val="NoSpacing"/>
      </w:pPr>
      <w:r>
        <w:t>9:42 p.m. Pernell began the third intubation attempt. Almonte’s ‘airway [was] cleared via suction while intubating.’ The ‘[p]</w:t>
      </w:r>
      <w:proofErr w:type="spellStart"/>
      <w:r>
        <w:t>lacement</w:t>
      </w:r>
      <w:proofErr w:type="spellEnd"/>
      <w:r>
        <w:t xml:space="preserve"> of [the] tube [was] successful’ and was ‘verified by’ measuring Almonte’s breathing and </w:t>
      </w:r>
      <w:proofErr w:type="gramStart"/>
      <w:r>
        <w:t>through ‘[</w:t>
      </w:r>
      <w:proofErr w:type="gramEnd"/>
      <w:r>
        <w:t>d]</w:t>
      </w:r>
      <w:proofErr w:type="spellStart"/>
      <w:r>
        <w:t>irect</w:t>
      </w:r>
      <w:proofErr w:type="spellEnd"/>
      <w:r>
        <w:t xml:space="preserve"> [v]</w:t>
      </w:r>
      <w:proofErr w:type="spellStart"/>
      <w:r>
        <w:t>isualization</w:t>
      </w:r>
      <w:proofErr w:type="spellEnd"/>
      <w:r>
        <w:t>.’ At this point, Almonte’s heart rate decreased to 71 bpm.</w:t>
      </w:r>
    </w:p>
    <w:p w14:paraId="41FC22BE" w14:textId="77777777" w:rsidR="00EB0265" w:rsidRDefault="00EB0265" w:rsidP="00EB0265">
      <w:pPr>
        <w:pStyle w:val="NoSpacing"/>
      </w:pPr>
    </w:p>
    <w:p w14:paraId="00CDB46F" w14:textId="77777777" w:rsidR="00EB0265" w:rsidRDefault="00EB0265" w:rsidP="00EB0265">
      <w:pPr>
        <w:pStyle w:val="NoSpacing"/>
      </w:pPr>
      <w:r>
        <w:t>9:47 p.m. Almonte was transferred to the Trauma Center by stretcher. When Almonte arrived, he was in cardiac arrest. The trauma physician found that the endotracheal tube was not in Almonte’s trachea. Almonte was then reintubated and resuscitated.</w:t>
      </w:r>
    </w:p>
    <w:p w14:paraId="6E8FBEE4" w14:textId="77777777" w:rsidR="00EB0265" w:rsidRDefault="00EB0265" w:rsidP="00EB0265">
      <w:pPr>
        <w:pStyle w:val="NoSpacing"/>
      </w:pPr>
    </w:p>
    <w:p w14:paraId="1B9B365B" w14:textId="77777777" w:rsidR="00EB0265" w:rsidRDefault="00EB0265" w:rsidP="00EB0265">
      <w:pPr>
        <w:pStyle w:val="NoSpacing"/>
      </w:pPr>
      <w:r>
        <w:t>9:57 p.m. Almonte’s breathing returned.”</w:t>
      </w:r>
    </w:p>
    <w:p w14:paraId="2C80F3F0" w14:textId="77777777" w:rsidR="00EB0265" w:rsidRDefault="00EB0265" w:rsidP="00EB0265">
      <w:pPr>
        <w:pStyle w:val="NoSpacing"/>
      </w:pPr>
    </w:p>
    <w:p w14:paraId="6A1AFE79" w14:textId="77777777" w:rsidR="00EB0265" w:rsidRDefault="00EB0265" w:rsidP="00EB0265">
      <w:pPr>
        <w:pStyle w:val="NoSpacing"/>
      </w:pPr>
    </w:p>
    <w:p w14:paraId="28A16251" w14:textId="77777777" w:rsidR="00EB0265" w:rsidRDefault="00EB0265" w:rsidP="00EB0265">
      <w:pPr>
        <w:pStyle w:val="NoSpacing"/>
        <w:rPr>
          <w:b/>
          <w:bCs/>
        </w:rPr>
      </w:pPr>
      <w:r w:rsidRPr="003D3633">
        <w:rPr>
          <w:b/>
        </w:rPr>
        <w:t>COURT HELD:</w:t>
      </w:r>
    </w:p>
    <w:p w14:paraId="524588A7" w14:textId="77777777" w:rsidR="00EB0265" w:rsidRDefault="00EB0265" w:rsidP="00EB0265">
      <w:pPr>
        <w:pStyle w:val="NoSpacing"/>
        <w:rPr>
          <w:b/>
          <w:bCs/>
        </w:rPr>
      </w:pPr>
    </w:p>
    <w:p w14:paraId="50985698" w14:textId="77777777" w:rsidR="00EB0265" w:rsidRPr="00B554DF" w:rsidRDefault="00EB0265" w:rsidP="00EB0265">
      <w:pPr>
        <w:pStyle w:val="NoSpacing"/>
      </w:pPr>
      <w:r>
        <w:t>“</w:t>
      </w:r>
      <w:r w:rsidRPr="00B554DF">
        <w:t>We conclude that the paramedics who provided care to Jeremy Almonte</w:t>
      </w:r>
      <w:r>
        <w:t xml:space="preserve"> </w:t>
      </w:r>
      <w:r w:rsidRPr="00B554DF">
        <w:t xml:space="preserve">acted under the </w:t>
      </w:r>
      <w:r>
        <w:t>‘</w:t>
      </w:r>
      <w:r w:rsidRPr="00B554DF">
        <w:t>orders</w:t>
      </w:r>
      <w:r>
        <w:t>’</w:t>
      </w:r>
      <w:r w:rsidRPr="00B554DF">
        <w:t xml:space="preserve"> of Dr. Niti Sharma, M.D., a licensed physician</w:t>
      </w:r>
      <w:r>
        <w:t xml:space="preserve"> </w:t>
      </w:r>
      <w:r w:rsidRPr="00B554DF">
        <w:t>working in the Emergency Department at Overlook Medical Center in Summit,</w:t>
      </w:r>
      <w:r>
        <w:t xml:space="preserve"> </w:t>
      </w:r>
      <w:r w:rsidRPr="00B554DF">
        <w:t>to intubate Almonte in an effort to open his airway; we also have determined</w:t>
      </w:r>
      <w:r>
        <w:t xml:space="preserve"> </w:t>
      </w:r>
      <w:r w:rsidRPr="00B554DF">
        <w:t xml:space="preserve">that those orders were conveyed during </w:t>
      </w:r>
      <w:r>
        <w:t>‘</w:t>
      </w:r>
      <w:r w:rsidRPr="00B554DF">
        <w:t>direct voice communication[s]</w:t>
      </w:r>
      <w:r>
        <w:t>’</w:t>
      </w:r>
      <w:r w:rsidRPr="00B554DF">
        <w:t xml:space="preserve"> with</w:t>
      </w:r>
    </w:p>
    <w:p w14:paraId="7F3EDC95" w14:textId="77777777" w:rsidR="00EB0265" w:rsidRDefault="00EB0265" w:rsidP="00EB0265">
      <w:pPr>
        <w:pStyle w:val="NoSpacing"/>
      </w:pPr>
      <w:r w:rsidRPr="00B554DF">
        <w:t>Dr. Sharma. Accordingly, we hold that defendants are entitled to immunity.</w:t>
      </w:r>
      <w:r>
        <w:t xml:space="preserve"> </w:t>
      </w:r>
      <w:r w:rsidRPr="00B554DF">
        <w:t>We reach this holding based on N.J.S.A. 26:2K-10’s plain language, aided by</w:t>
      </w:r>
      <w:r>
        <w:t xml:space="preserve"> </w:t>
      </w:r>
      <w:r w:rsidRPr="00B554DF">
        <w:t>legislative intent.</w:t>
      </w:r>
    </w:p>
    <w:p w14:paraId="29A13864" w14:textId="77777777" w:rsidR="00EB0265" w:rsidRDefault="00EB0265" w:rsidP="00EB0265">
      <w:pPr>
        <w:pStyle w:val="NoSpacing"/>
      </w:pPr>
    </w:p>
    <w:p w14:paraId="28FD1C56" w14:textId="77777777" w:rsidR="00EB0265" w:rsidRDefault="00EB0265" w:rsidP="00EB0265">
      <w:pPr>
        <w:pStyle w:val="NoSpacing"/>
      </w:pPr>
      <w:r>
        <w:t>***</w:t>
      </w:r>
    </w:p>
    <w:p w14:paraId="1134D813" w14:textId="77777777" w:rsidR="00EB0265" w:rsidRPr="00B554DF" w:rsidRDefault="00EB0265" w:rsidP="00EB0265">
      <w:pPr>
        <w:pStyle w:val="NoSpacing"/>
      </w:pPr>
      <w:r>
        <w:t>The appellate court noted that the statute itself does not define ‘maintain direct voice communication’ and credited the testimony of plaintiffs’ expert, Dr. Brown, that such communication need not be a ‘</w:t>
      </w:r>
      <w:r w:rsidRPr="00907730">
        <w:t>constant, live stream.</w:t>
      </w:r>
      <w:r>
        <w:t>’”</w:t>
      </w:r>
    </w:p>
    <w:p w14:paraId="335219A9" w14:textId="77777777" w:rsidR="00EB0265" w:rsidRDefault="00EB0265" w:rsidP="00EB0265">
      <w:pPr>
        <w:pStyle w:val="NoSpacing"/>
      </w:pPr>
    </w:p>
    <w:p w14:paraId="6FAF2A2E" w14:textId="77777777" w:rsidR="00EB0265" w:rsidRPr="00F010AA" w:rsidRDefault="00EB0265" w:rsidP="00EB0265">
      <w:pPr>
        <w:pStyle w:val="NoSpacing"/>
        <w:rPr>
          <w:b/>
          <w:bCs/>
        </w:rPr>
      </w:pPr>
      <w:r>
        <w:rPr>
          <w:b/>
        </w:rPr>
        <w:t xml:space="preserve">Legal lesson learned: Medics have immunity under the NJ law (now broadened) since they called hospital </w:t>
      </w:r>
      <w:proofErr w:type="gramStart"/>
      <w:r>
        <w:rPr>
          <w:b/>
        </w:rPr>
        <w:t>physician</w:t>
      </w:r>
      <w:proofErr w:type="gramEnd"/>
      <w:r>
        <w:rPr>
          <w:b/>
        </w:rPr>
        <w:t xml:space="preserve"> before intubation and administration of meds; check the law and your protocol in your state on when must contact Medical Control.</w:t>
      </w:r>
    </w:p>
    <w:p w14:paraId="3AFD0224" w14:textId="77777777" w:rsidR="00752531" w:rsidRDefault="00752531" w:rsidP="00752531">
      <w:pPr>
        <w:pStyle w:val="NoSpacing"/>
        <w:rPr>
          <w:rFonts w:ascii="Arial Black" w:hAnsi="Arial Black"/>
          <w:sz w:val="24"/>
          <w:szCs w:val="24"/>
        </w:rPr>
      </w:pPr>
    </w:p>
    <w:p w14:paraId="3D229831" w14:textId="77777777" w:rsidR="00752531" w:rsidRDefault="00752531" w:rsidP="00752531">
      <w:pPr>
        <w:pStyle w:val="NoSpacing"/>
        <w:rPr>
          <w:rFonts w:ascii="Arial Black" w:hAnsi="Arial Black"/>
          <w:sz w:val="24"/>
          <w:szCs w:val="24"/>
        </w:rPr>
      </w:pPr>
    </w:p>
    <w:p w14:paraId="027546E3" w14:textId="1747EB82" w:rsidR="00752531" w:rsidRPr="00DA5EE8" w:rsidRDefault="00752531" w:rsidP="00752531">
      <w:pPr>
        <w:pStyle w:val="NoSpacing"/>
        <w:rPr>
          <w:rFonts w:ascii="Arial Black" w:hAnsi="Arial Black"/>
          <w:sz w:val="24"/>
          <w:szCs w:val="24"/>
        </w:rPr>
      </w:pPr>
      <w:r w:rsidRPr="00DA5EE8">
        <w:rPr>
          <w:rFonts w:ascii="Arial Black" w:hAnsi="Arial Black"/>
          <w:sz w:val="24"/>
          <w:szCs w:val="24"/>
        </w:rPr>
        <w:t>13-2</w:t>
      </w:r>
      <w:r>
        <w:rPr>
          <w:rFonts w:ascii="Arial Black" w:hAnsi="Arial Black"/>
          <w:sz w:val="24"/>
          <w:szCs w:val="24"/>
        </w:rPr>
        <w:t>6</w:t>
      </w:r>
      <w:r>
        <w:rPr>
          <w:rFonts w:ascii="Arial Black" w:hAnsi="Arial Black"/>
          <w:sz w:val="24"/>
          <w:szCs w:val="24"/>
        </w:rPr>
        <w:t>4</w:t>
      </w:r>
    </w:p>
    <w:p w14:paraId="351EB58E" w14:textId="4C9B721B" w:rsidR="00EB0265" w:rsidRDefault="00EB0265" w:rsidP="00EB0265">
      <w:pPr>
        <w:pStyle w:val="NoSpacing"/>
        <w:rPr>
          <w:sz w:val="20"/>
          <w:szCs w:val="20"/>
        </w:rPr>
      </w:pPr>
      <w:r w:rsidRPr="00F922D6">
        <w:rPr>
          <w:sz w:val="20"/>
          <w:szCs w:val="20"/>
        </w:rPr>
        <w:tab/>
      </w:r>
    </w:p>
    <w:p w14:paraId="7627E21F" w14:textId="77777777" w:rsidR="00EB0265" w:rsidRDefault="00EB0265" w:rsidP="00EB0265">
      <w:pPr>
        <w:pStyle w:val="NoSpacing"/>
      </w:pPr>
    </w:p>
    <w:p w14:paraId="731AC1C9" w14:textId="77777777" w:rsidR="00EB0265" w:rsidRPr="000629C2" w:rsidRDefault="00EB0265" w:rsidP="00EB0265">
      <w:pPr>
        <w:pStyle w:val="NoSpacing"/>
        <w:rPr>
          <w:rFonts w:ascii="Arial Black" w:hAnsi="Arial Black"/>
          <w:sz w:val="28"/>
          <w:szCs w:val="28"/>
        </w:rPr>
      </w:pPr>
      <w:r>
        <w:rPr>
          <w:rFonts w:ascii="Arial Black" w:hAnsi="Arial Black"/>
          <w:sz w:val="28"/>
          <w:szCs w:val="28"/>
        </w:rPr>
        <w:t>TX: AMBUL OUT 02 TRANSP – P’s EXPERT RPT TOSSED</w:t>
      </w:r>
    </w:p>
    <w:p w14:paraId="6489260B" w14:textId="77777777" w:rsidR="00EB0265" w:rsidRDefault="00EB0265" w:rsidP="00EB0265">
      <w:pPr>
        <w:pStyle w:val="NoSpacing"/>
      </w:pPr>
    </w:p>
    <w:p w14:paraId="7C854EBB" w14:textId="77777777" w:rsidR="00EB0265" w:rsidRDefault="00EB0265" w:rsidP="00EB0265">
      <w:pPr>
        <w:pStyle w:val="NoSpacing"/>
      </w:pPr>
      <w:r>
        <w:t xml:space="preserve">On June 25, 2026, in </w:t>
      </w:r>
      <w:r w:rsidRPr="00FB68FB">
        <w:rPr>
          <w:u w:val="single"/>
        </w:rPr>
        <w:t>Chester Powell v. Jimmy Cruz Sanchez</w:t>
      </w:r>
      <w:r>
        <w:t xml:space="preserve">, the </w:t>
      </w:r>
      <w:r w:rsidRPr="00FB68FB">
        <w:t>Court of Appeals of Texas, Thirteenth District, Corpus Christi-Edinburg</w:t>
      </w:r>
      <w:r>
        <w:t xml:space="preserve"> held (3 to 0) that case was properly dismissed; trial court had discretion to either allow or prohibit plaintiff to file new </w:t>
      </w:r>
      <w:proofErr w:type="gramStart"/>
      <w:r>
        <w:t>report</w:t>
      </w:r>
      <w:proofErr w:type="gramEnd"/>
      <w:r>
        <w:t xml:space="preserve"> about EMT duties instead of paramedic duties. The EMT employed by </w:t>
      </w:r>
      <w:r w:rsidRPr="000B25EA">
        <w:t>Sacred Heart EMS</w:t>
      </w:r>
      <w:r>
        <w:t xml:space="preserve"> was driving a patient from </w:t>
      </w:r>
      <w:r w:rsidRPr="00B970BB">
        <w:t>DeTar Hospital in Victoria</w:t>
      </w:r>
      <w:r>
        <w:t>, Texas</w:t>
      </w:r>
      <w:r w:rsidRPr="00B970BB">
        <w:t xml:space="preserve"> to Methodist Hospital in San Antonio. During the transport, the oxygen supply ran out, and the ambulance diverted to the nearest hospital</w:t>
      </w:r>
      <w:r>
        <w:t xml:space="preserve">, where patient was admitted to intensive care. In a TX </w:t>
      </w:r>
      <w:r w:rsidRPr="000629C2">
        <w:t>health care liability case</w:t>
      </w:r>
      <w:r>
        <w:t>, the plaintiff must submit expert report with the lawsuit setting out breach of duty – in this case the MDs report was about paramedic duties.   Trial court dismissed the lawsuit, instead of granting 30 days to for plaintiff to file revised report;  Court of Appeals upheld the dismissal.  The Court wrote: “</w:t>
      </w:r>
      <w:r w:rsidRPr="00AB6B88">
        <w:t>Accordingly, the trial court did not abuse its discretion in granting Cruz's motion to dismiss with prejudice based on an inadequate report.</w:t>
      </w:r>
      <w:r>
        <w:t>”</w:t>
      </w:r>
    </w:p>
    <w:p w14:paraId="212A5ADD" w14:textId="77777777" w:rsidR="00EB0265" w:rsidRPr="003F2723" w:rsidRDefault="00EB0265" w:rsidP="00EB0265">
      <w:pPr>
        <w:pStyle w:val="NoSpacing"/>
        <w:rPr>
          <w:b/>
        </w:rPr>
      </w:pPr>
      <w:hyperlink r:id="rId1963" w:history="1">
        <w:r w:rsidRPr="00014504">
          <w:rPr>
            <w:rStyle w:val="Hyperlink"/>
            <w:b/>
          </w:rPr>
          <w:t>https://public.fastcase.com/Jhe1Qn%2BmJndQYQU6z%2FeNmxd3J8jpmxXxyeidb6WXrTEciJVACoDQGCX04YyoIKQxWs5hBfmCFqjSsPik5w4la1NJYiz6fo5tDOdYnNwjoT0%3D?utm_medium=email&amp;_hsenc=p2ANqtz-9LzrN1R9Pgrlzgu6Bjb006a7Y-7J4xKc7rzHzZp95cTtgFvjhjxyCpE0IXkHF1YdLpVWdu75zDjIRZyumRHM8CB80GGw&amp;_hsmi=226712652&amp;utm_content=226712652&amp;utm_source=hs_email</w:t>
        </w:r>
      </w:hyperlink>
      <w:r>
        <w:rPr>
          <w:b/>
        </w:rPr>
        <w:t xml:space="preserve"> </w:t>
      </w:r>
    </w:p>
    <w:p w14:paraId="70EC9EBB" w14:textId="77777777" w:rsidR="00EB0265" w:rsidRDefault="00EB0265" w:rsidP="00EB0265">
      <w:pPr>
        <w:pStyle w:val="NoSpacing"/>
      </w:pPr>
    </w:p>
    <w:p w14:paraId="409272F4" w14:textId="77777777" w:rsidR="00EB0265" w:rsidRPr="000629C2" w:rsidRDefault="00EB0265" w:rsidP="00EB0265">
      <w:pPr>
        <w:pStyle w:val="NoSpacing"/>
      </w:pPr>
    </w:p>
    <w:p w14:paraId="4D50E0C4" w14:textId="77777777" w:rsidR="00EB0265" w:rsidRDefault="00EB0265" w:rsidP="00EB0265">
      <w:pPr>
        <w:pStyle w:val="NoSpacing"/>
        <w:rPr>
          <w:b/>
          <w:bCs/>
        </w:rPr>
      </w:pPr>
      <w:r w:rsidRPr="00FC1481">
        <w:rPr>
          <w:b/>
        </w:rPr>
        <w:t>FACTS:</w:t>
      </w:r>
    </w:p>
    <w:p w14:paraId="32CBAF26" w14:textId="77777777" w:rsidR="00EB0265" w:rsidRDefault="00EB0265" w:rsidP="00EB0265">
      <w:pPr>
        <w:pStyle w:val="NoSpacing"/>
        <w:rPr>
          <w:b/>
          <w:bCs/>
        </w:rPr>
      </w:pPr>
    </w:p>
    <w:p w14:paraId="4B0B0684" w14:textId="77777777" w:rsidR="00EB0265" w:rsidRDefault="00EB0265" w:rsidP="00EB0265">
      <w:pPr>
        <w:pStyle w:val="NoSpacing"/>
      </w:pPr>
      <w:r>
        <w:t>“</w:t>
      </w:r>
      <w:r w:rsidRPr="00481044">
        <w:t>Powell asserted that he was transported in an ambulance "manned by" Cruz</w:t>
      </w:r>
      <w:r>
        <w:t xml:space="preserve"> [Jimmy Cruz Sanchez] from </w:t>
      </w:r>
      <w:r w:rsidRPr="00481044">
        <w:t xml:space="preserve">DeTar Hospital in Victoria to Methodist Hospital in San Antonio. During the transport, the oxygen supply ran out, and the ambulance diverted to the nearest hospital. Powell was admitted to the Intensive Care Unit, and he was placed on </w:t>
      </w:r>
      <w:r>
        <w:t>‘</w:t>
      </w:r>
      <w:proofErr w:type="spellStart"/>
      <w:r w:rsidRPr="00481044">
        <w:t>veno</w:t>
      </w:r>
      <w:proofErr w:type="spellEnd"/>
      <w:r w:rsidRPr="00481044">
        <w:t>-venous Extra Corporal Membrane Oxygenation</w:t>
      </w:r>
      <w:r>
        <w:t>’</w:t>
      </w:r>
      <w:r w:rsidRPr="00481044">
        <w:t xml:space="preserve"> for eighty-two days and suffered from adult respiratory distress syndrome. Powell stated that he could not recover from this incident and remains on a portable oxygen ventilator. Powell alleged that Cruz's conduct was a proximate cause of his resulting injuries.</w:t>
      </w:r>
    </w:p>
    <w:p w14:paraId="0105DB43" w14:textId="77777777" w:rsidR="00EB0265" w:rsidRDefault="00EB0265" w:rsidP="00EB0265">
      <w:pPr>
        <w:pStyle w:val="NoSpacing"/>
      </w:pPr>
    </w:p>
    <w:p w14:paraId="58B93CA1" w14:textId="77777777" w:rsidR="00EB0265" w:rsidRDefault="00EB0265" w:rsidP="00EB0265">
      <w:pPr>
        <w:pStyle w:val="NoSpacing"/>
      </w:pPr>
      <w:r>
        <w:t>***</w:t>
      </w:r>
    </w:p>
    <w:p w14:paraId="5557DB88" w14:textId="77777777" w:rsidR="00EB0265" w:rsidRDefault="00EB0265" w:rsidP="00EB0265">
      <w:pPr>
        <w:pStyle w:val="NoSpacing"/>
      </w:pPr>
      <w:r w:rsidRPr="005E585F">
        <w:t xml:space="preserve">On September 17, 2024, Cruz objected to the expert report, asserting Dr. Bedolla based his expert report on the roles and duties of a paramedic, which Cruz is not. In his motion, Cruz stated that he is merely an EMT, and he explained the difference between the two roles. Cruz moved to dismiss contending the expert report did not constitute a </w:t>
      </w:r>
      <w:r>
        <w:t>‘</w:t>
      </w:r>
      <w:r w:rsidRPr="005E585F">
        <w:t>good faith</w:t>
      </w:r>
      <w:r>
        <w:t>’</w:t>
      </w:r>
      <w:r w:rsidRPr="005E585F">
        <w:t xml:space="preserve"> effort to comply with section 74.351 because Dr. Bedolla only addressed the standard of care, breach, roles and duties of a paramedic and failed to address the appropriate standard of an EMT.</w:t>
      </w:r>
      <w:r>
        <w:t>”</w:t>
      </w:r>
    </w:p>
    <w:p w14:paraId="268DDD0E" w14:textId="77777777" w:rsidR="00EB0265" w:rsidRDefault="00EB0265" w:rsidP="00EB0265">
      <w:pPr>
        <w:pStyle w:val="NoSpacing"/>
      </w:pPr>
    </w:p>
    <w:p w14:paraId="2B662419" w14:textId="77777777" w:rsidR="00EB0265" w:rsidRDefault="00EB0265" w:rsidP="00EB0265">
      <w:pPr>
        <w:pStyle w:val="NoSpacing"/>
        <w:rPr>
          <w:b/>
          <w:bCs/>
        </w:rPr>
      </w:pPr>
      <w:r w:rsidRPr="005E585F">
        <w:rPr>
          <w:b/>
        </w:rPr>
        <w:t>COURT HELD:</w:t>
      </w:r>
    </w:p>
    <w:p w14:paraId="0883ADE6" w14:textId="77777777" w:rsidR="00EB0265" w:rsidRDefault="00EB0265" w:rsidP="00EB0265">
      <w:pPr>
        <w:pStyle w:val="NoSpacing"/>
        <w:rPr>
          <w:b/>
          <w:bCs/>
        </w:rPr>
      </w:pPr>
    </w:p>
    <w:p w14:paraId="3EB309BA" w14:textId="77777777" w:rsidR="00EB0265" w:rsidRDefault="00EB0265" w:rsidP="00EB0265">
      <w:pPr>
        <w:pStyle w:val="NoSpacing"/>
      </w:pPr>
      <w:r>
        <w:t>“</w:t>
      </w:r>
      <w:r w:rsidRPr="00094EF3">
        <w:t xml:space="preserve">Dr. Bedolla prefaced his expert report with the following: </w:t>
      </w:r>
      <w:r>
        <w:t>‘</w:t>
      </w:r>
      <w:r w:rsidRPr="00094EF3">
        <w:t xml:space="preserve">Thank you for the opportunity to review this case. It is a case of negligence involving EMS transport by </w:t>
      </w:r>
      <w:proofErr w:type="gramStart"/>
      <w:r w:rsidRPr="00094EF3">
        <w:t>Mr. [Cruz],</w:t>
      </w:r>
      <w:proofErr w:type="gramEnd"/>
      <w:r w:rsidRPr="00094EF3">
        <w:t xml:space="preserve"> a paramedic with Sacred Heart EMS.</w:t>
      </w:r>
      <w:r>
        <w:t>’</w:t>
      </w:r>
      <w:r w:rsidRPr="00094EF3">
        <w:t xml:space="preserve"> The report then details a paramedic's duties and roles and further opines how Cruz failed to adhere to a paramedic's standard of care and how he breached that standard.</w:t>
      </w:r>
    </w:p>
    <w:p w14:paraId="7588EEBF" w14:textId="77777777" w:rsidR="00EB0265" w:rsidRDefault="00EB0265" w:rsidP="00EB0265">
      <w:pPr>
        <w:pStyle w:val="NoSpacing"/>
      </w:pPr>
    </w:p>
    <w:p w14:paraId="213C0ED9" w14:textId="77777777" w:rsidR="00EB0265" w:rsidRDefault="00EB0265" w:rsidP="00EB0265">
      <w:pPr>
        <w:pStyle w:val="NoSpacing"/>
      </w:pPr>
      <w:r>
        <w:t>***</w:t>
      </w:r>
    </w:p>
    <w:p w14:paraId="18125F3F" w14:textId="77777777" w:rsidR="00EB0265" w:rsidRPr="00094EF3" w:rsidRDefault="00EB0265" w:rsidP="00EB0265">
      <w:pPr>
        <w:pStyle w:val="NoSpacing"/>
      </w:pPr>
      <w:r w:rsidRPr="0040133C">
        <w:t xml:space="preserve">We recognize that </w:t>
      </w:r>
      <w:r>
        <w:t>‘</w:t>
      </w:r>
      <w:r w:rsidRPr="0040133C">
        <w:t>even when a report is deemed not served because it is deficient, the trial court retains discretion to grant a thirty[-]day extension.</w:t>
      </w:r>
      <w:r>
        <w:t>’</w:t>
      </w:r>
      <w:r w:rsidRPr="0040133C">
        <w:t xml:space="preserve"> </w:t>
      </w:r>
      <w:r w:rsidRPr="0040133C">
        <w:rPr>
          <w:i/>
          <w:iCs/>
        </w:rPr>
        <w:t>Ogletree</w:t>
      </w:r>
      <w:r w:rsidRPr="0040133C">
        <w:t xml:space="preserve">, 262 S.W.3d at 320-321. </w:t>
      </w:r>
      <w:r>
        <w:t>‘</w:t>
      </w:r>
      <w:r w:rsidRPr="0040133C">
        <w:t>Although the distinction between 'no report' and a deficient-but-potentially curable report can be elusive,</w:t>
      </w:r>
      <w:r>
        <w:t>’</w:t>
      </w:r>
      <w:r w:rsidRPr="0040133C">
        <w:t xml:space="preserve"> we conclude that the expert report as to Cruz is "no report," as it does not address an applicable standard of care, such that a dismissal of the actions against him was required without an opportunity to cure the report</w:t>
      </w:r>
      <w:r>
        <w:t xml:space="preserve">…. </w:t>
      </w:r>
      <w:r w:rsidRPr="00AB6B88">
        <w:t>Accordingly, the trial court did not abuse its discretion in granting Cruz's motion to dismiss with prejudice based on an inadequate report. We overrule Powell's issue.</w:t>
      </w:r>
      <w:r>
        <w:t>”</w:t>
      </w:r>
    </w:p>
    <w:p w14:paraId="13DCA125" w14:textId="77777777" w:rsidR="00EB0265" w:rsidRPr="00094EF3" w:rsidRDefault="00EB0265" w:rsidP="00EB0265">
      <w:pPr>
        <w:pStyle w:val="NoSpacing"/>
      </w:pPr>
    </w:p>
    <w:p w14:paraId="121ED732" w14:textId="77777777" w:rsidR="00EB0265" w:rsidRDefault="00EB0265" w:rsidP="00EB0265">
      <w:pPr>
        <w:pStyle w:val="NoSpacing"/>
      </w:pPr>
      <w:r>
        <w:rPr>
          <w:b/>
        </w:rPr>
        <w:t xml:space="preserve">Legal lesson learned: Expert reports are required in healthcare liability cases when case is filed; expert must carefully describe duties that were allegedly breached.  Check your ambulance O2 should be checked every shift and prior to patient </w:t>
      </w:r>
      <w:proofErr w:type="gramStart"/>
      <w:r>
        <w:rPr>
          <w:b/>
        </w:rPr>
        <w:t>transports</w:t>
      </w:r>
      <w:proofErr w:type="gramEnd"/>
      <w:r>
        <w:rPr>
          <w:b/>
        </w:rPr>
        <w:t xml:space="preserve">. </w:t>
      </w:r>
    </w:p>
    <w:p w14:paraId="443248F8" w14:textId="77777777" w:rsidR="00EB0265" w:rsidRDefault="00EB0265" w:rsidP="00EB0265">
      <w:pPr>
        <w:pStyle w:val="NoSpacing"/>
      </w:pPr>
    </w:p>
    <w:p w14:paraId="2343161C" w14:textId="77777777" w:rsidR="00752531" w:rsidRDefault="00752531" w:rsidP="00752531">
      <w:pPr>
        <w:pStyle w:val="NoSpacing"/>
        <w:rPr>
          <w:rFonts w:ascii="Arial Black" w:hAnsi="Arial Black"/>
          <w:sz w:val="24"/>
          <w:szCs w:val="24"/>
        </w:rPr>
      </w:pPr>
    </w:p>
    <w:p w14:paraId="5AF079AC" w14:textId="58ED50D6" w:rsidR="00752531" w:rsidRPr="00DA5EE8" w:rsidRDefault="00752531" w:rsidP="00752531">
      <w:pPr>
        <w:pStyle w:val="NoSpacing"/>
        <w:rPr>
          <w:rFonts w:ascii="Arial Black" w:hAnsi="Arial Black"/>
          <w:sz w:val="24"/>
          <w:szCs w:val="24"/>
        </w:rPr>
      </w:pPr>
      <w:r w:rsidRPr="00DA5EE8">
        <w:rPr>
          <w:rFonts w:ascii="Arial Black" w:hAnsi="Arial Black"/>
          <w:sz w:val="24"/>
          <w:szCs w:val="24"/>
        </w:rPr>
        <w:t>13-2</w:t>
      </w:r>
      <w:r>
        <w:rPr>
          <w:rFonts w:ascii="Arial Black" w:hAnsi="Arial Black"/>
          <w:sz w:val="24"/>
          <w:szCs w:val="24"/>
        </w:rPr>
        <w:t>6</w:t>
      </w:r>
      <w:r>
        <w:rPr>
          <w:rFonts w:ascii="Arial Black" w:hAnsi="Arial Black"/>
          <w:sz w:val="24"/>
          <w:szCs w:val="24"/>
        </w:rPr>
        <w:t>3</w:t>
      </w:r>
    </w:p>
    <w:p w14:paraId="309980DE" w14:textId="77777777" w:rsidR="00EB0265" w:rsidRDefault="00EB0265" w:rsidP="00EB0265">
      <w:pPr>
        <w:pStyle w:val="NoSpacing"/>
      </w:pPr>
    </w:p>
    <w:p w14:paraId="0BF1A383" w14:textId="77777777" w:rsidR="00EB0265" w:rsidRPr="00F7747C" w:rsidRDefault="00EB0265" w:rsidP="00EB0265">
      <w:pPr>
        <w:rPr>
          <w:rFonts w:ascii="Arial Black" w:hAnsi="Arial Black"/>
          <w:b/>
          <w:bCs/>
          <w:sz w:val="28"/>
          <w:szCs w:val="28"/>
        </w:rPr>
      </w:pPr>
      <w:r>
        <w:rPr>
          <w:rFonts w:ascii="Arial Black" w:hAnsi="Arial Black"/>
          <w:b/>
          <w:sz w:val="28"/>
          <w:szCs w:val="28"/>
        </w:rPr>
        <w:t>IL: COVID-19 – RELIGION – CITY PROH. FETUS CELL MEDS</w:t>
      </w:r>
    </w:p>
    <w:p w14:paraId="501A8A6B" w14:textId="77777777" w:rsidR="00EB0265" w:rsidRDefault="00EB0265" w:rsidP="00EB0265">
      <w:pPr>
        <w:pStyle w:val="NoSpacing"/>
      </w:pPr>
      <w:r>
        <w:t xml:space="preserve">On June 22, 2026, in </w:t>
      </w:r>
      <w:r w:rsidRPr="00FF6D9F">
        <w:rPr>
          <w:u w:val="single"/>
        </w:rPr>
        <w:t>Robert Morris v. The City of Chicago</w:t>
      </w:r>
      <w:r>
        <w:t xml:space="preserve">, U.S. District Court Judge </w:t>
      </w:r>
      <w:r w:rsidRPr="00A22E52">
        <w:t xml:space="preserve">Joan H. </w:t>
      </w:r>
      <w:proofErr w:type="spellStart"/>
      <w:r w:rsidRPr="00A22E52">
        <w:t>Lefkow</w:t>
      </w:r>
      <w:proofErr w:type="spellEnd"/>
      <w:r>
        <w:t xml:space="preserve">, </w:t>
      </w:r>
      <w:r w:rsidRPr="00A22E52">
        <w:t>United States District Court, Northern District of Illinois, Eastern Division</w:t>
      </w:r>
      <w:r>
        <w:t xml:space="preserve">, held that the fighter’s claim of religious discrimination may proceed – during COVID-19 vaccination period only firefighters seeking religious discrimination were required to sign a form certifying they would forgo certain medications that city claims </w:t>
      </w:r>
      <w:r w:rsidRPr="00E51E4E">
        <w:t>were developed using cells obtained from aborted fetuses.</w:t>
      </w:r>
      <w:r>
        <w:t xml:space="preserve"> The Court wrote: “</w:t>
      </w:r>
      <w:r w:rsidRPr="00551616">
        <w:t>Further, Morris alleges that no parallel requirement existed for individuals requesting non-religious accommodations—only those, like him, who opposed the use of fetal cell lines in the development of vaccines on religious grounds.</w:t>
      </w:r>
      <w:r>
        <w:t>”</w:t>
      </w:r>
    </w:p>
    <w:p w14:paraId="253CFCB2" w14:textId="77777777" w:rsidR="00EB0265" w:rsidRDefault="00EB0265" w:rsidP="00EB0265">
      <w:pPr>
        <w:pStyle w:val="NoSpacing"/>
      </w:pPr>
      <w:hyperlink r:id="rId1964" w:history="1">
        <w:r w:rsidRPr="001B1815">
          <w:rPr>
            <w:rStyle w:val="Hyperlink"/>
          </w:rPr>
          <w:t>https://public.fastcase.com/Jhe1Qn%2BmJndQYQU6z%2FeNm00La4tSCrrnQj5Y3npvm8fdoq4TeulewGlEW3bFFA7N?utm_medium=email&amp;_hsenc=p2ANqtz-8ThEk2xAXh6kES_woWZ5vNzcOTlPOgA5SAfsmD2YLCJ8ZqGGe3eNs5iYP9SOCvDgMCA2VIbcxNqC2sINqsn3X7XvkFGA&amp;_hsmi=226712652&amp;utm_content=226712652&amp;utm_source=hs_email</w:t>
        </w:r>
      </w:hyperlink>
      <w:r>
        <w:t xml:space="preserve"> </w:t>
      </w:r>
    </w:p>
    <w:p w14:paraId="2FB6F9A1" w14:textId="77777777" w:rsidR="00EB0265" w:rsidRDefault="00EB0265" w:rsidP="00EB0265">
      <w:pPr>
        <w:rPr>
          <w:bCs/>
        </w:rPr>
      </w:pPr>
    </w:p>
    <w:p w14:paraId="19935B79" w14:textId="77777777" w:rsidR="00EB0265" w:rsidRDefault="00EB0265" w:rsidP="00EB0265">
      <w:pPr>
        <w:rPr>
          <w:bCs/>
        </w:rPr>
      </w:pPr>
      <w:r w:rsidRPr="00F26F6D">
        <w:rPr>
          <w:b/>
        </w:rPr>
        <w:t>FACTS:</w:t>
      </w:r>
      <w:r>
        <w:t xml:space="preserve"> </w:t>
      </w:r>
    </w:p>
    <w:p w14:paraId="4528FD75" w14:textId="77777777" w:rsidR="00EB0265" w:rsidRDefault="00EB0265" w:rsidP="00EB0265">
      <w:r>
        <w:t>“</w:t>
      </w:r>
      <w:r w:rsidRPr="003E0DC7">
        <w:t xml:space="preserve">In August 2021, the City implemented a COVID-19 vaccination policy that required its employees to be vaccinated against the COVID-19 virus. Morris, a firefighter for the </w:t>
      </w:r>
      <w:proofErr w:type="gramStart"/>
      <w:r w:rsidRPr="003E0DC7">
        <w:t>City</w:t>
      </w:r>
      <w:proofErr w:type="gramEnd"/>
      <w:r w:rsidRPr="003E0DC7">
        <w:t xml:space="preserve"> and a devout Catholic deacon, refused to take the COVID-19 vaccine due to his religious beliefs. Morris opposes, on religious grounds, the use of vaccines derived from fetal cell lines. So, on October 13, 2021, he submitted a religious accommodation request, seeking an exemption from the COVID-19 vaccine requirement. His request included a multi-page explanation of his </w:t>
      </w:r>
      <w:r>
        <w:t xml:space="preserve"> </w:t>
      </w:r>
      <w:r w:rsidRPr="003E0DC7">
        <w:t>religious beliefs that addressed each of the questions outlined in the City's form. He had, however, deliberately omitted from the request the signature of a spiritual advisor, since he believed that requiring such a signature was unnecessary and illegal. As a Catholic deacon, he deemed his signature to be sufficient</w:t>
      </w:r>
      <w:r>
        <w:t xml:space="preserve">…. </w:t>
      </w:r>
      <w:r w:rsidRPr="00AF6F9F">
        <w:t xml:space="preserve">Eventually, on January 26, 2022, Morris signed the Attestation Form, since he feared repercussions from the </w:t>
      </w:r>
      <w:proofErr w:type="gramStart"/>
      <w:r w:rsidRPr="00AF6F9F">
        <w:t>City</w:t>
      </w:r>
      <w:proofErr w:type="gramEnd"/>
      <w:r w:rsidRPr="00AF6F9F">
        <w:t xml:space="preserve"> if he refused to do so. One day later, the </w:t>
      </w:r>
      <w:proofErr w:type="gramStart"/>
      <w:r w:rsidRPr="00AF6F9F">
        <w:t>City</w:t>
      </w:r>
      <w:proofErr w:type="gramEnd"/>
      <w:r w:rsidRPr="00AF6F9F">
        <w:t xml:space="preserve"> granted his accommodations request</w:t>
      </w:r>
      <w:r>
        <w:t xml:space="preserve">…. </w:t>
      </w:r>
      <w:r w:rsidRPr="00F7747C">
        <w:t xml:space="preserve">The City also introduced additional requirements for Morris to seek an exemption, including a new condition that he </w:t>
      </w:r>
      <w:proofErr w:type="gramStart"/>
      <w:r w:rsidRPr="00F7747C">
        <w:t>sign</w:t>
      </w:r>
      <w:proofErr w:type="gramEnd"/>
      <w:r w:rsidRPr="00F7747C">
        <w:t xml:space="preserve"> a medication follow-up attestation (the Attestation Form), which required Morris to agree that he would forgo using certain medications. Individuals who sought medical exemptions were not required to sign the Attestation Form or a comparable form. Only individuals seeking a religious exemption were required to sign this form.</w:t>
      </w:r>
      <w:r>
        <w:t>”</w:t>
      </w:r>
    </w:p>
    <w:p w14:paraId="50905CCD" w14:textId="77777777" w:rsidR="00EB0265" w:rsidRDefault="00EB0265" w:rsidP="00EB0265">
      <w:pPr>
        <w:pStyle w:val="NoSpacing"/>
      </w:pPr>
    </w:p>
    <w:p w14:paraId="4D450282" w14:textId="77777777" w:rsidR="00EB0265" w:rsidRDefault="00EB0265" w:rsidP="00EB0265">
      <w:pPr>
        <w:pStyle w:val="NoSpacing"/>
        <w:rPr>
          <w:b/>
          <w:bCs/>
        </w:rPr>
      </w:pPr>
      <w:r w:rsidRPr="00F26F6D">
        <w:rPr>
          <w:b/>
        </w:rPr>
        <w:t>COURT HELD:</w:t>
      </w:r>
    </w:p>
    <w:p w14:paraId="6B7E0D7D" w14:textId="77777777" w:rsidR="00EB0265" w:rsidRDefault="00EB0265" w:rsidP="00EB0265">
      <w:pPr>
        <w:pStyle w:val="NoSpacing"/>
      </w:pPr>
    </w:p>
    <w:p w14:paraId="5DD87390" w14:textId="77777777" w:rsidR="00EB0265" w:rsidRPr="00551616" w:rsidRDefault="00EB0265" w:rsidP="00EB0265">
      <w:pPr>
        <w:pStyle w:val="NoSpacing"/>
      </w:pPr>
      <w:r>
        <w:t xml:space="preserve"> </w:t>
      </w:r>
      <w:r w:rsidRPr="009E2CCD">
        <w:t>“Religious Discrimination (Count II)….</w:t>
      </w:r>
      <w:r>
        <w:t xml:space="preserve"> </w:t>
      </w:r>
      <w:r w:rsidRPr="008A0C1C">
        <w:t xml:space="preserve">Moreover, following the Supreme Court's decision in Muldrow v. City of St. Louis, Missouri, </w:t>
      </w:r>
      <w:proofErr w:type="gramStart"/>
      <w:r w:rsidRPr="008A0C1C">
        <w:t>it is clear that a</w:t>
      </w:r>
      <w:proofErr w:type="gramEnd"/>
      <w:r w:rsidRPr="008A0C1C">
        <w:t xml:space="preserve"> relatively minor adverse action suffices for pleading a Title VII disparate treatment claim: A plaintiff need only allege “some harm respecting an identifiable term or condition of employment.” 601 U.S. 346, 355 (2024) (emphasis added). There is no need to allege that the harm a plaintiff suffered is “serious, or substantial, or any similar adjective” for a such a claim to be well-pleaded. Id</w:t>
      </w:r>
      <w:r>
        <w:t xml:space="preserve">…. </w:t>
      </w:r>
      <w:r w:rsidRPr="00551616">
        <w:t xml:space="preserve">Morris has met the low threshold requirements for pleading disparate treatment and religious discrimination. The City argues that Morris has failed to allege an adverse action, but Morris alleges that as a precondition for receiving his vaccine exemption, the City required him to complete the Attestation Form, which prohibited him from taking a range of common medications or potentially face discipline. Since many of these were </w:t>
      </w:r>
      <w:proofErr w:type="gramStart"/>
      <w:r w:rsidRPr="00551616">
        <w:t>medications</w:t>
      </w:r>
      <w:proofErr w:type="gramEnd"/>
      <w:r w:rsidRPr="00551616">
        <w:t xml:space="preserve"> he did not have any religious opposition to, this not only changed the terms and conditions of Morris's employment but also required him to misrepresent his religious views </w:t>
      </w:r>
      <w:proofErr w:type="gramStart"/>
      <w:r w:rsidRPr="00551616">
        <w:t>in order to</w:t>
      </w:r>
      <w:proofErr w:type="gramEnd"/>
      <w:r w:rsidRPr="00551616">
        <w:t xml:space="preserve"> be exempt from the City's vaccination requirement. Accordingly, Morris has shown at least </w:t>
      </w:r>
      <w:r>
        <w:t>‘</w:t>
      </w:r>
      <w:r w:rsidRPr="00551616">
        <w:t>some harm</w:t>
      </w:r>
      <w:r>
        <w:t>’</w:t>
      </w:r>
      <w:r w:rsidRPr="00551616">
        <w:t xml:space="preserve"> for purposes of stating an adverse action. </w:t>
      </w:r>
      <w:r w:rsidRPr="00551616">
        <w:rPr>
          <w:i/>
          <w:iCs/>
        </w:rPr>
        <w:t>Muldrow</w:t>
      </w:r>
      <w:r w:rsidRPr="00551616">
        <w:t xml:space="preserve">, 601 U.S. at 355. Further, Morris alleges that no parallel requirement existed for individuals requesting non-religious accommodations—only </w:t>
      </w:r>
    </w:p>
    <w:p w14:paraId="53D63E97" w14:textId="77777777" w:rsidR="00EB0265" w:rsidRDefault="00EB0265" w:rsidP="00EB0265">
      <w:pPr>
        <w:pStyle w:val="NoSpacing"/>
      </w:pPr>
      <w:r w:rsidRPr="00551616">
        <w:t>those, like him, who opposed the use of fetal cell lines in the development of vaccines on religious grounds. In other words, Morris alleges that the changes to the terms and conditions of his employment were made on account of his religious beliefs. Under Title VII's generous pleading standards for disparate treatment claims, this is sufficient.</w:t>
      </w:r>
      <w:r>
        <w:t xml:space="preserve">”  </w:t>
      </w:r>
    </w:p>
    <w:p w14:paraId="5D2C1A8B" w14:textId="77777777" w:rsidR="00EB0265" w:rsidRDefault="00EB0265" w:rsidP="00EB0265">
      <w:pPr>
        <w:pStyle w:val="NoSpacing"/>
      </w:pPr>
    </w:p>
    <w:p w14:paraId="000331B9" w14:textId="77777777" w:rsidR="00EB0265" w:rsidRPr="003209C4" w:rsidRDefault="00EB0265" w:rsidP="00EB0265">
      <w:pPr>
        <w:pStyle w:val="NoSpacing"/>
        <w:rPr>
          <w:b/>
          <w:bCs/>
        </w:rPr>
      </w:pPr>
      <w:r>
        <w:rPr>
          <w:b/>
        </w:rPr>
        <w:t xml:space="preserve">Legal lesson learned: To avoid religious discrimination lawsuits, do not impose unique requirements on only those firefighters seeking religious accommodations. </w:t>
      </w:r>
    </w:p>
    <w:p w14:paraId="159736EA" w14:textId="77777777" w:rsidR="00EB0265" w:rsidRPr="008A0C1C" w:rsidRDefault="00EB0265" w:rsidP="00EB0265">
      <w:pPr>
        <w:pStyle w:val="NoSpacing"/>
      </w:pPr>
    </w:p>
    <w:p w14:paraId="65226508" w14:textId="77777777" w:rsidR="00EB0265" w:rsidRPr="008A0C1C" w:rsidRDefault="00EB0265" w:rsidP="00EB0265">
      <w:pPr>
        <w:pStyle w:val="NoSpacing"/>
      </w:pPr>
      <w:r>
        <w:tab/>
        <w:t xml:space="preserve">Note: See this Feb. 19, </w:t>
      </w:r>
      <w:proofErr w:type="gramStart"/>
      <w:r>
        <w:t>2024</w:t>
      </w:r>
      <w:proofErr w:type="gramEnd"/>
      <w:r>
        <w:t xml:space="preserve"> article:</w:t>
      </w:r>
    </w:p>
    <w:p w14:paraId="738ACA25" w14:textId="77777777" w:rsidR="00EB0265" w:rsidRDefault="00EB0265" w:rsidP="00EB0265">
      <w:pPr>
        <w:pStyle w:val="NoSpacing"/>
        <w:ind w:left="720"/>
        <w:rPr>
          <w:bCs/>
        </w:rPr>
      </w:pPr>
      <w:r w:rsidRPr="009D4AD6">
        <w:t>“Chicago firefighter says city forced him to refuse all other meds before granting Covid vax religious exemption</w:t>
      </w:r>
      <w:r w:rsidRPr="00024DD4">
        <w:t>. A Chicago firefighter has filed suit against the city, claiming his rights were violated when the city of Chicago forced him to sign a form agreeing not to take even the most basic of medications before granting him a religious exemption from the city's Covid vaccine mandate.</w:t>
      </w:r>
      <w:r>
        <w:t xml:space="preserve"> </w:t>
      </w:r>
      <w:hyperlink r:id="rId1965" w:history="1">
        <w:r w:rsidRPr="00D079ED">
          <w:rPr>
            <w:rStyle w:val="Hyperlink"/>
            <w:color w:val="auto"/>
            <w:u w:val="none"/>
          </w:rPr>
          <w:t>On Feb. 5, plaintiff Daniel Baumgartner filed suit in Chicago federal court against the city, accusing the city of religious discrimination.</w:t>
        </w:r>
      </w:hyperlink>
      <w:r>
        <w:t xml:space="preserve">... </w:t>
      </w:r>
      <w:r w:rsidRPr="00E51E4E">
        <w:t xml:space="preserve">The lawsuit asserts the form would all but bar Baumgartner from taking even basic over the counter medications, including Benadryl, ibuprofen and aspirin, because the city claims </w:t>
      </w:r>
      <w:proofErr w:type="gramStart"/>
      <w:r w:rsidRPr="00E51E4E">
        <w:t>all of</w:t>
      </w:r>
      <w:proofErr w:type="gramEnd"/>
      <w:r w:rsidRPr="00E51E4E">
        <w:t xml:space="preserve"> those medications were developed using cells obtained from aborted fetuses. Baumgartner's complaint asserts the forms are </w:t>
      </w:r>
      <w:r>
        <w:t>‘</w:t>
      </w:r>
      <w:r w:rsidRPr="00E51E4E">
        <w:t>riddled with inaccurate and flatly erroneous information about the listed medications and their connections to fetal cells.</w:t>
      </w:r>
      <w:r>
        <w:t>’”</w:t>
      </w:r>
    </w:p>
    <w:p w14:paraId="2E79D4B2" w14:textId="77777777" w:rsidR="00EB0265" w:rsidRPr="00D079ED" w:rsidRDefault="00EB0265" w:rsidP="00EB0265">
      <w:pPr>
        <w:pStyle w:val="NoSpacing"/>
        <w:ind w:left="720"/>
        <w:rPr>
          <w:bCs/>
        </w:rPr>
      </w:pPr>
      <w:hyperlink r:id="rId1966" w:history="1">
        <w:r w:rsidRPr="001B1815">
          <w:rPr>
            <w:rStyle w:val="Hyperlink"/>
          </w:rPr>
          <w:t>https://www.legalnewsline.com/cook-county-record/chicago-firefighter-says-city-forced-him-to-refuse-all-other-meds-before-granting-covid-vax/article_68ad87a4-9b1a-50d4-8779-f38508fd4aad.html</w:t>
        </w:r>
      </w:hyperlink>
      <w:r>
        <w:t xml:space="preserve"> </w:t>
      </w:r>
    </w:p>
    <w:p w14:paraId="12E16FD5" w14:textId="77777777" w:rsidR="00EB0265" w:rsidRDefault="00EB0265" w:rsidP="00EB0265">
      <w:pPr>
        <w:pStyle w:val="NoSpacing"/>
        <w:rPr>
          <w:b/>
        </w:rPr>
      </w:pPr>
    </w:p>
    <w:p w14:paraId="6D8BF693" w14:textId="77777777" w:rsidR="00EB0265" w:rsidRDefault="00EB0265" w:rsidP="00EB0265">
      <w:pPr>
        <w:pStyle w:val="NoSpacing"/>
        <w:rPr>
          <w:b/>
        </w:rPr>
      </w:pPr>
    </w:p>
    <w:p w14:paraId="1A3A062C" w14:textId="05A5978F" w:rsidR="007A053D" w:rsidRDefault="007A053D" w:rsidP="007A053D">
      <w:pPr>
        <w:pStyle w:val="NoSpacing"/>
        <w:rPr>
          <w:rFonts w:ascii="Arial Black" w:hAnsi="Arial Black"/>
          <w:sz w:val="24"/>
          <w:szCs w:val="24"/>
        </w:rPr>
      </w:pPr>
      <w:r w:rsidRPr="00DA5EE8">
        <w:rPr>
          <w:rFonts w:ascii="Arial Black" w:hAnsi="Arial Black"/>
          <w:sz w:val="24"/>
          <w:szCs w:val="24"/>
        </w:rPr>
        <w:t>13-2</w:t>
      </w:r>
      <w:r>
        <w:rPr>
          <w:rFonts w:ascii="Arial Black" w:hAnsi="Arial Black"/>
          <w:sz w:val="24"/>
          <w:szCs w:val="24"/>
        </w:rPr>
        <w:t>6</w:t>
      </w:r>
      <w:r>
        <w:rPr>
          <w:rFonts w:ascii="Arial Black" w:hAnsi="Arial Black"/>
          <w:sz w:val="24"/>
          <w:szCs w:val="24"/>
        </w:rPr>
        <w:t>2</w:t>
      </w:r>
    </w:p>
    <w:p w14:paraId="68471CAF" w14:textId="77777777" w:rsidR="00752531" w:rsidRDefault="00752531" w:rsidP="00EB0265">
      <w:pPr>
        <w:rPr>
          <w:rFonts w:ascii="Arial Black" w:hAnsi="Arial Black"/>
          <w:b/>
          <w:sz w:val="28"/>
          <w:szCs w:val="28"/>
        </w:rPr>
      </w:pPr>
    </w:p>
    <w:p w14:paraId="1E9F49A1" w14:textId="410141D3" w:rsidR="00EB0265" w:rsidRPr="00C26528" w:rsidRDefault="00EB0265" w:rsidP="00EB0265">
      <w:pPr>
        <w:rPr>
          <w:rFonts w:ascii="Arial Black" w:hAnsi="Arial Black"/>
          <w:b/>
          <w:sz w:val="28"/>
          <w:szCs w:val="28"/>
        </w:rPr>
      </w:pPr>
      <w:r>
        <w:rPr>
          <w:rFonts w:ascii="Arial Black" w:hAnsi="Arial Black"/>
          <w:b/>
          <w:sz w:val="28"/>
          <w:szCs w:val="28"/>
        </w:rPr>
        <w:t>CO: MEDIC – CONV. REV. KETAMINE DEATH – NEW TRIAL</w:t>
      </w:r>
    </w:p>
    <w:p w14:paraId="5FD8780F" w14:textId="77777777" w:rsidR="00EB0265" w:rsidRDefault="00EB0265" w:rsidP="00EB0265">
      <w:pPr>
        <w:rPr>
          <w:b/>
        </w:rPr>
      </w:pPr>
      <w:r>
        <w:t xml:space="preserve">On June 4. 2026, in </w:t>
      </w:r>
      <w:r w:rsidRPr="00C94F16">
        <w:rPr>
          <w:u w:val="single"/>
        </w:rPr>
        <w:t>The People of the State of Colorado v. Jeremy Cooper</w:t>
      </w:r>
      <w:r>
        <w:t xml:space="preserve">, the </w:t>
      </w:r>
      <w:r w:rsidRPr="004E2276">
        <w:t>Court of Appeals of Colorado, First Division</w:t>
      </w:r>
      <w:r>
        <w:t xml:space="preserve"> held (3 to 0) that the trial court judge gave jury an improperly jury instruction on when a medic could be guilty of “criminally negligent homicide.”  The trial judge should have instructed the jury in 2023 trial that a paramedic </w:t>
      </w:r>
      <w:proofErr w:type="spellStart"/>
      <w:r>
        <w:t>isonly</w:t>
      </w:r>
      <w:proofErr w:type="spellEnd"/>
      <w:r>
        <w:t xml:space="preserve">  </w:t>
      </w:r>
      <w:r w:rsidRPr="0086124D">
        <w:t xml:space="preserve">guilty of </w:t>
      </w:r>
      <w:r>
        <w:t>“</w:t>
      </w:r>
      <w:r w:rsidRPr="0086124D">
        <w:t>criminally negligent homicide</w:t>
      </w:r>
      <w:r>
        <w:t xml:space="preserve">” only when his conduct in 2019 was a gross violation of the protocols to be followed by a reasonable medic in that community.  </w:t>
      </w:r>
      <w:proofErr w:type="gramStart"/>
      <w:r>
        <w:t>The Court wrote: The</w:t>
      </w:r>
      <w:proofErr w:type="gramEnd"/>
      <w:r>
        <w:t xml:space="preserve"> Court wrote: “</w:t>
      </w:r>
      <w:r w:rsidRPr="00F572CB">
        <w:t xml:space="preserve">A person acts 'with criminal negligence' when, through a gross deviation from the standard of care that a </w:t>
      </w:r>
      <w:r w:rsidRPr="00F572CB">
        <w:rPr>
          <w:i/>
          <w:iCs/>
        </w:rPr>
        <w:t xml:space="preserve">reasonable paramedic in Aurora, </w:t>
      </w:r>
      <w:proofErr w:type="gramStart"/>
      <w:r w:rsidRPr="00F572CB">
        <w:rPr>
          <w:i/>
          <w:iCs/>
        </w:rPr>
        <w:t>Colorado</w:t>
      </w:r>
      <w:r w:rsidRPr="00F572CB">
        <w:t xml:space="preserve"> would exercise in the same circumstance</w:t>
      </w:r>
      <w:proofErr w:type="gramEnd"/>
      <w:r w:rsidRPr="00F572CB">
        <w:t>, he fails to perceive a substantial and unjustifiable risk that a result will occur or that a circumstance exists.</w:t>
      </w:r>
      <w:r>
        <w:t xml:space="preserve">’ </w:t>
      </w:r>
      <w:hyperlink r:id="rId1967" w:history="1">
        <w:r w:rsidRPr="00971037">
          <w:rPr>
            <w:rStyle w:val="Hyperlink"/>
          </w:rPr>
          <w:t>https://www.coloradojudicial.gov/system/files/opinions-2026-06/24CA1002.pdf</w:t>
        </w:r>
      </w:hyperlink>
      <w:r>
        <w:t xml:space="preserve"> </w:t>
      </w:r>
    </w:p>
    <w:p w14:paraId="0E82B7BC" w14:textId="77777777" w:rsidR="00EB0265" w:rsidRDefault="00EB0265" w:rsidP="00EB0265">
      <w:pPr>
        <w:rPr>
          <w:b/>
        </w:rPr>
      </w:pPr>
      <w:r>
        <w:rPr>
          <w:b/>
        </w:rPr>
        <w:t>FACTS:</w:t>
      </w:r>
    </w:p>
    <w:p w14:paraId="47CF6A6F" w14:textId="77777777" w:rsidR="00EB0265" w:rsidRDefault="00EB0265" w:rsidP="00EB0265">
      <w:pPr>
        <w:pStyle w:val="NoSpacing"/>
      </w:pPr>
      <w:r>
        <w:t>“</w:t>
      </w:r>
      <w:r w:rsidRPr="005C2B80">
        <w:t xml:space="preserve">This case arises out of the tragic death of Elijah McClain following an interaction with Aurora police officers and fire rescue paramedics. Defendant, Jeremy Cooper, is the paramedic who injected Mr. McClain with ketamine, which, the People contend, contributed to his death. Cooper appeals the district court's judgment of conviction entered on a jury's verdict finding him guilty of criminally negligent homicide. We conclude that the district court erred by failing to properly instruct the jury on the standard of care applicable to the criminally negligent homicide charge and that the error wasn't harmless. Accordingly, we reverse the judgment and </w:t>
      </w:r>
      <w:proofErr w:type="gramStart"/>
      <w:r w:rsidRPr="005C2B80">
        <w:t>remand</w:t>
      </w:r>
      <w:proofErr w:type="gramEnd"/>
      <w:r w:rsidRPr="005C2B80">
        <w:t xml:space="preserve"> the case for a new trial.</w:t>
      </w:r>
    </w:p>
    <w:p w14:paraId="7B32F492" w14:textId="77777777" w:rsidR="00EB0265" w:rsidRDefault="00EB0265" w:rsidP="00EB0265">
      <w:pPr>
        <w:pStyle w:val="NoSpacing"/>
      </w:pPr>
    </w:p>
    <w:p w14:paraId="6CDD737B" w14:textId="77777777" w:rsidR="00EB0265" w:rsidRDefault="00EB0265" w:rsidP="00EB0265">
      <w:pPr>
        <w:pStyle w:val="NoSpacing"/>
      </w:pPr>
      <w:r>
        <w:t>***</w:t>
      </w:r>
    </w:p>
    <w:p w14:paraId="06A42C00" w14:textId="77777777" w:rsidR="00EB0265" w:rsidRPr="00B97DA4" w:rsidRDefault="00EB0265" w:rsidP="00EB0265">
      <w:pPr>
        <w:pStyle w:val="NoSpacing"/>
      </w:pPr>
      <w:r w:rsidRPr="00B97DA4">
        <w:t xml:space="preserve">One summer evening, Mr. McClain walked to a convenience store and bought a few cans of iced tea. The store's security </w:t>
      </w:r>
      <w:proofErr w:type="gramStart"/>
      <w:r w:rsidRPr="00B97DA4">
        <w:t>cameras</w:t>
      </w:r>
      <w:proofErr w:type="gramEnd"/>
      <w:r w:rsidRPr="00B97DA4">
        <w:t xml:space="preserve"> showed him wearing a black ski mask and headphones, paying for his tea, and dancing with his arms raised in the parking lot. </w:t>
      </w:r>
    </w:p>
    <w:p w14:paraId="6338A848" w14:textId="77777777" w:rsidR="00EB0265" w:rsidRDefault="00EB0265" w:rsidP="00EB0265">
      <w:pPr>
        <w:pStyle w:val="NoSpacing"/>
      </w:pPr>
    </w:p>
    <w:p w14:paraId="0F9CB969" w14:textId="77777777" w:rsidR="00EB0265" w:rsidRPr="00B97DA4" w:rsidRDefault="00EB0265" w:rsidP="00EB0265">
      <w:pPr>
        <w:pStyle w:val="NoSpacing"/>
      </w:pPr>
      <w:r w:rsidRPr="00B97DA4">
        <w:t xml:space="preserve">Soon after Mr. McClain left the store, a 911 caller reported a "sketchy" looking black male </w:t>
      </w:r>
      <w:r>
        <w:t>‘</w:t>
      </w:r>
      <w:r w:rsidRPr="00B97DA4">
        <w:t>walking fast</w:t>
      </w:r>
      <w:r>
        <w:t>’</w:t>
      </w:r>
      <w:r w:rsidRPr="00B97DA4">
        <w:t xml:space="preserve"> down the street wearing a black ski mask and "moving his arms." </w:t>
      </w:r>
    </w:p>
    <w:p w14:paraId="0A81B02A" w14:textId="77777777" w:rsidR="00EB0265" w:rsidRPr="00B97DA4" w:rsidRDefault="00EB0265" w:rsidP="00EB0265">
      <w:pPr>
        <w:pStyle w:val="NoSpacing"/>
      </w:pPr>
    </w:p>
    <w:p w14:paraId="2C4FE585" w14:textId="77777777" w:rsidR="00EB0265" w:rsidRPr="00B97DA4" w:rsidRDefault="00EB0265" w:rsidP="00EB0265">
      <w:pPr>
        <w:pStyle w:val="NoSpacing"/>
      </w:pPr>
      <w:r w:rsidRPr="00B97DA4">
        <w:t xml:space="preserve">Aurora police officers saw Mr. McClain. Police body-worn cameras recorded the interaction. When the officers asked Mr. McClain to stop, he said he had a right to walk where he was going and continued walking. Three officers then tried to physically restrain Mr. McClain. One repeatedly told him to </w:t>
      </w:r>
      <w:r>
        <w:t>‘</w:t>
      </w:r>
      <w:r w:rsidRPr="00B97DA4">
        <w:t>stop tensing up,</w:t>
      </w:r>
      <w:r>
        <w:t>’</w:t>
      </w:r>
      <w:r w:rsidRPr="00B97DA4">
        <w:t xml:space="preserve"> and one told him to </w:t>
      </w:r>
      <w:r>
        <w:t>‘</w:t>
      </w:r>
      <w:r w:rsidRPr="00B97DA4">
        <w:t>relax or I'm going to have to change this situation.</w:t>
      </w:r>
      <w:r>
        <w:t>’</w:t>
      </w:r>
      <w:r w:rsidRPr="00B97DA4">
        <w:t xml:space="preserve"> Mr. McClain objected to being stopped, and the officers began to struggle with him. </w:t>
      </w:r>
    </w:p>
    <w:p w14:paraId="1024E3E1" w14:textId="77777777" w:rsidR="00EB0265" w:rsidRDefault="00EB0265" w:rsidP="00EB0265">
      <w:pPr>
        <w:pStyle w:val="NoSpacing"/>
      </w:pPr>
      <w:r w:rsidRPr="00B97DA4">
        <w:t>        </w:t>
      </w:r>
    </w:p>
    <w:p w14:paraId="7246E9EE" w14:textId="77777777" w:rsidR="00EB0265" w:rsidRPr="00B97DA4" w:rsidRDefault="00EB0265" w:rsidP="00EB0265">
      <w:pPr>
        <w:pStyle w:val="NoSpacing"/>
      </w:pPr>
      <w:r w:rsidRPr="00B97DA4">
        <w:t xml:space="preserve"> As the officers continued to struggle with Mr. McClain, one of them said, </w:t>
      </w:r>
      <w:r>
        <w:t>‘</w:t>
      </w:r>
      <w:r w:rsidRPr="00B97DA4">
        <w:t>He just grabbed your gun,</w:t>
      </w:r>
      <w:r>
        <w:t>’</w:t>
      </w:r>
      <w:r w:rsidRPr="00B97DA4">
        <w:t xml:space="preserve"> to one of the other officers. The officers pushed Mr. McClain to the ground. An officer tried to put Mr. McClain in a carotid control hold, whereby a person applies pressure on someone's neck with his bicep and forearm. When that effort failed, another officer put Mr. McClain in a carotid control hold. The second hold cut off blood flow to Mr. McClain's brain, causing him to temporarily lose consciousness. When Mr. McClain regained consciousness, he told the officers that he couldn't breathe. He later vomited. An officer asked a dispatcher to send paramedics to treat Mr. McClain because he had temporarily lost consciousness. </w:t>
      </w:r>
    </w:p>
    <w:p w14:paraId="25893C55" w14:textId="77777777" w:rsidR="00EB0265" w:rsidRPr="00B97DA4" w:rsidRDefault="00EB0265" w:rsidP="00EB0265">
      <w:pPr>
        <w:pStyle w:val="NoSpacing"/>
      </w:pPr>
    </w:p>
    <w:p w14:paraId="1CDC5FE0" w14:textId="77777777" w:rsidR="00EB0265" w:rsidRPr="00B97DA4" w:rsidRDefault="00EB0265" w:rsidP="00EB0265">
      <w:pPr>
        <w:pStyle w:val="NoSpacing"/>
      </w:pPr>
      <w:r w:rsidRPr="00B97DA4">
        <w:t xml:space="preserve">Cooper; his supervisor, Lieutenant Peter Cichuniec; and two </w:t>
      </w:r>
      <w:proofErr w:type="gramStart"/>
      <w:r w:rsidRPr="00B97DA4">
        <w:t>nonmedical</w:t>
      </w:r>
      <w:proofErr w:type="gramEnd"/>
      <w:r w:rsidRPr="00B97DA4">
        <w:t xml:space="preserve"> fire department personnel (an </w:t>
      </w:r>
      <w:r>
        <w:t>‘</w:t>
      </w:r>
      <w:r w:rsidRPr="00B97DA4">
        <w:t>engineer</w:t>
      </w:r>
      <w:r>
        <w:t>’</w:t>
      </w:r>
      <w:r w:rsidRPr="00B97DA4">
        <w:t xml:space="preserve"> and a firefighter) arrived a few minutes later. They saw two officers restraining Mr. McClain on the ground. The police officers told Cooper and </w:t>
      </w:r>
      <w:proofErr w:type="spellStart"/>
      <w:r w:rsidRPr="00B97DA4">
        <w:t>Cichuniec</w:t>
      </w:r>
      <w:proofErr w:type="spellEnd"/>
      <w:r w:rsidRPr="00B97DA4">
        <w:t xml:space="preserve"> that Mr. McClain had </w:t>
      </w:r>
      <w:r>
        <w:t>‘</w:t>
      </w:r>
      <w:r w:rsidRPr="00B97DA4">
        <w:t>passed out,</w:t>
      </w:r>
      <w:r>
        <w:t>’</w:t>
      </w:r>
      <w:r w:rsidRPr="00B97DA4">
        <w:t xml:space="preserve"> was </w:t>
      </w:r>
      <w:r>
        <w:t>‘</w:t>
      </w:r>
      <w:r w:rsidRPr="00B97DA4">
        <w:t>definitely on something,</w:t>
      </w:r>
      <w:r>
        <w:t>’</w:t>
      </w:r>
      <w:r w:rsidRPr="00B97DA4">
        <w:t xml:space="preserve"> and was </w:t>
      </w:r>
      <w:r>
        <w:t>‘</w:t>
      </w:r>
      <w:r w:rsidRPr="00B97DA4">
        <w:t>acting crazy.</w:t>
      </w:r>
      <w:r>
        <w:t>’</w:t>
      </w:r>
      <w:r w:rsidRPr="00B97DA4">
        <w:t xml:space="preserve"> One of the officers said that the officers had tried to </w:t>
      </w:r>
      <w:r>
        <w:t>‘</w:t>
      </w:r>
      <w:r w:rsidRPr="00B97DA4">
        <w:t>put a carotid on the guy</w:t>
      </w:r>
      <w:r>
        <w:t>’</w:t>
      </w:r>
      <w:r w:rsidRPr="00B97DA4">
        <w:t xml:space="preserve"> and had done so, which </w:t>
      </w:r>
      <w:r>
        <w:t>‘</w:t>
      </w:r>
      <w:r w:rsidRPr="00B97DA4">
        <w:t>put [Mr. McClain] out.</w:t>
      </w:r>
      <w:r>
        <w:t>’</w:t>
      </w:r>
      <w:r w:rsidRPr="00B97DA4">
        <w:t xml:space="preserve"> Officers also said Mr. McClain had shown </w:t>
      </w:r>
      <w:r>
        <w:t>‘</w:t>
      </w:r>
      <w:r w:rsidRPr="00B97DA4">
        <w:t>incredible</w:t>
      </w:r>
      <w:r>
        <w:t xml:space="preserve">’ </w:t>
      </w:r>
      <w:r w:rsidRPr="00B97DA4">
        <w:t xml:space="preserve">and </w:t>
      </w:r>
      <w:r>
        <w:t>‘</w:t>
      </w:r>
      <w:r w:rsidRPr="00B97DA4">
        <w:t>crazy</w:t>
      </w:r>
      <w:r>
        <w:t>’</w:t>
      </w:r>
      <w:r w:rsidRPr="00B97DA4">
        <w:t xml:space="preserve"> strength from </w:t>
      </w:r>
      <w:r>
        <w:t>‘</w:t>
      </w:r>
      <w:r w:rsidRPr="00B97DA4">
        <w:t>whatever he's on</w:t>
      </w:r>
      <w:r>
        <w:t>’</w:t>
      </w:r>
      <w:r w:rsidRPr="00B97DA4">
        <w:t xml:space="preserve"> and </w:t>
      </w:r>
      <w:r>
        <w:t>‘</w:t>
      </w:r>
      <w:r w:rsidRPr="00B97DA4">
        <w:t>almost did a pushup with all three of us on his back.</w:t>
      </w:r>
      <w:r>
        <w:t>’</w:t>
      </w:r>
      <w:r w:rsidRPr="00B97DA4">
        <w:t xml:space="preserve"> </w:t>
      </w:r>
    </w:p>
    <w:p w14:paraId="4D56C36E" w14:textId="77777777" w:rsidR="00EB0265" w:rsidRDefault="00EB0265" w:rsidP="00EB0265">
      <w:pPr>
        <w:pStyle w:val="NoSpacing"/>
      </w:pPr>
      <w:r w:rsidRPr="00B97DA4">
        <w:t>         </w:t>
      </w:r>
    </w:p>
    <w:p w14:paraId="14942F80" w14:textId="77777777" w:rsidR="00EB0265" w:rsidRDefault="00EB0265" w:rsidP="00EB0265">
      <w:pPr>
        <w:pStyle w:val="NoSpacing"/>
      </w:pPr>
      <w:r w:rsidRPr="00B97DA4">
        <w:t xml:space="preserve">Based on the information the officers had told them and their visual assessment of Mr. McClain, Cooper and </w:t>
      </w:r>
      <w:proofErr w:type="spellStart"/>
      <w:r w:rsidRPr="00B97DA4">
        <w:t>Cichuniec</w:t>
      </w:r>
      <w:proofErr w:type="spellEnd"/>
      <w:r w:rsidRPr="00B97DA4">
        <w:t xml:space="preserve"> concluded that Mr. McClain showed symptoms of a condition called </w:t>
      </w:r>
      <w:r>
        <w:t>‘</w:t>
      </w:r>
      <w:r w:rsidRPr="00B97DA4">
        <w:t>excited delirium</w:t>
      </w:r>
      <w:proofErr w:type="gramStart"/>
      <w:r w:rsidRPr="00B97DA4">
        <w:t>.</w:t>
      </w:r>
      <w:r>
        <w:t>’</w:t>
      </w:r>
      <w:proofErr w:type="gramEnd"/>
      <w:r>
        <w:t xml:space="preserve"> </w:t>
      </w:r>
      <w:r w:rsidRPr="00B97DA4">
        <w:t xml:space="preserve"> They agreed they would inject Mr. McClain with ketamine. Cooper told the officers that the paramedics would inject Mr. McClain with ketamine once the ambulance arrived with the drug. (An ambulance with two emergency medical technicians (EMTs) had also been dispatched to the scene.) </w:t>
      </w:r>
    </w:p>
    <w:p w14:paraId="13EF017E" w14:textId="77777777" w:rsidR="00EB0265" w:rsidRPr="00B97DA4" w:rsidRDefault="00EB0265" w:rsidP="00EB0265">
      <w:pPr>
        <w:pStyle w:val="NoSpacing"/>
      </w:pPr>
    </w:p>
    <w:p w14:paraId="5318F6E5" w14:textId="77777777" w:rsidR="00EB0265" w:rsidRDefault="00EB0265" w:rsidP="00EB0265">
      <w:pPr>
        <w:pStyle w:val="NoSpacing"/>
      </w:pPr>
      <w:r w:rsidRPr="00B97DA4">
        <w:t xml:space="preserve">Once the ambulance arrived, Cooper and </w:t>
      </w:r>
      <w:proofErr w:type="spellStart"/>
      <w:r w:rsidRPr="00B97DA4">
        <w:t>Cichuniec</w:t>
      </w:r>
      <w:proofErr w:type="spellEnd"/>
      <w:r w:rsidRPr="00B97DA4">
        <w:t xml:space="preserve"> determined that 500 mg of ketamine was the correct dosage to give to Mr. McClain based on his weight (which Cooper estimated at about 220 pounds (100 kg) and </w:t>
      </w:r>
      <w:proofErr w:type="spellStart"/>
      <w:r w:rsidRPr="00B97DA4">
        <w:t>Cichuniec</w:t>
      </w:r>
      <w:proofErr w:type="spellEnd"/>
      <w:r w:rsidRPr="00B97DA4">
        <w:t xml:space="preserve"> estimated at 187 pounds (85 kg)) and his degree of agitation. (In fact, Mr. McClain weighed only 143 pounds.) Either Cooper or </w:t>
      </w:r>
      <w:proofErr w:type="spellStart"/>
      <w:r w:rsidRPr="00B97DA4">
        <w:t>Cichuniec</w:t>
      </w:r>
      <w:proofErr w:type="spellEnd"/>
      <w:r w:rsidRPr="00B97DA4">
        <w:t xml:space="preserve"> told an EMT to prepare it. Once the EMT did so, Cooper injected it into Mr. McClain. </w:t>
      </w:r>
    </w:p>
    <w:p w14:paraId="7FC48AE6" w14:textId="77777777" w:rsidR="00EB0265" w:rsidRPr="00B97DA4" w:rsidRDefault="00EB0265" w:rsidP="00EB0265">
      <w:pPr>
        <w:pStyle w:val="NoSpacing"/>
      </w:pPr>
    </w:p>
    <w:p w14:paraId="3211A659" w14:textId="77777777" w:rsidR="00EB0265" w:rsidRDefault="00EB0265" w:rsidP="00EB0265">
      <w:pPr>
        <w:pStyle w:val="NoSpacing"/>
      </w:pPr>
      <w:r w:rsidRPr="00B97DA4">
        <w:t xml:space="preserve">Sometime after Mr. McClain was placed in the ambulance, </w:t>
      </w:r>
      <w:proofErr w:type="spellStart"/>
      <w:r w:rsidRPr="00B97DA4">
        <w:t>Cichuniec</w:t>
      </w:r>
      <w:proofErr w:type="spellEnd"/>
      <w:r w:rsidRPr="00B97DA4">
        <w:t xml:space="preserve"> noticed that he had stopped breathing. He told an EMT to check Mr. McClain's pulse. When the EMT couldn't find one, the EMTs began CPR. Mr. McClain was subsequently admitted to a hospital. Doctors declared </w:t>
      </w:r>
      <w:proofErr w:type="gramStart"/>
      <w:r w:rsidRPr="00B97DA4">
        <w:t>him</w:t>
      </w:r>
      <w:proofErr w:type="gramEnd"/>
      <w:r w:rsidRPr="00B97DA4">
        <w:t xml:space="preserve"> brain dead a few days later.</w:t>
      </w:r>
    </w:p>
    <w:p w14:paraId="6A27637F" w14:textId="77777777" w:rsidR="00EB0265" w:rsidRDefault="00EB0265" w:rsidP="00EB0265">
      <w:pPr>
        <w:pStyle w:val="NoSpacing"/>
      </w:pPr>
    </w:p>
    <w:p w14:paraId="0420DDB3" w14:textId="77777777" w:rsidR="00EB0265" w:rsidRDefault="00EB0265" w:rsidP="00EB0265">
      <w:pPr>
        <w:pStyle w:val="NoSpacing"/>
      </w:pPr>
      <w:r>
        <w:t>***</w:t>
      </w:r>
    </w:p>
    <w:p w14:paraId="7BE5D857" w14:textId="77777777" w:rsidR="00EB0265" w:rsidRPr="00AE6BA2" w:rsidRDefault="00EB0265" w:rsidP="00EB0265">
      <w:pPr>
        <w:pStyle w:val="NoSpacing"/>
      </w:pPr>
      <w:r w:rsidRPr="00AE6BA2">
        <w:t xml:space="preserve">A state grand jury subsequently indicted Cooper and </w:t>
      </w:r>
      <w:proofErr w:type="spellStart"/>
      <w:r w:rsidRPr="00AE6BA2">
        <w:t>Cichuniec</w:t>
      </w:r>
      <w:proofErr w:type="spellEnd"/>
      <w:r w:rsidRPr="00AE6BA2">
        <w:t xml:space="preserve"> on one count each of reckless manslaughter and criminally negligent homicide and three counts each of </w:t>
      </w:r>
      <w:proofErr w:type="gramStart"/>
      <w:r w:rsidRPr="00AE6BA2">
        <w:t>second degree</w:t>
      </w:r>
      <w:proofErr w:type="gramEnd"/>
      <w:r w:rsidRPr="00AE6BA2">
        <w:t xml:space="preserve"> assault. They were </w:t>
      </w:r>
      <w:proofErr w:type="gramStart"/>
      <w:r w:rsidRPr="00AE6BA2">
        <w:t>tried</w:t>
      </w:r>
      <w:proofErr w:type="gramEnd"/>
      <w:r w:rsidRPr="00AE6BA2">
        <w:t xml:space="preserve"> together. The prosecution's theory was that Cooper and </w:t>
      </w:r>
      <w:proofErr w:type="spellStart"/>
      <w:r w:rsidRPr="00AE6BA2">
        <w:t>Cichuniec</w:t>
      </w:r>
      <w:proofErr w:type="spellEnd"/>
      <w:r w:rsidRPr="00AE6BA2">
        <w:t xml:space="preserve"> had acted contrary to their medical training and proper protocols. And the prosecution charged that  </w:t>
      </w:r>
    </w:p>
    <w:p w14:paraId="3BA98A46" w14:textId="77777777" w:rsidR="00EB0265" w:rsidRDefault="00EB0265" w:rsidP="00EB0265">
      <w:pPr>
        <w:pStyle w:val="NoSpacing"/>
      </w:pPr>
      <w:proofErr w:type="gramStart"/>
      <w:r w:rsidRPr="00AE6BA2">
        <w:t>each</w:t>
      </w:r>
      <w:proofErr w:type="gramEnd"/>
      <w:r w:rsidRPr="00AE6BA2">
        <w:t xml:space="preserve"> could be found guilty of all the charges as either a principal or a </w:t>
      </w:r>
      <w:proofErr w:type="spellStart"/>
      <w:r w:rsidRPr="00AE6BA2">
        <w:t>complicitor</w:t>
      </w:r>
      <w:proofErr w:type="spellEnd"/>
      <w:r w:rsidRPr="00AE6BA2">
        <w:t xml:space="preserve">. </w:t>
      </w:r>
    </w:p>
    <w:p w14:paraId="722A8541" w14:textId="77777777" w:rsidR="00EB0265" w:rsidRDefault="00EB0265" w:rsidP="00EB0265">
      <w:pPr>
        <w:pStyle w:val="NoSpacing"/>
      </w:pPr>
    </w:p>
    <w:p w14:paraId="6447090B" w14:textId="77777777" w:rsidR="00EB0265" w:rsidRPr="00AE6BA2" w:rsidRDefault="00EB0265" w:rsidP="00EB0265">
      <w:pPr>
        <w:pStyle w:val="NoSpacing"/>
      </w:pPr>
      <w:r w:rsidRPr="0086124D">
        <w:t xml:space="preserve">A jury found Cooper guilty of criminally negligent homicide but acquitted him of all other charges. The same jury found </w:t>
      </w:r>
      <w:proofErr w:type="spellStart"/>
      <w:r w:rsidRPr="0086124D">
        <w:t>Cichuniec</w:t>
      </w:r>
      <w:proofErr w:type="spellEnd"/>
      <w:r w:rsidRPr="0086124D">
        <w:t xml:space="preserve"> guilty of criminally negligent homicide and one count of </w:t>
      </w:r>
      <w:proofErr w:type="gramStart"/>
      <w:r w:rsidRPr="0086124D">
        <w:t>second degree</w:t>
      </w:r>
      <w:proofErr w:type="gramEnd"/>
      <w:r w:rsidRPr="0086124D">
        <w:t xml:space="preserve"> assault (unlawful administration of drugs) but acquitted him of reckless manslaughter and the remaining count of </w:t>
      </w:r>
      <w:proofErr w:type="gramStart"/>
      <w:r w:rsidRPr="0086124D">
        <w:t>second degree</w:t>
      </w:r>
      <w:proofErr w:type="gramEnd"/>
      <w:r w:rsidRPr="0086124D">
        <w:t xml:space="preserve"> assault (causing serious bodily injury with intent to cause bodily injury). Cooper and </w:t>
      </w:r>
      <w:proofErr w:type="spellStart"/>
      <w:r w:rsidRPr="0086124D">
        <w:t>Cichuniec</w:t>
      </w:r>
      <w:proofErr w:type="spellEnd"/>
      <w:r w:rsidRPr="0086124D">
        <w:t xml:space="preserve"> separately appealed their convictions. This appeal is </w:t>
      </w:r>
      <w:proofErr w:type="gramStart"/>
      <w:r w:rsidRPr="0086124D">
        <w:t>Cooper's.</w:t>
      </w:r>
      <w:r>
        <w:t>”</w:t>
      </w:r>
      <w:proofErr w:type="gramEnd"/>
    </w:p>
    <w:p w14:paraId="1432E3B5" w14:textId="77777777" w:rsidR="00EB0265" w:rsidRPr="00B97DA4" w:rsidRDefault="00EB0265" w:rsidP="00EB0265">
      <w:pPr>
        <w:pStyle w:val="NoSpacing"/>
      </w:pPr>
    </w:p>
    <w:p w14:paraId="7F566221" w14:textId="77777777" w:rsidR="00EB0265" w:rsidRDefault="00EB0265" w:rsidP="00EB0265">
      <w:pPr>
        <w:pStyle w:val="NoSpacing"/>
      </w:pPr>
    </w:p>
    <w:p w14:paraId="2FFF81DA" w14:textId="77777777" w:rsidR="00EB0265" w:rsidRDefault="00EB0265" w:rsidP="00EB0265">
      <w:pPr>
        <w:pStyle w:val="NoSpacing"/>
        <w:rPr>
          <w:b/>
          <w:bCs/>
        </w:rPr>
      </w:pPr>
      <w:r w:rsidRPr="005C2B80">
        <w:rPr>
          <w:b/>
        </w:rPr>
        <w:t>COURT HELD:</w:t>
      </w:r>
    </w:p>
    <w:p w14:paraId="78255764" w14:textId="77777777" w:rsidR="00EB0265" w:rsidRDefault="00EB0265" w:rsidP="00EB0265">
      <w:pPr>
        <w:pStyle w:val="NoSpacing"/>
        <w:rPr>
          <w:b/>
          <w:bCs/>
        </w:rPr>
      </w:pPr>
    </w:p>
    <w:p w14:paraId="4B96974E" w14:textId="77777777" w:rsidR="00EB0265" w:rsidRDefault="00EB0265" w:rsidP="00EB0265">
      <w:pPr>
        <w:pStyle w:val="NoSpacing"/>
      </w:pPr>
      <w:r>
        <w:t>“</w:t>
      </w:r>
      <w:r w:rsidRPr="00064EE0">
        <w:t xml:space="preserve">Cooper contends that the district court erred by refusing his counsel's tendered instruction specifying the standard of care applicable to the charge of criminally negligent homicide and by refusing to adequately and accurately define that standard after the jurors affirmatively indicated that they didn't understand what standard to apply. We agree with Cooper. We also conclude that the errors weren't harmless. </w:t>
      </w:r>
    </w:p>
    <w:p w14:paraId="6B376E77" w14:textId="77777777" w:rsidR="00EB0265" w:rsidRDefault="00EB0265" w:rsidP="00EB0265">
      <w:pPr>
        <w:pStyle w:val="NoSpacing"/>
      </w:pPr>
    </w:p>
    <w:p w14:paraId="4895B0FC" w14:textId="77777777" w:rsidR="00EB0265" w:rsidRDefault="00EB0265" w:rsidP="00EB0265">
      <w:pPr>
        <w:pStyle w:val="NoSpacing"/>
      </w:pPr>
      <w:r>
        <w:t>***</w:t>
      </w:r>
    </w:p>
    <w:p w14:paraId="31B380CD" w14:textId="77777777" w:rsidR="00EB0265" w:rsidRDefault="00EB0265" w:rsidP="00EB0265">
      <w:pPr>
        <w:pStyle w:val="NoSpacing"/>
      </w:pPr>
    </w:p>
    <w:p w14:paraId="4E60F65D" w14:textId="77777777" w:rsidR="00EB0265" w:rsidRDefault="00EB0265" w:rsidP="00EB0265">
      <w:pPr>
        <w:pStyle w:val="NoSpacing"/>
      </w:pPr>
      <w:r w:rsidRPr="00F572CB">
        <w:t xml:space="preserve">Before closing arguments, based on the prosecution's theory of culpability, Cooper's counsel tendered a jury instruction that read, </w:t>
      </w:r>
      <w:r>
        <w:t>‘</w:t>
      </w:r>
      <w:r w:rsidRPr="00F572CB">
        <w:t xml:space="preserve">A person acts 'with criminal negligence' when, through a gross deviation from the standard of care that a </w:t>
      </w:r>
      <w:r w:rsidRPr="00F572CB">
        <w:rPr>
          <w:i/>
          <w:iCs/>
        </w:rPr>
        <w:t>reasonable paramedic in Aurora, Colorado</w:t>
      </w:r>
      <w:r w:rsidRPr="00F572CB">
        <w:t xml:space="preserve"> would exercise in the same circumstance, he fails to perceive a substantial and unjustifiable risk that a result will occur or that a circumstance exists.</w:t>
      </w:r>
      <w:r>
        <w:t>’</w:t>
      </w:r>
      <w:r w:rsidRPr="00F572CB">
        <w:t xml:space="preserve"> (Emphasis added.)</w:t>
      </w:r>
    </w:p>
    <w:p w14:paraId="78D828F8" w14:textId="77777777" w:rsidR="00EB0265" w:rsidRDefault="00EB0265" w:rsidP="00EB0265">
      <w:pPr>
        <w:pStyle w:val="NoSpacing"/>
      </w:pPr>
    </w:p>
    <w:p w14:paraId="17A8B479" w14:textId="77777777" w:rsidR="00EB0265" w:rsidRDefault="00EB0265" w:rsidP="00EB0265">
      <w:pPr>
        <w:pStyle w:val="NoSpacing"/>
      </w:pPr>
      <w:r>
        <w:t>***</w:t>
      </w:r>
    </w:p>
    <w:p w14:paraId="3E203B88" w14:textId="77777777" w:rsidR="00EB0265" w:rsidRDefault="00EB0265" w:rsidP="00EB0265">
      <w:pPr>
        <w:pStyle w:val="NoSpacing"/>
      </w:pPr>
      <w:r w:rsidRPr="00C06A25">
        <w:t xml:space="preserve">After the jurors began deliberating, the court received the following question from the jurors: </w:t>
      </w:r>
      <w:r>
        <w:t>‘</w:t>
      </w:r>
      <w:r w:rsidRPr="00C06A25">
        <w:t>May we have a definition of the standard of care</w:t>
      </w:r>
      <w:proofErr w:type="gramStart"/>
      <w:r w:rsidRPr="00C06A25">
        <w:t>?</w:t>
      </w:r>
      <w:proofErr w:type="gramEnd"/>
      <w:r w:rsidRPr="00C06A25">
        <w:t xml:space="preserve"> Or a description of it?</w:t>
      </w:r>
      <w:r>
        <w:t>’</w:t>
      </w:r>
      <w:r w:rsidRPr="00C06A25">
        <w:t xml:space="preserve"> Cooper's counsel reiterated the defense's position that </w:t>
      </w:r>
      <w:r>
        <w:t>‘</w:t>
      </w:r>
      <w:r w:rsidRPr="00C06A25">
        <w:t xml:space="preserve">the professional standard of care . . . in this case . . . would be reasonable paramedics in Aurora, Colorado." The prosecutor asked the court to just refer </w:t>
      </w:r>
      <w:proofErr w:type="gramStart"/>
      <w:r w:rsidRPr="00C06A25">
        <w:t>the jury back to the</w:t>
      </w:r>
      <w:proofErr w:type="gramEnd"/>
      <w:r w:rsidRPr="00C06A25">
        <w:t xml:space="preserve"> </w:t>
      </w:r>
      <w:proofErr w:type="gramStart"/>
      <w:r w:rsidRPr="00C06A25">
        <w:t>instructions as</w:t>
      </w:r>
      <w:proofErr w:type="gramEnd"/>
      <w:r w:rsidRPr="00C06A25">
        <w:t xml:space="preserve"> given. </w:t>
      </w:r>
    </w:p>
    <w:p w14:paraId="7598A55F" w14:textId="77777777" w:rsidR="00EB0265" w:rsidRDefault="00EB0265" w:rsidP="00EB0265">
      <w:pPr>
        <w:pStyle w:val="NoSpacing"/>
      </w:pPr>
    </w:p>
    <w:p w14:paraId="7C0D2CF6" w14:textId="77777777" w:rsidR="00EB0265" w:rsidRDefault="00EB0265" w:rsidP="00EB0265">
      <w:pPr>
        <w:pStyle w:val="NoSpacing"/>
      </w:pPr>
      <w:r>
        <w:t>***</w:t>
      </w:r>
    </w:p>
    <w:p w14:paraId="2082D886" w14:textId="77777777" w:rsidR="00EB0265" w:rsidRDefault="00EB0265" w:rsidP="00EB0265">
      <w:pPr>
        <w:pStyle w:val="NoSpacing"/>
      </w:pPr>
      <w:r w:rsidRPr="0061527B">
        <w:t>The relevant circumstances in this case were that a medical professional provided medical treatment to a person needing medical attention while under law enforcement's physical restraint. The standard of care was therefore that which would apply in a civil case involving such a situation - one applicable to a reasonable paramedic in Aurora, Colorado, in 2019 treating a person in Mr. McClain's condition</w:t>
      </w:r>
      <w:r>
        <w:t xml:space="preserve">…. </w:t>
      </w:r>
      <w:r w:rsidRPr="00320D42">
        <w:t>It follows, then, that the district court erred by refusing defense counsel's tendered instruction and by refusing to clarify the standard of care in response to the jurors' question.</w:t>
      </w:r>
    </w:p>
    <w:p w14:paraId="56B94998" w14:textId="77777777" w:rsidR="00EB0265" w:rsidRDefault="00EB0265" w:rsidP="00EB0265">
      <w:pPr>
        <w:pStyle w:val="NoSpacing"/>
      </w:pPr>
    </w:p>
    <w:p w14:paraId="1D493FE9" w14:textId="77777777" w:rsidR="00EB0265" w:rsidRDefault="00EB0265" w:rsidP="00EB0265">
      <w:pPr>
        <w:pStyle w:val="NoSpacing"/>
      </w:pPr>
      <w:r>
        <w:t>***</w:t>
      </w:r>
    </w:p>
    <w:p w14:paraId="1E259282" w14:textId="77777777" w:rsidR="00EB0265" w:rsidRDefault="00EB0265" w:rsidP="00EB0265">
      <w:pPr>
        <w:pStyle w:val="NoSpacing"/>
      </w:pPr>
      <w:r w:rsidRPr="00DB7856">
        <w:t>Under the facts of this case, the definitional instruction didn't adequately articulate the applicable standard of care but rather left the jury in the dark</w:t>
      </w:r>
      <w:r>
        <w:t xml:space="preserve">…. </w:t>
      </w:r>
      <w:r w:rsidRPr="0037576A">
        <w:t>Also, the jurors' question told the court that they didn't know what standard to apply. By telling the jurors to apply the "common and ordinary meanings" of the words in the instruction, the court failed to shine any light on the issue and in fact misled the jurors as to the applicable standard of care</w:t>
      </w:r>
      <w:r>
        <w:t>….”</w:t>
      </w:r>
    </w:p>
    <w:p w14:paraId="227235EF" w14:textId="77777777" w:rsidR="00EB0265" w:rsidRDefault="00EB0265" w:rsidP="00EB0265">
      <w:pPr>
        <w:pStyle w:val="NoSpacing"/>
      </w:pPr>
    </w:p>
    <w:p w14:paraId="128BC7DA" w14:textId="77777777" w:rsidR="00EB0265" w:rsidRDefault="00EB0265" w:rsidP="00EB0265">
      <w:pPr>
        <w:pStyle w:val="NoSpacing"/>
        <w:rPr>
          <w:b/>
          <w:bCs/>
        </w:rPr>
      </w:pPr>
      <w:r w:rsidRPr="00377720">
        <w:rPr>
          <w:b/>
        </w:rPr>
        <w:t xml:space="preserve">Legal lesson learned: </w:t>
      </w:r>
      <w:r>
        <w:rPr>
          <w:b/>
        </w:rPr>
        <w:t xml:space="preserve">The jury instructions were clearly wrong; but since .  Since the </w:t>
      </w:r>
    </w:p>
    <w:p w14:paraId="177EA840" w14:textId="77777777" w:rsidR="00EB0265" w:rsidRDefault="00EB0265" w:rsidP="00EB0265">
      <w:pPr>
        <w:pStyle w:val="NoSpacing"/>
        <w:rPr>
          <w:b/>
          <w:bCs/>
        </w:rPr>
      </w:pPr>
    </w:p>
    <w:p w14:paraId="71095F9C" w14:textId="77777777" w:rsidR="00EB0265" w:rsidRPr="00000ABC" w:rsidRDefault="00EB0265" w:rsidP="00EB0265">
      <w:pPr>
        <w:ind w:left="720"/>
      </w:pPr>
      <w:r>
        <w:t xml:space="preserve">Note: Cooper was sentenced to 14 </w:t>
      </w:r>
      <w:proofErr w:type="gramStart"/>
      <w:r>
        <w:t>months</w:t>
      </w:r>
      <w:proofErr w:type="gramEnd"/>
      <w:r>
        <w:t xml:space="preserve"> work release and probation, so doubtful he will be retired.  In a separate Court of Appeals decision (3 to 0), the lead medic</w:t>
      </w:r>
      <w:r w:rsidRPr="00273730">
        <w:t>, Peter Cichuniec</w:t>
      </w:r>
      <w:r>
        <w:t xml:space="preserve">, co-tried with Cooper also had his conviction for </w:t>
      </w:r>
      <w:r w:rsidRPr="0086124D">
        <w:t>criminally negligent homicide</w:t>
      </w:r>
      <w:r>
        <w:t xml:space="preserve"> reversed but his assault conviction was affirmed. </w:t>
      </w:r>
      <w:hyperlink r:id="rId1968" w:history="1">
        <w:r w:rsidRPr="00971037">
          <w:rPr>
            <w:rStyle w:val="Hyperlink"/>
          </w:rPr>
          <w:t>https://www.coloradojudicial.gov/system/files/opinions-2026-06/24CA0675.pdf</w:t>
        </w:r>
      </w:hyperlink>
      <w:r>
        <w:t xml:space="preserve"> It is doubtful he will be retried; he </w:t>
      </w:r>
      <w:r w:rsidRPr="00273A62">
        <w:t xml:space="preserve">received </w:t>
      </w:r>
      <w:r>
        <w:t xml:space="preserve">a sentence of </w:t>
      </w:r>
      <w:r w:rsidRPr="00273A62">
        <w:t xml:space="preserve">five years in </w:t>
      </w:r>
      <w:proofErr w:type="gramStart"/>
      <w:r w:rsidRPr="00273A62">
        <w:t>prison</w:t>
      </w:r>
      <w:r>
        <w:t>, but</w:t>
      </w:r>
      <w:proofErr w:type="gramEnd"/>
      <w:r>
        <w:t xml:space="preserve"> was </w:t>
      </w:r>
      <w:r w:rsidRPr="00CA2153">
        <w:t>released early from prison in 2024 after a judge reduced his sentence to four years of probation</w:t>
      </w:r>
      <w:r>
        <w:t xml:space="preserve">.  </w:t>
      </w:r>
      <w:r w:rsidRPr="0024472D">
        <w:t>The city of Aurora in 2021 agreed to pay $15 million to settle a federal civil rights lawsuit brought by McClain's parents.</w:t>
      </w:r>
      <w:r>
        <w:t xml:space="preserve"> </w:t>
      </w:r>
    </w:p>
    <w:p w14:paraId="0FA5E500" w14:textId="77777777" w:rsidR="00EB0265" w:rsidRDefault="00EB0265" w:rsidP="00EB0265">
      <w:pPr>
        <w:pStyle w:val="NoSpacing"/>
        <w:rPr>
          <w:b/>
          <w:bCs/>
        </w:rPr>
      </w:pPr>
    </w:p>
    <w:p w14:paraId="6A4EF841" w14:textId="77777777" w:rsidR="00EB0265" w:rsidRDefault="00EB0265" w:rsidP="00EB0265">
      <w:pPr>
        <w:pStyle w:val="NoSpacing"/>
        <w:rPr>
          <w:b/>
          <w:bCs/>
        </w:rPr>
      </w:pPr>
    </w:p>
    <w:p w14:paraId="7296CBD9" w14:textId="77777777" w:rsidR="00EB0265" w:rsidRDefault="00EB0265" w:rsidP="00EB0265">
      <w:pPr>
        <w:pStyle w:val="NoSpacing"/>
        <w:rPr>
          <w:b/>
          <w:bCs/>
        </w:rPr>
      </w:pPr>
    </w:p>
    <w:p w14:paraId="1E1735CD" w14:textId="77777777" w:rsidR="00EB0265" w:rsidRDefault="00EB0265" w:rsidP="00EB0265">
      <w:pPr>
        <w:pStyle w:val="NoSpacing"/>
        <w:rPr>
          <w:b/>
          <w:bCs/>
        </w:rPr>
      </w:pPr>
    </w:p>
    <w:p w14:paraId="2001654B" w14:textId="7967E3B0" w:rsidR="007A053D" w:rsidRPr="00DA5EE8" w:rsidRDefault="007A053D" w:rsidP="007A053D">
      <w:pPr>
        <w:pStyle w:val="NoSpacing"/>
        <w:rPr>
          <w:rFonts w:ascii="Arial Black" w:hAnsi="Arial Black"/>
          <w:sz w:val="24"/>
          <w:szCs w:val="24"/>
        </w:rPr>
      </w:pPr>
      <w:r w:rsidRPr="00DA5EE8">
        <w:rPr>
          <w:rFonts w:ascii="Arial Black" w:hAnsi="Arial Black"/>
          <w:sz w:val="24"/>
          <w:szCs w:val="24"/>
        </w:rPr>
        <w:t>13-2</w:t>
      </w:r>
      <w:r>
        <w:rPr>
          <w:rFonts w:ascii="Arial Black" w:hAnsi="Arial Black"/>
          <w:sz w:val="24"/>
          <w:szCs w:val="24"/>
        </w:rPr>
        <w:t>6</w:t>
      </w:r>
      <w:r>
        <w:rPr>
          <w:rFonts w:ascii="Arial Black" w:hAnsi="Arial Black"/>
          <w:sz w:val="24"/>
          <w:szCs w:val="24"/>
        </w:rPr>
        <w:t>1</w:t>
      </w:r>
    </w:p>
    <w:p w14:paraId="3ACAE596" w14:textId="77777777" w:rsidR="00EB0265" w:rsidRDefault="00EB0265" w:rsidP="00EB0265">
      <w:pPr>
        <w:pStyle w:val="NoSpacing"/>
        <w:rPr>
          <w:rFonts w:ascii="Arial Black" w:hAnsi="Arial Black"/>
          <w:sz w:val="28"/>
          <w:szCs w:val="28"/>
        </w:rPr>
      </w:pPr>
    </w:p>
    <w:p w14:paraId="14D67B25" w14:textId="77777777" w:rsidR="00EB0265" w:rsidRDefault="00EB0265" w:rsidP="00EB0265">
      <w:pPr>
        <w:pStyle w:val="NoSpacing"/>
        <w:rPr>
          <w:rFonts w:ascii="Arial Black" w:hAnsi="Arial Black"/>
          <w:sz w:val="28"/>
          <w:szCs w:val="28"/>
        </w:rPr>
      </w:pPr>
      <w:r>
        <w:rPr>
          <w:rFonts w:ascii="Arial Black" w:hAnsi="Arial Black"/>
          <w:sz w:val="28"/>
          <w:szCs w:val="28"/>
        </w:rPr>
        <w:t xml:space="preserve">CO: LEAD MEDIC – NEW TRIAL </w:t>
      </w:r>
      <w:r>
        <w:rPr>
          <w:rFonts w:ascii="Arial Black" w:hAnsi="Arial Black"/>
          <w:b/>
          <w:sz w:val="28"/>
          <w:szCs w:val="28"/>
        </w:rPr>
        <w:t>KETAMINE</w:t>
      </w:r>
      <w:r>
        <w:rPr>
          <w:rFonts w:ascii="Arial Black" w:hAnsi="Arial Black"/>
          <w:sz w:val="28"/>
          <w:szCs w:val="28"/>
        </w:rPr>
        <w:t xml:space="preserve"> - GUITY ASSAULT</w:t>
      </w:r>
    </w:p>
    <w:p w14:paraId="033EF125" w14:textId="77777777" w:rsidR="00EB0265" w:rsidRDefault="00EB0265" w:rsidP="00EB0265">
      <w:pPr>
        <w:pStyle w:val="NoSpacing"/>
        <w:rPr>
          <w:rFonts w:ascii="Arial Black" w:hAnsi="Arial Black"/>
          <w:sz w:val="28"/>
          <w:szCs w:val="28"/>
        </w:rPr>
      </w:pPr>
    </w:p>
    <w:p w14:paraId="20B5BC7C" w14:textId="77777777" w:rsidR="00EB0265" w:rsidRDefault="00EB0265" w:rsidP="00EB0265">
      <w:r>
        <w:t xml:space="preserve">On June 4, 2026, in </w:t>
      </w:r>
      <w:r w:rsidRPr="00C40923">
        <w:rPr>
          <w:u w:val="single"/>
        </w:rPr>
        <w:t>The People of the State of Colorado v. Peter Cichuniec</w:t>
      </w:r>
      <w:r w:rsidRPr="00C40923">
        <w:t xml:space="preserve">, </w:t>
      </w:r>
      <w:r>
        <w:t xml:space="preserve">the </w:t>
      </w:r>
      <w:r w:rsidRPr="002F147B">
        <w:t>Court of Appeals of Colorado, First Division</w:t>
      </w:r>
      <w:r>
        <w:t xml:space="preserve"> held (3 to 0) that </w:t>
      </w:r>
      <w:r w:rsidRPr="00695527">
        <w:t>Peter Cichuniec</w:t>
      </w:r>
      <w:r>
        <w:t xml:space="preserve">, the lead Medic, had authorized Medic Jeremy Cooper to administer the ketamine that killed the patient, </w:t>
      </w:r>
      <w:r w:rsidRPr="0083787B">
        <w:t>Elijah McClain</w:t>
      </w:r>
      <w:r>
        <w:t xml:space="preserve">. </w:t>
      </w:r>
      <w:proofErr w:type="spellStart"/>
      <w:r w:rsidRPr="00273A62">
        <w:t>Cichuniec</w:t>
      </w:r>
      <w:proofErr w:type="spellEnd"/>
      <w:r w:rsidRPr="00273A62">
        <w:t xml:space="preserve"> received five years in prison</w:t>
      </w:r>
      <w:r>
        <w:t xml:space="preserve"> and</w:t>
      </w:r>
      <w:r w:rsidRPr="00CA2153">
        <w:t xml:space="preserve"> was released early from prison in 2024 after a judge reduced his sentence to four years of probation</w:t>
      </w:r>
      <w:r>
        <w:t>; his partner Jeremy</w:t>
      </w:r>
      <w:r w:rsidRPr="00273A62">
        <w:t xml:space="preserve"> Cooper avoided prison and was sentenced to 14 months work release and probation.</w:t>
      </w:r>
      <w:r>
        <w:t xml:space="preserve"> </w:t>
      </w:r>
      <w:r w:rsidRPr="0024472D">
        <w:t>The city of Aurora in 2021 agreed to pay $15 million to settle a federal civil rights lawsuit brought by McClain's parents.</w:t>
      </w:r>
      <w:r>
        <w:t xml:space="preserve"> The Court wrote:  The judgment of conviction on the charge of criminally negligent homicide is reversed, and the case is remanded for a new trial on that charge. The judgment of conviction on the charge of </w:t>
      </w:r>
      <w:proofErr w:type="gramStart"/>
      <w:r>
        <w:t>second degree</w:t>
      </w:r>
      <w:proofErr w:type="gramEnd"/>
      <w:r>
        <w:t xml:space="preserve"> assault is affirmed.”  </w:t>
      </w:r>
      <w:hyperlink r:id="rId1969" w:history="1">
        <w:r w:rsidRPr="00971037">
          <w:rPr>
            <w:rStyle w:val="Hyperlink"/>
          </w:rPr>
          <w:t>https://www.coloradojudicial.gov/system/files/opinions-2026-06/24CA0675.pdf</w:t>
        </w:r>
      </w:hyperlink>
      <w:r>
        <w:t xml:space="preserve"> </w:t>
      </w:r>
    </w:p>
    <w:p w14:paraId="770CA2AF" w14:textId="77777777" w:rsidR="00EB0265" w:rsidRDefault="00EB0265" w:rsidP="00EB0265">
      <w:pPr>
        <w:pStyle w:val="NoSpacing"/>
      </w:pPr>
    </w:p>
    <w:p w14:paraId="3ACA08EA" w14:textId="77777777" w:rsidR="00EB0265" w:rsidRDefault="00EB0265" w:rsidP="00EB0265">
      <w:pPr>
        <w:rPr>
          <w:b/>
        </w:rPr>
      </w:pPr>
      <w:r>
        <w:rPr>
          <w:b/>
        </w:rPr>
        <w:t>FACTS:</w:t>
      </w:r>
    </w:p>
    <w:p w14:paraId="73C4BDDD" w14:textId="77777777" w:rsidR="00EB0265" w:rsidRDefault="00EB0265" w:rsidP="00EB0265">
      <w:pPr>
        <w:pStyle w:val="NoSpacing"/>
      </w:pPr>
      <w:r>
        <w:t>“</w:t>
      </w:r>
      <w:r w:rsidRPr="006B39B1">
        <w:t>Based on the information the officers had told them and their</w:t>
      </w:r>
      <w:r>
        <w:t xml:space="preserve"> </w:t>
      </w:r>
      <w:r w:rsidRPr="006B39B1">
        <w:t xml:space="preserve">visual assessment of Mr. McClain, </w:t>
      </w:r>
      <w:proofErr w:type="spellStart"/>
      <w:r w:rsidRPr="006B39B1">
        <w:t>Cichuniec</w:t>
      </w:r>
      <w:proofErr w:type="spellEnd"/>
      <w:r w:rsidRPr="006B39B1">
        <w:t xml:space="preserve"> and Cooper concluded</w:t>
      </w:r>
      <w:r>
        <w:t xml:space="preserve"> </w:t>
      </w:r>
      <w:r w:rsidRPr="006B39B1">
        <w:t xml:space="preserve">that Mr. McClain showed symptoms of a condition called </w:t>
      </w:r>
      <w:r>
        <w:t>‘</w:t>
      </w:r>
      <w:r w:rsidRPr="006B39B1">
        <w:t>excited</w:t>
      </w:r>
      <w:r>
        <w:t xml:space="preserve"> </w:t>
      </w:r>
      <w:r w:rsidRPr="006B39B1">
        <w:t>delirium.</w:t>
      </w:r>
      <w:r>
        <w:t>’</w:t>
      </w:r>
      <w:r w:rsidRPr="006B39B1">
        <w:t xml:space="preserve"> They agreed they would inject Mr. McClain with</w:t>
      </w:r>
      <w:r>
        <w:t xml:space="preserve"> </w:t>
      </w:r>
      <w:r w:rsidRPr="006B39B1">
        <w:t>ketamine.</w:t>
      </w:r>
      <w:r>
        <w:t xml:space="preserve"> </w:t>
      </w:r>
      <w:r w:rsidRPr="006B39B1">
        <w:t>Cooper told the officers that the paramedics would</w:t>
      </w:r>
      <w:r>
        <w:t xml:space="preserve"> </w:t>
      </w:r>
      <w:r w:rsidRPr="006B39B1">
        <w:t>inject Mr. McClain with ketamine once the ambulance arrived with</w:t>
      </w:r>
      <w:r>
        <w:t xml:space="preserve"> the drug. (An ambulance with two emergency medical technicians (EMTs) had also been dispatched to the scene.)</w:t>
      </w:r>
    </w:p>
    <w:p w14:paraId="5DB4C4B7" w14:textId="77777777" w:rsidR="00EB0265" w:rsidRDefault="00EB0265" w:rsidP="00EB0265">
      <w:pPr>
        <w:pStyle w:val="NoSpacing"/>
      </w:pPr>
      <w:r>
        <w:t xml:space="preserve">Once the ambulance arrived, </w:t>
      </w:r>
      <w:proofErr w:type="spellStart"/>
      <w:r>
        <w:t>Cichuniec</w:t>
      </w:r>
      <w:proofErr w:type="spellEnd"/>
      <w:r>
        <w:t xml:space="preserve"> and Cooper determined that 500 mg of ketamine was the correct dosage to give to Mr. McClain based on his weight (which </w:t>
      </w:r>
      <w:proofErr w:type="spellStart"/>
      <w:r>
        <w:t>Cichuniec</w:t>
      </w:r>
      <w:proofErr w:type="spellEnd"/>
      <w:r>
        <w:t xml:space="preserve"> estimated at 187 pounds (85 kg) and Cooper estimated at about 220 pounds (100 kg)) and his degree of agitation. (In fact, Mr. McClain weighed only 143 pounds.) Either </w:t>
      </w:r>
      <w:proofErr w:type="spellStart"/>
      <w:r>
        <w:t>Cichuniec</w:t>
      </w:r>
      <w:proofErr w:type="spellEnd"/>
      <w:r>
        <w:t xml:space="preserve"> or Cooper told an EMT to</w:t>
      </w:r>
    </w:p>
    <w:p w14:paraId="7AEB7D03" w14:textId="77777777" w:rsidR="00EB0265" w:rsidRDefault="00EB0265" w:rsidP="00EB0265">
      <w:pPr>
        <w:pStyle w:val="NoSpacing"/>
      </w:pPr>
      <w:proofErr w:type="gramStart"/>
      <w:r>
        <w:t>prepare</w:t>
      </w:r>
      <w:proofErr w:type="gramEnd"/>
      <w:r>
        <w:t xml:space="preserve"> it. Once the EMT did so, Cooper injected it into Mr. McClain.</w:t>
      </w:r>
    </w:p>
    <w:p w14:paraId="3727E8CE" w14:textId="77777777" w:rsidR="00EB0265" w:rsidRDefault="00EB0265" w:rsidP="00EB0265">
      <w:pPr>
        <w:pStyle w:val="NoSpacing"/>
      </w:pPr>
    </w:p>
    <w:p w14:paraId="111B0579" w14:textId="77777777" w:rsidR="00EB0265" w:rsidRDefault="00EB0265" w:rsidP="00EB0265">
      <w:pPr>
        <w:pStyle w:val="NoSpacing"/>
      </w:pPr>
      <w:r>
        <w:t xml:space="preserve">Sometime after Mr. McClain was placed in the ambulance, </w:t>
      </w:r>
      <w:proofErr w:type="spellStart"/>
      <w:r>
        <w:t>Cichuniec</w:t>
      </w:r>
      <w:proofErr w:type="spellEnd"/>
      <w:r>
        <w:t xml:space="preserve"> noticed that he had stopped breathing. He told an EMT to check Mr. McClain’s pulse. When the EMT couldn’t find one, the EMTs began CPR. Mr. McClain was subsequently admitted to a hospital. Doctors declared him brain dead a few days later.”</w:t>
      </w:r>
    </w:p>
    <w:p w14:paraId="54ADB63E" w14:textId="77777777" w:rsidR="00EB0265" w:rsidRDefault="00EB0265" w:rsidP="00EB0265">
      <w:pPr>
        <w:pStyle w:val="NoSpacing"/>
      </w:pPr>
    </w:p>
    <w:p w14:paraId="273546B6" w14:textId="77777777" w:rsidR="00EB0265" w:rsidRPr="00C16E9C" w:rsidRDefault="00EB0265" w:rsidP="00EB0265">
      <w:pPr>
        <w:pStyle w:val="NoSpacing"/>
        <w:rPr>
          <w:b/>
          <w:bCs/>
        </w:rPr>
      </w:pPr>
      <w:r w:rsidRPr="00C16E9C">
        <w:rPr>
          <w:b/>
        </w:rPr>
        <w:t xml:space="preserve">COURT HELD: </w:t>
      </w:r>
    </w:p>
    <w:p w14:paraId="41E673F5" w14:textId="77777777" w:rsidR="00EB0265" w:rsidRDefault="00EB0265" w:rsidP="00EB0265">
      <w:pPr>
        <w:pStyle w:val="NoSpacing"/>
      </w:pPr>
    </w:p>
    <w:p w14:paraId="40FB4E8D" w14:textId="77777777" w:rsidR="00EB0265" w:rsidRDefault="00EB0265" w:rsidP="00EB0265">
      <w:r>
        <w:t>“</w:t>
      </w:r>
      <w:r w:rsidRPr="0083787B">
        <w:t>Defendant, Peter Cichuniec, appeals the district court’s</w:t>
      </w:r>
      <w:r>
        <w:t xml:space="preserve"> </w:t>
      </w:r>
      <w:r w:rsidRPr="0083787B">
        <w:t>judgment of conviction entered after a jury found him guilty of</w:t>
      </w:r>
      <w:r>
        <w:t xml:space="preserve"> </w:t>
      </w:r>
      <w:r w:rsidRPr="0083787B">
        <w:t xml:space="preserve">criminally negligent homicide and </w:t>
      </w:r>
      <w:proofErr w:type="gramStart"/>
      <w:r w:rsidRPr="0083787B">
        <w:t>second degree</w:t>
      </w:r>
      <w:proofErr w:type="gramEnd"/>
      <w:r w:rsidRPr="0083787B">
        <w:t xml:space="preserve"> assault.</w:t>
      </w:r>
      <w:r>
        <w:t xml:space="preserve"> </w:t>
      </w:r>
      <w:r w:rsidRPr="0083787B">
        <w:t xml:space="preserve">The People charged </w:t>
      </w:r>
      <w:proofErr w:type="spellStart"/>
      <w:r w:rsidRPr="0083787B">
        <w:t>Cichuniec</w:t>
      </w:r>
      <w:proofErr w:type="spellEnd"/>
      <w:r w:rsidRPr="0083787B">
        <w:t>, a paramedic, and his</w:t>
      </w:r>
      <w:r>
        <w:t xml:space="preserve"> </w:t>
      </w:r>
      <w:r w:rsidRPr="0083787B">
        <w:t>codefendant, Jeremy Cooper, also a paramedic, with various</w:t>
      </w:r>
      <w:r>
        <w:t xml:space="preserve"> </w:t>
      </w:r>
      <w:r w:rsidRPr="0083787B">
        <w:t>offenses arising out their medical treatment of Elijah McClain based</w:t>
      </w:r>
      <w:r>
        <w:t xml:space="preserve"> </w:t>
      </w:r>
      <w:r w:rsidRPr="0083787B">
        <w:t>on a theory that Cooper’s injection of Mr. McClain with ketamine</w:t>
      </w:r>
      <w:r>
        <w:t xml:space="preserve"> </w:t>
      </w:r>
      <w:r w:rsidRPr="0083787B">
        <w:t xml:space="preserve">contributed to Mr. McClain’s tragic death. A jury found </w:t>
      </w:r>
      <w:proofErr w:type="spellStart"/>
      <w:r w:rsidRPr="0083787B">
        <w:t>Cichuniec</w:t>
      </w:r>
      <w:proofErr w:type="spellEnd"/>
      <w:r>
        <w:t xml:space="preserve"> </w:t>
      </w:r>
      <w:r w:rsidRPr="0083787B">
        <w:t xml:space="preserve">guilty of both criminally negligent homicide and </w:t>
      </w:r>
      <w:proofErr w:type="gramStart"/>
      <w:r w:rsidRPr="0083787B">
        <w:t>second degree</w:t>
      </w:r>
      <w:proofErr w:type="gramEnd"/>
      <w:r>
        <w:t xml:space="preserve"> </w:t>
      </w:r>
      <w:r w:rsidRPr="0083787B">
        <w:t>assault. That same jury found Cooper guilty of criminally negligent</w:t>
      </w:r>
      <w:r>
        <w:t xml:space="preserve"> </w:t>
      </w:r>
      <w:r w:rsidRPr="0083787B">
        <w:t xml:space="preserve">homicide but not guilty of </w:t>
      </w:r>
      <w:proofErr w:type="gramStart"/>
      <w:r w:rsidRPr="0083787B">
        <w:t>second degree</w:t>
      </w:r>
      <w:proofErr w:type="gramEnd"/>
      <w:r w:rsidRPr="0083787B">
        <w:t xml:space="preserve"> assault. Cooper separately</w:t>
      </w:r>
      <w:r>
        <w:t xml:space="preserve"> </w:t>
      </w:r>
      <w:r w:rsidRPr="0083787B">
        <w:t>appealed, and this division (with Judge Berger substituting for</w:t>
      </w:r>
      <w:r>
        <w:t xml:space="preserve"> </w:t>
      </w:r>
      <w:r w:rsidRPr="0083787B">
        <w:t>Judge Lum) reversed Cooper’s conviction for criminally negligent</w:t>
      </w:r>
      <w:r>
        <w:t xml:space="preserve"> </w:t>
      </w:r>
      <w:r w:rsidRPr="0083787B">
        <w:t xml:space="preserve">homicide and </w:t>
      </w:r>
      <w:proofErr w:type="gramStart"/>
      <w:r w:rsidRPr="0083787B">
        <w:t>remanded</w:t>
      </w:r>
      <w:proofErr w:type="gramEnd"/>
      <w:r w:rsidRPr="0083787B">
        <w:t xml:space="preserve"> for a new trial on that charge. People v.</w:t>
      </w:r>
      <w:r>
        <w:t xml:space="preserve"> </w:t>
      </w:r>
      <w:r w:rsidRPr="0083787B">
        <w:t>Cooper, 2026 COA 44.</w:t>
      </w:r>
      <w:r>
        <w:t xml:space="preserve"> We now also reverse </w:t>
      </w:r>
      <w:proofErr w:type="spellStart"/>
      <w:r>
        <w:t>Cichuniec’s</w:t>
      </w:r>
      <w:proofErr w:type="spellEnd"/>
      <w:r>
        <w:t xml:space="preserve"> conviction for criminally negligent homicide and </w:t>
      </w:r>
      <w:proofErr w:type="gramStart"/>
      <w:r>
        <w:t>remand</w:t>
      </w:r>
      <w:proofErr w:type="gramEnd"/>
      <w:r>
        <w:t xml:space="preserve"> for a new trial on that charge. But we affirm </w:t>
      </w:r>
      <w:proofErr w:type="spellStart"/>
      <w:r>
        <w:t>Cichuniec’s</w:t>
      </w:r>
      <w:proofErr w:type="spellEnd"/>
      <w:r>
        <w:t xml:space="preserve"> conviction for second degree assault.</w:t>
      </w:r>
    </w:p>
    <w:p w14:paraId="04015B2E" w14:textId="77777777" w:rsidR="00EB0265" w:rsidRDefault="00EB0265" w:rsidP="00EB0265">
      <w:r>
        <w:t>***</w:t>
      </w:r>
    </w:p>
    <w:p w14:paraId="4313B307" w14:textId="77777777" w:rsidR="00EB0265" w:rsidRDefault="00EB0265" w:rsidP="00EB0265">
      <w:pPr>
        <w:pStyle w:val="NoSpacing"/>
      </w:pPr>
      <w:r w:rsidRPr="00483A61">
        <w:t xml:space="preserve">We therefore reverse </w:t>
      </w:r>
      <w:proofErr w:type="spellStart"/>
      <w:r w:rsidRPr="00483A61">
        <w:t>Cichuniec’s</w:t>
      </w:r>
      <w:proofErr w:type="spellEnd"/>
      <w:r w:rsidRPr="00483A61">
        <w:t xml:space="preserve"> conviction for criminally</w:t>
      </w:r>
      <w:r>
        <w:t xml:space="preserve"> </w:t>
      </w:r>
      <w:r w:rsidRPr="00483A61">
        <w:t>negligent homicide and remand the case for a new trial on that</w:t>
      </w:r>
      <w:r>
        <w:t xml:space="preserve"> </w:t>
      </w:r>
      <w:r w:rsidRPr="00483A61">
        <w:t>charge (should the People so elect).</w:t>
      </w:r>
      <w:r>
        <w:t>”</w:t>
      </w:r>
    </w:p>
    <w:p w14:paraId="65C7D9AD" w14:textId="77777777" w:rsidR="00EB0265" w:rsidRDefault="00EB0265" w:rsidP="00EB0265">
      <w:pPr>
        <w:pStyle w:val="NoSpacing"/>
      </w:pPr>
    </w:p>
    <w:p w14:paraId="3EF69C49" w14:textId="77777777" w:rsidR="00EB0265" w:rsidRPr="00377720" w:rsidRDefault="00EB0265" w:rsidP="00EB0265">
      <w:pPr>
        <w:pStyle w:val="NoSpacing"/>
        <w:rPr>
          <w:b/>
          <w:bCs/>
        </w:rPr>
      </w:pPr>
      <w:r w:rsidRPr="004E2529">
        <w:rPr>
          <w:b/>
        </w:rPr>
        <w:t xml:space="preserve">Legal lesson learned: </w:t>
      </w:r>
      <w:r>
        <w:rPr>
          <w:b/>
        </w:rPr>
        <w:t>The medic was never sentenced to prison for the assault conviction, so hopefully he will not be re-tried for that offense</w:t>
      </w:r>
    </w:p>
    <w:p w14:paraId="15D67F94" w14:textId="77777777" w:rsidR="00EB0265" w:rsidRPr="00C06A25" w:rsidRDefault="00EB0265" w:rsidP="00EB0265">
      <w:pPr>
        <w:pStyle w:val="NoSpacing"/>
      </w:pPr>
    </w:p>
    <w:p w14:paraId="60E9092F" w14:textId="77777777" w:rsidR="00EB0265" w:rsidRDefault="00EB0265" w:rsidP="00EB0265">
      <w:pPr>
        <w:pStyle w:val="NoSpacing"/>
      </w:pPr>
    </w:p>
    <w:p w14:paraId="671247A8" w14:textId="77777777" w:rsidR="00EB0265" w:rsidRDefault="00EB0265" w:rsidP="00EB0265">
      <w:pPr>
        <w:pStyle w:val="NoSpacing"/>
      </w:pPr>
    </w:p>
    <w:p w14:paraId="4353F456" w14:textId="77777777" w:rsidR="00EB0265" w:rsidRDefault="00EB0265" w:rsidP="00EB0265">
      <w:pPr>
        <w:pStyle w:val="NoSpacing"/>
        <w:rPr>
          <w:b/>
        </w:rPr>
      </w:pPr>
    </w:p>
    <w:p w14:paraId="1DD4A4D9" w14:textId="003A5C0D" w:rsidR="00824E5F" w:rsidRPr="00DA5EE8" w:rsidRDefault="00824E5F" w:rsidP="00824E5F">
      <w:pPr>
        <w:pStyle w:val="NoSpacing"/>
        <w:rPr>
          <w:rFonts w:ascii="Arial Black" w:hAnsi="Arial Black"/>
          <w:sz w:val="24"/>
          <w:szCs w:val="24"/>
        </w:rPr>
      </w:pPr>
      <w:r w:rsidRPr="00DA5EE8">
        <w:rPr>
          <w:rFonts w:ascii="Arial Black" w:hAnsi="Arial Black"/>
          <w:sz w:val="24"/>
          <w:szCs w:val="24"/>
        </w:rPr>
        <w:t>13-2</w:t>
      </w:r>
      <w:r>
        <w:rPr>
          <w:rFonts w:ascii="Arial Black" w:hAnsi="Arial Black"/>
          <w:sz w:val="24"/>
          <w:szCs w:val="24"/>
        </w:rPr>
        <w:t>60</w:t>
      </w:r>
    </w:p>
    <w:p w14:paraId="36857338" w14:textId="77777777" w:rsidR="00824E5F" w:rsidRDefault="00824E5F" w:rsidP="0087684E">
      <w:pPr>
        <w:pStyle w:val="NoSpacing"/>
        <w:rPr>
          <w:rFonts w:ascii="Arial Black" w:hAnsi="Arial Black"/>
          <w:sz w:val="28"/>
          <w:szCs w:val="28"/>
        </w:rPr>
      </w:pPr>
    </w:p>
    <w:p w14:paraId="4ABE72CF" w14:textId="15591C96" w:rsidR="0087684E" w:rsidRDefault="0087684E" w:rsidP="0087684E">
      <w:pPr>
        <w:pStyle w:val="NoSpacing"/>
      </w:pPr>
      <w:r>
        <w:rPr>
          <w:rFonts w:ascii="Arial Black" w:hAnsi="Arial Black"/>
          <w:sz w:val="28"/>
          <w:szCs w:val="28"/>
        </w:rPr>
        <w:t>TN: MEDIC CASE PROCEED – WHISTLEBLOWER /</w:t>
      </w:r>
      <w:r w:rsidR="00824E5F">
        <w:rPr>
          <w:rFonts w:ascii="Arial Black" w:hAnsi="Arial Black"/>
          <w:sz w:val="28"/>
          <w:szCs w:val="28"/>
        </w:rPr>
        <w:t xml:space="preserve"> </w:t>
      </w:r>
      <w:r>
        <w:rPr>
          <w:rFonts w:ascii="Arial Black" w:hAnsi="Arial Black"/>
          <w:sz w:val="28"/>
          <w:szCs w:val="28"/>
        </w:rPr>
        <w:t xml:space="preserve">PT REFUSAL </w:t>
      </w:r>
    </w:p>
    <w:p w14:paraId="0747497E" w14:textId="77777777" w:rsidR="0087684E" w:rsidRDefault="0087684E" w:rsidP="0087684E">
      <w:pPr>
        <w:pStyle w:val="NoSpacing"/>
      </w:pPr>
    </w:p>
    <w:p w14:paraId="54DB1587" w14:textId="77777777" w:rsidR="0087684E" w:rsidRDefault="0087684E" w:rsidP="0087684E">
      <w:pPr>
        <w:rPr>
          <w:b/>
        </w:rPr>
      </w:pPr>
      <w:r>
        <w:t xml:space="preserve">On May 26, 2026, in </w:t>
      </w:r>
      <w:r w:rsidRPr="00654575">
        <w:rPr>
          <w:u w:val="single"/>
        </w:rPr>
        <w:t>Adam Thomas v. Metropolitan Government of Nashville and Davidson County</w:t>
      </w:r>
      <w:r>
        <w:t xml:space="preserve">, the </w:t>
      </w:r>
      <w:r w:rsidRPr="00555F7A">
        <w:t>Court of Appeals of Tennessee, Nashville</w:t>
      </w:r>
      <w:r>
        <w:t xml:space="preserve"> held (3 to 0) that the former paramedic’s whistleblower lawsuit is </w:t>
      </w:r>
      <w:proofErr w:type="gramStart"/>
      <w:r>
        <w:t>reinstated, and</w:t>
      </w:r>
      <w:proofErr w:type="gramEnd"/>
      <w:r>
        <w:t xml:space="preserve"> will now proceed to pre-trial discovery.  THE COURT WROTE:  “</w:t>
      </w:r>
      <w:r w:rsidRPr="005F3752">
        <w:t>He</w:t>
      </w:r>
      <w:r>
        <w:t xml:space="preserve"> </w:t>
      </w:r>
      <w:r w:rsidRPr="005F3752">
        <w:t>asserted that in violation of the Tennessee Public Protection Act he was discharged by the</w:t>
      </w:r>
      <w:r>
        <w:t xml:space="preserve"> </w:t>
      </w:r>
      <w:r w:rsidRPr="005F3752">
        <w:t>Nashville Fire Department because he refused to participate in or remain silent about the</w:t>
      </w:r>
      <w:r>
        <w:t xml:space="preserve"> </w:t>
      </w:r>
      <w:r w:rsidRPr="005F3752">
        <w:t>department forcing mentally competent inmates to undergo medical treatment without their</w:t>
      </w:r>
      <w:r>
        <w:t xml:space="preserve"> </w:t>
      </w:r>
      <w:r w:rsidRPr="005F3752">
        <w:t>consent</w:t>
      </w:r>
      <w:r>
        <w:t xml:space="preserve">…. </w:t>
      </w:r>
      <w:r w:rsidRPr="00650425">
        <w:t>According to the complaint, Mr.</w:t>
      </w:r>
      <w:r>
        <w:t xml:space="preserve"> </w:t>
      </w:r>
      <w:r w:rsidRPr="00650425">
        <w:t xml:space="preserve">Thomas reported </w:t>
      </w:r>
      <w:proofErr w:type="gramStart"/>
      <w:r w:rsidRPr="00650425">
        <w:t>the illegal</w:t>
      </w:r>
      <w:proofErr w:type="gramEnd"/>
      <w:r w:rsidRPr="00650425">
        <w:t xml:space="preserve"> activity to </w:t>
      </w:r>
      <w:proofErr w:type="gramStart"/>
      <w:r w:rsidRPr="00650425">
        <w:t>persons</w:t>
      </w:r>
      <w:proofErr w:type="gramEnd"/>
      <w:r w:rsidRPr="00650425">
        <w:t xml:space="preserve"> outside of the fire department, including</w:t>
      </w:r>
      <w:r>
        <w:t xml:space="preserve"> </w:t>
      </w:r>
      <w:r w:rsidRPr="00650425">
        <w:t>doctors, nurses, and an inmate. As to the latter, he not only informed the inmate that his</w:t>
      </w:r>
      <w:r>
        <w:t xml:space="preserve"> </w:t>
      </w:r>
      <w:r w:rsidRPr="00650425">
        <w:t>legal rights may have been violated but also proceeded to document the violation</w:t>
      </w:r>
      <w:r>
        <w:t xml:space="preserve">…. </w:t>
      </w:r>
      <w:r w:rsidRPr="00650425">
        <w:t>See Tenn.</w:t>
      </w:r>
      <w:r>
        <w:t xml:space="preserve"> </w:t>
      </w:r>
      <w:r w:rsidRPr="00650425">
        <w:t>Code Ann. § 50-1-304 (b)</w:t>
      </w:r>
      <w:proofErr w:type="gramStart"/>
      <w:r w:rsidRPr="00650425">
        <w:t>) (</w:t>
      </w:r>
      <w:r>
        <w:t>‘</w:t>
      </w:r>
      <w:proofErr w:type="gramEnd"/>
      <w:r w:rsidRPr="00650425">
        <w:t>No employee shall be discharged or terminated solely for</w:t>
      </w:r>
      <w:r>
        <w:t xml:space="preserve"> </w:t>
      </w:r>
      <w:r w:rsidRPr="00650425">
        <w:t>refusing to participate in, or for refusing to remain silent about, illegal activities.</w:t>
      </w:r>
      <w:r>
        <w:t>’</w:t>
      </w:r>
      <w:r w:rsidRPr="003140C1">
        <w:t xml:space="preserve">). </w:t>
      </w:r>
      <w:hyperlink r:id="rId1970" w:history="1">
        <w:r w:rsidRPr="003140C1">
          <w:rPr>
            <w:rStyle w:val="Hyperlink"/>
          </w:rPr>
          <w:t>https://cases.justia.com/tennessee/court-of-appeals/2026-m2025-00288-coa-r3-cv.pdf?ts=1779919242</w:t>
        </w:r>
      </w:hyperlink>
      <w:r>
        <w:rPr>
          <w:b/>
        </w:rPr>
        <w:t xml:space="preserve"> </w:t>
      </w:r>
    </w:p>
    <w:p w14:paraId="73D5C311" w14:textId="77777777" w:rsidR="0087684E" w:rsidRDefault="0087684E" w:rsidP="0087684E">
      <w:pPr>
        <w:rPr>
          <w:bCs/>
        </w:rPr>
      </w:pPr>
      <w:r w:rsidRPr="003140C1">
        <w:t>THE COURT HELD:</w:t>
      </w:r>
    </w:p>
    <w:p w14:paraId="6AA95A03" w14:textId="77777777" w:rsidR="0087684E" w:rsidRPr="0076569D" w:rsidRDefault="0087684E" w:rsidP="0087684E">
      <w:pPr>
        <w:pStyle w:val="NoSpacing"/>
        <w:ind w:firstLine="720"/>
        <w:rPr>
          <w:bCs/>
        </w:rPr>
      </w:pPr>
      <w:r>
        <w:t>“</w:t>
      </w:r>
      <w:r w:rsidRPr="0076569D">
        <w:t>According to his amended complaint, Mr. Thomas began working for the Nashville</w:t>
      </w:r>
    </w:p>
    <w:p w14:paraId="7DEF0239" w14:textId="77777777" w:rsidR="0087684E" w:rsidRPr="0076569D" w:rsidRDefault="0087684E" w:rsidP="0087684E">
      <w:pPr>
        <w:pStyle w:val="NoSpacing"/>
        <w:ind w:firstLine="720"/>
        <w:rPr>
          <w:bCs/>
        </w:rPr>
      </w:pPr>
      <w:r w:rsidRPr="0076569D">
        <w:t>Fire Department in October 2023. He was not new to being a paramedic; rather, he had</w:t>
      </w:r>
    </w:p>
    <w:p w14:paraId="55353C71" w14:textId="77777777" w:rsidR="0087684E" w:rsidRPr="0076569D" w:rsidRDefault="0087684E" w:rsidP="0087684E">
      <w:pPr>
        <w:pStyle w:val="NoSpacing"/>
        <w:ind w:firstLine="720"/>
        <w:rPr>
          <w:bCs/>
        </w:rPr>
      </w:pPr>
      <w:r w:rsidRPr="0076569D">
        <w:t>eight years of experience in such a role. In his first six months with the Nashville Fire</w:t>
      </w:r>
    </w:p>
    <w:p w14:paraId="765C9F14" w14:textId="77777777" w:rsidR="0087684E" w:rsidRPr="0076569D" w:rsidRDefault="0087684E" w:rsidP="0087684E">
      <w:pPr>
        <w:pStyle w:val="NoSpacing"/>
        <w:ind w:firstLine="720"/>
        <w:rPr>
          <w:bCs/>
        </w:rPr>
      </w:pPr>
      <w:proofErr w:type="gramStart"/>
      <w:r w:rsidRPr="0076569D">
        <w:t>Department, Mr</w:t>
      </w:r>
      <w:proofErr w:type="gramEnd"/>
      <w:r w:rsidRPr="0076569D">
        <w:t>. Thomas was recognized with three awards for his outstanding job</w:t>
      </w:r>
    </w:p>
    <w:p w14:paraId="5A4FAEE9" w14:textId="77777777" w:rsidR="0087684E" w:rsidRPr="0076569D" w:rsidRDefault="0087684E" w:rsidP="0087684E">
      <w:pPr>
        <w:pStyle w:val="NoSpacing"/>
        <w:ind w:firstLine="720"/>
        <w:rPr>
          <w:bCs/>
        </w:rPr>
      </w:pPr>
      <w:r w:rsidRPr="0076569D">
        <w:t>performance.</w:t>
      </w:r>
    </w:p>
    <w:p w14:paraId="3DF6092C" w14:textId="77777777" w:rsidR="0087684E" w:rsidRDefault="0087684E" w:rsidP="0087684E">
      <w:pPr>
        <w:pStyle w:val="NoSpacing"/>
        <w:rPr>
          <w:bCs/>
        </w:rPr>
      </w:pPr>
    </w:p>
    <w:p w14:paraId="22CA9F5F" w14:textId="77777777" w:rsidR="0087684E" w:rsidRPr="0076569D" w:rsidRDefault="0087684E" w:rsidP="0087684E">
      <w:pPr>
        <w:pStyle w:val="NoSpacing"/>
        <w:ind w:firstLine="720"/>
        <w:rPr>
          <w:bCs/>
        </w:rPr>
      </w:pPr>
      <w:r w:rsidRPr="0076569D">
        <w:t>However, things turned for Mr. Thomas starting on January 23, 2024. On that date,</w:t>
      </w:r>
    </w:p>
    <w:p w14:paraId="5250D6CD" w14:textId="77777777" w:rsidR="0087684E" w:rsidRPr="0076569D" w:rsidRDefault="0087684E" w:rsidP="0087684E">
      <w:pPr>
        <w:pStyle w:val="NoSpacing"/>
        <w:ind w:firstLine="720"/>
        <w:rPr>
          <w:bCs/>
        </w:rPr>
      </w:pPr>
      <w:r w:rsidRPr="0076569D">
        <w:t>Mr. Thomas responded to a call indicating an inmate needed medical attention at the</w:t>
      </w:r>
    </w:p>
    <w:p w14:paraId="024D67C5" w14:textId="77777777" w:rsidR="0087684E" w:rsidRPr="0076569D" w:rsidRDefault="0087684E" w:rsidP="0087684E">
      <w:pPr>
        <w:pStyle w:val="NoSpacing"/>
        <w:ind w:firstLine="720"/>
        <w:rPr>
          <w:bCs/>
        </w:rPr>
      </w:pPr>
      <w:r w:rsidRPr="0076569D">
        <w:t>Davidson County Jail. Upon arriving, Mr. Thomas was informed the inmate was refusing</w:t>
      </w:r>
    </w:p>
    <w:p w14:paraId="6E929641" w14:textId="77777777" w:rsidR="0087684E" w:rsidRPr="0076569D" w:rsidRDefault="0087684E" w:rsidP="0087684E">
      <w:pPr>
        <w:pStyle w:val="NoSpacing"/>
        <w:ind w:firstLine="720"/>
        <w:rPr>
          <w:bCs/>
        </w:rPr>
      </w:pPr>
      <w:r w:rsidRPr="0076569D">
        <w:t>medical treatment and transport to the hospital. While Mr. Thomas maintained that the</w:t>
      </w:r>
    </w:p>
    <w:p w14:paraId="089B2378" w14:textId="77777777" w:rsidR="0087684E" w:rsidRPr="0076569D" w:rsidRDefault="0087684E" w:rsidP="0087684E">
      <w:pPr>
        <w:pStyle w:val="NoSpacing"/>
        <w:ind w:firstLine="720"/>
        <w:rPr>
          <w:bCs/>
        </w:rPr>
      </w:pPr>
      <w:r w:rsidRPr="0076569D">
        <w:t>inmate had a right to refuse medical treatment, a nurse at the jail remained steadfast that</w:t>
      </w:r>
    </w:p>
    <w:p w14:paraId="42AC73B5" w14:textId="77777777" w:rsidR="0087684E" w:rsidRPr="0076569D" w:rsidRDefault="0087684E" w:rsidP="0087684E">
      <w:pPr>
        <w:pStyle w:val="NoSpacing"/>
        <w:ind w:firstLine="720"/>
        <w:rPr>
          <w:bCs/>
        </w:rPr>
      </w:pPr>
      <w:proofErr w:type="gramStart"/>
      <w:r w:rsidRPr="0076569D">
        <w:t>the</w:t>
      </w:r>
      <w:proofErr w:type="gramEnd"/>
      <w:r w:rsidRPr="0076569D">
        <w:t xml:space="preserve"> inmate did not have a right to refuse care or medical transport because of his status as</w:t>
      </w:r>
    </w:p>
    <w:p w14:paraId="6CDFBAAC" w14:textId="77777777" w:rsidR="0087684E" w:rsidRPr="0076569D" w:rsidRDefault="0087684E" w:rsidP="0087684E">
      <w:pPr>
        <w:pStyle w:val="NoSpacing"/>
        <w:ind w:firstLine="720"/>
        <w:rPr>
          <w:bCs/>
        </w:rPr>
      </w:pPr>
      <w:r w:rsidRPr="0076569D">
        <w:t>an inmate. On this occasion, Mr. Thomas relented and transported the inmate to the</w:t>
      </w:r>
    </w:p>
    <w:p w14:paraId="5E09431B" w14:textId="77777777" w:rsidR="0087684E" w:rsidRPr="0076569D" w:rsidRDefault="0087684E" w:rsidP="0087684E">
      <w:pPr>
        <w:pStyle w:val="NoSpacing"/>
        <w:ind w:firstLine="720"/>
        <w:rPr>
          <w:bCs/>
        </w:rPr>
      </w:pPr>
      <w:r w:rsidRPr="0076569D">
        <w:t xml:space="preserve">hospital despite the inmate’s refusal to be treated. To fulfill his duty to </w:t>
      </w:r>
      <w:proofErr w:type="gramStart"/>
      <w:r w:rsidRPr="0076569D">
        <w:t>medically</w:t>
      </w:r>
      <w:proofErr w:type="gramEnd"/>
      <w:r w:rsidRPr="0076569D">
        <w:t xml:space="preserve"> monitor</w:t>
      </w:r>
    </w:p>
    <w:p w14:paraId="24604EEF" w14:textId="77777777" w:rsidR="0087684E" w:rsidRPr="0076569D" w:rsidRDefault="0087684E" w:rsidP="0087684E">
      <w:pPr>
        <w:pStyle w:val="NoSpacing"/>
        <w:ind w:firstLine="720"/>
        <w:rPr>
          <w:bCs/>
        </w:rPr>
      </w:pPr>
      <w:r w:rsidRPr="0076569D">
        <w:t>a patient during transport, he took the inmate’s vital signs and continued to monitor those</w:t>
      </w:r>
    </w:p>
    <w:p w14:paraId="1DC0DE6C" w14:textId="77777777" w:rsidR="0087684E" w:rsidRDefault="0087684E" w:rsidP="0087684E">
      <w:pPr>
        <w:pStyle w:val="NoSpacing"/>
        <w:ind w:firstLine="720"/>
        <w:rPr>
          <w:bCs/>
        </w:rPr>
      </w:pPr>
      <w:r w:rsidRPr="0076569D">
        <w:t>vitals until arriving at the hospital.</w:t>
      </w:r>
    </w:p>
    <w:p w14:paraId="0B21A689" w14:textId="77777777" w:rsidR="0087684E" w:rsidRDefault="0087684E" w:rsidP="0087684E">
      <w:pPr>
        <w:pStyle w:val="NoSpacing"/>
        <w:ind w:firstLine="720"/>
        <w:rPr>
          <w:bCs/>
        </w:rPr>
      </w:pPr>
    </w:p>
    <w:p w14:paraId="24FE8C52" w14:textId="77777777" w:rsidR="0087684E" w:rsidRDefault="0087684E" w:rsidP="0087684E">
      <w:pPr>
        <w:pStyle w:val="NoSpacing"/>
        <w:ind w:firstLine="720"/>
        <w:rPr>
          <w:bCs/>
        </w:rPr>
      </w:pPr>
      <w:r>
        <w:t>***</w:t>
      </w:r>
    </w:p>
    <w:p w14:paraId="5459E241" w14:textId="77777777" w:rsidR="0087684E" w:rsidRPr="002967D3" w:rsidRDefault="0087684E" w:rsidP="0087684E">
      <w:pPr>
        <w:pStyle w:val="NoSpacing"/>
        <w:ind w:firstLine="720"/>
        <w:rPr>
          <w:bCs/>
        </w:rPr>
      </w:pPr>
      <w:r w:rsidRPr="002967D3">
        <w:t>Mr. Thomas also conducted his own research. His research confirmed his understanding</w:t>
      </w:r>
    </w:p>
    <w:p w14:paraId="1749C7DC" w14:textId="77777777" w:rsidR="0087684E" w:rsidRPr="002967D3" w:rsidRDefault="0087684E" w:rsidP="0087684E">
      <w:pPr>
        <w:pStyle w:val="NoSpacing"/>
        <w:ind w:left="720"/>
        <w:rPr>
          <w:bCs/>
        </w:rPr>
      </w:pPr>
      <w:r w:rsidRPr="002967D3">
        <w:t>that a mentally competent inmate has a right to refuse medical treatment. Mr. Thomas filed</w:t>
      </w:r>
      <w:r>
        <w:t xml:space="preserve"> </w:t>
      </w:r>
      <w:r w:rsidRPr="002967D3">
        <w:t>a detailed report at the conclusion of his shift. In his report, Mr. Thomas cited Tennessee</w:t>
      </w:r>
      <w:r>
        <w:t xml:space="preserve"> </w:t>
      </w:r>
      <w:r w:rsidRPr="002967D3">
        <w:t>Department of Correction policies and Tennessee Corrections Institute guidelines,</w:t>
      </w:r>
      <w:r>
        <w:t xml:space="preserve"> </w:t>
      </w:r>
      <w:r w:rsidRPr="002967D3">
        <w:t>indicating that prisoners have a right to refuse medical treatment.</w:t>
      </w:r>
    </w:p>
    <w:p w14:paraId="0484FA26" w14:textId="77777777" w:rsidR="0087684E" w:rsidRDefault="0087684E" w:rsidP="0087684E">
      <w:pPr>
        <w:pStyle w:val="NoSpacing"/>
        <w:ind w:firstLine="720"/>
        <w:rPr>
          <w:bCs/>
        </w:rPr>
      </w:pPr>
    </w:p>
    <w:p w14:paraId="7C7D3242" w14:textId="77777777" w:rsidR="0087684E" w:rsidRPr="002967D3" w:rsidRDefault="0087684E" w:rsidP="0087684E">
      <w:pPr>
        <w:pStyle w:val="NoSpacing"/>
        <w:ind w:firstLine="720"/>
        <w:rPr>
          <w:bCs/>
        </w:rPr>
      </w:pPr>
      <w:r w:rsidRPr="002967D3">
        <w:t xml:space="preserve">Approximately a week later, Mr. Thomas was called into a meeting with several </w:t>
      </w:r>
      <w:proofErr w:type="gramStart"/>
      <w:r w:rsidRPr="002967D3">
        <w:t>fire</w:t>
      </w:r>
      <w:proofErr w:type="gramEnd"/>
    </w:p>
    <w:p w14:paraId="69FDFF7E" w14:textId="77777777" w:rsidR="0087684E" w:rsidRPr="002967D3" w:rsidRDefault="0087684E" w:rsidP="0087684E">
      <w:pPr>
        <w:pStyle w:val="NoSpacing"/>
        <w:ind w:firstLine="720"/>
        <w:rPr>
          <w:bCs/>
        </w:rPr>
      </w:pPr>
      <w:r w:rsidRPr="002967D3">
        <w:t>department Chiefs. Mr. Thomas alleges that in this meeting, he was reprimanded</w:t>
      </w:r>
    </w:p>
    <w:p w14:paraId="503F65CE" w14:textId="77777777" w:rsidR="0087684E" w:rsidRPr="002967D3" w:rsidRDefault="0087684E" w:rsidP="0087684E">
      <w:pPr>
        <w:pStyle w:val="NoSpacing"/>
        <w:ind w:firstLine="720"/>
        <w:rPr>
          <w:bCs/>
        </w:rPr>
      </w:pPr>
      <w:r w:rsidRPr="002967D3">
        <w:t xml:space="preserve">extensively for the report he filed regarding the January 23, </w:t>
      </w:r>
      <w:proofErr w:type="gramStart"/>
      <w:r w:rsidRPr="002967D3">
        <w:t>2024</w:t>
      </w:r>
      <w:proofErr w:type="gramEnd"/>
      <w:r w:rsidRPr="002967D3">
        <w:t xml:space="preserve"> transport of the inmate.</w:t>
      </w:r>
    </w:p>
    <w:p w14:paraId="2B31724B" w14:textId="77777777" w:rsidR="0087684E" w:rsidRPr="002967D3" w:rsidRDefault="0087684E" w:rsidP="0087684E">
      <w:pPr>
        <w:pStyle w:val="NoSpacing"/>
        <w:ind w:firstLine="720"/>
        <w:rPr>
          <w:bCs/>
        </w:rPr>
      </w:pPr>
      <w:r w:rsidRPr="002967D3">
        <w:t>The Chiefs indicated that he was correct that an inmate could refuse treatment, but they</w:t>
      </w:r>
    </w:p>
    <w:p w14:paraId="22FA74A6" w14:textId="77777777" w:rsidR="0087684E" w:rsidRPr="00C1245A" w:rsidRDefault="0087684E" w:rsidP="0087684E">
      <w:pPr>
        <w:pStyle w:val="NoSpacing"/>
        <w:ind w:left="720"/>
        <w:rPr>
          <w:bCs/>
        </w:rPr>
      </w:pPr>
      <w:r w:rsidRPr="002967D3">
        <w:t>could not believe that he had documented the incident. In the meeting, Mr. Thomas</w:t>
      </w:r>
      <w:r>
        <w:t xml:space="preserve"> </w:t>
      </w:r>
      <w:r w:rsidRPr="00C1245A">
        <w:t>indicated that he would not transport another competent inmate to the hospital without the</w:t>
      </w:r>
      <w:r>
        <w:t xml:space="preserve"> </w:t>
      </w:r>
      <w:r w:rsidRPr="00C1245A">
        <w:t>inmate’s consent.</w:t>
      </w:r>
    </w:p>
    <w:p w14:paraId="7D59D021" w14:textId="77777777" w:rsidR="0087684E" w:rsidRDefault="0087684E" w:rsidP="0087684E">
      <w:pPr>
        <w:pStyle w:val="NoSpacing"/>
        <w:ind w:firstLine="720"/>
        <w:rPr>
          <w:bCs/>
        </w:rPr>
      </w:pPr>
    </w:p>
    <w:p w14:paraId="79927B4B" w14:textId="77777777" w:rsidR="0087684E" w:rsidRPr="00C1245A" w:rsidRDefault="0087684E" w:rsidP="0087684E">
      <w:pPr>
        <w:pStyle w:val="NoSpacing"/>
        <w:ind w:firstLine="720"/>
        <w:rPr>
          <w:bCs/>
        </w:rPr>
      </w:pPr>
      <w:r w:rsidRPr="00C1245A">
        <w:t>Less than a month later, Mr. Thomas, who had previously served in the Marine</w:t>
      </w:r>
    </w:p>
    <w:p w14:paraId="0390EF73" w14:textId="77777777" w:rsidR="0087684E" w:rsidRPr="00C1245A" w:rsidRDefault="0087684E" w:rsidP="0087684E">
      <w:pPr>
        <w:pStyle w:val="NoSpacing"/>
        <w:ind w:firstLine="720"/>
        <w:rPr>
          <w:bCs/>
        </w:rPr>
      </w:pPr>
      <w:proofErr w:type="gramStart"/>
      <w:r w:rsidRPr="00C1245A">
        <w:t>Corps,</w:t>
      </w:r>
      <w:proofErr w:type="gramEnd"/>
      <w:r w:rsidRPr="00C1245A">
        <w:t xml:space="preserve"> was scheduled to be in Arlington. Members of his platoon annually gathered to</w:t>
      </w:r>
    </w:p>
    <w:p w14:paraId="6A3EC459" w14:textId="77777777" w:rsidR="0087684E" w:rsidRPr="00C1245A" w:rsidRDefault="0087684E" w:rsidP="0087684E">
      <w:pPr>
        <w:pStyle w:val="NoSpacing"/>
        <w:ind w:firstLine="720"/>
        <w:rPr>
          <w:bCs/>
        </w:rPr>
      </w:pPr>
      <w:r w:rsidRPr="00C1245A">
        <w:t>honor a fallen comrade who had died in Afghanistan. Mr. Thomas had been approved for</w:t>
      </w:r>
    </w:p>
    <w:p w14:paraId="04FF85AB" w14:textId="77777777" w:rsidR="0087684E" w:rsidRPr="00C1245A" w:rsidRDefault="0087684E" w:rsidP="0087684E">
      <w:pPr>
        <w:pStyle w:val="NoSpacing"/>
        <w:ind w:firstLine="720"/>
        <w:rPr>
          <w:bCs/>
        </w:rPr>
      </w:pPr>
      <w:r w:rsidRPr="00C1245A">
        <w:t xml:space="preserve">vacation time, and a coworker was going to cover his shift on February 16. </w:t>
      </w:r>
      <w:proofErr w:type="gramStart"/>
      <w:r w:rsidRPr="00C1245A">
        <w:t>The coworker</w:t>
      </w:r>
      <w:proofErr w:type="gramEnd"/>
      <w:r w:rsidRPr="00C1245A">
        <w:t>,</w:t>
      </w:r>
    </w:p>
    <w:p w14:paraId="59B7A3D9" w14:textId="77777777" w:rsidR="0087684E" w:rsidRPr="00C1245A" w:rsidRDefault="0087684E" w:rsidP="0087684E">
      <w:pPr>
        <w:pStyle w:val="NoSpacing"/>
        <w:ind w:firstLine="720"/>
        <w:rPr>
          <w:bCs/>
        </w:rPr>
      </w:pPr>
      <w:proofErr w:type="gramStart"/>
      <w:r w:rsidRPr="00C1245A">
        <w:t>however</w:t>
      </w:r>
      <w:proofErr w:type="gramEnd"/>
      <w:r w:rsidRPr="00C1245A">
        <w:t>, was forbidden by superiors from covering his February 16 shift, which went</w:t>
      </w:r>
    </w:p>
    <w:p w14:paraId="7515948B" w14:textId="77777777" w:rsidR="0087684E" w:rsidRDefault="0087684E" w:rsidP="0087684E">
      <w:pPr>
        <w:pStyle w:val="NoSpacing"/>
        <w:ind w:firstLine="720"/>
        <w:rPr>
          <w:bCs/>
        </w:rPr>
      </w:pPr>
      <w:r w:rsidRPr="00C1245A">
        <w:t>uncovered.</w:t>
      </w:r>
    </w:p>
    <w:p w14:paraId="57F09B18" w14:textId="77777777" w:rsidR="0087684E" w:rsidRDefault="0087684E" w:rsidP="0087684E">
      <w:pPr>
        <w:pStyle w:val="NoSpacing"/>
        <w:ind w:firstLine="720"/>
        <w:rPr>
          <w:bCs/>
        </w:rPr>
      </w:pPr>
    </w:p>
    <w:p w14:paraId="447AD8A3" w14:textId="77777777" w:rsidR="0087684E" w:rsidRPr="00F85597" w:rsidRDefault="0087684E" w:rsidP="0087684E">
      <w:pPr>
        <w:pStyle w:val="NoSpacing"/>
        <w:ind w:firstLine="720"/>
        <w:rPr>
          <w:bCs/>
        </w:rPr>
      </w:pPr>
      <w:r w:rsidRPr="00F85597">
        <w:t>On or around February 26, 2024, Nashville Fire Department Chief Fred Smith gave</w:t>
      </w:r>
    </w:p>
    <w:p w14:paraId="37D5B4CA" w14:textId="77777777" w:rsidR="0087684E" w:rsidRPr="00F85597" w:rsidRDefault="0087684E" w:rsidP="0087684E">
      <w:pPr>
        <w:pStyle w:val="NoSpacing"/>
        <w:ind w:firstLine="720"/>
        <w:rPr>
          <w:bCs/>
        </w:rPr>
      </w:pPr>
      <w:r w:rsidRPr="00F85597">
        <w:t>Mr. Thomas an ultimatum: “You can either resign, or I can fire you.” Metro contends this</w:t>
      </w:r>
    </w:p>
    <w:p w14:paraId="1C857F7A" w14:textId="77777777" w:rsidR="0087684E" w:rsidRPr="00F85597" w:rsidRDefault="0087684E" w:rsidP="0087684E">
      <w:pPr>
        <w:pStyle w:val="NoSpacing"/>
        <w:ind w:left="720"/>
        <w:rPr>
          <w:bCs/>
        </w:rPr>
      </w:pPr>
      <w:r w:rsidRPr="00F85597">
        <w:t>ultimatum was the result of Mr. Thomas missing a single shift and not finding coverage to</w:t>
      </w:r>
      <w:r>
        <w:t xml:space="preserve"> </w:t>
      </w:r>
      <w:r w:rsidRPr="00F85597">
        <w:t>replace him. Mr. Thomas chose to resign to prevent a termination from becoming part of</w:t>
      </w:r>
      <w:r>
        <w:t xml:space="preserve"> </w:t>
      </w:r>
      <w:r w:rsidRPr="00F85597">
        <w:t>his record. Thereafter, Mr. Thomas alleges he received a text message from another</w:t>
      </w:r>
    </w:p>
    <w:p w14:paraId="487839D8" w14:textId="77777777" w:rsidR="0087684E" w:rsidRPr="00F85597" w:rsidRDefault="0087684E" w:rsidP="0087684E">
      <w:pPr>
        <w:pStyle w:val="NoSpacing"/>
        <w:ind w:firstLine="720"/>
        <w:rPr>
          <w:bCs/>
        </w:rPr>
      </w:pPr>
      <w:r w:rsidRPr="00F85597">
        <w:t>paramedic employed by the fire department stating that, when that employee had</w:t>
      </w:r>
    </w:p>
    <w:p w14:paraId="474FFB18" w14:textId="77777777" w:rsidR="0087684E" w:rsidRDefault="0087684E" w:rsidP="0087684E">
      <w:pPr>
        <w:pStyle w:val="NoSpacing"/>
        <w:ind w:firstLine="720"/>
        <w:rPr>
          <w:bCs/>
        </w:rPr>
      </w:pPr>
      <w:r w:rsidRPr="00F85597">
        <w:t>previously missed a shift, the only consequence was a write-up</w:t>
      </w:r>
      <w:r>
        <w:t>.”</w:t>
      </w:r>
    </w:p>
    <w:p w14:paraId="6260A993" w14:textId="77777777" w:rsidR="0087684E" w:rsidRDefault="0087684E" w:rsidP="0087684E">
      <w:pPr>
        <w:pStyle w:val="NoSpacing"/>
        <w:ind w:firstLine="720"/>
        <w:rPr>
          <w:bCs/>
        </w:rPr>
      </w:pPr>
    </w:p>
    <w:p w14:paraId="31564EC9" w14:textId="77777777" w:rsidR="0087684E" w:rsidRPr="005936B4" w:rsidRDefault="0087684E" w:rsidP="0087684E">
      <w:pPr>
        <w:rPr>
          <w:b/>
        </w:rPr>
      </w:pPr>
      <w:r>
        <w:rPr>
          <w:b/>
        </w:rPr>
        <w:t xml:space="preserve">Legal lesson learned: </w:t>
      </w:r>
      <w:r w:rsidRPr="005936B4">
        <w:rPr>
          <w:b/>
        </w:rPr>
        <w:t>The Tennessee Public Protection Act protects whistleblowers; case will now proceed to pre-trial discovery; a jury may ultimately reward</w:t>
      </w:r>
      <w:r>
        <w:rPr>
          <w:b/>
        </w:rPr>
        <w:t xml:space="preserve"> Medic with </w:t>
      </w:r>
      <w:r w:rsidRPr="005936B4">
        <w:rPr>
          <w:b/>
        </w:rPr>
        <w:t xml:space="preserve">substantial damages. </w:t>
      </w:r>
    </w:p>
    <w:p w14:paraId="57193B73" w14:textId="77777777" w:rsidR="0087684E" w:rsidRDefault="0087684E" w:rsidP="0087684E">
      <w:pPr>
        <w:ind w:left="720"/>
        <w:rPr>
          <w:bCs/>
        </w:rPr>
      </w:pPr>
      <w:r w:rsidRPr="008B6EA3">
        <w:t>Note: The Tenn. Code</w:t>
      </w:r>
      <w:r>
        <w:t xml:space="preserve"> provides in </w:t>
      </w:r>
      <w:r w:rsidRPr="00FD65F6">
        <w:t>§ 50-1-304 (2024)</w:t>
      </w:r>
      <w:r>
        <w:t xml:space="preserve">: </w:t>
      </w:r>
      <w:hyperlink r:id="rId1971" w:history="1">
        <w:r w:rsidRPr="003971FA">
          <w:rPr>
            <w:rStyle w:val="Hyperlink"/>
          </w:rPr>
          <w:t>https://law.justia.com/codes/tennessee/title-50/chapter-1/part-3/section-50-1-304/</w:t>
        </w:r>
      </w:hyperlink>
      <w:r>
        <w:t xml:space="preserve"> </w:t>
      </w:r>
    </w:p>
    <w:p w14:paraId="7E0AA116" w14:textId="77777777" w:rsidR="0087684E" w:rsidRPr="008B6EA3" w:rsidRDefault="0087684E" w:rsidP="0087684E">
      <w:pPr>
        <w:ind w:left="720"/>
        <w:rPr>
          <w:bCs/>
        </w:rPr>
      </w:pPr>
      <w:r>
        <w:rPr>
          <w:b/>
        </w:rPr>
        <w:t>“</w:t>
      </w:r>
      <w:r w:rsidRPr="000F04F2">
        <w:rPr>
          <w:b/>
        </w:rPr>
        <w:t>(1)</w:t>
      </w:r>
      <w:r w:rsidRPr="000F04F2">
        <w:t xml:space="preserve"> Any employee terminated in violation of subsection (b) shall have a cause of action against the employer for retaliatory discharge and any other damages to which the employee may be entitled, subject to the limitations set out in § 4-21-313.</w:t>
      </w:r>
      <w:r>
        <w:t>”</w:t>
      </w:r>
    </w:p>
    <w:p w14:paraId="78D2C1EC" w14:textId="77777777" w:rsidR="0087684E" w:rsidRDefault="0087684E" w:rsidP="0087684E">
      <w:pPr>
        <w:rPr>
          <w:bCs/>
        </w:rPr>
      </w:pPr>
    </w:p>
    <w:p w14:paraId="0E47927F" w14:textId="185829FA" w:rsidR="00DA5EE8" w:rsidRPr="00DA5EE8" w:rsidRDefault="00DA5EE8" w:rsidP="00DA5EE8">
      <w:pPr>
        <w:pStyle w:val="NoSpacing"/>
        <w:rPr>
          <w:rFonts w:ascii="Arial Black" w:hAnsi="Arial Black"/>
          <w:sz w:val="24"/>
          <w:szCs w:val="24"/>
        </w:rPr>
      </w:pPr>
      <w:r w:rsidRPr="00DA5EE8">
        <w:rPr>
          <w:rFonts w:ascii="Arial Black" w:hAnsi="Arial Black"/>
          <w:sz w:val="24"/>
          <w:szCs w:val="24"/>
        </w:rPr>
        <w:t>13-25</w:t>
      </w:r>
      <w:r>
        <w:rPr>
          <w:rFonts w:ascii="Arial Black" w:hAnsi="Arial Black"/>
          <w:sz w:val="24"/>
          <w:szCs w:val="24"/>
        </w:rPr>
        <w:t>9</w:t>
      </w:r>
    </w:p>
    <w:p w14:paraId="48668188" w14:textId="77777777" w:rsidR="0087684E" w:rsidRDefault="0087684E" w:rsidP="0087684E">
      <w:pPr>
        <w:rPr>
          <w:bCs/>
        </w:rPr>
      </w:pPr>
    </w:p>
    <w:p w14:paraId="748B1E05" w14:textId="77777777" w:rsidR="0087684E" w:rsidRPr="00161BDB" w:rsidRDefault="0087684E" w:rsidP="0087684E">
      <w:pPr>
        <w:rPr>
          <w:rFonts w:ascii="Arial Black" w:hAnsi="Arial Black"/>
          <w:b/>
          <w:sz w:val="28"/>
          <w:szCs w:val="28"/>
        </w:rPr>
      </w:pPr>
      <w:r>
        <w:rPr>
          <w:rFonts w:ascii="Arial Black" w:hAnsi="Arial Black"/>
          <w:b/>
          <w:sz w:val="28"/>
          <w:szCs w:val="28"/>
        </w:rPr>
        <w:t>MI: PT GURNEY / UNLOADING – NO IMMUN. STATE MV LAW</w:t>
      </w:r>
    </w:p>
    <w:p w14:paraId="180B9550" w14:textId="77777777" w:rsidR="0087684E" w:rsidRDefault="0087684E" w:rsidP="0087684E">
      <w:pPr>
        <w:pStyle w:val="NoSpacing"/>
      </w:pPr>
      <w:r>
        <w:t xml:space="preserve">On May 19, 2026, in </w:t>
      </w:r>
      <w:r w:rsidRPr="0087386B">
        <w:rPr>
          <w:u w:val="single"/>
        </w:rPr>
        <w:t>Walter Winters v. City of Detroit</w:t>
      </w:r>
      <w:r>
        <w:t xml:space="preserve">, the State of Michigan Court of Appeals held (3 to 0) that the patient’s lawsuit may proceed, since this was an injury arising out of </w:t>
      </w:r>
      <w:proofErr w:type="spellStart"/>
      <w:proofErr w:type="gramStart"/>
      <w:r>
        <w:t>a</w:t>
      </w:r>
      <w:proofErr w:type="spellEnd"/>
      <w:proofErr w:type="gramEnd"/>
      <w:r>
        <w:t xml:space="preserve"> accident involving a motor vehicle (ambulance); trial court improperly dismissed the case under EMS immunity statute.  THE COURT WROTE: “</w:t>
      </w:r>
      <w:r w:rsidRPr="00F53EB6">
        <w:t>Winters appeals by right the trial court’s order granting the City’s motion for</w:t>
      </w:r>
      <w:r>
        <w:t xml:space="preserve"> </w:t>
      </w:r>
      <w:r w:rsidRPr="00F53EB6">
        <w:t xml:space="preserve">summary disposition. Because the trial court erroneously applied the EMSA </w:t>
      </w:r>
      <w:r>
        <w:t>[E</w:t>
      </w:r>
      <w:r w:rsidRPr="002147CE">
        <w:t xml:space="preserve">mergency </w:t>
      </w:r>
      <w:r>
        <w:t>M</w:t>
      </w:r>
      <w:r w:rsidRPr="002147CE">
        <w:t xml:space="preserve">edical </w:t>
      </w:r>
      <w:r>
        <w:t>S</w:t>
      </w:r>
      <w:r w:rsidRPr="002147CE">
        <w:t xml:space="preserve">ervices </w:t>
      </w:r>
      <w:r>
        <w:t>A</w:t>
      </w:r>
      <w:r w:rsidRPr="002147CE">
        <w:t>ct</w:t>
      </w:r>
      <w:r>
        <w:t>]</w:t>
      </w:r>
      <w:r w:rsidRPr="002147CE">
        <w:t xml:space="preserve"> </w:t>
      </w:r>
      <w:r w:rsidRPr="00F53EB6">
        <w:t>and Winters’s</w:t>
      </w:r>
      <w:r>
        <w:t xml:space="preserve"> </w:t>
      </w:r>
      <w:r w:rsidRPr="00F53EB6">
        <w:t>complaint asserted a claim under the motor-vehicle exception to governmental immunity, MCL</w:t>
      </w:r>
      <w:r>
        <w:t xml:space="preserve"> </w:t>
      </w:r>
      <w:r w:rsidRPr="00F53EB6">
        <w:t>691.1405, we reverse and remand for further proceedings</w:t>
      </w:r>
      <w:r>
        <w:t>.”</w:t>
      </w:r>
    </w:p>
    <w:p w14:paraId="0F6BDC55" w14:textId="77777777" w:rsidR="0087684E" w:rsidRDefault="0087684E" w:rsidP="0087684E">
      <w:pPr>
        <w:pStyle w:val="NoSpacing"/>
      </w:pPr>
      <w:r>
        <w:t xml:space="preserve"> </w:t>
      </w:r>
      <w:hyperlink r:id="rId1972" w:history="1">
        <w:r w:rsidRPr="00061A2D">
          <w:rPr>
            <w:rStyle w:val="Hyperlink"/>
          </w:rPr>
          <w:t>https://cases.justia.com/michigan/court-of-appeals-unpublished/2026-371690.pdf?ts=1779282004</w:t>
        </w:r>
      </w:hyperlink>
      <w:r>
        <w:t xml:space="preserve"> </w:t>
      </w:r>
    </w:p>
    <w:p w14:paraId="37F05A2F" w14:textId="77777777" w:rsidR="0087684E" w:rsidRDefault="0087684E" w:rsidP="0087684E">
      <w:pPr>
        <w:pStyle w:val="NoSpacing"/>
      </w:pPr>
    </w:p>
    <w:p w14:paraId="1AC0847C" w14:textId="77777777" w:rsidR="0087684E" w:rsidRDefault="0087684E" w:rsidP="0087684E">
      <w:pPr>
        <w:pStyle w:val="NoSpacing"/>
      </w:pPr>
      <w:r>
        <w:t>THE COURT HELD:</w:t>
      </w:r>
    </w:p>
    <w:p w14:paraId="66A7407E" w14:textId="77777777" w:rsidR="0087684E" w:rsidRDefault="0087684E" w:rsidP="0087684E">
      <w:pPr>
        <w:pStyle w:val="NoSpacing"/>
      </w:pPr>
    </w:p>
    <w:p w14:paraId="39620B7F" w14:textId="77777777" w:rsidR="0087684E" w:rsidRPr="00161BDB" w:rsidRDefault="0087684E" w:rsidP="0087684E">
      <w:pPr>
        <w:pStyle w:val="NoSpacing"/>
        <w:ind w:firstLine="720"/>
      </w:pPr>
      <w:r>
        <w:t>“</w:t>
      </w:r>
      <w:r w:rsidRPr="00161BDB">
        <w:t>In his complaint, Winters alleged that the City’s EMTs strapped him onto a gurney for</w:t>
      </w:r>
    </w:p>
    <w:p w14:paraId="015FEC4B" w14:textId="77777777" w:rsidR="0087684E" w:rsidRDefault="0087684E" w:rsidP="0087684E">
      <w:pPr>
        <w:pStyle w:val="NoSpacing"/>
        <w:ind w:left="720"/>
      </w:pPr>
      <w:r w:rsidRPr="00161BDB">
        <w:t xml:space="preserve">transport and negligently </w:t>
      </w:r>
      <w:r>
        <w:t>‘</w:t>
      </w:r>
      <w:r w:rsidRPr="00161BDB">
        <w:t>failed to keep the gurney upright</w:t>
      </w:r>
      <w:r>
        <w:t>’</w:t>
      </w:r>
      <w:r w:rsidRPr="00161BDB">
        <w:t xml:space="preserve"> which caused him to fall to the ground</w:t>
      </w:r>
      <w:r>
        <w:t xml:space="preserve"> </w:t>
      </w:r>
      <w:r w:rsidRPr="00161BDB">
        <w:t>and sustain injury while the EMTs unloaded him from the ambulance. Winters also alleged that</w:t>
      </w:r>
      <w:r>
        <w:t xml:space="preserve"> </w:t>
      </w:r>
      <w:r w:rsidRPr="00161BDB">
        <w:t xml:space="preserve">the </w:t>
      </w:r>
      <w:proofErr w:type="gramStart"/>
      <w:r w:rsidRPr="00161BDB">
        <w:t>City</w:t>
      </w:r>
      <w:proofErr w:type="gramEnd"/>
      <w:r w:rsidRPr="00161BDB">
        <w:t xml:space="preserve"> had a duty to ensure that its employees safely unload patients from an ambulance and that</w:t>
      </w:r>
      <w:r>
        <w:t xml:space="preserve"> </w:t>
      </w:r>
      <w:r w:rsidRPr="00161BDB">
        <w:t xml:space="preserve">the </w:t>
      </w:r>
      <w:proofErr w:type="gramStart"/>
      <w:r w:rsidRPr="00161BDB">
        <w:t>City</w:t>
      </w:r>
      <w:proofErr w:type="gramEnd"/>
      <w:r w:rsidRPr="00161BDB">
        <w:t xml:space="preserve"> was liable for its own negligence, and that of the EMTs, because the </w:t>
      </w:r>
      <w:proofErr w:type="gramStart"/>
      <w:r w:rsidRPr="00161BDB">
        <w:t>City</w:t>
      </w:r>
      <w:proofErr w:type="gramEnd"/>
      <w:r w:rsidRPr="00161BDB">
        <w:t xml:space="preserve"> owned the</w:t>
      </w:r>
      <w:r>
        <w:t xml:space="preserve"> </w:t>
      </w:r>
      <w:r w:rsidRPr="00161BDB">
        <w:t>ambulance. Winters cited the owner’s liability statute, MCL 257.401. Winters’s allegations were</w:t>
      </w:r>
      <w:r>
        <w:t xml:space="preserve"> </w:t>
      </w:r>
      <w:r w:rsidRPr="00161BDB">
        <w:t>sufficient to plead in avoidance of governmental immunity because they stated a claim that fit</w:t>
      </w:r>
      <w:r>
        <w:t xml:space="preserve"> </w:t>
      </w:r>
      <w:r w:rsidRPr="00161BDB">
        <w:t>within the motor-vehicle exception to governmental immunity. See Mount Clemens Recreational</w:t>
      </w:r>
      <w:r>
        <w:t xml:space="preserve"> </w:t>
      </w:r>
      <w:r w:rsidRPr="00161BDB">
        <w:t>Bowl, 344 Mich App at 245. The motor-vehicle exception requires that the governmental agency</w:t>
      </w:r>
      <w:r>
        <w:t xml:space="preserve"> </w:t>
      </w:r>
      <w:r w:rsidRPr="00161BDB">
        <w:t>owned the motor vehicle involved in the incident and that the plaintiff’s injuries resulted from the</w:t>
      </w:r>
      <w:r>
        <w:t xml:space="preserve"> </w:t>
      </w:r>
      <w:r w:rsidRPr="00161BDB">
        <w:t xml:space="preserve">negligent operation of the vehicle by the governmental agency’s employees. Further, as in </w:t>
      </w:r>
      <w:r w:rsidRPr="00AF59D3">
        <w:rPr>
          <w:i/>
          <w:iCs/>
        </w:rPr>
        <w:t>Martin,</w:t>
      </w:r>
      <w:r>
        <w:t xml:space="preserve"> </w:t>
      </w:r>
      <w:r w:rsidRPr="00161BDB">
        <w:t>the loading and unloading of patients is an action within the operation of an ambulance. Indeed,</w:t>
      </w:r>
      <w:r>
        <w:t xml:space="preserve"> </w:t>
      </w:r>
      <w:proofErr w:type="gramStart"/>
      <w:r w:rsidRPr="00161BDB">
        <w:t>similar to</w:t>
      </w:r>
      <w:proofErr w:type="gramEnd"/>
      <w:r w:rsidRPr="00161BDB">
        <w:t xml:space="preserve"> the garbage truck in Strozier, it is impossible for an ambulance to perform its intended</w:t>
      </w:r>
      <w:r>
        <w:t xml:space="preserve"> </w:t>
      </w:r>
      <w:proofErr w:type="gramStart"/>
      <w:r w:rsidRPr="00161BDB">
        <w:t>function</w:t>
      </w:r>
      <w:proofErr w:type="gramEnd"/>
      <w:r w:rsidRPr="00161BDB">
        <w:t xml:space="preserve"> absent the loading and unloading of patients. Accordingly, because Winters’s complaint</w:t>
      </w:r>
      <w:r>
        <w:t xml:space="preserve"> </w:t>
      </w:r>
      <w:r w:rsidRPr="00161BDB">
        <w:t>stated a claim within the motor-vehicle exception to governmental immunity, the trial court erred</w:t>
      </w:r>
      <w:r>
        <w:t xml:space="preserve"> </w:t>
      </w:r>
      <w:r w:rsidRPr="00161BDB">
        <w:t>by granting the City’s motion for summary disposition.</w:t>
      </w:r>
      <w:r>
        <w:t>:</w:t>
      </w:r>
    </w:p>
    <w:p w14:paraId="57F8B4F6" w14:textId="77777777" w:rsidR="0087684E" w:rsidRDefault="0087684E" w:rsidP="0087684E">
      <w:pPr>
        <w:pStyle w:val="NoSpacing"/>
        <w:ind w:left="720"/>
      </w:pPr>
    </w:p>
    <w:p w14:paraId="7B4338A7" w14:textId="77777777" w:rsidR="0087684E" w:rsidRPr="005F70EF" w:rsidRDefault="0087684E" w:rsidP="0087684E">
      <w:pPr>
        <w:pStyle w:val="NoSpacing"/>
        <w:rPr>
          <w:b/>
          <w:bCs/>
        </w:rPr>
      </w:pPr>
      <w:r>
        <w:rPr>
          <w:b/>
        </w:rPr>
        <w:t xml:space="preserve">Legal lesson learned: </w:t>
      </w:r>
      <w:r w:rsidRPr="005F70EF">
        <w:rPr>
          <w:b/>
        </w:rPr>
        <w:t>Novel decision – no immunity for an injury arising out of accident involving a motor vehicle (ambulance).</w:t>
      </w:r>
    </w:p>
    <w:p w14:paraId="5CE14A90" w14:textId="77777777" w:rsidR="0087684E" w:rsidRDefault="0087684E" w:rsidP="0087684E">
      <w:pPr>
        <w:pStyle w:val="NoSpacing"/>
        <w:rPr>
          <w:b/>
          <w:bCs/>
        </w:rPr>
      </w:pPr>
    </w:p>
    <w:p w14:paraId="49F665BB" w14:textId="77777777" w:rsidR="0087684E" w:rsidRDefault="0087684E" w:rsidP="0087684E">
      <w:pPr>
        <w:ind w:firstLine="720"/>
      </w:pPr>
      <w:r>
        <w:t>Note: See Michigan government agency motor vehicle liability statute.</w:t>
      </w:r>
    </w:p>
    <w:p w14:paraId="0CA99499" w14:textId="77777777" w:rsidR="0087684E" w:rsidRDefault="0087684E" w:rsidP="0087684E">
      <w:pPr>
        <w:pStyle w:val="NoSpacing"/>
        <w:ind w:left="720"/>
      </w:pPr>
      <w:r>
        <w:t>“</w:t>
      </w:r>
      <w:r w:rsidRPr="00E747BB">
        <w:t>Governmental agencies shall be liable for bodily injury and property damage resulting from the negligent operation by any officer, agent, or employee of the governmental agency, of a motor vehicle of which the governmental agency is owner, as defined in Act No. 300 of the Public Acts of 1949, as amended, being sections 257.1 to 257.923 of the Compiled Laws of 1948.</w:t>
      </w:r>
      <w:r>
        <w:t xml:space="preserve">” </w:t>
      </w:r>
      <w:hyperlink r:id="rId1973" w:history="1">
        <w:r w:rsidRPr="00966D1B">
          <w:rPr>
            <w:rStyle w:val="Hyperlink"/>
          </w:rPr>
          <w:t>https://www.legislature.mi.gov/Laws/MCL?objectName=MCL-691-1405</w:t>
        </w:r>
      </w:hyperlink>
    </w:p>
    <w:p w14:paraId="60B66701" w14:textId="77777777" w:rsidR="0087684E" w:rsidRDefault="0087684E" w:rsidP="0087684E">
      <w:pPr>
        <w:pStyle w:val="NoSpacing"/>
      </w:pPr>
    </w:p>
    <w:p w14:paraId="509A7EC2" w14:textId="77777777" w:rsidR="0087684E" w:rsidRDefault="0087684E" w:rsidP="0087684E">
      <w:pPr>
        <w:pStyle w:val="NoSpacing"/>
      </w:pPr>
    </w:p>
    <w:p w14:paraId="51FDB9CF" w14:textId="77777777" w:rsidR="0087684E" w:rsidRDefault="0087684E" w:rsidP="0087684E">
      <w:pPr>
        <w:rPr>
          <w:bCs/>
        </w:rPr>
      </w:pPr>
    </w:p>
    <w:p w14:paraId="0DCE122B" w14:textId="77777777" w:rsidR="0087684E" w:rsidRPr="00B46857" w:rsidRDefault="0087684E" w:rsidP="0087684E">
      <w:pPr>
        <w:rPr>
          <w:bCs/>
        </w:rPr>
      </w:pPr>
      <w:r w:rsidRPr="00B46857">
        <w:t>Chap. 13: EMS, incl. Community Paramedicine, Corona Virus</w:t>
      </w:r>
    </w:p>
    <w:p w14:paraId="359BB88A" w14:textId="77777777" w:rsidR="0087684E" w:rsidRPr="00505DF5" w:rsidRDefault="0087684E" w:rsidP="0087684E">
      <w:pPr>
        <w:rPr>
          <w:rFonts w:ascii="Arial Black" w:hAnsi="Arial Black"/>
          <w:b/>
          <w:sz w:val="28"/>
          <w:szCs w:val="28"/>
        </w:rPr>
      </w:pPr>
      <w:r>
        <w:rPr>
          <w:rFonts w:ascii="Arial Black" w:hAnsi="Arial Black"/>
          <w:b/>
          <w:sz w:val="28"/>
          <w:szCs w:val="28"/>
        </w:rPr>
        <w:t>WA: COVID – FF TURNED DOWN 3 FD JOBS - NO CASE</w:t>
      </w:r>
    </w:p>
    <w:p w14:paraId="32035376" w14:textId="77777777" w:rsidR="0087684E" w:rsidRDefault="0087684E" w:rsidP="0087684E">
      <w:pPr>
        <w:rPr>
          <w:b/>
        </w:rPr>
      </w:pPr>
      <w:r>
        <w:t xml:space="preserve">On May 17, 2026, in </w:t>
      </w:r>
      <w:r w:rsidRPr="00EA2931">
        <w:rPr>
          <w:u w:val="single"/>
        </w:rPr>
        <w:t>Justin Jobes v. City of Bellevue</w:t>
      </w:r>
      <w:r>
        <w:t xml:space="preserve">, </w:t>
      </w:r>
      <w:r w:rsidRPr="00F823BE">
        <w:t>the United States Court of Appeals, Ninth Circuit</w:t>
      </w:r>
      <w:r>
        <w:t xml:space="preserve"> (San Francisco) held (3 to 0; unpublished decision) that the trial court properly granted city summary judgment.  </w:t>
      </w:r>
      <w:r w:rsidRPr="00BB6C9C">
        <w:t xml:space="preserve">The </w:t>
      </w:r>
      <w:proofErr w:type="gramStart"/>
      <w:r w:rsidRPr="00BB6C9C">
        <w:t>City</w:t>
      </w:r>
      <w:proofErr w:type="gramEnd"/>
      <w:r w:rsidRPr="00BB6C9C">
        <w:t xml:space="preserve"> offered Jobes several reasonable accommodations. First, the </w:t>
      </w:r>
      <w:proofErr w:type="gramStart"/>
      <w:r w:rsidRPr="00BB6C9C">
        <w:t>City</w:t>
      </w:r>
      <w:proofErr w:type="gramEnd"/>
      <w:r>
        <w:t xml:space="preserve"> </w:t>
      </w:r>
      <w:r w:rsidRPr="00BB6C9C">
        <w:t>offered Jobes a utilities position, which Jobes rejected. Jobes requested paid medical</w:t>
      </w:r>
      <w:r>
        <w:t xml:space="preserve"> </w:t>
      </w:r>
      <w:r w:rsidRPr="00BB6C9C">
        <w:t xml:space="preserve">leave paid medical leave for stress related to the vaccine mandate, and the </w:t>
      </w:r>
      <w:proofErr w:type="gramStart"/>
      <w:r w:rsidRPr="00BB6C9C">
        <w:t>City</w:t>
      </w:r>
      <w:proofErr w:type="gramEnd"/>
      <w:r>
        <w:t xml:space="preserve"> </w:t>
      </w:r>
      <w:r w:rsidRPr="00BB6C9C">
        <w:t>granted it to him for five months.</w:t>
      </w:r>
      <w:r>
        <w:t xml:space="preserve"> </w:t>
      </w:r>
      <w:r w:rsidRPr="00222ECA">
        <w:t>When Jobes’ medical leave was set to end, the</w:t>
      </w:r>
      <w:r>
        <w:t xml:space="preserve"> </w:t>
      </w:r>
      <w:proofErr w:type="gramStart"/>
      <w:r w:rsidRPr="00222ECA">
        <w:t>City</w:t>
      </w:r>
      <w:proofErr w:type="gramEnd"/>
      <w:r w:rsidRPr="00222ECA">
        <w:t xml:space="preserve"> offered him three other potential positions</w:t>
      </w:r>
      <w:r>
        <w:t xml:space="preserve">, which he turned down. THE COURT WROTE:  </w:t>
      </w:r>
      <w:r w:rsidRPr="0062080F">
        <w:t>Jobes alleges religious</w:t>
      </w:r>
      <w:r>
        <w:t xml:space="preserve"> </w:t>
      </w:r>
      <w:r w:rsidRPr="0062080F">
        <w:t>discrimination and failure to accommodate under Title VII, 42 U.S.C. § 2000e et</w:t>
      </w:r>
      <w:r>
        <w:t xml:space="preserve">. </w:t>
      </w:r>
      <w:r w:rsidRPr="00981D4F">
        <w:t>seq, and the Washington Law Against Discrimination.1 Because the district court</w:t>
      </w:r>
      <w:r>
        <w:t xml:space="preserve"> </w:t>
      </w:r>
      <w:r w:rsidRPr="00981D4F">
        <w:t xml:space="preserve">correctly concluded that the </w:t>
      </w:r>
      <w:proofErr w:type="gramStart"/>
      <w:r w:rsidRPr="00981D4F">
        <w:t>City</w:t>
      </w:r>
      <w:proofErr w:type="gramEnd"/>
      <w:r w:rsidRPr="00981D4F">
        <w:t xml:space="preserve"> tried to reasonably accommodate Jobes, we affirm.</w:t>
      </w:r>
      <w:r>
        <w:t xml:space="preserve">” </w:t>
      </w:r>
      <w:hyperlink r:id="rId1974" w:history="1">
        <w:r w:rsidRPr="00C37C99">
          <w:rPr>
            <w:rStyle w:val="Hyperlink"/>
          </w:rPr>
          <w:t>https://cdn.ca9.uscourts.gov/datastore/memoranda/2026/05/27/24-6656.pdf</w:t>
        </w:r>
      </w:hyperlink>
      <w:r w:rsidRPr="00C37C99">
        <w:t xml:space="preserve"> </w:t>
      </w:r>
    </w:p>
    <w:p w14:paraId="44A59ABA" w14:textId="77777777" w:rsidR="0087684E" w:rsidRPr="00F823BE" w:rsidRDefault="0087684E" w:rsidP="0087684E">
      <w:pPr>
        <w:rPr>
          <w:bCs/>
        </w:rPr>
      </w:pPr>
      <w:r>
        <w:t>THE COURT HELD:</w:t>
      </w:r>
    </w:p>
    <w:p w14:paraId="202DA8A4" w14:textId="77777777" w:rsidR="0087684E" w:rsidRDefault="0087684E" w:rsidP="0087684E">
      <w:pPr>
        <w:pStyle w:val="NoSpacing"/>
        <w:ind w:left="720"/>
      </w:pPr>
      <w:r>
        <w:t>“</w:t>
      </w:r>
      <w:r w:rsidRPr="00C4416D">
        <w:t xml:space="preserve">The </w:t>
      </w:r>
      <w:proofErr w:type="gramStart"/>
      <w:r w:rsidRPr="00C4416D">
        <w:t>City</w:t>
      </w:r>
      <w:proofErr w:type="gramEnd"/>
      <w:r w:rsidRPr="00C4416D">
        <w:t xml:space="preserve"> offered Jobes several reasonable accommodations. First, the </w:t>
      </w:r>
      <w:proofErr w:type="gramStart"/>
      <w:r w:rsidRPr="00C4416D">
        <w:t>City</w:t>
      </w:r>
      <w:proofErr w:type="gramEnd"/>
      <w:r>
        <w:t xml:space="preserve"> </w:t>
      </w:r>
      <w:r w:rsidRPr="00C4416D">
        <w:t>offered Jobes a utilities position, which Jobes rejected. Jobes requested paid medical</w:t>
      </w:r>
      <w:r>
        <w:t xml:space="preserve"> </w:t>
      </w:r>
      <w:r w:rsidRPr="00C4416D">
        <w:t xml:space="preserve">leave paid medical leave for stress related to the vaccine mandate, and the </w:t>
      </w:r>
      <w:proofErr w:type="gramStart"/>
      <w:r w:rsidRPr="00C4416D">
        <w:t>City</w:t>
      </w:r>
      <w:proofErr w:type="gramEnd"/>
      <w:r>
        <w:t xml:space="preserve"> </w:t>
      </w:r>
      <w:r w:rsidRPr="00C4416D">
        <w:t>granted it to him for five months. When Jobes’ medical leave was set to end, the</w:t>
      </w:r>
      <w:r>
        <w:t xml:space="preserve"> </w:t>
      </w:r>
      <w:proofErr w:type="gramStart"/>
      <w:r w:rsidRPr="00C4416D">
        <w:t>City</w:t>
      </w:r>
      <w:proofErr w:type="gramEnd"/>
      <w:r w:rsidRPr="00C4416D">
        <w:t xml:space="preserve"> offered him three other potential positions—as an Emergency Management</w:t>
      </w:r>
      <w:r>
        <w:t xml:space="preserve"> </w:t>
      </w:r>
      <w:proofErr w:type="gramStart"/>
      <w:r w:rsidRPr="00C4416D">
        <w:t>Coordinator, as</w:t>
      </w:r>
      <w:proofErr w:type="gramEnd"/>
      <w:r w:rsidRPr="00C4416D">
        <w:t xml:space="preserve"> an LTE Grants Coordinator, and as a Fire Prevention Program</w:t>
      </w:r>
      <w:r>
        <w:t xml:space="preserve"> </w:t>
      </w:r>
      <w:r w:rsidRPr="00C4416D">
        <w:t>Analyst. None of these jobs required contact with patients, and the Fire Prevention</w:t>
      </w:r>
      <w:r>
        <w:t xml:space="preserve"> </w:t>
      </w:r>
      <w:r w:rsidRPr="00C4416D">
        <w:t>position allowed Jobes to remain within the City’s Fire Department. Jobes refused</w:t>
      </w:r>
      <w:r>
        <w:t xml:space="preserve"> </w:t>
      </w:r>
      <w:r w:rsidRPr="00C4416D">
        <w:t xml:space="preserve">these accommodations. The </w:t>
      </w:r>
      <w:proofErr w:type="gramStart"/>
      <w:r w:rsidRPr="00C4416D">
        <w:t>City</w:t>
      </w:r>
      <w:proofErr w:type="gramEnd"/>
      <w:r w:rsidRPr="00C4416D">
        <w:t xml:space="preserve"> contacted Jobes subsequently and offered him a</w:t>
      </w:r>
      <w:r>
        <w:t xml:space="preserve"> </w:t>
      </w:r>
      <w:r w:rsidRPr="00C4416D">
        <w:t>Fire Prevention Officer position within the Fire Department. Jobes declined this</w:t>
      </w:r>
      <w:r>
        <w:t xml:space="preserve"> accommodation as well. </w:t>
      </w:r>
    </w:p>
    <w:p w14:paraId="12AB519B" w14:textId="77777777" w:rsidR="0087684E" w:rsidRDefault="0087684E" w:rsidP="0087684E">
      <w:pPr>
        <w:pStyle w:val="NoSpacing"/>
        <w:ind w:left="720"/>
      </w:pPr>
    </w:p>
    <w:p w14:paraId="5166595C" w14:textId="77777777" w:rsidR="0087684E" w:rsidRDefault="0087684E" w:rsidP="0087684E">
      <w:pPr>
        <w:pStyle w:val="NoSpacing"/>
        <w:ind w:left="720"/>
      </w:pPr>
      <w:r>
        <w:t xml:space="preserve">And after Jobes voluntarily resigned and the vaccine mandate was lifted, the </w:t>
      </w:r>
      <w:proofErr w:type="gramStart"/>
      <w:r>
        <w:t>City</w:t>
      </w:r>
      <w:proofErr w:type="gramEnd"/>
      <w:r>
        <w:t xml:space="preserve"> later contacted Jobes through one of its Fire Chiefs and advised him there was a pathway for him to return to his old job as a Firefighter/EMT. Jobes declined this final offer as well.</w:t>
      </w:r>
    </w:p>
    <w:p w14:paraId="5E7F0526" w14:textId="77777777" w:rsidR="0087684E" w:rsidRDefault="0087684E" w:rsidP="0087684E">
      <w:pPr>
        <w:pStyle w:val="NoSpacing"/>
        <w:ind w:left="720"/>
      </w:pPr>
    </w:p>
    <w:p w14:paraId="49F55DC4" w14:textId="77777777" w:rsidR="0087684E" w:rsidRDefault="0087684E" w:rsidP="0087684E">
      <w:pPr>
        <w:pStyle w:val="NoSpacing"/>
        <w:ind w:left="720"/>
      </w:pPr>
      <w:r>
        <w:t>***</w:t>
      </w:r>
    </w:p>
    <w:p w14:paraId="651B15AC" w14:textId="77777777" w:rsidR="0087684E" w:rsidRDefault="0087684E" w:rsidP="0087684E">
      <w:pPr>
        <w:pStyle w:val="NoSpacing"/>
        <w:ind w:left="720"/>
      </w:pPr>
      <w:r>
        <w:t xml:space="preserve">The record shows that the </w:t>
      </w:r>
      <w:proofErr w:type="gramStart"/>
      <w:r>
        <w:t>City</w:t>
      </w:r>
      <w:proofErr w:type="gramEnd"/>
      <w:r>
        <w:t xml:space="preserve"> repeatedly offered reasonable </w:t>
      </w:r>
      <w:proofErr w:type="gramStart"/>
      <w:r>
        <w:t>accommodations</w:t>
      </w:r>
      <w:proofErr w:type="gramEnd"/>
      <w:r>
        <w:t xml:space="preserve"> to Jobes which he repeatedly declined. As such, the </w:t>
      </w:r>
      <w:proofErr w:type="gramStart"/>
      <w:r>
        <w:t>City</w:t>
      </w:r>
      <w:proofErr w:type="gramEnd"/>
      <w:r>
        <w:t xml:space="preserve"> carried its burden on the affirmative defense, and the district court did not err in granting summary judgment…. Moreover …  the </w:t>
      </w:r>
      <w:proofErr w:type="gramStart"/>
      <w:r>
        <w:t>City</w:t>
      </w:r>
      <w:proofErr w:type="gramEnd"/>
      <w:r>
        <w:t xml:space="preserve"> also would have prevailed on its affirmative defense of undue hardship as the district court </w:t>
      </w:r>
      <w:proofErr w:type="gramStart"/>
      <w:r>
        <w:t>concluded.”</w:t>
      </w:r>
      <w:proofErr w:type="gramEnd"/>
    </w:p>
    <w:p w14:paraId="5B1B4FC9" w14:textId="77777777" w:rsidR="0087684E" w:rsidRDefault="0087684E" w:rsidP="0087684E">
      <w:pPr>
        <w:pStyle w:val="NoSpacing"/>
        <w:ind w:left="720"/>
      </w:pPr>
    </w:p>
    <w:p w14:paraId="41D0A5DD" w14:textId="77777777" w:rsidR="0087684E" w:rsidRPr="00F26DBD" w:rsidRDefault="0087684E" w:rsidP="0087684E">
      <w:pPr>
        <w:rPr>
          <w:b/>
          <w:bCs/>
        </w:rPr>
      </w:pPr>
      <w:r>
        <w:rPr>
          <w:b/>
        </w:rPr>
        <w:t xml:space="preserve">Legal lesson learned: The City was very generous in offering numerous positions that avoided patient contact. </w:t>
      </w:r>
    </w:p>
    <w:p w14:paraId="7C77F2F0" w14:textId="77777777" w:rsidR="0087684E" w:rsidRDefault="0087684E" w:rsidP="0087684E">
      <w:pPr>
        <w:pStyle w:val="NoSpacing"/>
        <w:ind w:left="720"/>
      </w:pPr>
    </w:p>
    <w:p w14:paraId="20AFD15B" w14:textId="77777777" w:rsidR="0087684E" w:rsidRDefault="0087684E" w:rsidP="0087684E">
      <w:pPr>
        <w:rPr>
          <w:bCs/>
        </w:rPr>
      </w:pPr>
    </w:p>
    <w:p w14:paraId="13FF66C1" w14:textId="77777777" w:rsidR="0087684E" w:rsidRDefault="0087684E" w:rsidP="0087684E">
      <w:pPr>
        <w:rPr>
          <w:bCs/>
        </w:rPr>
      </w:pPr>
    </w:p>
    <w:p w14:paraId="039A210E" w14:textId="2BD35D4D" w:rsidR="0087684E" w:rsidRPr="00DA5EE8" w:rsidRDefault="00DA5EE8" w:rsidP="0087684E">
      <w:pPr>
        <w:pStyle w:val="NoSpacing"/>
        <w:rPr>
          <w:rFonts w:ascii="Arial Black" w:hAnsi="Arial Black"/>
          <w:sz w:val="24"/>
          <w:szCs w:val="24"/>
        </w:rPr>
      </w:pPr>
      <w:r w:rsidRPr="00DA5EE8">
        <w:rPr>
          <w:rFonts w:ascii="Arial Black" w:hAnsi="Arial Black"/>
          <w:sz w:val="24"/>
          <w:szCs w:val="24"/>
        </w:rPr>
        <w:t>13-258</w:t>
      </w:r>
    </w:p>
    <w:p w14:paraId="69D293AC" w14:textId="77777777" w:rsidR="00DA5EE8" w:rsidRDefault="00DA5EE8" w:rsidP="0087684E">
      <w:pPr>
        <w:pStyle w:val="NoSpacing"/>
      </w:pPr>
    </w:p>
    <w:p w14:paraId="4AF2D493" w14:textId="77777777" w:rsidR="0087684E" w:rsidRPr="003D0299" w:rsidRDefault="0087684E" w:rsidP="0087684E">
      <w:pPr>
        <w:pStyle w:val="NoSpacing"/>
        <w:rPr>
          <w:rFonts w:ascii="Arial Black" w:hAnsi="Arial Black"/>
          <w:sz w:val="28"/>
          <w:szCs w:val="28"/>
        </w:rPr>
      </w:pPr>
      <w:r>
        <w:rPr>
          <w:rFonts w:ascii="Arial Black" w:hAnsi="Arial Black"/>
          <w:sz w:val="28"/>
          <w:szCs w:val="28"/>
        </w:rPr>
        <w:t>ID: IMMUNITY LAW / OVERDOSE – DRUNK CAR NOT IMMUNE</w:t>
      </w:r>
    </w:p>
    <w:p w14:paraId="60D1F7F9" w14:textId="77777777" w:rsidR="0087684E" w:rsidRDefault="0087684E" w:rsidP="0087684E">
      <w:pPr>
        <w:pStyle w:val="NoSpacing"/>
      </w:pPr>
    </w:p>
    <w:p w14:paraId="7222ECDC" w14:textId="77777777" w:rsidR="0087684E" w:rsidRDefault="0087684E" w:rsidP="0087684E">
      <w:pPr>
        <w:rPr>
          <w:b/>
        </w:rPr>
      </w:pPr>
      <w:r>
        <w:t xml:space="preserve">On May 7, 2026, in </w:t>
      </w:r>
      <w:r w:rsidRPr="00150AE4">
        <w:rPr>
          <w:u w:val="single"/>
        </w:rPr>
        <w:t>State of Idaho v. Gannon Manuelito</w:t>
      </w:r>
      <w:r>
        <w:t xml:space="preserve">, the </w:t>
      </w:r>
      <w:r w:rsidRPr="00150AE4">
        <w:t>Supreme Court of Idaho</w:t>
      </w:r>
      <w:r>
        <w:t xml:space="preserve"> held (5 to 0) that trial court improperly dismissed drug charges against the defendant; he was drunk and not suffering a </w:t>
      </w:r>
      <w:r w:rsidRPr="008B0F56">
        <w:t>drug-related medical emergency</w:t>
      </w:r>
      <w:r>
        <w:t xml:space="preserve">.    </w:t>
      </w:r>
      <w:r w:rsidRPr="000B2D28">
        <w:t>On May 7, 2023, a Flying-J truck stop manager was informed by a customer that a person,</w:t>
      </w:r>
      <w:r>
        <w:t xml:space="preserve"> </w:t>
      </w:r>
      <w:r w:rsidRPr="000B2D28">
        <w:t>later identified as Manuelito, “may be . . . in distress in [the] parking lot.”</w:t>
      </w:r>
      <w:r>
        <w:t xml:space="preserve"> He thought the driver had overdosed and called 911, but police woke him </w:t>
      </w:r>
      <w:proofErr w:type="gramStart"/>
      <w:r>
        <w:t>up</w:t>
      </w:r>
      <w:proofErr w:type="gramEnd"/>
      <w:r>
        <w:t xml:space="preserve"> found he was intoxicated and EMS provided no treatment. THE COURT WROTE: “The only evidence offered to support that characterization is the manager’s observation that Manuelito might be overdosing or might have passed out from alcohol consumption or other drugs. Subsection (2) does not turn on a third party’s subjective belief—it turns on the defendant’s actual condition…. Further, no evidence in the record indicates that Manuelito required or even received medical intervention for a drug-related emergency. Officer Jaramillo testified that Manuelito was able to speak and repeatedly told him he was okay. Manuelito was not placed in an ambulance, was not transported to a hospital, and there is no evidence that any medical treatment was administered. The patient care record that was admitted into evidence confirms that Manuelito did not receive assistance beyond waking him up.” </w:t>
      </w:r>
      <w:hyperlink r:id="rId1975" w:history="1">
        <w:r w:rsidRPr="00A32209">
          <w:rPr>
            <w:rStyle w:val="Hyperlink"/>
          </w:rPr>
          <w:t>https://cases.justia.com/idaho/supreme-court-criminal/2026-51595.pdf?ts=1778169780</w:t>
        </w:r>
      </w:hyperlink>
      <w:r>
        <w:rPr>
          <w:b/>
        </w:rPr>
        <w:t xml:space="preserve"> </w:t>
      </w:r>
    </w:p>
    <w:p w14:paraId="40E5B938" w14:textId="77777777" w:rsidR="0087684E" w:rsidRDefault="0087684E" w:rsidP="0087684E">
      <w:pPr>
        <w:pStyle w:val="NoSpacing"/>
      </w:pPr>
      <w:r>
        <w:t xml:space="preserve">THE COURT HELD:  </w:t>
      </w:r>
    </w:p>
    <w:p w14:paraId="47FF7894" w14:textId="77777777" w:rsidR="0087684E" w:rsidRDefault="0087684E" w:rsidP="0087684E">
      <w:pPr>
        <w:pStyle w:val="NoSpacing"/>
      </w:pPr>
    </w:p>
    <w:p w14:paraId="2EC19A70" w14:textId="77777777" w:rsidR="0087684E" w:rsidRDefault="0087684E" w:rsidP="0087684E">
      <w:pPr>
        <w:pStyle w:val="NoSpacing"/>
        <w:ind w:left="720"/>
        <w:rPr>
          <w:bCs/>
        </w:rPr>
      </w:pPr>
      <w:r>
        <w:t>“</w:t>
      </w:r>
      <w:r w:rsidRPr="008E758B">
        <w:t>Officer Jaramillo conducted a DUI investigation. Manuelito provided two breath samples,</w:t>
      </w:r>
      <w:r>
        <w:t xml:space="preserve"> </w:t>
      </w:r>
      <w:r w:rsidRPr="008E758B">
        <w:t>which showed that his blood alcohol content (BAC) was nearly twice the legal limit. Officer</w:t>
      </w:r>
      <w:r>
        <w:t xml:space="preserve"> </w:t>
      </w:r>
      <w:r w:rsidRPr="008E758B">
        <w:t>Jaramillo also searched Manuelito’s vehicle and discovered drug paraphernalia, including a</w:t>
      </w:r>
      <w:r>
        <w:t xml:space="preserve"> </w:t>
      </w:r>
      <w:r w:rsidRPr="008E758B">
        <w:t>grinder with marijuana residue, a smoking bowl with burnt marijuana residue, and an empty THC</w:t>
      </w:r>
      <w:r>
        <w:t xml:space="preserve"> </w:t>
      </w:r>
      <w:r w:rsidRPr="008E758B">
        <w:t>cartridge. In the back seat, the officer found a cooler containing a bag of marijuana weighing</w:t>
      </w:r>
      <w:r>
        <w:t xml:space="preserve"> </w:t>
      </w:r>
      <w:r w:rsidRPr="008E758B">
        <w:t>approximately 12.29 ounces. Inside the cooler was a backpack with more marijuana and a bag that</w:t>
      </w:r>
      <w:r>
        <w:t xml:space="preserve"> </w:t>
      </w:r>
      <w:r w:rsidRPr="008E758B">
        <w:t>contained the hallucinogen dimethyltryptamine (DMT). The officer also discovered a THC vape</w:t>
      </w:r>
      <w:r>
        <w:t xml:space="preserve"> </w:t>
      </w:r>
      <w:r w:rsidRPr="008E758B">
        <w:t>pen in Manuelito’s pocket.</w:t>
      </w:r>
    </w:p>
    <w:p w14:paraId="544E77E7" w14:textId="77777777" w:rsidR="0087684E" w:rsidRDefault="0087684E" w:rsidP="0087684E">
      <w:pPr>
        <w:pStyle w:val="NoSpacing"/>
        <w:ind w:left="720"/>
        <w:rPr>
          <w:bCs/>
        </w:rPr>
      </w:pPr>
    </w:p>
    <w:p w14:paraId="615AC21E" w14:textId="77777777" w:rsidR="0087684E" w:rsidRDefault="0087684E" w:rsidP="0087684E">
      <w:pPr>
        <w:pStyle w:val="NoSpacing"/>
        <w:ind w:left="720"/>
        <w:rPr>
          <w:bCs/>
        </w:rPr>
      </w:pPr>
      <w:r>
        <w:t>***</w:t>
      </w:r>
    </w:p>
    <w:p w14:paraId="71D5D3A2" w14:textId="77777777" w:rsidR="0087684E" w:rsidRPr="00C227B7" w:rsidRDefault="0087684E" w:rsidP="0087684E">
      <w:pPr>
        <w:pStyle w:val="NoSpacing"/>
        <w:ind w:firstLine="720"/>
      </w:pPr>
      <w:r w:rsidRPr="00C227B7">
        <w:t>Following Manuelito’s motion to dismiss, the district court determined that Idaho’s</w:t>
      </w:r>
    </w:p>
    <w:p w14:paraId="3324ECC8" w14:textId="77777777" w:rsidR="0087684E" w:rsidRDefault="0087684E" w:rsidP="0087684E">
      <w:pPr>
        <w:pStyle w:val="NoSpacing"/>
        <w:ind w:left="720"/>
      </w:pPr>
      <w:r w:rsidRPr="00C227B7">
        <w:t>overdose immunity statute, Idaho Code section 37-2739C, applied to Manuelito, thereby granting</w:t>
      </w:r>
      <w:r>
        <w:t xml:space="preserve"> </w:t>
      </w:r>
      <w:r w:rsidRPr="00C227B7">
        <w:t xml:space="preserve">him immunity from prosecution for </w:t>
      </w:r>
      <w:proofErr w:type="gramStart"/>
      <w:r w:rsidRPr="00C227B7">
        <w:t>the possession</w:t>
      </w:r>
      <w:proofErr w:type="gramEnd"/>
      <w:r w:rsidRPr="00C227B7">
        <w:t xml:space="preserve"> offenses. We reverse the district court’s order</w:t>
      </w:r>
      <w:r>
        <w:t xml:space="preserve"> </w:t>
      </w:r>
      <w:r w:rsidRPr="00C227B7">
        <w:t>because the record contains no showing that Manuelito either experienced a drug-related medical</w:t>
      </w:r>
      <w:r>
        <w:t xml:space="preserve"> </w:t>
      </w:r>
      <w:r w:rsidRPr="00C227B7">
        <w:t xml:space="preserve">emergency or </w:t>
      </w:r>
      <w:proofErr w:type="gramStart"/>
      <w:r w:rsidRPr="00C227B7">
        <w:t>was in need of</w:t>
      </w:r>
      <w:proofErr w:type="gramEnd"/>
      <w:r w:rsidRPr="00C227B7">
        <w:t xml:space="preserve"> medical assistance.</w:t>
      </w:r>
    </w:p>
    <w:p w14:paraId="2A9C831C" w14:textId="77777777" w:rsidR="0087684E" w:rsidRDefault="0087684E" w:rsidP="0087684E">
      <w:pPr>
        <w:pStyle w:val="NoSpacing"/>
        <w:ind w:left="720"/>
      </w:pPr>
    </w:p>
    <w:p w14:paraId="515E8377" w14:textId="77777777" w:rsidR="0087684E" w:rsidRDefault="0087684E" w:rsidP="0087684E">
      <w:pPr>
        <w:pStyle w:val="NoSpacing"/>
        <w:ind w:left="720"/>
      </w:pPr>
      <w:r>
        <w:t>***</w:t>
      </w:r>
    </w:p>
    <w:p w14:paraId="31E65236" w14:textId="77777777" w:rsidR="0087684E" w:rsidRDefault="0087684E" w:rsidP="0087684E">
      <w:pPr>
        <w:pStyle w:val="NoSpacing"/>
      </w:pPr>
    </w:p>
    <w:p w14:paraId="6BEC9D42" w14:textId="77777777" w:rsidR="0087684E" w:rsidRDefault="0087684E" w:rsidP="0087684E">
      <w:pPr>
        <w:pStyle w:val="NoSpacing"/>
        <w:ind w:firstLine="720"/>
      </w:pPr>
      <w:r>
        <w:t>Based on legislative intent and policy considerations, the court adopted a broad</w:t>
      </w:r>
    </w:p>
    <w:p w14:paraId="6F59DD4B" w14:textId="77777777" w:rsidR="0087684E" w:rsidRDefault="0087684E" w:rsidP="0087684E">
      <w:pPr>
        <w:pStyle w:val="NoSpacing"/>
        <w:ind w:left="720"/>
      </w:pPr>
      <w:r>
        <w:t>interpretation of the statute, concluding that a ‘drug-related medical emergency’ encompasses situations where a person in good faith believes another is experiencing a drug- or alcohol-related medical issue requiring assistance. The court reasoned that this interpretation aligns with the legislature’s intent to encourage a request for emergency assistance without fear of prosecution. For those reasons, the court granted Manuelito’s motion to dismiss the three possession charges relating to controlled substances (marijuana and DMT) and paraphernalia.</w:t>
      </w:r>
    </w:p>
    <w:p w14:paraId="658B6ADF" w14:textId="77777777" w:rsidR="0087684E" w:rsidRDefault="0087684E" w:rsidP="0087684E">
      <w:pPr>
        <w:pStyle w:val="NoSpacing"/>
        <w:ind w:left="720"/>
      </w:pPr>
    </w:p>
    <w:p w14:paraId="308FEB1E" w14:textId="77777777" w:rsidR="0087684E" w:rsidRDefault="0087684E" w:rsidP="0087684E">
      <w:pPr>
        <w:pStyle w:val="NoSpacing"/>
        <w:ind w:left="720"/>
      </w:pPr>
      <w:r>
        <w:t>***</w:t>
      </w:r>
    </w:p>
    <w:p w14:paraId="1C3BAC47" w14:textId="77777777" w:rsidR="0087684E" w:rsidRDefault="0087684E" w:rsidP="0087684E">
      <w:pPr>
        <w:pStyle w:val="NoSpacing"/>
        <w:ind w:left="720"/>
      </w:pPr>
      <w:r>
        <w:t xml:space="preserve">Manuelito did not establish he was suffering a drug-related medical emergency at the time police obtained </w:t>
      </w:r>
      <w:proofErr w:type="gramStart"/>
      <w:r>
        <w:t>the evidence</w:t>
      </w:r>
      <w:proofErr w:type="gramEnd"/>
      <w:r>
        <w:t xml:space="preserve"> supporting his drug-related charges for immunity to apply under Idaho Code section 37-2739C(2). Therefore, the statute does not provide </w:t>
      </w:r>
      <w:proofErr w:type="gramStart"/>
      <w:r>
        <w:t>him</w:t>
      </w:r>
      <w:proofErr w:type="gramEnd"/>
      <w:r>
        <w:t xml:space="preserve"> immunity from prosecution on counts one through three. The district court erred in concluding otherwise.”</w:t>
      </w:r>
    </w:p>
    <w:p w14:paraId="384CD31F" w14:textId="77777777" w:rsidR="0087684E" w:rsidRDefault="0087684E" w:rsidP="0087684E">
      <w:pPr>
        <w:pStyle w:val="NoSpacing"/>
      </w:pPr>
    </w:p>
    <w:p w14:paraId="764C0FFE" w14:textId="77777777" w:rsidR="0087684E" w:rsidRPr="006841DB" w:rsidRDefault="0087684E" w:rsidP="0087684E">
      <w:pPr>
        <w:rPr>
          <w:b/>
        </w:rPr>
      </w:pPr>
      <w:r>
        <w:rPr>
          <w:b/>
        </w:rPr>
        <w:t xml:space="preserve">Legal lesson learned: Drug immunity statutes are designed to encourage third parties to call 911; Idaho’s statute only applies if the person is suffering a drug-related emergency.  </w:t>
      </w:r>
    </w:p>
    <w:p w14:paraId="5F0E8B44" w14:textId="77777777" w:rsidR="0087684E" w:rsidRDefault="0087684E" w:rsidP="0087684E">
      <w:pPr>
        <w:ind w:left="720"/>
      </w:pPr>
      <w:r>
        <w:t xml:space="preserve">Note: Idaho immunity law: </w:t>
      </w:r>
      <w:hyperlink r:id="rId1976" w:history="1">
        <w:r w:rsidRPr="00C109A8">
          <w:rPr>
            <w:rStyle w:val="Hyperlink"/>
          </w:rPr>
          <w:t>https://law.justia.com/codes/idaho/title-37/chapter-27/article-iv/section-37-2739c/</w:t>
        </w:r>
      </w:hyperlink>
      <w:r>
        <w:t xml:space="preserve"> </w:t>
      </w:r>
    </w:p>
    <w:p w14:paraId="4C01A39E" w14:textId="77777777" w:rsidR="0087684E" w:rsidRDefault="0087684E" w:rsidP="0087684E">
      <w:pPr>
        <w:ind w:left="720"/>
      </w:pPr>
      <w:r w:rsidRPr="008B0F56">
        <w:t>37-2739C. MEDICAL ASSISTANCE — DRUG-RELATED OVERDOSE — PROSECUTION FOR POSSESSION.</w:t>
      </w:r>
    </w:p>
    <w:p w14:paraId="75EEBE29" w14:textId="77777777" w:rsidR="0087684E" w:rsidRPr="008B0F56" w:rsidRDefault="0087684E" w:rsidP="0087684E">
      <w:pPr>
        <w:ind w:left="720"/>
      </w:pPr>
      <w:r w:rsidRPr="008B0F56">
        <w:t>(1) A person acting in good faith who seeks medical assistance for any person experiencing a drug-related medical emergency shall not be charged or prosecuted for possession of a controlled substance pursuant to section 37-2732(c) or (e), Idaho Code, for using or being under the influence of a controlled substance pursuant to section 37-2732C(a), Idaho Code, or for using or possessing with intent to use drug paraphernalia pursuant to section 37-2734A(1), Idaho Code, if the evidence for the charge of possession of or using or being under the influence of a controlled substance or using or possessing drug paraphernalia was obtained as a result of the person seeking medical assistance.</w:t>
      </w:r>
    </w:p>
    <w:p w14:paraId="63021BF6" w14:textId="77777777" w:rsidR="0087684E" w:rsidRPr="008B0F56" w:rsidRDefault="0087684E" w:rsidP="0087684E">
      <w:pPr>
        <w:ind w:left="720"/>
      </w:pPr>
      <w:r w:rsidRPr="008B0F56">
        <w:t>(2) A person who experiences a drug-related medical emergency and is in need of medical assistance shall not be charged or prosecuted for possession of a controlled substance pursuant to section 37-2732(c) or (e), Idaho Code, for using or being under the influence of a controlled substance pursuant to section 37-2732C(a), Idaho Code, or for using or possessing with intent to use drug paraphernalia pursuant to section 37-2734A(1), Idaho Code, if the evidence for the charge of possession of or using or being under the influence of a controlled substance or using or possessing drug paraphernalia was obtained as a result of the medical emergency and the need for medical assistance.</w:t>
      </w:r>
    </w:p>
    <w:p w14:paraId="62F789F3" w14:textId="77777777" w:rsidR="0087684E" w:rsidRPr="008B0F56" w:rsidRDefault="0087684E" w:rsidP="0087684E">
      <w:pPr>
        <w:ind w:left="720"/>
      </w:pPr>
      <w:r w:rsidRPr="008B0F56">
        <w:t>(3) The protections in this section from prosecution shall not be grounds for suppression of evidence in other criminal charges.</w:t>
      </w:r>
    </w:p>
    <w:p w14:paraId="4D742A75" w14:textId="77777777" w:rsidR="0087684E" w:rsidRDefault="0087684E" w:rsidP="0087684E">
      <w:pPr>
        <w:pStyle w:val="NoSpacing"/>
        <w:rPr>
          <w:bCs/>
        </w:rPr>
      </w:pPr>
    </w:p>
    <w:p w14:paraId="168EB01A" w14:textId="77777777" w:rsidR="0087684E" w:rsidRDefault="0087684E" w:rsidP="0087684E">
      <w:pPr>
        <w:pStyle w:val="NoSpacing"/>
      </w:pPr>
    </w:p>
    <w:p w14:paraId="7B068B9D" w14:textId="77777777" w:rsidR="0087684E" w:rsidRDefault="0087684E" w:rsidP="0087684E">
      <w:pPr>
        <w:pStyle w:val="NoSpacing"/>
      </w:pPr>
    </w:p>
    <w:p w14:paraId="452712C0" w14:textId="77777777" w:rsidR="0087684E" w:rsidRDefault="0087684E" w:rsidP="0087684E">
      <w:pPr>
        <w:rPr>
          <w:bCs/>
        </w:rPr>
      </w:pPr>
    </w:p>
    <w:p w14:paraId="07072E63" w14:textId="77777777" w:rsidR="0087684E" w:rsidRDefault="0087684E" w:rsidP="0087684E">
      <w:pPr>
        <w:rPr>
          <w:bCs/>
        </w:rPr>
      </w:pPr>
    </w:p>
    <w:p w14:paraId="2E63B2AA" w14:textId="77777777" w:rsidR="0036420D" w:rsidRDefault="0036420D" w:rsidP="0091755D">
      <w:pPr>
        <w:rPr>
          <w:rFonts w:ascii="Arial Black" w:hAnsi="Arial Black"/>
          <w:b/>
          <w:bCs/>
          <w:sz w:val="24"/>
          <w:szCs w:val="24"/>
        </w:rPr>
      </w:pPr>
    </w:p>
    <w:p w14:paraId="799D5015" w14:textId="77777777" w:rsidR="0036420D" w:rsidRDefault="0036420D" w:rsidP="0091755D">
      <w:pPr>
        <w:rPr>
          <w:rFonts w:ascii="Arial Black" w:hAnsi="Arial Black"/>
          <w:b/>
          <w:bCs/>
          <w:sz w:val="24"/>
          <w:szCs w:val="24"/>
        </w:rPr>
      </w:pPr>
    </w:p>
    <w:p w14:paraId="26893937" w14:textId="77777777" w:rsidR="0036420D" w:rsidRDefault="0036420D" w:rsidP="0091755D">
      <w:pPr>
        <w:rPr>
          <w:rFonts w:ascii="Arial Black" w:hAnsi="Arial Black"/>
          <w:b/>
          <w:bCs/>
          <w:sz w:val="24"/>
          <w:szCs w:val="24"/>
        </w:rPr>
      </w:pPr>
    </w:p>
    <w:p w14:paraId="660DFBA3" w14:textId="33BE0CF3" w:rsidR="0091755D" w:rsidRDefault="0091755D" w:rsidP="0091755D">
      <w:pPr>
        <w:rPr>
          <w:rFonts w:ascii="Arial Black" w:hAnsi="Arial Black"/>
          <w:b/>
          <w:bCs/>
          <w:sz w:val="24"/>
          <w:szCs w:val="24"/>
        </w:rPr>
      </w:pPr>
      <w:r>
        <w:rPr>
          <w:rFonts w:ascii="Arial Black" w:hAnsi="Arial Black"/>
          <w:b/>
          <w:bCs/>
          <w:sz w:val="24"/>
          <w:szCs w:val="24"/>
        </w:rPr>
        <w:t>13-25</w:t>
      </w:r>
      <w:r w:rsidR="00DA5EE8">
        <w:rPr>
          <w:rFonts w:ascii="Arial Black" w:hAnsi="Arial Black"/>
          <w:b/>
          <w:bCs/>
          <w:sz w:val="24"/>
          <w:szCs w:val="24"/>
        </w:rPr>
        <w:t>7</w:t>
      </w:r>
    </w:p>
    <w:p w14:paraId="65B951EF" w14:textId="77777777" w:rsidR="007F7423" w:rsidRDefault="007F7423" w:rsidP="007F7423">
      <w:pPr>
        <w:pStyle w:val="NoSpacing"/>
        <w:rPr>
          <w:rFonts w:ascii="Arial Black" w:hAnsi="Arial Black"/>
          <w:bCs/>
          <w:sz w:val="28"/>
          <w:szCs w:val="28"/>
        </w:rPr>
      </w:pPr>
      <w:r>
        <w:rPr>
          <w:rFonts w:ascii="Arial Black" w:hAnsi="Arial Black"/>
          <w:sz w:val="28"/>
          <w:szCs w:val="28"/>
        </w:rPr>
        <w:t>NY: EMT DISCIPLINE - STATE DPT HEALTH - NO JURY TRIAL</w:t>
      </w:r>
    </w:p>
    <w:p w14:paraId="118919D7" w14:textId="77777777" w:rsidR="007F7423" w:rsidRDefault="007F7423" w:rsidP="007F7423">
      <w:pPr>
        <w:pStyle w:val="NoSpacing"/>
        <w:rPr>
          <w:bCs/>
        </w:rPr>
      </w:pPr>
    </w:p>
    <w:p w14:paraId="53B102AE" w14:textId="77777777" w:rsidR="007F7423" w:rsidRPr="00BE66C3" w:rsidRDefault="007F7423" w:rsidP="007F7423">
      <w:pPr>
        <w:pStyle w:val="NoSpacing"/>
        <w:rPr>
          <w:b/>
        </w:rPr>
      </w:pPr>
      <w:r>
        <w:t xml:space="preserve">On April 23, 2026, in </w:t>
      </w:r>
      <w:r w:rsidRPr="00D17474">
        <w:rPr>
          <w:u w:val="single"/>
        </w:rPr>
        <w:t>Justin Ball v. New York State Department of Health</w:t>
      </w:r>
      <w:r w:rsidRPr="00D17474">
        <w:t xml:space="preserve">, </w:t>
      </w:r>
      <w:r>
        <w:t xml:space="preserve">the </w:t>
      </w:r>
      <w:r w:rsidRPr="00D17474">
        <w:t>Supreme Court of New York, Third Department</w:t>
      </w:r>
      <w:r>
        <w:t xml:space="preserve"> held (5 to 0) that a Supreme Court Judge for </w:t>
      </w:r>
      <w:r w:rsidRPr="00537671">
        <w:t>Schoharie County</w:t>
      </w:r>
      <w:r>
        <w:t xml:space="preserve"> improperly held the EMT was entitled </w:t>
      </w:r>
      <w:r w:rsidRPr="00537671">
        <w:t>to a civil jury trial in a pending administrative license revocation proceeding.</w:t>
      </w:r>
      <w:r>
        <w:t xml:space="preserve">  He is under investigation for a complaint that on a </w:t>
      </w:r>
      <w:r w:rsidRPr="00BB5F73">
        <w:t xml:space="preserve">call </w:t>
      </w:r>
      <w:r>
        <w:t xml:space="preserve">to help a </w:t>
      </w:r>
      <w:r w:rsidRPr="00BB5F73">
        <w:t>63-year-old man who was allegedly unable to get up after having fallen down</w:t>
      </w:r>
      <w:r>
        <w:t>, the EMT “</w:t>
      </w:r>
      <w:r w:rsidRPr="00BB5F73">
        <w:t>believed that the patient was faking his condition and, rather than providing any meaningful assistance to the patient, plaintiff ridiculed him and offered minimal, rough aid.</w:t>
      </w:r>
      <w:r>
        <w:t xml:space="preserve">” </w:t>
      </w:r>
      <w:hyperlink r:id="rId1977" w:history="1">
        <w:r w:rsidRPr="003A1948">
          <w:rPr>
            <w:rStyle w:val="Hyperlink"/>
          </w:rPr>
          <w:t>https://www.nycourts.gov/reporter/current/3dseries/2026/2026_02494.shtml</w:t>
        </w:r>
      </w:hyperlink>
      <w:r>
        <w:t xml:space="preserve"> </w:t>
      </w:r>
    </w:p>
    <w:p w14:paraId="48C0A22E" w14:textId="77777777" w:rsidR="007F7423" w:rsidRDefault="007F7423" w:rsidP="007F7423">
      <w:pPr>
        <w:pStyle w:val="NoSpacing"/>
      </w:pPr>
      <w:r>
        <w:t xml:space="preserve"> </w:t>
      </w:r>
    </w:p>
    <w:p w14:paraId="211A97CE" w14:textId="77777777" w:rsidR="007F7423" w:rsidRDefault="007F7423" w:rsidP="007F7423">
      <w:pPr>
        <w:pStyle w:val="NoSpacing"/>
      </w:pPr>
    </w:p>
    <w:p w14:paraId="143E6C31" w14:textId="77777777" w:rsidR="007F7423" w:rsidRDefault="007F7423" w:rsidP="007F7423">
      <w:pPr>
        <w:pStyle w:val="NoSpacing"/>
      </w:pPr>
      <w:r>
        <w:t>THE COURT HELD:</w:t>
      </w:r>
    </w:p>
    <w:p w14:paraId="39C949AD" w14:textId="77777777" w:rsidR="007F7423" w:rsidRDefault="007F7423" w:rsidP="007F7423">
      <w:pPr>
        <w:pStyle w:val="NoSpacing"/>
      </w:pPr>
    </w:p>
    <w:p w14:paraId="7A1C3C53" w14:textId="77777777" w:rsidR="007F7423" w:rsidRDefault="007F7423" w:rsidP="007F7423">
      <w:pPr>
        <w:pStyle w:val="NoSpacing"/>
        <w:ind w:left="720"/>
      </w:pPr>
      <w:r>
        <w:t>“</w:t>
      </w:r>
      <w:r w:rsidRPr="00152C4C">
        <w:t>Defendant argues that Supreme Court improperly disregarded binding precedent from the Supreme Court of the United States that the Seventh Amendment does not apply to the states. We agree. The Seventh Amendment to the US Constitution preserves the right of trial by jury in suits at common law where the value of the controversy exceeds $20 (</w:t>
      </w:r>
      <w:r w:rsidRPr="00152C4C">
        <w:rPr>
          <w:i/>
          <w:iCs/>
        </w:rPr>
        <w:t>see</w:t>
      </w:r>
      <w:r w:rsidRPr="00152C4C">
        <w:t xml:space="preserve"> US Const, 7th Amend). Longstanding precedent from the Supreme Court of the United States holds that the Seventh Amendment "applies only to proceedings in courts of the United States, and does not in any manner whatever govern or regulate trials by jury in state courts, or the standards which must be applied concerning the same"(</w:t>
      </w:r>
      <w:r w:rsidRPr="00152C4C">
        <w:rPr>
          <w:i/>
          <w:iCs/>
        </w:rPr>
        <w:t xml:space="preserve">Minneapolis &amp; St. Louis R. Co. v </w:t>
      </w:r>
      <w:proofErr w:type="spellStart"/>
      <w:r w:rsidRPr="00152C4C">
        <w:rPr>
          <w:i/>
          <w:iCs/>
        </w:rPr>
        <w:t>Bombolis</w:t>
      </w:r>
      <w:proofErr w:type="spellEnd"/>
      <w:r w:rsidRPr="00152C4C">
        <w:t xml:space="preserve">, 241 US 211, 217 [1916]; </w:t>
      </w:r>
      <w:r w:rsidRPr="00152C4C">
        <w:rPr>
          <w:i/>
          <w:iCs/>
        </w:rPr>
        <w:t>see</w:t>
      </w:r>
      <w:r w:rsidRPr="00152C4C">
        <w:t xml:space="preserve"> </w:t>
      </w:r>
      <w:r w:rsidRPr="00152C4C">
        <w:rPr>
          <w:i/>
          <w:iCs/>
        </w:rPr>
        <w:t xml:space="preserve">Walker v </w:t>
      </w:r>
      <w:proofErr w:type="spellStart"/>
      <w:r w:rsidRPr="00152C4C">
        <w:rPr>
          <w:i/>
          <w:iCs/>
        </w:rPr>
        <w:t>Sauvinet</w:t>
      </w:r>
      <w:proofErr w:type="spellEnd"/>
      <w:r w:rsidRPr="00152C4C">
        <w:t>, 92 US 90, 92 [1875]).</w:t>
      </w:r>
    </w:p>
    <w:p w14:paraId="28432B1F" w14:textId="77777777" w:rsidR="007F7423" w:rsidRDefault="007F7423" w:rsidP="007F7423">
      <w:pPr>
        <w:pStyle w:val="NoSpacing"/>
      </w:pPr>
    </w:p>
    <w:p w14:paraId="33DA1E8D" w14:textId="77777777" w:rsidR="007F7423" w:rsidRDefault="007F7423" w:rsidP="007F7423">
      <w:pPr>
        <w:pStyle w:val="NoSpacing"/>
        <w:ind w:firstLine="720"/>
      </w:pPr>
      <w:r>
        <w:t>***</w:t>
      </w:r>
    </w:p>
    <w:p w14:paraId="51D2DC57" w14:textId="77777777" w:rsidR="007F7423" w:rsidRDefault="007F7423" w:rsidP="007F7423">
      <w:pPr>
        <w:pStyle w:val="NoSpacing"/>
        <w:ind w:left="720"/>
      </w:pPr>
      <w:r w:rsidRPr="005D4F0C">
        <w:t xml:space="preserve">Indeed, the right to a trial by jury provided in the NY Constitution does not extend to those proceedings concerning professional licensure </w:t>
      </w:r>
      <w:r>
        <w:t>‘</w:t>
      </w:r>
      <w:r w:rsidRPr="005D4F0C">
        <w:t>where the object is not the punishment of the offender, but to purge of an unworthy member a profession in which purity of conduct and character are all important</w:t>
      </w:r>
      <w:r>
        <w:t>’</w:t>
      </w:r>
      <w:r w:rsidRPr="005D4F0C">
        <w:t xml:space="preserve"> (</w:t>
      </w:r>
      <w:r w:rsidRPr="005D4F0C">
        <w:rPr>
          <w:i/>
          <w:iCs/>
        </w:rPr>
        <w:t>Matter of Smith</w:t>
      </w:r>
      <w:r w:rsidRPr="005D4F0C">
        <w:t>, 10 Wend at 454). The fact that plaintiff's alleged conduct may also form the basis for common-law claims sounding in tort does not alter the fact that this proceeding arises through defendant's statutory obligation to regulate EMT licenses. Accordingly, because plaintiff has failed to establish that a regulatory revocation proceeding for an EMT license is analogous to common-law cases traditionally entitled to trial by jury before 1777, plaintiff is not entitled to a jury trial under the NY Constitution (</w:t>
      </w:r>
      <w:r w:rsidRPr="005D4F0C">
        <w:rPr>
          <w:i/>
          <w:iCs/>
        </w:rPr>
        <w:t>see Matter of DES Mkt. Share Litig.</w:t>
      </w:r>
      <w:r w:rsidRPr="005D4F0C">
        <w:t xml:space="preserve">, 79 NY2d at 304-305; </w:t>
      </w:r>
      <w:r w:rsidRPr="005D4F0C">
        <w:rPr>
          <w:i/>
          <w:iCs/>
        </w:rPr>
        <w:t>Matter of State of New York v Myron P.</w:t>
      </w:r>
      <w:r w:rsidRPr="005D4F0C">
        <w:t>, 86 AD3d at 29-30).</w:t>
      </w:r>
      <w:r>
        <w:t>”</w:t>
      </w:r>
    </w:p>
    <w:p w14:paraId="215BDCA2" w14:textId="77777777" w:rsidR="007F7423" w:rsidRDefault="007F7423" w:rsidP="007F7423">
      <w:pPr>
        <w:pStyle w:val="NoSpacing"/>
      </w:pPr>
    </w:p>
    <w:p w14:paraId="5C2C0353" w14:textId="77777777" w:rsidR="007F7423" w:rsidRPr="00CE4216" w:rsidRDefault="007F7423" w:rsidP="007F7423">
      <w:pPr>
        <w:pStyle w:val="NoSpacing"/>
        <w:rPr>
          <w:b/>
          <w:bCs/>
        </w:rPr>
      </w:pPr>
      <w:r>
        <w:rPr>
          <w:b/>
        </w:rPr>
        <w:t xml:space="preserve">Legal </w:t>
      </w:r>
      <w:proofErr w:type="gramStart"/>
      <w:r>
        <w:rPr>
          <w:b/>
        </w:rPr>
        <w:t>lesson</w:t>
      </w:r>
      <w:proofErr w:type="gramEnd"/>
      <w:r>
        <w:rPr>
          <w:b/>
        </w:rPr>
        <w:t xml:space="preserve"> learned: EMS are entitled to a hearing before the state board, but not a civil jury trial in state court.  If license is revoked, can then appeal to court.</w:t>
      </w:r>
    </w:p>
    <w:p w14:paraId="1F886424" w14:textId="77777777" w:rsidR="007F7423" w:rsidRDefault="007F7423" w:rsidP="007F7423">
      <w:pPr>
        <w:pStyle w:val="NoSpacing"/>
      </w:pPr>
    </w:p>
    <w:p w14:paraId="4E767C83" w14:textId="77777777" w:rsidR="007F7423" w:rsidRDefault="007F7423" w:rsidP="007F7423">
      <w:pPr>
        <w:pStyle w:val="NoSpacing"/>
        <w:ind w:left="720"/>
      </w:pPr>
      <w:r>
        <w:t xml:space="preserve">Note:  For example, </w:t>
      </w:r>
      <w:r w:rsidRPr="007B3D37">
        <w:t>see H</w:t>
      </w:r>
      <w:r>
        <w:t xml:space="preserve">olycross v. State Board of EMS (2005): </w:t>
      </w:r>
      <w:r>
        <w:rPr>
          <w:b/>
        </w:rPr>
        <w:t xml:space="preserve"> </w:t>
      </w:r>
      <w:hyperlink r:id="rId1978" w:history="1">
        <w:r w:rsidRPr="003C3573">
          <w:rPr>
            <w:rStyle w:val="Hyperlink"/>
            <w:b/>
          </w:rPr>
          <w:t>https://www.studicata.com/summaries/court-of-appeals-of-ohio/holycross-v-state-board-of-emergency-med-2005-oor7s1/</w:t>
        </w:r>
      </w:hyperlink>
      <w:r>
        <w:rPr>
          <w:b/>
        </w:rPr>
        <w:t xml:space="preserve">  </w:t>
      </w:r>
      <w:r>
        <w:t>“</w:t>
      </w:r>
      <w:r w:rsidRPr="0013381F">
        <w:t xml:space="preserve">We agree with Holycross that the board's decision to revoke his license is not supported by the probative, credible evidence in the record. </w:t>
      </w:r>
      <w:r w:rsidRPr="0013381F">
        <w:t> </w:t>
      </w:r>
      <w:r w:rsidRPr="0013381F">
        <w:t xml:space="preserve"> We therefore reverse the judgment of the trial court and remand this cause, without reaching his constitutional claim, which we find to be moot.</w:t>
      </w:r>
      <w:r>
        <w:t xml:space="preserve">” </w:t>
      </w:r>
    </w:p>
    <w:p w14:paraId="329399B6" w14:textId="77777777" w:rsidR="007F7423" w:rsidRDefault="007F7423" w:rsidP="007F7423">
      <w:pPr>
        <w:pStyle w:val="NoSpacing"/>
        <w:ind w:left="720"/>
      </w:pPr>
    </w:p>
    <w:p w14:paraId="02428C54" w14:textId="77777777" w:rsidR="0091755D" w:rsidRDefault="0091755D" w:rsidP="00756ACB">
      <w:pPr>
        <w:rPr>
          <w:rFonts w:ascii="Arial Black" w:hAnsi="Arial Black"/>
          <w:b/>
          <w:bCs/>
          <w:sz w:val="24"/>
          <w:szCs w:val="24"/>
        </w:rPr>
      </w:pPr>
    </w:p>
    <w:p w14:paraId="1080CB31" w14:textId="77777777" w:rsidR="0091755D" w:rsidRDefault="0091755D" w:rsidP="00756ACB">
      <w:pPr>
        <w:rPr>
          <w:rFonts w:ascii="Arial Black" w:hAnsi="Arial Black"/>
          <w:b/>
          <w:bCs/>
          <w:sz w:val="24"/>
          <w:szCs w:val="24"/>
        </w:rPr>
      </w:pPr>
    </w:p>
    <w:p w14:paraId="658809D2" w14:textId="4EB04F87" w:rsidR="00756ACB" w:rsidRDefault="00756ACB" w:rsidP="00756ACB">
      <w:pPr>
        <w:rPr>
          <w:rFonts w:ascii="Arial Black" w:hAnsi="Arial Black"/>
          <w:b/>
          <w:bCs/>
          <w:sz w:val="24"/>
          <w:szCs w:val="24"/>
        </w:rPr>
      </w:pPr>
      <w:r>
        <w:rPr>
          <w:rFonts w:ascii="Arial Black" w:hAnsi="Arial Black"/>
          <w:b/>
          <w:bCs/>
          <w:sz w:val="24"/>
          <w:szCs w:val="24"/>
        </w:rPr>
        <w:t>13-25</w:t>
      </w:r>
      <w:r w:rsidR="00DA5EE8">
        <w:rPr>
          <w:rFonts w:ascii="Arial Black" w:hAnsi="Arial Black"/>
          <w:b/>
          <w:bCs/>
          <w:sz w:val="24"/>
          <w:szCs w:val="24"/>
        </w:rPr>
        <w:t>6</w:t>
      </w:r>
    </w:p>
    <w:p w14:paraId="75158E20" w14:textId="77777777" w:rsidR="00E14BE6" w:rsidRPr="00EC03B8" w:rsidRDefault="00E14BE6" w:rsidP="00E14BE6">
      <w:pPr>
        <w:pStyle w:val="NoSpacing"/>
        <w:rPr>
          <w:rFonts w:ascii="Arial Black" w:hAnsi="Arial Black"/>
          <w:sz w:val="28"/>
          <w:szCs w:val="28"/>
        </w:rPr>
      </w:pPr>
      <w:r>
        <w:rPr>
          <w:rFonts w:ascii="Arial Black" w:hAnsi="Arial Black"/>
          <w:sz w:val="28"/>
          <w:szCs w:val="28"/>
        </w:rPr>
        <w:t>PA: MOTORCYCLE PT TO NON-TRAUMA HOSP - IMMUNITY</w:t>
      </w:r>
    </w:p>
    <w:p w14:paraId="56FA4893" w14:textId="77777777" w:rsidR="00E14BE6" w:rsidRDefault="00E14BE6" w:rsidP="00E14BE6">
      <w:pPr>
        <w:pStyle w:val="NoSpacing"/>
      </w:pPr>
    </w:p>
    <w:p w14:paraId="5ABF1F6B" w14:textId="77777777" w:rsidR="00E14BE6" w:rsidRPr="008F6F62" w:rsidRDefault="00E14BE6" w:rsidP="00E14BE6">
      <w:pPr>
        <w:pStyle w:val="NoSpacing"/>
        <w:rPr>
          <w:bCs/>
        </w:rPr>
      </w:pPr>
      <w:r>
        <w:t xml:space="preserve">On April 23, 2026, in </w:t>
      </w:r>
      <w:r w:rsidRPr="006C06CA">
        <w:rPr>
          <w:u w:val="single"/>
        </w:rPr>
        <w:t>Kristin Claypoole and Melissa Knepp as Co-Administrators of the Estate of Glenn M. Noel v. Altoona-Logan Township Mobile Medical Emergency Department Authority d/b/a AMED</w:t>
      </w:r>
      <w:r>
        <w:t xml:space="preserve">, the </w:t>
      </w:r>
      <w:r w:rsidRPr="008F6F62">
        <w:t>Commonwealth Court of Pennsylvania</w:t>
      </w:r>
      <w:r>
        <w:t xml:space="preserve"> held (3 to 0) that trial court judge properly dismissed the lawsuit; the local EMS agency enjoys broad immunity under state law, unless proof of gross negligence or willful </w:t>
      </w:r>
      <w:proofErr w:type="spellStart"/>
      <w:r>
        <w:t>miscondict</w:t>
      </w:r>
      <w:proofErr w:type="spellEnd"/>
      <w:r>
        <w:t xml:space="preserve">. Accident was on October 25, transported at </w:t>
      </w:r>
      <w:r w:rsidRPr="00AF132A">
        <w:t>6:49 a.m.</w:t>
      </w:r>
      <w:r>
        <w:t xml:space="preserve"> to local hospital (7 minutes); not to Level II trauma hospital !9 minutes).   Approximately 3 1/2 hours later was transferred by ground transport (Air Care not available due to weather) to UPMC Altoona, where he died at 2:04 p.m. on October 26, </w:t>
      </w:r>
      <w:proofErr w:type="gramStart"/>
      <w:r>
        <w:t>2022</w:t>
      </w:r>
      <w:proofErr w:type="gramEnd"/>
      <w:r>
        <w:t xml:space="preserve"> from traumatic brain injury.  </w:t>
      </w:r>
      <w:hyperlink r:id="rId1979" w:history="1">
        <w:r w:rsidRPr="003C3573">
          <w:rPr>
            <w:rStyle w:val="Hyperlink"/>
          </w:rPr>
          <w:t>https://www.pacourts.us/assets/opinions/Commonwealth/out/196CD25_4-23-26.pdf?cb=1</w:t>
        </w:r>
      </w:hyperlink>
      <w:r>
        <w:t xml:space="preserve"> </w:t>
      </w:r>
    </w:p>
    <w:p w14:paraId="71253AEA" w14:textId="77777777" w:rsidR="00E14BE6" w:rsidRDefault="00E14BE6" w:rsidP="00E14BE6">
      <w:pPr>
        <w:pStyle w:val="NoSpacing"/>
      </w:pPr>
    </w:p>
    <w:p w14:paraId="3C520431" w14:textId="77777777" w:rsidR="00E14BE6" w:rsidRDefault="00E14BE6" w:rsidP="00E14BE6">
      <w:pPr>
        <w:pStyle w:val="NoSpacing"/>
      </w:pPr>
      <w:r>
        <w:t>THE COURT HELD:</w:t>
      </w:r>
    </w:p>
    <w:p w14:paraId="317795E8" w14:textId="77777777" w:rsidR="00E14BE6" w:rsidRDefault="00E14BE6" w:rsidP="00E14BE6">
      <w:pPr>
        <w:pStyle w:val="NoSpacing"/>
      </w:pPr>
    </w:p>
    <w:p w14:paraId="53BEB168" w14:textId="77777777" w:rsidR="00E14BE6" w:rsidRDefault="00E14BE6" w:rsidP="00E14BE6">
      <w:pPr>
        <w:pStyle w:val="NoSpacing"/>
        <w:ind w:left="720"/>
      </w:pPr>
      <w:r>
        <w:t>“</w:t>
      </w:r>
      <w:r w:rsidRPr="00F118CC">
        <w:t xml:space="preserve">The Complaint asserts </w:t>
      </w:r>
      <w:proofErr w:type="gramStart"/>
      <w:r w:rsidRPr="00F118CC">
        <w:t>claims</w:t>
      </w:r>
      <w:proofErr w:type="gramEnd"/>
      <w:r w:rsidRPr="00F118CC">
        <w:t xml:space="preserve"> for negligence/gross negligence (survival)</w:t>
      </w:r>
      <w:r>
        <w:t xml:space="preserve"> </w:t>
      </w:r>
      <w:r w:rsidRPr="00F118CC">
        <w:t>(Count I) and wrongful death (Count II) against AMED, chiefly alleging that AMED’s</w:t>
      </w:r>
      <w:r>
        <w:t xml:space="preserve"> </w:t>
      </w:r>
      <w:r w:rsidRPr="00F118CC">
        <w:t>failure to immediately transport Decedent to a Level I or II trauma center was</w:t>
      </w:r>
      <w:r>
        <w:t xml:space="preserve"> ‘</w:t>
      </w:r>
      <w:r w:rsidRPr="00F118CC">
        <w:t>negligent, grossly negligent, and reckless.</w:t>
      </w:r>
      <w:r>
        <w:t xml:space="preserve">’ </w:t>
      </w:r>
    </w:p>
    <w:p w14:paraId="55A8D199" w14:textId="77777777" w:rsidR="00E14BE6" w:rsidRDefault="00E14BE6" w:rsidP="00E14BE6">
      <w:pPr>
        <w:pStyle w:val="NoSpacing"/>
        <w:ind w:left="720"/>
      </w:pPr>
    </w:p>
    <w:p w14:paraId="487DCD39" w14:textId="77777777" w:rsidR="00E14BE6" w:rsidRDefault="00E14BE6" w:rsidP="00E14BE6">
      <w:pPr>
        <w:pStyle w:val="NoSpacing"/>
        <w:ind w:left="720"/>
      </w:pPr>
      <w:r>
        <w:t>***</w:t>
      </w:r>
    </w:p>
    <w:p w14:paraId="1D36DA1A" w14:textId="77777777" w:rsidR="00E14BE6" w:rsidRPr="00F118CC" w:rsidRDefault="00E14BE6" w:rsidP="00E14BE6">
      <w:pPr>
        <w:pStyle w:val="NoSpacing"/>
        <w:ind w:left="720"/>
      </w:pPr>
    </w:p>
    <w:p w14:paraId="5C59DB7B" w14:textId="77777777" w:rsidR="00E14BE6" w:rsidRDefault="00E14BE6" w:rsidP="00E14BE6">
      <w:pPr>
        <w:pStyle w:val="NoSpacing"/>
        <w:ind w:left="720"/>
      </w:pPr>
      <w:r w:rsidRPr="002D328B">
        <w:t>Because it also is undisputed</w:t>
      </w:r>
      <w:r>
        <w:t xml:space="preserve"> </w:t>
      </w:r>
      <w:r w:rsidRPr="002D328B">
        <w:t>that none of those exceptions apply here, we must determine whether, as the Estate</w:t>
      </w:r>
      <w:r>
        <w:t xml:space="preserve"> </w:t>
      </w:r>
      <w:r w:rsidRPr="002D328B">
        <w:t>argues, the General Assembly specifically intended to abrogate immunity for local</w:t>
      </w:r>
      <w:r>
        <w:t xml:space="preserve"> </w:t>
      </w:r>
      <w:r w:rsidRPr="002D328B">
        <w:t>agencies via Section 8151(2) of the EMSSA and permit claims for gross negligence or</w:t>
      </w:r>
      <w:r>
        <w:t xml:space="preserve"> </w:t>
      </w:r>
      <w:r w:rsidRPr="002D328B">
        <w:t>willful misconduct arising out of the provision of EMS care. See Doe v. Franklin</w:t>
      </w:r>
      <w:r>
        <w:t xml:space="preserve"> </w:t>
      </w:r>
      <w:r w:rsidRPr="002D328B">
        <w:t>County, 174 A.3d 593, 605 (Pa. 2017). We conclude that it did not.</w:t>
      </w:r>
      <w:r>
        <w:t>’</w:t>
      </w:r>
    </w:p>
    <w:p w14:paraId="7E45D4D2" w14:textId="77777777" w:rsidR="00E14BE6" w:rsidRDefault="00E14BE6" w:rsidP="00E14BE6">
      <w:pPr>
        <w:pStyle w:val="NoSpacing"/>
        <w:ind w:left="720"/>
      </w:pPr>
    </w:p>
    <w:p w14:paraId="58028602" w14:textId="77777777" w:rsidR="00E14BE6" w:rsidRDefault="00E14BE6" w:rsidP="00E14BE6">
      <w:pPr>
        <w:pStyle w:val="NoSpacing"/>
        <w:ind w:left="720"/>
      </w:pPr>
      <w:r>
        <w:t>***</w:t>
      </w:r>
    </w:p>
    <w:p w14:paraId="73DBCF2B" w14:textId="77777777" w:rsidR="00E14BE6" w:rsidRDefault="00E14BE6" w:rsidP="00E14BE6">
      <w:pPr>
        <w:pStyle w:val="NoSpacing"/>
      </w:pPr>
    </w:p>
    <w:p w14:paraId="52A799A9" w14:textId="77777777" w:rsidR="00E14BE6" w:rsidRDefault="00E14BE6" w:rsidP="00E14BE6">
      <w:pPr>
        <w:pStyle w:val="NoSpacing"/>
        <w:ind w:left="720"/>
      </w:pPr>
      <w:r>
        <w:t>The EMSSA [E</w:t>
      </w:r>
      <w:r w:rsidRPr="00E472D0">
        <w:t>mergency Medical Services System Act</w:t>
      </w:r>
      <w:r>
        <w:t xml:space="preserve">] enacted in 2009, is a comprehensive statute that regulates the provision of EMS in Pennsylvania… a single miscellaneous provision of the EMSSA, Section 8151(2), prohibits the liability of EMS agencies related to the good faith rendering of EMS care unless gross negligence or willful misconduct is established. 35 </w:t>
      </w:r>
      <w:proofErr w:type="spellStart"/>
      <w:r>
        <w:t>Pa.C.S</w:t>
      </w:r>
      <w:proofErr w:type="spellEnd"/>
      <w:r>
        <w:t>. § 8151(2).</w:t>
      </w:r>
    </w:p>
    <w:p w14:paraId="02BEB7BF" w14:textId="77777777" w:rsidR="00E14BE6" w:rsidRDefault="00E14BE6" w:rsidP="00E14BE6">
      <w:pPr>
        <w:pStyle w:val="NoSpacing"/>
        <w:ind w:left="720"/>
      </w:pPr>
    </w:p>
    <w:p w14:paraId="699BDB92" w14:textId="77777777" w:rsidR="00E14BE6" w:rsidRPr="000573EE" w:rsidRDefault="00E14BE6" w:rsidP="00E14BE6">
      <w:pPr>
        <w:pStyle w:val="NoSpacing"/>
        <w:ind w:left="1440"/>
      </w:pPr>
      <w:r w:rsidRPr="000573EE">
        <w:t>(2) No EMS agency, EMS agency medical director or EMS</w:t>
      </w:r>
      <w:r>
        <w:t xml:space="preserve"> </w:t>
      </w:r>
      <w:r w:rsidRPr="000573EE">
        <w:t>provider[4] who in good faith attempts to render or facilitate</w:t>
      </w:r>
      <w:r>
        <w:t xml:space="preserve"> </w:t>
      </w:r>
      <w:r w:rsidRPr="000573EE">
        <w:t>emergency medical care authorized by this chapter shall be</w:t>
      </w:r>
      <w:r>
        <w:t xml:space="preserve"> </w:t>
      </w:r>
      <w:r w:rsidRPr="000573EE">
        <w:t xml:space="preserve">liable for civil damages </w:t>
      </w:r>
      <w:proofErr w:type="gramStart"/>
      <w:r w:rsidRPr="000573EE">
        <w:t>as a result of</w:t>
      </w:r>
      <w:proofErr w:type="gramEnd"/>
      <w:r w:rsidRPr="000573EE">
        <w:t xml:space="preserve"> an act or omission,</w:t>
      </w:r>
      <w:r>
        <w:t xml:space="preserve"> </w:t>
      </w:r>
      <w:r w:rsidRPr="000573EE">
        <w:t>absent a showing of gross negligence or willful</w:t>
      </w:r>
      <w:r>
        <w:t xml:space="preserve"> </w:t>
      </w:r>
      <w:r w:rsidRPr="000573EE">
        <w:t>misconduct. This paragraph shall also apply to students</w:t>
      </w:r>
      <w:r>
        <w:t xml:space="preserve"> </w:t>
      </w:r>
      <w:r w:rsidRPr="000573EE">
        <w:t>enrolled in approved courses of instruction and supervised</w:t>
      </w:r>
      <w:r>
        <w:t xml:space="preserve"> </w:t>
      </w:r>
      <w:r w:rsidRPr="000573EE">
        <w:t>pursuant to rules and regulations.</w:t>
      </w:r>
      <w:r>
        <w:t>”</w:t>
      </w:r>
    </w:p>
    <w:p w14:paraId="1B43714C" w14:textId="77777777" w:rsidR="00E14BE6" w:rsidRPr="000573EE" w:rsidRDefault="00E14BE6" w:rsidP="00E14BE6">
      <w:pPr>
        <w:pStyle w:val="NoSpacing"/>
      </w:pPr>
    </w:p>
    <w:p w14:paraId="055E2164" w14:textId="77777777" w:rsidR="00E14BE6" w:rsidRPr="00F71EF9" w:rsidRDefault="00E14BE6" w:rsidP="00E14BE6">
      <w:pPr>
        <w:pStyle w:val="NoSpacing"/>
        <w:rPr>
          <w:b/>
        </w:rPr>
      </w:pPr>
      <w:r>
        <w:rPr>
          <w:b/>
        </w:rPr>
        <w:t xml:space="preserve">Legal lesson learned: EMS agencies have broad immunity; follow your protocol on when to call Air Care for head trauma, and when to transport to Level I or II trauma hospital. </w:t>
      </w:r>
    </w:p>
    <w:p w14:paraId="4FA7D7FB" w14:textId="77777777" w:rsidR="00E14BE6" w:rsidRDefault="00E14BE6" w:rsidP="002B1283">
      <w:pPr>
        <w:rPr>
          <w:rFonts w:ascii="Arial Black" w:hAnsi="Arial Black"/>
          <w:b/>
          <w:bCs/>
          <w:sz w:val="28"/>
          <w:szCs w:val="28"/>
        </w:rPr>
      </w:pPr>
    </w:p>
    <w:p w14:paraId="740A7DFA" w14:textId="3C9BAF27" w:rsidR="00DA5EE8" w:rsidRDefault="00DA5EE8" w:rsidP="00756ACB">
      <w:pPr>
        <w:rPr>
          <w:rFonts w:ascii="Arial Black" w:hAnsi="Arial Black"/>
          <w:b/>
          <w:bCs/>
          <w:sz w:val="24"/>
          <w:szCs w:val="24"/>
        </w:rPr>
      </w:pPr>
      <w:r>
        <w:rPr>
          <w:rFonts w:ascii="Arial Black" w:hAnsi="Arial Black"/>
          <w:b/>
          <w:bCs/>
          <w:sz w:val="24"/>
          <w:szCs w:val="24"/>
        </w:rPr>
        <w:t>13-255</w:t>
      </w:r>
    </w:p>
    <w:p w14:paraId="06A5332C" w14:textId="77777777" w:rsidR="00DA5EE8" w:rsidRPr="00374D58" w:rsidRDefault="00DA5EE8" w:rsidP="00DA5EE8">
      <w:pPr>
        <w:rPr>
          <w:rFonts w:ascii="Arial Black" w:hAnsi="Arial Black"/>
          <w:b/>
          <w:sz w:val="28"/>
          <w:szCs w:val="28"/>
        </w:rPr>
      </w:pPr>
      <w:r>
        <w:rPr>
          <w:rFonts w:ascii="Arial Black" w:hAnsi="Arial Black"/>
          <w:b/>
          <w:sz w:val="28"/>
          <w:szCs w:val="28"/>
        </w:rPr>
        <w:t>DC: MEDICAL DIRECTOR - EMT-I FAILED TWICE - FIRED</w:t>
      </w:r>
    </w:p>
    <w:p w14:paraId="0AA8C02E" w14:textId="77777777" w:rsidR="00DA5EE8" w:rsidRDefault="00DA5EE8" w:rsidP="00DA5EE8">
      <w:pPr>
        <w:rPr>
          <w:b/>
        </w:rPr>
      </w:pPr>
      <w:r>
        <w:t xml:space="preserve">On April 17, 2026, in </w:t>
      </w:r>
      <w:r w:rsidRPr="00EA62C7">
        <w:rPr>
          <w:u w:val="single"/>
        </w:rPr>
        <w:t>Harold Dargan v. District of Columbia Office of Employee Appeals, et al.,</w:t>
      </w:r>
      <w:r>
        <w:rPr>
          <w:u w:val="single"/>
        </w:rPr>
        <w:t xml:space="preserve"> </w:t>
      </w:r>
      <w:r w:rsidRPr="00EA62C7">
        <w:t>the Court of Appeals of The District of Columbia</w:t>
      </w:r>
      <w:r>
        <w:t xml:space="preserve"> held (3 to 0) that the EMT-Intermediate, who declined to be reclassified at lower level as an EMT-Advanced, was properly terminated on May 3, 2013.   After an EMS run on June 14, </w:t>
      </w:r>
      <w:proofErr w:type="gramStart"/>
      <w:r>
        <w:t>2011</w:t>
      </w:r>
      <w:proofErr w:type="gramEnd"/>
      <w:r>
        <w:t xml:space="preserve"> where patient died and patient’s airway was unattended while he was retrieving additional equipment, he was immediately removed from the field and sent to Training Academy for six months.  The Medical Director then assessed his skills on February 2, 2012 (failed to </w:t>
      </w:r>
      <w:r w:rsidRPr="002572E6">
        <w:t>perform a cardiac life support scenario</w:t>
      </w:r>
      <w:r>
        <w:t>) and on February 14 (again failed).  THE COURT WROTE: “</w:t>
      </w:r>
      <w:r w:rsidRPr="008A58CB">
        <w:t>As Mr. Dargan himself concedes, Dr. Miramontes, as</w:t>
      </w:r>
      <w:r>
        <w:t xml:space="preserve"> </w:t>
      </w:r>
      <w:r w:rsidRPr="008A58CB">
        <w:t xml:space="preserve">the FEMS Medical Director, </w:t>
      </w:r>
      <w:r>
        <w:t>‘</w:t>
      </w:r>
      <w:r w:rsidRPr="008A58CB">
        <w:t>must have the absolute right—short of discriminatory</w:t>
      </w:r>
      <w:r>
        <w:t xml:space="preserve"> </w:t>
      </w:r>
      <w:r w:rsidRPr="008A58CB">
        <w:t>animus—to protect the public by designating which EMTs and Paramedics are to be</w:t>
      </w:r>
      <w:r>
        <w:t xml:space="preserve"> </w:t>
      </w:r>
      <w:r w:rsidRPr="008A58CB">
        <w:t xml:space="preserve">permitted to practice under his </w:t>
      </w:r>
      <w:proofErr w:type="spellStart"/>
      <w:r w:rsidRPr="008A58CB">
        <w:t>licens</w:t>
      </w:r>
      <w:proofErr w:type="spellEnd"/>
      <w:r w:rsidRPr="008A58CB">
        <w:t>[e].</w:t>
      </w:r>
      <w:r>
        <w:t xml:space="preserve">’”  </w:t>
      </w:r>
      <w:hyperlink r:id="rId1980" w:history="1">
        <w:r w:rsidRPr="003823BB">
          <w:rPr>
            <w:rStyle w:val="Hyperlink"/>
            <w:b/>
          </w:rPr>
          <w:t>https://www.dccourts.gov/sites/default/files/2026-05/Dargan%20%20v.%20D.C.%20Office%20of%20Employee%20Appeals.%2024-CV-1001.pdf</w:t>
        </w:r>
      </w:hyperlink>
      <w:r>
        <w:rPr>
          <w:b/>
        </w:rPr>
        <w:t xml:space="preserve"> </w:t>
      </w:r>
    </w:p>
    <w:p w14:paraId="06E16A19" w14:textId="77777777" w:rsidR="00DA5EE8" w:rsidRDefault="00DA5EE8" w:rsidP="00DA5EE8">
      <w:pPr>
        <w:pStyle w:val="NoSpacing"/>
      </w:pPr>
    </w:p>
    <w:p w14:paraId="10AFFC34" w14:textId="77777777" w:rsidR="00DA5EE8" w:rsidRDefault="00DA5EE8" w:rsidP="00DA5EE8">
      <w:pPr>
        <w:pStyle w:val="NoSpacing"/>
      </w:pPr>
    </w:p>
    <w:p w14:paraId="4A6B166E" w14:textId="77777777" w:rsidR="00DA5EE8" w:rsidRDefault="00DA5EE8" w:rsidP="00DA5EE8">
      <w:pPr>
        <w:pStyle w:val="NoSpacing"/>
      </w:pPr>
      <w:r>
        <w:t xml:space="preserve">THE COURT HELD: </w:t>
      </w:r>
    </w:p>
    <w:p w14:paraId="09485501" w14:textId="77777777" w:rsidR="00DA5EE8" w:rsidRDefault="00DA5EE8" w:rsidP="00DA5EE8">
      <w:pPr>
        <w:pStyle w:val="NoSpacing"/>
      </w:pPr>
    </w:p>
    <w:p w14:paraId="36F1AF13" w14:textId="77777777" w:rsidR="00DA5EE8" w:rsidRDefault="00DA5EE8" w:rsidP="00DA5EE8">
      <w:pPr>
        <w:pStyle w:val="NoSpacing"/>
        <w:ind w:firstLine="720"/>
      </w:pPr>
      <w:r>
        <w:t>“As such, Dr. Miramontes was responsible only for evaluating Mr. Dargan and</w:t>
      </w:r>
    </w:p>
    <w:p w14:paraId="70D65014" w14:textId="77777777" w:rsidR="00DA5EE8" w:rsidRDefault="00DA5EE8" w:rsidP="00DA5EE8">
      <w:pPr>
        <w:pStyle w:val="NoSpacing"/>
        <w:ind w:firstLine="720"/>
      </w:pPr>
      <w:r>
        <w:t>deciding whether to sign off on his recertification as an EMT-Intermediate based on</w:t>
      </w:r>
    </w:p>
    <w:p w14:paraId="68CB09D9" w14:textId="77777777" w:rsidR="00DA5EE8" w:rsidRDefault="00DA5EE8" w:rsidP="00DA5EE8">
      <w:pPr>
        <w:pStyle w:val="NoSpacing"/>
        <w:ind w:firstLine="720"/>
      </w:pPr>
      <w:r>
        <w:t>his evaluation of Mr. Dargan’s competency. Dr. Miramontes did just this. Following</w:t>
      </w:r>
    </w:p>
    <w:p w14:paraId="5045A9F7" w14:textId="77777777" w:rsidR="00DA5EE8" w:rsidRDefault="00DA5EE8" w:rsidP="00DA5EE8">
      <w:pPr>
        <w:pStyle w:val="NoSpacing"/>
        <w:ind w:firstLine="720"/>
      </w:pPr>
      <w:r>
        <w:t>Mr. Dargan’s extensive remediation, Dr. Miramontes administered two practical</w:t>
      </w:r>
    </w:p>
    <w:p w14:paraId="1B96444C" w14:textId="77777777" w:rsidR="00DA5EE8" w:rsidRDefault="00DA5EE8" w:rsidP="00DA5EE8">
      <w:pPr>
        <w:pStyle w:val="NoSpacing"/>
        <w:ind w:firstLine="720"/>
      </w:pPr>
      <w:r>
        <w:t>skills assessments to determine whether Mr. Dargan could perform at the level</w:t>
      </w:r>
    </w:p>
    <w:p w14:paraId="6EC6C9BC" w14:textId="77777777" w:rsidR="00DA5EE8" w:rsidRDefault="00DA5EE8" w:rsidP="00DA5EE8">
      <w:pPr>
        <w:pStyle w:val="NoSpacing"/>
        <w:ind w:firstLine="720"/>
      </w:pPr>
      <w:r>
        <w:t>expected for an EMT-Intermediate. After Mr. Dargan failed the first assessment, Dr.</w:t>
      </w:r>
    </w:p>
    <w:p w14:paraId="5B361EFE" w14:textId="77777777" w:rsidR="00DA5EE8" w:rsidRDefault="00DA5EE8" w:rsidP="00DA5EE8">
      <w:pPr>
        <w:pStyle w:val="NoSpacing"/>
        <w:ind w:firstLine="720"/>
      </w:pPr>
      <w:r>
        <w:t>Miramontes gave him an opportunity for additional remediation and offered to</w:t>
      </w:r>
    </w:p>
    <w:p w14:paraId="464FCD1E" w14:textId="77777777" w:rsidR="00DA5EE8" w:rsidRDefault="00DA5EE8" w:rsidP="00DA5EE8">
      <w:pPr>
        <w:pStyle w:val="NoSpacing"/>
        <w:ind w:firstLine="720"/>
      </w:pPr>
      <w:r>
        <w:t>sponsor him at the basic life support level as an EMT-Advanced. When Mr. Dargan</w:t>
      </w:r>
    </w:p>
    <w:p w14:paraId="7E7CBF60" w14:textId="77777777" w:rsidR="00DA5EE8" w:rsidRDefault="00DA5EE8" w:rsidP="00DA5EE8">
      <w:pPr>
        <w:pStyle w:val="NoSpacing"/>
        <w:ind w:firstLine="720"/>
      </w:pPr>
      <w:r>
        <w:t>failed the second assessment, Dr. Miramontes again told him that he would not</w:t>
      </w:r>
    </w:p>
    <w:p w14:paraId="12C6D105" w14:textId="77777777" w:rsidR="00DA5EE8" w:rsidRDefault="00DA5EE8" w:rsidP="00DA5EE8">
      <w:pPr>
        <w:pStyle w:val="NoSpacing"/>
        <w:ind w:firstLine="720"/>
      </w:pPr>
      <w:r>
        <w:t>sponsor him at the EMT-Intermediate level for his DOH recertification, but that he</w:t>
      </w:r>
    </w:p>
    <w:p w14:paraId="704D6C21" w14:textId="77777777" w:rsidR="00DA5EE8" w:rsidRDefault="00DA5EE8" w:rsidP="00DA5EE8">
      <w:pPr>
        <w:pStyle w:val="NoSpacing"/>
        <w:ind w:firstLine="720"/>
      </w:pPr>
      <w:r>
        <w:t>would sponsor him at the lower EMT-Advanced level. Despite this knowledge, Mr.</w:t>
      </w:r>
    </w:p>
    <w:p w14:paraId="653A1A7C" w14:textId="77777777" w:rsidR="00DA5EE8" w:rsidRDefault="00DA5EE8" w:rsidP="00DA5EE8">
      <w:pPr>
        <w:pStyle w:val="NoSpacing"/>
        <w:ind w:firstLine="720"/>
      </w:pPr>
      <w:r>
        <w:t>Dargan did not apply for the EMT-Advanced DOH certification, choosing instead</w:t>
      </w:r>
    </w:p>
    <w:p w14:paraId="0116E17D" w14:textId="77777777" w:rsidR="00DA5EE8" w:rsidRDefault="00DA5EE8" w:rsidP="00DA5EE8">
      <w:pPr>
        <w:pStyle w:val="NoSpacing"/>
        <w:ind w:left="720"/>
      </w:pPr>
      <w:r>
        <w:t>to submit to Dr. Miramontes his application for the EMT-Intermediate DOH certification. Dr. Miramontes refused to sign Mr. Dargan’s application, rendering it</w:t>
      </w:r>
    </w:p>
    <w:p w14:paraId="65D5351A" w14:textId="77777777" w:rsidR="00DA5EE8" w:rsidRDefault="00DA5EE8" w:rsidP="00DA5EE8">
      <w:pPr>
        <w:pStyle w:val="NoSpacing"/>
        <w:ind w:firstLine="720"/>
      </w:pPr>
      <w:r>
        <w:t>incomplete, and likewise refused to submit the application to DOH.”</w:t>
      </w:r>
    </w:p>
    <w:p w14:paraId="3F63053B" w14:textId="77777777" w:rsidR="00DA5EE8" w:rsidRDefault="00DA5EE8" w:rsidP="00DA5EE8">
      <w:pPr>
        <w:pStyle w:val="NoSpacing"/>
        <w:ind w:firstLine="720"/>
      </w:pPr>
    </w:p>
    <w:p w14:paraId="54CC851E" w14:textId="77777777" w:rsidR="00DA5EE8" w:rsidRPr="00A95FA3" w:rsidRDefault="00DA5EE8" w:rsidP="00DA5EE8">
      <w:pPr>
        <w:rPr>
          <w:b/>
          <w:bCs/>
        </w:rPr>
      </w:pPr>
      <w:r>
        <w:rPr>
          <w:b/>
        </w:rPr>
        <w:t xml:space="preserve">Legal lesson learned: EMS Medical Directors have the “absolute right” to designate appropriate level of EMS personnel. </w:t>
      </w:r>
    </w:p>
    <w:p w14:paraId="15561197" w14:textId="77777777" w:rsidR="00DA5EE8" w:rsidRDefault="00DA5EE8" w:rsidP="00756ACB">
      <w:pPr>
        <w:rPr>
          <w:rFonts w:ascii="Arial Black" w:hAnsi="Arial Black"/>
          <w:b/>
          <w:bCs/>
          <w:sz w:val="24"/>
          <w:szCs w:val="24"/>
        </w:rPr>
      </w:pPr>
    </w:p>
    <w:p w14:paraId="31A0F35E" w14:textId="77777777" w:rsidR="00DA5EE8" w:rsidRDefault="00DA5EE8" w:rsidP="00756ACB">
      <w:pPr>
        <w:rPr>
          <w:rFonts w:ascii="Arial Black" w:hAnsi="Arial Black"/>
          <w:b/>
          <w:bCs/>
          <w:sz w:val="24"/>
          <w:szCs w:val="24"/>
        </w:rPr>
      </w:pPr>
    </w:p>
    <w:p w14:paraId="5E665B1B" w14:textId="21ED8F58" w:rsidR="00756ACB" w:rsidRDefault="00756ACB" w:rsidP="00756ACB">
      <w:pPr>
        <w:rPr>
          <w:rFonts w:ascii="Arial Black" w:hAnsi="Arial Black"/>
          <w:b/>
          <w:bCs/>
          <w:sz w:val="24"/>
          <w:szCs w:val="24"/>
        </w:rPr>
      </w:pPr>
      <w:r>
        <w:rPr>
          <w:rFonts w:ascii="Arial Black" w:hAnsi="Arial Black"/>
          <w:b/>
          <w:bCs/>
          <w:sz w:val="24"/>
          <w:szCs w:val="24"/>
        </w:rPr>
        <w:t>13-254</w:t>
      </w:r>
    </w:p>
    <w:p w14:paraId="6B9A7B5F" w14:textId="77777777" w:rsidR="00A93BF7" w:rsidRPr="003E1686" w:rsidRDefault="00A93BF7" w:rsidP="00A93BF7">
      <w:pPr>
        <w:pStyle w:val="NoSpacing"/>
        <w:rPr>
          <w:rFonts w:ascii="Arial Black" w:hAnsi="Arial Black"/>
          <w:sz w:val="28"/>
          <w:szCs w:val="28"/>
        </w:rPr>
      </w:pPr>
      <w:r>
        <w:rPr>
          <w:rFonts w:ascii="Arial Black" w:hAnsi="Arial Black"/>
          <w:sz w:val="28"/>
          <w:szCs w:val="28"/>
        </w:rPr>
        <w:t xml:space="preserve">VA: MED RECORS – JUSTICE GINSBURG - 2 YRS PRISON </w:t>
      </w:r>
    </w:p>
    <w:p w14:paraId="207BD8D6" w14:textId="77777777" w:rsidR="00A93BF7" w:rsidRDefault="00A93BF7" w:rsidP="00A93BF7">
      <w:pPr>
        <w:pStyle w:val="NoSpacing"/>
      </w:pPr>
    </w:p>
    <w:p w14:paraId="4A3A3DD1" w14:textId="77777777" w:rsidR="00A93BF7" w:rsidRDefault="00A93BF7" w:rsidP="00A93BF7">
      <w:pPr>
        <w:pStyle w:val="NoSpacing"/>
      </w:pPr>
      <w:r>
        <w:t xml:space="preserve">On April 14, 2026 in </w:t>
      </w:r>
      <w:r w:rsidRPr="003E1686">
        <w:rPr>
          <w:u w:val="single"/>
        </w:rPr>
        <w:t>United States of America v. Trent James Russell</w:t>
      </w:r>
      <w:r>
        <w:t xml:space="preserve">, the U.S. Court of Appeals for the Fourth Circuit (Richmond, VA) held (3 to 0) that jury properly found Russell guilty of (1) destroying and altering records, and (2) obtaining individually identifiable health information, and trial court sentenced him to </w:t>
      </w:r>
      <w:r w:rsidRPr="00EE3E0E">
        <w:t>twenty-four months’ imprisonment</w:t>
      </w:r>
      <w:r>
        <w:t xml:space="preserve"> for posting on Twitter a screenshot of the George Washington University hospital’s patient search screen, which highlighted Justice Ginsburg’s name and showed the dates of ten visits, along with medical services she received (which included radiology, oncology, and surgery services). Based</w:t>
      </w:r>
    </w:p>
    <w:p w14:paraId="37625DFB" w14:textId="77777777" w:rsidR="00A93BF7" w:rsidRDefault="00A93BF7" w:rsidP="00A93BF7">
      <w:pPr>
        <w:pStyle w:val="NoSpacing"/>
      </w:pPr>
      <w:r>
        <w:t>on the dates captured in the screenshot, it was taken between December 31, 2018, and</w:t>
      </w:r>
    </w:p>
    <w:p w14:paraId="53BC44F8" w14:textId="77777777" w:rsidR="00A93BF7" w:rsidRDefault="00A93BF7" w:rsidP="00A93BF7">
      <w:pPr>
        <w:pStyle w:val="NoSpacing"/>
      </w:pPr>
      <w:r>
        <w:t xml:space="preserve">January 9, 2019. </w:t>
      </w:r>
      <w:hyperlink r:id="rId1981" w:history="1">
        <w:r w:rsidRPr="009126C9">
          <w:rPr>
            <w:rStyle w:val="Hyperlink"/>
          </w:rPr>
          <w:t>https://www.ca4.uscourts.gov/opinions/244620.P.pd</w:t>
        </w:r>
      </w:hyperlink>
      <w:r>
        <w:t xml:space="preserve"> </w:t>
      </w:r>
    </w:p>
    <w:p w14:paraId="78AEAF50" w14:textId="77777777" w:rsidR="00A93BF7" w:rsidRDefault="00A93BF7" w:rsidP="00A93BF7">
      <w:pPr>
        <w:pStyle w:val="NoSpacing"/>
      </w:pPr>
    </w:p>
    <w:p w14:paraId="60888C5E" w14:textId="77777777" w:rsidR="00A93BF7" w:rsidRDefault="00A93BF7" w:rsidP="00A93BF7">
      <w:pPr>
        <w:pStyle w:val="NoSpacing"/>
      </w:pPr>
      <w:r>
        <w:t>THE COURT WROTE:</w:t>
      </w:r>
    </w:p>
    <w:p w14:paraId="717DD92C" w14:textId="77777777" w:rsidR="00A93BF7" w:rsidRDefault="00A93BF7" w:rsidP="00A93BF7">
      <w:pPr>
        <w:pStyle w:val="NoSpacing"/>
        <w:ind w:firstLine="720"/>
      </w:pPr>
    </w:p>
    <w:p w14:paraId="040163D3" w14:textId="77777777" w:rsidR="00A93BF7" w:rsidRDefault="00A93BF7" w:rsidP="00A93BF7">
      <w:pPr>
        <w:pStyle w:val="NoSpacing"/>
        <w:ind w:firstLine="720"/>
      </w:pPr>
      <w:r>
        <w:t>“Before Supreme Court Justice Ruth Bader Ginsburg passed away, someone posted</w:t>
      </w:r>
    </w:p>
    <w:p w14:paraId="445F4C6D" w14:textId="77777777" w:rsidR="00A93BF7" w:rsidRDefault="00A93BF7" w:rsidP="00A93BF7">
      <w:pPr>
        <w:pStyle w:val="NoSpacing"/>
        <w:ind w:firstLine="720"/>
      </w:pPr>
      <w:r>
        <w:t>a screenshot of her private medical information on the internet. The information related to</w:t>
      </w:r>
    </w:p>
    <w:p w14:paraId="1703C2F9" w14:textId="77777777" w:rsidR="00A93BF7" w:rsidRDefault="00A93BF7" w:rsidP="00A93BF7">
      <w:pPr>
        <w:pStyle w:val="NoSpacing"/>
        <w:ind w:left="720"/>
      </w:pPr>
      <w:r>
        <w:t>treatment the Justice received at George Washington University Hospital. An investigation led federal agents to Trent Russell, who worked for a company with access to the hospital’s medical records.</w:t>
      </w:r>
    </w:p>
    <w:p w14:paraId="065B87FA" w14:textId="77777777" w:rsidR="00A93BF7" w:rsidRDefault="00A93BF7" w:rsidP="00A93BF7">
      <w:pPr>
        <w:pStyle w:val="NoSpacing"/>
        <w:ind w:left="720"/>
      </w:pPr>
    </w:p>
    <w:p w14:paraId="007C3A2C" w14:textId="77777777" w:rsidR="00A93BF7" w:rsidRDefault="00A93BF7" w:rsidP="00A93BF7">
      <w:pPr>
        <w:pStyle w:val="NoSpacing"/>
        <w:ind w:left="720"/>
      </w:pPr>
      <w:r>
        <w:t>***</w:t>
      </w:r>
    </w:p>
    <w:p w14:paraId="38D04DE0" w14:textId="77777777" w:rsidR="00A93BF7" w:rsidRDefault="00A93BF7" w:rsidP="00A93BF7">
      <w:pPr>
        <w:pStyle w:val="NoSpacing"/>
        <w:ind w:left="720"/>
      </w:pPr>
      <w:r>
        <w:t>That led him to Russell, who worked for a non-profit that facilitates organ donations.</w:t>
      </w:r>
    </w:p>
    <w:p w14:paraId="2A486471" w14:textId="77777777" w:rsidR="00A93BF7" w:rsidRDefault="00A93BF7" w:rsidP="00A93BF7">
      <w:pPr>
        <w:pStyle w:val="NoSpacing"/>
        <w:ind w:left="720"/>
      </w:pPr>
      <w:r>
        <w:t>Russell’s position gave him both on-site and remote access to patient medical records and</w:t>
      </w:r>
    </w:p>
    <w:p w14:paraId="36420EBB" w14:textId="77777777" w:rsidR="00A93BF7" w:rsidRDefault="00A93BF7" w:rsidP="00A93BF7">
      <w:pPr>
        <w:pStyle w:val="NoSpacing"/>
        <w:ind w:left="720"/>
      </w:pPr>
      <w:r>
        <w:t>other hospital data.”</w:t>
      </w:r>
    </w:p>
    <w:p w14:paraId="1F3BE0F2" w14:textId="77777777" w:rsidR="00A93BF7" w:rsidRDefault="00A93BF7" w:rsidP="00A93BF7">
      <w:pPr>
        <w:pStyle w:val="NoSpacing"/>
        <w:ind w:left="720"/>
      </w:pPr>
    </w:p>
    <w:p w14:paraId="5731628E" w14:textId="77777777" w:rsidR="00A93BF7" w:rsidRPr="00301C5F" w:rsidRDefault="00A93BF7" w:rsidP="00A93BF7">
      <w:pPr>
        <w:rPr>
          <w:b/>
          <w:bCs/>
        </w:rPr>
      </w:pPr>
      <w:r>
        <w:rPr>
          <w:b/>
        </w:rPr>
        <w:t xml:space="preserve">Legal lesson learned:  </w:t>
      </w:r>
      <w:r w:rsidRPr="00677791">
        <w:rPr>
          <w:b/>
        </w:rPr>
        <w:t>Disclosure of individually identifiable health information can lead to criminal indictment and prison</w:t>
      </w:r>
      <w:r>
        <w:rPr>
          <w:b/>
        </w:rPr>
        <w:t xml:space="preserve">. </w:t>
      </w:r>
    </w:p>
    <w:p w14:paraId="1C9EB5BC" w14:textId="77777777" w:rsidR="00A93BF7" w:rsidRDefault="00A93BF7" w:rsidP="00A93BF7">
      <w:pPr>
        <w:pStyle w:val="NoSpacing"/>
        <w:ind w:left="720"/>
      </w:pPr>
      <w:r>
        <w:t xml:space="preserve">Note: See HIPAA Violations – 2026.  </w:t>
      </w:r>
      <w:hyperlink r:id="rId1982" w:history="1">
        <w:r w:rsidRPr="009126C9">
          <w:rPr>
            <w:rStyle w:val="Hyperlink"/>
          </w:rPr>
          <w:t>https://www.hipaajournal.com/hipaa-violation-cases/</w:t>
        </w:r>
      </w:hyperlink>
      <w:r>
        <w:t xml:space="preserve"> </w:t>
      </w:r>
    </w:p>
    <w:p w14:paraId="2B0D70F5" w14:textId="77777777" w:rsidR="00A93BF7" w:rsidRDefault="00A93BF7" w:rsidP="002B1283">
      <w:pPr>
        <w:rPr>
          <w:rFonts w:ascii="Arial Black" w:hAnsi="Arial Black"/>
          <w:b/>
          <w:bCs/>
          <w:sz w:val="28"/>
          <w:szCs w:val="28"/>
        </w:rPr>
      </w:pPr>
    </w:p>
    <w:p w14:paraId="32F04E91" w14:textId="02048C69" w:rsidR="00756ACB" w:rsidRDefault="00756ACB" w:rsidP="00756ACB">
      <w:pPr>
        <w:rPr>
          <w:rFonts w:ascii="Arial Black" w:hAnsi="Arial Black"/>
          <w:b/>
          <w:bCs/>
          <w:sz w:val="24"/>
          <w:szCs w:val="24"/>
        </w:rPr>
      </w:pPr>
      <w:r>
        <w:rPr>
          <w:rFonts w:ascii="Arial Black" w:hAnsi="Arial Black"/>
          <w:b/>
          <w:bCs/>
          <w:sz w:val="24"/>
          <w:szCs w:val="24"/>
        </w:rPr>
        <w:t>13-253</w:t>
      </w:r>
    </w:p>
    <w:p w14:paraId="707A49E4" w14:textId="77777777" w:rsidR="00756ACB" w:rsidRDefault="00756ACB" w:rsidP="00756ACB">
      <w:pPr>
        <w:pStyle w:val="NoSpacing"/>
        <w:rPr>
          <w:rFonts w:ascii="Arial Black" w:hAnsi="Arial Black"/>
          <w:b/>
          <w:color w:val="000000" w:themeColor="text1"/>
          <w:sz w:val="28"/>
          <w:szCs w:val="28"/>
        </w:rPr>
      </w:pPr>
      <w:r>
        <w:rPr>
          <w:rFonts w:ascii="Arial Black" w:hAnsi="Arial Black"/>
          <w:b/>
          <w:color w:val="000000" w:themeColor="text1"/>
          <w:sz w:val="28"/>
          <w:szCs w:val="28"/>
        </w:rPr>
        <w:t>NV: EMS OPER MGR – FIRED / ALS CREW – NO RETALIATION</w:t>
      </w:r>
    </w:p>
    <w:p w14:paraId="1E71B341" w14:textId="77777777" w:rsidR="00756ACB" w:rsidRDefault="00756ACB" w:rsidP="00756ACB">
      <w:pPr>
        <w:pStyle w:val="NoSpacing"/>
        <w:rPr>
          <w:rFonts w:ascii="Arial Black" w:hAnsi="Arial Black"/>
          <w:b/>
          <w:color w:val="000000" w:themeColor="text1"/>
          <w:sz w:val="28"/>
          <w:szCs w:val="28"/>
        </w:rPr>
      </w:pPr>
    </w:p>
    <w:p w14:paraId="0AF68F2C" w14:textId="77777777" w:rsidR="00756ACB" w:rsidRDefault="00756ACB" w:rsidP="00756ACB">
      <w:pPr>
        <w:pStyle w:val="NoSpacing"/>
      </w:pPr>
      <w:r>
        <w:rPr>
          <w:color w:val="000000" w:themeColor="text1"/>
        </w:rPr>
        <w:t xml:space="preserve">On March 27, 2026, in </w:t>
      </w:r>
      <w:r w:rsidRPr="006D5B67">
        <w:rPr>
          <w:color w:val="000000" w:themeColor="text1"/>
          <w:u w:val="single"/>
        </w:rPr>
        <w:t>Dusty Allen v. Mercy, Inc</w:t>
      </w:r>
      <w:r>
        <w:rPr>
          <w:color w:val="000000" w:themeColor="text1"/>
        </w:rPr>
        <w:t xml:space="preserve">., U.S. District Court Judge </w:t>
      </w:r>
      <w:r w:rsidRPr="000F569F">
        <w:rPr>
          <w:color w:val="000000" w:themeColor="text1"/>
        </w:rPr>
        <w:t>Gloria M. Navarro,</w:t>
      </w:r>
      <w:r>
        <w:rPr>
          <w:color w:val="000000" w:themeColor="text1"/>
        </w:rPr>
        <w:t xml:space="preserve"> United States District Court for the District of Nevada, granted the employer’s motion for summary judgment; fired because of a weekend staffing shortage of ALS medics for one hour – a </w:t>
      </w:r>
      <w:r w:rsidRPr="00A92472">
        <w:rPr>
          <w:color w:val="000000" w:themeColor="text1"/>
        </w:rPr>
        <w:t>“critical system failure.”</w:t>
      </w:r>
      <w:r>
        <w:rPr>
          <w:color w:val="000000" w:themeColor="text1"/>
        </w:rPr>
        <w:t xml:space="preserve"> </w:t>
      </w:r>
      <w:r w:rsidRPr="00806927">
        <w:rPr>
          <w:color w:val="000000" w:themeColor="text1"/>
        </w:rPr>
        <w:t xml:space="preserve">Plaintiff </w:t>
      </w:r>
      <w:r>
        <w:rPr>
          <w:color w:val="000000" w:themeColor="text1"/>
        </w:rPr>
        <w:t>alleges</w:t>
      </w:r>
      <w:r w:rsidRPr="00806927">
        <w:rPr>
          <w:color w:val="000000" w:themeColor="text1"/>
        </w:rPr>
        <w:t xml:space="preserve"> he was terminated because </w:t>
      </w:r>
      <w:r>
        <w:rPr>
          <w:color w:val="000000" w:themeColor="text1"/>
        </w:rPr>
        <w:t xml:space="preserve">one month earlier </w:t>
      </w:r>
      <w:r w:rsidRPr="00806927">
        <w:rPr>
          <w:color w:val="000000" w:themeColor="text1"/>
        </w:rPr>
        <w:t>he confronted his supervisor, Kirk Schmitt, Regional Director of Southern Nevada, about two female coworkers</w:t>
      </w:r>
      <w:r>
        <w:rPr>
          <w:color w:val="000000" w:themeColor="text1"/>
        </w:rPr>
        <w:t xml:space="preserve"> uncomfortable with manager comments.  But Court referenced plaintiff’s deposition testimony -  he wasn’t making a formal report of sexual harassment complaints by two women, he was</w:t>
      </w:r>
      <w:r>
        <w:t xml:space="preserve"> merely trying to </w:t>
      </w:r>
      <w:r w:rsidRPr="00FF08F8">
        <w:t>“fix. . . a toxic work environment</w:t>
      </w:r>
      <w:r>
        <w:t xml:space="preserve">.” </w:t>
      </w:r>
      <w:hyperlink r:id="rId1983" w:history="1">
        <w:r w:rsidRPr="00A849F7">
          <w:rPr>
            <w:rStyle w:val="Hyperlink"/>
          </w:rPr>
          <w:t>https://public.fastcase.com/Jhe1Qn%2BmJndQYQU6z%2FeNm2IRLtoYkrU6PXL9o8jwzst%2FNdrzc21hLfx%2B7rIFE%2Fjg?utm_medium=email&amp;_hsenc=p2ANqtz--U5QylLiDrvLvgZPxLp1UD1XwB_7biW9lkq8qHdnYocPTAWXoAY4eWtL30hGAHlHHG6f150Lk3QwJZsSzIIPSSPKfBlQ&amp;_hsmi=226712652&amp;utm_content=226712652&amp;utm_source=hs_email</w:t>
        </w:r>
      </w:hyperlink>
      <w:r>
        <w:t xml:space="preserve"> </w:t>
      </w:r>
    </w:p>
    <w:p w14:paraId="2FDF3432" w14:textId="77777777" w:rsidR="00756ACB" w:rsidRDefault="00756ACB" w:rsidP="00756ACB">
      <w:pPr>
        <w:pStyle w:val="NoSpacing"/>
        <w:rPr>
          <w:color w:val="000000" w:themeColor="text1"/>
        </w:rPr>
      </w:pPr>
    </w:p>
    <w:p w14:paraId="20E23842" w14:textId="77777777" w:rsidR="00756ACB" w:rsidRDefault="00756ACB" w:rsidP="00756ACB">
      <w:pPr>
        <w:pStyle w:val="NoSpacing"/>
        <w:rPr>
          <w:color w:val="000000" w:themeColor="text1"/>
        </w:rPr>
      </w:pPr>
      <w:r>
        <w:rPr>
          <w:color w:val="000000" w:themeColor="text1"/>
        </w:rPr>
        <w:t xml:space="preserve">THE COURT HELD: </w:t>
      </w:r>
    </w:p>
    <w:p w14:paraId="21950A81" w14:textId="77777777" w:rsidR="00756ACB" w:rsidRDefault="00756ACB" w:rsidP="00756ACB">
      <w:pPr>
        <w:pStyle w:val="NoSpacing"/>
        <w:rPr>
          <w:color w:val="000000" w:themeColor="text1"/>
        </w:rPr>
      </w:pPr>
    </w:p>
    <w:p w14:paraId="6DC0B820" w14:textId="77777777" w:rsidR="00756ACB" w:rsidRDefault="00756ACB" w:rsidP="00756ACB">
      <w:pPr>
        <w:pStyle w:val="NoSpacing"/>
        <w:ind w:left="720"/>
      </w:pPr>
      <w:r>
        <w:rPr>
          <w:color w:val="000000" w:themeColor="text1"/>
        </w:rPr>
        <w:t xml:space="preserve">“Plaintiff’s job duties </w:t>
      </w:r>
      <w:r>
        <w:t>a</w:t>
      </w:r>
      <w:r w:rsidRPr="00F772E3">
        <w:t>s an Operations Manager, Plaintiff's job duties included working with the scheduling department and his team of operations supervisors to ensure that there was adequate employee coverage</w:t>
      </w:r>
      <w:r>
        <w:t xml:space="preserve"> for </w:t>
      </w:r>
      <w:r w:rsidRPr="00FB30E3">
        <w:t xml:space="preserve">has two locations in Las Vegas: </w:t>
      </w:r>
      <w:proofErr w:type="spellStart"/>
      <w:r w:rsidRPr="00FB30E3">
        <w:t>MedicWest</w:t>
      </w:r>
      <w:proofErr w:type="spellEnd"/>
      <w:r w:rsidRPr="00FB30E3">
        <w:t xml:space="preserve"> and American Medical Response (</w:t>
      </w:r>
      <w:r>
        <w:t>‘</w:t>
      </w:r>
      <w:r w:rsidRPr="00FB30E3">
        <w:t>AMR</w:t>
      </w:r>
      <w:r>
        <w:t>’</w:t>
      </w:r>
      <w:r w:rsidRPr="00FB30E3">
        <w:t>).</w:t>
      </w:r>
      <w:r>
        <w:t xml:space="preserve">  </w:t>
      </w:r>
    </w:p>
    <w:p w14:paraId="1564857C" w14:textId="77777777" w:rsidR="00756ACB" w:rsidRDefault="00756ACB" w:rsidP="00756ACB">
      <w:pPr>
        <w:pStyle w:val="NoSpacing"/>
        <w:ind w:left="720"/>
      </w:pPr>
    </w:p>
    <w:p w14:paraId="4C61A237" w14:textId="77777777" w:rsidR="00756ACB" w:rsidRDefault="00756ACB" w:rsidP="00756ACB">
      <w:pPr>
        <w:pStyle w:val="NoSpacing"/>
        <w:ind w:left="720"/>
      </w:pPr>
      <w:r>
        <w:t>***</w:t>
      </w:r>
    </w:p>
    <w:p w14:paraId="5898EC59" w14:textId="77777777" w:rsidR="00756ACB" w:rsidRDefault="00756ACB" w:rsidP="00756ACB">
      <w:pPr>
        <w:pStyle w:val="NoSpacing"/>
        <w:ind w:left="720"/>
      </w:pPr>
      <w:r w:rsidRPr="00211E94">
        <w:t xml:space="preserve">On September 25, 2023, Plaintiff had a conversation with a female coworker, Audra, who expressed to Plaintiff that she does not like Schmitt because he makes </w:t>
      </w:r>
      <w:r>
        <w:t>‘</w:t>
      </w:r>
      <w:r w:rsidRPr="00211E94">
        <w:t>comments that [are] sexist in nature,</w:t>
      </w:r>
      <w:r>
        <w:t>’</w:t>
      </w:r>
      <w:r w:rsidRPr="00211E94">
        <w:t xml:space="preserve"> and feels uncomfortable around him</w:t>
      </w:r>
      <w:r>
        <w:t xml:space="preserve">…. </w:t>
      </w:r>
      <w:r w:rsidRPr="00211E94">
        <w:t>Another female coworker, Stephanie, also expressed to Audra that she was uncomfortable being around Schmitt because of the sexist comments he makes</w:t>
      </w:r>
      <w:r>
        <w:t>…. Pla</w:t>
      </w:r>
      <w:r w:rsidRPr="00211E94">
        <w:t xml:space="preserve">intiff does not know what the sexist comments made were. </w:t>
      </w:r>
      <w:r w:rsidRPr="009B08C7">
        <w:t>But Plaintiff encouraged Audra to report the allegations to HR and told her to advise Stephanie to do the same.</w:t>
      </w:r>
    </w:p>
    <w:p w14:paraId="7DB00066" w14:textId="77777777" w:rsidR="00756ACB" w:rsidRDefault="00756ACB" w:rsidP="00756ACB">
      <w:pPr>
        <w:pStyle w:val="NoSpacing"/>
        <w:ind w:left="720"/>
      </w:pPr>
    </w:p>
    <w:p w14:paraId="640C42BD" w14:textId="77777777" w:rsidR="00756ACB" w:rsidRDefault="00756ACB" w:rsidP="00756ACB">
      <w:pPr>
        <w:pStyle w:val="NoSpacing"/>
        <w:ind w:left="720"/>
      </w:pPr>
      <w:r>
        <w:t>***</w:t>
      </w:r>
    </w:p>
    <w:p w14:paraId="456925E6" w14:textId="77777777" w:rsidR="00756ACB" w:rsidRDefault="00756ACB" w:rsidP="00756ACB">
      <w:pPr>
        <w:pStyle w:val="NoSpacing"/>
        <w:ind w:left="720"/>
      </w:pPr>
      <w:r>
        <w:t xml:space="preserve">[Two days later] </w:t>
      </w:r>
      <w:r w:rsidRPr="00B51821">
        <w:t>Plaintiff confronted Schmitt about the allegations two days after his conversation with Audra</w:t>
      </w:r>
      <w:r>
        <w:t xml:space="preserve">…. </w:t>
      </w:r>
      <w:r w:rsidRPr="00B51821">
        <w:t>Plaintiff also spoke with Schmitt about the way he generally spoke to people, both men and women</w:t>
      </w:r>
      <w:r>
        <w:t xml:space="preserve">…. </w:t>
      </w:r>
      <w:r w:rsidRPr="00B51821">
        <w:t>Plaintiff details that Schmitt was rude and condescending to a coworker, made another coworker cry, and raised his voice frequently</w:t>
      </w:r>
      <w:r>
        <w:t>….</w:t>
      </w:r>
      <w:r w:rsidRPr="00B51821">
        <w:t xml:space="preserve">Plaintiff's goal in speaking with Schmitt was to get him </w:t>
      </w:r>
      <w:r>
        <w:t>‘</w:t>
      </w:r>
      <w:r w:rsidRPr="00B51821">
        <w:t>to be a little bit more mindful of the interactions he had.</w:t>
      </w:r>
      <w:r>
        <w:t xml:space="preserve">’ </w:t>
      </w:r>
      <w:r w:rsidRPr="00B51821">
        <w:t xml:space="preserve">Plaintiff states that </w:t>
      </w:r>
      <w:r>
        <w:t>‘</w:t>
      </w:r>
      <w:r w:rsidRPr="00B51821">
        <w:t>the spirit of the conversation</w:t>
      </w:r>
      <w:r>
        <w:t>’</w:t>
      </w:r>
      <w:r w:rsidRPr="00B51821">
        <w:t xml:space="preserve"> with Schmitt was to </w:t>
      </w:r>
      <w:r>
        <w:t>‘</w:t>
      </w:r>
      <w:r w:rsidRPr="00B51821">
        <w:t>fix. . . a toxic work environment. . . [and] if there was any sort of inappropriate [sic] with the [sexist] comments, that was up for the corporate HR to discuss and investigate.</w:t>
      </w:r>
      <w:r>
        <w:t>’</w:t>
      </w:r>
    </w:p>
    <w:p w14:paraId="6DDFCF34" w14:textId="77777777" w:rsidR="00756ACB" w:rsidRDefault="00756ACB" w:rsidP="00756ACB">
      <w:pPr>
        <w:pStyle w:val="NoSpacing"/>
        <w:ind w:left="720"/>
      </w:pPr>
    </w:p>
    <w:p w14:paraId="3E1CF840" w14:textId="77777777" w:rsidR="00756ACB" w:rsidRDefault="00756ACB" w:rsidP="00756ACB">
      <w:pPr>
        <w:pStyle w:val="NoSpacing"/>
        <w:ind w:left="720"/>
      </w:pPr>
      <w:r>
        <w:t>***</w:t>
      </w:r>
    </w:p>
    <w:p w14:paraId="786C7A8D" w14:textId="77777777" w:rsidR="00756ACB" w:rsidRDefault="00756ACB" w:rsidP="00756ACB">
      <w:pPr>
        <w:pStyle w:val="NoSpacing"/>
        <w:ind w:left="720"/>
      </w:pPr>
      <w:r w:rsidRPr="00154A82">
        <w:t xml:space="preserve">Making an informal complaint to a supervisor can be considered a protected activity, </w:t>
      </w:r>
      <w:r w:rsidRPr="00154A82">
        <w:rPr>
          <w:i/>
          <w:iCs/>
        </w:rPr>
        <w:t>if</w:t>
      </w:r>
      <w:r w:rsidRPr="00154A82">
        <w:t xml:space="preserve"> Plaintiff was acting on a reasonable belief that an unlawful employment practice had occurred.</w:t>
      </w:r>
      <w:r>
        <w:t xml:space="preserve"> </w:t>
      </w:r>
      <w:r w:rsidRPr="00BA635F">
        <w:t>Indeed, Plaintiff did not know whether any unlawful employment practices had occurred, took no position on whether he thought an unlawful act occurred, and instead deferred to HR to investigate whether there was anything inappropriate about the sexist comments. Thus, Defendant meets its initial burden of negating an essential element of Plaintiff's claim-the element of protected activity.</w:t>
      </w:r>
      <w:r>
        <w:t>”</w:t>
      </w:r>
    </w:p>
    <w:p w14:paraId="74A6621D" w14:textId="77777777" w:rsidR="00756ACB" w:rsidRDefault="00756ACB" w:rsidP="00756ACB">
      <w:pPr>
        <w:pStyle w:val="NoSpacing"/>
        <w:ind w:left="720"/>
      </w:pPr>
    </w:p>
    <w:p w14:paraId="2E0EEC25" w14:textId="77777777" w:rsidR="00756ACB" w:rsidRPr="00BA635F" w:rsidRDefault="00756ACB" w:rsidP="00756ACB">
      <w:pPr>
        <w:rPr>
          <w:b/>
          <w:bCs/>
        </w:rPr>
      </w:pPr>
      <w:r>
        <w:rPr>
          <w:b/>
        </w:rPr>
        <w:t xml:space="preserve">Legal lesson learned:  Employer terminated plaintiff for gross misconduct. </w:t>
      </w:r>
    </w:p>
    <w:p w14:paraId="22AD614B" w14:textId="77777777" w:rsidR="00756ACB" w:rsidRDefault="00756ACB" w:rsidP="002B1283">
      <w:pPr>
        <w:rPr>
          <w:rFonts w:ascii="Arial Black" w:hAnsi="Arial Black"/>
          <w:b/>
          <w:bCs/>
          <w:sz w:val="28"/>
          <w:szCs w:val="28"/>
        </w:rPr>
      </w:pPr>
    </w:p>
    <w:p w14:paraId="38C4BEA5" w14:textId="77777777" w:rsidR="001150EA" w:rsidRDefault="001150EA" w:rsidP="00004498">
      <w:pPr>
        <w:rPr>
          <w:rFonts w:ascii="Arial Black" w:hAnsi="Arial Black"/>
          <w:b/>
          <w:bCs/>
          <w:sz w:val="24"/>
          <w:szCs w:val="24"/>
        </w:rPr>
      </w:pPr>
    </w:p>
    <w:p w14:paraId="1FC16693" w14:textId="77777777" w:rsidR="001150EA" w:rsidRDefault="001150EA" w:rsidP="00004498">
      <w:pPr>
        <w:rPr>
          <w:rFonts w:ascii="Arial Black" w:hAnsi="Arial Black"/>
          <w:b/>
          <w:bCs/>
          <w:sz w:val="24"/>
          <w:szCs w:val="24"/>
        </w:rPr>
      </w:pPr>
    </w:p>
    <w:p w14:paraId="6F9AB0E4" w14:textId="77777777" w:rsidR="001150EA" w:rsidRDefault="001150EA" w:rsidP="00004498">
      <w:pPr>
        <w:rPr>
          <w:rFonts w:ascii="Arial Black" w:hAnsi="Arial Black"/>
          <w:b/>
          <w:bCs/>
          <w:sz w:val="24"/>
          <w:szCs w:val="24"/>
        </w:rPr>
      </w:pPr>
    </w:p>
    <w:p w14:paraId="3C30CCCA" w14:textId="5988C92D" w:rsidR="00B170D7" w:rsidRDefault="00B170D7" w:rsidP="00004498">
      <w:pPr>
        <w:rPr>
          <w:rFonts w:ascii="Arial Black" w:hAnsi="Arial Black"/>
          <w:b/>
          <w:bCs/>
          <w:sz w:val="24"/>
          <w:szCs w:val="24"/>
        </w:rPr>
      </w:pPr>
      <w:r>
        <w:rPr>
          <w:rFonts w:ascii="Arial Black" w:hAnsi="Arial Black"/>
          <w:b/>
          <w:bCs/>
          <w:sz w:val="24"/>
          <w:szCs w:val="24"/>
        </w:rPr>
        <w:t>13-</w:t>
      </w:r>
      <w:r w:rsidR="009256C3">
        <w:rPr>
          <w:rFonts w:ascii="Arial Black" w:hAnsi="Arial Black"/>
          <w:b/>
          <w:bCs/>
          <w:sz w:val="24"/>
          <w:szCs w:val="24"/>
        </w:rPr>
        <w:t>252</w:t>
      </w:r>
    </w:p>
    <w:p w14:paraId="00C9DBE0" w14:textId="77777777" w:rsidR="00DD2FCE" w:rsidRPr="00226169" w:rsidRDefault="00DD2FCE" w:rsidP="00DD2FCE">
      <w:pPr>
        <w:pStyle w:val="NoSpacing"/>
        <w:rPr>
          <w:rFonts w:ascii="Arial Black" w:hAnsi="Arial Black"/>
          <w:sz w:val="28"/>
          <w:szCs w:val="28"/>
        </w:rPr>
      </w:pPr>
      <w:r>
        <w:rPr>
          <w:rFonts w:ascii="Arial Black" w:hAnsi="Arial Black"/>
          <w:sz w:val="28"/>
          <w:szCs w:val="28"/>
        </w:rPr>
        <w:t xml:space="preserve">OK: COMBATIVE PT - “POSITIONAL ASPHYXIA” – DIED </w:t>
      </w:r>
    </w:p>
    <w:p w14:paraId="5B04D20D" w14:textId="77777777" w:rsidR="00DD2FCE" w:rsidRDefault="00DD2FCE" w:rsidP="00DD2FCE">
      <w:pPr>
        <w:pStyle w:val="NoSpacing"/>
        <w:ind w:left="720"/>
      </w:pPr>
    </w:p>
    <w:p w14:paraId="62FB26F8" w14:textId="77777777" w:rsidR="00DD2FCE" w:rsidRDefault="00DD2FCE" w:rsidP="00DD2FCE">
      <w:pPr>
        <w:pStyle w:val="NoSpacing"/>
      </w:pPr>
      <w:r>
        <w:t xml:space="preserve">On March 18, 2026, in </w:t>
      </w:r>
      <w:r w:rsidRPr="00C503C4">
        <w:rPr>
          <w:u w:val="single"/>
        </w:rPr>
        <w:t>Charles Kaleb Vanlandingham, Administrator for the Estate of Charles Lamar Vanlandingham v. The City of Oklahoma City, et al.</w:t>
      </w:r>
      <w:r>
        <w:t xml:space="preserve">, U.S. District Court Judge Timothy D. </w:t>
      </w:r>
      <w:proofErr w:type="spellStart"/>
      <w:r>
        <w:t>DeGiusti</w:t>
      </w:r>
      <w:proofErr w:type="spellEnd"/>
      <w:r>
        <w:t xml:space="preserve">, United States District Court for Western District of Oklahoma, denied the defense motion for summary judgment, finding that there was a lack of training by police officers and EMS/fire </w:t>
      </w:r>
      <w:r w:rsidRPr="009C398A">
        <w:t>of positional asphyxia</w:t>
      </w:r>
      <w:r>
        <w:t>. There is “</w:t>
      </w:r>
      <w:r w:rsidRPr="00BD5698">
        <w:t>sufficient evidence for a jury to conclude that the City acted with deliberate indifference.</w:t>
      </w:r>
      <w:r>
        <w:t xml:space="preserve">”  Court did </w:t>
      </w:r>
      <w:proofErr w:type="gramStart"/>
      <w:r>
        <w:t>dismiss</w:t>
      </w:r>
      <w:proofErr w:type="gramEnd"/>
      <w:r>
        <w:t xml:space="preserve"> claims that Officer Lee violated state negligence law. “</w:t>
      </w:r>
      <w:r w:rsidRPr="00854B99">
        <w:t>The body-worn camera footage shows Officer Lee entering the home, placing handcuffs on Mr. Vanlandingham, and placing his weight and shin on Plaintiff's back to restrain him. The Court finds these actions consistent with an officer taking an individual into protective custody.</w:t>
      </w:r>
      <w:r>
        <w:t>”</w:t>
      </w:r>
    </w:p>
    <w:p w14:paraId="5812F320" w14:textId="77777777" w:rsidR="00DD2FCE" w:rsidRDefault="00DD2FCE" w:rsidP="00DD2FCE">
      <w:pPr>
        <w:pStyle w:val="NoSpacing"/>
      </w:pPr>
      <w:hyperlink r:id="rId1984" w:history="1">
        <w:r w:rsidRPr="004C7C67">
          <w:rPr>
            <w:rStyle w:val="Hyperlink"/>
          </w:rPr>
          <w:t>https://public.fastcase.com/Jhe1Qn%2BmJndQYQU6z%2FeNm94x%2BjtPzHFQX2c8S%2Bx9Phdmrv4s2ioOEI%2FF1Ai%2FXC71?utm_medium=email&amp;_hsenc=p2ANqtz-9AeMkmBBV7ab-HOOGxYui1F4KaPFQMcLoSV_UpG8Q7nnWqxWkhxKerqRyhPDwCCdLiDrxj3K5C-zreoAE1nVCtmbRsSQ&amp;_hsmi=226712652&amp;utm_content=226712652&amp;utm_source=hs_email</w:t>
        </w:r>
      </w:hyperlink>
      <w:r>
        <w:t xml:space="preserve"> </w:t>
      </w:r>
    </w:p>
    <w:p w14:paraId="6A05F634" w14:textId="77777777" w:rsidR="00DD2FCE" w:rsidRDefault="00DD2FCE" w:rsidP="00DD2FCE">
      <w:pPr>
        <w:pStyle w:val="NoSpacing"/>
      </w:pPr>
    </w:p>
    <w:p w14:paraId="01C31218" w14:textId="77777777" w:rsidR="00DD2FCE" w:rsidRDefault="00DD2FCE" w:rsidP="00DD2FCE">
      <w:pPr>
        <w:pStyle w:val="NoSpacing"/>
      </w:pPr>
      <w:r>
        <w:t>THE COURT HELD:  “</w:t>
      </w:r>
      <w:r w:rsidRPr="00E033CA">
        <w:t>The Court finds there is evidence from which a reasonable jury could conclude that the need for additional training was so obvious as to support a finding of deliberate indifference. Although Defendant offers extensive evidence regarding its training for officers that has been accredited by a national accrediting organization, Plaintiff provides evidence that the OCPD has known of the dangers of positional asphyxia and has failed to update or change their use of force policy.</w:t>
      </w:r>
    </w:p>
    <w:p w14:paraId="3399D718" w14:textId="77777777" w:rsidR="00DD2FCE" w:rsidRDefault="00DD2FCE" w:rsidP="00DD2FCE">
      <w:pPr>
        <w:pStyle w:val="NoSpacing"/>
      </w:pPr>
    </w:p>
    <w:p w14:paraId="2FDD8C4A" w14:textId="77777777" w:rsidR="00DD2FCE" w:rsidRDefault="00DD2FCE" w:rsidP="00DD2FCE">
      <w:pPr>
        <w:pStyle w:val="NoSpacing"/>
      </w:pPr>
      <w:r>
        <w:t>***</w:t>
      </w:r>
    </w:p>
    <w:p w14:paraId="615BB1D2" w14:textId="77777777" w:rsidR="00DD2FCE" w:rsidRDefault="00DD2FCE" w:rsidP="00DD2FCE">
      <w:pPr>
        <w:pStyle w:val="NoSpacing"/>
      </w:pPr>
    </w:p>
    <w:p w14:paraId="15C1B54F" w14:textId="77777777" w:rsidR="00DD2FCE" w:rsidRDefault="00DD2FCE" w:rsidP="00DD2FCE">
      <w:pPr>
        <w:pStyle w:val="NoSpacing"/>
      </w:pPr>
      <w:r w:rsidRPr="00CD137A">
        <w:t>On September 15, 2019, at approximately 3:54 a.m., Theresa Hancock called 911 seeking help for her boyfriend, Charles Vanlandingham, who was having a medical emergency</w:t>
      </w:r>
      <w:r>
        <w:t xml:space="preserve"> ….</w:t>
      </w:r>
      <w:r w:rsidRPr="00CD137A">
        <w:t>Paramedics employed by American Medical Response Ambulance Service were dispatched to the home where they found Mr. Vanlandingham on a bed</w:t>
      </w:r>
      <w:r>
        <w:t xml:space="preserve"> ….</w:t>
      </w:r>
      <w:r w:rsidRPr="00CD137A">
        <w:t>One of the paramedics attempted to move him from the bed to a cot</w:t>
      </w:r>
      <w:r>
        <w:t>…. it i</w:t>
      </w:r>
      <w:r w:rsidRPr="00CD137A">
        <w:t>s undisputed that at some point during this attempt, the paramedic pushed his panic button and sent another paramedic to the ambulance to call for assistance from both the fire department and Oklahoma City police officers</w:t>
      </w:r>
      <w:r>
        <w:t xml:space="preserve">…. </w:t>
      </w:r>
      <w:r w:rsidRPr="00CD137A">
        <w:t>Shortly thereafter, four firefighters arrived at the scene</w:t>
      </w:r>
      <w:r>
        <w:t xml:space="preserve"> … t</w:t>
      </w:r>
      <w:r w:rsidRPr="00CD137A">
        <w:t>he first firefighter entered the home and found the paramedic struggling with Mr. Vanlandingham</w:t>
      </w:r>
      <w:r>
        <w:t xml:space="preserve">… </w:t>
      </w:r>
      <w:r w:rsidRPr="00CD137A">
        <w:t>After several minutes, the firefighter placed Mr. Vanlandingham on the ground in a prone position</w:t>
      </w:r>
      <w:r>
        <w:t xml:space="preserve">…. </w:t>
      </w:r>
      <w:r w:rsidRPr="00CD137A">
        <w:t>Upon entering the home, Officer Lee went to the room where Mr. Vanlandingham was located and saw him wheezing and experiencing labored breaching</w:t>
      </w:r>
      <w:r>
        <w:t xml:space="preserve">…. </w:t>
      </w:r>
      <w:r w:rsidRPr="00CD137A">
        <w:t>A paramedic asked Officer Lee if he had a set of handcuffs, to which Officer Lee immediately responded by securing two sets of handcuffs on Mr. Vanlandingham</w:t>
      </w:r>
      <w:r>
        <w:t xml:space="preserve"> …. </w:t>
      </w:r>
      <w:r w:rsidRPr="00CD137A">
        <w:t>Although someone on the scene asked whether soft restraints should be used, the paramedic stated that it was his call and he wanted Mr. Vanlandingham to remain handcuffed until he was in the ambulance</w:t>
      </w:r>
      <w:r>
        <w:t xml:space="preserve">…. </w:t>
      </w:r>
      <w:r w:rsidRPr="00CD137A">
        <w:t>Officer Lee told dispatch that he was in custody but needed the assistance of another officer</w:t>
      </w:r>
      <w:r>
        <w:t xml:space="preserve">…. </w:t>
      </w:r>
      <w:r w:rsidRPr="00CD137A">
        <w:t>He proceeded to place his shin across Mr. Vanlandingham's back while four other firefighters held him down</w:t>
      </w:r>
      <w:r>
        <w:t xml:space="preserve">…. </w:t>
      </w:r>
      <w:r w:rsidRPr="00CD137A">
        <w:t>Officer Lee estimates that he placed 10% to 20% of his total body weight on Mr. Vanlandingham for approximately 90 seconds</w:t>
      </w:r>
      <w:r>
        <w:t xml:space="preserve">…. </w:t>
      </w:r>
      <w:r w:rsidRPr="00CD137A">
        <w:t xml:space="preserve"> Another firefighter was holding and bending Mr. Vanlandingham's right leg to his buttocks while his other leg was held down by another firefighter</w:t>
      </w:r>
      <w:r>
        <w:t xml:space="preserve"> …. </w:t>
      </w:r>
      <w:r w:rsidRPr="00CD137A">
        <w:t>While Mr. Vanlandingham was still handcuffed, the paramedics administered 5mg of Versed, and within seconds he became unresponsive</w:t>
      </w:r>
      <w:r>
        <w:t xml:space="preserve">…. </w:t>
      </w:r>
      <w:r w:rsidRPr="00CD137A">
        <w:t>Officer Lee removed the handcuffs and left the room</w:t>
      </w:r>
      <w:r>
        <w:t xml:space="preserve"> …. </w:t>
      </w:r>
      <w:r w:rsidRPr="00CD137A">
        <w:t>Paramedics then began to render emergency aid for approximately 30 minutes, but it was unsuccessful and Mr. Vanlandingham was pronounced dead at the scene.</w:t>
      </w:r>
      <w:r>
        <w:t>”</w:t>
      </w:r>
    </w:p>
    <w:p w14:paraId="43556061" w14:textId="77777777" w:rsidR="00DD2FCE" w:rsidRDefault="00DD2FCE" w:rsidP="00DD2FCE">
      <w:pPr>
        <w:pStyle w:val="NoSpacing"/>
      </w:pPr>
    </w:p>
    <w:p w14:paraId="3D5F4A6C" w14:textId="77777777" w:rsidR="00DD2FCE" w:rsidRPr="00846D95" w:rsidRDefault="00DD2FCE" w:rsidP="00DD2FCE">
      <w:pPr>
        <w:pStyle w:val="NoSpacing"/>
        <w:rPr>
          <w:b/>
          <w:bCs/>
        </w:rPr>
      </w:pPr>
      <w:r>
        <w:rPr>
          <w:b/>
        </w:rPr>
        <w:t xml:space="preserve">Legal lesson learned: EMS should review their protocols, and conduct joint training with law enforcement, on handling a combative patient. </w:t>
      </w:r>
    </w:p>
    <w:p w14:paraId="0BB6DB44" w14:textId="77777777" w:rsidR="00DD2FCE" w:rsidRPr="00CD137A" w:rsidRDefault="00DD2FCE" w:rsidP="00DD2FCE">
      <w:pPr>
        <w:pStyle w:val="NoSpacing"/>
      </w:pPr>
    </w:p>
    <w:p w14:paraId="010684DE" w14:textId="77777777" w:rsidR="00DD2FCE" w:rsidRPr="00576F3F" w:rsidRDefault="00DD2FCE" w:rsidP="00DD2FCE">
      <w:pPr>
        <w:pStyle w:val="NoSpacing"/>
        <w:ind w:left="720"/>
      </w:pPr>
      <w:r>
        <w:t xml:space="preserve">Note: See 2025 YouTube video: </w:t>
      </w:r>
      <w:r w:rsidRPr="00576F3F">
        <w:t xml:space="preserve">“What Is Positional Asphyxia </w:t>
      </w:r>
      <w:proofErr w:type="gramStart"/>
      <w:r w:rsidRPr="00576F3F">
        <w:t>And</w:t>
      </w:r>
      <w:proofErr w:type="gramEnd"/>
      <w:r w:rsidRPr="00576F3F">
        <w:t xml:space="preserve"> How </w:t>
      </w:r>
      <w:proofErr w:type="gramStart"/>
      <w:r w:rsidRPr="00576F3F">
        <w:t>To</w:t>
      </w:r>
      <w:proofErr w:type="gramEnd"/>
      <w:r w:rsidRPr="00576F3F">
        <w:t xml:space="preserve"> Prevent It? - Law Enforcement Insider.”</w:t>
      </w:r>
      <w:r>
        <w:t xml:space="preserve"> </w:t>
      </w:r>
      <w:hyperlink r:id="rId1985" w:history="1">
        <w:r w:rsidRPr="004C7C67">
          <w:rPr>
            <w:rStyle w:val="Hyperlink"/>
          </w:rPr>
          <w:t>https://www.youtube.com/watch?v=_LFgzOE_WU8</w:t>
        </w:r>
      </w:hyperlink>
      <w:r>
        <w:t xml:space="preserve"> </w:t>
      </w:r>
    </w:p>
    <w:p w14:paraId="7223DEDC" w14:textId="77777777" w:rsidR="00DD2FCE" w:rsidRPr="00576F3F" w:rsidRDefault="00DD2FCE" w:rsidP="00DD2FCE">
      <w:pPr>
        <w:pStyle w:val="NoSpacing"/>
        <w:ind w:left="720"/>
      </w:pPr>
    </w:p>
    <w:p w14:paraId="65299030" w14:textId="77777777" w:rsidR="00DD2FCE" w:rsidRDefault="00DD2FCE" w:rsidP="00DD2FCE">
      <w:pPr>
        <w:pStyle w:val="NoSpacing"/>
        <w:ind w:left="720"/>
      </w:pPr>
      <w:r>
        <w:t>See also U.S. Department of Justice June 1995 bulletin: “</w:t>
      </w:r>
      <w:r w:rsidRPr="00C31F2D">
        <w:t>Positional Asphyxia—Sudden Death</w:t>
      </w:r>
      <w:r>
        <w:t xml:space="preserve">.” </w:t>
      </w:r>
      <w:hyperlink r:id="rId1986" w:history="1">
        <w:r w:rsidRPr="004C7C67">
          <w:rPr>
            <w:rStyle w:val="Hyperlink"/>
          </w:rPr>
          <w:t>https://www.ojp.gov/pdffiles/posasph.pdf</w:t>
        </w:r>
      </w:hyperlink>
      <w:r>
        <w:t xml:space="preserve"> </w:t>
      </w:r>
    </w:p>
    <w:p w14:paraId="068D66F8" w14:textId="77777777" w:rsidR="00DD2FCE" w:rsidRDefault="00DD2FCE" w:rsidP="00DD2FCE">
      <w:pPr>
        <w:pStyle w:val="NoSpacing"/>
      </w:pPr>
    </w:p>
    <w:p w14:paraId="79B3F049" w14:textId="77777777" w:rsidR="00DD2FCE" w:rsidRDefault="00DD2FCE" w:rsidP="00DD2FCE">
      <w:pPr>
        <w:pStyle w:val="NoSpacing"/>
      </w:pPr>
    </w:p>
    <w:p w14:paraId="34A9565A" w14:textId="77777777" w:rsidR="00B170D7" w:rsidRDefault="00B170D7" w:rsidP="00004498">
      <w:pPr>
        <w:rPr>
          <w:rFonts w:ascii="Arial Black" w:hAnsi="Arial Black"/>
          <w:b/>
          <w:bCs/>
          <w:sz w:val="24"/>
          <w:szCs w:val="24"/>
        </w:rPr>
      </w:pPr>
    </w:p>
    <w:p w14:paraId="6DE3A8F7" w14:textId="3633BCF4" w:rsidR="00DD2FCE" w:rsidRDefault="00DD2FCE" w:rsidP="00004498">
      <w:pPr>
        <w:rPr>
          <w:rFonts w:ascii="Arial Black" w:hAnsi="Arial Black"/>
          <w:b/>
          <w:bCs/>
          <w:sz w:val="24"/>
          <w:szCs w:val="24"/>
        </w:rPr>
      </w:pPr>
      <w:r>
        <w:rPr>
          <w:rFonts w:ascii="Arial Black" w:hAnsi="Arial Black"/>
          <w:b/>
          <w:bCs/>
          <w:sz w:val="24"/>
          <w:szCs w:val="24"/>
        </w:rPr>
        <w:t>13-</w:t>
      </w:r>
      <w:r w:rsidR="009256C3">
        <w:rPr>
          <w:rFonts w:ascii="Arial Black" w:hAnsi="Arial Black"/>
          <w:b/>
          <w:bCs/>
          <w:sz w:val="24"/>
          <w:szCs w:val="24"/>
        </w:rPr>
        <w:t>251</w:t>
      </w:r>
    </w:p>
    <w:p w14:paraId="018D5317" w14:textId="77777777" w:rsidR="00552D25" w:rsidRPr="00C15F7A" w:rsidRDefault="00552D25" w:rsidP="00552D25">
      <w:pPr>
        <w:pStyle w:val="NoSpacing"/>
        <w:rPr>
          <w:rFonts w:ascii="Arial Black" w:hAnsi="Arial Black"/>
          <w:sz w:val="28"/>
          <w:szCs w:val="28"/>
        </w:rPr>
      </w:pPr>
      <w:r>
        <w:rPr>
          <w:rFonts w:ascii="Arial Black" w:hAnsi="Arial Black"/>
          <w:sz w:val="28"/>
          <w:szCs w:val="28"/>
        </w:rPr>
        <w:t xml:space="preserve">MN: PT TOLD MEDIC USING HEROIN – RUN RPT ADMISSIBLE </w:t>
      </w:r>
    </w:p>
    <w:p w14:paraId="25B94484" w14:textId="77777777" w:rsidR="00552D25" w:rsidRDefault="00552D25" w:rsidP="00552D25">
      <w:pPr>
        <w:pStyle w:val="NoSpacing"/>
      </w:pPr>
    </w:p>
    <w:p w14:paraId="4F864768" w14:textId="77777777" w:rsidR="00552D25" w:rsidRDefault="00552D25" w:rsidP="00552D25">
      <w:pPr>
        <w:pStyle w:val="NoSpacing"/>
      </w:pPr>
      <w:r>
        <w:t xml:space="preserve">On March 18, 2026, in </w:t>
      </w:r>
      <w:r w:rsidRPr="005442BF">
        <w:rPr>
          <w:u w:val="single"/>
        </w:rPr>
        <w:t>State of Minnesota v. Anthony Richard Smeby</w:t>
      </w:r>
      <w:r>
        <w:t xml:space="preserve">, the </w:t>
      </w:r>
      <w:r w:rsidRPr="00454086">
        <w:t>Supreme Court of Minnesota</w:t>
      </w:r>
      <w:r>
        <w:t xml:space="preserve"> held (6 to 1) that the trial court judge properly denied the defendant’s motion to suppress the EMS run record confirming that prior to the three-car crash Smeby told the paramedics and his girlfriend that he had used heroin. The jury convicted </w:t>
      </w:r>
      <w:proofErr w:type="gramStart"/>
      <w:r>
        <w:t>him</w:t>
      </w:r>
      <w:proofErr w:type="gramEnd"/>
      <w:r>
        <w:t xml:space="preserve"> driving while under the influence of a controlled substance.   The Court of Appeals rejected Smeby’s argument on appeal that the disclosure of his statements to the paramedics and his girlfriend violated the physician-patient privilege statute; holding that “paramedics are categorically excluded from the</w:t>
      </w:r>
    </w:p>
    <w:p w14:paraId="6D6E42BF" w14:textId="77777777" w:rsidR="00552D25" w:rsidRDefault="00552D25" w:rsidP="00552D25">
      <w:pPr>
        <w:pStyle w:val="NoSpacing"/>
      </w:pPr>
      <w:r>
        <w:t xml:space="preserve">physician-patient privilege statute” since EMS not mentioned in the statute.  Minnesota Supreme Court clarified that if EMS were performing activities are the specific direction of a physician [such as in Emergency Department] that a defendant’s comments about his heroin use could be privileged. </w:t>
      </w:r>
      <w:hyperlink r:id="rId1987" w:history="1">
        <w:r w:rsidRPr="004C7C67">
          <w:rPr>
            <w:rStyle w:val="Hyperlink"/>
          </w:rPr>
          <w:t>https://cases.justia.com/minnesota/supreme-court/2026-a23-0516.pdf?ts=1773911973</w:t>
        </w:r>
      </w:hyperlink>
      <w:r>
        <w:t xml:space="preserve"> </w:t>
      </w:r>
    </w:p>
    <w:p w14:paraId="3A03995D" w14:textId="77777777" w:rsidR="00552D25" w:rsidRDefault="00552D25" w:rsidP="00552D25">
      <w:pPr>
        <w:pStyle w:val="NoSpacing"/>
      </w:pPr>
      <w:r>
        <w:t xml:space="preserve"> </w:t>
      </w:r>
    </w:p>
    <w:p w14:paraId="371F67EB" w14:textId="77777777" w:rsidR="00552D25" w:rsidRDefault="00552D25" w:rsidP="00552D25">
      <w:pPr>
        <w:pStyle w:val="NoSpacing"/>
      </w:pPr>
    </w:p>
    <w:p w14:paraId="4AE261C3" w14:textId="77777777" w:rsidR="00552D25" w:rsidRDefault="00552D25" w:rsidP="00552D25">
      <w:pPr>
        <w:pStyle w:val="NoSpacing"/>
      </w:pPr>
      <w:r>
        <w:t>THE COURT HELD: “In August 2021, law enforcement officers responded to the scene of a three-car accident and found appellant Anthony Richard Smeby unconscious behind the wheel of</w:t>
      </w:r>
    </w:p>
    <w:p w14:paraId="69CD42F0" w14:textId="77777777" w:rsidR="00552D25" w:rsidRDefault="00552D25" w:rsidP="00552D25">
      <w:pPr>
        <w:pStyle w:val="NoSpacing"/>
      </w:pPr>
      <w:r>
        <w:t>one of the cars. After an officer administered two doses of Narcan,1 Smeby regained</w:t>
      </w:r>
    </w:p>
    <w:p w14:paraId="028DEDDF" w14:textId="77777777" w:rsidR="00552D25" w:rsidRDefault="00552D25" w:rsidP="00552D25">
      <w:pPr>
        <w:pStyle w:val="NoSpacing"/>
      </w:pPr>
      <w:r>
        <w:t>consciousness. Ambulance paramedics transported Smeby to a hospital. A district court</w:t>
      </w:r>
    </w:p>
    <w:p w14:paraId="19EB4115" w14:textId="77777777" w:rsidR="00552D25" w:rsidRDefault="00552D25" w:rsidP="00552D25">
      <w:pPr>
        <w:pStyle w:val="NoSpacing"/>
      </w:pPr>
      <w:r>
        <w:t>later signed a search warrant presented by law enforcement that authorized the State to</w:t>
      </w:r>
    </w:p>
    <w:p w14:paraId="712C7787" w14:textId="77777777" w:rsidR="00552D25" w:rsidRDefault="00552D25" w:rsidP="00552D25">
      <w:pPr>
        <w:pStyle w:val="NoSpacing"/>
      </w:pPr>
      <w:r>
        <w:t>search the medical records and ambulance run sheets related to Smeby from the date of the</w:t>
      </w:r>
    </w:p>
    <w:p w14:paraId="51F27007" w14:textId="77777777" w:rsidR="00552D25" w:rsidRDefault="00552D25" w:rsidP="00552D25">
      <w:pPr>
        <w:pStyle w:val="NoSpacing"/>
      </w:pPr>
      <w:r>
        <w:t>accident. The search revealed that Smeby told the paramedics and his girlfriend that he</w:t>
      </w:r>
    </w:p>
    <w:p w14:paraId="5CC08B4B" w14:textId="77777777" w:rsidR="00552D25" w:rsidRDefault="00552D25" w:rsidP="00552D25">
      <w:pPr>
        <w:pStyle w:val="NoSpacing"/>
      </w:pPr>
      <w:r>
        <w:t>had used heroin.</w:t>
      </w:r>
    </w:p>
    <w:p w14:paraId="61AC9269" w14:textId="77777777" w:rsidR="00552D25" w:rsidRDefault="00552D25" w:rsidP="00552D25">
      <w:pPr>
        <w:pStyle w:val="NoSpacing"/>
      </w:pPr>
    </w:p>
    <w:p w14:paraId="3479C201" w14:textId="77777777" w:rsidR="00552D25" w:rsidRDefault="00552D25" w:rsidP="00552D25">
      <w:pPr>
        <w:pStyle w:val="NoSpacing"/>
      </w:pPr>
      <w:r>
        <w:t>***</w:t>
      </w:r>
    </w:p>
    <w:p w14:paraId="3E145D81" w14:textId="77777777" w:rsidR="00552D25" w:rsidRDefault="00552D25" w:rsidP="00552D25">
      <w:pPr>
        <w:pStyle w:val="NoSpacing"/>
      </w:pPr>
      <w:r>
        <w:t>We now clarify that Minn. Stat. § 595.02, subd. 1(d), applies to communications between paramedics and patients if the paramedic is acting ‘under the direction’ of the treating physician such that there is an agency relationship with the physician….</w:t>
      </w:r>
    </w:p>
    <w:p w14:paraId="2E540018" w14:textId="77777777" w:rsidR="00552D25" w:rsidRDefault="00552D25" w:rsidP="00552D25">
      <w:pPr>
        <w:pStyle w:val="NoSpacing"/>
      </w:pPr>
    </w:p>
    <w:p w14:paraId="67947793" w14:textId="77777777" w:rsidR="00552D25" w:rsidRDefault="00552D25" w:rsidP="00552D25">
      <w:pPr>
        <w:pStyle w:val="NoSpacing"/>
      </w:pPr>
      <w:r>
        <w:t>The same is true for Smeby’s girlfriend’s statements to the nurse about his heroin use. For the reasons already explained, those statements are not protected by the physician-patient privilege or the nurse-patient privilege. The inclusion of the girlfriend’s comment in Smeby’s medical record does not render the girlfriend’s comment privileged.”</w:t>
      </w:r>
    </w:p>
    <w:p w14:paraId="45BC40F5" w14:textId="77777777" w:rsidR="00552D25" w:rsidRDefault="00552D25" w:rsidP="00552D25">
      <w:pPr>
        <w:pStyle w:val="NoSpacing"/>
      </w:pPr>
    </w:p>
    <w:p w14:paraId="6214C8D3" w14:textId="77777777" w:rsidR="00552D25" w:rsidRPr="00273001" w:rsidRDefault="00552D25" w:rsidP="00552D25">
      <w:pPr>
        <w:pStyle w:val="NoSpacing"/>
        <w:rPr>
          <w:b/>
          <w:bCs/>
        </w:rPr>
      </w:pPr>
      <w:r w:rsidRPr="00273001">
        <w:rPr>
          <w:b/>
        </w:rPr>
        <w:t xml:space="preserve">Legal lesson learned: </w:t>
      </w:r>
      <w:r>
        <w:rPr>
          <w:b/>
        </w:rPr>
        <w:t xml:space="preserve">EMS wisely documented in EMS run report that both the patient and his girlfriend stated he was using heroin prior to crash.  </w:t>
      </w:r>
    </w:p>
    <w:p w14:paraId="52692DFA" w14:textId="77777777" w:rsidR="00552D25" w:rsidRDefault="00552D25" w:rsidP="00552D25">
      <w:pPr>
        <w:pStyle w:val="NoSpacing"/>
      </w:pPr>
    </w:p>
    <w:p w14:paraId="2815BC2B" w14:textId="77777777" w:rsidR="00552D25" w:rsidRDefault="00552D25" w:rsidP="00552D25">
      <w:pPr>
        <w:pStyle w:val="NoSpacing"/>
      </w:pPr>
      <w:r>
        <w:tab/>
        <w:t>Note:  See the Minnesota privilege statue.</w:t>
      </w:r>
    </w:p>
    <w:p w14:paraId="64E08A1F" w14:textId="77777777" w:rsidR="00552D25" w:rsidRDefault="00552D25" w:rsidP="00552D25">
      <w:pPr>
        <w:pStyle w:val="NoSpacing"/>
        <w:ind w:firstLine="720"/>
      </w:pPr>
      <w:hyperlink r:id="rId1988" w:history="1">
        <w:r w:rsidRPr="004C7C67">
          <w:rPr>
            <w:rStyle w:val="Hyperlink"/>
          </w:rPr>
          <w:t>https://www.revisor.mn.gov/statutes/cite/595.02</w:t>
        </w:r>
      </w:hyperlink>
      <w:r>
        <w:t xml:space="preserve"> </w:t>
      </w:r>
    </w:p>
    <w:p w14:paraId="151FB290" w14:textId="77777777" w:rsidR="00552D25" w:rsidRDefault="00552D25" w:rsidP="00552D25">
      <w:pPr>
        <w:pStyle w:val="NoSpacing"/>
      </w:pPr>
    </w:p>
    <w:p w14:paraId="7C11F5FB" w14:textId="77777777" w:rsidR="00552D25" w:rsidRDefault="00552D25" w:rsidP="00552D25">
      <w:pPr>
        <w:pStyle w:val="NoSpacing"/>
        <w:ind w:left="720"/>
      </w:pPr>
      <w:r>
        <w:t>“</w:t>
      </w:r>
      <w:r w:rsidRPr="008235AE">
        <w:t>(d) A licensed physician or surgeon, dentist, or chiropractor shall not, without the consent of the patient, be allowed to disclose any information or any opinion based thereon which the professional acquired in attending the patient in a professional capacity, and which was necessary to enable the professional to act in that capacity; after the decease of the patient, in an action to recover insurance benefits, where the insurance has been in existence two years or more, the beneficiaries shall be deemed to be the personal representatives of the deceased person for the purpose of waiving this privilege, and no oral or written waiver of the privilege shall have any binding force or effect except when made upon the trial or examination where the evidence is offered or received.</w:t>
      </w:r>
      <w:r>
        <w:t>”</w:t>
      </w:r>
    </w:p>
    <w:p w14:paraId="58169CD0" w14:textId="77777777" w:rsidR="00552D25" w:rsidRPr="00BC4B85" w:rsidRDefault="00552D25" w:rsidP="00552D25">
      <w:pPr>
        <w:pStyle w:val="NoSpacing"/>
        <w:rPr>
          <w:b/>
          <w:bCs/>
        </w:rPr>
      </w:pPr>
    </w:p>
    <w:p w14:paraId="29447C2D" w14:textId="77777777" w:rsidR="00DD2FCE" w:rsidRDefault="00DD2FCE" w:rsidP="00004498">
      <w:pPr>
        <w:rPr>
          <w:rFonts w:ascii="Arial Black" w:hAnsi="Arial Black"/>
          <w:b/>
          <w:bCs/>
          <w:sz w:val="24"/>
          <w:szCs w:val="24"/>
        </w:rPr>
      </w:pPr>
    </w:p>
    <w:p w14:paraId="159D361F" w14:textId="066733D5" w:rsidR="00552D25" w:rsidRDefault="00552D25" w:rsidP="00004498">
      <w:pPr>
        <w:rPr>
          <w:rFonts w:ascii="Arial Black" w:hAnsi="Arial Black"/>
          <w:b/>
          <w:bCs/>
          <w:sz w:val="24"/>
          <w:szCs w:val="24"/>
        </w:rPr>
      </w:pPr>
      <w:r>
        <w:rPr>
          <w:rFonts w:ascii="Arial Black" w:hAnsi="Arial Black"/>
          <w:b/>
          <w:bCs/>
          <w:sz w:val="24"/>
          <w:szCs w:val="24"/>
        </w:rPr>
        <w:t>13-</w:t>
      </w:r>
      <w:r w:rsidR="009256C3">
        <w:rPr>
          <w:rFonts w:ascii="Arial Black" w:hAnsi="Arial Black"/>
          <w:b/>
          <w:bCs/>
          <w:sz w:val="24"/>
          <w:szCs w:val="24"/>
        </w:rPr>
        <w:t>250</w:t>
      </w:r>
    </w:p>
    <w:p w14:paraId="05500C7A" w14:textId="77777777" w:rsidR="00E306E9" w:rsidRPr="00752ABB" w:rsidRDefault="00E306E9" w:rsidP="00E306E9">
      <w:pPr>
        <w:pStyle w:val="NoSpacing"/>
        <w:rPr>
          <w:rFonts w:ascii="Arial Black" w:hAnsi="Arial Black"/>
          <w:b/>
          <w:sz w:val="28"/>
          <w:szCs w:val="28"/>
        </w:rPr>
      </w:pPr>
      <w:r>
        <w:rPr>
          <w:rFonts w:ascii="Arial Black" w:hAnsi="Arial Black"/>
          <w:b/>
          <w:sz w:val="28"/>
          <w:szCs w:val="28"/>
        </w:rPr>
        <w:t>FL: EMS &amp; HOSP BLOOD DRAWS – SUBPOENA MURDER</w:t>
      </w:r>
    </w:p>
    <w:p w14:paraId="6AFB49B5" w14:textId="77777777" w:rsidR="00E306E9" w:rsidRDefault="00E306E9" w:rsidP="00E306E9">
      <w:pPr>
        <w:pStyle w:val="NoSpacing"/>
        <w:rPr>
          <w:b/>
        </w:rPr>
      </w:pPr>
    </w:p>
    <w:p w14:paraId="45479718" w14:textId="21CF744F" w:rsidR="00E306E9" w:rsidRDefault="00E306E9" w:rsidP="00E306E9">
      <w:pPr>
        <w:pStyle w:val="NoSpacing"/>
        <w:rPr>
          <w:b/>
        </w:rPr>
      </w:pPr>
      <w:r>
        <w:t xml:space="preserve">On March 18, 2026, in </w:t>
      </w:r>
      <w:r w:rsidRPr="007F0612">
        <w:rPr>
          <w:u w:val="single"/>
        </w:rPr>
        <w:t>Kyle Matthew Hill v. State of Florida</w:t>
      </w:r>
      <w:r>
        <w:t xml:space="preserve">, the </w:t>
      </w:r>
      <w:r w:rsidRPr="006D0767">
        <w:t>Florida Court of Appeals, Second District</w:t>
      </w:r>
      <w:r>
        <w:t xml:space="preserve">, held (3 to 0) that trial court judge properly refused the defendant’s motion to quash the state’s subpoena for EMS blood draw and EMS run report, and the Hospital’s blood draw records.  </w:t>
      </w:r>
      <w:r w:rsidRPr="00307C91">
        <w:t>The State indicted Mr. Hill for first-degree murder, attempted first-degree murder, DUI manslaughter, and DUI with serious bodily injury</w:t>
      </w:r>
      <w:r>
        <w:t xml:space="preserve">, and the </w:t>
      </w:r>
      <w:r w:rsidRPr="00307C91">
        <w:t>State seeks the death penalty</w:t>
      </w:r>
      <w:r>
        <w:t xml:space="preserve">.  </w:t>
      </w:r>
      <w:hyperlink r:id="rId1989" w:history="1">
        <w:r w:rsidRPr="004C7C67">
          <w:rPr>
            <w:rStyle w:val="Hyperlink"/>
            <w:b/>
          </w:rPr>
          <w:t>https://flcourts-media.flcourts.gov/content/download/2486201/opinion/Opinion_2025-1955.pdf</w:t>
        </w:r>
      </w:hyperlink>
      <w:r>
        <w:rPr>
          <w:b/>
        </w:rPr>
        <w:t xml:space="preserve"> </w:t>
      </w:r>
    </w:p>
    <w:p w14:paraId="667C54C0" w14:textId="77777777" w:rsidR="00E306E9" w:rsidRDefault="00E306E9" w:rsidP="00E306E9">
      <w:pPr>
        <w:pStyle w:val="NoSpacing"/>
        <w:rPr>
          <w:bCs/>
        </w:rPr>
      </w:pPr>
    </w:p>
    <w:p w14:paraId="4ACC2C35" w14:textId="77777777" w:rsidR="00E306E9" w:rsidRPr="00752ABB" w:rsidRDefault="00E306E9" w:rsidP="00E306E9">
      <w:pPr>
        <w:pStyle w:val="NoSpacing"/>
      </w:pPr>
      <w:r>
        <w:t>THE COURT HELD:  “</w:t>
      </w:r>
      <w:r w:rsidRPr="00752ABB">
        <w:t>Allegedly, Mr. Hill purposefully sideswiped another vehicle, causing</w:t>
      </w:r>
    </w:p>
    <w:p w14:paraId="15C8BAA8" w14:textId="77777777" w:rsidR="00E306E9" w:rsidRDefault="00E306E9" w:rsidP="00E306E9">
      <w:pPr>
        <w:pStyle w:val="NoSpacing"/>
      </w:pPr>
      <w:proofErr w:type="gramStart"/>
      <w:r w:rsidRPr="00752ABB">
        <w:t>it</w:t>
      </w:r>
      <w:proofErr w:type="gramEnd"/>
      <w:r w:rsidRPr="00752ABB">
        <w:t xml:space="preserve"> </w:t>
      </w:r>
      <w:proofErr w:type="gramStart"/>
      <w:r w:rsidRPr="00752ABB">
        <w:t>to</w:t>
      </w:r>
      <w:proofErr w:type="gramEnd"/>
      <w:r w:rsidRPr="00752ABB">
        <w:t xml:space="preserve"> leave the roadway and crash into a pole. The collision injured the</w:t>
      </w:r>
      <w:r>
        <w:t xml:space="preserve"> </w:t>
      </w:r>
      <w:r w:rsidRPr="00752ABB">
        <w:t>driver and killed her passenger.</w:t>
      </w:r>
      <w:r>
        <w:t xml:space="preserve"> </w:t>
      </w:r>
      <w:r w:rsidRPr="00752ABB">
        <w:t>Police suspected that Mr. Hill was driving under the influence of</w:t>
      </w:r>
      <w:r>
        <w:t xml:space="preserve"> </w:t>
      </w:r>
      <w:r w:rsidRPr="00752ABB">
        <w:t>alcohol. They directed emergency medical services (EMS) personnel to</w:t>
      </w:r>
      <w:r>
        <w:t xml:space="preserve"> </w:t>
      </w:r>
      <w:r w:rsidRPr="00752ABB">
        <w:t xml:space="preserve">conduct </w:t>
      </w:r>
      <w:proofErr w:type="gramStart"/>
      <w:r w:rsidRPr="00752ABB">
        <w:t>a blood</w:t>
      </w:r>
      <w:proofErr w:type="gramEnd"/>
      <w:r w:rsidRPr="00752ABB">
        <w:t xml:space="preserve"> draw. EMS personnel then took Mr. Hill to the hospital</w:t>
      </w:r>
      <w:r>
        <w:t xml:space="preserve"> </w:t>
      </w:r>
      <w:r w:rsidRPr="00752ABB">
        <w:t>where staff performed another blood draw.</w:t>
      </w:r>
    </w:p>
    <w:p w14:paraId="50AD8ADC" w14:textId="77777777" w:rsidR="00E306E9" w:rsidRDefault="00E306E9" w:rsidP="00E306E9">
      <w:pPr>
        <w:pStyle w:val="NoSpacing"/>
      </w:pPr>
    </w:p>
    <w:p w14:paraId="2CB4ECDE" w14:textId="77777777" w:rsidR="00E306E9" w:rsidRDefault="00E306E9" w:rsidP="00E306E9">
      <w:pPr>
        <w:pStyle w:val="NoSpacing"/>
      </w:pPr>
      <w:r>
        <w:t>***</w:t>
      </w:r>
    </w:p>
    <w:p w14:paraId="33EFDD69" w14:textId="77777777" w:rsidR="00E306E9" w:rsidRDefault="00E306E9" w:rsidP="00E306E9">
      <w:pPr>
        <w:pStyle w:val="NoSpacing"/>
        <w:rPr>
          <w:bCs/>
        </w:rPr>
      </w:pPr>
      <w:r w:rsidRPr="00104E34">
        <w:t>Thus, the charging documents indicate that Mr. Hill's medical</w:t>
      </w:r>
      <w:r>
        <w:t xml:space="preserve"> </w:t>
      </w:r>
      <w:r w:rsidRPr="00104E34">
        <w:t>records will provide evidence of intoxication.</w:t>
      </w:r>
      <w:r>
        <w:t xml:space="preserve"> </w:t>
      </w:r>
      <w:r w:rsidRPr="00104E34">
        <w:t>Mr. Hill contends that the State's quantum of evidence was</w:t>
      </w:r>
      <w:r>
        <w:t xml:space="preserve"> </w:t>
      </w:r>
      <w:r w:rsidRPr="00104E34">
        <w:t xml:space="preserve">insufficient to support issuance of the subpoenas. He laments </w:t>
      </w:r>
      <w:proofErr w:type="gramStart"/>
      <w:r w:rsidRPr="00104E34">
        <w:t xml:space="preserve">that </w:t>
      </w:r>
      <w:r>
        <w:t>‘</w:t>
      </w:r>
      <w:r w:rsidRPr="00104E34">
        <w:t>[t]he</w:t>
      </w:r>
      <w:proofErr w:type="gramEnd"/>
      <w:r>
        <w:t xml:space="preserve"> </w:t>
      </w:r>
      <w:r w:rsidRPr="00104E34">
        <w:t xml:space="preserve">State advanced a brief </w:t>
      </w:r>
      <w:proofErr w:type="gramStart"/>
      <w:r w:rsidRPr="00104E34">
        <w:t>argument, and</w:t>
      </w:r>
      <w:proofErr w:type="gramEnd"/>
      <w:r w:rsidRPr="00104E34">
        <w:t xml:space="preserve"> presented no evidence . . . other</w:t>
      </w:r>
      <w:r>
        <w:t xml:space="preserve"> </w:t>
      </w:r>
      <w:r w:rsidRPr="00104E34">
        <w:t>than the arrest affidavits.</w:t>
      </w:r>
      <w:r>
        <w:t>’</w:t>
      </w:r>
      <w:r w:rsidRPr="00104E34">
        <w:t xml:space="preserve"> We are unpersuaded</w:t>
      </w:r>
      <w:r>
        <w:t>.”</w:t>
      </w:r>
    </w:p>
    <w:p w14:paraId="140DDA0B" w14:textId="77777777" w:rsidR="00E306E9" w:rsidRDefault="00E306E9" w:rsidP="00E306E9">
      <w:pPr>
        <w:pStyle w:val="NoSpacing"/>
        <w:rPr>
          <w:bCs/>
        </w:rPr>
      </w:pPr>
    </w:p>
    <w:p w14:paraId="727283C0" w14:textId="77777777" w:rsidR="00E306E9" w:rsidRDefault="00E306E9" w:rsidP="00E306E9">
      <w:pPr>
        <w:pStyle w:val="NoSpacing"/>
        <w:rPr>
          <w:b/>
        </w:rPr>
      </w:pPr>
      <w:r w:rsidRPr="00B018C5">
        <w:rPr>
          <w:b/>
        </w:rPr>
        <w:t xml:space="preserve">Legal lesson learned: </w:t>
      </w:r>
      <w:r>
        <w:rPr>
          <w:b/>
        </w:rPr>
        <w:t xml:space="preserve">The defendant is facing death penalty, and the blood draw records will be provided to the jury. </w:t>
      </w:r>
    </w:p>
    <w:p w14:paraId="07F3F69F" w14:textId="77777777" w:rsidR="00552D25" w:rsidRDefault="00552D25" w:rsidP="00004498">
      <w:pPr>
        <w:rPr>
          <w:rFonts w:ascii="Arial Black" w:hAnsi="Arial Black"/>
          <w:b/>
          <w:bCs/>
          <w:sz w:val="24"/>
          <w:szCs w:val="24"/>
        </w:rPr>
      </w:pPr>
    </w:p>
    <w:p w14:paraId="5D850888" w14:textId="492F529D" w:rsidR="00B170D7" w:rsidRDefault="005127F9" w:rsidP="00004498">
      <w:pPr>
        <w:rPr>
          <w:rFonts w:ascii="Arial Black" w:hAnsi="Arial Black"/>
          <w:b/>
          <w:bCs/>
          <w:sz w:val="24"/>
          <w:szCs w:val="24"/>
        </w:rPr>
      </w:pPr>
      <w:r>
        <w:rPr>
          <w:rFonts w:ascii="Arial Black" w:hAnsi="Arial Black"/>
          <w:b/>
          <w:bCs/>
          <w:sz w:val="24"/>
          <w:szCs w:val="24"/>
        </w:rPr>
        <w:t>13-</w:t>
      </w:r>
      <w:r w:rsidR="009256C3">
        <w:rPr>
          <w:rFonts w:ascii="Arial Black" w:hAnsi="Arial Black"/>
          <w:b/>
          <w:bCs/>
          <w:sz w:val="24"/>
          <w:szCs w:val="24"/>
        </w:rPr>
        <w:t>249</w:t>
      </w:r>
    </w:p>
    <w:p w14:paraId="73789317" w14:textId="77777777" w:rsidR="007C0834" w:rsidRPr="002870FF" w:rsidRDefault="007C0834" w:rsidP="007C0834">
      <w:pPr>
        <w:pStyle w:val="NoSpacing"/>
        <w:rPr>
          <w:rFonts w:ascii="Arial Black" w:hAnsi="Arial Black"/>
          <w:b/>
          <w:sz w:val="28"/>
          <w:szCs w:val="28"/>
        </w:rPr>
      </w:pPr>
      <w:r>
        <w:rPr>
          <w:rFonts w:ascii="Arial Black" w:hAnsi="Arial Black"/>
          <w:b/>
          <w:sz w:val="28"/>
          <w:szCs w:val="28"/>
        </w:rPr>
        <w:t xml:space="preserve">TN: SEIZURE PT - TASED - SPIT SOCK - FACE DOWN – DIED </w:t>
      </w:r>
    </w:p>
    <w:p w14:paraId="73AFC9BF" w14:textId="77777777" w:rsidR="007C0834" w:rsidRDefault="007C0834" w:rsidP="007C0834">
      <w:pPr>
        <w:pStyle w:val="NoSpacing"/>
        <w:rPr>
          <w:b/>
        </w:rPr>
      </w:pPr>
    </w:p>
    <w:p w14:paraId="39DB9B73" w14:textId="77777777" w:rsidR="007C0834" w:rsidRDefault="007C0834" w:rsidP="007C0834">
      <w:pPr>
        <w:pStyle w:val="NoSpacing"/>
        <w:rPr>
          <w:bCs/>
        </w:rPr>
      </w:pPr>
      <w:r w:rsidRPr="00E565A4">
        <w:t xml:space="preserve">On March 16, 2026, in </w:t>
      </w:r>
      <w:r w:rsidRPr="00E565A4">
        <w:rPr>
          <w:u w:val="single"/>
        </w:rPr>
        <w:t>Karen Goodwin, individually and on behalf of Austin Hunter Turner, deceased v. City of Bristol, Tennessee</w:t>
      </w:r>
      <w:r w:rsidRPr="00E565A4">
        <w:t xml:space="preserve">, </w:t>
      </w:r>
      <w:r>
        <w:t xml:space="preserve">U.S. District Court Judge Clifton L. Corker, United States District Court for the Eastern District of Tennessee, </w:t>
      </w:r>
      <w:r w:rsidRPr="00646F7A">
        <w:t>Greeneville Division</w:t>
      </w:r>
      <w:r>
        <w:t xml:space="preserve">, granted defense motion for summary judgment.  Combative patient, face down, restraints on hands and feet – died. Family did not file lawsuit within one year – August 30, </w:t>
      </w:r>
      <w:proofErr w:type="gramStart"/>
      <w:r>
        <w:t>2017</w:t>
      </w:r>
      <w:proofErr w:type="gramEnd"/>
      <w:r>
        <w:t xml:space="preserve"> death; case filed six years later.  </w:t>
      </w:r>
      <w:hyperlink r:id="rId1990" w:history="1">
        <w:r w:rsidRPr="00A9331C">
          <w:rPr>
            <w:rStyle w:val="Hyperlink"/>
          </w:rPr>
          <w:t>https://public.fastcase.com/Jhe1Qn%2BmJndQYQU6z%2FeNm%2BJGkZOBI%2FIR3xMI1hqgTrQGqCoob0t8sJ6Oq4%2B3vNWN?utm_medium=email&amp;_hsenc=p2ANqtz-9C5O8INd3-mOP0XdLpifj0NkMcgvHJMlYVXVlVDxFjxItyF7mxImlUcaWgD0DywBt6olIyvEknUS-SxKw_pSJ1xCMABg&amp;_hsmi=226712652&amp;utm_content=226712652&amp;utm_source=hs_email</w:t>
        </w:r>
      </w:hyperlink>
      <w:r>
        <w:t xml:space="preserve"> </w:t>
      </w:r>
    </w:p>
    <w:p w14:paraId="38E75661" w14:textId="77777777" w:rsidR="007C0834" w:rsidRDefault="007C0834" w:rsidP="007C0834">
      <w:pPr>
        <w:pStyle w:val="NoSpacing"/>
        <w:rPr>
          <w:bCs/>
        </w:rPr>
      </w:pPr>
    </w:p>
    <w:p w14:paraId="1DE9ABA5" w14:textId="77777777" w:rsidR="007C0834" w:rsidRDefault="007C0834" w:rsidP="007C0834">
      <w:pPr>
        <w:pStyle w:val="NoSpacing"/>
      </w:pPr>
      <w:r>
        <w:t>THE COURT HELD:  “</w:t>
      </w:r>
      <w:r w:rsidRPr="00EE41D8">
        <w:t>Tennessee's one-year statute of limitations therefore expired on August 30, 2018—nearly six years before this action was filed. Plaintiff's § 1983 claims must therefore be dismissed for failure to state a claim.</w:t>
      </w:r>
    </w:p>
    <w:p w14:paraId="286A9BB4" w14:textId="77777777" w:rsidR="007C0834" w:rsidRDefault="007C0834" w:rsidP="007C0834">
      <w:pPr>
        <w:pStyle w:val="NoSpacing"/>
      </w:pPr>
    </w:p>
    <w:p w14:paraId="1CE41C2A" w14:textId="77777777" w:rsidR="007C0834" w:rsidRDefault="007C0834" w:rsidP="007C0834">
      <w:pPr>
        <w:pStyle w:val="NoSpacing"/>
        <w:rPr>
          <w:bCs/>
        </w:rPr>
      </w:pPr>
      <w:r>
        <w:t>***</w:t>
      </w:r>
    </w:p>
    <w:p w14:paraId="76192D94" w14:textId="77777777" w:rsidR="007C0834" w:rsidRDefault="007C0834" w:rsidP="007C0834">
      <w:pPr>
        <w:pStyle w:val="NoSpacing"/>
        <w:rPr>
          <w:bCs/>
        </w:rPr>
      </w:pPr>
    </w:p>
    <w:p w14:paraId="3EF67B0E" w14:textId="77777777" w:rsidR="007C0834" w:rsidRDefault="007C0834" w:rsidP="007C0834">
      <w:pPr>
        <w:pStyle w:val="NoSpacing"/>
      </w:pPr>
      <w:r w:rsidRPr="00F1137B">
        <w:t xml:space="preserve">Though Plaintiff is not seen on camera when Turner was </w:t>
      </w:r>
      <w:proofErr w:type="gramStart"/>
      <w:r w:rsidRPr="00F1137B">
        <w:t>tased</w:t>
      </w:r>
      <w:proofErr w:type="gramEnd"/>
      <w:r w:rsidRPr="00F1137B">
        <w:t xml:space="preserve">, the footage makes clear that she was standing only a few feet away. </w:t>
      </w:r>
      <w:r>
        <w:t>[</w:t>
      </w:r>
      <w:r w:rsidRPr="00EC243A">
        <w:t xml:space="preserve">Bristol Police </w:t>
      </w:r>
      <w:r>
        <w:t xml:space="preserve">Officer Eric] </w:t>
      </w:r>
      <w:r w:rsidRPr="00F1137B">
        <w:t>Keller's warning, the sound of the taser, and Turner's audible reaction would have been plainly perceptible to anyone in the room. The struggle continued for roughly another minute as officers and paramedics attempted to secure Turner in handcuffs</w:t>
      </w:r>
      <w:r>
        <w:t xml:space="preserve">…. </w:t>
      </w:r>
      <w:r w:rsidRPr="00A91024">
        <w:t>The footage next shows Plaintiff outside after the paramedics moved Turner towards the ambulance. She got out of her car and walked towards Turner as he lay face down on the cot with a spit sock over his head and restraints on both his hands and feet</w:t>
      </w:r>
      <w:r>
        <w:t xml:space="preserve">…. </w:t>
      </w:r>
      <w:r w:rsidRPr="00A91024">
        <w:t>Plaintiff stood beside him facing the cot</w:t>
      </w:r>
      <w:r>
        <w:t xml:space="preserve">…. </w:t>
      </w:r>
      <w:r w:rsidRPr="00A91024">
        <w:t>She is also seen outside the ambulance looking inside while officers and paramedics applied pressure to Turner's head</w:t>
      </w:r>
      <w:r>
        <w:t xml:space="preserve">…. </w:t>
      </w:r>
      <w:r w:rsidRPr="00A91024">
        <w:t xml:space="preserve"> She was also outside the ambulance door seconds after someone shut the door.</w:t>
      </w:r>
      <w:r>
        <w:t>”</w:t>
      </w:r>
    </w:p>
    <w:p w14:paraId="10DB9E55" w14:textId="77777777" w:rsidR="007C0834" w:rsidRDefault="007C0834" w:rsidP="007C0834">
      <w:pPr>
        <w:pStyle w:val="NoSpacing"/>
      </w:pPr>
    </w:p>
    <w:p w14:paraId="5455D8FA" w14:textId="77777777" w:rsidR="007C0834" w:rsidRDefault="007C0834" w:rsidP="007C0834">
      <w:pPr>
        <w:pStyle w:val="NoSpacing"/>
        <w:rPr>
          <w:b/>
          <w:bCs/>
        </w:rPr>
      </w:pPr>
      <w:r w:rsidRPr="00BC4B85">
        <w:rPr>
          <w:b/>
        </w:rPr>
        <w:t xml:space="preserve">Legal lesson learned: </w:t>
      </w:r>
      <w:r>
        <w:rPr>
          <w:b/>
        </w:rPr>
        <w:t xml:space="preserve">Case was not timely filed.  Review your protocol about transporting combative patients, handcuffed, face down with spit sock. </w:t>
      </w:r>
    </w:p>
    <w:p w14:paraId="7C71CE33" w14:textId="77777777" w:rsidR="007C0834" w:rsidRDefault="007C0834" w:rsidP="007C0834">
      <w:pPr>
        <w:pStyle w:val="NoSpacing"/>
        <w:rPr>
          <w:b/>
          <w:bCs/>
        </w:rPr>
      </w:pPr>
    </w:p>
    <w:p w14:paraId="3500837F" w14:textId="77777777" w:rsidR="007C0834" w:rsidRDefault="007C0834" w:rsidP="007C0834">
      <w:pPr>
        <w:pStyle w:val="NoSpacing"/>
        <w:rPr>
          <w:rFonts w:ascii="Arial Black" w:hAnsi="Arial Black"/>
          <w:sz w:val="28"/>
          <w:szCs w:val="28"/>
        </w:rPr>
      </w:pPr>
    </w:p>
    <w:p w14:paraId="7F18D8ED" w14:textId="70E45617" w:rsidR="009256C3" w:rsidRDefault="007C0834" w:rsidP="00004498">
      <w:pPr>
        <w:rPr>
          <w:rFonts w:ascii="Arial Black" w:hAnsi="Arial Black"/>
          <w:b/>
          <w:bCs/>
          <w:sz w:val="24"/>
          <w:szCs w:val="24"/>
        </w:rPr>
      </w:pPr>
      <w:r>
        <w:rPr>
          <w:rFonts w:ascii="Arial Black" w:hAnsi="Arial Black"/>
          <w:b/>
          <w:bCs/>
          <w:sz w:val="24"/>
          <w:szCs w:val="24"/>
        </w:rPr>
        <w:t>13-</w:t>
      </w:r>
      <w:r w:rsidR="009256C3">
        <w:rPr>
          <w:rFonts w:ascii="Arial Black" w:hAnsi="Arial Black"/>
          <w:b/>
          <w:bCs/>
          <w:sz w:val="24"/>
          <w:szCs w:val="24"/>
        </w:rPr>
        <w:t>248</w:t>
      </w:r>
    </w:p>
    <w:p w14:paraId="4ACA8CD6" w14:textId="77777777" w:rsidR="009256C3" w:rsidRPr="008A6E9C" w:rsidRDefault="009256C3" w:rsidP="009256C3">
      <w:pPr>
        <w:pStyle w:val="NoSpacing"/>
        <w:rPr>
          <w:rFonts w:ascii="Arial Black" w:hAnsi="Arial Black"/>
          <w:b/>
          <w:sz w:val="28"/>
          <w:szCs w:val="28"/>
        </w:rPr>
      </w:pPr>
      <w:r>
        <w:rPr>
          <w:rFonts w:ascii="Arial Black" w:hAnsi="Arial Black"/>
          <w:b/>
          <w:sz w:val="28"/>
          <w:szCs w:val="28"/>
        </w:rPr>
        <w:t xml:space="preserve">CA: EMS DIVERTED BY HOSP - PREGNANT PT – EMTALA </w:t>
      </w:r>
    </w:p>
    <w:p w14:paraId="5789CEC6" w14:textId="77777777" w:rsidR="009256C3" w:rsidRDefault="009256C3" w:rsidP="009256C3">
      <w:pPr>
        <w:pStyle w:val="NoSpacing"/>
        <w:rPr>
          <w:b/>
        </w:rPr>
      </w:pPr>
    </w:p>
    <w:p w14:paraId="5CCE6462" w14:textId="77777777" w:rsidR="009256C3" w:rsidRDefault="009256C3" w:rsidP="009256C3">
      <w:pPr>
        <w:pStyle w:val="NoSpacing"/>
        <w:rPr>
          <w:bCs/>
        </w:rPr>
      </w:pPr>
      <w:r>
        <w:t xml:space="preserve">On March 13, 2026 in </w:t>
      </w:r>
      <w:r w:rsidRPr="00134CC5">
        <w:rPr>
          <w:u w:val="single"/>
        </w:rPr>
        <w:t>Keiko Kawamura v. Mammoth Hospital, et al</w:t>
      </w:r>
      <w:r>
        <w:t xml:space="preserve">., U.S. Magistrate Judge has issued a Report and Recommendation to U.S. District Court judge, United States District Court for the Eastern District of California, that the lawsuit filed by pro se plaintiff (not represented by an attorney) may proceed against the Hospital under </w:t>
      </w:r>
      <w:r w:rsidRPr="008F7969">
        <w:t>Emergency Medical Treatment and Active Labor Act (EMTALA) because Mammoth Hospital failed to screen her under 42 U.S.C. § 1395dd(a) and failed to stabilize her under § 1395dd(b).</w:t>
      </w:r>
      <w:r>
        <w:t xml:space="preserve">  However, the EMTALA does not provide for litigation against any individual doctors.  She claims the ambulance was three minutes from the hospital, in third stage of labor and EMS were directed to take her to another hospital, </w:t>
      </w:r>
      <w:r w:rsidRPr="000F6DB1">
        <w:t>resulting in an almost 2-hour delay between when EMS personnel</w:t>
      </w:r>
      <w:r>
        <w:t xml:space="preserve"> first</w:t>
      </w:r>
      <w:r w:rsidRPr="000F6DB1">
        <w:t xml:space="preserve"> </w:t>
      </w:r>
      <w:proofErr w:type="gramStart"/>
      <w:r w:rsidRPr="000F6DB1">
        <w:t>made contact with</w:t>
      </w:r>
      <w:proofErr w:type="gramEnd"/>
      <w:r w:rsidRPr="000F6DB1">
        <w:t xml:space="preserve"> Plaintiff and the time </w:t>
      </w:r>
      <w:r>
        <w:t xml:space="preserve">physicians </w:t>
      </w:r>
      <w:r w:rsidRPr="000F6DB1">
        <w:t>evaluated her.</w:t>
      </w:r>
      <w:r>
        <w:t xml:space="preserve"> </w:t>
      </w:r>
      <w:hyperlink r:id="rId1991" w:history="1">
        <w:r w:rsidRPr="00502BCE">
          <w:rPr>
            <w:rStyle w:val="Hyperlink"/>
          </w:rPr>
          <w:t>https://cases.justia.com/federal/district-courts/california/caedce/1:2025cv00789/467494/25/0.pdf?ts=1773524860</w:t>
        </w:r>
      </w:hyperlink>
      <w:r>
        <w:t xml:space="preserve"> </w:t>
      </w:r>
    </w:p>
    <w:p w14:paraId="74EDF75D" w14:textId="77777777" w:rsidR="009256C3" w:rsidRDefault="009256C3" w:rsidP="009256C3">
      <w:pPr>
        <w:pStyle w:val="NoSpacing"/>
        <w:rPr>
          <w:bCs/>
        </w:rPr>
      </w:pPr>
    </w:p>
    <w:p w14:paraId="68379CF9" w14:textId="77777777" w:rsidR="009256C3" w:rsidRDefault="009256C3" w:rsidP="009256C3">
      <w:pPr>
        <w:pStyle w:val="NoSpacing"/>
        <w:rPr>
          <w:bCs/>
        </w:rPr>
      </w:pPr>
      <w:r>
        <w:t>THE COURT HELD: “</w:t>
      </w:r>
      <w:r w:rsidRPr="006A1EB3">
        <w:t>The Court has screened Plaintiff's second amended complaint and concludes that it sufficiently states a claim that Defendant Mammoth Hospital violated EMTALA, specifically that it failed to screen her under 42 U.S.C. § 1395dd(a) and failed to stabilize her under § 1395dd(b). However, the Court recommends that all other claims and Defendants be dismissed without further leave to amend.</w:t>
      </w:r>
    </w:p>
    <w:p w14:paraId="388DF5C4" w14:textId="77777777" w:rsidR="009256C3" w:rsidRDefault="009256C3" w:rsidP="009256C3">
      <w:pPr>
        <w:pStyle w:val="NoSpacing"/>
        <w:rPr>
          <w:bCs/>
        </w:rPr>
      </w:pPr>
    </w:p>
    <w:p w14:paraId="391A3CF7" w14:textId="77777777" w:rsidR="009256C3" w:rsidRDefault="009256C3" w:rsidP="009256C3">
      <w:pPr>
        <w:pStyle w:val="NoSpacing"/>
        <w:rPr>
          <w:bCs/>
        </w:rPr>
      </w:pPr>
      <w:r>
        <w:t>***</w:t>
      </w:r>
    </w:p>
    <w:p w14:paraId="3EA1A4A0" w14:textId="77777777" w:rsidR="009256C3" w:rsidRPr="000F6DB1" w:rsidRDefault="009256C3" w:rsidP="009256C3">
      <w:pPr>
        <w:pStyle w:val="NoSpacing"/>
      </w:pPr>
      <w:r w:rsidRPr="000F6DB1">
        <w:t>Moreover, Plaintiff's second amended complaint alleges that Plaintiff was approximately three minutes from Mammoth hospital while in labor</w:t>
      </w:r>
      <w:r>
        <w:t xml:space="preserve">…. </w:t>
      </w:r>
      <w:r w:rsidRPr="000F6DB1">
        <w:t xml:space="preserve">Communications between EMS services and Mammoth Hospital indicate that Mammoth Hospital knew that Plaintiff had an emergency medical condition, including “that Plaintiff was still in the third stage of labor, had not yet </w:t>
      </w:r>
    </w:p>
    <w:p w14:paraId="5A35603F" w14:textId="77777777" w:rsidR="009256C3" w:rsidRDefault="009256C3" w:rsidP="009256C3">
      <w:pPr>
        <w:pStyle w:val="NoSpacing"/>
        <w:rPr>
          <w:b/>
        </w:rPr>
      </w:pPr>
      <w:r w:rsidRPr="000F6DB1">
        <w:t>delivered the placenta, was actively hemorrhaging, and that the umbilical cord remained attached to the newborn.”</w:t>
      </w:r>
      <w:r>
        <w:t xml:space="preserve"> … </w:t>
      </w:r>
      <w:r w:rsidRPr="000F6DB1">
        <w:t xml:space="preserve">Despite knowing this, Mammoth Hospital declined to screen Plaintiff for medical care or provide stabilizing treatment, and instead diverted the ambulance that Plaintiff was </w:t>
      </w:r>
      <w:proofErr w:type="gramStart"/>
      <w:r w:rsidRPr="000F6DB1">
        <w:t>in to</w:t>
      </w:r>
      <w:proofErr w:type="gramEnd"/>
      <w:r w:rsidRPr="000F6DB1">
        <w:t xml:space="preserve"> NIHD,</w:t>
      </w:r>
      <w:r>
        <w:t xml:space="preserve"> [</w:t>
      </w:r>
      <w:r w:rsidRPr="00C45FE9">
        <w:t>Northern Inyo Healthcare District</w:t>
      </w:r>
      <w:r>
        <w:t xml:space="preserve">] </w:t>
      </w:r>
      <w:r w:rsidRPr="000F6DB1">
        <w:t xml:space="preserve">resulting in an almost 2-hour delay between when EMS personnel </w:t>
      </w:r>
      <w:proofErr w:type="gramStart"/>
      <w:r w:rsidRPr="000F6DB1">
        <w:t>made contact with</w:t>
      </w:r>
      <w:proofErr w:type="gramEnd"/>
      <w:r w:rsidRPr="000F6DB1">
        <w:t xml:space="preserve"> Plaintiff and the time NIHD evaluated her</w:t>
      </w:r>
      <w:r>
        <w:t xml:space="preserve">…. </w:t>
      </w:r>
      <w:r w:rsidRPr="000F6DB1">
        <w:t xml:space="preserve"> Liberally construing the allegations in Plaintiff's second amended complaint, the Court concludes that she has sufficiently stated a claim against Defendant Mammoth Hospital for violation of 42 U.S.C. § § 1395dd(a) and (b) to proceed past screening. </w:t>
      </w:r>
    </w:p>
    <w:p w14:paraId="4CBA2DB9" w14:textId="77777777" w:rsidR="009256C3" w:rsidRDefault="009256C3" w:rsidP="009256C3">
      <w:pPr>
        <w:pStyle w:val="NoSpacing"/>
        <w:rPr>
          <w:b/>
        </w:rPr>
      </w:pPr>
    </w:p>
    <w:p w14:paraId="1D78EE12" w14:textId="77777777" w:rsidR="009256C3" w:rsidRDefault="009256C3" w:rsidP="009256C3">
      <w:pPr>
        <w:pStyle w:val="NoSpacing"/>
      </w:pPr>
      <w:r w:rsidRPr="00F525DB">
        <w:t>However, as noted in the Court's previous screening order, because a private EMTALA right of action is authorized as to “a participating hospital's violation” under 42 U.S.C.A. § 1395dd(d)(2)(A), Plaintiff cannot sue non-hospital Defendants, i.e., Dr. Howell, Tom Parker, and Does 1-10.</w:t>
      </w:r>
      <w:r>
        <w:t>”</w:t>
      </w:r>
    </w:p>
    <w:p w14:paraId="4351F68A" w14:textId="77777777" w:rsidR="009256C3" w:rsidRDefault="009256C3" w:rsidP="009256C3">
      <w:pPr>
        <w:pStyle w:val="NoSpacing"/>
      </w:pPr>
    </w:p>
    <w:p w14:paraId="3A6BE958" w14:textId="77777777" w:rsidR="009256C3" w:rsidRDefault="009256C3" w:rsidP="009256C3">
      <w:pPr>
        <w:pStyle w:val="NoSpacing"/>
        <w:rPr>
          <w:b/>
          <w:bCs/>
        </w:rPr>
      </w:pPr>
      <w:r w:rsidRPr="00EA02A3">
        <w:rPr>
          <w:b/>
        </w:rPr>
        <w:t xml:space="preserve">Legal lesson learned: </w:t>
      </w:r>
      <w:r>
        <w:rPr>
          <w:b/>
        </w:rPr>
        <w:t>The case will now proceed to pre-trial discovery with the hospital.</w:t>
      </w:r>
    </w:p>
    <w:p w14:paraId="58E3AD4F" w14:textId="77777777" w:rsidR="009256C3" w:rsidRDefault="009256C3" w:rsidP="009256C3">
      <w:pPr>
        <w:pStyle w:val="NoSpacing"/>
        <w:rPr>
          <w:b/>
          <w:bCs/>
        </w:rPr>
      </w:pPr>
    </w:p>
    <w:p w14:paraId="317C8F75" w14:textId="77777777" w:rsidR="009256C3" w:rsidRPr="001F7B5B" w:rsidRDefault="009256C3" w:rsidP="009256C3">
      <w:pPr>
        <w:pStyle w:val="NoSpacing"/>
        <w:ind w:left="720"/>
      </w:pPr>
      <w:r w:rsidRPr="00BA4F71">
        <w:t>Note: Plaintiff also claimed a HIPAA violation.</w:t>
      </w:r>
      <w:r>
        <w:rPr>
          <w:b/>
        </w:rPr>
        <w:t xml:space="preserve"> “</w:t>
      </w:r>
      <w:r w:rsidRPr="001F7B5B">
        <w:t>In addition, Plaintiff's claims under HIPAA are subject to dismissal because, as the Court previously advised Plaintiff in the screening order, HIPAA does not authorize a private right of action for HIPAA violations.</w:t>
      </w:r>
      <w:r>
        <w:t>”</w:t>
      </w:r>
    </w:p>
    <w:p w14:paraId="789D6F7A" w14:textId="77777777" w:rsidR="009256C3" w:rsidRDefault="009256C3" w:rsidP="00004498">
      <w:pPr>
        <w:rPr>
          <w:rFonts w:ascii="Arial Black" w:hAnsi="Arial Black"/>
          <w:b/>
          <w:bCs/>
          <w:sz w:val="24"/>
          <w:szCs w:val="24"/>
        </w:rPr>
      </w:pPr>
    </w:p>
    <w:p w14:paraId="04DDD02E" w14:textId="77777777" w:rsidR="00B170D7" w:rsidRDefault="00B170D7" w:rsidP="00004498">
      <w:pPr>
        <w:rPr>
          <w:rFonts w:ascii="Arial Black" w:hAnsi="Arial Black"/>
          <w:b/>
          <w:bCs/>
          <w:sz w:val="24"/>
          <w:szCs w:val="24"/>
        </w:rPr>
      </w:pPr>
    </w:p>
    <w:p w14:paraId="1C4164B8" w14:textId="77777777" w:rsidR="00B170D7" w:rsidRDefault="00B170D7" w:rsidP="00004498">
      <w:pPr>
        <w:rPr>
          <w:rFonts w:ascii="Arial Black" w:hAnsi="Arial Black"/>
          <w:b/>
          <w:bCs/>
          <w:sz w:val="24"/>
          <w:szCs w:val="24"/>
        </w:rPr>
      </w:pPr>
    </w:p>
    <w:p w14:paraId="4EDE43A2" w14:textId="4C88195A" w:rsidR="0064577F" w:rsidRDefault="0064577F" w:rsidP="00004498">
      <w:pPr>
        <w:rPr>
          <w:rFonts w:ascii="Arial Black" w:hAnsi="Arial Black"/>
          <w:b/>
          <w:bCs/>
          <w:sz w:val="24"/>
          <w:szCs w:val="24"/>
        </w:rPr>
      </w:pPr>
      <w:r>
        <w:rPr>
          <w:rFonts w:ascii="Arial Black" w:hAnsi="Arial Black"/>
          <w:b/>
          <w:bCs/>
          <w:sz w:val="24"/>
          <w:szCs w:val="24"/>
        </w:rPr>
        <w:t>13-</w:t>
      </w:r>
      <w:r w:rsidR="00E6034E">
        <w:rPr>
          <w:rFonts w:ascii="Arial Black" w:hAnsi="Arial Black"/>
          <w:b/>
          <w:bCs/>
          <w:sz w:val="24"/>
          <w:szCs w:val="24"/>
        </w:rPr>
        <w:t>24</w:t>
      </w:r>
      <w:r w:rsidR="008D7CEA">
        <w:rPr>
          <w:rFonts w:ascii="Arial Black" w:hAnsi="Arial Black"/>
          <w:b/>
          <w:bCs/>
          <w:sz w:val="24"/>
          <w:szCs w:val="24"/>
        </w:rPr>
        <w:t>7</w:t>
      </w:r>
    </w:p>
    <w:p w14:paraId="096C4509" w14:textId="77777777" w:rsidR="00E6034E" w:rsidRPr="000E4586" w:rsidRDefault="00E6034E" w:rsidP="00E6034E">
      <w:pPr>
        <w:pStyle w:val="NoSpacing"/>
        <w:rPr>
          <w:rFonts w:ascii="Arial Black" w:hAnsi="Arial Black"/>
          <w:bCs/>
          <w:sz w:val="28"/>
          <w:szCs w:val="28"/>
        </w:rPr>
      </w:pPr>
      <w:r w:rsidRPr="000E4586">
        <w:rPr>
          <w:rFonts w:ascii="Arial Black" w:hAnsi="Arial Black"/>
          <w:sz w:val="28"/>
          <w:szCs w:val="28"/>
        </w:rPr>
        <w:t xml:space="preserve">NY: </w:t>
      </w:r>
      <w:r>
        <w:rPr>
          <w:rFonts w:ascii="Arial Black" w:hAnsi="Arial Black"/>
          <w:sz w:val="28"/>
          <w:szCs w:val="28"/>
        </w:rPr>
        <w:t>EMT LICENSE REVOKED – 26 PATIENTS / VITAL SIGNS</w:t>
      </w:r>
    </w:p>
    <w:p w14:paraId="19A112A9" w14:textId="77777777" w:rsidR="00E6034E" w:rsidRDefault="00E6034E" w:rsidP="00E6034E">
      <w:pPr>
        <w:pStyle w:val="NoSpacing"/>
      </w:pPr>
    </w:p>
    <w:p w14:paraId="53558D33" w14:textId="77777777" w:rsidR="00E6034E" w:rsidRDefault="00E6034E" w:rsidP="00E6034E">
      <w:pPr>
        <w:pStyle w:val="NoSpacing"/>
      </w:pPr>
      <w:r>
        <w:t xml:space="preserve">On February 26, 2026, in </w:t>
      </w:r>
      <w:r w:rsidRPr="0087051E">
        <w:rPr>
          <w:u w:val="single"/>
        </w:rPr>
        <w:t xml:space="preserve">In </w:t>
      </w:r>
      <w:proofErr w:type="gramStart"/>
      <w:r w:rsidRPr="0087051E">
        <w:rPr>
          <w:u w:val="single"/>
        </w:rPr>
        <w:t>The</w:t>
      </w:r>
      <w:proofErr w:type="gramEnd"/>
      <w:r w:rsidRPr="0087051E">
        <w:rPr>
          <w:u w:val="single"/>
        </w:rPr>
        <w:t xml:space="preserve"> Matter of Andrew P. DeWolf v. James McDonald, Commissioner of Health, et al</w:t>
      </w:r>
      <w:r>
        <w:t xml:space="preserve">., </w:t>
      </w:r>
      <w:r w:rsidRPr="001E064D">
        <w:t>the Supreme Court of New York, Third Department</w:t>
      </w:r>
      <w:r>
        <w:t xml:space="preserve"> held (5 to 0) that the revocation and $26,000 fine is supported by the administrative record (May 2024 and December 2024 final orders) and the appeal is moot.  </w:t>
      </w:r>
      <w:hyperlink r:id="rId1992" w:history="1">
        <w:r w:rsidRPr="000D51C6">
          <w:rPr>
            <w:rStyle w:val="Hyperlink"/>
          </w:rPr>
          <w:t>https://law.justia.com/cases/new-york/appellate-division-third-department/2026/cv-24-1117-cv-25-0151.html</w:t>
        </w:r>
      </w:hyperlink>
      <w:r>
        <w:t xml:space="preserve"> </w:t>
      </w:r>
    </w:p>
    <w:p w14:paraId="1416B306" w14:textId="77777777" w:rsidR="00E6034E" w:rsidRDefault="00E6034E" w:rsidP="00E6034E">
      <w:pPr>
        <w:pStyle w:val="NoSpacing"/>
      </w:pPr>
    </w:p>
    <w:p w14:paraId="45DEAA52" w14:textId="77777777" w:rsidR="00E6034E" w:rsidRDefault="00E6034E" w:rsidP="00E6034E">
      <w:pPr>
        <w:pStyle w:val="NoSpacing"/>
        <w:rPr>
          <w:bCs/>
        </w:rPr>
      </w:pPr>
      <w:r>
        <w:t>THE COURT HELD: “</w:t>
      </w:r>
      <w:r w:rsidRPr="00280636">
        <w:t xml:space="preserve">In June 2021, respondent Department of Health (hereinafter DOH) served petitioner with a notice of hearing and statement of charges, alleging that, between 2018 and 2019, petitioner endangered the lives of 26 patients in his care as an emergency medical technician (hereinafter EMT). </w:t>
      </w:r>
      <w:r w:rsidRPr="00280636">
        <w:rPr>
          <w:vertAlign w:val="superscript"/>
        </w:rPr>
        <w:t>[</w:t>
      </w:r>
      <w:bookmarkStart w:id="434" w:name="ftn.FN1"/>
      <w:r w:rsidRPr="00280636">
        <w:rPr>
          <w:bCs/>
          <w:vertAlign w:val="superscript"/>
        </w:rPr>
        <w:fldChar w:fldCharType="begin"/>
      </w:r>
      <w:r w:rsidRPr="00280636">
        <w:rPr>
          <w:vertAlign w:val="superscript"/>
        </w:rPr>
        <w:instrText>HYPERLINK "https://public.fastcase.com/" \l "FN1"</w:instrText>
      </w:r>
      <w:r w:rsidRPr="00280636">
        <w:rPr>
          <w:bCs/>
          <w:vertAlign w:val="superscript"/>
        </w:rPr>
      </w:r>
      <w:r w:rsidRPr="00280636">
        <w:rPr>
          <w:bCs/>
          <w:vertAlign w:val="superscript"/>
        </w:rPr>
        <w:fldChar w:fldCharType="separate"/>
      </w:r>
      <w:r w:rsidRPr="00280636">
        <w:rPr>
          <w:rStyle w:val="Hyperlink"/>
          <w:vertAlign w:val="superscript"/>
        </w:rPr>
        <w:t>1</w:t>
      </w:r>
      <w:r w:rsidRPr="00280636">
        <w:rPr>
          <w:bCs/>
        </w:rPr>
        <w:fldChar w:fldCharType="end"/>
      </w:r>
      <w:bookmarkEnd w:id="434"/>
      <w:r w:rsidRPr="00280636">
        <w:rPr>
          <w:vertAlign w:val="superscript"/>
        </w:rPr>
        <w:t>]</w:t>
      </w:r>
      <w:r w:rsidRPr="00280636">
        <w:t xml:space="preserve"> </w:t>
      </w:r>
    </w:p>
    <w:p w14:paraId="0A38EE06" w14:textId="77777777" w:rsidR="00E6034E" w:rsidRDefault="00E6034E" w:rsidP="00E6034E">
      <w:pPr>
        <w:pStyle w:val="NoSpacing"/>
        <w:rPr>
          <w:bCs/>
        </w:rPr>
      </w:pPr>
    </w:p>
    <w:p w14:paraId="451014AD" w14:textId="77777777" w:rsidR="00E6034E" w:rsidRPr="00280636" w:rsidRDefault="00E6034E" w:rsidP="00E6034E">
      <w:pPr>
        <w:pStyle w:val="NoSpacing"/>
        <w:ind w:left="720"/>
        <w:rPr>
          <w:bCs/>
        </w:rPr>
      </w:pPr>
      <w:r>
        <w:t xml:space="preserve">Footnote 1: </w:t>
      </w:r>
      <w:r w:rsidRPr="00280636">
        <w:t xml:space="preserve">DOH charged petitioner with 134 violations of basic and advanced life support treatment protocols; </w:t>
      </w:r>
      <w:proofErr w:type="gramStart"/>
      <w:r w:rsidRPr="00280636">
        <w:t>namely, that</w:t>
      </w:r>
      <w:proofErr w:type="gramEnd"/>
      <w:r w:rsidRPr="00280636">
        <w:t xml:space="preserve"> he failed to regularly monitor patients' vital signs, failed to follow instructions from supervising physicians and overdosed patients on various controlled substances.</w:t>
      </w:r>
    </w:p>
    <w:p w14:paraId="14F6090B" w14:textId="77777777" w:rsidR="00E6034E" w:rsidRDefault="00E6034E" w:rsidP="00E6034E">
      <w:pPr>
        <w:pStyle w:val="NoSpacing"/>
        <w:rPr>
          <w:bCs/>
        </w:rPr>
      </w:pPr>
    </w:p>
    <w:p w14:paraId="3DC59674" w14:textId="77777777" w:rsidR="00E6034E" w:rsidRDefault="00E6034E" w:rsidP="00E6034E">
      <w:pPr>
        <w:pStyle w:val="NoSpacing"/>
      </w:pPr>
      <w:r w:rsidRPr="00280636">
        <w:t>Petitioner contested the charges and, after an evidentiary hearing, an Administrative Law Judge (hereinafter ALJ) issued a report and recommendation that the charges be sustained, petitioner's EMT certification be revoked and he be fined $26,000</w:t>
      </w:r>
      <w:r>
        <w:t xml:space="preserve">…. </w:t>
      </w:r>
      <w:r w:rsidRPr="00F35C35">
        <w:t>Subsequently, in July 2024, respondent Commissioner of Health issued a final determination which adopted the ALJ's report and recommendation.</w:t>
      </w:r>
      <w:r>
        <w:t xml:space="preserve">” </w:t>
      </w:r>
    </w:p>
    <w:p w14:paraId="6029C777" w14:textId="77777777" w:rsidR="00E6034E" w:rsidRDefault="00E6034E" w:rsidP="00E6034E">
      <w:pPr>
        <w:pStyle w:val="NoSpacing"/>
      </w:pPr>
    </w:p>
    <w:p w14:paraId="3DD60C94" w14:textId="77777777" w:rsidR="00E6034E" w:rsidRPr="00BC60DC" w:rsidRDefault="00E6034E" w:rsidP="00E6034E">
      <w:pPr>
        <w:pStyle w:val="NoSpacing"/>
        <w:rPr>
          <w:b/>
          <w:bCs/>
        </w:rPr>
      </w:pPr>
      <w:r>
        <w:rPr>
          <w:b/>
        </w:rPr>
        <w:t xml:space="preserve">Legal lesson learned: EMTs must follow their protocol on monitoring patients’ vital signs </w:t>
      </w:r>
      <w:proofErr w:type="gramStart"/>
      <w:r>
        <w:rPr>
          <w:b/>
        </w:rPr>
        <w:t>and also</w:t>
      </w:r>
      <w:proofErr w:type="gramEnd"/>
      <w:r>
        <w:rPr>
          <w:b/>
        </w:rPr>
        <w:t xml:space="preserve"> follow medical directions.</w:t>
      </w:r>
    </w:p>
    <w:p w14:paraId="3E882E7D" w14:textId="77777777" w:rsidR="00E6034E" w:rsidRDefault="00E6034E" w:rsidP="00004498">
      <w:pPr>
        <w:rPr>
          <w:rFonts w:ascii="Arial Black" w:hAnsi="Arial Black"/>
          <w:b/>
          <w:bCs/>
          <w:sz w:val="24"/>
          <w:szCs w:val="24"/>
        </w:rPr>
      </w:pPr>
    </w:p>
    <w:p w14:paraId="7A6C1DD5" w14:textId="742EADA7" w:rsidR="0064577F" w:rsidRDefault="00A2043F" w:rsidP="00004498">
      <w:pPr>
        <w:rPr>
          <w:rFonts w:ascii="Arial Black" w:hAnsi="Arial Black"/>
          <w:b/>
          <w:bCs/>
          <w:sz w:val="24"/>
          <w:szCs w:val="24"/>
        </w:rPr>
      </w:pPr>
      <w:r>
        <w:rPr>
          <w:rFonts w:ascii="Arial Black" w:hAnsi="Arial Black"/>
          <w:b/>
          <w:bCs/>
          <w:sz w:val="24"/>
          <w:szCs w:val="24"/>
        </w:rPr>
        <w:t>13-24</w:t>
      </w:r>
      <w:r w:rsidR="008D7CEA">
        <w:rPr>
          <w:rFonts w:ascii="Arial Black" w:hAnsi="Arial Black"/>
          <w:b/>
          <w:bCs/>
          <w:sz w:val="24"/>
          <w:szCs w:val="24"/>
        </w:rPr>
        <w:t>6</w:t>
      </w:r>
    </w:p>
    <w:p w14:paraId="18E9DD20" w14:textId="77777777" w:rsidR="00A2043F" w:rsidRPr="00DB2B54" w:rsidRDefault="00A2043F" w:rsidP="00A2043F">
      <w:pPr>
        <w:pStyle w:val="NoSpacing"/>
        <w:rPr>
          <w:rFonts w:ascii="Arial Black" w:hAnsi="Arial Black"/>
          <w:b/>
          <w:sz w:val="28"/>
          <w:szCs w:val="28"/>
        </w:rPr>
      </w:pPr>
      <w:r>
        <w:rPr>
          <w:rFonts w:ascii="Arial Black" w:hAnsi="Arial Black"/>
          <w:b/>
          <w:sz w:val="28"/>
          <w:szCs w:val="28"/>
        </w:rPr>
        <w:t xml:space="preserve">TX: PATIENT FELL OFF COT – P’S EXPERT CAN BE A MEDIC </w:t>
      </w:r>
    </w:p>
    <w:p w14:paraId="5ED4DFB4" w14:textId="77777777" w:rsidR="00A2043F" w:rsidRDefault="00A2043F" w:rsidP="00A2043F">
      <w:pPr>
        <w:pStyle w:val="NoSpacing"/>
        <w:rPr>
          <w:b/>
        </w:rPr>
      </w:pPr>
    </w:p>
    <w:p w14:paraId="2796D662" w14:textId="77777777" w:rsidR="00A2043F" w:rsidRPr="000D6884" w:rsidRDefault="00A2043F" w:rsidP="00A2043F">
      <w:pPr>
        <w:pStyle w:val="NoSpacing"/>
        <w:rPr>
          <w:bCs/>
        </w:rPr>
      </w:pPr>
      <w:r>
        <w:t xml:space="preserve">On February 26, 2026, in </w:t>
      </w:r>
      <w:proofErr w:type="spellStart"/>
      <w:r w:rsidRPr="000D6884">
        <w:rPr>
          <w:u w:val="single"/>
        </w:rPr>
        <w:t>Medcare</w:t>
      </w:r>
      <w:proofErr w:type="spellEnd"/>
      <w:r w:rsidRPr="000D6884">
        <w:rPr>
          <w:u w:val="single"/>
        </w:rPr>
        <w:t xml:space="preserve"> EMS v. Carolina Flores</w:t>
      </w:r>
      <w:r>
        <w:t xml:space="preserve">, the </w:t>
      </w:r>
      <w:r w:rsidRPr="000D6884">
        <w:t>Court of Appeals of Texas, Thirteenth District, Corpus Christi-Edinburg</w:t>
      </w:r>
      <w:r>
        <w:t xml:space="preserve">, held (3 to 0) that the lawsuit may proceed since the plaintiff timely filed an expert’s report from a paramedic within the 120 days required under the Texas Medical Liability Act.  Trial court denied </w:t>
      </w:r>
      <w:proofErr w:type="spellStart"/>
      <w:r>
        <w:t>Medcare’s</w:t>
      </w:r>
      <w:proofErr w:type="spellEnd"/>
      <w:r>
        <w:t xml:space="preserve"> motion to dismiss, arguing the expert had to be a physician.  </w:t>
      </w:r>
      <w:hyperlink r:id="rId1993" w:history="1">
        <w:r w:rsidRPr="000D51C6">
          <w:rPr>
            <w:rStyle w:val="Hyperlink"/>
          </w:rPr>
          <w:t>https://cases.justia.com/texas/thirteenth-court-of-appeals/2026-13-25-00099-cv.pdf?ts=1772125541</w:t>
        </w:r>
      </w:hyperlink>
      <w:r>
        <w:t xml:space="preserve"> </w:t>
      </w:r>
    </w:p>
    <w:p w14:paraId="60AB26D8" w14:textId="77777777" w:rsidR="00A2043F" w:rsidRDefault="00A2043F" w:rsidP="00A2043F">
      <w:pPr>
        <w:pStyle w:val="NoSpacing"/>
        <w:rPr>
          <w:bCs/>
        </w:rPr>
      </w:pPr>
    </w:p>
    <w:p w14:paraId="20FE23FB" w14:textId="77777777" w:rsidR="00A2043F" w:rsidRDefault="00A2043F" w:rsidP="00A2043F">
      <w:pPr>
        <w:pStyle w:val="NoSpacing"/>
      </w:pPr>
      <w:r>
        <w:t>THE COURT HELD: “</w:t>
      </w:r>
      <w:r w:rsidRPr="00D3244C">
        <w:t xml:space="preserve">It is undisputed that </w:t>
      </w:r>
      <w:proofErr w:type="spellStart"/>
      <w:r w:rsidRPr="00D3244C">
        <w:t>Everlove</w:t>
      </w:r>
      <w:proofErr w:type="spellEnd"/>
      <w:r w:rsidRPr="00D3244C">
        <w:t xml:space="preserve"> was qualified to opine as to the standard of care</w:t>
      </w:r>
      <w:r>
        <w:t xml:space="preserve"> </w:t>
      </w:r>
      <w:r w:rsidRPr="00D3244C">
        <w:t xml:space="preserve">applicable to </w:t>
      </w:r>
      <w:proofErr w:type="spellStart"/>
      <w:r w:rsidRPr="00D3244C">
        <w:t>MedCare</w:t>
      </w:r>
      <w:proofErr w:type="spellEnd"/>
      <w:r>
        <w:t xml:space="preserve">…. </w:t>
      </w:r>
      <w:r w:rsidRPr="00C72FB6">
        <w:t xml:space="preserve">On December 9, 2021, Flores called emergency services after experiencing abdominal pain. A </w:t>
      </w:r>
      <w:proofErr w:type="spellStart"/>
      <w:r w:rsidRPr="00C72FB6">
        <w:t>MedCare</w:t>
      </w:r>
      <w:proofErr w:type="spellEnd"/>
      <w:r w:rsidRPr="00C72FB6">
        <w:t xml:space="preserve"> emergency medical technician (EMT) and paramedic arrived at her apartment and assessed her. Flores was subsequently placed and strapped onto a stretcher, which was wheeled from her apartment to the parking lot of Flores's apartment complex. Flores </w:t>
      </w:r>
      <w:proofErr w:type="gramStart"/>
      <w:r w:rsidRPr="00C72FB6">
        <w:t>was</w:t>
      </w:r>
      <w:proofErr w:type="gramEnd"/>
      <w:r w:rsidRPr="00C72FB6">
        <w:t xml:space="preserve"> left in the stretcher under the paramedic's supervision while the EMT moved the ambulance closer to Flores's location. Flores's stretcher ultimately tipped over, and she sustained injuries from the fall</w:t>
      </w:r>
      <w:r>
        <w:t xml:space="preserve">.  </w:t>
      </w:r>
      <w:r w:rsidRPr="00474CA1">
        <w:t xml:space="preserve">On December 20, 2022, Flores sent </w:t>
      </w:r>
      <w:proofErr w:type="spellStart"/>
      <w:r w:rsidRPr="00474CA1">
        <w:t>MedCare</w:t>
      </w:r>
      <w:proofErr w:type="spellEnd"/>
      <w:r w:rsidRPr="00474CA1">
        <w:t xml:space="preserve"> a pre-suit letter by certified mail which included an expert report authored by registered paramedic John B. </w:t>
      </w:r>
      <w:proofErr w:type="spellStart"/>
      <w:r w:rsidRPr="00474CA1">
        <w:t>Everlove</w:t>
      </w:r>
      <w:proofErr w:type="spellEnd"/>
      <w:r w:rsidRPr="00474CA1">
        <w:t xml:space="preserve">, as well as his curriculum vitae. In his report, </w:t>
      </w:r>
      <w:proofErr w:type="spellStart"/>
      <w:r w:rsidRPr="00474CA1">
        <w:t>Everlove</w:t>
      </w:r>
      <w:proofErr w:type="spellEnd"/>
      <w:r w:rsidRPr="00474CA1">
        <w:t xml:space="preserve"> described the standard of care applicable to </w:t>
      </w:r>
      <w:proofErr w:type="spellStart"/>
      <w:r w:rsidRPr="00474CA1">
        <w:t>MedCare</w:t>
      </w:r>
      <w:proofErr w:type="spellEnd"/>
      <w:r w:rsidRPr="00474CA1">
        <w:t xml:space="preserve"> and deviations from that standard by </w:t>
      </w:r>
      <w:proofErr w:type="spellStart"/>
      <w:r w:rsidRPr="00474CA1">
        <w:t>MedCare</w:t>
      </w:r>
      <w:proofErr w:type="spellEnd"/>
      <w:r w:rsidRPr="00474CA1">
        <w:t xml:space="preserve"> personnel concerning the </w:t>
      </w:r>
      <w:r>
        <w:t>‘</w:t>
      </w:r>
      <w:r w:rsidRPr="00474CA1">
        <w:t>care, treatment, and management of . . . Flores.</w:t>
      </w:r>
      <w:r>
        <w:t>’ ***</w:t>
      </w:r>
    </w:p>
    <w:p w14:paraId="50B72328" w14:textId="77777777" w:rsidR="00A2043F" w:rsidRPr="000D6884" w:rsidRDefault="00A2043F" w:rsidP="00A2043F">
      <w:pPr>
        <w:pStyle w:val="NoSpacing"/>
        <w:rPr>
          <w:bCs/>
        </w:rPr>
      </w:pPr>
      <w:r w:rsidRPr="009B7BDF">
        <w:t xml:space="preserve">It is undisputed that </w:t>
      </w:r>
      <w:proofErr w:type="spellStart"/>
      <w:r w:rsidRPr="009B7BDF">
        <w:t>Everlove</w:t>
      </w:r>
      <w:proofErr w:type="spellEnd"/>
      <w:r w:rsidRPr="009B7BDF">
        <w:t xml:space="preserve"> was qualified to opine as to the standard of care applicable to </w:t>
      </w:r>
      <w:proofErr w:type="spellStart"/>
      <w:r w:rsidRPr="009B7BDF">
        <w:t>MedCare</w:t>
      </w:r>
      <w:proofErr w:type="spellEnd"/>
      <w:r w:rsidRPr="009B7BDF">
        <w:t xml:space="preserve">. </w:t>
      </w:r>
      <w:r w:rsidRPr="009B7BDF">
        <w:rPr>
          <w:i/>
          <w:iCs/>
        </w:rPr>
        <w:t>See</w:t>
      </w:r>
      <w:r w:rsidRPr="009B7BDF">
        <w:t xml:space="preserve"> Tex. Civ. </w:t>
      </w:r>
      <w:proofErr w:type="spellStart"/>
      <w:r w:rsidRPr="009B7BDF">
        <w:t>Prac</w:t>
      </w:r>
      <w:proofErr w:type="spellEnd"/>
      <w:r w:rsidRPr="009B7BDF">
        <w:t xml:space="preserve">. &amp; Rem. Code § 74.402. Moreover, </w:t>
      </w:r>
      <w:proofErr w:type="spellStart"/>
      <w:r w:rsidRPr="009B7BDF">
        <w:t>Everlove</w:t>
      </w:r>
      <w:proofErr w:type="spellEnd"/>
      <w:r w:rsidRPr="009B7BDF">
        <w:t xml:space="preserve"> opined in his report that </w:t>
      </w:r>
      <w:proofErr w:type="spellStart"/>
      <w:r w:rsidRPr="009B7BDF">
        <w:t>MedCare</w:t>
      </w:r>
      <w:proofErr w:type="spellEnd"/>
      <w:r w:rsidRPr="009B7BDF">
        <w:t xml:space="preserve"> personnel deviated from that standard concerning their "care, treatment, and management of . . . Flores." In other words, </w:t>
      </w:r>
      <w:proofErr w:type="spellStart"/>
      <w:r w:rsidRPr="009B7BDF">
        <w:t>Everlove</w:t>
      </w:r>
      <w:proofErr w:type="spellEnd"/>
      <w:r w:rsidRPr="009B7BDF">
        <w:t xml:space="preserve"> opined that </w:t>
      </w:r>
      <w:proofErr w:type="spellStart"/>
      <w:r w:rsidRPr="009B7BDF">
        <w:t>MedCare</w:t>
      </w:r>
      <w:proofErr w:type="spellEnd"/>
      <w:r w:rsidRPr="009B7BDF">
        <w:t xml:space="preserve"> was negligent. Accordingly, we hold that </w:t>
      </w:r>
      <w:proofErr w:type="spellStart"/>
      <w:r w:rsidRPr="009B7BDF">
        <w:t>Everlove's</w:t>
      </w:r>
      <w:proofErr w:type="spellEnd"/>
      <w:r w:rsidRPr="009B7BDF">
        <w:t xml:space="preserve"> report constitutes a statement of opinion by an individual with expertise indicating that the claim asserted by Flores against </w:t>
      </w:r>
      <w:proofErr w:type="spellStart"/>
      <w:r w:rsidRPr="009B7BDF">
        <w:t>MedCare</w:t>
      </w:r>
      <w:proofErr w:type="spellEnd"/>
      <w:r w:rsidRPr="009B7BDF">
        <w:t xml:space="preserve"> has merit.</w:t>
      </w:r>
      <w:r>
        <w:t xml:space="preserve">”  </w:t>
      </w:r>
    </w:p>
    <w:p w14:paraId="1CCCA09B" w14:textId="77777777" w:rsidR="00A2043F" w:rsidRDefault="00A2043F" w:rsidP="00A2043F">
      <w:pPr>
        <w:pStyle w:val="NoSpacing"/>
        <w:rPr>
          <w:bCs/>
        </w:rPr>
      </w:pPr>
    </w:p>
    <w:p w14:paraId="713A2370" w14:textId="77777777" w:rsidR="00A2043F" w:rsidRDefault="00A2043F" w:rsidP="00A2043F">
      <w:pPr>
        <w:pStyle w:val="NoSpacing"/>
        <w:rPr>
          <w:b/>
        </w:rPr>
      </w:pPr>
      <w:r>
        <w:rPr>
          <w:b/>
        </w:rPr>
        <w:t xml:space="preserve">Legal lesson learned:  This is yet another case of a patient falling off a cot and being injured. </w:t>
      </w:r>
    </w:p>
    <w:p w14:paraId="5E6E6451" w14:textId="77777777" w:rsidR="00A2043F" w:rsidRDefault="00A2043F" w:rsidP="00A2043F">
      <w:pPr>
        <w:pStyle w:val="NoSpacing"/>
        <w:rPr>
          <w:b/>
        </w:rPr>
      </w:pPr>
    </w:p>
    <w:p w14:paraId="381857B7" w14:textId="77777777" w:rsidR="00A2043F" w:rsidRDefault="00A2043F" w:rsidP="00004498">
      <w:pPr>
        <w:rPr>
          <w:rFonts w:ascii="Arial Black" w:hAnsi="Arial Black"/>
          <w:b/>
          <w:bCs/>
          <w:sz w:val="24"/>
          <w:szCs w:val="24"/>
        </w:rPr>
      </w:pPr>
    </w:p>
    <w:p w14:paraId="3BD1F70E" w14:textId="2213E646" w:rsidR="008D7CEA" w:rsidRDefault="008D7CEA" w:rsidP="00004498">
      <w:pPr>
        <w:rPr>
          <w:rFonts w:ascii="Arial Black" w:hAnsi="Arial Black"/>
          <w:b/>
          <w:bCs/>
          <w:sz w:val="24"/>
          <w:szCs w:val="24"/>
        </w:rPr>
      </w:pPr>
      <w:r>
        <w:rPr>
          <w:rFonts w:ascii="Arial Black" w:hAnsi="Arial Black"/>
          <w:b/>
          <w:bCs/>
          <w:sz w:val="24"/>
          <w:szCs w:val="24"/>
        </w:rPr>
        <w:t>13-245</w:t>
      </w:r>
    </w:p>
    <w:p w14:paraId="01A6D54F" w14:textId="77777777" w:rsidR="008D7CEA" w:rsidRDefault="008D7CEA" w:rsidP="008D7CEA">
      <w:pPr>
        <w:pStyle w:val="NoSpacing"/>
        <w:rPr>
          <w:rFonts w:ascii="Arial Black" w:hAnsi="Arial Black"/>
          <w:b/>
          <w:sz w:val="28"/>
          <w:szCs w:val="28"/>
        </w:rPr>
      </w:pPr>
      <w:r>
        <w:rPr>
          <w:rFonts w:ascii="Arial Black" w:hAnsi="Arial Black"/>
          <w:b/>
          <w:sz w:val="28"/>
          <w:szCs w:val="28"/>
        </w:rPr>
        <w:t xml:space="preserve">FL: B/C FIRED – REFUSED TO ISSUE COVID REPRIMANDS </w:t>
      </w:r>
    </w:p>
    <w:p w14:paraId="7851E63A" w14:textId="77777777" w:rsidR="008D7CEA" w:rsidRDefault="008D7CEA" w:rsidP="008D7CEA">
      <w:pPr>
        <w:pStyle w:val="NoSpacing"/>
        <w:rPr>
          <w:rFonts w:ascii="Arial Black" w:hAnsi="Arial Black"/>
          <w:b/>
          <w:sz w:val="28"/>
          <w:szCs w:val="28"/>
        </w:rPr>
      </w:pPr>
    </w:p>
    <w:p w14:paraId="78FA378E" w14:textId="77777777" w:rsidR="008D7CEA" w:rsidRDefault="008D7CEA" w:rsidP="008D7CEA">
      <w:pPr>
        <w:pStyle w:val="NoSpacing"/>
        <w:rPr>
          <w:bCs/>
        </w:rPr>
      </w:pPr>
      <w:r>
        <w:t xml:space="preserve">On February 13, 2026, in </w:t>
      </w:r>
      <w:r w:rsidRPr="00805F39">
        <w:rPr>
          <w:u w:val="single"/>
        </w:rPr>
        <w:t>Stephen M. Davis v. Orange County</w:t>
      </w:r>
      <w:r>
        <w:t xml:space="preserve">, the United States Court of Appeals for the Eleventh Circuit (Atlanta) held (3 to 0; unpublished decision) that his lawsuit was properly dismissed.  </w:t>
      </w:r>
      <w:r w:rsidRPr="00CD2C4C">
        <w:t xml:space="preserve">Davis worked for the department for 15 years and advanced through the ranks to battalion chief. In 2021, Davis was terminated after he did not reprimand department personnel who refused the Orange County’s mandated COVID-19 vaccine. </w:t>
      </w:r>
      <w:r>
        <w:t xml:space="preserve"> Davis has failed to allege an” objectively reasonable” belief that issuing the written reprimands to firefighters who hadn’t timely provided a vaccination certificate or exemption request, because the union had negotiated an MOU with the County that COVID reprimands could not be considered or used in a union member’s performance evaluation, and that no further disciplinary action could be taken against employees who didn’t file a timely vaccination certificate or exemption request. </w:t>
      </w:r>
      <w:hyperlink r:id="rId1994" w:history="1">
        <w:r w:rsidRPr="002B0907">
          <w:rPr>
            <w:rStyle w:val="Hyperlink"/>
          </w:rPr>
          <w:t>https://www.govinfo.gov/content/pkg/USCOURTS-ca11-25-11434/pdf/USCOURTS-ca11-25-11434-0.pdf</w:t>
        </w:r>
      </w:hyperlink>
      <w:r>
        <w:t xml:space="preserve"> </w:t>
      </w:r>
    </w:p>
    <w:p w14:paraId="32322AF6" w14:textId="77777777" w:rsidR="008D7CEA" w:rsidRDefault="008D7CEA" w:rsidP="008D7CEA">
      <w:pPr>
        <w:pStyle w:val="NoSpacing"/>
        <w:rPr>
          <w:bCs/>
        </w:rPr>
      </w:pPr>
    </w:p>
    <w:p w14:paraId="49A6FA41" w14:textId="77777777" w:rsidR="008D7CEA" w:rsidRDefault="008D7CEA" w:rsidP="008D7CEA">
      <w:pPr>
        <w:pStyle w:val="NoSpacing"/>
      </w:pPr>
      <w:r>
        <w:t>THE COURT HELD: “It is undisputed that Davis’s termination was an adverse employment action caused by his refusal to issue reprimands for violations of the department’s COVID-19 policy, so this case comes down to whether that refusal was protected activity…. Here, Davis asserts that he believed the reprimands he was ordered to issue violated Title VII’s anti-discrimination provision. That belief wasn’t objectively reasonable….  The memorandum of understanding between the union representing Orange County firefighters and the county stated that the reprimands could not be considered or used in a union member’s performance</w:t>
      </w:r>
    </w:p>
    <w:p w14:paraId="25DB761E" w14:textId="77777777" w:rsidR="008D7CEA" w:rsidRDefault="008D7CEA" w:rsidP="008D7CEA">
      <w:pPr>
        <w:pStyle w:val="NoSpacing"/>
      </w:pPr>
      <w:r>
        <w:t xml:space="preserve">evaluation, and that no further disciplinary action could be taken against employees who didn’t file a timely vaccination certificate or exemption request. In other words, the reprimands were toothless—they themselves didn’t rise to the level of an adverse employment action, and a future adverse employment action couldn’t be based on them…. In other words, the reprimands were toothless—they themselves didn’t rise to the level of an adverse employment action, and a future adverse employment action couldn’t be based on them. </w:t>
      </w:r>
      <w:proofErr w:type="gramStart"/>
      <w:r>
        <w:t>So</w:t>
      </w:r>
      <w:proofErr w:type="gramEnd"/>
      <w:r>
        <w:t xml:space="preserve"> Davis has failed to allege an objectively reasonable belief that a written reprimand—that by its own terms could</w:t>
      </w:r>
    </w:p>
    <w:p w14:paraId="6F4F22F4" w14:textId="77777777" w:rsidR="008D7CEA" w:rsidRDefault="008D7CEA" w:rsidP="008D7CEA">
      <w:pPr>
        <w:pStyle w:val="NoSpacing"/>
      </w:pPr>
      <w:r>
        <w:t>not impact the terms or conditions of a firefighter’s employment— would disadvantage, harm, or make “worse off” his subordinates’ employment in any way.”</w:t>
      </w:r>
    </w:p>
    <w:p w14:paraId="49FCE479" w14:textId="77777777" w:rsidR="008D7CEA" w:rsidRDefault="008D7CEA" w:rsidP="008D7CEA">
      <w:pPr>
        <w:pStyle w:val="NoSpacing"/>
      </w:pPr>
    </w:p>
    <w:p w14:paraId="05D5DD49" w14:textId="77777777" w:rsidR="008D7CEA" w:rsidRDefault="008D7CEA" w:rsidP="008D7CEA">
      <w:pPr>
        <w:pStyle w:val="NoSpacing"/>
        <w:rPr>
          <w:b/>
          <w:bCs/>
        </w:rPr>
      </w:pPr>
      <w:r>
        <w:rPr>
          <w:b/>
        </w:rPr>
        <w:t>Legal lesson learned:  Davis should have consulted an employment layer before refusing to issue the COVID reprimands.</w:t>
      </w:r>
    </w:p>
    <w:p w14:paraId="7896FF80" w14:textId="77777777" w:rsidR="008D7CEA" w:rsidRDefault="008D7CEA" w:rsidP="008D7CEA">
      <w:pPr>
        <w:pStyle w:val="NoSpacing"/>
        <w:rPr>
          <w:b/>
          <w:bCs/>
        </w:rPr>
      </w:pPr>
    </w:p>
    <w:p w14:paraId="53D4C45D" w14:textId="77777777" w:rsidR="008D7CEA" w:rsidRDefault="008D7CEA" w:rsidP="008D7CEA">
      <w:pPr>
        <w:pStyle w:val="NoSpacing"/>
        <w:ind w:left="720"/>
      </w:pPr>
      <w:r>
        <w:t xml:space="preserve">Note: See June 15, </w:t>
      </w:r>
      <w:proofErr w:type="gramStart"/>
      <w:r>
        <w:t>2024</w:t>
      </w:r>
      <w:proofErr w:type="gramEnd"/>
      <w:r>
        <w:t xml:space="preserve"> article</w:t>
      </w:r>
      <w:r w:rsidRPr="001260AC">
        <w:rPr>
          <w:b/>
        </w:rPr>
        <w:t xml:space="preserve">: </w:t>
      </w:r>
      <w:r>
        <w:rPr>
          <w:b/>
        </w:rPr>
        <w:t>“</w:t>
      </w:r>
      <w:r w:rsidRPr="001260AC">
        <w:t>BREAKING: Former Orange County Fire Rescue battalion chief announces candidacy for County Commission District 1</w:t>
      </w:r>
      <w:r>
        <w:t xml:space="preserve">. </w:t>
      </w:r>
      <w:hyperlink r:id="rId1995" w:history="1">
        <w:r w:rsidRPr="002B0907">
          <w:rPr>
            <w:rStyle w:val="Hyperlink"/>
          </w:rPr>
          <w:t>https://www.orangeobserver.com/news/2024/jun/15/breaking-former-orange-county-fire-rescue-battalion-chief-announces-candidacy-for-county-commission-district-1/</w:t>
        </w:r>
      </w:hyperlink>
      <w:r>
        <w:t xml:space="preserve"> </w:t>
      </w:r>
    </w:p>
    <w:p w14:paraId="247E0F29" w14:textId="77777777" w:rsidR="008D7CEA" w:rsidRDefault="008D7CEA" w:rsidP="008D7CEA">
      <w:pPr>
        <w:pStyle w:val="NoSpacing"/>
        <w:ind w:left="720"/>
      </w:pPr>
    </w:p>
    <w:p w14:paraId="1318568A" w14:textId="77777777" w:rsidR="008D7CEA" w:rsidRPr="00A21182" w:rsidRDefault="008D7CEA" w:rsidP="008D7CEA">
      <w:pPr>
        <w:pStyle w:val="NoSpacing"/>
        <w:ind w:left="720"/>
      </w:pPr>
      <w:r>
        <w:t>“</w:t>
      </w:r>
      <w:r w:rsidRPr="00722EC8">
        <w:t xml:space="preserve">Stephen Davis, a former Orange County Fire Rescue battalion chief has filed as a qualified write-in candidate for the </w:t>
      </w:r>
      <w:proofErr w:type="gramStart"/>
      <w:r w:rsidRPr="00722EC8">
        <w:t>District</w:t>
      </w:r>
      <w:proofErr w:type="gramEnd"/>
      <w:r w:rsidRPr="00722EC8">
        <w:t xml:space="preserve"> 1 Orange County Commission seat.</w:t>
      </w:r>
      <w:r>
        <w:t xml:space="preserve"> </w:t>
      </w:r>
      <w:r w:rsidRPr="00722EC8">
        <w:t xml:space="preserve">Davis joins incumbent Nicole Wilson and challenger Austin Arthur in the race. </w:t>
      </w:r>
      <w:proofErr w:type="spellStart"/>
      <w:r w:rsidRPr="00722EC8">
        <w:t>Davis’</w:t>
      </w:r>
      <w:proofErr w:type="spellEnd"/>
      <w:r w:rsidRPr="00722EC8">
        <w:t xml:space="preserve"> candidacy also moves the race from November general election up to the primary ballot, Aug. 20.</w:t>
      </w:r>
      <w:r>
        <w:t xml:space="preserve"> </w:t>
      </w:r>
      <w:r w:rsidRPr="00722EC8">
        <w:t xml:space="preserve">If one candidate gets 50% plus one vote in the primary, that person wins the seat, Orange County Supervisor of Elections Public Information Officer Christopher Heath said. </w:t>
      </w:r>
      <w:r>
        <w:t xml:space="preserve"> </w:t>
      </w:r>
      <w:r w:rsidRPr="00722EC8">
        <w:t>Davis worked for the department for 15 years and advanced through the ranks to battalion chief. In 2021, Davis was terminated after he did not reprimand department personnel who refused the Orange County’s mandated COVID-19 vaccine.</w:t>
      </w:r>
      <w:r w:rsidRPr="00A21182">
        <w:rPr>
          <w:rFonts w:eastAsia="Times New Roman"/>
        </w:rPr>
        <w:t xml:space="preserve"> </w:t>
      </w:r>
      <w:r w:rsidRPr="00A21182">
        <w:t xml:space="preserve">He later filed a lawsuit against the county for wrongful termination </w:t>
      </w:r>
      <w:proofErr w:type="gramStart"/>
      <w:r w:rsidRPr="00A21182">
        <w:t>and also</w:t>
      </w:r>
      <w:proofErr w:type="gramEnd"/>
      <w:r w:rsidRPr="00A21182">
        <w:t xml:space="preserve"> has written a book about his experience.</w:t>
      </w:r>
      <w:r>
        <w:t xml:space="preserve"> ‘</w:t>
      </w:r>
      <w:r w:rsidRPr="00A21182">
        <w:t>History has now proven Orange County was wrong to mandate the so-called vaccine,</w:t>
      </w:r>
      <w:r>
        <w:t>’</w:t>
      </w:r>
      <w:r w:rsidRPr="00A21182">
        <w:t xml:space="preserve"> Davis said. </w:t>
      </w:r>
      <w:r>
        <w:t>‘</w:t>
      </w:r>
      <w:r w:rsidRPr="00A21182">
        <w:t>It did not stop the spread. Worse, Commissioner Nicole Wilson ridiculed and showed disdain for the firefighters who refused it. That’s why I’m running — to make sure this issue does not go away.</w:t>
      </w:r>
      <w:r>
        <w:t>’”</w:t>
      </w:r>
    </w:p>
    <w:p w14:paraId="7943B121" w14:textId="77777777" w:rsidR="00DB1FBE" w:rsidRDefault="00DB1FBE" w:rsidP="00004498">
      <w:pPr>
        <w:rPr>
          <w:rFonts w:ascii="Arial Black" w:hAnsi="Arial Black"/>
          <w:b/>
          <w:bCs/>
          <w:sz w:val="24"/>
          <w:szCs w:val="24"/>
        </w:rPr>
      </w:pPr>
    </w:p>
    <w:p w14:paraId="58697735" w14:textId="77777777" w:rsidR="00DB1FBE" w:rsidRDefault="00DB1FBE" w:rsidP="00004498">
      <w:pPr>
        <w:rPr>
          <w:rFonts w:ascii="Arial Black" w:hAnsi="Arial Black"/>
          <w:b/>
          <w:bCs/>
          <w:sz w:val="24"/>
          <w:szCs w:val="24"/>
        </w:rPr>
      </w:pPr>
    </w:p>
    <w:p w14:paraId="039E4D67" w14:textId="42AA3F76" w:rsidR="00F448F2" w:rsidRDefault="00F448F2" w:rsidP="00004498">
      <w:pPr>
        <w:rPr>
          <w:rFonts w:ascii="Arial Black" w:hAnsi="Arial Black"/>
          <w:b/>
          <w:bCs/>
          <w:sz w:val="24"/>
          <w:szCs w:val="24"/>
        </w:rPr>
      </w:pPr>
      <w:r>
        <w:rPr>
          <w:rFonts w:ascii="Arial Black" w:hAnsi="Arial Black"/>
          <w:b/>
          <w:bCs/>
          <w:sz w:val="24"/>
          <w:szCs w:val="24"/>
        </w:rPr>
        <w:t>13-244</w:t>
      </w:r>
    </w:p>
    <w:p w14:paraId="4FC97D69" w14:textId="77777777" w:rsidR="00F448F2" w:rsidRPr="005A0B1B" w:rsidRDefault="00F448F2" w:rsidP="00F448F2">
      <w:pPr>
        <w:pStyle w:val="NoSpacing"/>
        <w:rPr>
          <w:rFonts w:ascii="Arial Black" w:hAnsi="Arial Black"/>
          <w:b/>
          <w:sz w:val="28"/>
          <w:szCs w:val="28"/>
        </w:rPr>
      </w:pPr>
      <w:r>
        <w:rPr>
          <w:rFonts w:ascii="Arial Black" w:hAnsi="Arial Black"/>
          <w:b/>
          <w:sz w:val="28"/>
          <w:szCs w:val="28"/>
        </w:rPr>
        <w:t>MA: 8-MO CHILD – 2 EMTs DIDN’T CANCEL ALS – NO CASE</w:t>
      </w:r>
    </w:p>
    <w:p w14:paraId="7FDD11F0" w14:textId="77777777" w:rsidR="00F448F2" w:rsidRDefault="00F448F2" w:rsidP="00F448F2">
      <w:pPr>
        <w:pStyle w:val="NoSpacing"/>
        <w:rPr>
          <w:b/>
        </w:rPr>
      </w:pPr>
    </w:p>
    <w:p w14:paraId="5F061A7F" w14:textId="77777777" w:rsidR="00F448F2" w:rsidRDefault="00F448F2" w:rsidP="00F448F2">
      <w:pPr>
        <w:pStyle w:val="NoSpacing"/>
      </w:pPr>
      <w:r>
        <w:t xml:space="preserve">On February 6, 2026, in </w:t>
      </w:r>
      <w:r w:rsidRPr="00A658F9">
        <w:rPr>
          <w:u w:val="single"/>
        </w:rPr>
        <w:t>Matthew Lincoff and Taylor Lincoff, co-personal representatives of the estate of Landon Lincoff v. Town of Topsfield, et al</w:t>
      </w:r>
      <w:r>
        <w:t xml:space="preserve">., U.S. District Court Judge Brian E. Murphy, </w:t>
      </w:r>
    </w:p>
    <w:p w14:paraId="08337326" w14:textId="77777777" w:rsidR="00F448F2" w:rsidRDefault="00F448F2" w:rsidP="00F448F2">
      <w:pPr>
        <w:pStyle w:val="NoSpacing"/>
      </w:pPr>
      <w:r w:rsidRPr="00B672B3">
        <w:t>United States District Court for the District of Massachusetts</w:t>
      </w:r>
      <w:r>
        <w:t xml:space="preserve"> granted the defendants motion to dismiss federal case; there no proof that the Town’s policy in 2020 to handle their own EMS transports, with mutual aid ALS back up, led to a practice of cancelling ALS mutual aid. In the </w:t>
      </w:r>
      <w:r w:rsidRPr="00B73581">
        <w:t xml:space="preserve">early hours of June 5, 2021, eight-month-old Landon stopped breathing at </w:t>
      </w:r>
      <w:proofErr w:type="gramStart"/>
      <w:r w:rsidRPr="00B73581">
        <w:t>his home</w:t>
      </w:r>
      <w:proofErr w:type="gramEnd"/>
      <w:r w:rsidRPr="00B73581">
        <w:t xml:space="preserve"> after having been sick with a cough and respiratory illness in the preceding days.</w:t>
      </w:r>
      <w:r>
        <w:t xml:space="preserve"> </w:t>
      </w:r>
      <w:r w:rsidRPr="0005295A">
        <w:t xml:space="preserve">Two Topsfield </w:t>
      </w:r>
      <w:r>
        <w:t xml:space="preserve">police </w:t>
      </w:r>
      <w:r w:rsidRPr="0005295A">
        <w:t xml:space="preserve">officers arrived at the residence around 2:11 a.m. </w:t>
      </w:r>
      <w:r>
        <w:t xml:space="preserve">and </w:t>
      </w:r>
      <w:r w:rsidRPr="0005295A">
        <w:t>found Landon pulseless and not breathing.</w:t>
      </w:r>
      <w:r>
        <w:t xml:space="preserve">  At 2:12 am, off duty TDF paramedic </w:t>
      </w:r>
      <w:r w:rsidRPr="00064812">
        <w:t>Jonathan Hallina</w:t>
      </w:r>
      <w:r>
        <w:t xml:space="preserve">n heard the call at home, requested mutual aid and drove to the fire station, while two EMT-Basics at the station responded in ambulance and arrived at </w:t>
      </w:r>
      <w:r w:rsidRPr="00A24981">
        <w:t>2:16 a.m.</w:t>
      </w:r>
      <w:r>
        <w:t xml:space="preserve">, and departed for </w:t>
      </w:r>
      <w:r w:rsidRPr="009A12DF">
        <w:t xml:space="preserve">Beverly Hospital </w:t>
      </w:r>
      <w:r>
        <w:t xml:space="preserve">at 2:19 pm </w:t>
      </w:r>
      <w:r w:rsidRPr="009A12DF">
        <w:t>with a police escor</w:t>
      </w:r>
      <w:r>
        <w:t xml:space="preserve">t, along with Mrs. </w:t>
      </w:r>
      <w:proofErr w:type="spellStart"/>
      <w:r>
        <w:t>Lincoff</w:t>
      </w:r>
      <w:proofErr w:type="spellEnd"/>
      <w:r>
        <w:t xml:space="preserve"> on board. At 2:22 the ambulance picked up Paramedic </w:t>
      </w:r>
      <w:r w:rsidRPr="00064812">
        <w:t>Hallina</w:t>
      </w:r>
      <w:r>
        <w:t xml:space="preserve">n and at </w:t>
      </w:r>
      <w:r w:rsidRPr="00B62E7F">
        <w:t xml:space="preserve">2:23 a.m., picked up </w:t>
      </w:r>
      <w:r>
        <w:t xml:space="preserve">Lt. Paramedic </w:t>
      </w:r>
      <w:r w:rsidRPr="00472E7E">
        <w:t>John Boyle</w:t>
      </w:r>
      <w:r>
        <w:t xml:space="preserve"> and went to hospital. The mutual aid ambulance from </w:t>
      </w:r>
      <w:r w:rsidRPr="001C5499">
        <w:t>Northeast Regional Ambulance Service (</w:t>
      </w:r>
      <w:r>
        <w:t>‘</w:t>
      </w:r>
      <w:r w:rsidRPr="001C5499">
        <w:t>NRAS</w:t>
      </w:r>
      <w:r>
        <w:t>’</w:t>
      </w:r>
      <w:r w:rsidRPr="001C5499">
        <w:t>)</w:t>
      </w:r>
      <w:r>
        <w:t xml:space="preserve"> was not needed – but advised they w</w:t>
      </w:r>
      <w:r w:rsidRPr="006B140B">
        <w:t xml:space="preserve">ould “be coming down </w:t>
      </w:r>
      <w:r>
        <w:t>[R</w:t>
      </w:r>
      <w:r w:rsidRPr="006B140B">
        <w:t xml:space="preserve">oute] 97 also, we will intercept you as easy as possible. If you do not need to stop, </w:t>
      </w:r>
      <w:proofErr w:type="gramStart"/>
      <w:r w:rsidRPr="006B140B">
        <w:t>continue on</w:t>
      </w:r>
      <w:proofErr w:type="gramEnd"/>
      <w:r w:rsidRPr="006B140B">
        <w:t>, we will stop if you need to.”</w:t>
      </w:r>
      <w:r>
        <w:t xml:space="preserve"> </w:t>
      </w:r>
      <w:hyperlink r:id="rId1996" w:history="1">
        <w:r w:rsidRPr="00C72C21">
          <w:rPr>
            <w:rStyle w:val="Hyperlink"/>
          </w:rPr>
          <w:t>https://cases.justia.com/federal/district-courts/massachusetts/madce/1:2023cv12125/261357/75/0.pdf?ts=1770465752</w:t>
        </w:r>
      </w:hyperlink>
      <w:r>
        <w:t xml:space="preserve"> </w:t>
      </w:r>
    </w:p>
    <w:p w14:paraId="38D539B1" w14:textId="77777777" w:rsidR="00F448F2" w:rsidRDefault="00F448F2" w:rsidP="00F448F2">
      <w:pPr>
        <w:pStyle w:val="NoSpacing"/>
      </w:pPr>
    </w:p>
    <w:p w14:paraId="671320AD" w14:textId="77777777" w:rsidR="00F448F2" w:rsidRDefault="00F448F2" w:rsidP="00F448F2">
      <w:pPr>
        <w:pStyle w:val="NoSpacing"/>
      </w:pPr>
      <w:r>
        <w:t>THE COURT HELD: “</w:t>
      </w:r>
      <w:r w:rsidRPr="005C6982">
        <w:t>Since 2020, TFD has been the primary transport service, though the Town maintains agreements with other emergency first responder services to provide backup emergency services</w:t>
      </w:r>
      <w:r>
        <w:t xml:space="preserve">…. </w:t>
      </w:r>
      <w:r w:rsidRPr="005C6982">
        <w:t xml:space="preserve"> Backup emergency services are available via an </w:t>
      </w:r>
      <w:r>
        <w:t>‘</w:t>
      </w:r>
      <w:r w:rsidRPr="005C6982">
        <w:t>intercept,</w:t>
      </w:r>
      <w:r>
        <w:t>’</w:t>
      </w:r>
      <w:r w:rsidRPr="005C6982">
        <w:t xml:space="preserve"> which refers to any ambulance or individual dispatched for the purpose of supplementing staff</w:t>
      </w:r>
      <w:r>
        <w:t xml:space="preserve">…. </w:t>
      </w:r>
      <w:r w:rsidRPr="00A45B59">
        <w:t>One such service is Northeast Regional Ambulance Service (</w:t>
      </w:r>
      <w:r>
        <w:t>‘</w:t>
      </w:r>
      <w:r w:rsidRPr="00A45B59">
        <w:t>NRAS</w:t>
      </w:r>
      <w:r>
        <w:t>’</w:t>
      </w:r>
      <w:r w:rsidRPr="00A45B59">
        <w:t>)</w:t>
      </w:r>
      <w:r>
        <w:t xml:space="preserve">…. </w:t>
      </w:r>
      <w:r w:rsidRPr="00A45B59">
        <w:t>The Town claims to have decided to make TFD the primary transportation service because when NRAS was the primary transport provider, NRAS's delayed response time would result in TFD personnel arriving to provide services but then needing to wait for NRAS to arrive to make the transport</w:t>
      </w:r>
      <w:r>
        <w:t>….</w:t>
      </w:r>
      <w:r w:rsidRPr="00A45B59">
        <w:t>The Town experienced additional difficulties relying on NRAS's staffing of ambulances, including sending BLS services instead of ALS</w:t>
      </w:r>
      <w:r>
        <w:t xml:space="preserve">…. </w:t>
      </w:r>
      <w:r w:rsidRPr="00101460">
        <w:t>Around the same time, Collins-Brown expressed a desire to ensure that TFD paramedics gain more experience in the field, to provide better and faster care to Topsfield residents.</w:t>
      </w:r>
      <w:r>
        <w:t xml:space="preserve"> *** </w:t>
      </w:r>
      <w:r w:rsidRPr="00E502A2">
        <w:t xml:space="preserve"> The </w:t>
      </w:r>
      <w:proofErr w:type="spellStart"/>
      <w:r w:rsidRPr="00E502A2">
        <w:t>Lincoffs</w:t>
      </w:r>
      <w:proofErr w:type="spellEnd"/>
      <w:r w:rsidRPr="00E502A2">
        <w:t xml:space="preserve"> contend that this preference became a policy or practice of cancelling NRAS intercepts to allow the TFD paramedics to gain more experience</w:t>
      </w:r>
      <w:r>
        <w:t xml:space="preserve">…. </w:t>
      </w:r>
      <w:r w:rsidRPr="00E502A2">
        <w:t xml:space="preserve">However, none of the TFD personnel involved in this case were aware of a policy or practice of cancelling intercepts for any reason other than because it was deemed unnecessary for patient care. </w:t>
      </w:r>
      <w:r>
        <w:t xml:space="preserve">*** </w:t>
      </w:r>
      <w:r w:rsidRPr="001607ED">
        <w:t>Based on the undisputed record before the Court, Boyle's actions cannot be said to have been deliberately indifferent to a substantial risk of serious harm.</w:t>
      </w:r>
      <w:r>
        <w:t>”</w:t>
      </w:r>
    </w:p>
    <w:p w14:paraId="63D983D5" w14:textId="77777777" w:rsidR="00F448F2" w:rsidRDefault="00F448F2" w:rsidP="00F448F2">
      <w:pPr>
        <w:pStyle w:val="NoSpacing"/>
      </w:pPr>
    </w:p>
    <w:p w14:paraId="2AA36D4E" w14:textId="77777777" w:rsidR="00F448F2" w:rsidRPr="00E502A2" w:rsidRDefault="00F448F2" w:rsidP="00F448F2">
      <w:pPr>
        <w:pStyle w:val="NoSpacing"/>
        <w:rPr>
          <w:b/>
          <w:bCs/>
        </w:rPr>
      </w:pPr>
      <w:r w:rsidRPr="00AD2716">
        <w:rPr>
          <w:b/>
        </w:rPr>
        <w:t xml:space="preserve">Legal lesson learned: </w:t>
      </w:r>
      <w:r>
        <w:rPr>
          <w:b/>
        </w:rPr>
        <w:t xml:space="preserve">There was no evidence of any of the EMS being “deliberate indifferent” to the needs of the patient. </w:t>
      </w:r>
    </w:p>
    <w:p w14:paraId="5AA50487" w14:textId="77777777" w:rsidR="00F448F2" w:rsidRPr="00A45B59" w:rsidRDefault="00F448F2" w:rsidP="00F448F2">
      <w:pPr>
        <w:pStyle w:val="NoSpacing"/>
      </w:pPr>
    </w:p>
    <w:p w14:paraId="0D48D4C6" w14:textId="77777777" w:rsidR="00F448F2" w:rsidRDefault="00F448F2" w:rsidP="00004498">
      <w:pPr>
        <w:rPr>
          <w:rFonts w:ascii="Arial Black" w:hAnsi="Arial Black"/>
          <w:b/>
          <w:bCs/>
          <w:sz w:val="24"/>
          <w:szCs w:val="24"/>
        </w:rPr>
      </w:pPr>
    </w:p>
    <w:p w14:paraId="2A36AC61" w14:textId="3AF748A3" w:rsidR="00BF6824" w:rsidRDefault="00BF6824" w:rsidP="00004498">
      <w:pPr>
        <w:rPr>
          <w:rFonts w:ascii="Arial Black" w:hAnsi="Arial Black"/>
          <w:b/>
          <w:bCs/>
          <w:sz w:val="24"/>
          <w:szCs w:val="24"/>
        </w:rPr>
      </w:pPr>
      <w:r>
        <w:rPr>
          <w:rFonts w:ascii="Arial Black" w:hAnsi="Arial Black"/>
          <w:b/>
          <w:bCs/>
          <w:sz w:val="24"/>
          <w:szCs w:val="24"/>
        </w:rPr>
        <w:t>13-243</w:t>
      </w:r>
    </w:p>
    <w:p w14:paraId="2E90720B" w14:textId="77777777" w:rsidR="00BF6824" w:rsidRPr="005D5832" w:rsidRDefault="00BF6824" w:rsidP="00BF6824">
      <w:pPr>
        <w:pStyle w:val="NoSpacing"/>
        <w:rPr>
          <w:rFonts w:ascii="Arial Black" w:hAnsi="Arial Black"/>
          <w:sz w:val="28"/>
          <w:szCs w:val="28"/>
        </w:rPr>
      </w:pPr>
      <w:r>
        <w:rPr>
          <w:rFonts w:ascii="Arial Black" w:hAnsi="Arial Black"/>
          <w:sz w:val="28"/>
          <w:szCs w:val="28"/>
        </w:rPr>
        <w:t>NY: COVID – FF CLAIM VAC FETAL CELLS – CASE PROCEED</w:t>
      </w:r>
    </w:p>
    <w:p w14:paraId="7673D1EE" w14:textId="77777777" w:rsidR="00BF6824" w:rsidRDefault="00BF6824" w:rsidP="00BF6824">
      <w:pPr>
        <w:pStyle w:val="NoSpacing"/>
      </w:pPr>
    </w:p>
    <w:p w14:paraId="544991AB" w14:textId="77777777" w:rsidR="00BF6824" w:rsidRDefault="00BF6824" w:rsidP="00BF6824">
      <w:pPr>
        <w:pStyle w:val="NoSpacing"/>
      </w:pPr>
      <w:r>
        <w:t xml:space="preserve">On February 2, 2026, in Salvatore Maita v. City of New York, U.S. Magistrate Judge Vera M. Scanlon, </w:t>
      </w:r>
      <w:r w:rsidRPr="00914791">
        <w:t>United States District Court for Eastern District of New York</w:t>
      </w:r>
      <w:r>
        <w:rPr>
          <w:b/>
        </w:rPr>
        <w:t xml:space="preserve">, </w:t>
      </w:r>
      <w:r w:rsidRPr="001B0201">
        <w:t xml:space="preserve">issued a Report and Recommendation </w:t>
      </w:r>
      <w:r>
        <w:t xml:space="preserve">that the lawsuit proceed to pre-trial discovery.  FDNY on November 1, </w:t>
      </w:r>
      <w:proofErr w:type="gramStart"/>
      <w:r>
        <w:t>2021</w:t>
      </w:r>
      <w:proofErr w:type="gramEnd"/>
      <w:r>
        <w:t xml:space="preserve"> he was placed on leave without pay; his request for accommodation because it was not based on his religion – Catholic – but on his claim the vaccination was “produced </w:t>
      </w:r>
      <w:r w:rsidRPr="006E2758">
        <w:t>researched, manufactured, and/or tested using aborted fetal cell lines</w:t>
      </w:r>
      <w:r>
        <w:t>.</w:t>
      </w:r>
      <w:r w:rsidRPr="006E2758">
        <w:t>”</w:t>
      </w:r>
      <w:r>
        <w:t xml:space="preserve"> He was fired on February 11, 2022. In 2023 he requested reinstatement, but it was denied on April 17, 2023 when he refused to sign a waiver </w:t>
      </w:r>
      <w:r w:rsidRPr="00300A52">
        <w:t>waiving his right to all backpay from the time he was placed on Leave Without Pay</w:t>
      </w:r>
      <w:r>
        <w:t xml:space="preserve">.  </w:t>
      </w:r>
      <w:hyperlink r:id="rId1997" w:history="1">
        <w:r w:rsidRPr="00125CD1">
          <w:rPr>
            <w:rStyle w:val="Hyperlink"/>
          </w:rPr>
          <w:t>https://public.fastcase.com/Jhe1Qn%2BmJndQYQU6z%2FeNm1LICE259A5ulYHxnw3lcJtDWEaUq57rExGHQXd3hU8EgaPHTdGS%2FRk5aoRP0crRKmeZauTqc6nD5gh3xIKTEMg%3D?utm_medium=email&amp;_hsenc=p2ANqtz-9zYvhQr5QF-kHvOgqVEwwEjeDJW6aa7G89aGppWtTq6GnIfdSTK1neKuS-jEFNuUA2B3hULaVGvwBQIPV_0qoJel6h4w&amp;_hsmi=226712652&amp;utm_content=226712652&amp;utm_source=hs_email</w:t>
        </w:r>
      </w:hyperlink>
      <w:r>
        <w:t xml:space="preserve"> </w:t>
      </w:r>
    </w:p>
    <w:p w14:paraId="256630DA" w14:textId="77777777" w:rsidR="00BF6824" w:rsidRDefault="00BF6824" w:rsidP="00BF6824">
      <w:pPr>
        <w:pStyle w:val="NoSpacing"/>
      </w:pPr>
    </w:p>
    <w:p w14:paraId="5C6CEBF7" w14:textId="77777777" w:rsidR="00BF6824" w:rsidRDefault="00BF6824" w:rsidP="00BF6824">
      <w:pPr>
        <w:pStyle w:val="NoSpacing"/>
      </w:pPr>
      <w:r>
        <w:t>THE COURT HELD:  “[Plaintiff claims] that</w:t>
      </w:r>
      <w:r w:rsidRPr="00106892">
        <w:t xml:space="preserve"> Defendant granted approximately 105 religious and medical accommodations to other employees of the FDNY, including </w:t>
      </w:r>
      <w:r>
        <w:t>‘</w:t>
      </w:r>
      <w:r w:rsidRPr="00106892">
        <w:t>active-duty firefighters,</w:t>
      </w:r>
      <w:r>
        <w:t>’</w:t>
      </w:r>
      <w:r w:rsidRPr="00106892">
        <w:t xml:space="preserve"> as of January 11, 2022, including at least thirty medical accommodations and at least six religious accommodations, and permitted them </w:t>
      </w:r>
      <w:r>
        <w:t>‘</w:t>
      </w:r>
      <w:r w:rsidRPr="00106892">
        <w:t>to submit to weekly PCR testing</w:t>
      </w:r>
      <w:r>
        <w:t>’</w:t>
      </w:r>
      <w:r w:rsidRPr="00106892">
        <w:t xml:space="preserve"> in lieu of receiving the COVID-19 vaccine, such that providing this accommodation was not an undue hardship, particularly given that only the initial dose was required, that </w:t>
      </w:r>
      <w:r>
        <w:t>‘</w:t>
      </w:r>
      <w:r w:rsidRPr="00106892">
        <w:t>[t]he COVID-19 vaccine does not cause prevention or [sic] transmission of the COVID-19 virus,</w:t>
      </w:r>
      <w:r>
        <w:t xml:space="preserve">’ </w:t>
      </w:r>
      <w:r w:rsidRPr="00106892">
        <w:t xml:space="preserve"> and that </w:t>
      </w:r>
      <w:r>
        <w:t>‘</w:t>
      </w:r>
      <w:r w:rsidRPr="00106892">
        <w:t>vaccinated and unvaccinated people infected with COVID-19</w:t>
      </w:r>
      <w:r>
        <w:t>’</w:t>
      </w:r>
      <w:r w:rsidRPr="00106892">
        <w:t xml:space="preserve"> had </w:t>
      </w:r>
      <w:r>
        <w:t>‘</w:t>
      </w:r>
      <w:r w:rsidRPr="00106892">
        <w:t>similar viral loads.</w:t>
      </w:r>
      <w:r>
        <w:t xml:space="preserve">’ … </w:t>
      </w:r>
      <w:r w:rsidRPr="00106892">
        <w:t>Employees of the New York City Police Department were similarly accommodated</w:t>
      </w:r>
      <w:r>
        <w:t xml:space="preserve">…. *** </w:t>
      </w:r>
      <w:r w:rsidRPr="00823740">
        <w:t xml:space="preserve">Once Plaintiff has pleaded his claims, and the possible affirmative defenses are not evident on the face of the amended complaint, the claims may move forward. </w:t>
      </w:r>
      <w:proofErr w:type="gramStart"/>
      <w:r w:rsidRPr="00823740">
        <w:t>Defendant</w:t>
      </w:r>
      <w:proofErr w:type="gramEnd"/>
      <w:r w:rsidRPr="00823740">
        <w:t xml:space="preserve"> may, indeed, have valid defenses, but they require the presentation of facts beyond the amended complaint. For example, Plaintiff bases his claims on a claim that aborted fetal cell lines were used in the production, research, manufacture and/or testing of the COVID-19 vaccine. This is posited as a fact, not a religious belief in and of itself such that Plaintiff will have to prove such alleged fact at a later stage of the proceedings. This allegation cannot be resolved on the current record. By way of another factual dispute that cannot be resolved on the face of the amended complaint or as a matter of law is the defense of undue hardship. At this juncture, determination of whether accommodating Plaintiff would have been an undue hardship for Defendant would be premature.</w:t>
      </w:r>
      <w:r>
        <w:t>”</w:t>
      </w:r>
    </w:p>
    <w:p w14:paraId="59A55B97" w14:textId="77777777" w:rsidR="00BF6824" w:rsidRDefault="00BF6824" w:rsidP="00BF6824">
      <w:pPr>
        <w:pStyle w:val="NoSpacing"/>
      </w:pPr>
    </w:p>
    <w:p w14:paraId="37B7892C" w14:textId="77777777" w:rsidR="00BF6824" w:rsidRPr="00106892" w:rsidRDefault="00BF6824" w:rsidP="00BF6824">
      <w:pPr>
        <w:pStyle w:val="NoSpacing"/>
        <w:rPr>
          <w:b/>
          <w:bCs/>
        </w:rPr>
      </w:pPr>
      <w:r w:rsidRPr="00B57F27">
        <w:rPr>
          <w:b/>
        </w:rPr>
        <w:t xml:space="preserve">Legal lesson learned: </w:t>
      </w:r>
      <w:r>
        <w:rPr>
          <w:b/>
        </w:rPr>
        <w:t xml:space="preserve">Case will now proceed to pre-trial discovery; many COVID cases against FDNY have resulted in dismissal of the cases. </w:t>
      </w:r>
    </w:p>
    <w:p w14:paraId="10A1E9BB" w14:textId="77777777" w:rsidR="00BF6824" w:rsidRDefault="00BF6824" w:rsidP="00004498">
      <w:pPr>
        <w:rPr>
          <w:rFonts w:ascii="Arial Black" w:hAnsi="Arial Black"/>
          <w:b/>
          <w:bCs/>
          <w:sz w:val="24"/>
          <w:szCs w:val="24"/>
        </w:rPr>
      </w:pPr>
    </w:p>
    <w:p w14:paraId="541EAFB2" w14:textId="3FD57166" w:rsidR="00C812C2" w:rsidRDefault="00627649" w:rsidP="00004498">
      <w:pPr>
        <w:rPr>
          <w:rFonts w:ascii="Arial Black" w:hAnsi="Arial Black"/>
          <w:b/>
          <w:bCs/>
          <w:sz w:val="24"/>
          <w:szCs w:val="24"/>
        </w:rPr>
      </w:pPr>
      <w:r>
        <w:rPr>
          <w:rFonts w:ascii="Arial Black" w:hAnsi="Arial Black"/>
          <w:b/>
          <w:bCs/>
          <w:sz w:val="24"/>
          <w:szCs w:val="24"/>
        </w:rPr>
        <w:t>13-242</w:t>
      </w:r>
    </w:p>
    <w:p w14:paraId="39FB2AB2" w14:textId="0277EA31" w:rsidR="00627649" w:rsidRPr="00454803" w:rsidRDefault="00627649" w:rsidP="00627649">
      <w:pPr>
        <w:rPr>
          <w:rFonts w:ascii="Arial Black" w:hAnsi="Arial Black"/>
          <w:b/>
          <w:sz w:val="28"/>
          <w:szCs w:val="28"/>
        </w:rPr>
      </w:pPr>
      <w:r>
        <w:rPr>
          <w:rFonts w:ascii="Arial Black" w:hAnsi="Arial Black"/>
          <w:b/>
          <w:sz w:val="28"/>
          <w:szCs w:val="28"/>
        </w:rPr>
        <w:t>OH: ASHMA PT – 911 / HANG UP – DISPATCHERS NEG</w:t>
      </w:r>
      <w:r w:rsidR="005A04E2">
        <w:rPr>
          <w:rFonts w:ascii="Arial Black" w:hAnsi="Arial Black"/>
          <w:b/>
          <w:sz w:val="28"/>
          <w:szCs w:val="28"/>
        </w:rPr>
        <w:t>LIGENCE</w:t>
      </w:r>
      <w:r>
        <w:rPr>
          <w:rFonts w:ascii="Arial Black" w:hAnsi="Arial Black"/>
          <w:b/>
          <w:sz w:val="28"/>
          <w:szCs w:val="28"/>
        </w:rPr>
        <w:t xml:space="preserve"> </w:t>
      </w:r>
    </w:p>
    <w:p w14:paraId="73A1C282" w14:textId="77777777" w:rsidR="00627649" w:rsidRDefault="00627649" w:rsidP="00627649">
      <w:pPr>
        <w:pStyle w:val="NoSpacing"/>
      </w:pPr>
      <w:r>
        <w:t xml:space="preserve">On January 12, 2026, in </w:t>
      </w:r>
      <w:r w:rsidRPr="0005582E">
        <w:rPr>
          <w:u w:val="single"/>
        </w:rPr>
        <w:t>Clinton T. Widdowson, as Administrator of the Estate of Tyler Joe-Austin Widdowson, et al. v. Lake County, Ohio</w:t>
      </w:r>
      <w:r>
        <w:t xml:space="preserve">, the </w:t>
      </w:r>
      <w:r w:rsidRPr="0005582E">
        <w:t>Court of Appeals of Ohio, Eleventh District, Lake</w:t>
      </w:r>
      <w:r>
        <w:t xml:space="preserve"> County held (2 to 1) that trial court judge should not have dismissed the two dispatchers from this lawsuit for their alleged “</w:t>
      </w:r>
      <w:r w:rsidRPr="00C47724">
        <w:t>wanton and reckless conduct</w:t>
      </w:r>
      <w:r>
        <w:t>”</w:t>
      </w:r>
      <w:r w:rsidRPr="00C47724">
        <w:t xml:space="preserve"> </w:t>
      </w:r>
      <w:r>
        <w:t xml:space="preserve">- </w:t>
      </w:r>
      <w:r w:rsidRPr="00471BDC">
        <w:t>Angela King and Brandy</w:t>
      </w:r>
      <w:r>
        <w:t xml:space="preserve"> </w:t>
      </w:r>
      <w:r w:rsidRPr="00471BDC">
        <w:t xml:space="preserve">Catanese. </w:t>
      </w:r>
      <w:r>
        <w:t xml:space="preserve"> On </w:t>
      </w:r>
      <w:r w:rsidRPr="00CC1EE2">
        <w:t>Saturday, April 30, 2022, at 5:26 a.m.,</w:t>
      </w:r>
      <w:r>
        <w:t xml:space="preserve"> </w:t>
      </w:r>
      <w:r w:rsidRPr="00CC1EE2">
        <w:t xml:space="preserve">Tiler Widdowson </w:t>
      </w:r>
      <w:r>
        <w:t xml:space="preserve">(age 24) </w:t>
      </w:r>
      <w:r w:rsidRPr="00CC1EE2">
        <w:t>called 911 on his cell phone for assistance. The</w:t>
      </w:r>
      <w:r>
        <w:t xml:space="preserve"> </w:t>
      </w:r>
      <w:r w:rsidRPr="00CC1EE2">
        <w:t>call was received by Sgt. King who had difficulty discerning what</w:t>
      </w:r>
      <w:r>
        <w:t xml:space="preserve"> </w:t>
      </w:r>
      <w:r w:rsidRPr="00CC1EE2">
        <w:t>Widdowson was saying. She was only able to discern the word</w:t>
      </w:r>
      <w:r>
        <w:t xml:space="preserve"> '</w:t>
      </w:r>
      <w:r w:rsidRPr="00CC1EE2">
        <w:t xml:space="preserve">help.” She </w:t>
      </w:r>
      <w:proofErr w:type="gramStart"/>
      <w:r w:rsidRPr="00CC1EE2">
        <w:t>entered into</w:t>
      </w:r>
      <w:proofErr w:type="gramEnd"/>
      <w:r w:rsidRPr="00CC1EE2">
        <w:t xml:space="preserve"> the Computer Aided Dispatch (CAD) system</w:t>
      </w:r>
      <w:r>
        <w:t xml:space="preserve"> </w:t>
      </w:r>
      <w:r w:rsidRPr="00CC1EE2">
        <w:t>“Male just yelling help.” Despite her repeated requests, Widdowson</w:t>
      </w:r>
      <w:r>
        <w:t xml:space="preserve"> </w:t>
      </w:r>
      <w:r w:rsidRPr="00CC1EE2">
        <w:t>was unable to provide his location</w:t>
      </w:r>
      <w:r>
        <w:t xml:space="preserve">, and sent deputies to Cambridge Condominiums on low level welfare check. At 6:06 a.m., she relistened to the call and added in the CAD the comment “just says please help, please help, can’t breathe” and further commented “sounds like it’s not directly into the phone either.” She did not reclassify the call from a welfare check to a medical emergency and did send fire or </w:t>
      </w:r>
      <w:proofErr w:type="gramStart"/>
      <w:r>
        <w:t>EMS, and</w:t>
      </w:r>
      <w:proofErr w:type="gramEnd"/>
      <w:r>
        <w:t xml:space="preserve"> did have second dispatcher radio this information to the deputies. </w:t>
      </w:r>
      <w:hyperlink r:id="rId1998" w:history="1">
        <w:r w:rsidRPr="00815351">
          <w:rPr>
            <w:rStyle w:val="Hyperlink"/>
          </w:rPr>
          <w:t>https://www.supremecourt.ohio.gov/rod/docs/pdf/11/2026/2026-Ohio-67.pdf</w:t>
        </w:r>
      </w:hyperlink>
      <w:r>
        <w:t xml:space="preserve"> </w:t>
      </w:r>
    </w:p>
    <w:p w14:paraId="1FAFD8E2" w14:textId="77777777" w:rsidR="00627649" w:rsidRDefault="00627649" w:rsidP="00627649">
      <w:pPr>
        <w:pStyle w:val="NoSpacing"/>
      </w:pPr>
    </w:p>
    <w:p w14:paraId="3820200E" w14:textId="77777777" w:rsidR="00627649" w:rsidRDefault="00627649" w:rsidP="00627649">
      <w:pPr>
        <w:pStyle w:val="NoSpacing"/>
      </w:pPr>
      <w:r>
        <w:t>THE COURT HELD:</w:t>
      </w:r>
    </w:p>
    <w:p w14:paraId="437A9DA4" w14:textId="77777777" w:rsidR="00627649" w:rsidRDefault="00627649" w:rsidP="00627649">
      <w:pPr>
        <w:pStyle w:val="NoSpacing"/>
      </w:pPr>
    </w:p>
    <w:p w14:paraId="51FE6D46" w14:textId="77777777" w:rsidR="00627649" w:rsidRDefault="00627649" w:rsidP="00627649">
      <w:pPr>
        <w:pStyle w:val="NoSpacing"/>
        <w:ind w:firstLine="720"/>
      </w:pPr>
      <w:r>
        <w:t>“King was the fire and EMS dispatcher and could have directly dispatched</w:t>
      </w:r>
    </w:p>
    <w:p w14:paraId="28B30853" w14:textId="77777777" w:rsidR="00627649" w:rsidRDefault="00627649" w:rsidP="00627649">
      <w:pPr>
        <w:pStyle w:val="NoSpacing"/>
        <w:ind w:firstLine="720"/>
      </w:pPr>
      <w:r>
        <w:t>those units (located about two minutes away) to the scene or, at the least, staged them</w:t>
      </w:r>
    </w:p>
    <w:p w14:paraId="77530F39" w14:textId="77777777" w:rsidR="00627649" w:rsidRDefault="00627649" w:rsidP="00627649">
      <w:pPr>
        <w:pStyle w:val="NoSpacing"/>
        <w:ind w:firstLine="720"/>
      </w:pPr>
      <w:r>
        <w:t>(</w:t>
      </w:r>
      <w:proofErr w:type="gramStart"/>
      <w:r>
        <w:t>put</w:t>
      </w:r>
      <w:proofErr w:type="gramEnd"/>
      <w:r>
        <w:t xml:space="preserve"> them on notice</w:t>
      </w:r>
      <w:proofErr w:type="gramStart"/>
      <w:r>
        <w:t>), but</w:t>
      </w:r>
      <w:proofErr w:type="gramEnd"/>
      <w:r>
        <w:t xml:space="preserve"> did not do so. Nor did she reclassify the call as a medical</w:t>
      </w:r>
    </w:p>
    <w:p w14:paraId="487BEAF4" w14:textId="77777777" w:rsidR="00627649" w:rsidRDefault="00627649" w:rsidP="00627649">
      <w:pPr>
        <w:pStyle w:val="NoSpacing"/>
        <w:ind w:firstLine="720"/>
      </w:pPr>
      <w:r>
        <w:t>emergency. Although deputies were already on the scene, the deputies, according to</w:t>
      </w:r>
    </w:p>
    <w:p w14:paraId="54F1662F" w14:textId="77777777" w:rsidR="00627649" w:rsidRDefault="00627649" w:rsidP="00627649">
      <w:pPr>
        <w:pStyle w:val="NoSpacing"/>
        <w:ind w:firstLine="720"/>
      </w:pPr>
      <w:proofErr w:type="gramStart"/>
      <w:r>
        <w:t>Bowers,</w:t>
      </w:r>
      <w:proofErr w:type="gramEnd"/>
      <w:r>
        <w:t xml:space="preserve"> were not ‘trained medically’ to deal with a medical emergency.</w:t>
      </w:r>
    </w:p>
    <w:p w14:paraId="4BEA0738" w14:textId="77777777" w:rsidR="00627649" w:rsidRDefault="00627649" w:rsidP="00627649">
      <w:pPr>
        <w:pStyle w:val="NoSpacing"/>
        <w:ind w:firstLine="720"/>
      </w:pPr>
    </w:p>
    <w:p w14:paraId="6C23C9A1" w14:textId="77777777" w:rsidR="00627649" w:rsidRDefault="00627649" w:rsidP="00627649">
      <w:pPr>
        <w:pStyle w:val="NoSpacing"/>
        <w:ind w:firstLine="720"/>
      </w:pPr>
      <w:r>
        <w:t>We do find that the plaintiffs merit the opportunity of making that case to the</w:t>
      </w:r>
    </w:p>
    <w:p w14:paraId="33FB20F9" w14:textId="77777777" w:rsidR="00627649" w:rsidRDefault="00627649" w:rsidP="00627649">
      <w:pPr>
        <w:pStyle w:val="NoSpacing"/>
        <w:ind w:firstLine="720"/>
      </w:pPr>
      <w:r>
        <w:t>jury. Accordingly, summary judgment was improperly granted with respect to King.</w:t>
      </w:r>
    </w:p>
    <w:p w14:paraId="442CB11F" w14:textId="77777777" w:rsidR="00627649" w:rsidRDefault="00627649" w:rsidP="00627649">
      <w:pPr>
        <w:pStyle w:val="NoSpacing"/>
        <w:ind w:firstLine="720"/>
      </w:pPr>
    </w:p>
    <w:p w14:paraId="0193C2BD" w14:textId="77777777" w:rsidR="00627649" w:rsidRDefault="00627649" w:rsidP="00627649">
      <w:pPr>
        <w:pStyle w:val="NoSpacing"/>
        <w:ind w:firstLine="720"/>
      </w:pPr>
      <w:r>
        <w:t>***</w:t>
      </w:r>
    </w:p>
    <w:p w14:paraId="1CA28349" w14:textId="77777777" w:rsidR="00627649" w:rsidRDefault="00627649" w:rsidP="00627649">
      <w:pPr>
        <w:pStyle w:val="NoSpacing"/>
      </w:pPr>
    </w:p>
    <w:p w14:paraId="21934AF5" w14:textId="77777777" w:rsidR="00627649" w:rsidRDefault="00627649" w:rsidP="00627649">
      <w:pPr>
        <w:pStyle w:val="NoSpacing"/>
        <w:ind w:left="720"/>
      </w:pPr>
      <w:r>
        <w:t>We find that prior to hearing Tiler’s complaint that he could not breathe at about 6:06 a.m., King’s conduct was at most negligent. The initial classification of the call as a welfare check was in accordance with call center policies. In addition to classifying the event, King noted that the male caller was yelling ‘help’ and Catanese duly broadcast this information when dispatching Deputy Bowers.</w:t>
      </w:r>
    </w:p>
    <w:p w14:paraId="2AAF6A44" w14:textId="77777777" w:rsidR="00627649" w:rsidRDefault="00627649" w:rsidP="00627649">
      <w:pPr>
        <w:pStyle w:val="NoSpacing"/>
      </w:pPr>
    </w:p>
    <w:p w14:paraId="268C78F3" w14:textId="77777777" w:rsidR="00627649" w:rsidRDefault="00627649" w:rsidP="00627649">
      <w:pPr>
        <w:pStyle w:val="NoSpacing"/>
        <w:ind w:left="720"/>
      </w:pPr>
      <w:r>
        <w:t>After realizing the severity of the situation, however, King’s conduct could be described as the failure to exercise any care in circumstances in which there was a great probability of harm and/or the conscious disregard of or indifference to an obvious risk of harm. The critical issue of whether Tiler’s not being able to breathe constituted a medical emergency, i.e., a situation requiring an emergency medical response, is not one that needs to be resolved.”</w:t>
      </w:r>
    </w:p>
    <w:p w14:paraId="7608D3FC" w14:textId="77777777" w:rsidR="00627649" w:rsidRDefault="00627649" w:rsidP="00627649">
      <w:pPr>
        <w:pStyle w:val="NoSpacing"/>
        <w:ind w:left="720"/>
      </w:pPr>
    </w:p>
    <w:p w14:paraId="4BB95A9A" w14:textId="77777777" w:rsidR="00627649" w:rsidRPr="00EB0A64" w:rsidRDefault="00627649" w:rsidP="00627649">
      <w:pPr>
        <w:pStyle w:val="NoSpacing"/>
        <w:rPr>
          <w:b/>
          <w:bCs/>
        </w:rPr>
      </w:pPr>
      <w:r>
        <w:rPr>
          <w:b/>
        </w:rPr>
        <w:t xml:space="preserve">Legal lesson learned: Please share this case with your dispatchers; a 911 call for “can’t </w:t>
      </w:r>
      <w:proofErr w:type="spellStart"/>
      <w:proofErr w:type="gramStart"/>
      <w:r>
        <w:rPr>
          <w:b/>
        </w:rPr>
        <w:t>breath</w:t>
      </w:r>
      <w:proofErr w:type="spellEnd"/>
      <w:proofErr w:type="gramEnd"/>
      <w:r>
        <w:rPr>
          <w:b/>
        </w:rPr>
        <w:t xml:space="preserve">” should be handled as a medical emergency with EMS responding. </w:t>
      </w:r>
    </w:p>
    <w:p w14:paraId="20D5A555" w14:textId="77777777" w:rsidR="00627649" w:rsidRDefault="00627649" w:rsidP="00627649">
      <w:pPr>
        <w:pStyle w:val="NoSpacing"/>
      </w:pPr>
    </w:p>
    <w:p w14:paraId="3F346A1F" w14:textId="77777777" w:rsidR="00627649" w:rsidRDefault="00627649" w:rsidP="00627649">
      <w:pPr>
        <w:pStyle w:val="NoSpacing"/>
        <w:ind w:left="720"/>
      </w:pPr>
      <w:r>
        <w:t xml:space="preserve">Note: Dissenting Justice: “While Tiler Widdowson’s death is undeniably tragic, and while the emergency response may not have been perfect, the legal standards governing this case do not permit liability under these circumstances.” </w:t>
      </w:r>
    </w:p>
    <w:p w14:paraId="58D80299" w14:textId="77777777" w:rsidR="00627649" w:rsidRDefault="00627649" w:rsidP="00627649">
      <w:pPr>
        <w:pStyle w:val="NoSpacing"/>
      </w:pPr>
    </w:p>
    <w:p w14:paraId="631BBBA9" w14:textId="77777777" w:rsidR="00627649" w:rsidRDefault="00627649" w:rsidP="00004498">
      <w:pPr>
        <w:rPr>
          <w:rFonts w:ascii="Arial Black" w:hAnsi="Arial Black"/>
          <w:b/>
          <w:bCs/>
          <w:sz w:val="24"/>
          <w:szCs w:val="24"/>
        </w:rPr>
      </w:pPr>
    </w:p>
    <w:p w14:paraId="4125F5CB" w14:textId="2EC099D8" w:rsidR="009F546C" w:rsidRDefault="00424793" w:rsidP="00004498">
      <w:pPr>
        <w:rPr>
          <w:rFonts w:ascii="Arial Black" w:hAnsi="Arial Black"/>
          <w:b/>
          <w:bCs/>
          <w:sz w:val="24"/>
          <w:szCs w:val="24"/>
        </w:rPr>
      </w:pPr>
      <w:r>
        <w:rPr>
          <w:rFonts w:ascii="Arial Black" w:hAnsi="Arial Black"/>
          <w:b/>
          <w:bCs/>
          <w:sz w:val="24"/>
          <w:szCs w:val="24"/>
        </w:rPr>
        <w:t xml:space="preserve">13 – </w:t>
      </w:r>
      <w:r w:rsidR="002E2246">
        <w:rPr>
          <w:rFonts w:ascii="Arial Black" w:hAnsi="Arial Black"/>
          <w:b/>
          <w:bCs/>
          <w:sz w:val="24"/>
          <w:szCs w:val="24"/>
        </w:rPr>
        <w:t>24</w:t>
      </w:r>
      <w:r w:rsidR="00524647">
        <w:rPr>
          <w:rFonts w:ascii="Arial Black" w:hAnsi="Arial Black"/>
          <w:b/>
          <w:bCs/>
          <w:sz w:val="24"/>
          <w:szCs w:val="24"/>
        </w:rPr>
        <w:t>1</w:t>
      </w:r>
    </w:p>
    <w:p w14:paraId="42C17C39" w14:textId="61D17F23" w:rsidR="00424793" w:rsidRDefault="00424793" w:rsidP="00424793">
      <w:pPr>
        <w:rPr>
          <w:rFonts w:ascii="Arial Black" w:hAnsi="Arial Black"/>
          <w:b/>
          <w:sz w:val="28"/>
          <w:szCs w:val="28"/>
        </w:rPr>
      </w:pPr>
      <w:r>
        <w:rPr>
          <w:rFonts w:ascii="Arial Black" w:hAnsi="Arial Black"/>
          <w:b/>
          <w:sz w:val="28"/>
          <w:szCs w:val="28"/>
        </w:rPr>
        <w:t xml:space="preserve">IL: VICTIM DIED – MEDIC </w:t>
      </w:r>
      <w:r w:rsidR="00437034">
        <w:rPr>
          <w:rFonts w:ascii="Arial Black" w:hAnsi="Arial Black"/>
          <w:b/>
          <w:sz w:val="28"/>
          <w:szCs w:val="28"/>
        </w:rPr>
        <w:t xml:space="preserve">CAN TESTIFY </w:t>
      </w:r>
      <w:r w:rsidR="00014738">
        <w:rPr>
          <w:rFonts w:ascii="Arial Black" w:hAnsi="Arial Black"/>
          <w:b/>
          <w:sz w:val="28"/>
          <w:szCs w:val="28"/>
        </w:rPr>
        <w:t xml:space="preserve">TO </w:t>
      </w:r>
      <w:r>
        <w:rPr>
          <w:rFonts w:ascii="Arial Black" w:hAnsi="Arial Black"/>
          <w:b/>
          <w:sz w:val="28"/>
          <w:szCs w:val="28"/>
        </w:rPr>
        <w:t xml:space="preserve">JURY </w:t>
      </w:r>
      <w:r w:rsidR="00014738">
        <w:rPr>
          <w:rFonts w:ascii="Arial Black" w:hAnsi="Arial Black"/>
          <w:b/>
          <w:sz w:val="28"/>
          <w:szCs w:val="28"/>
        </w:rPr>
        <w:t xml:space="preserve">– PT’s </w:t>
      </w:r>
      <w:r>
        <w:rPr>
          <w:rFonts w:ascii="Arial Black" w:hAnsi="Arial Black"/>
          <w:b/>
          <w:sz w:val="28"/>
          <w:szCs w:val="28"/>
        </w:rPr>
        <w:t xml:space="preserve">“EXCITED UTTERANCE” </w:t>
      </w:r>
    </w:p>
    <w:p w14:paraId="13C761B7" w14:textId="77777777" w:rsidR="00424793" w:rsidRDefault="00424793" w:rsidP="00424793">
      <w:pPr>
        <w:rPr>
          <w:b/>
        </w:rPr>
      </w:pPr>
      <w:r>
        <w:t xml:space="preserve">On December 23, 2025, in </w:t>
      </w:r>
      <w:r w:rsidRPr="001D5214">
        <w:rPr>
          <w:u w:val="single"/>
        </w:rPr>
        <w:t>The People of the State of Illinois v. Londre Brown</w:t>
      </w:r>
      <w:r>
        <w:t xml:space="preserve">, the </w:t>
      </w:r>
      <w:r w:rsidRPr="001D5214">
        <w:t>Court of Appeals of Illinois, First District, Fifth Division</w:t>
      </w:r>
      <w:r>
        <w:t xml:space="preserve"> held (3 to 0) that the defendant was properly convicted by a jury of </w:t>
      </w:r>
      <w:r w:rsidRPr="00CD235D">
        <w:t>two counts of aggravated criminal</w:t>
      </w:r>
      <w:r>
        <w:t xml:space="preserve"> </w:t>
      </w:r>
      <w:r w:rsidRPr="00CD235D">
        <w:t>sexual assault and one count of aggravated battery of a person 60 years of age or older</w:t>
      </w:r>
      <w:r>
        <w:t xml:space="preserve">, and the sentence of 54 years.  The paramedic was properly allowed to testify about  the victim’s comments to her at the scene – excited utterance exception to hearsay rule and EMS run report was admissible as nontestimonial medical record (she died before trail, apparently from unrelated cause).   </w:t>
      </w:r>
      <w:hyperlink r:id="rId1999" w:history="1">
        <w:r w:rsidRPr="00D31421">
          <w:rPr>
            <w:rStyle w:val="Hyperlink"/>
            <w:b/>
          </w:rPr>
          <w:t>https://ilcourtsaudio.blob.core.windows.net/</w:t>
        </w:r>
      </w:hyperlink>
      <w:r>
        <w:rPr>
          <w:b/>
        </w:rPr>
        <w:t xml:space="preserve"> </w:t>
      </w:r>
    </w:p>
    <w:p w14:paraId="62FC5623" w14:textId="77777777" w:rsidR="00424793" w:rsidRDefault="00424793" w:rsidP="00424793">
      <w:pPr>
        <w:rPr>
          <w:bCs/>
        </w:rPr>
      </w:pPr>
      <w:r>
        <w:t>THE COURT HELD:</w:t>
      </w:r>
    </w:p>
    <w:p w14:paraId="05816073" w14:textId="77777777" w:rsidR="00424793" w:rsidRPr="001C2565" w:rsidRDefault="00424793" w:rsidP="00424793">
      <w:pPr>
        <w:pStyle w:val="NoSpacing"/>
        <w:ind w:firstLine="720"/>
        <w:rPr>
          <w:bCs/>
        </w:rPr>
      </w:pPr>
      <w:r>
        <w:t>“</w:t>
      </w:r>
      <w:r w:rsidRPr="001C2565">
        <w:t>Christopher Daly, a paramedic, testified that, on December 13, 2019, at approximately</w:t>
      </w:r>
    </w:p>
    <w:p w14:paraId="4F5DC630" w14:textId="77777777" w:rsidR="00424793" w:rsidRDefault="00424793" w:rsidP="00424793">
      <w:pPr>
        <w:pStyle w:val="NoSpacing"/>
        <w:ind w:left="720"/>
        <w:rPr>
          <w:bCs/>
        </w:rPr>
      </w:pPr>
      <w:r w:rsidRPr="001C2565">
        <w:t>8:30 p.m. when he arrived at the scene, he observed an elderly woman sitting at the top of the</w:t>
      </w:r>
      <w:r>
        <w:t xml:space="preserve"> </w:t>
      </w:r>
      <w:r w:rsidRPr="001C2565">
        <w:t xml:space="preserve">stairs, who was </w:t>
      </w:r>
      <w:r>
        <w:t>‘</w:t>
      </w:r>
      <w:r w:rsidRPr="001C2565">
        <w:t>stressed out</w:t>
      </w:r>
      <w:r>
        <w:t>’</w:t>
      </w:r>
      <w:r w:rsidRPr="001C2565">
        <w:t xml:space="preserve"> and </w:t>
      </w:r>
      <w:r>
        <w:t>‘</w:t>
      </w:r>
      <w:r w:rsidRPr="001C2565">
        <w:t>near hysterical.</w:t>
      </w:r>
      <w:r>
        <w:t>’</w:t>
      </w:r>
      <w:r w:rsidRPr="001C2565">
        <w:t xml:space="preserve"> The victim did not want anyone to touch her;</w:t>
      </w:r>
      <w:r>
        <w:t xml:space="preserve"> </w:t>
      </w:r>
      <w:r w:rsidRPr="001C2565">
        <w:t xml:space="preserve">she was </w:t>
      </w:r>
      <w:r>
        <w:t>‘</w:t>
      </w:r>
      <w:r w:rsidRPr="001C2565">
        <w:t>shaking</w:t>
      </w:r>
      <w:r>
        <w:t>’</w:t>
      </w:r>
      <w:r w:rsidRPr="001C2565">
        <w:t xml:space="preserve"> and </w:t>
      </w:r>
      <w:r>
        <w:t>‘</w:t>
      </w:r>
      <w:r w:rsidRPr="001C2565">
        <w:t>very scared.</w:t>
      </w:r>
      <w:r>
        <w:t>’</w:t>
      </w:r>
      <w:r w:rsidRPr="001C2565">
        <w:t xml:space="preserve"> Daly’s partner, Anthony Hoard, coaxed her down the stairs.</w:t>
      </w:r>
      <w:r>
        <w:t xml:space="preserve"> </w:t>
      </w:r>
      <w:r w:rsidRPr="001C2565">
        <w:t>After the victim stepped outside, she sat in a chair they had brought, and they took her to the</w:t>
      </w:r>
      <w:r>
        <w:t xml:space="preserve"> </w:t>
      </w:r>
      <w:r w:rsidRPr="001C2565">
        <w:t>ambulance. Her demeanor in the ambulance was the same as it had been at the top of stairs:</w:t>
      </w:r>
      <w:r>
        <w:t xml:space="preserve"> ‘</w:t>
      </w:r>
      <w:r w:rsidRPr="001C2565">
        <w:t>anxious, nervous, seemed very scared.</w:t>
      </w:r>
      <w:r>
        <w:t xml:space="preserve">’ </w:t>
      </w:r>
      <w:r w:rsidRPr="001C2565">
        <w:t>Daly explained that, because he was the paramedic, he</w:t>
      </w:r>
      <w:r>
        <w:t xml:space="preserve"> </w:t>
      </w:r>
      <w:r w:rsidRPr="001C2565">
        <w:t>assessed the patient while his partner did the documentation. While Daly was assessing her and</w:t>
      </w:r>
      <w:r>
        <w:t xml:space="preserve"> </w:t>
      </w:r>
      <w:r w:rsidRPr="001C2565">
        <w:t xml:space="preserve">asking, </w:t>
      </w:r>
      <w:r>
        <w:t>‘</w:t>
      </w:r>
      <w:r w:rsidRPr="001C2565">
        <w:t>what happened,</w:t>
      </w:r>
      <w:r>
        <w:t>’</w:t>
      </w:r>
      <w:r w:rsidRPr="001C2565">
        <w:t xml:space="preserve"> the victim said that defendant had bitten her and had </w:t>
      </w:r>
      <w:r>
        <w:t>‘</w:t>
      </w:r>
      <w:r w:rsidRPr="001C2565">
        <w:t>stuck his penis in</w:t>
      </w:r>
      <w:r>
        <w:t xml:space="preserve"> </w:t>
      </w:r>
      <w:r w:rsidRPr="001C2565">
        <w:t>her mouth.</w:t>
      </w:r>
      <w:r>
        <w:t>’</w:t>
      </w:r>
      <w:r w:rsidRPr="001C2565">
        <w:t xml:space="preserve"> The victim said defendant was holding her down and she was fighting him off and</w:t>
      </w:r>
      <w:r>
        <w:t xml:space="preserve"> ‘</w:t>
      </w:r>
      <w:r w:rsidRPr="001C2565">
        <w:t>that’s why she was hurt all over.”</w:t>
      </w:r>
      <w:r>
        <w:t xml:space="preserve"> </w:t>
      </w:r>
    </w:p>
    <w:p w14:paraId="5B88F1EF" w14:textId="77777777" w:rsidR="00424793" w:rsidRDefault="00424793" w:rsidP="00424793">
      <w:pPr>
        <w:pStyle w:val="NoSpacing"/>
        <w:rPr>
          <w:bCs/>
        </w:rPr>
      </w:pPr>
    </w:p>
    <w:p w14:paraId="2FB63724" w14:textId="77777777" w:rsidR="00424793" w:rsidRPr="00465B82" w:rsidRDefault="00424793" w:rsidP="00424793">
      <w:pPr>
        <w:pStyle w:val="NoSpacing"/>
        <w:ind w:firstLine="720"/>
        <w:rPr>
          <w:bCs/>
        </w:rPr>
      </w:pPr>
      <w:r w:rsidRPr="00465B82">
        <w:t>Daly described the injuries he observed, including a very deep cut in her right thigh</w:t>
      </w:r>
    </w:p>
    <w:p w14:paraId="7C6E2755" w14:textId="77777777" w:rsidR="00424793" w:rsidRDefault="00424793" w:rsidP="00424793">
      <w:pPr>
        <w:pStyle w:val="NoSpacing"/>
        <w:ind w:left="720"/>
        <w:rPr>
          <w:bCs/>
        </w:rPr>
      </w:pPr>
      <w:r w:rsidRPr="00465B82">
        <w:t xml:space="preserve">that seemed almost to </w:t>
      </w:r>
      <w:proofErr w:type="gramStart"/>
      <w:r w:rsidRPr="00465B82">
        <w:t>the</w:t>
      </w:r>
      <w:proofErr w:type="gramEnd"/>
      <w:r w:rsidRPr="00465B82">
        <w:t xml:space="preserve"> bone. Daly explained that doctors at the hospital would want to know</w:t>
      </w:r>
      <w:r>
        <w:t xml:space="preserve"> </w:t>
      </w:r>
      <w:r w:rsidRPr="00465B82">
        <w:t xml:space="preserve">how big the knife was, what kind of knife was used, and whether it was clean or dirty. </w:t>
      </w:r>
    </w:p>
    <w:p w14:paraId="28E7DE1E" w14:textId="77777777" w:rsidR="00424793" w:rsidRDefault="00424793" w:rsidP="00424793">
      <w:pPr>
        <w:pStyle w:val="NoSpacing"/>
        <w:ind w:left="720"/>
        <w:rPr>
          <w:bCs/>
        </w:rPr>
      </w:pPr>
    </w:p>
    <w:p w14:paraId="6240F0A6" w14:textId="77777777" w:rsidR="00424793" w:rsidRDefault="00424793" w:rsidP="00424793">
      <w:pPr>
        <w:pStyle w:val="NoSpacing"/>
        <w:ind w:left="720"/>
        <w:rPr>
          <w:bCs/>
        </w:rPr>
      </w:pPr>
      <w:r w:rsidRPr="00465B82">
        <w:t>For this</w:t>
      </w:r>
      <w:r>
        <w:t xml:space="preserve"> </w:t>
      </w:r>
      <w:r w:rsidRPr="00465B82">
        <w:t>reason, Daly went back inside the victim’s house and asked defendant ‘What kind of knife did</w:t>
      </w:r>
      <w:r>
        <w:t xml:space="preserve"> </w:t>
      </w:r>
      <w:r w:rsidRPr="00465B82">
        <w:t xml:space="preserve">you use to cut her?’ </w:t>
      </w:r>
      <w:r>
        <w:t>‘</w:t>
      </w:r>
      <w:r w:rsidRPr="00465B82">
        <w:t xml:space="preserve"> Defendant replied: ‘I didn’t use a knife</w:t>
      </w:r>
      <w:proofErr w:type="gramStart"/>
      <w:r w:rsidRPr="00465B82">
        <w:t>.</w:t>
      </w:r>
      <w:proofErr w:type="gramEnd"/>
      <w:r w:rsidRPr="00465B82">
        <w:t xml:space="preserve"> I bit her.’ Daly described</w:t>
      </w:r>
      <w:r>
        <w:t xml:space="preserve"> </w:t>
      </w:r>
      <w:r w:rsidRPr="00465B82">
        <w:t xml:space="preserve">defendant’s demeanor as </w:t>
      </w:r>
      <w:r>
        <w:t>‘</w:t>
      </w:r>
      <w:r w:rsidRPr="00465B82">
        <w:t>[a]</w:t>
      </w:r>
      <w:proofErr w:type="spellStart"/>
      <w:r w:rsidRPr="00465B82">
        <w:t>lmost</w:t>
      </w:r>
      <w:proofErr w:type="spellEnd"/>
      <w:r w:rsidRPr="00465B82">
        <w:t xml:space="preserve"> smug,</w:t>
      </w:r>
      <w:r>
        <w:t>’</w:t>
      </w:r>
      <w:r w:rsidRPr="00465B82">
        <w:t xml:space="preserve"> like he </w:t>
      </w:r>
      <w:r>
        <w:t>‘</w:t>
      </w:r>
      <w:r w:rsidRPr="00465B82">
        <w:t>didn’t care.</w:t>
      </w:r>
      <w:r>
        <w:t>’</w:t>
      </w:r>
      <w:r w:rsidRPr="00465B82">
        <w:t xml:space="preserve"> After speaking with defendant</w:t>
      </w:r>
      <w:r>
        <w:t>.</w:t>
      </w:r>
    </w:p>
    <w:p w14:paraId="705D02A5" w14:textId="77777777" w:rsidR="00424793" w:rsidRDefault="00424793" w:rsidP="00424793">
      <w:pPr>
        <w:pStyle w:val="NoSpacing"/>
        <w:ind w:left="720"/>
        <w:rPr>
          <w:bCs/>
        </w:rPr>
      </w:pPr>
    </w:p>
    <w:p w14:paraId="3B3B54D3" w14:textId="77777777" w:rsidR="00424793" w:rsidRDefault="00424793" w:rsidP="00424793">
      <w:pPr>
        <w:pStyle w:val="NoSpacing"/>
        <w:ind w:left="720"/>
        <w:rPr>
          <w:bCs/>
        </w:rPr>
      </w:pPr>
      <w:r>
        <w:t>***</w:t>
      </w:r>
    </w:p>
    <w:p w14:paraId="6E31F73E" w14:textId="77777777" w:rsidR="00424793" w:rsidRPr="00465B82" w:rsidRDefault="00424793" w:rsidP="00424793">
      <w:pPr>
        <w:pStyle w:val="NoSpacing"/>
        <w:ind w:left="720"/>
        <w:rPr>
          <w:bCs/>
        </w:rPr>
      </w:pPr>
    </w:p>
    <w:p w14:paraId="0DE70880" w14:textId="77777777" w:rsidR="00424793" w:rsidRPr="003A1E73" w:rsidRDefault="00424793" w:rsidP="00424793">
      <w:pPr>
        <w:pStyle w:val="NoSpacing"/>
        <w:ind w:firstLine="720"/>
        <w:rPr>
          <w:bCs/>
        </w:rPr>
      </w:pPr>
      <w:r w:rsidRPr="003A1E73">
        <w:t xml:space="preserve">The </w:t>
      </w:r>
      <w:r>
        <w:t>‘</w:t>
      </w:r>
      <w:r w:rsidRPr="003A1E73">
        <w:t>Excited Utterance</w:t>
      </w:r>
      <w:r>
        <w:t>’</w:t>
      </w:r>
      <w:r w:rsidRPr="003A1E73">
        <w:t xml:space="preserve"> exception permits the introduction of </w:t>
      </w:r>
      <w:r>
        <w:t>‘</w:t>
      </w:r>
      <w:r w:rsidRPr="003A1E73">
        <w:t>[a] statement relating</w:t>
      </w:r>
    </w:p>
    <w:p w14:paraId="733DDD74" w14:textId="77777777" w:rsidR="00424793" w:rsidRDefault="00424793" w:rsidP="00424793">
      <w:pPr>
        <w:pStyle w:val="NoSpacing"/>
        <w:ind w:left="720"/>
        <w:rPr>
          <w:bCs/>
        </w:rPr>
      </w:pPr>
      <w:r w:rsidRPr="003A1E73">
        <w:t>to a startling event or condition made while the declarant was under the stress of excitement caused</w:t>
      </w:r>
      <w:r>
        <w:t xml:space="preserve"> </w:t>
      </w:r>
      <w:r w:rsidRPr="003A1E73">
        <w:t>by the event or condition.</w:t>
      </w:r>
      <w:r>
        <w:t>’</w:t>
      </w:r>
      <w:r w:rsidRPr="003A1E73">
        <w:t xml:space="preserve"> Ill. R. Evid. 803(2) (eff. Jan. 25, 2023). For a hearsay statement to be</w:t>
      </w:r>
      <w:r>
        <w:t xml:space="preserve"> </w:t>
      </w:r>
      <w:r w:rsidRPr="003A1E73">
        <w:t xml:space="preserve">admissible under this exception, our supreme court has set forth three </w:t>
      </w:r>
      <w:r>
        <w:t>‘</w:t>
      </w:r>
      <w:r w:rsidRPr="003A1E73">
        <w:t>must</w:t>
      </w:r>
      <w:r>
        <w:t>’</w:t>
      </w:r>
      <w:r w:rsidRPr="003A1E73">
        <w:t xml:space="preserve"> requirements:</w:t>
      </w:r>
      <w:r>
        <w:t xml:space="preserve"> </w:t>
      </w:r>
      <w:r w:rsidRPr="003A1E73">
        <w:t xml:space="preserve">(1) </w:t>
      </w:r>
      <w:r>
        <w:t>‘</w:t>
      </w:r>
      <w:r w:rsidRPr="003A1E73">
        <w:t>there must be an occurrence sufficiently startling to produce a spontaneous and unreflecting</w:t>
      </w:r>
      <w:r>
        <w:t xml:space="preserve"> </w:t>
      </w:r>
      <w:r w:rsidRPr="003A1E73">
        <w:t>statement,</w:t>
      </w:r>
      <w:r>
        <w:t>’</w:t>
      </w:r>
      <w:r w:rsidRPr="003A1E73">
        <w:t xml:space="preserve">(2) </w:t>
      </w:r>
      <w:r>
        <w:t>‘</w:t>
      </w:r>
      <w:r w:rsidRPr="003A1E73">
        <w:t>there must be an absence of time for the declarant to fabricate the statement,</w:t>
      </w:r>
      <w:r>
        <w:t>’</w:t>
      </w:r>
      <w:r w:rsidRPr="003A1E73">
        <w:t xml:space="preserve"> and</w:t>
      </w:r>
      <w:r>
        <w:t xml:space="preserve"> </w:t>
      </w:r>
      <w:r w:rsidRPr="003A1E73">
        <w:t xml:space="preserve">(3) </w:t>
      </w:r>
      <w:r>
        <w:t>‘</w:t>
      </w:r>
      <w:r w:rsidRPr="003A1E73">
        <w:t>the statement must relate to the circumstances of the occurrence.</w:t>
      </w:r>
      <w:r>
        <w:t>’</w:t>
      </w:r>
      <w:r w:rsidRPr="003A1E73">
        <w:t xml:space="preserve"> (Emphases added.) People</w:t>
      </w:r>
      <w:r>
        <w:t xml:space="preserve"> </w:t>
      </w:r>
      <w:r w:rsidRPr="003A1E73">
        <w:t>v. Sutton, 233 Ill. 2d 89, 107 (2009); People v. Williams, 193 Ill. 2d 306, 352 (2000); Jones, 2025</w:t>
      </w:r>
      <w:r>
        <w:t xml:space="preserve"> </w:t>
      </w:r>
      <w:r w:rsidRPr="003A1E73">
        <w:t>IL App (1st) 230771, ¶ 114; People v. Morales, 2021 IL App (2d) 190408, ¶ 12.</w:t>
      </w:r>
    </w:p>
    <w:p w14:paraId="2765ABDF" w14:textId="77777777" w:rsidR="00424793" w:rsidRDefault="00424793" w:rsidP="00424793">
      <w:pPr>
        <w:pStyle w:val="NoSpacing"/>
        <w:ind w:left="720"/>
        <w:rPr>
          <w:bCs/>
        </w:rPr>
      </w:pPr>
    </w:p>
    <w:p w14:paraId="027F3FE4" w14:textId="77777777" w:rsidR="00424793" w:rsidRDefault="00424793" w:rsidP="00424793">
      <w:pPr>
        <w:pStyle w:val="NoSpacing"/>
        <w:ind w:left="720"/>
        <w:rPr>
          <w:bCs/>
        </w:rPr>
      </w:pPr>
      <w:r>
        <w:t>***</w:t>
      </w:r>
    </w:p>
    <w:p w14:paraId="66C2B1F1" w14:textId="77777777" w:rsidR="00424793" w:rsidRDefault="00424793" w:rsidP="00424793">
      <w:pPr>
        <w:pStyle w:val="NoSpacing"/>
        <w:ind w:left="720"/>
        <w:rPr>
          <w:bCs/>
        </w:rPr>
      </w:pPr>
    </w:p>
    <w:p w14:paraId="56315985" w14:textId="77777777" w:rsidR="00424793" w:rsidRDefault="00424793" w:rsidP="00424793">
      <w:pPr>
        <w:pStyle w:val="NoSpacing"/>
        <w:ind w:left="720"/>
        <w:rPr>
          <w:bCs/>
        </w:rPr>
      </w:pPr>
      <w:r>
        <w:t>[T]</w:t>
      </w:r>
      <w:r w:rsidRPr="000A6A49">
        <w:t xml:space="preserve">here is no indication that their </w:t>
      </w:r>
      <w:r>
        <w:t xml:space="preserve">[EMS] </w:t>
      </w:r>
      <w:r w:rsidRPr="000A6A49">
        <w:t>report was intended as a substitute for victim</w:t>
      </w:r>
      <w:r>
        <w:t xml:space="preserve"> </w:t>
      </w:r>
      <w:r w:rsidRPr="000A6A49">
        <w:t>testimony, as opposed to a medical record intended to enable accurate treatment once they reached</w:t>
      </w:r>
      <w:r>
        <w:t xml:space="preserve"> </w:t>
      </w:r>
      <w:r w:rsidRPr="000A6A49">
        <w:t>the hospital and doctors.</w:t>
      </w:r>
      <w:r>
        <w:t>”</w:t>
      </w:r>
    </w:p>
    <w:p w14:paraId="3E443489" w14:textId="77777777" w:rsidR="00424793" w:rsidRDefault="00424793" w:rsidP="00424793">
      <w:pPr>
        <w:pStyle w:val="NoSpacing"/>
        <w:ind w:left="720"/>
        <w:rPr>
          <w:bCs/>
        </w:rPr>
      </w:pPr>
    </w:p>
    <w:p w14:paraId="59A030DA" w14:textId="77777777" w:rsidR="00424793" w:rsidRPr="005D1520" w:rsidRDefault="00424793" w:rsidP="00424793">
      <w:pPr>
        <w:pStyle w:val="NoSpacing"/>
        <w:rPr>
          <w:b/>
        </w:rPr>
      </w:pPr>
      <w:r>
        <w:rPr>
          <w:b/>
        </w:rPr>
        <w:t xml:space="preserve">Legal lesson learned: Excited utterances are admissible as an exception to the Hearsay Rule; </w:t>
      </w:r>
      <w:proofErr w:type="gramStart"/>
      <w:r>
        <w:rPr>
          <w:b/>
        </w:rPr>
        <w:t>a best</w:t>
      </w:r>
      <w:proofErr w:type="gramEnd"/>
      <w:r>
        <w:rPr>
          <w:b/>
        </w:rPr>
        <w:t xml:space="preserve"> practice is to </w:t>
      </w:r>
      <w:proofErr w:type="gramStart"/>
      <w:r>
        <w:rPr>
          <w:b/>
        </w:rPr>
        <w:t>document to</w:t>
      </w:r>
      <w:proofErr w:type="gramEnd"/>
      <w:r>
        <w:rPr>
          <w:b/>
        </w:rPr>
        <w:t xml:space="preserve"> victim’s comments in the EMR run report. </w:t>
      </w:r>
    </w:p>
    <w:p w14:paraId="717F072A" w14:textId="77777777" w:rsidR="00424793" w:rsidRDefault="00424793" w:rsidP="00424793">
      <w:pPr>
        <w:pStyle w:val="NoSpacing"/>
        <w:ind w:left="720"/>
        <w:rPr>
          <w:bCs/>
        </w:rPr>
      </w:pPr>
    </w:p>
    <w:p w14:paraId="7219418B" w14:textId="77777777" w:rsidR="00424793" w:rsidRDefault="00424793" w:rsidP="00004498">
      <w:pPr>
        <w:rPr>
          <w:rFonts w:ascii="Arial Black" w:hAnsi="Arial Black"/>
          <w:b/>
          <w:bCs/>
          <w:sz w:val="24"/>
          <w:szCs w:val="24"/>
        </w:rPr>
      </w:pPr>
    </w:p>
    <w:p w14:paraId="7C5C0CC2" w14:textId="11759C71" w:rsidR="00424793" w:rsidRDefault="00424793" w:rsidP="00004498">
      <w:pPr>
        <w:rPr>
          <w:rFonts w:ascii="Arial Black" w:hAnsi="Arial Black"/>
          <w:b/>
          <w:bCs/>
          <w:sz w:val="24"/>
          <w:szCs w:val="24"/>
        </w:rPr>
      </w:pPr>
      <w:r>
        <w:rPr>
          <w:rFonts w:ascii="Arial Black" w:hAnsi="Arial Black"/>
          <w:b/>
          <w:bCs/>
          <w:sz w:val="24"/>
          <w:szCs w:val="24"/>
        </w:rPr>
        <w:t>13-</w:t>
      </w:r>
      <w:r w:rsidR="002E2246">
        <w:rPr>
          <w:rFonts w:ascii="Arial Black" w:hAnsi="Arial Black"/>
          <w:b/>
          <w:bCs/>
          <w:sz w:val="24"/>
          <w:szCs w:val="24"/>
        </w:rPr>
        <w:t>24</w:t>
      </w:r>
      <w:r w:rsidR="00524647">
        <w:rPr>
          <w:rFonts w:ascii="Arial Black" w:hAnsi="Arial Black"/>
          <w:b/>
          <w:bCs/>
          <w:sz w:val="24"/>
          <w:szCs w:val="24"/>
        </w:rPr>
        <w:t>0</w:t>
      </w:r>
    </w:p>
    <w:p w14:paraId="60C44056" w14:textId="77777777" w:rsidR="006F6E5A" w:rsidRPr="00EA63F0" w:rsidRDefault="006F6E5A" w:rsidP="006F6E5A">
      <w:pPr>
        <w:rPr>
          <w:rFonts w:ascii="Arial Black" w:hAnsi="Arial Black"/>
          <w:b/>
          <w:sz w:val="28"/>
          <w:szCs w:val="28"/>
        </w:rPr>
      </w:pPr>
      <w:r>
        <w:rPr>
          <w:rFonts w:ascii="Arial Black" w:hAnsi="Arial Black"/>
          <w:b/>
          <w:sz w:val="28"/>
          <w:szCs w:val="28"/>
        </w:rPr>
        <w:t xml:space="preserve">NY: NO TRANSPORT – PT AGREED WITH EMS – IMMUNITY </w:t>
      </w:r>
    </w:p>
    <w:p w14:paraId="63E51B80" w14:textId="7F621EB5" w:rsidR="006F6E5A" w:rsidRDefault="006F6E5A" w:rsidP="006F6E5A">
      <w:pPr>
        <w:rPr>
          <w:bCs/>
        </w:rPr>
      </w:pPr>
      <w:r>
        <w:t xml:space="preserve">On December 23, 2025, in </w:t>
      </w:r>
      <w:r w:rsidRPr="000C240F">
        <w:rPr>
          <w:u w:val="single"/>
        </w:rPr>
        <w:t>Kathleen Gumkowski, Administrator Of The Estate Of Gregory Gumkowski, Deceased, et al. v. Thomas Shwaab, M.D., et al</w:t>
      </w:r>
      <w:r>
        <w:t xml:space="preserve">., the </w:t>
      </w:r>
      <w:r w:rsidRPr="000C240F">
        <w:t>Supreme Court of New York, Fourth Department</w:t>
      </w:r>
      <w:r>
        <w:t xml:space="preserve">, held (5 to 0) that the trial improperly denied summary judgment for the Town of Tonawanda, Town of Tonawanda EMS and two paramedics on the run.   EMS and the patient jointly </w:t>
      </w:r>
      <w:proofErr w:type="gramStart"/>
      <w:r>
        <w:t>agreed</w:t>
      </w:r>
      <w:proofErr w:type="gramEnd"/>
      <w:r>
        <w:t xml:space="preserve"> no transport was necessary. </w:t>
      </w:r>
      <w:hyperlink r:id="rId2000" w:history="1">
        <w:r w:rsidR="008343E2" w:rsidRPr="000F3B38">
          <w:rPr>
            <w:rStyle w:val="Hyperlink"/>
            <w:b/>
          </w:rPr>
          <w:t>https://law.justia.com/cases/new-york/appellate-division-fourth-department/2025/816-1-ca-24-01193.html</w:t>
        </w:r>
      </w:hyperlink>
    </w:p>
    <w:p w14:paraId="675CEBCB" w14:textId="77777777" w:rsidR="006F6E5A" w:rsidRDefault="006F6E5A" w:rsidP="006F6E5A">
      <w:pPr>
        <w:rPr>
          <w:bCs/>
        </w:rPr>
      </w:pPr>
      <w:r>
        <w:t>THE COURT HELD:</w:t>
      </w:r>
    </w:p>
    <w:p w14:paraId="72CEB2F8" w14:textId="77777777" w:rsidR="006F6E5A" w:rsidRDefault="006F6E5A" w:rsidP="006F6E5A">
      <w:pPr>
        <w:pStyle w:val="NoSpacing"/>
        <w:ind w:left="720"/>
      </w:pPr>
      <w:r>
        <w:t>“</w:t>
      </w:r>
      <w:r w:rsidRPr="00604A64">
        <w:t>Following his discharge</w:t>
      </w:r>
      <w:r>
        <w:t xml:space="preserve"> [on Jan. 11, </w:t>
      </w:r>
      <w:proofErr w:type="gramStart"/>
      <w:r>
        <w:t>2016</w:t>
      </w:r>
      <w:proofErr w:type="gramEnd"/>
      <w:r>
        <w:t xml:space="preserve"> from </w:t>
      </w:r>
      <w:r w:rsidRPr="001B33C6">
        <w:t>Roswell Park Cancer Institute</w:t>
      </w:r>
      <w:r>
        <w:t>]</w:t>
      </w:r>
      <w:r w:rsidRPr="00604A64">
        <w:t xml:space="preserve">, decedent called Roswell Park on several occasions, including a call to Pieri </w:t>
      </w:r>
      <w:r>
        <w:t>[</w:t>
      </w:r>
      <w:r w:rsidRPr="00DA5A83">
        <w:t>Christine Pieri, R.N</w:t>
      </w:r>
      <w:r>
        <w:t xml:space="preserve">.] </w:t>
      </w:r>
      <w:r w:rsidRPr="00604A64">
        <w:t xml:space="preserve">on January 13, 2016, wherein decedent reported shallow breathing and lightheadedness. A few hours later, decedent called 911 with a chief complaint of shortness of breath. </w:t>
      </w:r>
      <w:proofErr w:type="spellStart"/>
      <w:r w:rsidRPr="00604A64">
        <w:t>Rutenkroger</w:t>
      </w:r>
      <w:proofErr w:type="spellEnd"/>
      <w:r w:rsidRPr="00604A64">
        <w:t xml:space="preserve"> and Rice, paramedics employed by the Town of Tonawanda, arrived at the decedent's residence, took his vital signs, and assessed his condition. Given decedent's history of anxiety and the absence of any other clinical indications of respiratory distress, the paramedics concluded that decedent's shortness of breath was caused by anxiety. According to plaintiff's deposition testimony, decedent and the paramedics made "a joint decision" that decedent would not be taken to the emergency room that day, and decedent signed a treatment refusal acknowledgment.</w:t>
      </w:r>
    </w:p>
    <w:p w14:paraId="7EB4C754" w14:textId="77777777" w:rsidR="006F6E5A" w:rsidRDefault="006F6E5A" w:rsidP="006F6E5A">
      <w:pPr>
        <w:pStyle w:val="NoSpacing"/>
        <w:ind w:left="720"/>
      </w:pPr>
    </w:p>
    <w:p w14:paraId="784FEFCD" w14:textId="77777777" w:rsidR="006F6E5A" w:rsidRDefault="006F6E5A" w:rsidP="006F6E5A">
      <w:pPr>
        <w:pStyle w:val="NoSpacing"/>
        <w:ind w:left="720"/>
      </w:pPr>
      <w:r>
        <w:t>***</w:t>
      </w:r>
    </w:p>
    <w:p w14:paraId="2DAF8947" w14:textId="77777777" w:rsidR="006F6E5A" w:rsidRDefault="006F6E5A" w:rsidP="006F6E5A">
      <w:pPr>
        <w:pStyle w:val="NoSpacing"/>
        <w:ind w:left="720"/>
      </w:pPr>
    </w:p>
    <w:p w14:paraId="423241BC" w14:textId="77777777" w:rsidR="006F6E5A" w:rsidRDefault="006F6E5A" w:rsidP="006F6E5A">
      <w:pPr>
        <w:pStyle w:val="NoSpacing"/>
        <w:ind w:left="720"/>
      </w:pPr>
      <w:r w:rsidRPr="006D0006">
        <w:t xml:space="preserve">Under the circumstances presented here, we conclude that the Town defendants established that </w:t>
      </w:r>
      <w:proofErr w:type="spellStart"/>
      <w:r w:rsidRPr="006D0006">
        <w:t>Rutenkroger's</w:t>
      </w:r>
      <w:proofErr w:type="spellEnd"/>
      <w:r w:rsidRPr="006D0006">
        <w:t xml:space="preserve"> and Rice's actions were discretionary and, thus, the Town defendants are entitled to governmental function immunity.</w:t>
      </w:r>
    </w:p>
    <w:p w14:paraId="1D109414" w14:textId="77777777" w:rsidR="006F6E5A" w:rsidRDefault="006F6E5A" w:rsidP="006F6E5A">
      <w:pPr>
        <w:pStyle w:val="NoSpacing"/>
        <w:ind w:left="720"/>
      </w:pPr>
    </w:p>
    <w:p w14:paraId="200D8162" w14:textId="77777777" w:rsidR="006F6E5A" w:rsidRDefault="006F6E5A" w:rsidP="006F6E5A">
      <w:pPr>
        <w:pStyle w:val="NoSpacing"/>
        <w:ind w:left="720"/>
      </w:pPr>
      <w:r>
        <w:t>***</w:t>
      </w:r>
    </w:p>
    <w:p w14:paraId="41295655" w14:textId="77777777" w:rsidR="006F6E5A" w:rsidRDefault="006F6E5A" w:rsidP="006F6E5A">
      <w:pPr>
        <w:pStyle w:val="NoSpacing"/>
        <w:ind w:left="720"/>
      </w:pPr>
    </w:p>
    <w:p w14:paraId="69E1CA87" w14:textId="77777777" w:rsidR="006F6E5A" w:rsidRDefault="006F6E5A" w:rsidP="006F6E5A">
      <w:pPr>
        <w:ind w:left="720"/>
        <w:rPr>
          <w:b/>
        </w:rPr>
      </w:pPr>
      <w:r>
        <w:t>[W]</w:t>
      </w:r>
      <w:r w:rsidRPr="003E3A48">
        <w:t xml:space="preserve">e </w:t>
      </w:r>
      <w:proofErr w:type="gramStart"/>
      <w:r w:rsidRPr="003E3A48">
        <w:t>agree</w:t>
      </w:r>
      <w:proofErr w:type="gramEnd"/>
      <w:r w:rsidRPr="003E3A48">
        <w:t xml:space="preserve"> with the Town defendants that they are entitled to governmental function immunity and the court therefore erred in denying their motion for summary judgment dismissing the complaint and </w:t>
      </w:r>
      <w:proofErr w:type="gramStart"/>
      <w:r w:rsidRPr="003E3A48">
        <w:t>cross-claims</w:t>
      </w:r>
      <w:proofErr w:type="gramEnd"/>
      <w:r w:rsidRPr="003E3A48">
        <w:t xml:space="preserve"> against them. </w:t>
      </w:r>
      <w:r>
        <w:t>‘</w:t>
      </w:r>
      <w:r w:rsidRPr="003E3A48">
        <w:t>A municipality is immune from liability where the actions of its employees in performing governmental functions involve[ ] the exercise of discretion</w:t>
      </w:r>
      <w:r>
        <w:t>’</w:t>
      </w:r>
      <w:r w:rsidRPr="003E3A48">
        <w:t xml:space="preserve"> (</w:t>
      </w:r>
      <w:r w:rsidRPr="003E3A48">
        <w:rPr>
          <w:i/>
          <w:iCs/>
        </w:rPr>
        <w:t>Morales v City of New York</w:t>
      </w:r>
      <w:r w:rsidRPr="003E3A48">
        <w:t xml:space="preserve">, 235 AD3d 595, 597 [1st Dept 2025]; </w:t>
      </w:r>
      <w:r w:rsidRPr="003E3A48">
        <w:rPr>
          <w:i/>
          <w:iCs/>
        </w:rPr>
        <w:t>see McLean v City of New York</w:t>
      </w:r>
      <w:r w:rsidRPr="003E3A48">
        <w:t xml:space="preserve">, 12 NY3d 194, 202-203 [2009]). </w:t>
      </w:r>
      <w:r>
        <w:t>‘</w:t>
      </w:r>
      <w:r w:rsidRPr="003E3A48">
        <w:t>[A]</w:t>
      </w:r>
      <w:proofErr w:type="spellStart"/>
      <w:r w:rsidRPr="003E3A48">
        <w:t>mbulance</w:t>
      </w:r>
      <w:proofErr w:type="spellEnd"/>
      <w:r w:rsidRPr="003E3A48">
        <w:t xml:space="preserve"> assistance rendered by first responders . . . should be viewed as a classic governmental, rather than proprietary, function</w:t>
      </w:r>
      <w:r>
        <w:t>’</w:t>
      </w:r>
      <w:r w:rsidRPr="003E3A48">
        <w:t xml:space="preserve"> (</w:t>
      </w:r>
      <w:r w:rsidRPr="003E3A48">
        <w:rPr>
          <w:i/>
          <w:iCs/>
        </w:rPr>
        <w:t xml:space="preserve">Applewhite v </w:t>
      </w:r>
      <w:proofErr w:type="spellStart"/>
      <w:r w:rsidRPr="003E3A48">
        <w:rPr>
          <w:i/>
          <w:iCs/>
        </w:rPr>
        <w:t>Accuhealth</w:t>
      </w:r>
      <w:proofErr w:type="spellEnd"/>
      <w:r w:rsidRPr="003E3A48">
        <w:t>,</w:t>
      </w:r>
      <w:r w:rsidRPr="003E3A48">
        <w:rPr>
          <w:i/>
          <w:iCs/>
        </w:rPr>
        <w:t xml:space="preserve"> Inc</w:t>
      </w:r>
      <w:r w:rsidRPr="003E3A48">
        <w:t>., 21 NY3d 420, 430 [2013] [internal quotation marks omitted]).</w:t>
      </w:r>
      <w:r>
        <w:t xml:space="preserve">” </w:t>
      </w:r>
      <w:hyperlink r:id="rId2001" w:history="1">
        <w:r w:rsidRPr="009B6A10">
          <w:rPr>
            <w:rStyle w:val="Hyperlink"/>
            <w:b/>
          </w:rPr>
          <w:t>https://law.justia.com/cases/new-york/appellate-division-fourth-department/2025/816-1-ca-24-01193.html</w:t>
        </w:r>
      </w:hyperlink>
      <w:r>
        <w:rPr>
          <w:b/>
        </w:rPr>
        <w:t xml:space="preserve"> </w:t>
      </w:r>
    </w:p>
    <w:p w14:paraId="16237A1B" w14:textId="77777777" w:rsidR="006F6E5A" w:rsidRDefault="006F6E5A" w:rsidP="006F6E5A">
      <w:pPr>
        <w:pStyle w:val="NoSpacing"/>
        <w:ind w:left="720"/>
      </w:pPr>
    </w:p>
    <w:p w14:paraId="6A102836" w14:textId="77777777" w:rsidR="006F6E5A" w:rsidRPr="0080119F" w:rsidRDefault="006F6E5A" w:rsidP="006F6E5A">
      <w:pPr>
        <w:pStyle w:val="NoSpacing"/>
        <w:rPr>
          <w:b/>
          <w:bCs/>
        </w:rPr>
      </w:pPr>
      <w:r>
        <w:rPr>
          <w:b/>
        </w:rPr>
        <w:t>Legal lesson learned: Medics and patient made “joint decision” to not transport – hopefully they also had patient sign a refusal form.   When in doubt, also call Hospital Medical Control.</w:t>
      </w:r>
    </w:p>
    <w:p w14:paraId="08E3879F" w14:textId="77777777" w:rsidR="006F6E5A" w:rsidRDefault="006F6E5A" w:rsidP="006F6E5A">
      <w:pPr>
        <w:pStyle w:val="NoSpacing"/>
      </w:pPr>
    </w:p>
    <w:p w14:paraId="369F8F71" w14:textId="77777777" w:rsidR="00CD1570" w:rsidRDefault="00CD1570" w:rsidP="00004498">
      <w:pPr>
        <w:rPr>
          <w:rFonts w:ascii="Arial Black" w:hAnsi="Arial Black"/>
          <w:b/>
          <w:bCs/>
          <w:sz w:val="24"/>
          <w:szCs w:val="24"/>
        </w:rPr>
      </w:pPr>
    </w:p>
    <w:p w14:paraId="4DD3D089" w14:textId="1628CF26" w:rsidR="00424793" w:rsidRDefault="006F6E5A" w:rsidP="00004498">
      <w:pPr>
        <w:rPr>
          <w:rFonts w:ascii="Arial Black" w:hAnsi="Arial Black"/>
          <w:b/>
          <w:bCs/>
          <w:sz w:val="24"/>
          <w:szCs w:val="24"/>
        </w:rPr>
      </w:pPr>
      <w:r>
        <w:rPr>
          <w:rFonts w:ascii="Arial Black" w:hAnsi="Arial Black"/>
          <w:b/>
          <w:bCs/>
          <w:sz w:val="24"/>
          <w:szCs w:val="24"/>
        </w:rPr>
        <w:t>13-</w:t>
      </w:r>
      <w:r w:rsidR="002E2246">
        <w:rPr>
          <w:rFonts w:ascii="Arial Black" w:hAnsi="Arial Black"/>
          <w:b/>
          <w:bCs/>
          <w:sz w:val="24"/>
          <w:szCs w:val="24"/>
        </w:rPr>
        <w:t>2</w:t>
      </w:r>
      <w:r w:rsidR="00524647">
        <w:rPr>
          <w:rFonts w:ascii="Arial Black" w:hAnsi="Arial Black"/>
          <w:b/>
          <w:bCs/>
          <w:sz w:val="24"/>
          <w:szCs w:val="24"/>
        </w:rPr>
        <w:t>39</w:t>
      </w:r>
    </w:p>
    <w:p w14:paraId="0887E386" w14:textId="77777777" w:rsidR="007D294B" w:rsidRDefault="007D294B" w:rsidP="00004498">
      <w:pPr>
        <w:rPr>
          <w:rFonts w:ascii="Arial Black" w:hAnsi="Arial Black"/>
          <w:b/>
          <w:bCs/>
          <w:sz w:val="24"/>
          <w:szCs w:val="24"/>
        </w:rPr>
      </w:pPr>
    </w:p>
    <w:p w14:paraId="25DF064C" w14:textId="77777777" w:rsidR="00092D5A" w:rsidRPr="008159A8" w:rsidRDefault="00092D5A" w:rsidP="00092D5A">
      <w:pPr>
        <w:rPr>
          <w:rFonts w:ascii="Arial Black" w:hAnsi="Arial Black"/>
          <w:b/>
          <w:sz w:val="28"/>
          <w:szCs w:val="28"/>
        </w:rPr>
      </w:pPr>
      <w:r>
        <w:rPr>
          <w:rFonts w:ascii="Arial Black" w:hAnsi="Arial Black"/>
          <w:b/>
          <w:sz w:val="28"/>
          <w:szCs w:val="28"/>
        </w:rPr>
        <w:t>NY: DISPATCH DID NOT TELL PT 1</w:t>
      </w:r>
      <w:r w:rsidRPr="001E7EF7">
        <w:rPr>
          <w:rFonts w:ascii="Arial Black" w:hAnsi="Arial Black"/>
          <w:b/>
          <w:sz w:val="28"/>
          <w:szCs w:val="28"/>
          <w:vertAlign w:val="superscript"/>
        </w:rPr>
        <w:t>st</w:t>
      </w:r>
      <w:r>
        <w:rPr>
          <w:rFonts w:ascii="Arial Black" w:hAnsi="Arial Black"/>
          <w:b/>
          <w:sz w:val="28"/>
          <w:szCs w:val="28"/>
        </w:rPr>
        <w:t xml:space="preserve"> UNIT ALS - IMMUNITY</w:t>
      </w:r>
    </w:p>
    <w:p w14:paraId="78016B85" w14:textId="3CF15A8B" w:rsidR="00092D5A" w:rsidRPr="00A528FE" w:rsidRDefault="00092D5A" w:rsidP="00092D5A">
      <w:pPr>
        <w:rPr>
          <w:bCs/>
        </w:rPr>
      </w:pPr>
      <w:r w:rsidRPr="00A528FE">
        <w:t xml:space="preserve">On December 18, 2025, in </w:t>
      </w:r>
      <w:r w:rsidRPr="00A528FE">
        <w:rPr>
          <w:u w:val="single"/>
        </w:rPr>
        <w:t>Ebony Hinkson, et al. v. New York-Presbyterian Queens, et al</w:t>
      </w:r>
      <w:r w:rsidRPr="00A528FE">
        <w:t xml:space="preserve">., </w:t>
      </w:r>
      <w:r>
        <w:t xml:space="preserve">the </w:t>
      </w:r>
      <w:r w:rsidRPr="00A528FE">
        <w:t>Supreme Court of New York, First Department</w:t>
      </w:r>
      <w:r>
        <w:t xml:space="preserve"> held (4 to ) that that trial court judge improperly denied motion to dismiss by </w:t>
      </w:r>
      <w:r w:rsidRPr="006D09AC">
        <w:t>City of New York and FDNY EMS</w:t>
      </w:r>
      <w:r>
        <w:t xml:space="preserve">.  Dispatch did not advise patient that ALS would be first on scene.  </w:t>
      </w:r>
      <w:hyperlink r:id="rId2002" w:history="1">
        <w:r w:rsidR="008343E2" w:rsidRPr="000F3B38">
          <w:rPr>
            <w:rStyle w:val="Hyperlink"/>
          </w:rPr>
          <w:t>https://law.justia.com/cases/new-york/appellate-division-first-department/2025/index-no-153104-18-appeal-no-5428-case-no-2024-01885.html</w:t>
        </w:r>
      </w:hyperlink>
      <w:r>
        <w:t xml:space="preserve"> </w:t>
      </w:r>
    </w:p>
    <w:p w14:paraId="6986CC51" w14:textId="77777777" w:rsidR="00092D5A" w:rsidRPr="00A528FE" w:rsidRDefault="00092D5A" w:rsidP="00092D5A">
      <w:pPr>
        <w:rPr>
          <w:bCs/>
        </w:rPr>
      </w:pPr>
      <w:r>
        <w:t>THE COURT HELD:</w:t>
      </w:r>
    </w:p>
    <w:p w14:paraId="73593B21" w14:textId="77777777" w:rsidR="00092D5A" w:rsidRDefault="00092D5A" w:rsidP="00092D5A">
      <w:pPr>
        <w:ind w:left="720"/>
      </w:pPr>
      <w:r>
        <w:rPr>
          <w:b/>
        </w:rPr>
        <w:t>“</w:t>
      </w:r>
      <w:r w:rsidRPr="006939D7">
        <w:t xml:space="preserve">To establish the requisite </w:t>
      </w:r>
      <w:r>
        <w:t>‘</w:t>
      </w:r>
      <w:r w:rsidRPr="006939D7">
        <w:t>assumption by the municipality, through promises or actions, of an affirmative duty to act on behalf of the party who was injured</w:t>
      </w:r>
      <w:r>
        <w:t>’ … p</w:t>
      </w:r>
      <w:r w:rsidRPr="006939D7">
        <w:t>laintiff relies solely on the 911 operator's purported assurance to the decedent's grandmother that an ambulance was on its way; the grandmother does not claim to have received any additional assurances from the FDNY paramedics themselves. It is not enough that they arrived and provided treatment because that is what emergency responders do for any member of the public (</w:t>
      </w:r>
      <w:r w:rsidRPr="006939D7">
        <w:rPr>
          <w:i/>
          <w:iCs/>
        </w:rPr>
        <w:t xml:space="preserve">see Estate of Kyle A. v New York City </w:t>
      </w:r>
      <w:proofErr w:type="spellStart"/>
      <w:r w:rsidRPr="006939D7">
        <w:rPr>
          <w:i/>
          <w:iCs/>
        </w:rPr>
        <w:t>Hous</w:t>
      </w:r>
      <w:proofErr w:type="spellEnd"/>
      <w:r w:rsidRPr="006939D7">
        <w:rPr>
          <w:i/>
          <w:iCs/>
        </w:rPr>
        <w:t>. Auth.</w:t>
      </w:r>
      <w:r w:rsidRPr="006939D7">
        <w:t>, 181 AD3d 492, 493 [1st Dept 2020]). Even ignoring any purported inconsistencies between the grandmother's deposition testimony and her summary judgment opposition affidavit with respect to what the 911 operator said, any special duty created by the 911 operator's purported assurance that the ambulance was on its way was fulfilled when the first ambulance (operated by defendant New York-Presbyterian d/b/a New York Presbyterian EMS [NYP-EMS]) arrived five minutes later.</w:t>
      </w:r>
    </w:p>
    <w:p w14:paraId="413E5CEC" w14:textId="77777777" w:rsidR="00092D5A" w:rsidRPr="006939D7" w:rsidRDefault="00092D5A" w:rsidP="00092D5A">
      <w:pPr>
        <w:ind w:left="720"/>
      </w:pPr>
      <w:r>
        <w:t>***</w:t>
      </w:r>
    </w:p>
    <w:p w14:paraId="107F8DFF" w14:textId="77777777" w:rsidR="00092D5A" w:rsidRPr="006939D7" w:rsidRDefault="00092D5A" w:rsidP="00092D5A">
      <w:pPr>
        <w:pStyle w:val="NoSpacing"/>
        <w:ind w:left="720"/>
      </w:pPr>
      <w:r w:rsidRPr="006939D7">
        <w:t>Plaintiff does not claim that the 911 operator promised that the ambulance would be capable of rendering advanced life support (ALS) rather than basic life support or that it would be operated by the FDNY as opposed to some other provider. The 911 operator at any rate also dispatched an FDNY ALS ambulance at the same time; it was just farther away and took longer (14 minutes) to arrive. Plaintiff does not claim that there was anything negligent about the amount of time it took the FDNY ambulance to arrive, challenging only the NYP-EMS ambulance's delay of transport (for which the City is not responsible) (</w:t>
      </w:r>
      <w:r w:rsidRPr="006939D7">
        <w:rPr>
          <w:i/>
          <w:iCs/>
        </w:rPr>
        <w:t xml:space="preserve">see Brown v </w:t>
      </w:r>
      <w:proofErr w:type="spellStart"/>
      <w:r w:rsidRPr="006939D7">
        <w:rPr>
          <w:i/>
          <w:iCs/>
        </w:rPr>
        <w:t>Transcare</w:t>
      </w:r>
      <w:proofErr w:type="spellEnd"/>
      <w:r w:rsidRPr="006939D7">
        <w:rPr>
          <w:i/>
          <w:iCs/>
        </w:rPr>
        <w:t xml:space="preserve"> N.Y., Inc.</w:t>
      </w:r>
      <w:r w:rsidRPr="006939D7">
        <w:t>, 27 AD3d 350, 351 [1st Dept 2006]), and the FDNY paramedics' failure to properly intubate the decedent (which had nothing to do with their time of arrival).</w:t>
      </w:r>
      <w:r>
        <w:t>”</w:t>
      </w:r>
    </w:p>
    <w:p w14:paraId="08773553" w14:textId="77777777" w:rsidR="00092D5A" w:rsidRDefault="00092D5A" w:rsidP="00092D5A">
      <w:pPr>
        <w:rPr>
          <w:b/>
        </w:rPr>
      </w:pPr>
    </w:p>
    <w:p w14:paraId="604561C7" w14:textId="2264219F" w:rsidR="00092D5A" w:rsidRPr="00F02ABA" w:rsidRDefault="00092D5A" w:rsidP="00092D5A">
      <w:pPr>
        <w:rPr>
          <w:b/>
        </w:rPr>
      </w:pPr>
      <w:r>
        <w:rPr>
          <w:b/>
        </w:rPr>
        <w:t>Legal lesson learned: Dispatchers and EMS enjoy immunity – owe no “special duty” t</w:t>
      </w:r>
      <w:r w:rsidR="00A33C55">
        <w:rPr>
          <w:b/>
        </w:rPr>
        <w:t>o</w:t>
      </w:r>
      <w:r>
        <w:rPr>
          <w:b/>
        </w:rPr>
        <w:t xml:space="preserve"> patients. </w:t>
      </w:r>
    </w:p>
    <w:p w14:paraId="60C50B13" w14:textId="77777777" w:rsidR="00092D5A" w:rsidRDefault="00092D5A" w:rsidP="00092D5A">
      <w:pPr>
        <w:pStyle w:val="NoSpacing"/>
      </w:pPr>
    </w:p>
    <w:p w14:paraId="0246B471" w14:textId="77777777" w:rsidR="00092D5A" w:rsidRDefault="00092D5A" w:rsidP="00092D5A">
      <w:pPr>
        <w:pStyle w:val="NoSpacing"/>
      </w:pPr>
    </w:p>
    <w:p w14:paraId="66D5347F" w14:textId="240E3528" w:rsidR="00BE2EF9" w:rsidRDefault="00092D5A" w:rsidP="00004498">
      <w:pPr>
        <w:rPr>
          <w:rFonts w:ascii="Arial Black" w:hAnsi="Arial Black"/>
          <w:b/>
          <w:bCs/>
          <w:sz w:val="24"/>
          <w:szCs w:val="24"/>
        </w:rPr>
      </w:pPr>
      <w:r>
        <w:rPr>
          <w:rFonts w:ascii="Arial Black" w:hAnsi="Arial Black"/>
          <w:b/>
          <w:bCs/>
          <w:sz w:val="24"/>
          <w:szCs w:val="24"/>
        </w:rPr>
        <w:t xml:space="preserve">13 </w:t>
      </w:r>
      <w:r w:rsidR="00BE2EF9">
        <w:rPr>
          <w:rFonts w:ascii="Arial Black" w:hAnsi="Arial Black"/>
          <w:b/>
          <w:bCs/>
          <w:sz w:val="24"/>
          <w:szCs w:val="24"/>
        </w:rPr>
        <w:t>–</w:t>
      </w:r>
      <w:r>
        <w:rPr>
          <w:rFonts w:ascii="Arial Black" w:hAnsi="Arial Black"/>
          <w:b/>
          <w:bCs/>
          <w:sz w:val="24"/>
          <w:szCs w:val="24"/>
        </w:rPr>
        <w:t xml:space="preserve"> </w:t>
      </w:r>
      <w:r w:rsidR="002E2246">
        <w:rPr>
          <w:rFonts w:ascii="Arial Black" w:hAnsi="Arial Black"/>
          <w:b/>
          <w:bCs/>
          <w:sz w:val="24"/>
          <w:szCs w:val="24"/>
        </w:rPr>
        <w:t>23</w:t>
      </w:r>
      <w:r w:rsidR="00524647">
        <w:rPr>
          <w:rFonts w:ascii="Arial Black" w:hAnsi="Arial Black"/>
          <w:b/>
          <w:bCs/>
          <w:sz w:val="24"/>
          <w:szCs w:val="24"/>
        </w:rPr>
        <w:t>8</w:t>
      </w:r>
    </w:p>
    <w:p w14:paraId="2A628E46" w14:textId="77777777" w:rsidR="00BE2EF9" w:rsidRDefault="00BE2EF9" w:rsidP="00BE2EF9">
      <w:pPr>
        <w:rPr>
          <w:rFonts w:ascii="Arial Black" w:hAnsi="Arial Black"/>
          <w:b/>
          <w:sz w:val="28"/>
          <w:szCs w:val="28"/>
        </w:rPr>
      </w:pPr>
      <w:r>
        <w:rPr>
          <w:rFonts w:ascii="Arial Black" w:hAnsi="Arial Black"/>
          <w:b/>
          <w:sz w:val="28"/>
          <w:szCs w:val="28"/>
        </w:rPr>
        <w:t xml:space="preserve">CA: AMR – WAS COUNTY EMS - </w:t>
      </w:r>
      <w:proofErr w:type="spellStart"/>
      <w:r>
        <w:rPr>
          <w:rFonts w:ascii="Arial Black" w:hAnsi="Arial Black"/>
          <w:b/>
          <w:sz w:val="28"/>
          <w:szCs w:val="28"/>
        </w:rPr>
        <w:t>ConFIRE</w:t>
      </w:r>
      <w:proofErr w:type="spellEnd"/>
      <w:r>
        <w:rPr>
          <w:rFonts w:ascii="Arial Black" w:hAnsi="Arial Black"/>
          <w:b/>
          <w:sz w:val="28"/>
          <w:szCs w:val="28"/>
        </w:rPr>
        <w:t xml:space="preserve"> WINS CONTRACT</w:t>
      </w:r>
    </w:p>
    <w:p w14:paraId="21F8D538" w14:textId="77777777" w:rsidR="00BE2EF9" w:rsidRPr="00E654C4" w:rsidRDefault="00BE2EF9" w:rsidP="00BE2EF9">
      <w:pPr>
        <w:rPr>
          <w:b/>
        </w:rPr>
      </w:pPr>
      <w:r w:rsidRPr="001079CA">
        <w:t xml:space="preserve">On December 18, 205 in </w:t>
      </w:r>
      <w:r w:rsidRPr="000020FF">
        <w:rPr>
          <w:u w:val="single"/>
        </w:rPr>
        <w:t>American Medical Response of Inland Empire v. County of San Bernardino, et al</w:t>
      </w:r>
      <w:r>
        <w:t xml:space="preserve">.; the </w:t>
      </w:r>
      <w:r w:rsidRPr="000020FF">
        <w:t>California Court of Appeals, Fourth District, First Division</w:t>
      </w:r>
      <w:r>
        <w:t xml:space="preserve"> held (3 to 0; unpublished decision) that trial court improperly granted AMR a preliminary injunction during the pendency of this lawsuit to stop the County from switching to </w:t>
      </w:r>
      <w:proofErr w:type="spellStart"/>
      <w:r>
        <w:t>ConFire</w:t>
      </w:r>
      <w:proofErr w:type="spellEnd"/>
      <w:r>
        <w:t xml:space="preserve"> as their new EMS provider. </w:t>
      </w:r>
      <w:hyperlink r:id="rId2003" w:history="1">
        <w:r w:rsidRPr="00FC78E3">
          <w:rPr>
            <w:rStyle w:val="Hyperlink"/>
            <w:b/>
          </w:rPr>
          <w:t>https://www4.courts.ca.gov/opinions/nonpub/D085716.PDF</w:t>
        </w:r>
      </w:hyperlink>
      <w:r>
        <w:rPr>
          <w:b/>
        </w:rPr>
        <w:t xml:space="preserve"> </w:t>
      </w:r>
    </w:p>
    <w:p w14:paraId="62188B40" w14:textId="77777777" w:rsidR="00BE2EF9" w:rsidRPr="00E654C4" w:rsidRDefault="00BE2EF9" w:rsidP="00BE2EF9">
      <w:pPr>
        <w:rPr>
          <w:b/>
        </w:rPr>
      </w:pPr>
      <w:r>
        <w:t xml:space="preserve">THE COURT HELD: </w:t>
      </w:r>
    </w:p>
    <w:p w14:paraId="62A30225" w14:textId="77777777" w:rsidR="00BE2EF9" w:rsidRDefault="00BE2EF9" w:rsidP="00BE2EF9">
      <w:pPr>
        <w:pStyle w:val="NoSpacing"/>
        <w:ind w:left="720"/>
      </w:pPr>
      <w:r>
        <w:t>“</w:t>
      </w:r>
      <w:r w:rsidRPr="00BF5999">
        <w:t>AMR began operating as the ambulance service provider for the County in the late 1970s. Since that time, the County has retained AMR as its exclusive EMS provider, grandfathered into its system in accordance with section 1797.224 of the EMS Act</w:t>
      </w:r>
      <w:r>
        <w:t>.</w:t>
      </w:r>
    </w:p>
    <w:p w14:paraId="229634DD" w14:textId="77777777" w:rsidR="00BE2EF9" w:rsidRDefault="00BE2EF9" w:rsidP="00BE2EF9">
      <w:pPr>
        <w:pStyle w:val="NoSpacing"/>
        <w:ind w:left="720"/>
      </w:pPr>
    </w:p>
    <w:p w14:paraId="7776B994" w14:textId="77777777" w:rsidR="00BE2EF9" w:rsidRDefault="00BE2EF9" w:rsidP="00BE2EF9">
      <w:pPr>
        <w:pStyle w:val="NoSpacing"/>
        <w:ind w:left="720"/>
      </w:pPr>
      <w:r>
        <w:t>***</w:t>
      </w:r>
    </w:p>
    <w:p w14:paraId="20BA64EB" w14:textId="77777777" w:rsidR="00BE2EF9" w:rsidRDefault="00BE2EF9" w:rsidP="00BE2EF9">
      <w:pPr>
        <w:pStyle w:val="NoSpacing"/>
        <w:ind w:left="720"/>
      </w:pPr>
      <w:r w:rsidRPr="00356A3B">
        <w:t>In 2022, the County initiated a competitive process to improve its EMS system and issued a request for proposal (RFP) seeking bidders for a new exclusive contract to provide EMS services. The RFP set forth three overarching goals for its procurement process-to improve service delivery to customers and partners, to establish a more efficient EMS system, and to make investments back into the system.</w:t>
      </w:r>
    </w:p>
    <w:p w14:paraId="29BE527B" w14:textId="77777777" w:rsidR="00BE2EF9" w:rsidRDefault="00BE2EF9" w:rsidP="00BE2EF9">
      <w:pPr>
        <w:pStyle w:val="NoSpacing"/>
        <w:ind w:left="720"/>
      </w:pPr>
    </w:p>
    <w:p w14:paraId="056EFAA0" w14:textId="77777777" w:rsidR="00BE2EF9" w:rsidRDefault="00BE2EF9" w:rsidP="00BE2EF9">
      <w:pPr>
        <w:pStyle w:val="NoSpacing"/>
        <w:ind w:left="720"/>
      </w:pPr>
      <w:r>
        <w:t>***</w:t>
      </w:r>
    </w:p>
    <w:p w14:paraId="0D91799C" w14:textId="77777777" w:rsidR="00BE2EF9" w:rsidRDefault="00BE2EF9" w:rsidP="00BE2EF9">
      <w:pPr>
        <w:pStyle w:val="NoSpacing"/>
        <w:ind w:left="720"/>
      </w:pPr>
      <w:r>
        <w:t>T</w:t>
      </w:r>
      <w:r w:rsidRPr="00476B0A">
        <w:t xml:space="preserve">he County and </w:t>
      </w:r>
      <w:proofErr w:type="spellStart"/>
      <w:r w:rsidRPr="00476B0A">
        <w:t>ConFire</w:t>
      </w:r>
      <w:proofErr w:type="spellEnd"/>
      <w:r w:rsidRPr="00476B0A">
        <w:t xml:space="preserve"> appeal from the preliminary injunction order, asserting the trial court improperly determined the County had a ministerial duty to advance only AMR's proposal to the County's Board of Supervisors because it was the </w:t>
      </w:r>
      <w:r>
        <w:t>‘</w:t>
      </w:r>
      <w:proofErr w:type="gramStart"/>
      <w:r w:rsidRPr="00476B0A">
        <w:t>highest-scoring</w:t>
      </w:r>
      <w:proofErr w:type="gramEnd"/>
      <w:r>
        <w:t xml:space="preserve">’ </w:t>
      </w:r>
      <w:r w:rsidRPr="00476B0A">
        <w:t xml:space="preserve">proposal. Further, the County and </w:t>
      </w:r>
      <w:proofErr w:type="spellStart"/>
      <w:r w:rsidRPr="00476B0A">
        <w:t>ConFire</w:t>
      </w:r>
      <w:proofErr w:type="spellEnd"/>
      <w:r w:rsidRPr="00476B0A">
        <w:t xml:space="preserve"> assert the County did not abuse its discretion by advancing both </w:t>
      </w:r>
      <w:proofErr w:type="spellStart"/>
      <w:r w:rsidRPr="00476B0A">
        <w:t>ConFire's</w:t>
      </w:r>
      <w:proofErr w:type="spellEnd"/>
      <w:r w:rsidRPr="00476B0A">
        <w:t xml:space="preserve"> and AMR's proposals to the Board and ultimately selecting </w:t>
      </w:r>
      <w:proofErr w:type="spellStart"/>
      <w:r w:rsidRPr="00476B0A">
        <w:t>ConFire</w:t>
      </w:r>
      <w:proofErr w:type="spellEnd"/>
      <w:r w:rsidRPr="00476B0A">
        <w:t xml:space="preserve"> as the provider.</w:t>
      </w:r>
      <w:r>
        <w:t>”</w:t>
      </w:r>
    </w:p>
    <w:p w14:paraId="20F312F7" w14:textId="77777777" w:rsidR="00BE2EF9" w:rsidRDefault="00BE2EF9" w:rsidP="00BE2EF9">
      <w:pPr>
        <w:pStyle w:val="NoSpacing"/>
        <w:ind w:left="720"/>
      </w:pPr>
    </w:p>
    <w:p w14:paraId="282B5789" w14:textId="77777777" w:rsidR="00BE2EF9" w:rsidRDefault="00BE2EF9" w:rsidP="00BE2EF9">
      <w:pPr>
        <w:pStyle w:val="NoSpacing"/>
        <w:ind w:left="720"/>
      </w:pPr>
      <w:r>
        <w:t>***</w:t>
      </w:r>
    </w:p>
    <w:p w14:paraId="21C9F964" w14:textId="77777777" w:rsidR="00BE2EF9" w:rsidRDefault="00BE2EF9" w:rsidP="00BE2EF9">
      <w:pPr>
        <w:pStyle w:val="NoSpacing"/>
        <w:ind w:left="720"/>
      </w:pPr>
      <w:r>
        <w:t xml:space="preserve">The County received responses to the RFP from AMR and </w:t>
      </w:r>
      <w:proofErr w:type="spellStart"/>
      <w:r>
        <w:t>ConFire</w:t>
      </w:r>
      <w:proofErr w:type="spellEnd"/>
      <w:r>
        <w:t xml:space="preserve">. Four evaluators scored both proposals. Three of the four evaluators gave </w:t>
      </w:r>
      <w:proofErr w:type="spellStart"/>
      <w:r>
        <w:t>ConFire</w:t>
      </w:r>
      <w:proofErr w:type="spellEnd"/>
      <w:r>
        <w:t xml:space="preserve"> a higher score. The total cumulative score for AMR, however, was higher by four points. </w:t>
      </w:r>
      <w:proofErr w:type="spellStart"/>
      <w:r>
        <w:t>ConFire</w:t>
      </w:r>
      <w:proofErr w:type="spellEnd"/>
      <w:r>
        <w:t xml:space="preserve"> received individual scores </w:t>
      </w:r>
      <w:proofErr w:type="gramStart"/>
      <w:r>
        <w:t>of:</w:t>
      </w:r>
      <w:proofErr w:type="gramEnd"/>
      <w:r>
        <w:t xml:space="preserve"> 383, 384, 363 and 385. AMR’s scores were: 373, 419, 346, 381. After the proposals were scored, in June 2023, the County sent a letter to both AMR and </w:t>
      </w:r>
      <w:proofErr w:type="spellStart"/>
      <w:r>
        <w:t>ConFire</w:t>
      </w:r>
      <w:proofErr w:type="spellEnd"/>
      <w:r>
        <w:t xml:space="preserve"> stating that because the scores for both proposers were ‘substantially </w:t>
      </w:r>
      <w:proofErr w:type="gramStart"/>
      <w:r>
        <w:t>equivalent’</w:t>
      </w:r>
      <w:proofErr w:type="gramEnd"/>
      <w:r>
        <w:t xml:space="preserve"> it intended to ‘move forward with </w:t>
      </w:r>
      <w:proofErr w:type="gramStart"/>
      <w:r>
        <w:t xml:space="preserve">negotiations’ </w:t>
      </w:r>
      <w:proofErr w:type="gramEnd"/>
      <w:r>
        <w:t xml:space="preserve"> with both entities.</w:t>
      </w:r>
    </w:p>
    <w:p w14:paraId="5C7123E7" w14:textId="77777777" w:rsidR="00BE2EF9" w:rsidRDefault="00BE2EF9" w:rsidP="00BE2EF9">
      <w:pPr>
        <w:pStyle w:val="NoSpacing"/>
        <w:ind w:left="720"/>
      </w:pPr>
    </w:p>
    <w:p w14:paraId="7B7B460E" w14:textId="77777777" w:rsidR="00BE2EF9" w:rsidRDefault="00BE2EF9" w:rsidP="00BE2EF9">
      <w:pPr>
        <w:pStyle w:val="NoSpacing"/>
        <w:ind w:left="720"/>
      </w:pPr>
      <w:r>
        <w:t>***</w:t>
      </w:r>
    </w:p>
    <w:p w14:paraId="433B91EE" w14:textId="77777777" w:rsidR="00BE2EF9" w:rsidRDefault="00BE2EF9" w:rsidP="00BE2EF9">
      <w:pPr>
        <w:pStyle w:val="NoSpacing"/>
        <w:ind w:left="720"/>
      </w:pPr>
      <w:r>
        <w:t>On November 3, 2023, AMR submitted a letter protesting the County’s decision to advance both proposals to the Board…. On November 28, 2023, the County sent a letter to AMR denying its protest.</w:t>
      </w:r>
    </w:p>
    <w:p w14:paraId="5F5A2144" w14:textId="77777777" w:rsidR="00BE2EF9" w:rsidRDefault="00BE2EF9" w:rsidP="00BE2EF9">
      <w:pPr>
        <w:pStyle w:val="NoSpacing"/>
        <w:ind w:left="720"/>
      </w:pPr>
    </w:p>
    <w:p w14:paraId="1FBB0453" w14:textId="77777777" w:rsidR="00BE2EF9" w:rsidRDefault="00BE2EF9" w:rsidP="00BE2EF9">
      <w:pPr>
        <w:pStyle w:val="NoSpacing"/>
        <w:ind w:left="720"/>
      </w:pPr>
      <w:r>
        <w:t>***</w:t>
      </w:r>
    </w:p>
    <w:p w14:paraId="64A196BA" w14:textId="77777777" w:rsidR="00BE2EF9" w:rsidRDefault="00BE2EF9" w:rsidP="00BE2EF9">
      <w:pPr>
        <w:pStyle w:val="NoSpacing"/>
        <w:ind w:left="720"/>
      </w:pPr>
      <w:r>
        <w:t xml:space="preserve">At a regular meeting of the County’s Board on December 5, 2023, AMR and </w:t>
      </w:r>
      <w:proofErr w:type="spellStart"/>
      <w:r>
        <w:t>ConFire</w:t>
      </w:r>
      <w:proofErr w:type="spellEnd"/>
      <w:r>
        <w:t xml:space="preserve"> each presented their proposals. Thereafter, the Board heard several public comments in support of each proposal, including from representatives of cities within the exclusive operation area for which the RFP was issued. At the conclusion of the hearing, the Board voted to deny AMR’s protest and award the service contract to </w:t>
      </w:r>
      <w:proofErr w:type="spellStart"/>
      <w:r>
        <w:t>ConFire</w:t>
      </w:r>
      <w:proofErr w:type="spellEnd"/>
      <w:r>
        <w:t>.</w:t>
      </w:r>
    </w:p>
    <w:p w14:paraId="26204EB7" w14:textId="77777777" w:rsidR="00BE2EF9" w:rsidRDefault="00BE2EF9" w:rsidP="00BE2EF9">
      <w:pPr>
        <w:pStyle w:val="NoSpacing"/>
        <w:ind w:left="720"/>
      </w:pPr>
    </w:p>
    <w:p w14:paraId="40788099" w14:textId="77777777" w:rsidR="00BE2EF9" w:rsidRDefault="00BE2EF9" w:rsidP="00BE2EF9">
      <w:pPr>
        <w:pStyle w:val="NoSpacing"/>
        <w:ind w:left="720"/>
      </w:pPr>
      <w:r>
        <w:t>***</w:t>
      </w:r>
    </w:p>
    <w:p w14:paraId="69EA374F" w14:textId="77777777" w:rsidR="00BE2EF9" w:rsidRDefault="00BE2EF9" w:rsidP="00BE2EF9">
      <w:pPr>
        <w:pStyle w:val="NoSpacing"/>
        <w:ind w:left="720"/>
      </w:pPr>
      <w:r>
        <w:t xml:space="preserve">In short, the RFP’s plain language provides that the County may negotiate with more than one proposer and that the final determination is left to the discretion of the Board based on the scoring, and the Board’s determination of the proposer’s ability to meet the needs of the County and provide the best value. Contrary to the trial court’s </w:t>
      </w:r>
      <w:proofErr w:type="gramStart"/>
      <w:r>
        <w:t>finding</w:t>
      </w:r>
      <w:proofErr w:type="gramEnd"/>
      <w:r>
        <w:t>, the RFP does not impose a ministerial duty on the County to negotiate solely with the proposer</w:t>
      </w:r>
    </w:p>
    <w:p w14:paraId="5958C7B6" w14:textId="77777777" w:rsidR="00BE2EF9" w:rsidRDefault="00BE2EF9" w:rsidP="00BE2EF9">
      <w:pPr>
        <w:pStyle w:val="NoSpacing"/>
        <w:ind w:left="720"/>
      </w:pPr>
      <w:r>
        <w:t>who received the highest total score…. Given our conclusion that AMR cannot show a</w:t>
      </w:r>
    </w:p>
    <w:p w14:paraId="3DF26E2E" w14:textId="77777777" w:rsidR="00BE2EF9" w:rsidRDefault="00BE2EF9" w:rsidP="00BE2EF9">
      <w:pPr>
        <w:pStyle w:val="NoSpacing"/>
        <w:ind w:left="720"/>
      </w:pPr>
      <w:r>
        <w:t>likelihood of prevailing on the merits of its mandate claim and the general rule against enjoining public agencies, AMR has not shown that its risk of injury supports the imposition of a preliminary injunction.”</w:t>
      </w:r>
    </w:p>
    <w:p w14:paraId="1879A51E" w14:textId="77777777" w:rsidR="00BE2EF9" w:rsidRDefault="00BE2EF9" w:rsidP="00BE2EF9">
      <w:pPr>
        <w:pStyle w:val="NoSpacing"/>
        <w:ind w:left="720"/>
      </w:pPr>
    </w:p>
    <w:p w14:paraId="0DC0318A" w14:textId="77777777" w:rsidR="00BE2EF9" w:rsidRPr="00E778FA" w:rsidRDefault="00BE2EF9" w:rsidP="00BE2EF9">
      <w:pPr>
        <w:pStyle w:val="NoSpacing"/>
        <w:rPr>
          <w:b/>
          <w:bCs/>
        </w:rPr>
      </w:pPr>
      <w:r>
        <w:rPr>
          <w:b/>
        </w:rPr>
        <w:t xml:space="preserve">Legal lesson learned:  The RFP was clear and Courts </w:t>
      </w:r>
      <w:proofErr w:type="gramStart"/>
      <w:r>
        <w:rPr>
          <w:b/>
        </w:rPr>
        <w:t>as a general rule</w:t>
      </w:r>
      <w:proofErr w:type="gramEnd"/>
      <w:r>
        <w:rPr>
          <w:b/>
        </w:rPr>
        <w:t xml:space="preserve"> oppose issuing injunctions against public agencies. </w:t>
      </w:r>
    </w:p>
    <w:p w14:paraId="2139331B" w14:textId="77777777" w:rsidR="00BE2EF9" w:rsidRDefault="00BE2EF9" w:rsidP="00BE2EF9">
      <w:pPr>
        <w:pStyle w:val="NoSpacing"/>
      </w:pPr>
    </w:p>
    <w:p w14:paraId="04510C60" w14:textId="77777777" w:rsidR="002E2246" w:rsidRDefault="002E2246" w:rsidP="00004498">
      <w:pPr>
        <w:rPr>
          <w:rFonts w:ascii="Arial Black" w:hAnsi="Arial Black"/>
          <w:b/>
          <w:bCs/>
          <w:sz w:val="24"/>
          <w:szCs w:val="24"/>
        </w:rPr>
      </w:pPr>
    </w:p>
    <w:p w14:paraId="269419CB" w14:textId="77777777" w:rsidR="002E2246" w:rsidRDefault="002E2246" w:rsidP="00004498">
      <w:pPr>
        <w:rPr>
          <w:rFonts w:ascii="Arial Black" w:hAnsi="Arial Black"/>
          <w:b/>
          <w:bCs/>
          <w:sz w:val="24"/>
          <w:szCs w:val="24"/>
        </w:rPr>
      </w:pPr>
    </w:p>
    <w:p w14:paraId="1D9CFB54" w14:textId="0A5DDDB2" w:rsidR="00BE2EF9" w:rsidRDefault="008E7464" w:rsidP="00004498">
      <w:pPr>
        <w:rPr>
          <w:rFonts w:ascii="Arial Black" w:hAnsi="Arial Black"/>
          <w:b/>
          <w:bCs/>
          <w:sz w:val="24"/>
          <w:szCs w:val="24"/>
        </w:rPr>
      </w:pPr>
      <w:r>
        <w:rPr>
          <w:rFonts w:ascii="Arial Black" w:hAnsi="Arial Black"/>
          <w:b/>
          <w:bCs/>
          <w:sz w:val="24"/>
          <w:szCs w:val="24"/>
        </w:rPr>
        <w:t>13-</w:t>
      </w:r>
      <w:r w:rsidR="002E2246">
        <w:rPr>
          <w:rFonts w:ascii="Arial Black" w:hAnsi="Arial Black"/>
          <w:b/>
          <w:bCs/>
          <w:sz w:val="24"/>
          <w:szCs w:val="24"/>
        </w:rPr>
        <w:t>23</w:t>
      </w:r>
      <w:r w:rsidR="00524647">
        <w:rPr>
          <w:rFonts w:ascii="Arial Black" w:hAnsi="Arial Black"/>
          <w:b/>
          <w:bCs/>
          <w:sz w:val="24"/>
          <w:szCs w:val="24"/>
        </w:rPr>
        <w:t>7</w:t>
      </w:r>
    </w:p>
    <w:p w14:paraId="67E1B4F5" w14:textId="77777777" w:rsidR="00907B6A" w:rsidRDefault="00907B6A" w:rsidP="00004498">
      <w:pPr>
        <w:rPr>
          <w:rFonts w:ascii="Arial Black" w:hAnsi="Arial Black"/>
          <w:b/>
          <w:bCs/>
          <w:sz w:val="24"/>
          <w:szCs w:val="24"/>
        </w:rPr>
      </w:pPr>
    </w:p>
    <w:p w14:paraId="426FE7A2" w14:textId="77777777" w:rsidR="00907B6A" w:rsidRPr="00737DC2" w:rsidRDefault="00907B6A" w:rsidP="00907B6A">
      <w:pPr>
        <w:pStyle w:val="NoSpacing"/>
        <w:rPr>
          <w:rFonts w:ascii="Arial Black" w:hAnsi="Arial Black"/>
          <w:sz w:val="28"/>
          <w:szCs w:val="28"/>
        </w:rPr>
      </w:pPr>
      <w:r>
        <w:rPr>
          <w:rFonts w:ascii="Arial Black" w:hAnsi="Arial Black"/>
          <w:sz w:val="28"/>
          <w:szCs w:val="28"/>
        </w:rPr>
        <w:t xml:space="preserve">UT: EMS – SUES INSUR. CO. NOT PAYING STATE RATES </w:t>
      </w:r>
    </w:p>
    <w:p w14:paraId="5A161CFF" w14:textId="77777777" w:rsidR="00907B6A" w:rsidRDefault="00907B6A" w:rsidP="00907B6A">
      <w:pPr>
        <w:pStyle w:val="NoSpacing"/>
      </w:pPr>
    </w:p>
    <w:p w14:paraId="1D63591A" w14:textId="77777777" w:rsidR="00907B6A" w:rsidRDefault="00907B6A" w:rsidP="00907B6A">
      <w:pPr>
        <w:rPr>
          <w:b/>
        </w:rPr>
      </w:pPr>
      <w:r>
        <w:t xml:space="preserve">On December 12, 2025, </w:t>
      </w:r>
      <w:proofErr w:type="gramStart"/>
      <w:r>
        <w:t>in</w:t>
      </w:r>
      <w:proofErr w:type="gramEnd"/>
      <w:r>
        <w:t xml:space="preserve"> </w:t>
      </w:r>
      <w:r w:rsidRPr="005A464F">
        <w:rPr>
          <w:u w:val="single"/>
        </w:rPr>
        <w:t>Gold Cross Services, Inc. v</w:t>
      </w:r>
      <w:r>
        <w:rPr>
          <w:u w:val="single"/>
        </w:rPr>
        <w:t xml:space="preserve">. </w:t>
      </w:r>
      <w:r w:rsidRPr="005A464F">
        <w:rPr>
          <w:u w:val="single"/>
        </w:rPr>
        <w:t>The Cigna Group</w:t>
      </w:r>
      <w:r>
        <w:t xml:space="preserve">, U.S. District court Judge  Dale A. Kimball, </w:t>
      </w:r>
      <w:r w:rsidRPr="0057656F">
        <w:t>United States District Court, D. Utah</w:t>
      </w:r>
      <w:r>
        <w:t xml:space="preserve">, denied The Cigna Group’s motion to dismiss; the EMS services provided by Gold Cross to patients insured by Cigna were billed at State levels, and Cigna’s not paying full price is a breach of the “implied contract” claim.  As of July 1, </w:t>
      </w:r>
      <w:proofErr w:type="gramStart"/>
      <w:r>
        <w:t>2024</w:t>
      </w:r>
      <w:proofErr w:type="gramEnd"/>
      <w:r>
        <w:t xml:space="preserve"> the state’s </w:t>
      </w:r>
      <w:r w:rsidRPr="004F491B">
        <w:t>maximum ambulance base rate permitted for EMT services is $1,176.11, for</w:t>
      </w:r>
      <w:r>
        <w:t xml:space="preserve"> </w:t>
      </w:r>
      <w:r w:rsidRPr="004F491B">
        <w:t>AEMT services is $1,552.68, and for Paramedic services is $2,270.22. See Utah Admin. Code</w:t>
      </w:r>
      <w:r>
        <w:t xml:space="preserve"> </w:t>
      </w:r>
      <w:r w:rsidRPr="004F491B">
        <w:t>R911-8-200(6)</w:t>
      </w:r>
      <w:r>
        <w:t xml:space="preserve">.   The Cigna Group’s counterclaim of “up charging” is dismissed since they failed to provide any proof of a charge over the state’s rates (reviewed 50 claims and alleged </w:t>
      </w:r>
      <w:r w:rsidRPr="00FC6A24">
        <w:t>$406, 328.73 in overbillings</w:t>
      </w:r>
      <w:r>
        <w:t xml:space="preserve">.  Case will now go to pre-trial discovery. </w:t>
      </w:r>
      <w:hyperlink r:id="rId2004" w:history="1">
        <w:r w:rsidRPr="00AE4181">
          <w:rPr>
            <w:rStyle w:val="Hyperlink"/>
            <w:b/>
          </w:rPr>
          <w:t>https://cases.justia.com/federal/district-courts/utah/utdce/2:2025cv00111/154289/32/0.pdf?ts=1765634947</w:t>
        </w:r>
      </w:hyperlink>
      <w:r>
        <w:rPr>
          <w:b/>
        </w:rPr>
        <w:t xml:space="preserve"> </w:t>
      </w:r>
    </w:p>
    <w:p w14:paraId="075DF498" w14:textId="77777777" w:rsidR="00907B6A" w:rsidRDefault="00907B6A" w:rsidP="00907B6A">
      <w:pPr>
        <w:pStyle w:val="NoSpacing"/>
        <w:rPr>
          <w:bCs/>
        </w:rPr>
      </w:pPr>
      <w:r>
        <w:t xml:space="preserve"> THE COURT HELD:</w:t>
      </w:r>
    </w:p>
    <w:p w14:paraId="3A7D1CE6" w14:textId="77777777" w:rsidR="00907B6A" w:rsidRDefault="00907B6A" w:rsidP="00907B6A">
      <w:pPr>
        <w:pStyle w:val="NoSpacing"/>
        <w:rPr>
          <w:bCs/>
        </w:rPr>
      </w:pPr>
    </w:p>
    <w:p w14:paraId="6CCA6770" w14:textId="77777777" w:rsidR="00907B6A" w:rsidRPr="008544FB" w:rsidRDefault="00907B6A" w:rsidP="00907B6A">
      <w:pPr>
        <w:pStyle w:val="NoSpacing"/>
        <w:ind w:left="720"/>
        <w:rPr>
          <w:bCs/>
        </w:rPr>
      </w:pPr>
      <w:r>
        <w:t>“</w:t>
      </w:r>
      <w:r w:rsidRPr="008544FB">
        <w:t>Under this regulatory framework, an ambulance provider may not charge more than the</w:t>
      </w:r>
    </w:p>
    <w:p w14:paraId="2BEF2342" w14:textId="77777777" w:rsidR="00907B6A" w:rsidRDefault="00907B6A" w:rsidP="00907B6A">
      <w:pPr>
        <w:pStyle w:val="NoSpacing"/>
        <w:ind w:left="720"/>
        <w:rPr>
          <w:bCs/>
        </w:rPr>
      </w:pPr>
      <w:r w:rsidRPr="008544FB">
        <w:t xml:space="preserve">maximum base rate for </w:t>
      </w:r>
      <w:proofErr w:type="gramStart"/>
      <w:r w:rsidRPr="008544FB">
        <w:t>an ambulance</w:t>
      </w:r>
      <w:proofErr w:type="gramEnd"/>
      <w:r w:rsidRPr="008544FB">
        <w:t xml:space="preserve"> transfer and may not include costs for procedures or</w:t>
      </w:r>
      <w:r>
        <w:t xml:space="preserve"> </w:t>
      </w:r>
      <w:r w:rsidRPr="008544FB">
        <w:t xml:space="preserve">medications administered to patients </w:t>
      </w:r>
      <w:proofErr w:type="gramStart"/>
      <w:r w:rsidRPr="008544FB">
        <w:t>in</w:t>
      </w:r>
      <w:proofErr w:type="gramEnd"/>
      <w:r w:rsidRPr="008544FB">
        <w:t xml:space="preserve"> that base rate. Utah’s regulatory framework also</w:t>
      </w:r>
      <w:r>
        <w:t xml:space="preserve"> </w:t>
      </w:r>
      <w:r w:rsidRPr="008544FB">
        <w:t xml:space="preserve">recognizes that ambulance providers may incur additional costs during ambulance </w:t>
      </w:r>
      <w:proofErr w:type="gramStart"/>
      <w:r w:rsidRPr="008544FB">
        <w:t>transports</w:t>
      </w:r>
      <w:proofErr w:type="gramEnd"/>
      <w:r>
        <w:t xml:space="preserve"> </w:t>
      </w:r>
      <w:r w:rsidRPr="008544FB">
        <w:t>beyond what is covered by the maximum base rates. To account for these costs, an ambulance</w:t>
      </w:r>
      <w:r>
        <w:t xml:space="preserve"> </w:t>
      </w:r>
      <w:r w:rsidRPr="008544FB">
        <w:t>provider may charge for mileage, supplies, and medications as prescribed by law in addition to</w:t>
      </w:r>
      <w:r>
        <w:t xml:space="preserve"> </w:t>
      </w:r>
      <w:r w:rsidRPr="008544FB">
        <w:t>the base rate.</w:t>
      </w:r>
    </w:p>
    <w:p w14:paraId="1028604A" w14:textId="77777777" w:rsidR="00907B6A" w:rsidRDefault="00907B6A" w:rsidP="00907B6A">
      <w:pPr>
        <w:pStyle w:val="NoSpacing"/>
        <w:ind w:left="720"/>
        <w:rPr>
          <w:bCs/>
        </w:rPr>
      </w:pPr>
    </w:p>
    <w:p w14:paraId="7802AB08" w14:textId="77777777" w:rsidR="00907B6A" w:rsidRDefault="00907B6A" w:rsidP="00907B6A">
      <w:pPr>
        <w:pStyle w:val="NoSpacing"/>
        <w:ind w:left="720"/>
        <w:rPr>
          <w:bCs/>
        </w:rPr>
      </w:pPr>
      <w:r>
        <w:t>***</w:t>
      </w:r>
    </w:p>
    <w:p w14:paraId="19683BEF" w14:textId="77777777" w:rsidR="00907B6A" w:rsidRDefault="00907B6A" w:rsidP="00907B6A">
      <w:pPr>
        <w:pStyle w:val="NoSpacing"/>
        <w:ind w:left="720"/>
        <w:rPr>
          <w:bCs/>
        </w:rPr>
      </w:pPr>
    </w:p>
    <w:p w14:paraId="4ECFF433" w14:textId="77777777" w:rsidR="00907B6A" w:rsidRDefault="00907B6A" w:rsidP="00907B6A">
      <w:pPr>
        <w:pStyle w:val="NoSpacing"/>
        <w:ind w:left="720"/>
      </w:pPr>
      <w:r>
        <w:t xml:space="preserve">Utah law provides a rate for ambulance transport that is charged regardless of which HCPCS code is used. The statutory rate is what Gold Cross is entitled to charge. While Cigna claims that the use of certain HCPCS codes caused Cigna to incorrectly evaluate the claim under the respective insured’s policy, this is Cigna’s own </w:t>
      </w:r>
      <w:proofErr w:type="gramStart"/>
      <w:r>
        <w:t>mistake</w:t>
      </w:r>
      <w:proofErr w:type="gramEnd"/>
      <w:r>
        <w:t xml:space="preserve"> and it stems from Cigna’s failure to account for Utah’s statutory framework. Utah’s regulatory</w:t>
      </w:r>
    </w:p>
    <w:p w14:paraId="1AD82118" w14:textId="77777777" w:rsidR="00907B6A" w:rsidRDefault="00907B6A" w:rsidP="00907B6A">
      <w:pPr>
        <w:pStyle w:val="NoSpacing"/>
        <w:ind w:left="720"/>
      </w:pPr>
      <w:r>
        <w:t>framework allows ambulance providers to bill at the level of service dispatched, not the level of service rendered.</w:t>
      </w:r>
    </w:p>
    <w:p w14:paraId="707A6404" w14:textId="77777777" w:rsidR="00907B6A" w:rsidRDefault="00907B6A" w:rsidP="00907B6A">
      <w:pPr>
        <w:pStyle w:val="NoSpacing"/>
        <w:ind w:left="720"/>
      </w:pPr>
    </w:p>
    <w:p w14:paraId="225BE68A" w14:textId="77777777" w:rsidR="00907B6A" w:rsidRDefault="00907B6A" w:rsidP="00907B6A">
      <w:pPr>
        <w:pStyle w:val="NoSpacing"/>
        <w:ind w:left="720"/>
      </w:pPr>
      <w:r>
        <w:t>***</w:t>
      </w:r>
    </w:p>
    <w:p w14:paraId="3AA803FD" w14:textId="77777777" w:rsidR="00907B6A" w:rsidRDefault="00907B6A" w:rsidP="00907B6A">
      <w:pPr>
        <w:pStyle w:val="NoSpacing"/>
      </w:pPr>
    </w:p>
    <w:p w14:paraId="5AADE22A" w14:textId="77777777" w:rsidR="00907B6A" w:rsidRDefault="00907B6A" w:rsidP="00907B6A">
      <w:pPr>
        <w:pStyle w:val="NoSpacing"/>
        <w:ind w:left="720"/>
      </w:pPr>
      <w:r>
        <w:t xml:space="preserve">However, Cigna fails to appreciate that these duties [to pay state’s rates] were alleged to have been breached when Cigna inconsistently assigned different allowed amounts for the exact same HCPCS code and ambulance service. These duties were also allegedly breached when Cigna refused to consider Utah’s statutory framework when evaluating claims. As a result, Cigna has assigned different allowed amounts to identical HCPCS codes that are less than what are customary under Utah law. The parties can explore these duties and the alleged factual allegations in discovery. At the motion to dismiss stage, Gold Cross’ allegations are sufficiently </w:t>
      </w:r>
      <w:proofErr w:type="gramStart"/>
      <w:r>
        <w:t>pled</w:t>
      </w:r>
      <w:proofErr w:type="gramEnd"/>
      <w:r>
        <w:t xml:space="preserve">. The court, therefore, denies Cigna’s motion to dismiss the claim.”  </w:t>
      </w:r>
    </w:p>
    <w:p w14:paraId="5BCA5C9E" w14:textId="77777777" w:rsidR="00907B6A" w:rsidRDefault="00907B6A" w:rsidP="00907B6A">
      <w:pPr>
        <w:pStyle w:val="NoSpacing"/>
        <w:ind w:left="720"/>
      </w:pPr>
    </w:p>
    <w:p w14:paraId="7D5000CC" w14:textId="77777777" w:rsidR="00907B6A" w:rsidRDefault="00907B6A" w:rsidP="00907B6A">
      <w:pPr>
        <w:pStyle w:val="NoSpacing"/>
        <w:rPr>
          <w:b/>
        </w:rPr>
      </w:pPr>
      <w:r>
        <w:rPr>
          <w:b/>
        </w:rPr>
        <w:t xml:space="preserve">Legal lesson learned:  Pre-trial discovery will focus on any evidence of “up charging: by the ambulance company. </w:t>
      </w:r>
    </w:p>
    <w:p w14:paraId="58D36FAB" w14:textId="77777777" w:rsidR="00907B6A" w:rsidRDefault="00907B6A" w:rsidP="00004498">
      <w:pPr>
        <w:rPr>
          <w:rFonts w:ascii="Arial Black" w:hAnsi="Arial Black"/>
          <w:b/>
          <w:bCs/>
          <w:sz w:val="24"/>
          <w:szCs w:val="24"/>
        </w:rPr>
      </w:pPr>
    </w:p>
    <w:p w14:paraId="38E76735" w14:textId="7169D20F" w:rsidR="002C0B2A" w:rsidRDefault="002C0B2A" w:rsidP="00004498">
      <w:pPr>
        <w:rPr>
          <w:rFonts w:ascii="Arial Black" w:hAnsi="Arial Black"/>
          <w:b/>
          <w:bCs/>
          <w:sz w:val="24"/>
          <w:szCs w:val="24"/>
        </w:rPr>
      </w:pPr>
      <w:r>
        <w:rPr>
          <w:rFonts w:ascii="Arial Black" w:hAnsi="Arial Black"/>
          <w:b/>
          <w:bCs/>
          <w:sz w:val="24"/>
          <w:szCs w:val="24"/>
        </w:rPr>
        <w:t xml:space="preserve">13 – </w:t>
      </w:r>
      <w:r w:rsidR="00C16AA1">
        <w:rPr>
          <w:rFonts w:ascii="Arial Black" w:hAnsi="Arial Black"/>
          <w:b/>
          <w:bCs/>
          <w:sz w:val="24"/>
          <w:szCs w:val="24"/>
        </w:rPr>
        <w:t>23</w:t>
      </w:r>
      <w:r w:rsidR="00524647">
        <w:rPr>
          <w:rFonts w:ascii="Arial Black" w:hAnsi="Arial Black"/>
          <w:b/>
          <w:bCs/>
          <w:sz w:val="24"/>
          <w:szCs w:val="24"/>
        </w:rPr>
        <w:t>6</w:t>
      </w:r>
    </w:p>
    <w:p w14:paraId="2E2DE977" w14:textId="0A045C59" w:rsidR="002C0B2A" w:rsidRPr="008743D2" w:rsidRDefault="002C0B2A" w:rsidP="002C0B2A">
      <w:pPr>
        <w:rPr>
          <w:rFonts w:ascii="Arial Black" w:hAnsi="Arial Black"/>
          <w:b/>
          <w:sz w:val="28"/>
          <w:szCs w:val="28"/>
        </w:rPr>
      </w:pPr>
      <w:r>
        <w:rPr>
          <w:rFonts w:ascii="Arial Black" w:hAnsi="Arial Black"/>
          <w:b/>
          <w:sz w:val="28"/>
          <w:szCs w:val="28"/>
        </w:rPr>
        <w:t xml:space="preserve">MI: </w:t>
      </w:r>
      <w:r w:rsidR="002720DE">
        <w:rPr>
          <w:rFonts w:ascii="Arial Black" w:hAnsi="Arial Black"/>
          <w:b/>
          <w:sz w:val="28"/>
          <w:szCs w:val="28"/>
        </w:rPr>
        <w:t>DEFENDANT</w:t>
      </w:r>
      <w:r>
        <w:rPr>
          <w:rFonts w:ascii="Arial Black" w:hAnsi="Arial Black"/>
          <w:b/>
          <w:sz w:val="28"/>
          <w:szCs w:val="28"/>
        </w:rPr>
        <w:t xml:space="preserve"> IMPERSONATED EMT / FOOTBALL – CHILD PORN</w:t>
      </w:r>
    </w:p>
    <w:p w14:paraId="32625292" w14:textId="77777777" w:rsidR="002C0B2A" w:rsidRDefault="002C0B2A" w:rsidP="002C0B2A">
      <w:r>
        <w:t xml:space="preserve">On December 10, 2025, in </w:t>
      </w:r>
      <w:r w:rsidRPr="00A17D21">
        <w:rPr>
          <w:u w:val="single"/>
        </w:rPr>
        <w:t>United States of America v. Scott A. Lantzy</w:t>
      </w:r>
      <w:r>
        <w:t xml:space="preserve">, U.S. District Court Judge </w:t>
      </w:r>
      <w:r w:rsidRPr="00E8243B">
        <w:t>Thomas L. Ludington</w:t>
      </w:r>
      <w:r>
        <w:t xml:space="preserve">, </w:t>
      </w:r>
      <w:r w:rsidRPr="00DB542E">
        <w:t>United States District Court, E.D. Michigan, Northern Division</w:t>
      </w:r>
      <w:r>
        <w:t xml:space="preserve">. Denied new trial for the convicted child pornographer.  </w:t>
      </w:r>
      <w:r w:rsidRPr="002925B6">
        <w:t>On October 26, 2021, a jury convicted Defendant on all five counts</w:t>
      </w:r>
      <w:r>
        <w:t xml:space="preserve">, and he </w:t>
      </w:r>
      <w:r w:rsidRPr="002925B6">
        <w:t>was sentenced to 235 months of imprisonment, followed by a lifetime term</w:t>
      </w:r>
      <w:r>
        <w:t xml:space="preserve"> </w:t>
      </w:r>
      <w:r w:rsidRPr="002925B6">
        <w:t xml:space="preserve">of supervised release. </w:t>
      </w:r>
      <w:r>
        <w:t xml:space="preserve">On </w:t>
      </w:r>
      <w:r w:rsidRPr="002925B6">
        <w:t>October 4, 2023, the United States Court of Appeals for the Sixth Circuit affirmed his</w:t>
      </w:r>
      <w:r>
        <w:t xml:space="preserve"> </w:t>
      </w:r>
      <w:r w:rsidRPr="002925B6">
        <w:t xml:space="preserve">conviction. </w:t>
      </w:r>
      <w:r>
        <w:t xml:space="preserve">Two years after his </w:t>
      </w:r>
      <w:proofErr w:type="gramStart"/>
      <w:r>
        <w:t>trial, that</w:t>
      </w:r>
      <w:proofErr w:type="gramEnd"/>
      <w:r>
        <w:t xml:space="preserve"> he had ineffective defense attorney. </w:t>
      </w:r>
      <w:hyperlink r:id="rId2005" w:history="1">
        <w:r w:rsidRPr="00AE4181">
          <w:rPr>
            <w:rStyle w:val="Hyperlink"/>
          </w:rPr>
          <w:t>https://www.govinfo.gov/content/pkg/USCOURTS-mied-1_19-cr-20167/pdf/USCOURTS-mied-1_19-cr-20167-2.pdf</w:t>
        </w:r>
      </w:hyperlink>
      <w:r>
        <w:t xml:space="preserve"> </w:t>
      </w:r>
    </w:p>
    <w:p w14:paraId="01068ACD" w14:textId="77777777" w:rsidR="002C0B2A" w:rsidRDefault="002C0B2A" w:rsidP="002C0B2A">
      <w:r>
        <w:t>THE COURT HELD:</w:t>
      </w:r>
    </w:p>
    <w:p w14:paraId="73079331" w14:textId="77777777" w:rsidR="002C0B2A" w:rsidRPr="00096EC3" w:rsidRDefault="002C0B2A" w:rsidP="002C0B2A">
      <w:pPr>
        <w:pStyle w:val="NoSpacing"/>
        <w:ind w:firstLine="720"/>
      </w:pPr>
      <w:r>
        <w:t>“</w:t>
      </w:r>
      <w:r w:rsidRPr="00096EC3">
        <w:t>In 2018, Defendant Scott A. Lantzy impersonated an Emergency Medical Technician</w:t>
      </w:r>
    </w:p>
    <w:p w14:paraId="04A6ABE7" w14:textId="77777777" w:rsidR="002C0B2A" w:rsidRDefault="002C0B2A" w:rsidP="002C0B2A">
      <w:pPr>
        <w:pStyle w:val="NoSpacing"/>
        <w:ind w:left="720"/>
      </w:pPr>
      <w:r w:rsidRPr="00096EC3">
        <w:t>(EMT) at a high school football game</w:t>
      </w:r>
      <w:r>
        <w:t xml:space="preserve">…. </w:t>
      </w:r>
      <w:r w:rsidRPr="00096EC3">
        <w:t>In so doing, Defendant pretended to assist a player who had broken</w:t>
      </w:r>
      <w:r>
        <w:t xml:space="preserve"> </w:t>
      </w:r>
      <w:r w:rsidRPr="00096EC3">
        <w:t>his leg during that game and then followed him to the hospital</w:t>
      </w:r>
      <w:r>
        <w:t xml:space="preserve">…. </w:t>
      </w:r>
      <w:r w:rsidRPr="00096EC3">
        <w:t xml:space="preserve">  Once at the hospital, Defendant</w:t>
      </w:r>
      <w:r>
        <w:t xml:space="preserve"> ‘</w:t>
      </w:r>
      <w:r w:rsidRPr="00096EC3">
        <w:t>remained in the player’s</w:t>
      </w:r>
      <w:r>
        <w:t>’</w:t>
      </w:r>
      <w:r w:rsidRPr="00096EC3">
        <w:t xml:space="preserve"> room </w:t>
      </w:r>
      <w:r>
        <w:t>‘</w:t>
      </w:r>
      <w:r w:rsidRPr="00096EC3">
        <w:t>for over two hours before he was identified as an imposter.</w:t>
      </w:r>
      <w:r>
        <w:t>’</w:t>
      </w:r>
    </w:p>
    <w:p w14:paraId="091D678E" w14:textId="77777777" w:rsidR="002C0B2A" w:rsidRDefault="002C0B2A" w:rsidP="002C0B2A">
      <w:pPr>
        <w:pStyle w:val="NoSpacing"/>
        <w:ind w:left="720"/>
      </w:pPr>
    </w:p>
    <w:p w14:paraId="481A73A0" w14:textId="77777777" w:rsidR="002C0B2A" w:rsidRDefault="002C0B2A" w:rsidP="002C0B2A">
      <w:pPr>
        <w:pStyle w:val="NoSpacing"/>
        <w:ind w:left="720"/>
      </w:pPr>
      <w:r>
        <w:t>***</w:t>
      </w:r>
    </w:p>
    <w:p w14:paraId="39D28E14" w14:textId="77777777" w:rsidR="002C0B2A" w:rsidRPr="004C1AF9" w:rsidRDefault="002C0B2A" w:rsidP="002C0B2A">
      <w:pPr>
        <w:pStyle w:val="NoSpacing"/>
        <w:ind w:firstLine="720"/>
      </w:pPr>
      <w:r w:rsidRPr="004C1AF9">
        <w:t>As a part of the investigation into the EMT incident, law enforcement learned that before</w:t>
      </w:r>
    </w:p>
    <w:p w14:paraId="5DA15DA5" w14:textId="77777777" w:rsidR="002C0B2A" w:rsidRDefault="002C0B2A" w:rsidP="002C0B2A">
      <w:pPr>
        <w:pStyle w:val="NoSpacing"/>
        <w:ind w:left="720"/>
      </w:pPr>
      <w:r w:rsidRPr="004C1AF9">
        <w:t xml:space="preserve">that, Defendant had </w:t>
      </w:r>
      <w:r>
        <w:t>‘</w:t>
      </w:r>
      <w:r w:rsidRPr="004C1AF9">
        <w:t>developed a close relationship with another student.</w:t>
      </w:r>
      <w:r>
        <w:t xml:space="preserve">’ … </w:t>
      </w:r>
      <w:r w:rsidRPr="004C1AF9">
        <w:t>Defendant gave the</w:t>
      </w:r>
      <w:r>
        <w:t xml:space="preserve"> </w:t>
      </w:r>
      <w:r w:rsidRPr="004C1AF9">
        <w:t xml:space="preserve">student gifts and </w:t>
      </w:r>
      <w:r>
        <w:t>‘</w:t>
      </w:r>
      <w:r w:rsidRPr="004C1AF9">
        <w:t>asked the student and his friend to house sit for several days.</w:t>
      </w:r>
      <w:r>
        <w:t>’…</w:t>
      </w:r>
      <w:r w:rsidRPr="004C1AF9">
        <w:t>When the</w:t>
      </w:r>
      <w:r>
        <w:t xml:space="preserve"> </w:t>
      </w:r>
      <w:r w:rsidRPr="004C1AF9">
        <w:t>student agreed, Defendant gave him a camera and directed him to take pictures of what he and his</w:t>
      </w:r>
      <w:r>
        <w:t xml:space="preserve"> </w:t>
      </w:r>
      <w:r w:rsidRPr="004C1AF9">
        <w:t>friend did while housesitting</w:t>
      </w:r>
      <w:r>
        <w:t xml:space="preserve">…. </w:t>
      </w:r>
      <w:r w:rsidRPr="004C1AF9">
        <w:t>Defendant then texted the student daily to see if he had taken</w:t>
      </w:r>
      <w:r>
        <w:t xml:space="preserve"> </w:t>
      </w:r>
      <w:r w:rsidRPr="004C1AF9">
        <w:t xml:space="preserve">pictures and responded to one picture that it was </w:t>
      </w:r>
      <w:r>
        <w:t>‘</w:t>
      </w:r>
      <w:r w:rsidRPr="004C1AF9">
        <w:t>nice to see that</w:t>
      </w:r>
      <w:r>
        <w:t>’</w:t>
      </w:r>
      <w:r w:rsidRPr="004C1AF9">
        <w:t xml:space="preserve"> the student and his friend were</w:t>
      </w:r>
      <w:r>
        <w:t xml:space="preserve"> </w:t>
      </w:r>
      <w:r w:rsidRPr="00560EE7">
        <w:t>clothed</w:t>
      </w:r>
      <w:r>
        <w:t xml:space="preserve">…. </w:t>
      </w:r>
      <w:r w:rsidRPr="00560EE7">
        <w:t xml:space="preserve">In addition to that line of text messages, Defendant discussed </w:t>
      </w:r>
      <w:r>
        <w:t>‘</w:t>
      </w:r>
      <w:r w:rsidRPr="00560EE7">
        <w:t>sex</w:t>
      </w:r>
      <w:r>
        <w:t xml:space="preserve"> </w:t>
      </w:r>
      <w:r w:rsidRPr="00560EE7">
        <w:t>with the student.</w:t>
      </w:r>
      <w:r>
        <w:t>’</w:t>
      </w:r>
    </w:p>
    <w:p w14:paraId="12926E9E" w14:textId="77777777" w:rsidR="002C0B2A" w:rsidRDefault="002C0B2A" w:rsidP="002C0B2A">
      <w:pPr>
        <w:pStyle w:val="NoSpacing"/>
        <w:ind w:left="720"/>
      </w:pPr>
    </w:p>
    <w:p w14:paraId="16AA578D" w14:textId="77777777" w:rsidR="002C0B2A" w:rsidRDefault="002C0B2A" w:rsidP="002C0B2A">
      <w:pPr>
        <w:pStyle w:val="NoSpacing"/>
        <w:ind w:left="720"/>
      </w:pPr>
      <w:r>
        <w:t>***</w:t>
      </w:r>
    </w:p>
    <w:p w14:paraId="1FED7FE3" w14:textId="77777777" w:rsidR="002C0B2A" w:rsidRDefault="002C0B2A" w:rsidP="002C0B2A">
      <w:pPr>
        <w:pStyle w:val="NoSpacing"/>
        <w:ind w:left="720"/>
      </w:pPr>
      <w:r>
        <w:t xml:space="preserve">In sum, Defendant’s Motion is time-barred. Defendant moved for a new trial over two years after his 14-day deadline under Criminal Rule 33. And he does not </w:t>
      </w:r>
      <w:proofErr w:type="gramStart"/>
      <w:r>
        <w:t>argue—nor could he—</w:t>
      </w:r>
      <w:proofErr w:type="gramEnd"/>
      <w:r>
        <w:t xml:space="preserve">that this inordinate delay was the product of excusable neglect. As a result, Defendant’s Motion for a New Trial, ECF No. 125, will be </w:t>
      </w:r>
      <w:proofErr w:type="gramStart"/>
      <w:r>
        <w:t>denied.”</w:t>
      </w:r>
      <w:proofErr w:type="gramEnd"/>
    </w:p>
    <w:p w14:paraId="754FDBC3" w14:textId="77777777" w:rsidR="002C0B2A" w:rsidRDefault="002C0B2A" w:rsidP="002C0B2A">
      <w:pPr>
        <w:pStyle w:val="NoSpacing"/>
        <w:ind w:left="720"/>
      </w:pPr>
    </w:p>
    <w:p w14:paraId="13AEBFCE" w14:textId="77777777" w:rsidR="002C0B2A" w:rsidRPr="002B074F" w:rsidRDefault="002C0B2A" w:rsidP="002C0B2A">
      <w:pPr>
        <w:pStyle w:val="NoSpacing"/>
        <w:rPr>
          <w:b/>
          <w:bCs/>
        </w:rPr>
      </w:pPr>
      <w:r>
        <w:rPr>
          <w:b/>
        </w:rPr>
        <w:t>Legal lesson learned:  C</w:t>
      </w:r>
      <w:r w:rsidRPr="00EA74B9">
        <w:rPr>
          <w:b/>
        </w:rPr>
        <w:t>hild pornography</w:t>
      </w:r>
      <w:r>
        <w:rPr>
          <w:b/>
        </w:rPr>
        <w:t xml:space="preserve"> is a terrible offense; impersonating an EMT in pursuit of children is particularly offense. </w:t>
      </w:r>
    </w:p>
    <w:p w14:paraId="3200EDF8" w14:textId="77777777" w:rsidR="002C0B2A" w:rsidRDefault="002C0B2A" w:rsidP="002C0B2A">
      <w:pPr>
        <w:rPr>
          <w:b/>
        </w:rPr>
      </w:pPr>
    </w:p>
    <w:p w14:paraId="330B028C" w14:textId="07A80247" w:rsidR="002C0B2A" w:rsidRDefault="00182433" w:rsidP="00004498">
      <w:pPr>
        <w:rPr>
          <w:rFonts w:ascii="Arial Black" w:hAnsi="Arial Black"/>
          <w:b/>
          <w:bCs/>
          <w:sz w:val="24"/>
          <w:szCs w:val="24"/>
        </w:rPr>
      </w:pPr>
      <w:r>
        <w:rPr>
          <w:rFonts w:ascii="Arial Black" w:hAnsi="Arial Black"/>
          <w:b/>
          <w:bCs/>
          <w:sz w:val="24"/>
          <w:szCs w:val="24"/>
        </w:rPr>
        <w:t>13-</w:t>
      </w:r>
      <w:r w:rsidR="00C16AA1">
        <w:rPr>
          <w:rFonts w:ascii="Arial Black" w:hAnsi="Arial Black"/>
          <w:b/>
          <w:bCs/>
          <w:sz w:val="24"/>
          <w:szCs w:val="24"/>
        </w:rPr>
        <w:t>23</w:t>
      </w:r>
      <w:r w:rsidR="00524647">
        <w:rPr>
          <w:rFonts w:ascii="Arial Black" w:hAnsi="Arial Black"/>
          <w:b/>
          <w:bCs/>
          <w:sz w:val="24"/>
          <w:szCs w:val="24"/>
        </w:rPr>
        <w:t>5</w:t>
      </w:r>
    </w:p>
    <w:p w14:paraId="79D99B97" w14:textId="60410BC3" w:rsidR="009F725F" w:rsidRDefault="009F725F" w:rsidP="009F725F">
      <w:pPr>
        <w:rPr>
          <w:rFonts w:ascii="Arial Black" w:hAnsi="Arial Black"/>
          <w:bCs/>
          <w:sz w:val="28"/>
          <w:szCs w:val="28"/>
        </w:rPr>
      </w:pPr>
      <w:r>
        <w:rPr>
          <w:rFonts w:ascii="Arial Black" w:hAnsi="Arial Black"/>
          <w:sz w:val="28"/>
          <w:szCs w:val="28"/>
        </w:rPr>
        <w:t>GA: AGITATED PT – VERSED / PRONE / DIED – QUAL IMMUN</w:t>
      </w:r>
      <w:r w:rsidR="002F4ACE">
        <w:rPr>
          <w:rFonts w:ascii="Arial Black" w:hAnsi="Arial Black"/>
          <w:sz w:val="28"/>
          <w:szCs w:val="28"/>
        </w:rPr>
        <w:t>ITY</w:t>
      </w:r>
    </w:p>
    <w:p w14:paraId="2C32F48E" w14:textId="77777777" w:rsidR="009F725F" w:rsidRPr="003D3384" w:rsidRDefault="009F725F" w:rsidP="009F725F">
      <w:pPr>
        <w:pStyle w:val="NoSpacing"/>
        <w:rPr>
          <w:bCs/>
        </w:rPr>
      </w:pPr>
      <w:r>
        <w:t xml:space="preserve">On December 1, 2025, in </w:t>
      </w:r>
      <w:r w:rsidRPr="004F2FE9">
        <w:rPr>
          <w:u w:val="single"/>
        </w:rPr>
        <w:t>Yvonne M. West, individually and as administrator of the estate of Jamon West v. Dekalb County, Georgia, et al</w:t>
      </w:r>
      <w:r>
        <w:t>., the U.S. Court of Appeals for 11</w:t>
      </w:r>
      <w:r w:rsidRPr="00567FD4">
        <w:rPr>
          <w:vertAlign w:val="superscript"/>
        </w:rPr>
        <w:t>th</w:t>
      </w:r>
      <w:r>
        <w:t xml:space="preserve"> Circuit (Atlanta) held (3 to 0; unpublished opinion) that the trial court judge properly dismissed the lawsuit; no deliberate indifference to the needs of the patient and therefore firefighters have qualified immunity. While the fire department’s policy manual warns that </w:t>
      </w:r>
      <w:r w:rsidRPr="000F2663">
        <w:t>patients with excited delirium “should never be oriented in a prone</w:t>
      </w:r>
      <w:r>
        <w:t xml:space="preserve"> </w:t>
      </w:r>
      <w:r w:rsidRPr="000F2663">
        <w:t xml:space="preserve">position” and should only be restrained with “soft medical restraints” </w:t>
      </w:r>
      <w:r>
        <w:t xml:space="preserve">there was no proof that EMS violated  </w:t>
      </w:r>
      <w:r w:rsidRPr="003D3384">
        <w:t>any clearly established law regarding deliberate indifference to</w:t>
      </w:r>
      <w:r>
        <w:t xml:space="preserve"> </w:t>
      </w:r>
      <w:r w:rsidRPr="003D3384">
        <w:t>medical need</w:t>
      </w:r>
      <w:r>
        <w:t xml:space="preserve">. On August 16, 2019, the patient was at his mother’s home, she called 911 when he </w:t>
      </w:r>
      <w:r w:rsidRPr="000F055C">
        <w:t>suffered “an episode of behavioral crisis,”</w:t>
      </w:r>
      <w:r>
        <w:t xml:space="preserve"> </w:t>
      </w:r>
      <w:r w:rsidRPr="000F055C">
        <w:t>known as “excited delirium</w:t>
      </w:r>
      <w:r>
        <w:t>.</w:t>
      </w:r>
      <w:r w:rsidRPr="000F055C">
        <w:t>”</w:t>
      </w:r>
      <w:r>
        <w:t xml:space="preserve">  Firefighters held him prone in grass, administered Haldol and Versed, and when quieted down, police removed the handcuffs and soft restraints were used.  When moving him to ambulance, he went into cardia arrest, then a coma and died few days later.  </w:t>
      </w:r>
    </w:p>
    <w:p w14:paraId="39DCB970" w14:textId="77777777" w:rsidR="009F725F" w:rsidRDefault="009F725F" w:rsidP="009F725F">
      <w:pPr>
        <w:pStyle w:val="NoSpacing"/>
        <w:rPr>
          <w:bCs/>
        </w:rPr>
      </w:pPr>
      <w:hyperlink r:id="rId2006" w:history="1">
        <w:r w:rsidRPr="00E22D14">
          <w:rPr>
            <w:rStyle w:val="Hyperlink"/>
          </w:rPr>
          <w:t>https://media.ca11.uscourts.gov/opinions/unpub/files/202413197.pdf</w:t>
        </w:r>
      </w:hyperlink>
      <w:r>
        <w:t xml:space="preserve"> </w:t>
      </w:r>
    </w:p>
    <w:p w14:paraId="63C2CCF6" w14:textId="77777777" w:rsidR="009F725F" w:rsidRDefault="009F725F" w:rsidP="009F725F">
      <w:pPr>
        <w:pStyle w:val="NoSpacing"/>
        <w:rPr>
          <w:bCs/>
        </w:rPr>
      </w:pPr>
    </w:p>
    <w:p w14:paraId="433DD9F3" w14:textId="77777777" w:rsidR="009F725F" w:rsidRDefault="009F725F" w:rsidP="009F725F">
      <w:pPr>
        <w:rPr>
          <w:bCs/>
        </w:rPr>
      </w:pPr>
      <w:r>
        <w:t>THE COURT HELD:</w:t>
      </w:r>
    </w:p>
    <w:p w14:paraId="36DF1E4A" w14:textId="77777777" w:rsidR="009F725F" w:rsidRDefault="009F725F" w:rsidP="009F725F">
      <w:pPr>
        <w:pStyle w:val="NoSpacing"/>
        <w:ind w:left="720"/>
      </w:pPr>
      <w:r>
        <w:t>“When Firefighters Winkler and Lakatos initially responded to the call, West appeared ‘highly agitated, hyperactive, confused, and not in control of his behavior.’ Firefighters Winkler and Lakatos restrained West ‘in a prone position, face down on the ground’ with the help of fire department Captain Ditmore and Firefighters Kelly, Van Wie, and Fleming, who arrived shortly after Winkler and Lakatos had started  restraining West. ‘[F]</w:t>
      </w:r>
      <w:proofErr w:type="spellStart"/>
      <w:r>
        <w:t>our</w:t>
      </w:r>
      <w:proofErr w:type="spellEnd"/>
      <w:r>
        <w:t xml:space="preserve"> or five firefighters appl[</w:t>
      </w:r>
      <w:proofErr w:type="spellStart"/>
      <w:r>
        <w:t>ied</w:t>
      </w:r>
      <w:proofErr w:type="spellEnd"/>
      <w:proofErr w:type="gramStart"/>
      <w:r>
        <w:t>] force</w:t>
      </w:r>
      <w:proofErr w:type="gramEnd"/>
      <w:r>
        <w:t xml:space="preserve"> to all four [of West’s] extremities and to his back.’ West’s mother cried for the firefighters to stop because her son couldn’t breathe with his face pressed </w:t>
      </w:r>
      <w:proofErr w:type="gramStart"/>
      <w:r>
        <w:t>in</w:t>
      </w:r>
      <w:proofErr w:type="gramEnd"/>
      <w:r>
        <w:t xml:space="preserve"> the grass. One of the firefighters told West’s mother ‘that she would be arrested if she did not back away.’ Captain Ditmore then ‘took command of the scene,’ directing Firefighter Payne to inject West with a ‘chemical restraint.’ Firefighter Payne gave West the maximum dosage permitted by county policy of two sedatives, Haldol and Versed. </w:t>
      </w:r>
    </w:p>
    <w:p w14:paraId="2899BCA6" w14:textId="77777777" w:rsidR="009F725F" w:rsidRDefault="009F725F" w:rsidP="009F725F">
      <w:pPr>
        <w:pStyle w:val="NoSpacing"/>
        <w:ind w:left="720"/>
      </w:pPr>
    </w:p>
    <w:p w14:paraId="2CE6F5E3" w14:textId="77777777" w:rsidR="009F725F" w:rsidRDefault="009F725F" w:rsidP="009F725F">
      <w:pPr>
        <w:pStyle w:val="NoSpacing"/>
        <w:ind w:left="720"/>
      </w:pPr>
      <w:r>
        <w:t>***</w:t>
      </w:r>
    </w:p>
    <w:p w14:paraId="3373C72E" w14:textId="77777777" w:rsidR="009F725F" w:rsidRDefault="009F725F" w:rsidP="009F725F">
      <w:pPr>
        <w:pStyle w:val="NoSpacing"/>
        <w:ind w:left="720"/>
      </w:pPr>
      <w:r w:rsidRPr="00560F9E">
        <w:t>After the firefighters had given West the sedatives, county</w:t>
      </w:r>
      <w:r>
        <w:t xml:space="preserve"> </w:t>
      </w:r>
      <w:r w:rsidRPr="00560F9E">
        <w:t>police officers arrived. Captain Ditmore asked the police to handcuff West. Police Officers Lattimore and Williams handcuffed</w:t>
      </w:r>
      <w:r>
        <w:t xml:space="preserve"> </w:t>
      </w:r>
      <w:r w:rsidRPr="00560F9E">
        <w:t>West’s hands behind his back with Captain Ditmore’s assistance.</w:t>
      </w:r>
      <w:r>
        <w:t xml:space="preserve"> </w:t>
      </w:r>
      <w:r w:rsidRPr="00560F9E">
        <w:t xml:space="preserve">Captain Ditmore walked away to make a status report </w:t>
      </w:r>
      <w:proofErr w:type="gramStart"/>
      <w:r w:rsidRPr="00560F9E">
        <w:t>by radio</w:t>
      </w:r>
      <w:proofErr w:type="gramEnd"/>
      <w:r w:rsidRPr="00560F9E">
        <w:t>.</w:t>
      </w:r>
      <w:r>
        <w:t xml:space="preserve"> </w:t>
      </w:r>
      <w:r w:rsidRPr="00560F9E">
        <w:t xml:space="preserve">The officers left West </w:t>
      </w:r>
      <w:r>
        <w:t>‘</w:t>
      </w:r>
      <w:r w:rsidRPr="00560F9E">
        <w:t>in a prone position with his hands cuffed</w:t>
      </w:r>
      <w:r>
        <w:t xml:space="preserve"> </w:t>
      </w:r>
      <w:r w:rsidRPr="00560F9E">
        <w:t>behind his back,</w:t>
      </w:r>
      <w:r>
        <w:t>’</w:t>
      </w:r>
      <w:r w:rsidRPr="00560F9E">
        <w:t xml:space="preserve"> and West continued to be restrained </w:t>
      </w:r>
      <w:r>
        <w:t>‘</w:t>
      </w:r>
      <w:r w:rsidRPr="00560F9E">
        <w:t>in this manner long enough for the sedatives to take effect.</w:t>
      </w:r>
      <w:r>
        <w:t>’</w:t>
      </w:r>
      <w:r w:rsidRPr="00560F9E">
        <w:t xml:space="preserve"> After Captain</w:t>
      </w:r>
      <w:r>
        <w:t xml:space="preserve"> Ditmore finished his call and ‘observed that . . . West was calm,’ he ‘ordered the handcuffs removed and replaced with soft restraints.’ As the defendants began to transport West across his mother’s </w:t>
      </w:r>
      <w:proofErr w:type="gramStart"/>
      <w:r>
        <w:t>yard, ‘</w:t>
      </w:r>
      <w:proofErr w:type="gramEnd"/>
      <w:r>
        <w:t>his respiratory rate dropped and he went into cardiac arrest.’  West was transported to the hospital, fell into a coma, and died a few days later. After performing an autopsy, the county medical examiner concluded that West had ‘died of ‘[d]</w:t>
      </w:r>
      <w:proofErr w:type="spellStart"/>
      <w:r>
        <w:t>elayed</w:t>
      </w:r>
      <w:proofErr w:type="spellEnd"/>
      <w:r>
        <w:t xml:space="preserve"> complications of cardiorespiratory arrest due [to] probable excited delirium and physical restraint,’ describing West’s death as a homicide.</w:t>
      </w:r>
    </w:p>
    <w:p w14:paraId="7BACEEA6" w14:textId="77777777" w:rsidR="009F725F" w:rsidRDefault="009F725F" w:rsidP="009F725F">
      <w:pPr>
        <w:pStyle w:val="NoSpacing"/>
        <w:ind w:left="720"/>
      </w:pPr>
    </w:p>
    <w:p w14:paraId="344C4653" w14:textId="77777777" w:rsidR="009F725F" w:rsidRDefault="009F725F" w:rsidP="009F725F">
      <w:pPr>
        <w:pStyle w:val="NoSpacing"/>
        <w:ind w:left="720"/>
      </w:pPr>
      <w:r>
        <w:t>***</w:t>
      </w:r>
    </w:p>
    <w:p w14:paraId="6D32A6E8" w14:textId="77777777" w:rsidR="009F725F" w:rsidRDefault="009F725F" w:rsidP="009F725F">
      <w:pPr>
        <w:pStyle w:val="NoSpacing"/>
      </w:pPr>
    </w:p>
    <w:p w14:paraId="4B39FA6E" w14:textId="77777777" w:rsidR="009F725F" w:rsidRDefault="009F725F" w:rsidP="009F725F">
      <w:pPr>
        <w:pStyle w:val="NoSpacing"/>
        <w:ind w:left="720"/>
        <w:rPr>
          <w:bCs/>
        </w:rPr>
      </w:pPr>
      <w:r w:rsidRPr="000F2663">
        <w:t>DeKalb County officials</w:t>
      </w:r>
      <w:r>
        <w:t xml:space="preserve"> </w:t>
      </w:r>
      <w:r w:rsidRPr="000F2663">
        <w:t>conducted an internal investigation and determined that the first</w:t>
      </w:r>
      <w:r>
        <w:t xml:space="preserve"> </w:t>
      </w:r>
      <w:r w:rsidRPr="000F2663">
        <w:t>responders involved in West’s death had complied with county policy</w:t>
      </w:r>
      <w:r>
        <w:t>.</w:t>
      </w:r>
    </w:p>
    <w:p w14:paraId="0A493A63" w14:textId="77777777" w:rsidR="009F725F" w:rsidRDefault="009F725F" w:rsidP="009F725F">
      <w:pPr>
        <w:pStyle w:val="NoSpacing"/>
        <w:ind w:left="720"/>
        <w:rPr>
          <w:bCs/>
        </w:rPr>
      </w:pPr>
    </w:p>
    <w:p w14:paraId="36519513" w14:textId="77777777" w:rsidR="009F725F" w:rsidRDefault="009F725F" w:rsidP="009F725F">
      <w:pPr>
        <w:pStyle w:val="NoSpacing"/>
        <w:ind w:left="720"/>
        <w:rPr>
          <w:bCs/>
        </w:rPr>
      </w:pPr>
      <w:r>
        <w:t>***</w:t>
      </w:r>
    </w:p>
    <w:p w14:paraId="72D0BAB6" w14:textId="77777777" w:rsidR="009F725F" w:rsidRDefault="009F725F" w:rsidP="009F725F">
      <w:pPr>
        <w:pStyle w:val="NoSpacing"/>
        <w:ind w:left="720"/>
      </w:pPr>
      <w:r>
        <w:t xml:space="preserve">Turning to the specific practices at issue here, Ms. West does not actually allege that the use of prone restraints or behind-the-back handcuffing on individuals with excited delirium was ‘so obvious” that liability attaches for a single incident. See Weiland v. Palm Beach </w:t>
      </w:r>
      <w:proofErr w:type="spellStart"/>
      <w:r>
        <w:t>Cnty</w:t>
      </w:r>
      <w:proofErr w:type="spellEnd"/>
      <w:r>
        <w:t>. Sheriff’s Off., 792 F.3d 1313, 1329 (11th Cir. 2015) (rejecting failure-to-train claim where the complaint ‘d[id] not allege that the need for specialized training in the constitutional restrictions on the use of force when dealing with mentally ill citizens [</w:t>
      </w:r>
      <w:proofErr w:type="spellStart"/>
      <w:r>
        <w:t>wa</w:t>
      </w:r>
      <w:proofErr w:type="spellEnd"/>
      <w:r>
        <w:t xml:space="preserve">]s ‘so obvious’ that the failure to provide such training amounts to deliberate indifference’). And even if she did, training in the proper use of restraints on individuals with excited delirium ‘falls far short of the kind of ‘obvious’ need for training that would support </w:t>
      </w:r>
      <w:proofErr w:type="gramStart"/>
      <w:r>
        <w:t>a finding</w:t>
      </w:r>
      <w:proofErr w:type="gramEnd"/>
      <w:r>
        <w:t xml:space="preserve"> of deliberate indifference to constitutional rights on the part of the [county].’ Canton, 489 U.S. at 396–97 (O’Connor, J., concurring in part and dissenting in part) (finding no obvious need to train police in diagnosing mental illness)….</w:t>
      </w:r>
    </w:p>
    <w:p w14:paraId="4C97DCE4" w14:textId="77777777" w:rsidR="009F725F" w:rsidRDefault="009F725F" w:rsidP="009F725F">
      <w:pPr>
        <w:pStyle w:val="NoSpacing"/>
        <w:ind w:left="720"/>
      </w:pPr>
    </w:p>
    <w:p w14:paraId="7901EB92" w14:textId="77777777" w:rsidR="009F725F" w:rsidRDefault="009F725F" w:rsidP="009F725F">
      <w:pPr>
        <w:pStyle w:val="NoSpacing"/>
        <w:ind w:left="720"/>
      </w:pPr>
      <w:r>
        <w:t>***</w:t>
      </w:r>
    </w:p>
    <w:p w14:paraId="59B72A96" w14:textId="77777777" w:rsidR="009F725F" w:rsidRDefault="009F725F" w:rsidP="009F725F">
      <w:pPr>
        <w:pStyle w:val="NoSpacing"/>
        <w:ind w:left="720"/>
      </w:pPr>
      <w:r>
        <w:t xml:space="preserve">Because Captain Ditmore and Firefighter Payne did not violate any clearly established law regarding deliberate indifference to medical need, Ms. West cannot overcome their qualified immunity at the dismissal </w:t>
      </w:r>
      <w:proofErr w:type="gramStart"/>
      <w:r>
        <w:t>stage.”</w:t>
      </w:r>
      <w:proofErr w:type="gramEnd"/>
    </w:p>
    <w:p w14:paraId="62E9A1B8" w14:textId="77777777" w:rsidR="009F725F" w:rsidRDefault="009F725F" w:rsidP="009F725F">
      <w:pPr>
        <w:pStyle w:val="NoSpacing"/>
        <w:ind w:left="720"/>
      </w:pPr>
    </w:p>
    <w:p w14:paraId="37EDF8E5" w14:textId="77777777" w:rsidR="009F725F" w:rsidRPr="00F03ED4" w:rsidRDefault="009F725F" w:rsidP="009F725F">
      <w:pPr>
        <w:pStyle w:val="NoSpacing"/>
        <w:rPr>
          <w:b/>
          <w:bCs/>
        </w:rPr>
      </w:pPr>
      <w:r>
        <w:rPr>
          <w:b/>
        </w:rPr>
        <w:t>Legal lesson learned</w:t>
      </w:r>
      <w:r w:rsidRPr="00F03ED4">
        <w:rPr>
          <w:b/>
        </w:rPr>
        <w:t>:  Review your EMS protocols concerning holding combative patient in prone position after administering Haldol and Versed</w:t>
      </w:r>
    </w:p>
    <w:p w14:paraId="3F7235FE" w14:textId="77777777" w:rsidR="009F725F" w:rsidRPr="00F03ED4" w:rsidRDefault="009F725F" w:rsidP="009F725F">
      <w:pPr>
        <w:rPr>
          <w:b/>
          <w:bCs/>
        </w:rPr>
      </w:pPr>
    </w:p>
    <w:p w14:paraId="1BD7EE0F" w14:textId="1AA527A7" w:rsidR="00182433" w:rsidRDefault="009F725F" w:rsidP="00004498">
      <w:pPr>
        <w:rPr>
          <w:rFonts w:ascii="Arial Black" w:hAnsi="Arial Black"/>
          <w:b/>
          <w:bCs/>
          <w:sz w:val="24"/>
          <w:szCs w:val="24"/>
        </w:rPr>
      </w:pPr>
      <w:r>
        <w:rPr>
          <w:rFonts w:ascii="Arial Black" w:hAnsi="Arial Black"/>
          <w:b/>
          <w:bCs/>
          <w:sz w:val="24"/>
          <w:szCs w:val="24"/>
        </w:rPr>
        <w:t>13-</w:t>
      </w:r>
      <w:r w:rsidR="00C16AA1">
        <w:rPr>
          <w:rFonts w:ascii="Arial Black" w:hAnsi="Arial Black"/>
          <w:b/>
          <w:bCs/>
          <w:sz w:val="24"/>
          <w:szCs w:val="24"/>
        </w:rPr>
        <w:t>23</w:t>
      </w:r>
      <w:r w:rsidR="00524647">
        <w:rPr>
          <w:rFonts w:ascii="Arial Black" w:hAnsi="Arial Black"/>
          <w:b/>
          <w:bCs/>
          <w:sz w:val="24"/>
          <w:szCs w:val="24"/>
        </w:rPr>
        <w:t>4</w:t>
      </w:r>
    </w:p>
    <w:p w14:paraId="509B8F2A" w14:textId="66F291E9" w:rsidR="00C16AA1" w:rsidRPr="00C83248" w:rsidRDefault="00C16AA1" w:rsidP="00C16AA1">
      <w:pPr>
        <w:rPr>
          <w:rFonts w:ascii="Arial Black" w:hAnsi="Arial Black"/>
          <w:b/>
          <w:sz w:val="28"/>
          <w:szCs w:val="28"/>
        </w:rPr>
      </w:pPr>
      <w:r>
        <w:rPr>
          <w:rFonts w:ascii="Arial Black" w:hAnsi="Arial Black"/>
          <w:b/>
          <w:sz w:val="28"/>
          <w:szCs w:val="28"/>
        </w:rPr>
        <w:t xml:space="preserve">IL: </w:t>
      </w:r>
      <w:r>
        <w:rPr>
          <w:b/>
        </w:rPr>
        <w:t xml:space="preserve"> </w:t>
      </w:r>
      <w:r>
        <w:rPr>
          <w:rFonts w:ascii="Arial Black" w:hAnsi="Arial Black"/>
          <w:b/>
          <w:sz w:val="28"/>
          <w:szCs w:val="28"/>
        </w:rPr>
        <w:t>330 LB PATIENT – GURNEY F</w:t>
      </w:r>
      <w:r w:rsidR="00F92E13">
        <w:rPr>
          <w:rFonts w:ascii="Arial Black" w:hAnsi="Arial Black"/>
          <w:b/>
          <w:sz w:val="28"/>
          <w:szCs w:val="28"/>
        </w:rPr>
        <w:t>E</w:t>
      </w:r>
      <w:r>
        <w:rPr>
          <w:rFonts w:ascii="Arial Black" w:hAnsi="Arial Black"/>
          <w:b/>
          <w:sz w:val="28"/>
          <w:szCs w:val="28"/>
        </w:rPr>
        <w:t>LL</w:t>
      </w:r>
      <w:r w:rsidR="00F92E13">
        <w:rPr>
          <w:rFonts w:ascii="Arial Black" w:hAnsi="Arial Black"/>
          <w:b/>
          <w:sz w:val="28"/>
          <w:szCs w:val="28"/>
        </w:rPr>
        <w:t xml:space="preserve"> OVER</w:t>
      </w:r>
      <w:r>
        <w:rPr>
          <w:rFonts w:ascii="Arial Black" w:hAnsi="Arial Black"/>
          <w:b/>
          <w:sz w:val="28"/>
          <w:szCs w:val="28"/>
        </w:rPr>
        <w:t xml:space="preserve"> – QUAL. IMMUNITY </w:t>
      </w:r>
    </w:p>
    <w:p w14:paraId="7AD01D1D" w14:textId="1D70EA98" w:rsidR="00C16AA1" w:rsidRDefault="00C16AA1" w:rsidP="00C16AA1">
      <w:pPr>
        <w:rPr>
          <w:bCs/>
        </w:rPr>
      </w:pPr>
      <w:r>
        <w:t xml:space="preserve">On November 26, 2025, in </w:t>
      </w:r>
      <w:r w:rsidRPr="00A6056A">
        <w:rPr>
          <w:u w:val="single"/>
        </w:rPr>
        <w:t>Nancy Gabriel, Administrator of the Estate of James Gabriel v. Alton Memorial Hospital, et al</w:t>
      </w:r>
      <w:r>
        <w:t xml:space="preserve">., the </w:t>
      </w:r>
      <w:r w:rsidRPr="00A6056A">
        <w:t>Court of Appeals of Illinois, Fifth District</w:t>
      </w:r>
      <w:r>
        <w:t xml:space="preserve"> held (3 to 0) that the trial court properly granted summary judgment to the defendants; there was no evidence of willful and wanton misconduct by EMS.  On </w:t>
      </w:r>
      <w:r w:rsidRPr="007611BD">
        <w:t>February 2, 2019,</w:t>
      </w:r>
      <w:r>
        <w:t xml:space="preserve"> after</w:t>
      </w:r>
      <w:r w:rsidRPr="007611BD">
        <w:t xml:space="preserve"> ambulance transport from </w:t>
      </w:r>
      <w:r>
        <w:t xml:space="preserve">the </w:t>
      </w:r>
      <w:r w:rsidRPr="007611BD">
        <w:t>hospital to a</w:t>
      </w:r>
      <w:r>
        <w:t xml:space="preserve"> </w:t>
      </w:r>
      <w:r w:rsidRPr="007611BD">
        <w:t xml:space="preserve">nursing home, </w:t>
      </w:r>
      <w:r>
        <w:t xml:space="preserve">the EMS lost control of the gurney and the strapped patient fell on his </w:t>
      </w:r>
      <w:proofErr w:type="gramStart"/>
      <w:r>
        <w:t>head, and</w:t>
      </w:r>
      <w:proofErr w:type="gramEnd"/>
      <w:r>
        <w:t xml:space="preserve"> died March 23, 2019.  </w:t>
      </w:r>
      <w:hyperlink r:id="rId2007" w:history="1">
        <w:r w:rsidRPr="00347812">
          <w:rPr>
            <w:rStyle w:val="Hyperlink"/>
          </w:rPr>
          <w:t>https://cases.justia.com/illinois/court-of-appeals-fifth-appellate-district/2025-5-24-0729-0.pdf?ts=1764692248</w:t>
        </w:r>
      </w:hyperlink>
      <w:r>
        <w:t xml:space="preserve"> </w:t>
      </w:r>
    </w:p>
    <w:p w14:paraId="1CF9E017" w14:textId="77777777" w:rsidR="00C16AA1" w:rsidRDefault="00C16AA1" w:rsidP="00C16AA1">
      <w:pPr>
        <w:rPr>
          <w:bCs/>
        </w:rPr>
      </w:pPr>
      <w:r>
        <w:t>THE COURT HELD:</w:t>
      </w:r>
    </w:p>
    <w:p w14:paraId="3916A441" w14:textId="77777777" w:rsidR="00C16AA1" w:rsidRDefault="00C16AA1" w:rsidP="00C16AA1">
      <w:pPr>
        <w:pStyle w:val="NoSpacing"/>
        <w:ind w:left="720"/>
      </w:pPr>
      <w:r>
        <w:t>“</w:t>
      </w:r>
      <w:r w:rsidRPr="007B1F2E">
        <w:t>The sidewalk leading to the ambulance entrance of the nursing facility had a right-hand turn. As Brooks and Bell approached the turn, they slowed down. As they began the turn, Bell saw that</w:t>
      </w:r>
      <w:r>
        <w:t xml:space="preserve"> </w:t>
      </w:r>
      <w:proofErr w:type="gramStart"/>
      <w:r w:rsidRPr="007B1F2E">
        <w:t>The</w:t>
      </w:r>
      <w:proofErr w:type="gramEnd"/>
      <w:r w:rsidRPr="007B1F2E">
        <w:t xml:space="preserve"> sidewalk leading to the ambulance entrance of the nursing facility had a Bell saw that James had shifted his body, which tilted the gurney to the left. Bell attempted to balance the gurney and called out to Brooks for assistance. In Bell's deposition, he testified that James was </w:t>
      </w:r>
      <w:r>
        <w:t>‘</w:t>
      </w:r>
      <w:r w:rsidRPr="007B1F2E">
        <w:t>such a heavy guy, I can't do it by myself.</w:t>
      </w:r>
    </w:p>
    <w:p w14:paraId="34A8198C" w14:textId="77777777" w:rsidR="00C16AA1" w:rsidRDefault="00C16AA1" w:rsidP="00C16AA1">
      <w:pPr>
        <w:pStyle w:val="NoSpacing"/>
        <w:ind w:left="720"/>
      </w:pPr>
      <w:r>
        <w:t xml:space="preserve"> </w:t>
      </w:r>
      <w:r w:rsidRPr="007B1F2E">
        <w:t>Brooks started to turn around, and "felt the [gurney's]bar twist in [his] hand.</w:t>
      </w:r>
      <w:r>
        <w:t>’</w:t>
      </w:r>
      <w:r w:rsidRPr="007B1F2E">
        <w:t xml:space="preserve"> Brooks and Bell held onto the bars in a futile attempt to prevent th</w:t>
      </w:r>
      <w:r>
        <w:t>e fall.</w:t>
      </w:r>
    </w:p>
    <w:p w14:paraId="2FE8D1B9" w14:textId="77777777" w:rsidR="00C16AA1" w:rsidRDefault="00C16AA1" w:rsidP="00C16AA1">
      <w:pPr>
        <w:pStyle w:val="NoSpacing"/>
      </w:pPr>
    </w:p>
    <w:p w14:paraId="11C27316" w14:textId="77777777" w:rsidR="00C16AA1" w:rsidRDefault="00C16AA1" w:rsidP="00C16AA1">
      <w:pPr>
        <w:pStyle w:val="NoSpacing"/>
        <w:ind w:left="720"/>
      </w:pPr>
      <w:r w:rsidRPr="00671BAC">
        <w:t>James fell face down onto the ground but avoided striking the concrete. He remained strapped into the gurney, and with effort, Brooks and Bell were slowly able to get the gurney back into an upright position. Following his fall, the nursing facility refused to accept James, and Brooks and Bell transported him back to St. Anthony's Hospital. James sustained a laceration above his left eye from the fall.</w:t>
      </w:r>
    </w:p>
    <w:p w14:paraId="6BC5D467" w14:textId="77777777" w:rsidR="00C16AA1" w:rsidRDefault="00C16AA1" w:rsidP="00C16AA1">
      <w:pPr>
        <w:pStyle w:val="NoSpacing"/>
        <w:ind w:left="720"/>
      </w:pPr>
    </w:p>
    <w:p w14:paraId="1F726337" w14:textId="77777777" w:rsidR="00C16AA1" w:rsidRDefault="00C16AA1" w:rsidP="00C16AA1">
      <w:pPr>
        <w:pStyle w:val="NoSpacing"/>
        <w:ind w:left="720"/>
      </w:pPr>
      <w:r>
        <w:t>***</w:t>
      </w:r>
    </w:p>
    <w:p w14:paraId="0254E8C3" w14:textId="77777777" w:rsidR="00C16AA1" w:rsidRDefault="00C16AA1" w:rsidP="00C16AA1">
      <w:pPr>
        <w:pStyle w:val="NoSpacing"/>
        <w:ind w:left="720"/>
      </w:pPr>
      <w:r>
        <w:t>Alton Memorial can only be held liable for damages in this case pursuant to section</w:t>
      </w:r>
    </w:p>
    <w:p w14:paraId="0E7221A9" w14:textId="77777777" w:rsidR="00C16AA1" w:rsidRDefault="00C16AA1" w:rsidP="00C16AA1">
      <w:pPr>
        <w:pStyle w:val="NoSpacing"/>
        <w:ind w:left="720"/>
      </w:pPr>
      <w:r>
        <w:t>3.150(a) of the EMS Systems Act, which provides: ‘Any person, agency or governmental body certified, licensed or authorized pursuant to this Act … who in good faith provides emergency or non-emergency medical services …in the normal course of conducting their duties …shall not be civilly liable as a result of their acts or omissions in providing such services unless such acts or omissions … constitute willful and wanton misconduct.” 210 ILCS 50/3.150(a).</w:t>
      </w:r>
    </w:p>
    <w:p w14:paraId="4B82194D" w14:textId="77777777" w:rsidR="00C16AA1" w:rsidRDefault="00C16AA1" w:rsidP="00C16AA1">
      <w:pPr>
        <w:pStyle w:val="NoSpacing"/>
        <w:ind w:left="720"/>
      </w:pPr>
    </w:p>
    <w:p w14:paraId="591185B3" w14:textId="77777777" w:rsidR="00C16AA1" w:rsidRDefault="00C16AA1" w:rsidP="00C16AA1">
      <w:pPr>
        <w:pStyle w:val="NoSpacing"/>
        <w:ind w:left="720"/>
      </w:pPr>
      <w:r>
        <w:t>***</w:t>
      </w:r>
    </w:p>
    <w:p w14:paraId="1042FEFE" w14:textId="77777777" w:rsidR="00C16AA1" w:rsidRDefault="00C16AA1" w:rsidP="00C16AA1">
      <w:pPr>
        <w:pStyle w:val="NoSpacing"/>
        <w:ind w:left="720"/>
      </w:pPr>
      <w:r>
        <w:t>We find that summary judgment was appropriate where the pleadings, depositions and any admissions and/or affidavits on file, when viewed in the light most favorable to Nancy, established that there was no genuine issue of material fact to support an allegation of willful and wanton misconduct on behalf of Alton Memorial’s ambulance crew.”</w:t>
      </w:r>
    </w:p>
    <w:p w14:paraId="753D1D61" w14:textId="77777777" w:rsidR="00C16AA1" w:rsidRDefault="00C16AA1" w:rsidP="00C16AA1">
      <w:pPr>
        <w:rPr>
          <w:b/>
        </w:rPr>
      </w:pPr>
    </w:p>
    <w:p w14:paraId="449CFA8A" w14:textId="44AACF47" w:rsidR="00C16AA1" w:rsidRPr="00F5657D" w:rsidRDefault="00C16AA1" w:rsidP="00C16AA1">
      <w:pPr>
        <w:rPr>
          <w:b/>
        </w:rPr>
      </w:pPr>
      <w:r>
        <w:rPr>
          <w:b/>
        </w:rPr>
        <w:t xml:space="preserve">Legal lesson learned: Moving a </w:t>
      </w:r>
      <w:r w:rsidR="003271B2">
        <w:rPr>
          <w:b/>
        </w:rPr>
        <w:t>330-pound</w:t>
      </w:r>
      <w:r>
        <w:rPr>
          <w:b/>
        </w:rPr>
        <w:t xml:space="preserve"> patient </w:t>
      </w:r>
      <w:r w:rsidR="004348E5">
        <w:rPr>
          <w:b/>
        </w:rPr>
        <w:t xml:space="preserve">can be </w:t>
      </w:r>
      <w:r>
        <w:rPr>
          <w:b/>
        </w:rPr>
        <w:t xml:space="preserve">particularly challenging; no liability for negligent conduct that is not deemed willful and wanton misconduct. </w:t>
      </w:r>
    </w:p>
    <w:p w14:paraId="5E2C55A3" w14:textId="77777777" w:rsidR="009F546C" w:rsidRDefault="009F546C" w:rsidP="00004498">
      <w:pPr>
        <w:rPr>
          <w:rFonts w:ascii="Arial Black" w:hAnsi="Arial Black"/>
          <w:b/>
          <w:bCs/>
          <w:sz w:val="24"/>
          <w:szCs w:val="24"/>
        </w:rPr>
      </w:pPr>
    </w:p>
    <w:p w14:paraId="1803C3A1" w14:textId="77777777" w:rsidR="009F546C" w:rsidRDefault="009F546C" w:rsidP="00004498">
      <w:pPr>
        <w:rPr>
          <w:rFonts w:ascii="Arial Black" w:hAnsi="Arial Black"/>
          <w:b/>
          <w:bCs/>
          <w:sz w:val="24"/>
          <w:szCs w:val="24"/>
        </w:rPr>
      </w:pPr>
    </w:p>
    <w:p w14:paraId="256049CE" w14:textId="1300CE9C" w:rsidR="00C6504D" w:rsidRDefault="00C6504D" w:rsidP="00004498">
      <w:pPr>
        <w:rPr>
          <w:rFonts w:ascii="Arial Black" w:hAnsi="Arial Black"/>
          <w:b/>
          <w:bCs/>
          <w:sz w:val="24"/>
          <w:szCs w:val="24"/>
        </w:rPr>
      </w:pPr>
      <w:r>
        <w:rPr>
          <w:rFonts w:ascii="Arial Black" w:hAnsi="Arial Black"/>
          <w:b/>
          <w:bCs/>
          <w:sz w:val="24"/>
          <w:szCs w:val="24"/>
        </w:rPr>
        <w:t>13-23</w:t>
      </w:r>
      <w:r w:rsidR="00524647">
        <w:rPr>
          <w:rFonts w:ascii="Arial Black" w:hAnsi="Arial Black"/>
          <w:b/>
          <w:bCs/>
          <w:sz w:val="24"/>
          <w:szCs w:val="24"/>
        </w:rPr>
        <w:t>3</w:t>
      </w:r>
    </w:p>
    <w:p w14:paraId="73336DA4" w14:textId="77777777" w:rsidR="00C6504D" w:rsidRPr="00864A31" w:rsidRDefault="00C6504D" w:rsidP="00C6504D">
      <w:pPr>
        <w:pStyle w:val="NoSpacing"/>
        <w:rPr>
          <w:rFonts w:ascii="Arial Black" w:hAnsi="Arial Black"/>
          <w:sz w:val="28"/>
          <w:szCs w:val="28"/>
        </w:rPr>
      </w:pPr>
      <w:r>
        <w:rPr>
          <w:rFonts w:ascii="Arial Black" w:hAnsi="Arial Black"/>
          <w:sz w:val="28"/>
          <w:szCs w:val="28"/>
        </w:rPr>
        <w:t>CA: HANCUFFED PRONE PT – VERSED / DIED – LIAB CAP</w:t>
      </w:r>
    </w:p>
    <w:p w14:paraId="170233E7" w14:textId="77777777" w:rsidR="00C6504D" w:rsidRDefault="00C6504D" w:rsidP="00C6504D">
      <w:pPr>
        <w:pStyle w:val="NoSpacing"/>
      </w:pPr>
    </w:p>
    <w:p w14:paraId="4A8DDA31" w14:textId="0EEC163B" w:rsidR="00C6504D" w:rsidRDefault="00C6504D" w:rsidP="00C6504D">
      <w:pPr>
        <w:pStyle w:val="NoSpacing"/>
      </w:pPr>
      <w:r>
        <w:t xml:space="preserve">On November 25, 2025, in </w:t>
      </w:r>
      <w:r w:rsidRPr="00266691">
        <w:rPr>
          <w:u w:val="single"/>
        </w:rPr>
        <w:t>Ivan Gutzalenko, et al. v. City of Richmond, et al</w:t>
      </w:r>
      <w:r>
        <w:t xml:space="preserve">., U.S. District Court Judge Edward M. Chen, United States District Court for Northern District of California, held that the $500,000 caps on medical negligence claims under California state law applies to this medical negligence claim.  A paramedic injected the handcuffed prone patient with </w:t>
      </w:r>
      <w:proofErr w:type="gramStart"/>
      <w:r w:rsidR="002B5A76">
        <w:t>v</w:t>
      </w:r>
      <w:r>
        <w:t>ersed, and</w:t>
      </w:r>
      <w:proofErr w:type="gramEnd"/>
      <w:r>
        <w:t xml:space="preserve"> allegedly </w:t>
      </w:r>
      <w:r w:rsidRPr="002204F5">
        <w:t xml:space="preserve">did not “aspirate” the syringe when he administered the </w:t>
      </w:r>
      <w:r w:rsidR="002B5A76">
        <w:t>v</w:t>
      </w:r>
      <w:r w:rsidRPr="002204F5">
        <w:t xml:space="preserve">ersed to ensure it was not in the vein. </w:t>
      </w:r>
      <w:r>
        <w:t xml:space="preserve"> The Court rejected plaintiff’s attempt to recover more than the medical negligence caps by claiming “assault” and “battery.” THE COURT WROTE: “Although intentional torts are generally not subject to the section 3333.2 cap on noneconomic damages, see Perry, 88 Cal. App. 4th at 662, the gravamen of Plaintiffs’ assault and battery claim is essentially a claim of medical negligence such that MICRA applies….  Further, the MICRA cap on noneconomic damages does not apply to settlement awards. Finally, if Plaintiffs establish wrongful death and survival claims that include noneconomic damages, they are entitled to separate MICRA noneconomic damages caps for the wrongful death and survival claims.” </w:t>
      </w:r>
      <w:hyperlink r:id="rId2008" w:history="1">
        <w:r w:rsidRPr="0075505A">
          <w:rPr>
            <w:rStyle w:val="Hyperlink"/>
          </w:rPr>
          <w:t>https://cases.justia.com/federal/district-courts/california/candce/3:2022cv02130/394009/131/0.pdf</w:t>
        </w:r>
      </w:hyperlink>
      <w:r>
        <w:t xml:space="preserve"> </w:t>
      </w:r>
    </w:p>
    <w:p w14:paraId="3EF86943" w14:textId="77777777" w:rsidR="00C6504D" w:rsidRDefault="00C6504D" w:rsidP="00C6504D">
      <w:pPr>
        <w:pStyle w:val="NoSpacing"/>
      </w:pPr>
    </w:p>
    <w:p w14:paraId="5AEAF28D" w14:textId="77777777" w:rsidR="00C6504D" w:rsidRDefault="00C6504D" w:rsidP="00C6504D">
      <w:pPr>
        <w:pStyle w:val="NoSpacing"/>
      </w:pPr>
      <w:r>
        <w:t>THE COURT HELD:</w:t>
      </w:r>
    </w:p>
    <w:p w14:paraId="0267E271" w14:textId="77777777" w:rsidR="00C6504D" w:rsidRDefault="00C6504D" w:rsidP="00C6504D">
      <w:pPr>
        <w:pStyle w:val="NoSpacing"/>
      </w:pPr>
    </w:p>
    <w:p w14:paraId="6666CD02" w14:textId="77777777" w:rsidR="00C6504D" w:rsidRDefault="00C6504D" w:rsidP="00C6504D">
      <w:pPr>
        <w:pStyle w:val="NoSpacing"/>
        <w:ind w:left="720"/>
      </w:pPr>
      <w:r>
        <w:t xml:space="preserve">“On March 10, 2021, a Richmond police officer responded to a call for service about a man causing a disturbance in a furniture store on San Pablo Avenue in Richmond, California….  When the police officer arrived at the scene, he encountered Mr. Gutzalenko, the decedent. Id. Mr. </w:t>
      </w:r>
      <w:proofErr w:type="spellStart"/>
      <w:r>
        <w:t>Gutzalenko</w:t>
      </w:r>
      <w:proofErr w:type="spellEnd"/>
      <w:r>
        <w:t xml:space="preserve"> needed medical aid and was  ‘possibly intoxicated or experiencing a medical emergency.’ … Specifically, Mr. </w:t>
      </w:r>
      <w:proofErr w:type="spellStart"/>
      <w:r>
        <w:t>Gutzalenko</w:t>
      </w:r>
      <w:proofErr w:type="spellEnd"/>
    </w:p>
    <w:p w14:paraId="10D3BC45" w14:textId="77777777" w:rsidR="00C6504D" w:rsidRDefault="00C6504D" w:rsidP="00C6504D">
      <w:pPr>
        <w:pStyle w:val="NoSpacing"/>
        <w:ind w:left="720"/>
      </w:pPr>
      <w:r>
        <w:t xml:space="preserve">had a dark purple mark on his forehead, was bleeding profusely from one of his hands, and had difficulty focusing on and communicating with the police officer…. Mr. </w:t>
      </w:r>
      <w:proofErr w:type="spellStart"/>
      <w:r>
        <w:t>Gutzalenko</w:t>
      </w:r>
      <w:proofErr w:type="spellEnd"/>
      <w:r>
        <w:t xml:space="preserve"> was also having a hard time breathing. </w:t>
      </w:r>
    </w:p>
    <w:p w14:paraId="25EA54D2" w14:textId="77777777" w:rsidR="00C6504D" w:rsidRDefault="00C6504D" w:rsidP="00C6504D">
      <w:pPr>
        <w:pStyle w:val="NoSpacing"/>
        <w:ind w:left="720"/>
      </w:pPr>
    </w:p>
    <w:p w14:paraId="29C4C725" w14:textId="77777777" w:rsidR="00C6504D" w:rsidRDefault="00C6504D" w:rsidP="00C6504D">
      <w:pPr>
        <w:pStyle w:val="NoSpacing"/>
        <w:ind w:left="720"/>
      </w:pPr>
      <w:r>
        <w:t>***</w:t>
      </w:r>
    </w:p>
    <w:p w14:paraId="7D189B86" w14:textId="77777777" w:rsidR="00C6504D" w:rsidRDefault="00C6504D" w:rsidP="00C6504D">
      <w:pPr>
        <w:pStyle w:val="NoSpacing"/>
        <w:ind w:left="720"/>
      </w:pPr>
    </w:p>
    <w:p w14:paraId="34134FA7" w14:textId="77777777" w:rsidR="00C6504D" w:rsidRDefault="00C6504D" w:rsidP="00C6504D">
      <w:pPr>
        <w:pStyle w:val="NoSpacing"/>
        <w:ind w:left="720"/>
      </w:pPr>
      <w:r w:rsidRPr="002204F5">
        <w:t xml:space="preserve">Medical Defendants, AMR West and the paramedic Mr. Richardson, arrived in an ambulance and attempted to bandage Mr. </w:t>
      </w:r>
      <w:proofErr w:type="spellStart"/>
      <w:r w:rsidRPr="002204F5">
        <w:t>Gutzalenko's</w:t>
      </w:r>
      <w:proofErr w:type="spellEnd"/>
      <w:r w:rsidRPr="002204F5">
        <w:t xml:space="preserve"> hands</w:t>
      </w:r>
      <w:r>
        <w:t xml:space="preserve">…. </w:t>
      </w:r>
      <w:r w:rsidRPr="002204F5">
        <w:t xml:space="preserve">Mr. </w:t>
      </w:r>
      <w:proofErr w:type="spellStart"/>
      <w:r w:rsidRPr="002204F5">
        <w:t>Gutzalenko</w:t>
      </w:r>
      <w:proofErr w:type="spellEnd"/>
      <w:r w:rsidRPr="002204F5">
        <w:t xml:space="preserve"> became agitated and tried to keep his hands away</w:t>
      </w:r>
      <w:r>
        <w:t xml:space="preserve">…. </w:t>
      </w:r>
      <w:r w:rsidRPr="002204F5">
        <w:t xml:space="preserve">After Mr. </w:t>
      </w:r>
      <w:proofErr w:type="spellStart"/>
      <w:r w:rsidRPr="002204F5">
        <w:t>Gutzalenko</w:t>
      </w:r>
      <w:proofErr w:type="spellEnd"/>
      <w:r w:rsidRPr="002204F5">
        <w:t xml:space="preserve"> began to resist, the police officers attempted to handcuff him</w:t>
      </w:r>
      <w:r>
        <w:t xml:space="preserve">…. </w:t>
      </w:r>
      <w:r w:rsidRPr="002204F5">
        <w:t xml:space="preserve">During this struggle, Plaintiffs allege that Officer Tran applied his knee to Mr. </w:t>
      </w:r>
      <w:proofErr w:type="spellStart"/>
      <w:r w:rsidRPr="002204F5">
        <w:t>Gutzalenko's</w:t>
      </w:r>
      <w:proofErr w:type="spellEnd"/>
      <w:r w:rsidRPr="002204F5">
        <w:t xml:space="preserve"> back while he was in a prone position</w:t>
      </w:r>
      <w:r>
        <w:t xml:space="preserve">…. </w:t>
      </w:r>
      <w:r w:rsidRPr="002204F5">
        <w:t>By the time the handcuffs were placed on Mr. Gutzalenko, Plaintiffs claim that he had become non-responsive and no longer resistive. </w:t>
      </w:r>
    </w:p>
    <w:p w14:paraId="63E389C4" w14:textId="77777777" w:rsidR="00C6504D" w:rsidRDefault="00C6504D" w:rsidP="00C6504D">
      <w:pPr>
        <w:pStyle w:val="NoSpacing"/>
        <w:ind w:left="720"/>
      </w:pPr>
    </w:p>
    <w:p w14:paraId="2B2904B6" w14:textId="77777777" w:rsidR="00C6504D" w:rsidRDefault="00C6504D" w:rsidP="00C6504D">
      <w:pPr>
        <w:pStyle w:val="NoSpacing"/>
        <w:ind w:left="720"/>
      </w:pPr>
      <w:r w:rsidRPr="002204F5">
        <w:t xml:space="preserve">After Mr. </w:t>
      </w:r>
      <w:proofErr w:type="spellStart"/>
      <w:r w:rsidRPr="002204F5">
        <w:t>Gutzalenko</w:t>
      </w:r>
      <w:proofErr w:type="spellEnd"/>
      <w:r w:rsidRPr="002204F5">
        <w:t xml:space="preserve"> was handcuffed on the ground, Defendant Mr. Richardson injected Mr. </w:t>
      </w:r>
      <w:proofErr w:type="spellStart"/>
      <w:r w:rsidRPr="002204F5">
        <w:t>Gutzalenko</w:t>
      </w:r>
      <w:proofErr w:type="spellEnd"/>
      <w:r w:rsidRPr="002204F5">
        <w:t xml:space="preserve"> with Versed, a chemical restraint</w:t>
      </w:r>
      <w:r>
        <w:t xml:space="preserve">…. </w:t>
      </w:r>
      <w:r w:rsidRPr="002204F5">
        <w:t xml:space="preserve">At this juncture, there is no dispute that Mr. Richardson administered the chemical restraint for safety reasons, rather than to restrain Mr. </w:t>
      </w:r>
      <w:proofErr w:type="spellStart"/>
      <w:r w:rsidRPr="002204F5">
        <w:t>Gutzalenko</w:t>
      </w:r>
      <w:proofErr w:type="spellEnd"/>
      <w:r w:rsidRPr="002204F5">
        <w:t xml:space="preserve"> in a law enforcement capacity; he injected Mr. </w:t>
      </w:r>
      <w:proofErr w:type="spellStart"/>
      <w:r w:rsidRPr="002204F5">
        <w:t>Gutzalenko</w:t>
      </w:r>
      <w:proofErr w:type="spellEnd"/>
      <w:r w:rsidRPr="002204F5">
        <w:t xml:space="preserve"> to protect himself and others in the ambulance during transport of Mr. </w:t>
      </w:r>
      <w:proofErr w:type="spellStart"/>
      <w:r w:rsidRPr="002204F5">
        <w:t>Gutzalenko</w:t>
      </w:r>
      <w:proofErr w:type="spellEnd"/>
      <w:r w:rsidRPr="002204F5">
        <w:t xml:space="preserve"> to the hospital</w:t>
      </w:r>
      <w:r>
        <w:t xml:space="preserve">…. </w:t>
      </w:r>
    </w:p>
    <w:p w14:paraId="5FA69228" w14:textId="77777777" w:rsidR="00C6504D" w:rsidRDefault="00C6504D" w:rsidP="00C6504D">
      <w:pPr>
        <w:pStyle w:val="NoSpacing"/>
        <w:ind w:left="720"/>
      </w:pPr>
    </w:p>
    <w:p w14:paraId="1441F2C8" w14:textId="77777777" w:rsidR="00C6504D" w:rsidRDefault="00C6504D" w:rsidP="00C6504D">
      <w:pPr>
        <w:pStyle w:val="NoSpacing"/>
        <w:ind w:left="720"/>
      </w:pPr>
      <w:r w:rsidRPr="002204F5">
        <w:t xml:space="preserve">Plaintiffs claim that Mr. Richardson did not </w:t>
      </w:r>
      <w:r>
        <w:t>‘</w:t>
      </w:r>
      <w:r w:rsidRPr="002204F5">
        <w:t>aspirate</w:t>
      </w:r>
      <w:r>
        <w:t xml:space="preserve">’ </w:t>
      </w:r>
      <w:r w:rsidRPr="002204F5">
        <w:t>the syringe when he administered the Versed to ensure it was not in the vein</w:t>
      </w:r>
      <w:r>
        <w:t xml:space="preserve">…. </w:t>
      </w:r>
      <w:r w:rsidRPr="002204F5">
        <w:t xml:space="preserve">Plaintiffs allege that Mr. </w:t>
      </w:r>
      <w:proofErr w:type="spellStart"/>
      <w:r w:rsidRPr="002204F5">
        <w:t>Gutzalenko</w:t>
      </w:r>
      <w:proofErr w:type="spellEnd"/>
      <w:r w:rsidRPr="002204F5">
        <w:t xml:space="preserve"> stopped breathing within 90 seconds of the Versed administration</w:t>
      </w:r>
      <w:r>
        <w:t xml:space="preserve">… </w:t>
      </w:r>
      <w:r w:rsidRPr="002204F5">
        <w:t xml:space="preserve">Mr. </w:t>
      </w:r>
      <w:proofErr w:type="spellStart"/>
      <w:r w:rsidRPr="002204F5">
        <w:t>Gutzalenko</w:t>
      </w:r>
      <w:proofErr w:type="spellEnd"/>
      <w:r w:rsidRPr="002204F5">
        <w:t xml:space="preserve"> was pronounced dead after he was taken to Summit Hospital in Oakland</w:t>
      </w:r>
      <w:r>
        <w:t xml:space="preserve">…. </w:t>
      </w:r>
      <w:r w:rsidRPr="002204F5">
        <w:t xml:space="preserve"> An autopsy determined the cause of death was prone restraint asphyxia and cardiac arrest while under the influence of methamphetamine.</w:t>
      </w:r>
      <w:r>
        <w:t>”</w:t>
      </w:r>
    </w:p>
    <w:p w14:paraId="410BABDD" w14:textId="77777777" w:rsidR="00C6504D" w:rsidRDefault="00C6504D" w:rsidP="00C6504D">
      <w:pPr>
        <w:pStyle w:val="NoSpacing"/>
        <w:ind w:left="720"/>
      </w:pPr>
    </w:p>
    <w:p w14:paraId="77CD0284" w14:textId="16649AAD" w:rsidR="00C6504D" w:rsidRPr="004622D5" w:rsidRDefault="00C6504D" w:rsidP="00C6504D">
      <w:pPr>
        <w:pStyle w:val="NoSpacing"/>
        <w:rPr>
          <w:b/>
          <w:bCs/>
        </w:rPr>
      </w:pPr>
      <w:r>
        <w:rPr>
          <w:b/>
        </w:rPr>
        <w:t xml:space="preserve">Legal lesson learned: Follow your protocol on administering </w:t>
      </w:r>
      <w:r w:rsidR="002B5A76">
        <w:rPr>
          <w:b/>
        </w:rPr>
        <w:t>v</w:t>
      </w:r>
      <w:r>
        <w:rPr>
          <w:b/>
        </w:rPr>
        <w:t xml:space="preserve">ersed to a handcuffed prone patient. </w:t>
      </w:r>
    </w:p>
    <w:p w14:paraId="0EE67BDD" w14:textId="77777777" w:rsidR="00C6504D" w:rsidRDefault="00C6504D" w:rsidP="00C6504D">
      <w:pPr>
        <w:rPr>
          <w:b/>
        </w:rPr>
      </w:pPr>
    </w:p>
    <w:p w14:paraId="61FE4895" w14:textId="77777777" w:rsidR="00C6504D" w:rsidRDefault="00C6504D" w:rsidP="00004498">
      <w:pPr>
        <w:rPr>
          <w:rFonts w:ascii="Arial Black" w:hAnsi="Arial Black"/>
          <w:b/>
          <w:bCs/>
          <w:sz w:val="24"/>
          <w:szCs w:val="24"/>
        </w:rPr>
      </w:pPr>
    </w:p>
    <w:p w14:paraId="5C63ECB1" w14:textId="77777777" w:rsidR="00C6504D" w:rsidRDefault="00C6504D" w:rsidP="00004498">
      <w:pPr>
        <w:rPr>
          <w:rFonts w:ascii="Arial Black" w:hAnsi="Arial Black"/>
          <w:b/>
          <w:bCs/>
          <w:sz w:val="24"/>
          <w:szCs w:val="24"/>
        </w:rPr>
      </w:pPr>
    </w:p>
    <w:p w14:paraId="6BE7BD6D" w14:textId="5FF2DFBB" w:rsidR="004612E3" w:rsidRDefault="00F04117" w:rsidP="00004498">
      <w:pPr>
        <w:rPr>
          <w:rFonts w:ascii="Arial Black" w:hAnsi="Arial Black"/>
          <w:b/>
          <w:bCs/>
          <w:sz w:val="24"/>
          <w:szCs w:val="24"/>
        </w:rPr>
      </w:pPr>
      <w:r>
        <w:rPr>
          <w:rFonts w:ascii="Arial Black" w:hAnsi="Arial Black"/>
          <w:b/>
          <w:bCs/>
          <w:sz w:val="24"/>
          <w:szCs w:val="24"/>
        </w:rPr>
        <w:t>13-23</w:t>
      </w:r>
      <w:r w:rsidR="00524647">
        <w:rPr>
          <w:rFonts w:ascii="Arial Black" w:hAnsi="Arial Black"/>
          <w:b/>
          <w:bCs/>
          <w:sz w:val="24"/>
          <w:szCs w:val="24"/>
        </w:rPr>
        <w:t>2</w:t>
      </w:r>
    </w:p>
    <w:p w14:paraId="2FBEF3A7" w14:textId="4E484F18" w:rsidR="00F04117" w:rsidRDefault="00F04117" w:rsidP="00F04117">
      <w:pPr>
        <w:pStyle w:val="NoSpacing"/>
        <w:rPr>
          <w:rFonts w:ascii="Arial Black" w:hAnsi="Arial Black"/>
          <w:sz w:val="28"/>
          <w:szCs w:val="28"/>
        </w:rPr>
      </w:pPr>
      <w:r>
        <w:rPr>
          <w:rFonts w:ascii="Arial Black" w:hAnsi="Arial Black"/>
          <w:sz w:val="28"/>
          <w:szCs w:val="28"/>
        </w:rPr>
        <w:t xml:space="preserve">GA: PULSE OX MONITOR – NOT IN PCR – JURY </w:t>
      </w:r>
      <w:r w:rsidR="003054C5">
        <w:rPr>
          <w:rFonts w:ascii="Arial Black" w:hAnsi="Arial Black"/>
          <w:sz w:val="28"/>
          <w:szCs w:val="28"/>
        </w:rPr>
        <w:t>FINDS</w:t>
      </w:r>
      <w:r>
        <w:rPr>
          <w:rFonts w:ascii="Arial Black" w:hAnsi="Arial Black"/>
          <w:sz w:val="28"/>
          <w:szCs w:val="28"/>
        </w:rPr>
        <w:t xml:space="preserve"> NO LIAB </w:t>
      </w:r>
    </w:p>
    <w:p w14:paraId="4B962ABB" w14:textId="77777777" w:rsidR="00F04117" w:rsidRDefault="00F04117" w:rsidP="00F04117">
      <w:pPr>
        <w:pStyle w:val="NoSpacing"/>
        <w:rPr>
          <w:rFonts w:ascii="Arial Black" w:hAnsi="Arial Black"/>
          <w:sz w:val="28"/>
          <w:szCs w:val="28"/>
        </w:rPr>
      </w:pPr>
    </w:p>
    <w:p w14:paraId="464C2AC4" w14:textId="77777777" w:rsidR="007438A3" w:rsidRDefault="00F04117" w:rsidP="00F04117">
      <w:pPr>
        <w:pStyle w:val="NoSpacing"/>
      </w:pPr>
      <w:r>
        <w:t xml:space="preserve">On October 30, 2025, in </w:t>
      </w:r>
      <w:r w:rsidRPr="00062B36">
        <w:rPr>
          <w:u w:val="single"/>
        </w:rPr>
        <w:t>Wright v. Metro Ambulance Services, Inc</w:t>
      </w:r>
      <w:r>
        <w:t xml:space="preserve">., the </w:t>
      </w:r>
      <w:r w:rsidRPr="00B92007">
        <w:t>Court of Appeals of Georgia</w:t>
      </w:r>
      <w:r>
        <w:t xml:space="preserve"> held (3 to 0) that jury verdict for defense is affirmed. The lawsuit was brought by Dr. Joray Wright, as survivor and administrator of the Estate of Vanessa Banks.  Plaintiffs’ expert, cardiologist Dr. B</w:t>
      </w:r>
      <w:r w:rsidRPr="00B54144">
        <w:t>rian Swirsky,</w:t>
      </w:r>
      <w:r>
        <w:t xml:space="preserve"> testified by videotaped deposition that a patient’s oxygen saturation is a vital sign that must be taken by a pulse oximeter, and there was no such reading recorded </w:t>
      </w:r>
      <w:r w:rsidRPr="00E25A64">
        <w:t>as having been taken by Kern in Banks’s patient care record.</w:t>
      </w:r>
      <w:r>
        <w:t xml:space="preserve">  The cardiologist testified that Kern may have “fabricated” the 99% oxygen saturation level he reported to the hospital when requesting to administer a morphine 20 minutes from the hospital.  Defense expert, cardiologist Dr. </w:t>
      </w:r>
      <w:r w:rsidRPr="000B73D5">
        <w:t>Charles Wilmer</w:t>
      </w:r>
      <w:r>
        <w:t xml:space="preserve">, testified in person to the jury that paramedic continued speaking with </w:t>
      </w:r>
      <w:proofErr w:type="gramStart"/>
      <w:r>
        <w:t>patient</w:t>
      </w:r>
      <w:proofErr w:type="gramEnd"/>
      <w:r>
        <w:t xml:space="preserve"> during transport until she suddenly experienced respiratory depression leading to a fatal cardiac arrhythmia (VFIB).  The Court of Appeals rejected plaintiff’s argument that trial court abused its discretion by excluding the in-person testimony of their cardiologist (his videotaped testimony was shown to the jury) as a rebuttal witness after the defense cardiologist testified in person.  </w:t>
      </w:r>
    </w:p>
    <w:p w14:paraId="5AF21256" w14:textId="458B2C0F" w:rsidR="00F04117" w:rsidRPr="00B92007" w:rsidRDefault="005D3D7E" w:rsidP="00F04117">
      <w:pPr>
        <w:pStyle w:val="NoSpacing"/>
      </w:pPr>
      <w:hyperlink r:id="rId2009" w:history="1">
        <w:r w:rsidRPr="000F3B38">
          <w:rPr>
            <w:rStyle w:val="Hyperlink"/>
            <w:b/>
          </w:rPr>
          <w:t>https://cases.justia.com/georgia/court-of-appeals/2025-a25a1173.pdf?ts=1761847932</w:t>
        </w:r>
      </w:hyperlink>
    </w:p>
    <w:p w14:paraId="13B6553F" w14:textId="77777777" w:rsidR="00F04117" w:rsidRDefault="00F04117" w:rsidP="00F04117">
      <w:pPr>
        <w:pStyle w:val="NoSpacing"/>
      </w:pPr>
    </w:p>
    <w:p w14:paraId="54F109DB" w14:textId="77777777" w:rsidR="00F04117" w:rsidRDefault="00F04117" w:rsidP="00F04117">
      <w:pPr>
        <w:pStyle w:val="NoSpacing"/>
      </w:pPr>
      <w:r>
        <w:t>THE COURT HELD:</w:t>
      </w:r>
    </w:p>
    <w:p w14:paraId="3E140AB3" w14:textId="77777777" w:rsidR="00F04117" w:rsidRDefault="00F04117" w:rsidP="00F04117">
      <w:pPr>
        <w:pStyle w:val="NoSpacing"/>
      </w:pPr>
    </w:p>
    <w:p w14:paraId="21EB3D56" w14:textId="77777777" w:rsidR="00F04117" w:rsidRDefault="00F04117" w:rsidP="00F04117">
      <w:pPr>
        <w:pStyle w:val="NoSpacing"/>
        <w:ind w:left="720"/>
      </w:pPr>
      <w:r>
        <w:t xml:space="preserve">“The more prudent course in this case would have been for the trial court to allow Dr. Swirsky to testify in rebuttal to Dr. Wilmer’s theory regarding the GCS. Nevertheless, our de novo review of the full record does not evidence harm </w:t>
      </w:r>
      <w:proofErr w:type="gramStart"/>
      <w:r>
        <w:t>as a result of</w:t>
      </w:r>
      <w:proofErr w:type="gramEnd"/>
      <w:r>
        <w:t xml:space="preserve"> the trial court’s refusal to allow Swirsky’s testimony.</w:t>
      </w:r>
    </w:p>
    <w:p w14:paraId="589CCA95" w14:textId="77777777" w:rsidR="00F04117" w:rsidRDefault="00F04117" w:rsidP="00F04117">
      <w:pPr>
        <w:pStyle w:val="NoSpacing"/>
        <w:ind w:left="720"/>
      </w:pPr>
    </w:p>
    <w:p w14:paraId="121494C4" w14:textId="77777777" w:rsidR="00F04117" w:rsidRDefault="00F04117" w:rsidP="00F04117">
      <w:pPr>
        <w:pStyle w:val="NoSpacing"/>
        <w:ind w:left="720"/>
      </w:pPr>
      <w:r>
        <w:t>***</w:t>
      </w:r>
    </w:p>
    <w:p w14:paraId="3A9BE67D" w14:textId="77777777" w:rsidR="00F04117" w:rsidRDefault="00F04117" w:rsidP="00F04117">
      <w:pPr>
        <w:pStyle w:val="NoSpacing"/>
      </w:pPr>
    </w:p>
    <w:p w14:paraId="09E62799" w14:textId="77777777" w:rsidR="00F04117" w:rsidRDefault="00F04117" w:rsidP="00F04117">
      <w:pPr>
        <w:pStyle w:val="NoSpacing"/>
        <w:ind w:left="720"/>
      </w:pPr>
      <w:r>
        <w:t xml:space="preserve">[T]he </w:t>
      </w:r>
      <w:r w:rsidRPr="009433B1">
        <w:t>evidence showed that after the death of his mother, 63-year-old</w:t>
      </w:r>
      <w:r>
        <w:t xml:space="preserve"> </w:t>
      </w:r>
      <w:r w:rsidRPr="009433B1">
        <w:t>Vanessa Banks, Wright filed the instant wrongful death action against Metro on a</w:t>
      </w:r>
      <w:r>
        <w:t xml:space="preserve"> </w:t>
      </w:r>
      <w:r w:rsidRPr="009433B1">
        <w:t>theory of vicarious liability based on the negligence of its paramedic, Michael Kern.</w:t>
      </w:r>
      <w:r>
        <w:t xml:space="preserve"> </w:t>
      </w:r>
      <w:r w:rsidRPr="009433B1">
        <w:t>Testimony at trial showed that in the early morning hours of April 15, 2019, Banks was</w:t>
      </w:r>
      <w:r>
        <w:t xml:space="preserve"> </w:t>
      </w:r>
      <w:r w:rsidRPr="009433B1">
        <w:t>pushed from a second story window onto vegetation below. She survived the fall, and</w:t>
      </w:r>
      <w:r>
        <w:t xml:space="preserve"> </w:t>
      </w:r>
      <w:r w:rsidRPr="009433B1">
        <w:t>Metro’s ambulance arrived at 12:33 a.m. Banks was alert and oriented at the time of</w:t>
      </w:r>
      <w:r>
        <w:t xml:space="preserve"> </w:t>
      </w:r>
      <w:r w:rsidRPr="009433B1">
        <w:t xml:space="preserve">transport but complained of ten out of ten </w:t>
      </w:r>
      <w:proofErr w:type="gramStart"/>
      <w:r w:rsidRPr="009433B1">
        <w:t>pain</w:t>
      </w:r>
      <w:proofErr w:type="gramEnd"/>
      <w:r w:rsidRPr="009433B1">
        <w:t xml:space="preserve"> in her left side and abdomen.</w:t>
      </w:r>
    </w:p>
    <w:p w14:paraId="5D89D86B" w14:textId="77777777" w:rsidR="00F04117" w:rsidRDefault="00F04117" w:rsidP="00F04117">
      <w:pPr>
        <w:pStyle w:val="NoSpacing"/>
      </w:pPr>
    </w:p>
    <w:p w14:paraId="0C4077C9" w14:textId="77777777" w:rsidR="00F04117" w:rsidRDefault="00F04117" w:rsidP="00F04117">
      <w:pPr>
        <w:pStyle w:val="NoSpacing"/>
        <w:ind w:left="720"/>
      </w:pPr>
      <w:r>
        <w:t>Kern and technician Chayce Burton placed Banks on a backboard and collar to protect her spine. Kern testified that he took a baseline blood oxygen level with a handheld pulse oximeter prior to leaving the scene with Banks, and based on his observations of her, he did not consider her unstable. The ambulance left the scene around 12:45 a.m., and Kern treated Banks therein, attaching a four-line cardiac monitor and establishing an IV. Kern did not place a pulse oximeter to measure blood oxygen saturation during the trip.</w:t>
      </w:r>
    </w:p>
    <w:p w14:paraId="2040179D" w14:textId="77777777" w:rsidR="00F04117" w:rsidRDefault="00F04117" w:rsidP="00F04117">
      <w:pPr>
        <w:pStyle w:val="NoSpacing"/>
      </w:pPr>
    </w:p>
    <w:p w14:paraId="55D6A159" w14:textId="77777777" w:rsidR="00F04117" w:rsidRDefault="00F04117" w:rsidP="00F04117">
      <w:pPr>
        <w:pStyle w:val="NoSpacing"/>
        <w:ind w:left="720"/>
      </w:pPr>
      <w:r>
        <w:t xml:space="preserve">About 20 minutes away from the destination hospital, Kern sought approval from a doctor to give Banks morphine. Kern reported that Banks had a history of diabetes; was conscious, alert, and oriented with a Glasgow Coma Score (“GCS”) of 15; had pain in her lower lumbar and upper back; was tender on palpation; had a pulse rate of 88, normal sinus heart rhythm on the monitor, blood pressure of 150/90, and oxygen saturation of 99 percent on room air; and her breath was fast and shallow, which he scored at a 30 respiration rate. Instead of morphine, the doctor instructed Kern to administer 50 micrograms of fentanyl, which Kern gave Banks intravenously at 12:48 a.m. Kern testified the fentanyl did not reduce Banks’s pain, and she was alert and speaking after he administered it. The monitor recorded Banks’s heart rate approximately six times (12:42, 12:46, 12:51, 12:52, 12:56, and 1:02), and it recorded her blood pressure and </w:t>
      </w:r>
      <w:proofErr w:type="gramStart"/>
      <w:r>
        <w:t>mean</w:t>
      </w:r>
      <w:proofErr w:type="gramEnd"/>
      <w:r>
        <w:t xml:space="preserve"> arterial pressure three times (12:42, 12:52, and 1:02). Kern noted Banks’s respiratory rate, depth, and effort over the course of the ride.</w:t>
      </w:r>
    </w:p>
    <w:p w14:paraId="25F8BFD5" w14:textId="77777777" w:rsidR="00F04117" w:rsidRDefault="00F04117" w:rsidP="00F04117">
      <w:pPr>
        <w:pStyle w:val="NoSpacing"/>
      </w:pPr>
    </w:p>
    <w:p w14:paraId="52E40274" w14:textId="77777777" w:rsidR="00F04117" w:rsidRDefault="00F04117" w:rsidP="00F04117">
      <w:pPr>
        <w:pStyle w:val="NoSpacing"/>
        <w:ind w:left="720"/>
      </w:pPr>
      <w:r>
        <w:t xml:space="preserve">Around 1:06 a.m., Kern testified that they were about two minutes away from the hospital when Banks gasped, turned her head to the side, and became flushed and purple. Her breathing was agonal, she had no palpable pulse, and the heart monitor indicated that she was in ventricular fibrillation (“VFIB”). Kern started cardiopulmonary resuscitation (“CPR”), and after parking the ambulance (about two minutes after CPR began), Burton came back to assist </w:t>
      </w:r>
      <w:proofErr w:type="gramStart"/>
      <w:r>
        <w:t>in order for</w:t>
      </w:r>
      <w:proofErr w:type="gramEnd"/>
      <w:r>
        <w:t xml:space="preserve"> Kern to attempt to defibrillate Banks. Hospital </w:t>
      </w:r>
      <w:proofErr w:type="gramStart"/>
      <w:r>
        <w:t>personal</w:t>
      </w:r>
      <w:proofErr w:type="gramEnd"/>
      <w:r>
        <w:t xml:space="preserve"> from the ambulance bay joined the effort to resuscitate Banks, performing bag-assisted ventilation while Kern administered intravenous amiodarone, an antiarrhythmic medication, at 1:10 a.m. Metro’s crew turned care of Banks over to the hospital by 1:15 a.m. At 1:19 a.m., Banks was pronounced dead from what the medical examiner later determined to be ‘acute cardiac dysrhythmia complicating fall from height.’”</w:t>
      </w:r>
    </w:p>
    <w:p w14:paraId="103EFF33" w14:textId="77777777" w:rsidR="00F04117" w:rsidRDefault="00F04117" w:rsidP="00F04117">
      <w:pPr>
        <w:pStyle w:val="NoSpacing"/>
        <w:ind w:left="720"/>
      </w:pPr>
    </w:p>
    <w:p w14:paraId="5BD0FFF2" w14:textId="2D92B6E9" w:rsidR="00F04117" w:rsidRPr="006572CC" w:rsidRDefault="00F04117" w:rsidP="00F04117">
      <w:pPr>
        <w:pStyle w:val="NoSpacing"/>
        <w:rPr>
          <w:b/>
          <w:bCs/>
        </w:rPr>
      </w:pPr>
      <w:r>
        <w:rPr>
          <w:b/>
        </w:rPr>
        <w:t xml:space="preserve">Lesson learned: Avoid litigation, use pulse ox monitor during transport and record that in patient care report. </w:t>
      </w:r>
    </w:p>
    <w:p w14:paraId="0F7251F6" w14:textId="77777777" w:rsidR="00F04117" w:rsidRDefault="00F04117" w:rsidP="00004498">
      <w:pPr>
        <w:rPr>
          <w:rFonts w:ascii="Arial Black" w:hAnsi="Arial Black"/>
          <w:b/>
          <w:bCs/>
          <w:sz w:val="24"/>
          <w:szCs w:val="24"/>
        </w:rPr>
      </w:pPr>
    </w:p>
    <w:p w14:paraId="69141FB2" w14:textId="77777777" w:rsidR="00F04117" w:rsidRDefault="00F04117" w:rsidP="00004498">
      <w:pPr>
        <w:rPr>
          <w:rFonts w:ascii="Arial Black" w:hAnsi="Arial Black"/>
          <w:b/>
          <w:bCs/>
          <w:sz w:val="24"/>
          <w:szCs w:val="24"/>
        </w:rPr>
      </w:pPr>
    </w:p>
    <w:p w14:paraId="0EC8D52B" w14:textId="5B81DF82" w:rsidR="00F04117" w:rsidRDefault="00E42133" w:rsidP="00004498">
      <w:pPr>
        <w:rPr>
          <w:rFonts w:ascii="Arial Black" w:hAnsi="Arial Black"/>
          <w:b/>
          <w:bCs/>
          <w:sz w:val="24"/>
          <w:szCs w:val="24"/>
        </w:rPr>
      </w:pPr>
      <w:r>
        <w:rPr>
          <w:rFonts w:ascii="Arial Black" w:hAnsi="Arial Black"/>
          <w:b/>
          <w:bCs/>
          <w:sz w:val="24"/>
          <w:szCs w:val="24"/>
        </w:rPr>
        <w:t>13</w:t>
      </w:r>
      <w:r w:rsidR="00B77073">
        <w:rPr>
          <w:rFonts w:ascii="Arial Black" w:hAnsi="Arial Black"/>
          <w:b/>
          <w:bCs/>
          <w:sz w:val="24"/>
          <w:szCs w:val="24"/>
        </w:rPr>
        <w:t>—</w:t>
      </w:r>
      <w:r w:rsidR="00B15D17">
        <w:rPr>
          <w:rFonts w:ascii="Arial Black" w:hAnsi="Arial Black"/>
          <w:b/>
          <w:bCs/>
          <w:sz w:val="24"/>
          <w:szCs w:val="24"/>
        </w:rPr>
        <w:t>23</w:t>
      </w:r>
      <w:r w:rsidR="00524647">
        <w:rPr>
          <w:rFonts w:ascii="Arial Black" w:hAnsi="Arial Black"/>
          <w:b/>
          <w:bCs/>
          <w:sz w:val="24"/>
          <w:szCs w:val="24"/>
        </w:rPr>
        <w:t>1</w:t>
      </w:r>
    </w:p>
    <w:p w14:paraId="6E8BA226" w14:textId="1E1BAAB0" w:rsidR="00E42133" w:rsidRDefault="00E42133" w:rsidP="00E42133">
      <w:pPr>
        <w:pStyle w:val="NoSpacing"/>
        <w:rPr>
          <w:rFonts w:ascii="Arial Black" w:hAnsi="Arial Black"/>
          <w:b/>
          <w:sz w:val="28"/>
          <w:szCs w:val="28"/>
        </w:rPr>
      </w:pPr>
      <w:r>
        <w:rPr>
          <w:rFonts w:ascii="Arial Black" w:hAnsi="Arial Black"/>
          <w:b/>
          <w:sz w:val="28"/>
          <w:szCs w:val="28"/>
        </w:rPr>
        <w:t xml:space="preserve">PA: PT PUNCHED MEDIC IN AMBULANCE </w:t>
      </w:r>
      <w:r w:rsidR="008019DB">
        <w:rPr>
          <w:rFonts w:ascii="Arial Black" w:hAnsi="Arial Black"/>
          <w:b/>
          <w:sz w:val="28"/>
          <w:szCs w:val="28"/>
        </w:rPr>
        <w:t xml:space="preserve">– </w:t>
      </w:r>
      <w:r w:rsidR="004B5399">
        <w:rPr>
          <w:rFonts w:ascii="Arial Black" w:hAnsi="Arial Black"/>
          <w:b/>
          <w:sz w:val="28"/>
          <w:szCs w:val="28"/>
        </w:rPr>
        <w:t>RETRIAL – STANDBY ATTY</w:t>
      </w:r>
    </w:p>
    <w:p w14:paraId="7DD87E5E" w14:textId="77777777" w:rsidR="00E42133" w:rsidRDefault="00E42133" w:rsidP="00E42133">
      <w:pPr>
        <w:pStyle w:val="NoSpacing"/>
        <w:rPr>
          <w:rFonts w:ascii="Arial Black" w:hAnsi="Arial Black"/>
          <w:b/>
          <w:sz w:val="28"/>
          <w:szCs w:val="28"/>
        </w:rPr>
      </w:pPr>
    </w:p>
    <w:p w14:paraId="2E10FAF5" w14:textId="77777777" w:rsidR="00A5402C" w:rsidRDefault="00E42133" w:rsidP="00E42133">
      <w:pPr>
        <w:pStyle w:val="NoSpacing"/>
      </w:pPr>
      <w:r w:rsidRPr="00FD0472">
        <w:t xml:space="preserve">On October 25, 2025, in </w:t>
      </w:r>
      <w:r w:rsidRPr="00A107E9">
        <w:rPr>
          <w:u w:val="single"/>
        </w:rPr>
        <w:t>Commonwealth of Pennsylvania v. Roger Dean Hornberger</w:t>
      </w:r>
      <w:r>
        <w:t xml:space="preserve">, the </w:t>
      </w:r>
      <w:r w:rsidRPr="000761B1">
        <w:t>Superior Court of Pennsylvania</w:t>
      </w:r>
      <w:r>
        <w:t xml:space="preserve"> held (3 to 0; non-precedential decision) that defendant’s conviction for assaulting the paramedic and sentence of 21-42 months in prison must be set aside for a new trial.  Defendant pro se - represented himself at trial (trial court did appoint a “standby attorney” during the trial) but prior to selection of a jury the trial court judge did review with him each charge and possible sentences if convicted.</w:t>
      </w:r>
    </w:p>
    <w:p w14:paraId="7574D202" w14:textId="17A4F328" w:rsidR="00E42133" w:rsidRDefault="00E42133" w:rsidP="00E42133">
      <w:pPr>
        <w:pStyle w:val="NoSpacing"/>
        <w:rPr>
          <w:b/>
        </w:rPr>
      </w:pPr>
      <w:r>
        <w:t xml:space="preserve"> </w:t>
      </w:r>
      <w:hyperlink r:id="rId2010" w:history="1">
        <w:r w:rsidRPr="00937559">
          <w:rPr>
            <w:rStyle w:val="Hyperlink"/>
            <w:b/>
          </w:rPr>
          <w:t>https://www.pacourts.us/assets/opinions/Superior/out/J-A19045-25m%20-%20106549181332513446.pdf?cb=1</w:t>
        </w:r>
      </w:hyperlink>
      <w:r>
        <w:rPr>
          <w:b/>
        </w:rPr>
        <w:t xml:space="preserve"> </w:t>
      </w:r>
    </w:p>
    <w:p w14:paraId="1DA98C4B" w14:textId="77777777" w:rsidR="00E42133" w:rsidRDefault="00E42133" w:rsidP="00E42133">
      <w:pPr>
        <w:pStyle w:val="NoSpacing"/>
        <w:rPr>
          <w:b/>
        </w:rPr>
      </w:pPr>
    </w:p>
    <w:p w14:paraId="0C77CC93" w14:textId="77777777" w:rsidR="00E42133" w:rsidRDefault="00E42133" w:rsidP="00E42133">
      <w:pPr>
        <w:pStyle w:val="NoSpacing"/>
        <w:rPr>
          <w:bCs/>
        </w:rPr>
      </w:pPr>
      <w:r w:rsidRPr="00073BE7">
        <w:t>THE COURT HELD:</w:t>
      </w:r>
    </w:p>
    <w:p w14:paraId="6AEFE723" w14:textId="77777777" w:rsidR="00E42133" w:rsidRDefault="00E42133" w:rsidP="00E42133">
      <w:pPr>
        <w:pStyle w:val="NoSpacing"/>
        <w:rPr>
          <w:bCs/>
        </w:rPr>
      </w:pPr>
    </w:p>
    <w:p w14:paraId="10830B5A" w14:textId="77777777" w:rsidR="00E42133" w:rsidRDefault="00E42133" w:rsidP="00E42133">
      <w:pPr>
        <w:pStyle w:val="NoSpacing"/>
        <w:ind w:left="720"/>
        <w:rPr>
          <w:bCs/>
        </w:rPr>
      </w:pPr>
      <w:r>
        <w:t>“</w:t>
      </w:r>
      <w:r w:rsidRPr="008028D9">
        <w:t>This matter arises from a domestic violence call on September 3, 2023.</w:t>
      </w:r>
      <w:r>
        <w:t xml:space="preserve"> </w:t>
      </w:r>
      <w:r w:rsidRPr="008028D9">
        <w:t>Trooper John Ryan Herold of the Pennsylvania State Police responded to</w:t>
      </w:r>
      <w:r>
        <w:t xml:space="preserve"> </w:t>
      </w:r>
      <w:r w:rsidRPr="008028D9">
        <w:t>Appellant’s house, where he and other troopers discovered that Appellant had</w:t>
      </w:r>
      <w:r>
        <w:t xml:space="preserve"> </w:t>
      </w:r>
      <w:r w:rsidRPr="008028D9">
        <w:t>fallen or jumped from the second story window. Upon contact with Appellant</w:t>
      </w:r>
      <w:r>
        <w:t xml:space="preserve"> </w:t>
      </w:r>
      <w:r w:rsidRPr="008028D9">
        <w:t>outside, Trooper Herold saw that he was holding a red container filled with a</w:t>
      </w:r>
      <w:r>
        <w:t xml:space="preserve"> </w:t>
      </w:r>
      <w:r w:rsidRPr="008028D9">
        <w:t xml:space="preserve">white powdery substance, later identified as </w:t>
      </w:r>
      <w:r>
        <w:t>m</w:t>
      </w:r>
      <w:r w:rsidRPr="008028D9">
        <w:t>ethamphetamine. Instead of</w:t>
      </w:r>
      <w:r>
        <w:t xml:space="preserve"> </w:t>
      </w:r>
      <w:r w:rsidRPr="008028D9">
        <w:t>immediately detaining Appellant and placing him in a cruiser, the troopers</w:t>
      </w:r>
      <w:r>
        <w:t xml:space="preserve"> </w:t>
      </w:r>
      <w:r w:rsidRPr="008028D9">
        <w:t>called an ambulance to transport him to the hospital based on a complaint of</w:t>
      </w:r>
      <w:r>
        <w:t xml:space="preserve"> </w:t>
      </w:r>
      <w:r w:rsidRPr="00FE6C43">
        <w:t xml:space="preserve">back pain. </w:t>
      </w:r>
    </w:p>
    <w:p w14:paraId="0E5722E3" w14:textId="77777777" w:rsidR="00E42133" w:rsidRDefault="00E42133" w:rsidP="00E42133">
      <w:pPr>
        <w:pStyle w:val="NoSpacing"/>
        <w:ind w:left="720"/>
        <w:rPr>
          <w:bCs/>
        </w:rPr>
      </w:pPr>
    </w:p>
    <w:p w14:paraId="3FE211DE" w14:textId="77777777" w:rsidR="00E42133" w:rsidRPr="00FE6C43" w:rsidRDefault="00E42133" w:rsidP="00E42133">
      <w:pPr>
        <w:pStyle w:val="NoSpacing"/>
        <w:ind w:left="720"/>
        <w:rPr>
          <w:bCs/>
        </w:rPr>
      </w:pPr>
      <w:r w:rsidRPr="00FE6C43">
        <w:t>He was strapped to a stretcher in the back of the ambulance and</w:t>
      </w:r>
      <w:r>
        <w:t xml:space="preserve"> </w:t>
      </w:r>
      <w:r w:rsidRPr="00FE6C43">
        <w:t>fell asleep.</w:t>
      </w:r>
      <w:r>
        <w:t xml:space="preserve"> </w:t>
      </w:r>
      <w:r w:rsidRPr="00FE6C43">
        <w:t>Once in motion, Tracy Finnefrach, a paramedic, began her diagnostics</w:t>
      </w:r>
      <w:r>
        <w:t xml:space="preserve"> </w:t>
      </w:r>
      <w:r w:rsidRPr="00FE6C43">
        <w:t>as Appellant awoke from his slumber. He suddenly broke free of his restraints,</w:t>
      </w:r>
      <w:r>
        <w:t xml:space="preserve"> </w:t>
      </w:r>
      <w:r w:rsidRPr="00FE6C43">
        <w:t xml:space="preserve">jumped up from the stretcher, and claimed that Ms. </w:t>
      </w:r>
      <w:proofErr w:type="spellStart"/>
      <w:r w:rsidRPr="00FE6C43">
        <w:t>Finnefrach</w:t>
      </w:r>
      <w:proofErr w:type="spellEnd"/>
      <w:r w:rsidRPr="00FE6C43">
        <w:t xml:space="preserve"> was trying to</w:t>
      </w:r>
      <w:r>
        <w:t xml:space="preserve"> </w:t>
      </w:r>
      <w:r w:rsidRPr="00FE6C43">
        <w:t>kill him. He eventually punched her once in the forehead and again in the</w:t>
      </w:r>
      <w:r>
        <w:t xml:space="preserve"> </w:t>
      </w:r>
      <w:r w:rsidRPr="00FE6C43">
        <w:t>jaw. The ambulance driver, Jayden Cornman, observed Appellant attacking</w:t>
      </w:r>
      <w:r>
        <w:t xml:space="preserve"> </w:t>
      </w:r>
      <w:r w:rsidRPr="00FE6C43">
        <w:t xml:space="preserve">Ms. </w:t>
      </w:r>
      <w:proofErr w:type="spellStart"/>
      <w:r w:rsidRPr="00FE6C43">
        <w:t>Finnefrach</w:t>
      </w:r>
      <w:proofErr w:type="spellEnd"/>
      <w:r w:rsidRPr="00FE6C43">
        <w:t>. He tried to pull the vehicle over, but Appellant reached</w:t>
      </w:r>
      <w:r>
        <w:t xml:space="preserve"> </w:t>
      </w:r>
      <w:r w:rsidRPr="00FE6C43">
        <w:t>through the partition window and pulled on the collar of Mr. Cornman’s shirt,</w:t>
      </w:r>
    </w:p>
    <w:p w14:paraId="5ED43C5A" w14:textId="77777777" w:rsidR="00E42133" w:rsidRDefault="00E42133" w:rsidP="00E42133">
      <w:pPr>
        <w:pStyle w:val="NoSpacing"/>
        <w:ind w:left="720"/>
        <w:rPr>
          <w:bCs/>
        </w:rPr>
      </w:pPr>
      <w:r w:rsidRPr="00FE6C43">
        <w:t>restricting his breathing. Once the driver finally stopped the vehicle, Appellant</w:t>
      </w:r>
      <w:r>
        <w:t xml:space="preserve"> </w:t>
      </w:r>
      <w:r w:rsidRPr="00FE6C43">
        <w:t>jumped through the divider opening and exited the driver’s side door.</w:t>
      </w:r>
      <w:r>
        <w:t xml:space="preserve"> </w:t>
      </w:r>
      <w:r w:rsidRPr="00FE6C43">
        <w:t>Troopers arrived shortly thereafter and transported him to the hospital in a</w:t>
      </w:r>
      <w:r>
        <w:t xml:space="preserve"> </w:t>
      </w:r>
      <w:r w:rsidRPr="00FE6C43">
        <w:t>patrol car.</w:t>
      </w:r>
    </w:p>
    <w:p w14:paraId="0F1C2636" w14:textId="77777777" w:rsidR="00E42133" w:rsidRDefault="00E42133" w:rsidP="00E42133">
      <w:pPr>
        <w:pStyle w:val="NoSpacing"/>
        <w:ind w:left="720"/>
        <w:rPr>
          <w:bCs/>
        </w:rPr>
      </w:pPr>
    </w:p>
    <w:p w14:paraId="45F28D1B" w14:textId="77777777" w:rsidR="00E42133" w:rsidRDefault="00E42133" w:rsidP="00E42133">
      <w:pPr>
        <w:pStyle w:val="NoSpacing"/>
        <w:ind w:left="720"/>
        <w:rPr>
          <w:bCs/>
        </w:rPr>
      </w:pPr>
      <w:r>
        <w:t>***</w:t>
      </w:r>
    </w:p>
    <w:p w14:paraId="051C1416" w14:textId="77777777" w:rsidR="00E42133" w:rsidRDefault="00E42133" w:rsidP="00E42133">
      <w:pPr>
        <w:pStyle w:val="NoSpacing"/>
        <w:ind w:left="720"/>
        <w:rPr>
          <w:bCs/>
        </w:rPr>
      </w:pPr>
      <w:r w:rsidRPr="00061D0A">
        <w:t xml:space="preserve">Based on the </w:t>
      </w:r>
      <w:proofErr w:type="gramStart"/>
      <w:r w:rsidRPr="00061D0A">
        <w:t>aforementioned events</w:t>
      </w:r>
      <w:proofErr w:type="gramEnd"/>
      <w:r w:rsidRPr="00061D0A">
        <w:t>, Appellant was charged with two</w:t>
      </w:r>
      <w:r>
        <w:t xml:space="preserve"> </w:t>
      </w:r>
      <w:r w:rsidRPr="00061D0A">
        <w:t>counts of recklessly endangering another person, and one count each of</w:t>
      </w:r>
      <w:r>
        <w:t xml:space="preserve"> </w:t>
      </w:r>
      <w:r w:rsidRPr="00061D0A">
        <w:t>aggravated assault, simple assault, resisting arrest, possession/use of drug</w:t>
      </w:r>
      <w:r>
        <w:t xml:space="preserve"> </w:t>
      </w:r>
      <w:r w:rsidRPr="00061D0A">
        <w:t>paraphernalia, and possession of a controlled substance. Appellant neglected</w:t>
      </w:r>
      <w:r>
        <w:t xml:space="preserve"> </w:t>
      </w:r>
      <w:r w:rsidRPr="00061D0A">
        <w:t>to appear at the pretrial conference. Consequently, the court issued a bench</w:t>
      </w:r>
      <w:r>
        <w:t xml:space="preserve"> </w:t>
      </w:r>
      <w:r w:rsidRPr="00061D0A">
        <w:t>warrant and Appellant was arrested.</w:t>
      </w:r>
    </w:p>
    <w:p w14:paraId="213B4A37" w14:textId="77777777" w:rsidR="00E42133" w:rsidRDefault="00E42133" w:rsidP="00E42133">
      <w:pPr>
        <w:pStyle w:val="NoSpacing"/>
        <w:ind w:left="720"/>
        <w:rPr>
          <w:bCs/>
        </w:rPr>
      </w:pPr>
    </w:p>
    <w:p w14:paraId="7A9AD89F" w14:textId="77777777" w:rsidR="00E42133" w:rsidRDefault="00E42133" w:rsidP="00E42133">
      <w:pPr>
        <w:pStyle w:val="NoSpacing"/>
        <w:ind w:left="720"/>
        <w:rPr>
          <w:bCs/>
        </w:rPr>
      </w:pPr>
      <w:r>
        <w:t>***</w:t>
      </w:r>
    </w:p>
    <w:p w14:paraId="21755841" w14:textId="77777777" w:rsidR="00E42133" w:rsidRPr="00073BE7" w:rsidRDefault="00E42133" w:rsidP="00E42133">
      <w:pPr>
        <w:pStyle w:val="NoSpacing"/>
        <w:ind w:left="720"/>
        <w:rPr>
          <w:bCs/>
        </w:rPr>
      </w:pPr>
    </w:p>
    <w:p w14:paraId="2DC77F45" w14:textId="77777777" w:rsidR="00E42133" w:rsidRPr="00716FF2" w:rsidRDefault="00E42133" w:rsidP="00E42133">
      <w:pPr>
        <w:pStyle w:val="NoSpacing"/>
        <w:ind w:left="720"/>
        <w:rPr>
          <w:bCs/>
        </w:rPr>
      </w:pPr>
      <w:r w:rsidRPr="004145EE">
        <w:t>The court failed to</w:t>
      </w:r>
      <w:r>
        <w:t xml:space="preserve"> </w:t>
      </w:r>
      <w:r w:rsidRPr="004145EE">
        <w:t>list the specific crimes, explain the nature of the charges, and identify the</w:t>
      </w:r>
      <w:r>
        <w:t xml:space="preserve"> </w:t>
      </w:r>
      <w:r w:rsidRPr="004145EE">
        <w:t>elements that constitute those offenses. We appreciate the Commonwealth’s</w:t>
      </w:r>
      <w:r>
        <w:t xml:space="preserve"> </w:t>
      </w:r>
      <w:r w:rsidRPr="004145EE">
        <w:t>effort to supplement the court’s colloquy by reiterating the name of the</w:t>
      </w:r>
      <w:r>
        <w:t xml:space="preserve"> </w:t>
      </w:r>
      <w:r w:rsidRPr="004145EE">
        <w:t>assault- and drug-related charges brought against Appellant. However, the</w:t>
      </w:r>
      <w:r>
        <w:t xml:space="preserve"> </w:t>
      </w:r>
      <w:r w:rsidRPr="004145EE">
        <w:t>Commonwealth also neglected to articulate the nature of those crimes or the</w:t>
      </w:r>
      <w:r>
        <w:t xml:space="preserve"> </w:t>
      </w:r>
      <w:r w:rsidRPr="004145EE">
        <w:t>elements thereof</w:t>
      </w:r>
      <w:r>
        <w:t xml:space="preserve">…. </w:t>
      </w:r>
      <w:r w:rsidRPr="008F6604">
        <w:t xml:space="preserve">Additionally, the court omitted from the colloquy the </w:t>
      </w:r>
      <w:r>
        <w:t>‘</w:t>
      </w:r>
      <w:r w:rsidRPr="008F6604">
        <w:t>permissible range</w:t>
      </w:r>
      <w:r>
        <w:t xml:space="preserve"> </w:t>
      </w:r>
      <w:r w:rsidRPr="008F6604">
        <w:t>of sentences and/or fines for the offenses charged[.]</w:t>
      </w:r>
      <w:r>
        <w:t>’</w:t>
      </w:r>
      <w:r w:rsidRPr="008F6604">
        <w:t xml:space="preserve"> See </w:t>
      </w:r>
      <w:proofErr w:type="spellStart"/>
      <w:r w:rsidRPr="008F6604">
        <w:t>Pa.R.Crim.P</w:t>
      </w:r>
      <w:proofErr w:type="spellEnd"/>
      <w:r w:rsidRPr="008F6604">
        <w:t>.</w:t>
      </w:r>
      <w:r>
        <w:t xml:space="preserve"> </w:t>
      </w:r>
      <w:r w:rsidRPr="00716FF2">
        <w:t>J-A19045-25</w:t>
      </w:r>
      <w:r>
        <w:t xml:space="preserve">.” </w:t>
      </w:r>
    </w:p>
    <w:p w14:paraId="596A42BF" w14:textId="77777777" w:rsidR="00E42133" w:rsidRDefault="00E42133" w:rsidP="00E42133">
      <w:pPr>
        <w:pStyle w:val="NoSpacing"/>
        <w:ind w:left="720"/>
        <w:rPr>
          <w:bCs/>
        </w:rPr>
      </w:pPr>
    </w:p>
    <w:p w14:paraId="5C8F7A91" w14:textId="1A7524F7" w:rsidR="00E42133" w:rsidRPr="00716FF2" w:rsidRDefault="00E42133" w:rsidP="00E42133">
      <w:pPr>
        <w:pStyle w:val="NoSpacing"/>
        <w:rPr>
          <w:b/>
        </w:rPr>
      </w:pPr>
      <w:r>
        <w:rPr>
          <w:b/>
        </w:rPr>
        <w:t xml:space="preserve">Lesson learned:  Helpful to have PD ride in the ambulance when transporting patient they arrested. </w:t>
      </w:r>
    </w:p>
    <w:p w14:paraId="075DFD12" w14:textId="77777777" w:rsidR="00E42133" w:rsidRDefault="00E42133" w:rsidP="00E42133">
      <w:pPr>
        <w:pStyle w:val="NoSpacing"/>
        <w:ind w:left="720"/>
        <w:rPr>
          <w:bCs/>
        </w:rPr>
      </w:pPr>
    </w:p>
    <w:p w14:paraId="3BC260B3" w14:textId="77777777" w:rsidR="00E42133" w:rsidRDefault="00E42133" w:rsidP="00E42133">
      <w:pPr>
        <w:pStyle w:val="NoSpacing"/>
        <w:rPr>
          <w:b/>
        </w:rPr>
      </w:pPr>
    </w:p>
    <w:p w14:paraId="6E55E687" w14:textId="58538B23" w:rsidR="00B15D17" w:rsidRDefault="00E42133" w:rsidP="00004498">
      <w:pPr>
        <w:rPr>
          <w:rFonts w:ascii="Arial Black" w:hAnsi="Arial Black"/>
          <w:b/>
          <w:bCs/>
          <w:sz w:val="24"/>
          <w:szCs w:val="24"/>
        </w:rPr>
      </w:pPr>
      <w:r>
        <w:rPr>
          <w:rFonts w:ascii="Arial Black" w:hAnsi="Arial Black"/>
          <w:b/>
          <w:bCs/>
          <w:sz w:val="24"/>
          <w:szCs w:val="24"/>
        </w:rPr>
        <w:t>13-2</w:t>
      </w:r>
      <w:r w:rsidR="00C519F1">
        <w:rPr>
          <w:rFonts w:ascii="Arial Black" w:hAnsi="Arial Black"/>
          <w:b/>
          <w:bCs/>
          <w:sz w:val="24"/>
          <w:szCs w:val="24"/>
        </w:rPr>
        <w:t>3</w:t>
      </w:r>
      <w:r w:rsidR="00524647">
        <w:rPr>
          <w:rFonts w:ascii="Arial Black" w:hAnsi="Arial Black"/>
          <w:b/>
          <w:bCs/>
          <w:sz w:val="24"/>
          <w:szCs w:val="24"/>
        </w:rPr>
        <w:t>0</w:t>
      </w:r>
    </w:p>
    <w:p w14:paraId="6B8526AA" w14:textId="378D3AD7" w:rsidR="006B067A" w:rsidRPr="008D675E" w:rsidRDefault="006B067A" w:rsidP="006B067A">
      <w:pPr>
        <w:pStyle w:val="NoSpacing"/>
        <w:rPr>
          <w:rFonts w:ascii="Arial Black" w:hAnsi="Arial Black"/>
          <w:sz w:val="28"/>
          <w:szCs w:val="28"/>
        </w:rPr>
      </w:pPr>
      <w:r>
        <w:rPr>
          <w:rFonts w:ascii="Arial Black" w:hAnsi="Arial Black"/>
          <w:sz w:val="28"/>
          <w:szCs w:val="28"/>
        </w:rPr>
        <w:t xml:space="preserve">KS: EMS WELFARE CHECK –  WARRANT / </w:t>
      </w:r>
      <w:r w:rsidR="00DD4DF6">
        <w:rPr>
          <w:rFonts w:ascii="Arial Black" w:hAnsi="Arial Black"/>
          <w:sz w:val="28"/>
          <w:szCs w:val="28"/>
        </w:rPr>
        <w:t>METH</w:t>
      </w:r>
      <w:r w:rsidR="009C6F45">
        <w:rPr>
          <w:rFonts w:ascii="Arial Black" w:hAnsi="Arial Black"/>
          <w:sz w:val="28"/>
          <w:szCs w:val="28"/>
        </w:rPr>
        <w:t xml:space="preserve"> CONV</w:t>
      </w:r>
      <w:r w:rsidR="00DD4DF6">
        <w:rPr>
          <w:rFonts w:ascii="Arial Black" w:hAnsi="Arial Black"/>
          <w:sz w:val="28"/>
          <w:szCs w:val="28"/>
        </w:rPr>
        <w:t xml:space="preserve"> </w:t>
      </w:r>
      <w:r>
        <w:rPr>
          <w:rFonts w:ascii="Arial Black" w:hAnsi="Arial Black"/>
          <w:sz w:val="28"/>
          <w:szCs w:val="28"/>
        </w:rPr>
        <w:t>SET ASIDE</w:t>
      </w:r>
    </w:p>
    <w:p w14:paraId="6E292CC2" w14:textId="77777777" w:rsidR="006B067A" w:rsidRDefault="006B067A" w:rsidP="006B067A">
      <w:pPr>
        <w:spacing w:after="0"/>
      </w:pPr>
    </w:p>
    <w:p w14:paraId="3CA708FC" w14:textId="77777777" w:rsidR="006B067A" w:rsidRDefault="006B067A" w:rsidP="006B067A">
      <w:pPr>
        <w:spacing w:after="0"/>
        <w:rPr>
          <w:b/>
        </w:rPr>
      </w:pPr>
      <w:r>
        <w:t xml:space="preserve">On Oct. 24, 2025, in </w:t>
      </w:r>
      <w:r w:rsidRPr="002D085A">
        <w:rPr>
          <w:u w:val="single"/>
        </w:rPr>
        <w:t>State of Kansas v. Nicole Willard</w:t>
      </w:r>
      <w:r>
        <w:t xml:space="preserve">, the </w:t>
      </w:r>
      <w:r w:rsidRPr="002D085A">
        <w:t>Court of Appeals of Kansas</w:t>
      </w:r>
      <w:r>
        <w:t xml:space="preserve"> held (2 to 1; unpublished decision) that the warrant check by police, after EMS vitals were checked, was a violation of 4</w:t>
      </w:r>
      <w:r w:rsidRPr="00AD4D18">
        <w:rPr>
          <w:vertAlign w:val="superscript"/>
        </w:rPr>
        <w:t>th</w:t>
      </w:r>
      <w:r>
        <w:t xml:space="preserve"> Amendment, and her conviction for possession of methamphetamine and drug paraphernalia, discovered at the jail, is reversed.  </w:t>
      </w:r>
      <w:hyperlink r:id="rId2011" w:history="1">
        <w:r w:rsidRPr="00E37B9B">
          <w:rPr>
            <w:rStyle w:val="Hyperlink"/>
            <w:b/>
          </w:rPr>
          <w:t>https://searchdro.kscourts.gov/documents/pdf/caseDecisions/d2d9aca8-0558-406d-9148-9139f4e8d305_125812.pdf</w:t>
        </w:r>
      </w:hyperlink>
      <w:r>
        <w:rPr>
          <w:b/>
        </w:rPr>
        <w:t xml:space="preserve"> </w:t>
      </w:r>
    </w:p>
    <w:p w14:paraId="6F1084C9" w14:textId="77777777" w:rsidR="006B067A" w:rsidRDefault="006B067A" w:rsidP="006B067A">
      <w:pPr>
        <w:spacing w:after="0"/>
      </w:pPr>
    </w:p>
    <w:p w14:paraId="67C2F9AB" w14:textId="77777777" w:rsidR="006B067A" w:rsidRDefault="006B067A" w:rsidP="006B067A">
      <w:pPr>
        <w:spacing w:after="0"/>
      </w:pPr>
      <w:r>
        <w:t>THE COURT HELD:</w:t>
      </w:r>
    </w:p>
    <w:p w14:paraId="3DF10FA1" w14:textId="77777777" w:rsidR="006B067A" w:rsidRDefault="006B067A" w:rsidP="006B067A">
      <w:pPr>
        <w:spacing w:after="0"/>
      </w:pPr>
    </w:p>
    <w:p w14:paraId="63F16CA7" w14:textId="77777777" w:rsidR="006B067A" w:rsidRDefault="006B067A" w:rsidP="006B067A">
      <w:pPr>
        <w:spacing w:after="0"/>
        <w:ind w:left="720"/>
      </w:pPr>
      <w:r>
        <w:t xml:space="preserve">“On May 13, 2021, Nicole Willard was the subject of a welfare check after a civilian reported that someone was unconscious under a bridge in Hutchinson, Kansas. Hutchinson Fire Department (HFD) firefighters initially responded, </w:t>
      </w:r>
      <w:proofErr w:type="gramStart"/>
      <w:r>
        <w:t>making contact with</w:t>
      </w:r>
      <w:proofErr w:type="gramEnd"/>
      <w:r>
        <w:t xml:space="preserve"> Willard and offering her aid, which she refused. A few minutes later, Sergeant Cole Long of the Hutchinson Police Department (HPD) arrived.</w:t>
      </w:r>
    </w:p>
    <w:p w14:paraId="3FE2225A" w14:textId="77777777" w:rsidR="006B067A" w:rsidRDefault="006B067A" w:rsidP="006B067A">
      <w:pPr>
        <w:spacing w:after="0"/>
      </w:pPr>
    </w:p>
    <w:p w14:paraId="614CAECF" w14:textId="77777777" w:rsidR="006B067A" w:rsidRDefault="006B067A" w:rsidP="006B067A">
      <w:pPr>
        <w:spacing w:after="0"/>
        <w:ind w:firstLine="720"/>
      </w:pPr>
      <w:r>
        <w:t>Less than three minutes after Long arrived on the scene, Captain Ian Arndt of the</w:t>
      </w:r>
    </w:p>
    <w:p w14:paraId="55DB2C6A" w14:textId="77777777" w:rsidR="006B067A" w:rsidRDefault="006B067A" w:rsidP="006B067A">
      <w:pPr>
        <w:spacing w:after="0"/>
        <w:ind w:left="720"/>
      </w:pPr>
      <w:r>
        <w:t>Hutchinson Fire Department provided Willard's name to Long, and Long immediately stepped away, contacted dispatch, and requested a warrant check. Long learned that Willard was the subject of a warrant.</w:t>
      </w:r>
    </w:p>
    <w:p w14:paraId="5443C9F4" w14:textId="77777777" w:rsidR="006B067A" w:rsidRDefault="006B067A" w:rsidP="006B067A">
      <w:pPr>
        <w:pStyle w:val="NoSpacing"/>
        <w:ind w:firstLine="720"/>
      </w:pPr>
    </w:p>
    <w:p w14:paraId="47A7819D" w14:textId="77777777" w:rsidR="006B067A" w:rsidRDefault="006B067A" w:rsidP="006B067A">
      <w:pPr>
        <w:pStyle w:val="NoSpacing"/>
        <w:ind w:firstLine="720"/>
      </w:pPr>
      <w:r>
        <w:t>***</w:t>
      </w:r>
    </w:p>
    <w:p w14:paraId="00243410" w14:textId="77777777" w:rsidR="006B067A" w:rsidRPr="00BD54FC" w:rsidRDefault="006B067A" w:rsidP="006B067A">
      <w:pPr>
        <w:pStyle w:val="NoSpacing"/>
        <w:ind w:firstLine="720"/>
      </w:pPr>
      <w:r w:rsidRPr="00BD54FC">
        <w:t>Thus, in Kansas, a welfare check cannot lawfully be extended by running a</w:t>
      </w:r>
    </w:p>
    <w:p w14:paraId="07EDFCFE" w14:textId="77777777" w:rsidR="006B067A" w:rsidRPr="00BD54FC" w:rsidRDefault="006B067A" w:rsidP="006B067A">
      <w:pPr>
        <w:pStyle w:val="NoSpacing"/>
        <w:ind w:firstLine="720"/>
      </w:pPr>
      <w:r w:rsidRPr="00BD54FC">
        <w:t xml:space="preserve">warrant check without good reason. </w:t>
      </w:r>
      <w:r>
        <w:t>‘</w:t>
      </w:r>
      <w:r w:rsidRPr="00BD54FC">
        <w:t>Our caselaw makes it clear that police may not</w:t>
      </w:r>
    </w:p>
    <w:p w14:paraId="500F5213" w14:textId="77777777" w:rsidR="006B067A" w:rsidRPr="00BD54FC" w:rsidRDefault="006B067A" w:rsidP="006B067A">
      <w:pPr>
        <w:pStyle w:val="NoSpacing"/>
        <w:ind w:firstLine="720"/>
      </w:pPr>
      <w:r w:rsidRPr="00BD54FC">
        <w:t>lawfully extend a welfare check by running a warrant check on an individual who is the</w:t>
      </w:r>
    </w:p>
    <w:p w14:paraId="76CC74C9" w14:textId="77777777" w:rsidR="006B067A" w:rsidRPr="00BD54FC" w:rsidRDefault="006B067A" w:rsidP="006B067A">
      <w:pPr>
        <w:pStyle w:val="NoSpacing"/>
        <w:ind w:firstLine="720"/>
      </w:pPr>
      <w:r w:rsidRPr="00BD54FC">
        <w:t>subject of the check unless some other circumstances support prolonging the check and</w:t>
      </w:r>
    </w:p>
    <w:p w14:paraId="1CA94865" w14:textId="77777777" w:rsidR="006B067A" w:rsidRDefault="006B067A" w:rsidP="006B067A">
      <w:pPr>
        <w:pStyle w:val="NoSpacing"/>
        <w:ind w:firstLine="720"/>
      </w:pPr>
      <w:r w:rsidRPr="00BD54FC">
        <w:t>converting it into a detention.</w:t>
      </w:r>
      <w:r>
        <w:t>’</w:t>
      </w:r>
      <w:r w:rsidRPr="00BD54FC">
        <w:t xml:space="preserve"> 311 Kan. at 932.</w:t>
      </w:r>
    </w:p>
    <w:p w14:paraId="254B0A75" w14:textId="77777777" w:rsidR="006B067A" w:rsidRDefault="006B067A" w:rsidP="006B067A">
      <w:pPr>
        <w:pStyle w:val="NoSpacing"/>
      </w:pPr>
    </w:p>
    <w:p w14:paraId="4ADCF415" w14:textId="77777777" w:rsidR="006B067A" w:rsidRDefault="006B067A" w:rsidP="006B067A">
      <w:pPr>
        <w:pStyle w:val="NoSpacing"/>
        <w:ind w:firstLine="720"/>
      </w:pPr>
      <w:r>
        <w:t>***</w:t>
      </w:r>
    </w:p>
    <w:p w14:paraId="198CB1B5" w14:textId="77777777" w:rsidR="006B067A" w:rsidRDefault="006B067A" w:rsidP="006B067A">
      <w:pPr>
        <w:pStyle w:val="NoSpacing"/>
        <w:ind w:firstLine="720"/>
      </w:pPr>
      <w:r>
        <w:t>This brings us to the third factor—once the officer is assured that the citizen is not</w:t>
      </w:r>
    </w:p>
    <w:p w14:paraId="458A2BB2" w14:textId="77777777" w:rsidR="006B067A" w:rsidRDefault="006B067A" w:rsidP="006B067A">
      <w:pPr>
        <w:pStyle w:val="NoSpacing"/>
        <w:ind w:firstLine="720"/>
      </w:pPr>
      <w:r>
        <w:t>in peril or is no longer in need of assistance, any actions beyond that constitute a seizure,</w:t>
      </w:r>
    </w:p>
    <w:p w14:paraId="60BB1551" w14:textId="77777777" w:rsidR="006B067A" w:rsidRDefault="006B067A" w:rsidP="006B067A">
      <w:pPr>
        <w:pStyle w:val="NoSpacing"/>
        <w:ind w:firstLine="720"/>
      </w:pPr>
      <w:r>
        <w:t>implicating the protections provided by the Fourth Amendment. Gonzales, 36 Kan. App.</w:t>
      </w:r>
    </w:p>
    <w:p w14:paraId="042DB379" w14:textId="77777777" w:rsidR="006B067A" w:rsidRDefault="006B067A" w:rsidP="006B067A">
      <w:pPr>
        <w:pStyle w:val="NoSpacing"/>
        <w:ind w:firstLine="720"/>
      </w:pPr>
      <w:r>
        <w:t xml:space="preserve">2d at 456. Once Willard refused care, and </w:t>
      </w:r>
      <w:proofErr w:type="gramStart"/>
      <w:r>
        <w:t>Long</w:t>
      </w:r>
      <w:proofErr w:type="gramEnd"/>
      <w:r>
        <w:t xml:space="preserve"> and the firefighters </w:t>
      </w:r>
      <w:proofErr w:type="gramStart"/>
      <w:r>
        <w:t>decided</w:t>
      </w:r>
      <w:proofErr w:type="gramEnd"/>
      <w:r>
        <w:t xml:space="preserve"> her friend</w:t>
      </w:r>
    </w:p>
    <w:p w14:paraId="684AE3C6" w14:textId="77777777" w:rsidR="006B067A" w:rsidRDefault="006B067A" w:rsidP="006B067A">
      <w:pPr>
        <w:pStyle w:val="NoSpacing"/>
        <w:ind w:firstLine="720"/>
      </w:pPr>
      <w:r>
        <w:t>could come pick her up, it was clear that she was not in peril and no longer in need of</w:t>
      </w:r>
    </w:p>
    <w:p w14:paraId="1C111353" w14:textId="77777777" w:rsidR="006B067A" w:rsidRDefault="006B067A" w:rsidP="006B067A">
      <w:pPr>
        <w:pStyle w:val="NoSpacing"/>
        <w:ind w:firstLine="720"/>
      </w:pPr>
      <w:r>
        <w:t>assistance. It was at this point the encounter should have ended.”</w:t>
      </w:r>
    </w:p>
    <w:p w14:paraId="561F1C4F" w14:textId="77777777" w:rsidR="006B067A" w:rsidRDefault="006B067A" w:rsidP="006B067A">
      <w:pPr>
        <w:pStyle w:val="NoSpacing"/>
      </w:pPr>
    </w:p>
    <w:p w14:paraId="028DF5A5" w14:textId="77777777" w:rsidR="006B067A" w:rsidRDefault="006B067A" w:rsidP="006B067A">
      <w:pPr>
        <w:pStyle w:val="NoSpacing"/>
      </w:pPr>
    </w:p>
    <w:p w14:paraId="1B15607C" w14:textId="77777777" w:rsidR="006B067A" w:rsidRPr="00EA0F8C" w:rsidRDefault="006B067A" w:rsidP="006B067A">
      <w:pPr>
        <w:pStyle w:val="NoSpacing"/>
        <w:rPr>
          <w:b/>
        </w:rPr>
      </w:pPr>
      <w:r>
        <w:t xml:space="preserve">DISSENT [Judge </w:t>
      </w:r>
      <w:r w:rsidRPr="00EA0F8C">
        <w:t>Kathryn A. Gardner</w:t>
      </w:r>
      <w:r>
        <w:t>]</w:t>
      </w:r>
    </w:p>
    <w:p w14:paraId="1E23289A" w14:textId="77777777" w:rsidR="006B067A" w:rsidRDefault="006B067A" w:rsidP="006B067A">
      <w:pPr>
        <w:pStyle w:val="NoSpacing"/>
      </w:pPr>
    </w:p>
    <w:p w14:paraId="45D9653A" w14:textId="77777777" w:rsidR="006B067A" w:rsidRDefault="006B067A" w:rsidP="006B067A">
      <w:pPr>
        <w:pStyle w:val="NoSpacing"/>
        <w:ind w:firstLine="720"/>
      </w:pPr>
      <w:r>
        <w:t xml:space="preserve"> “I would find that a seizure did not occur, so the Fourth Amendment to the United</w:t>
      </w:r>
    </w:p>
    <w:p w14:paraId="400D2E46" w14:textId="77777777" w:rsidR="006B067A" w:rsidRDefault="006B067A" w:rsidP="006B067A">
      <w:pPr>
        <w:pStyle w:val="NoSpacing"/>
        <w:ind w:firstLine="720"/>
      </w:pPr>
      <w:r>
        <w:t>States Constitution was not implicated. But even if a seizure did occur, all acts were</w:t>
      </w:r>
    </w:p>
    <w:p w14:paraId="54B502DA" w14:textId="77777777" w:rsidR="006B067A" w:rsidRDefault="006B067A" w:rsidP="006B067A">
      <w:pPr>
        <w:pStyle w:val="NoSpacing"/>
        <w:ind w:firstLine="720"/>
      </w:pPr>
      <w:r>
        <w:t>lawful. Officer Long's decision to run the warrant check was consistent with public safety</w:t>
      </w:r>
    </w:p>
    <w:p w14:paraId="3F3B53B7" w14:textId="77777777" w:rsidR="006B067A" w:rsidRDefault="006B067A" w:rsidP="006B067A">
      <w:pPr>
        <w:pStyle w:val="NoSpacing"/>
        <w:ind w:firstLine="720"/>
      </w:pPr>
      <w:r>
        <w:t>and did not unlawfully broaden or extend the scope of the encounter with Willard. Both</w:t>
      </w:r>
    </w:p>
    <w:p w14:paraId="62076A3F" w14:textId="77777777" w:rsidR="006B067A" w:rsidRDefault="006B067A" w:rsidP="006B067A">
      <w:pPr>
        <w:pStyle w:val="NoSpacing"/>
        <w:ind w:firstLine="720"/>
      </w:pPr>
      <w:proofErr w:type="gramStart"/>
      <w:r>
        <w:t>before</w:t>
      </w:r>
      <w:proofErr w:type="gramEnd"/>
      <w:r>
        <w:t xml:space="preserve"> and after the warrant check, Officer Long's contact with Willard was justified by</w:t>
      </w:r>
    </w:p>
    <w:p w14:paraId="5183D9C3" w14:textId="77777777" w:rsidR="006B067A" w:rsidRDefault="006B067A" w:rsidP="006B067A">
      <w:pPr>
        <w:pStyle w:val="NoSpacing"/>
        <w:ind w:firstLine="720"/>
      </w:pPr>
      <w:r>
        <w:t>safety reasons based on objective, specific, and articulable facts. The majority's</w:t>
      </w:r>
    </w:p>
    <w:p w14:paraId="4A45F6BD" w14:textId="77777777" w:rsidR="006B067A" w:rsidRDefault="006B067A" w:rsidP="006B067A">
      <w:pPr>
        <w:pStyle w:val="NoSpacing"/>
        <w:ind w:firstLine="720"/>
      </w:pPr>
      <w:r>
        <w:t>contention that the justification dissipated when Willard said she did not want assistance</w:t>
      </w:r>
    </w:p>
    <w:p w14:paraId="791795E3" w14:textId="77777777" w:rsidR="006B067A" w:rsidRDefault="006B067A" w:rsidP="006B067A">
      <w:pPr>
        <w:pStyle w:val="NoSpacing"/>
        <w:ind w:firstLine="720"/>
      </w:pPr>
      <w:r>
        <w:t>is unfounded.”</w:t>
      </w:r>
    </w:p>
    <w:p w14:paraId="18DE0E84" w14:textId="77777777" w:rsidR="006B067A" w:rsidRDefault="006B067A" w:rsidP="006B067A">
      <w:pPr>
        <w:pStyle w:val="NoSpacing"/>
        <w:ind w:firstLine="720"/>
      </w:pPr>
    </w:p>
    <w:p w14:paraId="19DFAAE8" w14:textId="31800470" w:rsidR="006B067A" w:rsidRPr="0057222C" w:rsidRDefault="006B067A" w:rsidP="006B067A">
      <w:pPr>
        <w:pStyle w:val="NoSpacing"/>
        <w:rPr>
          <w:b/>
          <w:bCs/>
        </w:rPr>
      </w:pPr>
      <w:r w:rsidRPr="00EA0F8C">
        <w:rPr>
          <w:b/>
        </w:rPr>
        <w:t>L</w:t>
      </w:r>
      <w:r>
        <w:rPr>
          <w:b/>
        </w:rPr>
        <w:t xml:space="preserve">esson learned:  </w:t>
      </w:r>
      <w:r w:rsidRPr="0057222C">
        <w:rPr>
          <w:b/>
        </w:rPr>
        <w:t>Powerful dissent – “warrant check was consistent with public safety.”</w:t>
      </w:r>
    </w:p>
    <w:p w14:paraId="34AC4EAA" w14:textId="77777777" w:rsidR="006B067A" w:rsidRDefault="006B067A" w:rsidP="006B067A">
      <w:pPr>
        <w:pStyle w:val="NoSpacing"/>
      </w:pPr>
    </w:p>
    <w:p w14:paraId="721EEB47" w14:textId="77777777" w:rsidR="006D545F" w:rsidRDefault="006D545F" w:rsidP="00004498">
      <w:pPr>
        <w:rPr>
          <w:rFonts w:ascii="Arial Black" w:hAnsi="Arial Black"/>
          <w:b/>
          <w:bCs/>
          <w:sz w:val="24"/>
          <w:szCs w:val="24"/>
        </w:rPr>
      </w:pPr>
    </w:p>
    <w:p w14:paraId="2DF4DAF2" w14:textId="7F819423" w:rsidR="00F515BD" w:rsidRDefault="00F62795" w:rsidP="00004498">
      <w:pPr>
        <w:rPr>
          <w:rFonts w:ascii="Arial Black" w:hAnsi="Arial Black"/>
          <w:b/>
          <w:bCs/>
          <w:sz w:val="24"/>
          <w:szCs w:val="24"/>
        </w:rPr>
      </w:pPr>
      <w:r>
        <w:rPr>
          <w:rFonts w:ascii="Arial Black" w:hAnsi="Arial Black"/>
          <w:b/>
          <w:bCs/>
          <w:sz w:val="24"/>
          <w:szCs w:val="24"/>
        </w:rPr>
        <w:t>13-2</w:t>
      </w:r>
      <w:r w:rsidR="00524647">
        <w:rPr>
          <w:rFonts w:ascii="Arial Black" w:hAnsi="Arial Black"/>
          <w:b/>
          <w:bCs/>
          <w:sz w:val="24"/>
          <w:szCs w:val="24"/>
        </w:rPr>
        <w:t>29</w:t>
      </w:r>
    </w:p>
    <w:p w14:paraId="7C30A87A" w14:textId="09BAA6F2" w:rsidR="00F515BD" w:rsidRDefault="00F515BD" w:rsidP="00F515BD">
      <w:pPr>
        <w:spacing w:after="0"/>
        <w:rPr>
          <w:rFonts w:ascii="Arial Black" w:hAnsi="Arial Black"/>
          <w:b/>
          <w:sz w:val="28"/>
          <w:szCs w:val="28"/>
        </w:rPr>
      </w:pPr>
      <w:r>
        <w:rPr>
          <w:rFonts w:ascii="Arial Black" w:hAnsi="Arial Black"/>
          <w:sz w:val="28"/>
          <w:szCs w:val="28"/>
        </w:rPr>
        <w:t xml:space="preserve">MI: COVID </w:t>
      </w:r>
      <w:r w:rsidRPr="001D2498">
        <w:rPr>
          <w:rFonts w:ascii="Arial Black" w:hAnsi="Arial Black"/>
          <w:b/>
          <w:sz w:val="28"/>
          <w:szCs w:val="28"/>
        </w:rPr>
        <w:t>PT</w:t>
      </w:r>
      <w:r>
        <w:rPr>
          <w:rFonts w:ascii="Arial Black" w:hAnsi="Arial Black"/>
          <w:b/>
          <w:sz w:val="28"/>
          <w:szCs w:val="28"/>
        </w:rPr>
        <w:t xml:space="preserve"> NOT TRANS (2X) – </w:t>
      </w:r>
      <w:r w:rsidR="006043BC">
        <w:rPr>
          <w:rFonts w:ascii="Arial Black" w:hAnsi="Arial Black"/>
          <w:b/>
          <w:sz w:val="28"/>
          <w:szCs w:val="28"/>
        </w:rPr>
        <w:t xml:space="preserve">GROSS NEG. </w:t>
      </w:r>
      <w:r w:rsidR="00054335">
        <w:rPr>
          <w:rFonts w:ascii="Arial Black" w:hAnsi="Arial Black"/>
          <w:b/>
          <w:sz w:val="28"/>
          <w:szCs w:val="28"/>
        </w:rPr>
        <w:t xml:space="preserve">LAWSUIT REINSTATED </w:t>
      </w:r>
    </w:p>
    <w:p w14:paraId="71BC52EB" w14:textId="77777777" w:rsidR="00F515BD" w:rsidRDefault="00F515BD" w:rsidP="00F515BD">
      <w:pPr>
        <w:spacing w:after="0"/>
      </w:pPr>
    </w:p>
    <w:p w14:paraId="60C5F249" w14:textId="77777777" w:rsidR="00F515BD" w:rsidRDefault="00F515BD" w:rsidP="00F515BD">
      <w:pPr>
        <w:spacing w:after="0"/>
      </w:pPr>
      <w:r>
        <w:t xml:space="preserve">On Oct. 23, 2025, in </w:t>
      </w:r>
      <w:r w:rsidRPr="00B851B0">
        <w:rPr>
          <w:u w:val="single"/>
        </w:rPr>
        <w:t>Daniel Wehner, Personal Representative of the Estate of Dale Wehner v. Tr-Hospital Emergency Medical Services Corporation, et al</w:t>
      </w:r>
      <w:r>
        <w:t xml:space="preserve">, the Court of Appeals of Michigan held (3 to 0) that lawsuit should be reinstated, since there is some evidence of “gross negligence” when EMS did not transport a COVID patient on two calls (Oct. 3, 2021 and Oct. 5, 2021). Whether Dale </w:t>
      </w:r>
      <w:proofErr w:type="gramStart"/>
      <w:r>
        <w:t>actually signed</w:t>
      </w:r>
      <w:proofErr w:type="gramEnd"/>
      <w:r>
        <w:t xml:space="preserve"> or initialed the refusal forms is in dispute; his name is badly misspelled on Oct. 3 report; and only initials were on the Oct. 5 report. </w:t>
      </w:r>
      <w:hyperlink r:id="rId2012" w:history="1">
        <w:r w:rsidRPr="00356365">
          <w:rPr>
            <w:rStyle w:val="Hyperlink"/>
          </w:rPr>
          <w:t>https://www.michbar.org/Portals/0/opinions/appeals/2025/102325/84576.pdf</w:t>
        </w:r>
      </w:hyperlink>
      <w:r>
        <w:t xml:space="preserve"> </w:t>
      </w:r>
    </w:p>
    <w:p w14:paraId="24ECD089" w14:textId="77777777" w:rsidR="00F515BD" w:rsidRDefault="00F515BD" w:rsidP="00F515BD">
      <w:pPr>
        <w:spacing w:after="0"/>
      </w:pPr>
    </w:p>
    <w:p w14:paraId="2C08CE78" w14:textId="77777777" w:rsidR="00F515BD" w:rsidRDefault="00F515BD" w:rsidP="00F515BD">
      <w:pPr>
        <w:spacing w:after="0"/>
      </w:pPr>
      <w:r>
        <w:t xml:space="preserve">COURT HELD:  </w:t>
      </w:r>
    </w:p>
    <w:p w14:paraId="68E59BFF" w14:textId="77777777" w:rsidR="00F515BD" w:rsidRDefault="00F515BD" w:rsidP="00F515BD">
      <w:pPr>
        <w:spacing w:after="0"/>
      </w:pPr>
    </w:p>
    <w:p w14:paraId="4B9E6DA3" w14:textId="77777777" w:rsidR="00F515BD" w:rsidRDefault="00F515BD" w:rsidP="00F515BD">
      <w:pPr>
        <w:spacing w:after="0"/>
        <w:ind w:left="720"/>
      </w:pPr>
      <w:r>
        <w:t xml:space="preserve">“Here, plaintiff alleges that defendants told Dale that he would be fine and that he should not go to the hospital because it was full. In contrast, each defendant [EMS] testified that Dale’s condition was so dire that it was imperative that he </w:t>
      </w:r>
      <w:proofErr w:type="gramStart"/>
      <w:r>
        <w:t>go</w:t>
      </w:r>
      <w:proofErr w:type="gramEnd"/>
      <w:r>
        <w:t xml:space="preserve"> to the hospital. In fact, they have consistently argued that Dale was advised of the risks of declining treatment, yet he voluntarily chose not to be transported to the hospital for further evaluation or treatment. In support, defendants [EMS] rely on their own testimony and the assertion that Dale, on October 3rd, purportedly signed his name in the signature box acknowledging that he was declining treatment and transport, and on October 5th, he purportedly placed his initials in the relevant signature box. Whether Dale </w:t>
      </w:r>
      <w:proofErr w:type="gramStart"/>
      <w:r>
        <w:t>actually signed</w:t>
      </w:r>
      <w:proofErr w:type="gramEnd"/>
      <w:r>
        <w:t xml:space="preserve"> or initialed the documents is in dispute. It is notable that Dale’s name is badly misspelled in the signature box of the Patient Care Report (PCR) generated for the October 3rd ambulance run (‘</w:t>
      </w:r>
      <w:proofErr w:type="spellStart"/>
      <w:r>
        <w:t>Sehren</w:t>
      </w:r>
      <w:proofErr w:type="spellEnd"/>
      <w:r>
        <w:t xml:space="preserve">’ rather than ‘Wehner’), and only the initials ‘DW; were placed in the signature box relative to the October 5th run. *** Added to these discrepancies, Grace Warmbier, a trained document examiner, examined the signature and initials in the signature boxes acknowledging the refusal of treatment or transport. She compared those signatures to known handwriting samples and concluded that Dale did not sign the refusal of services. The foregoing evidence casts sufficient doubt on the assertion that Dale placed his signature and initials in the signature boxes acknowledging that the risks had been explained and he was nonetheless refusing services and transportation to the hospital. If Dale did not sign the acknowledgments, then this would be a particularly relevant piece of </w:t>
      </w:r>
      <w:proofErr w:type="gramStart"/>
      <w:r>
        <w:t>evidence.”</w:t>
      </w:r>
      <w:proofErr w:type="gramEnd"/>
      <w:r>
        <w:t xml:space="preserve"> </w:t>
      </w:r>
    </w:p>
    <w:p w14:paraId="17E0E48D" w14:textId="77777777" w:rsidR="00F515BD" w:rsidRDefault="00F515BD" w:rsidP="00F515BD">
      <w:pPr>
        <w:spacing w:after="0"/>
        <w:rPr>
          <w:b/>
          <w:bCs/>
        </w:rPr>
      </w:pPr>
    </w:p>
    <w:p w14:paraId="29ACC300" w14:textId="50A84284" w:rsidR="00F515BD" w:rsidRDefault="00F515BD" w:rsidP="00F515BD">
      <w:pPr>
        <w:spacing w:after="0"/>
        <w:rPr>
          <w:b/>
          <w:bCs/>
        </w:rPr>
      </w:pPr>
      <w:r>
        <w:rPr>
          <w:b/>
        </w:rPr>
        <w:t>Lesson Learned: If patient signature is misspelled, or initials unclear, ask spouse to co-sign.</w:t>
      </w:r>
    </w:p>
    <w:p w14:paraId="63C19F4E" w14:textId="77777777" w:rsidR="00F515BD" w:rsidRDefault="00F515BD" w:rsidP="00F515BD">
      <w:pPr>
        <w:spacing w:after="0"/>
        <w:rPr>
          <w:b/>
          <w:bCs/>
        </w:rPr>
      </w:pPr>
    </w:p>
    <w:p w14:paraId="49DFB6BD" w14:textId="77777777" w:rsidR="00F515BD" w:rsidRDefault="00F515BD" w:rsidP="00004498">
      <w:pPr>
        <w:rPr>
          <w:rFonts w:ascii="Arial Black" w:hAnsi="Arial Black"/>
          <w:b/>
          <w:bCs/>
          <w:sz w:val="24"/>
          <w:szCs w:val="24"/>
        </w:rPr>
      </w:pPr>
    </w:p>
    <w:p w14:paraId="355C7E01" w14:textId="3CED3CB6" w:rsidR="006D545F" w:rsidRDefault="00F62795" w:rsidP="00004498">
      <w:pPr>
        <w:rPr>
          <w:rFonts w:ascii="Arial Black" w:hAnsi="Arial Black"/>
          <w:b/>
          <w:bCs/>
          <w:sz w:val="24"/>
          <w:szCs w:val="24"/>
        </w:rPr>
      </w:pPr>
      <w:r>
        <w:rPr>
          <w:rFonts w:ascii="Arial Black" w:hAnsi="Arial Black"/>
          <w:b/>
          <w:bCs/>
          <w:sz w:val="24"/>
          <w:szCs w:val="24"/>
        </w:rPr>
        <w:t>13-22</w:t>
      </w:r>
      <w:r w:rsidR="00524647">
        <w:rPr>
          <w:rFonts w:ascii="Arial Black" w:hAnsi="Arial Black"/>
          <w:b/>
          <w:bCs/>
          <w:sz w:val="24"/>
          <w:szCs w:val="24"/>
        </w:rPr>
        <w:t>8</w:t>
      </w:r>
    </w:p>
    <w:p w14:paraId="3798C4BA" w14:textId="5A41B9BD" w:rsidR="00550025" w:rsidRPr="0073614C" w:rsidRDefault="00550025" w:rsidP="00550025">
      <w:pPr>
        <w:pStyle w:val="NoSpacing"/>
        <w:rPr>
          <w:rFonts w:ascii="Arial Black" w:hAnsi="Arial Black"/>
          <w:b/>
          <w:sz w:val="28"/>
          <w:szCs w:val="28"/>
        </w:rPr>
      </w:pPr>
      <w:r>
        <w:rPr>
          <w:rFonts w:ascii="Arial Black" w:hAnsi="Arial Black"/>
          <w:b/>
          <w:sz w:val="28"/>
          <w:szCs w:val="28"/>
        </w:rPr>
        <w:t xml:space="preserve">NJ: PT TRIED JUMP </w:t>
      </w:r>
      <w:r w:rsidR="00FA7170">
        <w:rPr>
          <w:rFonts w:ascii="Arial Black" w:hAnsi="Arial Black"/>
          <w:b/>
          <w:sz w:val="28"/>
          <w:szCs w:val="28"/>
        </w:rPr>
        <w:t xml:space="preserve">OUT </w:t>
      </w:r>
      <w:r>
        <w:rPr>
          <w:rFonts w:ascii="Arial Black" w:hAnsi="Arial Black"/>
          <w:b/>
          <w:sz w:val="28"/>
          <w:szCs w:val="28"/>
        </w:rPr>
        <w:t>AMBUL – STOPPED – NO LIAB / ANKLE</w:t>
      </w:r>
    </w:p>
    <w:p w14:paraId="7ABFEEC1" w14:textId="77777777" w:rsidR="00550025" w:rsidRDefault="00550025" w:rsidP="00550025">
      <w:pPr>
        <w:pStyle w:val="NoSpacing"/>
        <w:rPr>
          <w:b/>
        </w:rPr>
      </w:pPr>
    </w:p>
    <w:p w14:paraId="3037647D" w14:textId="77777777" w:rsidR="00550025" w:rsidRDefault="00550025" w:rsidP="00550025">
      <w:pPr>
        <w:pStyle w:val="NoSpacing"/>
        <w:rPr>
          <w:b/>
        </w:rPr>
      </w:pPr>
      <w:r>
        <w:t xml:space="preserve">On Oct. 22, 2025, in </w:t>
      </w:r>
      <w:r w:rsidRPr="00741E4D">
        <w:rPr>
          <w:u w:val="single"/>
        </w:rPr>
        <w:t>Sandra Poling v. Atlantic Mobile Health, et al</w:t>
      </w:r>
      <w:r>
        <w:t xml:space="preserve">., the </w:t>
      </w:r>
      <w:r w:rsidRPr="00741E4D">
        <w:t>Superior Court of New Jersey, Appellate Division</w:t>
      </w:r>
      <w:r>
        <w:t xml:space="preserve"> held (3 to 0) that trial court properly granted summary judgment to the ambulance company and two EMTs.  The plaintiff claimed that EMT broke her ankle when preventing her from jumping out of a moving ambulance (MD testimony - doubtful he caused injury) and she provided no expert to testify that EMT acted inappropriately in retaining her by the ambulance side exert door.  </w:t>
      </w:r>
      <w:hyperlink r:id="rId2013" w:history="1">
        <w:r w:rsidRPr="00F346A5">
          <w:rPr>
            <w:rStyle w:val="Hyperlink"/>
            <w:b/>
          </w:rPr>
          <w:t>https://www.njcourts.gov/system/files/court-opinions/2025/a0275-24.pdf</w:t>
        </w:r>
      </w:hyperlink>
      <w:r>
        <w:rPr>
          <w:b/>
        </w:rPr>
        <w:t xml:space="preserve"> </w:t>
      </w:r>
    </w:p>
    <w:p w14:paraId="5816EB59" w14:textId="77777777" w:rsidR="00550025" w:rsidRDefault="00550025" w:rsidP="00550025">
      <w:pPr>
        <w:pStyle w:val="NoSpacing"/>
        <w:rPr>
          <w:b/>
        </w:rPr>
      </w:pPr>
    </w:p>
    <w:p w14:paraId="024F8A4E" w14:textId="77777777" w:rsidR="00550025" w:rsidRDefault="00550025" w:rsidP="00550025">
      <w:pPr>
        <w:pStyle w:val="NoSpacing"/>
        <w:rPr>
          <w:bCs/>
        </w:rPr>
      </w:pPr>
      <w:r w:rsidRPr="00BF18DF">
        <w:t xml:space="preserve">THE COURT HELD: </w:t>
      </w:r>
    </w:p>
    <w:p w14:paraId="40798510" w14:textId="77777777" w:rsidR="00550025" w:rsidRDefault="00550025" w:rsidP="00550025">
      <w:pPr>
        <w:pStyle w:val="NoSpacing"/>
        <w:rPr>
          <w:bCs/>
        </w:rPr>
      </w:pPr>
    </w:p>
    <w:p w14:paraId="10F28F88" w14:textId="77777777" w:rsidR="00550025" w:rsidRDefault="00550025" w:rsidP="00550025">
      <w:pPr>
        <w:pStyle w:val="NoSpacing"/>
        <w:ind w:left="720"/>
      </w:pPr>
      <w:r>
        <w:t>“The trial court dismissed plaintiff's complaint determining plaintiff raised claims of professional negligence for injuries sustained during ambulance transport but failed to</w:t>
      </w:r>
    </w:p>
    <w:p w14:paraId="44792148" w14:textId="77777777" w:rsidR="00550025" w:rsidRDefault="00550025" w:rsidP="00550025">
      <w:pPr>
        <w:pStyle w:val="NoSpacing"/>
        <w:ind w:left="720"/>
      </w:pPr>
      <w:r>
        <w:t>provide expert proof regarding the standard of care or breach by defendant emergency responders. We affirm.</w:t>
      </w:r>
    </w:p>
    <w:p w14:paraId="75FEAEEE" w14:textId="77777777" w:rsidR="00550025" w:rsidRDefault="00550025" w:rsidP="00550025">
      <w:pPr>
        <w:pStyle w:val="NoSpacing"/>
        <w:ind w:left="720"/>
      </w:pPr>
    </w:p>
    <w:p w14:paraId="4689D041" w14:textId="77777777" w:rsidR="00550025" w:rsidRDefault="00550025" w:rsidP="00550025">
      <w:pPr>
        <w:pStyle w:val="NoSpacing"/>
        <w:ind w:left="720"/>
      </w:pPr>
      <w:r>
        <w:t>***</w:t>
      </w:r>
    </w:p>
    <w:p w14:paraId="300727C1" w14:textId="77777777" w:rsidR="00550025" w:rsidRDefault="00550025" w:rsidP="00550025">
      <w:pPr>
        <w:pStyle w:val="NoSpacing"/>
        <w:ind w:left="720"/>
      </w:pPr>
      <w:r>
        <w:t>Although the precise movements utilized by [EMT] Vazquez to stabilize plaintiff were disputed, the critical material facts were not. Plaintiff was intoxicated, argumentative, and defiant of orders. She removed safety restraints, moved off the stretcher, and vaped all while the vehicle was moving on the roadway. This was a rapidly changing situation in which plaintiff's erratic conduct escalated and potentially threatened her safety. At the time plaintiff admittedly threatened to jump out of the moving ambulance, Vazquez, a licensed and trained emergency response professional, was faced ‘with a split-second decision,’ which implicated multiple complex factors and considerations. These included Vazquez's and Golightly's relevant prior training, applicable safety standards, plaintiff's unpredictable behavior and belligerence, her intoxication and unwillingness to comply with orders or maintain restraints for her own security, the EMTs' understanding of layout of the ambulance as it impacted the ability to control the situation to protect plaintiff from harm, and the options for most-safely subduing plaintiff and preventing her movement in light of all the failed attempts to gain her compliance.</w:t>
      </w:r>
    </w:p>
    <w:p w14:paraId="1D8CDE4C" w14:textId="77777777" w:rsidR="00550025" w:rsidRDefault="00550025" w:rsidP="00550025">
      <w:pPr>
        <w:pStyle w:val="NoSpacing"/>
        <w:ind w:left="720"/>
      </w:pPr>
    </w:p>
    <w:p w14:paraId="4038D284" w14:textId="77777777" w:rsidR="00550025" w:rsidRDefault="00550025" w:rsidP="00550025">
      <w:pPr>
        <w:pStyle w:val="NoSpacing"/>
        <w:ind w:left="720"/>
      </w:pPr>
      <w:r>
        <w:t>***</w:t>
      </w:r>
    </w:p>
    <w:p w14:paraId="5EF0E1AD" w14:textId="77777777" w:rsidR="00550025" w:rsidRDefault="00550025" w:rsidP="00550025">
      <w:pPr>
        <w:pStyle w:val="NoSpacing"/>
        <w:ind w:left="720"/>
      </w:pPr>
    </w:p>
    <w:p w14:paraId="5A0E8DE0" w14:textId="77777777" w:rsidR="00550025" w:rsidRDefault="00550025" w:rsidP="00550025">
      <w:pPr>
        <w:pStyle w:val="NoSpacing"/>
        <w:ind w:left="720"/>
      </w:pPr>
      <w:r>
        <w:t xml:space="preserve">Defendants also retained Paul A. Werfel, MS, NR-P, a professional paramedic and Assistant Professor of Clinical Emergency Medicine, as an expert on the standard of care for EMTs…. Professor Werfel recounted the details leading to the incident involving plaintiff. He noted that upon arrival, [EMT] Golightly and Vazquez encountered </w:t>
      </w:r>
      <w:proofErr w:type="gramStart"/>
      <w:r>
        <w:t>plaintiff</w:t>
      </w:r>
      <w:proofErr w:type="gramEnd"/>
      <w:r>
        <w:t xml:space="preserve"> accompanied by police and in a highly intoxicated state. Citing plaintiff's deposition, he found plaintiff became agitated, unbuckled the stretcher's straps, began vaping, became more upset as Vazquez attempted to calm her down, and ‘stated to EMT Vazquez 'you don't give a f[***] about me, I am jumping out of this ambulance.’</w:t>
      </w:r>
    </w:p>
    <w:p w14:paraId="7B65B705" w14:textId="77777777" w:rsidR="00550025" w:rsidRDefault="00550025" w:rsidP="00550025">
      <w:pPr>
        <w:pStyle w:val="NoSpacing"/>
      </w:pPr>
    </w:p>
    <w:p w14:paraId="082B2332" w14:textId="77777777" w:rsidR="00550025" w:rsidRDefault="00550025" w:rsidP="00550025">
      <w:pPr>
        <w:pStyle w:val="NoSpacing"/>
      </w:pPr>
    </w:p>
    <w:p w14:paraId="79F1E9B0" w14:textId="77777777" w:rsidR="00550025" w:rsidRDefault="00550025" w:rsidP="00550025">
      <w:pPr>
        <w:pStyle w:val="NoSpacing"/>
        <w:ind w:left="720"/>
      </w:pPr>
      <w:r>
        <w:t>The expert opined defendants' conduct was ‘what one should expect from an ambulance crew and [</w:t>
      </w:r>
      <w:proofErr w:type="spellStart"/>
      <w:proofErr w:type="gramStart"/>
      <w:r>
        <w:t>wa</w:t>
      </w:r>
      <w:proofErr w:type="spellEnd"/>
      <w:r>
        <w:t>]s</w:t>
      </w:r>
      <w:proofErr w:type="gramEnd"/>
      <w:r>
        <w:t xml:space="preserve"> well within the standard of care.’ He concluded Vazquez and Golightly ‘were faced with an intoxicated, and uncooperative patient [who] ultimately became verbally and physically abusive during transport.’ He determined that both Vazquez and Golightly were adequately trained and conducted themselves within the standard of care for EMTs throughout their interaction with plaintiff. Further, he found ‘Vazquez responded emergently to the fact that [plaintiff] created a very real threat to herself by attempting to open the door to the ambulance and jump out while the truck was moving’ and he ‘did very well to try and de-escalate the situation.’ </w:t>
      </w:r>
    </w:p>
    <w:p w14:paraId="509EEB70" w14:textId="77777777" w:rsidR="00550025" w:rsidRDefault="00550025" w:rsidP="00550025">
      <w:pPr>
        <w:pStyle w:val="NoSpacing"/>
        <w:ind w:left="720"/>
      </w:pPr>
    </w:p>
    <w:p w14:paraId="7BBB141B" w14:textId="77777777" w:rsidR="00550025" w:rsidRDefault="00550025" w:rsidP="00550025">
      <w:pPr>
        <w:pStyle w:val="NoSpacing"/>
        <w:ind w:left="720"/>
        <w:rPr>
          <w:b/>
        </w:rPr>
      </w:pPr>
      <w:r>
        <w:t>***</w:t>
      </w:r>
    </w:p>
    <w:p w14:paraId="52FF49A4" w14:textId="77777777" w:rsidR="00550025" w:rsidRDefault="00550025" w:rsidP="00550025">
      <w:pPr>
        <w:pStyle w:val="NoSpacing"/>
        <w:rPr>
          <w:b/>
        </w:rPr>
      </w:pPr>
    </w:p>
    <w:p w14:paraId="26B8FFE8" w14:textId="77777777" w:rsidR="00550025" w:rsidRDefault="00550025" w:rsidP="00550025">
      <w:pPr>
        <w:pStyle w:val="NoSpacing"/>
        <w:ind w:left="720"/>
      </w:pPr>
      <w:r>
        <w:t>Plaintiff neither presented an expert report nor attempted to depose defendants' expert. Thus, based on the record before it, the [trial] court properly dismissed plaintiff's claims.”</w:t>
      </w:r>
    </w:p>
    <w:p w14:paraId="223E2D44" w14:textId="77777777" w:rsidR="00550025" w:rsidRDefault="00550025" w:rsidP="00550025">
      <w:pPr>
        <w:pStyle w:val="NoSpacing"/>
        <w:ind w:left="720"/>
      </w:pPr>
    </w:p>
    <w:p w14:paraId="465B5634" w14:textId="43E68073" w:rsidR="00550025" w:rsidRPr="0075792F" w:rsidRDefault="00550025" w:rsidP="00550025">
      <w:pPr>
        <w:pStyle w:val="NoSpacing"/>
        <w:rPr>
          <w:b/>
          <w:bCs/>
        </w:rPr>
      </w:pPr>
      <w:r>
        <w:rPr>
          <w:b/>
        </w:rPr>
        <w:t xml:space="preserve">Lesson learned: The EMS run report thoroughly documented efforts to prevent the drunk and belligerent patient from jumping out of a moving ambulance. </w:t>
      </w:r>
    </w:p>
    <w:p w14:paraId="3906F430" w14:textId="77777777" w:rsidR="00550025" w:rsidRPr="00F02C51" w:rsidRDefault="00550025" w:rsidP="00550025">
      <w:pPr>
        <w:spacing w:after="0"/>
        <w:rPr>
          <w:b/>
          <w:bCs/>
        </w:rPr>
      </w:pPr>
    </w:p>
    <w:p w14:paraId="5AD2B379" w14:textId="77777777" w:rsidR="00550025" w:rsidRDefault="00550025" w:rsidP="00550025">
      <w:pPr>
        <w:spacing w:after="0"/>
      </w:pPr>
    </w:p>
    <w:p w14:paraId="28720B74" w14:textId="77777777" w:rsidR="004612E3" w:rsidRDefault="004612E3" w:rsidP="00004498">
      <w:pPr>
        <w:rPr>
          <w:rFonts w:ascii="Arial Black" w:hAnsi="Arial Black"/>
          <w:b/>
          <w:bCs/>
          <w:sz w:val="24"/>
          <w:szCs w:val="24"/>
        </w:rPr>
      </w:pPr>
    </w:p>
    <w:p w14:paraId="15B15960" w14:textId="77777777" w:rsidR="004612E3" w:rsidRDefault="004612E3" w:rsidP="00004498">
      <w:pPr>
        <w:rPr>
          <w:rFonts w:ascii="Arial Black" w:hAnsi="Arial Black"/>
          <w:b/>
          <w:bCs/>
          <w:sz w:val="24"/>
          <w:szCs w:val="24"/>
        </w:rPr>
      </w:pPr>
    </w:p>
    <w:p w14:paraId="56C491E4" w14:textId="77777777" w:rsidR="004612E3" w:rsidRDefault="004612E3" w:rsidP="00004498">
      <w:pPr>
        <w:rPr>
          <w:rFonts w:ascii="Arial Black" w:hAnsi="Arial Black"/>
          <w:b/>
          <w:bCs/>
          <w:sz w:val="24"/>
          <w:szCs w:val="24"/>
        </w:rPr>
      </w:pPr>
    </w:p>
    <w:p w14:paraId="7777C148" w14:textId="4455E4D2"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7</w:t>
      </w:r>
    </w:p>
    <w:p w14:paraId="5AEEA28F" w14:textId="3C114372" w:rsidR="00A96BBF" w:rsidRDefault="00A96BBF" w:rsidP="00A96BBF">
      <w:pPr>
        <w:pStyle w:val="NoSpacing"/>
        <w:rPr>
          <w:rFonts w:ascii="Arial Black" w:hAnsi="Arial Black"/>
          <w:bCs/>
          <w:sz w:val="28"/>
          <w:szCs w:val="28"/>
        </w:rPr>
      </w:pPr>
      <w:r>
        <w:rPr>
          <w:rFonts w:ascii="Arial Black" w:hAnsi="Arial Black"/>
          <w:sz w:val="28"/>
          <w:szCs w:val="28"/>
        </w:rPr>
        <w:t>A</w:t>
      </w:r>
      <w:r w:rsidR="00F95C6C">
        <w:rPr>
          <w:rFonts w:ascii="Arial Black" w:hAnsi="Arial Black"/>
          <w:sz w:val="28"/>
          <w:szCs w:val="28"/>
        </w:rPr>
        <w:t>Z</w:t>
      </w:r>
      <w:r>
        <w:rPr>
          <w:rFonts w:ascii="Arial Black" w:hAnsi="Arial Black"/>
          <w:sz w:val="28"/>
          <w:szCs w:val="28"/>
        </w:rPr>
        <w:t xml:space="preserve">: OVERDOSE – </w:t>
      </w:r>
      <w:r w:rsidR="008D3A9B">
        <w:rPr>
          <w:rFonts w:ascii="Arial Black" w:hAnsi="Arial Black"/>
          <w:sz w:val="28"/>
          <w:szCs w:val="28"/>
        </w:rPr>
        <w:t xml:space="preserve">PT </w:t>
      </w:r>
      <w:r>
        <w:rPr>
          <w:rFonts w:ascii="Arial Black" w:hAnsi="Arial Black"/>
          <w:sz w:val="28"/>
          <w:szCs w:val="28"/>
        </w:rPr>
        <w:t>CALL MEDICAL HELP – CAN’T PROSECUTE</w:t>
      </w:r>
    </w:p>
    <w:p w14:paraId="0FDF4036" w14:textId="77777777" w:rsidR="00A96BBF" w:rsidRDefault="00A96BBF" w:rsidP="00A96BBF">
      <w:pPr>
        <w:pStyle w:val="NoSpacing"/>
        <w:rPr>
          <w:bCs/>
        </w:rPr>
      </w:pPr>
    </w:p>
    <w:p w14:paraId="02AF1F8D" w14:textId="46D581CF" w:rsidR="00A96BBF" w:rsidRDefault="00A96BBF" w:rsidP="00A96BBF">
      <w:pPr>
        <w:pStyle w:val="NoSpacing"/>
        <w:rPr>
          <w:bCs/>
        </w:rPr>
      </w:pPr>
      <w:r>
        <w:t xml:space="preserve">On September 25, 2025, in </w:t>
      </w:r>
      <w:r w:rsidRPr="001470E9">
        <w:rPr>
          <w:u w:val="single"/>
        </w:rPr>
        <w:t>State of Arizona v. Corinthian Jerry Johnson</w:t>
      </w:r>
      <w:r>
        <w:t xml:space="preserve">, the </w:t>
      </w:r>
      <w:r w:rsidRPr="0069190C">
        <w:t>Court of Appeals of Arizona, First Division</w:t>
      </w:r>
      <w:r>
        <w:t xml:space="preserve"> held (3 to 0) that trial court properly dismissed possession and use of narcotic charges, since casino Security Guard called 911 when he observed the defendant passed out in his car.</w:t>
      </w:r>
      <w:r w:rsidR="00B9006C">
        <w:t xml:space="preserve"> </w:t>
      </w:r>
      <w:hyperlink r:id="rId2014" w:history="1">
        <w:r w:rsidR="00B9006C" w:rsidRPr="003870A5">
          <w:rPr>
            <w:rStyle w:val="Hyperlink"/>
          </w:rPr>
          <w:t>https://jpr.azcourts.gov/Portals/0/OpinionFiles/Div1/2025/1%20CA-CR%2024-0549%20Johnson.pdf</w:t>
        </w:r>
      </w:hyperlink>
      <w:r w:rsidR="00B9006C">
        <w:t xml:space="preserve"> </w:t>
      </w:r>
    </w:p>
    <w:p w14:paraId="135A2616" w14:textId="77777777" w:rsidR="00A96BBF" w:rsidRDefault="00A96BBF" w:rsidP="00A96BBF">
      <w:pPr>
        <w:pStyle w:val="NoSpacing"/>
        <w:rPr>
          <w:bCs/>
        </w:rPr>
      </w:pPr>
    </w:p>
    <w:p w14:paraId="0473E6E0" w14:textId="77777777" w:rsidR="00A96BBF" w:rsidRDefault="00A96BBF" w:rsidP="00A96BBF">
      <w:pPr>
        <w:pStyle w:val="NoSpacing"/>
      </w:pPr>
      <w:r w:rsidRPr="000E2BDC">
        <w:rPr>
          <w:b/>
        </w:rPr>
        <w:t>THE COURT HELD:</w:t>
      </w:r>
      <w:r>
        <w:rPr>
          <w:b/>
        </w:rPr>
        <w:t xml:space="preserve"> “</w:t>
      </w:r>
      <w:r w:rsidRPr="00686F6C">
        <w:t>In response to Johnson’s motion, the State insisted that A.R.S.</w:t>
      </w:r>
      <w:r>
        <w:t xml:space="preserve"> </w:t>
      </w:r>
      <w:r w:rsidRPr="00686F6C">
        <w:t>§ 13-3423(B) confers immunity only to defendants who are actively</w:t>
      </w:r>
      <w:r>
        <w:t xml:space="preserve"> </w:t>
      </w:r>
      <w:r w:rsidRPr="00686F6C">
        <w:t>overdosing at the time the evidence supporting their charges is discovered.</w:t>
      </w:r>
      <w:r>
        <w:t xml:space="preserve"> </w:t>
      </w:r>
      <w:r w:rsidRPr="00686F6C">
        <w:t xml:space="preserve">The State conceded that Johnson was </w:t>
      </w:r>
      <w:r>
        <w:t>o</w:t>
      </w:r>
      <w:r w:rsidRPr="00686F6C">
        <w:t>verdosing by the time he was treated</w:t>
      </w:r>
      <w:r>
        <w:t xml:space="preserve"> </w:t>
      </w:r>
      <w:r w:rsidRPr="00686F6C">
        <w:t>by the hospital, but it claimed that a question of fact still existed as to</w:t>
      </w:r>
      <w:r>
        <w:t xml:space="preserve"> </w:t>
      </w:r>
      <w:r w:rsidRPr="00686F6C">
        <w:t>whether Johnson was overdosing during the welfare check. The State</w:t>
      </w:r>
      <w:r>
        <w:t xml:space="preserve"> </w:t>
      </w:r>
      <w:r w:rsidRPr="00686F6C">
        <w:t>argued that dismissal would therefore be inappropriate without an</w:t>
      </w:r>
      <w:r>
        <w:t xml:space="preserve"> </w:t>
      </w:r>
      <w:r w:rsidRPr="00686F6C">
        <w:t>evidentiary hearing to determine the timing of Johnson’s overdose</w:t>
      </w:r>
      <w:r>
        <w:t>…. Here, undisputed facts established each element of A.R.S. §</w:t>
      </w:r>
    </w:p>
    <w:p w14:paraId="6D6CD16D" w14:textId="77777777" w:rsidR="00A96BBF" w:rsidRDefault="00A96BBF" w:rsidP="00A96BBF">
      <w:pPr>
        <w:pStyle w:val="NoSpacing"/>
      </w:pPr>
      <w:r>
        <w:t xml:space="preserve">13-3423(B). The police officer discovered Johnson’s drug paraphernalia due to the security guard’s request for a welfare check. The officer suspected that Johnson needed medical care for an overdose and sought medical care accordingly. And Johnson did experience an overdose and did need medical assistance, as his hospital treatment later confirmed.”  </w:t>
      </w:r>
      <w:hyperlink r:id="rId2015" w:history="1">
        <w:r w:rsidRPr="00313D33">
          <w:rPr>
            <w:rStyle w:val="Hyperlink"/>
          </w:rPr>
          <w:t>https://jpr.azcourts.gov/Portals/0/OpinionFiles/Div1/2025/1%20CA-CR%2024-0549%20Johnson.pdf</w:t>
        </w:r>
      </w:hyperlink>
      <w:r>
        <w:t xml:space="preserve"> </w:t>
      </w:r>
    </w:p>
    <w:p w14:paraId="02AB2954" w14:textId="77777777" w:rsidR="00A96BBF" w:rsidRDefault="00A96BBF" w:rsidP="00A96BBF">
      <w:pPr>
        <w:pStyle w:val="NoSpacing"/>
      </w:pPr>
    </w:p>
    <w:p w14:paraId="7B5D3030" w14:textId="77777777" w:rsidR="00A96BBF" w:rsidRDefault="00A96BBF" w:rsidP="00A96BBF">
      <w:pPr>
        <w:pStyle w:val="NoSpacing"/>
      </w:pPr>
      <w:r w:rsidRPr="00A044B1">
        <w:rPr>
          <w:b/>
        </w:rPr>
        <w:t>KEY FACTS</w:t>
      </w:r>
      <w:r>
        <w:t>:</w:t>
      </w:r>
    </w:p>
    <w:p w14:paraId="410E95E1" w14:textId="77777777" w:rsidR="00A96BBF" w:rsidRDefault="00A96BBF" w:rsidP="00A96BBF">
      <w:pPr>
        <w:pStyle w:val="NoSpacing"/>
      </w:pPr>
    </w:p>
    <w:p w14:paraId="6798ADA1" w14:textId="77777777" w:rsidR="00A96BBF" w:rsidRDefault="00A96BBF" w:rsidP="00A96BBF">
      <w:pPr>
        <w:pStyle w:val="NoSpacing"/>
        <w:ind w:left="720"/>
      </w:pPr>
      <w:r>
        <w:t>“In December 2022, a security guard was patrolling a casino’s parking garage at around 1:00 a.m. when he noticed Johnson ‘passed out’ in the front seat of a parked car with a glass pipe in his left hand and a lighter in his right hand. The guard requested a welfare check on Johnson. When a police officer arrived, an emergency medical technician (‘EMT’) from the casino advised him that Johnson was breathing but appeared to</w:t>
      </w:r>
    </w:p>
    <w:p w14:paraId="6749F1F9" w14:textId="77777777" w:rsidR="00A96BBF" w:rsidRDefault="00A96BBF" w:rsidP="00A96BBF">
      <w:pPr>
        <w:pStyle w:val="NoSpacing"/>
        <w:ind w:firstLine="720"/>
      </w:pPr>
      <w:proofErr w:type="gramStart"/>
      <w:r>
        <w:t>be</w:t>
      </w:r>
      <w:proofErr w:type="gramEnd"/>
      <w:r>
        <w:t xml:space="preserve"> asleep.</w:t>
      </w:r>
    </w:p>
    <w:p w14:paraId="1AD4BA4C" w14:textId="77777777" w:rsidR="00A96BBF" w:rsidRDefault="00A96BBF" w:rsidP="00A96BBF">
      <w:pPr>
        <w:pStyle w:val="NoSpacing"/>
        <w:ind w:firstLine="720"/>
      </w:pPr>
    </w:p>
    <w:p w14:paraId="6DFBAB1B" w14:textId="77777777" w:rsidR="00A96BBF" w:rsidRDefault="00A96BBF" w:rsidP="00A96BBF">
      <w:pPr>
        <w:pStyle w:val="NoSpacing"/>
        <w:ind w:left="720"/>
      </w:pPr>
      <w:r>
        <w:t>The officer opened the car’s unlocked passenger door and startled Johnson awake. As the officer helped Johnson step out of the car, he noticed Johnson ‘had very ridged [sic] muscle tone ([c]</w:t>
      </w:r>
      <w:proofErr w:type="spellStart"/>
      <w:r>
        <w:t>ommonly</w:t>
      </w:r>
      <w:proofErr w:type="spellEnd"/>
      <w:r>
        <w:t xml:space="preserve"> observed with </w:t>
      </w:r>
      <w:proofErr w:type="gramStart"/>
      <w:r>
        <w:t>persons</w:t>
      </w:r>
      <w:proofErr w:type="gramEnd"/>
      <w:r>
        <w:t xml:space="preserve"> that have used methamphetamine)’ and appeared to have trouble maintaining his balance.</w:t>
      </w:r>
    </w:p>
    <w:p w14:paraId="6AE01F2C" w14:textId="77777777" w:rsidR="00A96BBF" w:rsidRDefault="00A96BBF" w:rsidP="00A96BBF">
      <w:pPr>
        <w:pStyle w:val="NoSpacing"/>
        <w:ind w:left="720"/>
      </w:pPr>
    </w:p>
    <w:p w14:paraId="3318B845" w14:textId="77777777" w:rsidR="00A96BBF" w:rsidRDefault="00A96BBF" w:rsidP="00A96BBF">
      <w:pPr>
        <w:pStyle w:val="NoSpacing"/>
        <w:ind w:left="720"/>
      </w:pPr>
      <w:r>
        <w:t>The officer arrested Johnson and searched his pockets, finding a lighter, box cutter, glass tube, and piece of foil. The officer then placed Johnson in his patrol car and asked Johnson his name, but Johnson refused to answer and appeared to be incoherent. Suspecting Johnson was overdosing on fentanyl, the officer contacted the Peoria Fire Department and asked the EMT to continue monitoring Johnson’s medical condition. In</w:t>
      </w:r>
    </w:p>
    <w:p w14:paraId="56620E73" w14:textId="77777777" w:rsidR="00A96BBF" w:rsidRDefault="00A96BBF" w:rsidP="00A96BBF">
      <w:pPr>
        <w:pStyle w:val="NoSpacing"/>
        <w:ind w:left="720"/>
      </w:pPr>
      <w:r>
        <w:t>the meantime, the officer searched Johnson’s vehicle and found a pouch containing another glass pipe, several blue pills, several empty plastic baggies with residue, and pieces of foil. In the foil pieces, he found more blue pills and a white crystalline substance.”</w:t>
      </w:r>
    </w:p>
    <w:p w14:paraId="0AD13463" w14:textId="77777777" w:rsidR="00A96BBF" w:rsidRDefault="00A96BBF" w:rsidP="00A96BBF">
      <w:pPr>
        <w:pStyle w:val="NoSpacing"/>
        <w:ind w:left="720"/>
      </w:pPr>
    </w:p>
    <w:p w14:paraId="16D36EF1" w14:textId="77777777" w:rsidR="00A96BBF" w:rsidRDefault="00A96BBF" w:rsidP="00A96BBF">
      <w:pPr>
        <w:pStyle w:val="NoSpacing"/>
        <w:rPr>
          <w:b/>
          <w:bCs/>
        </w:rPr>
      </w:pPr>
      <w:r>
        <w:rPr>
          <w:b/>
        </w:rPr>
        <w:t>Legal lesson learned:  Many states have enacted statutes to encourage overdose victims and others to call 911.</w:t>
      </w:r>
    </w:p>
    <w:p w14:paraId="4853D723" w14:textId="77777777" w:rsidR="00A96BBF" w:rsidRDefault="00A96BBF" w:rsidP="00A96BBF">
      <w:pPr>
        <w:pStyle w:val="NoSpacing"/>
        <w:rPr>
          <w:b/>
          <w:bCs/>
        </w:rPr>
      </w:pPr>
    </w:p>
    <w:p w14:paraId="53712D69" w14:textId="77777777" w:rsidR="00A96BBF" w:rsidRPr="00766927" w:rsidRDefault="00A96BBF" w:rsidP="00A96BBF">
      <w:pPr>
        <w:pStyle w:val="NoSpacing"/>
      </w:pPr>
      <w:r>
        <w:rPr>
          <w:b/>
        </w:rPr>
        <w:tab/>
      </w:r>
      <w:r w:rsidRPr="00766927">
        <w:t>Note:  Arizona Revised Statutes</w:t>
      </w:r>
      <w:r>
        <w:t xml:space="preserve"> </w:t>
      </w:r>
      <w:r w:rsidRPr="00766927">
        <w:t>(“A.R.S.”) section 13-3423(B), states:</w:t>
      </w:r>
    </w:p>
    <w:p w14:paraId="37E7EADD" w14:textId="77777777" w:rsidR="00A96BBF" w:rsidRPr="00766927" w:rsidRDefault="00A96BBF" w:rsidP="00A96BBF">
      <w:pPr>
        <w:pStyle w:val="NoSpacing"/>
        <w:ind w:left="720"/>
      </w:pPr>
      <w:r>
        <w:t>“</w:t>
      </w:r>
      <w:r w:rsidRPr="00766927">
        <w:t>A person who experiences a drug-related overdose,</w:t>
      </w:r>
      <w:r>
        <w:t xml:space="preserve"> </w:t>
      </w:r>
      <w:r w:rsidRPr="00766927">
        <w:t xml:space="preserve">who </w:t>
      </w:r>
      <w:proofErr w:type="gramStart"/>
      <w:r w:rsidRPr="00766927">
        <w:t>is in need of</w:t>
      </w:r>
      <w:proofErr w:type="gramEnd"/>
      <w:r w:rsidRPr="00766927">
        <w:t xml:space="preserve"> medical assistance and for whom medical</w:t>
      </w:r>
      <w:r>
        <w:t xml:space="preserve"> </w:t>
      </w:r>
      <w:r w:rsidRPr="00766927">
        <w:t>assistance is sought . . . may not be charged or prosecuted for</w:t>
      </w:r>
    </w:p>
    <w:p w14:paraId="5729F255" w14:textId="77777777" w:rsidR="00A96BBF" w:rsidRPr="00766927" w:rsidRDefault="00A96BBF" w:rsidP="00A96BBF">
      <w:pPr>
        <w:pStyle w:val="NoSpacing"/>
        <w:ind w:left="720"/>
      </w:pPr>
      <w:r w:rsidRPr="00766927">
        <w:t>the possession or use of a controlled substance or drug</w:t>
      </w:r>
      <w:r>
        <w:t xml:space="preserve"> </w:t>
      </w:r>
      <w:r w:rsidRPr="00766927">
        <w:t xml:space="preserve">paraphernalia if the evidence for the violation was gained </w:t>
      </w:r>
      <w:proofErr w:type="gramStart"/>
      <w:r w:rsidRPr="00766927">
        <w:t>as</w:t>
      </w:r>
      <w:r>
        <w:t xml:space="preserve"> </w:t>
      </w:r>
      <w:r w:rsidRPr="00766927">
        <w:t>a result of</w:t>
      </w:r>
      <w:proofErr w:type="gramEnd"/>
      <w:r w:rsidRPr="00766927">
        <w:t xml:space="preserve"> the person’s overdose and need for medical</w:t>
      </w:r>
    </w:p>
    <w:p w14:paraId="7F427CBE" w14:textId="77777777" w:rsidR="00A96BBF" w:rsidRPr="00766927" w:rsidRDefault="00A96BBF" w:rsidP="00A96BBF">
      <w:pPr>
        <w:pStyle w:val="NoSpacing"/>
        <w:ind w:firstLine="720"/>
      </w:pPr>
      <w:r w:rsidRPr="00766927">
        <w:t>assistance.</w:t>
      </w:r>
      <w:r>
        <w:t>”</w:t>
      </w:r>
    </w:p>
    <w:p w14:paraId="34B88B5F" w14:textId="77777777" w:rsidR="00A96BBF" w:rsidRDefault="00A96BBF" w:rsidP="00A96BBF">
      <w:pPr>
        <w:pStyle w:val="NoSpacing"/>
      </w:pPr>
    </w:p>
    <w:p w14:paraId="5C73A0DA" w14:textId="77777777" w:rsidR="00A96BBF" w:rsidRDefault="00A96BBF" w:rsidP="002B1283">
      <w:pPr>
        <w:rPr>
          <w:rFonts w:ascii="Arial Black" w:hAnsi="Arial Black"/>
          <w:b/>
          <w:bCs/>
          <w:sz w:val="28"/>
          <w:szCs w:val="28"/>
        </w:rPr>
      </w:pPr>
    </w:p>
    <w:p w14:paraId="33BDB765" w14:textId="380FD4CB"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6</w:t>
      </w:r>
    </w:p>
    <w:p w14:paraId="0C90D742" w14:textId="536F18A5" w:rsidR="00177852" w:rsidRDefault="00177852" w:rsidP="00177852">
      <w:pPr>
        <w:pStyle w:val="NoSpacing"/>
        <w:rPr>
          <w:rFonts w:ascii="Arial Black" w:hAnsi="Arial Black"/>
          <w:bCs/>
          <w:sz w:val="28"/>
          <w:szCs w:val="28"/>
        </w:rPr>
      </w:pPr>
      <w:r>
        <w:rPr>
          <w:rFonts w:ascii="Arial Black" w:hAnsi="Arial Black"/>
          <w:sz w:val="28"/>
          <w:szCs w:val="28"/>
        </w:rPr>
        <w:t>PA: PD PAT-DOWN</w:t>
      </w:r>
      <w:r w:rsidR="0074334C">
        <w:rPr>
          <w:rFonts w:ascii="Arial Black" w:hAnsi="Arial Black"/>
          <w:sz w:val="28"/>
          <w:szCs w:val="28"/>
        </w:rPr>
        <w:t xml:space="preserve"> UNLAWFUL </w:t>
      </w:r>
      <w:r>
        <w:rPr>
          <w:rFonts w:ascii="Arial Black" w:hAnsi="Arial Black"/>
          <w:sz w:val="28"/>
          <w:szCs w:val="28"/>
        </w:rPr>
        <w:t xml:space="preserve">– PRIOR EMS </w:t>
      </w:r>
      <w:r w:rsidR="00BE5B68">
        <w:rPr>
          <w:rFonts w:ascii="Arial Black" w:hAnsi="Arial Black"/>
          <w:sz w:val="28"/>
          <w:szCs w:val="28"/>
        </w:rPr>
        <w:t xml:space="preserve">PT </w:t>
      </w:r>
      <w:r>
        <w:rPr>
          <w:rFonts w:ascii="Arial Black" w:hAnsi="Arial Black"/>
          <w:sz w:val="28"/>
          <w:szCs w:val="28"/>
        </w:rPr>
        <w:t xml:space="preserve">TRANS - DRUGS </w:t>
      </w:r>
    </w:p>
    <w:p w14:paraId="2B9EB72D" w14:textId="77777777" w:rsidR="00177852" w:rsidRDefault="00177852" w:rsidP="00177852">
      <w:pPr>
        <w:pStyle w:val="NoSpacing"/>
      </w:pPr>
    </w:p>
    <w:p w14:paraId="3D7CDB88" w14:textId="77777777" w:rsidR="0060697B" w:rsidRDefault="00177852" w:rsidP="0060697B">
      <w:pPr>
        <w:pStyle w:val="NoSpacing"/>
      </w:pPr>
      <w:r>
        <w:t xml:space="preserve">On September 19, 2025, in </w:t>
      </w:r>
      <w:r w:rsidRPr="0053267A">
        <w:rPr>
          <w:u w:val="single"/>
        </w:rPr>
        <w:t>Commonwealth of Pennsylvania v. Andre N. Fulton</w:t>
      </w:r>
      <w:r>
        <w:t xml:space="preserve">, the Superior Court of Pennsylvania held (3 to 0) that trial court properly granted defense motion to suppress a straw found in patient’s pocket during pat-down, and </w:t>
      </w:r>
      <w:r w:rsidRPr="006448AB">
        <w:t xml:space="preserve">narcotics found inside the </w:t>
      </w:r>
      <w:r>
        <w:t xml:space="preserve">black </w:t>
      </w:r>
      <w:r w:rsidRPr="006448AB">
        <w:t>plastic bag</w:t>
      </w:r>
      <w:r>
        <w:t xml:space="preserve"> in the patient’s vehicle.  Patient at PA Turnpike restaurant </w:t>
      </w:r>
      <w:proofErr w:type="gramStart"/>
      <w:r>
        <w:t>not</w:t>
      </w:r>
      <w:proofErr w:type="gramEnd"/>
      <w:r>
        <w:t xml:space="preserve"> feeling well; he consented to Troopers looking for his keys and cell phone in his car before EMS transport to hospital.  </w:t>
      </w:r>
      <w:hyperlink r:id="rId2016" w:history="1">
        <w:r w:rsidR="0060697B" w:rsidRPr="000F3B38">
          <w:rPr>
            <w:rStyle w:val="Hyperlink"/>
          </w:rPr>
          <w:t>https://www.pacourts.us/assets/opinions/Superior/out/J-S30019-25o%20-%20106515413327511102.pdf?cb=1</w:t>
        </w:r>
      </w:hyperlink>
      <w:r w:rsidR="0060697B">
        <w:t xml:space="preserve"> </w:t>
      </w:r>
    </w:p>
    <w:p w14:paraId="02E5F5AB" w14:textId="79FEC153" w:rsidR="00177852" w:rsidRDefault="00177852" w:rsidP="00177852">
      <w:pPr>
        <w:pStyle w:val="NoSpacing"/>
      </w:pPr>
    </w:p>
    <w:p w14:paraId="4B0E5D10" w14:textId="77777777" w:rsidR="00177852" w:rsidRDefault="00177852" w:rsidP="00177852">
      <w:pPr>
        <w:pStyle w:val="NoSpacing"/>
      </w:pPr>
    </w:p>
    <w:p w14:paraId="011514A6" w14:textId="77777777" w:rsidR="00177852" w:rsidRDefault="00177852" w:rsidP="00177852">
      <w:pPr>
        <w:pStyle w:val="NoSpacing"/>
      </w:pPr>
      <w:r w:rsidRPr="00913B5B">
        <w:rPr>
          <w:b/>
        </w:rPr>
        <w:t>THE COURT HELD</w:t>
      </w:r>
      <w:r>
        <w:t>: “The Commonwealth argues the suppression court erred by finding police unlawfully (1) performed a pat-down search of Appellee’s person, where he was not under arrest and police had no suspicion he was armed or dangerous; (2) exceeded the scope of Appellee’s consent, when conducting a warrantless search of Appellee’s vehicle for certain items that Appellee asked police to retrieve; and (3) seized contraband from an opaque plastic bag in Appellee’s vehicle that police discovered during the search. After careful review, we affirm.</w:t>
      </w:r>
    </w:p>
    <w:p w14:paraId="20C5C2A7" w14:textId="77777777" w:rsidR="00177852" w:rsidRDefault="00177852" w:rsidP="00177852">
      <w:pPr>
        <w:pStyle w:val="NoSpacing"/>
      </w:pPr>
    </w:p>
    <w:p w14:paraId="5DC949CC" w14:textId="77777777" w:rsidR="00177852" w:rsidRDefault="00177852" w:rsidP="00177852">
      <w:pPr>
        <w:pStyle w:val="NoSpacing"/>
      </w:pPr>
      <w:r>
        <w:t>***</w:t>
      </w:r>
    </w:p>
    <w:p w14:paraId="0886C257" w14:textId="77777777" w:rsidR="00D553CE" w:rsidRDefault="00177852" w:rsidP="00177852">
      <w:pPr>
        <w:pStyle w:val="NoSpacing"/>
      </w:pPr>
      <w:r>
        <w:t xml:space="preserve">ln this case, there was no reasonable belief that [Appellee] was armed and dangerous. Thus, the pat-down was unlawful. Without probable cause to arrest, or without reasonable suspicion that [Appellee] had weapons on him, the pat-down was illegal and unconstitutional[; accordingly,] the item seized, namely the straw, was properly suppressed. Suppression Court Opinion, 4/1/25, at 16-17….  The suppression court’s foregoing analysis is supported by the record and the law, and we agree with its </w:t>
      </w:r>
      <w:proofErr w:type="gramStart"/>
      <w:r>
        <w:t>determination.”</w:t>
      </w:r>
      <w:proofErr w:type="gramEnd"/>
      <w:r>
        <w:t xml:space="preserve"> </w:t>
      </w:r>
    </w:p>
    <w:p w14:paraId="241F9584" w14:textId="77777777" w:rsidR="00177852" w:rsidRDefault="00177852" w:rsidP="00177852">
      <w:pPr>
        <w:pStyle w:val="NoSpacing"/>
      </w:pPr>
    </w:p>
    <w:p w14:paraId="6AB7A112" w14:textId="77777777" w:rsidR="00177852" w:rsidRDefault="00177852" w:rsidP="00177852">
      <w:pPr>
        <w:pStyle w:val="NoSpacing"/>
      </w:pPr>
      <w:r w:rsidRPr="00913B5B">
        <w:rPr>
          <w:b/>
        </w:rPr>
        <w:t>KEY FACTS</w:t>
      </w:r>
      <w:r>
        <w:t xml:space="preserve">: </w:t>
      </w:r>
    </w:p>
    <w:p w14:paraId="21AB319E" w14:textId="77777777" w:rsidR="00177852" w:rsidRDefault="00177852" w:rsidP="00177852">
      <w:pPr>
        <w:pStyle w:val="NoSpacing"/>
      </w:pPr>
    </w:p>
    <w:p w14:paraId="3F9B3A76" w14:textId="77777777" w:rsidR="00177852" w:rsidRDefault="00177852" w:rsidP="00177852">
      <w:pPr>
        <w:pStyle w:val="NoSpacing"/>
        <w:ind w:firstLine="720"/>
      </w:pPr>
      <w:r>
        <w:t>“The suppression court summarized the evidence presented at Appellee’s</w:t>
      </w:r>
    </w:p>
    <w:p w14:paraId="411EA652" w14:textId="77777777" w:rsidR="00177852" w:rsidRDefault="00177852" w:rsidP="00177852">
      <w:pPr>
        <w:pStyle w:val="NoSpacing"/>
        <w:ind w:firstLine="720"/>
      </w:pPr>
      <w:r>
        <w:t>suppression hearing in its order granting suppression:</w:t>
      </w:r>
    </w:p>
    <w:p w14:paraId="4FDF6F61" w14:textId="77777777" w:rsidR="00177852" w:rsidRDefault="00177852" w:rsidP="00177852">
      <w:pPr>
        <w:pStyle w:val="NoSpacing"/>
      </w:pPr>
    </w:p>
    <w:p w14:paraId="49C0C30A" w14:textId="77777777" w:rsidR="00177852" w:rsidRDefault="00177852" w:rsidP="00177852">
      <w:pPr>
        <w:pStyle w:val="NoSpacing"/>
        <w:ind w:left="720"/>
      </w:pPr>
      <w:r>
        <w:t xml:space="preserve">On March 16, 2023, at 12:45 a.m., [Pennsylvania State Police] Trooper Adam Shutter [(Trooper Shutter)] and Trooper Curtis Matthews [(Trooper Matthews) (collectively, ‘the Troopers’)] received a report of a male having a medical emergency at the Peter J. Camiel Service Plaza, [a] Pennsylvania Turnpike rest area [(the Plaza). N.T. (suppression hearing), 2/10/25, at 6, 21]. [Appellee] was seated at a table inside the Plaza. [Id. at 6-7, 22.] Trooper Shutter testified at [the suppression hearing] … that [Appellee] was sweaty and said he had taken an ecstasy pill earlier in </w:t>
      </w:r>
      <w:proofErr w:type="gramStart"/>
      <w:r>
        <w:t>Philadelphia, and</w:t>
      </w:r>
      <w:proofErr w:type="gramEnd"/>
      <w:r>
        <w:t xml:space="preserve"> was not feeling well. [Id. at 22; see also id. at 8 (Trooper Matthews’s consistent testimony).] [Appellee] requested emergency medical [services</w:t>
      </w:r>
      <w:proofErr w:type="gramStart"/>
      <w:r>
        <w:t>] (‘</w:t>
      </w:r>
      <w:proofErr w:type="gramEnd"/>
      <w:r>
        <w:t xml:space="preserve">EMS’). [Id. at 8, 22.] EMS [personnel] arrived and determined that [Appellee] needed to be transported to Reading Hospital for treatment. [Id. at 8, 24.] Trooper Shutter testified that he [performed] a </w:t>
      </w:r>
      <w:proofErr w:type="spellStart"/>
      <w:r>
        <w:t>‘pat</w:t>
      </w:r>
      <w:proofErr w:type="spellEnd"/>
      <w:r>
        <w:t xml:space="preserve"> down’ of [Appellee’s] person to ensure he had no weapons before he got into the ambulance. [Id. at 24-25.]</w:t>
      </w:r>
    </w:p>
    <w:p w14:paraId="03073891" w14:textId="77777777" w:rsidR="00177852" w:rsidRDefault="00177852" w:rsidP="00177852">
      <w:pPr>
        <w:pStyle w:val="NoSpacing"/>
        <w:ind w:left="720"/>
      </w:pPr>
    </w:p>
    <w:p w14:paraId="4711D5A9" w14:textId="6AE85825" w:rsidR="00177852" w:rsidRDefault="00177852" w:rsidP="00177852">
      <w:pPr>
        <w:pStyle w:val="NoSpacing"/>
        <w:ind w:left="720"/>
      </w:pPr>
      <w:r>
        <w:t xml:space="preserve">Both Trooper Matthews and Trooper Shutter testified that [Appellee] stated he did not have his cell phone and keys [to his </w:t>
      </w:r>
      <w:proofErr w:type="gramStart"/>
      <w:r>
        <w:t>vehicle (‘keys’</w:t>
      </w:r>
      <w:proofErr w:type="gramEnd"/>
      <w:r>
        <w:t xml:space="preserve"> or ‘key’)] with him in the Plaza. [Id. at 10 (Trooper Matthews confirming that Appellee was ‘the first person to bring up his cell phone and his keys.’); id. at 26 (Trooper Shutter’s consistent testimony).] [Appellee] requested that [the Troopers] enter his vehicle to locate the cell phone and keys. [See id. at 11, 26-27.]2 [The Troopers walked to Appellee’s car, discovered it was unlocked, and opened the driver’s side door. Id. at 29.] [Trooper Matthews immediately] found [Appellee’s] cell phone on the [driver’s seat] floor. [Id.] [The Troopers continued] search[</w:t>
      </w:r>
      <w:proofErr w:type="spellStart"/>
      <w:r>
        <w:t>ing</w:t>
      </w:r>
      <w:proofErr w:type="spellEnd"/>
      <w:r>
        <w:t xml:space="preserve">] the vehicle for [Appellee’s] keys and found a [black] plastic [grocery] bag … on the rear floor. Id. at 30.]3 The contents of the bag were not visible. [Id. at 44.]4 Trooper Shutter [immediately] opened the bag and found white powder in the bag. Id. at 32. Trooper Shutter found the keys to [Appellee’s] vehicle underneath an ashtray in the center console. [Id.] The [white powder was] seized and </w:t>
      </w:r>
      <w:proofErr w:type="gramStart"/>
      <w:r>
        <w:t>entered into</w:t>
      </w:r>
      <w:proofErr w:type="gramEnd"/>
      <w:r>
        <w:t xml:space="preserve"> evidence. [Id. at 34.] [Appellee’s] vehicle was towed and </w:t>
      </w:r>
      <w:proofErr w:type="gramStart"/>
      <w:r>
        <w:t>entered into</w:t>
      </w:r>
      <w:proofErr w:type="gramEnd"/>
      <w:r>
        <w:t xml:space="preserve"> evidence. [Id. at 35.] On March 17, 2023, police obtained a search warrant to search [Appellee’s] vehicle. [Id. at 35-36.] The seized [white powder was subsequently] tested and identified as heroin,</w:t>
      </w:r>
      <w:r w:rsidR="000A35E0">
        <w:t xml:space="preserve"> </w:t>
      </w:r>
      <w:r>
        <w:t>fentanyl and xylazine.”</w:t>
      </w:r>
    </w:p>
    <w:p w14:paraId="123E9D13" w14:textId="77777777" w:rsidR="00177852" w:rsidRDefault="00177852" w:rsidP="00177852">
      <w:pPr>
        <w:pStyle w:val="NoSpacing"/>
      </w:pPr>
    </w:p>
    <w:p w14:paraId="071CA2DE" w14:textId="77777777" w:rsidR="00177852" w:rsidRDefault="00177852" w:rsidP="00177852">
      <w:pPr>
        <w:pStyle w:val="NoSpacing"/>
        <w:rPr>
          <w:b/>
          <w:bCs/>
        </w:rPr>
      </w:pPr>
      <w:r>
        <w:rPr>
          <w:b/>
        </w:rPr>
        <w:t xml:space="preserve">Legal lesson learned:  Pat-down by police prior to EMS transport is an excellent safety practice; PD and EMS should consider having a written protocol.  </w:t>
      </w:r>
    </w:p>
    <w:p w14:paraId="70A0E4A1" w14:textId="77777777" w:rsidR="00177852" w:rsidRDefault="00177852" w:rsidP="00177852">
      <w:pPr>
        <w:pStyle w:val="NoSpacing"/>
        <w:rPr>
          <w:b/>
          <w:bCs/>
        </w:rPr>
      </w:pPr>
    </w:p>
    <w:p w14:paraId="676FE75A" w14:textId="77777777" w:rsidR="00177852" w:rsidRDefault="00177852" w:rsidP="00177852">
      <w:pPr>
        <w:pStyle w:val="NoSpacing"/>
      </w:pPr>
      <w:r>
        <w:tab/>
        <w:t>Note: Pat downs can save EMS lives.</w:t>
      </w:r>
    </w:p>
    <w:p w14:paraId="4B0B5311" w14:textId="77777777" w:rsidR="00177852" w:rsidRDefault="00177852" w:rsidP="00177852">
      <w:pPr>
        <w:pStyle w:val="NoSpacing"/>
        <w:ind w:firstLine="720"/>
      </w:pPr>
      <w:r>
        <w:t>See Commonwealth of Massachusetts v. Raymond J. Verrier (September 8, 2025):</w:t>
      </w:r>
    </w:p>
    <w:p w14:paraId="0C7E982F" w14:textId="77777777" w:rsidR="00177852" w:rsidRPr="00D45DDD" w:rsidRDefault="00177852" w:rsidP="00177852">
      <w:pPr>
        <w:pStyle w:val="NoSpacing"/>
        <w:ind w:left="720"/>
      </w:pPr>
      <w:r>
        <w:t>Mental patient.  “</w:t>
      </w:r>
      <w:r w:rsidRPr="00D45DDD">
        <w:t>It is undisputed that before placing the defendant in an</w:t>
      </w:r>
      <w:r>
        <w:t xml:space="preserve"> </w:t>
      </w:r>
      <w:r w:rsidRPr="00D45DDD">
        <w:t>ambulance, Chelsea police officer Timothy McCarthy pat frisked</w:t>
      </w:r>
      <w:r>
        <w:t xml:space="preserve"> </w:t>
      </w:r>
      <w:r w:rsidRPr="00D45DDD">
        <w:t>the defendant, finding a loaded firearm. Officer McCarthy then</w:t>
      </w:r>
      <w:r>
        <w:t xml:space="preserve"> </w:t>
      </w:r>
      <w:r w:rsidRPr="00D45DDD">
        <w:t>placed the defendant under arrest and searched him incident to</w:t>
      </w:r>
      <w:r>
        <w:t xml:space="preserve"> </w:t>
      </w:r>
      <w:r w:rsidRPr="00D45DDD">
        <w:t>that arrest, finding drugs on his person.</w:t>
      </w:r>
      <w:r>
        <w:t xml:space="preserve">”  </w:t>
      </w:r>
      <w:hyperlink r:id="rId2017" w:history="1">
        <w:r w:rsidRPr="00FF39E5">
          <w:rPr>
            <w:rStyle w:val="Hyperlink"/>
          </w:rPr>
          <w:t>https://www.mass.gov/doc/commonwealth-v-verrier-ac-g24p446/download</w:t>
        </w:r>
      </w:hyperlink>
      <w:r>
        <w:t xml:space="preserve"> </w:t>
      </w:r>
    </w:p>
    <w:p w14:paraId="4D6DE902" w14:textId="77777777" w:rsidR="00177852" w:rsidRDefault="00177852" w:rsidP="00542851">
      <w:pPr>
        <w:rPr>
          <w:rFonts w:ascii="Times New Roman" w:hAnsi="Times New Roman"/>
          <w:b/>
          <w:bCs/>
          <w:sz w:val="24"/>
          <w:szCs w:val="24"/>
        </w:rPr>
      </w:pPr>
    </w:p>
    <w:p w14:paraId="30AE3843" w14:textId="3FF6BCFF"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5</w:t>
      </w:r>
    </w:p>
    <w:p w14:paraId="4C4AF662" w14:textId="4A92C62D" w:rsidR="00E930D2" w:rsidRDefault="00E930D2" w:rsidP="00E930D2">
      <w:pPr>
        <w:pStyle w:val="NoSpacing"/>
        <w:rPr>
          <w:rFonts w:ascii="Arial Black" w:hAnsi="Arial Black"/>
          <w:sz w:val="28"/>
          <w:szCs w:val="28"/>
        </w:rPr>
      </w:pPr>
      <w:r>
        <w:rPr>
          <w:rFonts w:ascii="Arial Black" w:hAnsi="Arial Black"/>
          <w:sz w:val="28"/>
          <w:szCs w:val="28"/>
        </w:rPr>
        <w:t xml:space="preserve">WA: COVID19 – RELIGIOUS ACCOMMODATION </w:t>
      </w:r>
      <w:r w:rsidR="00EC0577">
        <w:rPr>
          <w:rFonts w:ascii="Arial Black" w:hAnsi="Arial Black"/>
          <w:sz w:val="28"/>
          <w:szCs w:val="28"/>
        </w:rPr>
        <w:t>NOT REASONABLE</w:t>
      </w:r>
    </w:p>
    <w:p w14:paraId="72DAE56A" w14:textId="77777777" w:rsidR="00E930D2" w:rsidRDefault="00E930D2" w:rsidP="00E930D2">
      <w:pPr>
        <w:pStyle w:val="NoSpacing"/>
      </w:pPr>
    </w:p>
    <w:p w14:paraId="5EB0D1D5" w14:textId="77777777" w:rsidR="005D334E" w:rsidRDefault="00E930D2" w:rsidP="005D334E">
      <w:pPr>
        <w:pStyle w:val="NoSpacing"/>
      </w:pPr>
      <w:r>
        <w:t xml:space="preserve">On September 2, 2025, in </w:t>
      </w:r>
      <w:r w:rsidRPr="00D15CD1">
        <w:rPr>
          <w:u w:val="single"/>
        </w:rPr>
        <w:t>David Peterso, et al. v. Snohomish Regional Fire and Rescue; Kevin O’Brien, Chief,</w:t>
      </w:r>
      <w:r>
        <w:t xml:space="preserve"> the United States Court of Appeals for 9</w:t>
      </w:r>
      <w:r w:rsidRPr="00D15CD1">
        <w:rPr>
          <w:vertAlign w:val="superscript"/>
        </w:rPr>
        <w:t>th</w:t>
      </w:r>
      <w:r>
        <w:t xml:space="preserve"> Circuit (San Francisco) </w:t>
      </w:r>
      <w:r w:rsidRPr="003C5A0D">
        <w:t>affirmed the district court’s summary</w:t>
      </w:r>
      <w:r>
        <w:t xml:space="preserve"> </w:t>
      </w:r>
      <w:r w:rsidRPr="003C5A0D">
        <w:t>judgment in favor of Snohomish Regional Fire and Rescue</w:t>
      </w:r>
      <w:r>
        <w:t xml:space="preserve"> </w:t>
      </w:r>
      <w:r w:rsidRPr="003C5A0D">
        <w:t>(SRFR)</w:t>
      </w:r>
      <w:r>
        <w:t xml:space="preserve">.  The FD could not “reasonably accommodate” the 8-plaintiff firefighter’s proposed religious accommodation (no vaccination, frequent testing) “without undue hardship on the conduct of” its business. 42 U.S.C. § 2000e(j).  </w:t>
      </w:r>
      <w:hyperlink r:id="rId2018" w:history="1">
        <w:r w:rsidR="005D334E" w:rsidRPr="00FE798F">
          <w:rPr>
            <w:rStyle w:val="Hyperlink"/>
          </w:rPr>
          <w:t>https://cdn.ca9.uscourts.gov/datastore/opinions/2025/09/02/24-1044.pdf</w:t>
        </w:r>
      </w:hyperlink>
      <w:r w:rsidR="005D334E">
        <w:t xml:space="preserve"> </w:t>
      </w:r>
    </w:p>
    <w:p w14:paraId="406EC566" w14:textId="77777777" w:rsidR="005D334E" w:rsidRDefault="005D334E" w:rsidP="005D334E">
      <w:pPr>
        <w:pStyle w:val="NoSpacing"/>
      </w:pPr>
    </w:p>
    <w:p w14:paraId="52A00F37" w14:textId="7497BEE8" w:rsidR="00E930D2" w:rsidRDefault="00E930D2" w:rsidP="00E930D2">
      <w:pPr>
        <w:pStyle w:val="NoSpacing"/>
      </w:pPr>
    </w:p>
    <w:p w14:paraId="6174869F" w14:textId="77777777" w:rsidR="00E930D2" w:rsidRDefault="00E930D2" w:rsidP="00E930D2">
      <w:pPr>
        <w:pStyle w:val="NoSpacing"/>
      </w:pPr>
    </w:p>
    <w:p w14:paraId="72196BE0" w14:textId="5B6490A0" w:rsidR="00E930D2" w:rsidRDefault="00E930D2" w:rsidP="00E930D2">
      <w:pPr>
        <w:pStyle w:val="NoSpacing"/>
      </w:pPr>
      <w:r w:rsidRPr="005A5894">
        <w:rPr>
          <w:b/>
        </w:rPr>
        <w:t>THE COURT HELD:</w:t>
      </w:r>
      <w:r>
        <w:t xml:space="preserve">  “Dr. Lynch is a board-certified physician in infectious disease, Professor of Medicine at the University of Washington School of Medicine, and Associate Medical Director at Harborview Medical Center…. Dr. Lynch explained in some detail why Plaintiffs’ proposed accommodation—testing, masking, and social distancing in lieu of vaccination— was inadequate. Regular COVID-19 testing was ‘not sufficient’ because tests are not always accurate and unvaccinated people subject to testing were ‘among positive cases that . . . caused outbreaks in’ Washington. Dr. Lynch described PPE, like masks, as ‘complements, not substitutes, for getting vaccinated,’ since ‘[m]asks shore up protection on the outside,’ and vaccines do so on the ‘inside.’ According to Dr. Lynch, vaccines are ‘effective around the clock,’ and masks are not because ‘a work-based masking requirement applies only while employees are at work.’ He cited various studies that supported these conclusions.” </w:t>
      </w:r>
    </w:p>
    <w:p w14:paraId="544C7659" w14:textId="77777777" w:rsidR="00E930D2" w:rsidRPr="005A5894" w:rsidRDefault="00E930D2" w:rsidP="00E930D2">
      <w:pPr>
        <w:pStyle w:val="NoSpacing"/>
        <w:rPr>
          <w:b/>
          <w:bCs/>
        </w:rPr>
      </w:pPr>
      <w:r w:rsidRPr="005A5894">
        <w:rPr>
          <w:b/>
        </w:rPr>
        <w:t xml:space="preserve">KEY FACTS: </w:t>
      </w:r>
    </w:p>
    <w:p w14:paraId="1465057B" w14:textId="77777777" w:rsidR="00E930D2" w:rsidRDefault="00E930D2" w:rsidP="00E930D2">
      <w:pPr>
        <w:pStyle w:val="NoSpacing"/>
      </w:pPr>
    </w:p>
    <w:p w14:paraId="02900EA9" w14:textId="77777777" w:rsidR="00E930D2" w:rsidRDefault="00E930D2" w:rsidP="00E930D2">
      <w:pPr>
        <w:pStyle w:val="NoSpacing"/>
        <w:ind w:left="720"/>
      </w:pPr>
      <w:r>
        <w:t>“SRFR provided its firefighters with information about the vaccination requirement and the process for requesting exemptions. Forty-six of SRFR’s 192 firefighters requested</w:t>
      </w:r>
    </w:p>
    <w:p w14:paraId="6B8F2E1A" w14:textId="77777777" w:rsidR="00E930D2" w:rsidRDefault="00E930D2" w:rsidP="00E930D2">
      <w:pPr>
        <w:pStyle w:val="NoSpacing"/>
        <w:ind w:left="720"/>
      </w:pPr>
      <w:r>
        <w:t>exemptions, including the eight Plaintiffs. All the firefighters served in various firefighting and emergency medical technician (EMT) positions, and all held EMT or</w:t>
      </w:r>
    </w:p>
    <w:p w14:paraId="6EE88AF0" w14:textId="77777777" w:rsidR="00E930D2" w:rsidRDefault="00E930D2" w:rsidP="00E930D2">
      <w:pPr>
        <w:pStyle w:val="NoSpacing"/>
        <w:ind w:firstLine="720"/>
      </w:pPr>
      <w:r>
        <w:t>paramedic certifications. SRFR’s Human Resources staff met with each employee</w:t>
      </w:r>
    </w:p>
    <w:p w14:paraId="6A2714E4" w14:textId="77777777" w:rsidR="00E930D2" w:rsidRDefault="00E930D2" w:rsidP="00E930D2">
      <w:pPr>
        <w:pStyle w:val="NoSpacing"/>
        <w:ind w:left="720"/>
      </w:pPr>
      <w:r>
        <w:t>who requested an exemption to discuss their request and any possible accommodation. SRFR simultaneously negotiated with the International Association of Fire Fighters, Local 2781 (the Union) regarding the vaccination requirement, and eventually ‘approved a Memorandum of Understanding (‘MOU’) that modified the collective bargaining agreement to provide accommodation options for firefighters if [SRFR] determined they could not be accommodated in their healthcare roles.’</w:t>
      </w:r>
    </w:p>
    <w:p w14:paraId="78596AD5" w14:textId="77777777" w:rsidR="00E930D2" w:rsidRDefault="00E930D2" w:rsidP="00E930D2">
      <w:pPr>
        <w:pStyle w:val="NoSpacing"/>
        <w:ind w:left="720"/>
      </w:pPr>
    </w:p>
    <w:p w14:paraId="19645ED3" w14:textId="77777777" w:rsidR="00E930D2" w:rsidRDefault="00E930D2" w:rsidP="00E930D2">
      <w:pPr>
        <w:pStyle w:val="NoSpacing"/>
        <w:ind w:left="720"/>
      </w:pPr>
      <w:r>
        <w:t>In these circumstances, the MOU explained that unvaccinated firefighters could use their accrued paid leave while remaining employed. After exhausting that leave, firefighters could take a one-year leave of absence without pay. The MOU also provided that if any firefighters chose to leave SRFR, they could be added to the disability rehire list, which gave them ‘priority’—meaning that they would not lose their rank, seniority, or benefit accrual status if they returned to SRFR within two years. Additionally, the MOU</w:t>
      </w:r>
    </w:p>
    <w:p w14:paraId="3A96786E" w14:textId="77777777" w:rsidR="00E930D2" w:rsidRDefault="00E930D2" w:rsidP="00E930D2">
      <w:pPr>
        <w:pStyle w:val="NoSpacing"/>
        <w:ind w:left="720"/>
      </w:pPr>
      <w:r>
        <w:t>‘</w:t>
      </w:r>
      <w:proofErr w:type="gramStart"/>
      <w:r>
        <w:t>specified</w:t>
      </w:r>
      <w:proofErr w:type="gramEnd"/>
      <w:r>
        <w:t xml:space="preserve"> that the unvaccinated frontline employees could return to work during their period of absence if [the] Proclamation . . . was updated and amended to that effect. </w:t>
      </w:r>
    </w:p>
    <w:p w14:paraId="3996DB25" w14:textId="77777777" w:rsidR="00E930D2" w:rsidRDefault="00E930D2" w:rsidP="00E930D2">
      <w:pPr>
        <w:pStyle w:val="NoSpacing"/>
        <w:ind w:left="720"/>
      </w:pPr>
    </w:p>
    <w:p w14:paraId="6B61E358" w14:textId="77777777" w:rsidR="00E930D2" w:rsidRDefault="00E930D2" w:rsidP="00E930D2">
      <w:pPr>
        <w:pStyle w:val="NoSpacing"/>
        <w:ind w:left="720"/>
      </w:pPr>
      <w:r>
        <w:t>In October 2021, SRFR determined that it could not accommodate unvaccinated firefighters in their firefighting roles without imposing an undue hardship on its operations. SRFR explained that because a firefighter’s work requires interfacing with the public, it did not have alternative positions for those seeking exemptions, nor could it facilitate their requested accommodation—masking, testing, and social distancing. SRFR encouraged all forty-six employees to use their accumulated leave days first and then apply for a one-year leave of absence. SRFR approved all such requests.”</w:t>
      </w:r>
    </w:p>
    <w:p w14:paraId="255B9D0F" w14:textId="77777777" w:rsidR="00E930D2" w:rsidRDefault="00E930D2" w:rsidP="00E930D2">
      <w:pPr>
        <w:pStyle w:val="NoSpacing"/>
        <w:ind w:firstLine="720"/>
      </w:pPr>
    </w:p>
    <w:p w14:paraId="46A5061D" w14:textId="77777777" w:rsidR="00E930D2" w:rsidRPr="00880A98" w:rsidRDefault="00E930D2" w:rsidP="00E930D2">
      <w:pPr>
        <w:pStyle w:val="NoSpacing"/>
        <w:rPr>
          <w:b/>
          <w:bCs/>
        </w:rPr>
      </w:pPr>
      <w:r>
        <w:rPr>
          <w:b/>
        </w:rPr>
        <w:t xml:space="preserve">Legal lesson learned: Yet another case holding that undue hardship for FDs to accommodate firefighters who refused to get vaccinated. </w:t>
      </w:r>
    </w:p>
    <w:p w14:paraId="29AF7C94" w14:textId="77777777" w:rsidR="00E930D2" w:rsidRDefault="00E930D2" w:rsidP="00542851">
      <w:pPr>
        <w:rPr>
          <w:rFonts w:ascii="Times New Roman" w:hAnsi="Times New Roman"/>
          <w:b/>
          <w:bCs/>
          <w:sz w:val="24"/>
          <w:szCs w:val="24"/>
        </w:rPr>
      </w:pPr>
    </w:p>
    <w:p w14:paraId="18BB4D82" w14:textId="1AAA77AC"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4</w:t>
      </w:r>
    </w:p>
    <w:p w14:paraId="297D7CCF" w14:textId="7540BCE0" w:rsidR="004704EF" w:rsidRPr="001515BA" w:rsidRDefault="004704EF" w:rsidP="004704EF">
      <w:pPr>
        <w:rPr>
          <w:rFonts w:ascii="Arial Black" w:hAnsi="Arial Black"/>
          <w:b/>
          <w:sz w:val="28"/>
          <w:szCs w:val="28"/>
        </w:rPr>
      </w:pPr>
      <w:r>
        <w:rPr>
          <w:rFonts w:ascii="Arial Black" w:hAnsi="Arial Black"/>
          <w:b/>
          <w:sz w:val="28"/>
          <w:szCs w:val="28"/>
        </w:rPr>
        <w:t xml:space="preserve">AL: </w:t>
      </w:r>
      <w:r w:rsidR="0083128E">
        <w:rPr>
          <w:rFonts w:ascii="Arial Black" w:hAnsi="Arial Black"/>
          <w:b/>
          <w:sz w:val="28"/>
          <w:szCs w:val="28"/>
        </w:rPr>
        <w:t xml:space="preserve">VOL </w:t>
      </w:r>
      <w:r>
        <w:rPr>
          <w:rFonts w:ascii="Arial Black" w:hAnsi="Arial Black"/>
          <w:b/>
          <w:sz w:val="28"/>
          <w:szCs w:val="28"/>
        </w:rPr>
        <w:t>EM</w:t>
      </w:r>
      <w:r w:rsidR="0083128E">
        <w:rPr>
          <w:rFonts w:ascii="Arial Black" w:hAnsi="Arial Black"/>
          <w:b/>
          <w:sz w:val="28"/>
          <w:szCs w:val="28"/>
        </w:rPr>
        <w:t xml:space="preserve">T STOPPED CPR </w:t>
      </w:r>
      <w:r w:rsidR="000B5EEC">
        <w:rPr>
          <w:rFonts w:ascii="Arial Black" w:hAnsi="Arial Black"/>
          <w:b/>
          <w:sz w:val="28"/>
          <w:szCs w:val="28"/>
        </w:rPr>
        <w:t>–</w:t>
      </w:r>
      <w:r w:rsidR="0083128E">
        <w:rPr>
          <w:rFonts w:ascii="Arial Black" w:hAnsi="Arial Black"/>
          <w:b/>
          <w:sz w:val="28"/>
          <w:szCs w:val="28"/>
        </w:rPr>
        <w:t xml:space="preserve"> IMMUN</w:t>
      </w:r>
      <w:r w:rsidR="000B5EEC">
        <w:rPr>
          <w:rFonts w:ascii="Arial Black" w:hAnsi="Arial Black"/>
          <w:b/>
          <w:sz w:val="28"/>
          <w:szCs w:val="28"/>
        </w:rPr>
        <w:t xml:space="preserve">ITY - </w:t>
      </w:r>
      <w:r>
        <w:rPr>
          <w:rFonts w:ascii="Arial Black" w:hAnsi="Arial Black"/>
          <w:b/>
          <w:sz w:val="28"/>
          <w:szCs w:val="28"/>
        </w:rPr>
        <w:t>GOOD SAMAR</w:t>
      </w:r>
      <w:r w:rsidR="00D63907">
        <w:rPr>
          <w:rFonts w:ascii="Arial Black" w:hAnsi="Arial Black"/>
          <w:b/>
          <w:sz w:val="28"/>
          <w:szCs w:val="28"/>
        </w:rPr>
        <w:t>ITAN</w:t>
      </w:r>
      <w:r w:rsidR="00DE7A31">
        <w:rPr>
          <w:rFonts w:ascii="Arial Black" w:hAnsi="Arial Black"/>
          <w:b/>
          <w:sz w:val="28"/>
          <w:szCs w:val="28"/>
        </w:rPr>
        <w:t xml:space="preserve"> </w:t>
      </w:r>
      <w:r>
        <w:rPr>
          <w:rFonts w:ascii="Arial Black" w:hAnsi="Arial Black"/>
          <w:b/>
          <w:sz w:val="28"/>
          <w:szCs w:val="28"/>
        </w:rPr>
        <w:t xml:space="preserve">LAW </w:t>
      </w:r>
    </w:p>
    <w:p w14:paraId="4E29D2C3" w14:textId="0283FEB7" w:rsidR="004704EF" w:rsidRDefault="004704EF" w:rsidP="004704EF">
      <w:pPr>
        <w:pStyle w:val="NoSpacing"/>
      </w:pPr>
      <w:r>
        <w:t xml:space="preserve">On Aug. 29, 2025, in </w:t>
      </w:r>
      <w:r w:rsidRPr="002B4CFC">
        <w:rPr>
          <w:u w:val="single"/>
        </w:rPr>
        <w:t>Carol Rogers, as administratrix of the Estate of Susan Bonner, deceased v. Cedar Bluff Volunteer Fire Department</w:t>
      </w:r>
      <w:r>
        <w:rPr>
          <w:u w:val="single"/>
        </w:rPr>
        <w:t xml:space="preserve"> and the T</w:t>
      </w:r>
      <w:r w:rsidRPr="001B127E">
        <w:rPr>
          <w:u w:val="single"/>
        </w:rPr>
        <w:t>own of</w:t>
      </w:r>
      <w:r>
        <w:rPr>
          <w:u w:val="single"/>
        </w:rPr>
        <w:t xml:space="preserve"> </w:t>
      </w:r>
      <w:r w:rsidRPr="001B127E">
        <w:rPr>
          <w:u w:val="single"/>
        </w:rPr>
        <w:t>Cedar Bluff</w:t>
      </w:r>
      <w:r>
        <w:t xml:space="preserve">, the Alabama Supreme Court held (9 to 0) that trial court properly dismissed the lawsuit against the Town and its Volunteer Fire Department.  June 6, </w:t>
      </w:r>
      <w:proofErr w:type="gramStart"/>
      <w:r>
        <w:t>2017</w:t>
      </w:r>
      <w:proofErr w:type="gramEnd"/>
      <w:r>
        <w:t xml:space="preserve"> motor vehicle accident where drive was submerged in creek; bystander CPR; she died two days later.  Under the state’s </w:t>
      </w:r>
      <w:r w:rsidRPr="00340D54">
        <w:t>"Good Samaritan Act</w:t>
      </w:r>
      <w:r>
        <w:t xml:space="preserve">” the volunteer firefighter / EMT has immunity for negligence, as does his volunteer fire department which is deemed a </w:t>
      </w:r>
      <w:r w:rsidRPr="00786D98">
        <w:t>subordinate entity</w:t>
      </w:r>
      <w:r>
        <w:t xml:space="preserve"> of the Town.  If his conduct was deemed wanton misconduct, the Town and other governmental entities in Alabama are not liable for intentional misconduct of employees and agents.  </w:t>
      </w:r>
      <w:hyperlink r:id="rId2019" w:history="1">
        <w:r w:rsidR="000B5EEC" w:rsidRPr="00204094">
          <w:rPr>
            <w:rStyle w:val="Hyperlink"/>
          </w:rPr>
          <w:t>https://cases.justia.com/alabama/supreme-court/2025-sc-2025-0055.pdf?ts=1756474207</w:t>
        </w:r>
      </w:hyperlink>
    </w:p>
    <w:p w14:paraId="35875A35" w14:textId="77777777" w:rsidR="004704EF" w:rsidRDefault="004704EF" w:rsidP="004704EF">
      <w:pPr>
        <w:pStyle w:val="NoSpacing"/>
      </w:pPr>
    </w:p>
    <w:p w14:paraId="0A454198" w14:textId="77777777" w:rsidR="00957259" w:rsidRDefault="004704EF" w:rsidP="004704EF">
      <w:pPr>
        <w:pStyle w:val="NoSpacing"/>
      </w:pPr>
      <w:r w:rsidRPr="00474D47">
        <w:rPr>
          <w:b/>
        </w:rPr>
        <w:t xml:space="preserve">THE COURT HELD: </w:t>
      </w:r>
      <w:r>
        <w:rPr>
          <w:b/>
        </w:rPr>
        <w:t>“</w:t>
      </w:r>
      <w:r w:rsidRPr="00DF2DDA">
        <w:t>Based on the foregoing, Rogers failed to</w:t>
      </w:r>
      <w:r>
        <w:t xml:space="preserve"> demonstrate that a genuine issue of material fact existed as to whether the Town is vicariously immune from liability for Guice's allegedly wanton acts or omissions in this case, and, thus, the summary judgment in its favor is due to be affirmed…. Even if Guice's conduct was not done in ‘good faith’ and was not done within the ‘scope of [his] official functions and duties’ as a volunteer firefighter with the CBVFD, thereby preventing him from being entitled to immunity under § 6-5-3236(d)(1) of the VSA, § 11-47-190, which was raised in the Town's filings below, makes clear that the Town could not have been liable for that conduct because it would have been intentional, wrongful conduct.”</w:t>
      </w:r>
    </w:p>
    <w:p w14:paraId="249C7527" w14:textId="05BBA212" w:rsidR="004704EF" w:rsidRDefault="004704EF" w:rsidP="004704EF">
      <w:pPr>
        <w:pStyle w:val="NoSpacing"/>
      </w:pPr>
      <w:r>
        <w:t xml:space="preserve"> </w:t>
      </w:r>
      <w:hyperlink r:id="rId2020" w:history="1">
        <w:r w:rsidRPr="00204094">
          <w:rPr>
            <w:rStyle w:val="Hyperlink"/>
          </w:rPr>
          <w:t>https://cases.justia.com/alabama/supreme-court/2025-sc-2025-0055.pdf?ts=1756474207</w:t>
        </w:r>
      </w:hyperlink>
      <w:r>
        <w:t xml:space="preserve"> </w:t>
      </w:r>
    </w:p>
    <w:p w14:paraId="2147211A" w14:textId="77777777" w:rsidR="004704EF" w:rsidRDefault="004704EF" w:rsidP="004704EF">
      <w:pPr>
        <w:ind w:left="720"/>
      </w:pPr>
    </w:p>
    <w:p w14:paraId="40CDA44F" w14:textId="77777777" w:rsidR="004704EF" w:rsidRDefault="004704EF" w:rsidP="004704EF">
      <w:pPr>
        <w:rPr>
          <w:b/>
          <w:bCs/>
        </w:rPr>
      </w:pPr>
      <w:r>
        <w:rPr>
          <w:b/>
        </w:rPr>
        <w:t>KEY FACTS:</w:t>
      </w:r>
    </w:p>
    <w:p w14:paraId="2C253794" w14:textId="77777777" w:rsidR="004704EF" w:rsidRDefault="004704EF" w:rsidP="004704EF">
      <w:pPr>
        <w:pStyle w:val="NoSpacing"/>
        <w:ind w:left="720"/>
      </w:pPr>
      <w:r>
        <w:t>“</w:t>
      </w:r>
      <w:r w:rsidRPr="00443296">
        <w:t xml:space="preserve">On June 6, 2017, </w:t>
      </w:r>
      <w:r>
        <w:t xml:space="preserve">[Susan} </w:t>
      </w:r>
      <w:r w:rsidRPr="00443296">
        <w:t>Bonner was driving on County Road 45 in</w:t>
      </w:r>
      <w:r>
        <w:t xml:space="preserve"> </w:t>
      </w:r>
      <w:r w:rsidRPr="00443296">
        <w:t>Cherokee County when her vehicle left the roadway and ended up</w:t>
      </w:r>
      <w:r>
        <w:t xml:space="preserve"> </w:t>
      </w:r>
      <w:r w:rsidRPr="00443296">
        <w:t>submerged in a creek. After Bonner was rescued by passing motorists, a</w:t>
      </w:r>
      <w:r>
        <w:t xml:space="preserve"> </w:t>
      </w:r>
      <w:r w:rsidRPr="00443296">
        <w:t>bystander who also happened to be a volunteer firefighter with the</w:t>
      </w:r>
      <w:r>
        <w:t xml:space="preserve"> </w:t>
      </w:r>
      <w:r w:rsidRPr="00443296">
        <w:t xml:space="preserve">McCord's Crossroads Volunteer Fire </w:t>
      </w:r>
      <w:proofErr w:type="gramStart"/>
      <w:r w:rsidRPr="00443296">
        <w:t>Department (</w:t>
      </w:r>
      <w:r>
        <w:t>‘</w:t>
      </w:r>
      <w:proofErr w:type="gramEnd"/>
      <w:r w:rsidRPr="00443296">
        <w:t>the MCVFD</w:t>
      </w:r>
      <w:r>
        <w:t>’</w:t>
      </w:r>
      <w:r w:rsidRPr="00443296">
        <w:t>) began</w:t>
      </w:r>
      <w:r>
        <w:t xml:space="preserve"> </w:t>
      </w:r>
      <w:r w:rsidRPr="00493493">
        <w:t xml:space="preserve">performing cardiopulmonary </w:t>
      </w:r>
      <w:proofErr w:type="gramStart"/>
      <w:r w:rsidRPr="00493493">
        <w:t>resuscitation</w:t>
      </w:r>
      <w:r>
        <w:t xml:space="preserve"> </w:t>
      </w:r>
      <w:r w:rsidRPr="00493493">
        <w:t>(</w:t>
      </w:r>
      <w:r>
        <w:t>‘</w:t>
      </w:r>
      <w:proofErr w:type="gramEnd"/>
      <w:r w:rsidRPr="00493493">
        <w:t>CPR</w:t>
      </w:r>
      <w:r>
        <w:t>’</w:t>
      </w:r>
      <w:r w:rsidRPr="00493493">
        <w:t>) on Bonner. At some</w:t>
      </w:r>
      <w:r>
        <w:t xml:space="preserve"> </w:t>
      </w:r>
      <w:r w:rsidRPr="00493493">
        <w:t xml:space="preserve">point thereafter, Cherokee County Emergency Medical </w:t>
      </w:r>
      <w:proofErr w:type="gramStart"/>
      <w:r w:rsidRPr="00493493">
        <w:t>Services</w:t>
      </w:r>
      <w:r>
        <w:t xml:space="preserve"> </w:t>
      </w:r>
      <w:r w:rsidRPr="00493493">
        <w:t>(</w:t>
      </w:r>
      <w:r>
        <w:t>‘</w:t>
      </w:r>
      <w:proofErr w:type="gramEnd"/>
      <w:r w:rsidRPr="00493493">
        <w:t>Cherokee County EMS</w:t>
      </w:r>
      <w:r>
        <w:t>’</w:t>
      </w:r>
      <w:r w:rsidRPr="00493493">
        <w:t>) was notified of the accident, and paramedics</w:t>
      </w:r>
      <w:r>
        <w:t xml:space="preserve"> </w:t>
      </w:r>
      <w:r w:rsidRPr="00493493">
        <w:t>were dispatched to the scene.</w:t>
      </w:r>
    </w:p>
    <w:p w14:paraId="2AD1EA2E" w14:textId="77777777" w:rsidR="004704EF" w:rsidRDefault="004704EF" w:rsidP="004704EF">
      <w:pPr>
        <w:pStyle w:val="NoSpacing"/>
      </w:pPr>
    </w:p>
    <w:p w14:paraId="5211B024" w14:textId="77777777" w:rsidR="004704EF" w:rsidRDefault="004704EF" w:rsidP="004704EF">
      <w:pPr>
        <w:pStyle w:val="NoSpacing"/>
        <w:ind w:left="720"/>
      </w:pPr>
      <w:r>
        <w:t>Guice [Howard Guice, volunteer firefighter and emergency medical technician with the CBVFD]  was nearby, allegedly on a personal errand, and heard the call about the accident on a radio issued to him by the CBVFD. Even though the scene was not within the CBVFD's service area and even though the CBVFD had not dispatched him to the scene, Guice decided to go to the scene to see if he could assist the paramedics. After Guice arrived, the bystander who had been performing CPR on Bonner asked Guice to take over, but Guice declined. Instead, he advised that all resuscitative efforts should cease and stated over his CBVFD-issued radio that a death had occurred at the scene. Guice then allegedly entered the water to help other bystanders search for a possible second victim in Bonner's submerged vehicle.</w:t>
      </w:r>
    </w:p>
    <w:p w14:paraId="0B9F2F38" w14:textId="77777777" w:rsidR="004704EF" w:rsidRDefault="004704EF" w:rsidP="004704EF">
      <w:pPr>
        <w:pStyle w:val="NoSpacing"/>
      </w:pPr>
    </w:p>
    <w:p w14:paraId="74E33E86" w14:textId="77777777" w:rsidR="004704EF" w:rsidRDefault="004704EF" w:rsidP="004704EF">
      <w:pPr>
        <w:pStyle w:val="NoSpacing"/>
        <w:ind w:left="720"/>
      </w:pPr>
      <w:r w:rsidRPr="00464476">
        <w:t>Five minutes after the bystander ceased performing CPR on</w:t>
      </w:r>
      <w:r>
        <w:t xml:space="preserve"> </w:t>
      </w:r>
      <w:r w:rsidRPr="00464476">
        <w:t>Bonner, Cherokee County EMS paramedics arrived at the scene. They</w:t>
      </w:r>
      <w:r>
        <w:t xml:space="preserve"> </w:t>
      </w:r>
      <w:r w:rsidRPr="0004786C">
        <w:t xml:space="preserve">examined Bonner and found that she was warm to </w:t>
      </w:r>
      <w:proofErr w:type="gramStart"/>
      <w:r w:rsidRPr="0004786C">
        <w:t>the touch</w:t>
      </w:r>
      <w:proofErr w:type="gramEnd"/>
      <w:r w:rsidRPr="0004786C">
        <w:t>, had a pulse,</w:t>
      </w:r>
      <w:r>
        <w:t xml:space="preserve"> </w:t>
      </w:r>
      <w:r w:rsidRPr="0004786C">
        <w:t>and had responsive pupils. As a result, the paramedics performed CPR</w:t>
      </w:r>
      <w:r>
        <w:t xml:space="preserve"> </w:t>
      </w:r>
      <w:r w:rsidRPr="0004786C">
        <w:t>on her until she experienced a return of spontaneous circulation. Bonner</w:t>
      </w:r>
      <w:r>
        <w:t xml:space="preserve"> </w:t>
      </w:r>
      <w:r w:rsidRPr="0004786C">
        <w:t>was transported to the hospital for further treatment but died two days</w:t>
      </w:r>
      <w:r>
        <w:t xml:space="preserve"> </w:t>
      </w:r>
      <w:r w:rsidRPr="0004786C">
        <w:t xml:space="preserve">later </w:t>
      </w:r>
      <w:proofErr w:type="gramStart"/>
      <w:r w:rsidRPr="0004786C">
        <w:t>as a result of</w:t>
      </w:r>
      <w:proofErr w:type="gramEnd"/>
      <w:r w:rsidRPr="0004786C">
        <w:t xml:space="preserve"> anoxic </w:t>
      </w:r>
      <w:r w:rsidRPr="008225D6">
        <w:t>encephalopathy.4</w:t>
      </w:r>
    </w:p>
    <w:p w14:paraId="4CE289F3" w14:textId="77777777" w:rsidR="004704EF" w:rsidRDefault="004704EF" w:rsidP="004704EF">
      <w:pPr>
        <w:pStyle w:val="NoSpacing"/>
      </w:pPr>
    </w:p>
    <w:p w14:paraId="29D2FF14" w14:textId="77777777" w:rsidR="004704EF" w:rsidRDefault="004704EF" w:rsidP="004704EF">
      <w:pPr>
        <w:pStyle w:val="NoSpacing"/>
      </w:pPr>
      <w:r>
        <w:tab/>
      </w:r>
      <w:r>
        <w:tab/>
        <w:t>[Footnote 4.] According to the record, anoxic encephalopathy occurs when blood</w:t>
      </w:r>
    </w:p>
    <w:p w14:paraId="1E9066E7" w14:textId="77777777" w:rsidR="004704EF" w:rsidRDefault="004704EF" w:rsidP="004704EF">
      <w:pPr>
        <w:pStyle w:val="NoSpacing"/>
        <w:ind w:left="720" w:firstLine="720"/>
      </w:pPr>
      <w:r>
        <w:t>ceases to flow to the brain.</w:t>
      </w:r>
    </w:p>
    <w:p w14:paraId="24C86E15" w14:textId="77777777" w:rsidR="004704EF" w:rsidRDefault="004704EF" w:rsidP="004704EF">
      <w:r>
        <w:tab/>
        <w:t>***</w:t>
      </w:r>
    </w:p>
    <w:p w14:paraId="3833DE04" w14:textId="77777777" w:rsidR="004704EF" w:rsidRDefault="004704EF" w:rsidP="004704EF">
      <w:pPr>
        <w:pStyle w:val="NoSpacing"/>
        <w:ind w:left="720"/>
      </w:pPr>
      <w:r>
        <w:t xml:space="preserve">Furthermore, Steven Kimmons, the CBVFD's chief, testified during his deposition that he </w:t>
      </w:r>
      <w:proofErr w:type="gramStart"/>
      <w:r>
        <w:t>reports</w:t>
      </w:r>
      <w:proofErr w:type="gramEnd"/>
      <w:r>
        <w:t xml:space="preserve"> directly to the mayor of the Town. Our Court has recognized that this connection between a fire department and a municipality does not prevent that fire department from being deemed a ‘volunteer’ fire department, thus entitling the municipality to be vicariously immune from liability for the acts of the fire department's volunteer firefighters.”</w:t>
      </w:r>
      <w:r>
        <w:tab/>
      </w:r>
    </w:p>
    <w:p w14:paraId="38D916BF" w14:textId="77777777" w:rsidR="004704EF" w:rsidRDefault="004704EF" w:rsidP="004704EF">
      <w:pPr>
        <w:pStyle w:val="NoSpacing"/>
        <w:ind w:left="720"/>
      </w:pPr>
    </w:p>
    <w:p w14:paraId="7B4A6850" w14:textId="451EDCAD" w:rsidR="004704EF" w:rsidRDefault="004704EF" w:rsidP="004704EF">
      <w:pPr>
        <w:pStyle w:val="NoSpacing"/>
      </w:pPr>
      <w:r>
        <w:rPr>
          <w:b/>
        </w:rPr>
        <w:t xml:space="preserve">Legal lesson learned:  Continue CPR until ambulance arrives and takes vital signs. </w:t>
      </w:r>
    </w:p>
    <w:p w14:paraId="6EFD1BD6" w14:textId="77777777" w:rsidR="00004498" w:rsidRDefault="00004498" w:rsidP="00004498">
      <w:pPr>
        <w:rPr>
          <w:rFonts w:ascii="Arial Black" w:hAnsi="Arial Black"/>
          <w:b/>
          <w:bCs/>
          <w:sz w:val="24"/>
          <w:szCs w:val="24"/>
        </w:rPr>
      </w:pPr>
    </w:p>
    <w:p w14:paraId="5419F979" w14:textId="518237F9"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3</w:t>
      </w:r>
    </w:p>
    <w:p w14:paraId="0C724300" w14:textId="2D3B7019" w:rsidR="00004498" w:rsidRPr="002B6421" w:rsidRDefault="00004498" w:rsidP="00004498">
      <w:pPr>
        <w:pStyle w:val="NoSpacing"/>
        <w:rPr>
          <w:rFonts w:ascii="Arial Black" w:hAnsi="Arial Black"/>
          <w:sz w:val="28"/>
          <w:szCs w:val="28"/>
        </w:rPr>
      </w:pPr>
      <w:r>
        <w:rPr>
          <w:rFonts w:ascii="Arial Black" w:hAnsi="Arial Black"/>
          <w:sz w:val="28"/>
          <w:szCs w:val="28"/>
        </w:rPr>
        <w:t xml:space="preserve">WA: SHOULDER STRAPS NOT USED – PT DEATH </w:t>
      </w:r>
      <w:r w:rsidR="00345C8F">
        <w:rPr>
          <w:rFonts w:ascii="Arial Black" w:hAnsi="Arial Black"/>
          <w:sz w:val="28"/>
          <w:szCs w:val="28"/>
        </w:rPr>
        <w:t>–</w:t>
      </w:r>
      <w:r>
        <w:rPr>
          <w:rFonts w:ascii="Arial Black" w:hAnsi="Arial Black"/>
          <w:sz w:val="28"/>
          <w:szCs w:val="28"/>
        </w:rPr>
        <w:t xml:space="preserve"> </w:t>
      </w:r>
      <w:r w:rsidR="00345C8F">
        <w:rPr>
          <w:rFonts w:ascii="Arial Black" w:hAnsi="Arial Black"/>
          <w:sz w:val="28"/>
          <w:szCs w:val="28"/>
        </w:rPr>
        <w:t xml:space="preserve">JURY </w:t>
      </w:r>
      <w:r>
        <w:rPr>
          <w:rFonts w:ascii="Arial Black" w:hAnsi="Arial Black"/>
          <w:sz w:val="28"/>
          <w:szCs w:val="28"/>
        </w:rPr>
        <w:t>$2.3M</w:t>
      </w:r>
    </w:p>
    <w:p w14:paraId="16811C29" w14:textId="77777777" w:rsidR="00004498" w:rsidRDefault="00004498" w:rsidP="00004498">
      <w:pPr>
        <w:pStyle w:val="NoSpacing"/>
      </w:pPr>
    </w:p>
    <w:p w14:paraId="082E3C59" w14:textId="77777777" w:rsidR="00542F1E" w:rsidRPr="00D8032C" w:rsidRDefault="00004498" w:rsidP="00542F1E">
      <w:pPr>
        <w:rPr>
          <w:rFonts w:ascii="Times New Roman" w:hAnsi="Times New Roman"/>
          <w:sz w:val="24"/>
          <w:szCs w:val="24"/>
        </w:rPr>
      </w:pPr>
      <w:r w:rsidRPr="00D8032C">
        <w:rPr>
          <w:rFonts w:ascii="Times New Roman" w:hAnsi="Times New Roman"/>
          <w:sz w:val="24"/>
          <w:szCs w:val="24"/>
        </w:rPr>
        <w:t xml:space="preserve">On July 28, 2025, in </w:t>
      </w:r>
      <w:r w:rsidRPr="00D8032C">
        <w:rPr>
          <w:rFonts w:ascii="Times New Roman" w:hAnsi="Times New Roman"/>
          <w:sz w:val="24"/>
          <w:szCs w:val="24"/>
          <w:u w:val="single"/>
        </w:rPr>
        <w:t>Michael J. Lang, individually and as personal representative of the estate of Frank E. Costa, et al. v. Platinum Nine Holdings, LLC, a Washington Limited Liability Corporation, doing business as Northwest Ambulance, et al</w:t>
      </w:r>
      <w:r w:rsidRPr="00D8032C">
        <w:rPr>
          <w:rFonts w:ascii="Times New Roman" w:hAnsi="Times New Roman"/>
          <w:sz w:val="24"/>
          <w:szCs w:val="24"/>
        </w:rPr>
        <w:t xml:space="preserve">., the Court of Appeals of Washington, Division 1 held (3 to 0; unpublished decision) that the trial court judge correctly held that the state’s EMS immunity statute does not apply to negligence in securing the patient to the gurney or negligence in driving ambulance; the jury awarded the estate $2.3 million in non-economic damages.  </w:t>
      </w:r>
      <w:hyperlink r:id="rId2021" w:history="1">
        <w:r w:rsidR="00542F1E" w:rsidRPr="00D8032C">
          <w:rPr>
            <w:rStyle w:val="Hyperlink"/>
            <w:rFonts w:ascii="Times New Roman" w:hAnsi="Times New Roman"/>
            <w:sz w:val="24"/>
            <w:szCs w:val="24"/>
          </w:rPr>
          <w:t>https://www.courts.wa.gov/opinions/pdf/862057.pdf</w:t>
        </w:r>
      </w:hyperlink>
    </w:p>
    <w:p w14:paraId="38755442" w14:textId="34786882" w:rsidR="00542F1E" w:rsidRDefault="006967A6" w:rsidP="00004498">
      <w:pPr>
        <w:rPr>
          <w:rFonts w:ascii="Times New Roman" w:hAnsi="Times New Roman"/>
          <w:sz w:val="24"/>
          <w:szCs w:val="24"/>
        </w:rPr>
      </w:pPr>
      <w:r>
        <w:rPr>
          <w:rFonts w:ascii="Times New Roman" w:hAnsi="Times New Roman"/>
          <w:sz w:val="24"/>
          <w:szCs w:val="24"/>
        </w:rPr>
        <w:t>COURT HELD:</w:t>
      </w:r>
    </w:p>
    <w:p w14:paraId="72221D78" w14:textId="119C6903" w:rsidR="00004498" w:rsidRPr="00D8032C" w:rsidRDefault="00004498" w:rsidP="00004498">
      <w:pPr>
        <w:rPr>
          <w:rFonts w:ascii="Times New Roman" w:hAnsi="Times New Roman"/>
          <w:sz w:val="24"/>
          <w:szCs w:val="24"/>
        </w:rPr>
      </w:pPr>
      <w:r w:rsidRPr="00D8032C">
        <w:rPr>
          <w:rFonts w:ascii="Times New Roman" w:hAnsi="Times New Roman"/>
          <w:sz w:val="24"/>
          <w:szCs w:val="24"/>
        </w:rPr>
        <w:t xml:space="preserve">In Nov. 2020, the private ambulance with three EMS on board transported the 78-year-old patient with metastatic breast cancer from Genesis Care Center to the hospital for bloodwork.  The ambulance crew moved Costa from his bed to the ambulance stretcher and secured him with two lap belts and guardrails but did not use shoulder straps to secure Costa to the gurney. [Lead EMT Jack] Wilson later testified that shoulder straps were for ‘specific patients’ who ‘weren’t able to control their upper body;’ that he had rarely seen anyone use shoulder straps; and that he could not recall being trained on how to use them. During transport, Costa’s condition deteriorated…  [EMT Henry] Shaw, driving the ambulance, turned on the lights and sirens, and when garbage truck started to yield to right, but then moved left Shaw hit the brakes, lost control and hit a highway divider head-on at 53 miles per hour. During the crash, Costa came off the gurney and hit the ambulance wall, sustained injuries to his head and neck, and died later that day.  THE COURT HELD:  “Because, under the facts of this case, RCW 18.71.210 does not extend qualified immunity to ambulance transportation or the use of gurney restraints, we conclude that the trial court acted appropriately in granting Lang’s motion in part and denying NWA’s motion…. NWA contends that the trial court misconstrued RCW 18.71.210 in denying its motion for summary judgment because ambulance transportation of patients receiving treatment and care to a medical facility is part of ‘emergency medical service’ as a matter of law. Because the statute differentiates between emergency medical service and transportation, we disagree. *** But because the statute does not provide qualified immunity for the behavior at issue and NWA conceded negligence, Lang did not need to plead or offer evidence of gross negligence.”  </w:t>
      </w:r>
    </w:p>
    <w:p w14:paraId="21D176DD" w14:textId="77777777" w:rsidR="00004498" w:rsidRPr="00D8032C" w:rsidRDefault="00004498" w:rsidP="00004498">
      <w:pPr>
        <w:pStyle w:val="NoSpacing"/>
        <w:rPr>
          <w:rFonts w:ascii="Times New Roman" w:hAnsi="Times New Roman"/>
          <w:b/>
          <w:bCs/>
          <w:sz w:val="24"/>
          <w:szCs w:val="24"/>
        </w:rPr>
      </w:pPr>
      <w:r w:rsidRPr="00D8032C">
        <w:rPr>
          <w:rFonts w:ascii="Times New Roman" w:hAnsi="Times New Roman"/>
          <w:b/>
          <w:sz w:val="24"/>
          <w:szCs w:val="24"/>
        </w:rPr>
        <w:t xml:space="preserve">Legal lesson learned:  If your gurney has shoulder straps, write a policy that specifies when they are to be used.  </w:t>
      </w:r>
    </w:p>
    <w:p w14:paraId="7BC9AFE8" w14:textId="77777777" w:rsidR="00004498" w:rsidRDefault="00004498" w:rsidP="00004498">
      <w:pPr>
        <w:rPr>
          <w:rFonts w:ascii="Times New Roman" w:hAnsi="Times New Roman"/>
          <w:b/>
          <w:bCs/>
          <w:sz w:val="24"/>
          <w:szCs w:val="24"/>
        </w:rPr>
      </w:pPr>
    </w:p>
    <w:p w14:paraId="78ED5774" w14:textId="77777777" w:rsidR="00004498" w:rsidRDefault="00004498" w:rsidP="00004498">
      <w:pPr>
        <w:rPr>
          <w:rFonts w:ascii="Arial Black" w:hAnsi="Arial Black"/>
          <w:b/>
          <w:bCs/>
          <w:sz w:val="24"/>
          <w:szCs w:val="24"/>
        </w:rPr>
      </w:pPr>
    </w:p>
    <w:p w14:paraId="0DFBB6DB" w14:textId="77777777" w:rsidR="00004498" w:rsidRDefault="00004498" w:rsidP="00004498">
      <w:pPr>
        <w:rPr>
          <w:rFonts w:ascii="Arial Black" w:hAnsi="Arial Black"/>
          <w:b/>
          <w:bCs/>
          <w:sz w:val="24"/>
          <w:szCs w:val="24"/>
        </w:rPr>
      </w:pPr>
    </w:p>
    <w:p w14:paraId="5982DD57" w14:textId="77777777" w:rsidR="00004498" w:rsidRDefault="00004498" w:rsidP="00004498">
      <w:pPr>
        <w:rPr>
          <w:rFonts w:ascii="Arial Black" w:hAnsi="Arial Black"/>
          <w:b/>
          <w:bCs/>
          <w:sz w:val="24"/>
          <w:szCs w:val="24"/>
        </w:rPr>
      </w:pPr>
    </w:p>
    <w:p w14:paraId="126B1008" w14:textId="66930298" w:rsidR="00004498" w:rsidRPr="002E2CF4" w:rsidRDefault="00004498" w:rsidP="00004498">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2</w:t>
      </w:r>
    </w:p>
    <w:p w14:paraId="09199574" w14:textId="2AC019FC" w:rsidR="00EB5A84" w:rsidRPr="002C5E98" w:rsidRDefault="00EB5A84" w:rsidP="00EB5A84">
      <w:pPr>
        <w:pStyle w:val="NoSpacing"/>
        <w:rPr>
          <w:rFonts w:ascii="Arial Black" w:hAnsi="Arial Black"/>
          <w:b/>
          <w:bCs/>
          <w:sz w:val="28"/>
          <w:szCs w:val="28"/>
        </w:rPr>
      </w:pPr>
      <w:r>
        <w:rPr>
          <w:rFonts w:ascii="Arial Black" w:hAnsi="Arial Black"/>
          <w:b/>
          <w:sz w:val="28"/>
          <w:szCs w:val="28"/>
        </w:rPr>
        <w:t xml:space="preserve">NY: </w:t>
      </w:r>
      <w:r w:rsidR="003204A1">
        <w:rPr>
          <w:rFonts w:ascii="Arial Black" w:hAnsi="Arial Black"/>
          <w:b/>
          <w:sz w:val="28"/>
          <w:szCs w:val="28"/>
        </w:rPr>
        <w:t>EXCI</w:t>
      </w:r>
      <w:r w:rsidR="00D77B56">
        <w:rPr>
          <w:rFonts w:ascii="Arial Black" w:hAnsi="Arial Black"/>
          <w:b/>
          <w:sz w:val="28"/>
          <w:szCs w:val="28"/>
        </w:rPr>
        <w:t xml:space="preserve">TED UTTERANCE - </w:t>
      </w:r>
      <w:r>
        <w:rPr>
          <w:rFonts w:ascii="Arial Black" w:hAnsi="Arial Black"/>
          <w:b/>
          <w:sz w:val="28"/>
          <w:szCs w:val="28"/>
        </w:rPr>
        <w:t>EM</w:t>
      </w:r>
      <w:r w:rsidR="00D77B56">
        <w:rPr>
          <w:rFonts w:ascii="Arial Black" w:hAnsi="Arial Black"/>
          <w:b/>
          <w:sz w:val="28"/>
          <w:szCs w:val="28"/>
        </w:rPr>
        <w:t>T</w:t>
      </w:r>
      <w:r>
        <w:rPr>
          <w:rFonts w:ascii="Arial Black" w:hAnsi="Arial Black"/>
          <w:b/>
          <w:sz w:val="28"/>
          <w:szCs w:val="28"/>
        </w:rPr>
        <w:t xml:space="preserve"> CAN TESTIFY - “MY BROTHER DID IT” </w:t>
      </w:r>
    </w:p>
    <w:p w14:paraId="3587308C" w14:textId="77777777" w:rsidR="00EB5A84" w:rsidRPr="009948C1" w:rsidRDefault="00EB5A84" w:rsidP="00EB5A84">
      <w:pPr>
        <w:pStyle w:val="NoSpacing"/>
      </w:pPr>
    </w:p>
    <w:p w14:paraId="05A5E4B9" w14:textId="77777777" w:rsidR="00D77B56" w:rsidRDefault="00EB5A84" w:rsidP="00D77B56">
      <w:pPr>
        <w:pStyle w:val="NoSpacing"/>
      </w:pPr>
      <w:r>
        <w:t xml:space="preserve">On June 27, 2025, in </w:t>
      </w:r>
      <w:r w:rsidRPr="009948C1">
        <w:rPr>
          <w:u w:val="single"/>
        </w:rPr>
        <w:t>The People of the State of New York</w:t>
      </w:r>
      <w:r w:rsidRPr="006C6A5A">
        <w:rPr>
          <w:u w:val="single"/>
        </w:rPr>
        <w:t xml:space="preserve"> </w:t>
      </w:r>
      <w:r w:rsidRPr="009948C1">
        <w:rPr>
          <w:u w:val="single"/>
        </w:rPr>
        <w:t>v.</w:t>
      </w:r>
      <w:r w:rsidRPr="006C6A5A">
        <w:rPr>
          <w:u w:val="single"/>
        </w:rPr>
        <w:t xml:space="preserve"> </w:t>
      </w:r>
      <w:r w:rsidRPr="009948C1">
        <w:rPr>
          <w:u w:val="single"/>
        </w:rPr>
        <w:t>Bruce Biggs</w:t>
      </w:r>
      <w:r w:rsidRPr="009948C1">
        <w:t xml:space="preserve">, </w:t>
      </w:r>
      <w:r>
        <w:t xml:space="preserve">Judge Dineen Ann Riviezzo, Supreme Court, Kings County, held (unpublished decision) that the “exited utterance”  exception to the hearsay rule allows police and EMS to in Second-Degree Murder trial about the dying patient’s comments. </w:t>
      </w:r>
      <w:hyperlink r:id="rId2022" w:history="1">
        <w:r w:rsidR="00D77B56" w:rsidRPr="008C7245">
          <w:rPr>
            <w:rStyle w:val="Hyperlink"/>
          </w:rPr>
          <w:t>https://law.justia.com/cases/new-york/other-courts/2025/2025-ny-slip-op-51480-u.html</w:t>
        </w:r>
      </w:hyperlink>
      <w:r w:rsidR="00D77B56">
        <w:t xml:space="preserve"> </w:t>
      </w:r>
    </w:p>
    <w:p w14:paraId="1E5E478C" w14:textId="484450CB" w:rsidR="00EB5A84" w:rsidRDefault="00EB5A84" w:rsidP="00EB5A84">
      <w:pPr>
        <w:pStyle w:val="NoSpacing"/>
      </w:pPr>
    </w:p>
    <w:p w14:paraId="21EB93C9" w14:textId="77777777" w:rsidR="00EB5A84" w:rsidRDefault="00EB5A84" w:rsidP="00EB5A84">
      <w:pPr>
        <w:pStyle w:val="NoSpacing"/>
      </w:pPr>
    </w:p>
    <w:p w14:paraId="65915C43" w14:textId="77777777" w:rsidR="00EB5A84" w:rsidRDefault="00EB5A84" w:rsidP="00EB5A84">
      <w:pPr>
        <w:pStyle w:val="NoSpacing"/>
      </w:pPr>
      <w:r w:rsidRPr="005A464F">
        <w:rPr>
          <w:b/>
        </w:rPr>
        <w:t xml:space="preserve">THE COURT HELD: </w:t>
      </w:r>
      <w:r>
        <w:t>“</w:t>
      </w:r>
      <w:r w:rsidRPr="00B158EA">
        <w:t xml:space="preserve">Here, based on the above factors, the court finds that the statement qualifies as an excited utterance. Decedent was shot five times and was suffering from traumatic and serious injuries. He made a spontaneous statement only thirteen minutes after the shooting while he was in the ambulance and the EMTs were tending to his multiple injuries. The body worn camera demonstrates that decedent was </w:t>
      </w:r>
      <w:proofErr w:type="gramStart"/>
      <w:r w:rsidRPr="00B158EA">
        <w:t>in the midst of</w:t>
      </w:r>
      <w:proofErr w:type="gramEnd"/>
      <w:r w:rsidRPr="00B158EA">
        <w:t xml:space="preserve"> a serious medical event and had no time to reflect </w:t>
      </w:r>
      <w:proofErr w:type="gramStart"/>
      <w:r w:rsidRPr="00B158EA">
        <w:t>so as to</w:t>
      </w:r>
      <w:proofErr w:type="gramEnd"/>
      <w:r w:rsidRPr="00B158EA">
        <w:t xml:space="preserve"> deliberately deviate from the truth.</w:t>
      </w:r>
      <w:r>
        <w:t xml:space="preserve">” </w:t>
      </w:r>
      <w:hyperlink r:id="rId2023" w:history="1">
        <w:r w:rsidRPr="008C7245">
          <w:rPr>
            <w:rStyle w:val="Hyperlink"/>
          </w:rPr>
          <w:t>https://law.justia.com/cases/new-york/other-courts/2025/2025-ny-slip-op-51480-u.html</w:t>
        </w:r>
      </w:hyperlink>
      <w:r>
        <w:t xml:space="preserve"> </w:t>
      </w:r>
    </w:p>
    <w:p w14:paraId="148D52CE" w14:textId="77777777" w:rsidR="00EB5A84" w:rsidRDefault="00EB5A84" w:rsidP="00EB5A84">
      <w:pPr>
        <w:pStyle w:val="NoSpacing"/>
      </w:pPr>
      <w:r>
        <w:t xml:space="preserve"> </w:t>
      </w:r>
    </w:p>
    <w:p w14:paraId="0CAE61DC" w14:textId="77777777" w:rsidR="00EB5A84" w:rsidRPr="005A464F" w:rsidRDefault="00EB5A84" w:rsidP="00EB5A84">
      <w:pPr>
        <w:pStyle w:val="NoSpacing"/>
        <w:rPr>
          <w:b/>
          <w:bCs/>
        </w:rPr>
      </w:pPr>
      <w:r w:rsidRPr="005A464F">
        <w:rPr>
          <w:b/>
        </w:rPr>
        <w:t>KEY FACTS:</w:t>
      </w:r>
    </w:p>
    <w:p w14:paraId="18ECF12B" w14:textId="77777777" w:rsidR="00EB5A84" w:rsidRDefault="00EB5A84" w:rsidP="00EB5A84">
      <w:pPr>
        <w:pStyle w:val="NoSpacing"/>
      </w:pPr>
    </w:p>
    <w:p w14:paraId="54ECB398" w14:textId="77777777" w:rsidR="00EB5A84" w:rsidRDefault="00EB5A84" w:rsidP="00EB5A84">
      <w:pPr>
        <w:pStyle w:val="NoSpacing"/>
        <w:ind w:left="720"/>
      </w:pPr>
      <w:r>
        <w:t>“</w:t>
      </w:r>
      <w:r w:rsidRPr="005B601F">
        <w:t>On May 2, 2021, at approximately 8:26p.m., Police Officer Christopher Murphy responded to the corner of Putnam and Patchen Avenues in response to reports of a male shot. Officer Murphy was one of the first officers to respond. His body worn camera was activated and captured the entirety of his interaction with decedent at the crime scene, during transport to the hospital and at the hospital.</w:t>
      </w:r>
    </w:p>
    <w:p w14:paraId="17B2B82C" w14:textId="77777777" w:rsidR="00EB5A84" w:rsidRPr="005B601F" w:rsidRDefault="00EB5A84" w:rsidP="00EB5A84">
      <w:pPr>
        <w:pStyle w:val="NoSpacing"/>
        <w:ind w:left="720"/>
      </w:pPr>
    </w:p>
    <w:p w14:paraId="3E501D51" w14:textId="77777777" w:rsidR="00EB5A84" w:rsidRDefault="00EB5A84" w:rsidP="00EB5A84">
      <w:pPr>
        <w:pStyle w:val="NoSpacing"/>
        <w:ind w:left="720"/>
      </w:pPr>
      <w:r w:rsidRPr="005B601F">
        <w:t xml:space="preserve">Officer Murphy approached decedent, who was lying on his stomach, and assessed him for injuries. Decedent rolled over onto his back and Officer Murphy applied a torniquet to his left leg which was bleeding profusely. Officer Murphy placed pressure on a wound to decedent's stomach area. During this time, decedent repeatedly asked for an ambulance, expressed that he was in pain and requested water. Officer Murphy told him to stay awake and to keep breathing. At one point, it appeared that decedent passed out. Officer Murphy asked what had happened, but </w:t>
      </w:r>
      <w:proofErr w:type="gramStart"/>
      <w:r w:rsidRPr="005B601F">
        <w:t>decedent</w:t>
      </w:r>
      <w:proofErr w:type="gramEnd"/>
      <w:r w:rsidRPr="005B601F">
        <w:t xml:space="preserve"> was unable to answer the most basic questions due to his pain and injuries.</w:t>
      </w:r>
    </w:p>
    <w:p w14:paraId="22818225" w14:textId="77777777" w:rsidR="00EB5A84" w:rsidRPr="005B601F" w:rsidRDefault="00EB5A84" w:rsidP="00EB5A84">
      <w:pPr>
        <w:pStyle w:val="NoSpacing"/>
        <w:ind w:left="720"/>
      </w:pPr>
    </w:p>
    <w:p w14:paraId="5D6A977D" w14:textId="77777777" w:rsidR="00EB5A84" w:rsidRDefault="00EB5A84" w:rsidP="00EB5A84">
      <w:pPr>
        <w:pStyle w:val="NoSpacing"/>
        <w:ind w:left="720"/>
      </w:pPr>
      <w:r w:rsidRPr="005B601F">
        <w:t>While Officer Murphy was attending decedent's injuries, another officer asked his name, where the shooting occurred, and who shot him. Decedent was unable to answer any of the questions posed. The officers learned his name from someone else on the scene and stopped asking decedent questions.</w:t>
      </w:r>
    </w:p>
    <w:p w14:paraId="5D426C47" w14:textId="77777777" w:rsidR="00EB5A84" w:rsidRPr="005B601F" w:rsidRDefault="00EB5A84" w:rsidP="00EB5A84">
      <w:pPr>
        <w:pStyle w:val="NoSpacing"/>
        <w:ind w:left="720"/>
      </w:pPr>
    </w:p>
    <w:p w14:paraId="5840BFC6" w14:textId="77777777" w:rsidR="00EB5A84" w:rsidRDefault="00EB5A84" w:rsidP="00EB5A84">
      <w:pPr>
        <w:pStyle w:val="NoSpacing"/>
        <w:ind w:left="720"/>
      </w:pPr>
      <w:r w:rsidRPr="005B601F">
        <w:t xml:space="preserve">At approximately 8:33 p.m., an ambulance arrived and the EMTs noted decedent's diminished breathing and low blood pressure. The EMTs encouraged decedent to </w:t>
      </w:r>
      <w:r>
        <w:t>‘</w:t>
      </w:r>
      <w:r w:rsidRPr="005B601F">
        <w:t>stay with us, stay awake, stay with me.</w:t>
      </w:r>
      <w:r>
        <w:t>’</w:t>
      </w:r>
      <w:r w:rsidRPr="005B601F">
        <w:t xml:space="preserve"> Decedent was given oxygen and was encouraged to take deep breaths. Decedent requested more oxygen, but the EMTs stated that it was already at a high level. They suggested he breathe through his nose.</w:t>
      </w:r>
    </w:p>
    <w:p w14:paraId="470A02EB" w14:textId="77777777" w:rsidR="00EB5A84" w:rsidRDefault="00EB5A84" w:rsidP="00EB5A84">
      <w:pPr>
        <w:pStyle w:val="NoSpacing"/>
        <w:ind w:left="720"/>
      </w:pPr>
    </w:p>
    <w:p w14:paraId="661ED21A" w14:textId="77777777" w:rsidR="00EB5A84" w:rsidRDefault="00EB5A84" w:rsidP="00EB5A84">
      <w:pPr>
        <w:pStyle w:val="NoSpacing"/>
        <w:ind w:left="720"/>
      </w:pPr>
      <w:r w:rsidRPr="00944CA6">
        <w:t xml:space="preserve">At 8:39 p.m., while still inside the ambulance, Decedent stated </w:t>
      </w:r>
      <w:r>
        <w:t>‘</w:t>
      </w:r>
      <w:r w:rsidRPr="00944CA6">
        <w:t>my brother did it, Bruce Biggs. Bruce Biggs shot me.</w:t>
      </w:r>
      <w:r>
        <w:t>’</w:t>
      </w:r>
      <w:r w:rsidRPr="00944CA6">
        <w:t xml:space="preserve"> The statement was spontaneous and not made in response to any questioning by Officer Murphy or the EMTs. Decedent then stated, </w:t>
      </w:r>
      <w:r>
        <w:t>‘</w:t>
      </w:r>
      <w:r w:rsidRPr="00944CA6">
        <w:t>I went to the precinct the other day and told the cop at the desk, a Spanish dude, he wouldn't listen to me. I told him he's after me [inaudible</w:t>
      </w:r>
      <w:proofErr w:type="gramStart"/>
      <w:r w:rsidRPr="00944CA6">
        <w:t>]</w:t>
      </w:r>
      <w:proofErr w:type="gramEnd"/>
      <w:r w:rsidRPr="00944CA6">
        <w:t xml:space="preserve"> but he wouldn't listen.</w:t>
      </w:r>
      <w:r>
        <w:t>’</w:t>
      </w:r>
      <w:r w:rsidRPr="00944CA6">
        <w:t xml:space="preserve"> After this statement, Officer Murphy asked </w:t>
      </w:r>
      <w:r>
        <w:t>‘</w:t>
      </w:r>
      <w:r w:rsidRPr="00944CA6">
        <w:t>Who did it?</w:t>
      </w:r>
      <w:r>
        <w:t xml:space="preserve">’ </w:t>
      </w:r>
      <w:r w:rsidRPr="00944CA6">
        <w:t xml:space="preserve"> to which Biggs responded, </w:t>
      </w:r>
      <w:r>
        <w:t>‘</w:t>
      </w:r>
      <w:r w:rsidRPr="00944CA6">
        <w:t>Bruce Biggs.</w:t>
      </w:r>
      <w:r>
        <w:t>’</w:t>
      </w:r>
      <w:r w:rsidRPr="00944CA6">
        <w:t xml:space="preserve"> Officer Murphy clarified by asking </w:t>
      </w:r>
      <w:r>
        <w:t>‘</w:t>
      </w:r>
      <w:r w:rsidRPr="00944CA6">
        <w:t>Bruce Biggs?</w:t>
      </w:r>
      <w:r>
        <w:t>’</w:t>
      </w:r>
      <w:r w:rsidRPr="00944CA6">
        <w:t xml:space="preserve"> and Biggs responded, </w:t>
      </w:r>
      <w:r>
        <w:t>‘</w:t>
      </w:r>
      <w:r w:rsidRPr="00944CA6">
        <w:t>74 Bainbridge Street.</w:t>
      </w:r>
      <w:r>
        <w:t>’”</w:t>
      </w:r>
    </w:p>
    <w:p w14:paraId="476F1C64" w14:textId="77777777" w:rsidR="00EB5A84" w:rsidRDefault="00EB5A84" w:rsidP="00EB5A84">
      <w:pPr>
        <w:pStyle w:val="NoSpacing"/>
        <w:ind w:left="720"/>
      </w:pPr>
    </w:p>
    <w:p w14:paraId="0CA10637" w14:textId="77777777" w:rsidR="00EB5A84" w:rsidRPr="00F43962" w:rsidRDefault="00EB5A84" w:rsidP="00EB5A84">
      <w:pPr>
        <w:pStyle w:val="NoSpacing"/>
        <w:rPr>
          <w:b/>
          <w:bCs/>
        </w:rPr>
      </w:pPr>
      <w:r>
        <w:rPr>
          <w:b/>
        </w:rPr>
        <w:t xml:space="preserve">Legal lesson learned: EMS should document in their run report the comments by the patient that his brother shot him.  </w:t>
      </w:r>
    </w:p>
    <w:p w14:paraId="18783650" w14:textId="77777777" w:rsidR="00EB5A84" w:rsidRDefault="00EB5A84" w:rsidP="00EB5A84">
      <w:pPr>
        <w:pStyle w:val="NoSpacing"/>
        <w:ind w:left="720"/>
      </w:pPr>
    </w:p>
    <w:p w14:paraId="56C855BB" w14:textId="77777777" w:rsidR="00EB5A84" w:rsidRDefault="00EB5A84" w:rsidP="00EB5A84">
      <w:pPr>
        <w:pStyle w:val="NoSpacing"/>
        <w:ind w:left="720"/>
      </w:pPr>
    </w:p>
    <w:p w14:paraId="35D2BF59" w14:textId="4001BAA7" w:rsidR="002E2CF4" w:rsidRPr="002E2CF4" w:rsidRDefault="002E2CF4" w:rsidP="00542851">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1</w:t>
      </w:r>
    </w:p>
    <w:p w14:paraId="760ACA58" w14:textId="77777777" w:rsidR="00BA6717" w:rsidRPr="00204D78" w:rsidRDefault="00BA6717" w:rsidP="00BA6717">
      <w:pPr>
        <w:pStyle w:val="NoSpacing"/>
        <w:rPr>
          <w:rFonts w:ascii="Arial Black" w:hAnsi="Arial Black"/>
          <w:bCs/>
          <w:sz w:val="28"/>
          <w:szCs w:val="28"/>
        </w:rPr>
      </w:pPr>
      <w:r>
        <w:rPr>
          <w:rFonts w:ascii="Arial Black" w:hAnsi="Arial Black"/>
          <w:sz w:val="28"/>
          <w:szCs w:val="28"/>
        </w:rPr>
        <w:t>TX: “MD” TOLD EMS NOT TREAT PT - NOT A PHYSICIAN</w:t>
      </w:r>
    </w:p>
    <w:p w14:paraId="170191E0" w14:textId="77777777" w:rsidR="00BA6717" w:rsidRDefault="00BA6717" w:rsidP="00BA6717">
      <w:pPr>
        <w:pStyle w:val="NoSpacing"/>
        <w:rPr>
          <w:bCs/>
        </w:rPr>
      </w:pPr>
    </w:p>
    <w:p w14:paraId="40B805BB" w14:textId="3F99B353" w:rsidR="00BA6717" w:rsidRPr="00662E1A" w:rsidRDefault="00BA6717" w:rsidP="00BA6717">
      <w:pPr>
        <w:pStyle w:val="NoSpacing"/>
        <w:rPr>
          <w:rFonts w:ascii="Times New Roman" w:hAnsi="Times New Roman"/>
          <w:bCs/>
          <w:sz w:val="24"/>
          <w:szCs w:val="24"/>
        </w:rPr>
      </w:pPr>
      <w:r w:rsidRPr="00662E1A">
        <w:rPr>
          <w:rFonts w:ascii="Times New Roman" w:hAnsi="Times New Roman"/>
          <w:sz w:val="24"/>
          <w:szCs w:val="24"/>
        </w:rPr>
        <w:t xml:space="preserve">On July 24, 2025, in </w:t>
      </w:r>
      <w:r w:rsidRPr="00662E1A">
        <w:rPr>
          <w:rFonts w:ascii="Times New Roman" w:hAnsi="Times New Roman"/>
          <w:sz w:val="24"/>
          <w:szCs w:val="24"/>
          <w:u w:val="single"/>
        </w:rPr>
        <w:t>Texas Medical Board v. Grayce Yannuzzi</w:t>
      </w:r>
      <w:r w:rsidRPr="00662E1A">
        <w:rPr>
          <w:rFonts w:ascii="Times New Roman" w:hAnsi="Times New Roman"/>
          <w:sz w:val="24"/>
          <w:szCs w:val="24"/>
        </w:rPr>
        <w:t>, the Court of Appeals of Texas, Fifteenth District, held (3 to 0) that the Medical Board properly issued a cease-and-desist order</w:t>
      </w:r>
      <w:r w:rsidR="001F4349">
        <w:rPr>
          <w:rFonts w:ascii="Times New Roman" w:hAnsi="Times New Roman"/>
          <w:sz w:val="24"/>
          <w:szCs w:val="24"/>
        </w:rPr>
        <w:t xml:space="preserve"> </w:t>
      </w:r>
      <w:r w:rsidRPr="00662E1A">
        <w:rPr>
          <w:rFonts w:ascii="Times New Roman" w:hAnsi="Times New Roman"/>
          <w:sz w:val="24"/>
          <w:szCs w:val="24"/>
        </w:rPr>
        <w:t xml:space="preserve">prohibiting Grayce Yannuzzi from holding herself out to be a licensed physician.  She is a licensed laser hair professional who works at Ginger Allure </w:t>
      </w:r>
      <w:proofErr w:type="gramStart"/>
      <w:r w:rsidRPr="00662E1A">
        <w:rPr>
          <w:rFonts w:ascii="Times New Roman" w:hAnsi="Times New Roman"/>
          <w:sz w:val="24"/>
          <w:szCs w:val="24"/>
        </w:rPr>
        <w:t>MedSpa (‘</w:t>
      </w:r>
      <w:proofErr w:type="gramEnd"/>
      <w:r w:rsidRPr="00662E1A">
        <w:rPr>
          <w:rFonts w:ascii="Times New Roman" w:hAnsi="Times New Roman"/>
          <w:sz w:val="24"/>
          <w:szCs w:val="24"/>
        </w:rPr>
        <w:t xml:space="preserve">MedSpa’), under the direction of a Dr. Clark.  She claims that she was merely telling the medic and his Medical Director that Dr. Clark would see the patient.  Trial Court judge set aside the Board’s order; Court of Appeals disagreed and reinstated the order. THE COURT HELD: “[Paramedic Christopher] Stevens and Dr. Abraham’s testimony ‘demonstrates a reasonable basis for’ the Board’s decision.” </w:t>
      </w:r>
    </w:p>
    <w:p w14:paraId="6EC09F89" w14:textId="77777777" w:rsidR="00BA6717" w:rsidRPr="00662E1A" w:rsidRDefault="00BA6717" w:rsidP="00BA6717">
      <w:pPr>
        <w:pStyle w:val="NoSpacing"/>
        <w:rPr>
          <w:rFonts w:ascii="Times New Roman" w:hAnsi="Times New Roman"/>
          <w:bCs/>
          <w:sz w:val="24"/>
          <w:szCs w:val="24"/>
        </w:rPr>
      </w:pPr>
      <w:hyperlink r:id="rId2024" w:history="1">
        <w:r w:rsidRPr="00662E1A">
          <w:rPr>
            <w:rStyle w:val="Hyperlink"/>
            <w:rFonts w:ascii="Times New Roman" w:hAnsi="Times New Roman"/>
            <w:sz w:val="24"/>
            <w:szCs w:val="24"/>
          </w:rPr>
          <w:t>https://cases.justia.com/texas/fifteenth-court-of-appeals/2025-15-24-00048-cv.pdf?ts=1753365777</w:t>
        </w:r>
      </w:hyperlink>
    </w:p>
    <w:p w14:paraId="2A69C4BC" w14:textId="77777777" w:rsidR="00180F76" w:rsidRDefault="00180F76" w:rsidP="000A0CD1">
      <w:pPr>
        <w:pStyle w:val="NoSpacing"/>
        <w:rPr>
          <w:rFonts w:ascii="Times New Roman" w:hAnsi="Times New Roman"/>
          <w:b/>
          <w:sz w:val="24"/>
          <w:szCs w:val="24"/>
        </w:rPr>
      </w:pPr>
    </w:p>
    <w:p w14:paraId="0C36EFE3" w14:textId="1FF58E88" w:rsidR="000A0CD1" w:rsidRPr="00662E1A" w:rsidRDefault="000A0CD1" w:rsidP="000A0CD1">
      <w:pPr>
        <w:pStyle w:val="NoSpacing"/>
        <w:rPr>
          <w:rFonts w:ascii="Times New Roman" w:hAnsi="Times New Roman"/>
          <w:b/>
          <w:sz w:val="24"/>
          <w:szCs w:val="24"/>
        </w:rPr>
      </w:pPr>
      <w:r w:rsidRPr="00662E1A">
        <w:rPr>
          <w:rFonts w:ascii="Times New Roman" w:hAnsi="Times New Roman"/>
          <w:b/>
          <w:sz w:val="24"/>
          <w:szCs w:val="24"/>
        </w:rPr>
        <w:t xml:space="preserve">Legal Lesson Learned:  Paramedic wisely contacted Medical Director when person said she was a physician.  </w:t>
      </w:r>
    </w:p>
    <w:p w14:paraId="329D8C24" w14:textId="77777777" w:rsidR="000A0CD1" w:rsidRPr="00662E1A" w:rsidRDefault="000A0CD1" w:rsidP="000A0CD1">
      <w:pPr>
        <w:pStyle w:val="NoSpacing"/>
        <w:ind w:left="720"/>
        <w:rPr>
          <w:rFonts w:ascii="Times New Roman" w:hAnsi="Times New Roman"/>
          <w:b/>
          <w:sz w:val="24"/>
          <w:szCs w:val="24"/>
        </w:rPr>
      </w:pPr>
    </w:p>
    <w:p w14:paraId="03CC4008" w14:textId="77777777" w:rsidR="002E2CF4" w:rsidRDefault="002E2CF4" w:rsidP="00705D47">
      <w:pPr>
        <w:rPr>
          <w:rFonts w:ascii="Arial Black" w:hAnsi="Arial Black"/>
          <w:b/>
          <w:bCs/>
          <w:sz w:val="24"/>
          <w:szCs w:val="24"/>
        </w:rPr>
      </w:pPr>
    </w:p>
    <w:p w14:paraId="63F8D772" w14:textId="66187F28" w:rsidR="00542851" w:rsidRPr="002E2CF4" w:rsidRDefault="002E2CF4" w:rsidP="00705D47">
      <w:pPr>
        <w:rPr>
          <w:rFonts w:ascii="Arial Black" w:hAnsi="Arial Black"/>
          <w:b/>
          <w:bCs/>
          <w:sz w:val="24"/>
          <w:szCs w:val="24"/>
        </w:rPr>
      </w:pPr>
      <w:r w:rsidRPr="002E2CF4">
        <w:rPr>
          <w:rFonts w:ascii="Arial Black" w:hAnsi="Arial Black"/>
          <w:b/>
          <w:bCs/>
          <w:sz w:val="24"/>
          <w:szCs w:val="24"/>
        </w:rPr>
        <w:t>13-22</w:t>
      </w:r>
      <w:r w:rsidR="00524647">
        <w:rPr>
          <w:rFonts w:ascii="Arial Black" w:hAnsi="Arial Black"/>
          <w:b/>
          <w:bCs/>
          <w:sz w:val="24"/>
          <w:szCs w:val="24"/>
        </w:rPr>
        <w:t>0</w:t>
      </w:r>
    </w:p>
    <w:p w14:paraId="009C54BD" w14:textId="444F67CF" w:rsidR="004E4AEF" w:rsidRDefault="004E4AEF" w:rsidP="004E4AEF">
      <w:pPr>
        <w:pStyle w:val="NoSpacing"/>
        <w:rPr>
          <w:rFonts w:ascii="Arial Black" w:hAnsi="Arial Black"/>
          <w:b/>
          <w:sz w:val="28"/>
          <w:szCs w:val="28"/>
        </w:rPr>
      </w:pPr>
      <w:r>
        <w:rPr>
          <w:rFonts w:ascii="Arial Black" w:hAnsi="Arial Black"/>
          <w:b/>
          <w:sz w:val="28"/>
          <w:szCs w:val="28"/>
        </w:rPr>
        <w:t xml:space="preserve">NY: EMS OFFICER – DIDN’T WRITE RPT </w:t>
      </w:r>
      <w:r w:rsidR="0039559E">
        <w:rPr>
          <w:rFonts w:ascii="Arial Black" w:hAnsi="Arial Black"/>
          <w:b/>
          <w:sz w:val="28"/>
          <w:szCs w:val="28"/>
        </w:rPr>
        <w:t xml:space="preserve">TO </w:t>
      </w:r>
      <w:r>
        <w:rPr>
          <w:rFonts w:ascii="Arial Black" w:hAnsi="Arial Black"/>
          <w:b/>
          <w:sz w:val="28"/>
          <w:szCs w:val="28"/>
        </w:rPr>
        <w:t xml:space="preserve">CHIEF – 1-YR SUSP  </w:t>
      </w:r>
    </w:p>
    <w:p w14:paraId="086B832C" w14:textId="77777777" w:rsidR="004E4AEF" w:rsidRDefault="004E4AEF" w:rsidP="004E4AEF">
      <w:pPr>
        <w:pStyle w:val="NoSpacing"/>
        <w:rPr>
          <w:rFonts w:ascii="Arial Black" w:hAnsi="Arial Black"/>
          <w:b/>
          <w:sz w:val="28"/>
          <w:szCs w:val="28"/>
        </w:rPr>
      </w:pPr>
    </w:p>
    <w:p w14:paraId="1F93DE6B" w14:textId="77777777" w:rsidR="004E4AEF" w:rsidRPr="003D20B2" w:rsidRDefault="004E4AEF" w:rsidP="004E4AEF">
      <w:pPr>
        <w:pStyle w:val="NoSpacing"/>
        <w:rPr>
          <w:rFonts w:ascii="Times New Roman" w:hAnsi="Times New Roman"/>
          <w:sz w:val="24"/>
          <w:szCs w:val="24"/>
        </w:rPr>
      </w:pPr>
      <w:r w:rsidRPr="003D20B2">
        <w:rPr>
          <w:rFonts w:ascii="Times New Roman" w:hAnsi="Times New Roman"/>
          <w:sz w:val="24"/>
          <w:szCs w:val="24"/>
        </w:rPr>
        <w:t xml:space="preserve">On July 24, 2025, in </w:t>
      </w:r>
      <w:r w:rsidRPr="003D20B2">
        <w:rPr>
          <w:rFonts w:ascii="Times New Roman" w:hAnsi="Times New Roman"/>
          <w:sz w:val="24"/>
          <w:szCs w:val="24"/>
          <w:u w:val="single"/>
        </w:rPr>
        <w:t>Joseph Oginski v. Vigilant Engine And Hook And Ladder Company, Inc, et al</w:t>
      </w:r>
      <w:r w:rsidRPr="003D20B2">
        <w:rPr>
          <w:rFonts w:ascii="Times New Roman" w:hAnsi="Times New Roman"/>
          <w:sz w:val="24"/>
          <w:szCs w:val="24"/>
        </w:rPr>
        <w:t xml:space="preserve">.,  U.S. District Court Judge Joan M. </w:t>
      </w:r>
      <w:proofErr w:type="spellStart"/>
      <w:r w:rsidRPr="003D20B2">
        <w:rPr>
          <w:rFonts w:ascii="Times New Roman" w:hAnsi="Times New Roman"/>
          <w:sz w:val="24"/>
          <w:szCs w:val="24"/>
        </w:rPr>
        <w:t>Azrack</w:t>
      </w:r>
      <w:proofErr w:type="spellEnd"/>
      <w:r w:rsidRPr="003D20B2">
        <w:rPr>
          <w:rFonts w:ascii="Times New Roman" w:hAnsi="Times New Roman"/>
          <w:sz w:val="24"/>
          <w:szCs w:val="24"/>
        </w:rPr>
        <w:t>, United States District Court for Eastern District of New York, dismissed the lawsuit alleging retaliation in violation of his Constitutional right to free speech since his communications were not as a citizen but as a member on the department.  The plaintiff was EMS 1</w:t>
      </w:r>
      <w:r w:rsidRPr="003D20B2">
        <w:rPr>
          <w:rFonts w:ascii="Times New Roman" w:hAnsi="Times New Roman"/>
          <w:sz w:val="24"/>
          <w:szCs w:val="24"/>
          <w:vertAlign w:val="superscript"/>
        </w:rPr>
        <w:t>st</w:t>
      </w:r>
      <w:r w:rsidRPr="003D20B2">
        <w:rPr>
          <w:rFonts w:ascii="Times New Roman" w:hAnsi="Times New Roman"/>
          <w:sz w:val="24"/>
          <w:szCs w:val="24"/>
        </w:rPr>
        <w:t xml:space="preserve"> Assistant Chief of the department and had repeatedly urged the Board, including in a lengthy e-mail of August 7, 2022, to direct the Fire Chief to have all members use of the County Communication’s </w:t>
      </w:r>
      <w:proofErr w:type="spellStart"/>
      <w:r w:rsidRPr="003D20B2">
        <w:rPr>
          <w:rFonts w:ascii="Times New Roman" w:hAnsi="Times New Roman"/>
          <w:sz w:val="24"/>
          <w:szCs w:val="24"/>
        </w:rPr>
        <w:t>Bryx</w:t>
      </w:r>
      <w:proofErr w:type="spellEnd"/>
      <w:r w:rsidRPr="003D20B2">
        <w:rPr>
          <w:rFonts w:ascii="Times New Roman" w:hAnsi="Times New Roman"/>
          <w:sz w:val="24"/>
          <w:szCs w:val="24"/>
        </w:rPr>
        <w:t xml:space="preserve"> 911 App for early notification of runs. The Board declined to do this.  On September 18, </w:t>
      </w:r>
      <w:proofErr w:type="gramStart"/>
      <w:r w:rsidRPr="003D20B2">
        <w:rPr>
          <w:rFonts w:ascii="Times New Roman" w:hAnsi="Times New Roman"/>
          <w:sz w:val="24"/>
          <w:szCs w:val="24"/>
        </w:rPr>
        <w:t>2022</w:t>
      </w:r>
      <w:proofErr w:type="gramEnd"/>
      <w:r w:rsidRPr="003D20B2">
        <w:rPr>
          <w:rFonts w:ascii="Times New Roman" w:hAnsi="Times New Roman"/>
          <w:sz w:val="24"/>
          <w:szCs w:val="24"/>
        </w:rPr>
        <w:t xml:space="preserve"> the plaintiff responded to EMS call at nursing home for COVID patient; he refused to go in until fit tested COVID masks were brought from fire station to the ambulance.  The Fire Chief ordered him to submit a written report, which he refused to provide until meeting with Board’s Chair and attorney.  After a Board hearing on November 1, </w:t>
      </w:r>
      <w:proofErr w:type="gramStart"/>
      <w:r w:rsidRPr="003D20B2">
        <w:rPr>
          <w:rFonts w:ascii="Times New Roman" w:hAnsi="Times New Roman"/>
          <w:sz w:val="24"/>
          <w:szCs w:val="24"/>
        </w:rPr>
        <w:t>2022</w:t>
      </w:r>
      <w:proofErr w:type="gramEnd"/>
      <w:r w:rsidRPr="003D20B2">
        <w:rPr>
          <w:rFonts w:ascii="Times New Roman" w:hAnsi="Times New Roman"/>
          <w:sz w:val="24"/>
          <w:szCs w:val="24"/>
        </w:rPr>
        <w:t xml:space="preserve"> he was suspended for one year.  The case was first submitted to a U.S. Magistrate Judge who concluded that Oginski’s communications with the FD Board were part of official duties, and not as a private citizen; Federal Judge </w:t>
      </w:r>
      <w:proofErr w:type="spellStart"/>
      <w:r w:rsidRPr="003D20B2">
        <w:rPr>
          <w:rFonts w:ascii="Times New Roman" w:hAnsi="Times New Roman"/>
          <w:sz w:val="24"/>
          <w:szCs w:val="24"/>
        </w:rPr>
        <w:t>Azrack</w:t>
      </w:r>
      <w:proofErr w:type="spellEnd"/>
      <w:r w:rsidRPr="003D20B2">
        <w:rPr>
          <w:rFonts w:ascii="Times New Roman" w:hAnsi="Times New Roman"/>
          <w:sz w:val="24"/>
          <w:szCs w:val="24"/>
        </w:rPr>
        <w:t xml:space="preserve"> agreed. THE COURT HELD: “Here, however, the  communications at issue were made in the context of his employment and pursuant to Plaintiff's official duties.” </w:t>
      </w:r>
      <w:hyperlink r:id="rId2025" w:history="1">
        <w:r w:rsidRPr="003D20B2">
          <w:rPr>
            <w:rStyle w:val="Hyperlink"/>
            <w:rFonts w:ascii="Times New Roman" w:hAnsi="Times New Roman"/>
            <w:sz w:val="24"/>
            <w:szCs w:val="24"/>
          </w:rPr>
          <w:t>https://public.fastcase.com/jaEE2PXzRXmZ99jOLMt1Iur66SqTUHCh2%2F6i5JSa4l6hU%2FvLi%2B5AObhTx2DvFKDq?utm_medium=email&amp;_hsenc=p2ANqtz--swmEKE2bBH1yxnsdN_yPFP1ssqGq5KgURTPyK4vIy-QrvDWKI9I9IkKVZfzKsNc7HzZR6NsXw-W4jNuqGESlXN6G9zw&amp;_hsmi=226712652&amp;utm_content=226712652&amp;utm_source=hs_email</w:t>
        </w:r>
      </w:hyperlink>
      <w:r w:rsidRPr="003D20B2">
        <w:rPr>
          <w:rFonts w:ascii="Times New Roman" w:hAnsi="Times New Roman"/>
          <w:sz w:val="24"/>
          <w:szCs w:val="24"/>
        </w:rPr>
        <w:t xml:space="preserve"> </w:t>
      </w:r>
    </w:p>
    <w:p w14:paraId="06C86D07" w14:textId="77777777" w:rsidR="004E4AEF" w:rsidRPr="003D20B2" w:rsidRDefault="004E4AEF" w:rsidP="004E4AEF">
      <w:pPr>
        <w:pStyle w:val="NoSpacing"/>
        <w:rPr>
          <w:rFonts w:ascii="Times New Roman" w:hAnsi="Times New Roman"/>
          <w:sz w:val="24"/>
          <w:szCs w:val="24"/>
        </w:rPr>
      </w:pPr>
    </w:p>
    <w:p w14:paraId="2EDBDB94" w14:textId="77777777" w:rsidR="00297B95" w:rsidRPr="003D20B2" w:rsidRDefault="00297B95" w:rsidP="00297B95">
      <w:pPr>
        <w:pStyle w:val="NoSpacing"/>
        <w:rPr>
          <w:rFonts w:ascii="Times New Roman" w:hAnsi="Times New Roman"/>
          <w:b/>
          <w:bCs/>
          <w:sz w:val="24"/>
          <w:szCs w:val="24"/>
        </w:rPr>
      </w:pPr>
      <w:r w:rsidRPr="003D20B2">
        <w:rPr>
          <w:rFonts w:ascii="Times New Roman" w:hAnsi="Times New Roman"/>
          <w:b/>
          <w:sz w:val="24"/>
          <w:szCs w:val="24"/>
        </w:rPr>
        <w:t>Legal lesson learned:  EMS officer’s e-mails and other communications with Fire Department Board are not protected by First Amendment; his refusal to complete a written report to the Fire Chief about an EMS run is basis for discipline.</w:t>
      </w:r>
    </w:p>
    <w:p w14:paraId="438390E9" w14:textId="77777777" w:rsidR="00297B95" w:rsidRPr="003D20B2" w:rsidRDefault="00297B95" w:rsidP="00297B95">
      <w:pPr>
        <w:pStyle w:val="NoSpacing"/>
        <w:rPr>
          <w:rFonts w:ascii="Times New Roman" w:hAnsi="Times New Roman"/>
          <w:sz w:val="24"/>
          <w:szCs w:val="24"/>
        </w:rPr>
      </w:pPr>
    </w:p>
    <w:p w14:paraId="295B13D0"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 xml:space="preserve">See June 18, </w:t>
      </w:r>
      <w:proofErr w:type="gramStart"/>
      <w:r w:rsidRPr="003D20B2">
        <w:rPr>
          <w:rFonts w:ascii="Times New Roman" w:hAnsi="Times New Roman"/>
          <w:sz w:val="24"/>
          <w:szCs w:val="24"/>
        </w:rPr>
        <w:t>2025</w:t>
      </w:r>
      <w:proofErr w:type="gramEnd"/>
      <w:r w:rsidRPr="003D20B2">
        <w:rPr>
          <w:rFonts w:ascii="Times New Roman" w:hAnsi="Times New Roman"/>
          <w:sz w:val="24"/>
          <w:szCs w:val="24"/>
        </w:rPr>
        <w:t xml:space="preserve"> Report and Recommendation of U.S. Magistrate Judge Shield. </w:t>
      </w:r>
      <w:hyperlink r:id="rId2026" w:history="1">
        <w:r w:rsidRPr="003D20B2">
          <w:rPr>
            <w:rStyle w:val="Hyperlink"/>
            <w:rFonts w:ascii="Times New Roman" w:hAnsi="Times New Roman"/>
            <w:sz w:val="24"/>
            <w:szCs w:val="24"/>
          </w:rPr>
          <w:t>https://public.fastcase.com/jaEE2PXzRXmZ99jOLMt1Ii3GHq1DqUk6JcIatDazVs2MT6qOPN%2BlSHCpyD6INecs?utm_medium=email&amp;_hsenc=p2ANqtz--mlDS8haOQgu8WvAgxTOdChC-L5bDfnY4D7GnlMH_0KI2lqvAqiMoF8QlUmIn8nD4qRtsgkZAeTqUVI7tJfHdW7459rg&amp;_hsmi=226712652&amp;utm_content=226712652&amp;utm_source=hs_email</w:t>
        </w:r>
      </w:hyperlink>
      <w:r w:rsidRPr="003D20B2">
        <w:rPr>
          <w:rFonts w:ascii="Times New Roman" w:hAnsi="Times New Roman"/>
          <w:sz w:val="24"/>
          <w:szCs w:val="24"/>
        </w:rPr>
        <w:t xml:space="preserve"> </w:t>
      </w:r>
    </w:p>
    <w:p w14:paraId="2613CBE2" w14:textId="77777777" w:rsidR="00297B95" w:rsidRPr="003D20B2" w:rsidRDefault="00297B95" w:rsidP="00297B95">
      <w:pPr>
        <w:pStyle w:val="NoSpacing"/>
        <w:rPr>
          <w:rFonts w:ascii="Times New Roman" w:hAnsi="Times New Roman"/>
          <w:sz w:val="24"/>
          <w:szCs w:val="24"/>
        </w:rPr>
      </w:pPr>
      <w:r w:rsidRPr="003D20B2">
        <w:rPr>
          <w:rFonts w:ascii="Times New Roman" w:hAnsi="Times New Roman"/>
          <w:sz w:val="24"/>
          <w:szCs w:val="24"/>
        </w:rPr>
        <w:t xml:space="preserve"> </w:t>
      </w:r>
    </w:p>
    <w:p w14:paraId="60817537"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 xml:space="preserve">“Oginski was, at all relevant times, a member of the Company…. He first joined Vigilant in 2008. </w:t>
      </w:r>
      <w:proofErr w:type="gramStart"/>
      <w:r w:rsidRPr="003D20B2">
        <w:rPr>
          <w:rFonts w:ascii="Times New Roman" w:hAnsi="Times New Roman"/>
          <w:sz w:val="24"/>
          <w:szCs w:val="24"/>
        </w:rPr>
        <w:t>During the course of</w:t>
      </w:r>
      <w:proofErr w:type="gramEnd"/>
      <w:r w:rsidRPr="003D20B2">
        <w:rPr>
          <w:rFonts w:ascii="Times New Roman" w:hAnsi="Times New Roman"/>
          <w:sz w:val="24"/>
          <w:szCs w:val="24"/>
        </w:rPr>
        <w:t xml:space="preserve"> his membership Oginski held numerous ‘operational and leadership’ positions. Such positions included serving as Sergeant at Arms, Financial Secretary, EMS Corporal, Fire Lieutenant, EMS Captain and EMS 1st Assistant Chief.</w:t>
      </w:r>
    </w:p>
    <w:p w14:paraId="617AB032" w14:textId="77777777" w:rsidR="00297B95" w:rsidRPr="003D20B2" w:rsidRDefault="00297B95" w:rsidP="00297B95">
      <w:pPr>
        <w:pStyle w:val="NoSpacing"/>
        <w:ind w:left="720"/>
        <w:rPr>
          <w:rFonts w:ascii="Times New Roman" w:hAnsi="Times New Roman"/>
          <w:sz w:val="24"/>
          <w:szCs w:val="24"/>
        </w:rPr>
      </w:pPr>
    </w:p>
    <w:p w14:paraId="3AC6599D"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w:t>
      </w:r>
    </w:p>
    <w:p w14:paraId="6668A1A4" w14:textId="77777777" w:rsidR="00297B95" w:rsidRPr="003D20B2" w:rsidRDefault="00297B95" w:rsidP="00297B95">
      <w:pPr>
        <w:pStyle w:val="NoSpacing"/>
        <w:ind w:left="720"/>
        <w:rPr>
          <w:rFonts w:ascii="Times New Roman" w:hAnsi="Times New Roman"/>
          <w:sz w:val="24"/>
          <w:szCs w:val="24"/>
        </w:rPr>
      </w:pPr>
    </w:p>
    <w:p w14:paraId="570E06F7"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 xml:space="preserve">On September 18, </w:t>
      </w:r>
      <w:proofErr w:type="gramStart"/>
      <w:r w:rsidRPr="003D20B2">
        <w:rPr>
          <w:rFonts w:ascii="Times New Roman" w:hAnsi="Times New Roman"/>
          <w:sz w:val="24"/>
          <w:szCs w:val="24"/>
        </w:rPr>
        <w:t>2022</w:t>
      </w:r>
      <w:proofErr w:type="gramEnd"/>
      <w:r w:rsidRPr="003D20B2">
        <w:rPr>
          <w:rFonts w:ascii="Times New Roman" w:hAnsi="Times New Roman"/>
          <w:sz w:val="24"/>
          <w:szCs w:val="24"/>
        </w:rPr>
        <w:t xml:space="preserve"> Oginski and other Company members responded to an emergency call received from a nursing home (the ‘September 2022 Nursing Home Call’)…. That call requested an ambulance for a Covid patient. Oginski was the responding ambulance driver…. A paramedic was already on the scene…. Upon arrival at the nursing home Oginski and the other responders found that their N95 masks did not create a facial seal…. Oginski attributes this to the fact that the masks were not fit-tested as required by law. Oginski had previously complained about the lack of </w:t>
      </w:r>
      <w:proofErr w:type="gramStart"/>
      <w:r w:rsidRPr="003D20B2">
        <w:rPr>
          <w:rFonts w:ascii="Times New Roman" w:hAnsi="Times New Roman"/>
          <w:sz w:val="24"/>
          <w:szCs w:val="24"/>
        </w:rPr>
        <w:t>fit-testing</w:t>
      </w:r>
      <w:proofErr w:type="gramEnd"/>
      <w:r w:rsidRPr="003D20B2">
        <w:rPr>
          <w:rFonts w:ascii="Times New Roman" w:hAnsi="Times New Roman"/>
          <w:sz w:val="24"/>
          <w:szCs w:val="24"/>
        </w:rPr>
        <w:t xml:space="preserve"> to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and Cherry who ignored his complaints….  Upon arrival at the nursing home Oginski immediately contacted the firehouse and asked the dispatcher to send masks to the scene…. He also contacted Nassau County Medical </w:t>
      </w:r>
      <w:proofErr w:type="gramStart"/>
      <w:r w:rsidRPr="003D20B2">
        <w:rPr>
          <w:rFonts w:ascii="Times New Roman" w:hAnsi="Times New Roman"/>
          <w:sz w:val="24"/>
          <w:szCs w:val="24"/>
        </w:rPr>
        <w:t>Control (‘</w:t>
      </w:r>
      <w:proofErr w:type="gramEnd"/>
      <w:r w:rsidRPr="003D20B2">
        <w:rPr>
          <w:rFonts w:ascii="Times New Roman" w:hAnsi="Times New Roman"/>
          <w:sz w:val="24"/>
          <w:szCs w:val="24"/>
        </w:rPr>
        <w:t>Medical Control’) for guidance as to how to proceed. Medical Control advised Oginski that it was appropriate to wait at the scene for the arrival of masks before entering the nursing home…. Shortly thereafter, the responding crew was advised that the patient at issue was not Covid positive…. Once masks arrived, the Vigilant responders entered the nursing home to provide the requested emergency assistance.</w:t>
      </w:r>
    </w:p>
    <w:p w14:paraId="502E0B45" w14:textId="77777777" w:rsidR="00297B95" w:rsidRPr="003D20B2" w:rsidRDefault="00297B95" w:rsidP="00297B95">
      <w:pPr>
        <w:pStyle w:val="NoSpacing"/>
        <w:ind w:left="720"/>
        <w:rPr>
          <w:rFonts w:ascii="Times New Roman" w:hAnsi="Times New Roman"/>
          <w:sz w:val="24"/>
          <w:szCs w:val="24"/>
        </w:rPr>
      </w:pPr>
    </w:p>
    <w:p w14:paraId="1173323B"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w:t>
      </w:r>
    </w:p>
    <w:p w14:paraId="0B5AC4F3" w14:textId="77777777" w:rsidR="00297B95" w:rsidRPr="003D20B2" w:rsidRDefault="00297B95" w:rsidP="00297B95">
      <w:pPr>
        <w:pStyle w:val="NoSpacing"/>
        <w:rPr>
          <w:rFonts w:ascii="Times New Roman" w:hAnsi="Times New Roman"/>
          <w:sz w:val="24"/>
          <w:szCs w:val="24"/>
        </w:rPr>
      </w:pPr>
    </w:p>
    <w:p w14:paraId="344244A4" w14:textId="77777777" w:rsidR="00297B95" w:rsidRPr="003D20B2" w:rsidRDefault="00297B95" w:rsidP="00297B95">
      <w:pPr>
        <w:pStyle w:val="NoSpacing"/>
        <w:ind w:left="720"/>
        <w:rPr>
          <w:rFonts w:ascii="Times New Roman" w:hAnsi="Times New Roman"/>
          <w:sz w:val="24"/>
          <w:szCs w:val="24"/>
        </w:rPr>
      </w:pPr>
      <w:r w:rsidRPr="003D20B2">
        <w:rPr>
          <w:rFonts w:ascii="Times New Roman" w:hAnsi="Times New Roman"/>
          <w:sz w:val="24"/>
          <w:szCs w:val="24"/>
        </w:rPr>
        <w:t xml:space="preserve">Before they could meet, [Department Chief Justin]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is stated to have approached Oginski and ‘demanded’ that he write a statement about what happened at the nursing home…. Oginski told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that he did not wish to meet with him, and that he would provide statements to the Vigilant attorney and to the Chairman of the Board….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continued to ask Oginski to provide him with a </w:t>
      </w:r>
      <w:proofErr w:type="gramStart"/>
      <w:r w:rsidRPr="003D20B2">
        <w:rPr>
          <w:rFonts w:ascii="Times New Roman" w:hAnsi="Times New Roman"/>
          <w:sz w:val="24"/>
          <w:szCs w:val="24"/>
        </w:rPr>
        <w:t>statement, and</w:t>
      </w:r>
      <w:proofErr w:type="gramEnd"/>
      <w:r w:rsidRPr="003D20B2">
        <w:rPr>
          <w:rFonts w:ascii="Times New Roman" w:hAnsi="Times New Roman"/>
          <w:sz w:val="24"/>
          <w:szCs w:val="24"/>
        </w:rPr>
        <w:t xml:space="preserve"> threatened to suspend Oginski for failure to comply….  Oginski reiterated to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that he would provide a statement, but only after first speaking with Vigilant's counsel and the Board Chair….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responded by suspending Oginski for 10 days…. On September 20, 2022 (the next day) Vigilant's Recording Secretary emailed Oginski a statement of charges that was filed by </w:t>
      </w:r>
      <w:proofErr w:type="spellStart"/>
      <w:r w:rsidRPr="003D20B2">
        <w:rPr>
          <w:rFonts w:ascii="Times New Roman" w:hAnsi="Times New Roman"/>
          <w:sz w:val="24"/>
          <w:szCs w:val="24"/>
        </w:rPr>
        <w:t>Sachmechi</w:t>
      </w:r>
      <w:proofErr w:type="spellEnd"/>
      <w:r w:rsidRPr="003D20B2">
        <w:rPr>
          <w:rFonts w:ascii="Times New Roman" w:hAnsi="Times New Roman"/>
          <w:sz w:val="24"/>
          <w:szCs w:val="24"/>
        </w:rPr>
        <w:t xml:space="preserve">. In that statement Oginski was charged with insubordination and conduct unbecoming a member.” </w:t>
      </w:r>
    </w:p>
    <w:p w14:paraId="6D50216A" w14:textId="77777777" w:rsidR="00297B95" w:rsidRPr="003D20B2" w:rsidRDefault="00297B95" w:rsidP="00297B95">
      <w:pPr>
        <w:pStyle w:val="NoSpacing"/>
        <w:rPr>
          <w:rFonts w:ascii="Times New Roman" w:hAnsi="Times New Roman"/>
          <w:sz w:val="24"/>
          <w:szCs w:val="24"/>
        </w:rPr>
      </w:pPr>
    </w:p>
    <w:p w14:paraId="361ED78B" w14:textId="77777777" w:rsidR="00297B95" w:rsidRPr="003D20B2" w:rsidRDefault="00297B95" w:rsidP="00297B95">
      <w:pPr>
        <w:pStyle w:val="NoSpacing"/>
        <w:rPr>
          <w:rFonts w:ascii="Times New Roman" w:hAnsi="Times New Roman"/>
          <w:sz w:val="24"/>
          <w:szCs w:val="24"/>
        </w:rPr>
      </w:pPr>
    </w:p>
    <w:p w14:paraId="6E31D346" w14:textId="77777777" w:rsidR="00542851" w:rsidRDefault="00542851" w:rsidP="00705D47">
      <w:pPr>
        <w:rPr>
          <w:rFonts w:ascii="Arial Black" w:hAnsi="Arial Black"/>
          <w:b/>
          <w:bCs/>
          <w:sz w:val="28"/>
          <w:szCs w:val="28"/>
        </w:rPr>
      </w:pPr>
    </w:p>
    <w:p w14:paraId="067EBEC6" w14:textId="77B92400" w:rsidR="00705D47" w:rsidRDefault="00705D47" w:rsidP="00705D47">
      <w:pPr>
        <w:rPr>
          <w:rFonts w:ascii="Arial Black" w:hAnsi="Arial Black"/>
          <w:b/>
          <w:bCs/>
          <w:sz w:val="28"/>
          <w:szCs w:val="28"/>
        </w:rPr>
      </w:pPr>
      <w:r>
        <w:rPr>
          <w:rFonts w:ascii="Arial Black" w:hAnsi="Arial Black"/>
          <w:b/>
          <w:bCs/>
          <w:sz w:val="28"/>
          <w:szCs w:val="28"/>
        </w:rPr>
        <w:t>13-2</w:t>
      </w:r>
      <w:r w:rsidR="00524647">
        <w:rPr>
          <w:rFonts w:ascii="Arial Black" w:hAnsi="Arial Black"/>
          <w:b/>
          <w:bCs/>
          <w:sz w:val="28"/>
          <w:szCs w:val="28"/>
        </w:rPr>
        <w:t>19</w:t>
      </w:r>
    </w:p>
    <w:p w14:paraId="7CA62011" w14:textId="77777777" w:rsidR="005B4276" w:rsidRPr="002E2CF3" w:rsidRDefault="005B4276" w:rsidP="005B4276">
      <w:pPr>
        <w:rPr>
          <w:rFonts w:ascii="Arial Black" w:hAnsi="Arial Black"/>
          <w:b/>
          <w:sz w:val="28"/>
          <w:szCs w:val="28"/>
        </w:rPr>
      </w:pPr>
      <w:r>
        <w:rPr>
          <w:rFonts w:ascii="Arial Black" w:hAnsi="Arial Black"/>
          <w:b/>
          <w:sz w:val="28"/>
          <w:szCs w:val="28"/>
        </w:rPr>
        <w:t xml:space="preserve">NY: FDNY / EMS PAY – CAN’T DEPOSE FDNY COMMISSIONER </w:t>
      </w:r>
    </w:p>
    <w:p w14:paraId="0C291D8C" w14:textId="77777777" w:rsidR="005B4276" w:rsidRPr="005C6596" w:rsidRDefault="005B4276" w:rsidP="005B4276">
      <w:pPr>
        <w:rPr>
          <w:rFonts w:ascii="Times New Roman" w:hAnsi="Times New Roman"/>
          <w:bCs/>
          <w:sz w:val="24"/>
          <w:szCs w:val="24"/>
        </w:rPr>
      </w:pPr>
      <w:r w:rsidRPr="005C6596">
        <w:rPr>
          <w:rFonts w:ascii="Times New Roman" w:hAnsi="Times New Roman"/>
          <w:sz w:val="24"/>
          <w:szCs w:val="24"/>
        </w:rPr>
        <w:t xml:space="preserve">On June 20, 2025, in </w:t>
      </w:r>
      <w:r w:rsidRPr="005C6596">
        <w:rPr>
          <w:rFonts w:ascii="Times New Roman" w:hAnsi="Times New Roman"/>
          <w:sz w:val="24"/>
          <w:szCs w:val="24"/>
          <w:u w:val="single"/>
        </w:rPr>
        <w:t>Local 2507, Uniformed EMTs, Paramedics &amp; Fire Inspectors, et al. v. City of New York</w:t>
      </w:r>
      <w:r w:rsidRPr="005C6596">
        <w:rPr>
          <w:rFonts w:ascii="Times New Roman" w:hAnsi="Times New Roman"/>
          <w:sz w:val="24"/>
          <w:szCs w:val="24"/>
        </w:rPr>
        <w:t xml:space="preserve">, U. S. Magistrate Judge Gabriel W. Gorenstein, United States District Court for Southern District of New York, denied the Union motion to compel the deposition of FDNY Commissioner Robert Tucker.  He is a “high-level” government </w:t>
      </w:r>
      <w:proofErr w:type="gramStart"/>
      <w:r w:rsidRPr="005C6596">
        <w:rPr>
          <w:rFonts w:ascii="Times New Roman" w:hAnsi="Times New Roman"/>
          <w:sz w:val="24"/>
          <w:szCs w:val="24"/>
        </w:rPr>
        <w:t>official</w:t>
      </w:r>
      <w:proofErr w:type="gramEnd"/>
      <w:r w:rsidRPr="005C6596">
        <w:rPr>
          <w:rFonts w:ascii="Times New Roman" w:hAnsi="Times New Roman"/>
          <w:sz w:val="24"/>
          <w:szCs w:val="24"/>
        </w:rPr>
        <w:t xml:space="preserve"> and courts protect such individuals from depositions unless “exceptional circumstances.” He was appointed less than a year ago, well after the lawsuit was filed, and has not been involved in collective bargaining on this issue. THE COURT HELD: “A deposition of a high-level governmental or corporate officer is commonly referred to as an ‘apex deposition’ and may not be ordered absent a special showing by the party seeking the deposition. With respect to governmental officials, the Second Circuit noted in </w:t>
      </w:r>
      <w:r w:rsidRPr="005C6596">
        <w:rPr>
          <w:rFonts w:ascii="Times New Roman" w:hAnsi="Times New Roman"/>
          <w:i/>
          <w:iCs/>
          <w:sz w:val="24"/>
          <w:szCs w:val="24"/>
        </w:rPr>
        <w:t>Lederman v. N.Y. City Dept. of Parks and Recreation</w:t>
      </w:r>
      <w:r w:rsidRPr="005C6596">
        <w:rPr>
          <w:rFonts w:ascii="Times New Roman" w:hAnsi="Times New Roman"/>
          <w:sz w:val="24"/>
          <w:szCs w:val="24"/>
        </w:rPr>
        <w:t>, 731 F.3d 199 (2d Cir. 2013), that courts have commonly held that ‘a high-ranking government official should not - absent exceptional circumstances - be deposed or called to testify regarding the reasons for taking official action, including the manner and extent of his study of the record and his consultation with subordinates.’”</w:t>
      </w:r>
      <w:hyperlink r:id="rId2027" w:history="1">
        <w:r w:rsidRPr="005C6596">
          <w:rPr>
            <w:rStyle w:val="Hyperlink"/>
            <w:rFonts w:ascii="Times New Roman" w:hAnsi="Times New Roman"/>
            <w:sz w:val="24"/>
            <w:szCs w:val="24"/>
          </w:rPr>
          <w:t>https://caselaw.findlaw.com/court/us-dis-crt-sd-new-yor/117411673.html</w:t>
        </w:r>
      </w:hyperlink>
      <w:r w:rsidRPr="005C6596">
        <w:rPr>
          <w:rFonts w:ascii="Times New Roman" w:hAnsi="Times New Roman"/>
          <w:sz w:val="24"/>
          <w:szCs w:val="24"/>
        </w:rPr>
        <w:t xml:space="preserve"> </w:t>
      </w:r>
    </w:p>
    <w:p w14:paraId="6CE04202" w14:textId="77777777" w:rsidR="00571DF6" w:rsidRPr="005C6596" w:rsidRDefault="00571DF6" w:rsidP="00571DF6">
      <w:pPr>
        <w:pStyle w:val="NoSpacing"/>
        <w:rPr>
          <w:rFonts w:ascii="Times New Roman" w:hAnsi="Times New Roman"/>
          <w:b/>
          <w:bCs/>
          <w:sz w:val="24"/>
          <w:szCs w:val="24"/>
        </w:rPr>
      </w:pPr>
      <w:r w:rsidRPr="005C6596">
        <w:rPr>
          <w:rFonts w:ascii="Times New Roman" w:hAnsi="Times New Roman"/>
          <w:b/>
          <w:sz w:val="24"/>
          <w:szCs w:val="24"/>
        </w:rPr>
        <w:t xml:space="preserve">Legal </w:t>
      </w:r>
      <w:proofErr w:type="gramStart"/>
      <w:r w:rsidRPr="005C6596">
        <w:rPr>
          <w:rFonts w:ascii="Times New Roman" w:hAnsi="Times New Roman"/>
          <w:b/>
          <w:sz w:val="24"/>
          <w:szCs w:val="24"/>
        </w:rPr>
        <w:t>lesson</w:t>
      </w:r>
      <w:proofErr w:type="gramEnd"/>
      <w:r w:rsidRPr="005C6596">
        <w:rPr>
          <w:rFonts w:ascii="Times New Roman" w:hAnsi="Times New Roman"/>
          <w:b/>
          <w:sz w:val="24"/>
          <w:szCs w:val="24"/>
        </w:rPr>
        <w:t xml:space="preserve"> learned: High </w:t>
      </w:r>
      <w:r w:rsidRPr="005C6596">
        <w:rPr>
          <w:rFonts w:ascii="Times New Roman" w:hAnsi="Times New Roman"/>
          <w:b/>
          <w:bCs/>
          <w:sz w:val="24"/>
          <w:szCs w:val="24"/>
        </w:rPr>
        <w:t xml:space="preserve">level government officials </w:t>
      </w:r>
      <w:r w:rsidRPr="005C6596">
        <w:rPr>
          <w:rFonts w:ascii="Times New Roman" w:hAnsi="Times New Roman"/>
          <w:b/>
          <w:sz w:val="24"/>
          <w:szCs w:val="24"/>
        </w:rPr>
        <w:t>are generally protected from depositions</w:t>
      </w:r>
      <w:r w:rsidRPr="005C6596">
        <w:rPr>
          <w:rFonts w:ascii="Times New Roman" w:hAnsi="Times New Roman"/>
          <w:b/>
          <w:bCs/>
          <w:sz w:val="24"/>
          <w:szCs w:val="24"/>
        </w:rPr>
        <w:t xml:space="preserve"> so they can do their jobs without disruption.</w:t>
      </w:r>
    </w:p>
    <w:p w14:paraId="24C96E2D" w14:textId="77777777" w:rsidR="00F55DAF" w:rsidRDefault="00F55DAF" w:rsidP="002B1283">
      <w:pPr>
        <w:rPr>
          <w:rFonts w:ascii="Arial Black" w:hAnsi="Arial Black"/>
          <w:b/>
          <w:bCs/>
          <w:sz w:val="28"/>
          <w:szCs w:val="28"/>
        </w:rPr>
      </w:pPr>
    </w:p>
    <w:p w14:paraId="7A792E84" w14:textId="521AAD57" w:rsidR="00705D47" w:rsidRDefault="00705D47" w:rsidP="00705D47">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8</w:t>
      </w:r>
    </w:p>
    <w:p w14:paraId="54E2DAB6" w14:textId="30988BD6" w:rsidR="003F325A" w:rsidRDefault="003F325A" w:rsidP="003F325A">
      <w:pPr>
        <w:pStyle w:val="NoSpacing"/>
        <w:rPr>
          <w:rFonts w:ascii="Arial Black" w:hAnsi="Arial Black"/>
          <w:sz w:val="28"/>
          <w:szCs w:val="28"/>
        </w:rPr>
      </w:pPr>
      <w:r>
        <w:rPr>
          <w:rFonts w:ascii="Arial Black" w:hAnsi="Arial Black"/>
          <w:sz w:val="28"/>
          <w:szCs w:val="28"/>
        </w:rPr>
        <w:t xml:space="preserve">MO: HIPAA – FF PATIENT </w:t>
      </w:r>
      <w:r w:rsidR="00A10031">
        <w:rPr>
          <w:rFonts w:ascii="Arial Black" w:hAnsi="Arial Black"/>
          <w:sz w:val="28"/>
          <w:szCs w:val="28"/>
        </w:rPr>
        <w:t>–</w:t>
      </w:r>
      <w:r>
        <w:rPr>
          <w:rFonts w:ascii="Arial Black" w:hAnsi="Arial Black"/>
          <w:sz w:val="28"/>
          <w:szCs w:val="28"/>
        </w:rPr>
        <w:t xml:space="preserve"> INFO SHARED</w:t>
      </w:r>
      <w:r w:rsidR="00334308">
        <w:rPr>
          <w:rFonts w:ascii="Arial Black" w:hAnsi="Arial Black"/>
          <w:sz w:val="28"/>
          <w:szCs w:val="28"/>
        </w:rPr>
        <w:t xml:space="preserve"> IN FD</w:t>
      </w:r>
      <w:r>
        <w:rPr>
          <w:rFonts w:ascii="Arial Black" w:hAnsi="Arial Black"/>
          <w:sz w:val="28"/>
          <w:szCs w:val="28"/>
        </w:rPr>
        <w:t xml:space="preserve"> / </w:t>
      </w:r>
      <w:r w:rsidR="00A10031">
        <w:rPr>
          <w:rFonts w:ascii="Arial Black" w:hAnsi="Arial Black"/>
          <w:sz w:val="28"/>
          <w:szCs w:val="28"/>
        </w:rPr>
        <w:t xml:space="preserve">CAN’T SUE </w:t>
      </w:r>
      <w:r w:rsidR="00334308">
        <w:rPr>
          <w:rFonts w:ascii="Arial Black" w:hAnsi="Arial Black"/>
          <w:sz w:val="28"/>
          <w:szCs w:val="28"/>
        </w:rPr>
        <w:t>CITY</w:t>
      </w:r>
    </w:p>
    <w:p w14:paraId="1DED4825" w14:textId="77777777" w:rsidR="003F325A" w:rsidRDefault="003F325A" w:rsidP="003F325A">
      <w:pPr>
        <w:pStyle w:val="NoSpacing"/>
      </w:pPr>
    </w:p>
    <w:p w14:paraId="32F5669E" w14:textId="77777777" w:rsidR="003F325A" w:rsidRPr="0091209E" w:rsidRDefault="003F325A" w:rsidP="003F325A">
      <w:pPr>
        <w:pStyle w:val="NoSpacing"/>
        <w:rPr>
          <w:rFonts w:ascii="Times New Roman" w:hAnsi="Times New Roman"/>
          <w:sz w:val="24"/>
          <w:szCs w:val="24"/>
        </w:rPr>
      </w:pPr>
      <w:r w:rsidRPr="0091209E">
        <w:rPr>
          <w:rFonts w:ascii="Times New Roman" w:hAnsi="Times New Roman"/>
          <w:sz w:val="24"/>
          <w:szCs w:val="24"/>
        </w:rPr>
        <w:t xml:space="preserve">On June 17, 2025, in </w:t>
      </w:r>
      <w:r w:rsidRPr="0091209E">
        <w:rPr>
          <w:rFonts w:ascii="Times New Roman" w:hAnsi="Times New Roman"/>
          <w:sz w:val="24"/>
          <w:szCs w:val="24"/>
          <w:u w:val="single"/>
        </w:rPr>
        <w:t>Joseph Weixeldorfer v. City of Kansas City, Missouri, et al</w:t>
      </w:r>
      <w:r w:rsidRPr="0091209E">
        <w:rPr>
          <w:rFonts w:ascii="Times New Roman" w:hAnsi="Times New Roman"/>
          <w:sz w:val="24"/>
          <w:szCs w:val="24"/>
        </w:rPr>
        <w:t xml:space="preserve">., the Court of Appeals of Missouri, Western District, Second Division, held (3 to 0) that trial court properly granted City’s motion for summary judgment; as a patient when he signed a HIPAA acknowledgement, this did not constitute a “contract” for which he could sue the city.   On November 22, 2017, the plaintiff, a firefighter with the </w:t>
      </w:r>
      <w:proofErr w:type="gramStart"/>
      <w:r w:rsidRPr="0091209E">
        <w:rPr>
          <w:rFonts w:ascii="Times New Roman" w:hAnsi="Times New Roman"/>
          <w:sz w:val="24"/>
          <w:szCs w:val="24"/>
        </w:rPr>
        <w:t>City</w:t>
      </w:r>
      <w:proofErr w:type="gramEnd"/>
      <w:r w:rsidRPr="0091209E">
        <w:rPr>
          <w:rFonts w:ascii="Times New Roman" w:hAnsi="Times New Roman"/>
          <w:sz w:val="24"/>
          <w:szCs w:val="24"/>
        </w:rPr>
        <w:t xml:space="preserve">, was home and called 911 and was transported to the hospital.  Four years later, on November 12, 2021, he filed a lawsuit claiming he suffered humiliation and damage to his reputation when FD personnel and the dispatcher disclosed his “personal medical and mental health” information to both fellow personnel on the fire department, and to his father and others. The trial court judge also refused the plaintiff’s motion to file a Fifth Amended Complaint naming the lead paramedic on the run and the dispatcher – this was well after discovery was closed </w:t>
      </w:r>
      <w:proofErr w:type="gramStart"/>
      <w:r w:rsidRPr="0091209E">
        <w:rPr>
          <w:rFonts w:ascii="Times New Roman" w:hAnsi="Times New Roman"/>
          <w:sz w:val="24"/>
          <w:szCs w:val="24"/>
        </w:rPr>
        <w:t>and also</w:t>
      </w:r>
      <w:proofErr w:type="gramEnd"/>
      <w:r w:rsidRPr="0091209E">
        <w:rPr>
          <w:rFonts w:ascii="Times New Roman" w:hAnsi="Times New Roman"/>
          <w:sz w:val="24"/>
          <w:szCs w:val="24"/>
        </w:rPr>
        <w:t xml:space="preserve"> the 5-year statute of limitations. THE COURT HELD: "[T]he HIPAA Privacy Rule requires only that providers give patients a notice when it is practical to do so after the emergency situation has ended….The acknowledgment creates no duties other than those already required by HIPAA.” </w:t>
      </w:r>
    </w:p>
    <w:p w14:paraId="23F3A3E2" w14:textId="0B6E9790" w:rsidR="003F325A" w:rsidRPr="0091209E" w:rsidRDefault="003F325A" w:rsidP="003F325A">
      <w:pPr>
        <w:rPr>
          <w:rFonts w:ascii="Times New Roman" w:hAnsi="Times New Roman"/>
          <w:sz w:val="24"/>
          <w:szCs w:val="24"/>
        </w:rPr>
      </w:pPr>
      <w:hyperlink r:id="rId2028" w:history="1">
        <w:r w:rsidRPr="0091209E">
          <w:rPr>
            <w:rStyle w:val="Hyperlink"/>
            <w:rFonts w:ascii="Times New Roman" w:hAnsi="Times New Roman"/>
            <w:sz w:val="24"/>
            <w:szCs w:val="24"/>
          </w:rPr>
          <w:t>https://cases.justia.com/missouri/court-of-appeals/2025-wd87298.pdf?ts=1750174248</w:t>
        </w:r>
      </w:hyperlink>
    </w:p>
    <w:p w14:paraId="39BA91AC" w14:textId="77777777" w:rsidR="0091209E" w:rsidRPr="0091209E" w:rsidRDefault="0091209E" w:rsidP="0091209E">
      <w:pPr>
        <w:pStyle w:val="NoSpacing"/>
        <w:rPr>
          <w:rFonts w:ascii="Times New Roman" w:hAnsi="Times New Roman"/>
          <w:b/>
          <w:bCs/>
          <w:sz w:val="24"/>
          <w:szCs w:val="24"/>
        </w:rPr>
      </w:pPr>
      <w:r w:rsidRPr="0091209E">
        <w:rPr>
          <w:rFonts w:ascii="Times New Roman" w:hAnsi="Times New Roman"/>
          <w:b/>
          <w:sz w:val="24"/>
          <w:szCs w:val="24"/>
        </w:rPr>
        <w:t>Legal lesson learned. When transporting a patient who is also a member of the Fire Department special care must be exercised to not discuss the run with those who do not have an official need to know - particularly involving mental health.</w:t>
      </w:r>
    </w:p>
    <w:p w14:paraId="3F76557E" w14:textId="77777777" w:rsidR="0091209E" w:rsidRDefault="0091209E" w:rsidP="003F325A">
      <w:pPr>
        <w:rPr>
          <w:rFonts w:ascii="Arial Black" w:hAnsi="Arial Black"/>
          <w:b/>
          <w:bCs/>
          <w:sz w:val="28"/>
          <w:szCs w:val="28"/>
        </w:rPr>
      </w:pPr>
    </w:p>
    <w:p w14:paraId="241AF9C9" w14:textId="4552A2E7" w:rsidR="00705D47" w:rsidRDefault="00705D47" w:rsidP="00705D47">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7</w:t>
      </w:r>
    </w:p>
    <w:p w14:paraId="42EAE140" w14:textId="73E8E2A5" w:rsidR="00815DD8" w:rsidRPr="00A11F37" w:rsidRDefault="00815DD8" w:rsidP="00815DD8">
      <w:pPr>
        <w:rPr>
          <w:rFonts w:ascii="Arial Black" w:hAnsi="Arial Black"/>
          <w:b/>
          <w:sz w:val="28"/>
          <w:szCs w:val="28"/>
        </w:rPr>
      </w:pPr>
      <w:r>
        <w:rPr>
          <w:rFonts w:ascii="Arial Black" w:hAnsi="Arial Black"/>
          <w:b/>
          <w:sz w:val="28"/>
          <w:szCs w:val="28"/>
        </w:rPr>
        <w:t>WV: CO EXPOSURE –</w:t>
      </w:r>
      <w:r w:rsidR="00B242F8">
        <w:rPr>
          <w:rFonts w:ascii="Arial Black" w:hAnsi="Arial Black"/>
          <w:b/>
          <w:sz w:val="28"/>
          <w:szCs w:val="28"/>
        </w:rPr>
        <w:t xml:space="preserve"> DISPATCH SENT FF / NOT EMS – IMMUNITY </w:t>
      </w:r>
    </w:p>
    <w:p w14:paraId="47D022A0" w14:textId="77777777" w:rsidR="00815DD8" w:rsidRPr="00420162" w:rsidRDefault="00815DD8" w:rsidP="00815DD8">
      <w:pPr>
        <w:pStyle w:val="NoSpacing"/>
        <w:rPr>
          <w:rFonts w:ascii="Times New Roman" w:hAnsi="Times New Roman"/>
          <w:bCs/>
          <w:sz w:val="24"/>
          <w:szCs w:val="24"/>
        </w:rPr>
      </w:pPr>
      <w:r w:rsidRPr="00420162">
        <w:rPr>
          <w:rFonts w:ascii="Times New Roman" w:hAnsi="Times New Roman"/>
          <w:sz w:val="24"/>
          <w:szCs w:val="24"/>
        </w:rPr>
        <w:t xml:space="preserve">On June 6, 2015 in </w:t>
      </w:r>
      <w:r w:rsidRPr="00420162">
        <w:rPr>
          <w:rFonts w:ascii="Times New Roman" w:hAnsi="Times New Roman"/>
          <w:sz w:val="24"/>
          <w:szCs w:val="24"/>
          <w:u w:val="single"/>
        </w:rPr>
        <w:t xml:space="preserve">Rhoda M. Marchant, Timothy E. </w:t>
      </w:r>
      <w:proofErr w:type="spellStart"/>
      <w:r w:rsidRPr="00420162">
        <w:rPr>
          <w:rFonts w:ascii="Times New Roman" w:hAnsi="Times New Roman"/>
          <w:sz w:val="24"/>
          <w:szCs w:val="24"/>
          <w:u w:val="single"/>
        </w:rPr>
        <w:t>Marchart</w:t>
      </w:r>
      <w:proofErr w:type="spellEnd"/>
      <w:r w:rsidRPr="00420162">
        <w:rPr>
          <w:rFonts w:ascii="Times New Roman" w:hAnsi="Times New Roman"/>
          <w:sz w:val="24"/>
          <w:szCs w:val="24"/>
          <w:u w:val="single"/>
        </w:rPr>
        <w:t xml:space="preserve"> and Timothy S. </w:t>
      </w:r>
      <w:proofErr w:type="spellStart"/>
      <w:r w:rsidRPr="00420162">
        <w:rPr>
          <w:rFonts w:ascii="Times New Roman" w:hAnsi="Times New Roman"/>
          <w:sz w:val="24"/>
          <w:szCs w:val="24"/>
          <w:u w:val="single"/>
        </w:rPr>
        <w:t>Marchart</w:t>
      </w:r>
      <w:proofErr w:type="spellEnd"/>
      <w:r w:rsidRPr="00420162">
        <w:rPr>
          <w:rFonts w:ascii="Times New Roman" w:hAnsi="Times New Roman"/>
          <w:sz w:val="24"/>
          <w:szCs w:val="24"/>
          <w:u w:val="single"/>
        </w:rPr>
        <w:t xml:space="preserve"> v. Preston County Office of Emergency Management / E911 and Preston County Commission</w:t>
      </w:r>
      <w:r w:rsidRPr="00420162">
        <w:rPr>
          <w:rFonts w:ascii="Times New Roman" w:hAnsi="Times New Roman"/>
          <w:sz w:val="24"/>
          <w:szCs w:val="24"/>
        </w:rPr>
        <w:t xml:space="preserve">, the West Virginia Intermediate Court of Appeals held (3 to 0) that the trial court properly granted the County’s motion to dismiss; there was no proof of willful or wanton misconduct by the dispatchers who sent a fire department on Feb. 7, 2018 to their home in response to their 911 call about carbon monoxide from an electrical generator.  After the Fire Department arrived, Timothy E. Marchant drove himself and his family from Independence to Morgantown’s Ruby Memorial Hospital; they allege that all members of the family suffered physical and mental injuries as a result of the delay in treatment, but that Rhoda suffered most severely, as she was rendered permanently legally blind and disabled and is unable to work. THE COURT HELD:  “The Marchants requested a status conference, which was held on July 29, 2024. Thereafter, by order entered on August 14, 2024, the circuit court granted the motion to dismiss, asserting that respondents were entitled to immunity under West Virginia Code § 24-6-8.... Notably, the Marchants have not expressed what amendments [to their complaint] could be made or facts could be alleged to demonstrate a valid claim for willful or wanton  misconduct </w:t>
      </w:r>
      <w:proofErr w:type="gramStart"/>
      <w:r w:rsidRPr="00420162">
        <w:rPr>
          <w:rFonts w:ascii="Times New Roman" w:hAnsi="Times New Roman"/>
          <w:sz w:val="24"/>
          <w:szCs w:val="24"/>
        </w:rPr>
        <w:t>in light of</w:t>
      </w:r>
      <w:proofErr w:type="gramEnd"/>
      <w:r w:rsidRPr="00420162">
        <w:rPr>
          <w:rFonts w:ascii="Times New Roman" w:hAnsi="Times New Roman"/>
          <w:sz w:val="24"/>
          <w:szCs w:val="24"/>
        </w:rPr>
        <w:t xml:space="preserve"> the facts asserted in the operative </w:t>
      </w:r>
      <w:proofErr w:type="gramStart"/>
      <w:r w:rsidRPr="00420162">
        <w:rPr>
          <w:rFonts w:ascii="Times New Roman" w:hAnsi="Times New Roman"/>
          <w:sz w:val="24"/>
          <w:szCs w:val="24"/>
        </w:rPr>
        <w:t>complaint.”</w:t>
      </w:r>
      <w:proofErr w:type="gramEnd"/>
    </w:p>
    <w:p w14:paraId="16CD2DD1" w14:textId="77777777" w:rsidR="00815DD8" w:rsidRPr="00420162" w:rsidRDefault="00815DD8" w:rsidP="00815DD8">
      <w:pPr>
        <w:pStyle w:val="NoSpacing"/>
        <w:rPr>
          <w:rFonts w:ascii="Times New Roman" w:hAnsi="Times New Roman"/>
          <w:b/>
          <w:sz w:val="24"/>
          <w:szCs w:val="24"/>
        </w:rPr>
      </w:pPr>
      <w:hyperlink r:id="rId2029" w:history="1">
        <w:r w:rsidRPr="00420162">
          <w:rPr>
            <w:rStyle w:val="Hyperlink"/>
            <w:rFonts w:ascii="Times New Roman" w:hAnsi="Times New Roman"/>
            <w:sz w:val="24"/>
            <w:szCs w:val="24"/>
          </w:rPr>
          <w:t>https://cases.justia.com/west-virginia/intermediate-court-of-appeals/2025-24-ica-364.pdf?ts=1749239242</w:t>
        </w:r>
      </w:hyperlink>
      <w:r w:rsidRPr="00420162">
        <w:rPr>
          <w:rFonts w:ascii="Times New Roman" w:hAnsi="Times New Roman"/>
          <w:b/>
          <w:sz w:val="24"/>
          <w:szCs w:val="24"/>
        </w:rPr>
        <w:t xml:space="preserve"> </w:t>
      </w:r>
    </w:p>
    <w:p w14:paraId="58636EA9" w14:textId="77777777" w:rsidR="00815DD8" w:rsidRPr="00420162" w:rsidRDefault="00815DD8" w:rsidP="00815DD8">
      <w:pPr>
        <w:pStyle w:val="NoSpacing"/>
        <w:rPr>
          <w:rFonts w:ascii="Times New Roman" w:hAnsi="Times New Roman"/>
          <w:bCs/>
          <w:sz w:val="24"/>
          <w:szCs w:val="24"/>
        </w:rPr>
      </w:pPr>
    </w:p>
    <w:p w14:paraId="4336281B" w14:textId="77777777" w:rsidR="00420162" w:rsidRPr="00420162" w:rsidRDefault="00420162" w:rsidP="00420162">
      <w:pPr>
        <w:pStyle w:val="NoSpacing"/>
        <w:rPr>
          <w:rFonts w:ascii="Times New Roman" w:hAnsi="Times New Roman"/>
          <w:b/>
          <w:bCs/>
          <w:sz w:val="24"/>
          <w:szCs w:val="24"/>
        </w:rPr>
      </w:pPr>
      <w:r w:rsidRPr="00420162">
        <w:rPr>
          <w:rFonts w:ascii="Times New Roman" w:hAnsi="Times New Roman"/>
          <w:b/>
          <w:sz w:val="24"/>
          <w:szCs w:val="24"/>
        </w:rPr>
        <w:t xml:space="preserve">Legal lesson learned: Dispatchers and their employer are not liable in West Virginia unless there is proof of “willful or wanton misconduct.”  It is </w:t>
      </w:r>
      <w:proofErr w:type="gramStart"/>
      <w:r w:rsidRPr="00420162">
        <w:rPr>
          <w:rFonts w:ascii="Times New Roman" w:hAnsi="Times New Roman"/>
          <w:b/>
          <w:sz w:val="24"/>
          <w:szCs w:val="24"/>
        </w:rPr>
        <w:t>a best</w:t>
      </w:r>
      <w:proofErr w:type="gramEnd"/>
      <w:r w:rsidRPr="00420162">
        <w:rPr>
          <w:rFonts w:ascii="Times New Roman" w:hAnsi="Times New Roman"/>
          <w:b/>
          <w:sz w:val="24"/>
          <w:szCs w:val="24"/>
        </w:rPr>
        <w:t xml:space="preserve"> practice that dispatchers have a protocol on carbon monoxide calls, including when to dispatch an ambulance. </w:t>
      </w:r>
    </w:p>
    <w:p w14:paraId="0FAD7F2F" w14:textId="77777777" w:rsidR="00420162" w:rsidRPr="00420162" w:rsidRDefault="00420162" w:rsidP="00420162">
      <w:pPr>
        <w:pStyle w:val="NoSpacing"/>
        <w:rPr>
          <w:rFonts w:ascii="Times New Roman" w:hAnsi="Times New Roman"/>
          <w:b/>
          <w:bCs/>
          <w:sz w:val="24"/>
          <w:szCs w:val="24"/>
        </w:rPr>
      </w:pPr>
    </w:p>
    <w:p w14:paraId="0DF4ECB8" w14:textId="77777777" w:rsidR="00420162" w:rsidRPr="00420162" w:rsidRDefault="00420162" w:rsidP="00420162">
      <w:pPr>
        <w:pStyle w:val="NoSpacing"/>
        <w:ind w:firstLine="720"/>
        <w:rPr>
          <w:rFonts w:ascii="Times New Roman" w:hAnsi="Times New Roman"/>
          <w:bCs/>
          <w:sz w:val="24"/>
          <w:szCs w:val="24"/>
        </w:rPr>
      </w:pPr>
      <w:r w:rsidRPr="00420162">
        <w:rPr>
          <w:rFonts w:ascii="Times New Roman" w:hAnsi="Times New Roman"/>
          <w:sz w:val="24"/>
          <w:szCs w:val="24"/>
        </w:rPr>
        <w:t xml:space="preserve">Note: See West Virginia Code §24-6-8. </w:t>
      </w:r>
      <w:hyperlink r:id="rId2030" w:history="1">
        <w:r w:rsidRPr="00420162">
          <w:rPr>
            <w:rStyle w:val="Hyperlink"/>
            <w:rFonts w:ascii="Times New Roman" w:hAnsi="Times New Roman"/>
            <w:sz w:val="24"/>
            <w:szCs w:val="24"/>
          </w:rPr>
          <w:t>https://code.wvlegislature.gov/email/24-6/</w:t>
        </w:r>
      </w:hyperlink>
      <w:r w:rsidRPr="00420162">
        <w:rPr>
          <w:rFonts w:ascii="Times New Roman" w:hAnsi="Times New Roman"/>
          <w:sz w:val="24"/>
          <w:szCs w:val="24"/>
        </w:rPr>
        <w:t xml:space="preserve"> </w:t>
      </w:r>
    </w:p>
    <w:p w14:paraId="0829FCA1" w14:textId="77777777" w:rsidR="00420162" w:rsidRPr="00420162" w:rsidRDefault="00420162" w:rsidP="00420162">
      <w:pPr>
        <w:pStyle w:val="NoSpacing"/>
        <w:ind w:firstLine="720"/>
        <w:rPr>
          <w:rFonts w:ascii="Times New Roman" w:hAnsi="Times New Roman"/>
          <w:bCs/>
          <w:sz w:val="24"/>
          <w:szCs w:val="24"/>
        </w:rPr>
      </w:pPr>
    </w:p>
    <w:p w14:paraId="4DCD5F4A" w14:textId="77777777" w:rsidR="00420162" w:rsidRPr="00420162" w:rsidRDefault="00420162" w:rsidP="00420162">
      <w:pPr>
        <w:pStyle w:val="NoSpacing"/>
        <w:ind w:left="720"/>
        <w:rPr>
          <w:rFonts w:ascii="Times New Roman" w:hAnsi="Times New Roman"/>
          <w:bCs/>
          <w:sz w:val="24"/>
          <w:szCs w:val="24"/>
        </w:rPr>
      </w:pPr>
      <w:r w:rsidRPr="00420162">
        <w:rPr>
          <w:rFonts w:ascii="Times New Roman" w:hAnsi="Times New Roman"/>
          <w:sz w:val="24"/>
          <w:szCs w:val="24"/>
        </w:rPr>
        <w:t>“Limitation of liability. A public agency or a telephone company participating in an emergency telephone system or a county which has established an enhanced emergency telephone system, and any officer, agent or employee of the public agency, telephone company or county is not liable for damages in a civil action for injuries, death or loss to persons or property arising from any act or omission, except willful or wanton misconduct, in connection with developing, adopting or approving any final plan or any agreement made pursuant to this article, or otherwise bringing into operation or participating in the operation of an emergency telephone system or an enhanced emergency telephone system pursuant to this article.”</w:t>
      </w:r>
    </w:p>
    <w:p w14:paraId="5ACD7991" w14:textId="77777777" w:rsidR="00420162" w:rsidRPr="00420162" w:rsidRDefault="00420162" w:rsidP="00420162">
      <w:pPr>
        <w:pStyle w:val="NoSpacing"/>
        <w:rPr>
          <w:rFonts w:ascii="Times New Roman" w:hAnsi="Times New Roman"/>
          <w:b/>
          <w:bCs/>
          <w:sz w:val="24"/>
          <w:szCs w:val="24"/>
        </w:rPr>
      </w:pPr>
    </w:p>
    <w:p w14:paraId="2528AA53" w14:textId="77777777" w:rsidR="00705D47" w:rsidRDefault="00705D47" w:rsidP="00705D47">
      <w:pPr>
        <w:rPr>
          <w:rFonts w:ascii="Arial Black" w:hAnsi="Arial Black"/>
          <w:b/>
          <w:bCs/>
          <w:sz w:val="28"/>
          <w:szCs w:val="28"/>
        </w:rPr>
      </w:pPr>
    </w:p>
    <w:p w14:paraId="58DECBEB" w14:textId="03B97FC1" w:rsidR="00705D47" w:rsidRDefault="00705D47" w:rsidP="00705D47">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6</w:t>
      </w:r>
    </w:p>
    <w:p w14:paraId="322F1E3F" w14:textId="23ED63C5" w:rsidR="00DC020F" w:rsidRPr="00FD26B7" w:rsidRDefault="00DC020F" w:rsidP="00DC020F">
      <w:pPr>
        <w:rPr>
          <w:rFonts w:ascii="Arial Black" w:hAnsi="Arial Black"/>
          <w:b/>
          <w:sz w:val="28"/>
          <w:szCs w:val="28"/>
        </w:rPr>
      </w:pPr>
      <w:r>
        <w:rPr>
          <w:rFonts w:ascii="Arial Black" w:hAnsi="Arial Black"/>
          <w:b/>
          <w:sz w:val="28"/>
          <w:szCs w:val="28"/>
        </w:rPr>
        <w:t>OH: COMBATIVE P</w:t>
      </w:r>
      <w:r w:rsidR="006672D1">
        <w:rPr>
          <w:rFonts w:ascii="Arial Black" w:hAnsi="Arial Black"/>
          <w:b/>
          <w:sz w:val="28"/>
          <w:szCs w:val="28"/>
        </w:rPr>
        <w:t>T – HANDCUFFED TRANS</w:t>
      </w:r>
      <w:r w:rsidR="00F73364">
        <w:rPr>
          <w:rFonts w:ascii="Arial Black" w:hAnsi="Arial Black"/>
          <w:b/>
          <w:sz w:val="28"/>
          <w:szCs w:val="28"/>
        </w:rPr>
        <w:t xml:space="preserve"> - EMS / PD IMMUNITY </w:t>
      </w:r>
    </w:p>
    <w:p w14:paraId="54A8141A" w14:textId="628824E0" w:rsidR="00DC020F" w:rsidRPr="00705D47" w:rsidRDefault="00DC020F" w:rsidP="00DC020F">
      <w:pPr>
        <w:pStyle w:val="NoSpacing"/>
        <w:rPr>
          <w:rFonts w:ascii="Times New Roman" w:hAnsi="Times New Roman"/>
          <w:bCs/>
          <w:sz w:val="24"/>
          <w:szCs w:val="24"/>
        </w:rPr>
      </w:pPr>
      <w:r w:rsidRPr="00705D47">
        <w:rPr>
          <w:rFonts w:ascii="Times New Roman" w:hAnsi="Times New Roman"/>
          <w:sz w:val="24"/>
          <w:szCs w:val="24"/>
        </w:rPr>
        <w:t>On May 30, 2</w:t>
      </w:r>
      <w:r w:rsidR="003F4271">
        <w:rPr>
          <w:rFonts w:ascii="Times New Roman" w:hAnsi="Times New Roman"/>
          <w:sz w:val="24"/>
          <w:szCs w:val="24"/>
        </w:rPr>
        <w:t>0</w:t>
      </w:r>
      <w:r w:rsidRPr="00705D47">
        <w:rPr>
          <w:rFonts w:ascii="Times New Roman" w:hAnsi="Times New Roman"/>
          <w:sz w:val="24"/>
          <w:szCs w:val="24"/>
        </w:rPr>
        <w:t xml:space="preserve">25, in </w:t>
      </w:r>
      <w:r w:rsidRPr="00705D47">
        <w:rPr>
          <w:rFonts w:ascii="Times New Roman" w:hAnsi="Times New Roman"/>
          <w:sz w:val="24"/>
          <w:szCs w:val="24"/>
          <w:u w:val="single"/>
        </w:rPr>
        <w:t>Robert McGuire, et al. v. City of Mansfield, et al</w:t>
      </w:r>
      <w:r w:rsidRPr="00705D47">
        <w:rPr>
          <w:rFonts w:ascii="Times New Roman" w:hAnsi="Times New Roman"/>
          <w:sz w:val="24"/>
          <w:szCs w:val="24"/>
        </w:rPr>
        <w:t xml:space="preserve">., the Court of Appeals of Ohio, Fifth District, Richland held (3 to 0) that trial court erred in not dismissing the lawsuit; there was no evidence of willful or wanton misconduct by the EMS during transport on March 21, 2022, or of the Mansfield police officer at the hospital who handcuffed the combative patient as he was taken into the hospital. The entire encounter from arrival </w:t>
      </w:r>
      <w:proofErr w:type="gramStart"/>
      <w:r w:rsidRPr="00705D47">
        <w:rPr>
          <w:rFonts w:ascii="Times New Roman" w:hAnsi="Times New Roman"/>
          <w:sz w:val="24"/>
          <w:szCs w:val="24"/>
        </w:rPr>
        <w:t>to</w:t>
      </w:r>
      <w:proofErr w:type="gramEnd"/>
      <w:r w:rsidRPr="00705D47">
        <w:rPr>
          <w:rFonts w:ascii="Times New Roman" w:hAnsi="Times New Roman"/>
          <w:sz w:val="24"/>
          <w:szCs w:val="24"/>
        </w:rPr>
        <w:t xml:space="preserve"> McGuire's residence to taking McGuire into the emergency room was less than ten minutes. McGuire suffered injuries including cardiopulmonary arrest with consistent brain injury due to hypoxia and hypotension.  To use a medical malpractice standard for a first responder would basically eviscerate the immunity statutes; that is why the wanton standard is the “failure to exercise any care.” THE COURT HELD: “The evidence presented also does not show the firefighters' conduct was wanton. They did not fail ‘to exercise any care toward’ McGuire ‘whom a duty of care is owed in circumstances in which there is great probability that harm will result.’ … While experts can argue over the more correct care, that is a negligence issue that does not rise to the standard of wanton care… To use a medical malpractice standard for a first responder would basically eviscerate the immunity statutes; that is why the wanton standard is the ‘failure to exercise any care.’”</w:t>
      </w:r>
      <w:hyperlink r:id="rId2031" w:history="1">
        <w:r w:rsidRPr="00705D47">
          <w:rPr>
            <w:rStyle w:val="Hyperlink"/>
            <w:rFonts w:ascii="Times New Roman" w:hAnsi="Times New Roman"/>
            <w:sz w:val="24"/>
            <w:szCs w:val="24"/>
          </w:rPr>
          <w:t>https://www.supremecourt.ohio.gov/rod/docs/pdf/5/2025/2025-Ohio-1961.pdf</w:t>
        </w:r>
      </w:hyperlink>
      <w:r w:rsidRPr="00705D47">
        <w:rPr>
          <w:rFonts w:ascii="Times New Roman" w:hAnsi="Times New Roman"/>
          <w:sz w:val="24"/>
          <w:szCs w:val="24"/>
        </w:rPr>
        <w:t xml:space="preserve"> </w:t>
      </w:r>
    </w:p>
    <w:p w14:paraId="4F1812A5" w14:textId="77777777" w:rsidR="00DC020F" w:rsidRPr="00705D47" w:rsidRDefault="00DC020F" w:rsidP="00DC020F">
      <w:pPr>
        <w:pStyle w:val="NoSpacing"/>
        <w:rPr>
          <w:rFonts w:ascii="Times New Roman" w:hAnsi="Times New Roman"/>
          <w:sz w:val="24"/>
          <w:szCs w:val="24"/>
        </w:rPr>
      </w:pPr>
    </w:p>
    <w:p w14:paraId="29FBE521" w14:textId="77777777" w:rsidR="00705D47" w:rsidRPr="00705D47" w:rsidRDefault="00705D47" w:rsidP="00705D47">
      <w:pPr>
        <w:pStyle w:val="NoSpacing"/>
        <w:rPr>
          <w:rFonts w:ascii="Times New Roman" w:hAnsi="Times New Roman"/>
          <w:sz w:val="24"/>
          <w:szCs w:val="24"/>
        </w:rPr>
      </w:pPr>
      <w:r w:rsidRPr="00705D47">
        <w:rPr>
          <w:rFonts w:ascii="Times New Roman" w:hAnsi="Times New Roman"/>
          <w:b/>
          <w:sz w:val="24"/>
          <w:szCs w:val="24"/>
        </w:rPr>
        <w:t>Legal lesson learned: Excellent decision; no evidence of EMS or PD “failure to exercise any care.”</w:t>
      </w:r>
    </w:p>
    <w:p w14:paraId="108750B0" w14:textId="77777777" w:rsidR="00DC020F" w:rsidRPr="00705D47" w:rsidRDefault="00DC020F" w:rsidP="003F325A">
      <w:pPr>
        <w:rPr>
          <w:rFonts w:ascii="Times New Roman" w:hAnsi="Times New Roman"/>
          <w:b/>
          <w:bCs/>
          <w:sz w:val="24"/>
          <w:szCs w:val="24"/>
        </w:rPr>
      </w:pPr>
    </w:p>
    <w:p w14:paraId="095A1B9D" w14:textId="77777777" w:rsidR="00705D47" w:rsidRDefault="00705D47" w:rsidP="002B1283">
      <w:pPr>
        <w:rPr>
          <w:rFonts w:ascii="Arial Black" w:hAnsi="Arial Black"/>
          <w:b/>
          <w:bCs/>
          <w:sz w:val="28"/>
          <w:szCs w:val="28"/>
        </w:rPr>
      </w:pPr>
    </w:p>
    <w:p w14:paraId="1B9C17EA" w14:textId="54DD598F" w:rsidR="00254EDF" w:rsidRDefault="00254EDF" w:rsidP="002B1283">
      <w:pPr>
        <w:rPr>
          <w:rFonts w:ascii="Arial Black" w:hAnsi="Arial Black"/>
          <w:b/>
          <w:bCs/>
          <w:sz w:val="28"/>
          <w:szCs w:val="28"/>
        </w:rPr>
      </w:pPr>
      <w:r>
        <w:rPr>
          <w:rFonts w:ascii="Arial Black" w:hAnsi="Arial Black"/>
          <w:b/>
          <w:bCs/>
          <w:sz w:val="28"/>
          <w:szCs w:val="28"/>
        </w:rPr>
        <w:t>13-</w:t>
      </w:r>
      <w:r w:rsidR="00816988">
        <w:rPr>
          <w:rFonts w:ascii="Arial Black" w:hAnsi="Arial Black"/>
          <w:b/>
          <w:bCs/>
          <w:sz w:val="28"/>
          <w:szCs w:val="28"/>
        </w:rPr>
        <w:t>21</w:t>
      </w:r>
      <w:r w:rsidR="00524647">
        <w:rPr>
          <w:rFonts w:ascii="Arial Black" w:hAnsi="Arial Black"/>
          <w:b/>
          <w:bCs/>
          <w:sz w:val="28"/>
          <w:szCs w:val="28"/>
        </w:rPr>
        <w:t>5</w:t>
      </w:r>
    </w:p>
    <w:p w14:paraId="6B30168E" w14:textId="12DD2810" w:rsidR="007B7FD8" w:rsidRPr="000A6F07" w:rsidRDefault="007B7FD8" w:rsidP="007B7FD8">
      <w:pPr>
        <w:pStyle w:val="NoSpacing"/>
        <w:rPr>
          <w:rFonts w:ascii="Arial Black" w:hAnsi="Arial Black"/>
          <w:b/>
          <w:bCs/>
          <w:sz w:val="28"/>
          <w:szCs w:val="28"/>
        </w:rPr>
      </w:pPr>
      <w:r w:rsidRPr="000A6F07">
        <w:rPr>
          <w:rFonts w:ascii="Arial Black" w:hAnsi="Arial Black"/>
          <w:b/>
          <w:sz w:val="28"/>
          <w:szCs w:val="28"/>
        </w:rPr>
        <w:t>WA:</w:t>
      </w:r>
      <w:r>
        <w:rPr>
          <w:rFonts w:ascii="Arial Black" w:hAnsi="Arial Black"/>
          <w:b/>
          <w:sz w:val="28"/>
          <w:szCs w:val="28"/>
        </w:rPr>
        <w:t xml:space="preserve"> 15 MO. </w:t>
      </w:r>
      <w:r w:rsidR="00E844E5">
        <w:rPr>
          <w:rFonts w:ascii="Arial Black" w:hAnsi="Arial Black"/>
          <w:b/>
          <w:sz w:val="28"/>
          <w:szCs w:val="28"/>
        </w:rPr>
        <w:t xml:space="preserve">TO </w:t>
      </w:r>
      <w:r>
        <w:rPr>
          <w:rFonts w:ascii="Arial Black" w:hAnsi="Arial Black"/>
          <w:b/>
          <w:sz w:val="28"/>
          <w:szCs w:val="28"/>
        </w:rPr>
        <w:t xml:space="preserve">GET </w:t>
      </w:r>
      <w:r w:rsidR="004E5E7F">
        <w:rPr>
          <w:rFonts w:ascii="Arial Black" w:hAnsi="Arial Black"/>
          <w:b/>
          <w:sz w:val="28"/>
          <w:szCs w:val="28"/>
        </w:rPr>
        <w:t xml:space="preserve">EMT </w:t>
      </w:r>
      <w:r>
        <w:rPr>
          <w:rFonts w:ascii="Arial Black" w:hAnsi="Arial Black"/>
          <w:b/>
          <w:sz w:val="28"/>
          <w:szCs w:val="28"/>
        </w:rPr>
        <w:t>LICENSE – CRIM RECORD</w:t>
      </w:r>
      <w:r w:rsidR="005745F5">
        <w:rPr>
          <w:rFonts w:ascii="Arial Black" w:hAnsi="Arial Black"/>
          <w:b/>
          <w:sz w:val="28"/>
          <w:szCs w:val="28"/>
        </w:rPr>
        <w:t xml:space="preserve"> CHECK</w:t>
      </w:r>
    </w:p>
    <w:p w14:paraId="2EDE25DF" w14:textId="77777777" w:rsidR="007B7FD8" w:rsidRPr="006F2B87" w:rsidRDefault="007B7FD8" w:rsidP="007B7FD8">
      <w:pPr>
        <w:pStyle w:val="NoSpacing"/>
        <w:rPr>
          <w:b/>
          <w:bCs/>
        </w:rPr>
      </w:pPr>
    </w:p>
    <w:p w14:paraId="1B5F9F3A" w14:textId="11BECB4D" w:rsidR="007B7FD8" w:rsidRPr="00AA6324" w:rsidRDefault="007B7FD8" w:rsidP="007B7FD8">
      <w:pPr>
        <w:pStyle w:val="NoSpacing"/>
        <w:rPr>
          <w:rFonts w:ascii="Times New Roman" w:hAnsi="Times New Roman"/>
          <w:bCs/>
          <w:sz w:val="24"/>
          <w:szCs w:val="24"/>
        </w:rPr>
      </w:pPr>
      <w:r w:rsidRPr="00AA6324">
        <w:rPr>
          <w:rFonts w:ascii="Times New Roman" w:hAnsi="Times New Roman"/>
          <w:sz w:val="24"/>
          <w:szCs w:val="24"/>
        </w:rPr>
        <w:t xml:space="preserve">On May 21, 2025, in </w:t>
      </w:r>
      <w:r w:rsidRPr="00AA6324">
        <w:rPr>
          <w:rFonts w:ascii="Times New Roman" w:hAnsi="Times New Roman"/>
          <w:sz w:val="24"/>
          <w:szCs w:val="24"/>
          <w:u w:val="single"/>
        </w:rPr>
        <w:t>Brooklyn C. Clark v. Washington State Department of Health, et al.</w:t>
      </w:r>
      <w:r w:rsidRPr="00AA6324">
        <w:rPr>
          <w:rFonts w:ascii="Times New Roman" w:hAnsi="Times New Roman"/>
          <w:sz w:val="24"/>
          <w:szCs w:val="24"/>
        </w:rPr>
        <w:t xml:space="preserve">, U.S. District Court Judge Tiffany M. Cartwright, United States District Court for Western District of Washington (Tacoma) granted the State’s motion for summary judgment since the EMT license was granted; 15 months delay caused by applicant not getting </w:t>
      </w:r>
      <w:r w:rsidR="005745F5">
        <w:rPr>
          <w:rFonts w:ascii="Times New Roman" w:hAnsi="Times New Roman"/>
          <w:sz w:val="24"/>
          <w:szCs w:val="24"/>
        </w:rPr>
        <w:t xml:space="preserve">his criminal history </w:t>
      </w:r>
      <w:r w:rsidRPr="00AA6324">
        <w:rPr>
          <w:rFonts w:ascii="Times New Roman" w:hAnsi="Times New Roman"/>
          <w:sz w:val="24"/>
          <w:szCs w:val="24"/>
        </w:rPr>
        <w:t xml:space="preserve">records from Oregon court.  </w:t>
      </w:r>
    </w:p>
    <w:p w14:paraId="3E6C24ED" w14:textId="77777777" w:rsidR="007B7FD8" w:rsidRPr="00AA6324" w:rsidRDefault="007B7FD8" w:rsidP="007B7FD8">
      <w:pPr>
        <w:pStyle w:val="NoSpacing"/>
        <w:rPr>
          <w:rFonts w:ascii="Times New Roman" w:hAnsi="Times New Roman"/>
          <w:bCs/>
          <w:sz w:val="24"/>
          <w:szCs w:val="24"/>
        </w:rPr>
      </w:pPr>
    </w:p>
    <w:p w14:paraId="55D15C0E" w14:textId="77777777" w:rsidR="007B7FD8" w:rsidRPr="00AA6324" w:rsidRDefault="007B7FD8" w:rsidP="007B7FD8">
      <w:pPr>
        <w:pStyle w:val="NoSpacing"/>
        <w:rPr>
          <w:rFonts w:ascii="Times New Roman" w:hAnsi="Times New Roman"/>
          <w:sz w:val="24"/>
          <w:szCs w:val="24"/>
        </w:rPr>
      </w:pPr>
      <w:r w:rsidRPr="00AA6324">
        <w:rPr>
          <w:rFonts w:ascii="Times New Roman" w:hAnsi="Times New Roman"/>
          <w:sz w:val="24"/>
          <w:szCs w:val="24"/>
        </w:rPr>
        <w:t xml:space="preserve">The Court wrote: “On July 3, 2023, Ms. Clark </w:t>
      </w:r>
      <w:proofErr w:type="gramStart"/>
      <w:r w:rsidRPr="00AA6324">
        <w:rPr>
          <w:rFonts w:ascii="Times New Roman" w:hAnsi="Times New Roman"/>
          <w:sz w:val="24"/>
          <w:szCs w:val="24"/>
        </w:rPr>
        <w:t>submitted an application</w:t>
      </w:r>
      <w:proofErr w:type="gramEnd"/>
      <w:r w:rsidRPr="00AA6324">
        <w:rPr>
          <w:rFonts w:ascii="Times New Roman" w:hAnsi="Times New Roman"/>
          <w:sz w:val="24"/>
          <w:szCs w:val="24"/>
        </w:rPr>
        <w:t xml:space="preserve"> to be certified as an Emergency Medical Technician (‘EMT’) in Washington….  Ms. Clark, who is transgender, had ‘disclose[d] her previous name and gender’ to the Department as part of her application.  On her application, Ms. Clark attested that she had never been ‘convicted, entered a plea of guilty, no contest, or a similar plea, or had prosecution or a sentence deferred or [suspended] as an adult or [juvenile] in any state or jurisdiction[.]’ … Because Ms. Clark lived in Oregon … the Department ran an FBI National Fingerprint Database search…. The background check returned an out-of-state criminal history record for Ms. Clark…. Ms. Clark contested the results of the background check…. Defendant Scott Bramhall was the assigned investigator…. Because of Bramhall’s role, he was able to request the necessary information from the Court directly…. Ms. Clark eventually provided the necessary documentation about her criminal history….  On September 20, 2024, the Department issued Ms. Clark her certification to work as an EMT in the state.” </w:t>
      </w:r>
      <w:hyperlink r:id="rId2032" w:history="1">
        <w:r w:rsidRPr="00AA6324">
          <w:rPr>
            <w:rStyle w:val="Hyperlink"/>
            <w:rFonts w:ascii="Times New Roman" w:hAnsi="Times New Roman"/>
            <w:sz w:val="24"/>
            <w:szCs w:val="24"/>
          </w:rPr>
          <w:t>https://cases.justia.com/federal/district-courts/washington/wawdce/2:2023cv01558/327312/54/0.pdf?ts=1747918716</w:t>
        </w:r>
      </w:hyperlink>
      <w:r w:rsidRPr="00AA6324">
        <w:rPr>
          <w:rFonts w:ascii="Times New Roman" w:hAnsi="Times New Roman"/>
          <w:sz w:val="24"/>
          <w:szCs w:val="24"/>
        </w:rPr>
        <w:t xml:space="preserve"> </w:t>
      </w:r>
    </w:p>
    <w:p w14:paraId="5BC57B9F" w14:textId="77777777" w:rsidR="007B7FD8" w:rsidRPr="006F2B87" w:rsidRDefault="007B7FD8" w:rsidP="007B7FD8">
      <w:pPr>
        <w:pStyle w:val="NoSpacing"/>
      </w:pPr>
    </w:p>
    <w:p w14:paraId="637DEB2A" w14:textId="77777777" w:rsidR="001D1462" w:rsidRPr="00DC2632" w:rsidRDefault="001D1462" w:rsidP="001D1462">
      <w:pPr>
        <w:pStyle w:val="NoSpacing"/>
        <w:rPr>
          <w:rFonts w:ascii="Times New Roman" w:hAnsi="Times New Roman"/>
          <w:b/>
          <w:bCs/>
          <w:sz w:val="24"/>
          <w:szCs w:val="24"/>
        </w:rPr>
      </w:pPr>
      <w:r w:rsidRPr="00DC2632">
        <w:rPr>
          <w:rFonts w:ascii="Times New Roman" w:hAnsi="Times New Roman"/>
          <w:b/>
          <w:sz w:val="24"/>
          <w:szCs w:val="24"/>
        </w:rPr>
        <w:t xml:space="preserve">Legal Lesson Learned: EMT applicants must disclose details of prior criminal history. </w:t>
      </w:r>
    </w:p>
    <w:p w14:paraId="70B39853" w14:textId="77777777" w:rsidR="001D1462" w:rsidRPr="00DC2632" w:rsidRDefault="001D1462" w:rsidP="001D1462">
      <w:pPr>
        <w:pStyle w:val="NoSpacing"/>
        <w:rPr>
          <w:rFonts w:ascii="Times New Roman" w:hAnsi="Times New Roman"/>
          <w:b/>
          <w:bCs/>
          <w:sz w:val="24"/>
          <w:szCs w:val="24"/>
        </w:rPr>
      </w:pPr>
    </w:p>
    <w:p w14:paraId="34E7A1D6" w14:textId="77777777" w:rsidR="001D1462" w:rsidRPr="00DC2632" w:rsidRDefault="001D1462" w:rsidP="001D1462">
      <w:pPr>
        <w:pStyle w:val="NoSpacing"/>
        <w:ind w:left="720"/>
        <w:rPr>
          <w:rFonts w:ascii="Times New Roman" w:hAnsi="Times New Roman"/>
          <w:sz w:val="24"/>
          <w:szCs w:val="24"/>
        </w:rPr>
      </w:pPr>
      <w:r w:rsidRPr="00DC2632">
        <w:rPr>
          <w:rFonts w:ascii="Times New Roman" w:hAnsi="Times New Roman"/>
          <w:sz w:val="24"/>
          <w:szCs w:val="24"/>
        </w:rPr>
        <w:t>Note: The Court did not describe the prior criminal history that came up on the FBI record check.</w:t>
      </w:r>
    </w:p>
    <w:p w14:paraId="353867FC" w14:textId="77777777" w:rsidR="001D1462" w:rsidRPr="00DC2632" w:rsidRDefault="001D1462" w:rsidP="001D1462">
      <w:pPr>
        <w:pStyle w:val="NoSpacing"/>
        <w:rPr>
          <w:rFonts w:ascii="Times New Roman" w:hAnsi="Times New Roman"/>
          <w:bCs/>
          <w:sz w:val="24"/>
          <w:szCs w:val="24"/>
        </w:rPr>
      </w:pPr>
    </w:p>
    <w:p w14:paraId="42246A3D" w14:textId="77777777" w:rsidR="007B7FD8" w:rsidRDefault="007B7FD8" w:rsidP="007B7FD8">
      <w:pPr>
        <w:pStyle w:val="NoSpacing"/>
      </w:pPr>
    </w:p>
    <w:p w14:paraId="57BC4E06" w14:textId="41109464" w:rsidR="00DC2632" w:rsidRPr="00254EDF" w:rsidRDefault="00254EDF" w:rsidP="007B7FD8">
      <w:pPr>
        <w:pStyle w:val="NoSpacing"/>
        <w:rPr>
          <w:rFonts w:ascii="Arial Black" w:hAnsi="Arial Black"/>
          <w:sz w:val="24"/>
          <w:szCs w:val="24"/>
        </w:rPr>
      </w:pPr>
      <w:r w:rsidRPr="00254EDF">
        <w:rPr>
          <w:rFonts w:ascii="Arial Black" w:hAnsi="Arial Black"/>
          <w:sz w:val="24"/>
          <w:szCs w:val="24"/>
        </w:rPr>
        <w:t>13-21</w:t>
      </w:r>
      <w:r w:rsidR="00524647">
        <w:rPr>
          <w:rFonts w:ascii="Arial Black" w:hAnsi="Arial Black"/>
          <w:sz w:val="24"/>
          <w:szCs w:val="24"/>
        </w:rPr>
        <w:t>4</w:t>
      </w:r>
    </w:p>
    <w:p w14:paraId="5D26D2B2" w14:textId="77777777" w:rsidR="00254EDF" w:rsidRDefault="00254EDF" w:rsidP="007B7FD8">
      <w:pPr>
        <w:pStyle w:val="NoSpacing"/>
      </w:pPr>
    </w:p>
    <w:p w14:paraId="46EF38A8" w14:textId="77777777" w:rsidR="008F24E3" w:rsidRPr="006F2B87" w:rsidRDefault="008F24E3" w:rsidP="008F24E3">
      <w:pPr>
        <w:pStyle w:val="NoSpacing"/>
        <w:rPr>
          <w:rFonts w:ascii="Arial Black" w:hAnsi="Arial Black"/>
          <w:b/>
          <w:bCs/>
          <w:sz w:val="28"/>
          <w:szCs w:val="28"/>
        </w:rPr>
      </w:pPr>
      <w:r w:rsidRPr="006F2B87">
        <w:rPr>
          <w:rFonts w:ascii="Arial Black" w:hAnsi="Arial Black"/>
          <w:b/>
          <w:sz w:val="28"/>
          <w:szCs w:val="28"/>
        </w:rPr>
        <w:t xml:space="preserve">NY: </w:t>
      </w:r>
      <w:r>
        <w:rPr>
          <w:rFonts w:ascii="Arial Black" w:hAnsi="Arial Black"/>
          <w:b/>
          <w:sz w:val="28"/>
          <w:szCs w:val="28"/>
        </w:rPr>
        <w:t xml:space="preserve">CITY / </w:t>
      </w:r>
      <w:r w:rsidRPr="006F2B87">
        <w:rPr>
          <w:rFonts w:ascii="Arial Black" w:hAnsi="Arial Black"/>
          <w:b/>
          <w:sz w:val="28"/>
          <w:szCs w:val="28"/>
        </w:rPr>
        <w:t xml:space="preserve">EMS </w:t>
      </w:r>
      <w:r>
        <w:rPr>
          <w:rFonts w:ascii="Arial Black" w:hAnsi="Arial Black"/>
          <w:b/>
          <w:sz w:val="28"/>
          <w:szCs w:val="28"/>
        </w:rPr>
        <w:t xml:space="preserve">- </w:t>
      </w:r>
      <w:r w:rsidRPr="006F2B87">
        <w:rPr>
          <w:rFonts w:ascii="Arial Black" w:hAnsi="Arial Black"/>
          <w:b/>
          <w:sz w:val="28"/>
          <w:szCs w:val="28"/>
        </w:rPr>
        <w:t>NO “SPECIAL DUTY” TO PT –</w:t>
      </w:r>
      <w:r>
        <w:rPr>
          <w:rFonts w:ascii="Arial Black" w:hAnsi="Arial Black"/>
          <w:b/>
          <w:sz w:val="28"/>
          <w:szCs w:val="28"/>
        </w:rPr>
        <w:t xml:space="preserve"> </w:t>
      </w:r>
      <w:r w:rsidRPr="006F2B87">
        <w:rPr>
          <w:rFonts w:ascii="Arial Black" w:hAnsi="Arial Black"/>
          <w:b/>
          <w:sz w:val="28"/>
          <w:szCs w:val="28"/>
        </w:rPr>
        <w:t>IMMUNITY</w:t>
      </w:r>
      <w:r>
        <w:rPr>
          <w:rFonts w:ascii="Arial Black" w:hAnsi="Arial Black"/>
          <w:b/>
          <w:sz w:val="28"/>
          <w:szCs w:val="28"/>
        </w:rPr>
        <w:t xml:space="preserve"> </w:t>
      </w:r>
    </w:p>
    <w:p w14:paraId="625D5D4C" w14:textId="77777777" w:rsidR="008F24E3" w:rsidRDefault="008F24E3" w:rsidP="008F24E3">
      <w:pPr>
        <w:pStyle w:val="NoSpacing"/>
        <w:rPr>
          <w:bCs/>
        </w:rPr>
      </w:pPr>
    </w:p>
    <w:p w14:paraId="32D10567" w14:textId="77777777" w:rsidR="008F24E3" w:rsidRPr="008F24E3" w:rsidRDefault="008F24E3" w:rsidP="008F24E3">
      <w:pPr>
        <w:pStyle w:val="NoSpacing"/>
        <w:rPr>
          <w:rFonts w:ascii="Times New Roman" w:hAnsi="Times New Roman"/>
          <w:bCs/>
          <w:sz w:val="24"/>
          <w:szCs w:val="24"/>
        </w:rPr>
      </w:pPr>
      <w:r w:rsidRPr="008F24E3">
        <w:rPr>
          <w:rFonts w:ascii="Times New Roman" w:hAnsi="Times New Roman"/>
          <w:sz w:val="24"/>
          <w:szCs w:val="24"/>
        </w:rPr>
        <w:t xml:space="preserve">On May 5, 2025, in </w:t>
      </w:r>
      <w:proofErr w:type="spellStart"/>
      <w:r w:rsidRPr="008F24E3">
        <w:rPr>
          <w:rFonts w:ascii="Times New Roman" w:hAnsi="Times New Roman"/>
          <w:sz w:val="24"/>
          <w:szCs w:val="24"/>
          <w:u w:val="single"/>
        </w:rPr>
        <w:t>Treverys</w:t>
      </w:r>
      <w:proofErr w:type="spellEnd"/>
      <w:r w:rsidRPr="008F24E3">
        <w:rPr>
          <w:rFonts w:ascii="Times New Roman" w:hAnsi="Times New Roman"/>
          <w:sz w:val="24"/>
          <w:szCs w:val="24"/>
          <w:u w:val="single"/>
        </w:rPr>
        <w:t xml:space="preserve"> Scott, as Administrator of the Estate of Alger Scott, deceased v. City of Schenectady, the Schenectady Fire Department, and Mohawk Ambulance Service</w:t>
      </w:r>
      <w:r w:rsidRPr="008F24E3">
        <w:rPr>
          <w:rFonts w:ascii="Times New Roman" w:hAnsi="Times New Roman"/>
          <w:sz w:val="24"/>
          <w:szCs w:val="24"/>
        </w:rPr>
        <w:t xml:space="preserve">, Supreme Court Justice Thomas D. Buchana dismissed the complaint.  </w:t>
      </w:r>
    </w:p>
    <w:p w14:paraId="17C8FD43" w14:textId="77777777" w:rsidR="008F24E3" w:rsidRPr="008F24E3" w:rsidRDefault="008F24E3" w:rsidP="008F24E3">
      <w:pPr>
        <w:pStyle w:val="NoSpacing"/>
        <w:rPr>
          <w:rFonts w:ascii="Times New Roman" w:hAnsi="Times New Roman"/>
          <w:bCs/>
          <w:sz w:val="24"/>
          <w:szCs w:val="24"/>
        </w:rPr>
      </w:pPr>
    </w:p>
    <w:p w14:paraId="14A8B9B3" w14:textId="77777777" w:rsidR="008F24E3" w:rsidRPr="008F24E3" w:rsidRDefault="008F24E3" w:rsidP="008F24E3">
      <w:pPr>
        <w:pStyle w:val="NoSpacing"/>
        <w:rPr>
          <w:rFonts w:ascii="Times New Roman" w:hAnsi="Times New Roman"/>
          <w:bCs/>
          <w:sz w:val="24"/>
          <w:szCs w:val="24"/>
        </w:rPr>
      </w:pPr>
      <w:r w:rsidRPr="008F24E3">
        <w:rPr>
          <w:rFonts w:ascii="Times New Roman" w:hAnsi="Times New Roman"/>
          <w:sz w:val="24"/>
          <w:szCs w:val="24"/>
        </w:rPr>
        <w:t xml:space="preserve">The Court wrote: “This case arises from the actions of emergency response personnel from defendants Schenectady Fire Department and Mohawk Ambulance Service (‘Mohawk’), who were dispatched to Plaintiff's home in response to a 911 call. Emergency medical treatment was administered at the </w:t>
      </w:r>
      <w:proofErr w:type="gramStart"/>
      <w:r w:rsidRPr="008F24E3">
        <w:rPr>
          <w:rFonts w:ascii="Times New Roman" w:hAnsi="Times New Roman"/>
          <w:sz w:val="24"/>
          <w:szCs w:val="24"/>
        </w:rPr>
        <w:t>residence</w:t>
      </w:r>
      <w:proofErr w:type="gramEnd"/>
      <w:r w:rsidRPr="008F24E3">
        <w:rPr>
          <w:rFonts w:ascii="Times New Roman" w:hAnsi="Times New Roman"/>
          <w:sz w:val="24"/>
          <w:szCs w:val="24"/>
        </w:rPr>
        <w:t xml:space="preserve"> and Mr. Scott was transported to Ellis Hospital, where he passed away. ***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alleges that the Complaint fails to state a cause of action (CPLR 3211[a][7]) because Plaintiff fails to plead the existence of a special duty running from the City to Plaintiff's decedent. *** The starting point for analysis of Plaintiff's claim against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is to determine whether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was involved in a proprietary function or a government function, as the answer to that question determines the standard to be applied. Providing emergency medical services has been established as a governmental function (</w:t>
      </w:r>
      <w:r w:rsidRPr="008F24E3">
        <w:rPr>
          <w:rFonts w:ascii="Times New Roman" w:hAnsi="Times New Roman"/>
          <w:i/>
          <w:iCs/>
          <w:sz w:val="24"/>
          <w:szCs w:val="24"/>
        </w:rPr>
        <w:t xml:space="preserve">Applewhite v. </w:t>
      </w:r>
      <w:proofErr w:type="spellStart"/>
      <w:r w:rsidRPr="008F24E3">
        <w:rPr>
          <w:rFonts w:ascii="Times New Roman" w:hAnsi="Times New Roman"/>
          <w:i/>
          <w:iCs/>
          <w:sz w:val="24"/>
          <w:szCs w:val="24"/>
        </w:rPr>
        <w:t>Accuhealth</w:t>
      </w:r>
      <w:proofErr w:type="spellEnd"/>
      <w:r w:rsidRPr="008F24E3">
        <w:rPr>
          <w:rFonts w:ascii="Times New Roman" w:hAnsi="Times New Roman"/>
          <w:i/>
          <w:iCs/>
          <w:sz w:val="24"/>
          <w:szCs w:val="24"/>
        </w:rPr>
        <w:t>, Inc.</w:t>
      </w:r>
      <w:r w:rsidRPr="008F24E3">
        <w:rPr>
          <w:rFonts w:ascii="Times New Roman" w:hAnsi="Times New Roman"/>
          <w:sz w:val="24"/>
          <w:szCs w:val="24"/>
        </w:rPr>
        <w:t xml:space="preserve">, 21 NY3d 420 [2013]). Therefore, </w:t>
      </w:r>
      <w:proofErr w:type="gramStart"/>
      <w:r w:rsidRPr="008F24E3">
        <w:rPr>
          <w:rFonts w:ascii="Times New Roman" w:hAnsi="Times New Roman"/>
          <w:sz w:val="24"/>
          <w:szCs w:val="24"/>
        </w:rPr>
        <w:t>in order to</w:t>
      </w:r>
      <w:proofErr w:type="gramEnd"/>
      <w:r w:rsidRPr="008F24E3">
        <w:rPr>
          <w:rFonts w:ascii="Times New Roman" w:hAnsi="Times New Roman"/>
          <w:sz w:val="24"/>
          <w:szCs w:val="24"/>
        </w:rPr>
        <w:t xml:space="preserve"> cast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in negligence, Plaintiff must assert that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owed Mr. Scott a ‘special </w:t>
      </w:r>
      <w:proofErr w:type="gramStart"/>
      <w:r w:rsidRPr="008F24E3">
        <w:rPr>
          <w:rFonts w:ascii="Times New Roman" w:hAnsi="Times New Roman"/>
          <w:sz w:val="24"/>
          <w:szCs w:val="24"/>
        </w:rPr>
        <w:t>duty’;</w:t>
      </w:r>
      <w:proofErr w:type="gramEnd"/>
      <w:r w:rsidRPr="008F24E3">
        <w:rPr>
          <w:rFonts w:ascii="Times New Roman" w:hAnsi="Times New Roman"/>
          <w:sz w:val="24"/>
          <w:szCs w:val="24"/>
        </w:rPr>
        <w:t xml:space="preserve"> that is, a duty beyond that owed </w:t>
      </w:r>
      <w:proofErr w:type="gramStart"/>
      <w:r w:rsidRPr="008F24E3">
        <w:rPr>
          <w:rFonts w:ascii="Times New Roman" w:hAnsi="Times New Roman"/>
          <w:sz w:val="24"/>
          <w:szCs w:val="24"/>
        </w:rPr>
        <w:t>to</w:t>
      </w:r>
      <w:proofErr w:type="gramEnd"/>
      <w:r w:rsidRPr="008F24E3">
        <w:rPr>
          <w:rFonts w:ascii="Times New Roman" w:hAnsi="Times New Roman"/>
          <w:sz w:val="24"/>
          <w:szCs w:val="24"/>
        </w:rPr>
        <w:t xml:space="preserve"> the public generally. A special duty can arise in three situations: (1) when the plaintiff belonged to a class for whose benefit a statute was enacted, (2) the government entity voluntarily assumed a duty to the plaintiff beyond what was owed to the public generally, and (3) the municipality took positive control of a known and dangerous safety condition (</w:t>
      </w:r>
      <w:r w:rsidRPr="008F24E3">
        <w:rPr>
          <w:rFonts w:ascii="Times New Roman" w:hAnsi="Times New Roman"/>
          <w:i/>
          <w:iCs/>
          <w:sz w:val="24"/>
          <w:szCs w:val="24"/>
        </w:rPr>
        <w:t>Id</w:t>
      </w:r>
      <w:r w:rsidRPr="008F24E3">
        <w:rPr>
          <w:rFonts w:ascii="Times New Roman" w:hAnsi="Times New Roman"/>
          <w:sz w:val="24"/>
          <w:szCs w:val="24"/>
        </w:rPr>
        <w:t xml:space="preserve">. at 426).  *** In the absence of a special duty, there is no viable claim of negligence (or negligent hiring or negligent retention, or negligent supervision) against the </w:t>
      </w:r>
      <w:proofErr w:type="gramStart"/>
      <w:r w:rsidRPr="008F24E3">
        <w:rPr>
          <w:rFonts w:ascii="Times New Roman" w:hAnsi="Times New Roman"/>
          <w:sz w:val="24"/>
          <w:szCs w:val="24"/>
        </w:rPr>
        <w:t>City</w:t>
      </w:r>
      <w:proofErr w:type="gramEnd"/>
      <w:r w:rsidRPr="008F24E3">
        <w:rPr>
          <w:rFonts w:ascii="Times New Roman" w:hAnsi="Times New Roman"/>
          <w:sz w:val="24"/>
          <w:szCs w:val="24"/>
        </w:rPr>
        <w:t xml:space="preserve">. Likewise, Mr. Scott would not have had a viable claim against the City had he survived the events at issue, so that Plaintiff's claim for wrongful death against the City also fails (EPTL §5-4.1).” </w:t>
      </w:r>
      <w:hyperlink r:id="rId2033" w:history="1">
        <w:r w:rsidRPr="008F24E3">
          <w:rPr>
            <w:rStyle w:val="Hyperlink"/>
            <w:rFonts w:ascii="Times New Roman" w:hAnsi="Times New Roman"/>
            <w:sz w:val="24"/>
            <w:szCs w:val="24"/>
          </w:rPr>
          <w:t>https://law.justia.com/cases/new-york/other-courts/2025/2025-ny-slip-op-50759-u.html</w:t>
        </w:r>
      </w:hyperlink>
      <w:r w:rsidRPr="008F24E3">
        <w:rPr>
          <w:rFonts w:ascii="Times New Roman" w:hAnsi="Times New Roman"/>
          <w:sz w:val="24"/>
          <w:szCs w:val="24"/>
        </w:rPr>
        <w:t xml:space="preserve"> </w:t>
      </w:r>
    </w:p>
    <w:p w14:paraId="1640355E" w14:textId="77777777" w:rsidR="00DC2632" w:rsidRPr="006F2B87" w:rsidRDefault="00DC2632" w:rsidP="007B7FD8">
      <w:pPr>
        <w:pStyle w:val="NoSpacing"/>
      </w:pPr>
    </w:p>
    <w:p w14:paraId="294D0B39" w14:textId="77777777" w:rsidR="00B53CC8" w:rsidRPr="00B53CC8" w:rsidRDefault="00B53CC8" w:rsidP="00B53CC8">
      <w:pPr>
        <w:pStyle w:val="NoSpacing"/>
        <w:rPr>
          <w:rFonts w:ascii="Times New Roman" w:hAnsi="Times New Roman"/>
          <w:b/>
          <w:bCs/>
          <w:sz w:val="24"/>
          <w:szCs w:val="24"/>
        </w:rPr>
      </w:pPr>
      <w:r w:rsidRPr="00B53CC8">
        <w:rPr>
          <w:rFonts w:ascii="Times New Roman" w:hAnsi="Times New Roman"/>
          <w:b/>
          <w:sz w:val="24"/>
          <w:szCs w:val="24"/>
        </w:rPr>
        <w:t>Legal Lesson Learned: The “special duty” doctrine protects government agencies when performing a governmental function.</w:t>
      </w:r>
    </w:p>
    <w:p w14:paraId="0BB45131" w14:textId="77777777" w:rsidR="00B53CC8" w:rsidRPr="00B53CC8" w:rsidRDefault="00B53CC8" w:rsidP="00B53CC8">
      <w:pPr>
        <w:pStyle w:val="NoSpacing"/>
        <w:rPr>
          <w:rFonts w:ascii="Times New Roman" w:hAnsi="Times New Roman"/>
          <w:b/>
          <w:bCs/>
          <w:sz w:val="24"/>
          <w:szCs w:val="24"/>
        </w:rPr>
      </w:pPr>
    </w:p>
    <w:p w14:paraId="4D394153" w14:textId="77777777" w:rsidR="007B7FD8" w:rsidRDefault="007B7FD8" w:rsidP="002B1283">
      <w:pPr>
        <w:rPr>
          <w:rFonts w:ascii="Arial Black" w:hAnsi="Arial Black"/>
          <w:b/>
          <w:bCs/>
          <w:sz w:val="28"/>
          <w:szCs w:val="28"/>
        </w:rPr>
      </w:pPr>
    </w:p>
    <w:p w14:paraId="42857FA7" w14:textId="0526A7BE" w:rsidR="00254EDF" w:rsidRDefault="00254EDF" w:rsidP="002B1283">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3</w:t>
      </w:r>
    </w:p>
    <w:p w14:paraId="13A972C3" w14:textId="10988EEF" w:rsidR="001C6208" w:rsidRPr="006F2B87" w:rsidRDefault="001C6208" w:rsidP="001C6208">
      <w:pPr>
        <w:pStyle w:val="NoSpacing"/>
        <w:rPr>
          <w:rFonts w:ascii="Arial Black" w:hAnsi="Arial Black"/>
          <w:sz w:val="28"/>
          <w:szCs w:val="28"/>
        </w:rPr>
      </w:pPr>
      <w:r w:rsidRPr="006F2B87">
        <w:rPr>
          <w:rFonts w:ascii="Arial Black" w:hAnsi="Arial Black"/>
          <w:sz w:val="28"/>
          <w:szCs w:val="28"/>
        </w:rPr>
        <w:t>A</w:t>
      </w:r>
      <w:r>
        <w:rPr>
          <w:rFonts w:ascii="Arial Black" w:hAnsi="Arial Black"/>
          <w:sz w:val="28"/>
          <w:szCs w:val="28"/>
        </w:rPr>
        <w:t>K</w:t>
      </w:r>
      <w:r w:rsidRPr="006F2B87">
        <w:rPr>
          <w:rFonts w:ascii="Arial Black" w:hAnsi="Arial Black"/>
          <w:sz w:val="28"/>
          <w:szCs w:val="28"/>
        </w:rPr>
        <w:t xml:space="preserve">: </w:t>
      </w:r>
      <w:r w:rsidR="003D1F16">
        <w:rPr>
          <w:rFonts w:ascii="Arial Black" w:hAnsi="Arial Black"/>
          <w:sz w:val="28"/>
          <w:szCs w:val="28"/>
        </w:rPr>
        <w:t xml:space="preserve">MUNICIPAL IMMUNITY – INCLUDES </w:t>
      </w:r>
      <w:r>
        <w:rPr>
          <w:rFonts w:ascii="Arial Black" w:hAnsi="Arial Black"/>
          <w:sz w:val="28"/>
          <w:szCs w:val="28"/>
        </w:rPr>
        <w:t>EMS RUN</w:t>
      </w:r>
      <w:r w:rsidR="003D1F16">
        <w:rPr>
          <w:rFonts w:ascii="Arial Black" w:hAnsi="Arial Black"/>
          <w:sz w:val="28"/>
          <w:szCs w:val="28"/>
        </w:rPr>
        <w:t>S</w:t>
      </w:r>
      <w:r>
        <w:rPr>
          <w:rFonts w:ascii="Arial Black" w:hAnsi="Arial Black"/>
          <w:sz w:val="28"/>
          <w:szCs w:val="28"/>
        </w:rPr>
        <w:t xml:space="preserve"> OUTSIDE CITY</w:t>
      </w:r>
    </w:p>
    <w:p w14:paraId="66A4509E" w14:textId="77777777" w:rsidR="001C6208" w:rsidRPr="006F2B87" w:rsidRDefault="001C6208" w:rsidP="001C6208">
      <w:pPr>
        <w:pStyle w:val="NoSpacing"/>
      </w:pPr>
    </w:p>
    <w:p w14:paraId="48B5BCED" w14:textId="77777777" w:rsidR="001C6208" w:rsidRPr="00215578" w:rsidRDefault="001C6208" w:rsidP="001C6208">
      <w:pPr>
        <w:pStyle w:val="NoSpacing"/>
        <w:rPr>
          <w:rFonts w:ascii="Times New Roman" w:hAnsi="Times New Roman"/>
          <w:sz w:val="24"/>
          <w:szCs w:val="24"/>
        </w:rPr>
      </w:pPr>
      <w:r w:rsidRPr="00215578">
        <w:rPr>
          <w:rFonts w:ascii="Times New Roman" w:hAnsi="Times New Roman"/>
          <w:sz w:val="24"/>
          <w:szCs w:val="24"/>
        </w:rPr>
        <w:t xml:space="preserve">On May 2, 2025, in </w:t>
      </w:r>
      <w:r w:rsidRPr="00215578">
        <w:rPr>
          <w:rFonts w:ascii="Times New Roman" w:hAnsi="Times New Roman"/>
          <w:sz w:val="24"/>
          <w:szCs w:val="24"/>
          <w:u w:val="single"/>
        </w:rPr>
        <w:t>John D. Richon v. City of Nome, Allen Wright, and Jackie L. Reader</w:t>
      </w:r>
      <w:r w:rsidRPr="00215578">
        <w:rPr>
          <w:rFonts w:ascii="Times New Roman" w:hAnsi="Times New Roman"/>
          <w:sz w:val="24"/>
          <w:szCs w:val="24"/>
        </w:rPr>
        <w:t>, the Supreme Court of Alaska held (5 to 0) that trial court properly granted summary judgment to the city and the EMS personnel; the run was outside the city limits and under a unique Alaska statute there is no liability for “gratuitous extension of municipal services” even if the patient was charged for services. The ambulance department billed Rochon for its emergency services $1,775, which included base fee of $725 for advanced life support and $15 for each mile the ambulance travelled.  </w:t>
      </w:r>
    </w:p>
    <w:p w14:paraId="7F1DAFC7" w14:textId="77777777" w:rsidR="001C6208" w:rsidRPr="00215578" w:rsidRDefault="001C6208" w:rsidP="001C6208">
      <w:pPr>
        <w:pStyle w:val="NoSpacing"/>
        <w:rPr>
          <w:rFonts w:ascii="Times New Roman" w:hAnsi="Times New Roman"/>
          <w:sz w:val="24"/>
          <w:szCs w:val="24"/>
        </w:rPr>
      </w:pPr>
    </w:p>
    <w:p w14:paraId="30ED63C6" w14:textId="77777777" w:rsidR="001C6208" w:rsidRPr="00215578" w:rsidRDefault="001C6208" w:rsidP="001C6208">
      <w:pPr>
        <w:pStyle w:val="NoSpacing"/>
        <w:rPr>
          <w:rFonts w:ascii="Times New Roman" w:hAnsi="Times New Roman"/>
          <w:sz w:val="24"/>
          <w:szCs w:val="24"/>
        </w:rPr>
      </w:pPr>
      <w:r w:rsidRPr="00215578">
        <w:rPr>
          <w:rFonts w:ascii="Times New Roman" w:hAnsi="Times New Roman"/>
          <w:sz w:val="24"/>
          <w:szCs w:val="24"/>
        </w:rPr>
        <w:t xml:space="preserve">The Court wrote:  “It does not appear that any other state includes ‘extraterritorial’ in its municipal immunity statute. However, many states protect those who provide emergency care ‘gratuitously and in good faith’ from liability for damages resulting from that service.  These laws are generally referred to as ‘Good Samaritan laws.’ Such laws were created because common law did not require strangers to help people needing emergency assistance. But if someone chose to help another and the emergency assistance went wrong, the rescuer could be sued. Good Samaritan laws were passed to encourage rescues by eliminating the threat of liability. Courts outside Alaska that have interpreted these laws conclude that they protect rescuers who were under no duty to act.” </w:t>
      </w:r>
      <w:hyperlink r:id="rId2034" w:history="1">
        <w:r w:rsidRPr="00215578">
          <w:rPr>
            <w:rStyle w:val="Hyperlink"/>
            <w:rFonts w:ascii="Times New Roman" w:hAnsi="Times New Roman"/>
            <w:sz w:val="24"/>
            <w:szCs w:val="24"/>
          </w:rPr>
          <w:t>https://caselaw.findlaw.com/court/ak-supreme-court/117230404.html</w:t>
        </w:r>
      </w:hyperlink>
      <w:r w:rsidRPr="00215578">
        <w:rPr>
          <w:rFonts w:ascii="Times New Roman" w:hAnsi="Times New Roman"/>
          <w:sz w:val="24"/>
          <w:szCs w:val="24"/>
        </w:rPr>
        <w:t xml:space="preserve"> </w:t>
      </w:r>
    </w:p>
    <w:p w14:paraId="1E196DC9" w14:textId="77777777" w:rsidR="001C6208" w:rsidRPr="006F2B87" w:rsidRDefault="001C6208" w:rsidP="001C6208">
      <w:pPr>
        <w:pStyle w:val="NoSpacing"/>
      </w:pPr>
    </w:p>
    <w:p w14:paraId="16B4E7AF" w14:textId="77777777" w:rsidR="00467FCE" w:rsidRPr="00254EDF" w:rsidRDefault="00467FCE" w:rsidP="00467FCE">
      <w:pPr>
        <w:pStyle w:val="NoSpacing"/>
        <w:rPr>
          <w:rFonts w:ascii="Times New Roman" w:hAnsi="Times New Roman"/>
          <w:b/>
          <w:bCs/>
          <w:sz w:val="24"/>
          <w:szCs w:val="24"/>
        </w:rPr>
      </w:pPr>
      <w:r w:rsidRPr="00254EDF">
        <w:rPr>
          <w:rFonts w:ascii="Times New Roman" w:hAnsi="Times New Roman"/>
          <w:b/>
          <w:sz w:val="24"/>
          <w:szCs w:val="24"/>
        </w:rPr>
        <w:t xml:space="preserve">Legal Lesson Learned: Alaska’s unique statute </w:t>
      </w:r>
      <w:r w:rsidRPr="00254EDF">
        <w:rPr>
          <w:rFonts w:ascii="Times New Roman" w:hAnsi="Times New Roman"/>
          <w:b/>
          <w:bCs/>
          <w:sz w:val="24"/>
          <w:szCs w:val="24"/>
        </w:rPr>
        <w:t xml:space="preserve">protects </w:t>
      </w:r>
      <w:r w:rsidRPr="00254EDF">
        <w:rPr>
          <w:rFonts w:ascii="Times New Roman" w:hAnsi="Times New Roman"/>
          <w:b/>
          <w:sz w:val="24"/>
          <w:szCs w:val="24"/>
        </w:rPr>
        <w:t>municipalities and EMS personal from liability for ordinary negligence claims.  When using a backboard, strap down the patient and consider calling  an Air Ambulance to the scene instead of driving 35 miles on gravel road.</w:t>
      </w:r>
    </w:p>
    <w:p w14:paraId="3528DFC5" w14:textId="77777777" w:rsidR="00467FCE" w:rsidRPr="00254EDF" w:rsidRDefault="00467FCE" w:rsidP="00467FCE">
      <w:pPr>
        <w:pStyle w:val="NoSpacing"/>
        <w:rPr>
          <w:rFonts w:ascii="Times New Roman" w:hAnsi="Times New Roman"/>
          <w:sz w:val="24"/>
          <w:szCs w:val="24"/>
        </w:rPr>
      </w:pPr>
    </w:p>
    <w:p w14:paraId="7C1D4F12" w14:textId="77777777" w:rsidR="00467FCE" w:rsidRPr="00254EDF" w:rsidRDefault="00467FCE" w:rsidP="00467FCE">
      <w:pPr>
        <w:pStyle w:val="NoSpacing"/>
        <w:ind w:left="720"/>
        <w:rPr>
          <w:rFonts w:ascii="Times New Roman" w:hAnsi="Times New Roman"/>
          <w:sz w:val="24"/>
          <w:szCs w:val="24"/>
        </w:rPr>
      </w:pPr>
      <w:r w:rsidRPr="00254EDF">
        <w:rPr>
          <w:rFonts w:ascii="Times New Roman" w:hAnsi="Times New Roman"/>
          <w:sz w:val="24"/>
          <w:szCs w:val="24"/>
        </w:rPr>
        <w:t>Note:  The City’s attorneys made an “offer of judgment” to settle the case for $7.500. The plaintiff rejected that offer and now must reimburse City for attorney’s fees from the date of the offer. “Footnote 4: Under this rule, if the opposing party declines the offer and then receives a judgment that is 90% of the offer or less, it must pay a percentage of the offering party's attorney's fees. Alaska R. Civ. P. 68(a)-(b).”</w:t>
      </w:r>
    </w:p>
    <w:p w14:paraId="0B6F62D3" w14:textId="77777777" w:rsidR="00467FCE" w:rsidRPr="00254EDF" w:rsidRDefault="00467FCE" w:rsidP="00467FCE">
      <w:pPr>
        <w:pStyle w:val="NoSpacing"/>
        <w:rPr>
          <w:rFonts w:ascii="Times New Roman" w:hAnsi="Times New Roman"/>
          <w:sz w:val="24"/>
          <w:szCs w:val="24"/>
        </w:rPr>
      </w:pPr>
    </w:p>
    <w:p w14:paraId="17EC9C2D" w14:textId="77777777" w:rsidR="007B7FD8" w:rsidRDefault="007B7FD8" w:rsidP="002B1283">
      <w:pPr>
        <w:rPr>
          <w:rFonts w:ascii="Arial Black" w:hAnsi="Arial Black"/>
          <w:b/>
          <w:bCs/>
          <w:sz w:val="28"/>
          <w:szCs w:val="28"/>
        </w:rPr>
      </w:pPr>
    </w:p>
    <w:p w14:paraId="70D02C2D" w14:textId="447653FB" w:rsidR="00BA7C2E" w:rsidRDefault="00BA7C2E" w:rsidP="002B1283">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2</w:t>
      </w:r>
    </w:p>
    <w:p w14:paraId="5CDE112A" w14:textId="7F804292" w:rsidR="00940FEF" w:rsidRPr="00564629" w:rsidRDefault="00940FEF" w:rsidP="00940FEF">
      <w:pPr>
        <w:rPr>
          <w:rFonts w:ascii="Arial Black" w:hAnsi="Arial Black"/>
          <w:b/>
          <w:sz w:val="28"/>
          <w:szCs w:val="28"/>
        </w:rPr>
      </w:pPr>
      <w:r>
        <w:rPr>
          <w:rFonts w:ascii="Arial Black" w:hAnsi="Arial Black"/>
          <w:b/>
          <w:sz w:val="28"/>
          <w:szCs w:val="28"/>
        </w:rPr>
        <w:t xml:space="preserve">CA: AMR LOSES COUNTY CONTRACT – </w:t>
      </w:r>
      <w:r w:rsidR="00882D61">
        <w:rPr>
          <w:rFonts w:ascii="Arial Black" w:hAnsi="Arial Black"/>
          <w:b/>
          <w:sz w:val="28"/>
          <w:szCs w:val="28"/>
        </w:rPr>
        <w:t>NO</w:t>
      </w:r>
      <w:r w:rsidR="003101E1">
        <w:rPr>
          <w:rFonts w:ascii="Arial Black" w:hAnsi="Arial Black"/>
          <w:b/>
          <w:sz w:val="28"/>
          <w:szCs w:val="28"/>
        </w:rPr>
        <w:t>T</w:t>
      </w:r>
      <w:r w:rsidR="00882D61">
        <w:rPr>
          <w:rFonts w:ascii="Arial Black" w:hAnsi="Arial Black"/>
          <w:b/>
          <w:sz w:val="28"/>
          <w:szCs w:val="28"/>
        </w:rPr>
        <w:t xml:space="preserve"> FED ANTITUST </w:t>
      </w:r>
      <w:r>
        <w:rPr>
          <w:rFonts w:ascii="Arial Black" w:hAnsi="Arial Black"/>
          <w:b/>
          <w:sz w:val="28"/>
          <w:szCs w:val="28"/>
        </w:rPr>
        <w:t>CASE</w:t>
      </w:r>
    </w:p>
    <w:p w14:paraId="4E45534C" w14:textId="77777777" w:rsidR="00940FEF" w:rsidRPr="00940FEF" w:rsidRDefault="00940FEF" w:rsidP="00940FEF">
      <w:pPr>
        <w:rPr>
          <w:rFonts w:ascii="Times New Roman" w:hAnsi="Times New Roman"/>
          <w:bCs/>
          <w:sz w:val="24"/>
          <w:szCs w:val="24"/>
        </w:rPr>
      </w:pPr>
      <w:r w:rsidRPr="00940FEF">
        <w:rPr>
          <w:rFonts w:ascii="Times New Roman" w:hAnsi="Times New Roman"/>
          <w:sz w:val="24"/>
          <w:szCs w:val="24"/>
        </w:rPr>
        <w:t xml:space="preserve">On April 30, 2025, in </w:t>
      </w:r>
      <w:r w:rsidRPr="00940FEF">
        <w:rPr>
          <w:rFonts w:ascii="Times New Roman" w:hAnsi="Times New Roman"/>
          <w:sz w:val="24"/>
          <w:szCs w:val="24"/>
          <w:u w:val="single"/>
        </w:rPr>
        <w:t>American Medical Response of Inland Empire v. County of San Bernardino,</w:t>
      </w:r>
      <w:r w:rsidRPr="00940FEF">
        <w:rPr>
          <w:rFonts w:ascii="Times New Roman" w:hAnsi="Times New Roman"/>
          <w:sz w:val="24"/>
          <w:szCs w:val="24"/>
        </w:rPr>
        <w:t xml:space="preserve"> the U.S. Court of Appeals for the 9</w:t>
      </w:r>
      <w:r w:rsidRPr="00940FEF">
        <w:rPr>
          <w:rFonts w:ascii="Times New Roman" w:hAnsi="Times New Roman"/>
          <w:sz w:val="24"/>
          <w:szCs w:val="24"/>
          <w:vertAlign w:val="superscript"/>
        </w:rPr>
        <w:t>th</w:t>
      </w:r>
      <w:r w:rsidRPr="00940FEF">
        <w:rPr>
          <w:rFonts w:ascii="Times New Roman" w:hAnsi="Times New Roman"/>
          <w:sz w:val="24"/>
          <w:szCs w:val="24"/>
        </w:rPr>
        <w:t xml:space="preserve"> Circuit (San Francisco) held (3 to 0; not for publication decision) that the trial court properly dismissed the lawsuit claiming the County violated federal antitrust law by awarding all EMS services in a designated county area to Consolidated Fire Agencies (“</w:t>
      </w:r>
      <w:proofErr w:type="spellStart"/>
      <w:r w:rsidRPr="00940FEF">
        <w:rPr>
          <w:rFonts w:ascii="Times New Roman" w:hAnsi="Times New Roman"/>
          <w:sz w:val="24"/>
          <w:szCs w:val="24"/>
        </w:rPr>
        <w:t>ConFire</w:t>
      </w:r>
      <w:proofErr w:type="spellEnd"/>
      <w:r w:rsidRPr="00940FEF">
        <w:rPr>
          <w:rFonts w:ascii="Times New Roman" w:hAnsi="Times New Roman"/>
          <w:sz w:val="24"/>
          <w:szCs w:val="24"/>
        </w:rPr>
        <w:t xml:space="preserve">”), based in part on anticipated faster response times. AMR is also seeking relief in a state court case.  </w:t>
      </w:r>
      <w:hyperlink r:id="rId2035" w:history="1">
        <w:r w:rsidRPr="00940FEF">
          <w:rPr>
            <w:rStyle w:val="Hyperlink"/>
            <w:rFonts w:ascii="Times New Roman" w:hAnsi="Times New Roman"/>
            <w:sz w:val="24"/>
            <w:szCs w:val="24"/>
          </w:rPr>
          <w:t>https://cdn.ca9.uscourts.gov/datastore/memoranda/2025/04/30/24-3195.pdf</w:t>
        </w:r>
      </w:hyperlink>
      <w:r w:rsidRPr="00940FEF">
        <w:rPr>
          <w:rFonts w:ascii="Times New Roman" w:hAnsi="Times New Roman"/>
          <w:sz w:val="24"/>
          <w:szCs w:val="24"/>
        </w:rPr>
        <w:t xml:space="preserve"> </w:t>
      </w:r>
    </w:p>
    <w:p w14:paraId="0F6E9A2F" w14:textId="77777777" w:rsidR="000B3321" w:rsidRPr="003373B6" w:rsidRDefault="000B3321" w:rsidP="000B3321">
      <w:pPr>
        <w:pStyle w:val="NoSpacing"/>
        <w:rPr>
          <w:rFonts w:ascii="Times New Roman" w:hAnsi="Times New Roman"/>
          <w:b/>
          <w:bCs/>
          <w:sz w:val="24"/>
          <w:szCs w:val="24"/>
        </w:rPr>
      </w:pPr>
      <w:r w:rsidRPr="003373B6">
        <w:rPr>
          <w:rFonts w:ascii="Times New Roman" w:hAnsi="Times New Roman"/>
          <w:b/>
          <w:sz w:val="24"/>
          <w:szCs w:val="24"/>
        </w:rPr>
        <w:t xml:space="preserve">Legal Lesson Learned: Loss of an EMS contract </w:t>
      </w:r>
      <w:r w:rsidRPr="003373B6">
        <w:rPr>
          <w:rFonts w:ascii="Times New Roman" w:hAnsi="Times New Roman"/>
          <w:b/>
          <w:bCs/>
          <w:sz w:val="24"/>
          <w:szCs w:val="24"/>
        </w:rPr>
        <w:t xml:space="preserve">can be litigated </w:t>
      </w:r>
      <w:r w:rsidRPr="003373B6">
        <w:rPr>
          <w:rFonts w:ascii="Times New Roman" w:hAnsi="Times New Roman"/>
          <w:b/>
          <w:sz w:val="24"/>
          <w:szCs w:val="24"/>
        </w:rPr>
        <w:t xml:space="preserve">in state court. </w:t>
      </w:r>
    </w:p>
    <w:p w14:paraId="7C5C7665" w14:textId="77777777" w:rsidR="00BA7C2E" w:rsidRPr="003373B6" w:rsidRDefault="00BA7C2E" w:rsidP="002B1283">
      <w:pPr>
        <w:rPr>
          <w:rFonts w:ascii="Times New Roman" w:hAnsi="Times New Roman"/>
          <w:b/>
          <w:bCs/>
          <w:sz w:val="24"/>
          <w:szCs w:val="24"/>
        </w:rPr>
      </w:pPr>
    </w:p>
    <w:p w14:paraId="777084F7" w14:textId="77777777" w:rsidR="00BA7C2E" w:rsidRDefault="00BA7C2E" w:rsidP="002B1283">
      <w:pPr>
        <w:rPr>
          <w:rFonts w:ascii="Arial Black" w:hAnsi="Arial Black"/>
          <w:b/>
          <w:bCs/>
          <w:sz w:val="28"/>
          <w:szCs w:val="28"/>
        </w:rPr>
      </w:pPr>
    </w:p>
    <w:p w14:paraId="05B00ECD" w14:textId="6C344275" w:rsidR="00DB0A44" w:rsidRDefault="00DB0A44" w:rsidP="002B1283">
      <w:pPr>
        <w:rPr>
          <w:rFonts w:ascii="Arial Black" w:hAnsi="Arial Black"/>
          <w:b/>
          <w:bCs/>
          <w:sz w:val="28"/>
          <w:szCs w:val="28"/>
        </w:rPr>
      </w:pPr>
      <w:r>
        <w:rPr>
          <w:rFonts w:ascii="Arial Black" w:hAnsi="Arial Black"/>
          <w:b/>
          <w:bCs/>
          <w:sz w:val="28"/>
          <w:szCs w:val="28"/>
        </w:rPr>
        <w:t>13-21</w:t>
      </w:r>
      <w:r w:rsidR="00524647">
        <w:rPr>
          <w:rFonts w:ascii="Arial Black" w:hAnsi="Arial Black"/>
          <w:b/>
          <w:bCs/>
          <w:sz w:val="28"/>
          <w:szCs w:val="28"/>
        </w:rPr>
        <w:t>1</w:t>
      </w:r>
    </w:p>
    <w:p w14:paraId="0E80F0C8" w14:textId="77777777" w:rsidR="00233326" w:rsidRDefault="00233326" w:rsidP="00233326">
      <w:pPr>
        <w:rPr>
          <w:rFonts w:ascii="Arial Black" w:hAnsi="Arial Black"/>
          <w:sz w:val="28"/>
          <w:szCs w:val="28"/>
        </w:rPr>
      </w:pPr>
      <w:r>
        <w:rPr>
          <w:rFonts w:ascii="Arial Black" w:hAnsi="Arial Black"/>
          <w:sz w:val="28"/>
          <w:szCs w:val="28"/>
        </w:rPr>
        <w:t>NY: EMT FACING REV. LICENSE – CAN HAVE JURY TRIAL</w:t>
      </w:r>
    </w:p>
    <w:p w14:paraId="38EB5081" w14:textId="33A854B7" w:rsidR="00DB0A44" w:rsidRPr="00233326" w:rsidRDefault="00233326" w:rsidP="00233326">
      <w:pPr>
        <w:rPr>
          <w:rFonts w:ascii="Times New Roman" w:hAnsi="Times New Roman"/>
          <w:b/>
          <w:bCs/>
          <w:sz w:val="24"/>
          <w:szCs w:val="24"/>
        </w:rPr>
      </w:pPr>
      <w:r w:rsidRPr="00233326">
        <w:rPr>
          <w:rFonts w:ascii="Times New Roman" w:hAnsi="Times New Roman"/>
          <w:sz w:val="24"/>
          <w:szCs w:val="24"/>
        </w:rPr>
        <w:t xml:space="preserve">On April 14, 2025, in </w:t>
      </w:r>
      <w:r w:rsidRPr="00233326">
        <w:rPr>
          <w:rFonts w:ascii="Times New Roman" w:hAnsi="Times New Roman"/>
          <w:sz w:val="24"/>
          <w:szCs w:val="24"/>
          <w:u w:val="single"/>
        </w:rPr>
        <w:t>Justin Ball v. The New York State Department of Health</w:t>
      </w:r>
      <w:r w:rsidRPr="00233326">
        <w:rPr>
          <w:rFonts w:ascii="Times New Roman" w:hAnsi="Times New Roman"/>
          <w:b/>
          <w:sz w:val="24"/>
          <w:szCs w:val="24"/>
        </w:rPr>
        <w:t xml:space="preserve">,  </w:t>
      </w:r>
      <w:r w:rsidRPr="00233326">
        <w:rPr>
          <w:rFonts w:ascii="Times New Roman" w:hAnsi="Times New Roman"/>
          <w:sz w:val="24"/>
          <w:szCs w:val="24"/>
        </w:rPr>
        <w:t xml:space="preserve">N.Y. Supreme Court Justice Thomas Marcelle held that the EMT, facing loss of his license for improperly handling </w:t>
      </w:r>
      <w:proofErr w:type="gramStart"/>
      <w:r w:rsidRPr="00233326">
        <w:rPr>
          <w:rFonts w:ascii="Times New Roman" w:hAnsi="Times New Roman"/>
          <w:sz w:val="24"/>
          <w:szCs w:val="24"/>
        </w:rPr>
        <w:t>an</w:t>
      </w:r>
      <w:proofErr w:type="gramEnd"/>
      <w:r w:rsidRPr="00233326">
        <w:rPr>
          <w:rFonts w:ascii="Times New Roman" w:hAnsi="Times New Roman"/>
          <w:sz w:val="24"/>
          <w:szCs w:val="24"/>
        </w:rPr>
        <w:t xml:space="preserve"> patient with “scorn and ridicule” is entitled to a jury trial, rather than administrative hearing before the Department of Health. </w:t>
      </w:r>
      <w:hyperlink r:id="rId2036" w:history="1">
        <w:r w:rsidR="007807F7" w:rsidRPr="003870A5">
          <w:rPr>
            <w:rStyle w:val="Hyperlink"/>
            <w:rFonts w:ascii="Times New Roman" w:hAnsi="Times New Roman"/>
            <w:sz w:val="24"/>
            <w:szCs w:val="24"/>
          </w:rPr>
          <w:t>https://law.justia.com/cases/new-york/other-courts/2025/2025-ny-slip-op-25090.html</w:t>
        </w:r>
      </w:hyperlink>
      <w:r w:rsidR="007807F7">
        <w:rPr>
          <w:rFonts w:ascii="Times New Roman" w:hAnsi="Times New Roman"/>
          <w:sz w:val="24"/>
          <w:szCs w:val="24"/>
        </w:rPr>
        <w:t xml:space="preserve"> </w:t>
      </w:r>
    </w:p>
    <w:p w14:paraId="403649F7" w14:textId="77777777" w:rsidR="00BA7C2E" w:rsidRPr="00F62D6C" w:rsidRDefault="00BA7C2E" w:rsidP="00BA7C2E">
      <w:pPr>
        <w:rPr>
          <w:b/>
          <w:bCs/>
        </w:rPr>
      </w:pPr>
      <w:r w:rsidRPr="00BA7C2E">
        <w:rPr>
          <w:rFonts w:ascii="Times New Roman" w:hAnsi="Times New Roman"/>
          <w:b/>
          <w:sz w:val="24"/>
          <w:szCs w:val="24"/>
        </w:rPr>
        <w:t>Legal Lesson Learned:  A novel decision; State of NY is likely to appeal</w:t>
      </w:r>
      <w:r>
        <w:rPr>
          <w:b/>
        </w:rPr>
        <w:t xml:space="preserve">. </w:t>
      </w:r>
    </w:p>
    <w:p w14:paraId="50BD49B0" w14:textId="77777777" w:rsidR="00DB0A44" w:rsidRDefault="00DB0A44" w:rsidP="002B1283">
      <w:pPr>
        <w:rPr>
          <w:rFonts w:ascii="Arial Black" w:hAnsi="Arial Black"/>
          <w:b/>
          <w:bCs/>
          <w:sz w:val="28"/>
          <w:szCs w:val="28"/>
        </w:rPr>
      </w:pPr>
    </w:p>
    <w:p w14:paraId="6000CDD0" w14:textId="6CDED776" w:rsidR="00EB376E" w:rsidRDefault="00EF2CE3" w:rsidP="002B1283">
      <w:pPr>
        <w:rPr>
          <w:rFonts w:ascii="Arial Black" w:hAnsi="Arial Black"/>
          <w:b/>
          <w:bCs/>
          <w:sz w:val="28"/>
          <w:szCs w:val="28"/>
        </w:rPr>
      </w:pPr>
      <w:r>
        <w:rPr>
          <w:rFonts w:ascii="Arial Black" w:hAnsi="Arial Black"/>
          <w:b/>
          <w:bCs/>
          <w:sz w:val="28"/>
          <w:szCs w:val="28"/>
        </w:rPr>
        <w:t>13-2</w:t>
      </w:r>
      <w:r w:rsidR="00524647">
        <w:rPr>
          <w:rFonts w:ascii="Arial Black" w:hAnsi="Arial Black"/>
          <w:b/>
          <w:bCs/>
          <w:sz w:val="28"/>
          <w:szCs w:val="28"/>
        </w:rPr>
        <w:t>10</w:t>
      </w:r>
    </w:p>
    <w:p w14:paraId="15790D4E" w14:textId="77777777" w:rsidR="00FC77F5" w:rsidRPr="000F03D9" w:rsidRDefault="00FC77F5" w:rsidP="00FC77F5">
      <w:pPr>
        <w:pStyle w:val="NoSpacing"/>
        <w:rPr>
          <w:rFonts w:ascii="Arial Black" w:hAnsi="Arial Black"/>
          <w:sz w:val="28"/>
          <w:szCs w:val="28"/>
        </w:rPr>
      </w:pPr>
      <w:r w:rsidRPr="000F03D9">
        <w:rPr>
          <w:rFonts w:ascii="Arial Black" w:hAnsi="Arial Black"/>
          <w:sz w:val="28"/>
          <w:szCs w:val="28"/>
        </w:rPr>
        <w:t>DC: MEDIC FIRED – COVID - 6-YR OLD BOY NOT EVALUATED</w:t>
      </w:r>
    </w:p>
    <w:p w14:paraId="6000341D" w14:textId="77777777" w:rsidR="00FC77F5" w:rsidRPr="000F03D9" w:rsidRDefault="00FC77F5" w:rsidP="00FC77F5">
      <w:pPr>
        <w:pStyle w:val="NoSpacing"/>
        <w:rPr>
          <w:rFonts w:ascii="Arial Black" w:hAnsi="Arial Black"/>
          <w:sz w:val="28"/>
          <w:szCs w:val="28"/>
        </w:rPr>
      </w:pPr>
    </w:p>
    <w:p w14:paraId="3D0CA716" w14:textId="02DC2105" w:rsidR="00EF2CE3" w:rsidRPr="000F03D9" w:rsidRDefault="00FC77F5" w:rsidP="00FC77F5">
      <w:pPr>
        <w:rPr>
          <w:rFonts w:ascii="Times New Roman" w:hAnsi="Times New Roman"/>
          <w:b/>
          <w:bCs/>
          <w:sz w:val="24"/>
          <w:szCs w:val="24"/>
        </w:rPr>
      </w:pPr>
      <w:r w:rsidRPr="000F03D9">
        <w:rPr>
          <w:rFonts w:ascii="Times New Roman" w:hAnsi="Times New Roman"/>
          <w:sz w:val="24"/>
          <w:szCs w:val="24"/>
        </w:rPr>
        <w:t xml:space="preserve">On March 31, 2025, in </w:t>
      </w:r>
      <w:proofErr w:type="spellStart"/>
      <w:r w:rsidRPr="000F03D9">
        <w:rPr>
          <w:rFonts w:ascii="Times New Roman" w:hAnsi="Times New Roman"/>
          <w:sz w:val="24"/>
          <w:szCs w:val="24"/>
          <w:u w:val="single"/>
        </w:rPr>
        <w:t>Danaryae</w:t>
      </w:r>
      <w:proofErr w:type="spellEnd"/>
      <w:r w:rsidRPr="000F03D9">
        <w:rPr>
          <w:rFonts w:ascii="Times New Roman" w:hAnsi="Times New Roman"/>
          <w:sz w:val="24"/>
          <w:szCs w:val="24"/>
          <w:u w:val="single"/>
        </w:rPr>
        <w:t xml:space="preserve"> Lewis v. District of Columbia</w:t>
      </w:r>
      <w:r w:rsidRPr="000F03D9">
        <w:rPr>
          <w:rFonts w:ascii="Times New Roman" w:hAnsi="Times New Roman"/>
          <w:sz w:val="24"/>
          <w:szCs w:val="24"/>
        </w:rPr>
        <w:t xml:space="preserve">, U.S. District Court Judge Carl  J. Nichols, U.S. District Court for District of Columbia, denied the City’s motion for summary judgment.  She alleges that during COVID white and Hispanic EMS likewise did not put on PPE and enter homes to evaluate patients.  </w:t>
      </w:r>
      <w:hyperlink r:id="rId2037" w:history="1">
        <w:r w:rsidRPr="000F03D9">
          <w:rPr>
            <w:rStyle w:val="Hyperlink"/>
            <w:rFonts w:ascii="Times New Roman" w:hAnsi="Times New Roman"/>
            <w:sz w:val="24"/>
            <w:szCs w:val="24"/>
          </w:rPr>
          <w:t>https://public.fastcase.com/jaEE2PXzRXmZ99jOLMt1IuWGAIUpkkorrJl529LJ3awEx3zEi%2Byx9rGBI4x8eUTPQhULRQSbbdyTI3aaLB6SYlAXn8jJowYQjsFj%2FU%2FJFgg%3D?utm_medium=email&amp;_hsenc=p2ANqtz-83fSGxDadFaAqcLR0jtt8PGQuvqaI_epd1KGRFswTzY3809DqN4cnTFvjtIk9nPU87syAh5PxEK-y1xpj2mK9t5ywDKQ&amp;_hsmi=226712652&amp;utm_content=226712652&amp;utm_source=hs_email</w:t>
        </w:r>
      </w:hyperlink>
    </w:p>
    <w:p w14:paraId="2CCCE686" w14:textId="77777777" w:rsidR="000F03D9" w:rsidRPr="000F03D9" w:rsidRDefault="000F03D9" w:rsidP="000F03D9">
      <w:pPr>
        <w:pStyle w:val="NoSpacing"/>
        <w:rPr>
          <w:rFonts w:ascii="Times New Roman" w:hAnsi="Times New Roman"/>
          <w:b/>
          <w:bCs/>
          <w:sz w:val="24"/>
          <w:szCs w:val="24"/>
        </w:rPr>
      </w:pPr>
      <w:r w:rsidRPr="000F03D9">
        <w:rPr>
          <w:rFonts w:ascii="Times New Roman" w:hAnsi="Times New Roman"/>
          <w:b/>
          <w:sz w:val="24"/>
          <w:szCs w:val="24"/>
        </w:rPr>
        <w:t xml:space="preserve">Legal Lesson Learned: Case will now proceed to pre-trial discovery.  COVID protocols must be followed, including </w:t>
      </w:r>
      <w:proofErr w:type="gramStart"/>
      <w:r w:rsidRPr="000F03D9">
        <w:rPr>
          <w:rFonts w:ascii="Times New Roman" w:hAnsi="Times New Roman"/>
          <w:b/>
          <w:sz w:val="24"/>
          <w:szCs w:val="24"/>
        </w:rPr>
        <w:t>donning</w:t>
      </w:r>
      <w:proofErr w:type="gramEnd"/>
      <w:r w:rsidRPr="000F03D9">
        <w:rPr>
          <w:rFonts w:ascii="Times New Roman" w:hAnsi="Times New Roman"/>
          <w:b/>
          <w:sz w:val="24"/>
          <w:szCs w:val="24"/>
        </w:rPr>
        <w:t xml:space="preserve"> PPE if needed to assess a patient. </w:t>
      </w:r>
    </w:p>
    <w:p w14:paraId="4BB46571" w14:textId="77777777" w:rsidR="000F03D9" w:rsidRDefault="000F03D9" w:rsidP="000F03D9"/>
    <w:p w14:paraId="7A118820" w14:textId="77777777" w:rsidR="00EF2CE3" w:rsidRDefault="00EF2CE3" w:rsidP="00EB376E">
      <w:pPr>
        <w:pStyle w:val="NoSpacing"/>
        <w:rPr>
          <w:rFonts w:ascii="Arial Black" w:hAnsi="Arial Black"/>
          <w:b/>
          <w:bCs/>
          <w:sz w:val="28"/>
          <w:szCs w:val="28"/>
        </w:rPr>
      </w:pPr>
    </w:p>
    <w:p w14:paraId="5702318D" w14:textId="77777777" w:rsidR="00EF2CE3" w:rsidRDefault="00EF2CE3" w:rsidP="00EB376E">
      <w:pPr>
        <w:pStyle w:val="NoSpacing"/>
        <w:rPr>
          <w:rFonts w:ascii="Arial Black" w:hAnsi="Arial Black"/>
          <w:b/>
          <w:bCs/>
          <w:sz w:val="28"/>
          <w:szCs w:val="28"/>
        </w:rPr>
      </w:pPr>
    </w:p>
    <w:p w14:paraId="533B9C74" w14:textId="1BB87358" w:rsidR="00EF2CE3" w:rsidRDefault="00EB376E" w:rsidP="00EB376E">
      <w:pPr>
        <w:pStyle w:val="NoSpacing"/>
        <w:rPr>
          <w:rFonts w:ascii="Arial Black" w:hAnsi="Arial Black"/>
          <w:sz w:val="28"/>
          <w:szCs w:val="28"/>
        </w:rPr>
      </w:pPr>
      <w:r>
        <w:rPr>
          <w:rFonts w:ascii="Arial Black" w:hAnsi="Arial Black"/>
          <w:b/>
          <w:bCs/>
          <w:sz w:val="28"/>
          <w:szCs w:val="28"/>
        </w:rPr>
        <w:t>13-2</w:t>
      </w:r>
      <w:r w:rsidR="00524647">
        <w:rPr>
          <w:rFonts w:ascii="Arial Black" w:hAnsi="Arial Black"/>
          <w:b/>
          <w:bCs/>
          <w:sz w:val="28"/>
          <w:szCs w:val="28"/>
        </w:rPr>
        <w:t>09</w:t>
      </w:r>
      <w:r w:rsidRPr="00EB376E">
        <w:rPr>
          <w:rFonts w:ascii="Arial Black" w:hAnsi="Arial Black"/>
          <w:sz w:val="28"/>
          <w:szCs w:val="28"/>
        </w:rPr>
        <w:t xml:space="preserve"> </w:t>
      </w:r>
    </w:p>
    <w:p w14:paraId="3544D330" w14:textId="77777777" w:rsidR="00EF2CE3" w:rsidRDefault="00EF2CE3" w:rsidP="00EB376E">
      <w:pPr>
        <w:pStyle w:val="NoSpacing"/>
        <w:rPr>
          <w:rFonts w:ascii="Arial Black" w:hAnsi="Arial Black"/>
          <w:sz w:val="28"/>
          <w:szCs w:val="28"/>
        </w:rPr>
      </w:pPr>
    </w:p>
    <w:p w14:paraId="40B968C9" w14:textId="30EDFE62" w:rsidR="00EB376E" w:rsidRPr="00D864F0" w:rsidRDefault="00EB376E" w:rsidP="00EB376E">
      <w:pPr>
        <w:pStyle w:val="NoSpacing"/>
        <w:rPr>
          <w:rFonts w:ascii="Arial Black" w:hAnsi="Arial Black"/>
          <w:sz w:val="28"/>
          <w:szCs w:val="28"/>
        </w:rPr>
      </w:pPr>
      <w:r>
        <w:rPr>
          <w:rFonts w:ascii="Arial Black" w:hAnsi="Arial Black"/>
          <w:sz w:val="28"/>
          <w:szCs w:val="28"/>
        </w:rPr>
        <w:t>LA: POSS. STROKE – NO CONSENT NEEDED TO TRANSPORT</w:t>
      </w:r>
    </w:p>
    <w:p w14:paraId="23F5D10C" w14:textId="77777777" w:rsidR="00EB376E" w:rsidRDefault="00EB376E" w:rsidP="00EB376E">
      <w:pPr>
        <w:pStyle w:val="NoSpacing"/>
      </w:pPr>
    </w:p>
    <w:p w14:paraId="28616DA9" w14:textId="77777777" w:rsidR="00EB376E" w:rsidRPr="00AB754A" w:rsidRDefault="00EB376E" w:rsidP="00EB376E">
      <w:pPr>
        <w:pStyle w:val="NoSpacing"/>
        <w:rPr>
          <w:rFonts w:ascii="Times New Roman" w:hAnsi="Times New Roman"/>
          <w:sz w:val="24"/>
          <w:szCs w:val="24"/>
        </w:rPr>
      </w:pPr>
      <w:r w:rsidRPr="00AB754A">
        <w:rPr>
          <w:rFonts w:ascii="Times New Roman" w:hAnsi="Times New Roman"/>
          <w:sz w:val="24"/>
          <w:szCs w:val="24"/>
        </w:rPr>
        <w:t xml:space="preserve">On March 6, 2025, in </w:t>
      </w:r>
      <w:r w:rsidRPr="00AB754A">
        <w:rPr>
          <w:rFonts w:ascii="Times New Roman" w:hAnsi="Times New Roman"/>
          <w:sz w:val="24"/>
          <w:szCs w:val="24"/>
          <w:u w:val="single"/>
        </w:rPr>
        <w:t>Isiah Cole, Jr. and his wife, Karen Cole v. New Orleans Emergency Medical Services, et al</w:t>
      </w:r>
      <w:r w:rsidRPr="00AB754A">
        <w:rPr>
          <w:rFonts w:ascii="Times New Roman" w:hAnsi="Times New Roman"/>
          <w:sz w:val="24"/>
          <w:szCs w:val="24"/>
        </w:rPr>
        <w:t xml:space="preserve">., the Court of Appeals of Louisiana, Fourth Circuit, held (3 to 0) that the trial court on May 10, 2024 after a bench trial, found defendants not liable for transporting him to hospital without his consent, and for allegedly dropping him off flexible Reeves Stretcher going down a flight of stairs. “At the time the June 23, </w:t>
      </w:r>
      <w:proofErr w:type="gramStart"/>
      <w:r w:rsidRPr="00AB754A">
        <w:rPr>
          <w:rFonts w:ascii="Times New Roman" w:hAnsi="Times New Roman"/>
          <w:sz w:val="24"/>
          <w:szCs w:val="24"/>
        </w:rPr>
        <w:t>2017</w:t>
      </w:r>
      <w:proofErr w:type="gramEnd"/>
      <w:r w:rsidRPr="00AB754A">
        <w:rPr>
          <w:rFonts w:ascii="Times New Roman" w:hAnsi="Times New Roman"/>
          <w:sz w:val="24"/>
          <w:szCs w:val="24"/>
        </w:rPr>
        <w:t xml:space="preserve"> incident occurred, Mr. Cole was a 75-year-old man with </w:t>
      </w:r>
      <w:proofErr w:type="gramStart"/>
      <w:r w:rsidRPr="00AB754A">
        <w:rPr>
          <w:rFonts w:ascii="Times New Roman" w:hAnsi="Times New Roman"/>
          <w:sz w:val="24"/>
          <w:szCs w:val="24"/>
        </w:rPr>
        <w:t>a number of</w:t>
      </w:r>
      <w:proofErr w:type="gramEnd"/>
      <w:r w:rsidRPr="00AB754A">
        <w:rPr>
          <w:rFonts w:ascii="Times New Roman" w:hAnsi="Times New Roman"/>
          <w:sz w:val="24"/>
          <w:szCs w:val="24"/>
        </w:rPr>
        <w:t xml:space="preserve"> health problems. EMS evaluated him thoroughly and determined that a new onset of seizure and his altered mental status necessitated his transport to the hospital. As [Paramedic Derick] Blanchard testified, ‘Time is brain cells.’ The trial court found that “EMS adhered to proper protocol, and their determination that Mr. Cole did not have the capacity to refuse treatment did not violate the standard of care. After a review of the record and the applicable law, we agree and find that EMS acted pursuant to La. R.S. 40:1159.5 because they reasonably believed that any delay in diagnosis or treatment could have been harmful to Mr. Cole. We do not find that the trial court failed to recognize Mr. Cole’s constitutional and statutory rights; instead, we agree with the trial court that NOEMS could supersede those rights </w:t>
      </w:r>
      <w:proofErr w:type="gramStart"/>
      <w:r w:rsidRPr="00AB754A">
        <w:rPr>
          <w:rFonts w:ascii="Times New Roman" w:hAnsi="Times New Roman"/>
          <w:sz w:val="24"/>
          <w:szCs w:val="24"/>
        </w:rPr>
        <w:t>in order to</w:t>
      </w:r>
      <w:proofErr w:type="gramEnd"/>
      <w:r w:rsidRPr="00AB754A">
        <w:rPr>
          <w:rFonts w:ascii="Times New Roman" w:hAnsi="Times New Roman"/>
          <w:sz w:val="24"/>
          <w:szCs w:val="24"/>
        </w:rPr>
        <w:t xml:space="preserve"> prevent harm to Mr. Cole. Therefore, we find no error in the trial court’s </w:t>
      </w:r>
      <w:proofErr w:type="gramStart"/>
      <w:r w:rsidRPr="00AB754A">
        <w:rPr>
          <w:rFonts w:ascii="Times New Roman" w:hAnsi="Times New Roman"/>
          <w:sz w:val="24"/>
          <w:szCs w:val="24"/>
        </w:rPr>
        <w:t>finding</w:t>
      </w:r>
      <w:proofErr w:type="gramEnd"/>
      <w:r w:rsidRPr="00AB754A">
        <w:rPr>
          <w:rFonts w:ascii="Times New Roman" w:hAnsi="Times New Roman"/>
          <w:sz w:val="24"/>
          <w:szCs w:val="24"/>
        </w:rPr>
        <w:t xml:space="preserve">.  For the reasons discussed herein, we affirm the judgment of the trial court.” </w:t>
      </w:r>
      <w:hyperlink r:id="rId2038" w:history="1">
        <w:r w:rsidRPr="00AB754A">
          <w:rPr>
            <w:rStyle w:val="Hyperlink"/>
            <w:rFonts w:ascii="Times New Roman" w:hAnsi="Times New Roman"/>
            <w:sz w:val="24"/>
            <w:szCs w:val="24"/>
          </w:rPr>
          <w:t>https://cases.justia.com/louisiana/fourth-circuit-court-of-appeal/2025-2024-ca-0437.pdf?ts=1741310103</w:t>
        </w:r>
      </w:hyperlink>
      <w:r w:rsidRPr="00AB754A">
        <w:rPr>
          <w:rFonts w:ascii="Times New Roman" w:hAnsi="Times New Roman"/>
          <w:sz w:val="24"/>
          <w:szCs w:val="24"/>
        </w:rPr>
        <w:t xml:space="preserve"> </w:t>
      </w:r>
    </w:p>
    <w:p w14:paraId="064B67C8" w14:textId="77777777" w:rsidR="00AB754A" w:rsidRPr="00AB754A" w:rsidRDefault="00AB754A" w:rsidP="00AB754A">
      <w:pPr>
        <w:pStyle w:val="NoSpacing"/>
        <w:rPr>
          <w:rFonts w:ascii="Times New Roman" w:hAnsi="Times New Roman"/>
          <w:b/>
          <w:sz w:val="24"/>
          <w:szCs w:val="24"/>
        </w:rPr>
      </w:pPr>
    </w:p>
    <w:p w14:paraId="4EDB7B4C" w14:textId="29A7ACA4" w:rsidR="00AB754A" w:rsidRPr="00AB754A" w:rsidRDefault="00AB754A" w:rsidP="00AB754A">
      <w:pPr>
        <w:pStyle w:val="NoSpacing"/>
        <w:rPr>
          <w:rFonts w:ascii="Times New Roman" w:hAnsi="Times New Roman"/>
          <w:b/>
          <w:bCs/>
          <w:sz w:val="24"/>
          <w:szCs w:val="24"/>
        </w:rPr>
      </w:pPr>
      <w:r w:rsidRPr="00AB754A">
        <w:rPr>
          <w:rFonts w:ascii="Times New Roman" w:hAnsi="Times New Roman"/>
          <w:b/>
          <w:sz w:val="24"/>
          <w:szCs w:val="24"/>
        </w:rPr>
        <w:t>Legal Lesson Learned:  Stroke patient was properly transported to hospital;  state statute does not require patient consent “where an emergency exists.”</w:t>
      </w:r>
    </w:p>
    <w:p w14:paraId="1CDFC028" w14:textId="77777777" w:rsidR="00AB754A" w:rsidRDefault="00AB754A" w:rsidP="002B1283">
      <w:pPr>
        <w:rPr>
          <w:rFonts w:ascii="Arial Black" w:hAnsi="Arial Black"/>
          <w:b/>
          <w:bCs/>
          <w:sz w:val="28"/>
          <w:szCs w:val="28"/>
        </w:rPr>
      </w:pPr>
    </w:p>
    <w:p w14:paraId="19BC067E" w14:textId="77777777" w:rsidR="00EB376E" w:rsidRDefault="00EB376E" w:rsidP="002B1283">
      <w:pPr>
        <w:rPr>
          <w:rFonts w:ascii="Arial Black" w:hAnsi="Arial Black"/>
          <w:b/>
          <w:bCs/>
          <w:sz w:val="28"/>
          <w:szCs w:val="28"/>
        </w:rPr>
      </w:pPr>
    </w:p>
    <w:p w14:paraId="5788523D" w14:textId="4AEC9C62" w:rsidR="00062DA4" w:rsidRDefault="00062DA4" w:rsidP="002B1283">
      <w:pPr>
        <w:rPr>
          <w:rFonts w:ascii="Arial Black" w:hAnsi="Arial Black"/>
          <w:b/>
          <w:bCs/>
          <w:sz w:val="28"/>
          <w:szCs w:val="28"/>
        </w:rPr>
      </w:pPr>
      <w:r>
        <w:rPr>
          <w:rFonts w:ascii="Arial Black" w:hAnsi="Arial Black"/>
          <w:b/>
          <w:bCs/>
          <w:sz w:val="28"/>
          <w:szCs w:val="28"/>
        </w:rPr>
        <w:t xml:space="preserve">13 - </w:t>
      </w:r>
      <w:r w:rsidR="00F607C4">
        <w:rPr>
          <w:rFonts w:ascii="Arial Black" w:hAnsi="Arial Black"/>
          <w:b/>
          <w:bCs/>
          <w:sz w:val="28"/>
          <w:szCs w:val="28"/>
        </w:rPr>
        <w:t>20</w:t>
      </w:r>
      <w:r w:rsidR="00524647">
        <w:rPr>
          <w:rFonts w:ascii="Arial Black" w:hAnsi="Arial Black"/>
          <w:b/>
          <w:bCs/>
          <w:sz w:val="28"/>
          <w:szCs w:val="28"/>
        </w:rPr>
        <w:t>8</w:t>
      </w:r>
      <w:r>
        <w:rPr>
          <w:rFonts w:ascii="Arial Black" w:hAnsi="Arial Black"/>
          <w:b/>
          <w:bCs/>
          <w:sz w:val="28"/>
          <w:szCs w:val="28"/>
        </w:rPr>
        <w:t xml:space="preserve"> [also filed, Chap. 15]</w:t>
      </w:r>
    </w:p>
    <w:p w14:paraId="731220F6" w14:textId="7023D80F" w:rsidR="00062DA4" w:rsidRPr="000B7F2C" w:rsidRDefault="00062DA4" w:rsidP="00062DA4">
      <w:pPr>
        <w:rPr>
          <w:rFonts w:ascii="Arial Black" w:hAnsi="Arial Black"/>
          <w:sz w:val="28"/>
          <w:szCs w:val="28"/>
        </w:rPr>
      </w:pPr>
      <w:r w:rsidRPr="000B7F2C">
        <w:rPr>
          <w:rFonts w:ascii="Arial Black" w:hAnsi="Arial Black"/>
          <w:sz w:val="28"/>
          <w:szCs w:val="28"/>
        </w:rPr>
        <w:t>CO: MEDIC</w:t>
      </w:r>
      <w:r w:rsidR="00A931FC">
        <w:rPr>
          <w:rFonts w:ascii="Arial Black" w:hAnsi="Arial Black"/>
          <w:sz w:val="28"/>
          <w:szCs w:val="28"/>
        </w:rPr>
        <w:t xml:space="preserve"> </w:t>
      </w:r>
      <w:r w:rsidR="005467E9">
        <w:rPr>
          <w:rFonts w:ascii="Arial Black" w:hAnsi="Arial Black"/>
          <w:sz w:val="28"/>
          <w:szCs w:val="28"/>
        </w:rPr>
        <w:t xml:space="preserve">ON CRISIS RESP TEAM - </w:t>
      </w:r>
      <w:r w:rsidRPr="000B7F2C">
        <w:rPr>
          <w:rFonts w:ascii="Arial Black" w:hAnsi="Arial Black"/>
          <w:sz w:val="28"/>
          <w:szCs w:val="28"/>
        </w:rPr>
        <w:t xml:space="preserve">TACKLED </w:t>
      </w:r>
      <w:r w:rsidR="005467E9">
        <w:rPr>
          <w:rFonts w:ascii="Arial Black" w:hAnsi="Arial Black"/>
          <w:sz w:val="28"/>
          <w:szCs w:val="28"/>
        </w:rPr>
        <w:t>PT / DIED - IMMUNITY</w:t>
      </w:r>
    </w:p>
    <w:p w14:paraId="19876359" w14:textId="77777777" w:rsidR="00062DA4" w:rsidRPr="00CA2B3F" w:rsidRDefault="00062DA4" w:rsidP="00062DA4">
      <w:pPr>
        <w:rPr>
          <w:rFonts w:ascii="Times New Roman" w:hAnsi="Times New Roman"/>
          <w:sz w:val="24"/>
          <w:szCs w:val="24"/>
        </w:rPr>
      </w:pPr>
      <w:r w:rsidRPr="00CA2B3F">
        <w:rPr>
          <w:rFonts w:ascii="Times New Roman" w:hAnsi="Times New Roman"/>
          <w:sz w:val="24"/>
          <w:szCs w:val="24"/>
        </w:rPr>
        <w:t xml:space="preserve">On Feb. 28, 2025, in </w:t>
      </w:r>
      <w:r w:rsidRPr="00CA2B3F">
        <w:rPr>
          <w:rFonts w:ascii="Times New Roman" w:hAnsi="Times New Roman"/>
          <w:sz w:val="24"/>
          <w:szCs w:val="24"/>
          <w:u w:val="single"/>
        </w:rPr>
        <w:t>Estate of Kevin Dizmang v. Sean Reed, a Colorado Springs Police Officer and Nick Fischer, a Colorado Springs Paramedic</w:t>
      </w:r>
      <w:r w:rsidRPr="00CA2B3F">
        <w:rPr>
          <w:rFonts w:ascii="Times New Roman" w:hAnsi="Times New Roman"/>
          <w:sz w:val="24"/>
          <w:szCs w:val="24"/>
        </w:rPr>
        <w:t xml:space="preserve">, United States District Court Judge Charlotte N. Sweeney, U.S. District Court for District of Colorado, granted motions to dismiss the paramedic and the police officer.  The paramedic was on a three-person crisis response team (CRT) with a police officer and a licensed clinician.  The paramedic tackled the mental patient to prevent him walking back into the street and then render care. Both the paramedic and the police officer have qualified immunity.  </w:t>
      </w:r>
      <w:hyperlink r:id="rId2039" w:history="1">
        <w:r w:rsidRPr="00CA2B3F">
          <w:rPr>
            <w:rStyle w:val="Hyperlink"/>
            <w:rFonts w:ascii="Times New Roman" w:hAnsi="Times New Roman"/>
            <w:sz w:val="24"/>
            <w:szCs w:val="24"/>
          </w:rPr>
          <w:t>https://storage.courtlistener.com/recap/gov.uscourts.cod.231472/gov.uscourts.cod.231472.63.0.pdf</w:t>
        </w:r>
      </w:hyperlink>
      <w:r w:rsidRPr="00CA2B3F">
        <w:rPr>
          <w:rFonts w:ascii="Times New Roman" w:hAnsi="Times New Roman"/>
          <w:sz w:val="24"/>
          <w:szCs w:val="24"/>
        </w:rPr>
        <w:t xml:space="preserve"> </w:t>
      </w:r>
    </w:p>
    <w:p w14:paraId="79FB090C" w14:textId="77777777" w:rsidR="00062DA4" w:rsidRPr="00CA2B3F" w:rsidRDefault="00062DA4" w:rsidP="00062DA4">
      <w:pPr>
        <w:pStyle w:val="NoSpacing"/>
        <w:rPr>
          <w:rFonts w:ascii="Times New Roman" w:hAnsi="Times New Roman"/>
          <w:sz w:val="24"/>
          <w:szCs w:val="24"/>
        </w:rPr>
      </w:pPr>
      <w:r w:rsidRPr="00CA2B3F">
        <w:rPr>
          <w:rFonts w:ascii="Times New Roman" w:hAnsi="Times New Roman"/>
          <w:sz w:val="24"/>
          <w:szCs w:val="24"/>
        </w:rPr>
        <w:t xml:space="preserve">The Court described facts:  </w:t>
      </w:r>
    </w:p>
    <w:p w14:paraId="2E9708A6" w14:textId="77777777" w:rsidR="00062DA4" w:rsidRPr="00CA2B3F" w:rsidRDefault="00062DA4" w:rsidP="00062DA4">
      <w:pPr>
        <w:pStyle w:val="NoSpacing"/>
        <w:rPr>
          <w:rFonts w:ascii="Times New Roman" w:hAnsi="Times New Roman"/>
          <w:sz w:val="24"/>
          <w:szCs w:val="24"/>
        </w:rPr>
      </w:pPr>
    </w:p>
    <w:p w14:paraId="7333825F" w14:textId="77777777" w:rsidR="00062DA4" w:rsidRPr="00CA2B3F" w:rsidRDefault="00062DA4" w:rsidP="00062DA4">
      <w:pPr>
        <w:pStyle w:val="NoSpacing"/>
        <w:ind w:left="720"/>
        <w:rPr>
          <w:rFonts w:ascii="Times New Roman" w:hAnsi="Times New Roman"/>
          <w:sz w:val="24"/>
          <w:szCs w:val="24"/>
        </w:rPr>
      </w:pPr>
      <w:proofErr w:type="gramStart"/>
      <w:r w:rsidRPr="00CA2B3F">
        <w:rPr>
          <w:rFonts w:ascii="Times New Roman" w:hAnsi="Times New Roman"/>
          <w:sz w:val="24"/>
          <w:szCs w:val="24"/>
        </w:rPr>
        <w:t>“[Officer]Reed</w:t>
      </w:r>
      <w:proofErr w:type="gramEnd"/>
      <w:r w:rsidRPr="00CA2B3F">
        <w:rPr>
          <w:rFonts w:ascii="Times New Roman" w:hAnsi="Times New Roman"/>
          <w:sz w:val="24"/>
          <w:szCs w:val="24"/>
        </w:rPr>
        <w:t xml:space="preserve"> approached Mr. Dizmang, who walked back into traffic and bent over with his hands on his knees, displaying respiratory distress. Id. Mr. Dizmang said, ‘HELP me,’ then walked farther into the road…. Mr. Dizmang repeatedly </w:t>
      </w:r>
      <w:proofErr w:type="gramStart"/>
      <w:r w:rsidRPr="00CA2B3F">
        <w:rPr>
          <w:rFonts w:ascii="Times New Roman" w:hAnsi="Times New Roman"/>
          <w:sz w:val="24"/>
          <w:szCs w:val="24"/>
        </w:rPr>
        <w:t>said ‘please’</w:t>
      </w:r>
      <w:proofErr w:type="gramEnd"/>
      <w:r w:rsidRPr="00CA2B3F">
        <w:rPr>
          <w:rFonts w:ascii="Times New Roman" w:hAnsi="Times New Roman"/>
          <w:sz w:val="24"/>
          <w:szCs w:val="24"/>
        </w:rPr>
        <w:t xml:space="preserve"> and walked in circles in a ‘clearly </w:t>
      </w:r>
      <w:proofErr w:type="gramStart"/>
      <w:r w:rsidRPr="00CA2B3F">
        <w:rPr>
          <w:rFonts w:ascii="Times New Roman" w:hAnsi="Times New Roman"/>
          <w:sz w:val="24"/>
          <w:szCs w:val="24"/>
        </w:rPr>
        <w:t>confused</w:t>
      </w:r>
      <w:proofErr w:type="gramEnd"/>
      <w:r w:rsidRPr="00CA2B3F">
        <w:rPr>
          <w:rFonts w:ascii="Times New Roman" w:hAnsi="Times New Roman"/>
          <w:sz w:val="24"/>
          <w:szCs w:val="24"/>
        </w:rPr>
        <w:t xml:space="preserve"> and panicked state.’ … Defendant Reed then told Mr. Dizmang, </w:t>
      </w:r>
      <w:proofErr w:type="gramStart"/>
      <w:r w:rsidRPr="00CA2B3F">
        <w:rPr>
          <w:rFonts w:ascii="Times New Roman" w:hAnsi="Times New Roman"/>
          <w:sz w:val="24"/>
          <w:szCs w:val="24"/>
        </w:rPr>
        <w:t>‘sit</w:t>
      </w:r>
      <w:proofErr w:type="gramEnd"/>
      <w:r w:rsidRPr="00CA2B3F">
        <w:rPr>
          <w:rFonts w:ascii="Times New Roman" w:hAnsi="Times New Roman"/>
          <w:sz w:val="24"/>
          <w:szCs w:val="24"/>
        </w:rPr>
        <w:t xml:space="preserve"> down or put your hands behind your back.’</w:t>
      </w:r>
    </w:p>
    <w:p w14:paraId="1A1D6DF3" w14:textId="77777777" w:rsidR="00062DA4" w:rsidRPr="00CA2B3F" w:rsidRDefault="00062DA4" w:rsidP="00062DA4">
      <w:pPr>
        <w:pStyle w:val="NoSpacing"/>
        <w:rPr>
          <w:rFonts w:ascii="Times New Roman" w:hAnsi="Times New Roman"/>
          <w:sz w:val="24"/>
          <w:szCs w:val="24"/>
        </w:rPr>
      </w:pPr>
    </w:p>
    <w:p w14:paraId="760FCB6E"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56FC3817"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The parties </w:t>
      </w:r>
      <w:proofErr w:type="gramStart"/>
      <w:r w:rsidRPr="00CA2B3F">
        <w:rPr>
          <w:rFonts w:ascii="Times New Roman" w:hAnsi="Times New Roman"/>
          <w:sz w:val="24"/>
          <w:szCs w:val="24"/>
        </w:rPr>
        <w:t>dispute</w:t>
      </w:r>
      <w:proofErr w:type="gramEnd"/>
      <w:r w:rsidRPr="00CA2B3F">
        <w:rPr>
          <w:rFonts w:ascii="Times New Roman" w:hAnsi="Times New Roman"/>
          <w:sz w:val="24"/>
          <w:szCs w:val="24"/>
        </w:rPr>
        <w:t xml:space="preserve"> what happened next. [Court now references the plaintiff’s complaint.] Plaintiff alleges that, as Mr. Dizmang stood in the tree line approximately 20 feet from the road, [Paramedic] Fischer ‘suddenly and violently tackled’ him to the ground…. As alleged, Defendant Fischer put Mr. Dizmang into a chokehold by wrapping his arms around his neck while Defendant Reed handcuffed Mr. Dizmang’s hands behind his back….  Defendant Fischer maintained this hold for approximately 30 seconds…. Mr. Dizmang stopped moving.</w:t>
      </w:r>
    </w:p>
    <w:p w14:paraId="2500B162" w14:textId="77777777" w:rsidR="00062DA4" w:rsidRPr="00CA2B3F" w:rsidRDefault="00062DA4" w:rsidP="00062DA4">
      <w:pPr>
        <w:pStyle w:val="NoSpacing"/>
        <w:rPr>
          <w:rFonts w:ascii="Times New Roman" w:hAnsi="Times New Roman"/>
          <w:sz w:val="24"/>
          <w:szCs w:val="24"/>
        </w:rPr>
      </w:pPr>
    </w:p>
    <w:p w14:paraId="26A1CD14"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then rolled Mr. Dizmang face down on the ground, with his</w:t>
      </w:r>
    </w:p>
    <w:p w14:paraId="28452EE4"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hands on the back of Mr. Dizmang’s neck and ‘driving his body weight downward, [Mr. Dizmang’s] neck and face into the ground. … Plaintiff alleges that Defendant Fischer stayed in that position, ‘with his body weight on [Mr. Dizmang’s] neck and back,’ for approximately forty-five seconds….Defendants Fischer and Reed then rolled Mr. Dizmang into a seated position….  At that point, Mr. Dizmang still had a faint pulse, but he was struggling to breathe and was unresponsive to questions and commands…. A bystander repeatedly told Mr. Dizmang, </w:t>
      </w:r>
      <w:proofErr w:type="gramStart"/>
      <w:r w:rsidRPr="00CA2B3F">
        <w:rPr>
          <w:rFonts w:ascii="Times New Roman" w:hAnsi="Times New Roman"/>
          <w:sz w:val="24"/>
          <w:szCs w:val="24"/>
        </w:rPr>
        <w:t>‘talk</w:t>
      </w:r>
      <w:proofErr w:type="gramEnd"/>
      <w:r w:rsidRPr="00CA2B3F">
        <w:rPr>
          <w:rFonts w:ascii="Times New Roman" w:hAnsi="Times New Roman"/>
          <w:sz w:val="24"/>
          <w:szCs w:val="24"/>
        </w:rPr>
        <w:t xml:space="preserve"> to me,’ but he never responded…. Defendant Reed called for an ambulance…. Defendants Reed and Fischer left Mr. Dizmang in handcuffs…. He remained handcuffed for nearly seven minutes before he was loaded onto a stretcher and moved into an ambulance…. As alleged,</w:t>
      </w:r>
    </w:p>
    <w:p w14:paraId="0124A445"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took no actions to provide medical care or resuscitate Mr. Dizmang….</w:t>
      </w:r>
    </w:p>
    <w:p w14:paraId="75BE8A75"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commented, ‘He’s not aspirating’ and ‘I want to attempt a</w:t>
      </w:r>
    </w:p>
    <w:p w14:paraId="29D2AED5"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nasal airway.’ …Medical staff attempted resuscitation measures once Mr. Dizmang was</w:t>
      </w:r>
    </w:p>
    <w:p w14:paraId="1289D7DB"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transferred to the ambulance…. Once at the hospital, emergency room staff also attempted life-saving measures, but Mr. Dizmang was pronounced dead at 6:16 p.m.”</w:t>
      </w:r>
    </w:p>
    <w:p w14:paraId="4D2AA20F" w14:textId="77777777" w:rsidR="00062DA4" w:rsidRPr="00CA2B3F" w:rsidRDefault="00062DA4" w:rsidP="00062DA4">
      <w:pPr>
        <w:pStyle w:val="NoSpacing"/>
        <w:rPr>
          <w:rFonts w:ascii="Times New Roman" w:hAnsi="Times New Roman"/>
          <w:sz w:val="24"/>
          <w:szCs w:val="24"/>
        </w:rPr>
      </w:pPr>
    </w:p>
    <w:p w14:paraId="7797E772" w14:textId="77777777" w:rsidR="00062DA4" w:rsidRPr="00CA2B3F" w:rsidRDefault="00062DA4" w:rsidP="00062DA4">
      <w:pPr>
        <w:pStyle w:val="NoSpacing"/>
        <w:rPr>
          <w:rFonts w:ascii="Times New Roman" w:hAnsi="Times New Roman"/>
          <w:sz w:val="24"/>
          <w:szCs w:val="24"/>
        </w:rPr>
      </w:pPr>
      <w:r w:rsidRPr="00CA2B3F">
        <w:rPr>
          <w:rFonts w:ascii="Times New Roman" w:hAnsi="Times New Roman"/>
          <w:sz w:val="24"/>
          <w:szCs w:val="24"/>
        </w:rPr>
        <w:t>The Court held:</w:t>
      </w:r>
    </w:p>
    <w:p w14:paraId="199703FE" w14:textId="77777777" w:rsidR="00062DA4" w:rsidRPr="00CA2B3F" w:rsidRDefault="00062DA4" w:rsidP="00062DA4">
      <w:pPr>
        <w:pStyle w:val="NoSpacing"/>
        <w:rPr>
          <w:rFonts w:ascii="Times New Roman" w:hAnsi="Times New Roman"/>
          <w:sz w:val="24"/>
          <w:szCs w:val="24"/>
        </w:rPr>
      </w:pPr>
    </w:p>
    <w:p w14:paraId="5180D940"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“Here, based on the allegations in the complaint, it appears that [Paramedic] Fischer</w:t>
      </w:r>
    </w:p>
    <w:p w14:paraId="571B4C02"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was not attempting to arrest Mr. Dizmang or otherwise enforce the law; he was trying to</w:t>
      </w:r>
    </w:p>
    <w:p w14:paraId="4D3FC7CF"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subdue him so that he could be properly treated…. </w:t>
      </w:r>
      <w:proofErr w:type="gramStart"/>
      <w:r w:rsidRPr="00CA2B3F">
        <w:rPr>
          <w:rFonts w:ascii="Times New Roman" w:hAnsi="Times New Roman"/>
          <w:sz w:val="24"/>
          <w:szCs w:val="24"/>
        </w:rPr>
        <w:t>It is clear that Mr. Dizmang</w:t>
      </w:r>
      <w:proofErr w:type="gramEnd"/>
      <w:r w:rsidRPr="00CA2B3F">
        <w:rPr>
          <w:rFonts w:ascii="Times New Roman" w:hAnsi="Times New Roman"/>
          <w:sz w:val="24"/>
          <w:szCs w:val="24"/>
        </w:rPr>
        <w:t xml:space="preserve"> needed </w:t>
      </w:r>
    </w:p>
    <w:p w14:paraId="22E13D4C"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treatment and that Defendant Fischer was attempting to fulfill his role as a treatment provider.</w:t>
      </w:r>
    </w:p>
    <w:p w14:paraId="35F95212" w14:textId="77777777" w:rsidR="00062DA4" w:rsidRPr="00CA2B3F" w:rsidRDefault="00062DA4" w:rsidP="00062DA4">
      <w:pPr>
        <w:pStyle w:val="NoSpacing"/>
        <w:rPr>
          <w:rFonts w:ascii="Times New Roman" w:hAnsi="Times New Roman"/>
          <w:sz w:val="24"/>
          <w:szCs w:val="24"/>
        </w:rPr>
      </w:pPr>
    </w:p>
    <w:p w14:paraId="38CE3EA0"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5B4561E8"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Even if a paramedic’s attempt to provide treatment amounts to a violation of a constitutional right to be free from </w:t>
      </w:r>
      <w:proofErr w:type="gramStart"/>
      <w:r w:rsidRPr="00CA2B3F">
        <w:rPr>
          <w:rFonts w:ascii="Times New Roman" w:hAnsi="Times New Roman"/>
          <w:sz w:val="24"/>
          <w:szCs w:val="24"/>
        </w:rPr>
        <w:t>an unlawful</w:t>
      </w:r>
      <w:proofErr w:type="gramEnd"/>
      <w:r w:rsidRPr="00CA2B3F">
        <w:rPr>
          <w:rFonts w:ascii="Times New Roman" w:hAnsi="Times New Roman"/>
          <w:sz w:val="24"/>
          <w:szCs w:val="24"/>
        </w:rPr>
        <w:t xml:space="preserve"> seizure, the right was not clearly established. The Tenth Circuit has not opined on whether or in what circumstances a paramedic can effectuate a Fourth Amendment seizure…. Thus, the Court grants Defendant Fischer’s motion to dismiss and declines to exercise supplemental jurisdiction over state law claims brought here.</w:t>
      </w:r>
    </w:p>
    <w:p w14:paraId="0FC9DCB2" w14:textId="77777777" w:rsidR="00062DA4" w:rsidRPr="00CA2B3F" w:rsidRDefault="00062DA4" w:rsidP="00062DA4">
      <w:pPr>
        <w:pStyle w:val="NoSpacing"/>
        <w:rPr>
          <w:rFonts w:ascii="Times New Roman" w:hAnsi="Times New Roman"/>
          <w:sz w:val="24"/>
          <w:szCs w:val="24"/>
        </w:rPr>
      </w:pPr>
    </w:p>
    <w:p w14:paraId="4E246338"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64FF2AEA" w14:textId="77777777" w:rsidR="00062DA4" w:rsidRPr="00CA2B3F" w:rsidRDefault="00062DA4" w:rsidP="00062DA4">
      <w:pPr>
        <w:pStyle w:val="NoSpacing"/>
        <w:rPr>
          <w:rFonts w:ascii="Times New Roman" w:hAnsi="Times New Roman"/>
          <w:sz w:val="24"/>
          <w:szCs w:val="24"/>
        </w:rPr>
      </w:pPr>
    </w:p>
    <w:p w14:paraId="2C1E4F77"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[Police Officer] Reed is also entitled to qualified immunity based on the second prong. Plaintiff has not pointed to any Tenth Circuit precedent establishing a Fourth Amendment claim based on a failure to intervene in a paramedic’s alleged use of excessive </w:t>
      </w:r>
      <w:proofErr w:type="gramStart"/>
      <w:r w:rsidRPr="00CA2B3F">
        <w:rPr>
          <w:rFonts w:ascii="Times New Roman" w:hAnsi="Times New Roman"/>
          <w:sz w:val="24"/>
          <w:szCs w:val="24"/>
        </w:rPr>
        <w:t>force.”</w:t>
      </w:r>
      <w:proofErr w:type="gramEnd"/>
    </w:p>
    <w:p w14:paraId="21DB56C2" w14:textId="77777777" w:rsidR="00062DA4" w:rsidRPr="00CA2B3F" w:rsidRDefault="00062DA4" w:rsidP="00062DA4">
      <w:pPr>
        <w:pStyle w:val="NoSpacing"/>
        <w:rPr>
          <w:rFonts w:ascii="Times New Roman" w:hAnsi="Times New Roman"/>
          <w:sz w:val="24"/>
          <w:szCs w:val="24"/>
        </w:rPr>
      </w:pPr>
    </w:p>
    <w:p w14:paraId="769C11BC" w14:textId="0AE82026" w:rsidR="00062DA4" w:rsidRPr="00CA2B3F" w:rsidRDefault="00062DA4" w:rsidP="00062DA4">
      <w:pPr>
        <w:rPr>
          <w:rFonts w:ascii="Times New Roman" w:hAnsi="Times New Roman"/>
          <w:b/>
          <w:bCs/>
          <w:sz w:val="24"/>
          <w:szCs w:val="24"/>
        </w:rPr>
      </w:pPr>
      <w:r w:rsidRPr="00CA2B3F">
        <w:rPr>
          <w:rFonts w:ascii="Times New Roman" w:hAnsi="Times New Roman"/>
          <w:b/>
          <w:sz w:val="24"/>
          <w:szCs w:val="24"/>
        </w:rPr>
        <w:t xml:space="preserve">Legal Lesson Learned:  Critical Response Teams are a wonderful community asset; when subduing a mental </w:t>
      </w:r>
      <w:proofErr w:type="gramStart"/>
      <w:r w:rsidRPr="00CA2B3F">
        <w:rPr>
          <w:rFonts w:ascii="Times New Roman" w:hAnsi="Times New Roman"/>
          <w:b/>
          <w:sz w:val="24"/>
          <w:szCs w:val="24"/>
        </w:rPr>
        <w:t>patient</w:t>
      </w:r>
      <w:proofErr w:type="gramEnd"/>
      <w:r w:rsidRPr="00CA2B3F">
        <w:rPr>
          <w:rFonts w:ascii="Times New Roman" w:hAnsi="Times New Roman"/>
          <w:b/>
          <w:sz w:val="24"/>
          <w:szCs w:val="24"/>
        </w:rPr>
        <w:t xml:space="preserve"> it is helpful to have a member of the team videotape the conduct</w:t>
      </w:r>
      <w:r w:rsidR="008226AC">
        <w:rPr>
          <w:rFonts w:ascii="Times New Roman" w:hAnsi="Times New Roman"/>
          <w:b/>
          <w:sz w:val="24"/>
          <w:szCs w:val="24"/>
        </w:rPr>
        <w:t>.</w:t>
      </w:r>
    </w:p>
    <w:p w14:paraId="07AFF63B" w14:textId="77777777" w:rsidR="00D85226" w:rsidRDefault="00D85226" w:rsidP="002B1283">
      <w:pPr>
        <w:rPr>
          <w:rFonts w:ascii="Arial Black" w:hAnsi="Arial Black"/>
          <w:b/>
          <w:bCs/>
          <w:sz w:val="28"/>
          <w:szCs w:val="28"/>
        </w:rPr>
      </w:pPr>
    </w:p>
    <w:p w14:paraId="7302C3F2" w14:textId="04B3FB33" w:rsidR="003D0C4C" w:rsidRDefault="003D0C4C" w:rsidP="002B1283">
      <w:pPr>
        <w:rPr>
          <w:rFonts w:ascii="Arial Black" w:hAnsi="Arial Black"/>
          <w:b/>
          <w:bCs/>
          <w:sz w:val="28"/>
          <w:szCs w:val="28"/>
        </w:rPr>
      </w:pPr>
      <w:r>
        <w:rPr>
          <w:rFonts w:ascii="Arial Black" w:hAnsi="Arial Black"/>
          <w:b/>
          <w:bCs/>
          <w:sz w:val="28"/>
          <w:szCs w:val="28"/>
        </w:rPr>
        <w:t>13-20</w:t>
      </w:r>
      <w:r w:rsidR="00524647">
        <w:rPr>
          <w:rFonts w:ascii="Arial Black" w:hAnsi="Arial Black"/>
          <w:b/>
          <w:bCs/>
          <w:sz w:val="28"/>
          <w:szCs w:val="28"/>
        </w:rPr>
        <w:t>7</w:t>
      </w:r>
    </w:p>
    <w:p w14:paraId="1CDF1CA2" w14:textId="286C4C04" w:rsidR="003D0C4C" w:rsidRPr="000B7F2C" w:rsidRDefault="003D0C4C" w:rsidP="003D0C4C">
      <w:pPr>
        <w:rPr>
          <w:rFonts w:ascii="Arial Black" w:hAnsi="Arial Black"/>
          <w:sz w:val="28"/>
          <w:szCs w:val="28"/>
        </w:rPr>
      </w:pPr>
      <w:r w:rsidRPr="000B7F2C">
        <w:rPr>
          <w:rFonts w:ascii="Arial Black" w:hAnsi="Arial Black"/>
          <w:sz w:val="28"/>
          <w:szCs w:val="28"/>
        </w:rPr>
        <w:t xml:space="preserve">CA: </w:t>
      </w:r>
      <w:r w:rsidR="004D6D56">
        <w:rPr>
          <w:rFonts w:ascii="Arial Black" w:hAnsi="Arial Black"/>
          <w:sz w:val="28"/>
          <w:szCs w:val="28"/>
        </w:rPr>
        <w:t xml:space="preserve">HEAD INJURY – NO C-COLLAR </w:t>
      </w:r>
      <w:r w:rsidR="00DB1A8A">
        <w:rPr>
          <w:rFonts w:ascii="Arial Black" w:hAnsi="Arial Black"/>
          <w:sz w:val="28"/>
          <w:szCs w:val="28"/>
        </w:rPr>
        <w:t xml:space="preserve">/ </w:t>
      </w:r>
      <w:r w:rsidR="009A6126">
        <w:rPr>
          <w:rFonts w:ascii="Arial Black" w:hAnsi="Arial Black"/>
          <w:sz w:val="28"/>
          <w:szCs w:val="28"/>
        </w:rPr>
        <w:t xml:space="preserve">PT </w:t>
      </w:r>
      <w:r w:rsidR="00110BB4">
        <w:rPr>
          <w:rFonts w:ascii="Arial Black" w:hAnsi="Arial Black"/>
          <w:sz w:val="28"/>
          <w:szCs w:val="28"/>
        </w:rPr>
        <w:t xml:space="preserve">NOW </w:t>
      </w:r>
      <w:r w:rsidRPr="000B7F2C">
        <w:rPr>
          <w:rFonts w:ascii="Arial Black" w:hAnsi="Arial Black"/>
          <w:sz w:val="28"/>
          <w:szCs w:val="28"/>
        </w:rPr>
        <w:t>QUAD</w:t>
      </w:r>
      <w:r w:rsidR="00110BB4">
        <w:rPr>
          <w:rFonts w:ascii="Arial Black" w:hAnsi="Arial Black"/>
          <w:sz w:val="28"/>
          <w:szCs w:val="28"/>
        </w:rPr>
        <w:t xml:space="preserve"> </w:t>
      </w:r>
      <w:r w:rsidR="008226AC">
        <w:rPr>
          <w:rFonts w:ascii="Arial Black" w:hAnsi="Arial Black"/>
          <w:sz w:val="28"/>
          <w:szCs w:val="28"/>
        </w:rPr>
        <w:t>–</w:t>
      </w:r>
      <w:r w:rsidR="00110BB4">
        <w:rPr>
          <w:rFonts w:ascii="Arial Black" w:hAnsi="Arial Black"/>
          <w:sz w:val="28"/>
          <w:szCs w:val="28"/>
        </w:rPr>
        <w:t xml:space="preserve"> </w:t>
      </w:r>
      <w:r w:rsidR="008226AC">
        <w:rPr>
          <w:rFonts w:ascii="Arial Black" w:hAnsi="Arial Black"/>
          <w:sz w:val="28"/>
          <w:szCs w:val="28"/>
        </w:rPr>
        <w:t xml:space="preserve">IMMUNITY - </w:t>
      </w:r>
      <w:r w:rsidR="00110BB4">
        <w:rPr>
          <w:rFonts w:ascii="Arial Black" w:hAnsi="Arial Black"/>
          <w:sz w:val="28"/>
          <w:szCs w:val="28"/>
        </w:rPr>
        <w:t>NOT GROSS NEG</w:t>
      </w:r>
      <w:r w:rsidRPr="000B7F2C">
        <w:rPr>
          <w:rFonts w:ascii="Arial Black" w:hAnsi="Arial Black"/>
          <w:sz w:val="28"/>
          <w:szCs w:val="28"/>
        </w:rPr>
        <w:t xml:space="preserve"> </w:t>
      </w:r>
    </w:p>
    <w:p w14:paraId="365A377D" w14:textId="77777777" w:rsidR="003D0C4C" w:rsidRPr="003D0C4C" w:rsidRDefault="003D0C4C" w:rsidP="003D0C4C">
      <w:pPr>
        <w:rPr>
          <w:rFonts w:ascii="Times New Roman" w:hAnsi="Times New Roman"/>
          <w:sz w:val="24"/>
          <w:szCs w:val="24"/>
        </w:rPr>
      </w:pPr>
      <w:r w:rsidRPr="003D0C4C">
        <w:rPr>
          <w:rFonts w:ascii="Times New Roman" w:hAnsi="Times New Roman"/>
          <w:sz w:val="24"/>
          <w:szCs w:val="24"/>
        </w:rPr>
        <w:t xml:space="preserve">On Feb. 20, 2025, in </w:t>
      </w:r>
      <w:r w:rsidRPr="003D0C4C">
        <w:rPr>
          <w:rFonts w:ascii="Times New Roman" w:hAnsi="Times New Roman"/>
          <w:sz w:val="24"/>
          <w:szCs w:val="24"/>
          <w:u w:val="single"/>
        </w:rPr>
        <w:t xml:space="preserve">Manju </w:t>
      </w:r>
      <w:proofErr w:type="spellStart"/>
      <w:r w:rsidRPr="003D0C4C">
        <w:rPr>
          <w:rFonts w:ascii="Times New Roman" w:hAnsi="Times New Roman"/>
          <w:sz w:val="24"/>
          <w:szCs w:val="24"/>
          <w:u w:val="single"/>
        </w:rPr>
        <w:t>Devga</w:t>
      </w:r>
      <w:proofErr w:type="spellEnd"/>
      <w:r w:rsidRPr="003D0C4C">
        <w:rPr>
          <w:rFonts w:ascii="Times New Roman" w:hAnsi="Times New Roman"/>
          <w:sz w:val="24"/>
          <w:szCs w:val="24"/>
          <w:u w:val="single"/>
        </w:rPr>
        <w:t xml:space="preserve"> v. City of Santa Monica</w:t>
      </w:r>
      <w:r w:rsidRPr="003D0C4C">
        <w:rPr>
          <w:rFonts w:ascii="Times New Roman" w:hAnsi="Times New Roman"/>
          <w:sz w:val="24"/>
          <w:szCs w:val="24"/>
        </w:rPr>
        <w:t xml:space="preserve">, the California Court of Appeals, Second District, Division Two, held (2 to 1; unpublished decision) that trial court properly dismissed the lawsuit.  The conduct of EMS may have been negligent and led to the permanent injuries of the patient (a Medical Doctor), as they ignored the warnings from his wife (another Medical Doctor), but under California law the EMS and the City are immune from liability unless proof of “bad faith or gross negligence.” </w:t>
      </w:r>
      <w:hyperlink r:id="rId2040" w:history="1">
        <w:r w:rsidRPr="003D0C4C">
          <w:rPr>
            <w:rStyle w:val="Hyperlink"/>
            <w:rFonts w:ascii="Times New Roman" w:hAnsi="Times New Roman"/>
            <w:sz w:val="24"/>
            <w:szCs w:val="24"/>
          </w:rPr>
          <w:t>https://www4.courts.ca.gov/opinions/nonpub/B332479.PDF</w:t>
        </w:r>
      </w:hyperlink>
      <w:r w:rsidRPr="003D0C4C">
        <w:rPr>
          <w:rFonts w:ascii="Times New Roman" w:hAnsi="Times New Roman"/>
          <w:sz w:val="24"/>
          <w:szCs w:val="24"/>
        </w:rPr>
        <w:t xml:space="preserve"> </w:t>
      </w:r>
    </w:p>
    <w:p w14:paraId="3E0F7893" w14:textId="77777777" w:rsidR="003D0C4C" w:rsidRPr="003D0C4C" w:rsidRDefault="003D0C4C" w:rsidP="003D0C4C">
      <w:pPr>
        <w:pStyle w:val="NoSpacing"/>
        <w:rPr>
          <w:rFonts w:ascii="Times New Roman" w:hAnsi="Times New Roman"/>
          <w:sz w:val="24"/>
          <w:szCs w:val="24"/>
        </w:rPr>
      </w:pPr>
      <w:r w:rsidRPr="003D0C4C">
        <w:rPr>
          <w:rFonts w:ascii="Times New Roman" w:hAnsi="Times New Roman"/>
          <w:sz w:val="24"/>
          <w:szCs w:val="24"/>
        </w:rPr>
        <w:t xml:space="preserve">Court described facts: </w:t>
      </w:r>
    </w:p>
    <w:p w14:paraId="729161C9" w14:textId="77777777" w:rsidR="003D0C4C" w:rsidRPr="003D0C4C" w:rsidRDefault="003D0C4C" w:rsidP="003D0C4C">
      <w:pPr>
        <w:pStyle w:val="NoSpacing"/>
        <w:rPr>
          <w:rFonts w:ascii="Times New Roman" w:hAnsi="Times New Roman"/>
          <w:sz w:val="24"/>
          <w:szCs w:val="24"/>
        </w:rPr>
      </w:pPr>
    </w:p>
    <w:p w14:paraId="4E6159AC"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“Manju and Baldev were medical doctors. On April 27,2022, Baldev fell at home, hitting his head on the bathtub. Manju found her husband on the bathroom floor and called 911. She did not move him because she was concerned that he may have sustained orthopedic injury or brain trauma. </w:t>
      </w:r>
    </w:p>
    <w:p w14:paraId="07BA0CDB" w14:textId="77777777" w:rsidR="003D0C4C" w:rsidRPr="003D0C4C" w:rsidRDefault="003D0C4C" w:rsidP="003D0C4C">
      <w:pPr>
        <w:pStyle w:val="NoSpacing"/>
        <w:rPr>
          <w:rFonts w:ascii="Times New Roman" w:hAnsi="Times New Roman"/>
          <w:sz w:val="24"/>
          <w:szCs w:val="24"/>
        </w:rPr>
      </w:pPr>
    </w:p>
    <w:p w14:paraId="078BDA38"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Manju informed City’s emergency medical technicians (EMT’s) that she is a doctor, and that they needed to protect and stabilize Baldev’s neck before moving him because he had hit his head. They replied that they ‘are professionals and you need to let us do our job,’ and pushed her out of the bathroom. </w:t>
      </w:r>
    </w:p>
    <w:p w14:paraId="1B3F53B6" w14:textId="77777777" w:rsidR="003D0C4C" w:rsidRPr="003D0C4C" w:rsidRDefault="003D0C4C" w:rsidP="003D0C4C">
      <w:pPr>
        <w:pStyle w:val="NoSpacing"/>
        <w:rPr>
          <w:rFonts w:ascii="Times New Roman" w:hAnsi="Times New Roman"/>
          <w:sz w:val="24"/>
          <w:szCs w:val="24"/>
        </w:rPr>
      </w:pPr>
    </w:p>
    <w:p w14:paraId="677B3DE3"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Manju witnessed the EMT’s actions through the doorway. They did not put a cervical spine (C-spine) immobilization collar on Baldev, or take precautions to protect his spine, contrary to Manju’s warning. They moved him, had him sit up, and tried to get him to stand. They opined that ‘he looks ok’ ” and was able to move his extremities. They sat him on a chair. </w:t>
      </w:r>
    </w:p>
    <w:p w14:paraId="7E022652" w14:textId="77777777" w:rsidR="003D0C4C" w:rsidRPr="003D0C4C" w:rsidRDefault="003D0C4C" w:rsidP="003D0C4C">
      <w:pPr>
        <w:pStyle w:val="NoSpacing"/>
        <w:rPr>
          <w:rFonts w:ascii="Times New Roman" w:hAnsi="Times New Roman"/>
          <w:sz w:val="24"/>
          <w:szCs w:val="24"/>
        </w:rPr>
      </w:pPr>
    </w:p>
    <w:p w14:paraId="33851778"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When EMT’s placed Baldev on a gurney, he voiced concern that no precautions were being taken to protect his spine from further injury. Nonetheless, they put the gurney in an upright position and moved him downstairs ‘with a bouncing, jarring motion with each step.’ Baldev expressed discomfort and distress, and Manju protested. The EMT’s put Baldev in a supine position to load him in the ambulance, further jarring him. He complained of </w:t>
      </w:r>
      <w:proofErr w:type="gramStart"/>
      <w:r w:rsidRPr="003D0C4C">
        <w:rPr>
          <w:rFonts w:ascii="Times New Roman" w:hAnsi="Times New Roman"/>
          <w:sz w:val="24"/>
          <w:szCs w:val="24"/>
        </w:rPr>
        <w:t>pain, and</w:t>
      </w:r>
      <w:proofErr w:type="gramEnd"/>
      <w:r w:rsidRPr="003D0C4C">
        <w:rPr>
          <w:rFonts w:ascii="Times New Roman" w:hAnsi="Times New Roman"/>
          <w:sz w:val="24"/>
          <w:szCs w:val="24"/>
        </w:rPr>
        <w:t xml:space="preserve"> asked the EMT’s to place </w:t>
      </w:r>
      <w:proofErr w:type="gramStart"/>
      <w:r w:rsidRPr="003D0C4C">
        <w:rPr>
          <w:rFonts w:ascii="Times New Roman" w:hAnsi="Times New Roman"/>
          <w:sz w:val="24"/>
          <w:szCs w:val="24"/>
        </w:rPr>
        <w:t>supports</w:t>
      </w:r>
      <w:proofErr w:type="gramEnd"/>
      <w:r w:rsidRPr="003D0C4C">
        <w:rPr>
          <w:rFonts w:ascii="Times New Roman" w:hAnsi="Times New Roman"/>
          <w:sz w:val="24"/>
          <w:szCs w:val="24"/>
        </w:rPr>
        <w:t xml:space="preserve"> on him for safety when the vehicle’s movement jostled him while it drove down the road. They ignored his requests. </w:t>
      </w:r>
    </w:p>
    <w:p w14:paraId="13E21DDB" w14:textId="77777777" w:rsidR="003D0C4C" w:rsidRPr="003D0C4C" w:rsidRDefault="003D0C4C" w:rsidP="003D0C4C">
      <w:pPr>
        <w:pStyle w:val="NoSpacing"/>
        <w:rPr>
          <w:rFonts w:ascii="Times New Roman" w:hAnsi="Times New Roman"/>
          <w:sz w:val="24"/>
          <w:szCs w:val="24"/>
        </w:rPr>
      </w:pPr>
    </w:p>
    <w:p w14:paraId="64A00411"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Baldev was evaluated at a nearby hospital. A CT scan showed a serious neck injury. Physicians placed a C-spine collar on him and transferred him to UCLA for emergency surgery for a spinal cord injury. He became quadriplegic after his fall.”</w:t>
      </w:r>
    </w:p>
    <w:p w14:paraId="69C8F224" w14:textId="77777777" w:rsidR="003D0C4C" w:rsidRPr="003D0C4C" w:rsidRDefault="003D0C4C" w:rsidP="003D0C4C">
      <w:pPr>
        <w:pStyle w:val="NoSpacing"/>
        <w:rPr>
          <w:rFonts w:ascii="Times New Roman" w:hAnsi="Times New Roman"/>
          <w:sz w:val="24"/>
          <w:szCs w:val="24"/>
        </w:rPr>
      </w:pPr>
    </w:p>
    <w:p w14:paraId="5CFE337B" w14:textId="77777777" w:rsidR="003D0C4C" w:rsidRPr="003D0C4C" w:rsidRDefault="003D0C4C" w:rsidP="003D0C4C">
      <w:pPr>
        <w:pStyle w:val="NoSpacing"/>
        <w:rPr>
          <w:rFonts w:ascii="Times New Roman" w:hAnsi="Times New Roman"/>
          <w:sz w:val="24"/>
          <w:szCs w:val="24"/>
        </w:rPr>
      </w:pPr>
      <w:r w:rsidRPr="003D0C4C">
        <w:rPr>
          <w:rFonts w:ascii="Times New Roman" w:hAnsi="Times New Roman"/>
          <w:sz w:val="24"/>
          <w:szCs w:val="24"/>
        </w:rPr>
        <w:t xml:space="preserve">The Court held: </w:t>
      </w:r>
    </w:p>
    <w:p w14:paraId="1F09DECF" w14:textId="77777777" w:rsidR="003D0C4C" w:rsidRPr="003D0C4C" w:rsidRDefault="003D0C4C" w:rsidP="003D0C4C">
      <w:pPr>
        <w:pStyle w:val="NoSpacing"/>
        <w:rPr>
          <w:rFonts w:ascii="Times New Roman" w:hAnsi="Times New Roman"/>
          <w:sz w:val="24"/>
          <w:szCs w:val="24"/>
        </w:rPr>
      </w:pPr>
    </w:p>
    <w:p w14:paraId="58B57EF8"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“The issue is whether EMT’s efforts were grossly negligent. However, the pleading does not show an ‘extreme departure’ from the standard of care. Baldev was awake, alert, talking, moving his extremities, and able to sit in a chair. If EMT’s undertake triage measures and arrange transport to a hospital, it is immaterial if their acts or omissions are alleged to be below the standard of care: Efforts that are ultimately unavailing are not</w:t>
      </w:r>
    </w:p>
    <w:p w14:paraId="45D4CCC8"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an ‘extreme departure’ from the standard of care.</w:t>
      </w:r>
    </w:p>
    <w:p w14:paraId="0FC0E296" w14:textId="77777777" w:rsidR="003D0C4C" w:rsidRPr="003D0C4C" w:rsidRDefault="003D0C4C" w:rsidP="003D0C4C">
      <w:pPr>
        <w:pStyle w:val="NoSpacing"/>
        <w:rPr>
          <w:rFonts w:ascii="Times New Roman" w:hAnsi="Times New Roman"/>
          <w:sz w:val="24"/>
          <w:szCs w:val="24"/>
        </w:rPr>
      </w:pPr>
    </w:p>
    <w:p w14:paraId="75C1445E"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w:t>
      </w:r>
    </w:p>
    <w:p w14:paraId="1268CCFA" w14:textId="77777777" w:rsidR="003D0C4C" w:rsidRPr="003D0C4C" w:rsidRDefault="003D0C4C" w:rsidP="003D0C4C">
      <w:pPr>
        <w:pStyle w:val="NoSpacing"/>
        <w:rPr>
          <w:rFonts w:ascii="Times New Roman" w:hAnsi="Times New Roman"/>
          <w:sz w:val="24"/>
          <w:szCs w:val="24"/>
        </w:rPr>
      </w:pPr>
    </w:p>
    <w:p w14:paraId="598C4BFD"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The facts here show ordinary negligence, not gross negligence. The Legislature has chosen to give immunity to EMT’s who must make rapid decisions without the benefit of a testing device, such as a CT scanner, that would show </w:t>
      </w:r>
      <w:proofErr w:type="gramStart"/>
      <w:r w:rsidRPr="003D0C4C">
        <w:rPr>
          <w:rFonts w:ascii="Times New Roman" w:hAnsi="Times New Roman"/>
          <w:sz w:val="24"/>
          <w:szCs w:val="24"/>
        </w:rPr>
        <w:t>injury.”</w:t>
      </w:r>
      <w:proofErr w:type="gramEnd"/>
    </w:p>
    <w:p w14:paraId="764C1973" w14:textId="77777777" w:rsidR="003D0C4C" w:rsidRPr="003D0C4C" w:rsidRDefault="003D0C4C" w:rsidP="003D0C4C">
      <w:pPr>
        <w:pStyle w:val="NoSpacing"/>
        <w:rPr>
          <w:rFonts w:ascii="Times New Roman" w:hAnsi="Times New Roman"/>
          <w:sz w:val="24"/>
          <w:szCs w:val="24"/>
        </w:rPr>
      </w:pPr>
    </w:p>
    <w:p w14:paraId="60794A3C" w14:textId="77777777" w:rsidR="003D0C4C" w:rsidRPr="003D0C4C" w:rsidRDefault="003D0C4C" w:rsidP="003D0C4C">
      <w:pPr>
        <w:pStyle w:val="NoSpacing"/>
        <w:rPr>
          <w:rFonts w:ascii="Times New Roman" w:hAnsi="Times New Roman"/>
          <w:bCs/>
          <w:sz w:val="24"/>
          <w:szCs w:val="24"/>
        </w:rPr>
      </w:pPr>
      <w:r w:rsidRPr="003D0C4C">
        <w:rPr>
          <w:rFonts w:ascii="Times New Roman" w:hAnsi="Times New Roman"/>
          <w:sz w:val="24"/>
          <w:szCs w:val="24"/>
        </w:rPr>
        <w:t>DISSENT:</w:t>
      </w:r>
    </w:p>
    <w:p w14:paraId="2821CA92" w14:textId="77777777" w:rsidR="003D0C4C" w:rsidRPr="003D0C4C" w:rsidRDefault="003D0C4C" w:rsidP="003D0C4C">
      <w:pPr>
        <w:pStyle w:val="NoSpacing"/>
        <w:rPr>
          <w:rFonts w:ascii="Times New Roman" w:hAnsi="Times New Roman"/>
          <w:sz w:val="24"/>
          <w:szCs w:val="24"/>
        </w:rPr>
      </w:pPr>
    </w:p>
    <w:p w14:paraId="336516A9"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“Despite this information, the EMTs failed to ‘put a cervical spine (‘c-spine’) immobilization collar’ on Baldev or ‘otherwise secure and protect his spine’ before proceeding to sit him up. The EMTs moved Baldev to a gurney, converted the gurney into a sitting position, and brought it down two flights of stairs ‘with a bouncing, jarring[] motion with each step.’ ‘With each jarring movement[,]’ Baldev indicated his </w:t>
      </w:r>
      <w:proofErr w:type="gramStart"/>
      <w:r w:rsidRPr="003D0C4C">
        <w:rPr>
          <w:rFonts w:ascii="Times New Roman" w:hAnsi="Times New Roman"/>
          <w:sz w:val="24"/>
          <w:szCs w:val="24"/>
        </w:rPr>
        <w:t>distress, ‘</w:t>
      </w:r>
      <w:proofErr w:type="gramEnd"/>
      <w:r w:rsidRPr="003D0C4C">
        <w:rPr>
          <w:rFonts w:ascii="Times New Roman" w:hAnsi="Times New Roman"/>
          <w:sz w:val="24"/>
          <w:szCs w:val="24"/>
        </w:rPr>
        <w:t>informing the [EMTs] of [the] discomfort the movements were causing him.’</w:t>
      </w:r>
    </w:p>
    <w:p w14:paraId="48232025"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Once loaded into the ambulance, Baldev again informed the EMTs of his discomfort, including spinal pain, and requested support as he continued to be jarred by the motion of the ambulance. These requests were ignored. As a result, Baldev was rendered quadriplegic.</w:t>
      </w:r>
    </w:p>
    <w:p w14:paraId="0695019D" w14:textId="77777777" w:rsidR="003D0C4C" w:rsidRPr="003D0C4C" w:rsidRDefault="003D0C4C" w:rsidP="003D0C4C">
      <w:pPr>
        <w:pStyle w:val="NoSpacing"/>
        <w:rPr>
          <w:rFonts w:ascii="Times New Roman" w:hAnsi="Times New Roman"/>
          <w:sz w:val="24"/>
          <w:szCs w:val="24"/>
        </w:rPr>
      </w:pPr>
    </w:p>
    <w:p w14:paraId="1D6B932B"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w:t>
      </w:r>
    </w:p>
    <w:p w14:paraId="42F995C3"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Because, liberally construed, the complaint here states a cause of action for gross negligence, it cannot be said at this early juncture that the City of Santa Monica is entitled to section 1799.107 immunity as a matter of law…. I proffer that appellant has sufficiently pled gross negligence or, at a minimum, should be permitted an opportunity</w:t>
      </w:r>
    </w:p>
    <w:p w14:paraId="7BF33C11"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to amend the complaint.”</w:t>
      </w:r>
    </w:p>
    <w:p w14:paraId="3D545D66" w14:textId="77777777" w:rsidR="003D0C4C" w:rsidRPr="003D0C4C" w:rsidRDefault="003D0C4C" w:rsidP="003D0C4C">
      <w:pPr>
        <w:pStyle w:val="NoSpacing"/>
        <w:rPr>
          <w:rFonts w:ascii="Times New Roman" w:hAnsi="Times New Roman"/>
          <w:sz w:val="24"/>
          <w:szCs w:val="24"/>
        </w:rPr>
      </w:pPr>
    </w:p>
    <w:p w14:paraId="688FEA65" w14:textId="77777777" w:rsidR="003D0C4C" w:rsidRPr="003D0C4C" w:rsidRDefault="003D0C4C" w:rsidP="003D0C4C">
      <w:pPr>
        <w:pStyle w:val="NoSpacing"/>
        <w:rPr>
          <w:rFonts w:ascii="Times New Roman" w:hAnsi="Times New Roman"/>
          <w:b/>
          <w:bCs/>
          <w:sz w:val="24"/>
          <w:szCs w:val="24"/>
        </w:rPr>
      </w:pPr>
      <w:r w:rsidRPr="003D0C4C">
        <w:rPr>
          <w:rFonts w:ascii="Times New Roman" w:hAnsi="Times New Roman"/>
          <w:b/>
          <w:sz w:val="24"/>
          <w:szCs w:val="24"/>
        </w:rPr>
        <w:t xml:space="preserve">Legal Lesson Learned: These are very disturbing facts; please share with your personnel in continuing education sessions. </w:t>
      </w:r>
    </w:p>
    <w:p w14:paraId="74200472" w14:textId="77777777" w:rsidR="003D0C4C" w:rsidRPr="003D0C4C" w:rsidRDefault="003D0C4C" w:rsidP="003D0C4C">
      <w:pPr>
        <w:pStyle w:val="NoSpacing"/>
        <w:rPr>
          <w:rFonts w:ascii="Times New Roman" w:hAnsi="Times New Roman"/>
          <w:b/>
          <w:bCs/>
          <w:sz w:val="24"/>
          <w:szCs w:val="24"/>
        </w:rPr>
      </w:pPr>
      <w:r w:rsidRPr="003D0C4C">
        <w:rPr>
          <w:rFonts w:ascii="Times New Roman" w:hAnsi="Times New Roman"/>
          <w:b/>
          <w:sz w:val="24"/>
          <w:szCs w:val="24"/>
        </w:rPr>
        <w:tab/>
      </w:r>
    </w:p>
    <w:p w14:paraId="0B578EDD"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Note: California code – Section 1799.106 </w:t>
      </w:r>
      <w:hyperlink r:id="rId2041" w:history="1">
        <w:r w:rsidRPr="003D0C4C">
          <w:rPr>
            <w:rStyle w:val="Hyperlink"/>
            <w:rFonts w:ascii="Times New Roman" w:hAnsi="Times New Roman"/>
            <w:sz w:val="24"/>
            <w:szCs w:val="24"/>
          </w:rPr>
          <w:t>https://leginfo.legislature.ca.gov/faces/codes_displaySection.xhtml?sectionNum=1799.106.&amp;lawCode=HSC</w:t>
        </w:r>
      </w:hyperlink>
      <w:r w:rsidRPr="003D0C4C">
        <w:rPr>
          <w:rFonts w:ascii="Times New Roman" w:hAnsi="Times New Roman"/>
          <w:sz w:val="24"/>
          <w:szCs w:val="24"/>
        </w:rPr>
        <w:t xml:space="preserve"> </w:t>
      </w:r>
    </w:p>
    <w:p w14:paraId="39107B18"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“CHAPTER 9. Liability Limitation</w:t>
      </w:r>
    </w:p>
    <w:p w14:paraId="484F1425" w14:textId="77777777" w:rsidR="003D0C4C" w:rsidRPr="003D0C4C" w:rsidRDefault="003D0C4C" w:rsidP="003D0C4C">
      <w:pPr>
        <w:pStyle w:val="NoSpacing"/>
        <w:rPr>
          <w:rFonts w:ascii="Times New Roman" w:hAnsi="Times New Roman"/>
          <w:sz w:val="24"/>
          <w:szCs w:val="24"/>
        </w:rPr>
      </w:pPr>
      <w:r w:rsidRPr="003D0C4C">
        <w:rPr>
          <w:rFonts w:ascii="Times New Roman" w:hAnsi="Times New Roman"/>
          <w:sz w:val="24"/>
          <w:szCs w:val="24"/>
        </w:rPr>
        <w:t>  </w:t>
      </w:r>
    </w:p>
    <w:p w14:paraId="1CC4B3C6" w14:textId="77777777" w:rsidR="003D0C4C" w:rsidRPr="003D0C4C" w:rsidRDefault="003D0C4C" w:rsidP="003D0C4C">
      <w:pPr>
        <w:pStyle w:val="NoSpacing"/>
        <w:ind w:firstLine="720"/>
        <w:rPr>
          <w:rFonts w:ascii="Times New Roman" w:hAnsi="Times New Roman"/>
          <w:sz w:val="24"/>
          <w:szCs w:val="24"/>
        </w:rPr>
      </w:pPr>
      <w:r w:rsidRPr="003D0C4C">
        <w:rPr>
          <w:rFonts w:ascii="Times New Roman" w:hAnsi="Times New Roman"/>
          <w:sz w:val="24"/>
          <w:szCs w:val="24"/>
        </w:rPr>
        <w:t>1799.106.  </w:t>
      </w:r>
    </w:p>
    <w:p w14:paraId="41316EB9"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 xml:space="preserve">(a) In addition to the provisions of Section 1799.104 of this code, Section 2727.5 of the </w:t>
      </w:r>
      <w:r w:rsidRPr="003D0C4C">
        <w:rPr>
          <w:rFonts w:ascii="Times New Roman" w:hAnsi="Times New Roman"/>
          <w:sz w:val="24"/>
          <w:szCs w:val="24"/>
        </w:rPr>
        <w:tab/>
        <w:t xml:space="preserve"> and Professions Code, and Section 1714.2 of the Civil Code, and in order to encourage the provision of emergency medical services by firefighters, police officers or other law enforcement officers, EMT-I, EMT-II, EMT-P, or registered nurses, a firefighter, police officer or other law enforcement officer, EMT-I, EMT-II, EMT-P, or registered nurse who renders emergency medical services at the scene of an emergency or during an emergency air or ground ambulance transport shall only be liable in civil damages for acts or omissions performed in a grossly negligent manner or acts or omissions not performed in good faith. A public agency employing such a firefighter, police officer or other law enforcement officer, EMT-I, EMT-II, EMT-P, or registered nurse shall not be liable for civil damages if the firefighter, police officer or other law enforcement officer, EMT-I, EMT-II, EMT-P, or registered nurse is not liable.</w:t>
      </w:r>
    </w:p>
    <w:p w14:paraId="2071871A" w14:textId="77777777" w:rsidR="003D0C4C" w:rsidRPr="003D0C4C" w:rsidRDefault="003D0C4C" w:rsidP="003D0C4C">
      <w:pPr>
        <w:pStyle w:val="NoSpacing"/>
        <w:ind w:left="720"/>
        <w:rPr>
          <w:rFonts w:ascii="Times New Roman" w:hAnsi="Times New Roman"/>
          <w:sz w:val="24"/>
          <w:szCs w:val="24"/>
        </w:rPr>
      </w:pPr>
      <w:r w:rsidRPr="003D0C4C">
        <w:rPr>
          <w:rFonts w:ascii="Times New Roman" w:hAnsi="Times New Roman"/>
          <w:sz w:val="24"/>
          <w:szCs w:val="24"/>
        </w:rPr>
        <w:t>(b) For purposes of this section, “registered nurse” means a registered nurse trained in emergency medical services and licensed pursuant to Chapter 6 (commencing with Section 2700) of Division 2 of the Business and Professions Code.”</w:t>
      </w:r>
    </w:p>
    <w:p w14:paraId="60CC68D8" w14:textId="77777777" w:rsidR="003D0C4C" w:rsidRDefault="003D0C4C" w:rsidP="002B1283">
      <w:pPr>
        <w:rPr>
          <w:rFonts w:ascii="Arial Black" w:hAnsi="Arial Black"/>
          <w:b/>
          <w:bCs/>
          <w:sz w:val="28"/>
          <w:szCs w:val="28"/>
        </w:rPr>
      </w:pPr>
    </w:p>
    <w:p w14:paraId="55692033" w14:textId="77777777" w:rsidR="00D85226" w:rsidRPr="00F607C4" w:rsidRDefault="00D85226" w:rsidP="002B1283">
      <w:pPr>
        <w:rPr>
          <w:rFonts w:ascii="Times New Roman" w:hAnsi="Times New Roman"/>
          <w:b/>
          <w:bCs/>
          <w:sz w:val="24"/>
          <w:szCs w:val="24"/>
        </w:rPr>
      </w:pPr>
    </w:p>
    <w:p w14:paraId="247E06E4" w14:textId="0E6869D7" w:rsidR="006D52C4" w:rsidRDefault="006D52C4" w:rsidP="002B1283">
      <w:pPr>
        <w:rPr>
          <w:rFonts w:ascii="Arial Black" w:hAnsi="Arial Black"/>
          <w:b/>
          <w:bCs/>
          <w:sz w:val="28"/>
          <w:szCs w:val="28"/>
        </w:rPr>
      </w:pPr>
      <w:r>
        <w:rPr>
          <w:rFonts w:ascii="Arial Black" w:hAnsi="Arial Black"/>
          <w:b/>
          <w:bCs/>
          <w:sz w:val="28"/>
          <w:szCs w:val="28"/>
        </w:rPr>
        <w:t>13-206</w:t>
      </w:r>
    </w:p>
    <w:p w14:paraId="0F901C86" w14:textId="56BE8AC9" w:rsidR="00C35503" w:rsidRPr="000B7F2C" w:rsidRDefault="00C35503" w:rsidP="00C35503">
      <w:pPr>
        <w:rPr>
          <w:rFonts w:ascii="Arial Black" w:hAnsi="Arial Black"/>
          <w:b/>
          <w:sz w:val="28"/>
          <w:szCs w:val="28"/>
        </w:rPr>
      </w:pPr>
      <w:r w:rsidRPr="000B7F2C">
        <w:rPr>
          <w:rFonts w:ascii="Arial Black" w:hAnsi="Arial Black"/>
          <w:b/>
          <w:sz w:val="28"/>
          <w:szCs w:val="28"/>
        </w:rPr>
        <w:t>DE: EMT REPORT - WOMAN INTERFERED</w:t>
      </w:r>
      <w:r w:rsidR="00004638">
        <w:rPr>
          <w:rFonts w:ascii="Arial Black" w:hAnsi="Arial Black"/>
          <w:b/>
          <w:sz w:val="28"/>
          <w:szCs w:val="28"/>
        </w:rPr>
        <w:t xml:space="preserve"> WITH EMS</w:t>
      </w:r>
      <w:r>
        <w:rPr>
          <w:rFonts w:ascii="Arial Black" w:hAnsi="Arial Black"/>
          <w:b/>
          <w:sz w:val="28"/>
          <w:szCs w:val="28"/>
        </w:rPr>
        <w:t xml:space="preserve"> – 2-YR STATUTE</w:t>
      </w:r>
      <w:r w:rsidRPr="000B7F2C">
        <w:rPr>
          <w:rFonts w:ascii="Arial Black" w:hAnsi="Arial Black"/>
          <w:b/>
          <w:sz w:val="28"/>
          <w:szCs w:val="28"/>
        </w:rPr>
        <w:t xml:space="preserve"> </w:t>
      </w:r>
    </w:p>
    <w:p w14:paraId="26A2E77F" w14:textId="77777777" w:rsidR="00C35503" w:rsidRPr="00C35503" w:rsidRDefault="00C35503" w:rsidP="00C35503">
      <w:pPr>
        <w:rPr>
          <w:rFonts w:ascii="Times New Roman" w:hAnsi="Times New Roman"/>
          <w:sz w:val="24"/>
          <w:szCs w:val="24"/>
        </w:rPr>
      </w:pPr>
      <w:r w:rsidRPr="00C35503">
        <w:rPr>
          <w:rFonts w:ascii="Times New Roman" w:hAnsi="Times New Roman"/>
          <w:sz w:val="24"/>
          <w:szCs w:val="24"/>
        </w:rPr>
        <w:t xml:space="preserve">On Feb. 10, 2025, in </w:t>
      </w:r>
      <w:r w:rsidRPr="00C35503">
        <w:rPr>
          <w:rFonts w:ascii="Times New Roman" w:hAnsi="Times New Roman"/>
          <w:sz w:val="24"/>
          <w:szCs w:val="24"/>
          <w:u w:val="single"/>
        </w:rPr>
        <w:t>Keisha Cappel and Alfonso Jones v. Aston Township Fire Department, et al</w:t>
      </w:r>
      <w:r w:rsidRPr="00C35503">
        <w:rPr>
          <w:rFonts w:ascii="Times New Roman" w:hAnsi="Times New Roman"/>
          <w:sz w:val="24"/>
          <w:szCs w:val="24"/>
        </w:rPr>
        <w:t xml:space="preserve">, United States District Court Judge John F. Murphy approved the settlement of $950,000.  “After apparently convincing Ms. Jones not to go to the hospital, the paramedics left the scene and inaccurately documented the encounter.” The contingency fee agreement distributes 33.3% of sums recovered after costs to counsel, totaling a fee of $303,504.96. “Following our review of the proposed settlement agreement, as required by Pennsylvania’s Probate, Estates, and Fiduciaries Code, we find the proposed settlement amount to be adequate, the allocation of proceeds to be reasonable, and the attorneys’ fees and costs to be reasonable.”  </w:t>
      </w:r>
      <w:hyperlink r:id="rId2042" w:history="1">
        <w:r w:rsidRPr="00C35503">
          <w:rPr>
            <w:rStyle w:val="Hyperlink"/>
            <w:rFonts w:ascii="Times New Roman" w:hAnsi="Times New Roman"/>
            <w:sz w:val="24"/>
            <w:szCs w:val="24"/>
          </w:rPr>
          <w:t>https://cases.justia.com/federal/district-courts/pennsylvania/paedce/2:2023cv00155/604825/106/0.pdf?ts=1739281859</w:t>
        </w:r>
      </w:hyperlink>
      <w:r w:rsidRPr="00C35503">
        <w:rPr>
          <w:rFonts w:ascii="Times New Roman" w:hAnsi="Times New Roman"/>
          <w:sz w:val="24"/>
          <w:szCs w:val="24"/>
        </w:rPr>
        <w:t xml:space="preserve"> </w:t>
      </w:r>
    </w:p>
    <w:p w14:paraId="5297AA0F" w14:textId="77777777" w:rsidR="00C35503" w:rsidRPr="00C35503" w:rsidRDefault="00C35503" w:rsidP="00C35503">
      <w:pPr>
        <w:pStyle w:val="NoSpacing"/>
        <w:rPr>
          <w:rFonts w:ascii="Times New Roman" w:hAnsi="Times New Roman"/>
          <w:sz w:val="24"/>
          <w:szCs w:val="24"/>
        </w:rPr>
      </w:pPr>
      <w:r w:rsidRPr="00C35503">
        <w:rPr>
          <w:rFonts w:ascii="Times New Roman" w:hAnsi="Times New Roman"/>
          <w:sz w:val="24"/>
          <w:szCs w:val="24"/>
        </w:rPr>
        <w:t>The Court wrote:</w:t>
      </w:r>
    </w:p>
    <w:p w14:paraId="1F63E0C3" w14:textId="77777777" w:rsidR="00C35503" w:rsidRPr="00C35503" w:rsidRDefault="00C35503" w:rsidP="00C35503">
      <w:pPr>
        <w:pStyle w:val="NoSpacing"/>
        <w:rPr>
          <w:rFonts w:ascii="Times New Roman" w:hAnsi="Times New Roman"/>
          <w:sz w:val="24"/>
          <w:szCs w:val="24"/>
        </w:rPr>
      </w:pPr>
    </w:p>
    <w:p w14:paraId="55B24E1D"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“This case involves the death of a woman, Tamika Jones. Ms. Jones’s family called 911</w:t>
      </w:r>
    </w:p>
    <w:p w14:paraId="346B8DFF" w14:textId="77777777" w:rsidR="00C35503" w:rsidRPr="00C35503" w:rsidRDefault="00C35503" w:rsidP="00C35503">
      <w:pPr>
        <w:pStyle w:val="NoSpacing"/>
        <w:ind w:left="720"/>
        <w:rPr>
          <w:rFonts w:ascii="Times New Roman" w:hAnsi="Times New Roman"/>
          <w:sz w:val="24"/>
          <w:szCs w:val="24"/>
        </w:rPr>
      </w:pPr>
      <w:r w:rsidRPr="00C35503">
        <w:rPr>
          <w:rFonts w:ascii="Times New Roman" w:hAnsi="Times New Roman"/>
          <w:sz w:val="24"/>
          <w:szCs w:val="24"/>
        </w:rPr>
        <w:t xml:space="preserve">for help because she was experiencing significant and concerning COVID-19 symptoms. Two teams of paramedics were sent, including an advanced team, but only one junior paramedic evaluated Ms. Jones. After apparently convincing Ms. Jones not to go to the hospital, the paramedics left the scene and inaccurately documented the encounter. Ms. Jones died the next day. </w:t>
      </w:r>
    </w:p>
    <w:p w14:paraId="1D3332DA" w14:textId="77777777" w:rsidR="00C35503" w:rsidRPr="00C35503" w:rsidRDefault="00C35503" w:rsidP="00C35503">
      <w:pPr>
        <w:pStyle w:val="NoSpacing"/>
        <w:rPr>
          <w:rFonts w:ascii="Times New Roman" w:hAnsi="Times New Roman"/>
          <w:sz w:val="24"/>
          <w:szCs w:val="24"/>
        </w:rPr>
      </w:pPr>
    </w:p>
    <w:p w14:paraId="5032860C"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w:t>
      </w:r>
    </w:p>
    <w:p w14:paraId="3D4D64AF" w14:textId="77777777" w:rsidR="00C35503" w:rsidRPr="00C35503" w:rsidRDefault="00C35503" w:rsidP="00C35503">
      <w:pPr>
        <w:pStyle w:val="NoSpacing"/>
        <w:rPr>
          <w:rFonts w:ascii="Times New Roman" w:hAnsi="Times New Roman"/>
          <w:sz w:val="24"/>
          <w:szCs w:val="24"/>
        </w:rPr>
      </w:pPr>
    </w:p>
    <w:p w14:paraId="5D1C5DBF"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 xml:space="preserve">On the evening of January 22, 2021, while at the home of her mother and father — </w:t>
      </w:r>
      <w:proofErr w:type="gramStart"/>
      <w:r w:rsidRPr="00C35503">
        <w:rPr>
          <w:rFonts w:ascii="Times New Roman" w:hAnsi="Times New Roman"/>
          <w:sz w:val="24"/>
          <w:szCs w:val="24"/>
        </w:rPr>
        <w:t>where</w:t>
      </w:r>
      <w:proofErr w:type="gramEnd"/>
    </w:p>
    <w:p w14:paraId="24454FDD" w14:textId="77777777" w:rsidR="00C35503" w:rsidRPr="00C35503" w:rsidRDefault="00C35503" w:rsidP="00C35503">
      <w:pPr>
        <w:pStyle w:val="NoSpacing"/>
        <w:ind w:left="720"/>
        <w:rPr>
          <w:rFonts w:ascii="Times New Roman" w:hAnsi="Times New Roman"/>
          <w:sz w:val="24"/>
          <w:szCs w:val="24"/>
        </w:rPr>
      </w:pPr>
      <w:r w:rsidRPr="00C35503">
        <w:rPr>
          <w:rFonts w:ascii="Times New Roman" w:hAnsi="Times New Roman"/>
          <w:sz w:val="24"/>
          <w:szCs w:val="24"/>
        </w:rPr>
        <w:t>she was living to help her mother who was battling cancer — Tamika Jones was struggling to breathe and could not walk….  Five days earlier, Ms. Jones’s father, Mr. Jones, had been hospitalized for symptoms related to COVID-19.</w:t>
      </w:r>
    </w:p>
    <w:p w14:paraId="1215A535" w14:textId="77777777" w:rsidR="00C35503" w:rsidRPr="00C35503" w:rsidRDefault="00C35503" w:rsidP="00C35503">
      <w:pPr>
        <w:pStyle w:val="NoSpacing"/>
        <w:rPr>
          <w:rFonts w:ascii="Times New Roman" w:hAnsi="Times New Roman"/>
          <w:sz w:val="24"/>
          <w:szCs w:val="24"/>
        </w:rPr>
      </w:pPr>
    </w:p>
    <w:p w14:paraId="636FA683"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w:t>
      </w:r>
    </w:p>
    <w:p w14:paraId="4D53DBA3"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The Aston Township Fire Department unit arrived first, and Marshall, a new EMT-B,</w:t>
      </w:r>
    </w:p>
    <w:p w14:paraId="251DD335" w14:textId="77777777" w:rsidR="00C35503" w:rsidRPr="00C35503" w:rsidRDefault="00C35503" w:rsidP="00C35503">
      <w:pPr>
        <w:pStyle w:val="NoSpacing"/>
        <w:ind w:firstLine="720"/>
        <w:rPr>
          <w:rFonts w:ascii="Times New Roman" w:hAnsi="Times New Roman"/>
          <w:sz w:val="24"/>
          <w:szCs w:val="24"/>
        </w:rPr>
      </w:pPr>
      <w:r w:rsidRPr="00C35503">
        <w:rPr>
          <w:rFonts w:ascii="Times New Roman" w:hAnsi="Times New Roman"/>
          <w:sz w:val="24"/>
          <w:szCs w:val="24"/>
        </w:rPr>
        <w:t>went inside the home…. According to the complaint, Marshall ‘consciously disregarded</w:t>
      </w:r>
    </w:p>
    <w:p w14:paraId="043C6DAD" w14:textId="77777777" w:rsidR="00C35503" w:rsidRPr="00C35503" w:rsidRDefault="00C35503" w:rsidP="00C35503">
      <w:pPr>
        <w:pStyle w:val="NoSpacing"/>
        <w:ind w:left="720"/>
        <w:rPr>
          <w:rFonts w:ascii="Times New Roman" w:hAnsi="Times New Roman"/>
          <w:sz w:val="24"/>
          <w:szCs w:val="24"/>
        </w:rPr>
      </w:pPr>
      <w:r w:rsidRPr="00C35503">
        <w:rPr>
          <w:rFonts w:ascii="Times New Roman" w:hAnsi="Times New Roman"/>
          <w:sz w:val="24"/>
          <w:szCs w:val="24"/>
        </w:rPr>
        <w:t xml:space="preserve">two blood oxygen readings [of Ms. Jones] which Marshall himself stated would be nearly fatal’ and “instead of investigating further by checking vital signs, [] acted with deliberate indifference by halting his evaluation.’ … Marshall purportedly told </w:t>
      </w:r>
      <w:proofErr w:type="gramStart"/>
      <w:r w:rsidRPr="00C35503">
        <w:rPr>
          <w:rFonts w:ascii="Times New Roman" w:hAnsi="Times New Roman"/>
          <w:sz w:val="24"/>
          <w:szCs w:val="24"/>
        </w:rPr>
        <w:t>Ms. Jones</w:t>
      </w:r>
      <w:proofErr w:type="gramEnd"/>
      <w:r w:rsidRPr="00C35503">
        <w:rPr>
          <w:rFonts w:ascii="Times New Roman" w:hAnsi="Times New Roman"/>
          <w:sz w:val="24"/>
          <w:szCs w:val="24"/>
        </w:rPr>
        <w:t xml:space="preserve"> ‘I can take you to the hospital, but they will just bring you back home’ and added ‘I’d stay here. </w:t>
      </w:r>
      <w:proofErr w:type="gramStart"/>
      <w:r w:rsidRPr="00C35503">
        <w:rPr>
          <w:rFonts w:ascii="Times New Roman" w:hAnsi="Times New Roman"/>
          <w:sz w:val="24"/>
          <w:szCs w:val="24"/>
        </w:rPr>
        <w:t>They are</w:t>
      </w:r>
      <w:proofErr w:type="gramEnd"/>
      <w:r w:rsidRPr="00C35503">
        <w:rPr>
          <w:rFonts w:ascii="Times New Roman" w:hAnsi="Times New Roman"/>
          <w:sz w:val="24"/>
          <w:szCs w:val="24"/>
        </w:rPr>
        <w:t xml:space="preserve"> really wanting people to </w:t>
      </w:r>
      <w:proofErr w:type="gramStart"/>
      <w:r w:rsidRPr="00C35503">
        <w:rPr>
          <w:rFonts w:ascii="Times New Roman" w:hAnsi="Times New Roman"/>
          <w:sz w:val="24"/>
          <w:szCs w:val="24"/>
        </w:rPr>
        <w:t>stay</w:t>
      </w:r>
      <w:proofErr w:type="gramEnd"/>
      <w:r w:rsidRPr="00C35503">
        <w:rPr>
          <w:rFonts w:ascii="Times New Roman" w:hAnsi="Times New Roman"/>
          <w:sz w:val="24"/>
          <w:szCs w:val="24"/>
        </w:rPr>
        <w:t xml:space="preserve"> home. Your best chance is to stay here.’ … Before leaving Ms. Jones, Marshall did not get a signed refusal form or contact Medical Command, which is supposed to be ‘the final sign-off in deciding not to transport a patient.’ Meanwhile, Kisela, the more experienced EMT-B, ‘waived off’ the Advanced Life Support unit….The incident report completed by Marshall and Kisela indicated ‘No Patient Assessed.’ …Ms. Jones died the next day.”</w:t>
      </w:r>
    </w:p>
    <w:p w14:paraId="1D483C06" w14:textId="77777777" w:rsidR="00C35503" w:rsidRPr="00C35503" w:rsidRDefault="00C35503" w:rsidP="00C35503">
      <w:pPr>
        <w:pStyle w:val="NoSpacing"/>
        <w:rPr>
          <w:rFonts w:ascii="Times New Roman" w:hAnsi="Times New Roman"/>
          <w:sz w:val="24"/>
          <w:szCs w:val="24"/>
        </w:rPr>
      </w:pPr>
    </w:p>
    <w:p w14:paraId="7733722A" w14:textId="77777777" w:rsidR="00C35503" w:rsidRPr="00C35503" w:rsidRDefault="00C35503" w:rsidP="00C35503">
      <w:pPr>
        <w:pStyle w:val="NoSpacing"/>
        <w:rPr>
          <w:rFonts w:ascii="Times New Roman" w:hAnsi="Times New Roman"/>
          <w:b/>
          <w:bCs/>
          <w:sz w:val="24"/>
          <w:szCs w:val="24"/>
        </w:rPr>
      </w:pPr>
      <w:r w:rsidRPr="00C35503">
        <w:rPr>
          <w:rFonts w:ascii="Times New Roman" w:hAnsi="Times New Roman"/>
          <w:b/>
          <w:sz w:val="24"/>
          <w:szCs w:val="24"/>
        </w:rPr>
        <w:t xml:space="preserve">Legal Lesson Learned: Get a set of vitals and if no transported is indicated, obtain a signed patient refusal. </w:t>
      </w:r>
    </w:p>
    <w:p w14:paraId="1FB26D20" w14:textId="77777777" w:rsidR="006D52C4" w:rsidRPr="00C35503" w:rsidRDefault="006D52C4" w:rsidP="002B1283">
      <w:pPr>
        <w:rPr>
          <w:rFonts w:ascii="Times New Roman" w:hAnsi="Times New Roman"/>
          <w:b/>
          <w:bCs/>
          <w:sz w:val="24"/>
          <w:szCs w:val="24"/>
        </w:rPr>
      </w:pPr>
    </w:p>
    <w:p w14:paraId="7C09D5C4" w14:textId="77777777" w:rsidR="006D52C4" w:rsidRDefault="006D52C4" w:rsidP="002B1283">
      <w:pPr>
        <w:rPr>
          <w:rFonts w:ascii="Arial Black" w:hAnsi="Arial Black"/>
          <w:b/>
          <w:bCs/>
          <w:sz w:val="28"/>
          <w:szCs w:val="28"/>
        </w:rPr>
      </w:pPr>
    </w:p>
    <w:p w14:paraId="60C32DD2" w14:textId="1B1126CA" w:rsidR="00300506" w:rsidRDefault="00300506" w:rsidP="002B1283">
      <w:pPr>
        <w:rPr>
          <w:rFonts w:ascii="Arial Black" w:hAnsi="Arial Black"/>
          <w:b/>
          <w:bCs/>
          <w:sz w:val="28"/>
          <w:szCs w:val="28"/>
        </w:rPr>
      </w:pPr>
      <w:r>
        <w:rPr>
          <w:rFonts w:ascii="Arial Black" w:hAnsi="Arial Black"/>
          <w:b/>
          <w:bCs/>
          <w:sz w:val="28"/>
          <w:szCs w:val="28"/>
        </w:rPr>
        <w:t>13-205</w:t>
      </w:r>
    </w:p>
    <w:p w14:paraId="7CEDE818" w14:textId="689F7F76" w:rsidR="002270FF" w:rsidRPr="000B7F2C" w:rsidRDefault="002270FF" w:rsidP="002270FF">
      <w:pPr>
        <w:rPr>
          <w:rFonts w:ascii="Arial Black" w:hAnsi="Arial Black"/>
          <w:bCs/>
          <w:sz w:val="28"/>
          <w:szCs w:val="28"/>
        </w:rPr>
      </w:pPr>
      <w:r w:rsidRPr="000B7F2C">
        <w:rPr>
          <w:rFonts w:ascii="Arial Black" w:hAnsi="Arial Black"/>
          <w:sz w:val="28"/>
          <w:szCs w:val="28"/>
        </w:rPr>
        <w:t xml:space="preserve">MA: </w:t>
      </w:r>
      <w:r>
        <w:rPr>
          <w:rFonts w:ascii="Arial Black" w:hAnsi="Arial Black"/>
          <w:sz w:val="28"/>
          <w:szCs w:val="28"/>
        </w:rPr>
        <w:t xml:space="preserve">FIRED </w:t>
      </w:r>
      <w:r w:rsidR="00E56ACD">
        <w:rPr>
          <w:rFonts w:ascii="Arial Black" w:hAnsi="Arial Black"/>
          <w:sz w:val="28"/>
          <w:szCs w:val="28"/>
        </w:rPr>
        <w:t>–</w:t>
      </w:r>
      <w:r>
        <w:rPr>
          <w:rFonts w:ascii="Arial Black" w:hAnsi="Arial Black"/>
          <w:sz w:val="28"/>
          <w:szCs w:val="28"/>
        </w:rPr>
        <w:t xml:space="preserve"> </w:t>
      </w:r>
      <w:r w:rsidRPr="000B7F2C">
        <w:rPr>
          <w:rFonts w:ascii="Arial Black" w:hAnsi="Arial Black"/>
          <w:sz w:val="28"/>
          <w:szCs w:val="28"/>
        </w:rPr>
        <w:t>WHISTLEBLOWER</w:t>
      </w:r>
      <w:r w:rsidR="004B4BE8">
        <w:rPr>
          <w:rFonts w:ascii="Arial Black" w:hAnsi="Arial Black"/>
          <w:sz w:val="28"/>
          <w:szCs w:val="28"/>
        </w:rPr>
        <w:t xml:space="preserve"> CASE PROCEED</w:t>
      </w:r>
      <w:r w:rsidR="00E56ACD">
        <w:rPr>
          <w:rFonts w:ascii="Arial Black" w:hAnsi="Arial Black"/>
          <w:sz w:val="28"/>
          <w:szCs w:val="28"/>
        </w:rPr>
        <w:t xml:space="preserve"> </w:t>
      </w:r>
      <w:r w:rsidR="004B4BE8">
        <w:rPr>
          <w:rFonts w:ascii="Arial Black" w:hAnsi="Arial Black"/>
          <w:sz w:val="28"/>
          <w:szCs w:val="28"/>
        </w:rPr>
        <w:t>–</w:t>
      </w:r>
      <w:r w:rsidR="00E56ACD">
        <w:rPr>
          <w:rFonts w:ascii="Arial Black" w:hAnsi="Arial Black"/>
          <w:sz w:val="28"/>
          <w:szCs w:val="28"/>
        </w:rPr>
        <w:t xml:space="preserve"> </w:t>
      </w:r>
      <w:r w:rsidR="004B4BE8">
        <w:rPr>
          <w:rFonts w:ascii="Arial Black" w:hAnsi="Arial Black"/>
          <w:sz w:val="28"/>
          <w:szCs w:val="28"/>
        </w:rPr>
        <w:t>PHOTO PT INJURY</w:t>
      </w:r>
    </w:p>
    <w:p w14:paraId="4DEDE99D" w14:textId="775005AD" w:rsidR="002270FF" w:rsidRPr="002270FF" w:rsidRDefault="002270FF" w:rsidP="002270FF">
      <w:pPr>
        <w:rPr>
          <w:rFonts w:ascii="Times New Roman" w:hAnsi="Times New Roman"/>
          <w:bCs/>
          <w:sz w:val="24"/>
          <w:szCs w:val="24"/>
        </w:rPr>
      </w:pPr>
      <w:r w:rsidRPr="002270FF">
        <w:rPr>
          <w:rFonts w:ascii="Times New Roman" w:hAnsi="Times New Roman"/>
          <w:sz w:val="24"/>
          <w:szCs w:val="24"/>
        </w:rPr>
        <w:t xml:space="preserve">On Jan. 30, 2025, in </w:t>
      </w:r>
      <w:r w:rsidRPr="002270FF">
        <w:rPr>
          <w:rFonts w:ascii="Times New Roman" w:hAnsi="Times New Roman"/>
          <w:sz w:val="24"/>
          <w:szCs w:val="24"/>
          <w:u w:val="single"/>
        </w:rPr>
        <w:t>Nial Luu v. Falon Service, Inc</w:t>
      </w:r>
      <w:r w:rsidRPr="002270FF">
        <w:rPr>
          <w:rFonts w:ascii="Times New Roman" w:hAnsi="Times New Roman"/>
          <w:sz w:val="24"/>
          <w:szCs w:val="24"/>
        </w:rPr>
        <w:t xml:space="preserve">., the Appeals Court of Massachusetts held (3 to 0) that trial court improperly dismissed the lawsuit.  On Nov. 30, 2019, the EMT was driving ambulance transporting patent from Encompass Health Rehabilitation Hospital experiencing an altered mental status to a hospital.   “Upon arrival at the hospital, the plaintiff became aware of a new hemorrhage wound on the patient's arm. The plaintiff questioned his partner about how the injury resulted, but the partner </w:t>
      </w:r>
      <w:proofErr w:type="gramStart"/>
      <w:r w:rsidRPr="002270FF">
        <w:rPr>
          <w:rFonts w:ascii="Times New Roman" w:hAnsi="Times New Roman"/>
          <w:sz w:val="24"/>
          <w:szCs w:val="24"/>
        </w:rPr>
        <w:t>was not able to</w:t>
      </w:r>
      <w:proofErr w:type="gramEnd"/>
      <w:r w:rsidRPr="002270FF">
        <w:rPr>
          <w:rFonts w:ascii="Times New Roman" w:hAnsi="Times New Roman"/>
          <w:sz w:val="24"/>
          <w:szCs w:val="24"/>
        </w:rPr>
        <w:t xml:space="preserve"> provide an explanation. Believing that the injury was a result of his partner's misconduct and neglect of the patient, the plaintiff used his personal cell phone to take photographs and one video recording of the patient's arm injury prior to taking the patient into the hospital.”   After reporting this to his </w:t>
      </w:r>
      <w:proofErr w:type="gramStart"/>
      <w:r w:rsidRPr="002270FF">
        <w:rPr>
          <w:rFonts w:ascii="Times New Roman" w:hAnsi="Times New Roman"/>
          <w:sz w:val="24"/>
          <w:szCs w:val="24"/>
        </w:rPr>
        <w:t>Supervisor</w:t>
      </w:r>
      <w:proofErr w:type="gramEnd"/>
      <w:r w:rsidRPr="002270FF">
        <w:rPr>
          <w:rFonts w:ascii="Times New Roman" w:hAnsi="Times New Roman"/>
          <w:sz w:val="24"/>
          <w:szCs w:val="24"/>
        </w:rPr>
        <w:t xml:space="preserve"> and sending her a copy of the photo, his job duties now included sweeping, mopping, and sanitizing the station and paramedic trucks.  On Jan. 8, </w:t>
      </w:r>
      <w:proofErr w:type="gramStart"/>
      <w:r w:rsidRPr="002270FF">
        <w:rPr>
          <w:rFonts w:ascii="Times New Roman" w:hAnsi="Times New Roman"/>
          <w:sz w:val="24"/>
          <w:szCs w:val="24"/>
        </w:rPr>
        <w:t>2020</w:t>
      </w:r>
      <w:proofErr w:type="gramEnd"/>
      <w:r w:rsidRPr="002270FF">
        <w:rPr>
          <w:rFonts w:ascii="Times New Roman" w:hAnsi="Times New Roman"/>
          <w:sz w:val="24"/>
          <w:szCs w:val="24"/>
        </w:rPr>
        <w:t xml:space="preserve"> he was told to delete the photo in meeting with Vice-President, Human Resources Director, and Senior Vice-President. Instead, on Jan. 14, </w:t>
      </w:r>
      <w:proofErr w:type="gramStart"/>
      <w:r w:rsidRPr="002270FF">
        <w:rPr>
          <w:rFonts w:ascii="Times New Roman" w:hAnsi="Times New Roman"/>
          <w:sz w:val="24"/>
          <w:szCs w:val="24"/>
        </w:rPr>
        <w:t>2020</w:t>
      </w:r>
      <w:proofErr w:type="gramEnd"/>
      <w:r w:rsidRPr="002270FF">
        <w:rPr>
          <w:rFonts w:ascii="Times New Roman" w:hAnsi="Times New Roman"/>
          <w:sz w:val="24"/>
          <w:szCs w:val="24"/>
        </w:rPr>
        <w:t xml:space="preserve"> he made report to the State Office of Emergency Medical Services – he was fired on Jan. 17 for not deleting the photo.</w:t>
      </w:r>
      <w:r w:rsidR="00956215">
        <w:rPr>
          <w:rFonts w:ascii="Times New Roman" w:hAnsi="Times New Roman"/>
          <w:sz w:val="24"/>
          <w:szCs w:val="24"/>
        </w:rPr>
        <w:t xml:space="preserve"> </w:t>
      </w:r>
      <w:hyperlink r:id="rId2043" w:history="1">
        <w:r w:rsidR="00956215" w:rsidRPr="000F3B38">
          <w:rPr>
            <w:rStyle w:val="Hyperlink"/>
            <w:rFonts w:ascii="Times New Roman" w:hAnsi="Times New Roman"/>
            <w:sz w:val="24"/>
            <w:szCs w:val="24"/>
          </w:rPr>
          <w:t>https://caselaw.findlaw.com/court/ma-court-of-appeals/116890923.html</w:t>
        </w:r>
      </w:hyperlink>
      <w:r w:rsidR="00956215">
        <w:rPr>
          <w:rFonts w:ascii="Times New Roman" w:hAnsi="Times New Roman"/>
          <w:sz w:val="24"/>
          <w:szCs w:val="24"/>
        </w:rPr>
        <w:t xml:space="preserve"> </w:t>
      </w:r>
    </w:p>
    <w:p w14:paraId="3B28007B" w14:textId="77777777" w:rsidR="002270FF" w:rsidRPr="002270FF" w:rsidRDefault="002270FF" w:rsidP="002270FF">
      <w:pPr>
        <w:rPr>
          <w:rFonts w:ascii="Times New Roman" w:hAnsi="Times New Roman"/>
          <w:bCs/>
          <w:sz w:val="24"/>
          <w:szCs w:val="24"/>
        </w:rPr>
      </w:pPr>
      <w:r w:rsidRPr="002270FF">
        <w:rPr>
          <w:rFonts w:ascii="Times New Roman" w:hAnsi="Times New Roman"/>
          <w:sz w:val="24"/>
          <w:szCs w:val="24"/>
        </w:rPr>
        <w:t>The Court wrote:</w:t>
      </w:r>
    </w:p>
    <w:p w14:paraId="08A73D5D" w14:textId="77777777" w:rsidR="002270FF" w:rsidRPr="002270FF" w:rsidRDefault="002270FF" w:rsidP="002270FF">
      <w:pPr>
        <w:ind w:left="720"/>
        <w:rPr>
          <w:rFonts w:ascii="Times New Roman" w:hAnsi="Times New Roman"/>
          <w:sz w:val="24"/>
          <w:szCs w:val="24"/>
        </w:rPr>
      </w:pPr>
      <w:r w:rsidRPr="002270FF">
        <w:rPr>
          <w:rFonts w:ascii="Times New Roman" w:hAnsi="Times New Roman"/>
          <w:sz w:val="24"/>
          <w:szCs w:val="24"/>
        </w:rPr>
        <w:t xml:space="preserve">“Concluding that </w:t>
      </w:r>
      <w:hyperlink r:id="rId2044" w:history="1">
        <w:r w:rsidRPr="002270FF">
          <w:rPr>
            <w:rStyle w:val="Hyperlink"/>
            <w:rFonts w:ascii="Times New Roman" w:hAnsi="Times New Roman"/>
            <w:sz w:val="24"/>
            <w:szCs w:val="24"/>
          </w:rPr>
          <w:t>G. L. c. 149, § 187 (</w:t>
        </w:r>
        <w:r w:rsidRPr="002270FF">
          <w:rPr>
            <w:rStyle w:val="Hyperlink"/>
            <w:rFonts w:ascii="Times New Roman" w:hAnsi="Times New Roman"/>
            <w:i/>
            <w:iCs/>
            <w:sz w:val="24"/>
            <w:szCs w:val="24"/>
          </w:rPr>
          <w:t>b</w:t>
        </w:r>
        <w:r w:rsidRPr="002270FF">
          <w:rPr>
            <w:rStyle w:val="Hyperlink"/>
            <w:rFonts w:ascii="Times New Roman" w:hAnsi="Times New Roman"/>
            <w:sz w:val="24"/>
            <w:szCs w:val="24"/>
          </w:rPr>
          <w:t>)</w:t>
        </w:r>
      </w:hyperlink>
      <w:r w:rsidRPr="002270FF">
        <w:rPr>
          <w:rFonts w:ascii="Times New Roman" w:hAnsi="Times New Roman"/>
          <w:sz w:val="24"/>
          <w:szCs w:val="24"/>
        </w:rPr>
        <w:t>, prohibits retaliation by an ambulance service against an EMT employed by it for reporting medical misconduct to the government, we reverse the dismissal of the whistleblower claim.</w:t>
      </w:r>
    </w:p>
    <w:p w14:paraId="12E9C1A0" w14:textId="77777777" w:rsidR="002270FF" w:rsidRPr="002270FF" w:rsidRDefault="002270FF" w:rsidP="002270FF">
      <w:pPr>
        <w:ind w:firstLine="720"/>
        <w:rPr>
          <w:rFonts w:ascii="Times New Roman" w:hAnsi="Times New Roman"/>
          <w:sz w:val="24"/>
          <w:szCs w:val="24"/>
        </w:rPr>
      </w:pPr>
      <w:r w:rsidRPr="002270FF">
        <w:rPr>
          <w:rFonts w:ascii="Times New Roman" w:hAnsi="Times New Roman"/>
          <w:sz w:val="24"/>
          <w:szCs w:val="24"/>
        </w:rPr>
        <w:t>***</w:t>
      </w:r>
    </w:p>
    <w:p w14:paraId="2CB5CA61" w14:textId="77777777" w:rsidR="002270FF" w:rsidRPr="002270FF" w:rsidRDefault="002270FF" w:rsidP="002270FF">
      <w:pPr>
        <w:ind w:left="720"/>
        <w:rPr>
          <w:rFonts w:ascii="Times New Roman" w:hAnsi="Times New Roman"/>
          <w:sz w:val="24"/>
          <w:szCs w:val="24"/>
        </w:rPr>
      </w:pPr>
      <w:r w:rsidRPr="002270FF">
        <w:rPr>
          <w:rFonts w:ascii="Times New Roman" w:hAnsi="Times New Roman"/>
          <w:sz w:val="24"/>
          <w:szCs w:val="24"/>
        </w:rPr>
        <w:t xml:space="preserve">The plaintiff here falls squarely within ‘any other health care provider who performs or has performed health care related services for and under the control of a health care facility for care-related services.’ </w:t>
      </w:r>
      <w:hyperlink r:id="rId2045" w:history="1">
        <w:r w:rsidRPr="002270FF">
          <w:rPr>
            <w:rStyle w:val="Hyperlink"/>
            <w:rFonts w:ascii="Times New Roman" w:hAnsi="Times New Roman"/>
            <w:sz w:val="24"/>
            <w:szCs w:val="24"/>
          </w:rPr>
          <w:t>G. L. c. 149, § 187 (</w:t>
        </w:r>
        <w:r w:rsidRPr="002270FF">
          <w:rPr>
            <w:rStyle w:val="Hyperlink"/>
            <w:rFonts w:ascii="Times New Roman" w:hAnsi="Times New Roman"/>
            <w:i/>
            <w:iCs/>
            <w:sz w:val="24"/>
            <w:szCs w:val="24"/>
          </w:rPr>
          <w:t>a</w:t>
        </w:r>
        <w:r w:rsidRPr="002270FF">
          <w:rPr>
            <w:rStyle w:val="Hyperlink"/>
            <w:rFonts w:ascii="Times New Roman" w:hAnsi="Times New Roman"/>
            <w:sz w:val="24"/>
            <w:szCs w:val="24"/>
          </w:rPr>
          <w:t>)</w:t>
        </w:r>
      </w:hyperlink>
      <w:r w:rsidRPr="002270FF">
        <w:rPr>
          <w:rFonts w:ascii="Times New Roman" w:hAnsi="Times New Roman"/>
          <w:sz w:val="24"/>
          <w:szCs w:val="24"/>
        </w:rPr>
        <w:t xml:space="preserve">. As an EMT employed by Fallon, the plaintiff performed care-related services for and under the control of Fallon, a health care facility, including driving an ambulance and providing patient care in transport. During the incident in question, the plaintiff responded to a call at a rehabilitation hospital for a patient experiencing a medical emergency. The plaintiff was responsible for driving the ambulance as his partner provided medical care to the patient in the vehicle. In each of these tasks, the plaintiff interacted directly with the patient, who required immediate health care service. This falls within the patient care that </w:t>
      </w:r>
      <w:hyperlink r:id="rId2046" w:history="1">
        <w:r w:rsidRPr="002270FF">
          <w:rPr>
            <w:rStyle w:val="Hyperlink"/>
            <w:rFonts w:ascii="Times New Roman" w:hAnsi="Times New Roman"/>
            <w:sz w:val="24"/>
            <w:szCs w:val="24"/>
          </w:rPr>
          <w:t>G. L. c. 149, § 187</w:t>
        </w:r>
      </w:hyperlink>
      <w:r w:rsidRPr="002270FF">
        <w:rPr>
          <w:rFonts w:ascii="Times New Roman" w:hAnsi="Times New Roman"/>
          <w:sz w:val="24"/>
          <w:szCs w:val="24"/>
        </w:rPr>
        <w:t>, was designed to safeguard.”</w:t>
      </w:r>
    </w:p>
    <w:p w14:paraId="5521A801" w14:textId="6A20C893" w:rsidR="002270FF" w:rsidRPr="002270FF" w:rsidRDefault="002270FF" w:rsidP="002270FF">
      <w:pPr>
        <w:rPr>
          <w:rFonts w:ascii="Times New Roman" w:hAnsi="Times New Roman"/>
          <w:b/>
          <w:bCs/>
          <w:sz w:val="24"/>
          <w:szCs w:val="24"/>
        </w:rPr>
      </w:pPr>
      <w:r w:rsidRPr="002270FF">
        <w:rPr>
          <w:rFonts w:ascii="Times New Roman" w:hAnsi="Times New Roman"/>
          <w:b/>
          <w:sz w:val="24"/>
          <w:szCs w:val="24"/>
        </w:rPr>
        <w:t xml:space="preserve">Legal Lesson Learned: Avoid whistleblower lawsuits.  When an employee reports possible misconduct by another employee, promptly </w:t>
      </w:r>
      <w:proofErr w:type="gramStart"/>
      <w:r w:rsidRPr="002270FF">
        <w:rPr>
          <w:rFonts w:ascii="Times New Roman" w:hAnsi="Times New Roman"/>
          <w:b/>
          <w:sz w:val="24"/>
          <w:szCs w:val="24"/>
        </w:rPr>
        <w:t>conduct an investigation</w:t>
      </w:r>
      <w:proofErr w:type="gramEnd"/>
      <w:r w:rsidRPr="002270FF">
        <w:rPr>
          <w:rFonts w:ascii="Times New Roman" w:hAnsi="Times New Roman"/>
          <w:b/>
          <w:sz w:val="24"/>
          <w:szCs w:val="24"/>
        </w:rPr>
        <w:t xml:space="preserve"> and </w:t>
      </w:r>
      <w:r w:rsidR="001C1BE8">
        <w:rPr>
          <w:rFonts w:ascii="Times New Roman" w:hAnsi="Times New Roman"/>
          <w:b/>
          <w:sz w:val="24"/>
          <w:szCs w:val="24"/>
        </w:rPr>
        <w:t xml:space="preserve">inform </w:t>
      </w:r>
      <w:proofErr w:type="gramStart"/>
      <w:r w:rsidR="009B6783">
        <w:rPr>
          <w:rFonts w:ascii="Times New Roman" w:hAnsi="Times New Roman"/>
          <w:b/>
          <w:sz w:val="24"/>
          <w:szCs w:val="24"/>
        </w:rPr>
        <w:t>employee</w:t>
      </w:r>
      <w:proofErr w:type="gramEnd"/>
      <w:r w:rsidR="009B6783">
        <w:rPr>
          <w:rFonts w:ascii="Times New Roman" w:hAnsi="Times New Roman"/>
          <w:b/>
          <w:sz w:val="24"/>
          <w:szCs w:val="24"/>
        </w:rPr>
        <w:t xml:space="preserve"> </w:t>
      </w:r>
      <w:r w:rsidRPr="002270FF">
        <w:rPr>
          <w:rFonts w:ascii="Times New Roman" w:hAnsi="Times New Roman"/>
          <w:b/>
          <w:sz w:val="24"/>
          <w:szCs w:val="24"/>
        </w:rPr>
        <w:t xml:space="preserve">of </w:t>
      </w:r>
      <w:proofErr w:type="gramStart"/>
      <w:r w:rsidRPr="002270FF">
        <w:rPr>
          <w:rFonts w:ascii="Times New Roman" w:hAnsi="Times New Roman"/>
          <w:b/>
          <w:sz w:val="24"/>
          <w:szCs w:val="24"/>
        </w:rPr>
        <w:t>your</w:t>
      </w:r>
      <w:proofErr w:type="gramEnd"/>
      <w:r w:rsidRPr="002270FF">
        <w:rPr>
          <w:rFonts w:ascii="Times New Roman" w:hAnsi="Times New Roman"/>
          <w:b/>
          <w:sz w:val="24"/>
          <w:szCs w:val="24"/>
        </w:rPr>
        <w:t xml:space="preserve"> actions.  </w:t>
      </w:r>
    </w:p>
    <w:p w14:paraId="2C1EAEC4" w14:textId="77777777" w:rsidR="00300506" w:rsidRPr="002270FF" w:rsidRDefault="00300506" w:rsidP="002B1283">
      <w:pPr>
        <w:rPr>
          <w:rFonts w:ascii="Times New Roman" w:hAnsi="Times New Roman"/>
          <w:b/>
          <w:bCs/>
          <w:sz w:val="24"/>
          <w:szCs w:val="24"/>
        </w:rPr>
      </w:pPr>
    </w:p>
    <w:p w14:paraId="0785EAA7" w14:textId="37720460" w:rsidR="00816951" w:rsidRDefault="00816951" w:rsidP="002B1283">
      <w:pPr>
        <w:rPr>
          <w:rFonts w:ascii="Arial Black" w:hAnsi="Arial Black"/>
          <w:b/>
          <w:bCs/>
          <w:sz w:val="28"/>
          <w:szCs w:val="28"/>
        </w:rPr>
      </w:pPr>
      <w:r>
        <w:rPr>
          <w:rFonts w:ascii="Arial Black" w:hAnsi="Arial Black"/>
          <w:b/>
          <w:bCs/>
          <w:sz w:val="28"/>
          <w:szCs w:val="28"/>
        </w:rPr>
        <w:t>13-204</w:t>
      </w:r>
    </w:p>
    <w:p w14:paraId="0D36C7C3" w14:textId="07B8C3B8" w:rsidR="00816951" w:rsidRPr="00BF1717" w:rsidRDefault="00816951" w:rsidP="00816951">
      <w:pPr>
        <w:rPr>
          <w:rFonts w:ascii="Arial Black" w:hAnsi="Arial Black"/>
          <w:b/>
          <w:sz w:val="28"/>
          <w:szCs w:val="28"/>
        </w:rPr>
      </w:pPr>
      <w:r>
        <w:rPr>
          <w:rFonts w:ascii="Arial Black" w:hAnsi="Arial Black"/>
          <w:b/>
          <w:sz w:val="28"/>
          <w:szCs w:val="28"/>
        </w:rPr>
        <w:t xml:space="preserve">MN: </w:t>
      </w:r>
      <w:r w:rsidR="00206727">
        <w:rPr>
          <w:rFonts w:ascii="Arial Black" w:hAnsi="Arial Black"/>
          <w:b/>
          <w:sz w:val="28"/>
          <w:szCs w:val="28"/>
        </w:rPr>
        <w:t xml:space="preserve">AMBUL. CODER – </w:t>
      </w:r>
      <w:r>
        <w:rPr>
          <w:rFonts w:ascii="Arial Black" w:hAnsi="Arial Black"/>
          <w:b/>
          <w:sz w:val="28"/>
          <w:szCs w:val="28"/>
        </w:rPr>
        <w:t>WHISTLEBLOWER</w:t>
      </w:r>
      <w:r w:rsidR="00206727">
        <w:rPr>
          <w:rFonts w:ascii="Arial Black" w:hAnsi="Arial Black"/>
          <w:b/>
          <w:sz w:val="28"/>
          <w:szCs w:val="28"/>
        </w:rPr>
        <w:t xml:space="preserve"> - “BLS” UPCHARGED “ALS” </w:t>
      </w:r>
    </w:p>
    <w:p w14:paraId="099A4B53" w14:textId="77777777" w:rsidR="00816951" w:rsidRPr="000C1D8F" w:rsidRDefault="00816951" w:rsidP="00816951">
      <w:pPr>
        <w:pStyle w:val="NoSpacing"/>
        <w:rPr>
          <w:rFonts w:ascii="Times New Roman" w:hAnsi="Times New Roman"/>
          <w:sz w:val="24"/>
          <w:szCs w:val="24"/>
        </w:rPr>
      </w:pPr>
      <w:r w:rsidRPr="000C1D8F">
        <w:rPr>
          <w:rFonts w:ascii="Times New Roman" w:hAnsi="Times New Roman"/>
          <w:sz w:val="24"/>
          <w:szCs w:val="24"/>
        </w:rPr>
        <w:t xml:space="preserve">On Jan. 24, 2025, in </w:t>
      </w:r>
      <w:r w:rsidRPr="000C1D8F">
        <w:rPr>
          <w:rFonts w:ascii="Times New Roman" w:hAnsi="Times New Roman"/>
          <w:sz w:val="24"/>
          <w:szCs w:val="24"/>
          <w:u w:val="single"/>
        </w:rPr>
        <w:t>United States of America and the State of Minnesota, ex rel. Ashley Mothershed v. Mayo Clinic Ambulance</w:t>
      </w:r>
      <w:r w:rsidRPr="000C1D8F">
        <w:rPr>
          <w:rFonts w:ascii="Times New Roman" w:hAnsi="Times New Roman"/>
          <w:sz w:val="24"/>
          <w:szCs w:val="24"/>
        </w:rPr>
        <w:t xml:space="preserve">, United States District Court Judge Donovan W. Frank denied the Mayo Clinic motion to dismiss the false claim case (but dismiss duplicative counts of submitting false records). The whistleblower is an experienced ambulance coding employee; in her lawsuit she provided numerous examples of inflated charges.  Pre-trial discovery will now proceed (when federal government intervenes, whistleblowers typically receive 15% to 30% of the recovery by federal government). </w:t>
      </w:r>
      <w:hyperlink r:id="rId2047" w:history="1">
        <w:r w:rsidRPr="000C1D8F">
          <w:rPr>
            <w:rStyle w:val="Hyperlink"/>
            <w:rFonts w:ascii="Times New Roman" w:hAnsi="Times New Roman"/>
            <w:sz w:val="24"/>
            <w:szCs w:val="24"/>
          </w:rPr>
          <w:t>https://cases.justia.com/federal/district-courts/minnesota/mndce/0:2022cv00602/199430/91/0.pdf?ts=1737802391</w:t>
        </w:r>
      </w:hyperlink>
      <w:r w:rsidRPr="000C1D8F">
        <w:rPr>
          <w:rFonts w:ascii="Times New Roman" w:hAnsi="Times New Roman"/>
          <w:sz w:val="24"/>
          <w:szCs w:val="24"/>
        </w:rPr>
        <w:t xml:space="preserve"> </w:t>
      </w:r>
    </w:p>
    <w:p w14:paraId="7F486D90" w14:textId="77777777" w:rsidR="00816951" w:rsidRPr="000C1D8F" w:rsidRDefault="00816951" w:rsidP="00816951">
      <w:pPr>
        <w:pStyle w:val="NoSpacing"/>
        <w:rPr>
          <w:rFonts w:ascii="Times New Roman" w:hAnsi="Times New Roman"/>
          <w:sz w:val="24"/>
          <w:szCs w:val="24"/>
        </w:rPr>
      </w:pPr>
    </w:p>
    <w:p w14:paraId="18A03948" w14:textId="77777777" w:rsidR="00816951" w:rsidRPr="000C1D8F" w:rsidRDefault="00816951" w:rsidP="00816951">
      <w:pPr>
        <w:pStyle w:val="NoSpacing"/>
        <w:rPr>
          <w:rFonts w:ascii="Times New Roman" w:hAnsi="Times New Roman"/>
          <w:sz w:val="24"/>
          <w:szCs w:val="24"/>
        </w:rPr>
      </w:pPr>
      <w:r w:rsidRPr="000C1D8F">
        <w:rPr>
          <w:rFonts w:ascii="Times New Roman" w:hAnsi="Times New Roman"/>
          <w:sz w:val="24"/>
          <w:szCs w:val="24"/>
        </w:rPr>
        <w:t>The Court wrote:</w:t>
      </w:r>
    </w:p>
    <w:p w14:paraId="55C23E52" w14:textId="77777777" w:rsidR="00816951" w:rsidRPr="000C1D8F" w:rsidRDefault="00816951" w:rsidP="00816951">
      <w:pPr>
        <w:pStyle w:val="NoSpacing"/>
        <w:rPr>
          <w:rFonts w:ascii="Times New Roman" w:hAnsi="Times New Roman"/>
          <w:sz w:val="24"/>
          <w:szCs w:val="24"/>
        </w:rPr>
      </w:pPr>
    </w:p>
    <w:p w14:paraId="17DDAE5A" w14:textId="77777777" w:rsidR="00816951" w:rsidRPr="000C1D8F" w:rsidRDefault="00816951" w:rsidP="00816951">
      <w:pPr>
        <w:pStyle w:val="NoSpacing"/>
        <w:ind w:firstLine="720"/>
        <w:rPr>
          <w:rFonts w:ascii="Times New Roman" w:hAnsi="Times New Roman"/>
          <w:sz w:val="24"/>
          <w:szCs w:val="24"/>
        </w:rPr>
      </w:pPr>
      <w:r w:rsidRPr="000C1D8F">
        <w:rPr>
          <w:rFonts w:ascii="Times New Roman" w:hAnsi="Times New Roman"/>
          <w:sz w:val="24"/>
          <w:szCs w:val="24"/>
        </w:rPr>
        <w:t>“Mothershed is an experienced professional in ambulance coding compliance….</w:t>
      </w:r>
    </w:p>
    <w:p w14:paraId="2E766F04"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Mayo is a Minnesota-based, non-profit organization that provides ambulance transport services in both Minnesota and Wisconsin</w:t>
      </w:r>
      <w:proofErr w:type="gramStart"/>
      <w:r w:rsidRPr="000C1D8F">
        <w:rPr>
          <w:rFonts w:ascii="Times New Roman" w:hAnsi="Times New Roman"/>
          <w:sz w:val="24"/>
          <w:szCs w:val="24"/>
        </w:rPr>
        <w:t>.…</w:t>
      </w:r>
      <w:proofErr w:type="gramEnd"/>
      <w:r w:rsidRPr="000C1D8F">
        <w:rPr>
          <w:rFonts w:ascii="Times New Roman" w:hAnsi="Times New Roman"/>
          <w:sz w:val="24"/>
          <w:szCs w:val="24"/>
        </w:rPr>
        <w:t xml:space="preserve"> In November 2020, Mothershed began working remotely for Mayo’s billing department….She worked for Mayo from November 2020 through June 2021, and then again from September 2021 through May 2022….As a biller in Mayo’s billing department, Mothershed used information from</w:t>
      </w:r>
    </w:p>
    <w:p w14:paraId="108DA866" w14:textId="77777777" w:rsidR="00816951" w:rsidRPr="000C1D8F" w:rsidRDefault="00816951" w:rsidP="00816951">
      <w:pPr>
        <w:pStyle w:val="NoSpacing"/>
        <w:rPr>
          <w:rFonts w:ascii="Times New Roman" w:hAnsi="Times New Roman"/>
          <w:sz w:val="24"/>
          <w:szCs w:val="24"/>
        </w:rPr>
      </w:pPr>
    </w:p>
    <w:p w14:paraId="25821085"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 xml:space="preserve">Mothershed brings this qui tam action on behalf of the United States of America and the State of Minnesota against Mayo under the federal False Claims Act (‘FCA’) and the Minnesota False Claims Act (‘MFCA.). </w:t>
      </w:r>
    </w:p>
    <w:p w14:paraId="09C09264" w14:textId="77777777" w:rsidR="00816951" w:rsidRPr="000C1D8F" w:rsidRDefault="00816951" w:rsidP="00816951">
      <w:pPr>
        <w:pStyle w:val="NoSpacing"/>
        <w:ind w:left="720"/>
        <w:rPr>
          <w:rFonts w:ascii="Times New Roman" w:hAnsi="Times New Roman"/>
          <w:sz w:val="24"/>
          <w:szCs w:val="24"/>
        </w:rPr>
      </w:pPr>
    </w:p>
    <w:p w14:paraId="3BBCB229" w14:textId="77777777" w:rsidR="00816951" w:rsidRPr="000C1D8F" w:rsidRDefault="00816951" w:rsidP="00816951">
      <w:pPr>
        <w:pStyle w:val="NoSpacing"/>
        <w:ind w:left="720"/>
        <w:rPr>
          <w:rFonts w:ascii="Times New Roman" w:hAnsi="Times New Roman"/>
          <w:b/>
          <w:sz w:val="24"/>
          <w:szCs w:val="24"/>
        </w:rPr>
      </w:pPr>
      <w:r w:rsidRPr="000C1D8F">
        <w:rPr>
          <w:rFonts w:ascii="Times New Roman" w:hAnsi="Times New Roman"/>
          <w:sz w:val="24"/>
          <w:szCs w:val="24"/>
        </w:rPr>
        <w:t>***</w:t>
      </w:r>
    </w:p>
    <w:p w14:paraId="510BB2B3"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Mothershed alleges that Mayo had three schemes for submitting false claims: (1) failing to review whether ambulance transports were medically necessary; (2) inaccurately reporting the level of services provided by upcoding non-emergency transports to emergency transports; and (3) inaccurately reporting the level of services provided by upcoding basic life support (‘BLS’) services to advanced life support (‘ALS’) services.</w:t>
      </w:r>
    </w:p>
    <w:p w14:paraId="48D354C5" w14:textId="77777777" w:rsidR="00816951" w:rsidRPr="000C1D8F" w:rsidRDefault="00816951" w:rsidP="00816951">
      <w:pPr>
        <w:pStyle w:val="NoSpacing"/>
        <w:ind w:left="720"/>
        <w:rPr>
          <w:rFonts w:ascii="Times New Roman" w:hAnsi="Times New Roman"/>
          <w:sz w:val="24"/>
          <w:szCs w:val="24"/>
        </w:rPr>
      </w:pPr>
    </w:p>
    <w:p w14:paraId="6E67D7F0"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w:t>
      </w:r>
    </w:p>
    <w:p w14:paraId="20D4123E" w14:textId="77777777" w:rsidR="00816951" w:rsidRPr="000C1D8F" w:rsidRDefault="00816951" w:rsidP="00816951">
      <w:pPr>
        <w:pStyle w:val="NoSpacing"/>
        <w:rPr>
          <w:rFonts w:ascii="Times New Roman" w:hAnsi="Times New Roman"/>
          <w:sz w:val="24"/>
          <w:szCs w:val="24"/>
        </w:rPr>
      </w:pPr>
    </w:p>
    <w:p w14:paraId="02CC9856"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As for knowledge, Mothershed alleges many conversations with her supervisors at Mayo about the problems with this billing practice. Her supervisors ignored her suggestions and told her to keep billing this way, even at times telling her to go back and change her codes. These actions demonstrate, at a minimum, a reckless disregard because Mayo was aware of the substantial and unjustifiable risk that they might have been submitting false claims, but they ignored those warnings by Mothershed. Thus, Mothershed sufficiently alleges knowledge.</w:t>
      </w:r>
    </w:p>
    <w:p w14:paraId="7DFCDD7A" w14:textId="77777777" w:rsidR="00816951" w:rsidRPr="000C1D8F" w:rsidRDefault="00816951" w:rsidP="00816951">
      <w:pPr>
        <w:pStyle w:val="NoSpacing"/>
        <w:ind w:left="720"/>
        <w:rPr>
          <w:rFonts w:ascii="Times New Roman" w:hAnsi="Times New Roman"/>
          <w:sz w:val="24"/>
          <w:szCs w:val="24"/>
        </w:rPr>
      </w:pPr>
    </w:p>
    <w:p w14:paraId="68C9810A"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w:t>
      </w:r>
    </w:p>
    <w:p w14:paraId="156846CF" w14:textId="77777777" w:rsidR="00816951" w:rsidRPr="000C1D8F" w:rsidRDefault="00816951" w:rsidP="00816951">
      <w:pPr>
        <w:pStyle w:val="NoSpacing"/>
        <w:rPr>
          <w:rFonts w:ascii="Times New Roman" w:hAnsi="Times New Roman"/>
          <w:sz w:val="24"/>
          <w:szCs w:val="24"/>
        </w:rPr>
      </w:pPr>
    </w:p>
    <w:p w14:paraId="5C71356F"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Mothershed provides two specific examples of this practice. Patient LS-3 was suffering from diarrhea, abdominal pain, nausea, and vomiting…. An ALS crew was dispatched to respond to the call, consisting of one Paramedic and one EMT-Basic….Dispatch marked the call type as ‘BLS.’… Upon arriving at the scene, the EMT-Basic performed an assessment of the patient…. No ALS interventions were conducted during the call…. Mayo billed the transport as ALS instead of BLS.</w:t>
      </w:r>
    </w:p>
    <w:p w14:paraId="7E1BD30A" w14:textId="77777777" w:rsidR="00816951" w:rsidRPr="000C1D8F" w:rsidRDefault="00816951" w:rsidP="00816951">
      <w:pPr>
        <w:pStyle w:val="NoSpacing"/>
        <w:ind w:left="720"/>
        <w:rPr>
          <w:rFonts w:ascii="Times New Roman" w:hAnsi="Times New Roman"/>
          <w:sz w:val="24"/>
          <w:szCs w:val="24"/>
        </w:rPr>
      </w:pPr>
    </w:p>
    <w:p w14:paraId="0C7C202C"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Patient LS-5 was found on the floor not making sense and reported experiencing</w:t>
      </w:r>
    </w:p>
    <w:p w14:paraId="10EADD14"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weakness…. An ALS crew was dispatched to respond to the call, consisting of one Paramedic and one EMT-Basic….Dispatch marked the call type as ‘BLS.’ Upon arriving at the scene, the EMT-Basic performed an assessment of the patient….No ALS interventions were conducted during the call…. Mayo billed the transport as ALS instead of BLS.”</w:t>
      </w:r>
    </w:p>
    <w:p w14:paraId="1D2FF85F" w14:textId="77777777" w:rsidR="00816951" w:rsidRPr="000C1D8F" w:rsidRDefault="00816951" w:rsidP="00816951">
      <w:pPr>
        <w:pStyle w:val="NoSpacing"/>
        <w:ind w:left="720"/>
        <w:rPr>
          <w:rFonts w:ascii="Times New Roman" w:hAnsi="Times New Roman"/>
          <w:sz w:val="24"/>
          <w:szCs w:val="24"/>
        </w:rPr>
      </w:pPr>
    </w:p>
    <w:p w14:paraId="54581F84" w14:textId="77777777" w:rsidR="00816951" w:rsidRPr="000C1D8F" w:rsidRDefault="00816951" w:rsidP="00816951">
      <w:pPr>
        <w:pStyle w:val="NoSpacing"/>
        <w:rPr>
          <w:rFonts w:ascii="Times New Roman" w:hAnsi="Times New Roman"/>
          <w:b/>
          <w:bCs/>
          <w:sz w:val="24"/>
          <w:szCs w:val="24"/>
        </w:rPr>
      </w:pPr>
      <w:r w:rsidRPr="000C1D8F">
        <w:rPr>
          <w:rFonts w:ascii="Times New Roman" w:hAnsi="Times New Roman"/>
          <w:b/>
          <w:sz w:val="24"/>
          <w:szCs w:val="24"/>
        </w:rPr>
        <w:t xml:space="preserve">Legal Lesson Learned:  Up charging BLS services as ALS can lead to litigation by both whistleblowers and by federal and state governments. </w:t>
      </w:r>
    </w:p>
    <w:p w14:paraId="53BDDDF9" w14:textId="77777777" w:rsidR="00816951" w:rsidRPr="000C1D8F" w:rsidRDefault="00816951" w:rsidP="00816951">
      <w:pPr>
        <w:pStyle w:val="NoSpacing"/>
        <w:ind w:left="720"/>
        <w:rPr>
          <w:rFonts w:ascii="Times New Roman" w:hAnsi="Times New Roman"/>
          <w:bCs/>
          <w:sz w:val="24"/>
          <w:szCs w:val="24"/>
        </w:rPr>
      </w:pPr>
    </w:p>
    <w:p w14:paraId="35F97D30" w14:textId="77777777" w:rsidR="00816951" w:rsidRPr="000C1D8F" w:rsidRDefault="00816951" w:rsidP="00816951">
      <w:pPr>
        <w:ind w:left="720"/>
        <w:rPr>
          <w:rFonts w:ascii="Times New Roman" w:hAnsi="Times New Roman"/>
          <w:bCs/>
          <w:sz w:val="24"/>
          <w:szCs w:val="24"/>
        </w:rPr>
      </w:pPr>
      <w:r w:rsidRPr="000C1D8F">
        <w:rPr>
          <w:rFonts w:ascii="Times New Roman" w:hAnsi="Times New Roman"/>
          <w:sz w:val="24"/>
          <w:szCs w:val="24"/>
        </w:rPr>
        <w:t xml:space="preserve">Note: See Jan. 17, </w:t>
      </w:r>
      <w:proofErr w:type="gramStart"/>
      <w:r w:rsidRPr="000C1D8F">
        <w:rPr>
          <w:rFonts w:ascii="Times New Roman" w:hAnsi="Times New Roman"/>
          <w:sz w:val="24"/>
          <w:szCs w:val="24"/>
        </w:rPr>
        <w:t>2025</w:t>
      </w:r>
      <w:proofErr w:type="gramEnd"/>
      <w:r w:rsidRPr="000C1D8F">
        <w:rPr>
          <w:rFonts w:ascii="Times New Roman" w:hAnsi="Times New Roman"/>
          <w:sz w:val="24"/>
          <w:szCs w:val="24"/>
        </w:rPr>
        <w:t xml:space="preserve"> U.S. Department of Justice report, “False Claims Act Settlements and Judgments Exceed $2.9B in Fiscal Year 2024.”</w:t>
      </w:r>
    </w:p>
    <w:p w14:paraId="3F446B36" w14:textId="77777777" w:rsidR="00816951" w:rsidRPr="000C1D8F" w:rsidRDefault="00816951" w:rsidP="00816951">
      <w:pPr>
        <w:pStyle w:val="NoSpacing"/>
        <w:ind w:left="720"/>
        <w:rPr>
          <w:rFonts w:ascii="Times New Roman" w:hAnsi="Times New Roman"/>
          <w:sz w:val="24"/>
          <w:szCs w:val="24"/>
        </w:rPr>
      </w:pPr>
      <w:r w:rsidRPr="000C1D8F">
        <w:rPr>
          <w:rFonts w:ascii="Times New Roman" w:hAnsi="Times New Roman"/>
          <w:sz w:val="24"/>
          <w:szCs w:val="24"/>
        </w:rPr>
        <w:t>“In 1986, Congress strengthened the False Claims Act by increasing incentives for whistleblowers to file lawsuits alleging false claims on behalf of the government. These whistleblowers, or qui tam, actions comprise a significant percentage of the False Claims Act cases that are filed. Qui tam cases may be pursued by the government or the whistleblower, and this past year, significant recoveries were obtained by both. When a qui tam action is successful, the whistleblower, also known as the relator, typically receives a portion of the recovery ranging between 15% and 30%. The 979 qui tam suits filed in fiscal year 2024 breaks the prior record set in 2013, and this past year, the Justice Department reported settlements and judgments exceeding $2.4 billion in these and earlier-filed qui tam suits.”</w:t>
      </w:r>
    </w:p>
    <w:p w14:paraId="3BC419B0" w14:textId="77777777" w:rsidR="00816951" w:rsidRDefault="00816951" w:rsidP="002B1283">
      <w:pPr>
        <w:rPr>
          <w:rFonts w:ascii="Arial Black" w:hAnsi="Arial Black"/>
          <w:b/>
          <w:bCs/>
          <w:sz w:val="28"/>
          <w:szCs w:val="28"/>
        </w:rPr>
      </w:pPr>
    </w:p>
    <w:p w14:paraId="2610712C" w14:textId="76115DC2" w:rsidR="00816951" w:rsidRDefault="00816951" w:rsidP="002B1283">
      <w:pPr>
        <w:rPr>
          <w:rFonts w:ascii="Arial Black" w:hAnsi="Arial Black"/>
          <w:b/>
          <w:bCs/>
          <w:sz w:val="28"/>
          <w:szCs w:val="28"/>
        </w:rPr>
      </w:pPr>
      <w:r>
        <w:rPr>
          <w:rFonts w:ascii="Arial Black" w:hAnsi="Arial Black"/>
          <w:b/>
          <w:bCs/>
          <w:sz w:val="28"/>
          <w:szCs w:val="28"/>
        </w:rPr>
        <w:t>13-203</w:t>
      </w:r>
    </w:p>
    <w:p w14:paraId="137072DF" w14:textId="42CCD4B0" w:rsidR="00A47FDE" w:rsidRPr="00314C53" w:rsidRDefault="00A47FDE" w:rsidP="00A47FDE">
      <w:pPr>
        <w:rPr>
          <w:rFonts w:ascii="Arial Black" w:hAnsi="Arial Black"/>
          <w:b/>
          <w:sz w:val="28"/>
          <w:szCs w:val="28"/>
        </w:rPr>
      </w:pPr>
      <w:r>
        <w:rPr>
          <w:rFonts w:ascii="Arial Black" w:hAnsi="Arial Black"/>
          <w:b/>
          <w:sz w:val="28"/>
          <w:szCs w:val="28"/>
        </w:rPr>
        <w:t>CA: COVID-19 –</w:t>
      </w:r>
      <w:r w:rsidR="00500351">
        <w:rPr>
          <w:rFonts w:ascii="Arial Black" w:hAnsi="Arial Black"/>
          <w:b/>
          <w:sz w:val="28"/>
          <w:szCs w:val="28"/>
        </w:rPr>
        <w:t xml:space="preserve"> </w:t>
      </w:r>
      <w:r>
        <w:rPr>
          <w:rFonts w:ascii="Arial Black" w:hAnsi="Arial Black"/>
          <w:b/>
          <w:sz w:val="28"/>
          <w:szCs w:val="28"/>
        </w:rPr>
        <w:t>RELIGIOUS ACCOM</w:t>
      </w:r>
      <w:r w:rsidR="00500351">
        <w:rPr>
          <w:rFonts w:ascii="Arial Black" w:hAnsi="Arial Black"/>
          <w:b/>
          <w:sz w:val="28"/>
          <w:szCs w:val="28"/>
        </w:rPr>
        <w:t xml:space="preserve"> </w:t>
      </w:r>
      <w:r w:rsidR="003275FF">
        <w:rPr>
          <w:rFonts w:ascii="Arial Black" w:hAnsi="Arial Black"/>
          <w:b/>
          <w:sz w:val="28"/>
          <w:szCs w:val="28"/>
        </w:rPr>
        <w:t xml:space="preserve">- </w:t>
      </w:r>
      <w:r w:rsidR="000A4BD5">
        <w:rPr>
          <w:rFonts w:ascii="Arial Black" w:hAnsi="Arial Black"/>
          <w:b/>
          <w:sz w:val="28"/>
          <w:szCs w:val="28"/>
        </w:rPr>
        <w:t xml:space="preserve">14 GRANTED </w:t>
      </w:r>
      <w:r w:rsidR="00895720">
        <w:rPr>
          <w:rFonts w:ascii="Arial Black" w:hAnsi="Arial Black"/>
          <w:b/>
          <w:sz w:val="28"/>
          <w:szCs w:val="28"/>
        </w:rPr>
        <w:t>/ 6 DENIED</w:t>
      </w:r>
    </w:p>
    <w:p w14:paraId="5BF382CB" w14:textId="77777777" w:rsidR="00A47FDE" w:rsidRPr="00A47FDE" w:rsidRDefault="00A47FDE" w:rsidP="00A47FDE">
      <w:pPr>
        <w:pStyle w:val="NoSpacing"/>
        <w:rPr>
          <w:rFonts w:ascii="Times New Roman" w:hAnsi="Times New Roman"/>
          <w:sz w:val="24"/>
          <w:szCs w:val="24"/>
        </w:rPr>
      </w:pPr>
      <w:r w:rsidRPr="00A47FDE">
        <w:rPr>
          <w:rFonts w:ascii="Times New Roman" w:hAnsi="Times New Roman"/>
          <w:sz w:val="24"/>
          <w:szCs w:val="24"/>
        </w:rPr>
        <w:t xml:space="preserve">On Jan. 22, 2025, in </w:t>
      </w:r>
      <w:r w:rsidRPr="00A47FDE">
        <w:rPr>
          <w:rFonts w:ascii="Times New Roman" w:hAnsi="Times New Roman"/>
          <w:sz w:val="24"/>
          <w:szCs w:val="24"/>
          <w:u w:val="single"/>
        </w:rPr>
        <w:t>Josh Sattley v. The City of Beverly Hills</w:t>
      </w:r>
      <w:r w:rsidRPr="00A47FDE">
        <w:rPr>
          <w:rFonts w:ascii="Times New Roman" w:hAnsi="Times New Roman"/>
          <w:sz w:val="24"/>
          <w:szCs w:val="24"/>
        </w:rPr>
        <w:t xml:space="preserve">, the California Court of Appeals, Second District, Second Division held (3 to 0; unpublished decision) that the firefighter / EMT was properly fired after 11 years on the job; his request for religious accommodation was merely one sentence - “He had a sincerely held religious belief or practices that conflicted with a stated job requirement (mandatory Covid vaccination).”  The City’s HR Director met with each of the firefighters seeking religious accommodations; 14 were granted, and 6 denied (5 then got vaccinated, only Sattley refused). There was no proof that his social media posts criticizing the </w:t>
      </w:r>
      <w:proofErr w:type="gramStart"/>
      <w:r w:rsidRPr="00A47FDE">
        <w:rPr>
          <w:rFonts w:ascii="Times New Roman" w:hAnsi="Times New Roman"/>
          <w:sz w:val="24"/>
          <w:szCs w:val="24"/>
        </w:rPr>
        <w:t>City</w:t>
      </w:r>
      <w:proofErr w:type="gramEnd"/>
      <w:r w:rsidRPr="00A47FDE">
        <w:rPr>
          <w:rFonts w:ascii="Times New Roman" w:hAnsi="Times New Roman"/>
          <w:sz w:val="24"/>
          <w:szCs w:val="24"/>
        </w:rPr>
        <w:t xml:space="preserve"> played any role in his termination. </w:t>
      </w:r>
      <w:hyperlink r:id="rId2048" w:history="1">
        <w:r w:rsidRPr="00A47FDE">
          <w:rPr>
            <w:rStyle w:val="Hyperlink"/>
            <w:rFonts w:ascii="Times New Roman" w:hAnsi="Times New Roman"/>
            <w:sz w:val="24"/>
            <w:szCs w:val="24"/>
          </w:rPr>
          <w:t>https://www4.courts.ca.gov/opinions/nonpub/B334048.PDF</w:t>
        </w:r>
      </w:hyperlink>
      <w:r w:rsidRPr="00A47FDE">
        <w:rPr>
          <w:rFonts w:ascii="Times New Roman" w:hAnsi="Times New Roman"/>
          <w:sz w:val="24"/>
          <w:szCs w:val="24"/>
        </w:rPr>
        <w:t xml:space="preserve"> </w:t>
      </w:r>
    </w:p>
    <w:p w14:paraId="27ED7EEA" w14:textId="77777777" w:rsidR="00A47FDE" w:rsidRPr="00A47FDE" w:rsidRDefault="00A47FDE" w:rsidP="00A47FDE">
      <w:pPr>
        <w:pStyle w:val="NoSpacing"/>
        <w:rPr>
          <w:rFonts w:ascii="Times New Roman" w:hAnsi="Times New Roman"/>
          <w:sz w:val="24"/>
          <w:szCs w:val="24"/>
        </w:rPr>
      </w:pPr>
    </w:p>
    <w:p w14:paraId="5D2A9054" w14:textId="77777777" w:rsidR="00A47FDE" w:rsidRPr="00A47FDE" w:rsidRDefault="00A47FDE" w:rsidP="00A47FDE">
      <w:pPr>
        <w:pStyle w:val="NoSpacing"/>
        <w:rPr>
          <w:rFonts w:ascii="Times New Roman" w:hAnsi="Times New Roman"/>
          <w:sz w:val="24"/>
          <w:szCs w:val="24"/>
        </w:rPr>
      </w:pPr>
      <w:r w:rsidRPr="00A47FDE">
        <w:rPr>
          <w:rFonts w:ascii="Times New Roman" w:hAnsi="Times New Roman"/>
          <w:sz w:val="24"/>
          <w:szCs w:val="24"/>
        </w:rPr>
        <w:t xml:space="preserve">The Court wrote:  </w:t>
      </w:r>
    </w:p>
    <w:p w14:paraId="44EFBEA2" w14:textId="77777777" w:rsidR="00A47FDE" w:rsidRPr="00A47FDE" w:rsidRDefault="00A47FDE" w:rsidP="00A47FDE">
      <w:pPr>
        <w:pStyle w:val="NoSpacing"/>
        <w:rPr>
          <w:rFonts w:ascii="Times New Roman" w:hAnsi="Times New Roman"/>
          <w:sz w:val="24"/>
          <w:szCs w:val="24"/>
        </w:rPr>
      </w:pPr>
    </w:p>
    <w:p w14:paraId="3C7117B5" w14:textId="77777777" w:rsidR="00A47FDE" w:rsidRPr="00A47FDE" w:rsidRDefault="00A47FDE" w:rsidP="00A47FDE">
      <w:pPr>
        <w:pStyle w:val="NoSpacing"/>
        <w:ind w:left="720"/>
        <w:rPr>
          <w:rFonts w:ascii="Times New Roman" w:hAnsi="Times New Roman"/>
          <w:sz w:val="24"/>
          <w:szCs w:val="24"/>
        </w:rPr>
      </w:pPr>
      <w:r w:rsidRPr="00A47FDE">
        <w:rPr>
          <w:rFonts w:ascii="Times New Roman" w:hAnsi="Times New Roman"/>
          <w:sz w:val="24"/>
          <w:szCs w:val="24"/>
        </w:rPr>
        <w:t>“An employee’s inability to perform the essential tasks of his or her job is a legitimate, nondiscriminatory reason to terminate the employee.</w:t>
      </w:r>
    </w:p>
    <w:p w14:paraId="59A73FD6" w14:textId="77777777" w:rsidR="00A47FDE" w:rsidRPr="00A47FDE" w:rsidRDefault="00A47FDE" w:rsidP="00A47FDE">
      <w:pPr>
        <w:pStyle w:val="NoSpacing"/>
        <w:ind w:left="720"/>
        <w:rPr>
          <w:rFonts w:ascii="Times New Roman" w:hAnsi="Times New Roman"/>
          <w:sz w:val="24"/>
          <w:szCs w:val="24"/>
        </w:rPr>
      </w:pPr>
    </w:p>
    <w:p w14:paraId="0048E0B8" w14:textId="77777777" w:rsidR="00A47FDE" w:rsidRPr="00A47FDE" w:rsidRDefault="00A47FDE" w:rsidP="00A47FDE">
      <w:pPr>
        <w:pStyle w:val="NoSpacing"/>
        <w:ind w:left="720"/>
        <w:rPr>
          <w:rFonts w:ascii="Times New Roman" w:hAnsi="Times New Roman"/>
          <w:sz w:val="24"/>
          <w:szCs w:val="24"/>
        </w:rPr>
      </w:pPr>
      <w:r w:rsidRPr="00A47FDE">
        <w:rPr>
          <w:rFonts w:ascii="Times New Roman" w:hAnsi="Times New Roman"/>
          <w:sz w:val="24"/>
          <w:szCs w:val="24"/>
        </w:rPr>
        <w:t>***</w:t>
      </w:r>
    </w:p>
    <w:p w14:paraId="06E19C82" w14:textId="77777777" w:rsidR="00A47FDE" w:rsidRPr="00A47FDE" w:rsidRDefault="00A47FDE" w:rsidP="00A47FDE">
      <w:pPr>
        <w:pStyle w:val="NoSpacing"/>
        <w:ind w:left="720"/>
        <w:rPr>
          <w:rFonts w:ascii="Times New Roman" w:hAnsi="Times New Roman"/>
          <w:sz w:val="24"/>
          <w:szCs w:val="24"/>
        </w:rPr>
      </w:pPr>
      <w:r w:rsidRPr="00A47FDE">
        <w:rPr>
          <w:rFonts w:ascii="Times New Roman" w:hAnsi="Times New Roman"/>
          <w:sz w:val="24"/>
          <w:szCs w:val="24"/>
        </w:rPr>
        <w:t xml:space="preserve">On September 28, 29, and 30, 2021, the city’s human resources director, Shelley Ovrom, met individually with each of the firefighters, including appellant, to determine which of the firefighters were eligible for </w:t>
      </w:r>
      <w:proofErr w:type="gramStart"/>
      <w:r w:rsidRPr="00A47FDE">
        <w:rPr>
          <w:rFonts w:ascii="Times New Roman" w:hAnsi="Times New Roman"/>
          <w:sz w:val="24"/>
          <w:szCs w:val="24"/>
        </w:rPr>
        <w:t>a religious</w:t>
      </w:r>
      <w:proofErr w:type="gramEnd"/>
      <w:r w:rsidRPr="00A47FDE">
        <w:rPr>
          <w:rFonts w:ascii="Times New Roman" w:hAnsi="Times New Roman"/>
          <w:sz w:val="24"/>
          <w:szCs w:val="24"/>
        </w:rPr>
        <w:t xml:space="preserve"> accommodation. Fourteen firefighters were granted </w:t>
      </w:r>
      <w:proofErr w:type="gramStart"/>
      <w:r w:rsidRPr="00A47FDE">
        <w:rPr>
          <w:rFonts w:ascii="Times New Roman" w:hAnsi="Times New Roman"/>
          <w:sz w:val="24"/>
          <w:szCs w:val="24"/>
        </w:rPr>
        <w:t>an accommodation</w:t>
      </w:r>
      <w:proofErr w:type="gramEnd"/>
      <w:r w:rsidRPr="00A47FDE">
        <w:rPr>
          <w:rFonts w:ascii="Times New Roman" w:hAnsi="Times New Roman"/>
          <w:sz w:val="24"/>
          <w:szCs w:val="24"/>
        </w:rPr>
        <w:t xml:space="preserve">, four withdrew their requests, and six firefighters’ requests were denied. Of the six firefighters whose requests were denied, all except Sattley later submitted proof of vaccination. Because Sattley did not have an approved </w:t>
      </w:r>
      <w:proofErr w:type="spellStart"/>
      <w:r w:rsidRPr="00A47FDE">
        <w:rPr>
          <w:rFonts w:ascii="Times New Roman" w:hAnsi="Times New Roman"/>
          <w:sz w:val="24"/>
          <w:szCs w:val="24"/>
        </w:rPr>
        <w:t>ccommodation</w:t>
      </w:r>
      <w:proofErr w:type="spellEnd"/>
      <w:r w:rsidRPr="00A47FDE">
        <w:rPr>
          <w:rFonts w:ascii="Times New Roman" w:hAnsi="Times New Roman"/>
          <w:sz w:val="24"/>
          <w:szCs w:val="24"/>
        </w:rPr>
        <w:t xml:space="preserve"> or exemption, he was placed on administrative leave on October 1, 2021. </w:t>
      </w:r>
      <w:proofErr w:type="spellStart"/>
      <w:r w:rsidRPr="00A47FDE">
        <w:rPr>
          <w:rFonts w:ascii="Times New Roman" w:hAnsi="Times New Roman"/>
          <w:sz w:val="24"/>
          <w:szCs w:val="24"/>
        </w:rPr>
        <w:t>Ovrom</w:t>
      </w:r>
      <w:proofErr w:type="spellEnd"/>
      <w:r w:rsidRPr="00A47FDE">
        <w:rPr>
          <w:rFonts w:ascii="Times New Roman" w:hAnsi="Times New Roman"/>
          <w:sz w:val="24"/>
          <w:szCs w:val="24"/>
        </w:rPr>
        <w:t xml:space="preserve"> and Chief Barton decided to place Sattley on leave because he was no longer qualified to perform his job under the health order…. Sattley received a due process (Skelly) hearing, and the hearing officer  recommended Chief Barton proceed with termination of Sattley’s employment. On March 9, 2022, Chief Barton terminated Sattley, effective March 11, 2022.</w:t>
      </w:r>
    </w:p>
    <w:p w14:paraId="183DDA68" w14:textId="77777777" w:rsidR="00A47FDE" w:rsidRPr="00A47FDE" w:rsidRDefault="00A47FDE" w:rsidP="00A47FDE">
      <w:pPr>
        <w:pStyle w:val="NoSpacing"/>
        <w:rPr>
          <w:rFonts w:ascii="Times New Roman" w:hAnsi="Times New Roman"/>
          <w:sz w:val="24"/>
          <w:szCs w:val="24"/>
        </w:rPr>
      </w:pPr>
    </w:p>
    <w:p w14:paraId="17F08BF6" w14:textId="77777777" w:rsidR="00A47FDE" w:rsidRPr="00A47FDE" w:rsidRDefault="00A47FDE" w:rsidP="00A47FDE">
      <w:pPr>
        <w:pStyle w:val="NoSpacing"/>
        <w:ind w:firstLine="720"/>
        <w:rPr>
          <w:rFonts w:ascii="Times New Roman" w:hAnsi="Times New Roman"/>
          <w:sz w:val="24"/>
          <w:szCs w:val="24"/>
        </w:rPr>
      </w:pPr>
      <w:r w:rsidRPr="00A47FDE">
        <w:rPr>
          <w:rFonts w:ascii="Times New Roman" w:hAnsi="Times New Roman"/>
          <w:sz w:val="24"/>
          <w:szCs w:val="24"/>
        </w:rPr>
        <w:t>***</w:t>
      </w:r>
    </w:p>
    <w:p w14:paraId="02360BD7" w14:textId="77777777" w:rsidR="00A47FDE" w:rsidRPr="00A47FDE" w:rsidRDefault="00A47FDE" w:rsidP="00A47FDE">
      <w:pPr>
        <w:pStyle w:val="NoSpacing"/>
        <w:ind w:left="720"/>
        <w:rPr>
          <w:rFonts w:ascii="Times New Roman" w:hAnsi="Times New Roman"/>
          <w:sz w:val="24"/>
          <w:szCs w:val="24"/>
        </w:rPr>
      </w:pPr>
      <w:r w:rsidRPr="00A47FDE">
        <w:rPr>
          <w:rFonts w:ascii="Times New Roman" w:hAnsi="Times New Roman"/>
          <w:sz w:val="24"/>
          <w:szCs w:val="24"/>
        </w:rPr>
        <w:t>Sattley’s allegations of his alleged bona fide religious belief consisted of one sentence: ‘He had a sincerely held religious belief or practices that conflicted with a stated job requirement (mandatory Covid vaccination).’ … Because Sattley failed to adequately plead a bona fide religious belief that conflicted with the health order, the trial court properly sustained the city’s demurrer to this cause of action…. Sattley’s addition [in reply brief] of the denomination of ‘Christian’ does not clarify his religious objection, as he had already described his religion as “Mormon/Christian” in his November 2021 DFEH charge.</w:t>
      </w:r>
    </w:p>
    <w:p w14:paraId="6E70DA0F" w14:textId="77777777" w:rsidR="00A47FDE" w:rsidRPr="00A47FDE" w:rsidRDefault="00A47FDE" w:rsidP="00A47FDE">
      <w:pPr>
        <w:pStyle w:val="NoSpacing"/>
        <w:rPr>
          <w:rFonts w:ascii="Times New Roman" w:hAnsi="Times New Roman"/>
          <w:sz w:val="24"/>
          <w:szCs w:val="24"/>
        </w:rPr>
      </w:pPr>
    </w:p>
    <w:p w14:paraId="7A6A5451" w14:textId="77777777" w:rsidR="00A47FDE" w:rsidRPr="00A47FDE" w:rsidRDefault="00A47FDE" w:rsidP="00A47FDE">
      <w:pPr>
        <w:pStyle w:val="NoSpacing"/>
        <w:ind w:firstLine="720"/>
        <w:rPr>
          <w:rFonts w:ascii="Times New Roman" w:hAnsi="Times New Roman"/>
          <w:sz w:val="24"/>
          <w:szCs w:val="24"/>
        </w:rPr>
      </w:pPr>
      <w:r w:rsidRPr="00A47FDE">
        <w:rPr>
          <w:rFonts w:ascii="Times New Roman" w:hAnsi="Times New Roman"/>
          <w:sz w:val="24"/>
          <w:szCs w:val="24"/>
        </w:rPr>
        <w:t>***</w:t>
      </w:r>
    </w:p>
    <w:p w14:paraId="5C319F16" w14:textId="77777777" w:rsidR="00A47FDE" w:rsidRPr="00A47FDE" w:rsidRDefault="00A47FDE" w:rsidP="00A47FDE">
      <w:pPr>
        <w:pStyle w:val="NoSpacing"/>
        <w:ind w:left="720"/>
        <w:rPr>
          <w:rFonts w:ascii="Times New Roman" w:hAnsi="Times New Roman"/>
          <w:sz w:val="24"/>
          <w:szCs w:val="24"/>
        </w:rPr>
      </w:pPr>
      <w:r w:rsidRPr="00A47FDE">
        <w:rPr>
          <w:rFonts w:ascii="Times New Roman" w:hAnsi="Times New Roman"/>
          <w:sz w:val="24"/>
          <w:szCs w:val="24"/>
        </w:rPr>
        <w:t xml:space="preserve">Sattley argues he engaged in protected activity during the fall of 2021 when he criticized the city’s COVID personnel policies on social media and filed this lawsuit…. Sattley fails to point to a specific social media post that he believed was the basis for his </w:t>
      </w:r>
      <w:proofErr w:type="gramStart"/>
      <w:r w:rsidRPr="00A47FDE">
        <w:rPr>
          <w:rFonts w:ascii="Times New Roman" w:hAnsi="Times New Roman"/>
          <w:sz w:val="24"/>
          <w:szCs w:val="24"/>
        </w:rPr>
        <w:t>termination.”</w:t>
      </w:r>
      <w:proofErr w:type="gramEnd"/>
    </w:p>
    <w:p w14:paraId="76B0EBFA" w14:textId="77777777" w:rsidR="00A47FDE" w:rsidRPr="00A47FDE" w:rsidRDefault="00A47FDE" w:rsidP="00A47FDE">
      <w:pPr>
        <w:pStyle w:val="NoSpacing"/>
        <w:ind w:left="720"/>
        <w:rPr>
          <w:rFonts w:ascii="Times New Roman" w:hAnsi="Times New Roman"/>
          <w:sz w:val="24"/>
          <w:szCs w:val="24"/>
        </w:rPr>
      </w:pPr>
    </w:p>
    <w:p w14:paraId="7C59BF9E" w14:textId="77777777" w:rsidR="00A47FDE" w:rsidRPr="00A47FDE" w:rsidRDefault="00A47FDE" w:rsidP="00A47FDE">
      <w:pPr>
        <w:pStyle w:val="NoSpacing"/>
        <w:rPr>
          <w:rFonts w:ascii="Times New Roman" w:hAnsi="Times New Roman"/>
          <w:b/>
          <w:bCs/>
          <w:sz w:val="24"/>
          <w:szCs w:val="24"/>
        </w:rPr>
      </w:pPr>
      <w:r w:rsidRPr="00A47FDE">
        <w:rPr>
          <w:rFonts w:ascii="Times New Roman" w:hAnsi="Times New Roman"/>
          <w:b/>
          <w:sz w:val="24"/>
          <w:szCs w:val="24"/>
        </w:rPr>
        <w:t>Legal Lesson Learned:  If you are seeking religious accommodation, need to provide details about your faith and your history of objection to vaccinations.</w:t>
      </w:r>
    </w:p>
    <w:p w14:paraId="1A18FC86" w14:textId="77777777" w:rsidR="00A47FDE" w:rsidRDefault="00A47FDE" w:rsidP="00A47FDE">
      <w:pPr>
        <w:pStyle w:val="NoSpacing"/>
      </w:pPr>
    </w:p>
    <w:p w14:paraId="4CC87C09" w14:textId="77777777" w:rsidR="00A47FDE" w:rsidRDefault="00A47FDE" w:rsidP="002B1283">
      <w:pPr>
        <w:rPr>
          <w:rFonts w:ascii="Arial Black" w:hAnsi="Arial Black"/>
          <w:b/>
          <w:bCs/>
          <w:sz w:val="28"/>
          <w:szCs w:val="28"/>
        </w:rPr>
      </w:pPr>
    </w:p>
    <w:p w14:paraId="6EED563B" w14:textId="496F4575" w:rsidR="00816951" w:rsidRDefault="00816951" w:rsidP="002B1283">
      <w:pPr>
        <w:rPr>
          <w:rFonts w:ascii="Arial Black" w:hAnsi="Arial Black"/>
          <w:b/>
          <w:bCs/>
          <w:sz w:val="28"/>
          <w:szCs w:val="28"/>
        </w:rPr>
      </w:pPr>
      <w:r>
        <w:rPr>
          <w:rFonts w:ascii="Arial Black" w:hAnsi="Arial Black"/>
          <w:b/>
          <w:bCs/>
          <w:sz w:val="28"/>
          <w:szCs w:val="28"/>
        </w:rPr>
        <w:t>13-202</w:t>
      </w:r>
    </w:p>
    <w:p w14:paraId="4638FDC4" w14:textId="79CB78E9" w:rsidR="00C20E41" w:rsidRPr="00DD6EF6" w:rsidRDefault="00C20E41" w:rsidP="00C20E41">
      <w:pPr>
        <w:rPr>
          <w:rFonts w:ascii="Arial Black" w:hAnsi="Arial Black"/>
          <w:b/>
          <w:sz w:val="28"/>
          <w:szCs w:val="28"/>
        </w:rPr>
      </w:pPr>
      <w:r>
        <w:rPr>
          <w:rFonts w:ascii="Arial Black" w:hAnsi="Arial Black"/>
          <w:b/>
          <w:sz w:val="28"/>
          <w:szCs w:val="28"/>
        </w:rPr>
        <w:t xml:space="preserve">CA: COVID-19 – </w:t>
      </w:r>
      <w:r w:rsidR="00D32102">
        <w:rPr>
          <w:rFonts w:ascii="Arial Black" w:hAnsi="Arial Black"/>
          <w:b/>
          <w:sz w:val="28"/>
          <w:szCs w:val="28"/>
        </w:rPr>
        <w:t>FF ALL</w:t>
      </w:r>
      <w:r w:rsidR="00310992">
        <w:rPr>
          <w:rFonts w:ascii="Arial Black" w:hAnsi="Arial Black"/>
          <w:b/>
          <w:sz w:val="28"/>
          <w:szCs w:val="28"/>
        </w:rPr>
        <w:t xml:space="preserve">OWED WK FROM HOME - </w:t>
      </w:r>
      <w:r>
        <w:rPr>
          <w:rFonts w:ascii="Arial Black" w:hAnsi="Arial Black"/>
          <w:b/>
          <w:sz w:val="28"/>
          <w:szCs w:val="28"/>
        </w:rPr>
        <w:t xml:space="preserve">VOL. RETIRED </w:t>
      </w:r>
    </w:p>
    <w:p w14:paraId="136C21BF" w14:textId="77777777" w:rsidR="00C20E41" w:rsidRPr="004441B2" w:rsidRDefault="00C20E41" w:rsidP="00C20E41">
      <w:pPr>
        <w:rPr>
          <w:rFonts w:ascii="Times New Roman" w:hAnsi="Times New Roman"/>
          <w:sz w:val="24"/>
          <w:szCs w:val="24"/>
        </w:rPr>
      </w:pPr>
      <w:r w:rsidRPr="004441B2">
        <w:rPr>
          <w:rFonts w:ascii="Times New Roman" w:hAnsi="Times New Roman"/>
          <w:sz w:val="24"/>
          <w:szCs w:val="24"/>
        </w:rPr>
        <w:t>On Jan. 22, 2025,</w:t>
      </w:r>
      <w:r w:rsidRPr="004441B2">
        <w:rPr>
          <w:rFonts w:ascii="Times New Roman" w:hAnsi="Times New Roman"/>
          <w:b/>
          <w:sz w:val="24"/>
          <w:szCs w:val="24"/>
        </w:rPr>
        <w:t xml:space="preserve"> </w:t>
      </w:r>
      <w:r w:rsidRPr="004441B2">
        <w:rPr>
          <w:rFonts w:ascii="Times New Roman" w:hAnsi="Times New Roman"/>
          <w:sz w:val="24"/>
          <w:szCs w:val="24"/>
        </w:rPr>
        <w:t>in</w:t>
      </w:r>
      <w:r w:rsidRPr="004441B2">
        <w:rPr>
          <w:rFonts w:ascii="Times New Roman" w:hAnsi="Times New Roman"/>
          <w:b/>
          <w:sz w:val="24"/>
          <w:szCs w:val="24"/>
        </w:rPr>
        <w:t xml:space="preserve"> </w:t>
      </w:r>
      <w:r w:rsidRPr="004441B2">
        <w:rPr>
          <w:rFonts w:ascii="Times New Roman" w:hAnsi="Times New Roman"/>
          <w:sz w:val="24"/>
          <w:szCs w:val="24"/>
          <w:u w:val="single"/>
        </w:rPr>
        <w:t>Mark Alan Clark v. City of Los Angeles</w:t>
      </w:r>
      <w:r w:rsidRPr="004441B2">
        <w:rPr>
          <w:rFonts w:ascii="Times New Roman" w:hAnsi="Times New Roman"/>
          <w:sz w:val="24"/>
          <w:szCs w:val="24"/>
        </w:rPr>
        <w:t xml:space="preserve">, the California Court of Appeals, Second District, Second Division held (3 to 0; unpublished decision) held he was not “constructively discharged.”  He was permitted to work from home as the FD’s equipment superintendent and voluntarily retired prior to finding out if his religious accommodation was granted. “Given the city’s indefinite excusal of Clark from working in person, receiving a vaccine, and getting tested for COVID-19, no reasonable employer would have felt resignation was Clark’s only option.”  He retired on March 31, 2022, at age 55, while his request for religious accommodation was pending. After Clark voluntarily retired the city granted all pending exemption requests. </w:t>
      </w:r>
      <w:hyperlink r:id="rId2049" w:history="1">
        <w:r w:rsidRPr="004441B2">
          <w:rPr>
            <w:rStyle w:val="Hyperlink"/>
            <w:rFonts w:ascii="Times New Roman" w:hAnsi="Times New Roman"/>
            <w:sz w:val="24"/>
            <w:szCs w:val="24"/>
          </w:rPr>
          <w:t>https://www4.courts.ca.gov/opinions/nonpub/B335656.PDF</w:t>
        </w:r>
      </w:hyperlink>
      <w:r w:rsidRPr="004441B2">
        <w:rPr>
          <w:rFonts w:ascii="Times New Roman" w:hAnsi="Times New Roman"/>
          <w:sz w:val="24"/>
          <w:szCs w:val="24"/>
        </w:rPr>
        <w:t xml:space="preserve"> </w:t>
      </w:r>
    </w:p>
    <w:p w14:paraId="36575230" w14:textId="77777777" w:rsidR="00C20E41" w:rsidRPr="004441B2" w:rsidRDefault="00C20E41" w:rsidP="00C20E41">
      <w:pPr>
        <w:rPr>
          <w:rFonts w:ascii="Times New Roman" w:hAnsi="Times New Roman"/>
          <w:bCs/>
          <w:sz w:val="24"/>
          <w:szCs w:val="24"/>
        </w:rPr>
      </w:pPr>
      <w:r w:rsidRPr="004441B2">
        <w:rPr>
          <w:rFonts w:ascii="Times New Roman" w:hAnsi="Times New Roman"/>
          <w:sz w:val="24"/>
          <w:szCs w:val="24"/>
        </w:rPr>
        <w:t>The Court wrote:</w:t>
      </w:r>
    </w:p>
    <w:p w14:paraId="4EF8BEF3" w14:textId="77777777" w:rsidR="00C20E41" w:rsidRPr="004441B2" w:rsidRDefault="00C20E41" w:rsidP="00C20E41">
      <w:pPr>
        <w:pStyle w:val="NoSpacing"/>
        <w:ind w:left="720"/>
        <w:rPr>
          <w:rFonts w:ascii="Times New Roman" w:hAnsi="Times New Roman"/>
          <w:bCs/>
          <w:sz w:val="24"/>
          <w:szCs w:val="24"/>
        </w:rPr>
      </w:pPr>
      <w:r w:rsidRPr="004441B2">
        <w:rPr>
          <w:rFonts w:ascii="Times New Roman" w:hAnsi="Times New Roman"/>
          <w:sz w:val="24"/>
          <w:szCs w:val="24"/>
        </w:rPr>
        <w:t>“Clark worked remotely from home starting in June 2021 due to his wife’s medical condition. He applied for and was granted modified intermittent family medical leave. Clark had a telephone conversation with Assistant Chief Richard Fields on December 1, 2021, in which Fields personally permitted Clark to continue to work remotely until March 2022. After that time, Clark would have to take early retirement or return to working in person. Fields told Clark that his religious exemption request was still under review. Clark was also informed that if his request for exemption was denied, it could be appealed to the Fire Chief.</w:t>
      </w:r>
    </w:p>
    <w:p w14:paraId="37C23D01" w14:textId="77777777" w:rsidR="00C20E41" w:rsidRPr="004441B2" w:rsidRDefault="00C20E41" w:rsidP="00C20E41">
      <w:pPr>
        <w:pStyle w:val="NoSpacing"/>
        <w:ind w:left="720"/>
        <w:rPr>
          <w:rFonts w:ascii="Times New Roman" w:hAnsi="Times New Roman"/>
          <w:bCs/>
          <w:sz w:val="24"/>
          <w:szCs w:val="24"/>
        </w:rPr>
      </w:pPr>
    </w:p>
    <w:p w14:paraId="31AB2934" w14:textId="77777777" w:rsidR="00C20E41" w:rsidRPr="004441B2" w:rsidRDefault="00C20E41" w:rsidP="00C20E41">
      <w:pPr>
        <w:pStyle w:val="NoSpacing"/>
        <w:ind w:left="720"/>
        <w:rPr>
          <w:rFonts w:ascii="Times New Roman" w:hAnsi="Times New Roman"/>
          <w:bCs/>
          <w:sz w:val="24"/>
          <w:szCs w:val="24"/>
        </w:rPr>
      </w:pPr>
      <w:r w:rsidRPr="004441B2">
        <w:rPr>
          <w:rFonts w:ascii="Times New Roman" w:hAnsi="Times New Roman"/>
          <w:sz w:val="24"/>
          <w:szCs w:val="24"/>
        </w:rPr>
        <w:t>***</w:t>
      </w:r>
    </w:p>
    <w:p w14:paraId="0E588191" w14:textId="77777777" w:rsidR="00C20E41" w:rsidRPr="004441B2" w:rsidRDefault="00C20E41" w:rsidP="00C20E41">
      <w:pPr>
        <w:pStyle w:val="NoSpacing"/>
        <w:ind w:firstLine="720"/>
        <w:rPr>
          <w:rFonts w:ascii="Times New Roman" w:hAnsi="Times New Roman"/>
          <w:sz w:val="24"/>
          <w:szCs w:val="24"/>
        </w:rPr>
      </w:pPr>
    </w:p>
    <w:p w14:paraId="746F4AB3" w14:textId="77777777" w:rsidR="00C20E41" w:rsidRPr="004441B2" w:rsidRDefault="00C20E41" w:rsidP="00C20E41">
      <w:pPr>
        <w:pStyle w:val="NoSpacing"/>
        <w:ind w:left="720"/>
        <w:rPr>
          <w:rFonts w:ascii="Times New Roman" w:hAnsi="Times New Roman"/>
          <w:sz w:val="24"/>
          <w:szCs w:val="24"/>
        </w:rPr>
      </w:pPr>
      <w:r w:rsidRPr="004441B2">
        <w:rPr>
          <w:rFonts w:ascii="Times New Roman" w:hAnsi="Times New Roman"/>
          <w:sz w:val="24"/>
          <w:szCs w:val="24"/>
        </w:rPr>
        <w:t>The city’s formal approval of Clark’s request for accommodation during the time of his employment was not necessary for the city to reasonably accommodate Clark, who was</w:t>
      </w:r>
    </w:p>
    <w:p w14:paraId="6C91A99D" w14:textId="77777777" w:rsidR="00C20E41" w:rsidRPr="004441B2" w:rsidRDefault="00C20E41" w:rsidP="00C20E41">
      <w:pPr>
        <w:pStyle w:val="NoSpacing"/>
        <w:ind w:left="720"/>
        <w:rPr>
          <w:rFonts w:ascii="Times New Roman" w:hAnsi="Times New Roman"/>
          <w:sz w:val="24"/>
          <w:szCs w:val="24"/>
        </w:rPr>
      </w:pPr>
      <w:r w:rsidRPr="004441B2">
        <w:rPr>
          <w:rFonts w:ascii="Times New Roman" w:hAnsi="Times New Roman"/>
          <w:sz w:val="24"/>
          <w:szCs w:val="24"/>
        </w:rPr>
        <w:t xml:space="preserve">permitted to work from home from March 2020 through March 2021 and from June 2021 through March 2022. He attended work in person for one day on March 30, 2022, the day before his retirement. Clark did not allege he was ever required to test for COVID-19 or receive a vaccine…. The city was not required to rapidly implement Clark’s preferred solution. Its decision to permit him to work from </w:t>
      </w:r>
      <w:proofErr w:type="gramStart"/>
      <w:r w:rsidRPr="004441B2">
        <w:rPr>
          <w:rFonts w:ascii="Times New Roman" w:hAnsi="Times New Roman"/>
          <w:sz w:val="24"/>
          <w:szCs w:val="24"/>
        </w:rPr>
        <w:t>home, and</w:t>
      </w:r>
      <w:proofErr w:type="gramEnd"/>
      <w:r w:rsidRPr="004441B2">
        <w:rPr>
          <w:rFonts w:ascii="Times New Roman" w:hAnsi="Times New Roman"/>
          <w:sz w:val="24"/>
          <w:szCs w:val="24"/>
        </w:rPr>
        <w:t xml:space="preserve"> not require him to get vaccinated or test for COVID-19 during the pendency of his accommodation request, was reasonable.”</w:t>
      </w:r>
    </w:p>
    <w:p w14:paraId="2B24DE27" w14:textId="77777777" w:rsidR="00C20E41" w:rsidRPr="004441B2" w:rsidRDefault="00C20E41" w:rsidP="00C20E41">
      <w:pPr>
        <w:pStyle w:val="NoSpacing"/>
        <w:rPr>
          <w:rFonts w:ascii="Times New Roman" w:hAnsi="Times New Roman"/>
          <w:b/>
          <w:bCs/>
          <w:sz w:val="24"/>
          <w:szCs w:val="24"/>
        </w:rPr>
      </w:pPr>
    </w:p>
    <w:p w14:paraId="406B4A38" w14:textId="77777777" w:rsidR="00C20E41" w:rsidRPr="004441B2" w:rsidRDefault="00C20E41" w:rsidP="00C20E41">
      <w:pPr>
        <w:pStyle w:val="NoSpacing"/>
        <w:rPr>
          <w:rFonts w:ascii="Times New Roman" w:hAnsi="Times New Roman"/>
          <w:b/>
          <w:bCs/>
          <w:sz w:val="24"/>
          <w:szCs w:val="24"/>
        </w:rPr>
      </w:pPr>
      <w:r w:rsidRPr="004441B2">
        <w:rPr>
          <w:rFonts w:ascii="Times New Roman" w:hAnsi="Times New Roman"/>
          <w:b/>
          <w:sz w:val="24"/>
          <w:szCs w:val="24"/>
        </w:rPr>
        <w:t xml:space="preserve">Legal Lesson Learned:  The firefighter’s voluntary retirement ended any need to accommodate him. </w:t>
      </w:r>
    </w:p>
    <w:p w14:paraId="26D58E01" w14:textId="77777777" w:rsidR="00816951" w:rsidRDefault="00816951" w:rsidP="002B1283">
      <w:pPr>
        <w:rPr>
          <w:rFonts w:ascii="Arial Black" w:hAnsi="Arial Black"/>
          <w:b/>
          <w:bCs/>
          <w:sz w:val="28"/>
          <w:szCs w:val="28"/>
        </w:rPr>
      </w:pPr>
    </w:p>
    <w:p w14:paraId="7EBA556C" w14:textId="77777777" w:rsidR="00C20E41" w:rsidRDefault="00C20E41" w:rsidP="002B1283">
      <w:pPr>
        <w:rPr>
          <w:rFonts w:ascii="Arial Black" w:hAnsi="Arial Black"/>
          <w:b/>
          <w:bCs/>
          <w:sz w:val="28"/>
          <w:szCs w:val="28"/>
        </w:rPr>
      </w:pPr>
    </w:p>
    <w:p w14:paraId="42C2CCD6" w14:textId="77777777" w:rsidR="00C20E41" w:rsidRDefault="00C20E41" w:rsidP="002B1283">
      <w:pPr>
        <w:rPr>
          <w:rFonts w:ascii="Arial Black" w:hAnsi="Arial Black"/>
          <w:b/>
          <w:bCs/>
          <w:sz w:val="28"/>
          <w:szCs w:val="28"/>
        </w:rPr>
      </w:pPr>
    </w:p>
    <w:p w14:paraId="593FB3CC" w14:textId="2211FAF7" w:rsidR="00B068BE" w:rsidRDefault="00D0461C" w:rsidP="002B1283">
      <w:pPr>
        <w:rPr>
          <w:rFonts w:ascii="Arial Black" w:hAnsi="Arial Black"/>
          <w:b/>
          <w:bCs/>
          <w:sz w:val="28"/>
          <w:szCs w:val="28"/>
        </w:rPr>
      </w:pPr>
      <w:r>
        <w:rPr>
          <w:rFonts w:ascii="Arial Black" w:hAnsi="Arial Black"/>
          <w:b/>
          <w:bCs/>
          <w:sz w:val="28"/>
          <w:szCs w:val="28"/>
        </w:rPr>
        <w:t>13-201</w:t>
      </w:r>
    </w:p>
    <w:p w14:paraId="500DE5E1" w14:textId="72D41B40" w:rsidR="00D0461C" w:rsidRDefault="00D0461C" w:rsidP="00D0461C">
      <w:pPr>
        <w:pStyle w:val="NoSpacing"/>
        <w:rPr>
          <w:rFonts w:ascii="Arial Black" w:hAnsi="Arial Black"/>
          <w:b/>
          <w:sz w:val="28"/>
          <w:szCs w:val="28"/>
        </w:rPr>
      </w:pPr>
      <w:r>
        <w:rPr>
          <w:rFonts w:ascii="Arial Black" w:hAnsi="Arial Black"/>
          <w:b/>
          <w:sz w:val="28"/>
          <w:szCs w:val="28"/>
        </w:rPr>
        <w:t xml:space="preserve">CA: COVID-19 – BC </w:t>
      </w:r>
      <w:r w:rsidR="007D512D">
        <w:rPr>
          <w:rFonts w:ascii="Arial Black" w:hAnsi="Arial Black"/>
          <w:b/>
          <w:sz w:val="28"/>
          <w:szCs w:val="28"/>
        </w:rPr>
        <w:t>SUSP</w:t>
      </w:r>
      <w:r>
        <w:rPr>
          <w:rFonts w:ascii="Arial Black" w:hAnsi="Arial Black"/>
          <w:b/>
          <w:sz w:val="28"/>
          <w:szCs w:val="28"/>
        </w:rPr>
        <w:t>–</w:t>
      </w:r>
      <w:r w:rsidR="007D512D">
        <w:rPr>
          <w:rFonts w:ascii="Arial Black" w:hAnsi="Arial Black"/>
          <w:b/>
          <w:sz w:val="28"/>
          <w:szCs w:val="28"/>
        </w:rPr>
        <w:t xml:space="preserve"> </w:t>
      </w:r>
      <w:r w:rsidR="00817397">
        <w:rPr>
          <w:rFonts w:ascii="Arial Black" w:hAnsi="Arial Black"/>
          <w:b/>
          <w:sz w:val="28"/>
          <w:szCs w:val="28"/>
        </w:rPr>
        <w:t xml:space="preserve">NO </w:t>
      </w:r>
      <w:r w:rsidR="007D512D">
        <w:rPr>
          <w:rFonts w:ascii="Arial Black" w:hAnsi="Arial Black"/>
          <w:b/>
          <w:sz w:val="28"/>
          <w:szCs w:val="28"/>
        </w:rPr>
        <w:t xml:space="preserve">PRE-DISCIPLINARY HEARING REQ. </w:t>
      </w:r>
    </w:p>
    <w:p w14:paraId="4038BDC8" w14:textId="77777777" w:rsidR="00D0461C" w:rsidRDefault="00D0461C" w:rsidP="00D0461C">
      <w:pPr>
        <w:pStyle w:val="NoSpacing"/>
        <w:rPr>
          <w:rFonts w:ascii="Arial Black" w:hAnsi="Arial Black"/>
          <w:b/>
          <w:sz w:val="28"/>
          <w:szCs w:val="28"/>
        </w:rPr>
      </w:pPr>
    </w:p>
    <w:p w14:paraId="5BD581B7" w14:textId="77777777" w:rsidR="00D0461C" w:rsidRPr="00D0461C" w:rsidRDefault="00D0461C" w:rsidP="00D0461C">
      <w:pPr>
        <w:pStyle w:val="NoSpacing"/>
        <w:rPr>
          <w:rStyle w:val="Hyperlink"/>
          <w:rFonts w:ascii="Times New Roman" w:hAnsi="Times New Roman"/>
          <w:sz w:val="24"/>
          <w:szCs w:val="24"/>
        </w:rPr>
      </w:pPr>
      <w:r w:rsidRPr="00D0461C">
        <w:rPr>
          <w:rFonts w:ascii="Times New Roman" w:hAnsi="Times New Roman"/>
          <w:sz w:val="24"/>
          <w:szCs w:val="24"/>
        </w:rPr>
        <w:t xml:space="preserve">On Dec. 10, 2024, in </w:t>
      </w:r>
      <w:r w:rsidRPr="00D0461C">
        <w:rPr>
          <w:rFonts w:ascii="Times New Roman" w:hAnsi="Times New Roman"/>
          <w:sz w:val="24"/>
          <w:szCs w:val="24"/>
          <w:u w:val="single"/>
        </w:rPr>
        <w:t>Robert L. Kilpatrick v. City of Los Angeles</w:t>
      </w:r>
      <w:r w:rsidRPr="00D0461C">
        <w:rPr>
          <w:rFonts w:ascii="Times New Roman" w:hAnsi="Times New Roman"/>
          <w:sz w:val="24"/>
          <w:szCs w:val="24"/>
        </w:rPr>
        <w:t xml:space="preserve">, the Court of Appeals, Second District, Third Division, held that the Battalion Chief with 34 years of service was not entitled to a pre-disciplinary hearing prior to suspension, thereby overturning a Superior Court judge that held the City Charter required a hearing and decision by the City Board of Rights.  On Nov. 9, </w:t>
      </w:r>
      <w:proofErr w:type="gramStart"/>
      <w:r w:rsidRPr="00D0461C">
        <w:rPr>
          <w:rFonts w:ascii="Times New Roman" w:hAnsi="Times New Roman"/>
          <w:sz w:val="24"/>
          <w:szCs w:val="24"/>
        </w:rPr>
        <w:t>2021</w:t>
      </w:r>
      <w:proofErr w:type="gramEnd"/>
      <w:r w:rsidRPr="00D0461C">
        <w:rPr>
          <w:rFonts w:ascii="Times New Roman" w:hAnsi="Times New Roman"/>
          <w:sz w:val="24"/>
          <w:szCs w:val="24"/>
        </w:rPr>
        <w:t xml:space="preserve"> he was given Notice of  Charges for not getting a COVID vaccination; the Notice provided Kilpatrick at least 48 hours to either confirm he had complied with the vaccine mandate, or agreed that he would comply by December 18, 2021, and signing an agreement.  Kilpatrick did not sign. On November 12, 2021, the </w:t>
      </w:r>
      <w:proofErr w:type="gramStart"/>
      <w:r w:rsidRPr="00D0461C">
        <w:rPr>
          <w:rFonts w:ascii="Times New Roman" w:hAnsi="Times New Roman"/>
          <w:sz w:val="24"/>
          <w:szCs w:val="24"/>
        </w:rPr>
        <w:t>City</w:t>
      </w:r>
      <w:proofErr w:type="gramEnd"/>
      <w:r w:rsidRPr="00D0461C">
        <w:rPr>
          <w:rFonts w:ascii="Times New Roman" w:hAnsi="Times New Roman"/>
          <w:sz w:val="24"/>
          <w:szCs w:val="24"/>
        </w:rPr>
        <w:t xml:space="preserve"> placed him off duty without pay . A virtual hearing took place on December 21, 2021, and Kilpatrick left the hearing after the </w:t>
      </w:r>
      <w:proofErr w:type="gramStart"/>
      <w:r w:rsidRPr="00D0461C">
        <w:rPr>
          <w:rFonts w:ascii="Times New Roman" w:hAnsi="Times New Roman"/>
          <w:sz w:val="24"/>
          <w:szCs w:val="24"/>
        </w:rPr>
        <w:t>City</w:t>
      </w:r>
      <w:proofErr w:type="gramEnd"/>
      <w:r w:rsidRPr="00D0461C">
        <w:rPr>
          <w:rFonts w:ascii="Times New Roman" w:hAnsi="Times New Roman"/>
          <w:sz w:val="24"/>
          <w:szCs w:val="24"/>
        </w:rPr>
        <w:t xml:space="preserve"> refused to produce materials he requested. </w:t>
      </w:r>
      <w:hyperlink r:id="rId2050" w:history="1">
        <w:r w:rsidRPr="00D0461C">
          <w:rPr>
            <w:rStyle w:val="Hyperlink"/>
            <w:rFonts w:ascii="Times New Roman" w:hAnsi="Times New Roman"/>
            <w:sz w:val="24"/>
            <w:szCs w:val="24"/>
          </w:rPr>
          <w:t>https://casetext.com/case/kilpatrick-v-city-of-l-a</w:t>
        </w:r>
      </w:hyperlink>
    </w:p>
    <w:p w14:paraId="7F6490A4" w14:textId="77777777" w:rsidR="00D0461C" w:rsidRDefault="00D0461C" w:rsidP="002B1283">
      <w:pPr>
        <w:rPr>
          <w:rFonts w:ascii="Arial Black" w:hAnsi="Arial Black"/>
          <w:b/>
          <w:bCs/>
          <w:sz w:val="28"/>
          <w:szCs w:val="28"/>
        </w:rPr>
      </w:pPr>
    </w:p>
    <w:p w14:paraId="011FFA4D" w14:textId="77777777" w:rsidR="00264893" w:rsidRPr="00264893" w:rsidRDefault="00264893" w:rsidP="00264893">
      <w:pPr>
        <w:pStyle w:val="NoSpacing"/>
        <w:rPr>
          <w:rFonts w:ascii="Times New Roman" w:hAnsi="Times New Roman"/>
          <w:sz w:val="24"/>
          <w:szCs w:val="24"/>
        </w:rPr>
      </w:pPr>
      <w:r w:rsidRPr="00264893">
        <w:rPr>
          <w:rFonts w:ascii="Times New Roman" w:hAnsi="Times New Roman"/>
          <w:sz w:val="24"/>
          <w:szCs w:val="24"/>
        </w:rPr>
        <w:t xml:space="preserve">The Court wrote: </w:t>
      </w:r>
    </w:p>
    <w:p w14:paraId="42D20495" w14:textId="77777777" w:rsidR="00264893" w:rsidRPr="00264893" w:rsidRDefault="00264893" w:rsidP="00264893">
      <w:pPr>
        <w:pStyle w:val="NoSpacing"/>
        <w:rPr>
          <w:rFonts w:ascii="Times New Roman" w:hAnsi="Times New Roman"/>
          <w:sz w:val="24"/>
          <w:szCs w:val="24"/>
        </w:rPr>
      </w:pPr>
    </w:p>
    <w:p w14:paraId="0E06B335" w14:textId="61DC4BEA" w:rsidR="00264893" w:rsidRPr="00264893" w:rsidRDefault="00264893" w:rsidP="00264893">
      <w:pPr>
        <w:pStyle w:val="NoSpacing"/>
        <w:ind w:left="720"/>
        <w:rPr>
          <w:rFonts w:ascii="Times New Roman" w:hAnsi="Times New Roman"/>
          <w:sz w:val="24"/>
          <w:szCs w:val="24"/>
        </w:rPr>
      </w:pPr>
      <w:r w:rsidRPr="00264893">
        <w:rPr>
          <w:rFonts w:ascii="Times New Roman" w:hAnsi="Times New Roman"/>
          <w:sz w:val="24"/>
          <w:szCs w:val="24"/>
        </w:rPr>
        <w:t xml:space="preserve">“Kilpatrick received notice of the charges against him and had a short period to respond prior to being temporarily removed from duty. He received further post-suspension notice and the opportunity to be heard and respond in real time less than six weeks later. Under the circumstances of this </w:t>
      </w:r>
      <w:proofErr w:type="gramStart"/>
      <w:r w:rsidRPr="00264893">
        <w:rPr>
          <w:rFonts w:ascii="Times New Roman" w:hAnsi="Times New Roman"/>
          <w:sz w:val="24"/>
          <w:szCs w:val="24"/>
        </w:rPr>
        <w:t>case, and</w:t>
      </w:r>
      <w:proofErr w:type="gramEnd"/>
      <w:r w:rsidRPr="00264893">
        <w:rPr>
          <w:rFonts w:ascii="Times New Roman" w:hAnsi="Times New Roman"/>
          <w:sz w:val="24"/>
          <w:szCs w:val="24"/>
        </w:rPr>
        <w:t xml:space="preserve"> considering the three distinct factors necessary to determine what process was constitutionally due, we conclude the City's procedure was constitutionally sufficient. Kilpatrick received the ‘</w:t>
      </w:r>
      <w:proofErr w:type="spellStart"/>
      <w:r w:rsidRPr="00264893">
        <w:rPr>
          <w:rFonts w:ascii="Times New Roman" w:hAnsi="Times New Roman"/>
          <w:sz w:val="24"/>
          <w:szCs w:val="24"/>
        </w:rPr>
        <w:t>predisciplinary</w:t>
      </w:r>
      <w:proofErr w:type="spellEnd"/>
      <w:r w:rsidRPr="00264893">
        <w:rPr>
          <w:rFonts w:ascii="Times New Roman" w:hAnsi="Times New Roman"/>
          <w:sz w:val="24"/>
          <w:szCs w:val="24"/>
        </w:rPr>
        <w:t xml:space="preserve"> procedures otherwise required by law’….” </w:t>
      </w:r>
    </w:p>
    <w:p w14:paraId="3215A67C" w14:textId="77777777" w:rsidR="00264893" w:rsidRPr="00264893" w:rsidRDefault="00264893" w:rsidP="00264893">
      <w:pPr>
        <w:pStyle w:val="NoSpacing"/>
        <w:rPr>
          <w:rFonts w:ascii="Times New Roman" w:hAnsi="Times New Roman"/>
          <w:sz w:val="24"/>
          <w:szCs w:val="24"/>
        </w:rPr>
      </w:pPr>
    </w:p>
    <w:p w14:paraId="02D94DC9" w14:textId="77777777" w:rsidR="00264893" w:rsidRPr="00264893" w:rsidRDefault="00264893" w:rsidP="00264893">
      <w:pPr>
        <w:pStyle w:val="NoSpacing"/>
        <w:rPr>
          <w:rFonts w:ascii="Times New Roman" w:hAnsi="Times New Roman"/>
          <w:sz w:val="24"/>
          <w:szCs w:val="24"/>
        </w:rPr>
      </w:pPr>
      <w:r w:rsidRPr="00264893">
        <w:rPr>
          <w:rFonts w:ascii="Times New Roman" w:hAnsi="Times New Roman"/>
          <w:sz w:val="24"/>
          <w:szCs w:val="24"/>
        </w:rPr>
        <w:t>HOLDING:</w:t>
      </w:r>
    </w:p>
    <w:p w14:paraId="6589C4F9" w14:textId="77777777" w:rsidR="00264893" w:rsidRPr="00264893" w:rsidRDefault="00264893" w:rsidP="00264893">
      <w:pPr>
        <w:pStyle w:val="NoSpacing"/>
        <w:rPr>
          <w:rFonts w:ascii="Times New Roman" w:hAnsi="Times New Roman"/>
          <w:sz w:val="24"/>
          <w:szCs w:val="24"/>
        </w:rPr>
      </w:pPr>
    </w:p>
    <w:p w14:paraId="7156840F" w14:textId="77777777" w:rsidR="00264893" w:rsidRPr="00264893" w:rsidRDefault="00264893" w:rsidP="00264893">
      <w:pPr>
        <w:pStyle w:val="NoSpacing"/>
        <w:ind w:left="720"/>
        <w:rPr>
          <w:rFonts w:ascii="Times New Roman" w:hAnsi="Times New Roman"/>
          <w:sz w:val="24"/>
          <w:szCs w:val="24"/>
        </w:rPr>
      </w:pPr>
      <w:r w:rsidRPr="00264893">
        <w:rPr>
          <w:rFonts w:ascii="Times New Roman" w:hAnsi="Times New Roman"/>
          <w:sz w:val="24"/>
          <w:szCs w:val="24"/>
        </w:rPr>
        <w:t xml:space="preserve">“Under the circumstances of this </w:t>
      </w:r>
      <w:proofErr w:type="gramStart"/>
      <w:r w:rsidRPr="00264893">
        <w:rPr>
          <w:rFonts w:ascii="Times New Roman" w:hAnsi="Times New Roman"/>
          <w:sz w:val="24"/>
          <w:szCs w:val="24"/>
        </w:rPr>
        <w:t>case, and</w:t>
      </w:r>
      <w:proofErr w:type="gramEnd"/>
      <w:r w:rsidRPr="00264893">
        <w:rPr>
          <w:rFonts w:ascii="Times New Roman" w:hAnsi="Times New Roman"/>
          <w:sz w:val="24"/>
          <w:szCs w:val="24"/>
        </w:rPr>
        <w:t xml:space="preserve"> considering the three distinct factors necessary to determine what process was constitutionally due, we conclude the City's procedure was constitutionally sufficient. Kilpatrick received the ‘pre-disciplinary procedures otherwise required by law’ pursuant to [City Charter] section 1060(b).”</w:t>
      </w:r>
    </w:p>
    <w:p w14:paraId="1F15311B" w14:textId="77777777" w:rsidR="00264893" w:rsidRPr="00264893" w:rsidRDefault="00264893" w:rsidP="00264893">
      <w:pPr>
        <w:pStyle w:val="NoSpacing"/>
        <w:ind w:left="720"/>
        <w:rPr>
          <w:rFonts w:ascii="Times New Roman" w:hAnsi="Times New Roman"/>
          <w:sz w:val="24"/>
          <w:szCs w:val="24"/>
        </w:rPr>
      </w:pPr>
    </w:p>
    <w:p w14:paraId="0B09A3D1" w14:textId="77777777" w:rsidR="00264893" w:rsidRPr="005E03F7" w:rsidRDefault="00264893" w:rsidP="00264893">
      <w:pPr>
        <w:pStyle w:val="NoSpacing"/>
        <w:rPr>
          <w:b/>
        </w:rPr>
      </w:pPr>
      <w:r w:rsidRPr="00264893">
        <w:rPr>
          <w:rFonts w:ascii="Times New Roman" w:hAnsi="Times New Roman"/>
          <w:b/>
          <w:sz w:val="24"/>
          <w:szCs w:val="24"/>
        </w:rPr>
        <w:t xml:space="preserve">Legal Lesson Learned: COVID-19 concerns required prompt decision making; a virtual hearing after suspension was adequate due process. </w:t>
      </w:r>
      <w:r>
        <w:rPr>
          <w:b/>
        </w:rPr>
        <w:t xml:space="preserve"> </w:t>
      </w:r>
    </w:p>
    <w:p w14:paraId="37422F5E" w14:textId="77777777" w:rsidR="00264893" w:rsidRDefault="00264893" w:rsidP="002B1283">
      <w:pPr>
        <w:rPr>
          <w:rFonts w:ascii="Arial Black" w:hAnsi="Arial Black"/>
          <w:b/>
          <w:bCs/>
          <w:sz w:val="28"/>
          <w:szCs w:val="28"/>
        </w:rPr>
      </w:pPr>
    </w:p>
    <w:p w14:paraId="5EA2F476" w14:textId="77777777" w:rsidR="002D13B2" w:rsidRDefault="002D13B2" w:rsidP="002B1283">
      <w:pPr>
        <w:rPr>
          <w:rFonts w:ascii="Arial Black" w:hAnsi="Arial Black"/>
          <w:b/>
          <w:bCs/>
          <w:sz w:val="28"/>
          <w:szCs w:val="28"/>
        </w:rPr>
      </w:pPr>
    </w:p>
    <w:p w14:paraId="267382B2" w14:textId="77777777" w:rsidR="002D13B2" w:rsidRDefault="002D13B2" w:rsidP="002B1283">
      <w:pPr>
        <w:rPr>
          <w:rFonts w:ascii="Arial Black" w:hAnsi="Arial Black"/>
          <w:b/>
          <w:bCs/>
          <w:sz w:val="28"/>
          <w:szCs w:val="28"/>
        </w:rPr>
      </w:pPr>
    </w:p>
    <w:p w14:paraId="13822043" w14:textId="77777777" w:rsidR="00B068BE" w:rsidRDefault="00B068BE" w:rsidP="002B1283">
      <w:pPr>
        <w:rPr>
          <w:rFonts w:ascii="Arial Black" w:hAnsi="Arial Black"/>
          <w:b/>
          <w:bCs/>
          <w:sz w:val="28"/>
          <w:szCs w:val="28"/>
        </w:rPr>
      </w:pPr>
    </w:p>
    <w:p w14:paraId="16CEDB03" w14:textId="77777777" w:rsidR="00B068BE" w:rsidRDefault="00B068BE" w:rsidP="002B1283">
      <w:pPr>
        <w:rPr>
          <w:rFonts w:ascii="Arial Black" w:hAnsi="Arial Black"/>
          <w:b/>
          <w:bCs/>
          <w:sz w:val="28"/>
          <w:szCs w:val="28"/>
        </w:rPr>
      </w:pPr>
    </w:p>
    <w:p w14:paraId="0BA76DB0" w14:textId="021C6803" w:rsidR="00FE343A" w:rsidRDefault="00FE343A" w:rsidP="002B1283">
      <w:pPr>
        <w:rPr>
          <w:rFonts w:ascii="Arial Black" w:hAnsi="Arial Black"/>
          <w:b/>
          <w:bCs/>
          <w:sz w:val="28"/>
          <w:szCs w:val="28"/>
        </w:rPr>
      </w:pPr>
      <w:r>
        <w:rPr>
          <w:rFonts w:ascii="Arial Black" w:hAnsi="Arial Black"/>
          <w:b/>
          <w:bCs/>
          <w:sz w:val="28"/>
          <w:szCs w:val="28"/>
        </w:rPr>
        <w:t>13-20</w:t>
      </w:r>
      <w:r w:rsidR="0026657A">
        <w:rPr>
          <w:rFonts w:ascii="Arial Black" w:hAnsi="Arial Black"/>
          <w:b/>
          <w:bCs/>
          <w:sz w:val="28"/>
          <w:szCs w:val="28"/>
        </w:rPr>
        <w:t>0</w:t>
      </w:r>
    </w:p>
    <w:p w14:paraId="4E942143" w14:textId="4BDCC04C" w:rsidR="0026657A" w:rsidRPr="00F71BFB" w:rsidRDefault="00BD7394" w:rsidP="0026657A">
      <w:pPr>
        <w:pStyle w:val="NoSpacing"/>
        <w:rPr>
          <w:rFonts w:ascii="Arial Black" w:hAnsi="Arial Black"/>
          <w:bCs/>
          <w:sz w:val="28"/>
          <w:szCs w:val="28"/>
        </w:rPr>
      </w:pPr>
      <w:r>
        <w:rPr>
          <w:rFonts w:ascii="Arial Black" w:hAnsi="Arial Black"/>
          <w:sz w:val="28"/>
          <w:szCs w:val="28"/>
        </w:rPr>
        <w:t xml:space="preserve">U.S. DEPT. </w:t>
      </w:r>
      <w:r w:rsidR="0026657A">
        <w:rPr>
          <w:rFonts w:ascii="Arial Black" w:hAnsi="Arial Black"/>
          <w:sz w:val="28"/>
          <w:szCs w:val="28"/>
        </w:rPr>
        <w:t>V</w:t>
      </w:r>
      <w:r w:rsidR="00A95D36">
        <w:rPr>
          <w:rFonts w:ascii="Arial Black" w:hAnsi="Arial Black"/>
          <w:sz w:val="28"/>
          <w:szCs w:val="28"/>
        </w:rPr>
        <w:t xml:space="preserve">ETERANS AFFAIR - </w:t>
      </w:r>
      <w:r w:rsidR="002470FD">
        <w:rPr>
          <w:rFonts w:ascii="Arial Black" w:hAnsi="Arial Black"/>
          <w:sz w:val="28"/>
          <w:szCs w:val="28"/>
        </w:rPr>
        <w:t xml:space="preserve">CANNOT </w:t>
      </w:r>
      <w:r w:rsidR="00A95D36">
        <w:rPr>
          <w:rFonts w:ascii="Arial Black" w:hAnsi="Arial Black"/>
          <w:sz w:val="28"/>
          <w:szCs w:val="28"/>
        </w:rPr>
        <w:t>L</w:t>
      </w:r>
      <w:r w:rsidR="0026657A">
        <w:rPr>
          <w:rFonts w:ascii="Arial Black" w:hAnsi="Arial Black"/>
          <w:sz w:val="28"/>
          <w:szCs w:val="28"/>
        </w:rPr>
        <w:t xml:space="preserve">OWER TRAVEL RATE </w:t>
      </w:r>
    </w:p>
    <w:p w14:paraId="23CCE8D3" w14:textId="77777777" w:rsidR="0026657A" w:rsidRDefault="0026657A" w:rsidP="0026657A">
      <w:pPr>
        <w:pStyle w:val="NoSpacing"/>
        <w:rPr>
          <w:bCs/>
        </w:rPr>
      </w:pPr>
    </w:p>
    <w:p w14:paraId="68D8B8DF" w14:textId="77777777" w:rsidR="00B15FBB" w:rsidRPr="00B00E74" w:rsidRDefault="00B15FBB" w:rsidP="00B00E74">
      <w:pPr>
        <w:pStyle w:val="NoSpacing"/>
        <w:rPr>
          <w:rFonts w:ascii="Times New Roman" w:hAnsi="Times New Roman"/>
          <w:bCs/>
          <w:sz w:val="24"/>
          <w:szCs w:val="24"/>
        </w:rPr>
      </w:pPr>
      <w:r w:rsidRPr="00B00E74">
        <w:rPr>
          <w:rFonts w:ascii="Times New Roman" w:hAnsi="Times New Roman"/>
          <w:sz w:val="24"/>
          <w:szCs w:val="24"/>
        </w:rPr>
        <w:t xml:space="preserve">On Dec. 9, 2024, in </w:t>
      </w:r>
      <w:r w:rsidRPr="00B00E74">
        <w:rPr>
          <w:rFonts w:ascii="Times New Roman" w:hAnsi="Times New Roman"/>
          <w:sz w:val="24"/>
          <w:szCs w:val="24"/>
          <w:u w:val="single"/>
        </w:rPr>
        <w:t>Metropolitan Area EMS Authority, et al. v. Secretary of Veteran Affairs</w:t>
      </w:r>
      <w:r w:rsidRPr="00B00E74">
        <w:rPr>
          <w:rFonts w:ascii="Times New Roman" w:hAnsi="Times New Roman"/>
          <w:sz w:val="24"/>
          <w:szCs w:val="24"/>
        </w:rPr>
        <w:t xml:space="preserve">, the United States Court of Appeals for the Federal Circuit (D.C.) held (3 to 0) that Congress did not authorize VA to implement reduced ambulance travel reimbursement using Medicare rate for transports that are to “other places” instead of to or from a VA facility (for example, to a nursing home).  The Court relied on U.S. Supreme Court’s landmark June 28, </w:t>
      </w:r>
      <w:proofErr w:type="gramStart"/>
      <w:r w:rsidRPr="00B00E74">
        <w:rPr>
          <w:rFonts w:ascii="Times New Roman" w:hAnsi="Times New Roman"/>
          <w:sz w:val="24"/>
          <w:szCs w:val="24"/>
        </w:rPr>
        <w:t>2024</w:t>
      </w:r>
      <w:proofErr w:type="gramEnd"/>
      <w:r w:rsidRPr="00B00E74">
        <w:rPr>
          <w:rFonts w:ascii="Times New Roman" w:hAnsi="Times New Roman"/>
          <w:sz w:val="24"/>
          <w:szCs w:val="24"/>
        </w:rPr>
        <w:t xml:space="preserve"> decision, setting aside the “Chevron doctrine” where federal courts normally followed Agency interpretation of Congressional statutes. </w:t>
      </w:r>
      <w:hyperlink r:id="rId2051" w:history="1">
        <w:r w:rsidRPr="00B00E74">
          <w:rPr>
            <w:rStyle w:val="Hyperlink"/>
            <w:rFonts w:ascii="Times New Roman" w:hAnsi="Times New Roman"/>
            <w:sz w:val="24"/>
            <w:szCs w:val="24"/>
          </w:rPr>
          <w:t>https://cafc.uscourts.gov/opinions-orders/24-1104.OPINION.12-9-2024_2432337.pdf</w:t>
        </w:r>
      </w:hyperlink>
      <w:r w:rsidRPr="00B00E74">
        <w:rPr>
          <w:rFonts w:ascii="Times New Roman" w:hAnsi="Times New Roman"/>
          <w:sz w:val="24"/>
          <w:szCs w:val="24"/>
        </w:rPr>
        <w:t xml:space="preserve"> </w:t>
      </w:r>
    </w:p>
    <w:p w14:paraId="5D3920BF" w14:textId="77777777" w:rsidR="00B15FBB" w:rsidRDefault="00B15FBB" w:rsidP="00B15FBB">
      <w:pPr>
        <w:pStyle w:val="NoSpacing"/>
        <w:ind w:left="720"/>
        <w:rPr>
          <w:bCs/>
        </w:rPr>
      </w:pPr>
    </w:p>
    <w:p w14:paraId="0B5080D8" w14:textId="0064CB66" w:rsidR="0026657A" w:rsidRPr="0026657A" w:rsidRDefault="0026657A" w:rsidP="0026657A">
      <w:pPr>
        <w:pStyle w:val="NoSpacing"/>
        <w:rPr>
          <w:rFonts w:ascii="Times New Roman" w:hAnsi="Times New Roman"/>
          <w:bCs/>
          <w:sz w:val="24"/>
          <w:szCs w:val="24"/>
        </w:rPr>
      </w:pPr>
      <w:r w:rsidRPr="0026657A">
        <w:rPr>
          <w:rFonts w:ascii="Times New Roman" w:hAnsi="Times New Roman"/>
          <w:sz w:val="24"/>
          <w:szCs w:val="24"/>
        </w:rPr>
        <w:t>The Court of Appeals wrote:</w:t>
      </w:r>
    </w:p>
    <w:p w14:paraId="2A6B862F" w14:textId="77777777" w:rsidR="0026657A" w:rsidRPr="0026657A" w:rsidRDefault="0026657A" w:rsidP="0026657A">
      <w:pPr>
        <w:pStyle w:val="NoSpacing"/>
        <w:rPr>
          <w:rFonts w:ascii="Times New Roman" w:hAnsi="Times New Roman"/>
          <w:bCs/>
          <w:sz w:val="24"/>
          <w:szCs w:val="24"/>
        </w:rPr>
      </w:pPr>
    </w:p>
    <w:p w14:paraId="7A0776E3" w14:textId="77777777" w:rsidR="0026657A" w:rsidRPr="0026657A" w:rsidRDefault="0026657A" w:rsidP="0026657A">
      <w:pPr>
        <w:pStyle w:val="NoSpacing"/>
        <w:ind w:left="720"/>
        <w:rPr>
          <w:rFonts w:ascii="Times New Roman" w:hAnsi="Times New Roman"/>
          <w:bCs/>
          <w:sz w:val="24"/>
          <w:szCs w:val="24"/>
        </w:rPr>
      </w:pPr>
      <w:r w:rsidRPr="0026657A">
        <w:rPr>
          <w:rFonts w:ascii="Times New Roman" w:hAnsi="Times New Roman"/>
          <w:sz w:val="24"/>
          <w:szCs w:val="24"/>
        </w:rPr>
        <w:t>“In 2018, the VA Office of Inspector General (OIG) faulted the VA for failing to realize $11 million in savings for ambulance services between October 2012 and December 2015 due to the VA’s failure to exercise its discretionary authority under § 111(b)(3)(C) to pay ‘the lesser of the actual charge for the transportation or the [Medicare fee schedule (MFS)] amount” for noncontract ambulance services.</w:t>
      </w:r>
    </w:p>
    <w:p w14:paraId="0B68DD0D" w14:textId="77777777" w:rsidR="0026657A" w:rsidRPr="0026657A" w:rsidRDefault="0026657A" w:rsidP="0026657A">
      <w:pPr>
        <w:pStyle w:val="NoSpacing"/>
        <w:ind w:left="720"/>
        <w:rPr>
          <w:rFonts w:ascii="Times New Roman" w:hAnsi="Times New Roman"/>
          <w:bCs/>
          <w:sz w:val="24"/>
          <w:szCs w:val="24"/>
        </w:rPr>
      </w:pPr>
    </w:p>
    <w:p w14:paraId="50F4F57E" w14:textId="77777777" w:rsidR="0026657A" w:rsidRPr="0026657A" w:rsidRDefault="0026657A" w:rsidP="0026657A">
      <w:pPr>
        <w:pStyle w:val="NoSpacing"/>
        <w:ind w:left="720"/>
        <w:rPr>
          <w:rFonts w:ascii="Times New Roman" w:hAnsi="Times New Roman"/>
          <w:bCs/>
          <w:sz w:val="24"/>
          <w:szCs w:val="24"/>
        </w:rPr>
      </w:pPr>
      <w:r w:rsidRPr="0026657A">
        <w:rPr>
          <w:rFonts w:ascii="Times New Roman" w:hAnsi="Times New Roman"/>
          <w:sz w:val="24"/>
          <w:szCs w:val="24"/>
        </w:rPr>
        <w:t>***</w:t>
      </w:r>
    </w:p>
    <w:p w14:paraId="607ABE56" w14:textId="77777777" w:rsidR="0026657A" w:rsidRPr="0026657A" w:rsidRDefault="0026657A" w:rsidP="0026657A">
      <w:pPr>
        <w:pStyle w:val="NoSpacing"/>
        <w:ind w:left="720"/>
        <w:rPr>
          <w:rFonts w:ascii="Times New Roman" w:hAnsi="Times New Roman"/>
          <w:bCs/>
          <w:sz w:val="24"/>
          <w:szCs w:val="24"/>
        </w:rPr>
      </w:pPr>
      <w:r w:rsidRPr="0026657A">
        <w:rPr>
          <w:rFonts w:ascii="Times New Roman" w:hAnsi="Times New Roman"/>
          <w:sz w:val="24"/>
          <w:szCs w:val="24"/>
        </w:rPr>
        <w:t xml:space="preserve">Thus, while in § 111(a) Congress authorized the Secretary to ‘pay the actual necessary expense’ for travel ‘to or from a </w:t>
      </w:r>
      <w:proofErr w:type="gramStart"/>
      <w:r w:rsidRPr="0026657A">
        <w:rPr>
          <w:rFonts w:ascii="Times New Roman" w:hAnsi="Times New Roman"/>
          <w:sz w:val="24"/>
          <w:szCs w:val="24"/>
        </w:rPr>
        <w:t>Department</w:t>
      </w:r>
      <w:proofErr w:type="gramEnd"/>
      <w:r w:rsidRPr="0026657A">
        <w:rPr>
          <w:rFonts w:ascii="Times New Roman" w:hAnsi="Times New Roman"/>
          <w:sz w:val="24"/>
          <w:szCs w:val="24"/>
        </w:rPr>
        <w:t xml:space="preserve"> facility or other place,’ Congress only</w:t>
      </w:r>
    </w:p>
    <w:p w14:paraId="32576A7E" w14:textId="06176095" w:rsidR="0026657A" w:rsidRDefault="0026657A" w:rsidP="00B00E74">
      <w:pPr>
        <w:pStyle w:val="NoSpacing"/>
        <w:ind w:left="720"/>
        <w:rPr>
          <w:rFonts w:ascii="Arial Black" w:hAnsi="Arial Black"/>
          <w:b/>
          <w:bCs/>
          <w:sz w:val="28"/>
          <w:szCs w:val="28"/>
        </w:rPr>
      </w:pPr>
      <w:r w:rsidRPr="0026657A">
        <w:rPr>
          <w:rFonts w:ascii="Times New Roman" w:hAnsi="Times New Roman"/>
          <w:sz w:val="24"/>
          <w:szCs w:val="24"/>
        </w:rPr>
        <w:t xml:space="preserve">authorized the Secretary in § 111(b)(3)(C) to apply the ‘lessor of’ payment methodology for transports ‘to or from a </w:t>
      </w:r>
      <w:proofErr w:type="gramStart"/>
      <w:r w:rsidRPr="0026657A">
        <w:rPr>
          <w:rFonts w:ascii="Times New Roman" w:hAnsi="Times New Roman"/>
          <w:sz w:val="24"/>
          <w:szCs w:val="24"/>
        </w:rPr>
        <w:t>Department</w:t>
      </w:r>
      <w:proofErr w:type="gramEnd"/>
      <w:r w:rsidRPr="0026657A">
        <w:rPr>
          <w:rFonts w:ascii="Times New Roman" w:hAnsi="Times New Roman"/>
          <w:sz w:val="24"/>
          <w:szCs w:val="24"/>
        </w:rPr>
        <w:t xml:space="preserve"> facility by ambulance.’ Conspicuously missing from § 111(b)(3)(C) is the ‘or other place’ language that Congress expressly stated in the earlier subsection.”   </w:t>
      </w:r>
    </w:p>
    <w:p w14:paraId="289D7B05" w14:textId="77777777" w:rsidR="00B00E74" w:rsidRDefault="00B00E74" w:rsidP="00F34D2E">
      <w:pPr>
        <w:pStyle w:val="NoSpacing"/>
        <w:rPr>
          <w:rFonts w:ascii="Times New Roman" w:hAnsi="Times New Roman"/>
          <w:sz w:val="24"/>
          <w:szCs w:val="24"/>
        </w:rPr>
      </w:pPr>
    </w:p>
    <w:p w14:paraId="03EDED95" w14:textId="52086F2A" w:rsidR="00F34D2E" w:rsidRPr="00F34D2E" w:rsidRDefault="00F34D2E" w:rsidP="00F34D2E">
      <w:pPr>
        <w:pStyle w:val="NoSpacing"/>
        <w:rPr>
          <w:rFonts w:ascii="Times New Roman" w:hAnsi="Times New Roman"/>
          <w:bCs/>
          <w:sz w:val="24"/>
          <w:szCs w:val="24"/>
        </w:rPr>
      </w:pPr>
      <w:r w:rsidRPr="00F34D2E">
        <w:rPr>
          <w:rFonts w:ascii="Times New Roman" w:hAnsi="Times New Roman"/>
          <w:sz w:val="24"/>
          <w:szCs w:val="24"/>
        </w:rPr>
        <w:t>HOLDING:</w:t>
      </w:r>
    </w:p>
    <w:p w14:paraId="59C015BD" w14:textId="77777777" w:rsidR="00F34D2E" w:rsidRPr="00F34D2E" w:rsidRDefault="00F34D2E" w:rsidP="00F34D2E">
      <w:pPr>
        <w:pStyle w:val="NoSpacing"/>
        <w:rPr>
          <w:rFonts w:ascii="Times New Roman" w:hAnsi="Times New Roman"/>
          <w:bCs/>
          <w:sz w:val="24"/>
          <w:szCs w:val="24"/>
        </w:rPr>
      </w:pPr>
    </w:p>
    <w:p w14:paraId="390EDEBC"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”In overturning Chevron, the Supreme Court in Loper Bright held that Chevron’s step-two requirement that a reviewing court defer to an agency’s reasonable statutory</w:t>
      </w:r>
    </w:p>
    <w:p w14:paraId="0A839B6E"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 xml:space="preserve">interpretation could not be squared with the reviewing court’s duty under the APA…. </w:t>
      </w:r>
    </w:p>
    <w:p w14:paraId="75EE8939"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The Supreme Court explained that “[c]</w:t>
      </w:r>
      <w:proofErr w:type="spellStart"/>
      <w:r w:rsidRPr="00F34D2E">
        <w:rPr>
          <w:rFonts w:ascii="Times New Roman" w:hAnsi="Times New Roman"/>
          <w:sz w:val="24"/>
          <w:szCs w:val="24"/>
        </w:rPr>
        <w:t>ourts</w:t>
      </w:r>
      <w:proofErr w:type="spellEnd"/>
      <w:r w:rsidRPr="00F34D2E">
        <w:rPr>
          <w:rFonts w:ascii="Times New Roman" w:hAnsi="Times New Roman"/>
          <w:sz w:val="24"/>
          <w:szCs w:val="24"/>
        </w:rPr>
        <w:t xml:space="preserve"> must exercise their independent judgment in deciding whether an agency has acted within its statutory authority, as the APA requires.” Id. at 2273. [See June 28, </w:t>
      </w:r>
      <w:proofErr w:type="gramStart"/>
      <w:r w:rsidRPr="00F34D2E">
        <w:rPr>
          <w:rFonts w:ascii="Times New Roman" w:hAnsi="Times New Roman"/>
          <w:sz w:val="24"/>
          <w:szCs w:val="24"/>
        </w:rPr>
        <w:t>2024</w:t>
      </w:r>
      <w:proofErr w:type="gramEnd"/>
      <w:r w:rsidRPr="00F34D2E">
        <w:rPr>
          <w:rFonts w:ascii="Times New Roman" w:hAnsi="Times New Roman"/>
          <w:sz w:val="24"/>
          <w:szCs w:val="24"/>
        </w:rPr>
        <w:t xml:space="preserve"> landmark decision: </w:t>
      </w:r>
      <w:hyperlink r:id="rId2052" w:history="1">
        <w:r w:rsidRPr="00F34D2E">
          <w:rPr>
            <w:rStyle w:val="Hyperlink"/>
            <w:rFonts w:ascii="Times New Roman" w:hAnsi="Times New Roman"/>
            <w:sz w:val="24"/>
            <w:szCs w:val="24"/>
          </w:rPr>
          <w:t>https://www.supremecourt.gov/opinions/23pdf/22-451_7m58.pdf</w:t>
        </w:r>
      </w:hyperlink>
      <w:r w:rsidRPr="00F34D2E">
        <w:rPr>
          <w:rFonts w:ascii="Times New Roman" w:hAnsi="Times New Roman"/>
          <w:sz w:val="24"/>
          <w:szCs w:val="24"/>
        </w:rPr>
        <w:t xml:space="preserve"> ]</w:t>
      </w:r>
    </w:p>
    <w:p w14:paraId="5B134DBC" w14:textId="77777777" w:rsidR="00F34D2E" w:rsidRPr="00F34D2E" w:rsidRDefault="00F34D2E" w:rsidP="00F34D2E">
      <w:pPr>
        <w:pStyle w:val="NoSpacing"/>
        <w:rPr>
          <w:rFonts w:ascii="Times New Roman" w:hAnsi="Times New Roman"/>
          <w:bCs/>
          <w:sz w:val="24"/>
          <w:szCs w:val="24"/>
        </w:rPr>
      </w:pPr>
    </w:p>
    <w:p w14:paraId="0E9A1338"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 xml:space="preserve">Thus, while in § 111(a) Congress authorized the Secretary to ‘pay the actual necessary expense’ for travel ‘to or from a </w:t>
      </w:r>
      <w:proofErr w:type="gramStart"/>
      <w:r w:rsidRPr="00F34D2E">
        <w:rPr>
          <w:rFonts w:ascii="Times New Roman" w:hAnsi="Times New Roman"/>
          <w:sz w:val="24"/>
          <w:szCs w:val="24"/>
        </w:rPr>
        <w:t>Department</w:t>
      </w:r>
      <w:proofErr w:type="gramEnd"/>
      <w:r w:rsidRPr="00F34D2E">
        <w:rPr>
          <w:rFonts w:ascii="Times New Roman" w:hAnsi="Times New Roman"/>
          <w:sz w:val="24"/>
          <w:szCs w:val="24"/>
        </w:rPr>
        <w:t xml:space="preserve"> facility or other place,’ Congress only</w:t>
      </w:r>
    </w:p>
    <w:p w14:paraId="47E010BA"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 xml:space="preserve">authorized the Secretary in § 111(b)(3)(C) to apply the ‘lessor of’ payment methodology for transports ‘to or from a </w:t>
      </w:r>
      <w:proofErr w:type="gramStart"/>
      <w:r w:rsidRPr="00F34D2E">
        <w:rPr>
          <w:rFonts w:ascii="Times New Roman" w:hAnsi="Times New Roman"/>
          <w:sz w:val="24"/>
          <w:szCs w:val="24"/>
        </w:rPr>
        <w:t>Department</w:t>
      </w:r>
      <w:proofErr w:type="gramEnd"/>
      <w:r w:rsidRPr="00F34D2E">
        <w:rPr>
          <w:rFonts w:ascii="Times New Roman" w:hAnsi="Times New Roman"/>
          <w:sz w:val="24"/>
          <w:szCs w:val="24"/>
        </w:rPr>
        <w:t xml:space="preserve"> facility by ambulance.’ Conspicuously missing from § 111(b)(3)(C) is the ‘or other place’ language that Congress expressly stated in the earlier subsection. ‘We assume Congress means what it says and says what it means.’ Sanho Corp. v. </w:t>
      </w:r>
      <w:proofErr w:type="spellStart"/>
      <w:r w:rsidRPr="00F34D2E">
        <w:rPr>
          <w:rFonts w:ascii="Times New Roman" w:hAnsi="Times New Roman"/>
          <w:sz w:val="24"/>
          <w:szCs w:val="24"/>
        </w:rPr>
        <w:t>Kaijet</w:t>
      </w:r>
      <w:proofErr w:type="spellEnd"/>
      <w:r w:rsidRPr="00F34D2E">
        <w:rPr>
          <w:rFonts w:ascii="Times New Roman" w:hAnsi="Times New Roman"/>
          <w:sz w:val="24"/>
          <w:szCs w:val="24"/>
        </w:rPr>
        <w:t xml:space="preserve"> Tech. Int’l Ltd., Inc., 108 F.4th 1376, 1382 (Fed. Cir. 2024)….</w:t>
      </w:r>
    </w:p>
    <w:p w14:paraId="79EE910C" w14:textId="77777777" w:rsidR="00F34D2E" w:rsidRPr="00F34D2E" w:rsidRDefault="00F34D2E" w:rsidP="00F34D2E">
      <w:pPr>
        <w:pStyle w:val="NoSpacing"/>
        <w:ind w:left="720"/>
        <w:rPr>
          <w:rFonts w:ascii="Times New Roman" w:hAnsi="Times New Roman"/>
          <w:bCs/>
          <w:sz w:val="24"/>
          <w:szCs w:val="24"/>
        </w:rPr>
      </w:pPr>
    </w:p>
    <w:p w14:paraId="503F85A0"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w:t>
      </w:r>
    </w:p>
    <w:p w14:paraId="2FF6262A"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For the foregoing reasons, we grant the petition and set aside the final promulgated rule Change in Rates VA Pays for Special Modes of Transportation, 88 Fed. Reg. 10,032 (Feb. 16, 2023).”</w:t>
      </w:r>
    </w:p>
    <w:p w14:paraId="1122E756" w14:textId="77777777" w:rsidR="00F34D2E" w:rsidRPr="00F34D2E" w:rsidRDefault="00F34D2E" w:rsidP="00F34D2E">
      <w:pPr>
        <w:pStyle w:val="NoSpacing"/>
        <w:ind w:left="720"/>
        <w:rPr>
          <w:rFonts w:ascii="Times New Roman" w:hAnsi="Times New Roman"/>
          <w:bCs/>
          <w:sz w:val="24"/>
          <w:szCs w:val="24"/>
        </w:rPr>
      </w:pPr>
    </w:p>
    <w:p w14:paraId="03118C10" w14:textId="29E3ADC6" w:rsidR="00F34D2E" w:rsidRPr="00F34D2E" w:rsidRDefault="00F34D2E" w:rsidP="00F34D2E">
      <w:pPr>
        <w:pStyle w:val="NoSpacing"/>
        <w:rPr>
          <w:rFonts w:ascii="Times New Roman" w:hAnsi="Times New Roman"/>
          <w:b/>
          <w:sz w:val="24"/>
          <w:szCs w:val="24"/>
        </w:rPr>
      </w:pPr>
      <w:r w:rsidRPr="00F34D2E">
        <w:rPr>
          <w:rFonts w:ascii="Times New Roman" w:hAnsi="Times New Roman"/>
          <w:b/>
          <w:sz w:val="24"/>
          <w:szCs w:val="24"/>
        </w:rPr>
        <w:t xml:space="preserve">Legal Lesson Learned: EMS transport companies nationwide will benefit from this decision.  It </w:t>
      </w:r>
      <w:r>
        <w:rPr>
          <w:rFonts w:ascii="Times New Roman" w:hAnsi="Times New Roman"/>
          <w:b/>
          <w:sz w:val="24"/>
          <w:szCs w:val="24"/>
        </w:rPr>
        <w:t xml:space="preserve">is </w:t>
      </w:r>
      <w:r w:rsidRPr="00F34D2E">
        <w:rPr>
          <w:rFonts w:ascii="Times New Roman" w:hAnsi="Times New Roman"/>
          <w:b/>
          <w:sz w:val="24"/>
          <w:szCs w:val="24"/>
        </w:rPr>
        <w:t>one of the first cases overturning a federal agency regulation since the U.S. Supreme Court set aside the “Chevron doctrine.”</w:t>
      </w:r>
    </w:p>
    <w:p w14:paraId="5336EFAB" w14:textId="77777777" w:rsidR="00F34D2E" w:rsidRPr="00F34D2E" w:rsidRDefault="00F34D2E" w:rsidP="00F34D2E">
      <w:pPr>
        <w:pStyle w:val="NoSpacing"/>
        <w:ind w:left="720"/>
        <w:rPr>
          <w:rFonts w:ascii="Times New Roman" w:hAnsi="Times New Roman"/>
          <w:bCs/>
          <w:sz w:val="24"/>
          <w:szCs w:val="24"/>
        </w:rPr>
      </w:pPr>
    </w:p>
    <w:p w14:paraId="7D955341" w14:textId="77777777" w:rsidR="00F34D2E" w:rsidRPr="00F34D2E" w:rsidRDefault="00F34D2E" w:rsidP="00F34D2E">
      <w:pPr>
        <w:pStyle w:val="NoSpacing"/>
        <w:ind w:left="720"/>
        <w:rPr>
          <w:rFonts w:ascii="Times New Roman" w:hAnsi="Times New Roman"/>
          <w:bCs/>
          <w:sz w:val="24"/>
          <w:szCs w:val="24"/>
        </w:rPr>
      </w:pPr>
      <w:r w:rsidRPr="00F34D2E">
        <w:rPr>
          <w:rFonts w:ascii="Times New Roman" w:hAnsi="Times New Roman"/>
          <w:sz w:val="24"/>
          <w:szCs w:val="24"/>
        </w:rPr>
        <w:t xml:space="preserve">Note: See Dec. 9, </w:t>
      </w:r>
      <w:proofErr w:type="gramStart"/>
      <w:r w:rsidRPr="00F34D2E">
        <w:rPr>
          <w:rFonts w:ascii="Times New Roman" w:hAnsi="Times New Roman"/>
          <w:sz w:val="24"/>
          <w:szCs w:val="24"/>
        </w:rPr>
        <w:t>2024</w:t>
      </w:r>
      <w:proofErr w:type="gramEnd"/>
      <w:r w:rsidRPr="00F34D2E">
        <w:rPr>
          <w:rFonts w:ascii="Times New Roman" w:hAnsi="Times New Roman"/>
          <w:sz w:val="24"/>
          <w:szCs w:val="24"/>
        </w:rPr>
        <w:t xml:space="preserve"> article, “Federal court vacates VA rule reducing ambulance payments.” The regulation aimed to tie reimbursement rates for ambulance services to the lesser of a provider’s actual charges or the Medicare Fee Schedule rate, even for </w:t>
      </w:r>
      <w:proofErr w:type="gramStart"/>
      <w:r w:rsidRPr="00F34D2E">
        <w:rPr>
          <w:rFonts w:ascii="Times New Roman" w:hAnsi="Times New Roman"/>
          <w:sz w:val="24"/>
          <w:szCs w:val="24"/>
        </w:rPr>
        <w:t>transports</w:t>
      </w:r>
      <w:proofErr w:type="gramEnd"/>
      <w:r w:rsidRPr="00F34D2E">
        <w:rPr>
          <w:rFonts w:ascii="Times New Roman" w:hAnsi="Times New Roman"/>
          <w:sz w:val="24"/>
          <w:szCs w:val="24"/>
        </w:rPr>
        <w:t xml:space="preserve"> unrelated to VA facilities. </w:t>
      </w:r>
    </w:p>
    <w:p w14:paraId="5BA92B45" w14:textId="64A7D72D" w:rsidR="00F34D2E" w:rsidRDefault="00F34D2E" w:rsidP="00F34D2E">
      <w:pPr>
        <w:rPr>
          <w:rFonts w:ascii="Arial Black" w:hAnsi="Arial Black"/>
          <w:b/>
          <w:bCs/>
          <w:sz w:val="28"/>
          <w:szCs w:val="28"/>
        </w:rPr>
      </w:pPr>
      <w:hyperlink r:id="rId2053" w:history="1">
        <w:r w:rsidRPr="00F34D2E">
          <w:rPr>
            <w:rStyle w:val="Hyperlink"/>
            <w:rFonts w:ascii="Times New Roman" w:hAnsi="Times New Roman"/>
            <w:sz w:val="24"/>
            <w:szCs w:val="24"/>
          </w:rPr>
          <w:t>https://www.ems1.com/legal/federal-court-overturns-va-rule-reducing-ambulance-payments</w:t>
        </w:r>
      </w:hyperlink>
    </w:p>
    <w:p w14:paraId="5A5BCCB0" w14:textId="77777777" w:rsidR="00FE343A" w:rsidRDefault="00FE343A" w:rsidP="002B1283">
      <w:pPr>
        <w:rPr>
          <w:rFonts w:ascii="Arial Black" w:hAnsi="Arial Black"/>
          <w:b/>
          <w:bCs/>
          <w:sz w:val="28"/>
          <w:szCs w:val="28"/>
        </w:rPr>
      </w:pPr>
    </w:p>
    <w:p w14:paraId="3710DF25" w14:textId="77777777" w:rsidR="00FE343A" w:rsidRDefault="00FE343A" w:rsidP="002B1283">
      <w:pPr>
        <w:rPr>
          <w:rFonts w:ascii="Arial Black" w:hAnsi="Arial Black"/>
          <w:b/>
          <w:bCs/>
          <w:sz w:val="28"/>
          <w:szCs w:val="28"/>
        </w:rPr>
      </w:pPr>
    </w:p>
    <w:p w14:paraId="6E56A7F9" w14:textId="0EC85927" w:rsidR="00AE7F1F" w:rsidRDefault="00AE7F1F" w:rsidP="002B1283">
      <w:pPr>
        <w:rPr>
          <w:rFonts w:ascii="Arial Black" w:hAnsi="Arial Black"/>
          <w:b/>
          <w:bCs/>
          <w:sz w:val="28"/>
          <w:szCs w:val="28"/>
        </w:rPr>
      </w:pPr>
      <w:r>
        <w:rPr>
          <w:rFonts w:ascii="Arial Black" w:hAnsi="Arial Black"/>
          <w:b/>
          <w:bCs/>
          <w:sz w:val="28"/>
          <w:szCs w:val="28"/>
        </w:rPr>
        <w:t>13-199</w:t>
      </w:r>
    </w:p>
    <w:p w14:paraId="60F8DCA2" w14:textId="77777777" w:rsidR="009438F6" w:rsidRPr="00E363AD" w:rsidRDefault="009438F6" w:rsidP="009438F6">
      <w:pPr>
        <w:pStyle w:val="NoSpacing"/>
        <w:rPr>
          <w:rFonts w:ascii="Arial Black" w:hAnsi="Arial Black"/>
          <w:b/>
          <w:sz w:val="28"/>
          <w:szCs w:val="28"/>
        </w:rPr>
      </w:pPr>
      <w:r>
        <w:rPr>
          <w:rFonts w:ascii="Arial Black" w:hAnsi="Arial Black"/>
          <w:b/>
          <w:sz w:val="28"/>
          <w:szCs w:val="28"/>
        </w:rPr>
        <w:t>CA: HEAD-ON MVA – PT REFUSED TREATMENT – LATER HAD A STROKE – MEDICS IMMUNITY / NO REQ. TO TAKE VITALS</w:t>
      </w:r>
    </w:p>
    <w:p w14:paraId="6BAA5AA5" w14:textId="77777777" w:rsidR="00EE5426" w:rsidRDefault="00EE5426" w:rsidP="00EE5426">
      <w:pPr>
        <w:pStyle w:val="NoSpacing"/>
        <w:ind w:firstLine="720"/>
        <w:rPr>
          <w:b/>
        </w:rPr>
      </w:pPr>
    </w:p>
    <w:p w14:paraId="01644B54" w14:textId="77777777" w:rsidR="00EE5426" w:rsidRPr="00F12753" w:rsidRDefault="00EE5426" w:rsidP="00EE5426">
      <w:pPr>
        <w:pStyle w:val="NoSpacing"/>
        <w:rPr>
          <w:rFonts w:ascii="Times New Roman" w:hAnsi="Times New Roman"/>
          <w:sz w:val="24"/>
          <w:szCs w:val="24"/>
        </w:rPr>
      </w:pPr>
      <w:r w:rsidRPr="00F12753">
        <w:rPr>
          <w:rFonts w:ascii="Times New Roman" w:hAnsi="Times New Roman"/>
          <w:sz w:val="24"/>
          <w:szCs w:val="24"/>
        </w:rPr>
        <w:t xml:space="preserve">On Nov. 25, 2024, in </w:t>
      </w:r>
      <w:r w:rsidRPr="00F12753">
        <w:rPr>
          <w:rFonts w:ascii="Times New Roman" w:hAnsi="Times New Roman"/>
          <w:sz w:val="24"/>
          <w:szCs w:val="24"/>
          <w:u w:val="single"/>
        </w:rPr>
        <w:t>Marites Murphy v. City of Petaluma, et al</w:t>
      </w:r>
      <w:r w:rsidRPr="00F12753">
        <w:rPr>
          <w:rFonts w:ascii="Times New Roman" w:hAnsi="Times New Roman"/>
          <w:sz w:val="24"/>
          <w:szCs w:val="24"/>
        </w:rPr>
        <w:t xml:space="preserve">., the California Court of Appeal, First District, Division 1 held (3 to 0) that the trial court judge properly granted summary judgment to the City and the medics.  The Court wrote: “The paramedics did not make Murphy any promises with respect to medical assistance, let alone fail to follow through on such promises. They did not ignore any requests for such assistance. </w:t>
      </w:r>
      <w:proofErr w:type="gramStart"/>
      <w:r w:rsidRPr="00F12753">
        <w:rPr>
          <w:rFonts w:ascii="Times New Roman" w:hAnsi="Times New Roman"/>
          <w:sz w:val="24"/>
          <w:szCs w:val="24"/>
        </w:rPr>
        <w:t>To</w:t>
      </w:r>
      <w:proofErr w:type="gramEnd"/>
      <w:r w:rsidRPr="00F12753">
        <w:rPr>
          <w:rFonts w:ascii="Times New Roman" w:hAnsi="Times New Roman"/>
          <w:sz w:val="24"/>
          <w:szCs w:val="24"/>
        </w:rPr>
        <w:t xml:space="preserve"> the contrary, they urged her to let them provide medical assistance and warned her that symptoms of a serious, even life threatening, injury could be delayed. She nevertheless reiterated she did not want medical assistance or transport to a hospital for examination. And while Murphy claims the paramedics failed to conduct a medical assessment sufficient to detect a potential brain injury or hypertensive crisis, the crisis she subsequently experienced was caused by the collision…. We therefore conclude, given the undisputed facts in this case, the trial court correctly ruled the paramedics did not, under the negligent undertaking doctrine, have a duty to render medical assistance to Murphy in accordance with the standard of care applicable such </w:t>
      </w:r>
      <w:proofErr w:type="gramStart"/>
      <w:r w:rsidRPr="00F12753">
        <w:rPr>
          <w:rFonts w:ascii="Times New Roman" w:hAnsi="Times New Roman"/>
          <w:sz w:val="24"/>
          <w:szCs w:val="24"/>
        </w:rPr>
        <w:t>assistance.”</w:t>
      </w:r>
      <w:proofErr w:type="gramEnd"/>
      <w:r w:rsidRPr="00F12753">
        <w:rPr>
          <w:rFonts w:ascii="Times New Roman" w:hAnsi="Times New Roman"/>
          <w:sz w:val="24"/>
          <w:szCs w:val="24"/>
        </w:rPr>
        <w:t xml:space="preserve"> </w:t>
      </w:r>
      <w:hyperlink r:id="rId2054" w:history="1">
        <w:r w:rsidRPr="00F12753">
          <w:rPr>
            <w:rStyle w:val="Hyperlink"/>
            <w:rFonts w:ascii="Times New Roman" w:hAnsi="Times New Roman"/>
            <w:sz w:val="24"/>
            <w:szCs w:val="24"/>
          </w:rPr>
          <w:t>https://caselaw.findlaw.com/court/ca-court-of-appeal/116718051.html</w:t>
        </w:r>
      </w:hyperlink>
      <w:r w:rsidRPr="00F12753">
        <w:rPr>
          <w:rFonts w:ascii="Times New Roman" w:hAnsi="Times New Roman"/>
          <w:sz w:val="24"/>
          <w:szCs w:val="24"/>
        </w:rPr>
        <w:t xml:space="preserve"> </w:t>
      </w:r>
    </w:p>
    <w:p w14:paraId="7FAA91D4" w14:textId="77777777" w:rsidR="00EE5426" w:rsidRPr="00F12753" w:rsidRDefault="00EE5426" w:rsidP="00EE5426">
      <w:pPr>
        <w:pStyle w:val="NoSpacing"/>
        <w:rPr>
          <w:rFonts w:ascii="Times New Roman" w:hAnsi="Times New Roman"/>
          <w:bCs/>
          <w:sz w:val="24"/>
          <w:szCs w:val="24"/>
        </w:rPr>
      </w:pPr>
    </w:p>
    <w:p w14:paraId="459398AA" w14:textId="77777777" w:rsidR="007C3144" w:rsidRPr="00F12753" w:rsidRDefault="007C3144" w:rsidP="007C3144">
      <w:pPr>
        <w:pStyle w:val="NoSpacing"/>
        <w:rPr>
          <w:rFonts w:ascii="Times New Roman" w:hAnsi="Times New Roman"/>
          <w:b/>
          <w:bCs/>
          <w:sz w:val="24"/>
          <w:szCs w:val="24"/>
        </w:rPr>
      </w:pPr>
      <w:r w:rsidRPr="00F12753">
        <w:rPr>
          <w:rFonts w:ascii="Times New Roman" w:hAnsi="Times New Roman"/>
          <w:b/>
          <w:sz w:val="24"/>
          <w:szCs w:val="24"/>
        </w:rPr>
        <w:t xml:space="preserve">Legal Lesson Learned: Plaintiff refused treatment; no obligation of medics to take vitals.  Best practice – have individual sign a Refusal of Care form. </w:t>
      </w:r>
    </w:p>
    <w:p w14:paraId="4A5483CE" w14:textId="77777777" w:rsidR="007C3144" w:rsidRPr="00102ABD" w:rsidRDefault="007C3144" w:rsidP="007C3144">
      <w:pPr>
        <w:pStyle w:val="NoSpacing"/>
        <w:ind w:left="720"/>
        <w:rPr>
          <w:bCs/>
        </w:rPr>
      </w:pPr>
    </w:p>
    <w:p w14:paraId="2E95722D" w14:textId="77777777" w:rsidR="00AE7F1F" w:rsidRDefault="00AE7F1F" w:rsidP="002B1283">
      <w:pPr>
        <w:rPr>
          <w:rFonts w:ascii="Arial Black" w:hAnsi="Arial Black"/>
          <w:b/>
          <w:bCs/>
          <w:sz w:val="28"/>
          <w:szCs w:val="28"/>
        </w:rPr>
      </w:pPr>
    </w:p>
    <w:p w14:paraId="268AAC33" w14:textId="77777777" w:rsidR="00AE7F1F" w:rsidRDefault="00AE7F1F" w:rsidP="002B1283">
      <w:pPr>
        <w:rPr>
          <w:rFonts w:ascii="Arial Black" w:hAnsi="Arial Black"/>
          <w:b/>
          <w:bCs/>
          <w:sz w:val="28"/>
          <w:szCs w:val="28"/>
        </w:rPr>
      </w:pPr>
    </w:p>
    <w:p w14:paraId="0FE38748" w14:textId="0D76EDBA" w:rsidR="00533809" w:rsidRDefault="00896019" w:rsidP="002B1283">
      <w:pPr>
        <w:rPr>
          <w:rFonts w:ascii="Arial Black" w:hAnsi="Arial Black"/>
          <w:b/>
          <w:bCs/>
          <w:sz w:val="28"/>
          <w:szCs w:val="28"/>
        </w:rPr>
      </w:pPr>
      <w:r>
        <w:rPr>
          <w:rFonts w:ascii="Arial Black" w:hAnsi="Arial Black"/>
          <w:b/>
          <w:bCs/>
          <w:sz w:val="28"/>
          <w:szCs w:val="28"/>
        </w:rPr>
        <w:t>13-198</w:t>
      </w:r>
    </w:p>
    <w:p w14:paraId="3A5CB115" w14:textId="77777777" w:rsidR="00E97069" w:rsidRPr="005121C3" w:rsidRDefault="00E97069" w:rsidP="00E97069">
      <w:pPr>
        <w:pStyle w:val="NoSpacing"/>
        <w:rPr>
          <w:rFonts w:ascii="Arial Black" w:hAnsi="Arial Black"/>
          <w:sz w:val="28"/>
          <w:szCs w:val="28"/>
        </w:rPr>
      </w:pPr>
      <w:r>
        <w:rPr>
          <w:rFonts w:ascii="Arial Black" w:hAnsi="Arial Black"/>
          <w:sz w:val="28"/>
          <w:szCs w:val="28"/>
        </w:rPr>
        <w:t>NJ: INTUBATION 21-MONTH-OLD TODDLER – 3</w:t>
      </w:r>
      <w:r w:rsidRPr="00DD0BBB">
        <w:rPr>
          <w:rFonts w:ascii="Arial Black" w:hAnsi="Arial Black"/>
          <w:sz w:val="28"/>
          <w:szCs w:val="28"/>
          <w:vertAlign w:val="superscript"/>
        </w:rPr>
        <w:t>rd</w:t>
      </w:r>
      <w:r>
        <w:rPr>
          <w:rFonts w:ascii="Arial Black" w:hAnsi="Arial Black"/>
          <w:sz w:val="28"/>
          <w:szCs w:val="28"/>
        </w:rPr>
        <w:t xml:space="preserve"> ATTEMPT</w:t>
      </w:r>
      <w:r>
        <w:rPr>
          <w:rFonts w:ascii="Arial Black" w:hAnsi="Arial Black"/>
          <w:sz w:val="28"/>
          <w:szCs w:val="28"/>
          <w:vertAlign w:val="superscript"/>
        </w:rPr>
        <w:t xml:space="preserve"> </w:t>
      </w:r>
      <w:r>
        <w:rPr>
          <w:rFonts w:ascii="Arial Black" w:hAnsi="Arial Black"/>
          <w:sz w:val="28"/>
          <w:szCs w:val="28"/>
        </w:rPr>
        <w:t xml:space="preserve"> IN TRACHEA – NO GROSS NEGLIGENCE - QUALIFIED IMMUNITY</w:t>
      </w:r>
    </w:p>
    <w:p w14:paraId="11023EFC" w14:textId="77777777" w:rsidR="00E97069" w:rsidRDefault="00E97069" w:rsidP="00E97069">
      <w:pPr>
        <w:pStyle w:val="NoSpacing"/>
      </w:pPr>
    </w:p>
    <w:p w14:paraId="1E37008C" w14:textId="77777777" w:rsidR="00E97069" w:rsidRPr="00AE7F1F" w:rsidRDefault="00E97069" w:rsidP="00E97069">
      <w:pPr>
        <w:pStyle w:val="NoSpacing"/>
        <w:rPr>
          <w:rFonts w:ascii="Times New Roman" w:hAnsi="Times New Roman"/>
          <w:sz w:val="24"/>
          <w:szCs w:val="24"/>
        </w:rPr>
      </w:pPr>
      <w:r w:rsidRPr="00AE7F1F">
        <w:rPr>
          <w:rFonts w:ascii="Times New Roman" w:hAnsi="Times New Roman"/>
          <w:sz w:val="24"/>
          <w:szCs w:val="24"/>
        </w:rPr>
        <w:t xml:space="preserve">On Nov. 18, 2024, in </w:t>
      </w:r>
      <w:r w:rsidRPr="00AE7F1F">
        <w:rPr>
          <w:rFonts w:ascii="Times New Roman" w:hAnsi="Times New Roman"/>
          <w:sz w:val="24"/>
          <w:szCs w:val="24"/>
          <w:u w:val="single"/>
        </w:rPr>
        <w:t xml:space="preserve">Jari Almonte and Yahaira Almanzar, parents of </w:t>
      </w:r>
      <w:proofErr w:type="spellStart"/>
      <w:r w:rsidRPr="00AE7F1F">
        <w:rPr>
          <w:rFonts w:ascii="Times New Roman" w:hAnsi="Times New Roman"/>
          <w:sz w:val="24"/>
          <w:szCs w:val="24"/>
          <w:u w:val="single"/>
        </w:rPr>
        <w:t>Jeremt</w:t>
      </w:r>
      <w:proofErr w:type="spellEnd"/>
      <w:r w:rsidRPr="00AE7F1F">
        <w:rPr>
          <w:rFonts w:ascii="Times New Roman" w:hAnsi="Times New Roman"/>
          <w:sz w:val="24"/>
          <w:szCs w:val="24"/>
          <w:u w:val="single"/>
        </w:rPr>
        <w:t xml:space="preserve"> Almonte v. Township of Union, et al</w:t>
      </w:r>
      <w:r w:rsidRPr="00AE7F1F">
        <w:rPr>
          <w:rFonts w:ascii="Times New Roman" w:hAnsi="Times New Roman"/>
          <w:sz w:val="24"/>
          <w:szCs w:val="24"/>
        </w:rPr>
        <w:t xml:space="preserve">., the Superior Court of New Jersey held (3 to 0; unpublished decision) that trial court properly concluded there was no gross negligence and therefore the medic enjoyed qualified immunity. The Court wrote: “Here, the extensive record, viewed in the light most favorable to plaintiffs, does not support a finding of gross negligence.” </w:t>
      </w:r>
      <w:hyperlink r:id="rId2055" w:history="1">
        <w:r w:rsidRPr="00AE7F1F">
          <w:rPr>
            <w:rStyle w:val="Hyperlink"/>
            <w:rFonts w:ascii="Times New Roman" w:hAnsi="Times New Roman"/>
            <w:sz w:val="24"/>
            <w:szCs w:val="24"/>
          </w:rPr>
          <w:t>https://www.njcourts.gov/system/files/court-opinions/2024/a2968-22.pdf</w:t>
        </w:r>
      </w:hyperlink>
      <w:r w:rsidRPr="00AE7F1F">
        <w:rPr>
          <w:rFonts w:ascii="Times New Roman" w:hAnsi="Times New Roman"/>
          <w:sz w:val="24"/>
          <w:szCs w:val="24"/>
        </w:rPr>
        <w:t xml:space="preserve"> </w:t>
      </w:r>
    </w:p>
    <w:p w14:paraId="3F1CBAC6" w14:textId="77777777" w:rsidR="00E97069" w:rsidRPr="00AE7F1F" w:rsidRDefault="00E97069" w:rsidP="00E97069">
      <w:pPr>
        <w:pStyle w:val="NoSpacing"/>
        <w:rPr>
          <w:rFonts w:ascii="Times New Roman" w:hAnsi="Times New Roman"/>
          <w:sz w:val="24"/>
          <w:szCs w:val="24"/>
        </w:rPr>
      </w:pPr>
    </w:p>
    <w:p w14:paraId="03E27C0E" w14:textId="77777777" w:rsidR="00AE7F1F" w:rsidRPr="00AE7F1F" w:rsidRDefault="00AE7F1F" w:rsidP="00AE7F1F">
      <w:pPr>
        <w:pStyle w:val="NoSpacing"/>
        <w:rPr>
          <w:rFonts w:ascii="Times New Roman" w:hAnsi="Times New Roman"/>
          <w:b/>
          <w:bCs/>
          <w:sz w:val="24"/>
          <w:szCs w:val="24"/>
        </w:rPr>
      </w:pPr>
      <w:r w:rsidRPr="00AE7F1F">
        <w:rPr>
          <w:rFonts w:ascii="Times New Roman" w:hAnsi="Times New Roman"/>
          <w:b/>
          <w:sz w:val="24"/>
          <w:szCs w:val="24"/>
        </w:rPr>
        <w:t xml:space="preserve">Legal Lesson Learned: </w:t>
      </w:r>
      <w:r w:rsidRPr="00AE7F1F">
        <w:rPr>
          <w:rFonts w:ascii="Times New Roman" w:hAnsi="Times New Roman"/>
          <w:b/>
          <w:bCs/>
          <w:sz w:val="24"/>
          <w:szCs w:val="24"/>
        </w:rPr>
        <w:t xml:space="preserve">Failed intubation attempts </w:t>
      </w:r>
      <w:proofErr w:type="gramStart"/>
      <w:r w:rsidRPr="00AE7F1F">
        <w:rPr>
          <w:rFonts w:ascii="Times New Roman" w:hAnsi="Times New Roman"/>
          <w:b/>
          <w:bCs/>
          <w:sz w:val="24"/>
          <w:szCs w:val="24"/>
        </w:rPr>
        <w:t>is</w:t>
      </w:r>
      <w:proofErr w:type="gramEnd"/>
      <w:r w:rsidRPr="00AE7F1F">
        <w:rPr>
          <w:rFonts w:ascii="Times New Roman" w:hAnsi="Times New Roman"/>
          <w:b/>
          <w:bCs/>
          <w:sz w:val="24"/>
          <w:szCs w:val="24"/>
        </w:rPr>
        <w:t xml:space="preserve"> not </w:t>
      </w:r>
      <w:r w:rsidRPr="00AE7F1F">
        <w:rPr>
          <w:rFonts w:ascii="Times New Roman" w:hAnsi="Times New Roman"/>
          <w:b/>
          <w:sz w:val="24"/>
          <w:szCs w:val="24"/>
        </w:rPr>
        <w:t xml:space="preserve">proof of gross negligence.  </w:t>
      </w:r>
    </w:p>
    <w:p w14:paraId="22BDEA06" w14:textId="77777777" w:rsidR="00AE7F1F" w:rsidRPr="00AE7F1F" w:rsidRDefault="00AE7F1F" w:rsidP="00AE7F1F">
      <w:pPr>
        <w:pStyle w:val="NoSpacing"/>
        <w:ind w:left="720"/>
        <w:rPr>
          <w:rFonts w:ascii="Times New Roman" w:hAnsi="Times New Roman"/>
          <w:sz w:val="24"/>
          <w:szCs w:val="24"/>
        </w:rPr>
      </w:pPr>
    </w:p>
    <w:p w14:paraId="111E3978" w14:textId="77777777" w:rsidR="00896019" w:rsidRDefault="00896019" w:rsidP="002B1283">
      <w:pPr>
        <w:rPr>
          <w:rFonts w:ascii="Arial Black" w:hAnsi="Arial Black"/>
          <w:b/>
          <w:bCs/>
          <w:sz w:val="28"/>
          <w:szCs w:val="28"/>
        </w:rPr>
      </w:pPr>
    </w:p>
    <w:p w14:paraId="202916E2" w14:textId="4C936CDC" w:rsidR="00533809" w:rsidRDefault="00533809" w:rsidP="002B1283">
      <w:pPr>
        <w:rPr>
          <w:rFonts w:ascii="Arial Black" w:hAnsi="Arial Black"/>
          <w:b/>
          <w:bCs/>
          <w:sz w:val="28"/>
          <w:szCs w:val="28"/>
        </w:rPr>
      </w:pPr>
      <w:r>
        <w:rPr>
          <w:rFonts w:ascii="Arial Black" w:hAnsi="Arial Black"/>
          <w:b/>
          <w:bCs/>
          <w:sz w:val="28"/>
          <w:szCs w:val="28"/>
        </w:rPr>
        <w:t>13-197</w:t>
      </w:r>
    </w:p>
    <w:p w14:paraId="1CE997CC" w14:textId="01DCAC67" w:rsidR="00533809" w:rsidRPr="00B41C31" w:rsidRDefault="00533809" w:rsidP="00533809">
      <w:pPr>
        <w:pStyle w:val="NoSpacing"/>
        <w:rPr>
          <w:rFonts w:ascii="Arial Black" w:hAnsi="Arial Black"/>
          <w:b/>
          <w:sz w:val="28"/>
          <w:szCs w:val="28"/>
        </w:rPr>
      </w:pPr>
      <w:r>
        <w:rPr>
          <w:rFonts w:ascii="Arial Black" w:hAnsi="Arial Black"/>
          <w:b/>
          <w:sz w:val="28"/>
          <w:szCs w:val="28"/>
        </w:rPr>
        <w:t xml:space="preserve">ID: MEDICAL AMNESTY LAW - UNCONSCIOUS DRIVER – FD FORCED ENTRY – DRUGS FOUND – NO </w:t>
      </w:r>
      <w:r w:rsidR="00FE4FB4">
        <w:rPr>
          <w:rFonts w:ascii="Arial Black" w:hAnsi="Arial Black"/>
          <w:b/>
          <w:sz w:val="28"/>
          <w:szCs w:val="28"/>
        </w:rPr>
        <w:t xml:space="preserve">CRIMINAL </w:t>
      </w:r>
      <w:r>
        <w:rPr>
          <w:rFonts w:ascii="Arial Black" w:hAnsi="Arial Black"/>
          <w:b/>
          <w:sz w:val="28"/>
          <w:szCs w:val="28"/>
        </w:rPr>
        <w:t xml:space="preserve">IMMUNITY </w:t>
      </w:r>
    </w:p>
    <w:p w14:paraId="48711C77" w14:textId="77777777" w:rsidR="00533809" w:rsidRDefault="00533809" w:rsidP="00533809">
      <w:pPr>
        <w:pStyle w:val="NoSpacing"/>
        <w:ind w:firstLine="720"/>
        <w:rPr>
          <w:b/>
        </w:rPr>
      </w:pPr>
    </w:p>
    <w:p w14:paraId="365DD347" w14:textId="77777777" w:rsidR="00533809" w:rsidRPr="001C1F8D" w:rsidRDefault="00533809" w:rsidP="00533809">
      <w:pPr>
        <w:pStyle w:val="NoSpacing"/>
        <w:rPr>
          <w:rFonts w:ascii="Times New Roman" w:hAnsi="Times New Roman"/>
          <w:sz w:val="24"/>
          <w:szCs w:val="24"/>
        </w:rPr>
      </w:pPr>
      <w:r w:rsidRPr="001C1F8D">
        <w:rPr>
          <w:rFonts w:ascii="Times New Roman" w:hAnsi="Times New Roman"/>
          <w:sz w:val="24"/>
          <w:szCs w:val="24"/>
        </w:rPr>
        <w:t xml:space="preserve">On Nov. 4, 2024, in </w:t>
      </w:r>
      <w:r w:rsidRPr="001C1F8D">
        <w:rPr>
          <w:rFonts w:ascii="Times New Roman" w:hAnsi="Times New Roman"/>
          <w:sz w:val="24"/>
          <w:szCs w:val="24"/>
          <w:u w:val="single"/>
        </w:rPr>
        <w:t>State of Ohio v. Adrian Renee Soliz</w:t>
      </w:r>
      <w:r w:rsidRPr="001C1F8D">
        <w:rPr>
          <w:rFonts w:ascii="Times New Roman" w:hAnsi="Times New Roman"/>
          <w:sz w:val="24"/>
          <w:szCs w:val="24"/>
        </w:rPr>
        <w:t xml:space="preserve">, the Idaho Supreme Court held (4 to 1) that the “medical amnesty law” does not apply to protect the defendant from prosecution.  The Court wrote: “The legislature's careful consideration of potential abuse scenarios indicates that the legislature was concerned that the bill would grant expansive immunity. The overall tenor of the Senate committee minutes supports an interpretation of the statute that requires the drug-related medical emergency and the need for medical assistance to be the sole cause of the discovery of evidence to prevent misuse of the statute. This interpretation ensures that immunity is granted only when the drug-related medical emergency and the need for medical assistance </w:t>
      </w:r>
      <w:proofErr w:type="gramStart"/>
      <w:r w:rsidRPr="001C1F8D">
        <w:rPr>
          <w:rFonts w:ascii="Times New Roman" w:hAnsi="Times New Roman"/>
          <w:sz w:val="24"/>
          <w:szCs w:val="24"/>
        </w:rPr>
        <w:t>produce</w:t>
      </w:r>
      <w:proofErr w:type="gramEnd"/>
      <w:r w:rsidRPr="001C1F8D">
        <w:rPr>
          <w:rFonts w:ascii="Times New Roman" w:hAnsi="Times New Roman"/>
          <w:sz w:val="24"/>
          <w:szCs w:val="24"/>
        </w:rPr>
        <w:t xml:space="preserve"> the discovery of evidence. This interpretation aligns with the statute's protective purpose while also preventing potential abuse.” </w:t>
      </w:r>
      <w:hyperlink r:id="rId2056" w:history="1">
        <w:r w:rsidRPr="001C1F8D">
          <w:rPr>
            <w:rStyle w:val="Hyperlink"/>
            <w:rFonts w:ascii="Times New Roman" w:hAnsi="Times New Roman"/>
            <w:sz w:val="24"/>
            <w:szCs w:val="24"/>
          </w:rPr>
          <w:t>https://casetext.com/case/state-v-soliz-24</w:t>
        </w:r>
      </w:hyperlink>
      <w:r w:rsidRPr="001C1F8D">
        <w:rPr>
          <w:rFonts w:ascii="Times New Roman" w:hAnsi="Times New Roman"/>
          <w:sz w:val="24"/>
          <w:szCs w:val="24"/>
        </w:rPr>
        <w:t xml:space="preserve"> </w:t>
      </w:r>
    </w:p>
    <w:p w14:paraId="4A8ED28D" w14:textId="77777777" w:rsidR="00E5379E" w:rsidRDefault="00E5379E" w:rsidP="001C1F8D">
      <w:pPr>
        <w:pStyle w:val="NoSpacing"/>
        <w:rPr>
          <w:rFonts w:ascii="Times New Roman" w:hAnsi="Times New Roman"/>
          <w:b/>
          <w:sz w:val="24"/>
          <w:szCs w:val="24"/>
        </w:rPr>
      </w:pPr>
    </w:p>
    <w:p w14:paraId="269DC108" w14:textId="653C04BE" w:rsidR="001C1F8D" w:rsidRPr="001C1F8D" w:rsidRDefault="001C1F8D" w:rsidP="001C1F8D">
      <w:pPr>
        <w:pStyle w:val="NoSpacing"/>
        <w:rPr>
          <w:rFonts w:ascii="Times New Roman" w:hAnsi="Times New Roman"/>
          <w:b/>
          <w:bCs/>
          <w:sz w:val="24"/>
          <w:szCs w:val="24"/>
        </w:rPr>
      </w:pPr>
      <w:r w:rsidRPr="001C1F8D">
        <w:rPr>
          <w:rFonts w:ascii="Times New Roman" w:hAnsi="Times New Roman"/>
          <w:b/>
          <w:sz w:val="24"/>
          <w:szCs w:val="24"/>
        </w:rPr>
        <w:t xml:space="preserve">Legal Lesson Learned: Many states have enacted “Good Samaritan” statutes designed to encourage 911 call when you or an associate is overdosing; this case does not fit that scenario. </w:t>
      </w:r>
    </w:p>
    <w:p w14:paraId="54BE610B" w14:textId="77777777" w:rsidR="001C1F8D" w:rsidRPr="001C1F8D" w:rsidRDefault="001C1F8D" w:rsidP="002B1283">
      <w:pPr>
        <w:rPr>
          <w:rFonts w:ascii="Times New Roman" w:hAnsi="Times New Roman"/>
          <w:b/>
          <w:bCs/>
          <w:sz w:val="24"/>
          <w:szCs w:val="24"/>
        </w:rPr>
      </w:pPr>
    </w:p>
    <w:p w14:paraId="665E580E" w14:textId="77777777" w:rsidR="00533809" w:rsidRDefault="00533809" w:rsidP="002B1283">
      <w:pPr>
        <w:rPr>
          <w:rFonts w:ascii="Arial Black" w:hAnsi="Arial Black"/>
          <w:b/>
          <w:bCs/>
          <w:sz w:val="28"/>
          <w:szCs w:val="28"/>
        </w:rPr>
      </w:pPr>
    </w:p>
    <w:p w14:paraId="69739103" w14:textId="635F9EDC" w:rsidR="00B96918" w:rsidRDefault="00B96918" w:rsidP="002B1283">
      <w:pPr>
        <w:rPr>
          <w:rFonts w:ascii="Arial Black" w:hAnsi="Arial Black"/>
          <w:b/>
          <w:bCs/>
          <w:sz w:val="28"/>
          <w:szCs w:val="28"/>
        </w:rPr>
      </w:pPr>
      <w:r>
        <w:rPr>
          <w:rFonts w:ascii="Arial Black" w:hAnsi="Arial Black"/>
          <w:b/>
          <w:bCs/>
          <w:sz w:val="28"/>
          <w:szCs w:val="28"/>
        </w:rPr>
        <w:t>13-196</w:t>
      </w:r>
    </w:p>
    <w:p w14:paraId="7BE054D7" w14:textId="77777777" w:rsidR="005B3FFE" w:rsidRPr="008519D7" w:rsidRDefault="005B3FFE" w:rsidP="005B3FFE">
      <w:pPr>
        <w:rPr>
          <w:rFonts w:ascii="Arial Black" w:hAnsi="Arial Black"/>
          <w:b/>
          <w:bCs/>
          <w:sz w:val="28"/>
          <w:szCs w:val="28"/>
        </w:rPr>
      </w:pPr>
      <w:r w:rsidRPr="008519D7">
        <w:rPr>
          <w:rFonts w:ascii="Arial Black" w:hAnsi="Arial Black"/>
          <w:b/>
          <w:bCs/>
          <w:sz w:val="28"/>
          <w:szCs w:val="28"/>
        </w:rPr>
        <w:t xml:space="preserve">NY:  DIFFICULTY BREATHING – DISPATCH SENT BLS – EMTS ON SCENE 12 MIN. FOR ALS – DISCRETIONARY – IMMUNITY </w:t>
      </w:r>
    </w:p>
    <w:p w14:paraId="6823B530" w14:textId="77777777" w:rsidR="005B3FFE" w:rsidRPr="004C62A0" w:rsidRDefault="005B3FFE" w:rsidP="005B3FFE">
      <w:pPr>
        <w:rPr>
          <w:rFonts w:ascii="Times New Roman" w:hAnsi="Times New Roman"/>
          <w:sz w:val="24"/>
          <w:szCs w:val="24"/>
        </w:rPr>
      </w:pPr>
      <w:r w:rsidRPr="004C62A0">
        <w:rPr>
          <w:rFonts w:ascii="Times New Roman" w:hAnsi="Times New Roman"/>
          <w:sz w:val="24"/>
          <w:szCs w:val="24"/>
        </w:rPr>
        <w:t xml:space="preserve">On Oct. 23, 2024, in </w:t>
      </w:r>
      <w:r w:rsidRPr="004C62A0">
        <w:rPr>
          <w:rFonts w:ascii="Times New Roman" w:hAnsi="Times New Roman"/>
          <w:sz w:val="24"/>
          <w:szCs w:val="24"/>
          <w:u w:val="single"/>
        </w:rPr>
        <w:t>Anita Walker-Rodriquez v. City of New York, et al</w:t>
      </w:r>
      <w:r w:rsidRPr="004C62A0">
        <w:rPr>
          <w:rFonts w:ascii="Times New Roman" w:hAnsi="Times New Roman"/>
          <w:sz w:val="24"/>
          <w:szCs w:val="24"/>
        </w:rPr>
        <w:t xml:space="preserve">., the New York Appellate Division, Second Judicial District, held (5 to 0): “In an action, inter alia, to recover damages for personal injuries, etc., the defendants City of New York, New York City Police Department, and New York City Fire Department Emergency Medical Services appeal from an order of the Supreme Court, Kings County (Marsha L. Steinhardt, J.), dated August 22, 2019. The order denied those defendants' motion pursuant to CPLR 3211(a)(7) to dismiss the complaint insofar as asserted against them or, in the alternative, for summary judgment dismissing the complaint insofar as asserted against them. *** Accordingly, the Supreme Court should have granted that branch of the defendants' motion which was for summary judgment dismissing the complaint insofar as asserted against them.” </w:t>
      </w:r>
      <w:hyperlink r:id="rId2057" w:history="1">
        <w:r w:rsidRPr="004C62A0">
          <w:rPr>
            <w:rStyle w:val="Hyperlink"/>
            <w:rFonts w:ascii="Times New Roman" w:hAnsi="Times New Roman"/>
            <w:sz w:val="24"/>
            <w:szCs w:val="24"/>
          </w:rPr>
          <w:t>https://law.justia.com/cases/new-york/appellate-division-second-department/2024/2019-11168.html</w:t>
        </w:r>
      </w:hyperlink>
      <w:r w:rsidRPr="004C62A0">
        <w:rPr>
          <w:rFonts w:ascii="Times New Roman" w:hAnsi="Times New Roman"/>
          <w:sz w:val="24"/>
          <w:szCs w:val="24"/>
        </w:rPr>
        <w:t xml:space="preserve"> </w:t>
      </w:r>
    </w:p>
    <w:p w14:paraId="31B92E54" w14:textId="77777777" w:rsidR="004C62A0" w:rsidRPr="004C62A0" w:rsidRDefault="004C62A0" w:rsidP="004C62A0">
      <w:pPr>
        <w:rPr>
          <w:rFonts w:ascii="Times New Roman" w:hAnsi="Times New Roman"/>
          <w:b/>
          <w:bCs/>
          <w:sz w:val="24"/>
          <w:szCs w:val="24"/>
        </w:rPr>
      </w:pPr>
      <w:r w:rsidRPr="004C62A0">
        <w:rPr>
          <w:rFonts w:ascii="Times New Roman" w:hAnsi="Times New Roman"/>
          <w:b/>
          <w:sz w:val="24"/>
          <w:szCs w:val="24"/>
        </w:rPr>
        <w:t>Legal Lesson Learned: Dispatch and EMS immunity for discretionary decisions.</w:t>
      </w:r>
    </w:p>
    <w:p w14:paraId="6500947B" w14:textId="77777777" w:rsidR="00B96918" w:rsidRDefault="00B96918" w:rsidP="002B1283">
      <w:pPr>
        <w:rPr>
          <w:rFonts w:ascii="Arial Black" w:hAnsi="Arial Black"/>
          <w:b/>
          <w:bCs/>
          <w:sz w:val="28"/>
          <w:szCs w:val="28"/>
        </w:rPr>
      </w:pPr>
    </w:p>
    <w:p w14:paraId="35EE876F" w14:textId="77777777" w:rsidR="00B96918" w:rsidRDefault="00B96918" w:rsidP="002B1283">
      <w:pPr>
        <w:rPr>
          <w:rFonts w:ascii="Arial Black" w:hAnsi="Arial Black"/>
          <w:b/>
          <w:bCs/>
          <w:sz w:val="28"/>
          <w:szCs w:val="28"/>
        </w:rPr>
      </w:pPr>
    </w:p>
    <w:p w14:paraId="74E29349" w14:textId="118EFF8D" w:rsidR="009C5942" w:rsidRDefault="009C5942" w:rsidP="002B1283">
      <w:pPr>
        <w:rPr>
          <w:rFonts w:ascii="Arial Black" w:hAnsi="Arial Black"/>
          <w:b/>
          <w:bCs/>
          <w:sz w:val="28"/>
          <w:szCs w:val="28"/>
        </w:rPr>
      </w:pPr>
      <w:r>
        <w:rPr>
          <w:rFonts w:ascii="Arial Black" w:hAnsi="Arial Black"/>
          <w:b/>
          <w:bCs/>
          <w:sz w:val="28"/>
          <w:szCs w:val="28"/>
        </w:rPr>
        <w:t>13-195</w:t>
      </w:r>
    </w:p>
    <w:p w14:paraId="74C88005" w14:textId="321EA269" w:rsidR="007A1954" w:rsidRPr="0019310D" w:rsidRDefault="007A1954" w:rsidP="007A1954">
      <w:pPr>
        <w:pStyle w:val="NoSpacing"/>
        <w:rPr>
          <w:rFonts w:ascii="Arial Black" w:hAnsi="Arial Black"/>
          <w:sz w:val="28"/>
        </w:rPr>
      </w:pPr>
      <w:r>
        <w:rPr>
          <w:rFonts w:ascii="Arial Black" w:hAnsi="Arial Black"/>
          <w:sz w:val="28"/>
        </w:rPr>
        <w:t xml:space="preserve">KY: CITY’S DONUT EATING CONTEST – CHOKING / DIED - CASE PROCEED - “WILLFUL OR WANTON” </w:t>
      </w:r>
      <w:r w:rsidR="006F0C54">
        <w:rPr>
          <w:rFonts w:ascii="Arial Black" w:hAnsi="Arial Black"/>
          <w:sz w:val="28"/>
        </w:rPr>
        <w:t xml:space="preserve">MISCONDUCT </w:t>
      </w:r>
      <w:r>
        <w:rPr>
          <w:rFonts w:ascii="Arial Black" w:hAnsi="Arial Black"/>
          <w:sz w:val="28"/>
        </w:rPr>
        <w:t xml:space="preserve">NOT IN WAIVER </w:t>
      </w:r>
    </w:p>
    <w:p w14:paraId="7A4644C0" w14:textId="77777777" w:rsidR="007A1954" w:rsidRDefault="007A1954" w:rsidP="009E4718">
      <w:pPr>
        <w:pStyle w:val="NoSpacing"/>
        <w:rPr>
          <w:rFonts w:ascii="Times New Roman" w:hAnsi="Times New Roman"/>
          <w:sz w:val="24"/>
          <w:szCs w:val="24"/>
        </w:rPr>
      </w:pPr>
    </w:p>
    <w:p w14:paraId="36B32D93" w14:textId="220A2550" w:rsidR="009E4718" w:rsidRPr="00D7210B" w:rsidRDefault="009E4718" w:rsidP="009E4718">
      <w:pPr>
        <w:pStyle w:val="NoSpacing"/>
        <w:rPr>
          <w:rFonts w:ascii="Times New Roman" w:hAnsi="Times New Roman"/>
          <w:sz w:val="24"/>
          <w:szCs w:val="24"/>
        </w:rPr>
      </w:pPr>
      <w:r w:rsidRPr="00D7210B">
        <w:rPr>
          <w:rFonts w:ascii="Times New Roman" w:hAnsi="Times New Roman"/>
          <w:sz w:val="24"/>
          <w:szCs w:val="24"/>
        </w:rPr>
        <w:t xml:space="preserve">On Sept. 27, 2024, in </w:t>
      </w:r>
      <w:r w:rsidRPr="00D7210B">
        <w:rPr>
          <w:rFonts w:ascii="Times New Roman" w:hAnsi="Times New Roman"/>
          <w:sz w:val="24"/>
          <w:szCs w:val="24"/>
          <w:u w:val="single"/>
        </w:rPr>
        <w:t>Laura Helmbrecht, in her individual capacity and as administrator of the estate of Cesar E. Marquez Chavez v. Baley Jayne Bakery and Café LLC and the City of Walton</w:t>
      </w:r>
      <w:r w:rsidRPr="00D7210B">
        <w:rPr>
          <w:rFonts w:ascii="Times New Roman" w:hAnsi="Times New Roman"/>
          <w:sz w:val="24"/>
          <w:szCs w:val="24"/>
        </w:rPr>
        <w:t xml:space="preserve">, the Court of Appeals of Kentucky held (3 to 0) that trial court improperly granted summary judgment to the City, holding that claims of “willful or wanton” negligence were never in the waiver document signed by the release.  The Court wrote: “Because Chavez did not waive his estate’s claim of willful or wanton negligence, that tort claim remains viable.” </w:t>
      </w:r>
      <w:hyperlink r:id="rId2058" w:history="1">
        <w:r w:rsidRPr="00D7210B">
          <w:rPr>
            <w:rStyle w:val="Hyperlink"/>
            <w:rFonts w:ascii="Times New Roman" w:hAnsi="Times New Roman"/>
            <w:sz w:val="24"/>
            <w:szCs w:val="24"/>
          </w:rPr>
          <w:t>https://cases.justia.com/kentucky/court-of-appeals/2024-2023-ca-1033-mr.pdf?ts=1727446176</w:t>
        </w:r>
      </w:hyperlink>
      <w:r w:rsidRPr="00D7210B">
        <w:rPr>
          <w:rFonts w:ascii="Times New Roman" w:hAnsi="Times New Roman"/>
          <w:sz w:val="24"/>
          <w:szCs w:val="24"/>
        </w:rPr>
        <w:t xml:space="preserve"> </w:t>
      </w:r>
    </w:p>
    <w:p w14:paraId="12E8440F" w14:textId="77777777" w:rsidR="009E4718" w:rsidRPr="00D7210B" w:rsidRDefault="009E4718" w:rsidP="009E4718">
      <w:pPr>
        <w:pStyle w:val="NoSpacing"/>
        <w:rPr>
          <w:rFonts w:ascii="Times New Roman" w:hAnsi="Times New Roman"/>
          <w:sz w:val="24"/>
          <w:szCs w:val="24"/>
        </w:rPr>
      </w:pPr>
    </w:p>
    <w:p w14:paraId="7387BD40" w14:textId="77777777" w:rsidR="009E4718" w:rsidRPr="00D7210B" w:rsidRDefault="009E4718" w:rsidP="009E4718">
      <w:pPr>
        <w:pStyle w:val="NoSpacing"/>
        <w:rPr>
          <w:rFonts w:ascii="Times New Roman" w:hAnsi="Times New Roman"/>
          <w:sz w:val="24"/>
          <w:szCs w:val="24"/>
        </w:rPr>
      </w:pPr>
      <w:r w:rsidRPr="00D7210B">
        <w:rPr>
          <w:rFonts w:ascii="Times New Roman" w:hAnsi="Times New Roman"/>
          <w:sz w:val="24"/>
          <w:szCs w:val="24"/>
        </w:rPr>
        <w:t>THE COURT HELD:</w:t>
      </w:r>
    </w:p>
    <w:p w14:paraId="39743D3B" w14:textId="77777777" w:rsidR="009E4718" w:rsidRPr="00D7210B" w:rsidRDefault="009E4718" w:rsidP="009E4718">
      <w:pPr>
        <w:pStyle w:val="NoSpacing"/>
        <w:rPr>
          <w:rFonts w:ascii="Times New Roman" w:hAnsi="Times New Roman"/>
          <w:sz w:val="24"/>
          <w:szCs w:val="24"/>
        </w:rPr>
      </w:pPr>
    </w:p>
    <w:p w14:paraId="3B5DD960" w14:textId="77777777" w:rsidR="009E4718" w:rsidRPr="00D7210B" w:rsidRDefault="009E4718" w:rsidP="009E4718">
      <w:pPr>
        <w:pStyle w:val="NoSpacing"/>
        <w:ind w:left="720"/>
        <w:rPr>
          <w:rFonts w:ascii="Times New Roman" w:hAnsi="Times New Roman"/>
          <w:sz w:val="24"/>
          <w:szCs w:val="24"/>
        </w:rPr>
      </w:pPr>
      <w:r w:rsidRPr="00D7210B">
        <w:rPr>
          <w:rFonts w:ascii="Times New Roman" w:hAnsi="Times New Roman"/>
          <w:sz w:val="24"/>
          <w:szCs w:val="24"/>
        </w:rPr>
        <w:t>“Helmbrecht alleges that during the contest, Chavez began choking, lost consciousness, and went into cardiac arrest. She further alleges that because the ‘Appellees failed to organize and provide any emergency medical services at the contest, he received untimely medical treatment for his airway obstruction.’ Appellant’s Br. at 3. Helmbrecht alleges that when paramedics finally arrived, Chavez was unresponsive, and he was transported to St. Elizabeth Edgewood Hospital, where he died from ‘asphyxia due to food bolus.’ Ibid. The Appellees affirm these basic facts, but contest there is any support in the record as to Chavez’s cause of death.</w:t>
      </w:r>
    </w:p>
    <w:p w14:paraId="1A6902A8" w14:textId="77777777" w:rsidR="009E4718" w:rsidRPr="00D7210B" w:rsidRDefault="009E4718" w:rsidP="009E4718">
      <w:pPr>
        <w:pStyle w:val="NoSpacing"/>
        <w:ind w:left="720"/>
        <w:rPr>
          <w:rFonts w:ascii="Times New Roman" w:hAnsi="Times New Roman"/>
          <w:sz w:val="24"/>
          <w:szCs w:val="24"/>
        </w:rPr>
      </w:pPr>
    </w:p>
    <w:p w14:paraId="4997A526" w14:textId="77777777" w:rsidR="009E4718" w:rsidRPr="00D7210B" w:rsidRDefault="009E4718" w:rsidP="009E4718">
      <w:pPr>
        <w:pStyle w:val="NoSpacing"/>
        <w:ind w:left="720"/>
        <w:rPr>
          <w:rFonts w:ascii="Times New Roman" w:hAnsi="Times New Roman"/>
          <w:sz w:val="24"/>
          <w:szCs w:val="24"/>
        </w:rPr>
      </w:pPr>
      <w:r w:rsidRPr="00D7210B">
        <w:rPr>
          <w:rFonts w:ascii="Times New Roman" w:hAnsi="Times New Roman"/>
          <w:sz w:val="24"/>
          <w:szCs w:val="24"/>
        </w:rPr>
        <w:t>***</w:t>
      </w:r>
    </w:p>
    <w:p w14:paraId="59A76C88" w14:textId="77777777" w:rsidR="009E4718" w:rsidRPr="00D7210B" w:rsidRDefault="009E4718" w:rsidP="009E4718">
      <w:pPr>
        <w:pStyle w:val="NoSpacing"/>
        <w:rPr>
          <w:rFonts w:ascii="Times New Roman" w:hAnsi="Times New Roman"/>
          <w:sz w:val="24"/>
          <w:szCs w:val="24"/>
        </w:rPr>
      </w:pPr>
    </w:p>
    <w:p w14:paraId="06FB936C" w14:textId="77777777" w:rsidR="009E4718" w:rsidRPr="00D7210B" w:rsidRDefault="009E4718" w:rsidP="009E4718">
      <w:pPr>
        <w:pStyle w:val="NoSpacing"/>
        <w:ind w:left="720"/>
        <w:rPr>
          <w:rFonts w:ascii="Times New Roman" w:hAnsi="Times New Roman"/>
          <w:sz w:val="24"/>
          <w:szCs w:val="24"/>
        </w:rPr>
      </w:pPr>
      <w:r w:rsidRPr="00D7210B">
        <w:rPr>
          <w:rFonts w:ascii="Times New Roman" w:hAnsi="Times New Roman"/>
          <w:sz w:val="24"/>
          <w:szCs w:val="24"/>
        </w:rPr>
        <w:t>With respect to whether the waiver bars Helmbrecht’s claim of negligence, the waiver is enforceable….  As we conclude the waiver’s employment of ‘negligence’ encompassed both ordinary and gross negligence, for the same reasons discussed above in addressing Helmbrecht’s claim of negligence, the waiver is enforceable as a bar to her claim of gross negligence.</w:t>
      </w:r>
    </w:p>
    <w:p w14:paraId="7C534CEE" w14:textId="77777777" w:rsidR="009E4718" w:rsidRPr="00D7210B" w:rsidRDefault="009E4718" w:rsidP="009E4718">
      <w:pPr>
        <w:pStyle w:val="NoSpacing"/>
        <w:ind w:left="720"/>
        <w:rPr>
          <w:rFonts w:ascii="Times New Roman" w:hAnsi="Times New Roman"/>
          <w:sz w:val="24"/>
          <w:szCs w:val="24"/>
        </w:rPr>
      </w:pPr>
    </w:p>
    <w:p w14:paraId="22BB373B" w14:textId="77777777" w:rsidR="009E4718" w:rsidRPr="00D7210B" w:rsidRDefault="009E4718" w:rsidP="009E4718">
      <w:pPr>
        <w:pStyle w:val="NoSpacing"/>
        <w:ind w:left="720"/>
        <w:rPr>
          <w:rFonts w:ascii="Times New Roman" w:hAnsi="Times New Roman"/>
          <w:sz w:val="24"/>
          <w:szCs w:val="24"/>
        </w:rPr>
      </w:pPr>
      <w:r w:rsidRPr="00D7210B">
        <w:rPr>
          <w:rFonts w:ascii="Times New Roman" w:hAnsi="Times New Roman"/>
          <w:sz w:val="24"/>
          <w:szCs w:val="24"/>
        </w:rPr>
        <w:t>***</w:t>
      </w:r>
    </w:p>
    <w:p w14:paraId="03429426" w14:textId="77777777" w:rsidR="009E4718" w:rsidRPr="00D7210B" w:rsidRDefault="009E4718" w:rsidP="009E4718">
      <w:pPr>
        <w:pStyle w:val="NoSpacing"/>
        <w:rPr>
          <w:rFonts w:ascii="Times New Roman" w:hAnsi="Times New Roman"/>
          <w:sz w:val="24"/>
          <w:szCs w:val="24"/>
        </w:rPr>
      </w:pPr>
    </w:p>
    <w:p w14:paraId="2C3A34BF" w14:textId="77777777" w:rsidR="009E4718" w:rsidRPr="00D7210B" w:rsidRDefault="009E4718" w:rsidP="009E4718">
      <w:pPr>
        <w:pStyle w:val="NoSpacing"/>
        <w:ind w:left="720"/>
        <w:rPr>
          <w:rFonts w:ascii="Times New Roman" w:hAnsi="Times New Roman"/>
          <w:sz w:val="24"/>
          <w:szCs w:val="24"/>
        </w:rPr>
      </w:pPr>
      <w:r w:rsidRPr="00D7210B">
        <w:rPr>
          <w:rFonts w:ascii="Times New Roman" w:hAnsi="Times New Roman"/>
          <w:sz w:val="24"/>
          <w:szCs w:val="24"/>
        </w:rPr>
        <w:t xml:space="preserve">By its nature, such a waiver </w:t>
      </w:r>
      <w:proofErr w:type="gramStart"/>
      <w:r w:rsidRPr="00D7210B">
        <w:rPr>
          <w:rFonts w:ascii="Times New Roman" w:hAnsi="Times New Roman"/>
          <w:sz w:val="24"/>
          <w:szCs w:val="24"/>
        </w:rPr>
        <w:t>benefits</w:t>
      </w:r>
      <w:proofErr w:type="gramEnd"/>
      <w:r w:rsidRPr="00D7210B">
        <w:rPr>
          <w:rFonts w:ascii="Times New Roman" w:hAnsi="Times New Roman"/>
          <w:sz w:val="24"/>
          <w:szCs w:val="24"/>
        </w:rPr>
        <w:t xml:space="preserve"> only the releasee. The releasor gains nothing from the waiver itself; </w:t>
      </w:r>
      <w:proofErr w:type="gramStart"/>
      <w:r w:rsidRPr="00D7210B">
        <w:rPr>
          <w:rFonts w:ascii="Times New Roman" w:hAnsi="Times New Roman"/>
          <w:sz w:val="24"/>
          <w:szCs w:val="24"/>
        </w:rPr>
        <w:t>his</w:t>
      </w:r>
      <w:proofErr w:type="gramEnd"/>
      <w:r w:rsidRPr="00D7210B">
        <w:rPr>
          <w:rFonts w:ascii="Times New Roman" w:hAnsi="Times New Roman"/>
          <w:sz w:val="24"/>
          <w:szCs w:val="24"/>
        </w:rPr>
        <w:t xml:space="preserve"> benefit is the privilege of participating in the risked activity. Consequently, the waiver itself cannot logically serve as evidence of care toward the releasor; it is quite the opposite. Finding otherwise, as the circuit court did here, is effectively abolishing the Supreme Court’s holding that exculpatory contracts are unenforceable as to claims of willful or wanton negligence. Id. at 654. Finding otherwise is equivalent to saying, ‘You cannot sue the releasee because he warned you that he might harm you willfully or wantonly – that is, intentionally or with utter indifference to your safety or life.’ Poindexter v. Commonwealth, 389 S.W.3d 112, 117 (Ky. 2012</w:t>
      </w:r>
      <w:proofErr w:type="gramStart"/>
      <w:r w:rsidRPr="00D7210B">
        <w:rPr>
          <w:rFonts w:ascii="Times New Roman" w:hAnsi="Times New Roman"/>
          <w:sz w:val="24"/>
          <w:szCs w:val="24"/>
        </w:rPr>
        <w:t>) (‘</w:t>
      </w:r>
      <w:proofErr w:type="gramEnd"/>
      <w:r w:rsidRPr="00D7210B">
        <w:rPr>
          <w:rFonts w:ascii="Times New Roman" w:hAnsi="Times New Roman"/>
          <w:sz w:val="24"/>
          <w:szCs w:val="24"/>
        </w:rPr>
        <w:t>[</w:t>
      </w:r>
      <w:proofErr w:type="gramStart"/>
      <w:r w:rsidRPr="00D7210B">
        <w:rPr>
          <w:rFonts w:ascii="Times New Roman" w:hAnsi="Times New Roman"/>
          <w:sz w:val="24"/>
          <w:szCs w:val="24"/>
        </w:rPr>
        <w:t>Willfulness] ‘</w:t>
      </w:r>
      <w:proofErr w:type="gramEnd"/>
      <w:r w:rsidRPr="00D7210B">
        <w:rPr>
          <w:rFonts w:ascii="Times New Roman" w:hAnsi="Times New Roman"/>
          <w:sz w:val="24"/>
          <w:szCs w:val="24"/>
        </w:rPr>
        <w:t>means with intent or intention.’) (internal quotation marks and citations omitted); Holbrook v. Ky. Unemployment Ins. Comm’n, 290 S.W.3d 81, 87 (Ky. App. 2009) (defining wanton conduct as ‘[u]</w:t>
      </w:r>
      <w:proofErr w:type="spellStart"/>
      <w:r w:rsidRPr="00D7210B">
        <w:rPr>
          <w:rFonts w:ascii="Times New Roman" w:hAnsi="Times New Roman"/>
          <w:sz w:val="24"/>
          <w:szCs w:val="24"/>
        </w:rPr>
        <w:t>nreasonably</w:t>
      </w:r>
      <w:proofErr w:type="spellEnd"/>
      <w:r w:rsidRPr="00D7210B">
        <w:rPr>
          <w:rFonts w:ascii="Times New Roman" w:hAnsi="Times New Roman"/>
          <w:sz w:val="24"/>
          <w:szCs w:val="24"/>
        </w:rPr>
        <w:t xml:space="preserve"> or maliciously risking harm while</w:t>
      </w:r>
    </w:p>
    <w:p w14:paraId="50064D0B" w14:textId="77777777" w:rsidR="009E4718" w:rsidRPr="00D7210B" w:rsidRDefault="009E4718" w:rsidP="009E4718">
      <w:pPr>
        <w:pStyle w:val="NoSpacing"/>
        <w:ind w:firstLine="720"/>
        <w:rPr>
          <w:rFonts w:ascii="Times New Roman" w:hAnsi="Times New Roman"/>
          <w:sz w:val="24"/>
          <w:szCs w:val="24"/>
        </w:rPr>
      </w:pPr>
      <w:r w:rsidRPr="00D7210B">
        <w:rPr>
          <w:rFonts w:ascii="Times New Roman" w:hAnsi="Times New Roman"/>
          <w:sz w:val="24"/>
          <w:szCs w:val="24"/>
        </w:rPr>
        <w:t>being utterly indifferent to the consequences’).</w:t>
      </w:r>
    </w:p>
    <w:p w14:paraId="1CC67EAF" w14:textId="77777777" w:rsidR="009E4718" w:rsidRPr="00D7210B" w:rsidRDefault="009E4718" w:rsidP="009E4718">
      <w:pPr>
        <w:pStyle w:val="NoSpacing"/>
        <w:ind w:firstLine="720"/>
        <w:rPr>
          <w:rFonts w:ascii="Times New Roman" w:hAnsi="Times New Roman"/>
          <w:sz w:val="24"/>
          <w:szCs w:val="24"/>
        </w:rPr>
      </w:pPr>
    </w:p>
    <w:p w14:paraId="05F6B155" w14:textId="77777777" w:rsidR="009E4718" w:rsidRPr="00D7210B" w:rsidRDefault="009E4718" w:rsidP="009E4718">
      <w:pPr>
        <w:pStyle w:val="NoSpacing"/>
        <w:ind w:firstLine="720"/>
        <w:rPr>
          <w:rFonts w:ascii="Times New Roman" w:hAnsi="Times New Roman"/>
          <w:sz w:val="24"/>
          <w:szCs w:val="24"/>
        </w:rPr>
      </w:pPr>
      <w:r w:rsidRPr="00D7210B">
        <w:rPr>
          <w:rFonts w:ascii="Times New Roman" w:hAnsi="Times New Roman"/>
          <w:sz w:val="24"/>
          <w:szCs w:val="24"/>
        </w:rPr>
        <w:t>***</w:t>
      </w:r>
    </w:p>
    <w:p w14:paraId="63FDAE5E" w14:textId="77777777" w:rsidR="009E4718" w:rsidRPr="00D7210B" w:rsidRDefault="009E4718" w:rsidP="009E4718">
      <w:pPr>
        <w:pStyle w:val="NoSpacing"/>
        <w:rPr>
          <w:rFonts w:ascii="Times New Roman" w:hAnsi="Times New Roman"/>
          <w:sz w:val="24"/>
          <w:szCs w:val="24"/>
        </w:rPr>
      </w:pPr>
      <w:r w:rsidRPr="00D7210B">
        <w:rPr>
          <w:rFonts w:ascii="Times New Roman" w:hAnsi="Times New Roman"/>
          <w:noProof/>
          <w:sz w:val="24"/>
          <w:szCs w:val="24"/>
        </w:rPr>
        <w:drawing>
          <wp:inline distT="0" distB="0" distL="0" distR="0" wp14:anchorId="39731B17" wp14:editId="0FE3131B">
            <wp:extent cx="57158" cy="47632"/>
            <wp:effectExtent l="0" t="0" r="0" b="9525"/>
            <wp:docPr id="189600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07320" name=""/>
                    <pic:cNvPicPr/>
                  </pic:nvPicPr>
                  <pic:blipFill>
                    <a:blip r:embed="rId2059"/>
                    <a:stretch>
                      <a:fillRect/>
                    </a:stretch>
                  </pic:blipFill>
                  <pic:spPr>
                    <a:xfrm>
                      <a:off x="0" y="0"/>
                      <a:ext cx="57158" cy="47632"/>
                    </a:xfrm>
                    <a:prstGeom prst="rect">
                      <a:avLst/>
                    </a:prstGeom>
                  </pic:spPr>
                </pic:pic>
              </a:graphicData>
            </a:graphic>
          </wp:inline>
        </w:drawing>
      </w:r>
    </w:p>
    <w:p w14:paraId="16173799" w14:textId="6719E310" w:rsidR="009E4718" w:rsidRDefault="009E4718" w:rsidP="009E4718">
      <w:pPr>
        <w:pStyle w:val="NoSpacing"/>
        <w:ind w:left="720"/>
        <w:rPr>
          <w:rFonts w:ascii="Times New Roman" w:hAnsi="Times New Roman"/>
          <w:sz w:val="24"/>
          <w:szCs w:val="24"/>
        </w:rPr>
      </w:pPr>
      <w:r w:rsidRPr="00D7210B">
        <w:rPr>
          <w:rFonts w:ascii="Times New Roman" w:hAnsi="Times New Roman"/>
          <w:sz w:val="24"/>
          <w:szCs w:val="24"/>
        </w:rPr>
        <w:t>Because Chavez did not waive his estate’s claim of willful or wanton negligence, that tort claim remains viable.</w:t>
      </w:r>
    </w:p>
    <w:p w14:paraId="228638BA" w14:textId="77777777" w:rsidR="00532D2D" w:rsidRDefault="00532D2D" w:rsidP="009E4718">
      <w:pPr>
        <w:pStyle w:val="NoSpacing"/>
        <w:ind w:left="720"/>
        <w:rPr>
          <w:rFonts w:ascii="Times New Roman" w:hAnsi="Times New Roman"/>
          <w:sz w:val="24"/>
          <w:szCs w:val="24"/>
        </w:rPr>
      </w:pPr>
    </w:p>
    <w:p w14:paraId="7B94034B" w14:textId="658771FF" w:rsidR="00532D2D" w:rsidRPr="00D7210B" w:rsidRDefault="00532D2D" w:rsidP="009E4718">
      <w:pPr>
        <w:pStyle w:val="NoSpacing"/>
        <w:ind w:left="720"/>
        <w:rPr>
          <w:rFonts w:ascii="Times New Roman" w:hAnsi="Times New Roman"/>
          <w:sz w:val="24"/>
          <w:szCs w:val="24"/>
        </w:rPr>
      </w:pPr>
      <w:r>
        <w:rPr>
          <w:rFonts w:ascii="Times New Roman" w:hAnsi="Times New Roman"/>
          <w:sz w:val="24"/>
          <w:szCs w:val="24"/>
        </w:rPr>
        <w:t>***</w:t>
      </w:r>
    </w:p>
    <w:p w14:paraId="0548D0F7" w14:textId="182D415F" w:rsidR="009E4718" w:rsidRPr="00D7210B" w:rsidRDefault="009E4718" w:rsidP="00532D2D">
      <w:pPr>
        <w:pStyle w:val="NoSpacing"/>
        <w:ind w:left="720"/>
        <w:rPr>
          <w:rFonts w:ascii="Times New Roman" w:hAnsi="Times New Roman"/>
          <w:sz w:val="24"/>
          <w:szCs w:val="24"/>
        </w:rPr>
      </w:pPr>
      <w:r w:rsidRPr="00D7210B">
        <w:rPr>
          <w:rFonts w:ascii="Times New Roman" w:hAnsi="Times New Roman"/>
          <w:sz w:val="24"/>
          <w:szCs w:val="24"/>
        </w:rPr>
        <w:t>In September of 2021, Appellant City of Walton held its annual ‘Old Fashion Day’ festival. Helmbrecht and her husband, decedent Chavez, were in attendance, and Chavez entered the donut eating contest. Chavez was required to sign a waiver to participate.”</w:t>
      </w:r>
    </w:p>
    <w:p w14:paraId="5585573D" w14:textId="77777777" w:rsidR="009E4718" w:rsidRPr="00D7210B" w:rsidRDefault="009E4718" w:rsidP="009E4718">
      <w:pPr>
        <w:pStyle w:val="NoSpacing"/>
        <w:ind w:left="720"/>
        <w:rPr>
          <w:rFonts w:ascii="Times New Roman" w:hAnsi="Times New Roman"/>
          <w:sz w:val="24"/>
          <w:szCs w:val="24"/>
        </w:rPr>
      </w:pPr>
    </w:p>
    <w:p w14:paraId="7770B23F" w14:textId="77777777" w:rsidR="009E4718" w:rsidRPr="00D7210B" w:rsidRDefault="009E4718" w:rsidP="009E4718">
      <w:pPr>
        <w:pStyle w:val="NoSpacing"/>
        <w:rPr>
          <w:rFonts w:ascii="Times New Roman" w:hAnsi="Times New Roman"/>
          <w:b/>
          <w:bCs/>
          <w:sz w:val="24"/>
          <w:szCs w:val="24"/>
        </w:rPr>
      </w:pPr>
      <w:r w:rsidRPr="00D7210B">
        <w:rPr>
          <w:rFonts w:ascii="Times New Roman" w:hAnsi="Times New Roman"/>
          <w:b/>
          <w:bCs/>
          <w:sz w:val="24"/>
          <w:szCs w:val="24"/>
        </w:rPr>
        <w:t xml:space="preserve">Legal Lesson Learned:  If City is holding a donut or other “eating contest” should include in waiver “willful or wanton” negligence and have EMS standing nearby. </w:t>
      </w:r>
    </w:p>
    <w:p w14:paraId="0B93B2D6" w14:textId="77777777" w:rsidR="009C5942" w:rsidRDefault="009C5942" w:rsidP="002B1283">
      <w:pPr>
        <w:rPr>
          <w:rFonts w:ascii="Arial Black" w:hAnsi="Arial Black"/>
          <w:b/>
          <w:bCs/>
          <w:sz w:val="28"/>
          <w:szCs w:val="28"/>
        </w:rPr>
      </w:pPr>
    </w:p>
    <w:p w14:paraId="3749642A" w14:textId="77777777" w:rsidR="009C5942" w:rsidRDefault="009C5942" w:rsidP="002B1283">
      <w:pPr>
        <w:rPr>
          <w:rFonts w:ascii="Arial Black" w:hAnsi="Arial Black"/>
          <w:b/>
          <w:bCs/>
          <w:sz w:val="28"/>
          <w:szCs w:val="28"/>
        </w:rPr>
      </w:pPr>
    </w:p>
    <w:p w14:paraId="38C313FC" w14:textId="33394644" w:rsidR="009665CE" w:rsidRDefault="001C18B0" w:rsidP="002B1283">
      <w:pPr>
        <w:rPr>
          <w:rFonts w:ascii="Arial Black" w:hAnsi="Arial Black"/>
          <w:b/>
          <w:bCs/>
          <w:sz w:val="28"/>
          <w:szCs w:val="28"/>
        </w:rPr>
      </w:pPr>
      <w:r>
        <w:rPr>
          <w:rFonts w:ascii="Arial Black" w:hAnsi="Arial Black"/>
          <w:b/>
          <w:bCs/>
          <w:sz w:val="28"/>
          <w:szCs w:val="28"/>
        </w:rPr>
        <w:t>13-194</w:t>
      </w:r>
    </w:p>
    <w:p w14:paraId="0F9ECAC2" w14:textId="77777777" w:rsidR="009C5942" w:rsidRPr="0068578A" w:rsidRDefault="009C5942" w:rsidP="009C5942">
      <w:pPr>
        <w:pStyle w:val="NoSpacing"/>
        <w:rPr>
          <w:rFonts w:ascii="Arial Black" w:hAnsi="Arial Black"/>
          <w:sz w:val="28"/>
        </w:rPr>
      </w:pPr>
      <w:r>
        <w:rPr>
          <w:rFonts w:ascii="Arial Black" w:hAnsi="Arial Black"/>
          <w:sz w:val="28"/>
        </w:rPr>
        <w:t>NJ: CARDIAC – QUICK RESPONSE VEHICLE NOT ALS - MEDIC STUDENT TRIED TO INTUBATE – IMMUNITY</w:t>
      </w:r>
    </w:p>
    <w:p w14:paraId="59D54121" w14:textId="77777777" w:rsidR="009C5942" w:rsidRDefault="009C5942" w:rsidP="009C5942">
      <w:pPr>
        <w:pStyle w:val="NoSpacing"/>
      </w:pPr>
    </w:p>
    <w:p w14:paraId="653061DB" w14:textId="77777777" w:rsidR="009C5942" w:rsidRPr="009C5942" w:rsidRDefault="009C5942" w:rsidP="009C5942">
      <w:pPr>
        <w:pStyle w:val="NoSpacing"/>
        <w:rPr>
          <w:rFonts w:ascii="Times New Roman" w:hAnsi="Times New Roman"/>
          <w:sz w:val="24"/>
          <w:szCs w:val="24"/>
        </w:rPr>
      </w:pPr>
      <w:r w:rsidRPr="009C5942">
        <w:rPr>
          <w:rFonts w:ascii="Times New Roman" w:hAnsi="Times New Roman"/>
          <w:sz w:val="24"/>
          <w:szCs w:val="24"/>
        </w:rPr>
        <w:t xml:space="preserve">On October 1, 2024, in </w:t>
      </w:r>
      <w:proofErr w:type="spellStart"/>
      <w:r w:rsidRPr="009C5942">
        <w:rPr>
          <w:rFonts w:ascii="Times New Roman" w:hAnsi="Times New Roman"/>
          <w:sz w:val="24"/>
          <w:szCs w:val="24"/>
          <w:u w:val="single"/>
        </w:rPr>
        <w:t>Onyelle</w:t>
      </w:r>
      <w:proofErr w:type="spellEnd"/>
      <w:r w:rsidRPr="009C5942">
        <w:rPr>
          <w:rFonts w:ascii="Times New Roman" w:hAnsi="Times New Roman"/>
          <w:sz w:val="24"/>
          <w:szCs w:val="24"/>
          <w:u w:val="single"/>
        </w:rPr>
        <w:t xml:space="preserve"> R. Jamison, administrator of the estate of Ruby Nell King v. Jersey City Medical Center, et al</w:t>
      </w:r>
      <w:r w:rsidRPr="009C5942">
        <w:rPr>
          <w:rFonts w:ascii="Times New Roman" w:hAnsi="Times New Roman"/>
          <w:sz w:val="24"/>
          <w:szCs w:val="24"/>
        </w:rPr>
        <w:t xml:space="preserve">., the Superior Court of New Jersey, Appellate Division, held (unpublished decision) that trial court properly granted summary judgement to the Medical Center and all the EMS.  The Court wrote: “The [trial] court rejected plaintiff's claim that failing to equip the QRV with ALS supplies was a deviation from the applicable standard of care because dispatching ‘a single BLS and a single ALS unit on the scene would have met the standard of care.’ Because ‘the BLS unit and ALS unit were dispatched along with [Isidro's] unit and dispatching [Isidro's] unit did not affect the arrival of the other units, [Isidro's] attendance was not required at the scene.’ *** Specifically, plaintiff contends, given King's unstable condition, it was not appropriate to permit Molineros to attempt the intubation, and DiMarco took too long to intubate King after the initial unsuccessful attempt. We are not persuaded. Here, plaintiff's claim is based solely on Dr. Brown's opinion that it was ‘horrible’ judgment and ‘reckless and dangerous’ for DiMarco and Valles to permit Molineros to attempt the intubation. Dr. Brown, however, conceded at his deposition Molineros was, as a paramedic student, expressly permitted pursuant to N.J.A.C. 8:41-12.1(c)(7), to intubate patients in the field. In addition, Dr. Brown did not know how many times Molineros intubated patients before March 30, 2018. Dr. Brown testified he did not know why her intubation attempt failed and did not believe Molineros ‘deviated from what a student would do.’” </w:t>
      </w:r>
      <w:hyperlink r:id="rId2060" w:history="1">
        <w:r w:rsidRPr="009C5942">
          <w:rPr>
            <w:rStyle w:val="Hyperlink"/>
            <w:rFonts w:ascii="Times New Roman" w:hAnsi="Times New Roman"/>
            <w:sz w:val="24"/>
            <w:szCs w:val="24"/>
          </w:rPr>
          <w:t>https://www.njcourts.gov/system/files/court-opinions/2024/a1893-22.pdf</w:t>
        </w:r>
      </w:hyperlink>
      <w:r w:rsidRPr="009C5942">
        <w:rPr>
          <w:rFonts w:ascii="Times New Roman" w:hAnsi="Times New Roman"/>
          <w:sz w:val="24"/>
          <w:szCs w:val="24"/>
        </w:rPr>
        <w:t xml:space="preserve"> </w:t>
      </w:r>
    </w:p>
    <w:p w14:paraId="0C270AB8" w14:textId="77777777" w:rsidR="009C5942" w:rsidRPr="009C5942" w:rsidRDefault="009C5942" w:rsidP="009C5942">
      <w:pPr>
        <w:pStyle w:val="NoSpacing"/>
        <w:rPr>
          <w:rFonts w:ascii="Times New Roman" w:hAnsi="Times New Roman"/>
          <w:sz w:val="24"/>
          <w:szCs w:val="24"/>
        </w:rPr>
      </w:pPr>
    </w:p>
    <w:p w14:paraId="50D2E77F" w14:textId="77777777" w:rsidR="009C5942" w:rsidRPr="009C5942" w:rsidRDefault="009C5942" w:rsidP="009C5942">
      <w:pPr>
        <w:pStyle w:val="NoSpacing"/>
        <w:rPr>
          <w:rFonts w:ascii="Times New Roman" w:hAnsi="Times New Roman"/>
          <w:sz w:val="24"/>
          <w:szCs w:val="24"/>
        </w:rPr>
      </w:pPr>
      <w:r w:rsidRPr="009C5942">
        <w:rPr>
          <w:rFonts w:ascii="Times New Roman" w:hAnsi="Times New Roman"/>
          <w:sz w:val="24"/>
          <w:szCs w:val="24"/>
        </w:rPr>
        <w:t>THE COURT HELD:</w:t>
      </w:r>
    </w:p>
    <w:p w14:paraId="4607C4E2" w14:textId="77777777" w:rsidR="009C5942" w:rsidRPr="009C5942" w:rsidRDefault="009C5942" w:rsidP="009C5942">
      <w:pPr>
        <w:pStyle w:val="NoSpacing"/>
        <w:rPr>
          <w:rFonts w:ascii="Times New Roman" w:hAnsi="Times New Roman"/>
          <w:sz w:val="24"/>
          <w:szCs w:val="24"/>
        </w:rPr>
      </w:pPr>
    </w:p>
    <w:p w14:paraId="3318F276" w14:textId="77777777" w:rsidR="009C5942" w:rsidRPr="009C5942" w:rsidRDefault="009C5942" w:rsidP="009C5942">
      <w:pPr>
        <w:pStyle w:val="NoSpacing"/>
        <w:ind w:left="720"/>
        <w:rPr>
          <w:rFonts w:ascii="Times New Roman" w:hAnsi="Times New Roman"/>
          <w:sz w:val="24"/>
          <w:szCs w:val="24"/>
        </w:rPr>
      </w:pPr>
      <w:r w:rsidRPr="009C5942">
        <w:rPr>
          <w:rFonts w:ascii="Times New Roman" w:hAnsi="Times New Roman"/>
          <w:sz w:val="24"/>
          <w:szCs w:val="24"/>
        </w:rPr>
        <w:t xml:space="preserve">“At best, plaintiff sets forth a viable claim of negligence. Plaintiff does not offer any evidence to support </w:t>
      </w:r>
      <w:proofErr w:type="gramStart"/>
      <w:r w:rsidRPr="009C5942">
        <w:rPr>
          <w:rFonts w:ascii="Times New Roman" w:hAnsi="Times New Roman"/>
          <w:sz w:val="24"/>
          <w:szCs w:val="24"/>
        </w:rPr>
        <w:t>a finding</w:t>
      </w:r>
      <w:proofErr w:type="gramEnd"/>
      <w:r w:rsidRPr="009C5942">
        <w:rPr>
          <w:rFonts w:ascii="Times New Roman" w:hAnsi="Times New Roman"/>
          <w:sz w:val="24"/>
          <w:szCs w:val="24"/>
        </w:rPr>
        <w:t xml:space="preserve"> that DiMarco and Valles did not act in good faith. We are satisfied, based on the facts and circumstances of this case, the court correctly determined DiMarco and Valles demonstrated their actions "were objectively reasonable or that they performed them with subjective good faith." </w:t>
      </w:r>
      <w:proofErr w:type="spellStart"/>
      <w:r w:rsidRPr="009C5942">
        <w:rPr>
          <w:rFonts w:ascii="Times New Roman" w:hAnsi="Times New Roman"/>
          <w:sz w:val="24"/>
          <w:szCs w:val="24"/>
        </w:rPr>
        <w:t>Canico</w:t>
      </w:r>
      <w:proofErr w:type="spellEnd"/>
      <w:r w:rsidRPr="009C5942">
        <w:rPr>
          <w:rFonts w:ascii="Times New Roman" w:hAnsi="Times New Roman"/>
          <w:sz w:val="24"/>
          <w:szCs w:val="24"/>
        </w:rPr>
        <w:t>, 144 N.J. at 365. Summary judgment, therefore, was properly granted on the issue of good faith.</w:t>
      </w:r>
    </w:p>
    <w:p w14:paraId="5F1A62F8" w14:textId="77777777" w:rsidR="009C5942" w:rsidRPr="009C5942" w:rsidRDefault="009C5942" w:rsidP="009C5942">
      <w:pPr>
        <w:pStyle w:val="NoSpacing"/>
        <w:ind w:left="720"/>
        <w:rPr>
          <w:rFonts w:ascii="Times New Roman" w:hAnsi="Times New Roman"/>
          <w:sz w:val="24"/>
          <w:szCs w:val="24"/>
        </w:rPr>
      </w:pPr>
    </w:p>
    <w:p w14:paraId="1253B696" w14:textId="77777777" w:rsidR="009C5942" w:rsidRPr="009C5942" w:rsidRDefault="009C5942" w:rsidP="009C5942">
      <w:pPr>
        <w:pStyle w:val="NoSpacing"/>
        <w:ind w:left="720"/>
        <w:rPr>
          <w:rFonts w:ascii="Times New Roman" w:hAnsi="Times New Roman"/>
          <w:sz w:val="24"/>
          <w:szCs w:val="24"/>
        </w:rPr>
      </w:pPr>
      <w:r w:rsidRPr="009C5942">
        <w:rPr>
          <w:rFonts w:ascii="Times New Roman" w:hAnsi="Times New Roman"/>
          <w:sz w:val="24"/>
          <w:szCs w:val="24"/>
        </w:rPr>
        <w:t>***</w:t>
      </w:r>
    </w:p>
    <w:p w14:paraId="309060F3" w14:textId="77777777" w:rsidR="009C5942" w:rsidRPr="009C5942" w:rsidRDefault="009C5942" w:rsidP="009C5942">
      <w:pPr>
        <w:pStyle w:val="NoSpacing"/>
        <w:rPr>
          <w:rFonts w:ascii="Times New Roman" w:hAnsi="Times New Roman"/>
          <w:sz w:val="24"/>
          <w:szCs w:val="24"/>
        </w:rPr>
      </w:pPr>
    </w:p>
    <w:p w14:paraId="2DE4168E" w14:textId="77777777" w:rsidR="009C5942" w:rsidRPr="009C5942" w:rsidRDefault="009C5942" w:rsidP="009C5942">
      <w:pPr>
        <w:pStyle w:val="NoSpacing"/>
        <w:ind w:left="720"/>
        <w:rPr>
          <w:rFonts w:ascii="Times New Roman" w:hAnsi="Times New Roman"/>
          <w:sz w:val="24"/>
          <w:szCs w:val="24"/>
        </w:rPr>
      </w:pPr>
      <w:r w:rsidRPr="009C5942">
        <w:rPr>
          <w:rFonts w:ascii="Times New Roman" w:hAnsi="Times New Roman"/>
          <w:sz w:val="24"/>
          <w:szCs w:val="24"/>
        </w:rPr>
        <w:t>We are satisfied the court correctly determined defendants are entitled to immunity pursuant to N.J.S.A. 26:2K-14, which provides, in relevant part:</w:t>
      </w:r>
    </w:p>
    <w:p w14:paraId="22421BFB" w14:textId="77777777" w:rsidR="009C5942" w:rsidRPr="009C5942" w:rsidRDefault="009C5942" w:rsidP="009C5942">
      <w:pPr>
        <w:pStyle w:val="NoSpacing"/>
        <w:ind w:left="1440"/>
        <w:rPr>
          <w:rFonts w:ascii="Times New Roman" w:hAnsi="Times New Roman"/>
          <w:sz w:val="24"/>
          <w:szCs w:val="24"/>
        </w:rPr>
      </w:pPr>
      <w:r w:rsidRPr="009C5942">
        <w:rPr>
          <w:rFonts w:ascii="Times New Roman" w:hAnsi="Times New Roman"/>
          <w:sz w:val="24"/>
          <w:szCs w:val="24"/>
        </w:rPr>
        <w:t>No mobile intensive care paramedic, . . . hospital . . . first aid, ambulance or rescue squad, … shall be liable for any civil damages as the result of an act or the omission of an act committed while in training for or in the rendering of . . . advanced life support services in good faith and in accordance with this act.”</w:t>
      </w:r>
    </w:p>
    <w:p w14:paraId="5D383038" w14:textId="77777777" w:rsidR="009C5942" w:rsidRPr="009C5942" w:rsidRDefault="009C5942" w:rsidP="009C5942">
      <w:pPr>
        <w:pStyle w:val="NoSpacing"/>
        <w:rPr>
          <w:rFonts w:ascii="Times New Roman" w:hAnsi="Times New Roman"/>
          <w:sz w:val="24"/>
          <w:szCs w:val="24"/>
        </w:rPr>
      </w:pPr>
    </w:p>
    <w:p w14:paraId="506AD569" w14:textId="77777777" w:rsidR="009C5942" w:rsidRPr="009C5942" w:rsidRDefault="009C5942" w:rsidP="009C5942">
      <w:pPr>
        <w:pStyle w:val="NoSpacing"/>
        <w:rPr>
          <w:rFonts w:ascii="Times New Roman" w:hAnsi="Times New Roman"/>
          <w:sz w:val="24"/>
          <w:szCs w:val="24"/>
        </w:rPr>
      </w:pPr>
    </w:p>
    <w:p w14:paraId="2D8A07EB" w14:textId="77777777" w:rsidR="009C5942" w:rsidRPr="009C5942" w:rsidRDefault="009C5942" w:rsidP="009C5942">
      <w:pPr>
        <w:rPr>
          <w:rFonts w:ascii="Times New Roman" w:hAnsi="Times New Roman"/>
          <w:b/>
          <w:bCs/>
          <w:sz w:val="24"/>
          <w:szCs w:val="24"/>
        </w:rPr>
      </w:pPr>
      <w:r w:rsidRPr="009C5942">
        <w:rPr>
          <w:rFonts w:ascii="Times New Roman" w:hAnsi="Times New Roman"/>
          <w:b/>
          <w:bCs/>
          <w:sz w:val="24"/>
          <w:szCs w:val="24"/>
        </w:rPr>
        <w:t xml:space="preserve">Legal Lesson Learned:  Statutory immunity protects both Paramedics and EMS students trained in intubation from liability.  </w:t>
      </w:r>
    </w:p>
    <w:p w14:paraId="317A2DB8" w14:textId="77777777" w:rsidR="001C18B0" w:rsidRDefault="001C18B0" w:rsidP="002B1283">
      <w:pPr>
        <w:rPr>
          <w:rFonts w:ascii="Arial Black" w:hAnsi="Arial Black"/>
          <w:b/>
          <w:bCs/>
          <w:sz w:val="28"/>
          <w:szCs w:val="28"/>
        </w:rPr>
      </w:pPr>
    </w:p>
    <w:p w14:paraId="18AE349E" w14:textId="77777777" w:rsidR="001C18B0" w:rsidRDefault="001C18B0" w:rsidP="002B1283">
      <w:pPr>
        <w:rPr>
          <w:rFonts w:ascii="Arial Black" w:hAnsi="Arial Black"/>
          <w:b/>
          <w:bCs/>
          <w:sz w:val="28"/>
          <w:szCs w:val="28"/>
        </w:rPr>
      </w:pPr>
    </w:p>
    <w:p w14:paraId="447D5A69" w14:textId="17DA2199" w:rsidR="009665CE" w:rsidRDefault="009665CE" w:rsidP="002B1283">
      <w:pPr>
        <w:rPr>
          <w:rFonts w:ascii="Arial Black" w:hAnsi="Arial Black"/>
          <w:b/>
          <w:bCs/>
          <w:sz w:val="28"/>
          <w:szCs w:val="28"/>
        </w:rPr>
      </w:pPr>
      <w:r>
        <w:rPr>
          <w:rFonts w:ascii="Arial Black" w:hAnsi="Arial Black"/>
          <w:b/>
          <w:bCs/>
          <w:sz w:val="28"/>
          <w:szCs w:val="28"/>
        </w:rPr>
        <w:t>13-193</w:t>
      </w:r>
    </w:p>
    <w:p w14:paraId="32C725D5" w14:textId="764D79CD" w:rsidR="009665CE" w:rsidRPr="00546EED" w:rsidRDefault="009665CE" w:rsidP="009665CE">
      <w:pPr>
        <w:pStyle w:val="NoSpacing"/>
        <w:rPr>
          <w:rFonts w:ascii="Arial Black" w:hAnsi="Arial Black"/>
          <w:sz w:val="28"/>
        </w:rPr>
      </w:pPr>
      <w:r>
        <w:rPr>
          <w:rFonts w:ascii="Arial Black" w:hAnsi="Arial Black"/>
          <w:sz w:val="28"/>
        </w:rPr>
        <w:t>NM:  FLIGHT PARAMEDIC TERMINATED – “ABANDONED” OB PATIENT - FETAL MONITOR REMOVED, PILOT RETURN</w:t>
      </w:r>
      <w:r w:rsidR="00D4774D">
        <w:rPr>
          <w:rFonts w:ascii="Arial Black" w:hAnsi="Arial Black"/>
          <w:sz w:val="28"/>
        </w:rPr>
        <w:t>ED TO</w:t>
      </w:r>
      <w:r>
        <w:rPr>
          <w:rFonts w:ascii="Arial Black" w:hAnsi="Arial Black"/>
          <w:sz w:val="28"/>
        </w:rPr>
        <w:t xml:space="preserve"> BASE</w:t>
      </w:r>
    </w:p>
    <w:p w14:paraId="1D031AF2" w14:textId="77777777" w:rsidR="009665CE" w:rsidRDefault="009665CE" w:rsidP="009665CE">
      <w:pPr>
        <w:pStyle w:val="NoSpacing"/>
      </w:pPr>
    </w:p>
    <w:p w14:paraId="1B2D8318" w14:textId="77777777" w:rsidR="009665CE" w:rsidRPr="009665CE" w:rsidRDefault="009665CE" w:rsidP="009665CE">
      <w:pPr>
        <w:pStyle w:val="NoSpacing"/>
        <w:rPr>
          <w:rFonts w:ascii="Times New Roman" w:hAnsi="Times New Roman"/>
          <w:sz w:val="24"/>
          <w:szCs w:val="24"/>
        </w:rPr>
      </w:pPr>
      <w:r w:rsidRPr="009665CE">
        <w:rPr>
          <w:rFonts w:ascii="Times New Roman" w:hAnsi="Times New Roman"/>
          <w:sz w:val="24"/>
          <w:szCs w:val="24"/>
        </w:rPr>
        <w:t xml:space="preserve">On September 3, 2024, in </w:t>
      </w:r>
      <w:r w:rsidRPr="009665CE">
        <w:rPr>
          <w:rFonts w:ascii="Times New Roman" w:hAnsi="Times New Roman"/>
          <w:sz w:val="24"/>
          <w:szCs w:val="24"/>
          <w:u w:val="single"/>
        </w:rPr>
        <w:t>Daniel Kuhler v. PHI Health, LLC d/b/a Phi Air Medical</w:t>
      </w:r>
      <w:r w:rsidRPr="009665CE">
        <w:rPr>
          <w:rFonts w:ascii="Times New Roman" w:hAnsi="Times New Roman"/>
          <w:sz w:val="24"/>
          <w:szCs w:val="24"/>
        </w:rPr>
        <w:t xml:space="preserve">, United States District Court Chief Judge William P. Johnson, U.S. District Court, District of New Mexico, granted summary judgment to the employer, Phi Air Medical; there was no proof of employer making termination decision as a failure to accommodate his request for leave for ear surgery. Regarding the medical flight on Oct. 10, 2019, the Court wrote: “Disconnecting the equipment from the patient, leaving her with the ground ambulance crew, and flying back to base is why he was terminated. *** Here, the undisputed facts show that: (1) Kuhler was dispatched on October 10, 2019, for a high-risk OB patient; (2) the flight crew ‘interacted with, assessed and placed a PHI-owned fetal monitor on the patient’; (3) Kuhler did not call PHI personnel or any physician; (4) Kuhler then left the scene…. This constitutes abandonment-or is at least close enough that the Court will not play the role of a Monday morning quarterback and second-guess this decision.” </w:t>
      </w:r>
      <w:hyperlink r:id="rId2061" w:history="1">
        <w:r w:rsidRPr="009665CE">
          <w:rPr>
            <w:rStyle w:val="Hyperlink"/>
            <w:rFonts w:ascii="Times New Roman" w:hAnsi="Times New Roman"/>
            <w:sz w:val="24"/>
            <w:szCs w:val="24"/>
          </w:rPr>
          <w:t>https://casetext.com/case/kuhler-v-phi-health-llc</w:t>
        </w:r>
      </w:hyperlink>
      <w:r w:rsidRPr="009665CE">
        <w:rPr>
          <w:rFonts w:ascii="Times New Roman" w:hAnsi="Times New Roman"/>
          <w:sz w:val="24"/>
          <w:szCs w:val="24"/>
        </w:rPr>
        <w:t xml:space="preserve"> </w:t>
      </w:r>
    </w:p>
    <w:p w14:paraId="3C0AE6A4" w14:textId="77777777" w:rsidR="009665CE" w:rsidRPr="009665CE" w:rsidRDefault="009665CE" w:rsidP="009665CE">
      <w:pPr>
        <w:pStyle w:val="NoSpacing"/>
        <w:rPr>
          <w:rFonts w:ascii="Times New Roman" w:hAnsi="Times New Roman"/>
          <w:sz w:val="24"/>
          <w:szCs w:val="24"/>
        </w:rPr>
      </w:pPr>
    </w:p>
    <w:p w14:paraId="093F00E4" w14:textId="77777777" w:rsidR="009665CE" w:rsidRPr="009665CE" w:rsidRDefault="009665CE" w:rsidP="009665CE">
      <w:pPr>
        <w:pStyle w:val="NoSpacing"/>
        <w:rPr>
          <w:rFonts w:ascii="Times New Roman" w:hAnsi="Times New Roman"/>
          <w:sz w:val="24"/>
          <w:szCs w:val="24"/>
        </w:rPr>
      </w:pPr>
      <w:r w:rsidRPr="009665CE">
        <w:rPr>
          <w:rFonts w:ascii="Times New Roman" w:hAnsi="Times New Roman"/>
          <w:sz w:val="24"/>
          <w:szCs w:val="24"/>
        </w:rPr>
        <w:t>THE COURT HELD:</w:t>
      </w:r>
    </w:p>
    <w:p w14:paraId="5111E01A" w14:textId="77777777" w:rsidR="009665CE" w:rsidRPr="009665CE" w:rsidRDefault="009665CE" w:rsidP="009665CE">
      <w:pPr>
        <w:pStyle w:val="NoSpacing"/>
        <w:rPr>
          <w:rFonts w:ascii="Times New Roman" w:hAnsi="Times New Roman"/>
          <w:sz w:val="24"/>
          <w:szCs w:val="24"/>
        </w:rPr>
      </w:pPr>
    </w:p>
    <w:p w14:paraId="35CF24E8" w14:textId="77777777" w:rsidR="009665CE" w:rsidRPr="009665CE" w:rsidRDefault="009665CE" w:rsidP="009665CE">
      <w:pPr>
        <w:pStyle w:val="NoSpacing"/>
        <w:ind w:left="720"/>
        <w:rPr>
          <w:rFonts w:ascii="Times New Roman" w:hAnsi="Times New Roman"/>
          <w:sz w:val="24"/>
          <w:szCs w:val="24"/>
        </w:rPr>
      </w:pPr>
      <w:r w:rsidRPr="009665CE">
        <w:rPr>
          <w:rFonts w:ascii="Times New Roman" w:hAnsi="Times New Roman"/>
          <w:sz w:val="24"/>
          <w:szCs w:val="24"/>
        </w:rPr>
        <w:t xml:space="preserve">“After the internal investigation was completed, the Yslas Report found that Kuhler (and the flight nurse) had abandoned a patient and were dishonest in their statements…. Based on these findings, the Yslas Report recommended termination of both employees. </w:t>
      </w:r>
      <w:r w:rsidRPr="009665CE">
        <w:rPr>
          <w:rFonts w:ascii="Times New Roman" w:hAnsi="Times New Roman"/>
          <w:i/>
          <w:iCs/>
          <w:sz w:val="24"/>
          <w:szCs w:val="24"/>
        </w:rPr>
        <w:t>Id.</w:t>
      </w:r>
      <w:r w:rsidRPr="009665CE">
        <w:rPr>
          <w:rFonts w:ascii="Times New Roman" w:hAnsi="Times New Roman"/>
          <w:sz w:val="24"/>
          <w:szCs w:val="24"/>
        </w:rPr>
        <w:t xml:space="preserve"> Yslas presented the report to PHI's Chief Human Resources Officer (“CHRO”)…. After reviewing the Yslas Report, and accompanying PHI policies, the CHRO accepted the recommendation-and approved the termination of Kuhler and the flight nurse…. </w:t>
      </w:r>
    </w:p>
    <w:p w14:paraId="66C79B7D" w14:textId="77777777" w:rsidR="009665CE" w:rsidRPr="009665CE" w:rsidRDefault="009665CE" w:rsidP="009665CE">
      <w:pPr>
        <w:pStyle w:val="NoSpacing"/>
        <w:ind w:left="720"/>
        <w:rPr>
          <w:rFonts w:ascii="Times New Roman" w:hAnsi="Times New Roman"/>
          <w:b/>
          <w:bCs/>
          <w:sz w:val="24"/>
          <w:szCs w:val="24"/>
        </w:rPr>
      </w:pPr>
    </w:p>
    <w:p w14:paraId="12A507FE" w14:textId="77777777" w:rsidR="009665CE" w:rsidRPr="009665CE" w:rsidRDefault="009665CE" w:rsidP="009665CE">
      <w:pPr>
        <w:pStyle w:val="NoSpacing"/>
        <w:ind w:firstLine="720"/>
        <w:rPr>
          <w:rFonts w:ascii="Times New Roman" w:hAnsi="Times New Roman"/>
          <w:sz w:val="24"/>
          <w:szCs w:val="24"/>
        </w:rPr>
      </w:pPr>
      <w:r w:rsidRPr="009665CE">
        <w:rPr>
          <w:rFonts w:ascii="Times New Roman" w:hAnsi="Times New Roman"/>
          <w:sz w:val="24"/>
          <w:szCs w:val="24"/>
        </w:rPr>
        <w:t xml:space="preserve">Neither Yslas nor the CHRO knew of Kuhler's request for an accommodation…. </w:t>
      </w:r>
    </w:p>
    <w:p w14:paraId="60305F3B" w14:textId="77777777" w:rsidR="009665CE" w:rsidRPr="009665CE" w:rsidRDefault="009665CE" w:rsidP="009665CE">
      <w:pPr>
        <w:pStyle w:val="NoSpacing"/>
        <w:ind w:firstLine="720"/>
        <w:rPr>
          <w:rFonts w:ascii="Times New Roman" w:hAnsi="Times New Roman"/>
          <w:sz w:val="24"/>
          <w:szCs w:val="24"/>
        </w:rPr>
      </w:pPr>
    </w:p>
    <w:p w14:paraId="3AC250F9" w14:textId="77777777" w:rsidR="009665CE" w:rsidRPr="009665CE" w:rsidRDefault="009665CE" w:rsidP="009665CE">
      <w:pPr>
        <w:pStyle w:val="NoSpacing"/>
        <w:ind w:firstLine="720"/>
        <w:rPr>
          <w:rFonts w:ascii="Times New Roman" w:hAnsi="Times New Roman"/>
          <w:sz w:val="24"/>
          <w:szCs w:val="24"/>
        </w:rPr>
      </w:pPr>
      <w:r w:rsidRPr="009665CE">
        <w:rPr>
          <w:rFonts w:ascii="Times New Roman" w:hAnsi="Times New Roman"/>
          <w:sz w:val="24"/>
          <w:szCs w:val="24"/>
        </w:rPr>
        <w:t>***</w:t>
      </w:r>
    </w:p>
    <w:p w14:paraId="4BA92192" w14:textId="77777777" w:rsidR="009665CE" w:rsidRPr="009665CE" w:rsidRDefault="009665CE" w:rsidP="009665CE">
      <w:pPr>
        <w:pStyle w:val="NoSpacing"/>
        <w:rPr>
          <w:rFonts w:ascii="Times New Roman" w:hAnsi="Times New Roman"/>
          <w:sz w:val="24"/>
          <w:szCs w:val="24"/>
        </w:rPr>
      </w:pPr>
    </w:p>
    <w:p w14:paraId="3279B1F6" w14:textId="77777777" w:rsidR="009665CE" w:rsidRPr="009665CE" w:rsidRDefault="009665CE" w:rsidP="009665CE">
      <w:pPr>
        <w:pStyle w:val="NoSpacing"/>
        <w:ind w:left="720"/>
        <w:rPr>
          <w:rFonts w:ascii="Times New Roman" w:hAnsi="Times New Roman"/>
          <w:sz w:val="24"/>
          <w:szCs w:val="24"/>
        </w:rPr>
      </w:pPr>
      <w:r w:rsidRPr="009665CE">
        <w:rPr>
          <w:rFonts w:ascii="Times New Roman" w:hAnsi="Times New Roman"/>
          <w:sz w:val="24"/>
          <w:szCs w:val="24"/>
        </w:rPr>
        <w:t xml:space="preserve">In January 2019, Kuhler requested (and PHI granted) leave under the Family and Medical Leave </w:t>
      </w:r>
      <w:proofErr w:type="gramStart"/>
      <w:r w:rsidRPr="009665CE">
        <w:rPr>
          <w:rFonts w:ascii="Times New Roman" w:hAnsi="Times New Roman"/>
          <w:sz w:val="24"/>
          <w:szCs w:val="24"/>
        </w:rPr>
        <w:t>Act (‘</w:t>
      </w:r>
      <w:proofErr w:type="gramEnd"/>
      <w:r w:rsidRPr="009665CE">
        <w:rPr>
          <w:rFonts w:ascii="Times New Roman" w:hAnsi="Times New Roman"/>
          <w:sz w:val="24"/>
          <w:szCs w:val="24"/>
        </w:rPr>
        <w:t xml:space="preserve">FMLA’) for an eye </w:t>
      </w:r>
      <w:proofErr w:type="gramStart"/>
      <w:r w:rsidRPr="009665CE">
        <w:rPr>
          <w:rFonts w:ascii="Times New Roman" w:hAnsi="Times New Roman"/>
          <w:sz w:val="24"/>
          <w:szCs w:val="24"/>
        </w:rPr>
        <w:t>condition,,,,</w:t>
      </w:r>
      <w:proofErr w:type="gramEnd"/>
      <w:r w:rsidRPr="009665CE">
        <w:rPr>
          <w:rFonts w:ascii="Times New Roman" w:hAnsi="Times New Roman"/>
          <w:sz w:val="24"/>
          <w:szCs w:val="24"/>
        </w:rPr>
        <w:t xml:space="preserve">  Specifically, Kuhler received treatment for optic neuritis. </w:t>
      </w:r>
      <w:r w:rsidRPr="009665CE">
        <w:rPr>
          <w:rFonts w:ascii="Times New Roman" w:hAnsi="Times New Roman"/>
          <w:i/>
          <w:iCs/>
          <w:sz w:val="24"/>
          <w:szCs w:val="24"/>
        </w:rPr>
        <w:t>Ibid.</w:t>
      </w:r>
      <w:r w:rsidRPr="009665CE">
        <w:rPr>
          <w:rFonts w:ascii="Times New Roman" w:hAnsi="Times New Roman"/>
          <w:sz w:val="24"/>
          <w:szCs w:val="24"/>
        </w:rPr>
        <w:t xml:space="preserve"> By the end of the month, Kuhler returned to work at ‘full-duty status….’ A few months later, in early October 2019, Kuhler informed his supervisor that he would need time off for an ear surgery….  The supervisor told Kuhler to contact PHI's occupational health nurse to discuss the leave associated with the surgery. </w:t>
      </w:r>
      <w:r w:rsidRPr="009665CE">
        <w:rPr>
          <w:rFonts w:ascii="Times New Roman" w:hAnsi="Times New Roman"/>
          <w:i/>
          <w:iCs/>
          <w:sz w:val="24"/>
          <w:szCs w:val="24"/>
        </w:rPr>
        <w:t>Ibid.</w:t>
      </w:r>
      <w:r w:rsidRPr="009665CE">
        <w:rPr>
          <w:rFonts w:ascii="Times New Roman" w:hAnsi="Times New Roman"/>
          <w:sz w:val="24"/>
          <w:szCs w:val="24"/>
        </w:rPr>
        <w:t xml:space="preserve"> Specifically, PHI needed more information to determine ‘the type’ of leave…. But, for one reason or another, Kuhler did not “contact” the occupational health nurse once the surgery was scheduled. Nor did he ‘submit any paperwork’ requesting time off for the surgery…  And this ear surgery is the only ‘accommodation’ at issue in this lawsuit.”</w:t>
      </w:r>
    </w:p>
    <w:p w14:paraId="01ACEEA2" w14:textId="77777777" w:rsidR="009665CE" w:rsidRPr="009665CE" w:rsidRDefault="009665CE" w:rsidP="009665CE">
      <w:pPr>
        <w:pStyle w:val="NoSpacing"/>
        <w:ind w:left="720"/>
        <w:rPr>
          <w:rFonts w:ascii="Times New Roman" w:hAnsi="Times New Roman"/>
          <w:sz w:val="24"/>
          <w:szCs w:val="24"/>
        </w:rPr>
      </w:pPr>
    </w:p>
    <w:p w14:paraId="5D17443A" w14:textId="77777777" w:rsidR="009665CE" w:rsidRPr="009665CE" w:rsidRDefault="009665CE" w:rsidP="009665CE">
      <w:pPr>
        <w:pStyle w:val="NoSpacing"/>
        <w:ind w:left="720"/>
        <w:rPr>
          <w:rFonts w:ascii="Times New Roman" w:hAnsi="Times New Roman"/>
          <w:sz w:val="24"/>
          <w:szCs w:val="24"/>
        </w:rPr>
      </w:pPr>
    </w:p>
    <w:p w14:paraId="60A14055" w14:textId="77777777" w:rsidR="009665CE" w:rsidRPr="009665CE" w:rsidRDefault="009665CE" w:rsidP="009665CE">
      <w:pPr>
        <w:pStyle w:val="NoSpacing"/>
        <w:rPr>
          <w:rFonts w:ascii="Times New Roman" w:hAnsi="Times New Roman"/>
          <w:b/>
          <w:bCs/>
          <w:sz w:val="24"/>
          <w:szCs w:val="24"/>
        </w:rPr>
      </w:pPr>
      <w:r w:rsidRPr="009665CE">
        <w:rPr>
          <w:rFonts w:ascii="Times New Roman" w:hAnsi="Times New Roman"/>
          <w:b/>
          <w:bCs/>
          <w:sz w:val="24"/>
          <w:szCs w:val="24"/>
        </w:rPr>
        <w:t xml:space="preserve">Legal Lesson Learned:  Follow your protocol on passing care of patient to others. </w:t>
      </w:r>
    </w:p>
    <w:p w14:paraId="265C020B" w14:textId="77777777" w:rsidR="009665CE" w:rsidRPr="009665CE" w:rsidRDefault="009665CE" w:rsidP="002B1283">
      <w:pPr>
        <w:rPr>
          <w:rFonts w:ascii="Times New Roman" w:hAnsi="Times New Roman"/>
          <w:b/>
          <w:bCs/>
          <w:sz w:val="24"/>
          <w:szCs w:val="24"/>
        </w:rPr>
      </w:pPr>
    </w:p>
    <w:p w14:paraId="290F318D" w14:textId="77777777" w:rsidR="009665CE" w:rsidRDefault="009665CE" w:rsidP="002B1283">
      <w:pPr>
        <w:rPr>
          <w:rFonts w:ascii="Arial Black" w:hAnsi="Arial Black"/>
          <w:b/>
          <w:bCs/>
          <w:sz w:val="28"/>
          <w:szCs w:val="28"/>
        </w:rPr>
      </w:pPr>
    </w:p>
    <w:p w14:paraId="529DB9AE" w14:textId="18023DF2" w:rsidR="00EC1348" w:rsidRDefault="00EC1348" w:rsidP="002B1283">
      <w:pPr>
        <w:rPr>
          <w:rFonts w:ascii="Arial Black" w:hAnsi="Arial Black"/>
          <w:b/>
          <w:bCs/>
          <w:sz w:val="28"/>
          <w:szCs w:val="28"/>
        </w:rPr>
      </w:pPr>
      <w:r>
        <w:rPr>
          <w:rFonts w:ascii="Arial Black" w:hAnsi="Arial Black"/>
          <w:b/>
          <w:bCs/>
          <w:sz w:val="28"/>
          <w:szCs w:val="28"/>
        </w:rPr>
        <w:t>13-192</w:t>
      </w:r>
    </w:p>
    <w:p w14:paraId="383F07A6" w14:textId="2FE5D792" w:rsidR="00915BCF" w:rsidRPr="002346D4" w:rsidRDefault="00915BCF" w:rsidP="00915BCF">
      <w:pPr>
        <w:pStyle w:val="NoSpacing"/>
        <w:rPr>
          <w:rFonts w:ascii="Aptos Black" w:hAnsi="Aptos Black"/>
          <w:sz w:val="28"/>
        </w:rPr>
      </w:pPr>
      <w:r>
        <w:rPr>
          <w:rFonts w:ascii="Arial Black" w:hAnsi="Arial Black"/>
          <w:sz w:val="28"/>
        </w:rPr>
        <w:t xml:space="preserve">OH: FAMILY CLAIMS PT FELL OFF COT – EMTs DENY – NO LIABLITY – NOT WILLFUL </w:t>
      </w:r>
      <w:r w:rsidR="003A037C">
        <w:rPr>
          <w:rFonts w:ascii="Arial Black" w:hAnsi="Arial Black"/>
          <w:sz w:val="28"/>
        </w:rPr>
        <w:t xml:space="preserve">OR </w:t>
      </w:r>
      <w:r>
        <w:rPr>
          <w:rFonts w:ascii="Arial Black" w:hAnsi="Arial Black"/>
          <w:sz w:val="28"/>
        </w:rPr>
        <w:t xml:space="preserve">WANTON MISCONDUCT </w:t>
      </w:r>
    </w:p>
    <w:p w14:paraId="0DE9691D" w14:textId="77777777" w:rsidR="006878FB" w:rsidRPr="006878FB" w:rsidRDefault="006878FB" w:rsidP="006878FB">
      <w:pPr>
        <w:pStyle w:val="NoSpacing"/>
        <w:rPr>
          <w:rFonts w:ascii="Times New Roman" w:hAnsi="Times New Roman"/>
          <w:sz w:val="24"/>
          <w:szCs w:val="24"/>
        </w:rPr>
      </w:pPr>
    </w:p>
    <w:p w14:paraId="4E723774" w14:textId="77777777" w:rsidR="006878FB" w:rsidRPr="006878FB" w:rsidRDefault="006878FB" w:rsidP="006878FB">
      <w:pPr>
        <w:pStyle w:val="NoSpacing"/>
        <w:rPr>
          <w:rFonts w:ascii="Times New Roman" w:hAnsi="Times New Roman"/>
          <w:sz w:val="24"/>
          <w:szCs w:val="24"/>
        </w:rPr>
      </w:pPr>
      <w:r w:rsidRPr="006878FB">
        <w:rPr>
          <w:rFonts w:ascii="Times New Roman" w:hAnsi="Times New Roman"/>
          <w:sz w:val="24"/>
          <w:szCs w:val="24"/>
        </w:rPr>
        <w:t xml:space="preserve">On Aug. 30, 2024, in </w:t>
      </w:r>
      <w:proofErr w:type="spellStart"/>
      <w:r w:rsidRPr="006878FB">
        <w:rPr>
          <w:rFonts w:ascii="Times New Roman" w:hAnsi="Times New Roman"/>
          <w:sz w:val="24"/>
          <w:szCs w:val="24"/>
          <w:u w:val="single"/>
        </w:rPr>
        <w:t>Carthagenia</w:t>
      </w:r>
      <w:proofErr w:type="spellEnd"/>
      <w:r w:rsidRPr="006878FB">
        <w:rPr>
          <w:rFonts w:ascii="Times New Roman" w:hAnsi="Times New Roman"/>
          <w:sz w:val="24"/>
          <w:szCs w:val="24"/>
          <w:u w:val="single"/>
        </w:rPr>
        <w:t xml:space="preserve"> Wyatt, as Administrator of the Estate of Deltina Graves v. City of Springfield, Ohio, et al.</w:t>
      </w:r>
      <w:r w:rsidRPr="006878FB">
        <w:rPr>
          <w:rFonts w:ascii="Times New Roman" w:hAnsi="Times New Roman"/>
          <w:sz w:val="24"/>
          <w:szCs w:val="24"/>
        </w:rPr>
        <w:t xml:space="preserve">, the Ohio Court of Appeals of Second District (Clark County) held (3 to 0) that trial court granted summary judgment to two EMTs and the City. Autopsy showed patient died of “acute atraumatic intracranial hemorrhage,” meaning that the hemorrhage was not caused by any head trauma.  The cot was equipped with two straps – one across the patient’s waist and one across legs [not third over shoulders].  A neighbor believed she saw the patient </w:t>
      </w:r>
      <w:proofErr w:type="gramStart"/>
      <w:r w:rsidRPr="006878FB">
        <w:rPr>
          <w:rFonts w:ascii="Times New Roman" w:hAnsi="Times New Roman"/>
          <w:sz w:val="24"/>
          <w:szCs w:val="24"/>
        </w:rPr>
        <w:t>dropped</w:t>
      </w:r>
      <w:proofErr w:type="gramEnd"/>
      <w:r w:rsidRPr="006878FB">
        <w:rPr>
          <w:rFonts w:ascii="Times New Roman" w:hAnsi="Times New Roman"/>
          <w:sz w:val="24"/>
          <w:szCs w:val="24"/>
        </w:rPr>
        <w:t xml:space="preserve"> on her head.  The Court wrote: “We see nothing from which a trier of fact reasonably could have concluded that Kaufman or Scanlan acted recklessly. The appellants complain about Graves not being strapped above the waist, but nothing in the record suggests the availability of additional straps. We note too that the EMTs provided uncontroverted testimony about the cot’s partial side rails being up. </w:t>
      </w:r>
      <w:proofErr w:type="gramStart"/>
      <w:r w:rsidRPr="006878FB">
        <w:rPr>
          <w:rFonts w:ascii="Times New Roman" w:hAnsi="Times New Roman"/>
          <w:sz w:val="24"/>
          <w:szCs w:val="24"/>
        </w:rPr>
        <w:t>he</w:t>
      </w:r>
      <w:proofErr w:type="gramEnd"/>
      <w:r w:rsidRPr="006878FB">
        <w:rPr>
          <w:rFonts w:ascii="Times New Roman" w:hAnsi="Times New Roman"/>
          <w:sz w:val="24"/>
          <w:szCs w:val="24"/>
        </w:rPr>
        <w:t xml:space="preserve"> appellants also complain about the EMTs not mentioning Graves’ fall to the emergency-room physician after the fact. But the physician, Dr. Guest, promptly had been made aware of the allegation by Graves’ mother. At most, the record suggests that Kaufman and Scanlan were inattentive when Graves unexpectedly slid from her </w:t>
      </w:r>
      <w:proofErr w:type="gramStart"/>
      <w:r w:rsidRPr="006878FB">
        <w:rPr>
          <w:rFonts w:ascii="Times New Roman" w:hAnsi="Times New Roman"/>
          <w:sz w:val="24"/>
          <w:szCs w:val="24"/>
        </w:rPr>
        <w:t>cot</w:t>
      </w:r>
      <w:proofErr w:type="gramEnd"/>
      <w:r w:rsidRPr="006878FB">
        <w:rPr>
          <w:rFonts w:ascii="Times New Roman" w:hAnsi="Times New Roman"/>
          <w:sz w:val="24"/>
          <w:szCs w:val="24"/>
        </w:rPr>
        <w:t xml:space="preserve">. As a matter of law, this conduct could not have constituted more than negligence.” </w:t>
      </w:r>
      <w:hyperlink r:id="rId2062" w:history="1">
        <w:r w:rsidRPr="006878FB">
          <w:rPr>
            <w:rStyle w:val="Hyperlink"/>
            <w:rFonts w:ascii="Times New Roman" w:hAnsi="Times New Roman"/>
            <w:sz w:val="24"/>
            <w:szCs w:val="24"/>
          </w:rPr>
          <w:t>https://cases.justia.com/ohio/second-district-court-of-appeals/2024-2024-ca-3-0.pdf?ts=1725029311</w:t>
        </w:r>
      </w:hyperlink>
      <w:r w:rsidRPr="006878FB">
        <w:rPr>
          <w:rFonts w:ascii="Times New Roman" w:hAnsi="Times New Roman"/>
          <w:sz w:val="24"/>
          <w:szCs w:val="24"/>
        </w:rPr>
        <w:t xml:space="preserve"> </w:t>
      </w:r>
    </w:p>
    <w:p w14:paraId="0EC646A5" w14:textId="77777777" w:rsidR="006878FB" w:rsidRPr="006878FB" w:rsidRDefault="006878FB" w:rsidP="006878FB">
      <w:pPr>
        <w:pStyle w:val="NoSpacing"/>
        <w:rPr>
          <w:rFonts w:ascii="Times New Roman" w:hAnsi="Times New Roman"/>
          <w:sz w:val="24"/>
          <w:szCs w:val="24"/>
        </w:rPr>
      </w:pPr>
    </w:p>
    <w:p w14:paraId="6790D1D3" w14:textId="77777777" w:rsidR="006878FB" w:rsidRPr="006878FB" w:rsidRDefault="006878FB" w:rsidP="006878FB">
      <w:pPr>
        <w:pStyle w:val="NoSpacing"/>
        <w:rPr>
          <w:rFonts w:ascii="Times New Roman" w:hAnsi="Times New Roman"/>
          <w:sz w:val="24"/>
          <w:szCs w:val="24"/>
        </w:rPr>
      </w:pPr>
      <w:r w:rsidRPr="006878FB">
        <w:rPr>
          <w:rFonts w:ascii="Times New Roman" w:hAnsi="Times New Roman"/>
          <w:sz w:val="24"/>
          <w:szCs w:val="24"/>
        </w:rPr>
        <w:t>THE COURT HELD:</w:t>
      </w:r>
    </w:p>
    <w:p w14:paraId="39CE7A19" w14:textId="77777777" w:rsidR="006878FB" w:rsidRPr="006878FB" w:rsidRDefault="006878FB" w:rsidP="006878FB">
      <w:pPr>
        <w:pStyle w:val="NoSpacing"/>
        <w:ind w:left="720"/>
        <w:rPr>
          <w:rFonts w:ascii="Times New Roman" w:hAnsi="Times New Roman"/>
          <w:sz w:val="24"/>
          <w:szCs w:val="24"/>
        </w:rPr>
      </w:pPr>
      <w:r w:rsidRPr="006878FB">
        <w:rPr>
          <w:rFonts w:ascii="Times New Roman" w:hAnsi="Times New Roman"/>
          <w:sz w:val="24"/>
          <w:szCs w:val="24"/>
        </w:rPr>
        <w:t>“With regard to the EMTs, the trial court correctly looked to R.C. 4765.49(A), which provides: ‘A first responder, emergency medical technician-basic, emergency medical technician-intermediate, or emergency medical technician-paramedic is not liable in damages in a civil action for injury, death, or loss to person or property resulting from the individual’s administration of emergency medical services, unless the services are administered in a manner that constitutes willful or wanton misconduct.’</w:t>
      </w:r>
    </w:p>
    <w:p w14:paraId="47405BE6" w14:textId="77777777" w:rsidR="009E033B" w:rsidRDefault="009E033B" w:rsidP="006878FB">
      <w:pPr>
        <w:pStyle w:val="NoSpacing"/>
        <w:rPr>
          <w:rFonts w:ascii="Times New Roman" w:hAnsi="Times New Roman"/>
          <w:b/>
          <w:bCs/>
          <w:sz w:val="24"/>
          <w:szCs w:val="24"/>
        </w:rPr>
      </w:pPr>
    </w:p>
    <w:p w14:paraId="6EE8EFB1" w14:textId="3F7D5C07" w:rsidR="006878FB" w:rsidRPr="006878FB" w:rsidRDefault="006878FB" w:rsidP="006878FB">
      <w:pPr>
        <w:pStyle w:val="NoSpacing"/>
        <w:rPr>
          <w:rFonts w:ascii="Times New Roman" w:hAnsi="Times New Roman"/>
          <w:b/>
          <w:bCs/>
          <w:sz w:val="24"/>
          <w:szCs w:val="24"/>
        </w:rPr>
      </w:pPr>
      <w:r w:rsidRPr="006878FB">
        <w:rPr>
          <w:rFonts w:ascii="Times New Roman" w:hAnsi="Times New Roman"/>
          <w:b/>
          <w:bCs/>
          <w:sz w:val="24"/>
          <w:szCs w:val="24"/>
        </w:rPr>
        <w:t xml:space="preserve">Legal Lesson Learned: Securely strap the patient to the cot; if there is partial slippage off the cot, document it in the EMS run report. </w:t>
      </w:r>
    </w:p>
    <w:p w14:paraId="23445648" w14:textId="77777777" w:rsidR="00EC1348" w:rsidRDefault="00EC1348" w:rsidP="002B1283">
      <w:pPr>
        <w:rPr>
          <w:rFonts w:ascii="Arial Black" w:hAnsi="Arial Black"/>
          <w:b/>
          <w:bCs/>
          <w:sz w:val="28"/>
          <w:szCs w:val="28"/>
        </w:rPr>
      </w:pPr>
    </w:p>
    <w:p w14:paraId="1542249B" w14:textId="77777777" w:rsidR="00EC1348" w:rsidRDefault="00EC1348" w:rsidP="002B1283">
      <w:pPr>
        <w:rPr>
          <w:rFonts w:ascii="Arial Black" w:hAnsi="Arial Black"/>
          <w:b/>
          <w:bCs/>
          <w:sz w:val="28"/>
          <w:szCs w:val="28"/>
        </w:rPr>
      </w:pPr>
    </w:p>
    <w:p w14:paraId="732F86AC" w14:textId="07E91E75" w:rsidR="00AC1F80" w:rsidRDefault="00AC1F80" w:rsidP="002B1283">
      <w:pPr>
        <w:rPr>
          <w:rFonts w:ascii="Arial Black" w:hAnsi="Arial Black"/>
          <w:b/>
          <w:bCs/>
          <w:sz w:val="28"/>
          <w:szCs w:val="28"/>
        </w:rPr>
      </w:pPr>
      <w:r>
        <w:rPr>
          <w:rFonts w:ascii="Arial Black" w:hAnsi="Arial Black"/>
          <w:b/>
          <w:bCs/>
          <w:sz w:val="28"/>
          <w:szCs w:val="28"/>
        </w:rPr>
        <w:t>13-191</w:t>
      </w:r>
    </w:p>
    <w:p w14:paraId="2707F131" w14:textId="435F5D57" w:rsidR="00EC1348" w:rsidRPr="00954F7D" w:rsidRDefault="00EC1348" w:rsidP="00EC1348">
      <w:pPr>
        <w:pStyle w:val="NoSpacing"/>
        <w:rPr>
          <w:rFonts w:ascii="Aptos Black" w:hAnsi="Aptos Black"/>
          <w:sz w:val="28"/>
        </w:rPr>
      </w:pPr>
      <w:r>
        <w:rPr>
          <w:rFonts w:ascii="Arial Black" w:hAnsi="Arial Black"/>
          <w:sz w:val="28"/>
        </w:rPr>
        <w:t xml:space="preserve">MO: </w:t>
      </w:r>
      <w:r w:rsidR="008C18A2">
        <w:rPr>
          <w:rFonts w:ascii="Arial Black" w:hAnsi="Arial Black"/>
          <w:sz w:val="28"/>
        </w:rPr>
        <w:t xml:space="preserve">CRIMINAL IMMUNITY </w:t>
      </w:r>
      <w:r>
        <w:rPr>
          <w:rFonts w:ascii="Arial Black" w:hAnsi="Arial Black"/>
          <w:sz w:val="28"/>
        </w:rPr>
        <w:t xml:space="preserve">LAW NOT APPLY – PT REFUSED MEDICAL CARE – CONSENTED PD SEARCH </w:t>
      </w:r>
      <w:r w:rsidR="00F642D1">
        <w:rPr>
          <w:rFonts w:ascii="Arial Black" w:hAnsi="Arial Black"/>
          <w:sz w:val="28"/>
        </w:rPr>
        <w:t>–</w:t>
      </w:r>
      <w:r>
        <w:rPr>
          <w:rFonts w:ascii="Arial Black" w:hAnsi="Arial Black"/>
          <w:sz w:val="28"/>
        </w:rPr>
        <w:t xml:space="preserve"> </w:t>
      </w:r>
      <w:r w:rsidR="00F642D1">
        <w:rPr>
          <w:rFonts w:ascii="Arial Black" w:hAnsi="Arial Black"/>
          <w:sz w:val="28"/>
        </w:rPr>
        <w:t xml:space="preserve">MAY BE CHARGED </w:t>
      </w:r>
      <w:r>
        <w:rPr>
          <w:rFonts w:ascii="Arial Black" w:hAnsi="Arial Black"/>
          <w:sz w:val="28"/>
        </w:rPr>
        <w:t>DRUGS</w:t>
      </w:r>
    </w:p>
    <w:p w14:paraId="76BCBA37" w14:textId="77777777" w:rsidR="00EC1348" w:rsidRDefault="00EC1348" w:rsidP="00EC1348">
      <w:pPr>
        <w:pStyle w:val="NoSpacing"/>
      </w:pPr>
    </w:p>
    <w:p w14:paraId="4140D2E1" w14:textId="77777777" w:rsidR="00EC1348" w:rsidRPr="00EC1348" w:rsidRDefault="00EC1348" w:rsidP="00EC1348">
      <w:pPr>
        <w:pStyle w:val="NoSpacing"/>
        <w:rPr>
          <w:rFonts w:ascii="Times New Roman" w:hAnsi="Times New Roman"/>
          <w:sz w:val="24"/>
          <w:szCs w:val="24"/>
        </w:rPr>
      </w:pPr>
      <w:r w:rsidRPr="00EC1348">
        <w:rPr>
          <w:rFonts w:ascii="Times New Roman" w:hAnsi="Times New Roman"/>
          <w:sz w:val="24"/>
          <w:szCs w:val="24"/>
        </w:rPr>
        <w:t xml:space="preserve">On August 28, 2024, in </w:t>
      </w:r>
      <w:r w:rsidRPr="00EC1348">
        <w:rPr>
          <w:rFonts w:ascii="Times New Roman" w:hAnsi="Times New Roman"/>
          <w:sz w:val="24"/>
          <w:szCs w:val="24"/>
          <w:u w:val="single"/>
        </w:rPr>
        <w:t>State of Missouri v. Timothy Louis Smith</w:t>
      </w:r>
      <w:r w:rsidRPr="00EC1348">
        <w:rPr>
          <w:rFonts w:ascii="Times New Roman" w:hAnsi="Times New Roman"/>
          <w:sz w:val="24"/>
          <w:szCs w:val="24"/>
        </w:rPr>
        <w:t xml:space="preserve">, the Missouri Court of Appeals, Southern District, held (3 to 0) that trial court properly denied his motion to suppress the evidence and found him guilty of possession of plastic bag with white residue and a syringe cap with methamphetamine. The Court wrote: “Smith appeals his convictions in a single point, arguing the trial court erred in denying his motion to dismiss because section 195.205 applied since the evidence would not have been discovered but for his call for medical assistance. Smith's argument ignores the plain language of the statute. Because the plain language of the statute requires the evidence </w:t>
      </w:r>
      <w:proofErr w:type="gramStart"/>
      <w:r w:rsidRPr="00EC1348">
        <w:rPr>
          <w:rFonts w:ascii="Times New Roman" w:hAnsi="Times New Roman"/>
          <w:sz w:val="24"/>
          <w:szCs w:val="24"/>
        </w:rPr>
        <w:t>be</w:t>
      </w:r>
      <w:proofErr w:type="gramEnd"/>
      <w:r w:rsidRPr="00EC1348">
        <w:rPr>
          <w:rFonts w:ascii="Times New Roman" w:hAnsi="Times New Roman"/>
          <w:sz w:val="24"/>
          <w:szCs w:val="24"/>
        </w:rPr>
        <w:t xml:space="preserve"> gained </w:t>
      </w:r>
      <w:proofErr w:type="gramStart"/>
      <w:r w:rsidRPr="00EC1348">
        <w:rPr>
          <w:rFonts w:ascii="Times New Roman" w:hAnsi="Times New Roman"/>
          <w:sz w:val="24"/>
          <w:szCs w:val="24"/>
        </w:rPr>
        <w:t>as a result of</w:t>
      </w:r>
      <w:proofErr w:type="gramEnd"/>
      <w:r w:rsidRPr="00EC1348">
        <w:rPr>
          <w:rFonts w:ascii="Times New Roman" w:hAnsi="Times New Roman"/>
          <w:sz w:val="24"/>
          <w:szCs w:val="24"/>
        </w:rPr>
        <w:t xml:space="preserve"> seeking or obtaining medical assistance, it does not apply where there is a break in the causal chain between the request for medical assistance and the discovery of the evidence. In Smith's case, the evidence was found </w:t>
      </w:r>
      <w:proofErr w:type="gramStart"/>
      <w:r w:rsidRPr="00EC1348">
        <w:rPr>
          <w:rFonts w:ascii="Times New Roman" w:hAnsi="Times New Roman"/>
          <w:sz w:val="24"/>
          <w:szCs w:val="24"/>
        </w:rPr>
        <w:t>as a result of</w:t>
      </w:r>
      <w:proofErr w:type="gramEnd"/>
      <w:r w:rsidRPr="00EC1348">
        <w:rPr>
          <w:rFonts w:ascii="Times New Roman" w:hAnsi="Times New Roman"/>
          <w:sz w:val="24"/>
          <w:szCs w:val="24"/>
        </w:rPr>
        <w:t xml:space="preserve"> his consent to a search, not because he called for medical assistance.” </w:t>
      </w:r>
      <w:hyperlink r:id="rId2063" w:history="1">
        <w:r w:rsidRPr="00EC1348">
          <w:rPr>
            <w:rStyle w:val="Hyperlink"/>
            <w:rFonts w:ascii="Times New Roman" w:hAnsi="Times New Roman"/>
            <w:sz w:val="24"/>
            <w:szCs w:val="24"/>
          </w:rPr>
          <w:t>https://cases.justia.com/missouri/court-of-appeals/2024-sd38313.pdf?ts=1724895006</w:t>
        </w:r>
      </w:hyperlink>
      <w:r w:rsidRPr="00EC1348">
        <w:rPr>
          <w:rFonts w:ascii="Times New Roman" w:hAnsi="Times New Roman"/>
          <w:sz w:val="24"/>
          <w:szCs w:val="24"/>
        </w:rPr>
        <w:t xml:space="preserve"> </w:t>
      </w:r>
    </w:p>
    <w:p w14:paraId="6EE6E82A" w14:textId="77777777" w:rsidR="00EC1348" w:rsidRPr="00EC1348" w:rsidRDefault="00EC1348" w:rsidP="00EC1348">
      <w:pPr>
        <w:pStyle w:val="NoSpacing"/>
        <w:rPr>
          <w:rFonts w:ascii="Times New Roman" w:hAnsi="Times New Roman"/>
          <w:sz w:val="24"/>
          <w:szCs w:val="24"/>
        </w:rPr>
      </w:pPr>
    </w:p>
    <w:p w14:paraId="2B6578B6" w14:textId="77777777" w:rsidR="00EC1348" w:rsidRPr="00EC1348" w:rsidRDefault="00EC1348" w:rsidP="00EC1348">
      <w:pPr>
        <w:pStyle w:val="NoSpacing"/>
        <w:rPr>
          <w:rFonts w:ascii="Times New Roman" w:hAnsi="Times New Roman"/>
          <w:sz w:val="24"/>
          <w:szCs w:val="24"/>
        </w:rPr>
      </w:pPr>
      <w:r w:rsidRPr="00EC1348">
        <w:rPr>
          <w:rFonts w:ascii="Times New Roman" w:hAnsi="Times New Roman"/>
          <w:sz w:val="24"/>
          <w:szCs w:val="24"/>
        </w:rPr>
        <w:t>THE COURT HELD:</w:t>
      </w:r>
    </w:p>
    <w:p w14:paraId="6ED4B5DB" w14:textId="77777777" w:rsidR="00EC1348" w:rsidRPr="00EC1348" w:rsidRDefault="00EC1348" w:rsidP="00EC1348">
      <w:pPr>
        <w:pStyle w:val="NoSpacing"/>
        <w:rPr>
          <w:rFonts w:ascii="Times New Roman" w:hAnsi="Times New Roman"/>
          <w:sz w:val="24"/>
          <w:szCs w:val="24"/>
        </w:rPr>
      </w:pPr>
    </w:p>
    <w:p w14:paraId="7151874B"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“In Smith's case, the evidence was found not because Smith called for</w:t>
      </w:r>
    </w:p>
    <w:p w14:paraId="5FC04872"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medical assistance but because he consented to a search after asking the officer</w:t>
      </w:r>
    </w:p>
    <w:p w14:paraId="6EA83586"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for a ride. Applying section 195.205 to Smith's case would not further the</w:t>
      </w:r>
    </w:p>
    <w:p w14:paraId="461A360A"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purpose of the statute since, by the time the evidence was discovered, he was no</w:t>
      </w:r>
    </w:p>
    <w:p w14:paraId="7697E7E2"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longer in need of medical assistance or seeking medical assistance. The trial</w:t>
      </w:r>
    </w:p>
    <w:p w14:paraId="3CA7C987"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 xml:space="preserve">court did not err in denying Smith's motion to dismiss and </w:t>
      </w:r>
      <w:proofErr w:type="gramStart"/>
      <w:r w:rsidRPr="00EC1348">
        <w:rPr>
          <w:rFonts w:ascii="Times New Roman" w:hAnsi="Times New Roman"/>
          <w:sz w:val="24"/>
          <w:szCs w:val="24"/>
        </w:rPr>
        <w:t>entering</w:t>
      </w:r>
      <w:proofErr w:type="gramEnd"/>
      <w:r w:rsidRPr="00EC1348">
        <w:rPr>
          <w:rFonts w:ascii="Times New Roman" w:hAnsi="Times New Roman"/>
          <w:sz w:val="24"/>
          <w:szCs w:val="24"/>
        </w:rPr>
        <w:t xml:space="preserve"> a judgment</w:t>
      </w:r>
    </w:p>
    <w:p w14:paraId="0BEB26C6" w14:textId="77777777" w:rsidR="00EC1348" w:rsidRPr="00EC1348" w:rsidRDefault="00EC1348" w:rsidP="00EC1348">
      <w:pPr>
        <w:pStyle w:val="NoSpacing"/>
        <w:ind w:firstLine="720"/>
        <w:rPr>
          <w:rFonts w:ascii="Times New Roman" w:hAnsi="Times New Roman"/>
          <w:sz w:val="24"/>
          <w:szCs w:val="24"/>
        </w:rPr>
      </w:pPr>
      <w:r w:rsidRPr="00EC1348">
        <w:rPr>
          <w:rFonts w:ascii="Times New Roman" w:hAnsi="Times New Roman"/>
          <w:sz w:val="24"/>
          <w:szCs w:val="24"/>
        </w:rPr>
        <w:t>of conviction. Smith's point is denied.”</w:t>
      </w:r>
    </w:p>
    <w:p w14:paraId="43286F58" w14:textId="77777777" w:rsidR="00EC1348" w:rsidRPr="00EC1348" w:rsidRDefault="00EC1348" w:rsidP="00EC1348">
      <w:pPr>
        <w:pStyle w:val="NoSpacing"/>
        <w:ind w:left="720"/>
        <w:rPr>
          <w:rFonts w:ascii="Times New Roman" w:hAnsi="Times New Roman"/>
          <w:sz w:val="24"/>
          <w:szCs w:val="24"/>
        </w:rPr>
      </w:pPr>
    </w:p>
    <w:p w14:paraId="01445C83" w14:textId="77777777" w:rsidR="00EC1348" w:rsidRPr="00EC1348" w:rsidRDefault="00EC1348" w:rsidP="00EC1348">
      <w:pPr>
        <w:pStyle w:val="NoSpacing"/>
        <w:rPr>
          <w:rFonts w:ascii="Times New Roman" w:hAnsi="Times New Roman"/>
          <w:b/>
          <w:bCs/>
          <w:sz w:val="24"/>
          <w:szCs w:val="24"/>
        </w:rPr>
      </w:pPr>
      <w:r w:rsidRPr="00EC1348">
        <w:rPr>
          <w:rFonts w:ascii="Times New Roman" w:hAnsi="Times New Roman"/>
          <w:b/>
          <w:bCs/>
          <w:sz w:val="24"/>
          <w:szCs w:val="24"/>
        </w:rPr>
        <w:t xml:space="preserve">Legal Lesson Learned: The Good Samaritan Law only protects individuals receiving medical care, not those stupidly asking PD for a ride while in possession of drugs. </w:t>
      </w:r>
    </w:p>
    <w:p w14:paraId="369DC364" w14:textId="77777777" w:rsidR="00EC1348" w:rsidRPr="00EC1348" w:rsidRDefault="00EC1348" w:rsidP="00EC1348">
      <w:pPr>
        <w:pStyle w:val="NoSpacing"/>
        <w:rPr>
          <w:rFonts w:ascii="Times New Roman" w:hAnsi="Times New Roman"/>
          <w:sz w:val="24"/>
          <w:szCs w:val="24"/>
        </w:rPr>
      </w:pPr>
    </w:p>
    <w:p w14:paraId="5D5D96D7" w14:textId="77777777" w:rsidR="00EC1348" w:rsidRPr="00EC1348" w:rsidRDefault="00EC1348" w:rsidP="00EC1348">
      <w:pPr>
        <w:ind w:left="720"/>
        <w:rPr>
          <w:rFonts w:ascii="Times New Roman" w:hAnsi="Times New Roman"/>
          <w:sz w:val="24"/>
          <w:szCs w:val="24"/>
        </w:rPr>
      </w:pPr>
      <w:r w:rsidRPr="00EC1348">
        <w:rPr>
          <w:rFonts w:ascii="Times New Roman" w:hAnsi="Times New Roman"/>
          <w:sz w:val="24"/>
          <w:szCs w:val="24"/>
        </w:rPr>
        <w:t xml:space="preserve">Note: See “Missouri’s Good Samaritan Law and Drug Charges” </w:t>
      </w:r>
      <w:hyperlink r:id="rId2064" w:history="1">
        <w:r w:rsidRPr="00EC1348">
          <w:rPr>
            <w:rStyle w:val="Hyperlink"/>
            <w:rFonts w:ascii="Times New Roman" w:hAnsi="Times New Roman"/>
            <w:sz w:val="24"/>
            <w:szCs w:val="24"/>
          </w:rPr>
          <w:t>https://stlouiscriminaldefense.com/missouri-good-samaritan-law/</w:t>
        </w:r>
      </w:hyperlink>
      <w:r w:rsidRPr="00EC1348">
        <w:rPr>
          <w:rFonts w:ascii="Times New Roman" w:hAnsi="Times New Roman"/>
          <w:sz w:val="24"/>
          <w:szCs w:val="24"/>
        </w:rPr>
        <w:t xml:space="preserve"> </w:t>
      </w:r>
    </w:p>
    <w:p w14:paraId="6A708E4B" w14:textId="77777777" w:rsidR="00EC1348" w:rsidRPr="00EC1348" w:rsidRDefault="00EC1348" w:rsidP="00EC1348">
      <w:pPr>
        <w:ind w:left="720"/>
        <w:rPr>
          <w:rFonts w:ascii="Times New Roman" w:hAnsi="Times New Roman"/>
          <w:sz w:val="24"/>
          <w:szCs w:val="24"/>
        </w:rPr>
      </w:pPr>
      <w:r w:rsidRPr="00EC1348">
        <w:rPr>
          <w:rFonts w:ascii="Times New Roman" w:hAnsi="Times New Roman"/>
          <w:sz w:val="24"/>
          <w:szCs w:val="24"/>
        </w:rPr>
        <w:t xml:space="preserve">“In 2017, the Missouri Legislature passed </w:t>
      </w:r>
      <w:hyperlink r:id="rId2065" w:tgtFrame="_blank" w:history="1">
        <w:proofErr w:type="spellStart"/>
        <w:r w:rsidRPr="00EC1348">
          <w:rPr>
            <w:rStyle w:val="Hyperlink"/>
            <w:rFonts w:ascii="Times New Roman" w:hAnsi="Times New Roman"/>
            <w:sz w:val="24"/>
            <w:szCs w:val="24"/>
          </w:rPr>
          <w:t>RSMo</w:t>
        </w:r>
        <w:proofErr w:type="spellEnd"/>
        <w:r w:rsidRPr="00EC1348">
          <w:rPr>
            <w:rStyle w:val="Hyperlink"/>
            <w:rFonts w:ascii="Times New Roman" w:hAnsi="Times New Roman"/>
            <w:sz w:val="24"/>
            <w:szCs w:val="24"/>
          </w:rPr>
          <w:t xml:space="preserve"> Section 195.205</w:t>
        </w:r>
      </w:hyperlink>
      <w:r w:rsidRPr="00EC1348">
        <w:rPr>
          <w:rFonts w:ascii="Times New Roman" w:hAnsi="Times New Roman"/>
          <w:sz w:val="24"/>
          <w:szCs w:val="24"/>
        </w:rPr>
        <w:t xml:space="preserve">,  the ” Missouri’s Good Samaritan Law” to provide immunity to those seeking assistance with a drug overdose or medical emergency. The rationale behind the law is that drug users might avoid seeking help for a drug overdose because they feared prosecution. The law has </w:t>
      </w:r>
      <w:proofErr w:type="spellStart"/>
      <w:r w:rsidRPr="00EC1348">
        <w:rPr>
          <w:rFonts w:ascii="Times New Roman" w:hAnsi="Times New Roman"/>
          <w:sz w:val="24"/>
          <w:szCs w:val="24"/>
        </w:rPr>
        <w:t>undoubetedly</w:t>
      </w:r>
      <w:proofErr w:type="spellEnd"/>
      <w:r w:rsidRPr="00EC1348">
        <w:rPr>
          <w:rFonts w:ascii="Times New Roman" w:hAnsi="Times New Roman"/>
          <w:sz w:val="24"/>
          <w:szCs w:val="24"/>
        </w:rPr>
        <w:t xml:space="preserve"> saved </w:t>
      </w:r>
      <w:proofErr w:type="gramStart"/>
      <w:r w:rsidRPr="00EC1348">
        <w:rPr>
          <w:rFonts w:ascii="Times New Roman" w:hAnsi="Times New Roman"/>
          <w:sz w:val="24"/>
          <w:szCs w:val="24"/>
        </w:rPr>
        <w:t>a number of</w:t>
      </w:r>
      <w:proofErr w:type="gramEnd"/>
      <w:r w:rsidRPr="00EC1348">
        <w:rPr>
          <w:rFonts w:ascii="Times New Roman" w:hAnsi="Times New Roman"/>
          <w:sz w:val="24"/>
          <w:szCs w:val="24"/>
        </w:rPr>
        <w:t xml:space="preserve"> lives and provides a complete defense to a possession charge. Our </w:t>
      </w:r>
      <w:hyperlink r:id="rId2066" w:history="1">
        <w:r w:rsidRPr="00EC1348">
          <w:rPr>
            <w:rStyle w:val="Hyperlink"/>
            <w:rFonts w:ascii="Times New Roman" w:hAnsi="Times New Roman"/>
            <w:sz w:val="24"/>
            <w:szCs w:val="24"/>
          </w:rPr>
          <w:t>St. Louis Criminal Defense lawyer</w:t>
        </w:r>
      </w:hyperlink>
      <w:r w:rsidRPr="00EC1348">
        <w:rPr>
          <w:rFonts w:ascii="Times New Roman" w:hAnsi="Times New Roman"/>
          <w:sz w:val="24"/>
          <w:szCs w:val="24"/>
        </w:rPr>
        <w:t xml:space="preserve"> has used the good </w:t>
      </w:r>
      <w:proofErr w:type="spellStart"/>
      <w:r w:rsidRPr="00EC1348">
        <w:rPr>
          <w:rFonts w:ascii="Times New Roman" w:hAnsi="Times New Roman"/>
          <w:sz w:val="24"/>
          <w:szCs w:val="24"/>
        </w:rPr>
        <w:t>samaritan</w:t>
      </w:r>
      <w:proofErr w:type="spellEnd"/>
      <w:r w:rsidRPr="00EC1348">
        <w:rPr>
          <w:rFonts w:ascii="Times New Roman" w:hAnsi="Times New Roman"/>
          <w:sz w:val="24"/>
          <w:szCs w:val="24"/>
        </w:rPr>
        <w:t xml:space="preserve"> law to obtain complete dismissals on </w:t>
      </w:r>
      <w:proofErr w:type="gramStart"/>
      <w:r w:rsidRPr="00EC1348">
        <w:rPr>
          <w:rFonts w:ascii="Times New Roman" w:hAnsi="Times New Roman"/>
          <w:sz w:val="24"/>
          <w:szCs w:val="24"/>
        </w:rPr>
        <w:t>a number of</w:t>
      </w:r>
      <w:proofErr w:type="gramEnd"/>
      <w:r w:rsidRPr="00EC1348">
        <w:rPr>
          <w:rFonts w:ascii="Times New Roman" w:hAnsi="Times New Roman"/>
          <w:sz w:val="24"/>
          <w:szCs w:val="24"/>
        </w:rPr>
        <w:t xml:space="preserve"> </w:t>
      </w:r>
      <w:hyperlink r:id="rId2067" w:anchor=":~:text=The%20offense%20of%20possession%20of%20any%20controlled%20substance%20except%20thirty,4." w:tgtFrame="_blank" w:history="1">
        <w:r w:rsidRPr="00EC1348">
          <w:rPr>
            <w:rStyle w:val="Hyperlink"/>
            <w:rFonts w:ascii="Times New Roman" w:hAnsi="Times New Roman"/>
            <w:sz w:val="24"/>
            <w:szCs w:val="24"/>
          </w:rPr>
          <w:t>drug possession cases</w:t>
        </w:r>
      </w:hyperlink>
      <w:r w:rsidRPr="00EC1348">
        <w:rPr>
          <w:rFonts w:ascii="Times New Roman" w:hAnsi="Times New Roman"/>
          <w:sz w:val="24"/>
          <w:szCs w:val="24"/>
        </w:rPr>
        <w:t xml:space="preserve">. If you or a loved one </w:t>
      </w:r>
      <w:proofErr w:type="gramStart"/>
      <w:r w:rsidRPr="00EC1348">
        <w:rPr>
          <w:rFonts w:ascii="Times New Roman" w:hAnsi="Times New Roman"/>
          <w:sz w:val="24"/>
          <w:szCs w:val="24"/>
        </w:rPr>
        <w:t>have</w:t>
      </w:r>
      <w:proofErr w:type="gramEnd"/>
      <w:r w:rsidRPr="00EC1348">
        <w:rPr>
          <w:rFonts w:ascii="Times New Roman" w:hAnsi="Times New Roman"/>
          <w:sz w:val="24"/>
          <w:szCs w:val="24"/>
        </w:rPr>
        <w:t xml:space="preserve"> questions about </w:t>
      </w:r>
      <w:proofErr w:type="gramStart"/>
      <w:r w:rsidRPr="00EC1348">
        <w:rPr>
          <w:rFonts w:ascii="Times New Roman" w:hAnsi="Times New Roman"/>
          <w:sz w:val="24"/>
          <w:szCs w:val="24"/>
        </w:rPr>
        <w:t>whether or not</w:t>
      </w:r>
      <w:proofErr w:type="gramEnd"/>
      <w:r w:rsidRPr="00EC1348">
        <w:rPr>
          <w:rFonts w:ascii="Times New Roman" w:hAnsi="Times New Roman"/>
          <w:sz w:val="24"/>
          <w:szCs w:val="24"/>
        </w:rPr>
        <w:t xml:space="preserve"> the Good Samaritan Law applies to your case, please do not hesitate to contact our St. Louis criminal defense attorney today for a free case evaluation.</w:t>
      </w:r>
    </w:p>
    <w:p w14:paraId="7B0FCB6E" w14:textId="77777777" w:rsidR="00EC1348" w:rsidRPr="00EC1348" w:rsidRDefault="00EC1348" w:rsidP="00EC1348">
      <w:pPr>
        <w:ind w:firstLine="720"/>
        <w:rPr>
          <w:rFonts w:ascii="Times New Roman" w:hAnsi="Times New Roman"/>
          <w:sz w:val="24"/>
          <w:szCs w:val="24"/>
        </w:rPr>
      </w:pPr>
      <w:r w:rsidRPr="00EC1348">
        <w:rPr>
          <w:rFonts w:ascii="Times New Roman" w:hAnsi="Times New Roman"/>
          <w:sz w:val="24"/>
          <w:szCs w:val="24"/>
        </w:rPr>
        <w:t>When does the Good Samaritan Law apply?</w:t>
      </w:r>
    </w:p>
    <w:p w14:paraId="27FC224A" w14:textId="77777777" w:rsidR="00EC1348" w:rsidRPr="00EC1348" w:rsidRDefault="00EC1348" w:rsidP="00EC1348">
      <w:pPr>
        <w:ind w:left="720"/>
        <w:rPr>
          <w:rFonts w:ascii="Times New Roman" w:hAnsi="Times New Roman"/>
          <w:sz w:val="24"/>
          <w:szCs w:val="24"/>
        </w:rPr>
      </w:pPr>
      <w:r w:rsidRPr="00EC1348">
        <w:rPr>
          <w:rFonts w:ascii="Times New Roman" w:hAnsi="Times New Roman"/>
          <w:sz w:val="24"/>
          <w:szCs w:val="24"/>
        </w:rPr>
        <w:t xml:space="preserve">The good </w:t>
      </w:r>
      <w:proofErr w:type="spellStart"/>
      <w:r w:rsidRPr="00EC1348">
        <w:rPr>
          <w:rFonts w:ascii="Times New Roman" w:hAnsi="Times New Roman"/>
          <w:sz w:val="24"/>
          <w:szCs w:val="24"/>
        </w:rPr>
        <w:t>samaritan</w:t>
      </w:r>
      <w:proofErr w:type="spellEnd"/>
      <w:r w:rsidRPr="00EC1348">
        <w:rPr>
          <w:rFonts w:ascii="Times New Roman" w:hAnsi="Times New Roman"/>
          <w:sz w:val="24"/>
          <w:szCs w:val="24"/>
        </w:rPr>
        <w:t xml:space="preserve"> law applies to a person who is seeking medical assistance for a drug overdose or other medical emergency.  It applies to both the person who seeks help and to the </w:t>
      </w:r>
      <w:proofErr w:type="gramStart"/>
      <w:r w:rsidRPr="00EC1348">
        <w:rPr>
          <w:rFonts w:ascii="Times New Roman" w:hAnsi="Times New Roman"/>
          <w:sz w:val="24"/>
          <w:szCs w:val="24"/>
        </w:rPr>
        <w:t>person</w:t>
      </w:r>
      <w:proofErr w:type="gramEnd"/>
      <w:r w:rsidRPr="00EC1348">
        <w:rPr>
          <w:rFonts w:ascii="Times New Roman" w:hAnsi="Times New Roman"/>
          <w:sz w:val="24"/>
          <w:szCs w:val="24"/>
        </w:rPr>
        <w:t xml:space="preserve"> is experiencing </w:t>
      </w:r>
      <w:proofErr w:type="gramStart"/>
      <w:r w:rsidRPr="00EC1348">
        <w:rPr>
          <w:rFonts w:ascii="Times New Roman" w:hAnsi="Times New Roman"/>
          <w:sz w:val="24"/>
          <w:szCs w:val="24"/>
        </w:rPr>
        <w:t>the</w:t>
      </w:r>
      <w:proofErr w:type="gramEnd"/>
      <w:r w:rsidRPr="00EC1348">
        <w:rPr>
          <w:rFonts w:ascii="Times New Roman" w:hAnsi="Times New Roman"/>
          <w:sz w:val="24"/>
          <w:szCs w:val="24"/>
        </w:rPr>
        <w:t xml:space="preserve"> medical emergency or drug overdose. Under the good </w:t>
      </w:r>
      <w:proofErr w:type="spellStart"/>
      <w:r w:rsidRPr="00EC1348">
        <w:rPr>
          <w:rFonts w:ascii="Times New Roman" w:hAnsi="Times New Roman"/>
          <w:sz w:val="24"/>
          <w:szCs w:val="24"/>
        </w:rPr>
        <w:t>samaritan</w:t>
      </w:r>
      <w:proofErr w:type="spellEnd"/>
      <w:r w:rsidRPr="00EC1348">
        <w:rPr>
          <w:rFonts w:ascii="Times New Roman" w:hAnsi="Times New Roman"/>
          <w:sz w:val="24"/>
          <w:szCs w:val="24"/>
        </w:rPr>
        <w:t xml:space="preserve"> law, a drug overdose is defined as “a condition including, but not limited to, extreme physical illness, decreased level of consciousness, respiratory depression, coma, mania, or death which is the result of consumption or use of a controlled substance or alcohol or a substance with which the controlled substance or alcohol was combined, or that a person would reasonably believe to be a drug or alcohol overdose that requires medical assistance”. “Medical Assistance” is defined as, “includes, but is not limited to, reporting a drug or alcohol overdose or other medical emergency to law enforcement, the 911 system, a poison control center, or a medical provider; assisting someone so reporting; or providing care to someone who is experiencing a drug or alcohol overdose or other medical emergency while awaiting the arrival of medical assistance.” It is important to note, that medical assistance must be sought in “good faith”. In other words, you can’t just say you’re having a drug overdose after the police find drugs in your car to get out of being arrested.</w:t>
      </w:r>
    </w:p>
    <w:p w14:paraId="0EBC36F2" w14:textId="77777777" w:rsidR="00EC1348" w:rsidRPr="00EC1348" w:rsidRDefault="00EC1348" w:rsidP="00EC1348">
      <w:pPr>
        <w:ind w:left="720"/>
        <w:rPr>
          <w:rFonts w:ascii="Times New Roman" w:hAnsi="Times New Roman"/>
          <w:sz w:val="24"/>
          <w:szCs w:val="24"/>
        </w:rPr>
      </w:pPr>
      <w:r w:rsidRPr="00EC1348">
        <w:rPr>
          <w:rFonts w:ascii="Times New Roman" w:hAnsi="Times New Roman"/>
          <w:i/>
          <w:iCs/>
          <w:sz w:val="24"/>
          <w:szCs w:val="24"/>
        </w:rPr>
        <w:t>Example: </w:t>
      </w:r>
      <w:r w:rsidRPr="00EC1348">
        <w:rPr>
          <w:rFonts w:ascii="Times New Roman" w:hAnsi="Times New Roman"/>
          <w:sz w:val="24"/>
          <w:szCs w:val="24"/>
        </w:rPr>
        <w:t>John and John are using drugs at John’s house and Jane overdoses. John calls 911 to seek help for Jane. The police come and find drugs in the house. Under Missouri’s Good Samaritan Law, John cannot be prosecuted because he was seeking medical assistance in good faith for Jane.</w:t>
      </w:r>
    </w:p>
    <w:p w14:paraId="65948F05" w14:textId="77777777" w:rsidR="00EC1348" w:rsidRPr="00EC1348" w:rsidRDefault="00EC1348" w:rsidP="00EC1348">
      <w:pPr>
        <w:ind w:firstLine="720"/>
        <w:rPr>
          <w:rFonts w:ascii="Times New Roman" w:hAnsi="Times New Roman"/>
          <w:sz w:val="24"/>
          <w:szCs w:val="24"/>
        </w:rPr>
      </w:pPr>
      <w:r w:rsidRPr="00EC1348">
        <w:rPr>
          <w:rFonts w:ascii="Times New Roman" w:hAnsi="Times New Roman"/>
          <w:sz w:val="24"/>
          <w:szCs w:val="24"/>
        </w:rPr>
        <w:t>What charges does the Good Samaritan Law protect against?</w:t>
      </w:r>
    </w:p>
    <w:p w14:paraId="0F3F99FF" w14:textId="77777777" w:rsidR="00EC1348" w:rsidRPr="00EC1348" w:rsidRDefault="00EC1348" w:rsidP="00EC1348">
      <w:pPr>
        <w:ind w:left="720"/>
        <w:rPr>
          <w:rFonts w:ascii="Times New Roman" w:hAnsi="Times New Roman"/>
          <w:sz w:val="24"/>
          <w:szCs w:val="24"/>
        </w:rPr>
      </w:pPr>
      <w:r w:rsidRPr="00EC1348">
        <w:rPr>
          <w:rFonts w:ascii="Times New Roman" w:hAnsi="Times New Roman"/>
          <w:sz w:val="24"/>
          <w:szCs w:val="24"/>
        </w:rPr>
        <w:t>The good Samaritan Law protects against prosecution from the following Missouri criminal charges:</w:t>
      </w:r>
    </w:p>
    <w:p w14:paraId="160383B0"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Possession of a Controlled Substance</w:t>
      </w:r>
    </w:p>
    <w:p w14:paraId="1FDFA552"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Possession of Drug Paraphernalia</w:t>
      </w:r>
    </w:p>
    <w:p w14:paraId="61D5FEF9"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Possession of an Imitation Controlled Substance</w:t>
      </w:r>
    </w:p>
    <w:p w14:paraId="69A37B88"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 xml:space="preserve">Keeping or maintaining </w:t>
      </w:r>
      <w:proofErr w:type="gramStart"/>
      <w:r w:rsidRPr="00EC1348">
        <w:rPr>
          <w:rFonts w:ascii="Times New Roman" w:hAnsi="Times New Roman"/>
          <w:sz w:val="24"/>
          <w:szCs w:val="24"/>
        </w:rPr>
        <w:t>a Public</w:t>
      </w:r>
      <w:proofErr w:type="gramEnd"/>
      <w:r w:rsidRPr="00EC1348">
        <w:rPr>
          <w:rFonts w:ascii="Times New Roman" w:hAnsi="Times New Roman"/>
          <w:sz w:val="24"/>
          <w:szCs w:val="24"/>
        </w:rPr>
        <w:t xml:space="preserve"> Nuisance</w:t>
      </w:r>
    </w:p>
    <w:p w14:paraId="3FC711E2"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Sale of Alcohol to Minor</w:t>
      </w:r>
    </w:p>
    <w:p w14:paraId="5305E025"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Minor in Possession of Alcohol</w:t>
      </w:r>
    </w:p>
    <w:p w14:paraId="2374CB80"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Misrepresentation of  Age by a Minor to obtain alcohol</w:t>
      </w:r>
    </w:p>
    <w:p w14:paraId="52AFC218"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Violation of a restraining order</w:t>
      </w:r>
    </w:p>
    <w:p w14:paraId="3BB5EF55" w14:textId="77777777" w:rsidR="00EC1348" w:rsidRPr="00EC1348" w:rsidRDefault="00EC1348" w:rsidP="00EC1348">
      <w:pPr>
        <w:numPr>
          <w:ilvl w:val="0"/>
          <w:numId w:val="23"/>
        </w:numPr>
        <w:tabs>
          <w:tab w:val="num" w:pos="720"/>
        </w:tabs>
        <w:spacing w:after="160" w:line="259" w:lineRule="auto"/>
        <w:rPr>
          <w:rFonts w:ascii="Times New Roman" w:hAnsi="Times New Roman"/>
          <w:sz w:val="24"/>
          <w:szCs w:val="24"/>
        </w:rPr>
      </w:pPr>
      <w:r w:rsidRPr="00EC1348">
        <w:rPr>
          <w:rFonts w:ascii="Times New Roman" w:hAnsi="Times New Roman"/>
          <w:sz w:val="24"/>
          <w:szCs w:val="24"/>
        </w:rPr>
        <w:t>Violating probation or parole</w:t>
      </w:r>
    </w:p>
    <w:p w14:paraId="4DAB56D6" w14:textId="77777777" w:rsidR="00EC1348" w:rsidRPr="00EC1348" w:rsidRDefault="00EC1348" w:rsidP="00EC1348">
      <w:pPr>
        <w:ind w:left="720"/>
        <w:rPr>
          <w:rFonts w:ascii="Times New Roman" w:hAnsi="Times New Roman"/>
          <w:sz w:val="24"/>
          <w:szCs w:val="24"/>
        </w:rPr>
      </w:pPr>
      <w:r w:rsidRPr="00EC1348">
        <w:rPr>
          <w:rFonts w:ascii="Times New Roman" w:hAnsi="Times New Roman"/>
          <w:sz w:val="24"/>
          <w:szCs w:val="24"/>
        </w:rPr>
        <w:t xml:space="preserve">However, the law does not protect against other charges, such as </w:t>
      </w:r>
      <w:hyperlink r:id="rId2068" w:tgtFrame="_blank" w:history="1">
        <w:r w:rsidRPr="00EC1348">
          <w:rPr>
            <w:rStyle w:val="Hyperlink"/>
            <w:rFonts w:ascii="Times New Roman" w:hAnsi="Times New Roman"/>
            <w:sz w:val="24"/>
            <w:szCs w:val="24"/>
          </w:rPr>
          <w:t>distribution of a controlled substance</w:t>
        </w:r>
      </w:hyperlink>
      <w:r w:rsidRPr="00EC1348">
        <w:rPr>
          <w:rFonts w:ascii="Times New Roman" w:hAnsi="Times New Roman"/>
          <w:sz w:val="24"/>
          <w:szCs w:val="24"/>
        </w:rPr>
        <w:t xml:space="preserve"> or </w:t>
      </w:r>
      <w:hyperlink r:id="rId2069" w:history="1">
        <w:r w:rsidRPr="00EC1348">
          <w:rPr>
            <w:rStyle w:val="Hyperlink"/>
            <w:rFonts w:ascii="Times New Roman" w:hAnsi="Times New Roman"/>
            <w:sz w:val="24"/>
            <w:szCs w:val="24"/>
          </w:rPr>
          <w:t>manslaughter</w:t>
        </w:r>
      </w:hyperlink>
      <w:r w:rsidRPr="00EC1348">
        <w:rPr>
          <w:rFonts w:ascii="Times New Roman" w:hAnsi="Times New Roman"/>
          <w:sz w:val="24"/>
          <w:szCs w:val="24"/>
        </w:rPr>
        <w:t>. If for instance, you provide drugs to someone who overdoses and dies you could still be charged with those offenses. Moreover, the statute only applies to state charges and is not a defense to federal drug charges.”</w:t>
      </w:r>
    </w:p>
    <w:p w14:paraId="382A6958" w14:textId="77777777" w:rsidR="00AC1F80" w:rsidRDefault="00AC1F80" w:rsidP="002B1283">
      <w:pPr>
        <w:rPr>
          <w:rFonts w:ascii="Arial Black" w:hAnsi="Arial Black"/>
          <w:b/>
          <w:bCs/>
          <w:sz w:val="28"/>
          <w:szCs w:val="28"/>
        </w:rPr>
      </w:pPr>
    </w:p>
    <w:p w14:paraId="0DE5D993" w14:textId="77777777" w:rsidR="00AC1F80" w:rsidRDefault="00AC1F80" w:rsidP="002B1283">
      <w:pPr>
        <w:rPr>
          <w:rFonts w:ascii="Arial Black" w:hAnsi="Arial Black"/>
          <w:b/>
          <w:bCs/>
          <w:sz w:val="28"/>
          <w:szCs w:val="28"/>
        </w:rPr>
      </w:pPr>
    </w:p>
    <w:p w14:paraId="2BC14452" w14:textId="4E181B8D" w:rsidR="00824D3D" w:rsidRDefault="00824D3D" w:rsidP="002B1283">
      <w:pPr>
        <w:rPr>
          <w:rFonts w:ascii="Arial Black" w:hAnsi="Arial Black"/>
          <w:b/>
          <w:bCs/>
          <w:sz w:val="28"/>
          <w:szCs w:val="28"/>
        </w:rPr>
      </w:pPr>
      <w:r>
        <w:rPr>
          <w:rFonts w:ascii="Arial Black" w:hAnsi="Arial Black"/>
          <w:b/>
          <w:bCs/>
          <w:sz w:val="28"/>
          <w:szCs w:val="28"/>
        </w:rPr>
        <w:t>13-190</w:t>
      </w:r>
    </w:p>
    <w:p w14:paraId="40373838" w14:textId="2B26DF98" w:rsidR="00AC1F80" w:rsidRDefault="00AC1F80" w:rsidP="00AC1F80">
      <w:pPr>
        <w:pStyle w:val="NoSpacing"/>
        <w:rPr>
          <w:szCs w:val="24"/>
        </w:rPr>
      </w:pPr>
      <w:r>
        <w:rPr>
          <w:rFonts w:ascii="Arial Black" w:hAnsi="Arial Black"/>
          <w:sz w:val="28"/>
        </w:rPr>
        <w:t xml:space="preserve">CA: PT CLAIMED SEX. ASSAULT BY MEDIC – FD DAILY ROSTER ID HIM - CLAIM FD DEFAMED HIM FILED </w:t>
      </w:r>
      <w:r w:rsidR="00EA2F62">
        <w:rPr>
          <w:rFonts w:ascii="Arial Black" w:hAnsi="Arial Black"/>
          <w:sz w:val="28"/>
        </w:rPr>
        <w:t xml:space="preserve">TOO </w:t>
      </w:r>
      <w:r>
        <w:rPr>
          <w:rFonts w:ascii="Arial Black" w:hAnsi="Arial Black"/>
          <w:sz w:val="28"/>
        </w:rPr>
        <w:t>LATE</w:t>
      </w:r>
    </w:p>
    <w:p w14:paraId="217499C8" w14:textId="77777777" w:rsidR="00AC1F80" w:rsidRDefault="00AC1F80" w:rsidP="00AC1F80">
      <w:pPr>
        <w:pStyle w:val="NoSpacing"/>
        <w:rPr>
          <w:szCs w:val="24"/>
        </w:rPr>
      </w:pPr>
    </w:p>
    <w:p w14:paraId="113C548B" w14:textId="77777777" w:rsidR="00AC1F80" w:rsidRPr="00AC1F80" w:rsidRDefault="00AC1F80" w:rsidP="00AC1F80">
      <w:pPr>
        <w:pStyle w:val="NoSpacing"/>
        <w:rPr>
          <w:rFonts w:ascii="Times New Roman" w:hAnsi="Times New Roman"/>
          <w:sz w:val="24"/>
          <w:szCs w:val="24"/>
        </w:rPr>
      </w:pPr>
      <w:r w:rsidRPr="00AC1F80">
        <w:rPr>
          <w:rFonts w:ascii="Times New Roman" w:hAnsi="Times New Roman"/>
          <w:sz w:val="24"/>
          <w:szCs w:val="24"/>
        </w:rPr>
        <w:t xml:space="preserve">On August 16, 2024, in </w:t>
      </w:r>
      <w:r w:rsidRPr="00AC1F80">
        <w:rPr>
          <w:rFonts w:ascii="Times New Roman" w:hAnsi="Times New Roman"/>
          <w:sz w:val="24"/>
          <w:szCs w:val="24"/>
          <w:u w:val="single"/>
        </w:rPr>
        <w:t>Louis Cerda v. City of Los Angeles</w:t>
      </w:r>
      <w:r w:rsidRPr="00AC1F80">
        <w:rPr>
          <w:rFonts w:ascii="Times New Roman" w:hAnsi="Times New Roman"/>
          <w:sz w:val="24"/>
          <w:szCs w:val="24"/>
        </w:rPr>
        <w:t xml:space="preserve">, the California Court of Appeals, Second District, Third Division, held (3 to 0; unpublished opinion) that the trial court properly dismissed his lawsuit against the City, claiming FD defamed him by sending out internal notices of his suspension on the FD daily staffing roster, since a claim for defamation must be presented within six months of accrual (he was late by one month).  The Court wrote: “The City asserts that the defamation cause of action accrued on October 19, 2017, the last date the alleged defamatory statement was published in the roster according to Cerda’s opposition to judgment on the pleadings. Given the </w:t>
      </w:r>
      <w:proofErr w:type="gramStart"/>
      <w:r w:rsidRPr="00AC1F80">
        <w:rPr>
          <w:rFonts w:ascii="Times New Roman" w:hAnsi="Times New Roman"/>
          <w:sz w:val="24"/>
          <w:szCs w:val="24"/>
        </w:rPr>
        <w:t>six month</w:t>
      </w:r>
      <w:proofErr w:type="gramEnd"/>
      <w:r w:rsidRPr="00AC1F80">
        <w:rPr>
          <w:rFonts w:ascii="Times New Roman" w:hAnsi="Times New Roman"/>
          <w:sz w:val="24"/>
          <w:szCs w:val="24"/>
        </w:rPr>
        <w:t xml:space="preserve"> presentation deadline, Cerda’s government claim was due April 19, 2018. However, Cerda did not file his government claim until May 14, 2018. We agree with the </w:t>
      </w:r>
      <w:proofErr w:type="gramStart"/>
      <w:r w:rsidRPr="00AC1F80">
        <w:rPr>
          <w:rFonts w:ascii="Times New Roman" w:hAnsi="Times New Roman"/>
          <w:sz w:val="24"/>
          <w:szCs w:val="24"/>
        </w:rPr>
        <w:t>City</w:t>
      </w:r>
      <w:proofErr w:type="gramEnd"/>
      <w:r w:rsidRPr="00AC1F80">
        <w:rPr>
          <w:rFonts w:ascii="Times New Roman" w:hAnsi="Times New Roman"/>
          <w:sz w:val="24"/>
          <w:szCs w:val="24"/>
        </w:rPr>
        <w:t xml:space="preserve"> that the government claim for the defamation cause of action was untimely.”  </w:t>
      </w:r>
      <w:hyperlink r:id="rId2070" w:history="1">
        <w:r w:rsidRPr="00AC1F80">
          <w:rPr>
            <w:rStyle w:val="Hyperlink"/>
            <w:rFonts w:ascii="Times New Roman" w:hAnsi="Times New Roman"/>
            <w:sz w:val="24"/>
            <w:szCs w:val="24"/>
          </w:rPr>
          <w:t>https://www.courts.ca.gov/opinions/nonpub/B322004.PDF</w:t>
        </w:r>
      </w:hyperlink>
      <w:r w:rsidRPr="00AC1F80">
        <w:rPr>
          <w:rFonts w:ascii="Times New Roman" w:hAnsi="Times New Roman"/>
          <w:sz w:val="24"/>
          <w:szCs w:val="24"/>
        </w:rPr>
        <w:t xml:space="preserve"> </w:t>
      </w:r>
    </w:p>
    <w:p w14:paraId="52840587" w14:textId="77777777" w:rsidR="00AC1F80" w:rsidRPr="00AC1F80" w:rsidRDefault="00AC1F80" w:rsidP="00AC1F80">
      <w:pPr>
        <w:pStyle w:val="NoSpacing"/>
        <w:rPr>
          <w:rFonts w:ascii="Times New Roman" w:hAnsi="Times New Roman"/>
          <w:sz w:val="24"/>
          <w:szCs w:val="24"/>
        </w:rPr>
      </w:pPr>
    </w:p>
    <w:p w14:paraId="2DD4EC41" w14:textId="77777777" w:rsidR="00AC1F80" w:rsidRPr="00AC1F80" w:rsidRDefault="00AC1F80" w:rsidP="00AC1F80">
      <w:pPr>
        <w:pStyle w:val="NoSpacing"/>
        <w:rPr>
          <w:rFonts w:ascii="Times New Roman" w:hAnsi="Times New Roman"/>
          <w:sz w:val="24"/>
          <w:szCs w:val="24"/>
        </w:rPr>
      </w:pPr>
      <w:r w:rsidRPr="00AC1F80">
        <w:rPr>
          <w:rFonts w:ascii="Times New Roman" w:hAnsi="Times New Roman"/>
          <w:sz w:val="24"/>
          <w:szCs w:val="24"/>
        </w:rPr>
        <w:t>THE COURT HELD:</w:t>
      </w:r>
    </w:p>
    <w:p w14:paraId="5C7835C7" w14:textId="77777777" w:rsidR="00AC1F80" w:rsidRPr="00AC1F80" w:rsidRDefault="00AC1F80" w:rsidP="00AC1F80">
      <w:pPr>
        <w:pStyle w:val="NoSpacing"/>
        <w:rPr>
          <w:rFonts w:ascii="Times New Roman" w:hAnsi="Times New Roman"/>
          <w:sz w:val="24"/>
          <w:szCs w:val="24"/>
        </w:rPr>
      </w:pPr>
    </w:p>
    <w:p w14:paraId="0AB40E07" w14:textId="77777777" w:rsidR="00AC1F80" w:rsidRPr="00AC1F80" w:rsidRDefault="00AC1F80" w:rsidP="00AC1F80">
      <w:pPr>
        <w:pStyle w:val="NoSpacing"/>
        <w:ind w:left="720"/>
        <w:rPr>
          <w:rFonts w:ascii="Times New Roman" w:hAnsi="Times New Roman"/>
          <w:sz w:val="24"/>
          <w:szCs w:val="24"/>
        </w:rPr>
      </w:pPr>
      <w:r w:rsidRPr="00AC1F80">
        <w:rPr>
          <w:rFonts w:ascii="Times New Roman" w:hAnsi="Times New Roman"/>
          <w:sz w:val="24"/>
          <w:szCs w:val="24"/>
        </w:rPr>
        <w:t>“Moreover, as we explain below, Cerda’s failure to file a timely government claim regarding his defamation claim was fatal to his case.</w:t>
      </w:r>
    </w:p>
    <w:p w14:paraId="388AEA40" w14:textId="77777777" w:rsidR="00AC1F80" w:rsidRPr="00AC1F80" w:rsidRDefault="00AC1F80" w:rsidP="00AC1F80">
      <w:pPr>
        <w:pStyle w:val="NoSpacing"/>
        <w:ind w:left="720"/>
        <w:rPr>
          <w:rFonts w:ascii="Times New Roman" w:hAnsi="Times New Roman"/>
          <w:sz w:val="24"/>
          <w:szCs w:val="24"/>
        </w:rPr>
      </w:pPr>
    </w:p>
    <w:p w14:paraId="44496C92" w14:textId="77777777" w:rsidR="00AC1F80" w:rsidRPr="00AC1F80" w:rsidRDefault="00AC1F80" w:rsidP="00AC1F80">
      <w:pPr>
        <w:pStyle w:val="NoSpacing"/>
        <w:ind w:left="720"/>
        <w:rPr>
          <w:rFonts w:ascii="Times New Roman" w:hAnsi="Times New Roman"/>
          <w:sz w:val="24"/>
          <w:szCs w:val="24"/>
        </w:rPr>
      </w:pPr>
      <w:r w:rsidRPr="00AC1F80">
        <w:rPr>
          <w:rFonts w:ascii="Times New Roman" w:hAnsi="Times New Roman"/>
          <w:sz w:val="24"/>
          <w:szCs w:val="24"/>
        </w:rPr>
        <w:t>***</w:t>
      </w:r>
    </w:p>
    <w:p w14:paraId="4FD6F647" w14:textId="77777777" w:rsidR="00AC1F80" w:rsidRPr="00AC1F80" w:rsidRDefault="00AC1F80" w:rsidP="00AC1F80">
      <w:pPr>
        <w:pStyle w:val="NoSpacing"/>
        <w:rPr>
          <w:rFonts w:ascii="Times New Roman" w:hAnsi="Times New Roman"/>
          <w:sz w:val="24"/>
          <w:szCs w:val="24"/>
        </w:rPr>
      </w:pPr>
    </w:p>
    <w:p w14:paraId="04B2E873" w14:textId="77777777" w:rsidR="00AC1F80" w:rsidRPr="00AC1F80" w:rsidRDefault="00AC1F80" w:rsidP="00AC1F80">
      <w:pPr>
        <w:pStyle w:val="NoSpacing"/>
        <w:ind w:left="720"/>
        <w:rPr>
          <w:rFonts w:ascii="Times New Roman" w:hAnsi="Times New Roman"/>
          <w:sz w:val="24"/>
          <w:szCs w:val="24"/>
        </w:rPr>
      </w:pPr>
      <w:r w:rsidRPr="00AC1F80">
        <w:rPr>
          <w:rFonts w:ascii="Times New Roman" w:hAnsi="Times New Roman"/>
          <w:sz w:val="24"/>
          <w:szCs w:val="24"/>
        </w:rPr>
        <w:t xml:space="preserve">We agree with the </w:t>
      </w:r>
      <w:proofErr w:type="gramStart"/>
      <w:r w:rsidRPr="00AC1F80">
        <w:rPr>
          <w:rFonts w:ascii="Times New Roman" w:hAnsi="Times New Roman"/>
          <w:sz w:val="24"/>
          <w:szCs w:val="24"/>
        </w:rPr>
        <w:t>City</w:t>
      </w:r>
      <w:proofErr w:type="gramEnd"/>
      <w:r w:rsidRPr="00AC1F80">
        <w:rPr>
          <w:rFonts w:ascii="Times New Roman" w:hAnsi="Times New Roman"/>
          <w:sz w:val="24"/>
          <w:szCs w:val="24"/>
        </w:rPr>
        <w:t xml:space="preserve"> that the government claim for the defamation cause of action was untimely. We also note that in denying his government claim on June 28, 2018, the City specifically warned Cerda that some of his claims were late and that his ‘recourse at this time in regard to the untimely claim(s) is to apply without delay to the Los Angeles City Clerk for leave to present a late claim.’ *** Cerda never applied to present a late claim.”</w:t>
      </w:r>
    </w:p>
    <w:p w14:paraId="5E8C3168" w14:textId="77777777" w:rsidR="00AC1F80" w:rsidRPr="00AC1F80" w:rsidRDefault="00AC1F80" w:rsidP="00AC1F80">
      <w:pPr>
        <w:pStyle w:val="NoSpacing"/>
        <w:ind w:left="720"/>
        <w:rPr>
          <w:rFonts w:ascii="Times New Roman" w:hAnsi="Times New Roman"/>
          <w:sz w:val="24"/>
          <w:szCs w:val="24"/>
        </w:rPr>
      </w:pPr>
    </w:p>
    <w:p w14:paraId="504780F5" w14:textId="77777777" w:rsidR="00AC1F80" w:rsidRPr="00AC1F80" w:rsidRDefault="00AC1F80" w:rsidP="00AC1F80">
      <w:pPr>
        <w:pStyle w:val="NoSpacing"/>
        <w:ind w:left="720"/>
        <w:rPr>
          <w:rFonts w:ascii="Times New Roman" w:hAnsi="Times New Roman"/>
          <w:sz w:val="24"/>
          <w:szCs w:val="24"/>
        </w:rPr>
      </w:pPr>
    </w:p>
    <w:p w14:paraId="622B0467" w14:textId="77777777" w:rsidR="00AC1F80" w:rsidRPr="00AC1F80" w:rsidRDefault="00AC1F80" w:rsidP="00AC1F80">
      <w:pPr>
        <w:pStyle w:val="NoSpacing"/>
        <w:rPr>
          <w:rFonts w:ascii="Times New Roman" w:hAnsi="Times New Roman"/>
          <w:b/>
          <w:bCs/>
          <w:sz w:val="24"/>
          <w:szCs w:val="24"/>
        </w:rPr>
      </w:pPr>
      <w:r w:rsidRPr="00AC1F80">
        <w:rPr>
          <w:rFonts w:ascii="Times New Roman" w:hAnsi="Times New Roman"/>
          <w:b/>
          <w:bCs/>
          <w:sz w:val="24"/>
          <w:szCs w:val="24"/>
        </w:rPr>
        <w:t xml:space="preserve">Legal Lesson Learned: The defamation claim was filed late.  When a suspended FD employee is reinstated after an investigation is completed, brief the employee about conclusions. </w:t>
      </w:r>
    </w:p>
    <w:p w14:paraId="505E206F" w14:textId="77777777" w:rsidR="00824D3D" w:rsidRDefault="00824D3D" w:rsidP="002B1283">
      <w:pPr>
        <w:rPr>
          <w:rFonts w:ascii="Arial Black" w:hAnsi="Arial Black"/>
          <w:b/>
          <w:bCs/>
          <w:sz w:val="28"/>
          <w:szCs w:val="28"/>
        </w:rPr>
      </w:pPr>
    </w:p>
    <w:p w14:paraId="73D2B403" w14:textId="77777777" w:rsidR="00824D3D" w:rsidRDefault="00824D3D" w:rsidP="002B1283">
      <w:pPr>
        <w:rPr>
          <w:rFonts w:ascii="Arial Black" w:hAnsi="Arial Black"/>
          <w:b/>
          <w:bCs/>
          <w:sz w:val="28"/>
          <w:szCs w:val="28"/>
        </w:rPr>
      </w:pPr>
    </w:p>
    <w:p w14:paraId="134C43BB" w14:textId="375A55DA" w:rsidR="0089006F" w:rsidRPr="0011264F" w:rsidRDefault="0089006F" w:rsidP="002B1283">
      <w:pPr>
        <w:rPr>
          <w:rFonts w:ascii="Times New Roman" w:hAnsi="Times New Roman"/>
          <w:sz w:val="24"/>
          <w:szCs w:val="24"/>
        </w:rPr>
      </w:pPr>
      <w:r>
        <w:rPr>
          <w:rFonts w:ascii="Arial Black" w:hAnsi="Arial Black"/>
          <w:b/>
          <w:bCs/>
          <w:sz w:val="28"/>
          <w:szCs w:val="28"/>
        </w:rPr>
        <w:t>13-189</w:t>
      </w:r>
      <w:r w:rsidR="005B3758">
        <w:rPr>
          <w:rFonts w:ascii="Arial Black" w:hAnsi="Arial Black"/>
          <w:b/>
          <w:bCs/>
          <w:sz w:val="28"/>
          <w:szCs w:val="28"/>
        </w:rPr>
        <w:t xml:space="preserve">  </w:t>
      </w:r>
      <w:r w:rsidR="005B3758" w:rsidRPr="0011264F">
        <w:rPr>
          <w:rFonts w:ascii="Times New Roman" w:hAnsi="Times New Roman"/>
          <w:sz w:val="24"/>
          <w:szCs w:val="24"/>
        </w:rPr>
        <w:t xml:space="preserve">[see </w:t>
      </w:r>
      <w:r w:rsidR="0011264F" w:rsidRPr="0011264F">
        <w:rPr>
          <w:rFonts w:ascii="Times New Roman" w:hAnsi="Times New Roman"/>
          <w:sz w:val="24"/>
          <w:szCs w:val="24"/>
        </w:rPr>
        <w:t>Jan. 2026 case]</w:t>
      </w:r>
    </w:p>
    <w:p w14:paraId="04B43DBF" w14:textId="231227B6" w:rsidR="0089006F" w:rsidRPr="00C3434D" w:rsidRDefault="0089006F" w:rsidP="0089006F">
      <w:pPr>
        <w:pStyle w:val="NormalWeb"/>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FL: CAPTAIN FIRED - REFUSED ISSUE COVID REPRIMANDS – CASE REINSTATED - U.S. SUP. CT. “SOME INJURY” TEST</w:t>
      </w:r>
    </w:p>
    <w:p w14:paraId="11B170C7" w14:textId="77777777" w:rsidR="0089006F" w:rsidRPr="00610F47" w:rsidRDefault="0089006F" w:rsidP="0089006F">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On July 23, 2024, in </w:t>
      </w:r>
      <w:r w:rsidRPr="004C6D8E">
        <w:rPr>
          <w:rFonts w:ascii="Times New Roman" w:hAnsi="Times New Roman"/>
          <w:sz w:val="24"/>
          <w:szCs w:val="24"/>
          <w:u w:val="single"/>
          <w:shd w:val="clear" w:color="auto" w:fill="FFFFFF"/>
        </w:rPr>
        <w:t>Stephen M. Davis v. Orange County</w:t>
      </w:r>
      <w:r>
        <w:rPr>
          <w:rFonts w:ascii="Times New Roman" w:hAnsi="Times New Roman"/>
          <w:sz w:val="24"/>
          <w:szCs w:val="24"/>
          <w:shd w:val="clear" w:color="auto" w:fill="FFFFFF"/>
        </w:rPr>
        <w:t>, the U.S. Court of Appeals for the 11</w:t>
      </w:r>
      <w:r w:rsidRPr="004C6D8E">
        <w:rPr>
          <w:rFonts w:ascii="Times New Roman" w:hAnsi="Times New Roman"/>
          <w:sz w:val="24"/>
          <w:szCs w:val="24"/>
          <w:shd w:val="clear" w:color="auto" w:fill="FFFFFF"/>
          <w:vertAlign w:val="superscript"/>
        </w:rPr>
        <w:t>th</w:t>
      </w:r>
      <w:r>
        <w:rPr>
          <w:rFonts w:ascii="Times New Roman" w:hAnsi="Times New Roman"/>
          <w:sz w:val="24"/>
          <w:szCs w:val="24"/>
          <w:shd w:val="clear" w:color="auto" w:fill="FFFFFF"/>
        </w:rPr>
        <w:t xml:space="preserve"> Circuit (Atlanta) held (3 to 0) that the fired Captain’s lawsuit will be remanded to U.S. District Court Judge in Florida, who had dismissed “retaliation” claims because the order to issue written reprimands did not amount  to </w:t>
      </w:r>
      <w:r w:rsidRPr="00667DF3">
        <w:rPr>
          <w:rFonts w:ascii="Times New Roman" w:hAnsi="Times New Roman"/>
          <w:sz w:val="24"/>
          <w:szCs w:val="24"/>
          <w:shd w:val="clear" w:color="auto" w:fill="FFFFFF"/>
        </w:rPr>
        <w:t xml:space="preserve">a </w:t>
      </w:r>
      <w:r>
        <w:rPr>
          <w:rFonts w:ascii="Times New Roman" w:hAnsi="Times New Roman"/>
          <w:sz w:val="24"/>
          <w:szCs w:val="24"/>
          <w:shd w:val="clear" w:color="auto" w:fill="FFFFFF"/>
        </w:rPr>
        <w:t>“</w:t>
      </w:r>
      <w:r w:rsidRPr="00667DF3">
        <w:rPr>
          <w:rFonts w:ascii="Times New Roman" w:hAnsi="Times New Roman"/>
          <w:sz w:val="24"/>
          <w:szCs w:val="24"/>
          <w:shd w:val="clear" w:color="auto" w:fill="FFFFFF"/>
        </w:rPr>
        <w:t>serious and material change in the employees’ terms, conditions, and</w:t>
      </w:r>
      <w:r>
        <w:rPr>
          <w:rFonts w:ascii="Times New Roman" w:hAnsi="Times New Roman"/>
          <w:sz w:val="24"/>
          <w:szCs w:val="24"/>
          <w:shd w:val="clear" w:color="auto" w:fill="FFFFFF"/>
        </w:rPr>
        <w:t xml:space="preserve"> </w:t>
      </w:r>
      <w:r w:rsidRPr="00667DF3">
        <w:rPr>
          <w:rFonts w:ascii="Times New Roman" w:hAnsi="Times New Roman"/>
          <w:sz w:val="24"/>
          <w:szCs w:val="24"/>
          <w:shd w:val="clear" w:color="auto" w:fill="FFFFFF"/>
        </w:rPr>
        <w:t>privileges of employment.</w:t>
      </w:r>
      <w:r>
        <w:rPr>
          <w:rFonts w:ascii="Times New Roman" w:hAnsi="Times New Roman"/>
          <w:sz w:val="24"/>
          <w:szCs w:val="24"/>
          <w:shd w:val="clear" w:color="auto" w:fill="FFFFFF"/>
        </w:rPr>
        <w:t xml:space="preserve">”  However, on April 17, 2024, the U.S. Supreme Court issued the “landmark” decision in </w:t>
      </w:r>
      <w:r w:rsidRPr="0069068E">
        <w:rPr>
          <w:rFonts w:ascii="Times New Roman" w:hAnsi="Times New Roman"/>
          <w:sz w:val="24"/>
          <w:szCs w:val="24"/>
          <w:shd w:val="clear" w:color="auto" w:fill="FFFFFF"/>
        </w:rPr>
        <w:t>Muldrow v. City of St. Louis</w:t>
      </w:r>
      <w:r>
        <w:rPr>
          <w:rFonts w:ascii="Times New Roman" w:hAnsi="Times New Roman"/>
          <w:sz w:val="24"/>
          <w:szCs w:val="24"/>
          <w:shd w:val="clear" w:color="auto" w:fill="FFFFFF"/>
        </w:rPr>
        <w:t xml:space="preserve">, which held that a female Saint Louis police officer may sue for her job transfer from Intelligence Division back to patrol duties.  </w:t>
      </w:r>
      <w:hyperlink r:id="rId2071" w:history="1">
        <w:r w:rsidRPr="0013187C">
          <w:rPr>
            <w:rStyle w:val="Hyperlink"/>
            <w:rFonts w:ascii="Times New Roman" w:hAnsi="Times New Roman"/>
            <w:sz w:val="24"/>
            <w:szCs w:val="24"/>
            <w:shd w:val="clear" w:color="auto" w:fill="FFFFFF"/>
          </w:rPr>
          <w:t>https://www.supremecourt.gov/opinions/23pdf/22-193_q86b.pdf</w:t>
        </w:r>
      </w:hyperlink>
      <w:r>
        <w:rPr>
          <w:rFonts w:ascii="Times New Roman" w:hAnsi="Times New Roman"/>
          <w:sz w:val="24"/>
          <w:szCs w:val="24"/>
          <w:shd w:val="clear" w:color="auto" w:fill="FFFFFF"/>
        </w:rPr>
        <w:t xml:space="preserve"> </w:t>
      </w:r>
    </w:p>
    <w:p w14:paraId="5F403218" w14:textId="77777777" w:rsidR="0089006F" w:rsidRDefault="0089006F" w:rsidP="0089006F">
      <w:pPr>
        <w:pStyle w:val="NoSpacing"/>
        <w:rPr>
          <w:rFonts w:ascii="Times New Roman" w:hAnsi="Times New Roman"/>
          <w:sz w:val="24"/>
          <w:szCs w:val="24"/>
          <w:shd w:val="clear" w:color="auto" w:fill="FFFFFF"/>
        </w:rPr>
      </w:pPr>
    </w:p>
    <w:p w14:paraId="3CCEBE93" w14:textId="77777777" w:rsidR="0089006F" w:rsidRDefault="0089006F" w:rsidP="0089006F">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Captain Davis gets the benefit of the new standard requiring only proof of “some injury.” </w:t>
      </w:r>
      <w:hyperlink r:id="rId2072" w:history="1">
        <w:r w:rsidRPr="0013187C">
          <w:rPr>
            <w:rStyle w:val="Hyperlink"/>
            <w:rFonts w:ascii="Times New Roman" w:hAnsi="Times New Roman"/>
            <w:sz w:val="24"/>
            <w:szCs w:val="24"/>
            <w:shd w:val="clear" w:color="auto" w:fill="FFFFFF"/>
          </w:rPr>
          <w:t>https://cases.justia.com/federal/appellate-courts/ca11/23-12759/23-12759-2024-07-23.pdf?ts=1721745066</w:t>
        </w:r>
      </w:hyperlink>
      <w:r>
        <w:rPr>
          <w:rFonts w:ascii="Times New Roman" w:hAnsi="Times New Roman"/>
          <w:sz w:val="24"/>
          <w:szCs w:val="24"/>
          <w:shd w:val="clear" w:color="auto" w:fill="FFFFFF"/>
        </w:rPr>
        <w:t xml:space="preserve"> </w:t>
      </w:r>
    </w:p>
    <w:p w14:paraId="6271F0E8" w14:textId="77777777" w:rsidR="0089006F" w:rsidRDefault="0089006F" w:rsidP="0089006F">
      <w:pPr>
        <w:pStyle w:val="NoSpacing"/>
        <w:rPr>
          <w:rFonts w:ascii="Times New Roman" w:hAnsi="Times New Roman"/>
          <w:sz w:val="24"/>
          <w:szCs w:val="24"/>
          <w:shd w:val="clear" w:color="auto" w:fill="FFFFFF"/>
        </w:rPr>
      </w:pPr>
    </w:p>
    <w:p w14:paraId="4833D683" w14:textId="77777777" w:rsidR="0089006F" w:rsidRDefault="0089006F" w:rsidP="0089006F">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THE COURT HELD:</w:t>
      </w:r>
    </w:p>
    <w:p w14:paraId="07B93E74" w14:textId="77777777" w:rsidR="0089006F" w:rsidRDefault="0089006F" w:rsidP="0089006F">
      <w:pPr>
        <w:pStyle w:val="NoSpacing"/>
        <w:rPr>
          <w:rFonts w:ascii="Times New Roman" w:hAnsi="Times New Roman"/>
          <w:sz w:val="24"/>
          <w:szCs w:val="24"/>
          <w:shd w:val="clear" w:color="auto" w:fill="FFFFFF"/>
        </w:rPr>
      </w:pPr>
    </w:p>
    <w:p w14:paraId="689D99F7" w14:textId="2E2048A0" w:rsidR="0089006F" w:rsidRDefault="0089006F" w:rsidP="0089006F">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69068E">
        <w:rPr>
          <w:rFonts w:ascii="Times New Roman" w:hAnsi="Times New Roman"/>
          <w:sz w:val="24"/>
          <w:szCs w:val="24"/>
          <w:shd w:val="clear" w:color="auto" w:fill="FFFFFF"/>
        </w:rPr>
        <w:t>But during the pendency of this appeal, the Supreme Court</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decided Muldrow v. City of St. Louis, 144 S. Ct. 967 (</w:t>
      </w:r>
      <w:r w:rsidR="006A6D1D">
        <w:rPr>
          <w:rFonts w:ascii="Times New Roman" w:hAnsi="Times New Roman"/>
          <w:sz w:val="24"/>
          <w:szCs w:val="24"/>
          <w:shd w:val="clear" w:color="auto" w:fill="FFFFFF"/>
        </w:rPr>
        <w:t xml:space="preserve">April 17, </w:t>
      </w:r>
      <w:r w:rsidRPr="0069068E">
        <w:rPr>
          <w:rFonts w:ascii="Times New Roman" w:hAnsi="Times New Roman"/>
          <w:sz w:val="24"/>
          <w:szCs w:val="24"/>
          <w:shd w:val="clear" w:color="auto" w:fill="FFFFFF"/>
        </w:rPr>
        <w:t>2024), in which</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it clarified a plaintiff’s required showing for an adverse employment action under the anti-discrimination provision of Title VII.</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 xml:space="preserve">The Supreme Court explained that a plaintiff </w:t>
      </w:r>
      <w:r>
        <w:rPr>
          <w:rFonts w:ascii="Times New Roman" w:hAnsi="Times New Roman"/>
          <w:sz w:val="24"/>
          <w:szCs w:val="24"/>
          <w:shd w:val="clear" w:color="auto" w:fill="FFFFFF"/>
        </w:rPr>
        <w:t>‘</w:t>
      </w:r>
      <w:r w:rsidRPr="0069068E">
        <w:rPr>
          <w:rFonts w:ascii="Times New Roman" w:hAnsi="Times New Roman"/>
          <w:sz w:val="24"/>
          <w:szCs w:val="24"/>
          <w:shd w:val="clear" w:color="auto" w:fill="FFFFFF"/>
        </w:rPr>
        <w:t xml:space="preserve">need </w:t>
      </w:r>
      <w:proofErr w:type="gramStart"/>
      <w:r w:rsidRPr="0069068E">
        <w:rPr>
          <w:rFonts w:ascii="Times New Roman" w:hAnsi="Times New Roman"/>
          <w:sz w:val="24"/>
          <w:szCs w:val="24"/>
          <w:shd w:val="clear" w:color="auto" w:fill="FFFFFF"/>
        </w:rPr>
        <w:t>show</w:t>
      </w:r>
      <w:proofErr w:type="gramEnd"/>
      <w:r w:rsidRPr="0069068E">
        <w:rPr>
          <w:rFonts w:ascii="Times New Roman" w:hAnsi="Times New Roman"/>
          <w:sz w:val="24"/>
          <w:szCs w:val="24"/>
          <w:shd w:val="clear" w:color="auto" w:fill="FFFFFF"/>
        </w:rPr>
        <w:t xml:space="preserve"> only</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some injury respecting her employment terms or conditions,</w:t>
      </w:r>
      <w:r>
        <w:rPr>
          <w:rFonts w:ascii="Times New Roman" w:hAnsi="Times New Roman"/>
          <w:sz w:val="24"/>
          <w:szCs w:val="24"/>
          <w:shd w:val="clear" w:color="auto" w:fill="FFFFFF"/>
        </w:rPr>
        <w:t>’</w:t>
      </w:r>
      <w:r w:rsidRPr="0069068E">
        <w:rPr>
          <w:rFonts w:ascii="Times New Roman" w:hAnsi="Times New Roman"/>
          <w:sz w:val="24"/>
          <w:szCs w:val="24"/>
          <w:shd w:val="clear" w:color="auto" w:fill="FFFFFF"/>
        </w:rPr>
        <w:t xml:space="preserve"> or</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 xml:space="preserve">in other words, a </w:t>
      </w:r>
      <w:r>
        <w:rPr>
          <w:rFonts w:ascii="Times New Roman" w:hAnsi="Times New Roman"/>
          <w:sz w:val="24"/>
          <w:szCs w:val="24"/>
          <w:shd w:val="clear" w:color="auto" w:fill="FFFFFF"/>
        </w:rPr>
        <w:t>‘</w:t>
      </w:r>
      <w:r w:rsidRPr="0069068E">
        <w:rPr>
          <w:rFonts w:ascii="Times New Roman" w:hAnsi="Times New Roman"/>
          <w:sz w:val="24"/>
          <w:szCs w:val="24"/>
          <w:shd w:val="clear" w:color="auto" w:fill="FFFFFF"/>
        </w:rPr>
        <w:t>disadvantageous change in an employment term</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 xml:space="preserve">or </w:t>
      </w:r>
      <w:proofErr w:type="gramStart"/>
      <w:r w:rsidRPr="0069068E">
        <w:rPr>
          <w:rFonts w:ascii="Times New Roman" w:hAnsi="Times New Roman"/>
          <w:sz w:val="24"/>
          <w:szCs w:val="24"/>
          <w:shd w:val="clear" w:color="auto" w:fill="FFFFFF"/>
        </w:rPr>
        <w:t>condition.”</w:t>
      </w:r>
      <w:proofErr w:type="gramEnd"/>
      <w:r w:rsidRPr="0069068E">
        <w:rPr>
          <w:rFonts w:ascii="Times New Roman" w:hAnsi="Times New Roman"/>
          <w:sz w:val="24"/>
          <w:szCs w:val="24"/>
          <w:shd w:val="clear" w:color="auto" w:fill="FFFFFF"/>
        </w:rPr>
        <w:t xml:space="preserve"> Id. at 974, 977 (internal quotation marks omitted).</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But an injury need not constitute significant, serious, or substantial</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harm to suffice under the statute. Id. at 974. Thus, Davis does not</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need to meet our higher pre-Muldrow standard to make out a claim</w:t>
      </w:r>
      <w:r>
        <w:rPr>
          <w:rFonts w:ascii="Times New Roman" w:hAnsi="Times New Roman"/>
          <w:sz w:val="24"/>
          <w:szCs w:val="24"/>
          <w:shd w:val="clear" w:color="auto" w:fill="FFFFFF"/>
        </w:rPr>
        <w:t xml:space="preserve"> </w:t>
      </w:r>
      <w:r w:rsidRPr="0069068E">
        <w:rPr>
          <w:rFonts w:ascii="Times New Roman" w:hAnsi="Times New Roman"/>
          <w:sz w:val="24"/>
          <w:szCs w:val="24"/>
          <w:shd w:val="clear" w:color="auto" w:fill="FFFFFF"/>
        </w:rPr>
        <w:t>for retaliation under Title VII.</w:t>
      </w:r>
      <w:r>
        <w:rPr>
          <w:rFonts w:ascii="Times New Roman" w:hAnsi="Times New Roman"/>
          <w:sz w:val="24"/>
          <w:szCs w:val="24"/>
          <w:shd w:val="clear" w:color="auto" w:fill="FFFFFF"/>
        </w:rPr>
        <w:t>”</w:t>
      </w:r>
    </w:p>
    <w:p w14:paraId="78F7E399" w14:textId="77777777" w:rsidR="004F2EB6" w:rsidRDefault="004F2EB6" w:rsidP="004F2EB6">
      <w:pPr>
        <w:pStyle w:val="NoSpacing"/>
        <w:jc w:val="both"/>
        <w:rPr>
          <w:rFonts w:ascii="Times New Roman" w:hAnsi="Times New Roman"/>
          <w:b/>
          <w:bCs/>
          <w:sz w:val="24"/>
          <w:szCs w:val="24"/>
          <w:shd w:val="clear" w:color="auto" w:fill="FFFFFF"/>
        </w:rPr>
      </w:pPr>
    </w:p>
    <w:p w14:paraId="39A67C11" w14:textId="12AFAFCC" w:rsidR="004F2EB6" w:rsidRPr="004200F9" w:rsidRDefault="004F2EB6" w:rsidP="004F2EB6">
      <w:pPr>
        <w:pStyle w:val="NoSpacing"/>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Legal Lesson Learned: Under the U.S. Supreme Court’s new “some injury” standard, many more discrimination and retaliation cases will now proceed to pre-trial discovery and trial. </w:t>
      </w:r>
    </w:p>
    <w:p w14:paraId="42F26BB9" w14:textId="77777777" w:rsidR="004F2EB6" w:rsidRPr="009D70F9" w:rsidRDefault="004F2EB6" w:rsidP="004F2EB6">
      <w:pPr>
        <w:pStyle w:val="NormalWeb"/>
        <w:ind w:left="720"/>
        <w:rPr>
          <w:color w:val="454545"/>
          <w:shd w:val="clear" w:color="auto" w:fill="FFFFFF"/>
        </w:rPr>
      </w:pPr>
      <w:r w:rsidRPr="009D70F9">
        <w:rPr>
          <w:color w:val="454545"/>
          <w:shd w:val="clear" w:color="auto" w:fill="FFFFFF"/>
        </w:rPr>
        <w:t xml:space="preserve">Note: See this June 15, </w:t>
      </w:r>
      <w:proofErr w:type="gramStart"/>
      <w:r w:rsidRPr="009D70F9">
        <w:rPr>
          <w:color w:val="454545"/>
          <w:shd w:val="clear" w:color="auto" w:fill="FFFFFF"/>
        </w:rPr>
        <w:t>2024</w:t>
      </w:r>
      <w:proofErr w:type="gramEnd"/>
      <w:r w:rsidRPr="009D70F9">
        <w:rPr>
          <w:color w:val="454545"/>
          <w:shd w:val="clear" w:color="auto" w:fill="FFFFFF"/>
        </w:rPr>
        <w:t xml:space="preserve"> article: </w:t>
      </w:r>
      <w:hyperlink r:id="rId2073" w:history="1">
        <w:r w:rsidRPr="009D70F9">
          <w:rPr>
            <w:rStyle w:val="Hyperlink"/>
            <w:shd w:val="clear" w:color="auto" w:fill="FFFFFF"/>
          </w:rPr>
          <w:t>https://www.orangeobserver.com/news/2024/jun/15/breaking-former-orange-county-fire-rescue-battalion-chief-announces-candidacy-for-county-commission-district-1/</w:t>
        </w:r>
      </w:hyperlink>
      <w:r w:rsidRPr="009D70F9">
        <w:rPr>
          <w:color w:val="454545"/>
          <w:shd w:val="clear" w:color="auto" w:fill="FFFFFF"/>
        </w:rPr>
        <w:t xml:space="preserve"> “BREAKING: Former Orange County Fire Rescue battalion chief announces candidacy for County Commission District 1. Stephen Davis in 2021 was fired from the department after he did not reprimand personnel who refused to take the COVID-19 vaccine.” </w:t>
      </w:r>
    </w:p>
    <w:p w14:paraId="761452AA" w14:textId="77777777" w:rsidR="0089006F" w:rsidRDefault="0089006F" w:rsidP="002B1283">
      <w:pPr>
        <w:rPr>
          <w:rFonts w:ascii="Arial Black" w:hAnsi="Arial Black"/>
          <w:b/>
          <w:bCs/>
          <w:sz w:val="28"/>
          <w:szCs w:val="28"/>
        </w:rPr>
      </w:pPr>
    </w:p>
    <w:p w14:paraId="764AD717" w14:textId="77777777" w:rsidR="0089006F" w:rsidRDefault="0089006F" w:rsidP="002B1283">
      <w:pPr>
        <w:rPr>
          <w:rFonts w:ascii="Arial Black" w:hAnsi="Arial Black"/>
          <w:b/>
          <w:bCs/>
          <w:sz w:val="28"/>
          <w:szCs w:val="28"/>
        </w:rPr>
      </w:pPr>
    </w:p>
    <w:p w14:paraId="78D29AF4" w14:textId="6FCF144E" w:rsidR="003C2A76" w:rsidRDefault="003C2A76" w:rsidP="002B1283">
      <w:pPr>
        <w:rPr>
          <w:rFonts w:ascii="Arial Black" w:hAnsi="Arial Black"/>
          <w:b/>
          <w:bCs/>
          <w:sz w:val="28"/>
          <w:szCs w:val="28"/>
        </w:rPr>
      </w:pPr>
      <w:r>
        <w:rPr>
          <w:rFonts w:ascii="Arial Black" w:hAnsi="Arial Black"/>
          <w:b/>
          <w:bCs/>
          <w:sz w:val="28"/>
          <w:szCs w:val="28"/>
        </w:rPr>
        <w:t>13-188</w:t>
      </w:r>
    </w:p>
    <w:p w14:paraId="09F6F2F9" w14:textId="77777777" w:rsidR="003C2A76" w:rsidRPr="0009763F" w:rsidRDefault="003C2A76" w:rsidP="003C2A76">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 xml:space="preserve">DC: ELDERLY WAITED 5 MIN. CALL 911 – DIED UNRELATED ILLNESS – NOT ADMISSIBLE TRIAL - “EXCITED UTTERANCE” </w:t>
      </w:r>
    </w:p>
    <w:p w14:paraId="61D3F653" w14:textId="77777777" w:rsidR="003C2A76" w:rsidRDefault="003C2A76" w:rsidP="003C2A76">
      <w:pPr>
        <w:pStyle w:val="NormalWeb"/>
        <w:rPr>
          <w:color w:val="454545"/>
          <w:shd w:val="clear" w:color="auto" w:fill="FFFFFF"/>
        </w:rPr>
      </w:pPr>
      <w:r w:rsidRPr="009253E0">
        <w:rPr>
          <w:color w:val="454545"/>
          <w:shd w:val="clear" w:color="auto" w:fill="FFFFFF"/>
        </w:rPr>
        <w:t xml:space="preserve">On May 23, 2024, in </w:t>
      </w:r>
      <w:r w:rsidRPr="00F018C0">
        <w:rPr>
          <w:color w:val="454545"/>
          <w:u w:val="single"/>
          <w:shd w:val="clear" w:color="auto" w:fill="FFFFFF"/>
        </w:rPr>
        <w:t>Joshua C. Austin v. United States</w:t>
      </w:r>
      <w:r w:rsidRPr="009253E0">
        <w:rPr>
          <w:color w:val="454545"/>
          <w:shd w:val="clear" w:color="auto" w:fill="FFFFFF"/>
        </w:rPr>
        <w:t xml:space="preserve">, the D.C. Court of Appeals held (3 to 0) </w:t>
      </w:r>
      <w:r>
        <w:rPr>
          <w:color w:val="454545"/>
          <w:shd w:val="clear" w:color="auto" w:fill="FFFFFF"/>
        </w:rPr>
        <w:t xml:space="preserve">that robbery jury conviction should be reversed; but burglary and assault convictions upheld.  He followed </w:t>
      </w:r>
      <w:proofErr w:type="gramStart"/>
      <w:r>
        <w:rPr>
          <w:color w:val="454545"/>
          <w:shd w:val="clear" w:color="auto" w:fill="FFFFFF"/>
        </w:rPr>
        <w:t>68-year old</w:t>
      </w:r>
      <w:proofErr w:type="gramEnd"/>
      <w:r>
        <w:rPr>
          <w:color w:val="454545"/>
          <w:shd w:val="clear" w:color="auto" w:fill="FFFFFF"/>
        </w:rPr>
        <w:t xml:space="preserve"> woman from grocery store to her apartment, threw her down steps and stole $60.  She called 911 about 5 minutes after the incident and gave a good description of the assailant. Prior to trial, the victim died from long illness unrelated to the assault.  The Court held:</w:t>
      </w:r>
    </w:p>
    <w:p w14:paraId="1B9DAD04" w14:textId="77777777" w:rsidR="003C2A76" w:rsidRPr="009253E0" w:rsidRDefault="003C2A76" w:rsidP="003C2A76">
      <w:pPr>
        <w:pStyle w:val="NormalWeb"/>
        <w:ind w:left="720" w:firstLine="60"/>
        <w:rPr>
          <w:color w:val="454545"/>
          <w:shd w:val="clear" w:color="auto" w:fill="FFFFFF"/>
        </w:rPr>
      </w:pPr>
      <w:r>
        <w:rPr>
          <w:color w:val="454545"/>
          <w:shd w:val="clear" w:color="auto" w:fill="FFFFFF"/>
        </w:rPr>
        <w:t>“</w:t>
      </w:r>
      <w:r w:rsidRPr="00875420">
        <w:rPr>
          <w:color w:val="454545"/>
          <w:shd w:val="clear" w:color="auto" w:fill="FFFFFF"/>
        </w:rPr>
        <w:t>Here, a reasonable person—from the perspective of either Ms. Marvil or the</w:t>
      </w:r>
      <w:r>
        <w:rPr>
          <w:color w:val="454545"/>
          <w:shd w:val="clear" w:color="auto" w:fill="FFFFFF"/>
        </w:rPr>
        <w:t xml:space="preserve"> </w:t>
      </w:r>
      <w:r w:rsidRPr="00875420">
        <w:rPr>
          <w:color w:val="454545"/>
          <w:shd w:val="clear" w:color="auto" w:fill="FFFFFF"/>
        </w:rPr>
        <w:t>911 operator—would not have believed that there was an ongoing emergency at the</w:t>
      </w:r>
      <w:r>
        <w:rPr>
          <w:color w:val="454545"/>
          <w:shd w:val="clear" w:color="auto" w:fill="FFFFFF"/>
        </w:rPr>
        <w:t xml:space="preserve"> </w:t>
      </w:r>
      <w:r w:rsidRPr="00875420">
        <w:rPr>
          <w:color w:val="454545"/>
          <w:shd w:val="clear" w:color="auto" w:fill="FFFFFF"/>
        </w:rPr>
        <w:t>time of the 911 call.</w:t>
      </w:r>
      <w:r>
        <w:rPr>
          <w:color w:val="454545"/>
          <w:shd w:val="clear" w:color="auto" w:fill="FFFFFF"/>
        </w:rPr>
        <w:t xml:space="preserve"> *** </w:t>
      </w:r>
      <w:r w:rsidRPr="00E35A07">
        <w:rPr>
          <w:color w:val="454545"/>
          <w:shd w:val="clear" w:color="auto" w:fill="FFFFFF"/>
        </w:rPr>
        <w:t xml:space="preserve">Considering the factors </w:t>
      </w:r>
      <w:proofErr w:type="gramStart"/>
      <w:r w:rsidRPr="00E35A07">
        <w:rPr>
          <w:color w:val="454545"/>
          <w:shd w:val="clear" w:color="auto" w:fill="FFFFFF"/>
        </w:rPr>
        <w:t>on the whole</w:t>
      </w:r>
      <w:proofErr w:type="gramEnd"/>
      <w:r w:rsidRPr="00E35A07">
        <w:rPr>
          <w:color w:val="454545"/>
          <w:shd w:val="clear" w:color="auto" w:fill="FFFFFF"/>
        </w:rPr>
        <w:t>, we conclude that the emergency had</w:t>
      </w:r>
      <w:r>
        <w:rPr>
          <w:color w:val="454545"/>
          <w:shd w:val="clear" w:color="auto" w:fill="FFFFFF"/>
        </w:rPr>
        <w:t xml:space="preserve"> </w:t>
      </w:r>
      <w:r w:rsidRPr="00E35A07">
        <w:rPr>
          <w:color w:val="454545"/>
          <w:shd w:val="clear" w:color="auto" w:fill="FFFFFF"/>
        </w:rPr>
        <w:t>subsided by the time Ms. Marvil called 911.</w:t>
      </w:r>
      <w:r>
        <w:rPr>
          <w:color w:val="454545"/>
          <w:shd w:val="clear" w:color="auto" w:fill="FFFFFF"/>
        </w:rPr>
        <w:t xml:space="preserve">” </w:t>
      </w:r>
      <w:hyperlink r:id="rId2074" w:history="1">
        <w:r w:rsidRPr="00F80308">
          <w:rPr>
            <w:rStyle w:val="Hyperlink"/>
            <w:shd w:val="clear" w:color="auto" w:fill="FFFFFF"/>
          </w:rPr>
          <w:t>https://www.dccourts.gov/sites/default/files/2024-05/Austin%20v.%20US%2022-CF-0085.pdf</w:t>
        </w:r>
      </w:hyperlink>
      <w:r>
        <w:rPr>
          <w:color w:val="454545"/>
          <w:shd w:val="clear" w:color="auto" w:fill="FFFFFF"/>
        </w:rPr>
        <w:t xml:space="preserve"> </w:t>
      </w:r>
    </w:p>
    <w:p w14:paraId="16288BBD" w14:textId="77777777" w:rsidR="00C825BD" w:rsidRDefault="00C825BD" w:rsidP="00C825BD">
      <w:pPr>
        <w:pStyle w:val="NoSpacing"/>
        <w:rPr>
          <w:rFonts w:ascii="Times New Roman" w:hAnsi="Times New Roman"/>
          <w:b/>
          <w:bCs/>
          <w:sz w:val="24"/>
          <w:szCs w:val="24"/>
          <w:shd w:val="clear" w:color="auto" w:fill="FFFFFF"/>
        </w:rPr>
      </w:pPr>
      <w:r w:rsidRPr="000349F6">
        <w:rPr>
          <w:rFonts w:ascii="Times New Roman" w:hAnsi="Times New Roman"/>
          <w:b/>
          <w:bCs/>
          <w:sz w:val="24"/>
          <w:szCs w:val="24"/>
          <w:shd w:val="clear" w:color="auto" w:fill="FFFFFF"/>
        </w:rPr>
        <w:t xml:space="preserve">Legal Lesson Learned: </w:t>
      </w:r>
      <w:r>
        <w:rPr>
          <w:rFonts w:ascii="Times New Roman" w:hAnsi="Times New Roman"/>
          <w:b/>
          <w:bCs/>
          <w:sz w:val="24"/>
          <w:szCs w:val="24"/>
          <w:shd w:val="clear" w:color="auto" w:fill="FFFFFF"/>
        </w:rPr>
        <w:t xml:space="preserve"> The “excited utterance” exception is well established in numerous court decisions – admissible if the declarant is still under stress from a startling event; the trial court judge made a well-reasoned decision. </w:t>
      </w:r>
    </w:p>
    <w:p w14:paraId="2C858A88" w14:textId="77777777" w:rsidR="00C825BD" w:rsidRDefault="00C825BD" w:rsidP="00C825BD">
      <w:pPr>
        <w:pStyle w:val="NoSpacing"/>
        <w:ind w:left="720"/>
        <w:rPr>
          <w:rFonts w:ascii="Times New Roman" w:hAnsi="Times New Roman"/>
          <w:sz w:val="24"/>
          <w:szCs w:val="24"/>
          <w:shd w:val="clear" w:color="auto" w:fill="FFFFFF"/>
        </w:rPr>
      </w:pPr>
    </w:p>
    <w:p w14:paraId="1A205814" w14:textId="77777777" w:rsidR="00C825BD" w:rsidRDefault="00C825BD" w:rsidP="00C825BD">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 xml:space="preserve">Note: </w:t>
      </w:r>
    </w:p>
    <w:p w14:paraId="65DFB47B" w14:textId="77777777" w:rsidR="00C825BD" w:rsidRDefault="00C825BD" w:rsidP="00C825BD">
      <w:pPr>
        <w:pStyle w:val="NoSpacing"/>
        <w:ind w:left="720"/>
        <w:rPr>
          <w:rFonts w:ascii="Times New Roman" w:hAnsi="Times New Roman"/>
          <w:sz w:val="24"/>
          <w:szCs w:val="24"/>
          <w:shd w:val="clear" w:color="auto" w:fill="FFFFFF"/>
        </w:rPr>
      </w:pPr>
    </w:p>
    <w:p w14:paraId="521BBBE2" w14:textId="77777777" w:rsidR="00C825BD" w:rsidRPr="00E62F56" w:rsidRDefault="00C825BD" w:rsidP="00C825BD">
      <w:pPr>
        <w:pStyle w:val="NoSpacing"/>
        <w:ind w:left="720"/>
        <w:rPr>
          <w:rFonts w:ascii="Times New Roman" w:hAnsi="Times New Roman"/>
          <w:b/>
          <w:bCs/>
          <w:sz w:val="24"/>
          <w:szCs w:val="24"/>
          <w:shd w:val="clear" w:color="auto" w:fill="FFFFFF"/>
        </w:rPr>
      </w:pPr>
      <w:r w:rsidRPr="00C1174E">
        <w:rPr>
          <w:rFonts w:ascii="Times New Roman" w:hAnsi="Times New Roman"/>
          <w:b/>
          <w:bCs/>
          <w:sz w:val="24"/>
          <w:szCs w:val="24"/>
          <w:shd w:val="clear" w:color="auto" w:fill="FFFFFF"/>
        </w:rPr>
        <w:t>“</w:t>
      </w:r>
      <w:r w:rsidRPr="00C1174E">
        <w:rPr>
          <w:rFonts w:ascii="Times New Roman" w:hAnsi="Times New Roman"/>
          <w:sz w:val="24"/>
          <w:szCs w:val="24"/>
        </w:rPr>
        <w:t>Excited utterance, under the</w:t>
      </w:r>
      <w:hyperlink r:id="rId2075" w:history="1">
        <w:r w:rsidRPr="00C1174E">
          <w:rPr>
            <w:rStyle w:val="Hyperlink"/>
            <w:rFonts w:ascii="Times New Roman" w:hAnsi="Times New Roman"/>
            <w:color w:val="auto"/>
            <w:sz w:val="24"/>
            <w:szCs w:val="24"/>
          </w:rPr>
          <w:t xml:space="preserve"> Federal Rules of Evidence</w:t>
        </w:r>
      </w:hyperlink>
      <w:r w:rsidRPr="00C1174E">
        <w:rPr>
          <w:rFonts w:ascii="Times New Roman" w:hAnsi="Times New Roman"/>
          <w:sz w:val="24"/>
          <w:szCs w:val="24"/>
        </w:rPr>
        <w:t xml:space="preserve">, is defined as a statement that concerns a startling event, made by the </w:t>
      </w:r>
      <w:hyperlink r:id="rId2076" w:history="1">
        <w:r w:rsidRPr="00C1174E">
          <w:rPr>
            <w:rStyle w:val="Hyperlink"/>
            <w:rFonts w:ascii="Times New Roman" w:hAnsi="Times New Roman"/>
            <w:color w:val="auto"/>
            <w:sz w:val="24"/>
            <w:szCs w:val="24"/>
          </w:rPr>
          <w:t>declarant</w:t>
        </w:r>
      </w:hyperlink>
      <w:r w:rsidRPr="00C1174E">
        <w:rPr>
          <w:rFonts w:ascii="Times New Roman" w:hAnsi="Times New Roman"/>
          <w:sz w:val="24"/>
          <w:szCs w:val="24"/>
        </w:rPr>
        <w:t xml:space="preserve"> when the declarant is still under stress from the startling event. Excited utterance is an exception to the</w:t>
      </w:r>
      <w:hyperlink r:id="rId2077" w:history="1">
        <w:r w:rsidRPr="00C1174E">
          <w:rPr>
            <w:rStyle w:val="Hyperlink"/>
            <w:rFonts w:ascii="Times New Roman" w:hAnsi="Times New Roman"/>
            <w:color w:val="auto"/>
            <w:sz w:val="24"/>
            <w:szCs w:val="24"/>
          </w:rPr>
          <w:t xml:space="preserve"> hearsay</w:t>
        </w:r>
      </w:hyperlink>
      <w:r w:rsidRPr="00C1174E">
        <w:rPr>
          <w:rFonts w:ascii="Times New Roman" w:hAnsi="Times New Roman"/>
          <w:sz w:val="24"/>
          <w:szCs w:val="24"/>
        </w:rPr>
        <w:t xml:space="preserve"> rule.” </w:t>
      </w:r>
      <w:hyperlink r:id="rId2078" w:history="1">
        <w:r w:rsidRPr="00F80308">
          <w:rPr>
            <w:rStyle w:val="Hyperlink"/>
            <w:rFonts w:ascii="Times New Roman" w:hAnsi="Times New Roman"/>
            <w:sz w:val="24"/>
            <w:szCs w:val="24"/>
          </w:rPr>
          <w:t>https://www.law.cornell.edu/wex/excited_utterance</w:t>
        </w:r>
      </w:hyperlink>
      <w:r>
        <w:rPr>
          <w:rFonts w:ascii="Times New Roman" w:hAnsi="Times New Roman"/>
          <w:sz w:val="24"/>
          <w:szCs w:val="24"/>
        </w:rPr>
        <w:t xml:space="preserve"> </w:t>
      </w:r>
    </w:p>
    <w:p w14:paraId="0D03A7D8" w14:textId="77777777" w:rsidR="00C825BD" w:rsidRDefault="00C825BD" w:rsidP="00C825BD">
      <w:pPr>
        <w:pStyle w:val="NoSpacing"/>
        <w:ind w:left="720"/>
        <w:rPr>
          <w:rFonts w:ascii="Times New Roman" w:hAnsi="Times New Roman"/>
          <w:sz w:val="24"/>
          <w:szCs w:val="24"/>
          <w:shd w:val="clear" w:color="auto" w:fill="FFFFFF"/>
        </w:rPr>
      </w:pPr>
    </w:p>
    <w:p w14:paraId="604ABBAB" w14:textId="77777777" w:rsidR="00C825BD" w:rsidRDefault="00C825BD" w:rsidP="00C825BD">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The defendant will be resentenced; he was originally sentenced to 24 years in prison. The Court wrote:</w:t>
      </w:r>
    </w:p>
    <w:p w14:paraId="2E0E83C9" w14:textId="77777777" w:rsidR="00C825BD" w:rsidRDefault="00C825BD" w:rsidP="00C825BD">
      <w:pPr>
        <w:pStyle w:val="NoSpacing"/>
        <w:ind w:firstLine="720"/>
        <w:rPr>
          <w:rFonts w:ascii="Times New Roman" w:hAnsi="Times New Roman"/>
          <w:sz w:val="24"/>
          <w:szCs w:val="24"/>
          <w:shd w:val="clear" w:color="auto" w:fill="FFFFFF"/>
        </w:rPr>
      </w:pPr>
    </w:p>
    <w:p w14:paraId="7DE288BD" w14:textId="77777777" w:rsidR="00C825BD" w:rsidRDefault="00C825BD" w:rsidP="00C825BD">
      <w:pPr>
        <w:pStyle w:val="NoSpacing"/>
        <w:ind w:left="1440"/>
        <w:rPr>
          <w:rFonts w:ascii="Times New Roman" w:hAnsi="Times New Roman"/>
          <w:sz w:val="24"/>
          <w:szCs w:val="24"/>
          <w:shd w:val="clear" w:color="auto" w:fill="FFFFFF"/>
        </w:rPr>
      </w:pPr>
      <w:r>
        <w:rPr>
          <w:rFonts w:ascii="Times New Roman" w:hAnsi="Times New Roman"/>
          <w:sz w:val="24"/>
          <w:szCs w:val="24"/>
          <w:shd w:val="clear" w:color="auto" w:fill="FFFFFF"/>
        </w:rPr>
        <w:t>“</w:t>
      </w:r>
      <w:r w:rsidRPr="0009763F">
        <w:rPr>
          <w:rFonts w:ascii="Times New Roman" w:hAnsi="Times New Roman"/>
          <w:sz w:val="24"/>
          <w:szCs w:val="24"/>
          <w:shd w:val="clear" w:color="auto" w:fill="FFFFFF"/>
        </w:rPr>
        <w:t>We further</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conclude that the government has failed to demonstrate that the error was harmless</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beyond a reasonable doubt as to Mr. Austin’s robbery conviction and his assault-with-intent-to-rob conviction. We are satisfied beyond a reasonable doubt, however,</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that, even without the erroneous admission of the 911 call, a rational jury would have</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found Mr. Austin guilty of burglary and simple assault as a lesser-included offense</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of assault with intent to rob. We therefore reverse Mr. Austin’s robbery and assault-with-intent-to-rob convictions, affirm Mr. Austin’s burglary conviction, and remand</w:t>
      </w:r>
      <w:r>
        <w:rPr>
          <w:rFonts w:ascii="Times New Roman" w:hAnsi="Times New Roman"/>
          <w:sz w:val="24"/>
          <w:szCs w:val="24"/>
          <w:shd w:val="clear" w:color="auto" w:fill="FFFFFF"/>
        </w:rPr>
        <w:t xml:space="preserve"> </w:t>
      </w:r>
      <w:r w:rsidRPr="0009763F">
        <w:rPr>
          <w:rFonts w:ascii="Times New Roman" w:hAnsi="Times New Roman"/>
          <w:sz w:val="24"/>
          <w:szCs w:val="24"/>
          <w:shd w:val="clear" w:color="auto" w:fill="FFFFFF"/>
        </w:rPr>
        <w:t>for entry of a conviction for assault and resentencing.</w:t>
      </w:r>
      <w:r>
        <w:rPr>
          <w:rFonts w:ascii="Times New Roman" w:hAnsi="Times New Roman"/>
          <w:sz w:val="24"/>
          <w:szCs w:val="24"/>
          <w:shd w:val="clear" w:color="auto" w:fill="FFFFFF"/>
        </w:rPr>
        <w:t>”</w:t>
      </w:r>
    </w:p>
    <w:p w14:paraId="61F187E3" w14:textId="77777777" w:rsidR="003C2A76" w:rsidRDefault="003C2A76" w:rsidP="002B1283">
      <w:pPr>
        <w:rPr>
          <w:rFonts w:ascii="Arial Black" w:hAnsi="Arial Black"/>
          <w:b/>
          <w:bCs/>
          <w:sz w:val="28"/>
          <w:szCs w:val="28"/>
        </w:rPr>
      </w:pPr>
    </w:p>
    <w:p w14:paraId="761515CC" w14:textId="77777777" w:rsidR="00E84210" w:rsidRDefault="00E84210" w:rsidP="002B1283">
      <w:pPr>
        <w:rPr>
          <w:rFonts w:ascii="Arial Black" w:hAnsi="Arial Black"/>
          <w:b/>
          <w:bCs/>
          <w:sz w:val="28"/>
          <w:szCs w:val="28"/>
        </w:rPr>
      </w:pPr>
    </w:p>
    <w:p w14:paraId="637F179E" w14:textId="2A42CF44" w:rsidR="00E84210" w:rsidRDefault="00E84210" w:rsidP="002B1283">
      <w:pPr>
        <w:rPr>
          <w:rFonts w:ascii="Arial Black" w:hAnsi="Arial Black"/>
          <w:b/>
          <w:bCs/>
          <w:sz w:val="28"/>
          <w:szCs w:val="28"/>
        </w:rPr>
      </w:pPr>
      <w:r>
        <w:rPr>
          <w:rFonts w:ascii="Arial Black" w:hAnsi="Arial Black"/>
          <w:b/>
          <w:bCs/>
          <w:sz w:val="28"/>
          <w:szCs w:val="28"/>
        </w:rPr>
        <w:t>13-187</w:t>
      </w:r>
    </w:p>
    <w:p w14:paraId="48CE8FED" w14:textId="77777777" w:rsidR="00595A8A" w:rsidRDefault="00595A8A" w:rsidP="00595A8A">
      <w:pPr>
        <w:pStyle w:val="NormalWeb"/>
        <w:rPr>
          <w:rFonts w:ascii="Arial Black" w:hAnsi="Arial Black"/>
          <w:sz w:val="28"/>
          <w:szCs w:val="28"/>
        </w:rPr>
      </w:pPr>
      <w:r>
        <w:rPr>
          <w:rFonts w:ascii="Arial Black" w:hAnsi="Arial Black"/>
          <w:sz w:val="28"/>
          <w:szCs w:val="28"/>
        </w:rPr>
        <w:t>AR:  PATIENT CONV. ASSAULT 2 PHOENIX FF -  PT THEN  SUES 5 PHOENIX FF EXCESSIVE FORCE – CASE PROCEED</w:t>
      </w:r>
    </w:p>
    <w:p w14:paraId="37744F70" w14:textId="77777777" w:rsidR="00595A8A" w:rsidRDefault="00595A8A" w:rsidP="00595A8A">
      <w:pPr>
        <w:pStyle w:val="NormalWeb"/>
      </w:pPr>
      <w:r>
        <w:t xml:space="preserve">On May 30, 2024, in </w:t>
      </w:r>
      <w:r w:rsidRPr="00504191">
        <w:rPr>
          <w:u w:val="single"/>
        </w:rPr>
        <w:t>Alan Troy Nimer v. Justin Broek, et al</w:t>
      </w:r>
      <w:r>
        <w:t>., the U.S. Court of Appeals for the 9</w:t>
      </w:r>
      <w:r w:rsidRPr="00504191">
        <w:rPr>
          <w:vertAlign w:val="superscript"/>
        </w:rPr>
        <w:t>th</w:t>
      </w:r>
      <w:r>
        <w:t xml:space="preserve"> Circuit, held (3 to 0; unpublished decision) that trial court improperly granted defense motion to dismiss.  The patient was convicted in state court of two counts of aggravated assault against two EMS – injuring two firefighters.  The Court held:</w:t>
      </w:r>
    </w:p>
    <w:p w14:paraId="04185B73" w14:textId="77777777" w:rsidR="00595A8A" w:rsidRDefault="00595A8A" w:rsidP="00595A8A">
      <w:pPr>
        <w:pStyle w:val="NormalWeb"/>
        <w:ind w:left="720"/>
      </w:pPr>
      <w:r>
        <w:t xml:space="preserve">“Hence, Nimer's claims are not </w:t>
      </w:r>
      <w:r>
        <w:rPr>
          <w:rStyle w:val="Emphasis"/>
          <w:rFonts w:eastAsiaTheme="majorEastAsia"/>
        </w:rPr>
        <w:t>Heck</w:t>
      </w:r>
      <w:r>
        <w:t xml:space="preserve">-barred because Nimer's success in this action would not </w:t>
      </w:r>
      <w:r>
        <w:rPr>
          <w:rStyle w:val="Emphasis"/>
          <w:rFonts w:eastAsiaTheme="majorEastAsia"/>
        </w:rPr>
        <w:t>necessarily</w:t>
      </w:r>
      <w:r>
        <w:t xml:space="preserve"> contradict his conviction. To the contrary, viewing the evidence in the light most favorable to Nimer, there is a genuine dispute of fact as to whether Defendants engaged in excessive force after Nimer completed the aggravated assault. </w:t>
      </w:r>
      <w:r>
        <w:rPr>
          <w:rStyle w:val="Emphasis"/>
          <w:rFonts w:eastAsiaTheme="majorEastAsia"/>
        </w:rPr>
        <w:t>See Smith</w:t>
      </w:r>
      <w:r>
        <w:t xml:space="preserve">, 394 F.3d at 699. We therefore reverse the district court's grant of summary judgment in favor of Defendants with respect to Nimer's excessive force and unconstitutional seizure claims. We remand for the district court to consider the merits of those claims in the first </w:t>
      </w:r>
      <w:proofErr w:type="gramStart"/>
      <w:r>
        <w:t>instance.”</w:t>
      </w:r>
      <w:proofErr w:type="gramEnd"/>
      <w:r>
        <w:t xml:space="preserve"> </w:t>
      </w:r>
      <w:hyperlink r:id="rId2079" w:history="1">
        <w:r w:rsidRPr="005176E1">
          <w:rPr>
            <w:rStyle w:val="Hyperlink"/>
          </w:rPr>
          <w:t>https://cases.justia.com/federal/appellate-courts/ca9/21-15252/21-15252-2024-05-20.pdf?ts=1716226339</w:t>
        </w:r>
      </w:hyperlink>
      <w:r>
        <w:t xml:space="preserve"> </w:t>
      </w:r>
    </w:p>
    <w:p w14:paraId="07D09180" w14:textId="77777777" w:rsidR="00F039A1" w:rsidRPr="00E62A89" w:rsidRDefault="00F039A1" w:rsidP="00F039A1">
      <w:pPr>
        <w:pStyle w:val="NormalWeb"/>
        <w:rPr>
          <w:b/>
          <w:bCs/>
        </w:rPr>
      </w:pPr>
      <w:r w:rsidRPr="00E62A89">
        <w:rPr>
          <w:b/>
          <w:bCs/>
        </w:rPr>
        <w:t>Legal Lesson Learned:</w:t>
      </w:r>
      <w:r>
        <w:rPr>
          <w:b/>
          <w:bCs/>
        </w:rPr>
        <w:t xml:space="preserve"> Patients assaulting EMS are unfortunately quite common, but a decision allowing a lawsuit to proceed against EMS by a patient convicted for assaulting the EMS is quite rare.  Body cameras could hopefully avoid similar cases. </w:t>
      </w:r>
    </w:p>
    <w:p w14:paraId="4BA94431" w14:textId="77777777" w:rsidR="00E84210" w:rsidRDefault="00E84210" w:rsidP="002B1283">
      <w:pPr>
        <w:rPr>
          <w:rFonts w:ascii="Arial Black" w:hAnsi="Arial Black"/>
          <w:b/>
          <w:bCs/>
          <w:sz w:val="28"/>
          <w:szCs w:val="28"/>
        </w:rPr>
      </w:pPr>
    </w:p>
    <w:p w14:paraId="0308C338" w14:textId="77777777" w:rsidR="00E84210" w:rsidRDefault="00E84210" w:rsidP="002B1283">
      <w:pPr>
        <w:rPr>
          <w:rFonts w:ascii="Arial Black" w:hAnsi="Arial Black"/>
          <w:b/>
          <w:bCs/>
          <w:sz w:val="28"/>
          <w:szCs w:val="28"/>
        </w:rPr>
      </w:pPr>
    </w:p>
    <w:p w14:paraId="66A1EEE4" w14:textId="1DB9FC17" w:rsidR="00D430E2" w:rsidRDefault="00D430E2" w:rsidP="002B1283">
      <w:pPr>
        <w:rPr>
          <w:rFonts w:ascii="Arial Black" w:hAnsi="Arial Black"/>
          <w:b/>
          <w:bCs/>
          <w:sz w:val="28"/>
          <w:szCs w:val="28"/>
        </w:rPr>
      </w:pPr>
      <w:r>
        <w:rPr>
          <w:rFonts w:ascii="Arial Black" w:hAnsi="Arial Black"/>
          <w:b/>
          <w:bCs/>
          <w:sz w:val="28"/>
          <w:szCs w:val="28"/>
        </w:rPr>
        <w:t>13-186</w:t>
      </w:r>
    </w:p>
    <w:p w14:paraId="55E3E808" w14:textId="7F7E572F" w:rsidR="006309AC" w:rsidRPr="0014478E" w:rsidRDefault="006309AC" w:rsidP="006309AC">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NC: P</w:t>
      </w:r>
      <w:r w:rsidR="00C760FE">
        <w:rPr>
          <w:rFonts w:ascii="Arial Black" w:hAnsi="Arial Black"/>
          <w:b/>
          <w:bCs/>
          <w:color w:val="454545"/>
          <w:sz w:val="28"/>
          <w:szCs w:val="28"/>
          <w:shd w:val="clear" w:color="auto" w:fill="FFFFFF"/>
        </w:rPr>
        <w:t>T</w:t>
      </w:r>
      <w:r>
        <w:rPr>
          <w:rFonts w:ascii="Arial Black" w:hAnsi="Arial Black"/>
          <w:b/>
          <w:bCs/>
          <w:color w:val="454545"/>
          <w:sz w:val="28"/>
          <w:szCs w:val="28"/>
          <w:shd w:val="clear" w:color="auto" w:fill="FFFFFF"/>
        </w:rPr>
        <w:t xml:space="preserve"> CONVICTED ASSAULTING “EMT” DURING TRANSPORT –ASSAULT ON “PARAMEDIC”</w:t>
      </w:r>
      <w:r w:rsidR="00C760FE">
        <w:rPr>
          <w:rFonts w:ascii="Arial Black" w:hAnsi="Arial Black"/>
          <w:b/>
          <w:bCs/>
          <w:color w:val="454545"/>
          <w:sz w:val="28"/>
          <w:szCs w:val="28"/>
          <w:shd w:val="clear" w:color="auto" w:fill="FFFFFF"/>
        </w:rPr>
        <w:t xml:space="preserve"> INCLUDES EMT</w:t>
      </w:r>
    </w:p>
    <w:p w14:paraId="23494D8E" w14:textId="77777777" w:rsidR="006309AC" w:rsidRDefault="006309AC" w:rsidP="006309AC">
      <w:pPr>
        <w:pStyle w:val="NormalWeb"/>
        <w:spacing w:before="0" w:beforeAutospacing="0"/>
      </w:pPr>
      <w:r>
        <w:t xml:space="preserve">On May 21, 2024, in </w:t>
      </w:r>
      <w:r w:rsidRPr="00782B8A">
        <w:rPr>
          <w:u w:val="single"/>
        </w:rPr>
        <w:t>State of North Carolina v. Rachel Shalom Juran</w:t>
      </w:r>
      <w:r>
        <w:t>, the Court of Appeals of North Carolina held (3 to 0) that under N.C. statutes, assault on a paramedic is considered an assault on an EMT.  During transport, the defendant became agitated and forcefully grabbed and squeezed the paramedic’s hand, and the ambulance driver had to pull over to assist the medic.  The EMS Supervisor came to scene along with PD and rode in ambulance to hospital.  When the patient was released from hospital she was arrested.  Jury convicted but Judge only sentenced her to 6 to 17 months' imprisonment suspended for 24 months' supervised probation The Court held:</w:t>
      </w:r>
    </w:p>
    <w:p w14:paraId="4E310179" w14:textId="77777777" w:rsidR="006309AC" w:rsidRDefault="006309AC" w:rsidP="006309AC">
      <w:pPr>
        <w:pStyle w:val="NormalWeb"/>
        <w:spacing w:before="0" w:beforeAutospacing="0"/>
        <w:ind w:left="720"/>
      </w:pPr>
      <w:r>
        <w:t xml:space="preserve">“Here, Defendant was charged with assault on an EMT as the indictment stated, in relevant part, Defendant "unlawfully, willfully and feloniously did assault [Lueth], an emergency medical technician[.]"  Notably, although N.C. Gen. Stat. § 14-34.6 does not specifically define emergency medical technician, other statutes within this same chapter define ‘emergency medical technician’ to include a paramedic. </w:t>
      </w:r>
      <w:r>
        <w:rPr>
          <w:rStyle w:val="Emphasis"/>
          <w:rFonts w:eastAsiaTheme="majorEastAsia"/>
        </w:rPr>
        <w:t>See</w:t>
      </w:r>
      <w:r>
        <w:t xml:space="preserve"> N.C. Gen. Stat. § 14-69.3(a)(1) (2023). Nonetheless, even if ‘emergency medical technician’ as applied under N.C. Gen. Stat. § 14-34.6 was not intended to include paramedics, whether the victim was an emergency medical technician or paramedic is a distinction without difference for the purpose of the charging statute. While we recognize the credentials of a paramedic differ from those of an EMT, the gist of the offense at issue remains the same notwithstanding the victim's credentials. </w:t>
      </w:r>
      <w:r>
        <w:rPr>
          <w:rStyle w:val="Emphasis"/>
          <w:rFonts w:eastAsiaTheme="majorEastAsia"/>
        </w:rPr>
        <w:t>See</w:t>
      </w:r>
      <w:r>
        <w:t xml:space="preserve"> N.C. Gen. Stat. § 131E-155(10), (15a) (2023). Moreover, Defendant would be charged under the same statute regardless of whether she assaulted a paramedic or an EMT.” </w:t>
      </w:r>
      <w:hyperlink r:id="rId2080" w:history="1">
        <w:r w:rsidRPr="004F7BC4">
          <w:rPr>
            <w:rStyle w:val="Hyperlink"/>
          </w:rPr>
          <w:t>https://cases.justia.com/north-carolina/court-of-appeals/2024-23-881.pdf?ts=1716294565</w:t>
        </w:r>
      </w:hyperlink>
      <w:r>
        <w:t xml:space="preserve"> </w:t>
      </w:r>
    </w:p>
    <w:p w14:paraId="1060F4F2" w14:textId="77777777" w:rsidR="00E84210" w:rsidRPr="00CD320B" w:rsidRDefault="00E84210" w:rsidP="00E84210">
      <w:pPr>
        <w:spacing w:after="100" w:line="240" w:lineRule="auto"/>
        <w:rPr>
          <w:rFonts w:ascii="Times New Roman" w:eastAsia="Times New Roman" w:hAnsi="Times New Roman"/>
          <w:b/>
          <w:bCs/>
          <w:sz w:val="24"/>
          <w:szCs w:val="24"/>
        </w:rPr>
      </w:pPr>
      <w:r w:rsidRPr="0090745C">
        <w:rPr>
          <w:rFonts w:ascii="Times New Roman" w:hAnsi="Times New Roman"/>
          <w:b/>
          <w:bCs/>
          <w:sz w:val="24"/>
          <w:szCs w:val="24"/>
        </w:rPr>
        <w:t>Legal Lesson Learned:</w:t>
      </w:r>
      <w:r>
        <w:rPr>
          <w:rFonts w:ascii="Times New Roman" w:hAnsi="Times New Roman"/>
          <w:b/>
          <w:bCs/>
          <w:sz w:val="24"/>
          <w:szCs w:val="24"/>
        </w:rPr>
        <w:t xml:space="preserve"> </w:t>
      </w:r>
      <w:r w:rsidRPr="00CD320B">
        <w:rPr>
          <w:rFonts w:ascii="Times New Roman" w:hAnsi="Times New Roman"/>
          <w:b/>
          <w:bCs/>
          <w:sz w:val="24"/>
          <w:szCs w:val="24"/>
        </w:rPr>
        <w:t>Strange appeal the NC statute clearly applies to “</w:t>
      </w:r>
      <w:r w:rsidRPr="00CD320B">
        <w:rPr>
          <w:rFonts w:ascii="Times New Roman" w:eastAsia="Times New Roman" w:hAnsi="Times New Roman"/>
          <w:b/>
          <w:bCs/>
          <w:sz w:val="24"/>
          <w:szCs w:val="24"/>
        </w:rPr>
        <w:t>An emergency medical technician or other emergency health care provider.”</w:t>
      </w:r>
    </w:p>
    <w:p w14:paraId="14447272" w14:textId="77777777" w:rsidR="00D430E2" w:rsidRDefault="00D430E2" w:rsidP="002B1283">
      <w:pPr>
        <w:rPr>
          <w:rFonts w:ascii="Arial Black" w:hAnsi="Arial Black"/>
          <w:b/>
          <w:bCs/>
          <w:sz w:val="28"/>
          <w:szCs w:val="28"/>
        </w:rPr>
      </w:pPr>
    </w:p>
    <w:p w14:paraId="5BB736C3" w14:textId="173E6478" w:rsidR="00766805" w:rsidRDefault="00766805" w:rsidP="001C2F88">
      <w:pPr>
        <w:rPr>
          <w:rFonts w:ascii="Arial Black" w:hAnsi="Arial Black"/>
          <w:sz w:val="28"/>
          <w:szCs w:val="28"/>
        </w:rPr>
      </w:pPr>
      <w:r>
        <w:rPr>
          <w:rFonts w:ascii="Arial Black" w:hAnsi="Arial Black"/>
          <w:sz w:val="28"/>
          <w:szCs w:val="28"/>
        </w:rPr>
        <w:t>13</w:t>
      </w:r>
      <w:r w:rsidR="00ED5101">
        <w:rPr>
          <w:rFonts w:ascii="Arial Black" w:hAnsi="Arial Black"/>
          <w:sz w:val="28"/>
          <w:szCs w:val="28"/>
        </w:rPr>
        <w:t>-185</w:t>
      </w:r>
    </w:p>
    <w:p w14:paraId="50D1284C" w14:textId="77777777" w:rsidR="003358D9" w:rsidRDefault="003358D9" w:rsidP="003358D9">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PA: DISPATCHER SENT WRONG AMBULANCE – 1 HOUR AWAY – PREGANT PATIENT LOST BABY – NOT FED. CASE</w:t>
      </w:r>
    </w:p>
    <w:p w14:paraId="0303BB56" w14:textId="77777777" w:rsidR="003358D9" w:rsidRDefault="003358D9" w:rsidP="003358D9">
      <w:pPr>
        <w:pStyle w:val="NormalWeb"/>
        <w:spacing w:before="0" w:beforeAutospacing="0"/>
      </w:pPr>
      <w:r>
        <w:rPr>
          <w:color w:val="454545"/>
          <w:shd w:val="clear" w:color="auto" w:fill="FFFFFF"/>
        </w:rPr>
        <w:t xml:space="preserve">On May 15, 2024, in </w:t>
      </w:r>
      <w:r w:rsidRPr="005F31AE">
        <w:rPr>
          <w:color w:val="454545"/>
          <w:u w:val="single"/>
          <w:shd w:val="clear" w:color="auto" w:fill="FFFFFF"/>
        </w:rPr>
        <w:t>Chad Reiner and Stephanie Reiner v. Northumberland County, et al</w:t>
      </w:r>
      <w:r>
        <w:rPr>
          <w:color w:val="454545"/>
          <w:shd w:val="clear" w:color="auto" w:fill="FFFFFF"/>
        </w:rPr>
        <w:t xml:space="preserve">., Chief United States District Court Judge </w:t>
      </w:r>
      <w:r>
        <w:t>Matthew W. Brann dismissed the lawsuit, which can now be filed in state court.  The dispatcher failed to notify the closest ambulance (10 miles) or the second ambulance (24 miles</w:t>
      </w:r>
      <w:proofErr w:type="gramStart"/>
      <w:r>
        <w:t>), but</w:t>
      </w:r>
      <w:proofErr w:type="gramEnd"/>
      <w:r>
        <w:t xml:space="preserve"> instead toned out ambulance in Harrisburg that took one hour to arrive.  The patient was bleeding out and repeatedly called 911, but dispatcher refused to advise location of responding ambulance.  The Court held:</w:t>
      </w:r>
    </w:p>
    <w:p w14:paraId="41368FE9" w14:textId="77777777" w:rsidR="003358D9" w:rsidRDefault="003358D9" w:rsidP="003358D9">
      <w:pPr>
        <w:pStyle w:val="NormalWeb"/>
        <w:spacing w:before="0" w:beforeAutospacing="0"/>
        <w:ind w:left="720"/>
      </w:pPr>
      <w:r>
        <w:t xml:space="preserve">“The law does not always align with what one may believe is right, just, or fair. This painful fact is the necessary reality of a well-ordered legal system. In this case, the careless conduct of a 911 dispatcher led to </w:t>
      </w:r>
      <w:proofErr w:type="gramStart"/>
      <w:r>
        <w:t>a terrible tragedy</w:t>
      </w:r>
      <w:proofErr w:type="gramEnd"/>
      <w:r>
        <w:t xml:space="preserve">. But for the individual citizen, the United States Constitution is mainly a charter of negative liberties. It provides no remedy for this harm. Nor is federal court an appropriate forum to talk through </w:t>
      </w:r>
      <w:proofErr w:type="gramStart"/>
      <w:r>
        <w:t>questions of state</w:t>
      </w:r>
      <w:proofErr w:type="gramEnd"/>
      <w:r>
        <w:t xml:space="preserve"> law. </w:t>
      </w:r>
      <w:proofErr w:type="gramStart"/>
      <w:r>
        <w:t>So</w:t>
      </w:r>
      <w:proofErr w:type="gramEnd"/>
      <w:r>
        <w:t xml:space="preserve"> this lawsuit is dismissed with prejudice.</w:t>
      </w:r>
    </w:p>
    <w:p w14:paraId="653BA3ED" w14:textId="77777777" w:rsidR="003358D9" w:rsidRDefault="003358D9" w:rsidP="003358D9">
      <w:pPr>
        <w:pStyle w:val="NormalWeb"/>
        <w:spacing w:before="0" w:beforeAutospacing="0"/>
        <w:ind w:left="720"/>
      </w:pPr>
      <w:r>
        <w:t>***</w:t>
      </w:r>
    </w:p>
    <w:p w14:paraId="3C0CBA7A" w14:textId="77777777" w:rsidR="003358D9" w:rsidRDefault="003358D9" w:rsidP="003358D9">
      <w:pPr>
        <w:pStyle w:val="NormalWeb"/>
        <w:spacing w:before="0" w:beforeAutospacing="0"/>
        <w:ind w:left="720"/>
      </w:pPr>
      <w:r>
        <w:t>Plaintiffs' Section 1983 claims fail because they have alleged no violation of their federal constitutional rights. Because there are no surviving federal claims, the Court declines to exercise supplemental jurisdiction over Plaintiffs' state law claims.</w:t>
      </w:r>
    </w:p>
    <w:p w14:paraId="4F5AAC11" w14:textId="77777777" w:rsidR="003358D9" w:rsidRDefault="003358D9" w:rsidP="003358D9">
      <w:pPr>
        <w:pStyle w:val="NormalWeb"/>
        <w:spacing w:before="0" w:beforeAutospacing="0"/>
        <w:ind w:left="720"/>
      </w:pPr>
      <w:r>
        <w:t>***</w:t>
      </w:r>
    </w:p>
    <w:p w14:paraId="6487E888" w14:textId="77777777" w:rsidR="003358D9" w:rsidRDefault="003358D9" w:rsidP="003358D9">
      <w:pPr>
        <w:pStyle w:val="NormalWeb"/>
        <w:ind w:left="720"/>
      </w:pPr>
      <w:r>
        <w:t xml:space="preserve">The Third Circuit has long-standing precedent that there is no constitutional right to receive emergency ambulance services, nor is there ‘an affirmative obligation on the State to provide competent rescue services if it chooses to provide them.’  </w:t>
      </w:r>
      <w:proofErr w:type="gramStart"/>
      <w:r>
        <w:t>So</w:t>
      </w:r>
      <w:proofErr w:type="gramEnd"/>
      <w:r>
        <w:t xml:space="preserve"> any injuries resulting from flawed or incompetent emergency rescue services are not constitutional injuries, and hence not actionable under Section 1983. Plaintiffs' argument that they only waited an hour for the ambulance because they did not know it would take so long requires a closer analysis of this Circuit's ‘state-created danger’ theory of liability. </w:t>
      </w:r>
    </w:p>
    <w:p w14:paraId="4CF099E0" w14:textId="77777777" w:rsidR="003358D9" w:rsidRDefault="003358D9" w:rsidP="003358D9">
      <w:pPr>
        <w:pStyle w:val="NormalWeb"/>
        <w:ind w:left="720"/>
      </w:pPr>
      <w:r>
        <w:t>***</w:t>
      </w:r>
    </w:p>
    <w:p w14:paraId="454BF281" w14:textId="77777777" w:rsidR="003358D9" w:rsidRDefault="003358D9" w:rsidP="003358D9">
      <w:pPr>
        <w:pStyle w:val="NormalWeb"/>
        <w:ind w:left="720"/>
      </w:pPr>
      <w:r>
        <w:t xml:space="preserve">Nothing of </w:t>
      </w:r>
      <w:proofErr w:type="gramStart"/>
      <w:r>
        <w:t>the</w:t>
      </w:r>
      <w:proofErr w:type="gramEnd"/>
      <w:r>
        <w:t xml:space="preserve"> kind is alleged here. Stephanie Reiner was not such a vulnerable person even while injured, the state does not assume responsibility over injured </w:t>
      </w:r>
      <w:proofErr w:type="gramStart"/>
      <w:r>
        <w:t>persons</w:t>
      </w:r>
      <w:proofErr w:type="gramEnd"/>
      <w:r>
        <w:t xml:space="preserve"> by offering assurances, and no would-be protector was displaced. Accordingly, Plaintiffs' Section 1983 claim fails under the state-created danger theory of liability. </w:t>
      </w:r>
    </w:p>
    <w:p w14:paraId="0DA30753" w14:textId="77777777" w:rsidR="003358D9" w:rsidRDefault="003358D9" w:rsidP="003358D9">
      <w:pPr>
        <w:pStyle w:val="NormalWeb"/>
        <w:ind w:left="720"/>
      </w:pPr>
      <w:r>
        <w:t>***</w:t>
      </w:r>
    </w:p>
    <w:p w14:paraId="6DBAC9D2" w14:textId="425CA111" w:rsidR="00ED5101" w:rsidRDefault="003358D9" w:rsidP="003358D9">
      <w:pPr>
        <w:ind w:left="720"/>
        <w:rPr>
          <w:rStyle w:val="Hyperlink"/>
          <w:rFonts w:ascii="Times New Roman" w:hAnsi="Times New Roman"/>
          <w:sz w:val="24"/>
          <w:szCs w:val="24"/>
        </w:rPr>
      </w:pPr>
      <w:r w:rsidRPr="003358D9">
        <w:rPr>
          <w:rFonts w:ascii="Times New Roman" w:hAnsi="Times New Roman"/>
          <w:sz w:val="24"/>
          <w:szCs w:val="24"/>
        </w:rPr>
        <w:t xml:space="preserve">The Court has great sympathy for the hardship Plaintiffs have suffered, but their case does not belong in federal court because they have not plausibly alleged any violation of the United States Constitution.” </w:t>
      </w:r>
      <w:hyperlink r:id="rId2081" w:history="1">
        <w:r w:rsidRPr="003358D9">
          <w:rPr>
            <w:rStyle w:val="Hyperlink"/>
            <w:rFonts w:ascii="Times New Roman" w:hAnsi="Times New Roman"/>
            <w:sz w:val="24"/>
            <w:szCs w:val="24"/>
          </w:rPr>
          <w:t>https://webservices.courthousenews.com/sites/Data/AppellateOpinionUploads/2024-17-5--13-46-27-048b5eb5-2700-4a37-ac11-5deaa284f5ce.pdf</w:t>
        </w:r>
      </w:hyperlink>
    </w:p>
    <w:p w14:paraId="18DC104C" w14:textId="77777777" w:rsidR="00D430E2" w:rsidRDefault="00D430E2" w:rsidP="00D430E2">
      <w:pPr>
        <w:pStyle w:val="NormalWeb"/>
        <w:rPr>
          <w:b/>
          <w:bCs/>
        </w:rPr>
      </w:pPr>
      <w:r>
        <w:rPr>
          <w:b/>
          <w:bCs/>
        </w:rPr>
        <w:t>Legal Lesson Learned: Dispatch protocol should require nearest ambulance be called [10 miles in this case], and if not available, then next nearest ambulance [24 miles].</w:t>
      </w:r>
    </w:p>
    <w:p w14:paraId="4D6A0356" w14:textId="77777777" w:rsidR="00D430E2" w:rsidRDefault="00D430E2" w:rsidP="00D430E2">
      <w:pPr>
        <w:pStyle w:val="NormalWeb"/>
        <w:ind w:left="720"/>
      </w:pPr>
      <w:r>
        <w:t>Note: Dispatch protocol was corrected after this run, and a change in management. The Court wrote:</w:t>
      </w:r>
    </w:p>
    <w:p w14:paraId="770ECEE8" w14:textId="77777777" w:rsidR="00D430E2" w:rsidRPr="00126FA6" w:rsidRDefault="00D430E2" w:rsidP="00D430E2">
      <w:pPr>
        <w:pStyle w:val="NormalWeb"/>
        <w:ind w:left="1440"/>
        <w:rPr>
          <w:vertAlign w:val="superscript"/>
        </w:rPr>
      </w:pPr>
      <w:r>
        <w:t>“The Northumberland County District Attorney's Office investigated the incident. In October 2022, the Northumberland County Fire Chiefs Association's vice president claimed that mismanagement of the 911 Center had placed the public in danger; another fire chief expressed concern that mismanagement of the 911 Center would result in civilian death. At this same meeting, fire officials aired grievances concerning prolonged dispatch times and significant dispatcher turnover, and called for Fellman's termination [Russell Fellman, the 911 Coordinator in charge of the Northumberland County 911 Center]. Fellman resigned as 911 Coordinator in December 2022.”</w:t>
      </w:r>
    </w:p>
    <w:p w14:paraId="02E4A6B5" w14:textId="77777777" w:rsidR="00D430E2" w:rsidRPr="003358D9" w:rsidRDefault="00D430E2" w:rsidP="003358D9">
      <w:pPr>
        <w:ind w:left="720"/>
        <w:rPr>
          <w:rFonts w:ascii="Times New Roman" w:hAnsi="Times New Roman"/>
          <w:sz w:val="24"/>
          <w:szCs w:val="24"/>
        </w:rPr>
      </w:pPr>
    </w:p>
    <w:p w14:paraId="4814F1E8" w14:textId="77777777" w:rsidR="00766805" w:rsidRDefault="00766805" w:rsidP="001C2F88">
      <w:pPr>
        <w:rPr>
          <w:rFonts w:ascii="Arial Black" w:hAnsi="Arial Black"/>
          <w:sz w:val="28"/>
          <w:szCs w:val="28"/>
        </w:rPr>
      </w:pPr>
    </w:p>
    <w:p w14:paraId="6D29D3A9" w14:textId="77777777" w:rsidR="00766805" w:rsidRDefault="00766805" w:rsidP="001C2F88">
      <w:pPr>
        <w:rPr>
          <w:rFonts w:ascii="Arial Black" w:hAnsi="Arial Black"/>
          <w:sz w:val="28"/>
          <w:szCs w:val="28"/>
        </w:rPr>
      </w:pPr>
    </w:p>
    <w:p w14:paraId="6615AD5E" w14:textId="66913EF9" w:rsidR="001C2F88" w:rsidRPr="001C2F88" w:rsidRDefault="001C2F88" w:rsidP="001C2F88">
      <w:pPr>
        <w:rPr>
          <w:rFonts w:ascii="Arial Black" w:hAnsi="Arial Black"/>
          <w:sz w:val="28"/>
          <w:szCs w:val="28"/>
        </w:rPr>
      </w:pPr>
      <w:r w:rsidRPr="001C2F88">
        <w:rPr>
          <w:rFonts w:ascii="Arial Black" w:hAnsi="Arial Black"/>
          <w:sz w:val="28"/>
          <w:szCs w:val="28"/>
        </w:rPr>
        <w:t>13-184</w:t>
      </w:r>
    </w:p>
    <w:p w14:paraId="635A756C" w14:textId="68A8E3F6" w:rsidR="001C2F88" w:rsidRPr="00C82AB6" w:rsidRDefault="001C2F88" w:rsidP="001C2F88">
      <w:pPr>
        <w:rPr>
          <w:rFonts w:ascii="Arial Black" w:hAnsi="Arial Black"/>
          <w:sz w:val="28"/>
          <w:szCs w:val="28"/>
        </w:rPr>
      </w:pPr>
      <w:r>
        <w:rPr>
          <w:rFonts w:ascii="Arial Black" w:hAnsi="Arial Black"/>
          <w:sz w:val="28"/>
          <w:szCs w:val="28"/>
        </w:rPr>
        <w:t xml:space="preserve">OH: COLUMBUS PD - NO FIRST AID AFTER SHOOTING SUICIDE MAN 5 TIMES  / NO IMMUN. - WHITLE CASTLE CASE </w:t>
      </w:r>
    </w:p>
    <w:p w14:paraId="20578C2C" w14:textId="77777777" w:rsidR="001C2F88" w:rsidRPr="009B4A97" w:rsidRDefault="001C2F88" w:rsidP="001C2F88">
      <w:pPr>
        <w:rPr>
          <w:rFonts w:ascii="Times New Roman" w:hAnsi="Times New Roman"/>
          <w:color w:val="454545"/>
          <w:sz w:val="24"/>
          <w:szCs w:val="24"/>
          <w:shd w:val="clear" w:color="auto" w:fill="FFFFFF"/>
        </w:rPr>
      </w:pPr>
      <w:r w:rsidRPr="009B4A97">
        <w:rPr>
          <w:rFonts w:ascii="Times New Roman" w:hAnsi="Times New Roman"/>
          <w:sz w:val="24"/>
          <w:szCs w:val="24"/>
        </w:rPr>
        <w:t xml:space="preserve">On April 29, 2024, in </w:t>
      </w:r>
      <w:r w:rsidRPr="00C275FC">
        <w:rPr>
          <w:rFonts w:ascii="Times New Roman" w:hAnsi="Times New Roman"/>
          <w:sz w:val="24"/>
          <w:szCs w:val="24"/>
          <w:u w:val="single"/>
        </w:rPr>
        <w:t xml:space="preserve">Ken Heeter, </w:t>
      </w:r>
      <w:r>
        <w:rPr>
          <w:rFonts w:ascii="Times New Roman" w:hAnsi="Times New Roman"/>
          <w:sz w:val="24"/>
          <w:szCs w:val="24"/>
          <w:u w:val="single"/>
        </w:rPr>
        <w:t>a</w:t>
      </w:r>
      <w:r w:rsidRPr="00C275FC">
        <w:rPr>
          <w:rFonts w:ascii="Times New Roman" w:hAnsi="Times New Roman"/>
          <w:sz w:val="24"/>
          <w:szCs w:val="24"/>
          <w:u w:val="single"/>
        </w:rPr>
        <w:t xml:space="preserve">s Administrator </w:t>
      </w:r>
      <w:r>
        <w:rPr>
          <w:rFonts w:ascii="Times New Roman" w:hAnsi="Times New Roman"/>
          <w:sz w:val="24"/>
          <w:szCs w:val="24"/>
          <w:u w:val="single"/>
        </w:rPr>
        <w:t>o</w:t>
      </w:r>
      <w:r w:rsidRPr="00C275FC">
        <w:rPr>
          <w:rFonts w:ascii="Times New Roman" w:hAnsi="Times New Roman"/>
          <w:sz w:val="24"/>
          <w:szCs w:val="24"/>
          <w:u w:val="single"/>
        </w:rPr>
        <w:t xml:space="preserve">f </w:t>
      </w:r>
      <w:r>
        <w:rPr>
          <w:rFonts w:ascii="Times New Roman" w:hAnsi="Times New Roman"/>
          <w:sz w:val="24"/>
          <w:szCs w:val="24"/>
          <w:u w:val="single"/>
        </w:rPr>
        <w:t>t</w:t>
      </w:r>
      <w:r w:rsidRPr="00C275FC">
        <w:rPr>
          <w:rFonts w:ascii="Times New Roman" w:hAnsi="Times New Roman"/>
          <w:sz w:val="24"/>
          <w:szCs w:val="24"/>
          <w:u w:val="single"/>
        </w:rPr>
        <w:t>he estate of Bill G. Heeter, et al. v. Kenneth Bowers, individually and in his capacity as an employee of the City of Columbus, Ohio; Columbus Police Department</w:t>
      </w:r>
      <w:r w:rsidRPr="009B4A97">
        <w:rPr>
          <w:rFonts w:ascii="Times New Roman" w:hAnsi="Times New Roman"/>
          <w:sz w:val="24"/>
          <w:szCs w:val="24"/>
        </w:rPr>
        <w:t>, the U.S. Court of Appeals for the 6</w:t>
      </w:r>
      <w:r w:rsidRPr="009B4A97">
        <w:rPr>
          <w:rFonts w:ascii="Times New Roman" w:hAnsi="Times New Roman"/>
          <w:sz w:val="24"/>
          <w:szCs w:val="24"/>
          <w:vertAlign w:val="superscript"/>
        </w:rPr>
        <w:t>th</w:t>
      </w:r>
      <w:r w:rsidRPr="009B4A97">
        <w:rPr>
          <w:rFonts w:ascii="Times New Roman" w:hAnsi="Times New Roman"/>
          <w:sz w:val="24"/>
          <w:szCs w:val="24"/>
        </w:rPr>
        <w:t xml:space="preserve"> Circuit (Cincinnati), held </w:t>
      </w:r>
      <w:r>
        <w:rPr>
          <w:rFonts w:ascii="Times New Roman" w:hAnsi="Times New Roman"/>
          <w:sz w:val="24"/>
          <w:szCs w:val="24"/>
        </w:rPr>
        <w:t>(</w:t>
      </w:r>
      <w:r w:rsidRPr="009B4A97">
        <w:rPr>
          <w:rFonts w:ascii="Times New Roman" w:hAnsi="Times New Roman"/>
          <w:sz w:val="24"/>
          <w:szCs w:val="24"/>
        </w:rPr>
        <w:t>2 to 1</w:t>
      </w:r>
      <w:r>
        <w:rPr>
          <w:rFonts w:ascii="Times New Roman" w:hAnsi="Times New Roman"/>
          <w:sz w:val="24"/>
          <w:szCs w:val="24"/>
        </w:rPr>
        <w:t xml:space="preserve">) that trial court judge properly denied officer’s motion for summary judgment who shot the man five times with M-16 service rifle; jury will decide if officer used excessive force, and whether he should have rendered basic first aid.  The City of Columbus was dismissed from case based on municipal immunity. </w:t>
      </w:r>
      <w:hyperlink r:id="rId2082" w:history="1">
        <w:r w:rsidRPr="007C1F1F">
          <w:rPr>
            <w:rStyle w:val="Hyperlink"/>
            <w:rFonts w:ascii="Times New Roman" w:hAnsi="Times New Roman"/>
            <w:sz w:val="24"/>
            <w:szCs w:val="24"/>
            <w:shd w:val="clear" w:color="auto" w:fill="FFFFFF"/>
          </w:rPr>
          <w:t>https://www.opn.ca6.uscourts.gov/opinions.pdf/24a0095p-06.pdf</w:t>
        </w:r>
      </w:hyperlink>
      <w:r w:rsidRPr="009B4A97">
        <w:rPr>
          <w:rFonts w:ascii="Times New Roman" w:hAnsi="Times New Roman"/>
          <w:color w:val="454545"/>
          <w:sz w:val="24"/>
          <w:szCs w:val="24"/>
          <w:shd w:val="clear" w:color="auto" w:fill="FFFFFF"/>
        </w:rPr>
        <w:t xml:space="preserve"> </w:t>
      </w:r>
    </w:p>
    <w:p w14:paraId="59A948F4" w14:textId="77777777" w:rsidR="001C2F88" w:rsidRDefault="001C2F88" w:rsidP="001C2F88">
      <w:pPr>
        <w:pStyle w:val="NormalWeb"/>
        <w:ind w:left="720"/>
      </w:pPr>
      <w:r w:rsidRPr="00B12AE6">
        <w:t xml:space="preserve">The Court referenced the infamous case where Cincinnati PD </w:t>
      </w:r>
      <w:r>
        <w:t xml:space="preserve">on Nov. 30, </w:t>
      </w:r>
      <w:proofErr w:type="gramStart"/>
      <w:r>
        <w:t>2003</w:t>
      </w:r>
      <w:proofErr w:type="gramEnd"/>
      <w:r>
        <w:t xml:space="preserve"> responded </w:t>
      </w:r>
      <w:proofErr w:type="gramStart"/>
      <w:r>
        <w:t>at</w:t>
      </w:r>
      <w:proofErr w:type="gramEnd"/>
      <w:r>
        <w:t xml:space="preserve"> FD request to White Castle where 350-pound Nataniel Jones was acting erratically. The violent struggle resulting in his death was recorded and video shown nationwide by many news outlets. </w:t>
      </w:r>
      <w:hyperlink r:id="rId2083" w:history="1">
        <w:r w:rsidRPr="00466FE4">
          <w:rPr>
            <w:rStyle w:val="Hyperlink"/>
          </w:rPr>
          <w:t>https://www.youtube.com/watch?v=o3-MrFOLXFs</w:t>
        </w:r>
      </w:hyperlink>
      <w:r>
        <w:t xml:space="preserve">.  The Fire Engine that had arrived first left the scene and returned to quarters.  </w:t>
      </w:r>
    </w:p>
    <w:p w14:paraId="4E6091BB" w14:textId="77777777" w:rsidR="001C2F88" w:rsidRPr="0019507E" w:rsidRDefault="001C2F88" w:rsidP="001C2F88">
      <w:pPr>
        <w:pStyle w:val="NoSpacing"/>
        <w:ind w:firstLine="720"/>
        <w:rPr>
          <w:rFonts w:ascii="Times New Roman" w:hAnsi="Times New Roman"/>
          <w:sz w:val="24"/>
          <w:szCs w:val="24"/>
        </w:rPr>
      </w:pPr>
      <w:r>
        <w:rPr>
          <w:rFonts w:ascii="Times New Roman" w:hAnsi="Times New Roman"/>
          <w:sz w:val="24"/>
          <w:szCs w:val="24"/>
        </w:rPr>
        <w:t>“</w:t>
      </w:r>
      <w:r w:rsidRPr="0019507E">
        <w:rPr>
          <w:rFonts w:ascii="Times New Roman" w:hAnsi="Times New Roman"/>
          <w:sz w:val="24"/>
          <w:szCs w:val="24"/>
        </w:rPr>
        <w:t>Officers Pike and Slade sprayed chemical irritant in Jones’s face while he was prone in</w:t>
      </w:r>
    </w:p>
    <w:p w14:paraId="69C38BA5" w14:textId="77777777" w:rsidR="001C2F88" w:rsidRPr="0019507E" w:rsidRDefault="001C2F88" w:rsidP="001C2F88">
      <w:pPr>
        <w:pStyle w:val="NoSpacing"/>
        <w:ind w:left="720"/>
        <w:rPr>
          <w:rFonts w:ascii="Times New Roman" w:hAnsi="Times New Roman"/>
          <w:sz w:val="24"/>
          <w:szCs w:val="24"/>
        </w:rPr>
      </w:pPr>
      <w:proofErr w:type="gramStart"/>
      <w:r w:rsidRPr="0019507E">
        <w:rPr>
          <w:rFonts w:ascii="Times New Roman" w:hAnsi="Times New Roman"/>
          <w:sz w:val="24"/>
          <w:szCs w:val="24"/>
        </w:rPr>
        <w:t>handcuffs and while</w:t>
      </w:r>
      <w:proofErr w:type="gramEnd"/>
      <w:r w:rsidRPr="0019507E">
        <w:rPr>
          <w:rFonts w:ascii="Times New Roman" w:hAnsi="Times New Roman"/>
          <w:sz w:val="24"/>
          <w:szCs w:val="24"/>
        </w:rPr>
        <w:t xml:space="preserve"> officers Pike, Osterman, Abrams, Reese, Slade, and Jay Johnstone used their</w:t>
      </w:r>
      <w:r>
        <w:rPr>
          <w:rFonts w:ascii="Times New Roman" w:hAnsi="Times New Roman"/>
          <w:sz w:val="24"/>
          <w:szCs w:val="24"/>
        </w:rPr>
        <w:t xml:space="preserve"> </w:t>
      </w:r>
      <w:r w:rsidRPr="0019507E">
        <w:rPr>
          <w:rFonts w:ascii="Times New Roman" w:hAnsi="Times New Roman"/>
          <w:sz w:val="24"/>
          <w:szCs w:val="24"/>
        </w:rPr>
        <w:t>combined weight to hold him down. Their weight restricted the movement of Jones’s diaphragm</w:t>
      </w:r>
      <w:r>
        <w:rPr>
          <w:rFonts w:ascii="Times New Roman" w:hAnsi="Times New Roman"/>
          <w:sz w:val="24"/>
          <w:szCs w:val="24"/>
        </w:rPr>
        <w:t xml:space="preserve"> </w:t>
      </w:r>
      <w:r w:rsidRPr="0019507E">
        <w:rPr>
          <w:rFonts w:ascii="Times New Roman" w:hAnsi="Times New Roman"/>
          <w:sz w:val="24"/>
          <w:szCs w:val="24"/>
        </w:rPr>
        <w:t xml:space="preserve">and made it difficult for him to breathe. Jones struggled to twist his body under the officers </w:t>
      </w:r>
      <w:proofErr w:type="gramStart"/>
      <w:r w:rsidRPr="0019507E">
        <w:rPr>
          <w:rFonts w:ascii="Times New Roman" w:hAnsi="Times New Roman"/>
          <w:sz w:val="24"/>
          <w:szCs w:val="24"/>
        </w:rPr>
        <w:t>in an</w:t>
      </w:r>
      <w:r>
        <w:rPr>
          <w:rFonts w:ascii="Times New Roman" w:hAnsi="Times New Roman"/>
          <w:sz w:val="24"/>
          <w:szCs w:val="24"/>
        </w:rPr>
        <w:t xml:space="preserve"> </w:t>
      </w:r>
      <w:r w:rsidRPr="0019507E">
        <w:rPr>
          <w:rFonts w:ascii="Times New Roman" w:hAnsi="Times New Roman"/>
          <w:sz w:val="24"/>
          <w:szCs w:val="24"/>
        </w:rPr>
        <w:t>attempt to</w:t>
      </w:r>
      <w:proofErr w:type="gramEnd"/>
      <w:r w:rsidRPr="0019507E">
        <w:rPr>
          <w:rFonts w:ascii="Times New Roman" w:hAnsi="Times New Roman"/>
          <w:sz w:val="24"/>
          <w:szCs w:val="24"/>
        </w:rPr>
        <w:t xml:space="preserve"> breathe. In response, the officers pressed down on him even harder. Once they had</w:t>
      </w:r>
      <w:r>
        <w:rPr>
          <w:rFonts w:ascii="Times New Roman" w:hAnsi="Times New Roman"/>
          <w:sz w:val="24"/>
          <w:szCs w:val="24"/>
        </w:rPr>
        <w:t xml:space="preserve"> </w:t>
      </w:r>
      <w:r w:rsidRPr="0019507E">
        <w:rPr>
          <w:rFonts w:ascii="Times New Roman" w:hAnsi="Times New Roman"/>
          <w:sz w:val="24"/>
          <w:szCs w:val="24"/>
        </w:rPr>
        <w:t>subdued Jones, they left him face down on the ground handcuffed behind his back for a prolonged</w:t>
      </w:r>
      <w:r>
        <w:rPr>
          <w:rFonts w:ascii="Times New Roman" w:hAnsi="Times New Roman"/>
          <w:sz w:val="24"/>
          <w:szCs w:val="24"/>
        </w:rPr>
        <w:t xml:space="preserve"> </w:t>
      </w:r>
      <w:proofErr w:type="gramStart"/>
      <w:r w:rsidRPr="0019507E">
        <w:rPr>
          <w:rFonts w:ascii="Times New Roman" w:hAnsi="Times New Roman"/>
          <w:sz w:val="24"/>
          <w:szCs w:val="24"/>
        </w:rPr>
        <w:t>period of time</w:t>
      </w:r>
      <w:proofErr w:type="gramEnd"/>
      <w:r w:rsidRPr="0019507E">
        <w:rPr>
          <w:rFonts w:ascii="Times New Roman" w:hAnsi="Times New Roman"/>
          <w:sz w:val="24"/>
          <w:szCs w:val="24"/>
        </w:rPr>
        <w:t>. During this time, Jones stopped breathing; all the officers knew it. Reese saw Jones</w:t>
      </w:r>
      <w:r>
        <w:rPr>
          <w:rFonts w:ascii="Times New Roman" w:hAnsi="Times New Roman"/>
          <w:sz w:val="24"/>
          <w:szCs w:val="24"/>
        </w:rPr>
        <w:t xml:space="preserve"> </w:t>
      </w:r>
      <w:r w:rsidRPr="0019507E">
        <w:rPr>
          <w:rFonts w:ascii="Times New Roman" w:hAnsi="Times New Roman"/>
          <w:sz w:val="24"/>
          <w:szCs w:val="24"/>
        </w:rPr>
        <w:t>changing color. Johnstone, Reese, and Abrams knew that a suspect lying face down risked</w:t>
      </w:r>
      <w:r>
        <w:rPr>
          <w:rFonts w:ascii="Times New Roman" w:hAnsi="Times New Roman"/>
          <w:sz w:val="24"/>
          <w:szCs w:val="24"/>
        </w:rPr>
        <w:t xml:space="preserve"> </w:t>
      </w:r>
      <w:r w:rsidRPr="0019507E">
        <w:rPr>
          <w:rFonts w:ascii="Times New Roman" w:hAnsi="Times New Roman"/>
          <w:sz w:val="24"/>
          <w:szCs w:val="24"/>
        </w:rPr>
        <w:t>positional asphyxia (difficulty breathing due to one’s posture or position). None of the officers</w:t>
      </w:r>
      <w:r>
        <w:rPr>
          <w:rFonts w:ascii="Times New Roman" w:hAnsi="Times New Roman"/>
          <w:sz w:val="24"/>
          <w:szCs w:val="24"/>
        </w:rPr>
        <w:t xml:space="preserve"> </w:t>
      </w:r>
      <w:r w:rsidRPr="0019507E">
        <w:rPr>
          <w:rFonts w:ascii="Times New Roman" w:hAnsi="Times New Roman"/>
          <w:sz w:val="24"/>
          <w:szCs w:val="24"/>
        </w:rPr>
        <w:t>provided mouth-to-mouth resuscitation or other respiratory aid. Instead, they stood there and</w:t>
      </w:r>
    </w:p>
    <w:p w14:paraId="0DD13B8B" w14:textId="77777777" w:rsidR="001C2F88" w:rsidRPr="0019507E" w:rsidRDefault="001C2F88" w:rsidP="001C2F88">
      <w:pPr>
        <w:pStyle w:val="NoSpacing"/>
        <w:ind w:left="720"/>
        <w:rPr>
          <w:rFonts w:ascii="Times New Roman" w:hAnsi="Times New Roman"/>
          <w:sz w:val="24"/>
          <w:szCs w:val="24"/>
        </w:rPr>
      </w:pPr>
      <w:r w:rsidRPr="0019507E">
        <w:rPr>
          <w:rFonts w:ascii="Times New Roman" w:hAnsi="Times New Roman"/>
          <w:sz w:val="24"/>
          <w:szCs w:val="24"/>
        </w:rPr>
        <w:t>discussed the absence of fire personnel.</w:t>
      </w:r>
      <w:r>
        <w:rPr>
          <w:rFonts w:ascii="Times New Roman" w:hAnsi="Times New Roman"/>
          <w:sz w:val="24"/>
          <w:szCs w:val="24"/>
        </w:rPr>
        <w:t xml:space="preserve">” </w:t>
      </w:r>
      <w:r>
        <w:t xml:space="preserve">   </w:t>
      </w:r>
      <w:r w:rsidRPr="000A46A1">
        <w:rPr>
          <w:rFonts w:ascii="Times New Roman" w:hAnsi="Times New Roman"/>
          <w:sz w:val="24"/>
          <w:szCs w:val="24"/>
          <w:u w:val="single"/>
        </w:rPr>
        <w:t>Jones v. City of Cincinnati</w:t>
      </w:r>
      <w:r w:rsidRPr="000A46A1">
        <w:rPr>
          <w:rFonts w:ascii="Times New Roman" w:hAnsi="Times New Roman"/>
          <w:sz w:val="24"/>
          <w:szCs w:val="24"/>
        </w:rPr>
        <w:t xml:space="preserve">,  </w:t>
      </w:r>
      <w:r w:rsidRPr="000A46A1">
        <w:rPr>
          <w:rFonts w:ascii="Times New Roman" w:hAnsi="Times New Roman"/>
          <w:color w:val="454545"/>
          <w:sz w:val="24"/>
          <w:szCs w:val="24"/>
        </w:rPr>
        <w:t>521 F.3d 555, 558 (6th Cir. 2008)</w:t>
      </w:r>
      <w:r>
        <w:rPr>
          <w:rFonts w:ascii="Times New Roman" w:hAnsi="Times New Roman"/>
          <w:color w:val="454545"/>
          <w:sz w:val="24"/>
          <w:szCs w:val="24"/>
        </w:rPr>
        <w:t xml:space="preserve">; </w:t>
      </w:r>
      <w:hyperlink r:id="rId2084" w:history="1">
        <w:r w:rsidRPr="007C1F1F">
          <w:rPr>
            <w:rStyle w:val="Hyperlink"/>
            <w:rFonts w:ascii="Times New Roman" w:hAnsi="Times New Roman"/>
            <w:sz w:val="24"/>
            <w:szCs w:val="24"/>
          </w:rPr>
          <w:t>http://www.opn.ca6.uscourts.gov/opinions.pdf/08a0140p-06.pdf</w:t>
        </w:r>
      </w:hyperlink>
      <w:r w:rsidRPr="0019507E">
        <w:rPr>
          <w:rFonts w:ascii="Times New Roman" w:hAnsi="Times New Roman"/>
          <w:sz w:val="24"/>
          <w:szCs w:val="24"/>
        </w:rPr>
        <w:t xml:space="preserve"> . </w:t>
      </w:r>
    </w:p>
    <w:p w14:paraId="2EE60DFA" w14:textId="77777777" w:rsidR="001C2F88" w:rsidRDefault="001C2F88" w:rsidP="001C2F88">
      <w:pPr>
        <w:pStyle w:val="NoSpacing"/>
        <w:rPr>
          <w:rFonts w:ascii="Times New Roman" w:hAnsi="Times New Roman"/>
          <w:sz w:val="24"/>
          <w:szCs w:val="24"/>
        </w:rPr>
      </w:pPr>
    </w:p>
    <w:p w14:paraId="4AB2F86D" w14:textId="77777777" w:rsidR="001C2F88" w:rsidRPr="0019507E" w:rsidRDefault="001C2F88" w:rsidP="001C2F88">
      <w:pPr>
        <w:pStyle w:val="NoSpacing"/>
        <w:ind w:left="720"/>
        <w:rPr>
          <w:rFonts w:ascii="Times New Roman" w:hAnsi="Times New Roman"/>
          <w:sz w:val="24"/>
          <w:szCs w:val="24"/>
        </w:rPr>
      </w:pPr>
      <w:r w:rsidRPr="0019507E">
        <w:rPr>
          <w:rFonts w:ascii="Times New Roman" w:hAnsi="Times New Roman"/>
          <w:sz w:val="24"/>
          <w:szCs w:val="24"/>
        </w:rPr>
        <w:t xml:space="preserve">See also:  “Coroner: Man had enlarged heart, drugs in system.” </w:t>
      </w:r>
      <w:hyperlink r:id="rId2085" w:history="1">
        <w:r w:rsidRPr="007C1F1F">
          <w:rPr>
            <w:rStyle w:val="Hyperlink"/>
            <w:rFonts w:ascii="Times New Roman" w:hAnsi="Times New Roman"/>
            <w:sz w:val="24"/>
            <w:szCs w:val="24"/>
          </w:rPr>
          <w:t>https://www.cnn.com/2003/US/Midwest/12/01/died.in.custody/index.html</w:t>
        </w:r>
      </w:hyperlink>
      <w:r w:rsidRPr="0019507E">
        <w:rPr>
          <w:rFonts w:ascii="Times New Roman" w:hAnsi="Times New Roman"/>
          <w:sz w:val="24"/>
          <w:szCs w:val="24"/>
        </w:rPr>
        <w:t xml:space="preserve"> </w:t>
      </w:r>
    </w:p>
    <w:p w14:paraId="4EF147D0" w14:textId="77777777" w:rsidR="001C2F88" w:rsidRDefault="001C2F88" w:rsidP="001C2F88">
      <w:pPr>
        <w:pStyle w:val="NormalWeb"/>
      </w:pPr>
      <w:r>
        <w:t>COURT HELD IN COLUMBUS CASE:</w:t>
      </w:r>
    </w:p>
    <w:p w14:paraId="195CC4B7" w14:textId="77777777" w:rsidR="001C2F88" w:rsidRDefault="001C2F88" w:rsidP="001C2F88">
      <w:pPr>
        <w:pStyle w:val="NoSpacing"/>
        <w:ind w:left="720"/>
        <w:rPr>
          <w:rFonts w:ascii="Times New Roman" w:hAnsi="Times New Roman"/>
          <w:sz w:val="24"/>
          <w:szCs w:val="24"/>
        </w:rPr>
      </w:pPr>
      <w:r>
        <w:rPr>
          <w:rFonts w:ascii="Times New Roman" w:hAnsi="Times New Roman"/>
          <w:sz w:val="24"/>
          <w:szCs w:val="24"/>
        </w:rPr>
        <w:t>[EXCESSIVE FORCE CLAIM.] “</w:t>
      </w:r>
      <w:r w:rsidRPr="001E1BB7">
        <w:rPr>
          <w:rFonts w:ascii="Times New Roman" w:hAnsi="Times New Roman"/>
          <w:sz w:val="24"/>
          <w:szCs w:val="24"/>
        </w:rPr>
        <w:t>First, Officer Bowers asks us</w:t>
      </w:r>
      <w:r>
        <w:rPr>
          <w:rFonts w:ascii="Times New Roman" w:hAnsi="Times New Roman"/>
          <w:sz w:val="24"/>
          <w:szCs w:val="24"/>
        </w:rPr>
        <w:t xml:space="preserve"> </w:t>
      </w:r>
      <w:r w:rsidRPr="001E1BB7">
        <w:rPr>
          <w:rFonts w:ascii="Times New Roman" w:hAnsi="Times New Roman"/>
          <w:sz w:val="24"/>
          <w:szCs w:val="24"/>
        </w:rPr>
        <w:t>to focus on the parts of the video which show Mr. Heeter was not following the officers’</w:t>
      </w:r>
      <w:r>
        <w:rPr>
          <w:rFonts w:ascii="Times New Roman" w:hAnsi="Times New Roman"/>
          <w:sz w:val="24"/>
          <w:szCs w:val="24"/>
        </w:rPr>
        <w:t xml:space="preserve"> </w:t>
      </w:r>
      <w:r w:rsidRPr="001E1BB7">
        <w:rPr>
          <w:rFonts w:ascii="Times New Roman" w:hAnsi="Times New Roman"/>
          <w:sz w:val="24"/>
          <w:szCs w:val="24"/>
        </w:rPr>
        <w:t>commands to exit the house, to put his gun down, or to raise his hands. Mr. Heeter’s</w:t>
      </w:r>
      <w:r>
        <w:rPr>
          <w:rFonts w:ascii="Times New Roman" w:hAnsi="Times New Roman"/>
          <w:sz w:val="24"/>
          <w:szCs w:val="24"/>
        </w:rPr>
        <w:t xml:space="preserve"> </w:t>
      </w:r>
      <w:r w:rsidRPr="001E1BB7">
        <w:rPr>
          <w:rFonts w:ascii="Times New Roman" w:hAnsi="Times New Roman"/>
          <w:sz w:val="24"/>
          <w:szCs w:val="24"/>
        </w:rPr>
        <w:t xml:space="preserve">disobedience and words of frustration that the group of armed officers in his home were </w:t>
      </w:r>
      <w:r>
        <w:rPr>
          <w:rFonts w:ascii="Times New Roman" w:hAnsi="Times New Roman"/>
          <w:sz w:val="24"/>
          <w:szCs w:val="24"/>
        </w:rPr>
        <w:t>‘</w:t>
      </w:r>
      <w:r w:rsidRPr="001E1BB7">
        <w:rPr>
          <w:rFonts w:ascii="Times New Roman" w:hAnsi="Times New Roman"/>
          <w:sz w:val="24"/>
          <w:szCs w:val="24"/>
        </w:rPr>
        <w:t>really</w:t>
      </w:r>
      <w:r>
        <w:rPr>
          <w:rFonts w:ascii="Times New Roman" w:hAnsi="Times New Roman"/>
          <w:sz w:val="24"/>
          <w:szCs w:val="24"/>
        </w:rPr>
        <w:t xml:space="preserve"> </w:t>
      </w:r>
      <w:r w:rsidRPr="001E1BB7">
        <w:rPr>
          <w:rFonts w:ascii="Times New Roman" w:hAnsi="Times New Roman"/>
          <w:sz w:val="24"/>
          <w:szCs w:val="24"/>
        </w:rPr>
        <w:t>starting to piss [him] off</w:t>
      </w:r>
      <w:r>
        <w:rPr>
          <w:rFonts w:ascii="Times New Roman" w:hAnsi="Times New Roman"/>
          <w:sz w:val="24"/>
          <w:szCs w:val="24"/>
        </w:rPr>
        <w:t>’</w:t>
      </w:r>
      <w:r w:rsidRPr="001E1BB7">
        <w:rPr>
          <w:rFonts w:ascii="Times New Roman" w:hAnsi="Times New Roman"/>
          <w:sz w:val="24"/>
          <w:szCs w:val="24"/>
        </w:rPr>
        <w:t xml:space="preserve"> indicated that the situation was tense. Redding Footage at 10:45–10:50. But </w:t>
      </w:r>
      <w:r>
        <w:rPr>
          <w:rFonts w:ascii="Times New Roman" w:hAnsi="Times New Roman"/>
          <w:sz w:val="24"/>
          <w:szCs w:val="24"/>
        </w:rPr>
        <w:t>‘</w:t>
      </w:r>
      <w:r w:rsidRPr="001E1BB7">
        <w:rPr>
          <w:rFonts w:ascii="Times New Roman" w:hAnsi="Times New Roman"/>
          <w:sz w:val="24"/>
          <w:szCs w:val="24"/>
        </w:rPr>
        <w:t>the mere failure of a citizen—not arrested for any crime—to follow the officer’s</w:t>
      </w:r>
      <w:r>
        <w:rPr>
          <w:rFonts w:ascii="Times New Roman" w:hAnsi="Times New Roman"/>
          <w:sz w:val="24"/>
          <w:szCs w:val="24"/>
        </w:rPr>
        <w:t xml:space="preserve"> </w:t>
      </w:r>
      <w:r w:rsidRPr="001E1BB7">
        <w:rPr>
          <w:rFonts w:ascii="Times New Roman" w:hAnsi="Times New Roman"/>
          <w:sz w:val="24"/>
          <w:szCs w:val="24"/>
        </w:rPr>
        <w:t>commands</w:t>
      </w:r>
      <w:r>
        <w:rPr>
          <w:rFonts w:ascii="Times New Roman" w:hAnsi="Times New Roman"/>
          <w:sz w:val="24"/>
          <w:szCs w:val="24"/>
        </w:rPr>
        <w:t>’</w:t>
      </w:r>
      <w:r w:rsidRPr="001E1BB7">
        <w:rPr>
          <w:rFonts w:ascii="Times New Roman" w:hAnsi="Times New Roman"/>
          <w:sz w:val="24"/>
          <w:szCs w:val="24"/>
        </w:rPr>
        <w:t xml:space="preserve"> does not give the officer probable cause to use deadly force against him. </w:t>
      </w:r>
    </w:p>
    <w:p w14:paraId="16F36544" w14:textId="77777777" w:rsidR="001C2F88" w:rsidRDefault="001C2F88" w:rsidP="001C2F88">
      <w:pPr>
        <w:pStyle w:val="NoSpacing"/>
        <w:ind w:left="720"/>
        <w:rPr>
          <w:rFonts w:ascii="Times New Roman" w:hAnsi="Times New Roman"/>
          <w:sz w:val="24"/>
          <w:szCs w:val="24"/>
        </w:rPr>
      </w:pPr>
      <w:r>
        <w:rPr>
          <w:rFonts w:ascii="Times New Roman" w:hAnsi="Times New Roman"/>
          <w:sz w:val="24"/>
          <w:szCs w:val="24"/>
        </w:rPr>
        <w:t>***</w:t>
      </w:r>
    </w:p>
    <w:p w14:paraId="1280B1CE" w14:textId="77777777" w:rsidR="001C2F88" w:rsidRDefault="001C2F88" w:rsidP="001C2F88">
      <w:pPr>
        <w:pStyle w:val="NoSpacing"/>
        <w:ind w:firstLine="720"/>
        <w:rPr>
          <w:rFonts w:ascii="Times New Roman" w:hAnsi="Times New Roman"/>
          <w:sz w:val="24"/>
          <w:szCs w:val="24"/>
        </w:rPr>
      </w:pPr>
    </w:p>
    <w:p w14:paraId="6E31E5FA" w14:textId="77777777" w:rsidR="001C2F88" w:rsidRDefault="001C2F88" w:rsidP="001C2F88">
      <w:pPr>
        <w:pStyle w:val="NoSpacing"/>
        <w:ind w:firstLine="720"/>
        <w:rPr>
          <w:rFonts w:ascii="Times New Roman" w:hAnsi="Times New Roman"/>
          <w:sz w:val="24"/>
          <w:szCs w:val="24"/>
        </w:rPr>
      </w:pPr>
    </w:p>
    <w:p w14:paraId="0B50A63A" w14:textId="77777777" w:rsidR="001C2F88" w:rsidRDefault="001C2F88" w:rsidP="001C2F88">
      <w:pPr>
        <w:pStyle w:val="NoSpacing"/>
        <w:ind w:left="720"/>
        <w:rPr>
          <w:rFonts w:ascii="Times New Roman" w:hAnsi="Times New Roman"/>
          <w:sz w:val="24"/>
          <w:szCs w:val="24"/>
        </w:rPr>
      </w:pPr>
      <w:r>
        <w:rPr>
          <w:rFonts w:ascii="Times New Roman" w:hAnsi="Times New Roman"/>
          <w:sz w:val="24"/>
          <w:szCs w:val="24"/>
        </w:rPr>
        <w:t>[FAILURE TO PROVIDE FIRST AID CLAIM.] “</w:t>
      </w:r>
      <w:r w:rsidRPr="005124E7">
        <w:rPr>
          <w:rFonts w:ascii="Times New Roman" w:hAnsi="Times New Roman"/>
          <w:sz w:val="24"/>
          <w:szCs w:val="24"/>
        </w:rPr>
        <w:t>To summarize, it is undisputed that Officer Bowers focused on ordering an officer to</w:t>
      </w:r>
      <w:r>
        <w:rPr>
          <w:rFonts w:ascii="Times New Roman" w:hAnsi="Times New Roman"/>
          <w:sz w:val="24"/>
          <w:szCs w:val="24"/>
        </w:rPr>
        <w:t xml:space="preserve"> </w:t>
      </w:r>
      <w:r w:rsidRPr="005124E7">
        <w:rPr>
          <w:rFonts w:ascii="Times New Roman" w:hAnsi="Times New Roman"/>
          <w:sz w:val="24"/>
          <w:szCs w:val="24"/>
        </w:rPr>
        <w:t>handcuff Mr. Heeter, then stood idle as Mr. Heeter bled out, moaned, and struggled to breathe.</w:t>
      </w:r>
      <w:r>
        <w:rPr>
          <w:rFonts w:ascii="Times New Roman" w:hAnsi="Times New Roman"/>
          <w:sz w:val="24"/>
          <w:szCs w:val="24"/>
        </w:rPr>
        <w:t xml:space="preserve"> </w:t>
      </w:r>
      <w:r w:rsidRPr="005124E7">
        <w:rPr>
          <w:rFonts w:ascii="Times New Roman" w:hAnsi="Times New Roman"/>
          <w:sz w:val="24"/>
          <w:szCs w:val="24"/>
        </w:rPr>
        <w:t>A reasonable jury could find that Mr. Heeter’s critical injury called for immediate first aid before</w:t>
      </w:r>
      <w:r>
        <w:rPr>
          <w:rFonts w:ascii="Times New Roman" w:hAnsi="Times New Roman"/>
          <w:sz w:val="24"/>
          <w:szCs w:val="24"/>
        </w:rPr>
        <w:t xml:space="preserve"> </w:t>
      </w:r>
      <w:r w:rsidRPr="005124E7">
        <w:rPr>
          <w:rFonts w:ascii="Times New Roman" w:hAnsi="Times New Roman"/>
          <w:sz w:val="24"/>
          <w:szCs w:val="24"/>
        </w:rPr>
        <w:t>professional paramedics arrived, and that Officer Bowers—trained in first aid and unoccupied by</w:t>
      </w:r>
      <w:r>
        <w:rPr>
          <w:rFonts w:ascii="Times New Roman" w:hAnsi="Times New Roman"/>
          <w:sz w:val="24"/>
          <w:szCs w:val="24"/>
        </w:rPr>
        <w:t xml:space="preserve"> </w:t>
      </w:r>
      <w:r w:rsidRPr="005124E7">
        <w:rPr>
          <w:rFonts w:ascii="Times New Roman" w:hAnsi="Times New Roman"/>
          <w:sz w:val="24"/>
          <w:szCs w:val="24"/>
        </w:rPr>
        <w:t>police duties—could and should have rendered that care. Therefore, a reasonable jury could find</w:t>
      </w:r>
      <w:r>
        <w:rPr>
          <w:rFonts w:ascii="Times New Roman" w:hAnsi="Times New Roman"/>
          <w:sz w:val="24"/>
          <w:szCs w:val="24"/>
        </w:rPr>
        <w:t xml:space="preserve"> </w:t>
      </w:r>
      <w:r w:rsidRPr="005124E7">
        <w:rPr>
          <w:rFonts w:ascii="Times New Roman" w:hAnsi="Times New Roman"/>
          <w:sz w:val="24"/>
          <w:szCs w:val="24"/>
        </w:rPr>
        <w:t xml:space="preserve">Officer Bowers violated Mr. Heeter’s Fourteenth Amendment right to adequate medical </w:t>
      </w:r>
      <w:proofErr w:type="gramStart"/>
      <w:r w:rsidRPr="005124E7">
        <w:rPr>
          <w:rFonts w:ascii="Times New Roman" w:hAnsi="Times New Roman"/>
          <w:sz w:val="24"/>
          <w:szCs w:val="24"/>
        </w:rPr>
        <w:t>care.</w:t>
      </w:r>
      <w:r>
        <w:rPr>
          <w:rFonts w:ascii="Times New Roman" w:hAnsi="Times New Roman"/>
          <w:sz w:val="24"/>
          <w:szCs w:val="24"/>
        </w:rPr>
        <w:t>”</w:t>
      </w:r>
      <w:proofErr w:type="gramEnd"/>
    </w:p>
    <w:p w14:paraId="3005C308" w14:textId="77777777" w:rsidR="001C2F88" w:rsidRDefault="001C2F88" w:rsidP="001C2F88">
      <w:pPr>
        <w:pStyle w:val="NoSpacing"/>
        <w:ind w:left="720"/>
        <w:rPr>
          <w:rFonts w:ascii="Times New Roman" w:hAnsi="Times New Roman"/>
          <w:sz w:val="24"/>
          <w:szCs w:val="24"/>
        </w:rPr>
      </w:pPr>
    </w:p>
    <w:p w14:paraId="6817DA14" w14:textId="77777777" w:rsidR="001C2F88" w:rsidRDefault="001C2F88" w:rsidP="001C2F88">
      <w:pPr>
        <w:pStyle w:val="NoSpacing"/>
        <w:ind w:left="720"/>
        <w:rPr>
          <w:rFonts w:ascii="Times New Roman" w:hAnsi="Times New Roman"/>
          <w:sz w:val="24"/>
          <w:szCs w:val="24"/>
        </w:rPr>
      </w:pPr>
      <w:r>
        <w:rPr>
          <w:rFonts w:ascii="Times New Roman" w:hAnsi="Times New Roman"/>
          <w:sz w:val="24"/>
          <w:szCs w:val="24"/>
        </w:rPr>
        <w:t>***</w:t>
      </w:r>
    </w:p>
    <w:p w14:paraId="761618BD" w14:textId="77777777" w:rsidR="001C2F88" w:rsidRDefault="001C2F88" w:rsidP="001C2F88">
      <w:pPr>
        <w:pStyle w:val="NoSpacing"/>
        <w:ind w:firstLine="720"/>
        <w:rPr>
          <w:rFonts w:ascii="Times New Roman" w:hAnsi="Times New Roman"/>
          <w:sz w:val="24"/>
          <w:szCs w:val="24"/>
        </w:rPr>
      </w:pPr>
    </w:p>
    <w:p w14:paraId="48C004F1" w14:textId="77777777" w:rsidR="001C2F88" w:rsidRDefault="001C2F88" w:rsidP="001C2F88">
      <w:pPr>
        <w:pStyle w:val="NoSpacing"/>
        <w:ind w:left="720"/>
        <w:rPr>
          <w:rStyle w:val="Hyperlink"/>
          <w:rFonts w:ascii="Times New Roman" w:hAnsi="Times New Roman"/>
          <w:sz w:val="24"/>
          <w:szCs w:val="24"/>
        </w:rPr>
      </w:pPr>
      <w:r w:rsidRPr="009B0945">
        <w:rPr>
          <w:rFonts w:ascii="Times New Roman" w:hAnsi="Times New Roman"/>
          <w:color w:val="454545"/>
          <w:sz w:val="24"/>
          <w:szCs w:val="24"/>
        </w:rPr>
        <w:t>In </w:t>
      </w:r>
      <w:r w:rsidRPr="009B0945">
        <w:rPr>
          <w:rStyle w:val="Emphasis"/>
          <w:rFonts w:ascii="Times New Roman" w:eastAsiaTheme="majorEastAsia" w:hAnsi="Times New Roman"/>
          <w:color w:val="454545"/>
          <w:sz w:val="24"/>
          <w:szCs w:val="24"/>
        </w:rPr>
        <w:t>Jones v. City of Cincinnati</w:t>
      </w:r>
      <w:r w:rsidRPr="009B0945">
        <w:rPr>
          <w:rFonts w:ascii="Times New Roman" w:hAnsi="Times New Roman"/>
          <w:color w:val="454545"/>
          <w:sz w:val="24"/>
          <w:szCs w:val="24"/>
        </w:rPr>
        <w:t>, a police sergeant arrived at a scene to find a detainee lying face down and not breathing; other responding officers had subdued and asphyxiated him. 521 F.3d 555, 558 (6th Cir. 2008).</w:t>
      </w:r>
      <w:r>
        <w:rPr>
          <w:rFonts w:ascii="Times New Roman" w:hAnsi="Times New Roman"/>
          <w:color w:val="454545"/>
          <w:sz w:val="24"/>
          <w:szCs w:val="24"/>
        </w:rPr>
        <w:t xml:space="preserve">” </w:t>
      </w:r>
      <w:hyperlink r:id="rId2086" w:history="1">
        <w:r w:rsidRPr="00891F87">
          <w:rPr>
            <w:rStyle w:val="Hyperlink"/>
            <w:rFonts w:ascii="Times New Roman" w:hAnsi="Times New Roman"/>
            <w:sz w:val="24"/>
            <w:szCs w:val="24"/>
          </w:rPr>
          <w:t>http://www.opn.ca6.uscourts.gov/opinions.pdf/08a0140p-06.pdf</w:t>
        </w:r>
      </w:hyperlink>
    </w:p>
    <w:p w14:paraId="098A7C2D" w14:textId="77777777" w:rsidR="001C2F88" w:rsidRDefault="001C2F88" w:rsidP="001C2F88">
      <w:pPr>
        <w:pStyle w:val="NoSpacing"/>
        <w:ind w:left="720"/>
        <w:rPr>
          <w:rFonts w:ascii="Times New Roman" w:hAnsi="Times New Roman"/>
          <w:color w:val="454545"/>
          <w:sz w:val="24"/>
          <w:szCs w:val="24"/>
        </w:rPr>
      </w:pPr>
    </w:p>
    <w:p w14:paraId="20CA9008" w14:textId="77777777" w:rsidR="001C2F88" w:rsidRDefault="001C2F88" w:rsidP="001C2F88">
      <w:pPr>
        <w:pStyle w:val="NoSpacing"/>
        <w:ind w:left="720"/>
        <w:rPr>
          <w:rFonts w:ascii="Times New Roman" w:hAnsi="Times New Roman"/>
          <w:color w:val="454545"/>
          <w:sz w:val="24"/>
          <w:szCs w:val="24"/>
        </w:rPr>
      </w:pPr>
      <w:r>
        <w:rPr>
          <w:rFonts w:ascii="Times New Roman" w:hAnsi="Times New Roman"/>
          <w:color w:val="454545"/>
          <w:sz w:val="24"/>
          <w:szCs w:val="24"/>
        </w:rPr>
        <w:t>***</w:t>
      </w:r>
    </w:p>
    <w:p w14:paraId="160459E7" w14:textId="77777777" w:rsidR="001C2F88" w:rsidRDefault="001C2F88" w:rsidP="001C2F88">
      <w:pPr>
        <w:pStyle w:val="NoSpacing"/>
        <w:ind w:left="720"/>
        <w:rPr>
          <w:rFonts w:ascii="Times New Roman" w:hAnsi="Times New Roman"/>
          <w:color w:val="454545"/>
          <w:sz w:val="24"/>
          <w:szCs w:val="24"/>
        </w:rPr>
      </w:pPr>
    </w:p>
    <w:p w14:paraId="3FF9A1F9" w14:textId="77777777" w:rsidR="001C2F88" w:rsidRPr="00C6276E" w:rsidRDefault="001C2F88" w:rsidP="001C2F88">
      <w:pPr>
        <w:pStyle w:val="NoSpacing"/>
        <w:ind w:left="720"/>
        <w:rPr>
          <w:rFonts w:ascii="Times New Roman" w:hAnsi="Times New Roman"/>
          <w:color w:val="454545"/>
          <w:sz w:val="24"/>
          <w:szCs w:val="24"/>
        </w:rPr>
      </w:pPr>
      <w:r w:rsidRPr="00C6276E">
        <w:rPr>
          <w:rFonts w:ascii="Times New Roman" w:hAnsi="Times New Roman"/>
          <w:color w:val="454545"/>
          <w:sz w:val="24"/>
          <w:szCs w:val="24"/>
        </w:rPr>
        <w:t>The Supreme Court established in 1983 that an officer has an obligation under the Due</w:t>
      </w:r>
    </w:p>
    <w:p w14:paraId="66C7A9FE" w14:textId="77777777" w:rsidR="001C2F88" w:rsidRDefault="001C2F88" w:rsidP="001C2F88">
      <w:pPr>
        <w:pStyle w:val="NoSpacing"/>
        <w:ind w:left="720"/>
        <w:rPr>
          <w:rFonts w:ascii="Times New Roman" w:hAnsi="Times New Roman"/>
          <w:color w:val="454545"/>
          <w:sz w:val="24"/>
          <w:szCs w:val="24"/>
        </w:rPr>
      </w:pPr>
      <w:r w:rsidRPr="00C6276E">
        <w:rPr>
          <w:rFonts w:ascii="Times New Roman" w:hAnsi="Times New Roman"/>
          <w:color w:val="454545"/>
          <w:sz w:val="24"/>
          <w:szCs w:val="24"/>
        </w:rPr>
        <w:t xml:space="preserve">Process Clause to provide adequate medical care </w:t>
      </w:r>
      <w:proofErr w:type="gramStart"/>
      <w:r w:rsidRPr="00C6276E">
        <w:rPr>
          <w:rFonts w:ascii="Times New Roman" w:hAnsi="Times New Roman"/>
          <w:color w:val="454545"/>
          <w:sz w:val="24"/>
          <w:szCs w:val="24"/>
        </w:rPr>
        <w:t>to</w:t>
      </w:r>
      <w:proofErr w:type="gramEnd"/>
      <w:r w:rsidRPr="00C6276E">
        <w:rPr>
          <w:rFonts w:ascii="Times New Roman" w:hAnsi="Times New Roman"/>
          <w:color w:val="454545"/>
          <w:sz w:val="24"/>
          <w:szCs w:val="24"/>
        </w:rPr>
        <w:t xml:space="preserve"> suspects shot during apprehension. City of</w:t>
      </w:r>
      <w:r>
        <w:rPr>
          <w:rFonts w:ascii="Times New Roman" w:hAnsi="Times New Roman"/>
          <w:color w:val="454545"/>
          <w:sz w:val="24"/>
          <w:szCs w:val="24"/>
        </w:rPr>
        <w:t xml:space="preserve"> </w:t>
      </w:r>
      <w:r w:rsidRPr="00C6276E">
        <w:rPr>
          <w:rFonts w:ascii="Times New Roman" w:hAnsi="Times New Roman"/>
          <w:color w:val="454545"/>
          <w:sz w:val="24"/>
          <w:szCs w:val="24"/>
        </w:rPr>
        <w:t>Revere, 463 U.S. at 244. As discussed above, the standard applicable in November 2018</w:t>
      </w:r>
      <w:r>
        <w:rPr>
          <w:rFonts w:ascii="Times New Roman" w:hAnsi="Times New Roman"/>
          <w:color w:val="454545"/>
          <w:sz w:val="24"/>
          <w:szCs w:val="24"/>
        </w:rPr>
        <w:t xml:space="preserve"> [Jones v. City of Cincinnati case] </w:t>
      </w:r>
      <w:r w:rsidRPr="00C6276E">
        <w:rPr>
          <w:rFonts w:ascii="Times New Roman" w:hAnsi="Times New Roman"/>
          <w:color w:val="454545"/>
          <w:sz w:val="24"/>
          <w:szCs w:val="24"/>
        </w:rPr>
        <w:t>required a plaintiff to show an officer knowingly and deliberately disregarded a detainee’s risk of</w:t>
      </w:r>
      <w:r>
        <w:rPr>
          <w:rFonts w:ascii="Times New Roman" w:hAnsi="Times New Roman"/>
          <w:color w:val="454545"/>
          <w:sz w:val="24"/>
          <w:szCs w:val="24"/>
        </w:rPr>
        <w:t xml:space="preserve"> </w:t>
      </w:r>
      <w:r w:rsidRPr="00C6276E">
        <w:rPr>
          <w:rFonts w:ascii="Times New Roman" w:hAnsi="Times New Roman"/>
          <w:color w:val="454545"/>
          <w:sz w:val="24"/>
          <w:szCs w:val="24"/>
        </w:rPr>
        <w:t xml:space="preserve">harm </w:t>
      </w:r>
      <w:proofErr w:type="gramStart"/>
      <w:r w:rsidRPr="00C6276E">
        <w:rPr>
          <w:rFonts w:ascii="Times New Roman" w:hAnsi="Times New Roman"/>
          <w:color w:val="454545"/>
          <w:sz w:val="24"/>
          <w:szCs w:val="24"/>
        </w:rPr>
        <w:t>in order to</w:t>
      </w:r>
      <w:proofErr w:type="gramEnd"/>
      <w:r w:rsidRPr="00C6276E">
        <w:rPr>
          <w:rFonts w:ascii="Times New Roman" w:hAnsi="Times New Roman"/>
          <w:color w:val="454545"/>
          <w:sz w:val="24"/>
          <w:szCs w:val="24"/>
        </w:rPr>
        <w:t xml:space="preserve"> prevail on an adequate medical care claim.</w:t>
      </w:r>
      <w:r>
        <w:rPr>
          <w:rFonts w:ascii="Times New Roman" w:hAnsi="Times New Roman"/>
          <w:color w:val="454545"/>
          <w:sz w:val="24"/>
          <w:szCs w:val="24"/>
        </w:rPr>
        <w:t>”</w:t>
      </w:r>
    </w:p>
    <w:p w14:paraId="14D15BA1" w14:textId="77777777" w:rsidR="001C2F88" w:rsidRDefault="001C2F88" w:rsidP="001C2F88">
      <w:pPr>
        <w:pStyle w:val="NoSpacing"/>
        <w:ind w:left="720"/>
        <w:rPr>
          <w:rFonts w:ascii="Times New Roman" w:hAnsi="Times New Roman"/>
          <w:color w:val="454545"/>
          <w:sz w:val="24"/>
          <w:szCs w:val="24"/>
        </w:rPr>
      </w:pPr>
    </w:p>
    <w:p w14:paraId="3EB4E79C" w14:textId="77777777" w:rsidR="001C2F88" w:rsidRDefault="001C2F88" w:rsidP="001C2F88">
      <w:pPr>
        <w:pStyle w:val="NormalWeb"/>
      </w:pPr>
      <w:r>
        <w:t xml:space="preserve">FACTS: </w:t>
      </w:r>
    </w:p>
    <w:p w14:paraId="3D262762" w14:textId="77777777" w:rsidR="001C2F88" w:rsidRPr="00A94EA2" w:rsidRDefault="001C2F88" w:rsidP="001C2F88">
      <w:pPr>
        <w:pStyle w:val="NoSpacing"/>
        <w:ind w:left="720"/>
        <w:rPr>
          <w:rFonts w:ascii="Times New Roman" w:hAnsi="Times New Roman"/>
          <w:sz w:val="24"/>
          <w:szCs w:val="24"/>
        </w:rPr>
      </w:pPr>
      <w:r>
        <w:rPr>
          <w:rFonts w:ascii="Times New Roman" w:hAnsi="Times New Roman"/>
          <w:sz w:val="24"/>
          <w:szCs w:val="24"/>
        </w:rPr>
        <w:t>“</w:t>
      </w:r>
      <w:r w:rsidRPr="00A94EA2">
        <w:rPr>
          <w:rFonts w:ascii="Times New Roman" w:hAnsi="Times New Roman"/>
          <w:sz w:val="24"/>
          <w:szCs w:val="24"/>
        </w:rPr>
        <w:t>On the morning of November 21, 2018, the day before</w:t>
      </w:r>
      <w:r>
        <w:rPr>
          <w:rFonts w:ascii="Times New Roman" w:hAnsi="Times New Roman"/>
          <w:sz w:val="24"/>
          <w:szCs w:val="24"/>
        </w:rPr>
        <w:t xml:space="preserve"> </w:t>
      </w:r>
      <w:r w:rsidRPr="00A94EA2">
        <w:rPr>
          <w:rFonts w:ascii="Times New Roman" w:hAnsi="Times New Roman"/>
          <w:sz w:val="24"/>
          <w:szCs w:val="24"/>
        </w:rPr>
        <w:t>Thanksgiving, Bill Heeter told his wife Karen he was about to commit suicide. Mr. Heeter’s</w:t>
      </w:r>
      <w:r>
        <w:rPr>
          <w:rFonts w:ascii="Times New Roman" w:hAnsi="Times New Roman"/>
          <w:sz w:val="24"/>
          <w:szCs w:val="24"/>
        </w:rPr>
        <w:t xml:space="preserve"> </w:t>
      </w:r>
      <w:r w:rsidRPr="00A94EA2">
        <w:rPr>
          <w:rFonts w:ascii="Times New Roman" w:hAnsi="Times New Roman"/>
          <w:sz w:val="24"/>
          <w:szCs w:val="24"/>
        </w:rPr>
        <w:t>brother called the police to stop him. At about 10:05 a.m., officers began to arrive at the family’s</w:t>
      </w:r>
      <w:r>
        <w:rPr>
          <w:rFonts w:ascii="Times New Roman" w:hAnsi="Times New Roman"/>
          <w:sz w:val="24"/>
          <w:szCs w:val="24"/>
        </w:rPr>
        <w:t xml:space="preserve"> </w:t>
      </w:r>
      <w:r w:rsidRPr="00A94EA2">
        <w:rPr>
          <w:rFonts w:ascii="Times New Roman" w:hAnsi="Times New Roman"/>
          <w:sz w:val="24"/>
          <w:szCs w:val="24"/>
        </w:rPr>
        <w:t>Columbus, Ohio home. They spotted Mr. Heeter through his kitchen window—he was sitting at</w:t>
      </w:r>
      <w:r>
        <w:rPr>
          <w:rFonts w:ascii="Times New Roman" w:hAnsi="Times New Roman"/>
          <w:sz w:val="24"/>
          <w:szCs w:val="24"/>
        </w:rPr>
        <w:t xml:space="preserve"> </w:t>
      </w:r>
      <w:r w:rsidRPr="00A94EA2">
        <w:rPr>
          <w:rFonts w:ascii="Times New Roman" w:hAnsi="Times New Roman"/>
          <w:sz w:val="24"/>
          <w:szCs w:val="24"/>
        </w:rPr>
        <w:t xml:space="preserve">a table smoking a cigarette, with one hand on his pistol. He told the officers he’d put his </w:t>
      </w:r>
      <w:proofErr w:type="gramStart"/>
      <w:r w:rsidRPr="00A94EA2">
        <w:rPr>
          <w:rFonts w:ascii="Times New Roman" w:hAnsi="Times New Roman"/>
          <w:sz w:val="24"/>
          <w:szCs w:val="24"/>
        </w:rPr>
        <w:t>gun</w:t>
      </w:r>
      <w:proofErr w:type="gramEnd"/>
    </w:p>
    <w:p w14:paraId="7BC1C106" w14:textId="77777777" w:rsidR="001C2F88" w:rsidRDefault="001C2F88" w:rsidP="001C2F88">
      <w:pPr>
        <w:pStyle w:val="NoSpacing"/>
        <w:ind w:left="720"/>
        <w:rPr>
          <w:rFonts w:ascii="Times New Roman" w:hAnsi="Times New Roman"/>
          <w:sz w:val="24"/>
          <w:szCs w:val="24"/>
        </w:rPr>
      </w:pPr>
      <w:r w:rsidRPr="00A94EA2">
        <w:rPr>
          <w:rFonts w:ascii="Times New Roman" w:hAnsi="Times New Roman"/>
          <w:sz w:val="24"/>
          <w:szCs w:val="24"/>
        </w:rPr>
        <w:t>away if they left. At approximately 10:15 a.m., a group of officers entered the house with their</w:t>
      </w:r>
      <w:r>
        <w:rPr>
          <w:rFonts w:ascii="Times New Roman" w:hAnsi="Times New Roman"/>
          <w:sz w:val="24"/>
          <w:szCs w:val="24"/>
        </w:rPr>
        <w:t xml:space="preserve"> </w:t>
      </w:r>
      <w:r w:rsidRPr="00A94EA2">
        <w:rPr>
          <w:rFonts w:ascii="Times New Roman" w:hAnsi="Times New Roman"/>
          <w:sz w:val="24"/>
          <w:szCs w:val="24"/>
        </w:rPr>
        <w:t>weapons drawn. At 10:17 a.m., Officer Kenneth Bowers fired five rounds from his M16 service</w:t>
      </w:r>
      <w:r>
        <w:rPr>
          <w:rFonts w:ascii="Times New Roman" w:hAnsi="Times New Roman"/>
          <w:sz w:val="24"/>
          <w:szCs w:val="24"/>
        </w:rPr>
        <w:t xml:space="preserve"> </w:t>
      </w:r>
      <w:r w:rsidRPr="00A94EA2">
        <w:rPr>
          <w:rFonts w:ascii="Times New Roman" w:hAnsi="Times New Roman"/>
          <w:sz w:val="24"/>
          <w:szCs w:val="24"/>
        </w:rPr>
        <w:t>rifle into Mr. Heeter’s chest. At 10:57 a.m., Mr. Heeter was pronounced dead at the hospital.</w:t>
      </w:r>
      <w:r>
        <w:rPr>
          <w:rFonts w:ascii="Times New Roman" w:hAnsi="Times New Roman"/>
          <w:sz w:val="24"/>
          <w:szCs w:val="24"/>
        </w:rPr>
        <w:t xml:space="preserve"> </w:t>
      </w:r>
      <w:r w:rsidRPr="00A94EA2">
        <w:rPr>
          <w:rFonts w:ascii="Times New Roman" w:hAnsi="Times New Roman"/>
          <w:sz w:val="24"/>
          <w:szCs w:val="24"/>
        </w:rPr>
        <w:t>Police bodycam footage captured almost everything that happened. It shows that a police</w:t>
      </w:r>
      <w:r>
        <w:rPr>
          <w:rFonts w:ascii="Times New Roman" w:hAnsi="Times New Roman"/>
          <w:sz w:val="24"/>
          <w:szCs w:val="24"/>
        </w:rPr>
        <w:t xml:space="preserve"> </w:t>
      </w:r>
      <w:r w:rsidRPr="00A94EA2">
        <w:rPr>
          <w:rFonts w:ascii="Times New Roman" w:hAnsi="Times New Roman"/>
          <w:sz w:val="24"/>
          <w:szCs w:val="24"/>
        </w:rPr>
        <w:t>sergeant called the paramedics. It also shows that Officer Bowers did not administer first aid or</w:t>
      </w:r>
      <w:r>
        <w:rPr>
          <w:rFonts w:ascii="Times New Roman" w:hAnsi="Times New Roman"/>
          <w:sz w:val="24"/>
          <w:szCs w:val="24"/>
        </w:rPr>
        <w:t xml:space="preserve"> </w:t>
      </w:r>
      <w:r w:rsidRPr="00A94EA2">
        <w:rPr>
          <w:rFonts w:ascii="Times New Roman" w:hAnsi="Times New Roman"/>
          <w:sz w:val="24"/>
          <w:szCs w:val="24"/>
        </w:rPr>
        <w:t>otherwise try to help Mr. Heeter while waiting for the paramedics to arrive, even though Mr.</w:t>
      </w:r>
      <w:r>
        <w:rPr>
          <w:rFonts w:ascii="Times New Roman" w:hAnsi="Times New Roman"/>
          <w:sz w:val="24"/>
          <w:szCs w:val="24"/>
        </w:rPr>
        <w:t xml:space="preserve"> </w:t>
      </w:r>
      <w:r w:rsidRPr="00A94EA2">
        <w:rPr>
          <w:rFonts w:ascii="Times New Roman" w:hAnsi="Times New Roman"/>
          <w:sz w:val="24"/>
          <w:szCs w:val="24"/>
        </w:rPr>
        <w:t>Heeter was audibly and visibly alive, hemorrhaging blood, and struggling to breathe</w:t>
      </w:r>
      <w:r>
        <w:rPr>
          <w:rFonts w:ascii="Times New Roman" w:hAnsi="Times New Roman"/>
          <w:sz w:val="24"/>
          <w:szCs w:val="24"/>
        </w:rPr>
        <w:t>.”</w:t>
      </w:r>
    </w:p>
    <w:p w14:paraId="53170EFF" w14:textId="77777777" w:rsidR="001C2F88" w:rsidRDefault="001C2F88" w:rsidP="001C2F88">
      <w:pPr>
        <w:pStyle w:val="NoSpacing"/>
        <w:ind w:left="720"/>
        <w:rPr>
          <w:rFonts w:ascii="Times New Roman" w:hAnsi="Times New Roman"/>
          <w:sz w:val="24"/>
          <w:szCs w:val="24"/>
        </w:rPr>
      </w:pPr>
    </w:p>
    <w:p w14:paraId="36A72461" w14:textId="77777777" w:rsidR="001C2F88" w:rsidRDefault="001C2F88" w:rsidP="001C2F88">
      <w:pPr>
        <w:pStyle w:val="NormalWeb"/>
      </w:pPr>
      <w:r>
        <w:t>DISSENT:</w:t>
      </w:r>
    </w:p>
    <w:p w14:paraId="452B6B9D" w14:textId="77777777" w:rsidR="001C2F88" w:rsidRPr="00B91070" w:rsidRDefault="001C2F88" w:rsidP="001C2F88">
      <w:pPr>
        <w:pStyle w:val="NoSpacing"/>
        <w:ind w:left="720"/>
        <w:rPr>
          <w:rFonts w:ascii="Times New Roman" w:hAnsi="Times New Roman"/>
          <w:sz w:val="24"/>
          <w:szCs w:val="24"/>
        </w:rPr>
      </w:pPr>
      <w:r>
        <w:rPr>
          <w:rFonts w:ascii="Times New Roman" w:hAnsi="Times New Roman"/>
          <w:sz w:val="24"/>
          <w:szCs w:val="24"/>
        </w:rPr>
        <w:t xml:space="preserve">“The majority [opinion} acknowledges that </w:t>
      </w:r>
      <w:r w:rsidRPr="00B91070">
        <w:rPr>
          <w:rFonts w:ascii="Times New Roman" w:hAnsi="Times New Roman"/>
          <w:sz w:val="24"/>
          <w:szCs w:val="24"/>
        </w:rPr>
        <w:t>if Officer Bowers had reasonably believed that personal intervention would</w:t>
      </w:r>
      <w:r>
        <w:rPr>
          <w:rFonts w:ascii="Times New Roman" w:hAnsi="Times New Roman"/>
          <w:sz w:val="24"/>
          <w:szCs w:val="24"/>
        </w:rPr>
        <w:t xml:space="preserve"> </w:t>
      </w:r>
      <w:r w:rsidRPr="00B91070">
        <w:rPr>
          <w:rFonts w:ascii="Times New Roman" w:hAnsi="Times New Roman"/>
          <w:sz w:val="24"/>
          <w:szCs w:val="24"/>
        </w:rPr>
        <w:t>not have helped Mr. Heeter, he would not have been deliberately indifferent in failing to render</w:t>
      </w:r>
      <w:r>
        <w:rPr>
          <w:rFonts w:ascii="Times New Roman" w:hAnsi="Times New Roman"/>
          <w:sz w:val="24"/>
          <w:szCs w:val="24"/>
        </w:rPr>
        <w:t xml:space="preserve"> </w:t>
      </w:r>
      <w:r w:rsidRPr="00B91070">
        <w:rPr>
          <w:rFonts w:ascii="Times New Roman" w:hAnsi="Times New Roman"/>
          <w:sz w:val="24"/>
          <w:szCs w:val="24"/>
        </w:rPr>
        <w:t>any basic first aid under our precedent.</w:t>
      </w:r>
      <w:r>
        <w:rPr>
          <w:rFonts w:ascii="Times New Roman" w:hAnsi="Times New Roman"/>
          <w:sz w:val="24"/>
          <w:szCs w:val="24"/>
        </w:rPr>
        <w:t xml:space="preserve"> *** </w:t>
      </w:r>
      <w:r w:rsidRPr="004D46F5">
        <w:rPr>
          <w:rFonts w:ascii="Times New Roman" w:hAnsi="Times New Roman"/>
          <w:sz w:val="24"/>
          <w:szCs w:val="24"/>
        </w:rPr>
        <w:t>Because we do not have jurisdiction to review the factual disputes</w:t>
      </w:r>
      <w:r>
        <w:rPr>
          <w:rFonts w:ascii="Times New Roman" w:hAnsi="Times New Roman"/>
          <w:sz w:val="24"/>
          <w:szCs w:val="24"/>
        </w:rPr>
        <w:t xml:space="preserve"> </w:t>
      </w:r>
      <w:r w:rsidRPr="004D46F5">
        <w:rPr>
          <w:rFonts w:ascii="Times New Roman" w:hAnsi="Times New Roman"/>
          <w:sz w:val="24"/>
          <w:szCs w:val="24"/>
        </w:rPr>
        <w:t>Defendants present, I respectfully dissent from the majority’s choice to find jurisdiction in this</w:t>
      </w:r>
      <w:r>
        <w:rPr>
          <w:rFonts w:ascii="Times New Roman" w:hAnsi="Times New Roman"/>
          <w:sz w:val="24"/>
          <w:szCs w:val="24"/>
        </w:rPr>
        <w:t xml:space="preserve"> </w:t>
      </w:r>
      <w:r w:rsidRPr="004D46F5">
        <w:rPr>
          <w:rFonts w:ascii="Times New Roman" w:hAnsi="Times New Roman"/>
          <w:sz w:val="24"/>
          <w:szCs w:val="24"/>
        </w:rPr>
        <w:t>case. We should dismiss this qualified immunity appeal for lack of jurisdiction.</w:t>
      </w:r>
    </w:p>
    <w:p w14:paraId="2DCC3FBA" w14:textId="77777777" w:rsidR="001C2F88" w:rsidRPr="00A94EA2" w:rsidRDefault="001C2F88" w:rsidP="001C2F88">
      <w:pPr>
        <w:pStyle w:val="NoSpacing"/>
        <w:ind w:left="720"/>
        <w:rPr>
          <w:rFonts w:ascii="Times New Roman" w:hAnsi="Times New Roman"/>
          <w:sz w:val="24"/>
          <w:szCs w:val="24"/>
        </w:rPr>
      </w:pPr>
    </w:p>
    <w:p w14:paraId="0FB5864F" w14:textId="77777777" w:rsidR="001C2F88" w:rsidRPr="00A94EA2" w:rsidRDefault="001C2F88" w:rsidP="001C2F88">
      <w:pPr>
        <w:pStyle w:val="NoSpacing"/>
        <w:rPr>
          <w:rFonts w:ascii="Times New Roman" w:hAnsi="Times New Roman"/>
          <w:sz w:val="24"/>
          <w:szCs w:val="24"/>
        </w:rPr>
      </w:pPr>
    </w:p>
    <w:p w14:paraId="41EE3FF8" w14:textId="77777777" w:rsidR="001C2F88" w:rsidRPr="00C52C47" w:rsidRDefault="001C2F88" w:rsidP="001C2F88">
      <w:pPr>
        <w:pStyle w:val="NoSpacing"/>
        <w:rPr>
          <w:rFonts w:ascii="Times New Roman" w:hAnsi="Times New Roman"/>
          <w:b/>
          <w:bCs/>
          <w:sz w:val="24"/>
          <w:szCs w:val="24"/>
        </w:rPr>
      </w:pPr>
      <w:r w:rsidRPr="00C52C47">
        <w:rPr>
          <w:rFonts w:ascii="Times New Roman" w:hAnsi="Times New Roman"/>
          <w:b/>
          <w:bCs/>
          <w:sz w:val="24"/>
          <w:szCs w:val="24"/>
        </w:rPr>
        <w:t xml:space="preserve">Legal Lesson Learned: </w:t>
      </w:r>
      <w:r>
        <w:rPr>
          <w:rFonts w:ascii="Times New Roman" w:hAnsi="Times New Roman"/>
          <w:b/>
          <w:bCs/>
          <w:sz w:val="24"/>
          <w:szCs w:val="24"/>
        </w:rPr>
        <w:t>Under the 6</w:t>
      </w:r>
      <w:r w:rsidRPr="00C64006">
        <w:rPr>
          <w:rFonts w:ascii="Times New Roman" w:hAnsi="Times New Roman"/>
          <w:b/>
          <w:bCs/>
          <w:sz w:val="24"/>
          <w:szCs w:val="24"/>
          <w:vertAlign w:val="superscript"/>
        </w:rPr>
        <w:t>th</w:t>
      </w:r>
      <w:r>
        <w:rPr>
          <w:rFonts w:ascii="Times New Roman" w:hAnsi="Times New Roman"/>
          <w:b/>
          <w:bCs/>
          <w:sz w:val="24"/>
          <w:szCs w:val="24"/>
        </w:rPr>
        <w:t xml:space="preserve"> Circuit’s 2008 Jones v. City of Cincinnati case, police officers in 6</w:t>
      </w:r>
      <w:r w:rsidRPr="00C64006">
        <w:rPr>
          <w:rFonts w:ascii="Times New Roman" w:hAnsi="Times New Roman"/>
          <w:b/>
          <w:bCs/>
          <w:sz w:val="24"/>
          <w:szCs w:val="24"/>
          <w:vertAlign w:val="superscript"/>
        </w:rPr>
        <w:t>th</w:t>
      </w:r>
      <w:r>
        <w:rPr>
          <w:rFonts w:ascii="Times New Roman" w:hAnsi="Times New Roman"/>
          <w:b/>
          <w:bCs/>
          <w:sz w:val="24"/>
          <w:szCs w:val="24"/>
        </w:rPr>
        <w:t xml:space="preserve"> Circuit states [Ohio, Michigan, Kentucky, Tennessee] must render first aid to person in their custody.  Fire &amp; EMS when calling PD to scene of violent person should stage nearby. </w:t>
      </w:r>
    </w:p>
    <w:p w14:paraId="6C18DA91" w14:textId="77777777" w:rsidR="001C2F88" w:rsidRPr="00C52C47" w:rsidRDefault="001C2F88" w:rsidP="001C2F88">
      <w:pPr>
        <w:pStyle w:val="NoSpacing"/>
        <w:rPr>
          <w:rFonts w:ascii="Times New Roman" w:hAnsi="Times New Roman"/>
          <w:b/>
          <w:bCs/>
          <w:sz w:val="24"/>
          <w:szCs w:val="24"/>
        </w:rPr>
      </w:pPr>
    </w:p>
    <w:p w14:paraId="1085E5D7" w14:textId="77777777" w:rsidR="001C2F88" w:rsidRPr="004913F6" w:rsidRDefault="001C2F88" w:rsidP="001C2F88">
      <w:pPr>
        <w:pStyle w:val="NormalWeb"/>
        <w:spacing w:before="0" w:beforeAutospacing="0"/>
        <w:ind w:left="1440"/>
      </w:pPr>
      <w:r>
        <w:rPr>
          <w:color w:val="454545"/>
          <w:shd w:val="clear" w:color="auto" w:fill="FFFFFF"/>
        </w:rPr>
        <w:t xml:space="preserve">Note:  EMS agencies using body cameras. See this May 2, </w:t>
      </w:r>
      <w:proofErr w:type="gramStart"/>
      <w:r>
        <w:rPr>
          <w:color w:val="454545"/>
          <w:shd w:val="clear" w:color="auto" w:fill="FFFFFF"/>
        </w:rPr>
        <w:t>2024</w:t>
      </w:r>
      <w:proofErr w:type="gramEnd"/>
      <w:r>
        <w:rPr>
          <w:color w:val="454545"/>
          <w:shd w:val="clear" w:color="auto" w:fill="FFFFFF"/>
        </w:rPr>
        <w:t xml:space="preserve"> article: “</w:t>
      </w:r>
      <w:r w:rsidRPr="004913F6">
        <w:rPr>
          <w:rStyle w:val="title-main"/>
          <w:rFonts w:eastAsiaTheme="majorEastAsia"/>
          <w:color w:val="212529"/>
        </w:rPr>
        <w:t>Body Cams Help New Orleans EMS Protect Providers While Prioritizing Patient Safety</w:t>
      </w:r>
      <w:r>
        <w:rPr>
          <w:rStyle w:val="title-main"/>
          <w:rFonts w:eastAsiaTheme="majorEastAsia"/>
          <w:color w:val="212529"/>
        </w:rPr>
        <w:t xml:space="preserve">.” </w:t>
      </w:r>
      <w:hyperlink r:id="rId2087" w:history="1">
        <w:r w:rsidRPr="004913F6">
          <w:rPr>
            <w:rStyle w:val="Hyperlink"/>
          </w:rPr>
          <w:t>https://www.hmpgloballearningnetwork.com/site/emsworld/feature-story/body-cams-help-new-orleans-ems-protect-providers-while-prioritizing</w:t>
        </w:r>
      </w:hyperlink>
      <w:r>
        <w:t xml:space="preserve"> </w:t>
      </w:r>
    </w:p>
    <w:p w14:paraId="7BCF11A3" w14:textId="77777777" w:rsidR="001C2F88" w:rsidRDefault="001C2F88" w:rsidP="001C2F88">
      <w:pPr>
        <w:pStyle w:val="NormalWeb"/>
        <w:spacing w:before="0" w:beforeAutospacing="0"/>
        <w:ind w:left="1440"/>
        <w:rPr>
          <w:color w:val="454545"/>
          <w:shd w:val="clear" w:color="auto" w:fill="FFFFFF"/>
        </w:rPr>
      </w:pPr>
      <w:r>
        <w:rPr>
          <w:rFonts w:ascii="acumin-pro" w:hAnsi="acumin-pro"/>
          <w:color w:val="212529"/>
          <w:shd w:val="clear" w:color="auto" w:fill="FFFFFF"/>
        </w:rPr>
        <w:t>“New Orleans EMS embarked on a soft launch of body cameras in late 2022 to determine if staff wanted them and to calculate costs. The first deployment was 15 cameras, which recently increased to 30 more.”</w:t>
      </w:r>
    </w:p>
    <w:p w14:paraId="51E4A4AE" w14:textId="77777777" w:rsidR="001C2F88" w:rsidRDefault="001C2F88" w:rsidP="001C2F88">
      <w:pPr>
        <w:pStyle w:val="NormalWeb"/>
        <w:spacing w:before="0" w:beforeAutospacing="0"/>
        <w:rPr>
          <w:color w:val="454545"/>
          <w:shd w:val="clear" w:color="auto" w:fill="FFFFFF"/>
        </w:rPr>
      </w:pPr>
    </w:p>
    <w:p w14:paraId="7F460D65" w14:textId="77777777" w:rsidR="001C2F88" w:rsidRPr="001C2F88" w:rsidRDefault="001C2F88" w:rsidP="001C2F88">
      <w:pPr>
        <w:pStyle w:val="NormalWeb"/>
        <w:shd w:val="clear" w:color="auto" w:fill="FFFFFF"/>
        <w:spacing w:before="0" w:beforeAutospacing="0"/>
        <w:rPr>
          <w:rFonts w:ascii="Arial Black" w:hAnsi="Arial Black"/>
          <w:color w:val="454545"/>
          <w:sz w:val="28"/>
          <w:szCs w:val="28"/>
          <w:shd w:val="clear" w:color="auto" w:fill="FFFFFF"/>
        </w:rPr>
      </w:pPr>
      <w:r w:rsidRPr="001C2F88">
        <w:rPr>
          <w:rFonts w:ascii="Arial Black" w:hAnsi="Arial Black"/>
          <w:color w:val="454545"/>
          <w:sz w:val="28"/>
          <w:szCs w:val="28"/>
          <w:shd w:val="clear" w:color="auto" w:fill="FFFFFF"/>
        </w:rPr>
        <w:t>13-183</w:t>
      </w:r>
    </w:p>
    <w:p w14:paraId="38D674E8" w14:textId="7FA1DA71" w:rsidR="001C2F88" w:rsidRPr="006F4104" w:rsidRDefault="001C2F88" w:rsidP="001C2F88">
      <w:pPr>
        <w:pStyle w:val="NormalWeb"/>
        <w:shd w:val="clear" w:color="auto" w:fill="FFFFFF"/>
        <w:spacing w:before="0" w:beforeAutospacing="0"/>
        <w:rPr>
          <w:rFonts w:ascii="Arial Black" w:hAnsi="Arial Black"/>
          <w:b/>
          <w:bCs/>
          <w:color w:val="454545"/>
          <w:sz w:val="28"/>
          <w:szCs w:val="28"/>
        </w:rPr>
      </w:pPr>
      <w:r>
        <w:rPr>
          <w:rFonts w:ascii="Arial Black" w:hAnsi="Arial Black"/>
          <w:b/>
          <w:bCs/>
          <w:color w:val="454545"/>
          <w:sz w:val="28"/>
          <w:szCs w:val="28"/>
        </w:rPr>
        <w:t xml:space="preserve">ME: COVID VACCINATIONS  – 17 EMS SUED - STATE EMS HAD THE STATUTORY AUTHORITY REQ. EMS VACCINATED </w:t>
      </w:r>
    </w:p>
    <w:p w14:paraId="164FC379" w14:textId="77777777" w:rsidR="001C2F88" w:rsidRDefault="001C2F88" w:rsidP="001C2F88">
      <w:pPr>
        <w:pStyle w:val="NormalWeb"/>
        <w:shd w:val="clear" w:color="auto" w:fill="FFFFFF"/>
        <w:spacing w:before="0" w:beforeAutospacing="0"/>
      </w:pPr>
      <w:r>
        <w:rPr>
          <w:color w:val="454545"/>
        </w:rPr>
        <w:t xml:space="preserve">On April 25, 2024, in </w:t>
      </w:r>
      <w:r w:rsidRPr="0065594D">
        <w:rPr>
          <w:color w:val="454545"/>
          <w:u w:val="single"/>
        </w:rPr>
        <w:t>Chris Calnan, et al. v. San Hurley</w:t>
      </w:r>
      <w:r>
        <w:rPr>
          <w:color w:val="454545"/>
        </w:rPr>
        <w:t xml:space="preserve">, [Director of </w:t>
      </w:r>
      <w:r>
        <w:t xml:space="preserve">Maine Emergency Medical Services], the Supreme Court of Maine held (6 to 0) that trial court properly dismissed the plaintiffs’ complaint for a declaratory judgment, and EMS lost wages for failure to get vaccinated. </w:t>
      </w:r>
      <w:hyperlink r:id="rId2088" w:history="1">
        <w:r w:rsidRPr="007C1F1F">
          <w:rPr>
            <w:rStyle w:val="Hyperlink"/>
          </w:rPr>
          <w:t>https://www.courts.maine.gov/courts/sjc/lawcourt/2024/24me030.pdf</w:t>
        </w:r>
      </w:hyperlink>
      <w:r>
        <w:t xml:space="preserve"> </w:t>
      </w:r>
    </w:p>
    <w:p w14:paraId="0D0AAE9C" w14:textId="77777777" w:rsidR="001C2F88" w:rsidRDefault="001C2F88" w:rsidP="001C2F88">
      <w:pPr>
        <w:pStyle w:val="NormalWeb"/>
        <w:shd w:val="clear" w:color="auto" w:fill="FFFFFF"/>
        <w:spacing w:before="0" w:beforeAutospacing="0"/>
      </w:pPr>
      <w:r>
        <w:t>COURT HELD:</w:t>
      </w:r>
    </w:p>
    <w:p w14:paraId="6DD94C3E" w14:textId="77777777" w:rsidR="001C2F88" w:rsidRDefault="001C2F88" w:rsidP="001C2F88">
      <w:pPr>
        <w:pStyle w:val="NormalWeb"/>
        <w:shd w:val="clear" w:color="auto" w:fill="FFFFFF"/>
        <w:spacing w:before="0" w:beforeAutospacing="0"/>
        <w:ind w:left="720"/>
      </w:pPr>
      <w:r>
        <w:t xml:space="preserve">“The Maine Emergency Medical Services Act of 1982 (EMS Act) provides for the EMS system in Maine. </w:t>
      </w:r>
      <w:r>
        <w:rPr>
          <w:rStyle w:val="Emphasis"/>
          <w:rFonts w:eastAsiaTheme="majorEastAsia"/>
        </w:rPr>
        <w:t>See</w:t>
      </w:r>
      <w:r>
        <w:t xml:space="preserve"> 32 M.R.S. §§ 81-98 (2024).</w:t>
      </w:r>
    </w:p>
    <w:p w14:paraId="444EE1DB" w14:textId="77777777" w:rsidR="001C2F88" w:rsidRDefault="001C2F88" w:rsidP="001C2F88">
      <w:pPr>
        <w:pStyle w:val="NormalWeb"/>
        <w:shd w:val="clear" w:color="auto" w:fill="FFFFFF"/>
        <w:spacing w:before="0" w:beforeAutospacing="0"/>
        <w:ind w:left="720"/>
      </w:pPr>
      <w:r>
        <w:t>***</w:t>
      </w:r>
    </w:p>
    <w:p w14:paraId="213B67CD" w14:textId="77777777" w:rsidR="001C2F88" w:rsidRDefault="001C2F88" w:rsidP="001C2F88">
      <w:pPr>
        <w:pStyle w:val="NormalWeb"/>
        <w:ind w:left="720"/>
      </w:pPr>
      <w:r>
        <w:t xml:space="preserve">The statute unambiguously delegates to the EMS Board rulemaking authority regarding qualifications of EMS personnel, and its statutory purpose clearly vests the EMS Board with the responsibility of creating standards and qualifications for such personnel. </w:t>
      </w:r>
    </w:p>
    <w:p w14:paraId="7F09E3C2" w14:textId="77777777" w:rsidR="001C2F88" w:rsidRDefault="001C2F88" w:rsidP="001C2F88">
      <w:pPr>
        <w:pStyle w:val="NormalWeb"/>
        <w:ind w:left="720"/>
      </w:pPr>
      <w:r>
        <w:t xml:space="preserve">Calnan argues that unlike in the chapter relating to the Department of Health and Human Services, </w:t>
      </w:r>
      <w:r>
        <w:rPr>
          <w:rStyle w:val="Emphasis"/>
          <w:rFonts w:eastAsiaTheme="majorEastAsia"/>
        </w:rPr>
        <w:t>see</w:t>
      </w:r>
      <w:r>
        <w:t xml:space="preserve"> 22 M.R.S. § 802 (2024), which gives the Department of Health and Human Services express authority to promulgate immunization rules for healthcare workers, Section 81-A does not specifically confer such authority on the EMS Board. Thus, he maintains, it is beyond the power of the EMS Board to address immunization in its rules. We disagree.”</w:t>
      </w:r>
    </w:p>
    <w:p w14:paraId="4391B8E4" w14:textId="77777777" w:rsidR="001C2F88" w:rsidRPr="00897F33" w:rsidRDefault="001C2F88" w:rsidP="001C2F88">
      <w:pPr>
        <w:pStyle w:val="NormalWeb"/>
        <w:shd w:val="clear" w:color="auto" w:fill="FFFFFF"/>
        <w:spacing w:before="0" w:beforeAutospacing="0"/>
        <w:rPr>
          <w:b/>
          <w:bCs/>
        </w:rPr>
      </w:pPr>
      <w:r w:rsidRPr="00897F33">
        <w:rPr>
          <w:b/>
          <w:bCs/>
        </w:rPr>
        <w:t xml:space="preserve">Legal Lesson Learned: </w:t>
      </w:r>
      <w:r>
        <w:rPr>
          <w:b/>
          <w:bCs/>
        </w:rPr>
        <w:t xml:space="preserve">This is another case upholding State EMS agencies authority to require COVID vaccination. </w:t>
      </w:r>
    </w:p>
    <w:p w14:paraId="486ED613" w14:textId="77777777" w:rsidR="001C2F88" w:rsidRDefault="001C2F88" w:rsidP="001C2F88">
      <w:pPr>
        <w:pStyle w:val="NormalWeb"/>
        <w:shd w:val="clear" w:color="auto" w:fill="FFFFFF"/>
        <w:spacing w:before="0" w:beforeAutospacing="0"/>
        <w:ind w:left="720"/>
        <w:rPr>
          <w:color w:val="454545"/>
        </w:rPr>
      </w:pPr>
      <w:r>
        <w:rPr>
          <w:color w:val="454545"/>
        </w:rPr>
        <w:t>Note: The Court referenced other similar court decisions.</w:t>
      </w:r>
    </w:p>
    <w:p w14:paraId="5F17692C" w14:textId="77777777" w:rsidR="001C2F88" w:rsidRDefault="001C2F88" w:rsidP="001C2F88">
      <w:pPr>
        <w:pStyle w:val="NormalWeb"/>
        <w:ind w:left="720"/>
      </w:pPr>
      <w:r>
        <w:t xml:space="preserve">“Although Calnan challenges the EMS Board's overall authority </w:t>
      </w:r>
      <w:proofErr w:type="gramStart"/>
      <w:r>
        <w:t>with regard to</w:t>
      </w:r>
      <w:proofErr w:type="gramEnd"/>
      <w:r>
        <w:t xml:space="preserve"> immunization, when the EMS Board initially promulgated the rule in 2021, public policy supported requirements that certain people, especially healthcare workers such as EMS personnel, be vaccinated. </w:t>
      </w:r>
      <w:r>
        <w:rPr>
          <w:rStyle w:val="Emphasis"/>
          <w:rFonts w:eastAsiaTheme="majorEastAsia"/>
        </w:rPr>
        <w:t>See In re City of Newark</w:t>
      </w:r>
      <w:r>
        <w:t xml:space="preserve">, 264 A.3d at 327 ("Th[e] right ['to hire or direct its workforce',] coupled with the clear national and state public policy to combat the health threats posed by COVID-19, supports the City's authority to implement a vaccination mandate."); </w:t>
      </w:r>
      <w:r>
        <w:rPr>
          <w:rStyle w:val="Emphasis"/>
          <w:rFonts w:eastAsiaTheme="majorEastAsia"/>
        </w:rPr>
        <w:t>Boston Firefighters Union, Loc. 718 v. City of Boston</w:t>
      </w:r>
      <w:r>
        <w:t>, 205 N.E.3d 282, 294-95 (Mass. 2023) (‘[V]</w:t>
      </w:r>
      <w:proofErr w:type="spellStart"/>
      <w:r>
        <w:t>accination</w:t>
      </w:r>
      <w:proofErr w:type="spellEnd"/>
      <w:r>
        <w:t xml:space="preserve"> against COVID-19 not only protected the health of the city residents, but also protected the [City's] ability to continue to maintain a sufficiently healthy workforce during the Omicron surge, as would be needed to deliver emergency public safety services to the residents of the city.’). We conclude that the EMS Board did not exceed its statutory authority in issuing the EMS immunization rule.”</w:t>
      </w:r>
    </w:p>
    <w:p w14:paraId="202AA7C2" w14:textId="77777777" w:rsidR="001C2F88" w:rsidRDefault="001C2F88" w:rsidP="001C2F88">
      <w:pPr>
        <w:pStyle w:val="NormalWeb"/>
        <w:shd w:val="clear" w:color="auto" w:fill="FFFFFF"/>
        <w:spacing w:before="0" w:beforeAutospacing="0"/>
        <w:ind w:left="720"/>
        <w:rPr>
          <w:color w:val="454545"/>
        </w:rPr>
      </w:pPr>
    </w:p>
    <w:p w14:paraId="44693D4A" w14:textId="77777777" w:rsidR="001C2F88" w:rsidRPr="001C2F88" w:rsidRDefault="001C2F88" w:rsidP="001C2F88">
      <w:pPr>
        <w:pStyle w:val="NormalWeb"/>
        <w:rPr>
          <w:rFonts w:ascii="Arial Black" w:hAnsi="Arial Black"/>
          <w:sz w:val="28"/>
          <w:szCs w:val="28"/>
        </w:rPr>
      </w:pPr>
      <w:r w:rsidRPr="001C2F88">
        <w:rPr>
          <w:rFonts w:ascii="Arial Black" w:hAnsi="Arial Black"/>
          <w:sz w:val="28"/>
          <w:szCs w:val="28"/>
        </w:rPr>
        <w:t>13-182</w:t>
      </w:r>
    </w:p>
    <w:p w14:paraId="09353AD6" w14:textId="1C24A20B" w:rsidR="001C2F88" w:rsidRPr="008205D8" w:rsidRDefault="001C2F88" w:rsidP="001C2F88">
      <w:pPr>
        <w:pStyle w:val="NormalWeb"/>
        <w:rPr>
          <w:rFonts w:ascii="Arial Black" w:hAnsi="Arial Black"/>
          <w:sz w:val="28"/>
          <w:szCs w:val="28"/>
        </w:rPr>
      </w:pPr>
      <w:r>
        <w:rPr>
          <w:rFonts w:ascii="Arial Black" w:hAnsi="Arial Black"/>
          <w:sz w:val="28"/>
          <w:szCs w:val="28"/>
        </w:rPr>
        <w:t>NJ: UNCONSCIOUS DIABETIC – IV SITE ADVERSE REACTION TO DEXTROSE – MEDICS ACTED GOOD FAITH - IMMUNITY</w:t>
      </w:r>
    </w:p>
    <w:p w14:paraId="5A1ED38C" w14:textId="77777777" w:rsidR="001C2F88" w:rsidRDefault="001C2F88" w:rsidP="001C2F88">
      <w:pPr>
        <w:pStyle w:val="NormalWeb"/>
      </w:pPr>
      <w:r>
        <w:t xml:space="preserve">On April 24, 2024, in </w:t>
      </w:r>
      <w:r w:rsidRPr="00C71E18">
        <w:rPr>
          <w:u w:val="single"/>
        </w:rPr>
        <w:t>Robin Newsome v. Inspira Health Network, Inc, and Gloucester County Emergency Medical Service</w:t>
      </w:r>
      <w:r>
        <w:t xml:space="preserve">, the Superior Court of New Jersey, Appellate Division, held (3 to 0) that trial court properly granted summary judgment for the defense since the two medics acted in good faith. Four years prior, one of medics </w:t>
      </w:r>
      <w:proofErr w:type="gramStart"/>
      <w:r>
        <w:t>had transported</w:t>
      </w:r>
      <w:proofErr w:type="gramEnd"/>
      <w:r>
        <w:t xml:space="preserve"> the patient and did not use dextrose when husband told him about her adverse reaction (used glucagon instead); husband claims that he again warned the medic.  The patient when transported to hospital recovered but needed emergency “compartment syndrome” surgery to repair IV site. </w:t>
      </w:r>
      <w:hyperlink r:id="rId2089" w:history="1">
        <w:r w:rsidRPr="007C1F1F">
          <w:rPr>
            <w:rStyle w:val="Hyperlink"/>
          </w:rPr>
          <w:t>https://casetext.com/case/newsome-v-inspira-health-network-inc</w:t>
        </w:r>
      </w:hyperlink>
      <w:r>
        <w:t xml:space="preserve"> </w:t>
      </w:r>
    </w:p>
    <w:p w14:paraId="6BA6775A" w14:textId="77777777" w:rsidR="001C2F88" w:rsidRDefault="001C2F88" w:rsidP="001C2F88">
      <w:pPr>
        <w:pStyle w:val="NormalWeb"/>
      </w:pPr>
      <w:r>
        <w:t>COURT HELD:</w:t>
      </w:r>
    </w:p>
    <w:p w14:paraId="6C3D9B33" w14:textId="77777777" w:rsidR="001C2F88" w:rsidRDefault="001C2F88" w:rsidP="001C2F88">
      <w:pPr>
        <w:pStyle w:val="NormalWeb"/>
        <w:ind w:left="720"/>
      </w:pPr>
      <w:r>
        <w:t xml:space="preserve">“Therefore, we agree with the trial court's determination the initial communication, or miscommunication, was in the scope of rendering life support services, and thus conduct the Legislature intended to afford the shield of immunity. </w:t>
      </w:r>
    </w:p>
    <w:p w14:paraId="1277D5C3" w14:textId="77777777" w:rsidR="001C2F88" w:rsidRDefault="001C2F88" w:rsidP="001C2F88">
      <w:pPr>
        <w:pStyle w:val="NormalWeb"/>
        <w:ind w:left="720"/>
      </w:pPr>
      <w:r>
        <w:t xml:space="preserve">The paramedics' conduct must then be measured against the good faith standard, not negligence. </w:t>
      </w:r>
      <w:proofErr w:type="gramStart"/>
      <w:r>
        <w:t>Generally, ‘</w:t>
      </w:r>
      <w:proofErr w:type="gramEnd"/>
      <w:r>
        <w:t xml:space="preserve">good faith’ exists where there is ‘honesty of purpose and integrity of conduct without knowledge, either actual or sufficient to demand inquiry, that the conduct is wrong.’ </w:t>
      </w:r>
      <w:r>
        <w:rPr>
          <w:rStyle w:val="Emphasis"/>
          <w:rFonts w:eastAsiaTheme="majorEastAsia"/>
        </w:rPr>
        <w:t>Frields v. St. Joseph's Hosp.</w:t>
      </w:r>
      <w:r>
        <w:t xml:space="preserve">, 305 </w:t>
      </w:r>
      <w:proofErr w:type="spellStart"/>
      <w:r>
        <w:t>N.J.Super</w:t>
      </w:r>
      <w:proofErr w:type="spellEnd"/>
      <w:r>
        <w:t xml:space="preserve">. 244, 248 (App. Div. 1997) (quoting </w:t>
      </w:r>
      <w:r>
        <w:rPr>
          <w:rStyle w:val="Emphasis"/>
          <w:rFonts w:eastAsiaTheme="majorEastAsia"/>
        </w:rPr>
        <w:t>Marley v. Borough of Palmyra</w:t>
      </w:r>
      <w:r>
        <w:t xml:space="preserve">, 193 </w:t>
      </w:r>
      <w:proofErr w:type="spellStart"/>
      <w:r>
        <w:t>N.J.Super</w:t>
      </w:r>
      <w:proofErr w:type="spellEnd"/>
      <w:r>
        <w:t xml:space="preserve">. 271, 294 (Law Div. </w:t>
      </w:r>
      <w:proofErr w:type="gramStart"/>
      <w:r>
        <w:t>1983))</w:t>
      </w:r>
      <w:proofErr w:type="gramEnd"/>
      <w:r>
        <w:t xml:space="preserve">. While the issue of good faith is often determined in a plenary hearing, summary judgment is proper where the defendant demonstrates that the actions ‘were objectively reasonable or that they performed them with subjective good faith.’ </w:t>
      </w:r>
      <w:proofErr w:type="spellStart"/>
      <w:r>
        <w:rPr>
          <w:rStyle w:val="Emphasis"/>
          <w:rFonts w:eastAsiaTheme="majorEastAsia"/>
        </w:rPr>
        <w:t>Canico</w:t>
      </w:r>
      <w:proofErr w:type="spellEnd"/>
      <w:r>
        <w:rPr>
          <w:rStyle w:val="Emphasis"/>
          <w:rFonts w:eastAsiaTheme="majorEastAsia"/>
        </w:rPr>
        <w:t xml:space="preserve"> v. Hurtado</w:t>
      </w:r>
      <w:r>
        <w:t xml:space="preserve">, 144 N.J. 361, 365 (1996). ‘This test recognizes that even a person who acted negligently is entitled to a qualified immunity, if he acted in an objectively reasonable manner.’ </w:t>
      </w:r>
      <w:r>
        <w:rPr>
          <w:rStyle w:val="Emphasis"/>
          <w:rFonts w:eastAsiaTheme="majorEastAsia"/>
        </w:rPr>
        <w:t>Frields</w:t>
      </w:r>
      <w:r>
        <w:t xml:space="preserve">, 305 </w:t>
      </w:r>
      <w:proofErr w:type="spellStart"/>
      <w:r>
        <w:t>N.J.Super</w:t>
      </w:r>
      <w:proofErr w:type="spellEnd"/>
      <w:r>
        <w:t xml:space="preserve">. at 248 (citing </w:t>
      </w:r>
      <w:r>
        <w:rPr>
          <w:rStyle w:val="Emphasis"/>
          <w:rFonts w:eastAsiaTheme="majorEastAsia"/>
        </w:rPr>
        <w:t>id.</w:t>
      </w:r>
      <w:r>
        <w:t xml:space="preserve"> at 366).”</w:t>
      </w:r>
    </w:p>
    <w:p w14:paraId="5371A139" w14:textId="55B897E3" w:rsidR="001C2F88" w:rsidRPr="00833362" w:rsidRDefault="001C2F88" w:rsidP="001C2F88">
      <w:pPr>
        <w:pStyle w:val="paragraph"/>
        <w:rPr>
          <w:b/>
          <w:bCs/>
        </w:rPr>
      </w:pPr>
      <w:r w:rsidRPr="00833362">
        <w:rPr>
          <w:b/>
          <w:bCs/>
        </w:rPr>
        <w:t>Legal Lesson Learned:</w:t>
      </w:r>
      <w:r>
        <w:rPr>
          <w:b/>
          <w:bCs/>
        </w:rPr>
        <w:t xml:space="preserve"> Medics acted in good faith, so they have immunity</w:t>
      </w:r>
      <w:r w:rsidR="00E237FA">
        <w:rPr>
          <w:b/>
          <w:bCs/>
        </w:rPr>
        <w:t xml:space="preserve">, </w:t>
      </w:r>
      <w:proofErr w:type="gramStart"/>
      <w:r w:rsidR="00E237FA">
        <w:rPr>
          <w:b/>
          <w:bCs/>
        </w:rPr>
        <w:t>and also</w:t>
      </w:r>
      <w:proofErr w:type="gramEnd"/>
      <w:r w:rsidR="00E237FA">
        <w:rPr>
          <w:b/>
          <w:bCs/>
        </w:rPr>
        <w:t xml:space="preserve"> </w:t>
      </w:r>
      <w:r w:rsidR="001B219E">
        <w:rPr>
          <w:b/>
          <w:bCs/>
        </w:rPr>
        <w:t xml:space="preserve">the employer. </w:t>
      </w:r>
    </w:p>
    <w:p w14:paraId="4942D841" w14:textId="77777777" w:rsidR="001C2F88" w:rsidRDefault="001C2F88" w:rsidP="001C2F88">
      <w:pPr>
        <w:pStyle w:val="paragraph"/>
        <w:ind w:left="720"/>
      </w:pPr>
    </w:p>
    <w:p w14:paraId="6B70A525" w14:textId="77777777" w:rsidR="001C2F88" w:rsidRPr="001C2F88" w:rsidRDefault="001C2F88" w:rsidP="001C2F88">
      <w:pPr>
        <w:pStyle w:val="NormalWeb"/>
        <w:rPr>
          <w:rFonts w:ascii="Arial Black" w:hAnsi="Arial Black"/>
          <w:sz w:val="28"/>
          <w:szCs w:val="28"/>
        </w:rPr>
      </w:pPr>
      <w:r w:rsidRPr="001C2F88">
        <w:rPr>
          <w:rFonts w:ascii="Arial Black" w:hAnsi="Arial Black"/>
          <w:sz w:val="28"/>
          <w:szCs w:val="28"/>
        </w:rPr>
        <w:t>13-181</w:t>
      </w:r>
    </w:p>
    <w:p w14:paraId="5534B55A" w14:textId="3E098940" w:rsidR="001C2F88" w:rsidRPr="00E664B1" w:rsidRDefault="001C2F88" w:rsidP="001C2F88">
      <w:pPr>
        <w:pStyle w:val="NormalWeb"/>
        <w:rPr>
          <w:rFonts w:ascii="Arial Black" w:hAnsi="Arial Black"/>
          <w:sz w:val="28"/>
          <w:szCs w:val="28"/>
        </w:rPr>
      </w:pPr>
      <w:r>
        <w:rPr>
          <w:rFonts w:ascii="Arial Black" w:hAnsi="Arial Black"/>
          <w:sz w:val="28"/>
          <w:szCs w:val="28"/>
        </w:rPr>
        <w:t>MN: MENTAL – POLICE TACKLED - MEDIC INJECTS KETAMINE – NO CASE</w:t>
      </w:r>
      <w:r w:rsidR="00395EA8">
        <w:rPr>
          <w:rFonts w:ascii="Arial Black" w:hAnsi="Arial Black"/>
          <w:sz w:val="28"/>
          <w:szCs w:val="28"/>
        </w:rPr>
        <w:t xml:space="preserve"> - </w:t>
      </w:r>
      <w:r>
        <w:rPr>
          <w:rFonts w:ascii="Arial Black" w:hAnsi="Arial Black"/>
          <w:sz w:val="28"/>
          <w:szCs w:val="28"/>
        </w:rPr>
        <w:t xml:space="preserve">BUT </w:t>
      </w:r>
      <w:r w:rsidR="0072252E">
        <w:rPr>
          <w:rFonts w:ascii="Arial Black" w:hAnsi="Arial Black"/>
          <w:sz w:val="28"/>
          <w:szCs w:val="28"/>
        </w:rPr>
        <w:t xml:space="preserve">AGENCY </w:t>
      </w:r>
      <w:r>
        <w:rPr>
          <w:rFonts w:ascii="Arial Black" w:hAnsi="Arial Black"/>
          <w:sz w:val="28"/>
          <w:szCs w:val="28"/>
        </w:rPr>
        <w:t>CAN’T RECOVER $4,690 COSTS</w:t>
      </w:r>
    </w:p>
    <w:p w14:paraId="621E2A31" w14:textId="77777777" w:rsidR="001C2F88" w:rsidRDefault="001C2F88" w:rsidP="001C2F88">
      <w:pPr>
        <w:pStyle w:val="NormalWeb"/>
      </w:pPr>
      <w:r>
        <w:t xml:space="preserve">On April 22, 2024, in </w:t>
      </w:r>
      <w:r w:rsidRPr="008F6E23">
        <w:rPr>
          <w:u w:val="single"/>
        </w:rPr>
        <w:t>Brandon Currie v. Clayton Aswegan, et al</w:t>
      </w:r>
      <w:r>
        <w:t xml:space="preserve">., United States District Court Judge Eric C. </w:t>
      </w:r>
      <w:proofErr w:type="spellStart"/>
      <w:r>
        <w:t>Tostrud</w:t>
      </w:r>
      <w:proofErr w:type="spellEnd"/>
      <w:r>
        <w:t xml:space="preserve">, U.S. District Court for District of Minnesota, held that even though he granted summary judgment for the defense, the EMS agency is denied court order to recover their costs in defending the litigation brought by homeless man living in tent in the woods, since the complaint did adequately allege a medical malpractice claim, supported by affidavit from medical expert.  </w:t>
      </w:r>
      <w:hyperlink r:id="rId2090" w:history="1">
        <w:r w:rsidRPr="007C1F1F">
          <w:rPr>
            <w:rStyle w:val="Hyperlink"/>
          </w:rPr>
          <w:t>https://casetext.com/case/currie-v-aswegan-1</w:t>
        </w:r>
      </w:hyperlink>
      <w:r>
        <w:t xml:space="preserve"> </w:t>
      </w:r>
    </w:p>
    <w:p w14:paraId="3A45743D" w14:textId="77777777" w:rsidR="001C2F88" w:rsidRDefault="001C2F88" w:rsidP="001C2F88">
      <w:pPr>
        <w:pStyle w:val="NormalWeb"/>
      </w:pPr>
      <w:r>
        <w:t xml:space="preserve">COURT HELD: </w:t>
      </w:r>
    </w:p>
    <w:p w14:paraId="15892B38" w14:textId="77777777" w:rsidR="001C2F88" w:rsidRDefault="001C2F88" w:rsidP="001C2F88">
      <w:pPr>
        <w:pStyle w:val="NormalWeb"/>
        <w:ind w:left="720"/>
      </w:pPr>
      <w:r>
        <w:t xml:space="preserve">“Allina Health Emergency Medical Services and paramedic Lawrence seek to recoup taxable costs under </w:t>
      </w:r>
      <w:hyperlink r:id="rId2091" w:history="1">
        <w:r>
          <w:rPr>
            <w:rStyle w:val="Hyperlink"/>
            <w:rFonts w:eastAsiaTheme="majorEastAsia"/>
          </w:rPr>
          <w:t>28 U.S.C. § 1920</w:t>
        </w:r>
      </w:hyperlink>
      <w:r>
        <w:t xml:space="preserve">. ECF No. 86. They seek to recover deposition transcript costs of $2,535.86 and copying costs of $2,154.92, for a total of $4,690.78. </w:t>
      </w:r>
      <w:r>
        <w:rPr>
          <w:i/>
          <w:iCs/>
        </w:rPr>
        <w:t>Id.</w:t>
      </w:r>
      <w:r>
        <w:t xml:space="preserve"> Mr. Currie objects. ECF No. 87. Because the record shows that Mr. Currie's financial circumstances are grim and his medical malpractice claim was not frivolous, the better answer is that it would be inequitable to allow costs. Therefore, Allina and Mr. Lawrence's bill of costs will not be allowed.”</w:t>
      </w:r>
    </w:p>
    <w:p w14:paraId="513E8B15" w14:textId="77777777" w:rsidR="001C2F88" w:rsidRDefault="001C2F88" w:rsidP="001C2F88">
      <w:pPr>
        <w:pStyle w:val="NormalWeb"/>
        <w:rPr>
          <w:b/>
          <w:bCs/>
        </w:rPr>
      </w:pPr>
      <w:r w:rsidRPr="00E47F73">
        <w:rPr>
          <w:b/>
          <w:bCs/>
        </w:rPr>
        <w:t>Legal Lesson Learned:</w:t>
      </w:r>
      <w:r>
        <w:rPr>
          <w:b/>
          <w:bCs/>
        </w:rPr>
        <w:t xml:space="preserve"> EMS use of ketamine in police incidents has been hot topic, including criminal prosecution of two Colorado medics and civil litigation around nation. </w:t>
      </w:r>
    </w:p>
    <w:p w14:paraId="676A947F" w14:textId="77777777" w:rsidR="001C2F88" w:rsidRDefault="001C2F88" w:rsidP="001C2F88">
      <w:pPr>
        <w:pStyle w:val="NormalWeb"/>
        <w:ind w:left="720"/>
      </w:pPr>
      <w:r w:rsidRPr="00CA4063">
        <w:t xml:space="preserve">Note: </w:t>
      </w:r>
    </w:p>
    <w:p w14:paraId="7ECFBAE1" w14:textId="77777777" w:rsidR="001C2F88" w:rsidRDefault="001C2F88" w:rsidP="001C2F88">
      <w:pPr>
        <w:pStyle w:val="Heading1"/>
        <w:ind w:left="720"/>
        <w:rPr>
          <w:sz w:val="24"/>
          <w:szCs w:val="24"/>
        </w:rPr>
      </w:pPr>
      <w:r>
        <w:rPr>
          <w:sz w:val="24"/>
          <w:szCs w:val="24"/>
        </w:rPr>
        <w:t>April 26, 2024, “</w:t>
      </w:r>
      <w:r w:rsidRPr="0005513B">
        <w:rPr>
          <w:sz w:val="24"/>
          <w:szCs w:val="24"/>
        </w:rPr>
        <w:t>Former Colorado paramedic Jeremy Cooper sentenced to probation, work release after conviction in death of Elijah McClain</w:t>
      </w:r>
      <w:r>
        <w:rPr>
          <w:sz w:val="24"/>
          <w:szCs w:val="24"/>
        </w:rPr>
        <w:t xml:space="preserve">,” </w:t>
      </w:r>
      <w:hyperlink r:id="rId2092" w:history="1">
        <w:r w:rsidRPr="007C1F1F">
          <w:rPr>
            <w:rStyle w:val="Hyperlink"/>
            <w:sz w:val="24"/>
            <w:szCs w:val="24"/>
          </w:rPr>
          <w:t>https://www.cbsnews.com/colorado/news/former-colorado-paramedic-jeremy-cooper-sentenced-conviction-death-elijah-mcclain/</w:t>
        </w:r>
      </w:hyperlink>
      <w:r>
        <w:rPr>
          <w:sz w:val="24"/>
          <w:szCs w:val="24"/>
        </w:rPr>
        <w:t xml:space="preserve"> </w:t>
      </w:r>
    </w:p>
    <w:p w14:paraId="0241356A" w14:textId="77777777" w:rsidR="001C2F88" w:rsidRPr="00A04715" w:rsidRDefault="001C2F88" w:rsidP="001C2F88">
      <w:pPr>
        <w:pStyle w:val="Heading1"/>
        <w:ind w:left="720"/>
        <w:rPr>
          <w:sz w:val="24"/>
          <w:szCs w:val="24"/>
        </w:rPr>
      </w:pPr>
      <w:r w:rsidRPr="00A04715">
        <w:rPr>
          <w:sz w:val="24"/>
          <w:szCs w:val="24"/>
        </w:rPr>
        <w:t xml:space="preserve">March 1, 2024, </w:t>
      </w:r>
      <w:r>
        <w:rPr>
          <w:sz w:val="24"/>
          <w:szCs w:val="24"/>
        </w:rPr>
        <w:t>“</w:t>
      </w:r>
      <w:r w:rsidRPr="00A04715">
        <w:rPr>
          <w:sz w:val="24"/>
          <w:szCs w:val="24"/>
        </w:rPr>
        <w:t>Former Colorado paramedic sentenced to 5 years after conviction in death of Elijah McClain</w:t>
      </w:r>
      <w:r>
        <w:rPr>
          <w:sz w:val="24"/>
          <w:szCs w:val="24"/>
        </w:rPr>
        <w:t xml:space="preserve">.” </w:t>
      </w:r>
      <w:hyperlink r:id="rId2093" w:history="1">
        <w:r w:rsidRPr="007C1F1F">
          <w:rPr>
            <w:rStyle w:val="Hyperlink"/>
            <w:sz w:val="24"/>
            <w:szCs w:val="24"/>
          </w:rPr>
          <w:t>https://www.cbsnews.com/colorado/news/aurora-colorado-paramedic-peter-cichuniec-sentenced-elijah-mcclain/</w:t>
        </w:r>
      </w:hyperlink>
      <w:r>
        <w:rPr>
          <w:sz w:val="24"/>
          <w:szCs w:val="24"/>
        </w:rPr>
        <w:t xml:space="preserve"> </w:t>
      </w:r>
    </w:p>
    <w:p w14:paraId="1AAAD7BC" w14:textId="77777777" w:rsidR="001C2F88" w:rsidRDefault="001C2F88" w:rsidP="001C2F88">
      <w:pPr>
        <w:pStyle w:val="Heading1"/>
        <w:ind w:left="720"/>
        <w:rPr>
          <w:sz w:val="24"/>
          <w:szCs w:val="24"/>
        </w:rPr>
      </w:pPr>
      <w:r w:rsidRPr="00EE4E88">
        <w:rPr>
          <w:sz w:val="24"/>
          <w:szCs w:val="24"/>
        </w:rPr>
        <w:t xml:space="preserve">Jan. 31, 2024, “Burlington </w:t>
      </w:r>
      <w:r>
        <w:rPr>
          <w:sz w:val="24"/>
          <w:szCs w:val="24"/>
        </w:rPr>
        <w:t xml:space="preserve">[Vermont] </w:t>
      </w:r>
      <w:r w:rsidRPr="00EE4E88">
        <w:rPr>
          <w:sz w:val="24"/>
          <w:szCs w:val="24"/>
        </w:rPr>
        <w:t xml:space="preserve">sued over claims of excessive force and inappropriate ketamine use on 14-year-old.” </w:t>
      </w:r>
      <w:hyperlink r:id="rId2094" w:history="1">
        <w:r w:rsidRPr="007C1F1F">
          <w:rPr>
            <w:rStyle w:val="Hyperlink"/>
            <w:sz w:val="24"/>
            <w:szCs w:val="24"/>
          </w:rPr>
          <w:t>https://www.vermontpublic.org/local-news/2024-01-31/burlington-sued-over-claims-of-excessive-force-and-inappropriate-ketamine-use-on-14-year-old</w:t>
        </w:r>
      </w:hyperlink>
      <w:r>
        <w:rPr>
          <w:sz w:val="24"/>
          <w:szCs w:val="24"/>
        </w:rPr>
        <w:t xml:space="preserve"> </w:t>
      </w:r>
    </w:p>
    <w:p w14:paraId="272311EE" w14:textId="77777777" w:rsidR="001C2F88" w:rsidRPr="00976E41" w:rsidRDefault="001C2F88" w:rsidP="001C2F88">
      <w:pPr>
        <w:pStyle w:val="NormalWeb"/>
        <w:ind w:left="720"/>
      </w:pPr>
      <w:r w:rsidRPr="0072252E">
        <w:rPr>
          <w:b/>
          <w:bCs/>
        </w:rPr>
        <w:t>Oct. 18, 2023, “Charleston County EMS under fire for using ketamine as lawsuits, settlements mount</w:t>
      </w:r>
      <w:r w:rsidRPr="00976E41">
        <w:t>.</w:t>
      </w:r>
      <w:r>
        <w:t xml:space="preserve">” </w:t>
      </w:r>
      <w:hyperlink r:id="rId2095" w:history="1">
        <w:r w:rsidRPr="007C1F1F">
          <w:rPr>
            <w:rStyle w:val="Hyperlink"/>
          </w:rPr>
          <w:t>https://www.postandcourier.com/news/charleston-county-ems-ketamine-lawsuit-settlement/article_682c754c-6d10-11ee-ac1b-ef7daf1ea208.html</w:t>
        </w:r>
      </w:hyperlink>
      <w:r>
        <w:t xml:space="preserve"> </w:t>
      </w:r>
      <w:r w:rsidRPr="00976E41">
        <w:t xml:space="preserve"> </w:t>
      </w:r>
    </w:p>
    <w:p w14:paraId="07739EA6" w14:textId="77777777" w:rsidR="001C2F88" w:rsidRDefault="001C2F88" w:rsidP="001C2F88">
      <w:pPr>
        <w:pStyle w:val="NormalWeb"/>
        <w:ind w:left="720"/>
      </w:pPr>
      <w:r w:rsidRPr="0072252E">
        <w:rPr>
          <w:b/>
          <w:bCs/>
        </w:rPr>
        <w:t>April 12, 2023, “Suit claims Utah providers fatally injected teen with large ketamine dose after car crash</w:t>
      </w:r>
      <w:r>
        <w:t xml:space="preserve">.” </w:t>
      </w:r>
      <w:hyperlink r:id="rId2096" w:history="1">
        <w:r w:rsidRPr="007C1F1F">
          <w:rPr>
            <w:rStyle w:val="Hyperlink"/>
          </w:rPr>
          <w:t>https://www.ems1.com/lawsuit/articles/suit-claims-utah-providers-fatally-injected-teen-with-large-ketamine-dose-after-car-crash-nkmBexayJBAx5TCo/</w:t>
        </w:r>
      </w:hyperlink>
      <w:r>
        <w:t xml:space="preserve"> </w:t>
      </w:r>
    </w:p>
    <w:p w14:paraId="7999E8D8" w14:textId="77777777" w:rsidR="001C2F88" w:rsidRDefault="001C2F88" w:rsidP="001C2F88">
      <w:pPr>
        <w:rPr>
          <w:rFonts w:ascii="Times New Roman" w:hAnsi="Times New Roman"/>
          <w:sz w:val="24"/>
          <w:szCs w:val="24"/>
        </w:rPr>
      </w:pPr>
    </w:p>
    <w:p w14:paraId="316336FC" w14:textId="77777777" w:rsidR="001C2F88" w:rsidRPr="001C2F88" w:rsidRDefault="001C2F88" w:rsidP="001C2F88">
      <w:pPr>
        <w:pStyle w:val="NormalWeb"/>
        <w:rPr>
          <w:rFonts w:ascii="Arial Black" w:hAnsi="Arial Black"/>
          <w:sz w:val="28"/>
          <w:szCs w:val="28"/>
        </w:rPr>
      </w:pPr>
      <w:r w:rsidRPr="001C2F88">
        <w:rPr>
          <w:rFonts w:ascii="Arial Black" w:hAnsi="Arial Black"/>
          <w:sz w:val="28"/>
          <w:szCs w:val="28"/>
        </w:rPr>
        <w:t>13-180</w:t>
      </w:r>
    </w:p>
    <w:p w14:paraId="6730D79D" w14:textId="235C923F" w:rsidR="001C2F88" w:rsidRPr="00323D7F" w:rsidRDefault="001C2F88" w:rsidP="001C2F88">
      <w:pPr>
        <w:pStyle w:val="NormalWeb"/>
        <w:rPr>
          <w:rFonts w:ascii="Arial Black" w:hAnsi="Arial Black"/>
          <w:sz w:val="28"/>
          <w:szCs w:val="28"/>
        </w:rPr>
      </w:pPr>
      <w:r>
        <w:rPr>
          <w:rFonts w:ascii="Arial Black" w:hAnsi="Arial Black"/>
          <w:sz w:val="28"/>
          <w:szCs w:val="28"/>
        </w:rPr>
        <w:t>OR: COVID – EMS URGED ROOMMATE DRIVE PT HOSPITAL – NO REFUSAL SIGNED / CARDIAC ARREST – CASE PROCEED</w:t>
      </w:r>
    </w:p>
    <w:p w14:paraId="57CC8EAE" w14:textId="77777777" w:rsidR="001C2F88" w:rsidRPr="006437DB" w:rsidRDefault="001C2F88" w:rsidP="001C2F88">
      <w:pPr>
        <w:pStyle w:val="NormalWeb"/>
        <w:rPr>
          <w:rStyle w:val="Strong"/>
          <w:rFonts w:eastAsiaTheme="majorEastAsia"/>
          <w:b w:val="0"/>
          <w:bCs w:val="0"/>
        </w:rPr>
      </w:pPr>
      <w:r w:rsidRPr="001C2F88">
        <w:rPr>
          <w:rStyle w:val="Strong"/>
          <w:rFonts w:eastAsiaTheme="majorEastAsia"/>
          <w:b w:val="0"/>
          <w:bCs w:val="0"/>
        </w:rPr>
        <w:t xml:space="preserve">On April 19, 2024, in </w:t>
      </w:r>
      <w:r w:rsidRPr="001C2F88">
        <w:rPr>
          <w:rStyle w:val="Strong"/>
          <w:rFonts w:eastAsiaTheme="majorEastAsia"/>
          <w:b w:val="0"/>
          <w:bCs w:val="0"/>
          <w:u w:val="single"/>
        </w:rPr>
        <w:t>Richard Vaughn, Jr., individually and as personal representative for the estate of Teresa Vaugh, et al. v. Klamath County Fire District No. 1, et al.</w:t>
      </w:r>
      <w:r w:rsidRPr="001C2F88">
        <w:rPr>
          <w:rStyle w:val="Strong"/>
          <w:rFonts w:eastAsiaTheme="majorEastAsia"/>
          <w:b w:val="0"/>
          <w:bCs w:val="0"/>
        </w:rPr>
        <w:t xml:space="preserve">, United States Magistrate Judge Mark D. Clarke, U.S. District Court of Oregon (Medford Division) denied defense motion for summary judgment. The actions of the two medics may be viewed by a jury as “state-created danger.” No patient refusal was ever signed, no vitals taken, and the patient’s roommate, </w:t>
      </w:r>
      <w:r w:rsidRPr="001C2F88">
        <w:t xml:space="preserve">Ms. </w:t>
      </w:r>
      <w:proofErr w:type="spellStart"/>
      <w:r w:rsidRPr="001C2F88">
        <w:t>Kimbol</w:t>
      </w:r>
      <w:proofErr w:type="spellEnd"/>
      <w:r w:rsidRPr="001C2F88">
        <w:t xml:space="preserve"> contends she responded: “Isn't that your fucking job? I wouldn't have called you.”</w:t>
      </w:r>
      <w:r>
        <w:t xml:space="preserve"> </w:t>
      </w:r>
      <w:hyperlink r:id="rId2097" w:history="1">
        <w:r w:rsidRPr="00E2199F">
          <w:rPr>
            <w:rStyle w:val="Hyperlink"/>
            <w:rFonts w:eastAsiaTheme="majorEastAsia"/>
          </w:rPr>
          <w:t>https://casetext.com/case/vaughn-v-klamath-cnty-fire-dist-no1-1</w:t>
        </w:r>
      </w:hyperlink>
      <w:r>
        <w:rPr>
          <w:rStyle w:val="Strong"/>
          <w:rFonts w:eastAsiaTheme="majorEastAsia"/>
        </w:rPr>
        <w:t xml:space="preserve"> </w:t>
      </w:r>
    </w:p>
    <w:p w14:paraId="5D8A9196" w14:textId="77777777" w:rsidR="001C2F88" w:rsidRDefault="001C2F88" w:rsidP="001C2F88">
      <w:pPr>
        <w:pStyle w:val="NormalWeb"/>
        <w:rPr>
          <w:rStyle w:val="Strong"/>
          <w:rFonts w:eastAsiaTheme="majorEastAsia"/>
        </w:rPr>
      </w:pPr>
      <w:r>
        <w:rPr>
          <w:rStyle w:val="Strong"/>
          <w:rFonts w:eastAsiaTheme="majorEastAsia"/>
        </w:rPr>
        <w:t>COURT HELD:</w:t>
      </w:r>
    </w:p>
    <w:p w14:paraId="2800024F" w14:textId="77777777" w:rsidR="001C2F88" w:rsidRDefault="001C2F88" w:rsidP="001C2F88">
      <w:pPr>
        <w:pStyle w:val="NormalWeb"/>
        <w:ind w:left="720"/>
      </w:pPr>
      <w:r>
        <w:t>“In light of such dispute, the Court finds that Plaintiffs have raised a genuine question as to whether Engler and Dustin's conduct crossed from mere inaction into affirmative action that placed Ms. Vaughn in a worse circumstance than she otherwise would have found herself in.</w:t>
      </w:r>
    </w:p>
    <w:p w14:paraId="236549DF" w14:textId="77777777" w:rsidR="001C2F88" w:rsidRDefault="001C2F88" w:rsidP="001C2F88">
      <w:pPr>
        <w:pStyle w:val="NormalWeb"/>
        <w:ind w:left="720"/>
      </w:pPr>
      <w:r>
        <w:t>***</w:t>
      </w:r>
    </w:p>
    <w:p w14:paraId="7FCFBA30" w14:textId="77777777" w:rsidR="001C2F88" w:rsidRDefault="001C2F88" w:rsidP="001C2F88">
      <w:pPr>
        <w:pStyle w:val="NormalWeb"/>
        <w:ind w:left="720"/>
      </w:pPr>
      <w:r>
        <w:t xml:space="preserve">Plaintiffs here have presented evidence that Engler and Dustin knew of Ms. Vaughn's Covid-19 diagnosis, were responding to her 911 call requesting urgent assistance, saw her in a state where she could barely </w:t>
      </w:r>
      <w:proofErr w:type="gramStart"/>
      <w:r>
        <w:t>breath</w:t>
      </w:r>
      <w:proofErr w:type="gramEnd"/>
      <w:r>
        <w:t xml:space="preserve"> or walk on her own, and still, they chose to cut off further aid . and abandon Ms. Vaughn and Ms. </w:t>
      </w:r>
      <w:proofErr w:type="spellStart"/>
      <w:r>
        <w:t>Kimbol</w:t>
      </w:r>
      <w:proofErr w:type="spellEnd"/>
      <w:r>
        <w:t xml:space="preserve">. Drawing all inferences in Plaintiffs' favor, reasonable minds could differ regarding whether </w:t>
      </w:r>
      <w:proofErr w:type="gramStart"/>
      <w:r>
        <w:t>Defendants</w:t>
      </w:r>
      <w:proofErr w:type="gramEnd"/>
      <w:r>
        <w:t xml:space="preserve"> actions rose beyond mere' negligence to deliberate indifference to the known danger presented by Ms. Vaughn's condition. The Court is further mindful that the danger and uncertainty surrounding Covid-19 in December 2020 was significantly heightened compared to our current understanding in 2024.</w:t>
      </w:r>
    </w:p>
    <w:p w14:paraId="5F26BCE5" w14:textId="77777777" w:rsidR="001C2F88" w:rsidRDefault="001C2F88" w:rsidP="001C2F88">
      <w:pPr>
        <w:pStyle w:val="NormalWeb"/>
        <w:rPr>
          <w:rStyle w:val="Strong"/>
          <w:rFonts w:eastAsiaTheme="majorEastAsia"/>
        </w:rPr>
      </w:pPr>
      <w:r>
        <w:tab/>
        <w:t>***</w:t>
      </w:r>
    </w:p>
    <w:p w14:paraId="6C2987F6" w14:textId="77777777" w:rsidR="001C2F88" w:rsidRDefault="001C2F88" w:rsidP="001C2F88">
      <w:pPr>
        <w:pStyle w:val="NormalWeb"/>
        <w:ind w:left="720"/>
      </w:pPr>
      <w:r>
        <w:t xml:space="preserve">While the particular facts of this case present a somewhat novel application of the state-created danger exception, the right to be free from state-created danger is, and has been, a clearly established constitutional right. Given the possibility of conflicting inferences, the Court declines to grant Defendants qualified immunity as a matter of law. Moreover, significant </w:t>
      </w:r>
      <w:proofErr w:type="gramStart"/>
      <w:r>
        <w:t>disputes of fact</w:t>
      </w:r>
      <w:proofErr w:type="gramEnd"/>
      <w:r>
        <w:t xml:space="preserve"> exist in this </w:t>
      </w:r>
      <w:proofErr w:type="gramStart"/>
      <w:r>
        <w:t>case</w:t>
      </w:r>
      <w:proofErr w:type="gramEnd"/>
      <w:r>
        <w:t xml:space="preserve"> creating uncertainty as to whether Engler and Dustin knew of the danger they were creating with their actions. If appropriate, Defendants are entitled to move for directed verdict at the close of </w:t>
      </w:r>
      <w:proofErr w:type="gramStart"/>
      <w:r>
        <w:t>trial.”</w:t>
      </w:r>
      <w:proofErr w:type="gramEnd"/>
    </w:p>
    <w:p w14:paraId="4C0FCAEF" w14:textId="77777777" w:rsidR="001C2F88" w:rsidRDefault="001C2F88" w:rsidP="001C2F88">
      <w:pPr>
        <w:pStyle w:val="NormalWeb"/>
        <w:spacing w:before="0" w:beforeAutospacing="0"/>
        <w:rPr>
          <w:b/>
          <w:bCs/>
          <w:color w:val="454545"/>
          <w:shd w:val="clear" w:color="auto" w:fill="FFFFFF"/>
        </w:rPr>
      </w:pPr>
      <w:r>
        <w:rPr>
          <w:b/>
          <w:bCs/>
          <w:color w:val="454545"/>
          <w:shd w:val="clear" w:color="auto" w:fill="FFFFFF"/>
        </w:rPr>
        <w:t xml:space="preserve">Legal Lesson Learned: Get patient to sign a refusal if not going to transport. </w:t>
      </w:r>
    </w:p>
    <w:p w14:paraId="14E911B0" w14:textId="77777777" w:rsidR="001C2F88" w:rsidRDefault="001C2F88" w:rsidP="001C2F88">
      <w:pPr>
        <w:rPr>
          <w:rFonts w:ascii="Times New Roman" w:hAnsi="Times New Roman"/>
          <w:sz w:val="24"/>
          <w:szCs w:val="24"/>
        </w:rPr>
      </w:pPr>
    </w:p>
    <w:p w14:paraId="4C583EC4" w14:textId="77777777" w:rsidR="001C2F88" w:rsidRPr="001C2F88" w:rsidRDefault="001C2F88" w:rsidP="001C2F88">
      <w:pPr>
        <w:rPr>
          <w:rFonts w:ascii="Times New Roman" w:hAnsi="Times New Roman"/>
          <w:sz w:val="28"/>
          <w:szCs w:val="28"/>
        </w:rPr>
      </w:pPr>
    </w:p>
    <w:p w14:paraId="706CB706" w14:textId="77777777" w:rsidR="001C2F88" w:rsidRDefault="001C2F88" w:rsidP="001C2F88">
      <w:pPr>
        <w:rPr>
          <w:rFonts w:ascii="Times New Roman" w:hAnsi="Times New Roman"/>
          <w:sz w:val="24"/>
          <w:szCs w:val="24"/>
        </w:rPr>
      </w:pPr>
    </w:p>
    <w:p w14:paraId="58041D45" w14:textId="77777777" w:rsidR="001C2F88" w:rsidRPr="001C2F88" w:rsidRDefault="001C2F88" w:rsidP="001C2F88">
      <w:pPr>
        <w:rPr>
          <w:rFonts w:ascii="Arial Black" w:hAnsi="Arial Black"/>
          <w:sz w:val="28"/>
          <w:szCs w:val="28"/>
        </w:rPr>
      </w:pPr>
      <w:r w:rsidRPr="001C2F88">
        <w:rPr>
          <w:rFonts w:ascii="Arial Black" w:hAnsi="Arial Black"/>
          <w:sz w:val="28"/>
          <w:szCs w:val="28"/>
        </w:rPr>
        <w:t>13-179</w:t>
      </w:r>
    </w:p>
    <w:p w14:paraId="0D08694A" w14:textId="32FA1529" w:rsidR="001C2F88" w:rsidRPr="00272032" w:rsidRDefault="001C2F88" w:rsidP="001C2F88">
      <w:pPr>
        <w:rPr>
          <w:rFonts w:ascii="Arial Black" w:hAnsi="Arial Black"/>
          <w:sz w:val="28"/>
          <w:szCs w:val="28"/>
        </w:rPr>
      </w:pPr>
      <w:r>
        <w:rPr>
          <w:rFonts w:ascii="Arial Black" w:hAnsi="Arial Black"/>
          <w:sz w:val="28"/>
          <w:szCs w:val="28"/>
        </w:rPr>
        <w:t>CA: METH - PD STRUGGLE - ON BACKBOARD FACE DOWN, EMT TOLD PD SIT ON HIM – D</w:t>
      </w:r>
      <w:r w:rsidR="00A304E4">
        <w:rPr>
          <w:rFonts w:ascii="Arial Black" w:hAnsi="Arial Black"/>
          <w:sz w:val="28"/>
          <w:szCs w:val="28"/>
        </w:rPr>
        <w:t xml:space="preserve">IED </w:t>
      </w:r>
      <w:r w:rsidR="00AF46AA">
        <w:rPr>
          <w:rFonts w:ascii="Arial Black" w:hAnsi="Arial Black"/>
          <w:sz w:val="28"/>
          <w:szCs w:val="28"/>
        </w:rPr>
        <w:t>-</w:t>
      </w:r>
      <w:r>
        <w:rPr>
          <w:rFonts w:ascii="Arial Black" w:hAnsi="Arial Black"/>
          <w:sz w:val="28"/>
          <w:szCs w:val="28"/>
        </w:rPr>
        <w:t xml:space="preserve"> QUAL. IMMUNITY</w:t>
      </w:r>
    </w:p>
    <w:p w14:paraId="16BBE8FE" w14:textId="6D23BB2C" w:rsidR="001C2F88" w:rsidRDefault="001C2F88" w:rsidP="001C2F88">
      <w:pPr>
        <w:pStyle w:val="NormalWeb"/>
        <w:spacing w:before="0" w:beforeAutospacing="0"/>
      </w:pPr>
      <w:r>
        <w:t xml:space="preserve">On April 15, 2024, in </w:t>
      </w:r>
      <w:r w:rsidRPr="001F5B9B">
        <w:rPr>
          <w:u w:val="single"/>
        </w:rPr>
        <w:t>Anthony Perez, et al., individually and as successor in interest to Joseph Perez v. City of Fresno</w:t>
      </w:r>
      <w:r>
        <w:t>,  the U.S. Court of Appeals for 9</w:t>
      </w:r>
      <w:r w:rsidRPr="00A9612E">
        <w:rPr>
          <w:vertAlign w:val="superscript"/>
        </w:rPr>
        <w:t>th</w:t>
      </w:r>
      <w:r>
        <w:t xml:space="preserve"> Circuit (San Francisco) held (2 to 1) that trial court properly granted summary judgment to the defense on basis of qualified immunity. Police had Perez on the ground</w:t>
      </w:r>
      <w:r w:rsidR="00A304E4">
        <w:t xml:space="preserve"> </w:t>
      </w:r>
      <w:r>
        <w:t>and then put him on backboard. As this was happening, Perez yelled that he could not breathe. “Paramedic Morgan Anderson nevertheless told one of the officers to sit on the backboard. The officer complied and sat on the board for one minute and thirteen seconds while other officers applied pressure and worked with Anderson to secure the backboard. After the seated officer stood up, the paramedics continued securing Perez to the backboard for another two minutes before turning him over. Once Perez was placed on his back, the paramedics discovered that he did not have a pulse.</w:t>
      </w:r>
      <w:r>
        <w:rPr>
          <w:rFonts w:ascii="Arial" w:hAnsi="Arial" w:cs="Arial"/>
        </w:rPr>
        <w:t xml:space="preserve">” </w:t>
      </w:r>
      <w:r>
        <w:t xml:space="preserve">According to the coroner, the average lethal dose of methamphetamine is 200 nanograms per milliliter. Perez had ten times that amount in his bloodstream. </w:t>
      </w:r>
      <w:hyperlink r:id="rId2098" w:history="1">
        <w:r w:rsidRPr="00E2199F">
          <w:rPr>
            <w:rStyle w:val="Hyperlink"/>
          </w:rPr>
          <w:t>https://cdn.ca9.uscourts.gov/datastore/opinions/2024/04/15/22-15546.pdf</w:t>
        </w:r>
      </w:hyperlink>
      <w:r>
        <w:t xml:space="preserve"> </w:t>
      </w:r>
    </w:p>
    <w:p w14:paraId="41E61916" w14:textId="77777777" w:rsidR="001C2F88" w:rsidRDefault="001C2F88" w:rsidP="001C2F88">
      <w:pPr>
        <w:pStyle w:val="NormalWeb"/>
        <w:spacing w:before="0" w:beforeAutospacing="0"/>
      </w:pPr>
      <w:r>
        <w:t xml:space="preserve">COURT HELD: </w:t>
      </w:r>
    </w:p>
    <w:p w14:paraId="335D3F67" w14:textId="77777777" w:rsidR="001C2F88" w:rsidRDefault="001C2F88" w:rsidP="001C2F88">
      <w:pPr>
        <w:pStyle w:val="NormalWeb"/>
        <w:spacing w:before="0" w:beforeAutospacing="0"/>
        <w:ind w:left="720"/>
      </w:pPr>
      <w:r>
        <w:t xml:space="preserve">“Because the law-enforcement officers' actions that Plaintiffs contend led to Perez asphyxiating were taken at the direction of a medical professional who was trying to provide medical care, both the officers and the paramedic are entitled to qualified immunity. The district court also properly granted summary judgment against Plaintiffs' Monell claims because Plaintiffs presented insufficient evidence that the </w:t>
      </w:r>
      <w:proofErr w:type="gramStart"/>
      <w:r>
        <w:t>City</w:t>
      </w:r>
      <w:proofErr w:type="gramEnd"/>
      <w:r>
        <w:t xml:space="preserve"> and the County were deliberately indifferent to their duty to properly train their law-enforcement officers.</w:t>
      </w:r>
    </w:p>
    <w:p w14:paraId="1B56272A" w14:textId="77777777" w:rsidR="001C2F88" w:rsidRDefault="001C2F88" w:rsidP="001C2F88">
      <w:pPr>
        <w:pStyle w:val="NormalWeb"/>
        <w:spacing w:before="0" w:beforeAutospacing="0"/>
        <w:ind w:left="720"/>
      </w:pPr>
      <w:r>
        <w:t>***</w:t>
      </w:r>
    </w:p>
    <w:p w14:paraId="53293A71" w14:textId="77777777" w:rsidR="001C2F88" w:rsidRDefault="001C2F88" w:rsidP="001C2F88">
      <w:pPr>
        <w:pStyle w:val="NormalWeb"/>
        <w:spacing w:before="0" w:beforeAutospacing="0"/>
        <w:ind w:left="720"/>
      </w:pPr>
      <w:r>
        <w:t xml:space="preserve">At the time of Perez's death, the law did not clearly establish, nor was it otherwise obvious, that the officers' actions, directed by medical personnel, would violate Perez's constitutional rights. Likewise, the paramedic involved was acting in a medical capacity during the incident, and the law did not clearly establish that medical personnel are liable for constitutional torts for actions taken to provide medical care or medical transport. Thus, the officers and the paramedic are entitled to qualified immunity. We also conclude that Plaintiffs produced insufficient evidence to support their </w:t>
      </w:r>
      <w:proofErr w:type="gramStart"/>
      <w:r>
        <w:t>municipal-liability</w:t>
      </w:r>
      <w:proofErr w:type="gramEnd"/>
      <w:r>
        <w:t xml:space="preserve"> claim against the City and the County based on a failure-to-train theory.</w:t>
      </w:r>
    </w:p>
    <w:p w14:paraId="6FB3E620" w14:textId="77777777" w:rsidR="001C2F88" w:rsidRDefault="001C2F88" w:rsidP="001C2F88">
      <w:pPr>
        <w:pStyle w:val="NormalWeb"/>
        <w:spacing w:before="0" w:beforeAutospacing="0"/>
        <w:ind w:left="720"/>
      </w:pPr>
      <w:r>
        <w:t>***</w:t>
      </w:r>
    </w:p>
    <w:p w14:paraId="63905B19" w14:textId="77777777" w:rsidR="001C2F88" w:rsidRDefault="001C2F88" w:rsidP="001C2F88">
      <w:pPr>
        <w:pStyle w:val="NormalWeb"/>
        <w:spacing w:before="0" w:beforeAutospacing="0"/>
        <w:ind w:left="720"/>
      </w:pPr>
      <w:r>
        <w:t xml:space="preserve">Because we conclude that the law did not clearly establish at the time of the events at issue that a paramedic restraining a person in order to secure the person for medical transport could be held liable for a constitutional violation under either the Fourth or Fourteenth Amendment, we conclude that Anderson is entitled to qualified immunity. See Wesby, 583 U.S. at 63–64, 138 </w:t>
      </w:r>
      <w:proofErr w:type="spellStart"/>
      <w:r>
        <w:t>S.Ct</w:t>
      </w:r>
      <w:proofErr w:type="spellEnd"/>
      <w:r>
        <w:t>. 577 (clearly established question must be specific to the context of the case).”</w:t>
      </w:r>
    </w:p>
    <w:p w14:paraId="6A8D535C" w14:textId="77777777" w:rsidR="001C2F88" w:rsidRDefault="001C2F88" w:rsidP="001C2F88">
      <w:pPr>
        <w:pStyle w:val="NormalWeb"/>
        <w:spacing w:before="0" w:beforeAutospacing="0"/>
      </w:pPr>
      <w:r>
        <w:t>DISSENT:</w:t>
      </w:r>
    </w:p>
    <w:p w14:paraId="4AC3CF5B" w14:textId="77777777" w:rsidR="001C2F88" w:rsidRDefault="001C2F88" w:rsidP="001C2F88">
      <w:pPr>
        <w:pStyle w:val="NormalWeb"/>
        <w:spacing w:before="0" w:beforeAutospacing="0"/>
        <w:ind w:left="720"/>
      </w:pPr>
      <w:r>
        <w:t xml:space="preserve">“However, I respectfully disagree with the conclusion that the law governing the conduct of the individual officer defendants (‘Officers’) was not ‘clearly established’ in 2017. Extensive federal case law, departmental guidance, and common sense gave Officers fair warning that applying continuous force to the back of a prone person who claims he cannot breathe is constitutionally excessive. Any argument that Officers' continued force was nonetheless ‘reasonable’ under the circumstances turns on disputed issues of material fact—not confusion about ‘what the law requires.’ Saucier v. Katz, 533 U.S. 194, 205, 121 </w:t>
      </w:r>
      <w:proofErr w:type="spellStart"/>
      <w:r>
        <w:t>S.Ct</w:t>
      </w:r>
      <w:proofErr w:type="spellEnd"/>
      <w:r>
        <w:t>. 2151, 150 L.Ed.2d 272 (2001). Therefore, I respectfully dissent in part.</w:t>
      </w:r>
    </w:p>
    <w:p w14:paraId="54F6B537" w14:textId="77777777" w:rsidR="001C2F88" w:rsidRDefault="001C2F88" w:rsidP="001C2F88">
      <w:pPr>
        <w:pStyle w:val="NormalWeb"/>
        <w:spacing w:before="0" w:beforeAutospacing="0"/>
        <w:ind w:left="720"/>
      </w:pPr>
      <w:r>
        <w:t>***</w:t>
      </w:r>
    </w:p>
    <w:p w14:paraId="1792F30C" w14:textId="77777777" w:rsidR="001C2F88" w:rsidRDefault="001C2F88" w:rsidP="001C2F88">
      <w:pPr>
        <w:pStyle w:val="NormalWeb"/>
        <w:spacing w:before="0" w:beforeAutospacing="0"/>
        <w:ind w:left="720"/>
      </w:pPr>
      <w:r>
        <w:t>The officers—indeed, any reasonable person—should have known that squeezing the breath from a compliant, prone, and handcuffed individual despite his pleas for air involves a degree of force that is greater than reasonable.”</w:t>
      </w:r>
    </w:p>
    <w:p w14:paraId="7B82D4B2" w14:textId="77777777" w:rsidR="001C2F88" w:rsidRDefault="001C2F88" w:rsidP="001C2F88">
      <w:pPr>
        <w:pStyle w:val="NormalWeb"/>
        <w:spacing w:before="0" w:beforeAutospacing="0"/>
        <w:rPr>
          <w:b/>
          <w:bCs/>
        </w:rPr>
      </w:pPr>
      <w:r w:rsidRPr="006B17EB">
        <w:rPr>
          <w:b/>
          <w:bCs/>
        </w:rPr>
        <w:t>Legal Lesson Learned:</w:t>
      </w:r>
      <w:r>
        <w:rPr>
          <w:b/>
          <w:bCs/>
        </w:rPr>
        <w:t xml:space="preserve"> EMS must be extremely cautious of backboard asphyxiation.  This can lead to denial of qualified immunity </w:t>
      </w:r>
      <w:proofErr w:type="gramStart"/>
      <w:r>
        <w:rPr>
          <w:b/>
          <w:bCs/>
        </w:rPr>
        <w:t>for</w:t>
      </w:r>
      <w:proofErr w:type="gramEnd"/>
      <w:r>
        <w:rPr>
          <w:b/>
          <w:bCs/>
        </w:rPr>
        <w:t xml:space="preserve"> EMS and has also </w:t>
      </w:r>
      <w:proofErr w:type="gramStart"/>
      <w:r>
        <w:rPr>
          <w:b/>
          <w:bCs/>
        </w:rPr>
        <w:t>has recently led</w:t>
      </w:r>
      <w:proofErr w:type="gramEnd"/>
      <w:r>
        <w:rPr>
          <w:b/>
          <w:bCs/>
        </w:rPr>
        <w:t xml:space="preserve"> to two EMTs being charged with first degree murder. </w:t>
      </w:r>
    </w:p>
    <w:p w14:paraId="6526997D" w14:textId="77777777" w:rsidR="001C2F88" w:rsidRPr="00507580" w:rsidRDefault="001C2F88" w:rsidP="001C2F88">
      <w:pPr>
        <w:pStyle w:val="Heading1"/>
        <w:ind w:left="720"/>
        <w:rPr>
          <w:b w:val="0"/>
          <w:bCs w:val="0"/>
          <w:sz w:val="24"/>
          <w:szCs w:val="24"/>
        </w:rPr>
      </w:pPr>
      <w:r w:rsidRPr="00507580">
        <w:rPr>
          <w:b w:val="0"/>
          <w:bCs w:val="0"/>
          <w:sz w:val="24"/>
          <w:szCs w:val="24"/>
        </w:rPr>
        <w:t xml:space="preserve">Note: See article, Jan. 15, 2023, “Paramedics charged with murder after patient who was in stretcher face-down dies.” </w:t>
      </w:r>
      <w:hyperlink r:id="rId2099" w:history="1">
        <w:r w:rsidRPr="00507580">
          <w:rPr>
            <w:rStyle w:val="Hyperlink"/>
            <w:b w:val="0"/>
            <w:bCs w:val="0"/>
            <w:sz w:val="24"/>
            <w:szCs w:val="24"/>
          </w:rPr>
          <w:t>https://www.woodtv.com/news/nexstar-media-wire/paramedics-charged-with-murder-after-patient-who-was-in-stretcher-face-down-dies/</w:t>
        </w:r>
      </w:hyperlink>
      <w:r w:rsidRPr="00507580">
        <w:rPr>
          <w:b w:val="0"/>
          <w:bCs w:val="0"/>
          <w:sz w:val="24"/>
          <w:szCs w:val="24"/>
        </w:rPr>
        <w:t xml:space="preserve"> </w:t>
      </w:r>
    </w:p>
    <w:p w14:paraId="14DB2EBF" w14:textId="77777777" w:rsidR="001C2F88" w:rsidRPr="00507580" w:rsidRDefault="001C2F88" w:rsidP="001C2F88">
      <w:pPr>
        <w:pStyle w:val="Heading1"/>
        <w:ind w:left="720"/>
        <w:rPr>
          <w:b w:val="0"/>
          <w:bCs w:val="0"/>
          <w:sz w:val="24"/>
          <w:szCs w:val="24"/>
        </w:rPr>
      </w:pPr>
      <w:r w:rsidRPr="00507580">
        <w:rPr>
          <w:b w:val="0"/>
          <w:bCs w:val="0"/>
          <w:sz w:val="24"/>
          <w:szCs w:val="24"/>
        </w:rPr>
        <w:t xml:space="preserve">March 21, 2023, “2 Ill. EMTs charged with murder appear in court.” </w:t>
      </w:r>
      <w:hyperlink r:id="rId2100" w:history="1">
        <w:r w:rsidRPr="00507580">
          <w:rPr>
            <w:rStyle w:val="Hyperlink"/>
            <w:b w:val="0"/>
            <w:bCs w:val="0"/>
            <w:sz w:val="24"/>
            <w:szCs w:val="24"/>
          </w:rPr>
          <w:t>https://www.ems1.com/ill-emts-charged-murder-patients-death/articles/2-ill-emts-charged-with-murder-appear-in-court-lMnB5h9BN09tUYGl/</w:t>
        </w:r>
      </w:hyperlink>
      <w:r w:rsidRPr="00507580">
        <w:rPr>
          <w:b w:val="0"/>
          <w:bCs w:val="0"/>
          <w:sz w:val="24"/>
          <w:szCs w:val="24"/>
        </w:rPr>
        <w:t xml:space="preserve"> </w:t>
      </w:r>
    </w:p>
    <w:p w14:paraId="379D232A" w14:textId="77777777" w:rsidR="001C2F88" w:rsidRPr="00B416C6" w:rsidRDefault="001C2F88" w:rsidP="001C2F88"/>
    <w:p w14:paraId="5322FA44" w14:textId="718FE341" w:rsidR="004705C6" w:rsidRDefault="004705C6" w:rsidP="004705C6">
      <w:pPr>
        <w:rPr>
          <w:rFonts w:ascii="Arial Black" w:hAnsi="Arial Black"/>
          <w:sz w:val="28"/>
          <w:szCs w:val="28"/>
        </w:rPr>
      </w:pPr>
      <w:r>
        <w:rPr>
          <w:rFonts w:ascii="Arial Black" w:hAnsi="Arial Black"/>
          <w:sz w:val="28"/>
          <w:szCs w:val="28"/>
        </w:rPr>
        <w:t>13-178</w:t>
      </w:r>
    </w:p>
    <w:p w14:paraId="159C3E5F" w14:textId="3CE25D52" w:rsidR="004705C6" w:rsidRDefault="004705C6" w:rsidP="004705C6">
      <w:pPr>
        <w:rPr>
          <w:rFonts w:ascii="Arial Black" w:hAnsi="Arial Black"/>
          <w:sz w:val="28"/>
          <w:szCs w:val="28"/>
        </w:rPr>
      </w:pPr>
      <w:r>
        <w:rPr>
          <w:rFonts w:ascii="Arial Black" w:hAnsi="Arial Black"/>
          <w:sz w:val="28"/>
          <w:szCs w:val="28"/>
        </w:rPr>
        <w:t xml:space="preserve">PA: VA PATIENT REFUSES TRANSPORT – CLINIC ADVISES NEEDS GO – SEDATED BY EMS – NOT FALSE IMPRISONMENT </w:t>
      </w:r>
    </w:p>
    <w:p w14:paraId="261171CB" w14:textId="77777777" w:rsidR="004705C6" w:rsidRDefault="004705C6" w:rsidP="004705C6">
      <w:pPr>
        <w:rPr>
          <w:rFonts w:ascii="Times New Roman" w:hAnsi="Times New Roman"/>
          <w:sz w:val="24"/>
          <w:szCs w:val="24"/>
        </w:rPr>
      </w:pPr>
      <w:r>
        <w:rPr>
          <w:rFonts w:ascii="Times New Roman" w:hAnsi="Times New Roman"/>
          <w:sz w:val="24"/>
          <w:szCs w:val="24"/>
        </w:rPr>
        <w:t xml:space="preserve">On March 26, 2024, in </w:t>
      </w:r>
      <w:r w:rsidRPr="00E34548">
        <w:rPr>
          <w:rFonts w:ascii="Times New Roman" w:hAnsi="Times New Roman"/>
          <w:sz w:val="24"/>
          <w:szCs w:val="24"/>
          <w:u w:val="single"/>
        </w:rPr>
        <w:t>Thomas Sutton v. Secretary, U.S. Department of Veterans Affairs, et al</w:t>
      </w:r>
      <w:r>
        <w:rPr>
          <w:rFonts w:ascii="Times New Roman" w:hAnsi="Times New Roman"/>
          <w:sz w:val="24"/>
          <w:szCs w:val="24"/>
          <w:u w:val="single"/>
        </w:rPr>
        <w:t>.</w:t>
      </w:r>
      <w:r>
        <w:rPr>
          <w:rFonts w:ascii="Times New Roman" w:hAnsi="Times New Roman"/>
          <w:sz w:val="24"/>
          <w:szCs w:val="24"/>
        </w:rPr>
        <w:t>, the U.S. Court of Appeals for Third Circuit (Philadelphia) held (2 to 1) that trial court properly dismissed the plaintiff’s lawsuit against two EMT for “</w:t>
      </w:r>
      <w:r w:rsidRPr="001E5D96">
        <w:rPr>
          <w:rFonts w:ascii="Times New Roman" w:hAnsi="Times New Roman"/>
          <w:sz w:val="24"/>
          <w:szCs w:val="24"/>
        </w:rPr>
        <w:t>allegedly falsely imprisoning, and assaulting and battering him while transporting him from a local clinic where he sought medical care to a nearby hospital for higher level care.</w:t>
      </w:r>
      <w:r>
        <w:rPr>
          <w:rFonts w:ascii="Times New Roman" w:hAnsi="Times New Roman"/>
          <w:sz w:val="24"/>
          <w:szCs w:val="24"/>
        </w:rPr>
        <w:t xml:space="preserve">”  In medical malpractice cases, the lawsuit must include an affidavit from an MD with certificate of merit. </w:t>
      </w:r>
    </w:p>
    <w:p w14:paraId="670A4388" w14:textId="77777777" w:rsidR="00D90293" w:rsidRPr="004C0299" w:rsidRDefault="00D90293" w:rsidP="00D90293">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64743D4" w14:textId="78633EEC" w:rsidR="004705C6" w:rsidRPr="0046151D" w:rsidRDefault="004705C6" w:rsidP="004705C6">
      <w:pPr>
        <w:ind w:left="720"/>
        <w:rPr>
          <w:rFonts w:ascii="Times New Roman" w:hAnsi="Times New Roman"/>
          <w:sz w:val="24"/>
          <w:szCs w:val="24"/>
        </w:rPr>
      </w:pPr>
      <w:r>
        <w:rPr>
          <w:rFonts w:ascii="Times New Roman" w:hAnsi="Times New Roman"/>
          <w:sz w:val="24"/>
          <w:szCs w:val="24"/>
        </w:rPr>
        <w:t>“</w:t>
      </w:r>
      <w:r w:rsidRPr="0046151D">
        <w:rPr>
          <w:rFonts w:ascii="Times New Roman" w:hAnsi="Times New Roman"/>
          <w:sz w:val="24"/>
          <w:szCs w:val="24"/>
        </w:rPr>
        <w:t xml:space="preserve">In the course of transporting Sutton to the hospital, the technicians allegedly </w:t>
      </w:r>
      <w:r>
        <w:rPr>
          <w:rFonts w:ascii="Times New Roman" w:hAnsi="Times New Roman"/>
          <w:sz w:val="24"/>
          <w:szCs w:val="24"/>
        </w:rPr>
        <w:t>‘</w:t>
      </w:r>
      <w:r w:rsidRPr="0046151D">
        <w:rPr>
          <w:rFonts w:ascii="Times New Roman" w:hAnsi="Times New Roman"/>
          <w:sz w:val="24"/>
          <w:szCs w:val="24"/>
        </w:rPr>
        <w:t>restrained [Sutton] and forcefully sedated him.</w:t>
      </w:r>
      <w:r>
        <w:rPr>
          <w:rFonts w:ascii="Times New Roman" w:hAnsi="Times New Roman"/>
          <w:sz w:val="24"/>
          <w:szCs w:val="24"/>
        </w:rPr>
        <w:t xml:space="preserve">’ </w:t>
      </w:r>
      <w:r w:rsidRPr="0046151D">
        <w:rPr>
          <w:rFonts w:ascii="Times New Roman" w:hAnsi="Times New Roman"/>
          <w:sz w:val="24"/>
          <w:szCs w:val="24"/>
        </w:rPr>
        <w:t xml:space="preserve"> It is undisputed that these actions, whether medically justified or not, occurred </w:t>
      </w:r>
      <w:proofErr w:type="gramStart"/>
      <w:r w:rsidRPr="0046151D">
        <w:rPr>
          <w:rFonts w:ascii="Times New Roman" w:hAnsi="Times New Roman"/>
          <w:sz w:val="24"/>
          <w:szCs w:val="24"/>
        </w:rPr>
        <w:t>in the course of</w:t>
      </w:r>
      <w:proofErr w:type="gramEnd"/>
      <w:r w:rsidRPr="0046151D">
        <w:rPr>
          <w:rFonts w:ascii="Times New Roman" w:hAnsi="Times New Roman"/>
          <w:sz w:val="24"/>
          <w:szCs w:val="24"/>
        </w:rPr>
        <w:t xml:space="preserve"> the technicians' professional relationship with Sutton. And as Sutton himself </w:t>
      </w:r>
      <w:proofErr w:type="gramStart"/>
      <w:r w:rsidRPr="0046151D">
        <w:rPr>
          <w:rFonts w:ascii="Times New Roman" w:hAnsi="Times New Roman"/>
          <w:sz w:val="24"/>
          <w:szCs w:val="24"/>
        </w:rPr>
        <w:t xml:space="preserve">observed, </w:t>
      </w:r>
      <w:r>
        <w:rPr>
          <w:rFonts w:ascii="Times New Roman" w:hAnsi="Times New Roman"/>
          <w:sz w:val="24"/>
          <w:szCs w:val="24"/>
        </w:rPr>
        <w:t>‘</w:t>
      </w:r>
      <w:proofErr w:type="gramEnd"/>
      <w:r w:rsidRPr="0046151D">
        <w:rPr>
          <w:rFonts w:ascii="Times New Roman" w:hAnsi="Times New Roman"/>
          <w:sz w:val="24"/>
          <w:szCs w:val="24"/>
        </w:rPr>
        <w:t>[m]</w:t>
      </w:r>
      <w:proofErr w:type="spellStart"/>
      <w:r w:rsidRPr="0046151D">
        <w:rPr>
          <w:rFonts w:ascii="Times New Roman" w:hAnsi="Times New Roman"/>
          <w:sz w:val="24"/>
          <w:szCs w:val="24"/>
        </w:rPr>
        <w:t>edical</w:t>
      </w:r>
      <w:proofErr w:type="spellEnd"/>
      <w:r w:rsidRPr="0046151D">
        <w:rPr>
          <w:rFonts w:ascii="Times New Roman" w:hAnsi="Times New Roman"/>
          <w:sz w:val="24"/>
          <w:szCs w:val="24"/>
        </w:rPr>
        <w:t xml:space="preserve"> malpractice is defined as the unwarranted departure from the generally accepted standards of medical practice resulting in injury to a patient, including </w:t>
      </w:r>
      <w:r w:rsidRPr="0046151D">
        <w:rPr>
          <w:rStyle w:val="Emphasis"/>
          <w:rFonts w:ascii="Times New Roman" w:hAnsi="Times New Roman"/>
          <w:sz w:val="24"/>
          <w:szCs w:val="24"/>
        </w:rPr>
        <w:t>all liability-producing conduct arising from the rendition of professional medical services</w:t>
      </w:r>
      <w:r w:rsidRPr="0046151D">
        <w:rPr>
          <w:rFonts w:ascii="Times New Roman" w:hAnsi="Times New Roman"/>
          <w:sz w:val="24"/>
          <w:szCs w:val="24"/>
        </w:rPr>
        <w:t>.</w:t>
      </w:r>
      <w:r>
        <w:rPr>
          <w:rFonts w:ascii="Times New Roman" w:hAnsi="Times New Roman"/>
          <w:sz w:val="24"/>
          <w:szCs w:val="24"/>
        </w:rPr>
        <w:t xml:space="preserve">’ </w:t>
      </w:r>
      <w:r w:rsidRPr="0046151D">
        <w:rPr>
          <w:rFonts w:ascii="Times New Roman" w:hAnsi="Times New Roman"/>
          <w:sz w:val="24"/>
          <w:szCs w:val="24"/>
        </w:rPr>
        <w:t xml:space="preserve"> </w:t>
      </w:r>
    </w:p>
    <w:p w14:paraId="7701CFA3" w14:textId="77777777" w:rsidR="004705C6" w:rsidRDefault="004705C6" w:rsidP="004705C6">
      <w:pPr>
        <w:pStyle w:val="NormalWeb"/>
        <w:ind w:left="720"/>
      </w:pPr>
      <w:r w:rsidRPr="0046151D">
        <w:t xml:space="preserve">Although the Dissent observes that Sutton averred certain </w:t>
      </w:r>
      <w:r>
        <w:t>‘</w:t>
      </w:r>
      <w:r w:rsidRPr="0046151D">
        <w:t>intentional</w:t>
      </w:r>
      <w:r>
        <w:t>’</w:t>
      </w:r>
      <w:r w:rsidRPr="0046151D">
        <w:t xml:space="preserve"> actions these actions sounded in medical malpractice and, thus, he was required to file a certificate of merit to </w:t>
      </w:r>
      <w:r>
        <w:t>‘</w:t>
      </w:r>
      <w:r w:rsidRPr="0046151D">
        <w:t>signal[] to the parties and the trial court that . . . he [</w:t>
      </w:r>
      <w:proofErr w:type="spellStart"/>
      <w:r w:rsidRPr="0046151D">
        <w:t>wa</w:t>
      </w:r>
      <w:proofErr w:type="spellEnd"/>
      <w:r w:rsidRPr="0046151D">
        <w:t>]s in a position to support [his] allegations . . . and that resources w[</w:t>
      </w:r>
      <w:proofErr w:type="spellStart"/>
      <w:r w:rsidRPr="0046151D">
        <w:t>ould</w:t>
      </w:r>
      <w:proofErr w:type="spellEnd"/>
      <w:r w:rsidRPr="0046151D">
        <w:t>] not be wasted if additional pleading and discovery [were to] take place.</w:t>
      </w:r>
      <w:r>
        <w:t>’</w:t>
      </w:r>
      <w:r w:rsidRPr="0046151D">
        <w:t xml:space="preserve"> </w:t>
      </w:r>
      <w:r w:rsidRPr="0046151D">
        <w:rPr>
          <w:rStyle w:val="Emphasis"/>
          <w:rFonts w:eastAsiaTheme="majorEastAsia"/>
        </w:rPr>
        <w:t>Bisher</w:t>
      </w:r>
      <w:r w:rsidRPr="0046151D">
        <w:t>, 265 A.3d at 3690 (internal quotation marks and citation omitted)</w:t>
      </w:r>
      <w:r>
        <w:t xml:space="preserve">.” </w:t>
      </w:r>
    </w:p>
    <w:p w14:paraId="1B87A630" w14:textId="77777777" w:rsidR="004705C6" w:rsidRDefault="004705C6" w:rsidP="004705C6">
      <w:pPr>
        <w:pStyle w:val="NormalWeb"/>
      </w:pPr>
      <w:r>
        <w:t xml:space="preserve">DISSENT – Circuit Judge Thomas Hardiman:   </w:t>
      </w:r>
    </w:p>
    <w:p w14:paraId="3DFF5096" w14:textId="77777777" w:rsidR="004705C6" w:rsidRPr="0046151D" w:rsidRDefault="004705C6" w:rsidP="004705C6">
      <w:pPr>
        <w:pStyle w:val="NormalWeb"/>
        <w:ind w:left="720"/>
      </w:pPr>
      <w:r>
        <w:t xml:space="preserve">“Sutton alleges intentional torts, not mere negligence. He accuses Fayette EMS of sedating him and transporting him to a hospital without his consent. Such claims do not require a certificate of merit. </w:t>
      </w:r>
      <w:r>
        <w:rPr>
          <w:rStyle w:val="Emphasis"/>
          <w:rFonts w:eastAsiaTheme="majorEastAsia"/>
        </w:rPr>
        <w:t>See</w:t>
      </w:r>
      <w:r>
        <w:t xml:space="preserve"> Pa. R. Civ. P. 1042.3(a); </w:t>
      </w:r>
      <w:r>
        <w:rPr>
          <w:rStyle w:val="Emphasis"/>
          <w:rFonts w:eastAsiaTheme="majorEastAsia"/>
        </w:rPr>
        <w:t>Montgomery</w:t>
      </w:r>
      <w:r>
        <w:t>, 798 A.2d at 749. These claims also fall outside the ambit of immunity under Pennsylvania's Emergency Medical Services Act and could support punitive damages.”</w:t>
      </w:r>
    </w:p>
    <w:p w14:paraId="74DA1A77" w14:textId="77777777" w:rsidR="004705C6" w:rsidRPr="00347278" w:rsidRDefault="004705C6" w:rsidP="004705C6">
      <w:pPr>
        <w:pStyle w:val="NormalWeb"/>
        <w:rPr>
          <w:b/>
          <w:bCs/>
        </w:rPr>
      </w:pPr>
      <w:r w:rsidRPr="00347278">
        <w:rPr>
          <w:b/>
          <w:bCs/>
        </w:rPr>
        <w:t xml:space="preserve">Legal Lesson Learned: </w:t>
      </w:r>
      <w:r>
        <w:rPr>
          <w:b/>
          <w:bCs/>
        </w:rPr>
        <w:t xml:space="preserve">Medical practice cases require a “certificate of merit” by an MD to proceed. </w:t>
      </w:r>
    </w:p>
    <w:p w14:paraId="6E362BDB" w14:textId="77777777" w:rsidR="004705C6" w:rsidRDefault="004705C6" w:rsidP="004705C6">
      <w:pPr>
        <w:pStyle w:val="NormalWeb"/>
        <w:ind w:left="720"/>
        <w:jc w:val="both"/>
      </w:pPr>
    </w:p>
    <w:p w14:paraId="2F3D6EAA" w14:textId="77777777" w:rsidR="004705C6" w:rsidRDefault="004705C6" w:rsidP="004705C6">
      <w:pPr>
        <w:pStyle w:val="NormalWeb"/>
        <w:ind w:left="720"/>
        <w:jc w:val="both"/>
      </w:pPr>
    </w:p>
    <w:p w14:paraId="7AB05BE1" w14:textId="77777777" w:rsidR="004705C6" w:rsidRDefault="004705C6" w:rsidP="004705C6">
      <w:pPr>
        <w:pStyle w:val="NormalWeb"/>
        <w:spacing w:before="0" w:beforeAutospacing="0"/>
        <w:rPr>
          <w:color w:val="454545"/>
          <w:shd w:val="clear" w:color="auto" w:fill="FFFFFF"/>
        </w:rPr>
      </w:pPr>
    </w:p>
    <w:p w14:paraId="618F67B5" w14:textId="77777777" w:rsidR="004705C6" w:rsidRPr="004705C6" w:rsidRDefault="004705C6" w:rsidP="004705C6">
      <w:pPr>
        <w:pStyle w:val="NormalWeb"/>
        <w:spacing w:before="0" w:beforeAutospacing="0"/>
        <w:rPr>
          <w:rFonts w:ascii="Arial Black" w:hAnsi="Arial Black"/>
          <w:color w:val="454545"/>
          <w:sz w:val="28"/>
          <w:szCs w:val="28"/>
          <w:shd w:val="clear" w:color="auto" w:fill="FFFFFF"/>
        </w:rPr>
      </w:pPr>
      <w:r w:rsidRPr="004705C6">
        <w:rPr>
          <w:rFonts w:ascii="Arial Black" w:hAnsi="Arial Black"/>
          <w:color w:val="454545"/>
          <w:sz w:val="28"/>
          <w:szCs w:val="28"/>
          <w:shd w:val="clear" w:color="auto" w:fill="FFFFFF"/>
        </w:rPr>
        <w:t>13-177</w:t>
      </w:r>
    </w:p>
    <w:p w14:paraId="691F6B9F" w14:textId="0065EF06" w:rsidR="004705C6" w:rsidRDefault="004705C6" w:rsidP="004705C6">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OK: EMT HELPING PD - GRAB ARM / LEG - TRANSPORTED IN HANCUFFS / CPR / DIED – QUALIFIED IMMUNITY</w:t>
      </w:r>
    </w:p>
    <w:p w14:paraId="34DC18FB" w14:textId="77777777" w:rsidR="00784981" w:rsidRDefault="004705C6" w:rsidP="00784981">
      <w:pPr>
        <w:pStyle w:val="NormalWeb"/>
        <w:spacing w:before="0" w:beforeAutospacing="0"/>
      </w:pPr>
      <w:r>
        <w:rPr>
          <w:color w:val="454545"/>
          <w:shd w:val="clear" w:color="auto" w:fill="FFFFFF"/>
        </w:rPr>
        <w:t xml:space="preserve">On March 26, 2024, in </w:t>
      </w:r>
      <w:r w:rsidRPr="000A5E66">
        <w:rPr>
          <w:color w:val="454545"/>
          <w:u w:val="single"/>
          <w:shd w:val="clear" w:color="auto" w:fill="FFFFFF"/>
        </w:rPr>
        <w:t xml:space="preserve">John Kruer, individually and as Co-Administrator of Estate of </w:t>
      </w:r>
      <w:proofErr w:type="spellStart"/>
      <w:r w:rsidRPr="000A5E66">
        <w:rPr>
          <w:color w:val="454545"/>
          <w:u w:val="single"/>
          <w:shd w:val="clear" w:color="auto" w:fill="FFFFFF"/>
        </w:rPr>
        <w:t>Jeffret</w:t>
      </w:r>
      <w:proofErr w:type="spellEnd"/>
      <w:r w:rsidRPr="000A5E66">
        <w:rPr>
          <w:color w:val="454545"/>
          <w:u w:val="single"/>
          <w:shd w:val="clear" w:color="auto" w:fill="FFFFFF"/>
        </w:rPr>
        <w:t xml:space="preserve"> Krueger v. Sheriff Chris Elliott, et al.</w:t>
      </w:r>
      <w:r>
        <w:rPr>
          <w:color w:val="454545"/>
          <w:shd w:val="clear" w:color="auto" w:fill="FFFFFF"/>
        </w:rPr>
        <w:t>, United States District Court Judge Ronald A. White, U.S. District Court for Eastern District of Oklahoma, granted the EMT’s motion for summary judgment – qualified immunity.</w:t>
      </w:r>
      <w:r w:rsidR="00086D22">
        <w:rPr>
          <w:color w:val="454545"/>
          <w:shd w:val="clear" w:color="auto" w:fill="FFFFFF"/>
        </w:rPr>
        <w:t xml:space="preserve">  </w:t>
      </w:r>
      <w:r w:rsidR="00D90293">
        <w:rPr>
          <w:shd w:val="clear" w:color="auto" w:fill="FFFFFF"/>
        </w:rPr>
        <w:t xml:space="preserve">THE COURT </w:t>
      </w:r>
      <w:proofErr w:type="spellStart"/>
      <w:r w:rsidR="00D90293">
        <w:rPr>
          <w:shd w:val="clear" w:color="auto" w:fill="FFFFFF"/>
        </w:rPr>
        <w:t>HELD:</w:t>
      </w:r>
      <w:r>
        <w:rPr>
          <w:color w:val="454545"/>
          <w:shd w:val="clear" w:color="auto" w:fill="FFFFFF"/>
        </w:rPr>
        <w:t>“</w:t>
      </w:r>
      <w:r>
        <w:t>Plaintiffs</w:t>
      </w:r>
      <w:proofErr w:type="spellEnd"/>
      <w:r>
        <w:t xml:space="preserve"> have not identified any cases holding that an EMT violates an individual's Fourth Amendment right to be free from excessive force by briefly assisting officers in cuffing that individual, especially when that individual is struggling with officers in the middle of a busy highway where he stopped his car. As Plaintiffs have not satisfied their “burden of identifying cases that constitute clearly established law on these facts,” </w:t>
      </w:r>
      <w:r>
        <w:rPr>
          <w:rStyle w:val="Emphasis"/>
          <w:rFonts w:eastAsiaTheme="majorEastAsia"/>
        </w:rPr>
        <w:t>Id.</w:t>
      </w:r>
      <w:r>
        <w:t xml:space="preserve"> (citing </w:t>
      </w:r>
      <w:r>
        <w:rPr>
          <w:rStyle w:val="Emphasis"/>
          <w:rFonts w:eastAsiaTheme="majorEastAsia"/>
        </w:rPr>
        <w:t>Quinn v. Young</w:t>
      </w:r>
      <w:r>
        <w:t xml:space="preserve">, 780 F.3d 998, 1015 (10th Cir. 2015)), Smith and Patterson are entitled to qualified immunity on Plaintiffs' Fourth Amendment claims of excessive force. The motion for summary judgment motion is granted as to the excessive force claims against Smith and Patterson.”  </w:t>
      </w:r>
      <w:hyperlink r:id="rId2101" w:history="1">
        <w:r w:rsidRPr="006F5A98">
          <w:rPr>
            <w:rStyle w:val="Hyperlink"/>
          </w:rPr>
          <w:t>https://public.fastcase.com/H1P9uiW3J20SFp%2BGCG%2BxLfXb%2FP0Zem%2FZVE%2B6Qs7i4IO1WpaqZWLhEbCf1wzASLCeHTBrNzAeMbTpuOI06nFKgtuOqPD57vVcxacgyHv1UJc%3D?utm_medium=email&amp;_hsmi=226712652&amp;_hsenc=p2ANqtz-8wnxBiWrzuFD2HrdDPkM1g9CGhbZuaZGzbWbXmLdA56OF31_PY2JQBf09BSmDMlHEKBQ_DWKjsPmFM9QlP1xX06T0eGA&amp;utm_content=226712652&amp;utm_source=hs_email</w:t>
        </w:r>
      </w:hyperlink>
      <w:r>
        <w:t xml:space="preserve"> </w:t>
      </w:r>
    </w:p>
    <w:p w14:paraId="7B081384" w14:textId="5E9E8AED" w:rsidR="004705C6" w:rsidRDefault="00784981" w:rsidP="00784981">
      <w:pPr>
        <w:pStyle w:val="NormalWeb"/>
        <w:spacing w:before="0" w:beforeAutospacing="0"/>
        <w:ind w:left="720"/>
        <w:rPr>
          <w:rFonts w:ascii="Arial Black" w:hAnsi="Arial Black"/>
          <w:b/>
          <w:bCs/>
          <w:color w:val="454545"/>
          <w:sz w:val="28"/>
          <w:szCs w:val="28"/>
          <w:shd w:val="clear" w:color="auto" w:fill="FFFFFF"/>
        </w:rPr>
      </w:pPr>
      <w:r>
        <w:t xml:space="preserve">Note: </w:t>
      </w:r>
      <w:r w:rsidR="001E28A4">
        <w:rPr>
          <w:color w:val="454545"/>
          <w:shd w:val="clear" w:color="auto" w:fill="FFFFFF"/>
        </w:rPr>
        <w:t>Aug. 22, 2025, 10</w:t>
      </w:r>
      <w:r w:rsidR="001E28A4" w:rsidRPr="00086D22">
        <w:rPr>
          <w:color w:val="454545"/>
          <w:shd w:val="clear" w:color="auto" w:fill="FFFFFF"/>
          <w:vertAlign w:val="superscript"/>
        </w:rPr>
        <w:t>th</w:t>
      </w:r>
      <w:r w:rsidR="001E28A4">
        <w:rPr>
          <w:color w:val="454545"/>
          <w:shd w:val="clear" w:color="auto" w:fill="FFFFFF"/>
        </w:rPr>
        <w:t xml:space="preserve"> Circuit agreed: “</w:t>
      </w:r>
      <w:r w:rsidR="001E28A4" w:rsidRPr="00DE14B4">
        <w:rPr>
          <w:shd w:val="clear" w:color="auto" w:fill="FFFFFF"/>
        </w:rPr>
        <w:t>We agree with the district court that the Defendants are not entitled to</w:t>
      </w:r>
      <w:r w:rsidR="001E28A4">
        <w:rPr>
          <w:shd w:val="clear" w:color="auto" w:fill="FFFFFF"/>
        </w:rPr>
        <w:t xml:space="preserve"> </w:t>
      </w:r>
      <w:r w:rsidR="001E28A4" w:rsidRPr="00DE14B4">
        <w:rPr>
          <w:shd w:val="clear" w:color="auto" w:fill="FFFFFF"/>
        </w:rPr>
        <w:t>qualified immunity on the excessive force and failure to intervene claims.</w:t>
      </w:r>
      <w:r w:rsidR="001E28A4">
        <w:rPr>
          <w:shd w:val="clear" w:color="auto" w:fill="FFFFFF"/>
        </w:rPr>
        <w:t xml:space="preserve"> </w:t>
      </w:r>
      <w:r w:rsidR="001E28A4" w:rsidRPr="00DE14B4">
        <w:rPr>
          <w:shd w:val="clear" w:color="auto" w:fill="FFFFFF"/>
        </w:rPr>
        <w:t>Accordingly, we affirm the district court’s orders denying summary judgment.</w:t>
      </w:r>
      <w:r w:rsidR="001E28A4">
        <w:rPr>
          <w:shd w:val="clear" w:color="auto" w:fill="FFFFFF"/>
        </w:rPr>
        <w:t>”</w:t>
      </w:r>
      <w:r w:rsidR="001E28A4" w:rsidRPr="005E2E1A">
        <w:t xml:space="preserve"> </w:t>
      </w:r>
      <w:hyperlink r:id="rId2102" w:history="1">
        <w:r w:rsidR="001E28A4" w:rsidRPr="005B4041">
          <w:rPr>
            <w:rStyle w:val="Hyperlink"/>
            <w:shd w:val="clear" w:color="auto" w:fill="FFFFFF"/>
          </w:rPr>
          <w:t>https://cases.justia.com/federal/appellate-courts/ca10/24-7035/24-7035-2025-08-22.pdf?ts=1755880380</w:t>
        </w:r>
      </w:hyperlink>
    </w:p>
    <w:p w14:paraId="74CD2BBF" w14:textId="77777777" w:rsidR="004705C6" w:rsidRPr="00534353" w:rsidRDefault="004705C6" w:rsidP="004705C6">
      <w:pPr>
        <w:pStyle w:val="NormalWeb"/>
        <w:rPr>
          <w:b/>
          <w:bCs/>
        </w:rPr>
      </w:pPr>
      <w:r w:rsidRPr="00534353">
        <w:rPr>
          <w:b/>
          <w:bCs/>
        </w:rPr>
        <w:t>Legal Lesson Learned:</w:t>
      </w:r>
      <w:r>
        <w:rPr>
          <w:b/>
          <w:bCs/>
        </w:rPr>
        <w:t xml:space="preserve">  EMS may assist police in restraining a prisoner. </w:t>
      </w:r>
    </w:p>
    <w:p w14:paraId="7E143C7D" w14:textId="77777777" w:rsidR="004705C6" w:rsidRDefault="004705C6" w:rsidP="004705C6">
      <w:pPr>
        <w:pStyle w:val="NormalWeb"/>
      </w:pPr>
    </w:p>
    <w:p w14:paraId="59DDF0A2" w14:textId="77777777" w:rsidR="004705C6" w:rsidRDefault="004705C6" w:rsidP="004705C6">
      <w:pPr>
        <w:pStyle w:val="NormalWeb"/>
      </w:pPr>
    </w:p>
    <w:p w14:paraId="63DBB2AA" w14:textId="77777777" w:rsidR="004705C6" w:rsidRDefault="004705C6" w:rsidP="004705C6">
      <w:pPr>
        <w:rPr>
          <w:rFonts w:ascii="Arial Black" w:hAnsi="Arial Black"/>
          <w:sz w:val="28"/>
          <w:szCs w:val="28"/>
        </w:rPr>
      </w:pPr>
      <w:r>
        <w:rPr>
          <w:rFonts w:ascii="Arial Black" w:hAnsi="Arial Black"/>
          <w:sz w:val="28"/>
          <w:szCs w:val="28"/>
        </w:rPr>
        <w:t>13-176</w:t>
      </w:r>
    </w:p>
    <w:p w14:paraId="7470A0FC" w14:textId="78AEC580" w:rsidR="004705C6" w:rsidRPr="00EB612F" w:rsidRDefault="004705C6" w:rsidP="004705C6">
      <w:pPr>
        <w:rPr>
          <w:rFonts w:ascii="Arial Black" w:hAnsi="Arial Black"/>
          <w:sz w:val="28"/>
          <w:szCs w:val="28"/>
        </w:rPr>
      </w:pPr>
      <w:r>
        <w:rPr>
          <w:rFonts w:ascii="Arial Black" w:hAnsi="Arial Black"/>
          <w:sz w:val="28"/>
          <w:szCs w:val="28"/>
        </w:rPr>
        <w:t>CA: PD HANCUFFED MENTAL – STOPPED RESISTING, BUT MEDIC INJECTED VERSED / DIED – CASE PROCEED</w:t>
      </w:r>
    </w:p>
    <w:p w14:paraId="1FDCEAF2" w14:textId="51AE1E7F" w:rsidR="004705C6" w:rsidRDefault="004705C6" w:rsidP="004705C6">
      <w:pPr>
        <w:pStyle w:val="NormalWeb"/>
      </w:pPr>
      <w:r>
        <w:t xml:space="preserve">On March 15, 2024, in </w:t>
      </w:r>
      <w:r w:rsidRPr="008058CA">
        <w:rPr>
          <w:u w:val="single"/>
        </w:rPr>
        <w:t>Ivan Gutzalenko, et al. v. City of Richmond, et al</w:t>
      </w:r>
      <w:r>
        <w:t xml:space="preserve">., United States District Court Judge Edward M. Chen, U.S. District Court for Northern District of California, denied the motion to dismiss by AMR and paramedic Damon Richardson, who had administered 5 milligrams of Versed into his left bicep, and the detainee stopped breathing.  </w:t>
      </w:r>
      <w:r w:rsidRPr="00A77F9B">
        <w:t xml:space="preserve">Plaintiffs claim Mr. Richardson did not </w:t>
      </w:r>
      <w:r>
        <w:t>‘</w:t>
      </w:r>
      <w:r w:rsidRPr="00A77F9B">
        <w:t>aspirate</w:t>
      </w:r>
      <w:r>
        <w:t>’</w:t>
      </w:r>
      <w:r w:rsidRPr="00A77F9B">
        <w:t xml:space="preserve"> the syringe when he administered the Versed to ensure it was not in the vein. Plaintiffs allege that the decedent stopped breathing within 90 seconds of the Versed administration and that he was pronounced dead after he was taken to Summit Hospital in Oakland.</w:t>
      </w:r>
      <w:r w:rsidR="00F733DE">
        <w:t xml:space="preserve"> </w:t>
      </w:r>
      <w:hyperlink r:id="rId2103" w:history="1">
        <w:r w:rsidR="00F733DE" w:rsidRPr="0026472A">
          <w:rPr>
            <w:rStyle w:val="Hyperlink"/>
          </w:rPr>
          <w:t>https://richmondside.org/2025/09/11/civil-rights-trial-forced-sedation-richmond-death/</w:t>
        </w:r>
      </w:hyperlink>
      <w:r w:rsidR="00F733DE">
        <w:t xml:space="preserve"> </w:t>
      </w:r>
    </w:p>
    <w:p w14:paraId="13295A4C" w14:textId="77777777" w:rsidR="00D90293" w:rsidRPr="004C0299" w:rsidRDefault="00D90293" w:rsidP="00D90293">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21A4182" w14:textId="77777777" w:rsidR="004504A6" w:rsidRDefault="004504A6" w:rsidP="004705C6">
      <w:pPr>
        <w:pStyle w:val="NoSpacing"/>
        <w:ind w:left="720"/>
        <w:rPr>
          <w:rFonts w:ascii="Times New Roman" w:hAnsi="Times New Roman"/>
          <w:sz w:val="24"/>
          <w:szCs w:val="24"/>
        </w:rPr>
      </w:pPr>
    </w:p>
    <w:p w14:paraId="792E0214" w14:textId="30E23BBB" w:rsidR="004705C6" w:rsidRDefault="004705C6" w:rsidP="004705C6">
      <w:pPr>
        <w:pStyle w:val="NoSpacing"/>
        <w:ind w:left="720"/>
        <w:rPr>
          <w:rFonts w:ascii="Times New Roman" w:hAnsi="Times New Roman"/>
          <w:sz w:val="24"/>
          <w:szCs w:val="24"/>
        </w:rPr>
      </w:pPr>
      <w:r>
        <w:rPr>
          <w:rFonts w:ascii="Times New Roman" w:hAnsi="Times New Roman"/>
          <w:sz w:val="24"/>
          <w:szCs w:val="24"/>
        </w:rPr>
        <w:t>“</w:t>
      </w:r>
      <w:r w:rsidRPr="0068190E">
        <w:rPr>
          <w:rFonts w:ascii="Times New Roman" w:hAnsi="Times New Roman"/>
          <w:sz w:val="24"/>
          <w:szCs w:val="24"/>
        </w:rPr>
        <w:t>Taking the allegations as true, if Mr. Richardson administered Versed into the decedent's body even though the decedent was not resisting arrest and could not consent, thus resulting in the decedent's death, these facts could constitute battery.</w:t>
      </w:r>
    </w:p>
    <w:p w14:paraId="7512B3FF" w14:textId="77777777" w:rsidR="004705C6" w:rsidRDefault="004705C6" w:rsidP="004705C6">
      <w:pPr>
        <w:pStyle w:val="NoSpacing"/>
        <w:rPr>
          <w:rFonts w:ascii="Times New Roman" w:hAnsi="Times New Roman"/>
          <w:sz w:val="24"/>
          <w:szCs w:val="24"/>
        </w:rPr>
      </w:pPr>
    </w:p>
    <w:p w14:paraId="69902BDB" w14:textId="77777777" w:rsidR="004705C6" w:rsidRDefault="004705C6" w:rsidP="004705C6">
      <w:pPr>
        <w:pStyle w:val="NoSpacing"/>
        <w:ind w:firstLine="720"/>
        <w:rPr>
          <w:rFonts w:ascii="Times New Roman" w:hAnsi="Times New Roman"/>
          <w:sz w:val="24"/>
          <w:szCs w:val="24"/>
        </w:rPr>
      </w:pPr>
      <w:r>
        <w:rPr>
          <w:rFonts w:ascii="Times New Roman" w:hAnsi="Times New Roman"/>
          <w:sz w:val="24"/>
          <w:szCs w:val="24"/>
        </w:rPr>
        <w:t>***</w:t>
      </w:r>
    </w:p>
    <w:p w14:paraId="5AEF51E4" w14:textId="77777777" w:rsidR="004705C6" w:rsidRDefault="004705C6" w:rsidP="004705C6">
      <w:pPr>
        <w:pStyle w:val="NoSpacing"/>
        <w:rPr>
          <w:rFonts w:ascii="Times New Roman" w:hAnsi="Times New Roman"/>
          <w:sz w:val="24"/>
          <w:szCs w:val="24"/>
        </w:rPr>
      </w:pPr>
    </w:p>
    <w:p w14:paraId="2A256FCC" w14:textId="77777777" w:rsidR="004705C6" w:rsidRDefault="004705C6" w:rsidP="004705C6">
      <w:pPr>
        <w:pStyle w:val="NoSpacing"/>
        <w:ind w:left="720"/>
        <w:rPr>
          <w:rFonts w:ascii="Times New Roman" w:hAnsi="Times New Roman"/>
          <w:sz w:val="24"/>
          <w:szCs w:val="24"/>
        </w:rPr>
      </w:pPr>
      <w:r w:rsidRPr="00F63C8E">
        <w:rPr>
          <w:rFonts w:ascii="Times New Roman" w:hAnsi="Times New Roman"/>
          <w:sz w:val="24"/>
          <w:szCs w:val="24"/>
        </w:rPr>
        <w:t>But whether there was a medical emergency here that warranted the injection of Versed is at least a factual question inappropriate for resolution on a motion to dismiss. The Court denies summary judgment and thus cannot dismiss Plaintiff's claim for assault and battery because factual issues remain.</w:t>
      </w:r>
    </w:p>
    <w:p w14:paraId="793EA206" w14:textId="77777777" w:rsidR="004705C6" w:rsidRDefault="004705C6" w:rsidP="004705C6">
      <w:pPr>
        <w:pStyle w:val="NoSpacing"/>
        <w:rPr>
          <w:rFonts w:ascii="Times New Roman" w:hAnsi="Times New Roman"/>
          <w:sz w:val="24"/>
          <w:szCs w:val="24"/>
        </w:rPr>
      </w:pPr>
      <w:r>
        <w:rPr>
          <w:rFonts w:ascii="Times New Roman" w:hAnsi="Times New Roman"/>
          <w:sz w:val="24"/>
          <w:szCs w:val="24"/>
        </w:rPr>
        <w:tab/>
      </w:r>
    </w:p>
    <w:p w14:paraId="72DAB3DE" w14:textId="77777777" w:rsidR="004705C6" w:rsidRDefault="004705C6" w:rsidP="004705C6">
      <w:pPr>
        <w:pStyle w:val="NoSpacing"/>
        <w:ind w:firstLine="720"/>
        <w:rPr>
          <w:rFonts w:ascii="Times New Roman" w:hAnsi="Times New Roman"/>
          <w:sz w:val="24"/>
          <w:szCs w:val="24"/>
        </w:rPr>
      </w:pPr>
      <w:r>
        <w:rPr>
          <w:rFonts w:ascii="Times New Roman" w:hAnsi="Times New Roman"/>
          <w:sz w:val="24"/>
          <w:szCs w:val="24"/>
        </w:rPr>
        <w:t>***</w:t>
      </w:r>
    </w:p>
    <w:p w14:paraId="4B3336DF" w14:textId="77777777" w:rsidR="004705C6" w:rsidRPr="009A0D07" w:rsidRDefault="004705C6" w:rsidP="004705C6">
      <w:pPr>
        <w:pStyle w:val="NoSpacing"/>
        <w:ind w:left="720"/>
        <w:rPr>
          <w:rFonts w:ascii="Times New Roman" w:hAnsi="Times New Roman"/>
          <w:sz w:val="24"/>
          <w:szCs w:val="24"/>
        </w:rPr>
      </w:pPr>
      <w:r w:rsidRPr="009A0D07">
        <w:rPr>
          <w:rFonts w:ascii="Times New Roman" w:hAnsi="Times New Roman"/>
          <w:sz w:val="24"/>
          <w:szCs w:val="24"/>
        </w:rPr>
        <w:t>Because the Court finds that Plaintiffs sufficiently alleged that Mr. Richardson assisted police officers in detaining and arresting the decedent, Mr. Richardson could be liable for the false arrest claim if he acted in a law enforcement rather than medical capacity.</w:t>
      </w:r>
      <w:r>
        <w:rPr>
          <w:rFonts w:ascii="Times New Roman" w:hAnsi="Times New Roman"/>
          <w:sz w:val="24"/>
          <w:szCs w:val="24"/>
        </w:rPr>
        <w:t xml:space="preserve">” </w:t>
      </w:r>
      <w:hyperlink r:id="rId2104" w:history="1">
        <w:r w:rsidRPr="00571E72">
          <w:rPr>
            <w:rStyle w:val="Hyperlink"/>
            <w:rFonts w:ascii="Times New Roman" w:hAnsi="Times New Roman"/>
            <w:sz w:val="24"/>
            <w:szCs w:val="24"/>
          </w:rPr>
          <w:t>https://casetext.com/case/gutzalenko-v-city-of-richmond</w:t>
        </w:r>
      </w:hyperlink>
      <w:r>
        <w:rPr>
          <w:rFonts w:ascii="Times New Roman" w:hAnsi="Times New Roman"/>
          <w:sz w:val="24"/>
          <w:szCs w:val="24"/>
        </w:rPr>
        <w:t xml:space="preserve"> </w:t>
      </w:r>
    </w:p>
    <w:p w14:paraId="06CCE028" w14:textId="77777777" w:rsidR="004705C6" w:rsidRPr="0068190E" w:rsidRDefault="004705C6" w:rsidP="004705C6">
      <w:pPr>
        <w:pStyle w:val="NoSpacing"/>
        <w:rPr>
          <w:rFonts w:ascii="Times New Roman" w:hAnsi="Times New Roman"/>
          <w:sz w:val="24"/>
          <w:szCs w:val="24"/>
        </w:rPr>
      </w:pPr>
    </w:p>
    <w:p w14:paraId="69B5F1F4" w14:textId="77777777" w:rsidR="004705C6" w:rsidRPr="001F7017" w:rsidRDefault="004705C6" w:rsidP="004705C6">
      <w:pPr>
        <w:pStyle w:val="NormalWeb"/>
        <w:rPr>
          <w:b/>
          <w:bCs/>
        </w:rPr>
      </w:pPr>
      <w:r>
        <w:rPr>
          <w:b/>
          <w:bCs/>
        </w:rPr>
        <w:t xml:space="preserve">Legal Lesson Learned:  If detainee is not struggling, carefully follow protocol about when to administer a sedative. </w:t>
      </w:r>
    </w:p>
    <w:p w14:paraId="04100412" w14:textId="77777777" w:rsidR="004705C6" w:rsidRPr="005E33AC" w:rsidRDefault="004705C6" w:rsidP="004705C6">
      <w:pPr>
        <w:pStyle w:val="NoSpacing"/>
        <w:ind w:left="720"/>
        <w:rPr>
          <w:rFonts w:ascii="Times New Roman" w:hAnsi="Times New Roman"/>
          <w:sz w:val="24"/>
          <w:szCs w:val="24"/>
        </w:rPr>
      </w:pPr>
      <w:r w:rsidRPr="005E33AC">
        <w:rPr>
          <w:rFonts w:ascii="Times New Roman" w:hAnsi="Times New Roman"/>
          <w:sz w:val="24"/>
          <w:szCs w:val="24"/>
        </w:rPr>
        <w:t>Note: See County Prosecutor’s investigation report, including interview of Medic Richardson (page 19)</w:t>
      </w:r>
      <w:r>
        <w:rPr>
          <w:rFonts w:ascii="Times New Roman" w:hAnsi="Times New Roman"/>
          <w:sz w:val="24"/>
          <w:szCs w:val="24"/>
        </w:rPr>
        <w:t xml:space="preserve">: </w:t>
      </w:r>
      <w:hyperlink r:id="rId2105" w:history="1">
        <w:r w:rsidRPr="00AA5DF9">
          <w:rPr>
            <w:rStyle w:val="Hyperlink"/>
            <w:rFonts w:ascii="Times New Roman" w:hAnsi="Times New Roman"/>
            <w:sz w:val="24"/>
            <w:szCs w:val="24"/>
          </w:rPr>
          <w:t>https://www.contracosta.ca.gov/DocumentCenter/View/79107/Final-LEIFI-Ivan-Gutzalenko--2021</w:t>
        </w:r>
      </w:hyperlink>
      <w:r>
        <w:rPr>
          <w:rFonts w:ascii="Times New Roman" w:hAnsi="Times New Roman"/>
          <w:sz w:val="24"/>
          <w:szCs w:val="24"/>
        </w:rPr>
        <w:t xml:space="preserve"> </w:t>
      </w:r>
    </w:p>
    <w:p w14:paraId="7578E5A0" w14:textId="77777777" w:rsidR="004705C6" w:rsidRPr="005E33AC" w:rsidRDefault="004705C6" w:rsidP="004705C6">
      <w:pPr>
        <w:pStyle w:val="NoSpacing"/>
        <w:rPr>
          <w:rFonts w:ascii="Times New Roman" w:hAnsi="Times New Roman"/>
          <w:sz w:val="24"/>
          <w:szCs w:val="24"/>
        </w:rPr>
      </w:pPr>
    </w:p>
    <w:p w14:paraId="3A0E2915" w14:textId="77777777" w:rsidR="004705C6" w:rsidRDefault="004705C6" w:rsidP="004705C6">
      <w:pPr>
        <w:pStyle w:val="NoSpacing"/>
        <w:rPr>
          <w:rFonts w:ascii="Times New Roman" w:hAnsi="Times New Roman"/>
          <w:sz w:val="24"/>
          <w:szCs w:val="24"/>
        </w:rPr>
      </w:pPr>
    </w:p>
    <w:p w14:paraId="4C4ACB24" w14:textId="77777777" w:rsidR="004705C6" w:rsidRPr="00A77F9B" w:rsidRDefault="004705C6" w:rsidP="004705C6">
      <w:pPr>
        <w:pStyle w:val="NoSpacing"/>
        <w:rPr>
          <w:rFonts w:ascii="Times New Roman" w:hAnsi="Times New Roman"/>
          <w:sz w:val="24"/>
          <w:szCs w:val="24"/>
        </w:rPr>
      </w:pPr>
    </w:p>
    <w:p w14:paraId="788E51A9" w14:textId="77777777" w:rsidR="004705C6" w:rsidRPr="004705C6" w:rsidRDefault="004705C6" w:rsidP="004705C6">
      <w:pPr>
        <w:pStyle w:val="NormalWeb"/>
        <w:spacing w:before="0" w:beforeAutospacing="0"/>
        <w:rPr>
          <w:rFonts w:ascii="Arial Black" w:hAnsi="Arial Black"/>
          <w:color w:val="454545"/>
          <w:sz w:val="28"/>
          <w:szCs w:val="28"/>
          <w:shd w:val="clear" w:color="auto" w:fill="FFFFFF"/>
        </w:rPr>
      </w:pPr>
      <w:r w:rsidRPr="004705C6">
        <w:rPr>
          <w:rFonts w:ascii="Arial Black" w:hAnsi="Arial Black"/>
          <w:color w:val="454545"/>
          <w:sz w:val="28"/>
          <w:szCs w:val="28"/>
          <w:shd w:val="clear" w:color="auto" w:fill="FFFFFF"/>
        </w:rPr>
        <w:t>13-175</w:t>
      </w:r>
    </w:p>
    <w:p w14:paraId="3BDEB80D" w14:textId="16D15A9F" w:rsidR="004705C6" w:rsidRPr="00BF0450" w:rsidRDefault="004705C6" w:rsidP="004705C6">
      <w:pPr>
        <w:pStyle w:val="NormalWeb"/>
        <w:spacing w:before="0" w:beforeAutospacing="0"/>
        <w:rPr>
          <w:rFonts w:ascii="Arial Black" w:hAnsi="Arial Black"/>
          <w:b/>
          <w:bCs/>
          <w:color w:val="454545"/>
          <w:sz w:val="28"/>
          <w:szCs w:val="28"/>
          <w:shd w:val="clear" w:color="auto" w:fill="FFFFFF"/>
        </w:rPr>
      </w:pPr>
      <w:r>
        <w:rPr>
          <w:rFonts w:ascii="Arial Black" w:hAnsi="Arial Black"/>
          <w:b/>
          <w:bCs/>
          <w:color w:val="454545"/>
          <w:sz w:val="28"/>
          <w:szCs w:val="28"/>
          <w:shd w:val="clear" w:color="auto" w:fill="FFFFFF"/>
        </w:rPr>
        <w:t>SC: COMBATIVE PT IN AMBULANCE – GIVEN 2</w:t>
      </w:r>
      <w:r w:rsidRPr="00C50832">
        <w:rPr>
          <w:rFonts w:ascii="Arial Black" w:hAnsi="Arial Black"/>
          <w:b/>
          <w:bCs/>
          <w:color w:val="454545"/>
          <w:sz w:val="28"/>
          <w:szCs w:val="28"/>
          <w:shd w:val="clear" w:color="auto" w:fill="FFFFFF"/>
          <w:vertAlign w:val="superscript"/>
        </w:rPr>
        <w:t>nd</w:t>
      </w:r>
      <w:r>
        <w:rPr>
          <w:rFonts w:ascii="Arial Black" w:hAnsi="Arial Black"/>
          <w:b/>
          <w:bCs/>
          <w:color w:val="454545"/>
          <w:sz w:val="28"/>
          <w:szCs w:val="28"/>
          <w:shd w:val="clear" w:color="auto" w:fill="FFFFFF"/>
        </w:rPr>
        <w:t xml:space="preserve"> KETAMINE – LIVED - NOT “SHOCK THE CONSCIOUS” - NO FED. CASE</w:t>
      </w:r>
    </w:p>
    <w:p w14:paraId="6A478D7B" w14:textId="77777777" w:rsidR="004705C6" w:rsidRDefault="004705C6" w:rsidP="004705C6">
      <w:pPr>
        <w:pStyle w:val="NormalWeb"/>
        <w:spacing w:before="0" w:beforeAutospacing="0"/>
      </w:pPr>
      <w:r w:rsidRPr="003E0A9D">
        <w:rPr>
          <w:color w:val="454545"/>
          <w:shd w:val="clear" w:color="auto" w:fill="FFFFFF"/>
        </w:rPr>
        <w:t>On March 14, 2024</w:t>
      </w:r>
      <w:r>
        <w:rPr>
          <w:color w:val="454545"/>
          <w:shd w:val="clear" w:color="auto" w:fill="FFFFFF"/>
        </w:rPr>
        <w:t xml:space="preserve">, in </w:t>
      </w:r>
      <w:r w:rsidRPr="00EB2849">
        <w:rPr>
          <w:color w:val="454545"/>
          <w:u w:val="single"/>
          <w:shd w:val="clear" w:color="auto" w:fill="FFFFFF"/>
        </w:rPr>
        <w:t>Randy Botten v. Charleton County EMS and Christopher Cox</w:t>
      </w:r>
      <w:r>
        <w:rPr>
          <w:color w:val="454545"/>
          <w:shd w:val="clear" w:color="auto" w:fill="FFFFFF"/>
        </w:rPr>
        <w:t xml:space="preserve">, United States District Court Judge David C. Norton, U.S. District Court for South Carolina (Charleston Division) granted defense motion to dismiss; plaintiff alleges he suffered </w:t>
      </w:r>
      <w:r>
        <w:t xml:space="preserve">acute respiratory failure because of second injection of ketamine, but he was so combative in back of the ambulance they had to pull over to control him. </w:t>
      </w:r>
    </w:p>
    <w:p w14:paraId="0BACE187" w14:textId="77777777" w:rsidR="004504A6" w:rsidRPr="004C0299" w:rsidRDefault="004504A6" w:rsidP="004504A6">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560BA1D1" w14:textId="77777777" w:rsidR="004705C6" w:rsidRDefault="004705C6" w:rsidP="004705C6">
      <w:pPr>
        <w:pStyle w:val="NormalWeb"/>
        <w:ind w:left="720"/>
      </w:pPr>
      <w:r>
        <w:t>“The heart of Botten's allegations in this lawsuit is that these two ketamine injections were done without his consent and in a dangerous manner. He says that EMS employees determine how much ketamine to administer by ‘looking at the person and guessing their weight.’ Botten claims that injecting an intoxicated person with 500 milligrams of ketamine is extremely dangerous and can result in that person's death, and he says that the defendants had been told he was drunk prior to their injecting him.  He further states that Cox did not consult with medical control prior to administering the second ketamine dose, which violated EMS's protocol. Botten believes the defendants did not have a legitimate medical purpose for injecting him with ketamine and instead administered the drug ‘solely for the purpose of behavioral control.</w:t>
      </w:r>
    </w:p>
    <w:p w14:paraId="174BAB9D" w14:textId="77777777" w:rsidR="004705C6" w:rsidRDefault="004705C6" w:rsidP="004705C6">
      <w:pPr>
        <w:pStyle w:val="NormalWeb"/>
        <w:ind w:left="720"/>
      </w:pPr>
      <w:r>
        <w:t>***</w:t>
      </w:r>
    </w:p>
    <w:p w14:paraId="4D0373F6" w14:textId="77777777" w:rsidR="004705C6" w:rsidRDefault="004705C6" w:rsidP="004705C6">
      <w:pPr>
        <w:pStyle w:val="NormalWeb"/>
        <w:ind w:left="720"/>
      </w:pPr>
      <w:r>
        <w:t xml:space="preserve">The court finds that Botten's § 1983 claim must be dismissed because Botten's allegations do not give rise to a constitutional violation. The Fourth Circuit recently outlined what is necessary for a plaintiff to assert a due process violation based on an invasion of bodily integrity. </w:t>
      </w:r>
      <w:r>
        <w:rPr>
          <w:rStyle w:val="Emphasis"/>
          <w:rFonts w:eastAsiaTheme="majorEastAsia"/>
        </w:rPr>
        <w:t xml:space="preserve">See Washington v. </w:t>
      </w:r>
      <w:proofErr w:type="spellStart"/>
      <w:r>
        <w:rPr>
          <w:rStyle w:val="Emphasis"/>
          <w:rFonts w:eastAsiaTheme="majorEastAsia"/>
        </w:rPr>
        <w:t>Hous</w:t>
      </w:r>
      <w:proofErr w:type="spellEnd"/>
      <w:r>
        <w:rPr>
          <w:rStyle w:val="Emphasis"/>
          <w:rFonts w:eastAsiaTheme="majorEastAsia"/>
        </w:rPr>
        <w:t>. Auth.,</w:t>
      </w:r>
      <w:r>
        <w:t xml:space="preserve"> 58 F.4th 170, 177 (4th Cir. 2023). Namely, the plaintiff must show that the ‘defendant's behavior was ‘so egregious, so outrageous, that it may fairly be said to shock the contemporary conscience.' To be conscience shocking, a defendant's behavior must lack ‘any reasonable justification in the service of a legitimate governmental objective.' </w:t>
      </w:r>
      <w:r>
        <w:rPr>
          <w:rStyle w:val="Emphasis"/>
          <w:rFonts w:eastAsiaTheme="majorEastAsia"/>
        </w:rPr>
        <w:t>Id.</w:t>
      </w:r>
      <w:r>
        <w:t xml:space="preserve"> (citation omitted) (first quoting </w:t>
      </w:r>
      <w:r>
        <w:rPr>
          <w:rStyle w:val="Emphasis"/>
          <w:rFonts w:eastAsiaTheme="majorEastAsia"/>
        </w:rPr>
        <w:t>Dean ex rel. Harkness v. McKinney,</w:t>
      </w:r>
      <w:r>
        <w:t xml:space="preserve"> 976 F.3d 407, 413 (4th Cir. 2020); and then quoting </w:t>
      </w:r>
      <w:proofErr w:type="spellStart"/>
      <w:r>
        <w:rPr>
          <w:rStyle w:val="Emphasis"/>
          <w:rFonts w:eastAsiaTheme="majorEastAsia"/>
        </w:rPr>
        <w:t>Cnty</w:t>
      </w:r>
      <w:proofErr w:type="spellEnd"/>
      <w:r>
        <w:rPr>
          <w:rStyle w:val="Emphasis"/>
          <w:rFonts w:eastAsiaTheme="majorEastAsia"/>
        </w:rPr>
        <w:t>. of Sacramento v. Lewis,</w:t>
      </w:r>
      <w:r>
        <w:t xml:space="preserve"> 523 U.S. 833, 846 (1998)).” </w:t>
      </w:r>
      <w:hyperlink r:id="rId2106" w:history="1">
        <w:r w:rsidRPr="00AA5DF9">
          <w:rPr>
            <w:rStyle w:val="Hyperlink"/>
          </w:rPr>
          <w:t>https://public.fastcase.com/H1P9uiW3J20SFp%2BGCG%2BxLaemfayQbOUv%2BEh6FB5s8DQhIQ87YMziPJITlyqe%2FhSH?utm_medium=email&amp;_hsmi=226712652&amp;_hsenc=p2ANqtz-8exNZIeYxIQOzMK262tD3IHaMXGJDKKAxfpMPtjNaE7kcerp9c9vm-ypoKl8zd2ZG1HbM5kXW5cAGwdVsTDfl2ZJRdHw&amp;utm_content=226712652&amp;utm_source=hs_email</w:t>
        </w:r>
      </w:hyperlink>
      <w:r>
        <w:t xml:space="preserve"> </w:t>
      </w:r>
    </w:p>
    <w:p w14:paraId="0E3E4942" w14:textId="77777777" w:rsidR="004705C6" w:rsidRPr="00931393" w:rsidRDefault="004705C6" w:rsidP="004705C6">
      <w:pPr>
        <w:pStyle w:val="NormalWeb"/>
        <w:rPr>
          <w:b/>
          <w:bCs/>
        </w:rPr>
      </w:pPr>
      <w:r>
        <w:rPr>
          <w:b/>
          <w:bCs/>
        </w:rPr>
        <w:t xml:space="preserve">Legal Lesson Learned: Follow your protocol on administering second injection of ketamine. </w:t>
      </w:r>
    </w:p>
    <w:p w14:paraId="0215BAFE" w14:textId="77777777" w:rsidR="004705C6" w:rsidRDefault="004705C6" w:rsidP="004705C6">
      <w:pPr>
        <w:pStyle w:val="NoSpacing"/>
        <w:rPr>
          <w:rFonts w:ascii="Arial Black" w:hAnsi="Arial Black"/>
          <w:sz w:val="28"/>
          <w:szCs w:val="28"/>
        </w:rPr>
      </w:pPr>
    </w:p>
    <w:p w14:paraId="2A9D8362" w14:textId="63A9BF1E" w:rsidR="004705C6" w:rsidRDefault="004705C6" w:rsidP="004705C6">
      <w:pPr>
        <w:pStyle w:val="NoSpacing"/>
        <w:rPr>
          <w:rFonts w:ascii="Arial Black" w:hAnsi="Arial Black"/>
          <w:sz w:val="28"/>
          <w:szCs w:val="28"/>
        </w:rPr>
      </w:pPr>
      <w:r>
        <w:rPr>
          <w:rFonts w:ascii="Arial Black" w:hAnsi="Arial Black"/>
          <w:sz w:val="28"/>
          <w:szCs w:val="28"/>
        </w:rPr>
        <w:t>13-174</w:t>
      </w:r>
    </w:p>
    <w:p w14:paraId="03D50363" w14:textId="77777777" w:rsidR="004705C6" w:rsidRDefault="004705C6" w:rsidP="004705C6">
      <w:pPr>
        <w:pStyle w:val="NoSpacing"/>
        <w:rPr>
          <w:rFonts w:ascii="Arial Black" w:hAnsi="Arial Black"/>
          <w:sz w:val="28"/>
          <w:szCs w:val="28"/>
        </w:rPr>
      </w:pPr>
    </w:p>
    <w:p w14:paraId="44507672" w14:textId="77C60C5B" w:rsidR="004705C6" w:rsidRPr="008B6200" w:rsidRDefault="004705C6" w:rsidP="004705C6">
      <w:pPr>
        <w:pStyle w:val="NoSpacing"/>
        <w:rPr>
          <w:rFonts w:ascii="Arial Black" w:hAnsi="Arial Black"/>
          <w:sz w:val="28"/>
          <w:szCs w:val="28"/>
        </w:rPr>
      </w:pPr>
      <w:r>
        <w:rPr>
          <w:rFonts w:ascii="Arial Black" w:hAnsi="Arial Black"/>
          <w:sz w:val="28"/>
          <w:szCs w:val="28"/>
        </w:rPr>
        <w:t>TX: BLS TRANSPORT AFTER MVA – BILLED $1,830.50 – NO MEDICAL EXPERT FRAUD - CASE PROPERLY DISMISSED</w:t>
      </w:r>
    </w:p>
    <w:p w14:paraId="5DDCC576" w14:textId="77777777" w:rsidR="004705C6" w:rsidRDefault="004705C6" w:rsidP="004705C6">
      <w:pPr>
        <w:pStyle w:val="NoSpacing"/>
        <w:rPr>
          <w:rFonts w:ascii="Times New Roman" w:hAnsi="Times New Roman"/>
          <w:sz w:val="24"/>
          <w:szCs w:val="24"/>
        </w:rPr>
      </w:pPr>
    </w:p>
    <w:p w14:paraId="799015BB" w14:textId="77777777" w:rsidR="004705C6" w:rsidRDefault="004705C6" w:rsidP="004705C6">
      <w:pPr>
        <w:pStyle w:val="NoSpacing"/>
        <w:rPr>
          <w:rFonts w:ascii="Times New Roman" w:hAnsi="Times New Roman"/>
          <w:sz w:val="24"/>
          <w:szCs w:val="24"/>
        </w:rPr>
      </w:pPr>
      <w:r>
        <w:rPr>
          <w:rFonts w:ascii="Times New Roman" w:hAnsi="Times New Roman"/>
          <w:sz w:val="24"/>
          <w:szCs w:val="24"/>
        </w:rPr>
        <w:t xml:space="preserve">On March 14, 2024, in </w:t>
      </w:r>
      <w:proofErr w:type="spellStart"/>
      <w:r w:rsidRPr="00F1279A">
        <w:rPr>
          <w:rFonts w:ascii="Times New Roman" w:hAnsi="Times New Roman"/>
          <w:sz w:val="24"/>
          <w:szCs w:val="24"/>
          <w:u w:val="single"/>
        </w:rPr>
        <w:t>Alstonia</w:t>
      </w:r>
      <w:proofErr w:type="spellEnd"/>
      <w:r w:rsidRPr="00F1279A">
        <w:rPr>
          <w:rFonts w:ascii="Times New Roman" w:hAnsi="Times New Roman"/>
          <w:sz w:val="24"/>
          <w:szCs w:val="24"/>
          <w:u w:val="single"/>
        </w:rPr>
        <w:t xml:space="preserve"> Louis v. Liberty County Emergency Medical Service, Inc</w:t>
      </w:r>
      <w:r>
        <w:rPr>
          <w:rFonts w:ascii="Times New Roman" w:hAnsi="Times New Roman"/>
          <w:sz w:val="24"/>
          <w:szCs w:val="24"/>
        </w:rPr>
        <w:t xml:space="preserve">., the </w:t>
      </w:r>
    </w:p>
    <w:p w14:paraId="279EAD48" w14:textId="77777777" w:rsidR="004705C6" w:rsidRDefault="004705C6" w:rsidP="004705C6">
      <w:pPr>
        <w:pStyle w:val="NoSpacing"/>
        <w:rPr>
          <w:rFonts w:ascii="Times New Roman" w:hAnsi="Times New Roman"/>
          <w:sz w:val="24"/>
          <w:szCs w:val="24"/>
        </w:rPr>
      </w:pPr>
      <w:r w:rsidRPr="00C312AE">
        <w:rPr>
          <w:rFonts w:ascii="Times New Roman" w:hAnsi="Times New Roman"/>
          <w:sz w:val="24"/>
          <w:szCs w:val="24"/>
        </w:rPr>
        <w:t>Court of Appeals of Texas, Fourteenth District</w:t>
      </w:r>
      <w:r>
        <w:rPr>
          <w:rFonts w:ascii="Times New Roman" w:hAnsi="Times New Roman"/>
          <w:sz w:val="24"/>
          <w:szCs w:val="24"/>
        </w:rPr>
        <w:t xml:space="preserve"> held (3 to 0) that trial court properly granted defense motion to dismiss since this is in effect a medical malpractice claim that under Texas law must be supported by affidavit from medical expert.  </w:t>
      </w:r>
    </w:p>
    <w:p w14:paraId="53D766B2" w14:textId="77777777" w:rsidR="004504A6" w:rsidRDefault="004504A6" w:rsidP="004504A6">
      <w:pPr>
        <w:pStyle w:val="NoSpacing"/>
        <w:rPr>
          <w:rFonts w:ascii="Times New Roman" w:hAnsi="Times New Roman"/>
          <w:sz w:val="24"/>
          <w:szCs w:val="24"/>
          <w:shd w:val="clear" w:color="auto" w:fill="FFFFFF"/>
        </w:rPr>
      </w:pPr>
    </w:p>
    <w:p w14:paraId="005E6815" w14:textId="7BB1174A" w:rsidR="004504A6" w:rsidRPr="004C0299" w:rsidRDefault="004504A6" w:rsidP="004504A6">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D6A70DC" w14:textId="77777777" w:rsidR="004705C6" w:rsidRDefault="004705C6" w:rsidP="004705C6">
      <w:pPr>
        <w:pStyle w:val="NoSpacing"/>
      </w:pPr>
    </w:p>
    <w:p w14:paraId="47786942" w14:textId="77777777" w:rsidR="004705C6" w:rsidRDefault="004705C6" w:rsidP="004705C6">
      <w:pPr>
        <w:pStyle w:val="NoSpacing"/>
        <w:ind w:left="720"/>
        <w:rPr>
          <w:rFonts w:ascii="Times New Roman" w:hAnsi="Times New Roman"/>
          <w:sz w:val="24"/>
          <w:szCs w:val="24"/>
        </w:rPr>
      </w:pPr>
      <w:r>
        <w:rPr>
          <w:rFonts w:ascii="Times New Roman" w:hAnsi="Times New Roman"/>
          <w:sz w:val="24"/>
          <w:szCs w:val="24"/>
        </w:rPr>
        <w:t>“</w:t>
      </w:r>
      <w:r w:rsidRPr="00BE1DE1">
        <w:rPr>
          <w:rFonts w:ascii="Times New Roman" w:hAnsi="Times New Roman"/>
          <w:sz w:val="24"/>
          <w:szCs w:val="24"/>
        </w:rPr>
        <w:t xml:space="preserve">Both Louis's pleadings and affidavit establish that he was transported by ambulance and received health care from Liberty County EMS. For example, Louis acknowledged that Liberty County EMS checked his vital signs. Therefore, we are confronted with another situation in which the conduct of the health-care provider and the determination of the care provided </w:t>
      </w:r>
      <w:proofErr w:type="gramStart"/>
      <w:r w:rsidRPr="00BE1DE1">
        <w:rPr>
          <w:rFonts w:ascii="Times New Roman" w:hAnsi="Times New Roman"/>
          <w:sz w:val="24"/>
          <w:szCs w:val="24"/>
        </w:rPr>
        <w:t>is at issue</w:t>
      </w:r>
      <w:proofErr w:type="gramEnd"/>
      <w:r w:rsidRPr="00BE1DE1">
        <w:rPr>
          <w:rFonts w:ascii="Times New Roman" w:hAnsi="Times New Roman"/>
          <w:sz w:val="24"/>
          <w:szCs w:val="24"/>
        </w:rPr>
        <w:t xml:space="preserve">. The resolution of Louis's challenge to the level of care provided to him and appropriate commensurate billing for those services is not within lay knowledge. Therefore, the </w:t>
      </w:r>
      <w:proofErr w:type="gramStart"/>
      <w:r w:rsidRPr="00BE1DE1">
        <w:rPr>
          <w:rFonts w:ascii="Times New Roman" w:hAnsi="Times New Roman"/>
          <w:sz w:val="24"/>
          <w:szCs w:val="24"/>
        </w:rPr>
        <w:t>fact-finder</w:t>
      </w:r>
      <w:proofErr w:type="gramEnd"/>
      <w:r w:rsidRPr="00BE1DE1">
        <w:rPr>
          <w:rFonts w:ascii="Times New Roman" w:hAnsi="Times New Roman"/>
          <w:sz w:val="24"/>
          <w:szCs w:val="24"/>
        </w:rPr>
        <w:t xml:space="preserve"> would need expert medical testimony to confirm whether (1) the care received by Louis was </w:t>
      </w:r>
      <w:r>
        <w:rPr>
          <w:rFonts w:ascii="Times New Roman" w:hAnsi="Times New Roman"/>
          <w:sz w:val="24"/>
          <w:szCs w:val="24"/>
        </w:rPr>
        <w:t>‘</w:t>
      </w:r>
      <w:r w:rsidRPr="00BE1DE1">
        <w:rPr>
          <w:rFonts w:ascii="Times New Roman" w:hAnsi="Times New Roman"/>
          <w:sz w:val="24"/>
          <w:szCs w:val="24"/>
        </w:rPr>
        <w:t>basic-life support</w:t>
      </w:r>
      <w:r>
        <w:rPr>
          <w:rFonts w:ascii="Times New Roman" w:hAnsi="Times New Roman"/>
          <w:sz w:val="24"/>
          <w:szCs w:val="24"/>
        </w:rPr>
        <w:t>’</w:t>
      </w:r>
      <w:r w:rsidRPr="00BE1DE1">
        <w:rPr>
          <w:rFonts w:ascii="Times New Roman" w:hAnsi="Times New Roman"/>
          <w:sz w:val="24"/>
          <w:szCs w:val="24"/>
        </w:rPr>
        <w:t xml:space="preserve"> as he was billed for and (2) the amount Louis was charged was appropriate for the services provided.</w:t>
      </w:r>
    </w:p>
    <w:p w14:paraId="716AF1CC" w14:textId="77777777" w:rsidR="004705C6" w:rsidRDefault="004705C6" w:rsidP="004705C6">
      <w:pPr>
        <w:pStyle w:val="NoSpacing"/>
        <w:rPr>
          <w:rFonts w:ascii="Times New Roman" w:hAnsi="Times New Roman"/>
          <w:sz w:val="24"/>
          <w:szCs w:val="24"/>
        </w:rPr>
      </w:pPr>
    </w:p>
    <w:p w14:paraId="2ECB23BC" w14:textId="77777777" w:rsidR="004705C6" w:rsidRDefault="004705C6" w:rsidP="004705C6">
      <w:pPr>
        <w:pStyle w:val="NoSpacing"/>
        <w:ind w:firstLine="720"/>
        <w:rPr>
          <w:rFonts w:ascii="Times New Roman" w:hAnsi="Times New Roman"/>
          <w:sz w:val="24"/>
          <w:szCs w:val="24"/>
        </w:rPr>
      </w:pPr>
      <w:r>
        <w:rPr>
          <w:rFonts w:ascii="Times New Roman" w:hAnsi="Times New Roman"/>
          <w:sz w:val="24"/>
          <w:szCs w:val="24"/>
        </w:rPr>
        <w:t>***</w:t>
      </w:r>
    </w:p>
    <w:p w14:paraId="4226AA41" w14:textId="77777777" w:rsidR="004705C6" w:rsidRDefault="004705C6" w:rsidP="004705C6">
      <w:pPr>
        <w:pStyle w:val="NoSpacing"/>
        <w:rPr>
          <w:rFonts w:ascii="Times New Roman" w:hAnsi="Times New Roman"/>
          <w:sz w:val="24"/>
          <w:szCs w:val="24"/>
        </w:rPr>
      </w:pPr>
    </w:p>
    <w:p w14:paraId="605E59FA" w14:textId="77777777" w:rsidR="004705C6" w:rsidRDefault="004705C6" w:rsidP="004705C6">
      <w:pPr>
        <w:pStyle w:val="NoSpacing"/>
        <w:ind w:left="720"/>
        <w:rPr>
          <w:rFonts w:ascii="Times New Roman" w:hAnsi="Times New Roman"/>
          <w:sz w:val="24"/>
          <w:szCs w:val="24"/>
        </w:rPr>
      </w:pPr>
      <w:r w:rsidRPr="00B350FE">
        <w:rPr>
          <w:rFonts w:ascii="Times New Roman" w:hAnsi="Times New Roman"/>
          <w:sz w:val="24"/>
          <w:szCs w:val="24"/>
        </w:rPr>
        <w:t>Following this court's precedent and the statutory directives of chapter 74, we conclude the trial court did not err in determining that Louis brought a healthcare-liability claim and for dismissing the claim due to lack of compliance with the expert-report requirements.</w:t>
      </w:r>
      <w:r>
        <w:rPr>
          <w:rFonts w:ascii="Times New Roman" w:hAnsi="Times New Roman"/>
          <w:sz w:val="24"/>
          <w:szCs w:val="24"/>
        </w:rPr>
        <w:t xml:space="preserve">” </w:t>
      </w:r>
      <w:hyperlink r:id="rId2107" w:history="1">
        <w:r w:rsidRPr="00AA5DF9">
          <w:rPr>
            <w:rStyle w:val="Hyperlink"/>
            <w:rFonts w:ascii="Times New Roman" w:hAnsi="Times New Roman"/>
            <w:sz w:val="24"/>
            <w:szCs w:val="24"/>
          </w:rPr>
          <w:t>https://casetext.com/case/louis-v-liberty-cnty-emergency-med-servs-3</w:t>
        </w:r>
      </w:hyperlink>
      <w:r>
        <w:rPr>
          <w:rFonts w:ascii="Times New Roman" w:hAnsi="Times New Roman"/>
          <w:sz w:val="24"/>
          <w:szCs w:val="24"/>
        </w:rPr>
        <w:t xml:space="preserve"> </w:t>
      </w:r>
    </w:p>
    <w:p w14:paraId="1EAEA7E9" w14:textId="77777777" w:rsidR="004705C6" w:rsidRDefault="004705C6" w:rsidP="004705C6">
      <w:pPr>
        <w:pStyle w:val="NoSpacing"/>
        <w:ind w:left="720"/>
        <w:rPr>
          <w:rFonts w:ascii="Times New Roman" w:hAnsi="Times New Roman"/>
          <w:sz w:val="24"/>
          <w:szCs w:val="24"/>
        </w:rPr>
      </w:pPr>
    </w:p>
    <w:p w14:paraId="1A09C9BE" w14:textId="77777777" w:rsidR="004705C6" w:rsidRDefault="004705C6" w:rsidP="004705C6">
      <w:pPr>
        <w:pStyle w:val="paragraph"/>
        <w:rPr>
          <w:b/>
          <w:bCs/>
        </w:rPr>
      </w:pPr>
      <w:r w:rsidRPr="005417E2">
        <w:rPr>
          <w:b/>
          <w:bCs/>
        </w:rPr>
        <w:t xml:space="preserve">Legal Lesson Learned: </w:t>
      </w:r>
      <w:r>
        <w:rPr>
          <w:b/>
          <w:bCs/>
        </w:rPr>
        <w:t xml:space="preserve">The plaintiff needed an affidavit from a medical expert to support his claim of fraudulent billing. </w:t>
      </w:r>
    </w:p>
    <w:p w14:paraId="048D45A9" w14:textId="77777777" w:rsidR="004705C6" w:rsidRDefault="004705C6" w:rsidP="004705C6">
      <w:pPr>
        <w:pStyle w:val="paragraph"/>
        <w:rPr>
          <w:b/>
          <w:bCs/>
        </w:rPr>
      </w:pPr>
    </w:p>
    <w:p w14:paraId="3AB60A62" w14:textId="77777777" w:rsidR="004705C6" w:rsidRPr="004705C6" w:rsidRDefault="004705C6" w:rsidP="004705C6">
      <w:pPr>
        <w:pStyle w:val="NormalWeb"/>
        <w:rPr>
          <w:sz w:val="28"/>
          <w:szCs w:val="28"/>
        </w:rPr>
      </w:pPr>
    </w:p>
    <w:p w14:paraId="11631F1F" w14:textId="77777777" w:rsidR="004705C6" w:rsidRPr="004705C6" w:rsidRDefault="004705C6" w:rsidP="004705C6">
      <w:pPr>
        <w:rPr>
          <w:rFonts w:ascii="Arial Black" w:hAnsi="Arial Black"/>
          <w:sz w:val="28"/>
          <w:szCs w:val="28"/>
          <w:shd w:val="clear" w:color="auto" w:fill="FFFFFF"/>
        </w:rPr>
      </w:pPr>
      <w:r w:rsidRPr="004705C6">
        <w:rPr>
          <w:rFonts w:ascii="Arial Black" w:hAnsi="Arial Black"/>
          <w:sz w:val="28"/>
          <w:szCs w:val="28"/>
          <w:shd w:val="clear" w:color="auto" w:fill="FFFFFF"/>
        </w:rPr>
        <w:t>13-173</w:t>
      </w:r>
    </w:p>
    <w:p w14:paraId="5E200646" w14:textId="77777777" w:rsidR="00B85B57" w:rsidRPr="006316A3" w:rsidRDefault="00B85B57" w:rsidP="00B85B57">
      <w:pPr>
        <w:rPr>
          <w:rFonts w:ascii="Arial Black" w:hAnsi="Arial Black"/>
          <w:sz w:val="28"/>
          <w:szCs w:val="28"/>
          <w:shd w:val="clear" w:color="auto" w:fill="FFFFFF"/>
        </w:rPr>
      </w:pPr>
      <w:r>
        <w:rPr>
          <w:rFonts w:ascii="Arial Black" w:hAnsi="Arial Black"/>
          <w:sz w:val="28"/>
          <w:szCs w:val="28"/>
          <w:shd w:val="clear" w:color="auto" w:fill="FFFFFF"/>
        </w:rPr>
        <w:t xml:space="preserve">IN: PT STROKE CO. BREAK ROOM – CO. MEDICS RAPID RESPONSE – 8 MIN -  WIFE FALSELY TOLD “ONE HOUR” – NO CASE </w:t>
      </w:r>
    </w:p>
    <w:p w14:paraId="0D9D8CB1" w14:textId="77777777" w:rsidR="00B85B57" w:rsidRDefault="00B85B57" w:rsidP="00B85B57">
      <w:pPr>
        <w:pStyle w:val="NoSpacing"/>
        <w:rPr>
          <w:rFonts w:ascii="Times New Roman" w:hAnsi="Times New Roman"/>
          <w:sz w:val="24"/>
          <w:szCs w:val="24"/>
          <w:shd w:val="clear" w:color="auto" w:fill="FFFFFF"/>
        </w:rPr>
      </w:pPr>
      <w:r>
        <w:rPr>
          <w:rFonts w:ascii="Times New Roman" w:hAnsi="Times New Roman"/>
          <w:sz w:val="24"/>
          <w:szCs w:val="24"/>
          <w:shd w:val="clear" w:color="auto" w:fill="FFFFFF"/>
        </w:rPr>
        <w:t xml:space="preserve">On March 14, 2024, in </w:t>
      </w:r>
      <w:r w:rsidRPr="00B967DB">
        <w:rPr>
          <w:rFonts w:ascii="Times New Roman" w:hAnsi="Times New Roman"/>
          <w:sz w:val="24"/>
          <w:szCs w:val="24"/>
          <w:u w:val="single"/>
          <w:shd w:val="clear" w:color="auto" w:fill="FFFFFF"/>
        </w:rPr>
        <w:t>Estate of Keith J. Hopkins v. Cleveland-Cliffs Steel, LLC</w:t>
      </w:r>
      <w:r>
        <w:rPr>
          <w:rFonts w:ascii="Times New Roman" w:hAnsi="Times New Roman"/>
          <w:sz w:val="24"/>
          <w:szCs w:val="24"/>
          <w:shd w:val="clear" w:color="auto" w:fill="FFFFFF"/>
        </w:rPr>
        <w:t>, United States Magistrate Judge Andrew P. Rodovich, U.S. District Court for Northern District of Indiana (Hammond Division) granted the company’s motion to dismiss.  The widow was told by two co-workers at the wake that medics took “one hour” to respond, but EMS report (</w:t>
      </w:r>
      <w:proofErr w:type="gramStart"/>
      <w:r>
        <w:rPr>
          <w:rFonts w:ascii="Times New Roman" w:hAnsi="Times New Roman"/>
          <w:sz w:val="24"/>
          <w:szCs w:val="24"/>
          <w:shd w:val="clear" w:color="auto" w:fill="FFFFFF"/>
        </w:rPr>
        <w:t>8 minute</w:t>
      </w:r>
      <w:proofErr w:type="gramEnd"/>
      <w:r>
        <w:rPr>
          <w:rFonts w:ascii="Times New Roman" w:hAnsi="Times New Roman"/>
          <w:sz w:val="24"/>
          <w:szCs w:val="24"/>
          <w:shd w:val="clear" w:color="auto" w:fill="FFFFFF"/>
        </w:rPr>
        <w:t xml:space="preserve"> response time) and hospital records showed prompt response and transport (arrived 27 minutes after medic on scene). </w:t>
      </w:r>
    </w:p>
    <w:p w14:paraId="702B0CEF" w14:textId="77777777" w:rsidR="00B85B57" w:rsidRDefault="00B85B57" w:rsidP="00B85B57">
      <w:pPr>
        <w:pStyle w:val="NoSpacing"/>
        <w:rPr>
          <w:rFonts w:ascii="Times New Roman" w:hAnsi="Times New Roman"/>
          <w:sz w:val="24"/>
          <w:szCs w:val="24"/>
          <w:shd w:val="clear" w:color="auto" w:fill="FFFFFF"/>
        </w:rPr>
      </w:pPr>
    </w:p>
    <w:p w14:paraId="3E9C143A" w14:textId="77777777" w:rsidR="00B85B57" w:rsidRPr="004C0299" w:rsidRDefault="00B85B57" w:rsidP="00B85B57">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4C0C207" w14:textId="77777777" w:rsidR="00B85B57" w:rsidRDefault="00B85B57" w:rsidP="00B85B57">
      <w:pPr>
        <w:pStyle w:val="NormalWeb"/>
        <w:ind w:left="720"/>
      </w:pPr>
      <w:r>
        <w:t xml:space="preserve">“The parties dispute the facts surrounding the emergency care that the paramedics provided to Hopkins. Paramedic William Webb stated the call for help was made at 6:59 p.m., and that he arrived with another paramedic at 7:07 p.m. Webb suspected that Hopkins was having a stroke, because his face was drooping and the right side of his body was flaccid. The paramedics assessed Hopkins, checked his blood sugar and vital signs, gave him intravenous fluids and oxygen, and prepared him for transportation by ambulance. The ambulance left for St. Catherine Hospital, in East Chicago, at 7:25 p.m., and arrived at 7:34 p.m. This timeline was recorded in an “Ambulance Report,” which was prepared by ArcelorMittal dispatch personnel based on information reported by the paramedics. [Webb Decl. ¶¶ 12-13]. </w:t>
      </w:r>
    </w:p>
    <w:p w14:paraId="71E0288F" w14:textId="77777777" w:rsidR="00B85B57" w:rsidRDefault="00B85B57" w:rsidP="00B85B57">
      <w:pPr>
        <w:ind w:left="720"/>
        <w:rPr>
          <w:rFonts w:ascii="Times New Roman" w:hAnsi="Times New Roman"/>
          <w:sz w:val="24"/>
          <w:szCs w:val="24"/>
        </w:rPr>
      </w:pPr>
      <w:r>
        <w:rPr>
          <w:rFonts w:ascii="Times New Roman" w:hAnsi="Times New Roman"/>
          <w:sz w:val="24"/>
          <w:szCs w:val="24"/>
        </w:rPr>
        <w:t>***</w:t>
      </w:r>
    </w:p>
    <w:p w14:paraId="3F80E19F" w14:textId="77777777" w:rsidR="00B85B57" w:rsidRDefault="00B85B57" w:rsidP="00B85B57">
      <w:pPr>
        <w:ind w:left="720"/>
        <w:rPr>
          <w:rFonts w:ascii="Times New Roman" w:hAnsi="Times New Roman"/>
          <w:sz w:val="24"/>
          <w:szCs w:val="24"/>
          <w:vertAlign w:val="superscript"/>
        </w:rPr>
      </w:pPr>
      <w:r w:rsidRPr="002750CB">
        <w:rPr>
          <w:rFonts w:ascii="Times New Roman" w:hAnsi="Times New Roman"/>
          <w:sz w:val="24"/>
          <w:szCs w:val="24"/>
        </w:rPr>
        <w:t xml:space="preserve">The court infers from the briefing that the Estate believes the paramedics did not </w:t>
      </w:r>
      <w:proofErr w:type="gramStart"/>
      <w:r w:rsidRPr="002750CB">
        <w:rPr>
          <w:rFonts w:ascii="Times New Roman" w:hAnsi="Times New Roman"/>
          <w:sz w:val="24"/>
          <w:szCs w:val="24"/>
        </w:rPr>
        <w:t>attend to</w:t>
      </w:r>
      <w:proofErr w:type="gramEnd"/>
      <w:r w:rsidRPr="002750CB">
        <w:rPr>
          <w:rFonts w:ascii="Times New Roman" w:hAnsi="Times New Roman"/>
          <w:sz w:val="24"/>
          <w:szCs w:val="24"/>
        </w:rPr>
        <w:t xml:space="preserve"> Hopkins until at least an hour after they were called. Felita Hopkins, Hopkins's widow, testified that at his wake two of his co-workers told her that </w:t>
      </w:r>
      <w:r>
        <w:rPr>
          <w:rFonts w:ascii="Times New Roman" w:hAnsi="Times New Roman"/>
          <w:sz w:val="24"/>
          <w:szCs w:val="24"/>
        </w:rPr>
        <w:t>‘</w:t>
      </w:r>
      <w:r w:rsidRPr="002750CB">
        <w:rPr>
          <w:rFonts w:ascii="Times New Roman" w:hAnsi="Times New Roman"/>
          <w:sz w:val="24"/>
          <w:szCs w:val="24"/>
        </w:rPr>
        <w:t>it took over an hour</w:t>
      </w:r>
      <w:r>
        <w:rPr>
          <w:rFonts w:ascii="Times New Roman" w:hAnsi="Times New Roman"/>
          <w:sz w:val="24"/>
          <w:szCs w:val="24"/>
        </w:rPr>
        <w:t>’</w:t>
      </w:r>
      <w:r w:rsidRPr="002750CB">
        <w:rPr>
          <w:rFonts w:ascii="Times New Roman" w:hAnsi="Times New Roman"/>
          <w:sz w:val="24"/>
          <w:szCs w:val="24"/>
        </w:rPr>
        <w:t xml:space="preserve"> for the paramedics to arrive and that ArcelorMittal's report was changed to say that they responded within three</w:t>
      </w:r>
      <w:r w:rsidRPr="002750CB">
        <w:rPr>
          <w:rFonts w:ascii="Times New Roman" w:hAnsi="Times New Roman"/>
          <w:sz w:val="24"/>
          <w:szCs w:val="24"/>
          <w:vertAlign w:val="superscript"/>
        </w:rPr>
        <w:t>[</w:t>
      </w:r>
      <w:hyperlink r:id="rId2108" w:anchor="ftn.FN3" w:history="1">
        <w:r w:rsidRPr="002750CB">
          <w:rPr>
            <w:rStyle w:val="Hyperlink"/>
            <w:rFonts w:ascii="Times New Roman" w:hAnsi="Times New Roman"/>
            <w:sz w:val="24"/>
            <w:szCs w:val="24"/>
            <w:vertAlign w:val="superscript"/>
          </w:rPr>
          <w:t>3</w:t>
        </w:r>
      </w:hyperlink>
      <w:r w:rsidRPr="002750CB">
        <w:rPr>
          <w:rFonts w:ascii="Times New Roman" w:hAnsi="Times New Roman"/>
          <w:sz w:val="24"/>
          <w:szCs w:val="24"/>
          <w:vertAlign w:val="superscript"/>
        </w:rPr>
        <w:t>]</w:t>
      </w:r>
      <w:r w:rsidRPr="002750CB">
        <w:rPr>
          <w:rFonts w:ascii="Times New Roman" w:hAnsi="Times New Roman"/>
          <w:sz w:val="24"/>
          <w:szCs w:val="24"/>
        </w:rPr>
        <w:t xml:space="preserve"> minutes. [Hopkins Dep. 39:1-6, 39:22-40:21]. Although this fact is not properly alleged, </w:t>
      </w:r>
      <w:r w:rsidRPr="002750CB">
        <w:rPr>
          <w:rStyle w:val="Emphasis"/>
          <w:rFonts w:ascii="Times New Roman" w:hAnsi="Times New Roman"/>
          <w:sz w:val="24"/>
          <w:szCs w:val="24"/>
        </w:rPr>
        <w:t>see</w:t>
      </w:r>
      <w:r w:rsidRPr="002750CB">
        <w:rPr>
          <w:rFonts w:ascii="Times New Roman" w:hAnsi="Times New Roman"/>
          <w:sz w:val="24"/>
          <w:szCs w:val="24"/>
        </w:rPr>
        <w:t xml:space="preserve"> N. D. Ind. L. R. 56-1(b)(2)(D), the court will consider the Estate as having made that allegation based on Hopkins's deposition testimony.</w:t>
      </w:r>
    </w:p>
    <w:p w14:paraId="4E5C6B59" w14:textId="77777777" w:rsidR="00B85B57" w:rsidRDefault="00B85B57" w:rsidP="00B85B57">
      <w:pPr>
        <w:rPr>
          <w:rFonts w:ascii="Times New Roman" w:hAnsi="Times New Roman"/>
          <w:sz w:val="24"/>
          <w:szCs w:val="24"/>
        </w:rPr>
      </w:pPr>
      <w:r w:rsidRPr="002750CB">
        <w:rPr>
          <w:rFonts w:ascii="Times New Roman" w:hAnsi="Times New Roman"/>
          <w:sz w:val="24"/>
          <w:szCs w:val="24"/>
        </w:rPr>
        <w:t xml:space="preserve"> </w:t>
      </w:r>
      <w:r>
        <w:rPr>
          <w:rFonts w:ascii="Times New Roman" w:hAnsi="Times New Roman"/>
          <w:sz w:val="24"/>
          <w:szCs w:val="24"/>
        </w:rPr>
        <w:tab/>
        <w:t>***</w:t>
      </w:r>
    </w:p>
    <w:p w14:paraId="4A8F2653" w14:textId="77777777" w:rsidR="00B85B57" w:rsidRPr="00D97522" w:rsidRDefault="00B85B57" w:rsidP="00B85B57">
      <w:pPr>
        <w:ind w:left="720"/>
        <w:rPr>
          <w:rFonts w:ascii="Times New Roman" w:hAnsi="Times New Roman"/>
          <w:b/>
          <w:bCs/>
          <w:color w:val="454545"/>
          <w:sz w:val="24"/>
          <w:szCs w:val="24"/>
          <w:shd w:val="clear" w:color="auto" w:fill="FFFFFF"/>
        </w:rPr>
      </w:pPr>
      <w:r w:rsidRPr="00D97522">
        <w:rPr>
          <w:rFonts w:ascii="Times New Roman" w:hAnsi="Times New Roman"/>
          <w:sz w:val="24"/>
          <w:szCs w:val="24"/>
        </w:rPr>
        <w:t xml:space="preserve">Therefore, the injury for which the Estate seeks compensation arose out of and in the course of employment, and the IWCA </w:t>
      </w:r>
      <w:r>
        <w:rPr>
          <w:rFonts w:ascii="Times New Roman" w:hAnsi="Times New Roman"/>
          <w:sz w:val="24"/>
          <w:szCs w:val="24"/>
        </w:rPr>
        <w:t>[</w:t>
      </w:r>
      <w:r w:rsidRPr="004E1487">
        <w:rPr>
          <w:rFonts w:ascii="Times New Roman" w:hAnsi="Times New Roman"/>
          <w:sz w:val="24"/>
          <w:szCs w:val="24"/>
        </w:rPr>
        <w:t>Indiana Wrongful Death Act</w:t>
      </w:r>
      <w:r>
        <w:rPr>
          <w:rFonts w:ascii="Times New Roman" w:hAnsi="Times New Roman"/>
          <w:sz w:val="24"/>
          <w:szCs w:val="24"/>
        </w:rPr>
        <w:t xml:space="preserve">] </w:t>
      </w:r>
      <w:r w:rsidRPr="00D97522">
        <w:rPr>
          <w:rFonts w:ascii="Times New Roman" w:hAnsi="Times New Roman"/>
          <w:sz w:val="24"/>
          <w:szCs w:val="24"/>
        </w:rPr>
        <w:t>provides the exclusive remedy.</w:t>
      </w:r>
      <w:r>
        <w:rPr>
          <w:rFonts w:ascii="Times New Roman" w:hAnsi="Times New Roman"/>
          <w:sz w:val="24"/>
          <w:szCs w:val="24"/>
        </w:rPr>
        <w:t xml:space="preserve">” </w:t>
      </w:r>
      <w:hyperlink r:id="rId2109" w:history="1">
        <w:r w:rsidRPr="00793584">
          <w:rPr>
            <w:rStyle w:val="Hyperlink"/>
            <w:rFonts w:ascii="Times New Roman" w:hAnsi="Times New Roman"/>
            <w:sz w:val="24"/>
            <w:szCs w:val="24"/>
          </w:rPr>
          <w:t>https://public.fastcase.com/H1P9uiW3J20SFp%2BGCG%2BxLWaE5rZYr2H4Ujam%2BycZ4mpAt0doHRie9oUlcl2qsPlk?utm_medium=email&amp;_hsmi=226712652&amp;_hsenc=p2ANqtz-_AW42DW2ZKsbYvGhsf40qi8tEpXVEeEydLzmuxudQnQi0lg_TvDjKAtr1z0dXm_j1xtTRfnovBA_RTcYhjFA_6sdUkCw&amp;utm_content=226712652&amp;utm_source=hs_email</w:t>
        </w:r>
      </w:hyperlink>
      <w:r>
        <w:rPr>
          <w:rFonts w:ascii="Times New Roman" w:hAnsi="Times New Roman"/>
          <w:sz w:val="24"/>
          <w:szCs w:val="24"/>
        </w:rPr>
        <w:t xml:space="preserve"> </w:t>
      </w:r>
    </w:p>
    <w:p w14:paraId="70BE14B1" w14:textId="77777777" w:rsidR="00B85B57" w:rsidRPr="00496174" w:rsidRDefault="00B85B57" w:rsidP="00B85B57">
      <w:pPr>
        <w:pStyle w:val="NormalWeb"/>
        <w:rPr>
          <w:b/>
          <w:bCs/>
        </w:rPr>
      </w:pPr>
      <w:r w:rsidRPr="00496174">
        <w:rPr>
          <w:b/>
          <w:bCs/>
        </w:rPr>
        <w:t>Legal Lesson Learned:</w:t>
      </w:r>
      <w:r>
        <w:rPr>
          <w:b/>
          <w:bCs/>
        </w:rPr>
        <w:t xml:space="preserve"> The estate’s only remedy is under Indiana Wrongful Death Act (worker’s comp).  It is a shame that co-workers told widow that response time was one hour. </w:t>
      </w:r>
    </w:p>
    <w:p w14:paraId="17D341BF" w14:textId="77777777" w:rsidR="004705C6" w:rsidRDefault="004705C6" w:rsidP="004705C6">
      <w:pPr>
        <w:pStyle w:val="NormalWeb"/>
        <w:ind w:left="720"/>
      </w:pPr>
    </w:p>
    <w:p w14:paraId="1E8E0BAA" w14:textId="77777777" w:rsidR="004705C6" w:rsidRDefault="004705C6" w:rsidP="004705C6">
      <w:pPr>
        <w:pStyle w:val="NormalWeb"/>
      </w:pPr>
    </w:p>
    <w:p w14:paraId="4A6232FA" w14:textId="73ED64B6" w:rsidR="004705C6" w:rsidRPr="004705C6" w:rsidRDefault="004705C6" w:rsidP="004705C6">
      <w:pPr>
        <w:pStyle w:val="NormalWeb"/>
        <w:rPr>
          <w:rFonts w:ascii="Arial Black" w:hAnsi="Arial Black"/>
          <w:sz w:val="28"/>
          <w:szCs w:val="28"/>
        </w:rPr>
      </w:pPr>
      <w:r w:rsidRPr="004705C6">
        <w:rPr>
          <w:rFonts w:ascii="Arial Black" w:hAnsi="Arial Black"/>
          <w:sz w:val="28"/>
          <w:szCs w:val="28"/>
        </w:rPr>
        <w:t>13-172</w:t>
      </w:r>
    </w:p>
    <w:p w14:paraId="2916CE25" w14:textId="432D0233" w:rsidR="004705C6" w:rsidRDefault="004705C6" w:rsidP="004705C6">
      <w:pPr>
        <w:pStyle w:val="NormalWeb"/>
        <w:rPr>
          <w:rFonts w:ascii="Arial Black" w:hAnsi="Arial Black"/>
          <w:sz w:val="28"/>
          <w:szCs w:val="28"/>
        </w:rPr>
      </w:pPr>
      <w:r>
        <w:rPr>
          <w:rFonts w:ascii="Arial Black" w:hAnsi="Arial Black"/>
          <w:sz w:val="28"/>
          <w:szCs w:val="28"/>
        </w:rPr>
        <w:t xml:space="preserve">MN: COMBATIVE PATIENT - MEDIC </w:t>
      </w:r>
      <w:r w:rsidR="00311BBE">
        <w:rPr>
          <w:rFonts w:ascii="Arial Black" w:hAnsi="Arial Black"/>
          <w:sz w:val="28"/>
          <w:szCs w:val="28"/>
        </w:rPr>
        <w:t xml:space="preserve">WITH </w:t>
      </w:r>
      <w:r>
        <w:rPr>
          <w:rFonts w:ascii="Arial Black" w:hAnsi="Arial Black"/>
          <w:sz w:val="28"/>
          <w:szCs w:val="28"/>
        </w:rPr>
        <w:t xml:space="preserve">MILITARY TRAINING – PRESSURE ON CAROTID ARTERY </w:t>
      </w:r>
      <w:r w:rsidR="0057595C">
        <w:rPr>
          <w:rFonts w:ascii="Arial Black" w:hAnsi="Arial Black"/>
          <w:sz w:val="28"/>
          <w:szCs w:val="28"/>
        </w:rPr>
        <w:t>–</w:t>
      </w:r>
      <w:r>
        <w:rPr>
          <w:rFonts w:ascii="Arial Black" w:hAnsi="Arial Black"/>
          <w:sz w:val="28"/>
          <w:szCs w:val="28"/>
        </w:rPr>
        <w:t xml:space="preserve"> </w:t>
      </w:r>
      <w:r w:rsidR="0057595C">
        <w:rPr>
          <w:rFonts w:ascii="Arial Black" w:hAnsi="Arial Black"/>
          <w:sz w:val="28"/>
          <w:szCs w:val="28"/>
        </w:rPr>
        <w:t xml:space="preserve">MEDIC </w:t>
      </w:r>
      <w:r>
        <w:rPr>
          <w:rFonts w:ascii="Arial Black" w:hAnsi="Arial Black"/>
          <w:sz w:val="28"/>
          <w:szCs w:val="28"/>
        </w:rPr>
        <w:t>FIRING UPHELD</w:t>
      </w:r>
    </w:p>
    <w:p w14:paraId="6AEF2B05" w14:textId="77777777" w:rsidR="004705C6" w:rsidRDefault="004705C6" w:rsidP="004705C6">
      <w:pPr>
        <w:pStyle w:val="NormalWeb"/>
        <w:rPr>
          <w:color w:val="454545"/>
          <w:shd w:val="clear" w:color="auto" w:fill="FFFFFF"/>
        </w:rPr>
      </w:pPr>
      <w:r>
        <w:rPr>
          <w:color w:val="454545"/>
          <w:shd w:val="clear" w:color="auto" w:fill="FFFFFF"/>
        </w:rPr>
        <w:t xml:space="preserve">On March 11, 2024, in </w:t>
      </w:r>
      <w:r w:rsidRPr="009D1F77">
        <w:rPr>
          <w:color w:val="454545"/>
          <w:u w:val="single"/>
          <w:shd w:val="clear" w:color="auto" w:fill="FFFFFF"/>
        </w:rPr>
        <w:t>Kenneth Zepeda v. City of Sant Paul</w:t>
      </w:r>
      <w:r>
        <w:rPr>
          <w:color w:val="454545"/>
          <w:shd w:val="clear" w:color="auto" w:fill="FFFFFF"/>
        </w:rPr>
        <w:t xml:space="preserve">, the Minnesota Court of Appeals held (3 to 0) that </w:t>
      </w:r>
      <w:r w:rsidRPr="001E20BB">
        <w:rPr>
          <w:color w:val="454545"/>
          <w:shd w:val="clear" w:color="auto" w:fill="FFFFFF"/>
        </w:rPr>
        <w:t>the arbitrator</w:t>
      </w:r>
      <w:r>
        <w:rPr>
          <w:color w:val="454545"/>
          <w:shd w:val="clear" w:color="auto" w:fill="FFFFFF"/>
        </w:rPr>
        <w:t xml:space="preserve"> properly determined </w:t>
      </w:r>
      <w:r w:rsidRPr="001E20BB">
        <w:rPr>
          <w:color w:val="454545"/>
          <w:shd w:val="clear" w:color="auto" w:fill="FFFFFF"/>
        </w:rPr>
        <w:t>that the city had just cause to terminate Zepeda’s</w:t>
      </w:r>
      <w:r>
        <w:rPr>
          <w:color w:val="454545"/>
          <w:shd w:val="clear" w:color="auto" w:fill="FFFFFF"/>
        </w:rPr>
        <w:t xml:space="preserve"> </w:t>
      </w:r>
      <w:r w:rsidRPr="001E20BB">
        <w:rPr>
          <w:color w:val="454545"/>
          <w:shd w:val="clear" w:color="auto" w:fill="FFFFFF"/>
        </w:rPr>
        <w:t>employment.</w:t>
      </w:r>
    </w:p>
    <w:p w14:paraId="5DCE851A" w14:textId="77777777" w:rsidR="00D83012" w:rsidRPr="004C0299" w:rsidRDefault="00D83012" w:rsidP="00D8301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3EA9210D" w14:textId="77777777" w:rsidR="00D83012" w:rsidRDefault="00D83012" w:rsidP="004705C6">
      <w:pPr>
        <w:pStyle w:val="NoSpacing"/>
        <w:ind w:left="720"/>
        <w:rPr>
          <w:rFonts w:ascii="Times New Roman" w:hAnsi="Times New Roman"/>
          <w:sz w:val="24"/>
          <w:szCs w:val="24"/>
          <w:shd w:val="clear" w:color="auto" w:fill="FFFFFF"/>
        </w:rPr>
      </w:pPr>
    </w:p>
    <w:p w14:paraId="745246E4" w14:textId="1D46C2BA" w:rsidR="004705C6" w:rsidRDefault="004705C6" w:rsidP="004705C6">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r w:rsidRPr="00A1737F">
        <w:rPr>
          <w:rFonts w:ascii="Times New Roman" w:hAnsi="Times New Roman"/>
          <w:sz w:val="24"/>
          <w:szCs w:val="24"/>
          <w:shd w:val="clear" w:color="auto" w:fill="FFFFFF"/>
        </w:rPr>
        <w:t>Despite the</w:t>
      </w:r>
      <w:r>
        <w:rPr>
          <w:rFonts w:ascii="Times New Roman" w:hAnsi="Times New Roman"/>
          <w:sz w:val="24"/>
          <w:szCs w:val="24"/>
          <w:shd w:val="clear" w:color="auto" w:fill="FFFFFF"/>
        </w:rPr>
        <w:t xml:space="preserve"> </w:t>
      </w:r>
      <w:r w:rsidRPr="00A1737F">
        <w:rPr>
          <w:rFonts w:ascii="Times New Roman" w:hAnsi="Times New Roman"/>
          <w:sz w:val="24"/>
          <w:szCs w:val="24"/>
          <w:shd w:val="clear" w:color="auto" w:fill="FFFFFF"/>
        </w:rPr>
        <w:t>patient’s physically combative behavior in the ambulance, the video supports the</w:t>
      </w:r>
      <w:r>
        <w:rPr>
          <w:rFonts w:ascii="Times New Roman" w:hAnsi="Times New Roman"/>
          <w:sz w:val="24"/>
          <w:szCs w:val="24"/>
          <w:shd w:val="clear" w:color="auto" w:fill="FFFFFF"/>
        </w:rPr>
        <w:t xml:space="preserve"> </w:t>
      </w:r>
      <w:r w:rsidRPr="00A1737F">
        <w:rPr>
          <w:rFonts w:ascii="Times New Roman" w:hAnsi="Times New Roman"/>
          <w:sz w:val="24"/>
          <w:szCs w:val="24"/>
          <w:shd w:val="clear" w:color="auto" w:fill="FFFFFF"/>
        </w:rPr>
        <w:t>arbitrator’s statement that the patient was, nonetheless, not in a position to inflict harm on</w:t>
      </w:r>
      <w:r>
        <w:rPr>
          <w:rFonts w:ascii="Times New Roman" w:hAnsi="Times New Roman"/>
          <w:sz w:val="24"/>
          <w:szCs w:val="24"/>
          <w:shd w:val="clear" w:color="auto" w:fill="FFFFFF"/>
        </w:rPr>
        <w:t xml:space="preserve"> </w:t>
      </w:r>
      <w:r w:rsidRPr="00A1737F">
        <w:rPr>
          <w:rFonts w:ascii="Times New Roman" w:hAnsi="Times New Roman"/>
          <w:sz w:val="24"/>
          <w:szCs w:val="24"/>
          <w:shd w:val="clear" w:color="auto" w:fill="FFFFFF"/>
        </w:rPr>
        <w:t>the responders at that point.</w:t>
      </w:r>
    </w:p>
    <w:p w14:paraId="13767E36" w14:textId="77777777" w:rsidR="004705C6" w:rsidRDefault="004705C6" w:rsidP="004705C6">
      <w:pPr>
        <w:pStyle w:val="NoSpacing"/>
        <w:ind w:left="720"/>
        <w:rPr>
          <w:rFonts w:ascii="Times New Roman" w:hAnsi="Times New Roman"/>
          <w:sz w:val="24"/>
          <w:szCs w:val="24"/>
          <w:shd w:val="clear" w:color="auto" w:fill="FFFFFF"/>
        </w:rPr>
      </w:pPr>
    </w:p>
    <w:p w14:paraId="43D487F4" w14:textId="77777777" w:rsidR="004705C6" w:rsidRDefault="004705C6" w:rsidP="004705C6">
      <w:pPr>
        <w:pStyle w:val="NoSpacing"/>
        <w:ind w:left="720"/>
        <w:rPr>
          <w:rFonts w:ascii="Times New Roman" w:hAnsi="Times New Roman"/>
          <w:sz w:val="24"/>
          <w:szCs w:val="24"/>
          <w:shd w:val="clear" w:color="auto" w:fill="FFFFFF"/>
        </w:rPr>
      </w:pPr>
      <w:r>
        <w:rPr>
          <w:rFonts w:ascii="Times New Roman" w:hAnsi="Times New Roman"/>
          <w:sz w:val="24"/>
          <w:szCs w:val="24"/>
          <w:shd w:val="clear" w:color="auto" w:fill="FFFFFF"/>
        </w:rPr>
        <w:t>***</w:t>
      </w:r>
    </w:p>
    <w:p w14:paraId="4B70672B" w14:textId="77777777" w:rsidR="004705C6" w:rsidRDefault="004705C6" w:rsidP="004705C6">
      <w:pPr>
        <w:pStyle w:val="NoSpacing"/>
        <w:ind w:left="720"/>
        <w:rPr>
          <w:rFonts w:ascii="Times New Roman" w:hAnsi="Times New Roman"/>
          <w:sz w:val="24"/>
          <w:szCs w:val="24"/>
          <w:shd w:val="clear" w:color="auto" w:fill="FFFFFF"/>
        </w:rPr>
      </w:pPr>
      <w:r w:rsidRPr="00325B49">
        <w:rPr>
          <w:rFonts w:ascii="Times New Roman" w:hAnsi="Times New Roman"/>
          <w:sz w:val="24"/>
          <w:szCs w:val="24"/>
          <w:shd w:val="clear" w:color="auto" w:fill="FFFFFF"/>
        </w:rPr>
        <w:t xml:space="preserve">The arbitrator reasoned that </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the rest of the crew,</w:t>
      </w:r>
      <w:r>
        <w:rPr>
          <w:rFonts w:ascii="Times New Roman" w:hAnsi="Times New Roman"/>
          <w:sz w:val="24"/>
          <w:szCs w:val="24"/>
          <w:shd w:val="clear" w:color="auto" w:fill="FFFFFF"/>
        </w:rPr>
        <w:t xml:space="preserve"> </w:t>
      </w:r>
      <w:r w:rsidRPr="00325B49">
        <w:rPr>
          <w:rFonts w:ascii="Times New Roman" w:hAnsi="Times New Roman"/>
          <w:sz w:val="24"/>
          <w:szCs w:val="24"/>
          <w:shd w:val="clear" w:color="auto" w:fill="FFFFFF"/>
        </w:rPr>
        <w:t>having received the same level of training, knew not to interact with the patient as Zepeda</w:t>
      </w:r>
      <w:r>
        <w:rPr>
          <w:rFonts w:ascii="Times New Roman" w:hAnsi="Times New Roman"/>
          <w:sz w:val="24"/>
          <w:szCs w:val="24"/>
          <w:shd w:val="clear" w:color="auto" w:fill="FFFFFF"/>
        </w:rPr>
        <w:t xml:space="preserve"> </w:t>
      </w:r>
      <w:r w:rsidRPr="00325B49">
        <w:rPr>
          <w:rFonts w:ascii="Times New Roman" w:hAnsi="Times New Roman"/>
          <w:sz w:val="24"/>
          <w:szCs w:val="24"/>
          <w:shd w:val="clear" w:color="auto" w:fill="FFFFFF"/>
        </w:rPr>
        <w:t>did,</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 xml:space="preserve"> that Zepeda’s behavior on the video </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reflects someone who did not control their anger</w:t>
      </w:r>
      <w:r>
        <w:rPr>
          <w:rFonts w:ascii="Times New Roman" w:hAnsi="Times New Roman"/>
          <w:sz w:val="24"/>
          <w:szCs w:val="24"/>
          <w:shd w:val="clear" w:color="auto" w:fill="FFFFFF"/>
        </w:rPr>
        <w:t xml:space="preserve"> </w:t>
      </w:r>
      <w:r w:rsidRPr="00325B49">
        <w:rPr>
          <w:rFonts w:ascii="Times New Roman" w:hAnsi="Times New Roman"/>
          <w:sz w:val="24"/>
          <w:szCs w:val="24"/>
          <w:shd w:val="clear" w:color="auto" w:fill="FFFFFF"/>
        </w:rPr>
        <w:t>rather than someone who did not know better,</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 xml:space="preserve"> and that </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supporting documentation</w:t>
      </w:r>
      <w:r>
        <w:rPr>
          <w:rFonts w:ascii="Times New Roman" w:hAnsi="Times New Roman"/>
          <w:sz w:val="24"/>
          <w:szCs w:val="24"/>
          <w:shd w:val="clear" w:color="auto" w:fill="FFFFFF"/>
        </w:rPr>
        <w:t>’</w:t>
      </w:r>
      <w:r w:rsidRPr="00325B49">
        <w:rPr>
          <w:rFonts w:ascii="Times New Roman" w:hAnsi="Times New Roman"/>
          <w:sz w:val="24"/>
          <w:szCs w:val="24"/>
          <w:shd w:val="clear" w:color="auto" w:fill="FFFFFF"/>
        </w:rPr>
        <w:t xml:space="preserve"> is not</w:t>
      </w:r>
      <w:r>
        <w:rPr>
          <w:rFonts w:ascii="Times New Roman" w:hAnsi="Times New Roman"/>
          <w:sz w:val="24"/>
          <w:szCs w:val="24"/>
          <w:shd w:val="clear" w:color="auto" w:fill="FFFFFF"/>
        </w:rPr>
        <w:t xml:space="preserve">  </w:t>
      </w:r>
      <w:r w:rsidRPr="00A461D9">
        <w:rPr>
          <w:rFonts w:ascii="Times New Roman" w:hAnsi="Times New Roman"/>
          <w:sz w:val="24"/>
          <w:szCs w:val="24"/>
          <w:shd w:val="clear" w:color="auto" w:fill="FFFFFF"/>
        </w:rPr>
        <w:t xml:space="preserve">necessary to establish that behaviors such as </w:t>
      </w:r>
      <w:r>
        <w:rPr>
          <w:rFonts w:ascii="Times New Roman" w:hAnsi="Times New Roman"/>
          <w:sz w:val="24"/>
          <w:szCs w:val="24"/>
          <w:shd w:val="clear" w:color="auto" w:fill="FFFFFF"/>
        </w:rPr>
        <w:t>‘</w:t>
      </w:r>
      <w:r w:rsidRPr="00A461D9">
        <w:rPr>
          <w:rFonts w:ascii="Times New Roman" w:hAnsi="Times New Roman"/>
          <w:sz w:val="24"/>
          <w:szCs w:val="24"/>
          <w:shd w:val="clear" w:color="auto" w:fill="FFFFFF"/>
        </w:rPr>
        <w:t>yelling, taunting, belittling and physically</w:t>
      </w:r>
      <w:r>
        <w:rPr>
          <w:rFonts w:ascii="Times New Roman" w:hAnsi="Times New Roman"/>
          <w:sz w:val="24"/>
          <w:szCs w:val="24"/>
          <w:shd w:val="clear" w:color="auto" w:fill="FFFFFF"/>
        </w:rPr>
        <w:t xml:space="preserve"> </w:t>
      </w:r>
      <w:r w:rsidRPr="00A461D9">
        <w:rPr>
          <w:rFonts w:ascii="Times New Roman" w:hAnsi="Times New Roman"/>
          <w:sz w:val="24"/>
          <w:szCs w:val="24"/>
          <w:shd w:val="clear" w:color="auto" w:fill="FFFFFF"/>
        </w:rPr>
        <w:t>abusing a patient</w:t>
      </w:r>
      <w:r>
        <w:rPr>
          <w:rFonts w:ascii="Times New Roman" w:hAnsi="Times New Roman"/>
          <w:sz w:val="24"/>
          <w:szCs w:val="24"/>
          <w:shd w:val="clear" w:color="auto" w:fill="FFFFFF"/>
        </w:rPr>
        <w:t>’</w:t>
      </w:r>
      <w:r w:rsidRPr="00A461D9">
        <w:rPr>
          <w:rFonts w:ascii="Times New Roman" w:hAnsi="Times New Roman"/>
          <w:sz w:val="24"/>
          <w:szCs w:val="24"/>
          <w:shd w:val="clear" w:color="auto" w:fill="FFFFFF"/>
        </w:rPr>
        <w:t xml:space="preserve"> are prohibited and could be considered misconduct.</w:t>
      </w:r>
      <w:r>
        <w:rPr>
          <w:rFonts w:ascii="Times New Roman" w:hAnsi="Times New Roman"/>
          <w:sz w:val="24"/>
          <w:szCs w:val="24"/>
          <w:shd w:val="clear" w:color="auto" w:fill="FFFFFF"/>
        </w:rPr>
        <w:t xml:space="preserve">” </w:t>
      </w:r>
      <w:hyperlink r:id="rId2110" w:history="1">
        <w:r w:rsidRPr="0090149E">
          <w:rPr>
            <w:rStyle w:val="Hyperlink"/>
            <w:rFonts w:ascii="Times New Roman" w:hAnsi="Times New Roman"/>
            <w:sz w:val="24"/>
            <w:szCs w:val="24"/>
            <w:shd w:val="clear" w:color="auto" w:fill="FFFFFF"/>
          </w:rPr>
          <w:t>https://cases.justia.com/minnesota/court-of-appeals/2024-a23-1210.pdf?ts=1710536669</w:t>
        </w:r>
      </w:hyperlink>
      <w:r>
        <w:rPr>
          <w:rFonts w:ascii="Times New Roman" w:hAnsi="Times New Roman"/>
          <w:sz w:val="24"/>
          <w:szCs w:val="24"/>
          <w:shd w:val="clear" w:color="auto" w:fill="FFFFFF"/>
        </w:rPr>
        <w:t xml:space="preserve"> </w:t>
      </w:r>
    </w:p>
    <w:p w14:paraId="3232BA0F" w14:textId="77777777" w:rsidR="004705C6" w:rsidRDefault="004705C6" w:rsidP="004705C6">
      <w:pPr>
        <w:pStyle w:val="NoSpacing"/>
        <w:rPr>
          <w:rFonts w:ascii="Times New Roman" w:hAnsi="Times New Roman"/>
          <w:sz w:val="24"/>
          <w:szCs w:val="24"/>
          <w:shd w:val="clear" w:color="auto" w:fill="FFFFFF"/>
        </w:rPr>
      </w:pPr>
    </w:p>
    <w:p w14:paraId="219899B5" w14:textId="77777777" w:rsidR="004705C6" w:rsidRDefault="004705C6" w:rsidP="004705C6">
      <w:pPr>
        <w:pStyle w:val="NoSpacing"/>
        <w:ind w:left="720"/>
        <w:rPr>
          <w:rFonts w:ascii="Times New Roman" w:hAnsi="Times New Roman"/>
          <w:sz w:val="24"/>
          <w:szCs w:val="24"/>
          <w:shd w:val="clear" w:color="auto" w:fill="FFFFFF"/>
        </w:rPr>
      </w:pPr>
    </w:p>
    <w:p w14:paraId="764D68C0" w14:textId="77777777" w:rsidR="004705C6" w:rsidRPr="00F03F0B" w:rsidRDefault="004705C6" w:rsidP="004705C6">
      <w:pPr>
        <w:pStyle w:val="NoSpacing"/>
        <w:rPr>
          <w:rFonts w:ascii="Times New Roman" w:hAnsi="Times New Roman"/>
          <w:b/>
          <w:bCs/>
          <w:sz w:val="24"/>
          <w:szCs w:val="24"/>
          <w:shd w:val="clear" w:color="auto" w:fill="FFFFFF"/>
        </w:rPr>
      </w:pPr>
      <w:r w:rsidRPr="00F03F0B">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Follow your protocol in restraining combative patients. </w:t>
      </w:r>
    </w:p>
    <w:p w14:paraId="12B89034" w14:textId="77777777" w:rsidR="004705C6" w:rsidRDefault="004705C6" w:rsidP="004705C6">
      <w:pPr>
        <w:spacing w:before="100" w:beforeAutospacing="1" w:after="100" w:afterAutospacing="1" w:line="240" w:lineRule="auto"/>
        <w:rPr>
          <w:rFonts w:ascii="Times New Roman" w:eastAsia="Times New Roman" w:hAnsi="Times New Roman"/>
          <w:sz w:val="24"/>
          <w:szCs w:val="24"/>
        </w:rPr>
      </w:pPr>
    </w:p>
    <w:p w14:paraId="62D86E0A" w14:textId="1AA7C881" w:rsidR="004705C6" w:rsidRPr="004705C6" w:rsidRDefault="004705C6" w:rsidP="004705C6">
      <w:pPr>
        <w:pStyle w:val="NoSpacing"/>
        <w:rPr>
          <w:rFonts w:ascii="Arial Black" w:hAnsi="Arial Black"/>
          <w:sz w:val="24"/>
          <w:szCs w:val="24"/>
          <w:shd w:val="clear" w:color="auto" w:fill="FFFFFF"/>
        </w:rPr>
      </w:pPr>
      <w:r w:rsidRPr="004705C6">
        <w:rPr>
          <w:rFonts w:ascii="Arial Black" w:hAnsi="Arial Black"/>
          <w:sz w:val="24"/>
          <w:szCs w:val="24"/>
          <w:shd w:val="clear" w:color="auto" w:fill="FFFFFF"/>
        </w:rPr>
        <w:t>13-171</w:t>
      </w:r>
    </w:p>
    <w:p w14:paraId="3BD50554" w14:textId="77777777" w:rsidR="004705C6" w:rsidRDefault="004705C6" w:rsidP="004705C6">
      <w:pPr>
        <w:pStyle w:val="NoSpacing"/>
        <w:rPr>
          <w:rFonts w:ascii="Arial Black" w:hAnsi="Arial Black"/>
          <w:sz w:val="28"/>
          <w:szCs w:val="28"/>
          <w:shd w:val="clear" w:color="auto" w:fill="FFFFFF"/>
        </w:rPr>
      </w:pPr>
    </w:p>
    <w:p w14:paraId="24027157" w14:textId="4FC1E871" w:rsidR="004705C6" w:rsidRDefault="004705C6" w:rsidP="004705C6">
      <w:pPr>
        <w:pStyle w:val="NoSpacing"/>
        <w:rPr>
          <w:rFonts w:ascii="Arial Black" w:hAnsi="Arial Black"/>
          <w:sz w:val="28"/>
          <w:szCs w:val="28"/>
          <w:shd w:val="clear" w:color="auto" w:fill="FFFFFF"/>
        </w:rPr>
      </w:pPr>
      <w:r>
        <w:rPr>
          <w:rFonts w:ascii="Arial Black" w:hAnsi="Arial Black"/>
          <w:sz w:val="28"/>
          <w:szCs w:val="28"/>
          <w:shd w:val="clear" w:color="auto" w:fill="FFFFFF"/>
        </w:rPr>
        <w:t xml:space="preserve">MN: PD TRYING TO HANDCUT MAN - MEDIC 350 MIL KETAMINE – NO PROOF </w:t>
      </w:r>
      <w:r w:rsidR="003271B7">
        <w:rPr>
          <w:rFonts w:ascii="Arial Black" w:hAnsi="Arial Black"/>
          <w:sz w:val="28"/>
          <w:szCs w:val="28"/>
          <w:shd w:val="clear" w:color="auto" w:fill="FFFFFF"/>
        </w:rPr>
        <w:t xml:space="preserve">BY </w:t>
      </w:r>
      <w:r>
        <w:rPr>
          <w:rFonts w:ascii="Arial Black" w:hAnsi="Arial Black"/>
          <w:sz w:val="28"/>
          <w:szCs w:val="28"/>
          <w:shd w:val="clear" w:color="auto" w:fill="FFFFFF"/>
        </w:rPr>
        <w:t xml:space="preserve">EXPERT </w:t>
      </w:r>
      <w:r w:rsidR="003271B7">
        <w:rPr>
          <w:rFonts w:ascii="Arial Black" w:hAnsi="Arial Black"/>
          <w:sz w:val="28"/>
          <w:szCs w:val="28"/>
          <w:shd w:val="clear" w:color="auto" w:fill="FFFFFF"/>
        </w:rPr>
        <w:t xml:space="preserve">THAT </w:t>
      </w:r>
      <w:r>
        <w:rPr>
          <w:rFonts w:ascii="Arial Black" w:hAnsi="Arial Black"/>
          <w:sz w:val="28"/>
          <w:szCs w:val="28"/>
          <w:shd w:val="clear" w:color="auto" w:fill="FFFFFF"/>
        </w:rPr>
        <w:t xml:space="preserve">MEDIC CAUSED INJURIES </w:t>
      </w:r>
    </w:p>
    <w:p w14:paraId="0CC2EC2D" w14:textId="77777777" w:rsidR="004705C6" w:rsidRDefault="004705C6" w:rsidP="004705C6">
      <w:pPr>
        <w:pStyle w:val="NormalWeb"/>
      </w:pPr>
      <w:r>
        <w:t xml:space="preserve">On March 11, 2024, in </w:t>
      </w:r>
      <w:r w:rsidRPr="0036667F">
        <w:rPr>
          <w:u w:val="single"/>
        </w:rPr>
        <w:t>Brandon Currie v. Clayton Aswegan, Elk Rive Police Officer, Brandin Martin, Elk River Police Officer, and Ronnie Lawrence, Paramedic</w:t>
      </w:r>
      <w:r>
        <w:t xml:space="preserve">, United States District Court Judge Eric C. </w:t>
      </w:r>
      <w:proofErr w:type="spellStart"/>
      <w:r>
        <w:t>Tostrud</w:t>
      </w:r>
      <w:proofErr w:type="spellEnd"/>
      <w:r>
        <w:t>, U.S. District Court for District of Minnesota, granted the motion to dismiss all defendants.  Plaintiff’s expert, Dr. A. Keith Wesley, M.D.,</w:t>
      </w:r>
      <w:r w:rsidRPr="001E71E3">
        <w:t xml:space="preserve"> </w:t>
      </w:r>
      <w:r>
        <w:t>Medical Director of United Emergency Medical Response in Wisconsin Rapids, in his affidavit fails to describe how the Paramedic and police “share responsibility” for patient’s alleged injuries.</w:t>
      </w:r>
    </w:p>
    <w:p w14:paraId="632782F9" w14:textId="77777777" w:rsidR="00D83012" w:rsidRPr="004C0299" w:rsidRDefault="00D83012" w:rsidP="00D8301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2CEB3E75" w14:textId="77777777" w:rsidR="004705C6" w:rsidRDefault="004705C6" w:rsidP="004705C6">
      <w:pPr>
        <w:pStyle w:val="NormalWeb"/>
        <w:ind w:left="720"/>
      </w:pPr>
      <w:r>
        <w:t xml:space="preserve">“After Mr. Currie repeatedly denied being on substances, officers requested an ambulance.  When the ambulance arrived, Mr. Currie got up from the ground. Several times, the officers directed Mr. Currie to ‘get down,’  ‘stay down,’ and ‘sit on the curb,’ and the officers threatened that if Mr. Currie did not sit down, they would ‘make [him] sit down.’ Instead of complying with the officers' commands, Mr. Currie fled. The officers chased and tackled Mr. Currie. After being tackled, Mr. Currie kicked, flailed, and resisted arrest. The officers attempted to handcuff Mr. Currie but struggled to get control of his second hand. </w:t>
      </w:r>
    </w:p>
    <w:p w14:paraId="57C7EC9D" w14:textId="77777777" w:rsidR="004705C6" w:rsidRDefault="004705C6" w:rsidP="004705C6">
      <w:pPr>
        <w:pStyle w:val="NormalWeb"/>
        <w:ind w:left="720"/>
      </w:pPr>
      <w:r>
        <w:t>Paramedic Lawrence, who by that time had arrived in the ambulance, administered 350 milligrams of ketamine intramuscularly to Mr. Currie to sedate him. Mr. Lawrence decided to administer ketamine based on his independent medical judgment; he was not influenced by the officers to do so. The officers first learned that Mr. Lawrence had administered ketamine to Mr. Currie only after Mr. Currie was handcuffed. Mr. Currie was arrested; he was later charged with and pleaded guilty to obstruction of legal process, a gross misdemeanor.</w:t>
      </w:r>
    </w:p>
    <w:p w14:paraId="2BCD2245" w14:textId="77777777" w:rsidR="004705C6" w:rsidRDefault="004705C6" w:rsidP="004705C6">
      <w:pPr>
        <w:pStyle w:val="NormalWeb"/>
        <w:ind w:left="720"/>
      </w:pPr>
      <w:r>
        <w:t>***</w:t>
      </w:r>
    </w:p>
    <w:p w14:paraId="77A885BB" w14:textId="77777777" w:rsidR="004705C6" w:rsidRDefault="004705C6" w:rsidP="004705C6">
      <w:pPr>
        <w:pStyle w:val="NormalWeb"/>
        <w:ind w:left="720"/>
      </w:pPr>
      <w:r>
        <w:t xml:space="preserve">[Plaintiff’s expert, Dr. Wesley] attributed ‘likely’ causation to persons other than Mr. Lawrence, but the lack of any apportionment opinion means the affidavit fails to describe what negligence on Mr. Lawrence's part caused Mr. Currie's injuries. To put it another way, Dr. Wesley does not ‘set out how’ he will use this case's facts ‘to arrive at’ a causation opinion as to Mr. Lawrence. </w:t>
      </w:r>
      <w:r>
        <w:rPr>
          <w:rStyle w:val="Emphasis"/>
          <w:rFonts w:eastAsiaTheme="majorEastAsia"/>
        </w:rPr>
        <w:t>Sorenson,</w:t>
      </w:r>
      <w:r>
        <w:t xml:space="preserve"> 457 N.W.2d at 192-93. </w:t>
      </w:r>
    </w:p>
    <w:p w14:paraId="171F60E1" w14:textId="746C9AC9" w:rsidR="004705C6" w:rsidRDefault="004705C6" w:rsidP="004705C6">
      <w:pPr>
        <w:pStyle w:val="NormalWeb"/>
        <w:ind w:left="720" w:firstLine="60"/>
      </w:pPr>
      <w:r>
        <w:t xml:space="preserve">Dr. Wesley's affidavit fails to comply with Minn. Stat. § 145.682, </w:t>
      </w:r>
      <w:proofErr w:type="spellStart"/>
      <w:r>
        <w:t>subdiv</w:t>
      </w:r>
      <w:proofErr w:type="spellEnd"/>
      <w:r>
        <w:t xml:space="preserve">. 4(a), as the Minnesota Supreme Court has construed the statute. For that reason, and because Dr. Wesley's testimony is essential to Mr. Currie's medical malpractice claim (Dr. Wesley is Mr. Currie's only expert), the claim must be dismissed pursuant to § 145.682, </w:t>
      </w:r>
      <w:proofErr w:type="spellStart"/>
      <w:r>
        <w:t>subdiv</w:t>
      </w:r>
      <w:proofErr w:type="spellEnd"/>
      <w:r>
        <w:t xml:space="preserve">. 6(c).” </w:t>
      </w:r>
      <w:hyperlink r:id="rId2111" w:history="1">
        <w:r w:rsidR="0091463E" w:rsidRPr="0026472A">
          <w:rPr>
            <w:rStyle w:val="Hyperlink"/>
          </w:rPr>
          <w:t>https://cases.justia.com/federal/district-courts/minnesota/mndce/0:2022cv00839/199889/89/0.pdf?ts=1714059506</w:t>
        </w:r>
      </w:hyperlink>
      <w:r w:rsidR="0091463E">
        <w:t xml:space="preserve"> </w:t>
      </w:r>
    </w:p>
    <w:p w14:paraId="30F0B070" w14:textId="77777777" w:rsidR="004705C6" w:rsidRPr="003C32ED" w:rsidRDefault="004705C6" w:rsidP="004705C6">
      <w:pPr>
        <w:pStyle w:val="NormalWeb"/>
        <w:rPr>
          <w:b/>
          <w:bCs/>
        </w:rPr>
      </w:pPr>
      <w:r w:rsidRPr="003C32ED">
        <w:rPr>
          <w:b/>
          <w:bCs/>
        </w:rPr>
        <w:t>Legal Lesson Learned:</w:t>
      </w:r>
      <w:r>
        <w:rPr>
          <w:b/>
          <w:bCs/>
        </w:rPr>
        <w:t xml:space="preserve"> Follow your protocols, including carefully evaluating the person before administering ketamine. </w:t>
      </w:r>
    </w:p>
    <w:p w14:paraId="1CAD7814" w14:textId="77777777" w:rsidR="004705C6" w:rsidRPr="00FE7997" w:rsidRDefault="004705C6" w:rsidP="004705C6">
      <w:pPr>
        <w:pStyle w:val="NormalWeb"/>
        <w:rPr>
          <w:rStyle w:val="Emphasis"/>
          <w:rFonts w:eastAsiaTheme="majorEastAsia"/>
          <w:i w:val="0"/>
          <w:iCs w:val="0"/>
        </w:rPr>
      </w:pPr>
    </w:p>
    <w:p w14:paraId="45E4645E" w14:textId="77777777" w:rsidR="004705C6" w:rsidRDefault="004705C6" w:rsidP="004705C6">
      <w:pPr>
        <w:pStyle w:val="NormalWeb"/>
        <w:spacing w:before="0" w:beforeAutospacing="0"/>
        <w:rPr>
          <w:rFonts w:ascii="Arial Black" w:hAnsi="Arial Black"/>
          <w:sz w:val="28"/>
          <w:szCs w:val="28"/>
        </w:rPr>
      </w:pPr>
    </w:p>
    <w:p w14:paraId="65EB4077" w14:textId="1E7EA010" w:rsidR="004705C6" w:rsidRDefault="004705C6" w:rsidP="004705C6">
      <w:pPr>
        <w:rPr>
          <w:rFonts w:ascii="Times New Roman" w:eastAsia="Times New Roman" w:hAnsi="Times New Roman"/>
          <w:sz w:val="24"/>
          <w:szCs w:val="24"/>
        </w:rPr>
      </w:pPr>
      <w:r>
        <w:rPr>
          <w:rFonts w:ascii="Arial Black" w:hAnsi="Arial Black"/>
          <w:b/>
          <w:bCs/>
          <w:sz w:val="28"/>
          <w:szCs w:val="28"/>
        </w:rPr>
        <w:t>13-170</w:t>
      </w:r>
    </w:p>
    <w:p w14:paraId="789446A7" w14:textId="77777777" w:rsidR="004705C6" w:rsidRPr="00423774" w:rsidRDefault="004705C6" w:rsidP="004705C6">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KY: EMS NO QUAL. IMMUNITY - DEFIBRILLATOR NOT CHECKED / “ACTIVE 911” APP – HUNG JURY / RETRIAL </w:t>
      </w:r>
    </w:p>
    <w:p w14:paraId="6B677E02" w14:textId="0D957EC3" w:rsidR="004705C6" w:rsidRDefault="004705C6" w:rsidP="004705C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8, 2024, in </w:t>
      </w:r>
      <w:r w:rsidRPr="002778D0">
        <w:rPr>
          <w:rFonts w:ascii="Times New Roman" w:eastAsia="Times New Roman" w:hAnsi="Times New Roman"/>
          <w:sz w:val="24"/>
          <w:szCs w:val="24"/>
          <w:u w:val="single"/>
        </w:rPr>
        <w:t>Kristian Brock and Christopher Stone v. Colton T. Hinkel, individually and as administrator of the estate of Charles L, Hinkel, III</w:t>
      </w:r>
      <w:r>
        <w:rPr>
          <w:rFonts w:ascii="Times New Roman" w:eastAsia="Times New Roman" w:hAnsi="Times New Roman"/>
          <w:sz w:val="24"/>
          <w:szCs w:val="24"/>
        </w:rPr>
        <w:t xml:space="preserve">, the Court of Appeals of Kentucky held (3 to 0; unpublished opinion) that the trial court properly denied qualified immunity for the EMS; the case must therefore be re-tried to Jury after the first civil jury failed to reach a decision. </w:t>
      </w:r>
    </w:p>
    <w:p w14:paraId="12EE44B2" w14:textId="77777777" w:rsidR="00D83012" w:rsidRPr="004C0299" w:rsidRDefault="00D83012" w:rsidP="00D83012">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C5A10FA" w14:textId="77777777" w:rsidR="004705C6" w:rsidRDefault="004705C6" w:rsidP="004705C6">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2D1156">
        <w:rPr>
          <w:rFonts w:ascii="Times New Roman" w:hAnsi="Times New Roman"/>
          <w:sz w:val="24"/>
          <w:szCs w:val="24"/>
        </w:rPr>
        <w:t>Factual issues remain for the jury to</w:t>
      </w:r>
      <w:r>
        <w:rPr>
          <w:rFonts w:ascii="Times New Roman" w:hAnsi="Times New Roman"/>
          <w:sz w:val="24"/>
          <w:szCs w:val="24"/>
        </w:rPr>
        <w:t xml:space="preserve"> </w:t>
      </w:r>
      <w:r w:rsidRPr="002D1156">
        <w:rPr>
          <w:rFonts w:ascii="Times New Roman" w:hAnsi="Times New Roman"/>
          <w:sz w:val="24"/>
          <w:szCs w:val="24"/>
        </w:rPr>
        <w:t>determine whether they were negligent in not complying with written policy and</w:t>
      </w:r>
      <w:r>
        <w:rPr>
          <w:rFonts w:ascii="Times New Roman" w:hAnsi="Times New Roman"/>
          <w:sz w:val="24"/>
          <w:szCs w:val="24"/>
        </w:rPr>
        <w:t xml:space="preserve"> </w:t>
      </w:r>
      <w:r w:rsidRPr="002D1156">
        <w:rPr>
          <w:rFonts w:ascii="Times New Roman" w:hAnsi="Times New Roman"/>
          <w:sz w:val="24"/>
          <w:szCs w:val="24"/>
        </w:rPr>
        <w:t>procedure by using the app rather than the ambulance GPS and paper maps, or</w:t>
      </w:r>
      <w:r>
        <w:rPr>
          <w:rFonts w:ascii="Times New Roman" w:hAnsi="Times New Roman"/>
          <w:sz w:val="24"/>
          <w:szCs w:val="24"/>
        </w:rPr>
        <w:t xml:space="preserve"> </w:t>
      </w:r>
      <w:r w:rsidRPr="002D1156">
        <w:rPr>
          <w:rFonts w:ascii="Times New Roman" w:hAnsi="Times New Roman"/>
          <w:sz w:val="24"/>
          <w:szCs w:val="24"/>
        </w:rPr>
        <w:t>whether it was acceptable to use the app in light of the testimony from their</w:t>
      </w:r>
      <w:r>
        <w:rPr>
          <w:rFonts w:ascii="Times New Roman" w:hAnsi="Times New Roman"/>
          <w:sz w:val="24"/>
          <w:szCs w:val="24"/>
        </w:rPr>
        <w:t xml:space="preserve"> </w:t>
      </w:r>
      <w:r w:rsidRPr="002D1156">
        <w:rPr>
          <w:rFonts w:ascii="Times New Roman" w:hAnsi="Times New Roman"/>
          <w:sz w:val="24"/>
          <w:szCs w:val="24"/>
        </w:rPr>
        <w:t>supervisor, or whether they were negligent in not consulting the paper maps in</w:t>
      </w:r>
      <w:r>
        <w:rPr>
          <w:rFonts w:ascii="Times New Roman" w:hAnsi="Times New Roman"/>
          <w:sz w:val="24"/>
          <w:szCs w:val="24"/>
        </w:rPr>
        <w:t xml:space="preserve"> </w:t>
      </w:r>
      <w:r w:rsidRPr="002D1156">
        <w:rPr>
          <w:rFonts w:ascii="Times New Roman" w:hAnsi="Times New Roman"/>
          <w:sz w:val="24"/>
          <w:szCs w:val="24"/>
        </w:rPr>
        <w:t>conjunction with the app.</w:t>
      </w:r>
    </w:p>
    <w:p w14:paraId="264A4992" w14:textId="77777777" w:rsidR="004705C6" w:rsidRPr="004D7DFD" w:rsidRDefault="004705C6" w:rsidP="004705C6">
      <w:pPr>
        <w:pStyle w:val="NoSpacing"/>
        <w:ind w:left="720"/>
        <w:rPr>
          <w:rFonts w:ascii="Times New Roman" w:hAnsi="Times New Roman"/>
          <w:sz w:val="24"/>
          <w:szCs w:val="24"/>
        </w:rPr>
      </w:pPr>
      <w:r w:rsidRPr="004D7DFD">
        <w:rPr>
          <w:rFonts w:ascii="Times New Roman" w:hAnsi="Times New Roman"/>
          <w:sz w:val="24"/>
          <w:szCs w:val="24"/>
        </w:rPr>
        <w:t>Brock and Stone do not challenge the trial court’s holding that their</w:t>
      </w:r>
      <w:r>
        <w:rPr>
          <w:rFonts w:ascii="Times New Roman" w:hAnsi="Times New Roman"/>
          <w:sz w:val="24"/>
          <w:szCs w:val="24"/>
        </w:rPr>
        <w:t xml:space="preserve"> </w:t>
      </w:r>
      <w:r w:rsidRPr="004D7DFD">
        <w:rPr>
          <w:rFonts w:ascii="Times New Roman" w:hAnsi="Times New Roman"/>
          <w:sz w:val="24"/>
          <w:szCs w:val="24"/>
        </w:rPr>
        <w:t>duty to check the defibrillator was ministerial and consequently this ruling will not</w:t>
      </w:r>
      <w:r>
        <w:rPr>
          <w:rFonts w:ascii="Times New Roman" w:hAnsi="Times New Roman"/>
          <w:sz w:val="24"/>
          <w:szCs w:val="24"/>
        </w:rPr>
        <w:t xml:space="preserve"> </w:t>
      </w:r>
      <w:r w:rsidRPr="004D7DFD">
        <w:rPr>
          <w:rFonts w:ascii="Times New Roman" w:hAnsi="Times New Roman"/>
          <w:sz w:val="24"/>
          <w:szCs w:val="24"/>
        </w:rPr>
        <w:t>be reviewed here.</w:t>
      </w:r>
    </w:p>
    <w:p w14:paraId="0AF53E88" w14:textId="77777777" w:rsidR="004705C6" w:rsidRDefault="004705C6" w:rsidP="004705C6">
      <w:pPr>
        <w:pStyle w:val="NoSpacing"/>
        <w:rPr>
          <w:rFonts w:ascii="Times New Roman" w:hAnsi="Times New Roman"/>
          <w:sz w:val="24"/>
          <w:szCs w:val="24"/>
        </w:rPr>
      </w:pPr>
    </w:p>
    <w:p w14:paraId="7D6CAEBC" w14:textId="77777777" w:rsidR="004705C6" w:rsidRPr="004D7DFD" w:rsidRDefault="004705C6" w:rsidP="004705C6">
      <w:pPr>
        <w:pStyle w:val="NoSpacing"/>
        <w:ind w:firstLine="720"/>
        <w:rPr>
          <w:rFonts w:ascii="Times New Roman" w:hAnsi="Times New Roman"/>
          <w:sz w:val="24"/>
          <w:szCs w:val="24"/>
        </w:rPr>
      </w:pPr>
      <w:r w:rsidRPr="004D7DFD">
        <w:rPr>
          <w:rFonts w:ascii="Times New Roman" w:hAnsi="Times New Roman"/>
          <w:sz w:val="24"/>
          <w:szCs w:val="24"/>
        </w:rPr>
        <w:t>CONCLUSION</w:t>
      </w:r>
    </w:p>
    <w:p w14:paraId="4D785F80" w14:textId="77777777" w:rsidR="004705C6" w:rsidRDefault="004705C6" w:rsidP="004705C6">
      <w:pPr>
        <w:pStyle w:val="NoSpacing"/>
        <w:rPr>
          <w:rFonts w:ascii="Times New Roman" w:hAnsi="Times New Roman"/>
          <w:sz w:val="24"/>
          <w:szCs w:val="24"/>
        </w:rPr>
      </w:pPr>
    </w:p>
    <w:p w14:paraId="1DF49F6C" w14:textId="77777777" w:rsidR="004705C6" w:rsidRPr="002D1156" w:rsidRDefault="004705C6" w:rsidP="004705C6">
      <w:pPr>
        <w:pStyle w:val="NoSpacing"/>
        <w:ind w:left="720"/>
        <w:rPr>
          <w:rFonts w:ascii="Times New Roman" w:hAnsi="Times New Roman"/>
          <w:sz w:val="24"/>
          <w:szCs w:val="24"/>
        </w:rPr>
      </w:pPr>
      <w:r w:rsidRPr="004D7DFD">
        <w:rPr>
          <w:rFonts w:ascii="Times New Roman" w:hAnsi="Times New Roman"/>
          <w:sz w:val="24"/>
          <w:szCs w:val="24"/>
        </w:rPr>
        <w:t>For the foregoing reasons, the trial court’s order is affirmed insofar as</w:t>
      </w:r>
      <w:r>
        <w:rPr>
          <w:rFonts w:ascii="Times New Roman" w:hAnsi="Times New Roman"/>
          <w:sz w:val="24"/>
          <w:szCs w:val="24"/>
        </w:rPr>
        <w:t xml:space="preserve"> </w:t>
      </w:r>
      <w:r w:rsidRPr="004D7DFD">
        <w:rPr>
          <w:rFonts w:ascii="Times New Roman" w:hAnsi="Times New Roman"/>
          <w:sz w:val="24"/>
          <w:szCs w:val="24"/>
        </w:rPr>
        <w:t>Brock and Stone are not entitled to qualified official immunity for the claims that</w:t>
      </w:r>
      <w:r>
        <w:rPr>
          <w:rFonts w:ascii="Times New Roman" w:hAnsi="Times New Roman"/>
          <w:sz w:val="24"/>
          <w:szCs w:val="24"/>
        </w:rPr>
        <w:t xml:space="preserve"> </w:t>
      </w:r>
      <w:r w:rsidRPr="004D7DFD">
        <w:rPr>
          <w:rFonts w:ascii="Times New Roman" w:hAnsi="Times New Roman"/>
          <w:sz w:val="24"/>
          <w:szCs w:val="24"/>
        </w:rPr>
        <w:t>they were negligent in using the Active 911 app to navigate to Hinkel’s residence</w:t>
      </w:r>
      <w:r>
        <w:rPr>
          <w:rFonts w:ascii="Times New Roman" w:hAnsi="Times New Roman"/>
          <w:sz w:val="24"/>
          <w:szCs w:val="24"/>
        </w:rPr>
        <w:t xml:space="preserve"> </w:t>
      </w:r>
      <w:r w:rsidRPr="004D7DFD">
        <w:rPr>
          <w:rFonts w:ascii="Times New Roman" w:hAnsi="Times New Roman"/>
          <w:sz w:val="24"/>
          <w:szCs w:val="24"/>
        </w:rPr>
        <w:t xml:space="preserve">and in allegedly failing to perform the routine check of the </w:t>
      </w:r>
      <w:proofErr w:type="spellStart"/>
      <w:r w:rsidRPr="004D7DFD">
        <w:rPr>
          <w:rFonts w:ascii="Times New Roman" w:hAnsi="Times New Roman"/>
          <w:sz w:val="24"/>
          <w:szCs w:val="24"/>
        </w:rPr>
        <w:t>LifePak</w:t>
      </w:r>
      <w:proofErr w:type="spellEnd"/>
      <w:r w:rsidRPr="004D7DFD">
        <w:rPr>
          <w:rFonts w:ascii="Times New Roman" w:hAnsi="Times New Roman"/>
          <w:sz w:val="24"/>
          <w:szCs w:val="24"/>
        </w:rPr>
        <w:t xml:space="preserve"> defibrillator</w:t>
      </w:r>
      <w:r>
        <w:rPr>
          <w:rFonts w:ascii="Times New Roman" w:hAnsi="Times New Roman"/>
          <w:sz w:val="24"/>
          <w:szCs w:val="24"/>
        </w:rPr>
        <w:t xml:space="preserve">.” </w:t>
      </w:r>
      <w:hyperlink r:id="rId2112" w:history="1">
        <w:r w:rsidRPr="0090149E">
          <w:rPr>
            <w:rStyle w:val="Hyperlink"/>
            <w:rFonts w:ascii="Times New Roman" w:hAnsi="Times New Roman"/>
            <w:sz w:val="24"/>
            <w:szCs w:val="24"/>
          </w:rPr>
          <w:t>https://cases.justia.com/kentucky/court-of-appeals/2024-2022-ca-1330-mr.pdf?ts=1709910288</w:t>
        </w:r>
      </w:hyperlink>
      <w:r>
        <w:rPr>
          <w:rFonts w:ascii="Times New Roman" w:hAnsi="Times New Roman"/>
          <w:sz w:val="24"/>
          <w:szCs w:val="24"/>
        </w:rPr>
        <w:t xml:space="preserve"> </w:t>
      </w:r>
    </w:p>
    <w:p w14:paraId="4C94B79E" w14:textId="77777777" w:rsidR="004705C6" w:rsidRPr="002D1156" w:rsidRDefault="004705C6" w:rsidP="004705C6">
      <w:pPr>
        <w:pStyle w:val="NoSpacing"/>
        <w:rPr>
          <w:rFonts w:ascii="Times New Roman" w:hAnsi="Times New Roman"/>
          <w:sz w:val="24"/>
          <w:szCs w:val="24"/>
        </w:rPr>
      </w:pPr>
    </w:p>
    <w:p w14:paraId="2D291CB7" w14:textId="77777777" w:rsidR="004705C6" w:rsidRDefault="004705C6" w:rsidP="004705C6">
      <w:pPr>
        <w:pStyle w:val="NoSpacing"/>
        <w:ind w:left="720"/>
        <w:rPr>
          <w:rFonts w:ascii="Times New Roman" w:hAnsi="Times New Roman"/>
          <w:sz w:val="24"/>
          <w:szCs w:val="24"/>
        </w:rPr>
      </w:pPr>
    </w:p>
    <w:p w14:paraId="1D3F521A" w14:textId="77777777" w:rsidR="004705C6" w:rsidRPr="001C64D7" w:rsidRDefault="004705C6" w:rsidP="004705C6">
      <w:pPr>
        <w:pStyle w:val="NoSpacing"/>
        <w:rPr>
          <w:rFonts w:ascii="Times New Roman" w:hAnsi="Times New Roman"/>
          <w:b/>
          <w:bCs/>
          <w:sz w:val="24"/>
          <w:szCs w:val="24"/>
        </w:rPr>
      </w:pPr>
      <w:r w:rsidRPr="001C64D7">
        <w:rPr>
          <w:rFonts w:ascii="Times New Roman" w:hAnsi="Times New Roman"/>
          <w:b/>
          <w:bCs/>
          <w:sz w:val="24"/>
          <w:szCs w:val="24"/>
        </w:rPr>
        <w:t>Legal Lesson Learned:</w:t>
      </w:r>
      <w:r>
        <w:rPr>
          <w:rFonts w:ascii="Times New Roman" w:hAnsi="Times New Roman"/>
          <w:b/>
          <w:bCs/>
          <w:sz w:val="24"/>
          <w:szCs w:val="24"/>
        </w:rPr>
        <w:t xml:space="preserve"> Follow your </w:t>
      </w:r>
      <w:proofErr w:type="gramStart"/>
      <w:r>
        <w:rPr>
          <w:rFonts w:ascii="Times New Roman" w:hAnsi="Times New Roman"/>
          <w:b/>
          <w:bCs/>
          <w:sz w:val="24"/>
          <w:szCs w:val="24"/>
        </w:rPr>
        <w:t>equipment</w:t>
      </w:r>
      <w:proofErr w:type="gramEnd"/>
      <w:r>
        <w:rPr>
          <w:rFonts w:ascii="Times New Roman" w:hAnsi="Times New Roman"/>
          <w:b/>
          <w:bCs/>
          <w:sz w:val="24"/>
          <w:szCs w:val="24"/>
        </w:rPr>
        <w:t xml:space="preserve"> check protocols, including documentation; know your addresses or confirm with GPS or map.</w:t>
      </w:r>
    </w:p>
    <w:p w14:paraId="213D7D13" w14:textId="77777777" w:rsidR="004705C6" w:rsidRDefault="004705C6" w:rsidP="004705C6">
      <w:pPr>
        <w:pStyle w:val="NormalWeb"/>
        <w:spacing w:before="0" w:beforeAutospacing="0"/>
        <w:rPr>
          <w:color w:val="454545"/>
        </w:rPr>
      </w:pPr>
    </w:p>
    <w:p w14:paraId="542D8F54" w14:textId="77777777" w:rsidR="005677A6" w:rsidRDefault="005677A6" w:rsidP="006A02A4">
      <w:pPr>
        <w:rPr>
          <w:rFonts w:ascii="Arial Black" w:hAnsi="Arial Black"/>
          <w:b/>
          <w:bCs/>
          <w:sz w:val="28"/>
          <w:szCs w:val="28"/>
        </w:rPr>
      </w:pPr>
    </w:p>
    <w:p w14:paraId="5EF0F1F0" w14:textId="6EC69ACD" w:rsidR="00A77ADF" w:rsidRDefault="00A77ADF" w:rsidP="006A02A4">
      <w:pPr>
        <w:rPr>
          <w:rFonts w:ascii="Arial Black" w:hAnsi="Arial Black"/>
          <w:b/>
          <w:bCs/>
          <w:sz w:val="28"/>
          <w:szCs w:val="28"/>
        </w:rPr>
      </w:pPr>
      <w:r>
        <w:rPr>
          <w:rFonts w:ascii="Arial Black" w:hAnsi="Arial Black"/>
          <w:b/>
          <w:bCs/>
          <w:sz w:val="28"/>
          <w:szCs w:val="28"/>
        </w:rPr>
        <w:t>13-169</w:t>
      </w:r>
    </w:p>
    <w:p w14:paraId="0A6CE871" w14:textId="77777777" w:rsidR="006F1059" w:rsidRDefault="006F1059" w:rsidP="006F1059">
      <w:pPr>
        <w:pStyle w:val="NormalWeb"/>
        <w:rPr>
          <w:rFonts w:ascii="Arial Black" w:hAnsi="Arial Black"/>
          <w:sz w:val="28"/>
          <w:szCs w:val="28"/>
        </w:rPr>
      </w:pPr>
      <w:r>
        <w:rPr>
          <w:rFonts w:ascii="Arial Black" w:hAnsi="Arial Black"/>
          <w:sz w:val="28"/>
          <w:szCs w:val="28"/>
        </w:rPr>
        <w:t>TX: NO “STATE-CREATED DANGER” - 14-YR OLD, CEREBRAL PALSY – EMS NO “DELIBERATE INDIFFERENCE” - IMMUNITY</w:t>
      </w:r>
    </w:p>
    <w:p w14:paraId="0F1DF180" w14:textId="77777777" w:rsidR="006F1059" w:rsidRDefault="006F1059" w:rsidP="006F1059">
      <w:pPr>
        <w:pStyle w:val="NormalWeb"/>
      </w:pPr>
      <w:r>
        <w:t xml:space="preserve">On Feb. 27, 2024, in </w:t>
      </w:r>
      <w:r w:rsidRPr="00D05974">
        <w:rPr>
          <w:u w:val="single"/>
        </w:rPr>
        <w:t>Stacey Williams, on behalf of her minor grandson, J.J. v. Andrew Williams and Joe Spradlin</w:t>
      </w:r>
      <w:r>
        <w:t>, the U.S. Court of Appeals for Fifth Circuit (New Orleans) held (3 to 0) that trial court properly dismissed the lawsuit.</w:t>
      </w:r>
    </w:p>
    <w:p w14:paraId="155B6029" w14:textId="77777777" w:rsidR="00F86334" w:rsidRPr="004C0299" w:rsidRDefault="00F86334" w:rsidP="00F86334">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4C739182" w14:textId="77777777" w:rsidR="00F86334" w:rsidRDefault="00F86334" w:rsidP="006F1059">
      <w:pPr>
        <w:pStyle w:val="NoSpacing"/>
      </w:pPr>
    </w:p>
    <w:p w14:paraId="0AC662B1" w14:textId="3CBA26E9" w:rsidR="006F1059" w:rsidRPr="00B65994" w:rsidRDefault="006F1059" w:rsidP="006F1059">
      <w:pPr>
        <w:pStyle w:val="NoSpacing"/>
        <w:rPr>
          <w:rFonts w:ascii="Times New Roman" w:hAnsi="Times New Roman"/>
          <w:sz w:val="24"/>
          <w:szCs w:val="24"/>
        </w:rPr>
      </w:pPr>
      <w:r>
        <w:tab/>
      </w:r>
      <w:r w:rsidRPr="00330249">
        <w:rPr>
          <w:rFonts w:ascii="Times New Roman" w:hAnsi="Times New Roman"/>
          <w:sz w:val="24"/>
          <w:szCs w:val="24"/>
        </w:rPr>
        <w:t>The Court held:</w:t>
      </w:r>
      <w:r>
        <w:t xml:space="preserve"> “</w:t>
      </w:r>
      <w:r w:rsidRPr="00B65994">
        <w:rPr>
          <w:rFonts w:ascii="Times New Roman" w:hAnsi="Times New Roman"/>
          <w:sz w:val="24"/>
          <w:szCs w:val="24"/>
        </w:rPr>
        <w:t>The appellant recognizes that she cannot prevail under this court’s</w:t>
      </w:r>
    </w:p>
    <w:p w14:paraId="77C4D3B3" w14:textId="77777777" w:rsidR="006F1059" w:rsidRPr="00B65994" w:rsidRDefault="006F1059" w:rsidP="006F1059">
      <w:pPr>
        <w:pStyle w:val="NoSpacing"/>
        <w:ind w:left="720"/>
        <w:rPr>
          <w:rFonts w:ascii="Times New Roman" w:hAnsi="Times New Roman"/>
          <w:sz w:val="24"/>
          <w:szCs w:val="24"/>
        </w:rPr>
      </w:pPr>
      <w:r w:rsidRPr="00B65994">
        <w:rPr>
          <w:rFonts w:ascii="Times New Roman" w:hAnsi="Times New Roman"/>
          <w:sz w:val="24"/>
          <w:szCs w:val="24"/>
        </w:rPr>
        <w:t xml:space="preserve">longstanding jurisprudence whereunder we do not recognize </w:t>
      </w:r>
      <w:r>
        <w:rPr>
          <w:rFonts w:ascii="Times New Roman" w:hAnsi="Times New Roman"/>
          <w:sz w:val="24"/>
          <w:szCs w:val="24"/>
        </w:rPr>
        <w:t>‘</w:t>
      </w:r>
      <w:r w:rsidRPr="00B65994">
        <w:rPr>
          <w:rFonts w:ascii="Times New Roman" w:hAnsi="Times New Roman"/>
          <w:sz w:val="24"/>
          <w:szCs w:val="24"/>
        </w:rPr>
        <w:t>state-created</w:t>
      </w:r>
      <w:r>
        <w:rPr>
          <w:rFonts w:ascii="Times New Roman" w:hAnsi="Times New Roman"/>
          <w:sz w:val="24"/>
          <w:szCs w:val="24"/>
        </w:rPr>
        <w:t xml:space="preserve"> </w:t>
      </w:r>
      <w:r w:rsidRPr="00B65994">
        <w:rPr>
          <w:rFonts w:ascii="Times New Roman" w:hAnsi="Times New Roman"/>
          <w:sz w:val="24"/>
          <w:szCs w:val="24"/>
        </w:rPr>
        <w:t>danger</w:t>
      </w:r>
      <w:r>
        <w:rPr>
          <w:rFonts w:ascii="Times New Roman" w:hAnsi="Times New Roman"/>
          <w:sz w:val="24"/>
          <w:szCs w:val="24"/>
        </w:rPr>
        <w:t>’</w:t>
      </w:r>
      <w:r w:rsidRPr="00B65994">
        <w:rPr>
          <w:rFonts w:ascii="Times New Roman" w:hAnsi="Times New Roman"/>
          <w:sz w:val="24"/>
          <w:szCs w:val="24"/>
        </w:rPr>
        <w:t xml:space="preserve"> as a theory of liability for a claimed constitutional violation. Appellant asks the court to use this case as a vehicle to adopt, for the first time, that</w:t>
      </w:r>
      <w:r>
        <w:rPr>
          <w:rFonts w:ascii="Times New Roman" w:hAnsi="Times New Roman"/>
          <w:sz w:val="24"/>
          <w:szCs w:val="24"/>
        </w:rPr>
        <w:t xml:space="preserve"> </w:t>
      </w:r>
      <w:r w:rsidRPr="00B65994">
        <w:rPr>
          <w:rFonts w:ascii="Times New Roman" w:hAnsi="Times New Roman"/>
          <w:sz w:val="24"/>
          <w:szCs w:val="24"/>
        </w:rPr>
        <w:t>theory.</w:t>
      </w:r>
      <w:r>
        <w:rPr>
          <w:rFonts w:ascii="Times New Roman" w:hAnsi="Times New Roman"/>
          <w:sz w:val="24"/>
          <w:szCs w:val="24"/>
        </w:rPr>
        <w:t xml:space="preserve"> </w:t>
      </w:r>
      <w:r w:rsidRPr="00B65994">
        <w:rPr>
          <w:rFonts w:ascii="Times New Roman" w:hAnsi="Times New Roman"/>
          <w:sz w:val="24"/>
          <w:szCs w:val="24"/>
        </w:rPr>
        <w:t>We decline the invitation. It is a stretch to say that state actors</w:t>
      </w:r>
      <w:r>
        <w:rPr>
          <w:rFonts w:ascii="Times New Roman" w:hAnsi="Times New Roman"/>
          <w:sz w:val="24"/>
          <w:szCs w:val="24"/>
        </w:rPr>
        <w:t xml:space="preserve"> </w:t>
      </w:r>
      <w:r w:rsidRPr="00B65994">
        <w:rPr>
          <w:rFonts w:ascii="Times New Roman" w:hAnsi="Times New Roman"/>
          <w:sz w:val="24"/>
          <w:szCs w:val="24"/>
        </w:rPr>
        <w:t>“created” the danger, given that the appellant’s grandson was in medical</w:t>
      </w:r>
      <w:r>
        <w:rPr>
          <w:rFonts w:ascii="Times New Roman" w:hAnsi="Times New Roman"/>
          <w:sz w:val="24"/>
          <w:szCs w:val="24"/>
        </w:rPr>
        <w:t xml:space="preserve"> </w:t>
      </w:r>
      <w:r w:rsidRPr="00B65994">
        <w:rPr>
          <w:rFonts w:ascii="Times New Roman" w:hAnsi="Times New Roman"/>
          <w:sz w:val="24"/>
          <w:szCs w:val="24"/>
        </w:rPr>
        <w:t>distress, not caused by them, when they arrived. As alleged, any failure to</w:t>
      </w:r>
      <w:r>
        <w:rPr>
          <w:rFonts w:ascii="Times New Roman" w:hAnsi="Times New Roman"/>
          <w:sz w:val="24"/>
          <w:szCs w:val="24"/>
        </w:rPr>
        <w:t xml:space="preserve"> </w:t>
      </w:r>
      <w:r w:rsidRPr="00B65994">
        <w:rPr>
          <w:rFonts w:ascii="Times New Roman" w:hAnsi="Times New Roman"/>
          <w:sz w:val="24"/>
          <w:szCs w:val="24"/>
        </w:rPr>
        <w:t>act sounds more in medical malpractice or negligence than in deliberate</w:t>
      </w:r>
    </w:p>
    <w:p w14:paraId="54FA6B18" w14:textId="77777777" w:rsidR="006F1059" w:rsidRPr="00127FA3" w:rsidRDefault="006F1059" w:rsidP="006F1059">
      <w:pPr>
        <w:pStyle w:val="NoSpacing"/>
        <w:ind w:firstLine="720"/>
        <w:rPr>
          <w:rFonts w:ascii="Times New Roman" w:hAnsi="Times New Roman"/>
          <w:sz w:val="24"/>
          <w:szCs w:val="24"/>
        </w:rPr>
      </w:pPr>
      <w:r w:rsidRPr="00B65994">
        <w:rPr>
          <w:rFonts w:ascii="Times New Roman" w:hAnsi="Times New Roman"/>
          <w:sz w:val="24"/>
          <w:szCs w:val="24"/>
        </w:rPr>
        <w:t>indifference.</w:t>
      </w:r>
      <w:r>
        <w:rPr>
          <w:rFonts w:ascii="Times New Roman" w:hAnsi="Times New Roman"/>
          <w:sz w:val="24"/>
          <w:szCs w:val="24"/>
        </w:rPr>
        <w:t xml:space="preserve">” </w:t>
      </w:r>
      <w:hyperlink r:id="rId2113" w:history="1">
        <w:r w:rsidRPr="00E64ED3">
          <w:rPr>
            <w:rStyle w:val="Hyperlink"/>
            <w:rFonts w:ascii="Times New Roman" w:hAnsi="Times New Roman"/>
            <w:sz w:val="24"/>
            <w:szCs w:val="24"/>
          </w:rPr>
          <w:t>https://www.ca5.uscourts.gov/opinions/unpub/23/23-20375.0.pdf</w:t>
        </w:r>
      </w:hyperlink>
      <w:r>
        <w:rPr>
          <w:rFonts w:ascii="Times New Roman" w:hAnsi="Times New Roman"/>
          <w:sz w:val="24"/>
          <w:szCs w:val="24"/>
        </w:rPr>
        <w:t xml:space="preserve"> </w:t>
      </w:r>
    </w:p>
    <w:p w14:paraId="33485358" w14:textId="77777777" w:rsidR="006F1059" w:rsidRDefault="006F1059" w:rsidP="006F1059">
      <w:pPr>
        <w:pStyle w:val="NoSpacing"/>
        <w:ind w:firstLine="720"/>
        <w:rPr>
          <w:rFonts w:ascii="Times New Roman" w:hAnsi="Times New Roman"/>
          <w:sz w:val="24"/>
          <w:szCs w:val="24"/>
        </w:rPr>
      </w:pPr>
    </w:p>
    <w:p w14:paraId="78B226D7" w14:textId="77777777" w:rsidR="006F1059" w:rsidRPr="001F3724" w:rsidRDefault="006F1059" w:rsidP="006F1059">
      <w:pPr>
        <w:pStyle w:val="NoSpacing"/>
        <w:rPr>
          <w:rFonts w:ascii="Times New Roman" w:hAnsi="Times New Roman"/>
          <w:b/>
          <w:bCs/>
          <w:sz w:val="24"/>
          <w:szCs w:val="24"/>
        </w:rPr>
      </w:pPr>
      <w:r w:rsidRPr="001F3724">
        <w:rPr>
          <w:rFonts w:ascii="Times New Roman" w:hAnsi="Times New Roman"/>
          <w:b/>
          <w:bCs/>
          <w:sz w:val="24"/>
          <w:szCs w:val="24"/>
        </w:rPr>
        <w:t>Legal Lesson Learned:</w:t>
      </w:r>
      <w:r>
        <w:rPr>
          <w:rFonts w:ascii="Times New Roman" w:hAnsi="Times New Roman"/>
          <w:b/>
          <w:bCs/>
          <w:sz w:val="24"/>
          <w:szCs w:val="24"/>
        </w:rPr>
        <w:t xml:space="preserve"> There was no proof of deliberate indifference; medics therefore enjoy qualified immunity. </w:t>
      </w:r>
    </w:p>
    <w:p w14:paraId="6588F812" w14:textId="77777777" w:rsidR="006F1059" w:rsidRDefault="006F1059" w:rsidP="006F1059">
      <w:pPr>
        <w:pStyle w:val="NoSpacing"/>
        <w:rPr>
          <w:sz w:val="24"/>
          <w:szCs w:val="24"/>
        </w:rPr>
      </w:pPr>
    </w:p>
    <w:p w14:paraId="52A1AF04" w14:textId="77777777" w:rsidR="006F1059" w:rsidRPr="00486412" w:rsidRDefault="006F1059" w:rsidP="006F1059">
      <w:pPr>
        <w:pStyle w:val="NoSpacing"/>
        <w:ind w:left="720"/>
        <w:rPr>
          <w:rFonts w:ascii="Times New Roman" w:hAnsi="Times New Roman"/>
          <w:sz w:val="24"/>
          <w:szCs w:val="24"/>
        </w:rPr>
      </w:pPr>
      <w:r w:rsidRPr="00486412">
        <w:rPr>
          <w:rFonts w:ascii="Times New Roman" w:hAnsi="Times New Roman"/>
          <w:sz w:val="24"/>
          <w:szCs w:val="24"/>
        </w:rPr>
        <w:t xml:space="preserve">Note: See allegations by plaintiff’s law firm.  “Attorney Ben Crump Files Personal Injury Lawsuit Against Paramedics Who Refused to Provide Emergency Care to Disabled Teen.” </w:t>
      </w:r>
      <w:hyperlink r:id="rId2114" w:history="1">
        <w:r w:rsidRPr="00486412">
          <w:rPr>
            <w:rStyle w:val="Hyperlink"/>
            <w:rFonts w:ascii="Times New Roman" w:hAnsi="Times New Roman"/>
            <w:sz w:val="24"/>
            <w:szCs w:val="24"/>
          </w:rPr>
          <w:t>https://bencrump.com/press/attorney-ben-crump-files-personal-injury-lawsuit-against-paramedics-who-refused-to-provide-emergency-care-to-disabled-teen/</w:t>
        </w:r>
      </w:hyperlink>
    </w:p>
    <w:p w14:paraId="53269796" w14:textId="77777777" w:rsidR="00A77ADF" w:rsidRDefault="00A77ADF" w:rsidP="006A02A4">
      <w:pPr>
        <w:rPr>
          <w:rFonts w:ascii="Arial Black" w:hAnsi="Arial Black"/>
          <w:b/>
          <w:bCs/>
          <w:sz w:val="28"/>
          <w:szCs w:val="28"/>
        </w:rPr>
      </w:pPr>
    </w:p>
    <w:p w14:paraId="78BE8F22" w14:textId="77777777" w:rsidR="00A77ADF" w:rsidRDefault="00A77ADF" w:rsidP="006A02A4">
      <w:pPr>
        <w:rPr>
          <w:rFonts w:ascii="Arial Black" w:hAnsi="Arial Black"/>
          <w:b/>
          <w:bCs/>
          <w:sz w:val="28"/>
          <w:szCs w:val="28"/>
        </w:rPr>
      </w:pPr>
    </w:p>
    <w:p w14:paraId="0A582832" w14:textId="5C7E6A3D" w:rsidR="00741889" w:rsidRDefault="00741889" w:rsidP="006A02A4">
      <w:pPr>
        <w:rPr>
          <w:rFonts w:ascii="Arial Black" w:hAnsi="Arial Black"/>
          <w:b/>
          <w:bCs/>
          <w:sz w:val="28"/>
          <w:szCs w:val="28"/>
        </w:rPr>
      </w:pPr>
      <w:r>
        <w:rPr>
          <w:rFonts w:ascii="Arial Black" w:hAnsi="Arial Black"/>
          <w:b/>
          <w:bCs/>
          <w:sz w:val="28"/>
          <w:szCs w:val="28"/>
        </w:rPr>
        <w:t>13-168</w:t>
      </w:r>
    </w:p>
    <w:p w14:paraId="0F38657E" w14:textId="31E7800A" w:rsidR="00741889" w:rsidRDefault="00741889" w:rsidP="00741889">
      <w:pPr>
        <w:pStyle w:val="NoSpacing"/>
        <w:rPr>
          <w:rFonts w:ascii="Arial Black" w:hAnsi="Arial Black"/>
          <w:sz w:val="28"/>
          <w:szCs w:val="28"/>
        </w:rPr>
      </w:pPr>
      <w:r>
        <w:rPr>
          <w:rFonts w:ascii="Arial Black" w:hAnsi="Arial Black"/>
          <w:sz w:val="28"/>
          <w:szCs w:val="28"/>
        </w:rPr>
        <w:t xml:space="preserve">ME: PERSON DEAD OVERDOSE UNDER SINK –  RESIDENT REFUSED TALK TO MEDICS – </w:t>
      </w:r>
      <w:r w:rsidR="003E7DB8">
        <w:rPr>
          <w:rFonts w:ascii="Arial Black" w:hAnsi="Arial Black"/>
          <w:sz w:val="28"/>
          <w:szCs w:val="28"/>
        </w:rPr>
        <w:t xml:space="preserve">PROSECUTOR </w:t>
      </w:r>
      <w:r>
        <w:rPr>
          <w:rFonts w:ascii="Arial Black" w:hAnsi="Arial Black"/>
          <w:sz w:val="28"/>
          <w:szCs w:val="28"/>
        </w:rPr>
        <w:t>TOLD JURY</w:t>
      </w:r>
      <w:r w:rsidR="00E9297E">
        <w:rPr>
          <w:rFonts w:ascii="Arial Black" w:hAnsi="Arial Black"/>
          <w:sz w:val="28"/>
          <w:szCs w:val="28"/>
        </w:rPr>
        <w:t xml:space="preserve"> </w:t>
      </w:r>
    </w:p>
    <w:p w14:paraId="019A5C82" w14:textId="77777777" w:rsidR="00741889" w:rsidRDefault="00741889" w:rsidP="00741889">
      <w:pPr>
        <w:pStyle w:val="NoSpacing"/>
        <w:rPr>
          <w:rFonts w:ascii="Times New Roman" w:hAnsi="Times New Roman"/>
          <w:sz w:val="24"/>
          <w:szCs w:val="24"/>
        </w:rPr>
      </w:pPr>
    </w:p>
    <w:p w14:paraId="19DB9084" w14:textId="77777777" w:rsidR="00741889" w:rsidRDefault="00741889" w:rsidP="00741889">
      <w:pPr>
        <w:pStyle w:val="NoSpacing"/>
        <w:rPr>
          <w:rFonts w:ascii="Times New Roman" w:hAnsi="Times New Roman"/>
          <w:sz w:val="24"/>
          <w:szCs w:val="24"/>
        </w:rPr>
      </w:pPr>
      <w:r>
        <w:rPr>
          <w:rFonts w:ascii="Times New Roman" w:hAnsi="Times New Roman"/>
          <w:sz w:val="24"/>
          <w:szCs w:val="24"/>
        </w:rPr>
        <w:t xml:space="preserve">On Jan. 30, 2024, in </w:t>
      </w:r>
      <w:r w:rsidRPr="008149F4">
        <w:rPr>
          <w:rFonts w:ascii="Times New Roman" w:hAnsi="Times New Roman"/>
          <w:sz w:val="24"/>
          <w:szCs w:val="24"/>
          <w:u w:val="single"/>
        </w:rPr>
        <w:t>State of Maine v. Ralph A. Trip, Jr</w:t>
      </w:r>
      <w:r>
        <w:rPr>
          <w:rFonts w:ascii="Times New Roman" w:hAnsi="Times New Roman"/>
          <w:sz w:val="24"/>
          <w:szCs w:val="24"/>
        </w:rPr>
        <w:t xml:space="preserve">., the Maine Supreme Judicial Court held (7 to 0) that trial court judge properly allowed jury to hear testimony of the paramedics from Bangor Fire Department that the defendant along with his wife called 911 on April 17, 2021, and they both refused to tell the medics anything about the person dead under the sink in their apartment.  The jury convicted the defendant of </w:t>
      </w:r>
      <w:r w:rsidRPr="00E67AD9">
        <w:rPr>
          <w:rFonts w:ascii="Times New Roman" w:hAnsi="Times New Roman"/>
          <w:sz w:val="24"/>
          <w:szCs w:val="24"/>
        </w:rPr>
        <w:t>aggravated trafficking of a scheduled drug that in fact caused the death of a</w:t>
      </w:r>
      <w:r>
        <w:rPr>
          <w:rFonts w:ascii="Times New Roman" w:hAnsi="Times New Roman"/>
          <w:sz w:val="24"/>
          <w:szCs w:val="24"/>
        </w:rPr>
        <w:t xml:space="preserve"> </w:t>
      </w:r>
      <w:r w:rsidRPr="00E67AD9">
        <w:rPr>
          <w:rFonts w:ascii="Times New Roman" w:hAnsi="Times New Roman"/>
          <w:sz w:val="24"/>
          <w:szCs w:val="24"/>
        </w:rPr>
        <w:t>person</w:t>
      </w:r>
      <w:r>
        <w:rPr>
          <w:rFonts w:ascii="Times New Roman" w:hAnsi="Times New Roman"/>
          <w:sz w:val="24"/>
          <w:szCs w:val="24"/>
        </w:rPr>
        <w:t xml:space="preserve">, </w:t>
      </w:r>
      <w:r w:rsidRPr="00E67AD9">
        <w:rPr>
          <w:rFonts w:ascii="Times New Roman" w:hAnsi="Times New Roman"/>
          <w:sz w:val="24"/>
          <w:szCs w:val="24"/>
        </w:rPr>
        <w:t xml:space="preserve"> three counts of</w:t>
      </w:r>
      <w:r>
        <w:rPr>
          <w:rFonts w:ascii="Times New Roman" w:hAnsi="Times New Roman"/>
          <w:sz w:val="24"/>
          <w:szCs w:val="24"/>
        </w:rPr>
        <w:t xml:space="preserve"> </w:t>
      </w:r>
      <w:r w:rsidRPr="00E67AD9">
        <w:rPr>
          <w:rFonts w:ascii="Times New Roman" w:hAnsi="Times New Roman"/>
          <w:sz w:val="24"/>
          <w:szCs w:val="24"/>
        </w:rPr>
        <w:t>aggravated trafficking of scheduled drugs: fentanyl powder, cocaine, and</w:t>
      </w:r>
      <w:r>
        <w:rPr>
          <w:rFonts w:ascii="Times New Roman" w:hAnsi="Times New Roman"/>
          <w:sz w:val="24"/>
          <w:szCs w:val="24"/>
        </w:rPr>
        <w:t xml:space="preserve"> m</w:t>
      </w:r>
      <w:r w:rsidRPr="00E67AD9">
        <w:rPr>
          <w:rFonts w:ascii="Times New Roman" w:hAnsi="Times New Roman"/>
          <w:sz w:val="24"/>
          <w:szCs w:val="24"/>
        </w:rPr>
        <w:t>ethamphetamine</w:t>
      </w:r>
      <w:r>
        <w:rPr>
          <w:rFonts w:ascii="Times New Roman" w:hAnsi="Times New Roman"/>
          <w:sz w:val="24"/>
          <w:szCs w:val="24"/>
        </w:rPr>
        <w:t xml:space="preserve">, </w:t>
      </w:r>
      <w:r w:rsidRPr="00E67AD9">
        <w:rPr>
          <w:rFonts w:ascii="Times New Roman" w:hAnsi="Times New Roman"/>
          <w:sz w:val="24"/>
          <w:szCs w:val="24"/>
        </w:rPr>
        <w:t>one</w:t>
      </w:r>
      <w:r>
        <w:rPr>
          <w:rFonts w:ascii="Times New Roman" w:hAnsi="Times New Roman"/>
          <w:sz w:val="24"/>
          <w:szCs w:val="24"/>
        </w:rPr>
        <w:t xml:space="preserve"> </w:t>
      </w:r>
      <w:r w:rsidRPr="00E67AD9">
        <w:rPr>
          <w:rFonts w:ascii="Times New Roman" w:hAnsi="Times New Roman"/>
          <w:sz w:val="24"/>
          <w:szCs w:val="24"/>
        </w:rPr>
        <w:t>count of possession of a firearm by a prohibited person</w:t>
      </w:r>
      <w:r w:rsidRPr="008734D5">
        <w:rPr>
          <w:rFonts w:ascii="Times New Roman" w:hAnsi="Times New Roman"/>
          <w:sz w:val="24"/>
          <w:szCs w:val="24"/>
        </w:rPr>
        <w:t>); and two counts of criminal forfeiture</w:t>
      </w:r>
      <w:r>
        <w:rPr>
          <w:rFonts w:ascii="Times New Roman" w:hAnsi="Times New Roman"/>
          <w:sz w:val="24"/>
          <w:szCs w:val="24"/>
        </w:rPr>
        <w:t xml:space="preserve">. </w:t>
      </w:r>
    </w:p>
    <w:p w14:paraId="1743CEA8" w14:textId="77777777" w:rsidR="00741889" w:rsidRDefault="00741889" w:rsidP="00741889">
      <w:pPr>
        <w:pStyle w:val="NoSpacing"/>
        <w:rPr>
          <w:rFonts w:ascii="Times New Roman" w:hAnsi="Times New Roman"/>
          <w:sz w:val="24"/>
          <w:szCs w:val="24"/>
        </w:rPr>
      </w:pPr>
    </w:p>
    <w:p w14:paraId="1F5BB293" w14:textId="77777777" w:rsidR="00741889" w:rsidRDefault="00741889" w:rsidP="00741889">
      <w:pPr>
        <w:pStyle w:val="NoSpacing"/>
        <w:ind w:left="720"/>
        <w:rPr>
          <w:rFonts w:ascii="Times New Roman" w:hAnsi="Times New Roman"/>
          <w:sz w:val="24"/>
          <w:szCs w:val="24"/>
        </w:rPr>
      </w:pPr>
      <w:r>
        <w:rPr>
          <w:rFonts w:ascii="Times New Roman" w:hAnsi="Times New Roman"/>
          <w:sz w:val="24"/>
          <w:szCs w:val="24"/>
        </w:rPr>
        <w:t>“</w:t>
      </w:r>
      <w:r w:rsidRPr="00866A39">
        <w:rPr>
          <w:rFonts w:ascii="Times New Roman" w:hAnsi="Times New Roman"/>
          <w:sz w:val="24"/>
          <w:szCs w:val="24"/>
        </w:rPr>
        <w:t>Even if the right to remain silent extends to a paramedic’s</w:t>
      </w:r>
      <w:r>
        <w:rPr>
          <w:rFonts w:ascii="Times New Roman" w:hAnsi="Times New Roman"/>
          <w:sz w:val="24"/>
          <w:szCs w:val="24"/>
        </w:rPr>
        <w:t xml:space="preserve"> </w:t>
      </w:r>
      <w:r w:rsidRPr="003509D7">
        <w:rPr>
          <w:rFonts w:ascii="Times New Roman" w:hAnsi="Times New Roman"/>
          <w:sz w:val="24"/>
          <w:szCs w:val="24"/>
        </w:rPr>
        <w:t>questioning, we conclude that Tripp failed to demonstrate that he invoked his</w:t>
      </w:r>
      <w:r>
        <w:rPr>
          <w:rFonts w:ascii="Times New Roman" w:hAnsi="Times New Roman"/>
          <w:sz w:val="24"/>
          <w:szCs w:val="24"/>
        </w:rPr>
        <w:t xml:space="preserve"> </w:t>
      </w:r>
      <w:r w:rsidRPr="003509D7">
        <w:rPr>
          <w:rFonts w:ascii="Times New Roman" w:hAnsi="Times New Roman"/>
          <w:sz w:val="24"/>
          <w:szCs w:val="24"/>
        </w:rPr>
        <w:t>right to remain silent in this non-custodial context.</w:t>
      </w:r>
    </w:p>
    <w:p w14:paraId="1BDE81B1" w14:textId="77777777" w:rsidR="00741889" w:rsidRDefault="00741889" w:rsidP="00741889">
      <w:pPr>
        <w:pStyle w:val="NoSpacing"/>
        <w:rPr>
          <w:rFonts w:ascii="Times New Roman" w:hAnsi="Times New Roman"/>
          <w:sz w:val="24"/>
          <w:szCs w:val="24"/>
        </w:rPr>
      </w:pPr>
    </w:p>
    <w:p w14:paraId="42221BAF" w14:textId="77777777" w:rsidR="00741889" w:rsidRDefault="00741889" w:rsidP="00741889">
      <w:pPr>
        <w:pStyle w:val="NoSpacing"/>
        <w:ind w:firstLine="720"/>
        <w:rPr>
          <w:rFonts w:ascii="Times New Roman" w:hAnsi="Times New Roman"/>
          <w:sz w:val="24"/>
          <w:szCs w:val="24"/>
        </w:rPr>
      </w:pPr>
      <w:r>
        <w:rPr>
          <w:rFonts w:ascii="Times New Roman" w:hAnsi="Times New Roman"/>
          <w:sz w:val="24"/>
          <w:szCs w:val="24"/>
        </w:rPr>
        <w:t>***</w:t>
      </w:r>
    </w:p>
    <w:p w14:paraId="318CE97F" w14:textId="77777777" w:rsidR="00741889" w:rsidRDefault="00741889" w:rsidP="00741889">
      <w:pPr>
        <w:pStyle w:val="NoSpacing"/>
        <w:ind w:left="720"/>
        <w:rPr>
          <w:rFonts w:ascii="Times New Roman" w:hAnsi="Times New Roman"/>
          <w:sz w:val="24"/>
          <w:szCs w:val="24"/>
        </w:rPr>
      </w:pPr>
      <w:r w:rsidRPr="00174E38">
        <w:rPr>
          <w:rFonts w:ascii="Times New Roman" w:hAnsi="Times New Roman"/>
          <w:sz w:val="24"/>
          <w:szCs w:val="24"/>
        </w:rPr>
        <w:t>Here, after Tripp let the paramedics</w:t>
      </w:r>
      <w:r>
        <w:rPr>
          <w:rFonts w:ascii="Times New Roman" w:hAnsi="Times New Roman"/>
          <w:sz w:val="24"/>
          <w:szCs w:val="24"/>
        </w:rPr>
        <w:t xml:space="preserve"> </w:t>
      </w:r>
      <w:r w:rsidRPr="00174E38">
        <w:rPr>
          <w:rFonts w:ascii="Times New Roman" w:hAnsi="Times New Roman"/>
          <w:sz w:val="24"/>
          <w:szCs w:val="24"/>
        </w:rPr>
        <w:t>into the rooming house and directed them upstairs to the unconscious person,</w:t>
      </w:r>
      <w:r>
        <w:rPr>
          <w:rFonts w:ascii="Times New Roman" w:hAnsi="Times New Roman"/>
          <w:sz w:val="24"/>
          <w:szCs w:val="24"/>
        </w:rPr>
        <w:t xml:space="preserve"> </w:t>
      </w:r>
      <w:r w:rsidRPr="00174E38">
        <w:rPr>
          <w:rFonts w:ascii="Times New Roman" w:hAnsi="Times New Roman"/>
          <w:sz w:val="24"/>
          <w:szCs w:val="24"/>
        </w:rPr>
        <w:t>he went into his room, denied knowing the person, and refused to answer the</w:t>
      </w:r>
      <w:r>
        <w:rPr>
          <w:rFonts w:ascii="Times New Roman" w:hAnsi="Times New Roman"/>
          <w:sz w:val="24"/>
          <w:szCs w:val="24"/>
        </w:rPr>
        <w:t xml:space="preserve"> </w:t>
      </w:r>
      <w:r w:rsidRPr="00174E38">
        <w:rPr>
          <w:rFonts w:ascii="Times New Roman" w:hAnsi="Times New Roman"/>
          <w:sz w:val="24"/>
          <w:szCs w:val="24"/>
        </w:rPr>
        <w:t>paramedic’s questions about the person. He was not in custody, and beyond</w:t>
      </w:r>
      <w:r>
        <w:rPr>
          <w:rFonts w:ascii="Times New Roman" w:hAnsi="Times New Roman"/>
          <w:sz w:val="24"/>
          <w:szCs w:val="24"/>
        </w:rPr>
        <w:t xml:space="preserve"> </w:t>
      </w:r>
      <w:r w:rsidRPr="00174E38">
        <w:rPr>
          <w:rFonts w:ascii="Times New Roman" w:hAnsi="Times New Roman"/>
          <w:sz w:val="24"/>
          <w:szCs w:val="24"/>
        </w:rPr>
        <w:t>remaining silent, Tripp did not expressly state nor otherwise manifest his</w:t>
      </w:r>
      <w:r>
        <w:rPr>
          <w:rFonts w:ascii="Times New Roman" w:hAnsi="Times New Roman"/>
          <w:sz w:val="24"/>
          <w:szCs w:val="24"/>
        </w:rPr>
        <w:t xml:space="preserve"> </w:t>
      </w:r>
      <w:r w:rsidRPr="009D716B">
        <w:rPr>
          <w:rFonts w:ascii="Times New Roman" w:hAnsi="Times New Roman"/>
          <w:sz w:val="24"/>
          <w:szCs w:val="24"/>
        </w:rPr>
        <w:t>intention to exercise the constitutional right against self-incrimination. These</w:t>
      </w:r>
      <w:r>
        <w:rPr>
          <w:rFonts w:ascii="Times New Roman" w:hAnsi="Times New Roman"/>
          <w:sz w:val="24"/>
          <w:szCs w:val="24"/>
        </w:rPr>
        <w:t xml:space="preserve"> </w:t>
      </w:r>
      <w:r w:rsidRPr="009D716B">
        <w:rPr>
          <w:rFonts w:ascii="Times New Roman" w:hAnsi="Times New Roman"/>
          <w:sz w:val="24"/>
          <w:szCs w:val="24"/>
        </w:rPr>
        <w:t>facts are not sufficient to demonstrate Tripp’s invocation of his Fifth</w:t>
      </w:r>
      <w:r>
        <w:rPr>
          <w:rFonts w:ascii="Times New Roman" w:hAnsi="Times New Roman"/>
          <w:sz w:val="24"/>
          <w:szCs w:val="24"/>
        </w:rPr>
        <w:t xml:space="preserve"> </w:t>
      </w:r>
      <w:r w:rsidRPr="009D716B">
        <w:rPr>
          <w:rFonts w:ascii="Times New Roman" w:hAnsi="Times New Roman"/>
          <w:sz w:val="24"/>
          <w:szCs w:val="24"/>
        </w:rPr>
        <w:t>Amendment right against self-incrimination.</w:t>
      </w:r>
      <w:r>
        <w:rPr>
          <w:rFonts w:ascii="Times New Roman" w:hAnsi="Times New Roman"/>
          <w:sz w:val="24"/>
          <w:szCs w:val="24"/>
        </w:rPr>
        <w:t xml:space="preserve">” </w:t>
      </w:r>
      <w:hyperlink r:id="rId2115" w:history="1">
        <w:r w:rsidRPr="00D10854">
          <w:rPr>
            <w:rStyle w:val="Hyperlink"/>
            <w:rFonts w:ascii="Times New Roman" w:hAnsi="Times New Roman"/>
            <w:sz w:val="24"/>
            <w:szCs w:val="24"/>
          </w:rPr>
          <w:t>https://www.courts.maine.gov/courts/sjc/lawcourt/2024/24me012.pdf</w:t>
        </w:r>
      </w:hyperlink>
      <w:r>
        <w:rPr>
          <w:rFonts w:ascii="Times New Roman" w:hAnsi="Times New Roman"/>
          <w:sz w:val="24"/>
          <w:szCs w:val="24"/>
        </w:rPr>
        <w:t xml:space="preserve"> </w:t>
      </w:r>
    </w:p>
    <w:p w14:paraId="18A50EE0" w14:textId="77777777" w:rsidR="00741889" w:rsidRDefault="00741889" w:rsidP="006A02A4">
      <w:pPr>
        <w:rPr>
          <w:rFonts w:ascii="Arial Black" w:hAnsi="Arial Black"/>
          <w:b/>
          <w:bCs/>
          <w:sz w:val="28"/>
          <w:szCs w:val="28"/>
        </w:rPr>
      </w:pPr>
    </w:p>
    <w:p w14:paraId="7E5707F3" w14:textId="77777777" w:rsidR="003E7DB8" w:rsidRDefault="003E7DB8" w:rsidP="003E7DB8">
      <w:pPr>
        <w:pStyle w:val="NoSpacing"/>
        <w:rPr>
          <w:rFonts w:ascii="Times New Roman" w:hAnsi="Times New Roman"/>
          <w:b/>
          <w:bCs/>
          <w:sz w:val="24"/>
          <w:szCs w:val="24"/>
        </w:rPr>
      </w:pPr>
      <w:r w:rsidRPr="006D521E">
        <w:rPr>
          <w:rFonts w:ascii="Times New Roman" w:hAnsi="Times New Roman"/>
          <w:b/>
          <w:bCs/>
          <w:sz w:val="24"/>
          <w:szCs w:val="24"/>
        </w:rPr>
        <w:t xml:space="preserve">Legal Lesson Learned: </w:t>
      </w:r>
      <w:r>
        <w:rPr>
          <w:rFonts w:ascii="Times New Roman" w:hAnsi="Times New Roman"/>
          <w:b/>
          <w:bCs/>
          <w:sz w:val="24"/>
          <w:szCs w:val="24"/>
        </w:rPr>
        <w:t xml:space="preserve">The defendant was not in custody, so there was no need to warn him of his Miranda rights. </w:t>
      </w:r>
    </w:p>
    <w:p w14:paraId="6BD8F780" w14:textId="77777777" w:rsidR="003E7DB8" w:rsidRDefault="003E7DB8" w:rsidP="003E7DB8">
      <w:pPr>
        <w:pStyle w:val="NoSpacing"/>
        <w:rPr>
          <w:rFonts w:ascii="Times New Roman" w:hAnsi="Times New Roman"/>
          <w:b/>
          <w:bCs/>
          <w:sz w:val="24"/>
          <w:szCs w:val="24"/>
        </w:rPr>
      </w:pPr>
    </w:p>
    <w:p w14:paraId="7D9BDE03" w14:textId="77777777" w:rsidR="003E7DB8" w:rsidRDefault="003E7DB8" w:rsidP="003E7DB8">
      <w:pPr>
        <w:pStyle w:val="NoSpacing"/>
        <w:ind w:left="720"/>
        <w:rPr>
          <w:rFonts w:ascii="Times New Roman" w:hAnsi="Times New Roman"/>
          <w:sz w:val="24"/>
          <w:szCs w:val="24"/>
        </w:rPr>
      </w:pPr>
      <w:r w:rsidRPr="005134A8">
        <w:rPr>
          <w:rFonts w:ascii="Times New Roman" w:hAnsi="Times New Roman"/>
          <w:sz w:val="24"/>
          <w:szCs w:val="24"/>
        </w:rPr>
        <w:t xml:space="preserve">Note: </w:t>
      </w:r>
      <w:r>
        <w:rPr>
          <w:rFonts w:ascii="Times New Roman" w:hAnsi="Times New Roman"/>
          <w:sz w:val="24"/>
          <w:szCs w:val="24"/>
        </w:rPr>
        <w:t xml:space="preserve">Many states, including Maine, have adopted laws to protect individual using drugs to call 911 to get help for overdose of another.  The Maine Supreme Court in this case agreed with trial court judge – the immunity statute does not protect a drug dealer who calls 911. </w:t>
      </w:r>
    </w:p>
    <w:p w14:paraId="5FA10450" w14:textId="77777777" w:rsidR="003E7DB8" w:rsidRDefault="003E7DB8" w:rsidP="003E7DB8">
      <w:pPr>
        <w:pStyle w:val="NoSpacing"/>
        <w:ind w:left="720"/>
        <w:rPr>
          <w:rFonts w:ascii="Times New Roman" w:hAnsi="Times New Roman"/>
          <w:sz w:val="24"/>
          <w:szCs w:val="24"/>
        </w:rPr>
      </w:pPr>
    </w:p>
    <w:p w14:paraId="3F2F4834" w14:textId="77777777" w:rsidR="003E7DB8" w:rsidRPr="005134A8" w:rsidRDefault="003E7DB8" w:rsidP="003E7DB8">
      <w:pPr>
        <w:pStyle w:val="NoSpacing"/>
        <w:ind w:left="720"/>
        <w:rPr>
          <w:rFonts w:ascii="Times New Roman" w:hAnsi="Times New Roman"/>
          <w:sz w:val="24"/>
          <w:szCs w:val="24"/>
        </w:rPr>
      </w:pPr>
      <w:r>
        <w:rPr>
          <w:rFonts w:ascii="Times New Roman" w:hAnsi="Times New Roman"/>
          <w:sz w:val="24"/>
          <w:szCs w:val="24"/>
        </w:rPr>
        <w:t>“</w:t>
      </w:r>
      <w:r w:rsidRPr="004C6F13">
        <w:rPr>
          <w:rFonts w:ascii="Times New Roman" w:hAnsi="Times New Roman"/>
          <w:sz w:val="24"/>
          <w:szCs w:val="24"/>
        </w:rPr>
        <w:t>If the accused, in good faith, either sought</w:t>
      </w:r>
      <w:r>
        <w:rPr>
          <w:rFonts w:ascii="Times New Roman" w:hAnsi="Times New Roman"/>
          <w:sz w:val="24"/>
          <w:szCs w:val="24"/>
        </w:rPr>
        <w:t xml:space="preserve"> </w:t>
      </w:r>
      <w:r w:rsidRPr="004C6F13">
        <w:rPr>
          <w:rFonts w:ascii="Times New Roman" w:hAnsi="Times New Roman"/>
          <w:sz w:val="24"/>
          <w:szCs w:val="24"/>
        </w:rPr>
        <w:t>medical assistance or administered naloxone for another person while that</w:t>
      </w:r>
      <w:r>
        <w:rPr>
          <w:rFonts w:ascii="Times New Roman" w:hAnsi="Times New Roman"/>
          <w:sz w:val="24"/>
          <w:szCs w:val="24"/>
        </w:rPr>
        <w:t xml:space="preserve"> </w:t>
      </w:r>
      <w:r w:rsidRPr="004C6F13">
        <w:rPr>
          <w:rFonts w:ascii="Times New Roman" w:hAnsi="Times New Roman"/>
          <w:sz w:val="24"/>
          <w:szCs w:val="24"/>
        </w:rPr>
        <w:t>person was experiencing a drug-related overdose, the accused can seek</w:t>
      </w:r>
      <w:r>
        <w:rPr>
          <w:rFonts w:ascii="Times New Roman" w:hAnsi="Times New Roman"/>
          <w:sz w:val="24"/>
          <w:szCs w:val="24"/>
        </w:rPr>
        <w:t xml:space="preserve"> </w:t>
      </w:r>
      <w:r w:rsidRPr="004C6F13">
        <w:rPr>
          <w:rFonts w:ascii="Times New Roman" w:hAnsi="Times New Roman"/>
          <w:sz w:val="24"/>
          <w:szCs w:val="24"/>
        </w:rPr>
        <w:t>immunity from arrest or prosecution only for the four enumerated crimes within</w:t>
      </w:r>
      <w:r>
        <w:rPr>
          <w:rFonts w:ascii="Times New Roman" w:hAnsi="Times New Roman"/>
          <w:sz w:val="24"/>
          <w:szCs w:val="24"/>
        </w:rPr>
        <w:t xml:space="preserve"> </w:t>
      </w:r>
      <w:r w:rsidRPr="004C6F13">
        <w:rPr>
          <w:rFonts w:ascii="Times New Roman" w:hAnsi="Times New Roman"/>
          <w:sz w:val="24"/>
          <w:szCs w:val="24"/>
        </w:rPr>
        <w:t>the statute.</w:t>
      </w:r>
      <w:r>
        <w:rPr>
          <w:rFonts w:ascii="Times New Roman" w:hAnsi="Times New Roman"/>
          <w:sz w:val="24"/>
          <w:szCs w:val="24"/>
        </w:rPr>
        <w:t xml:space="preserve"> </w:t>
      </w:r>
      <w:r w:rsidRPr="006F3039">
        <w:rPr>
          <w:rFonts w:ascii="Times New Roman" w:hAnsi="Times New Roman"/>
          <w:sz w:val="24"/>
          <w:szCs w:val="24"/>
        </w:rPr>
        <w:t>Our conclusion is further supported by considering the statute in</w:t>
      </w:r>
      <w:r>
        <w:rPr>
          <w:rFonts w:ascii="Times New Roman" w:hAnsi="Times New Roman"/>
          <w:sz w:val="24"/>
          <w:szCs w:val="24"/>
        </w:rPr>
        <w:t xml:space="preserve"> </w:t>
      </w:r>
      <w:r w:rsidRPr="006F3039">
        <w:rPr>
          <w:rFonts w:ascii="Times New Roman" w:hAnsi="Times New Roman"/>
          <w:sz w:val="24"/>
          <w:szCs w:val="24"/>
        </w:rPr>
        <w:t>the context of the statutory scheme of Chapter 45 (Drugs), which demonstrates</w:t>
      </w:r>
      <w:r>
        <w:rPr>
          <w:rFonts w:ascii="Times New Roman" w:hAnsi="Times New Roman"/>
          <w:sz w:val="24"/>
          <w:szCs w:val="24"/>
        </w:rPr>
        <w:t xml:space="preserve"> </w:t>
      </w:r>
      <w:r w:rsidRPr="006F3039">
        <w:rPr>
          <w:rFonts w:ascii="Times New Roman" w:hAnsi="Times New Roman"/>
          <w:sz w:val="24"/>
          <w:szCs w:val="24"/>
        </w:rPr>
        <w:t>that the Legislature intended to bar prosecution for crimes that are associated</w:t>
      </w:r>
      <w:r>
        <w:rPr>
          <w:rFonts w:ascii="Times New Roman" w:hAnsi="Times New Roman"/>
          <w:sz w:val="24"/>
          <w:szCs w:val="24"/>
        </w:rPr>
        <w:t xml:space="preserve"> </w:t>
      </w:r>
      <w:r w:rsidRPr="006F3039">
        <w:rPr>
          <w:rFonts w:ascii="Times New Roman" w:hAnsi="Times New Roman"/>
          <w:sz w:val="24"/>
          <w:szCs w:val="24"/>
        </w:rPr>
        <w:t>with drug use while still permitting prosecution for crimes that involve</w:t>
      </w:r>
      <w:r>
        <w:rPr>
          <w:rFonts w:ascii="Times New Roman" w:hAnsi="Times New Roman"/>
          <w:sz w:val="24"/>
          <w:szCs w:val="24"/>
        </w:rPr>
        <w:t xml:space="preserve"> </w:t>
      </w:r>
      <w:r w:rsidRPr="006F3039">
        <w:rPr>
          <w:rFonts w:ascii="Times New Roman" w:hAnsi="Times New Roman"/>
          <w:sz w:val="24"/>
          <w:szCs w:val="24"/>
        </w:rPr>
        <w:t>trafficking, furnishing, cultivating or fabricating, or importing drugs.</w:t>
      </w:r>
      <w:r>
        <w:rPr>
          <w:rFonts w:ascii="Times New Roman" w:hAnsi="Times New Roman"/>
          <w:sz w:val="24"/>
          <w:szCs w:val="24"/>
        </w:rPr>
        <w:t>”</w:t>
      </w:r>
    </w:p>
    <w:p w14:paraId="13F1D640" w14:textId="77777777" w:rsidR="003E7DB8" w:rsidRDefault="003E7DB8" w:rsidP="003E7DB8">
      <w:pPr>
        <w:spacing w:before="100" w:beforeAutospacing="1" w:after="100" w:afterAutospacing="1" w:line="240" w:lineRule="auto"/>
        <w:outlineLvl w:val="0"/>
        <w:rPr>
          <w:rFonts w:ascii="Times New Roman" w:eastAsia="Times New Roman" w:hAnsi="Times New Roman"/>
          <w:kern w:val="36"/>
          <w:sz w:val="24"/>
          <w:szCs w:val="24"/>
        </w:rPr>
      </w:pPr>
    </w:p>
    <w:p w14:paraId="2C9229B6" w14:textId="77777777" w:rsidR="003E7DB8" w:rsidRDefault="003E7DB8" w:rsidP="006A02A4">
      <w:pPr>
        <w:rPr>
          <w:rFonts w:ascii="Arial Black" w:hAnsi="Arial Black"/>
          <w:b/>
          <w:bCs/>
          <w:sz w:val="28"/>
          <w:szCs w:val="28"/>
        </w:rPr>
      </w:pPr>
    </w:p>
    <w:p w14:paraId="000FFCC5" w14:textId="77777777" w:rsidR="00741889" w:rsidRDefault="00741889" w:rsidP="006A02A4">
      <w:pPr>
        <w:rPr>
          <w:rFonts w:ascii="Arial Black" w:hAnsi="Arial Black"/>
          <w:b/>
          <w:bCs/>
          <w:sz w:val="28"/>
          <w:szCs w:val="28"/>
        </w:rPr>
      </w:pPr>
    </w:p>
    <w:p w14:paraId="1B7D8B2E" w14:textId="730ACAB8" w:rsidR="00336B00" w:rsidRDefault="00336B00" w:rsidP="006A02A4">
      <w:pPr>
        <w:rPr>
          <w:rFonts w:ascii="Arial Black" w:hAnsi="Arial Black"/>
          <w:b/>
          <w:bCs/>
          <w:sz w:val="28"/>
          <w:szCs w:val="28"/>
        </w:rPr>
      </w:pPr>
      <w:r>
        <w:rPr>
          <w:rFonts w:ascii="Arial Black" w:hAnsi="Arial Black"/>
          <w:b/>
          <w:bCs/>
          <w:sz w:val="28"/>
          <w:szCs w:val="28"/>
        </w:rPr>
        <w:t>13-167</w:t>
      </w:r>
    </w:p>
    <w:p w14:paraId="38C14EDF" w14:textId="77777777" w:rsidR="00563D38" w:rsidRDefault="00563D38" w:rsidP="00563D38">
      <w:pPr>
        <w:pStyle w:val="NormalWeb"/>
        <w:rPr>
          <w:rFonts w:ascii="Arial Black" w:hAnsi="Arial Black"/>
          <w:sz w:val="28"/>
          <w:szCs w:val="28"/>
        </w:rPr>
      </w:pPr>
      <w:r>
        <w:rPr>
          <w:rFonts w:ascii="Arial Black" w:hAnsi="Arial Black"/>
          <w:sz w:val="28"/>
          <w:szCs w:val="28"/>
        </w:rPr>
        <w:t>WA: COVID-19 – VACCINATIONS - 46 OF 192 FF REQUESTED RELIGIOUS ACCOMODATIONS – UNDUE HARDSHIP FOR FD</w:t>
      </w:r>
    </w:p>
    <w:p w14:paraId="6AFB9C7F" w14:textId="2EF868E4" w:rsidR="00563D38" w:rsidRPr="00563D38" w:rsidRDefault="00563D38" w:rsidP="00563D38">
      <w:pPr>
        <w:rPr>
          <w:rStyle w:val="Emphasis"/>
          <w:rFonts w:ascii="Times New Roman" w:hAnsi="Times New Roman"/>
          <w:i w:val="0"/>
          <w:iCs w:val="0"/>
          <w:sz w:val="24"/>
          <w:szCs w:val="24"/>
        </w:rPr>
      </w:pPr>
      <w:r w:rsidRPr="00563D38">
        <w:rPr>
          <w:rFonts w:ascii="Times New Roman" w:hAnsi="Times New Roman"/>
          <w:sz w:val="24"/>
          <w:szCs w:val="24"/>
        </w:rPr>
        <w:t>On Jan. 25, 20</w:t>
      </w:r>
      <w:r w:rsidR="00781D35">
        <w:rPr>
          <w:rFonts w:ascii="Times New Roman" w:hAnsi="Times New Roman"/>
          <w:sz w:val="24"/>
          <w:szCs w:val="24"/>
        </w:rPr>
        <w:t>2</w:t>
      </w:r>
      <w:r w:rsidRPr="00563D38">
        <w:rPr>
          <w:rFonts w:ascii="Times New Roman" w:hAnsi="Times New Roman"/>
          <w:sz w:val="24"/>
          <w:szCs w:val="24"/>
        </w:rPr>
        <w:t xml:space="preserve">4, in </w:t>
      </w:r>
      <w:r w:rsidRPr="00563D38">
        <w:rPr>
          <w:rFonts w:ascii="Times New Roman" w:hAnsi="Times New Roman"/>
          <w:sz w:val="24"/>
          <w:szCs w:val="24"/>
          <w:u w:val="single"/>
        </w:rPr>
        <w:t>David Petersen, et al. v. Snohomish Regional Fire &amp; Rescue, et al.</w:t>
      </w:r>
      <w:r w:rsidRPr="00563D38">
        <w:rPr>
          <w:rFonts w:ascii="Times New Roman" w:hAnsi="Times New Roman"/>
          <w:sz w:val="24"/>
          <w:szCs w:val="24"/>
        </w:rPr>
        <w:t xml:space="preserve">, U.S. District Court Judge Thomas S. Zilly, U.S. District Court, Western District of Washington (Seattle) granted the FD’s motion for summary judgment.  </w:t>
      </w:r>
      <w:r w:rsidRPr="00563D38">
        <w:rPr>
          <w:rStyle w:val="Emphasis"/>
          <w:rFonts w:ascii="Times New Roman" w:hAnsi="Times New Roman"/>
          <w:i w:val="0"/>
          <w:iCs w:val="0"/>
          <w:sz w:val="24"/>
          <w:szCs w:val="24"/>
        </w:rPr>
        <w:t xml:space="preserve">Employers do not need to accommodate an employee if this would create an undue hardship – with 11 stations and 192 firefighters providing fire &amp; EMS services, the FD could not safely place 46 unvaccinated firefighters in these stations. </w:t>
      </w:r>
    </w:p>
    <w:p w14:paraId="51AFAC05" w14:textId="77777777" w:rsidR="00563D38" w:rsidRPr="00563D38" w:rsidRDefault="00563D38" w:rsidP="00563D38">
      <w:pPr>
        <w:pStyle w:val="NormalWeb"/>
        <w:ind w:left="720"/>
      </w:pPr>
      <w:r w:rsidRPr="00563D38">
        <w:t>“Plaintiffs argue that masking, PPE, testing, and social distancing are accommodations that would have allowed them to continue working from October 18, 2021, to the end of April 2022, without imposing an undue hardship on Snohomish Fire. Snohomish Fire counters that allowing Plaintiffs to work while unvaccinated would have been an undue hardship even with masking, testing, PPE, and social distancing measures in place.</w:t>
      </w:r>
    </w:p>
    <w:p w14:paraId="5B672DA2" w14:textId="77777777" w:rsidR="00563D38" w:rsidRPr="00563D38" w:rsidRDefault="00563D38" w:rsidP="00563D38">
      <w:pPr>
        <w:pStyle w:val="NormalWeb"/>
        <w:ind w:left="720"/>
      </w:pPr>
      <w:r w:rsidRPr="00563D38">
        <w:t>***</w:t>
      </w:r>
    </w:p>
    <w:p w14:paraId="27DE9C1B" w14:textId="204E7652" w:rsidR="00336B00" w:rsidRPr="00563D38" w:rsidRDefault="00563D38" w:rsidP="00563D38">
      <w:pPr>
        <w:rPr>
          <w:rFonts w:ascii="Times New Roman" w:hAnsi="Times New Roman"/>
          <w:b/>
          <w:bCs/>
          <w:sz w:val="24"/>
          <w:szCs w:val="24"/>
        </w:rPr>
      </w:pPr>
      <w:r w:rsidRPr="00563D38">
        <w:rPr>
          <w:rFonts w:ascii="Times New Roman" w:hAnsi="Times New Roman"/>
          <w:sz w:val="24"/>
          <w:szCs w:val="24"/>
        </w:rPr>
        <w:t xml:space="preserve">In sum, the uncontroverted evidence in this case demonstrates that unvaccinated firefighters were at a higher risk of contracting and transmitting COVID-19 even with the use of masks, PPE, testing, and social distancing. </w:t>
      </w:r>
      <w:r w:rsidRPr="00563D38">
        <w:rPr>
          <w:rStyle w:val="Emphasis"/>
          <w:rFonts w:ascii="Times New Roman" w:hAnsi="Times New Roman"/>
          <w:sz w:val="24"/>
          <w:szCs w:val="24"/>
        </w:rPr>
        <w:t>See</w:t>
      </w:r>
      <w:r w:rsidRPr="00563D38">
        <w:rPr>
          <w:rFonts w:ascii="Times New Roman" w:hAnsi="Times New Roman"/>
          <w:sz w:val="24"/>
          <w:szCs w:val="24"/>
        </w:rPr>
        <w:t xml:space="preserve"> Lynch Decl. at ¶¶ 41, 44. Snohomish Fire informed Plaintiffs it could not accommodate their vaccination exemption requests because of the increased health risks of working as unvaccinated firefighters.” </w:t>
      </w:r>
      <w:hyperlink r:id="rId2116" w:history="1">
        <w:r w:rsidRPr="00563D38">
          <w:rPr>
            <w:rStyle w:val="Hyperlink"/>
            <w:rFonts w:ascii="Times New Roman" w:hAnsi="Times New Roman"/>
            <w:sz w:val="24"/>
            <w:szCs w:val="24"/>
          </w:rPr>
          <w:t>https://public.fastcase.com/ZZhmr5v9wN%2FXOe5IsQ%2FqDx0vrICWCRjPwrPkFejRzcL5IKaE8Rtd1E1QUMzNRkuXg4QLEVUEQQe1JZ8q921vtt1B6ovVwHeC3EtpH3EMOZQ%3D?utm_medium=email&amp;_hsmi=226712652&amp;_hsenc=p2ANqtz-</w:t>
        </w:r>
      </w:hyperlink>
    </w:p>
    <w:p w14:paraId="589F284F" w14:textId="77777777" w:rsidR="00336B00" w:rsidRDefault="00336B00" w:rsidP="006A02A4">
      <w:pPr>
        <w:rPr>
          <w:rFonts w:ascii="Arial Black" w:hAnsi="Arial Black"/>
          <w:b/>
          <w:bCs/>
          <w:sz w:val="28"/>
          <w:szCs w:val="28"/>
        </w:rPr>
      </w:pPr>
    </w:p>
    <w:p w14:paraId="0BD59D39" w14:textId="3A51365C" w:rsidR="00FC76E4" w:rsidRDefault="009F41E7" w:rsidP="006A02A4">
      <w:pPr>
        <w:rPr>
          <w:rFonts w:ascii="Arial Black" w:hAnsi="Arial Black"/>
          <w:b/>
          <w:bCs/>
          <w:sz w:val="28"/>
          <w:szCs w:val="28"/>
        </w:rPr>
      </w:pPr>
      <w:r>
        <w:rPr>
          <w:rFonts w:ascii="Arial Black" w:hAnsi="Arial Black"/>
          <w:b/>
          <w:bCs/>
          <w:sz w:val="28"/>
          <w:szCs w:val="28"/>
        </w:rPr>
        <w:t>13-166</w:t>
      </w:r>
    </w:p>
    <w:p w14:paraId="6CEC6990" w14:textId="77777777" w:rsidR="00FA2662" w:rsidRDefault="00FA2662" w:rsidP="00FA2662">
      <w:pPr>
        <w:pStyle w:val="NormalWeb"/>
        <w:rPr>
          <w:rFonts w:ascii="Arial Black" w:hAnsi="Arial Black"/>
          <w:b/>
          <w:bCs/>
          <w:sz w:val="28"/>
          <w:szCs w:val="28"/>
        </w:rPr>
      </w:pPr>
      <w:r>
        <w:rPr>
          <w:rFonts w:ascii="Arial Black" w:hAnsi="Arial Black"/>
          <w:b/>
          <w:bCs/>
          <w:sz w:val="28"/>
          <w:szCs w:val="28"/>
        </w:rPr>
        <w:t>NY: COVID-19 – FDNY - REQUEST RELIGIOUS ACCOMODATION - DENIED, HE RETIRED – CASE DISMISSED</w:t>
      </w:r>
    </w:p>
    <w:p w14:paraId="449AAAFB" w14:textId="77777777" w:rsidR="00FA2662" w:rsidRDefault="00FA2662" w:rsidP="00FA2662">
      <w:pPr>
        <w:pStyle w:val="NormalWeb"/>
      </w:pPr>
      <w:r w:rsidRPr="00CB5FAD">
        <w:t>On</w:t>
      </w:r>
      <w:r>
        <w:t xml:space="preserve"> Jan. 9, 2024, in </w:t>
      </w:r>
      <w:r w:rsidRPr="00EE2924">
        <w:rPr>
          <w:u w:val="single"/>
        </w:rPr>
        <w:t>Michael Currid v. The City of New York, et al</w:t>
      </w:r>
      <w:r>
        <w:t xml:space="preserve">., Judge Gina Abadi, New York Supreme Court, Kings County, granted the City’s motion to dismiss (unpublished decision).  The plaintiff served with the FDNY from about 1998 through April 19, 2022. On or around October 27. 2021, following the issuance of the COVID-19 vaccine mandate for City employees, plaintiff applied for a religious accommodation, which was denied by the FD </w:t>
      </w:r>
      <w:r w:rsidRPr="00941E84">
        <w:t>(January 6, 2022)</w:t>
      </w:r>
      <w:r>
        <w:rPr>
          <w:b/>
          <w:bCs/>
        </w:rPr>
        <w:t xml:space="preserve"> </w:t>
      </w:r>
      <w:r>
        <w:t xml:space="preserve">and his appeal to the City was also denied (March 17, 2022). The Court rejected his claim that he was “constructively discharged” because of intolerable working conditions. </w:t>
      </w:r>
    </w:p>
    <w:p w14:paraId="7C9E27C9" w14:textId="77777777" w:rsidR="00FA2662" w:rsidRPr="00C72E80" w:rsidRDefault="00FA2662" w:rsidP="00FA2662">
      <w:pPr>
        <w:pStyle w:val="NoSpacing"/>
        <w:ind w:left="720"/>
        <w:rPr>
          <w:rFonts w:ascii="Times New Roman" w:hAnsi="Times New Roman"/>
          <w:sz w:val="24"/>
          <w:szCs w:val="24"/>
        </w:rPr>
      </w:pPr>
      <w:r>
        <w:rPr>
          <w:rFonts w:ascii="Times New Roman" w:hAnsi="Times New Roman"/>
          <w:sz w:val="24"/>
          <w:szCs w:val="24"/>
        </w:rPr>
        <w:t>“</w:t>
      </w:r>
      <w:r w:rsidRPr="00C72E80">
        <w:rPr>
          <w:rFonts w:ascii="Times New Roman" w:hAnsi="Times New Roman"/>
          <w:sz w:val="24"/>
          <w:szCs w:val="24"/>
        </w:rPr>
        <w:t xml:space="preserve">In his verified complaint, plaintiff does not set factual allegations regarding a conflict between the vaccine mandate and his bona fide religious beliefs. Further, while plaintiff alleges that he was threatened with termination in the event he failed to receive the vaccine, there is no allegation that plaintiff was </w:t>
      </w:r>
      <w:proofErr w:type="gramStart"/>
      <w:r w:rsidRPr="00C72E80">
        <w:rPr>
          <w:rFonts w:ascii="Times New Roman" w:hAnsi="Times New Roman"/>
          <w:sz w:val="24"/>
          <w:szCs w:val="24"/>
        </w:rPr>
        <w:t>actually terminated</w:t>
      </w:r>
      <w:proofErr w:type="gramEnd"/>
      <w:r w:rsidRPr="00C72E80">
        <w:rPr>
          <w:rFonts w:ascii="Times New Roman" w:hAnsi="Times New Roman"/>
          <w:sz w:val="24"/>
          <w:szCs w:val="24"/>
        </w:rPr>
        <w:t xml:space="preserve"> or otherwise disciplined. Rather, it is not in dispute that plaintiff retired from service. </w:t>
      </w:r>
      <w:proofErr w:type="gramStart"/>
      <w:r w:rsidRPr="00C72E80">
        <w:rPr>
          <w:rFonts w:ascii="Times New Roman" w:hAnsi="Times New Roman"/>
          <w:sz w:val="24"/>
          <w:szCs w:val="24"/>
        </w:rPr>
        <w:t>Plaintiffs</w:t>
      </w:r>
      <w:proofErr w:type="gramEnd"/>
      <w:r w:rsidRPr="00C72E80">
        <w:rPr>
          <w:rFonts w:ascii="Times New Roman" w:hAnsi="Times New Roman"/>
          <w:sz w:val="24"/>
          <w:szCs w:val="24"/>
        </w:rPr>
        <w:t xml:space="preserve"> contention that his retirement amounts to a </w:t>
      </w:r>
      <w:r>
        <w:rPr>
          <w:rFonts w:ascii="Times New Roman" w:hAnsi="Times New Roman"/>
          <w:sz w:val="24"/>
          <w:szCs w:val="24"/>
        </w:rPr>
        <w:t>c</w:t>
      </w:r>
      <w:r w:rsidRPr="00C72E80">
        <w:rPr>
          <w:rFonts w:ascii="Times New Roman" w:hAnsi="Times New Roman"/>
          <w:sz w:val="24"/>
          <w:szCs w:val="24"/>
        </w:rPr>
        <w:t xml:space="preserve">onstructive discharge or termination </w:t>
      </w:r>
      <w:proofErr w:type="gramStart"/>
      <w:r w:rsidRPr="00C72E80">
        <w:rPr>
          <w:rFonts w:ascii="Times New Roman" w:hAnsi="Times New Roman"/>
          <w:sz w:val="24"/>
          <w:szCs w:val="24"/>
        </w:rPr>
        <w:t>is</w:t>
      </w:r>
      <w:proofErr w:type="gramEnd"/>
      <w:r w:rsidRPr="00C72E80">
        <w:rPr>
          <w:rFonts w:ascii="Times New Roman" w:hAnsi="Times New Roman"/>
          <w:sz w:val="24"/>
          <w:szCs w:val="24"/>
        </w:rPr>
        <w:t xml:space="preserve"> unavailing since plaintiff does not allege facts showing that the FDNY </w:t>
      </w:r>
      <w:r>
        <w:rPr>
          <w:rFonts w:ascii="Times New Roman" w:hAnsi="Times New Roman"/>
          <w:sz w:val="24"/>
          <w:szCs w:val="24"/>
        </w:rPr>
        <w:t>‘</w:t>
      </w:r>
      <w:r w:rsidRPr="00C72E80">
        <w:rPr>
          <w:rFonts w:ascii="Times New Roman" w:hAnsi="Times New Roman"/>
          <w:sz w:val="24"/>
          <w:szCs w:val="24"/>
        </w:rPr>
        <w:t>deliberately created working conditions so intolerable, difficult or unpleasant that a reasonable person would have felt compelled to resign.</w:t>
      </w:r>
      <w:r>
        <w:rPr>
          <w:rFonts w:ascii="Times New Roman" w:hAnsi="Times New Roman"/>
          <w:sz w:val="24"/>
          <w:szCs w:val="24"/>
        </w:rPr>
        <w:t>’</w:t>
      </w:r>
      <w:r w:rsidRPr="00C72E80">
        <w:rPr>
          <w:rFonts w:ascii="Times New Roman" w:hAnsi="Times New Roman"/>
          <w:sz w:val="24"/>
          <w:szCs w:val="24"/>
        </w:rPr>
        <w:t xml:space="preserve"> </w:t>
      </w:r>
      <w:r w:rsidRPr="00C72E80">
        <w:rPr>
          <w:rStyle w:val="Emphasis"/>
          <w:sz w:val="24"/>
          <w:szCs w:val="24"/>
        </w:rPr>
        <w:t>Mascola v City Univ, of N.Y,</w:t>
      </w:r>
      <w:r w:rsidRPr="00C72E80">
        <w:rPr>
          <w:rFonts w:ascii="Times New Roman" w:hAnsi="Times New Roman"/>
          <w:sz w:val="24"/>
          <w:szCs w:val="24"/>
        </w:rPr>
        <w:t xml:space="preserve"> 14 A.D.3d 409, 410 (1st Dept 2010).</w:t>
      </w:r>
      <w:r>
        <w:rPr>
          <w:rFonts w:ascii="Times New Roman" w:hAnsi="Times New Roman"/>
          <w:sz w:val="24"/>
          <w:szCs w:val="24"/>
        </w:rPr>
        <w:t xml:space="preserve">” </w:t>
      </w:r>
      <w:hyperlink r:id="rId2117" w:history="1">
        <w:r w:rsidRPr="00665549">
          <w:rPr>
            <w:rStyle w:val="Hyperlink"/>
            <w:rFonts w:ascii="Times New Roman" w:hAnsi="Times New Roman"/>
            <w:sz w:val="24"/>
            <w:szCs w:val="24"/>
          </w:rPr>
          <w:t>https://casetext.com/case/currid-v-the-city-of-new-york</w:t>
        </w:r>
      </w:hyperlink>
      <w:r>
        <w:rPr>
          <w:rFonts w:ascii="Times New Roman" w:hAnsi="Times New Roman"/>
          <w:sz w:val="24"/>
          <w:szCs w:val="24"/>
        </w:rPr>
        <w:t xml:space="preserve"> </w:t>
      </w:r>
    </w:p>
    <w:p w14:paraId="37AEB9C2" w14:textId="77777777" w:rsidR="00295D7B" w:rsidRPr="005F3052" w:rsidRDefault="00295D7B" w:rsidP="00295D7B">
      <w:pPr>
        <w:pStyle w:val="Heading1"/>
        <w:rPr>
          <w:sz w:val="24"/>
          <w:szCs w:val="24"/>
        </w:rPr>
      </w:pPr>
      <w:r w:rsidRPr="005F3052">
        <w:rPr>
          <w:sz w:val="24"/>
          <w:szCs w:val="24"/>
        </w:rPr>
        <w:t xml:space="preserve">Legal Lesson Learned: FDNY set up a COVID-19 religious accommodation appeal process that was fair. </w:t>
      </w:r>
    </w:p>
    <w:p w14:paraId="2FE4D4F5" w14:textId="77777777" w:rsidR="009F41E7" w:rsidRDefault="009F41E7" w:rsidP="006A02A4">
      <w:pPr>
        <w:rPr>
          <w:rFonts w:ascii="Arial Black" w:hAnsi="Arial Black"/>
          <w:b/>
          <w:bCs/>
          <w:sz w:val="28"/>
          <w:szCs w:val="28"/>
        </w:rPr>
      </w:pPr>
    </w:p>
    <w:p w14:paraId="0CD16A42" w14:textId="77777777" w:rsidR="009F41E7" w:rsidRDefault="009F41E7" w:rsidP="006A02A4">
      <w:pPr>
        <w:rPr>
          <w:rFonts w:ascii="Arial Black" w:hAnsi="Arial Black"/>
          <w:b/>
          <w:bCs/>
          <w:sz w:val="28"/>
          <w:szCs w:val="28"/>
        </w:rPr>
      </w:pPr>
    </w:p>
    <w:p w14:paraId="107C3105" w14:textId="77777777" w:rsidR="009F41E7" w:rsidRDefault="009F41E7" w:rsidP="006A02A4">
      <w:pPr>
        <w:rPr>
          <w:rFonts w:ascii="Arial Black" w:hAnsi="Arial Black"/>
          <w:b/>
          <w:bCs/>
          <w:sz w:val="28"/>
          <w:szCs w:val="28"/>
        </w:rPr>
      </w:pPr>
    </w:p>
    <w:p w14:paraId="3BF403FF" w14:textId="3139286A" w:rsidR="00FC76E4" w:rsidRDefault="00FC76E4" w:rsidP="006A02A4">
      <w:pPr>
        <w:rPr>
          <w:rFonts w:ascii="Arial Black" w:hAnsi="Arial Black"/>
          <w:b/>
          <w:bCs/>
          <w:sz w:val="28"/>
          <w:szCs w:val="28"/>
        </w:rPr>
      </w:pPr>
      <w:r>
        <w:rPr>
          <w:rFonts w:ascii="Arial Black" w:hAnsi="Arial Black"/>
          <w:b/>
          <w:bCs/>
          <w:sz w:val="28"/>
          <w:szCs w:val="28"/>
        </w:rPr>
        <w:t>13-165</w:t>
      </w:r>
    </w:p>
    <w:p w14:paraId="5B9F5446" w14:textId="77777777" w:rsidR="00DB4BC6" w:rsidRPr="00AF3602" w:rsidRDefault="00DB4BC6" w:rsidP="00DB4BC6">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MA: EMT - BACKGROUND CHECK – HIRED, 1 YR. RESIGNED – NO ACTUAL DAMAGES - CAN SUE BACKGROUND CHECK CO. </w:t>
      </w:r>
    </w:p>
    <w:p w14:paraId="0A70FB57" w14:textId="77777777" w:rsidR="00DB4BC6" w:rsidRPr="004766E1" w:rsidRDefault="00DB4BC6" w:rsidP="00DB4BC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Jan. 8, 2024, in </w:t>
      </w:r>
      <w:r w:rsidRPr="00B71A45">
        <w:rPr>
          <w:rFonts w:ascii="Times New Roman" w:hAnsi="Times New Roman"/>
          <w:sz w:val="24"/>
          <w:szCs w:val="24"/>
          <w:u w:val="single"/>
        </w:rPr>
        <w:t xml:space="preserve">Nicole Kenn v. </w:t>
      </w:r>
      <w:proofErr w:type="spellStart"/>
      <w:r w:rsidRPr="00B71A45">
        <w:rPr>
          <w:rFonts w:ascii="Times New Roman" w:hAnsi="Times New Roman"/>
          <w:sz w:val="24"/>
          <w:szCs w:val="24"/>
          <w:u w:val="single"/>
        </w:rPr>
        <w:t>Eascare</w:t>
      </w:r>
      <w:proofErr w:type="spellEnd"/>
      <w:r w:rsidRPr="00B71A45">
        <w:rPr>
          <w:rFonts w:ascii="Times New Roman" w:hAnsi="Times New Roman"/>
          <w:sz w:val="24"/>
          <w:szCs w:val="24"/>
          <w:u w:val="single"/>
        </w:rPr>
        <w:t>, LLC</w:t>
      </w:r>
      <w:r>
        <w:rPr>
          <w:rFonts w:ascii="Times New Roman" w:hAnsi="Times New Roman"/>
          <w:sz w:val="24"/>
          <w:szCs w:val="24"/>
        </w:rPr>
        <w:t xml:space="preserve">., the Appeals Court of Massachusetts (Norfolk) held (3 to 0) that even if the EMT has not suffered any actual damages (she was hired as an EMT), she still has standing to sue the background check company in state court for nominal damages, between $100 and $100 under the federal </w:t>
      </w:r>
      <w:r w:rsidRPr="000B6CE8">
        <w:rPr>
          <w:rFonts w:ascii="Times New Roman" w:hAnsi="Times New Roman"/>
          <w:sz w:val="24"/>
          <w:szCs w:val="24"/>
        </w:rPr>
        <w:t>Fair Credit Reporting Act, 15 U.S.C. §§ 1681-1681w (FCRA)</w:t>
      </w:r>
      <w:r>
        <w:rPr>
          <w:rFonts w:ascii="Times New Roman" w:hAnsi="Times New Roman"/>
          <w:sz w:val="24"/>
          <w:szCs w:val="24"/>
        </w:rPr>
        <w:t>.  The EMT signed an authorization form entitled “</w:t>
      </w:r>
      <w:r w:rsidRPr="004766E1">
        <w:rPr>
          <w:rFonts w:ascii="Times New Roman" w:hAnsi="Times New Roman"/>
          <w:sz w:val="24"/>
          <w:szCs w:val="24"/>
        </w:rPr>
        <w:t>Consumer Report</w:t>
      </w:r>
      <w:r>
        <w:rPr>
          <w:rFonts w:ascii="Times New Roman" w:hAnsi="Times New Roman"/>
          <w:sz w:val="24"/>
          <w:szCs w:val="24"/>
        </w:rPr>
        <w:t xml:space="preserve"> </w:t>
      </w:r>
      <w:r w:rsidRPr="004766E1">
        <w:rPr>
          <w:rFonts w:ascii="Times New Roman" w:hAnsi="Times New Roman"/>
          <w:sz w:val="24"/>
          <w:szCs w:val="24"/>
        </w:rPr>
        <w:t>/</w:t>
      </w:r>
      <w:r>
        <w:rPr>
          <w:rFonts w:ascii="Times New Roman" w:hAnsi="Times New Roman"/>
          <w:sz w:val="24"/>
          <w:szCs w:val="24"/>
        </w:rPr>
        <w:t xml:space="preserve"> </w:t>
      </w:r>
      <w:r w:rsidRPr="004766E1">
        <w:rPr>
          <w:rFonts w:ascii="Times New Roman" w:hAnsi="Times New Roman"/>
          <w:sz w:val="24"/>
          <w:szCs w:val="24"/>
        </w:rPr>
        <w:t>Investigative Consumer Report Disclosure and Release of Information Authorization</w:t>
      </w:r>
      <w:proofErr w:type="gramStart"/>
      <w:r>
        <w:rPr>
          <w:rFonts w:ascii="Times New Roman" w:hAnsi="Times New Roman"/>
          <w:sz w:val="24"/>
          <w:szCs w:val="24"/>
        </w:rPr>
        <w:t>”</w:t>
      </w:r>
      <w:proofErr w:type="gramEnd"/>
      <w:r>
        <w:rPr>
          <w:rFonts w:ascii="Times New Roman" w:hAnsi="Times New Roman"/>
          <w:sz w:val="24"/>
          <w:szCs w:val="24"/>
        </w:rPr>
        <w:t xml:space="preserve"> but she is now claiming that in the form there was no clear listing that a consumer report was to be obtained. </w:t>
      </w:r>
    </w:p>
    <w:p w14:paraId="2B670063" w14:textId="77777777" w:rsidR="00DB4BC6" w:rsidRDefault="00DB4BC6" w:rsidP="00DB4BC6">
      <w:pPr>
        <w:pStyle w:val="NormalWeb"/>
        <w:ind w:left="720"/>
      </w:pPr>
      <w:r>
        <w:t xml:space="preserve">“Although the plaintiff may not be able to articulate concrete, actual damages arising from </w:t>
      </w:r>
      <w:proofErr w:type="spellStart"/>
      <w:r>
        <w:t>Eascare</w:t>
      </w:r>
      <w:proofErr w:type="spellEnd"/>
      <w:r>
        <w:t xml:space="preserve"> obtaining her consumer report by using a noncompliant disclosure form and requiring her to agree to a release of liability in addition to a background check, the FCRA liability provision recognizes that the injury to the consumer may not be measurable. Thus, in an action for a willful violation, the statute provides for the option of the plaintiff recovering actual </w:t>
      </w:r>
      <w:proofErr w:type="gramStart"/>
      <w:r>
        <w:t>damages</w:t>
      </w:r>
      <w:proofErr w:type="gramEnd"/>
      <w:r>
        <w:t xml:space="preserve"> caused by the FCRA violation or, if the plaintiff cannot prove actual damages, nominal damages between $100 and $1,000. See 15 U.S.C. § 1681n(a)(1)(A). In this regard, the plaintiff's allegation of </w:t>
      </w:r>
      <w:proofErr w:type="spellStart"/>
      <w:r>
        <w:t>Eascare's</w:t>
      </w:r>
      <w:proofErr w:type="spellEnd"/>
      <w:r>
        <w:t xml:space="preserve"> willfulness is critical, as the cause of action for a negligent violation, by contrast, does require a showing of actual damages. See 15 U.S.C. § 1681o(a)(1).” </w:t>
      </w:r>
    </w:p>
    <w:p w14:paraId="2986B041" w14:textId="77777777" w:rsidR="00DB4BC6" w:rsidRDefault="00DB4BC6" w:rsidP="00DB4BC6">
      <w:pPr>
        <w:pStyle w:val="NormalWeb"/>
        <w:ind w:firstLine="720"/>
      </w:pPr>
      <w:r>
        <w:t>***</w:t>
      </w:r>
    </w:p>
    <w:p w14:paraId="2F2482BC" w14:textId="77777777" w:rsidR="00DB4BC6" w:rsidRDefault="00DB4BC6" w:rsidP="00DB4BC6">
      <w:pPr>
        <w:pStyle w:val="NormalWeb"/>
        <w:ind w:left="720"/>
        <w:rPr>
          <w:vertAlign w:val="superscript"/>
        </w:rPr>
      </w:pPr>
      <w:r>
        <w:t xml:space="preserve">Here, the plaintiff has plausibly alleged liability </w:t>
      </w:r>
      <w:proofErr w:type="gramStart"/>
      <w:r>
        <w:t>of</w:t>
      </w:r>
      <w:proofErr w:type="gramEnd"/>
      <w:r>
        <w:t xml:space="preserve"> </w:t>
      </w:r>
      <w:proofErr w:type="spellStart"/>
      <w:r>
        <w:t>Eascare</w:t>
      </w:r>
      <w:proofErr w:type="spellEnd"/>
      <w:r>
        <w:t xml:space="preserve"> for FCRA violations and an entitlement to damages if she prevails. The judgment dismissing the plaintiff's FCRA claims for lack of standing is vacated, and the plaintiff may proceed on her claims in the Superior Court.” </w:t>
      </w:r>
      <w:hyperlink r:id="rId2118" w:history="1">
        <w:r w:rsidRPr="00A46316">
          <w:rPr>
            <w:rStyle w:val="Hyperlink"/>
          </w:rPr>
          <w:t>https://casetext.com/case/kenn-v-eascare-llc-1</w:t>
        </w:r>
      </w:hyperlink>
      <w:r>
        <w:t xml:space="preserve"> </w:t>
      </w:r>
    </w:p>
    <w:p w14:paraId="595C6165" w14:textId="77777777" w:rsidR="009F41E7" w:rsidRDefault="009F41E7" w:rsidP="009F41E7">
      <w:pPr>
        <w:pStyle w:val="NormalWeb"/>
        <w:rPr>
          <w:b/>
          <w:bCs/>
        </w:rPr>
      </w:pPr>
      <w:r w:rsidRPr="008035CB">
        <w:rPr>
          <w:b/>
          <w:bCs/>
        </w:rPr>
        <w:t>Legal Lesson Learned:</w:t>
      </w:r>
      <w:r>
        <w:rPr>
          <w:b/>
          <w:bCs/>
        </w:rPr>
        <w:t xml:space="preserve">  The EMS agency in this case was not sued.  EMS and Fire agencies that use background check companies should require the company to defend and indemnify the agency for any alleged violations of the FCRA. </w:t>
      </w:r>
    </w:p>
    <w:p w14:paraId="48115494" w14:textId="77777777" w:rsidR="009F41E7" w:rsidRPr="008035CB" w:rsidRDefault="009F41E7" w:rsidP="009F41E7">
      <w:pPr>
        <w:pStyle w:val="NormalWeb"/>
        <w:ind w:left="720"/>
        <w:rPr>
          <w:b/>
          <w:bCs/>
        </w:rPr>
      </w:pPr>
      <w:r w:rsidRPr="00AE333A">
        <w:t xml:space="preserve">Note: In Ohio, Fire Chiefs of township or fire district can have state conduct criminal history </w:t>
      </w:r>
      <w:proofErr w:type="gramStart"/>
      <w:r w:rsidRPr="00AE333A">
        <w:t>check</w:t>
      </w:r>
      <w:proofErr w:type="gramEnd"/>
      <w:r w:rsidRPr="00AE333A">
        <w:t xml:space="preserve">. </w:t>
      </w:r>
      <w:r>
        <w:t xml:space="preserve">See </w:t>
      </w:r>
      <w:hyperlink r:id="rId2119" w:history="1">
        <w:r w:rsidRPr="00A46316">
          <w:rPr>
            <w:rStyle w:val="Hyperlink"/>
          </w:rPr>
          <w:t>https://codes.ohio.gov/ohio-revised-code/section-505.381</w:t>
        </w:r>
      </w:hyperlink>
      <w:r>
        <w:t xml:space="preserve"> “(A) The fire chief of a township or fire district may request the superintendent of BCII to conduct a criminal records check with respect to any person who is under consideration for appointment or employment as a permanent, full-time paid firefighter or any person who is under consideration for appointment as a volunteer firefighter.”</w:t>
      </w:r>
    </w:p>
    <w:p w14:paraId="692598A4" w14:textId="77777777" w:rsidR="00FC76E4" w:rsidRDefault="00FC76E4" w:rsidP="006A02A4">
      <w:pPr>
        <w:rPr>
          <w:rFonts w:ascii="Arial Black" w:hAnsi="Arial Black"/>
          <w:b/>
          <w:bCs/>
          <w:sz w:val="28"/>
          <w:szCs w:val="28"/>
        </w:rPr>
      </w:pPr>
    </w:p>
    <w:p w14:paraId="061E6D67" w14:textId="77777777" w:rsidR="00FC76E4" w:rsidRDefault="00FC76E4" w:rsidP="006A02A4">
      <w:pPr>
        <w:rPr>
          <w:rFonts w:ascii="Arial Black" w:hAnsi="Arial Black"/>
          <w:b/>
          <w:bCs/>
          <w:sz w:val="28"/>
          <w:szCs w:val="28"/>
        </w:rPr>
      </w:pPr>
    </w:p>
    <w:p w14:paraId="5B0653D8" w14:textId="1B4A229C" w:rsidR="009B2B57" w:rsidRDefault="009B2B57" w:rsidP="006A02A4">
      <w:pPr>
        <w:rPr>
          <w:rFonts w:ascii="Arial Black" w:hAnsi="Arial Black"/>
          <w:b/>
          <w:bCs/>
          <w:sz w:val="28"/>
          <w:szCs w:val="28"/>
        </w:rPr>
      </w:pPr>
      <w:r>
        <w:rPr>
          <w:rFonts w:ascii="Arial Black" w:hAnsi="Arial Black"/>
          <w:b/>
          <w:bCs/>
          <w:sz w:val="28"/>
          <w:szCs w:val="28"/>
        </w:rPr>
        <w:t>13-164</w:t>
      </w:r>
    </w:p>
    <w:p w14:paraId="4FE0F1CE" w14:textId="77777777" w:rsidR="00715650" w:rsidRPr="002436E5" w:rsidRDefault="00715650" w:rsidP="00715650">
      <w:pPr>
        <w:pStyle w:val="NormalWeb"/>
        <w:rPr>
          <w:rFonts w:ascii="Arial Black" w:hAnsi="Arial Black"/>
          <w:b/>
          <w:bCs/>
          <w:sz w:val="28"/>
          <w:szCs w:val="28"/>
        </w:rPr>
      </w:pPr>
      <w:r w:rsidRPr="002436E5">
        <w:rPr>
          <w:rFonts w:ascii="Arial Black" w:hAnsi="Arial Black"/>
          <w:b/>
          <w:bCs/>
          <w:sz w:val="28"/>
          <w:szCs w:val="28"/>
        </w:rPr>
        <w:t>NY</w:t>
      </w:r>
      <w:r>
        <w:rPr>
          <w:rFonts w:ascii="Arial Black" w:hAnsi="Arial Black"/>
          <w:b/>
          <w:bCs/>
          <w:sz w:val="28"/>
          <w:szCs w:val="28"/>
        </w:rPr>
        <w:t xml:space="preserve">: </w:t>
      </w:r>
      <w:r w:rsidRPr="002436E5">
        <w:rPr>
          <w:rFonts w:ascii="Arial Black" w:hAnsi="Arial Black"/>
          <w:b/>
          <w:bCs/>
          <w:sz w:val="28"/>
          <w:szCs w:val="28"/>
        </w:rPr>
        <w:t xml:space="preserve">TOWN </w:t>
      </w:r>
      <w:r>
        <w:rPr>
          <w:rFonts w:ascii="Arial Black" w:hAnsi="Arial Black"/>
          <w:b/>
          <w:bCs/>
          <w:sz w:val="28"/>
          <w:szCs w:val="28"/>
        </w:rPr>
        <w:t xml:space="preserve">DIDN’T RENEW </w:t>
      </w:r>
      <w:r w:rsidRPr="002436E5">
        <w:rPr>
          <w:rFonts w:ascii="Arial Black" w:hAnsi="Arial Black"/>
          <w:b/>
          <w:bCs/>
          <w:sz w:val="28"/>
          <w:szCs w:val="28"/>
        </w:rPr>
        <w:t xml:space="preserve"> </w:t>
      </w:r>
      <w:r>
        <w:rPr>
          <w:rFonts w:ascii="Arial Black" w:hAnsi="Arial Black"/>
          <w:b/>
          <w:bCs/>
          <w:sz w:val="28"/>
          <w:szCs w:val="28"/>
        </w:rPr>
        <w:t xml:space="preserve">VOL. </w:t>
      </w:r>
      <w:r w:rsidRPr="002436E5">
        <w:rPr>
          <w:rFonts w:ascii="Arial Black" w:hAnsi="Arial Black"/>
          <w:b/>
          <w:bCs/>
          <w:sz w:val="28"/>
          <w:szCs w:val="28"/>
        </w:rPr>
        <w:t>AMBUL</w:t>
      </w:r>
      <w:r>
        <w:rPr>
          <w:rFonts w:ascii="Arial Black" w:hAnsi="Arial Black"/>
          <w:b/>
          <w:bCs/>
          <w:sz w:val="28"/>
          <w:szCs w:val="28"/>
        </w:rPr>
        <w:t xml:space="preserve">. CO. – SLOW RESPONSE TIMES / NO PAID CREWS - </w:t>
      </w:r>
      <w:r w:rsidRPr="002436E5">
        <w:rPr>
          <w:rFonts w:ascii="Arial Black" w:hAnsi="Arial Black"/>
          <w:b/>
          <w:bCs/>
          <w:sz w:val="28"/>
          <w:szCs w:val="28"/>
        </w:rPr>
        <w:t>60 DAYS NOTICE</w:t>
      </w:r>
    </w:p>
    <w:p w14:paraId="03A954E4" w14:textId="66DEB331" w:rsidR="00715650" w:rsidRPr="00030936" w:rsidRDefault="00715650" w:rsidP="00715650">
      <w:pPr>
        <w:pStyle w:val="NoSpacing"/>
        <w:rPr>
          <w:rFonts w:ascii="Times New Roman" w:hAnsi="Times New Roman"/>
          <w:sz w:val="24"/>
          <w:szCs w:val="24"/>
        </w:rPr>
      </w:pPr>
      <w:r w:rsidRPr="00030936">
        <w:rPr>
          <w:rFonts w:ascii="Times New Roman" w:hAnsi="Times New Roman"/>
          <w:sz w:val="24"/>
          <w:szCs w:val="24"/>
        </w:rPr>
        <w:t xml:space="preserve">On Dec. 28, 2023, in </w:t>
      </w:r>
      <w:r w:rsidRPr="00030936">
        <w:rPr>
          <w:rFonts w:ascii="Times New Roman" w:hAnsi="Times New Roman"/>
          <w:sz w:val="24"/>
          <w:szCs w:val="24"/>
          <w:u w:val="single"/>
        </w:rPr>
        <w:t>Rampo Valley Ambulance Corps, Inc., et al. v. Town of Rampo, et al</w:t>
      </w:r>
      <w:r w:rsidRPr="00030936">
        <w:rPr>
          <w:rFonts w:ascii="Times New Roman" w:hAnsi="Times New Roman"/>
          <w:sz w:val="24"/>
          <w:szCs w:val="24"/>
        </w:rPr>
        <w:t xml:space="preserve">., United States District Court Judge Phillip M. Haper, Southern District of New York, granted the Town’s motion to dismiss the May 11, </w:t>
      </w:r>
      <w:proofErr w:type="gramStart"/>
      <w:r w:rsidRPr="00030936">
        <w:rPr>
          <w:rFonts w:ascii="Times New Roman" w:hAnsi="Times New Roman"/>
          <w:sz w:val="24"/>
          <w:szCs w:val="24"/>
        </w:rPr>
        <w:t>2022</w:t>
      </w:r>
      <w:proofErr w:type="gramEnd"/>
      <w:r w:rsidRPr="00030936">
        <w:rPr>
          <w:rFonts w:ascii="Times New Roman" w:hAnsi="Times New Roman"/>
          <w:sz w:val="24"/>
          <w:szCs w:val="24"/>
        </w:rPr>
        <w:t xml:space="preserve"> lawsuit. The Court wrote: “The Agreement did not protect RVAC from the Town's revocation of a status. *** However, the Court has already found in the procedural due process context that RVAC does not have a constitutionally protected property interest derived from the Agreement. *** Here, RVAC alleges that the Town “controlled the billing, dispatching, payments, and staffing of RVAC, and</w:t>
      </w:r>
      <w:r w:rsidR="00780354">
        <w:rPr>
          <w:rFonts w:ascii="Times New Roman" w:hAnsi="Times New Roman"/>
          <w:sz w:val="24"/>
          <w:szCs w:val="24"/>
        </w:rPr>
        <w:t xml:space="preserve"> </w:t>
      </w:r>
      <w:r w:rsidRPr="00030936">
        <w:rPr>
          <w:rFonts w:ascii="Times New Roman" w:hAnsi="Times New Roman"/>
          <w:sz w:val="24"/>
          <w:szCs w:val="24"/>
        </w:rPr>
        <w:t xml:space="preserve">did so in a wholly different and in a discriminatory manner than the way the Town executed its contracts and requirements, as well as, managing relationships with and for the other ambulance corporations servicing the people of Ramapo.” (Opp. at 21). This conduct, even in the context of  providing emergency medical services, does not amount to conduct that is so ‘truly brutal and offensive to human dignity’ as to shock the </w:t>
      </w:r>
      <w:proofErr w:type="gramStart"/>
      <w:r w:rsidRPr="00030936">
        <w:rPr>
          <w:rFonts w:ascii="Times New Roman" w:hAnsi="Times New Roman"/>
          <w:sz w:val="24"/>
          <w:szCs w:val="24"/>
        </w:rPr>
        <w:t>conscience.”</w:t>
      </w:r>
      <w:proofErr w:type="gramEnd"/>
      <w:r w:rsidRPr="00030936">
        <w:rPr>
          <w:rFonts w:ascii="Times New Roman" w:hAnsi="Times New Roman"/>
          <w:sz w:val="24"/>
          <w:szCs w:val="24"/>
        </w:rPr>
        <w:t xml:space="preserve"> </w:t>
      </w:r>
      <w:hyperlink r:id="rId2120" w:history="1">
        <w:r w:rsidRPr="00030936">
          <w:rPr>
            <w:rStyle w:val="Hyperlink"/>
            <w:rFonts w:ascii="Times New Roman" w:hAnsi="Times New Roman"/>
            <w:sz w:val="24"/>
            <w:szCs w:val="24"/>
          </w:rPr>
          <w:t>https://cases.justia.com/federal/district-courts/new-york/nysdce/7:2022cv04047/580058/37/0.pdf?ts=1703868116</w:t>
        </w:r>
      </w:hyperlink>
      <w:r w:rsidRPr="00030936">
        <w:rPr>
          <w:rFonts w:ascii="Times New Roman" w:hAnsi="Times New Roman"/>
          <w:sz w:val="24"/>
          <w:szCs w:val="24"/>
        </w:rPr>
        <w:t xml:space="preserve"> </w:t>
      </w:r>
    </w:p>
    <w:p w14:paraId="7A2D51A3" w14:textId="77777777" w:rsidR="007C5017" w:rsidRPr="009715E3" w:rsidRDefault="007C5017" w:rsidP="007C5017">
      <w:pPr>
        <w:pStyle w:val="NormalWeb"/>
        <w:rPr>
          <w:b/>
          <w:bCs/>
        </w:rPr>
      </w:pPr>
      <w:r w:rsidRPr="009715E3">
        <w:rPr>
          <w:b/>
          <w:bCs/>
        </w:rPr>
        <w:t>Legal Lesson Learned:</w:t>
      </w:r>
      <w:r>
        <w:rPr>
          <w:b/>
          <w:bCs/>
        </w:rPr>
        <w:t xml:space="preserve">  The volunteer ambulance company did not have a “constitutionally protected interest” in the agreement with the Town; if feel being mistreated, bring it to attention of elected officials. </w:t>
      </w:r>
    </w:p>
    <w:p w14:paraId="37A1C0F1" w14:textId="77777777" w:rsidR="007C5017" w:rsidRPr="006569AE" w:rsidRDefault="007C5017" w:rsidP="007C5017">
      <w:pPr>
        <w:pStyle w:val="NormalWeb"/>
        <w:ind w:left="720"/>
        <w:rPr>
          <w:color w:val="0563C1" w:themeColor="hyperlink"/>
          <w:u w:val="single"/>
        </w:rPr>
      </w:pPr>
      <w:r>
        <w:t xml:space="preserve">Note: </w:t>
      </w:r>
      <w:r w:rsidRPr="00DA3539">
        <w:t xml:space="preserve">See </w:t>
      </w:r>
      <w:r>
        <w:t>this article.</w:t>
      </w:r>
      <w:r w:rsidRPr="00DA3539">
        <w:t xml:space="preserve">  Aug. 16, 2022:</w:t>
      </w:r>
      <w:r>
        <w:rPr>
          <w:b/>
          <w:bCs/>
        </w:rPr>
        <w:t xml:space="preserve">  “</w:t>
      </w:r>
      <w:r>
        <w:t xml:space="preserve">Ramapo Valley Ambulance Corps defunded after disputes; see why, town's plan for service.” </w:t>
      </w:r>
      <w:hyperlink r:id="rId2121" w:history="1">
        <w:r w:rsidRPr="00AB6C1F">
          <w:rPr>
            <w:rStyle w:val="Hyperlink"/>
          </w:rPr>
          <w:t>https://www.lohud.com/story/news/local/rockland/2022/08/16/ramapo-valley-ambulance-corps-defunded/65406353007/</w:t>
        </w:r>
      </w:hyperlink>
      <w:r>
        <w:rPr>
          <w:rStyle w:val="Hyperlink"/>
        </w:rPr>
        <w:t xml:space="preserve"> </w:t>
      </w:r>
      <w:r>
        <w:t>“Recently there has been a range of serious issues involving Ramapo Valley Ambulance Corps (RVAC), including missed dispatch calls, delayed response times, and poor response rate,” Specht said in statement. “Despite the town’s best efforts to urge RVAC to rectify what regrettably became a critical and unacceptable situation, the RVAC leadership, unfortunately, failed to do so, thereby compelling the town to take action to best protect Ramapo families.”</w:t>
      </w:r>
    </w:p>
    <w:p w14:paraId="18589CAD" w14:textId="77777777" w:rsidR="009B2B57" w:rsidRDefault="009B2B57" w:rsidP="006A02A4">
      <w:pPr>
        <w:rPr>
          <w:rFonts w:ascii="Arial Black" w:hAnsi="Arial Black"/>
          <w:b/>
          <w:bCs/>
          <w:sz w:val="28"/>
          <w:szCs w:val="28"/>
        </w:rPr>
      </w:pPr>
    </w:p>
    <w:p w14:paraId="40BB0F61" w14:textId="77777777" w:rsidR="009B2B57" w:rsidRDefault="009B2B57" w:rsidP="006A02A4">
      <w:pPr>
        <w:rPr>
          <w:rFonts w:ascii="Arial Black" w:hAnsi="Arial Black"/>
          <w:b/>
          <w:bCs/>
          <w:sz w:val="28"/>
          <w:szCs w:val="28"/>
        </w:rPr>
      </w:pPr>
    </w:p>
    <w:p w14:paraId="247B19DC" w14:textId="77777777" w:rsidR="009B2B57" w:rsidRDefault="009B2B57" w:rsidP="006A02A4">
      <w:pPr>
        <w:rPr>
          <w:rFonts w:ascii="Arial Black" w:hAnsi="Arial Black"/>
          <w:b/>
          <w:bCs/>
          <w:sz w:val="28"/>
          <w:szCs w:val="28"/>
        </w:rPr>
      </w:pPr>
    </w:p>
    <w:p w14:paraId="2192E90D" w14:textId="6349E24A" w:rsidR="006E6416" w:rsidRDefault="006E6416" w:rsidP="006A02A4">
      <w:pPr>
        <w:rPr>
          <w:rFonts w:ascii="Arial Black" w:hAnsi="Arial Black"/>
          <w:b/>
          <w:bCs/>
          <w:sz w:val="28"/>
          <w:szCs w:val="28"/>
        </w:rPr>
      </w:pPr>
      <w:r>
        <w:rPr>
          <w:rFonts w:ascii="Arial Black" w:hAnsi="Arial Black"/>
          <w:b/>
          <w:bCs/>
          <w:sz w:val="28"/>
          <w:szCs w:val="28"/>
        </w:rPr>
        <w:t>13-163</w:t>
      </w:r>
    </w:p>
    <w:p w14:paraId="5ED20E59" w14:textId="77777777" w:rsidR="0025382C" w:rsidRPr="00EA0B46" w:rsidRDefault="0025382C" w:rsidP="0025382C">
      <w:pPr>
        <w:pStyle w:val="NormalWeb"/>
        <w:rPr>
          <w:rFonts w:ascii="Arial Black" w:hAnsi="Arial Black"/>
          <w:b/>
          <w:bCs/>
          <w:sz w:val="28"/>
          <w:szCs w:val="28"/>
        </w:rPr>
      </w:pPr>
      <w:r>
        <w:rPr>
          <w:rFonts w:ascii="Arial Black" w:hAnsi="Arial Black"/>
          <w:b/>
          <w:bCs/>
          <w:sz w:val="28"/>
          <w:szCs w:val="28"/>
        </w:rPr>
        <w:t xml:space="preserve">KY: HIPAA – NO PRIVATE RIGHT TO SUE - HOSPITAL REPORTED PRISONER TRYING “DRINK HIMSELF TO DEATH” </w:t>
      </w:r>
    </w:p>
    <w:p w14:paraId="3B7D4B0B" w14:textId="77777777" w:rsidR="0025382C" w:rsidRDefault="0025382C" w:rsidP="0025382C">
      <w:pPr>
        <w:pStyle w:val="NormalWeb"/>
      </w:pPr>
      <w:r>
        <w:t xml:space="preserve">On Dec. 21, 2023, in </w:t>
      </w:r>
      <w:r w:rsidRPr="00C47073">
        <w:rPr>
          <w:u w:val="single"/>
        </w:rPr>
        <w:t>Michael Shane Reid v. Med Center Health / EMS</w:t>
      </w:r>
      <w:r>
        <w:t xml:space="preserve">, Senior U.S. District Court Judge Joseph H. McKinnley, Jr., U.S. District Court for Westen District of Kentucky, Bowling Green Division, dismissed a lawsuit against a hospital brought by a prisoner filing lawsuit pro se [no attorney]. The Court held: “Plaintiff's only claim in this action is based upon HIPAA. Title II of HIPAA, codified at </w:t>
      </w:r>
      <w:hyperlink r:id="rId2122" w:history="1">
        <w:r>
          <w:rPr>
            <w:rStyle w:val="Hyperlink"/>
          </w:rPr>
          <w:t>42 U.S.C. § 1320a</w:t>
        </w:r>
      </w:hyperlink>
      <w:r>
        <w:t xml:space="preserve"> </w:t>
      </w:r>
      <w:r>
        <w:rPr>
          <w:i/>
          <w:iCs/>
        </w:rPr>
        <w:t>et seq.</w:t>
      </w:r>
      <w:r>
        <w:t xml:space="preserve">, was created to protect against the unauthorized disclosure of health records and information by a medical provider. However, only the Secretary of the Department of Health and Human Services may file suit to enforce its provisions… Private citizens have no standing to sue for a violation of HIPAA because HIPAA does not authorize a private cause of action.” </w:t>
      </w:r>
      <w:hyperlink r:id="rId2123" w:history="1">
        <w:r w:rsidRPr="003C47C7">
          <w:rPr>
            <w:rStyle w:val="Hyperlink"/>
          </w:rPr>
          <w:t>https://casetext.com/case/reid-v-med-ctr-healthems</w:t>
        </w:r>
      </w:hyperlink>
      <w:r>
        <w:t xml:space="preserve"> </w:t>
      </w:r>
    </w:p>
    <w:p w14:paraId="5E610E5F" w14:textId="77777777" w:rsidR="009B2B57" w:rsidRDefault="009B2B57" w:rsidP="009B2B57">
      <w:pPr>
        <w:pStyle w:val="NormalWeb"/>
        <w:rPr>
          <w:b/>
          <w:bCs/>
        </w:rPr>
      </w:pPr>
      <w:r w:rsidRPr="00AA30DE">
        <w:rPr>
          <w:b/>
          <w:bCs/>
        </w:rPr>
        <w:t>Legal Lesson Learned:</w:t>
      </w:r>
      <w:r>
        <w:rPr>
          <w:b/>
          <w:bCs/>
        </w:rPr>
        <w:t xml:space="preserve"> HIPAA does not authorize citizen lawsuits. </w:t>
      </w:r>
    </w:p>
    <w:p w14:paraId="4C712C6D" w14:textId="77777777" w:rsidR="009B2B57" w:rsidRPr="009B2B57" w:rsidRDefault="009B2B57" w:rsidP="009B2B57">
      <w:pPr>
        <w:pStyle w:val="Heading2"/>
        <w:ind w:left="720"/>
        <w:rPr>
          <w:rFonts w:ascii="Times New Roman" w:hAnsi="Times New Roman"/>
          <w:b w:val="0"/>
          <w:bCs w:val="0"/>
          <w:i w:val="0"/>
          <w:iCs w:val="0"/>
          <w:sz w:val="24"/>
          <w:szCs w:val="24"/>
        </w:rPr>
      </w:pPr>
      <w:r w:rsidRPr="009B2B57">
        <w:rPr>
          <w:rFonts w:ascii="Times New Roman" w:hAnsi="Times New Roman"/>
          <w:b w:val="0"/>
          <w:bCs w:val="0"/>
          <w:i w:val="0"/>
          <w:iCs w:val="0"/>
          <w:color w:val="000000" w:themeColor="text1"/>
          <w:sz w:val="24"/>
          <w:szCs w:val="24"/>
        </w:rPr>
        <w:t xml:space="preserve">Note: See HIPAA Enforcement Actions. Enforcement Results as of October 31, 2023. </w:t>
      </w:r>
      <w:hyperlink r:id="rId2124" w:history="1">
        <w:r w:rsidRPr="009B2B57">
          <w:rPr>
            <w:rStyle w:val="Hyperlink"/>
            <w:rFonts w:ascii="Times New Roman" w:hAnsi="Times New Roman"/>
            <w:b w:val="0"/>
            <w:bCs w:val="0"/>
            <w:i w:val="0"/>
            <w:iCs w:val="0"/>
            <w:sz w:val="24"/>
            <w:szCs w:val="24"/>
          </w:rPr>
          <w:t>https://www.hhs.gov/hipaa/for-professionals/compliance-enforcement/data/enforcement-highlights/index.html</w:t>
        </w:r>
      </w:hyperlink>
      <w:r w:rsidRPr="009B2B57">
        <w:rPr>
          <w:rFonts w:ascii="Times New Roman" w:hAnsi="Times New Roman"/>
          <w:b w:val="0"/>
          <w:bCs w:val="0"/>
          <w:i w:val="0"/>
          <w:iCs w:val="0"/>
          <w:color w:val="000000" w:themeColor="text1"/>
          <w:sz w:val="24"/>
          <w:szCs w:val="24"/>
        </w:rPr>
        <w:t xml:space="preserve">. </w:t>
      </w:r>
      <w:r w:rsidRPr="009B2B57">
        <w:rPr>
          <w:rFonts w:ascii="Times New Roman" w:hAnsi="Times New Roman"/>
          <w:b w:val="0"/>
          <w:bCs w:val="0"/>
          <w:i w:val="0"/>
          <w:iCs w:val="0"/>
          <w:sz w:val="24"/>
          <w:szCs w:val="24"/>
        </w:rPr>
        <w:t>“Since the compliance date of the Privacy Rule in April 2003, OCR has received over 344,607 HIPAA complaints and has initiated over 1,179 compliance reviews.  We have resolved ninety-nine percent of these cases (341,304).”</w:t>
      </w:r>
    </w:p>
    <w:p w14:paraId="2CC235B4" w14:textId="77777777" w:rsidR="009B2B57" w:rsidRPr="00C13067" w:rsidRDefault="009B2B57" w:rsidP="009B2B57">
      <w:pPr>
        <w:pStyle w:val="Heading1"/>
        <w:ind w:left="720"/>
        <w:rPr>
          <w:sz w:val="24"/>
          <w:szCs w:val="24"/>
        </w:rPr>
      </w:pPr>
      <w:r w:rsidRPr="00C13067">
        <w:rPr>
          <w:b w:val="0"/>
          <w:bCs w:val="0"/>
          <w:sz w:val="24"/>
          <w:szCs w:val="24"/>
        </w:rPr>
        <w:t>For example:</w:t>
      </w:r>
      <w:r>
        <w:t xml:space="preserve"> </w:t>
      </w:r>
      <w:r w:rsidRPr="00C13067">
        <w:rPr>
          <w:b w:val="0"/>
          <w:bCs w:val="0"/>
          <w:sz w:val="24"/>
          <w:szCs w:val="24"/>
        </w:rPr>
        <w:t xml:space="preserve">Dec. 30, 2019: </w:t>
      </w:r>
      <w:r>
        <w:rPr>
          <w:b w:val="0"/>
          <w:bCs w:val="0"/>
          <w:sz w:val="24"/>
          <w:szCs w:val="24"/>
        </w:rPr>
        <w:t>“</w:t>
      </w:r>
      <w:r w:rsidRPr="00C13067">
        <w:rPr>
          <w:b w:val="0"/>
          <w:bCs w:val="0"/>
          <w:sz w:val="24"/>
          <w:szCs w:val="24"/>
        </w:rPr>
        <w:t>Ambulance Company Pays $65,000 to Settle Allegations of Longstanding HIPAA Noncompliance</w:t>
      </w:r>
      <w:r>
        <w:rPr>
          <w:b w:val="0"/>
          <w:bCs w:val="0"/>
          <w:sz w:val="24"/>
          <w:szCs w:val="24"/>
        </w:rPr>
        <w:t xml:space="preserve">.” </w:t>
      </w:r>
      <w:hyperlink r:id="rId2125" w:history="1">
        <w:r w:rsidRPr="003C47C7">
          <w:rPr>
            <w:rStyle w:val="Hyperlink"/>
            <w:b w:val="0"/>
            <w:bCs w:val="0"/>
            <w:sz w:val="24"/>
            <w:szCs w:val="24"/>
          </w:rPr>
          <w:t>https://public3.pagefreezer.com/browse/HHS.gov/31-12-2020T08:51/https://www.hhs.gov/about/news/2019/12/30/ambulance-company-pays-65000-settle-allegations-longstanding-hipaa-noncompliance.html</w:t>
        </w:r>
      </w:hyperlink>
      <w:r>
        <w:rPr>
          <w:b w:val="0"/>
          <w:bCs w:val="0"/>
          <w:sz w:val="24"/>
          <w:szCs w:val="24"/>
        </w:rPr>
        <w:t xml:space="preserve">. </w:t>
      </w:r>
    </w:p>
    <w:p w14:paraId="319307A5" w14:textId="77777777" w:rsidR="009B2B57" w:rsidRPr="00C13067" w:rsidRDefault="009B2B57" w:rsidP="009B2B57">
      <w:pPr>
        <w:pStyle w:val="NormalWeb"/>
        <w:ind w:left="720"/>
      </w:pPr>
      <w:r>
        <w:t>“</w:t>
      </w:r>
      <w:r w:rsidRPr="00C13067">
        <w:t>West Georgia Ambulance, Inc. (West Georgia), has agreed to pay $65,000 to the Office for Civil Rights (OCR) at the U.S. Department of Health and Human Services (HHS) and to adopt a corrective action plan to settle potential violations of the Health Insurance Portability and Accountability Act (HIPAA) Security Rule. West Georgia is an ambulance company that provides emergency and non-emergency ambulance services in Carroll County, Georgia.</w:t>
      </w:r>
    </w:p>
    <w:p w14:paraId="709902D4" w14:textId="77777777" w:rsidR="009B2B57" w:rsidRPr="00C13067" w:rsidRDefault="009B2B57" w:rsidP="009B2B57">
      <w:pPr>
        <w:pStyle w:val="NormalWeb"/>
        <w:ind w:left="720"/>
      </w:pPr>
      <w:r w:rsidRPr="00C13067">
        <w:t xml:space="preserve">OCR began its investigation after West Georgia filed a breach report in 2013 concerning the loss of an unencrypted laptop containing the protected health information (PHI) of 500 individuals. OCR’s investigation uncovered long-standing noncompliance with the HIPAA Rules, including failures to conduct a risk analysis, </w:t>
      </w:r>
      <w:proofErr w:type="gramStart"/>
      <w:r w:rsidRPr="00C13067">
        <w:t>provide</w:t>
      </w:r>
      <w:proofErr w:type="gramEnd"/>
      <w:r w:rsidRPr="00C13067">
        <w:t xml:space="preserve"> a security awareness and training program, and </w:t>
      </w:r>
      <w:proofErr w:type="gramStart"/>
      <w:r w:rsidRPr="00C13067">
        <w:t>implement</w:t>
      </w:r>
      <w:proofErr w:type="gramEnd"/>
      <w:r w:rsidRPr="00C13067">
        <w:t xml:space="preserve"> HIPAA Security Rule policies and procedures. Despite OCR’s investigation and technical assistance, West Georgia did not take meaningful steps to address their systemic failures.</w:t>
      </w:r>
      <w:r>
        <w:t>”</w:t>
      </w:r>
    </w:p>
    <w:p w14:paraId="390E8091" w14:textId="77777777" w:rsidR="009B2B57" w:rsidRPr="006455BA" w:rsidRDefault="009B2B57" w:rsidP="009B2B57">
      <w:pPr>
        <w:pStyle w:val="NormalWeb"/>
        <w:ind w:left="720"/>
      </w:pPr>
      <w:r>
        <w:t>Other e</w:t>
      </w:r>
      <w:r w:rsidRPr="006455BA">
        <w:t xml:space="preserve">xamples of HIPAA </w:t>
      </w:r>
      <w:r>
        <w:t xml:space="preserve">enforcement actions: </w:t>
      </w:r>
      <w:hyperlink r:id="rId2126" w:anchor="case5" w:history="1">
        <w:r w:rsidRPr="003C47C7">
          <w:rPr>
            <w:rStyle w:val="Hyperlink"/>
          </w:rPr>
          <w:t>https://www.hhs.gov/hipaa/for-professionals/compliance-enforcement/examples/all-cases/index.html#case5</w:t>
        </w:r>
      </w:hyperlink>
      <w:r w:rsidRPr="006455BA">
        <w:t xml:space="preserve"> </w:t>
      </w:r>
    </w:p>
    <w:p w14:paraId="175D82BA" w14:textId="77777777" w:rsidR="006E6416" w:rsidRDefault="006E6416" w:rsidP="006A02A4">
      <w:pPr>
        <w:rPr>
          <w:rFonts w:ascii="Arial Black" w:hAnsi="Arial Black"/>
          <w:b/>
          <w:bCs/>
          <w:sz w:val="28"/>
          <w:szCs w:val="28"/>
        </w:rPr>
      </w:pPr>
    </w:p>
    <w:p w14:paraId="4A7BFABE" w14:textId="77777777" w:rsidR="006E6416" w:rsidRDefault="006E6416" w:rsidP="006A02A4">
      <w:pPr>
        <w:rPr>
          <w:rFonts w:ascii="Arial Black" w:hAnsi="Arial Black"/>
          <w:b/>
          <w:bCs/>
          <w:sz w:val="28"/>
          <w:szCs w:val="28"/>
        </w:rPr>
      </w:pPr>
    </w:p>
    <w:p w14:paraId="26C42740" w14:textId="77777777" w:rsidR="006E6416" w:rsidRDefault="006E6416" w:rsidP="006A02A4">
      <w:pPr>
        <w:rPr>
          <w:rFonts w:ascii="Arial Black" w:hAnsi="Arial Black"/>
          <w:b/>
          <w:bCs/>
          <w:sz w:val="28"/>
          <w:szCs w:val="28"/>
        </w:rPr>
      </w:pPr>
    </w:p>
    <w:p w14:paraId="3BA1217D" w14:textId="114F3580" w:rsidR="00592CB5" w:rsidRDefault="00592CB5" w:rsidP="006A02A4">
      <w:pPr>
        <w:rPr>
          <w:rFonts w:ascii="Arial Black" w:hAnsi="Arial Black"/>
          <w:b/>
          <w:bCs/>
          <w:sz w:val="28"/>
          <w:szCs w:val="28"/>
        </w:rPr>
      </w:pPr>
      <w:r>
        <w:rPr>
          <w:rFonts w:ascii="Arial Black" w:hAnsi="Arial Black"/>
          <w:b/>
          <w:bCs/>
          <w:sz w:val="28"/>
          <w:szCs w:val="28"/>
        </w:rPr>
        <w:t>13-162</w:t>
      </w:r>
    </w:p>
    <w:p w14:paraId="06753EE1" w14:textId="77777777" w:rsidR="00C7649B" w:rsidRDefault="00C7649B" w:rsidP="00C7649B">
      <w:pPr>
        <w:pStyle w:val="NormalWeb"/>
        <w:rPr>
          <w:rFonts w:ascii="Arial Black" w:hAnsi="Arial Black"/>
          <w:sz w:val="28"/>
          <w:szCs w:val="28"/>
        </w:rPr>
      </w:pPr>
      <w:r>
        <w:rPr>
          <w:rFonts w:ascii="Arial Black" w:hAnsi="Arial Black"/>
          <w:sz w:val="28"/>
          <w:szCs w:val="28"/>
        </w:rPr>
        <w:t xml:space="preserve">PA: HOSPITAL AMBUL. EMS “GOOD SAMARITAN” IMMUNITY - NON-EMERG. </w:t>
      </w:r>
      <w:proofErr w:type="gramStart"/>
      <w:r>
        <w:rPr>
          <w:rFonts w:ascii="Arial Black" w:hAnsi="Arial Black"/>
          <w:sz w:val="28"/>
          <w:szCs w:val="28"/>
        </w:rPr>
        <w:t>TRANSPORT,</w:t>
      </w:r>
      <w:proofErr w:type="gramEnd"/>
      <w:r>
        <w:rPr>
          <w:rFonts w:ascii="Arial Black" w:hAnsi="Arial Black"/>
          <w:sz w:val="28"/>
          <w:szCs w:val="28"/>
        </w:rPr>
        <w:t xml:space="preserve"> STOPPED TO PERFORM CPR</w:t>
      </w:r>
    </w:p>
    <w:p w14:paraId="5AF9F4CF" w14:textId="77777777" w:rsidR="00C7649B" w:rsidRDefault="00C7649B" w:rsidP="00C7649B">
      <w:pPr>
        <w:pStyle w:val="NormalWeb"/>
      </w:pPr>
      <w:r>
        <w:t xml:space="preserve">On Dec. 20, 2023, in </w:t>
      </w:r>
      <w:r w:rsidRPr="003E5ADD">
        <w:rPr>
          <w:u w:val="single"/>
        </w:rPr>
        <w:t xml:space="preserve">Desiree Lamarr-Murphy. Individually and as Administratrix of the Estate of Christopher B. Murphy, deceased, and Briannah </w:t>
      </w:r>
      <w:proofErr w:type="spellStart"/>
      <w:r w:rsidRPr="003E5ADD">
        <w:rPr>
          <w:u w:val="single"/>
        </w:rPr>
        <w:t>Lahmarr</w:t>
      </w:r>
      <w:proofErr w:type="spellEnd"/>
      <w:r w:rsidRPr="003E5ADD">
        <w:rPr>
          <w:u w:val="single"/>
        </w:rPr>
        <w:t xml:space="preserve"> v. Delaware County Memorial Hospital, et al.</w:t>
      </w:r>
      <w:r>
        <w:t>, the Superior Court of Pennsylvania held (3 to 0; non-presidential decision) that trial court properly entered judgment for two EMS and hospital. “</w:t>
      </w:r>
      <w:r w:rsidRPr="005F5B35">
        <w:t>Thus, DCMH, acting in its limited role as a provider of emergency</w:t>
      </w:r>
      <w:r>
        <w:t xml:space="preserve"> ambulatory services, and its emergency responder employees, DCMH EMS, were protected under the Good Samaritan Act.”  After an 8-day jury trial, the jury found 39-year-old patient with history of blood clots in his legs was 51% contributory negligent for not seeking medical </w:t>
      </w:r>
      <w:proofErr w:type="gramStart"/>
      <w:r>
        <w:t xml:space="preserve">attentions </w:t>
      </w:r>
      <w:proofErr w:type="gramEnd"/>
      <w:r>
        <w:t xml:space="preserve">large blood </w:t>
      </w:r>
      <w:proofErr w:type="gramStart"/>
      <w:r>
        <w:t>clot</w:t>
      </w:r>
      <w:proofErr w:type="gramEnd"/>
      <w:r>
        <w:t xml:space="preserve"> led to cardiac arrest in ambulance.  </w:t>
      </w:r>
      <w:hyperlink r:id="rId2127" w:history="1">
        <w:r w:rsidRPr="00601FD5">
          <w:rPr>
            <w:rStyle w:val="Hyperlink"/>
          </w:rPr>
          <w:t>https://cases.justia.com/pennsylvania/superior-court/2023-1846-eda-2021.pdf?ts=1703100172</w:t>
        </w:r>
      </w:hyperlink>
      <w:r>
        <w:t xml:space="preserve"> </w:t>
      </w:r>
    </w:p>
    <w:p w14:paraId="431797A9" w14:textId="77777777" w:rsidR="006E6416" w:rsidRDefault="006E6416" w:rsidP="006E6416">
      <w:pPr>
        <w:pStyle w:val="NormalWeb"/>
        <w:rPr>
          <w:b/>
          <w:bCs/>
        </w:rPr>
      </w:pPr>
      <w:r w:rsidRPr="0070397E">
        <w:rPr>
          <w:b/>
          <w:bCs/>
        </w:rPr>
        <w:t>Legal Lesson Learned:</w:t>
      </w:r>
      <w:r>
        <w:rPr>
          <w:b/>
          <w:bCs/>
        </w:rPr>
        <w:t xml:space="preserve"> Expert witnesses confirmed non-emergency transport was consistent with PA protocols; PA “Good Samaritan” statute provides immunity for EMS, unless acting with gross negligence, including </w:t>
      </w:r>
      <w:proofErr w:type="gramStart"/>
      <w:r>
        <w:rPr>
          <w:b/>
          <w:bCs/>
        </w:rPr>
        <w:t>hospital based</w:t>
      </w:r>
      <w:proofErr w:type="gramEnd"/>
      <w:r>
        <w:rPr>
          <w:b/>
          <w:bCs/>
        </w:rPr>
        <w:t xml:space="preserve"> EMS. </w:t>
      </w:r>
    </w:p>
    <w:p w14:paraId="7B2203BC" w14:textId="77777777" w:rsidR="006E6416" w:rsidRDefault="006E6416" w:rsidP="006E6416">
      <w:pPr>
        <w:pStyle w:val="NormalWeb"/>
      </w:pPr>
      <w:r>
        <w:rPr>
          <w:b/>
          <w:bCs/>
        </w:rPr>
        <w:tab/>
      </w:r>
      <w:r w:rsidRPr="00D35C79">
        <w:t>Note:</w:t>
      </w:r>
      <w:r>
        <w:rPr>
          <w:b/>
          <w:bCs/>
        </w:rPr>
        <w:t xml:space="preserve">  </w:t>
      </w:r>
      <w:r w:rsidRPr="00165EB6">
        <w:t>The</w:t>
      </w:r>
      <w:r>
        <w:t xml:space="preserve"> PA</w:t>
      </w:r>
      <w:r w:rsidRPr="00165EB6">
        <w:t xml:space="preserve"> Good Samaritan Act provides, in pertinent part: </w:t>
      </w:r>
    </w:p>
    <w:p w14:paraId="62F63F3A" w14:textId="77777777" w:rsidR="006E6416" w:rsidRPr="00165EB6" w:rsidRDefault="006E6416" w:rsidP="006E6416">
      <w:pPr>
        <w:pStyle w:val="NormalWeb"/>
        <w:ind w:left="1440"/>
      </w:pPr>
      <w:r w:rsidRPr="00165EB6">
        <w:t>(a) General rule</w:t>
      </w:r>
      <w:r w:rsidRPr="00165EB6">
        <w:rPr>
          <w:i/>
          <w:iCs/>
        </w:rPr>
        <w:t>.</w:t>
      </w:r>
      <w:r w:rsidRPr="00165EB6">
        <w:t xml:space="preserve"> - Any person, including an emergency response provider, whether or not trained to practice medicine, who in good faith renders emergency care, treatment, first aid or rescue at the scene of an emergency event or crime, or who moves the person receiving such care, first aid or rescue to a hospital or other place of medical care, shall not be liable for any civil damages as a result of rendering such care, except in any act or omission intentionally designed to harm or any grossly negligent acts or omissions which result in harm to the person receiving emergency care or being moved to a hospital or other place of medical care. </w:t>
      </w:r>
    </w:p>
    <w:p w14:paraId="0B037922" w14:textId="77777777" w:rsidR="00592CB5" w:rsidRDefault="00592CB5" w:rsidP="006A02A4">
      <w:pPr>
        <w:rPr>
          <w:rFonts w:ascii="Arial Black" w:hAnsi="Arial Black"/>
          <w:b/>
          <w:bCs/>
          <w:sz w:val="28"/>
          <w:szCs w:val="28"/>
        </w:rPr>
      </w:pPr>
    </w:p>
    <w:p w14:paraId="12A90D1F" w14:textId="77777777" w:rsidR="00592CB5" w:rsidRDefault="00592CB5" w:rsidP="006A02A4">
      <w:pPr>
        <w:rPr>
          <w:rFonts w:ascii="Arial Black" w:hAnsi="Arial Black"/>
          <w:b/>
          <w:bCs/>
          <w:sz w:val="28"/>
          <w:szCs w:val="28"/>
        </w:rPr>
      </w:pPr>
    </w:p>
    <w:p w14:paraId="72E0E53B" w14:textId="1F4AC660" w:rsidR="003D5ECA" w:rsidRDefault="003D5ECA" w:rsidP="006A02A4">
      <w:pPr>
        <w:rPr>
          <w:rFonts w:ascii="Arial Black" w:hAnsi="Arial Black"/>
          <w:b/>
          <w:bCs/>
          <w:sz w:val="28"/>
          <w:szCs w:val="28"/>
        </w:rPr>
      </w:pPr>
      <w:r>
        <w:rPr>
          <w:rFonts w:ascii="Arial Black" w:hAnsi="Arial Black"/>
          <w:b/>
          <w:bCs/>
          <w:sz w:val="28"/>
          <w:szCs w:val="28"/>
        </w:rPr>
        <w:t>13-161</w:t>
      </w:r>
    </w:p>
    <w:p w14:paraId="050C1C7F" w14:textId="77777777" w:rsidR="003D5ECA" w:rsidRDefault="003D5ECA" w:rsidP="003D5ECA">
      <w:pPr>
        <w:pStyle w:val="NormalWeb"/>
      </w:pPr>
      <w:r>
        <w:rPr>
          <w:rFonts w:ascii="Arial Black" w:hAnsi="Arial Black"/>
          <w:sz w:val="28"/>
          <w:szCs w:val="28"/>
        </w:rPr>
        <w:t>MN: MEDIC RESIGNED AFTER PUT ON PIP – NO 1</w:t>
      </w:r>
      <w:r w:rsidRPr="006A5EC7">
        <w:rPr>
          <w:rFonts w:ascii="Arial Black" w:hAnsi="Arial Black"/>
          <w:sz w:val="28"/>
          <w:szCs w:val="28"/>
          <w:vertAlign w:val="superscript"/>
        </w:rPr>
        <w:t>st</w:t>
      </w:r>
      <w:r>
        <w:rPr>
          <w:rFonts w:ascii="Arial Black" w:hAnsi="Arial Black"/>
          <w:sz w:val="28"/>
          <w:szCs w:val="28"/>
        </w:rPr>
        <w:t xml:space="preserve"> AMEND. SPEECH CASE - SPOKE ABOUT EMS TRAINING RECORDS</w:t>
      </w:r>
    </w:p>
    <w:p w14:paraId="3CADE404" w14:textId="77777777" w:rsidR="003D5ECA" w:rsidRDefault="003D5ECA" w:rsidP="003D5ECA">
      <w:pPr>
        <w:pStyle w:val="NormalWeb"/>
      </w:pPr>
      <w:r>
        <w:t xml:space="preserve">On Dec. 20, 2023, in </w:t>
      </w:r>
      <w:r w:rsidRPr="00926837">
        <w:rPr>
          <w:u w:val="single"/>
        </w:rPr>
        <w:t>Joseph Paul Baker v. The City of Woodbury, et al</w:t>
      </w:r>
      <w:r>
        <w:t xml:space="preserve">., U.S. District Court Judge David S. Doty, U.S. District Court for District of Minnesota granted the City’s motion for summary judgement. The Court wrote: “Baker claims that defendants Wallgren, Klein, and Guiton retaliated against him for questioning the EMS training records and complaining about Ehrenberg's request to prepare ketamine by placing him on a PIP, in violation of his right to free speech under the First Amendment. *** To determine whether the employee engaged in speech protected by the First Amendment, the court must first consider whether ‘the employee spoke as a citizen on a matter of public concern.’ </w:t>
      </w:r>
      <w:r>
        <w:rPr>
          <w:i/>
          <w:iCs/>
        </w:rPr>
        <w:t>Garcetti v. Ceballos</w:t>
      </w:r>
      <w:r>
        <w:t xml:space="preserve">, 54 7 U.S. 410, 418 (2014). ‘If the answer is no, the employee has no First Amendment cause of action based on his ... employer's reaction to the speech.*** When Baker made statements about the training records, the undisputed facts show that he did so within the scope of his duties as a member of the education group. In that role, Baker was responsible for, among other things, assessing and maintaining training documentation for submission to the EMSRB. Baker discovered the alleged deficiencies when carrying out those duties. He would not have been able to make such a discovery without access to the training records of each paramedic, along with their corresponding certifications. It is undisputed that those detailed records are not available to the </w:t>
      </w:r>
      <w:proofErr w:type="gramStart"/>
      <w:r>
        <w:t>general public</w:t>
      </w:r>
      <w:proofErr w:type="gramEnd"/>
      <w:r>
        <w:t xml:space="preserve">. Further, Baker reported the alleged deficiencies to his superiors after first discussing </w:t>
      </w:r>
      <w:proofErr w:type="gramStart"/>
      <w:r>
        <w:t>it</w:t>
      </w:r>
      <w:proofErr w:type="gramEnd"/>
      <w:r>
        <w:t xml:space="preserve"> with his fellow education group members, thus tying his concerns directly to his role in the education group rather than merely as a concerned citizen. Under these circumstances, there is no serious debate that Baker's speech owes its existence to his professional responsibilities and therefore is not protected by the First Amendment.” </w:t>
      </w:r>
      <w:hyperlink r:id="rId2128" w:history="1">
        <w:r w:rsidRPr="0044657D">
          <w:rPr>
            <w:rStyle w:val="Hyperlink"/>
          </w:rPr>
          <w:t>https://casetext.com/case/baker-v-city-of-woodbury</w:t>
        </w:r>
      </w:hyperlink>
      <w:r>
        <w:t xml:space="preserve"> </w:t>
      </w:r>
    </w:p>
    <w:p w14:paraId="45186F9A" w14:textId="77777777" w:rsidR="00592CB5" w:rsidRPr="00E57DEF" w:rsidRDefault="00592CB5" w:rsidP="00592CB5">
      <w:pPr>
        <w:pStyle w:val="NormalWeb"/>
        <w:rPr>
          <w:b/>
          <w:bCs/>
        </w:rPr>
      </w:pPr>
      <w:r w:rsidRPr="00E57DEF">
        <w:rPr>
          <w:b/>
          <w:bCs/>
        </w:rPr>
        <w:t xml:space="preserve">Legal Lesson Learned: </w:t>
      </w:r>
      <w:r>
        <w:rPr>
          <w:b/>
          <w:bCs/>
        </w:rPr>
        <w:t xml:space="preserve">PIP can be an effective management tool, either to get </w:t>
      </w:r>
      <w:proofErr w:type="gramStart"/>
      <w:r>
        <w:rPr>
          <w:b/>
          <w:bCs/>
        </w:rPr>
        <w:t>employee</w:t>
      </w:r>
      <w:proofErr w:type="gramEnd"/>
      <w:r>
        <w:rPr>
          <w:b/>
          <w:bCs/>
        </w:rPr>
        <w:t xml:space="preserve"> to improve or to look for another job.</w:t>
      </w:r>
    </w:p>
    <w:p w14:paraId="689A5DC4" w14:textId="77777777" w:rsidR="003D5ECA" w:rsidRDefault="003D5ECA" w:rsidP="006A02A4">
      <w:pPr>
        <w:rPr>
          <w:rFonts w:ascii="Arial Black" w:hAnsi="Arial Black"/>
          <w:b/>
          <w:bCs/>
          <w:sz w:val="28"/>
          <w:szCs w:val="28"/>
        </w:rPr>
      </w:pPr>
    </w:p>
    <w:p w14:paraId="4566F530" w14:textId="77777777" w:rsidR="003D5ECA" w:rsidRDefault="003D5ECA" w:rsidP="006A02A4">
      <w:pPr>
        <w:rPr>
          <w:rFonts w:ascii="Arial Black" w:hAnsi="Arial Black"/>
          <w:b/>
          <w:bCs/>
          <w:sz w:val="28"/>
          <w:szCs w:val="28"/>
        </w:rPr>
      </w:pPr>
    </w:p>
    <w:p w14:paraId="2FF3E591" w14:textId="38C70065" w:rsidR="002D6690" w:rsidRDefault="002D6690" w:rsidP="006A02A4">
      <w:pPr>
        <w:rPr>
          <w:rFonts w:ascii="Arial Black" w:hAnsi="Arial Black"/>
          <w:b/>
          <w:bCs/>
          <w:sz w:val="28"/>
          <w:szCs w:val="28"/>
        </w:rPr>
      </w:pPr>
      <w:r>
        <w:rPr>
          <w:rFonts w:ascii="Arial Black" w:hAnsi="Arial Black"/>
          <w:b/>
          <w:bCs/>
          <w:sz w:val="28"/>
          <w:szCs w:val="28"/>
        </w:rPr>
        <w:t>13-</w:t>
      </w:r>
      <w:r w:rsidR="002410DA">
        <w:rPr>
          <w:rFonts w:ascii="Arial Black" w:hAnsi="Arial Black"/>
          <w:b/>
          <w:bCs/>
          <w:sz w:val="28"/>
          <w:szCs w:val="28"/>
        </w:rPr>
        <w:t>160</w:t>
      </w:r>
    </w:p>
    <w:p w14:paraId="10B2F53E" w14:textId="77777777" w:rsidR="002410DA" w:rsidRPr="001F329A" w:rsidRDefault="002410DA" w:rsidP="002410DA">
      <w:pPr>
        <w:pStyle w:val="NormalWeb"/>
        <w:rPr>
          <w:rFonts w:ascii="Arial Black" w:hAnsi="Arial Black"/>
          <w:sz w:val="28"/>
          <w:szCs w:val="28"/>
        </w:rPr>
      </w:pPr>
      <w:r>
        <w:rPr>
          <w:rFonts w:ascii="Arial Black" w:hAnsi="Arial Black"/>
          <w:sz w:val="28"/>
          <w:szCs w:val="28"/>
        </w:rPr>
        <w:t>CO: HOSPITAL PARAMEDIC FIRED – EPINEPHRINE TO WOMAN PARKING LOT – QR FILES CONFIDENTIAL</w:t>
      </w:r>
    </w:p>
    <w:p w14:paraId="30ED0A5A" w14:textId="3C770E23" w:rsidR="002410DA" w:rsidRDefault="002410DA" w:rsidP="002410DA">
      <w:pPr>
        <w:rPr>
          <w:rStyle w:val="Hyperlink"/>
          <w:rFonts w:ascii="Times New Roman" w:hAnsi="Times New Roman"/>
          <w:sz w:val="24"/>
          <w:szCs w:val="24"/>
        </w:rPr>
      </w:pPr>
      <w:r w:rsidRPr="002410DA">
        <w:rPr>
          <w:rFonts w:ascii="Times New Roman" w:hAnsi="Times New Roman"/>
          <w:sz w:val="24"/>
          <w:szCs w:val="24"/>
        </w:rPr>
        <w:t xml:space="preserve">On Nov. 14, 2023, in </w:t>
      </w:r>
      <w:r w:rsidRPr="002410DA">
        <w:rPr>
          <w:rFonts w:ascii="Times New Roman" w:hAnsi="Times New Roman"/>
          <w:sz w:val="24"/>
          <w:szCs w:val="24"/>
          <w:u w:val="single"/>
        </w:rPr>
        <w:t xml:space="preserve">Jordan Christensen v. Denver Health </w:t>
      </w:r>
      <w:proofErr w:type="gramStart"/>
      <w:r w:rsidRPr="002410DA">
        <w:rPr>
          <w:rFonts w:ascii="Times New Roman" w:hAnsi="Times New Roman"/>
          <w:sz w:val="24"/>
          <w:szCs w:val="24"/>
          <w:u w:val="single"/>
        </w:rPr>
        <w:t>And</w:t>
      </w:r>
      <w:proofErr w:type="gramEnd"/>
      <w:r w:rsidRPr="002410DA">
        <w:rPr>
          <w:rFonts w:ascii="Times New Roman" w:hAnsi="Times New Roman"/>
          <w:sz w:val="24"/>
          <w:szCs w:val="24"/>
          <w:u w:val="single"/>
        </w:rPr>
        <w:t xml:space="preserve"> Hospital Authority, doing business as Denver Heath Paramedic Division</w:t>
      </w:r>
      <w:r w:rsidRPr="002410DA">
        <w:rPr>
          <w:rFonts w:ascii="Times New Roman" w:hAnsi="Times New Roman"/>
          <w:sz w:val="24"/>
          <w:szCs w:val="24"/>
        </w:rPr>
        <w:t xml:space="preserve">, U.S. Magistrate Judge Kathryn A. </w:t>
      </w:r>
      <w:proofErr w:type="spellStart"/>
      <w:r w:rsidRPr="002410DA">
        <w:rPr>
          <w:rFonts w:ascii="Times New Roman" w:hAnsi="Times New Roman"/>
          <w:sz w:val="24"/>
          <w:szCs w:val="24"/>
        </w:rPr>
        <w:t>Starnella</w:t>
      </w:r>
      <w:proofErr w:type="spellEnd"/>
      <w:r w:rsidRPr="002410DA">
        <w:rPr>
          <w:rFonts w:ascii="Times New Roman" w:hAnsi="Times New Roman"/>
          <w:sz w:val="24"/>
          <w:szCs w:val="24"/>
        </w:rPr>
        <w:t xml:space="preserve">, U.S. District Cort for District of Colorado, denied Plaintiff's Motion to Compel Production of the Quality Review File.  The termination decision was made by the Medical Director of the Paramedic Division, not on the hospital’s Quality Review Committee; the QR file is confidential under Federal and State statutes.  </w:t>
      </w:r>
      <w:hyperlink r:id="rId2129" w:history="1">
        <w:r w:rsidRPr="002410DA">
          <w:rPr>
            <w:rStyle w:val="Hyperlink"/>
            <w:rFonts w:ascii="Times New Roman" w:hAnsi="Times New Roman"/>
            <w:sz w:val="24"/>
            <w:szCs w:val="24"/>
          </w:rPr>
          <w:t>https://public.fastcase.com/ZZhmr5v9wN%2FXOe5IsQ%2FqD%2B1qjdbNtrbKnJG3uP2WWVmhlF8pu7dlSanIpJbUEtpE?utm_medium=email&amp;_hsmi=226712652&amp;_hsenc=p2ANqtz-_3swjkE_U3wk1h5U8jVat2QL8kZwPHoy86W6A4pHNVHtwV__0ZHK6m0x71w6miyP2O__WwBW9V-f993pnbFbogevKSBQ&amp;utm_content=226712652&amp;utm_source=hs_email</w:t>
        </w:r>
      </w:hyperlink>
    </w:p>
    <w:p w14:paraId="5E4AF293" w14:textId="77777777" w:rsidR="00BC2A27" w:rsidRDefault="00BC2A27" w:rsidP="00BC2A27">
      <w:pPr>
        <w:pStyle w:val="NormalWeb"/>
        <w:rPr>
          <w:b/>
          <w:bCs/>
        </w:rPr>
      </w:pPr>
      <w:r w:rsidRPr="007F3790">
        <w:rPr>
          <w:b/>
          <w:bCs/>
        </w:rPr>
        <w:t>Legal Lesson Learned:</w:t>
      </w:r>
      <w:r>
        <w:rPr>
          <w:b/>
          <w:bCs/>
        </w:rPr>
        <w:t xml:space="preserve"> Hospital QR reviews, and Fire &amp; EMS QRs are confidential in many states. </w:t>
      </w:r>
    </w:p>
    <w:p w14:paraId="7C48D26E" w14:textId="77777777" w:rsidR="00BC2A27" w:rsidRPr="008D2F39" w:rsidRDefault="00BC2A27" w:rsidP="00BC2A27">
      <w:pPr>
        <w:pStyle w:val="Heading1"/>
        <w:ind w:left="720"/>
        <w:rPr>
          <w:b w:val="0"/>
          <w:bCs w:val="0"/>
          <w:sz w:val="24"/>
          <w:szCs w:val="24"/>
        </w:rPr>
      </w:pPr>
      <w:r w:rsidRPr="008D2F39">
        <w:rPr>
          <w:b w:val="0"/>
          <w:bCs w:val="0"/>
          <w:sz w:val="24"/>
          <w:szCs w:val="24"/>
        </w:rPr>
        <w:t xml:space="preserve">Note: See Ohio Revised Code: </w:t>
      </w:r>
      <w:r>
        <w:rPr>
          <w:b w:val="0"/>
          <w:bCs w:val="0"/>
          <w:sz w:val="24"/>
          <w:szCs w:val="24"/>
        </w:rPr>
        <w:t>“</w:t>
      </w:r>
      <w:r w:rsidRPr="008D2F39">
        <w:rPr>
          <w:b w:val="0"/>
          <w:bCs w:val="0"/>
          <w:sz w:val="24"/>
          <w:szCs w:val="24"/>
        </w:rPr>
        <w:t xml:space="preserve">Section 4765.12 </w:t>
      </w:r>
      <w:r w:rsidRPr="008D2F39">
        <w:rPr>
          <w:rStyle w:val="codes-separator"/>
          <w:rFonts w:eastAsiaTheme="majorEastAsia"/>
          <w:b w:val="0"/>
          <w:bCs w:val="0"/>
          <w:sz w:val="24"/>
          <w:szCs w:val="24"/>
        </w:rPr>
        <w:t>|</w:t>
      </w:r>
      <w:r w:rsidRPr="008D2F39">
        <w:rPr>
          <w:b w:val="0"/>
          <w:bCs w:val="0"/>
          <w:sz w:val="24"/>
          <w:szCs w:val="24"/>
        </w:rPr>
        <w:t xml:space="preserve"> Guidelines for care of trauma victims by emergency medical service personnel - conduct of peer review and quality assurance programs by emergency medical service organizations</w:t>
      </w:r>
      <w:r>
        <w:rPr>
          <w:b w:val="0"/>
          <w:bCs w:val="0"/>
          <w:sz w:val="24"/>
          <w:szCs w:val="24"/>
        </w:rPr>
        <w:t xml:space="preserve">.” </w:t>
      </w:r>
      <w:hyperlink r:id="rId2130" w:history="1">
        <w:r w:rsidRPr="00D270AC">
          <w:rPr>
            <w:rStyle w:val="Hyperlink"/>
            <w:b w:val="0"/>
            <w:bCs w:val="0"/>
            <w:sz w:val="24"/>
            <w:szCs w:val="24"/>
          </w:rPr>
          <w:t>https://codes.ohio.gov/ohio-revised-code/section-4765.12</w:t>
        </w:r>
      </w:hyperlink>
      <w:r>
        <w:rPr>
          <w:b w:val="0"/>
          <w:bCs w:val="0"/>
          <w:sz w:val="24"/>
          <w:szCs w:val="24"/>
        </w:rPr>
        <w:t xml:space="preserve"> </w:t>
      </w:r>
    </w:p>
    <w:p w14:paraId="10BDCEC9" w14:textId="77777777" w:rsidR="00BC2A27" w:rsidRDefault="00BC2A27" w:rsidP="00BC2A27">
      <w:pPr>
        <w:pStyle w:val="NormalWeb"/>
        <w:ind w:left="720"/>
        <w:rPr>
          <w:b/>
          <w:bCs/>
        </w:rPr>
      </w:pPr>
      <w:r>
        <w:t xml:space="preserve">“Information generated solely for use in a peer review or quality assurance program conducted on behalf of an emergency medical service organization is not a public record under section </w:t>
      </w:r>
      <w:hyperlink r:id="rId2131" w:history="1">
        <w:r>
          <w:rPr>
            <w:rStyle w:val="Hyperlink"/>
            <w:rFonts w:eastAsiaTheme="majorEastAsia"/>
          </w:rPr>
          <w:t>149.43</w:t>
        </w:r>
      </w:hyperlink>
      <w:r>
        <w:t xml:space="preserve"> of the Revised Code. Such information, and any discussion conducted in the course of a peer review or quality assurance program conducted on behalf of an emergency medical service organization, is not subject to discovery in a civil action and shall not be introduced into evidence in a civil action against the emergency medical service organization on whose behalf the information was generated or the discussion occurred.</w:t>
      </w:r>
      <w:r>
        <w:rPr>
          <w:b/>
          <w:bCs/>
        </w:rPr>
        <w:t>”</w:t>
      </w:r>
    </w:p>
    <w:p w14:paraId="5F106965" w14:textId="77777777" w:rsidR="008578DE" w:rsidRDefault="008578DE" w:rsidP="00BC2A27">
      <w:pPr>
        <w:rPr>
          <w:rFonts w:ascii="Arial Black" w:hAnsi="Arial Black"/>
          <w:b/>
          <w:bCs/>
          <w:sz w:val="28"/>
          <w:szCs w:val="28"/>
        </w:rPr>
      </w:pPr>
    </w:p>
    <w:p w14:paraId="43923D7C" w14:textId="300C3315" w:rsidR="00BC2A27" w:rsidRDefault="00BC2A27" w:rsidP="00BC2A27">
      <w:pPr>
        <w:rPr>
          <w:rFonts w:ascii="Arial Black" w:hAnsi="Arial Black"/>
          <w:b/>
          <w:bCs/>
          <w:sz w:val="28"/>
          <w:szCs w:val="28"/>
        </w:rPr>
      </w:pPr>
      <w:r>
        <w:rPr>
          <w:rFonts w:ascii="Arial Black" w:hAnsi="Arial Black"/>
          <w:b/>
          <w:bCs/>
          <w:sz w:val="28"/>
          <w:szCs w:val="28"/>
        </w:rPr>
        <w:t>13-159</w:t>
      </w:r>
    </w:p>
    <w:p w14:paraId="3D7E88B8" w14:textId="77777777" w:rsidR="0061348F" w:rsidRPr="00171AD5" w:rsidRDefault="0061348F" w:rsidP="0061348F">
      <w:pPr>
        <w:pStyle w:val="NoSpacing"/>
        <w:rPr>
          <w:rFonts w:ascii="Arial Black" w:hAnsi="Arial Black"/>
          <w:b/>
          <w:sz w:val="28"/>
          <w:szCs w:val="28"/>
        </w:rPr>
      </w:pPr>
      <w:r>
        <w:rPr>
          <w:rFonts w:ascii="Arial Black" w:hAnsi="Arial Black"/>
          <w:b/>
          <w:sz w:val="28"/>
          <w:szCs w:val="28"/>
        </w:rPr>
        <w:t>WV:  911 DISPATCH NO CPR INSTRUCTIONS – PARENTS TOLD DRIVE TO HOSP – EMS CANCELLED - CASE PROCEED</w:t>
      </w:r>
    </w:p>
    <w:p w14:paraId="3A4FC938" w14:textId="77777777" w:rsidR="0061348F" w:rsidRDefault="0061348F" w:rsidP="0061348F">
      <w:pPr>
        <w:pStyle w:val="NoSpacing"/>
        <w:rPr>
          <w:rFonts w:ascii="Times New Roman" w:hAnsi="Times New Roman"/>
          <w:b/>
          <w:sz w:val="24"/>
          <w:szCs w:val="24"/>
        </w:rPr>
      </w:pPr>
    </w:p>
    <w:p w14:paraId="21E74309" w14:textId="77777777" w:rsidR="0061348F" w:rsidRDefault="0061348F" w:rsidP="0061348F">
      <w:pPr>
        <w:pStyle w:val="NoSpacing"/>
        <w:rPr>
          <w:rFonts w:ascii="Times New Roman" w:hAnsi="Times New Roman"/>
          <w:bCs/>
          <w:sz w:val="24"/>
          <w:szCs w:val="24"/>
        </w:rPr>
      </w:pPr>
      <w:r>
        <w:rPr>
          <w:rFonts w:ascii="Times New Roman" w:hAnsi="Times New Roman"/>
          <w:bCs/>
          <w:sz w:val="24"/>
          <w:szCs w:val="24"/>
        </w:rPr>
        <w:t xml:space="preserve">On Nov. 8, 2023, in </w:t>
      </w:r>
      <w:r w:rsidRPr="00832890">
        <w:rPr>
          <w:rFonts w:ascii="Times New Roman" w:hAnsi="Times New Roman"/>
          <w:bCs/>
          <w:sz w:val="24"/>
          <w:szCs w:val="24"/>
          <w:u w:val="single"/>
        </w:rPr>
        <w:t>Barabara Stine Trivett, Administratrix of the Estate of Jasper Trivett v. Summer County Commission d/b/a Summers County Office of Emergency Management and Carmen Cales</w:t>
      </w:r>
      <w:r>
        <w:rPr>
          <w:rFonts w:ascii="Times New Roman" w:hAnsi="Times New Roman"/>
          <w:bCs/>
          <w:sz w:val="24"/>
          <w:szCs w:val="24"/>
        </w:rPr>
        <w:t xml:space="preserve">, Supreme Court of Appeals of West Virginia, held (3 to 2) that the lawsuit was timely filed and should not have been dismissed by trial judge and remanded case for discovery. </w:t>
      </w:r>
      <w:hyperlink r:id="rId2132" w:history="1">
        <w:r w:rsidRPr="006F62A4">
          <w:rPr>
            <w:rStyle w:val="Hyperlink"/>
            <w:rFonts w:ascii="Times New Roman" w:hAnsi="Times New Roman"/>
            <w:bCs/>
            <w:sz w:val="24"/>
            <w:szCs w:val="24"/>
          </w:rPr>
          <w:t>http://www.courtswv.gov/supreme-court/docs/fall2023/22-0202-wooton-p.pdf</w:t>
        </w:r>
      </w:hyperlink>
      <w:r>
        <w:rPr>
          <w:rFonts w:ascii="Times New Roman" w:hAnsi="Times New Roman"/>
          <w:bCs/>
          <w:sz w:val="24"/>
          <w:szCs w:val="24"/>
        </w:rPr>
        <w:t xml:space="preserve"> </w:t>
      </w:r>
    </w:p>
    <w:p w14:paraId="5C475FA2" w14:textId="77777777" w:rsidR="00A126EB" w:rsidRDefault="00A126EB" w:rsidP="00A126EB">
      <w:pPr>
        <w:pStyle w:val="NoSpacing"/>
        <w:rPr>
          <w:rFonts w:ascii="Times New Roman" w:hAnsi="Times New Roman"/>
          <w:b/>
          <w:sz w:val="24"/>
          <w:szCs w:val="24"/>
        </w:rPr>
      </w:pPr>
    </w:p>
    <w:p w14:paraId="173FC03E" w14:textId="19EE0BCC" w:rsidR="00A126EB" w:rsidRPr="00925161" w:rsidRDefault="00A126EB" w:rsidP="00A126EB">
      <w:pPr>
        <w:pStyle w:val="NoSpacing"/>
        <w:rPr>
          <w:rFonts w:ascii="Times New Roman" w:hAnsi="Times New Roman"/>
          <w:b/>
          <w:sz w:val="24"/>
          <w:szCs w:val="24"/>
        </w:rPr>
      </w:pPr>
      <w:r w:rsidRPr="00925161">
        <w:rPr>
          <w:rFonts w:ascii="Times New Roman" w:hAnsi="Times New Roman"/>
          <w:b/>
          <w:sz w:val="24"/>
          <w:szCs w:val="24"/>
        </w:rPr>
        <w:t>Legal Lesson Learned:</w:t>
      </w:r>
      <w:r>
        <w:rPr>
          <w:rFonts w:ascii="Times New Roman" w:hAnsi="Times New Roman"/>
          <w:b/>
          <w:sz w:val="24"/>
          <w:szCs w:val="24"/>
        </w:rPr>
        <w:t xml:space="preserve"> Dispatchers should all be trained in giving CPR instructions.</w:t>
      </w:r>
    </w:p>
    <w:p w14:paraId="6BEA5159" w14:textId="77777777" w:rsidR="00A126EB" w:rsidRDefault="00A126EB" w:rsidP="00BC2A27">
      <w:pPr>
        <w:rPr>
          <w:rFonts w:ascii="Arial Black" w:hAnsi="Arial Black"/>
          <w:b/>
          <w:bCs/>
          <w:sz w:val="28"/>
          <w:szCs w:val="28"/>
        </w:rPr>
      </w:pPr>
    </w:p>
    <w:p w14:paraId="0CAB5A2C" w14:textId="0BE59538" w:rsidR="00A126EB" w:rsidRDefault="00A126EB" w:rsidP="00A126EB">
      <w:pPr>
        <w:rPr>
          <w:rFonts w:ascii="Arial Black" w:hAnsi="Arial Black"/>
          <w:b/>
          <w:bCs/>
          <w:sz w:val="28"/>
          <w:szCs w:val="28"/>
        </w:rPr>
      </w:pPr>
      <w:r>
        <w:rPr>
          <w:rFonts w:ascii="Arial Black" w:hAnsi="Arial Black"/>
          <w:b/>
          <w:bCs/>
          <w:sz w:val="28"/>
          <w:szCs w:val="28"/>
        </w:rPr>
        <w:t>13-158</w:t>
      </w:r>
    </w:p>
    <w:p w14:paraId="19120DFC" w14:textId="77777777" w:rsidR="00C02A64" w:rsidRDefault="00C02A64" w:rsidP="00C02A64">
      <w:pPr>
        <w:rPr>
          <w:rFonts w:ascii="Arial Black" w:hAnsi="Arial Black"/>
          <w:b/>
          <w:bCs/>
          <w:sz w:val="28"/>
          <w:szCs w:val="28"/>
        </w:rPr>
      </w:pPr>
      <w:r>
        <w:rPr>
          <w:rFonts w:ascii="Arial Black" w:hAnsi="Arial Black"/>
          <w:b/>
          <w:bCs/>
          <w:sz w:val="28"/>
          <w:szCs w:val="28"/>
        </w:rPr>
        <w:t>NC: PATIENT REFUSED TRANSPORT – 94-YR MENTALY SOUND – DAUGHTER POWER OF ATTY CAN’T OVERRULE</w:t>
      </w:r>
    </w:p>
    <w:p w14:paraId="64AF3651" w14:textId="77777777" w:rsidR="00C02A64" w:rsidRDefault="00C02A64" w:rsidP="00C02A64">
      <w:pPr>
        <w:rPr>
          <w:rFonts w:ascii="Times New Roman" w:hAnsi="Times New Roman"/>
          <w:sz w:val="24"/>
          <w:szCs w:val="24"/>
        </w:rPr>
      </w:pPr>
      <w:r>
        <w:rPr>
          <w:rFonts w:ascii="Times New Roman" w:hAnsi="Times New Roman"/>
          <w:sz w:val="24"/>
          <w:szCs w:val="24"/>
        </w:rPr>
        <w:t xml:space="preserve">On Nov. 6, 2023, in </w:t>
      </w:r>
      <w:r w:rsidRPr="00DA7B1E">
        <w:rPr>
          <w:rFonts w:ascii="Times New Roman" w:hAnsi="Times New Roman"/>
          <w:sz w:val="24"/>
          <w:szCs w:val="24"/>
          <w:u w:val="single"/>
        </w:rPr>
        <w:t>Justin L. Sutton, as Personal Representative of the Estate of Hartwell Lanier King, Sr. and Betty K. Sutton v. Rockingham County, et al</w:t>
      </w:r>
      <w:r>
        <w:rPr>
          <w:rFonts w:ascii="Times New Roman" w:hAnsi="Times New Roman"/>
          <w:sz w:val="24"/>
          <w:szCs w:val="24"/>
        </w:rPr>
        <w:t xml:space="preserve">., U.S. District Court Judge Loretta C. Briggs, U.S. District Court for the Middle District of North Carolina, granted the defendants motion for summary judgment.  The EMS followed the protocol, conducted several “capacity assessments” of the patient and found him to be capable of making his own decision about transport.  The daughter’s Power of Attorney could not overrule the patient’s decision. </w:t>
      </w:r>
      <w:hyperlink r:id="rId2133" w:history="1">
        <w:r w:rsidRPr="009F1DF3">
          <w:rPr>
            <w:rStyle w:val="Hyperlink"/>
            <w:rFonts w:ascii="Times New Roman" w:hAnsi="Times New Roman"/>
            <w:sz w:val="24"/>
            <w:szCs w:val="24"/>
          </w:rPr>
          <w:t>https://casetext.com/case/sutton-v-rockingham-cnty-1</w:t>
        </w:r>
      </w:hyperlink>
      <w:r>
        <w:rPr>
          <w:rStyle w:val="Hyperlink"/>
          <w:rFonts w:ascii="Times New Roman" w:hAnsi="Times New Roman"/>
          <w:sz w:val="24"/>
          <w:szCs w:val="24"/>
        </w:rPr>
        <w:t xml:space="preserve"> </w:t>
      </w:r>
    </w:p>
    <w:p w14:paraId="327D5B11" w14:textId="77777777" w:rsidR="0042334A" w:rsidRDefault="0042334A" w:rsidP="0042334A">
      <w:pPr>
        <w:rPr>
          <w:rFonts w:ascii="Times New Roman" w:hAnsi="Times New Roman"/>
          <w:b/>
          <w:bCs/>
          <w:sz w:val="24"/>
          <w:szCs w:val="24"/>
        </w:rPr>
      </w:pPr>
      <w:r w:rsidRPr="005F2AA0">
        <w:rPr>
          <w:rFonts w:ascii="Times New Roman" w:hAnsi="Times New Roman"/>
          <w:b/>
          <w:bCs/>
          <w:sz w:val="24"/>
          <w:szCs w:val="24"/>
        </w:rPr>
        <w:t>Legal Lesson Learned:</w:t>
      </w:r>
      <w:r>
        <w:rPr>
          <w:rFonts w:ascii="Times New Roman" w:hAnsi="Times New Roman"/>
          <w:b/>
          <w:bCs/>
          <w:sz w:val="24"/>
          <w:szCs w:val="24"/>
        </w:rPr>
        <w:t xml:space="preserve"> The EMS personnel followed their protocol and properly declined the daughter’s Power of Attorney.</w:t>
      </w:r>
    </w:p>
    <w:p w14:paraId="7816ADAF" w14:textId="77777777" w:rsidR="00C02A64" w:rsidRDefault="00C02A64" w:rsidP="00A126EB">
      <w:pPr>
        <w:rPr>
          <w:rFonts w:ascii="Arial Black" w:hAnsi="Arial Black"/>
          <w:b/>
          <w:bCs/>
          <w:sz w:val="28"/>
          <w:szCs w:val="28"/>
        </w:rPr>
      </w:pPr>
    </w:p>
    <w:p w14:paraId="422D1673" w14:textId="321E2FB3" w:rsidR="002410DA" w:rsidRPr="002410DA" w:rsidRDefault="002410DA" w:rsidP="00A126EB">
      <w:pPr>
        <w:pStyle w:val="NormalWeb"/>
        <w:rPr>
          <w:b/>
          <w:bCs/>
        </w:rPr>
      </w:pPr>
    </w:p>
    <w:p w14:paraId="25BA5E5B" w14:textId="77777777" w:rsidR="002D6690" w:rsidRDefault="002D6690" w:rsidP="006A02A4">
      <w:pPr>
        <w:rPr>
          <w:rFonts w:ascii="Arial Black" w:hAnsi="Arial Black"/>
          <w:b/>
          <w:bCs/>
          <w:sz w:val="28"/>
          <w:szCs w:val="28"/>
        </w:rPr>
      </w:pPr>
    </w:p>
    <w:p w14:paraId="7FFCC54D" w14:textId="3ABAA78B" w:rsidR="00832745" w:rsidRDefault="00832745" w:rsidP="006A02A4">
      <w:pPr>
        <w:rPr>
          <w:rFonts w:ascii="Arial Black" w:hAnsi="Arial Black"/>
          <w:b/>
          <w:bCs/>
          <w:sz w:val="28"/>
          <w:szCs w:val="28"/>
        </w:rPr>
      </w:pPr>
      <w:r>
        <w:rPr>
          <w:rFonts w:ascii="Arial Black" w:hAnsi="Arial Black"/>
          <w:b/>
          <w:bCs/>
          <w:sz w:val="28"/>
          <w:szCs w:val="28"/>
        </w:rPr>
        <w:t>13-157</w:t>
      </w:r>
    </w:p>
    <w:p w14:paraId="0B17FF35" w14:textId="77777777" w:rsidR="00832745" w:rsidRDefault="00832745" w:rsidP="00832745">
      <w:pPr>
        <w:pStyle w:val="paragraph"/>
        <w:rPr>
          <w:rFonts w:ascii="Arial Black" w:hAnsi="Arial Black"/>
          <w:sz w:val="28"/>
          <w:szCs w:val="28"/>
        </w:rPr>
      </w:pPr>
      <w:r>
        <w:rPr>
          <w:rFonts w:ascii="Arial Black" w:hAnsi="Arial Black"/>
          <w:sz w:val="28"/>
          <w:szCs w:val="28"/>
        </w:rPr>
        <w:t>KY: JAIL NURSE / GUARDS - “DELIBERATELY INDIFFERENT” INMATE OVERDOSING METH – DIED – NO QUAL. IMMUNITY</w:t>
      </w:r>
    </w:p>
    <w:p w14:paraId="32A63872" w14:textId="77777777" w:rsidR="00832745" w:rsidRDefault="00832745" w:rsidP="00832745">
      <w:pPr>
        <w:pStyle w:val="paragraph"/>
      </w:pPr>
      <w:r>
        <w:t xml:space="preserve">On Oct. 26, 2023, </w:t>
      </w:r>
      <w:r w:rsidRPr="003268E4">
        <w:rPr>
          <w:u w:val="single"/>
        </w:rPr>
        <w:t>in Luanna Grote, Administrator of the Estate of Bradley Grote v. Kenton County, et al.</w:t>
      </w:r>
      <w:r>
        <w:t>, the U.S. Court of Appeals for 6</w:t>
      </w:r>
      <w:r w:rsidRPr="003268E4">
        <w:rPr>
          <w:vertAlign w:val="superscript"/>
        </w:rPr>
        <w:t>th</w:t>
      </w:r>
      <w:r>
        <w:t xml:space="preserve"> Circuit (Cincinnati) held (3 to 0) that trial court improperly granted defense motion for summary judgment.  Bradley Grote died of acute methamphetamine intoxication three days after his arrest and detention at the Kenton County Detention Center in Covington, Kentucky. The Court held: “Although Grote was visibly in distress when put in a booking cell at the jail, the jail’s [nurse] failed to render any treatment at all or seek further medical attention from a doctor on call or emergency medical services. Grote’s case exposes myriad failures by county and jail officials, including a lack of basic knowledge concerning overdoses and how to respond to them. Under the facts of this case, we hold that a jury could find that the medical provider was deliberately indifferent to Grote’s need for medical attention, but not that the jail deputies acted unconstitutionally.” </w:t>
      </w:r>
      <w:hyperlink r:id="rId2134" w:history="1">
        <w:r w:rsidRPr="0097451D">
          <w:rPr>
            <w:rStyle w:val="Hyperlink"/>
            <w:rFonts w:eastAsiaTheme="majorEastAsia"/>
          </w:rPr>
          <w:t>https://www.opn.ca6.uscourts.gov/opinions.pdf/23a0237p-06.pdf</w:t>
        </w:r>
      </w:hyperlink>
      <w:r>
        <w:t xml:space="preserve"> </w:t>
      </w:r>
    </w:p>
    <w:p w14:paraId="345587A9" w14:textId="77777777" w:rsidR="00832745" w:rsidRPr="00445048" w:rsidRDefault="00832745" w:rsidP="00832745">
      <w:pPr>
        <w:pStyle w:val="paragraph"/>
        <w:rPr>
          <w:b/>
          <w:bCs/>
        </w:rPr>
      </w:pPr>
      <w:r w:rsidRPr="00445048">
        <w:rPr>
          <w:b/>
          <w:bCs/>
        </w:rPr>
        <w:t xml:space="preserve">Legal Lesson Learned: </w:t>
      </w:r>
      <w:r>
        <w:rPr>
          <w:b/>
          <w:bCs/>
        </w:rPr>
        <w:t xml:space="preserve">Failure to take full set of vitals is example of “deliberately indifferent” to the inmate’s immediate need for medical attention. </w:t>
      </w:r>
    </w:p>
    <w:p w14:paraId="6D3D12A0" w14:textId="77777777" w:rsidR="00832745" w:rsidRDefault="00832745" w:rsidP="006A02A4">
      <w:pPr>
        <w:rPr>
          <w:rFonts w:ascii="Arial Black" w:hAnsi="Arial Black"/>
          <w:b/>
          <w:bCs/>
          <w:sz w:val="28"/>
          <w:szCs w:val="28"/>
        </w:rPr>
      </w:pPr>
    </w:p>
    <w:p w14:paraId="2C8F889D" w14:textId="67DB9056" w:rsidR="00832745" w:rsidRDefault="00832745" w:rsidP="006A02A4">
      <w:pPr>
        <w:rPr>
          <w:rFonts w:ascii="Arial Black" w:hAnsi="Arial Black"/>
          <w:b/>
          <w:bCs/>
          <w:sz w:val="28"/>
          <w:szCs w:val="28"/>
        </w:rPr>
      </w:pPr>
      <w:r>
        <w:rPr>
          <w:rFonts w:ascii="Arial Black" w:hAnsi="Arial Black"/>
          <w:b/>
          <w:bCs/>
          <w:sz w:val="28"/>
          <w:szCs w:val="28"/>
        </w:rPr>
        <w:t>13-156</w:t>
      </w:r>
    </w:p>
    <w:p w14:paraId="102859EC" w14:textId="77777777" w:rsidR="00832745" w:rsidRDefault="00832745" w:rsidP="00832745">
      <w:pPr>
        <w:pStyle w:val="NormalWeb"/>
        <w:rPr>
          <w:rFonts w:ascii="Arial Black" w:hAnsi="Arial Black"/>
          <w:sz w:val="28"/>
          <w:szCs w:val="28"/>
        </w:rPr>
      </w:pPr>
      <w:r>
        <w:rPr>
          <w:rFonts w:ascii="Arial Black" w:hAnsi="Arial Black"/>
          <w:sz w:val="28"/>
          <w:szCs w:val="28"/>
        </w:rPr>
        <w:t>KY: ALLERGIC REACTION SHELLFISH – 911 SENT EMS TO RESTAURANT BUT NOT HIS VEHICLE – DIED – NO LIABILITY</w:t>
      </w:r>
    </w:p>
    <w:p w14:paraId="770E7A5D" w14:textId="77777777" w:rsidR="00832745" w:rsidRDefault="00832745" w:rsidP="00832745">
      <w:pPr>
        <w:pStyle w:val="NormalWeb"/>
      </w:pPr>
      <w:r>
        <w:t xml:space="preserve">On Oct. 13, 2023, in </w:t>
      </w:r>
      <w:r>
        <w:rPr>
          <w:u w:val="single"/>
        </w:rPr>
        <w:t>Carrie Johnson, individually and as Administratrix of the estate of Denver Stephen Johnson v. Dawn Henry, et al</w:t>
      </w:r>
      <w:r>
        <w:t xml:space="preserve">., the Commonwealth of Kentucky Court of Appeals, held (3 to 0; unpublished) that the dispatcher cannot be held liable under the “Public Duty Doctrine.” The Court held: “Henry did nothing beyond her responsibility as a 911 operator that would create a special relationship with Mr. Johnson. She answered the 911 call and sent help, as she would for any other citizen. She also did not create a connection with Mr. Johnson and repeatedly </w:t>
      </w:r>
      <w:proofErr w:type="gramStart"/>
      <w:r>
        <w:t>foster</w:t>
      </w:r>
      <w:proofErr w:type="gramEnd"/>
      <w:r>
        <w:t xml:space="preserve"> the continuation of that relationship, like the officers in Gaither. Simply put, the Estate has not shown Henry owed any special duty to Mr. Johnson, beyond the duty owed by a 911 operator to the public at large. Without a special relationship, Henry owed no duty to protect Mr. Johnson from harm or accident. While Mr. Johnson’s death is tragic, Henry cannot be held liable under the public duty doctrine. *** It is not enough to allege ineptitude, even shameful and inexcusable ineptitude, by a municipal agency in failing to respond adequately to a call for help. To give rise to a special relationship, the agency’s response to the private party must in some demonstrable way exceed the response generally made to other members of the public.”); Koher v. Dial, 653 N.E.2d 524, 526 (Ind. Ct. App. 1995) (‘Standing alone, a governmental entity’s dispatch of emergency services does not create a private duty.’) </w:t>
      </w:r>
      <w:hyperlink r:id="rId2135" w:history="1">
        <w:r>
          <w:rPr>
            <w:rStyle w:val="Hyperlink"/>
          </w:rPr>
          <w:t>https://cases.justia.com/kentucky/court-of-appeals/2023-2022-ca-1113-mr.pdf?ts=1697205894</w:t>
        </w:r>
      </w:hyperlink>
      <w:r>
        <w:t xml:space="preserve"> </w:t>
      </w:r>
    </w:p>
    <w:p w14:paraId="4FE21997" w14:textId="77777777" w:rsidR="00832745" w:rsidRDefault="00832745" w:rsidP="00832745">
      <w:pPr>
        <w:pStyle w:val="NormalWeb"/>
        <w:rPr>
          <w:b/>
          <w:bCs/>
        </w:rPr>
      </w:pPr>
      <w:r>
        <w:rPr>
          <w:b/>
          <w:bCs/>
        </w:rPr>
        <w:t xml:space="preserve">Legal Lesson Learned: The Public Duty Doctrine protects dispatchers, and their employers, from liability. </w:t>
      </w:r>
    </w:p>
    <w:p w14:paraId="7150E088" w14:textId="77777777" w:rsidR="00832745" w:rsidRDefault="00832745" w:rsidP="006A02A4">
      <w:pPr>
        <w:rPr>
          <w:rFonts w:ascii="Arial Black" w:hAnsi="Arial Black"/>
          <w:b/>
          <w:bCs/>
          <w:sz w:val="28"/>
          <w:szCs w:val="28"/>
        </w:rPr>
      </w:pPr>
    </w:p>
    <w:p w14:paraId="35937190" w14:textId="77777777" w:rsidR="00832745" w:rsidRDefault="00832745" w:rsidP="006A02A4">
      <w:pPr>
        <w:rPr>
          <w:rFonts w:ascii="Arial Black" w:hAnsi="Arial Black"/>
          <w:b/>
          <w:bCs/>
          <w:sz w:val="28"/>
          <w:szCs w:val="28"/>
        </w:rPr>
      </w:pPr>
    </w:p>
    <w:p w14:paraId="7676E372" w14:textId="1F2A15B5" w:rsidR="00AC3E10" w:rsidRDefault="00AC3E10" w:rsidP="006A02A4">
      <w:pPr>
        <w:rPr>
          <w:rFonts w:ascii="Arial Black" w:hAnsi="Arial Black"/>
          <w:b/>
          <w:bCs/>
          <w:sz w:val="28"/>
          <w:szCs w:val="28"/>
        </w:rPr>
      </w:pPr>
      <w:r>
        <w:rPr>
          <w:rFonts w:ascii="Arial Black" w:hAnsi="Arial Black"/>
          <w:b/>
          <w:bCs/>
          <w:sz w:val="28"/>
          <w:szCs w:val="28"/>
        </w:rPr>
        <w:t>13-15</w:t>
      </w:r>
      <w:r w:rsidR="008F7EBA">
        <w:rPr>
          <w:rFonts w:ascii="Arial Black" w:hAnsi="Arial Black"/>
          <w:b/>
          <w:bCs/>
          <w:sz w:val="28"/>
          <w:szCs w:val="28"/>
        </w:rPr>
        <w:t>5</w:t>
      </w:r>
    </w:p>
    <w:p w14:paraId="4734A7E5" w14:textId="77777777" w:rsidR="00AC3E10" w:rsidRPr="00D41A7C" w:rsidRDefault="00AC3E10" w:rsidP="00AC3E10">
      <w:pPr>
        <w:pStyle w:val="NoSpacing"/>
        <w:rPr>
          <w:rFonts w:ascii="Arial Black" w:hAnsi="Arial Black"/>
          <w:b/>
          <w:bCs/>
          <w:sz w:val="28"/>
          <w:szCs w:val="28"/>
        </w:rPr>
      </w:pPr>
      <w:r>
        <w:rPr>
          <w:rFonts w:ascii="Arial Black" w:hAnsi="Arial Black"/>
          <w:b/>
          <w:bCs/>
          <w:sz w:val="28"/>
          <w:szCs w:val="28"/>
        </w:rPr>
        <w:t>OH: EMS TREATING HEAD INJURY OF DRUNK FEMALE – SHE RESISTED ARREST DRUNK BOYFRIEND – PATIENT CONV.</w:t>
      </w:r>
    </w:p>
    <w:p w14:paraId="4A19D415" w14:textId="77777777" w:rsidR="00AC3E10" w:rsidRPr="00E460C5" w:rsidRDefault="00AC3E10" w:rsidP="00AC3E10">
      <w:pPr>
        <w:pStyle w:val="NoSpacing"/>
        <w:rPr>
          <w:rFonts w:ascii="Times New Roman" w:hAnsi="Times New Roman"/>
          <w:sz w:val="24"/>
          <w:szCs w:val="24"/>
        </w:rPr>
      </w:pPr>
    </w:p>
    <w:p w14:paraId="5BEA05F0" w14:textId="77777777" w:rsidR="00AC3E10" w:rsidRDefault="00AC3E10" w:rsidP="00AC3E10">
      <w:pPr>
        <w:pStyle w:val="NoSpacing"/>
        <w:rPr>
          <w:rFonts w:ascii="Times New Roman" w:hAnsi="Times New Roman"/>
          <w:sz w:val="24"/>
          <w:szCs w:val="24"/>
        </w:rPr>
      </w:pPr>
      <w:r>
        <w:rPr>
          <w:rFonts w:ascii="Times New Roman" w:hAnsi="Times New Roman"/>
          <w:sz w:val="24"/>
          <w:szCs w:val="24"/>
        </w:rPr>
        <w:t xml:space="preserve">On Sept. 25, 2023, in </w:t>
      </w:r>
      <w:r w:rsidRPr="008B3A9C">
        <w:rPr>
          <w:rFonts w:ascii="Times New Roman" w:hAnsi="Times New Roman"/>
          <w:sz w:val="24"/>
          <w:szCs w:val="24"/>
          <w:u w:val="single"/>
        </w:rPr>
        <w:t>State of Ohio v. Veronica Sepulveda</w:t>
      </w:r>
      <w:r>
        <w:rPr>
          <w:rFonts w:ascii="Times New Roman" w:hAnsi="Times New Roman"/>
          <w:sz w:val="24"/>
          <w:szCs w:val="24"/>
        </w:rPr>
        <w:t xml:space="preserve">, the Court of Appeals of Ohio, Third Appellate District, Auglaize County, held (3 to 0) that jury properly found her guilty of Resisting Arrest (sentenced 30 days in jail); jury found her not guilty of </w:t>
      </w:r>
      <w:r w:rsidRPr="008B3A9C">
        <w:rPr>
          <w:rFonts w:ascii="Times New Roman" w:hAnsi="Times New Roman"/>
          <w:sz w:val="24"/>
          <w:szCs w:val="24"/>
        </w:rPr>
        <w:t>Obstructing Official Business.</w:t>
      </w:r>
      <w:r>
        <w:rPr>
          <w:rFonts w:ascii="Times New Roman" w:hAnsi="Times New Roman"/>
          <w:sz w:val="24"/>
          <w:szCs w:val="24"/>
        </w:rPr>
        <w:t xml:space="preserve">  Police officer told boyfriend to allow medics to treat her; when he refused, she interfered with arrest of her boyfriend. </w:t>
      </w:r>
    </w:p>
    <w:p w14:paraId="3BF2C000" w14:textId="77777777" w:rsidR="00AC3E10" w:rsidRDefault="00AC3E10" w:rsidP="00AC3E10">
      <w:pPr>
        <w:pStyle w:val="NoSpacing"/>
        <w:rPr>
          <w:rFonts w:ascii="Times New Roman" w:hAnsi="Times New Roman"/>
          <w:sz w:val="24"/>
          <w:szCs w:val="24"/>
        </w:rPr>
      </w:pPr>
    </w:p>
    <w:p w14:paraId="6ABC847B" w14:textId="77777777" w:rsidR="00AC3E10" w:rsidRDefault="00AC3E10" w:rsidP="00AC3E10">
      <w:pPr>
        <w:pStyle w:val="NoSpacing"/>
        <w:ind w:left="720"/>
        <w:rPr>
          <w:rFonts w:ascii="Times New Roman" w:hAnsi="Times New Roman"/>
          <w:sz w:val="24"/>
          <w:szCs w:val="24"/>
        </w:rPr>
      </w:pPr>
      <w:r>
        <w:rPr>
          <w:rFonts w:ascii="Times New Roman" w:hAnsi="Times New Roman"/>
          <w:sz w:val="24"/>
          <w:szCs w:val="24"/>
        </w:rPr>
        <w:t>“</w:t>
      </w:r>
      <w:r w:rsidRPr="00DA08AA">
        <w:rPr>
          <w:rFonts w:ascii="Times New Roman" w:hAnsi="Times New Roman"/>
          <w:sz w:val="24"/>
          <w:szCs w:val="24"/>
        </w:rPr>
        <w:t>Sepulveda was convicted of Resisting Arrest in violation of R.C.</w:t>
      </w:r>
      <w:r>
        <w:rPr>
          <w:rFonts w:ascii="Times New Roman" w:hAnsi="Times New Roman"/>
          <w:sz w:val="24"/>
          <w:szCs w:val="24"/>
        </w:rPr>
        <w:t xml:space="preserve"> </w:t>
      </w:r>
      <w:r w:rsidRPr="00DA08AA">
        <w:rPr>
          <w:rFonts w:ascii="Times New Roman" w:hAnsi="Times New Roman"/>
          <w:sz w:val="24"/>
          <w:szCs w:val="24"/>
        </w:rPr>
        <w:t xml:space="preserve">2921.33(A), which reads, </w:t>
      </w:r>
      <w:r>
        <w:rPr>
          <w:rFonts w:ascii="Times New Roman" w:hAnsi="Times New Roman"/>
          <w:sz w:val="24"/>
          <w:szCs w:val="24"/>
        </w:rPr>
        <w:t>‘</w:t>
      </w:r>
      <w:r w:rsidRPr="00DA08AA">
        <w:rPr>
          <w:rFonts w:ascii="Times New Roman" w:hAnsi="Times New Roman"/>
          <w:sz w:val="24"/>
          <w:szCs w:val="24"/>
        </w:rPr>
        <w:t>No person, recklessly or by force, shall resist or interfere</w:t>
      </w:r>
      <w:r>
        <w:rPr>
          <w:rFonts w:ascii="Times New Roman" w:hAnsi="Times New Roman"/>
          <w:sz w:val="24"/>
          <w:szCs w:val="24"/>
        </w:rPr>
        <w:t xml:space="preserve"> </w:t>
      </w:r>
      <w:r w:rsidRPr="00DA08AA">
        <w:rPr>
          <w:rFonts w:ascii="Times New Roman" w:hAnsi="Times New Roman"/>
          <w:sz w:val="24"/>
          <w:szCs w:val="24"/>
        </w:rPr>
        <w:t>with a lawful arrest of the person or another.</w:t>
      </w:r>
      <w:r>
        <w:rPr>
          <w:rFonts w:ascii="Times New Roman" w:hAnsi="Times New Roman"/>
          <w:sz w:val="24"/>
          <w:szCs w:val="24"/>
        </w:rPr>
        <w:t>’</w:t>
      </w:r>
    </w:p>
    <w:p w14:paraId="5D3363A2" w14:textId="77777777" w:rsidR="00AC3E10" w:rsidRDefault="00AC3E10" w:rsidP="00AC3E10">
      <w:pPr>
        <w:pStyle w:val="NoSpacing"/>
        <w:ind w:left="720"/>
        <w:rPr>
          <w:rFonts w:ascii="Times New Roman" w:hAnsi="Times New Roman"/>
          <w:sz w:val="24"/>
          <w:szCs w:val="24"/>
        </w:rPr>
      </w:pPr>
    </w:p>
    <w:p w14:paraId="17822ED9" w14:textId="77777777" w:rsidR="00AC3E10" w:rsidRPr="00E460C5" w:rsidRDefault="00AC3E10" w:rsidP="00AC3E10">
      <w:pPr>
        <w:pStyle w:val="NoSpacing"/>
        <w:ind w:left="720"/>
        <w:rPr>
          <w:rFonts w:ascii="Times New Roman" w:hAnsi="Times New Roman"/>
          <w:sz w:val="24"/>
          <w:szCs w:val="24"/>
        </w:rPr>
      </w:pPr>
      <w:r>
        <w:rPr>
          <w:rFonts w:ascii="Times New Roman" w:hAnsi="Times New Roman"/>
          <w:sz w:val="24"/>
          <w:szCs w:val="24"/>
        </w:rPr>
        <w:t>[W]</w:t>
      </w:r>
      <w:proofErr w:type="spellStart"/>
      <w:r w:rsidRPr="00D16E8F">
        <w:rPr>
          <w:rFonts w:ascii="Times New Roman" w:hAnsi="Times New Roman"/>
          <w:sz w:val="24"/>
          <w:szCs w:val="24"/>
        </w:rPr>
        <w:t>hile</w:t>
      </w:r>
      <w:proofErr w:type="spellEnd"/>
      <w:r w:rsidRPr="00D16E8F">
        <w:rPr>
          <w:rFonts w:ascii="Times New Roman" w:hAnsi="Times New Roman"/>
          <w:sz w:val="24"/>
          <w:szCs w:val="24"/>
        </w:rPr>
        <w:t xml:space="preserve"> Sepulveda may have encouraged </w:t>
      </w:r>
      <w:r>
        <w:rPr>
          <w:rFonts w:ascii="Times New Roman" w:hAnsi="Times New Roman"/>
          <w:sz w:val="24"/>
          <w:szCs w:val="24"/>
        </w:rPr>
        <w:t xml:space="preserve">[her boyfriend, Tyler] </w:t>
      </w:r>
      <w:r w:rsidRPr="00D16E8F">
        <w:rPr>
          <w:rFonts w:ascii="Times New Roman" w:hAnsi="Times New Roman"/>
          <w:sz w:val="24"/>
          <w:szCs w:val="24"/>
        </w:rPr>
        <w:t>Dunlap to comply</w:t>
      </w:r>
      <w:r>
        <w:rPr>
          <w:rFonts w:ascii="Times New Roman" w:hAnsi="Times New Roman"/>
          <w:sz w:val="24"/>
          <w:szCs w:val="24"/>
        </w:rPr>
        <w:t xml:space="preserve"> </w:t>
      </w:r>
      <w:r w:rsidRPr="00D16E8F">
        <w:rPr>
          <w:rFonts w:ascii="Times New Roman" w:hAnsi="Times New Roman"/>
          <w:sz w:val="24"/>
          <w:szCs w:val="24"/>
        </w:rPr>
        <w:t>with Lt. Place’s orders when Dunlap refused to move away from Sepulveda on the</w:t>
      </w:r>
      <w:r>
        <w:rPr>
          <w:rFonts w:ascii="Times New Roman" w:hAnsi="Times New Roman"/>
          <w:sz w:val="24"/>
          <w:szCs w:val="24"/>
        </w:rPr>
        <w:t xml:space="preserve"> </w:t>
      </w:r>
      <w:r w:rsidRPr="00D16E8F">
        <w:rPr>
          <w:rFonts w:ascii="Times New Roman" w:hAnsi="Times New Roman"/>
          <w:sz w:val="24"/>
          <w:szCs w:val="24"/>
        </w:rPr>
        <w:t>ground, this did not stop Sepulveda from getting between Dunlap and Lt. Place</w:t>
      </w:r>
      <w:r>
        <w:rPr>
          <w:rFonts w:ascii="Times New Roman" w:hAnsi="Times New Roman"/>
          <w:sz w:val="24"/>
          <w:szCs w:val="24"/>
        </w:rPr>
        <w:t xml:space="preserve"> </w:t>
      </w:r>
      <w:r w:rsidRPr="00D16E8F">
        <w:rPr>
          <w:rFonts w:ascii="Times New Roman" w:hAnsi="Times New Roman"/>
          <w:sz w:val="24"/>
          <w:szCs w:val="24"/>
        </w:rPr>
        <w:t>when the arrest was taking place shortly thereafter. Sepulveda’s action in getting</w:t>
      </w:r>
      <w:r>
        <w:rPr>
          <w:rFonts w:ascii="Times New Roman" w:hAnsi="Times New Roman"/>
          <w:sz w:val="24"/>
          <w:szCs w:val="24"/>
        </w:rPr>
        <w:t xml:space="preserve"> </w:t>
      </w:r>
      <w:r w:rsidRPr="00D16E8F">
        <w:rPr>
          <w:rFonts w:ascii="Times New Roman" w:hAnsi="Times New Roman"/>
          <w:sz w:val="24"/>
          <w:szCs w:val="24"/>
        </w:rPr>
        <w:t>between Lt. Place and Dunlap, combined with her action moving Lt. Place’s Taser,</w:t>
      </w:r>
      <w:r>
        <w:rPr>
          <w:rFonts w:ascii="Times New Roman" w:hAnsi="Times New Roman"/>
          <w:sz w:val="24"/>
          <w:szCs w:val="24"/>
        </w:rPr>
        <w:t xml:space="preserve"> </w:t>
      </w:r>
      <w:r w:rsidRPr="00D16E8F">
        <w:rPr>
          <w:rFonts w:ascii="Times New Roman" w:hAnsi="Times New Roman"/>
          <w:sz w:val="24"/>
          <w:szCs w:val="24"/>
        </w:rPr>
        <w:t>led to her charges in this case.</w:t>
      </w:r>
      <w:r>
        <w:rPr>
          <w:rFonts w:ascii="Times New Roman" w:hAnsi="Times New Roman"/>
          <w:sz w:val="24"/>
          <w:szCs w:val="24"/>
        </w:rPr>
        <w:t xml:space="preserve">” </w:t>
      </w:r>
      <w:hyperlink r:id="rId2136" w:history="1">
        <w:r w:rsidRPr="00633022">
          <w:rPr>
            <w:rStyle w:val="Hyperlink"/>
            <w:rFonts w:ascii="Times New Roman" w:hAnsi="Times New Roman"/>
            <w:sz w:val="24"/>
            <w:szCs w:val="24"/>
          </w:rPr>
          <w:t>https://www.supremecourt.ohio.gov/rod/docs/pdf/3/2023/2023-Ohio-3429.pdf</w:t>
        </w:r>
      </w:hyperlink>
      <w:r>
        <w:rPr>
          <w:rFonts w:ascii="Times New Roman" w:hAnsi="Times New Roman"/>
          <w:sz w:val="24"/>
          <w:szCs w:val="24"/>
        </w:rPr>
        <w:t xml:space="preserve"> </w:t>
      </w:r>
    </w:p>
    <w:p w14:paraId="55E1510F" w14:textId="77777777" w:rsidR="00AC3E10" w:rsidRDefault="00AC3E10" w:rsidP="00AC3E10">
      <w:pPr>
        <w:pStyle w:val="NoSpacing"/>
        <w:rPr>
          <w:rFonts w:ascii="Times New Roman" w:hAnsi="Times New Roman"/>
          <w:b/>
          <w:bCs/>
          <w:sz w:val="24"/>
          <w:szCs w:val="24"/>
        </w:rPr>
      </w:pPr>
    </w:p>
    <w:p w14:paraId="0F02E092" w14:textId="7CB8BAC0" w:rsidR="00AC3E10" w:rsidRDefault="00AC3E10" w:rsidP="00AC3E10">
      <w:pPr>
        <w:pStyle w:val="NoSpacing"/>
        <w:rPr>
          <w:rFonts w:ascii="Times New Roman" w:hAnsi="Times New Roman"/>
          <w:b/>
          <w:bCs/>
          <w:sz w:val="24"/>
          <w:szCs w:val="24"/>
        </w:rPr>
      </w:pPr>
      <w:r w:rsidRPr="00A44D24">
        <w:rPr>
          <w:rFonts w:ascii="Times New Roman" w:hAnsi="Times New Roman"/>
          <w:b/>
          <w:bCs/>
          <w:sz w:val="24"/>
          <w:szCs w:val="24"/>
        </w:rPr>
        <w:t>Legal Lesson Learned:</w:t>
      </w:r>
      <w:r>
        <w:rPr>
          <w:rFonts w:ascii="Times New Roman" w:hAnsi="Times New Roman"/>
          <w:b/>
          <w:bCs/>
          <w:sz w:val="24"/>
          <w:szCs w:val="24"/>
        </w:rPr>
        <w:t xml:space="preserve"> Intoxicated patient, intoxicated boyfriend, injured police officer – 30 days in jail seems like a light sentence. </w:t>
      </w:r>
    </w:p>
    <w:p w14:paraId="29E166E2" w14:textId="77777777" w:rsidR="00AC3E10" w:rsidRDefault="00AC3E10" w:rsidP="006A02A4">
      <w:pPr>
        <w:rPr>
          <w:rFonts w:ascii="Arial Black" w:hAnsi="Arial Black"/>
          <w:b/>
          <w:bCs/>
          <w:sz w:val="28"/>
          <w:szCs w:val="28"/>
        </w:rPr>
      </w:pPr>
    </w:p>
    <w:p w14:paraId="0E25C8EE" w14:textId="4BF5E621" w:rsidR="00AC3E10" w:rsidRDefault="008F7EBA" w:rsidP="006A02A4">
      <w:pPr>
        <w:rPr>
          <w:rFonts w:ascii="Arial Black" w:hAnsi="Arial Black"/>
          <w:b/>
          <w:bCs/>
          <w:sz w:val="28"/>
          <w:szCs w:val="28"/>
        </w:rPr>
      </w:pPr>
      <w:r>
        <w:rPr>
          <w:rFonts w:ascii="Arial Black" w:hAnsi="Arial Black"/>
          <w:b/>
          <w:bCs/>
          <w:sz w:val="28"/>
          <w:szCs w:val="28"/>
        </w:rPr>
        <w:t>13-154</w:t>
      </w:r>
    </w:p>
    <w:p w14:paraId="3E33E6D2" w14:textId="338A5855" w:rsidR="008F7EBA" w:rsidRDefault="008F7EBA" w:rsidP="008F7EBA">
      <w:pPr>
        <w:pStyle w:val="NormalWeb"/>
        <w:rPr>
          <w:rFonts w:ascii="Arial Black" w:hAnsi="Arial Black"/>
          <w:b/>
          <w:bCs/>
          <w:sz w:val="28"/>
          <w:szCs w:val="28"/>
        </w:rPr>
      </w:pPr>
      <w:bookmarkStart w:id="435" w:name="_Hlk147080981"/>
      <w:r>
        <w:rPr>
          <w:rFonts w:ascii="Arial Black" w:hAnsi="Arial Black"/>
          <w:b/>
          <w:bCs/>
          <w:sz w:val="28"/>
          <w:szCs w:val="28"/>
        </w:rPr>
        <w:t>MI: POLICE – HANDCUFFED, FACE DOWN PRISONER – DIED ASPHYXIA – EMS IN 3 MIN - NO PD QUAL. IMMUNITY</w:t>
      </w:r>
    </w:p>
    <w:bookmarkEnd w:id="435"/>
    <w:p w14:paraId="682AD423" w14:textId="77777777" w:rsidR="008F7EBA" w:rsidRDefault="008F7EBA" w:rsidP="008F7EBA">
      <w:pPr>
        <w:pStyle w:val="NormalWeb"/>
      </w:pPr>
      <w:r w:rsidRPr="009B2552">
        <w:t xml:space="preserve">On </w:t>
      </w:r>
      <w:r>
        <w:t xml:space="preserve">Sept. 21, 2023, in Thomas E. </w:t>
      </w:r>
      <w:proofErr w:type="spellStart"/>
      <w:r>
        <w:t>Lunneen</w:t>
      </w:r>
      <w:proofErr w:type="spellEnd"/>
      <w:r>
        <w:t xml:space="preserve">, personal representative of the estate of </w:t>
      </w:r>
      <w:r w:rsidRPr="009B2552">
        <w:rPr>
          <w:u w:val="single"/>
        </w:rPr>
        <w:t xml:space="preserve">Jack C. </w:t>
      </w:r>
      <w:proofErr w:type="spellStart"/>
      <w:r w:rsidRPr="009B2552">
        <w:rPr>
          <w:u w:val="single"/>
        </w:rPr>
        <w:t>Lunneen</w:t>
      </w:r>
      <w:proofErr w:type="spellEnd"/>
      <w:r w:rsidRPr="009B2552">
        <w:rPr>
          <w:u w:val="single"/>
        </w:rPr>
        <w:t xml:space="preserve"> v. Village of Berrien Springs, Michigan, et al.</w:t>
      </w:r>
      <w:r>
        <w:t xml:space="preserve">, the U.S. Court of Appeals for the Sixth Circuit (Cincinnati) held (2 to 1) that the trial court judge properly denied qualified immunity to the arresting police officers and the village.  A jury will now decide if police </w:t>
      </w:r>
      <w:proofErr w:type="gramStart"/>
      <w:r>
        <w:t>used</w:t>
      </w:r>
      <w:proofErr w:type="gramEnd"/>
      <w:r>
        <w:t xml:space="preserve"> substantial force on the back of the handcuffed prisoner. EMS arrived three minutes after the arrest and will likely be called as witnesses for the plaintiff. </w:t>
      </w:r>
    </w:p>
    <w:p w14:paraId="7FAA2AAB" w14:textId="4E19385A" w:rsidR="008F7EBA" w:rsidRDefault="008F7EBA" w:rsidP="008F7EBA">
      <w:pPr>
        <w:ind w:left="720"/>
        <w:rPr>
          <w:rFonts w:ascii="Arial Black" w:hAnsi="Arial Black"/>
          <w:b/>
          <w:bCs/>
          <w:sz w:val="28"/>
          <w:szCs w:val="28"/>
        </w:rPr>
      </w:pPr>
      <w:r>
        <w:rPr>
          <w:rFonts w:ascii="Times New Roman" w:eastAsia="Times New Roman" w:hAnsi="Times New Roman"/>
          <w:sz w:val="24"/>
          <w:szCs w:val="24"/>
        </w:rPr>
        <w:t>“</w:t>
      </w:r>
      <w:r w:rsidRPr="00A35759">
        <w:rPr>
          <w:rFonts w:ascii="Times New Roman" w:eastAsia="Times New Roman" w:hAnsi="Times New Roman"/>
          <w:sz w:val="24"/>
          <w:szCs w:val="24"/>
        </w:rPr>
        <w:t>Wyss [</w:t>
      </w:r>
      <w:r w:rsidRPr="00A35759">
        <w:rPr>
          <w:rFonts w:ascii="Times New Roman" w:hAnsi="Times New Roman"/>
          <w:sz w:val="24"/>
          <w:szCs w:val="24"/>
        </w:rPr>
        <w:t xml:space="preserve">Officer James Wyss of the Village of Berrien Springs-Oronoko Township Police Department] </w:t>
      </w:r>
      <w:r w:rsidRPr="00A35759">
        <w:rPr>
          <w:rFonts w:ascii="Times New Roman" w:eastAsia="Times New Roman" w:hAnsi="Times New Roman"/>
          <w:sz w:val="24"/>
          <w:szCs w:val="24"/>
        </w:rPr>
        <w:t>argues</w:t>
      </w:r>
      <w:r w:rsidRPr="00646482">
        <w:rPr>
          <w:rFonts w:ascii="Times New Roman" w:eastAsia="Times New Roman" w:hAnsi="Times New Roman"/>
          <w:sz w:val="24"/>
          <w:szCs w:val="24"/>
        </w:rPr>
        <w:t xml:space="preserve"> that the district court erred because </w:t>
      </w:r>
      <w:r>
        <w:rPr>
          <w:rFonts w:ascii="Times New Roman" w:eastAsia="Times New Roman" w:hAnsi="Times New Roman"/>
          <w:sz w:val="24"/>
          <w:szCs w:val="24"/>
        </w:rPr>
        <w:t>‘</w:t>
      </w:r>
      <w:r w:rsidRPr="00646482">
        <w:rPr>
          <w:rFonts w:ascii="Times New Roman" w:eastAsia="Times New Roman" w:hAnsi="Times New Roman"/>
          <w:sz w:val="24"/>
          <w:szCs w:val="24"/>
        </w:rPr>
        <w:t xml:space="preserve">[t]here is nothing unreasonable and unconstitutional about </w:t>
      </w:r>
      <w:r w:rsidRPr="00646482">
        <w:rPr>
          <w:rFonts w:ascii="Times New Roman" w:eastAsia="Times New Roman" w:hAnsi="Times New Roman"/>
          <w:i/>
          <w:iCs/>
          <w:sz w:val="24"/>
          <w:szCs w:val="24"/>
        </w:rPr>
        <w:t>merely holding onto the handcuffs</w:t>
      </w:r>
      <w:r w:rsidRPr="00646482">
        <w:rPr>
          <w:rFonts w:ascii="Times New Roman" w:eastAsia="Times New Roman" w:hAnsi="Times New Roman"/>
          <w:sz w:val="24"/>
          <w:szCs w:val="24"/>
        </w:rPr>
        <w:t xml:space="preserve"> following the erratic behavior and extensive resistance displayed by </w:t>
      </w:r>
      <w:proofErr w:type="spellStart"/>
      <w:r w:rsidRPr="00646482">
        <w:rPr>
          <w:rFonts w:ascii="Times New Roman" w:eastAsia="Times New Roman" w:hAnsi="Times New Roman"/>
          <w:sz w:val="24"/>
          <w:szCs w:val="24"/>
        </w:rPr>
        <w:t>Lunneen</w:t>
      </w:r>
      <w:proofErr w:type="spellEnd"/>
      <w:r w:rsidRPr="00646482">
        <w:rPr>
          <w:rFonts w:ascii="Times New Roman" w:eastAsia="Times New Roman" w:hAnsi="Times New Roman"/>
          <w:sz w:val="24"/>
          <w:szCs w:val="24"/>
        </w:rPr>
        <w:t xml:space="preserve"> before he was detained.</w:t>
      </w:r>
      <w:r>
        <w:rPr>
          <w:rFonts w:ascii="Times New Roman" w:eastAsia="Times New Roman" w:hAnsi="Times New Roman"/>
          <w:sz w:val="24"/>
          <w:szCs w:val="24"/>
        </w:rPr>
        <w:t>’</w:t>
      </w:r>
      <w:r w:rsidRPr="00646482">
        <w:rPr>
          <w:rFonts w:ascii="Times New Roman" w:eastAsia="Times New Roman" w:hAnsi="Times New Roman"/>
          <w:sz w:val="24"/>
          <w:szCs w:val="24"/>
        </w:rPr>
        <w:t xml:space="preserve"> Wyss Opening Br. at 33 (emphasis added). But Wyss's argument is based on his own version of the facts-that he was </w:t>
      </w:r>
      <w:r>
        <w:rPr>
          <w:rFonts w:ascii="Times New Roman" w:eastAsia="Times New Roman" w:hAnsi="Times New Roman"/>
          <w:sz w:val="24"/>
          <w:szCs w:val="24"/>
        </w:rPr>
        <w:t>‘</w:t>
      </w:r>
      <w:r w:rsidRPr="00646482">
        <w:rPr>
          <w:rFonts w:ascii="Times New Roman" w:eastAsia="Times New Roman" w:hAnsi="Times New Roman"/>
          <w:sz w:val="24"/>
          <w:szCs w:val="24"/>
        </w:rPr>
        <w:t>merely holding onto the handcuffs.</w:t>
      </w:r>
      <w:r>
        <w:rPr>
          <w:rFonts w:ascii="Times New Roman" w:eastAsia="Times New Roman" w:hAnsi="Times New Roman"/>
          <w:sz w:val="24"/>
          <w:szCs w:val="24"/>
        </w:rPr>
        <w:t>’</w:t>
      </w:r>
      <w:r w:rsidRPr="00646482">
        <w:rPr>
          <w:rFonts w:ascii="Times New Roman" w:eastAsia="Times New Roman" w:hAnsi="Times New Roman"/>
          <w:sz w:val="24"/>
          <w:szCs w:val="24"/>
        </w:rPr>
        <w:t xml:space="preserve"> The video footage does not indisputably demonstrate this; Wyss's hand often appears to be in contact with </w:t>
      </w:r>
      <w:proofErr w:type="spellStart"/>
      <w:r w:rsidRPr="00646482">
        <w:rPr>
          <w:rFonts w:ascii="Times New Roman" w:eastAsia="Times New Roman" w:hAnsi="Times New Roman"/>
          <w:sz w:val="24"/>
          <w:szCs w:val="24"/>
        </w:rPr>
        <w:t>Lunneen's</w:t>
      </w:r>
      <w:proofErr w:type="spellEnd"/>
      <w:r w:rsidRPr="00646482">
        <w:rPr>
          <w:rFonts w:ascii="Times New Roman" w:eastAsia="Times New Roman" w:hAnsi="Times New Roman"/>
          <w:sz w:val="24"/>
          <w:szCs w:val="24"/>
        </w:rPr>
        <w:t xml:space="preserve"> back during this time and the amount of pressure he applies is not clear. And, as discussed above, Plaintiff's expert opined that </w:t>
      </w:r>
      <w:proofErr w:type="spellStart"/>
      <w:r w:rsidRPr="00646482">
        <w:rPr>
          <w:rFonts w:ascii="Times New Roman" w:eastAsia="Times New Roman" w:hAnsi="Times New Roman"/>
          <w:sz w:val="24"/>
          <w:szCs w:val="24"/>
        </w:rPr>
        <w:t>Lunneen's</w:t>
      </w:r>
      <w:proofErr w:type="spellEnd"/>
      <w:r w:rsidRPr="00646482">
        <w:rPr>
          <w:rFonts w:ascii="Times New Roman" w:eastAsia="Times New Roman" w:hAnsi="Times New Roman"/>
          <w:sz w:val="24"/>
          <w:szCs w:val="24"/>
        </w:rPr>
        <w:t xml:space="preserve"> autopsy revealed </w:t>
      </w:r>
      <w:r>
        <w:rPr>
          <w:rFonts w:ascii="Times New Roman" w:eastAsia="Times New Roman" w:hAnsi="Times New Roman"/>
          <w:sz w:val="24"/>
          <w:szCs w:val="24"/>
        </w:rPr>
        <w:t>‘</w:t>
      </w:r>
      <w:r w:rsidRPr="00646482">
        <w:rPr>
          <w:rFonts w:ascii="Times New Roman" w:eastAsia="Times New Roman" w:hAnsi="Times New Roman"/>
          <w:sz w:val="24"/>
          <w:szCs w:val="24"/>
        </w:rPr>
        <w:t>large areas of hemorrhage in the soft tissues and deep muscles of the mid and lower back bilaterally, evidence of severe prone back pressure.</w:t>
      </w:r>
      <w:r>
        <w:rPr>
          <w:rFonts w:ascii="Times New Roman" w:eastAsia="Times New Roman" w:hAnsi="Times New Roman"/>
          <w:sz w:val="24"/>
          <w:szCs w:val="24"/>
        </w:rPr>
        <w:t>’</w:t>
      </w:r>
      <w:r w:rsidRPr="00646482">
        <w:rPr>
          <w:rFonts w:ascii="Times New Roman" w:eastAsia="Times New Roman" w:hAnsi="Times New Roman"/>
          <w:sz w:val="24"/>
          <w:szCs w:val="24"/>
        </w:rPr>
        <w:t xml:space="preserve"> R. 57-3, PID # 389; </w:t>
      </w:r>
      <w:r w:rsidRPr="00646482">
        <w:rPr>
          <w:rFonts w:ascii="Times New Roman" w:eastAsia="Times New Roman" w:hAnsi="Times New Roman"/>
          <w:i/>
          <w:iCs/>
          <w:sz w:val="24"/>
          <w:szCs w:val="24"/>
        </w:rPr>
        <w:t>see also</w:t>
      </w:r>
      <w:r w:rsidRPr="00646482">
        <w:rPr>
          <w:rFonts w:ascii="Times New Roman" w:eastAsia="Times New Roman" w:hAnsi="Times New Roman"/>
          <w:sz w:val="24"/>
          <w:szCs w:val="24"/>
        </w:rPr>
        <w:t xml:space="preserve"> R. 57-11 (report by Dr. </w:t>
      </w:r>
      <w:proofErr w:type="spellStart"/>
      <w:r w:rsidRPr="00646482">
        <w:rPr>
          <w:rFonts w:ascii="Times New Roman" w:eastAsia="Times New Roman" w:hAnsi="Times New Roman"/>
          <w:sz w:val="24"/>
          <w:szCs w:val="24"/>
        </w:rPr>
        <w:t>Wohlgelernter</w:t>
      </w:r>
      <w:proofErr w:type="spellEnd"/>
      <w:r w:rsidRPr="00646482">
        <w:rPr>
          <w:rFonts w:ascii="Times New Roman" w:eastAsia="Times New Roman" w:hAnsi="Times New Roman"/>
          <w:sz w:val="24"/>
          <w:szCs w:val="24"/>
        </w:rPr>
        <w:t xml:space="preserve">, who concluded that </w:t>
      </w:r>
      <w:proofErr w:type="spellStart"/>
      <w:r w:rsidRPr="00646482">
        <w:rPr>
          <w:rFonts w:ascii="Times New Roman" w:eastAsia="Times New Roman" w:hAnsi="Times New Roman"/>
          <w:sz w:val="24"/>
          <w:szCs w:val="24"/>
        </w:rPr>
        <w:t>Lunneen</w:t>
      </w:r>
      <w:proofErr w:type="spellEnd"/>
      <w:r w:rsidRPr="00646482">
        <w:rPr>
          <w:rFonts w:ascii="Times New Roman" w:eastAsia="Times New Roman" w:hAnsi="Times New Roman"/>
          <w:sz w:val="24"/>
          <w:szCs w:val="24"/>
        </w:rPr>
        <w:t xml:space="preserve"> died from </w:t>
      </w:r>
      <w:r>
        <w:rPr>
          <w:rFonts w:ascii="Times New Roman" w:eastAsia="Times New Roman" w:hAnsi="Times New Roman"/>
          <w:sz w:val="24"/>
          <w:szCs w:val="24"/>
        </w:rPr>
        <w:t>‘</w:t>
      </w:r>
      <w:r w:rsidRPr="00646482">
        <w:rPr>
          <w:rFonts w:ascii="Times New Roman" w:eastAsia="Times New Roman" w:hAnsi="Times New Roman"/>
          <w:sz w:val="24"/>
          <w:szCs w:val="24"/>
        </w:rPr>
        <w:t>restraint/compressive asphyxia with mechanical obstruction of respiration, secondary to compressive force applied to his torso by the police officers with resultant respiratory compromise and subsequent development of hypoxia/hypoxemia causing asystole and PEA cardiac arrest).</w:t>
      </w:r>
      <w:r>
        <w:rPr>
          <w:rFonts w:ascii="Times New Roman" w:eastAsia="Times New Roman" w:hAnsi="Times New Roman"/>
          <w:sz w:val="24"/>
          <w:szCs w:val="24"/>
        </w:rPr>
        <w:t xml:space="preserve">” </w:t>
      </w:r>
      <w:hyperlink r:id="rId2137" w:history="1">
        <w:r w:rsidRPr="00D01575">
          <w:rPr>
            <w:rStyle w:val="Hyperlink"/>
            <w:rFonts w:ascii="Times New Roman" w:eastAsia="Times New Roman" w:hAnsi="Times New Roman"/>
            <w:sz w:val="24"/>
            <w:szCs w:val="24"/>
          </w:rPr>
          <w:t>https://public.fastcase.com/ZZhmr5v9wN%2FXOe5IsQ%2FqDwASFNWp2rhZooTaAZ4JTmSP%2Ba577zfXOKFdhmxj2NNxZ%2BfUfh8HTXLnmAlto%2FfEgpJtIv6O1WLjBzQZiKVSV8A%3D?utm_medium=email&amp;_hsmi=226712652&amp;_hsenc=p2ANqtz-9KUYaeGFguXeYoSZu4M54zm4xcFhouQPplq1qZXjy7nqatE34VLjsx4SN3mygo2_n2CHhg7EjDYW1VqsMoJq110-zPJg&amp;utm_content=226712652&amp;utm_source=hs_email</w:t>
        </w:r>
      </w:hyperlink>
    </w:p>
    <w:p w14:paraId="39441514" w14:textId="77777777" w:rsidR="008F7EBA" w:rsidRPr="007C2BBC" w:rsidRDefault="008F7EBA" w:rsidP="008F7EBA">
      <w:pPr>
        <w:pStyle w:val="NormalWeb"/>
        <w:rPr>
          <w:b/>
          <w:bCs/>
        </w:rPr>
      </w:pPr>
      <w:r w:rsidRPr="007C2BBC">
        <w:rPr>
          <w:b/>
          <w:bCs/>
        </w:rPr>
        <w:t xml:space="preserve">Legal Lesson Learned: </w:t>
      </w:r>
      <w:r>
        <w:rPr>
          <w:b/>
          <w:bCs/>
        </w:rPr>
        <w:t xml:space="preserve">EMS who observe police holding face down a handcuffed prisoner can expect to testify if the prisoner dies or is seriously injured. </w:t>
      </w:r>
    </w:p>
    <w:p w14:paraId="6304ECCC" w14:textId="77777777" w:rsidR="00AC3E10" w:rsidRDefault="00AC3E10" w:rsidP="006A02A4">
      <w:pPr>
        <w:rPr>
          <w:rFonts w:ascii="Arial Black" w:hAnsi="Arial Black"/>
          <w:b/>
          <w:bCs/>
          <w:sz w:val="28"/>
          <w:szCs w:val="28"/>
        </w:rPr>
      </w:pPr>
    </w:p>
    <w:p w14:paraId="104E8460" w14:textId="77777777" w:rsidR="008F7EBA" w:rsidRDefault="008F7EBA" w:rsidP="006A02A4">
      <w:pPr>
        <w:rPr>
          <w:rFonts w:ascii="Arial Black" w:hAnsi="Arial Black"/>
          <w:b/>
          <w:bCs/>
          <w:sz w:val="28"/>
          <w:szCs w:val="28"/>
        </w:rPr>
      </w:pPr>
    </w:p>
    <w:p w14:paraId="6809C985" w14:textId="5A9A0D81" w:rsidR="00DA3CAA" w:rsidRDefault="00DA3CAA" w:rsidP="006A02A4">
      <w:pPr>
        <w:rPr>
          <w:rFonts w:ascii="Arial Black" w:hAnsi="Arial Black"/>
          <w:b/>
          <w:bCs/>
          <w:sz w:val="28"/>
          <w:szCs w:val="28"/>
        </w:rPr>
      </w:pPr>
      <w:r>
        <w:rPr>
          <w:rFonts w:ascii="Arial Black" w:hAnsi="Arial Black"/>
          <w:b/>
          <w:bCs/>
          <w:sz w:val="28"/>
          <w:szCs w:val="28"/>
        </w:rPr>
        <w:t>13-153</w:t>
      </w:r>
    </w:p>
    <w:p w14:paraId="6EA7B7A2" w14:textId="77777777" w:rsidR="00DA3CAA" w:rsidRDefault="00DA3CAA" w:rsidP="00DA3CAA">
      <w:pPr>
        <w:pStyle w:val="NormalWeb"/>
        <w:rPr>
          <w:rFonts w:ascii="Arial Black" w:hAnsi="Arial Black"/>
          <w:sz w:val="28"/>
          <w:szCs w:val="28"/>
        </w:rPr>
      </w:pPr>
      <w:r>
        <w:rPr>
          <w:rFonts w:ascii="Arial Black" w:hAnsi="Arial Black"/>
          <w:sz w:val="28"/>
          <w:szCs w:val="28"/>
        </w:rPr>
        <w:t>PA: DIZZINESS / LIFT ASSIST – DIDN’T BRING IN MONITOR – REFUSED TRANSPORT, CARDIAC ARREST – NO GROSS NEG.</w:t>
      </w:r>
    </w:p>
    <w:p w14:paraId="333CC0EE" w14:textId="77777777" w:rsidR="00DA3CAA" w:rsidRPr="00DA3CAA" w:rsidRDefault="00DA3CAA" w:rsidP="00DA3CAA">
      <w:pPr>
        <w:spacing w:after="100" w:line="240" w:lineRule="auto"/>
        <w:rPr>
          <w:rFonts w:ascii="Times New Roman" w:eastAsia="Times New Roman" w:hAnsi="Times New Roman"/>
          <w:sz w:val="24"/>
          <w:szCs w:val="24"/>
        </w:rPr>
      </w:pPr>
      <w:r w:rsidRPr="00DA3CAA">
        <w:rPr>
          <w:rFonts w:ascii="Times New Roman" w:hAnsi="Times New Roman"/>
          <w:sz w:val="24"/>
          <w:szCs w:val="24"/>
        </w:rPr>
        <w:t xml:space="preserve">On July 28, 2023, in </w:t>
      </w:r>
      <w:r w:rsidRPr="00DA3CAA">
        <w:rPr>
          <w:rFonts w:ascii="Times New Roman" w:hAnsi="Times New Roman"/>
          <w:sz w:val="24"/>
          <w:szCs w:val="24"/>
          <w:u w:val="single"/>
        </w:rPr>
        <w:t>Frederick T. Fry. Administrator of Estate of Jean Ann Fry v. Montrose Minute Men, Inc</w:t>
      </w:r>
      <w:r w:rsidRPr="00DA3CAA">
        <w:rPr>
          <w:rFonts w:ascii="Times New Roman" w:hAnsi="Times New Roman"/>
          <w:sz w:val="24"/>
          <w:szCs w:val="24"/>
        </w:rPr>
        <w:t>., the Superior Court of Pennsylvania, held (3 to 0; non-precedential decision) that the trial court properly granted EMS summary judgment.  There may have been negligence regarding not bringing in monitor, and subsequent actions at the scene (plaintiff’s two expert witness medical doctors submitted reports finding breaches of protocol), but there was no proof of gross negligence.  The expert witness for EMS, another medical doctor, in his report disagree and concluded, “T</w:t>
      </w:r>
      <w:r w:rsidRPr="00DA3CAA">
        <w:rPr>
          <w:rFonts w:ascii="Times New Roman" w:eastAsia="Times New Roman" w:hAnsi="Times New Roman"/>
          <w:sz w:val="24"/>
          <w:szCs w:val="24"/>
        </w:rPr>
        <w:t xml:space="preserve">he EMS providers on the scene responded admirably to a very difficult situation.” </w:t>
      </w:r>
    </w:p>
    <w:p w14:paraId="3CC246B3" w14:textId="77777777" w:rsidR="00DA3CAA" w:rsidRPr="00DA3CAA" w:rsidRDefault="00DA3CAA" w:rsidP="00DA3CAA">
      <w:pPr>
        <w:spacing w:after="100" w:line="240" w:lineRule="auto"/>
        <w:rPr>
          <w:rFonts w:ascii="Times New Roman" w:eastAsia="Times New Roman" w:hAnsi="Times New Roman"/>
          <w:sz w:val="24"/>
          <w:szCs w:val="24"/>
        </w:rPr>
      </w:pPr>
    </w:p>
    <w:p w14:paraId="041F0B83" w14:textId="77777777" w:rsidR="00DA3CAA" w:rsidRPr="00DA3CAA" w:rsidRDefault="00DA3CAA" w:rsidP="00DA3CAA">
      <w:pPr>
        <w:spacing w:after="100" w:line="240" w:lineRule="auto"/>
        <w:rPr>
          <w:rFonts w:ascii="Times New Roman" w:eastAsia="Times New Roman" w:hAnsi="Times New Roman"/>
          <w:sz w:val="24"/>
          <w:szCs w:val="24"/>
        </w:rPr>
      </w:pPr>
      <w:r w:rsidRPr="00DA3CAA">
        <w:rPr>
          <w:rFonts w:ascii="Times New Roman" w:eastAsia="Times New Roman" w:hAnsi="Times New Roman"/>
          <w:sz w:val="24"/>
          <w:szCs w:val="24"/>
        </w:rPr>
        <w:t xml:space="preserve">The Court held: </w:t>
      </w:r>
    </w:p>
    <w:p w14:paraId="360942D5" w14:textId="77777777" w:rsidR="00DA3CAA" w:rsidRPr="00DA3CAA" w:rsidRDefault="00DA3CAA" w:rsidP="00DA3CAA">
      <w:pPr>
        <w:spacing w:after="100" w:line="240" w:lineRule="auto"/>
        <w:rPr>
          <w:rFonts w:ascii="Times New Roman" w:hAnsi="Times New Roman"/>
          <w:sz w:val="24"/>
          <w:szCs w:val="24"/>
        </w:rPr>
      </w:pPr>
      <w:r w:rsidRPr="00DA3CAA">
        <w:rPr>
          <w:rFonts w:ascii="Times New Roman" w:hAnsi="Times New Roman"/>
          <w:sz w:val="24"/>
          <w:szCs w:val="24"/>
        </w:rPr>
        <w:t>“The crew's failure to bring in diagnostic equipment when they arrived at the Fry residence hardly rises to an extreme departure from the standard of care or shows a conscious, voluntary omission in reckless disregard of a legal duty. At most, the failure of the crew to bring equipment when they first arrived at the Fry home may - or may not - rise to a level of ordinary negligence.</w:t>
      </w:r>
    </w:p>
    <w:p w14:paraId="1C55BF98" w14:textId="77777777" w:rsidR="00DA3CAA" w:rsidRPr="00DA3CAA" w:rsidRDefault="00DA3CAA" w:rsidP="00DA3CAA">
      <w:pPr>
        <w:spacing w:after="100" w:line="240" w:lineRule="auto"/>
        <w:rPr>
          <w:rFonts w:ascii="Times New Roman" w:eastAsia="Times New Roman" w:hAnsi="Times New Roman"/>
          <w:sz w:val="24"/>
          <w:szCs w:val="24"/>
        </w:rPr>
      </w:pPr>
      <w:r w:rsidRPr="00DA3CAA">
        <w:rPr>
          <w:rFonts w:ascii="Times New Roman" w:hAnsi="Times New Roman"/>
          <w:sz w:val="24"/>
          <w:szCs w:val="24"/>
        </w:rPr>
        <w:t>***</w:t>
      </w:r>
    </w:p>
    <w:p w14:paraId="47FEE111" w14:textId="20A3F85F" w:rsidR="00DA3CAA" w:rsidRDefault="00DA3CAA" w:rsidP="00DA3CAA">
      <w:pPr>
        <w:rPr>
          <w:rFonts w:ascii="Arial Black" w:hAnsi="Arial Black"/>
          <w:b/>
          <w:bCs/>
          <w:sz w:val="28"/>
          <w:szCs w:val="28"/>
        </w:rPr>
      </w:pPr>
      <w:r w:rsidRPr="00DA3CAA">
        <w:rPr>
          <w:rFonts w:ascii="Times New Roman" w:hAnsi="Times New Roman"/>
          <w:sz w:val="24"/>
          <w:szCs w:val="24"/>
        </w:rPr>
        <w:t xml:space="preserve">Distilled down, Fry argues that his expert reports, by themselves, create inherent issues of fact that are necessary for jury adjudication. However, other than citing two pieces of ‘authority,’ one from this Court and another from a trial-court level decision, even accepting everything contained within his expert reports as true, Fry has failed to show that the Minute Men, or its agents, engaged in any kind of behavior that could be considered grossly negligent or willful misconduct.” </w:t>
      </w:r>
      <w:hyperlink r:id="rId2138" w:history="1">
        <w:r w:rsidRPr="00DA3CAA">
          <w:rPr>
            <w:rStyle w:val="Hyperlink"/>
            <w:rFonts w:ascii="Times New Roman" w:eastAsiaTheme="majorEastAsia" w:hAnsi="Times New Roman"/>
            <w:sz w:val="24"/>
            <w:szCs w:val="24"/>
          </w:rPr>
          <w:t>https://public.fastcase.com/ZZhmr5v9wN%2FXOe5IsQ%2FqD%2FMrsYybnhzToDs3pNIz1%2FKuVE%2FXrNjXuEwJjzIPMf50bv4pQ7cB9hbsaZ7iWrESGuHFIj%2FFdpWNLAaphAA7k6c%3D?utm_medium=email&amp;_hsmi=226712652&amp;_hsenc=p2ANqtz-_5oWIy3JVMzQhw9Nc4Op3ZwRC559261JhKrpKmwZ_i9sOC_6POwqnLW9vjaTKG4YfwH8U6J7L56i3T2Eyz1DW0ZK0ATw&amp;utm_content=226712652&amp;utm_source=hs_email</w:t>
        </w:r>
      </w:hyperlink>
    </w:p>
    <w:p w14:paraId="176A673A" w14:textId="77777777" w:rsidR="00DA3CAA" w:rsidRPr="00A95A76" w:rsidRDefault="00DA3CAA" w:rsidP="00DA3CAA">
      <w:pPr>
        <w:pStyle w:val="NormalWeb"/>
        <w:rPr>
          <w:b/>
          <w:bCs/>
        </w:rPr>
      </w:pPr>
      <w:r w:rsidRPr="00A95A76">
        <w:rPr>
          <w:b/>
          <w:bCs/>
        </w:rPr>
        <w:t xml:space="preserve">Legal Lesson Learned: </w:t>
      </w:r>
      <w:r>
        <w:rPr>
          <w:b/>
          <w:bCs/>
        </w:rPr>
        <w:t xml:space="preserve">Bring </w:t>
      </w:r>
      <w:proofErr w:type="gramStart"/>
      <w:r>
        <w:rPr>
          <w:b/>
          <w:bCs/>
        </w:rPr>
        <w:t>in</w:t>
      </w:r>
      <w:proofErr w:type="gramEnd"/>
      <w:r>
        <w:rPr>
          <w:b/>
          <w:bCs/>
        </w:rPr>
        <w:t xml:space="preserve"> Monitor even if call is for lift assist. </w:t>
      </w:r>
    </w:p>
    <w:p w14:paraId="35D5F126" w14:textId="77777777" w:rsidR="00DA3CAA" w:rsidRDefault="00DA3CAA" w:rsidP="006A02A4">
      <w:pPr>
        <w:rPr>
          <w:rFonts w:ascii="Arial Black" w:hAnsi="Arial Black"/>
          <w:b/>
          <w:bCs/>
          <w:sz w:val="28"/>
          <w:szCs w:val="28"/>
        </w:rPr>
      </w:pPr>
    </w:p>
    <w:p w14:paraId="3876C319" w14:textId="77777777" w:rsidR="00DA3CAA" w:rsidRDefault="00DA3CAA" w:rsidP="006A02A4">
      <w:pPr>
        <w:rPr>
          <w:rFonts w:ascii="Arial Black" w:hAnsi="Arial Black"/>
          <w:b/>
          <w:bCs/>
          <w:sz w:val="28"/>
          <w:szCs w:val="28"/>
        </w:rPr>
      </w:pPr>
    </w:p>
    <w:p w14:paraId="47119F22" w14:textId="6B9118F1" w:rsidR="00DA3CAA" w:rsidRDefault="00DA3CAA" w:rsidP="006A02A4">
      <w:pPr>
        <w:rPr>
          <w:rFonts w:ascii="Arial Black" w:hAnsi="Arial Black"/>
          <w:b/>
          <w:bCs/>
          <w:sz w:val="28"/>
          <w:szCs w:val="28"/>
        </w:rPr>
      </w:pPr>
      <w:r>
        <w:rPr>
          <w:rFonts w:ascii="Arial Black" w:hAnsi="Arial Black"/>
          <w:b/>
          <w:bCs/>
          <w:sz w:val="28"/>
          <w:szCs w:val="28"/>
        </w:rPr>
        <w:t>13-152</w:t>
      </w:r>
    </w:p>
    <w:p w14:paraId="6EF7D0FD" w14:textId="176F347C" w:rsidR="00DA3CAA" w:rsidRPr="00C03DA4" w:rsidRDefault="00DA3CAA" w:rsidP="00DA3CAA">
      <w:pPr>
        <w:pStyle w:val="NormalWeb"/>
        <w:rPr>
          <w:rFonts w:ascii="Arial Black" w:hAnsi="Arial Black"/>
          <w:b/>
          <w:bCs/>
          <w:sz w:val="28"/>
          <w:szCs w:val="28"/>
        </w:rPr>
      </w:pPr>
      <w:r>
        <w:rPr>
          <w:rFonts w:ascii="Arial Black" w:hAnsi="Arial Black"/>
          <w:b/>
          <w:bCs/>
          <w:sz w:val="28"/>
          <w:szCs w:val="28"/>
        </w:rPr>
        <w:t>MI: CEREBAL PALSY PATIENT – FAMILY SAID SHE STILL BREATHING - ALIVE FUNERAL HOME - EMS QUAL. IMMUN.</w:t>
      </w:r>
    </w:p>
    <w:p w14:paraId="341962BC" w14:textId="77777777" w:rsidR="00DA3CAA" w:rsidRDefault="00DA3CAA" w:rsidP="00DA3CAA">
      <w:pPr>
        <w:pStyle w:val="NormalWeb"/>
      </w:pPr>
      <w:r>
        <w:t xml:space="preserve">On July 26, 2023, in </w:t>
      </w:r>
      <w:r w:rsidRPr="00C03DA4">
        <w:rPr>
          <w:u w:val="single"/>
        </w:rPr>
        <w:t>Howard T. Linden, as Personal Representative of the Estate of Timesha Beauchamp v</w:t>
      </w:r>
      <w:r>
        <w:rPr>
          <w:u w:val="single"/>
        </w:rPr>
        <w:t>.</w:t>
      </w:r>
      <w:r w:rsidRPr="00C03DA4">
        <w:rPr>
          <w:u w:val="single"/>
        </w:rPr>
        <w:t xml:space="preserve"> City of Southfield, Michigan, et al</w:t>
      </w:r>
      <w:r>
        <w:t>., the U.S. Court of Appeals for 6</w:t>
      </w:r>
      <w:r w:rsidRPr="00C03DA4">
        <w:rPr>
          <w:vertAlign w:val="superscript"/>
        </w:rPr>
        <w:t>th</w:t>
      </w:r>
      <w:r>
        <w:t xml:space="preserve"> Circuit (Cincinnati) held (3 to 0) that the trial court judge properly dismissed the lawsuit, holding that that the paramedics enjoyed qualified immunity, and therefore the City is also not liable. On Aug. 23, 2020, EMS were called to home of a 20-year-old woman with cerebral palsy who was unresponsive. After CPR and ventilation with a bag valve mask, the family was told she had died.  However, on three occasions family members said she appeared to still be </w:t>
      </w:r>
      <w:proofErr w:type="gramStart"/>
      <w:r>
        <w:t>breathing</w:t>
      </w:r>
      <w:proofErr w:type="gramEnd"/>
      <w:r>
        <w:t xml:space="preserve"> and the monitor showed electrical activity.  When at funeral home, the embalmer saw her chest rising; she died six weeks later. The Court rejected plaintiff’s “state-created danger” theory since EMS did not expose the patient to “private acts of violence.” The Court also rejected the “failure to train” liability for the City, since the lawsuit complaint contained no factual allegations about their EMS training. </w:t>
      </w:r>
    </w:p>
    <w:p w14:paraId="4CEDA4A2" w14:textId="77777777" w:rsidR="00DA3CAA" w:rsidRDefault="00DA3CAA" w:rsidP="00DA3CAA">
      <w:pPr>
        <w:pStyle w:val="NormalWeb"/>
      </w:pPr>
      <w:r>
        <w:t>The Court held:</w:t>
      </w:r>
    </w:p>
    <w:p w14:paraId="53D1A8A0" w14:textId="77777777" w:rsidR="00DA3CAA" w:rsidRDefault="00DA3CAA" w:rsidP="00DA3CAA">
      <w:pPr>
        <w:pStyle w:val="NormalWeb"/>
      </w:pPr>
      <w:r>
        <w:t xml:space="preserve">Generally, there is no constitutional right to adequate medical care for individuals who are not in </w:t>
      </w:r>
      <w:proofErr w:type="gramStart"/>
      <w:r>
        <w:t>the custody</w:t>
      </w:r>
      <w:proofErr w:type="gramEnd"/>
      <w:r>
        <w:t xml:space="preserve"> of the state. See Jackson v. Schultz, 429 F.3d 586, 590 (6th Cir. 2005) (‘It is not a constitutional violation for a state actor to render incompetent medical assistance or fail to rescue those in need.” (</w:t>
      </w:r>
      <w:proofErr w:type="gramStart"/>
      <w:r>
        <w:t>citing</w:t>
      </w:r>
      <w:proofErr w:type="gramEnd"/>
      <w:r>
        <w:t xml:space="preserve"> </w:t>
      </w:r>
      <w:proofErr w:type="spellStart"/>
      <w:r>
        <w:t>DeShaney</w:t>
      </w:r>
      <w:proofErr w:type="spellEnd"/>
      <w:r>
        <w:t xml:space="preserve"> v. Winnebago </w:t>
      </w:r>
      <w:proofErr w:type="spellStart"/>
      <w:r>
        <w:t>Cnty</w:t>
      </w:r>
      <w:proofErr w:type="spellEnd"/>
      <w:r>
        <w:t xml:space="preserve">. </w:t>
      </w:r>
      <w:proofErr w:type="spellStart"/>
      <w:r>
        <w:t>Dep’t</w:t>
      </w:r>
      <w:proofErr w:type="spellEnd"/>
      <w:r>
        <w:t xml:space="preserve"> of Soc. Servs., 489 U.S. 189, 196 (1989))). However, there is an exception to that general principle where a state actor’s ‘affirmative act’ either ‘creates or increases a risk that the decedent would be exposed to ‘private acts of violence…’ </w:t>
      </w:r>
    </w:p>
    <w:p w14:paraId="2D3EF0CC" w14:textId="77777777" w:rsidR="00DA3CAA" w:rsidRDefault="00DA3CAA" w:rsidP="00DA3CAA">
      <w:pPr>
        <w:pStyle w:val="NormalWeb"/>
      </w:pPr>
      <w:r>
        <w:t>***</w:t>
      </w:r>
    </w:p>
    <w:p w14:paraId="62A88073" w14:textId="77777777" w:rsidR="00DA3CAA" w:rsidRDefault="00DA3CAA" w:rsidP="00DA3CAA">
      <w:pPr>
        <w:pStyle w:val="NormalWeb"/>
      </w:pPr>
      <w:r>
        <w:t xml:space="preserve">Qualified immunity “shields governmental officials from monetary damages </w:t>
      </w:r>
      <w:proofErr w:type="gramStart"/>
      <w:r>
        <w:t>as long as</w:t>
      </w:r>
      <w:proofErr w:type="gramEnd"/>
      <w:r>
        <w:t xml:space="preserve"> ‘their actions did not violate clearly established statutory or constitutional rights of which a reasonable person would have known.’” Sumpter v. Wayne Cnty., 868 F.3d 473, 480 (6th Cir.  2017) (quoting Chappell v. City of Cleveland, 585 F.3d 901, 907 (6th Cir. 2009))…. So it is hard to see how it could be ‘clearly established” that the First Responders exposed Beauchamp to a private act of violence when they mistakenly believed she was dead and left her in her family’s care to be processed for routine funeral proceedings, which included the Funeral Home employee’s act of putting Beauchamp’s presumed-dead body into a body bag to transport her to a funeral home.” </w:t>
      </w:r>
      <w:hyperlink r:id="rId2139" w:history="1">
        <w:r w:rsidRPr="00833D9A">
          <w:rPr>
            <w:rStyle w:val="Hyperlink"/>
            <w:rFonts w:eastAsiaTheme="majorEastAsia"/>
          </w:rPr>
          <w:t>https://www.opn.ca6.uscourts.gov/opinions.pdf/23a0156p-06.pdf</w:t>
        </w:r>
      </w:hyperlink>
      <w:r>
        <w:t xml:space="preserve"> </w:t>
      </w:r>
    </w:p>
    <w:p w14:paraId="35ED38F8" w14:textId="77777777" w:rsidR="00DA3CAA" w:rsidRPr="00CF63FC" w:rsidRDefault="00DA3CAA" w:rsidP="00DA3CAA">
      <w:pPr>
        <w:pStyle w:val="NormalWeb"/>
        <w:rPr>
          <w:b/>
          <w:bCs/>
        </w:rPr>
      </w:pPr>
      <w:r w:rsidRPr="00CF63FC">
        <w:rPr>
          <w:b/>
          <w:bCs/>
        </w:rPr>
        <w:t xml:space="preserve">Legal Lesson Learned: </w:t>
      </w:r>
      <w:r>
        <w:rPr>
          <w:b/>
          <w:bCs/>
        </w:rPr>
        <w:t xml:space="preserve">Terrible set of facts; review this case and your protocol on declaration of death with EMS personnel. </w:t>
      </w:r>
    </w:p>
    <w:p w14:paraId="68AF52B7" w14:textId="77777777" w:rsidR="00DA3CAA" w:rsidRDefault="00DA3CAA" w:rsidP="00DA3CAA">
      <w:pPr>
        <w:pStyle w:val="Heading1"/>
        <w:ind w:left="720"/>
        <w:rPr>
          <w:b w:val="0"/>
          <w:bCs w:val="0"/>
          <w:sz w:val="24"/>
          <w:szCs w:val="24"/>
        </w:rPr>
      </w:pPr>
      <w:r w:rsidRPr="00D87DB0">
        <w:rPr>
          <w:b w:val="0"/>
          <w:bCs w:val="0"/>
          <w:sz w:val="24"/>
          <w:szCs w:val="24"/>
        </w:rPr>
        <w:t xml:space="preserve">Note: See July 27, </w:t>
      </w:r>
      <w:proofErr w:type="gramStart"/>
      <w:r w:rsidRPr="00D87DB0">
        <w:rPr>
          <w:b w:val="0"/>
          <w:bCs w:val="0"/>
          <w:sz w:val="24"/>
          <w:szCs w:val="24"/>
        </w:rPr>
        <w:t>2023</w:t>
      </w:r>
      <w:proofErr w:type="gramEnd"/>
      <w:r w:rsidRPr="00D87DB0">
        <w:rPr>
          <w:b w:val="0"/>
          <w:bCs w:val="0"/>
          <w:sz w:val="24"/>
          <w:szCs w:val="24"/>
        </w:rPr>
        <w:t xml:space="preserve"> article, “Court rules first responders who wrongfully declared Michigan woman dead cannot be sued.” </w:t>
      </w:r>
      <w:hyperlink r:id="rId2140" w:history="1">
        <w:r w:rsidRPr="00D87DB0">
          <w:rPr>
            <w:rStyle w:val="Hyperlink"/>
            <w:rFonts w:eastAsiaTheme="majorEastAsia"/>
            <w:b w:val="0"/>
            <w:bCs w:val="0"/>
            <w:sz w:val="24"/>
            <w:szCs w:val="24"/>
          </w:rPr>
          <w:t>https://www.foxnews.com/us/court-rules-first-responders-wrongfully-declared-michigan-woman-dead-cannot-be-sued</w:t>
        </w:r>
      </w:hyperlink>
      <w:r w:rsidRPr="00D87DB0">
        <w:rPr>
          <w:b w:val="0"/>
          <w:bCs w:val="0"/>
          <w:sz w:val="24"/>
          <w:szCs w:val="24"/>
        </w:rPr>
        <w:t xml:space="preserve"> </w:t>
      </w:r>
    </w:p>
    <w:p w14:paraId="748A1ABF" w14:textId="29052168" w:rsidR="00DA3CAA" w:rsidRPr="00DA3CAA" w:rsidRDefault="00DA3CAA" w:rsidP="00DA3CAA">
      <w:pPr>
        <w:ind w:left="720"/>
        <w:rPr>
          <w:rFonts w:ascii="Times New Roman" w:hAnsi="Times New Roman"/>
          <w:b/>
          <w:bCs/>
          <w:sz w:val="24"/>
          <w:szCs w:val="24"/>
        </w:rPr>
      </w:pPr>
      <w:r w:rsidRPr="00DA3CAA">
        <w:rPr>
          <w:rFonts w:ascii="Times New Roman" w:hAnsi="Times New Roman"/>
          <w:sz w:val="24"/>
          <w:szCs w:val="24"/>
        </w:rPr>
        <w:t xml:space="preserve">Dec. 10, </w:t>
      </w:r>
      <w:proofErr w:type="gramStart"/>
      <w:r w:rsidRPr="00DA3CAA">
        <w:rPr>
          <w:rFonts w:ascii="Times New Roman" w:hAnsi="Times New Roman"/>
          <w:sz w:val="24"/>
          <w:szCs w:val="24"/>
        </w:rPr>
        <w:t>2020</w:t>
      </w:r>
      <w:proofErr w:type="gramEnd"/>
      <w:r w:rsidRPr="00DA3CAA">
        <w:rPr>
          <w:rFonts w:ascii="Times New Roman" w:hAnsi="Times New Roman"/>
          <w:sz w:val="24"/>
          <w:szCs w:val="24"/>
        </w:rPr>
        <w:t xml:space="preserve"> article: “Paramedics in case of ‘dead’ woman alive can regain licenses.” “The state health department recently reached agreements with the men to drop the license suspensions. They will have multiple chances to pass written and practical exams for paramedics. Storms has additional work: He must write a paper on the protocols for determination of death and cardiac arrest. Storms must read a book, ‘People Care: Perspective and Practices for Professional Caregivers,’ and write a three-page paper. He will have three chances to achieve a passing grade on the papers.” </w:t>
      </w:r>
      <w:hyperlink r:id="rId2141" w:history="1">
        <w:r w:rsidRPr="00DA3CAA">
          <w:rPr>
            <w:rStyle w:val="Hyperlink"/>
            <w:rFonts w:ascii="Times New Roman" w:eastAsiaTheme="majorEastAsia" w:hAnsi="Times New Roman"/>
            <w:sz w:val="24"/>
            <w:szCs w:val="24"/>
          </w:rPr>
          <w:t>https://www.detroitnews.com/story/news/local/oakland-county/2020/12/10/paramedics-case-dead-woman-alive-can-regain-licenses/3883292001/</w:t>
        </w:r>
      </w:hyperlink>
    </w:p>
    <w:p w14:paraId="0AACAB41" w14:textId="77777777" w:rsidR="00DA3CAA" w:rsidRDefault="00DA3CAA" w:rsidP="006A02A4">
      <w:pPr>
        <w:rPr>
          <w:rFonts w:ascii="Arial Black" w:hAnsi="Arial Black"/>
          <w:b/>
          <w:bCs/>
          <w:sz w:val="28"/>
          <w:szCs w:val="28"/>
        </w:rPr>
      </w:pPr>
    </w:p>
    <w:p w14:paraId="3F8294E7" w14:textId="0A12B4BF" w:rsidR="000644B6" w:rsidRDefault="00DA3CAA" w:rsidP="006A02A4">
      <w:pPr>
        <w:rPr>
          <w:rFonts w:ascii="Arial Black" w:hAnsi="Arial Black"/>
          <w:b/>
          <w:bCs/>
          <w:sz w:val="28"/>
          <w:szCs w:val="28"/>
        </w:rPr>
      </w:pPr>
      <w:r>
        <w:rPr>
          <w:rFonts w:ascii="Arial Black" w:hAnsi="Arial Black"/>
          <w:b/>
          <w:bCs/>
          <w:sz w:val="28"/>
          <w:szCs w:val="28"/>
        </w:rPr>
        <w:t>13-151</w:t>
      </w:r>
    </w:p>
    <w:p w14:paraId="772CC63A" w14:textId="77777777" w:rsidR="00DA3CAA" w:rsidRPr="00F900CB" w:rsidRDefault="00DA3CAA" w:rsidP="00DA3CAA">
      <w:pPr>
        <w:pStyle w:val="NormalWeb"/>
        <w:rPr>
          <w:rFonts w:ascii="Arial Black" w:hAnsi="Arial Black"/>
          <w:b/>
          <w:bCs/>
          <w:sz w:val="28"/>
          <w:szCs w:val="28"/>
        </w:rPr>
      </w:pPr>
      <w:r>
        <w:rPr>
          <w:rFonts w:ascii="Arial Black" w:hAnsi="Arial Black"/>
          <w:b/>
          <w:bCs/>
          <w:sz w:val="28"/>
          <w:szCs w:val="28"/>
        </w:rPr>
        <w:t>LA: TRIAGE NURSE GRABBED GURNEY – EMT SHOULDER INJURY - HOSPITAL LIABLE, JUDGE OVERTURNED JURY</w:t>
      </w:r>
    </w:p>
    <w:p w14:paraId="0BBD9815" w14:textId="77777777" w:rsidR="00DA3CAA" w:rsidRPr="00DA3CAA" w:rsidRDefault="00DA3CAA" w:rsidP="00DA3CAA">
      <w:pPr>
        <w:pStyle w:val="NormalWeb"/>
      </w:pPr>
      <w:r w:rsidRPr="00DA3CAA">
        <w:t xml:space="preserve">On July 26, 2023, in </w:t>
      </w:r>
      <w:r w:rsidRPr="00DA3CAA">
        <w:rPr>
          <w:u w:val="single"/>
        </w:rPr>
        <w:t>Jenna Rougeau v. Hospital Service District No. 2 of Beauregard Parish, et al.</w:t>
      </w:r>
      <w:r w:rsidRPr="00DA3CAA">
        <w:t xml:space="preserve">, the Court of Appeals of Louisiana, Third Circuit, held (3 to 0) that while the jury correctly found that Triage Nurse on June 25, 2016 was negligent in grabbing the gurney, as EMT was pulling a patient into ER and passed Room No. 6. However, the trial judge correctly overturned jury verdict that the </w:t>
      </w:r>
      <w:proofErr w:type="gramStart"/>
      <w:r w:rsidRPr="00DA3CAA">
        <w:t>nurses</w:t>
      </w:r>
      <w:proofErr w:type="gramEnd"/>
      <w:r w:rsidRPr="00DA3CAA">
        <w:t xml:space="preserve"> negligence did not cause EMT’s injury to her shoulder and loss of work for two years.  The EMT had arthroscopic surgery to repair her tom labrum and rotator </w:t>
      </w:r>
      <w:proofErr w:type="gramStart"/>
      <w:r w:rsidRPr="00DA3CAA">
        <w:t>cuff, but</w:t>
      </w:r>
      <w:proofErr w:type="gramEnd"/>
      <w:r w:rsidRPr="00DA3CAA">
        <w:t xml:space="preserve"> clearly could not pass Arcadia Ambulance requirement to </w:t>
      </w:r>
      <w:proofErr w:type="gramStart"/>
      <w:r w:rsidRPr="00DA3CAA">
        <w:t>dead lift</w:t>
      </w:r>
      <w:proofErr w:type="gramEnd"/>
      <w:r w:rsidRPr="00DA3CAA">
        <w:t xml:space="preserve"> 175 pounds, cany a large medic bag and monitor up a flight of stairs, and perform CPR for approximately one minute while maintaining a certain heart rate. The trial court properly awarded the EMT $42,626.48 in past medical expenses, $60,000.00 in past lost wages; and $261,000.00 in general damages ($160,000.00 in past pain and suffering; $25,000.00 in future pain and suffering; $40,000.00 in past mental anguish; and $36,000.00 in loss of enjoyment of life). </w:t>
      </w:r>
    </w:p>
    <w:p w14:paraId="03801E99" w14:textId="77777777" w:rsidR="00DA3CAA" w:rsidRPr="00DA3CAA" w:rsidRDefault="00DA3CAA" w:rsidP="00DA3CAA">
      <w:pPr>
        <w:pStyle w:val="NormalWeb"/>
      </w:pPr>
      <w:r w:rsidRPr="00DA3CAA">
        <w:t xml:space="preserve">The Court held: </w:t>
      </w:r>
    </w:p>
    <w:p w14:paraId="65227333" w14:textId="77777777" w:rsidR="00DA3CAA" w:rsidRPr="00DA3CAA" w:rsidRDefault="00DA3CAA" w:rsidP="00DA3CAA">
      <w:pPr>
        <w:pStyle w:val="NormalWeb"/>
      </w:pPr>
      <w:r w:rsidRPr="00DA3CAA">
        <w:t xml:space="preserve">“Thus, under the facts at issue, we find that Nurse Harless had a duty to exercise reasonable care in the performance of his emergency room duties </w:t>
      </w:r>
      <w:proofErr w:type="gramStart"/>
      <w:r w:rsidRPr="00DA3CAA">
        <w:t>in order to</w:t>
      </w:r>
      <w:proofErr w:type="gramEnd"/>
      <w:r w:rsidRPr="00DA3CAA">
        <w:t xml:space="preserve"> avoid causing injury to others, including to EMTs acting in the performance of their duties…. Based on the video, Nurse Harless saw the EMTs walking towards him with the stretcher as he was getting linen from a blanket warmer located in the hallway. Instead of communicating the room assignment when he first saw them, he waited until Plaintiff had taken approximately twelve steps and the stretcher had passed him before grabbing the rear of the stretcher and pulling it to a stop.</w:t>
      </w:r>
    </w:p>
    <w:p w14:paraId="75AA5E64" w14:textId="77777777" w:rsidR="00DA3CAA" w:rsidRPr="00DA3CAA" w:rsidRDefault="00DA3CAA" w:rsidP="00DA3CAA">
      <w:pPr>
        <w:pStyle w:val="NormalWeb"/>
      </w:pPr>
      <w:r w:rsidRPr="00DA3CAA">
        <w:t>***</w:t>
      </w:r>
    </w:p>
    <w:p w14:paraId="096F8BBA" w14:textId="23F40DA1" w:rsidR="00DA3CAA" w:rsidRPr="00DA3CAA" w:rsidRDefault="00DA3CAA" w:rsidP="00DA3CAA">
      <w:pPr>
        <w:rPr>
          <w:rFonts w:ascii="Times New Roman" w:hAnsi="Times New Roman"/>
          <w:b/>
          <w:bCs/>
          <w:sz w:val="24"/>
          <w:szCs w:val="24"/>
        </w:rPr>
      </w:pPr>
      <w:r w:rsidRPr="00DA3CAA">
        <w:rPr>
          <w:rFonts w:ascii="Times New Roman" w:hAnsi="Times New Roman"/>
          <w:sz w:val="24"/>
          <w:szCs w:val="24"/>
        </w:rPr>
        <w:t xml:space="preserve">Thus, we find that the </w:t>
      </w:r>
      <w:proofErr w:type="spellStart"/>
      <w:r w:rsidRPr="00DA3CAA">
        <w:rPr>
          <w:rFonts w:ascii="Times New Roman" w:hAnsi="Times New Roman"/>
          <w:sz w:val="24"/>
          <w:szCs w:val="24"/>
        </w:rPr>
        <w:t>juiy</w:t>
      </w:r>
      <w:proofErr w:type="spellEnd"/>
      <w:r w:rsidRPr="00DA3CAA">
        <w:rPr>
          <w:rFonts w:ascii="Times New Roman" w:hAnsi="Times New Roman"/>
          <w:sz w:val="24"/>
          <w:szCs w:val="24"/>
        </w:rPr>
        <w:t xml:space="preserve"> was manifestly erroneous in finding that this incident was not the cause-in-fact and legal cause of her shoulder </w:t>
      </w:r>
      <w:proofErr w:type="gramStart"/>
      <w:r w:rsidRPr="00DA3CAA">
        <w:rPr>
          <w:rFonts w:ascii="Times New Roman" w:hAnsi="Times New Roman"/>
          <w:sz w:val="24"/>
          <w:szCs w:val="24"/>
        </w:rPr>
        <w:t>injury.”</w:t>
      </w:r>
      <w:proofErr w:type="gramEnd"/>
      <w:r w:rsidRPr="00DA3CAA">
        <w:rPr>
          <w:rFonts w:ascii="Times New Roman" w:hAnsi="Times New Roman"/>
          <w:sz w:val="24"/>
          <w:szCs w:val="24"/>
        </w:rPr>
        <w:t xml:space="preserve">  </w:t>
      </w:r>
      <w:hyperlink r:id="rId2142" w:history="1">
        <w:r w:rsidRPr="00DA3CAA">
          <w:rPr>
            <w:rStyle w:val="Hyperlink"/>
            <w:rFonts w:ascii="Times New Roman" w:eastAsiaTheme="majorEastAsia" w:hAnsi="Times New Roman"/>
            <w:sz w:val="24"/>
            <w:szCs w:val="24"/>
          </w:rPr>
          <w:t>https://public.fastcase.com/ZZhmr5v9wN%2FXOe5IsQ%2FqD7GCKb2IB3J54e7ItSmUYP%2BWMLglINdF7XSY%2Fk9VEPoTx4QWBItn6mQ9CDY1KKV2Qj7lzwy8FX40VrBADcTdOUs%3D?utm_medium=email&amp;_hsmi=226712652&amp;_hsenc=p2ANqtz-_DK7zem2LwgE_Zwv-o_RP9UByjQ85WHbLNpM1Ddz9HLFMrLo4_e5BuKmezeF9cnjUjmpRGuKlpbVs2F5114RUdRnDuAQ&amp;utm_content=226712652&amp;utm_source=hs_email</w:t>
        </w:r>
      </w:hyperlink>
    </w:p>
    <w:p w14:paraId="4A907F21" w14:textId="77777777" w:rsidR="00DA3CAA" w:rsidRDefault="00DA3CAA" w:rsidP="00DA3CAA">
      <w:pPr>
        <w:pStyle w:val="NormalWeb"/>
        <w:rPr>
          <w:b/>
          <w:bCs/>
        </w:rPr>
      </w:pPr>
      <w:r w:rsidRPr="00621639">
        <w:rPr>
          <w:b/>
          <w:bCs/>
        </w:rPr>
        <w:t xml:space="preserve">Legal Lesson Learned: </w:t>
      </w:r>
      <w:r>
        <w:rPr>
          <w:b/>
          <w:bCs/>
        </w:rPr>
        <w:t>Trial judge may set aside an erroneous jury verdict and award damages to injured EMT.</w:t>
      </w:r>
    </w:p>
    <w:p w14:paraId="246A0455" w14:textId="77777777" w:rsidR="00DA3CAA" w:rsidRPr="00212639" w:rsidRDefault="00DA3CAA" w:rsidP="00DA3CAA">
      <w:pPr>
        <w:pStyle w:val="NormalWeb"/>
        <w:ind w:left="720"/>
      </w:pPr>
      <w:r w:rsidRPr="00212639">
        <w:t xml:space="preserve">Note: The worker’s comp. insurance provider for Arcadia Ambulance may then recover their expenses from the </w:t>
      </w:r>
      <w:proofErr w:type="gramStart"/>
      <w:r w:rsidRPr="00212639">
        <w:t>damage award</w:t>
      </w:r>
      <w:proofErr w:type="gramEnd"/>
      <w:r w:rsidRPr="00212639">
        <w:t xml:space="preserve">. </w:t>
      </w:r>
    </w:p>
    <w:p w14:paraId="77F34F75" w14:textId="77777777" w:rsidR="00DA3CAA" w:rsidRDefault="00DA3CAA" w:rsidP="006A02A4">
      <w:pPr>
        <w:rPr>
          <w:rFonts w:ascii="Arial Black" w:hAnsi="Arial Black"/>
          <w:b/>
          <w:bCs/>
          <w:sz w:val="28"/>
          <w:szCs w:val="28"/>
        </w:rPr>
      </w:pPr>
    </w:p>
    <w:p w14:paraId="3815D090" w14:textId="7873ABE8" w:rsidR="000644B6" w:rsidRDefault="000644B6" w:rsidP="006A02A4">
      <w:pPr>
        <w:rPr>
          <w:rFonts w:ascii="Arial Black" w:hAnsi="Arial Black"/>
          <w:b/>
          <w:bCs/>
          <w:sz w:val="28"/>
          <w:szCs w:val="28"/>
        </w:rPr>
      </w:pPr>
      <w:r>
        <w:rPr>
          <w:rFonts w:ascii="Arial Black" w:hAnsi="Arial Black"/>
          <w:b/>
          <w:bCs/>
          <w:sz w:val="28"/>
          <w:szCs w:val="28"/>
        </w:rPr>
        <w:t>13-150</w:t>
      </w:r>
    </w:p>
    <w:p w14:paraId="63D2C3F9" w14:textId="77777777" w:rsidR="000644B6" w:rsidRPr="00F43F3E" w:rsidRDefault="000644B6" w:rsidP="000644B6">
      <w:pPr>
        <w:pStyle w:val="NormalWeb"/>
        <w:rPr>
          <w:rFonts w:ascii="Arial Black" w:hAnsi="Arial Black"/>
          <w:sz w:val="28"/>
          <w:szCs w:val="28"/>
        </w:rPr>
      </w:pPr>
      <w:r>
        <w:rPr>
          <w:rFonts w:ascii="Arial Black" w:hAnsi="Arial Black"/>
          <w:sz w:val="28"/>
          <w:szCs w:val="28"/>
        </w:rPr>
        <w:t xml:space="preserve">NV: COMBATIVE PATIENT – PD TAKEDOWN, EMS GAVE KETAMINE FOR 175 POUND (ONLY 155) - QUAL. IMMUNITY </w:t>
      </w:r>
    </w:p>
    <w:p w14:paraId="27B50F62" w14:textId="77777777" w:rsidR="000644B6" w:rsidRPr="00DA3CAA" w:rsidRDefault="000644B6" w:rsidP="000644B6">
      <w:pPr>
        <w:pStyle w:val="NormalWeb"/>
      </w:pPr>
      <w:r w:rsidRPr="00DA3CAA">
        <w:t xml:space="preserve">On July 19, 2023, in </w:t>
      </w:r>
      <w:r w:rsidRPr="00DA3CAA">
        <w:rPr>
          <w:u w:val="single"/>
        </w:rPr>
        <w:t>Marc Galli v. Anthony Rush, et al</w:t>
      </w:r>
      <w:r w:rsidRPr="00DA3CAA">
        <w:t xml:space="preserve">., U.S. District Court Judge Andrew P. Gordon, U.S. District Court for District of Nevada, granted summary judgment to City of Henderson paramedics Anthony Rush and Edward Pickup, as well as two police officers who tackled the patient who had fled from the back of the ambulance.  Paramedics administered 320 milligrams of ketamine based on patient’s estimated weight of 175; his actual weight (155 pounds) </w:t>
      </w:r>
      <w:proofErr w:type="gramStart"/>
      <w:r w:rsidRPr="00DA3CAA">
        <w:t>called for</w:t>
      </w:r>
      <w:proofErr w:type="gramEnd"/>
      <w:r w:rsidRPr="00DA3CAA">
        <w:t xml:space="preserve"> 280 milligrams.  At hospital he was intubated because of his altered mental state and intermittent combative behavior and was released six days later.</w:t>
      </w:r>
    </w:p>
    <w:p w14:paraId="203D2DBE" w14:textId="681BF9F7" w:rsidR="000644B6" w:rsidRPr="00DA3CAA" w:rsidRDefault="000644B6" w:rsidP="000644B6">
      <w:pPr>
        <w:rPr>
          <w:rFonts w:ascii="Times New Roman" w:hAnsi="Times New Roman"/>
          <w:b/>
          <w:bCs/>
          <w:sz w:val="24"/>
          <w:szCs w:val="24"/>
        </w:rPr>
      </w:pPr>
      <w:r w:rsidRPr="00DA3CAA">
        <w:rPr>
          <w:rFonts w:ascii="Times New Roman" w:hAnsi="Times New Roman"/>
          <w:sz w:val="24"/>
          <w:szCs w:val="24"/>
        </w:rPr>
        <w:t xml:space="preserve">The Court held: “Regardless of their subjective motivation, Rush and Pickup were confronted with a patient who was crying, retching, claiming poisoning, and running away in the dark. From the perspective of a reasonable paramedic confronting the objective circumstances, they had at least a moderate interest in sedating Galli to ensure he received emergency medical care and caused no harm to himself or others. Weighing the significant application of force against the moderate government interest, a reasonable jury could find sedating Galli to be an excessive use of force. But Rush and Pickup are shielded by qualified immunity. First, Galli does not point to any authority for the proposition that as a paramedic, Pickup had a clearly established duty to intervene in Rush's purported constitutional violation. And more importantly, Galli points to no binding authority, nor have I found any, clearly establishing that a paramedic's administration of a sedative under comparable circumstances constitutes excessive force under the Fourth Amendment.” </w:t>
      </w:r>
      <w:hyperlink r:id="rId2143" w:history="1">
        <w:r w:rsidRPr="00DA3CAA">
          <w:rPr>
            <w:rStyle w:val="Hyperlink"/>
            <w:rFonts w:ascii="Times New Roman" w:eastAsiaTheme="majorEastAsia" w:hAnsi="Times New Roman"/>
            <w:sz w:val="24"/>
            <w:szCs w:val="24"/>
          </w:rPr>
          <w:t>https://public.fastcase.com/ZZhmr5v9wN%2FXOe5IsQ%2FqD3dz3eOW5zFOFbDDQpgyn5N1g%2BDYcYq%2BQq5MnHYcUlJvjXUWh8aXMHicyBCjMoSMvWkOcK9%2F08vlf7VzRHHVD0g%3D?utm_medium=email&amp;_hsmi=226712652&amp;_hsenc=p2ANqtz-8FJSrnDbpE5SBLnbpgOtm8bsro6mydF1tKlBKSrXXB7U0G_KpVHeRpWqi1b6f_lyKuKYe1ibmLo31OO_-xt7H5dW8mOA&amp;utm_content=226712652&amp;utm_source=hs_email</w:t>
        </w:r>
      </w:hyperlink>
    </w:p>
    <w:p w14:paraId="08831C8B" w14:textId="77777777" w:rsidR="00DA3CAA" w:rsidRPr="00E12FD2" w:rsidRDefault="00DA3CAA" w:rsidP="00DA3CAA">
      <w:pPr>
        <w:pStyle w:val="NormalWeb"/>
        <w:rPr>
          <w:b/>
          <w:bCs/>
        </w:rPr>
      </w:pPr>
      <w:r w:rsidRPr="00E12FD2">
        <w:rPr>
          <w:b/>
          <w:bCs/>
        </w:rPr>
        <w:t>Legal Lesson Learned:  Paramedics were shielded by qualified immunity; make sure you follow protocol for administering ketamine.</w:t>
      </w:r>
    </w:p>
    <w:p w14:paraId="65AD3A71" w14:textId="77777777" w:rsidR="000644B6" w:rsidRDefault="000644B6" w:rsidP="006A02A4">
      <w:pPr>
        <w:rPr>
          <w:rFonts w:ascii="Arial Black" w:hAnsi="Arial Black"/>
          <w:b/>
          <w:bCs/>
          <w:sz w:val="28"/>
          <w:szCs w:val="28"/>
        </w:rPr>
      </w:pPr>
    </w:p>
    <w:p w14:paraId="73A458AB" w14:textId="37EEF802" w:rsidR="00D33F96" w:rsidRDefault="00D33F96" w:rsidP="006A02A4">
      <w:pPr>
        <w:rPr>
          <w:rFonts w:ascii="Arial Black" w:hAnsi="Arial Black"/>
          <w:b/>
          <w:bCs/>
          <w:sz w:val="28"/>
          <w:szCs w:val="28"/>
        </w:rPr>
      </w:pPr>
      <w:r>
        <w:rPr>
          <w:rFonts w:ascii="Arial Black" w:hAnsi="Arial Black"/>
          <w:b/>
          <w:bCs/>
          <w:sz w:val="28"/>
          <w:szCs w:val="28"/>
        </w:rPr>
        <w:t>13-149</w:t>
      </w:r>
    </w:p>
    <w:p w14:paraId="7271AE2D" w14:textId="77777777" w:rsidR="00D33F96" w:rsidRPr="00641877" w:rsidRDefault="00D33F96" w:rsidP="00D33F9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AL: BYSTANDER CPR – TOLD STOP BY VOL. FF – FIRE DEPT.  IMMUNITY, BUT NO APPEAL BY PLAINTIFF UNTIL FF TRIAL </w:t>
      </w:r>
    </w:p>
    <w:p w14:paraId="0E33EFE8" w14:textId="77777777" w:rsidR="00D33F96" w:rsidRDefault="00D33F96" w:rsidP="00D33F96">
      <w:pPr>
        <w:spacing w:before="100" w:beforeAutospacing="1" w:after="100" w:afterAutospacing="1" w:line="240" w:lineRule="auto"/>
        <w:rPr>
          <w:rFonts w:ascii="Times New Roman" w:hAnsi="Times New Roman"/>
          <w:sz w:val="24"/>
          <w:szCs w:val="24"/>
        </w:rPr>
      </w:pPr>
      <w:r w:rsidRPr="001A5B61">
        <w:rPr>
          <w:rFonts w:ascii="Times New Roman" w:eastAsia="Times New Roman" w:hAnsi="Times New Roman"/>
          <w:sz w:val="24"/>
          <w:szCs w:val="24"/>
        </w:rPr>
        <w:t xml:space="preserve">On June 30, 2023, in </w:t>
      </w:r>
      <w:r w:rsidRPr="001A5B61">
        <w:rPr>
          <w:rFonts w:ascii="Times New Roman" w:eastAsia="Times New Roman" w:hAnsi="Times New Roman"/>
          <w:sz w:val="24"/>
          <w:szCs w:val="24"/>
          <w:u w:val="single"/>
        </w:rPr>
        <w:t>Carol Rogers, as administratrix of Estate of Susan Bonner v. Cedar Bluff Volunteer Fire Department and Cherokee County Association of Volunteer Fire Department, Inc</w:t>
      </w:r>
      <w:r>
        <w:rPr>
          <w:rFonts w:ascii="Times New Roman" w:eastAsia="Times New Roman" w:hAnsi="Times New Roman"/>
          <w:sz w:val="24"/>
          <w:szCs w:val="24"/>
        </w:rPr>
        <w:t xml:space="preserve">., the Supreme Court of Alabama hold (8 to 1) that they will not decide Carol Rogers appeal from Court’s grant of summary judgment to Volunteer FD and its Association, since the lawsuit against the volunteer firefighter </w:t>
      </w:r>
      <w:r w:rsidRPr="001A5B61">
        <w:rPr>
          <w:rFonts w:ascii="Times New Roman" w:eastAsia="Times New Roman" w:hAnsi="Times New Roman"/>
          <w:sz w:val="24"/>
          <w:szCs w:val="24"/>
        </w:rPr>
        <w:t>(</w:t>
      </w:r>
      <w:r w:rsidRPr="001A5B61">
        <w:rPr>
          <w:rFonts w:ascii="Times New Roman" w:hAnsi="Times New Roman"/>
          <w:sz w:val="24"/>
          <w:szCs w:val="24"/>
        </w:rPr>
        <w:t>Guice)</w:t>
      </w:r>
      <w:r>
        <w:rPr>
          <w:rFonts w:ascii="Times New Roman" w:hAnsi="Times New Roman"/>
          <w:sz w:val="24"/>
          <w:szCs w:val="24"/>
        </w:rPr>
        <w:t xml:space="preserve"> is still awaiting trial. </w:t>
      </w:r>
    </w:p>
    <w:p w14:paraId="4DAC9F8C" w14:textId="79875EFC" w:rsidR="00D33F96" w:rsidRDefault="00D33F96" w:rsidP="00D33F96">
      <w:pPr>
        <w:rPr>
          <w:rFonts w:ascii="Arial Black" w:hAnsi="Arial Black"/>
          <w:b/>
          <w:bCs/>
          <w:sz w:val="28"/>
          <w:szCs w:val="28"/>
        </w:rPr>
      </w:pPr>
      <w:r>
        <w:rPr>
          <w:rFonts w:ascii="Times New Roman" w:hAnsi="Times New Roman"/>
          <w:sz w:val="24"/>
          <w:szCs w:val="24"/>
        </w:rPr>
        <w:t>The Court held: “</w:t>
      </w:r>
      <w:r w:rsidRPr="001A5B61">
        <w:rPr>
          <w:rFonts w:ascii="Times New Roman" w:hAnsi="Times New Roman"/>
          <w:sz w:val="24"/>
          <w:szCs w:val="24"/>
        </w:rPr>
        <w:t>In the present case, it is undisputed that the viability of Rogers's wrongful-death claim against either Cedar Bluff or the Association is entirely dependent on her still-pending claim against Guice. The bottom line is that if Guice is found not liable, then there would be no need for us to review the trial court's summary judgment in favor of Cedar Bluff or the Association in almost any scenario. For example, if a jury decides that Guice acted reasonably, or breached no duty, or was not the proximate cause of Bonner's death, then this appeal would be mooted. Likewise, even if a jury finds none of those things, but finds that Guice "was acting in good faith and within the scope of [his] official functions and duties for a ... governmental entity," then pursuant to § 6-5-336(d)(1) of the VSA, Guice would be immune from liability and Cedar Bluff could not be held vicariously liable for his conduct.</w:t>
      </w:r>
      <w:r>
        <w:rPr>
          <w:rFonts w:ascii="Times New Roman" w:hAnsi="Times New Roman"/>
          <w:sz w:val="24"/>
          <w:szCs w:val="24"/>
          <w:vertAlign w:val="superscript"/>
        </w:rPr>
        <w:t xml:space="preserve">” </w:t>
      </w:r>
      <w:hyperlink r:id="rId2144" w:history="1">
        <w:r w:rsidRPr="001A5B61">
          <w:rPr>
            <w:rStyle w:val="Hyperlink"/>
            <w:sz w:val="24"/>
            <w:szCs w:val="24"/>
          </w:rPr>
          <w:t>https://public.fastcase.com/ZZhmr5v9wN%2FXOe5IsQ%2FqD48qScyjnns4BvOFYThqD1VKn2oC3YL9HIinTf%2Fp30r2wBlFtUUFvRMyBphGDo8K28IC4vVctJZhhayY6V%2Bfn28%3D?utm_medium=email&amp;_hsmi=226712652&amp;_hsenc=p2ANqtz--TIjwUVFjOo5damiP3K6KiM86Ts0N1olRqZ_ArClgxTthTEvnZAd5hvf4I6P2KEFN6nH9cQVmvAvnMp9eheEIqoLW5ew&amp;utm_content=226712652&amp;utm_source=hs_email</w:t>
        </w:r>
      </w:hyperlink>
    </w:p>
    <w:p w14:paraId="5116D6D8" w14:textId="77777777" w:rsidR="00D33F96" w:rsidRPr="00364596" w:rsidRDefault="00D33F96" w:rsidP="00D33F96">
      <w:pPr>
        <w:spacing w:before="100" w:beforeAutospacing="1" w:after="100" w:afterAutospacing="1" w:line="240" w:lineRule="auto"/>
        <w:rPr>
          <w:rFonts w:ascii="Times New Roman" w:eastAsia="Times New Roman" w:hAnsi="Times New Roman"/>
          <w:b/>
          <w:bCs/>
          <w:sz w:val="24"/>
          <w:szCs w:val="24"/>
        </w:rPr>
      </w:pPr>
      <w:r w:rsidRPr="00364596">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Do not direct others to stop CPR unless patient is clearly dead.  Know your local EMS protocols on when a patient is deceased.</w:t>
      </w:r>
    </w:p>
    <w:p w14:paraId="7D66B3F2" w14:textId="77777777" w:rsidR="00D33F96" w:rsidRDefault="00D33F96" w:rsidP="006A02A4">
      <w:pPr>
        <w:rPr>
          <w:rFonts w:ascii="Arial Black" w:hAnsi="Arial Black"/>
          <w:b/>
          <w:bCs/>
          <w:sz w:val="28"/>
          <w:szCs w:val="28"/>
        </w:rPr>
      </w:pPr>
    </w:p>
    <w:p w14:paraId="34327A3A" w14:textId="7829C64B" w:rsidR="00D33F96" w:rsidRDefault="00D33F96" w:rsidP="006A02A4">
      <w:pPr>
        <w:rPr>
          <w:rFonts w:ascii="Arial Black" w:hAnsi="Arial Black"/>
          <w:b/>
          <w:bCs/>
          <w:sz w:val="28"/>
          <w:szCs w:val="28"/>
        </w:rPr>
      </w:pPr>
      <w:r>
        <w:rPr>
          <w:rFonts w:ascii="Arial Black" w:hAnsi="Arial Black"/>
          <w:b/>
          <w:bCs/>
          <w:sz w:val="28"/>
          <w:szCs w:val="28"/>
        </w:rPr>
        <w:t>13-148</w:t>
      </w:r>
    </w:p>
    <w:p w14:paraId="70E06592" w14:textId="77777777" w:rsidR="00D33F96" w:rsidRPr="004507F9" w:rsidRDefault="00D33F96" w:rsidP="00D33F96">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IL: TWO MEDICS CHARGED WITH MURDER – STRAPPED PT FACE DOWN / DIED – BOND A MEDIC REDUCED TO $600,000 </w:t>
      </w:r>
    </w:p>
    <w:p w14:paraId="6BA58D85" w14:textId="77777777" w:rsidR="00D33F96" w:rsidRDefault="00D33F96" w:rsidP="00D33F96">
      <w:pPr>
        <w:pStyle w:val="NormalWeb"/>
      </w:pPr>
      <w:r w:rsidRPr="004507F9">
        <w:t xml:space="preserve">On June 16, 2023, in </w:t>
      </w:r>
      <w:r w:rsidRPr="004507F9">
        <w:rPr>
          <w:u w:val="single"/>
        </w:rPr>
        <w:t>The People of the State of Illinois v. Peggy J. Finle</w:t>
      </w:r>
      <w:r>
        <w:t xml:space="preserve">y, the Court of Appeals of Illinois, Fourth District, held (3 to 0) that the trial court </w:t>
      </w:r>
      <w:proofErr w:type="gramStart"/>
      <w:r>
        <w:t>should have lowered</w:t>
      </w:r>
      <w:proofErr w:type="gramEnd"/>
      <w:r>
        <w:t xml:space="preserve"> the paramedic’s bond from $1 million to $600,000 (she must post 10%).  </w:t>
      </w:r>
    </w:p>
    <w:p w14:paraId="49330E58" w14:textId="77777777" w:rsidR="00D33F96" w:rsidRPr="008420C5" w:rsidRDefault="00D33F96" w:rsidP="00D33F96">
      <w:pPr>
        <w:pStyle w:val="NormalWeb"/>
      </w:pPr>
      <w:r>
        <w:t>The Court held: “</w:t>
      </w:r>
      <w:r w:rsidRPr="004507F9">
        <w:t xml:space="preserve">Defendant, a 45-year-old paramedic, was on duty and working with Peter Cadigan, when they responded to a call for the transportation of Earl Moore, Jr., to the hospital for medical treatment. Shortly after his arrival at the hospital, Moore died. Asserting Moore died of positional asphyxiation and compressional asphyxiation after being strapped face down on a gurney, the State charged defendant and Cadigan with first-degree murder. </w:t>
      </w:r>
      <w:r>
        <w:t xml:space="preserve">*** </w:t>
      </w:r>
      <w:r w:rsidRPr="008420C5">
        <w:t xml:space="preserve">Here, </w:t>
      </w:r>
      <w:proofErr w:type="gramStart"/>
      <w:r w:rsidRPr="008420C5">
        <w:t>defendant's</w:t>
      </w:r>
      <w:proofErr w:type="gramEnd"/>
      <w:r w:rsidRPr="008420C5">
        <w:t xml:space="preserve"> ties to central Illinois are strong, indicating a low risk of flight. Except for a relatively brief time when her work addressed COVID-19-related staffing issues in Kentucky, Oregon, and St. Croix, defendant has resided in central Illinois her entire life. Her adult children reside there, as do her grandchildren. She is in what appears to be a romantic relationship with someone in central Illinois. Defendant also maintained gainful employment in the area. </w:t>
      </w:r>
      <w:r>
        <w:t>D</w:t>
      </w:r>
      <w:r w:rsidRPr="008420C5">
        <w:t xml:space="preserve">efendant's financial condition further makes it unlikely she will flee. The circuit court found her to be indigent. </w:t>
      </w:r>
      <w:proofErr w:type="gramStart"/>
      <w:r w:rsidRPr="008420C5">
        <w:t>Defendant is</w:t>
      </w:r>
      <w:proofErr w:type="gramEnd"/>
      <w:r w:rsidRPr="008420C5">
        <w:t xml:space="preserve"> relying on the financial support of family, friends, and acquaintances to receive bail money. Nothing on the record from her background indicates defendant has the ability or desire to flee and deprive those individuals of reimbursement of those funds.</w:t>
      </w:r>
      <w:r>
        <w:t xml:space="preserve">” </w:t>
      </w:r>
      <w:hyperlink r:id="rId2145" w:history="1">
        <w:r w:rsidRPr="00812663">
          <w:rPr>
            <w:rStyle w:val="Hyperlink"/>
          </w:rPr>
          <w:t>https://casetext.com/case/people-v-finley-127</w:t>
        </w:r>
      </w:hyperlink>
      <w:r>
        <w:t xml:space="preserve"> </w:t>
      </w:r>
    </w:p>
    <w:p w14:paraId="0CCB4711" w14:textId="38882FD7" w:rsidR="00D33F96" w:rsidRDefault="00D33F96" w:rsidP="00D33F96">
      <w:pPr>
        <w:spacing w:before="100" w:beforeAutospacing="1" w:after="100" w:afterAutospacing="1" w:line="240" w:lineRule="auto"/>
        <w:rPr>
          <w:rFonts w:ascii="Times New Roman" w:eastAsia="Times New Roman" w:hAnsi="Times New Roman"/>
          <w:b/>
          <w:bCs/>
          <w:sz w:val="24"/>
          <w:szCs w:val="24"/>
        </w:rPr>
      </w:pPr>
      <w:r w:rsidRPr="008420C5">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A jury of 12 will ultimately decide if State has proven these charges beyond a reasonable doubt. </w:t>
      </w:r>
    </w:p>
    <w:p w14:paraId="6D721B6F" w14:textId="77777777" w:rsidR="00D33F96" w:rsidRDefault="00D33F96" w:rsidP="00D33F96">
      <w:pPr>
        <w:spacing w:before="100" w:beforeAutospacing="1" w:after="100" w:afterAutospacing="1" w:line="240" w:lineRule="auto"/>
        <w:ind w:left="720"/>
        <w:rPr>
          <w:rFonts w:ascii="Times New Roman" w:hAnsi="Times New Roman"/>
          <w:sz w:val="24"/>
          <w:szCs w:val="24"/>
        </w:rPr>
      </w:pPr>
      <w:r w:rsidRPr="00860A69">
        <w:rPr>
          <w:rFonts w:ascii="Times New Roman" w:eastAsia="Times New Roman" w:hAnsi="Times New Roman"/>
          <w:sz w:val="24"/>
          <w:szCs w:val="24"/>
        </w:rPr>
        <w:t xml:space="preserve">Note: Watch this TV video, including PD body camera. </w:t>
      </w:r>
      <w:hyperlink r:id="rId2146" w:history="1">
        <w:r w:rsidRPr="001055F4">
          <w:rPr>
            <w:rStyle w:val="Hyperlink"/>
            <w:sz w:val="24"/>
            <w:szCs w:val="24"/>
          </w:rPr>
          <w:t>https://www.youtube.com/watch?v=GHO2Qjk4XIo</w:t>
        </w:r>
      </w:hyperlink>
    </w:p>
    <w:p w14:paraId="74C11A49" w14:textId="77777777" w:rsidR="00D33F96" w:rsidRDefault="00D33F96" w:rsidP="006A02A4">
      <w:pPr>
        <w:rPr>
          <w:rFonts w:ascii="Arial Black" w:hAnsi="Arial Black"/>
          <w:b/>
          <w:bCs/>
          <w:sz w:val="28"/>
          <w:szCs w:val="28"/>
        </w:rPr>
      </w:pPr>
    </w:p>
    <w:p w14:paraId="2228F785" w14:textId="77777777" w:rsidR="00D33F96" w:rsidRDefault="00D33F96" w:rsidP="006A02A4">
      <w:pPr>
        <w:rPr>
          <w:rFonts w:ascii="Arial Black" w:hAnsi="Arial Black"/>
          <w:b/>
          <w:bCs/>
          <w:sz w:val="28"/>
          <w:szCs w:val="28"/>
        </w:rPr>
      </w:pPr>
    </w:p>
    <w:p w14:paraId="6221755B" w14:textId="681253E2" w:rsidR="00237599" w:rsidRDefault="00237599" w:rsidP="006A02A4">
      <w:pPr>
        <w:rPr>
          <w:rFonts w:ascii="Arial Black" w:hAnsi="Arial Black"/>
          <w:b/>
          <w:bCs/>
          <w:sz w:val="28"/>
          <w:szCs w:val="28"/>
        </w:rPr>
      </w:pPr>
      <w:r>
        <w:rPr>
          <w:rFonts w:ascii="Arial Black" w:hAnsi="Arial Black"/>
          <w:b/>
          <w:bCs/>
          <w:sz w:val="28"/>
          <w:szCs w:val="28"/>
        </w:rPr>
        <w:t>13-147</w:t>
      </w:r>
    </w:p>
    <w:p w14:paraId="50D90B26" w14:textId="77777777" w:rsidR="00237599" w:rsidRPr="008D1A6E" w:rsidRDefault="00237599" w:rsidP="00237599">
      <w:pPr>
        <w:pStyle w:val="NormalWeb"/>
        <w:rPr>
          <w:rFonts w:ascii="Arial Black" w:hAnsi="Arial Black"/>
          <w:sz w:val="28"/>
          <w:szCs w:val="28"/>
        </w:rPr>
      </w:pPr>
      <w:bookmarkStart w:id="436" w:name="_Hlk136860551"/>
      <w:r>
        <w:rPr>
          <w:rFonts w:ascii="Arial Black" w:hAnsi="Arial Black"/>
          <w:sz w:val="28"/>
          <w:szCs w:val="28"/>
        </w:rPr>
        <w:t>OK: COMBATIVE PT - MEDICS CALL HELP – 4 FF PIN HIM FACE DOWN, PD HANDCUFFS - DIES – FF QUAL. IMMUNITY</w:t>
      </w:r>
    </w:p>
    <w:bookmarkEnd w:id="436"/>
    <w:p w14:paraId="61E6084B" w14:textId="318D8BD8" w:rsidR="00237599" w:rsidRDefault="00237599" w:rsidP="00237599">
      <w:pPr>
        <w:rPr>
          <w:rStyle w:val="Hyperlink"/>
          <w:rFonts w:ascii="Times New Roman" w:eastAsiaTheme="majorEastAsia" w:hAnsi="Times New Roman"/>
          <w:sz w:val="24"/>
          <w:szCs w:val="24"/>
        </w:rPr>
      </w:pPr>
      <w:r w:rsidRPr="00237599">
        <w:rPr>
          <w:rFonts w:ascii="Times New Roman" w:hAnsi="Times New Roman"/>
          <w:sz w:val="24"/>
          <w:szCs w:val="24"/>
        </w:rPr>
        <w:t xml:space="preserve">On May 19, 2023, in </w:t>
      </w:r>
      <w:r w:rsidRPr="00237599">
        <w:rPr>
          <w:rFonts w:ascii="Times New Roman" w:hAnsi="Times New Roman"/>
          <w:sz w:val="24"/>
          <w:szCs w:val="24"/>
          <w:u w:val="single"/>
        </w:rPr>
        <w:t>Charles Kaleb Vanlandingham, Administrator for the Estate of Charles Lamar Vanlandingham v. City of Oklahoma City</w:t>
      </w:r>
      <w:r w:rsidRPr="00237599">
        <w:rPr>
          <w:rFonts w:ascii="Times New Roman" w:hAnsi="Times New Roman"/>
          <w:sz w:val="24"/>
          <w:szCs w:val="24"/>
        </w:rPr>
        <w:t xml:space="preserve">, Chief U.S. District Court Judge Timothy D. </w:t>
      </w:r>
      <w:proofErr w:type="spellStart"/>
      <w:r w:rsidRPr="00237599">
        <w:rPr>
          <w:rFonts w:ascii="Times New Roman" w:hAnsi="Times New Roman"/>
          <w:sz w:val="24"/>
          <w:szCs w:val="24"/>
        </w:rPr>
        <w:t>DeGisti</w:t>
      </w:r>
      <w:proofErr w:type="spellEnd"/>
      <w:r w:rsidRPr="00237599">
        <w:rPr>
          <w:rFonts w:ascii="Times New Roman" w:hAnsi="Times New Roman"/>
          <w:sz w:val="24"/>
          <w:szCs w:val="24"/>
        </w:rPr>
        <w:t xml:space="preserve">, U.S. District Court, Western District of Oklahoma, dismissed the four firefighters from the lawsuit; they enjoy qualified immunity even if performing law enforcement type duties of subduing the patient.  The lawsuit may, however, proceed against the police officer on alleged excessive force. </w:t>
      </w:r>
      <w:hyperlink r:id="rId2147" w:history="1">
        <w:r w:rsidRPr="00237599">
          <w:rPr>
            <w:rStyle w:val="Hyperlink"/>
            <w:rFonts w:ascii="Times New Roman" w:eastAsiaTheme="majorEastAsia" w:hAnsi="Times New Roman"/>
            <w:sz w:val="24"/>
            <w:szCs w:val="24"/>
          </w:rPr>
          <w:t>https://public.fastcase.com/ZZhmr5v9wN%2FXOe5IsQ%2FqD1tuyppLBnLrMmR86JNFVAlEsCewO4n%2BqmcnLV2ysm6tZCnkIxWDhw4CT9a2YbHZsY59KqRUUsvnj3oq0k4kZUY%3D?utm_medium=email&amp;_hsmi=226712652&amp;_hsenc=p2ANqtz-_TDFfv4pLQcLfqFCn8pFSxh77smp5fK7rovyeiHf7hqXQSyFbPSdIcgszVq5PNSPeSOT64f2E-JPGn2x6-fH_4dd4mvg&amp;utm_content=226712652&amp;utm_source=hs_email</w:t>
        </w:r>
      </w:hyperlink>
    </w:p>
    <w:p w14:paraId="50A5F754" w14:textId="77777777" w:rsidR="00237599" w:rsidRDefault="00237599" w:rsidP="00237599">
      <w:pPr>
        <w:pStyle w:val="NormalWeb"/>
        <w:ind w:left="720"/>
      </w:pPr>
      <w:r>
        <w:t xml:space="preserve">“The Court recognizes that Plaintiff alleges the paramedics called for assistance in handling a combative patient, and case law supports the view that restraints imposed for this purpose do not constitute a ‘seizure’ under the Fourth Amendment….  In response to Firefighters' Motion, Plaintiff identifies no Supreme Court, Tenth Circuit, or other published appellate decision that would have made clear to a reasonable person in Firefighters' position that their alleged conduct toward Mr. Vanlandingham was governed by the Fourth Amendment. *** The Court therefore finds that Plaintiff has not met his burden to overcome Firefighters' qualified immunity from suit on his § 1983 claims for unlawful detention of, or use of unreasonable force against, Mr. Vanlandingham.” </w:t>
      </w:r>
    </w:p>
    <w:p w14:paraId="6ADDE945" w14:textId="77777777" w:rsidR="00237599" w:rsidRPr="002966A6" w:rsidRDefault="00237599" w:rsidP="00237599">
      <w:pPr>
        <w:pStyle w:val="NormalWeb"/>
        <w:rPr>
          <w:b/>
          <w:bCs/>
        </w:rPr>
      </w:pPr>
      <w:r w:rsidRPr="002966A6">
        <w:rPr>
          <w:b/>
          <w:bCs/>
        </w:rPr>
        <w:t xml:space="preserve">Legal Lesson Learned: </w:t>
      </w:r>
      <w:r>
        <w:rPr>
          <w:b/>
          <w:bCs/>
        </w:rPr>
        <w:t xml:space="preserve">Firefighters enjoy qualified immunity; </w:t>
      </w:r>
      <w:r w:rsidRPr="002966A6">
        <w:rPr>
          <w:b/>
          <w:bCs/>
        </w:rPr>
        <w:t>restrain</w:t>
      </w:r>
      <w:r>
        <w:rPr>
          <w:b/>
          <w:bCs/>
        </w:rPr>
        <w:t xml:space="preserve">ing </w:t>
      </w:r>
      <w:r w:rsidRPr="002966A6">
        <w:rPr>
          <w:b/>
          <w:bCs/>
        </w:rPr>
        <w:t>a combative patient does not constitute a ‘seizure’ under the Fourth Amendment</w:t>
      </w:r>
    </w:p>
    <w:p w14:paraId="379B01EF" w14:textId="77777777" w:rsidR="00237599" w:rsidRDefault="00237599" w:rsidP="00237599">
      <w:pPr>
        <w:rPr>
          <w:rFonts w:ascii="Times New Roman" w:hAnsi="Times New Roman"/>
          <w:b/>
          <w:bCs/>
          <w:sz w:val="24"/>
          <w:szCs w:val="24"/>
        </w:rPr>
      </w:pPr>
    </w:p>
    <w:p w14:paraId="75B2502A" w14:textId="3781CB33" w:rsidR="00237599" w:rsidRDefault="00237599" w:rsidP="00237599">
      <w:pPr>
        <w:rPr>
          <w:rFonts w:ascii="Arial Black" w:hAnsi="Arial Black"/>
          <w:b/>
          <w:bCs/>
          <w:sz w:val="28"/>
          <w:szCs w:val="28"/>
        </w:rPr>
      </w:pPr>
      <w:r>
        <w:rPr>
          <w:rFonts w:ascii="Arial Black" w:hAnsi="Arial Black"/>
          <w:b/>
          <w:bCs/>
          <w:sz w:val="28"/>
          <w:szCs w:val="28"/>
        </w:rPr>
        <w:t>13-146</w:t>
      </w:r>
    </w:p>
    <w:p w14:paraId="4ED9453E" w14:textId="77777777" w:rsidR="00237599" w:rsidRPr="00FB5B17" w:rsidRDefault="00237599" w:rsidP="00237599">
      <w:pPr>
        <w:pStyle w:val="NormalWeb"/>
        <w:rPr>
          <w:rFonts w:ascii="Arial Black" w:hAnsi="Arial Black"/>
          <w:sz w:val="28"/>
          <w:szCs w:val="28"/>
        </w:rPr>
      </w:pPr>
      <w:bookmarkStart w:id="437" w:name="_Hlk136860623"/>
      <w:r>
        <w:rPr>
          <w:rFonts w:ascii="Arial Black" w:hAnsi="Arial Black"/>
          <w:sz w:val="28"/>
          <w:szCs w:val="28"/>
        </w:rPr>
        <w:t xml:space="preserve">KY: FIRE CHIEF HELPED 3 PD HANDCUFF NAKED MAN – “BAD METH” - DIED – QUALIFIED OFFICIAL IMMUNITY </w:t>
      </w:r>
    </w:p>
    <w:bookmarkEnd w:id="437"/>
    <w:p w14:paraId="0042390A" w14:textId="77777777" w:rsidR="00237599" w:rsidRDefault="00237599" w:rsidP="00237599">
      <w:pPr>
        <w:pStyle w:val="NormalWeb"/>
      </w:pPr>
      <w:r>
        <w:t xml:space="preserve">On May 19, 2023, in </w:t>
      </w:r>
      <w:r w:rsidRPr="00FB5B17">
        <w:rPr>
          <w:u w:val="single"/>
        </w:rPr>
        <w:t>Paula M. Haney, as Personal Representative of Estate of Donald Prater, Jr., v. City of Painesville, et al</w:t>
      </w:r>
      <w:r>
        <w:t xml:space="preserve">.,  the Court of Appeals of Kentucky held (3 to 0: unpublished opinion) that Fire Chief Rick Ratliff, Paintsville Fire Department was properly dismissed from the lawsuit. The case against police officers was remanded to trial court to make a finding on whether the patient was in their custody and owed him duties due to this “special relationship.” </w:t>
      </w:r>
      <w:hyperlink r:id="rId2148" w:history="1">
        <w:r w:rsidRPr="009F744A">
          <w:rPr>
            <w:rStyle w:val="Hyperlink"/>
            <w:rFonts w:eastAsiaTheme="majorEastAsia"/>
          </w:rPr>
          <w:t>https://public.fastcase.com/ZZhmr5v9wN%2FXOe5IsQ%2FqD3yVZPtM4gE5qxUG0JmvBs4KZKL0kykfWRWAFzVzGOUSCymfVjFMg8ksTGDwIJSWELTF6XkccOjxJx4J8ta6mPQ%3D?utm_medium=email&amp;_hsmi=226712652&amp;_hsenc=p2ANqtz-91z17HDQg9Q71tjjdfZzo5M0dPvb4mrX2MWXe9g7uh0-gjm69ERrplNGPGusNDxTqNwPz_oB2Mm624G4BOe4pHJTgwVA&amp;utm_content=226712652&amp;utm_source=hs_email</w:t>
        </w:r>
      </w:hyperlink>
      <w:r>
        <w:t xml:space="preserve"> </w:t>
      </w:r>
    </w:p>
    <w:p w14:paraId="0792DC20" w14:textId="77777777" w:rsidR="00237599" w:rsidRDefault="00237599" w:rsidP="00237599">
      <w:pPr>
        <w:pStyle w:val="NormalWeb"/>
        <w:ind w:left="720"/>
      </w:pPr>
      <w:r>
        <w:t xml:space="preserve">“Instead, all three officers, along with Fire Department Chief Ratliff who had arrived on the scene to respond as a medical responder, worked together to handcuff Prater. *** Notably, Kentucky has a longstanding tradition of treating firefighting as a governmental function and thereby cloaking it in immunity. *** The trial court's determination as to whether the Paintsville Fire Department is entitled to governmental immunity was correct. Turning to the determination </w:t>
      </w:r>
      <w:proofErr w:type="gramStart"/>
      <w:r>
        <w:t>as to</w:t>
      </w:r>
      <w:proofErr w:type="gramEnd"/>
      <w:r>
        <w:t xml:space="preserve"> Chief Ratliff personally, the trial court determined that his actions on that day were discretionary. We agree. As Chief Ratliff is a firefighter and emergency medical responder, he is not ordinarily engaged in participating in the arrest of citizens. He made a judgment that his assistance was needed to place Prater in handcuffs. The exercise of judgment is the gravamen of the exercise of discretion.” </w:t>
      </w:r>
    </w:p>
    <w:p w14:paraId="14F09820" w14:textId="77777777" w:rsidR="00237599" w:rsidRPr="00D717AB" w:rsidRDefault="00237599" w:rsidP="00237599">
      <w:pPr>
        <w:pStyle w:val="NormalWeb"/>
        <w:rPr>
          <w:b/>
          <w:bCs/>
        </w:rPr>
      </w:pPr>
      <w:r w:rsidRPr="00D717AB">
        <w:rPr>
          <w:b/>
          <w:bCs/>
        </w:rPr>
        <w:t>Legal Lesson Learned:</w:t>
      </w:r>
      <w:r>
        <w:rPr>
          <w:b/>
          <w:bCs/>
        </w:rPr>
        <w:t xml:space="preserve"> Helpful decision confirming “official qualified immunity” for firefighters in Kentucky. </w:t>
      </w:r>
    </w:p>
    <w:p w14:paraId="09C46813" w14:textId="77777777" w:rsidR="00237599" w:rsidRDefault="00237599" w:rsidP="00237599">
      <w:pPr>
        <w:rPr>
          <w:rFonts w:ascii="Arial Black" w:hAnsi="Arial Black"/>
          <w:b/>
          <w:bCs/>
          <w:sz w:val="28"/>
          <w:szCs w:val="28"/>
        </w:rPr>
      </w:pPr>
    </w:p>
    <w:p w14:paraId="5619D293" w14:textId="7717BEF7" w:rsidR="00237599" w:rsidRDefault="00237599" w:rsidP="00237599">
      <w:pPr>
        <w:rPr>
          <w:rFonts w:ascii="Arial Black" w:hAnsi="Arial Black"/>
          <w:b/>
          <w:bCs/>
          <w:sz w:val="28"/>
          <w:szCs w:val="28"/>
        </w:rPr>
      </w:pPr>
      <w:r>
        <w:rPr>
          <w:rFonts w:ascii="Arial Black" w:hAnsi="Arial Black"/>
          <w:b/>
          <w:bCs/>
          <w:sz w:val="28"/>
          <w:szCs w:val="28"/>
        </w:rPr>
        <w:t>13-145</w:t>
      </w:r>
    </w:p>
    <w:p w14:paraId="6B59900E" w14:textId="77777777" w:rsidR="00A01262" w:rsidRPr="00374572" w:rsidRDefault="00A01262" w:rsidP="00A01262">
      <w:pPr>
        <w:pStyle w:val="NormalWeb"/>
        <w:rPr>
          <w:rFonts w:ascii="Arial Black" w:hAnsi="Arial Black"/>
          <w:b/>
          <w:bCs/>
          <w:sz w:val="28"/>
          <w:szCs w:val="28"/>
        </w:rPr>
      </w:pPr>
      <w:bookmarkStart w:id="438" w:name="_Hlk136860693"/>
      <w:r>
        <w:rPr>
          <w:rFonts w:ascii="Arial Black" w:hAnsi="Arial Black"/>
          <w:b/>
          <w:bCs/>
          <w:sz w:val="28"/>
          <w:szCs w:val="28"/>
        </w:rPr>
        <w:t>KY: HOSPITAL ON DIVERSION – DIDN’T TELL EMS – STEMI PATIENT TURNED AWAY– JURY $1.8 MILLION PUNITIVE</w:t>
      </w:r>
    </w:p>
    <w:bookmarkEnd w:id="438"/>
    <w:p w14:paraId="65F8537B" w14:textId="77777777" w:rsidR="00A01262" w:rsidRDefault="00A01262" w:rsidP="00A01262">
      <w:pPr>
        <w:pStyle w:val="NormalWeb"/>
      </w:pPr>
      <w:r>
        <w:t xml:space="preserve">On May 8, 2023, in </w:t>
      </w:r>
      <w:r w:rsidRPr="00287FCD">
        <w:rPr>
          <w:u w:val="single"/>
        </w:rPr>
        <w:t>William H. Williams v. Baptist Healthcare System, Inc.</w:t>
      </w:r>
      <w:r>
        <w:t>, U.S. District Court Judge Clair H. Boom, U.S. District Court for Western District of Kentucky, Louisville Division, refused the hospital’s post-trial motion to set aside the verdict.  The hospital admitted it had breached EMTALA [</w:t>
      </w:r>
      <w:r w:rsidRPr="00287FCD">
        <w:t>Emergency Medical Treatment and Labor Act]</w:t>
      </w:r>
      <w:r>
        <w:t xml:space="preserve">; the jury awarded Plaintiff compensatory damages in the amount of $545,000 and punitive damages in the amount of $1,850,000. The hospital asked trial judge to set aside the verdict, claiming no proof of gross negligence. </w:t>
      </w:r>
      <w:hyperlink r:id="rId2149" w:history="1">
        <w:r w:rsidRPr="008E5D86">
          <w:rPr>
            <w:rStyle w:val="Hyperlink"/>
            <w:rFonts w:eastAsiaTheme="majorEastAsia"/>
          </w:rPr>
          <w:t>https://public.fastcase.com/ZZhmr5v9wN%2FXOe5IsQ%2FqD6Xk9Se1JBeTiY14mFqaZIC5zf3duAqu51qE94mXCojrTIXHUx6W2UZ5EsVNrKWWswbYRHUo1KFYOQ9M2ppF1oA%3D?utm_medium=email&amp;_hsmi=226712652&amp;_hsenc=p2ANqtz-9aFlMC5FDCM2U0K8x384sblH4I0CGG1sOM-rog5fs89w4bS-qizqdVKzMegY3x51ZczlJkgb2TT7R5d8mF-dWwXy7XkA&amp;utm_content=226712652&amp;utm_source=hs_email</w:t>
        </w:r>
      </w:hyperlink>
      <w:r>
        <w:t xml:space="preserve"> </w:t>
      </w:r>
    </w:p>
    <w:p w14:paraId="02A79331" w14:textId="77777777" w:rsidR="00A01262" w:rsidRDefault="00A01262" w:rsidP="00A01262">
      <w:pPr>
        <w:pStyle w:val="NormalWeb"/>
        <w:ind w:left="720"/>
      </w:pPr>
      <w:r>
        <w:t xml:space="preserve">“First, with respect to Nurse Blankenship, the Court finds that the jury could find her actions sufficiently egregious to amount to gross negligence…. The evidence also showed that, prior to </w:t>
      </w:r>
      <w:proofErr w:type="gramStart"/>
      <w:r>
        <w:t>the night of April</w:t>
      </w:r>
      <w:proofErr w:type="gramEnd"/>
      <w:r>
        <w:t xml:space="preserve"> 4, 2015, Nurse Blankenship had only received ‘about five minutes’ of EMTALA training. </w:t>
      </w:r>
    </w:p>
    <w:p w14:paraId="71C67BCA" w14:textId="77777777" w:rsidR="00A01262" w:rsidRDefault="00A01262" w:rsidP="00A01262">
      <w:pPr>
        <w:pStyle w:val="NormalWeb"/>
        <w:ind w:firstLine="720"/>
      </w:pPr>
      <w:r>
        <w:t>***</w:t>
      </w:r>
    </w:p>
    <w:p w14:paraId="6687EF0A" w14:textId="77777777" w:rsidR="00A01262" w:rsidRDefault="00A01262" w:rsidP="00A01262">
      <w:pPr>
        <w:pStyle w:val="NormalWeb"/>
        <w:ind w:left="720"/>
      </w:pPr>
      <w:r>
        <w:t xml:space="preserve">The failure of Baptist to activate the STEMI protocol, failure to alert local EMS of the diversion every three hours, and failure to call UK when Mr. Williams was actually sent to the University of Kentucky, and also failure to contact EMS per their policy after Mr. Williams showed up and was sent to UK so that it wouldn't happen again later that weekend, failure to disclose in the OIG report that this was a diversion for inbound STEMIs - now, you might view that in a different way, but the language of the OIG report just says “transfers to another hospital” - the fact that Nurse Blankenship didn't - the failure of Nurse Blankenship to write down who the EMS was that called and to take their telephone number; the testimony that Nurse Blankenship told EMS that they should go to Good Samaritan Hospital even though Good Samaritan did not have a </w:t>
      </w:r>
      <w:proofErr w:type="spellStart"/>
      <w:r>
        <w:t>cath</w:t>
      </w:r>
      <w:proofErr w:type="spellEnd"/>
      <w:r>
        <w:t xml:space="preserve"> lab.” </w:t>
      </w:r>
    </w:p>
    <w:p w14:paraId="766BD7FF" w14:textId="77777777" w:rsidR="00A01262" w:rsidRPr="003C5C00" w:rsidRDefault="00A01262" w:rsidP="00A01262">
      <w:pPr>
        <w:pStyle w:val="NormalWeb"/>
        <w:rPr>
          <w:b/>
          <w:bCs/>
        </w:rPr>
      </w:pPr>
      <w:r w:rsidRPr="003C5C00">
        <w:rPr>
          <w:b/>
          <w:bCs/>
        </w:rPr>
        <w:t>Legal Lesson Learned:</w:t>
      </w:r>
      <w:r>
        <w:rPr>
          <w:b/>
          <w:bCs/>
        </w:rPr>
        <w:t xml:space="preserve"> The jury awarded punitive damages to “punish” the hospital for causing delay to patient with STEMI. </w:t>
      </w:r>
    </w:p>
    <w:p w14:paraId="71657DFA" w14:textId="77777777" w:rsidR="00237599" w:rsidRDefault="00237599" w:rsidP="006A02A4">
      <w:pPr>
        <w:rPr>
          <w:rFonts w:ascii="Arial Black" w:hAnsi="Arial Black"/>
          <w:b/>
          <w:bCs/>
          <w:sz w:val="28"/>
          <w:szCs w:val="28"/>
        </w:rPr>
      </w:pPr>
    </w:p>
    <w:p w14:paraId="2499F44B" w14:textId="38A01C2B" w:rsidR="006A02A4" w:rsidRDefault="00227BDE" w:rsidP="006A02A4">
      <w:pPr>
        <w:rPr>
          <w:rFonts w:ascii="Arial Black" w:hAnsi="Arial Black"/>
          <w:b/>
          <w:bCs/>
          <w:sz w:val="28"/>
          <w:szCs w:val="28"/>
        </w:rPr>
      </w:pPr>
      <w:r>
        <w:rPr>
          <w:rFonts w:ascii="Arial Black" w:hAnsi="Arial Black"/>
          <w:b/>
          <w:bCs/>
          <w:sz w:val="28"/>
          <w:szCs w:val="28"/>
        </w:rPr>
        <w:t>13-14</w:t>
      </w:r>
      <w:r w:rsidR="006A02A4">
        <w:rPr>
          <w:rFonts w:ascii="Arial Black" w:hAnsi="Arial Black"/>
          <w:b/>
          <w:bCs/>
          <w:sz w:val="28"/>
          <w:szCs w:val="28"/>
        </w:rPr>
        <w:t>4</w:t>
      </w:r>
    </w:p>
    <w:p w14:paraId="368BC478" w14:textId="14B5FC3A" w:rsidR="00227BDE" w:rsidRPr="00F44C22" w:rsidRDefault="00227BDE" w:rsidP="006A02A4">
      <w:pPr>
        <w:rPr>
          <w:rFonts w:ascii="Arial Black" w:hAnsi="Arial Black"/>
          <w:sz w:val="28"/>
          <w:szCs w:val="28"/>
        </w:rPr>
      </w:pPr>
      <w:r w:rsidRPr="00F44C22">
        <w:rPr>
          <w:rFonts w:ascii="Arial Black" w:hAnsi="Arial Black"/>
          <w:b/>
          <w:bCs/>
          <w:sz w:val="28"/>
          <w:szCs w:val="28"/>
        </w:rPr>
        <w:t xml:space="preserve">KY </w:t>
      </w:r>
      <w:r>
        <w:rPr>
          <w:rFonts w:ascii="Arial Black" w:hAnsi="Arial Black"/>
          <w:b/>
          <w:bCs/>
          <w:sz w:val="28"/>
          <w:szCs w:val="28"/>
        </w:rPr>
        <w:t xml:space="preserve">(4/27/2023): EMS TOOK ASSAULT VICTIM </w:t>
      </w:r>
      <w:r w:rsidRPr="00F44C22">
        <w:rPr>
          <w:rFonts w:ascii="Arial Black" w:hAnsi="Arial Black"/>
          <w:b/>
          <w:bCs/>
          <w:sz w:val="28"/>
          <w:szCs w:val="28"/>
        </w:rPr>
        <w:t xml:space="preserve">TRAUMA </w:t>
      </w:r>
      <w:r>
        <w:rPr>
          <w:rFonts w:ascii="Arial Black" w:hAnsi="Arial Black"/>
          <w:b/>
          <w:bCs/>
          <w:sz w:val="28"/>
          <w:szCs w:val="28"/>
        </w:rPr>
        <w:t xml:space="preserve">HOSP - CRIM. TRIAL ED DOC TESTIFIED </w:t>
      </w:r>
      <w:r w:rsidRPr="00F44C22">
        <w:rPr>
          <w:rFonts w:ascii="Arial Black" w:hAnsi="Arial Black"/>
          <w:b/>
          <w:bCs/>
          <w:sz w:val="28"/>
          <w:szCs w:val="28"/>
        </w:rPr>
        <w:t xml:space="preserve">VIA ZOOM </w:t>
      </w:r>
      <w:r>
        <w:rPr>
          <w:rFonts w:ascii="Arial Black" w:hAnsi="Arial Black"/>
          <w:b/>
          <w:bCs/>
          <w:sz w:val="28"/>
          <w:szCs w:val="28"/>
        </w:rPr>
        <w:t xml:space="preserve">– CONV. REV. </w:t>
      </w:r>
    </w:p>
    <w:p w14:paraId="2AFCF940" w14:textId="77777777" w:rsidR="00227BDE" w:rsidRDefault="00227BDE" w:rsidP="00227BDE">
      <w:pPr>
        <w:pStyle w:val="NoSpacing"/>
      </w:pPr>
    </w:p>
    <w:p w14:paraId="45F2D4EE" w14:textId="77777777" w:rsidR="00227BDE" w:rsidRPr="003C1643" w:rsidRDefault="00227BDE" w:rsidP="00227BDE">
      <w:pPr>
        <w:pStyle w:val="NoSpacing"/>
        <w:rPr>
          <w:rFonts w:ascii="Times New Roman" w:hAnsi="Times New Roman"/>
          <w:sz w:val="24"/>
          <w:szCs w:val="24"/>
        </w:rPr>
      </w:pPr>
      <w:r w:rsidRPr="003C1643">
        <w:rPr>
          <w:rFonts w:ascii="Times New Roman" w:hAnsi="Times New Roman"/>
          <w:sz w:val="24"/>
          <w:szCs w:val="24"/>
          <w:u w:val="single"/>
        </w:rPr>
        <w:t>Donnie Campbell v. Commonwealth of Kentucky</w:t>
      </w:r>
      <w:r w:rsidRPr="003C1643">
        <w:rPr>
          <w:rFonts w:ascii="Times New Roman" w:hAnsi="Times New Roman"/>
          <w:sz w:val="24"/>
          <w:szCs w:val="24"/>
        </w:rPr>
        <w:t xml:space="preserve">, Supreme Court of Kentucky. </w:t>
      </w:r>
      <w:hyperlink r:id="rId2150" w:history="1">
        <w:r w:rsidRPr="003C1643">
          <w:rPr>
            <w:rStyle w:val="Hyperlink"/>
            <w:rFonts w:ascii="Times New Roman" w:hAnsi="Times New Roman"/>
            <w:sz w:val="24"/>
            <w:szCs w:val="24"/>
          </w:rPr>
          <w:t>https://law.justia.com/cases/kentucky/supreme-court/2023/2021-sc-0479-mr.html</w:t>
        </w:r>
      </w:hyperlink>
      <w:r w:rsidRPr="003C1643">
        <w:rPr>
          <w:rFonts w:ascii="Times New Roman" w:hAnsi="Times New Roman"/>
          <w:sz w:val="24"/>
          <w:szCs w:val="24"/>
        </w:rPr>
        <w:t xml:space="preserve"> </w:t>
      </w:r>
    </w:p>
    <w:p w14:paraId="7BB36B32" w14:textId="77777777" w:rsidR="00227BDE" w:rsidRPr="003C1643" w:rsidRDefault="00227BDE" w:rsidP="00227BDE">
      <w:pPr>
        <w:pStyle w:val="NormalWeb"/>
        <w:rPr>
          <w:b/>
          <w:bCs/>
        </w:rPr>
      </w:pPr>
      <w:r w:rsidRPr="003C1643">
        <w:rPr>
          <w:b/>
          <w:bCs/>
        </w:rPr>
        <w:t xml:space="preserve">Legal Lesson Learned: Timely subpoena ED doctor and other key witnesses to appear in person for criminal trials. </w:t>
      </w:r>
    </w:p>
    <w:p w14:paraId="6F8EE4B6" w14:textId="77777777" w:rsidR="00227BDE" w:rsidRDefault="00227BDE" w:rsidP="002B1283">
      <w:pPr>
        <w:rPr>
          <w:rFonts w:ascii="Arial Black" w:hAnsi="Arial Black"/>
          <w:b/>
          <w:bCs/>
          <w:sz w:val="28"/>
          <w:szCs w:val="28"/>
        </w:rPr>
      </w:pPr>
      <w:r>
        <w:rPr>
          <w:rFonts w:ascii="Arial Black" w:hAnsi="Arial Black"/>
          <w:b/>
          <w:bCs/>
          <w:sz w:val="28"/>
          <w:szCs w:val="28"/>
        </w:rPr>
        <w:t xml:space="preserve"> </w:t>
      </w:r>
    </w:p>
    <w:p w14:paraId="7FDD1EC0" w14:textId="37C82A65" w:rsidR="006A02A4" w:rsidRDefault="006A02A4" w:rsidP="002B1283">
      <w:pPr>
        <w:rPr>
          <w:rFonts w:ascii="Arial Black" w:hAnsi="Arial Black"/>
          <w:b/>
          <w:bCs/>
          <w:sz w:val="28"/>
          <w:szCs w:val="28"/>
        </w:rPr>
      </w:pPr>
      <w:r>
        <w:rPr>
          <w:rFonts w:ascii="Arial Black" w:hAnsi="Arial Black"/>
          <w:b/>
          <w:bCs/>
          <w:sz w:val="28"/>
          <w:szCs w:val="28"/>
        </w:rPr>
        <w:t>13-143</w:t>
      </w:r>
    </w:p>
    <w:p w14:paraId="7D78F9A7" w14:textId="77777777" w:rsidR="00227BDE" w:rsidRPr="003515EA" w:rsidRDefault="00227BDE" w:rsidP="00227BDE">
      <w:pPr>
        <w:pStyle w:val="NoSpacing"/>
        <w:rPr>
          <w:rFonts w:ascii="Arial Black" w:hAnsi="Arial Black"/>
          <w:sz w:val="28"/>
          <w:szCs w:val="28"/>
        </w:rPr>
      </w:pPr>
      <w:r w:rsidRPr="003515EA">
        <w:rPr>
          <w:rFonts w:ascii="Arial Black" w:hAnsi="Arial Black"/>
          <w:sz w:val="28"/>
          <w:szCs w:val="28"/>
        </w:rPr>
        <w:t xml:space="preserve">IL (4/19/2023) – COVID 19 - CHICAGO MUST REHIRE EMPLOYEES </w:t>
      </w:r>
      <w:r>
        <w:rPr>
          <w:rFonts w:ascii="Arial Black" w:hAnsi="Arial Black"/>
          <w:sz w:val="28"/>
          <w:szCs w:val="28"/>
        </w:rPr>
        <w:t>–</w:t>
      </w:r>
      <w:r w:rsidRPr="003515EA">
        <w:rPr>
          <w:rFonts w:ascii="Arial Black" w:hAnsi="Arial Black"/>
          <w:sz w:val="28"/>
          <w:szCs w:val="28"/>
        </w:rPr>
        <w:t xml:space="preserve"> </w:t>
      </w:r>
      <w:r>
        <w:rPr>
          <w:rFonts w:ascii="Arial Black" w:hAnsi="Arial Black"/>
          <w:sz w:val="28"/>
          <w:szCs w:val="28"/>
        </w:rPr>
        <w:t xml:space="preserve">ALJ - </w:t>
      </w:r>
      <w:r w:rsidRPr="003515EA">
        <w:rPr>
          <w:rFonts w:ascii="Arial Black" w:hAnsi="Arial Black"/>
          <w:sz w:val="28"/>
          <w:szCs w:val="28"/>
        </w:rPr>
        <w:t xml:space="preserve">ILLINOIS LABOR RELATIONS BOARD </w:t>
      </w:r>
    </w:p>
    <w:p w14:paraId="250E779A" w14:textId="77777777" w:rsidR="00227BDE" w:rsidRDefault="00227BDE" w:rsidP="00227BDE">
      <w:pPr>
        <w:pStyle w:val="NoSpacing"/>
      </w:pPr>
    </w:p>
    <w:p w14:paraId="370F1335" w14:textId="77777777" w:rsidR="00227BDE" w:rsidRDefault="00227BDE" w:rsidP="00227BDE">
      <w:pPr>
        <w:pStyle w:val="NoSpacing"/>
        <w:rPr>
          <w:rStyle w:val="markedcontent"/>
          <w:rFonts w:ascii="Times New Roman" w:hAnsi="Times New Roman"/>
          <w:sz w:val="24"/>
          <w:szCs w:val="24"/>
        </w:rPr>
      </w:pPr>
      <w:r w:rsidRPr="003C1643">
        <w:rPr>
          <w:rStyle w:val="markedcontent"/>
          <w:rFonts w:ascii="Times New Roman" w:hAnsi="Times New Roman"/>
          <w:sz w:val="24"/>
          <w:szCs w:val="24"/>
          <w:u w:val="single"/>
        </w:rPr>
        <w:t>Coalition of Unionized Public Employees and American Federation of State, County and Municipal Employees, Council 31 v. City of Chicago</w:t>
      </w:r>
      <w:r w:rsidRPr="003C1643">
        <w:rPr>
          <w:rStyle w:val="markedcontent"/>
          <w:rFonts w:ascii="Times New Roman" w:hAnsi="Times New Roman"/>
          <w:sz w:val="24"/>
          <w:szCs w:val="24"/>
        </w:rPr>
        <w:t xml:space="preserve">.  </w:t>
      </w:r>
      <w:hyperlink r:id="rId2151" w:history="1">
        <w:r w:rsidRPr="003C1643">
          <w:rPr>
            <w:rStyle w:val="Hyperlink"/>
            <w:rFonts w:ascii="Times New Roman" w:hAnsi="Times New Roman"/>
            <w:sz w:val="24"/>
            <w:szCs w:val="24"/>
          </w:rPr>
          <w:t>https://s3.amazonaws.com/jnswire/jns-media/e9/3e/12863006/unions_v_chicago_vax_ilrb_alj.pdf</w:t>
        </w:r>
      </w:hyperlink>
      <w:r w:rsidRPr="003C1643">
        <w:rPr>
          <w:rStyle w:val="markedcontent"/>
          <w:rFonts w:ascii="Times New Roman" w:hAnsi="Times New Roman"/>
          <w:sz w:val="24"/>
          <w:szCs w:val="24"/>
        </w:rPr>
        <w:t xml:space="preserve"> </w:t>
      </w:r>
    </w:p>
    <w:p w14:paraId="586E16A0" w14:textId="77777777" w:rsidR="006A02A4" w:rsidRDefault="006A02A4" w:rsidP="00227BDE">
      <w:pPr>
        <w:pStyle w:val="NoSpacing"/>
        <w:rPr>
          <w:rStyle w:val="markedcontent"/>
          <w:rFonts w:ascii="Times New Roman" w:hAnsi="Times New Roman"/>
          <w:sz w:val="24"/>
          <w:szCs w:val="24"/>
        </w:rPr>
      </w:pPr>
    </w:p>
    <w:p w14:paraId="2B9D8898" w14:textId="77777777" w:rsidR="006A02A4" w:rsidRPr="006A02A4" w:rsidRDefault="006A02A4" w:rsidP="006A02A4">
      <w:pPr>
        <w:pStyle w:val="Heading2"/>
        <w:rPr>
          <w:rFonts w:ascii="Times New Roman" w:hAnsi="Times New Roman"/>
          <w:b w:val="0"/>
          <w:bCs w:val="0"/>
          <w:i w:val="0"/>
          <w:iCs w:val="0"/>
          <w:color w:val="000000" w:themeColor="text1"/>
          <w:sz w:val="24"/>
          <w:szCs w:val="24"/>
        </w:rPr>
      </w:pPr>
      <w:r w:rsidRPr="006A02A4">
        <w:rPr>
          <w:rFonts w:ascii="Times New Roman" w:hAnsi="Times New Roman"/>
          <w:i w:val="0"/>
          <w:iCs w:val="0"/>
          <w:color w:val="000000" w:themeColor="text1"/>
          <w:sz w:val="24"/>
          <w:szCs w:val="24"/>
        </w:rPr>
        <w:t xml:space="preserve">Legal Lesson Learned: The City of Chicago must bargain over the effects of the vaccination mandate. </w:t>
      </w:r>
    </w:p>
    <w:p w14:paraId="44CD7852" w14:textId="77777777" w:rsidR="006A02A4" w:rsidRPr="006A02A4" w:rsidRDefault="006A02A4" w:rsidP="006A02A4">
      <w:pPr>
        <w:pStyle w:val="Heading2"/>
        <w:ind w:left="720"/>
        <w:rPr>
          <w:rFonts w:ascii="Times New Roman" w:hAnsi="Times New Roman"/>
          <w:b w:val="0"/>
          <w:bCs w:val="0"/>
          <w:color w:val="000000" w:themeColor="text1"/>
          <w:sz w:val="24"/>
          <w:szCs w:val="24"/>
        </w:rPr>
      </w:pPr>
      <w:r w:rsidRPr="006A02A4">
        <w:rPr>
          <w:rFonts w:ascii="Times New Roman" w:hAnsi="Times New Roman"/>
          <w:b w:val="0"/>
          <w:bCs w:val="0"/>
          <w:i w:val="0"/>
          <w:iCs w:val="0"/>
          <w:color w:val="000000" w:themeColor="text1"/>
          <w:sz w:val="24"/>
          <w:szCs w:val="24"/>
        </w:rPr>
        <w:t xml:space="preserve">Note: See also April 20, </w:t>
      </w:r>
      <w:proofErr w:type="gramStart"/>
      <w:r w:rsidRPr="006A02A4">
        <w:rPr>
          <w:rFonts w:ascii="Times New Roman" w:hAnsi="Times New Roman"/>
          <w:b w:val="0"/>
          <w:bCs w:val="0"/>
          <w:i w:val="0"/>
          <w:iCs w:val="0"/>
          <w:color w:val="000000" w:themeColor="text1"/>
          <w:sz w:val="24"/>
          <w:szCs w:val="24"/>
        </w:rPr>
        <w:t>2023</w:t>
      </w:r>
      <w:proofErr w:type="gramEnd"/>
      <w:r w:rsidRPr="006A02A4">
        <w:rPr>
          <w:rFonts w:ascii="Times New Roman" w:hAnsi="Times New Roman"/>
          <w:b w:val="0"/>
          <w:bCs w:val="0"/>
          <w:i w:val="0"/>
          <w:iCs w:val="0"/>
          <w:color w:val="000000" w:themeColor="text1"/>
          <w:sz w:val="24"/>
          <w:szCs w:val="24"/>
        </w:rPr>
        <w:t xml:space="preserve"> article, “Labor board judge: Chicago trampled union bargaining rights by firing workers who refused Covid vax.” </w:t>
      </w:r>
      <w:hyperlink r:id="rId2152" w:history="1">
        <w:r w:rsidRPr="006A02A4">
          <w:rPr>
            <w:rStyle w:val="Hyperlink"/>
            <w:rFonts w:ascii="Times New Roman" w:hAnsi="Times New Roman"/>
            <w:b w:val="0"/>
            <w:bCs w:val="0"/>
            <w:i w:val="0"/>
            <w:iCs w:val="0"/>
            <w:sz w:val="24"/>
            <w:szCs w:val="24"/>
          </w:rPr>
          <w:t>https://cookcountyrecord.com/stories/641740005-labor-board-judge-chicago-trampled-union-bargaining-rights-by-firing-workers-who-refused-covid-vax</w:t>
        </w:r>
      </w:hyperlink>
      <w:r w:rsidRPr="006A02A4">
        <w:rPr>
          <w:rFonts w:ascii="Times New Roman" w:hAnsi="Times New Roman"/>
          <w:b w:val="0"/>
          <w:bCs w:val="0"/>
          <w:color w:val="000000" w:themeColor="text1"/>
          <w:sz w:val="24"/>
          <w:szCs w:val="24"/>
        </w:rPr>
        <w:t xml:space="preserve"> </w:t>
      </w:r>
    </w:p>
    <w:p w14:paraId="0F077198" w14:textId="77777777" w:rsidR="006A02A4" w:rsidRPr="003C1643" w:rsidRDefault="006A02A4" w:rsidP="00227BDE">
      <w:pPr>
        <w:pStyle w:val="NoSpacing"/>
        <w:rPr>
          <w:rFonts w:ascii="Times New Roman" w:hAnsi="Times New Roman"/>
          <w:sz w:val="24"/>
          <w:szCs w:val="24"/>
        </w:rPr>
      </w:pPr>
    </w:p>
    <w:p w14:paraId="6727D08F" w14:textId="77777777" w:rsidR="00227BDE" w:rsidRDefault="00227BDE" w:rsidP="002B1283">
      <w:pPr>
        <w:rPr>
          <w:rFonts w:ascii="Arial Black" w:hAnsi="Arial Black"/>
          <w:b/>
          <w:bCs/>
          <w:sz w:val="28"/>
          <w:szCs w:val="28"/>
        </w:rPr>
      </w:pPr>
    </w:p>
    <w:p w14:paraId="552A7A95" w14:textId="675E7682" w:rsidR="00227BDE" w:rsidRDefault="006A02A4" w:rsidP="002B1283">
      <w:pPr>
        <w:rPr>
          <w:rFonts w:ascii="Arial Black" w:hAnsi="Arial Black"/>
          <w:b/>
          <w:bCs/>
          <w:sz w:val="28"/>
          <w:szCs w:val="28"/>
        </w:rPr>
      </w:pPr>
      <w:r>
        <w:rPr>
          <w:rFonts w:ascii="Arial Black" w:hAnsi="Arial Black"/>
          <w:b/>
          <w:bCs/>
          <w:sz w:val="28"/>
          <w:szCs w:val="28"/>
        </w:rPr>
        <w:t>13-142</w:t>
      </w:r>
    </w:p>
    <w:p w14:paraId="7DE32538" w14:textId="77777777" w:rsidR="006A02A4" w:rsidRPr="00CC53E3" w:rsidRDefault="006A02A4" w:rsidP="006A02A4">
      <w:pPr>
        <w:pStyle w:val="NoSpacing"/>
        <w:rPr>
          <w:rFonts w:ascii="Arial Black" w:hAnsi="Arial Black"/>
          <w:sz w:val="28"/>
          <w:szCs w:val="28"/>
        </w:rPr>
      </w:pPr>
      <w:r w:rsidRPr="00CC53E3">
        <w:rPr>
          <w:rFonts w:ascii="Arial Black" w:hAnsi="Arial Black"/>
          <w:sz w:val="28"/>
          <w:szCs w:val="28"/>
        </w:rPr>
        <w:t xml:space="preserve">IL (4/17/2023) – </w:t>
      </w:r>
      <w:r>
        <w:rPr>
          <w:rFonts w:ascii="Arial Black" w:hAnsi="Arial Black"/>
          <w:sz w:val="28"/>
          <w:szCs w:val="28"/>
        </w:rPr>
        <w:t xml:space="preserve">MENTAL TRANSPORT - BRUTALY </w:t>
      </w:r>
      <w:r w:rsidRPr="00CC53E3">
        <w:rPr>
          <w:rFonts w:ascii="Arial Black" w:hAnsi="Arial Black"/>
          <w:sz w:val="28"/>
          <w:szCs w:val="28"/>
        </w:rPr>
        <w:t>ASSAULTED EMT</w:t>
      </w:r>
      <w:r>
        <w:rPr>
          <w:rFonts w:ascii="Arial Black" w:hAnsi="Arial Black"/>
          <w:sz w:val="28"/>
          <w:szCs w:val="28"/>
        </w:rPr>
        <w:t xml:space="preserve"> IN AMBULANCE – 7 YRS PRISON </w:t>
      </w:r>
      <w:r w:rsidRPr="00CC53E3">
        <w:rPr>
          <w:rFonts w:ascii="Arial Black" w:hAnsi="Arial Black"/>
          <w:sz w:val="28"/>
          <w:szCs w:val="28"/>
        </w:rPr>
        <w:t xml:space="preserve"> </w:t>
      </w:r>
    </w:p>
    <w:p w14:paraId="0E17CB82" w14:textId="77777777" w:rsidR="006A02A4" w:rsidRDefault="006A02A4" w:rsidP="006A02A4">
      <w:pPr>
        <w:pStyle w:val="NoSpacing"/>
      </w:pPr>
    </w:p>
    <w:p w14:paraId="41E6FEF0" w14:textId="77777777" w:rsidR="006A02A4" w:rsidRPr="003C1643" w:rsidRDefault="006A02A4" w:rsidP="006A02A4">
      <w:pPr>
        <w:pStyle w:val="NoSpacing"/>
        <w:rPr>
          <w:rFonts w:ascii="Times New Roman" w:hAnsi="Times New Roman"/>
          <w:sz w:val="24"/>
          <w:szCs w:val="24"/>
        </w:rPr>
      </w:pPr>
      <w:r w:rsidRPr="003C1643">
        <w:rPr>
          <w:rFonts w:ascii="Times New Roman" w:hAnsi="Times New Roman"/>
          <w:sz w:val="24"/>
          <w:szCs w:val="24"/>
          <w:u w:val="single"/>
        </w:rPr>
        <w:t>The People of the State of Illinois v. Cortez Peters</w:t>
      </w:r>
      <w:r w:rsidRPr="003C1643">
        <w:rPr>
          <w:rFonts w:ascii="Times New Roman" w:hAnsi="Times New Roman"/>
          <w:sz w:val="24"/>
          <w:szCs w:val="24"/>
        </w:rPr>
        <w:t xml:space="preserve">, Court of Appeals of Illinois, First District, First Division. </w:t>
      </w:r>
      <w:hyperlink r:id="rId2153" w:history="1">
        <w:r w:rsidRPr="003C1643">
          <w:rPr>
            <w:rStyle w:val="Hyperlink"/>
            <w:rFonts w:ascii="Times New Roman" w:hAnsi="Times New Roman"/>
            <w:sz w:val="24"/>
            <w:szCs w:val="24"/>
          </w:rPr>
          <w:t>https://ilcourtsaudio.blob.core.windows.net/antilles-resources/resources/d0a50835-8b8c-4e4e-96d4-c3b209eadd34/People%20v.%20Peters,%202023%20IL%20App%20(1st)%20211591-U.pdf</w:t>
        </w:r>
      </w:hyperlink>
      <w:r w:rsidRPr="003C1643">
        <w:rPr>
          <w:rFonts w:ascii="Times New Roman" w:hAnsi="Times New Roman"/>
          <w:sz w:val="24"/>
          <w:szCs w:val="24"/>
        </w:rPr>
        <w:t xml:space="preserve"> </w:t>
      </w:r>
    </w:p>
    <w:p w14:paraId="55CF0651" w14:textId="77777777" w:rsidR="006A02A4" w:rsidRPr="003C1643" w:rsidRDefault="006A02A4" w:rsidP="006A02A4">
      <w:pPr>
        <w:pStyle w:val="NoSpacing"/>
        <w:rPr>
          <w:rFonts w:ascii="Times New Roman" w:hAnsi="Times New Roman"/>
          <w:sz w:val="24"/>
          <w:szCs w:val="24"/>
        </w:rPr>
      </w:pPr>
    </w:p>
    <w:p w14:paraId="297B15EF" w14:textId="77777777" w:rsidR="006A02A4" w:rsidRPr="003C1643" w:rsidRDefault="006A02A4" w:rsidP="006A02A4">
      <w:pPr>
        <w:pStyle w:val="NormalWeb"/>
        <w:rPr>
          <w:b/>
          <w:bCs/>
        </w:rPr>
      </w:pPr>
      <w:r w:rsidRPr="003C1643">
        <w:rPr>
          <w:b/>
          <w:bCs/>
        </w:rPr>
        <w:t xml:space="preserve">Legal Lesson Learned: Transporting mentally ill patient can be high risk; adopt a protocol on securing such patients. </w:t>
      </w:r>
    </w:p>
    <w:p w14:paraId="2E333774" w14:textId="77777777" w:rsidR="006A02A4" w:rsidRDefault="006A02A4" w:rsidP="002B1283">
      <w:pPr>
        <w:rPr>
          <w:rFonts w:ascii="Arial Black" w:hAnsi="Arial Black"/>
          <w:b/>
          <w:bCs/>
          <w:sz w:val="28"/>
          <w:szCs w:val="28"/>
        </w:rPr>
      </w:pPr>
    </w:p>
    <w:p w14:paraId="4D07DF78" w14:textId="77777777" w:rsidR="006A02A4" w:rsidRDefault="006A02A4" w:rsidP="002B1283">
      <w:pPr>
        <w:rPr>
          <w:rFonts w:ascii="Arial Black" w:hAnsi="Arial Black"/>
          <w:b/>
          <w:bCs/>
          <w:sz w:val="28"/>
          <w:szCs w:val="28"/>
        </w:rPr>
      </w:pPr>
    </w:p>
    <w:p w14:paraId="3663991E" w14:textId="01E0CE5D" w:rsidR="006A02A4" w:rsidRDefault="006A02A4" w:rsidP="002B1283">
      <w:pPr>
        <w:rPr>
          <w:rFonts w:ascii="Arial Black" w:hAnsi="Arial Black"/>
          <w:b/>
          <w:bCs/>
          <w:sz w:val="28"/>
          <w:szCs w:val="28"/>
        </w:rPr>
      </w:pPr>
      <w:r>
        <w:rPr>
          <w:rFonts w:ascii="Arial Black" w:hAnsi="Arial Black"/>
          <w:b/>
          <w:bCs/>
          <w:sz w:val="28"/>
          <w:szCs w:val="28"/>
        </w:rPr>
        <w:t>13-141</w:t>
      </w:r>
    </w:p>
    <w:p w14:paraId="2E99BF77" w14:textId="19C228B1" w:rsidR="006A02A4" w:rsidRPr="009F5DBC" w:rsidRDefault="006A02A4" w:rsidP="006A02A4">
      <w:pPr>
        <w:pStyle w:val="NoSpacing"/>
        <w:rPr>
          <w:rFonts w:ascii="Arial Black" w:hAnsi="Arial Black"/>
          <w:sz w:val="28"/>
          <w:szCs w:val="28"/>
        </w:rPr>
      </w:pPr>
      <w:r w:rsidRPr="009F5DBC">
        <w:rPr>
          <w:rFonts w:ascii="Arial Black" w:hAnsi="Arial Black"/>
          <w:sz w:val="28"/>
          <w:szCs w:val="28"/>
        </w:rPr>
        <w:t>NY (4/14/2023) – RESPIR</w:t>
      </w:r>
      <w:r>
        <w:rPr>
          <w:rFonts w:ascii="Arial Black" w:hAnsi="Arial Black"/>
          <w:sz w:val="28"/>
          <w:szCs w:val="28"/>
        </w:rPr>
        <w:t>. A</w:t>
      </w:r>
      <w:r w:rsidRPr="009F5DBC">
        <w:rPr>
          <w:rFonts w:ascii="Arial Black" w:hAnsi="Arial Black"/>
          <w:sz w:val="28"/>
          <w:szCs w:val="28"/>
        </w:rPr>
        <w:t xml:space="preserve">RREST – INTUBATION </w:t>
      </w:r>
      <w:r>
        <w:rPr>
          <w:rFonts w:ascii="Arial Black" w:hAnsi="Arial Black"/>
          <w:sz w:val="28"/>
          <w:szCs w:val="28"/>
        </w:rPr>
        <w:t xml:space="preserve">IN </w:t>
      </w:r>
      <w:r w:rsidRPr="009F5DBC">
        <w:rPr>
          <w:rFonts w:ascii="Arial Black" w:hAnsi="Arial Black"/>
          <w:sz w:val="28"/>
          <w:szCs w:val="28"/>
        </w:rPr>
        <w:t>ESOPHAGUS –</w:t>
      </w:r>
      <w:r>
        <w:rPr>
          <w:rFonts w:ascii="Arial Black" w:hAnsi="Arial Black"/>
          <w:sz w:val="28"/>
          <w:szCs w:val="28"/>
        </w:rPr>
        <w:t xml:space="preserve"> HOSP. ED - NO EXPERT PROOF CAUSED DEATH</w:t>
      </w:r>
    </w:p>
    <w:p w14:paraId="5B530D93" w14:textId="77777777" w:rsidR="006A02A4" w:rsidRDefault="006A02A4" w:rsidP="006A02A4">
      <w:pPr>
        <w:pStyle w:val="NoSpacing"/>
      </w:pPr>
    </w:p>
    <w:p w14:paraId="1C3C95F9" w14:textId="77777777" w:rsidR="006A02A4" w:rsidRPr="003C1643" w:rsidRDefault="006A02A4" w:rsidP="006A02A4">
      <w:pPr>
        <w:pStyle w:val="NoSpacing"/>
        <w:rPr>
          <w:rFonts w:ascii="Times New Roman" w:hAnsi="Times New Roman"/>
          <w:sz w:val="24"/>
          <w:szCs w:val="24"/>
        </w:rPr>
      </w:pPr>
      <w:r w:rsidRPr="003C1643">
        <w:rPr>
          <w:rFonts w:ascii="Times New Roman" w:hAnsi="Times New Roman"/>
          <w:sz w:val="24"/>
          <w:szCs w:val="24"/>
          <w:u w:val="single"/>
        </w:rPr>
        <w:t>Shaquia Simmons, Administrator of the estate of Judith Prescott v. Elizabeth Rubano, M.D. et al.</w:t>
      </w:r>
      <w:r w:rsidRPr="003C1643">
        <w:rPr>
          <w:rFonts w:ascii="Times New Roman" w:hAnsi="Times New Roman"/>
          <w:sz w:val="24"/>
          <w:szCs w:val="24"/>
        </w:rPr>
        <w:t>, Supreme Court, Kings County. [Unpublished Decision.]</w:t>
      </w:r>
    </w:p>
    <w:p w14:paraId="0B73F22E" w14:textId="5B523591" w:rsidR="006A02A4" w:rsidRDefault="006A02A4" w:rsidP="006A02A4">
      <w:pPr>
        <w:rPr>
          <w:rFonts w:ascii="Arial Black" w:hAnsi="Arial Black"/>
          <w:b/>
          <w:bCs/>
          <w:sz w:val="28"/>
          <w:szCs w:val="28"/>
        </w:rPr>
      </w:pPr>
      <w:hyperlink r:id="rId2154" w:history="1">
        <w:r w:rsidRPr="003C1643">
          <w:rPr>
            <w:rStyle w:val="Hyperlink"/>
            <w:rFonts w:ascii="Times New Roman" w:hAnsi="Times New Roman"/>
            <w:sz w:val="24"/>
            <w:szCs w:val="24"/>
          </w:rPr>
          <w:t>https://law.justia.com/cases/new-york/other-courts/2023/2023-ny-slip-op-31298-u.html</w:t>
        </w:r>
      </w:hyperlink>
    </w:p>
    <w:p w14:paraId="1BBCC23C" w14:textId="77777777" w:rsidR="006A02A4" w:rsidRPr="003C1643" w:rsidRDefault="006A02A4" w:rsidP="006A02A4">
      <w:pPr>
        <w:pStyle w:val="NormalWeb"/>
        <w:rPr>
          <w:b/>
          <w:bCs/>
        </w:rPr>
      </w:pPr>
      <w:r w:rsidRPr="003C1643">
        <w:rPr>
          <w:b/>
          <w:bCs/>
        </w:rPr>
        <w:t xml:space="preserve">Legal Lesson Learned: EMS should confirm proper placement of ET Tube. </w:t>
      </w:r>
    </w:p>
    <w:p w14:paraId="7CA52EEC" w14:textId="77777777" w:rsidR="00227BDE" w:rsidRDefault="00227BDE" w:rsidP="002B1283">
      <w:pPr>
        <w:rPr>
          <w:rFonts w:ascii="Arial Black" w:hAnsi="Arial Black"/>
          <w:b/>
          <w:bCs/>
          <w:sz w:val="28"/>
          <w:szCs w:val="28"/>
        </w:rPr>
      </w:pPr>
    </w:p>
    <w:p w14:paraId="4AF5BE6B" w14:textId="77777777" w:rsidR="00227BDE" w:rsidRDefault="00227BDE" w:rsidP="002B1283">
      <w:pPr>
        <w:rPr>
          <w:rFonts w:ascii="Arial Black" w:hAnsi="Arial Black"/>
          <w:b/>
          <w:bCs/>
          <w:sz w:val="28"/>
          <w:szCs w:val="28"/>
        </w:rPr>
      </w:pPr>
    </w:p>
    <w:p w14:paraId="59CA279A" w14:textId="68060B8B" w:rsidR="00D66BAA" w:rsidRDefault="00D66BAA" w:rsidP="002B1283">
      <w:pPr>
        <w:rPr>
          <w:rFonts w:ascii="Arial Black" w:hAnsi="Arial Black"/>
          <w:b/>
          <w:bCs/>
          <w:sz w:val="28"/>
          <w:szCs w:val="28"/>
        </w:rPr>
      </w:pPr>
      <w:r>
        <w:rPr>
          <w:rFonts w:ascii="Arial Black" w:hAnsi="Arial Black"/>
          <w:b/>
          <w:bCs/>
          <w:sz w:val="28"/>
          <w:szCs w:val="28"/>
        </w:rPr>
        <w:t>13-140</w:t>
      </w:r>
    </w:p>
    <w:p w14:paraId="3CC7D588" w14:textId="77777777" w:rsidR="00D66BAA" w:rsidRDefault="00D66BAA" w:rsidP="00D66BAA">
      <w:pPr>
        <w:pStyle w:val="NormalWeb"/>
        <w:rPr>
          <w:rFonts w:ascii="Arial Black" w:hAnsi="Arial Black"/>
          <w:sz w:val="28"/>
          <w:szCs w:val="28"/>
        </w:rPr>
      </w:pPr>
      <w:r>
        <w:t> </w:t>
      </w:r>
      <w:r>
        <w:rPr>
          <w:rFonts w:ascii="Arial Black" w:hAnsi="Arial Black"/>
          <w:sz w:val="28"/>
          <w:szCs w:val="28"/>
        </w:rPr>
        <w:t xml:space="preserve">NY: COVID-19 – EMS LAWSUIT AGAINST UNION DISMISSED – CITY BARGAINED WITH DC37 – NO RATIFICATION REQ. </w:t>
      </w:r>
    </w:p>
    <w:p w14:paraId="5957852B" w14:textId="77777777" w:rsidR="00D66BAA" w:rsidRDefault="00D66BAA" w:rsidP="00D66BAA">
      <w:pPr>
        <w:pStyle w:val="NormalWeb"/>
      </w:pPr>
      <w:r>
        <w:t xml:space="preserve">On March 29, 2023, in </w:t>
      </w:r>
      <w:r>
        <w:rPr>
          <w:u w:val="single"/>
        </w:rPr>
        <w:t>John Garland v. City of New York, et al</w:t>
      </w:r>
      <w:r>
        <w:t>., U.S. District Court Judge Kiyo A. Matsumoto, U.S. District Court for Eastern District of New York, granted the City’s motion to dismiss.  The Judge in December, 2021 had dismissed firefighters’ lawsuit seeking reinstatement and back pay, noting: “Indeed, any FDNY employees who challenged whether the Vaccine Mandate should apply to them not only ‘had the opportunity to seek a religious or medical accommodation,’ they also ‘remain[ed] on pay status pending the decision on their request or appeal, so long as their accommodation requests were submitted prior to October 27, 2021.”  On Jan. 5, 2022, the EMS plaintiffs then filed an Amended Complaint against their Union - District Council 37, AFSCME AFL-</w:t>
      </w:r>
      <w:proofErr w:type="gramStart"/>
      <w:r>
        <w:t>CIO (‘</w:t>
      </w:r>
      <w:proofErr w:type="gramEnd"/>
      <w:r>
        <w:t xml:space="preserve">DC37’) - and Harry Garrido, DC37's Executive Director.  </w:t>
      </w:r>
    </w:p>
    <w:p w14:paraId="0D9C9665" w14:textId="77777777" w:rsidR="00D66BAA" w:rsidRDefault="00D66BAA" w:rsidP="00D66BAA">
      <w:pPr>
        <w:pStyle w:val="NormalWeb"/>
        <w:ind w:left="720"/>
      </w:pPr>
      <w:r>
        <w:t xml:space="preserve">The Judge held: “Plaintiffs also argue that, even though the FDNY </w:t>
      </w:r>
      <w:r>
        <w:rPr>
          <w:rStyle w:val="Emphasis"/>
        </w:rPr>
        <w:t>did</w:t>
      </w:r>
      <w:r>
        <w:t xml:space="preserve"> bargain and negotiate with DC37 concerning the Vaccine Mandate, the resulting DC37 Agreement was never ratified by DC37's union members ….Plaintiffs assert that under New York City Admin. Code Section 12-307(a)(4), the DC37 Agreement could not amend the existing procedures of DC37's collective bargaining agreement without ratification by its members….  As the Court has repeatedly stated, however, ‘the Court looks to federal constitutional standards rather than state statutes to define the requirements of procedural due process…. Courts repeatedly have held that state statutes do not determine constitutional due process requirements.” </w:t>
      </w:r>
      <w:hyperlink r:id="rId2155" w:history="1">
        <w:r>
          <w:rPr>
            <w:rStyle w:val="Hyperlink"/>
          </w:rPr>
          <w:t>https://public.fastcase.com/J%2FJP6pdidelsXxEE4k%2BLMmkKAOu2og4RFw84MS%2B8ggk3sjpW8vutPxLex2RgGn%2Bt2Jik%2FeX8PJts3C%2F6Q%2Fo%2BG%2BiayCxJf82VEENSX79a%2FfU%3D?utm_medium=email&amp;_hsmi=226712652&amp;_hsenc=p2ANqtz-9IQANQQw8c4G50juoB1YOeI9PRU9K182hoTYcfz0uXjPfI5SdzNRjzRb60ER6nqwMSPaZSSyOzlxBsxtCZ7kFqJFFA4g&amp;utm_content=226712652&amp;utm_source=hs_email</w:t>
        </w:r>
      </w:hyperlink>
      <w:r>
        <w:t xml:space="preserve"> </w:t>
      </w:r>
    </w:p>
    <w:p w14:paraId="4B425704" w14:textId="77777777" w:rsidR="00D66BAA" w:rsidRDefault="00D66BAA" w:rsidP="00D66BAA">
      <w:pPr>
        <w:pStyle w:val="NormalWeb"/>
        <w:ind w:left="720"/>
      </w:pPr>
      <w:r>
        <w:t>“Plaintiffs allege in the Amended Complaint that seventy-seven out of the eighty-six total Plaintiffs have requested a medical or religious accommodation to be exempt from the Vaccine Mandate; seventy-one Plaintiffs have been denied and six were awaiting an initial determination; thirty-seven Plaintiffs have appealed the denial of their request for a reasonable accommodation; and one Plaintiff's appeal has been denied, while thirty-six are awaiting a decision.</w:t>
      </w:r>
    </w:p>
    <w:p w14:paraId="4B110261" w14:textId="77777777" w:rsidR="00D66BAA" w:rsidRDefault="00D66BAA" w:rsidP="00D66BAA">
      <w:pPr>
        <w:pStyle w:val="NormalWeb"/>
        <w:ind w:left="720"/>
      </w:pPr>
      <w:r>
        <w:t>***</w:t>
      </w:r>
    </w:p>
    <w:p w14:paraId="6695197B" w14:textId="77777777" w:rsidR="00D66BAA" w:rsidRDefault="00D66BAA" w:rsidP="00D66BAA">
      <w:pPr>
        <w:pStyle w:val="NormalWeb"/>
        <w:ind w:left="720"/>
      </w:pPr>
      <w:r>
        <w:t xml:space="preserve">The Vaccine Mandate was revoked by the City on February 10, </w:t>
      </w:r>
      <w:proofErr w:type="gramStart"/>
      <w:r>
        <w:t>2023</w:t>
      </w:r>
      <w:proofErr w:type="gramEnd"/>
      <w:r>
        <w:t xml:space="preserve"> and is no longer in effect.”</w:t>
      </w:r>
    </w:p>
    <w:p w14:paraId="00FF6026" w14:textId="77777777" w:rsidR="00D66BAA" w:rsidRDefault="00D66BAA" w:rsidP="00D66BAA">
      <w:pPr>
        <w:pStyle w:val="NormalWeb"/>
        <w:rPr>
          <w:b/>
          <w:bCs/>
        </w:rPr>
      </w:pPr>
      <w:r>
        <w:rPr>
          <w:b/>
          <w:bCs/>
        </w:rPr>
        <w:t xml:space="preserve">Legal Lesson Learned: Hopefully litigation over Covid-12 vaccinations will soon be over. </w:t>
      </w:r>
    </w:p>
    <w:p w14:paraId="60184AD3" w14:textId="77777777" w:rsidR="00D66BAA" w:rsidRDefault="00D66BAA" w:rsidP="00D66BAA">
      <w:pPr>
        <w:pStyle w:val="Heading1"/>
        <w:ind w:left="720"/>
        <w:rPr>
          <w:b w:val="0"/>
          <w:bCs w:val="0"/>
          <w:sz w:val="24"/>
          <w:szCs w:val="24"/>
        </w:rPr>
      </w:pPr>
      <w:r>
        <w:rPr>
          <w:b w:val="0"/>
          <w:bCs w:val="0"/>
          <w:sz w:val="24"/>
          <w:szCs w:val="24"/>
        </w:rPr>
        <w:t xml:space="preserve">Note: </w:t>
      </w:r>
    </w:p>
    <w:p w14:paraId="1EFB6343" w14:textId="77777777" w:rsidR="00D66BAA" w:rsidRDefault="00D66BAA" w:rsidP="00D66BAA">
      <w:pPr>
        <w:pStyle w:val="Heading1"/>
        <w:ind w:left="720"/>
        <w:rPr>
          <w:rStyle w:val="markedcontent"/>
        </w:rPr>
      </w:pPr>
      <w:r>
        <w:rPr>
          <w:b w:val="0"/>
          <w:bCs w:val="0"/>
          <w:sz w:val="24"/>
          <w:szCs w:val="24"/>
        </w:rPr>
        <w:t xml:space="preserve">See March 10, </w:t>
      </w:r>
      <w:proofErr w:type="gramStart"/>
      <w:r>
        <w:rPr>
          <w:b w:val="0"/>
          <w:bCs w:val="0"/>
          <w:sz w:val="24"/>
          <w:szCs w:val="24"/>
        </w:rPr>
        <w:t>2023</w:t>
      </w:r>
      <w:proofErr w:type="gramEnd"/>
      <w:r>
        <w:rPr>
          <w:b w:val="0"/>
          <w:bCs w:val="0"/>
          <w:sz w:val="24"/>
          <w:szCs w:val="24"/>
        </w:rPr>
        <w:t xml:space="preserve"> City Re-Hiring Memo: </w:t>
      </w:r>
      <w:r>
        <w:rPr>
          <w:rStyle w:val="markedcontent"/>
          <w:b w:val="0"/>
          <w:bCs w:val="0"/>
          <w:sz w:val="24"/>
          <w:szCs w:val="24"/>
        </w:rPr>
        <w:t>“Are employees who were terminated for failure to comply with the vaccine mandate eligible for rehire? Yes, employees who were terminated due to the vaccine mandate are eligible for rehire by any City agency, with the understanding they meet all conditions for employment in the rehire position and haven’t otherwise signed a waiver indicating they will not return.”</w:t>
      </w:r>
      <w:r>
        <w:t xml:space="preserve"> </w:t>
      </w:r>
      <w:hyperlink r:id="rId2156" w:history="1">
        <w:r>
          <w:rPr>
            <w:rStyle w:val="Hyperlink"/>
            <w:b w:val="0"/>
            <w:bCs w:val="0"/>
            <w:sz w:val="24"/>
            <w:szCs w:val="24"/>
          </w:rPr>
          <w:t>https://www.nyc.gov/assets/dcas/downloads/pdf/guidelines/faq-vaccine-mandate.pdf</w:t>
        </w:r>
      </w:hyperlink>
      <w:r>
        <w:rPr>
          <w:rStyle w:val="markedcontent"/>
          <w:b w:val="0"/>
          <w:bCs w:val="0"/>
          <w:sz w:val="24"/>
          <w:szCs w:val="24"/>
        </w:rPr>
        <w:t xml:space="preserve"> </w:t>
      </w:r>
    </w:p>
    <w:p w14:paraId="2D1BC1C8" w14:textId="77777777" w:rsidR="00D66BAA" w:rsidRDefault="00D66BAA" w:rsidP="00D66BAA">
      <w:pPr>
        <w:pStyle w:val="Heading1"/>
        <w:ind w:left="720"/>
      </w:pPr>
      <w:r>
        <w:rPr>
          <w:b w:val="0"/>
          <w:bCs w:val="0"/>
          <w:sz w:val="24"/>
          <w:szCs w:val="24"/>
        </w:rPr>
        <w:t xml:space="preserve">See Oct. 26, </w:t>
      </w:r>
      <w:proofErr w:type="gramStart"/>
      <w:r>
        <w:rPr>
          <w:b w:val="0"/>
          <w:bCs w:val="0"/>
          <w:sz w:val="24"/>
          <w:szCs w:val="24"/>
        </w:rPr>
        <w:t>2022</w:t>
      </w:r>
      <w:proofErr w:type="gramEnd"/>
      <w:r>
        <w:rPr>
          <w:b w:val="0"/>
          <w:bCs w:val="0"/>
          <w:sz w:val="24"/>
          <w:szCs w:val="24"/>
        </w:rPr>
        <w:t xml:space="preserve"> article, “Judge: NYC must rehire and pay back workers who violated vaccine mandate.” A judge with the New York State Supreme Court on Tuesday ruled that New York City Mayor Eric Adams' October 2021 mandate requiring all municipal workers to receive a Covid-19 vaccine was unlawful and ordered the city to rehire and provide back pay to all sanitation workers who lost their jobs for violating the mandate. </w:t>
      </w:r>
      <w:hyperlink r:id="rId2157" w:history="1">
        <w:r>
          <w:rPr>
            <w:rStyle w:val="Hyperlink"/>
            <w:b w:val="0"/>
            <w:bCs w:val="0"/>
            <w:sz w:val="24"/>
            <w:szCs w:val="24"/>
          </w:rPr>
          <w:t>https://www.advisory.com/daily-briefing/2022/10/26/vaccine-mandate</w:t>
        </w:r>
      </w:hyperlink>
      <w:r>
        <w:rPr>
          <w:b w:val="0"/>
          <w:bCs w:val="0"/>
          <w:sz w:val="24"/>
          <w:szCs w:val="24"/>
        </w:rPr>
        <w:t xml:space="preserve">  </w:t>
      </w:r>
    </w:p>
    <w:p w14:paraId="7731639F" w14:textId="1CE5D13A" w:rsidR="00D66BAA" w:rsidRPr="00D66BAA" w:rsidRDefault="00D66BAA" w:rsidP="00D66BAA">
      <w:pPr>
        <w:ind w:left="720"/>
        <w:rPr>
          <w:rFonts w:ascii="Times New Roman" w:hAnsi="Times New Roman"/>
          <w:b/>
          <w:bCs/>
          <w:sz w:val="24"/>
          <w:szCs w:val="24"/>
        </w:rPr>
      </w:pPr>
      <w:r w:rsidRPr="00D66BAA">
        <w:rPr>
          <w:rFonts w:ascii="Times New Roman" w:hAnsi="Times New Roman"/>
          <w:sz w:val="24"/>
          <w:szCs w:val="24"/>
        </w:rPr>
        <w:t xml:space="preserve">See Sept. 23, </w:t>
      </w:r>
      <w:proofErr w:type="gramStart"/>
      <w:r w:rsidRPr="00D66BAA">
        <w:rPr>
          <w:rFonts w:ascii="Times New Roman" w:hAnsi="Times New Roman"/>
          <w:sz w:val="24"/>
          <w:szCs w:val="24"/>
        </w:rPr>
        <w:t>2022</w:t>
      </w:r>
      <w:proofErr w:type="gramEnd"/>
      <w:r w:rsidRPr="00D66BAA">
        <w:rPr>
          <w:rFonts w:ascii="Times New Roman" w:hAnsi="Times New Roman"/>
          <w:sz w:val="24"/>
          <w:szCs w:val="24"/>
        </w:rPr>
        <w:t xml:space="preserve"> article, </w:t>
      </w:r>
      <w:r w:rsidRPr="00D66BAA">
        <w:rPr>
          <w:rFonts w:ascii="Times New Roman" w:hAnsi="Times New Roman"/>
          <w:b/>
          <w:bCs/>
          <w:sz w:val="24"/>
          <w:szCs w:val="24"/>
        </w:rPr>
        <w:t>“</w:t>
      </w:r>
      <w:r w:rsidRPr="00D66BAA">
        <w:rPr>
          <w:rFonts w:ascii="Times New Roman" w:hAnsi="Times New Roman"/>
          <w:sz w:val="24"/>
          <w:szCs w:val="24"/>
        </w:rPr>
        <w:t xml:space="preserve">Judge strikes down COVID vaccine mandate for PBA, orders New York City to reinstate unvaccinated police officers.” A Manhattan Supreme Court judge on Friday overturned the city's vaccine mandate for the New York Police Benevolent Association and said members who lost their jobs for being unvaccinated should be reinstated. </w:t>
      </w:r>
      <w:hyperlink r:id="rId2158" w:history="1">
        <w:r w:rsidRPr="00D66BAA">
          <w:rPr>
            <w:rStyle w:val="Hyperlink"/>
            <w:rFonts w:ascii="Times New Roman" w:hAnsi="Times New Roman"/>
            <w:sz w:val="24"/>
            <w:szCs w:val="24"/>
          </w:rPr>
          <w:t>https://www.cbsnews.com/newyork/news/judge-strikes-down-pba-vaccine-mandate-orders-new-york-city-to-reinstate-unvaccinated-members/</w:t>
        </w:r>
      </w:hyperlink>
    </w:p>
    <w:p w14:paraId="286A54D5" w14:textId="77777777" w:rsidR="00D66BAA" w:rsidRDefault="00D66BAA" w:rsidP="002B1283">
      <w:pPr>
        <w:rPr>
          <w:rFonts w:ascii="Arial Black" w:hAnsi="Arial Black"/>
          <w:b/>
          <w:bCs/>
          <w:sz w:val="28"/>
          <w:szCs w:val="28"/>
        </w:rPr>
      </w:pPr>
    </w:p>
    <w:p w14:paraId="069560D7" w14:textId="27C1C948" w:rsidR="00D66BAA" w:rsidRDefault="00D66BAA" w:rsidP="002B1283">
      <w:pPr>
        <w:rPr>
          <w:rFonts w:ascii="Arial Black" w:hAnsi="Arial Black"/>
          <w:b/>
          <w:bCs/>
          <w:sz w:val="28"/>
          <w:szCs w:val="28"/>
        </w:rPr>
      </w:pPr>
      <w:r>
        <w:rPr>
          <w:rFonts w:ascii="Arial Black" w:hAnsi="Arial Black"/>
          <w:b/>
          <w:bCs/>
          <w:sz w:val="28"/>
          <w:szCs w:val="28"/>
        </w:rPr>
        <w:t>13-139</w:t>
      </w:r>
    </w:p>
    <w:p w14:paraId="4C95A36F" w14:textId="77777777" w:rsidR="00D66BAA" w:rsidRDefault="00D66BAA" w:rsidP="00D66BAA">
      <w:pPr>
        <w:pStyle w:val="NormalWeb"/>
        <w:rPr>
          <w:rFonts w:ascii="Arial Black" w:hAnsi="Arial Black"/>
          <w:sz w:val="28"/>
          <w:szCs w:val="28"/>
        </w:rPr>
      </w:pPr>
      <w:r>
        <w:rPr>
          <w:rFonts w:ascii="Arial Black" w:hAnsi="Arial Black"/>
          <w:sz w:val="28"/>
          <w:szCs w:val="28"/>
        </w:rPr>
        <w:t>NY: COVID-19 VACCINATION - FDNY CLAIMED “RELIGIOUS EXEMPTION” AS A CATHOLIC – FIRED - CASE DISMISSED</w:t>
      </w:r>
    </w:p>
    <w:p w14:paraId="23ABBFAE" w14:textId="77777777" w:rsidR="00D66BAA" w:rsidRDefault="00D66BAA" w:rsidP="00D66BAA">
      <w:pPr>
        <w:pStyle w:val="NormalWeb"/>
      </w:pPr>
      <w:r>
        <w:t xml:space="preserve">On March 24, 2023, in </w:t>
      </w:r>
      <w:r>
        <w:rPr>
          <w:u w:val="single"/>
        </w:rPr>
        <w:t>Jude Pierre v. Fire Department of the City of New York, City of New York</w:t>
      </w:r>
      <w:r>
        <w:t xml:space="preserve">, Judge Lori S. Sattler, Supreme Court, New York County (unpublished decision) held that the FDNY properly fired him on September 7, 2022, after his administrative appeal to City of New York Reasonable Accommodation Appeals Panel was rejected on December 21, 2021, and he was put on unpaid leave.  </w:t>
      </w:r>
    </w:p>
    <w:p w14:paraId="0EE52E56" w14:textId="77777777" w:rsidR="00D66BAA" w:rsidRDefault="00D66BAA" w:rsidP="00D66BAA">
      <w:pPr>
        <w:pStyle w:val="NormalWeb"/>
        <w:ind w:left="720"/>
      </w:pPr>
      <w:r>
        <w:t xml:space="preserve">The Court held: “Petitioner fails to demonstrate how his religious beliefs conflict with [the City’s] vaccine requirement notwithstanding that he designates his religion as Catholic on the religious exemption request form. His assertion that he is ‘not comfortable using a vaccine that has used stem cells from fetuses’ is presented without any connection to a sincerely held religious belief and does not set forth an actual religious request for accommodation. Similarly, the language in the remainder of this section of the Accommodation Request - that he is concerned about the ‘manufacturers, government and department’ not being held liable for adverse long-term side effects, sees no reason to take the risk of ‘taking an expedited treatment,’ and that he will be solely responsible for dealing with ‘unforeseen consequences’ - indicate that Petitioner's request was based on his personal preferences.” </w:t>
      </w:r>
      <w:hyperlink r:id="rId2159" w:history="1">
        <w:r>
          <w:rPr>
            <w:rStyle w:val="Hyperlink"/>
          </w:rPr>
          <w:t>https://casetext.com/case/pierre-v-fire-dept-of-the-city-of-ny</w:t>
        </w:r>
      </w:hyperlink>
      <w:r>
        <w:t xml:space="preserve"> </w:t>
      </w:r>
    </w:p>
    <w:p w14:paraId="092F4E98" w14:textId="77777777" w:rsidR="00D66BAA" w:rsidRDefault="00D66BAA" w:rsidP="00D66BAA">
      <w:pPr>
        <w:pStyle w:val="NormalWeb"/>
        <w:ind w:left="720"/>
      </w:pPr>
      <w:r>
        <w:t xml:space="preserve">“A New York City vaccine mandate was issued on October 20, </w:t>
      </w:r>
      <w:proofErr w:type="gramStart"/>
      <w:r>
        <w:t>2021</w:t>
      </w:r>
      <w:proofErr w:type="gramEnd"/>
      <w:r>
        <w:t xml:space="preserve"> requiring that all employees of the City of New York verify vaccination against COVID-19 by October 29, 2021.  </w:t>
      </w:r>
    </w:p>
    <w:p w14:paraId="76E6DD48" w14:textId="77777777" w:rsidR="00D66BAA" w:rsidRDefault="00D66BAA" w:rsidP="00D66BAA">
      <w:pPr>
        <w:pStyle w:val="NormalWeb"/>
        <w:ind w:left="720"/>
      </w:pPr>
      <w:r>
        <w:t>***</w:t>
      </w:r>
    </w:p>
    <w:p w14:paraId="11C3F89D" w14:textId="77777777" w:rsidR="00D66BAA" w:rsidRDefault="00D66BAA" w:rsidP="00D66BA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Petitioner, a New York City Firefighter, filed a Form EEO-7 ‘REQUEST FOR A REASONABLE ACCOMODATION FOR RELIGIOUS OBSERVANCES, PRACTICES OR BELIEFS’ on November 21, </w:t>
      </w:r>
      <w:proofErr w:type="gramStart"/>
      <w:r>
        <w:rPr>
          <w:rFonts w:ascii="Times New Roman" w:eastAsia="Times New Roman" w:hAnsi="Times New Roman"/>
          <w:sz w:val="24"/>
          <w:szCs w:val="24"/>
        </w:rPr>
        <w:t>2021</w:t>
      </w:r>
      <w:proofErr w:type="gramEnd"/>
      <w:r>
        <w:rPr>
          <w:rFonts w:ascii="Times New Roman" w:eastAsia="Times New Roman" w:hAnsi="Times New Roman"/>
          <w:sz w:val="24"/>
          <w:szCs w:val="24"/>
        </w:rPr>
        <w:t xml:space="preserve"> … ‘Accommodation Request’). Under the section ‘Identify Religion/creed’ he specified Catholic. The form further asks the applicant to ‘Describe the religious practice(s) in conflict with the work rule(s) or requirement(s).’ He stated: </w:t>
      </w:r>
    </w:p>
    <w:p w14:paraId="2625506A" w14:textId="77777777" w:rsidR="00D66BAA" w:rsidRDefault="00D66BAA" w:rsidP="00D66BAA">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I am not comfortable using a vaccine that has used stem cells from fetuses in </w:t>
      </w:r>
      <w:proofErr w:type="spellStart"/>
      <w:proofErr w:type="gramStart"/>
      <w:r>
        <w:rPr>
          <w:rFonts w:ascii="Times New Roman" w:eastAsia="Times New Roman" w:hAnsi="Times New Roman"/>
          <w:sz w:val="24"/>
          <w:szCs w:val="24"/>
        </w:rPr>
        <w:t>it's</w:t>
      </w:r>
      <w:proofErr w:type="spellEnd"/>
      <w:proofErr w:type="gramEnd"/>
      <w:r>
        <w:rPr>
          <w:rFonts w:ascii="Times New Roman" w:eastAsia="Times New Roman" w:hAnsi="Times New Roman"/>
          <w:sz w:val="24"/>
          <w:szCs w:val="24"/>
        </w:rPr>
        <w:t xml:space="preserve"> [sic] development. I am also cautious in the fact that manufacturers, government, and department are not liable for any adverse long-term side effects. Why shall I take the risk of taking </w:t>
      </w:r>
      <w:proofErr w:type="gramStart"/>
      <w:r>
        <w:rPr>
          <w:rFonts w:ascii="Times New Roman" w:eastAsia="Times New Roman" w:hAnsi="Times New Roman"/>
          <w:sz w:val="24"/>
          <w:szCs w:val="24"/>
        </w:rPr>
        <w:t>an expedited</w:t>
      </w:r>
      <w:proofErr w:type="gramEnd"/>
      <w:r>
        <w:rPr>
          <w:rFonts w:ascii="Times New Roman" w:eastAsia="Times New Roman" w:hAnsi="Times New Roman"/>
          <w:sz w:val="24"/>
          <w:szCs w:val="24"/>
        </w:rPr>
        <w:t xml:space="preserve"> treatment if something were to happen and I'm will [sic] solely to be responsible </w:t>
      </w:r>
      <w:proofErr w:type="gramStart"/>
      <w:r>
        <w:rPr>
          <w:rFonts w:ascii="Times New Roman" w:eastAsia="Times New Roman" w:hAnsi="Times New Roman"/>
          <w:sz w:val="24"/>
          <w:szCs w:val="24"/>
        </w:rPr>
        <w:t>with</w:t>
      </w:r>
      <w:proofErr w:type="gramEnd"/>
      <w:r>
        <w:rPr>
          <w:rFonts w:ascii="Times New Roman" w:eastAsia="Times New Roman" w:hAnsi="Times New Roman"/>
          <w:sz w:val="24"/>
          <w:szCs w:val="24"/>
        </w:rPr>
        <w:t xml:space="preserve"> dealing with any unforeseen consequences? </w:t>
      </w:r>
    </w:p>
    <w:p w14:paraId="008AC0E3" w14:textId="77777777" w:rsidR="00D66BAA" w:rsidRDefault="00D66BAA" w:rsidP="00D66BAA">
      <w:pPr>
        <w:spacing w:after="100" w:line="240" w:lineRule="auto"/>
        <w:ind w:firstLine="720"/>
        <w:rPr>
          <w:rFonts w:ascii="Times New Roman" w:eastAsia="Times New Roman" w:hAnsi="Times New Roman"/>
          <w:sz w:val="24"/>
          <w:szCs w:val="24"/>
        </w:rPr>
      </w:pPr>
      <w:r>
        <w:rPr>
          <w:rFonts w:ascii="Times New Roman" w:eastAsia="Times New Roman" w:hAnsi="Times New Roman"/>
          <w:sz w:val="24"/>
          <w:szCs w:val="24"/>
        </w:rPr>
        <w:t>***</w:t>
      </w:r>
    </w:p>
    <w:p w14:paraId="661677CA" w14:textId="77777777" w:rsidR="00D66BAA" w:rsidRDefault="00D66BAA" w:rsidP="00D66BAA">
      <w:pPr>
        <w:spacing w:after="100" w:line="240" w:lineRule="auto"/>
        <w:ind w:left="720"/>
        <w:rPr>
          <w:rFonts w:ascii="Times New Roman" w:hAnsi="Times New Roman"/>
          <w:sz w:val="24"/>
          <w:szCs w:val="24"/>
        </w:rPr>
      </w:pPr>
      <w:r>
        <w:rPr>
          <w:rFonts w:ascii="Times New Roman" w:hAnsi="Times New Roman"/>
          <w:sz w:val="24"/>
          <w:szCs w:val="24"/>
        </w:rPr>
        <w:t>Here, the Court finds that Respondents' decision was not arbitrary and capricious and that there was a rational basis to support its determination. Although Petitioner points to other decisions regarding the use of "form" denials of religious accommodation requests by the FDNY, in this instance, Petitioner's application does not set forth a request for accommodation based on his religious beliefs but rather states his personal preferences regarding the vaccine….”</w:t>
      </w:r>
    </w:p>
    <w:p w14:paraId="06FE6A7C" w14:textId="77777777" w:rsidR="00D66BAA" w:rsidRDefault="00D66BAA" w:rsidP="00D66BAA">
      <w:pPr>
        <w:spacing w:after="100" w:line="240" w:lineRule="auto"/>
        <w:ind w:left="720"/>
        <w:rPr>
          <w:rFonts w:ascii="Times New Roman" w:hAnsi="Times New Roman"/>
          <w:sz w:val="24"/>
          <w:szCs w:val="24"/>
        </w:rPr>
      </w:pPr>
    </w:p>
    <w:p w14:paraId="6947DDC7" w14:textId="77777777" w:rsidR="00D66BAA" w:rsidRDefault="00D66BAA" w:rsidP="00D66BAA">
      <w:pPr>
        <w:spacing w:after="100"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The firefighter failed to show a basis for religious accommodation. </w:t>
      </w:r>
    </w:p>
    <w:p w14:paraId="0514071E" w14:textId="77777777" w:rsidR="00D66BAA" w:rsidRDefault="00D66BAA" w:rsidP="00D66BAA">
      <w:pPr>
        <w:pStyle w:val="NormalWeb"/>
        <w:ind w:left="720"/>
      </w:pPr>
    </w:p>
    <w:p w14:paraId="50538853" w14:textId="61ED40EC" w:rsidR="00D66BAA" w:rsidRDefault="00D66BAA" w:rsidP="002B1283">
      <w:pPr>
        <w:rPr>
          <w:rFonts w:ascii="Arial Black" w:hAnsi="Arial Black"/>
          <w:b/>
          <w:bCs/>
          <w:sz w:val="28"/>
          <w:szCs w:val="28"/>
        </w:rPr>
      </w:pPr>
      <w:r>
        <w:rPr>
          <w:rFonts w:ascii="Arial Black" w:hAnsi="Arial Black"/>
          <w:b/>
          <w:bCs/>
          <w:sz w:val="28"/>
          <w:szCs w:val="28"/>
        </w:rPr>
        <w:t>13-138</w:t>
      </w:r>
    </w:p>
    <w:p w14:paraId="00C36EE7" w14:textId="77777777" w:rsidR="00D66BAA" w:rsidRDefault="00D66BAA" w:rsidP="00D66BAA">
      <w:pPr>
        <w:pStyle w:val="NormalWeb"/>
        <w:rPr>
          <w:rFonts w:ascii="Arial Black" w:hAnsi="Arial Black"/>
          <w:sz w:val="28"/>
          <w:szCs w:val="28"/>
        </w:rPr>
      </w:pPr>
      <w:r>
        <w:rPr>
          <w:rFonts w:ascii="Arial Black" w:hAnsi="Arial Black"/>
          <w:sz w:val="28"/>
          <w:szCs w:val="28"/>
        </w:rPr>
        <w:t xml:space="preserve">NY: HOSP. BASED EMT PUNCHED MENTAL PT – FF HOLDING PATIENT FELL &amp; INJURED - CAN’T SUE HOSPITAL </w:t>
      </w:r>
    </w:p>
    <w:p w14:paraId="648241C6" w14:textId="77777777" w:rsidR="00D66BAA" w:rsidRDefault="00D66BAA" w:rsidP="00D66BAA">
      <w:pPr>
        <w:pStyle w:val="NormalWeb"/>
      </w:pPr>
      <w:r>
        <w:t>On March 23, 2023</w:t>
      </w:r>
      <w:proofErr w:type="gramStart"/>
      <w:r>
        <w:t>, in</w:t>
      </w:r>
      <w:proofErr w:type="gramEnd"/>
      <w:r>
        <w:t xml:space="preserve"> </w:t>
      </w:r>
      <w:r>
        <w:rPr>
          <w:u w:val="single"/>
        </w:rPr>
        <w:t>Michael McGovern and Laura McGovern v. The St. Luke’s-Roosevelt Hospital, et al</w:t>
      </w:r>
      <w:r>
        <w:t xml:space="preserve">., Justice Lyle E. Frank, Supreme Court, New York County (unpublished decision), granted the hospital motion for summary judgment.  Fire &amp; EMS responded for unconscious person; EMT gave sternum rub and patient became agitated and aggressive (“emotionally disturbed person”).  Video shows an EMT throwing a punch at the patient, as the firefighter was restraining the patient and both the firefighter and patient fell to the ground. </w:t>
      </w:r>
    </w:p>
    <w:p w14:paraId="7422348F" w14:textId="77777777" w:rsidR="00D66BAA" w:rsidRDefault="00D66BAA" w:rsidP="00D66BAA">
      <w:pPr>
        <w:pStyle w:val="NormalWeb"/>
        <w:ind w:left="720" w:firstLine="60"/>
      </w:pPr>
      <w:r>
        <w:t xml:space="preserve">“The Court finds that whether the non-party EMT was in fact negligent in failing to follow the proper protocols, that conduct was not the proximate cause of plaintiff's injuries. The Court finds the non-party EMT's conduct to be intentional, therefore not in the purview of negligence…. The law is well established that there cannot be vicarious liability for the intentional tort of an employee when the underlying act is outside of the scope of employment….”  </w:t>
      </w:r>
      <w:hyperlink r:id="rId2160" w:history="1">
        <w:r>
          <w:rPr>
            <w:rStyle w:val="Hyperlink"/>
          </w:rPr>
          <w:t>https://public.fastcase.com/J%2FJP6pdidelsXxEE4k%2BLMjJGU1N13mSM0FXq6MPMgI9LSFCmdWs1UmdxMrMk65JbGuZGkm2byIyaUDFttOOFNnpFfmnrOgyejNkkQ3Wd5bI%3D?utm_medium=email&amp;_hsmi=226712652&amp;_hsenc=p2ANqtz--0Qd6DUvdEJ2RTs9adtgmCzU05IEXqUBeE6HSsIcsSfVoNrdaOOcnlphoE_fH7sdYgnejI_LAktN6WZtOuiqSz8dg1eg&amp;utm_content=226712652&amp;utm_source=hs_email</w:t>
        </w:r>
      </w:hyperlink>
      <w:r>
        <w:t xml:space="preserve"> </w:t>
      </w:r>
    </w:p>
    <w:p w14:paraId="5F474B8E" w14:textId="77777777" w:rsidR="00D66BAA" w:rsidRDefault="00D66BAA" w:rsidP="00D66BAA">
      <w:pPr>
        <w:pStyle w:val="NormalWeb"/>
        <w:ind w:left="720"/>
      </w:pPr>
      <w:r>
        <w:t>“[T]here are two videos of the incident that have been provided by the parties and reviewed by the Court. Both are extremely short in duration, but both clearly show one of the EMT's shoving the non-party patient, the plaintiff retraining the [patient],  the same EMT throwing a punch in the direction of the … patient and the plaintiff, causing the plaintiff and the … patient to fall to the ground.</w:t>
      </w:r>
    </w:p>
    <w:p w14:paraId="4D2A7F4C" w14:textId="77777777" w:rsidR="00D66BAA" w:rsidRDefault="00D66BAA" w:rsidP="00D66BAA">
      <w:pPr>
        <w:pStyle w:val="NormalWeb"/>
        <w:ind w:left="720"/>
      </w:pPr>
      <w:r>
        <w:t>***</w:t>
      </w:r>
    </w:p>
    <w:p w14:paraId="726251FC" w14:textId="77777777" w:rsidR="00D66BAA" w:rsidRDefault="00D66BAA" w:rsidP="00D66BAA">
      <w:pPr>
        <w:pStyle w:val="NormalWeb"/>
        <w:ind w:left="720"/>
      </w:pPr>
      <w:r>
        <w:t xml:space="preserve">The crux of plaintiff’s position is that defendants' employees were negligent in following protocol by not creating a safe zone and not calling the police, with these failures causing plaintiff to intervene in a physical altercation between the non-party patient and the [EMT]. However, the Court finds that, consistent with the defendants' position, the ensuing physical altercation and the intervention by plaintiff does not impute vicarious liability onto the defendants. </w:t>
      </w:r>
    </w:p>
    <w:p w14:paraId="40F02669" w14:textId="77777777" w:rsidR="00D66BAA" w:rsidRDefault="00D66BAA" w:rsidP="00D66BAA">
      <w:pPr>
        <w:pStyle w:val="NormalWeb"/>
        <w:ind w:left="720"/>
      </w:pPr>
      <w:r>
        <w:t xml:space="preserve">The Court finds that whether the [paramedic] was in fact negligent in failing to follow the proper protocols, that conduct was not the proximate cause of plaintiff's injuries. The Court finds the non-party EMT's conduct to be intentional, therefore not in the purview of </w:t>
      </w:r>
      <w:proofErr w:type="gramStart"/>
      <w:r>
        <w:t>negligence.”</w:t>
      </w:r>
      <w:proofErr w:type="gramEnd"/>
    </w:p>
    <w:p w14:paraId="57FE5958" w14:textId="77777777" w:rsidR="00D66BAA" w:rsidRDefault="00D66BAA" w:rsidP="00D66BAA">
      <w:pPr>
        <w:pStyle w:val="NormalWeb"/>
        <w:rPr>
          <w:b/>
          <w:bCs/>
        </w:rPr>
      </w:pPr>
      <w:r>
        <w:rPr>
          <w:b/>
          <w:bCs/>
        </w:rPr>
        <w:t xml:space="preserve">Legal Lesson Learned: Hospital employer not liable for intentional misconduct of their EMT.  Also, don’t throw punches at patients; can hurt </w:t>
      </w:r>
      <w:proofErr w:type="gramStart"/>
      <w:r>
        <w:rPr>
          <w:b/>
          <w:bCs/>
        </w:rPr>
        <w:t>patient</w:t>
      </w:r>
      <w:proofErr w:type="gramEnd"/>
      <w:r>
        <w:rPr>
          <w:b/>
          <w:bCs/>
        </w:rPr>
        <w:t xml:space="preserve"> and those trying to restrain the patient. </w:t>
      </w:r>
    </w:p>
    <w:p w14:paraId="53B65E95" w14:textId="77777777" w:rsidR="00D66BAA" w:rsidRDefault="00D66BAA" w:rsidP="00D66BAA">
      <w:pPr>
        <w:pStyle w:val="NormalWeb"/>
      </w:pPr>
    </w:p>
    <w:p w14:paraId="6C9D27C2" w14:textId="77777777" w:rsidR="00D66BAA" w:rsidRPr="00832745" w:rsidRDefault="00D66BAA" w:rsidP="002B1283">
      <w:pPr>
        <w:rPr>
          <w:rFonts w:ascii="Times New Roman" w:hAnsi="Times New Roman"/>
          <w:b/>
          <w:bCs/>
          <w:sz w:val="24"/>
          <w:szCs w:val="24"/>
        </w:rPr>
      </w:pPr>
    </w:p>
    <w:p w14:paraId="2B8AC223" w14:textId="124545D9" w:rsidR="00F55395" w:rsidRDefault="00F55395" w:rsidP="002B1283">
      <w:pPr>
        <w:rPr>
          <w:rFonts w:ascii="Arial Black" w:hAnsi="Arial Black"/>
          <w:b/>
          <w:bCs/>
          <w:sz w:val="28"/>
          <w:szCs w:val="28"/>
        </w:rPr>
      </w:pPr>
      <w:r>
        <w:rPr>
          <w:rFonts w:ascii="Arial Black" w:hAnsi="Arial Black"/>
          <w:b/>
          <w:bCs/>
          <w:sz w:val="28"/>
          <w:szCs w:val="28"/>
        </w:rPr>
        <w:t>13-137</w:t>
      </w:r>
    </w:p>
    <w:p w14:paraId="1901D9F0" w14:textId="77777777" w:rsidR="00F55395" w:rsidRDefault="00F55395" w:rsidP="00F55395">
      <w:pPr>
        <w:pStyle w:val="NormalWeb"/>
        <w:rPr>
          <w:b/>
          <w:bCs/>
        </w:rPr>
      </w:pPr>
      <w:r>
        <w:rPr>
          <w:rFonts w:ascii="Arial Black" w:hAnsi="Arial Black"/>
          <w:b/>
          <w:bCs/>
          <w:sz w:val="28"/>
          <w:szCs w:val="28"/>
        </w:rPr>
        <w:t xml:space="preserve">MS: EMS WORKED GUN SHOT PATIENT AT SCENE 16 MIN –– PLAINTIFF’S MD NOT QUALIFIED AS “EXPERT” IN EMS </w:t>
      </w:r>
    </w:p>
    <w:p w14:paraId="77129025" w14:textId="77777777" w:rsidR="00F55395" w:rsidRDefault="00F55395" w:rsidP="00F55395">
      <w:pPr>
        <w:pStyle w:val="NormalWeb"/>
      </w:pPr>
      <w:r>
        <w:t xml:space="preserve">On March 9, 2023, </w:t>
      </w:r>
      <w:r w:rsidRPr="00470CD5">
        <w:rPr>
          <w:u w:val="single"/>
        </w:rPr>
        <w:t xml:space="preserve">in Marcus Walker, on behalf of beneficiaries of </w:t>
      </w:r>
      <w:proofErr w:type="spellStart"/>
      <w:r w:rsidRPr="00470CD5">
        <w:rPr>
          <w:u w:val="single"/>
        </w:rPr>
        <w:t>De’Aubrey</w:t>
      </w:r>
      <w:proofErr w:type="spellEnd"/>
      <w:r w:rsidRPr="00470CD5">
        <w:rPr>
          <w:u w:val="single"/>
        </w:rPr>
        <w:t xml:space="preserve"> </w:t>
      </w:r>
      <w:proofErr w:type="spellStart"/>
      <w:r w:rsidRPr="00470CD5">
        <w:rPr>
          <w:u w:val="single"/>
        </w:rPr>
        <w:t>Rajheem</w:t>
      </w:r>
      <w:proofErr w:type="spellEnd"/>
      <w:r w:rsidRPr="00470CD5">
        <w:rPr>
          <w:u w:val="single"/>
        </w:rPr>
        <w:t xml:space="preserve"> Roscoe, Deceased v. Jonathan </w:t>
      </w:r>
      <w:proofErr w:type="spellStart"/>
      <w:r w:rsidRPr="00470CD5">
        <w:rPr>
          <w:u w:val="single"/>
        </w:rPr>
        <w:t>Upp</w:t>
      </w:r>
      <w:proofErr w:type="spellEnd"/>
      <w:r w:rsidRPr="00470CD5">
        <w:rPr>
          <w:u w:val="single"/>
        </w:rPr>
        <w:t xml:space="preserve">, </w:t>
      </w:r>
      <w:proofErr w:type="spellStart"/>
      <w:r w:rsidRPr="00470CD5">
        <w:rPr>
          <w:u w:val="single"/>
        </w:rPr>
        <w:t>Medstat</w:t>
      </w:r>
      <w:proofErr w:type="spellEnd"/>
      <w:r w:rsidRPr="00470CD5">
        <w:rPr>
          <w:u w:val="single"/>
        </w:rPr>
        <w:t xml:space="preserve"> EMS, et al</w:t>
      </w:r>
      <w:r>
        <w:t xml:space="preserve">., the U.S. Court of Appeals for Fifth Circuit (New Orleans) held (2 to 0), unpublished decision, that the trial court judge properly found the plaintiff’s expert witness unqualified because he had no experience in emergency medicine.  Court of Appeals held: “As the district court noted, however, Dr. McNair conceded in his deposition ‘that the standard of care for pulmonology and internal medicine-the disciplines in which he does possess specialized knowledge, experience, and training-is different from the standard of care for paramedicine.’ At the same time, Dr. McNair unequivocally stated that he had no experience or education in paramedicine. Additionally, he failed to cite to any literature or published works pertaining to paramedicine that he might have relied on in formulating his opinions….  We conclude that the district court did not abuse its discretion in determining that Dr. McNair was not qualified by his ‘knowledge, skill, experience, training, or education’ to testify as an expert in this case. </w:t>
      </w:r>
      <w:hyperlink r:id="rId2161" w:history="1">
        <w:r w:rsidRPr="00317BE5">
          <w:rPr>
            <w:rStyle w:val="Hyperlink"/>
            <w:rFonts w:eastAsiaTheme="majorEastAsia"/>
          </w:rPr>
          <w:t>http://www.ca5.uscourts.gov/opinions/unpub/22/22-60374.0.pdf</w:t>
        </w:r>
      </w:hyperlink>
      <w:r>
        <w:t xml:space="preserve"> </w:t>
      </w:r>
    </w:p>
    <w:p w14:paraId="1E30D1FB" w14:textId="77777777" w:rsidR="00F55395" w:rsidRDefault="00F55395" w:rsidP="00F55395">
      <w:pPr>
        <w:pStyle w:val="NormalWeb"/>
        <w:ind w:left="720"/>
      </w:pPr>
      <w:r>
        <w:t>“After local law enforcement officers</w:t>
      </w:r>
      <w:r>
        <w:rPr>
          <w:vertAlign w:val="superscript"/>
        </w:rPr>
        <w:t xml:space="preserve"> </w:t>
      </w:r>
      <w:r>
        <w:t xml:space="preserve">secured the scene, the </w:t>
      </w:r>
      <w:proofErr w:type="spellStart"/>
      <w:r>
        <w:t>MedStat</w:t>
      </w:r>
      <w:proofErr w:type="spellEnd"/>
      <w:r>
        <w:t xml:space="preserve"> crew </w:t>
      </w:r>
      <w:proofErr w:type="gramStart"/>
      <w:r>
        <w:t>made contact with</w:t>
      </w:r>
      <w:proofErr w:type="gramEnd"/>
      <w:r>
        <w:t xml:space="preserve"> Roscoe between 8:12 P.M. and 8:16 P.M. They found him lying in the yard of his girlfriend's house, awake, alert, and oriented, with no active bleeding. [Paramedic Jonathan] </w:t>
      </w:r>
      <w:proofErr w:type="spellStart"/>
      <w:r>
        <w:t>Upp</w:t>
      </w:r>
      <w:proofErr w:type="spellEnd"/>
      <w:r>
        <w:t xml:space="preserve"> noted a gunshot wound to the right side of Roscoe's back near the axillary space and two wounds to the posterior of his right upper arm. At 8:20 P.M., Roscoe was in the ambulance. </w:t>
      </w:r>
      <w:proofErr w:type="spellStart"/>
      <w:r>
        <w:t>Upp</w:t>
      </w:r>
      <w:proofErr w:type="spellEnd"/>
      <w:r>
        <w:t xml:space="preserve"> administered oxygen via a non-rebreather mask and then attempted unsuccessfully to gain vascular access. He next attempted to gain peripheral access via an intraosseous device, but both attempts failed because the catheters bent.  </w:t>
      </w:r>
      <w:proofErr w:type="spellStart"/>
      <w:r>
        <w:t>Upp</w:t>
      </w:r>
      <w:proofErr w:type="spellEnd"/>
      <w:r>
        <w:t xml:space="preserve"> then observed that Roscoe was becoming short of breath and that the right side of his chest was moving less than the left. He suspected that air present in Roscoe's chest cavity was putting pressure on his lung. </w:t>
      </w:r>
      <w:proofErr w:type="spellStart"/>
      <w:r>
        <w:t>Upp</w:t>
      </w:r>
      <w:proofErr w:type="spellEnd"/>
      <w:r>
        <w:t xml:space="preserve"> successfully performed a needle decompression which allowed the air to escape the chest cavity. But then at 8:24 P.M., </w:t>
      </w:r>
      <w:proofErr w:type="spellStart"/>
      <w:r>
        <w:t>Upp</w:t>
      </w:r>
      <w:proofErr w:type="spellEnd"/>
      <w:r>
        <w:t xml:space="preserve"> noted that Roscoe was in respiratory distress and attempted to intubate </w:t>
      </w:r>
      <w:proofErr w:type="gramStart"/>
      <w:r>
        <w:t>him, but</w:t>
      </w:r>
      <w:proofErr w:type="gramEnd"/>
      <w:r>
        <w:t xml:space="preserve"> could not because Roscoe had lockjaw. After </w:t>
      </w:r>
      <w:proofErr w:type="spellStart"/>
      <w:r>
        <w:t>Upp</w:t>
      </w:r>
      <w:proofErr w:type="spellEnd"/>
      <w:r>
        <w:t xml:space="preserve"> and Walda administered medical care to Roscoe at the scene for approximately sixteen minutes, they began transporting him to the hospital at 8:27 P.M. and arrived four minutes later at 8:31 P.M. Roscoe was pronounced dead twenty-five minutes later at 8:56 P.M. The hospital listed Roscoe's cause of death as cardiac arrest due to gunshot wounds.”</w:t>
      </w:r>
    </w:p>
    <w:p w14:paraId="51F44B72" w14:textId="77777777" w:rsidR="00F55395" w:rsidRPr="00FC6E96" w:rsidRDefault="00F55395" w:rsidP="00F55395">
      <w:pPr>
        <w:pStyle w:val="NormalWeb"/>
        <w:rPr>
          <w:b/>
          <w:bCs/>
        </w:rPr>
      </w:pPr>
      <w:r w:rsidRPr="00FC6E96">
        <w:rPr>
          <w:b/>
          <w:bCs/>
        </w:rPr>
        <w:t>Legal Lesson Learned:</w:t>
      </w:r>
      <w:r>
        <w:rPr>
          <w:b/>
          <w:bCs/>
        </w:rPr>
        <w:t xml:space="preserve"> An “expert witness” must have experience directly related to skills required of paramedics.</w:t>
      </w:r>
    </w:p>
    <w:p w14:paraId="23FF3646" w14:textId="77777777" w:rsidR="00F55395" w:rsidRDefault="00F55395" w:rsidP="00F55395">
      <w:pPr>
        <w:pStyle w:val="NormalWeb"/>
      </w:pPr>
    </w:p>
    <w:p w14:paraId="1A8C7219" w14:textId="701DD993" w:rsidR="00F55395" w:rsidRDefault="00F55395" w:rsidP="002B1283">
      <w:pPr>
        <w:rPr>
          <w:rFonts w:ascii="Arial Black" w:hAnsi="Arial Black"/>
          <w:b/>
          <w:bCs/>
          <w:sz w:val="28"/>
          <w:szCs w:val="28"/>
        </w:rPr>
      </w:pPr>
      <w:r>
        <w:rPr>
          <w:rFonts w:ascii="Arial Black" w:hAnsi="Arial Black"/>
          <w:b/>
          <w:bCs/>
          <w:sz w:val="28"/>
          <w:szCs w:val="28"/>
        </w:rPr>
        <w:t>13-136</w:t>
      </w:r>
    </w:p>
    <w:p w14:paraId="214CBAE7" w14:textId="77777777" w:rsidR="00F55395" w:rsidRPr="00024F5F" w:rsidRDefault="00F55395" w:rsidP="00F55395">
      <w:pPr>
        <w:pStyle w:val="NormalWeb"/>
        <w:rPr>
          <w:rFonts w:ascii="Arial Black" w:hAnsi="Arial Black"/>
          <w:b/>
          <w:bCs/>
          <w:sz w:val="28"/>
          <w:szCs w:val="28"/>
        </w:rPr>
      </w:pPr>
      <w:r>
        <w:rPr>
          <w:rFonts w:ascii="Arial Black" w:hAnsi="Arial Black"/>
          <w:b/>
          <w:bCs/>
          <w:sz w:val="28"/>
          <w:szCs w:val="28"/>
        </w:rPr>
        <w:t xml:space="preserve">WV: PIPELINE EMPLOYEE BROKE ANKLE – CAN’T SUE CO. EMT OR CO. FOR NOT PROMPTLY CALLING AMBULANCE </w:t>
      </w:r>
    </w:p>
    <w:p w14:paraId="17AAF7DA" w14:textId="77777777" w:rsidR="00F55395" w:rsidRDefault="00F55395" w:rsidP="00F55395">
      <w:pPr>
        <w:pStyle w:val="NormalWeb"/>
        <w:rPr>
          <w:b/>
          <w:bCs/>
        </w:rPr>
      </w:pPr>
      <w:r>
        <w:t xml:space="preserve">On March 6, 2023, in </w:t>
      </w:r>
      <w:r w:rsidRPr="00024F5F">
        <w:rPr>
          <w:u w:val="single"/>
        </w:rPr>
        <w:t>Precision Pipeline, LLC, et al. v. Mark Weese</w:t>
      </w:r>
      <w:r>
        <w:t xml:space="preserve">, the Supreme Court of Appeals of West Virginia held (5 to 0) that a pipeline work, who suffered a broken ankle and a torn Achilles tendon, and received workers comp coverage, cannot sue the company or the company’s EMT, even if he was not taken directly to a hospital.  The Court reversed the trial court judge that had denied the employer and EMT’s motion to dismiss. Court held:  “Though respondent claims that Precision's negligence in hiring, retaining, and supervising Petitioner Vanessa Stromberg as an EMT is not the type of employer negligence contemplated by our workers' compensation law such that immunity should bar his claim, he cites to no supporting legal authority for this proposition and, indeed, ignores the clear and unambiguous language of West Virginia Code § 23-2-6, which dictates that immunity does apply to respondent's claim. *** As such, Stromberg and her fellow employees are immune from suit.” </w:t>
      </w:r>
      <w:hyperlink r:id="rId2162" w:history="1">
        <w:r w:rsidRPr="00764765">
          <w:rPr>
            <w:rStyle w:val="Hyperlink"/>
            <w:rFonts w:eastAsiaTheme="majorEastAsia"/>
          </w:rPr>
          <w:t>https://law.justia.com/cases/west-virginia/supreme-court/2023/21-0841.html</w:t>
        </w:r>
      </w:hyperlink>
      <w:r>
        <w:t xml:space="preserve"> </w:t>
      </w:r>
    </w:p>
    <w:p w14:paraId="14F3280F" w14:textId="77777777" w:rsidR="00F55395" w:rsidRDefault="00F55395" w:rsidP="00F55395">
      <w:pPr>
        <w:pStyle w:val="NormalWeb"/>
        <w:ind w:left="720"/>
      </w:pPr>
      <w:r>
        <w:t xml:space="preserve">“Respondent was employed by Precision at a pipeline construction project in Marshall County on April 12, 2019, when he severely injured his left leg while dragging a fuel hose. Witnesses to respondent's injury called for assistance and Petitioner Vanessa Stromberg, the site Emergency Medical Technician (EMT) and a Precision employee, responded. Respondent alleges that, despite her title, Ms. Stromberg is not a licensed EMT; that she ‘provided no actual medical assistance or intervention on </w:t>
      </w:r>
      <w:proofErr w:type="gramStart"/>
      <w:r>
        <w:t>site;’</w:t>
      </w:r>
      <w:proofErr w:type="gramEnd"/>
      <w:r>
        <w:t xml:space="preserve"> and that ‘no ambulance or outside medical assistance’ was summoned. According to </w:t>
      </w:r>
      <w:proofErr w:type="gramStart"/>
      <w:r>
        <w:t>respondent, ‘</w:t>
      </w:r>
      <w:proofErr w:type="gramEnd"/>
      <w:r>
        <w:t xml:space="preserve">worksite directives, plans to address injuries, public policy to treat medical emergencies, and West Virginia Code § 21-3-1’ required that </w:t>
      </w:r>
      <w:proofErr w:type="gramStart"/>
      <w:r>
        <w:t>respondent ‘</w:t>
      </w:r>
      <w:proofErr w:type="gramEnd"/>
      <w:r>
        <w:t xml:space="preserve">be taken to the nearest medical facility for immediate care.’ Although respondent was placed ‘into a pickup truck for transportation to a medical facility,’ he was taken, instead, to Precision's ‘yard’ or ‘office’ located in </w:t>
      </w:r>
      <w:proofErr w:type="spellStart"/>
      <w:r>
        <w:t>McMechen</w:t>
      </w:r>
      <w:proofErr w:type="spellEnd"/>
      <w:r>
        <w:t xml:space="preserve">, West Virginia, where he was transferred to another vehicle driven by a Precision employee and ultimately transported to a MedExpress urgent care </w:t>
      </w:r>
      <w:proofErr w:type="gramStart"/>
      <w:r>
        <w:t>facility.”</w:t>
      </w:r>
      <w:proofErr w:type="gramEnd"/>
    </w:p>
    <w:p w14:paraId="4F549453" w14:textId="77777777" w:rsidR="00F55395" w:rsidRPr="00935A96" w:rsidRDefault="00F55395" w:rsidP="00F55395">
      <w:pPr>
        <w:pStyle w:val="NormalWeb"/>
        <w:rPr>
          <w:b/>
          <w:bCs/>
        </w:rPr>
      </w:pPr>
      <w:r w:rsidRPr="00935A96">
        <w:rPr>
          <w:b/>
          <w:bCs/>
        </w:rPr>
        <w:t xml:space="preserve">Legal Lesson Learned: </w:t>
      </w:r>
      <w:proofErr w:type="gramStart"/>
      <w:r>
        <w:rPr>
          <w:b/>
          <w:bCs/>
        </w:rPr>
        <w:t>Workers</w:t>
      </w:r>
      <w:proofErr w:type="gramEnd"/>
      <w:r>
        <w:rPr>
          <w:b/>
          <w:bCs/>
        </w:rPr>
        <w:t xml:space="preserve"> comp is sole remedy for injured employee in most jurisdictions, unless prove an “intentional tort.” </w:t>
      </w:r>
    </w:p>
    <w:p w14:paraId="7ACB1BED" w14:textId="77777777" w:rsidR="00F55395" w:rsidRDefault="00F55395" w:rsidP="00F55395">
      <w:pPr>
        <w:pStyle w:val="NormalWeb"/>
        <w:ind w:left="720"/>
      </w:pPr>
      <w:r w:rsidRPr="00D23010">
        <w:t>Note: In Ohio, for example</w:t>
      </w:r>
      <w:r>
        <w:t>, Ohio Revised Code 2745.01 provides.</w:t>
      </w:r>
      <w:r w:rsidRPr="00D23010">
        <w:t xml:space="preserve"> </w:t>
      </w:r>
      <w:hyperlink r:id="rId2163" w:history="1">
        <w:r w:rsidRPr="00764765">
          <w:rPr>
            <w:rStyle w:val="Hyperlink"/>
            <w:rFonts w:eastAsiaTheme="majorEastAsia"/>
          </w:rPr>
          <w:t>https://codes.ohio.gov/ohio-revised-code/section-2745.01</w:t>
        </w:r>
      </w:hyperlink>
      <w:r>
        <w:t xml:space="preserve"> </w:t>
      </w:r>
    </w:p>
    <w:p w14:paraId="5CFB42E4" w14:textId="77777777" w:rsidR="00F55395" w:rsidRPr="00D23010" w:rsidRDefault="00F55395" w:rsidP="00F55395">
      <w:pPr>
        <w:pStyle w:val="NormalWeb"/>
        <w:ind w:left="720"/>
      </w:pPr>
      <w:r>
        <w:t>“</w:t>
      </w:r>
      <w:r w:rsidRPr="00D23010">
        <w:t>(A) In an action brought against an employer by an employee, or by the dependent survivors of a deceased employee, for damages resulting from an intentional tort committed by the employer during the course of employment, the employer shall not be liable unless the plaintiff proves that the employer committed the tortious act with the intent to injure another or with the belief that the injury was substantially certain to occur.</w:t>
      </w:r>
      <w:r>
        <w:t xml:space="preserve">” </w:t>
      </w:r>
    </w:p>
    <w:p w14:paraId="4430DAF5" w14:textId="77777777" w:rsidR="00F55395" w:rsidRDefault="00F55395" w:rsidP="002B1283">
      <w:pPr>
        <w:rPr>
          <w:rFonts w:ascii="Arial Black" w:hAnsi="Arial Black"/>
          <w:b/>
          <w:bCs/>
          <w:sz w:val="28"/>
          <w:szCs w:val="28"/>
        </w:rPr>
      </w:pPr>
    </w:p>
    <w:p w14:paraId="7B85F064" w14:textId="77777777" w:rsidR="00F55395" w:rsidRDefault="00F55395" w:rsidP="002B1283">
      <w:pPr>
        <w:rPr>
          <w:rFonts w:ascii="Arial Black" w:hAnsi="Arial Black"/>
          <w:b/>
          <w:bCs/>
          <w:sz w:val="28"/>
          <w:szCs w:val="28"/>
        </w:rPr>
      </w:pPr>
    </w:p>
    <w:p w14:paraId="353197B3" w14:textId="05467868" w:rsidR="008A4533" w:rsidRDefault="008A4533" w:rsidP="002B1283">
      <w:pPr>
        <w:rPr>
          <w:rFonts w:ascii="Arial Black" w:hAnsi="Arial Black"/>
          <w:b/>
          <w:bCs/>
          <w:sz w:val="28"/>
          <w:szCs w:val="28"/>
        </w:rPr>
      </w:pPr>
      <w:r>
        <w:rPr>
          <w:rFonts w:ascii="Arial Black" w:hAnsi="Arial Black"/>
          <w:b/>
          <w:bCs/>
          <w:sz w:val="28"/>
          <w:szCs w:val="28"/>
        </w:rPr>
        <w:t>13-13</w:t>
      </w:r>
      <w:r w:rsidR="005C3F7B">
        <w:rPr>
          <w:rFonts w:ascii="Arial Black" w:hAnsi="Arial Black"/>
          <w:b/>
          <w:bCs/>
          <w:sz w:val="28"/>
          <w:szCs w:val="28"/>
        </w:rPr>
        <w:t>5</w:t>
      </w:r>
    </w:p>
    <w:p w14:paraId="0C66003A" w14:textId="77777777" w:rsidR="008A4533" w:rsidRDefault="008A4533" w:rsidP="008A4533">
      <w:pPr>
        <w:pStyle w:val="NormalWeb"/>
        <w:rPr>
          <w:rFonts w:ascii="Arial Black" w:hAnsi="Arial Black"/>
          <w:sz w:val="28"/>
          <w:szCs w:val="28"/>
        </w:rPr>
      </w:pPr>
      <w:r>
        <w:rPr>
          <w:rFonts w:ascii="Arial Black" w:hAnsi="Arial Black"/>
          <w:sz w:val="28"/>
          <w:szCs w:val="28"/>
        </w:rPr>
        <w:t>WA: FD WENT WRONG ADDRESS – 16 MIN. DELAY, BRAIN INJURY– CITY NO “PUBLIC DUTY DOCTRINE” IMMUNITY</w:t>
      </w:r>
    </w:p>
    <w:p w14:paraId="40236572" w14:textId="77777777" w:rsidR="008A4533" w:rsidRDefault="008A4533" w:rsidP="008A4533">
      <w:pPr>
        <w:pStyle w:val="NormalWeb"/>
      </w:pPr>
      <w:r>
        <w:t xml:space="preserve">On Jan. 12, 2023, in </w:t>
      </w:r>
      <w:r w:rsidRPr="00031673">
        <w:rPr>
          <w:u w:val="single"/>
        </w:rPr>
        <w:t>Delaura Norg, as Litigation Guardian ad Litem for her husband, Fred B. Norg v. City of Seattle</w:t>
      </w:r>
      <w:r>
        <w:t xml:space="preserve">, the Supreme Court of Washington, held (5 to 4; </w:t>
      </w:r>
      <w:proofErr w:type="spellStart"/>
      <w:r>
        <w:t>en</w:t>
      </w:r>
      <w:proofErr w:type="spellEnd"/>
      <w:r>
        <w:t xml:space="preserve"> banc – all the Justices) that the City does not have immunity under the “public duty doctrine” because the City had an “individualized, actionable duty of reasonable care when it undertook to respond to their 911 call.” On Feb. 7, 2017, Mrs. Norg called 911 at 4:42 am and reported husband was making loud sounds, and eyes were wide open and glassy.  Dispatch notified Seattle FD and units went in serve at 4:44 from one station, and 4:46 at another – but mistakenly went to a nursing home near the Norg residence.  They ultimately arrived at correct address 16 minutes after the initial call to 911. Fred Norg was transported to the hospital, where he was diagnosed with a heart attack. He survived but allegedly suffered "severe and permanent injuries," including brain damage due to a lack of oxygen, resulting in "cognitive deficits and impaired vision, balance[,] and ambulation.” The Court held: “</w:t>
      </w:r>
      <w:r>
        <w:rPr>
          <w:rStyle w:val="markedcontent"/>
          <w:rFonts w:eastAsiaTheme="majorEastAsia"/>
        </w:rPr>
        <w:t xml:space="preserve">The </w:t>
      </w:r>
      <w:proofErr w:type="spellStart"/>
      <w:r>
        <w:rPr>
          <w:rStyle w:val="markedcontent"/>
          <w:rFonts w:eastAsiaTheme="majorEastAsia"/>
        </w:rPr>
        <w:t>Norgs</w:t>
      </w:r>
      <w:proofErr w:type="spellEnd"/>
      <w:r>
        <w:rPr>
          <w:rStyle w:val="markedcontent"/>
          <w:rFonts w:eastAsiaTheme="majorEastAsia"/>
        </w:rPr>
        <w:t xml:space="preserve"> have established that the City owed them an individualized, actionable duty of reasonable care when it undertook to respond to their 911 call. The </w:t>
      </w:r>
      <w:proofErr w:type="spellStart"/>
      <w:r>
        <w:rPr>
          <w:rStyle w:val="markedcontent"/>
          <w:rFonts w:eastAsiaTheme="majorEastAsia"/>
        </w:rPr>
        <w:t>Norgs</w:t>
      </w:r>
      <w:proofErr w:type="spellEnd"/>
      <w:r>
        <w:rPr>
          <w:rStyle w:val="markedcontent"/>
          <w:rFonts w:eastAsiaTheme="majorEastAsia"/>
        </w:rPr>
        <w:t>’ negligence claim is based solely on the City’s alleged breach of this</w:t>
      </w:r>
      <w:r>
        <w:br/>
      </w:r>
      <w:r>
        <w:rPr>
          <w:rStyle w:val="markedcontent"/>
          <w:rFonts w:eastAsiaTheme="majorEastAsia"/>
        </w:rPr>
        <w:t>common law duty. Therefore, although we express no opinion as to whether the</w:t>
      </w:r>
      <w:r>
        <w:br/>
      </w:r>
      <w:proofErr w:type="spellStart"/>
      <w:r>
        <w:rPr>
          <w:rStyle w:val="markedcontent"/>
          <w:rFonts w:eastAsiaTheme="majorEastAsia"/>
        </w:rPr>
        <w:t>Norgs</w:t>
      </w:r>
      <w:proofErr w:type="spellEnd"/>
      <w:r>
        <w:rPr>
          <w:rStyle w:val="markedcontent"/>
          <w:rFonts w:eastAsiaTheme="majorEastAsia"/>
        </w:rPr>
        <w:t xml:space="preserve"> </w:t>
      </w:r>
      <w:proofErr w:type="gramStart"/>
      <w:r>
        <w:rPr>
          <w:rStyle w:val="markedcontent"/>
          <w:rFonts w:eastAsiaTheme="majorEastAsia"/>
        </w:rPr>
        <w:t>will be ultimately be</w:t>
      </w:r>
      <w:proofErr w:type="gramEnd"/>
      <w:r>
        <w:rPr>
          <w:rStyle w:val="markedcontent"/>
          <w:rFonts w:eastAsiaTheme="majorEastAsia"/>
        </w:rPr>
        <w:t xml:space="preserve"> able to prevail on their claim, we hold that the public</w:t>
      </w:r>
      <w:r>
        <w:br/>
      </w:r>
      <w:r>
        <w:rPr>
          <w:rStyle w:val="markedcontent"/>
          <w:rFonts w:eastAsiaTheme="majorEastAsia"/>
        </w:rPr>
        <w:t>duty doctrine does not apply.”</w:t>
      </w:r>
      <w:r>
        <w:t xml:space="preserve"> </w:t>
      </w:r>
      <w:hyperlink r:id="rId2164" w:history="1">
        <w:r w:rsidRPr="00E03083">
          <w:rPr>
            <w:rStyle w:val="Hyperlink"/>
          </w:rPr>
          <w:t>https://www.courts.wa.gov/opinions/pdf/1001002.pdf</w:t>
        </w:r>
      </w:hyperlink>
      <w:r>
        <w:t xml:space="preserve"> </w:t>
      </w:r>
    </w:p>
    <w:p w14:paraId="28F79EFB" w14:textId="77777777" w:rsidR="008A4533" w:rsidRDefault="008A4533" w:rsidP="008A4533">
      <w:pPr>
        <w:pStyle w:val="NormalWeb"/>
        <w:ind w:left="720"/>
      </w:pPr>
      <w:r>
        <w:t xml:space="preserve">“As discussed above, to determine whether the public duty doctrine applies to this case, we must determine what duty the </w:t>
      </w:r>
      <w:proofErr w:type="gramStart"/>
      <w:r>
        <w:t>City</w:t>
      </w:r>
      <w:proofErr w:type="gramEnd"/>
      <w:r>
        <w:t xml:space="preserve"> allegedly breached and whether that duty was owed to the </w:t>
      </w:r>
      <w:proofErr w:type="spellStart"/>
      <w:r>
        <w:t>Norgs</w:t>
      </w:r>
      <w:proofErr w:type="spellEnd"/>
      <w:r>
        <w:t xml:space="preserve"> individually or to the </w:t>
      </w:r>
      <w:proofErr w:type="gramStart"/>
      <w:r>
        <w:t>general public</w:t>
      </w:r>
      <w:proofErr w:type="gramEnd"/>
      <w:r>
        <w:t xml:space="preserve">. It is clear from the nature of the </w:t>
      </w:r>
      <w:proofErr w:type="spellStart"/>
      <w:r>
        <w:t>Norgs</w:t>
      </w:r>
      <w:proofErr w:type="spellEnd"/>
      <w:r>
        <w:t xml:space="preserve">' claim that it is based on an alleged breach of the City's common law duty to use reasonable care, which was owed to the </w:t>
      </w:r>
      <w:proofErr w:type="spellStart"/>
      <w:r>
        <w:t>Norgs</w:t>
      </w:r>
      <w:proofErr w:type="spellEnd"/>
      <w:r>
        <w:t xml:space="preserve"> individually. Therefore, the public duty doctrine does not apply as a matter of law.”</w:t>
      </w:r>
    </w:p>
    <w:p w14:paraId="3E9AD17C" w14:textId="77777777" w:rsidR="008A4533" w:rsidRDefault="008A4533" w:rsidP="008A4533">
      <w:pPr>
        <w:pStyle w:val="NormalWeb"/>
      </w:pPr>
      <w:r>
        <w:t xml:space="preserve">Dissent [Justice Barbara Madsen, joined by 3 other Justices]: </w:t>
      </w:r>
    </w:p>
    <w:p w14:paraId="546354C4" w14:textId="77777777" w:rsidR="008A4533" w:rsidRDefault="008A4533" w:rsidP="008A4533">
      <w:pPr>
        <w:pStyle w:val="NormalWeb"/>
        <w:ind w:left="720"/>
        <w:rPr>
          <w:rStyle w:val="markedcontent"/>
          <w:rFonts w:eastAsiaTheme="majorEastAsia"/>
        </w:rPr>
      </w:pPr>
      <w:r>
        <w:t>“</w:t>
      </w:r>
      <w:r>
        <w:rPr>
          <w:rStyle w:val="markedcontent"/>
          <w:rFonts w:eastAsiaTheme="majorEastAsia"/>
        </w:rPr>
        <w:t xml:space="preserve">Rather than straightforwardly applying precedent, the majority relies on pronouncements made in concurrences from past cases and accepts them as settled law, rewriting the public duty doctrine to apply only when duties are imposed on government entities by statute or ordinance—creating virtually limitless liability. *** The </w:t>
      </w:r>
      <w:proofErr w:type="spellStart"/>
      <w:r>
        <w:rPr>
          <w:rStyle w:val="markedcontent"/>
          <w:rFonts w:eastAsiaTheme="majorEastAsia"/>
        </w:rPr>
        <w:t>Norgs</w:t>
      </w:r>
      <w:proofErr w:type="spellEnd"/>
      <w:r>
        <w:rPr>
          <w:rStyle w:val="markedcontent"/>
          <w:rFonts w:eastAsiaTheme="majorEastAsia"/>
        </w:rPr>
        <w:t xml:space="preserve"> have not shown that any duty was owed to them as individuals….  A broad and general responsibility to the public rather than to individual members of the public does not create a duty of care…. I would hold that the public duty doctrine is available to the city of Seattle…. The public duty doctrine applies when a public entity is performing a governmental function.”</w:t>
      </w:r>
    </w:p>
    <w:p w14:paraId="01B7D16D" w14:textId="77777777" w:rsidR="008A4533" w:rsidRDefault="008A4533" w:rsidP="008A4533">
      <w:pPr>
        <w:pStyle w:val="NormalWeb"/>
        <w:rPr>
          <w:b/>
          <w:bCs/>
        </w:rPr>
      </w:pPr>
      <w:r w:rsidRPr="00777A43">
        <w:rPr>
          <w:b/>
          <w:bCs/>
        </w:rPr>
        <w:t>Legal Lesson Learned:</w:t>
      </w:r>
      <w:r>
        <w:rPr>
          <w:b/>
          <w:bCs/>
        </w:rPr>
        <w:t xml:space="preserve"> “Public duty doctrine” has generally been a strong defense for public employers. </w:t>
      </w:r>
    </w:p>
    <w:p w14:paraId="640216C1" w14:textId="3F2FDB1B" w:rsidR="008A4533" w:rsidRDefault="008A4533" w:rsidP="002B1283">
      <w:pPr>
        <w:rPr>
          <w:rFonts w:ascii="Arial Black" w:hAnsi="Arial Black"/>
          <w:b/>
          <w:bCs/>
          <w:sz w:val="28"/>
          <w:szCs w:val="28"/>
        </w:rPr>
      </w:pPr>
    </w:p>
    <w:p w14:paraId="29F5715A" w14:textId="3B7F00DC" w:rsidR="008A4533" w:rsidRDefault="008A4533" w:rsidP="002B1283">
      <w:pPr>
        <w:rPr>
          <w:rFonts w:ascii="Arial Black" w:hAnsi="Arial Black"/>
          <w:b/>
          <w:bCs/>
          <w:sz w:val="28"/>
          <w:szCs w:val="28"/>
        </w:rPr>
      </w:pPr>
      <w:r>
        <w:rPr>
          <w:rFonts w:ascii="Arial Black" w:hAnsi="Arial Black"/>
          <w:b/>
          <w:bCs/>
          <w:sz w:val="28"/>
          <w:szCs w:val="28"/>
        </w:rPr>
        <w:t>13-13</w:t>
      </w:r>
      <w:r w:rsidR="005C3F7B">
        <w:rPr>
          <w:rFonts w:ascii="Arial Black" w:hAnsi="Arial Black"/>
          <w:b/>
          <w:bCs/>
          <w:sz w:val="28"/>
          <w:szCs w:val="28"/>
        </w:rPr>
        <w:t>4</w:t>
      </w:r>
    </w:p>
    <w:p w14:paraId="6298455E" w14:textId="77777777" w:rsidR="008A4533" w:rsidRDefault="008A4533" w:rsidP="008A4533">
      <w:pPr>
        <w:pStyle w:val="NormalWeb"/>
        <w:rPr>
          <w:rFonts w:ascii="Arial Black" w:hAnsi="Arial Black"/>
          <w:b/>
          <w:bCs/>
          <w:sz w:val="28"/>
          <w:szCs w:val="28"/>
        </w:rPr>
      </w:pPr>
      <w:r>
        <w:rPr>
          <w:rFonts w:ascii="Arial Black" w:hAnsi="Arial Black"/>
          <w:b/>
          <w:bCs/>
          <w:sz w:val="28"/>
          <w:szCs w:val="28"/>
        </w:rPr>
        <w:t>IA: EMS - SPIT HOOD ON MAN ARRESTED DOMESTIC VIOLENCE – PROPERLY USED SENTENCING - 2-YRS JAIL</w:t>
      </w:r>
    </w:p>
    <w:p w14:paraId="06AA1CCA" w14:textId="77777777" w:rsidR="008A4533" w:rsidRPr="003E7D5E" w:rsidRDefault="008A4533" w:rsidP="008A4533">
      <w:pPr>
        <w:pStyle w:val="NormalWeb"/>
        <w:rPr>
          <w:b/>
          <w:bCs/>
        </w:rPr>
      </w:pPr>
      <w:r w:rsidRPr="003D19B9">
        <w:t xml:space="preserve">On </w:t>
      </w:r>
      <w:r>
        <w:t xml:space="preserve">Jan. 11, 2023, in </w:t>
      </w:r>
      <w:r w:rsidRPr="003D19B9">
        <w:rPr>
          <w:u w:val="single"/>
        </w:rPr>
        <w:t>State of Iowa v. Spencer Jerrick Carter</w:t>
      </w:r>
      <w:r>
        <w:t xml:space="preserve">, the Court of Appeals of Iowa held (3 to 0) that the Prosecutor at time of sentencing properly advised the trial court judge that two EMS had to use a spit hood when transporting the defendant.  The defendant had pled guilty to assaulting two police officers, and two firefighters on Oct. 14, 2021.  On appeal, Carter contends the prosecutor's relaying of information about use of spit hood constituted improper victim statements and he is entitled to resentencing. The Court of Appeals disagreed, finding “there is nothing in the court's reasons to indicate it considered improper factors.” </w:t>
      </w:r>
      <w:hyperlink r:id="rId2165" w:history="1">
        <w:r w:rsidRPr="00912476">
          <w:rPr>
            <w:rStyle w:val="Hyperlink"/>
          </w:rPr>
          <w:t>https://law.justia.com/cases/iowa/court-of-appeals/2023/22-0302.html</w:t>
        </w:r>
      </w:hyperlink>
    </w:p>
    <w:p w14:paraId="471F2B9A" w14:textId="77777777" w:rsidR="008A4533" w:rsidRPr="003E7D5E" w:rsidRDefault="008A4533" w:rsidP="008A4533">
      <w:pPr>
        <w:pStyle w:val="NormalWeb"/>
        <w:ind w:left="720"/>
        <w:rPr>
          <w:b/>
          <w:bCs/>
        </w:rPr>
      </w:pPr>
      <w:r>
        <w:t xml:space="preserve">“Officers restrained the defendant, including by using personal defense spray, and the defendant continued to refuse to cooperate with police attempts to move him. Officers requested assistance from the Dubuque Fire Department, and as the defendant was strapped to a cot and prepared to </w:t>
      </w:r>
      <w:proofErr w:type="gramStart"/>
      <w:r>
        <w:t>move</w:t>
      </w:r>
      <w:proofErr w:type="gramEnd"/>
      <w:r>
        <w:t xml:space="preserve"> he told Officer Warner, "I will kill you and your family." The defendant proceeded to spit on two different firefighters as he was being carried away, Firefighters </w:t>
      </w:r>
      <w:r w:rsidRPr="003E7D5E">
        <w:rPr>
          <w:rStyle w:val="Strong"/>
        </w:rPr>
        <w:t>Todd Sieverding and Steve Haupert.</w:t>
      </w:r>
    </w:p>
    <w:p w14:paraId="11D891F5" w14:textId="77777777" w:rsidR="008A4533" w:rsidRDefault="008A4533" w:rsidP="008A4533">
      <w:pPr>
        <w:pStyle w:val="NormalWeb"/>
      </w:pPr>
      <w:r>
        <w:t>The prosecutor at sentencing hearing told the Court:</w:t>
      </w:r>
    </w:p>
    <w:p w14:paraId="3C6423C5" w14:textId="77777777" w:rsidR="008A4533" w:rsidRDefault="008A4533" w:rsidP="008A4533">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0B135C">
        <w:rPr>
          <w:rFonts w:ascii="Times New Roman" w:eastAsia="Times New Roman" w:hAnsi="Times New Roman"/>
          <w:sz w:val="24"/>
          <w:szCs w:val="24"/>
        </w:rPr>
        <w:t xml:space="preserve">Firefighter Todd Sieverding did say that he wanted to relay that placing a spit hood on a subject is sort of the last resort for what they do. It's demeaning, not only for the subject, but for the firefighters to do that, and if they can avoid using a spit hood, in any, in any sort of way, they would avoid doing so, but they weren't able to do that here because the Defendant continued to resist, even as they were trying to help him. Their hands were tied up holding the cot and the patient, but </w:t>
      </w:r>
      <w:proofErr w:type="gramStart"/>
      <w:r w:rsidRPr="000B135C">
        <w:rPr>
          <w:rFonts w:ascii="Times New Roman" w:eastAsia="Times New Roman" w:hAnsi="Times New Roman"/>
          <w:sz w:val="24"/>
          <w:szCs w:val="24"/>
        </w:rPr>
        <w:t>in order to</w:t>
      </w:r>
      <w:proofErr w:type="gramEnd"/>
      <w:r w:rsidRPr="000B135C">
        <w:rPr>
          <w:rFonts w:ascii="Times New Roman" w:eastAsia="Times New Roman" w:hAnsi="Times New Roman"/>
          <w:sz w:val="24"/>
          <w:szCs w:val="24"/>
        </w:rPr>
        <w:t xml:space="preserve"> make sure he caused no harm to himself or to us, we used the spit </w:t>
      </w:r>
      <w:proofErr w:type="gramStart"/>
      <w:r w:rsidRPr="000B135C">
        <w:rPr>
          <w:rFonts w:ascii="Times New Roman" w:eastAsia="Times New Roman" w:hAnsi="Times New Roman"/>
          <w:sz w:val="24"/>
          <w:szCs w:val="24"/>
        </w:rPr>
        <w:t>hood.</w:t>
      </w:r>
      <w:r>
        <w:rPr>
          <w:rFonts w:ascii="Times New Roman" w:eastAsia="Times New Roman" w:hAnsi="Times New Roman"/>
          <w:sz w:val="24"/>
          <w:szCs w:val="24"/>
        </w:rPr>
        <w:t>”</w:t>
      </w:r>
      <w:proofErr w:type="gramEnd"/>
    </w:p>
    <w:p w14:paraId="68BD0625" w14:textId="77777777" w:rsidR="008A4533" w:rsidRPr="003E7D5E" w:rsidRDefault="008A4533" w:rsidP="008A4533">
      <w:pPr>
        <w:pStyle w:val="NormalWeb"/>
        <w:rPr>
          <w:b/>
          <w:bCs/>
        </w:rPr>
      </w:pPr>
      <w:r w:rsidRPr="003E7D5E">
        <w:rPr>
          <w:b/>
          <w:bCs/>
        </w:rPr>
        <w:t>Legal Lesson Learned:</w:t>
      </w:r>
      <w:r>
        <w:rPr>
          <w:b/>
          <w:bCs/>
        </w:rPr>
        <w:t xml:space="preserve"> Spitting on fire / EMS is an assault. </w:t>
      </w:r>
    </w:p>
    <w:p w14:paraId="36A1A185" w14:textId="77777777" w:rsidR="008A4533" w:rsidRDefault="008A4533" w:rsidP="008A4533">
      <w:pPr>
        <w:pStyle w:val="NormalWeb"/>
      </w:pPr>
    </w:p>
    <w:p w14:paraId="5E4044B2" w14:textId="7D224836" w:rsidR="008A4533" w:rsidRDefault="005C3F7B" w:rsidP="002B1283">
      <w:pPr>
        <w:rPr>
          <w:rFonts w:ascii="Arial Black" w:hAnsi="Arial Black"/>
          <w:b/>
          <w:bCs/>
          <w:sz w:val="28"/>
          <w:szCs w:val="28"/>
        </w:rPr>
      </w:pPr>
      <w:r>
        <w:rPr>
          <w:rFonts w:ascii="Arial Black" w:hAnsi="Arial Black"/>
          <w:b/>
          <w:bCs/>
          <w:sz w:val="28"/>
          <w:szCs w:val="28"/>
        </w:rPr>
        <w:t>13-133</w:t>
      </w:r>
    </w:p>
    <w:p w14:paraId="5A80E359" w14:textId="63882BA3" w:rsidR="005C3F7B" w:rsidRDefault="005C3F7B" w:rsidP="005C3F7B">
      <w:pPr>
        <w:pStyle w:val="NormalWeb"/>
        <w:rPr>
          <w:rFonts w:ascii="Arial Black" w:hAnsi="Arial Black"/>
          <w:sz w:val="28"/>
          <w:szCs w:val="28"/>
        </w:rPr>
      </w:pPr>
      <w:r>
        <w:rPr>
          <w:rFonts w:ascii="Arial Black" w:hAnsi="Arial Black"/>
          <w:sz w:val="28"/>
          <w:szCs w:val="28"/>
        </w:rPr>
        <w:t>NY: PATIENT FE</w:t>
      </w:r>
      <w:r w:rsidR="0004072E">
        <w:rPr>
          <w:rFonts w:ascii="Arial Black" w:hAnsi="Arial Black"/>
          <w:sz w:val="28"/>
          <w:szCs w:val="28"/>
        </w:rPr>
        <w:t>L</w:t>
      </w:r>
      <w:r>
        <w:rPr>
          <w:rFonts w:ascii="Arial Black" w:hAnsi="Arial Black"/>
          <w:sz w:val="28"/>
          <w:szCs w:val="28"/>
        </w:rPr>
        <w:t>L OFF STRETCHER – NO SHOULDER STRAPS - DIED – EMS FIRED FALSE INFORMATION</w:t>
      </w:r>
    </w:p>
    <w:p w14:paraId="1D9EA586" w14:textId="77777777" w:rsidR="005C3F7B" w:rsidRDefault="005C3F7B" w:rsidP="005C3F7B">
      <w:pPr>
        <w:pStyle w:val="NormalWeb"/>
        <w:rPr>
          <w:b/>
          <w:bCs/>
        </w:rPr>
      </w:pPr>
      <w:r>
        <w:t xml:space="preserve">On Jan. 5, 2023, </w:t>
      </w:r>
      <w:r>
        <w:rPr>
          <w:u w:val="single"/>
        </w:rPr>
        <w:t xml:space="preserve">In </w:t>
      </w:r>
      <w:proofErr w:type="gramStart"/>
      <w:r>
        <w:rPr>
          <w:u w:val="single"/>
        </w:rPr>
        <w:t>The</w:t>
      </w:r>
      <w:proofErr w:type="gramEnd"/>
      <w:r>
        <w:rPr>
          <w:u w:val="single"/>
        </w:rPr>
        <w:t xml:space="preserve"> Matter of Nicholas A. Walker v. City of Plattsburg, et al</w:t>
      </w:r>
      <w:r>
        <w:t xml:space="preserve">., the Supreme Court of New York, Third Department. Held (3 to 0) that the </w:t>
      </w:r>
      <w:proofErr w:type="gramStart"/>
      <w:r>
        <w:t>Mayor</w:t>
      </w:r>
      <w:proofErr w:type="gramEnd"/>
      <w:r>
        <w:t xml:space="preserve"> had authority to fire the medic in Jan. 2021, since video of the scene Nov. 21, </w:t>
      </w:r>
      <w:proofErr w:type="gramStart"/>
      <w:r>
        <w:t>2018</w:t>
      </w:r>
      <w:proofErr w:type="gramEnd"/>
      <w:r>
        <w:t xml:space="preserve"> showed he lied to police investigating the incident, </w:t>
      </w:r>
      <w:proofErr w:type="gramStart"/>
      <w:r>
        <w:t>and also</w:t>
      </w:r>
      <w:proofErr w:type="gramEnd"/>
      <w:r>
        <w:t xml:space="preserve"> submitted a false EMS run report.  “On November 30, </w:t>
      </w:r>
      <w:proofErr w:type="gramStart"/>
      <w:r>
        <w:t>2018</w:t>
      </w:r>
      <w:proofErr w:type="gramEnd"/>
      <w:r>
        <w:t xml:space="preserve"> at an apartment complex in the City of Plattsburgh, Clinton County, petitioner, a firefighter and emergency medical technician, responded with his partner to a 911 call regarding a man lying in a fifth-floor hallway requesting medical assistance. When petitioner reached the patient, he was responsive and communicative, asking for help. Petitioner and his partner put the patient on a stretcher, securing him with the stretcher's leg and waist straps but not its shoulder straps. They wheeled the stretcher to the elevator and transported the patient down to the first floor, through the building's lobby and outside to where an ambulance was waiting. As they were leaving the building, the patient's arm went limp and dropped down to the side of the stretcher, causing petitioner to lift the patient's arm and place it across his chest. While petitioner and his partner were attempting to transfer the patient into the ambulance, the patient's upper body slipped off the </w:t>
      </w:r>
      <w:proofErr w:type="gramStart"/>
      <w:r>
        <w:t>stretcher</w:t>
      </w:r>
      <w:proofErr w:type="gramEnd"/>
      <w:r>
        <w:t xml:space="preserve"> and his head hit the back of the </w:t>
      </w:r>
      <w:proofErr w:type="gramStart"/>
      <w:r>
        <w:t>ambulance.”</w:t>
      </w:r>
      <w:proofErr w:type="gramEnd"/>
      <w:r>
        <w:t xml:space="preserve">   The Court held: Petitioner concedes that he provided false information in the incident report, patient care report and statement to the police. Thus, as the parties agree, the only issue before this Court is whether the hearing evidence sufficiently established that he did so knowingly. The false statements, which are not in dispute, can be described as follows: petitioner indicated that the patient became unresponsive and was not breathing adequately while in the hallway or elevator, but video evidence and hearing testimony revealed that the patient was alert and responsive as he was transported through the hallway, elevator, building lobby and exterior doors; petitioner claimed that he radioed for assistance when the patient became unresponsive in the hallway or elevator, but the hearing evidence showed that he did not call for backup until after the patient fell off the stretcher and struck his head on the ambulance; petitioner asserted that he assessed the patient and took his pulse in the lobby, yet surveillance video reflected that petitioner did not take these actions at that time; and petitioner indicated that CPR was performed continuously after the patient fell, but video evidence showed that CPR was not begun until several minutes after the patient's fall, and was only conducted for a short time.” </w:t>
      </w:r>
      <w:hyperlink r:id="rId2166" w:history="1">
        <w:r>
          <w:rPr>
            <w:rStyle w:val="Hyperlink"/>
          </w:rPr>
          <w:t>https://caselaw.findlaw.com/ny-supreme-court/2147274.html</w:t>
        </w:r>
      </w:hyperlink>
      <w:r>
        <w:t xml:space="preserve"> </w:t>
      </w:r>
    </w:p>
    <w:p w14:paraId="6A40D780" w14:textId="77777777" w:rsidR="005C3F7B" w:rsidRDefault="005C3F7B" w:rsidP="005C3F7B">
      <w:pPr>
        <w:pStyle w:val="NormalWeb"/>
        <w:ind w:left="720"/>
      </w:pPr>
      <w:r>
        <w:t xml:space="preserve">“Within hours of the incident, petitioner filled out an incident report and a patient care form describing what had happened and filed these documents with the City of Plattsburgh Fire Department. The following day, petitioner was interviewed by the City of Plattsburgh Police Department regarding the incident and gave a sworn written statement to a detective. Moving forward, </w:t>
      </w:r>
      <w:proofErr w:type="gramStart"/>
      <w:r>
        <w:t>petitioner</w:t>
      </w:r>
      <w:proofErr w:type="gramEnd"/>
      <w:r>
        <w:t xml:space="preserve"> continued to work as a firefighter and emergency medical technician for over two years. During this time, the State Department of Health </w:t>
      </w:r>
      <w:proofErr w:type="gramStart"/>
      <w:r>
        <w:t>conducted an investigation</w:t>
      </w:r>
      <w:proofErr w:type="gramEnd"/>
      <w:r>
        <w:t xml:space="preserve"> of the incident, the result of which was petitioner agreeing to pay a $5,000 fine and complete additional training, and respondent City of Plattsburgh settled a wrongful death claim brought by the patient's family.</w:t>
      </w:r>
    </w:p>
    <w:p w14:paraId="549830D3" w14:textId="77777777" w:rsidR="005C3F7B" w:rsidRDefault="005C3F7B" w:rsidP="005C3F7B">
      <w:pPr>
        <w:pStyle w:val="NormalWeb"/>
        <w:ind w:left="720"/>
      </w:pPr>
      <w:r>
        <w:t>***</w:t>
      </w:r>
    </w:p>
    <w:p w14:paraId="6D95FAFF" w14:textId="77777777" w:rsidR="005C3F7B" w:rsidRDefault="005C3F7B" w:rsidP="005C3F7B">
      <w:pPr>
        <w:pStyle w:val="NormalWeb"/>
        <w:ind w:left="720"/>
        <w:rPr>
          <w:b/>
          <w:bCs/>
        </w:rPr>
      </w:pPr>
      <w:r>
        <w:t xml:space="preserve">As to the penalty imposed, we find that the </w:t>
      </w:r>
      <w:proofErr w:type="gramStart"/>
      <w:r>
        <w:t>Mayor's</w:t>
      </w:r>
      <w:proofErr w:type="gramEnd"/>
      <w:r>
        <w:t xml:space="preserve"> decision to terminate petitioner's employment was not "so disproportionate to the offenses as to be shocking to one's sense of fairness…. We see no reason to disturb the penalty imposed by the Mayor, who found, notwithstanding petitioner's positive accomplishments, that he had inhibited the investigation into the patient's untimely death and, seeking to avoid personal responsibility, placed his own interests above those of the City of Plattsburgh Fire Department, the patient's family and the public at large.”</w:t>
      </w:r>
    </w:p>
    <w:p w14:paraId="2DCAFB81" w14:textId="77777777" w:rsidR="005C3F7B" w:rsidRDefault="005C3F7B" w:rsidP="005C3F7B">
      <w:pPr>
        <w:pStyle w:val="NormalWeb"/>
        <w:rPr>
          <w:b/>
          <w:bCs/>
        </w:rPr>
      </w:pPr>
      <w:r>
        <w:rPr>
          <w:b/>
          <w:bCs/>
        </w:rPr>
        <w:t xml:space="preserve">Legal Lesson Learned: Properly restrain </w:t>
      </w:r>
      <w:proofErr w:type="gramStart"/>
      <w:r>
        <w:rPr>
          <w:b/>
          <w:bCs/>
        </w:rPr>
        <w:t>patient</w:t>
      </w:r>
      <w:proofErr w:type="gramEnd"/>
      <w:r>
        <w:rPr>
          <w:b/>
          <w:bCs/>
        </w:rPr>
        <w:t xml:space="preserve"> on the stretcher; don’t file false reports or lie to investigators. Not clear why took two years to discipline. </w:t>
      </w:r>
    </w:p>
    <w:p w14:paraId="273929DE" w14:textId="77777777" w:rsidR="005C3F7B" w:rsidRDefault="005C3F7B" w:rsidP="002B1283">
      <w:pPr>
        <w:rPr>
          <w:rFonts w:ascii="Arial Black" w:hAnsi="Arial Black"/>
          <w:b/>
          <w:bCs/>
          <w:sz w:val="28"/>
          <w:szCs w:val="28"/>
        </w:rPr>
      </w:pPr>
    </w:p>
    <w:p w14:paraId="6660D211" w14:textId="77777777" w:rsidR="008A4533" w:rsidRDefault="008A4533" w:rsidP="002B1283">
      <w:pPr>
        <w:rPr>
          <w:rFonts w:ascii="Arial Black" w:hAnsi="Arial Black"/>
          <w:b/>
          <w:bCs/>
          <w:sz w:val="28"/>
          <w:szCs w:val="28"/>
        </w:rPr>
      </w:pPr>
    </w:p>
    <w:p w14:paraId="3797E15C" w14:textId="2EE37088" w:rsidR="00BA3CDE" w:rsidRDefault="00BA3CDE" w:rsidP="002B1283">
      <w:pPr>
        <w:rPr>
          <w:rFonts w:ascii="Arial Black" w:hAnsi="Arial Black"/>
          <w:b/>
          <w:bCs/>
          <w:sz w:val="28"/>
          <w:szCs w:val="28"/>
        </w:rPr>
      </w:pPr>
      <w:r>
        <w:rPr>
          <w:rFonts w:ascii="Arial Black" w:hAnsi="Arial Black"/>
          <w:b/>
          <w:bCs/>
          <w:sz w:val="28"/>
          <w:szCs w:val="28"/>
        </w:rPr>
        <w:t>13-132</w:t>
      </w:r>
    </w:p>
    <w:p w14:paraId="52316E04" w14:textId="77777777" w:rsidR="00BA3CDE" w:rsidRDefault="00BA3CDE" w:rsidP="00BA3CDE">
      <w:pPr>
        <w:pStyle w:val="NormalWeb"/>
        <w:rPr>
          <w:b/>
          <w:bCs/>
        </w:rPr>
      </w:pPr>
      <w:r>
        <w:rPr>
          <w:rFonts w:ascii="Arial Black" w:hAnsi="Arial Black"/>
          <w:b/>
          <w:bCs/>
          <w:sz w:val="28"/>
          <w:szCs w:val="28"/>
        </w:rPr>
        <w:t xml:space="preserve">CA: BAT. CHIEF – TERMINATION UPHELD - NOT REPORTING MEDIC HITTING PATIENT – ALSO DENIED KNOWLEDGE  </w:t>
      </w:r>
    </w:p>
    <w:p w14:paraId="4D5665D8" w14:textId="77777777" w:rsidR="00BA3CDE" w:rsidRDefault="00BA3CDE" w:rsidP="00BA3CDE">
      <w:pPr>
        <w:pStyle w:val="NormalWeb"/>
      </w:pPr>
      <w:r>
        <w:t xml:space="preserve">On Dec. 22, 2022, in </w:t>
      </w:r>
      <w:r w:rsidRPr="00464F2D">
        <w:rPr>
          <w:u w:val="single"/>
        </w:rPr>
        <w:t>Steve Jones v. City of Loma Linda, et al</w:t>
      </w:r>
      <w:r>
        <w:t xml:space="preserve">., the California Court of Appeals, Fourth District (Second Division) held (3 to 0) that the City Council was authorized to reject a hearing officer’s recommendation that the Battalion Chief, with 26 years with the Fire Department, be reinstated with a letter of reprimand.  The Court found that City Council could reasonably conclude that the harm to the public service was so great that terminating his employment was the “only reasonable option.”  The incident involved a Medic who slapped a mental patient; during the transport the patient had freed his right arm from soft restraints and was spitting at the crew [see below note]. </w:t>
      </w:r>
    </w:p>
    <w:p w14:paraId="068DF9DF" w14:textId="77777777" w:rsidR="00BA3CDE" w:rsidRDefault="00BA3CDE" w:rsidP="00BA3CDE">
      <w:pPr>
        <w:pStyle w:val="NormalWeb"/>
        <w:ind w:left="720"/>
      </w:pPr>
      <w:r>
        <w:t>“Jones asserts that he had an ‘unblemished 26-year career,’ so terminating his employment was an abuse of discretion. Jones's long and mostly untarnished career indicates that it is less likely his dishonesty will be repeated, which is a relevant factor. (</w:t>
      </w:r>
      <w:r>
        <w:rPr>
          <w:rStyle w:val="Emphasis"/>
        </w:rPr>
        <w:t>Skelly v. State Personnel Bd.</w:t>
      </w:r>
      <w:r>
        <w:t xml:space="preserve">, </w:t>
      </w:r>
      <w:r>
        <w:rPr>
          <w:rStyle w:val="Emphasis"/>
        </w:rPr>
        <w:t>supra</w:t>
      </w:r>
      <w:r>
        <w:t xml:space="preserve">, 15 Cal.3d at p. 218.) </w:t>
      </w:r>
      <w:proofErr w:type="gramStart"/>
      <w:r>
        <w:t>However, ‘</w:t>
      </w:r>
      <w:proofErr w:type="gramEnd"/>
      <w:r>
        <w:t>the overriding consideration in these cases is the extent to which the employee's conduct resulted in . . . '[h]arm to the public service.' (</w:t>
      </w:r>
      <w:r>
        <w:rPr>
          <w:rStyle w:val="Emphasis"/>
        </w:rPr>
        <w:t>Ibid.</w:t>
      </w:r>
      <w:r>
        <w:t xml:space="preserve">) The City Council could reasonably conclude that the harm to the public service was great because Jones repeatedly had such poor judgment in this serious situation that his decision making could no longer be relied upon, which meant terminating his employment was the only reasonable option.” </w:t>
      </w:r>
      <w:hyperlink r:id="rId2167" w:history="1">
        <w:r w:rsidRPr="00075859">
          <w:rPr>
            <w:rStyle w:val="Hyperlink"/>
            <w:rFonts w:eastAsiaTheme="majorEastAsia"/>
          </w:rPr>
          <w:t>https://public.fastcase.com/J%2FJP6pdidelsXxEE4k%2BLMhEAWViZoZCNNVQqGGOJQe0x0uZjPj6basWGo2LdR7ZdZ7mXMibE%2B6q63t6QJEFPzY8xsgWYqrexPGowqeVKLtU%3D?utm_medium=email&amp;_hsmi=226712652&amp;_hsenc=p2ANqtz-_6354qi3IFHsOx1ZsytROIPRrzR7P7WEO-</w:t>
        </w:r>
      </w:hyperlink>
      <w:r>
        <w:t xml:space="preserve"> </w:t>
      </w:r>
    </w:p>
    <w:p w14:paraId="0FB790CB" w14:textId="77777777" w:rsidR="00BA3CDE" w:rsidRPr="00625D3A" w:rsidRDefault="00BA3CDE" w:rsidP="00BA3CDE">
      <w:pPr>
        <w:pStyle w:val="NormalWeb"/>
        <w:rPr>
          <w:b/>
          <w:bCs/>
        </w:rPr>
      </w:pPr>
      <w:r w:rsidRPr="00625D3A">
        <w:rPr>
          <w:b/>
          <w:bCs/>
        </w:rPr>
        <w:t>Legal Lesson Learned:</w:t>
      </w:r>
      <w:r>
        <w:rPr>
          <w:b/>
          <w:bCs/>
        </w:rPr>
        <w:t xml:space="preserve"> If there is a report of assault on a patient, promptly inform Senior Management and have entire crew write reports.</w:t>
      </w:r>
    </w:p>
    <w:p w14:paraId="103A78BE" w14:textId="77777777" w:rsidR="00BA3CDE" w:rsidRDefault="00BA3CDE" w:rsidP="00BA3CDE">
      <w:pPr>
        <w:pStyle w:val="NormalWeb"/>
        <w:ind w:left="720"/>
      </w:pPr>
      <w:r>
        <w:t xml:space="preserve">Note: In a Feb. 13, 2019. In an unpublished decision, a judge described the Medic’s actions.  </w:t>
      </w:r>
    </w:p>
    <w:p w14:paraId="2E36BEF5" w14:textId="77777777" w:rsidR="00BA3CDE" w:rsidRDefault="00BA3CDE" w:rsidP="00BA3CDE">
      <w:pPr>
        <w:pStyle w:val="NormalWeb"/>
        <w:ind w:left="720"/>
      </w:pPr>
      <w:r>
        <w:t xml:space="preserve"> “Toppo placed his left hand on the patient's forehead, and cupped his right hand under the patient's chin, </w:t>
      </w:r>
      <w:proofErr w:type="gramStart"/>
      <w:r>
        <w:t>so as to</w:t>
      </w:r>
      <w:proofErr w:type="gramEnd"/>
      <w:r>
        <w:t xml:space="preserve"> keep the patient's mouth closed to prevent the patient from spitting on the firefighters and the medics. Toppo had seen patients spit on personnel in other situations. There was a harness on the patient attaching him to the gurney, but the straps were not tight. Toppo's hand placement on the patient's face lasted five to 10 seconds, then Toppo focused on tightening the straps of the patient's harness, leaving his left hand on the patient's forehead. *** Toppo's striking of his own hand made a slapping sound. Toppo believed his left hand was slightly raised from the patient's forehead, so when his right hand struck his left hand, his left hand made a slapping noise as it </w:t>
      </w:r>
      <w:proofErr w:type="gramStart"/>
      <w:r>
        <w:t>came in contact with</w:t>
      </w:r>
      <w:proofErr w:type="gramEnd"/>
      <w:r>
        <w:t xml:space="preserve"> the patient. After Toppo struck his hand, "[t]he ambulance went silent," and the personnel were able to restrain the patient. Toppo believed the ambulance went silent "because of the slap." </w:t>
      </w:r>
    </w:p>
    <w:p w14:paraId="0FCB4B13" w14:textId="77777777" w:rsidR="00BA3CDE" w:rsidRDefault="00BA3CDE" w:rsidP="002B1283">
      <w:pPr>
        <w:rPr>
          <w:rFonts w:ascii="Arial Black" w:hAnsi="Arial Black"/>
          <w:b/>
          <w:bCs/>
          <w:sz w:val="28"/>
          <w:szCs w:val="28"/>
        </w:rPr>
      </w:pPr>
    </w:p>
    <w:p w14:paraId="249ED34D" w14:textId="58AD6A13" w:rsidR="00BA3CDE" w:rsidRDefault="00BA3CDE" w:rsidP="002B1283">
      <w:pPr>
        <w:rPr>
          <w:rFonts w:ascii="Arial Black" w:hAnsi="Arial Black"/>
          <w:b/>
          <w:bCs/>
          <w:sz w:val="28"/>
          <w:szCs w:val="28"/>
        </w:rPr>
      </w:pPr>
      <w:r>
        <w:rPr>
          <w:rFonts w:ascii="Arial Black" w:hAnsi="Arial Black"/>
          <w:b/>
          <w:bCs/>
          <w:sz w:val="28"/>
          <w:szCs w:val="28"/>
        </w:rPr>
        <w:t>13-131</w:t>
      </w:r>
    </w:p>
    <w:p w14:paraId="601FF0CD" w14:textId="77777777" w:rsidR="00BA3CDE" w:rsidRDefault="00BA3CDE" w:rsidP="00BA3CDE">
      <w:pPr>
        <w:rPr>
          <w:rFonts w:ascii="Arial Black" w:hAnsi="Arial Black"/>
          <w:sz w:val="28"/>
          <w:szCs w:val="28"/>
        </w:rPr>
      </w:pPr>
      <w:r>
        <w:rPr>
          <w:rFonts w:ascii="Arial Black" w:hAnsi="Arial Black"/>
          <w:sz w:val="28"/>
          <w:szCs w:val="28"/>
        </w:rPr>
        <w:t>NY:</w:t>
      </w:r>
      <w:r w:rsidRPr="002E745F">
        <w:rPr>
          <w:rFonts w:ascii="Arial Black" w:hAnsi="Arial Black"/>
          <w:sz w:val="28"/>
          <w:szCs w:val="28"/>
        </w:rPr>
        <w:t xml:space="preserve"> </w:t>
      </w:r>
      <w:r w:rsidRPr="00787655">
        <w:rPr>
          <w:rFonts w:ascii="Arial Black" w:hAnsi="Arial Black"/>
          <w:sz w:val="28"/>
          <w:szCs w:val="28"/>
        </w:rPr>
        <w:t>EMTALA</w:t>
      </w:r>
      <w:r>
        <w:rPr>
          <w:rFonts w:ascii="Arial Black" w:hAnsi="Arial Black"/>
          <w:sz w:val="28"/>
          <w:szCs w:val="28"/>
        </w:rPr>
        <w:t xml:space="preserve"> - PSYCH RUN – ER DOC MET PARENTS, IN HOSPITAL 3 DAYS – CASE NOT FILED 2-YR STATUTE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19"/>
        <w:gridCol w:w="81"/>
      </w:tblGrid>
      <w:tr w:rsidR="00BA3CDE" w14:paraId="41ABDE90" w14:textId="77777777" w:rsidTr="006901FD">
        <w:trPr>
          <w:tblCellSpacing w:w="15" w:type="dxa"/>
        </w:trPr>
        <w:tc>
          <w:tcPr>
            <w:tcW w:w="0" w:type="auto"/>
            <w:vAlign w:val="center"/>
          </w:tcPr>
          <w:p w14:paraId="4465C1B6" w14:textId="77777777" w:rsidR="00BA3CDE" w:rsidRDefault="00BA3CDE" w:rsidP="006901FD">
            <w:r w:rsidRPr="005F4B3D">
              <w:rPr>
                <w:rFonts w:ascii="Times New Roman" w:hAnsi="Times New Roman"/>
                <w:sz w:val="24"/>
                <w:szCs w:val="24"/>
              </w:rPr>
              <w:t xml:space="preserve">On Nov. 30, 2022, in </w:t>
            </w:r>
            <w:r w:rsidRPr="005F4B3D">
              <w:rPr>
                <w:rFonts w:ascii="Times New Roman" w:hAnsi="Times New Roman"/>
                <w:sz w:val="24"/>
                <w:szCs w:val="24"/>
                <w:u w:val="single"/>
              </w:rPr>
              <w:t>Lanit Amira v. Maimonides Hospital, et al.</w:t>
            </w:r>
            <w:r w:rsidRPr="005F4B3D">
              <w:rPr>
                <w:rFonts w:ascii="Times New Roman" w:hAnsi="Times New Roman"/>
                <w:sz w:val="24"/>
                <w:szCs w:val="24"/>
              </w:rPr>
              <w:t>, U.S. Magistrate Judge Taryn A. Merkl, U.S. District Court for Eastern District of New York, issued a Report and Recommendation that the psychiatric patient</w:t>
            </w:r>
            <w:r>
              <w:rPr>
                <w:rFonts w:ascii="Times New Roman" w:hAnsi="Times New Roman"/>
                <w:sz w:val="24"/>
                <w:szCs w:val="24"/>
              </w:rPr>
              <w:t>’</w:t>
            </w:r>
            <w:r w:rsidRPr="005F4B3D">
              <w:rPr>
                <w:rFonts w:ascii="Times New Roman" w:hAnsi="Times New Roman"/>
                <w:sz w:val="24"/>
                <w:szCs w:val="24"/>
              </w:rPr>
              <w:t xml:space="preserve">s lawsuit hospital failed to </w:t>
            </w:r>
            <w:r>
              <w:rPr>
                <w:rFonts w:ascii="Times New Roman" w:hAnsi="Times New Roman"/>
                <w:sz w:val="24"/>
                <w:szCs w:val="24"/>
              </w:rPr>
              <w:t xml:space="preserve">provide adequate medical screening before admitting her </w:t>
            </w:r>
            <w:r w:rsidRPr="005F4B3D">
              <w:rPr>
                <w:rFonts w:ascii="Times New Roman" w:hAnsi="Times New Roman"/>
                <w:sz w:val="24"/>
                <w:szCs w:val="24"/>
              </w:rPr>
              <w:t xml:space="preserve">must be dismissed since not filed within two years required by the 1986 </w:t>
            </w:r>
            <w:r w:rsidRPr="005F4B3D">
              <w:rPr>
                <w:rStyle w:val="field"/>
                <w:rFonts w:ascii="Times New Roman" w:hAnsi="Times New Roman"/>
                <w:sz w:val="24"/>
                <w:szCs w:val="24"/>
              </w:rPr>
              <w:t>Emergency Medical Treatment &amp; Labor Act (</w:t>
            </w:r>
            <w:r w:rsidRPr="005F4B3D">
              <w:rPr>
                <w:rFonts w:ascii="Times New Roman" w:hAnsi="Times New Roman"/>
                <w:sz w:val="24"/>
                <w:szCs w:val="24"/>
              </w:rPr>
              <w:t xml:space="preserve">EMTALA).  Plaintiff was at home on Dec. 10, </w:t>
            </w:r>
            <w:proofErr w:type="gramStart"/>
            <w:r w:rsidRPr="005F4B3D">
              <w:rPr>
                <w:rFonts w:ascii="Times New Roman" w:hAnsi="Times New Roman"/>
                <w:sz w:val="24"/>
                <w:szCs w:val="24"/>
              </w:rPr>
              <w:t>2018</w:t>
            </w:r>
            <w:proofErr w:type="gramEnd"/>
            <w:r w:rsidRPr="005F4B3D">
              <w:rPr>
                <w:rFonts w:ascii="Times New Roman" w:hAnsi="Times New Roman"/>
                <w:sz w:val="24"/>
                <w:szCs w:val="24"/>
              </w:rPr>
              <w:t xml:space="preserve"> when her mother called Hatzalah medics [Jewish based service]for medical assistance; her daughter had recently gone through a divorce and was concerned about her behavior “over the last few months.”  </w:t>
            </w:r>
            <w:r w:rsidRPr="002E745F">
              <w:rPr>
                <w:rFonts w:ascii="Times New Roman" w:eastAsia="Times New Roman" w:hAnsi="Times New Roman"/>
                <w:sz w:val="24"/>
                <w:szCs w:val="24"/>
              </w:rPr>
              <w:t>Hatzalah's medics</w:t>
            </w:r>
            <w:r w:rsidRPr="005F4B3D">
              <w:rPr>
                <w:rFonts w:ascii="Times New Roman" w:hAnsi="Times New Roman"/>
                <w:sz w:val="24"/>
                <w:szCs w:val="24"/>
              </w:rPr>
              <w:t xml:space="preserve"> at the Brooklyn home for two </w:t>
            </w:r>
            <w:proofErr w:type="gramStart"/>
            <w:r w:rsidRPr="005F4B3D">
              <w:rPr>
                <w:rFonts w:ascii="Times New Roman" w:hAnsi="Times New Roman"/>
                <w:sz w:val="24"/>
                <w:szCs w:val="24"/>
              </w:rPr>
              <w:t>hours, and</w:t>
            </w:r>
            <w:proofErr w:type="gramEnd"/>
            <w:r w:rsidRPr="005F4B3D">
              <w:rPr>
                <w:rFonts w:ascii="Times New Roman" w:hAnsi="Times New Roman"/>
                <w:sz w:val="24"/>
                <w:szCs w:val="24"/>
              </w:rPr>
              <w:t xml:space="preserve"> then called for back-up from Maimonides Hospital medics and NYPD. They eventually persuaded her to go to hospital ER in their ambulance. </w:t>
            </w:r>
            <w:r w:rsidRPr="002E745F">
              <w:rPr>
                <w:rFonts w:ascii="Times New Roman" w:eastAsia="Times New Roman" w:hAnsi="Times New Roman"/>
                <w:sz w:val="24"/>
                <w:szCs w:val="24"/>
              </w:rPr>
              <w:t xml:space="preserve">Plaintiff arrived at the emergency room around 5:00 p.m., at which point a nurse instructed her to change into a hospital robe and to place her belongings in a plastic </w:t>
            </w:r>
            <w:r>
              <w:rPr>
                <w:rFonts w:ascii="Times New Roman" w:eastAsia="Times New Roman" w:hAnsi="Times New Roman"/>
                <w:sz w:val="24"/>
                <w:szCs w:val="24"/>
              </w:rPr>
              <w:t>bag; a doctor spoke to her parents at the ER and admitted her (allegedly “without first speaking to” the plaintiff).  Plaintiff remained at hospital for three days, was administered medication, and discharged on Dec. 13, 2018.  She filed this lawsuit on July 6, 2021.  On Dec. 29, 2022, U.S. District Court Judge Rachel P. Kovner dismissed the case.</w:t>
            </w:r>
          </w:p>
        </w:tc>
        <w:tc>
          <w:tcPr>
            <w:tcW w:w="0" w:type="auto"/>
            <w:vAlign w:val="center"/>
          </w:tcPr>
          <w:p w14:paraId="0EC549C6" w14:textId="77777777" w:rsidR="00BA3CDE" w:rsidRDefault="00BA3CDE" w:rsidP="006901FD">
            <w:pPr>
              <w:rPr>
                <w:sz w:val="24"/>
                <w:szCs w:val="24"/>
              </w:rPr>
            </w:pPr>
          </w:p>
        </w:tc>
      </w:tr>
    </w:tbl>
    <w:p w14:paraId="7986058A" w14:textId="77777777" w:rsidR="00BA3CDE" w:rsidRDefault="00BA3CDE" w:rsidP="00BA3CDE">
      <w:pPr>
        <w:pStyle w:val="NormalWeb"/>
        <w:ind w:left="720" w:firstLine="60"/>
      </w:pPr>
      <w:r>
        <w:t xml:space="preserve">“With EMTALA, Congress created a federal cause of </w:t>
      </w:r>
      <w:proofErr w:type="gramStart"/>
      <w:r>
        <w:t>action, but</w:t>
      </w:r>
      <w:proofErr w:type="gramEnd"/>
      <w:r>
        <w:t xml:space="preserve"> also placed a strict limit on the </w:t>
      </w:r>
      <w:proofErr w:type="gramStart"/>
      <w:r>
        <w:t>time period</w:t>
      </w:r>
      <w:proofErr w:type="gramEnd"/>
      <w:r>
        <w:t xml:space="preserve"> under which medical providers could be held liable under its provisions. </w:t>
      </w:r>
      <w:proofErr w:type="gramStart"/>
      <w:r>
        <w:t>As a consequence</w:t>
      </w:r>
      <w:proofErr w:type="gramEnd"/>
      <w:r>
        <w:t>, Plaintiff's EMTALA claim was barred as of December 10, 2020, two years from the date of the alleged violation of the law's screening requirement, i.e., Maimonides's failure ‘to evaluate [Plaintiff] in the emergency room, prior to placing [her] under observation.’</w:t>
      </w:r>
    </w:p>
    <w:p w14:paraId="258F670F" w14:textId="77777777" w:rsidR="00BA3CDE" w:rsidRPr="00BA50D7" w:rsidRDefault="00BA3CDE" w:rsidP="00BA3CDE">
      <w:pPr>
        <w:pStyle w:val="NormalWeb"/>
        <w:ind w:firstLine="720"/>
      </w:pPr>
      <w:r w:rsidRPr="00BA50D7">
        <w:t>Footnote 11</w:t>
      </w:r>
    </w:p>
    <w:p w14:paraId="097181E5" w14:textId="77777777" w:rsidR="00BA3CDE" w:rsidRDefault="00BA3CDE" w:rsidP="00BA3CDE">
      <w:pPr>
        <w:pStyle w:val="NormalWeb"/>
        <w:ind w:left="720"/>
        <w:rPr>
          <w:vertAlign w:val="superscript"/>
        </w:rPr>
      </w:pPr>
      <w:r w:rsidRPr="00BA50D7">
        <w:t xml:space="preserve">To establish her EMTALA claim based on Maimonides's violation of the screening requirement, Plaintiff needed only to establish that she </w:t>
      </w:r>
      <w:r>
        <w:t>‘</w:t>
      </w:r>
      <w:r w:rsidRPr="00BA50D7">
        <w:t>show[ed] up for treatment at a hospital's emergency room</w:t>
      </w:r>
      <w:r>
        <w:t>’</w:t>
      </w:r>
      <w:r w:rsidRPr="00BA50D7">
        <w:t xml:space="preserve"> and that the hospital failed to </w:t>
      </w:r>
      <w:r>
        <w:t>‘</w:t>
      </w:r>
      <w:r w:rsidRPr="00BA50D7">
        <w:t>provide for an appropriate medical screening examination . . . to determine whether or not an emergency medical condition</w:t>
      </w:r>
      <w:r>
        <w:t>’</w:t>
      </w:r>
      <w:r w:rsidRPr="00BA50D7">
        <w:t xml:space="preserve"> existed. </w:t>
      </w:r>
      <w:r w:rsidRPr="00BA50D7">
        <w:rPr>
          <w:rStyle w:val="Emphasis"/>
        </w:rPr>
        <w:t>Hardy v. N.Y.C. Health &amp; Hosp. Corp.</w:t>
      </w:r>
      <w:r w:rsidRPr="00BA50D7">
        <w:t xml:space="preserve">, 164 F.3d 789, 792 (2d Cir. 1999). Since Plaintiff's allegations are that Maimonides failed to provide an examination at the emergency room </w:t>
      </w:r>
      <w:r w:rsidRPr="00BA50D7">
        <w:rPr>
          <w:rStyle w:val="Emphasis"/>
        </w:rPr>
        <w:t>whatsoever</w:t>
      </w:r>
      <w:r w:rsidRPr="00BA50D7">
        <w:t xml:space="preserve">, she necessarily knew the </w:t>
      </w:r>
      <w:r>
        <w:t>‘</w:t>
      </w:r>
      <w:r w:rsidRPr="00BA50D7">
        <w:t>critical facts of injury and causation</w:t>
      </w:r>
      <w:r>
        <w:t>’</w:t>
      </w:r>
      <w:r w:rsidRPr="00BA50D7">
        <w:t xml:space="preserve"> at such time. </w:t>
      </w:r>
      <w:r w:rsidRPr="00BA50D7">
        <w:rPr>
          <w:rStyle w:val="Emphasis"/>
        </w:rPr>
        <w:t>Kronisch</w:t>
      </w:r>
      <w:r w:rsidRPr="00BA50D7">
        <w:t xml:space="preserve">, 150 F.3d at 121. Accordingly, even if the discovery rule applies, Plaintiff's two-year clock began to run from the date of Maimonides's alleged EMTALA violation. The date Plaintiff </w:t>
      </w:r>
      <w:r>
        <w:t>‘</w:t>
      </w:r>
      <w:r w:rsidRPr="00BA50D7">
        <w:t>discovered</w:t>
      </w:r>
      <w:r>
        <w:t>’</w:t>
      </w:r>
      <w:r w:rsidRPr="00BA50D7">
        <w:t xml:space="preserve"> that there might be a federal claim on this basis is irrelevant.</w:t>
      </w:r>
      <w:r>
        <w:t xml:space="preserve">” </w:t>
      </w:r>
      <w:hyperlink r:id="rId2168" w:history="1">
        <w:r w:rsidRPr="00617AE0">
          <w:rPr>
            <w:rStyle w:val="Hyperlink"/>
            <w:rFonts w:eastAsiaTheme="majorEastAsia"/>
          </w:rPr>
          <w:t>https://public.fastcase.com/J%2FJP6pdidelsXxEE4k%2BLMmal3pmqwL2M3IcdBRYRq7H5oV2dmSosFOkL4d7k98jG9SuahbInE3n2tMql6kX0QUzRKtcMn83zHZ%2BG%2BG9ZYZQ%3D?utm_medium=email&amp;_hsmi=226712652&amp;_hsenc=p2ANqtz-9uf78hORTgLHe72Nq9qJz-C27iwk_m4r2mdnHF-ngJMSp_ULhMnmBHzq8bpBh7J7k34w9BngwpJd6Z97DDjhMn2bZMQA&amp;utm_content=226712652&amp;utm_source=hs_email</w:t>
        </w:r>
      </w:hyperlink>
      <w:r>
        <w:t xml:space="preserve"> </w:t>
      </w:r>
    </w:p>
    <w:p w14:paraId="6290E0B1" w14:textId="77777777" w:rsidR="00BA3CDE" w:rsidRDefault="00BA3CDE" w:rsidP="00BA3CDE">
      <w:pPr>
        <w:pStyle w:val="NormalWeb"/>
        <w:rPr>
          <w:sz w:val="20"/>
          <w:szCs w:val="20"/>
        </w:rPr>
      </w:pPr>
      <w:r w:rsidRPr="00453D7F">
        <w:rPr>
          <w:b/>
          <w:bCs/>
        </w:rPr>
        <w:t xml:space="preserve">Legal Lesson Learned: </w:t>
      </w:r>
      <w:r>
        <w:rPr>
          <w:b/>
          <w:bCs/>
        </w:rPr>
        <w:t xml:space="preserve"> Congress included </w:t>
      </w:r>
      <w:proofErr w:type="gramStart"/>
      <w:r>
        <w:rPr>
          <w:b/>
          <w:bCs/>
        </w:rPr>
        <w:t>two year</w:t>
      </w:r>
      <w:proofErr w:type="gramEnd"/>
      <w:r>
        <w:rPr>
          <w:b/>
          <w:bCs/>
        </w:rPr>
        <w:t xml:space="preserve"> statute of limitations in EMTALA so that hospitals can have timely notice to investigate and respond to patient allegations. </w:t>
      </w:r>
    </w:p>
    <w:p w14:paraId="6B08D079" w14:textId="77777777" w:rsidR="00BA3CDE" w:rsidRPr="00453D7F" w:rsidRDefault="00BA3CDE" w:rsidP="00BA3CDE">
      <w:pPr>
        <w:pStyle w:val="NormalWeb"/>
        <w:ind w:left="720"/>
      </w:pPr>
      <w:r w:rsidRPr="00453D7F">
        <w:t xml:space="preserve">Note: EMTALA also imposes a </w:t>
      </w:r>
      <w:r>
        <w:t xml:space="preserve">medical screening </w:t>
      </w:r>
      <w:r w:rsidRPr="00453D7F">
        <w:t xml:space="preserve">requirement. </w:t>
      </w:r>
      <w:r w:rsidRPr="00453D7F">
        <w:rPr>
          <w:rStyle w:val="Emphasis"/>
        </w:rPr>
        <w:t>See</w:t>
      </w:r>
      <w:r w:rsidRPr="00453D7F">
        <w:t xml:space="preserve"> 42 U.S.C. § 1395dd(b)</w:t>
      </w:r>
      <w:r>
        <w:t xml:space="preserve">. </w:t>
      </w:r>
      <w:hyperlink r:id="rId2169" w:history="1">
        <w:r w:rsidRPr="00617AE0">
          <w:rPr>
            <w:rStyle w:val="Hyperlink"/>
            <w:rFonts w:eastAsiaTheme="majorEastAsia"/>
          </w:rPr>
          <w:t>https://www.law.cornell.edu/uscode/text/42/1395dd</w:t>
        </w:r>
      </w:hyperlink>
      <w:r>
        <w:t xml:space="preserve"> </w:t>
      </w:r>
    </w:p>
    <w:p w14:paraId="4C329A8E" w14:textId="77777777" w:rsidR="00BA3CDE" w:rsidRPr="00453D7F" w:rsidRDefault="00BA3CDE" w:rsidP="00BA3CDE">
      <w:pPr>
        <w:ind w:left="720" w:firstLine="720"/>
        <w:rPr>
          <w:rFonts w:ascii="Times New Roman" w:hAnsi="Times New Roman"/>
          <w:sz w:val="24"/>
          <w:szCs w:val="24"/>
        </w:rPr>
      </w:pPr>
      <w:r w:rsidRPr="00453D7F">
        <w:rPr>
          <w:rStyle w:val="num"/>
          <w:rFonts w:ascii="Times New Roman" w:hAnsi="Times New Roman"/>
          <w:sz w:val="24"/>
          <w:szCs w:val="24"/>
        </w:rPr>
        <w:t>(a)</w:t>
      </w:r>
      <w:r w:rsidRPr="00453D7F">
        <w:rPr>
          <w:rStyle w:val="heading"/>
          <w:rFonts w:ascii="Times New Roman" w:hAnsi="Times New Roman"/>
          <w:sz w:val="24"/>
          <w:szCs w:val="24"/>
        </w:rPr>
        <w:t xml:space="preserve"> Medical screening requirement</w:t>
      </w:r>
      <w:r w:rsidRPr="00453D7F">
        <w:rPr>
          <w:rFonts w:ascii="Times New Roman" w:hAnsi="Times New Roman"/>
          <w:sz w:val="24"/>
          <w:szCs w:val="24"/>
        </w:rPr>
        <w:t xml:space="preserve"> </w:t>
      </w:r>
    </w:p>
    <w:p w14:paraId="4C60294E" w14:textId="77777777" w:rsidR="00BA3CDE" w:rsidRPr="00453D7F" w:rsidRDefault="00BA3CDE" w:rsidP="00BA3CDE">
      <w:pPr>
        <w:pStyle w:val="NormalWeb"/>
        <w:ind w:left="1440"/>
      </w:pPr>
      <w:r w:rsidRPr="00453D7F">
        <w:t xml:space="preserve">In the case of a </w:t>
      </w:r>
      <w:hyperlink r:id="rId2170" w:history="1">
        <w:r w:rsidRPr="00453D7F">
          <w:rPr>
            <w:rStyle w:val="Hyperlink"/>
            <w:rFonts w:eastAsiaTheme="majorEastAsia"/>
          </w:rPr>
          <w:t>hospital</w:t>
        </w:r>
      </w:hyperlink>
      <w:r w:rsidRPr="00453D7F">
        <w:t xml:space="preserve"> that has a </w:t>
      </w:r>
      <w:hyperlink r:id="rId2171" w:history="1">
        <w:r w:rsidRPr="00453D7F">
          <w:rPr>
            <w:rStyle w:val="Hyperlink"/>
            <w:rFonts w:eastAsiaTheme="majorEastAsia"/>
          </w:rPr>
          <w:t>hospital</w:t>
        </w:r>
      </w:hyperlink>
      <w:r w:rsidRPr="00453D7F">
        <w:t xml:space="preserve"> emergency department, if any individual (whether or not eligible for benefits under this subchapter) comes to the emergency department and a request is made on the individual’s behalf for examination or treatment for a medical condition, the </w:t>
      </w:r>
      <w:hyperlink r:id="rId2172" w:history="1">
        <w:r w:rsidRPr="00453D7F">
          <w:rPr>
            <w:rStyle w:val="Hyperlink"/>
            <w:rFonts w:eastAsiaTheme="majorEastAsia"/>
          </w:rPr>
          <w:t>hospital</w:t>
        </w:r>
      </w:hyperlink>
      <w:r w:rsidRPr="00453D7F">
        <w:t xml:space="preserve"> must provide for an</w:t>
      </w:r>
      <w:hyperlink r:id="rId2173" w:history="1">
        <w:r w:rsidRPr="00453D7F">
          <w:rPr>
            <w:rStyle w:val="Hyperlink"/>
            <w:rFonts w:eastAsiaTheme="majorEastAsia"/>
          </w:rPr>
          <w:t xml:space="preserve"> appropriate </w:t>
        </w:r>
      </w:hyperlink>
      <w:r w:rsidRPr="00453D7F">
        <w:t xml:space="preserve">medical screening examination within the capability of the </w:t>
      </w:r>
      <w:hyperlink r:id="rId2174" w:history="1">
        <w:r w:rsidRPr="00453D7F">
          <w:rPr>
            <w:rStyle w:val="Hyperlink"/>
            <w:rFonts w:eastAsiaTheme="majorEastAsia"/>
          </w:rPr>
          <w:t>hospital</w:t>
        </w:r>
      </w:hyperlink>
      <w:r w:rsidRPr="00453D7F">
        <w:t xml:space="preserve">’s emergency department, including ancillary services routinely available to the emergency department, to determine whether or not an </w:t>
      </w:r>
      <w:hyperlink r:id="rId2175" w:history="1">
        <w:r w:rsidRPr="00453D7F">
          <w:rPr>
            <w:rStyle w:val="Hyperlink"/>
            <w:rFonts w:eastAsiaTheme="majorEastAsia"/>
          </w:rPr>
          <w:t>emergency medical condition</w:t>
        </w:r>
      </w:hyperlink>
      <w:r w:rsidRPr="00453D7F">
        <w:t xml:space="preserve"> (within the meaning of subsection (e)(1)) exists.</w:t>
      </w:r>
    </w:p>
    <w:p w14:paraId="65D965B6" w14:textId="77777777" w:rsidR="00BA3CDE" w:rsidRDefault="00BA3CDE" w:rsidP="002B1283">
      <w:pPr>
        <w:rPr>
          <w:rFonts w:ascii="Arial Black" w:hAnsi="Arial Black"/>
          <w:b/>
          <w:bCs/>
          <w:sz w:val="28"/>
          <w:szCs w:val="28"/>
        </w:rPr>
      </w:pPr>
    </w:p>
    <w:p w14:paraId="7DCAC68C" w14:textId="77777777" w:rsidR="00BA3CDE" w:rsidRDefault="00BA3CDE" w:rsidP="002B1283">
      <w:pPr>
        <w:rPr>
          <w:rFonts w:ascii="Arial Black" w:hAnsi="Arial Black"/>
          <w:b/>
          <w:bCs/>
          <w:sz w:val="28"/>
          <w:szCs w:val="28"/>
        </w:rPr>
      </w:pPr>
    </w:p>
    <w:p w14:paraId="2980B602" w14:textId="7C1CF408" w:rsidR="00804F3A" w:rsidRDefault="00D47B53" w:rsidP="002B1283">
      <w:pPr>
        <w:rPr>
          <w:rFonts w:ascii="Arial Black" w:hAnsi="Arial Black"/>
          <w:b/>
          <w:bCs/>
          <w:sz w:val="28"/>
          <w:szCs w:val="28"/>
        </w:rPr>
      </w:pPr>
      <w:r>
        <w:rPr>
          <w:rFonts w:ascii="Arial Black" w:hAnsi="Arial Black"/>
          <w:b/>
          <w:bCs/>
          <w:sz w:val="28"/>
          <w:szCs w:val="28"/>
        </w:rPr>
        <w:t>13-130</w:t>
      </w:r>
    </w:p>
    <w:p w14:paraId="4E111451" w14:textId="77777777" w:rsidR="00D47B53" w:rsidRPr="00C5273B" w:rsidRDefault="00D47B53" w:rsidP="00D47B53">
      <w:pPr>
        <w:pStyle w:val="NormalWeb"/>
        <w:rPr>
          <w:rFonts w:ascii="Arial Black" w:hAnsi="Arial Black"/>
          <w:b/>
          <w:bCs/>
          <w:sz w:val="28"/>
          <w:szCs w:val="28"/>
        </w:rPr>
      </w:pPr>
      <w:r w:rsidRPr="00C5273B">
        <w:rPr>
          <w:rFonts w:ascii="Arial Black" w:hAnsi="Arial Black"/>
          <w:b/>
          <w:bCs/>
          <w:sz w:val="28"/>
          <w:szCs w:val="28"/>
        </w:rPr>
        <w:t>M</w:t>
      </w:r>
      <w:r>
        <w:rPr>
          <w:rFonts w:ascii="Arial Black" w:hAnsi="Arial Black"/>
          <w:b/>
          <w:bCs/>
          <w:sz w:val="28"/>
          <w:szCs w:val="28"/>
        </w:rPr>
        <w:t>I: INTOXICATED PERSON GUILTY ASSAULT MEDIC &amp; PD - EMS CAN DISREGARD DRUNK PATIENTS “REFUSAL” HELP</w:t>
      </w:r>
    </w:p>
    <w:p w14:paraId="00453954" w14:textId="77777777" w:rsidR="00D47B53" w:rsidRDefault="00D47B53" w:rsidP="00D47B53">
      <w:pPr>
        <w:pStyle w:val="NormalWeb"/>
      </w:pPr>
      <w:r>
        <w:t xml:space="preserve">On Nov. 17, 2022, in </w:t>
      </w:r>
      <w:r w:rsidRPr="00FF2F49">
        <w:rPr>
          <w:u w:val="single"/>
        </w:rPr>
        <w:t>People of the State of Michigan v. Sean Michael Pach</w:t>
      </w:r>
      <w:r>
        <w:t xml:space="preserve">, the Court of Appeals of Michigan held 3 to 0 (unpublished opinion) that jury properly found defendant guilty of assaulting both of police officer and a paramedic. Under Michigan statute, the medic lawfully determined that Pach would not be safe on his own and could therefore restrain him. </w:t>
      </w:r>
    </w:p>
    <w:p w14:paraId="7AB4ED15" w14:textId="77777777" w:rsidR="00D47B53" w:rsidRDefault="00D47B53" w:rsidP="00D47B53">
      <w:pPr>
        <w:pStyle w:val="NormalWeb"/>
        <w:ind w:left="720"/>
      </w:pPr>
      <w:r>
        <w:t>[T]</w:t>
      </w:r>
      <w:proofErr w:type="gramStart"/>
      <w:r>
        <w:t>he</w:t>
      </w:r>
      <w:proofErr w:type="gramEnd"/>
      <w:r>
        <w:t xml:space="preserve"> paramedic was acting in his capacity as a paramedic. He responded to the scene to aid Pach. The paramedic testified that if someone does not want his assistance, the person must answer his questions appropriately and sign a refusal form. Pach, however, failed to answer the questions and kept saying that he wanted to go home. Instead, as noted above, he was unable to take more than two steps before falling. The paramedic was not acting unlawfully when he helped stop Pach from hitting the ground and when he tried to convince him to sit down so he would not hurt himself. Moreover, viewed in the light most favorable to the jury verdict, there was sufficient evidence to find that the paramedic, exercising his professional judgment, lawfully determined that Pach would not be safe on his own. See MCL 333.20969 (providing that emergency medical services personnel must abide by the decision of the patient to refuse treatment or transportation unless ‘emergency medical services personnel, exercising professional judgment, determine that the individual's condition makes the individual incapable of competently objecting to treatment or transportation ....’). </w:t>
      </w:r>
    </w:p>
    <w:p w14:paraId="09F826DC" w14:textId="77777777" w:rsidR="00D47B53" w:rsidRDefault="00D47B53" w:rsidP="00D47B53">
      <w:pPr>
        <w:pStyle w:val="NormalWeb"/>
        <w:ind w:left="720"/>
      </w:pPr>
      <w:r>
        <w:t>***</w:t>
      </w:r>
    </w:p>
    <w:p w14:paraId="0FF77AE6" w14:textId="77777777" w:rsidR="00D47B53" w:rsidRPr="004203D5" w:rsidRDefault="00D47B53" w:rsidP="00D47B53">
      <w:pPr>
        <w:pStyle w:val="NormalWeb"/>
        <w:ind w:left="720"/>
      </w:pPr>
      <w:r>
        <w:t xml:space="preserve">In sum, there was sufficient evidence to support both convictions.”     </w:t>
      </w:r>
      <w:hyperlink r:id="rId2176" w:history="1">
        <w:r w:rsidRPr="002B6F66">
          <w:rPr>
            <w:rStyle w:val="Hyperlink"/>
            <w:rFonts w:eastAsiaTheme="majorEastAsia"/>
          </w:rPr>
          <w:t>https://law.justia.com/cases/michigan/court-of-appeals-unpublished/2022/359110.html</w:t>
        </w:r>
      </w:hyperlink>
      <w:r>
        <w:t xml:space="preserve"> </w:t>
      </w:r>
    </w:p>
    <w:p w14:paraId="6525C13D" w14:textId="77777777" w:rsidR="00D47B53" w:rsidRPr="004203D5" w:rsidRDefault="00D47B53" w:rsidP="00D47B53">
      <w:pPr>
        <w:pStyle w:val="NormalWeb"/>
        <w:rPr>
          <w:b/>
          <w:bCs/>
        </w:rPr>
      </w:pPr>
      <w:r w:rsidRPr="004203D5">
        <w:rPr>
          <w:b/>
          <w:bCs/>
        </w:rPr>
        <w:t xml:space="preserve">Legal Lesson Learned: Under Michigan law, </w:t>
      </w:r>
      <w:proofErr w:type="gramStart"/>
      <w:r w:rsidRPr="004203D5">
        <w:rPr>
          <w:b/>
          <w:bCs/>
        </w:rPr>
        <w:t>paramedic</w:t>
      </w:r>
      <w:proofErr w:type="gramEnd"/>
      <w:r w:rsidRPr="004203D5">
        <w:rPr>
          <w:b/>
          <w:bCs/>
        </w:rPr>
        <w:t xml:space="preserve"> had authority to disregard patient’s refusal of treatment if individual's condition makes the individual incapable of competently objecting to treatment or transportation.</w:t>
      </w:r>
    </w:p>
    <w:p w14:paraId="506202B9" w14:textId="55CD2987" w:rsidR="00D47B53" w:rsidRDefault="00D47B53" w:rsidP="002B1283">
      <w:pPr>
        <w:rPr>
          <w:rFonts w:ascii="Arial Black" w:hAnsi="Arial Black"/>
          <w:b/>
          <w:bCs/>
          <w:sz w:val="28"/>
          <w:szCs w:val="28"/>
        </w:rPr>
      </w:pPr>
      <w:r>
        <w:rPr>
          <w:rFonts w:ascii="Arial Black" w:hAnsi="Arial Black"/>
          <w:b/>
          <w:bCs/>
          <w:sz w:val="28"/>
          <w:szCs w:val="28"/>
        </w:rPr>
        <w:t>13-129</w:t>
      </w:r>
    </w:p>
    <w:p w14:paraId="39AC4F2E" w14:textId="77777777" w:rsidR="00D47B53" w:rsidRPr="00FA386C" w:rsidRDefault="00D47B53" w:rsidP="00D47B53">
      <w:pPr>
        <w:pStyle w:val="NormalWeb"/>
        <w:rPr>
          <w:rFonts w:ascii="Arial Black" w:hAnsi="Arial Black"/>
          <w:sz w:val="28"/>
          <w:szCs w:val="28"/>
        </w:rPr>
      </w:pPr>
      <w:r>
        <w:rPr>
          <w:rFonts w:ascii="Arial Black" w:hAnsi="Arial Black"/>
          <w:sz w:val="28"/>
          <w:szCs w:val="28"/>
        </w:rPr>
        <w:t>AR: KETAMINE, PATIENT DIED – NO PUNITIVE DAMAGES – NO EVIL INTENT BY MEDIC - EMERGENCY DECISION</w:t>
      </w:r>
    </w:p>
    <w:p w14:paraId="22667706" w14:textId="77777777" w:rsidR="00D47B53" w:rsidRDefault="00D47B53" w:rsidP="00D47B53">
      <w:pPr>
        <w:pStyle w:val="NormalWeb"/>
      </w:pPr>
      <w:r>
        <w:t xml:space="preserve">On Nov. 17, 2022, in </w:t>
      </w:r>
      <w:r w:rsidRPr="00FA386C">
        <w:rPr>
          <w:u w:val="single"/>
        </w:rPr>
        <w:t>Robert Steven Carter v. County of Pima, et al</w:t>
      </w:r>
      <w:r>
        <w:t>., U.S. District Court Judge John C. Hinderaker, United States District Court for District of Arizona, denied plaintiff’s request to add a claim for punitive damages.  Deceased David Cutler had been wandering in desert for over two hours, naked and covered in abrasions, when discovered by County Sheriff deputies, who resisted efforts to bring him down the hill.  Paramedic Reed administered ketamine.  “Here, Reed's alleged breach of Ketamine protocol, even when combined with other evidence and viewed most charitably for Plaintiffs, may establish gross negligence, but cannot establish that Reed acted with an ‘evil mind.’”</w:t>
      </w:r>
    </w:p>
    <w:p w14:paraId="4FF0D674" w14:textId="77777777" w:rsidR="00D47B53" w:rsidRDefault="00D47B53" w:rsidP="00D47B53">
      <w:pPr>
        <w:pStyle w:val="NormalWeb"/>
        <w:ind w:left="720"/>
      </w:pPr>
      <w:r>
        <w:t>“[P]</w:t>
      </w:r>
      <w:proofErr w:type="spellStart"/>
      <w:r>
        <w:t>laintiffs</w:t>
      </w:r>
      <w:proofErr w:type="spellEnd"/>
      <w:r>
        <w:t xml:space="preserve"> allege Reed went up the hill to David Cutler with a syringe of Ketamine, having decided in advance its use was warranted…. Plaintiffs also allege David Cutler's appearance when Reed arrived indicated hyperthermia rather than a need for Ketamine, but Reed nevertheless ignored the hyperthermia and proceeded to administer Ketamine…. Plaintiffs also allege Reed administered Ketamine without certain required resuscitative </w:t>
      </w:r>
      <w:proofErr w:type="gramStart"/>
      <w:r>
        <w:t>equipment, and</w:t>
      </w:r>
      <w:proofErr w:type="gramEnd"/>
      <w:r>
        <w:t xml:space="preserve"> may have injected more than the established limit…. Plaintiffs also allege David Cutler's respiratory arrest was ‘the exact risk identified’ for Ketamine administration, and Reed could not adequately treat it for lack of proper equipment on hand…. Finally, Plaintiffs allege that Reed's statement that he ‘would do it the exact same </w:t>
      </w:r>
      <w:proofErr w:type="spellStart"/>
      <w:r>
        <w:t>way’again</w:t>
      </w:r>
      <w:proofErr w:type="spellEnd"/>
      <w:r>
        <w:t xml:space="preserve"> indicates Reed ‘has not learned his lesson,’ and poses a threat to future patients. </w:t>
      </w:r>
    </w:p>
    <w:p w14:paraId="655FFF99" w14:textId="77777777" w:rsidR="00D47B53" w:rsidRDefault="00D47B53" w:rsidP="00D47B53">
      <w:pPr>
        <w:pStyle w:val="NormalWeb"/>
      </w:pPr>
      <w:r>
        <w:tab/>
        <w:t>***</w:t>
      </w:r>
    </w:p>
    <w:p w14:paraId="74595F0C" w14:textId="2EDD7A28" w:rsidR="00D47B53" w:rsidRPr="00D47B53" w:rsidRDefault="00D47B53" w:rsidP="00D47B53">
      <w:pPr>
        <w:ind w:left="720"/>
        <w:rPr>
          <w:rFonts w:ascii="Times New Roman" w:hAnsi="Times New Roman"/>
          <w:b/>
          <w:bCs/>
          <w:sz w:val="24"/>
          <w:szCs w:val="24"/>
        </w:rPr>
      </w:pPr>
      <w:r w:rsidRPr="00D47B53">
        <w:rPr>
          <w:rFonts w:ascii="Times New Roman" w:hAnsi="Times New Roman"/>
          <w:sz w:val="24"/>
          <w:szCs w:val="24"/>
        </w:rPr>
        <w:t xml:space="preserve">These allegations do not amount to ‘outrageous’ conduct for several reasons. First, Plaintiffs' evidence, even if proved, likely establishes Reed's behavior created only a risk of harm, not a" </w:t>
      </w:r>
      <w:r w:rsidRPr="00D47B53">
        <w:rPr>
          <w:rStyle w:val="Emphasis"/>
          <w:rFonts w:ascii="Times New Roman" w:hAnsi="Times New Roman"/>
          <w:sz w:val="24"/>
          <w:szCs w:val="24"/>
        </w:rPr>
        <w:t>substantial</w:t>
      </w:r>
      <w:r w:rsidRPr="00D47B53">
        <w:rPr>
          <w:rFonts w:ascii="Times New Roman" w:hAnsi="Times New Roman"/>
          <w:sz w:val="24"/>
          <w:szCs w:val="24"/>
        </w:rPr>
        <w:t>" risk of harm. Plaintiffs refer to respiratory depression as "an adverse effect" of Ketamine, and to excessive salivation as "a potential adverse effect" of Ketamine, but do not allege these effects are highly likely or substantially certain. (</w:t>
      </w:r>
      <w:r w:rsidRPr="00D47B53">
        <w:rPr>
          <w:rStyle w:val="Emphasis"/>
          <w:rFonts w:ascii="Times New Roman" w:hAnsi="Times New Roman"/>
          <w:sz w:val="24"/>
          <w:szCs w:val="24"/>
        </w:rPr>
        <w:t>See</w:t>
      </w:r>
      <w:r w:rsidRPr="00D47B53">
        <w:rPr>
          <w:rFonts w:ascii="Times New Roman" w:hAnsi="Times New Roman"/>
          <w:sz w:val="24"/>
          <w:szCs w:val="24"/>
        </w:rPr>
        <w:t xml:space="preserve"> Doc. 256 at 1-2.) Second, Plaintiffs' evidence, even if proved, cannot establish" </w:t>
      </w:r>
      <w:r w:rsidRPr="00D47B53">
        <w:rPr>
          <w:rStyle w:val="Emphasis"/>
          <w:rFonts w:ascii="Times New Roman" w:hAnsi="Times New Roman"/>
          <w:sz w:val="24"/>
          <w:szCs w:val="24"/>
        </w:rPr>
        <w:t>conscious</w:t>
      </w:r>
      <w:r w:rsidRPr="00D47B53">
        <w:rPr>
          <w:rFonts w:ascii="Times New Roman" w:hAnsi="Times New Roman"/>
          <w:sz w:val="24"/>
          <w:szCs w:val="24"/>
        </w:rPr>
        <w:t xml:space="preserve">" and" </w:t>
      </w:r>
      <w:r w:rsidRPr="00D47B53">
        <w:rPr>
          <w:rStyle w:val="Emphasis"/>
          <w:rFonts w:ascii="Times New Roman" w:hAnsi="Times New Roman"/>
          <w:sz w:val="24"/>
          <w:szCs w:val="24"/>
        </w:rPr>
        <w:t>deliberate</w:t>
      </w:r>
      <w:r w:rsidRPr="00D47B53">
        <w:rPr>
          <w:rFonts w:ascii="Times New Roman" w:hAnsi="Times New Roman"/>
          <w:sz w:val="24"/>
          <w:szCs w:val="24"/>
        </w:rPr>
        <w:t xml:space="preserve">" disregard of David Cutler's interests. Any course of emergency treatment involves risk. Healthcare providers must act with incomplete information in highly uncertain environments. They do not disregard a person's interests merely by making a judgment call under difficult, emergency circumstances. Failing to act or </w:t>
      </w:r>
      <w:proofErr w:type="gramStart"/>
      <w:r w:rsidRPr="00D47B53">
        <w:rPr>
          <w:rFonts w:ascii="Times New Roman" w:hAnsi="Times New Roman"/>
          <w:sz w:val="24"/>
          <w:szCs w:val="24"/>
        </w:rPr>
        <w:t>acting</w:t>
      </w:r>
      <w:proofErr w:type="gramEnd"/>
      <w:r w:rsidRPr="00D47B53">
        <w:rPr>
          <w:rFonts w:ascii="Times New Roman" w:hAnsi="Times New Roman"/>
          <w:sz w:val="24"/>
          <w:szCs w:val="24"/>
        </w:rPr>
        <w:t xml:space="preserve"> differently would involve other risks. In hindsight, the balance may be clearer. But liability does not follow armchair clarity. Plaintiffs' evidence arguably tends to show that Reed consciously chose a course of treatment with certain risks over other courses of treatment with other risks. That is not enough for conscious or deliberate disregard. Third, Plaintiffs' evidence does not establish "something more" than gross negligence….  </w:t>
      </w:r>
      <w:hyperlink r:id="rId2177" w:history="1">
        <w:r w:rsidRPr="00D47B53">
          <w:rPr>
            <w:rStyle w:val="Hyperlink"/>
            <w:rFonts w:ascii="Times New Roman" w:eastAsiaTheme="majorEastAsia" w:hAnsi="Times New Roman"/>
            <w:sz w:val="24"/>
            <w:szCs w:val="24"/>
          </w:rPr>
          <w:t>https://public.fastcase.com/J%2FJP6pdidelsXxEE4k%2BLMqK%2F7dEyjXc%2F7MSStJKYdkuUI2%2BsluBCAbCgNdX488UO%2BveqO8oLQ0RNBWqaiEFfWGkDgcs9M5oh9hj%2FtPj21RY%3D?utm_medium=email&amp;_hsmi=226712652&amp;_hsenc=p2ANqtz-9TZeiC7Qp2HA_ZU4GxpYYZhIBONOkNnO3yTlBCsoF00PWMECQ5punx4hjGs90LCim5ScH4TNtnDpd9JYQeMwpFQeZwiA&amp;utm_content=226712652&amp;utm_source=hs_email</w:t>
        </w:r>
      </w:hyperlink>
    </w:p>
    <w:p w14:paraId="46B2D21C" w14:textId="77777777" w:rsidR="00D47B53" w:rsidRPr="00C5273B" w:rsidRDefault="00D47B53" w:rsidP="00D47B53">
      <w:pPr>
        <w:pStyle w:val="paragraph"/>
        <w:rPr>
          <w:b/>
          <w:bCs/>
        </w:rPr>
      </w:pPr>
      <w:r w:rsidRPr="00C5273B">
        <w:rPr>
          <w:b/>
          <w:bCs/>
        </w:rPr>
        <w:t>Legal Lesson Learned:</w:t>
      </w:r>
      <w:r>
        <w:rPr>
          <w:b/>
          <w:bCs/>
        </w:rPr>
        <w:t xml:space="preserve"> No evil intent by the paramedic; no punitive damages claim.</w:t>
      </w:r>
    </w:p>
    <w:p w14:paraId="65880C0A" w14:textId="77777777" w:rsidR="00D47B53" w:rsidRDefault="00D47B53" w:rsidP="002B1283">
      <w:pPr>
        <w:rPr>
          <w:rFonts w:ascii="Arial Black" w:hAnsi="Arial Black"/>
          <w:b/>
          <w:bCs/>
          <w:sz w:val="28"/>
          <w:szCs w:val="28"/>
        </w:rPr>
      </w:pPr>
    </w:p>
    <w:p w14:paraId="3268B8E2" w14:textId="77777777" w:rsidR="00D47B53" w:rsidRDefault="00D47B53" w:rsidP="002B1283">
      <w:pPr>
        <w:rPr>
          <w:rFonts w:ascii="Arial Black" w:hAnsi="Arial Black"/>
          <w:b/>
          <w:bCs/>
          <w:sz w:val="28"/>
          <w:szCs w:val="28"/>
        </w:rPr>
      </w:pPr>
    </w:p>
    <w:p w14:paraId="12B50CA5" w14:textId="77777777" w:rsidR="00D47B53" w:rsidRDefault="00D47B53" w:rsidP="002B1283">
      <w:pPr>
        <w:rPr>
          <w:rFonts w:ascii="Arial Black" w:hAnsi="Arial Black"/>
          <w:b/>
          <w:bCs/>
          <w:sz w:val="28"/>
          <w:szCs w:val="28"/>
        </w:rPr>
      </w:pPr>
    </w:p>
    <w:p w14:paraId="47E64CC3" w14:textId="7689775C" w:rsidR="00804F3A" w:rsidRDefault="00804F3A" w:rsidP="002B1283">
      <w:pPr>
        <w:rPr>
          <w:rFonts w:ascii="Arial Black" w:hAnsi="Arial Black"/>
          <w:b/>
          <w:bCs/>
          <w:sz w:val="28"/>
          <w:szCs w:val="28"/>
        </w:rPr>
      </w:pPr>
      <w:r>
        <w:rPr>
          <w:rFonts w:ascii="Arial Black" w:hAnsi="Arial Black"/>
          <w:b/>
          <w:bCs/>
          <w:sz w:val="28"/>
          <w:szCs w:val="28"/>
        </w:rPr>
        <w:t>13-128</w:t>
      </w:r>
    </w:p>
    <w:p w14:paraId="714CF55A" w14:textId="77777777" w:rsidR="00804F3A" w:rsidRPr="009B2CF3" w:rsidRDefault="00804F3A" w:rsidP="00804F3A">
      <w:pPr>
        <w:pStyle w:val="NormalWeb"/>
        <w:rPr>
          <w:rFonts w:ascii="Arial Black" w:hAnsi="Arial Black"/>
          <w:sz w:val="28"/>
          <w:szCs w:val="28"/>
        </w:rPr>
      </w:pPr>
      <w:r w:rsidRPr="009B2CF3">
        <w:rPr>
          <w:rFonts w:ascii="Arial Black" w:hAnsi="Arial Black"/>
          <w:sz w:val="28"/>
          <w:szCs w:val="28"/>
        </w:rPr>
        <w:t>OK</w:t>
      </w:r>
      <w:r>
        <w:rPr>
          <w:rFonts w:ascii="Arial Black" w:hAnsi="Arial Black"/>
          <w:sz w:val="28"/>
          <w:szCs w:val="28"/>
        </w:rPr>
        <w:t>: SEIZURE PATIENT RESTRAINED – ASKED PD TO HANDCUFF – DIED AT SCENE – NO 4</w:t>
      </w:r>
      <w:r w:rsidRPr="00E13796">
        <w:rPr>
          <w:rFonts w:ascii="Arial Black" w:hAnsi="Arial Black"/>
          <w:sz w:val="28"/>
          <w:szCs w:val="28"/>
          <w:vertAlign w:val="superscript"/>
        </w:rPr>
        <w:t>th</w:t>
      </w:r>
      <w:r>
        <w:rPr>
          <w:rFonts w:ascii="Arial Black" w:hAnsi="Arial Black"/>
          <w:sz w:val="28"/>
          <w:szCs w:val="28"/>
        </w:rPr>
        <w:t xml:space="preserve"> AMEND VIOL. </w:t>
      </w:r>
    </w:p>
    <w:p w14:paraId="306D5EBB" w14:textId="77777777" w:rsidR="00804F3A" w:rsidRDefault="00804F3A" w:rsidP="00804F3A">
      <w:pPr>
        <w:spacing w:before="100" w:beforeAutospacing="1" w:after="100" w:afterAutospacing="1" w:line="240" w:lineRule="auto"/>
        <w:outlineLvl w:val="0"/>
        <w:rPr>
          <w:rFonts w:ascii="Times New Roman" w:hAnsi="Times New Roman"/>
          <w:sz w:val="24"/>
          <w:szCs w:val="24"/>
        </w:rPr>
      </w:pPr>
      <w:r w:rsidRPr="00E13796">
        <w:rPr>
          <w:rFonts w:ascii="Times New Roman" w:hAnsi="Times New Roman"/>
          <w:sz w:val="24"/>
          <w:szCs w:val="24"/>
        </w:rPr>
        <w:t xml:space="preserve">On Oct. 28, 2022, in </w:t>
      </w:r>
      <w:r w:rsidRPr="00E13796">
        <w:rPr>
          <w:rFonts w:ascii="Times New Roman" w:hAnsi="Times New Roman"/>
          <w:sz w:val="24"/>
          <w:szCs w:val="24"/>
          <w:u w:val="single"/>
        </w:rPr>
        <w:t>Charles Kaleb Vanlandingham, Administrator for the Estate of Charles Lamar Vanlandingham v, City of Oklahoma City</w:t>
      </w:r>
      <w:r w:rsidRPr="00E13796">
        <w:rPr>
          <w:rFonts w:ascii="Times New Roman" w:hAnsi="Times New Roman"/>
          <w:sz w:val="24"/>
          <w:szCs w:val="24"/>
        </w:rPr>
        <w:t xml:space="preserve">, U.S. District Court Chief Judge Timothy D. </w:t>
      </w:r>
      <w:proofErr w:type="spellStart"/>
      <w:r w:rsidRPr="00E13796">
        <w:rPr>
          <w:rFonts w:ascii="Times New Roman" w:hAnsi="Times New Roman"/>
          <w:sz w:val="24"/>
          <w:szCs w:val="24"/>
        </w:rPr>
        <w:t>Degiusti</w:t>
      </w:r>
      <w:proofErr w:type="spellEnd"/>
      <w:r w:rsidRPr="00E13796">
        <w:rPr>
          <w:rFonts w:ascii="Times New Roman" w:hAnsi="Times New Roman"/>
          <w:sz w:val="24"/>
          <w:szCs w:val="24"/>
        </w:rPr>
        <w:t xml:space="preserve">, Western District of Oklahoma, granted the EMS and firefighters motion to dismiss; they enjoy qualified immunity. </w:t>
      </w:r>
    </w:p>
    <w:p w14:paraId="32D35ABE" w14:textId="6ED7E819" w:rsidR="00804F3A" w:rsidRDefault="00804F3A" w:rsidP="00804F3A">
      <w:pPr>
        <w:rPr>
          <w:rFonts w:ascii="Arial Black" w:hAnsi="Arial Black"/>
          <w:b/>
          <w:bCs/>
          <w:sz w:val="28"/>
          <w:szCs w:val="28"/>
        </w:rPr>
      </w:pPr>
      <w:r>
        <w:rPr>
          <w:rFonts w:ascii="Times New Roman" w:eastAsia="Times New Roman" w:hAnsi="Times New Roman"/>
          <w:sz w:val="24"/>
          <w:szCs w:val="24"/>
        </w:rPr>
        <w:t>“</w:t>
      </w:r>
      <w:r w:rsidRPr="00E13796">
        <w:rPr>
          <w:rFonts w:ascii="Times New Roman" w:eastAsia="Times New Roman" w:hAnsi="Times New Roman"/>
          <w:sz w:val="24"/>
          <w:szCs w:val="24"/>
        </w:rPr>
        <w:t>Accepting the factual allegations of the Second Amended Complaint and viewing them in the light most favorable to Plaintiff, the Court finds that Plaintiff has failed to allege sufficient facts to show a Fourth Amendment violation by Firefighters. Therefore, the Court finds that the Second Amended Complaint fails to state a plausible § 1983 claim of unlawful seizure or excessive force against Firefighters.</w:t>
      </w:r>
      <w:r>
        <w:rPr>
          <w:rFonts w:ascii="Times New Roman" w:eastAsia="Times New Roman" w:hAnsi="Times New Roman"/>
          <w:sz w:val="24"/>
          <w:szCs w:val="24"/>
        </w:rPr>
        <w:t xml:space="preserve">” </w:t>
      </w:r>
      <w:hyperlink r:id="rId2178" w:history="1">
        <w:r w:rsidRPr="007662E8">
          <w:rPr>
            <w:rStyle w:val="Hyperlink"/>
            <w:rFonts w:ascii="Times New Roman" w:eastAsia="Times New Roman" w:hAnsi="Times New Roman"/>
            <w:kern w:val="36"/>
          </w:rPr>
          <w:t>https://public.fastcase.com/J%2FJP6pdidelsXxEE4k%2BLMv5wihlcRVj4L9YHbnV6MVAF3KBJWQtSNgsG4EjgakbdHjeAvtzGQxxiofGv8pQP2WzdDBJrvHehgIHwsEqWl4I%3D?utm_medium=email&amp;_hsmi=226712652&amp;_hsenc=p2ANqtz-8bxe8uEVUAEFxEuakn9lUGLQUwlcgKmV3pJL4LaqF4K3hrnG0m_YdcBfrpGQgthbsaGFQPAZbt-ltRFFMr5oynBxpKXA&amp;utm_content=226712652&amp;utm_source=hs_email</w:t>
        </w:r>
      </w:hyperlink>
    </w:p>
    <w:p w14:paraId="4BF1746E" w14:textId="77777777" w:rsidR="00804F3A" w:rsidRPr="00E13796" w:rsidRDefault="00804F3A" w:rsidP="00804F3A">
      <w:pPr>
        <w:pStyle w:val="NormalWeb"/>
        <w:rPr>
          <w:b/>
          <w:bCs/>
        </w:rPr>
      </w:pPr>
      <w:r w:rsidRPr="00E13796">
        <w:rPr>
          <w:b/>
          <w:bCs/>
        </w:rPr>
        <w:t>Legal Lesson Learned: EMS patient restraint protocols</w:t>
      </w:r>
      <w:r>
        <w:rPr>
          <w:b/>
          <w:bCs/>
        </w:rPr>
        <w:t xml:space="preserve"> may include requesting law enforcement assistance. </w:t>
      </w:r>
    </w:p>
    <w:p w14:paraId="67C3C6F7" w14:textId="3824DFC7" w:rsidR="00804F3A" w:rsidRDefault="00804F3A" w:rsidP="002B1283">
      <w:pPr>
        <w:rPr>
          <w:rFonts w:ascii="Arial Black" w:hAnsi="Arial Black"/>
          <w:b/>
          <w:bCs/>
          <w:sz w:val="28"/>
          <w:szCs w:val="28"/>
        </w:rPr>
      </w:pPr>
    </w:p>
    <w:p w14:paraId="79A9AAC8" w14:textId="2B8D6D1E" w:rsidR="00804F3A" w:rsidRDefault="00804F3A" w:rsidP="002B1283">
      <w:pPr>
        <w:rPr>
          <w:rFonts w:ascii="Arial Black" w:hAnsi="Arial Black"/>
          <w:b/>
          <w:bCs/>
          <w:sz w:val="28"/>
          <w:szCs w:val="28"/>
        </w:rPr>
      </w:pPr>
      <w:r>
        <w:rPr>
          <w:rFonts w:ascii="Arial Black" w:hAnsi="Arial Black"/>
          <w:b/>
          <w:bCs/>
          <w:sz w:val="28"/>
          <w:szCs w:val="28"/>
        </w:rPr>
        <w:t>13-125</w:t>
      </w:r>
    </w:p>
    <w:p w14:paraId="723A8F21" w14:textId="77777777" w:rsidR="00804F3A" w:rsidRPr="00E869A2" w:rsidRDefault="00804F3A" w:rsidP="00804F3A">
      <w:pPr>
        <w:pStyle w:val="NormalWeb"/>
        <w:rPr>
          <w:rFonts w:ascii="Arial Black" w:hAnsi="Arial Black"/>
          <w:sz w:val="28"/>
          <w:szCs w:val="28"/>
        </w:rPr>
      </w:pPr>
      <w:r>
        <w:rPr>
          <w:rFonts w:ascii="Arial Black" w:hAnsi="Arial Black"/>
          <w:sz w:val="28"/>
          <w:szCs w:val="28"/>
        </w:rPr>
        <w:t>MI: CPD PATIENT REFUSED TRANSPORT - NO REFUSAL FORM SIGNED – 2</w:t>
      </w:r>
      <w:r w:rsidRPr="002F1DB2">
        <w:rPr>
          <w:rFonts w:ascii="Arial Black" w:hAnsi="Arial Black"/>
          <w:sz w:val="28"/>
          <w:szCs w:val="28"/>
          <w:vertAlign w:val="superscript"/>
        </w:rPr>
        <w:t>nd</w:t>
      </w:r>
      <w:r>
        <w:rPr>
          <w:rFonts w:ascii="Arial Black" w:hAnsi="Arial Black"/>
          <w:sz w:val="28"/>
          <w:szCs w:val="28"/>
        </w:rPr>
        <w:t xml:space="preserve"> CALL, DIED CARDIAC - EMS IMMUNITY </w:t>
      </w:r>
    </w:p>
    <w:p w14:paraId="4B91EB7C" w14:textId="77777777" w:rsidR="00804F3A" w:rsidRDefault="00804F3A" w:rsidP="00804F3A">
      <w:pPr>
        <w:pStyle w:val="NormalWeb"/>
      </w:pPr>
      <w:r w:rsidRPr="00E869A2">
        <w:t xml:space="preserve">On Oct. 27, 2022, in </w:t>
      </w:r>
      <w:r w:rsidRPr="00815A5D">
        <w:rPr>
          <w:u w:val="single"/>
        </w:rPr>
        <w:t>Myra Buffington, Personal Representative of the Estate of Maurice Freeman v, Alic Layne, Ryan Cook and City of Detroit</w:t>
      </w:r>
      <w:r w:rsidRPr="00E869A2">
        <w:t>, the C</w:t>
      </w:r>
      <w:r>
        <w:t xml:space="preserve">ourt of Appeals of Michigan held (3 to 0), unpublished opinion, that trial court properly granted summary judgment to the defendants, since there was no evidence of gross negligence, even if the Medics didn’t get a signed refusal form. </w:t>
      </w:r>
    </w:p>
    <w:p w14:paraId="3803CFAF" w14:textId="77777777" w:rsidR="00804F3A" w:rsidRDefault="00804F3A" w:rsidP="00804F3A">
      <w:pPr>
        <w:spacing w:after="100" w:line="240" w:lineRule="auto"/>
        <w:ind w:left="720"/>
      </w:pPr>
      <w:r>
        <w:rPr>
          <w:rFonts w:ascii="Times New Roman" w:eastAsia="Times New Roman" w:hAnsi="Times New Roman"/>
          <w:sz w:val="24"/>
          <w:szCs w:val="24"/>
        </w:rPr>
        <w:t>“</w:t>
      </w:r>
      <w:r w:rsidRPr="006F70A6">
        <w:rPr>
          <w:rFonts w:ascii="Times New Roman" w:eastAsia="Times New Roman" w:hAnsi="Times New Roman"/>
          <w:sz w:val="24"/>
          <w:szCs w:val="24"/>
        </w:rPr>
        <w:t>Bad things happen in the world. In a world of accountability, everybody likes to point fingers and sit in judgment. The real world is a different place than the comfort of an office sitting behind a computer. Fault by which humans can be held legally liable does not always flow from bad things happening in the real world. While Mr. Freeman's death is tragic, an even greater tragedy is pinning blame (gross negligence/willful misconduct) on EMS techs doing a difficult job under trying circumstances. Those of us fortunate to sit in the relative comfort and safety of offices on our computers using big fancy words like gross negligence, should keep in mind, as we are tasked with determining legal liability for folks in the real world, that tragic results are not always avoidable and don't always equate with the high bar of gross negligence.</w:t>
      </w:r>
      <w:r>
        <w:rPr>
          <w:rFonts w:ascii="Times New Roman" w:eastAsia="Times New Roman" w:hAnsi="Times New Roman"/>
          <w:sz w:val="24"/>
          <w:szCs w:val="24"/>
        </w:rPr>
        <w:t xml:space="preserve">” </w:t>
      </w:r>
      <w:r>
        <w:t xml:space="preserve"> </w:t>
      </w:r>
      <w:hyperlink r:id="rId2179" w:history="1">
        <w:r w:rsidRPr="00A7079D">
          <w:rPr>
            <w:rStyle w:val="Hyperlink"/>
            <w:rFonts w:eastAsiaTheme="majorEastAsia"/>
          </w:rPr>
          <w:t>https://law.justia.com/cases/michigan/court-of-appeals-unpublished/2022/357887.html</w:t>
        </w:r>
      </w:hyperlink>
      <w:r>
        <w:t xml:space="preserve"> </w:t>
      </w:r>
    </w:p>
    <w:p w14:paraId="453249F9" w14:textId="77777777" w:rsidR="00804F3A" w:rsidRPr="00815A5D" w:rsidRDefault="00804F3A" w:rsidP="00804F3A">
      <w:pPr>
        <w:pStyle w:val="NormalWeb"/>
        <w:rPr>
          <w:b/>
          <w:bCs/>
        </w:rPr>
      </w:pPr>
      <w:r w:rsidRPr="00815A5D">
        <w:rPr>
          <w:b/>
          <w:bCs/>
        </w:rPr>
        <w:t>Legal Lesson Learned:</w:t>
      </w:r>
      <w:r>
        <w:rPr>
          <w:b/>
          <w:bCs/>
        </w:rPr>
        <w:t xml:space="preserve"> Use the Refusal Form or document why patient would not sign; reduce risk of litigation. </w:t>
      </w:r>
    </w:p>
    <w:p w14:paraId="6B9FF302" w14:textId="77777777" w:rsidR="00804F3A" w:rsidRDefault="00804F3A" w:rsidP="002B1283">
      <w:pPr>
        <w:rPr>
          <w:rFonts w:ascii="Arial Black" w:hAnsi="Arial Black"/>
          <w:b/>
          <w:bCs/>
          <w:sz w:val="28"/>
          <w:szCs w:val="28"/>
        </w:rPr>
      </w:pPr>
    </w:p>
    <w:p w14:paraId="4D45F257" w14:textId="77777777" w:rsidR="00804F3A" w:rsidRDefault="00804F3A" w:rsidP="002B1283">
      <w:pPr>
        <w:rPr>
          <w:rFonts w:ascii="Arial Black" w:hAnsi="Arial Black"/>
          <w:b/>
          <w:bCs/>
          <w:sz w:val="28"/>
          <w:szCs w:val="28"/>
        </w:rPr>
      </w:pPr>
    </w:p>
    <w:p w14:paraId="3449B5A5" w14:textId="691BBA37" w:rsidR="00AC5FED" w:rsidRDefault="00755E16" w:rsidP="002B1283">
      <w:pPr>
        <w:rPr>
          <w:rFonts w:ascii="Arial Black" w:hAnsi="Arial Black"/>
          <w:b/>
          <w:bCs/>
          <w:sz w:val="28"/>
          <w:szCs w:val="28"/>
        </w:rPr>
      </w:pPr>
      <w:r>
        <w:rPr>
          <w:rFonts w:ascii="Arial Black" w:hAnsi="Arial Black"/>
          <w:b/>
          <w:bCs/>
          <w:sz w:val="28"/>
          <w:szCs w:val="28"/>
        </w:rPr>
        <w:t>13-126</w:t>
      </w:r>
    </w:p>
    <w:p w14:paraId="3B78DAF4" w14:textId="77777777" w:rsidR="00755E16" w:rsidRDefault="00755E16" w:rsidP="00755E16">
      <w:pPr>
        <w:pStyle w:val="NormalWeb"/>
        <w:rPr>
          <w:rFonts w:ascii="Arial Black" w:hAnsi="Arial Black"/>
          <w:sz w:val="28"/>
          <w:szCs w:val="28"/>
        </w:rPr>
      </w:pPr>
      <w:bookmarkStart w:id="439" w:name="_Hlk115616390"/>
      <w:r>
        <w:rPr>
          <w:rFonts w:ascii="Arial Black" w:hAnsi="Arial Black"/>
          <w:sz w:val="28"/>
          <w:szCs w:val="28"/>
        </w:rPr>
        <w:t>CA: MENTAL PATIENT JUMPS OUT MOVING AMBUL. - NO SHOULDER HARNESS, DOORS UNLOCKED – CASE PROCEED</w:t>
      </w:r>
    </w:p>
    <w:p w14:paraId="267487CD" w14:textId="77777777" w:rsidR="00755E16" w:rsidRDefault="00755E16" w:rsidP="00755E16">
      <w:pPr>
        <w:pStyle w:val="NormalWeb"/>
      </w:pPr>
      <w:r>
        <w:t xml:space="preserve">On Sept. 29, 2022, in </w:t>
      </w:r>
      <w:r>
        <w:rPr>
          <w:u w:val="single"/>
        </w:rPr>
        <w:t>T.L., a Minor v. City Ambulance of Eureka, Inc</w:t>
      </w:r>
      <w:r>
        <w:t xml:space="preserve">., the California Court of Appeals, First District (First Division), held (3 to 0) that the trial court should not have granted summary judgment to the ambulance company and two EMS; lawsuit to proceed.   </w:t>
      </w:r>
    </w:p>
    <w:p w14:paraId="5F8A900C" w14:textId="77777777" w:rsidR="00755E16" w:rsidRDefault="00755E16" w:rsidP="00755E16">
      <w:pPr>
        <w:pStyle w:val="NormalWeb"/>
        <w:ind w:left="720"/>
      </w:pPr>
      <w:r>
        <w:t xml:space="preserve">“In short, as plaintiff has argued the case on appeal, and </w:t>
      </w:r>
      <w:proofErr w:type="gramStart"/>
      <w:r>
        <w:t>in light of</w:t>
      </w:r>
      <w:proofErr w:type="gramEnd"/>
      <w:r>
        <w:t xml:space="preserve"> the record on appeal, the only claims plaintiff has advanced that have any conceivable traction are that the gurney should have had shoulder harnesses which should have been used, and the rear door of the ambulance should have been locked. As we have </w:t>
      </w:r>
      <w:proofErr w:type="gramStart"/>
      <w:r>
        <w:t>observed,</w:t>
      </w:r>
      <w:proofErr w:type="gramEnd"/>
      <w:r>
        <w:t xml:space="preserve"> whether these claims have any merit was not addressed by the summary judgment motion.” </w:t>
      </w:r>
      <w:hyperlink r:id="rId2180" w:history="1">
        <w:r>
          <w:rPr>
            <w:rStyle w:val="Hyperlink"/>
          </w:rPr>
          <w:t>https://law.justia.com/cases/california/court-of-appeal/2022/a162508.html</w:t>
        </w:r>
      </w:hyperlink>
      <w:r>
        <w:t xml:space="preserve"> </w:t>
      </w:r>
    </w:p>
    <w:bookmarkEnd w:id="439"/>
    <w:p w14:paraId="7733D457" w14:textId="77777777" w:rsidR="00755E16" w:rsidRDefault="00755E16" w:rsidP="00755E16">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Legal Lesson Learned: When transporting a psych patient, use shoulder harness and consider other restraints; lock back door of the ambulance.</w:t>
      </w:r>
    </w:p>
    <w:p w14:paraId="499243AA" w14:textId="77777777" w:rsidR="00755E16" w:rsidRDefault="00755E16" w:rsidP="002B1283">
      <w:pPr>
        <w:rPr>
          <w:rFonts w:ascii="Arial Black" w:hAnsi="Arial Black"/>
          <w:b/>
          <w:bCs/>
          <w:sz w:val="28"/>
          <w:szCs w:val="28"/>
        </w:rPr>
      </w:pPr>
    </w:p>
    <w:p w14:paraId="650E5CFC" w14:textId="77777777" w:rsidR="00755E16" w:rsidRDefault="00755E16" w:rsidP="002B1283">
      <w:pPr>
        <w:rPr>
          <w:rFonts w:ascii="Arial Black" w:hAnsi="Arial Black"/>
          <w:b/>
          <w:bCs/>
          <w:sz w:val="28"/>
          <w:szCs w:val="28"/>
        </w:rPr>
      </w:pPr>
    </w:p>
    <w:p w14:paraId="0CC4C99F" w14:textId="0B3AAD13" w:rsidR="00AC5FED" w:rsidRDefault="00AC5FED" w:rsidP="002B1283">
      <w:pPr>
        <w:rPr>
          <w:rFonts w:ascii="Arial Black" w:hAnsi="Arial Black"/>
          <w:b/>
          <w:bCs/>
          <w:sz w:val="28"/>
          <w:szCs w:val="28"/>
        </w:rPr>
      </w:pPr>
      <w:r>
        <w:rPr>
          <w:rFonts w:ascii="Arial Black" w:hAnsi="Arial Black"/>
          <w:b/>
          <w:bCs/>
          <w:sz w:val="28"/>
          <w:szCs w:val="28"/>
        </w:rPr>
        <w:t>13-125</w:t>
      </w:r>
    </w:p>
    <w:p w14:paraId="48D95C3E" w14:textId="77777777" w:rsidR="00755E16" w:rsidRDefault="00755E16" w:rsidP="00755E16">
      <w:pPr>
        <w:pStyle w:val="NormalWeb"/>
        <w:rPr>
          <w:rFonts w:ascii="Arial Black" w:hAnsi="Arial Black"/>
          <w:b/>
          <w:bCs/>
          <w:sz w:val="28"/>
          <w:szCs w:val="28"/>
        </w:rPr>
      </w:pPr>
      <w:r>
        <w:rPr>
          <w:rFonts w:ascii="Arial Black" w:hAnsi="Arial Black"/>
          <w:b/>
          <w:bCs/>
          <w:sz w:val="28"/>
          <w:szCs w:val="28"/>
        </w:rPr>
        <w:t>GA:  EMS CALLED BY PD – DEFENDANT FOAMING MOUTH, UNRESPONSIVE – NO TRANSPORT / DIED – CASE PROCEED</w:t>
      </w:r>
    </w:p>
    <w:p w14:paraId="55B4A0D8" w14:textId="77777777" w:rsidR="00755E16" w:rsidRDefault="00755E16" w:rsidP="00755E16">
      <w:pPr>
        <w:pStyle w:val="NormalWeb"/>
      </w:pPr>
      <w:r>
        <w:t xml:space="preserve">On Sept. 27, 2022, in </w:t>
      </w:r>
      <w:r>
        <w:rPr>
          <w:u w:val="single"/>
        </w:rPr>
        <w:t>Anthony Wilson, Kimberly Wilson, the parents of Martez Wilson,  et al. v. EMT Sean Flack; Brian Porterfield, Paramedic; City of Douglasville, GA, et al</w:t>
      </w:r>
      <w:r>
        <w:t>., the U.S. Court of Appeals for the 11</w:t>
      </w:r>
      <w:r>
        <w:rPr>
          <w:vertAlign w:val="superscript"/>
        </w:rPr>
        <w:t>th</w:t>
      </w:r>
      <w:r>
        <w:t xml:space="preserve"> Circuit (Atlanta), held (3 to 0)(unpublished decision) that the lawsuit shall be reinstated against the two EMS personnel. </w:t>
      </w:r>
    </w:p>
    <w:p w14:paraId="0D8B7502" w14:textId="77777777" w:rsidR="00755E16" w:rsidRDefault="00755E16" w:rsidP="00755E16">
      <w:pPr>
        <w:pStyle w:val="NormalWeb"/>
        <w:ind w:left="720"/>
      </w:pPr>
      <w:r>
        <w:t xml:space="preserve">“It is undisputed that Defendants conducted a medical assessment of Wilson when they were called to the scene of his arrest. Specifically, they felt Wilson's skin, visually assessed his breathing by watching his chest movements, and used a ZOLL monitor to determine his pulse and oxygen levels. Based on their assessment, Defendants determined that no further assessment or treatment of Wilson was necessary. As discussed above, a jury might reasonably infer that this determination was so reckless that it amounted to a deliberate indifference to Wilson's obvious medical needs, particularly given the additional information Defendants received at the end of their assessment that Wilson was foaming at the mouth.” </w:t>
      </w:r>
      <w:hyperlink r:id="rId2181" w:history="1">
        <w:r>
          <w:rPr>
            <w:rStyle w:val="Hyperlink"/>
          </w:rPr>
          <w:t>https://media.ca11.uscourts.gov/opinions/unpub/files/201914294.pdf</w:t>
        </w:r>
      </w:hyperlink>
      <w:r>
        <w:t xml:space="preserve"> </w:t>
      </w:r>
    </w:p>
    <w:p w14:paraId="4CDB86C7" w14:textId="77777777" w:rsidR="00755E16" w:rsidRDefault="00755E16" w:rsidP="00755E16">
      <w:pPr>
        <w:pStyle w:val="NormalWeb"/>
        <w:rPr>
          <w:b/>
          <w:bCs/>
        </w:rPr>
      </w:pPr>
      <w:r>
        <w:rPr>
          <w:b/>
          <w:bCs/>
        </w:rPr>
        <w:t xml:space="preserve">Legal Lesson Learned: If a patient is unresponsive, transport to a hospital. </w:t>
      </w:r>
    </w:p>
    <w:p w14:paraId="5138533C" w14:textId="77777777" w:rsidR="00AC5FED" w:rsidRDefault="00AC5FED" w:rsidP="002B1283">
      <w:pPr>
        <w:rPr>
          <w:rFonts w:ascii="Arial Black" w:hAnsi="Arial Black"/>
          <w:b/>
          <w:bCs/>
          <w:sz w:val="28"/>
          <w:szCs w:val="28"/>
        </w:rPr>
      </w:pPr>
    </w:p>
    <w:p w14:paraId="274F08B9" w14:textId="77777777" w:rsidR="00AC5FED" w:rsidRDefault="00AC5FED" w:rsidP="002B1283">
      <w:pPr>
        <w:rPr>
          <w:rFonts w:ascii="Arial Black" w:hAnsi="Arial Black"/>
          <w:b/>
          <w:bCs/>
          <w:sz w:val="28"/>
          <w:szCs w:val="28"/>
        </w:rPr>
      </w:pPr>
    </w:p>
    <w:p w14:paraId="11CC5DEF" w14:textId="74777EF9" w:rsidR="00AC5FED" w:rsidRDefault="00AC5FED" w:rsidP="002B1283">
      <w:pPr>
        <w:rPr>
          <w:rFonts w:ascii="Arial Black" w:hAnsi="Arial Black"/>
          <w:b/>
          <w:bCs/>
          <w:sz w:val="28"/>
          <w:szCs w:val="28"/>
        </w:rPr>
      </w:pPr>
      <w:r>
        <w:rPr>
          <w:rFonts w:ascii="Arial Black" w:hAnsi="Arial Black"/>
          <w:b/>
          <w:bCs/>
          <w:sz w:val="28"/>
          <w:szCs w:val="28"/>
        </w:rPr>
        <w:t>13-124</w:t>
      </w:r>
    </w:p>
    <w:p w14:paraId="0FB6D7C4" w14:textId="77777777" w:rsidR="00AC5FED" w:rsidRDefault="00AC5FED" w:rsidP="00AC5FED">
      <w:pPr>
        <w:pStyle w:val="NormalWeb"/>
        <w:rPr>
          <w:rFonts w:ascii="Arial Black" w:hAnsi="Arial Black"/>
          <w:b/>
          <w:bCs/>
          <w:sz w:val="28"/>
          <w:szCs w:val="28"/>
        </w:rPr>
      </w:pPr>
      <w:r>
        <w:rPr>
          <w:rFonts w:ascii="Arial Black" w:hAnsi="Arial Black"/>
          <w:b/>
          <w:bCs/>
          <w:sz w:val="28"/>
          <w:szCs w:val="28"/>
        </w:rPr>
        <w:t>AR: WHEELCHAIR PATIENT – ASKED NOT USE SHOULDER HARNESS – FELL OUT, LATER DIED - 75% LIABILITY</w:t>
      </w:r>
    </w:p>
    <w:p w14:paraId="74802F79" w14:textId="77777777" w:rsidR="00AC5FED" w:rsidRPr="00AC5FED" w:rsidRDefault="00AC5FED" w:rsidP="00AC5FED">
      <w:pPr>
        <w:pStyle w:val="NormalWeb"/>
      </w:pPr>
      <w:r w:rsidRPr="00AC5FED">
        <w:t xml:space="preserve">On Sept. 16, 2022, in </w:t>
      </w:r>
      <w:r w:rsidRPr="00AC5FED">
        <w:rPr>
          <w:u w:val="single"/>
        </w:rPr>
        <w:t>Clementine Thomas v. United States of America</w:t>
      </w:r>
      <w:r w:rsidRPr="00AC5FED">
        <w:t xml:space="preserve">, U.S. District Court Judge Dominie W. Lanza, U.S. District of Arizona, held that the Federal government, which had contracted with private ambulance company, is 75% liable in damages, not 100% since the patient was 25% at fault. </w:t>
      </w:r>
    </w:p>
    <w:p w14:paraId="54525857" w14:textId="74AA3AC7" w:rsidR="00AC5FED" w:rsidRPr="00AC5FED" w:rsidRDefault="00AC5FED" w:rsidP="00AC5FED">
      <w:pPr>
        <w:ind w:left="720"/>
        <w:rPr>
          <w:rFonts w:ascii="Times New Roman" w:hAnsi="Times New Roman"/>
          <w:b/>
          <w:bCs/>
          <w:sz w:val="24"/>
          <w:szCs w:val="24"/>
        </w:rPr>
      </w:pPr>
      <w:r w:rsidRPr="00AC5FED">
        <w:rPr>
          <w:rFonts w:ascii="Times New Roman" w:hAnsi="Times New Roman"/>
          <w:sz w:val="24"/>
          <w:szCs w:val="24"/>
        </w:rPr>
        <w:t xml:space="preserve">“Here, [Veronica] Stevens bears 25% of the fault </w:t>
      </w:r>
      <w:proofErr w:type="gramStart"/>
      <w:r w:rsidRPr="00AC5FED">
        <w:rPr>
          <w:rFonts w:ascii="Times New Roman" w:hAnsi="Times New Roman"/>
          <w:sz w:val="24"/>
          <w:szCs w:val="24"/>
        </w:rPr>
        <w:t>in light of the fact that</w:t>
      </w:r>
      <w:proofErr w:type="gramEnd"/>
      <w:r w:rsidRPr="00AC5FED">
        <w:rPr>
          <w:rFonts w:ascii="Times New Roman" w:hAnsi="Times New Roman"/>
          <w:sz w:val="24"/>
          <w:szCs w:val="24"/>
        </w:rPr>
        <w:t xml:space="preserve"> Parker failed to secure the shoulder belt at her request. None of the other passengers in the van suffered injury from the braking incident, which suggests that if Stevens had simply allowed Parker to belt her into place (as had been his practice until she instructed him to stop), she would have avoided injury, </w:t>
      </w:r>
      <w:proofErr w:type="gramStart"/>
      <w:r w:rsidRPr="00AC5FED">
        <w:rPr>
          <w:rFonts w:ascii="Times New Roman" w:hAnsi="Times New Roman"/>
          <w:sz w:val="24"/>
          <w:szCs w:val="24"/>
        </w:rPr>
        <w:t>too.”</w:t>
      </w:r>
      <w:proofErr w:type="gramEnd"/>
      <w:r w:rsidRPr="00AC5FED">
        <w:rPr>
          <w:rFonts w:ascii="Times New Roman" w:hAnsi="Times New Roman"/>
          <w:sz w:val="24"/>
          <w:szCs w:val="24"/>
        </w:rPr>
        <w:t xml:space="preserve"> </w:t>
      </w:r>
      <w:hyperlink r:id="rId2182" w:history="1">
        <w:r w:rsidRPr="00AC5FED">
          <w:rPr>
            <w:rStyle w:val="Hyperlink"/>
            <w:rFonts w:ascii="Times New Roman" w:hAnsi="Times New Roman"/>
            <w:sz w:val="24"/>
            <w:szCs w:val="24"/>
          </w:rPr>
          <w:t>https://public.fastcase.com/J%2FJP6pdidelsXxEE4k%2BLMs47M8bX1jWCTU1t0SYWR19Iu9IUPatjWgRJl3RKX2DrLTQazC1ae%2FBWEsyi8L93eaS1AKPtR90SvCK0pYsfZI4%3D</w:t>
        </w:r>
      </w:hyperlink>
    </w:p>
    <w:p w14:paraId="32A8DB4C" w14:textId="77777777" w:rsidR="00AC5FED" w:rsidRDefault="00AC5FED" w:rsidP="00AC5FED">
      <w:pPr>
        <w:pStyle w:val="NormalWeb"/>
        <w:rPr>
          <w:b/>
          <w:bCs/>
        </w:rPr>
      </w:pPr>
      <w:r>
        <w:rPr>
          <w:b/>
          <w:bCs/>
        </w:rPr>
        <w:t xml:space="preserve">Legal Lesson Learned: When transporting </w:t>
      </w:r>
      <w:proofErr w:type="gramStart"/>
      <w:r>
        <w:rPr>
          <w:b/>
          <w:bCs/>
        </w:rPr>
        <w:t>patient</w:t>
      </w:r>
      <w:proofErr w:type="gramEnd"/>
      <w:r>
        <w:rPr>
          <w:b/>
          <w:bCs/>
        </w:rPr>
        <w:t xml:space="preserve">, use all the seat and harness belts, even if </w:t>
      </w:r>
      <w:proofErr w:type="gramStart"/>
      <w:r>
        <w:rPr>
          <w:b/>
          <w:bCs/>
        </w:rPr>
        <w:t>patient</w:t>
      </w:r>
      <w:proofErr w:type="gramEnd"/>
      <w:r>
        <w:rPr>
          <w:b/>
          <w:bCs/>
        </w:rPr>
        <w:t xml:space="preserve"> </w:t>
      </w:r>
      <w:proofErr w:type="gramStart"/>
      <w:r>
        <w:rPr>
          <w:b/>
          <w:bCs/>
        </w:rPr>
        <w:t>requests</w:t>
      </w:r>
      <w:proofErr w:type="gramEnd"/>
      <w:r>
        <w:rPr>
          <w:b/>
          <w:bCs/>
        </w:rPr>
        <w:t xml:space="preserve"> not use harness belts.  </w:t>
      </w:r>
    </w:p>
    <w:p w14:paraId="12AA5471" w14:textId="77777777" w:rsidR="00AC5FED" w:rsidRDefault="00AC5FED" w:rsidP="002B1283">
      <w:pPr>
        <w:rPr>
          <w:rFonts w:ascii="Arial Black" w:hAnsi="Arial Black"/>
          <w:b/>
          <w:bCs/>
          <w:sz w:val="28"/>
          <w:szCs w:val="28"/>
        </w:rPr>
      </w:pPr>
    </w:p>
    <w:p w14:paraId="70EFC0D9" w14:textId="2300735D" w:rsidR="00AC5FED" w:rsidRDefault="00AC5FED" w:rsidP="002B1283">
      <w:pPr>
        <w:rPr>
          <w:rFonts w:ascii="Arial Black" w:hAnsi="Arial Black"/>
          <w:b/>
          <w:bCs/>
          <w:sz w:val="28"/>
          <w:szCs w:val="28"/>
        </w:rPr>
      </w:pPr>
      <w:r>
        <w:rPr>
          <w:rFonts w:ascii="Arial Black" w:hAnsi="Arial Black"/>
          <w:b/>
          <w:bCs/>
          <w:sz w:val="28"/>
          <w:szCs w:val="28"/>
        </w:rPr>
        <w:t>13-123</w:t>
      </w:r>
    </w:p>
    <w:p w14:paraId="78CACB3C" w14:textId="77777777" w:rsidR="00AC5FED" w:rsidRDefault="00AC5FED" w:rsidP="00AC5FED">
      <w:pPr>
        <w:pStyle w:val="NormalWeb"/>
        <w:rPr>
          <w:rFonts w:ascii="Arial Black" w:hAnsi="Arial Black"/>
          <w:b/>
          <w:bCs/>
          <w:sz w:val="28"/>
          <w:szCs w:val="28"/>
        </w:rPr>
      </w:pPr>
      <w:r>
        <w:rPr>
          <w:rFonts w:ascii="Arial Black" w:hAnsi="Arial Black"/>
          <w:b/>
          <w:bCs/>
          <w:sz w:val="28"/>
          <w:szCs w:val="28"/>
        </w:rPr>
        <w:t>MD: PD ASSAULTED - DURING EMS TRANSPORT DEF. SAID “WENT FOR THAT WEAPON” – ADMISSIBLE IN CRIM. CASE</w:t>
      </w:r>
    </w:p>
    <w:p w14:paraId="16E3C1B9" w14:textId="77777777" w:rsidR="00AC5FED" w:rsidRDefault="00AC5FED" w:rsidP="00AC5FED">
      <w:pPr>
        <w:pStyle w:val="NormalWeb"/>
      </w:pPr>
      <w:r>
        <w:t xml:space="preserve">On Aug. 31, 2022, in </w:t>
      </w:r>
      <w:r>
        <w:rPr>
          <w:u w:val="single"/>
        </w:rPr>
        <w:t>Stanley C. Butler, Jr. v. State of Maryland</w:t>
      </w:r>
      <w:r>
        <w:t xml:space="preserve">, the Court of Appeal Appeals of Maryland held (3 to 0) that the defendant’s comments in the back of ambulance were admissible to the jury in his criminal trial for disarming a law-enforcement officer, assault on a law-enforcement officer, two counts of second-degree assault, and resisting arrest. </w:t>
      </w:r>
    </w:p>
    <w:p w14:paraId="3A8B92AD" w14:textId="77777777" w:rsidR="00AC5FED" w:rsidRDefault="00AC5FED" w:rsidP="00AC5FED">
      <w:pPr>
        <w:pStyle w:val="NormalWeb"/>
        <w:ind w:left="720"/>
      </w:pPr>
      <w:r>
        <w:t xml:space="preserve">“We reach the same conclusion as the circuit court in holding that [EMT] English was not a </w:t>
      </w:r>
      <w:proofErr w:type="gramStart"/>
      <w:r>
        <w:t>State</w:t>
      </w:r>
      <w:proofErr w:type="gramEnd"/>
      <w:r>
        <w:t xml:space="preserve"> agent. *** The [trial] court reasoned that EMTs are ‘civilians, they are not commissioned police officers . . . They are independent,’ and that Officer Kilgore did not ask Butler any questions or direct English to ask Butler any questions. </w:t>
      </w:r>
      <w:hyperlink r:id="rId2183" w:history="1">
        <w:r w:rsidRPr="0078619C">
          <w:rPr>
            <w:rStyle w:val="Hyperlink"/>
          </w:rPr>
          <w:t>https://mdcourts.gov/data/opinions/cosa/2022/1037s21.pdf</w:t>
        </w:r>
      </w:hyperlink>
      <w:r>
        <w:t xml:space="preserve"> </w:t>
      </w:r>
    </w:p>
    <w:p w14:paraId="4A0A030E" w14:textId="77777777" w:rsidR="00AC5FED" w:rsidRDefault="00AC5FED" w:rsidP="00AC5FED">
      <w:pPr>
        <w:pStyle w:val="NormalWeb"/>
        <w:rPr>
          <w:b/>
          <w:bCs/>
        </w:rPr>
      </w:pPr>
      <w:r>
        <w:rPr>
          <w:b/>
          <w:bCs/>
        </w:rPr>
        <w:t xml:space="preserve">Legal Lesson Learned: EMS may ask patient [defendant] questions related to his medical condition during transport with police on board; spontaneous confessions are generally admissible in criminal </w:t>
      </w:r>
      <w:proofErr w:type="gramStart"/>
      <w:r>
        <w:rPr>
          <w:b/>
          <w:bCs/>
        </w:rPr>
        <w:t>case</w:t>
      </w:r>
      <w:proofErr w:type="gramEnd"/>
      <w:r>
        <w:rPr>
          <w:b/>
          <w:bCs/>
        </w:rPr>
        <w:t xml:space="preserve">. </w:t>
      </w:r>
    </w:p>
    <w:p w14:paraId="63567E1D" w14:textId="77777777" w:rsidR="00AC5FED" w:rsidRDefault="00AC5FED" w:rsidP="002B1283">
      <w:pPr>
        <w:rPr>
          <w:rFonts w:ascii="Arial Black" w:hAnsi="Arial Black"/>
          <w:b/>
          <w:bCs/>
          <w:sz w:val="28"/>
          <w:szCs w:val="28"/>
        </w:rPr>
      </w:pPr>
    </w:p>
    <w:p w14:paraId="26791CDE" w14:textId="77777777" w:rsidR="00AC5FED" w:rsidRDefault="00AC5FED" w:rsidP="002B1283">
      <w:pPr>
        <w:rPr>
          <w:rFonts w:ascii="Arial Black" w:hAnsi="Arial Black"/>
          <w:b/>
          <w:bCs/>
          <w:sz w:val="28"/>
          <w:szCs w:val="28"/>
        </w:rPr>
      </w:pPr>
    </w:p>
    <w:p w14:paraId="43D22E55" w14:textId="38C63201" w:rsidR="006E70F8" w:rsidRDefault="006E70F8" w:rsidP="002B1283">
      <w:pPr>
        <w:rPr>
          <w:rFonts w:ascii="Arial Black" w:hAnsi="Arial Black"/>
          <w:b/>
          <w:bCs/>
          <w:sz w:val="28"/>
          <w:szCs w:val="28"/>
        </w:rPr>
      </w:pPr>
      <w:r>
        <w:rPr>
          <w:rFonts w:ascii="Arial Black" w:hAnsi="Arial Black"/>
          <w:b/>
          <w:bCs/>
          <w:sz w:val="28"/>
          <w:szCs w:val="28"/>
        </w:rPr>
        <w:t>13-122</w:t>
      </w:r>
    </w:p>
    <w:p w14:paraId="4DB3CA91" w14:textId="77777777" w:rsidR="006E70F8" w:rsidRDefault="006E70F8" w:rsidP="006E70F8">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WY: CAPTAIN FIRING UPHELD - FREQUENT 911 CALLER FOR LIFT ASSISTS – “KICK HER ASS” – PROVIDED DUE PROCESS</w:t>
      </w:r>
    </w:p>
    <w:p w14:paraId="056F03B5" w14:textId="66A63A04" w:rsidR="006E70F8" w:rsidRDefault="006E70F8" w:rsidP="006E70F8">
      <w:pPr>
        <w:spacing w:before="100" w:beforeAutospacing="1" w:after="100" w:afterAutospacing="1" w:line="240" w:lineRule="auto"/>
        <w:rPr>
          <w:rFonts w:ascii="Times New Roman" w:hAnsi="Times New Roman"/>
          <w:sz w:val="24"/>
          <w:szCs w:val="24"/>
        </w:rPr>
      </w:pPr>
      <w:bookmarkStart w:id="440" w:name="_Hlk112724120"/>
      <w:r w:rsidRPr="007E4B1C">
        <w:rPr>
          <w:rFonts w:ascii="Times New Roman" w:eastAsia="Times New Roman" w:hAnsi="Times New Roman"/>
          <w:sz w:val="24"/>
          <w:szCs w:val="24"/>
        </w:rPr>
        <w:t xml:space="preserve">On Aug. 24, 2022, in </w:t>
      </w:r>
      <w:r w:rsidRPr="007E4B1C">
        <w:rPr>
          <w:rFonts w:ascii="Times New Roman" w:eastAsia="Times New Roman" w:hAnsi="Times New Roman"/>
          <w:sz w:val="24"/>
          <w:szCs w:val="24"/>
          <w:u w:val="single"/>
        </w:rPr>
        <w:t>City of Rawlins v. Stephanie Schofield</w:t>
      </w:r>
      <w:r>
        <w:rPr>
          <w:rFonts w:ascii="Times New Roman" w:eastAsia="Times New Roman" w:hAnsi="Times New Roman"/>
          <w:sz w:val="24"/>
          <w:szCs w:val="24"/>
        </w:rPr>
        <w:t>, the Supreme Court of Wyoming held (5 to 0) that the trial court improperly overturned the Civil Service Commission</w:t>
      </w:r>
      <w:r w:rsidR="00B96B6D">
        <w:rPr>
          <w:rFonts w:ascii="Times New Roman" w:eastAsia="Times New Roman" w:hAnsi="Times New Roman"/>
          <w:sz w:val="24"/>
          <w:szCs w:val="24"/>
        </w:rPr>
        <w:t>; Supreme Court upheld the termination.</w:t>
      </w:r>
      <w:r>
        <w:rPr>
          <w:rFonts w:ascii="Times New Roman" w:eastAsia="Times New Roman" w:hAnsi="Times New Roman"/>
          <w:sz w:val="24"/>
          <w:szCs w:val="24"/>
        </w:rPr>
        <w:t xml:space="preserve">  Captain, while initially fired by the interim City Manager without </w:t>
      </w:r>
      <w:proofErr w:type="gramStart"/>
      <w:r>
        <w:rPr>
          <w:rFonts w:ascii="Times New Roman" w:eastAsia="Times New Roman" w:hAnsi="Times New Roman"/>
          <w:sz w:val="24"/>
          <w:szCs w:val="24"/>
        </w:rPr>
        <w:t>a hearing</w:t>
      </w:r>
      <w:proofErr w:type="gramEnd"/>
      <w:r>
        <w:rPr>
          <w:rFonts w:ascii="Times New Roman" w:eastAsia="Times New Roman" w:hAnsi="Times New Roman"/>
          <w:sz w:val="24"/>
          <w:szCs w:val="24"/>
        </w:rPr>
        <w:t>, was ultimately provided due process hearing by the Civil Service Commission. “</w:t>
      </w:r>
      <w:r w:rsidRPr="00E058A7">
        <w:rPr>
          <w:rFonts w:ascii="Times New Roman" w:hAnsi="Times New Roman"/>
          <w:sz w:val="24"/>
          <w:szCs w:val="24"/>
        </w:rPr>
        <w:t xml:space="preserve">The City's rescission of its original termination letter and reinstatement of Ms. Schofield with back pay rendered the initial due process violations moot. The City's June 8, </w:t>
      </w:r>
      <w:proofErr w:type="gramStart"/>
      <w:r w:rsidRPr="00E058A7">
        <w:rPr>
          <w:rFonts w:ascii="Times New Roman" w:hAnsi="Times New Roman"/>
          <w:sz w:val="24"/>
          <w:szCs w:val="24"/>
        </w:rPr>
        <w:t>2020</w:t>
      </w:r>
      <w:proofErr w:type="gramEnd"/>
      <w:r w:rsidRPr="00E058A7">
        <w:rPr>
          <w:rFonts w:ascii="Times New Roman" w:hAnsi="Times New Roman"/>
          <w:sz w:val="24"/>
          <w:szCs w:val="24"/>
        </w:rPr>
        <w:t xml:space="preserve"> notice of request for termination provided Ms. Schofield notice of the reasons it relied on in requesting her termination. The contested case hearing provided Ms. </w:t>
      </w:r>
      <w:proofErr w:type="gramStart"/>
      <w:r w:rsidRPr="00E058A7">
        <w:rPr>
          <w:rFonts w:ascii="Times New Roman" w:hAnsi="Times New Roman"/>
          <w:sz w:val="24"/>
          <w:szCs w:val="24"/>
        </w:rPr>
        <w:t>Schofield</w:t>
      </w:r>
      <w:proofErr w:type="gramEnd"/>
      <w:r w:rsidRPr="00E058A7">
        <w:rPr>
          <w:rFonts w:ascii="Times New Roman" w:hAnsi="Times New Roman"/>
          <w:sz w:val="24"/>
          <w:szCs w:val="24"/>
        </w:rPr>
        <w:t xml:space="preserve"> a full and fair opportunity to respond to the reasons underlying the request that her employment be terminated. The Commission's Findings of Fact, Conclusions of Law and Order was supported by substantial evidence and was not arbitrary and capricious, or otherwise not in accordance with law. We reverse the decision of the district court and affirm the Commission's order.</w:t>
      </w:r>
      <w:r>
        <w:rPr>
          <w:rFonts w:ascii="Times New Roman" w:hAnsi="Times New Roman"/>
          <w:sz w:val="24"/>
          <w:szCs w:val="24"/>
        </w:rPr>
        <w:t xml:space="preserve">”  </w:t>
      </w:r>
      <w:r>
        <w:rPr>
          <w:rFonts w:ascii="Times New Roman" w:eastAsia="Times New Roman" w:hAnsi="Times New Roman"/>
          <w:sz w:val="24"/>
          <w:szCs w:val="24"/>
        </w:rPr>
        <w:t xml:space="preserve"> </w:t>
      </w:r>
      <w:hyperlink r:id="rId2184" w:history="1">
        <w:r w:rsidRPr="00301464">
          <w:rPr>
            <w:rStyle w:val="Hyperlink"/>
            <w:rFonts w:ascii="Times New Roman" w:hAnsi="Times New Roman"/>
          </w:rPr>
          <w:t>https://law.justia.com/cases/wyoming/supreme-court/2022/s-21-0278.html</w:t>
        </w:r>
      </w:hyperlink>
      <w:r>
        <w:rPr>
          <w:rFonts w:ascii="Times New Roman" w:hAnsi="Times New Roman"/>
          <w:sz w:val="24"/>
          <w:szCs w:val="24"/>
        </w:rPr>
        <w:t xml:space="preserve"> </w:t>
      </w:r>
    </w:p>
    <w:bookmarkEnd w:id="440"/>
    <w:p w14:paraId="4C25FA77" w14:textId="77777777" w:rsidR="00B96B6D" w:rsidRPr="008F6CF7" w:rsidRDefault="00B96B6D" w:rsidP="00B96B6D">
      <w:pPr>
        <w:spacing w:before="100" w:beforeAutospacing="1" w:after="100" w:afterAutospacing="1" w:line="240" w:lineRule="auto"/>
        <w:rPr>
          <w:rFonts w:ascii="Times New Roman" w:hAnsi="Times New Roman"/>
          <w:b/>
          <w:bCs/>
          <w:sz w:val="24"/>
          <w:szCs w:val="24"/>
        </w:rPr>
      </w:pPr>
      <w:r w:rsidRPr="008F6CF7">
        <w:rPr>
          <w:rFonts w:ascii="Times New Roman" w:hAnsi="Times New Roman"/>
          <w:b/>
          <w:bCs/>
          <w:sz w:val="24"/>
          <w:szCs w:val="24"/>
        </w:rPr>
        <w:t>Legal Lesson Learned:</w:t>
      </w:r>
      <w:r>
        <w:rPr>
          <w:rFonts w:ascii="Times New Roman" w:hAnsi="Times New Roman"/>
          <w:b/>
          <w:bCs/>
          <w:sz w:val="24"/>
          <w:szCs w:val="24"/>
        </w:rPr>
        <w:t xml:space="preserve"> The City corrected its initial mistake of terminating the </w:t>
      </w:r>
      <w:proofErr w:type="gramStart"/>
      <w:r>
        <w:rPr>
          <w:rFonts w:ascii="Times New Roman" w:hAnsi="Times New Roman"/>
          <w:b/>
          <w:bCs/>
          <w:sz w:val="24"/>
          <w:szCs w:val="24"/>
        </w:rPr>
        <w:t>Captain</w:t>
      </w:r>
      <w:proofErr w:type="gramEnd"/>
      <w:r>
        <w:rPr>
          <w:rFonts w:ascii="Times New Roman" w:hAnsi="Times New Roman"/>
          <w:b/>
          <w:bCs/>
          <w:sz w:val="24"/>
          <w:szCs w:val="24"/>
        </w:rPr>
        <w:t xml:space="preserve"> without </w:t>
      </w:r>
      <w:proofErr w:type="gramStart"/>
      <w:r>
        <w:rPr>
          <w:rFonts w:ascii="Times New Roman" w:hAnsi="Times New Roman"/>
          <w:b/>
          <w:bCs/>
          <w:sz w:val="24"/>
          <w:szCs w:val="24"/>
        </w:rPr>
        <w:t>a due</w:t>
      </w:r>
      <w:proofErr w:type="gramEnd"/>
      <w:r>
        <w:rPr>
          <w:rFonts w:ascii="Times New Roman" w:hAnsi="Times New Roman"/>
          <w:b/>
          <w:bCs/>
          <w:sz w:val="24"/>
          <w:szCs w:val="24"/>
        </w:rPr>
        <w:t xml:space="preserve"> process hearing; wisely then provided hearing before the Civil Service Commission.</w:t>
      </w:r>
    </w:p>
    <w:p w14:paraId="2CCE1DE6" w14:textId="77777777" w:rsidR="006E70F8" w:rsidRDefault="006E70F8" w:rsidP="002B1283">
      <w:pPr>
        <w:rPr>
          <w:rFonts w:ascii="Arial Black" w:hAnsi="Arial Black"/>
          <w:b/>
          <w:bCs/>
          <w:sz w:val="28"/>
          <w:szCs w:val="28"/>
        </w:rPr>
      </w:pPr>
    </w:p>
    <w:p w14:paraId="7F940AEA" w14:textId="77777777" w:rsidR="006E70F8" w:rsidRDefault="006E70F8" w:rsidP="002B1283">
      <w:pPr>
        <w:rPr>
          <w:rFonts w:ascii="Arial Black" w:hAnsi="Arial Black"/>
          <w:b/>
          <w:bCs/>
          <w:sz w:val="28"/>
          <w:szCs w:val="28"/>
        </w:rPr>
      </w:pPr>
    </w:p>
    <w:p w14:paraId="7938F716" w14:textId="7148593A" w:rsidR="00282AF3" w:rsidRDefault="006E70F8" w:rsidP="002B1283">
      <w:pPr>
        <w:rPr>
          <w:rFonts w:ascii="Arial Black" w:hAnsi="Arial Black"/>
          <w:b/>
          <w:bCs/>
          <w:sz w:val="28"/>
          <w:szCs w:val="28"/>
        </w:rPr>
      </w:pPr>
      <w:r>
        <w:rPr>
          <w:rFonts w:ascii="Arial Black" w:hAnsi="Arial Black"/>
          <w:b/>
          <w:bCs/>
          <w:sz w:val="28"/>
          <w:szCs w:val="28"/>
        </w:rPr>
        <w:t>13-121</w:t>
      </w:r>
    </w:p>
    <w:p w14:paraId="3E4C331A" w14:textId="77777777" w:rsidR="006E70F8" w:rsidRPr="00757ECB" w:rsidRDefault="006E70F8" w:rsidP="006E70F8">
      <w:pPr>
        <w:spacing w:before="100" w:beforeAutospacing="1" w:after="100" w:afterAutospacing="1" w:line="240" w:lineRule="auto"/>
        <w:rPr>
          <w:rFonts w:ascii="Arial Black" w:hAnsi="Arial Black"/>
          <w:sz w:val="28"/>
          <w:szCs w:val="28"/>
        </w:rPr>
      </w:pPr>
      <w:bookmarkStart w:id="441" w:name="_Hlk112723764"/>
      <w:r>
        <w:rPr>
          <w:rFonts w:ascii="Arial Black" w:hAnsi="Arial Black"/>
          <w:sz w:val="28"/>
          <w:szCs w:val="28"/>
        </w:rPr>
        <w:t>TX: STRETCHER - 94-YR-OLD PATIENT - FELL ONTO SLOPED DRIVEWAY - HEAD INJURY, DIED 8 DAYS – GOV. IMMUNITY</w:t>
      </w:r>
    </w:p>
    <w:p w14:paraId="0C514DA1" w14:textId="77777777" w:rsidR="006E70F8" w:rsidRDefault="006E70F8" w:rsidP="006E70F8">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Aug. 23, 2022, in </w:t>
      </w:r>
      <w:r w:rsidRPr="00D72934">
        <w:rPr>
          <w:rFonts w:ascii="Times New Roman" w:eastAsia="Times New Roman" w:hAnsi="Times New Roman"/>
          <w:sz w:val="24"/>
          <w:szCs w:val="24"/>
          <w:u w:val="single"/>
        </w:rPr>
        <w:t>City of Houston v. Kathy Denby</w:t>
      </w:r>
      <w:r>
        <w:rPr>
          <w:rFonts w:ascii="Times New Roman" w:eastAsia="Times New Roman" w:hAnsi="Times New Roman"/>
          <w:sz w:val="24"/>
          <w:szCs w:val="24"/>
        </w:rPr>
        <w:t xml:space="preserve">, Court of Appeals of Texas, First District, held (3 to 0) that the trial judge’s decision denying the City’s motion for summary judgment is reversed; </w:t>
      </w:r>
      <w:r w:rsidRPr="002F4B1C">
        <w:rPr>
          <w:rFonts w:ascii="Times New Roman" w:eastAsia="Times New Roman" w:hAnsi="Times New Roman"/>
          <w:sz w:val="24"/>
          <w:szCs w:val="24"/>
        </w:rPr>
        <w:t xml:space="preserve">the City </w:t>
      </w:r>
      <w:r w:rsidRPr="002F4B1C">
        <w:rPr>
          <w:rFonts w:ascii="Times New Roman" w:hAnsi="Times New Roman"/>
          <w:sz w:val="24"/>
          <w:szCs w:val="24"/>
        </w:rPr>
        <w:t>“here retains its immunity under the 9-1-1 Emergency Services exception to the TTCA [Texas Tort Claims Act.</w:t>
      </w:r>
      <w:r>
        <w:rPr>
          <w:rFonts w:ascii="Times New Roman" w:hAnsi="Times New Roman"/>
          <w:sz w:val="24"/>
          <w:szCs w:val="24"/>
        </w:rPr>
        <w:t xml:space="preserve"> *** </w:t>
      </w:r>
      <w:r w:rsidRPr="007D078B">
        <w:rPr>
          <w:rFonts w:ascii="Times New Roman" w:hAnsi="Times New Roman"/>
          <w:sz w:val="24"/>
          <w:szCs w:val="24"/>
        </w:rPr>
        <w:t>Moreover, even if we concluded that the EMTs acted in a way that breached the standard of ordinary care, we could not say section 773.009 was violated."</w:t>
      </w:r>
      <w:r>
        <w:rPr>
          <w:rFonts w:ascii="Times New Roman" w:hAnsi="Times New Roman"/>
          <w:sz w:val="24"/>
          <w:szCs w:val="24"/>
        </w:rPr>
        <w:t xml:space="preserve"> </w:t>
      </w:r>
      <w:r w:rsidRPr="002F4B1C">
        <w:rPr>
          <w:rFonts w:ascii="Times New Roman" w:hAnsi="Times New Roman"/>
          <w:sz w:val="24"/>
          <w:szCs w:val="24"/>
        </w:rPr>
        <w:t xml:space="preserve"> </w:t>
      </w:r>
      <w:hyperlink r:id="rId2185" w:history="1">
        <w:r w:rsidRPr="002F4B1C">
          <w:rPr>
            <w:rStyle w:val="Hyperlink"/>
            <w:rFonts w:ascii="Times New Roman" w:hAnsi="Times New Roman"/>
          </w:rPr>
          <w:t>https://law.justia.com/cases/texas/first-court-of-appeals/2022/01-21-00422-cv.html</w:t>
        </w:r>
      </w:hyperlink>
    </w:p>
    <w:bookmarkEnd w:id="441"/>
    <w:p w14:paraId="32316C9D" w14:textId="77777777" w:rsidR="006E70F8" w:rsidRPr="0062341B" w:rsidRDefault="006E70F8" w:rsidP="006E70F8">
      <w:pPr>
        <w:spacing w:before="100" w:beforeAutospacing="1" w:after="100" w:afterAutospacing="1" w:line="240" w:lineRule="auto"/>
        <w:rPr>
          <w:rFonts w:ascii="Times New Roman" w:eastAsia="Times New Roman" w:hAnsi="Times New Roman"/>
          <w:b/>
          <w:bCs/>
          <w:sz w:val="24"/>
          <w:szCs w:val="24"/>
        </w:rPr>
      </w:pPr>
      <w:r w:rsidRPr="007D078B">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City is protected from liability by the immunity statute; EMS must use extreme care when moving a patient on a stretcher down a sloped driveway.  </w:t>
      </w:r>
    </w:p>
    <w:p w14:paraId="21E88F21" w14:textId="77777777" w:rsidR="006E70F8" w:rsidRDefault="006E70F8" w:rsidP="002B1283">
      <w:pPr>
        <w:rPr>
          <w:rFonts w:ascii="Arial Black" w:hAnsi="Arial Black"/>
          <w:b/>
          <w:bCs/>
          <w:sz w:val="28"/>
          <w:szCs w:val="28"/>
        </w:rPr>
      </w:pPr>
    </w:p>
    <w:p w14:paraId="5E8E0FCE" w14:textId="78E3534E" w:rsidR="00282AF3" w:rsidRDefault="00282AF3" w:rsidP="002B1283">
      <w:pPr>
        <w:rPr>
          <w:rFonts w:ascii="Arial Black" w:hAnsi="Arial Black"/>
          <w:b/>
          <w:bCs/>
          <w:sz w:val="28"/>
          <w:szCs w:val="28"/>
        </w:rPr>
      </w:pPr>
      <w:r>
        <w:rPr>
          <w:rFonts w:ascii="Arial Black" w:hAnsi="Arial Black"/>
          <w:b/>
          <w:bCs/>
          <w:sz w:val="28"/>
          <w:szCs w:val="28"/>
        </w:rPr>
        <w:t>13-120</w:t>
      </w:r>
    </w:p>
    <w:p w14:paraId="45AF80E7" w14:textId="77777777" w:rsidR="00282AF3" w:rsidRPr="00DF7237" w:rsidRDefault="00282AF3" w:rsidP="00282AF3">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TN: FEMALE PATIENT – EMT ALLEGEDLY “STROKED HER RING UP AND DOWN” ASKED MARRIED – CASE DISMISSED</w:t>
      </w:r>
    </w:p>
    <w:p w14:paraId="78F0EE3D" w14:textId="77777777" w:rsidR="00282AF3" w:rsidRDefault="00282AF3" w:rsidP="00282AF3">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22, 2022, in </w:t>
      </w:r>
      <w:r w:rsidRPr="00A95147">
        <w:rPr>
          <w:rFonts w:ascii="Times New Roman" w:hAnsi="Times New Roman"/>
          <w:sz w:val="24"/>
          <w:szCs w:val="24"/>
          <w:u w:val="single"/>
        </w:rPr>
        <w:t xml:space="preserve">Myca Holloway v. Memphis Fire Department and </w:t>
      </w:r>
      <w:proofErr w:type="spellStart"/>
      <w:r w:rsidRPr="00A95147">
        <w:rPr>
          <w:rFonts w:ascii="Times New Roman" w:hAnsi="Times New Roman"/>
          <w:sz w:val="24"/>
          <w:szCs w:val="24"/>
          <w:u w:val="single"/>
        </w:rPr>
        <w:t>Roddi</w:t>
      </w:r>
      <w:proofErr w:type="spellEnd"/>
      <w:r w:rsidRPr="00A95147">
        <w:rPr>
          <w:rFonts w:ascii="Times New Roman" w:hAnsi="Times New Roman"/>
          <w:sz w:val="24"/>
          <w:szCs w:val="24"/>
          <w:u w:val="single"/>
        </w:rPr>
        <w:t xml:space="preserve"> Hugard</w:t>
      </w:r>
      <w:r>
        <w:rPr>
          <w:rFonts w:ascii="Times New Roman" w:hAnsi="Times New Roman"/>
          <w:sz w:val="24"/>
          <w:szCs w:val="24"/>
        </w:rPr>
        <w:t xml:space="preserve">, U.S. District Judge John T. Fowles, Jr., U.S. District Court for Western District of Tennessee [Western Division] held that lawsuit is dismissed with prejudice. </w:t>
      </w:r>
    </w:p>
    <w:p w14:paraId="4DF08F93" w14:textId="77777777" w:rsidR="00282AF3" w:rsidRDefault="00282AF3" w:rsidP="00282AF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9C356B">
        <w:rPr>
          <w:rFonts w:ascii="Times New Roman" w:eastAsia="Times New Roman" w:hAnsi="Times New Roman"/>
          <w:sz w:val="24"/>
          <w:szCs w:val="24"/>
        </w:rPr>
        <w:t xml:space="preserve">On December 27, 2021, the Magistrate Judge entered an order granting Plaintiff leave to proceed </w:t>
      </w:r>
      <w:r w:rsidRPr="009C356B">
        <w:rPr>
          <w:rFonts w:ascii="Times New Roman" w:eastAsia="Times New Roman" w:hAnsi="Times New Roman"/>
          <w:i/>
          <w:iCs/>
          <w:sz w:val="24"/>
          <w:szCs w:val="24"/>
        </w:rPr>
        <w:t>in forma pauperis</w:t>
      </w:r>
      <w:r w:rsidRPr="009C356B">
        <w:rPr>
          <w:rFonts w:ascii="Times New Roman" w:eastAsia="Times New Roman" w:hAnsi="Times New Roman"/>
          <w:sz w:val="24"/>
          <w:szCs w:val="24"/>
        </w:rPr>
        <w:t xml:space="preserve"> and a report and recommendation that the § 1983 action should be dismissed with prejudice for failure to state a claim for which relief may be granted</w:t>
      </w:r>
      <w:r>
        <w:rPr>
          <w:rFonts w:ascii="Times New Roman" w:eastAsia="Times New Roman" w:hAnsi="Times New Roman"/>
          <w:sz w:val="24"/>
          <w:szCs w:val="24"/>
        </w:rPr>
        <w:t xml:space="preserve">…. </w:t>
      </w:r>
      <w:r w:rsidRPr="009C356B">
        <w:rPr>
          <w:rFonts w:ascii="Times New Roman" w:eastAsia="Times New Roman" w:hAnsi="Times New Roman"/>
          <w:sz w:val="24"/>
          <w:szCs w:val="24"/>
        </w:rPr>
        <w:t xml:space="preserve">The Magistrate Judge noted that Holloway alleged that </w:t>
      </w:r>
      <w:proofErr w:type="spellStart"/>
      <w:r w:rsidRPr="009C356B">
        <w:rPr>
          <w:rFonts w:ascii="Times New Roman" w:eastAsia="Times New Roman" w:hAnsi="Times New Roman"/>
          <w:sz w:val="24"/>
          <w:szCs w:val="24"/>
        </w:rPr>
        <w:t>Hugard</w:t>
      </w:r>
      <w:proofErr w:type="spellEnd"/>
      <w:r w:rsidRPr="009C356B">
        <w:rPr>
          <w:rFonts w:ascii="Times New Roman" w:eastAsia="Times New Roman" w:hAnsi="Times New Roman"/>
          <w:sz w:val="24"/>
          <w:szCs w:val="24"/>
        </w:rPr>
        <w:t xml:space="preserve"> grabbed her left hand with his blue latex glove, stroked her ring up and down, and inquired about her marital status.</w:t>
      </w:r>
    </w:p>
    <w:p w14:paraId="20C0C628" w14:textId="77777777" w:rsidR="00282AF3" w:rsidRDefault="00282AF3" w:rsidP="00282AF3">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1E7EB883" w14:textId="77777777" w:rsidR="00282AF3" w:rsidRDefault="00282AF3" w:rsidP="00282AF3">
      <w:pPr>
        <w:spacing w:before="100" w:beforeAutospacing="1" w:after="100" w:afterAutospacing="1" w:line="240" w:lineRule="auto"/>
        <w:ind w:left="720"/>
        <w:rPr>
          <w:rFonts w:ascii="Times New Roman" w:hAnsi="Times New Roman"/>
          <w:sz w:val="24"/>
          <w:szCs w:val="24"/>
        </w:rPr>
      </w:pPr>
      <w:r w:rsidRPr="009C356B">
        <w:rPr>
          <w:rFonts w:ascii="Times New Roman" w:hAnsi="Times New Roman"/>
          <w:sz w:val="24"/>
          <w:szCs w:val="24"/>
        </w:rPr>
        <w:t xml:space="preserve">A plaintiff must allege (1) a deprivation of a right or rights secured by the Constitution and laws of the United States (2) that were committed by a defendant acting under color of state law. In the report and recommendation, the Magistrate Judge determined that Holloway specifically failed to state what actions were committed by the Memphis Fire Department or Firefighter </w:t>
      </w:r>
      <w:proofErr w:type="spellStart"/>
      <w:r w:rsidRPr="009C356B">
        <w:rPr>
          <w:rFonts w:ascii="Times New Roman" w:hAnsi="Times New Roman"/>
          <w:sz w:val="24"/>
          <w:szCs w:val="24"/>
        </w:rPr>
        <w:t>Roddi</w:t>
      </w:r>
      <w:proofErr w:type="spellEnd"/>
      <w:r w:rsidRPr="009C356B">
        <w:rPr>
          <w:rFonts w:ascii="Times New Roman" w:hAnsi="Times New Roman"/>
          <w:sz w:val="24"/>
          <w:szCs w:val="24"/>
        </w:rPr>
        <w:t xml:space="preserve"> </w:t>
      </w:r>
      <w:proofErr w:type="spellStart"/>
      <w:r w:rsidRPr="009C356B">
        <w:rPr>
          <w:rFonts w:ascii="Times New Roman" w:hAnsi="Times New Roman"/>
          <w:sz w:val="24"/>
          <w:szCs w:val="24"/>
        </w:rPr>
        <w:t>Hugard</w:t>
      </w:r>
      <w:proofErr w:type="spellEnd"/>
      <w:r w:rsidRPr="009C356B">
        <w:rPr>
          <w:rFonts w:ascii="Times New Roman" w:hAnsi="Times New Roman"/>
          <w:sz w:val="24"/>
          <w:szCs w:val="24"/>
        </w:rPr>
        <w:t xml:space="preserve"> that deprived her of her Constitutional rights.</w:t>
      </w:r>
      <w:r>
        <w:rPr>
          <w:rFonts w:ascii="Times New Roman" w:hAnsi="Times New Roman"/>
          <w:sz w:val="24"/>
          <w:szCs w:val="24"/>
        </w:rPr>
        <w:t xml:space="preserve">” </w:t>
      </w:r>
      <w:hyperlink r:id="rId2186" w:history="1">
        <w:r w:rsidRPr="002B54F8">
          <w:rPr>
            <w:rStyle w:val="Hyperlink"/>
            <w:rFonts w:ascii="Times New Roman" w:hAnsi="Times New Roman"/>
          </w:rPr>
          <w:t>https://public.fastcase.com/J%2FJP6pdidelsXxEE4k%2BLMlnZT9Hwtbb0RSX5AXtKQie%2FaJxcYuONay3v%2BauGycaLZPl2uZFZiVR3n7gLzEpChzWsXN2J3yktMkRz%2BOu%2BxAQ%3D</w:t>
        </w:r>
      </w:hyperlink>
      <w:r>
        <w:rPr>
          <w:rFonts w:ascii="Times New Roman" w:hAnsi="Times New Roman"/>
          <w:sz w:val="24"/>
          <w:szCs w:val="24"/>
        </w:rPr>
        <w:t xml:space="preserve"> </w:t>
      </w:r>
    </w:p>
    <w:p w14:paraId="5E01735F" w14:textId="4B26FEEF" w:rsidR="00282AF3" w:rsidRPr="006E70F8" w:rsidRDefault="00282AF3" w:rsidP="00282AF3">
      <w:pPr>
        <w:spacing w:before="100" w:beforeAutospacing="1" w:after="100" w:afterAutospacing="1" w:line="240" w:lineRule="auto"/>
        <w:rPr>
          <w:rFonts w:ascii="Times New Roman" w:eastAsia="Times New Roman" w:hAnsi="Times New Roman"/>
          <w:b/>
          <w:bCs/>
          <w:sz w:val="24"/>
          <w:szCs w:val="24"/>
        </w:rPr>
      </w:pPr>
      <w:bookmarkStart w:id="442" w:name="_Hlk112723729"/>
      <w:r w:rsidRPr="00757ECB">
        <w:rPr>
          <w:rFonts w:ascii="Times New Roman" w:eastAsia="Times New Roman" w:hAnsi="Times New Roman"/>
          <w:b/>
          <w:bCs/>
          <w:sz w:val="24"/>
          <w:szCs w:val="24"/>
        </w:rPr>
        <w:t xml:space="preserve">Legal Lesson Learned: </w:t>
      </w:r>
      <w:r w:rsidRPr="006E70F8">
        <w:rPr>
          <w:rFonts w:ascii="Times New Roman" w:eastAsia="Times New Roman" w:hAnsi="Times New Roman"/>
          <w:b/>
          <w:bCs/>
          <w:sz w:val="24"/>
          <w:szCs w:val="24"/>
        </w:rPr>
        <w:t xml:space="preserve">Strange case by </w:t>
      </w:r>
      <w:r w:rsidRPr="006E70F8">
        <w:rPr>
          <w:rFonts w:ascii="Times New Roman" w:eastAsia="Times New Roman" w:hAnsi="Times New Roman"/>
          <w:b/>
          <w:bCs/>
          <w:i/>
          <w:iCs/>
          <w:sz w:val="24"/>
          <w:szCs w:val="24"/>
        </w:rPr>
        <w:t xml:space="preserve">in </w:t>
      </w:r>
      <w:proofErr w:type="gramStart"/>
      <w:r w:rsidRPr="006E70F8">
        <w:rPr>
          <w:rFonts w:ascii="Times New Roman" w:eastAsia="Times New Roman" w:hAnsi="Times New Roman"/>
          <w:b/>
          <w:bCs/>
          <w:i/>
          <w:iCs/>
          <w:sz w:val="24"/>
          <w:szCs w:val="24"/>
        </w:rPr>
        <w:t>forma</w:t>
      </w:r>
      <w:proofErr w:type="gramEnd"/>
      <w:r w:rsidRPr="006E70F8">
        <w:rPr>
          <w:rFonts w:ascii="Times New Roman" w:eastAsia="Times New Roman" w:hAnsi="Times New Roman"/>
          <w:b/>
          <w:bCs/>
          <w:i/>
          <w:iCs/>
          <w:sz w:val="24"/>
          <w:szCs w:val="24"/>
        </w:rPr>
        <w:t xml:space="preserve"> pauperis</w:t>
      </w:r>
      <w:r w:rsidRPr="006E70F8">
        <w:rPr>
          <w:rFonts w:ascii="Times New Roman" w:eastAsia="Times New Roman" w:hAnsi="Times New Roman"/>
          <w:b/>
          <w:bCs/>
          <w:sz w:val="24"/>
          <w:szCs w:val="24"/>
        </w:rPr>
        <w:t xml:space="preserve"> [no money] patient with no money</w:t>
      </w:r>
      <w:r w:rsidR="006E70F8">
        <w:rPr>
          <w:rFonts w:ascii="Times New Roman" w:eastAsia="Times New Roman" w:hAnsi="Times New Roman"/>
          <w:b/>
          <w:bCs/>
          <w:sz w:val="24"/>
          <w:szCs w:val="24"/>
        </w:rPr>
        <w:t xml:space="preserve">. </w:t>
      </w:r>
      <w:r w:rsidRPr="006E70F8">
        <w:rPr>
          <w:rFonts w:ascii="Times New Roman" w:eastAsia="Times New Roman" w:hAnsi="Times New Roman"/>
          <w:b/>
          <w:bCs/>
          <w:sz w:val="24"/>
          <w:szCs w:val="24"/>
        </w:rPr>
        <w:t xml:space="preserve"> </w:t>
      </w:r>
    </w:p>
    <w:bookmarkEnd w:id="442"/>
    <w:p w14:paraId="43FFC182" w14:textId="77777777" w:rsidR="00282AF3" w:rsidRDefault="00282AF3" w:rsidP="002B1283">
      <w:pPr>
        <w:rPr>
          <w:rFonts w:ascii="Arial Black" w:hAnsi="Arial Black"/>
          <w:b/>
          <w:bCs/>
          <w:sz w:val="28"/>
          <w:szCs w:val="28"/>
        </w:rPr>
      </w:pPr>
    </w:p>
    <w:p w14:paraId="4AACD2B6" w14:textId="77777777" w:rsidR="00282AF3" w:rsidRDefault="00282AF3" w:rsidP="002B1283">
      <w:pPr>
        <w:rPr>
          <w:rFonts w:ascii="Arial Black" w:hAnsi="Arial Black"/>
          <w:b/>
          <w:bCs/>
          <w:sz w:val="28"/>
          <w:szCs w:val="28"/>
        </w:rPr>
      </w:pPr>
    </w:p>
    <w:p w14:paraId="6B72B646" w14:textId="0B01447B" w:rsidR="007051EE" w:rsidRDefault="007051EE" w:rsidP="002B1283">
      <w:pPr>
        <w:rPr>
          <w:rFonts w:ascii="Arial Black" w:hAnsi="Arial Black"/>
          <w:b/>
          <w:bCs/>
          <w:sz w:val="28"/>
          <w:szCs w:val="28"/>
        </w:rPr>
      </w:pPr>
      <w:r>
        <w:rPr>
          <w:rFonts w:ascii="Arial Black" w:hAnsi="Arial Black"/>
          <w:b/>
          <w:bCs/>
          <w:sz w:val="28"/>
          <w:szCs w:val="28"/>
        </w:rPr>
        <w:t>13-119</w:t>
      </w:r>
    </w:p>
    <w:p w14:paraId="61381B83" w14:textId="77777777" w:rsidR="007051EE" w:rsidRDefault="007051EE" w:rsidP="007051EE">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MN: MEDIC FIRED AFTER ER DOC REPORTED MISCONDUCT - NO MALICE BY MD – NO CASE – “VEXATIOUS LITIGANT”</w:t>
      </w:r>
    </w:p>
    <w:p w14:paraId="408450B9" w14:textId="77777777" w:rsidR="007051EE" w:rsidRPr="00133C50" w:rsidRDefault="007051EE" w:rsidP="007051EE">
      <w:pPr>
        <w:pStyle w:val="NormalWeb"/>
      </w:pPr>
      <w:r w:rsidRPr="00721460">
        <w:t xml:space="preserve">On </w:t>
      </w:r>
      <w:r>
        <w:t xml:space="preserve">July 26, 2022, in </w:t>
      </w:r>
      <w:r w:rsidRPr="00721460">
        <w:rPr>
          <w:u w:val="single"/>
        </w:rPr>
        <w:t>Peter Grigg v. Andy Coil</w:t>
      </w:r>
      <w:r>
        <w:t xml:space="preserve">, the Montana Supreme Court held (5 to 0), that lawsuit by Peter Grigg, who was fired by Eagle EMS after being informed of his misconduct by Dr. Andy Coil, emergency room physician, was properly dismissed. The lawsuit alleges: “[Dr.] Coil verbally abused, harassed, and threatened him in front of emergency room patients, family, and staff, as well as in Grigg's ambulance, and continued to harass and threaten him ‘throughout the month of May 2020.’ Grigg's Affidavit claimed he filed incident reports with [Doctor Coil’s] employer, St. Peter's Healthcare, and the Montana Board of Medical Examiners, to which [Dr.] Coil ‘retaliated by placing tort on my employer,’ causing Grigg to be terminated by his employer on June 2, 2020.” </w:t>
      </w:r>
      <w:hyperlink r:id="rId2187" w:history="1">
        <w:r w:rsidRPr="00001EDA">
          <w:rPr>
            <w:rStyle w:val="Hyperlink"/>
            <w:rFonts w:eastAsiaTheme="majorEastAsia"/>
          </w:rPr>
          <w:t>https://juddocumentservice.mt.gov/getDocByCTrackId?DocId=398159</w:t>
        </w:r>
      </w:hyperlink>
      <w:r>
        <w:t xml:space="preserve"> </w:t>
      </w:r>
    </w:p>
    <w:p w14:paraId="32B5E8F7" w14:textId="77777777" w:rsidR="007051EE" w:rsidRDefault="007051EE" w:rsidP="007051EE">
      <w:pPr>
        <w:spacing w:before="100" w:beforeAutospacing="1" w:after="100" w:afterAutospacing="1" w:line="240" w:lineRule="auto"/>
        <w:rPr>
          <w:rFonts w:ascii="Times New Roman" w:hAnsi="Times New Roman"/>
          <w:b/>
          <w:bCs/>
          <w:sz w:val="24"/>
          <w:szCs w:val="24"/>
        </w:rPr>
      </w:pPr>
      <w:r w:rsidRPr="00A75068">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 Plaintiff is fortunate that in American legal system, “pro se” plaintiffs are not normally help liable for filing a meritless case.  </w:t>
      </w:r>
    </w:p>
    <w:p w14:paraId="7DE1F9C6" w14:textId="77777777" w:rsidR="007051EE" w:rsidRDefault="007051EE" w:rsidP="002B1283">
      <w:pPr>
        <w:rPr>
          <w:rFonts w:ascii="Arial Black" w:hAnsi="Arial Black"/>
          <w:b/>
          <w:bCs/>
          <w:sz w:val="28"/>
          <w:szCs w:val="28"/>
        </w:rPr>
      </w:pPr>
    </w:p>
    <w:p w14:paraId="45ECB022" w14:textId="77777777" w:rsidR="007051EE" w:rsidRDefault="007051EE" w:rsidP="002B1283">
      <w:pPr>
        <w:rPr>
          <w:rFonts w:ascii="Arial Black" w:hAnsi="Arial Black"/>
          <w:b/>
          <w:bCs/>
          <w:sz w:val="28"/>
          <w:szCs w:val="28"/>
        </w:rPr>
      </w:pPr>
    </w:p>
    <w:p w14:paraId="10C99247" w14:textId="77777777" w:rsidR="007051EE" w:rsidRDefault="007051EE" w:rsidP="002B1283">
      <w:pPr>
        <w:rPr>
          <w:rFonts w:ascii="Arial Black" w:hAnsi="Arial Black"/>
          <w:b/>
          <w:bCs/>
          <w:sz w:val="28"/>
          <w:szCs w:val="28"/>
        </w:rPr>
      </w:pPr>
    </w:p>
    <w:p w14:paraId="4634C33D" w14:textId="242DEC28" w:rsidR="00240D3F" w:rsidRDefault="00240D3F" w:rsidP="002B1283">
      <w:pPr>
        <w:rPr>
          <w:rFonts w:ascii="Arial Black" w:hAnsi="Arial Black"/>
          <w:b/>
          <w:bCs/>
          <w:sz w:val="28"/>
          <w:szCs w:val="28"/>
        </w:rPr>
      </w:pPr>
      <w:r>
        <w:rPr>
          <w:rFonts w:ascii="Arial Black" w:hAnsi="Arial Black"/>
          <w:b/>
          <w:bCs/>
          <w:sz w:val="28"/>
          <w:szCs w:val="28"/>
        </w:rPr>
        <w:t>13-118</w:t>
      </w:r>
    </w:p>
    <w:p w14:paraId="71531BF1" w14:textId="77777777" w:rsidR="00240D3F" w:rsidRPr="00C847A3" w:rsidRDefault="00240D3F" w:rsidP="00240D3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MOTORCYCLE ACCIDENT – PATIENT FLOWN LEVEL 1 TRAUMA - NOT DRIVEN LEVEL III – FOLLOWED PROTOCOL</w:t>
      </w:r>
    </w:p>
    <w:p w14:paraId="1C63D1C8" w14:textId="77777777" w:rsidR="00240D3F" w:rsidRPr="0044296F" w:rsidRDefault="00240D3F" w:rsidP="00240D3F">
      <w:pPr>
        <w:pStyle w:val="NormalWeb"/>
      </w:pPr>
      <w:r>
        <w:t xml:space="preserve">On July 22, 2022, in </w:t>
      </w:r>
      <w:r w:rsidRPr="00BB5BE6">
        <w:rPr>
          <w:u w:val="single"/>
        </w:rPr>
        <w:t>Cynthia Tillman, Administrator of the Estate of Eric P. Tillman v. Kelly M. Mantz, et al.,</w:t>
      </w:r>
      <w:r>
        <w:t xml:space="preserve"> the Court of Appeals of Ohio, Sixth District (Erie), 2022-Ohio-2527, held 3 to 0 that the trial court properly granted summary judgment to the EMS personnel and </w:t>
      </w:r>
      <w:r w:rsidRPr="00526CF3">
        <w:t>to North Central EMS (NCEMS)</w:t>
      </w:r>
      <w:r>
        <w:t xml:space="preserve">.  The plaintiff in this case, was flown by a Life Flight ambulance to Level III trauma center in Toledo and survived.  Eric Tillman was flown by second Life Flight ambulance to the trauma center where he died. The plaintiff’s lawsuit includes affidavit </w:t>
      </w:r>
      <w:r w:rsidRPr="00F4263B">
        <w:rPr>
          <w:rStyle w:val="markedcontent"/>
        </w:rPr>
        <w:t>of Jeff Durgin,</w:t>
      </w:r>
      <w:r>
        <w:rPr>
          <w:rStyle w:val="markedcontent"/>
        </w:rPr>
        <w:t xml:space="preserve"> </w:t>
      </w:r>
      <w:r w:rsidRPr="00F4263B">
        <w:rPr>
          <w:rStyle w:val="markedcontent"/>
        </w:rPr>
        <w:t>M.D</w:t>
      </w:r>
      <w:r>
        <w:rPr>
          <w:rStyle w:val="markedcontent"/>
        </w:rPr>
        <w:t>, who criticized EMS for not transporting Eric Tillman by ambulance to a Level I trauma center 15 minutes away, and for not taking vitals every 15 minutes prior to transport. [EMS run report showed one set of vitals taken: 5</w:t>
      </w:r>
      <w:r w:rsidRPr="00E5099E">
        <w:rPr>
          <w:rStyle w:val="markedcontent"/>
        </w:rPr>
        <w:t>:25 p.m</w:t>
      </w:r>
      <w:r>
        <w:rPr>
          <w:rStyle w:val="markedcontent"/>
        </w:rPr>
        <w:t xml:space="preserve">. at scene; </w:t>
      </w:r>
      <w:r w:rsidRPr="00E5099E">
        <w:rPr>
          <w:rStyle w:val="markedcontent"/>
        </w:rPr>
        <w:t xml:space="preserve">two IVs </w:t>
      </w:r>
      <w:r>
        <w:rPr>
          <w:rStyle w:val="markedcontent"/>
        </w:rPr>
        <w:t xml:space="preserve">started </w:t>
      </w:r>
      <w:r w:rsidRPr="00E5099E">
        <w:rPr>
          <w:rStyle w:val="markedcontent"/>
        </w:rPr>
        <w:t>at 5:30 p.m</w:t>
      </w:r>
      <w:r>
        <w:rPr>
          <w:rStyle w:val="markedcontent"/>
        </w:rPr>
        <w:t xml:space="preserve">.; set of </w:t>
      </w:r>
      <w:r w:rsidRPr="00E5099E">
        <w:rPr>
          <w:rStyle w:val="markedcontent"/>
        </w:rPr>
        <w:t xml:space="preserve">vitals </w:t>
      </w:r>
      <w:r>
        <w:rPr>
          <w:rStyle w:val="markedcontent"/>
        </w:rPr>
        <w:t xml:space="preserve">recorded </w:t>
      </w:r>
      <w:r w:rsidRPr="00E5099E">
        <w:rPr>
          <w:rStyle w:val="markedcontent"/>
        </w:rPr>
        <w:t>5:34</w:t>
      </w:r>
      <w:r>
        <w:rPr>
          <w:rStyle w:val="markedcontent"/>
        </w:rPr>
        <w:t xml:space="preserve"> </w:t>
      </w:r>
      <w:r w:rsidRPr="00E5099E">
        <w:rPr>
          <w:rStyle w:val="markedcontent"/>
        </w:rPr>
        <w:t>p.m.</w:t>
      </w:r>
      <w:r>
        <w:rPr>
          <w:rStyle w:val="markedcontent"/>
        </w:rPr>
        <w:t xml:space="preserve">; transferred care to Life Flight </w:t>
      </w:r>
      <w:r w:rsidRPr="00E5099E">
        <w:rPr>
          <w:rStyle w:val="markedcontent"/>
        </w:rPr>
        <w:t>5:56 p.m.].</w:t>
      </w:r>
      <w:r>
        <w:rPr>
          <w:rStyle w:val="markedcontent"/>
        </w:rPr>
        <w:t xml:space="preserve"> </w:t>
      </w:r>
      <w:hyperlink r:id="rId2188" w:history="1">
        <w:r w:rsidRPr="00355029">
          <w:rPr>
            <w:rStyle w:val="Hyperlink"/>
            <w:rFonts w:eastAsiaTheme="majorEastAsia"/>
          </w:rPr>
          <w:t>http://lcapps.co.lucas.oh.us/Courts/Appeals/DecisionsPDF/10196.pdf</w:t>
        </w:r>
      </w:hyperlink>
      <w:r>
        <w:rPr>
          <w:rStyle w:val="markedcontent"/>
        </w:rPr>
        <w:t xml:space="preserve"> </w:t>
      </w:r>
    </w:p>
    <w:p w14:paraId="371E9975" w14:textId="77777777" w:rsidR="00240D3F" w:rsidRDefault="00240D3F" w:rsidP="00240D3F">
      <w:pPr>
        <w:spacing w:before="100" w:beforeAutospacing="1" w:after="100" w:afterAutospacing="1" w:line="240" w:lineRule="auto"/>
        <w:rPr>
          <w:rFonts w:ascii="Times New Roman" w:hAnsi="Times New Roman"/>
          <w:b/>
          <w:bCs/>
          <w:sz w:val="24"/>
          <w:szCs w:val="24"/>
        </w:rPr>
      </w:pPr>
      <w:r w:rsidRPr="00E91EB2">
        <w:rPr>
          <w:rFonts w:ascii="Times New Roman" w:hAnsi="Times New Roman"/>
          <w:b/>
          <w:bCs/>
          <w:sz w:val="24"/>
          <w:szCs w:val="24"/>
        </w:rPr>
        <w:t>Legal Lesson Learned:</w:t>
      </w:r>
      <w:r>
        <w:rPr>
          <w:rFonts w:ascii="Times New Roman" w:hAnsi="Times New Roman"/>
          <w:b/>
          <w:bCs/>
          <w:sz w:val="24"/>
          <w:szCs w:val="24"/>
        </w:rPr>
        <w:t xml:space="preserve"> Helpful decision on EMS following trauma protocol.</w:t>
      </w:r>
    </w:p>
    <w:p w14:paraId="2BF1E583" w14:textId="77777777" w:rsidR="00240D3F" w:rsidRPr="00615A59" w:rsidRDefault="00240D3F" w:rsidP="00240D3F">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ab/>
      </w:r>
      <w:r w:rsidRPr="00615A59">
        <w:rPr>
          <w:rFonts w:ascii="Times New Roman" w:hAnsi="Times New Roman"/>
          <w:sz w:val="24"/>
          <w:szCs w:val="24"/>
        </w:rPr>
        <w:t>Note: See helpful resources on Ohio trauma protocol.</w:t>
      </w:r>
    </w:p>
    <w:p w14:paraId="79FE9B6B" w14:textId="77777777" w:rsidR="00240D3F" w:rsidRPr="00615A59" w:rsidRDefault="00240D3F" w:rsidP="00240D3F">
      <w:pPr>
        <w:pStyle w:val="Heading3"/>
        <w:ind w:left="1440"/>
        <w:rPr>
          <w:rFonts w:ascii="Times New Roman" w:hAnsi="Times New Roman" w:cs="Times New Roman"/>
          <w:color w:val="auto"/>
        </w:rPr>
      </w:pPr>
      <w:r>
        <w:rPr>
          <w:rFonts w:ascii="Times New Roman" w:hAnsi="Times New Roman" w:cs="Times New Roman"/>
          <w:color w:val="auto"/>
        </w:rPr>
        <w:t>“</w:t>
      </w:r>
      <w:r w:rsidRPr="004B5A02">
        <w:rPr>
          <w:rFonts w:ascii="Times New Roman" w:hAnsi="Times New Roman" w:cs="Times New Roman"/>
          <w:color w:val="auto"/>
        </w:rPr>
        <w:t>Trauma System Overview</w:t>
      </w:r>
      <w:r>
        <w:rPr>
          <w:rFonts w:ascii="Times New Roman" w:hAnsi="Times New Roman" w:cs="Times New Roman"/>
          <w:color w:val="auto"/>
        </w:rPr>
        <w:t xml:space="preserve">.” </w:t>
      </w:r>
      <w:r>
        <w:rPr>
          <w:rFonts w:ascii="Times New Roman" w:hAnsi="Times New Roman" w:cs="Times New Roman"/>
          <w:b/>
          <w:bCs/>
          <w:color w:val="auto"/>
        </w:rPr>
        <w:t xml:space="preserve"> </w:t>
      </w:r>
      <w:hyperlink r:id="rId2189" w:anchor="gsc.tab=0" w:history="1">
        <w:r w:rsidRPr="00615A59">
          <w:rPr>
            <w:rStyle w:val="Hyperlink"/>
            <w:rFonts w:ascii="Times New Roman" w:hAnsi="Times New Roman" w:cs="Times New Roman"/>
          </w:rPr>
          <w:t>https://www.ems.ohio.gov/trauma-system.aspx#gsc.tab=0</w:t>
        </w:r>
      </w:hyperlink>
      <w:r w:rsidRPr="00615A59">
        <w:rPr>
          <w:rFonts w:ascii="Times New Roman" w:hAnsi="Times New Roman" w:cs="Times New Roman"/>
          <w:color w:val="auto"/>
        </w:rPr>
        <w:t xml:space="preserve"> </w:t>
      </w:r>
    </w:p>
    <w:p w14:paraId="379D46FE" w14:textId="77777777" w:rsidR="00240D3F" w:rsidRDefault="00240D3F" w:rsidP="00240D3F">
      <w:pPr>
        <w:pStyle w:val="NormalWeb"/>
        <w:ind w:left="1440"/>
      </w:pPr>
      <w:r>
        <w:t xml:space="preserve">“The Ohio Trauma System is designed to get severely injured patients to the ‘right hospital, in the right manner, in the right amount of time.’ These three factors increase the patient’s chances of survival while minimizing chances of suffering severe disabilities and death. Trauma is </w:t>
      </w:r>
      <w:r>
        <w:rPr>
          <w:u w:val="single"/>
        </w:rPr>
        <w:t>the</w:t>
      </w:r>
      <w:r>
        <w:t xml:space="preserve"> leading cause of death for people between the ages of 1 and 44 years and is a leading cause of death and disability among all age groups. Research studies of other state trauma systems have shown a person’s chances of dying or suffering a severe disability drop sharply if they are injured in a state with an organized trauma system like the Ohio Trauma System.”</w:t>
      </w:r>
    </w:p>
    <w:p w14:paraId="772F5476" w14:textId="77777777" w:rsidR="00240D3F" w:rsidRDefault="00240D3F" w:rsidP="002B1283">
      <w:pPr>
        <w:rPr>
          <w:rFonts w:ascii="Arial Black" w:hAnsi="Arial Black"/>
          <w:b/>
          <w:bCs/>
          <w:sz w:val="28"/>
          <w:szCs w:val="28"/>
        </w:rPr>
      </w:pPr>
    </w:p>
    <w:p w14:paraId="44678697" w14:textId="77777777" w:rsidR="00240D3F" w:rsidRDefault="00240D3F" w:rsidP="002B1283">
      <w:pPr>
        <w:rPr>
          <w:rFonts w:ascii="Arial Black" w:hAnsi="Arial Black"/>
          <w:b/>
          <w:bCs/>
          <w:sz w:val="28"/>
          <w:szCs w:val="28"/>
        </w:rPr>
      </w:pPr>
    </w:p>
    <w:p w14:paraId="1CDAC8FB" w14:textId="7132C975" w:rsidR="00240D3F" w:rsidRDefault="00240D3F" w:rsidP="002B1283">
      <w:pPr>
        <w:rPr>
          <w:rFonts w:ascii="Arial Black" w:hAnsi="Arial Black"/>
          <w:b/>
          <w:bCs/>
          <w:sz w:val="28"/>
          <w:szCs w:val="28"/>
        </w:rPr>
      </w:pPr>
      <w:r>
        <w:rPr>
          <w:rFonts w:ascii="Arial Black" w:hAnsi="Arial Black"/>
          <w:b/>
          <w:bCs/>
          <w:sz w:val="28"/>
          <w:szCs w:val="28"/>
        </w:rPr>
        <w:t>13-117</w:t>
      </w:r>
    </w:p>
    <w:p w14:paraId="548F6621" w14:textId="77777777" w:rsidR="00240D3F" w:rsidRPr="0088768E" w:rsidRDefault="00240D3F" w:rsidP="00240D3F">
      <w:pPr>
        <w:spacing w:before="100" w:beforeAutospacing="1" w:after="100" w:afterAutospacing="1" w:line="240" w:lineRule="auto"/>
        <w:rPr>
          <w:rFonts w:ascii="Arial Black" w:hAnsi="Arial Black"/>
          <w:sz w:val="28"/>
          <w:szCs w:val="28"/>
        </w:rPr>
      </w:pPr>
      <w:r>
        <w:rPr>
          <w:rFonts w:ascii="Arial Black" w:hAnsi="Arial Black"/>
          <w:sz w:val="28"/>
          <w:szCs w:val="28"/>
        </w:rPr>
        <w:t>MI: CARDIAC - MONITOR CALLED FOR CPR – NO CPR GIVEN, PATIENT DIED – “GROSS NEGLIGENCE” CASE TO PROCEED</w:t>
      </w:r>
    </w:p>
    <w:p w14:paraId="1C4DDE67" w14:textId="77777777" w:rsidR="00240D3F" w:rsidRDefault="00240D3F" w:rsidP="00240D3F">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July 21, 2022, in </w:t>
      </w:r>
      <w:r w:rsidRPr="0088768E">
        <w:rPr>
          <w:rFonts w:ascii="Times New Roman" w:hAnsi="Times New Roman"/>
          <w:sz w:val="24"/>
          <w:szCs w:val="24"/>
          <w:u w:val="single"/>
        </w:rPr>
        <w:t>Angela Hodges, Personal Representative of the Estate of Patrick Antonio Clemons-Hodges</w:t>
      </w:r>
      <w:r>
        <w:rPr>
          <w:rFonts w:ascii="Times New Roman" w:hAnsi="Times New Roman"/>
          <w:sz w:val="24"/>
          <w:szCs w:val="24"/>
          <w:u w:val="single"/>
        </w:rPr>
        <w:t xml:space="preserve"> v. City of </w:t>
      </w:r>
      <w:proofErr w:type="spellStart"/>
      <w:r>
        <w:rPr>
          <w:rFonts w:ascii="Times New Roman" w:hAnsi="Times New Roman"/>
          <w:sz w:val="24"/>
          <w:szCs w:val="24"/>
          <w:u w:val="single"/>
        </w:rPr>
        <w:t>Detroir</w:t>
      </w:r>
      <w:proofErr w:type="spellEnd"/>
      <w:r>
        <w:rPr>
          <w:rFonts w:ascii="Times New Roman" w:hAnsi="Times New Roman"/>
          <w:sz w:val="24"/>
          <w:szCs w:val="24"/>
          <w:u w:val="single"/>
        </w:rPr>
        <w:t xml:space="preserve">, Julian Holts and Michael Morgan, et al., </w:t>
      </w:r>
      <w:r>
        <w:rPr>
          <w:rFonts w:ascii="Times New Roman" w:hAnsi="Times New Roman"/>
          <w:sz w:val="24"/>
          <w:szCs w:val="24"/>
        </w:rPr>
        <w:t xml:space="preserve">the Court of Appeals of Michigan, held (3 to 0; unpublished opinion) that the trial court properly denied the City’s motion for summary judgment. The City took an immediate appeal and asserted that the </w:t>
      </w:r>
      <w:r w:rsidRPr="00C5046C">
        <w:rPr>
          <w:rFonts w:ascii="Times New Roman" w:hAnsi="Times New Roman"/>
          <w:sz w:val="24"/>
          <w:szCs w:val="24"/>
        </w:rPr>
        <w:t xml:space="preserve">trial court erred when it refused to grant the City governmental immunity from claims arising from the gross negligence of paramedics it employs. </w:t>
      </w:r>
      <w:r>
        <w:rPr>
          <w:rFonts w:ascii="Times New Roman" w:hAnsi="Times New Roman"/>
          <w:sz w:val="24"/>
          <w:szCs w:val="24"/>
        </w:rPr>
        <w:t xml:space="preserve"> Court of Appeals held, “</w:t>
      </w:r>
      <w:r w:rsidRPr="00C5046C">
        <w:rPr>
          <w:rFonts w:ascii="Times New Roman" w:hAnsi="Times New Roman"/>
          <w:sz w:val="24"/>
          <w:szCs w:val="24"/>
        </w:rPr>
        <w:t>We disagree and affirm.</w:t>
      </w:r>
      <w:r>
        <w:rPr>
          <w:rFonts w:ascii="Times New Roman" w:hAnsi="Times New Roman"/>
          <w:sz w:val="24"/>
          <w:szCs w:val="24"/>
        </w:rPr>
        <w:t>”</w:t>
      </w:r>
      <w:r w:rsidRPr="00C5046C">
        <w:rPr>
          <w:rFonts w:ascii="Times New Roman" w:hAnsi="Times New Roman"/>
          <w:sz w:val="24"/>
          <w:szCs w:val="24"/>
        </w:rPr>
        <w:t xml:space="preserve"> </w:t>
      </w:r>
      <w:hyperlink r:id="rId2190" w:history="1">
        <w:r w:rsidRPr="00355029">
          <w:rPr>
            <w:rStyle w:val="Hyperlink"/>
            <w:rFonts w:ascii="Times New Roman" w:eastAsia="Times New Roman" w:hAnsi="Times New Roman"/>
            <w:sz w:val="24"/>
            <w:szCs w:val="24"/>
          </w:rPr>
          <w:t>https://public.fastcase.com/J%2FJP6pdidelsXxEE4k%2BLMlzK3ypZvc0Gn%2FjuZDkyq8MI5%2FfINcqrUtBut3YiWnMm%2B6u%2FYbxznYZMXvWFYa2uilbMm7X%2Bw%2FMZe4%2FFjNyk13o%3D</w:t>
        </w:r>
      </w:hyperlink>
      <w:r>
        <w:rPr>
          <w:rFonts w:ascii="Times New Roman" w:eastAsia="Times New Roman" w:hAnsi="Times New Roman"/>
          <w:sz w:val="24"/>
          <w:szCs w:val="24"/>
        </w:rPr>
        <w:t xml:space="preserve"> </w:t>
      </w:r>
    </w:p>
    <w:p w14:paraId="7F40346A" w14:textId="77777777" w:rsidR="00240D3F" w:rsidRPr="009E08A4" w:rsidRDefault="00240D3F" w:rsidP="00240D3F">
      <w:pPr>
        <w:spacing w:before="100" w:beforeAutospacing="1" w:after="100" w:afterAutospacing="1" w:line="240" w:lineRule="auto"/>
        <w:rPr>
          <w:rFonts w:ascii="Times New Roman" w:hAnsi="Times New Roman"/>
          <w:b/>
          <w:bCs/>
          <w:sz w:val="24"/>
          <w:szCs w:val="24"/>
        </w:rPr>
      </w:pPr>
      <w:r w:rsidRPr="009E08A4">
        <w:rPr>
          <w:rFonts w:ascii="Times New Roman" w:hAnsi="Times New Roman"/>
          <w:b/>
          <w:bCs/>
          <w:sz w:val="24"/>
          <w:szCs w:val="24"/>
        </w:rPr>
        <w:t>Legal Lesson Learned:</w:t>
      </w:r>
      <w:r>
        <w:rPr>
          <w:rFonts w:ascii="Times New Roman" w:hAnsi="Times New Roman"/>
          <w:b/>
          <w:bCs/>
          <w:sz w:val="24"/>
          <w:szCs w:val="24"/>
        </w:rPr>
        <w:t xml:space="preserve"> This lawsuit will now proceed to pre-trial discovery on </w:t>
      </w:r>
      <w:proofErr w:type="spellStart"/>
      <w:r>
        <w:rPr>
          <w:rFonts w:ascii="Times New Roman" w:hAnsi="Times New Roman"/>
          <w:b/>
          <w:bCs/>
          <w:sz w:val="24"/>
          <w:szCs w:val="24"/>
        </w:rPr>
        <w:t>thr</w:t>
      </w:r>
      <w:proofErr w:type="spellEnd"/>
      <w:r>
        <w:rPr>
          <w:rFonts w:ascii="Times New Roman" w:hAnsi="Times New Roman"/>
          <w:b/>
          <w:bCs/>
          <w:sz w:val="24"/>
          <w:szCs w:val="24"/>
        </w:rPr>
        <w:t xml:space="preserve"> allegation of “gross negligence.” </w:t>
      </w:r>
    </w:p>
    <w:p w14:paraId="5D27C549" w14:textId="77777777" w:rsidR="00240D3F" w:rsidRPr="009E08A4" w:rsidRDefault="00240D3F" w:rsidP="00240D3F">
      <w:pPr>
        <w:pStyle w:val="Heading1"/>
        <w:ind w:left="720"/>
        <w:rPr>
          <w:b w:val="0"/>
          <w:bCs w:val="0"/>
          <w:sz w:val="24"/>
          <w:szCs w:val="24"/>
        </w:rPr>
      </w:pPr>
      <w:r w:rsidRPr="009E08A4">
        <w:rPr>
          <w:b w:val="0"/>
          <w:bCs w:val="0"/>
          <w:sz w:val="24"/>
          <w:szCs w:val="24"/>
        </w:rPr>
        <w:t xml:space="preserve">Note: </w:t>
      </w:r>
      <w:r>
        <w:rPr>
          <w:b w:val="0"/>
          <w:bCs w:val="0"/>
          <w:sz w:val="24"/>
          <w:szCs w:val="24"/>
        </w:rPr>
        <w:t xml:space="preserve">Some states have “Willful or Wanton Misconduct” standard. </w:t>
      </w:r>
      <w:r w:rsidRPr="009E08A4">
        <w:rPr>
          <w:b w:val="0"/>
          <w:bCs w:val="0"/>
          <w:sz w:val="24"/>
          <w:szCs w:val="24"/>
        </w:rPr>
        <w:t xml:space="preserve">For example, Ohio Revised Code: Section 4765.49 </w:t>
      </w:r>
      <w:r w:rsidRPr="009E08A4">
        <w:rPr>
          <w:rStyle w:val="codes-separator"/>
          <w:b w:val="0"/>
          <w:bCs w:val="0"/>
          <w:sz w:val="24"/>
          <w:szCs w:val="24"/>
        </w:rPr>
        <w:t>|</w:t>
      </w:r>
      <w:r w:rsidRPr="009E08A4">
        <w:rPr>
          <w:b w:val="0"/>
          <w:bCs w:val="0"/>
          <w:sz w:val="24"/>
          <w:szCs w:val="24"/>
        </w:rPr>
        <w:t xml:space="preserve"> Emergency medical personnel and agencies </w:t>
      </w:r>
      <w:r>
        <w:rPr>
          <w:b w:val="0"/>
          <w:bCs w:val="0"/>
          <w:sz w:val="24"/>
          <w:szCs w:val="24"/>
        </w:rPr>
        <w:t>–</w:t>
      </w:r>
      <w:r w:rsidRPr="009E08A4">
        <w:rPr>
          <w:b w:val="0"/>
          <w:bCs w:val="0"/>
          <w:sz w:val="24"/>
          <w:szCs w:val="24"/>
        </w:rPr>
        <w:t xml:space="preserve"> immunity</w:t>
      </w:r>
      <w:r>
        <w:rPr>
          <w:b w:val="0"/>
          <w:bCs w:val="0"/>
          <w:sz w:val="24"/>
          <w:szCs w:val="24"/>
        </w:rPr>
        <w:t>.</w:t>
      </w:r>
      <w:r w:rsidRPr="009E08A4">
        <w:t xml:space="preserve"> </w:t>
      </w:r>
      <w:hyperlink r:id="rId2191" w:history="1">
        <w:r w:rsidRPr="00355029">
          <w:rPr>
            <w:rStyle w:val="Hyperlink"/>
            <w:rFonts w:eastAsiaTheme="majorEastAsia"/>
            <w:b w:val="0"/>
            <w:bCs w:val="0"/>
            <w:sz w:val="24"/>
            <w:szCs w:val="24"/>
          </w:rPr>
          <w:t>https://codes.ohio.gov/ohio-revised-code/section-4765.49</w:t>
        </w:r>
      </w:hyperlink>
      <w:r>
        <w:rPr>
          <w:b w:val="0"/>
          <w:bCs w:val="0"/>
          <w:sz w:val="24"/>
          <w:szCs w:val="24"/>
        </w:rPr>
        <w:t xml:space="preserve">  “</w:t>
      </w:r>
      <w:r w:rsidRPr="009E08A4">
        <w:rPr>
          <w:b w:val="0"/>
          <w:bCs w:val="0"/>
          <w:sz w:val="24"/>
          <w:szCs w:val="24"/>
        </w:rPr>
        <w:t>(A) A first responder, emergency medical technician-basic, emergency medical technician-intermediate, or emergency medical technician-paramedic is not liable in damages in a civil action for injury, death, or loss to person or property resulting from the individual's administration of emergency medical services, unless the services are administered in a manner that constitutes willful or wanton misconduct.</w:t>
      </w:r>
      <w:r>
        <w:rPr>
          <w:b w:val="0"/>
          <w:bCs w:val="0"/>
          <w:sz w:val="24"/>
          <w:szCs w:val="24"/>
        </w:rPr>
        <w:t>”</w:t>
      </w:r>
    </w:p>
    <w:p w14:paraId="2BC1ECF0" w14:textId="77777777" w:rsidR="00240D3F" w:rsidRDefault="00240D3F" w:rsidP="002B1283">
      <w:pPr>
        <w:rPr>
          <w:rFonts w:ascii="Arial Black" w:hAnsi="Arial Black"/>
          <w:b/>
          <w:bCs/>
          <w:sz w:val="28"/>
          <w:szCs w:val="28"/>
        </w:rPr>
      </w:pPr>
    </w:p>
    <w:p w14:paraId="5A7434CA" w14:textId="77777777" w:rsidR="00240D3F" w:rsidRDefault="00240D3F" w:rsidP="002B1283">
      <w:pPr>
        <w:rPr>
          <w:rFonts w:ascii="Arial Black" w:hAnsi="Arial Black"/>
          <w:b/>
          <w:bCs/>
          <w:sz w:val="28"/>
          <w:szCs w:val="28"/>
        </w:rPr>
      </w:pPr>
    </w:p>
    <w:p w14:paraId="4F64E208" w14:textId="105CFD75" w:rsidR="00240D3F" w:rsidRDefault="00240D3F" w:rsidP="002B1283">
      <w:pPr>
        <w:rPr>
          <w:rFonts w:ascii="Arial Black" w:hAnsi="Arial Black"/>
          <w:b/>
          <w:bCs/>
          <w:sz w:val="28"/>
          <w:szCs w:val="28"/>
        </w:rPr>
      </w:pPr>
      <w:r>
        <w:rPr>
          <w:rFonts w:ascii="Arial Black" w:hAnsi="Arial Black"/>
          <w:b/>
          <w:bCs/>
          <w:sz w:val="28"/>
          <w:szCs w:val="28"/>
        </w:rPr>
        <w:t>13-116</w:t>
      </w:r>
    </w:p>
    <w:p w14:paraId="7B9B33EE" w14:textId="77777777" w:rsidR="00240D3F" w:rsidRDefault="00240D3F" w:rsidP="00240D3F">
      <w:pPr>
        <w:spacing w:before="100" w:beforeAutospacing="1" w:after="100" w:afterAutospacing="1" w:line="240" w:lineRule="auto"/>
        <w:rPr>
          <w:rFonts w:ascii="Arial Black" w:hAnsi="Arial Black"/>
          <w:sz w:val="28"/>
          <w:szCs w:val="28"/>
        </w:rPr>
      </w:pPr>
      <w:r>
        <w:rPr>
          <w:rFonts w:ascii="Arial Black" w:hAnsi="Arial Black"/>
          <w:sz w:val="28"/>
          <w:szCs w:val="28"/>
        </w:rPr>
        <w:t>NY: FDNY MEDICS SUSP - AUSTRALIAN TV FILMED ON COVID EMS RUNS – 1</w:t>
      </w:r>
      <w:r w:rsidRPr="00922539">
        <w:rPr>
          <w:rFonts w:ascii="Arial Black" w:hAnsi="Arial Black"/>
          <w:sz w:val="28"/>
          <w:szCs w:val="28"/>
          <w:vertAlign w:val="superscript"/>
        </w:rPr>
        <w:t>st</w:t>
      </w:r>
      <w:r>
        <w:rPr>
          <w:rFonts w:ascii="Arial Black" w:hAnsi="Arial Black"/>
          <w:sz w:val="28"/>
          <w:szCs w:val="28"/>
        </w:rPr>
        <w:t xml:space="preserve"> AMEND. RETALIATION PROCEED</w:t>
      </w:r>
    </w:p>
    <w:p w14:paraId="0C2422FB" w14:textId="77777777" w:rsidR="00240D3F" w:rsidRDefault="00240D3F" w:rsidP="00240D3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8, 2022, in </w:t>
      </w:r>
      <w:r w:rsidRPr="00922539">
        <w:rPr>
          <w:rFonts w:ascii="Times New Roman" w:hAnsi="Times New Roman"/>
          <w:sz w:val="24"/>
          <w:szCs w:val="24"/>
          <w:u w:val="single"/>
        </w:rPr>
        <w:t>President Oren Barzilay, President of Uniformed EMTs, Paramedics, and Fire Inspectors, Local 2507, et al. v. City of New York, et al.</w:t>
      </w:r>
      <w:r>
        <w:rPr>
          <w:rFonts w:ascii="Times New Roman" w:hAnsi="Times New Roman"/>
          <w:sz w:val="24"/>
          <w:szCs w:val="24"/>
        </w:rPr>
        <w:t>, U.S. District Court Judge Lewis J. Liman, U.S. District Court for Southern District of New York, held that “</w:t>
      </w:r>
      <w:r w:rsidRPr="00B47805">
        <w:rPr>
          <w:rFonts w:ascii="Times New Roman" w:hAnsi="Times New Roman"/>
          <w:sz w:val="24"/>
          <w:szCs w:val="24"/>
        </w:rPr>
        <w:t>Plaintiffs are entitled to a jury trial on their § 1983 claims for First Amendment retaliation against all Defendants and on their related free-speech claim under the New York State Constitution against the City on a theory of respondeat superior.</w:t>
      </w:r>
      <w:r>
        <w:rPr>
          <w:rFonts w:ascii="Times New Roman" w:hAnsi="Times New Roman"/>
          <w:sz w:val="24"/>
          <w:szCs w:val="24"/>
        </w:rPr>
        <w:t xml:space="preserve"> *** </w:t>
      </w:r>
      <w:r w:rsidRPr="007604D6">
        <w:rPr>
          <w:rFonts w:ascii="Times New Roman" w:hAnsi="Times New Roman"/>
          <w:sz w:val="24"/>
          <w:szCs w:val="24"/>
        </w:rPr>
        <w:t>Here, there is credible evidence that suggests Defendants restricted or suspended the individual Plaintiffs for a permissible reason, but there is also evidence from which a reasonable jury could find that the Defendants did so simply because they were employees who engaged in protected speech. The role of the Court is not to weigh that evidence and determine which is the more likely scenario. That must be left to the jury.</w:t>
      </w:r>
      <w:r>
        <w:rPr>
          <w:rFonts w:ascii="Times New Roman" w:hAnsi="Times New Roman"/>
          <w:sz w:val="24"/>
          <w:szCs w:val="24"/>
        </w:rPr>
        <w:t xml:space="preserve"> *** </w:t>
      </w:r>
      <w:r w:rsidRPr="007604D6">
        <w:rPr>
          <w:rFonts w:ascii="Times New Roman" w:hAnsi="Times New Roman"/>
          <w:sz w:val="24"/>
          <w:szCs w:val="24"/>
        </w:rPr>
        <w:t>On the record before it, the Court cannot conclude as a matter of law that the FDNY was justified by the governmental interest it asserts in taking action against Bonilla, Nunez, or Pfeiffer based on these comments, which are the only parts of their protected speech that could even arguably give rise to a concern about revealing PHI, or based on the mere fact that they interacted with the media to make these comments.</w:t>
      </w:r>
      <w:r>
        <w:rPr>
          <w:rFonts w:ascii="Times New Roman" w:hAnsi="Times New Roman"/>
          <w:sz w:val="24"/>
          <w:szCs w:val="24"/>
        </w:rPr>
        <w:t xml:space="preserve">” </w:t>
      </w:r>
      <w:hyperlink r:id="rId2192" w:history="1">
        <w:r w:rsidRPr="00272AA8">
          <w:rPr>
            <w:rStyle w:val="Hyperlink"/>
            <w:rFonts w:ascii="Times New Roman" w:hAnsi="Times New Roman"/>
            <w:sz w:val="24"/>
            <w:szCs w:val="24"/>
          </w:rPr>
          <w:t>https://law.justia.com/cases/federal/district-courts/new-york/nysdce/1:2020cv04452/538491/83/</w:t>
        </w:r>
      </w:hyperlink>
      <w:r>
        <w:rPr>
          <w:rFonts w:ascii="Times New Roman" w:hAnsi="Times New Roman"/>
          <w:sz w:val="24"/>
          <w:szCs w:val="24"/>
        </w:rPr>
        <w:t xml:space="preserve"> </w:t>
      </w:r>
    </w:p>
    <w:p w14:paraId="28A60612" w14:textId="74BEF811" w:rsidR="00240D3F" w:rsidRPr="00B821BF" w:rsidRDefault="00240D3F" w:rsidP="00240D3F">
      <w:pPr>
        <w:spacing w:before="100" w:beforeAutospacing="1" w:after="100" w:afterAutospacing="1" w:line="240" w:lineRule="auto"/>
        <w:ind w:left="720" w:firstLine="60"/>
        <w:rPr>
          <w:rFonts w:ascii="Times New Roman" w:eastAsia="Times New Roman" w:hAnsi="Times New Roman"/>
          <w:sz w:val="24"/>
          <w:szCs w:val="24"/>
        </w:rPr>
      </w:pPr>
      <w:r w:rsidRPr="00B821BF">
        <w:rPr>
          <w:rFonts w:ascii="Times New Roman" w:hAnsi="Times New Roman"/>
          <w:sz w:val="24"/>
          <w:szCs w:val="24"/>
        </w:rPr>
        <w:t xml:space="preserve">[Watch the video: </w:t>
      </w:r>
      <w:hyperlink r:id="rId2193" w:history="1">
        <w:r w:rsidRPr="00B821BF">
          <w:rPr>
            <w:rStyle w:val="Hyperlink"/>
            <w:rFonts w:ascii="Times New Roman" w:eastAsia="Times New Roman" w:hAnsi="Times New Roman"/>
            <w:sz w:val="24"/>
            <w:szCs w:val="24"/>
          </w:rPr>
          <w:t>https://www.facebook.com/watch/?v=2586016544950280</w:t>
        </w:r>
      </w:hyperlink>
      <w:r w:rsidRPr="00B821BF">
        <w:rPr>
          <w:rFonts w:ascii="Times New Roman" w:eastAsia="Times New Roman" w:hAnsi="Times New Roman"/>
          <w:sz w:val="24"/>
          <w:szCs w:val="24"/>
        </w:rPr>
        <w:t xml:space="preserve"> .]</w:t>
      </w:r>
    </w:p>
    <w:p w14:paraId="2A38FEB2" w14:textId="77777777" w:rsidR="00240D3F" w:rsidRDefault="00240D3F" w:rsidP="00240D3F">
      <w:pPr>
        <w:spacing w:before="100" w:beforeAutospacing="1" w:after="100" w:afterAutospacing="1" w:line="240" w:lineRule="auto"/>
        <w:rPr>
          <w:rFonts w:ascii="Times New Roman" w:hAnsi="Times New Roman"/>
          <w:b/>
          <w:bCs/>
          <w:sz w:val="24"/>
          <w:szCs w:val="24"/>
        </w:rPr>
      </w:pPr>
      <w:r w:rsidRPr="0074449E">
        <w:rPr>
          <w:rFonts w:ascii="Times New Roman" w:hAnsi="Times New Roman"/>
          <w:b/>
          <w:bCs/>
          <w:sz w:val="24"/>
          <w:szCs w:val="24"/>
        </w:rPr>
        <w:t>Legal Lesson Learned:</w:t>
      </w:r>
      <w:r>
        <w:rPr>
          <w:rFonts w:ascii="Times New Roman" w:hAnsi="Times New Roman"/>
          <w:b/>
          <w:bCs/>
          <w:sz w:val="24"/>
          <w:szCs w:val="24"/>
        </w:rPr>
        <w:t xml:space="preserve"> The U.S. Supreme Court’s </w:t>
      </w:r>
      <w:r w:rsidRPr="0074449E">
        <w:rPr>
          <w:rFonts w:ascii="Times New Roman" w:hAnsi="Times New Roman"/>
          <w:b/>
          <w:bCs/>
          <w:i/>
          <w:iCs/>
          <w:sz w:val="24"/>
          <w:szCs w:val="24"/>
        </w:rPr>
        <w:t>Pickering</w:t>
      </w:r>
      <w:r>
        <w:rPr>
          <w:rFonts w:ascii="Times New Roman" w:hAnsi="Times New Roman"/>
          <w:b/>
          <w:bCs/>
          <w:sz w:val="24"/>
          <w:szCs w:val="24"/>
        </w:rPr>
        <w:t xml:space="preserve"> “balancing” decision has led to lots of litigation about right of EMS, fire and police officers to “go public” with concerns. </w:t>
      </w:r>
    </w:p>
    <w:p w14:paraId="678FB62C" w14:textId="77777777" w:rsidR="00240D3F" w:rsidRPr="0074449E" w:rsidRDefault="00240D3F" w:rsidP="00240D3F">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ab/>
      </w:r>
      <w:r w:rsidRPr="0074449E">
        <w:rPr>
          <w:rFonts w:ascii="Times New Roman" w:hAnsi="Times New Roman"/>
          <w:sz w:val="24"/>
          <w:szCs w:val="24"/>
        </w:rPr>
        <w:t xml:space="preserve">Note: </w:t>
      </w:r>
      <w:r>
        <w:rPr>
          <w:rFonts w:ascii="Times New Roman" w:hAnsi="Times New Roman"/>
          <w:sz w:val="24"/>
          <w:szCs w:val="24"/>
        </w:rPr>
        <w:t>Court discussed this Fire Marshal decision.</w:t>
      </w:r>
    </w:p>
    <w:p w14:paraId="0F4CA914" w14:textId="77777777" w:rsidR="00240D3F" w:rsidRPr="00F07132" w:rsidRDefault="00240D3F" w:rsidP="00240D3F">
      <w:pPr>
        <w:pStyle w:val="Heading1"/>
        <w:ind w:left="720"/>
        <w:rPr>
          <w:b w:val="0"/>
          <w:bCs w:val="0"/>
          <w:sz w:val="24"/>
          <w:szCs w:val="24"/>
        </w:rPr>
      </w:pPr>
      <w:r>
        <w:rPr>
          <w:sz w:val="24"/>
          <w:szCs w:val="24"/>
        </w:rPr>
        <w:t>“</w:t>
      </w:r>
      <w:r w:rsidRPr="008A111F">
        <w:rPr>
          <w:b w:val="0"/>
          <w:bCs w:val="0"/>
          <w:sz w:val="24"/>
          <w:szCs w:val="24"/>
        </w:rPr>
        <w:t xml:space="preserve">In </w:t>
      </w:r>
      <w:r w:rsidRPr="008A111F">
        <w:rPr>
          <w:b w:val="0"/>
          <w:bCs w:val="0"/>
          <w:i/>
          <w:iCs/>
          <w:sz w:val="24"/>
          <w:szCs w:val="24"/>
        </w:rPr>
        <w:t>Specht</w:t>
      </w:r>
      <w:r w:rsidRPr="0074449E">
        <w:rPr>
          <w:b w:val="0"/>
          <w:bCs w:val="0"/>
          <w:i/>
          <w:iCs/>
          <w:sz w:val="24"/>
          <w:szCs w:val="24"/>
        </w:rPr>
        <w:t xml:space="preserve"> [</w:t>
      </w:r>
      <w:r w:rsidRPr="0074449E">
        <w:rPr>
          <w:b w:val="0"/>
          <w:bCs w:val="0"/>
          <w:sz w:val="24"/>
          <w:szCs w:val="24"/>
        </w:rPr>
        <w:t xml:space="preserve">Specht v. City of New York, No. 20-4211 (2d Cir. 2021), </w:t>
      </w:r>
      <w:hyperlink r:id="rId2194" w:history="1">
        <w:r w:rsidRPr="00272AA8">
          <w:rPr>
            <w:rStyle w:val="Hyperlink"/>
            <w:rFonts w:eastAsiaTheme="majorEastAsia"/>
            <w:b w:val="0"/>
            <w:bCs w:val="0"/>
            <w:sz w:val="24"/>
            <w:szCs w:val="24"/>
          </w:rPr>
          <w:t>https://law.justia.com/cases/federal/appellate-courts/ca2/20-4211/20-4211-2021-10-06.html</w:t>
        </w:r>
      </w:hyperlink>
      <w:r>
        <w:rPr>
          <w:b w:val="0"/>
          <w:bCs w:val="0"/>
          <w:sz w:val="24"/>
          <w:szCs w:val="24"/>
        </w:rPr>
        <w:t xml:space="preserve"> ] </w:t>
      </w:r>
      <w:r w:rsidRPr="008A111F">
        <w:rPr>
          <w:sz w:val="24"/>
          <w:szCs w:val="24"/>
        </w:rPr>
        <w:t xml:space="preserve"> </w:t>
      </w:r>
      <w:r w:rsidRPr="008A111F">
        <w:rPr>
          <w:b w:val="0"/>
          <w:bCs w:val="0"/>
          <w:sz w:val="24"/>
          <w:szCs w:val="24"/>
        </w:rPr>
        <w:t xml:space="preserve">the Second Circuit held that a fire marshal's internal email to other fire marshals concerning the course of a fire investigation and pressure from supervisors to prematurely terminate his work and file a false report regarding the cause for the fire constituted “internal workplace grievances, not matters of public concern.” 15 F.4th at 601. However, the Circuit held that the marshal's complaint to the New York City Department of Investigation, his Notice of Claim with the City, his meeting with representatives from the District Attorney's office, and his communications with the local press about his investigation and his supervisors' demands all touched on matters of public concern since his reports “to outside agencies . . . implicate[d] matters of public importance” and “relate to possible governmental malfeasance, public safety, as well as to the public fisc.” </w:t>
      </w:r>
      <w:r w:rsidRPr="008A111F">
        <w:rPr>
          <w:b w:val="0"/>
          <w:bCs w:val="0"/>
          <w:i/>
          <w:iCs/>
          <w:sz w:val="24"/>
          <w:szCs w:val="24"/>
        </w:rPr>
        <w:t>Id.</w:t>
      </w:r>
      <w:r w:rsidRPr="008A111F">
        <w:rPr>
          <w:b w:val="0"/>
          <w:bCs w:val="0"/>
          <w:sz w:val="24"/>
          <w:szCs w:val="24"/>
        </w:rPr>
        <w:t xml:space="preserve"> </w:t>
      </w:r>
      <w:proofErr w:type="gramStart"/>
      <w:r w:rsidRPr="008A111F">
        <w:rPr>
          <w:b w:val="0"/>
          <w:bCs w:val="0"/>
          <w:sz w:val="24"/>
          <w:szCs w:val="24"/>
        </w:rPr>
        <w:t>at</w:t>
      </w:r>
      <w:proofErr w:type="gramEnd"/>
      <w:r w:rsidRPr="008A111F">
        <w:rPr>
          <w:b w:val="0"/>
          <w:bCs w:val="0"/>
          <w:sz w:val="24"/>
          <w:szCs w:val="24"/>
        </w:rPr>
        <w:t xml:space="preserve"> 601-02. Further, the Circuit found that the fire marshal's refusal to file a false report touched on matters of public concern because, just like his reports to outside agencies, the action “pertain[ed] to . . . potentially serious governmental misconduct.” </w:t>
      </w:r>
      <w:r w:rsidRPr="008A111F">
        <w:rPr>
          <w:b w:val="0"/>
          <w:bCs w:val="0"/>
          <w:i/>
          <w:iCs/>
          <w:sz w:val="24"/>
          <w:szCs w:val="24"/>
        </w:rPr>
        <w:t>Id.</w:t>
      </w:r>
      <w:r w:rsidRPr="008A111F">
        <w:rPr>
          <w:b w:val="0"/>
          <w:bCs w:val="0"/>
          <w:sz w:val="24"/>
          <w:szCs w:val="24"/>
        </w:rPr>
        <w:t xml:space="preserve"> at 602. Finally, the Circuit held that the marshal's reports to outside agencies and refusal to file a false report did not occur in his capacity as an employee because neither was “part-and-parcel” of his duties, </w:t>
      </w:r>
      <w:r w:rsidRPr="008A111F">
        <w:rPr>
          <w:b w:val="0"/>
          <w:bCs w:val="0"/>
          <w:i/>
          <w:iCs/>
          <w:sz w:val="24"/>
          <w:szCs w:val="24"/>
        </w:rPr>
        <w:t>Id.</w:t>
      </w:r>
      <w:r w:rsidRPr="008A111F">
        <w:rPr>
          <w:b w:val="0"/>
          <w:bCs w:val="0"/>
          <w:sz w:val="24"/>
          <w:szCs w:val="24"/>
        </w:rPr>
        <w:t xml:space="preserve"> at 604 (internal quotation marks omitted); his actions more accurately described a citizen refusing to violate the law and reporting on government misconduct to the public, </w:t>
      </w:r>
      <w:r w:rsidRPr="008A111F">
        <w:rPr>
          <w:b w:val="0"/>
          <w:bCs w:val="0"/>
          <w:i/>
          <w:iCs/>
          <w:sz w:val="24"/>
          <w:szCs w:val="24"/>
        </w:rPr>
        <w:t>Id.</w:t>
      </w:r>
      <w:r w:rsidRPr="008A111F">
        <w:rPr>
          <w:b w:val="0"/>
          <w:bCs w:val="0"/>
          <w:sz w:val="24"/>
          <w:szCs w:val="24"/>
        </w:rPr>
        <w:t xml:space="preserve"> Thus, the fire marshal's speech constituted protected First Amendment activity.</w:t>
      </w:r>
      <w:r w:rsidRPr="00F07132">
        <w:rPr>
          <w:b w:val="0"/>
          <w:bCs w:val="0"/>
          <w:sz w:val="24"/>
          <w:szCs w:val="24"/>
        </w:rPr>
        <w:t xml:space="preserve">” </w:t>
      </w:r>
    </w:p>
    <w:p w14:paraId="72CAEE30" w14:textId="77777777" w:rsidR="00240D3F" w:rsidRDefault="00240D3F" w:rsidP="002B1283">
      <w:pPr>
        <w:rPr>
          <w:rFonts w:ascii="Arial Black" w:hAnsi="Arial Black"/>
          <w:b/>
          <w:bCs/>
          <w:sz w:val="28"/>
          <w:szCs w:val="28"/>
        </w:rPr>
      </w:pPr>
    </w:p>
    <w:p w14:paraId="73426D8D" w14:textId="77777777" w:rsidR="00240D3F" w:rsidRDefault="00240D3F" w:rsidP="002B1283">
      <w:pPr>
        <w:rPr>
          <w:rFonts w:ascii="Arial Black" w:hAnsi="Arial Black"/>
          <w:b/>
          <w:bCs/>
          <w:sz w:val="28"/>
          <w:szCs w:val="28"/>
        </w:rPr>
      </w:pPr>
    </w:p>
    <w:p w14:paraId="126E6BCE" w14:textId="6E2096B4" w:rsidR="009579EB" w:rsidRDefault="00936792" w:rsidP="002B1283">
      <w:pPr>
        <w:rPr>
          <w:rFonts w:ascii="Arial Black" w:hAnsi="Arial Black"/>
          <w:b/>
          <w:bCs/>
          <w:sz w:val="28"/>
          <w:szCs w:val="28"/>
        </w:rPr>
      </w:pPr>
      <w:r>
        <w:rPr>
          <w:rFonts w:ascii="Arial Black" w:hAnsi="Arial Black"/>
          <w:b/>
          <w:bCs/>
          <w:sz w:val="28"/>
          <w:szCs w:val="28"/>
        </w:rPr>
        <w:t>13-115</w:t>
      </w:r>
    </w:p>
    <w:p w14:paraId="3B64BDD2" w14:textId="77777777" w:rsidR="00936792" w:rsidRDefault="00936792" w:rsidP="00936792">
      <w:pPr>
        <w:spacing w:before="100" w:beforeAutospacing="1" w:after="100" w:afterAutospacing="1" w:line="240" w:lineRule="auto"/>
        <w:rPr>
          <w:rFonts w:ascii="Arial Black" w:hAnsi="Arial Black"/>
          <w:sz w:val="28"/>
          <w:szCs w:val="28"/>
        </w:rPr>
      </w:pPr>
      <w:r>
        <w:rPr>
          <w:rFonts w:ascii="Arial Black" w:hAnsi="Arial Black"/>
          <w:sz w:val="28"/>
          <w:szCs w:val="28"/>
        </w:rPr>
        <w:t>TX: MEDIC VIDEOED KICKING HOMELESS MAN – LAWSUIT PROCEED – ALLEGED FD POLICY NOT TERMINATING EMS</w:t>
      </w:r>
    </w:p>
    <w:p w14:paraId="22D2EBC5" w14:textId="77777777" w:rsidR="00936792" w:rsidRDefault="00936792" w:rsidP="0093679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On June 23, 2022, in</w:t>
      </w:r>
      <w:r>
        <w:t xml:space="preserve"> </w:t>
      </w:r>
      <w:r>
        <w:rPr>
          <w:rFonts w:ascii="Times New Roman" w:hAnsi="Times New Roman"/>
          <w:sz w:val="24"/>
          <w:szCs w:val="24"/>
          <w:u w:val="single"/>
        </w:rPr>
        <w:t>Kyle Vess v. City of Dallas, a municipal corporation, and Brad Alan Cox</w:t>
      </w:r>
      <w:r>
        <w:t xml:space="preserve">, </w:t>
      </w:r>
      <w:r>
        <w:rPr>
          <w:rFonts w:ascii="Times New Roman" w:hAnsi="Times New Roman"/>
          <w:sz w:val="24"/>
          <w:szCs w:val="24"/>
        </w:rPr>
        <w:t xml:space="preserve">U.S. Senior District Court Judge Sidney A. Fitzwater, U.S. District Court for the Northern District of Texas, denied the City’s motion to dismiss, </w:t>
      </w:r>
      <w:proofErr w:type="gramStart"/>
      <w:r>
        <w:rPr>
          <w:rFonts w:ascii="Times New Roman" w:hAnsi="Times New Roman"/>
          <w:sz w:val="24"/>
          <w:szCs w:val="24"/>
        </w:rPr>
        <w:t>and also</w:t>
      </w:r>
      <w:proofErr w:type="gramEnd"/>
      <w:r>
        <w:rPr>
          <w:rFonts w:ascii="Times New Roman" w:hAnsi="Times New Roman"/>
          <w:sz w:val="24"/>
          <w:szCs w:val="24"/>
        </w:rPr>
        <w:t xml:space="preserve"> declined to dismiss all of claims against the paramedic.  “Taking the facts alleged in the SAC [Second Amended Complaint] as true, the court concludes that Vess has plausibly pleaded that this policy ‘of protection for previously disciplined personnel by refusing to terminate or separate from employment individuals unfit to serve as members of the Dallas Fire Department despite good cause for termination and the risk these individuals pose to the public,’ SAC ¶ 45(d), was the moving force behind Cox's actions.  The Court also noted that Vess alleges that [Dallas Police Investigations Unit] hampered the investigation because it did not turn over exculpatory evidence to Vess's criminal defense attorney until two years after the events in question and not until after this lawsuit was filed. Further, DPIU did not take statements from DFD personnel when it was investigating Vess and Cox's confrontation; it only took statements from police officers who were on the scene.” </w:t>
      </w:r>
      <w:hyperlink r:id="rId2195" w:history="1">
        <w:r>
          <w:rPr>
            <w:rStyle w:val="Hyperlink"/>
            <w:sz w:val="24"/>
            <w:szCs w:val="24"/>
          </w:rPr>
          <w:t>https://public.fastcase.com/waZtJvSA54UAurM2rmIZz2loI3SMK51lisNXjYZKph2xHHDuTcicSNaYOQdhESxu4yBG2%2FvlbYv%2BMp6LYbH6Xh9C0n%2BJCkyXjjUwyrGDKNg%3D</w:t>
        </w:r>
      </w:hyperlink>
      <w:r>
        <w:rPr>
          <w:rFonts w:ascii="Times New Roman" w:hAnsi="Times New Roman"/>
          <w:sz w:val="24"/>
          <w:szCs w:val="24"/>
        </w:rPr>
        <w:t xml:space="preserve"> </w:t>
      </w:r>
    </w:p>
    <w:p w14:paraId="531B5ABA" w14:textId="77777777" w:rsidR="00936792" w:rsidRDefault="00936792" w:rsidP="0093679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 Learned: Serious allegations; case will now proceed to pre-trial discovery. </w:t>
      </w:r>
    </w:p>
    <w:p w14:paraId="5B746A5C" w14:textId="77777777" w:rsidR="00936792" w:rsidRDefault="00936792" w:rsidP="00936792">
      <w:pPr>
        <w:pStyle w:val="Heading1"/>
        <w:ind w:left="720"/>
        <w:rPr>
          <w:b w:val="0"/>
          <w:bCs w:val="0"/>
          <w:sz w:val="24"/>
          <w:szCs w:val="24"/>
        </w:rPr>
      </w:pPr>
      <w:r>
        <w:rPr>
          <w:b w:val="0"/>
          <w:bCs w:val="0"/>
          <w:sz w:val="24"/>
          <w:szCs w:val="24"/>
        </w:rPr>
        <w:t>Note: See articles:</w:t>
      </w:r>
    </w:p>
    <w:p w14:paraId="1C212EA1" w14:textId="77777777" w:rsidR="00936792" w:rsidRDefault="00936792" w:rsidP="00936792">
      <w:pPr>
        <w:pStyle w:val="Heading1"/>
        <w:ind w:left="720"/>
        <w:rPr>
          <w:b w:val="0"/>
          <w:bCs w:val="0"/>
          <w:sz w:val="24"/>
          <w:szCs w:val="24"/>
        </w:rPr>
      </w:pPr>
      <w:r>
        <w:rPr>
          <w:b w:val="0"/>
          <w:bCs w:val="0"/>
          <w:sz w:val="24"/>
          <w:szCs w:val="24"/>
        </w:rPr>
        <w:t xml:space="preserve">“Court Shoots Down Dallas' Request to Toss Out Lawsuit Over Paramedic Kicking Man in Head” (June 28, 2022): </w:t>
      </w:r>
      <w:hyperlink r:id="rId2196" w:history="1">
        <w:r>
          <w:rPr>
            <w:rStyle w:val="Hyperlink"/>
            <w:sz w:val="24"/>
            <w:szCs w:val="24"/>
          </w:rPr>
          <w:t>https://www.dallasobserver.com/news/kyle-vess-court-rules-lawsuit-against-city-and-former-paramedic-can-move-forward-14303422</w:t>
        </w:r>
      </w:hyperlink>
      <w:r>
        <w:rPr>
          <w:b w:val="0"/>
          <w:bCs w:val="0"/>
          <w:sz w:val="24"/>
          <w:szCs w:val="24"/>
        </w:rPr>
        <w:t xml:space="preserve"> </w:t>
      </w:r>
    </w:p>
    <w:p w14:paraId="40069CD9" w14:textId="77777777" w:rsidR="00936792" w:rsidRDefault="00936792" w:rsidP="00936792">
      <w:pPr>
        <w:pStyle w:val="Heading1"/>
        <w:ind w:left="720"/>
        <w:rPr>
          <w:b w:val="0"/>
          <w:bCs w:val="0"/>
          <w:sz w:val="24"/>
          <w:szCs w:val="24"/>
        </w:rPr>
      </w:pPr>
      <w:r>
        <w:rPr>
          <w:b w:val="0"/>
          <w:bCs w:val="0"/>
          <w:sz w:val="24"/>
          <w:szCs w:val="24"/>
        </w:rPr>
        <w:t xml:space="preserve">After Police Review, No Charges Filed Against Former Dallas Paramedic Who Kicked Mentally Ill Man (March 7, 2022): </w:t>
      </w:r>
      <w:hyperlink r:id="rId2197" w:history="1">
        <w:r>
          <w:rPr>
            <w:rStyle w:val="Hyperlink"/>
            <w:sz w:val="24"/>
            <w:szCs w:val="24"/>
          </w:rPr>
          <w:t>https://www.dallasobserver.com/news/after-dpd-review-no-charges-filed-against-former-paramedic-who-kicked-mentally-ill-man-13536919</w:t>
        </w:r>
      </w:hyperlink>
      <w:r>
        <w:rPr>
          <w:b w:val="0"/>
          <w:bCs w:val="0"/>
          <w:sz w:val="24"/>
          <w:szCs w:val="24"/>
        </w:rPr>
        <w:t xml:space="preserve"> </w:t>
      </w:r>
    </w:p>
    <w:p w14:paraId="64CD8499" w14:textId="58BBF9D0" w:rsidR="00936792" w:rsidRDefault="00936792" w:rsidP="00936792">
      <w:pPr>
        <w:ind w:left="720"/>
        <w:rPr>
          <w:rFonts w:ascii="Arial Black" w:hAnsi="Arial Black"/>
          <w:b/>
          <w:bCs/>
          <w:sz w:val="28"/>
          <w:szCs w:val="28"/>
        </w:rPr>
      </w:pPr>
      <w:r>
        <w:rPr>
          <w:sz w:val="24"/>
          <w:szCs w:val="24"/>
        </w:rPr>
        <w:t xml:space="preserve">New Video Shows Dallas Paramedic Repeatedly Kicking Mentally Ill Man Before Police Show Up (Oct. 19, 2021): </w:t>
      </w:r>
      <w:hyperlink r:id="rId2198" w:history="1">
        <w:r>
          <w:rPr>
            <w:rStyle w:val="Hyperlink"/>
            <w:sz w:val="24"/>
            <w:szCs w:val="24"/>
          </w:rPr>
          <w:t>https://www.dallasobserver.com/news/watch-dallas-paramedic-kicks-mentally-ill-man-several-times-before-police-arrive-on-scene-12638001</w:t>
        </w:r>
      </w:hyperlink>
    </w:p>
    <w:p w14:paraId="18A989C0" w14:textId="77777777" w:rsidR="00936792" w:rsidRDefault="00936792" w:rsidP="002B1283">
      <w:pPr>
        <w:rPr>
          <w:rFonts w:ascii="Arial Black" w:hAnsi="Arial Black"/>
          <w:b/>
          <w:bCs/>
          <w:sz w:val="28"/>
          <w:szCs w:val="28"/>
        </w:rPr>
      </w:pPr>
    </w:p>
    <w:p w14:paraId="5E41758B" w14:textId="77777777" w:rsidR="00936792" w:rsidRDefault="00936792" w:rsidP="002B1283">
      <w:pPr>
        <w:rPr>
          <w:rFonts w:ascii="Arial Black" w:hAnsi="Arial Black"/>
          <w:b/>
          <w:bCs/>
          <w:sz w:val="28"/>
          <w:szCs w:val="28"/>
        </w:rPr>
      </w:pPr>
    </w:p>
    <w:p w14:paraId="42DCCC29" w14:textId="3B1636CF" w:rsidR="009579EB" w:rsidRDefault="009579EB" w:rsidP="002B1283">
      <w:pPr>
        <w:rPr>
          <w:rFonts w:ascii="Arial Black" w:hAnsi="Arial Black"/>
          <w:b/>
          <w:bCs/>
          <w:sz w:val="28"/>
          <w:szCs w:val="28"/>
        </w:rPr>
      </w:pPr>
      <w:r>
        <w:rPr>
          <w:rFonts w:ascii="Arial Black" w:hAnsi="Arial Black"/>
          <w:b/>
          <w:bCs/>
          <w:sz w:val="28"/>
          <w:szCs w:val="28"/>
        </w:rPr>
        <w:t>13-114</w:t>
      </w:r>
    </w:p>
    <w:p w14:paraId="7F66F2F4" w14:textId="77777777" w:rsidR="009579EB" w:rsidRDefault="009579EB" w:rsidP="009579EB">
      <w:pPr>
        <w:spacing w:before="100" w:beforeAutospacing="1" w:after="100" w:afterAutospacing="1" w:line="240" w:lineRule="auto"/>
        <w:rPr>
          <w:rFonts w:ascii="Arial Black" w:hAnsi="Arial Black"/>
          <w:b/>
          <w:sz w:val="28"/>
          <w:szCs w:val="28"/>
        </w:rPr>
      </w:pPr>
      <w:r>
        <w:rPr>
          <w:rFonts w:ascii="Arial Black" w:hAnsi="Arial Black"/>
          <w:b/>
          <w:sz w:val="28"/>
          <w:szCs w:val="28"/>
        </w:rPr>
        <w:t>MS: EMS ON SCENE 16 MINUTES – VICTIM SHOT 3 TIMES –P’S MD EXPERT - NO EMER. MED. EXP. - DISQUALIFIED</w:t>
      </w:r>
    </w:p>
    <w:p w14:paraId="3EE7BB5C" w14:textId="63D216FC" w:rsidR="009579EB" w:rsidRDefault="009579EB" w:rsidP="009579EB">
      <w:pPr>
        <w:rPr>
          <w:rStyle w:val="Hyperlink"/>
          <w:rFonts w:ascii="Times New Roman" w:hAnsi="Times New Roman"/>
          <w:sz w:val="24"/>
          <w:szCs w:val="24"/>
        </w:rPr>
      </w:pPr>
      <w:r w:rsidRPr="00B60757">
        <w:rPr>
          <w:rFonts w:ascii="Times New Roman" w:hAnsi="Times New Roman"/>
          <w:bCs/>
          <w:sz w:val="24"/>
          <w:szCs w:val="24"/>
        </w:rPr>
        <w:t xml:space="preserve">On May 12, 2022, in </w:t>
      </w:r>
      <w:r w:rsidRPr="005F737D">
        <w:rPr>
          <w:rFonts w:ascii="Times New Roman" w:hAnsi="Times New Roman"/>
          <w:bCs/>
          <w:sz w:val="24"/>
          <w:szCs w:val="24"/>
          <w:u w:val="single"/>
        </w:rPr>
        <w:t xml:space="preserve">Marcus Walker, on behalf of the wrongful death beneficiaries of </w:t>
      </w:r>
      <w:proofErr w:type="spellStart"/>
      <w:r w:rsidRPr="005F737D">
        <w:rPr>
          <w:rFonts w:ascii="Times New Roman" w:hAnsi="Times New Roman"/>
          <w:bCs/>
          <w:sz w:val="24"/>
          <w:szCs w:val="24"/>
          <w:u w:val="single"/>
        </w:rPr>
        <w:t>De’Aubrey</w:t>
      </w:r>
      <w:proofErr w:type="spellEnd"/>
      <w:r w:rsidRPr="005F737D">
        <w:rPr>
          <w:rFonts w:ascii="Times New Roman" w:hAnsi="Times New Roman"/>
          <w:bCs/>
          <w:sz w:val="24"/>
          <w:szCs w:val="24"/>
          <w:u w:val="single"/>
        </w:rPr>
        <w:t xml:space="preserve"> </w:t>
      </w:r>
      <w:proofErr w:type="spellStart"/>
      <w:r w:rsidRPr="005F737D">
        <w:rPr>
          <w:rFonts w:ascii="Times New Roman" w:hAnsi="Times New Roman"/>
          <w:bCs/>
          <w:sz w:val="24"/>
          <w:szCs w:val="24"/>
          <w:u w:val="single"/>
        </w:rPr>
        <w:t>Rajheem</w:t>
      </w:r>
      <w:proofErr w:type="spellEnd"/>
      <w:r w:rsidRPr="005F737D">
        <w:rPr>
          <w:rFonts w:ascii="Times New Roman" w:hAnsi="Times New Roman"/>
          <w:bCs/>
          <w:sz w:val="24"/>
          <w:szCs w:val="24"/>
          <w:u w:val="single"/>
        </w:rPr>
        <w:t xml:space="preserve"> Roscoe v. City of Indianola,</w:t>
      </w:r>
      <w:r>
        <w:rPr>
          <w:rFonts w:ascii="Times New Roman" w:hAnsi="Times New Roman"/>
          <w:bCs/>
          <w:sz w:val="24"/>
          <w:szCs w:val="24"/>
          <w:u w:val="single"/>
        </w:rPr>
        <w:t xml:space="preserve"> </w:t>
      </w:r>
      <w:proofErr w:type="spellStart"/>
      <w:r>
        <w:rPr>
          <w:rFonts w:ascii="Times New Roman" w:hAnsi="Times New Roman"/>
          <w:bCs/>
          <w:sz w:val="24"/>
          <w:szCs w:val="24"/>
          <w:u w:val="single"/>
        </w:rPr>
        <w:t>Medstat</w:t>
      </w:r>
      <w:proofErr w:type="spellEnd"/>
      <w:r>
        <w:rPr>
          <w:rFonts w:ascii="Times New Roman" w:hAnsi="Times New Roman"/>
          <w:bCs/>
          <w:sz w:val="24"/>
          <w:szCs w:val="24"/>
          <w:u w:val="single"/>
        </w:rPr>
        <w:t xml:space="preserve"> EMS, Inc. </w:t>
      </w:r>
      <w:r w:rsidRPr="005F737D">
        <w:rPr>
          <w:rFonts w:ascii="Times New Roman" w:hAnsi="Times New Roman"/>
          <w:bCs/>
          <w:sz w:val="24"/>
          <w:szCs w:val="24"/>
          <w:u w:val="single"/>
        </w:rPr>
        <w:t xml:space="preserve"> et al.</w:t>
      </w:r>
      <w:r>
        <w:rPr>
          <w:rFonts w:ascii="Times New Roman" w:hAnsi="Times New Roman"/>
          <w:bCs/>
          <w:sz w:val="24"/>
          <w:szCs w:val="24"/>
        </w:rPr>
        <w:t xml:space="preserve">, U.S. District Court Judge for the Northern District of Mississippi granted </w:t>
      </w:r>
      <w:proofErr w:type="spellStart"/>
      <w:r>
        <w:rPr>
          <w:rFonts w:ascii="Times New Roman" w:hAnsi="Times New Roman"/>
          <w:bCs/>
          <w:sz w:val="24"/>
          <w:szCs w:val="24"/>
        </w:rPr>
        <w:t>Medstat’s</w:t>
      </w:r>
      <w:proofErr w:type="spellEnd"/>
      <w:r>
        <w:rPr>
          <w:rFonts w:ascii="Times New Roman" w:hAnsi="Times New Roman"/>
          <w:bCs/>
          <w:sz w:val="24"/>
          <w:szCs w:val="24"/>
        </w:rPr>
        <w:t xml:space="preserve"> motion to exclude plaintiff’s expert, Obie McNair, MD. </w:t>
      </w:r>
      <w:r w:rsidRPr="00DB3E42">
        <w:rPr>
          <w:rFonts w:ascii="Times New Roman" w:hAnsi="Times New Roman"/>
          <w:sz w:val="24"/>
          <w:szCs w:val="24"/>
        </w:rPr>
        <w:t>On April 24, 2019,</w:t>
      </w:r>
      <w:r>
        <w:rPr>
          <w:rFonts w:ascii="Times New Roman" w:hAnsi="Times New Roman"/>
          <w:sz w:val="24"/>
          <w:szCs w:val="24"/>
        </w:rPr>
        <w:t xml:space="preserve"> </w:t>
      </w:r>
      <w:r w:rsidRPr="00BF05FA">
        <w:rPr>
          <w:rFonts w:ascii="Times New Roman" w:hAnsi="Times New Roman"/>
          <w:sz w:val="24"/>
          <w:szCs w:val="24"/>
        </w:rPr>
        <w:t>Roscoe had been shot three times, and one of the bullets had perforated the deceased's liver and right lung, thereby causing a collapsed lung (</w:t>
      </w:r>
      <w:r>
        <w:rPr>
          <w:rFonts w:ascii="Times New Roman" w:hAnsi="Times New Roman"/>
          <w:sz w:val="24"/>
          <w:szCs w:val="24"/>
        </w:rPr>
        <w:t>‘</w:t>
      </w:r>
      <w:r w:rsidRPr="00BF05FA">
        <w:rPr>
          <w:rFonts w:ascii="Times New Roman" w:hAnsi="Times New Roman"/>
          <w:sz w:val="24"/>
          <w:szCs w:val="24"/>
        </w:rPr>
        <w:t>pneumothorax</w:t>
      </w:r>
      <w:r>
        <w:rPr>
          <w:rFonts w:ascii="Times New Roman" w:hAnsi="Times New Roman"/>
          <w:sz w:val="24"/>
          <w:szCs w:val="24"/>
        </w:rPr>
        <w:t>’</w:t>
      </w:r>
      <w:r w:rsidRPr="00BF05FA">
        <w:rPr>
          <w:rFonts w:ascii="Times New Roman" w:hAnsi="Times New Roman"/>
          <w:sz w:val="24"/>
          <w:szCs w:val="24"/>
        </w:rPr>
        <w:t xml:space="preserve"> in medical terms) and bleeding in the space between the lung and the chest cavity (a </w:t>
      </w:r>
      <w:r>
        <w:rPr>
          <w:rFonts w:ascii="Times New Roman" w:hAnsi="Times New Roman"/>
          <w:sz w:val="24"/>
          <w:szCs w:val="24"/>
        </w:rPr>
        <w:t>‘</w:t>
      </w:r>
      <w:r w:rsidRPr="00BF05FA">
        <w:rPr>
          <w:rFonts w:ascii="Times New Roman" w:hAnsi="Times New Roman"/>
          <w:sz w:val="24"/>
          <w:szCs w:val="24"/>
        </w:rPr>
        <w:t>hemothorax</w:t>
      </w:r>
      <w:r>
        <w:rPr>
          <w:rFonts w:ascii="Times New Roman" w:hAnsi="Times New Roman"/>
          <w:sz w:val="24"/>
          <w:szCs w:val="24"/>
        </w:rPr>
        <w:t>”</w:t>
      </w:r>
      <w:r w:rsidRPr="00BF05FA">
        <w:rPr>
          <w:rFonts w:ascii="Times New Roman" w:hAnsi="Times New Roman"/>
          <w:sz w:val="24"/>
          <w:szCs w:val="24"/>
        </w:rPr>
        <w:t>)</w:t>
      </w:r>
      <w:r>
        <w:rPr>
          <w:rFonts w:ascii="Times New Roman" w:hAnsi="Times New Roman"/>
          <w:sz w:val="24"/>
          <w:szCs w:val="24"/>
        </w:rPr>
        <w:t xml:space="preserve">. </w:t>
      </w:r>
      <w:r w:rsidRPr="00BF05FA">
        <w:rPr>
          <w:rFonts w:ascii="Times New Roman" w:hAnsi="Times New Roman"/>
          <w:sz w:val="24"/>
          <w:szCs w:val="24"/>
        </w:rPr>
        <w:t xml:space="preserve">Defendant </w:t>
      </w:r>
      <w:proofErr w:type="spellStart"/>
      <w:r w:rsidRPr="00BF05FA">
        <w:rPr>
          <w:rFonts w:ascii="Times New Roman" w:hAnsi="Times New Roman"/>
          <w:sz w:val="24"/>
          <w:szCs w:val="24"/>
        </w:rPr>
        <w:t>MedStat's</w:t>
      </w:r>
      <w:proofErr w:type="spellEnd"/>
      <w:r w:rsidRPr="00BF05FA">
        <w:rPr>
          <w:rFonts w:ascii="Times New Roman" w:hAnsi="Times New Roman"/>
          <w:sz w:val="24"/>
          <w:szCs w:val="24"/>
        </w:rPr>
        <w:t xml:space="preserve"> crew members treated Roscoe for sixteen minutes at the </w:t>
      </w:r>
      <w:proofErr w:type="gramStart"/>
      <w:r w:rsidRPr="00BF05FA">
        <w:rPr>
          <w:rFonts w:ascii="Times New Roman" w:hAnsi="Times New Roman"/>
          <w:sz w:val="24"/>
          <w:szCs w:val="24"/>
        </w:rPr>
        <w:t>scene, and</w:t>
      </w:r>
      <w:proofErr w:type="gramEnd"/>
      <w:r w:rsidRPr="00BF05FA">
        <w:rPr>
          <w:rFonts w:ascii="Times New Roman" w:hAnsi="Times New Roman"/>
          <w:sz w:val="24"/>
          <w:szCs w:val="24"/>
        </w:rPr>
        <w:t xml:space="preserve"> then left the scene in an ambulance heading toward the local hospital</w:t>
      </w:r>
      <w:r>
        <w:rPr>
          <w:rFonts w:ascii="Times New Roman" w:hAnsi="Times New Roman"/>
          <w:sz w:val="24"/>
          <w:szCs w:val="24"/>
        </w:rPr>
        <w:t xml:space="preserve">, where he died.  </w:t>
      </w:r>
      <w:r w:rsidRPr="00133A12">
        <w:rPr>
          <w:rFonts w:ascii="Times New Roman" w:hAnsi="Times New Roman"/>
          <w:sz w:val="24"/>
          <w:szCs w:val="24"/>
        </w:rPr>
        <w:t>Plaintiff’s expert is a physician who is board-certified in internal medicine and pulmonary medicine</w:t>
      </w:r>
      <w:r>
        <w:rPr>
          <w:rFonts w:ascii="Times New Roman" w:hAnsi="Times New Roman"/>
          <w:sz w:val="24"/>
          <w:szCs w:val="24"/>
        </w:rPr>
        <w:t xml:space="preserve">, but has no </w:t>
      </w:r>
      <w:r w:rsidRPr="00133A12">
        <w:rPr>
          <w:rFonts w:ascii="Times New Roman" w:hAnsi="Times New Roman"/>
          <w:sz w:val="24"/>
          <w:szCs w:val="24"/>
        </w:rPr>
        <w:t>experience, education, or background related to emergency medicine or the standards at play when treating patients in the field and on ambulances</w:t>
      </w:r>
      <w:r>
        <w:rPr>
          <w:rFonts w:ascii="Times New Roman" w:hAnsi="Times New Roman"/>
          <w:sz w:val="24"/>
          <w:szCs w:val="24"/>
        </w:rPr>
        <w:t xml:space="preserve">. </w:t>
      </w:r>
      <w:hyperlink r:id="rId2199" w:history="1">
        <w:r w:rsidRPr="00826068">
          <w:rPr>
            <w:rStyle w:val="Hyperlink"/>
            <w:rFonts w:ascii="Times New Roman" w:hAnsi="Times New Roman"/>
            <w:sz w:val="24"/>
            <w:szCs w:val="24"/>
          </w:rPr>
          <w:t>https://public.fastcase.com/waZtJvSA54UAurM2rmIZz3GImxM8vVu83JjC1hitqCF6J52x3NFj71FjQLuzCLQnmvBPUszpB78vzjnxu9to%2Fq0ClMx7mkWBtvY01d0uDxg%3D</w:t>
        </w:r>
      </w:hyperlink>
    </w:p>
    <w:p w14:paraId="68C95F6A" w14:textId="77777777" w:rsidR="009579EB" w:rsidRPr="00B97849" w:rsidRDefault="009579EB" w:rsidP="009579EB">
      <w:pPr>
        <w:spacing w:before="100" w:beforeAutospacing="1" w:after="100" w:afterAutospacing="1" w:line="240" w:lineRule="auto"/>
        <w:rPr>
          <w:rFonts w:ascii="Times New Roman" w:eastAsia="Times New Roman" w:hAnsi="Times New Roman"/>
          <w:b/>
          <w:bCs/>
          <w:sz w:val="24"/>
          <w:szCs w:val="24"/>
        </w:rPr>
      </w:pPr>
      <w:r w:rsidRPr="00133A12">
        <w:rPr>
          <w:rFonts w:ascii="Times New Roman" w:hAnsi="Times New Roman"/>
          <w:b/>
          <w:bCs/>
          <w:sz w:val="24"/>
          <w:szCs w:val="24"/>
        </w:rPr>
        <w:t>Legal Lesson Learned:</w:t>
      </w:r>
      <w:r>
        <w:rPr>
          <w:rFonts w:ascii="Times New Roman" w:hAnsi="Times New Roman"/>
          <w:b/>
          <w:bCs/>
          <w:sz w:val="24"/>
          <w:szCs w:val="24"/>
        </w:rPr>
        <w:t xml:space="preserve"> Plaintiff’s expert witness lacked knowledge of protocol of paramedics. </w:t>
      </w:r>
    </w:p>
    <w:p w14:paraId="0DC8BB62" w14:textId="77777777" w:rsidR="009579EB" w:rsidRDefault="009579EB" w:rsidP="009579EB">
      <w:pPr>
        <w:rPr>
          <w:rFonts w:ascii="Arial Black" w:hAnsi="Arial Black"/>
          <w:b/>
          <w:bCs/>
          <w:sz w:val="28"/>
          <w:szCs w:val="28"/>
        </w:rPr>
      </w:pPr>
    </w:p>
    <w:p w14:paraId="769C2869" w14:textId="77777777" w:rsidR="009579EB" w:rsidRDefault="009579EB" w:rsidP="002B1283">
      <w:pPr>
        <w:rPr>
          <w:rFonts w:ascii="Arial Black" w:hAnsi="Arial Black"/>
          <w:b/>
          <w:bCs/>
          <w:sz w:val="28"/>
          <w:szCs w:val="28"/>
        </w:rPr>
      </w:pPr>
    </w:p>
    <w:p w14:paraId="33A07AB7" w14:textId="2B910C93" w:rsidR="00BA51CC" w:rsidRDefault="00BA51CC" w:rsidP="002B1283">
      <w:pPr>
        <w:rPr>
          <w:rFonts w:ascii="Arial Black" w:hAnsi="Arial Black"/>
          <w:b/>
          <w:bCs/>
          <w:sz w:val="28"/>
          <w:szCs w:val="28"/>
        </w:rPr>
      </w:pPr>
      <w:r>
        <w:rPr>
          <w:rFonts w:ascii="Arial Black" w:hAnsi="Arial Black"/>
          <w:b/>
          <w:bCs/>
          <w:sz w:val="28"/>
          <w:szCs w:val="28"/>
        </w:rPr>
        <w:t>13-113</w:t>
      </w:r>
    </w:p>
    <w:p w14:paraId="77E8980D" w14:textId="77777777" w:rsidR="00BA51CC" w:rsidRDefault="00BA51CC" w:rsidP="00BA51CC">
      <w:pPr>
        <w:spacing w:before="100" w:beforeAutospacing="1" w:after="100" w:afterAutospacing="1" w:line="240" w:lineRule="auto"/>
        <w:rPr>
          <w:rFonts w:ascii="Arial Black" w:hAnsi="Arial Black"/>
          <w:sz w:val="28"/>
          <w:szCs w:val="28"/>
        </w:rPr>
      </w:pPr>
      <w:r w:rsidRPr="00A84EAB">
        <w:rPr>
          <w:rFonts w:ascii="Arial Black" w:hAnsi="Arial Black"/>
          <w:sz w:val="28"/>
          <w:szCs w:val="28"/>
        </w:rPr>
        <w:t xml:space="preserve">OH: </w:t>
      </w:r>
      <w:r>
        <w:rPr>
          <w:rFonts w:ascii="Arial Black" w:hAnsi="Arial Black"/>
          <w:sz w:val="28"/>
          <w:szCs w:val="28"/>
        </w:rPr>
        <w:t>SEVERE ASTHMA ATTACK – EMS WRONG ADDRESS, SLOOPY DISPATCH - “RECKLESSNESS” – CASE PROCEED</w:t>
      </w:r>
    </w:p>
    <w:p w14:paraId="2BB11396" w14:textId="311E1C64" w:rsidR="00BA51CC" w:rsidRDefault="00BA51CC" w:rsidP="00BA51CC">
      <w:pPr>
        <w:rPr>
          <w:rFonts w:ascii="Arial Black" w:hAnsi="Arial Black"/>
          <w:b/>
          <w:bCs/>
          <w:sz w:val="28"/>
          <w:szCs w:val="28"/>
        </w:rPr>
      </w:pPr>
      <w:r>
        <w:rPr>
          <w:rFonts w:ascii="Times New Roman" w:eastAsia="Times New Roman" w:hAnsi="Times New Roman"/>
          <w:sz w:val="24"/>
          <w:szCs w:val="24"/>
        </w:rPr>
        <w:t xml:space="preserve">On May 5, 2022, in </w:t>
      </w:r>
      <w:r w:rsidRPr="0013666F">
        <w:rPr>
          <w:rFonts w:ascii="Times New Roman" w:eastAsia="Times New Roman" w:hAnsi="Times New Roman"/>
          <w:sz w:val="24"/>
          <w:szCs w:val="24"/>
          <w:u w:val="single"/>
        </w:rPr>
        <w:t>Boris Morrison v. City of Warrensville Heights, et al</w:t>
      </w:r>
      <w:r>
        <w:rPr>
          <w:rFonts w:ascii="Times New Roman" w:eastAsia="Times New Roman" w:hAnsi="Times New Roman"/>
          <w:sz w:val="24"/>
          <w:szCs w:val="24"/>
        </w:rPr>
        <w:t xml:space="preserve">., the Court of Appeals of Ohio, Eighth District (Cuyahoga County), held (3 to 0), 2022-Ohio-1489, that the trial court properly denied summary judgment for dispatch and fire / EMS since there appears to be a history of “recklessness” in confirm addresses, and inaccurate arrival times on run reports.  Squad 1 responded to </w:t>
      </w:r>
      <w:r w:rsidRPr="00B93C27">
        <w:rPr>
          <w:rFonts w:ascii="Times New Roman" w:hAnsi="Times New Roman"/>
          <w:sz w:val="24"/>
          <w:szCs w:val="24"/>
        </w:rPr>
        <w:t xml:space="preserve">19419 </w:t>
      </w:r>
      <w:proofErr w:type="spellStart"/>
      <w:r w:rsidRPr="00B93C27">
        <w:rPr>
          <w:rFonts w:ascii="Times New Roman" w:hAnsi="Times New Roman"/>
          <w:sz w:val="24"/>
          <w:szCs w:val="24"/>
        </w:rPr>
        <w:t>Lanbury</w:t>
      </w:r>
      <w:proofErr w:type="spellEnd"/>
      <w:r w:rsidRPr="00B93C27">
        <w:rPr>
          <w:rFonts w:ascii="Times New Roman" w:hAnsi="Times New Roman"/>
          <w:sz w:val="24"/>
          <w:szCs w:val="24"/>
        </w:rPr>
        <w:t xml:space="preserve">, instead of 19219 </w:t>
      </w:r>
      <w:proofErr w:type="spellStart"/>
      <w:r w:rsidRPr="00B93C27">
        <w:rPr>
          <w:rFonts w:ascii="Times New Roman" w:hAnsi="Times New Roman"/>
          <w:sz w:val="24"/>
          <w:szCs w:val="24"/>
        </w:rPr>
        <w:t>Lanbury</w:t>
      </w:r>
      <w:proofErr w:type="spellEnd"/>
      <w:r>
        <w:rPr>
          <w:rFonts w:ascii="Times New Roman" w:hAnsi="Times New Roman"/>
          <w:sz w:val="24"/>
          <w:szCs w:val="24"/>
        </w:rPr>
        <w:t xml:space="preserve">, and when they eventually got the correct </w:t>
      </w:r>
      <w:proofErr w:type="gramStart"/>
      <w:r>
        <w:rPr>
          <w:rFonts w:ascii="Times New Roman" w:hAnsi="Times New Roman"/>
          <w:sz w:val="24"/>
          <w:szCs w:val="24"/>
        </w:rPr>
        <w:t>address</w:t>
      </w:r>
      <w:proofErr w:type="gramEnd"/>
      <w:r>
        <w:rPr>
          <w:rFonts w:ascii="Times New Roman" w:hAnsi="Times New Roman"/>
          <w:sz w:val="24"/>
          <w:szCs w:val="24"/>
        </w:rPr>
        <w:t xml:space="preserve"> the patient was in full cardiac arrest. </w:t>
      </w:r>
      <w:r>
        <w:rPr>
          <w:rFonts w:ascii="Times New Roman" w:eastAsia="Times New Roman" w:hAnsi="Times New Roman"/>
          <w:sz w:val="24"/>
          <w:szCs w:val="24"/>
        </w:rPr>
        <w:t xml:space="preserve">The </w:t>
      </w:r>
      <w:proofErr w:type="gramStart"/>
      <w:r>
        <w:rPr>
          <w:rFonts w:ascii="Times New Roman" w:eastAsia="Times New Roman" w:hAnsi="Times New Roman"/>
          <w:sz w:val="24"/>
          <w:szCs w:val="24"/>
        </w:rPr>
        <w:t>City</w:t>
      </w:r>
      <w:proofErr w:type="gramEnd"/>
      <w:r>
        <w:rPr>
          <w:rFonts w:ascii="Times New Roman" w:eastAsia="Times New Roman" w:hAnsi="Times New Roman"/>
          <w:sz w:val="24"/>
          <w:szCs w:val="24"/>
        </w:rPr>
        <w:t xml:space="preserve"> asked the County Sheriff’s office to investigate and their report reflected a history of sloppy procedures on confirming run addresses and inaccurate run times.  The Court of Appeals noted: </w:t>
      </w:r>
      <w:r>
        <w:rPr>
          <w:rFonts w:ascii="Times New Roman" w:hAnsi="Times New Roman"/>
          <w:sz w:val="24"/>
          <w:szCs w:val="24"/>
        </w:rPr>
        <w:t>“</w:t>
      </w:r>
      <w:r w:rsidRPr="00B4142C">
        <w:rPr>
          <w:rFonts w:ascii="Times New Roman" w:eastAsia="Times New Roman" w:hAnsi="Times New Roman"/>
          <w:sz w:val="24"/>
          <w:szCs w:val="24"/>
        </w:rPr>
        <w:t xml:space="preserve">Both the run report and the dispatch report show that Ms. Morrison's 911 call was received at 9:40 a.m. However, the 911 call was </w:t>
      </w:r>
      <w:proofErr w:type="gramStart"/>
      <w:r w:rsidRPr="00B4142C">
        <w:rPr>
          <w:rFonts w:ascii="Times New Roman" w:eastAsia="Times New Roman" w:hAnsi="Times New Roman"/>
          <w:sz w:val="24"/>
          <w:szCs w:val="24"/>
        </w:rPr>
        <w:t>actually received</w:t>
      </w:r>
      <w:proofErr w:type="gramEnd"/>
      <w:r w:rsidRPr="00B4142C">
        <w:rPr>
          <w:rFonts w:ascii="Times New Roman" w:eastAsia="Times New Roman" w:hAnsi="Times New Roman"/>
          <w:sz w:val="24"/>
          <w:szCs w:val="24"/>
        </w:rPr>
        <w:t xml:space="preserve"> at 9:37 a.m. This change makes it appear that EMS was dispatched as soon as the call was received. They both also show that EMS arrived at Ms. Morrison's home at 9:44 a.m. making it appear that Ms. Morrison received services three minutes earlier than she </w:t>
      </w:r>
      <w:proofErr w:type="gramStart"/>
      <w:r w:rsidRPr="00B4142C">
        <w:rPr>
          <w:rFonts w:ascii="Times New Roman" w:eastAsia="Times New Roman" w:hAnsi="Times New Roman"/>
          <w:sz w:val="24"/>
          <w:szCs w:val="24"/>
        </w:rPr>
        <w:t>actually did</w:t>
      </w:r>
      <w:proofErr w:type="gramEnd"/>
      <w:r w:rsidRPr="00B4142C">
        <w:rPr>
          <w:rFonts w:ascii="Times New Roman" w:eastAsia="Times New Roman" w:hAnsi="Times New Roman"/>
          <w:sz w:val="24"/>
          <w:szCs w:val="24"/>
        </w:rPr>
        <w:t>.</w:t>
      </w:r>
      <w:r>
        <w:rPr>
          <w:rFonts w:ascii="Times New Roman" w:eastAsia="Times New Roman" w:hAnsi="Times New Roman"/>
          <w:sz w:val="24"/>
          <w:szCs w:val="24"/>
        </w:rPr>
        <w:t xml:space="preserve">” </w:t>
      </w:r>
      <w:hyperlink r:id="rId2200" w:history="1">
        <w:r w:rsidRPr="00B7678D">
          <w:rPr>
            <w:rStyle w:val="Hyperlink"/>
            <w:rFonts w:ascii="Times New Roman" w:eastAsia="Times New Roman" w:hAnsi="Times New Roman"/>
            <w:sz w:val="24"/>
            <w:szCs w:val="24"/>
          </w:rPr>
          <w:t>https://www.supremecourt.ohio.gov/rod/docs/pdf/8/2022/2022-Ohio-1489.pdf</w:t>
        </w:r>
      </w:hyperlink>
    </w:p>
    <w:p w14:paraId="0F377C22" w14:textId="77777777" w:rsidR="00BA51CC" w:rsidRPr="00B4142C" w:rsidRDefault="00BA51CC" w:rsidP="00BA51CC">
      <w:pPr>
        <w:spacing w:before="100" w:beforeAutospacing="1" w:after="100" w:afterAutospacing="1" w:line="240" w:lineRule="auto"/>
        <w:rPr>
          <w:rFonts w:ascii="Times New Roman" w:eastAsia="Times New Roman" w:hAnsi="Times New Roman"/>
          <w:b/>
          <w:bCs/>
          <w:sz w:val="24"/>
          <w:szCs w:val="24"/>
        </w:rPr>
      </w:pPr>
      <w:r w:rsidRPr="00B438A6">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The City would be wise to settle this </w:t>
      </w:r>
      <w:proofErr w:type="gramStart"/>
      <w:r>
        <w:rPr>
          <w:rFonts w:ascii="Times New Roman" w:eastAsia="Times New Roman" w:hAnsi="Times New Roman"/>
          <w:b/>
          <w:bCs/>
          <w:sz w:val="24"/>
          <w:szCs w:val="24"/>
        </w:rPr>
        <w:t>lawsuit, and</w:t>
      </w:r>
      <w:proofErr w:type="gramEnd"/>
      <w:r>
        <w:rPr>
          <w:rFonts w:ascii="Times New Roman" w:eastAsia="Times New Roman" w:hAnsi="Times New Roman"/>
          <w:b/>
          <w:bCs/>
          <w:sz w:val="24"/>
          <w:szCs w:val="24"/>
        </w:rPr>
        <w:t xml:space="preserve"> promptly correct these identified deficiencies in both dispatch and fire/EMS. </w:t>
      </w:r>
    </w:p>
    <w:p w14:paraId="7ABD8424" w14:textId="77777777" w:rsidR="00BA51CC" w:rsidRDefault="00BA51CC" w:rsidP="002B1283">
      <w:pPr>
        <w:rPr>
          <w:rFonts w:ascii="Arial Black" w:hAnsi="Arial Black"/>
          <w:b/>
          <w:bCs/>
          <w:sz w:val="28"/>
          <w:szCs w:val="28"/>
        </w:rPr>
      </w:pPr>
    </w:p>
    <w:p w14:paraId="7021DB0B" w14:textId="77777777" w:rsidR="00BA51CC" w:rsidRDefault="00BA51CC" w:rsidP="002B1283">
      <w:pPr>
        <w:rPr>
          <w:rFonts w:ascii="Arial Black" w:hAnsi="Arial Black"/>
          <w:b/>
          <w:bCs/>
          <w:sz w:val="28"/>
          <w:szCs w:val="28"/>
        </w:rPr>
      </w:pPr>
    </w:p>
    <w:p w14:paraId="3F02350E" w14:textId="5383535C" w:rsidR="00BA51CC" w:rsidRDefault="00BA51CC" w:rsidP="002B1283">
      <w:pPr>
        <w:rPr>
          <w:rFonts w:ascii="Arial Black" w:hAnsi="Arial Black"/>
          <w:b/>
          <w:bCs/>
          <w:sz w:val="28"/>
          <w:szCs w:val="28"/>
        </w:rPr>
      </w:pPr>
      <w:r>
        <w:rPr>
          <w:rFonts w:ascii="Arial Black" w:hAnsi="Arial Black"/>
          <w:b/>
          <w:bCs/>
          <w:sz w:val="28"/>
          <w:szCs w:val="28"/>
        </w:rPr>
        <w:t>13-112</w:t>
      </w:r>
    </w:p>
    <w:p w14:paraId="70567211" w14:textId="77777777" w:rsidR="00BA51CC" w:rsidRPr="00F7080A" w:rsidRDefault="00BA51CC" w:rsidP="00BA51CC">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NY: 350 POUND SEIZURE PATIENT - FLAILING AROUND – VERSED – DIED – PLAINTIFF 3 EXPERTS – CASE PROCEED</w:t>
      </w:r>
    </w:p>
    <w:p w14:paraId="3F62F9AD" w14:textId="77777777" w:rsidR="00BA51CC" w:rsidRDefault="00BA51CC" w:rsidP="00BA51CC">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May 2, 2022, in </w:t>
      </w:r>
      <w:r w:rsidRPr="001710B6">
        <w:rPr>
          <w:rFonts w:ascii="Times New Roman" w:hAnsi="Times New Roman"/>
          <w:sz w:val="24"/>
          <w:szCs w:val="24"/>
          <w:u w:val="single"/>
        </w:rPr>
        <w:t xml:space="preserve">Linda Artemiou, Estate of Peter C. </w:t>
      </w:r>
      <w:proofErr w:type="spellStart"/>
      <w:r w:rsidRPr="001710B6">
        <w:rPr>
          <w:rFonts w:ascii="Times New Roman" w:hAnsi="Times New Roman"/>
          <w:sz w:val="24"/>
          <w:szCs w:val="24"/>
          <w:u w:val="single"/>
        </w:rPr>
        <w:t>Artemiou</w:t>
      </w:r>
      <w:proofErr w:type="spellEnd"/>
      <w:r w:rsidRPr="001710B6">
        <w:rPr>
          <w:rFonts w:ascii="Times New Roman" w:hAnsi="Times New Roman"/>
          <w:sz w:val="24"/>
          <w:szCs w:val="24"/>
          <w:u w:val="single"/>
        </w:rPr>
        <w:t>, Deceased v. City of New York, et al</w:t>
      </w:r>
      <w:r>
        <w:rPr>
          <w:rFonts w:ascii="Times New Roman" w:hAnsi="Times New Roman"/>
          <w:sz w:val="24"/>
          <w:szCs w:val="24"/>
        </w:rPr>
        <w:t xml:space="preserve">., the Supreme Court, New York County, held Justice Judith McMahon held that while the medical doctor on the NYC Telemetry Unit who authorized the Versed enjoys governmental immunity, as does the City of New York, the lawsuit against the medics, employed by New York-Presbyterian Hospital will not dismissed. Co-workers of the patient </w:t>
      </w:r>
      <w:r w:rsidRPr="00DD7BC1">
        <w:rPr>
          <w:rFonts w:ascii="Times New Roman" w:hAnsi="Times New Roman"/>
          <w:sz w:val="24"/>
          <w:szCs w:val="24"/>
        </w:rPr>
        <w:t xml:space="preserve">described the decedent on the morning of the emergency as "foaming at the mouth," speaking incoherently and calling for his mother, standing up, </w:t>
      </w:r>
      <w:proofErr w:type="gramStart"/>
      <w:r w:rsidRPr="00DD7BC1">
        <w:rPr>
          <w:rFonts w:ascii="Times New Roman" w:hAnsi="Times New Roman"/>
          <w:sz w:val="24"/>
          <w:szCs w:val="24"/>
        </w:rPr>
        <w:t>falling down</w:t>
      </w:r>
      <w:proofErr w:type="gramEnd"/>
      <w:r w:rsidRPr="00DD7BC1">
        <w:rPr>
          <w:rFonts w:ascii="Times New Roman" w:hAnsi="Times New Roman"/>
          <w:sz w:val="24"/>
          <w:szCs w:val="24"/>
        </w:rPr>
        <w:t xml:space="preserve">, flailing around the room and appearing </w:t>
      </w:r>
      <w:r>
        <w:rPr>
          <w:rFonts w:ascii="Times New Roman" w:hAnsi="Times New Roman"/>
          <w:sz w:val="24"/>
          <w:szCs w:val="24"/>
        </w:rPr>
        <w:t>‘</w:t>
      </w:r>
      <w:r w:rsidRPr="00DD7BC1">
        <w:rPr>
          <w:rFonts w:ascii="Times New Roman" w:hAnsi="Times New Roman"/>
          <w:sz w:val="24"/>
          <w:szCs w:val="24"/>
        </w:rPr>
        <w:t>very agitated.</w:t>
      </w:r>
      <w:r>
        <w:rPr>
          <w:rFonts w:ascii="Times New Roman" w:hAnsi="Times New Roman"/>
          <w:sz w:val="24"/>
          <w:szCs w:val="24"/>
        </w:rPr>
        <w:t xml:space="preserve"> </w:t>
      </w:r>
      <w:r w:rsidRPr="00DD7BC1">
        <w:rPr>
          <w:rFonts w:ascii="Times New Roman" w:hAnsi="Times New Roman"/>
          <w:sz w:val="24"/>
          <w:szCs w:val="24"/>
        </w:rPr>
        <w:t xml:space="preserve">Dr. Schneitzer, who was physically at an FDNY </w:t>
      </w:r>
      <w:r>
        <w:rPr>
          <w:rFonts w:ascii="Times New Roman" w:hAnsi="Times New Roman"/>
          <w:sz w:val="24"/>
          <w:szCs w:val="24"/>
        </w:rPr>
        <w:t>‘</w:t>
      </w:r>
      <w:r w:rsidRPr="00DD7BC1">
        <w:rPr>
          <w:rFonts w:ascii="Times New Roman" w:hAnsi="Times New Roman"/>
          <w:sz w:val="24"/>
          <w:szCs w:val="24"/>
        </w:rPr>
        <w:t>online medical control</w:t>
      </w:r>
      <w:r>
        <w:rPr>
          <w:rFonts w:ascii="Times New Roman" w:hAnsi="Times New Roman"/>
          <w:sz w:val="24"/>
          <w:szCs w:val="24"/>
        </w:rPr>
        <w:t>’</w:t>
      </w:r>
      <w:r w:rsidRPr="00DD7BC1">
        <w:rPr>
          <w:rFonts w:ascii="Times New Roman" w:hAnsi="Times New Roman"/>
          <w:sz w:val="24"/>
          <w:szCs w:val="24"/>
        </w:rPr>
        <w:t xml:space="preserve"> office in Maspeth, Queens when the paramedic's call was transferred to her, claims that she instructed the paramedics according to the information they provided her (</w:t>
      </w:r>
      <w:r w:rsidRPr="00DD7BC1">
        <w:rPr>
          <w:rStyle w:val="Emphasis"/>
          <w:rFonts w:ascii="Times New Roman" w:hAnsi="Times New Roman"/>
          <w:sz w:val="24"/>
          <w:szCs w:val="24"/>
        </w:rPr>
        <w:t>i.e.,</w:t>
      </w:r>
      <w:r w:rsidRPr="00DD7BC1">
        <w:rPr>
          <w:rFonts w:ascii="Times New Roman" w:hAnsi="Times New Roman"/>
          <w:sz w:val="24"/>
          <w:szCs w:val="24"/>
        </w:rPr>
        <w:t xml:space="preserve"> their inability to get close enough to decedent to obtain his vital signs, inability to ascertain decedent's medical history, </w:t>
      </w:r>
      <w:proofErr w:type="spellStart"/>
      <w:r w:rsidRPr="00DD7BC1">
        <w:rPr>
          <w:rFonts w:ascii="Times New Roman" w:hAnsi="Times New Roman"/>
          <w:sz w:val="24"/>
          <w:szCs w:val="24"/>
        </w:rPr>
        <w:t>etc</w:t>
      </w:r>
      <w:r>
        <w:rPr>
          <w:rFonts w:ascii="Times New Roman" w:hAnsi="Times New Roman"/>
          <w:sz w:val="24"/>
          <w:szCs w:val="24"/>
        </w:rPr>
        <w:t>.Court</w:t>
      </w:r>
      <w:proofErr w:type="spellEnd"/>
      <w:r>
        <w:rPr>
          <w:rFonts w:ascii="Times New Roman" w:hAnsi="Times New Roman"/>
          <w:sz w:val="24"/>
          <w:szCs w:val="24"/>
        </w:rPr>
        <w:t xml:space="preserve"> declined to dismiss the medics from the lawsuit, based on plaintiff’s three medical experts: (1) </w:t>
      </w:r>
      <w:r w:rsidRPr="00075CA3">
        <w:rPr>
          <w:rFonts w:ascii="Times New Roman" w:hAnsi="Times New Roman"/>
          <w:sz w:val="24"/>
          <w:szCs w:val="24"/>
        </w:rPr>
        <w:t>certified paramedic</w:t>
      </w:r>
      <w:r>
        <w:rPr>
          <w:rFonts w:ascii="Times New Roman" w:hAnsi="Times New Roman"/>
          <w:sz w:val="24"/>
          <w:szCs w:val="24"/>
        </w:rPr>
        <w:t xml:space="preserve">; (2) </w:t>
      </w:r>
      <w:r w:rsidRPr="00075CA3">
        <w:rPr>
          <w:rFonts w:ascii="Times New Roman" w:hAnsi="Times New Roman"/>
          <w:sz w:val="24"/>
          <w:szCs w:val="24"/>
        </w:rPr>
        <w:t>a critical care physician</w:t>
      </w:r>
      <w:r>
        <w:rPr>
          <w:rFonts w:ascii="Times New Roman" w:hAnsi="Times New Roman"/>
          <w:sz w:val="24"/>
          <w:szCs w:val="24"/>
        </w:rPr>
        <w:t xml:space="preserve">; and (3) </w:t>
      </w:r>
      <w:r w:rsidRPr="00075CA3">
        <w:rPr>
          <w:rFonts w:ascii="Times New Roman" w:hAnsi="Times New Roman"/>
          <w:sz w:val="24"/>
          <w:szCs w:val="24"/>
        </w:rPr>
        <w:t xml:space="preserve">and an internist with experience in the field of emergency medicine </w:t>
      </w:r>
      <w:r>
        <w:rPr>
          <w:rFonts w:ascii="Times New Roman" w:hAnsi="Times New Roman"/>
          <w:sz w:val="24"/>
          <w:szCs w:val="24"/>
        </w:rPr>
        <w:t xml:space="preserve">who claim the medics </w:t>
      </w:r>
      <w:r w:rsidRPr="00075CA3">
        <w:rPr>
          <w:rFonts w:ascii="Times New Roman" w:hAnsi="Times New Roman"/>
          <w:sz w:val="24"/>
          <w:szCs w:val="24"/>
        </w:rPr>
        <w:t>failed to recognize decedent's postictal state (</w:t>
      </w:r>
      <w:r w:rsidRPr="00075CA3">
        <w:rPr>
          <w:rStyle w:val="Emphasis"/>
          <w:rFonts w:ascii="Times New Roman" w:hAnsi="Times New Roman"/>
          <w:sz w:val="24"/>
          <w:szCs w:val="24"/>
        </w:rPr>
        <w:t>i.e.,</w:t>
      </w:r>
      <w:r w:rsidRPr="00075CA3">
        <w:rPr>
          <w:rFonts w:ascii="Times New Roman" w:hAnsi="Times New Roman"/>
          <w:sz w:val="24"/>
          <w:szCs w:val="24"/>
        </w:rPr>
        <w:t xml:space="preserve"> the state immediately following a seizure), which commonly involves medical risks including an impaired ability to oxygenate</w:t>
      </w:r>
      <w:r>
        <w:rPr>
          <w:rFonts w:ascii="Times New Roman" w:hAnsi="Times New Roman"/>
          <w:sz w:val="24"/>
          <w:szCs w:val="24"/>
        </w:rPr>
        <w:t xml:space="preserve">. </w:t>
      </w:r>
      <w:hyperlink r:id="rId2201" w:history="1">
        <w:r w:rsidRPr="00600142">
          <w:rPr>
            <w:rStyle w:val="Hyperlink"/>
            <w:rFonts w:ascii="Times New Roman" w:hAnsi="Times New Roman"/>
            <w:sz w:val="24"/>
            <w:szCs w:val="24"/>
          </w:rPr>
          <w:t>https://law.justia.com/cases/new-york/other-courts/2022/2022-ny-slip-op-22137.html</w:t>
        </w:r>
      </w:hyperlink>
      <w:r>
        <w:rPr>
          <w:rFonts w:ascii="Times New Roman" w:hAnsi="Times New Roman"/>
          <w:sz w:val="24"/>
          <w:szCs w:val="24"/>
        </w:rPr>
        <w:t xml:space="preserve"> </w:t>
      </w:r>
    </w:p>
    <w:p w14:paraId="49812C7F" w14:textId="77777777" w:rsidR="00BA51CC" w:rsidRPr="00BA4B0D" w:rsidRDefault="00BA51CC" w:rsidP="00BA51CC">
      <w:pPr>
        <w:spacing w:before="100" w:beforeAutospacing="1" w:after="100" w:afterAutospacing="1" w:line="240" w:lineRule="auto"/>
        <w:rPr>
          <w:rFonts w:ascii="Times New Roman" w:hAnsi="Times New Roman"/>
          <w:b/>
          <w:bCs/>
          <w:sz w:val="24"/>
          <w:szCs w:val="24"/>
        </w:rPr>
      </w:pPr>
      <w:r w:rsidRPr="00BA4B0D">
        <w:rPr>
          <w:rFonts w:ascii="Times New Roman" w:hAnsi="Times New Roman"/>
          <w:b/>
          <w:bCs/>
          <w:sz w:val="24"/>
          <w:szCs w:val="24"/>
        </w:rPr>
        <w:t xml:space="preserve">Legal Lesson Learned: </w:t>
      </w:r>
      <w:r>
        <w:rPr>
          <w:rFonts w:ascii="Times New Roman" w:hAnsi="Times New Roman"/>
          <w:b/>
          <w:bCs/>
          <w:sz w:val="24"/>
          <w:szCs w:val="24"/>
        </w:rPr>
        <w:t xml:space="preserve">The trial court judge has referenced three plaintiff experts in ordering the case to trial. </w:t>
      </w:r>
    </w:p>
    <w:p w14:paraId="18C59E4B" w14:textId="77777777" w:rsidR="00BA51CC" w:rsidRDefault="00BA51CC" w:rsidP="002B1283">
      <w:pPr>
        <w:rPr>
          <w:rFonts w:ascii="Arial Black" w:hAnsi="Arial Black"/>
          <w:b/>
          <w:bCs/>
          <w:sz w:val="28"/>
          <w:szCs w:val="28"/>
        </w:rPr>
      </w:pPr>
    </w:p>
    <w:p w14:paraId="4D836FF7" w14:textId="77777777" w:rsidR="00BA51CC" w:rsidRDefault="00BA51CC" w:rsidP="002B1283">
      <w:pPr>
        <w:rPr>
          <w:rFonts w:ascii="Arial Black" w:hAnsi="Arial Black"/>
          <w:b/>
          <w:bCs/>
          <w:sz w:val="28"/>
          <w:szCs w:val="28"/>
        </w:rPr>
      </w:pPr>
    </w:p>
    <w:p w14:paraId="1B3B6B4E" w14:textId="77777777" w:rsidR="00BA51CC" w:rsidRDefault="00BA51CC" w:rsidP="002B1283">
      <w:pPr>
        <w:rPr>
          <w:rFonts w:ascii="Arial Black" w:hAnsi="Arial Black"/>
          <w:b/>
          <w:bCs/>
          <w:sz w:val="28"/>
          <w:szCs w:val="28"/>
        </w:rPr>
      </w:pPr>
    </w:p>
    <w:p w14:paraId="7077C2BF" w14:textId="466B3E22" w:rsidR="00221640" w:rsidRDefault="00221640" w:rsidP="002B1283">
      <w:pPr>
        <w:rPr>
          <w:rFonts w:ascii="Arial Black" w:hAnsi="Arial Black"/>
          <w:b/>
          <w:bCs/>
          <w:sz w:val="28"/>
          <w:szCs w:val="28"/>
        </w:rPr>
      </w:pPr>
      <w:r>
        <w:rPr>
          <w:rFonts w:ascii="Arial Black" w:hAnsi="Arial Black"/>
          <w:b/>
          <w:bCs/>
          <w:sz w:val="28"/>
          <w:szCs w:val="28"/>
        </w:rPr>
        <w:t>13-111</w:t>
      </w:r>
    </w:p>
    <w:p w14:paraId="14B174D5" w14:textId="77777777" w:rsidR="00221640" w:rsidRPr="00877C6E" w:rsidRDefault="00221640" w:rsidP="00221640">
      <w:pPr>
        <w:spacing w:before="100" w:beforeAutospacing="1" w:after="100" w:afterAutospacing="1" w:line="240" w:lineRule="auto"/>
        <w:rPr>
          <w:rStyle w:val="Strong"/>
          <w:rFonts w:ascii="Arial Black" w:hAnsi="Arial Black"/>
          <w:sz w:val="28"/>
          <w:szCs w:val="28"/>
        </w:rPr>
      </w:pPr>
      <w:r>
        <w:rPr>
          <w:rStyle w:val="Strong"/>
          <w:rFonts w:ascii="Arial Black" w:hAnsi="Arial Black"/>
          <w:sz w:val="28"/>
          <w:szCs w:val="28"/>
        </w:rPr>
        <w:t>NC: QUADRIPEDIC – DAUGHTER POWER-OF-ATTORNEY – MEDICS / DEPUTY REFUSED TRANSPORT – NO IMMUNITY</w:t>
      </w:r>
    </w:p>
    <w:p w14:paraId="76DBC5C6" w14:textId="77777777" w:rsidR="00221640" w:rsidRPr="00221640" w:rsidRDefault="00221640" w:rsidP="00221640">
      <w:pPr>
        <w:spacing w:before="100" w:beforeAutospacing="1" w:after="100" w:afterAutospacing="1" w:line="240" w:lineRule="auto"/>
        <w:rPr>
          <w:rFonts w:ascii="Times New Roman" w:hAnsi="Times New Roman"/>
          <w:sz w:val="24"/>
          <w:szCs w:val="24"/>
        </w:rPr>
      </w:pPr>
      <w:r w:rsidRPr="00221640">
        <w:rPr>
          <w:rStyle w:val="Strong"/>
          <w:rFonts w:ascii="Times New Roman" w:hAnsi="Times New Roman"/>
          <w:b w:val="0"/>
          <w:bCs w:val="0"/>
          <w:sz w:val="24"/>
          <w:szCs w:val="24"/>
        </w:rPr>
        <w:t xml:space="preserve">On March 30, 2022, in </w:t>
      </w:r>
      <w:r w:rsidRPr="00221640">
        <w:rPr>
          <w:rStyle w:val="Strong"/>
          <w:rFonts w:ascii="Times New Roman" w:hAnsi="Times New Roman"/>
          <w:b w:val="0"/>
          <w:bCs w:val="0"/>
          <w:sz w:val="24"/>
          <w:szCs w:val="24"/>
          <w:u w:val="single"/>
        </w:rPr>
        <w:t>Justin L. Sutton, personal representative of the Estate of Hartwell Lanier King, Sr., et al. v. Rockingham County, et al</w:t>
      </w:r>
      <w:r w:rsidRPr="00221640">
        <w:rPr>
          <w:rStyle w:val="Strong"/>
          <w:rFonts w:ascii="Times New Roman" w:hAnsi="Times New Roman"/>
          <w:b w:val="0"/>
          <w:bCs w:val="0"/>
          <w:sz w:val="24"/>
          <w:szCs w:val="24"/>
        </w:rPr>
        <w:t xml:space="preserve">., U.S. District Court Judge Loretta C. Briggs, U.S. District Court for Middle District of North Carolina, held that while the County has governmental immunity and is dismissed from the case, the three paramedics and Deputy Sheriff remain defendants in the wrongful death claims for not transporting the elderly patient with </w:t>
      </w:r>
      <w:r w:rsidRPr="00221640">
        <w:rPr>
          <w:rFonts w:ascii="Times New Roman" w:hAnsi="Times New Roman"/>
          <w:sz w:val="24"/>
          <w:szCs w:val="24"/>
        </w:rPr>
        <w:t xml:space="preserve">severe respiratory distress and abnormal breathing, elevated heart rate, high grade fever, severe dehydration, and inability to consume solid foods and liquids.  He died the next morning. </w:t>
      </w:r>
      <w:r w:rsidRPr="00221640">
        <w:rPr>
          <w:rFonts w:ascii="Times New Roman" w:eastAsia="Times New Roman" w:hAnsi="Times New Roman"/>
          <w:sz w:val="24"/>
          <w:szCs w:val="24"/>
        </w:rPr>
        <w:t xml:space="preserve">The medics, despite </w:t>
      </w:r>
      <w:r w:rsidRPr="00221640">
        <w:rPr>
          <w:rStyle w:val="Strong"/>
          <w:rFonts w:ascii="Times New Roman" w:hAnsi="Times New Roman"/>
          <w:b w:val="0"/>
          <w:bCs w:val="0"/>
          <w:sz w:val="24"/>
          <w:szCs w:val="24"/>
        </w:rPr>
        <w:t>the daughter’s Power-Of-Attorney, allegedly</w:t>
      </w:r>
      <w:r w:rsidRPr="00221640">
        <w:rPr>
          <w:rStyle w:val="Strong"/>
          <w:rFonts w:ascii="Times New Roman" w:hAnsi="Times New Roman"/>
          <w:sz w:val="24"/>
          <w:szCs w:val="24"/>
        </w:rPr>
        <w:t xml:space="preserve"> </w:t>
      </w:r>
      <w:r w:rsidRPr="00221640">
        <w:rPr>
          <w:rFonts w:ascii="Times New Roman" w:hAnsi="Times New Roman"/>
          <w:sz w:val="24"/>
          <w:szCs w:val="24"/>
        </w:rPr>
        <w:t xml:space="preserve">“deemed Mr. King's transportation to the emergency room facility that day as tantamount to ‘kidnapping,' and thus refused to transfer Mr. King out of fear and reprisal that such action would result in the termination of their employment with Rockingham County.” </w:t>
      </w:r>
      <w:hyperlink r:id="rId2202" w:history="1">
        <w:r w:rsidRPr="00221640">
          <w:rPr>
            <w:rStyle w:val="Hyperlink"/>
            <w:rFonts w:ascii="Times New Roman" w:hAnsi="Times New Roman"/>
            <w:sz w:val="24"/>
            <w:szCs w:val="24"/>
          </w:rPr>
          <w:t>https://casetext.com/case/sutton-v-rockingham-cnty</w:t>
        </w:r>
      </w:hyperlink>
      <w:r w:rsidRPr="00221640">
        <w:rPr>
          <w:rFonts w:ascii="Times New Roman" w:hAnsi="Times New Roman"/>
          <w:sz w:val="24"/>
          <w:szCs w:val="24"/>
        </w:rPr>
        <w:t xml:space="preserve"> </w:t>
      </w:r>
    </w:p>
    <w:p w14:paraId="683F382F" w14:textId="77777777" w:rsidR="00221640" w:rsidRPr="00DD0155" w:rsidRDefault="00221640" w:rsidP="00221640">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CB569D">
        <w:rPr>
          <w:rFonts w:ascii="Times New Roman" w:hAnsi="Times New Roman"/>
          <w:sz w:val="24"/>
          <w:szCs w:val="24"/>
        </w:rPr>
        <w:t>Here, Plaintiffs do not allege medical malpractice</w:t>
      </w:r>
      <w:r>
        <w:rPr>
          <w:rFonts w:ascii="Times New Roman" w:hAnsi="Times New Roman"/>
          <w:sz w:val="24"/>
          <w:szCs w:val="24"/>
        </w:rPr>
        <w:t xml:space="preserve"> [which would require affidavit from MD that medical standard of care were breached].  </w:t>
      </w:r>
      <w:r w:rsidRPr="00DD0155">
        <w:rPr>
          <w:rFonts w:ascii="Times New Roman" w:hAnsi="Times New Roman"/>
          <w:sz w:val="24"/>
          <w:szCs w:val="24"/>
        </w:rPr>
        <w:t xml:space="preserve">Taking all alleged facts in the light most favorable to Plaintiffs, Defendants' refusal to transport King to the hospital was not a medical decision based on the severity of his condition, but rather a legal decision based on their fear that transporting King would constitute </w:t>
      </w:r>
      <w:r>
        <w:rPr>
          <w:rFonts w:ascii="Times New Roman" w:hAnsi="Times New Roman"/>
          <w:sz w:val="24"/>
          <w:szCs w:val="24"/>
        </w:rPr>
        <w:t>‘</w:t>
      </w:r>
      <w:r w:rsidRPr="00DD0155">
        <w:rPr>
          <w:rFonts w:ascii="Times New Roman" w:hAnsi="Times New Roman"/>
          <w:sz w:val="24"/>
          <w:szCs w:val="24"/>
        </w:rPr>
        <w:t>kidnapping</w:t>
      </w:r>
      <w:r>
        <w:rPr>
          <w:rFonts w:ascii="Times New Roman" w:hAnsi="Times New Roman"/>
          <w:sz w:val="24"/>
          <w:szCs w:val="24"/>
        </w:rPr>
        <w:t>’</w:t>
      </w:r>
      <w:r w:rsidRPr="00DD0155">
        <w:rPr>
          <w:rFonts w:ascii="Times New Roman" w:hAnsi="Times New Roman"/>
          <w:sz w:val="24"/>
          <w:szCs w:val="24"/>
        </w:rPr>
        <w:t xml:space="preserve"> and would cause them to lose their employment</w:t>
      </w:r>
      <w:r>
        <w:rPr>
          <w:rFonts w:ascii="Times New Roman" w:hAnsi="Times New Roman"/>
          <w:sz w:val="24"/>
          <w:szCs w:val="24"/>
        </w:rPr>
        <w:t xml:space="preserve">…. </w:t>
      </w:r>
      <w:r w:rsidRPr="00DD0155">
        <w:rPr>
          <w:rFonts w:ascii="Times New Roman" w:hAnsi="Times New Roman"/>
          <w:sz w:val="24"/>
          <w:szCs w:val="24"/>
        </w:rPr>
        <w:t xml:space="preserve"> Moreover, Plaintiffs allege Defendants refused to recognize Becky Sutton's power of attorney-another administrative decision that required no medical expertise. These decisions are akin to the hospital's administrative policy in </w:t>
      </w:r>
      <w:r w:rsidRPr="00DD0155">
        <w:rPr>
          <w:rStyle w:val="Emphasis"/>
          <w:rFonts w:ascii="Times New Roman" w:hAnsi="Times New Roman"/>
          <w:sz w:val="24"/>
          <w:szCs w:val="24"/>
        </w:rPr>
        <w:t>Muse</w:t>
      </w:r>
      <w:r w:rsidRPr="00DD0155">
        <w:rPr>
          <w:rFonts w:ascii="Times New Roman" w:hAnsi="Times New Roman"/>
          <w:sz w:val="24"/>
          <w:szCs w:val="24"/>
        </w:rPr>
        <w:t xml:space="preserve"> of discharging patients based on the expiration of their insurance rather than their medical needs. </w:t>
      </w:r>
      <w:r w:rsidRPr="00DD0155">
        <w:rPr>
          <w:rStyle w:val="Emphasis"/>
          <w:rFonts w:ascii="Times New Roman" w:hAnsi="Times New Roman"/>
          <w:sz w:val="24"/>
          <w:szCs w:val="24"/>
        </w:rPr>
        <w:t>Muse</w:t>
      </w:r>
      <w:r w:rsidRPr="00DD0155">
        <w:rPr>
          <w:rFonts w:ascii="Times New Roman" w:hAnsi="Times New Roman"/>
          <w:sz w:val="24"/>
          <w:szCs w:val="24"/>
        </w:rPr>
        <w:t>, 452 S.E.2d at 593. In both cases, the allegations that health care providers refused medical treatment based on an administrative, not medical, decision.</w:t>
      </w:r>
      <w:r>
        <w:rPr>
          <w:rFonts w:ascii="Times New Roman" w:hAnsi="Times New Roman"/>
          <w:sz w:val="24"/>
          <w:szCs w:val="24"/>
        </w:rPr>
        <w:t xml:space="preserve">” </w:t>
      </w:r>
      <w:hyperlink r:id="rId2203" w:history="1">
        <w:r w:rsidRPr="00B25BE6">
          <w:rPr>
            <w:rStyle w:val="Hyperlink"/>
            <w:rFonts w:ascii="Times New Roman" w:hAnsi="Times New Roman"/>
            <w:sz w:val="24"/>
            <w:szCs w:val="24"/>
          </w:rPr>
          <w:t>https://casetext.com/case/sutton-v-rockingham-cnty</w:t>
        </w:r>
      </w:hyperlink>
      <w:r>
        <w:rPr>
          <w:rFonts w:ascii="Times New Roman" w:hAnsi="Times New Roman"/>
          <w:sz w:val="24"/>
          <w:szCs w:val="24"/>
        </w:rPr>
        <w:t xml:space="preserve"> </w:t>
      </w:r>
    </w:p>
    <w:p w14:paraId="63C8C2BB" w14:textId="77777777" w:rsidR="00221640" w:rsidRPr="00960536" w:rsidRDefault="00221640" w:rsidP="00221640">
      <w:pPr>
        <w:spacing w:before="100" w:beforeAutospacing="1" w:after="100" w:afterAutospacing="1" w:line="240" w:lineRule="auto"/>
        <w:rPr>
          <w:rFonts w:ascii="Times New Roman" w:eastAsia="Times New Roman" w:hAnsi="Times New Roman"/>
          <w:b/>
          <w:bCs/>
          <w:sz w:val="24"/>
          <w:szCs w:val="24"/>
        </w:rPr>
      </w:pPr>
      <w:r w:rsidRPr="00F4572D">
        <w:rPr>
          <w:rFonts w:ascii="Times New Roman" w:hAnsi="Times New Roman"/>
          <w:b/>
          <w:bCs/>
          <w:sz w:val="24"/>
          <w:szCs w:val="24"/>
        </w:rPr>
        <w:t xml:space="preserve">Legal Lesson Learned: </w:t>
      </w:r>
      <w:r>
        <w:rPr>
          <w:rFonts w:ascii="Times New Roman" w:hAnsi="Times New Roman"/>
          <w:b/>
          <w:bCs/>
          <w:sz w:val="24"/>
          <w:szCs w:val="24"/>
        </w:rPr>
        <w:t xml:space="preserve">If in doubt about Power-Of-Attorney, call Medical Control and discuss the patient’s vitals and get authorization to transport. </w:t>
      </w:r>
    </w:p>
    <w:p w14:paraId="17F1074B" w14:textId="77777777" w:rsidR="00221640" w:rsidRDefault="00221640" w:rsidP="002B1283">
      <w:pPr>
        <w:rPr>
          <w:rFonts w:ascii="Arial Black" w:hAnsi="Arial Black"/>
          <w:b/>
          <w:bCs/>
          <w:sz w:val="28"/>
          <w:szCs w:val="28"/>
        </w:rPr>
      </w:pPr>
    </w:p>
    <w:p w14:paraId="1CB04C85" w14:textId="77777777" w:rsidR="00221640" w:rsidRDefault="00221640" w:rsidP="002B1283">
      <w:pPr>
        <w:rPr>
          <w:rFonts w:ascii="Arial Black" w:hAnsi="Arial Black"/>
          <w:b/>
          <w:bCs/>
          <w:sz w:val="28"/>
          <w:szCs w:val="28"/>
        </w:rPr>
      </w:pPr>
    </w:p>
    <w:p w14:paraId="4384485B" w14:textId="3D7716BE" w:rsidR="00221640" w:rsidRDefault="00221640" w:rsidP="002B1283">
      <w:pPr>
        <w:rPr>
          <w:rFonts w:ascii="Arial Black" w:hAnsi="Arial Black"/>
          <w:b/>
          <w:bCs/>
          <w:sz w:val="28"/>
          <w:szCs w:val="28"/>
        </w:rPr>
      </w:pPr>
      <w:r>
        <w:rPr>
          <w:rFonts w:ascii="Arial Black" w:hAnsi="Arial Black"/>
          <w:b/>
          <w:bCs/>
          <w:sz w:val="28"/>
          <w:szCs w:val="28"/>
        </w:rPr>
        <w:t>13-110</w:t>
      </w:r>
    </w:p>
    <w:p w14:paraId="446FB795" w14:textId="77777777" w:rsidR="00221640" w:rsidRDefault="00221640" w:rsidP="00221640">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IL: PHOTO TAKEN OF PATIENT SHOT IN HEAD – LT. PUT ON  FACEBOOK - PUBLIC LOCATION - NOT CONSTIT. VIOL. </w:t>
      </w:r>
    </w:p>
    <w:p w14:paraId="0CE2B99B" w14:textId="77777777" w:rsidR="00221640" w:rsidRDefault="00221640" w:rsidP="00221640">
      <w:pPr>
        <w:spacing w:before="100" w:beforeAutospacing="1" w:after="100" w:afterAutospacing="1" w:line="240" w:lineRule="auto"/>
        <w:rPr>
          <w:rFonts w:ascii="Times New Roman" w:hAnsi="Times New Roman"/>
          <w:sz w:val="24"/>
          <w:szCs w:val="24"/>
        </w:rPr>
      </w:pPr>
      <w:r w:rsidRPr="00051733">
        <w:rPr>
          <w:rFonts w:ascii="Times New Roman" w:hAnsi="Times New Roman"/>
          <w:sz w:val="24"/>
          <w:szCs w:val="24"/>
        </w:rPr>
        <w:t xml:space="preserve">On March 24, 2022, in </w:t>
      </w:r>
      <w:r w:rsidRPr="00051733">
        <w:rPr>
          <w:rFonts w:ascii="Times New Roman" w:hAnsi="Times New Roman"/>
          <w:sz w:val="24"/>
          <w:szCs w:val="24"/>
          <w:u w:val="single"/>
        </w:rPr>
        <w:t xml:space="preserve">Adrian Cazares, Administrator of estate of Victor M. Cazares, Jr. </w:t>
      </w:r>
      <w:r>
        <w:rPr>
          <w:rFonts w:ascii="Times New Roman" w:hAnsi="Times New Roman"/>
          <w:sz w:val="24"/>
          <w:szCs w:val="24"/>
          <w:u w:val="single"/>
        </w:rPr>
        <w:t xml:space="preserve">and </w:t>
      </w:r>
      <w:r w:rsidRPr="00A573EA">
        <w:rPr>
          <w:rFonts w:ascii="Times New Roman" w:hAnsi="Times New Roman"/>
          <w:sz w:val="24"/>
          <w:szCs w:val="24"/>
          <w:u w:val="single"/>
        </w:rPr>
        <w:t xml:space="preserve">Michelle </w:t>
      </w:r>
      <w:r>
        <w:rPr>
          <w:rFonts w:ascii="Times New Roman" w:hAnsi="Times New Roman"/>
          <w:sz w:val="24"/>
          <w:szCs w:val="24"/>
          <w:u w:val="single"/>
        </w:rPr>
        <w:t xml:space="preserve">Cazares </w:t>
      </w:r>
      <w:r w:rsidRPr="00051733">
        <w:rPr>
          <w:rFonts w:ascii="Times New Roman" w:hAnsi="Times New Roman"/>
          <w:sz w:val="24"/>
          <w:szCs w:val="24"/>
          <w:u w:val="single"/>
        </w:rPr>
        <w:t xml:space="preserve">v. Frank R. Rand, Justin Zheng, Gene </w:t>
      </w:r>
      <w:proofErr w:type="spellStart"/>
      <w:r w:rsidRPr="00051733">
        <w:rPr>
          <w:rFonts w:ascii="Times New Roman" w:hAnsi="Times New Roman"/>
          <w:sz w:val="24"/>
          <w:szCs w:val="24"/>
          <w:u w:val="single"/>
        </w:rPr>
        <w:t>Lacano</w:t>
      </w:r>
      <w:proofErr w:type="spellEnd"/>
      <w:r w:rsidRPr="00051733">
        <w:rPr>
          <w:rFonts w:ascii="Times New Roman" w:hAnsi="Times New Roman"/>
          <w:sz w:val="24"/>
          <w:szCs w:val="24"/>
          <w:u w:val="single"/>
        </w:rPr>
        <w:t xml:space="preserve"> and Town of Cicero, Illinois</w:t>
      </w:r>
      <w:r w:rsidRPr="00051733">
        <w:rPr>
          <w:rFonts w:ascii="Times New Roman" w:hAnsi="Times New Roman"/>
          <w:sz w:val="24"/>
          <w:szCs w:val="24"/>
        </w:rPr>
        <w:t xml:space="preserve">, U.S. District Court Judge Robert M. Dow, Jr., </w:t>
      </w:r>
      <w:r>
        <w:rPr>
          <w:rFonts w:ascii="Times New Roman" w:hAnsi="Times New Roman"/>
          <w:sz w:val="24"/>
          <w:szCs w:val="24"/>
        </w:rPr>
        <w:t xml:space="preserve">Northern District of Illinois [Eastern District] </w:t>
      </w:r>
      <w:r w:rsidRPr="00051733">
        <w:rPr>
          <w:rFonts w:ascii="Times New Roman" w:hAnsi="Times New Roman"/>
          <w:sz w:val="24"/>
          <w:szCs w:val="24"/>
        </w:rPr>
        <w:t>granted the motion of two medics</w:t>
      </w:r>
      <w:r>
        <w:rPr>
          <w:rFonts w:ascii="Times New Roman" w:hAnsi="Times New Roman"/>
          <w:sz w:val="24"/>
          <w:szCs w:val="24"/>
        </w:rPr>
        <w:t xml:space="preserve"> </w:t>
      </w:r>
      <w:r w:rsidRPr="00051733">
        <w:rPr>
          <w:rFonts w:ascii="Times New Roman" w:hAnsi="Times New Roman"/>
          <w:sz w:val="24"/>
          <w:szCs w:val="24"/>
        </w:rPr>
        <w:t>and the Town to dismiss the federal lawsuit</w:t>
      </w:r>
      <w:r>
        <w:rPr>
          <w:rFonts w:ascii="Times New Roman" w:hAnsi="Times New Roman"/>
          <w:sz w:val="24"/>
          <w:szCs w:val="24"/>
        </w:rPr>
        <w:t>.  “</w:t>
      </w:r>
      <w:r w:rsidRPr="0001098C">
        <w:rPr>
          <w:rFonts w:ascii="Times New Roman" w:hAnsi="Times New Roman"/>
          <w:sz w:val="24"/>
          <w:szCs w:val="24"/>
        </w:rPr>
        <w:t xml:space="preserve">In this case, the Court agrees with Defendants that the Complaint does not allege a violation of Plaintiffs' fundamental rights or liberties because Defendants did not publicly disclose </w:t>
      </w:r>
      <w:r w:rsidRPr="0001098C">
        <w:rPr>
          <w:rStyle w:val="Emphasis"/>
          <w:rFonts w:ascii="Times New Roman" w:hAnsi="Times New Roman"/>
          <w:sz w:val="24"/>
          <w:szCs w:val="24"/>
        </w:rPr>
        <w:t>private</w:t>
      </w:r>
      <w:r w:rsidRPr="0001098C">
        <w:rPr>
          <w:rFonts w:ascii="Times New Roman" w:hAnsi="Times New Roman"/>
          <w:sz w:val="24"/>
          <w:szCs w:val="24"/>
        </w:rPr>
        <w:t xml:space="preserve"> medical information. The photo neither captured a private scene, nor medical information that was not already readily accessible to the naked eye.</w:t>
      </w:r>
      <w:r>
        <w:rPr>
          <w:rFonts w:ascii="Times New Roman" w:hAnsi="Times New Roman"/>
          <w:sz w:val="24"/>
          <w:szCs w:val="24"/>
        </w:rPr>
        <w:t xml:space="preserve">”  The lawsuit, however, may be refiled in state court, where a jury may find the comments on </w:t>
      </w:r>
      <w:proofErr w:type="gramStart"/>
      <w:r>
        <w:rPr>
          <w:rFonts w:ascii="Times New Roman" w:hAnsi="Times New Roman"/>
          <w:sz w:val="24"/>
          <w:szCs w:val="24"/>
        </w:rPr>
        <w:t>Facebook by</w:t>
      </w:r>
      <w:proofErr w:type="gramEnd"/>
      <w:r>
        <w:rPr>
          <w:rFonts w:ascii="Times New Roman" w:hAnsi="Times New Roman"/>
          <w:sz w:val="24"/>
          <w:szCs w:val="24"/>
        </w:rPr>
        <w:t xml:space="preserve"> to be particularly offensive. </w:t>
      </w:r>
      <w:hyperlink r:id="rId2204" w:history="1">
        <w:r w:rsidRPr="00641DD7">
          <w:rPr>
            <w:rStyle w:val="Hyperlink"/>
            <w:rFonts w:ascii="Times New Roman" w:hAnsi="Times New Roman"/>
            <w:sz w:val="24"/>
            <w:szCs w:val="24"/>
          </w:rPr>
          <w:t>https://casetext.com/case/cazares-v-rand</w:t>
        </w:r>
      </w:hyperlink>
      <w:r>
        <w:rPr>
          <w:rFonts w:ascii="Times New Roman" w:hAnsi="Times New Roman"/>
          <w:sz w:val="24"/>
          <w:szCs w:val="24"/>
        </w:rPr>
        <w:t xml:space="preserve"> </w:t>
      </w:r>
    </w:p>
    <w:p w14:paraId="6A43C1D3" w14:textId="70F7270D" w:rsidR="00221640" w:rsidRDefault="00221640" w:rsidP="00221640">
      <w:pPr>
        <w:rPr>
          <w:rFonts w:ascii="Arial Black" w:hAnsi="Arial Black"/>
          <w:b/>
          <w:bCs/>
          <w:sz w:val="28"/>
          <w:szCs w:val="28"/>
        </w:rPr>
      </w:pPr>
      <w:r>
        <w:rPr>
          <w:rFonts w:ascii="Times New Roman" w:hAnsi="Times New Roman"/>
          <w:sz w:val="24"/>
          <w:szCs w:val="24"/>
        </w:rPr>
        <w:t>“</w:t>
      </w:r>
      <w:r w:rsidRPr="00F36863">
        <w:rPr>
          <w:rFonts w:ascii="Times New Roman" w:hAnsi="Times New Roman"/>
          <w:sz w:val="24"/>
          <w:szCs w:val="24"/>
        </w:rPr>
        <w:t xml:space="preserve">Another individual, Defendant </w:t>
      </w:r>
      <w:r>
        <w:rPr>
          <w:rFonts w:ascii="Times New Roman" w:hAnsi="Times New Roman"/>
          <w:sz w:val="24"/>
          <w:szCs w:val="24"/>
        </w:rPr>
        <w:t xml:space="preserve">[Lieutenant] </w:t>
      </w:r>
      <w:r w:rsidRPr="00F36863">
        <w:rPr>
          <w:rFonts w:ascii="Times New Roman" w:hAnsi="Times New Roman"/>
          <w:sz w:val="24"/>
          <w:szCs w:val="24"/>
        </w:rPr>
        <w:t xml:space="preserve">Frank R. Rand, posted that photograph of Mr. Cazares to an 8, 000-member Facebook group </w:t>
      </w:r>
      <w:r>
        <w:rPr>
          <w:rFonts w:ascii="Times New Roman" w:hAnsi="Times New Roman"/>
          <w:sz w:val="24"/>
          <w:szCs w:val="24"/>
        </w:rPr>
        <w:t>‘</w:t>
      </w:r>
      <w:r w:rsidRPr="00F36863">
        <w:rPr>
          <w:rFonts w:ascii="Times New Roman" w:hAnsi="Times New Roman"/>
          <w:sz w:val="24"/>
          <w:szCs w:val="24"/>
        </w:rPr>
        <w:t>for people who grew up in Cicero, Illinois</w:t>
      </w:r>
      <w:r>
        <w:rPr>
          <w:rFonts w:ascii="Times New Roman" w:hAnsi="Times New Roman"/>
          <w:sz w:val="24"/>
          <w:szCs w:val="24"/>
        </w:rPr>
        <w:t>’</w:t>
      </w:r>
      <w:r w:rsidRPr="00F36863">
        <w:rPr>
          <w:rFonts w:ascii="Times New Roman" w:hAnsi="Times New Roman"/>
          <w:sz w:val="24"/>
          <w:szCs w:val="24"/>
        </w:rPr>
        <w:t xml:space="preserve"> at 6:25 p.m., </w:t>
      </w:r>
      <w:r w:rsidRPr="00F36863">
        <w:rPr>
          <w:rStyle w:val="Emphasis"/>
          <w:rFonts w:ascii="Times New Roman" w:hAnsi="Times New Roman"/>
          <w:sz w:val="24"/>
          <w:szCs w:val="24"/>
        </w:rPr>
        <w:t>i.e.</w:t>
      </w:r>
      <w:r w:rsidRPr="00F36863">
        <w:rPr>
          <w:rFonts w:ascii="Times New Roman" w:hAnsi="Times New Roman"/>
          <w:sz w:val="24"/>
          <w:szCs w:val="24"/>
        </w:rPr>
        <w:t>, within two minutes of the paramedics' arrival on the scene</w:t>
      </w:r>
      <w:r>
        <w:rPr>
          <w:rFonts w:ascii="Times New Roman" w:hAnsi="Times New Roman"/>
          <w:sz w:val="24"/>
          <w:szCs w:val="24"/>
        </w:rPr>
        <w:t>…</w:t>
      </w:r>
      <w:r w:rsidRPr="00F36863">
        <w:rPr>
          <w:rFonts w:ascii="Times New Roman" w:hAnsi="Times New Roman"/>
          <w:sz w:val="24"/>
          <w:szCs w:val="24"/>
        </w:rPr>
        <w:t xml:space="preserve">. Accompanying the photo is the message, </w:t>
      </w:r>
      <w:r>
        <w:rPr>
          <w:rFonts w:ascii="Times New Roman" w:hAnsi="Times New Roman"/>
          <w:sz w:val="24"/>
          <w:szCs w:val="24"/>
        </w:rPr>
        <w:t>‘</w:t>
      </w:r>
      <w:r w:rsidRPr="00F36863">
        <w:rPr>
          <w:rFonts w:ascii="Times New Roman" w:hAnsi="Times New Roman"/>
          <w:sz w:val="24"/>
          <w:szCs w:val="24"/>
        </w:rPr>
        <w:t>[c]</w:t>
      </w:r>
      <w:proofErr w:type="spellStart"/>
      <w:r w:rsidRPr="00F36863">
        <w:rPr>
          <w:rFonts w:ascii="Times New Roman" w:hAnsi="Times New Roman"/>
          <w:sz w:val="24"/>
          <w:szCs w:val="24"/>
        </w:rPr>
        <w:t>ome</w:t>
      </w:r>
      <w:proofErr w:type="spellEnd"/>
      <w:r w:rsidRPr="00F36863">
        <w:rPr>
          <w:rFonts w:ascii="Times New Roman" w:hAnsi="Times New Roman"/>
          <w:sz w:val="24"/>
          <w:szCs w:val="24"/>
        </w:rPr>
        <w:t xml:space="preserve"> to Cicero to loot and break shit</w:t>
      </w:r>
      <w:proofErr w:type="gramStart"/>
      <w:r w:rsidRPr="00F36863">
        <w:rPr>
          <w:rFonts w:ascii="Times New Roman" w:hAnsi="Times New Roman"/>
          <w:sz w:val="24"/>
          <w:szCs w:val="24"/>
        </w:rPr>
        <w:t>!</w:t>
      </w:r>
      <w:proofErr w:type="gramEnd"/>
      <w:r w:rsidRPr="00F36863">
        <w:rPr>
          <w:rFonts w:ascii="Times New Roman" w:hAnsi="Times New Roman"/>
          <w:sz w:val="24"/>
          <w:szCs w:val="24"/>
        </w:rPr>
        <w:t xml:space="preserve"> Get a free body bag!! Nice head shot!!</w:t>
      </w:r>
      <w:r>
        <w:rPr>
          <w:rFonts w:ascii="Times New Roman" w:hAnsi="Times New Roman"/>
          <w:sz w:val="24"/>
          <w:szCs w:val="24"/>
        </w:rPr>
        <w:t xml:space="preserve">’” </w:t>
      </w:r>
      <w:hyperlink r:id="rId2205" w:history="1">
        <w:r w:rsidRPr="00641DD7">
          <w:rPr>
            <w:rStyle w:val="Hyperlink"/>
            <w:rFonts w:ascii="Times New Roman" w:hAnsi="Times New Roman"/>
            <w:sz w:val="24"/>
            <w:szCs w:val="24"/>
          </w:rPr>
          <w:t>https://casetext.com/case/cazares-v-rand</w:t>
        </w:r>
      </w:hyperlink>
    </w:p>
    <w:p w14:paraId="30084743" w14:textId="77777777" w:rsidR="00221640" w:rsidRDefault="00221640" w:rsidP="00221640">
      <w:pPr>
        <w:spacing w:before="100" w:beforeAutospacing="1" w:after="100" w:afterAutospacing="1" w:line="240" w:lineRule="auto"/>
        <w:rPr>
          <w:rFonts w:ascii="Times New Roman" w:hAnsi="Times New Roman"/>
          <w:b/>
          <w:bCs/>
          <w:sz w:val="24"/>
          <w:szCs w:val="24"/>
        </w:rPr>
      </w:pPr>
      <w:r w:rsidRPr="0001098C">
        <w:rPr>
          <w:rFonts w:ascii="Times New Roman" w:hAnsi="Times New Roman"/>
          <w:b/>
          <w:bCs/>
          <w:sz w:val="24"/>
          <w:szCs w:val="24"/>
        </w:rPr>
        <w:t>Legal Lesson Learned:</w:t>
      </w:r>
      <w:r>
        <w:rPr>
          <w:rFonts w:ascii="Times New Roman" w:hAnsi="Times New Roman"/>
          <w:b/>
          <w:bCs/>
          <w:sz w:val="24"/>
          <w:szCs w:val="24"/>
        </w:rPr>
        <w:t xml:space="preserve"> Do not take photos of patients; don’t post them on Facebook or other social media. </w:t>
      </w:r>
    </w:p>
    <w:p w14:paraId="45970499" w14:textId="77777777" w:rsidR="00221640" w:rsidRDefault="00221640" w:rsidP="002B1283">
      <w:pPr>
        <w:rPr>
          <w:rFonts w:ascii="Arial Black" w:hAnsi="Arial Black"/>
          <w:b/>
          <w:bCs/>
          <w:sz w:val="28"/>
          <w:szCs w:val="28"/>
        </w:rPr>
      </w:pPr>
    </w:p>
    <w:p w14:paraId="6F9130C1" w14:textId="77777777" w:rsidR="00221640" w:rsidRDefault="00221640" w:rsidP="002B1283">
      <w:pPr>
        <w:rPr>
          <w:rFonts w:ascii="Arial Black" w:hAnsi="Arial Black"/>
          <w:b/>
          <w:bCs/>
          <w:sz w:val="28"/>
          <w:szCs w:val="28"/>
        </w:rPr>
      </w:pPr>
    </w:p>
    <w:p w14:paraId="7C76BB79" w14:textId="170D2D57" w:rsidR="00221640" w:rsidRDefault="00221640" w:rsidP="002B1283">
      <w:pPr>
        <w:rPr>
          <w:rFonts w:ascii="Arial Black" w:hAnsi="Arial Black"/>
          <w:b/>
          <w:bCs/>
          <w:sz w:val="28"/>
          <w:szCs w:val="28"/>
        </w:rPr>
      </w:pPr>
      <w:r>
        <w:rPr>
          <w:rFonts w:ascii="Arial Black" w:hAnsi="Arial Black"/>
          <w:b/>
          <w:bCs/>
          <w:sz w:val="28"/>
          <w:szCs w:val="28"/>
        </w:rPr>
        <w:t>13-109</w:t>
      </w:r>
    </w:p>
    <w:p w14:paraId="72B11E00" w14:textId="77777777" w:rsidR="00221640" w:rsidRPr="00D46D8F" w:rsidRDefault="00221640" w:rsidP="00221640">
      <w:pPr>
        <w:spacing w:before="100" w:beforeAutospacing="1" w:after="100" w:afterAutospacing="1" w:line="240" w:lineRule="auto"/>
        <w:rPr>
          <w:rFonts w:ascii="Arial Black" w:hAnsi="Arial Black"/>
          <w:b/>
          <w:bCs/>
          <w:sz w:val="28"/>
          <w:szCs w:val="28"/>
        </w:rPr>
      </w:pPr>
      <w:bookmarkStart w:id="443" w:name="_Hlk99460651"/>
      <w:r>
        <w:rPr>
          <w:rFonts w:ascii="Arial Black" w:hAnsi="Arial Black"/>
          <w:b/>
          <w:bCs/>
          <w:sz w:val="28"/>
          <w:szCs w:val="28"/>
        </w:rPr>
        <w:t>SC: EMS FAILURE TO TRANSPORT NAKED, MENTAL PATIENT HOSPITAL – KILLED I-95 – LAWSUIT TO PROCEED</w:t>
      </w:r>
    </w:p>
    <w:p w14:paraId="0FD8CE9A" w14:textId="77777777" w:rsidR="00221640" w:rsidRDefault="00221640" w:rsidP="00221640">
      <w:pPr>
        <w:spacing w:before="100" w:beforeAutospacing="1" w:after="100" w:afterAutospacing="1" w:line="240" w:lineRule="auto"/>
      </w:pPr>
      <w:r w:rsidRPr="00BA1FD0">
        <w:rPr>
          <w:rFonts w:ascii="Times New Roman" w:hAnsi="Times New Roman"/>
          <w:sz w:val="24"/>
          <w:szCs w:val="24"/>
        </w:rPr>
        <w:t xml:space="preserve">On </w:t>
      </w:r>
      <w:r>
        <w:rPr>
          <w:rFonts w:ascii="Times New Roman" w:hAnsi="Times New Roman"/>
          <w:sz w:val="24"/>
          <w:szCs w:val="24"/>
        </w:rPr>
        <w:t xml:space="preserve">March 23, 2022, in </w:t>
      </w:r>
      <w:r w:rsidRPr="00BA1FD0">
        <w:rPr>
          <w:rFonts w:ascii="Times New Roman" w:hAnsi="Times New Roman"/>
          <w:sz w:val="24"/>
          <w:szCs w:val="24"/>
          <w:u w:val="single"/>
        </w:rPr>
        <w:t>Paul Tarashuk v. Orangeburg County, Orangeburg County Emergency Medical Services, et al.</w:t>
      </w:r>
      <w:r>
        <w:rPr>
          <w:rFonts w:ascii="Times New Roman" w:hAnsi="Times New Roman"/>
          <w:sz w:val="24"/>
          <w:szCs w:val="24"/>
        </w:rPr>
        <w:t xml:space="preserve">, U.S. District Court judge J. Michelle Childs, U.S. District Court of South Carolina (Orangeburg Division) denied the defendants’ motion for summary judgment.   A truck driver called 911 to report that the man, later identified as Paul Tarashuk, was naked and climbed on the tractor trailer at an on-ramp for I-95, rode on the catwalk and detached air lines to the breaks. Police from three agencies responded and requested EMS.  He sat in ambulance for 12 minutes, head down, not responding to questions. A medic “pushed an ammonia inhalant up his nose” and took his vitals: </w:t>
      </w:r>
      <w:r w:rsidRPr="00EA5469">
        <w:rPr>
          <w:rFonts w:ascii="Times New Roman" w:hAnsi="Times New Roman"/>
          <w:sz w:val="24"/>
          <w:szCs w:val="24"/>
        </w:rPr>
        <w:t>blood pressure of 160/82 and pulse of 124</w:t>
      </w:r>
      <w:r>
        <w:rPr>
          <w:rFonts w:ascii="Times New Roman" w:hAnsi="Times New Roman"/>
          <w:sz w:val="24"/>
          <w:szCs w:val="24"/>
        </w:rPr>
        <w:t xml:space="preserve">.  </w:t>
      </w:r>
      <w:r w:rsidRPr="00005F9E">
        <w:rPr>
          <w:rFonts w:ascii="Times New Roman" w:hAnsi="Times New Roman"/>
          <w:sz w:val="24"/>
          <w:szCs w:val="24"/>
        </w:rPr>
        <w:t xml:space="preserve">Law enforcement and </w:t>
      </w:r>
      <w:r>
        <w:rPr>
          <w:rFonts w:ascii="Times New Roman" w:hAnsi="Times New Roman"/>
          <w:sz w:val="24"/>
          <w:szCs w:val="24"/>
        </w:rPr>
        <w:t>EMS w</w:t>
      </w:r>
      <w:r w:rsidRPr="00005F9E">
        <w:rPr>
          <w:rFonts w:ascii="Times New Roman" w:hAnsi="Times New Roman"/>
          <w:sz w:val="24"/>
          <w:szCs w:val="24"/>
        </w:rPr>
        <w:t>ere unaware of Plaintiff's identity throughout their interactions as he refused or was unable to state his full name and carried no identification.</w:t>
      </w:r>
      <w:r>
        <w:rPr>
          <w:rFonts w:ascii="Times New Roman" w:hAnsi="Times New Roman"/>
          <w:sz w:val="24"/>
          <w:szCs w:val="24"/>
        </w:rPr>
        <w:t xml:space="preserve"> A Deputy Sheriff, recording the event, then decided to drop him off at a closed gas station, telling him:</w:t>
      </w:r>
    </w:p>
    <w:p w14:paraId="0B7AB34E" w14:textId="77777777" w:rsidR="00221640" w:rsidRPr="00BB1B9E" w:rsidRDefault="00221640" w:rsidP="00221640">
      <w:pPr>
        <w:spacing w:before="100" w:beforeAutospacing="1" w:after="100" w:afterAutospacing="1" w:line="240" w:lineRule="auto"/>
        <w:ind w:left="720"/>
        <w:rPr>
          <w:rFonts w:ascii="Times New Roman" w:hAnsi="Times New Roman"/>
          <w:sz w:val="24"/>
          <w:szCs w:val="24"/>
        </w:rPr>
      </w:pPr>
      <w:r w:rsidRPr="00BB1B9E">
        <w:rPr>
          <w:rFonts w:ascii="Times New Roman" w:hAnsi="Times New Roman"/>
          <w:sz w:val="24"/>
          <w:szCs w:val="24"/>
        </w:rPr>
        <w:t xml:space="preserve">“You are not under arrest. I'm </w:t>
      </w:r>
      <w:proofErr w:type="spellStart"/>
      <w:r w:rsidRPr="00BB1B9E">
        <w:rPr>
          <w:rFonts w:ascii="Times New Roman" w:hAnsi="Times New Roman"/>
          <w:sz w:val="24"/>
          <w:szCs w:val="24"/>
        </w:rPr>
        <w:t>gonna</w:t>
      </w:r>
      <w:proofErr w:type="spellEnd"/>
      <w:r w:rsidRPr="00BB1B9E">
        <w:rPr>
          <w:rFonts w:ascii="Times New Roman" w:hAnsi="Times New Roman"/>
          <w:sz w:val="24"/>
          <w:szCs w:val="24"/>
        </w:rPr>
        <w:t xml:space="preserve"> give you a ride . . . . You're not going to jail, you're not under arrest, I'm going to give you a ride . . . . I'll figure out where you live. I'll give you a ride to a safe environment. That's all I want</w:t>
      </w:r>
      <w:r>
        <w:rPr>
          <w:rFonts w:ascii="Times New Roman" w:hAnsi="Times New Roman"/>
          <w:sz w:val="24"/>
          <w:szCs w:val="24"/>
        </w:rPr>
        <w:t>….</w:t>
      </w:r>
      <w:r w:rsidRPr="00BB1B9E">
        <w:rPr>
          <w:rFonts w:ascii="Times New Roman" w:hAnsi="Times New Roman"/>
          <w:sz w:val="24"/>
          <w:szCs w:val="24"/>
        </w:rPr>
        <w:t xml:space="preserve">” </w:t>
      </w:r>
      <w:r>
        <w:rPr>
          <w:rFonts w:ascii="Times New Roman" w:hAnsi="Times New Roman"/>
          <w:sz w:val="24"/>
          <w:szCs w:val="24"/>
        </w:rPr>
        <w:t xml:space="preserve">[Deputy] </w:t>
      </w:r>
      <w:r w:rsidRPr="00BB1B9E">
        <w:rPr>
          <w:rFonts w:ascii="Times New Roman" w:hAnsi="Times New Roman"/>
          <w:sz w:val="24"/>
          <w:szCs w:val="24"/>
        </w:rPr>
        <w:t xml:space="preserve">Doroski then told the other on-scene OCSO deputy that he was taking </w:t>
      </w:r>
      <w:proofErr w:type="spellStart"/>
      <w:r w:rsidRPr="00BB1B9E">
        <w:rPr>
          <w:rFonts w:ascii="Times New Roman" w:hAnsi="Times New Roman"/>
          <w:sz w:val="24"/>
          <w:szCs w:val="24"/>
        </w:rPr>
        <w:t>Tarashuk</w:t>
      </w:r>
      <w:proofErr w:type="spellEnd"/>
      <w:r w:rsidRPr="00BB1B9E">
        <w:rPr>
          <w:rFonts w:ascii="Times New Roman" w:hAnsi="Times New Roman"/>
          <w:sz w:val="24"/>
          <w:szCs w:val="24"/>
        </w:rPr>
        <w:t xml:space="preserve"> to Santee and ultimately dropped </w:t>
      </w:r>
      <w:proofErr w:type="spellStart"/>
      <w:r w:rsidRPr="00BB1B9E">
        <w:rPr>
          <w:rFonts w:ascii="Times New Roman" w:hAnsi="Times New Roman"/>
          <w:sz w:val="24"/>
          <w:szCs w:val="24"/>
        </w:rPr>
        <w:t>Tarashuk</w:t>
      </w:r>
      <w:proofErr w:type="spellEnd"/>
      <w:r w:rsidRPr="00BB1B9E">
        <w:rPr>
          <w:rFonts w:ascii="Times New Roman" w:hAnsi="Times New Roman"/>
          <w:sz w:val="24"/>
          <w:szCs w:val="24"/>
        </w:rPr>
        <w:t xml:space="preserve"> off at a closed gas station.</w:t>
      </w:r>
      <w:r>
        <w:rPr>
          <w:rFonts w:ascii="Times New Roman" w:hAnsi="Times New Roman"/>
          <w:sz w:val="24"/>
          <w:szCs w:val="24"/>
        </w:rPr>
        <w:t xml:space="preserve">” </w:t>
      </w:r>
    </w:p>
    <w:p w14:paraId="7D3D6424" w14:textId="77777777" w:rsidR="00221640" w:rsidRPr="008A6F7F" w:rsidRDefault="00221640" w:rsidP="00221640">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After being dopped off at the gas station, Mr. </w:t>
      </w:r>
      <w:proofErr w:type="spellStart"/>
      <w:r>
        <w:rPr>
          <w:rFonts w:ascii="Times New Roman" w:hAnsi="Times New Roman"/>
          <w:sz w:val="24"/>
          <w:szCs w:val="24"/>
        </w:rPr>
        <w:t>Tarashuk</w:t>
      </w:r>
      <w:proofErr w:type="spellEnd"/>
      <w:r>
        <w:rPr>
          <w:rFonts w:ascii="Times New Roman" w:hAnsi="Times New Roman"/>
          <w:sz w:val="24"/>
          <w:szCs w:val="24"/>
        </w:rPr>
        <w:t xml:space="preserve"> walked back to I-95 and was struck and killed a few hours later. Under these unfortunate facts, Judge Childs held that while the deceased’s family cannot sue the County for “failure to train” the Deputy and the medics, they can sue under the ADA [Americans with Disabilities Act] for failure to accommodate the patient by not taking him to the hospital. </w:t>
      </w:r>
      <w:hyperlink r:id="rId2206" w:history="1">
        <w:r w:rsidRPr="00E151A7">
          <w:rPr>
            <w:rStyle w:val="Hyperlink"/>
            <w:rFonts w:ascii="Times New Roman" w:hAnsi="Times New Roman"/>
            <w:sz w:val="24"/>
            <w:szCs w:val="24"/>
          </w:rPr>
          <w:t>https://www.leagle.com/decision/infdco20220324d64</w:t>
        </w:r>
      </w:hyperlink>
      <w:r w:rsidRPr="008A6F7F">
        <w:rPr>
          <w:rFonts w:ascii="Times New Roman" w:hAnsi="Times New Roman"/>
          <w:sz w:val="24"/>
          <w:szCs w:val="24"/>
        </w:rPr>
        <w:t xml:space="preserve"> </w:t>
      </w:r>
    </w:p>
    <w:p w14:paraId="3737AABF" w14:textId="77777777" w:rsidR="00221640" w:rsidRPr="008A6F7F" w:rsidRDefault="00221640" w:rsidP="0022164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107F61">
        <w:rPr>
          <w:rFonts w:ascii="Times New Roman" w:hAnsi="Times New Roman"/>
          <w:sz w:val="24"/>
          <w:szCs w:val="24"/>
        </w:rPr>
        <w:t xml:space="preserve">Plaintiff has alleged sufficient facts to indicate that two trained paramedics should have been able to gauge the specific accommodation required here and taken </w:t>
      </w:r>
      <w:proofErr w:type="spellStart"/>
      <w:r w:rsidRPr="00107F61">
        <w:rPr>
          <w:rFonts w:ascii="Times New Roman" w:hAnsi="Times New Roman"/>
          <w:sz w:val="24"/>
          <w:szCs w:val="24"/>
        </w:rPr>
        <w:t>Tarashuk</w:t>
      </w:r>
      <w:proofErr w:type="spellEnd"/>
      <w:r w:rsidRPr="00107F61">
        <w:rPr>
          <w:rFonts w:ascii="Times New Roman" w:hAnsi="Times New Roman"/>
          <w:sz w:val="24"/>
          <w:szCs w:val="24"/>
        </w:rPr>
        <w:t xml:space="preserve"> to the hospital. Ultimately, whether the circumstances alleged here are such that responding paramedics knew or should have known </w:t>
      </w:r>
      <w:proofErr w:type="spellStart"/>
      <w:r w:rsidRPr="00107F61">
        <w:rPr>
          <w:rFonts w:ascii="Times New Roman" w:hAnsi="Times New Roman"/>
          <w:sz w:val="24"/>
          <w:szCs w:val="24"/>
        </w:rPr>
        <w:t>Tarashuk</w:t>
      </w:r>
      <w:proofErr w:type="spellEnd"/>
      <w:r w:rsidRPr="00107F61">
        <w:rPr>
          <w:rFonts w:ascii="Times New Roman" w:hAnsi="Times New Roman"/>
          <w:sz w:val="24"/>
          <w:szCs w:val="24"/>
        </w:rPr>
        <w:t xml:space="preserve"> was obviously disabled presents a genuine question of material fact and precludes summary judgment.</w:t>
      </w:r>
      <w:r>
        <w:rPr>
          <w:rFonts w:ascii="Times New Roman" w:hAnsi="Times New Roman"/>
          <w:sz w:val="24"/>
          <w:szCs w:val="24"/>
        </w:rPr>
        <w:t xml:space="preserve">” </w:t>
      </w:r>
      <w:hyperlink r:id="rId2207" w:history="1">
        <w:r w:rsidRPr="00E151A7">
          <w:rPr>
            <w:rStyle w:val="Hyperlink"/>
            <w:rFonts w:ascii="Times New Roman" w:hAnsi="Times New Roman"/>
            <w:sz w:val="24"/>
            <w:szCs w:val="24"/>
          </w:rPr>
          <w:t>https://www.leagle.com/decision/infdco20220324d64</w:t>
        </w:r>
      </w:hyperlink>
      <w:r w:rsidRPr="008A6F7F">
        <w:rPr>
          <w:rFonts w:ascii="Times New Roman" w:hAnsi="Times New Roman"/>
          <w:sz w:val="24"/>
          <w:szCs w:val="24"/>
        </w:rPr>
        <w:t xml:space="preserve"> </w:t>
      </w:r>
    </w:p>
    <w:bookmarkEnd w:id="443"/>
    <w:p w14:paraId="4C7339FD" w14:textId="77777777" w:rsidR="00221640" w:rsidRDefault="00221640" w:rsidP="00221640">
      <w:pPr>
        <w:spacing w:before="100" w:beforeAutospacing="1" w:after="100" w:afterAutospacing="1" w:line="240" w:lineRule="auto"/>
        <w:rPr>
          <w:rFonts w:ascii="Times New Roman" w:eastAsia="Times New Roman" w:hAnsi="Times New Roman"/>
          <w:b/>
          <w:bCs/>
          <w:sz w:val="24"/>
          <w:szCs w:val="24"/>
        </w:rPr>
      </w:pPr>
      <w:r w:rsidRPr="008C4B8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EMS should know the law in their state, and local protocols, on when a patient should be taken to hospital for psychiatric evaluation. </w:t>
      </w:r>
    </w:p>
    <w:p w14:paraId="7B848D6D" w14:textId="77777777" w:rsidR="00221640" w:rsidRDefault="00221640" w:rsidP="00221640">
      <w:pPr>
        <w:spacing w:before="100" w:beforeAutospacing="1" w:after="100" w:afterAutospacing="1" w:line="240" w:lineRule="auto"/>
        <w:ind w:left="720"/>
        <w:rPr>
          <w:rFonts w:ascii="Times New Roman" w:eastAsia="Times New Roman" w:hAnsi="Times New Roman"/>
          <w:sz w:val="24"/>
          <w:szCs w:val="24"/>
        </w:rPr>
      </w:pPr>
      <w:r w:rsidRPr="00EB1873">
        <w:rPr>
          <w:rFonts w:ascii="Times New Roman" w:eastAsia="Times New Roman" w:hAnsi="Times New Roman"/>
          <w:sz w:val="24"/>
          <w:szCs w:val="24"/>
        </w:rPr>
        <w:t>Note:</w:t>
      </w:r>
      <w:r>
        <w:rPr>
          <w:rFonts w:ascii="Times New Roman" w:eastAsia="Times New Roman" w:hAnsi="Times New Roman"/>
          <w:sz w:val="24"/>
          <w:szCs w:val="24"/>
        </w:rPr>
        <w:t xml:space="preserve"> One of the medics on this run had a long history of drug addictions, and license suspension, prior to being hired by the County EMS.  The trial judge dismissed the claim of negligent hiring.</w:t>
      </w:r>
    </w:p>
    <w:p w14:paraId="27328BBB" w14:textId="77777777" w:rsidR="00221640" w:rsidRDefault="00221640" w:rsidP="00221640">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EB1873">
        <w:rPr>
          <w:rFonts w:ascii="Times New Roman" w:hAnsi="Times New Roman"/>
          <w:sz w:val="24"/>
          <w:szCs w:val="24"/>
        </w:rPr>
        <w:t xml:space="preserve">Here, Plaintiff concedes Rivers contacted </w:t>
      </w:r>
      <w:r>
        <w:rPr>
          <w:rFonts w:ascii="Times New Roman" w:hAnsi="Times New Roman"/>
          <w:sz w:val="24"/>
          <w:szCs w:val="24"/>
        </w:rPr>
        <w:t xml:space="preserve">[the medic’s] </w:t>
      </w:r>
      <w:r w:rsidRPr="00EB1873">
        <w:rPr>
          <w:rFonts w:ascii="Times New Roman" w:hAnsi="Times New Roman"/>
          <w:sz w:val="24"/>
          <w:szCs w:val="24"/>
        </w:rPr>
        <w:t xml:space="preserve">longest-term employer who affirmed her competence as a paramedic. Rivers knew of </w:t>
      </w:r>
      <w:r>
        <w:rPr>
          <w:rFonts w:ascii="Times New Roman" w:hAnsi="Times New Roman"/>
          <w:sz w:val="24"/>
          <w:szCs w:val="24"/>
        </w:rPr>
        <w:t xml:space="preserve">[the medic’s] </w:t>
      </w:r>
      <w:r w:rsidRPr="00EB1873">
        <w:rPr>
          <w:rFonts w:ascii="Times New Roman" w:hAnsi="Times New Roman"/>
          <w:sz w:val="24"/>
          <w:szCs w:val="24"/>
        </w:rPr>
        <w:t xml:space="preserve">license suspension and contacted DHEC, the regulatory body in charge of her reinstatement, to ensure she had complied with its requirements. While certain red flags on </w:t>
      </w:r>
      <w:r>
        <w:rPr>
          <w:rFonts w:ascii="Times New Roman" w:hAnsi="Times New Roman"/>
          <w:sz w:val="24"/>
          <w:szCs w:val="24"/>
        </w:rPr>
        <w:t xml:space="preserve">[the medic’s] </w:t>
      </w:r>
      <w:r w:rsidRPr="00EB1873">
        <w:rPr>
          <w:rFonts w:ascii="Times New Roman" w:hAnsi="Times New Roman"/>
          <w:sz w:val="24"/>
          <w:szCs w:val="24"/>
        </w:rPr>
        <w:t xml:space="preserve">application, such as her relatively short tenure with subsequent employers and publicly available facts regarding her license suspension due to opioid addiction may have warranted further scrutiny, Rivers' failure to follow each thread in his investigation constitutes negligence at best. And in this context, negligence-based </w:t>
      </w:r>
      <w:r w:rsidRPr="00EB1873">
        <w:rPr>
          <w:rStyle w:val="Emphasis"/>
          <w:rFonts w:ascii="Times New Roman" w:hAnsi="Times New Roman"/>
          <w:sz w:val="24"/>
          <w:szCs w:val="24"/>
        </w:rPr>
        <w:t>respondeat superior</w:t>
      </w:r>
      <w:r w:rsidRPr="00EB1873">
        <w:rPr>
          <w:rFonts w:ascii="Times New Roman" w:hAnsi="Times New Roman"/>
          <w:sz w:val="24"/>
          <w:szCs w:val="24"/>
        </w:rPr>
        <w:t xml:space="preserve"> liability does not reach the substantial </w:t>
      </w:r>
      <w:r>
        <w:rPr>
          <w:rFonts w:ascii="Times New Roman" w:hAnsi="Times New Roman"/>
          <w:sz w:val="24"/>
          <w:szCs w:val="24"/>
        </w:rPr>
        <w:t>‘</w:t>
      </w:r>
      <w:r w:rsidRPr="00EB1873">
        <w:rPr>
          <w:rFonts w:ascii="Times New Roman" w:hAnsi="Times New Roman"/>
          <w:sz w:val="24"/>
          <w:szCs w:val="24"/>
        </w:rPr>
        <w:t>deliberate indifference</w:t>
      </w:r>
      <w:r>
        <w:rPr>
          <w:rFonts w:ascii="Times New Roman" w:hAnsi="Times New Roman"/>
          <w:sz w:val="24"/>
          <w:szCs w:val="24"/>
        </w:rPr>
        <w:t>’</w:t>
      </w:r>
      <w:r w:rsidRPr="00EB1873">
        <w:rPr>
          <w:rFonts w:ascii="Times New Roman" w:hAnsi="Times New Roman"/>
          <w:sz w:val="24"/>
          <w:szCs w:val="24"/>
        </w:rPr>
        <w:t xml:space="preserve"> </w:t>
      </w:r>
      <w:proofErr w:type="gramStart"/>
      <w:r w:rsidRPr="00EB1873">
        <w:rPr>
          <w:rFonts w:ascii="Times New Roman" w:hAnsi="Times New Roman"/>
          <w:sz w:val="24"/>
          <w:szCs w:val="24"/>
        </w:rPr>
        <w:t>threshold</w:t>
      </w:r>
      <w:r>
        <w:rPr>
          <w:rFonts w:ascii="Times New Roman" w:hAnsi="Times New Roman"/>
          <w:sz w:val="24"/>
          <w:szCs w:val="24"/>
        </w:rPr>
        <w:t>.”</w:t>
      </w:r>
      <w:proofErr w:type="gramEnd"/>
      <w:r>
        <w:rPr>
          <w:rFonts w:ascii="Times New Roman" w:hAnsi="Times New Roman"/>
          <w:sz w:val="24"/>
          <w:szCs w:val="24"/>
        </w:rPr>
        <w:t xml:space="preserve"> </w:t>
      </w:r>
      <w:r w:rsidRPr="008C4B8D">
        <w:rPr>
          <w:rFonts w:ascii="Times New Roman" w:eastAsia="Times New Roman" w:hAnsi="Times New Roman"/>
          <w:sz w:val="24"/>
          <w:szCs w:val="24"/>
        </w:rPr>
        <w:t xml:space="preserve"> </w:t>
      </w:r>
      <w:hyperlink r:id="rId2208" w:history="1">
        <w:r w:rsidRPr="00E151A7">
          <w:rPr>
            <w:rStyle w:val="Hyperlink"/>
            <w:rFonts w:ascii="Times New Roman" w:hAnsi="Times New Roman"/>
            <w:sz w:val="24"/>
            <w:szCs w:val="24"/>
          </w:rPr>
          <w:t>https://www.leagle.com/decision/infdco20220324d64</w:t>
        </w:r>
      </w:hyperlink>
    </w:p>
    <w:p w14:paraId="709985A3" w14:textId="77777777" w:rsidR="00221640" w:rsidRDefault="00221640" w:rsidP="002B1283">
      <w:pPr>
        <w:rPr>
          <w:rFonts w:ascii="Arial Black" w:hAnsi="Arial Black"/>
          <w:b/>
          <w:bCs/>
          <w:sz w:val="28"/>
          <w:szCs w:val="28"/>
        </w:rPr>
      </w:pPr>
    </w:p>
    <w:p w14:paraId="7B349DF3" w14:textId="77777777" w:rsidR="00221640" w:rsidRDefault="00221640" w:rsidP="002B1283">
      <w:pPr>
        <w:rPr>
          <w:rFonts w:ascii="Arial Black" w:hAnsi="Arial Black"/>
          <w:b/>
          <w:bCs/>
          <w:sz w:val="28"/>
          <w:szCs w:val="28"/>
        </w:rPr>
      </w:pPr>
    </w:p>
    <w:p w14:paraId="7047CC77" w14:textId="72031474" w:rsidR="00E3473F" w:rsidRDefault="00E3473F" w:rsidP="002B1283">
      <w:pPr>
        <w:rPr>
          <w:rFonts w:ascii="Arial Black" w:hAnsi="Arial Black"/>
          <w:b/>
          <w:bCs/>
          <w:sz w:val="28"/>
          <w:szCs w:val="28"/>
        </w:rPr>
      </w:pPr>
      <w:r>
        <w:rPr>
          <w:rFonts w:ascii="Arial Black" w:hAnsi="Arial Black"/>
          <w:b/>
          <w:bCs/>
          <w:sz w:val="28"/>
          <w:szCs w:val="28"/>
        </w:rPr>
        <w:t>13-108</w:t>
      </w:r>
    </w:p>
    <w:p w14:paraId="09D93EFC" w14:textId="77777777" w:rsidR="00E3473F" w:rsidRDefault="00E3473F" w:rsidP="00E3473F">
      <w:pPr>
        <w:spacing w:before="100" w:beforeAutospacing="1" w:after="100" w:afterAutospacing="1" w:line="240" w:lineRule="auto"/>
        <w:rPr>
          <w:rFonts w:ascii="Times New Roman" w:eastAsia="Times New Roman" w:hAnsi="Times New Roman"/>
          <w:b/>
          <w:bCs/>
          <w:sz w:val="24"/>
          <w:szCs w:val="24"/>
        </w:rPr>
      </w:pPr>
      <w:r>
        <w:rPr>
          <w:rFonts w:ascii="Arial Black" w:eastAsia="Times New Roman" w:hAnsi="Arial Black"/>
          <w:b/>
          <w:bCs/>
          <w:sz w:val="28"/>
          <w:szCs w:val="28"/>
        </w:rPr>
        <w:t>GA: PATIENT’S PUSH BUTTON DEVICE - ANSWERING SERVICE DIDN’T ASK DOORS LOCKED – FAMILY SUE CO.</w:t>
      </w:r>
    </w:p>
    <w:p w14:paraId="6E521080" w14:textId="77777777" w:rsidR="00E3473F" w:rsidRDefault="00E3473F" w:rsidP="00E3473F">
      <w:pPr>
        <w:spacing w:before="100" w:beforeAutospacing="1" w:after="100" w:afterAutospacing="1" w:line="240" w:lineRule="auto"/>
        <w:rPr>
          <w:rFonts w:ascii="Times New Roman" w:hAnsi="Times New Roman"/>
          <w:sz w:val="24"/>
          <w:szCs w:val="24"/>
        </w:rPr>
      </w:pPr>
      <w:r w:rsidRPr="00D82B8F">
        <w:rPr>
          <w:rFonts w:ascii="Times New Roman" w:eastAsia="Times New Roman" w:hAnsi="Times New Roman"/>
          <w:sz w:val="24"/>
          <w:szCs w:val="24"/>
        </w:rPr>
        <w:t xml:space="preserve">On March 17, 2022, in </w:t>
      </w:r>
      <w:r w:rsidRPr="00D82B8F">
        <w:rPr>
          <w:rFonts w:ascii="Times New Roman" w:eastAsia="Times New Roman" w:hAnsi="Times New Roman"/>
          <w:sz w:val="24"/>
          <w:szCs w:val="24"/>
          <w:u w:val="single"/>
        </w:rPr>
        <w:t xml:space="preserve">Eric Brown, Administrator of the Estate of Loretta Lewis v. </w:t>
      </w:r>
      <w:proofErr w:type="spellStart"/>
      <w:r w:rsidRPr="00D82B8F">
        <w:rPr>
          <w:rFonts w:ascii="Times New Roman" w:eastAsia="Times New Roman" w:hAnsi="Times New Roman"/>
          <w:sz w:val="24"/>
          <w:szCs w:val="24"/>
          <w:u w:val="single"/>
        </w:rPr>
        <w:t>Medscope</w:t>
      </w:r>
      <w:proofErr w:type="spellEnd"/>
      <w:r w:rsidRPr="00D82B8F">
        <w:rPr>
          <w:rFonts w:ascii="Times New Roman" w:eastAsia="Times New Roman" w:hAnsi="Times New Roman"/>
          <w:sz w:val="24"/>
          <w:szCs w:val="24"/>
          <w:u w:val="single"/>
        </w:rPr>
        <w:t xml:space="preserve"> America Corporation and </w:t>
      </w:r>
      <w:proofErr w:type="spellStart"/>
      <w:r w:rsidRPr="00D82B8F">
        <w:rPr>
          <w:rFonts w:ascii="Times New Roman" w:eastAsia="Times New Roman" w:hAnsi="Times New Roman"/>
          <w:sz w:val="24"/>
          <w:szCs w:val="24"/>
          <w:u w:val="single"/>
        </w:rPr>
        <w:t>Avant</w:t>
      </w:r>
      <w:r>
        <w:rPr>
          <w:rFonts w:ascii="Times New Roman" w:eastAsia="Times New Roman" w:hAnsi="Times New Roman"/>
          <w:sz w:val="24"/>
          <w:szCs w:val="24"/>
          <w:u w:val="single"/>
        </w:rPr>
        <w:t>G</w:t>
      </w:r>
      <w:r w:rsidRPr="00D82B8F">
        <w:rPr>
          <w:rFonts w:ascii="Times New Roman" w:eastAsia="Times New Roman" w:hAnsi="Times New Roman"/>
          <w:sz w:val="24"/>
          <w:szCs w:val="24"/>
          <w:u w:val="single"/>
        </w:rPr>
        <w:t>uard</w:t>
      </w:r>
      <w:proofErr w:type="spellEnd"/>
      <w:r w:rsidRPr="00D82B8F">
        <w:rPr>
          <w:rFonts w:ascii="Times New Roman" w:eastAsia="Times New Roman" w:hAnsi="Times New Roman"/>
          <w:sz w:val="24"/>
          <w:szCs w:val="24"/>
          <w:u w:val="single"/>
        </w:rPr>
        <w:t xml:space="preserve"> Monitoring Centers, LLC</w:t>
      </w:r>
      <w:r w:rsidRPr="00D82B8F">
        <w:rPr>
          <w:rFonts w:ascii="Times New Roman" w:eastAsia="Times New Roman" w:hAnsi="Times New Roman"/>
          <w:sz w:val="24"/>
          <w:szCs w:val="24"/>
        </w:rPr>
        <w:t xml:space="preserve">, U.S. District Court Judge Clay D. Land, </w:t>
      </w:r>
      <w:r>
        <w:rPr>
          <w:rFonts w:ascii="Times New Roman" w:eastAsia="Times New Roman" w:hAnsi="Times New Roman"/>
          <w:sz w:val="24"/>
          <w:szCs w:val="24"/>
        </w:rPr>
        <w:t xml:space="preserve">IU.S. District Court for the Middle District of George (Columbus Division), </w:t>
      </w:r>
      <w:r w:rsidRPr="00D82B8F">
        <w:rPr>
          <w:rFonts w:ascii="Times New Roman" w:eastAsia="Times New Roman" w:hAnsi="Times New Roman"/>
          <w:sz w:val="24"/>
          <w:szCs w:val="24"/>
        </w:rPr>
        <w:t>denied the defendants’ motion to dismiss</w:t>
      </w:r>
      <w:r>
        <w:rPr>
          <w:rFonts w:ascii="Times New Roman" w:eastAsia="Times New Roman" w:hAnsi="Times New Roman"/>
          <w:sz w:val="24"/>
          <w:szCs w:val="24"/>
        </w:rPr>
        <w:t xml:space="preserve"> in a lawsuit brought under </w:t>
      </w:r>
      <w:r w:rsidRPr="00C66418">
        <w:rPr>
          <w:rFonts w:ascii="Times New Roman" w:hAnsi="Times New Roman"/>
          <w:sz w:val="24"/>
          <w:szCs w:val="24"/>
        </w:rPr>
        <w:t>Georgia's Fair Business Practices Act and under general tort law.</w:t>
      </w:r>
      <w:r w:rsidRPr="00D82B8F">
        <w:rPr>
          <w:rFonts w:ascii="Times New Roman" w:eastAsia="Times New Roman" w:hAnsi="Times New Roman"/>
          <w:sz w:val="24"/>
          <w:szCs w:val="24"/>
        </w:rPr>
        <w:t xml:space="preserve">  </w:t>
      </w:r>
      <w:r>
        <w:rPr>
          <w:rFonts w:ascii="Times New Roman" w:eastAsia="Times New Roman" w:hAnsi="Times New Roman"/>
          <w:sz w:val="24"/>
          <w:szCs w:val="24"/>
        </w:rPr>
        <w:t xml:space="preserve">The COPD patient activated the push button medallion device she wore around her neck.  The answering service notified </w:t>
      </w:r>
      <w:proofErr w:type="gramStart"/>
      <w:r>
        <w:rPr>
          <w:rFonts w:ascii="Times New Roman" w:eastAsia="Times New Roman" w:hAnsi="Times New Roman"/>
          <w:sz w:val="24"/>
          <w:szCs w:val="24"/>
        </w:rPr>
        <w:t>911, but</w:t>
      </w:r>
      <w:proofErr w:type="gramEnd"/>
      <w:r>
        <w:rPr>
          <w:rFonts w:ascii="Times New Roman" w:eastAsia="Times New Roman" w:hAnsi="Times New Roman"/>
          <w:sz w:val="24"/>
          <w:szCs w:val="24"/>
        </w:rPr>
        <w:t xml:space="preserve"> never asked her if the doors were locked. </w:t>
      </w:r>
      <w:r w:rsidRPr="00D82B8F">
        <w:rPr>
          <w:rFonts w:ascii="Times New Roman" w:eastAsia="Times New Roman" w:hAnsi="Times New Roman"/>
          <w:sz w:val="24"/>
          <w:szCs w:val="24"/>
        </w:rPr>
        <w:t>When EMS arrived at the patient’s home, the doors were locked</w:t>
      </w:r>
      <w:r>
        <w:rPr>
          <w:rFonts w:ascii="Times New Roman" w:eastAsia="Times New Roman" w:hAnsi="Times New Roman"/>
          <w:sz w:val="24"/>
          <w:szCs w:val="24"/>
        </w:rPr>
        <w:t xml:space="preserve"> </w:t>
      </w:r>
      <w:r w:rsidRPr="00D82B8F">
        <w:rPr>
          <w:rFonts w:ascii="Times New Roman" w:eastAsia="Times New Roman" w:hAnsi="Times New Roman"/>
          <w:sz w:val="24"/>
          <w:szCs w:val="24"/>
        </w:rPr>
        <w:t>and they needed to wait for a fire engine to breach the door; patient s</w:t>
      </w:r>
      <w:r w:rsidRPr="00D82B8F">
        <w:rPr>
          <w:rFonts w:ascii="Times New Roman" w:hAnsi="Times New Roman"/>
          <w:sz w:val="24"/>
          <w:szCs w:val="24"/>
        </w:rPr>
        <w:t xml:space="preserve">uffered an extended hypoxic event leading to serious brain injury that </w:t>
      </w:r>
      <w:r>
        <w:rPr>
          <w:rFonts w:ascii="Times New Roman" w:hAnsi="Times New Roman"/>
          <w:sz w:val="24"/>
          <w:szCs w:val="24"/>
        </w:rPr>
        <w:t xml:space="preserve">led to </w:t>
      </w:r>
      <w:r w:rsidRPr="00D82B8F">
        <w:rPr>
          <w:rFonts w:ascii="Times New Roman" w:hAnsi="Times New Roman"/>
          <w:sz w:val="24"/>
          <w:szCs w:val="24"/>
        </w:rPr>
        <w:t>her death three days later while in the hospital.</w:t>
      </w:r>
      <w:r>
        <w:rPr>
          <w:rFonts w:ascii="Times New Roman" w:hAnsi="Times New Roman"/>
          <w:sz w:val="24"/>
          <w:szCs w:val="24"/>
        </w:rPr>
        <w:t xml:space="preserve"> </w:t>
      </w:r>
      <w:hyperlink r:id="rId2209" w:history="1">
        <w:r w:rsidRPr="005A2A16">
          <w:rPr>
            <w:rStyle w:val="Hyperlink"/>
            <w:rFonts w:ascii="Times New Roman" w:hAnsi="Times New Roman"/>
            <w:sz w:val="24"/>
            <w:szCs w:val="24"/>
          </w:rPr>
          <w:t>https://casetext.com/case/brown-v-medscope-am-corp</w:t>
        </w:r>
      </w:hyperlink>
      <w:r>
        <w:rPr>
          <w:rFonts w:ascii="Times New Roman" w:hAnsi="Times New Roman"/>
          <w:sz w:val="24"/>
          <w:szCs w:val="24"/>
        </w:rPr>
        <w:t xml:space="preserve"> </w:t>
      </w:r>
    </w:p>
    <w:p w14:paraId="5D4FFF3A" w14:textId="77777777" w:rsidR="00E3473F" w:rsidRDefault="00E3473F" w:rsidP="00E3473F">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D82B8F">
        <w:rPr>
          <w:rFonts w:ascii="Times New Roman" w:hAnsi="Times New Roman"/>
          <w:sz w:val="24"/>
          <w:szCs w:val="24"/>
        </w:rPr>
        <w:t xml:space="preserve">Specifically, Plaintiff alleges that, if Lewis had called 9-1-1 directly, 9-1-1 would have asked her if her doors were locked and would have sent a fire crew to Lewis's house upon learning that Lewis </w:t>
      </w:r>
      <w:r>
        <w:rPr>
          <w:rFonts w:ascii="Times New Roman" w:hAnsi="Times New Roman"/>
          <w:sz w:val="24"/>
          <w:szCs w:val="24"/>
        </w:rPr>
        <w:t>‘</w:t>
      </w:r>
      <w:r w:rsidRPr="00D82B8F">
        <w:rPr>
          <w:rFonts w:ascii="Times New Roman" w:hAnsi="Times New Roman"/>
          <w:sz w:val="24"/>
          <w:szCs w:val="24"/>
        </w:rPr>
        <w:t>couldn't breathe.</w:t>
      </w:r>
      <w:r>
        <w:rPr>
          <w:rFonts w:ascii="Times New Roman" w:hAnsi="Times New Roman"/>
          <w:sz w:val="24"/>
          <w:szCs w:val="24"/>
        </w:rPr>
        <w:t>’</w:t>
      </w:r>
      <w:r w:rsidRPr="00D82B8F">
        <w:rPr>
          <w:rFonts w:ascii="Times New Roman" w:hAnsi="Times New Roman"/>
          <w:sz w:val="24"/>
          <w:szCs w:val="24"/>
        </w:rPr>
        <w:t xml:space="preserve"> Plaintiff thus adequately alleges that Defendants owed a duty of care to Lewis by assuming responsibility for providing Lewis with necessary emergency services, Lewis relied on Defendants' assumption of that duty, and that Defendants breached that duty and harmed Lewis by negligently failing to act as a reasonable 9-1-1 operator would if Lewis called 9-1-1 directly. Defendants' motions to dismiss Plaintiff's negligence claim are denied.</w:t>
      </w:r>
      <w:r>
        <w:rPr>
          <w:rFonts w:ascii="Times New Roman" w:hAnsi="Times New Roman"/>
          <w:sz w:val="24"/>
          <w:szCs w:val="24"/>
        </w:rPr>
        <w:t xml:space="preserve">”  </w:t>
      </w:r>
      <w:hyperlink r:id="rId2210" w:history="1">
        <w:r w:rsidRPr="005A2A16">
          <w:rPr>
            <w:rStyle w:val="Hyperlink"/>
            <w:rFonts w:ascii="Times New Roman" w:hAnsi="Times New Roman"/>
            <w:sz w:val="24"/>
            <w:szCs w:val="24"/>
          </w:rPr>
          <w:t>https://casetext.com/case/brown-v-medscope-am-corp</w:t>
        </w:r>
      </w:hyperlink>
      <w:r>
        <w:rPr>
          <w:rFonts w:ascii="Times New Roman" w:hAnsi="Times New Roman"/>
          <w:sz w:val="24"/>
          <w:szCs w:val="24"/>
        </w:rPr>
        <w:t xml:space="preserve"> </w:t>
      </w:r>
    </w:p>
    <w:p w14:paraId="5A66A37A" w14:textId="77777777" w:rsidR="00221640" w:rsidRPr="00AF18D5" w:rsidRDefault="00221640" w:rsidP="00221640">
      <w:pPr>
        <w:spacing w:before="100" w:beforeAutospacing="1" w:after="100" w:afterAutospacing="1" w:line="240" w:lineRule="auto"/>
        <w:rPr>
          <w:rFonts w:ascii="Times New Roman" w:eastAsia="Times New Roman" w:hAnsi="Times New Roman"/>
          <w:b/>
          <w:bCs/>
          <w:sz w:val="24"/>
          <w:szCs w:val="24"/>
        </w:rPr>
      </w:pPr>
      <w:r w:rsidRPr="00665122">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Answering services have an obligation to inform 911 of critical facts, including whether patient is alone in her home with the doors locked. </w:t>
      </w:r>
    </w:p>
    <w:p w14:paraId="76B1460C" w14:textId="77777777" w:rsidR="00E3473F" w:rsidRDefault="00E3473F" w:rsidP="002B1283">
      <w:pPr>
        <w:rPr>
          <w:rFonts w:ascii="Arial Black" w:hAnsi="Arial Black"/>
          <w:b/>
          <w:bCs/>
          <w:sz w:val="28"/>
          <w:szCs w:val="28"/>
        </w:rPr>
      </w:pPr>
    </w:p>
    <w:p w14:paraId="62D96FE3" w14:textId="77777777" w:rsidR="00E3473F" w:rsidRDefault="00E3473F" w:rsidP="002B1283">
      <w:pPr>
        <w:rPr>
          <w:rFonts w:ascii="Arial Black" w:hAnsi="Arial Black"/>
          <w:b/>
          <w:bCs/>
          <w:sz w:val="28"/>
          <w:szCs w:val="28"/>
        </w:rPr>
      </w:pPr>
    </w:p>
    <w:p w14:paraId="6511AB41" w14:textId="77777777" w:rsidR="00E3473F" w:rsidRDefault="00E3473F" w:rsidP="002B1283">
      <w:pPr>
        <w:rPr>
          <w:rFonts w:ascii="Arial Black" w:hAnsi="Arial Black"/>
          <w:b/>
          <w:bCs/>
          <w:sz w:val="28"/>
          <w:szCs w:val="28"/>
        </w:rPr>
      </w:pPr>
    </w:p>
    <w:p w14:paraId="0060AD3F" w14:textId="4AA6337A" w:rsidR="00D55139" w:rsidRDefault="00E3473F" w:rsidP="002B1283">
      <w:pPr>
        <w:rPr>
          <w:rFonts w:ascii="Arial Black" w:hAnsi="Arial Black"/>
          <w:b/>
          <w:bCs/>
          <w:sz w:val="28"/>
          <w:szCs w:val="28"/>
        </w:rPr>
      </w:pPr>
      <w:r>
        <w:rPr>
          <w:rFonts w:ascii="Arial Black" w:hAnsi="Arial Black"/>
          <w:b/>
          <w:bCs/>
          <w:sz w:val="28"/>
          <w:szCs w:val="28"/>
        </w:rPr>
        <w:t>13-107</w:t>
      </w:r>
    </w:p>
    <w:p w14:paraId="10553ABD" w14:textId="77777777" w:rsidR="00E3473F" w:rsidRDefault="00E3473F" w:rsidP="00E3473F">
      <w:pPr>
        <w:pStyle w:val="NormalWeb"/>
        <w:rPr>
          <w:rFonts w:ascii="Arial Black" w:hAnsi="Arial Black"/>
          <w:sz w:val="28"/>
          <w:szCs w:val="28"/>
        </w:rPr>
      </w:pPr>
      <w:r w:rsidRPr="004604BC">
        <w:rPr>
          <w:rFonts w:ascii="Arial Black" w:hAnsi="Arial Black"/>
          <w:sz w:val="28"/>
          <w:szCs w:val="28"/>
        </w:rPr>
        <w:t>CA:</w:t>
      </w:r>
      <w:r>
        <w:rPr>
          <w:rFonts w:ascii="Arial Black" w:hAnsi="Arial Black"/>
          <w:sz w:val="28"/>
          <w:szCs w:val="28"/>
        </w:rPr>
        <w:t xml:space="preserve"> ASPHYXIATION - PD MAN FACE DOWN – EMS USED BACKBORD 4 MIN. PRONE – NOT UNCONSTIT. IN 2017</w:t>
      </w:r>
    </w:p>
    <w:p w14:paraId="30BB0CAC" w14:textId="77777777" w:rsidR="00E3473F" w:rsidRDefault="00E3473F" w:rsidP="00E3473F">
      <w:pPr>
        <w:pStyle w:val="NormalWeb"/>
      </w:pPr>
      <w:r>
        <w:t xml:space="preserve">On March 17, 2022, in </w:t>
      </w:r>
      <w:r w:rsidRPr="004604BC">
        <w:rPr>
          <w:u w:val="single"/>
        </w:rPr>
        <w:t>Anthony Perez, et al, v. City of Fresno, et al.</w:t>
      </w:r>
      <w:r>
        <w:t xml:space="preserve">, U.S. Senior District Court Judge Anthony W. Ishii, U.S. District Court for Eastern District of California, granted summary judgment for all the defendants, including the two medics, and the police officers, the </w:t>
      </w:r>
      <w:proofErr w:type="gramStart"/>
      <w:r>
        <w:t>City</w:t>
      </w:r>
      <w:proofErr w:type="gramEnd"/>
      <w:r>
        <w:t xml:space="preserve">, and the County. Based on case law in 2017, a “reasonable paramedic would have known that [paramedic] Anderson's conduct was unconstitutional” under 14 Amendment due process clause. </w:t>
      </w:r>
      <w:hyperlink r:id="rId2211" w:history="1">
        <w:r w:rsidRPr="005A0566">
          <w:rPr>
            <w:rStyle w:val="Hyperlink"/>
            <w:rFonts w:eastAsiaTheme="majorEastAsia"/>
          </w:rPr>
          <w:t>https://public.fastcase.com/waZtJvSA54UAurM2rmIZzwvOxdABv7XvwmmlDXNvdvn51CTV3NslG6Rw0yioxZXL%2BjJOhhNAJF%2FpIN8S52jcKAcJWCdsLYpOkU1PQ4W0%2BbA%3D</w:t>
        </w:r>
      </w:hyperlink>
      <w:r>
        <w:t xml:space="preserve"> </w:t>
      </w:r>
    </w:p>
    <w:p w14:paraId="12E1FC2D" w14:textId="77777777" w:rsidR="00E3473F" w:rsidRDefault="00E3473F" w:rsidP="00E3473F">
      <w:pPr>
        <w:pStyle w:val="NormalWeb"/>
        <w:ind w:left="720"/>
      </w:pPr>
      <w:r>
        <w:t xml:space="preserve">“After the backboard was attached to Perez, Perez was turned over…. [Officer] Martinez estimated that Perez had been under the backboard for about four minutes before being turned over…. Paramedic Dines observed that Perez was unconscious and blueish in the face…. [Paramedic] Anderson stated that it did not appear that Perez was breathing….  </w:t>
      </w:r>
      <w:r>
        <w:rPr>
          <w:rStyle w:val="Emphasis"/>
        </w:rPr>
        <w:t>[O]</w:t>
      </w:r>
      <w:proofErr w:type="spellStart"/>
      <w:r>
        <w:t>nce</w:t>
      </w:r>
      <w:proofErr w:type="spellEnd"/>
      <w:r>
        <w:t xml:space="preserve"> Anderson and Dines saw that Perez was unconscious, they both testified that Anderson checked Perez's pulse and was unable to detect one…. Because Perez was blueish in the face and had no pulse, the paramedics initiated a cardiac arrest protocol….   Perez was placed on a gurney, moved inside the ambulance, and CPR was initiated….  Ortiz hooked Perez up to a heart monitor in the ambulance and he was asystole, i.e. without a heartbeat.   </w:t>
      </w:r>
    </w:p>
    <w:p w14:paraId="02940E16" w14:textId="77777777" w:rsidR="00E3473F" w:rsidRDefault="00E3473F" w:rsidP="00E3473F">
      <w:pPr>
        <w:pStyle w:val="NormalWeb"/>
        <w:ind w:left="720"/>
      </w:pPr>
      <w:r>
        <w:t>***</w:t>
      </w:r>
    </w:p>
    <w:p w14:paraId="04ED1D44" w14:textId="77777777" w:rsidR="00E3473F" w:rsidRDefault="00E3473F" w:rsidP="00E3473F">
      <w:pPr>
        <w:pStyle w:val="NormalWeb"/>
        <w:ind w:left="720"/>
      </w:pPr>
      <w:r>
        <w:t xml:space="preserve">With respect to Plaintiffs' claims that Anderson's conduct was obviously unconstitutional, the Court cannot agree. It is true, as Plaintiffs point out, that none of the AA [American Ambulance] personnel, County Deputies, or City Officers had ever seen a backboard placed on the back of a prone person. It is also true that Anderson himself recognized that placing a backboard on a prone individual is generally not a good idea because one of the possible dangers of that practice appears to have manifested in this case - asphyxiation. Nevertheless, Anderson was confronted with a § 5150 situation in which the call had been elevated from a Code Two (straight § 5150 situation) to a Code Three with combative behavior reported. </w:t>
      </w:r>
    </w:p>
    <w:p w14:paraId="178860D2" w14:textId="77777777" w:rsidR="00E3473F" w:rsidRDefault="00E3473F" w:rsidP="00E3473F">
      <w:pPr>
        <w:pStyle w:val="NormalWeb"/>
        <w:ind w:left="720"/>
      </w:pPr>
      <w:r>
        <w:t>***</w:t>
      </w:r>
    </w:p>
    <w:p w14:paraId="65F71BB7" w14:textId="77777777" w:rsidR="00E3473F" w:rsidRDefault="00E3473F" w:rsidP="00E3473F">
      <w:pPr>
        <w:pStyle w:val="NormalWeb"/>
        <w:ind w:left="720"/>
      </w:pPr>
      <w:r>
        <w:t xml:space="preserve">In sum, particularly </w:t>
      </w:r>
      <w:proofErr w:type="gramStart"/>
      <w:r>
        <w:t>in light of</w:t>
      </w:r>
      <w:proofErr w:type="gramEnd"/>
      <w:r>
        <w:t xml:space="preserve"> [prior court decisions], the law as it existed in May 2017 was not so clear that a reasonable paramedic would have known that Anderson's conduct was unconstitutional, and this is not a rare case in which the Anderson's behavior was obviously unconstitutional….  Therefore, the Court holds that Anderson is entitled to qualified immunity.” </w:t>
      </w:r>
      <w:hyperlink r:id="rId2212" w:history="1">
        <w:r w:rsidRPr="005A0566">
          <w:rPr>
            <w:rStyle w:val="Hyperlink"/>
            <w:rFonts w:eastAsiaTheme="majorEastAsia"/>
          </w:rPr>
          <w:t>https://public.fastcase.com/waZtJvSA54UAurM2rmIZzwvOxdABv7XvwmmlDXNvdvn51CTV3NslG6Rw0yioxZXL%2BjJOhhNAJF%2FpIN8S52jcKAcJWCdsLYpOkU1PQ4W0%2BbA%3D</w:t>
        </w:r>
      </w:hyperlink>
      <w:r>
        <w:t xml:space="preserve"> </w:t>
      </w:r>
    </w:p>
    <w:p w14:paraId="1AE2DC40" w14:textId="77777777" w:rsidR="00E3473F" w:rsidRPr="001635AD" w:rsidRDefault="00E3473F" w:rsidP="00E3473F">
      <w:pPr>
        <w:pStyle w:val="NormalWeb"/>
        <w:rPr>
          <w:b/>
          <w:bCs/>
        </w:rPr>
      </w:pPr>
      <w:r w:rsidRPr="001635AD">
        <w:rPr>
          <w:b/>
          <w:bCs/>
        </w:rPr>
        <w:t>Legal Lesson Learned:</w:t>
      </w:r>
      <w:r>
        <w:rPr>
          <w:b/>
          <w:bCs/>
        </w:rPr>
        <w:t xml:space="preserve"> Asphyxiation from person being held by police face down on the ground is well known concern.  EMS protocol should address avoiding leaving patient prone on a backboard; similar conduct in 2022 may not lead to dismissal of Federal constitutional rights lawsuit. </w:t>
      </w:r>
    </w:p>
    <w:p w14:paraId="143BD369" w14:textId="77777777" w:rsidR="00E3473F" w:rsidRDefault="00E3473F" w:rsidP="002B1283">
      <w:pPr>
        <w:rPr>
          <w:rFonts w:ascii="Arial Black" w:hAnsi="Arial Black"/>
          <w:b/>
          <w:bCs/>
          <w:sz w:val="28"/>
          <w:szCs w:val="28"/>
        </w:rPr>
      </w:pPr>
    </w:p>
    <w:p w14:paraId="4EFA6EEB" w14:textId="77777777" w:rsidR="00E3473F" w:rsidRDefault="00E3473F" w:rsidP="002B1283">
      <w:pPr>
        <w:rPr>
          <w:rFonts w:ascii="Arial Black" w:hAnsi="Arial Black"/>
          <w:b/>
          <w:bCs/>
          <w:sz w:val="28"/>
          <w:szCs w:val="28"/>
        </w:rPr>
      </w:pPr>
    </w:p>
    <w:p w14:paraId="19206F2D" w14:textId="77777777" w:rsidR="00E3473F" w:rsidRDefault="00E3473F" w:rsidP="002B1283">
      <w:pPr>
        <w:rPr>
          <w:rFonts w:ascii="Arial Black" w:hAnsi="Arial Black"/>
          <w:b/>
          <w:bCs/>
          <w:sz w:val="28"/>
          <w:szCs w:val="28"/>
        </w:rPr>
      </w:pPr>
    </w:p>
    <w:p w14:paraId="57F4EAC0" w14:textId="787E1CB6" w:rsidR="00E3473F" w:rsidRDefault="00E3473F" w:rsidP="002B1283">
      <w:pPr>
        <w:rPr>
          <w:rFonts w:ascii="Arial Black" w:hAnsi="Arial Black"/>
          <w:b/>
          <w:bCs/>
          <w:sz w:val="28"/>
          <w:szCs w:val="28"/>
        </w:rPr>
      </w:pPr>
      <w:r>
        <w:rPr>
          <w:rFonts w:ascii="Arial Black" w:hAnsi="Arial Black"/>
          <w:b/>
          <w:bCs/>
          <w:sz w:val="28"/>
          <w:szCs w:val="28"/>
        </w:rPr>
        <w:t>13-106</w:t>
      </w:r>
    </w:p>
    <w:p w14:paraId="1E273322" w14:textId="77777777" w:rsidR="00E3473F" w:rsidRDefault="00E3473F" w:rsidP="00E3473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NJ: EMT FIRED AFTER COMPLAINED ABOUT PD FORCING PATIENT AMBULANCE – RETALIATION CASE REINSTATED</w:t>
      </w:r>
    </w:p>
    <w:p w14:paraId="60E14E7B" w14:textId="77777777" w:rsidR="00E3473F" w:rsidRPr="00DA11E3" w:rsidRDefault="00E3473F" w:rsidP="00E3473F">
      <w:pPr>
        <w:spacing w:before="100" w:beforeAutospacing="1" w:after="100" w:afterAutospacing="1" w:line="240" w:lineRule="auto"/>
        <w:rPr>
          <w:rFonts w:ascii="Times New Roman" w:hAnsi="Times New Roman"/>
          <w:sz w:val="24"/>
          <w:szCs w:val="24"/>
        </w:rPr>
      </w:pPr>
      <w:r w:rsidRPr="000A1E15">
        <w:rPr>
          <w:rFonts w:ascii="Times New Roman" w:eastAsia="Times New Roman" w:hAnsi="Times New Roman"/>
          <w:sz w:val="24"/>
          <w:szCs w:val="24"/>
        </w:rPr>
        <w:t xml:space="preserve">On </w:t>
      </w:r>
      <w:r>
        <w:rPr>
          <w:rFonts w:ascii="Times New Roman" w:eastAsia="Times New Roman" w:hAnsi="Times New Roman"/>
          <w:sz w:val="24"/>
          <w:szCs w:val="24"/>
        </w:rPr>
        <w:t xml:space="preserve">March 14, 2022, in </w:t>
      </w:r>
      <w:r w:rsidRPr="008C0733">
        <w:rPr>
          <w:rFonts w:ascii="Times New Roman" w:eastAsia="Times New Roman" w:hAnsi="Times New Roman"/>
          <w:sz w:val="24"/>
          <w:szCs w:val="24"/>
          <w:u w:val="single"/>
        </w:rPr>
        <w:t>Amara Sepulveda and Louis Deleon v, Township of North Bergen and Deputy Chief Prina</w:t>
      </w:r>
      <w:r>
        <w:rPr>
          <w:rFonts w:ascii="Times New Roman" w:eastAsia="Times New Roman" w:hAnsi="Times New Roman"/>
          <w:sz w:val="24"/>
          <w:szCs w:val="24"/>
        </w:rPr>
        <w:t xml:space="preserve">, the Superior Court of New Jersey, Appellate Division, held (3 to 0) in an unpublished decision that EMT Deleon’s complaint that he was fired in retaliation for reporting police misconduct in violation of the </w:t>
      </w:r>
      <w:r w:rsidRPr="008C0733">
        <w:rPr>
          <w:rFonts w:ascii="Times New Roman" w:hAnsi="Times New Roman"/>
          <w:sz w:val="24"/>
          <w:szCs w:val="24"/>
        </w:rPr>
        <w:t>Conscientious Employee Protection Act (CEPA</w:t>
      </w:r>
      <w:r>
        <w:rPr>
          <w:rFonts w:ascii="Times New Roman" w:hAnsi="Times New Roman"/>
          <w:sz w:val="24"/>
          <w:szCs w:val="24"/>
        </w:rPr>
        <w:t xml:space="preserve">) is reinstated.  EMT Sepulveda is dismissed from the lawsuit since she didn’t make </w:t>
      </w:r>
      <w:proofErr w:type="gramStart"/>
      <w:r>
        <w:rPr>
          <w:rFonts w:ascii="Times New Roman" w:hAnsi="Times New Roman"/>
          <w:sz w:val="24"/>
          <w:szCs w:val="24"/>
        </w:rPr>
        <w:t>report</w:t>
      </w:r>
      <w:proofErr w:type="gramEnd"/>
      <w:r>
        <w:rPr>
          <w:rFonts w:ascii="Times New Roman" w:hAnsi="Times New Roman"/>
          <w:sz w:val="24"/>
          <w:szCs w:val="24"/>
        </w:rPr>
        <w:t xml:space="preserve"> of police misconduct and then resigned from the Township EMS Department.  On remand, the trial court must provide EMT Deleon with a hearing. </w:t>
      </w:r>
      <w:hyperlink r:id="rId2213" w:history="1">
        <w:r w:rsidRPr="002477AB">
          <w:rPr>
            <w:rStyle w:val="Hyperlink"/>
            <w:rFonts w:ascii="Times New Roman" w:hAnsi="Times New Roman"/>
            <w:sz w:val="24"/>
            <w:szCs w:val="24"/>
          </w:rPr>
          <w:t>https://public.fastcase.com/waZtJvSA54UAurM2rmIZzwN7i243%2F%2BStZpHYDBkc8sGpJscx%2FQQ27pdU9Jjrp4oC%2BDoaG82WuBlPphdis3f1N3UPtlVqun2jEuCWxYyqQWw%3D</w:t>
        </w:r>
      </w:hyperlink>
      <w:r>
        <w:rPr>
          <w:rFonts w:ascii="Times New Roman" w:hAnsi="Times New Roman"/>
          <w:sz w:val="24"/>
          <w:szCs w:val="24"/>
        </w:rPr>
        <w:t xml:space="preserve"> </w:t>
      </w:r>
    </w:p>
    <w:p w14:paraId="3E8CA830" w14:textId="77777777" w:rsidR="00E3473F" w:rsidRDefault="00E3473F" w:rsidP="00E3473F">
      <w:pPr>
        <w:spacing w:before="100" w:beforeAutospacing="1" w:after="100" w:afterAutospacing="1" w:line="240" w:lineRule="auto"/>
        <w:ind w:left="720"/>
        <w:rPr>
          <w:rFonts w:ascii="Times New Roman" w:hAnsi="Times New Roman"/>
          <w:sz w:val="24"/>
          <w:szCs w:val="24"/>
        </w:rPr>
      </w:pPr>
      <w:r>
        <w:t>“</w:t>
      </w:r>
      <w:r w:rsidRPr="00DE51FF">
        <w:rPr>
          <w:rFonts w:ascii="Times New Roman" w:hAnsi="Times New Roman"/>
          <w:sz w:val="24"/>
          <w:szCs w:val="24"/>
        </w:rPr>
        <w:t xml:space="preserve">The </w:t>
      </w:r>
      <w:r>
        <w:rPr>
          <w:rFonts w:ascii="Times New Roman" w:hAnsi="Times New Roman"/>
          <w:sz w:val="24"/>
          <w:szCs w:val="24"/>
        </w:rPr>
        <w:t xml:space="preserve">[trial] </w:t>
      </w:r>
      <w:r w:rsidRPr="00DE51FF">
        <w:rPr>
          <w:rFonts w:ascii="Times New Roman" w:hAnsi="Times New Roman"/>
          <w:sz w:val="24"/>
          <w:szCs w:val="24"/>
        </w:rPr>
        <w:t xml:space="preserve">court granted defendants' motion without oral argument, despite plaintiffs' request. In a nine-page written opinion, the court explained that the motion record failed to create a genuine issue of material </w:t>
      </w:r>
      <w:proofErr w:type="gramStart"/>
      <w:r w:rsidRPr="00DE51FF">
        <w:rPr>
          <w:rFonts w:ascii="Times New Roman" w:hAnsi="Times New Roman"/>
          <w:sz w:val="24"/>
          <w:szCs w:val="24"/>
        </w:rPr>
        <w:t>fact</w:t>
      </w:r>
      <w:proofErr w:type="gramEnd"/>
      <w:r w:rsidRPr="00DE51FF">
        <w:rPr>
          <w:rFonts w:ascii="Times New Roman" w:hAnsi="Times New Roman"/>
          <w:sz w:val="24"/>
          <w:szCs w:val="24"/>
        </w:rPr>
        <w:t xml:space="preserve"> as to whether plaintiffs engaged in CEPA protected conduct. The court reasoned that the </w:t>
      </w:r>
      <w:r>
        <w:rPr>
          <w:rFonts w:ascii="Times New Roman" w:hAnsi="Times New Roman"/>
          <w:sz w:val="24"/>
          <w:szCs w:val="24"/>
        </w:rPr>
        <w:t>‘</w:t>
      </w:r>
      <w:r w:rsidRPr="00DE51FF">
        <w:rPr>
          <w:rFonts w:ascii="Times New Roman" w:hAnsi="Times New Roman"/>
          <w:sz w:val="24"/>
          <w:szCs w:val="24"/>
        </w:rPr>
        <w:t xml:space="preserve">broad stroke </w:t>
      </w:r>
      <w:proofErr w:type="gramStart"/>
      <w:r w:rsidRPr="00DE51FF">
        <w:rPr>
          <w:rFonts w:ascii="Times New Roman" w:hAnsi="Times New Roman"/>
          <w:sz w:val="24"/>
          <w:szCs w:val="24"/>
        </w:rPr>
        <w:t>claims</w:t>
      </w:r>
      <w:r>
        <w:rPr>
          <w:rFonts w:ascii="Times New Roman" w:hAnsi="Times New Roman"/>
          <w:sz w:val="24"/>
          <w:szCs w:val="24"/>
        </w:rPr>
        <w:t>’</w:t>
      </w:r>
      <w:proofErr w:type="gramEnd"/>
      <w:r w:rsidRPr="00DE51FF">
        <w:rPr>
          <w:rFonts w:ascii="Times New Roman" w:hAnsi="Times New Roman"/>
          <w:sz w:val="24"/>
          <w:szCs w:val="24"/>
        </w:rPr>
        <w:t xml:space="preserve"> of illegal conduct amounted to mere </w:t>
      </w:r>
      <w:r>
        <w:rPr>
          <w:rFonts w:ascii="Times New Roman" w:hAnsi="Times New Roman"/>
          <w:sz w:val="24"/>
          <w:szCs w:val="24"/>
        </w:rPr>
        <w:t>‘</w:t>
      </w:r>
      <w:r w:rsidRPr="00DE51FF">
        <w:rPr>
          <w:rFonts w:ascii="Times New Roman" w:hAnsi="Times New Roman"/>
          <w:sz w:val="24"/>
          <w:szCs w:val="24"/>
        </w:rPr>
        <w:t>disagreements</w:t>
      </w:r>
      <w:r>
        <w:rPr>
          <w:rFonts w:ascii="Times New Roman" w:hAnsi="Times New Roman"/>
          <w:sz w:val="24"/>
          <w:szCs w:val="24"/>
        </w:rPr>
        <w:t>’</w:t>
      </w:r>
      <w:r w:rsidRPr="00DE51FF">
        <w:rPr>
          <w:rFonts w:ascii="Times New Roman" w:hAnsi="Times New Roman"/>
          <w:sz w:val="24"/>
          <w:szCs w:val="24"/>
        </w:rPr>
        <w:t xml:space="preserve"> between the police and the EMTs </w:t>
      </w:r>
      <w:r>
        <w:rPr>
          <w:rFonts w:ascii="Times New Roman" w:hAnsi="Times New Roman"/>
          <w:sz w:val="24"/>
          <w:szCs w:val="24"/>
        </w:rPr>
        <w:t>‘</w:t>
      </w:r>
      <w:r w:rsidRPr="00DE51FF">
        <w:rPr>
          <w:rFonts w:ascii="Times New Roman" w:hAnsi="Times New Roman"/>
          <w:sz w:val="24"/>
          <w:szCs w:val="24"/>
        </w:rPr>
        <w:t>about whether F.A. required medical assistance,</w:t>
      </w:r>
      <w:r>
        <w:rPr>
          <w:rFonts w:ascii="Times New Roman" w:hAnsi="Times New Roman"/>
          <w:sz w:val="24"/>
          <w:szCs w:val="24"/>
        </w:rPr>
        <w:t xml:space="preserve">’ </w:t>
      </w:r>
      <w:r w:rsidRPr="00DE51FF">
        <w:rPr>
          <w:rFonts w:ascii="Times New Roman" w:hAnsi="Times New Roman"/>
          <w:sz w:val="24"/>
          <w:szCs w:val="24"/>
        </w:rPr>
        <w:t>which "is not protected activity within the meaning of CEPA.</w:t>
      </w:r>
      <w:r>
        <w:rPr>
          <w:rFonts w:ascii="Times New Roman" w:hAnsi="Times New Roman"/>
          <w:sz w:val="24"/>
          <w:szCs w:val="24"/>
        </w:rPr>
        <w:t>’</w:t>
      </w:r>
    </w:p>
    <w:p w14:paraId="351D1BAB" w14:textId="77777777" w:rsidR="00E3473F" w:rsidRDefault="00E3473F" w:rsidP="00E3473F">
      <w:pPr>
        <w:spacing w:before="100" w:beforeAutospacing="1" w:after="100" w:afterAutospacing="1" w:line="240" w:lineRule="auto"/>
        <w:ind w:left="720"/>
      </w:pPr>
      <w:r>
        <w:rPr>
          <w:rFonts w:ascii="Times New Roman" w:hAnsi="Times New Roman"/>
          <w:sz w:val="24"/>
          <w:szCs w:val="24"/>
        </w:rPr>
        <w:t>***</w:t>
      </w:r>
    </w:p>
    <w:p w14:paraId="38BB4DFB" w14:textId="77777777" w:rsidR="00E3473F" w:rsidRDefault="00E3473F" w:rsidP="00E3473F">
      <w:pPr>
        <w:spacing w:before="100" w:beforeAutospacing="1" w:after="100" w:afterAutospacing="1" w:line="240" w:lineRule="auto"/>
        <w:ind w:left="720"/>
        <w:rPr>
          <w:rFonts w:ascii="Times New Roman" w:hAnsi="Times New Roman"/>
          <w:sz w:val="24"/>
          <w:szCs w:val="24"/>
        </w:rPr>
      </w:pPr>
      <w:proofErr w:type="gramStart"/>
      <w:r w:rsidRPr="00F867E4">
        <w:rPr>
          <w:rFonts w:ascii="Times New Roman" w:hAnsi="Times New Roman"/>
          <w:sz w:val="24"/>
          <w:szCs w:val="24"/>
        </w:rPr>
        <w:t>For the reasons that</w:t>
      </w:r>
      <w:proofErr w:type="gramEnd"/>
      <w:r w:rsidRPr="00F867E4">
        <w:rPr>
          <w:rFonts w:ascii="Times New Roman" w:hAnsi="Times New Roman"/>
          <w:sz w:val="24"/>
          <w:szCs w:val="24"/>
        </w:rPr>
        <w:t xml:space="preserve"> follow, we are satisfied that the motion record contains disputed issues of material fact sufficient to establish a prima facie case of retaliation under CEPA as it related to DeLeon. We reach a contrary conclusion as to Sepulveda. As to her claim, it was undisputed that she never reported the incident to her superiors. We also note she resigned voluntarily, based upon speculative future conduct by the Township's police department.</w:t>
      </w:r>
    </w:p>
    <w:p w14:paraId="04AB6E61" w14:textId="77777777" w:rsidR="00E3473F" w:rsidRDefault="00E3473F" w:rsidP="00E3473F">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699224B" w14:textId="3FB62AB2" w:rsidR="00E3473F" w:rsidRDefault="00E3473F" w:rsidP="00E3473F">
      <w:pPr>
        <w:rPr>
          <w:rFonts w:ascii="Arial Black" w:hAnsi="Arial Black"/>
          <w:b/>
          <w:bCs/>
          <w:sz w:val="28"/>
          <w:szCs w:val="28"/>
        </w:rPr>
      </w:pPr>
      <w:r w:rsidRPr="00DA11E3">
        <w:rPr>
          <w:rFonts w:ascii="Times New Roman" w:hAnsi="Times New Roman"/>
          <w:sz w:val="24"/>
          <w:szCs w:val="24"/>
        </w:rPr>
        <w:t xml:space="preserve">Both plaintiffs testified at their depositions that they had learned </w:t>
      </w:r>
      <w:proofErr w:type="gramStart"/>
      <w:r w:rsidRPr="00DA11E3">
        <w:rPr>
          <w:rFonts w:ascii="Times New Roman" w:hAnsi="Times New Roman"/>
          <w:sz w:val="24"/>
          <w:szCs w:val="24"/>
        </w:rPr>
        <w:t>in the course of</w:t>
      </w:r>
      <w:proofErr w:type="gramEnd"/>
      <w:r w:rsidRPr="00DA11E3">
        <w:rPr>
          <w:rFonts w:ascii="Times New Roman" w:hAnsi="Times New Roman"/>
          <w:sz w:val="24"/>
          <w:szCs w:val="24"/>
        </w:rPr>
        <w:t xml:space="preserve"> their formal training that transporting a patient against his or her will is illegal and tantamount to kidnapping and or assault under New Jersey law. When the North Bergen police forced plaintiffs to ferry F.A. to the hospital against his wishes, plaintiffs allege they had a reasonable belief that such actions violated the false imprisonment statute as well as New Jersey's public policy protecting a competent patient's right to refuse medical treatment.</w:t>
      </w:r>
      <w:r>
        <w:rPr>
          <w:rFonts w:ascii="Times New Roman" w:hAnsi="Times New Roman"/>
          <w:sz w:val="24"/>
          <w:szCs w:val="24"/>
        </w:rPr>
        <w:t xml:space="preserve">” </w:t>
      </w:r>
      <w:hyperlink r:id="rId2214" w:history="1">
        <w:r w:rsidRPr="002477AB">
          <w:rPr>
            <w:rStyle w:val="Hyperlink"/>
            <w:rFonts w:ascii="Times New Roman" w:hAnsi="Times New Roman"/>
            <w:sz w:val="24"/>
            <w:szCs w:val="24"/>
          </w:rPr>
          <w:t>https://public.fastcase.com/waZtJvSA54UAurM2rmIZzwN7i243%2F%2BStZpHYDBkc8sGpJscx%2FQQ27pdU9Jjrp4oC%2BDoaG82WuBlPphdis3f1N3UPtlVqun2jEuCWxYyqQWw%3D</w:t>
        </w:r>
      </w:hyperlink>
    </w:p>
    <w:p w14:paraId="2212FCCC" w14:textId="77777777" w:rsidR="00E3473F" w:rsidRDefault="00E3473F" w:rsidP="00E3473F">
      <w:pPr>
        <w:spacing w:before="100" w:beforeAutospacing="1" w:after="100" w:afterAutospacing="1" w:line="240" w:lineRule="auto"/>
        <w:rPr>
          <w:rFonts w:ascii="Times New Roman" w:hAnsi="Times New Roman"/>
          <w:b/>
          <w:bCs/>
          <w:sz w:val="24"/>
          <w:szCs w:val="24"/>
        </w:rPr>
      </w:pPr>
      <w:r w:rsidRPr="0049327E">
        <w:rPr>
          <w:rFonts w:ascii="Times New Roman" w:hAnsi="Times New Roman"/>
          <w:b/>
          <w:bCs/>
          <w:sz w:val="24"/>
          <w:szCs w:val="24"/>
        </w:rPr>
        <w:t>Legal Lesson Learned:</w:t>
      </w:r>
      <w:r>
        <w:rPr>
          <w:rFonts w:ascii="Times New Roman" w:hAnsi="Times New Roman"/>
          <w:b/>
          <w:bCs/>
          <w:sz w:val="24"/>
          <w:szCs w:val="24"/>
        </w:rPr>
        <w:t xml:space="preserve"> Unfortunate dispute at the scene between police and EMS; time for PD and EMS management to jointly review patient transport protocols. </w:t>
      </w:r>
    </w:p>
    <w:p w14:paraId="4D78D8DA" w14:textId="77777777" w:rsidR="00E3473F" w:rsidRDefault="00E3473F" w:rsidP="00E3473F">
      <w:pPr>
        <w:pStyle w:val="Heading1"/>
        <w:ind w:left="720"/>
      </w:pPr>
      <w:r>
        <w:rPr>
          <w:b w:val="0"/>
          <w:bCs w:val="0"/>
          <w:sz w:val="24"/>
          <w:szCs w:val="24"/>
        </w:rPr>
        <w:t xml:space="preserve">Note: See the article when lawsuit </w:t>
      </w:r>
      <w:proofErr w:type="gramStart"/>
      <w:r>
        <w:rPr>
          <w:b w:val="0"/>
          <w:bCs w:val="0"/>
          <w:sz w:val="24"/>
          <w:szCs w:val="24"/>
        </w:rPr>
        <w:t>was</w:t>
      </w:r>
      <w:proofErr w:type="gramEnd"/>
      <w:r>
        <w:rPr>
          <w:b w:val="0"/>
          <w:bCs w:val="0"/>
          <w:sz w:val="24"/>
          <w:szCs w:val="24"/>
        </w:rPr>
        <w:t xml:space="preserve"> filed. Aug. 22, 2018, “</w:t>
      </w:r>
      <w:r w:rsidRPr="00DE51FF">
        <w:rPr>
          <w:b w:val="0"/>
          <w:bCs w:val="0"/>
          <w:sz w:val="24"/>
          <w:szCs w:val="24"/>
        </w:rPr>
        <w:t>2 ex-North Bergen EMS workers file wrongful termination suit against township, deputy EMS chief</w:t>
      </w:r>
      <w:r>
        <w:rPr>
          <w:b w:val="0"/>
          <w:bCs w:val="0"/>
          <w:sz w:val="24"/>
          <w:szCs w:val="24"/>
        </w:rPr>
        <w:t>.”</w:t>
      </w:r>
      <w:r>
        <w:t xml:space="preserve"> </w:t>
      </w:r>
      <w:hyperlink r:id="rId2215" w:history="1">
        <w:r w:rsidRPr="00DE51FF">
          <w:rPr>
            <w:rStyle w:val="Hyperlink"/>
            <w:rFonts w:eastAsiaTheme="majorEastAsia"/>
            <w:b w:val="0"/>
            <w:bCs w:val="0"/>
            <w:sz w:val="24"/>
            <w:szCs w:val="24"/>
          </w:rPr>
          <w:t>https://hudsoncountyview.com/2-ex-north-bergen-ems-workers-file-wrongful-termination-suit-against-township-deputy-ems-chief/</w:t>
        </w:r>
      </w:hyperlink>
      <w:r>
        <w:t xml:space="preserve"> </w:t>
      </w:r>
    </w:p>
    <w:p w14:paraId="1C82742F" w14:textId="77777777" w:rsidR="00E3473F" w:rsidRDefault="00E3473F" w:rsidP="002B1283">
      <w:pPr>
        <w:rPr>
          <w:rFonts w:ascii="Arial Black" w:hAnsi="Arial Black"/>
          <w:b/>
          <w:bCs/>
          <w:sz w:val="28"/>
          <w:szCs w:val="28"/>
        </w:rPr>
      </w:pPr>
    </w:p>
    <w:p w14:paraId="0A70D44A" w14:textId="77777777" w:rsidR="00E3473F" w:rsidRDefault="00E3473F" w:rsidP="002B1283">
      <w:pPr>
        <w:rPr>
          <w:rFonts w:ascii="Arial Black" w:hAnsi="Arial Black"/>
          <w:b/>
          <w:bCs/>
          <w:sz w:val="28"/>
          <w:szCs w:val="28"/>
        </w:rPr>
      </w:pPr>
    </w:p>
    <w:p w14:paraId="253FF7D2" w14:textId="77777777" w:rsidR="00E3473F" w:rsidRDefault="00E3473F" w:rsidP="002B1283">
      <w:pPr>
        <w:rPr>
          <w:rFonts w:ascii="Arial Black" w:hAnsi="Arial Black"/>
          <w:b/>
          <w:bCs/>
          <w:sz w:val="28"/>
          <w:szCs w:val="28"/>
        </w:rPr>
      </w:pPr>
    </w:p>
    <w:p w14:paraId="79D9AD8F" w14:textId="258CCA77" w:rsidR="00D55139" w:rsidRPr="00D55139" w:rsidRDefault="00D55139" w:rsidP="002B1283">
      <w:pPr>
        <w:rPr>
          <w:rFonts w:ascii="Times New Roman" w:hAnsi="Times New Roman"/>
          <w:sz w:val="24"/>
          <w:szCs w:val="24"/>
        </w:rPr>
      </w:pPr>
      <w:r>
        <w:rPr>
          <w:rFonts w:ascii="Arial Black" w:hAnsi="Arial Black"/>
          <w:b/>
          <w:bCs/>
          <w:sz w:val="28"/>
          <w:szCs w:val="28"/>
        </w:rPr>
        <w:t xml:space="preserve">13-105 </w:t>
      </w:r>
      <w:r>
        <w:rPr>
          <w:rFonts w:ascii="Times New Roman" w:hAnsi="Times New Roman"/>
          <w:sz w:val="24"/>
          <w:szCs w:val="24"/>
        </w:rPr>
        <w:t>[also filed Chap. 16]</w:t>
      </w:r>
    </w:p>
    <w:p w14:paraId="692CAE83" w14:textId="77777777" w:rsidR="00D55139" w:rsidRPr="006C2163" w:rsidRDefault="00D55139" w:rsidP="00D55139">
      <w:pPr>
        <w:spacing w:before="100" w:beforeAutospacing="1" w:after="100" w:afterAutospacing="1" w:line="240" w:lineRule="auto"/>
        <w:rPr>
          <w:rFonts w:ascii="Arial Black" w:eastAsia="Times New Roman" w:hAnsi="Arial Black"/>
          <w:b/>
          <w:bCs/>
          <w:sz w:val="28"/>
          <w:szCs w:val="28"/>
        </w:rPr>
      </w:pPr>
      <w:bookmarkStart w:id="444" w:name="_Hlk94625731"/>
      <w:r>
        <w:rPr>
          <w:rFonts w:ascii="Arial Black" w:eastAsia="Times New Roman" w:hAnsi="Arial Black"/>
          <w:b/>
          <w:bCs/>
          <w:sz w:val="28"/>
          <w:szCs w:val="28"/>
        </w:rPr>
        <w:t xml:space="preserve">DE: PARAMEDIC LICENSE SUSPENDED – PLED GUILTY - </w:t>
      </w:r>
      <w:r w:rsidRPr="006C2163">
        <w:rPr>
          <w:rFonts w:ascii="Arial Black" w:eastAsia="Times New Roman" w:hAnsi="Arial Black"/>
          <w:sz w:val="28"/>
          <w:szCs w:val="28"/>
        </w:rPr>
        <w:t>T</w:t>
      </w:r>
      <w:r>
        <w:rPr>
          <w:rFonts w:ascii="Arial Black" w:eastAsia="Times New Roman" w:hAnsi="Arial Black"/>
          <w:sz w:val="28"/>
          <w:szCs w:val="28"/>
        </w:rPr>
        <w:t xml:space="preserve">RESPASS INTENT PEER (PEERING ON SEPERATED WIFE) </w:t>
      </w:r>
    </w:p>
    <w:p w14:paraId="722FC91A" w14:textId="77777777" w:rsidR="00D55139" w:rsidRDefault="00D55139" w:rsidP="00D55139">
      <w:pPr>
        <w:spacing w:before="100" w:beforeAutospacing="1" w:after="100" w:afterAutospacing="1" w:line="240" w:lineRule="auto"/>
        <w:rPr>
          <w:rFonts w:ascii="Times New Roman" w:eastAsia="Times New Roman" w:hAnsi="Times New Roman"/>
          <w:sz w:val="24"/>
          <w:szCs w:val="24"/>
        </w:rPr>
      </w:pPr>
      <w:r w:rsidRPr="00280A60">
        <w:rPr>
          <w:rFonts w:ascii="Times New Roman" w:eastAsia="Times New Roman" w:hAnsi="Times New Roman"/>
          <w:sz w:val="24"/>
          <w:szCs w:val="24"/>
        </w:rPr>
        <w:t xml:space="preserve">On </w:t>
      </w:r>
      <w:r>
        <w:rPr>
          <w:rFonts w:ascii="Times New Roman" w:eastAsia="Times New Roman" w:hAnsi="Times New Roman"/>
          <w:sz w:val="24"/>
          <w:szCs w:val="24"/>
        </w:rPr>
        <w:t xml:space="preserve">Jan. 26, 2022, in </w:t>
      </w:r>
      <w:r w:rsidRPr="00280A60">
        <w:rPr>
          <w:rFonts w:ascii="Times New Roman" w:eastAsia="Times New Roman" w:hAnsi="Times New Roman"/>
          <w:sz w:val="24"/>
          <w:szCs w:val="24"/>
          <w:u w:val="single"/>
        </w:rPr>
        <w:t xml:space="preserve">Kevin Imhoff v. Delaware Board of Medical Licensure </w:t>
      </w:r>
      <w:r>
        <w:rPr>
          <w:rFonts w:ascii="Times New Roman" w:eastAsia="Times New Roman" w:hAnsi="Times New Roman"/>
          <w:sz w:val="24"/>
          <w:szCs w:val="24"/>
          <w:u w:val="single"/>
        </w:rPr>
        <w:t>a</w:t>
      </w:r>
      <w:r w:rsidRPr="00280A60">
        <w:rPr>
          <w:rFonts w:ascii="Times New Roman" w:eastAsia="Times New Roman" w:hAnsi="Times New Roman"/>
          <w:sz w:val="24"/>
          <w:szCs w:val="24"/>
          <w:u w:val="single"/>
        </w:rPr>
        <w:t>nd Discipline</w:t>
      </w:r>
      <w:r>
        <w:rPr>
          <w:rFonts w:ascii="Times New Roman" w:eastAsia="Times New Roman" w:hAnsi="Times New Roman"/>
          <w:sz w:val="24"/>
          <w:szCs w:val="24"/>
        </w:rPr>
        <w:t xml:space="preserve">, Judge Noel Primos of the he Superior Court of Delaware upheld the suspension of the paramedic’s license but remanded to case for Board to possibly reduce the 2-year suspension for failure to timely report his plea of guilty. In September 2019 he pled guilty to Criminal Mischief, Violation of Privacy, and Trespass with Intent to Peer or Peep, but didn’t report this within 30 days to the Board (apparently on bad advice of his criminal defense attorney).  In May 2020, when renewing his license, he reported the convictions. </w:t>
      </w:r>
      <w:hyperlink r:id="rId2216" w:history="1">
        <w:r w:rsidRPr="00A83547">
          <w:rPr>
            <w:rStyle w:val="Hyperlink"/>
            <w:rFonts w:ascii="Times New Roman" w:hAnsi="Times New Roman"/>
            <w:sz w:val="24"/>
            <w:szCs w:val="24"/>
          </w:rPr>
          <w:t>https://casetext.com/case/imhof-v-del-bd-of-med-licensure-discipline</w:t>
        </w:r>
      </w:hyperlink>
    </w:p>
    <w:p w14:paraId="757BE01D" w14:textId="77777777" w:rsidR="00D55139" w:rsidRPr="007B6144" w:rsidRDefault="00D55139" w:rsidP="00D55139">
      <w:pPr>
        <w:spacing w:before="100" w:beforeAutospacing="1" w:after="100" w:afterAutospacing="1" w:line="240" w:lineRule="auto"/>
        <w:jc w:val="both"/>
        <w:rPr>
          <w:rStyle w:val="markedcontent"/>
          <w:rFonts w:ascii="Times New Roman" w:hAnsi="Times New Roman"/>
          <w:b/>
          <w:bCs/>
          <w:sz w:val="24"/>
          <w:szCs w:val="24"/>
        </w:rPr>
      </w:pPr>
      <w:bookmarkStart w:id="445" w:name="_Hlk94625748"/>
      <w:bookmarkEnd w:id="444"/>
      <w:r w:rsidRPr="007B6144">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Criminal misconduct can lead to suspension of EMS license.</w:t>
      </w:r>
    </w:p>
    <w:bookmarkEnd w:id="445"/>
    <w:p w14:paraId="063380C6" w14:textId="77777777" w:rsidR="00D55139" w:rsidRDefault="00D55139" w:rsidP="002B1283">
      <w:pPr>
        <w:rPr>
          <w:rFonts w:ascii="Arial Black" w:hAnsi="Arial Black"/>
          <w:b/>
          <w:bCs/>
          <w:sz w:val="28"/>
          <w:szCs w:val="28"/>
        </w:rPr>
      </w:pPr>
    </w:p>
    <w:p w14:paraId="33FC9217" w14:textId="2EE444E3" w:rsidR="009A3D9F" w:rsidRDefault="009A3D9F" w:rsidP="002B1283">
      <w:pPr>
        <w:rPr>
          <w:rFonts w:ascii="Arial Black" w:hAnsi="Arial Black"/>
          <w:b/>
          <w:bCs/>
          <w:sz w:val="28"/>
          <w:szCs w:val="28"/>
        </w:rPr>
      </w:pPr>
      <w:r>
        <w:rPr>
          <w:rFonts w:ascii="Arial Black" w:hAnsi="Arial Black"/>
          <w:b/>
          <w:bCs/>
          <w:sz w:val="28"/>
          <w:szCs w:val="28"/>
        </w:rPr>
        <w:t>13-104</w:t>
      </w:r>
    </w:p>
    <w:p w14:paraId="347378CC" w14:textId="77777777" w:rsidR="00BD3FE4" w:rsidRPr="006122C5" w:rsidRDefault="00BD3FE4" w:rsidP="00BD3FE4">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AMBULANCE AIR HORN MISTAKENLY BLASTED – CIVILIAN HEARING LOSS - EMPLOYER MAY BE SUED</w:t>
      </w:r>
    </w:p>
    <w:p w14:paraId="4CEE036C" w14:textId="77777777" w:rsidR="00BD3FE4" w:rsidRDefault="00BD3FE4" w:rsidP="00BD3FE4">
      <w:pPr>
        <w:spacing w:before="100" w:beforeAutospacing="1" w:after="100" w:afterAutospacing="1" w:line="240" w:lineRule="auto"/>
        <w:rPr>
          <w:rFonts w:ascii="Times New Roman" w:eastAsia="Times New Roman" w:hAnsi="Times New Roman"/>
          <w:sz w:val="24"/>
          <w:szCs w:val="24"/>
        </w:rPr>
      </w:pPr>
      <w:r w:rsidRPr="00B12365">
        <w:rPr>
          <w:rFonts w:ascii="Times New Roman" w:eastAsia="Times New Roman" w:hAnsi="Times New Roman"/>
          <w:sz w:val="24"/>
          <w:szCs w:val="24"/>
        </w:rPr>
        <w:t xml:space="preserve">On </w:t>
      </w:r>
      <w:r>
        <w:rPr>
          <w:rFonts w:ascii="Times New Roman" w:eastAsia="Times New Roman" w:hAnsi="Times New Roman"/>
          <w:sz w:val="24"/>
          <w:szCs w:val="24"/>
        </w:rPr>
        <w:t xml:space="preserve">Jan. 19, 2022, in </w:t>
      </w:r>
      <w:r w:rsidRPr="00B12365">
        <w:rPr>
          <w:rFonts w:ascii="Times New Roman" w:eastAsia="Times New Roman" w:hAnsi="Times New Roman"/>
          <w:sz w:val="24"/>
          <w:szCs w:val="24"/>
          <w:u w:val="single"/>
        </w:rPr>
        <w:t>Stephanie M. King v. Emergency Medical Transport, Inc</w:t>
      </w:r>
      <w:r>
        <w:rPr>
          <w:rFonts w:ascii="Times New Roman" w:eastAsia="Times New Roman" w:hAnsi="Times New Roman"/>
          <w:sz w:val="24"/>
          <w:szCs w:val="24"/>
        </w:rPr>
        <w:t xml:space="preserve">., the Court of Appeals of Ohio, Fifth District (Stark County) held (3 to 0) that the trial court should not have dismissed the ambulance company (EMT Inc.) from this lawsuit. </w:t>
      </w:r>
      <w:r w:rsidRPr="00691012">
        <w:rPr>
          <w:rFonts w:ascii="Times New Roman" w:hAnsi="Times New Roman"/>
          <w:sz w:val="24"/>
          <w:szCs w:val="24"/>
        </w:rPr>
        <w:t>The trial court found the alleged incident did not occur within the scope of employment; therefore, EMT was not vicariously liable for the conduct of its employees</w:t>
      </w:r>
      <w:r>
        <w:rPr>
          <w:rFonts w:ascii="Times New Roman" w:hAnsi="Times New Roman"/>
          <w:sz w:val="24"/>
          <w:szCs w:val="24"/>
        </w:rPr>
        <w:t xml:space="preserve">.  The Court of Appeals disagreed, </w:t>
      </w:r>
      <w:r>
        <w:rPr>
          <w:rFonts w:ascii="Times New Roman" w:eastAsia="Times New Roman" w:hAnsi="Times New Roman"/>
          <w:sz w:val="24"/>
          <w:szCs w:val="24"/>
        </w:rPr>
        <w:t xml:space="preserve">finding that the paramedics worked 24-hour shift and were therefore on duty for the employer when the air horn was mistakenly activated. </w:t>
      </w:r>
      <w:hyperlink r:id="rId2217" w:history="1">
        <w:r w:rsidRPr="00A07B51">
          <w:rPr>
            <w:rStyle w:val="Hyperlink"/>
          </w:rPr>
          <w:t>https://cms7files1.revize.com/starkcountyoh/S21-57.pdf</w:t>
        </w:r>
      </w:hyperlink>
    </w:p>
    <w:p w14:paraId="49C159AE" w14:textId="77777777" w:rsidR="00BD3FE4" w:rsidRDefault="00BD3FE4" w:rsidP="00BD3FE4">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Employers may be liable for injuries caused by EMS personnel, including during their </w:t>
      </w:r>
      <w:proofErr w:type="gramStart"/>
      <w:r>
        <w:rPr>
          <w:rFonts w:ascii="Times New Roman" w:eastAsia="Times New Roman" w:hAnsi="Times New Roman"/>
          <w:b/>
          <w:bCs/>
          <w:sz w:val="24"/>
          <w:szCs w:val="24"/>
        </w:rPr>
        <w:t>on duty</w:t>
      </w:r>
      <w:proofErr w:type="gramEnd"/>
      <w:r>
        <w:rPr>
          <w:rFonts w:ascii="Times New Roman" w:eastAsia="Times New Roman" w:hAnsi="Times New Roman"/>
          <w:b/>
          <w:bCs/>
          <w:sz w:val="24"/>
          <w:szCs w:val="24"/>
        </w:rPr>
        <w:t xml:space="preserve"> lunch time. </w:t>
      </w:r>
    </w:p>
    <w:p w14:paraId="5915779F" w14:textId="77777777" w:rsidR="009A3D9F" w:rsidRDefault="009A3D9F" w:rsidP="002B1283">
      <w:pPr>
        <w:rPr>
          <w:rFonts w:ascii="Arial Black" w:hAnsi="Arial Black"/>
          <w:b/>
          <w:bCs/>
          <w:sz w:val="28"/>
          <w:szCs w:val="28"/>
        </w:rPr>
      </w:pPr>
    </w:p>
    <w:p w14:paraId="0DEE410D" w14:textId="72808258" w:rsidR="009A3D9F" w:rsidRDefault="009A3D9F" w:rsidP="002B1283">
      <w:pPr>
        <w:rPr>
          <w:rFonts w:ascii="Arial Black" w:hAnsi="Arial Black"/>
          <w:b/>
          <w:bCs/>
          <w:sz w:val="28"/>
          <w:szCs w:val="28"/>
        </w:rPr>
      </w:pPr>
      <w:r>
        <w:rPr>
          <w:rFonts w:ascii="Arial Black" w:hAnsi="Arial Black"/>
          <w:b/>
          <w:bCs/>
          <w:sz w:val="28"/>
          <w:szCs w:val="28"/>
        </w:rPr>
        <w:t>13-103</w:t>
      </w:r>
    </w:p>
    <w:p w14:paraId="1C4923B7" w14:textId="77777777" w:rsidR="009A3D9F" w:rsidRPr="000007E3" w:rsidRDefault="009A3D9F" w:rsidP="009A3D9F">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RI: PARAMEDIC FIRED – POOR SKILLS – UNION REFUSED PAY ATTY - NO BREACH DUTY OF FAIR REPRESENTATION</w:t>
      </w:r>
    </w:p>
    <w:p w14:paraId="47156ED1" w14:textId="3CEBEA83" w:rsidR="009A3D9F" w:rsidRDefault="009A3D9F" w:rsidP="009A3D9F">
      <w:pPr>
        <w:rPr>
          <w:rFonts w:ascii="Arial Black" w:hAnsi="Arial Black"/>
          <w:b/>
          <w:bCs/>
          <w:sz w:val="28"/>
          <w:szCs w:val="28"/>
        </w:rPr>
      </w:pPr>
      <w:r>
        <w:rPr>
          <w:rFonts w:ascii="Times New Roman" w:eastAsia="Times New Roman" w:hAnsi="Times New Roman"/>
          <w:sz w:val="24"/>
          <w:szCs w:val="24"/>
        </w:rPr>
        <w:t xml:space="preserve">On Jan. 14, 2022, in </w:t>
      </w:r>
      <w:r w:rsidRPr="009C3E71">
        <w:rPr>
          <w:rFonts w:ascii="Times New Roman" w:eastAsia="Times New Roman" w:hAnsi="Times New Roman"/>
          <w:sz w:val="24"/>
          <w:szCs w:val="24"/>
          <w:u w:val="single"/>
        </w:rPr>
        <w:t xml:space="preserve">Augustine Eddy v. Pascoag Fire District, </w:t>
      </w:r>
      <w:r w:rsidRPr="009C3E71">
        <w:rPr>
          <w:rFonts w:ascii="Times New Roman" w:hAnsi="Times New Roman"/>
          <w:sz w:val="24"/>
          <w:szCs w:val="24"/>
          <w:u w:val="single"/>
        </w:rPr>
        <w:t>Pascoag Fire and Rescue Association, and International Association of Firefighters, Local 4908</w:t>
      </w:r>
      <w:r>
        <w:rPr>
          <w:rFonts w:ascii="Times New Roman" w:hAnsi="Times New Roman"/>
          <w:sz w:val="24"/>
          <w:szCs w:val="24"/>
        </w:rPr>
        <w:t xml:space="preserve">, the Supreme Court of Rhode Island held (4 to 0) that the trial court properly dismissed the lawsuit against the Fire District and the union, since he never pursued arbitration. </w:t>
      </w:r>
      <w:r w:rsidRPr="00C11C1D">
        <w:rPr>
          <w:rFonts w:ascii="Times New Roman" w:hAnsi="Times New Roman"/>
          <w:sz w:val="24"/>
          <w:szCs w:val="24"/>
        </w:rPr>
        <w:t>The paramedic in Jan. 2016 was presented with a plan for remedial training to address complaints from his partner regarding his job performance</w:t>
      </w:r>
      <w:r>
        <w:rPr>
          <w:rFonts w:ascii="Times New Roman" w:hAnsi="Times New Roman"/>
          <w:sz w:val="24"/>
          <w:szCs w:val="24"/>
        </w:rPr>
        <w:t xml:space="preserve">, but on a transport March 27, </w:t>
      </w:r>
      <w:proofErr w:type="gramStart"/>
      <w:r>
        <w:rPr>
          <w:rFonts w:ascii="Times New Roman" w:hAnsi="Times New Roman"/>
          <w:sz w:val="24"/>
          <w:szCs w:val="24"/>
        </w:rPr>
        <w:t>2016</w:t>
      </w:r>
      <w:proofErr w:type="gramEnd"/>
      <w:r>
        <w:rPr>
          <w:rFonts w:ascii="Times New Roman" w:hAnsi="Times New Roman"/>
          <w:sz w:val="24"/>
          <w:szCs w:val="24"/>
        </w:rPr>
        <w:t xml:space="preserve"> he failed to start an IV.  He admitted in writing to Chief, “</w:t>
      </w:r>
      <w:r w:rsidRPr="00C11C1D">
        <w:rPr>
          <w:rFonts w:ascii="Times New Roman" w:hAnsi="Times New Roman"/>
          <w:sz w:val="24"/>
          <w:szCs w:val="24"/>
        </w:rPr>
        <w:t>I know, I know, my skills are not what they should be, I should of [</w:t>
      </w:r>
      <w:r w:rsidRPr="00C11C1D">
        <w:rPr>
          <w:rStyle w:val="Emphasis"/>
          <w:rFonts w:ascii="Times New Roman" w:hAnsi="Times New Roman"/>
          <w:sz w:val="24"/>
          <w:szCs w:val="24"/>
        </w:rPr>
        <w:t>sic</w:t>
      </w:r>
      <w:r w:rsidRPr="00C11C1D">
        <w:rPr>
          <w:rFonts w:ascii="Times New Roman" w:hAnsi="Times New Roman"/>
          <w:sz w:val="24"/>
          <w:szCs w:val="24"/>
        </w:rPr>
        <w:t>] started an IV</w:t>
      </w:r>
      <w:r>
        <w:rPr>
          <w:rFonts w:ascii="Times New Roman" w:hAnsi="Times New Roman"/>
          <w:sz w:val="24"/>
          <w:szCs w:val="24"/>
        </w:rPr>
        <w:t>.” The union did not breach its duty. “</w:t>
      </w:r>
      <w:r w:rsidRPr="00A11E8B">
        <w:rPr>
          <w:rFonts w:ascii="Times New Roman" w:hAnsi="Times New Roman"/>
          <w:sz w:val="24"/>
          <w:szCs w:val="24"/>
        </w:rPr>
        <w:t>Specifically, under the union's constitution and by-laws, plaintiff had the ability to appeal the union's decision not to pay for arbitration to the union's general president, but he failed to do so</w:t>
      </w:r>
      <w:r>
        <w:rPr>
          <w:rFonts w:ascii="Times New Roman" w:hAnsi="Times New Roman"/>
          <w:sz w:val="24"/>
          <w:szCs w:val="24"/>
        </w:rPr>
        <w:t xml:space="preserve">.” Lawsuit against Fire District </w:t>
      </w:r>
      <w:proofErr w:type="gramStart"/>
      <w:r>
        <w:rPr>
          <w:rFonts w:ascii="Times New Roman" w:hAnsi="Times New Roman"/>
          <w:sz w:val="24"/>
          <w:szCs w:val="24"/>
        </w:rPr>
        <w:t>properly</w:t>
      </w:r>
      <w:proofErr w:type="gramEnd"/>
      <w:r>
        <w:rPr>
          <w:rFonts w:ascii="Times New Roman" w:hAnsi="Times New Roman"/>
          <w:sz w:val="24"/>
          <w:szCs w:val="24"/>
        </w:rPr>
        <w:t xml:space="preserve"> dismissed since he didn’t pursue arbitration. </w:t>
      </w:r>
      <w:hyperlink r:id="rId2218" w:history="1">
        <w:r w:rsidRPr="00A83547">
          <w:rPr>
            <w:rStyle w:val="Hyperlink"/>
            <w:sz w:val="24"/>
            <w:szCs w:val="24"/>
          </w:rPr>
          <w:t>https://www.courts.ri.gov/Courts/SupremeCourt/SupremeOpinions/19-373.pdf?fbclid=IwAR381gBQH8M88N6_xqsP3bwAIxYvF38ngnKZywLKveA_XCbfEKJg9F5lDvI</w:t>
        </w:r>
      </w:hyperlink>
    </w:p>
    <w:p w14:paraId="15561868" w14:textId="77777777" w:rsidR="009A3D9F" w:rsidRDefault="009A3D9F" w:rsidP="009A3D9F">
      <w:pPr>
        <w:pStyle w:val="NormalWeb"/>
        <w:rPr>
          <w:b/>
          <w:bCs/>
        </w:rPr>
      </w:pPr>
      <w:r w:rsidRPr="00BD018A">
        <w:rPr>
          <w:b/>
          <w:bCs/>
        </w:rPr>
        <w:t>Legal Lesson Learned:</w:t>
      </w:r>
      <w:r>
        <w:rPr>
          <w:b/>
          <w:bCs/>
        </w:rPr>
        <w:t xml:space="preserve">  Under the CBA, the paramedic failed to exhaust his administrative remedy by pursuing arbitration.</w:t>
      </w:r>
    </w:p>
    <w:p w14:paraId="7426AA05" w14:textId="77777777" w:rsidR="009A3D9F" w:rsidRDefault="009A3D9F" w:rsidP="002B1283">
      <w:pPr>
        <w:rPr>
          <w:rFonts w:ascii="Arial Black" w:hAnsi="Arial Black"/>
          <w:b/>
          <w:bCs/>
          <w:sz w:val="28"/>
          <w:szCs w:val="28"/>
        </w:rPr>
      </w:pPr>
    </w:p>
    <w:p w14:paraId="7C15BA2E" w14:textId="476E6E0B" w:rsidR="00FF5FCF" w:rsidRDefault="00FF5FCF" w:rsidP="002B1283">
      <w:pPr>
        <w:rPr>
          <w:rFonts w:ascii="Arial Black" w:hAnsi="Arial Black"/>
          <w:b/>
          <w:bCs/>
          <w:sz w:val="28"/>
          <w:szCs w:val="28"/>
        </w:rPr>
      </w:pPr>
      <w:r>
        <w:rPr>
          <w:rFonts w:ascii="Arial Black" w:hAnsi="Arial Black"/>
          <w:b/>
          <w:bCs/>
          <w:sz w:val="28"/>
          <w:szCs w:val="28"/>
        </w:rPr>
        <w:t>13–102</w:t>
      </w:r>
    </w:p>
    <w:p w14:paraId="14BD5327" w14:textId="77777777" w:rsidR="00FF5FCF" w:rsidRPr="00FD1635" w:rsidRDefault="00FF5FCF" w:rsidP="00FF5FCF">
      <w:pPr>
        <w:spacing w:before="100" w:beforeAutospacing="1" w:after="100" w:afterAutospacing="1" w:line="240" w:lineRule="auto"/>
        <w:rPr>
          <w:rFonts w:ascii="Arial Black" w:hAnsi="Arial Black"/>
          <w:sz w:val="28"/>
          <w:szCs w:val="28"/>
        </w:rPr>
      </w:pPr>
      <w:r>
        <w:rPr>
          <w:rFonts w:ascii="Arial Black" w:hAnsi="Arial Black"/>
          <w:sz w:val="28"/>
          <w:szCs w:val="28"/>
        </w:rPr>
        <w:t>LA: CHILD STRUCK BY CAR – NO PULSE, PASSED LOCAL HOSPITAL TO TRAUMA CENTER – MUST SHOW PROTOCOLS</w:t>
      </w:r>
    </w:p>
    <w:p w14:paraId="3E2BBC03" w14:textId="77777777" w:rsidR="00FF5FCF" w:rsidRDefault="00FF5FCF" w:rsidP="00FF5FCF">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30, 2021, in </w:t>
      </w:r>
      <w:proofErr w:type="spellStart"/>
      <w:r w:rsidRPr="00484477">
        <w:rPr>
          <w:rFonts w:ascii="Times New Roman" w:hAnsi="Times New Roman"/>
          <w:sz w:val="24"/>
          <w:szCs w:val="24"/>
          <w:u w:val="single"/>
        </w:rPr>
        <w:t>Gauis</w:t>
      </w:r>
      <w:proofErr w:type="spellEnd"/>
      <w:r w:rsidRPr="00484477">
        <w:rPr>
          <w:rFonts w:ascii="Times New Roman" w:hAnsi="Times New Roman"/>
          <w:sz w:val="24"/>
          <w:szCs w:val="24"/>
          <w:u w:val="single"/>
        </w:rPr>
        <w:t xml:space="preserve"> Horton, individually and on behalf of Mary Horton v. St. Tammany Fire Protection District # 4</w:t>
      </w:r>
      <w:r>
        <w:rPr>
          <w:rFonts w:ascii="Times New Roman" w:hAnsi="Times New Roman"/>
          <w:sz w:val="24"/>
          <w:szCs w:val="24"/>
        </w:rPr>
        <w:t xml:space="preserve">, the Court of Appeals of Louisiana, First Circuit, held (3 to 0) that trial court should not have dismissed this lawsuit alleging gross negligence for </w:t>
      </w:r>
      <w:r>
        <w:rPr>
          <w:rFonts w:ascii="Times New Roman" w:eastAsia="Times New Roman" w:hAnsi="Times New Roman"/>
          <w:sz w:val="24"/>
          <w:szCs w:val="24"/>
        </w:rPr>
        <w:t>f</w:t>
      </w:r>
      <w:r w:rsidRPr="00C40368">
        <w:rPr>
          <w:rFonts w:ascii="Times New Roman" w:eastAsia="Times New Roman" w:hAnsi="Times New Roman"/>
          <w:sz w:val="24"/>
          <w:szCs w:val="24"/>
        </w:rPr>
        <w:t xml:space="preserve">ailing to timely depart the scene of the accident </w:t>
      </w:r>
      <w:r>
        <w:rPr>
          <w:rFonts w:ascii="Times New Roman" w:eastAsia="Times New Roman" w:hAnsi="Times New Roman"/>
          <w:sz w:val="24"/>
          <w:szCs w:val="24"/>
        </w:rPr>
        <w:t xml:space="preserve">(20 minutes on scene) </w:t>
      </w:r>
      <w:r w:rsidRPr="00C40368">
        <w:rPr>
          <w:rFonts w:ascii="Times New Roman" w:eastAsia="Times New Roman" w:hAnsi="Times New Roman"/>
          <w:sz w:val="24"/>
          <w:szCs w:val="24"/>
        </w:rPr>
        <w:t xml:space="preserve">and failing to take </w:t>
      </w:r>
      <w:r>
        <w:rPr>
          <w:rFonts w:ascii="Times New Roman" w:eastAsia="Times New Roman" w:hAnsi="Times New Roman"/>
          <w:sz w:val="24"/>
          <w:szCs w:val="24"/>
        </w:rPr>
        <w:t>patient</w:t>
      </w:r>
      <w:r w:rsidRPr="00C40368">
        <w:rPr>
          <w:rFonts w:ascii="Times New Roman" w:eastAsia="Times New Roman" w:hAnsi="Times New Roman"/>
          <w:sz w:val="24"/>
          <w:szCs w:val="24"/>
        </w:rPr>
        <w:t xml:space="preserve"> to the nearest hospital</w:t>
      </w:r>
      <w:r>
        <w:rPr>
          <w:rFonts w:ascii="Times New Roman" w:eastAsia="Times New Roman" w:hAnsi="Times New Roman"/>
          <w:sz w:val="24"/>
          <w:szCs w:val="24"/>
        </w:rPr>
        <w:t xml:space="preserve"> (directed to Level II Trauma Center)</w:t>
      </w:r>
      <w:r w:rsidRPr="00C40368">
        <w:rPr>
          <w:rFonts w:ascii="Times New Roman" w:eastAsia="Times New Roman" w:hAnsi="Times New Roman"/>
          <w:sz w:val="24"/>
          <w:szCs w:val="24"/>
        </w:rPr>
        <w:t xml:space="preserve">. </w:t>
      </w:r>
      <w:r>
        <w:rPr>
          <w:rFonts w:ascii="Times New Roman" w:eastAsia="Times New Roman" w:hAnsi="Times New Roman"/>
          <w:sz w:val="24"/>
          <w:szCs w:val="24"/>
        </w:rPr>
        <w:t xml:space="preserve"> Court of Appeals remands case since </w:t>
      </w:r>
      <w:r>
        <w:rPr>
          <w:rFonts w:ascii="Times New Roman" w:hAnsi="Times New Roman"/>
          <w:sz w:val="24"/>
          <w:szCs w:val="24"/>
        </w:rPr>
        <w:t xml:space="preserve">the Fire District in its motion for summary judgment on basis of governmental immunity failed to attach current certificates of the paramedics and failed to attach the protocols for transporting patients to a trauma center.  </w:t>
      </w:r>
    </w:p>
    <w:p w14:paraId="523977BB" w14:textId="2ED88573" w:rsidR="00FF5FCF" w:rsidRDefault="00FF5FCF" w:rsidP="00FF5FCF">
      <w:pPr>
        <w:ind w:left="720"/>
        <w:rPr>
          <w:rFonts w:ascii="Arial Black" w:hAnsi="Arial Black"/>
          <w:b/>
          <w:bCs/>
          <w:sz w:val="28"/>
          <w:szCs w:val="28"/>
        </w:rPr>
      </w:pPr>
      <w:r>
        <w:rPr>
          <w:rFonts w:ascii="Times New Roman" w:hAnsi="Times New Roman"/>
          <w:sz w:val="24"/>
          <w:szCs w:val="24"/>
        </w:rPr>
        <w:t>“</w:t>
      </w:r>
      <w:r w:rsidRPr="00A03153">
        <w:rPr>
          <w:rFonts w:ascii="Times New Roman" w:hAnsi="Times New Roman"/>
          <w:sz w:val="24"/>
          <w:szCs w:val="24"/>
        </w:rPr>
        <w:t xml:space="preserve">Because we have found that the </w:t>
      </w:r>
      <w:r>
        <w:rPr>
          <w:rFonts w:ascii="Times New Roman" w:hAnsi="Times New Roman"/>
          <w:sz w:val="24"/>
          <w:szCs w:val="24"/>
        </w:rPr>
        <w:t xml:space="preserve">[Fire Protection] </w:t>
      </w:r>
      <w:r w:rsidRPr="00A03153">
        <w:rPr>
          <w:rFonts w:ascii="Times New Roman" w:hAnsi="Times New Roman"/>
          <w:sz w:val="24"/>
          <w:szCs w:val="24"/>
        </w:rPr>
        <w:t>District failed to establish that Lunn and Becerril were duly licensed or certified or that they acted in accordance with protocols adopted and promulgated by LERN [Louisiana Emergency Response Network]</w:t>
      </w:r>
      <w:r>
        <w:t xml:space="preserve"> </w:t>
      </w:r>
      <w:r w:rsidRPr="00A03153">
        <w:rPr>
          <w:rFonts w:ascii="Times New Roman" w:hAnsi="Times New Roman"/>
          <w:sz w:val="24"/>
          <w:szCs w:val="24"/>
        </w:rPr>
        <w:t>for the transport of trauma and time-sensitive ill patients, we likewise find that the District has failed to meet its burden in establishing that it is entitled to immunity pursuant to La. R.S. 9:2798.5.</w:t>
      </w:r>
      <w:r>
        <w:rPr>
          <w:rFonts w:ascii="Times New Roman" w:hAnsi="Times New Roman"/>
          <w:sz w:val="24"/>
          <w:szCs w:val="24"/>
        </w:rPr>
        <w:t xml:space="preserve">” </w:t>
      </w:r>
      <w:hyperlink r:id="rId2219" w:history="1">
        <w:r w:rsidRPr="00EC5853">
          <w:rPr>
            <w:rStyle w:val="Hyperlink"/>
            <w:rFonts w:ascii="Times New Roman" w:hAnsi="Times New Roman"/>
            <w:sz w:val="24"/>
            <w:szCs w:val="24"/>
          </w:rPr>
          <w:t>https://www.courtlistener.com/opinion/5313531/gauis-horton-individually-and-on-behalf-of-mary-horton-v-st-tammany-fire/</w:t>
        </w:r>
      </w:hyperlink>
    </w:p>
    <w:p w14:paraId="24185DAB" w14:textId="77777777" w:rsidR="00FF5FCF" w:rsidRPr="00EF39AB" w:rsidRDefault="00FF5FCF" w:rsidP="00FF5FCF">
      <w:pPr>
        <w:tabs>
          <w:tab w:val="left" w:pos="2760"/>
        </w:tabs>
        <w:spacing w:before="100" w:beforeAutospacing="1" w:after="100" w:afterAutospacing="1" w:line="240" w:lineRule="auto"/>
        <w:rPr>
          <w:rFonts w:ascii="Times New Roman" w:hAnsi="Times New Roman"/>
          <w:b/>
          <w:bCs/>
          <w:sz w:val="24"/>
          <w:szCs w:val="24"/>
        </w:rPr>
      </w:pPr>
      <w:r w:rsidRPr="00EF39AB">
        <w:rPr>
          <w:rFonts w:ascii="Times New Roman" w:hAnsi="Times New Roman"/>
          <w:b/>
          <w:bCs/>
          <w:sz w:val="24"/>
          <w:szCs w:val="24"/>
        </w:rPr>
        <w:t xml:space="preserve">Legal Lesson Learned: Follow your trauma protocols and submit copies of the protocols and EMS current licenses when filing motion for summary judgment.  </w:t>
      </w:r>
    </w:p>
    <w:p w14:paraId="21B9EB4F" w14:textId="77777777" w:rsidR="00FF5FCF" w:rsidRDefault="00FF5FCF" w:rsidP="002B1283">
      <w:pPr>
        <w:rPr>
          <w:rFonts w:ascii="Arial Black" w:hAnsi="Arial Black"/>
          <w:b/>
          <w:bCs/>
          <w:sz w:val="28"/>
          <w:szCs w:val="28"/>
        </w:rPr>
      </w:pPr>
    </w:p>
    <w:p w14:paraId="76FAAE70" w14:textId="689470D8" w:rsidR="00001D9A" w:rsidRDefault="00001D9A" w:rsidP="002B1283">
      <w:pPr>
        <w:rPr>
          <w:rFonts w:ascii="Arial Black" w:hAnsi="Arial Black"/>
          <w:b/>
          <w:bCs/>
          <w:sz w:val="28"/>
          <w:szCs w:val="28"/>
        </w:rPr>
      </w:pPr>
      <w:r>
        <w:rPr>
          <w:rFonts w:ascii="Arial Black" w:hAnsi="Arial Black"/>
          <w:b/>
          <w:bCs/>
          <w:sz w:val="28"/>
          <w:szCs w:val="28"/>
        </w:rPr>
        <w:t>13-101</w:t>
      </w:r>
    </w:p>
    <w:p w14:paraId="69E664CA" w14:textId="77777777" w:rsidR="00001D9A" w:rsidRPr="00C914C9" w:rsidRDefault="00001D9A" w:rsidP="00001D9A">
      <w:pPr>
        <w:spacing w:before="100" w:beforeAutospacing="1" w:after="100" w:afterAutospacing="1" w:line="240" w:lineRule="auto"/>
        <w:rPr>
          <w:rFonts w:ascii="Times New Roman" w:eastAsia="Times New Roman" w:hAnsi="Times New Roman"/>
          <w:sz w:val="24"/>
          <w:szCs w:val="24"/>
        </w:rPr>
      </w:pPr>
      <w:r>
        <w:rPr>
          <w:rFonts w:ascii="Arial Black" w:eastAsia="Times New Roman" w:hAnsi="Arial Black"/>
          <w:sz w:val="28"/>
          <w:szCs w:val="28"/>
        </w:rPr>
        <w:t>IL: COVID - FF INJUNCTION DENIED – VACCINATION OR WEEKLY NEG TEST - “NATURAL IMMUNITY” NOT ENOUGH</w:t>
      </w:r>
    </w:p>
    <w:p w14:paraId="46B58C8C" w14:textId="77777777" w:rsidR="00001D9A" w:rsidRDefault="00001D9A" w:rsidP="00001D9A">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Dec. 19, 2021, in </w:t>
      </w:r>
      <w:r w:rsidRPr="0000416A">
        <w:rPr>
          <w:rFonts w:ascii="Times New Roman" w:eastAsia="Times New Roman" w:hAnsi="Times New Roman"/>
          <w:sz w:val="24"/>
          <w:szCs w:val="24"/>
          <w:u w:val="single"/>
        </w:rPr>
        <w:t>John Halgren, et al. v. City of Naperville, et al</w:t>
      </w:r>
      <w:r>
        <w:rPr>
          <w:rFonts w:ascii="Times New Roman" w:eastAsia="Times New Roman" w:hAnsi="Times New Roman"/>
          <w:sz w:val="24"/>
          <w:szCs w:val="24"/>
        </w:rPr>
        <w:t xml:space="preserve">., U.S. District Court Judge </w:t>
      </w:r>
      <w:r w:rsidRPr="0073027C">
        <w:rPr>
          <w:rFonts w:ascii="Times New Roman" w:hAnsi="Times New Roman"/>
          <w:sz w:val="24"/>
          <w:szCs w:val="24"/>
        </w:rPr>
        <w:t>John Robert Blakey</w:t>
      </w:r>
      <w:r>
        <w:rPr>
          <w:rFonts w:ascii="Times New Roman" w:hAnsi="Times New Roman"/>
          <w:sz w:val="24"/>
          <w:szCs w:val="24"/>
        </w:rPr>
        <w:t xml:space="preserve"> denied the six Naperville Fire Department firefighters’ motion for preliminary injunction to bar enforcement of the State and City mandate, including those firefighters claiming “natural immunity” from a prior infection and recovery. </w:t>
      </w:r>
    </w:p>
    <w:p w14:paraId="6540E32D" w14:textId="3DDDB7AB" w:rsidR="00001D9A" w:rsidRDefault="00001D9A" w:rsidP="00001D9A">
      <w:pPr>
        <w:ind w:left="720"/>
        <w:rPr>
          <w:rFonts w:ascii="Arial Black" w:hAnsi="Arial Black"/>
          <w:b/>
          <w:bCs/>
          <w:sz w:val="28"/>
          <w:szCs w:val="28"/>
        </w:rPr>
      </w:pPr>
      <w:r w:rsidRPr="00E43604">
        <w:rPr>
          <w:rFonts w:ascii="Times New Roman" w:hAnsi="Times New Roman"/>
          <w:sz w:val="24"/>
          <w:szCs w:val="24"/>
        </w:rPr>
        <w:t xml:space="preserve">“Given the preliminary factual record, however, Plaintiffs have failed to show that the statements made by the Governor constitute sufficient evidence of animus and thus, absent more facts, traditional rational basis review governs their equal protection challenge. Cf. </w:t>
      </w:r>
      <w:proofErr w:type="spellStart"/>
      <w:r w:rsidRPr="00E43604">
        <w:rPr>
          <w:rFonts w:ascii="Times New Roman" w:hAnsi="Times New Roman"/>
          <w:sz w:val="24"/>
          <w:szCs w:val="24"/>
        </w:rPr>
        <w:t>Dr.A</w:t>
      </w:r>
      <w:proofErr w:type="spellEnd"/>
      <w:r w:rsidRPr="00E43604">
        <w:rPr>
          <w:rFonts w:ascii="Times New Roman" w:hAnsi="Times New Roman"/>
          <w:sz w:val="24"/>
          <w:szCs w:val="24"/>
        </w:rPr>
        <w:t xml:space="preserve"> v. Hochul, No. 21A145, --- </w:t>
      </w:r>
      <w:proofErr w:type="spellStart"/>
      <w:r w:rsidRPr="00E43604">
        <w:rPr>
          <w:rFonts w:ascii="Times New Roman" w:hAnsi="Times New Roman"/>
          <w:sz w:val="24"/>
          <w:szCs w:val="24"/>
        </w:rPr>
        <w:t>S.Ct</w:t>
      </w:r>
      <w:proofErr w:type="spellEnd"/>
      <w:r w:rsidRPr="00E43604">
        <w:rPr>
          <w:rFonts w:ascii="Times New Roman" w:hAnsi="Times New Roman"/>
          <w:sz w:val="24"/>
          <w:szCs w:val="24"/>
        </w:rPr>
        <w:t xml:space="preserve">. ----, 2021 WL 5873126, at *3 (U.S. Dec. 13, 2021) (Gorsuch, J. and Alito, J., dissenting) (discussing overt proof of a vaccine mandate's ‘animus’ as to those seeking religious exemptions under the first amendment)…. Under the rational basis test and factual record presented, Plaintiffs have also failed to show that the mandate's differential treatment of the vaccinated and unvaccinated violates equal protection. As explained during this Court's substantive due process analysis, a ‘conceivable’ rational basis supports the mandate's vaccine and testing provisions, as to persons with or without natural immunity.” </w:t>
      </w:r>
      <w:hyperlink r:id="rId2220" w:history="1">
        <w:r w:rsidRPr="00EC5853">
          <w:rPr>
            <w:rStyle w:val="Hyperlink"/>
            <w:rFonts w:ascii="Times New Roman" w:hAnsi="Times New Roman"/>
            <w:sz w:val="24"/>
            <w:szCs w:val="24"/>
          </w:rPr>
          <w:t>https://law.justia.com/cases/federal/district-courts/illinois/ilndce/1:2021cv05039/407354/52/</w:t>
        </w:r>
      </w:hyperlink>
    </w:p>
    <w:p w14:paraId="34FA0B1A" w14:textId="77777777" w:rsidR="00FF5FCF" w:rsidRPr="00E43604" w:rsidRDefault="00FF5FCF" w:rsidP="00FF5FCF">
      <w:pPr>
        <w:rPr>
          <w:rFonts w:ascii="Times New Roman" w:hAnsi="Times New Roman"/>
          <w:b/>
          <w:bCs/>
          <w:sz w:val="24"/>
          <w:szCs w:val="24"/>
        </w:rPr>
      </w:pPr>
      <w:r w:rsidRPr="00E43604">
        <w:rPr>
          <w:rFonts w:ascii="Times New Roman" w:hAnsi="Times New Roman"/>
          <w:b/>
          <w:bCs/>
          <w:sz w:val="24"/>
          <w:szCs w:val="24"/>
        </w:rPr>
        <w:t>Legal Lesson Learned:  Several Federal courts have denied injunction against vaccination requirement for Fire &amp; EMS and other health care workers.</w:t>
      </w:r>
    </w:p>
    <w:p w14:paraId="7788AA6D" w14:textId="77777777" w:rsidR="00FF5FCF" w:rsidRPr="00E43604" w:rsidRDefault="00FF5FCF" w:rsidP="00FF5FCF">
      <w:pPr>
        <w:ind w:left="720"/>
        <w:rPr>
          <w:rStyle w:val="markedcontent"/>
          <w:rFonts w:ascii="Times New Roman" w:hAnsi="Times New Roman"/>
          <w:sz w:val="24"/>
          <w:szCs w:val="24"/>
        </w:rPr>
      </w:pPr>
      <w:r w:rsidRPr="00E43604">
        <w:rPr>
          <w:rFonts w:ascii="Times New Roman" w:hAnsi="Times New Roman"/>
          <w:sz w:val="24"/>
          <w:szCs w:val="24"/>
        </w:rPr>
        <w:t xml:space="preserve">Note: </w:t>
      </w:r>
      <w:r w:rsidRPr="00E43604">
        <w:rPr>
          <w:rFonts w:ascii="Times New Roman" w:hAnsi="Times New Roman"/>
          <w:b/>
          <w:bCs/>
          <w:sz w:val="24"/>
          <w:szCs w:val="24"/>
        </w:rPr>
        <w:t xml:space="preserve">  </w:t>
      </w:r>
      <w:r w:rsidRPr="00E43604">
        <w:rPr>
          <w:rStyle w:val="markedcontent"/>
          <w:rFonts w:ascii="Times New Roman" w:hAnsi="Times New Roman"/>
          <w:sz w:val="24"/>
          <w:szCs w:val="24"/>
        </w:rPr>
        <w:t xml:space="preserve">On Jan. 7, 2021, the U.S. Supreme Court will hear oral arguments on the vaccination and mask requirements for both large employers, and for health care workers. </w:t>
      </w:r>
      <w:hyperlink r:id="rId2221" w:history="1">
        <w:r w:rsidRPr="004065C6">
          <w:rPr>
            <w:rStyle w:val="Hyperlink"/>
            <w:rFonts w:ascii="Times New Roman" w:hAnsi="Times New Roman"/>
            <w:sz w:val="24"/>
            <w:szCs w:val="24"/>
          </w:rPr>
          <w:t>https://www.nbcnews.com/news/us-news/u-s-supreme-court-hear-challenges-biden-s-vaccine-mandates-n1286536</w:t>
        </w:r>
      </w:hyperlink>
      <w:r>
        <w:rPr>
          <w:rStyle w:val="markedcontent"/>
          <w:rFonts w:ascii="Times New Roman" w:hAnsi="Times New Roman"/>
          <w:sz w:val="24"/>
          <w:szCs w:val="24"/>
        </w:rPr>
        <w:t xml:space="preserve"> </w:t>
      </w:r>
    </w:p>
    <w:p w14:paraId="50FF0A76" w14:textId="77777777" w:rsidR="00FF5FCF" w:rsidRPr="00E43604" w:rsidRDefault="00FF5FCF" w:rsidP="00FF5FCF">
      <w:pPr>
        <w:ind w:left="720"/>
        <w:rPr>
          <w:rStyle w:val="markedcontent"/>
          <w:rFonts w:ascii="Times New Roman" w:hAnsi="Times New Roman"/>
          <w:sz w:val="24"/>
          <w:szCs w:val="24"/>
        </w:rPr>
      </w:pPr>
      <w:r w:rsidRPr="00E43604">
        <w:rPr>
          <w:rStyle w:val="markedcontent"/>
          <w:rFonts w:ascii="Times New Roman" w:hAnsi="Times New Roman"/>
          <w:sz w:val="24"/>
          <w:szCs w:val="24"/>
        </w:rPr>
        <w:t xml:space="preserve">On Dec 30, 2021, U.S. District Court Judge in Indianapolis denied a preliminary injunction for a physician at Children’s Hospital. </w:t>
      </w:r>
    </w:p>
    <w:p w14:paraId="63413C3D" w14:textId="77777777" w:rsidR="00FF5FCF" w:rsidRPr="00E43604" w:rsidRDefault="00FF5FCF" w:rsidP="00FF5FCF">
      <w:pPr>
        <w:ind w:left="1440"/>
        <w:rPr>
          <w:rFonts w:ascii="Times New Roman" w:hAnsi="Times New Roman"/>
          <w:sz w:val="24"/>
          <w:szCs w:val="24"/>
        </w:rPr>
      </w:pPr>
      <w:r w:rsidRPr="00E43604">
        <w:rPr>
          <w:rFonts w:ascii="Times New Roman" w:hAnsi="Times New Roman"/>
          <w:sz w:val="24"/>
          <w:szCs w:val="24"/>
        </w:rPr>
        <w:t xml:space="preserve">“Under the totality of the circumstances, Dr. </w:t>
      </w:r>
      <w:proofErr w:type="spellStart"/>
      <w:r w:rsidRPr="00E43604">
        <w:rPr>
          <w:rFonts w:ascii="Times New Roman" w:hAnsi="Times New Roman"/>
          <w:sz w:val="24"/>
          <w:szCs w:val="24"/>
        </w:rPr>
        <w:t>Halczenko</w:t>
      </w:r>
      <w:proofErr w:type="spellEnd"/>
      <w:r w:rsidRPr="00E43604">
        <w:rPr>
          <w:rFonts w:ascii="Times New Roman" w:hAnsi="Times New Roman"/>
          <w:sz w:val="24"/>
          <w:szCs w:val="24"/>
        </w:rPr>
        <w:t xml:space="preserve"> has failed to make a ‘substantial showing’ of irreparable injury and insufficiency of remedies that would justify the extraordinary relief he seeks pending the outcome of this litigation-that is, reversing Ascension's decision to deny his exemption request and reinstating him to his position in the Pediatric Intensive Care Unit.” </w:t>
      </w:r>
      <w:hyperlink r:id="rId2222" w:history="1">
        <w:r w:rsidRPr="00EC5853">
          <w:rPr>
            <w:rStyle w:val="Hyperlink"/>
            <w:rFonts w:ascii="Times New Roman" w:hAnsi="Times New Roman"/>
            <w:sz w:val="24"/>
            <w:szCs w:val="24"/>
          </w:rPr>
          <w:t>https://public.fastcase.com/9SKwsfNqTc6OieYDhNMyMwDUrDTC81ScbwpTIsrYww9AFfazNo%2F2HwY6ziqtDhg0Y4a0WNWhiQuswT892BHbSQq1RuZX52VcSFrolfmFpsM%3D</w:t>
        </w:r>
      </w:hyperlink>
      <w:r>
        <w:rPr>
          <w:rFonts w:ascii="Times New Roman" w:hAnsi="Times New Roman"/>
          <w:sz w:val="24"/>
          <w:szCs w:val="24"/>
        </w:rPr>
        <w:t xml:space="preserve"> </w:t>
      </w:r>
    </w:p>
    <w:p w14:paraId="58B0D52A" w14:textId="77777777" w:rsidR="00FF5FCF" w:rsidRPr="00E43604" w:rsidRDefault="00FF5FCF" w:rsidP="00FF5FCF">
      <w:pPr>
        <w:ind w:left="720"/>
        <w:rPr>
          <w:rFonts w:ascii="Times New Roman" w:hAnsi="Times New Roman"/>
          <w:sz w:val="24"/>
          <w:szCs w:val="24"/>
        </w:rPr>
      </w:pPr>
      <w:r w:rsidRPr="00E43604">
        <w:rPr>
          <w:rFonts w:ascii="Times New Roman" w:hAnsi="Times New Roman"/>
          <w:sz w:val="24"/>
          <w:szCs w:val="24"/>
        </w:rPr>
        <w:t>On Dec. 17, 2021, the U.S. Court of Appeals for the 6</w:t>
      </w:r>
      <w:r w:rsidRPr="00E43604">
        <w:rPr>
          <w:rFonts w:ascii="Times New Roman" w:hAnsi="Times New Roman"/>
          <w:sz w:val="24"/>
          <w:szCs w:val="24"/>
          <w:vertAlign w:val="superscript"/>
        </w:rPr>
        <w:t>th</w:t>
      </w:r>
      <w:r w:rsidRPr="00E43604">
        <w:rPr>
          <w:rFonts w:ascii="Times New Roman" w:hAnsi="Times New Roman"/>
          <w:sz w:val="24"/>
          <w:szCs w:val="24"/>
        </w:rPr>
        <w:t xml:space="preserve"> Circuit (Cincinnati) upheld (3 to 0) the OSHA mandate for private employers with 100 or more employees. </w:t>
      </w:r>
    </w:p>
    <w:p w14:paraId="12EE8068" w14:textId="77777777" w:rsidR="00FF5FCF" w:rsidRPr="00E43604" w:rsidRDefault="00FF5FCF" w:rsidP="00FF5FCF">
      <w:pPr>
        <w:ind w:left="1440"/>
        <w:rPr>
          <w:rStyle w:val="markedcontent"/>
          <w:rFonts w:ascii="Times New Roman" w:hAnsi="Times New Roman"/>
          <w:sz w:val="24"/>
          <w:szCs w:val="24"/>
        </w:rPr>
      </w:pPr>
      <w:r w:rsidRPr="00E43604">
        <w:rPr>
          <w:rFonts w:ascii="Times New Roman" w:hAnsi="Times New Roman"/>
          <w:sz w:val="24"/>
          <w:szCs w:val="24"/>
        </w:rPr>
        <w:t>“</w:t>
      </w:r>
      <w:r w:rsidRPr="00E43604">
        <w:rPr>
          <w:rStyle w:val="markedcontent"/>
          <w:rFonts w:ascii="Times New Roman" w:hAnsi="Times New Roman"/>
          <w:sz w:val="24"/>
          <w:szCs w:val="24"/>
        </w:rPr>
        <w:t xml:space="preserve">Employers have the option to require unvaccinated workers to wear a mask on the job and test for COVID-19 weekly. *** Consistent with other OSHA standard penalties, employers who fail to follow the standard may be fined penalties up to $13,653 for each violation and up to $136,532 for each willful violation.” </w:t>
      </w:r>
      <w:hyperlink r:id="rId2223" w:history="1">
        <w:r w:rsidRPr="00EC5853">
          <w:rPr>
            <w:rStyle w:val="Hyperlink"/>
            <w:rFonts w:ascii="Times New Roman" w:hAnsi="Times New Roman"/>
            <w:sz w:val="24"/>
            <w:szCs w:val="24"/>
          </w:rPr>
          <w:t>https://www.opn.ca6.uscourts.gov/opinions.pdf/21a0287p-06.pdf</w:t>
        </w:r>
      </w:hyperlink>
      <w:r>
        <w:rPr>
          <w:rStyle w:val="markedcontent"/>
          <w:rFonts w:ascii="Times New Roman" w:hAnsi="Times New Roman"/>
          <w:sz w:val="24"/>
          <w:szCs w:val="24"/>
        </w:rPr>
        <w:t xml:space="preserve"> </w:t>
      </w:r>
    </w:p>
    <w:p w14:paraId="62C0C895" w14:textId="77777777" w:rsidR="00FF5FCF" w:rsidRPr="00E43604" w:rsidRDefault="00FF5FCF" w:rsidP="00FF5FCF">
      <w:pPr>
        <w:ind w:left="720"/>
        <w:rPr>
          <w:rStyle w:val="markedcontent"/>
          <w:rFonts w:ascii="Times New Roman" w:hAnsi="Times New Roman"/>
          <w:sz w:val="24"/>
          <w:szCs w:val="24"/>
        </w:rPr>
      </w:pPr>
      <w:r w:rsidRPr="00E43604">
        <w:rPr>
          <w:rStyle w:val="markedcontent"/>
          <w:rFonts w:ascii="Times New Roman" w:hAnsi="Times New Roman"/>
          <w:sz w:val="24"/>
          <w:szCs w:val="24"/>
        </w:rPr>
        <w:t xml:space="preserve">On Dec. 13, 2021, the U.S. Supreme Court majority denied an injunction for New York health care workers.  Justice Gorsuch and Justice Alito dissented about lack of an exemption based on sincere religious beliefs. </w:t>
      </w:r>
      <w:hyperlink r:id="rId2224" w:history="1">
        <w:r w:rsidRPr="00EC5853">
          <w:rPr>
            <w:rStyle w:val="Hyperlink"/>
            <w:rFonts w:ascii="Times New Roman" w:hAnsi="Times New Roman"/>
            <w:sz w:val="24"/>
            <w:szCs w:val="24"/>
          </w:rPr>
          <w:t>https://www.supremecourt.gov/opinions/21pdf/21a145_gfbi.pdf</w:t>
        </w:r>
      </w:hyperlink>
      <w:r>
        <w:rPr>
          <w:rStyle w:val="markedcontent"/>
          <w:rFonts w:ascii="Times New Roman" w:hAnsi="Times New Roman"/>
          <w:sz w:val="24"/>
          <w:szCs w:val="24"/>
        </w:rPr>
        <w:t xml:space="preserve"> </w:t>
      </w:r>
    </w:p>
    <w:p w14:paraId="18DBDBD1" w14:textId="77777777" w:rsidR="00FF5FCF" w:rsidRPr="00E43604" w:rsidRDefault="00FF5FCF" w:rsidP="00FF5FCF">
      <w:pPr>
        <w:ind w:left="1440"/>
        <w:rPr>
          <w:rStyle w:val="markedcontent"/>
          <w:rFonts w:ascii="Times New Roman" w:hAnsi="Times New Roman"/>
          <w:sz w:val="24"/>
          <w:szCs w:val="24"/>
        </w:rPr>
      </w:pPr>
      <w:r w:rsidRPr="00E43604">
        <w:rPr>
          <w:rStyle w:val="markedcontent"/>
          <w:rFonts w:ascii="Times New Roman" w:hAnsi="Times New Roman"/>
          <w:sz w:val="24"/>
          <w:szCs w:val="24"/>
        </w:rPr>
        <w:t>“New York recently issued a regulation requiring healthcare workers to receive a COVID–19 vaccine. Those who cite medical reasons are exempt. But no comparable exemption exists for individuals whose sincere religious beliefs prevent them from taking one of the currently available vaccines. It seems New York is one of just three States to have a scheme like this.”</w:t>
      </w:r>
    </w:p>
    <w:p w14:paraId="54AA55BA" w14:textId="0A02F18E" w:rsidR="00001D9A" w:rsidRDefault="00001D9A" w:rsidP="002B1283">
      <w:pPr>
        <w:rPr>
          <w:rFonts w:ascii="Arial Black" w:hAnsi="Arial Black"/>
          <w:b/>
          <w:bCs/>
          <w:sz w:val="28"/>
          <w:szCs w:val="28"/>
        </w:rPr>
      </w:pPr>
      <w:r>
        <w:rPr>
          <w:rFonts w:ascii="Arial Black" w:hAnsi="Arial Black"/>
          <w:b/>
          <w:bCs/>
          <w:sz w:val="28"/>
          <w:szCs w:val="28"/>
        </w:rPr>
        <w:t>13-100</w:t>
      </w:r>
    </w:p>
    <w:p w14:paraId="6D80E8B1" w14:textId="77777777" w:rsidR="00001D9A" w:rsidRDefault="00001D9A" w:rsidP="00001D9A">
      <w:pPr>
        <w:rPr>
          <w:rFonts w:ascii="Arial Black" w:hAnsi="Arial Black"/>
          <w:b/>
          <w:bCs/>
          <w:sz w:val="28"/>
          <w:szCs w:val="28"/>
        </w:rPr>
      </w:pPr>
      <w:r>
        <w:rPr>
          <w:rFonts w:ascii="Arial Black" w:hAnsi="Arial Black"/>
          <w:b/>
          <w:bCs/>
          <w:sz w:val="28"/>
          <w:szCs w:val="28"/>
        </w:rPr>
        <w:t xml:space="preserve">NM:  BLOOD DRAW – EMTs MAY DRAW IF EMPLOYED AT HOSPITAL &amp; TRAINED – NO REQ. BE “LAB TECHNICIAN” </w:t>
      </w:r>
    </w:p>
    <w:p w14:paraId="056BB3E8" w14:textId="77777777" w:rsidR="00001D9A" w:rsidRPr="002F595B" w:rsidRDefault="00001D9A" w:rsidP="00001D9A">
      <w:pPr>
        <w:rPr>
          <w:rFonts w:ascii="Times New Roman" w:hAnsi="Times New Roman"/>
          <w:sz w:val="24"/>
          <w:szCs w:val="24"/>
        </w:rPr>
      </w:pPr>
      <w:r w:rsidRPr="002F595B">
        <w:rPr>
          <w:rFonts w:ascii="Times New Roman" w:hAnsi="Times New Roman"/>
          <w:sz w:val="24"/>
          <w:szCs w:val="24"/>
        </w:rPr>
        <w:t xml:space="preserve">On Dec. 16, 2021, in </w:t>
      </w:r>
      <w:r w:rsidRPr="002F595B">
        <w:rPr>
          <w:rFonts w:ascii="Times New Roman" w:hAnsi="Times New Roman"/>
          <w:sz w:val="24"/>
          <w:szCs w:val="24"/>
          <w:u w:val="single"/>
        </w:rPr>
        <w:t>State of New Mexico v. Brian Adams</w:t>
      </w:r>
      <w:r w:rsidRPr="002F595B">
        <w:rPr>
          <w:rFonts w:ascii="Times New Roman" w:hAnsi="Times New Roman"/>
          <w:sz w:val="24"/>
          <w:szCs w:val="24"/>
        </w:rPr>
        <w:t xml:space="preserve">, the Supreme Court of New Mexico held (4 to 0) that EMTs may conduct blood draws, resolving 6 pending case appeals, but clarifying that the EMT “must be employed by a hospital or physician to perform blood draws, trained to perform legal blood draws, and have on-the-job experience in doing so.” </w:t>
      </w:r>
    </w:p>
    <w:p w14:paraId="0FE18A73" w14:textId="77777777" w:rsidR="00001D9A" w:rsidRPr="002F595B" w:rsidRDefault="00001D9A" w:rsidP="00001D9A">
      <w:pPr>
        <w:ind w:left="720"/>
        <w:rPr>
          <w:rFonts w:ascii="Times New Roman" w:hAnsi="Times New Roman"/>
          <w:sz w:val="24"/>
          <w:szCs w:val="24"/>
        </w:rPr>
      </w:pPr>
      <w:r w:rsidRPr="002F595B">
        <w:rPr>
          <w:rFonts w:ascii="Times New Roman" w:hAnsi="Times New Roman"/>
          <w:sz w:val="24"/>
          <w:szCs w:val="24"/>
        </w:rPr>
        <w:t xml:space="preserve"> “This case is one of six cases arising under very similar fact patterns. In each case, an ‘emergency department technician,’ also licensed as an emergency medical technician (EMT), performed a blood draw test at San Juan Regional Medical Center in Farmington for the purpose of a DWI investigation. The defendants in these cases argue that ‘emergency department </w:t>
      </w:r>
      <w:proofErr w:type="gramStart"/>
      <w:r w:rsidRPr="002F595B">
        <w:rPr>
          <w:rFonts w:ascii="Times New Roman" w:hAnsi="Times New Roman"/>
          <w:sz w:val="24"/>
          <w:szCs w:val="24"/>
        </w:rPr>
        <w:t>technicians’</w:t>
      </w:r>
      <w:proofErr w:type="gramEnd"/>
      <w:r w:rsidRPr="002F595B">
        <w:rPr>
          <w:rFonts w:ascii="Times New Roman" w:hAnsi="Times New Roman"/>
          <w:sz w:val="24"/>
          <w:szCs w:val="24"/>
        </w:rPr>
        <w:t xml:space="preserve"> are not qualified to draw blood under the Implied Consent Act, NMSA 1978, §§ </w:t>
      </w:r>
      <w:hyperlink r:id="rId2225" w:anchor="!b/66-8-105" w:tgtFrame="_parent" w:history="1">
        <w:r w:rsidRPr="002F595B">
          <w:rPr>
            <w:rFonts w:ascii="Times New Roman" w:hAnsi="Times New Roman"/>
            <w:sz w:val="24"/>
            <w:szCs w:val="24"/>
          </w:rPr>
          <w:t>66-8-105</w:t>
        </w:r>
      </w:hyperlink>
      <w:r w:rsidRPr="002F595B">
        <w:rPr>
          <w:rFonts w:ascii="Times New Roman" w:hAnsi="Times New Roman"/>
          <w:sz w:val="24"/>
          <w:szCs w:val="24"/>
        </w:rPr>
        <w:t xml:space="preserve"> to -112 (1978, as amended through 2019). Thus, this case presents an issue of statutory construction. Specifically, whether an emergency department technician, licensed as an EMT, with training and experience in drawing blood is authorized to perform legal blood draw tests as a ‘laboratory technician’ under NMSA 1978, Section </w:t>
      </w:r>
      <w:hyperlink r:id="rId2226" w:anchor="!b/66-8-103" w:tgtFrame="_parent" w:history="1">
        <w:r w:rsidRPr="002F595B">
          <w:rPr>
            <w:rFonts w:ascii="Times New Roman" w:hAnsi="Times New Roman"/>
            <w:sz w:val="24"/>
            <w:szCs w:val="24"/>
          </w:rPr>
          <w:t>66-8-103</w:t>
        </w:r>
      </w:hyperlink>
      <w:r w:rsidRPr="002F595B">
        <w:rPr>
          <w:rFonts w:ascii="Times New Roman" w:hAnsi="Times New Roman"/>
          <w:sz w:val="24"/>
          <w:szCs w:val="24"/>
        </w:rPr>
        <w:t xml:space="preserve"> (1978), which states, ‘[o]</w:t>
      </w:r>
      <w:proofErr w:type="spellStart"/>
      <w:r w:rsidRPr="002F595B">
        <w:rPr>
          <w:rFonts w:ascii="Times New Roman" w:hAnsi="Times New Roman"/>
          <w:sz w:val="24"/>
          <w:szCs w:val="24"/>
        </w:rPr>
        <w:t>nly</w:t>
      </w:r>
      <w:proofErr w:type="spellEnd"/>
      <w:r w:rsidRPr="002F595B">
        <w:rPr>
          <w:rFonts w:ascii="Times New Roman" w:hAnsi="Times New Roman"/>
          <w:sz w:val="24"/>
          <w:szCs w:val="24"/>
        </w:rPr>
        <w:t xml:space="preserve"> a physician, licensed professional or practical nurse or laboratory technician or technologist employed by a hospital or physician shall withdraw blood from any person in the performance of a blood-alcohol test.’ As explained herein, we conclude that such medical professionals are qualified to draw blood under the statute so long as they were employed to do so by a hospital or physician and have adequate training and experience.” </w:t>
      </w:r>
      <w:hyperlink r:id="rId2227" w:history="1">
        <w:r w:rsidRPr="00EC5853">
          <w:rPr>
            <w:rStyle w:val="Hyperlink"/>
            <w:rFonts w:ascii="Times New Roman" w:hAnsi="Times New Roman"/>
            <w:sz w:val="24"/>
            <w:szCs w:val="24"/>
          </w:rPr>
          <w:t>https://nmonesource.com/nmos/nmsc/en/item/517877/index.do</w:t>
        </w:r>
      </w:hyperlink>
      <w:r>
        <w:rPr>
          <w:rFonts w:ascii="Times New Roman" w:hAnsi="Times New Roman"/>
          <w:sz w:val="24"/>
          <w:szCs w:val="24"/>
        </w:rPr>
        <w:t xml:space="preserve"> </w:t>
      </w:r>
    </w:p>
    <w:p w14:paraId="644A9EAD" w14:textId="77777777" w:rsidR="00001D9A" w:rsidRPr="002F595B" w:rsidRDefault="00001D9A" w:rsidP="00001D9A">
      <w:pPr>
        <w:rPr>
          <w:rFonts w:ascii="Times New Roman" w:hAnsi="Times New Roman"/>
          <w:b/>
          <w:bCs/>
          <w:sz w:val="24"/>
          <w:szCs w:val="24"/>
        </w:rPr>
      </w:pPr>
      <w:r w:rsidRPr="002F595B">
        <w:rPr>
          <w:rFonts w:ascii="Times New Roman" w:hAnsi="Times New Roman"/>
          <w:b/>
          <w:bCs/>
          <w:sz w:val="24"/>
          <w:szCs w:val="24"/>
        </w:rPr>
        <w:t xml:space="preserve">Legal Lesson Learned: EMTs not employed at a hospital or medical office cannot draw blood for police. </w:t>
      </w:r>
    </w:p>
    <w:p w14:paraId="1DB63F92" w14:textId="77777777" w:rsidR="00001D9A" w:rsidRPr="002F595B" w:rsidRDefault="00001D9A" w:rsidP="00001D9A">
      <w:pPr>
        <w:ind w:left="720"/>
        <w:rPr>
          <w:rFonts w:ascii="Times New Roman" w:hAnsi="Times New Roman"/>
          <w:sz w:val="24"/>
          <w:szCs w:val="24"/>
        </w:rPr>
      </w:pPr>
      <w:r w:rsidRPr="002F595B">
        <w:rPr>
          <w:rFonts w:ascii="Times New Roman" w:hAnsi="Times New Roman"/>
          <w:sz w:val="24"/>
          <w:szCs w:val="24"/>
        </w:rPr>
        <w:t xml:space="preserve">Note: See New Mexico </w:t>
      </w:r>
      <w:bookmarkStart w:id="446" w:name="_ftn3"/>
      <w:bookmarkStart w:id="447" w:name="66-8-107"/>
      <w:bookmarkEnd w:id="446"/>
      <w:proofErr w:type="gramStart"/>
      <w:r w:rsidRPr="002F595B">
        <w:rPr>
          <w:rFonts w:ascii="Times New Roman" w:hAnsi="Times New Roman"/>
          <w:color w:val="000000"/>
          <w:sz w:val="24"/>
          <w:szCs w:val="24"/>
        </w:rPr>
        <w:t>The</w:t>
      </w:r>
      <w:proofErr w:type="gramEnd"/>
      <w:r w:rsidRPr="002F595B">
        <w:rPr>
          <w:rFonts w:ascii="Times New Roman" w:hAnsi="Times New Roman"/>
          <w:color w:val="000000"/>
          <w:sz w:val="24"/>
          <w:szCs w:val="24"/>
        </w:rPr>
        <w:t xml:space="preserve"> Implied Consent Act: </w:t>
      </w:r>
      <w:bookmarkEnd w:id="447"/>
      <w:r>
        <w:rPr>
          <w:rFonts w:ascii="Times New Roman" w:hAnsi="Times New Roman"/>
          <w:color w:val="000000"/>
          <w:sz w:val="24"/>
          <w:szCs w:val="24"/>
        </w:rPr>
        <w:fldChar w:fldCharType="begin"/>
      </w:r>
      <w:r>
        <w:rPr>
          <w:rFonts w:ascii="Times New Roman" w:hAnsi="Times New Roman"/>
          <w:color w:val="000000"/>
          <w:sz w:val="24"/>
          <w:szCs w:val="24"/>
        </w:rPr>
        <w:instrText xml:space="preserve"> HYPERLINK "</w:instrText>
      </w:r>
      <w:r w:rsidRPr="00B50E0F">
        <w:rPr>
          <w:rFonts w:ascii="Times New Roman" w:hAnsi="Times New Roman"/>
          <w:color w:val="000000"/>
          <w:sz w:val="24"/>
          <w:szCs w:val="24"/>
        </w:rPr>
        <w:instrText>https://law.justia.com/codes/new-mexico/2009/chapter-66/article-8/section-66-8-107/</w:instrText>
      </w:r>
      <w:r>
        <w:rPr>
          <w:rFonts w:ascii="Times New Roman" w:hAnsi="Times New Roman"/>
          <w:color w:val="000000"/>
          <w:sz w:val="24"/>
          <w:szCs w:val="24"/>
        </w:rPr>
        <w:instrText xml:space="preserve">" </w:instrText>
      </w:r>
      <w:r>
        <w:rPr>
          <w:rFonts w:ascii="Times New Roman" w:hAnsi="Times New Roman"/>
          <w:color w:val="000000"/>
          <w:sz w:val="24"/>
          <w:szCs w:val="24"/>
        </w:rPr>
      </w:r>
      <w:r>
        <w:rPr>
          <w:rFonts w:ascii="Times New Roman" w:hAnsi="Times New Roman"/>
          <w:color w:val="000000"/>
          <w:sz w:val="24"/>
          <w:szCs w:val="24"/>
        </w:rPr>
        <w:fldChar w:fldCharType="separate"/>
      </w:r>
      <w:r w:rsidRPr="004065C6">
        <w:rPr>
          <w:rStyle w:val="Hyperlink"/>
          <w:rFonts w:ascii="Times New Roman" w:hAnsi="Times New Roman"/>
          <w:sz w:val="24"/>
          <w:szCs w:val="24"/>
        </w:rPr>
        <w:t>https://law.justia.com/codes/new-mexico/2009/chapter-66/article-8/section-66-8-107/</w:t>
      </w:r>
      <w:r>
        <w:rPr>
          <w:rFonts w:ascii="Times New Roman" w:hAnsi="Times New Roman"/>
          <w:color w:val="000000"/>
          <w:sz w:val="24"/>
          <w:szCs w:val="24"/>
        </w:rPr>
        <w:fldChar w:fldCharType="end"/>
      </w:r>
      <w:r>
        <w:rPr>
          <w:rFonts w:ascii="Times New Roman" w:hAnsi="Times New Roman"/>
          <w:color w:val="000000"/>
          <w:sz w:val="24"/>
          <w:szCs w:val="24"/>
        </w:rPr>
        <w:t xml:space="preserve"> </w:t>
      </w:r>
    </w:p>
    <w:p w14:paraId="73B18D04" w14:textId="77777777" w:rsidR="00001D9A" w:rsidRPr="002F595B" w:rsidRDefault="00001D9A" w:rsidP="00001D9A">
      <w:pPr>
        <w:spacing w:after="0" w:line="240" w:lineRule="auto"/>
        <w:ind w:left="1080" w:right="1080"/>
        <w:rPr>
          <w:rFonts w:ascii="Times New Roman" w:eastAsia="Times New Roman" w:hAnsi="Times New Roman"/>
          <w:sz w:val="24"/>
          <w:szCs w:val="24"/>
        </w:rPr>
      </w:pPr>
      <w:r w:rsidRPr="002F595B">
        <w:rPr>
          <w:rFonts w:ascii="Times New Roman" w:eastAsia="Times New Roman" w:hAnsi="Times New Roman"/>
          <w:sz w:val="24"/>
          <w:szCs w:val="24"/>
        </w:rPr>
        <w:t>“A</w:t>
      </w:r>
      <w:r w:rsidRPr="002F595B">
        <w:rPr>
          <w:rFonts w:ascii="Times New Roman" w:eastAsia="Times New Roman" w:hAnsi="Times New Roman"/>
          <w:color w:val="000000"/>
          <w:sz w:val="24"/>
          <w:szCs w:val="24"/>
        </w:rPr>
        <w:t>ny person who operates a motor vehicle within this state shall be deemed to have given consent, subject to the provisions of the Implied Consent Act . . . to chemical tests of his breath or blood or both . . . as determined by a law enforcement officer, or for the purpose of determining the drug or alcohol content of his blood if arrested for any offense arising out of the acts alleged to have been committed while the person was driving a motor vehicle while under the influence of an intoxicating liquor or drug.”</w:t>
      </w:r>
    </w:p>
    <w:p w14:paraId="7D7BCF81" w14:textId="77777777" w:rsidR="00001D9A" w:rsidRDefault="00001D9A" w:rsidP="00001D9A">
      <w:pPr>
        <w:ind w:left="720"/>
        <w:rPr>
          <w:rFonts w:ascii="Times New Roman" w:hAnsi="Times New Roman"/>
          <w:sz w:val="24"/>
          <w:szCs w:val="24"/>
        </w:rPr>
      </w:pPr>
    </w:p>
    <w:p w14:paraId="11D48E36" w14:textId="77777777" w:rsidR="00001D9A" w:rsidRPr="002F595B" w:rsidRDefault="00001D9A" w:rsidP="00001D9A">
      <w:pPr>
        <w:ind w:left="720"/>
        <w:rPr>
          <w:rFonts w:ascii="Times New Roman" w:hAnsi="Times New Roman"/>
          <w:sz w:val="24"/>
          <w:szCs w:val="24"/>
        </w:rPr>
      </w:pPr>
      <w:r w:rsidRPr="002F595B">
        <w:rPr>
          <w:rFonts w:ascii="Times New Roman" w:hAnsi="Times New Roman"/>
          <w:sz w:val="24"/>
          <w:szCs w:val="24"/>
        </w:rPr>
        <w:t>See Ohio statute, Section 4511.191:</w:t>
      </w:r>
      <w:r w:rsidRPr="009E51C8">
        <w:t xml:space="preserve"> </w:t>
      </w:r>
      <w:hyperlink r:id="rId2228" w:history="1">
        <w:r w:rsidRPr="00EC5853">
          <w:rPr>
            <w:rStyle w:val="Hyperlink"/>
            <w:rFonts w:ascii="Times New Roman" w:hAnsi="Times New Roman"/>
            <w:sz w:val="24"/>
            <w:szCs w:val="24"/>
          </w:rPr>
          <w:t>https://codes.ohio.gov/ohio-revised-code/section-4511.191</w:t>
        </w:r>
      </w:hyperlink>
      <w:r>
        <w:rPr>
          <w:rFonts w:ascii="Times New Roman" w:hAnsi="Times New Roman"/>
          <w:sz w:val="24"/>
          <w:szCs w:val="24"/>
        </w:rPr>
        <w:t xml:space="preserve"> </w:t>
      </w:r>
      <w:r w:rsidRPr="002F595B">
        <w:rPr>
          <w:rFonts w:ascii="Times New Roman" w:hAnsi="Times New Roman"/>
          <w:sz w:val="24"/>
          <w:szCs w:val="24"/>
        </w:rPr>
        <w:t xml:space="preserve">: </w:t>
      </w:r>
    </w:p>
    <w:p w14:paraId="22607B52" w14:textId="77777777" w:rsidR="00001D9A" w:rsidRPr="002F595B" w:rsidRDefault="00001D9A" w:rsidP="00001D9A">
      <w:pPr>
        <w:ind w:left="1080" w:hanging="90"/>
        <w:rPr>
          <w:rFonts w:ascii="Times New Roman" w:hAnsi="Times New Roman"/>
          <w:sz w:val="24"/>
          <w:szCs w:val="24"/>
        </w:rPr>
      </w:pPr>
      <w:r w:rsidRPr="002F595B">
        <w:rPr>
          <w:rFonts w:ascii="Times New Roman" w:hAnsi="Times New Roman"/>
          <w:sz w:val="24"/>
          <w:szCs w:val="24"/>
        </w:rPr>
        <w:t xml:space="preserve"> “(2) Any person who operates a vehicle, streetcar, or trackless trolley upon a highway or any public or private property used by the public for vehicular travel or parking within this state or who is in physical control of a vehicle, streetcar, or trackless trolley shall be deemed to have given consent to a chemical test or tests of the person's whole blood, blood serum or plasma, breath, or urine to determine the alcohol, drug of abuse, controlled substance, metabolite of a controlled substance, or combination content of the person's whole blood, blood serum or plasma, breath, or urine if arrested for a violation of division (A) or (B) of section </w:t>
      </w:r>
      <w:hyperlink r:id="rId2229" w:history="1">
        <w:r w:rsidRPr="002F595B">
          <w:rPr>
            <w:rFonts w:ascii="Times New Roman" w:hAnsi="Times New Roman"/>
            <w:sz w:val="24"/>
            <w:szCs w:val="24"/>
          </w:rPr>
          <w:t>4511.19</w:t>
        </w:r>
      </w:hyperlink>
      <w:r w:rsidRPr="002F595B">
        <w:rPr>
          <w:rFonts w:ascii="Times New Roman" w:hAnsi="Times New Roman"/>
          <w:sz w:val="24"/>
          <w:szCs w:val="24"/>
        </w:rPr>
        <w:t xml:space="preserve"> of the Revised Code, section </w:t>
      </w:r>
      <w:hyperlink r:id="rId2230" w:history="1">
        <w:r w:rsidRPr="002F595B">
          <w:rPr>
            <w:rFonts w:ascii="Times New Roman" w:hAnsi="Times New Roman"/>
            <w:sz w:val="24"/>
            <w:szCs w:val="24"/>
          </w:rPr>
          <w:t>4511.194</w:t>
        </w:r>
      </w:hyperlink>
      <w:r w:rsidRPr="002F595B">
        <w:rPr>
          <w:rFonts w:ascii="Times New Roman" w:hAnsi="Times New Roman"/>
          <w:sz w:val="24"/>
          <w:szCs w:val="24"/>
        </w:rPr>
        <w:t xml:space="preserve"> of the Revised Code or a substantially equivalent municipal ordinance, or a municipal OVI ordinance.”</w:t>
      </w:r>
    </w:p>
    <w:p w14:paraId="5F12C0F2" w14:textId="77777777" w:rsidR="00001D9A" w:rsidRDefault="00001D9A" w:rsidP="002B1283">
      <w:pPr>
        <w:rPr>
          <w:rFonts w:ascii="Arial Black" w:hAnsi="Arial Black"/>
          <w:b/>
          <w:bCs/>
          <w:sz w:val="28"/>
          <w:szCs w:val="28"/>
        </w:rPr>
      </w:pPr>
    </w:p>
    <w:p w14:paraId="2C652297" w14:textId="77777777" w:rsidR="00001D9A" w:rsidRDefault="00001D9A" w:rsidP="002B1283">
      <w:pPr>
        <w:rPr>
          <w:rFonts w:ascii="Arial Black" w:hAnsi="Arial Black"/>
          <w:b/>
          <w:bCs/>
          <w:sz w:val="28"/>
          <w:szCs w:val="28"/>
        </w:rPr>
      </w:pPr>
    </w:p>
    <w:p w14:paraId="1C75E29B" w14:textId="1A08C4AC" w:rsidR="00687C24" w:rsidRDefault="00687C24" w:rsidP="002B1283">
      <w:pPr>
        <w:rPr>
          <w:rFonts w:ascii="Arial Black" w:hAnsi="Arial Black"/>
          <w:b/>
          <w:bCs/>
          <w:sz w:val="28"/>
          <w:szCs w:val="28"/>
        </w:rPr>
      </w:pPr>
      <w:r>
        <w:rPr>
          <w:rFonts w:ascii="Arial Black" w:hAnsi="Arial Black"/>
          <w:b/>
          <w:bCs/>
          <w:sz w:val="28"/>
          <w:szCs w:val="28"/>
        </w:rPr>
        <w:t>13-99</w:t>
      </w:r>
    </w:p>
    <w:p w14:paraId="2BBA0A2B" w14:textId="77777777" w:rsidR="00506EE7" w:rsidRPr="00CE738F" w:rsidRDefault="00506EE7" w:rsidP="00506EE7">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VA: POLICE &amp; PARAMEDICS DENIED “GOOD FAITH IMMUNITY” – MENTAL – FORCE HEAD INTO PILLOW / DIED </w:t>
      </w:r>
    </w:p>
    <w:p w14:paraId="1B24CD9E" w14:textId="77777777" w:rsidR="00506EE7" w:rsidRDefault="00506EE7" w:rsidP="00506EE7">
      <w:pPr>
        <w:spacing w:before="100" w:beforeAutospacing="1" w:after="100" w:afterAutospacing="1" w:line="240" w:lineRule="auto"/>
        <w:rPr>
          <w:rFonts w:ascii="Times New Roman" w:hAnsi="Times New Roman"/>
          <w:sz w:val="24"/>
          <w:szCs w:val="24"/>
        </w:rPr>
      </w:pPr>
      <w:r w:rsidRPr="00CE738F">
        <w:rPr>
          <w:rFonts w:ascii="Times New Roman" w:hAnsi="Times New Roman"/>
          <w:sz w:val="24"/>
          <w:szCs w:val="24"/>
        </w:rPr>
        <w:t xml:space="preserve">On Nov. 15, 2021, </w:t>
      </w:r>
      <w:r>
        <w:rPr>
          <w:rFonts w:ascii="Times New Roman" w:hAnsi="Times New Roman"/>
          <w:sz w:val="24"/>
          <w:szCs w:val="24"/>
        </w:rPr>
        <w:t xml:space="preserve">in </w:t>
      </w:r>
      <w:r w:rsidRPr="003047ED">
        <w:rPr>
          <w:rFonts w:ascii="Times New Roman" w:hAnsi="Times New Roman"/>
          <w:sz w:val="24"/>
          <w:szCs w:val="24"/>
          <w:u w:val="single"/>
        </w:rPr>
        <w:t>Angela L. Lawhorn, Administrator of the Estate of Joshua L. Lawhorn v. Alexander Mayes, et al</w:t>
      </w:r>
      <w:r>
        <w:rPr>
          <w:rFonts w:ascii="Times New Roman" w:hAnsi="Times New Roman"/>
          <w:sz w:val="24"/>
          <w:szCs w:val="24"/>
        </w:rPr>
        <w:t xml:space="preserve">., the U.S. Court of Appeals for the Fourth Circuit (Richmond, VA) held that the paramedics, like the police officers in this case, are not entitled to good faith immunity and the lawsuit will proceed. </w:t>
      </w:r>
      <w:r>
        <w:rPr>
          <w:rFonts w:ascii="Times New Roman" w:hAnsi="Times New Roman"/>
          <w:sz w:val="24"/>
          <w:szCs w:val="24"/>
        </w:rPr>
        <w:tab/>
      </w:r>
    </w:p>
    <w:p w14:paraId="6DF0F080" w14:textId="77777777" w:rsidR="00506EE7" w:rsidRDefault="00506EE7" w:rsidP="00506EE7">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3047ED">
        <w:rPr>
          <w:rFonts w:ascii="Times New Roman" w:hAnsi="Times New Roman"/>
          <w:sz w:val="24"/>
          <w:szCs w:val="24"/>
        </w:rPr>
        <w:t xml:space="preserve">This appeal arises from a tragic incident that led to the death of Joshua Lawhon, an unarmed mentally ill man. Invoking 42 U.S.C. § 1983 and Virginia state law, Lawhon's mother, as administrator of his estate, brought this action against the police officers and paramedics whose assertedly improper actions cost her son his life. Defendants moved to dismiss the case on the grounds of qualified immunity and state law immunity. The district court refused to do so regarding Defendants' conduct after they secured Lawhon in handcuffs and the Defendants now appeal. We affirm </w:t>
      </w:r>
      <w:proofErr w:type="gramStart"/>
      <w:r w:rsidRPr="003047ED">
        <w:rPr>
          <w:rFonts w:ascii="Times New Roman" w:hAnsi="Times New Roman"/>
          <w:sz w:val="24"/>
          <w:szCs w:val="24"/>
        </w:rPr>
        <w:t>on the basis of</w:t>
      </w:r>
      <w:proofErr w:type="gramEnd"/>
      <w:r w:rsidRPr="003047ED">
        <w:rPr>
          <w:rFonts w:ascii="Times New Roman" w:hAnsi="Times New Roman"/>
          <w:sz w:val="24"/>
          <w:szCs w:val="24"/>
        </w:rPr>
        <w:t xml:space="preserve"> its well-reasoned opinion.</w:t>
      </w:r>
    </w:p>
    <w:p w14:paraId="4F4750FD" w14:textId="77777777" w:rsidR="00506EE7" w:rsidRDefault="00506EE7" w:rsidP="00506EE7">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A727FD4" w14:textId="1504CBF7" w:rsidR="00687C24" w:rsidRDefault="00506EE7" w:rsidP="00506EE7">
      <w:pPr>
        <w:rPr>
          <w:rStyle w:val="Hyperlink"/>
          <w:rFonts w:ascii="Times New Roman" w:eastAsia="Times New Roman" w:hAnsi="Times New Roman"/>
          <w:sz w:val="24"/>
          <w:szCs w:val="24"/>
        </w:rPr>
      </w:pPr>
      <w:r w:rsidRPr="003047ED">
        <w:rPr>
          <w:rFonts w:ascii="Times New Roman" w:eastAsia="Times New Roman" w:hAnsi="Times New Roman"/>
          <w:sz w:val="24"/>
          <w:szCs w:val="24"/>
        </w:rPr>
        <w:t xml:space="preserve">The paramedic-Defendants similarly raise a good faith immunity defense under Virginia's Good Samaritan statute. However, as the district court </w:t>
      </w:r>
      <w:proofErr w:type="gramStart"/>
      <w:r w:rsidRPr="003047ED">
        <w:rPr>
          <w:rFonts w:ascii="Times New Roman" w:eastAsia="Times New Roman" w:hAnsi="Times New Roman"/>
          <w:sz w:val="24"/>
          <w:szCs w:val="24"/>
        </w:rPr>
        <w:t xml:space="preserve">determined, </w:t>
      </w:r>
      <w:r>
        <w:rPr>
          <w:rFonts w:ascii="Times New Roman" w:eastAsia="Times New Roman" w:hAnsi="Times New Roman"/>
          <w:sz w:val="24"/>
          <w:szCs w:val="24"/>
        </w:rPr>
        <w:t>‘</w:t>
      </w:r>
      <w:proofErr w:type="gramEnd"/>
      <w:r w:rsidRPr="003047ED">
        <w:rPr>
          <w:rFonts w:ascii="Times New Roman" w:eastAsia="Times New Roman" w:hAnsi="Times New Roman"/>
          <w:sz w:val="24"/>
          <w:szCs w:val="24"/>
        </w:rPr>
        <w:t>this statute only shields those who</w:t>
      </w:r>
      <w:r>
        <w:rPr>
          <w:rFonts w:ascii="Times New Roman" w:eastAsia="Times New Roman" w:hAnsi="Times New Roman"/>
          <w:sz w:val="24"/>
          <w:szCs w:val="24"/>
        </w:rPr>
        <w:t xml:space="preserve"> ‘</w:t>
      </w:r>
      <w:r w:rsidRPr="003047ED">
        <w:rPr>
          <w:rFonts w:ascii="Times New Roman" w:eastAsia="Times New Roman" w:hAnsi="Times New Roman"/>
          <w:sz w:val="24"/>
          <w:szCs w:val="24"/>
        </w:rPr>
        <w:t>in good faith render[] emergency care or assistance.</w:t>
      </w:r>
      <w:r>
        <w:rPr>
          <w:rFonts w:ascii="Times New Roman" w:eastAsia="Times New Roman" w:hAnsi="Times New Roman"/>
          <w:sz w:val="24"/>
          <w:szCs w:val="24"/>
        </w:rPr>
        <w:t xml:space="preserve">’ </w:t>
      </w:r>
      <w:r w:rsidRPr="003047ED">
        <w:rPr>
          <w:rFonts w:ascii="Times New Roman" w:eastAsia="Times New Roman" w:hAnsi="Times New Roman"/>
          <w:i/>
          <w:iCs/>
          <w:sz w:val="24"/>
          <w:szCs w:val="24"/>
        </w:rPr>
        <w:t>Id</w:t>
      </w:r>
      <w:r w:rsidRPr="003047ED">
        <w:rPr>
          <w:rFonts w:ascii="Times New Roman" w:eastAsia="Times New Roman" w:hAnsi="Times New Roman"/>
          <w:sz w:val="24"/>
          <w:szCs w:val="24"/>
        </w:rPr>
        <w:t xml:space="preserve">. The complaint asserts that the paramedics </w:t>
      </w:r>
      <w:r>
        <w:rPr>
          <w:rFonts w:ascii="Times New Roman" w:eastAsia="Times New Roman" w:hAnsi="Times New Roman"/>
          <w:sz w:val="24"/>
          <w:szCs w:val="24"/>
        </w:rPr>
        <w:t>‘</w:t>
      </w:r>
      <w:r w:rsidRPr="003047ED">
        <w:rPr>
          <w:rFonts w:ascii="Times New Roman" w:eastAsia="Times New Roman" w:hAnsi="Times New Roman"/>
          <w:sz w:val="24"/>
          <w:szCs w:val="24"/>
        </w:rPr>
        <w:t>failed</w:t>
      </w:r>
      <w:r>
        <w:rPr>
          <w:rFonts w:ascii="Times New Roman" w:eastAsia="Times New Roman" w:hAnsi="Times New Roman"/>
          <w:sz w:val="24"/>
          <w:szCs w:val="24"/>
        </w:rPr>
        <w:t>’</w:t>
      </w:r>
      <w:r w:rsidRPr="003047ED">
        <w:rPr>
          <w:rFonts w:ascii="Times New Roman" w:eastAsia="Times New Roman" w:hAnsi="Times New Roman"/>
          <w:sz w:val="24"/>
          <w:szCs w:val="24"/>
        </w:rPr>
        <w:t xml:space="preserve"> to provide Lawhon with emergency care or assistance. Thus, the statute cannot immunize the paramedics at this stage of the litigation. </w:t>
      </w:r>
      <w:r>
        <w:rPr>
          <w:rFonts w:ascii="Times New Roman" w:eastAsia="Times New Roman" w:hAnsi="Times New Roman"/>
          <w:sz w:val="24"/>
          <w:szCs w:val="24"/>
        </w:rPr>
        <w:t>‘</w:t>
      </w:r>
      <w:r w:rsidRPr="003047ED">
        <w:rPr>
          <w:rFonts w:ascii="Times New Roman" w:eastAsia="Times New Roman" w:hAnsi="Times New Roman"/>
          <w:sz w:val="24"/>
          <w:szCs w:val="24"/>
        </w:rPr>
        <w:t>The parallel state law claim[s] of . . . battery [are] subsumed within the federal excessive force claim and so go[] forward as well.</w:t>
      </w:r>
      <w:r>
        <w:rPr>
          <w:rFonts w:ascii="Times New Roman" w:eastAsia="Times New Roman" w:hAnsi="Times New Roman"/>
          <w:sz w:val="24"/>
          <w:szCs w:val="24"/>
        </w:rPr>
        <w:t>’</w:t>
      </w:r>
      <w:r w:rsidRPr="003047ED">
        <w:rPr>
          <w:rFonts w:ascii="Times New Roman" w:eastAsia="Times New Roman" w:hAnsi="Times New Roman"/>
          <w:sz w:val="24"/>
          <w:szCs w:val="24"/>
        </w:rPr>
        <w:t xml:space="preserve"> </w:t>
      </w:r>
      <w:r w:rsidRPr="003047ED">
        <w:rPr>
          <w:rFonts w:ascii="Times New Roman" w:eastAsia="Times New Roman" w:hAnsi="Times New Roman"/>
          <w:i/>
          <w:iCs/>
          <w:sz w:val="24"/>
          <w:szCs w:val="24"/>
        </w:rPr>
        <w:t>Rowland v. Perry</w:t>
      </w:r>
      <w:r w:rsidRPr="003047ED">
        <w:rPr>
          <w:rFonts w:ascii="Times New Roman" w:eastAsia="Times New Roman" w:hAnsi="Times New Roman"/>
          <w:sz w:val="24"/>
          <w:szCs w:val="24"/>
        </w:rPr>
        <w:t>, 41 F.3d 167, 174 (4th Cir. 1994).</w:t>
      </w:r>
      <w:r>
        <w:rPr>
          <w:rFonts w:ascii="Times New Roman" w:eastAsia="Times New Roman" w:hAnsi="Times New Roman"/>
          <w:sz w:val="24"/>
          <w:szCs w:val="24"/>
        </w:rPr>
        <w:t xml:space="preserve">” </w:t>
      </w:r>
      <w:hyperlink r:id="rId2231" w:history="1">
        <w:r w:rsidRPr="00B5148B">
          <w:rPr>
            <w:rStyle w:val="Hyperlink"/>
            <w:rFonts w:ascii="Times New Roman" w:eastAsia="Times New Roman" w:hAnsi="Times New Roman"/>
            <w:sz w:val="24"/>
            <w:szCs w:val="24"/>
          </w:rPr>
          <w:t>https://www.ca4.uscourts.gov/Opinions/201906.U.pdf</w:t>
        </w:r>
      </w:hyperlink>
    </w:p>
    <w:p w14:paraId="415DD84B" w14:textId="77777777" w:rsidR="00506EE7" w:rsidRPr="00CE738F" w:rsidRDefault="00506EE7" w:rsidP="00506EE7">
      <w:pPr>
        <w:spacing w:before="100" w:beforeAutospacing="1" w:after="100" w:afterAutospacing="1" w:line="240" w:lineRule="auto"/>
        <w:rPr>
          <w:rFonts w:ascii="Times New Roman" w:eastAsia="Times New Roman" w:hAnsi="Times New Roman"/>
          <w:b/>
          <w:bCs/>
          <w:sz w:val="24"/>
          <w:szCs w:val="24"/>
        </w:rPr>
      </w:pPr>
      <w:r w:rsidRPr="00FE2276">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When police use force to restrain a patient, it is particularly important that EMS thoroughly document their actions at that scene, including </w:t>
      </w:r>
      <w:proofErr w:type="gramStart"/>
      <w:r>
        <w:rPr>
          <w:rFonts w:ascii="Times New Roman" w:eastAsia="Times New Roman" w:hAnsi="Times New Roman"/>
          <w:b/>
          <w:bCs/>
          <w:sz w:val="24"/>
          <w:szCs w:val="24"/>
        </w:rPr>
        <w:t>both in</w:t>
      </w:r>
      <w:proofErr w:type="gramEnd"/>
      <w:r>
        <w:rPr>
          <w:rFonts w:ascii="Times New Roman" w:eastAsia="Times New Roman" w:hAnsi="Times New Roman"/>
          <w:b/>
          <w:bCs/>
          <w:sz w:val="24"/>
          <w:szCs w:val="24"/>
        </w:rPr>
        <w:t xml:space="preserve"> assisting the patient and the police. </w:t>
      </w:r>
    </w:p>
    <w:p w14:paraId="44F8C806" w14:textId="171E7822" w:rsidR="00506EE7" w:rsidRDefault="00506EE7" w:rsidP="00506EE7">
      <w:pPr>
        <w:rPr>
          <w:rStyle w:val="Hyperlink"/>
          <w:rFonts w:ascii="Times New Roman" w:eastAsia="Times New Roman" w:hAnsi="Times New Roman"/>
          <w:sz w:val="24"/>
          <w:szCs w:val="24"/>
        </w:rPr>
      </w:pPr>
    </w:p>
    <w:p w14:paraId="06F35DB0" w14:textId="77777777" w:rsidR="00506EE7" w:rsidRDefault="00506EE7" w:rsidP="00506EE7">
      <w:pPr>
        <w:rPr>
          <w:rFonts w:ascii="Arial Black" w:hAnsi="Arial Black"/>
          <w:b/>
          <w:bCs/>
          <w:sz w:val="28"/>
          <w:szCs w:val="28"/>
        </w:rPr>
      </w:pPr>
    </w:p>
    <w:p w14:paraId="7DEEEB5C" w14:textId="71830562" w:rsidR="00687C24" w:rsidRDefault="00687C24" w:rsidP="002B1283">
      <w:pPr>
        <w:rPr>
          <w:rFonts w:ascii="Arial Black" w:hAnsi="Arial Black"/>
          <w:b/>
          <w:bCs/>
          <w:sz w:val="28"/>
          <w:szCs w:val="28"/>
        </w:rPr>
      </w:pPr>
      <w:r>
        <w:rPr>
          <w:rFonts w:ascii="Arial Black" w:hAnsi="Arial Black"/>
          <w:b/>
          <w:bCs/>
          <w:sz w:val="28"/>
          <w:szCs w:val="28"/>
        </w:rPr>
        <w:t>13-98</w:t>
      </w:r>
    </w:p>
    <w:p w14:paraId="575BCC8A" w14:textId="77777777" w:rsidR="00687C24" w:rsidRDefault="00687C24" w:rsidP="00687C24">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LA: OIL WELL EMPLOYEE – STROKE – TPA PROPERLY NOT GIVEN – “LAST KNOWN WELL TIME” BEYOND 4.5 HOURS </w:t>
      </w:r>
    </w:p>
    <w:p w14:paraId="77C2B92C" w14:textId="77777777" w:rsidR="00687C24" w:rsidRDefault="00687C24" w:rsidP="00687C2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Nov. 12, 2021, in </w:t>
      </w:r>
      <w:r w:rsidRPr="00B13AD4">
        <w:rPr>
          <w:rFonts w:ascii="Times New Roman" w:eastAsia="Times New Roman" w:hAnsi="Times New Roman"/>
          <w:sz w:val="24"/>
          <w:szCs w:val="24"/>
          <w:u w:val="single"/>
        </w:rPr>
        <w:t>Daniel Ramirez v. Talos Guld Coast Offshore LLC, et al.</w:t>
      </w:r>
      <w:r>
        <w:rPr>
          <w:rFonts w:ascii="Times New Roman" w:eastAsia="Times New Roman" w:hAnsi="Times New Roman"/>
          <w:sz w:val="24"/>
          <w:szCs w:val="24"/>
        </w:rPr>
        <w:t xml:space="preserve">, Chief U.S. District Court Judge Lee H. Rosenthal, U.S. District Court, Southern District of Texas (Houston Division) granted summary judgment to Talos, since there was no negligence by the Offshore Oil Company, the paramedic on the oil rig, the paramedic on the helicopter which flew him to the hospital, or the physicians who treated him.  </w:t>
      </w:r>
    </w:p>
    <w:p w14:paraId="0446D489" w14:textId="77777777" w:rsidR="00687C24" w:rsidRDefault="00687C24" w:rsidP="00687C24">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8C070A">
        <w:rPr>
          <w:rFonts w:ascii="Times New Roman" w:eastAsia="Times New Roman" w:hAnsi="Times New Roman"/>
          <w:sz w:val="24"/>
          <w:szCs w:val="24"/>
        </w:rPr>
        <w:t xml:space="preserve">Ramirez argues that Talos's negligent delay in sending him to the hospital precluded him from getting the tPA treatment, which would have avoided the permanent effects of his stroke. Talos argues that </w:t>
      </w:r>
      <w:r>
        <w:rPr>
          <w:rFonts w:ascii="Times New Roman" w:eastAsia="Times New Roman" w:hAnsi="Times New Roman"/>
          <w:sz w:val="24"/>
          <w:szCs w:val="24"/>
        </w:rPr>
        <w:t>‘</w:t>
      </w:r>
      <w:r w:rsidRPr="008C070A">
        <w:rPr>
          <w:rFonts w:ascii="Times New Roman" w:eastAsia="Times New Roman" w:hAnsi="Times New Roman"/>
          <w:sz w:val="24"/>
          <w:szCs w:val="24"/>
        </w:rPr>
        <w:t>the period to give tPA expired before [Ramirez] even woke up on the [platform]</w:t>
      </w:r>
      <w:r>
        <w:rPr>
          <w:rFonts w:ascii="Times New Roman" w:eastAsia="Times New Roman" w:hAnsi="Times New Roman"/>
          <w:sz w:val="24"/>
          <w:szCs w:val="24"/>
        </w:rPr>
        <w:t>….’ ‘</w:t>
      </w:r>
      <w:r w:rsidRPr="008C070A">
        <w:rPr>
          <w:rFonts w:ascii="Times New Roman" w:eastAsia="Times New Roman" w:hAnsi="Times New Roman"/>
          <w:sz w:val="24"/>
          <w:szCs w:val="24"/>
        </w:rPr>
        <w:t>[T]he treating physicians at WJMC . . . testified that they would never have administered a tPA to [Ramirez]</w:t>
      </w:r>
      <w:r>
        <w:rPr>
          <w:rFonts w:ascii="Times New Roman" w:eastAsia="Times New Roman" w:hAnsi="Times New Roman"/>
          <w:sz w:val="24"/>
          <w:szCs w:val="24"/>
        </w:rPr>
        <w:t>’</w:t>
      </w:r>
      <w:r w:rsidRPr="008C070A">
        <w:rPr>
          <w:rFonts w:ascii="Times New Roman" w:eastAsia="Times New Roman" w:hAnsi="Times New Roman"/>
          <w:sz w:val="24"/>
          <w:szCs w:val="24"/>
        </w:rPr>
        <w:t xml:space="preserve"> even if he somehow could have reached the hospital the </w:t>
      </w:r>
      <w:proofErr w:type="gramStart"/>
      <w:r w:rsidRPr="008C070A">
        <w:rPr>
          <w:rFonts w:ascii="Times New Roman" w:eastAsia="Times New Roman" w:hAnsi="Times New Roman"/>
          <w:sz w:val="24"/>
          <w:szCs w:val="24"/>
        </w:rPr>
        <w:t>minute</w:t>
      </w:r>
      <w:proofErr w:type="gramEnd"/>
      <w:r w:rsidRPr="008C070A">
        <w:rPr>
          <w:rFonts w:ascii="Times New Roman" w:eastAsia="Times New Roman" w:hAnsi="Times New Roman"/>
          <w:sz w:val="24"/>
          <w:szCs w:val="24"/>
        </w:rPr>
        <w:t xml:space="preserve"> he woke up</w:t>
      </w:r>
      <w:r>
        <w:rPr>
          <w:rFonts w:ascii="Times New Roman" w:eastAsia="Times New Roman" w:hAnsi="Times New Roman"/>
          <w:sz w:val="24"/>
          <w:szCs w:val="24"/>
        </w:rPr>
        <w:t xml:space="preserve">…. </w:t>
      </w:r>
      <w:r w:rsidRPr="008C070A">
        <w:rPr>
          <w:rFonts w:ascii="Times New Roman" w:eastAsia="Times New Roman" w:hAnsi="Times New Roman"/>
          <w:sz w:val="24"/>
          <w:szCs w:val="24"/>
        </w:rPr>
        <w:t xml:space="preserve">Talos's conduct had no bearing on whether Ramirez could receive tPA treatment. In short, Talos neither caused nor contributed to the reason Ramirez did not get tPA. </w:t>
      </w:r>
    </w:p>
    <w:p w14:paraId="2C542F83" w14:textId="77777777" w:rsidR="00687C24" w:rsidRDefault="00687C24" w:rsidP="00687C24">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w:t>
      </w:r>
    </w:p>
    <w:p w14:paraId="34AF80B8" w14:textId="77777777" w:rsidR="00687C24" w:rsidRDefault="00687C24" w:rsidP="00687C24">
      <w:pPr>
        <w:spacing w:before="100" w:beforeAutospacing="1" w:after="100" w:afterAutospacing="1" w:line="240" w:lineRule="auto"/>
        <w:ind w:left="720"/>
        <w:rPr>
          <w:rFonts w:ascii="Times New Roman" w:hAnsi="Times New Roman"/>
          <w:sz w:val="24"/>
          <w:szCs w:val="24"/>
        </w:rPr>
      </w:pPr>
      <w:r w:rsidRPr="0090643F">
        <w:rPr>
          <w:rFonts w:ascii="Times New Roman" w:hAnsi="Times New Roman"/>
          <w:sz w:val="24"/>
          <w:szCs w:val="24"/>
        </w:rPr>
        <w:t xml:space="preserve">Ramirez was not administered tPA on the helicopter or at the hospital, however, because everyone who treated Ramirez believed that his </w:t>
      </w:r>
      <w:r>
        <w:rPr>
          <w:rFonts w:ascii="Times New Roman" w:hAnsi="Times New Roman"/>
          <w:sz w:val="24"/>
          <w:szCs w:val="24"/>
        </w:rPr>
        <w:t>‘</w:t>
      </w:r>
      <w:r w:rsidRPr="0090643F">
        <w:rPr>
          <w:rFonts w:ascii="Times New Roman" w:hAnsi="Times New Roman"/>
          <w:sz w:val="24"/>
          <w:szCs w:val="24"/>
        </w:rPr>
        <w:t>last known well time</w:t>
      </w:r>
      <w:r>
        <w:rPr>
          <w:rFonts w:ascii="Times New Roman" w:hAnsi="Times New Roman"/>
          <w:sz w:val="24"/>
          <w:szCs w:val="24"/>
        </w:rPr>
        <w:t xml:space="preserve">’ </w:t>
      </w:r>
      <w:r w:rsidRPr="0090643F">
        <w:rPr>
          <w:rFonts w:ascii="Times New Roman" w:hAnsi="Times New Roman"/>
          <w:sz w:val="24"/>
          <w:szCs w:val="24"/>
        </w:rPr>
        <w:t>was around 7:00 p.m. to 7:30 p.m., when Ramirez went to sleep, and not 1:30 a.m., when Ramirez woke up. That put Ramirez over four and a half hours-outside the window to receive tPA.</w:t>
      </w:r>
      <w:r>
        <w:rPr>
          <w:rFonts w:ascii="Times New Roman" w:hAnsi="Times New Roman"/>
          <w:sz w:val="24"/>
          <w:szCs w:val="24"/>
        </w:rPr>
        <w:t xml:space="preserve">” </w:t>
      </w:r>
      <w:hyperlink r:id="rId2232" w:history="1">
        <w:r w:rsidRPr="00316766">
          <w:rPr>
            <w:rStyle w:val="Hyperlink"/>
            <w:rFonts w:ascii="Times New Roman" w:hAnsi="Times New Roman"/>
            <w:sz w:val="24"/>
            <w:szCs w:val="24"/>
          </w:rPr>
          <w:t>https://casetext.com/case/ramirez-v-talos-gulf-coast-offshore-llc</w:t>
        </w:r>
      </w:hyperlink>
      <w:r>
        <w:rPr>
          <w:rFonts w:ascii="Times New Roman" w:hAnsi="Times New Roman"/>
          <w:sz w:val="24"/>
          <w:szCs w:val="24"/>
        </w:rPr>
        <w:t xml:space="preserve"> </w:t>
      </w:r>
    </w:p>
    <w:p w14:paraId="5DBBE3FA" w14:textId="77777777" w:rsidR="00687C24" w:rsidRDefault="00687C24" w:rsidP="00687C24">
      <w:pPr>
        <w:spacing w:before="100" w:beforeAutospacing="1" w:after="100" w:afterAutospacing="1" w:line="240" w:lineRule="auto"/>
        <w:rPr>
          <w:rFonts w:ascii="Times New Roman" w:eastAsia="Times New Roman" w:hAnsi="Times New Roman"/>
          <w:b/>
          <w:bCs/>
          <w:sz w:val="24"/>
          <w:szCs w:val="24"/>
        </w:rPr>
      </w:pPr>
      <w:r w:rsidRPr="004341D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There was no negligence by the employer or anyone else in treatment of the patient. </w:t>
      </w:r>
    </w:p>
    <w:p w14:paraId="70D707FB" w14:textId="77777777" w:rsidR="00687C24" w:rsidRDefault="00687C24" w:rsidP="002B1283">
      <w:pPr>
        <w:rPr>
          <w:rFonts w:ascii="Arial Black" w:hAnsi="Arial Black"/>
          <w:b/>
          <w:bCs/>
          <w:sz w:val="28"/>
          <w:szCs w:val="28"/>
        </w:rPr>
      </w:pPr>
    </w:p>
    <w:p w14:paraId="08666175" w14:textId="77777777" w:rsidR="00687C24" w:rsidRDefault="00687C24" w:rsidP="002B1283">
      <w:pPr>
        <w:rPr>
          <w:rFonts w:ascii="Arial Black" w:hAnsi="Arial Black"/>
          <w:b/>
          <w:bCs/>
          <w:sz w:val="28"/>
          <w:szCs w:val="28"/>
        </w:rPr>
      </w:pPr>
    </w:p>
    <w:p w14:paraId="0A9B7F10" w14:textId="51C83357" w:rsidR="00687C24" w:rsidRDefault="00687C24" w:rsidP="002B1283">
      <w:pPr>
        <w:rPr>
          <w:rFonts w:ascii="Arial Black" w:hAnsi="Arial Black"/>
          <w:b/>
          <w:bCs/>
          <w:sz w:val="28"/>
          <w:szCs w:val="28"/>
        </w:rPr>
      </w:pPr>
      <w:r>
        <w:rPr>
          <w:rFonts w:ascii="Arial Black" w:hAnsi="Arial Black"/>
          <w:b/>
          <w:bCs/>
          <w:sz w:val="28"/>
          <w:szCs w:val="28"/>
        </w:rPr>
        <w:t>13-97</w:t>
      </w:r>
    </w:p>
    <w:p w14:paraId="2CB255B9" w14:textId="77777777" w:rsidR="00687C24" w:rsidRDefault="00687C24" w:rsidP="00687C24">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EMS POSTED PHOTOS SNAPCHAT – PATIENT’S SEVERED HAND / ARM - FED. CASE DISMISSED, SUE IN STATE COURT</w:t>
      </w:r>
    </w:p>
    <w:p w14:paraId="508F6955" w14:textId="77777777" w:rsidR="00687C24" w:rsidRDefault="00687C24" w:rsidP="00687C24">
      <w:pPr>
        <w:spacing w:before="100" w:beforeAutospacing="1" w:after="100" w:afterAutospacing="1" w:line="240" w:lineRule="auto"/>
        <w:rPr>
          <w:rFonts w:ascii="Times New Roman" w:eastAsia="Times New Roman" w:hAnsi="Times New Roman"/>
          <w:sz w:val="24"/>
          <w:szCs w:val="24"/>
        </w:rPr>
      </w:pPr>
      <w:r w:rsidRPr="00E057FE">
        <w:rPr>
          <w:rFonts w:ascii="Times New Roman" w:eastAsia="Times New Roman" w:hAnsi="Times New Roman"/>
          <w:sz w:val="24"/>
          <w:szCs w:val="24"/>
        </w:rPr>
        <w:t xml:space="preserve">On </w:t>
      </w:r>
      <w:r>
        <w:rPr>
          <w:rFonts w:ascii="Times New Roman" w:eastAsia="Times New Roman" w:hAnsi="Times New Roman"/>
          <w:sz w:val="24"/>
          <w:szCs w:val="24"/>
        </w:rPr>
        <w:t xml:space="preserve">Nov. 2, 2021, in </w:t>
      </w:r>
      <w:r w:rsidRPr="00E057FE">
        <w:rPr>
          <w:rFonts w:ascii="Times New Roman" w:eastAsia="Times New Roman" w:hAnsi="Times New Roman"/>
          <w:sz w:val="24"/>
          <w:szCs w:val="24"/>
          <w:u w:val="single"/>
        </w:rPr>
        <w:t>Omero Ortiz v. Anthony Renteria, Christopher Calhoun, Town of Cicero, and Metro Paramedic Services, Inc</w:t>
      </w:r>
      <w:r>
        <w:rPr>
          <w:rFonts w:ascii="Times New Roman" w:eastAsia="Times New Roman" w:hAnsi="Times New Roman"/>
          <w:sz w:val="24"/>
          <w:szCs w:val="24"/>
        </w:rPr>
        <w:t xml:space="preserve">., U.S. District Court Judge Gary Feinerman, U.S. District Court for Northern District of Illinois (Eastern Division) granted the Town of Cicero’s motion to dismiss </w:t>
      </w:r>
      <w:proofErr w:type="gramStart"/>
      <w:r>
        <w:rPr>
          <w:rFonts w:ascii="Times New Roman" w:eastAsia="Times New Roman" w:hAnsi="Times New Roman"/>
          <w:sz w:val="24"/>
          <w:szCs w:val="24"/>
        </w:rPr>
        <w:t>and also</w:t>
      </w:r>
      <w:proofErr w:type="gramEnd"/>
      <w:r>
        <w:rPr>
          <w:rFonts w:ascii="Times New Roman" w:eastAsia="Times New Roman" w:hAnsi="Times New Roman"/>
          <w:sz w:val="24"/>
          <w:szCs w:val="24"/>
        </w:rPr>
        <w:t xml:space="preserve"> dismissed the paramedics and their employer from the Federal lawsuit.  Plaintiff sued for violation of Due Process under 14</w:t>
      </w:r>
      <w:r w:rsidRPr="00287339">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Amendment, alleging the paramedics </w:t>
      </w:r>
      <w:r w:rsidRPr="00287339">
        <w:rPr>
          <w:rFonts w:ascii="Times New Roman" w:hAnsi="Times New Roman"/>
          <w:sz w:val="24"/>
          <w:szCs w:val="24"/>
        </w:rPr>
        <w:t xml:space="preserve">violated his </w:t>
      </w:r>
      <w:r>
        <w:rPr>
          <w:rFonts w:ascii="Times New Roman" w:hAnsi="Times New Roman"/>
          <w:sz w:val="24"/>
          <w:szCs w:val="24"/>
        </w:rPr>
        <w:t>“</w:t>
      </w:r>
      <w:r w:rsidRPr="00287339">
        <w:rPr>
          <w:rFonts w:ascii="Times New Roman" w:hAnsi="Times New Roman"/>
          <w:sz w:val="24"/>
          <w:szCs w:val="24"/>
        </w:rPr>
        <w:t>right to medical privacy</w:t>
      </w:r>
      <w:r>
        <w:rPr>
          <w:rFonts w:ascii="Times New Roman" w:hAnsi="Times New Roman"/>
          <w:sz w:val="24"/>
          <w:szCs w:val="24"/>
        </w:rPr>
        <w:t xml:space="preserve">,” but they never disclosed the patient’s name.  When </w:t>
      </w:r>
      <w:r>
        <w:rPr>
          <w:rFonts w:ascii="Times New Roman" w:eastAsia="Times New Roman" w:hAnsi="Times New Roman"/>
          <w:sz w:val="24"/>
          <w:szCs w:val="24"/>
        </w:rPr>
        <w:t xml:space="preserve">the paramedics posted photos of the patient’s severed left hand and left arm on Snapchat, they included a comment, “Feeling Blessed” along with </w:t>
      </w:r>
      <w:r w:rsidRPr="00C747D8">
        <w:rPr>
          <w:rFonts w:ascii="Times New Roman" w:hAnsi="Times New Roman"/>
          <w:sz w:val="24"/>
          <w:szCs w:val="24"/>
        </w:rPr>
        <w:t>several emojis</w:t>
      </w:r>
      <w:r>
        <w:rPr>
          <w:rFonts w:ascii="Times New Roman" w:hAnsi="Times New Roman"/>
          <w:sz w:val="24"/>
          <w:szCs w:val="24"/>
        </w:rPr>
        <w:t xml:space="preserve">.  </w:t>
      </w:r>
      <w:r>
        <w:rPr>
          <w:rFonts w:ascii="Times New Roman" w:eastAsia="Times New Roman" w:hAnsi="Times New Roman"/>
          <w:sz w:val="24"/>
          <w:szCs w:val="24"/>
        </w:rPr>
        <w:t xml:space="preserve">The plaintiff now has one year to file lawsuit in State court. </w:t>
      </w:r>
    </w:p>
    <w:p w14:paraId="28C8B487" w14:textId="77777777" w:rsidR="00687C24" w:rsidRDefault="00687C24" w:rsidP="00687C24">
      <w:pPr>
        <w:spacing w:before="100" w:beforeAutospacing="1" w:after="100" w:afterAutospacing="1" w:line="240" w:lineRule="auto"/>
        <w:ind w:left="720"/>
        <w:rPr>
          <w:rFonts w:ascii="Times New Roman" w:hAnsi="Times New Roman"/>
          <w:sz w:val="24"/>
          <w:szCs w:val="24"/>
        </w:rPr>
      </w:pPr>
      <w:r w:rsidRPr="00D561C5">
        <w:rPr>
          <w:rFonts w:ascii="Times New Roman" w:hAnsi="Times New Roman"/>
          <w:sz w:val="24"/>
          <w:szCs w:val="24"/>
        </w:rPr>
        <w:t xml:space="preserve">“Cicero does not argue that the public interest justified Renteria and Calhoun's publication of the photographs of his injuries on Snapchat. Thus, the question whether Ortiz states a due process medical privacy claim turns on whether the photographs disclosed his private medical information. To support his view that they did, Ortiz observes </w:t>
      </w:r>
      <w:r>
        <w:rPr>
          <w:rFonts w:ascii="Times New Roman" w:hAnsi="Times New Roman"/>
          <w:sz w:val="24"/>
          <w:szCs w:val="24"/>
        </w:rPr>
        <w:t>‘</w:t>
      </w:r>
      <w:r w:rsidRPr="00D561C5">
        <w:rPr>
          <w:rFonts w:ascii="Times New Roman" w:hAnsi="Times New Roman"/>
          <w:sz w:val="24"/>
          <w:szCs w:val="24"/>
        </w:rPr>
        <w:t>that he suffered a horrific accident that caused him great bodily harm, in which his arm was amputated from his body,</w:t>
      </w:r>
      <w:r>
        <w:rPr>
          <w:rFonts w:ascii="Times New Roman" w:hAnsi="Times New Roman"/>
          <w:sz w:val="24"/>
          <w:szCs w:val="24"/>
        </w:rPr>
        <w:t xml:space="preserve">’ </w:t>
      </w:r>
      <w:r w:rsidRPr="00D561C5">
        <w:rPr>
          <w:rFonts w:ascii="Times New Roman" w:hAnsi="Times New Roman"/>
          <w:sz w:val="24"/>
          <w:szCs w:val="24"/>
        </w:rPr>
        <w:t xml:space="preserve">and contends that Renteria and Calhoun's posting of the photographs violated </w:t>
      </w:r>
      <w:r>
        <w:rPr>
          <w:rFonts w:ascii="Times New Roman" w:hAnsi="Times New Roman"/>
          <w:sz w:val="24"/>
          <w:szCs w:val="24"/>
        </w:rPr>
        <w:t>‘</w:t>
      </w:r>
      <w:r w:rsidRPr="00D561C5">
        <w:rPr>
          <w:rFonts w:ascii="Times New Roman" w:hAnsi="Times New Roman"/>
          <w:sz w:val="24"/>
          <w:szCs w:val="24"/>
        </w:rPr>
        <w:t>his fundamental right to privacy of his medical condition, i.e.[, ] the unintentional amputation of his arm</w:t>
      </w:r>
      <w:r>
        <w:rPr>
          <w:rFonts w:ascii="Times New Roman" w:hAnsi="Times New Roman"/>
          <w:sz w:val="24"/>
          <w:szCs w:val="24"/>
        </w:rPr>
        <w:t xml:space="preserve">….’ </w:t>
      </w:r>
      <w:r w:rsidRPr="00D561C5">
        <w:rPr>
          <w:rFonts w:ascii="Times New Roman" w:hAnsi="Times New Roman"/>
          <w:sz w:val="24"/>
          <w:szCs w:val="24"/>
        </w:rPr>
        <w:t>Ortiz's submission is unpersuasive.</w:t>
      </w:r>
    </w:p>
    <w:p w14:paraId="36C25FEF" w14:textId="77777777" w:rsidR="00687C24" w:rsidRDefault="00687C24" w:rsidP="00687C24">
      <w:pPr>
        <w:pStyle w:val="paragraph"/>
        <w:ind w:left="720"/>
      </w:pPr>
      <w:r>
        <w:t xml:space="preserve">First, the fact that Ortiz was harmed in a ‘horrific accident’ is not private medical information because it is not </w:t>
      </w:r>
      <w:r>
        <w:rPr>
          <w:i/>
          <w:iCs/>
        </w:rPr>
        <w:t>medical</w:t>
      </w:r>
      <w:r>
        <w:t xml:space="preserve">. Rather, it concerned a traumatic event-akin to a traffic accident, or a shooting-and the consequences of that event-akin to a broken arm caused by a traffic accident, or a bullet wound caused by a shooting. </w:t>
      </w:r>
    </w:p>
    <w:p w14:paraId="59E712D6" w14:textId="77777777" w:rsidR="00687C24" w:rsidRPr="00D561C5" w:rsidRDefault="00687C24" w:rsidP="00687C24">
      <w:pPr>
        <w:spacing w:before="100" w:beforeAutospacing="1" w:after="100" w:afterAutospacing="1" w:line="240" w:lineRule="auto"/>
        <w:ind w:left="720"/>
        <w:rPr>
          <w:rFonts w:ascii="Times New Roman" w:hAnsi="Times New Roman"/>
          <w:sz w:val="24"/>
          <w:szCs w:val="24"/>
        </w:rPr>
      </w:pPr>
      <w:r w:rsidRPr="00D561C5">
        <w:rPr>
          <w:rFonts w:ascii="Times New Roman" w:hAnsi="Times New Roman"/>
          <w:sz w:val="24"/>
          <w:szCs w:val="24"/>
        </w:rPr>
        <w:t xml:space="preserve">Second, at least on the facts alleged, the fact that Ortiz lost his left arm is not private medical information because it is not </w:t>
      </w:r>
      <w:r w:rsidRPr="00D561C5">
        <w:rPr>
          <w:rFonts w:ascii="Times New Roman" w:hAnsi="Times New Roman"/>
          <w:i/>
          <w:iCs/>
          <w:sz w:val="24"/>
          <w:szCs w:val="24"/>
        </w:rPr>
        <w:t>private</w:t>
      </w:r>
      <w:r w:rsidRPr="00D561C5">
        <w:rPr>
          <w:rFonts w:ascii="Times New Roman" w:hAnsi="Times New Roman"/>
          <w:sz w:val="24"/>
          <w:szCs w:val="24"/>
        </w:rPr>
        <w:t>. As the Seventh Circuit has explained, ‘the existence and extent of constitutional protection for confidential information [turns on] the type of information involved and the reasonable expectation that that information would remain confidential,’ and ‘medical information may be a form of protected confidential information because of its intimate and personal nature</w:t>
      </w:r>
      <w:r>
        <w:rPr>
          <w:rFonts w:ascii="Times New Roman" w:hAnsi="Times New Roman"/>
          <w:sz w:val="24"/>
          <w:szCs w:val="24"/>
        </w:rPr>
        <w:t>….’</w:t>
      </w:r>
      <w:r w:rsidRPr="00D561C5">
        <w:rPr>
          <w:rFonts w:ascii="Times New Roman" w:hAnsi="Times New Roman"/>
          <w:i/>
          <w:iCs/>
          <w:sz w:val="24"/>
          <w:szCs w:val="24"/>
        </w:rPr>
        <w:t xml:space="preserve"> </w:t>
      </w:r>
      <w:r w:rsidRPr="00D561C5">
        <w:rPr>
          <w:rFonts w:ascii="Times New Roman" w:hAnsi="Times New Roman"/>
          <w:sz w:val="24"/>
          <w:szCs w:val="24"/>
        </w:rPr>
        <w:t xml:space="preserve">That Ortiz lost his left arm may be medical information, but it is not private medical information, as it is a readily observable condition. Ortiz does not allege that he considers his lost arm </w:t>
      </w:r>
      <w:r w:rsidRPr="00D561C5">
        <w:rPr>
          <w:rFonts w:ascii="Times New Roman" w:hAnsi="Times New Roman"/>
          <w:i/>
          <w:iCs/>
          <w:sz w:val="24"/>
          <w:szCs w:val="24"/>
        </w:rPr>
        <w:t>itself</w:t>
      </w:r>
      <w:r w:rsidRPr="00D561C5">
        <w:rPr>
          <w:rFonts w:ascii="Times New Roman" w:hAnsi="Times New Roman"/>
          <w:sz w:val="24"/>
          <w:szCs w:val="24"/>
        </w:rPr>
        <w:t xml:space="preserve">-as opposed to the fact that he lost his arm in a fireworks accident-to be private, nor does he allege that he </w:t>
      </w:r>
      <w:r w:rsidRPr="00D561C5">
        <w:rPr>
          <w:rFonts w:ascii="Times New Roman" w:hAnsi="Times New Roman"/>
          <w:i/>
          <w:iCs/>
          <w:sz w:val="24"/>
          <w:szCs w:val="24"/>
        </w:rPr>
        <w:t>could</w:t>
      </w:r>
      <w:r w:rsidRPr="00D561C5">
        <w:rPr>
          <w:rFonts w:ascii="Times New Roman" w:hAnsi="Times New Roman"/>
          <w:sz w:val="24"/>
          <w:szCs w:val="24"/>
        </w:rPr>
        <w:t xml:space="preserve"> keep private the fact of his lost arm or even that he has any desire to do so.” </w:t>
      </w:r>
      <w:hyperlink r:id="rId2233" w:history="1">
        <w:r w:rsidRPr="00D561C5">
          <w:rPr>
            <w:rStyle w:val="Hyperlink"/>
            <w:rFonts w:ascii="Times New Roman" w:hAnsi="Times New Roman"/>
            <w:sz w:val="24"/>
            <w:szCs w:val="24"/>
          </w:rPr>
          <w:t>https://casetext.com/case/ortiz-v-renteria</w:t>
        </w:r>
      </w:hyperlink>
      <w:r w:rsidRPr="00D561C5">
        <w:rPr>
          <w:rFonts w:ascii="Times New Roman" w:hAnsi="Times New Roman"/>
          <w:sz w:val="24"/>
          <w:szCs w:val="24"/>
        </w:rPr>
        <w:t xml:space="preserve"> </w:t>
      </w:r>
    </w:p>
    <w:p w14:paraId="527482E2" w14:textId="77777777" w:rsidR="00687C24" w:rsidRDefault="00687C24" w:rsidP="00687C24">
      <w:pPr>
        <w:spacing w:before="100" w:beforeAutospacing="1" w:after="100" w:afterAutospacing="1" w:line="240" w:lineRule="auto"/>
        <w:rPr>
          <w:rFonts w:ascii="Times New Roman" w:eastAsia="Times New Roman" w:hAnsi="Times New Roman"/>
          <w:b/>
          <w:bCs/>
          <w:sz w:val="24"/>
          <w:szCs w:val="24"/>
        </w:rPr>
      </w:pPr>
      <w:r w:rsidRPr="00AE29EB">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EMS departments should have a policy prohibiting photographs of patients except for </w:t>
      </w:r>
      <w:proofErr w:type="gramStart"/>
      <w:r>
        <w:rPr>
          <w:rFonts w:ascii="Times New Roman" w:eastAsia="Times New Roman" w:hAnsi="Times New Roman"/>
          <w:b/>
          <w:bCs/>
          <w:sz w:val="24"/>
          <w:szCs w:val="24"/>
        </w:rPr>
        <w:t>those</w:t>
      </w:r>
      <w:proofErr w:type="gramEnd"/>
      <w:r>
        <w:rPr>
          <w:rFonts w:ascii="Times New Roman" w:eastAsia="Times New Roman" w:hAnsi="Times New Roman"/>
          <w:b/>
          <w:bCs/>
          <w:sz w:val="24"/>
          <w:szCs w:val="24"/>
        </w:rPr>
        <w:t xml:space="preserve"> needed to show </w:t>
      </w:r>
      <w:proofErr w:type="gramStart"/>
      <w:r>
        <w:rPr>
          <w:rFonts w:ascii="Times New Roman" w:eastAsia="Times New Roman" w:hAnsi="Times New Roman"/>
          <w:b/>
          <w:bCs/>
          <w:sz w:val="24"/>
          <w:szCs w:val="24"/>
        </w:rPr>
        <w:t>mechanism of injury</w:t>
      </w:r>
      <w:proofErr w:type="gramEnd"/>
      <w:r>
        <w:rPr>
          <w:rFonts w:ascii="Times New Roman" w:eastAsia="Times New Roman" w:hAnsi="Times New Roman"/>
          <w:b/>
          <w:bCs/>
          <w:sz w:val="24"/>
          <w:szCs w:val="24"/>
        </w:rPr>
        <w:t xml:space="preserve"> or other medical </w:t>
      </w:r>
      <w:proofErr w:type="gramStart"/>
      <w:r>
        <w:rPr>
          <w:rFonts w:ascii="Times New Roman" w:eastAsia="Times New Roman" w:hAnsi="Times New Roman"/>
          <w:b/>
          <w:bCs/>
          <w:sz w:val="24"/>
          <w:szCs w:val="24"/>
        </w:rPr>
        <w:t>reason</w:t>
      </w:r>
      <w:proofErr w:type="gramEnd"/>
      <w:r>
        <w:rPr>
          <w:rFonts w:ascii="Times New Roman" w:eastAsia="Times New Roman" w:hAnsi="Times New Roman"/>
          <w:b/>
          <w:bCs/>
          <w:sz w:val="24"/>
          <w:szCs w:val="24"/>
        </w:rPr>
        <w:t>, with copy only provided to hospital and the department.</w:t>
      </w:r>
    </w:p>
    <w:p w14:paraId="5ACDE68D" w14:textId="77777777" w:rsidR="00687C24" w:rsidRPr="00FD4A5B" w:rsidRDefault="00687C24" w:rsidP="00687C24">
      <w:pPr>
        <w:spacing w:before="100" w:beforeAutospacing="1" w:after="100" w:afterAutospacing="1" w:line="240" w:lineRule="auto"/>
        <w:ind w:left="720"/>
        <w:rPr>
          <w:rFonts w:ascii="Times New Roman" w:eastAsia="Times New Roman" w:hAnsi="Times New Roman"/>
          <w:b/>
          <w:bCs/>
          <w:sz w:val="24"/>
          <w:szCs w:val="24"/>
        </w:rPr>
      </w:pPr>
      <w:r w:rsidRPr="00FD4A5B">
        <w:rPr>
          <w:rFonts w:ascii="Times New Roman" w:hAnsi="Times New Roman"/>
          <w:sz w:val="24"/>
          <w:szCs w:val="24"/>
        </w:rPr>
        <w:t xml:space="preserve">Note: Nov. 2, 2021: “Los Angeles County approves $2.5 million settlement for two families over Kobe Bryant crash photos.” </w:t>
      </w:r>
      <w:hyperlink r:id="rId2234" w:history="1">
        <w:r w:rsidRPr="00FD4A5B">
          <w:rPr>
            <w:rStyle w:val="Hyperlink"/>
            <w:rFonts w:ascii="Times New Roman" w:hAnsi="Times New Roman"/>
            <w:sz w:val="24"/>
            <w:szCs w:val="24"/>
          </w:rPr>
          <w:t>https://www.cbsnews.com/news/los-angeles-settlement-families-photos-kobe-bryant-helicopter-crash/</w:t>
        </w:r>
      </w:hyperlink>
    </w:p>
    <w:p w14:paraId="3B61A98D" w14:textId="77777777" w:rsidR="00687C24" w:rsidRDefault="00687C24" w:rsidP="002B1283">
      <w:pPr>
        <w:rPr>
          <w:rFonts w:ascii="Arial Black" w:hAnsi="Arial Black"/>
          <w:b/>
          <w:bCs/>
          <w:sz w:val="28"/>
          <w:szCs w:val="28"/>
        </w:rPr>
      </w:pPr>
    </w:p>
    <w:p w14:paraId="45B0DB2A" w14:textId="77777777" w:rsidR="00687C24" w:rsidRDefault="00687C24" w:rsidP="002B1283">
      <w:pPr>
        <w:rPr>
          <w:rFonts w:ascii="Arial Black" w:hAnsi="Arial Black"/>
          <w:b/>
          <w:bCs/>
          <w:sz w:val="28"/>
          <w:szCs w:val="28"/>
        </w:rPr>
      </w:pPr>
    </w:p>
    <w:p w14:paraId="119EF7FA" w14:textId="77777777" w:rsidR="00687C24" w:rsidRDefault="00687C24" w:rsidP="002B1283">
      <w:pPr>
        <w:rPr>
          <w:rFonts w:ascii="Arial Black" w:hAnsi="Arial Black"/>
          <w:b/>
          <w:bCs/>
          <w:sz w:val="28"/>
          <w:szCs w:val="28"/>
        </w:rPr>
      </w:pPr>
    </w:p>
    <w:p w14:paraId="272A8D44" w14:textId="121B0A66" w:rsidR="00885321" w:rsidRDefault="00885321" w:rsidP="002B1283">
      <w:pPr>
        <w:rPr>
          <w:rFonts w:ascii="Arial Black" w:hAnsi="Arial Black"/>
          <w:b/>
          <w:bCs/>
          <w:sz w:val="28"/>
          <w:szCs w:val="28"/>
        </w:rPr>
      </w:pPr>
      <w:r>
        <w:rPr>
          <w:rFonts w:ascii="Arial Black" w:hAnsi="Arial Black"/>
          <w:b/>
          <w:bCs/>
          <w:sz w:val="28"/>
          <w:szCs w:val="28"/>
        </w:rPr>
        <w:t>13-9</w:t>
      </w:r>
      <w:r w:rsidR="00687C24">
        <w:rPr>
          <w:rFonts w:ascii="Arial Black" w:hAnsi="Arial Black"/>
          <w:b/>
          <w:bCs/>
          <w:sz w:val="28"/>
          <w:szCs w:val="28"/>
        </w:rPr>
        <w:t>6</w:t>
      </w:r>
    </w:p>
    <w:p w14:paraId="0D8AB1B4" w14:textId="77777777" w:rsidR="00885321" w:rsidRPr="00C04A42" w:rsidRDefault="00885321" w:rsidP="00885321">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CA: PATIENTS CARDIAC / STROKE ISSUES – CANNOT FORCE EMS TAKE TO HOSP. WERE THEIR MDs HAVE PRIVILEGES</w:t>
      </w:r>
    </w:p>
    <w:p w14:paraId="1CD0039C" w14:textId="77777777" w:rsidR="00885321" w:rsidRPr="000D1A3B" w:rsidRDefault="00885321" w:rsidP="00885321">
      <w:pPr>
        <w:spacing w:before="100" w:beforeAutospacing="1" w:after="100" w:afterAutospacing="1" w:line="240" w:lineRule="auto"/>
        <w:rPr>
          <w:rFonts w:ascii="Times New Roman" w:eastAsia="Times New Roman" w:hAnsi="Times New Roman"/>
          <w:sz w:val="24"/>
          <w:szCs w:val="24"/>
        </w:rPr>
      </w:pPr>
      <w:r w:rsidRPr="00C04A42">
        <w:rPr>
          <w:rFonts w:ascii="Times New Roman" w:eastAsia="Times New Roman" w:hAnsi="Times New Roman"/>
          <w:sz w:val="24"/>
          <w:szCs w:val="24"/>
        </w:rPr>
        <w:t xml:space="preserve">On </w:t>
      </w:r>
      <w:r>
        <w:rPr>
          <w:rFonts w:ascii="Times New Roman" w:eastAsia="Times New Roman" w:hAnsi="Times New Roman"/>
          <w:sz w:val="24"/>
          <w:szCs w:val="24"/>
        </w:rPr>
        <w:t xml:space="preserve">Nov. 1, 2021, in </w:t>
      </w:r>
      <w:r w:rsidRPr="000D1A3B">
        <w:rPr>
          <w:rFonts w:ascii="Times New Roman" w:eastAsia="Times New Roman" w:hAnsi="Times New Roman"/>
          <w:sz w:val="24"/>
          <w:szCs w:val="24"/>
          <w:u w:val="single"/>
        </w:rPr>
        <w:t>Davin Warren, et al., v. County of Sacramento</w:t>
      </w:r>
      <w:r>
        <w:rPr>
          <w:rFonts w:ascii="Times New Roman" w:eastAsia="Times New Roman" w:hAnsi="Times New Roman"/>
          <w:sz w:val="24"/>
          <w:szCs w:val="24"/>
        </w:rPr>
        <w:t xml:space="preserve">, the California Court of Appeals, Third District (Sacramento) held (3 to 0; unpublished decision) that the trial court properly granted summary judgment to the County. While sympathetic that they have suffered numerous cardiac </w:t>
      </w:r>
      <w:proofErr w:type="gramStart"/>
      <w:r>
        <w:rPr>
          <w:rFonts w:ascii="Times New Roman" w:eastAsia="Times New Roman" w:hAnsi="Times New Roman"/>
          <w:sz w:val="24"/>
          <w:szCs w:val="24"/>
        </w:rPr>
        <w:t>incident</w:t>
      </w:r>
      <w:proofErr w:type="gramEnd"/>
      <w:r>
        <w:rPr>
          <w:rFonts w:ascii="Times New Roman" w:eastAsia="Times New Roman" w:hAnsi="Times New Roman"/>
          <w:sz w:val="24"/>
          <w:szCs w:val="24"/>
        </w:rPr>
        <w:t xml:space="preserve"> and are at significant risk of stroke, they had no right under California law to force the ambulance to take them only to </w:t>
      </w:r>
      <w:r w:rsidRPr="000D1A3B">
        <w:rPr>
          <w:rFonts w:ascii="Times New Roman" w:hAnsi="Times New Roman"/>
          <w:sz w:val="24"/>
          <w:szCs w:val="24"/>
        </w:rPr>
        <w:t>University of California Davis Medical Center</w:t>
      </w:r>
      <w:r>
        <w:rPr>
          <w:rFonts w:ascii="Times New Roman" w:hAnsi="Times New Roman"/>
          <w:sz w:val="24"/>
          <w:szCs w:val="24"/>
        </w:rPr>
        <w:t xml:space="preserve"> where their treating physicians had medical privileges.  The Medical Director of the County EMS determined that </w:t>
      </w:r>
      <w:r w:rsidRPr="00D7646F">
        <w:rPr>
          <w:rFonts w:ascii="Times New Roman" w:hAnsi="Times New Roman"/>
          <w:sz w:val="24"/>
          <w:szCs w:val="24"/>
        </w:rPr>
        <w:t xml:space="preserve">Mercy San Juan </w:t>
      </w:r>
      <w:r>
        <w:rPr>
          <w:rFonts w:ascii="Times New Roman" w:hAnsi="Times New Roman"/>
          <w:sz w:val="24"/>
          <w:szCs w:val="24"/>
        </w:rPr>
        <w:t xml:space="preserve">Hospital </w:t>
      </w:r>
      <w:r w:rsidRPr="00D7646F">
        <w:rPr>
          <w:rFonts w:ascii="Times New Roman" w:hAnsi="Times New Roman"/>
          <w:sz w:val="24"/>
          <w:szCs w:val="24"/>
        </w:rPr>
        <w:t>had a higher certification for stroke care than UC Davis</w:t>
      </w:r>
      <w:r>
        <w:rPr>
          <w:rFonts w:ascii="Times New Roman" w:hAnsi="Times New Roman"/>
          <w:sz w:val="24"/>
          <w:szCs w:val="24"/>
        </w:rPr>
        <w:t xml:space="preserve">, and they have been properly transported to Mercy San Juan last three emergency transports. They always have right to arrange their own transport to UC Davis. </w:t>
      </w:r>
    </w:p>
    <w:p w14:paraId="73273A81" w14:textId="77777777" w:rsidR="00885321" w:rsidRDefault="00885321" w:rsidP="00885321">
      <w:pPr>
        <w:pStyle w:val="NormalWeb"/>
        <w:ind w:left="720" w:firstLine="60"/>
      </w:pPr>
      <w:r>
        <w:t>“Does the right to privacy include the individual's right to determine which hospital emergency room an ambulance will take the person to during a medical emergency? The trial court in this case found no such right of privacy exists and entered a judgment against plaintiffs and appellants David Warren and Kathryn C. Warren.</w:t>
      </w:r>
    </w:p>
    <w:p w14:paraId="42FC67F7" w14:textId="77777777" w:rsidR="00885321" w:rsidRDefault="00885321" w:rsidP="00885321">
      <w:pPr>
        <w:pStyle w:val="NormalWeb"/>
        <w:ind w:left="720" w:firstLine="60"/>
        <w:rPr>
          <w:b/>
          <w:bCs/>
        </w:rPr>
      </w:pPr>
      <w:r>
        <w:t>***</w:t>
      </w:r>
    </w:p>
    <w:p w14:paraId="682D475E" w14:textId="77777777" w:rsidR="00885321" w:rsidRDefault="00885321" w:rsidP="00885321">
      <w:pPr>
        <w:pStyle w:val="NormalWeb"/>
        <w:ind w:left="720"/>
      </w:pPr>
      <w:r>
        <w:t xml:space="preserve">[W]e </w:t>
      </w:r>
      <w:proofErr w:type="gramStart"/>
      <w:r>
        <w:t>conclude</w:t>
      </w:r>
      <w:proofErr w:type="gramEnd"/>
      <w:r>
        <w:t xml:space="preserve"> that the right to privacy does not encompass </w:t>
      </w:r>
      <w:proofErr w:type="gramStart"/>
      <w:r>
        <w:t>a right</w:t>
      </w:r>
      <w:proofErr w:type="gramEnd"/>
      <w:r>
        <w:t xml:space="preserve"> to direct an ambulance to the emergency room of one's choice during a medical emergency. We shall affirm the judgment.” </w:t>
      </w:r>
      <w:hyperlink r:id="rId2235" w:history="1">
        <w:r w:rsidRPr="00F67801">
          <w:rPr>
            <w:rStyle w:val="Hyperlink"/>
          </w:rPr>
          <w:t>https://casetext.com/case/warren-v-cnty-of-sacramento</w:t>
        </w:r>
      </w:hyperlink>
      <w:r>
        <w:t xml:space="preserve"> </w:t>
      </w:r>
    </w:p>
    <w:p w14:paraId="5ECEFEFD" w14:textId="77777777" w:rsidR="00687C24" w:rsidRPr="00F8175A" w:rsidRDefault="00687C24" w:rsidP="00687C24">
      <w:pPr>
        <w:pStyle w:val="NormalWeb"/>
        <w:rPr>
          <w:b/>
          <w:bCs/>
        </w:rPr>
      </w:pPr>
      <w:r w:rsidRPr="00F8175A">
        <w:rPr>
          <w:b/>
          <w:bCs/>
        </w:rPr>
        <w:t>Legal Lesson Learned:</w:t>
      </w:r>
      <w:r>
        <w:rPr>
          <w:b/>
          <w:bCs/>
        </w:rPr>
        <w:t xml:space="preserve"> In a medical emergency, EMS have right to take a patient to the most appropriate hospital. </w:t>
      </w:r>
    </w:p>
    <w:p w14:paraId="164C70A9" w14:textId="77777777" w:rsidR="00885321" w:rsidRDefault="00885321" w:rsidP="002B1283">
      <w:pPr>
        <w:rPr>
          <w:rFonts w:ascii="Arial Black" w:hAnsi="Arial Black"/>
          <w:b/>
          <w:bCs/>
          <w:sz w:val="28"/>
          <w:szCs w:val="28"/>
        </w:rPr>
      </w:pPr>
    </w:p>
    <w:p w14:paraId="36B85422" w14:textId="77777777" w:rsidR="00885321" w:rsidRDefault="00885321" w:rsidP="002B1283">
      <w:pPr>
        <w:rPr>
          <w:rFonts w:ascii="Arial Black" w:hAnsi="Arial Black"/>
          <w:b/>
          <w:bCs/>
          <w:sz w:val="28"/>
          <w:szCs w:val="28"/>
        </w:rPr>
      </w:pPr>
    </w:p>
    <w:p w14:paraId="58362567" w14:textId="744FC24F" w:rsidR="00774A91" w:rsidRDefault="00774A91" w:rsidP="002B1283">
      <w:pPr>
        <w:rPr>
          <w:rFonts w:ascii="Arial Black" w:hAnsi="Arial Black"/>
          <w:b/>
          <w:bCs/>
          <w:sz w:val="28"/>
          <w:szCs w:val="28"/>
        </w:rPr>
      </w:pPr>
      <w:r>
        <w:rPr>
          <w:rFonts w:ascii="Arial Black" w:hAnsi="Arial Black"/>
          <w:b/>
          <w:bCs/>
          <w:sz w:val="28"/>
          <w:szCs w:val="28"/>
        </w:rPr>
        <w:t>13-9</w:t>
      </w:r>
      <w:r w:rsidR="00687C24">
        <w:rPr>
          <w:rFonts w:ascii="Arial Black" w:hAnsi="Arial Black"/>
          <w:b/>
          <w:bCs/>
          <w:sz w:val="28"/>
          <w:szCs w:val="28"/>
        </w:rPr>
        <w:t>5</w:t>
      </w:r>
    </w:p>
    <w:p w14:paraId="68F7BA5D" w14:textId="77777777" w:rsidR="00774A91" w:rsidRDefault="00774A91" w:rsidP="00774A91">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AL: EMT WITNESS FOR FED. GOVT – WAS CALLED TO COUNTY JAIL - POLICE LIEUTENANT CONVICTED </w:t>
      </w:r>
    </w:p>
    <w:p w14:paraId="02B5794D" w14:textId="77777777" w:rsidR="00774A91" w:rsidRPr="00E01A44" w:rsidRDefault="00774A91" w:rsidP="00774A9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25, 2021, in </w:t>
      </w:r>
      <w:r w:rsidRPr="00092366">
        <w:rPr>
          <w:rFonts w:ascii="Times New Roman" w:eastAsia="Times New Roman" w:hAnsi="Times New Roman"/>
          <w:sz w:val="24"/>
          <w:szCs w:val="24"/>
          <w:u w:val="single"/>
        </w:rPr>
        <w:t>United States of America v. Alex Huntley</w:t>
      </w:r>
      <w:r>
        <w:rPr>
          <w:rFonts w:ascii="Times New Roman" w:eastAsia="Times New Roman" w:hAnsi="Times New Roman"/>
          <w:sz w:val="24"/>
          <w:szCs w:val="24"/>
        </w:rPr>
        <w:t>, the U.S. Court of Appeals for the 11</w:t>
      </w:r>
      <w:r w:rsidRPr="00092366">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(Atlanta, GA) held (3 to 0; unpublished opinion) that federal jury properly convicted former lieutenant of the Tuskegee, Alabama police department of </w:t>
      </w:r>
      <w:r w:rsidRPr="00092366">
        <w:rPr>
          <w:rFonts w:ascii="Times New Roman" w:hAnsi="Times New Roman"/>
          <w:sz w:val="24"/>
          <w:szCs w:val="24"/>
        </w:rPr>
        <w:t>deprivation of rights under color of law resulting in bodily injury, in violation of 18 U.S.C. § 242.</w:t>
      </w:r>
      <w:r>
        <w:rPr>
          <w:rFonts w:ascii="Times New Roman" w:hAnsi="Times New Roman"/>
          <w:sz w:val="24"/>
          <w:szCs w:val="24"/>
        </w:rPr>
        <w:t xml:space="preserve"> </w:t>
      </w:r>
      <w:r w:rsidRPr="00E01A44">
        <w:rPr>
          <w:rStyle w:val="markedcontent"/>
          <w:rFonts w:ascii="Times New Roman" w:hAnsi="Times New Roman"/>
          <w:sz w:val="24"/>
          <w:szCs w:val="24"/>
        </w:rPr>
        <w:t>Huntley was sentenced to 36 months’ imprisonment and three years’ supervised release.</w:t>
      </w:r>
      <w:r w:rsidRPr="00E01A44">
        <w:rPr>
          <w:rFonts w:ascii="Times New Roman" w:eastAsia="Times New Roman" w:hAnsi="Times New Roman"/>
          <w:sz w:val="24"/>
          <w:szCs w:val="24"/>
        </w:rPr>
        <w:tab/>
      </w:r>
      <w:r w:rsidRPr="00E01A44">
        <w:rPr>
          <w:rFonts w:ascii="Times New Roman" w:eastAsia="Times New Roman" w:hAnsi="Times New Roman"/>
          <w:sz w:val="24"/>
          <w:szCs w:val="24"/>
        </w:rPr>
        <w:tab/>
      </w:r>
      <w:r w:rsidRPr="00E01A44">
        <w:rPr>
          <w:rFonts w:ascii="Times New Roman" w:eastAsia="Times New Roman" w:hAnsi="Times New Roman"/>
          <w:sz w:val="24"/>
          <w:szCs w:val="24"/>
        </w:rPr>
        <w:tab/>
      </w:r>
      <w:r w:rsidRPr="00E01A44">
        <w:rPr>
          <w:rFonts w:ascii="Times New Roman" w:eastAsia="Times New Roman" w:hAnsi="Times New Roman"/>
          <w:sz w:val="24"/>
          <w:szCs w:val="24"/>
        </w:rPr>
        <w:tab/>
      </w:r>
    </w:p>
    <w:p w14:paraId="06FB2796" w14:textId="77777777" w:rsidR="00774A91" w:rsidRDefault="00774A91" w:rsidP="00774A9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092366">
        <w:rPr>
          <w:rFonts w:ascii="Times New Roman" w:eastAsia="Times New Roman" w:hAnsi="Times New Roman"/>
          <w:sz w:val="24"/>
          <w:szCs w:val="24"/>
        </w:rPr>
        <w:t>At trial, the government presented evidence of the facts recounted above, including, among other things, (1) testimony from Turk, EMT Peterson, Officer Echols, Officer Craig, and four Tuskegee Police Department trainees who were at the police station on December 24, 2014; (2) the pants Turk wore that day, which had blood stains on them; and (3) pictures of Turk taken by his mother soon after the incident, in which he had chipped teeth, cuts, scratches, swollen wrists, and bruises.</w:t>
      </w:r>
      <w:r>
        <w:rPr>
          <w:rFonts w:ascii="Times New Roman" w:eastAsia="Times New Roman" w:hAnsi="Times New Roman"/>
          <w:sz w:val="24"/>
          <w:szCs w:val="24"/>
        </w:rPr>
        <w:t>”</w:t>
      </w:r>
    </w:p>
    <w:p w14:paraId="6C2A6A34" w14:textId="77777777" w:rsidR="00774A91" w:rsidRDefault="00774A91" w:rsidP="00774A9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4FD2E714" w14:textId="32392D04" w:rsidR="00774A91" w:rsidRDefault="00774A91" w:rsidP="00774A91">
      <w:pPr>
        <w:rPr>
          <w:rFonts w:ascii="Arial Black" w:hAnsi="Arial Black"/>
          <w:b/>
          <w:bCs/>
          <w:sz w:val="28"/>
          <w:szCs w:val="28"/>
        </w:rPr>
      </w:pPr>
      <w:r w:rsidRPr="00E01A44">
        <w:rPr>
          <w:rFonts w:ascii="Times New Roman" w:hAnsi="Times New Roman"/>
          <w:sz w:val="24"/>
          <w:szCs w:val="24"/>
        </w:rPr>
        <w:t xml:space="preserve">Moreover, the trial testimony sufficiently showed that Huntley's actions leading into the police station and inside the building resulted in at least some bodily injury to Turk. Trial witnesses testified that Turk had blood in his mouth and on his face after the briefing room incident, indicating </w:t>
      </w:r>
      <w:proofErr w:type="gramStart"/>
      <w:r w:rsidRPr="00E01A44">
        <w:rPr>
          <w:rFonts w:ascii="Times New Roman" w:hAnsi="Times New Roman"/>
          <w:sz w:val="24"/>
          <w:szCs w:val="24"/>
        </w:rPr>
        <w:t>some kind of cut</w:t>
      </w:r>
      <w:proofErr w:type="gramEnd"/>
      <w:r w:rsidRPr="00E01A44">
        <w:rPr>
          <w:rFonts w:ascii="Times New Roman" w:hAnsi="Times New Roman"/>
          <w:sz w:val="24"/>
          <w:szCs w:val="24"/>
        </w:rPr>
        <w:t xml:space="preserve"> or abrasion occurred in the briefing room. The government </w:t>
      </w:r>
      <w:proofErr w:type="gramStart"/>
      <w:r w:rsidRPr="00E01A44">
        <w:rPr>
          <w:rFonts w:ascii="Times New Roman" w:hAnsi="Times New Roman"/>
          <w:sz w:val="24"/>
          <w:szCs w:val="24"/>
        </w:rPr>
        <w:t>entered into</w:t>
      </w:r>
      <w:proofErr w:type="gramEnd"/>
      <w:r w:rsidRPr="00E01A44">
        <w:rPr>
          <w:rFonts w:ascii="Times New Roman" w:hAnsi="Times New Roman"/>
          <w:sz w:val="24"/>
          <w:szCs w:val="24"/>
        </w:rPr>
        <w:t xml:space="preserve"> </w:t>
      </w:r>
      <w:proofErr w:type="gramStart"/>
      <w:r w:rsidRPr="00E01A44">
        <w:rPr>
          <w:rFonts w:ascii="Times New Roman" w:hAnsi="Times New Roman"/>
          <w:sz w:val="24"/>
          <w:szCs w:val="24"/>
        </w:rPr>
        <w:t>evidence</w:t>
      </w:r>
      <w:proofErr w:type="gramEnd"/>
      <w:r w:rsidRPr="00E01A44">
        <w:rPr>
          <w:rFonts w:ascii="Times New Roman" w:hAnsi="Times New Roman"/>
          <w:sz w:val="24"/>
          <w:szCs w:val="24"/>
        </w:rPr>
        <w:t xml:space="preserve"> a pair of bloodstained pants that Turk testified were stained </w:t>
      </w:r>
      <w:proofErr w:type="gramStart"/>
      <w:r w:rsidRPr="00E01A44">
        <w:rPr>
          <w:rFonts w:ascii="Times New Roman" w:hAnsi="Times New Roman"/>
          <w:sz w:val="24"/>
          <w:szCs w:val="24"/>
        </w:rPr>
        <w:t>as a result of</w:t>
      </w:r>
      <w:proofErr w:type="gramEnd"/>
      <w:r w:rsidRPr="00E01A44">
        <w:rPr>
          <w:rFonts w:ascii="Times New Roman" w:hAnsi="Times New Roman"/>
          <w:sz w:val="24"/>
          <w:szCs w:val="24"/>
        </w:rPr>
        <w:t xml:space="preserve"> his injuries from Huntley and pictures taken of Turk soon after the incident showing him with chipped teeth, cuts, and bruises. Peterson testified that Turk had a bloody lip, abrasions, and red eyes, and that Turk reported feeling pain all over his body. In addition, Turk himself testified that he was in pain because of the mace sprayed in his eyes and</w:t>
      </w:r>
      <w:r>
        <w:rPr>
          <w:rFonts w:ascii="Times New Roman" w:hAnsi="Times New Roman"/>
          <w:sz w:val="24"/>
          <w:szCs w:val="24"/>
        </w:rPr>
        <w:t xml:space="preserve"> </w:t>
      </w:r>
      <w:r w:rsidRPr="00E01A44">
        <w:rPr>
          <w:rFonts w:ascii="Times New Roman" w:hAnsi="Times New Roman"/>
          <w:sz w:val="24"/>
          <w:szCs w:val="24"/>
        </w:rPr>
        <w:t>the physical assaults that occurred inside the holding cell room and the briefing room.</w:t>
      </w:r>
      <w:r>
        <w:rPr>
          <w:rFonts w:ascii="Times New Roman" w:hAnsi="Times New Roman"/>
          <w:sz w:val="24"/>
          <w:szCs w:val="24"/>
        </w:rPr>
        <w:t xml:space="preserve">” </w:t>
      </w:r>
      <w:hyperlink r:id="rId2236" w:history="1">
        <w:r w:rsidRPr="00386EA0">
          <w:rPr>
            <w:rStyle w:val="Hyperlink"/>
            <w:sz w:val="24"/>
            <w:szCs w:val="24"/>
          </w:rPr>
          <w:t>https://media.ca11.uscourts.gov/opinions/unpub/files/201814119.pdf</w:t>
        </w:r>
      </w:hyperlink>
    </w:p>
    <w:p w14:paraId="1F75D683" w14:textId="77777777" w:rsidR="00774A91" w:rsidRDefault="00774A91" w:rsidP="00774A91">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EMS personnel may become witnesses to a police assault; fully document the patient’s injuries and our advice that prisoner be taken to hospital. </w:t>
      </w:r>
    </w:p>
    <w:p w14:paraId="5FB56446" w14:textId="77777777" w:rsidR="00774A91" w:rsidRDefault="00774A91" w:rsidP="002B1283">
      <w:pPr>
        <w:rPr>
          <w:rFonts w:ascii="Arial Black" w:hAnsi="Arial Black"/>
          <w:b/>
          <w:bCs/>
          <w:sz w:val="28"/>
          <w:szCs w:val="28"/>
        </w:rPr>
      </w:pPr>
    </w:p>
    <w:p w14:paraId="7FD612D3" w14:textId="366E40A6" w:rsidR="00774A91" w:rsidRDefault="00774A91" w:rsidP="002B1283">
      <w:pPr>
        <w:rPr>
          <w:rFonts w:ascii="Arial Black" w:hAnsi="Arial Black"/>
          <w:b/>
          <w:bCs/>
          <w:sz w:val="28"/>
          <w:szCs w:val="28"/>
        </w:rPr>
      </w:pPr>
      <w:r>
        <w:rPr>
          <w:rFonts w:ascii="Arial Black" w:hAnsi="Arial Black"/>
          <w:b/>
          <w:bCs/>
          <w:sz w:val="28"/>
          <w:szCs w:val="28"/>
        </w:rPr>
        <w:t>13-9</w:t>
      </w:r>
      <w:r w:rsidR="00687C24">
        <w:rPr>
          <w:rFonts w:ascii="Arial Black" w:hAnsi="Arial Black"/>
          <w:b/>
          <w:bCs/>
          <w:sz w:val="28"/>
          <w:szCs w:val="28"/>
        </w:rPr>
        <w:t>4</w:t>
      </w:r>
    </w:p>
    <w:p w14:paraId="1F3F1DAF" w14:textId="77777777" w:rsidR="00774A91" w:rsidRPr="00D3301A" w:rsidRDefault="00774A91" w:rsidP="00774A91">
      <w:pPr>
        <w:pStyle w:val="Heading1"/>
        <w:rPr>
          <w:rStyle w:val="Strong"/>
          <w:rFonts w:ascii="Arial Black" w:eastAsiaTheme="majorEastAsia" w:hAnsi="Arial Black"/>
          <w:sz w:val="28"/>
          <w:szCs w:val="28"/>
        </w:rPr>
      </w:pPr>
      <w:r>
        <w:rPr>
          <w:rStyle w:val="Strong"/>
          <w:rFonts w:ascii="Arial Black" w:eastAsiaTheme="majorEastAsia" w:hAnsi="Arial Black"/>
          <w:sz w:val="28"/>
          <w:szCs w:val="28"/>
        </w:rPr>
        <w:t>OH: AMBULANCE CO. SUED BY BILLING MGR., BILLER &amp; EMT - “UP CODE” BILLING – U.S. GOV’T HAS INTERVENED</w:t>
      </w:r>
    </w:p>
    <w:p w14:paraId="5362846F" w14:textId="77777777" w:rsidR="00774A91" w:rsidRDefault="00774A91" w:rsidP="00774A91">
      <w:pPr>
        <w:spacing w:before="100" w:beforeAutospacing="1" w:after="100" w:afterAutospacing="1" w:line="240" w:lineRule="auto"/>
        <w:rPr>
          <w:rFonts w:ascii="Times New Roman" w:eastAsia="Times New Roman" w:hAnsi="Times New Roman"/>
          <w:sz w:val="24"/>
          <w:szCs w:val="24"/>
        </w:rPr>
      </w:pPr>
      <w:r w:rsidRPr="005271C0">
        <w:rPr>
          <w:rFonts w:ascii="Times New Roman" w:eastAsia="Times New Roman" w:hAnsi="Times New Roman"/>
          <w:sz w:val="24"/>
          <w:szCs w:val="24"/>
        </w:rPr>
        <w:t xml:space="preserve">On </w:t>
      </w:r>
      <w:r>
        <w:rPr>
          <w:rFonts w:ascii="Times New Roman" w:eastAsia="Times New Roman" w:hAnsi="Times New Roman"/>
          <w:sz w:val="24"/>
          <w:szCs w:val="24"/>
        </w:rPr>
        <w:t xml:space="preserve">Oct. 18, 2021, in </w:t>
      </w:r>
      <w:r w:rsidRPr="005271C0">
        <w:rPr>
          <w:rFonts w:ascii="Times New Roman" w:eastAsia="Times New Roman" w:hAnsi="Times New Roman"/>
          <w:sz w:val="24"/>
          <w:szCs w:val="24"/>
          <w:u w:val="single"/>
        </w:rPr>
        <w:t>United States of America ex rel. Brandee White v. Mobile Care EMS &amp; Transport, Inc. et al.</w:t>
      </w:r>
      <w:r>
        <w:rPr>
          <w:rFonts w:ascii="Times New Roman" w:eastAsia="Times New Roman" w:hAnsi="Times New Roman"/>
          <w:sz w:val="24"/>
          <w:szCs w:val="24"/>
        </w:rPr>
        <w:t xml:space="preserve">, U.S. District Court Judge Douglas R. Cole, U.S. District Court, Southern District of Ohio (Western Division) denied Mobile Care’s motion to dismiss the lawsuit. </w:t>
      </w:r>
    </w:p>
    <w:p w14:paraId="057F8991" w14:textId="77777777" w:rsidR="00774A91" w:rsidRDefault="00774A91" w:rsidP="00774A91">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5271C0">
        <w:rPr>
          <w:rFonts w:ascii="Times New Roman" w:hAnsi="Times New Roman"/>
          <w:sz w:val="24"/>
          <w:szCs w:val="24"/>
        </w:rPr>
        <w:t>Relator White was a Mobile Care employee</w:t>
      </w:r>
      <w:r>
        <w:rPr>
          <w:rFonts w:ascii="Times New Roman" w:hAnsi="Times New Roman"/>
          <w:sz w:val="24"/>
          <w:szCs w:val="24"/>
        </w:rPr>
        <w:t xml:space="preserve">…. </w:t>
      </w:r>
      <w:r w:rsidRPr="005271C0">
        <w:rPr>
          <w:rFonts w:ascii="Times New Roman" w:hAnsi="Times New Roman"/>
          <w:sz w:val="24"/>
          <w:szCs w:val="24"/>
        </w:rPr>
        <w:t>The company hired her to oversee Mobile Care's billing practices</w:t>
      </w:r>
      <w:r>
        <w:rPr>
          <w:rFonts w:ascii="Times New Roman" w:hAnsi="Times New Roman"/>
          <w:sz w:val="24"/>
          <w:szCs w:val="24"/>
        </w:rPr>
        <w:t xml:space="preserve">…. </w:t>
      </w:r>
      <w:r w:rsidRPr="005271C0">
        <w:rPr>
          <w:rFonts w:ascii="Times New Roman" w:hAnsi="Times New Roman"/>
          <w:sz w:val="24"/>
          <w:szCs w:val="24"/>
        </w:rPr>
        <w:t xml:space="preserve">She claims that, beginning in December of 2009 and continuing at least through the date of the second amended complaint, Mobile Care had </w:t>
      </w:r>
      <w:r>
        <w:rPr>
          <w:rFonts w:ascii="Times New Roman" w:hAnsi="Times New Roman"/>
          <w:sz w:val="24"/>
          <w:szCs w:val="24"/>
        </w:rPr>
        <w:t>‘</w:t>
      </w:r>
      <w:r w:rsidRPr="005271C0">
        <w:rPr>
          <w:rFonts w:ascii="Times New Roman" w:hAnsi="Times New Roman"/>
          <w:sz w:val="24"/>
          <w:szCs w:val="24"/>
        </w:rPr>
        <w:t>knowingly … caused the submission of false or fraudulent claims to Government healthcare programs, and made or caused to be made false records and statements to get claims for ambulance services to Government healthcare programs paid</w:t>
      </w:r>
      <w:r>
        <w:rPr>
          <w:rFonts w:ascii="Times New Roman" w:hAnsi="Times New Roman"/>
          <w:sz w:val="24"/>
          <w:szCs w:val="24"/>
        </w:rPr>
        <w:t>….</w:t>
      </w:r>
      <w:r w:rsidRPr="005271C0">
        <w:rPr>
          <w:rFonts w:ascii="Times New Roman" w:hAnsi="Times New Roman"/>
          <w:sz w:val="24"/>
          <w:szCs w:val="24"/>
        </w:rPr>
        <w:t xml:space="preserve">” In particular, she alleges that Mobile Care was </w:t>
      </w:r>
      <w:r>
        <w:rPr>
          <w:rFonts w:ascii="Times New Roman" w:hAnsi="Times New Roman"/>
          <w:sz w:val="24"/>
          <w:szCs w:val="24"/>
        </w:rPr>
        <w:t>‘</w:t>
      </w:r>
      <w:r w:rsidRPr="005271C0">
        <w:rPr>
          <w:rFonts w:ascii="Times New Roman" w:hAnsi="Times New Roman"/>
          <w:sz w:val="24"/>
          <w:szCs w:val="24"/>
        </w:rPr>
        <w:t>pressuring its employees</w:t>
      </w:r>
      <w:r>
        <w:rPr>
          <w:rFonts w:ascii="Times New Roman" w:hAnsi="Times New Roman"/>
          <w:sz w:val="24"/>
          <w:szCs w:val="24"/>
        </w:rPr>
        <w:t>’</w:t>
      </w:r>
      <w:r w:rsidRPr="005271C0">
        <w:rPr>
          <w:rFonts w:ascii="Times New Roman" w:hAnsi="Times New Roman"/>
          <w:sz w:val="24"/>
          <w:szCs w:val="24"/>
        </w:rPr>
        <w:t xml:space="preserve"> to </w:t>
      </w:r>
      <w:r>
        <w:rPr>
          <w:rFonts w:ascii="Times New Roman" w:hAnsi="Times New Roman"/>
          <w:sz w:val="24"/>
          <w:szCs w:val="24"/>
        </w:rPr>
        <w:t>‘</w:t>
      </w:r>
      <w:proofErr w:type="spellStart"/>
      <w:r w:rsidRPr="005271C0">
        <w:rPr>
          <w:rFonts w:ascii="Times New Roman" w:hAnsi="Times New Roman"/>
          <w:sz w:val="24"/>
          <w:szCs w:val="24"/>
        </w:rPr>
        <w:t>upcode</w:t>
      </w:r>
      <w:proofErr w:type="spellEnd"/>
      <w:r>
        <w:rPr>
          <w:rFonts w:ascii="Times New Roman" w:hAnsi="Times New Roman"/>
          <w:sz w:val="24"/>
          <w:szCs w:val="24"/>
        </w:rPr>
        <w:t>’</w:t>
      </w:r>
      <w:r w:rsidRPr="005271C0">
        <w:rPr>
          <w:rFonts w:ascii="Times New Roman" w:hAnsi="Times New Roman"/>
          <w:sz w:val="24"/>
          <w:szCs w:val="24"/>
        </w:rPr>
        <w:t xml:space="preserve"> medical transport services to higher billing levels. </w:t>
      </w:r>
    </w:p>
    <w:p w14:paraId="08CD4118" w14:textId="77777777" w:rsidR="00774A91" w:rsidRPr="005271C0" w:rsidRDefault="00774A91" w:rsidP="00774A91">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p>
    <w:p w14:paraId="4546D8C9" w14:textId="77777777" w:rsidR="00774A91" w:rsidRDefault="00774A91" w:rsidP="00774A91">
      <w:pPr>
        <w:spacing w:before="100" w:beforeAutospacing="1" w:after="100" w:afterAutospacing="1" w:line="240" w:lineRule="auto"/>
        <w:ind w:left="720"/>
        <w:rPr>
          <w:rFonts w:ascii="Times New Roman" w:eastAsia="Times New Roman" w:hAnsi="Times New Roman"/>
          <w:sz w:val="24"/>
          <w:szCs w:val="24"/>
        </w:rPr>
      </w:pPr>
      <w:r w:rsidRPr="00E74680">
        <w:rPr>
          <w:rFonts w:ascii="Times New Roman" w:eastAsia="Times New Roman" w:hAnsi="Times New Roman"/>
          <w:sz w:val="24"/>
          <w:szCs w:val="24"/>
        </w:rPr>
        <w:t>The other two relators are likewise Mobile Care employees, one a biller and one a licensed EMT</w:t>
      </w:r>
      <w:r>
        <w:rPr>
          <w:rFonts w:ascii="Times New Roman" w:eastAsia="Times New Roman" w:hAnsi="Times New Roman"/>
          <w:sz w:val="24"/>
          <w:szCs w:val="24"/>
        </w:rPr>
        <w:t xml:space="preserve">…. </w:t>
      </w:r>
      <w:r w:rsidRPr="00E74680">
        <w:rPr>
          <w:rFonts w:ascii="Times New Roman" w:eastAsia="Times New Roman" w:hAnsi="Times New Roman"/>
          <w:sz w:val="24"/>
          <w:szCs w:val="24"/>
        </w:rPr>
        <w:t xml:space="preserve"> The former claims she “</w:t>
      </w:r>
      <w:proofErr w:type="spellStart"/>
      <w:r w:rsidRPr="00E74680">
        <w:rPr>
          <w:rFonts w:ascii="Times New Roman" w:eastAsia="Times New Roman" w:hAnsi="Times New Roman"/>
          <w:sz w:val="24"/>
          <w:szCs w:val="24"/>
        </w:rPr>
        <w:t>refus</w:t>
      </w:r>
      <w:proofErr w:type="spellEnd"/>
      <w:r w:rsidRPr="00E74680">
        <w:rPr>
          <w:rFonts w:ascii="Times New Roman" w:eastAsia="Times New Roman" w:hAnsi="Times New Roman"/>
          <w:sz w:val="24"/>
          <w:szCs w:val="24"/>
        </w:rPr>
        <w:t>[ed] to bill for services that were not supported by … records</w:t>
      </w:r>
      <w:r>
        <w:rPr>
          <w:rFonts w:ascii="Times New Roman" w:eastAsia="Times New Roman" w:hAnsi="Times New Roman"/>
          <w:sz w:val="24"/>
          <w:szCs w:val="24"/>
        </w:rPr>
        <w:t>….</w:t>
      </w:r>
      <w:r w:rsidRPr="00E74680">
        <w:rPr>
          <w:rFonts w:ascii="Times New Roman" w:eastAsia="Times New Roman" w:hAnsi="Times New Roman"/>
          <w:sz w:val="24"/>
          <w:szCs w:val="24"/>
        </w:rPr>
        <w:t xml:space="preserve">” The latter claims that he was instructed </w:t>
      </w:r>
      <w:r>
        <w:rPr>
          <w:rFonts w:ascii="Times New Roman" w:eastAsia="Times New Roman" w:hAnsi="Times New Roman"/>
          <w:sz w:val="24"/>
          <w:szCs w:val="24"/>
        </w:rPr>
        <w:t>‘</w:t>
      </w:r>
      <w:r w:rsidRPr="00E74680">
        <w:rPr>
          <w:rFonts w:ascii="Times New Roman" w:eastAsia="Times New Roman" w:hAnsi="Times New Roman"/>
          <w:sz w:val="24"/>
          <w:szCs w:val="24"/>
        </w:rPr>
        <w:t>to add specific statements and words to [his] Patient Care Reports in order to create the impression that the patients had a medically necessary reason requiring them to be transported</w:t>
      </w:r>
      <w:r>
        <w:rPr>
          <w:rFonts w:ascii="Times New Roman" w:eastAsia="Times New Roman" w:hAnsi="Times New Roman"/>
          <w:sz w:val="24"/>
          <w:szCs w:val="24"/>
        </w:rPr>
        <w:t>’</w:t>
      </w:r>
      <w:r w:rsidRPr="00E74680">
        <w:rPr>
          <w:rFonts w:ascii="Times New Roman" w:eastAsia="Times New Roman" w:hAnsi="Times New Roman"/>
          <w:sz w:val="24"/>
          <w:szCs w:val="24"/>
        </w:rPr>
        <w:t xml:space="preserve"> even if that was not the case</w:t>
      </w:r>
      <w:r>
        <w:rPr>
          <w:rFonts w:ascii="Times New Roman" w:eastAsia="Times New Roman" w:hAnsi="Times New Roman"/>
          <w:sz w:val="24"/>
          <w:szCs w:val="24"/>
        </w:rPr>
        <w:t>….</w:t>
      </w:r>
      <w:r w:rsidRPr="00E74680">
        <w:rPr>
          <w:rFonts w:ascii="Times New Roman" w:eastAsia="Times New Roman" w:hAnsi="Times New Roman"/>
          <w:sz w:val="24"/>
          <w:szCs w:val="24"/>
        </w:rPr>
        <w:t xml:space="preserve"> The Complaint also provides examples of meetings and other interactions in which Mobile Care allegedly applied pressure to EMTs and billers to assist in the fraudulent billing scheme. </w:t>
      </w:r>
    </w:p>
    <w:p w14:paraId="49F77128" w14:textId="77777777" w:rsidR="00774A91" w:rsidRDefault="00774A91" w:rsidP="00774A9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4BCF914" w14:textId="77777777" w:rsidR="00774A91" w:rsidRPr="001B3244" w:rsidRDefault="00774A91" w:rsidP="00774A91">
      <w:pPr>
        <w:spacing w:before="100" w:beforeAutospacing="1" w:after="100" w:afterAutospacing="1" w:line="240" w:lineRule="auto"/>
        <w:ind w:left="720"/>
        <w:rPr>
          <w:rFonts w:ascii="Times New Roman" w:eastAsia="Times New Roman" w:hAnsi="Times New Roman"/>
          <w:b/>
          <w:bCs/>
          <w:sz w:val="24"/>
          <w:szCs w:val="24"/>
        </w:rPr>
      </w:pPr>
      <w:r w:rsidRPr="00D3301A">
        <w:rPr>
          <w:rFonts w:ascii="Times New Roman" w:eastAsia="Times New Roman" w:hAnsi="Times New Roman"/>
          <w:sz w:val="24"/>
          <w:szCs w:val="24"/>
        </w:rPr>
        <w:t>If Mobile Care can show that it in fact did not make false claims, either as to the five specified examples, or others identified during discovery, Mobile Care will be entitled to prevail at trial, or perhaps even at summary judgment. But it is not entitled to dismissal of the complaint. Thus, the FCA claims can move forward.</w:t>
      </w:r>
      <w:r>
        <w:rPr>
          <w:rFonts w:ascii="Times New Roman" w:eastAsia="Times New Roman" w:hAnsi="Times New Roman"/>
          <w:sz w:val="24"/>
          <w:szCs w:val="24"/>
        </w:rPr>
        <w:t xml:space="preserve">” </w:t>
      </w:r>
      <w:hyperlink r:id="rId2237" w:history="1">
        <w:r w:rsidRPr="00BD2840">
          <w:rPr>
            <w:rStyle w:val="Hyperlink"/>
            <w:sz w:val="24"/>
            <w:szCs w:val="24"/>
          </w:rPr>
          <w:t>https://public.fastcase.com/9SKwsfNqTc6OieYDhNMyMyh4iKdUdl33yaqybd0RVUT7BGA%2FcA7dSWVys7nK48GqCBRY0Irwv50JDrMJhhTjndqcgsIMADMauCadEl5HS9U%3D</w:t>
        </w:r>
      </w:hyperlink>
    </w:p>
    <w:p w14:paraId="7F1E462D" w14:textId="77777777" w:rsidR="00774A91" w:rsidRPr="001B3244" w:rsidRDefault="00774A91" w:rsidP="00774A91">
      <w:pPr>
        <w:spacing w:before="100" w:beforeAutospacing="1" w:after="100" w:afterAutospacing="1" w:line="240" w:lineRule="auto"/>
        <w:rPr>
          <w:rFonts w:ascii="Times New Roman" w:eastAsia="Times New Roman" w:hAnsi="Times New Roman"/>
          <w:b/>
          <w:bCs/>
          <w:sz w:val="24"/>
          <w:szCs w:val="24"/>
        </w:rPr>
      </w:pPr>
      <w:r w:rsidRPr="001B3244">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False Claims Act is designed to award whistleblowers who inform the U.S. Government of fraudulent claims. </w:t>
      </w:r>
    </w:p>
    <w:p w14:paraId="4777195E" w14:textId="77777777" w:rsidR="00774A91" w:rsidRPr="00E81972" w:rsidRDefault="00774A91" w:rsidP="00774A91">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Relator’s awards. </w:t>
      </w:r>
      <w:hyperlink r:id="rId2238" w:history="1">
        <w:r w:rsidRPr="00BD2840">
          <w:rPr>
            <w:rStyle w:val="Hyperlink"/>
            <w:sz w:val="24"/>
            <w:szCs w:val="24"/>
          </w:rPr>
          <w:t>https://www.whistleblowerllc.com/resources/whistleblower-laws/the-federal-false-claims-act/</w:t>
        </w:r>
      </w:hyperlink>
      <w:r>
        <w:rPr>
          <w:rFonts w:ascii="Times New Roman" w:hAnsi="Times New Roman"/>
          <w:sz w:val="24"/>
          <w:szCs w:val="24"/>
        </w:rPr>
        <w:t xml:space="preserve"> </w:t>
      </w:r>
    </w:p>
    <w:p w14:paraId="3F151014" w14:textId="77777777" w:rsidR="00774A91" w:rsidRDefault="00774A91" w:rsidP="00774A91">
      <w:pPr>
        <w:spacing w:before="100" w:beforeAutospacing="1" w:after="100" w:afterAutospacing="1" w:line="240" w:lineRule="auto"/>
        <w:ind w:left="720"/>
        <w:rPr>
          <w:rFonts w:ascii="Times New Roman" w:hAnsi="Times New Roman"/>
          <w:sz w:val="24"/>
          <w:szCs w:val="24"/>
        </w:rPr>
      </w:pPr>
      <w:r>
        <w:rPr>
          <w:rStyle w:val="Strong"/>
          <w:rFonts w:ascii="Times New Roman" w:hAnsi="Times New Roman"/>
          <w:sz w:val="24"/>
          <w:szCs w:val="24"/>
        </w:rPr>
        <w:t>“</w:t>
      </w:r>
      <w:r w:rsidRPr="00E81972">
        <w:rPr>
          <w:rStyle w:val="Strong"/>
          <w:rFonts w:ascii="Times New Roman" w:hAnsi="Times New Roman"/>
          <w:sz w:val="24"/>
          <w:szCs w:val="24"/>
        </w:rPr>
        <w:t>Intervention</w:t>
      </w:r>
      <w:r w:rsidRPr="00E81972">
        <w:rPr>
          <w:rFonts w:ascii="Times New Roman" w:hAnsi="Times New Roman"/>
          <w:sz w:val="24"/>
          <w:szCs w:val="24"/>
        </w:rPr>
        <w:t xml:space="preserve">: the FCA provides for a relator share of 15%-25% of the proceeds collected by the United States </w:t>
      </w:r>
      <w:r>
        <w:rPr>
          <w:rFonts w:ascii="Times New Roman" w:hAnsi="Times New Roman"/>
          <w:sz w:val="24"/>
          <w:szCs w:val="24"/>
        </w:rPr>
        <w:t>‘</w:t>
      </w:r>
      <w:r w:rsidRPr="00E81972">
        <w:rPr>
          <w:rFonts w:ascii="Times New Roman" w:hAnsi="Times New Roman"/>
          <w:sz w:val="24"/>
          <w:szCs w:val="24"/>
        </w:rPr>
        <w:t>depending upon the extent to which the person substantially contributed to the prosecution of the action</w:t>
      </w:r>
      <w:r>
        <w:rPr>
          <w:rFonts w:ascii="Times New Roman" w:hAnsi="Times New Roman"/>
          <w:sz w:val="24"/>
          <w:szCs w:val="24"/>
        </w:rPr>
        <w:t>.’</w:t>
      </w:r>
    </w:p>
    <w:p w14:paraId="26169C72" w14:textId="77777777" w:rsidR="00774A91" w:rsidRPr="00E81972" w:rsidRDefault="00774A91" w:rsidP="00774A91">
      <w:pPr>
        <w:spacing w:before="100" w:beforeAutospacing="1" w:after="100" w:afterAutospacing="1" w:line="240" w:lineRule="auto"/>
        <w:ind w:left="720"/>
        <w:rPr>
          <w:rFonts w:ascii="Times New Roman" w:eastAsia="Times New Roman" w:hAnsi="Times New Roman"/>
          <w:sz w:val="24"/>
          <w:szCs w:val="24"/>
        </w:rPr>
      </w:pPr>
      <w:r w:rsidRPr="00E81972">
        <w:rPr>
          <w:rStyle w:val="Strong"/>
          <w:rFonts w:ascii="Times New Roman" w:hAnsi="Times New Roman"/>
          <w:sz w:val="24"/>
          <w:szCs w:val="24"/>
        </w:rPr>
        <w:t>Declination</w:t>
      </w:r>
      <w:r w:rsidRPr="00E81972">
        <w:rPr>
          <w:rFonts w:ascii="Times New Roman" w:hAnsi="Times New Roman"/>
          <w:sz w:val="24"/>
          <w:szCs w:val="24"/>
        </w:rPr>
        <w:t xml:space="preserve">: the FCA provides for a relator share of 25%-30% of the proceeds collected by the United States based on what the court finds </w:t>
      </w:r>
      <w:r>
        <w:rPr>
          <w:rFonts w:ascii="Times New Roman" w:hAnsi="Times New Roman"/>
          <w:sz w:val="24"/>
          <w:szCs w:val="24"/>
        </w:rPr>
        <w:t>‘</w:t>
      </w:r>
      <w:r w:rsidRPr="00E81972">
        <w:rPr>
          <w:rFonts w:ascii="Times New Roman" w:hAnsi="Times New Roman"/>
          <w:sz w:val="24"/>
          <w:szCs w:val="24"/>
        </w:rPr>
        <w:t>reasonable</w:t>
      </w:r>
      <w:r>
        <w:rPr>
          <w:rFonts w:ascii="Times New Roman" w:hAnsi="Times New Roman"/>
          <w:sz w:val="24"/>
          <w:szCs w:val="24"/>
        </w:rPr>
        <w:t>’</w:t>
      </w:r>
      <w:r w:rsidRPr="00E81972">
        <w:rPr>
          <w:rFonts w:ascii="Times New Roman" w:hAnsi="Times New Roman"/>
          <w:sz w:val="24"/>
          <w:szCs w:val="24"/>
        </w:rPr>
        <w:t xml:space="preserve"> for collecting the damages and penalties</w:t>
      </w:r>
      <w:r>
        <w:t>.</w:t>
      </w:r>
      <w:r>
        <w:rPr>
          <w:rFonts w:ascii="Times New Roman" w:hAnsi="Times New Roman"/>
          <w:sz w:val="24"/>
          <w:szCs w:val="24"/>
        </w:rPr>
        <w:t xml:space="preserve">” </w:t>
      </w:r>
    </w:p>
    <w:p w14:paraId="1D5E121B" w14:textId="77777777" w:rsidR="00774A91" w:rsidRDefault="00774A91" w:rsidP="002B1283">
      <w:pPr>
        <w:rPr>
          <w:rFonts w:ascii="Arial Black" w:hAnsi="Arial Black"/>
          <w:b/>
          <w:bCs/>
          <w:sz w:val="28"/>
          <w:szCs w:val="28"/>
        </w:rPr>
      </w:pPr>
    </w:p>
    <w:p w14:paraId="0F22B56B" w14:textId="3942DBE6" w:rsidR="00BD1702" w:rsidRDefault="00BD1702" w:rsidP="002B1283">
      <w:pPr>
        <w:rPr>
          <w:rFonts w:ascii="Arial Black" w:hAnsi="Arial Black"/>
          <w:b/>
          <w:bCs/>
          <w:sz w:val="28"/>
          <w:szCs w:val="28"/>
        </w:rPr>
      </w:pPr>
      <w:r>
        <w:rPr>
          <w:rFonts w:ascii="Arial Black" w:hAnsi="Arial Black"/>
          <w:b/>
          <w:bCs/>
          <w:sz w:val="28"/>
          <w:szCs w:val="28"/>
        </w:rPr>
        <w:t>13-9</w:t>
      </w:r>
      <w:r w:rsidR="00687C24">
        <w:rPr>
          <w:rFonts w:ascii="Arial Black" w:hAnsi="Arial Black"/>
          <w:b/>
          <w:bCs/>
          <w:sz w:val="28"/>
          <w:szCs w:val="28"/>
        </w:rPr>
        <w:t>3</w:t>
      </w:r>
    </w:p>
    <w:p w14:paraId="11AB1C5C" w14:textId="77777777" w:rsidR="00BD1702" w:rsidRDefault="00BD1702" w:rsidP="00BD1702">
      <w:pPr>
        <w:spacing w:before="100" w:beforeAutospacing="1" w:after="100" w:afterAutospacing="1" w:line="240" w:lineRule="auto"/>
        <w:rPr>
          <w:rFonts w:ascii="Arial Black" w:hAnsi="Arial Black"/>
          <w:sz w:val="28"/>
          <w:szCs w:val="28"/>
        </w:rPr>
      </w:pPr>
      <w:r>
        <w:rPr>
          <w:rFonts w:ascii="Arial Black" w:hAnsi="Arial Black"/>
          <w:sz w:val="28"/>
          <w:szCs w:val="28"/>
        </w:rPr>
        <w:t>NY: DEF. STRUCK EMT WITH CLOSED FIST – FELONY PLED DOWN DISORDERLY – DEF. MUST GET COVID VACCINATION</w:t>
      </w:r>
    </w:p>
    <w:p w14:paraId="6C6BA6B9" w14:textId="77777777" w:rsidR="00BD1702" w:rsidRDefault="00BD1702" w:rsidP="00BD170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Oct. 6, 2021, in </w:t>
      </w:r>
      <w:r>
        <w:rPr>
          <w:rFonts w:ascii="Times New Roman" w:hAnsi="Times New Roman"/>
          <w:sz w:val="24"/>
          <w:szCs w:val="24"/>
          <w:u w:val="single"/>
        </w:rPr>
        <w:t>The People of State of New York v. D.R.</w:t>
      </w:r>
      <w:r>
        <w:rPr>
          <w:rFonts w:ascii="Times New Roman" w:hAnsi="Times New Roman"/>
          <w:sz w:val="24"/>
          <w:szCs w:val="24"/>
        </w:rPr>
        <w:t>, Criminal Court of the City of New York, Bronx County (Judge Jeffrey M. Zimmerman) issued a written opinion confirming his order that the defendant get a COVID vaccination as a condition of his accepting plea of guilty and conditional discharge from any imprisonment.  Defendant was originally charged with a Class C felony, then offered plea to lesser Class D felony, then offered plea to misdemeanor, and then finally to a non-criminal Disorderly Conduct [which he accepted]. Judge agreed, but only if he produced proof of COVID vaccination.</w:t>
      </w:r>
    </w:p>
    <w:p w14:paraId="78E7F4F9" w14:textId="77777777" w:rsidR="00BD1702" w:rsidRDefault="00BD1702" w:rsidP="00BD1702">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“The defendant was charged with assaulting an EMS worker, thus placing his own interests and aggressions above those of public safety employees and </w:t>
      </w:r>
      <w:proofErr w:type="gramStart"/>
      <w:r>
        <w:rPr>
          <w:rFonts w:ascii="Times New Roman" w:hAnsi="Times New Roman"/>
          <w:sz w:val="24"/>
          <w:szCs w:val="24"/>
        </w:rPr>
        <w:t>society as a whole</w:t>
      </w:r>
      <w:proofErr w:type="gramEnd"/>
      <w:r>
        <w:rPr>
          <w:rFonts w:ascii="Times New Roman" w:hAnsi="Times New Roman"/>
          <w:sz w:val="24"/>
          <w:szCs w:val="24"/>
        </w:rPr>
        <w:t xml:space="preserve">. As this Court made clear at sentencing, by mandating proof of vaccination, it was giving the defendant the opportunity to engage in an activity that would do exactly the opposite, allowing him to experience the sense of community and well-being that comes with doing something that benefits others (tr at 7). There is absolutely nothing punitive about the condition, since the vaccine has been demonstrated to be safe and effective by the FDA, and by the real-life trial of hundreds of millions of doses administered around the world….  Footnote 4: “It goes without saying that the Court would not have imposed this condition had the defendant pointed to any medical conditions he had that made the vaccine unsafe for him. He did not do so.”  </w:t>
      </w:r>
      <w:hyperlink r:id="rId2239" w:history="1">
        <w:r>
          <w:rPr>
            <w:rStyle w:val="Hyperlink"/>
            <w:sz w:val="24"/>
            <w:szCs w:val="24"/>
          </w:rPr>
          <w:t>https://public.fastcase.com/9SKwsfNqTc6OieYDhNMyMzpaZgjHFdPajpMUAUycVEOD1%2FIGYL0bkVi40opLVA3rHt12SE41wYoG8BLshtbo2LNVnd3RJLWIEJH0dBI9oDE%3D</w:t>
        </w:r>
      </w:hyperlink>
      <w:r>
        <w:rPr>
          <w:rFonts w:ascii="Times New Roman" w:hAnsi="Times New Roman"/>
          <w:sz w:val="24"/>
          <w:szCs w:val="24"/>
        </w:rPr>
        <w:t xml:space="preserve"> </w:t>
      </w:r>
    </w:p>
    <w:p w14:paraId="3D643F9D" w14:textId="77777777" w:rsidR="00BD1702" w:rsidRDefault="00BD1702" w:rsidP="00BD1702">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 Learned: The plea deal offered reflects the reality of how numerous criminal cases are handled in a very busy Bronx court.  Requiring a COVID vaccination is a novel way for a Court to accept a plea deal. </w:t>
      </w:r>
    </w:p>
    <w:p w14:paraId="57F687E4" w14:textId="57102208" w:rsidR="00BD1702" w:rsidRDefault="00BD1702" w:rsidP="002B1283">
      <w:pPr>
        <w:rPr>
          <w:rFonts w:ascii="Arial Black" w:hAnsi="Arial Black"/>
          <w:b/>
          <w:bCs/>
          <w:sz w:val="28"/>
          <w:szCs w:val="28"/>
        </w:rPr>
      </w:pPr>
    </w:p>
    <w:p w14:paraId="20F65E48" w14:textId="58706F71" w:rsidR="00687C24" w:rsidRDefault="00687C24" w:rsidP="002B1283">
      <w:pPr>
        <w:rPr>
          <w:rFonts w:ascii="Arial Black" w:hAnsi="Arial Black"/>
          <w:b/>
          <w:bCs/>
          <w:sz w:val="28"/>
          <w:szCs w:val="28"/>
        </w:rPr>
      </w:pPr>
      <w:r>
        <w:rPr>
          <w:rFonts w:ascii="Arial Black" w:hAnsi="Arial Black"/>
          <w:b/>
          <w:bCs/>
          <w:sz w:val="28"/>
          <w:szCs w:val="28"/>
        </w:rPr>
        <w:t>13-92</w:t>
      </w:r>
    </w:p>
    <w:p w14:paraId="28181B64" w14:textId="77777777" w:rsidR="00687C24" w:rsidRPr="00DC3453" w:rsidRDefault="00687C24" w:rsidP="00687C24">
      <w:pPr>
        <w:spacing w:before="100" w:beforeAutospacing="1" w:after="100" w:afterAutospacing="1" w:line="240" w:lineRule="auto"/>
        <w:rPr>
          <w:rFonts w:ascii="Arial Black" w:eastAsia="Times New Roman" w:hAnsi="Arial Black"/>
          <w:b/>
          <w:bCs/>
          <w:sz w:val="28"/>
          <w:szCs w:val="28"/>
        </w:rPr>
      </w:pPr>
      <w:r w:rsidRPr="00DC3453">
        <w:rPr>
          <w:rFonts w:ascii="Arial Black" w:eastAsia="Times New Roman" w:hAnsi="Arial Black"/>
          <w:b/>
          <w:bCs/>
          <w:sz w:val="28"/>
          <w:szCs w:val="28"/>
        </w:rPr>
        <w:t xml:space="preserve">MN: </w:t>
      </w:r>
      <w:r>
        <w:rPr>
          <w:rFonts w:ascii="Arial Black" w:eastAsia="Times New Roman" w:hAnsi="Arial Black"/>
          <w:b/>
          <w:bCs/>
          <w:sz w:val="28"/>
          <w:szCs w:val="28"/>
        </w:rPr>
        <w:t xml:space="preserve">PATIENT WITH GUN SHOT TO HOSPITAL - </w:t>
      </w:r>
      <w:r w:rsidRPr="00DC3453">
        <w:rPr>
          <w:rFonts w:ascii="Arial Black" w:eastAsia="Times New Roman" w:hAnsi="Arial Black"/>
          <w:b/>
          <w:bCs/>
          <w:sz w:val="28"/>
          <w:szCs w:val="28"/>
        </w:rPr>
        <w:t xml:space="preserve">PAT DOWN REVEALS </w:t>
      </w:r>
      <w:r>
        <w:rPr>
          <w:rFonts w:ascii="Arial Black" w:eastAsia="Times New Roman" w:hAnsi="Arial Black"/>
          <w:b/>
          <w:bCs/>
          <w:sz w:val="28"/>
          <w:szCs w:val="28"/>
        </w:rPr>
        <w:t>FIREARM – SEARCH LAWFUL “ADMIN. ACTION”</w:t>
      </w:r>
    </w:p>
    <w:p w14:paraId="3FDFA65E" w14:textId="77777777" w:rsidR="00687C24" w:rsidRDefault="00687C24" w:rsidP="00687C24">
      <w:pPr>
        <w:spacing w:before="100" w:beforeAutospacing="1" w:after="100" w:afterAutospacing="1" w:line="240" w:lineRule="auto"/>
        <w:rPr>
          <w:rFonts w:ascii="Times New Roman" w:eastAsia="Times New Roman" w:hAnsi="Times New Roman"/>
          <w:sz w:val="24"/>
          <w:szCs w:val="24"/>
        </w:rPr>
      </w:pPr>
      <w:r w:rsidRPr="00943820">
        <w:rPr>
          <w:rFonts w:ascii="Times New Roman" w:eastAsia="Times New Roman" w:hAnsi="Times New Roman"/>
          <w:sz w:val="24"/>
          <w:szCs w:val="24"/>
        </w:rPr>
        <w:t xml:space="preserve">On </w:t>
      </w:r>
      <w:r>
        <w:rPr>
          <w:rFonts w:ascii="Times New Roman" w:eastAsia="Times New Roman" w:hAnsi="Times New Roman"/>
          <w:sz w:val="24"/>
          <w:szCs w:val="24"/>
        </w:rPr>
        <w:t xml:space="preserve">Oct. 1, 2021, in </w:t>
      </w:r>
      <w:r w:rsidRPr="00943820">
        <w:rPr>
          <w:rFonts w:ascii="Times New Roman" w:eastAsia="Times New Roman" w:hAnsi="Times New Roman"/>
          <w:sz w:val="24"/>
          <w:szCs w:val="24"/>
          <w:u w:val="single"/>
        </w:rPr>
        <w:t>United States of America v. Dywan Lamar Conley</w:t>
      </w:r>
      <w:r>
        <w:rPr>
          <w:rFonts w:ascii="Times New Roman" w:eastAsia="Times New Roman" w:hAnsi="Times New Roman"/>
          <w:sz w:val="24"/>
          <w:szCs w:val="24"/>
        </w:rPr>
        <w:t xml:space="preserve">, U.S. Magistrate Judge Beck R. Thorson issued a Report </w:t>
      </w:r>
      <w:proofErr w:type="gramStart"/>
      <w:r>
        <w:rPr>
          <w:rFonts w:ascii="Times New Roman" w:eastAsia="Times New Roman" w:hAnsi="Times New Roman"/>
          <w:sz w:val="24"/>
          <w:szCs w:val="24"/>
        </w:rPr>
        <w:t>And</w:t>
      </w:r>
      <w:proofErr w:type="gramEnd"/>
      <w:r>
        <w:rPr>
          <w:rFonts w:ascii="Times New Roman" w:eastAsia="Times New Roman" w:hAnsi="Times New Roman"/>
          <w:sz w:val="24"/>
          <w:szCs w:val="24"/>
        </w:rPr>
        <w:t xml:space="preserve"> Recommendation to deny the defendant’s motion to suppress the firearm as evidence in his upcoming trial. </w:t>
      </w:r>
    </w:p>
    <w:p w14:paraId="01FE323A" w14:textId="77777777" w:rsidR="00687C24" w:rsidRPr="009719B6" w:rsidRDefault="00687C24" w:rsidP="00687C24">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DC3453">
        <w:rPr>
          <w:rFonts w:ascii="Times New Roman" w:hAnsi="Times New Roman"/>
          <w:sz w:val="24"/>
          <w:szCs w:val="24"/>
        </w:rPr>
        <w:t>Therefore, this Court concludes that because the HCMC protection officers were working with an administrative purpose when they held Defendant down to assist medical personnel in administering treatment and to protect medical personnel, their actions are subject to the Fourth Amendment.</w:t>
      </w:r>
      <w:r>
        <w:rPr>
          <w:rFonts w:ascii="Times New Roman" w:hAnsi="Times New Roman"/>
          <w:sz w:val="24"/>
          <w:szCs w:val="24"/>
        </w:rPr>
        <w:t xml:space="preserve">” </w:t>
      </w:r>
      <w:hyperlink r:id="rId2240" w:history="1">
        <w:r w:rsidRPr="009719B6">
          <w:rPr>
            <w:rStyle w:val="Hyperlink"/>
            <w:rFonts w:ascii="Times New Roman" w:hAnsi="Times New Roman"/>
            <w:sz w:val="24"/>
            <w:szCs w:val="24"/>
          </w:rPr>
          <w:t>https://public.fastcase.com/9SKwsfNqTc6OieYDhNMyMwbSkTth7KSxZerJ72xuPASz0hfrLKBLsSHZ5wSTH5hTHTRhpFz%2FSUPG8m6eckQDfkjqtfnRAdXjc9mLaHWodGM%3D</w:t>
        </w:r>
      </w:hyperlink>
      <w:r w:rsidRPr="009719B6">
        <w:rPr>
          <w:rFonts w:ascii="Times New Roman" w:hAnsi="Times New Roman"/>
          <w:sz w:val="24"/>
          <w:szCs w:val="24"/>
        </w:rPr>
        <w:t xml:space="preserve"> </w:t>
      </w:r>
    </w:p>
    <w:p w14:paraId="29CB10B0" w14:textId="77777777" w:rsidR="00687C24" w:rsidRPr="00B20244" w:rsidRDefault="00687C24" w:rsidP="00687C24">
      <w:pPr>
        <w:pStyle w:val="NormalWeb"/>
        <w:rPr>
          <w:b/>
          <w:bCs/>
        </w:rPr>
      </w:pPr>
      <w:r w:rsidRPr="00B20244">
        <w:rPr>
          <w:b/>
          <w:bCs/>
        </w:rPr>
        <w:t>Legal Lesson Learned:</w:t>
      </w:r>
      <w:r>
        <w:rPr>
          <w:b/>
          <w:bCs/>
        </w:rPr>
        <w:t xml:space="preserve">  Hospital security personnel may search a patient for “administrative purpose.” </w:t>
      </w:r>
    </w:p>
    <w:p w14:paraId="6C7037C3" w14:textId="77777777" w:rsidR="00687C24" w:rsidRDefault="00687C24" w:rsidP="002B1283">
      <w:pPr>
        <w:rPr>
          <w:rFonts w:ascii="Arial Black" w:hAnsi="Arial Black"/>
          <w:b/>
          <w:bCs/>
          <w:sz w:val="28"/>
          <w:szCs w:val="28"/>
        </w:rPr>
      </w:pPr>
    </w:p>
    <w:p w14:paraId="48F6E71A" w14:textId="77777777" w:rsidR="00BD1702" w:rsidRDefault="00BD1702" w:rsidP="002B1283">
      <w:pPr>
        <w:rPr>
          <w:rFonts w:ascii="Arial Black" w:hAnsi="Arial Black"/>
          <w:b/>
          <w:bCs/>
          <w:sz w:val="28"/>
          <w:szCs w:val="28"/>
        </w:rPr>
      </w:pPr>
    </w:p>
    <w:p w14:paraId="75004D39" w14:textId="419695A0" w:rsidR="002F610D" w:rsidRDefault="002F610D" w:rsidP="002B1283">
      <w:pPr>
        <w:rPr>
          <w:rFonts w:ascii="Arial Black" w:hAnsi="Arial Black"/>
          <w:b/>
          <w:bCs/>
          <w:sz w:val="28"/>
          <w:szCs w:val="28"/>
        </w:rPr>
      </w:pPr>
      <w:r>
        <w:rPr>
          <w:rFonts w:ascii="Arial Black" w:hAnsi="Arial Black"/>
          <w:b/>
          <w:bCs/>
          <w:sz w:val="28"/>
          <w:szCs w:val="28"/>
        </w:rPr>
        <w:t>13-91</w:t>
      </w:r>
    </w:p>
    <w:p w14:paraId="71011B97" w14:textId="77777777" w:rsidR="002F610D" w:rsidRDefault="002F610D" w:rsidP="002F610D">
      <w:pPr>
        <w:rPr>
          <w:rFonts w:ascii="Arial Black" w:hAnsi="Arial Black"/>
          <w:sz w:val="28"/>
          <w:szCs w:val="28"/>
        </w:rPr>
      </w:pPr>
      <w:bookmarkStart w:id="448" w:name="_Hlk81842635"/>
      <w:r>
        <w:rPr>
          <w:rFonts w:ascii="Arial Black" w:hAnsi="Arial Black"/>
          <w:sz w:val="28"/>
          <w:szCs w:val="28"/>
        </w:rPr>
        <w:t>CO:  PARAMEDIC INJECTED KETAMINE - POLICE ARREST – PATIENT UNCONSCIOUS 3 DAYS – LAWSUIT PROCEED</w:t>
      </w:r>
    </w:p>
    <w:bookmarkEnd w:id="448"/>
    <w:p w14:paraId="528C59BA" w14:textId="77777777" w:rsidR="002F610D" w:rsidRDefault="002F610D" w:rsidP="002F610D">
      <w:pPr>
        <w:rPr>
          <w:rFonts w:ascii="Times New Roman" w:hAnsi="Times New Roman"/>
          <w:sz w:val="24"/>
          <w:szCs w:val="24"/>
        </w:rPr>
      </w:pPr>
      <w:r>
        <w:rPr>
          <w:rFonts w:ascii="Times New Roman" w:hAnsi="Times New Roman"/>
          <w:sz w:val="24"/>
          <w:szCs w:val="24"/>
        </w:rPr>
        <w:t xml:space="preserve">On Aug. 10, 2021, in </w:t>
      </w:r>
      <w:r w:rsidRPr="00A45113">
        <w:rPr>
          <w:rFonts w:ascii="Times New Roman" w:hAnsi="Times New Roman"/>
          <w:sz w:val="24"/>
          <w:szCs w:val="24"/>
          <w:u w:val="single"/>
        </w:rPr>
        <w:t>Elijah McKnight v. Sheriff Tyler Brown, et al</w:t>
      </w:r>
      <w:r>
        <w:rPr>
          <w:rFonts w:ascii="Times New Roman" w:hAnsi="Times New Roman"/>
          <w:sz w:val="24"/>
          <w:szCs w:val="24"/>
        </w:rPr>
        <w:t xml:space="preserve">., U.S. Magistrate Judge </w:t>
      </w:r>
      <w:r w:rsidRPr="00A45113">
        <w:rPr>
          <w:rFonts w:ascii="Times New Roman" w:hAnsi="Times New Roman"/>
          <w:sz w:val="24"/>
          <w:szCs w:val="24"/>
        </w:rPr>
        <w:t>S. Kato Crews</w:t>
      </w:r>
      <w:r>
        <w:rPr>
          <w:rFonts w:ascii="Times New Roman" w:hAnsi="Times New Roman"/>
          <w:sz w:val="24"/>
          <w:szCs w:val="24"/>
        </w:rPr>
        <w:t xml:space="preserve">, U.S. District Court for the District of Colorado, denied Paramedic Marshall Cloud and other defendants’ motion to stay all discovery, and dismiss the lawsuit </w:t>
      </w:r>
      <w:proofErr w:type="gramStart"/>
      <w:r>
        <w:rPr>
          <w:rFonts w:ascii="Times New Roman" w:hAnsi="Times New Roman"/>
          <w:sz w:val="24"/>
          <w:szCs w:val="24"/>
        </w:rPr>
        <w:t>on the basis of</w:t>
      </w:r>
      <w:proofErr w:type="gramEnd"/>
      <w:r>
        <w:rPr>
          <w:rFonts w:ascii="Times New Roman" w:hAnsi="Times New Roman"/>
          <w:sz w:val="24"/>
          <w:szCs w:val="24"/>
        </w:rPr>
        <w:t xml:space="preserve"> qualified immunity.  </w:t>
      </w:r>
    </w:p>
    <w:p w14:paraId="6D5B27BC" w14:textId="77777777" w:rsidR="002F610D" w:rsidRDefault="002F610D" w:rsidP="002F610D">
      <w:pPr>
        <w:ind w:left="720"/>
        <w:rPr>
          <w:rFonts w:ascii="Times New Roman" w:hAnsi="Times New Roman"/>
          <w:sz w:val="24"/>
          <w:szCs w:val="24"/>
        </w:rPr>
      </w:pPr>
      <w:r>
        <w:rPr>
          <w:rFonts w:ascii="Times New Roman" w:hAnsi="Times New Roman"/>
          <w:sz w:val="24"/>
          <w:szCs w:val="24"/>
        </w:rPr>
        <w:t>The Court wrote: “</w:t>
      </w:r>
      <w:r w:rsidRPr="00A837A2">
        <w:rPr>
          <w:rFonts w:ascii="Times New Roman" w:hAnsi="Times New Roman"/>
          <w:sz w:val="24"/>
          <w:szCs w:val="24"/>
        </w:rPr>
        <w:t xml:space="preserve">The Plaintiff in this case spent three days unconscious and required machine assistance to help him breathe. He </w:t>
      </w:r>
      <w:proofErr w:type="gramStart"/>
      <w:r w:rsidRPr="00A837A2">
        <w:rPr>
          <w:rFonts w:ascii="Times New Roman" w:hAnsi="Times New Roman"/>
          <w:sz w:val="24"/>
          <w:szCs w:val="24"/>
        </w:rPr>
        <w:t>is deserving of</w:t>
      </w:r>
      <w:proofErr w:type="gramEnd"/>
      <w:r w:rsidRPr="00A837A2">
        <w:rPr>
          <w:rFonts w:ascii="Times New Roman" w:hAnsi="Times New Roman"/>
          <w:sz w:val="24"/>
          <w:szCs w:val="24"/>
        </w:rPr>
        <w:t xml:space="preserve"> answers regarding why this happened and whether anyone is to be held responsible.</w:t>
      </w:r>
    </w:p>
    <w:p w14:paraId="5D10381A" w14:textId="77777777" w:rsidR="002F610D" w:rsidRPr="00A837A2" w:rsidRDefault="002F610D" w:rsidP="002F610D">
      <w:pPr>
        <w:ind w:left="720"/>
        <w:rPr>
          <w:rFonts w:ascii="Times New Roman" w:hAnsi="Times New Roman"/>
          <w:sz w:val="24"/>
          <w:szCs w:val="24"/>
        </w:rPr>
      </w:pPr>
      <w:r>
        <w:rPr>
          <w:rFonts w:ascii="Times New Roman" w:hAnsi="Times New Roman"/>
          <w:sz w:val="24"/>
          <w:szCs w:val="24"/>
        </w:rPr>
        <w:t>***</w:t>
      </w:r>
    </w:p>
    <w:p w14:paraId="5245315C" w14:textId="77777777" w:rsidR="002F610D" w:rsidRDefault="002F610D" w:rsidP="002F610D">
      <w:pPr>
        <w:ind w:left="720"/>
        <w:rPr>
          <w:rFonts w:ascii="Times New Roman" w:hAnsi="Times New Roman"/>
          <w:sz w:val="24"/>
          <w:szCs w:val="24"/>
        </w:rPr>
      </w:pPr>
      <w:r w:rsidRPr="00A45113">
        <w:rPr>
          <w:rFonts w:ascii="Times New Roman" w:hAnsi="Times New Roman"/>
          <w:sz w:val="24"/>
          <w:szCs w:val="24"/>
        </w:rPr>
        <w:t xml:space="preserve">Finally, although Defendants are dismissive of the </w:t>
      </w:r>
      <w:r>
        <w:rPr>
          <w:rFonts w:ascii="Times New Roman" w:hAnsi="Times New Roman"/>
          <w:sz w:val="24"/>
          <w:szCs w:val="24"/>
        </w:rPr>
        <w:t>‘</w:t>
      </w:r>
      <w:r w:rsidRPr="00A45113">
        <w:rPr>
          <w:rFonts w:ascii="Times New Roman" w:hAnsi="Times New Roman"/>
          <w:sz w:val="24"/>
          <w:szCs w:val="24"/>
        </w:rPr>
        <w:t>lofty</w:t>
      </w:r>
      <w:r>
        <w:rPr>
          <w:rFonts w:ascii="Times New Roman" w:hAnsi="Times New Roman"/>
          <w:sz w:val="24"/>
          <w:szCs w:val="24"/>
        </w:rPr>
        <w:t>’</w:t>
      </w:r>
      <w:r w:rsidRPr="00A45113">
        <w:rPr>
          <w:rFonts w:ascii="Times New Roman" w:hAnsi="Times New Roman"/>
          <w:sz w:val="24"/>
          <w:szCs w:val="24"/>
        </w:rPr>
        <w:t xml:space="preserve"> public interest in the prompt and efficient handling of litigation, they do not address Plaintiff's argument regarding the public's interest in the use of Ketamine by first responders. The Court takes judicial notice of the local and national attention this issue has garnered. To be sure, this is not the only case in this district (involving the use of Ketamine) to arise during the week of August 18, 2019. The case of </w:t>
      </w:r>
      <w:r w:rsidRPr="00A45113">
        <w:rPr>
          <w:rStyle w:val="Emphasis"/>
          <w:rFonts w:ascii="Times New Roman" w:hAnsi="Times New Roman"/>
          <w:sz w:val="24"/>
          <w:szCs w:val="24"/>
        </w:rPr>
        <w:t>Estate of McClain by and through McClain v. City of Aurora, Colorado</w:t>
      </w:r>
      <w:r w:rsidRPr="00A45113">
        <w:rPr>
          <w:rFonts w:ascii="Times New Roman" w:hAnsi="Times New Roman"/>
          <w:sz w:val="24"/>
          <w:szCs w:val="24"/>
        </w:rPr>
        <w:t xml:space="preserve">, involves a similar fact pattern, albeit with the City of Aurora Police Department. This Court agrees with Magistrate Judge N. Reid </w:t>
      </w:r>
      <w:proofErr w:type="spellStart"/>
      <w:r w:rsidRPr="00A45113">
        <w:rPr>
          <w:rFonts w:ascii="Times New Roman" w:hAnsi="Times New Roman"/>
          <w:sz w:val="24"/>
          <w:szCs w:val="24"/>
        </w:rPr>
        <w:t>Neurieter</w:t>
      </w:r>
      <w:proofErr w:type="spellEnd"/>
      <w:r w:rsidRPr="00A45113">
        <w:rPr>
          <w:rFonts w:ascii="Times New Roman" w:hAnsi="Times New Roman"/>
          <w:sz w:val="24"/>
          <w:szCs w:val="24"/>
        </w:rPr>
        <w:t xml:space="preserve"> </w:t>
      </w:r>
      <w:proofErr w:type="gramStart"/>
      <w:r w:rsidRPr="00A45113">
        <w:rPr>
          <w:rFonts w:ascii="Times New Roman" w:hAnsi="Times New Roman"/>
          <w:sz w:val="24"/>
          <w:szCs w:val="24"/>
        </w:rPr>
        <w:t xml:space="preserve">that, </w:t>
      </w:r>
      <w:r>
        <w:rPr>
          <w:rFonts w:ascii="Times New Roman" w:hAnsi="Times New Roman"/>
          <w:sz w:val="24"/>
          <w:szCs w:val="24"/>
        </w:rPr>
        <w:t>‘</w:t>
      </w:r>
      <w:proofErr w:type="gramEnd"/>
      <w:r w:rsidRPr="00A45113">
        <w:rPr>
          <w:rFonts w:ascii="Times New Roman" w:hAnsi="Times New Roman"/>
          <w:sz w:val="24"/>
          <w:szCs w:val="24"/>
        </w:rPr>
        <w:t xml:space="preserve">it is not in the interest of the public or in the interest of justice to ‘put on the back </w:t>
      </w:r>
      <w:proofErr w:type="gramStart"/>
      <w:r w:rsidRPr="00A45113">
        <w:rPr>
          <w:rFonts w:ascii="Times New Roman" w:hAnsi="Times New Roman"/>
          <w:sz w:val="24"/>
          <w:szCs w:val="24"/>
        </w:rPr>
        <w:t>burner'</w:t>
      </w:r>
      <w:proofErr w:type="gramEnd"/>
      <w:r w:rsidRPr="00A45113">
        <w:rPr>
          <w:rFonts w:ascii="Times New Roman" w:hAnsi="Times New Roman"/>
          <w:sz w:val="24"/>
          <w:szCs w:val="24"/>
        </w:rPr>
        <w:t xml:space="preserve"> discovery in a case that raises significant questions about [Arapahoe County's] policing and paramedic practices.</w:t>
      </w:r>
      <w:r>
        <w:rPr>
          <w:rFonts w:ascii="Times New Roman" w:hAnsi="Times New Roman"/>
          <w:sz w:val="24"/>
          <w:szCs w:val="24"/>
        </w:rPr>
        <w:t>’</w:t>
      </w:r>
      <w:r w:rsidRPr="00A45113">
        <w:rPr>
          <w:rFonts w:ascii="Times New Roman" w:hAnsi="Times New Roman"/>
          <w:sz w:val="24"/>
          <w:szCs w:val="24"/>
        </w:rPr>
        <w:t xml:space="preserve"> </w:t>
      </w:r>
      <w:r w:rsidRPr="00A45113">
        <w:rPr>
          <w:rStyle w:val="Emphasis"/>
          <w:rFonts w:ascii="Times New Roman" w:hAnsi="Times New Roman"/>
          <w:sz w:val="24"/>
          <w:szCs w:val="24"/>
        </w:rPr>
        <w:t>Estate of McClain</w:t>
      </w:r>
      <w:r w:rsidRPr="00A45113">
        <w:rPr>
          <w:rFonts w:ascii="Times New Roman" w:hAnsi="Times New Roman"/>
          <w:sz w:val="24"/>
          <w:szCs w:val="24"/>
        </w:rPr>
        <w:t>, 2021 WL 307505, at *4.</w:t>
      </w:r>
      <w:r>
        <w:rPr>
          <w:rFonts w:ascii="Times New Roman" w:hAnsi="Times New Roman"/>
          <w:sz w:val="24"/>
          <w:szCs w:val="24"/>
        </w:rPr>
        <w:t xml:space="preserve">” </w:t>
      </w:r>
      <w:hyperlink r:id="rId2241" w:history="1">
        <w:r w:rsidRPr="004C287D">
          <w:rPr>
            <w:rStyle w:val="Hyperlink"/>
            <w:rFonts w:ascii="Times New Roman" w:hAnsi="Times New Roman"/>
            <w:sz w:val="24"/>
            <w:szCs w:val="24"/>
          </w:rPr>
          <w:t>https://www.leagle.com/decision/infdco20210811a71</w:t>
        </w:r>
      </w:hyperlink>
      <w:r>
        <w:rPr>
          <w:rFonts w:ascii="Times New Roman" w:hAnsi="Times New Roman"/>
          <w:sz w:val="24"/>
          <w:szCs w:val="24"/>
        </w:rPr>
        <w:t xml:space="preserve"> </w:t>
      </w:r>
    </w:p>
    <w:p w14:paraId="1530B6D8" w14:textId="77777777" w:rsidR="002F610D" w:rsidRDefault="002F610D" w:rsidP="002F610D">
      <w:pPr>
        <w:tabs>
          <w:tab w:val="left" w:pos="3100"/>
        </w:tabs>
        <w:rPr>
          <w:rFonts w:ascii="Times New Roman" w:hAnsi="Times New Roman"/>
          <w:b/>
          <w:bCs/>
          <w:sz w:val="24"/>
          <w:szCs w:val="24"/>
        </w:rPr>
      </w:pPr>
      <w:r w:rsidRPr="00A837A2">
        <w:rPr>
          <w:rFonts w:ascii="Times New Roman" w:hAnsi="Times New Roman"/>
          <w:b/>
          <w:bCs/>
          <w:sz w:val="24"/>
          <w:szCs w:val="24"/>
        </w:rPr>
        <w:t>Legal Lesson Learned:</w:t>
      </w:r>
      <w:r>
        <w:rPr>
          <w:rFonts w:ascii="Times New Roman" w:hAnsi="Times New Roman"/>
          <w:b/>
          <w:bCs/>
          <w:sz w:val="24"/>
          <w:szCs w:val="24"/>
        </w:rPr>
        <w:t xml:space="preserve"> Watch the video of Aug. 20, </w:t>
      </w:r>
      <w:proofErr w:type="gramStart"/>
      <w:r>
        <w:rPr>
          <w:rFonts w:ascii="Times New Roman" w:hAnsi="Times New Roman"/>
          <w:b/>
          <w:bCs/>
          <w:sz w:val="24"/>
          <w:szCs w:val="24"/>
        </w:rPr>
        <w:t>2019</w:t>
      </w:r>
      <w:proofErr w:type="gramEnd"/>
      <w:r>
        <w:rPr>
          <w:rFonts w:ascii="Times New Roman" w:hAnsi="Times New Roman"/>
          <w:b/>
          <w:bCs/>
          <w:sz w:val="24"/>
          <w:szCs w:val="24"/>
        </w:rPr>
        <w:t xml:space="preserve"> arrest of the plaintiff; would your EMS protocol allow Ketamine to be used? </w:t>
      </w:r>
    </w:p>
    <w:p w14:paraId="08E33365" w14:textId="77777777" w:rsidR="002F610D" w:rsidRDefault="002F610D" w:rsidP="002F610D">
      <w:pPr>
        <w:pStyle w:val="NoSpacing"/>
        <w:ind w:left="720"/>
        <w:rPr>
          <w:rStyle w:val="Hyperlink"/>
          <w:sz w:val="24"/>
          <w:szCs w:val="24"/>
        </w:rPr>
      </w:pPr>
      <w:r w:rsidRPr="00A837A2">
        <w:rPr>
          <w:rStyle w:val="style-scope"/>
          <w:rFonts w:ascii="Times New Roman" w:hAnsi="Times New Roman"/>
          <w:sz w:val="24"/>
          <w:szCs w:val="24"/>
        </w:rPr>
        <w:t xml:space="preserve">Note: This is bodycam footage from the Aug. 20, </w:t>
      </w:r>
      <w:proofErr w:type="gramStart"/>
      <w:r w:rsidRPr="00A837A2">
        <w:rPr>
          <w:rStyle w:val="style-scope"/>
          <w:rFonts w:ascii="Times New Roman" w:hAnsi="Times New Roman"/>
          <w:sz w:val="24"/>
          <w:szCs w:val="24"/>
        </w:rPr>
        <w:t>2019</w:t>
      </w:r>
      <w:proofErr w:type="gramEnd"/>
      <w:r w:rsidRPr="00A837A2">
        <w:rPr>
          <w:rStyle w:val="style-scope"/>
          <w:rFonts w:ascii="Times New Roman" w:hAnsi="Times New Roman"/>
          <w:sz w:val="24"/>
          <w:szCs w:val="24"/>
        </w:rPr>
        <w:t xml:space="preserve"> arrest of Elijah McKnight by Arapahoe County deputies, and South Metro Fire. </w:t>
      </w:r>
      <w:hyperlink r:id="rId2242" w:history="1">
        <w:r w:rsidRPr="00A837A2">
          <w:rPr>
            <w:rStyle w:val="Hyperlink"/>
            <w:sz w:val="24"/>
            <w:szCs w:val="24"/>
          </w:rPr>
          <w:t>https://www.youtube.com/watch?v=DDCANExSv1Q</w:t>
        </w:r>
      </w:hyperlink>
    </w:p>
    <w:p w14:paraId="0F3762A4" w14:textId="77777777" w:rsidR="002F610D" w:rsidRDefault="002F610D" w:rsidP="002F610D">
      <w:pPr>
        <w:pStyle w:val="NoSpacing"/>
        <w:ind w:left="720"/>
        <w:rPr>
          <w:rStyle w:val="Hyperlink"/>
          <w:sz w:val="24"/>
          <w:szCs w:val="24"/>
        </w:rPr>
      </w:pPr>
    </w:p>
    <w:p w14:paraId="5ACFE2DA" w14:textId="77777777" w:rsidR="002F610D" w:rsidRPr="00E145B7" w:rsidRDefault="002F610D" w:rsidP="002F610D">
      <w:pPr>
        <w:pStyle w:val="NoSpacing"/>
        <w:ind w:left="720"/>
        <w:rPr>
          <w:rFonts w:ascii="Times New Roman" w:hAnsi="Times New Roman"/>
          <w:b/>
          <w:bCs/>
          <w:sz w:val="24"/>
          <w:szCs w:val="24"/>
        </w:rPr>
      </w:pPr>
      <w:r w:rsidRPr="00E145B7">
        <w:rPr>
          <w:rFonts w:ascii="Times New Roman" w:hAnsi="Times New Roman"/>
          <w:sz w:val="24"/>
          <w:szCs w:val="24"/>
        </w:rPr>
        <w:t xml:space="preserve">See Sept. 2, </w:t>
      </w:r>
      <w:proofErr w:type="gramStart"/>
      <w:r w:rsidRPr="00E145B7">
        <w:rPr>
          <w:rFonts w:ascii="Times New Roman" w:hAnsi="Times New Roman"/>
          <w:sz w:val="24"/>
          <w:szCs w:val="24"/>
        </w:rPr>
        <w:t>2021</w:t>
      </w:r>
      <w:proofErr w:type="gramEnd"/>
      <w:r w:rsidRPr="00E145B7">
        <w:rPr>
          <w:rFonts w:ascii="Times New Roman" w:hAnsi="Times New Roman"/>
          <w:sz w:val="24"/>
          <w:szCs w:val="24"/>
        </w:rPr>
        <w:t xml:space="preserve"> article: “</w:t>
      </w:r>
      <w:r w:rsidRPr="00E145B7">
        <w:rPr>
          <w:rStyle w:val="dfm-title"/>
          <w:rFonts w:ascii="Times New Roman" w:hAnsi="Times New Roman"/>
          <w:sz w:val="24"/>
          <w:szCs w:val="24"/>
        </w:rPr>
        <w:t>Elijah McClain indictment: Case against Aurora police officers and paramedics comes down to intent, experts say.”</w:t>
      </w:r>
      <w:r w:rsidRPr="00E145B7">
        <w:rPr>
          <w:rFonts w:ascii="Times New Roman" w:hAnsi="Times New Roman"/>
          <w:sz w:val="24"/>
          <w:szCs w:val="24"/>
        </w:rPr>
        <w:t xml:space="preserve">  McClain was on his way to a convenience store on Aug. 24, 2019, when someone called 911 to report a suspicious person. When the 23-year-old refused to stop walking after being contacted by three Aurora police officers, they tackled him to the ground, threw on handcuffs and used a now-banned chokehold.</w:t>
      </w:r>
      <w:r>
        <w:rPr>
          <w:rFonts w:ascii="Times New Roman" w:hAnsi="Times New Roman"/>
          <w:sz w:val="24"/>
          <w:szCs w:val="24"/>
        </w:rPr>
        <w:t xml:space="preserve"> </w:t>
      </w:r>
      <w:r w:rsidRPr="00E145B7">
        <w:rPr>
          <w:rFonts w:ascii="Times New Roman" w:eastAsia="Times New Roman" w:hAnsi="Times New Roman"/>
          <w:sz w:val="24"/>
          <w:szCs w:val="24"/>
        </w:rPr>
        <w:t>Paramedics then injected him with far more ketamine than is required for a person of McClain’s size. The Aurora man suffered cardiac arrest on the way to the hospital, where he was later declared brain dead. He died Aug. 30, 2019, after being removed from life support.</w:t>
      </w:r>
      <w:r>
        <w:rPr>
          <w:rFonts w:ascii="Times New Roman" w:eastAsia="Times New Roman" w:hAnsi="Times New Roman"/>
          <w:sz w:val="24"/>
          <w:szCs w:val="24"/>
        </w:rPr>
        <w:t xml:space="preserve">” </w:t>
      </w:r>
      <w:hyperlink r:id="rId2243" w:history="1">
        <w:r w:rsidRPr="00E145B7">
          <w:rPr>
            <w:rStyle w:val="Hyperlink"/>
            <w:sz w:val="24"/>
            <w:szCs w:val="24"/>
          </w:rPr>
          <w:t>https://www.denverpost.com/2021/09/02/elijah-mclain-charges-manslaughter-negligent-homicide/</w:t>
        </w:r>
      </w:hyperlink>
      <w:r w:rsidRPr="00E145B7">
        <w:rPr>
          <w:rStyle w:val="dfm-title"/>
          <w:rFonts w:ascii="Times New Roman" w:hAnsi="Times New Roman"/>
          <w:b/>
          <w:bCs/>
          <w:sz w:val="24"/>
          <w:szCs w:val="24"/>
        </w:rPr>
        <w:t xml:space="preserve">  </w:t>
      </w:r>
    </w:p>
    <w:p w14:paraId="0730AA47" w14:textId="77777777" w:rsidR="002F610D" w:rsidRDefault="002F610D" w:rsidP="002B1283">
      <w:pPr>
        <w:rPr>
          <w:rFonts w:ascii="Arial Black" w:hAnsi="Arial Black"/>
          <w:b/>
          <w:bCs/>
          <w:sz w:val="28"/>
          <w:szCs w:val="28"/>
        </w:rPr>
      </w:pPr>
    </w:p>
    <w:p w14:paraId="2A5598D8" w14:textId="77777777" w:rsidR="002F610D" w:rsidRDefault="002F610D" w:rsidP="002B1283">
      <w:pPr>
        <w:rPr>
          <w:rFonts w:ascii="Arial Black" w:hAnsi="Arial Black"/>
          <w:b/>
          <w:bCs/>
          <w:sz w:val="28"/>
          <w:szCs w:val="28"/>
        </w:rPr>
      </w:pPr>
    </w:p>
    <w:p w14:paraId="02C3F112" w14:textId="279F6E42" w:rsidR="00A82898" w:rsidRDefault="00A82898" w:rsidP="002B1283">
      <w:pPr>
        <w:rPr>
          <w:rFonts w:ascii="Arial Black" w:hAnsi="Arial Black"/>
          <w:b/>
          <w:bCs/>
          <w:sz w:val="28"/>
          <w:szCs w:val="28"/>
        </w:rPr>
      </w:pPr>
      <w:r>
        <w:rPr>
          <w:rFonts w:ascii="Arial Black" w:hAnsi="Arial Black"/>
          <w:b/>
          <w:bCs/>
          <w:sz w:val="28"/>
          <w:szCs w:val="28"/>
        </w:rPr>
        <w:t>13-90</w:t>
      </w:r>
    </w:p>
    <w:p w14:paraId="7AEB7D3B" w14:textId="77777777" w:rsidR="00A82898" w:rsidRPr="00FE7B26" w:rsidRDefault="00A82898" w:rsidP="00A82898">
      <w:pPr>
        <w:pStyle w:val="Heading1"/>
        <w:rPr>
          <w:rFonts w:ascii="Arial Black" w:hAnsi="Arial Black"/>
          <w:sz w:val="28"/>
          <w:szCs w:val="28"/>
        </w:rPr>
      </w:pPr>
      <w:r>
        <w:rPr>
          <w:rFonts w:ascii="Arial Black" w:hAnsi="Arial Black"/>
          <w:sz w:val="28"/>
          <w:szCs w:val="28"/>
        </w:rPr>
        <w:t xml:space="preserve">CA: ENTERING HOME WITHOUT WARRANT – NOT FOR ARREST MINOR OFFENSE – OK FOR EMERGENGY MEDICAL </w:t>
      </w:r>
    </w:p>
    <w:p w14:paraId="37304D13" w14:textId="77777777" w:rsidR="00A82898" w:rsidRPr="00664561" w:rsidRDefault="00A82898" w:rsidP="00A82898">
      <w:pPr>
        <w:pStyle w:val="Heading1"/>
        <w:rPr>
          <w:rStyle w:val="markedcontent"/>
          <w:b w:val="0"/>
          <w:bCs w:val="0"/>
          <w:sz w:val="24"/>
          <w:szCs w:val="24"/>
        </w:rPr>
      </w:pPr>
      <w:r>
        <w:rPr>
          <w:rStyle w:val="markedcontent"/>
          <w:b w:val="0"/>
          <w:bCs w:val="0"/>
          <w:sz w:val="24"/>
          <w:szCs w:val="24"/>
        </w:rPr>
        <w:t xml:space="preserve">On June 23, 2021, in </w:t>
      </w:r>
      <w:r w:rsidRPr="00E64EE8">
        <w:rPr>
          <w:rStyle w:val="markedcontent"/>
          <w:b w:val="0"/>
          <w:bCs w:val="0"/>
          <w:sz w:val="24"/>
          <w:szCs w:val="24"/>
          <w:u w:val="single"/>
        </w:rPr>
        <w:t>Arthur Gregory Lane v. California</w:t>
      </w:r>
      <w:r>
        <w:rPr>
          <w:rStyle w:val="markedcontent"/>
          <w:b w:val="0"/>
          <w:bCs w:val="0"/>
          <w:sz w:val="24"/>
          <w:szCs w:val="24"/>
        </w:rPr>
        <w:t>, the U.S. Supreme Court held (9 to 0) in opinion by Justice Elena Kagan that t</w:t>
      </w:r>
      <w:r w:rsidRPr="00E64EE8">
        <w:rPr>
          <w:rStyle w:val="markedcontent"/>
          <w:b w:val="0"/>
          <w:bCs w:val="0"/>
          <w:sz w:val="24"/>
          <w:szCs w:val="24"/>
        </w:rPr>
        <w:t xml:space="preserve">he Fourth Amendment ordinarily requires that police officers get a warrant before entering a home without permission. But </w:t>
      </w:r>
      <w:r>
        <w:rPr>
          <w:rStyle w:val="markedcontent"/>
          <w:b w:val="0"/>
          <w:bCs w:val="0"/>
          <w:sz w:val="24"/>
          <w:szCs w:val="24"/>
        </w:rPr>
        <w:t xml:space="preserve">important to Fire &amp; EMS, </w:t>
      </w:r>
      <w:r w:rsidRPr="00E64EE8">
        <w:rPr>
          <w:rStyle w:val="markedcontent"/>
          <w:b w:val="0"/>
          <w:bCs w:val="0"/>
          <w:sz w:val="24"/>
          <w:szCs w:val="24"/>
        </w:rPr>
        <w:t>an officer may make a warrantless entry</w:t>
      </w:r>
      <w:r>
        <w:rPr>
          <w:rStyle w:val="markedcontent"/>
          <w:b w:val="0"/>
          <w:bCs w:val="0"/>
          <w:sz w:val="24"/>
          <w:szCs w:val="24"/>
        </w:rPr>
        <w:t xml:space="preserve"> </w:t>
      </w:r>
      <w:r w:rsidRPr="00E64EE8">
        <w:rPr>
          <w:rStyle w:val="markedcontent"/>
          <w:b w:val="0"/>
          <w:bCs w:val="0"/>
          <w:sz w:val="24"/>
          <w:szCs w:val="24"/>
        </w:rPr>
        <w:t>when “the exigencies of the situation” create a compelling law enforcement need.</w:t>
      </w:r>
      <w:r>
        <w:rPr>
          <w:rStyle w:val="markedcontent"/>
          <w:b w:val="0"/>
          <w:bCs w:val="0"/>
          <w:sz w:val="24"/>
          <w:szCs w:val="24"/>
        </w:rPr>
        <w:t xml:space="preserve">  In this case, Mr. Lane was driving his vehicle with loud noise, and when State Patrol tried to pull him over near his home, he drove into his garage – where he was arrested for driving under influence and failure to stop.  The Court rejected the State’s argument that </w:t>
      </w:r>
      <w:r w:rsidRPr="00664561">
        <w:rPr>
          <w:rStyle w:val="markedcontent"/>
          <w:b w:val="0"/>
          <w:bCs w:val="0"/>
          <w:sz w:val="24"/>
          <w:szCs w:val="24"/>
        </w:rPr>
        <w:t>the</w:t>
      </w:r>
      <w:r>
        <w:rPr>
          <w:rStyle w:val="markedcontent"/>
          <w:b w:val="0"/>
          <w:bCs w:val="0"/>
          <w:sz w:val="24"/>
          <w:szCs w:val="24"/>
        </w:rPr>
        <w:t xml:space="preserve"> </w:t>
      </w:r>
      <w:r w:rsidRPr="00664561">
        <w:rPr>
          <w:rStyle w:val="markedcontent"/>
          <w:b w:val="0"/>
          <w:bCs w:val="0"/>
          <w:sz w:val="24"/>
          <w:szCs w:val="24"/>
        </w:rPr>
        <w:t>pursuit of a suspected misdemeanant always qualifies as an</w:t>
      </w:r>
      <w:r>
        <w:rPr>
          <w:rStyle w:val="markedcontent"/>
          <w:b w:val="0"/>
          <w:bCs w:val="0"/>
          <w:sz w:val="24"/>
          <w:szCs w:val="24"/>
        </w:rPr>
        <w:t xml:space="preserve"> </w:t>
      </w:r>
      <w:r w:rsidRPr="00664561">
        <w:rPr>
          <w:rStyle w:val="markedcontent"/>
          <w:b w:val="0"/>
          <w:bCs w:val="0"/>
          <w:sz w:val="24"/>
          <w:szCs w:val="24"/>
        </w:rPr>
        <w:t>exigent circumstance authorizing a warrantless home entry</w:t>
      </w:r>
      <w:r>
        <w:rPr>
          <w:rStyle w:val="markedcontent"/>
          <w:b w:val="0"/>
          <w:bCs w:val="0"/>
          <w:sz w:val="24"/>
          <w:szCs w:val="24"/>
        </w:rPr>
        <w:t xml:space="preserve">.  The state trial court judge had denied defendant’s motion to suppress, and this was upheld by California Court of Appeal; now the case will be sent back to </w:t>
      </w:r>
      <w:proofErr w:type="gramStart"/>
      <w:r>
        <w:rPr>
          <w:rStyle w:val="markedcontent"/>
          <w:b w:val="0"/>
          <w:bCs w:val="0"/>
          <w:sz w:val="24"/>
          <w:szCs w:val="24"/>
        </w:rPr>
        <w:t>California</w:t>
      </w:r>
      <w:proofErr w:type="gramEnd"/>
      <w:r>
        <w:rPr>
          <w:rStyle w:val="markedcontent"/>
          <w:b w:val="0"/>
          <w:bCs w:val="0"/>
          <w:sz w:val="24"/>
          <w:szCs w:val="24"/>
        </w:rPr>
        <w:t xml:space="preserve"> and the prosecutor will likely dismiss all charges.  </w:t>
      </w:r>
    </w:p>
    <w:p w14:paraId="5309A97E" w14:textId="77777777" w:rsidR="00A82898" w:rsidRDefault="00A82898" w:rsidP="00A82898">
      <w:pPr>
        <w:pStyle w:val="Heading1"/>
        <w:ind w:left="720"/>
        <w:rPr>
          <w:rStyle w:val="markedcontent"/>
          <w:b w:val="0"/>
          <w:bCs w:val="0"/>
          <w:sz w:val="24"/>
          <w:szCs w:val="24"/>
        </w:rPr>
      </w:pPr>
      <w:r>
        <w:rPr>
          <w:rStyle w:val="markedcontent"/>
          <w:b w:val="0"/>
          <w:bCs w:val="0"/>
          <w:sz w:val="24"/>
          <w:szCs w:val="24"/>
        </w:rPr>
        <w:t>“</w:t>
      </w:r>
      <w:r w:rsidRPr="00E64EE8">
        <w:rPr>
          <w:rStyle w:val="markedcontent"/>
          <w:b w:val="0"/>
          <w:bCs w:val="0"/>
          <w:sz w:val="24"/>
          <w:szCs w:val="24"/>
        </w:rPr>
        <w:t>The flight of a suspected misdemeanant does not always</w:t>
      </w:r>
      <w:r>
        <w:rPr>
          <w:rStyle w:val="markedcontent"/>
          <w:b w:val="0"/>
          <w:bCs w:val="0"/>
          <w:sz w:val="24"/>
          <w:szCs w:val="24"/>
        </w:rPr>
        <w:t xml:space="preserve"> </w:t>
      </w:r>
      <w:r w:rsidRPr="00E64EE8">
        <w:rPr>
          <w:rStyle w:val="markedcontent"/>
          <w:b w:val="0"/>
          <w:bCs w:val="0"/>
          <w:sz w:val="24"/>
          <w:szCs w:val="24"/>
        </w:rPr>
        <w:t xml:space="preserve">justify a warrantless entry into a home. An officer must consider all the circumstances in a pursuit case to </w:t>
      </w:r>
      <w:proofErr w:type="gramStart"/>
      <w:r w:rsidRPr="00E64EE8">
        <w:rPr>
          <w:rStyle w:val="markedcontent"/>
          <w:b w:val="0"/>
          <w:bCs w:val="0"/>
          <w:sz w:val="24"/>
          <w:szCs w:val="24"/>
        </w:rPr>
        <w:t>deter-mine</w:t>
      </w:r>
      <w:proofErr w:type="gramEnd"/>
      <w:r w:rsidRPr="00E64EE8">
        <w:rPr>
          <w:rStyle w:val="markedcontent"/>
          <w:b w:val="0"/>
          <w:bCs w:val="0"/>
          <w:sz w:val="24"/>
          <w:szCs w:val="24"/>
        </w:rPr>
        <w:t xml:space="preserve"> whether there is a law enforcement emergency. On many occasions, the officer will have good reason to enter—to prevent imminent harms of violence, destruction of evidence, or escape from the home. But when the officer has time to get a warrant, he must do so—even though the misdemeanant fled.</w:t>
      </w:r>
    </w:p>
    <w:p w14:paraId="34B82D93" w14:textId="77777777" w:rsidR="00A82898" w:rsidRPr="00E64EE8" w:rsidRDefault="00A82898" w:rsidP="00A82898">
      <w:pPr>
        <w:pStyle w:val="Heading1"/>
        <w:ind w:firstLine="720"/>
        <w:rPr>
          <w:rStyle w:val="markedcontent"/>
          <w:b w:val="0"/>
          <w:bCs w:val="0"/>
          <w:sz w:val="24"/>
          <w:szCs w:val="24"/>
        </w:rPr>
      </w:pPr>
      <w:r>
        <w:rPr>
          <w:rStyle w:val="markedcontent"/>
          <w:b w:val="0"/>
          <w:bCs w:val="0"/>
          <w:sz w:val="24"/>
          <w:szCs w:val="24"/>
        </w:rPr>
        <w:t>***</w:t>
      </w:r>
    </w:p>
    <w:p w14:paraId="7EEA18EF" w14:textId="18B94256" w:rsidR="00A82898" w:rsidRPr="00A82898" w:rsidRDefault="00A82898" w:rsidP="00A82898">
      <w:pPr>
        <w:rPr>
          <w:rFonts w:ascii="Times New Roman" w:hAnsi="Times New Roman"/>
          <w:sz w:val="24"/>
          <w:szCs w:val="24"/>
        </w:rPr>
      </w:pPr>
      <w:r w:rsidRPr="00A82898">
        <w:rPr>
          <w:rStyle w:val="markedcontent"/>
          <w:rFonts w:ascii="Times New Roman" w:hAnsi="Times New Roman"/>
          <w:sz w:val="24"/>
          <w:szCs w:val="24"/>
        </w:rPr>
        <w:t>One important exception is for exigent circumstances. It applies when ‘the exigencies of the situation make the needs of law enforcement so compelling that [a] warrantless search is objectively reasonable.’ King, 563 U. S., at 460 (internal quotation marks omitted). The exception enables law enforcement officers to handle ‘</w:t>
      </w:r>
      <w:proofErr w:type="spellStart"/>
      <w:r w:rsidRPr="00A82898">
        <w:rPr>
          <w:rStyle w:val="markedcontent"/>
          <w:rFonts w:ascii="Times New Roman" w:hAnsi="Times New Roman"/>
          <w:sz w:val="24"/>
          <w:szCs w:val="24"/>
        </w:rPr>
        <w:t>emergenc</w:t>
      </w:r>
      <w:proofErr w:type="spellEnd"/>
      <w:r w:rsidRPr="00A82898">
        <w:rPr>
          <w:rStyle w:val="markedcontent"/>
          <w:rFonts w:ascii="Times New Roman" w:hAnsi="Times New Roman"/>
          <w:sz w:val="24"/>
          <w:szCs w:val="24"/>
        </w:rPr>
        <w:t>[</w:t>
      </w:r>
      <w:proofErr w:type="spellStart"/>
      <w:r w:rsidRPr="00A82898">
        <w:rPr>
          <w:rStyle w:val="markedcontent"/>
          <w:rFonts w:ascii="Times New Roman" w:hAnsi="Times New Roman"/>
          <w:sz w:val="24"/>
          <w:szCs w:val="24"/>
        </w:rPr>
        <w:t>ies</w:t>
      </w:r>
      <w:proofErr w:type="spellEnd"/>
      <w:r w:rsidRPr="00A82898">
        <w:rPr>
          <w:rStyle w:val="markedcontent"/>
          <w:rFonts w:ascii="Times New Roman" w:hAnsi="Times New Roman"/>
          <w:sz w:val="24"/>
          <w:szCs w:val="24"/>
        </w:rPr>
        <w:t xml:space="preserve">]’—situations presenting a ‘compelling need for official action and no time to secure a warrant.’ Riley, 573 U. S., at 402; Missouri v. McNeely, 569 U. S. 141, 149 (2013). Over the years, this Court has identified several such exigencies. An officer, for example, may ‘enter a home without a warrant to render emergency assistance to an injured occupant[,] to protect an occupant from imminent injury,’ or to ensure his own safety.” </w:t>
      </w:r>
      <w:hyperlink r:id="rId2244" w:history="1">
        <w:r w:rsidRPr="00A82898">
          <w:rPr>
            <w:rStyle w:val="Hyperlink"/>
            <w:rFonts w:ascii="Times New Roman" w:hAnsi="Times New Roman"/>
            <w:sz w:val="24"/>
            <w:szCs w:val="24"/>
          </w:rPr>
          <w:t>https://www.supremecourt.gov/opinions/20pdf/20-18_cb7d.pdf</w:t>
        </w:r>
      </w:hyperlink>
    </w:p>
    <w:p w14:paraId="514B6465" w14:textId="77777777" w:rsidR="00A82898" w:rsidRPr="00B14793" w:rsidRDefault="00A82898" w:rsidP="00A82898">
      <w:pPr>
        <w:rPr>
          <w:rFonts w:ascii="Times New Roman" w:hAnsi="Times New Roman"/>
          <w:b/>
          <w:bCs/>
          <w:sz w:val="24"/>
          <w:szCs w:val="24"/>
        </w:rPr>
      </w:pPr>
      <w:r w:rsidRPr="00B14793">
        <w:rPr>
          <w:rFonts w:ascii="Times New Roman" w:hAnsi="Times New Roman"/>
          <w:b/>
          <w:bCs/>
          <w:sz w:val="24"/>
          <w:szCs w:val="24"/>
        </w:rPr>
        <w:t>Legal Lesson Learned:  Fire &amp; EMS may continue to request police assistance to make a warrantless entry where there is a medical emergency.</w:t>
      </w:r>
    </w:p>
    <w:p w14:paraId="17A28816" w14:textId="77777777" w:rsidR="00A82898" w:rsidRDefault="00A82898" w:rsidP="002B1283">
      <w:pPr>
        <w:rPr>
          <w:rFonts w:ascii="Arial Black" w:hAnsi="Arial Black"/>
          <w:b/>
          <w:bCs/>
          <w:sz w:val="28"/>
          <w:szCs w:val="28"/>
        </w:rPr>
      </w:pPr>
    </w:p>
    <w:p w14:paraId="70C97070" w14:textId="77777777" w:rsidR="00A82898" w:rsidRDefault="00A82898" w:rsidP="002B1283">
      <w:pPr>
        <w:rPr>
          <w:rFonts w:ascii="Arial Black" w:hAnsi="Arial Black"/>
          <w:b/>
          <w:bCs/>
          <w:sz w:val="28"/>
          <w:szCs w:val="28"/>
        </w:rPr>
      </w:pPr>
    </w:p>
    <w:p w14:paraId="7F474C82" w14:textId="09FE97F5" w:rsidR="00A82898" w:rsidRDefault="00A82898" w:rsidP="002B1283">
      <w:pPr>
        <w:rPr>
          <w:rFonts w:ascii="Arial Black" w:hAnsi="Arial Black"/>
          <w:b/>
          <w:bCs/>
          <w:sz w:val="28"/>
          <w:szCs w:val="28"/>
        </w:rPr>
      </w:pPr>
      <w:r>
        <w:rPr>
          <w:rFonts w:ascii="Arial Black" w:hAnsi="Arial Black"/>
          <w:b/>
          <w:bCs/>
          <w:sz w:val="28"/>
          <w:szCs w:val="28"/>
        </w:rPr>
        <w:t>13-89</w:t>
      </w:r>
    </w:p>
    <w:p w14:paraId="6B874C02" w14:textId="77777777" w:rsidR="00A82898" w:rsidRPr="00523D80" w:rsidRDefault="00A82898" w:rsidP="00A82898">
      <w:pPr>
        <w:pStyle w:val="Heading1"/>
        <w:rPr>
          <w:rFonts w:ascii="Arial Black" w:hAnsi="Arial Black"/>
          <w:sz w:val="28"/>
          <w:szCs w:val="28"/>
        </w:rPr>
      </w:pPr>
      <w:r>
        <w:rPr>
          <w:rFonts w:ascii="Arial Black" w:hAnsi="Arial Black"/>
          <w:sz w:val="28"/>
          <w:szCs w:val="28"/>
        </w:rPr>
        <w:t xml:space="preserve">GA: POSSIBLE BID RIGGING - EMS CONTRACT - WIRETAP / SEARCH WARRANT ON ATTY – DA QUALIFIED IMMUNITY </w:t>
      </w:r>
    </w:p>
    <w:p w14:paraId="407BE781" w14:textId="77777777" w:rsidR="00A82898" w:rsidRDefault="00A82898" w:rsidP="00A82898">
      <w:pPr>
        <w:pStyle w:val="Heading1"/>
        <w:rPr>
          <w:b w:val="0"/>
          <w:bCs w:val="0"/>
          <w:sz w:val="24"/>
          <w:szCs w:val="24"/>
        </w:rPr>
      </w:pPr>
      <w:r>
        <w:rPr>
          <w:b w:val="0"/>
          <w:bCs w:val="0"/>
          <w:sz w:val="24"/>
          <w:szCs w:val="24"/>
        </w:rPr>
        <w:t xml:space="preserve">On June 22, 2021, in </w:t>
      </w:r>
      <w:r w:rsidRPr="00523D80">
        <w:rPr>
          <w:b w:val="0"/>
          <w:bCs w:val="0"/>
          <w:sz w:val="24"/>
          <w:szCs w:val="24"/>
          <w:u w:val="single"/>
        </w:rPr>
        <w:t>Kevin A. Ross, Esq.</w:t>
      </w:r>
      <w:r>
        <w:rPr>
          <w:b w:val="0"/>
          <w:bCs w:val="0"/>
          <w:sz w:val="24"/>
          <w:szCs w:val="24"/>
          <w:u w:val="single"/>
        </w:rPr>
        <w:t>, Kevin Ross Public Affairs, LLC, The Law Practice of Kevin . Ross, LLC</w:t>
      </w:r>
      <w:r w:rsidRPr="00523D80">
        <w:rPr>
          <w:b w:val="0"/>
          <w:bCs w:val="0"/>
          <w:sz w:val="24"/>
          <w:szCs w:val="24"/>
          <w:u w:val="single"/>
        </w:rPr>
        <w:t xml:space="preserve"> v. Robert James, Dekalb County District Attorney and William C. Nix</w:t>
      </w:r>
      <w:r>
        <w:rPr>
          <w:b w:val="0"/>
          <w:bCs w:val="0"/>
          <w:sz w:val="24"/>
          <w:szCs w:val="24"/>
        </w:rPr>
        <w:t>, the U.S. Court of Appeals for 11</w:t>
      </w:r>
      <w:r w:rsidRPr="00523D80">
        <w:rPr>
          <w:b w:val="0"/>
          <w:bCs w:val="0"/>
          <w:sz w:val="24"/>
          <w:szCs w:val="24"/>
          <w:vertAlign w:val="superscript"/>
        </w:rPr>
        <w:t>th</w:t>
      </w:r>
      <w:r>
        <w:rPr>
          <w:b w:val="0"/>
          <w:bCs w:val="0"/>
          <w:sz w:val="24"/>
          <w:szCs w:val="24"/>
        </w:rPr>
        <w:t xml:space="preserve"> Circuit (Atlanta), held 3 to 0 (unpublished decision) that the trial court properly granted summary judgment to the DA and the DA’s investigator in lawsuit by Ross alleging violation of his 4</w:t>
      </w:r>
      <w:r w:rsidRPr="007C1575">
        <w:rPr>
          <w:b w:val="0"/>
          <w:bCs w:val="0"/>
          <w:sz w:val="24"/>
          <w:szCs w:val="24"/>
          <w:vertAlign w:val="superscript"/>
        </w:rPr>
        <w:t>th</w:t>
      </w:r>
      <w:r>
        <w:rPr>
          <w:b w:val="0"/>
          <w:bCs w:val="0"/>
          <w:sz w:val="24"/>
          <w:szCs w:val="24"/>
        </w:rPr>
        <w:t xml:space="preserve"> Amendment rights (42 U.S.C. 1983). since they were both entitled to qualified immunity. </w:t>
      </w:r>
    </w:p>
    <w:p w14:paraId="6C6D2696" w14:textId="77777777" w:rsidR="00A82898" w:rsidRDefault="00A82898" w:rsidP="00A82898">
      <w:pPr>
        <w:pStyle w:val="NormalWeb"/>
        <w:ind w:left="720"/>
      </w:pPr>
      <w:r>
        <w:t>“Kevin Ross is an attorney and political consultant who has managed several political campaigns, including Burrell Ellis's 2008 campaign for DeKalb County Chief Executive Office (‘CEO’).</w:t>
      </w:r>
      <w:hyperlink r:id="rId2245" w:anchor="fr2" w:history="1">
        <w:r w:rsidR="00814FB6">
          <w:rPr>
            <w:rStyle w:val="Hyperlink"/>
            <w:rFonts w:ascii="Calibri" w:eastAsia="Calibri" w:hAnsi="Calibri"/>
            <w:sz w:val="22"/>
            <w:szCs w:val="22"/>
          </w:rPr>
          <w:t>https://public.fastcase.com/ - fr2</w:t>
        </w:r>
      </w:hyperlink>
      <w:r>
        <w:rPr>
          <w:sz w:val="20"/>
          <w:szCs w:val="20"/>
          <w:vertAlign w:val="superscript"/>
        </w:rPr>
        <w:t xml:space="preserve"> </w:t>
      </w:r>
      <w:r>
        <w:t xml:space="preserve"> Robert James, then the District Attorney for DeKalb County, Georgia, applied for and obtained a wiretap authorization to intercept and record Ross's telephone communications on the basis that there was probable cause to believe that Ross; Ellis, then CEO for DeKalb County; and others were committing 11 criminal offenses, including extortion, bribery, and ‘[c]</w:t>
      </w:r>
      <w:proofErr w:type="spellStart"/>
      <w:r>
        <w:t>onspiracy</w:t>
      </w:r>
      <w:proofErr w:type="spellEnd"/>
      <w:r>
        <w:t xml:space="preserve"> in restraint of free and open competition in transactions with state or political subdivision," i.e., bid rigging. Doc. 111-1 at 3.</w:t>
      </w:r>
      <w:bookmarkStart w:id="449" w:name="fn4"/>
      <w:r>
        <w:rPr>
          <w:sz w:val="20"/>
          <w:szCs w:val="20"/>
          <w:vertAlign w:val="superscript"/>
        </w:rPr>
        <w:fldChar w:fldCharType="begin"/>
      </w:r>
      <w:r>
        <w:rPr>
          <w:sz w:val="20"/>
          <w:szCs w:val="20"/>
          <w:vertAlign w:val="superscript"/>
        </w:rPr>
        <w:instrText xml:space="preserve"> HYPERLINK "https://public.fastcase.com/" \l "fr4" </w:instrText>
      </w:r>
      <w:r>
        <w:rPr>
          <w:sz w:val="20"/>
          <w:szCs w:val="20"/>
          <w:vertAlign w:val="superscript"/>
        </w:rPr>
      </w:r>
      <w:r>
        <w:rPr>
          <w:sz w:val="20"/>
          <w:szCs w:val="20"/>
          <w:vertAlign w:val="superscript"/>
        </w:rPr>
        <w:fldChar w:fldCharType="separate"/>
      </w:r>
      <w:r w:rsidR="00814FB6">
        <w:rPr>
          <w:rStyle w:val="Hyperlink"/>
          <w:rFonts w:ascii="Calibri" w:eastAsia="Calibri" w:hAnsi="Calibri"/>
          <w:sz w:val="22"/>
          <w:szCs w:val="22"/>
        </w:rPr>
        <w:t>https://public.fastcase.com/ - fr4</w:t>
      </w:r>
      <w:r>
        <w:rPr>
          <w:sz w:val="20"/>
          <w:szCs w:val="20"/>
          <w:vertAlign w:val="superscript"/>
        </w:rPr>
        <w:fldChar w:fldCharType="end"/>
      </w:r>
      <w:bookmarkEnd w:id="449"/>
      <w:r>
        <w:rPr>
          <w:sz w:val="20"/>
          <w:szCs w:val="20"/>
          <w:vertAlign w:val="superscript"/>
        </w:rPr>
        <w:t xml:space="preserve"> </w:t>
      </w:r>
      <w:r>
        <w:t xml:space="preserve">The application included an affidavit by William Nix, an investigator for the DeKalb County District Attorney's </w:t>
      </w:r>
      <w:proofErr w:type="gramStart"/>
      <w:r>
        <w:t>Office (‘</w:t>
      </w:r>
      <w:proofErr w:type="gramEnd"/>
      <w:r>
        <w:t>DA's Office’), setting forth factual allegations supporting the request for a wiretap.</w:t>
      </w:r>
    </w:p>
    <w:p w14:paraId="326E49D2" w14:textId="77777777" w:rsidR="00A82898" w:rsidRDefault="00A82898" w:rsidP="00A82898">
      <w:pPr>
        <w:pStyle w:val="NormalWeb"/>
        <w:ind w:left="720"/>
      </w:pPr>
      <w:r>
        <w:t>***</w:t>
      </w:r>
    </w:p>
    <w:p w14:paraId="4C12C48C" w14:textId="77777777" w:rsidR="00A82898" w:rsidRDefault="00A82898" w:rsidP="00A82898">
      <w:pPr>
        <w:pStyle w:val="Heading1"/>
        <w:ind w:left="720"/>
        <w:rPr>
          <w:b w:val="0"/>
          <w:bCs w:val="0"/>
          <w:sz w:val="24"/>
          <w:szCs w:val="24"/>
        </w:rPr>
      </w:pPr>
      <w:r w:rsidRPr="00523D80">
        <w:rPr>
          <w:b w:val="0"/>
          <w:bCs w:val="0"/>
          <w:sz w:val="24"/>
          <w:szCs w:val="24"/>
        </w:rPr>
        <w:t>About a month after the DA's Office received the wiretap authorization, it applied for and obtained a search warrant for Ross's home and office. The application included a supporting affidavit, also by Nix. The search warrant affidavit was largely identical to the wiretap affidavit, except it also included information obtained from the wiretap.</w:t>
      </w:r>
    </w:p>
    <w:p w14:paraId="070AFEBD" w14:textId="77777777" w:rsidR="00A82898" w:rsidRDefault="00A82898" w:rsidP="00A82898">
      <w:pPr>
        <w:pStyle w:val="Heading1"/>
        <w:ind w:left="720"/>
        <w:rPr>
          <w:b w:val="0"/>
          <w:bCs w:val="0"/>
          <w:sz w:val="24"/>
          <w:szCs w:val="24"/>
        </w:rPr>
      </w:pPr>
      <w:r>
        <w:rPr>
          <w:b w:val="0"/>
          <w:bCs w:val="0"/>
          <w:sz w:val="24"/>
          <w:szCs w:val="24"/>
        </w:rPr>
        <w:t>***</w:t>
      </w:r>
    </w:p>
    <w:p w14:paraId="4BDB3DE6" w14:textId="77777777" w:rsidR="00A82898" w:rsidRDefault="00A82898" w:rsidP="00A82898">
      <w:pPr>
        <w:pStyle w:val="Heading1"/>
        <w:ind w:firstLine="720"/>
        <w:rPr>
          <w:b w:val="0"/>
          <w:bCs w:val="0"/>
          <w:sz w:val="24"/>
          <w:szCs w:val="24"/>
        </w:rPr>
      </w:pPr>
      <w:r w:rsidRPr="00523D80">
        <w:rPr>
          <w:b w:val="0"/>
          <w:bCs w:val="0"/>
          <w:sz w:val="24"/>
          <w:szCs w:val="24"/>
        </w:rPr>
        <w:t>Ultimately, the investigation resulted in no charges against Ross.</w:t>
      </w:r>
    </w:p>
    <w:p w14:paraId="34E284F6" w14:textId="77777777" w:rsidR="00A82898" w:rsidRDefault="00A82898" w:rsidP="00A82898">
      <w:pPr>
        <w:pStyle w:val="Heading1"/>
        <w:ind w:firstLine="720"/>
        <w:rPr>
          <w:b w:val="0"/>
          <w:bCs w:val="0"/>
          <w:sz w:val="24"/>
          <w:szCs w:val="24"/>
        </w:rPr>
      </w:pPr>
      <w:r>
        <w:rPr>
          <w:b w:val="0"/>
          <w:bCs w:val="0"/>
          <w:sz w:val="24"/>
          <w:szCs w:val="24"/>
        </w:rPr>
        <w:t>***</w:t>
      </w:r>
    </w:p>
    <w:p w14:paraId="71139420" w14:textId="77777777" w:rsidR="00A82898" w:rsidRDefault="00A82898" w:rsidP="00A82898">
      <w:pPr>
        <w:spacing w:before="100" w:beforeAutospacing="1" w:after="100" w:afterAutospacing="1" w:line="240" w:lineRule="auto"/>
        <w:ind w:left="720"/>
        <w:rPr>
          <w:rFonts w:ascii="Times New Roman" w:eastAsia="Times New Roman" w:hAnsi="Times New Roman"/>
          <w:sz w:val="24"/>
          <w:szCs w:val="24"/>
        </w:rPr>
      </w:pPr>
      <w:r w:rsidRPr="007C1575">
        <w:rPr>
          <w:rFonts w:ascii="Times New Roman" w:eastAsia="Times New Roman" w:hAnsi="Times New Roman"/>
          <w:sz w:val="24"/>
          <w:szCs w:val="24"/>
        </w:rPr>
        <w:t>A reasonable officer could conclude that these multiple conversations between Ross, Ellis, and Walton, the confidential source, indicated a tacit agreement to influence the bidding process for the EMS and PM Contracts. And Ellis made overt acts to further that goal by attempting to persuade the EMS Contract selection committee to permit exceptions sought by Ross's client and placing two members, Alvarado and Saunders, on the selection committee for the</w:t>
      </w:r>
      <w:r>
        <w:rPr>
          <w:rFonts w:ascii="Times New Roman" w:eastAsia="Times New Roman" w:hAnsi="Times New Roman"/>
          <w:sz w:val="24"/>
          <w:szCs w:val="24"/>
        </w:rPr>
        <w:t xml:space="preserve"> </w:t>
      </w:r>
      <w:r w:rsidRPr="007C1575">
        <w:rPr>
          <w:rFonts w:ascii="Times New Roman" w:eastAsia="Times New Roman" w:hAnsi="Times New Roman"/>
          <w:sz w:val="24"/>
          <w:szCs w:val="24"/>
        </w:rPr>
        <w:t>PM Contract. This, among other information set out in the affidavits, could lead a reasonable officer to believe that Ross was engaged in a conspiracy to restrain free and open competition in violation of Ga. Code Ann. § 16-10-22(b).</w:t>
      </w:r>
    </w:p>
    <w:p w14:paraId="172689C3" w14:textId="77777777" w:rsidR="00A82898" w:rsidRDefault="00A82898" w:rsidP="00A82898">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3C7FB450" w14:textId="77777777" w:rsidR="00A82898" w:rsidRPr="00B14793" w:rsidRDefault="00A82898" w:rsidP="00A82898">
      <w:pPr>
        <w:spacing w:before="100" w:beforeAutospacing="1" w:after="100" w:afterAutospacing="1" w:line="240" w:lineRule="auto"/>
        <w:ind w:left="720"/>
        <w:rPr>
          <w:rFonts w:ascii="Times New Roman" w:eastAsia="Times New Roman" w:hAnsi="Times New Roman"/>
          <w:sz w:val="24"/>
          <w:szCs w:val="24"/>
        </w:rPr>
      </w:pPr>
      <w:r w:rsidRPr="007C1575">
        <w:rPr>
          <w:rFonts w:ascii="Times New Roman" w:hAnsi="Times New Roman"/>
          <w:sz w:val="24"/>
          <w:szCs w:val="24"/>
        </w:rPr>
        <w:t>For the foregoing reasons, we conclude that James and Nix are entitled to qualified immunity from Ross's § 1983 suit. Thus, we affirm the district court's judgment.</w:t>
      </w:r>
      <w:r>
        <w:rPr>
          <w:rFonts w:ascii="Times New Roman" w:hAnsi="Times New Roman"/>
          <w:sz w:val="24"/>
          <w:szCs w:val="24"/>
        </w:rPr>
        <w:t>”</w:t>
      </w:r>
      <w:r w:rsidRPr="007C1575">
        <w:t xml:space="preserve"> </w:t>
      </w:r>
      <w:hyperlink r:id="rId2246" w:history="1">
        <w:r w:rsidRPr="00B14793">
          <w:rPr>
            <w:rStyle w:val="Hyperlink"/>
            <w:sz w:val="24"/>
            <w:szCs w:val="24"/>
          </w:rPr>
          <w:t>https://public.fastcase.com/9SKwsfNqTc6OieYDhNMyM83%2FYLJrcCtVmui0iqpJLDORGkxVmnXPTmwbGH4uC0ci</w:t>
        </w:r>
      </w:hyperlink>
      <w:r w:rsidRPr="00B14793">
        <w:rPr>
          <w:rFonts w:ascii="Times New Roman" w:hAnsi="Times New Roman"/>
          <w:sz w:val="24"/>
          <w:szCs w:val="24"/>
        </w:rPr>
        <w:t xml:space="preserve"> </w:t>
      </w:r>
    </w:p>
    <w:p w14:paraId="0A353CEE" w14:textId="48AA03FB" w:rsidR="00A82898" w:rsidRDefault="00A82898" w:rsidP="00A82898">
      <w:pPr>
        <w:pStyle w:val="Heading1"/>
        <w:rPr>
          <w:sz w:val="24"/>
          <w:szCs w:val="24"/>
        </w:rPr>
      </w:pPr>
      <w:r w:rsidRPr="003B7948">
        <w:rPr>
          <w:sz w:val="24"/>
          <w:szCs w:val="24"/>
        </w:rPr>
        <w:t xml:space="preserve">Legal Lesson Learned: </w:t>
      </w:r>
      <w:r>
        <w:rPr>
          <w:sz w:val="24"/>
          <w:szCs w:val="24"/>
        </w:rPr>
        <w:t xml:space="preserve"> District attorneys and their investigators enjoy “qualified immunity” when </w:t>
      </w:r>
      <w:proofErr w:type="gramStart"/>
      <w:r>
        <w:rPr>
          <w:sz w:val="24"/>
          <w:szCs w:val="24"/>
        </w:rPr>
        <w:t>conducting an investigation</w:t>
      </w:r>
      <w:proofErr w:type="gramEnd"/>
      <w:r>
        <w:rPr>
          <w:sz w:val="24"/>
          <w:szCs w:val="24"/>
        </w:rPr>
        <w:t>, even if no criminal charges are brought.  Fire &amp; EMS likewise enjoy qualified immunity when conducting their official duties in most states, unless the</w:t>
      </w:r>
      <w:r w:rsidR="008A0333">
        <w:rPr>
          <w:sz w:val="24"/>
          <w:szCs w:val="24"/>
        </w:rPr>
        <w:t>ir actions constitute willful or wanton misconduct.</w:t>
      </w:r>
      <w:r>
        <w:rPr>
          <w:sz w:val="24"/>
          <w:szCs w:val="24"/>
        </w:rPr>
        <w:t xml:space="preserve"> </w:t>
      </w:r>
    </w:p>
    <w:p w14:paraId="376F1E19" w14:textId="77777777" w:rsidR="00A82898" w:rsidRDefault="00A82898" w:rsidP="00A82898">
      <w:pPr>
        <w:pStyle w:val="Heading1"/>
        <w:ind w:left="720"/>
        <w:rPr>
          <w:b w:val="0"/>
          <w:bCs w:val="0"/>
          <w:sz w:val="24"/>
          <w:szCs w:val="24"/>
        </w:rPr>
      </w:pPr>
      <w:r w:rsidRPr="003B7948">
        <w:rPr>
          <w:b w:val="0"/>
          <w:bCs w:val="0"/>
          <w:sz w:val="24"/>
          <w:szCs w:val="24"/>
        </w:rPr>
        <w:t>For example, see</w:t>
      </w:r>
      <w:r>
        <w:rPr>
          <w:b w:val="0"/>
          <w:bCs w:val="0"/>
          <w:sz w:val="24"/>
          <w:szCs w:val="24"/>
        </w:rPr>
        <w:t xml:space="preserve"> Ohio Revised Code</w:t>
      </w:r>
      <w:r w:rsidRPr="003B7948">
        <w:rPr>
          <w:b w:val="0"/>
          <w:bCs w:val="0"/>
          <w:sz w:val="24"/>
          <w:szCs w:val="24"/>
        </w:rPr>
        <w:t xml:space="preserve">: Section 4765.49 </w:t>
      </w:r>
      <w:r w:rsidRPr="003B7948">
        <w:rPr>
          <w:rStyle w:val="codes-separator"/>
          <w:b w:val="0"/>
          <w:bCs w:val="0"/>
          <w:sz w:val="24"/>
          <w:szCs w:val="24"/>
        </w:rPr>
        <w:t>|</w:t>
      </w:r>
      <w:r w:rsidRPr="003B7948">
        <w:rPr>
          <w:b w:val="0"/>
          <w:bCs w:val="0"/>
          <w:sz w:val="24"/>
          <w:szCs w:val="24"/>
        </w:rPr>
        <w:t xml:space="preserve"> Emergency medical personnel and agencies - immunity.</w:t>
      </w:r>
    </w:p>
    <w:p w14:paraId="3CE2824B" w14:textId="77777777" w:rsidR="00A82898" w:rsidRPr="00B14793" w:rsidRDefault="00A82898" w:rsidP="00A82898">
      <w:pPr>
        <w:pStyle w:val="Heading1"/>
        <w:ind w:left="720"/>
        <w:rPr>
          <w:b w:val="0"/>
          <w:bCs w:val="0"/>
          <w:sz w:val="24"/>
          <w:szCs w:val="24"/>
        </w:rPr>
      </w:pPr>
      <w:r w:rsidRPr="003B7948">
        <w:rPr>
          <w:b w:val="0"/>
          <w:bCs w:val="0"/>
          <w:sz w:val="24"/>
          <w:szCs w:val="24"/>
        </w:rPr>
        <w:t>(A) A first responder, emergency medical technician-basic, emergency medical technician-intermediate, or emergency medical technician-paramedic is not liable in damages in a civil action for injury, death, or loss to person or property resulting from the individual's administration of emergency medical services, unless the services are administered in a manner that constitutes willful or wanton misconduct.</w:t>
      </w:r>
      <w:r>
        <w:rPr>
          <w:b w:val="0"/>
          <w:bCs w:val="0"/>
          <w:sz w:val="24"/>
          <w:szCs w:val="24"/>
        </w:rPr>
        <w:t xml:space="preserve"> </w:t>
      </w:r>
      <w:hyperlink r:id="rId2247" w:history="1">
        <w:r w:rsidRPr="00B14793">
          <w:rPr>
            <w:rStyle w:val="Hyperlink"/>
            <w:sz w:val="24"/>
            <w:szCs w:val="24"/>
          </w:rPr>
          <w:t>https://codes.ohio.gov/ohio-revised-code/section-4765.49</w:t>
        </w:r>
      </w:hyperlink>
      <w:r w:rsidRPr="00B14793">
        <w:rPr>
          <w:b w:val="0"/>
          <w:bCs w:val="0"/>
          <w:sz w:val="24"/>
          <w:szCs w:val="24"/>
        </w:rPr>
        <w:t xml:space="preserve"> </w:t>
      </w:r>
    </w:p>
    <w:p w14:paraId="07184ACE" w14:textId="77777777" w:rsidR="00A82898" w:rsidRDefault="00A82898" w:rsidP="002B1283">
      <w:pPr>
        <w:rPr>
          <w:rFonts w:ascii="Arial Black" w:hAnsi="Arial Black"/>
          <w:b/>
          <w:bCs/>
          <w:sz w:val="28"/>
          <w:szCs w:val="28"/>
        </w:rPr>
      </w:pPr>
    </w:p>
    <w:p w14:paraId="0FAFB85D" w14:textId="77777777" w:rsidR="00A82898" w:rsidRDefault="00A82898" w:rsidP="002B1283">
      <w:pPr>
        <w:rPr>
          <w:rFonts w:ascii="Arial Black" w:hAnsi="Arial Black"/>
          <w:b/>
          <w:bCs/>
          <w:sz w:val="28"/>
          <w:szCs w:val="28"/>
        </w:rPr>
      </w:pPr>
    </w:p>
    <w:p w14:paraId="5F2C8AFD" w14:textId="6D4F20F1" w:rsidR="00A82898" w:rsidRDefault="00A82898" w:rsidP="002B1283">
      <w:pPr>
        <w:rPr>
          <w:rFonts w:ascii="Arial Black" w:hAnsi="Arial Black"/>
          <w:b/>
          <w:bCs/>
          <w:sz w:val="28"/>
          <w:szCs w:val="28"/>
        </w:rPr>
      </w:pPr>
      <w:r>
        <w:rPr>
          <w:rFonts w:ascii="Arial Black" w:hAnsi="Arial Black"/>
          <w:b/>
          <w:bCs/>
          <w:sz w:val="28"/>
          <w:szCs w:val="28"/>
        </w:rPr>
        <w:t>13-88</w:t>
      </w:r>
    </w:p>
    <w:p w14:paraId="5DBE92D6" w14:textId="77777777" w:rsidR="00A82898" w:rsidRDefault="00A82898" w:rsidP="00A82898">
      <w:pPr>
        <w:rPr>
          <w:rFonts w:ascii="Arial Black" w:hAnsi="Arial Black"/>
          <w:bCs/>
          <w:sz w:val="28"/>
          <w:szCs w:val="28"/>
        </w:rPr>
      </w:pPr>
      <w:r>
        <w:rPr>
          <w:rFonts w:ascii="Arial Black" w:hAnsi="Arial Black"/>
          <w:bCs/>
          <w:sz w:val="28"/>
          <w:szCs w:val="28"/>
        </w:rPr>
        <w:t xml:space="preserve">TX: COVID-19 VACCINATION – FEDERAL JUDGE: HOSPITAL NURSES IN TEXAS CAN BE REQUIRED TO GET THE SHOTS  </w:t>
      </w:r>
    </w:p>
    <w:p w14:paraId="7313F43B" w14:textId="77777777" w:rsidR="00A82898" w:rsidRDefault="00A82898" w:rsidP="00A82898">
      <w:pPr>
        <w:pStyle w:val="NoSpacing"/>
        <w:rPr>
          <w:rFonts w:ascii="Times New Roman" w:hAnsi="Times New Roman"/>
          <w:bCs/>
          <w:sz w:val="24"/>
          <w:szCs w:val="24"/>
        </w:rPr>
      </w:pPr>
      <w:r>
        <w:rPr>
          <w:rFonts w:ascii="Times New Roman" w:hAnsi="Times New Roman"/>
          <w:sz w:val="24"/>
          <w:szCs w:val="24"/>
        </w:rPr>
        <w:t xml:space="preserve">On June 12, 2021, in </w:t>
      </w:r>
      <w:r w:rsidRPr="006F29EF">
        <w:rPr>
          <w:rFonts w:ascii="Times New Roman" w:hAnsi="Times New Roman"/>
          <w:sz w:val="24"/>
          <w:szCs w:val="24"/>
          <w:u w:val="single"/>
        </w:rPr>
        <w:t>Jennifer Bridges, et al. v. Houston Methodist Hospital</w:t>
      </w:r>
      <w:r>
        <w:rPr>
          <w:rFonts w:ascii="Times New Roman" w:hAnsi="Times New Roman"/>
          <w:sz w:val="24"/>
          <w:szCs w:val="24"/>
        </w:rPr>
        <w:t xml:space="preserve">, U.S. District Court Judge Lynn N. Hughes, dismissed a lawsuit filed by 100 nurses and others, challenging the </w:t>
      </w:r>
      <w:r w:rsidRPr="009D5173">
        <w:rPr>
          <w:rFonts w:ascii="Times New Roman" w:hAnsi="Times New Roman"/>
          <w:bCs/>
          <w:sz w:val="24"/>
          <w:szCs w:val="24"/>
        </w:rPr>
        <w:t>Texas hospital system</w:t>
      </w:r>
      <w:r>
        <w:rPr>
          <w:rFonts w:ascii="Times New Roman" w:hAnsi="Times New Roman"/>
          <w:bCs/>
          <w:sz w:val="24"/>
          <w:szCs w:val="24"/>
        </w:rPr>
        <w:t xml:space="preserve">’s requirement that </w:t>
      </w:r>
      <w:r w:rsidRPr="009D5173">
        <w:rPr>
          <w:rFonts w:ascii="Times New Roman" w:hAnsi="Times New Roman"/>
          <w:bCs/>
          <w:sz w:val="24"/>
          <w:szCs w:val="24"/>
        </w:rPr>
        <w:t>26,000 employees all needed to receive a COVID-19 vaccine as a condition of staying employed</w:t>
      </w:r>
      <w:r>
        <w:rPr>
          <w:rFonts w:ascii="Times New Roman" w:hAnsi="Times New Roman"/>
          <w:bCs/>
          <w:sz w:val="24"/>
          <w:szCs w:val="24"/>
        </w:rPr>
        <w:t xml:space="preserve">, with only a couple </w:t>
      </w:r>
      <w:r w:rsidRPr="009D5173">
        <w:rPr>
          <w:rFonts w:ascii="Times New Roman" w:hAnsi="Times New Roman"/>
          <w:bCs/>
          <w:sz w:val="24"/>
          <w:szCs w:val="24"/>
        </w:rPr>
        <w:t>of narrow exemptions—based on a medical condition or a sincerely held religious belief</w:t>
      </w:r>
      <w:r>
        <w:rPr>
          <w:rFonts w:ascii="Times New Roman" w:hAnsi="Times New Roman"/>
          <w:bCs/>
          <w:sz w:val="24"/>
          <w:szCs w:val="24"/>
        </w:rPr>
        <w:t xml:space="preserve">. </w:t>
      </w:r>
    </w:p>
    <w:p w14:paraId="5F8D6921" w14:textId="77777777" w:rsidR="00A82898" w:rsidRDefault="00A82898" w:rsidP="00A82898">
      <w:pPr>
        <w:pStyle w:val="NoSpacing"/>
        <w:rPr>
          <w:rFonts w:ascii="Times New Roman" w:hAnsi="Times New Roman"/>
          <w:bCs/>
          <w:sz w:val="24"/>
          <w:szCs w:val="24"/>
        </w:rPr>
      </w:pPr>
    </w:p>
    <w:p w14:paraId="4F06EDD4" w14:textId="77777777" w:rsidR="00A82898" w:rsidRPr="003D5D8C" w:rsidRDefault="00A82898" w:rsidP="00A82898">
      <w:pPr>
        <w:pStyle w:val="NoSpacing"/>
        <w:ind w:left="720"/>
        <w:rPr>
          <w:rFonts w:ascii="Times New Roman" w:hAnsi="Times New Roman"/>
          <w:sz w:val="24"/>
          <w:szCs w:val="24"/>
        </w:rPr>
      </w:pPr>
      <w:r>
        <w:rPr>
          <w:rFonts w:ascii="Times New Roman" w:hAnsi="Times New Roman"/>
          <w:bCs/>
          <w:sz w:val="24"/>
          <w:szCs w:val="24"/>
        </w:rPr>
        <w:t xml:space="preserve">“Texas law only protects employees from being terminated for refusing to commit an act carrying criminal penalties to the worker….  Receiving a COVID-19 vaccination is not an illegal act, and it carries no criminal penalties.  [Bridges] is refusing to accept inoculation that, in the hospital’s judgment, will make it safer for their workers and the patients in Methodist’s care.” </w:t>
      </w:r>
      <w:hyperlink r:id="rId2248" w:history="1">
        <w:r w:rsidRPr="003D5D8C">
          <w:rPr>
            <w:rStyle w:val="Hyperlink"/>
            <w:sz w:val="24"/>
            <w:szCs w:val="24"/>
          </w:rPr>
          <w:t>https://www.documentcloud.org/documents/20860669-houston-methodist-lawsuit-order-of-dismissal</w:t>
        </w:r>
      </w:hyperlink>
      <w:r w:rsidRPr="003D5D8C">
        <w:rPr>
          <w:rFonts w:ascii="Times New Roman" w:hAnsi="Times New Roman"/>
          <w:bCs/>
          <w:sz w:val="24"/>
          <w:szCs w:val="24"/>
        </w:rPr>
        <w:t xml:space="preserve"> </w:t>
      </w:r>
    </w:p>
    <w:p w14:paraId="57DECBDC" w14:textId="77777777" w:rsidR="00A82898" w:rsidRDefault="00A82898" w:rsidP="00A82898">
      <w:pPr>
        <w:rPr>
          <w:rFonts w:ascii="Times New Roman" w:hAnsi="Times New Roman"/>
          <w:bCs/>
          <w:sz w:val="24"/>
          <w:szCs w:val="24"/>
        </w:rPr>
      </w:pPr>
    </w:p>
    <w:p w14:paraId="193F9BB4" w14:textId="77777777" w:rsidR="00A82898" w:rsidRPr="00BC7ABC" w:rsidRDefault="00A82898" w:rsidP="00A82898">
      <w:pPr>
        <w:rPr>
          <w:rFonts w:ascii="Times New Roman" w:hAnsi="Times New Roman"/>
          <w:b/>
          <w:sz w:val="24"/>
          <w:szCs w:val="24"/>
        </w:rPr>
      </w:pPr>
      <w:r w:rsidRPr="00BC7ABC">
        <w:rPr>
          <w:rFonts w:ascii="Times New Roman" w:hAnsi="Times New Roman"/>
          <w:b/>
          <w:sz w:val="24"/>
          <w:szCs w:val="24"/>
        </w:rPr>
        <w:t xml:space="preserve">Legal Lesson Learned: </w:t>
      </w:r>
      <w:r>
        <w:rPr>
          <w:rFonts w:ascii="Times New Roman" w:hAnsi="Times New Roman"/>
          <w:b/>
          <w:sz w:val="24"/>
          <w:szCs w:val="24"/>
        </w:rPr>
        <w:t xml:space="preserve">Fire &amp; EMS departments should consult with legal counsel regarding the law in your state. </w:t>
      </w:r>
    </w:p>
    <w:p w14:paraId="384507A2" w14:textId="77777777" w:rsidR="00A82898" w:rsidRPr="009D5173" w:rsidRDefault="00A82898" w:rsidP="00A82898">
      <w:pPr>
        <w:ind w:left="720"/>
        <w:rPr>
          <w:rFonts w:ascii="Times New Roman" w:hAnsi="Times New Roman"/>
          <w:bCs/>
          <w:sz w:val="24"/>
          <w:szCs w:val="24"/>
        </w:rPr>
      </w:pPr>
      <w:r>
        <w:rPr>
          <w:rFonts w:ascii="Times New Roman" w:hAnsi="Times New Roman"/>
          <w:sz w:val="24"/>
          <w:szCs w:val="24"/>
        </w:rPr>
        <w:t xml:space="preserve">See this June 15, </w:t>
      </w:r>
      <w:proofErr w:type="gramStart"/>
      <w:r>
        <w:rPr>
          <w:rFonts w:ascii="Times New Roman" w:hAnsi="Times New Roman"/>
          <w:sz w:val="24"/>
          <w:szCs w:val="24"/>
        </w:rPr>
        <w:t>2021</w:t>
      </w:r>
      <w:proofErr w:type="gramEnd"/>
      <w:r>
        <w:rPr>
          <w:rFonts w:ascii="Times New Roman" w:hAnsi="Times New Roman"/>
          <w:sz w:val="24"/>
          <w:szCs w:val="24"/>
        </w:rPr>
        <w:t xml:space="preserve"> article, “</w:t>
      </w:r>
      <w:r w:rsidRPr="009D5173">
        <w:rPr>
          <w:rFonts w:ascii="Times New Roman" w:hAnsi="Times New Roman"/>
          <w:bCs/>
          <w:sz w:val="24"/>
          <w:szCs w:val="24"/>
        </w:rPr>
        <w:t>Mandatory Vaccination Policy Lawsuit Update: Nurses Take a Shot Against Hospital, But Judge Jabs Back.</w:t>
      </w:r>
      <w:r>
        <w:rPr>
          <w:rFonts w:ascii="Times New Roman" w:hAnsi="Times New Roman"/>
          <w:bCs/>
          <w:sz w:val="24"/>
          <w:szCs w:val="24"/>
        </w:rPr>
        <w:t>”</w:t>
      </w:r>
      <w:r w:rsidRPr="009D5173">
        <w:rPr>
          <w:rFonts w:ascii="Times New Roman" w:hAnsi="Times New Roman"/>
          <w:bCs/>
          <w:sz w:val="24"/>
          <w:szCs w:val="24"/>
        </w:rPr>
        <w:t xml:space="preserve"> </w:t>
      </w:r>
      <w:r>
        <w:rPr>
          <w:rFonts w:ascii="Times New Roman" w:hAnsi="Times New Roman"/>
          <w:bCs/>
          <w:sz w:val="24"/>
          <w:szCs w:val="24"/>
        </w:rPr>
        <w:t xml:space="preserve"> </w:t>
      </w:r>
      <w:hyperlink r:id="rId2249" w:history="1">
        <w:r w:rsidRPr="00B14793">
          <w:rPr>
            <w:rStyle w:val="Hyperlink"/>
            <w:sz w:val="24"/>
            <w:szCs w:val="24"/>
          </w:rPr>
          <w:t>https://www.natlawreview.com/article/mandatory-vaccination-policy-lawsuit-update-nurses-take-shot-against-hospital-judge</w:t>
        </w:r>
      </w:hyperlink>
      <w:r w:rsidRPr="00B14793">
        <w:rPr>
          <w:rFonts w:ascii="Times New Roman" w:hAnsi="Times New Roman"/>
          <w:bCs/>
          <w:sz w:val="24"/>
          <w:szCs w:val="24"/>
        </w:rPr>
        <w:t xml:space="preserve"> </w:t>
      </w:r>
    </w:p>
    <w:p w14:paraId="4B429104" w14:textId="77777777" w:rsidR="00A82898" w:rsidRPr="00B14793" w:rsidRDefault="00A82898" w:rsidP="00A82898">
      <w:pPr>
        <w:pStyle w:val="NoSpacing"/>
        <w:ind w:left="720"/>
        <w:rPr>
          <w:rFonts w:ascii="Times New Roman" w:hAnsi="Times New Roman"/>
          <w:sz w:val="24"/>
          <w:szCs w:val="24"/>
        </w:rPr>
      </w:pPr>
      <w:r w:rsidRPr="00BC7ABC">
        <w:rPr>
          <w:rFonts w:ascii="Times New Roman" w:hAnsi="Times New Roman"/>
          <w:sz w:val="24"/>
          <w:szCs w:val="24"/>
        </w:rPr>
        <w:t xml:space="preserve">Note: In Ohio, there is a “public policy exception” where an employer can be held liable for terminating an “at will” employee in violation of a clear public policy protected by federal or state law [such as firing employee who contacted OSHA, or for filing a </w:t>
      </w:r>
      <w:proofErr w:type="gramStart"/>
      <w:r w:rsidRPr="00BC7ABC">
        <w:rPr>
          <w:rFonts w:ascii="Times New Roman" w:hAnsi="Times New Roman"/>
          <w:sz w:val="24"/>
          <w:szCs w:val="24"/>
        </w:rPr>
        <w:t>workers</w:t>
      </w:r>
      <w:proofErr w:type="gramEnd"/>
      <w:r w:rsidRPr="00BC7ABC">
        <w:rPr>
          <w:rFonts w:ascii="Times New Roman" w:hAnsi="Times New Roman"/>
          <w:sz w:val="24"/>
          <w:szCs w:val="24"/>
        </w:rPr>
        <w:t xml:space="preserve"> comp claim].   </w:t>
      </w:r>
      <w:r>
        <w:rPr>
          <w:rFonts w:ascii="Times New Roman" w:hAnsi="Times New Roman"/>
          <w:sz w:val="24"/>
          <w:szCs w:val="24"/>
        </w:rPr>
        <w:t>On June 22, 2021, a</w:t>
      </w:r>
      <w:r w:rsidRPr="00BC7ABC">
        <w:rPr>
          <w:rFonts w:ascii="Times New Roman" w:hAnsi="Times New Roman"/>
          <w:sz w:val="24"/>
          <w:szCs w:val="24"/>
        </w:rPr>
        <w:t>n Ohio law firm recently wrote: “</w:t>
      </w:r>
      <w:r w:rsidRPr="00BC7ABC">
        <w:rPr>
          <w:rFonts w:ascii="Times New Roman" w:eastAsia="Times New Roman" w:hAnsi="Times New Roman"/>
          <w:sz w:val="24"/>
          <w:szCs w:val="24"/>
        </w:rPr>
        <w:t>It is unlikely based on current law that mandating COVID-19 vaccinations violates public policy in Ohio. But that is only under current law.  As of this newsletter, pending Ohio legislation would ban vaccine requirements not just for COVID-19, but all vaccines</w:t>
      </w:r>
      <w:r w:rsidRPr="00BC7ABC">
        <w:rPr>
          <w:rFonts w:ascii="Times New Roman" w:eastAsia="Times New Roman" w:hAnsi="Times New Roman"/>
          <w:b/>
          <w:sz w:val="24"/>
          <w:szCs w:val="24"/>
        </w:rPr>
        <w:t xml:space="preserve">.” </w:t>
      </w:r>
      <w:hyperlink r:id="rId2250" w:history="1">
        <w:r w:rsidRPr="00B14793">
          <w:rPr>
            <w:rStyle w:val="Hyperlink"/>
            <w:sz w:val="24"/>
            <w:szCs w:val="24"/>
          </w:rPr>
          <w:t>https://fisheldowney.com/texas-federal-court-permits-employer-vaccine-mandates-mean-ohio-employers/</w:t>
        </w:r>
      </w:hyperlink>
    </w:p>
    <w:p w14:paraId="53C22503" w14:textId="77777777" w:rsidR="00A82898" w:rsidRDefault="00A82898" w:rsidP="00A82898">
      <w:pPr>
        <w:pStyle w:val="NoSpacing"/>
        <w:rPr>
          <w:rFonts w:ascii="Times New Roman" w:hAnsi="Times New Roman"/>
          <w:sz w:val="24"/>
          <w:szCs w:val="24"/>
        </w:rPr>
      </w:pPr>
    </w:p>
    <w:p w14:paraId="05D1D3FF" w14:textId="77777777" w:rsidR="00A82898" w:rsidRDefault="00A82898" w:rsidP="002B1283">
      <w:pPr>
        <w:rPr>
          <w:rFonts w:ascii="Arial Black" w:hAnsi="Arial Black"/>
          <w:b/>
          <w:bCs/>
          <w:sz w:val="28"/>
          <w:szCs w:val="28"/>
        </w:rPr>
      </w:pPr>
    </w:p>
    <w:p w14:paraId="1A6925C4" w14:textId="77777777" w:rsidR="00A82898" w:rsidRDefault="00A82898" w:rsidP="002B1283">
      <w:pPr>
        <w:rPr>
          <w:rFonts w:ascii="Arial Black" w:hAnsi="Arial Black"/>
          <w:b/>
          <w:bCs/>
          <w:sz w:val="28"/>
          <w:szCs w:val="28"/>
        </w:rPr>
      </w:pPr>
    </w:p>
    <w:p w14:paraId="438D926C" w14:textId="4ADCF9D4" w:rsidR="00B03268" w:rsidRPr="00BC5936" w:rsidRDefault="00B03268" w:rsidP="002B1283">
      <w:pPr>
        <w:rPr>
          <w:rFonts w:ascii="Times New Roman" w:hAnsi="Times New Roman"/>
          <w:sz w:val="24"/>
          <w:szCs w:val="24"/>
        </w:rPr>
      </w:pPr>
      <w:r>
        <w:rPr>
          <w:rFonts w:ascii="Arial Black" w:hAnsi="Arial Black"/>
          <w:b/>
          <w:bCs/>
          <w:sz w:val="28"/>
          <w:szCs w:val="28"/>
        </w:rPr>
        <w:t>13-87</w:t>
      </w:r>
      <w:r w:rsidR="00BC5936">
        <w:rPr>
          <w:rFonts w:ascii="Arial Black" w:hAnsi="Arial Black"/>
          <w:b/>
          <w:bCs/>
          <w:sz w:val="28"/>
          <w:szCs w:val="28"/>
        </w:rPr>
        <w:t xml:space="preserve"> </w:t>
      </w:r>
      <w:r w:rsidR="00BC5936">
        <w:rPr>
          <w:rFonts w:ascii="Times New Roman" w:hAnsi="Times New Roman"/>
          <w:sz w:val="24"/>
          <w:szCs w:val="24"/>
        </w:rPr>
        <w:t xml:space="preserve">[also filed, Chap. 5] </w:t>
      </w:r>
    </w:p>
    <w:p w14:paraId="1D453DB1" w14:textId="77777777" w:rsidR="00B03268" w:rsidRPr="002F193B" w:rsidRDefault="00B03268" w:rsidP="00B03268">
      <w:pPr>
        <w:pStyle w:val="NoSpacing"/>
        <w:rPr>
          <w:rFonts w:ascii="Arial Black" w:hAnsi="Arial Black"/>
          <w:sz w:val="28"/>
          <w:szCs w:val="28"/>
        </w:rPr>
      </w:pPr>
      <w:r>
        <w:rPr>
          <w:rFonts w:ascii="Arial Black" w:hAnsi="Arial Black"/>
          <w:sz w:val="28"/>
          <w:szCs w:val="28"/>
        </w:rPr>
        <w:t>WV: AMBULANCE ROLL OVER - 2 KILLED, EMT’S LAWSUIT HOSP. DISMISSED – MEDICAL CERT. OF MERIT REQUIRED</w:t>
      </w:r>
    </w:p>
    <w:p w14:paraId="045C8313" w14:textId="77777777" w:rsidR="00B03268" w:rsidRDefault="00B03268" w:rsidP="00B03268">
      <w:pPr>
        <w:pStyle w:val="NoSpacing"/>
      </w:pPr>
    </w:p>
    <w:p w14:paraId="6C1D2639" w14:textId="77777777" w:rsidR="00B03268" w:rsidRDefault="00B03268" w:rsidP="00B03268">
      <w:pPr>
        <w:pStyle w:val="NoSpacing"/>
        <w:rPr>
          <w:rFonts w:ascii="Times New Roman" w:hAnsi="Times New Roman"/>
          <w:sz w:val="24"/>
          <w:szCs w:val="24"/>
        </w:rPr>
      </w:pPr>
      <w:r w:rsidRPr="00397962">
        <w:rPr>
          <w:rFonts w:ascii="Times New Roman" w:hAnsi="Times New Roman"/>
          <w:sz w:val="24"/>
          <w:szCs w:val="24"/>
        </w:rPr>
        <w:t xml:space="preserve">On May 20, 2021, in </w:t>
      </w:r>
      <w:r w:rsidRPr="00397962">
        <w:rPr>
          <w:rFonts w:ascii="Times New Roman" w:hAnsi="Times New Roman"/>
          <w:sz w:val="24"/>
          <w:szCs w:val="24"/>
          <w:u w:val="single"/>
        </w:rPr>
        <w:t>Crystal G. Brown and Tri-State Ambulance, Inc. v. Ohio Valley Health Services &amp; Education Corporation; Ohio Valley Medical Center; et al</w:t>
      </w:r>
      <w:r>
        <w:rPr>
          <w:rFonts w:ascii="Times New Roman" w:hAnsi="Times New Roman"/>
          <w:sz w:val="24"/>
          <w:szCs w:val="24"/>
        </w:rPr>
        <w:t xml:space="preserve">., the State of West Virginia Supreme Court of Appeals, </w:t>
      </w:r>
      <w:r w:rsidRPr="00FD6489">
        <w:rPr>
          <w:rStyle w:val="font-weight-bold"/>
          <w:rFonts w:ascii="Times New Roman" w:hAnsi="Times New Roman"/>
          <w:sz w:val="24"/>
          <w:szCs w:val="24"/>
        </w:rPr>
        <w:t>Brown v. Ohio Valley Health Servs. &amp; Educ. Corp. (W. Va. 202</w:t>
      </w:r>
      <w:r>
        <w:rPr>
          <w:rFonts w:ascii="Times New Roman" w:hAnsi="Times New Roman"/>
          <w:sz w:val="24"/>
          <w:szCs w:val="24"/>
        </w:rPr>
        <w:t xml:space="preserve">1, held (3 to 0) that the lawsuit was properly dismissed since the West Virginia code of medical professional liability requires both patients and others suing a health care provider 30 days </w:t>
      </w:r>
      <w:proofErr w:type="gramStart"/>
      <w:r>
        <w:rPr>
          <w:rFonts w:ascii="Times New Roman" w:hAnsi="Times New Roman"/>
          <w:sz w:val="24"/>
          <w:szCs w:val="24"/>
        </w:rPr>
        <w:t>prior</w:t>
      </w:r>
      <w:proofErr w:type="gramEnd"/>
      <w:r>
        <w:rPr>
          <w:rFonts w:ascii="Times New Roman" w:hAnsi="Times New Roman"/>
          <w:sz w:val="24"/>
          <w:szCs w:val="24"/>
        </w:rPr>
        <w:t xml:space="preserve"> written notice, and a certificate of merit by a qualified health care provider.  The EMT in her lawsuit claimed the hospital knew but failed to disclose that transporting the patient to a Columbus, OH hospital was not medically necessary to save his life and that dangerous weather was approaching; the Ambulance company’s insurance provider sought reimbursement for its settlement costs.</w:t>
      </w:r>
    </w:p>
    <w:p w14:paraId="35504CFF" w14:textId="77777777" w:rsidR="00B03268" w:rsidRPr="00FD6489" w:rsidRDefault="00B03268" w:rsidP="00B03268">
      <w:pPr>
        <w:spacing w:before="100" w:beforeAutospacing="1" w:after="100" w:afterAutospacing="1"/>
        <w:ind w:left="720"/>
        <w:rPr>
          <w:rFonts w:ascii="Times New Roman" w:hAnsi="Times New Roman"/>
          <w:sz w:val="24"/>
          <w:szCs w:val="24"/>
        </w:rPr>
      </w:pPr>
      <w:r>
        <w:rPr>
          <w:rFonts w:ascii="Times New Roman" w:hAnsi="Times New Roman"/>
          <w:sz w:val="24"/>
          <w:szCs w:val="24"/>
        </w:rPr>
        <w:t>“</w:t>
      </w:r>
      <w:r w:rsidRPr="00FD6489">
        <w:rPr>
          <w:rFonts w:ascii="Times New Roman" w:hAnsi="Times New Roman"/>
          <w:sz w:val="24"/>
          <w:szCs w:val="24"/>
        </w:rPr>
        <w:t xml:space="preserve">That Petitioner Brown was not the patient does not preclude application of the MPLA. [Medical Professional Liability Act].  In syllabus point 5 of </w:t>
      </w:r>
      <w:r w:rsidRPr="00FD6489">
        <w:rPr>
          <w:rFonts w:ascii="Times New Roman" w:hAnsi="Times New Roman"/>
          <w:i/>
          <w:iCs/>
          <w:sz w:val="24"/>
          <w:szCs w:val="24"/>
        </w:rPr>
        <w:t>Osbourne v</w:t>
      </w:r>
      <w:r w:rsidRPr="00FD6489">
        <w:rPr>
          <w:rFonts w:ascii="Times New Roman" w:hAnsi="Times New Roman"/>
          <w:sz w:val="24"/>
          <w:szCs w:val="24"/>
        </w:rPr>
        <w:t xml:space="preserve">. </w:t>
      </w:r>
      <w:r w:rsidRPr="00FD6489">
        <w:rPr>
          <w:rFonts w:ascii="Times New Roman" w:hAnsi="Times New Roman"/>
          <w:i/>
          <w:iCs/>
          <w:sz w:val="24"/>
          <w:szCs w:val="24"/>
        </w:rPr>
        <w:t>United States</w:t>
      </w:r>
      <w:r w:rsidRPr="00FD6489">
        <w:rPr>
          <w:rFonts w:ascii="Times New Roman" w:hAnsi="Times New Roman"/>
          <w:sz w:val="24"/>
          <w:szCs w:val="24"/>
        </w:rPr>
        <w:t xml:space="preserve">, 211 W. Va. 667, 567 S.E.2d 677 (2002), we held that the Act </w:t>
      </w:r>
      <w:r>
        <w:rPr>
          <w:rFonts w:ascii="Times New Roman" w:hAnsi="Times New Roman"/>
          <w:sz w:val="24"/>
          <w:szCs w:val="24"/>
        </w:rPr>
        <w:t>‘</w:t>
      </w:r>
      <w:r w:rsidRPr="00FD6489">
        <w:rPr>
          <w:rFonts w:ascii="Times New Roman" w:hAnsi="Times New Roman"/>
          <w:sz w:val="24"/>
          <w:szCs w:val="24"/>
        </w:rPr>
        <w:t>permits a third party to bring a cause of action against a health care provider for foreseeable injuries that were proximately caused by the health care provider's negligent treatment of a tortfeasor patient.</w:t>
      </w:r>
      <w:r>
        <w:rPr>
          <w:rFonts w:ascii="Times New Roman" w:hAnsi="Times New Roman"/>
          <w:sz w:val="24"/>
          <w:szCs w:val="24"/>
        </w:rPr>
        <w:t>’</w:t>
      </w:r>
      <w:r w:rsidRPr="00FD6489">
        <w:rPr>
          <w:rFonts w:ascii="Times New Roman" w:hAnsi="Times New Roman"/>
          <w:sz w:val="24"/>
          <w:szCs w:val="24"/>
        </w:rPr>
        <w:t xml:space="preserve"> In reaching this holding, we observed that, in defining </w:t>
      </w:r>
      <w:r>
        <w:rPr>
          <w:rFonts w:ascii="Times New Roman" w:hAnsi="Times New Roman"/>
          <w:sz w:val="24"/>
          <w:szCs w:val="24"/>
        </w:rPr>
        <w:t>‘</w:t>
      </w:r>
      <w:r w:rsidRPr="00FD6489">
        <w:rPr>
          <w:rFonts w:ascii="Times New Roman" w:hAnsi="Times New Roman"/>
          <w:sz w:val="24"/>
          <w:szCs w:val="24"/>
        </w:rPr>
        <w:t>medical professional liability</w:t>
      </w:r>
      <w:r>
        <w:rPr>
          <w:rFonts w:ascii="Times New Roman" w:hAnsi="Times New Roman"/>
          <w:sz w:val="24"/>
          <w:szCs w:val="24"/>
        </w:rPr>
        <w:t xml:space="preserve">.’” </w:t>
      </w:r>
      <w:hyperlink r:id="rId2251" w:history="1">
        <w:r w:rsidRPr="007344F4">
          <w:rPr>
            <w:rStyle w:val="Hyperlink"/>
            <w:sz w:val="24"/>
            <w:szCs w:val="24"/>
          </w:rPr>
          <w:t>https://casetext.com/case/brown-v-ohio-valley-health-servs-educ-corp</w:t>
        </w:r>
      </w:hyperlink>
      <w:r>
        <w:rPr>
          <w:rFonts w:ascii="Times New Roman" w:hAnsi="Times New Roman"/>
          <w:sz w:val="24"/>
          <w:szCs w:val="24"/>
        </w:rPr>
        <w:t xml:space="preserve"> </w:t>
      </w:r>
    </w:p>
    <w:p w14:paraId="3ADAE79C" w14:textId="77777777" w:rsidR="00B03268" w:rsidRPr="006723F9" w:rsidRDefault="00B03268" w:rsidP="00B03268">
      <w:pPr>
        <w:spacing w:before="100" w:beforeAutospacing="1" w:after="100" w:afterAutospacing="1"/>
        <w:rPr>
          <w:rFonts w:ascii="Times New Roman" w:eastAsia="Times New Roman" w:hAnsi="Times New Roman"/>
          <w:b/>
          <w:bCs/>
          <w:sz w:val="24"/>
          <w:szCs w:val="24"/>
        </w:rPr>
      </w:pPr>
      <w:r w:rsidRPr="006723F9">
        <w:rPr>
          <w:rFonts w:ascii="Times New Roman" w:hAnsi="Times New Roman"/>
          <w:b/>
          <w:bCs/>
          <w:sz w:val="24"/>
          <w:szCs w:val="24"/>
        </w:rPr>
        <w:t xml:space="preserve">Legal Lesson Learned:  </w:t>
      </w:r>
      <w:r>
        <w:rPr>
          <w:rFonts w:ascii="Times New Roman" w:hAnsi="Times New Roman"/>
          <w:b/>
          <w:bCs/>
          <w:sz w:val="24"/>
          <w:szCs w:val="24"/>
        </w:rPr>
        <w:t xml:space="preserve">Lawsuit dismissed since EMT and her attorney </w:t>
      </w:r>
      <w:r w:rsidRPr="006723F9">
        <w:rPr>
          <w:rFonts w:ascii="Times New Roman" w:hAnsi="Times New Roman"/>
          <w:b/>
          <w:bCs/>
          <w:sz w:val="24"/>
          <w:szCs w:val="24"/>
        </w:rPr>
        <w:t xml:space="preserve">didn’t </w:t>
      </w:r>
      <w:r>
        <w:rPr>
          <w:rFonts w:ascii="Times New Roman" w:hAnsi="Times New Roman"/>
          <w:b/>
          <w:bCs/>
          <w:sz w:val="24"/>
          <w:szCs w:val="24"/>
        </w:rPr>
        <w:t xml:space="preserve">provide the Certificate of Merit required by the Medical Professional Liability </w:t>
      </w:r>
      <w:r w:rsidRPr="006723F9">
        <w:rPr>
          <w:rFonts w:ascii="Times New Roman" w:hAnsi="Times New Roman"/>
          <w:b/>
          <w:bCs/>
          <w:sz w:val="24"/>
          <w:szCs w:val="24"/>
        </w:rPr>
        <w:t xml:space="preserve">statute. </w:t>
      </w:r>
      <w:r>
        <w:rPr>
          <w:rFonts w:ascii="Times New Roman" w:hAnsi="Times New Roman"/>
          <w:b/>
          <w:bCs/>
          <w:sz w:val="24"/>
          <w:szCs w:val="24"/>
        </w:rPr>
        <w:t xml:space="preserve"> Similar statutes can be found throughout U.S. </w:t>
      </w:r>
    </w:p>
    <w:p w14:paraId="7AF41074" w14:textId="77777777" w:rsidR="00B03268" w:rsidRDefault="00B03268" w:rsidP="00B03268">
      <w:pPr>
        <w:spacing w:before="100" w:beforeAutospacing="1" w:after="100" w:afterAutospacing="1"/>
        <w:ind w:left="720"/>
        <w:rPr>
          <w:rFonts w:ascii="Times New Roman" w:hAnsi="Times New Roman"/>
          <w:sz w:val="24"/>
          <w:szCs w:val="24"/>
        </w:rPr>
      </w:pPr>
      <w:r>
        <w:rPr>
          <w:rFonts w:ascii="Times New Roman" w:eastAsia="Times New Roman" w:hAnsi="Times New Roman"/>
          <w:sz w:val="24"/>
          <w:szCs w:val="24"/>
        </w:rPr>
        <w:t>Note: See this article on the roll over.</w:t>
      </w:r>
    </w:p>
    <w:p w14:paraId="0028289B" w14:textId="77777777" w:rsidR="00B03268" w:rsidRPr="006C56B5" w:rsidRDefault="00B03268" w:rsidP="00B03268">
      <w:pPr>
        <w:ind w:left="720"/>
        <w:rPr>
          <w:rFonts w:ascii="Times New Roman" w:hAnsi="Times New Roman"/>
          <w:sz w:val="24"/>
          <w:szCs w:val="24"/>
        </w:rPr>
      </w:pPr>
      <w:r w:rsidRPr="006C56B5">
        <w:rPr>
          <w:rFonts w:ascii="Times New Roman" w:hAnsi="Times New Roman"/>
          <w:b/>
          <w:bCs/>
          <w:sz w:val="24"/>
          <w:szCs w:val="24"/>
        </w:rPr>
        <w:t>Two Dead After Ambulance Rollover</w:t>
      </w:r>
      <w:r>
        <w:rPr>
          <w:rFonts w:ascii="Times New Roman" w:hAnsi="Times New Roman"/>
          <w:sz w:val="24"/>
          <w:szCs w:val="24"/>
        </w:rPr>
        <w:t xml:space="preserve"> (Dec. 17, 2016): </w:t>
      </w:r>
      <w:hyperlink r:id="rId2252" w:history="1">
        <w:r w:rsidRPr="006C56B5">
          <w:rPr>
            <w:rStyle w:val="Hyperlink"/>
            <w:sz w:val="24"/>
            <w:szCs w:val="24"/>
          </w:rPr>
          <w:t>https://www.zanesvilletimesrecorder.com/story/news/local/2016/12/17/two-dead-after-ambulance-rollover/95557626/</w:t>
        </w:r>
      </w:hyperlink>
      <w:r w:rsidRPr="006C56B5">
        <w:rPr>
          <w:rFonts w:ascii="Times New Roman" w:hAnsi="Times New Roman"/>
          <w:sz w:val="24"/>
          <w:szCs w:val="24"/>
        </w:rPr>
        <w:t xml:space="preserve"> </w:t>
      </w:r>
    </w:p>
    <w:p w14:paraId="1FAA7C88" w14:textId="77777777" w:rsidR="00B03268" w:rsidRPr="006C56B5" w:rsidRDefault="00B03268" w:rsidP="00B03268">
      <w:pPr>
        <w:ind w:left="1440"/>
        <w:rPr>
          <w:rFonts w:ascii="Times New Roman" w:hAnsi="Times New Roman"/>
          <w:sz w:val="24"/>
          <w:szCs w:val="24"/>
        </w:rPr>
      </w:pPr>
      <w:r w:rsidRPr="006C56B5">
        <w:rPr>
          <w:rFonts w:ascii="Times New Roman" w:hAnsi="Times New Roman"/>
          <w:sz w:val="24"/>
          <w:szCs w:val="24"/>
        </w:rPr>
        <w:t>CAMBRIDGE, OH- Two people died early Saturday morning after an ambulance lost control and overturned several times, according to a release from the Cambridge Post of the Ohio Highway Patrol.</w:t>
      </w:r>
    </w:p>
    <w:p w14:paraId="6A78260D" w14:textId="77777777" w:rsidR="00B03268" w:rsidRDefault="00B03268" w:rsidP="00B03268">
      <w:pPr>
        <w:pStyle w:val="gntarbp"/>
        <w:ind w:left="1440"/>
      </w:pPr>
      <w:r>
        <w:t>According to the release, shortly after 2 a.m. an ambulance, registered to Tri State Ambulance, was transporting a patient on I-70 westbound near milepost 176 when it lost control, drove off the left edge of the interstate and overturned multiple times.</w:t>
      </w:r>
    </w:p>
    <w:p w14:paraId="1E58B53D" w14:textId="77777777" w:rsidR="00B03268" w:rsidRDefault="00B03268" w:rsidP="00B03268">
      <w:pPr>
        <w:pStyle w:val="gntarbp"/>
        <w:ind w:left="1440"/>
      </w:pPr>
      <w:r>
        <w:t>At the time of the crash, a patient and four emergency medical personnel were in the ambulance. A patient and one of the emergency personnel, both in the patient care area of the ambulance, were killed in the crash. The three other emergency personnel sustained minor injuries, which were treated at Southeastern Medical Center.</w:t>
      </w:r>
    </w:p>
    <w:p w14:paraId="4C2DA9F2" w14:textId="77777777" w:rsidR="00B03268" w:rsidRPr="006C56B5" w:rsidRDefault="00B03268" w:rsidP="00B03268">
      <w:pPr>
        <w:pStyle w:val="gntarbp"/>
        <w:ind w:left="1440"/>
      </w:pPr>
      <w:r>
        <w:t xml:space="preserve">Killed in the crash were the patient, Dennis Calvert, 64, of Wheeling West Virginia, and emergency personnel Charles McMahan, 39, of New Matamoras. Injured in the crash </w:t>
      </w:r>
      <w:proofErr w:type="gramStart"/>
      <w:r>
        <w:t>were the driver,</w:t>
      </w:r>
      <w:proofErr w:type="gramEnd"/>
      <w:r>
        <w:t xml:space="preserve"> Crystal Brown, 33</w:t>
      </w:r>
      <w:proofErr w:type="gramStart"/>
      <w:r>
        <w:t>, of</w:t>
      </w:r>
      <w:proofErr w:type="gramEnd"/>
      <w:r>
        <w:t xml:space="preserve"> Proctor, West Virginia, passengers Jennifer Rothwell, 32, of Wheeling, West Virginia, and Randi Watson, 37, of Glen Easton, West Virginia.</w:t>
      </w:r>
    </w:p>
    <w:p w14:paraId="0EDD7904" w14:textId="77777777" w:rsidR="00B03268" w:rsidRPr="00D1078B" w:rsidRDefault="00B03268" w:rsidP="00B03268">
      <w:pPr>
        <w:spacing w:before="100" w:beforeAutospacing="1" w:after="100" w:afterAutospacing="1"/>
        <w:ind w:left="720"/>
        <w:rPr>
          <w:rFonts w:ascii="Times New Roman" w:hAnsi="Times New Roman"/>
          <w:sz w:val="24"/>
          <w:szCs w:val="24"/>
        </w:rPr>
      </w:pPr>
      <w:r w:rsidRPr="00D1078B">
        <w:rPr>
          <w:rFonts w:ascii="Times New Roman" w:hAnsi="Times New Roman"/>
          <w:sz w:val="24"/>
          <w:szCs w:val="24"/>
        </w:rPr>
        <w:t xml:space="preserve">The West Virginia </w:t>
      </w:r>
      <w:r w:rsidRPr="00FD6489">
        <w:rPr>
          <w:rFonts w:ascii="Times New Roman" w:hAnsi="Times New Roman"/>
          <w:sz w:val="24"/>
          <w:szCs w:val="24"/>
        </w:rPr>
        <w:t>Medical Professional Liability Act</w:t>
      </w:r>
      <w:r>
        <w:rPr>
          <w:rFonts w:ascii="Times New Roman" w:hAnsi="Times New Roman"/>
          <w:sz w:val="24"/>
          <w:szCs w:val="24"/>
        </w:rPr>
        <w:t xml:space="preserve"> provides: </w:t>
      </w:r>
      <w:hyperlink r:id="rId2253" w:history="1">
        <w:r w:rsidRPr="00C15479">
          <w:rPr>
            <w:rStyle w:val="Hyperlink"/>
            <w:sz w:val="24"/>
            <w:szCs w:val="24"/>
          </w:rPr>
          <w:t>https://law.justia.com/codes/west-virginia/2017/chapter-55/article-7b/section-55-7b-6/</w:t>
        </w:r>
      </w:hyperlink>
    </w:p>
    <w:p w14:paraId="61784899" w14:textId="77777777" w:rsidR="00B03268" w:rsidRPr="002F193B" w:rsidRDefault="00B03268" w:rsidP="00B03268">
      <w:pPr>
        <w:spacing w:before="100" w:beforeAutospacing="1" w:after="100" w:afterAutospacing="1"/>
        <w:ind w:left="1440"/>
        <w:rPr>
          <w:rFonts w:ascii="Times New Roman" w:eastAsia="Times New Roman" w:hAnsi="Times New Roman"/>
          <w:sz w:val="24"/>
          <w:szCs w:val="24"/>
        </w:rPr>
      </w:pPr>
      <w:r>
        <w:rPr>
          <w:rFonts w:ascii="Times New Roman" w:hAnsi="Times New Roman"/>
          <w:sz w:val="24"/>
          <w:szCs w:val="24"/>
        </w:rPr>
        <w:t>“</w:t>
      </w:r>
      <w:r w:rsidRPr="00D1078B">
        <w:rPr>
          <w:rFonts w:ascii="Times New Roman" w:hAnsi="Times New Roman"/>
          <w:sz w:val="24"/>
          <w:szCs w:val="24"/>
        </w:rPr>
        <w:t xml:space="preserve">(b) At least thirty days prior to the filing of a medical professional liability action against a health care provider, the claimant shall serve by certified mail, return receipt requested, a notice of claim on each health care provider the claimant will join in litigation. The notice of claim shall include a statement of the theory or theories of liability upon which a cause of action may be based, and a list of all health care providers and health care facilities to whom notices of claim are being sent, together with a screening certificate of merit. The screening certificate of merit shall be executed under oath by a health care provider qualified as an expert under the West Virginia rules of evidence and shall state with particularity: (1) The expert’s familiarity with the applicable standard of care in issue; (2) the expert’s qualifications; (3) the expert’s opinion as to how the applicable standard of care was breached; and (4) the expert’s opinion as to how the breach of the applicable standard of care resulted in injury or death. A separate screening certificate of merit must be provided for each health care provider against whom a claim is asserted. The person signing the screening certificate of merit shall have no financial interest in the underlying </w:t>
      </w:r>
      <w:proofErr w:type="gramStart"/>
      <w:r w:rsidRPr="00D1078B">
        <w:rPr>
          <w:rFonts w:ascii="Times New Roman" w:hAnsi="Times New Roman"/>
          <w:sz w:val="24"/>
          <w:szCs w:val="24"/>
        </w:rPr>
        <w:t>claim, but</w:t>
      </w:r>
      <w:proofErr w:type="gramEnd"/>
      <w:r w:rsidRPr="00D1078B">
        <w:rPr>
          <w:rFonts w:ascii="Times New Roman" w:hAnsi="Times New Roman"/>
          <w:sz w:val="24"/>
          <w:szCs w:val="24"/>
        </w:rPr>
        <w:t xml:space="preserve"> may participate as an expert witness in any judicial proceeding. Nothing in this subsection may be construed to limit the application of Rule 15 of the Rules of Civil Procedure.</w:t>
      </w:r>
    </w:p>
    <w:p w14:paraId="175B1BC6" w14:textId="77777777" w:rsidR="00B03268" w:rsidRDefault="00B03268" w:rsidP="002B1283">
      <w:pPr>
        <w:rPr>
          <w:rFonts w:ascii="Arial Black" w:hAnsi="Arial Black"/>
          <w:b/>
          <w:bCs/>
          <w:sz w:val="28"/>
          <w:szCs w:val="28"/>
        </w:rPr>
      </w:pPr>
    </w:p>
    <w:p w14:paraId="3FDDFD58" w14:textId="77777777" w:rsidR="00B03268" w:rsidRDefault="00B03268" w:rsidP="002B1283">
      <w:pPr>
        <w:rPr>
          <w:rFonts w:ascii="Arial Black" w:hAnsi="Arial Black"/>
          <w:b/>
          <w:bCs/>
          <w:sz w:val="28"/>
          <w:szCs w:val="28"/>
        </w:rPr>
      </w:pPr>
    </w:p>
    <w:p w14:paraId="57C217F0" w14:textId="29370C42" w:rsidR="00274525" w:rsidRDefault="00EC1BFB" w:rsidP="002B1283">
      <w:pPr>
        <w:rPr>
          <w:rFonts w:ascii="Arial Black" w:hAnsi="Arial Black"/>
          <w:b/>
          <w:bCs/>
          <w:sz w:val="28"/>
          <w:szCs w:val="28"/>
        </w:rPr>
      </w:pPr>
      <w:r>
        <w:rPr>
          <w:rFonts w:ascii="Arial Black" w:hAnsi="Arial Black"/>
          <w:b/>
          <w:bCs/>
          <w:sz w:val="28"/>
          <w:szCs w:val="28"/>
        </w:rPr>
        <w:t>13-86</w:t>
      </w:r>
    </w:p>
    <w:p w14:paraId="2278C146" w14:textId="77777777" w:rsidR="00EC1BFB" w:rsidRDefault="00EC1BFB" w:rsidP="00EC1BFB">
      <w:pPr>
        <w:pStyle w:val="NoSpacing"/>
        <w:rPr>
          <w:rFonts w:ascii="Arial Black" w:hAnsi="Arial Black"/>
          <w:sz w:val="28"/>
          <w:szCs w:val="28"/>
        </w:rPr>
      </w:pPr>
      <w:r>
        <w:rPr>
          <w:rFonts w:ascii="Arial Black" w:hAnsi="Arial Black"/>
          <w:sz w:val="28"/>
          <w:szCs w:val="28"/>
        </w:rPr>
        <w:t>OH: BATTALION CHIEF FAILED TO REPORT THAT EMT-B STARTED “IO” ON PATIENT – 60-DAY SUSPENSION UPHELD</w:t>
      </w:r>
    </w:p>
    <w:p w14:paraId="0D9B5C72" w14:textId="77777777" w:rsidR="00EC1BFB" w:rsidRPr="006E0916" w:rsidRDefault="00EC1BFB" w:rsidP="00EC1BFB">
      <w:pPr>
        <w:pStyle w:val="NoSpacing"/>
        <w:rPr>
          <w:rFonts w:ascii="Arial Black" w:hAnsi="Arial Black"/>
          <w:sz w:val="28"/>
          <w:szCs w:val="28"/>
        </w:rPr>
      </w:pPr>
    </w:p>
    <w:p w14:paraId="1C3635DE" w14:textId="77777777" w:rsidR="00EC1BFB" w:rsidRPr="00121F16" w:rsidRDefault="00EC1BFB" w:rsidP="00EC1BFB">
      <w:pPr>
        <w:pStyle w:val="NoSpacing"/>
        <w:rPr>
          <w:rFonts w:ascii="Times New Roman" w:hAnsi="Times New Roman"/>
          <w:sz w:val="24"/>
          <w:szCs w:val="24"/>
        </w:rPr>
      </w:pPr>
      <w:r>
        <w:rPr>
          <w:rFonts w:ascii="Times New Roman" w:hAnsi="Times New Roman"/>
          <w:sz w:val="24"/>
          <w:szCs w:val="24"/>
        </w:rPr>
        <w:t xml:space="preserve">On March 26, 2021, in </w:t>
      </w:r>
      <w:r w:rsidRPr="006E0916">
        <w:rPr>
          <w:rFonts w:ascii="Times New Roman" w:hAnsi="Times New Roman"/>
          <w:sz w:val="24"/>
          <w:szCs w:val="24"/>
          <w:u w:val="single"/>
        </w:rPr>
        <w:t>Mark W. Stahl v. Allen-Clay Joint Fire District</w:t>
      </w:r>
      <w:r>
        <w:rPr>
          <w:rFonts w:ascii="Times New Roman" w:hAnsi="Times New Roman"/>
          <w:sz w:val="24"/>
          <w:szCs w:val="24"/>
        </w:rPr>
        <w:t xml:space="preserve">, the Court of Appeals of Ohio, Sixth Appellate District (Ottawa County), held (3 to 0), </w:t>
      </w:r>
      <w:r w:rsidRPr="00421215">
        <w:rPr>
          <w:rFonts w:ascii="Times New Roman" w:hAnsi="Times New Roman"/>
          <w:sz w:val="24"/>
          <w:szCs w:val="24"/>
        </w:rPr>
        <w:t xml:space="preserve">2021 Ohio 986, </w:t>
      </w:r>
      <w:r>
        <w:rPr>
          <w:rFonts w:ascii="Times New Roman" w:hAnsi="Times New Roman"/>
          <w:sz w:val="24"/>
          <w:szCs w:val="24"/>
        </w:rPr>
        <w:t xml:space="preserve">that the Fire District Board had sufficient evidence to impose the discipline on the Battalion Chief, for not reporting to the FD and </w:t>
      </w:r>
      <w:r w:rsidRPr="00121F16">
        <w:rPr>
          <w:rFonts w:ascii="Times New Roman" w:hAnsi="Times New Roman"/>
          <w:sz w:val="24"/>
          <w:szCs w:val="24"/>
        </w:rPr>
        <w:t xml:space="preserve">the Ohio Division of Emergency Medical Services </w:t>
      </w:r>
      <w:r>
        <w:rPr>
          <w:rFonts w:ascii="Times New Roman" w:hAnsi="Times New Roman"/>
          <w:sz w:val="24"/>
          <w:szCs w:val="24"/>
        </w:rPr>
        <w:t xml:space="preserve">that an EMT-B had exceeded his scope of practice by inserting an </w:t>
      </w:r>
      <w:r w:rsidRPr="00121F16">
        <w:rPr>
          <w:rFonts w:ascii="Times New Roman" w:hAnsi="Times New Roman"/>
          <w:sz w:val="24"/>
          <w:szCs w:val="24"/>
        </w:rPr>
        <w:t>intraosseous infusion ("IO")</w:t>
      </w:r>
      <w:r>
        <w:rPr>
          <w:rFonts w:ascii="Times New Roman" w:hAnsi="Times New Roman"/>
          <w:sz w:val="24"/>
          <w:szCs w:val="24"/>
        </w:rPr>
        <w:t xml:space="preserve"> into tibia bone of a cardiac patient.  Note: The EMS run report was completed by a Medic on the run; she incorrectly listed herself as inserting the IO.  </w:t>
      </w:r>
    </w:p>
    <w:p w14:paraId="66BD3ED1" w14:textId="77777777" w:rsidR="00EC1BFB" w:rsidRDefault="00EC1BFB" w:rsidP="00EC1BFB">
      <w:pPr>
        <w:pStyle w:val="NoSpacing"/>
        <w:rPr>
          <w:rFonts w:ascii="Times New Roman" w:hAnsi="Times New Roman"/>
          <w:sz w:val="24"/>
          <w:szCs w:val="24"/>
        </w:rPr>
      </w:pPr>
    </w:p>
    <w:p w14:paraId="051FC879" w14:textId="77777777" w:rsidR="00EC1BFB" w:rsidRDefault="00EC1BFB" w:rsidP="00EC1BFB">
      <w:pPr>
        <w:pStyle w:val="NoSpacing"/>
        <w:ind w:left="720"/>
        <w:rPr>
          <w:rFonts w:ascii="Times New Roman" w:hAnsi="Times New Roman"/>
          <w:sz w:val="24"/>
          <w:szCs w:val="24"/>
        </w:rPr>
      </w:pPr>
      <w:r>
        <w:rPr>
          <w:rFonts w:ascii="Times New Roman" w:hAnsi="Times New Roman"/>
          <w:sz w:val="24"/>
          <w:szCs w:val="24"/>
        </w:rPr>
        <w:t>“</w:t>
      </w:r>
      <w:r w:rsidRPr="006E0916">
        <w:rPr>
          <w:rFonts w:ascii="Times New Roman" w:hAnsi="Times New Roman"/>
          <w:sz w:val="24"/>
          <w:szCs w:val="24"/>
        </w:rPr>
        <w:t xml:space="preserve">The board had before it evidence that Stahl was obligated to supervise firefighters and EMTs at an emergency scene and that he was required to report improper conduct to his superior and to the State Board of Emergency Medical Services and the Northwest Ohio EMS Consortium. Although contested, there was reliable, probative, and substantial evidence that Stahl knew or should have known that improper conduct took place at the scene of an emergency, and he failed to report that conduct. We affirm the June 1, </w:t>
      </w:r>
      <w:proofErr w:type="gramStart"/>
      <w:r w:rsidRPr="006E0916">
        <w:rPr>
          <w:rFonts w:ascii="Times New Roman" w:hAnsi="Times New Roman"/>
          <w:sz w:val="24"/>
          <w:szCs w:val="24"/>
        </w:rPr>
        <w:t>2020</w:t>
      </w:r>
      <w:proofErr w:type="gramEnd"/>
      <w:r w:rsidRPr="006E0916">
        <w:rPr>
          <w:rFonts w:ascii="Times New Roman" w:hAnsi="Times New Roman"/>
          <w:sz w:val="24"/>
          <w:szCs w:val="24"/>
        </w:rPr>
        <w:t xml:space="preserve"> judgment of the Ottawa County Court of Common Pleas. Stahl is ordered to pay the costs of this appeal under </w:t>
      </w:r>
      <w:proofErr w:type="spellStart"/>
      <w:r w:rsidRPr="006E0916">
        <w:rPr>
          <w:rFonts w:ascii="Times New Roman" w:hAnsi="Times New Roman"/>
          <w:sz w:val="24"/>
          <w:szCs w:val="24"/>
        </w:rPr>
        <w:t>App.R</w:t>
      </w:r>
      <w:proofErr w:type="spellEnd"/>
      <w:r w:rsidRPr="006E0916">
        <w:rPr>
          <w:rFonts w:ascii="Times New Roman" w:hAnsi="Times New Roman"/>
          <w:sz w:val="24"/>
          <w:szCs w:val="24"/>
        </w:rPr>
        <w:t>. 24.</w:t>
      </w:r>
      <w:r>
        <w:rPr>
          <w:rFonts w:ascii="Times New Roman" w:hAnsi="Times New Roman"/>
          <w:sz w:val="24"/>
          <w:szCs w:val="24"/>
        </w:rPr>
        <w:t xml:space="preserve">” </w:t>
      </w:r>
    </w:p>
    <w:p w14:paraId="083A8B54" w14:textId="149D36E6" w:rsidR="00EC1BFB" w:rsidRDefault="00EC1BFB" w:rsidP="00EC1BFB">
      <w:pPr>
        <w:ind w:firstLine="720"/>
        <w:rPr>
          <w:rFonts w:ascii="Times New Roman" w:hAnsi="Times New Roman"/>
          <w:sz w:val="24"/>
          <w:szCs w:val="24"/>
        </w:rPr>
      </w:pPr>
      <w:hyperlink r:id="rId2254" w:history="1">
        <w:r w:rsidRPr="00B568EC">
          <w:rPr>
            <w:rStyle w:val="Hyperlink"/>
            <w:rFonts w:ascii="Times New Roman" w:hAnsi="Times New Roman"/>
            <w:sz w:val="24"/>
            <w:szCs w:val="24"/>
          </w:rPr>
          <w:t>http://lcapps.co.lucas.oh.us/Courts/Appeals/DecisionsPDF/9824.pdf</w:t>
        </w:r>
      </w:hyperlink>
    </w:p>
    <w:p w14:paraId="08302EF1" w14:textId="77777777" w:rsidR="00EC1BFB" w:rsidRDefault="00EC1BFB" w:rsidP="00EC1BFB">
      <w:pPr>
        <w:spacing w:before="100" w:beforeAutospacing="1" w:after="100" w:afterAutospacing="1" w:line="240" w:lineRule="auto"/>
        <w:rPr>
          <w:rFonts w:ascii="Times New Roman" w:hAnsi="Times New Roman"/>
          <w:b/>
          <w:bCs/>
          <w:sz w:val="24"/>
          <w:szCs w:val="24"/>
        </w:rPr>
      </w:pPr>
      <w:r w:rsidRPr="008A7E59">
        <w:rPr>
          <w:rFonts w:ascii="Times New Roman" w:hAnsi="Times New Roman"/>
          <w:b/>
          <w:bCs/>
          <w:sz w:val="24"/>
          <w:szCs w:val="24"/>
        </w:rPr>
        <w:t>Legal Lesson Learned:</w:t>
      </w:r>
      <w:r>
        <w:rPr>
          <w:rFonts w:ascii="Times New Roman" w:hAnsi="Times New Roman"/>
          <w:b/>
          <w:bCs/>
          <w:sz w:val="24"/>
          <w:szCs w:val="24"/>
        </w:rPr>
        <w:t xml:space="preserve"> The Officer-In-Charge on an EMS run should ensure that an apparent violation of EMS certificate of practice has been promptly reported to the FD, and to the State EMS Board.  The EMS Run Report should also be corrected to accurately report who started the IO. </w:t>
      </w:r>
    </w:p>
    <w:p w14:paraId="3B8581A2" w14:textId="77777777" w:rsidR="00EC1BFB" w:rsidRPr="00EC1BFB" w:rsidRDefault="00EC1BFB" w:rsidP="00EC1BFB">
      <w:pPr>
        <w:pStyle w:val="Heading2"/>
        <w:ind w:left="720"/>
        <w:rPr>
          <w:rFonts w:ascii="Times New Roman" w:hAnsi="Times New Roman"/>
          <w:b w:val="0"/>
          <w:bCs w:val="0"/>
          <w:i w:val="0"/>
          <w:iCs w:val="0"/>
          <w:sz w:val="24"/>
          <w:szCs w:val="24"/>
        </w:rPr>
      </w:pPr>
      <w:r w:rsidRPr="00EC1BFB">
        <w:rPr>
          <w:rFonts w:ascii="Times New Roman" w:hAnsi="Times New Roman"/>
          <w:b w:val="0"/>
          <w:bCs w:val="0"/>
          <w:i w:val="0"/>
          <w:iCs w:val="0"/>
          <w:sz w:val="24"/>
          <w:szCs w:val="24"/>
        </w:rPr>
        <w:t>Note: Ohio Administrative Code 4765-9-01, 4765-9-01, Professional standards of conduct for a holder of a certificate to practice.</w:t>
      </w:r>
    </w:p>
    <w:p w14:paraId="0BCAF288" w14:textId="77777777" w:rsidR="00EC1BFB" w:rsidRPr="008A7E59" w:rsidRDefault="00EC1BFB" w:rsidP="00EC1BFB">
      <w:pPr>
        <w:spacing w:before="100" w:beforeAutospacing="1" w:after="100" w:afterAutospacing="1" w:line="240" w:lineRule="auto"/>
        <w:ind w:left="1440"/>
        <w:rPr>
          <w:rFonts w:ascii="Times New Roman" w:eastAsia="Times New Roman" w:hAnsi="Times New Roman"/>
          <w:sz w:val="24"/>
          <w:szCs w:val="24"/>
        </w:rPr>
      </w:pPr>
      <w:r>
        <w:rPr>
          <w:rFonts w:ascii="Times New Roman" w:hAnsi="Times New Roman"/>
          <w:sz w:val="24"/>
          <w:szCs w:val="24"/>
        </w:rPr>
        <w:t>“</w:t>
      </w:r>
      <w:r w:rsidRPr="008A7E59">
        <w:rPr>
          <w:rFonts w:ascii="Times New Roman" w:hAnsi="Times New Roman"/>
          <w:sz w:val="24"/>
          <w:szCs w:val="24"/>
        </w:rPr>
        <w:t>(G) A person issued a certificate to practice shall report to the division as soon as practicable any knowledge of a violation of Chapter 4765. of the Revised Code or Chapters 4765-1 to 4765-10 or 4765-12 to 4765-19 of the Administrative Code.</w:t>
      </w:r>
      <w:r>
        <w:rPr>
          <w:rFonts w:ascii="Times New Roman" w:hAnsi="Times New Roman"/>
          <w:sz w:val="24"/>
          <w:szCs w:val="24"/>
        </w:rPr>
        <w:t>”</w:t>
      </w:r>
      <w:r w:rsidRPr="008A7E59">
        <w:t xml:space="preserve"> </w:t>
      </w:r>
      <w:hyperlink r:id="rId2255" w:history="1">
        <w:r w:rsidRPr="00AB20E4">
          <w:rPr>
            <w:rStyle w:val="Hyperlink"/>
            <w:sz w:val="24"/>
            <w:szCs w:val="24"/>
          </w:rPr>
          <w:t>http://codes.ohio.gov/oac/4765-9-01</w:t>
        </w:r>
      </w:hyperlink>
      <w:r>
        <w:rPr>
          <w:rFonts w:ascii="Times New Roman" w:hAnsi="Times New Roman"/>
          <w:sz w:val="24"/>
          <w:szCs w:val="24"/>
        </w:rPr>
        <w:t xml:space="preserve"> </w:t>
      </w:r>
    </w:p>
    <w:p w14:paraId="6E4FD877" w14:textId="77777777" w:rsidR="00EC1BFB" w:rsidRPr="00EC1BFB" w:rsidRDefault="00EC1BFB" w:rsidP="00EC1BFB">
      <w:pPr>
        <w:ind w:firstLine="720"/>
        <w:rPr>
          <w:rFonts w:ascii="Times New Roman" w:hAnsi="Times New Roman"/>
          <w:b/>
          <w:bCs/>
          <w:sz w:val="24"/>
          <w:szCs w:val="24"/>
        </w:rPr>
      </w:pPr>
    </w:p>
    <w:p w14:paraId="1932F9E9" w14:textId="77777777" w:rsidR="00EC1BFB" w:rsidRDefault="00EC1BFB" w:rsidP="002B1283">
      <w:pPr>
        <w:rPr>
          <w:rFonts w:ascii="Arial Black" w:hAnsi="Arial Black"/>
          <w:b/>
          <w:bCs/>
          <w:sz w:val="28"/>
          <w:szCs w:val="28"/>
        </w:rPr>
      </w:pPr>
    </w:p>
    <w:p w14:paraId="6CF266F3" w14:textId="48FFD248" w:rsidR="00EC1BFB" w:rsidRDefault="00EC1BFB" w:rsidP="002B1283">
      <w:pPr>
        <w:rPr>
          <w:rFonts w:ascii="Arial Black" w:hAnsi="Arial Black"/>
          <w:b/>
          <w:bCs/>
          <w:sz w:val="28"/>
          <w:szCs w:val="28"/>
        </w:rPr>
      </w:pPr>
      <w:r>
        <w:rPr>
          <w:rFonts w:ascii="Arial Black" w:hAnsi="Arial Black"/>
          <w:b/>
          <w:bCs/>
          <w:sz w:val="28"/>
          <w:szCs w:val="28"/>
        </w:rPr>
        <w:t>13-85</w:t>
      </w:r>
    </w:p>
    <w:p w14:paraId="41DCAA9D" w14:textId="6E66F5D1" w:rsidR="00EC1BFB" w:rsidRPr="00755CBD" w:rsidRDefault="00EC1BFB" w:rsidP="00EC1BFB">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WA: DEAD BODY BROUGHT TO FD - INTUBATION 15 TIMES – BROTHER HAS STANDING TO SUE IN FEDERAL COURT [AS DOES WIFE]</w:t>
      </w:r>
    </w:p>
    <w:p w14:paraId="498A251F" w14:textId="77777777" w:rsidR="00EC1BFB" w:rsidRDefault="00EC1BFB" w:rsidP="00EC1BFB">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March 18, 2021, in </w:t>
      </w:r>
      <w:r w:rsidRPr="00C778EF">
        <w:rPr>
          <w:rFonts w:ascii="Times New Roman" w:eastAsia="Times New Roman" w:hAnsi="Times New Roman"/>
          <w:sz w:val="24"/>
          <w:szCs w:val="24"/>
          <w:u w:val="single"/>
        </w:rPr>
        <w:t>Robert Fox v. City of Bellingham</w:t>
      </w:r>
      <w:r>
        <w:rPr>
          <w:rFonts w:ascii="Times New Roman" w:eastAsia="Times New Roman" w:hAnsi="Times New Roman"/>
          <w:sz w:val="24"/>
          <w:szCs w:val="24"/>
        </w:rPr>
        <w:t xml:space="preserve">, the Supreme Court of the State of Washington, held (6 to 3) in response to a question by U.S. District Court judge, that Washington Supreme Court advised the federal judge that under state law the brother of the deceased, who lives in California, does have standing to sue for tortious interference with a corpse.   The </w:t>
      </w:r>
      <w:proofErr w:type="gramStart"/>
      <w:r>
        <w:rPr>
          <w:rFonts w:ascii="Times New Roman" w:eastAsia="Times New Roman" w:hAnsi="Times New Roman"/>
          <w:sz w:val="24"/>
          <w:szCs w:val="24"/>
        </w:rPr>
        <w:t>City</w:t>
      </w:r>
      <w:proofErr w:type="gramEnd"/>
      <w:r>
        <w:rPr>
          <w:rFonts w:ascii="Times New Roman" w:eastAsia="Times New Roman" w:hAnsi="Times New Roman"/>
          <w:sz w:val="24"/>
          <w:szCs w:val="24"/>
        </w:rPr>
        <w:t xml:space="preserve"> has already paid $75,000 to the two adult children of the </w:t>
      </w:r>
      <w:proofErr w:type="gramStart"/>
      <w:r>
        <w:rPr>
          <w:rFonts w:ascii="Times New Roman" w:eastAsia="Times New Roman" w:hAnsi="Times New Roman"/>
          <w:sz w:val="24"/>
          <w:szCs w:val="24"/>
        </w:rPr>
        <w:t>deceased, and</w:t>
      </w:r>
      <w:proofErr w:type="gramEnd"/>
      <w:r>
        <w:rPr>
          <w:rFonts w:ascii="Times New Roman" w:eastAsia="Times New Roman" w:hAnsi="Times New Roman"/>
          <w:sz w:val="24"/>
          <w:szCs w:val="24"/>
        </w:rPr>
        <w:t xml:space="preserve"> is being sued by the wife of the deceased.  The Washington Supreme Court rejected the </w:t>
      </w:r>
      <w:r w:rsidRPr="002C32C5">
        <w:rPr>
          <w:rFonts w:ascii="Times New Roman" w:hAnsi="Times New Roman"/>
          <w:sz w:val="24"/>
          <w:szCs w:val="24"/>
        </w:rPr>
        <w:t>City</w:t>
      </w:r>
      <w:r>
        <w:rPr>
          <w:rFonts w:ascii="Times New Roman" w:hAnsi="Times New Roman"/>
          <w:sz w:val="24"/>
          <w:szCs w:val="24"/>
        </w:rPr>
        <w:t>’s</w:t>
      </w:r>
      <w:r w:rsidRPr="002C32C5">
        <w:rPr>
          <w:rFonts w:ascii="Times New Roman" w:hAnsi="Times New Roman"/>
          <w:sz w:val="24"/>
          <w:szCs w:val="24"/>
        </w:rPr>
        <w:t xml:space="preserve"> moved for summary judgment</w:t>
      </w:r>
      <w:r>
        <w:rPr>
          <w:rFonts w:ascii="Times New Roman" w:hAnsi="Times New Roman"/>
          <w:sz w:val="24"/>
          <w:szCs w:val="24"/>
        </w:rPr>
        <w:t xml:space="preserve"> </w:t>
      </w:r>
      <w:r w:rsidRPr="002C32C5">
        <w:rPr>
          <w:rFonts w:ascii="Times New Roman" w:hAnsi="Times New Roman"/>
          <w:sz w:val="24"/>
          <w:szCs w:val="24"/>
        </w:rPr>
        <w:t xml:space="preserve">asserting that </w:t>
      </w:r>
      <w:r>
        <w:rPr>
          <w:rFonts w:ascii="Times New Roman" w:hAnsi="Times New Roman"/>
          <w:sz w:val="24"/>
          <w:szCs w:val="24"/>
        </w:rPr>
        <w:t>Robert</w:t>
      </w:r>
      <w:r w:rsidRPr="002C32C5">
        <w:rPr>
          <w:rFonts w:ascii="Times New Roman" w:hAnsi="Times New Roman"/>
          <w:sz w:val="24"/>
          <w:szCs w:val="24"/>
        </w:rPr>
        <w:t xml:space="preserve"> Fox lacks standing because he is not the designated custodian of his brother's remains under </w:t>
      </w:r>
      <w:hyperlink r:id="rId2256" w:history="1">
        <w:r w:rsidRPr="002C32C5">
          <w:rPr>
            <w:rStyle w:val="Hyperlink"/>
            <w:sz w:val="24"/>
            <w:szCs w:val="24"/>
          </w:rPr>
          <w:t>RCW 68.50.160</w:t>
        </w:r>
      </w:hyperlink>
      <w:r>
        <w:rPr>
          <w:rStyle w:val="Hyperlink"/>
          <w:sz w:val="24"/>
          <w:szCs w:val="24"/>
        </w:rPr>
        <w:t xml:space="preserve"> </w:t>
      </w:r>
      <w:r>
        <w:rPr>
          <w:rFonts w:ascii="Times New Roman" w:hAnsi="Times New Roman"/>
          <w:sz w:val="24"/>
          <w:szCs w:val="24"/>
        </w:rPr>
        <w:t xml:space="preserve">(the deceased’s wife has </w:t>
      </w:r>
      <w:r w:rsidRPr="002C32C5">
        <w:rPr>
          <w:rFonts w:ascii="Times New Roman" w:hAnsi="Times New Roman"/>
          <w:sz w:val="24"/>
          <w:szCs w:val="24"/>
        </w:rPr>
        <w:t xml:space="preserve">care of </w:t>
      </w:r>
      <w:r>
        <w:rPr>
          <w:rFonts w:ascii="Times New Roman" w:hAnsi="Times New Roman"/>
          <w:sz w:val="24"/>
          <w:szCs w:val="24"/>
        </w:rPr>
        <w:t xml:space="preserve">her husband’s </w:t>
      </w:r>
      <w:r w:rsidRPr="002C32C5">
        <w:rPr>
          <w:rFonts w:ascii="Times New Roman" w:hAnsi="Times New Roman"/>
          <w:sz w:val="24"/>
          <w:szCs w:val="24"/>
        </w:rPr>
        <w:t>remains</w:t>
      </w:r>
      <w:r>
        <w:rPr>
          <w:rFonts w:ascii="Times New Roman" w:hAnsi="Times New Roman"/>
          <w:sz w:val="24"/>
          <w:szCs w:val="24"/>
        </w:rPr>
        <w:t>)</w:t>
      </w:r>
      <w:r w:rsidRPr="002C32C5">
        <w:rPr>
          <w:rFonts w:ascii="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[Note: Court didn’t explain why different last names of two brothers.]</w:t>
      </w:r>
    </w:p>
    <w:p w14:paraId="53BEF92B" w14:textId="77777777" w:rsidR="00EC1BFB" w:rsidRDefault="00EC1BFB" w:rsidP="00EC1BFB">
      <w:pPr>
        <w:pStyle w:val="NormalWeb"/>
        <w:ind w:left="720"/>
      </w:pPr>
      <w:r>
        <w:t xml:space="preserve">“Mr. Fox lived with his brother during his adult life, and the two spoke to each other weekly. Mr. Fox took part in preparing his brother's </w:t>
      </w:r>
      <w:proofErr w:type="gramStart"/>
      <w:r>
        <w:t>end of life</w:t>
      </w:r>
      <w:proofErr w:type="gramEnd"/>
      <w:r>
        <w:t xml:space="preserve"> celebration. Based on these facts, Mr. Fox has put forth sufficient evidence that he is a ‘close relative’ of his brother and, therefore, has standing to bring suit.”   </w:t>
      </w:r>
      <w:hyperlink r:id="rId2257" w:history="1">
        <w:r w:rsidRPr="001363A6">
          <w:rPr>
            <w:rStyle w:val="Hyperlink"/>
          </w:rPr>
          <w:t>https://casetext.com/case/certification-from-us-dist-court-for-w-dist-of-wash-v-city-of-bellingham</w:t>
        </w:r>
      </w:hyperlink>
      <w:r>
        <w:t xml:space="preserve"> </w:t>
      </w:r>
    </w:p>
    <w:p w14:paraId="2D53ADF1" w14:textId="77777777" w:rsidR="00EC1BFB" w:rsidRDefault="00EC1BFB" w:rsidP="00EC1BFB">
      <w:pPr>
        <w:pStyle w:val="NormalWeb"/>
        <w:rPr>
          <w:b/>
          <w:bCs/>
        </w:rPr>
      </w:pPr>
      <w:r w:rsidRPr="00321C47">
        <w:rPr>
          <w:b/>
          <w:bCs/>
        </w:rPr>
        <w:t xml:space="preserve">Legal Lesson Learned: </w:t>
      </w:r>
      <w:r>
        <w:rPr>
          <w:b/>
          <w:bCs/>
        </w:rPr>
        <w:t xml:space="preserve">Do not use bodies for training without written permission of spouse or other immediate family members. </w:t>
      </w:r>
    </w:p>
    <w:p w14:paraId="7E44CE23" w14:textId="77777777" w:rsidR="00EC1BFB" w:rsidRDefault="00EC1BFB" w:rsidP="00EC1BFB">
      <w:pPr>
        <w:pStyle w:val="NormalWeb"/>
      </w:pPr>
      <w:r>
        <w:rPr>
          <w:b/>
          <w:bCs/>
        </w:rPr>
        <w:tab/>
      </w:r>
      <w:r w:rsidRPr="00321C47">
        <w:t>Note:</w:t>
      </w:r>
      <w:r>
        <w:t xml:space="preserve">  This incident has been in the press. </w:t>
      </w:r>
    </w:p>
    <w:p w14:paraId="30A521E2" w14:textId="77777777" w:rsidR="00EC1BFB" w:rsidRPr="000318D2" w:rsidRDefault="00EC1BFB" w:rsidP="00EC1BFB">
      <w:pPr>
        <w:pStyle w:val="Heading1"/>
        <w:ind w:left="720"/>
        <w:rPr>
          <w:b w:val="0"/>
          <w:bCs w:val="0"/>
          <w:sz w:val="24"/>
          <w:szCs w:val="24"/>
        </w:rPr>
      </w:pPr>
      <w:r>
        <w:rPr>
          <w:rStyle w:val="field"/>
          <w:b w:val="0"/>
          <w:bCs w:val="0"/>
          <w:sz w:val="24"/>
          <w:szCs w:val="24"/>
        </w:rPr>
        <w:t>“</w:t>
      </w:r>
      <w:r w:rsidRPr="00321C47">
        <w:rPr>
          <w:rStyle w:val="field"/>
          <w:b w:val="0"/>
          <w:bCs w:val="0"/>
          <w:sz w:val="24"/>
          <w:szCs w:val="24"/>
        </w:rPr>
        <w:t>Wash. Fire Dept. Faces Fourth Lawsuit for Intubating Dead Patient</w:t>
      </w:r>
      <w:r>
        <w:rPr>
          <w:rStyle w:val="field"/>
          <w:b w:val="0"/>
          <w:bCs w:val="0"/>
          <w:sz w:val="24"/>
          <w:szCs w:val="24"/>
        </w:rPr>
        <w:t>,” July 17, 2019:</w:t>
      </w:r>
      <w:r w:rsidRPr="00321C47">
        <w:rPr>
          <w:rStyle w:val="field"/>
          <w:b w:val="0"/>
          <w:bCs w:val="0"/>
          <w:sz w:val="24"/>
          <w:szCs w:val="24"/>
        </w:rPr>
        <w:t xml:space="preserve"> </w:t>
      </w:r>
      <w:r>
        <w:rPr>
          <w:b w:val="0"/>
          <w:bCs w:val="0"/>
          <w:sz w:val="24"/>
          <w:szCs w:val="24"/>
        </w:rPr>
        <w:t>“</w:t>
      </w:r>
      <w:r w:rsidRPr="000318D2">
        <w:rPr>
          <w:b w:val="0"/>
          <w:bCs w:val="0"/>
          <w:sz w:val="24"/>
          <w:szCs w:val="24"/>
        </w:rPr>
        <w:t xml:space="preserve">The city already has paid $75,000 each to two adult children of Bradley Ginn </w:t>
      </w:r>
      <w:proofErr w:type="gramStart"/>
      <w:r w:rsidRPr="000318D2">
        <w:rPr>
          <w:b w:val="0"/>
          <w:bCs w:val="0"/>
          <w:sz w:val="24"/>
          <w:szCs w:val="24"/>
        </w:rPr>
        <w:t>Sr., and</w:t>
      </w:r>
      <w:proofErr w:type="gramEnd"/>
      <w:r w:rsidRPr="000318D2">
        <w:rPr>
          <w:b w:val="0"/>
          <w:bCs w:val="0"/>
          <w:sz w:val="24"/>
          <w:szCs w:val="24"/>
        </w:rPr>
        <w:t xml:space="preserve"> is facing a $15 million claim filed by Ginn’s widow, Jai Ginn, according to the city attorney’s office. Now, his brother, Robert Fox, who lives in California, has filed a federal lawsuit against the city alleging </w:t>
      </w:r>
      <w:r>
        <w:rPr>
          <w:b w:val="0"/>
          <w:bCs w:val="0"/>
          <w:sz w:val="24"/>
          <w:szCs w:val="24"/>
        </w:rPr>
        <w:t>‘</w:t>
      </w:r>
      <w:r w:rsidRPr="000318D2">
        <w:rPr>
          <w:b w:val="0"/>
          <w:bCs w:val="0"/>
          <w:sz w:val="24"/>
          <w:szCs w:val="24"/>
        </w:rPr>
        <w:t>tortuous interference with a corpse</w:t>
      </w:r>
      <w:r>
        <w:rPr>
          <w:b w:val="0"/>
          <w:bCs w:val="0"/>
          <w:sz w:val="24"/>
          <w:szCs w:val="24"/>
        </w:rPr>
        <w:t xml:space="preserve">’ </w:t>
      </w:r>
      <w:r w:rsidRPr="000318D2">
        <w:rPr>
          <w:b w:val="0"/>
          <w:bCs w:val="0"/>
          <w:sz w:val="24"/>
          <w:szCs w:val="24"/>
        </w:rPr>
        <w:t>after 11 Bellingham Fire Department employees, including an account manager and an office secretary, practiced inserting endotracheal tubes into the body 15 times after placing Ginn’s corpse in a body bag on the floor of a firehouse.</w:t>
      </w:r>
      <w:r>
        <w:rPr>
          <w:b w:val="0"/>
          <w:bCs w:val="0"/>
          <w:sz w:val="24"/>
          <w:szCs w:val="24"/>
        </w:rPr>
        <w:t xml:space="preserve">” </w:t>
      </w:r>
      <w:hyperlink r:id="rId2258" w:history="1">
        <w:r w:rsidRPr="00321C47">
          <w:rPr>
            <w:rStyle w:val="Hyperlink"/>
            <w:b w:val="0"/>
            <w:bCs w:val="0"/>
            <w:sz w:val="24"/>
            <w:szCs w:val="24"/>
          </w:rPr>
          <w:t>https://www.emsworld.com/news/1223006/wash-fire-dept-faces-fourth-lawsuit-intubating-dead-patient</w:t>
        </w:r>
      </w:hyperlink>
      <w:r>
        <w:rPr>
          <w:rStyle w:val="field"/>
          <w:b w:val="0"/>
          <w:bCs w:val="0"/>
          <w:sz w:val="24"/>
          <w:szCs w:val="24"/>
        </w:rPr>
        <w:t xml:space="preserve"> </w:t>
      </w:r>
    </w:p>
    <w:p w14:paraId="4A1196AB" w14:textId="77777777" w:rsidR="00EC1BFB" w:rsidRPr="000318D2" w:rsidRDefault="00EC1BFB" w:rsidP="00EC1BFB">
      <w:pPr>
        <w:pStyle w:val="Heading1"/>
        <w:ind w:left="720"/>
        <w:rPr>
          <w:b w:val="0"/>
          <w:bCs w:val="0"/>
          <w:sz w:val="24"/>
          <w:szCs w:val="24"/>
        </w:rPr>
      </w:pPr>
      <w:r>
        <w:rPr>
          <w:b w:val="0"/>
          <w:bCs w:val="0"/>
          <w:sz w:val="24"/>
          <w:szCs w:val="24"/>
        </w:rPr>
        <w:t>“</w:t>
      </w:r>
      <w:r w:rsidRPr="000318D2">
        <w:rPr>
          <w:b w:val="0"/>
          <w:bCs w:val="0"/>
          <w:sz w:val="24"/>
          <w:szCs w:val="24"/>
        </w:rPr>
        <w:t>WA 'Intubation' Probe Targets Nine FFs,</w:t>
      </w:r>
      <w:r>
        <w:rPr>
          <w:b w:val="0"/>
          <w:bCs w:val="0"/>
          <w:sz w:val="24"/>
          <w:szCs w:val="24"/>
        </w:rPr>
        <w:t>”</w:t>
      </w:r>
      <w:r w:rsidRPr="000318D2">
        <w:rPr>
          <w:b w:val="0"/>
          <w:bCs w:val="0"/>
          <w:sz w:val="24"/>
          <w:szCs w:val="24"/>
        </w:rPr>
        <w:t xml:space="preserve"> Oct. 4, 2018 </w:t>
      </w:r>
      <w:r>
        <w:rPr>
          <w:b w:val="0"/>
          <w:bCs w:val="0"/>
          <w:sz w:val="24"/>
          <w:szCs w:val="24"/>
        </w:rPr>
        <w:t>–</w:t>
      </w:r>
      <w:r w:rsidRPr="000318D2">
        <w:rPr>
          <w:b w:val="0"/>
          <w:bCs w:val="0"/>
          <w:sz w:val="24"/>
          <w:szCs w:val="24"/>
        </w:rPr>
        <w:t xml:space="preserve"> </w:t>
      </w:r>
      <w:r>
        <w:rPr>
          <w:b w:val="0"/>
          <w:bCs w:val="0"/>
          <w:sz w:val="24"/>
          <w:szCs w:val="24"/>
        </w:rPr>
        <w:t>“</w:t>
      </w:r>
      <w:r w:rsidRPr="000318D2">
        <w:rPr>
          <w:b w:val="0"/>
          <w:bCs w:val="0"/>
          <w:sz w:val="24"/>
          <w:szCs w:val="24"/>
        </w:rPr>
        <w:t xml:space="preserve">Washington's Department of Health is investigating nine Bellingham firefighters after it was revealed that intubations were performed on a dead man. </w:t>
      </w:r>
      <w:hyperlink r:id="rId2259" w:history="1">
        <w:r w:rsidRPr="000318D2">
          <w:rPr>
            <w:rStyle w:val="Hyperlink"/>
            <w:b w:val="0"/>
            <w:bCs w:val="0"/>
            <w:sz w:val="24"/>
            <w:szCs w:val="24"/>
          </w:rPr>
          <w:t>https://www.firehouse.com/ems/news/21025612/bellingham-wa-investigation-probe-firefighters-intubation-dead-body</w:t>
        </w:r>
      </w:hyperlink>
      <w:r w:rsidRPr="000318D2">
        <w:rPr>
          <w:b w:val="0"/>
          <w:bCs w:val="0"/>
          <w:sz w:val="24"/>
          <w:szCs w:val="24"/>
        </w:rPr>
        <w:t xml:space="preserve"> </w:t>
      </w:r>
    </w:p>
    <w:p w14:paraId="1FCE0779" w14:textId="77777777" w:rsidR="00EC1BFB" w:rsidRDefault="00EC1BFB" w:rsidP="00EC1BFB">
      <w:pPr>
        <w:pStyle w:val="NormalWeb"/>
      </w:pPr>
    </w:p>
    <w:p w14:paraId="2DD98662" w14:textId="77777777" w:rsidR="00EC1BFB" w:rsidRDefault="00EC1BFB" w:rsidP="002B1283">
      <w:pPr>
        <w:rPr>
          <w:rFonts w:ascii="Arial Black" w:hAnsi="Arial Black"/>
          <w:b/>
          <w:bCs/>
          <w:sz w:val="28"/>
          <w:szCs w:val="28"/>
        </w:rPr>
      </w:pPr>
    </w:p>
    <w:p w14:paraId="6A7A837F" w14:textId="77777777" w:rsidR="00EC1BFB" w:rsidRDefault="00EC1BFB" w:rsidP="002B1283">
      <w:pPr>
        <w:rPr>
          <w:rFonts w:ascii="Arial Black" w:hAnsi="Arial Black"/>
          <w:b/>
          <w:bCs/>
          <w:sz w:val="28"/>
          <w:szCs w:val="28"/>
        </w:rPr>
      </w:pPr>
    </w:p>
    <w:p w14:paraId="5DF01CFD" w14:textId="2A64721D" w:rsidR="00EC1BFB" w:rsidRDefault="00EC1BFB" w:rsidP="002B1283">
      <w:pPr>
        <w:rPr>
          <w:rFonts w:ascii="Arial Black" w:hAnsi="Arial Black"/>
          <w:b/>
          <w:bCs/>
          <w:sz w:val="28"/>
          <w:szCs w:val="28"/>
        </w:rPr>
      </w:pPr>
      <w:r>
        <w:rPr>
          <w:rFonts w:ascii="Arial Black" w:hAnsi="Arial Black"/>
          <w:b/>
          <w:bCs/>
          <w:sz w:val="28"/>
          <w:szCs w:val="28"/>
        </w:rPr>
        <w:t>13-84</w:t>
      </w:r>
    </w:p>
    <w:p w14:paraId="096F135A" w14:textId="77777777" w:rsidR="00EC1BFB" w:rsidRPr="005C57DC" w:rsidRDefault="00EC1BFB" w:rsidP="00EC1BFB">
      <w:pPr>
        <w:spacing w:before="100" w:beforeAutospacing="1" w:after="100" w:afterAutospacing="1" w:line="240" w:lineRule="auto"/>
        <w:rPr>
          <w:rFonts w:ascii="Arial Black" w:hAnsi="Arial Black"/>
          <w:b/>
          <w:bCs/>
          <w:sz w:val="28"/>
          <w:szCs w:val="28"/>
        </w:rPr>
      </w:pPr>
      <w:r w:rsidRPr="005C57DC">
        <w:rPr>
          <w:rFonts w:ascii="Arial Black" w:hAnsi="Arial Black"/>
          <w:b/>
          <w:bCs/>
          <w:sz w:val="28"/>
          <w:szCs w:val="28"/>
        </w:rPr>
        <w:t>ND: AIR AMBULANCES – FED. STATUTE PROHIBITS STATE FROM REGULATING PRICE</w:t>
      </w:r>
      <w:r>
        <w:rPr>
          <w:rFonts w:ascii="Arial Black" w:hAnsi="Arial Black"/>
          <w:b/>
          <w:bCs/>
          <w:sz w:val="28"/>
          <w:szCs w:val="28"/>
        </w:rPr>
        <w:t>S O</w:t>
      </w:r>
      <w:r w:rsidRPr="005C57DC">
        <w:rPr>
          <w:rFonts w:ascii="Arial Black" w:hAnsi="Arial Black"/>
          <w:b/>
          <w:bCs/>
          <w:sz w:val="28"/>
          <w:szCs w:val="28"/>
        </w:rPr>
        <w:t>R SELLING SUBSCRIPTIONS</w:t>
      </w:r>
    </w:p>
    <w:p w14:paraId="0546202B" w14:textId="77777777" w:rsidR="00EC1BFB" w:rsidRPr="000911B4" w:rsidRDefault="00EC1BFB" w:rsidP="00EC1BF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March 17, 2021, in </w:t>
      </w:r>
      <w:r w:rsidRPr="00BB67DD">
        <w:rPr>
          <w:rFonts w:ascii="Times New Roman" w:hAnsi="Times New Roman"/>
          <w:sz w:val="24"/>
          <w:szCs w:val="24"/>
          <w:u w:val="single"/>
        </w:rPr>
        <w:t xml:space="preserve">Guardian Flight LLC v. Jon Godfread, </w:t>
      </w:r>
      <w:r>
        <w:rPr>
          <w:rFonts w:ascii="Times New Roman" w:hAnsi="Times New Roman"/>
          <w:sz w:val="24"/>
          <w:szCs w:val="24"/>
          <w:u w:val="single"/>
        </w:rPr>
        <w:t xml:space="preserve">in his capacity as </w:t>
      </w:r>
      <w:r w:rsidRPr="00BB67DD">
        <w:rPr>
          <w:rFonts w:ascii="Times New Roman" w:hAnsi="Times New Roman"/>
          <w:sz w:val="24"/>
          <w:szCs w:val="24"/>
          <w:u w:val="single"/>
        </w:rPr>
        <w:t xml:space="preserve">North Dakota Insurance Commissioner, </w:t>
      </w:r>
      <w:r>
        <w:rPr>
          <w:rFonts w:ascii="Times New Roman" w:hAnsi="Times New Roman"/>
          <w:sz w:val="24"/>
          <w:szCs w:val="24"/>
          <w:u w:val="single"/>
        </w:rPr>
        <w:t xml:space="preserve">and Wayne Stenehjem, in his capacity as North Dakota Attorney General, </w:t>
      </w:r>
      <w:r w:rsidRPr="00BB67DD">
        <w:rPr>
          <w:rFonts w:ascii="Times New Roman" w:hAnsi="Times New Roman"/>
          <w:sz w:val="24"/>
          <w:szCs w:val="24"/>
          <w:u w:val="single"/>
        </w:rPr>
        <w:t>et al</w:t>
      </w:r>
      <w:r>
        <w:rPr>
          <w:rFonts w:ascii="Times New Roman" w:hAnsi="Times New Roman"/>
          <w:sz w:val="24"/>
          <w:szCs w:val="24"/>
        </w:rPr>
        <w:t>., the U.S. Court of Appeals for the 8</w:t>
      </w:r>
      <w:r w:rsidRPr="00BB67DD">
        <w:rPr>
          <w:rFonts w:ascii="Times New Roman" w:hAnsi="Times New Roman"/>
          <w:sz w:val="24"/>
          <w:szCs w:val="24"/>
          <w:vertAlign w:val="superscript"/>
        </w:rPr>
        <w:t>th</w:t>
      </w:r>
      <w:r>
        <w:rPr>
          <w:rFonts w:ascii="Times New Roman" w:hAnsi="Times New Roman"/>
          <w:sz w:val="24"/>
          <w:szCs w:val="24"/>
        </w:rPr>
        <w:t xml:space="preserve"> Circuit (St. Louis, MO) held (3 to 0) in favor of Guardian Flight, holding that Nebraska’s 2017 statute seeking to control the price of air ambulance transports, and lawsuits to collect those bills, violates Federal Airlines Deregulation Act.  The federal statute preempts the State of </w:t>
      </w:r>
      <w:r w:rsidRPr="000911B4">
        <w:rPr>
          <w:rFonts w:ascii="Times New Roman" w:hAnsi="Times New Roman"/>
          <w:sz w:val="24"/>
          <w:szCs w:val="24"/>
        </w:rPr>
        <w:t>Nebraska</w:t>
      </w:r>
      <w:r>
        <w:rPr>
          <w:rFonts w:ascii="Times New Roman" w:hAnsi="Times New Roman"/>
          <w:sz w:val="24"/>
          <w:szCs w:val="24"/>
        </w:rPr>
        <w:t xml:space="preserve">’s attempt to control pricing, in response to </w:t>
      </w:r>
      <w:r w:rsidRPr="000911B4">
        <w:rPr>
          <w:rFonts w:ascii="Times New Roman" w:hAnsi="Times New Roman"/>
          <w:sz w:val="24"/>
          <w:szCs w:val="24"/>
        </w:rPr>
        <w:t xml:space="preserve">about 40 complaints </w:t>
      </w:r>
      <w:r>
        <w:rPr>
          <w:rFonts w:ascii="Times New Roman" w:hAnsi="Times New Roman"/>
          <w:sz w:val="24"/>
          <w:szCs w:val="24"/>
        </w:rPr>
        <w:t>(</w:t>
      </w:r>
      <w:r w:rsidRPr="000911B4">
        <w:rPr>
          <w:rFonts w:ascii="Times New Roman" w:hAnsi="Times New Roman"/>
          <w:sz w:val="24"/>
          <w:szCs w:val="24"/>
        </w:rPr>
        <w:t>2014 and early 2018</w:t>
      </w:r>
      <w:r>
        <w:rPr>
          <w:rFonts w:ascii="Times New Roman" w:hAnsi="Times New Roman"/>
          <w:sz w:val="24"/>
          <w:szCs w:val="24"/>
        </w:rPr>
        <w:t>)</w:t>
      </w:r>
      <w:r w:rsidRPr="000911B4">
        <w:rPr>
          <w:rFonts w:ascii="Times New Roman" w:hAnsi="Times New Roman"/>
          <w:sz w:val="24"/>
          <w:szCs w:val="24"/>
        </w:rPr>
        <w:t xml:space="preserve">, </w:t>
      </w:r>
      <w:r>
        <w:rPr>
          <w:rFonts w:ascii="Times New Roman" w:hAnsi="Times New Roman"/>
          <w:sz w:val="24"/>
          <w:szCs w:val="24"/>
        </w:rPr>
        <w:t xml:space="preserve">where privately </w:t>
      </w:r>
      <w:r w:rsidRPr="000911B4">
        <w:rPr>
          <w:rFonts w:ascii="Times New Roman" w:hAnsi="Times New Roman"/>
          <w:sz w:val="24"/>
          <w:szCs w:val="24"/>
        </w:rPr>
        <w:t>insured</w:t>
      </w:r>
      <w:r>
        <w:rPr>
          <w:rFonts w:ascii="Times New Roman" w:hAnsi="Times New Roman"/>
          <w:sz w:val="24"/>
          <w:szCs w:val="24"/>
        </w:rPr>
        <w:t xml:space="preserve"> patients</w:t>
      </w:r>
      <w:r w:rsidRPr="000911B4">
        <w:rPr>
          <w:rFonts w:ascii="Times New Roman" w:hAnsi="Times New Roman"/>
          <w:sz w:val="24"/>
          <w:szCs w:val="24"/>
        </w:rPr>
        <w:t xml:space="preserve"> often were billed more than $20,000 for air ambulance transport—and sometimes more than $40,000—which represented the balances remaining after the insurers paid their portions</w:t>
      </w:r>
      <w:r>
        <w:rPr>
          <w:rFonts w:ascii="Times New Roman" w:hAnsi="Times New Roman"/>
          <w:sz w:val="24"/>
          <w:szCs w:val="24"/>
        </w:rPr>
        <w:t xml:space="preserve">. </w:t>
      </w:r>
    </w:p>
    <w:p w14:paraId="6E4CB522" w14:textId="77777777" w:rsidR="00EC1BFB" w:rsidRPr="00BB67DD" w:rsidRDefault="00EC1BFB" w:rsidP="00EC1BFB">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BB67DD">
        <w:rPr>
          <w:rFonts w:ascii="Times New Roman" w:hAnsi="Times New Roman"/>
          <w:sz w:val="24"/>
          <w:szCs w:val="24"/>
        </w:rPr>
        <w:t>The ADA [Airlines Deregulation Act]</w:t>
      </w:r>
      <w:r>
        <w:t xml:space="preserve"> </w:t>
      </w:r>
      <w:r w:rsidRPr="00BB67DD">
        <w:rPr>
          <w:rFonts w:ascii="Times New Roman" w:hAnsi="Times New Roman"/>
          <w:sz w:val="24"/>
          <w:szCs w:val="24"/>
        </w:rPr>
        <w:t xml:space="preserve">expressly preempts states from </w:t>
      </w:r>
      <w:r>
        <w:rPr>
          <w:rFonts w:ascii="Times New Roman" w:hAnsi="Times New Roman"/>
          <w:sz w:val="24"/>
          <w:szCs w:val="24"/>
        </w:rPr>
        <w:t>‘</w:t>
      </w:r>
      <w:r w:rsidRPr="00BB67DD">
        <w:rPr>
          <w:rFonts w:ascii="Times New Roman" w:hAnsi="Times New Roman"/>
          <w:sz w:val="24"/>
          <w:szCs w:val="24"/>
        </w:rPr>
        <w:t>enact[</w:t>
      </w:r>
      <w:proofErr w:type="spellStart"/>
      <w:r w:rsidRPr="00BB67DD">
        <w:rPr>
          <w:rFonts w:ascii="Times New Roman" w:hAnsi="Times New Roman"/>
          <w:sz w:val="24"/>
          <w:szCs w:val="24"/>
        </w:rPr>
        <w:t>ing</w:t>
      </w:r>
      <w:proofErr w:type="spellEnd"/>
      <w:r w:rsidRPr="00BB67DD">
        <w:rPr>
          <w:rFonts w:ascii="Times New Roman" w:hAnsi="Times New Roman"/>
          <w:sz w:val="24"/>
          <w:szCs w:val="24"/>
        </w:rPr>
        <w:t xml:space="preserve">] or </w:t>
      </w:r>
      <w:r>
        <w:rPr>
          <w:rFonts w:ascii="Times New Roman" w:hAnsi="Times New Roman"/>
          <w:sz w:val="24"/>
          <w:szCs w:val="24"/>
        </w:rPr>
        <w:t>enforce[</w:t>
      </w:r>
      <w:proofErr w:type="spellStart"/>
      <w:r w:rsidRPr="00BB67DD">
        <w:rPr>
          <w:rFonts w:ascii="Times New Roman" w:hAnsi="Times New Roman"/>
          <w:sz w:val="24"/>
          <w:szCs w:val="24"/>
        </w:rPr>
        <w:t>ing</w:t>
      </w:r>
      <w:proofErr w:type="spellEnd"/>
      <w:r w:rsidRPr="00BB67DD">
        <w:rPr>
          <w:rFonts w:ascii="Times New Roman" w:hAnsi="Times New Roman"/>
          <w:sz w:val="24"/>
          <w:szCs w:val="24"/>
        </w:rPr>
        <w:t>] a law, regulation, or other provision having the force and effect of law related to a price, route, or service of an air carrier.</w:t>
      </w:r>
      <w:r>
        <w:rPr>
          <w:rFonts w:ascii="Times New Roman" w:hAnsi="Times New Roman"/>
          <w:sz w:val="24"/>
          <w:szCs w:val="24"/>
        </w:rPr>
        <w:t>’</w:t>
      </w:r>
      <w:r w:rsidRPr="00BB67DD">
        <w:rPr>
          <w:rFonts w:ascii="Times New Roman" w:hAnsi="Times New Roman"/>
          <w:sz w:val="24"/>
          <w:szCs w:val="24"/>
        </w:rPr>
        <w:t xml:space="preserve"> 49 U.S.C. § 41713(b).</w:t>
      </w:r>
    </w:p>
    <w:p w14:paraId="0FCDDD4E" w14:textId="77777777" w:rsidR="00EC1BFB" w:rsidRDefault="00EC1BFB" w:rsidP="00EC1BFB">
      <w:pPr>
        <w:pStyle w:val="NormalWeb"/>
        <w:ind w:firstLine="720"/>
      </w:pPr>
      <w:r>
        <w:t>***</w:t>
      </w:r>
    </w:p>
    <w:p w14:paraId="67AFA7DD" w14:textId="77777777" w:rsidR="00EC1BFB" w:rsidRDefault="00EC1BFB" w:rsidP="00EC1BFB">
      <w:pPr>
        <w:pStyle w:val="NormalWeb"/>
        <w:ind w:left="720"/>
      </w:pPr>
      <w:r>
        <w:t xml:space="preserve">We thus conclude that the ADA … preempts both the payment provision and the subscription provision. </w:t>
      </w:r>
      <w:r>
        <w:rPr>
          <w:u w:val="single"/>
        </w:rPr>
        <w:t>See</w:t>
      </w:r>
      <w:r>
        <w:t xml:space="preserve"> </w:t>
      </w:r>
      <w:r>
        <w:rPr>
          <w:u w:val="single"/>
        </w:rPr>
        <w:t>id.</w:t>
      </w:r>
      <w:r>
        <w:t xml:space="preserve"> at 769-70; </w:t>
      </w:r>
      <w:r>
        <w:rPr>
          <w:u w:val="single"/>
        </w:rPr>
        <w:t>Bailey v. Rocky Mountain Holdings, LLC</w:t>
      </w:r>
      <w:r>
        <w:t xml:space="preserve">, 889 F.3d 1259, 1272 (11th Cir. 2018) (holding that the ADA preempts the enforcement of a state statute prohibiting an air ambulance provider's balance billing); </w:t>
      </w:r>
      <w:proofErr w:type="spellStart"/>
      <w:r>
        <w:rPr>
          <w:u w:val="single"/>
        </w:rPr>
        <w:t>EagleMed</w:t>
      </w:r>
      <w:proofErr w:type="spellEnd"/>
      <w:r>
        <w:rPr>
          <w:u w:val="single"/>
        </w:rPr>
        <w:t xml:space="preserve"> LLC v. Cox</w:t>
      </w:r>
      <w:r>
        <w:t>, 868 F.3d 893, 902-04 (10th Cir. 2017) (holding that the ADA preempted a state statute that ‘expressly establish[ed] a mandatory fixed maximum rate that [would] be paid by the State for air-ambulance services provided to injured workers covered by the Worker's Compensation Act’).</w:t>
      </w:r>
    </w:p>
    <w:p w14:paraId="58C7C1C5" w14:textId="77777777" w:rsidR="00EC1BFB" w:rsidRPr="000911B4" w:rsidRDefault="00EC1BFB" w:rsidP="00EC1BFB">
      <w:pPr>
        <w:spacing w:before="100" w:beforeAutospacing="1" w:after="100" w:afterAutospacing="1" w:line="240" w:lineRule="auto"/>
        <w:ind w:left="720"/>
        <w:rPr>
          <w:rFonts w:ascii="Times New Roman" w:hAnsi="Times New Roman"/>
          <w:sz w:val="24"/>
          <w:szCs w:val="24"/>
        </w:rPr>
      </w:pPr>
      <w:r w:rsidRPr="000911B4">
        <w:rPr>
          <w:rFonts w:ascii="Times New Roman" w:hAnsi="Times New Roman"/>
          <w:sz w:val="24"/>
          <w:szCs w:val="24"/>
        </w:rPr>
        <w:t xml:space="preserve">Because North Dakota's subscription provision seeks to regulate the relationship between only a consumer and an air ambulance company, it cannot be said that it was enacted for the purpose of regulating the business of insurance. </w:t>
      </w:r>
      <w:r w:rsidRPr="000911B4">
        <w:rPr>
          <w:rFonts w:ascii="Times New Roman" w:hAnsi="Times New Roman"/>
          <w:sz w:val="24"/>
          <w:szCs w:val="24"/>
          <w:u w:val="single"/>
        </w:rPr>
        <w:t>See</w:t>
      </w:r>
      <w:r w:rsidRPr="000911B4">
        <w:rPr>
          <w:rFonts w:ascii="Times New Roman" w:hAnsi="Times New Roman"/>
          <w:sz w:val="24"/>
          <w:szCs w:val="24"/>
        </w:rPr>
        <w:t xml:space="preserve"> </w:t>
      </w:r>
      <w:proofErr w:type="spellStart"/>
      <w:r w:rsidRPr="000911B4">
        <w:rPr>
          <w:rFonts w:ascii="Times New Roman" w:hAnsi="Times New Roman"/>
          <w:sz w:val="24"/>
          <w:szCs w:val="24"/>
          <w:u w:val="single"/>
        </w:rPr>
        <w:t>Nat'l</w:t>
      </w:r>
      <w:proofErr w:type="spellEnd"/>
      <w:r w:rsidRPr="000911B4">
        <w:rPr>
          <w:rFonts w:ascii="Times New Roman" w:hAnsi="Times New Roman"/>
          <w:sz w:val="24"/>
          <w:szCs w:val="24"/>
          <w:u w:val="single"/>
        </w:rPr>
        <w:t xml:space="preserve"> Sec., Inc.</w:t>
      </w:r>
      <w:r w:rsidRPr="000911B4">
        <w:rPr>
          <w:rFonts w:ascii="Times New Roman" w:hAnsi="Times New Roman"/>
          <w:sz w:val="24"/>
          <w:szCs w:val="24"/>
        </w:rPr>
        <w:t xml:space="preserve">, 393 U.S. at 460; </w:t>
      </w:r>
      <w:r w:rsidRPr="000911B4">
        <w:rPr>
          <w:rFonts w:ascii="Times New Roman" w:hAnsi="Times New Roman"/>
          <w:sz w:val="24"/>
          <w:szCs w:val="24"/>
          <w:u w:val="single"/>
        </w:rPr>
        <w:t>Fabe</w:t>
      </w:r>
      <w:r w:rsidRPr="000911B4">
        <w:rPr>
          <w:rFonts w:ascii="Times New Roman" w:hAnsi="Times New Roman"/>
          <w:sz w:val="24"/>
          <w:szCs w:val="24"/>
        </w:rPr>
        <w:t xml:space="preserve">, 508 U.S. at 505; </w:t>
      </w:r>
      <w:r w:rsidRPr="000911B4">
        <w:rPr>
          <w:rFonts w:ascii="Times New Roman" w:hAnsi="Times New Roman"/>
          <w:sz w:val="24"/>
          <w:szCs w:val="24"/>
          <w:u w:val="single"/>
        </w:rPr>
        <w:t>Taylor</w:t>
      </w:r>
      <w:r w:rsidRPr="000911B4">
        <w:rPr>
          <w:rFonts w:ascii="Times New Roman" w:hAnsi="Times New Roman"/>
          <w:sz w:val="24"/>
          <w:szCs w:val="24"/>
        </w:rPr>
        <w:t xml:space="preserve">, 907 F.2d at 779-80. The McCarran-Ferguson Act thus does not save the subscription agreement from ADA preemption.”  </w:t>
      </w:r>
      <w:hyperlink r:id="rId2260" w:history="1">
        <w:r w:rsidRPr="000911B4">
          <w:rPr>
            <w:rStyle w:val="Hyperlink"/>
            <w:sz w:val="24"/>
            <w:szCs w:val="24"/>
          </w:rPr>
          <w:t>https://www.ca8.uscourts.gov/sites/ca8/files/opinions/191343P.pdf</w:t>
        </w:r>
      </w:hyperlink>
      <w:r w:rsidRPr="000911B4">
        <w:rPr>
          <w:rFonts w:ascii="Times New Roman" w:hAnsi="Times New Roman"/>
          <w:sz w:val="24"/>
          <w:szCs w:val="24"/>
        </w:rPr>
        <w:t xml:space="preserve"> </w:t>
      </w:r>
    </w:p>
    <w:p w14:paraId="1BE4DB4D" w14:textId="77777777" w:rsidR="00EC1BFB" w:rsidRPr="00DD7541" w:rsidRDefault="00EC1BFB" w:rsidP="00EC1BFB">
      <w:pPr>
        <w:spacing w:before="100" w:beforeAutospacing="1" w:after="100" w:afterAutospacing="1" w:line="240" w:lineRule="auto"/>
        <w:rPr>
          <w:rFonts w:ascii="Times New Roman" w:eastAsia="Times New Roman" w:hAnsi="Times New Roman"/>
          <w:sz w:val="24"/>
          <w:szCs w:val="24"/>
        </w:rPr>
      </w:pPr>
      <w:r w:rsidRPr="00C11389">
        <w:rPr>
          <w:rFonts w:ascii="Times New Roman" w:hAnsi="Times New Roman"/>
          <w:b/>
          <w:bCs/>
          <w:sz w:val="24"/>
          <w:szCs w:val="24"/>
        </w:rPr>
        <w:t>Legal Lesson Learned:</w:t>
      </w:r>
      <w:r>
        <w:rPr>
          <w:rFonts w:ascii="Times New Roman" w:hAnsi="Times New Roman"/>
          <w:b/>
          <w:bCs/>
          <w:sz w:val="24"/>
          <w:szCs w:val="24"/>
        </w:rPr>
        <w:t xml:space="preserve">  Air care ambulances, and the airline industry, has strong Federal statutory protection from regulation by States </w:t>
      </w:r>
      <w:r w:rsidRPr="00C11389">
        <w:rPr>
          <w:rFonts w:ascii="Times New Roman" w:hAnsi="Times New Roman"/>
          <w:b/>
          <w:bCs/>
          <w:sz w:val="24"/>
          <w:szCs w:val="24"/>
        </w:rPr>
        <w:t xml:space="preserve">concerning </w:t>
      </w:r>
      <w:r>
        <w:rPr>
          <w:rFonts w:ascii="Times New Roman" w:hAnsi="Times New Roman"/>
          <w:b/>
          <w:bCs/>
          <w:sz w:val="24"/>
          <w:szCs w:val="24"/>
        </w:rPr>
        <w:t>“</w:t>
      </w:r>
      <w:r w:rsidRPr="00DD7541">
        <w:rPr>
          <w:rFonts w:ascii="Times New Roman" w:eastAsia="Times New Roman" w:hAnsi="Times New Roman"/>
          <w:b/>
          <w:bCs/>
          <w:sz w:val="24"/>
          <w:szCs w:val="24"/>
        </w:rPr>
        <w:t>price, route, or service</w:t>
      </w:r>
      <w:r>
        <w:rPr>
          <w:rFonts w:ascii="Times New Roman" w:eastAsia="Times New Roman" w:hAnsi="Times New Roman"/>
          <w:b/>
          <w:bCs/>
          <w:sz w:val="24"/>
          <w:szCs w:val="24"/>
        </w:rPr>
        <w:t>.”</w:t>
      </w:r>
      <w:r>
        <w:rPr>
          <w:rFonts w:ascii="Times New Roman" w:hAnsi="Times New Roman"/>
          <w:b/>
          <w:bCs/>
          <w:sz w:val="24"/>
          <w:szCs w:val="24"/>
        </w:rPr>
        <w:t xml:space="preserve"> </w:t>
      </w:r>
    </w:p>
    <w:p w14:paraId="72388287" w14:textId="77777777" w:rsidR="00EC1BFB" w:rsidRDefault="00EC1BFB" w:rsidP="002B1283">
      <w:pPr>
        <w:rPr>
          <w:rFonts w:ascii="Arial Black" w:hAnsi="Arial Black"/>
          <w:b/>
          <w:bCs/>
          <w:sz w:val="28"/>
          <w:szCs w:val="28"/>
        </w:rPr>
      </w:pPr>
    </w:p>
    <w:p w14:paraId="7419B83E" w14:textId="77777777" w:rsidR="00EC1BFB" w:rsidRDefault="00EC1BFB" w:rsidP="002B1283">
      <w:pPr>
        <w:rPr>
          <w:rFonts w:ascii="Arial Black" w:hAnsi="Arial Black"/>
          <w:b/>
          <w:bCs/>
          <w:sz w:val="28"/>
          <w:szCs w:val="28"/>
        </w:rPr>
      </w:pPr>
    </w:p>
    <w:p w14:paraId="1A3C8B88" w14:textId="5F950CD2" w:rsidR="00274525" w:rsidRDefault="00274525" w:rsidP="002B1283">
      <w:pPr>
        <w:rPr>
          <w:rFonts w:ascii="Arial Black" w:hAnsi="Arial Black"/>
          <w:b/>
          <w:bCs/>
          <w:sz w:val="28"/>
          <w:szCs w:val="28"/>
        </w:rPr>
      </w:pPr>
      <w:r>
        <w:rPr>
          <w:rFonts w:ascii="Arial Black" w:hAnsi="Arial Black"/>
          <w:b/>
          <w:bCs/>
          <w:sz w:val="28"/>
          <w:szCs w:val="28"/>
        </w:rPr>
        <w:t>13-83</w:t>
      </w:r>
    </w:p>
    <w:p w14:paraId="63D542B2" w14:textId="77777777" w:rsidR="00EC1BFB" w:rsidRPr="00891C10" w:rsidRDefault="00EC1BFB" w:rsidP="00EC1BFB">
      <w:pPr>
        <w:pStyle w:val="NoSpacing"/>
        <w:rPr>
          <w:rFonts w:ascii="Arial Black" w:hAnsi="Arial Black"/>
          <w:sz w:val="28"/>
          <w:szCs w:val="28"/>
        </w:rPr>
      </w:pPr>
      <w:r>
        <w:rPr>
          <w:rFonts w:ascii="Arial Black" w:hAnsi="Arial Black"/>
          <w:sz w:val="28"/>
          <w:szCs w:val="28"/>
        </w:rPr>
        <w:t xml:space="preserve">NM: PREGNANT / INMATE - 30 HRS IN LABOR, CHILD DIED – JAIL EMS NOT GOV’T EMPLOYEES, NO GOV’T IMMUNITY </w:t>
      </w:r>
    </w:p>
    <w:p w14:paraId="076C9FFA" w14:textId="77777777" w:rsidR="00EC1BFB" w:rsidRDefault="00EC1BFB" w:rsidP="00EC1BFB">
      <w:pPr>
        <w:pStyle w:val="NoSpacing"/>
      </w:pPr>
    </w:p>
    <w:p w14:paraId="6D41F037" w14:textId="77777777" w:rsidR="00EC1BFB" w:rsidRPr="00B0543C" w:rsidRDefault="00EC1BFB" w:rsidP="00EC1BFB">
      <w:pPr>
        <w:pStyle w:val="NoSpacing"/>
        <w:rPr>
          <w:rFonts w:ascii="Times New Roman" w:hAnsi="Times New Roman"/>
          <w:sz w:val="24"/>
          <w:szCs w:val="24"/>
        </w:rPr>
      </w:pPr>
      <w:r>
        <w:rPr>
          <w:rFonts w:ascii="Times New Roman" w:hAnsi="Times New Roman"/>
          <w:sz w:val="24"/>
          <w:szCs w:val="24"/>
        </w:rPr>
        <w:t xml:space="preserve">On March 2, 2021, in </w:t>
      </w:r>
      <w:r w:rsidRPr="00B0543C">
        <w:rPr>
          <w:rFonts w:ascii="Times New Roman" w:hAnsi="Times New Roman"/>
          <w:sz w:val="24"/>
          <w:szCs w:val="24"/>
          <w:u w:val="single"/>
        </w:rPr>
        <w:t>Shawna Tanner, et al., v, Timothy I. McMurray, et al</w:t>
      </w:r>
      <w:r>
        <w:rPr>
          <w:rFonts w:ascii="Times New Roman" w:hAnsi="Times New Roman"/>
          <w:sz w:val="24"/>
          <w:szCs w:val="24"/>
        </w:rPr>
        <w:t>, the U.S. Court of Appeals for the 10</w:t>
      </w:r>
      <w:r w:rsidRPr="00B0543C">
        <w:rPr>
          <w:rFonts w:ascii="Times New Roman" w:hAnsi="Times New Roman"/>
          <w:sz w:val="24"/>
          <w:szCs w:val="24"/>
          <w:vertAlign w:val="superscript"/>
        </w:rPr>
        <w:t>th</w:t>
      </w:r>
      <w:r>
        <w:rPr>
          <w:rFonts w:ascii="Times New Roman" w:hAnsi="Times New Roman"/>
          <w:sz w:val="24"/>
          <w:szCs w:val="24"/>
        </w:rPr>
        <w:t xml:space="preserve"> Circuit (Denver, CO) held (3 to 0) that the Medical Doctor and RNs are employed full time with Correct Care Solutions, LLC, which provides medical care in 200 jails in 38 states, do not enjoy governmental immunity; case remanded to U.S. District Court judge in New Mexico for trial.  </w:t>
      </w:r>
    </w:p>
    <w:p w14:paraId="15A9693E" w14:textId="77777777" w:rsidR="00EC1BFB" w:rsidRPr="00B0543C" w:rsidRDefault="00EC1BFB" w:rsidP="00EC1BFB">
      <w:pPr>
        <w:spacing w:before="100" w:beforeAutospacing="1" w:after="100" w:afterAutospacing="1" w:line="240" w:lineRule="auto"/>
        <w:ind w:left="720"/>
        <w:rPr>
          <w:rFonts w:ascii="Times New Roman" w:hAnsi="Times New Roman"/>
          <w:sz w:val="24"/>
          <w:szCs w:val="24"/>
        </w:rPr>
      </w:pPr>
      <w:r w:rsidRPr="00B0543C">
        <w:rPr>
          <w:rFonts w:ascii="Times New Roman" w:hAnsi="Times New Roman"/>
          <w:sz w:val="24"/>
          <w:szCs w:val="24"/>
        </w:rPr>
        <w:t>“Tanner was approximately 35 weeks pregnant and in custody at the Metropolitan Detention Center in Bernalillo County, New Mexico.</w:t>
      </w:r>
    </w:p>
    <w:p w14:paraId="1F371B5C" w14:textId="77777777" w:rsidR="00EC1BFB" w:rsidRPr="00B0543C" w:rsidRDefault="00EC1BFB" w:rsidP="00EC1BFB">
      <w:pPr>
        <w:spacing w:before="100" w:beforeAutospacing="1" w:after="100" w:afterAutospacing="1" w:line="240" w:lineRule="auto"/>
        <w:ind w:left="720"/>
        <w:rPr>
          <w:rFonts w:ascii="Times New Roman" w:eastAsia="Times New Roman" w:hAnsi="Times New Roman"/>
          <w:kern w:val="36"/>
          <w:sz w:val="24"/>
          <w:szCs w:val="24"/>
        </w:rPr>
      </w:pPr>
      <w:r w:rsidRPr="00B0543C">
        <w:rPr>
          <w:rFonts w:ascii="Times New Roman" w:hAnsi="Times New Roman"/>
          <w:sz w:val="24"/>
          <w:szCs w:val="24"/>
        </w:rPr>
        <w:t>***</w:t>
      </w:r>
    </w:p>
    <w:p w14:paraId="202155DE" w14:textId="77777777" w:rsidR="00EC1BFB" w:rsidRDefault="00EC1BFB" w:rsidP="00EC1BFB">
      <w:pPr>
        <w:spacing w:before="100" w:beforeAutospacing="1" w:after="100" w:afterAutospacing="1" w:line="240" w:lineRule="auto"/>
        <w:ind w:left="720"/>
        <w:rPr>
          <w:rFonts w:ascii="Times New Roman" w:hAnsi="Times New Roman"/>
          <w:sz w:val="24"/>
          <w:szCs w:val="24"/>
        </w:rPr>
      </w:pPr>
      <w:r w:rsidRPr="00B0543C">
        <w:rPr>
          <w:rFonts w:ascii="Times New Roman" w:hAnsi="Times New Roman"/>
          <w:sz w:val="24"/>
          <w:szCs w:val="24"/>
        </w:rPr>
        <w:t xml:space="preserve">When paramedics arrived, they found Tanner in clear pain, </w:t>
      </w:r>
      <w:proofErr w:type="gramStart"/>
      <w:r w:rsidRPr="00B0543C">
        <w:rPr>
          <w:rFonts w:ascii="Times New Roman" w:hAnsi="Times New Roman"/>
          <w:sz w:val="24"/>
          <w:szCs w:val="24"/>
        </w:rPr>
        <w:t>laying</w:t>
      </w:r>
      <w:proofErr w:type="gramEnd"/>
      <w:r w:rsidRPr="00B0543C">
        <w:rPr>
          <w:rFonts w:ascii="Times New Roman" w:hAnsi="Times New Roman"/>
          <w:sz w:val="24"/>
          <w:szCs w:val="24"/>
        </w:rPr>
        <w:t xml:space="preserve"> on a table in the medical unit, appearing to be in labor. Tanner was "obviously having contractions." Several medical personnel were around Tanner when the paramedics arrived. McMurray was standing alone in the back of the room. When it was suggested that it was McMurray's responsibility to deliver the baby, the doctor shook his head in the negative, threw up his hands, and did not move from the corner. Instead, the paramedics delivered Tanner's child. He was born with his umbilical cord wrapped around his neck. There was no pulse. He was not breathing. McMurray remained silent in the back of the room as a paramedic used a bulb syringe to clear the baby's airway. It was too late. The thirty-hour childbirth ordeal was over. The baby was dead.</w:t>
      </w:r>
    </w:p>
    <w:p w14:paraId="39E7D707" w14:textId="77777777" w:rsidR="00EC1BFB" w:rsidRDefault="00EC1BFB" w:rsidP="00EC1BFB">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E30F5EC" w14:textId="77777777" w:rsidR="00EC1BFB" w:rsidRPr="00B0543C" w:rsidRDefault="00EC1BFB" w:rsidP="00EC1BFB">
      <w:pPr>
        <w:spacing w:before="100" w:beforeAutospacing="1" w:after="100" w:afterAutospacing="1" w:line="240" w:lineRule="auto"/>
        <w:ind w:left="720"/>
        <w:rPr>
          <w:rFonts w:ascii="Times New Roman" w:hAnsi="Times New Roman"/>
          <w:sz w:val="24"/>
          <w:szCs w:val="24"/>
        </w:rPr>
      </w:pPr>
      <w:r w:rsidRPr="00B0543C">
        <w:rPr>
          <w:rFonts w:ascii="Times New Roman" w:hAnsi="Times New Roman"/>
          <w:sz w:val="24"/>
          <w:szCs w:val="24"/>
        </w:rPr>
        <w:t>Neither historical justifications of special government immunity nor modern policy considerations support the extension of a qualified immunity defense to Appellees—private medical professionals employed full-time by a multi-state, for-profit corporation systematically organized to provide medical care in correctional facilities.</w:t>
      </w:r>
      <w:r>
        <w:rPr>
          <w:rFonts w:ascii="Times New Roman" w:hAnsi="Times New Roman"/>
          <w:sz w:val="24"/>
          <w:szCs w:val="24"/>
        </w:rPr>
        <w:t xml:space="preserve">” </w:t>
      </w:r>
      <w:hyperlink r:id="rId2261" w:history="1">
        <w:r w:rsidRPr="00E277E9">
          <w:rPr>
            <w:rStyle w:val="Hyperlink"/>
            <w:sz w:val="24"/>
            <w:szCs w:val="24"/>
          </w:rPr>
          <w:t>https://www.ca10.uscourts.gov/opinions/19/19-2166.pdf</w:t>
        </w:r>
      </w:hyperlink>
      <w:r>
        <w:rPr>
          <w:rFonts w:ascii="Times New Roman" w:hAnsi="Times New Roman"/>
          <w:sz w:val="24"/>
          <w:szCs w:val="24"/>
        </w:rPr>
        <w:t xml:space="preserve"> </w:t>
      </w:r>
    </w:p>
    <w:p w14:paraId="73D1D987" w14:textId="77777777" w:rsidR="00EC1BFB" w:rsidRPr="00F22EDC" w:rsidRDefault="00EC1BFB" w:rsidP="00EC1BFB">
      <w:pPr>
        <w:pStyle w:val="NoSpacing"/>
        <w:rPr>
          <w:rFonts w:ascii="Times New Roman" w:hAnsi="Times New Roman"/>
          <w:b/>
          <w:bCs/>
          <w:sz w:val="24"/>
          <w:szCs w:val="24"/>
        </w:rPr>
      </w:pPr>
      <w:r w:rsidRPr="00F22EDC">
        <w:rPr>
          <w:rFonts w:ascii="Times New Roman" w:hAnsi="Times New Roman"/>
          <w:b/>
          <w:bCs/>
          <w:sz w:val="24"/>
          <w:szCs w:val="24"/>
        </w:rPr>
        <w:t xml:space="preserve">Legal Lesson Learned: </w:t>
      </w:r>
      <w:r>
        <w:rPr>
          <w:rFonts w:ascii="Times New Roman" w:hAnsi="Times New Roman"/>
          <w:b/>
          <w:bCs/>
          <w:sz w:val="24"/>
          <w:szCs w:val="24"/>
        </w:rPr>
        <w:t xml:space="preserve">EMS working for private </w:t>
      </w:r>
      <w:proofErr w:type="gramStart"/>
      <w:r>
        <w:rPr>
          <w:rFonts w:ascii="Times New Roman" w:hAnsi="Times New Roman"/>
          <w:b/>
          <w:bCs/>
          <w:sz w:val="24"/>
          <w:szCs w:val="24"/>
        </w:rPr>
        <w:t>ambulance</w:t>
      </w:r>
      <w:proofErr w:type="gramEnd"/>
      <w:r>
        <w:rPr>
          <w:rFonts w:ascii="Times New Roman" w:hAnsi="Times New Roman"/>
          <w:b/>
          <w:bCs/>
          <w:sz w:val="24"/>
          <w:szCs w:val="24"/>
        </w:rPr>
        <w:t xml:space="preserve"> or other private </w:t>
      </w:r>
      <w:proofErr w:type="gramStart"/>
      <w:r>
        <w:rPr>
          <w:rFonts w:ascii="Times New Roman" w:hAnsi="Times New Roman"/>
          <w:b/>
          <w:bCs/>
          <w:sz w:val="24"/>
          <w:szCs w:val="24"/>
        </w:rPr>
        <w:t>employer</w:t>
      </w:r>
      <w:proofErr w:type="gramEnd"/>
      <w:r>
        <w:rPr>
          <w:rFonts w:ascii="Times New Roman" w:hAnsi="Times New Roman"/>
          <w:b/>
          <w:bCs/>
          <w:sz w:val="24"/>
          <w:szCs w:val="24"/>
        </w:rPr>
        <w:t xml:space="preserve"> must confirm the employer has insurance to defend and indemnify EMS employees.</w:t>
      </w:r>
    </w:p>
    <w:p w14:paraId="54930528" w14:textId="77777777" w:rsidR="00EC1BFB" w:rsidRPr="00C379C5" w:rsidRDefault="00EC1BFB" w:rsidP="00EC1BFB">
      <w:pPr>
        <w:pStyle w:val="NoSpacing"/>
        <w:ind w:left="720"/>
        <w:rPr>
          <w:rFonts w:ascii="Times New Roman" w:hAnsi="Times New Roman"/>
          <w:sz w:val="24"/>
          <w:szCs w:val="24"/>
        </w:rPr>
      </w:pPr>
    </w:p>
    <w:p w14:paraId="2739A5C7" w14:textId="77777777" w:rsidR="00EC1BFB" w:rsidRPr="00CE063B" w:rsidRDefault="00EC1BFB" w:rsidP="00EC1BFB">
      <w:pPr>
        <w:pStyle w:val="NoSpacing"/>
        <w:ind w:left="1440"/>
        <w:rPr>
          <w:rFonts w:ascii="Times New Roman" w:eastAsia="Times New Roman" w:hAnsi="Times New Roman"/>
          <w:b/>
          <w:bCs/>
          <w:sz w:val="24"/>
          <w:szCs w:val="24"/>
        </w:rPr>
      </w:pPr>
      <w:r>
        <w:rPr>
          <w:rFonts w:ascii="Times New Roman" w:hAnsi="Times New Roman"/>
          <w:sz w:val="24"/>
          <w:szCs w:val="24"/>
        </w:rPr>
        <w:t xml:space="preserve">Note:  Part-time or contract personnel performing services for a </w:t>
      </w:r>
      <w:proofErr w:type="gramStart"/>
      <w:r>
        <w:rPr>
          <w:rFonts w:ascii="Times New Roman" w:hAnsi="Times New Roman"/>
          <w:sz w:val="24"/>
          <w:szCs w:val="24"/>
        </w:rPr>
        <w:t>Government</w:t>
      </w:r>
      <w:proofErr w:type="gramEnd"/>
      <w:r>
        <w:rPr>
          <w:rFonts w:ascii="Times New Roman" w:hAnsi="Times New Roman"/>
          <w:sz w:val="24"/>
          <w:szCs w:val="24"/>
        </w:rPr>
        <w:t xml:space="preserve"> employer may enjoy governmental immunity.  The U.S. Supreme Court is </w:t>
      </w:r>
      <w:proofErr w:type="spellStart"/>
      <w:r w:rsidRPr="002934BB">
        <w:rPr>
          <w:rFonts w:ascii="Times New Roman" w:hAnsi="Times New Roman"/>
          <w:sz w:val="24"/>
          <w:szCs w:val="24"/>
          <w:u w:val="single"/>
        </w:rPr>
        <w:t>Filarsky</w:t>
      </w:r>
      <w:proofErr w:type="spellEnd"/>
      <w:r w:rsidRPr="002934BB">
        <w:rPr>
          <w:rFonts w:ascii="Times New Roman" w:hAnsi="Times New Roman"/>
          <w:sz w:val="24"/>
          <w:szCs w:val="24"/>
          <w:u w:val="single"/>
        </w:rPr>
        <w:t xml:space="preserve"> v. Delia</w:t>
      </w:r>
      <w:r w:rsidRPr="002934BB">
        <w:rPr>
          <w:rFonts w:ascii="Times New Roman" w:hAnsi="Times New Roman"/>
          <w:sz w:val="24"/>
          <w:szCs w:val="24"/>
        </w:rPr>
        <w:t>, 566 U.S. 377 (2012</w:t>
      </w:r>
      <w:r>
        <w:rPr>
          <w:rFonts w:ascii="Times New Roman" w:hAnsi="Times New Roman"/>
          <w:sz w:val="24"/>
          <w:szCs w:val="24"/>
        </w:rPr>
        <w:t>), held (9 to 0) that an attorney retained by a Fire Department to conduct an investigation of a firefighter off work on injury leave while allegedly doing heavy repairs of on his home [he brought out to his front lawn four rolls of insulation] has governmental immunity.  “[I]</w:t>
      </w:r>
      <w:proofErr w:type="spellStart"/>
      <w:r w:rsidRPr="00CE063B">
        <w:rPr>
          <w:rFonts w:ascii="Times New Roman" w:hAnsi="Times New Roman"/>
          <w:sz w:val="24"/>
          <w:szCs w:val="24"/>
        </w:rPr>
        <w:t>mmunity</w:t>
      </w:r>
      <w:proofErr w:type="spellEnd"/>
      <w:r w:rsidRPr="00CE063B">
        <w:rPr>
          <w:rFonts w:ascii="Times New Roman" w:hAnsi="Times New Roman"/>
          <w:sz w:val="24"/>
          <w:szCs w:val="24"/>
        </w:rPr>
        <w:t xml:space="preserve"> under §1983 should not vary depending on whether an individual working for the government does so as a</w:t>
      </w:r>
      <w:r>
        <w:rPr>
          <w:rFonts w:ascii="Times New Roman" w:hAnsi="Times New Roman"/>
          <w:sz w:val="24"/>
          <w:szCs w:val="24"/>
        </w:rPr>
        <w:t xml:space="preserve"> </w:t>
      </w:r>
      <w:r w:rsidRPr="00CE063B">
        <w:rPr>
          <w:rFonts w:ascii="Times New Roman" w:hAnsi="Times New Roman"/>
          <w:sz w:val="24"/>
          <w:szCs w:val="24"/>
        </w:rPr>
        <w:t>full-time employee, or on some other basis.</w:t>
      </w:r>
      <w:r>
        <w:rPr>
          <w:rFonts w:ascii="Times New Roman" w:hAnsi="Times New Roman"/>
          <w:sz w:val="24"/>
          <w:szCs w:val="24"/>
        </w:rPr>
        <w:t xml:space="preserve">” </w:t>
      </w:r>
      <w:hyperlink r:id="rId2262" w:history="1">
        <w:r w:rsidRPr="00E277E9">
          <w:rPr>
            <w:rStyle w:val="Hyperlink"/>
            <w:sz w:val="24"/>
            <w:szCs w:val="24"/>
          </w:rPr>
          <w:t>https://www.supremecourt.gov/opinions/11pdf/10-1018.pdf</w:t>
        </w:r>
      </w:hyperlink>
      <w:r>
        <w:rPr>
          <w:rFonts w:ascii="Times New Roman" w:hAnsi="Times New Roman"/>
          <w:sz w:val="24"/>
          <w:szCs w:val="24"/>
        </w:rPr>
        <w:t xml:space="preserve"> </w:t>
      </w:r>
    </w:p>
    <w:p w14:paraId="69997964" w14:textId="77777777" w:rsidR="00EC1BFB" w:rsidRDefault="00EC1BFB" w:rsidP="00EC1BFB">
      <w:pPr>
        <w:pStyle w:val="NoSpacing"/>
        <w:ind w:left="720"/>
        <w:rPr>
          <w:rFonts w:ascii="Times New Roman" w:hAnsi="Times New Roman"/>
          <w:sz w:val="24"/>
          <w:szCs w:val="24"/>
        </w:rPr>
      </w:pPr>
    </w:p>
    <w:p w14:paraId="3FD2D0B6" w14:textId="77777777" w:rsidR="00EC1BFB" w:rsidRDefault="00EC1BFB" w:rsidP="00EC1BFB">
      <w:pPr>
        <w:pStyle w:val="NoSpacing"/>
        <w:ind w:left="720" w:firstLine="720"/>
        <w:rPr>
          <w:rFonts w:ascii="Times New Roman" w:hAnsi="Times New Roman"/>
          <w:sz w:val="24"/>
          <w:szCs w:val="24"/>
        </w:rPr>
      </w:pPr>
      <w:r>
        <w:rPr>
          <w:rFonts w:ascii="Times New Roman" w:hAnsi="Times New Roman"/>
          <w:sz w:val="24"/>
          <w:szCs w:val="24"/>
        </w:rPr>
        <w:t>In Ohio, Medical Directors also enjoy immunity:</w:t>
      </w:r>
    </w:p>
    <w:p w14:paraId="159DB8BA" w14:textId="77777777" w:rsidR="00EC1BFB" w:rsidRDefault="00EC1BFB" w:rsidP="00EC1BFB">
      <w:pPr>
        <w:pStyle w:val="NoSpacing"/>
        <w:ind w:left="720" w:firstLine="720"/>
        <w:rPr>
          <w:rFonts w:ascii="Times New Roman" w:hAnsi="Times New Roman"/>
          <w:sz w:val="24"/>
          <w:szCs w:val="24"/>
        </w:rPr>
      </w:pPr>
      <w:hyperlink r:id="rId2263" w:history="1">
        <w:r w:rsidRPr="00D60E44">
          <w:rPr>
            <w:rStyle w:val="Hyperlink"/>
            <w:sz w:val="24"/>
            <w:szCs w:val="24"/>
          </w:rPr>
          <w:t>https://codes.ohio.gov/ohio-revised-code/section-4765.49</w:t>
        </w:r>
      </w:hyperlink>
      <w:r>
        <w:rPr>
          <w:rFonts w:ascii="Times New Roman" w:hAnsi="Times New Roman"/>
          <w:sz w:val="24"/>
          <w:szCs w:val="24"/>
        </w:rPr>
        <w:t xml:space="preserve"> </w:t>
      </w:r>
    </w:p>
    <w:p w14:paraId="5EC46C8B" w14:textId="77777777" w:rsidR="00EC1BFB" w:rsidRDefault="00EC1BFB" w:rsidP="00EC1BFB">
      <w:pPr>
        <w:pStyle w:val="NoSpacing"/>
        <w:ind w:left="1440"/>
        <w:rPr>
          <w:rFonts w:ascii="Times New Roman" w:hAnsi="Times New Roman"/>
          <w:sz w:val="24"/>
          <w:szCs w:val="24"/>
        </w:rPr>
      </w:pPr>
      <w:r>
        <w:rPr>
          <w:rFonts w:ascii="Times New Roman" w:hAnsi="Times New Roman"/>
          <w:sz w:val="24"/>
          <w:szCs w:val="24"/>
        </w:rPr>
        <w:t>4765.49 (A): “</w:t>
      </w:r>
      <w:r w:rsidRPr="00F22EDC">
        <w:rPr>
          <w:rFonts w:ascii="Times New Roman" w:hAnsi="Times New Roman"/>
          <w:sz w:val="24"/>
          <w:szCs w:val="24"/>
        </w:rPr>
        <w:t>Medical directors and members of cooperating physician advisory boards of emergency medical service organizations are not liable in damages in a civil action for injury, death, or loss to person or property resulting from their acts or omissions in the performance of their duties, unless the act or omission constitutes willful or wanton misconduct.</w:t>
      </w:r>
      <w:r>
        <w:rPr>
          <w:rFonts w:ascii="Times New Roman" w:hAnsi="Times New Roman"/>
          <w:sz w:val="24"/>
          <w:szCs w:val="24"/>
        </w:rPr>
        <w:t>”</w:t>
      </w:r>
    </w:p>
    <w:p w14:paraId="3084FA72" w14:textId="77777777" w:rsidR="00EC1BFB" w:rsidRDefault="00EC1BFB" w:rsidP="00EC1BFB">
      <w:pPr>
        <w:pStyle w:val="NoSpacing"/>
        <w:ind w:left="720"/>
        <w:rPr>
          <w:rFonts w:ascii="Times New Roman" w:hAnsi="Times New Roman"/>
          <w:sz w:val="24"/>
          <w:szCs w:val="24"/>
        </w:rPr>
      </w:pPr>
    </w:p>
    <w:p w14:paraId="7888BB1B" w14:textId="77777777" w:rsidR="00EC1BFB" w:rsidRDefault="00EC1BFB" w:rsidP="00EC1BFB">
      <w:pPr>
        <w:pStyle w:val="NoSpacing"/>
        <w:ind w:left="1440"/>
        <w:rPr>
          <w:rFonts w:ascii="Times New Roman" w:hAnsi="Times New Roman"/>
          <w:sz w:val="24"/>
          <w:szCs w:val="24"/>
        </w:rPr>
      </w:pPr>
      <w:r>
        <w:rPr>
          <w:rFonts w:ascii="Times New Roman" w:hAnsi="Times New Roman"/>
          <w:sz w:val="24"/>
          <w:szCs w:val="24"/>
        </w:rPr>
        <w:t xml:space="preserve">In addition, in Ohio a private ambulance company rendering 911 services to the public under a contract with a government enjoy immunity: </w:t>
      </w:r>
      <w:hyperlink r:id="rId2264" w:history="1">
        <w:r w:rsidRPr="00E277E9">
          <w:rPr>
            <w:rStyle w:val="Hyperlink"/>
            <w:sz w:val="24"/>
            <w:szCs w:val="24"/>
          </w:rPr>
          <w:t>https://codes.ohio.gov/ohio-revised-code/section-4765.49</w:t>
        </w:r>
      </w:hyperlink>
      <w:r>
        <w:rPr>
          <w:rFonts w:ascii="Times New Roman" w:hAnsi="Times New Roman"/>
          <w:sz w:val="24"/>
          <w:szCs w:val="24"/>
        </w:rPr>
        <w:t xml:space="preserve"> </w:t>
      </w:r>
    </w:p>
    <w:p w14:paraId="307EF6E4" w14:textId="77777777" w:rsidR="00EC1BFB" w:rsidRPr="00CD0AF1" w:rsidRDefault="00EC1BFB" w:rsidP="00EC1BFB">
      <w:pPr>
        <w:pStyle w:val="NoSpacing"/>
        <w:ind w:left="1440"/>
        <w:rPr>
          <w:rFonts w:ascii="Times New Roman" w:hAnsi="Times New Roman"/>
          <w:sz w:val="24"/>
          <w:szCs w:val="24"/>
        </w:rPr>
      </w:pPr>
      <w:r w:rsidRPr="00CD0AF1">
        <w:rPr>
          <w:rFonts w:ascii="Times New Roman" w:hAnsi="Times New Roman"/>
          <w:sz w:val="24"/>
          <w:szCs w:val="24"/>
        </w:rPr>
        <w:t xml:space="preserve">4765.49(B):  </w:t>
      </w:r>
      <w:r>
        <w:rPr>
          <w:rFonts w:ascii="Times New Roman" w:hAnsi="Times New Roman"/>
          <w:sz w:val="24"/>
          <w:szCs w:val="24"/>
        </w:rPr>
        <w:t>“</w:t>
      </w:r>
      <w:r w:rsidRPr="00CD0AF1">
        <w:rPr>
          <w:rFonts w:ascii="Times New Roman" w:hAnsi="Times New Roman"/>
          <w:sz w:val="24"/>
          <w:szCs w:val="24"/>
        </w:rPr>
        <w:t>A political subdivision, joint ambulance district, joint emergency medical services district, or other public agency, and any officer or employee of a public agency or of a private organization operating under contract or in joint agreement with one or more political subdivisions, that provides emergency medical services, or that enters into a joint agreement or a contract with the state, any political subdivision, joint ambulance district, or joint emergency medical services district for the provision of emergency medical services, is not liable in damages in a civil action for injury, death, or loss to person or property arising out of any actions taken by a first responder, EMT-basic, EMT-I, or paramedic working under the officer's or employee's jurisdiction, or for injury, death, or loss to person or property arising out of any actions of licensed medical personnel advising or assisting the first responder, EMT-basic, EMT-I, or paramedic, unless the services are provided in a manner that constitutes willful or wanton misconduct.</w:t>
      </w:r>
      <w:r>
        <w:rPr>
          <w:rFonts w:ascii="Times New Roman" w:hAnsi="Times New Roman"/>
          <w:sz w:val="24"/>
          <w:szCs w:val="24"/>
        </w:rPr>
        <w:t>”</w:t>
      </w:r>
    </w:p>
    <w:p w14:paraId="11D25AE1" w14:textId="77777777" w:rsidR="00EC1BFB" w:rsidRDefault="00EC1BFB" w:rsidP="00EC1BFB">
      <w:pPr>
        <w:pStyle w:val="NoSpacing"/>
        <w:ind w:left="1440"/>
        <w:rPr>
          <w:rFonts w:ascii="Times New Roman" w:hAnsi="Times New Roman"/>
          <w:sz w:val="24"/>
          <w:szCs w:val="24"/>
        </w:rPr>
      </w:pPr>
    </w:p>
    <w:p w14:paraId="7D77466A" w14:textId="77777777" w:rsidR="00EC1BFB" w:rsidRDefault="00EC1BFB" w:rsidP="002B1283">
      <w:pPr>
        <w:rPr>
          <w:rFonts w:ascii="Arial Black" w:hAnsi="Arial Black"/>
          <w:b/>
          <w:bCs/>
          <w:sz w:val="28"/>
          <w:szCs w:val="28"/>
        </w:rPr>
      </w:pPr>
    </w:p>
    <w:p w14:paraId="6186A8EF" w14:textId="77777777" w:rsidR="00274525" w:rsidRDefault="00274525" w:rsidP="002B1283">
      <w:pPr>
        <w:rPr>
          <w:rFonts w:ascii="Arial Black" w:hAnsi="Arial Black"/>
          <w:b/>
          <w:bCs/>
          <w:sz w:val="28"/>
          <w:szCs w:val="28"/>
        </w:rPr>
      </w:pPr>
    </w:p>
    <w:p w14:paraId="1F70E9CD" w14:textId="1FC19BE7" w:rsidR="00EB2493" w:rsidRDefault="00EB2493" w:rsidP="002B1283">
      <w:pPr>
        <w:rPr>
          <w:rFonts w:ascii="Arial Black" w:hAnsi="Arial Black"/>
          <w:b/>
          <w:bCs/>
          <w:sz w:val="28"/>
          <w:szCs w:val="28"/>
        </w:rPr>
      </w:pPr>
      <w:r>
        <w:rPr>
          <w:rFonts w:ascii="Arial Black" w:hAnsi="Arial Black"/>
          <w:b/>
          <w:bCs/>
          <w:sz w:val="28"/>
          <w:szCs w:val="28"/>
        </w:rPr>
        <w:t>13-82</w:t>
      </w:r>
    </w:p>
    <w:p w14:paraId="4580C346" w14:textId="77777777" w:rsidR="00EB2493" w:rsidRPr="00350A69" w:rsidRDefault="00EB2493" w:rsidP="00EB2493">
      <w:pPr>
        <w:spacing w:after="100" w:line="240" w:lineRule="auto"/>
        <w:rPr>
          <w:rFonts w:ascii="Arial Black" w:hAnsi="Arial Black"/>
          <w:sz w:val="28"/>
          <w:szCs w:val="28"/>
        </w:rPr>
      </w:pPr>
      <w:r>
        <w:rPr>
          <w:rFonts w:ascii="Arial Black" w:hAnsi="Arial Black"/>
          <w:sz w:val="28"/>
          <w:szCs w:val="28"/>
        </w:rPr>
        <w:t xml:space="preserve">MD: GOOD SAMARITAN IMMUNITY – DRUG USERS PASSED OUT IN VEHICLE - 911 CALLED, REFUSED EMS </w:t>
      </w:r>
    </w:p>
    <w:p w14:paraId="77D03C0D" w14:textId="77777777" w:rsidR="00EB2493" w:rsidRDefault="00EB2493" w:rsidP="00EB2493">
      <w:pPr>
        <w:spacing w:after="100" w:line="240" w:lineRule="auto"/>
        <w:rPr>
          <w:rFonts w:ascii="Times New Roman" w:hAnsi="Times New Roman"/>
          <w:sz w:val="24"/>
          <w:szCs w:val="24"/>
        </w:rPr>
      </w:pPr>
      <w:r>
        <w:rPr>
          <w:rFonts w:ascii="Times New Roman" w:hAnsi="Times New Roman"/>
          <w:sz w:val="24"/>
          <w:szCs w:val="24"/>
        </w:rPr>
        <w:t xml:space="preserve">On Feb. 24, 2021, in </w:t>
      </w:r>
      <w:r w:rsidRPr="00350A69">
        <w:rPr>
          <w:rFonts w:ascii="Times New Roman" w:hAnsi="Times New Roman"/>
          <w:sz w:val="24"/>
          <w:szCs w:val="24"/>
          <w:u w:val="single"/>
        </w:rPr>
        <w:t>Damian Gerety and Brian Antkowiak v. State of Maryland</w:t>
      </w:r>
      <w:r>
        <w:rPr>
          <w:rFonts w:ascii="Times New Roman" w:hAnsi="Times New Roman"/>
          <w:sz w:val="24"/>
          <w:szCs w:val="24"/>
        </w:rPr>
        <w:t xml:space="preserve">, the Court of Special Appeals of the State of Maryland, held 3 to 0 that the convictions for possession of heroin are reversed, based on the state’s Good Samaritan immunity statute. </w:t>
      </w:r>
    </w:p>
    <w:p w14:paraId="0A9CC6F2" w14:textId="77777777" w:rsidR="00EB2493" w:rsidRDefault="00EB2493" w:rsidP="00EB2493">
      <w:pPr>
        <w:spacing w:after="100" w:line="240" w:lineRule="auto"/>
        <w:ind w:left="720"/>
        <w:rPr>
          <w:rFonts w:ascii="Times New Roman" w:hAnsi="Times New Roman"/>
          <w:sz w:val="24"/>
          <w:szCs w:val="24"/>
        </w:rPr>
      </w:pPr>
      <w:r w:rsidRPr="0027492D">
        <w:rPr>
          <w:rFonts w:ascii="Times New Roman" w:hAnsi="Times New Roman"/>
          <w:sz w:val="24"/>
          <w:szCs w:val="24"/>
        </w:rPr>
        <w:t>“We hold that because the police were present at the scene and discovered the evidence supporting the charges "solely as a result" of a call for medical assistance, Mr. Gerety and Ms. Antkowiak were immune from prosecution, and we reverse the convictions.</w:t>
      </w:r>
    </w:p>
    <w:p w14:paraId="3B88EE15" w14:textId="77777777" w:rsidR="00EB2493" w:rsidRDefault="00EB2493" w:rsidP="00EB2493">
      <w:pPr>
        <w:spacing w:after="100" w:line="240" w:lineRule="auto"/>
        <w:ind w:left="720"/>
        <w:rPr>
          <w:rFonts w:ascii="Times New Roman" w:hAnsi="Times New Roman"/>
          <w:sz w:val="24"/>
          <w:szCs w:val="24"/>
        </w:rPr>
      </w:pPr>
      <w:r>
        <w:rPr>
          <w:rFonts w:ascii="Times New Roman" w:hAnsi="Times New Roman"/>
          <w:sz w:val="24"/>
          <w:szCs w:val="24"/>
        </w:rPr>
        <w:t>***</w:t>
      </w:r>
    </w:p>
    <w:p w14:paraId="0F227000" w14:textId="77777777" w:rsidR="00EB2493" w:rsidRDefault="00EB2493" w:rsidP="00EB2493">
      <w:pPr>
        <w:spacing w:after="100" w:line="240" w:lineRule="auto"/>
        <w:ind w:left="720"/>
        <w:rPr>
          <w:rFonts w:ascii="Times New Roman" w:hAnsi="Times New Roman"/>
          <w:sz w:val="24"/>
          <w:szCs w:val="24"/>
        </w:rPr>
      </w:pPr>
      <w:r w:rsidRPr="0027492D">
        <w:rPr>
          <w:rFonts w:ascii="Times New Roman" w:hAnsi="Times New Roman"/>
          <w:sz w:val="24"/>
          <w:szCs w:val="24"/>
        </w:rPr>
        <w:t xml:space="preserve">Put another way, § 1-210 asks a different question: why were officers at the scene in the first place? If they were there solely </w:t>
      </w:r>
      <w:proofErr w:type="gramStart"/>
      <w:r w:rsidRPr="0027492D">
        <w:rPr>
          <w:rFonts w:ascii="Times New Roman" w:hAnsi="Times New Roman"/>
          <w:sz w:val="24"/>
          <w:szCs w:val="24"/>
        </w:rPr>
        <w:t>as a result of</w:t>
      </w:r>
      <w:proofErr w:type="gramEnd"/>
      <w:r w:rsidRPr="0027492D">
        <w:rPr>
          <w:rFonts w:ascii="Times New Roman" w:hAnsi="Times New Roman"/>
          <w:sz w:val="24"/>
          <w:szCs w:val="24"/>
        </w:rPr>
        <w:t xml:space="preserve"> a call for emergency medical assistance, the caller and recipient(s) of assistance are immune from prosecution for the listed charges, whatever evidence might properly have been seized.</w:t>
      </w:r>
      <w:r>
        <w:rPr>
          <w:rFonts w:ascii="Times New Roman" w:hAnsi="Times New Roman"/>
          <w:sz w:val="24"/>
          <w:szCs w:val="24"/>
        </w:rPr>
        <w:t xml:space="preserve">”  </w:t>
      </w:r>
      <w:hyperlink r:id="rId2265" w:history="1">
        <w:r w:rsidRPr="00800310">
          <w:rPr>
            <w:rStyle w:val="Hyperlink"/>
            <w:rFonts w:ascii="Times New Roman" w:hAnsi="Times New Roman"/>
            <w:sz w:val="24"/>
            <w:szCs w:val="24"/>
          </w:rPr>
          <w:t>https://law.justia.com/cases/maryland/court-of-special-appeals/2021/2349-19.html</w:t>
        </w:r>
      </w:hyperlink>
      <w:r>
        <w:rPr>
          <w:rFonts w:ascii="Times New Roman" w:hAnsi="Times New Roman"/>
          <w:sz w:val="24"/>
          <w:szCs w:val="24"/>
        </w:rPr>
        <w:t xml:space="preserve"> </w:t>
      </w:r>
    </w:p>
    <w:p w14:paraId="58EDC0ED" w14:textId="77777777" w:rsidR="00EB2493" w:rsidRDefault="00EB2493" w:rsidP="00EB2493">
      <w:pPr>
        <w:pStyle w:val="NormalWeb"/>
        <w:rPr>
          <w:b/>
          <w:bCs/>
        </w:rPr>
      </w:pPr>
      <w:r w:rsidRPr="0023546F">
        <w:rPr>
          <w:b/>
          <w:bCs/>
        </w:rPr>
        <w:t>Legal Lesson Learned:</w:t>
      </w:r>
      <w:r>
        <w:rPr>
          <w:b/>
          <w:bCs/>
        </w:rPr>
        <w:t xml:space="preserve">  Many states have enacted Good Samaritan statutes to encourage drug users and others to call 911.</w:t>
      </w:r>
    </w:p>
    <w:p w14:paraId="340F35B1" w14:textId="77777777" w:rsidR="00EB2493" w:rsidRPr="00B07A9F" w:rsidRDefault="00EB2493" w:rsidP="00EB2493">
      <w:pPr>
        <w:pStyle w:val="NormalWeb"/>
        <w:ind w:left="720"/>
      </w:pPr>
      <w:r w:rsidRPr="00B07A9F">
        <w:t xml:space="preserve">Note: “Although the Minnesota statute was enacted the same year as CP § 1-210 and the Pennsylvania statute followed passage of the Maryland bill, the Illinois and Vermont statutes preceded our Good Samaritan.   Virginia makes explicit in its Good Samaritan statute that if the request for medical assistance is made during the execution of a search warrant or during an arrest, the immunity provisions don't apply. </w:t>
      </w:r>
      <w:r w:rsidRPr="00B07A9F">
        <w:rPr>
          <w:i/>
          <w:iCs/>
        </w:rPr>
        <w:t>See</w:t>
      </w:r>
      <w:r w:rsidRPr="00B07A9F">
        <w:t xml:space="preserve"> Va. Code Ann. § 18.2-251.03.C (immunity protections do not apply ‘to any person who seeks or obtains emergency medical attention for himself or another individual, or to a person experiencing an overdose when another individual seeks or obtains emergency medical attention for him, </w:t>
      </w:r>
      <w:r w:rsidRPr="00B07A9F">
        <w:rPr>
          <w:i/>
          <w:iCs/>
        </w:rPr>
        <w:t>during the execution of a search warrant or during the conduct of a lawful search or a lawful arrest</w:t>
      </w:r>
      <w:r w:rsidRPr="00B07A9F">
        <w:t>) (emphasis added).”</w:t>
      </w:r>
    </w:p>
    <w:p w14:paraId="6D50959C" w14:textId="77777777" w:rsidR="00EB2493" w:rsidRDefault="00EB2493" w:rsidP="002B1283">
      <w:pPr>
        <w:rPr>
          <w:rFonts w:ascii="Arial Black" w:hAnsi="Arial Black"/>
          <w:b/>
          <w:bCs/>
          <w:sz w:val="28"/>
          <w:szCs w:val="28"/>
        </w:rPr>
      </w:pPr>
    </w:p>
    <w:p w14:paraId="12A9A9A8" w14:textId="0D66C61F" w:rsidR="00EB2493" w:rsidRDefault="00EB2493" w:rsidP="002B1283">
      <w:pPr>
        <w:rPr>
          <w:rFonts w:ascii="Arial Black" w:hAnsi="Arial Black"/>
          <w:b/>
          <w:bCs/>
          <w:sz w:val="28"/>
          <w:szCs w:val="28"/>
        </w:rPr>
      </w:pPr>
      <w:r>
        <w:rPr>
          <w:rFonts w:ascii="Arial Black" w:hAnsi="Arial Black"/>
          <w:b/>
          <w:bCs/>
          <w:sz w:val="28"/>
          <w:szCs w:val="28"/>
        </w:rPr>
        <w:t>13-81</w:t>
      </w:r>
    </w:p>
    <w:p w14:paraId="22EFB7A3" w14:textId="77777777" w:rsidR="00EB2493" w:rsidRPr="006B7CE6" w:rsidRDefault="00EB2493" w:rsidP="00EB2493">
      <w:pPr>
        <w:rPr>
          <w:rFonts w:ascii="Arial Black" w:hAnsi="Arial Black"/>
          <w:sz w:val="28"/>
          <w:szCs w:val="28"/>
        </w:rPr>
      </w:pPr>
      <w:bookmarkStart w:id="450" w:name="_Hlk66949400"/>
      <w:r>
        <w:rPr>
          <w:rFonts w:ascii="Arial Black" w:hAnsi="Arial Black"/>
          <w:sz w:val="28"/>
          <w:szCs w:val="28"/>
        </w:rPr>
        <w:t xml:space="preserve">MD: SWAT TRAINING IN POOL – CPR - BAG VALUE MASK MISSING, PD DIED – NOT FED. CASE – DIDN’T “SHOCK CONSCIOUS” </w:t>
      </w:r>
    </w:p>
    <w:p w14:paraId="6164AAC0" w14:textId="77777777" w:rsidR="00EB2493" w:rsidRDefault="00EB2493" w:rsidP="00EB2493">
      <w:pPr>
        <w:spacing w:before="100" w:beforeAutospacing="1" w:after="100" w:afterAutospacing="1" w:line="240" w:lineRule="auto"/>
        <w:rPr>
          <w:rFonts w:ascii="Times New Roman" w:hAnsi="Times New Roman"/>
          <w:sz w:val="24"/>
          <w:szCs w:val="24"/>
        </w:rPr>
      </w:pPr>
      <w:r w:rsidRPr="006B7CE6">
        <w:rPr>
          <w:rFonts w:ascii="Times New Roman" w:hAnsi="Times New Roman"/>
          <w:sz w:val="24"/>
          <w:szCs w:val="24"/>
        </w:rPr>
        <w:t xml:space="preserve">On Feb. 22, 2021, in </w:t>
      </w:r>
      <w:r w:rsidRPr="006B7CE6">
        <w:rPr>
          <w:rFonts w:ascii="Times New Roman" w:hAnsi="Times New Roman"/>
          <w:sz w:val="24"/>
          <w:szCs w:val="24"/>
          <w:u w:val="single"/>
        </w:rPr>
        <w:t>Rebeca Sable v. Baltimore County Government, et al.</w:t>
      </w:r>
      <w:r w:rsidRPr="006B7CE6">
        <w:rPr>
          <w:rFonts w:ascii="Times New Roman" w:hAnsi="Times New Roman"/>
          <w:sz w:val="24"/>
          <w:szCs w:val="24"/>
        </w:rPr>
        <w:t xml:space="preserve">, </w:t>
      </w:r>
      <w:r>
        <w:rPr>
          <w:rFonts w:ascii="Times New Roman" w:hAnsi="Times New Roman"/>
          <w:sz w:val="24"/>
          <w:szCs w:val="24"/>
        </w:rPr>
        <w:t>United States Magistrate Judge J. Mark Coulson granted the defendants’ motion to dismiss the County and two Medics since facts alleged in their complaint, while possibly showing negligence, did not meet the U.S. Supreme Court’s “shock the conscious” test for alleged Federal violations of the Due Process Clause of 14</w:t>
      </w:r>
      <w:r w:rsidRPr="00B32F68">
        <w:rPr>
          <w:rFonts w:ascii="Times New Roman" w:hAnsi="Times New Roman"/>
          <w:sz w:val="24"/>
          <w:szCs w:val="24"/>
          <w:vertAlign w:val="superscript"/>
        </w:rPr>
        <w:t>th</w:t>
      </w:r>
      <w:r>
        <w:rPr>
          <w:rFonts w:ascii="Times New Roman" w:hAnsi="Times New Roman"/>
          <w:sz w:val="24"/>
          <w:szCs w:val="24"/>
        </w:rPr>
        <w:t xml:space="preserve"> Amendment, as required by U.S. Supreme Court in </w:t>
      </w:r>
      <w:r w:rsidRPr="003A213C">
        <w:rPr>
          <w:rFonts w:ascii="Times New Roman" w:hAnsi="Times New Roman"/>
          <w:i/>
          <w:iCs/>
          <w:sz w:val="24"/>
          <w:szCs w:val="24"/>
        </w:rPr>
        <w:t>County of Sacramento v</w:t>
      </w:r>
      <w:r w:rsidRPr="003A213C">
        <w:rPr>
          <w:rFonts w:ascii="Times New Roman" w:hAnsi="Times New Roman"/>
          <w:sz w:val="24"/>
          <w:szCs w:val="24"/>
        </w:rPr>
        <w:t xml:space="preserve">. </w:t>
      </w:r>
      <w:r w:rsidRPr="003A213C">
        <w:rPr>
          <w:rFonts w:ascii="Times New Roman" w:hAnsi="Times New Roman"/>
          <w:i/>
          <w:iCs/>
          <w:sz w:val="24"/>
          <w:szCs w:val="24"/>
        </w:rPr>
        <w:t>Lewis</w:t>
      </w:r>
      <w:r w:rsidRPr="003A213C">
        <w:rPr>
          <w:rFonts w:ascii="Times New Roman" w:hAnsi="Times New Roman"/>
          <w:sz w:val="24"/>
          <w:szCs w:val="24"/>
        </w:rPr>
        <w:t xml:space="preserve">, </w:t>
      </w:r>
      <w:hyperlink r:id="rId2266" w:anchor="p848" w:history="1">
        <w:r w:rsidRPr="003A213C">
          <w:rPr>
            <w:rStyle w:val="Hyperlink"/>
            <w:rFonts w:ascii="Times New Roman" w:hAnsi="Times New Roman"/>
            <w:sz w:val="24"/>
            <w:szCs w:val="24"/>
          </w:rPr>
          <w:t>523 U.S. 833, 848</w:t>
        </w:r>
      </w:hyperlink>
      <w:r w:rsidRPr="003A213C">
        <w:rPr>
          <w:rFonts w:ascii="Times New Roman" w:hAnsi="Times New Roman"/>
          <w:sz w:val="24"/>
          <w:szCs w:val="24"/>
        </w:rPr>
        <w:t xml:space="preserve"> (1998)</w:t>
      </w:r>
      <w:r>
        <w:rPr>
          <w:rFonts w:ascii="Times New Roman" w:hAnsi="Times New Roman"/>
          <w:sz w:val="24"/>
          <w:szCs w:val="24"/>
        </w:rPr>
        <w:t>.</w:t>
      </w:r>
      <w:r w:rsidRPr="003A213C">
        <w:rPr>
          <w:rFonts w:ascii="Times New Roman" w:hAnsi="Times New Roman"/>
          <w:sz w:val="24"/>
          <w:szCs w:val="24"/>
        </w:rPr>
        <w:t xml:space="preserve"> </w:t>
      </w:r>
      <w:r>
        <w:rPr>
          <w:rFonts w:ascii="Times New Roman" w:hAnsi="Times New Roman"/>
          <w:sz w:val="24"/>
          <w:szCs w:val="24"/>
        </w:rPr>
        <w:t xml:space="preserve"> The Magistrate Judge, however, will give plaintiffs one last opportunity to file an amended complaint with additional facts, noting that the Medics enjoy qualified immunity under Maryland statute for mere negligence.    </w:t>
      </w:r>
    </w:p>
    <w:bookmarkEnd w:id="450"/>
    <w:p w14:paraId="0C9486F7" w14:textId="24386584" w:rsidR="00EB2493"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700CC5">
        <w:rPr>
          <w:rFonts w:ascii="Times New Roman" w:hAnsi="Times New Roman"/>
          <w:sz w:val="24"/>
          <w:szCs w:val="24"/>
        </w:rPr>
        <w:t xml:space="preserve">As the training neared its conclusion, program facilitators instructed the participants to tread water for ten minutes. </w:t>
      </w:r>
      <w:r w:rsidRPr="00700CC5">
        <w:rPr>
          <w:rFonts w:ascii="Times New Roman" w:hAnsi="Times New Roman"/>
          <w:i/>
          <w:iCs/>
          <w:sz w:val="24"/>
          <w:szCs w:val="24"/>
        </w:rPr>
        <w:t>Id</w:t>
      </w:r>
      <w:r w:rsidRPr="00700CC5">
        <w:rPr>
          <w:rFonts w:ascii="Times New Roman" w:hAnsi="Times New Roman"/>
          <w:sz w:val="24"/>
          <w:szCs w:val="24"/>
        </w:rPr>
        <w:t xml:space="preserve">. During this exercise, Mr. Sable went underwater and remained there for approximately ten seconds before being removed from the pool. </w:t>
      </w:r>
      <w:r w:rsidRPr="00700CC5">
        <w:rPr>
          <w:rFonts w:ascii="Times New Roman" w:hAnsi="Times New Roman"/>
          <w:i/>
          <w:iCs/>
          <w:sz w:val="24"/>
          <w:szCs w:val="24"/>
        </w:rPr>
        <w:t>Id</w:t>
      </w:r>
      <w:r w:rsidRPr="00700CC5">
        <w:rPr>
          <w:rFonts w:ascii="Times New Roman" w:hAnsi="Times New Roman"/>
          <w:sz w:val="24"/>
          <w:szCs w:val="24"/>
        </w:rPr>
        <w:t xml:space="preserve">. Once on the pool deck, BCPD Officer Sean </w:t>
      </w:r>
      <w:proofErr w:type="gramStart"/>
      <w:r w:rsidRPr="00700CC5">
        <w:rPr>
          <w:rFonts w:ascii="Times New Roman" w:hAnsi="Times New Roman"/>
          <w:sz w:val="24"/>
          <w:szCs w:val="24"/>
        </w:rPr>
        <w:t>Dietz (</w:t>
      </w:r>
      <w:r>
        <w:rPr>
          <w:rFonts w:ascii="Times New Roman" w:hAnsi="Times New Roman"/>
          <w:sz w:val="24"/>
          <w:szCs w:val="24"/>
        </w:rPr>
        <w:t>‘</w:t>
      </w:r>
      <w:proofErr w:type="gramEnd"/>
      <w:r w:rsidRPr="00700CC5">
        <w:rPr>
          <w:rFonts w:ascii="Times New Roman" w:hAnsi="Times New Roman"/>
          <w:sz w:val="24"/>
          <w:szCs w:val="24"/>
        </w:rPr>
        <w:t xml:space="preserve">Officer </w:t>
      </w:r>
      <w:proofErr w:type="gramStart"/>
      <w:r w:rsidRPr="00700CC5">
        <w:rPr>
          <w:rFonts w:ascii="Times New Roman" w:hAnsi="Times New Roman"/>
          <w:sz w:val="24"/>
          <w:szCs w:val="24"/>
        </w:rPr>
        <w:t>Dietz</w:t>
      </w:r>
      <w:r>
        <w:rPr>
          <w:rFonts w:ascii="Times New Roman" w:hAnsi="Times New Roman"/>
          <w:sz w:val="24"/>
          <w:szCs w:val="24"/>
        </w:rPr>
        <w:t>’</w:t>
      </w:r>
      <w:r w:rsidRPr="00700CC5">
        <w:rPr>
          <w:rFonts w:ascii="Times New Roman" w:hAnsi="Times New Roman"/>
          <w:sz w:val="24"/>
          <w:szCs w:val="24"/>
        </w:rPr>
        <w:t>)</w:t>
      </w:r>
      <w:proofErr w:type="gramEnd"/>
      <w:r w:rsidRPr="00700CC5">
        <w:rPr>
          <w:rFonts w:ascii="Times New Roman" w:hAnsi="Times New Roman"/>
          <w:sz w:val="24"/>
          <w:szCs w:val="24"/>
        </w:rPr>
        <w:t xml:space="preserve">, another medic, rendered assistance by patting Mr. Sable on the back and instructing him to </w:t>
      </w:r>
      <w:r>
        <w:rPr>
          <w:rFonts w:ascii="Times New Roman" w:hAnsi="Times New Roman"/>
          <w:sz w:val="24"/>
          <w:szCs w:val="24"/>
        </w:rPr>
        <w:t>‘</w:t>
      </w:r>
      <w:r w:rsidRPr="00700CC5">
        <w:rPr>
          <w:rFonts w:ascii="Times New Roman" w:hAnsi="Times New Roman"/>
          <w:sz w:val="24"/>
          <w:szCs w:val="24"/>
        </w:rPr>
        <w:t>cough it up.</w:t>
      </w:r>
      <w:r>
        <w:rPr>
          <w:rFonts w:ascii="Times New Roman" w:hAnsi="Times New Roman"/>
          <w:sz w:val="24"/>
          <w:szCs w:val="24"/>
        </w:rPr>
        <w:t>’</w:t>
      </w:r>
      <w:r w:rsidRPr="00700CC5">
        <w:rPr>
          <w:rFonts w:ascii="Times New Roman" w:hAnsi="Times New Roman"/>
          <w:sz w:val="24"/>
          <w:szCs w:val="24"/>
        </w:rPr>
        <w:t xml:space="preserve"> </w:t>
      </w:r>
      <w:r w:rsidRPr="00700CC5">
        <w:rPr>
          <w:rFonts w:ascii="Times New Roman" w:hAnsi="Times New Roman"/>
          <w:i/>
          <w:iCs/>
          <w:sz w:val="24"/>
          <w:szCs w:val="24"/>
        </w:rPr>
        <w:t>Id</w:t>
      </w:r>
      <w:r w:rsidRPr="00700CC5">
        <w:rPr>
          <w:rFonts w:ascii="Times New Roman" w:hAnsi="Times New Roman"/>
          <w:sz w:val="24"/>
          <w:szCs w:val="24"/>
        </w:rPr>
        <w:t xml:space="preserve">. Medic Sloman </w:t>
      </w:r>
      <w:r>
        <w:rPr>
          <w:rFonts w:ascii="Times New Roman" w:hAnsi="Times New Roman"/>
          <w:sz w:val="24"/>
          <w:szCs w:val="24"/>
        </w:rPr>
        <w:t>‘</w:t>
      </w:r>
      <w:r w:rsidRPr="00700CC5">
        <w:rPr>
          <w:rFonts w:ascii="Times New Roman" w:hAnsi="Times New Roman"/>
          <w:sz w:val="24"/>
          <w:szCs w:val="24"/>
        </w:rPr>
        <w:t xml:space="preserve">observed Mr. Sable to be cyanotic in the face, with fluid coming from his mouth, without a pulse, and apneic." </w:t>
      </w:r>
      <w:r w:rsidRPr="00700CC5">
        <w:rPr>
          <w:rFonts w:ascii="Times New Roman" w:hAnsi="Times New Roman"/>
          <w:i/>
          <w:iCs/>
          <w:sz w:val="24"/>
          <w:szCs w:val="24"/>
        </w:rPr>
        <w:t>Id</w:t>
      </w:r>
      <w:r w:rsidRPr="00700CC5">
        <w:rPr>
          <w:rFonts w:ascii="Times New Roman" w:hAnsi="Times New Roman"/>
          <w:sz w:val="24"/>
          <w:szCs w:val="24"/>
        </w:rPr>
        <w:t xml:space="preserve">. BCPD medics provided Medic Sloman with a bag valve </w:t>
      </w:r>
      <w:proofErr w:type="gramStart"/>
      <w:r w:rsidRPr="00700CC5">
        <w:rPr>
          <w:rFonts w:ascii="Times New Roman" w:hAnsi="Times New Roman"/>
          <w:sz w:val="24"/>
          <w:szCs w:val="24"/>
        </w:rPr>
        <w:t>mask</w:t>
      </w:r>
      <w:proofErr w:type="gramEnd"/>
      <w:r w:rsidRPr="00700CC5">
        <w:rPr>
          <w:rFonts w:ascii="Times New Roman" w:hAnsi="Times New Roman"/>
          <w:sz w:val="24"/>
          <w:szCs w:val="24"/>
        </w:rPr>
        <w:t xml:space="preserve"> manual resuscitator and O2 bottle to begin treating Mr. Sable, </w:t>
      </w:r>
      <w:r w:rsidRPr="001D0DEE">
        <w:rPr>
          <w:rFonts w:ascii="Times New Roman" w:hAnsi="Times New Roman"/>
          <w:b/>
          <w:bCs/>
          <w:sz w:val="24"/>
          <w:szCs w:val="24"/>
        </w:rPr>
        <w:t>but the mask was missing from the unit</w:t>
      </w:r>
      <w:r w:rsidRPr="00700CC5">
        <w:rPr>
          <w:rFonts w:ascii="Times New Roman" w:hAnsi="Times New Roman"/>
          <w:sz w:val="24"/>
          <w:szCs w:val="24"/>
        </w:rPr>
        <w:t xml:space="preserve">. </w:t>
      </w:r>
      <w:r>
        <w:rPr>
          <w:rFonts w:ascii="Times New Roman" w:hAnsi="Times New Roman"/>
          <w:sz w:val="24"/>
          <w:szCs w:val="24"/>
        </w:rPr>
        <w:t>[Emphasis added.]</w:t>
      </w:r>
    </w:p>
    <w:p w14:paraId="390A7A1D" w14:textId="77777777" w:rsidR="00EB2493" w:rsidRDefault="00EB2493" w:rsidP="00EB2493">
      <w:pPr>
        <w:spacing w:before="100" w:beforeAutospacing="1" w:after="100" w:afterAutospacing="1" w:line="240" w:lineRule="auto"/>
        <w:ind w:left="720"/>
        <w:rPr>
          <w:rFonts w:ascii="Times New Roman" w:hAnsi="Times New Roman"/>
          <w:sz w:val="24"/>
          <w:szCs w:val="24"/>
        </w:rPr>
      </w:pPr>
      <w:r w:rsidRPr="00700CC5">
        <w:rPr>
          <w:rFonts w:ascii="Times New Roman" w:hAnsi="Times New Roman"/>
          <w:sz w:val="24"/>
          <w:szCs w:val="24"/>
        </w:rPr>
        <w:t xml:space="preserve">For this reason, the manual resuscitator was inoperable for several additional minutes while medics searched for, and eventually obtained, a mask. </w:t>
      </w:r>
      <w:r w:rsidRPr="00700CC5">
        <w:rPr>
          <w:rFonts w:ascii="Times New Roman" w:hAnsi="Times New Roman"/>
          <w:i/>
          <w:iCs/>
          <w:sz w:val="24"/>
          <w:szCs w:val="24"/>
        </w:rPr>
        <w:t>Id</w:t>
      </w:r>
      <w:r w:rsidRPr="00700CC5">
        <w:rPr>
          <w:rFonts w:ascii="Times New Roman" w:hAnsi="Times New Roman"/>
          <w:sz w:val="24"/>
          <w:szCs w:val="24"/>
        </w:rPr>
        <w:t xml:space="preserve">. at 5. BCPD medics provided Mr. Sable with additional medical treatment, including the administration of five milligrams of epinephrine. </w:t>
      </w:r>
      <w:r w:rsidRPr="00700CC5">
        <w:rPr>
          <w:rFonts w:ascii="Times New Roman" w:hAnsi="Times New Roman"/>
          <w:i/>
          <w:iCs/>
          <w:sz w:val="24"/>
          <w:szCs w:val="24"/>
        </w:rPr>
        <w:t>Id</w:t>
      </w:r>
      <w:r w:rsidRPr="00700CC5">
        <w:rPr>
          <w:rFonts w:ascii="Times New Roman" w:hAnsi="Times New Roman"/>
          <w:sz w:val="24"/>
          <w:szCs w:val="24"/>
        </w:rPr>
        <w:t>.</w:t>
      </w:r>
    </w:p>
    <w:p w14:paraId="61FB6FD8" w14:textId="77777777" w:rsidR="00EB2493" w:rsidRDefault="00EB2493" w:rsidP="00EB2493">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5FE8BFC" w14:textId="77777777" w:rsidR="00EB2493" w:rsidRPr="00700CC5" w:rsidRDefault="00EB2493" w:rsidP="00EB2493">
      <w:pPr>
        <w:spacing w:before="100" w:beforeAutospacing="1" w:after="100" w:afterAutospacing="1" w:line="240" w:lineRule="auto"/>
        <w:ind w:left="720"/>
        <w:rPr>
          <w:rFonts w:ascii="Times New Roman" w:hAnsi="Times New Roman"/>
          <w:sz w:val="24"/>
          <w:szCs w:val="24"/>
        </w:rPr>
      </w:pPr>
      <w:r w:rsidRPr="00700CC5">
        <w:rPr>
          <w:rFonts w:ascii="Times New Roman" w:hAnsi="Times New Roman"/>
          <w:sz w:val="24"/>
          <w:szCs w:val="24"/>
        </w:rPr>
        <w:t>There is no dispute that Officers Dietz and Luck are public officials</w:t>
      </w:r>
      <w:r>
        <w:rPr>
          <w:rFonts w:ascii="Times New Roman" w:hAnsi="Times New Roman"/>
          <w:sz w:val="24"/>
          <w:szCs w:val="24"/>
        </w:rPr>
        <w:t xml:space="preserve">…. </w:t>
      </w:r>
      <w:r w:rsidRPr="00700CC5">
        <w:rPr>
          <w:rFonts w:ascii="Times New Roman" w:hAnsi="Times New Roman"/>
          <w:sz w:val="24"/>
          <w:szCs w:val="24"/>
        </w:rPr>
        <w:t xml:space="preserve">While Plaintiffs contend </w:t>
      </w:r>
      <w:proofErr w:type="gramStart"/>
      <w:r w:rsidRPr="00700CC5">
        <w:rPr>
          <w:rFonts w:ascii="Times New Roman" w:hAnsi="Times New Roman"/>
          <w:sz w:val="24"/>
          <w:szCs w:val="24"/>
        </w:rPr>
        <w:t>Defendants</w:t>
      </w:r>
      <w:proofErr w:type="gramEnd"/>
      <w:r w:rsidRPr="00700CC5">
        <w:rPr>
          <w:rFonts w:ascii="Times New Roman" w:hAnsi="Times New Roman"/>
          <w:sz w:val="24"/>
          <w:szCs w:val="24"/>
        </w:rPr>
        <w:t xml:space="preserve"> actions constitute ministerial acts, this Court finds that the Officer </w:t>
      </w:r>
      <w:proofErr w:type="gramStart"/>
      <w:r w:rsidRPr="00700CC5">
        <w:rPr>
          <w:rFonts w:ascii="Times New Roman" w:hAnsi="Times New Roman"/>
          <w:sz w:val="24"/>
          <w:szCs w:val="24"/>
        </w:rPr>
        <w:t>Defendants</w:t>
      </w:r>
      <w:proofErr w:type="gramEnd"/>
      <w:r w:rsidRPr="00700CC5">
        <w:rPr>
          <w:rFonts w:ascii="Times New Roman" w:hAnsi="Times New Roman"/>
          <w:sz w:val="24"/>
          <w:szCs w:val="24"/>
        </w:rPr>
        <w:t xml:space="preserve"> actions as alleged are clearly discretionary. The Officer Defendants exercised </w:t>
      </w:r>
      <w:r>
        <w:rPr>
          <w:rFonts w:ascii="Times New Roman" w:hAnsi="Times New Roman"/>
          <w:sz w:val="24"/>
          <w:szCs w:val="24"/>
        </w:rPr>
        <w:t>‘</w:t>
      </w:r>
      <w:r w:rsidRPr="00700CC5">
        <w:rPr>
          <w:rFonts w:ascii="Times New Roman" w:hAnsi="Times New Roman"/>
          <w:sz w:val="24"/>
          <w:szCs w:val="24"/>
        </w:rPr>
        <w:t>judgment in the absence of a hard and fast rule</w:t>
      </w:r>
      <w:r>
        <w:rPr>
          <w:rFonts w:ascii="Times New Roman" w:hAnsi="Times New Roman"/>
          <w:sz w:val="24"/>
          <w:szCs w:val="24"/>
        </w:rPr>
        <w:t>’</w:t>
      </w:r>
      <w:r w:rsidRPr="00700CC5">
        <w:rPr>
          <w:rFonts w:ascii="Times New Roman" w:hAnsi="Times New Roman"/>
          <w:sz w:val="24"/>
          <w:szCs w:val="24"/>
        </w:rPr>
        <w:t xml:space="preserve"> in supervising, implementing, and responding to the events that unfolded at the SWAT aquatic training exercise</w:t>
      </w:r>
      <w:r>
        <w:rPr>
          <w:rFonts w:ascii="Times New Roman" w:hAnsi="Times New Roman"/>
          <w:sz w:val="24"/>
          <w:szCs w:val="24"/>
        </w:rPr>
        <w:t xml:space="preserve">…. </w:t>
      </w:r>
      <w:r w:rsidRPr="00700CC5">
        <w:rPr>
          <w:rFonts w:ascii="Times New Roman" w:hAnsi="Times New Roman"/>
          <w:sz w:val="24"/>
          <w:szCs w:val="24"/>
        </w:rPr>
        <w:t>Accordingly, the Court agrees with the Officer Defendants that they are immune from liability for state common law torts</w:t>
      </w:r>
      <w:r>
        <w:rPr>
          <w:rFonts w:ascii="Times New Roman" w:hAnsi="Times New Roman"/>
          <w:sz w:val="24"/>
          <w:szCs w:val="24"/>
        </w:rPr>
        <w:t xml:space="preserve">.” </w:t>
      </w:r>
      <w:bookmarkStart w:id="451" w:name="_Hlk66949432"/>
      <w:r w:rsidR="00F00958">
        <w:fldChar w:fldCharType="begin"/>
      </w:r>
      <w:r w:rsidR="00F00958">
        <w:instrText xml:space="preserve"> HYPERLINK "https://casetext.com/case/sable-v-balt-cnty-govt" </w:instrText>
      </w:r>
      <w:r w:rsidR="00F00958">
        <w:fldChar w:fldCharType="separate"/>
      </w:r>
      <w:r w:rsidRPr="005672FA">
        <w:rPr>
          <w:rStyle w:val="Hyperlink"/>
          <w:rFonts w:ascii="Times New Roman" w:hAnsi="Times New Roman"/>
          <w:sz w:val="24"/>
          <w:szCs w:val="24"/>
        </w:rPr>
        <w:t>https://casetext.com/case/sable-v-balt-cnty-govt</w:t>
      </w:r>
      <w:r w:rsidR="00F00958">
        <w:rPr>
          <w:rStyle w:val="Hyperlink"/>
          <w:rFonts w:ascii="Times New Roman" w:hAnsi="Times New Roman"/>
          <w:sz w:val="24"/>
          <w:szCs w:val="24"/>
        </w:rPr>
        <w:fldChar w:fldCharType="end"/>
      </w:r>
      <w:r>
        <w:rPr>
          <w:rFonts w:ascii="Times New Roman" w:hAnsi="Times New Roman"/>
          <w:sz w:val="24"/>
          <w:szCs w:val="24"/>
        </w:rPr>
        <w:t xml:space="preserve">   </w:t>
      </w:r>
    </w:p>
    <w:p w14:paraId="0F7E7288" w14:textId="77777777" w:rsidR="00EB2493" w:rsidRDefault="00EB2493" w:rsidP="00EB2493">
      <w:pPr>
        <w:spacing w:before="100" w:beforeAutospacing="1" w:after="100" w:afterAutospacing="1" w:line="240" w:lineRule="auto"/>
        <w:rPr>
          <w:rFonts w:ascii="Times New Roman" w:eastAsia="Times New Roman" w:hAnsi="Times New Roman"/>
          <w:b/>
          <w:bCs/>
          <w:sz w:val="24"/>
          <w:szCs w:val="24"/>
        </w:rPr>
      </w:pPr>
      <w:r w:rsidRPr="00D821D6">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The U.S. Supreme Court’s “shock the conscious” standard for Federal constitutional claims has greatly limited plaintiffs’ attempts to shirt the qualified immunity defense in state courts.</w:t>
      </w:r>
    </w:p>
    <w:p w14:paraId="00FC8C4C" w14:textId="77777777" w:rsidR="00EB2493" w:rsidRDefault="00EB2493" w:rsidP="00EB2493">
      <w:pPr>
        <w:spacing w:before="100" w:beforeAutospacing="1" w:after="100" w:afterAutospacing="1" w:line="240" w:lineRule="auto"/>
        <w:ind w:left="720"/>
        <w:rPr>
          <w:rFonts w:ascii="Times New Roman" w:hAnsi="Times New Roman"/>
          <w:b/>
          <w:bCs/>
          <w:sz w:val="24"/>
          <w:szCs w:val="24"/>
        </w:rPr>
      </w:pPr>
      <w:r w:rsidRPr="003A213C">
        <w:rPr>
          <w:rFonts w:ascii="Times New Roman" w:eastAsia="Times New Roman" w:hAnsi="Times New Roman"/>
          <w:sz w:val="24"/>
          <w:szCs w:val="24"/>
        </w:rPr>
        <w:t xml:space="preserve">Note: Other Federal cases involving training deaths have similarly applied the “shock the conscious” standard. </w:t>
      </w:r>
      <w:r>
        <w:rPr>
          <w:rFonts w:ascii="Times New Roman" w:eastAsia="Times New Roman" w:hAnsi="Times New Roman"/>
          <w:sz w:val="24"/>
          <w:szCs w:val="24"/>
        </w:rPr>
        <w:t xml:space="preserve"> See </w:t>
      </w:r>
      <w:r w:rsidRPr="00784B7D">
        <w:rPr>
          <w:rFonts w:ascii="Times New Roman" w:hAnsi="Times New Roman"/>
          <w:i/>
          <w:iCs/>
          <w:sz w:val="24"/>
          <w:szCs w:val="24"/>
        </w:rPr>
        <w:t>Waybright v. Frederick County</w:t>
      </w:r>
      <w:r w:rsidRPr="003A213C">
        <w:rPr>
          <w:rFonts w:ascii="Times New Roman" w:hAnsi="Times New Roman"/>
          <w:sz w:val="24"/>
          <w:szCs w:val="24"/>
        </w:rPr>
        <w:t>, 528 F.3</w:t>
      </w:r>
      <w:r w:rsidRPr="003A213C">
        <w:rPr>
          <w:rFonts w:ascii="Times New Roman" w:hAnsi="Times New Roman"/>
          <w:sz w:val="24"/>
          <w:szCs w:val="24"/>
          <w:vertAlign w:val="superscript"/>
        </w:rPr>
        <w:t>rd</w:t>
      </w:r>
      <w:r w:rsidRPr="003A213C">
        <w:rPr>
          <w:rFonts w:ascii="Times New Roman" w:hAnsi="Times New Roman"/>
          <w:sz w:val="24"/>
          <w:szCs w:val="24"/>
        </w:rPr>
        <w:t xml:space="preserve"> 199 (4th Cir. 2008), </w:t>
      </w:r>
      <w:hyperlink r:id="rId2267" w:history="1">
        <w:r w:rsidRPr="00784B7D">
          <w:rPr>
            <w:rStyle w:val="Hyperlink"/>
            <w:rFonts w:ascii="Times New Roman" w:hAnsi="Times New Roman"/>
            <w:sz w:val="24"/>
            <w:szCs w:val="24"/>
          </w:rPr>
          <w:t>https://casetext.com/case/waybright-v-frederick-county-2</w:t>
        </w:r>
      </w:hyperlink>
      <w:r w:rsidRPr="00784B7D">
        <w:rPr>
          <w:rFonts w:ascii="Times New Roman" w:hAnsi="Times New Roman"/>
          <w:sz w:val="24"/>
          <w:szCs w:val="24"/>
        </w:rPr>
        <w:t xml:space="preserve"> ,</w:t>
      </w:r>
      <w:r>
        <w:rPr>
          <w:rFonts w:ascii="Times New Roman" w:hAnsi="Times New Roman"/>
          <w:b/>
          <w:bCs/>
          <w:sz w:val="24"/>
          <w:szCs w:val="24"/>
        </w:rPr>
        <w:t xml:space="preserve"> </w:t>
      </w:r>
      <w:r w:rsidRPr="003A213C">
        <w:rPr>
          <w:rFonts w:ascii="Times New Roman" w:hAnsi="Times New Roman"/>
          <w:sz w:val="24"/>
          <w:szCs w:val="24"/>
        </w:rPr>
        <w:t>where recruit died in training on very hot day</w:t>
      </w:r>
      <w:r>
        <w:rPr>
          <w:rFonts w:ascii="Times New Roman" w:hAnsi="Times New Roman"/>
          <w:sz w:val="24"/>
          <w:szCs w:val="24"/>
        </w:rPr>
        <w:t xml:space="preserve"> and call to 911 was delayed. </w:t>
      </w:r>
      <w:r w:rsidRPr="003A213C">
        <w:rPr>
          <w:rFonts w:ascii="Times New Roman" w:hAnsi="Times New Roman"/>
          <w:sz w:val="24"/>
          <w:szCs w:val="24"/>
        </w:rPr>
        <w:t xml:space="preserve"> </w:t>
      </w:r>
      <w:r>
        <w:rPr>
          <w:rFonts w:ascii="Times New Roman" w:hAnsi="Times New Roman"/>
          <w:b/>
          <w:bCs/>
          <w:sz w:val="24"/>
          <w:szCs w:val="24"/>
        </w:rPr>
        <w:t>“</w:t>
      </w:r>
      <w:r w:rsidRPr="00FA2431">
        <w:rPr>
          <w:rFonts w:ascii="Times New Roman" w:hAnsi="Times New Roman"/>
          <w:sz w:val="24"/>
          <w:szCs w:val="24"/>
        </w:rPr>
        <w:t>This conduct is a far cry from shocking the conscience. It was, rather, as the Board of Inquiry concluded, an under-</w:t>
      </w:r>
      <w:proofErr w:type="gramStart"/>
      <w:r w:rsidRPr="00FA2431">
        <w:rPr>
          <w:rFonts w:ascii="Times New Roman" w:hAnsi="Times New Roman"/>
          <w:sz w:val="24"/>
          <w:szCs w:val="24"/>
        </w:rPr>
        <w:t>reaction —</w:t>
      </w:r>
      <w:proofErr w:type="gramEnd"/>
      <w:r w:rsidRPr="00FA2431">
        <w:rPr>
          <w:rFonts w:ascii="Times New Roman" w:hAnsi="Times New Roman"/>
          <w:sz w:val="24"/>
          <w:szCs w:val="24"/>
        </w:rPr>
        <w:t xml:space="preserve"> that is, a misjudgment. Whether it was a negligent misjudgment is not for us to say, but misjudgments such as these are "categorically beneath the threshold of constitutional due process." </w:t>
      </w:r>
      <w:r w:rsidRPr="00FA2431">
        <w:rPr>
          <w:rFonts w:ascii="Times New Roman" w:hAnsi="Times New Roman"/>
          <w:i/>
          <w:iCs/>
          <w:sz w:val="24"/>
          <w:szCs w:val="24"/>
        </w:rPr>
        <w:t>County of Sacramento</w:t>
      </w:r>
      <w:r>
        <w:rPr>
          <w:rFonts w:ascii="Times New Roman" w:hAnsi="Times New Roman"/>
          <w:i/>
          <w:iCs/>
          <w:sz w:val="24"/>
          <w:szCs w:val="24"/>
        </w:rPr>
        <w:t xml:space="preserve"> [v. Lewis]</w:t>
      </w:r>
      <w:r w:rsidRPr="00FA2431">
        <w:rPr>
          <w:rFonts w:ascii="Times New Roman" w:hAnsi="Times New Roman"/>
          <w:sz w:val="24"/>
          <w:szCs w:val="24"/>
        </w:rPr>
        <w:t xml:space="preserve">, </w:t>
      </w:r>
      <w:hyperlink r:id="rId2268" w:anchor="p849" w:history="1">
        <w:r w:rsidRPr="00FA2431">
          <w:rPr>
            <w:rStyle w:val="Hyperlink"/>
            <w:rFonts w:ascii="Times New Roman" w:hAnsi="Times New Roman"/>
            <w:sz w:val="24"/>
            <w:szCs w:val="24"/>
          </w:rPr>
          <w:t>523 U.S. at 849</w:t>
        </w:r>
      </w:hyperlink>
      <w:r w:rsidRPr="00FA2431">
        <w:rPr>
          <w:rFonts w:ascii="Times New Roman" w:hAnsi="Times New Roman"/>
          <w:sz w:val="24"/>
          <w:szCs w:val="24"/>
        </w:rPr>
        <w:t xml:space="preserve">, </w:t>
      </w:r>
      <w:hyperlink r:id="rId2269" w:history="1">
        <w:r w:rsidRPr="00FA2431">
          <w:rPr>
            <w:rStyle w:val="Hyperlink"/>
            <w:rFonts w:ascii="Times New Roman" w:hAnsi="Times New Roman"/>
            <w:sz w:val="24"/>
            <w:szCs w:val="24"/>
          </w:rPr>
          <w:t xml:space="preserve">118 </w:t>
        </w:r>
        <w:proofErr w:type="spellStart"/>
        <w:r w:rsidRPr="00FA2431">
          <w:rPr>
            <w:rStyle w:val="Hyperlink"/>
            <w:rFonts w:ascii="Times New Roman" w:hAnsi="Times New Roman"/>
            <w:sz w:val="24"/>
            <w:szCs w:val="24"/>
          </w:rPr>
          <w:t>S.Ct</w:t>
        </w:r>
        <w:proofErr w:type="spellEnd"/>
        <w:r w:rsidRPr="00FA2431">
          <w:rPr>
            <w:rStyle w:val="Hyperlink"/>
            <w:rFonts w:ascii="Times New Roman" w:hAnsi="Times New Roman"/>
            <w:sz w:val="24"/>
            <w:szCs w:val="24"/>
          </w:rPr>
          <w:t>. 1708</w:t>
        </w:r>
      </w:hyperlink>
      <w:r w:rsidRPr="00FA2431">
        <w:rPr>
          <w:rFonts w:ascii="Times New Roman" w:hAnsi="Times New Roman"/>
          <w:sz w:val="24"/>
          <w:szCs w:val="24"/>
        </w:rPr>
        <w:t>.</w:t>
      </w:r>
      <w:r>
        <w:rPr>
          <w:rFonts w:ascii="Times New Roman" w:hAnsi="Times New Roman"/>
          <w:sz w:val="24"/>
          <w:szCs w:val="24"/>
        </w:rPr>
        <w:t xml:space="preserve"> </w:t>
      </w:r>
    </w:p>
    <w:p w14:paraId="739EFE9F" w14:textId="77777777" w:rsidR="00EB2493" w:rsidRPr="00784B7D" w:rsidRDefault="00EB2493" w:rsidP="00EB2493">
      <w:pPr>
        <w:spacing w:before="100" w:beforeAutospacing="1" w:after="100" w:afterAutospacing="1" w:line="240" w:lineRule="auto"/>
        <w:ind w:left="720"/>
        <w:rPr>
          <w:rFonts w:ascii="Times New Roman" w:hAnsi="Times New Roman"/>
          <w:sz w:val="24"/>
          <w:szCs w:val="24"/>
        </w:rPr>
      </w:pPr>
      <w:r w:rsidRPr="006D1C6E">
        <w:rPr>
          <w:rFonts w:ascii="Times New Roman" w:eastAsia="Times New Roman" w:hAnsi="Times New Roman"/>
          <w:sz w:val="24"/>
          <w:szCs w:val="24"/>
        </w:rPr>
        <w:t xml:space="preserve">See also </w:t>
      </w:r>
      <w:r>
        <w:rPr>
          <w:rFonts w:ascii="Times New Roman" w:eastAsia="Times New Roman" w:hAnsi="Times New Roman"/>
          <w:sz w:val="24"/>
          <w:szCs w:val="24"/>
        </w:rPr>
        <w:t xml:space="preserve">training </w:t>
      </w:r>
      <w:r w:rsidRPr="006D1C6E">
        <w:rPr>
          <w:rFonts w:ascii="Times New Roman" w:eastAsia="Times New Roman" w:hAnsi="Times New Roman"/>
          <w:sz w:val="24"/>
          <w:szCs w:val="24"/>
        </w:rPr>
        <w:t xml:space="preserve">death of Baltimore recruit </w:t>
      </w:r>
      <w:r>
        <w:rPr>
          <w:rFonts w:ascii="Times New Roman" w:eastAsia="Times New Roman" w:hAnsi="Times New Roman"/>
          <w:sz w:val="24"/>
          <w:szCs w:val="24"/>
        </w:rPr>
        <w:t xml:space="preserve">Racheal Wilson </w:t>
      </w:r>
      <w:r w:rsidRPr="006D1C6E">
        <w:rPr>
          <w:rFonts w:ascii="Times New Roman" w:eastAsia="Times New Roman" w:hAnsi="Times New Roman"/>
          <w:sz w:val="24"/>
          <w:szCs w:val="24"/>
        </w:rPr>
        <w:t xml:space="preserve">in a townhouse live burn: </w:t>
      </w:r>
      <w:r w:rsidRPr="006D1C6E">
        <w:rPr>
          <w:rFonts w:ascii="Times New Roman" w:eastAsia="Times New Roman" w:hAnsi="Times New Roman"/>
          <w:sz w:val="24"/>
          <w:szCs w:val="24"/>
          <w:u w:val="single"/>
        </w:rPr>
        <w:t>Virginia Dean Slaughter v. City of Baltimore</w:t>
      </w:r>
      <w:r>
        <w:rPr>
          <w:rFonts w:ascii="Times New Roman" w:eastAsia="Times New Roman" w:hAnsi="Times New Roman"/>
          <w:sz w:val="24"/>
          <w:szCs w:val="24"/>
        </w:rPr>
        <w:t xml:space="preserve"> (4</w:t>
      </w:r>
      <w:r w:rsidRPr="00784B7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2012), </w:t>
      </w:r>
      <w:hyperlink r:id="rId2270" w:history="1">
        <w:r w:rsidRPr="002A3A0C">
          <w:rPr>
            <w:rStyle w:val="Hyperlink"/>
            <w:rFonts w:ascii="Times New Roman" w:eastAsia="Times New Roman" w:hAnsi="Times New Roman"/>
            <w:sz w:val="24"/>
            <w:szCs w:val="24"/>
          </w:rPr>
          <w:t>https://caselaw.findlaw.com/us-4th-circuit/1602456.html</w:t>
        </w:r>
      </w:hyperlink>
      <w:r>
        <w:rPr>
          <w:rFonts w:ascii="Times New Roman" w:eastAsia="Times New Roman" w:hAnsi="Times New Roman"/>
          <w:sz w:val="24"/>
          <w:szCs w:val="24"/>
        </w:rPr>
        <w:t xml:space="preserve">. </w:t>
      </w:r>
      <w:r w:rsidRPr="00784B7D">
        <w:rPr>
          <w:rFonts w:ascii="Times New Roman" w:eastAsia="Times New Roman" w:hAnsi="Times New Roman"/>
          <w:sz w:val="24"/>
          <w:szCs w:val="24"/>
        </w:rPr>
        <w:t>“</w:t>
      </w:r>
      <w:r w:rsidRPr="00784B7D">
        <w:rPr>
          <w:rFonts w:ascii="Times New Roman" w:hAnsi="Times New Roman"/>
          <w:sz w:val="24"/>
          <w:szCs w:val="24"/>
        </w:rPr>
        <w:t xml:space="preserve">The facts alleged in this case reveal a sad story that might well support state tort claims or other state law claims. </w:t>
      </w:r>
      <w:r w:rsidRPr="00784B7D">
        <w:rPr>
          <w:rFonts w:ascii="Times New Roman" w:hAnsi="Times New Roman"/>
          <w:sz w:val="24"/>
          <w:szCs w:val="24"/>
        </w:rPr>
        <w:t> </w:t>
      </w:r>
      <w:r w:rsidRPr="00784B7D">
        <w:rPr>
          <w:rFonts w:ascii="Times New Roman" w:hAnsi="Times New Roman"/>
          <w:sz w:val="24"/>
          <w:szCs w:val="24"/>
        </w:rPr>
        <w:t xml:space="preserve"> But </w:t>
      </w:r>
      <w:proofErr w:type="gramStart"/>
      <w:r w:rsidRPr="00784B7D">
        <w:rPr>
          <w:rFonts w:ascii="Times New Roman" w:hAnsi="Times New Roman"/>
          <w:sz w:val="24"/>
          <w:szCs w:val="24"/>
        </w:rPr>
        <w:t>to treat</w:t>
      </w:r>
      <w:proofErr w:type="gramEnd"/>
      <w:r w:rsidRPr="00784B7D">
        <w:rPr>
          <w:rFonts w:ascii="Times New Roman" w:hAnsi="Times New Roman"/>
          <w:sz w:val="24"/>
          <w:szCs w:val="24"/>
        </w:rPr>
        <w:t xml:space="preserve"> the Fire Department's conduct as a substantive due process violation would be to constitutionalize a state tort claim, which must only be done in the rarest of cases. </w:t>
      </w:r>
      <w:r w:rsidRPr="00784B7D">
        <w:rPr>
          <w:rFonts w:ascii="Times New Roman" w:hAnsi="Times New Roman"/>
          <w:sz w:val="24"/>
          <w:szCs w:val="24"/>
        </w:rPr>
        <w:t> </w:t>
      </w:r>
      <w:r w:rsidRPr="00784B7D">
        <w:rPr>
          <w:rFonts w:ascii="Times New Roman" w:hAnsi="Times New Roman"/>
          <w:sz w:val="24"/>
          <w:szCs w:val="24"/>
        </w:rPr>
        <w:t xml:space="preserve"> As we observed in </w:t>
      </w:r>
      <w:proofErr w:type="gramStart"/>
      <w:r w:rsidRPr="00784B7D">
        <w:rPr>
          <w:rFonts w:ascii="Times New Roman" w:hAnsi="Times New Roman"/>
          <w:i/>
          <w:iCs/>
          <w:sz w:val="24"/>
          <w:szCs w:val="24"/>
        </w:rPr>
        <w:t>Waybright</w:t>
      </w:r>
      <w:r w:rsidRPr="00784B7D">
        <w:rPr>
          <w:rFonts w:ascii="Times New Roman" w:hAnsi="Times New Roman"/>
          <w:sz w:val="24"/>
          <w:szCs w:val="24"/>
        </w:rPr>
        <w:t xml:space="preserve">, </w:t>
      </w:r>
      <w:r>
        <w:rPr>
          <w:rFonts w:ascii="Times New Roman" w:hAnsi="Times New Roman"/>
          <w:sz w:val="24"/>
          <w:szCs w:val="24"/>
        </w:rPr>
        <w:t>‘</w:t>
      </w:r>
      <w:proofErr w:type="gramEnd"/>
      <w:r w:rsidRPr="00784B7D">
        <w:rPr>
          <w:rFonts w:ascii="Times New Roman" w:hAnsi="Times New Roman"/>
          <w:sz w:val="24"/>
          <w:szCs w:val="24"/>
        </w:rPr>
        <w:t xml:space="preserve">where a claim sounds both in state tort law and substantive due process, state tort law is the rule and due process </w:t>
      </w:r>
      <w:proofErr w:type="gramStart"/>
      <w:r w:rsidRPr="00784B7D">
        <w:rPr>
          <w:rFonts w:ascii="Times New Roman" w:hAnsi="Times New Roman"/>
          <w:sz w:val="24"/>
          <w:szCs w:val="24"/>
        </w:rPr>
        <w:t>the</w:t>
      </w:r>
      <w:proofErr w:type="gramEnd"/>
      <w:r w:rsidRPr="00784B7D">
        <w:rPr>
          <w:rFonts w:ascii="Times New Roman" w:hAnsi="Times New Roman"/>
          <w:sz w:val="24"/>
          <w:szCs w:val="24"/>
        </w:rPr>
        <w:t xml:space="preserve"> distinct exception.</w:t>
      </w:r>
      <w:r>
        <w:rPr>
          <w:rFonts w:ascii="Times New Roman" w:hAnsi="Times New Roman"/>
          <w:sz w:val="24"/>
          <w:szCs w:val="24"/>
        </w:rPr>
        <w:t>’</w:t>
      </w:r>
      <w:r w:rsidRPr="00784B7D">
        <w:rPr>
          <w:rFonts w:ascii="Times New Roman" w:hAnsi="Times New Roman"/>
          <w:sz w:val="24"/>
          <w:szCs w:val="24"/>
        </w:rPr>
        <w:t xml:space="preserve"> </w:t>
      </w:r>
      <w:r w:rsidRPr="00784B7D">
        <w:rPr>
          <w:rFonts w:ascii="Times New Roman" w:hAnsi="Times New Roman"/>
          <w:sz w:val="24"/>
          <w:szCs w:val="24"/>
        </w:rPr>
        <w:t> </w:t>
      </w:r>
      <w:r w:rsidRPr="00784B7D">
        <w:rPr>
          <w:rFonts w:ascii="Times New Roman" w:hAnsi="Times New Roman"/>
          <w:sz w:val="24"/>
          <w:szCs w:val="24"/>
        </w:rPr>
        <w:t>528 F.3d at 205.</w:t>
      </w:r>
      <w:r>
        <w:rPr>
          <w:rFonts w:ascii="Times New Roman" w:hAnsi="Times New Roman"/>
          <w:sz w:val="24"/>
          <w:szCs w:val="24"/>
        </w:rPr>
        <w:t xml:space="preserve">” </w:t>
      </w:r>
    </w:p>
    <w:p w14:paraId="359B10C0" w14:textId="77777777" w:rsidR="00EB2493" w:rsidRPr="006D1C6E" w:rsidRDefault="00EB2493" w:rsidP="00EB2493">
      <w:pPr>
        <w:pStyle w:val="Heading1"/>
        <w:ind w:left="720"/>
        <w:rPr>
          <w:b w:val="0"/>
          <w:bCs w:val="0"/>
          <w:sz w:val="24"/>
          <w:szCs w:val="24"/>
        </w:rPr>
      </w:pPr>
      <w:bookmarkStart w:id="452" w:name="_Hlk66949488"/>
      <w:bookmarkEnd w:id="451"/>
      <w:r w:rsidRPr="006D1C6E">
        <w:rPr>
          <w:b w:val="0"/>
          <w:bCs w:val="0"/>
          <w:sz w:val="24"/>
          <w:szCs w:val="24"/>
        </w:rPr>
        <w:t>See also NIOSH Fire Fighter Fatality Report F2007-09</w:t>
      </w:r>
      <w:r>
        <w:rPr>
          <w:b w:val="0"/>
          <w:bCs w:val="0"/>
          <w:sz w:val="24"/>
          <w:szCs w:val="24"/>
        </w:rPr>
        <w:t xml:space="preserve"> on death of </w:t>
      </w:r>
      <w:r w:rsidRPr="00784B7D">
        <w:rPr>
          <w:b w:val="0"/>
          <w:bCs w:val="0"/>
          <w:sz w:val="24"/>
          <w:szCs w:val="24"/>
        </w:rPr>
        <w:t>Racheal Wilson:</w:t>
      </w:r>
      <w:r w:rsidRPr="006D1C6E">
        <w:rPr>
          <w:b w:val="0"/>
          <w:bCs w:val="0"/>
          <w:sz w:val="24"/>
          <w:szCs w:val="24"/>
        </w:rPr>
        <w:t xml:space="preserve"> </w:t>
      </w:r>
      <w:r>
        <w:rPr>
          <w:b w:val="0"/>
          <w:bCs w:val="0"/>
          <w:sz w:val="24"/>
          <w:szCs w:val="24"/>
        </w:rPr>
        <w:t>“</w:t>
      </w:r>
      <w:r w:rsidRPr="006D1C6E">
        <w:rPr>
          <w:b w:val="0"/>
          <w:bCs w:val="0"/>
          <w:sz w:val="24"/>
          <w:szCs w:val="24"/>
        </w:rPr>
        <w:t>Career Probationary Fire Fighter Dies While Participating in a Live-Fire Training Evolution at an Acquired Structure – Maryland</w:t>
      </w:r>
      <w:r>
        <w:rPr>
          <w:b w:val="0"/>
          <w:bCs w:val="0"/>
          <w:sz w:val="24"/>
          <w:szCs w:val="24"/>
        </w:rPr>
        <w:t xml:space="preserve">.” </w:t>
      </w:r>
      <w:r w:rsidRPr="006D1C6E">
        <w:rPr>
          <w:b w:val="0"/>
          <w:bCs w:val="0"/>
        </w:rPr>
        <w:t xml:space="preserve"> </w:t>
      </w:r>
      <w:hyperlink r:id="rId2271" w:history="1">
        <w:r w:rsidRPr="006D1C6E">
          <w:rPr>
            <w:rStyle w:val="Hyperlink"/>
            <w:b w:val="0"/>
            <w:bCs w:val="0"/>
            <w:sz w:val="24"/>
            <w:szCs w:val="24"/>
          </w:rPr>
          <w:t>https://www.cdc.gov/niosh/fire/reports/face200709.html</w:t>
        </w:r>
      </w:hyperlink>
      <w:bookmarkEnd w:id="452"/>
      <w:r w:rsidRPr="006D1C6E">
        <w:rPr>
          <w:b w:val="0"/>
          <w:bCs w:val="0"/>
          <w:sz w:val="24"/>
          <w:szCs w:val="24"/>
        </w:rPr>
        <w:t xml:space="preserve"> </w:t>
      </w:r>
    </w:p>
    <w:p w14:paraId="3ACB43AB" w14:textId="77777777" w:rsidR="00EB2493" w:rsidRDefault="00EB2493" w:rsidP="002B1283">
      <w:pPr>
        <w:rPr>
          <w:rFonts w:ascii="Arial Black" w:hAnsi="Arial Black"/>
          <w:b/>
          <w:bCs/>
          <w:sz w:val="28"/>
          <w:szCs w:val="28"/>
        </w:rPr>
      </w:pPr>
    </w:p>
    <w:p w14:paraId="7028E879" w14:textId="4D674C3F" w:rsidR="00EB2493" w:rsidRDefault="00EB2493" w:rsidP="002B1283">
      <w:pPr>
        <w:rPr>
          <w:rFonts w:ascii="Arial Black" w:hAnsi="Arial Black"/>
          <w:b/>
          <w:bCs/>
          <w:sz w:val="28"/>
          <w:szCs w:val="28"/>
        </w:rPr>
      </w:pPr>
      <w:r>
        <w:rPr>
          <w:rFonts w:ascii="Arial Black" w:hAnsi="Arial Black"/>
          <w:b/>
          <w:bCs/>
          <w:sz w:val="28"/>
          <w:szCs w:val="28"/>
        </w:rPr>
        <w:t>13-80</w:t>
      </w:r>
    </w:p>
    <w:p w14:paraId="7FFE0D85" w14:textId="77777777" w:rsidR="00EB2493" w:rsidRDefault="00EB2493" w:rsidP="00EB2493">
      <w:pPr>
        <w:rPr>
          <w:rFonts w:ascii="Arial Black" w:hAnsi="Arial Black"/>
          <w:sz w:val="28"/>
          <w:szCs w:val="28"/>
        </w:rPr>
      </w:pPr>
      <w:bookmarkStart w:id="453" w:name="_Hlk66949641"/>
      <w:r w:rsidRPr="00BC494E">
        <w:rPr>
          <w:rFonts w:ascii="Arial Black" w:hAnsi="Arial Black"/>
          <w:sz w:val="28"/>
          <w:szCs w:val="28"/>
        </w:rPr>
        <w:t>DE</w:t>
      </w:r>
      <w:r>
        <w:rPr>
          <w:rFonts w:ascii="Arial Black" w:hAnsi="Arial Black"/>
          <w:sz w:val="28"/>
          <w:szCs w:val="28"/>
        </w:rPr>
        <w:t xml:space="preserve">: EMT SLIP &amp; FALL IN PARKING LOT – “FIREMAN’S RULE” DOES NOT APPLY - CAN SUE PARKING LOT OWNER  </w:t>
      </w:r>
    </w:p>
    <w:p w14:paraId="5059B1EF" w14:textId="77777777" w:rsidR="00EB2493" w:rsidRDefault="00EB2493" w:rsidP="00EB2493">
      <w:pPr>
        <w:rPr>
          <w:rFonts w:ascii="Times New Roman" w:hAnsi="Times New Roman"/>
          <w:sz w:val="24"/>
          <w:szCs w:val="24"/>
        </w:rPr>
      </w:pPr>
      <w:r>
        <w:rPr>
          <w:rFonts w:ascii="Times New Roman" w:hAnsi="Times New Roman"/>
          <w:sz w:val="24"/>
          <w:szCs w:val="24"/>
        </w:rPr>
        <w:t xml:space="preserve">On Feb. 2, 2021, in </w:t>
      </w:r>
      <w:r w:rsidRPr="00BC494E">
        <w:rPr>
          <w:rFonts w:ascii="Times New Roman" w:hAnsi="Times New Roman"/>
          <w:sz w:val="24"/>
          <w:szCs w:val="24"/>
          <w:u w:val="single"/>
        </w:rPr>
        <w:t xml:space="preserve">Brandilyn Biggs v. </w:t>
      </w:r>
      <w:r w:rsidRPr="00CB5F0E">
        <w:rPr>
          <w:rFonts w:ascii="Times New Roman" w:hAnsi="Times New Roman"/>
          <w:sz w:val="24"/>
          <w:szCs w:val="24"/>
          <w:u w:val="single"/>
        </w:rPr>
        <w:t>Roberta C. Hall and B Merion II 1303 Wilmington, LLC</w:t>
      </w:r>
      <w:r w:rsidRPr="00BC494E">
        <w:rPr>
          <w:rFonts w:ascii="Times New Roman" w:hAnsi="Times New Roman"/>
          <w:sz w:val="24"/>
          <w:szCs w:val="24"/>
        </w:rPr>
        <w:t>,</w:t>
      </w:r>
      <w:r>
        <w:rPr>
          <w:rFonts w:ascii="Times New Roman" w:hAnsi="Times New Roman"/>
          <w:sz w:val="24"/>
          <w:szCs w:val="24"/>
        </w:rPr>
        <w:t xml:space="preserve"> J</w:t>
      </w:r>
      <w:r w:rsidRPr="00BC494E">
        <w:rPr>
          <w:rFonts w:ascii="Times New Roman" w:hAnsi="Times New Roman"/>
          <w:sz w:val="24"/>
          <w:szCs w:val="24"/>
        </w:rPr>
        <w:t>udge</w:t>
      </w:r>
      <w:r>
        <w:rPr>
          <w:rFonts w:ascii="Times New Roman" w:hAnsi="Times New Roman"/>
          <w:sz w:val="24"/>
          <w:szCs w:val="24"/>
        </w:rPr>
        <w:t xml:space="preserve"> Andrea L. Rocanelli, Superior Court of the State of Delaware, denied the defense motion for summary judgment, holding that the Fireman’s Rule does not apply to the EMT and she may sue parking lot owner for damages (including pain &amp; suffering).  </w:t>
      </w:r>
    </w:p>
    <w:p w14:paraId="1C0BF92A" w14:textId="77777777" w:rsidR="00EB2493" w:rsidRDefault="00EB2493" w:rsidP="00EB2493">
      <w:pPr>
        <w:ind w:left="720"/>
        <w:rPr>
          <w:rFonts w:ascii="Times New Roman" w:hAnsi="Times New Roman"/>
          <w:sz w:val="24"/>
          <w:szCs w:val="24"/>
        </w:rPr>
      </w:pPr>
      <w:r>
        <w:rPr>
          <w:rFonts w:ascii="Times New Roman" w:hAnsi="Times New Roman"/>
          <w:sz w:val="24"/>
          <w:szCs w:val="24"/>
        </w:rPr>
        <w:t>“</w:t>
      </w:r>
      <w:r w:rsidRPr="00BC494E">
        <w:rPr>
          <w:rFonts w:ascii="Times New Roman" w:hAnsi="Times New Roman"/>
          <w:sz w:val="24"/>
          <w:szCs w:val="24"/>
        </w:rPr>
        <w:t>The Firefighter's Rule shall not be extended to EMTs under the circumstances of this case. Biggs was owed the duty of reasonable care. Viewing the facts in the light most favorable to Biggs, there is a genuine issue of material fact regarding whether AB Merion was negligent in its duty to maintain the Parking Lot. Therefore, AB Merion is not entitled to summary judgment.</w:t>
      </w:r>
      <w:r>
        <w:rPr>
          <w:rFonts w:ascii="Times New Roman" w:hAnsi="Times New Roman"/>
          <w:sz w:val="24"/>
          <w:szCs w:val="24"/>
        </w:rPr>
        <w:t xml:space="preserve">” </w:t>
      </w:r>
      <w:hyperlink r:id="rId2272" w:history="1">
        <w:r w:rsidRPr="005D199E">
          <w:rPr>
            <w:rStyle w:val="Hyperlink"/>
            <w:rFonts w:ascii="Times New Roman" w:hAnsi="Times New Roman"/>
            <w:sz w:val="24"/>
            <w:szCs w:val="24"/>
          </w:rPr>
          <w:t>https://law.justia.com/cases/delaware/superior-court/2021/n17c-10-149-alr.html</w:t>
        </w:r>
      </w:hyperlink>
      <w:r>
        <w:rPr>
          <w:rFonts w:ascii="Times New Roman" w:hAnsi="Times New Roman"/>
          <w:sz w:val="24"/>
          <w:szCs w:val="24"/>
        </w:rPr>
        <w:t xml:space="preserve"> </w:t>
      </w:r>
    </w:p>
    <w:p w14:paraId="41E4EA4C" w14:textId="77777777" w:rsidR="00EB2493" w:rsidRDefault="00EB2493" w:rsidP="00EB2493">
      <w:pPr>
        <w:pStyle w:val="NormalWeb"/>
        <w:rPr>
          <w:b/>
          <w:bCs/>
        </w:rPr>
      </w:pPr>
      <w:r w:rsidRPr="003F0CA5">
        <w:rPr>
          <w:b/>
          <w:bCs/>
        </w:rPr>
        <w:t xml:space="preserve">Legal Lesson Learned:  In many states, including Ohio, the Fireman’s Rule normally would not allow fire, EMS or police to sue property </w:t>
      </w:r>
      <w:proofErr w:type="gramStart"/>
      <w:r w:rsidRPr="003F0CA5">
        <w:rPr>
          <w:b/>
          <w:bCs/>
        </w:rPr>
        <w:t>owner</w:t>
      </w:r>
      <w:proofErr w:type="gramEnd"/>
      <w:r w:rsidRPr="003F0CA5">
        <w:rPr>
          <w:b/>
          <w:bCs/>
        </w:rPr>
        <w:t xml:space="preserve"> for injuries; their sole remedy is workers comp. </w:t>
      </w:r>
    </w:p>
    <w:p w14:paraId="05FD2C32" w14:textId="77777777" w:rsidR="00EB2493" w:rsidRDefault="00EB2493" w:rsidP="00EB2493">
      <w:pPr>
        <w:pStyle w:val="NormalWeb"/>
        <w:ind w:left="720"/>
        <w:rPr>
          <w:b/>
          <w:bCs/>
        </w:rPr>
      </w:pPr>
      <w:r w:rsidRPr="003F0CA5">
        <w:t xml:space="preserve">Note: The Ohio Supreme Court in </w:t>
      </w:r>
      <w:proofErr w:type="spellStart"/>
      <w:r w:rsidRPr="003F0CA5">
        <w:rPr>
          <w:i/>
          <w:iCs/>
        </w:rPr>
        <w:t>Torchik</w:t>
      </w:r>
      <w:proofErr w:type="spellEnd"/>
      <w:r w:rsidRPr="003F0CA5">
        <w:rPr>
          <w:i/>
          <w:iCs/>
        </w:rPr>
        <w:t xml:space="preserve"> v. Boyce</w:t>
      </w:r>
      <w:r w:rsidRPr="003F0CA5">
        <w:t>, 121 Ohio St.3d 440, 2009-Ohio-1248 (March 25, 2009)</w:t>
      </w:r>
      <w:r>
        <w:t xml:space="preserve"> </w:t>
      </w:r>
      <w:r w:rsidRPr="003F0CA5">
        <w:t>did allow a deputy sheriff to sue the contractor who built the deck on a house and the steps collapsed as the deputy investigated a burglar alarm.  “Firefighters and police do not assume a special risk of injury from the work of independent contractors when the risk of being injured by the contractor’s negligence applies equally to all. It would be illogical to insulate an independent contractor from a negligence claim simply because the person injured happened to be a police officer or firefighter acting in the scope of his or her official duties.</w:t>
      </w:r>
      <w:r>
        <w:t xml:space="preserve">” </w:t>
      </w:r>
      <w:hyperlink r:id="rId2273" w:history="1">
        <w:r w:rsidRPr="002A3A0C">
          <w:rPr>
            <w:rStyle w:val="Hyperlink"/>
            <w:sz w:val="25"/>
            <w:szCs w:val="25"/>
          </w:rPr>
          <w:t>https://www.supremecourt.ohio.gov/rod/docs/pdf/0/2009/2009-Ohio-1248.pdf</w:t>
        </w:r>
      </w:hyperlink>
      <w:r>
        <w:rPr>
          <w:sz w:val="25"/>
          <w:szCs w:val="25"/>
        </w:rPr>
        <w:t xml:space="preserve">, </w:t>
      </w:r>
    </w:p>
    <w:p w14:paraId="5C9531AF" w14:textId="77777777" w:rsidR="00EB2493" w:rsidRDefault="00EB2493" w:rsidP="00EB2493">
      <w:pPr>
        <w:pStyle w:val="NormalWeb"/>
        <w:ind w:left="720"/>
      </w:pPr>
      <w:r w:rsidRPr="0069017C">
        <w:t xml:space="preserve">Some states have abolished the Fireman’s Rule. </w:t>
      </w:r>
      <w:r>
        <w:t xml:space="preserve">For example, see </w:t>
      </w:r>
      <w:proofErr w:type="spellStart"/>
      <w:r>
        <w:t>Florida:Section</w:t>
      </w:r>
      <w:proofErr w:type="spellEnd"/>
      <w:r>
        <w:t xml:space="preserve"> 112.182 - "Firefighter rule" abolished. </w:t>
      </w:r>
      <w:hyperlink r:id="rId2274" w:history="1">
        <w:r w:rsidRPr="005D199E">
          <w:rPr>
            <w:rStyle w:val="Hyperlink"/>
          </w:rPr>
          <w:t>https://flsenate.gov/Laws/Statutes/2011/112.182</w:t>
        </w:r>
      </w:hyperlink>
      <w:bookmarkEnd w:id="453"/>
      <w:r>
        <w:t xml:space="preserve"> </w:t>
      </w:r>
    </w:p>
    <w:p w14:paraId="629FF744" w14:textId="77777777" w:rsidR="00EB2493" w:rsidRDefault="00EB2493" w:rsidP="00EB2493">
      <w:pPr>
        <w:spacing w:after="0" w:line="240" w:lineRule="auto"/>
        <w:ind w:left="1440"/>
        <w:rPr>
          <w:rFonts w:ascii="Times New Roman" w:eastAsia="Times New Roman" w:hAnsi="Times New Roman"/>
          <w:sz w:val="24"/>
          <w:szCs w:val="24"/>
        </w:rPr>
      </w:pPr>
      <w:r w:rsidRPr="0069017C">
        <w:rPr>
          <w:rFonts w:ascii="Times New Roman" w:eastAsia="Times New Roman" w:hAnsi="Times New Roman"/>
          <w:sz w:val="24"/>
          <w:szCs w:val="24"/>
        </w:rPr>
        <w:t>(1) A firefighter or properly identified law enforcement officer who lawfully enters upon the premises of another in the discharge of his or her duty occupies the status of an invitee. The common-law rule that such a firefighter or law enforcement officer occupies the status of a licensee is hereby abolished.</w:t>
      </w:r>
      <w:r>
        <w:rPr>
          <w:rFonts w:ascii="Times New Roman" w:eastAsia="Times New Roman" w:hAnsi="Times New Roman"/>
          <w:sz w:val="24"/>
          <w:szCs w:val="24"/>
        </w:rPr>
        <w:t xml:space="preserve"> </w:t>
      </w:r>
      <w:r w:rsidRPr="0069017C">
        <w:rPr>
          <w:rFonts w:ascii="Times New Roman" w:eastAsia="Times New Roman" w:hAnsi="Times New Roman"/>
          <w:sz w:val="24"/>
          <w:szCs w:val="24"/>
        </w:rPr>
        <w:t xml:space="preserve">(2) It is not the intent of this section to increase or diminish the duty of care owed by property owners to </w:t>
      </w:r>
      <w:proofErr w:type="gramStart"/>
      <w:r w:rsidRPr="0069017C">
        <w:rPr>
          <w:rFonts w:ascii="Times New Roman" w:eastAsia="Times New Roman" w:hAnsi="Times New Roman"/>
          <w:sz w:val="24"/>
          <w:szCs w:val="24"/>
        </w:rPr>
        <w:t>invitees</w:t>
      </w:r>
      <w:proofErr w:type="gramEnd"/>
      <w:r w:rsidRPr="0069017C">
        <w:rPr>
          <w:rFonts w:ascii="Times New Roman" w:eastAsia="Times New Roman" w:hAnsi="Times New Roman"/>
          <w:sz w:val="24"/>
          <w:szCs w:val="24"/>
        </w:rPr>
        <w:t>. Property owners shall be liable to invitees pursuant to this section only when the property owner negligently fails to maintain the premises in a reasonably safe condition or negligently fails to correct a dangerous condition of which the property owner either knew or should have known by the use of reasonable care or negligently fails to warn the invitee of a dangerous condition about which the property owner had, or should have had, knowledge greater than that of the invitee.</w:t>
      </w:r>
      <w:r>
        <w:rPr>
          <w:rFonts w:ascii="Times New Roman" w:eastAsia="Times New Roman" w:hAnsi="Times New Roman"/>
          <w:sz w:val="24"/>
          <w:szCs w:val="24"/>
        </w:rPr>
        <w:t xml:space="preserve"> </w:t>
      </w:r>
      <w:r w:rsidRPr="0069017C">
        <w:rPr>
          <w:rFonts w:ascii="Times New Roman" w:eastAsia="Times New Roman" w:hAnsi="Times New Roman"/>
          <w:sz w:val="24"/>
          <w:szCs w:val="24"/>
        </w:rPr>
        <w:t>Fla. Stat. § 112.182</w:t>
      </w:r>
    </w:p>
    <w:p w14:paraId="2DDDCCBD" w14:textId="77777777" w:rsidR="00EB2493" w:rsidRDefault="00EB2493" w:rsidP="00EB2493">
      <w:pPr>
        <w:spacing w:before="100" w:beforeAutospacing="1" w:after="100" w:afterAutospacing="1" w:line="240" w:lineRule="auto"/>
        <w:ind w:left="720"/>
      </w:pPr>
      <w:r>
        <w:rPr>
          <w:rFonts w:ascii="Times New Roman" w:eastAsia="Times New Roman" w:hAnsi="Times New Roman"/>
          <w:sz w:val="24"/>
          <w:szCs w:val="24"/>
        </w:rPr>
        <w:t xml:space="preserve">Some states, like New York, have modified the Fireman’s Rule to allow lawsuits for violations of building and fire codes.  See summary of law enforcement cases:  </w:t>
      </w:r>
      <w:hyperlink r:id="rId2275" w:history="1">
        <w:r w:rsidRPr="002A3A0C">
          <w:rPr>
            <w:rStyle w:val="Hyperlink"/>
            <w:rFonts w:ascii="Times New Roman" w:eastAsia="Times New Roman" w:hAnsi="Times New Roman"/>
            <w:sz w:val="24"/>
            <w:szCs w:val="24"/>
          </w:rPr>
          <w:t>https://www.aele.org/law/Digests/civil168b.html</w:t>
        </w:r>
      </w:hyperlink>
      <w:r>
        <w:rPr>
          <w:rFonts w:ascii="Times New Roman" w:eastAsia="Times New Roman" w:hAnsi="Times New Roman"/>
          <w:sz w:val="24"/>
          <w:szCs w:val="24"/>
        </w:rPr>
        <w:t xml:space="preserve"> </w:t>
      </w:r>
    </w:p>
    <w:p w14:paraId="0EE4F0FF" w14:textId="77777777" w:rsidR="00EB2493" w:rsidRDefault="00EB2493" w:rsidP="002B1283">
      <w:pPr>
        <w:rPr>
          <w:rFonts w:ascii="Arial Black" w:hAnsi="Arial Black"/>
          <w:b/>
          <w:bCs/>
          <w:sz w:val="28"/>
          <w:szCs w:val="28"/>
        </w:rPr>
      </w:pPr>
    </w:p>
    <w:p w14:paraId="4E7F4C35" w14:textId="77777777" w:rsidR="00EB2493" w:rsidRDefault="00EB2493" w:rsidP="002B1283">
      <w:pPr>
        <w:rPr>
          <w:rFonts w:ascii="Arial Black" w:hAnsi="Arial Black"/>
          <w:b/>
          <w:bCs/>
          <w:sz w:val="28"/>
          <w:szCs w:val="28"/>
        </w:rPr>
      </w:pPr>
    </w:p>
    <w:p w14:paraId="269A948E" w14:textId="49C610CC" w:rsidR="00AD5461" w:rsidRDefault="00AD5461" w:rsidP="002B1283">
      <w:pPr>
        <w:rPr>
          <w:rFonts w:ascii="Arial Black" w:hAnsi="Arial Black"/>
          <w:b/>
          <w:bCs/>
          <w:sz w:val="28"/>
          <w:szCs w:val="28"/>
        </w:rPr>
      </w:pPr>
      <w:r>
        <w:rPr>
          <w:rFonts w:ascii="Arial Black" w:hAnsi="Arial Black"/>
          <w:b/>
          <w:bCs/>
          <w:sz w:val="28"/>
          <w:szCs w:val="28"/>
        </w:rPr>
        <w:t>13-79</w:t>
      </w:r>
    </w:p>
    <w:p w14:paraId="73E9E960" w14:textId="77777777" w:rsidR="00AD5461" w:rsidRPr="00AA5E13" w:rsidRDefault="00AD5461" w:rsidP="00AD5461">
      <w:pPr>
        <w:rPr>
          <w:rFonts w:ascii="Arial Black" w:hAnsi="Arial Black"/>
          <w:b/>
          <w:bCs/>
          <w:sz w:val="28"/>
          <w:szCs w:val="28"/>
        </w:rPr>
      </w:pPr>
      <w:r>
        <w:rPr>
          <w:rFonts w:ascii="Arial Black" w:hAnsi="Arial Black"/>
          <w:b/>
          <w:bCs/>
          <w:sz w:val="28"/>
          <w:szCs w:val="28"/>
        </w:rPr>
        <w:t xml:space="preserve">CO:  EMS USED KETAMINE - 500 MILLIGRAMS – POLICE PRISONER WHO DIED – LAWSUIT PROCEED – GRAND JURY </w:t>
      </w:r>
    </w:p>
    <w:p w14:paraId="6FAB0EAB" w14:textId="77777777" w:rsidR="00AD5461" w:rsidRDefault="00AD5461" w:rsidP="00AD5461">
      <w:pPr>
        <w:rPr>
          <w:rFonts w:ascii="Times New Roman" w:hAnsi="Times New Roman"/>
          <w:sz w:val="24"/>
          <w:szCs w:val="24"/>
        </w:rPr>
      </w:pPr>
      <w:r w:rsidRPr="00416A48">
        <w:rPr>
          <w:rFonts w:ascii="Times New Roman" w:hAnsi="Times New Roman"/>
          <w:sz w:val="24"/>
          <w:szCs w:val="24"/>
        </w:rPr>
        <w:t xml:space="preserve">On Jan. 29, 2021, </w:t>
      </w:r>
      <w:r>
        <w:rPr>
          <w:rFonts w:ascii="Times New Roman" w:hAnsi="Times New Roman"/>
          <w:sz w:val="24"/>
          <w:szCs w:val="24"/>
        </w:rPr>
        <w:t xml:space="preserve">in </w:t>
      </w:r>
      <w:r w:rsidRPr="00416A48">
        <w:rPr>
          <w:rFonts w:ascii="Times New Roman" w:hAnsi="Times New Roman"/>
          <w:sz w:val="24"/>
          <w:szCs w:val="24"/>
          <w:u w:val="single"/>
        </w:rPr>
        <w:t>Estate of Elijah Javon McClain v. City of Aurora, Colorado</w:t>
      </w:r>
      <w:r>
        <w:rPr>
          <w:rFonts w:ascii="Times New Roman" w:hAnsi="Times New Roman"/>
          <w:sz w:val="24"/>
          <w:szCs w:val="24"/>
        </w:rPr>
        <w:t xml:space="preserve">, U.S. Magistrate Judge N. Reid </w:t>
      </w:r>
      <w:proofErr w:type="spellStart"/>
      <w:r>
        <w:rPr>
          <w:rFonts w:ascii="Times New Roman" w:hAnsi="Times New Roman"/>
          <w:sz w:val="24"/>
          <w:szCs w:val="24"/>
        </w:rPr>
        <w:t>Neureiter</w:t>
      </w:r>
      <w:proofErr w:type="spellEnd"/>
      <w:r>
        <w:rPr>
          <w:rFonts w:ascii="Times New Roman" w:hAnsi="Times New Roman"/>
          <w:sz w:val="24"/>
          <w:szCs w:val="24"/>
        </w:rPr>
        <w:t xml:space="preserve"> denied the defense motion to delay discovery in this civil lawsuit, even though the State Attorney General has publicly announced that he will be presenting evidence to a grand jury regarding possible criminal misconduct of police and EMS involving the death of 23-year old Elijah McClain during an arrest walking home from convenience store, and put into a choke hold.  The Colorado Department of Public Health and Environment has also publicly confirmed they are examining the conduct of the EMS. </w:t>
      </w:r>
    </w:p>
    <w:p w14:paraId="4BD4DF98" w14:textId="19547758" w:rsidR="00AD5461" w:rsidRPr="000410C9" w:rsidRDefault="00AD5461" w:rsidP="00AD5461">
      <w:pPr>
        <w:ind w:left="720"/>
        <w:rPr>
          <w:rFonts w:ascii="Times New Roman" w:hAnsi="Times New Roman"/>
          <w:sz w:val="24"/>
          <w:szCs w:val="24"/>
        </w:rPr>
      </w:pPr>
      <w:r>
        <w:rPr>
          <w:rFonts w:ascii="Times New Roman" w:hAnsi="Times New Roman"/>
          <w:sz w:val="24"/>
          <w:szCs w:val="24"/>
        </w:rPr>
        <w:t>“</w:t>
      </w:r>
      <w:r w:rsidRPr="000410C9">
        <w:rPr>
          <w:rFonts w:ascii="Times New Roman" w:hAnsi="Times New Roman"/>
          <w:sz w:val="24"/>
          <w:szCs w:val="24"/>
        </w:rPr>
        <w:t xml:space="preserve">It is not in the interest of the public or in the interest of justice to </w:t>
      </w:r>
      <w:r>
        <w:rPr>
          <w:rFonts w:ascii="Times New Roman" w:hAnsi="Times New Roman"/>
          <w:sz w:val="24"/>
          <w:szCs w:val="24"/>
        </w:rPr>
        <w:t>‘</w:t>
      </w:r>
      <w:r w:rsidRPr="000410C9">
        <w:rPr>
          <w:rFonts w:ascii="Times New Roman" w:hAnsi="Times New Roman"/>
          <w:sz w:val="24"/>
          <w:szCs w:val="24"/>
        </w:rPr>
        <w:t>put on the back burner</w:t>
      </w:r>
      <w:r>
        <w:rPr>
          <w:rFonts w:ascii="Times New Roman" w:hAnsi="Times New Roman"/>
          <w:sz w:val="24"/>
          <w:szCs w:val="24"/>
        </w:rPr>
        <w:t>’</w:t>
      </w:r>
      <w:r w:rsidRPr="000410C9">
        <w:rPr>
          <w:rFonts w:ascii="Times New Roman" w:hAnsi="Times New Roman"/>
          <w:sz w:val="24"/>
          <w:szCs w:val="24"/>
        </w:rPr>
        <w:t xml:space="preserve"> discovery in a case that raises significant questions about the City of Aurora's policing and paramedic practices. It may be that there is nothing constitutionally wrong with the conduct that eventually led to Mr. McClain's death. If so, then the public will be better served by knowing that hard reality, as fairly determined by the judicial process, sooner rather than later. In short, a stay of discovery is not appropriate in this case.</w:t>
      </w:r>
      <w:r>
        <w:rPr>
          <w:rFonts w:ascii="Times New Roman" w:hAnsi="Times New Roman"/>
          <w:sz w:val="24"/>
          <w:szCs w:val="24"/>
        </w:rPr>
        <w:t xml:space="preserve">” </w:t>
      </w:r>
      <w:hyperlink r:id="rId2276" w:history="1">
        <w:r w:rsidRPr="002D36F9">
          <w:rPr>
            <w:rStyle w:val="Hyperlink"/>
            <w:rFonts w:ascii="Times New Roman" w:hAnsi="Times New Roman"/>
            <w:sz w:val="24"/>
            <w:szCs w:val="24"/>
          </w:rPr>
          <w:t>https://public.fastcase.com/Wl%2B2t%2BeVuI35%2FN70vAMFZhZJi56QhK5aeAu9BSRcXQy3N2tA%2FHS1iSBZTTlZLCgr</w:t>
        </w:r>
      </w:hyperlink>
      <w:r>
        <w:rPr>
          <w:rFonts w:ascii="Times New Roman" w:hAnsi="Times New Roman"/>
          <w:sz w:val="24"/>
          <w:szCs w:val="24"/>
        </w:rPr>
        <w:t xml:space="preserve"> </w:t>
      </w:r>
    </w:p>
    <w:p w14:paraId="5033E1DA" w14:textId="77777777" w:rsidR="00AD5461" w:rsidRPr="000314A1" w:rsidRDefault="00AD5461" w:rsidP="00AD5461">
      <w:pPr>
        <w:pStyle w:val="Heading1"/>
        <w:tabs>
          <w:tab w:val="left" w:pos="2810"/>
        </w:tabs>
        <w:rPr>
          <w:sz w:val="24"/>
          <w:szCs w:val="24"/>
        </w:rPr>
      </w:pPr>
      <w:r w:rsidRPr="000314A1">
        <w:rPr>
          <w:sz w:val="24"/>
          <w:szCs w:val="24"/>
        </w:rPr>
        <w:t>Legal Lesson Learned</w:t>
      </w:r>
      <w:r>
        <w:rPr>
          <w:sz w:val="24"/>
          <w:szCs w:val="24"/>
        </w:rPr>
        <w:t>: Pre-trial discovery in the civil suit may now process, including depositions of police officers and EMS; these emergency responders may decide to refuse to testify under 5</w:t>
      </w:r>
      <w:r w:rsidRPr="000314A1">
        <w:rPr>
          <w:sz w:val="24"/>
          <w:szCs w:val="24"/>
          <w:vertAlign w:val="superscript"/>
        </w:rPr>
        <w:t>th</w:t>
      </w:r>
      <w:r>
        <w:rPr>
          <w:sz w:val="24"/>
          <w:szCs w:val="24"/>
        </w:rPr>
        <w:t xml:space="preserve"> Amendment protection against self-incrimination until the criminal investigation is resolved. </w:t>
      </w:r>
    </w:p>
    <w:p w14:paraId="716C53A4" w14:textId="77777777" w:rsidR="00AD5461" w:rsidRPr="000410C9" w:rsidRDefault="00AD5461" w:rsidP="00AD5461">
      <w:pPr>
        <w:pStyle w:val="Heading1"/>
        <w:ind w:left="720"/>
        <w:rPr>
          <w:b w:val="0"/>
          <w:bCs w:val="0"/>
          <w:sz w:val="24"/>
          <w:szCs w:val="24"/>
        </w:rPr>
      </w:pPr>
      <w:r>
        <w:rPr>
          <w:b w:val="0"/>
          <w:bCs w:val="0"/>
          <w:sz w:val="24"/>
          <w:szCs w:val="24"/>
        </w:rPr>
        <w:t xml:space="preserve">Note: </w:t>
      </w:r>
      <w:r w:rsidRPr="000410C9">
        <w:rPr>
          <w:b w:val="0"/>
          <w:bCs w:val="0"/>
          <w:sz w:val="24"/>
          <w:szCs w:val="24"/>
        </w:rPr>
        <w:t xml:space="preserve">Read this </w:t>
      </w:r>
      <w:r>
        <w:rPr>
          <w:b w:val="0"/>
          <w:bCs w:val="0"/>
          <w:sz w:val="24"/>
          <w:szCs w:val="24"/>
        </w:rPr>
        <w:t>entire A</w:t>
      </w:r>
      <w:r w:rsidRPr="000410C9">
        <w:rPr>
          <w:b w:val="0"/>
          <w:bCs w:val="0"/>
          <w:sz w:val="24"/>
          <w:szCs w:val="24"/>
        </w:rPr>
        <w:t xml:space="preserve">ug. 11, </w:t>
      </w:r>
      <w:proofErr w:type="gramStart"/>
      <w:r w:rsidRPr="000410C9">
        <w:rPr>
          <w:b w:val="0"/>
          <w:bCs w:val="0"/>
          <w:sz w:val="24"/>
          <w:szCs w:val="24"/>
        </w:rPr>
        <w:t>2021</w:t>
      </w:r>
      <w:proofErr w:type="gramEnd"/>
      <w:r w:rsidRPr="000410C9">
        <w:rPr>
          <w:b w:val="0"/>
          <w:bCs w:val="0"/>
          <w:sz w:val="24"/>
          <w:szCs w:val="24"/>
        </w:rPr>
        <w:t xml:space="preserve"> article: </w:t>
      </w:r>
      <w:r>
        <w:rPr>
          <w:b w:val="0"/>
          <w:bCs w:val="0"/>
          <w:sz w:val="24"/>
          <w:szCs w:val="24"/>
        </w:rPr>
        <w:t>“</w:t>
      </w:r>
      <w:r w:rsidRPr="000410C9">
        <w:rPr>
          <w:b w:val="0"/>
          <w:bCs w:val="0"/>
          <w:sz w:val="24"/>
          <w:szCs w:val="24"/>
        </w:rPr>
        <w:t>What We Know About the Killing of Elijah McClain</w:t>
      </w:r>
      <w:r>
        <w:rPr>
          <w:b w:val="0"/>
          <w:bCs w:val="0"/>
          <w:sz w:val="24"/>
          <w:szCs w:val="24"/>
        </w:rPr>
        <w:t xml:space="preserve">.” </w:t>
      </w:r>
      <w:hyperlink r:id="rId2277" w:history="1">
        <w:r w:rsidRPr="002F4AC3">
          <w:rPr>
            <w:rStyle w:val="Hyperlink"/>
            <w:b w:val="0"/>
            <w:bCs w:val="0"/>
            <w:sz w:val="24"/>
            <w:szCs w:val="24"/>
          </w:rPr>
          <w:t>https://www.thecut.com/2020/08/the-killing-of-elijah-mcclain-everything-we-know.html</w:t>
        </w:r>
      </w:hyperlink>
      <w:r>
        <w:rPr>
          <w:b w:val="0"/>
          <w:bCs w:val="0"/>
          <w:sz w:val="24"/>
          <w:szCs w:val="24"/>
        </w:rPr>
        <w:t xml:space="preserve"> </w:t>
      </w:r>
    </w:p>
    <w:p w14:paraId="578A68F8" w14:textId="77777777" w:rsidR="00AD5461" w:rsidRDefault="00AD5461" w:rsidP="002B1283">
      <w:pPr>
        <w:rPr>
          <w:rFonts w:ascii="Arial Black" w:hAnsi="Arial Black"/>
          <w:b/>
          <w:bCs/>
          <w:sz w:val="28"/>
          <w:szCs w:val="28"/>
        </w:rPr>
      </w:pPr>
    </w:p>
    <w:p w14:paraId="61142EE4" w14:textId="77777777" w:rsidR="00AD5461" w:rsidRDefault="00AD5461" w:rsidP="002B1283">
      <w:pPr>
        <w:rPr>
          <w:rFonts w:ascii="Arial Black" w:hAnsi="Arial Black"/>
          <w:b/>
          <w:bCs/>
          <w:sz w:val="28"/>
          <w:szCs w:val="28"/>
        </w:rPr>
      </w:pPr>
    </w:p>
    <w:p w14:paraId="6A206B8B" w14:textId="77777777" w:rsidR="00AD5461" w:rsidRDefault="00AD5461" w:rsidP="002B1283">
      <w:pPr>
        <w:rPr>
          <w:rFonts w:ascii="Arial Black" w:hAnsi="Arial Black"/>
          <w:b/>
          <w:bCs/>
          <w:sz w:val="28"/>
          <w:szCs w:val="28"/>
        </w:rPr>
      </w:pPr>
    </w:p>
    <w:p w14:paraId="230D1CD9" w14:textId="5E57D201" w:rsidR="00F37F48" w:rsidRDefault="00F37F48" w:rsidP="002B1283">
      <w:pPr>
        <w:rPr>
          <w:rFonts w:ascii="Arial Black" w:hAnsi="Arial Black"/>
          <w:b/>
          <w:bCs/>
          <w:sz w:val="28"/>
          <w:szCs w:val="28"/>
        </w:rPr>
      </w:pPr>
      <w:r>
        <w:rPr>
          <w:rFonts w:ascii="Arial Black" w:hAnsi="Arial Black"/>
          <w:b/>
          <w:bCs/>
          <w:sz w:val="28"/>
          <w:szCs w:val="28"/>
        </w:rPr>
        <w:t>13-78</w:t>
      </w:r>
    </w:p>
    <w:p w14:paraId="311238AD" w14:textId="77777777" w:rsidR="00F37F48" w:rsidRDefault="00F37F48" w:rsidP="00F37F48">
      <w:pPr>
        <w:rPr>
          <w:rFonts w:ascii="Arial Black" w:hAnsi="Arial Black" w:cstheme="minorBidi"/>
          <w:sz w:val="28"/>
          <w:szCs w:val="28"/>
        </w:rPr>
      </w:pPr>
      <w:r>
        <w:rPr>
          <w:rFonts w:ascii="Arial Black" w:hAnsi="Arial Black"/>
          <w:sz w:val="28"/>
          <w:szCs w:val="28"/>
        </w:rPr>
        <w:t>MA: EMS RUN REPORT DOCUMENTED VICTIM’S “EXCITED UTTERANCES” – ADMISSIBLE IN HUSBAND’S ASSAULT TRIAL</w:t>
      </w:r>
    </w:p>
    <w:p w14:paraId="2315244F"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31, 2020, in </w:t>
      </w:r>
      <w:r>
        <w:rPr>
          <w:rFonts w:ascii="Times New Roman" w:eastAsia="Times New Roman" w:hAnsi="Times New Roman"/>
          <w:sz w:val="24"/>
          <w:szCs w:val="24"/>
          <w:u w:val="single"/>
        </w:rPr>
        <w:t>Commonwealth v. Chayanne Toledo</w:t>
      </w:r>
      <w:r>
        <w:rPr>
          <w:rFonts w:ascii="Times New Roman" w:eastAsia="Times New Roman" w:hAnsi="Times New Roman"/>
          <w:sz w:val="24"/>
          <w:szCs w:val="24"/>
        </w:rPr>
        <w:t xml:space="preserve">, the Commonwealth of Massachusetts Appeals Court held (3 to 0) that trial judge properly allowed EMS patient care report, quoting with wife’s comments at scene, allowed in evidence as record of her “excited utterances” even though she refused to testify at trial relying on the husband-wife privilege. </w:t>
      </w:r>
    </w:p>
    <w:p w14:paraId="7D1EADE8" w14:textId="77777777" w:rsidR="00F37F48" w:rsidRDefault="00F37F48" w:rsidP="00F37F48">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“First, in light of the evidence that Sally was crying, agitated, and in pain when she spoke with the EMTs, the judge’s ruling that her statements during the examination qualified as excited utterances was not an abuse of discretion.” </w:t>
      </w:r>
      <w:hyperlink r:id="rId2278" w:history="1">
        <w:r>
          <w:rPr>
            <w:rStyle w:val="Hyperlink"/>
          </w:rPr>
          <w:t>https://public.fastcase.com/Wl%2B2t%2BeVuI35%2FN70vAMFZswpqbyXpWGBMOIhfQ%2Fu%2FM0PzW3B3UkJbasWbumeQ3Ct</w:t>
        </w:r>
      </w:hyperlink>
      <w:r>
        <w:rPr>
          <w:rFonts w:ascii="Times New Roman" w:eastAsia="Times New Roman" w:hAnsi="Times New Roman"/>
          <w:sz w:val="24"/>
          <w:szCs w:val="24"/>
        </w:rPr>
        <w:t xml:space="preserve"> </w:t>
      </w:r>
    </w:p>
    <w:p w14:paraId="5EE839E8" w14:textId="77777777" w:rsidR="00F37F48" w:rsidRDefault="00F37F48" w:rsidP="00F37F48">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Best practice to include in EMS Patient Care Report the actual words of the victim. </w:t>
      </w:r>
    </w:p>
    <w:p w14:paraId="383DAC92" w14:textId="77777777" w:rsidR="00F37F48" w:rsidRDefault="00F37F48" w:rsidP="002B1283">
      <w:pPr>
        <w:rPr>
          <w:rFonts w:ascii="Arial Black" w:hAnsi="Arial Black"/>
          <w:b/>
          <w:bCs/>
          <w:sz w:val="28"/>
          <w:szCs w:val="28"/>
        </w:rPr>
      </w:pPr>
    </w:p>
    <w:p w14:paraId="162EB13D" w14:textId="0A8708BC" w:rsidR="00F37F48" w:rsidRDefault="00F37F48" w:rsidP="002B1283">
      <w:pPr>
        <w:rPr>
          <w:rFonts w:ascii="Arial Black" w:hAnsi="Arial Black"/>
          <w:b/>
          <w:bCs/>
          <w:sz w:val="28"/>
          <w:szCs w:val="28"/>
        </w:rPr>
      </w:pPr>
      <w:r>
        <w:rPr>
          <w:rFonts w:ascii="Arial Black" w:hAnsi="Arial Black"/>
          <w:b/>
          <w:bCs/>
          <w:sz w:val="28"/>
          <w:szCs w:val="28"/>
        </w:rPr>
        <w:t>13-77</w:t>
      </w:r>
    </w:p>
    <w:p w14:paraId="701F0CFF" w14:textId="77777777" w:rsidR="00F37F48" w:rsidRDefault="00F37F48" w:rsidP="00F37F48">
      <w:pPr>
        <w:rPr>
          <w:rFonts w:ascii="Arial Black" w:eastAsia="Times New Roman" w:hAnsi="Arial Black"/>
          <w:b/>
          <w:bCs/>
          <w:sz w:val="28"/>
          <w:szCs w:val="28"/>
        </w:rPr>
      </w:pPr>
      <w:r>
        <w:rPr>
          <w:rFonts w:ascii="Arial Black" w:eastAsia="Times New Roman" w:hAnsi="Arial Black"/>
          <w:b/>
          <w:bCs/>
          <w:sz w:val="28"/>
          <w:szCs w:val="28"/>
        </w:rPr>
        <w:t>IL: ASTHMA PATIENT INTUBATED, BUT IN ESOPHAGUS –EMS FOLLOWED TRAINING ASSESSING PATIENT – CITY IMMUNITY</w:t>
      </w:r>
    </w:p>
    <w:p w14:paraId="7242892C"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28, 2020, in </w:t>
      </w:r>
      <w:r>
        <w:rPr>
          <w:rFonts w:ascii="Times New Roman" w:eastAsia="Times New Roman" w:hAnsi="Times New Roman"/>
          <w:sz w:val="24"/>
          <w:szCs w:val="24"/>
          <w:u w:val="single"/>
        </w:rPr>
        <w:t>Sally Gray, as Administrator of the Estate of Amanda Gary v. The City of Calumet City</w:t>
      </w:r>
      <w:r>
        <w:rPr>
          <w:rFonts w:ascii="Times New Roman" w:eastAsia="Times New Roman" w:hAnsi="Times New Roman"/>
          <w:b/>
          <w:bCs/>
          <w:sz w:val="24"/>
          <w:szCs w:val="24"/>
        </w:rPr>
        <w:t xml:space="preserve">, </w:t>
      </w:r>
      <w:r>
        <w:rPr>
          <w:rFonts w:ascii="Times New Roman" w:eastAsia="Times New Roman" w:hAnsi="Times New Roman"/>
          <w:sz w:val="24"/>
          <w:szCs w:val="24"/>
        </w:rPr>
        <w:t>the</w:t>
      </w:r>
      <w:r>
        <w:rPr>
          <w:rFonts w:ascii="Times New Roman" w:eastAsia="Times New Roman" w:hAnsi="Times New Roman"/>
          <w:b/>
          <w:bCs/>
          <w:sz w:val="24"/>
          <w:szCs w:val="24"/>
        </w:rPr>
        <w:t xml:space="preserve"> </w:t>
      </w:r>
      <w:r>
        <w:rPr>
          <w:rFonts w:ascii="Times New Roman" w:eastAsia="Times New Roman" w:hAnsi="Times New Roman"/>
          <w:sz w:val="24"/>
          <w:szCs w:val="24"/>
        </w:rPr>
        <w:t>Appellate Court of Illinois, First District (First Division), 2020 IL App (1</w:t>
      </w:r>
      <w:r>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191812, held (4 to 0, unreported decision) that the trial court properly granted summary judgment to the City; plaintiff argued that in assessing intubation, medics did not document O2 SAT from pulse ox, but FD training officer confirmed better methods of assessing placement of ET tube.  </w:t>
      </w:r>
    </w:p>
    <w:p w14:paraId="7D95449B" w14:textId="77777777" w:rsidR="00F37F48" w:rsidRDefault="00F37F48" w:rsidP="00F37F48">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“[D]</w:t>
      </w:r>
      <w:proofErr w:type="spellStart"/>
      <w:r>
        <w:rPr>
          <w:rFonts w:ascii="Times New Roman" w:eastAsia="Times New Roman" w:hAnsi="Times New Roman"/>
          <w:sz w:val="24"/>
          <w:szCs w:val="24"/>
        </w:rPr>
        <w:t>eputy</w:t>
      </w:r>
      <w:proofErr w:type="spellEnd"/>
      <w:r>
        <w:rPr>
          <w:rFonts w:ascii="Times New Roman" w:eastAsia="Times New Roman" w:hAnsi="Times New Roman"/>
          <w:sz w:val="24"/>
          <w:szCs w:val="24"/>
        </w:rPr>
        <w:t xml:space="preserve"> fire chief Peter Bendinelli, who </w:t>
      </w:r>
      <w:proofErr w:type="gramStart"/>
      <w:r>
        <w:rPr>
          <w:rFonts w:ascii="Times New Roman" w:eastAsia="Times New Roman" w:hAnsi="Times New Roman"/>
          <w:sz w:val="24"/>
          <w:szCs w:val="24"/>
        </w:rPr>
        <w:t>was in charge of</w:t>
      </w:r>
      <w:proofErr w:type="gramEnd"/>
      <w:r>
        <w:rPr>
          <w:rFonts w:ascii="Times New Roman" w:eastAsia="Times New Roman" w:hAnsi="Times New Roman"/>
          <w:sz w:val="24"/>
          <w:szCs w:val="24"/>
        </w:rPr>
        <w:t xml:space="preserve"> the fire department’s emergency medical services training from 2009 to 2017, opined that pulse oximeter readings were not important in assessing an intubation. He gave two reasons: First, the </w:t>
      </w:r>
      <w:proofErr w:type="gramStart"/>
      <w:r>
        <w:rPr>
          <w:rFonts w:ascii="Times New Roman" w:eastAsia="Times New Roman" w:hAnsi="Times New Roman"/>
          <w:sz w:val="24"/>
          <w:szCs w:val="24"/>
        </w:rPr>
        <w:t>readings</w:t>
      </w:r>
      <w:proofErr w:type="gramEnd"/>
      <w:r>
        <w:rPr>
          <w:rFonts w:ascii="Times New Roman" w:eastAsia="Times New Roman" w:hAnsi="Times New Roman"/>
          <w:sz w:val="24"/>
          <w:szCs w:val="24"/>
        </w:rPr>
        <w:t xml:space="preserve"> might be inaccurate. Second, even if accurate, a drop in blood oxygen levels might be caused by patient heart failure rather than an error in intubation. Thus, rather than relying on a pulse oximeter, Bendinelli would consider lung and abdominal sounds, chest rise and fall, CO</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monitoring, the presence of condensation on the breathing tube, and the color of the patient’s skin. Bendinelli trained ambulance crews in accordance with this protocol.</w:t>
      </w:r>
    </w:p>
    <w:p w14:paraId="6275F69A" w14:textId="77777777" w:rsidR="00F37F48" w:rsidRDefault="00F37F48" w:rsidP="00F37F48">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 xml:space="preserve">To defeat summary judgment, plaintiff would have had to present evidence that the </w:t>
      </w:r>
      <w:proofErr w:type="gramStart"/>
      <w:r>
        <w:rPr>
          <w:rFonts w:ascii="Times New Roman" w:hAnsi="Times New Roman"/>
          <w:sz w:val="24"/>
          <w:szCs w:val="24"/>
        </w:rPr>
        <w:t>City</w:t>
      </w:r>
      <w:proofErr w:type="gramEnd"/>
      <w:r>
        <w:rPr>
          <w:rFonts w:ascii="Times New Roman" w:hAnsi="Times New Roman"/>
          <w:sz w:val="24"/>
          <w:szCs w:val="24"/>
        </w:rPr>
        <w:t xml:space="preserve"> either knew </w:t>
      </w:r>
      <w:r>
        <w:rPr>
          <w:rFonts w:ascii="Times New Roman" w:eastAsia="Times New Roman" w:hAnsi="Times New Roman"/>
          <w:sz w:val="24"/>
          <w:szCs w:val="24"/>
        </w:rPr>
        <w:t xml:space="preserve">[Deputy fire chief] </w:t>
      </w:r>
      <w:r>
        <w:rPr>
          <w:rFonts w:ascii="Times New Roman" w:hAnsi="Times New Roman"/>
          <w:sz w:val="24"/>
          <w:szCs w:val="24"/>
        </w:rPr>
        <w:t xml:space="preserve">Bendinelli’s training imperiled patients or that the </w:t>
      </w:r>
      <w:proofErr w:type="gramStart"/>
      <w:r>
        <w:rPr>
          <w:rFonts w:ascii="Times New Roman" w:hAnsi="Times New Roman"/>
          <w:sz w:val="24"/>
          <w:szCs w:val="24"/>
        </w:rPr>
        <w:t>City</w:t>
      </w:r>
      <w:proofErr w:type="gramEnd"/>
      <w:r>
        <w:rPr>
          <w:rFonts w:ascii="Times New Roman" w:hAnsi="Times New Roman"/>
          <w:sz w:val="24"/>
          <w:szCs w:val="24"/>
        </w:rPr>
        <w:t xml:space="preserve"> failed to recognize this danger through recklessness. </w:t>
      </w:r>
      <w:r>
        <w:rPr>
          <w:rFonts w:ascii="Times New Roman" w:hAnsi="Times New Roman"/>
          <w:i/>
          <w:iCs/>
          <w:sz w:val="24"/>
          <w:szCs w:val="24"/>
        </w:rPr>
        <w:t>Affatato v</w:t>
      </w:r>
      <w:r>
        <w:rPr>
          <w:rFonts w:ascii="Times New Roman" w:hAnsi="Times New Roman"/>
          <w:sz w:val="24"/>
          <w:szCs w:val="24"/>
        </w:rPr>
        <w:t xml:space="preserve">. </w:t>
      </w:r>
      <w:r>
        <w:rPr>
          <w:rFonts w:ascii="Times New Roman" w:hAnsi="Times New Roman"/>
          <w:i/>
          <w:iCs/>
          <w:sz w:val="24"/>
          <w:szCs w:val="24"/>
        </w:rPr>
        <w:t>Jewel Cos</w:t>
      </w:r>
      <w:r>
        <w:rPr>
          <w:rFonts w:ascii="Times New Roman" w:hAnsi="Times New Roman"/>
          <w:sz w:val="24"/>
          <w:szCs w:val="24"/>
        </w:rPr>
        <w:t xml:space="preserve">., 259 Ill. App. 3d 787, 800 (1994). Plaintiff presented no such evidence. On the contrary, all three of Amanda’s treating physicians corroborated Bendinelli’s statement that pulse oximeter readings can be inaccurate. </w:t>
      </w:r>
      <w:proofErr w:type="gramStart"/>
      <w:r>
        <w:rPr>
          <w:rFonts w:ascii="Times New Roman" w:hAnsi="Times New Roman"/>
          <w:sz w:val="24"/>
          <w:szCs w:val="24"/>
        </w:rPr>
        <w:t>In light of</w:t>
      </w:r>
      <w:proofErr w:type="gramEnd"/>
      <w:r>
        <w:rPr>
          <w:rFonts w:ascii="Times New Roman" w:hAnsi="Times New Roman"/>
          <w:sz w:val="24"/>
          <w:szCs w:val="24"/>
        </w:rPr>
        <w:t xml:space="preserve"> their testimony, plaintiff has not presented an issue of fact as to whether Bendinelli’s training reflects an utter indifference to patients’ safety. </w:t>
      </w:r>
      <w:hyperlink r:id="rId2279" w:history="1">
        <w:r>
          <w:rPr>
            <w:rStyle w:val="Hyperlink"/>
          </w:rPr>
          <w:t>https://public.fastcase.com/Wl%2B2t%2BeVuI35%2FN70vAMFZhgQRMSlTmc31zPzZvHhe6G3UFiDUpDiHM1BEG64P0h7</w:t>
        </w:r>
      </w:hyperlink>
      <w:r>
        <w:rPr>
          <w:rFonts w:ascii="Times New Roman" w:hAnsi="Times New Roman"/>
          <w:sz w:val="24"/>
          <w:szCs w:val="24"/>
        </w:rPr>
        <w:t xml:space="preserve"> </w:t>
      </w:r>
    </w:p>
    <w:p w14:paraId="4D7FE6E5" w14:textId="77777777" w:rsidR="00F37F48" w:rsidRDefault="00F37F48" w:rsidP="00F37F48">
      <w:pPr>
        <w:tabs>
          <w:tab w:val="left" w:pos="3060"/>
        </w:tabs>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Follow EMS protocols when confirming intubation was properly </w:t>
      </w:r>
      <w:proofErr w:type="gramStart"/>
      <w:r>
        <w:rPr>
          <w:rFonts w:ascii="Times New Roman" w:hAnsi="Times New Roman"/>
          <w:b/>
          <w:bCs/>
          <w:sz w:val="24"/>
          <w:szCs w:val="24"/>
        </w:rPr>
        <w:t>placed, and</w:t>
      </w:r>
      <w:proofErr w:type="gramEnd"/>
      <w:r>
        <w:rPr>
          <w:rFonts w:ascii="Times New Roman" w:hAnsi="Times New Roman"/>
          <w:b/>
          <w:bCs/>
          <w:sz w:val="24"/>
          <w:szCs w:val="24"/>
        </w:rPr>
        <w:t xml:space="preserve"> document your confirmation. </w:t>
      </w:r>
    </w:p>
    <w:p w14:paraId="23578892" w14:textId="77777777" w:rsidR="00F37F48" w:rsidRDefault="00F37F48" w:rsidP="002B1283">
      <w:pPr>
        <w:rPr>
          <w:rFonts w:ascii="Arial Black" w:hAnsi="Arial Black"/>
          <w:b/>
          <w:bCs/>
          <w:sz w:val="28"/>
          <w:szCs w:val="28"/>
        </w:rPr>
      </w:pPr>
    </w:p>
    <w:p w14:paraId="38933239" w14:textId="4FBA4D31" w:rsidR="00F37F48" w:rsidRDefault="00F37F48" w:rsidP="002B1283">
      <w:pPr>
        <w:rPr>
          <w:rFonts w:ascii="Arial Black" w:hAnsi="Arial Black"/>
          <w:b/>
          <w:bCs/>
          <w:sz w:val="28"/>
          <w:szCs w:val="28"/>
        </w:rPr>
      </w:pPr>
      <w:r>
        <w:rPr>
          <w:rFonts w:ascii="Arial Black" w:hAnsi="Arial Black"/>
          <w:b/>
          <w:bCs/>
          <w:sz w:val="28"/>
          <w:szCs w:val="28"/>
        </w:rPr>
        <w:t>13-76</w:t>
      </w:r>
    </w:p>
    <w:p w14:paraId="0488F9DA" w14:textId="77777777" w:rsidR="00F37F48" w:rsidRDefault="00F37F48" w:rsidP="00F37F48">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DC: NEW FED. LAW - PATIENTS PROTECTED “SURPRISE MEDICAL BILLS” – INCLUDING AIR CARE, NEGOTIATE WITH INSURER</w:t>
      </w:r>
    </w:p>
    <w:p w14:paraId="15E5D0D4"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21, 2020, as part of the </w:t>
      </w:r>
      <w:proofErr w:type="gramStart"/>
      <w:r>
        <w:rPr>
          <w:rFonts w:ascii="Times New Roman" w:eastAsia="Times New Roman" w:hAnsi="Times New Roman"/>
          <w:sz w:val="24"/>
          <w:szCs w:val="24"/>
        </w:rPr>
        <w:t>5,500 page</w:t>
      </w:r>
      <w:proofErr w:type="gramEnd"/>
      <w:r>
        <w:rPr>
          <w:rFonts w:ascii="Times New Roman" w:eastAsia="Times New Roman" w:hAnsi="Times New Roman"/>
          <w:sz w:val="24"/>
          <w:szCs w:val="24"/>
        </w:rPr>
        <w:t xml:space="preserve"> COVID-19 relief bill, Congress also enacted a new statute to protect patients from “surprise medical bills.” </w:t>
      </w:r>
    </w:p>
    <w:p w14:paraId="2C890412"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The House Ways &amp; Means Committee described the protections in the House bill, </w:t>
      </w:r>
      <w:r>
        <w:rPr>
          <w:rFonts w:ascii="Times New Roman" w:hAnsi="Times New Roman"/>
          <w:sz w:val="24"/>
          <w:szCs w:val="24"/>
        </w:rPr>
        <w:t xml:space="preserve">“Consumer Protections Against Surprise Medical Bills Act of 2020 Summary.” </w:t>
      </w:r>
    </w:p>
    <w:p w14:paraId="1F6E0314" w14:textId="77777777" w:rsidR="00F37F48" w:rsidRDefault="00F37F48" w:rsidP="00F37F48">
      <w:pPr>
        <w:spacing w:before="100" w:beforeAutospacing="1" w:after="100" w:afterAutospacing="1" w:line="240" w:lineRule="auto"/>
        <w:ind w:left="360"/>
        <w:rPr>
          <w:rStyle w:val="Hyperlink"/>
          <w:rFonts w:asciiTheme="minorHAnsi" w:eastAsiaTheme="minorHAnsi" w:hAnsiTheme="minorHAnsi" w:cstheme="minorBidi"/>
        </w:rPr>
      </w:pPr>
      <w:r>
        <w:rPr>
          <w:rFonts w:ascii="Times New Roman" w:hAnsi="Times New Roman"/>
          <w:sz w:val="24"/>
          <w:szCs w:val="24"/>
        </w:rPr>
        <w:t xml:space="preserve">“The bill protects patients from surprise medical bills for out-of-network services. Providers (including facilities) will be prohibited from balance billing patients for surprise services. Patients cannot be charged more than the in-network cost-sharing amount.” </w:t>
      </w:r>
      <w:hyperlink r:id="rId2280" w:history="1">
        <w:r>
          <w:rPr>
            <w:rStyle w:val="Hyperlink"/>
          </w:rPr>
          <w:t>https://waysandmeans.house.gov/sites/democrats.waysandmeans.house.gov/files/documents/Ways%20and%20Means%20Surprise%20Billing%20Summary_02%2006%2020%20(final).pdf</w:t>
        </w:r>
      </w:hyperlink>
    </w:p>
    <w:p w14:paraId="5A78D641" w14:textId="77777777" w:rsidR="00F37F48" w:rsidRDefault="00F37F48" w:rsidP="00F37F48">
      <w:pPr>
        <w:pStyle w:val="NoSpacing"/>
        <w:jc w:val="both"/>
        <w:rPr>
          <w:rFonts w:ascii="Times New Roman" w:eastAsia="Times New Roman" w:hAnsi="Times New Roman"/>
          <w:sz w:val="24"/>
          <w:szCs w:val="24"/>
        </w:rPr>
      </w:pPr>
      <w:r>
        <w:rPr>
          <w:rFonts w:ascii="Times New Roman" w:eastAsia="Times New Roman" w:hAnsi="Times New Roman"/>
          <w:sz w:val="24"/>
          <w:szCs w:val="24"/>
        </w:rPr>
        <w:t>The Association of Air Medical Services described the new provisions:</w:t>
      </w:r>
    </w:p>
    <w:p w14:paraId="68C05A18" w14:textId="77777777" w:rsidR="00F37F48" w:rsidRDefault="00F37F48" w:rsidP="00F37F48">
      <w:pPr>
        <w:pStyle w:val="NormalWeb"/>
        <w:ind w:left="360"/>
      </w:pPr>
      <w:r>
        <w:t>“AAMS has learned that the year-end spending and COVID relief package includes the balance billing solution that has been under intense negotiation since Dec. 11</w:t>
      </w:r>
      <w:r>
        <w:rPr>
          <w:vertAlign w:val="superscript"/>
        </w:rPr>
        <w:t>th</w:t>
      </w:r>
      <w:r>
        <w:t xml:space="preserve">. An AAMS Statement on the legislation can be found </w:t>
      </w:r>
      <w:hyperlink r:id="rId2281" w:tgtFrame="_blank" w:history="1">
        <w:r>
          <w:rPr>
            <w:rStyle w:val="Hyperlink"/>
          </w:rPr>
          <w:t>here</w:t>
        </w:r>
      </w:hyperlink>
      <w:r>
        <w:t>. *</w:t>
      </w:r>
      <w:r>
        <w:br/>
      </w:r>
      <w:r>
        <w:br/>
        <w:t xml:space="preserve">The legislation includes air ambulance provisions and is expected to pass both House and Senate as the Congress makes its final votes </w:t>
      </w:r>
      <w:proofErr w:type="gramStart"/>
      <w:r>
        <w:t>of</w:t>
      </w:r>
      <w:proofErr w:type="gramEnd"/>
      <w:r>
        <w:t xml:space="preserve"> 2020. The provisions in the bill </w:t>
      </w:r>
      <w:proofErr w:type="gramStart"/>
      <w:r>
        <w:t>effecting</w:t>
      </w:r>
      <w:proofErr w:type="gramEnd"/>
      <w:r>
        <w:t xml:space="preserve"> air ambulances are as follows:</w:t>
      </w:r>
    </w:p>
    <w:p w14:paraId="364D4CCC" w14:textId="77777777" w:rsidR="00F37F48" w:rsidRPr="00034FEA" w:rsidRDefault="00F37F48" w:rsidP="00F37F48">
      <w:pPr>
        <w:numPr>
          <w:ilvl w:val="0"/>
          <w:numId w:val="9"/>
        </w:numPr>
        <w:spacing w:before="100" w:beforeAutospacing="1" w:after="100" w:afterAutospacing="1" w:line="240" w:lineRule="auto"/>
        <w:rPr>
          <w:rFonts w:ascii="Times New Roman" w:hAnsi="Times New Roman"/>
          <w:sz w:val="24"/>
          <w:szCs w:val="24"/>
        </w:rPr>
      </w:pPr>
      <w:r w:rsidRPr="00034FEA">
        <w:rPr>
          <w:rFonts w:ascii="Times New Roman" w:hAnsi="Times New Roman"/>
          <w:sz w:val="24"/>
          <w:szCs w:val="24"/>
        </w:rPr>
        <w:t>Prohibition on balance billing patients.</w:t>
      </w:r>
    </w:p>
    <w:p w14:paraId="4E87EE2C" w14:textId="77777777" w:rsidR="00F37F48" w:rsidRPr="00034FEA" w:rsidRDefault="00F37F48" w:rsidP="00F37F48">
      <w:pPr>
        <w:numPr>
          <w:ilvl w:val="0"/>
          <w:numId w:val="9"/>
        </w:numPr>
        <w:spacing w:before="100" w:beforeAutospacing="1" w:after="100" w:afterAutospacing="1" w:line="240" w:lineRule="auto"/>
        <w:rPr>
          <w:rFonts w:ascii="Times New Roman" w:hAnsi="Times New Roman"/>
          <w:sz w:val="24"/>
          <w:szCs w:val="24"/>
        </w:rPr>
      </w:pPr>
      <w:r w:rsidRPr="00034FEA">
        <w:rPr>
          <w:rFonts w:ascii="Times New Roman" w:hAnsi="Times New Roman"/>
          <w:sz w:val="24"/>
          <w:szCs w:val="24"/>
        </w:rPr>
        <w:t>Open negotiation process between insurer and provider.</w:t>
      </w:r>
    </w:p>
    <w:p w14:paraId="4FC8F370" w14:textId="77777777" w:rsidR="00F37F48" w:rsidRPr="00034FEA" w:rsidRDefault="00F37F48" w:rsidP="00F37F48">
      <w:pPr>
        <w:numPr>
          <w:ilvl w:val="0"/>
          <w:numId w:val="9"/>
        </w:numPr>
        <w:spacing w:before="100" w:beforeAutospacing="1" w:after="100" w:afterAutospacing="1" w:line="240" w:lineRule="auto"/>
        <w:rPr>
          <w:rFonts w:ascii="Times New Roman" w:hAnsi="Times New Roman"/>
          <w:sz w:val="24"/>
          <w:szCs w:val="24"/>
        </w:rPr>
      </w:pPr>
      <w:r w:rsidRPr="00034FEA">
        <w:rPr>
          <w:rFonts w:ascii="Times New Roman" w:hAnsi="Times New Roman"/>
          <w:sz w:val="24"/>
          <w:szCs w:val="24"/>
        </w:rPr>
        <w:t>Independent Dispute Resolution (IDR) process that still considers the insurers median-in-network rate; however, arbiters cannot consider non-negotiated rates, such as those set by Medicare.  </w:t>
      </w:r>
    </w:p>
    <w:p w14:paraId="6B2FE747" w14:textId="77777777" w:rsidR="00F37F48" w:rsidRPr="00034FEA" w:rsidRDefault="00F37F48" w:rsidP="00F37F48">
      <w:pPr>
        <w:numPr>
          <w:ilvl w:val="0"/>
          <w:numId w:val="9"/>
        </w:numPr>
        <w:spacing w:before="100" w:beforeAutospacing="1" w:after="100" w:afterAutospacing="1" w:line="240" w:lineRule="auto"/>
        <w:rPr>
          <w:rFonts w:ascii="Times New Roman" w:hAnsi="Times New Roman"/>
          <w:sz w:val="24"/>
          <w:szCs w:val="24"/>
        </w:rPr>
      </w:pPr>
      <w:r w:rsidRPr="00034FEA">
        <w:rPr>
          <w:rFonts w:ascii="Times New Roman" w:hAnsi="Times New Roman"/>
          <w:sz w:val="24"/>
          <w:szCs w:val="24"/>
        </w:rPr>
        <w:t>Data collection on the costs or providing air ambulance services as well as on air ambulance quality and claims data submitted by insurers.</w:t>
      </w:r>
    </w:p>
    <w:p w14:paraId="27C87599" w14:textId="77777777" w:rsidR="00F37F48" w:rsidRPr="00034FEA" w:rsidRDefault="00F37F48" w:rsidP="00F37F48">
      <w:pPr>
        <w:numPr>
          <w:ilvl w:val="0"/>
          <w:numId w:val="9"/>
        </w:numPr>
        <w:spacing w:before="100" w:beforeAutospacing="1" w:after="100" w:afterAutospacing="1" w:line="240" w:lineRule="auto"/>
        <w:rPr>
          <w:rFonts w:ascii="Times New Roman" w:hAnsi="Times New Roman"/>
          <w:sz w:val="24"/>
          <w:szCs w:val="24"/>
        </w:rPr>
      </w:pPr>
      <w:r w:rsidRPr="00034FEA">
        <w:rPr>
          <w:rFonts w:ascii="Times New Roman" w:hAnsi="Times New Roman"/>
          <w:sz w:val="24"/>
          <w:szCs w:val="24"/>
        </w:rPr>
        <w:t xml:space="preserve">The establishment of an air ambulance advisory committee through the Department of Health and Human Services and the Department of Transportation </w:t>
      </w:r>
      <w:proofErr w:type="gramStart"/>
      <w:r w:rsidRPr="00034FEA">
        <w:rPr>
          <w:rFonts w:ascii="Times New Roman" w:hAnsi="Times New Roman"/>
          <w:sz w:val="24"/>
          <w:szCs w:val="24"/>
        </w:rPr>
        <w:t>to examine</w:t>
      </w:r>
      <w:proofErr w:type="gramEnd"/>
      <w:r w:rsidRPr="00034FEA">
        <w:rPr>
          <w:rFonts w:ascii="Times New Roman" w:hAnsi="Times New Roman"/>
          <w:sz w:val="24"/>
          <w:szCs w:val="24"/>
        </w:rPr>
        <w:t xml:space="preserve"> issues related to air ambulance clinical capabilities, vehicle types, and triage criteria.</w:t>
      </w:r>
    </w:p>
    <w:p w14:paraId="50542A26" w14:textId="77777777" w:rsidR="00F37F48" w:rsidRPr="007B1325" w:rsidRDefault="00F37F48" w:rsidP="00F37F48">
      <w:pPr>
        <w:pStyle w:val="NormalWeb"/>
        <w:ind w:left="360"/>
        <w:rPr>
          <w:rStyle w:val="Emphasis"/>
        </w:rPr>
      </w:pPr>
      <w:r>
        <w:rPr>
          <w:rStyle w:val="Strong"/>
        </w:rPr>
        <w:t>A Congressional summary of the balance billing section describes it this way:</w:t>
      </w:r>
      <w:r>
        <w:br/>
      </w:r>
      <w:r w:rsidRPr="007B1325">
        <w:rPr>
          <w:rStyle w:val="Emphasis"/>
        </w:rPr>
        <w:t xml:space="preserve">Section 105. Ending surprise air ambulance bills. Section 105 states that patients are held harmless from surprise air ambulance medical bills. Patients are only required to pay the in-network cost-sharing amount for out-of-network air ambulances, and that cost-sharing amount is applied to their in-network deductible. Air ambulances are barred from sending patients surprise bills for more than the in-network cost-sharing amount. It also provides for a 30-day open negotiation period for air ambulance providers and payers to settle out-of-network claims. If the parties are unable to reach a negotiated agreement, they may access the binding arbitration, which is the same as outlined in Section 103, with additional factors to account for the cost of providing air ambulance service in rural and frontier areas.  </w:t>
      </w:r>
    </w:p>
    <w:p w14:paraId="47E1DD27" w14:textId="77777777" w:rsidR="00F37F48" w:rsidRDefault="00F37F48" w:rsidP="00F37F48">
      <w:pPr>
        <w:pStyle w:val="NormalWeb"/>
        <w:ind w:left="360"/>
      </w:pPr>
      <w:hyperlink r:id="rId2282" w:history="1">
        <w:r w:rsidRPr="009A2D81">
          <w:rPr>
            <w:rStyle w:val="Hyperlink"/>
          </w:rPr>
          <w:t>https://aams.org/aams-member-alert-negotiated-balance-billing-solution-included-in-legislation/</w:t>
        </w:r>
      </w:hyperlink>
      <w:r>
        <w:rPr>
          <w:rStyle w:val="Emphasis"/>
        </w:rPr>
        <w:t xml:space="preserve"> </w:t>
      </w:r>
    </w:p>
    <w:p w14:paraId="3EEE09D8" w14:textId="77777777" w:rsidR="00F37F48" w:rsidRDefault="00F37F48" w:rsidP="00F37F48">
      <w:pPr>
        <w:rPr>
          <w:rFonts w:ascii="Times New Roman" w:hAnsi="Times New Roman"/>
          <w:sz w:val="24"/>
          <w:szCs w:val="24"/>
        </w:rPr>
      </w:pPr>
      <w:r>
        <w:rPr>
          <w:rFonts w:ascii="Times New Roman" w:hAnsi="Times New Roman"/>
          <w:sz w:val="24"/>
          <w:szCs w:val="24"/>
        </w:rPr>
        <w:t>*AAMS Statement on Balance Billing Solution</w:t>
      </w:r>
    </w:p>
    <w:p w14:paraId="4CFC73CB" w14:textId="77777777" w:rsidR="00F37F48" w:rsidRDefault="00F37F48" w:rsidP="00F37F48">
      <w:pPr>
        <w:ind w:left="360"/>
        <w:rPr>
          <w:rFonts w:ascii="Times New Roman" w:hAnsi="Times New Roman"/>
          <w:sz w:val="24"/>
          <w:szCs w:val="24"/>
        </w:rPr>
      </w:pPr>
      <w:r>
        <w:rPr>
          <w:rFonts w:ascii="Times New Roman" w:hAnsi="Times New Roman"/>
          <w:sz w:val="24"/>
          <w:szCs w:val="24"/>
        </w:rPr>
        <w:t xml:space="preserve">“The Association of Air Medical Services, on behalf of its over 300 members operating over 1,400 helicopter and fixed-wing air ambulances nationwide, applauds the action taken by Congress today to remove patients from disputes between insurers and air ambulance providers. However, AAMS remains concerned that certain aspects of the independent dispute resolution process may favor </w:t>
      </w:r>
      <w:proofErr w:type="gramStart"/>
      <w:r>
        <w:rPr>
          <w:rFonts w:ascii="Times New Roman" w:hAnsi="Times New Roman"/>
          <w:sz w:val="24"/>
          <w:szCs w:val="24"/>
        </w:rPr>
        <w:t>insurers</w:t>
      </w:r>
      <w:proofErr w:type="gramEnd"/>
      <w:r>
        <w:rPr>
          <w:rFonts w:ascii="Times New Roman" w:hAnsi="Times New Roman"/>
          <w:sz w:val="24"/>
          <w:szCs w:val="24"/>
        </w:rPr>
        <w:t xml:space="preserve"> and we hope to work with Congress and the various federal agencies to implement a fair and equitable process for billing disputes. We also fully support the data collection and analysis requirements of the </w:t>
      </w:r>
      <w:proofErr w:type="gramStart"/>
      <w:r>
        <w:rPr>
          <w:rFonts w:ascii="Times New Roman" w:hAnsi="Times New Roman"/>
          <w:sz w:val="24"/>
          <w:szCs w:val="24"/>
        </w:rPr>
        <w:t>bill, and</w:t>
      </w:r>
      <w:proofErr w:type="gramEnd"/>
      <w:r>
        <w:rPr>
          <w:rFonts w:ascii="Times New Roman" w:hAnsi="Times New Roman"/>
          <w:sz w:val="24"/>
          <w:szCs w:val="24"/>
        </w:rPr>
        <w:t xml:space="preserve"> believe this additional level of transparency will inform future legislative and regulatory efforts as they relate to billing and reimbursement. AAMS will continue to work on behalf of its members and the patients they serve to ensure the best outcomes for both. We also continue to support the work of the Air Ambulance Patient Billing Advisory Committee and hope this process will strongly consider their recommendations.” </w:t>
      </w:r>
    </w:p>
    <w:p w14:paraId="0BF301CD" w14:textId="77777777" w:rsidR="00F37F48" w:rsidRDefault="00F37F48" w:rsidP="00F37F48">
      <w:pPr>
        <w:ind w:left="360"/>
        <w:rPr>
          <w:rFonts w:ascii="Times New Roman" w:hAnsi="Times New Roman"/>
          <w:sz w:val="24"/>
          <w:szCs w:val="24"/>
        </w:rPr>
      </w:pPr>
      <w:r>
        <w:rPr>
          <w:rFonts w:ascii="Times New Roman" w:hAnsi="Times New Roman"/>
          <w:sz w:val="24"/>
          <w:szCs w:val="24"/>
        </w:rPr>
        <w:t>Below is a statement from AAMS President and CEO Cameron Curtis:</w:t>
      </w:r>
    </w:p>
    <w:p w14:paraId="0498BACA" w14:textId="77777777" w:rsidR="00F37F48" w:rsidRDefault="00F37F48" w:rsidP="00F37F48">
      <w:pPr>
        <w:ind w:left="360"/>
        <w:rPr>
          <w:rFonts w:asciiTheme="minorHAnsi" w:hAnsiTheme="minorHAnsi" w:cstheme="minorBidi"/>
        </w:rPr>
      </w:pPr>
      <w:r>
        <w:rPr>
          <w:rFonts w:ascii="Times New Roman" w:hAnsi="Times New Roman"/>
          <w:sz w:val="24"/>
          <w:szCs w:val="24"/>
        </w:rPr>
        <w:t>“Air ambulances offer a lifeline, sometimes the only lifeline, to patients in need of critical care. While we remain concerned about certain aspects of this bill, now is the time to come together as a health care community and support the dedicated EMS professionals, both air and ground, that are serving on the front lines. As Americans face the ever-increasing severity of the COVID-19 pandemic and the ensuing public health emergency, air medical services have provided over 20,000 COVID-19 related transports to the most severely sick and injured patients, often from remote and rural areas to high levels of care.”</w:t>
      </w:r>
      <w:r>
        <w:t xml:space="preserve"> </w:t>
      </w:r>
      <w:hyperlink r:id="rId2283" w:history="1">
        <w:r>
          <w:rPr>
            <w:rStyle w:val="Hyperlink"/>
          </w:rPr>
          <w:t>https://cdn.ymaws.com/aams.site-ym.com/resource/resmgr/website_resources/aams_statements/aams_statementonbalancebilli.pdf</w:t>
        </w:r>
      </w:hyperlink>
      <w:r>
        <w:rPr>
          <w:rFonts w:ascii="Times New Roman" w:hAnsi="Times New Roman"/>
          <w:sz w:val="24"/>
          <w:szCs w:val="24"/>
        </w:rPr>
        <w:t xml:space="preserve"> </w:t>
      </w:r>
    </w:p>
    <w:p w14:paraId="72429C64" w14:textId="77777777" w:rsidR="00F37F48" w:rsidRDefault="00F37F48" w:rsidP="00F37F48">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There has been litigation throughout the United States by patients who were “surprised” by Air Care billing and other “out of network” medical service providers.     Hopefully this new statute will eliminate these surprise bills. </w:t>
      </w:r>
    </w:p>
    <w:p w14:paraId="3DE5252F" w14:textId="77777777" w:rsidR="00F37F48" w:rsidRPr="007B1325" w:rsidRDefault="00F37F48" w:rsidP="00F37F48">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w:t>
      </w:r>
      <w:r>
        <w:rPr>
          <w:rFonts w:ascii="Times New Roman" w:hAnsi="Times New Roman"/>
          <w:sz w:val="24"/>
          <w:szCs w:val="24"/>
        </w:rPr>
        <w:t xml:space="preserve">You can read the NO SURPRISE ACT (starting page 1629); Air Ambulance provisions (starting at page 1836).   </w:t>
      </w:r>
      <w:hyperlink r:id="rId2284" w:history="1">
        <w:r w:rsidRPr="007B1325">
          <w:rPr>
            <w:rStyle w:val="Hyperlink"/>
            <w:rFonts w:ascii="Times New Roman" w:hAnsi="Times New Roman"/>
            <w:sz w:val="24"/>
            <w:szCs w:val="24"/>
          </w:rPr>
          <w:t>https://beta.documentcloud.org/documents/20433223-covid-19-relief-bill</w:t>
        </w:r>
      </w:hyperlink>
      <w:r w:rsidRPr="007B1325">
        <w:rPr>
          <w:rFonts w:ascii="Times New Roman" w:eastAsia="Times New Roman" w:hAnsi="Times New Roman"/>
          <w:sz w:val="24"/>
          <w:szCs w:val="24"/>
        </w:rPr>
        <w:t xml:space="preserve"> </w:t>
      </w:r>
    </w:p>
    <w:p w14:paraId="7C953E6E" w14:textId="77777777" w:rsidR="00F37F48" w:rsidRDefault="00F37F48" w:rsidP="002B1283">
      <w:pPr>
        <w:rPr>
          <w:rFonts w:ascii="Arial Black" w:hAnsi="Arial Black"/>
          <w:b/>
          <w:bCs/>
          <w:sz w:val="28"/>
          <w:szCs w:val="28"/>
        </w:rPr>
      </w:pPr>
    </w:p>
    <w:p w14:paraId="0CBA900B" w14:textId="6E9C2379" w:rsidR="00F37F48" w:rsidRDefault="00F37F48" w:rsidP="002B1283">
      <w:pPr>
        <w:rPr>
          <w:rFonts w:ascii="Arial Black" w:hAnsi="Arial Black"/>
          <w:b/>
          <w:bCs/>
          <w:sz w:val="28"/>
          <w:szCs w:val="28"/>
        </w:rPr>
      </w:pPr>
      <w:r>
        <w:rPr>
          <w:rFonts w:ascii="Arial Black" w:hAnsi="Arial Black"/>
          <w:b/>
          <w:bCs/>
          <w:sz w:val="28"/>
          <w:szCs w:val="28"/>
        </w:rPr>
        <w:t>13-75</w:t>
      </w:r>
    </w:p>
    <w:p w14:paraId="4AB639F7" w14:textId="77777777" w:rsidR="00F37F48" w:rsidRDefault="00F37F48" w:rsidP="00F37F48">
      <w:pPr>
        <w:pStyle w:val="NoSpacing"/>
        <w:rPr>
          <w:rFonts w:ascii="Arial Black" w:eastAsiaTheme="minorHAnsi" w:hAnsi="Arial Black" w:cstheme="minorBidi"/>
          <w:sz w:val="28"/>
          <w:szCs w:val="28"/>
        </w:rPr>
      </w:pPr>
      <w:r>
        <w:rPr>
          <w:rFonts w:ascii="Arial Black" w:hAnsi="Arial Black"/>
          <w:sz w:val="28"/>
          <w:szCs w:val="28"/>
        </w:rPr>
        <w:t xml:space="preserve">NY: EMT WINS SUMMARY JUDGMENT - BACK INJURY, SLIPPED ON ICE – RESTAURANT HOSED SIDEWALK COLD WINTER DAY </w:t>
      </w:r>
    </w:p>
    <w:p w14:paraId="4BDA84DB" w14:textId="77777777" w:rsidR="00F37F48" w:rsidRDefault="00F37F48" w:rsidP="00F37F48">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17, 2020, in </w:t>
      </w:r>
      <w:r>
        <w:rPr>
          <w:rFonts w:ascii="Times New Roman" w:hAnsi="Times New Roman"/>
          <w:sz w:val="24"/>
          <w:szCs w:val="24"/>
          <w:u w:val="single"/>
        </w:rPr>
        <w:t>Michael Benny v. Concord Partners 46</w:t>
      </w:r>
      <w:r>
        <w:rPr>
          <w:rFonts w:ascii="Times New Roman" w:hAnsi="Times New Roman"/>
          <w:sz w:val="24"/>
          <w:szCs w:val="24"/>
          <w:u w:val="single"/>
          <w:vertAlign w:val="superscript"/>
        </w:rPr>
        <w:t>th</w:t>
      </w:r>
      <w:r>
        <w:rPr>
          <w:rFonts w:ascii="Times New Roman" w:hAnsi="Times New Roman"/>
          <w:sz w:val="24"/>
          <w:szCs w:val="24"/>
          <w:u w:val="single"/>
        </w:rPr>
        <w:t xml:space="preserve"> Street LLC</w:t>
      </w:r>
      <w:r>
        <w:rPr>
          <w:rFonts w:ascii="Times New Roman" w:hAnsi="Times New Roman"/>
          <w:sz w:val="24"/>
          <w:szCs w:val="24"/>
        </w:rPr>
        <w:t xml:space="preserve">, </w:t>
      </w:r>
      <w:r>
        <w:rPr>
          <w:rFonts w:ascii="Times New Roman" w:eastAsia="Times New Roman" w:hAnsi="Times New Roman"/>
          <w:sz w:val="24"/>
          <w:szCs w:val="24"/>
        </w:rPr>
        <w:t xml:space="preserve">2020 NY Slip Op 07665, </w:t>
      </w:r>
      <w:r>
        <w:rPr>
          <w:rFonts w:ascii="Times New Roman" w:hAnsi="Times New Roman"/>
          <w:sz w:val="24"/>
          <w:szCs w:val="24"/>
        </w:rPr>
        <w:t xml:space="preserve">the Appellate Division of the Supreme Court of the State of New York, held (5 to 0) that the trial court improperly denied plaintiff’s motion for summary judgment.  The Court orders partial summary judgment in favor of the EMT; his degree of negligence in not avoiding the ice must next be determined. </w:t>
      </w:r>
    </w:p>
    <w:p w14:paraId="1927B461" w14:textId="77777777" w:rsidR="00F37F48" w:rsidRDefault="00F37F48" w:rsidP="00F37F48">
      <w:pPr>
        <w:pStyle w:val="NoSpacing"/>
        <w:ind w:left="720"/>
        <w:rPr>
          <w:rFonts w:ascii="Times New Roman" w:hAnsi="Times New Roman"/>
          <w:sz w:val="24"/>
          <w:szCs w:val="24"/>
        </w:rPr>
      </w:pPr>
      <w:r>
        <w:rPr>
          <w:rFonts w:ascii="Times New Roman" w:hAnsi="Times New Roman"/>
          <w:sz w:val="24"/>
          <w:szCs w:val="24"/>
        </w:rPr>
        <w:t xml:space="preserve">“The evidence plaintiff submitted in support of his motion shows that defendants-tenants Havana Central NY 2 LLC d/b/a Havana Central Restaurant &amp; </w:t>
      </w:r>
      <w:proofErr w:type="spellStart"/>
      <w:r>
        <w:rPr>
          <w:rFonts w:ascii="Times New Roman" w:hAnsi="Times New Roman"/>
          <w:sz w:val="24"/>
          <w:szCs w:val="24"/>
        </w:rPr>
        <w:t>CafÉ</w:t>
      </w:r>
      <w:proofErr w:type="spellEnd"/>
      <w:r>
        <w:rPr>
          <w:rFonts w:ascii="Times New Roman" w:hAnsi="Times New Roman"/>
          <w:sz w:val="24"/>
          <w:szCs w:val="24"/>
        </w:rPr>
        <w:t xml:space="preserve"> (Havana) and </w:t>
      </w:r>
      <w:proofErr w:type="spellStart"/>
      <w:r>
        <w:rPr>
          <w:rFonts w:ascii="Times New Roman" w:hAnsi="Times New Roman"/>
          <w:sz w:val="24"/>
          <w:szCs w:val="24"/>
        </w:rPr>
        <w:t>Tintol</w:t>
      </w:r>
      <w:proofErr w:type="spellEnd"/>
      <w:r>
        <w:rPr>
          <w:rFonts w:ascii="Times New Roman" w:hAnsi="Times New Roman"/>
          <w:sz w:val="24"/>
          <w:szCs w:val="24"/>
        </w:rPr>
        <w:t xml:space="preserve"> LLC d/b/a Clubhouse </w:t>
      </w:r>
      <w:proofErr w:type="spellStart"/>
      <w:r>
        <w:rPr>
          <w:rFonts w:ascii="Times New Roman" w:hAnsi="Times New Roman"/>
          <w:sz w:val="24"/>
          <w:szCs w:val="24"/>
        </w:rPr>
        <w:t>CafÉ</w:t>
      </w:r>
      <w:proofErr w:type="spellEnd"/>
      <w:r>
        <w:rPr>
          <w:rFonts w:ascii="Times New Roman" w:hAnsi="Times New Roman"/>
          <w:sz w:val="24"/>
          <w:szCs w:val="24"/>
        </w:rPr>
        <w:t xml:space="preserve"> (</w:t>
      </w:r>
      <w:proofErr w:type="spellStart"/>
      <w:r>
        <w:rPr>
          <w:rFonts w:ascii="Times New Roman" w:hAnsi="Times New Roman"/>
          <w:sz w:val="24"/>
          <w:szCs w:val="24"/>
        </w:rPr>
        <w:t>Tintol</w:t>
      </w:r>
      <w:proofErr w:type="spellEnd"/>
      <w:r>
        <w:rPr>
          <w:rFonts w:ascii="Times New Roman" w:hAnsi="Times New Roman"/>
          <w:sz w:val="24"/>
          <w:szCs w:val="24"/>
        </w:rPr>
        <w:t>) created the dangerous condition when their employees hosed the sidewalk on a cold winter day (</w:t>
      </w:r>
      <w:r>
        <w:rPr>
          <w:rFonts w:ascii="Times New Roman" w:hAnsi="Times New Roman"/>
          <w:i/>
          <w:iCs/>
          <w:sz w:val="24"/>
          <w:szCs w:val="24"/>
        </w:rPr>
        <w:t>see Mercer v City of New York</w:t>
      </w:r>
      <w:r>
        <w:rPr>
          <w:rFonts w:ascii="Times New Roman" w:hAnsi="Times New Roman"/>
          <w:sz w:val="24"/>
          <w:szCs w:val="24"/>
        </w:rPr>
        <w:t>, 88 NY2d 955, 956 [1996]). Defendants-owners Concord Partners 46</w:t>
      </w:r>
      <w:r>
        <w:rPr>
          <w:rFonts w:ascii="Times New Roman" w:hAnsi="Times New Roman"/>
          <w:sz w:val="24"/>
          <w:szCs w:val="24"/>
          <w:vertAlign w:val="superscript"/>
        </w:rPr>
        <w:t>th</w:t>
      </w:r>
      <w:r>
        <w:rPr>
          <w:rFonts w:ascii="Times New Roman" w:hAnsi="Times New Roman"/>
          <w:sz w:val="24"/>
          <w:szCs w:val="24"/>
        </w:rPr>
        <w:t xml:space="preserve"> Street LLC (Concord) and Elo Equity, LLC, had a </w:t>
      </w:r>
      <w:proofErr w:type="spellStart"/>
      <w:r>
        <w:rPr>
          <w:rFonts w:ascii="Times New Roman" w:hAnsi="Times New Roman"/>
          <w:sz w:val="24"/>
          <w:szCs w:val="24"/>
        </w:rPr>
        <w:t>non delegable</w:t>
      </w:r>
      <w:proofErr w:type="spellEnd"/>
      <w:r>
        <w:rPr>
          <w:rFonts w:ascii="Times New Roman" w:hAnsi="Times New Roman"/>
          <w:sz w:val="24"/>
          <w:szCs w:val="24"/>
        </w:rPr>
        <w:t xml:space="preserve"> duty to maintain the sidewalk and had notice that the restaurant employees had created a dangerous condition, because Concord’s property manager and Elo’s superintendent had observed the restaurants’ employees hosing the sidewalk.” </w:t>
      </w:r>
    </w:p>
    <w:p w14:paraId="233FB984" w14:textId="77777777" w:rsidR="00F37F48" w:rsidRDefault="00F37F48" w:rsidP="00F37F48">
      <w:pPr>
        <w:pStyle w:val="NoSpacing"/>
        <w:ind w:left="720"/>
        <w:rPr>
          <w:rFonts w:ascii="Times New Roman" w:hAnsi="Times New Roman"/>
          <w:sz w:val="24"/>
          <w:szCs w:val="24"/>
        </w:rPr>
      </w:pPr>
      <w:hyperlink r:id="rId2285" w:history="1">
        <w:r>
          <w:rPr>
            <w:rStyle w:val="Hyperlink"/>
          </w:rPr>
          <w:t>https://casetext.com/case/benny-v-concord-partners-46th-st-llc-2</w:t>
        </w:r>
      </w:hyperlink>
      <w:r>
        <w:rPr>
          <w:rFonts w:ascii="Times New Roman" w:hAnsi="Times New Roman"/>
          <w:sz w:val="24"/>
          <w:szCs w:val="24"/>
        </w:rPr>
        <w:t xml:space="preserve">  </w:t>
      </w:r>
    </w:p>
    <w:p w14:paraId="40BFCDC4" w14:textId="77777777" w:rsidR="00F37F48" w:rsidRDefault="00F37F48" w:rsidP="00F37F48">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Legal Lesson Learned:  Watering down sidewalk on cold winter day is “inviting litigation.”  Even if EMT is covered by workers comp, he is entitled to sue for pain and suffering.</w:t>
      </w:r>
    </w:p>
    <w:p w14:paraId="0714F98D" w14:textId="77777777" w:rsidR="00F37F48" w:rsidRDefault="00F37F48" w:rsidP="002B1283">
      <w:pPr>
        <w:rPr>
          <w:rFonts w:ascii="Arial Black" w:hAnsi="Arial Black"/>
          <w:b/>
          <w:bCs/>
          <w:sz w:val="28"/>
          <w:szCs w:val="28"/>
        </w:rPr>
      </w:pPr>
    </w:p>
    <w:p w14:paraId="3C44EDE5" w14:textId="77B4BC81" w:rsidR="00F37F48" w:rsidRDefault="00F37F48" w:rsidP="002B1283">
      <w:pPr>
        <w:rPr>
          <w:rFonts w:ascii="Arial Black" w:hAnsi="Arial Black"/>
          <w:b/>
          <w:bCs/>
          <w:sz w:val="28"/>
          <w:szCs w:val="28"/>
        </w:rPr>
      </w:pPr>
      <w:r>
        <w:rPr>
          <w:rFonts w:ascii="Arial Black" w:hAnsi="Arial Black"/>
          <w:b/>
          <w:bCs/>
          <w:sz w:val="28"/>
          <w:szCs w:val="28"/>
        </w:rPr>
        <w:t>13-74</w:t>
      </w:r>
    </w:p>
    <w:p w14:paraId="248C68A3" w14:textId="77777777" w:rsidR="00F37F48" w:rsidRDefault="00F37F48" w:rsidP="00F37F48">
      <w:pPr>
        <w:rPr>
          <w:rFonts w:ascii="Arial Black" w:eastAsiaTheme="minorHAnsi" w:hAnsi="Arial Black" w:cstheme="minorBidi"/>
          <w:sz w:val="28"/>
          <w:szCs w:val="28"/>
        </w:rPr>
      </w:pPr>
      <w:r>
        <w:rPr>
          <w:rFonts w:ascii="Arial Black" w:hAnsi="Arial Black"/>
          <w:sz w:val="28"/>
          <w:szCs w:val="28"/>
        </w:rPr>
        <w:t>PA:  HIPAA VOIOLATION - FD SHARED FF’S WORK. COMP BACK INJURY CLAIM – “PROTECTED HEALTH INFORMATION” (PHI)</w:t>
      </w:r>
    </w:p>
    <w:p w14:paraId="3996E911" w14:textId="77777777" w:rsidR="00F37F48" w:rsidRDefault="00F37F48" w:rsidP="00F37F48">
      <w:pPr>
        <w:rPr>
          <w:rFonts w:ascii="Times New Roman" w:hAnsi="Times New Roman"/>
          <w:sz w:val="24"/>
          <w:szCs w:val="24"/>
        </w:rPr>
      </w:pPr>
      <w:r>
        <w:rPr>
          <w:rFonts w:ascii="Times New Roman" w:hAnsi="Times New Roman"/>
          <w:sz w:val="24"/>
          <w:szCs w:val="24"/>
        </w:rPr>
        <w:t xml:space="preserve">On Dec. 15, 2020, in </w:t>
      </w:r>
      <w:r>
        <w:rPr>
          <w:rFonts w:ascii="Times New Roman" w:hAnsi="Times New Roman"/>
          <w:sz w:val="24"/>
          <w:szCs w:val="24"/>
          <w:u w:val="single"/>
        </w:rPr>
        <w:t>William Maude v. City of Philadelphia</w:t>
      </w:r>
      <w:r>
        <w:rPr>
          <w:rFonts w:ascii="Times New Roman" w:hAnsi="Times New Roman"/>
          <w:sz w:val="24"/>
          <w:szCs w:val="24"/>
        </w:rPr>
        <w:t xml:space="preserve">, U.S. Magistrate Judge Lynne A. Sitarski, U.S. District Court for Eastern District of Pennsylvania, ruled that the firefighter’s Expert [from University of Pittsburg Medical Center] may testify that the information shared meets definition of “protected health information,” but he cannot testify this was an actual violation of HIPAA – that’s up to the jury. </w:t>
      </w:r>
    </w:p>
    <w:p w14:paraId="6D77FF53" w14:textId="77777777" w:rsidR="00F37F48" w:rsidRDefault="00F37F48" w:rsidP="00F37F48">
      <w:pPr>
        <w:ind w:left="720"/>
        <w:rPr>
          <w:rFonts w:ascii="Times New Roman" w:eastAsia="Times New Roman" w:hAnsi="Times New Roman"/>
          <w:sz w:val="24"/>
          <w:szCs w:val="24"/>
        </w:rPr>
      </w:pPr>
      <w:r>
        <w:t>“</w:t>
      </w:r>
      <w:r>
        <w:rPr>
          <w:rFonts w:ascii="Times New Roman" w:eastAsia="Times New Roman" w:hAnsi="Times New Roman"/>
          <w:sz w:val="24"/>
          <w:szCs w:val="24"/>
        </w:rPr>
        <w:t>To allow Andrews to opine that Defendant violated its policies and HIPAA regulations incorporated in his employment agreement usurps the jury’s responsibility to determine whether a breach occurred.</w:t>
      </w:r>
    </w:p>
    <w:p w14:paraId="2F8AFE4D" w14:textId="77777777" w:rsidR="00F37F48" w:rsidRDefault="00F37F48" w:rsidP="00F37F48">
      <w:pPr>
        <w:spacing w:before="100" w:beforeAutospacing="1" w:after="100" w:afterAutospacing="1" w:line="240" w:lineRule="auto"/>
        <w:ind w:left="720" w:firstLine="60"/>
        <w:rPr>
          <w:rFonts w:ascii="Times New Roman" w:eastAsia="Times New Roman" w:hAnsi="Times New Roman"/>
          <w:sz w:val="24"/>
          <w:szCs w:val="24"/>
        </w:rPr>
      </w:pPr>
      <w:r>
        <w:rPr>
          <w:rFonts w:ascii="Times New Roman" w:eastAsia="Times New Roman" w:hAnsi="Times New Roman"/>
          <w:sz w:val="24"/>
          <w:szCs w:val="24"/>
        </w:rPr>
        <w:t xml:space="preserve">Andrews’ other HIPAA conclusions challenged by Defendant are permissible. Andrews opines that the information contained in Plaintiff’s workers’ compensation referral form meets HIPAA’s definition of ‘protected health information’ because it ‘is </w:t>
      </w:r>
      <w:proofErr w:type="gramStart"/>
      <w:r>
        <w:rPr>
          <w:rFonts w:ascii="Times New Roman" w:eastAsia="Times New Roman" w:hAnsi="Times New Roman"/>
          <w:sz w:val="24"/>
          <w:szCs w:val="24"/>
        </w:rPr>
        <w:t>individually-identifiable</w:t>
      </w:r>
      <w:proofErr w:type="gramEnd"/>
      <w:r>
        <w:rPr>
          <w:rFonts w:ascii="Times New Roman" w:eastAsia="Times New Roman" w:hAnsi="Times New Roman"/>
          <w:sz w:val="24"/>
          <w:szCs w:val="24"/>
        </w:rPr>
        <w:t xml:space="preserve"> and relates to </w:t>
      </w:r>
      <w:proofErr w:type="gramStart"/>
      <w:r>
        <w:rPr>
          <w:rFonts w:ascii="Times New Roman" w:eastAsia="Times New Roman" w:hAnsi="Times New Roman"/>
          <w:sz w:val="24"/>
          <w:szCs w:val="24"/>
        </w:rPr>
        <w:t>a medical</w:t>
      </w:r>
      <w:proofErr w:type="gramEnd"/>
      <w:r>
        <w:rPr>
          <w:rFonts w:ascii="Times New Roman" w:eastAsia="Times New Roman" w:hAnsi="Times New Roman"/>
          <w:sz w:val="24"/>
          <w:szCs w:val="24"/>
        </w:rPr>
        <w:t xml:space="preserve"> condition, treatment or payment for healthcare.’ (</w:t>
      </w:r>
      <w:proofErr w:type="spellStart"/>
      <w:r>
        <w:rPr>
          <w:rFonts w:ascii="Times New Roman" w:eastAsia="Times New Roman" w:hAnsi="Times New Roman"/>
          <w:sz w:val="24"/>
          <w:szCs w:val="24"/>
        </w:rPr>
        <w:t>Def.’s</w:t>
      </w:r>
      <w:proofErr w:type="spellEnd"/>
      <w:r>
        <w:rPr>
          <w:rFonts w:ascii="Times New Roman" w:eastAsia="Times New Roman" w:hAnsi="Times New Roman"/>
          <w:sz w:val="24"/>
          <w:szCs w:val="24"/>
        </w:rPr>
        <w:t xml:space="preserve"> Mot. To Exclude Ex. E 12). He notes that HIPAA covers ‘all protected health information,’ regardless of the form in which it is contained, and that at no time did Plaintiff authorize the dissemination of his information outside the necessary chain of command…. He also opines that there was no other basis for disclosure and that ‘HIPAA establish[es] a floor, not a ceiling for the applicable standard of care . . . .’”</w:t>
      </w:r>
      <w:r>
        <w:t xml:space="preserve"> </w:t>
      </w:r>
      <w:hyperlink r:id="rId2286" w:history="1">
        <w:r>
          <w:rPr>
            <w:rStyle w:val="Hyperlink"/>
          </w:rPr>
          <w:t>https://casetext.com/case/maude-v-city-of-phila</w:t>
        </w:r>
      </w:hyperlink>
      <w:r>
        <w:t xml:space="preserve"> </w:t>
      </w:r>
    </w:p>
    <w:p w14:paraId="050DD50F" w14:textId="77777777" w:rsidR="00F37F48" w:rsidRDefault="00F37F48" w:rsidP="00F37F48">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“Protected health information” under HIPAA is a broad term and Fire Departments and municipalities must carefully limit who reviews workers comp and other employee PHI.  </w:t>
      </w:r>
    </w:p>
    <w:p w14:paraId="65E28C98" w14:textId="77777777" w:rsidR="00F37F48" w:rsidRDefault="00F37F48" w:rsidP="002B1283">
      <w:pPr>
        <w:rPr>
          <w:rFonts w:ascii="Arial Black" w:hAnsi="Arial Black"/>
          <w:b/>
          <w:bCs/>
          <w:sz w:val="28"/>
          <w:szCs w:val="28"/>
        </w:rPr>
      </w:pPr>
    </w:p>
    <w:p w14:paraId="2F7131B3" w14:textId="35D5CB3C" w:rsidR="00F37F48" w:rsidRDefault="00F37F48" w:rsidP="002B1283">
      <w:pPr>
        <w:rPr>
          <w:rFonts w:ascii="Arial Black" w:hAnsi="Arial Black"/>
          <w:b/>
          <w:bCs/>
          <w:sz w:val="28"/>
          <w:szCs w:val="28"/>
        </w:rPr>
      </w:pPr>
      <w:r>
        <w:rPr>
          <w:rFonts w:ascii="Arial Black" w:hAnsi="Arial Black"/>
          <w:b/>
          <w:bCs/>
          <w:sz w:val="28"/>
          <w:szCs w:val="28"/>
        </w:rPr>
        <w:t>13-73</w:t>
      </w:r>
    </w:p>
    <w:p w14:paraId="513126CA" w14:textId="77777777" w:rsidR="00F37F48" w:rsidRDefault="00F37F48" w:rsidP="00F37F48">
      <w:pPr>
        <w:rPr>
          <w:rFonts w:ascii="Arial Black" w:hAnsi="Arial Black" w:cstheme="minorBidi"/>
          <w:sz w:val="28"/>
          <w:szCs w:val="28"/>
        </w:rPr>
      </w:pPr>
      <w:r>
        <w:rPr>
          <w:rFonts w:ascii="Arial Black" w:hAnsi="Arial Black"/>
          <w:sz w:val="28"/>
          <w:szCs w:val="28"/>
        </w:rPr>
        <w:t>NJ: 85-YR-OLD PATIENT – EMS LIFTED HER TO STRETCHER – DOC. PATIENT PAIN LEFT ARM – IMMUNITY, “GOOD FAITH”</w:t>
      </w:r>
    </w:p>
    <w:p w14:paraId="65A9EDE5"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11, 2020, in </w:t>
      </w:r>
      <w:r>
        <w:rPr>
          <w:rFonts w:ascii="Times New Roman" w:eastAsia="Times New Roman" w:hAnsi="Times New Roman"/>
          <w:sz w:val="24"/>
          <w:szCs w:val="24"/>
          <w:u w:val="single"/>
        </w:rPr>
        <w:t>Rose Bengel and Henry Bengel v. Holiday City At Berkley Fire Aid Squad, Inc., et al.</w:t>
      </w:r>
      <w:r>
        <w:rPr>
          <w:rFonts w:ascii="Times New Roman" w:eastAsia="Times New Roman" w:hAnsi="Times New Roman"/>
          <w:sz w:val="24"/>
          <w:szCs w:val="24"/>
        </w:rPr>
        <w:t xml:space="preserve">, the Superior Court of New Jersey, Appellative Division, held (2 to 0; unreported decision) that the trial court properly held the EMS personnel enjoyed immunity under state law, since they acted in “good faith.” </w:t>
      </w:r>
    </w:p>
    <w:p w14:paraId="43185437" w14:textId="77777777" w:rsidR="00F37F48" w:rsidRDefault="00F37F48" w:rsidP="00F37F48">
      <w:pPr>
        <w:pStyle w:val="NoSpacing"/>
        <w:ind w:left="720"/>
        <w:rPr>
          <w:rFonts w:ascii="Times New Roman" w:eastAsiaTheme="minorHAnsi" w:hAnsi="Times New Roman"/>
          <w:sz w:val="24"/>
          <w:szCs w:val="24"/>
        </w:rPr>
      </w:pPr>
      <w:r>
        <w:rPr>
          <w:rFonts w:ascii="Times New Roman" w:hAnsi="Times New Roman"/>
          <w:sz w:val="24"/>
          <w:szCs w:val="24"/>
        </w:rPr>
        <w:t>“Plaintiffs' assertion that defendants' paperwork containing a conflicting account of what occurred at the Bengel home bespeaks falsification and, in turn, the absence of good faith in providing first aid to Rose, constitutes rank speculation.</w:t>
      </w:r>
    </w:p>
    <w:p w14:paraId="17639CA6" w14:textId="77777777" w:rsidR="00F37F48" w:rsidRDefault="00F37F48" w:rsidP="00F37F48">
      <w:pPr>
        <w:pStyle w:val="NoSpacing"/>
        <w:rPr>
          <w:rFonts w:ascii="Times New Roman" w:hAnsi="Times New Roman"/>
          <w:sz w:val="24"/>
          <w:szCs w:val="24"/>
        </w:rPr>
      </w:pPr>
    </w:p>
    <w:p w14:paraId="637D3789" w14:textId="77777777" w:rsidR="00F37F48" w:rsidRDefault="00F37F48" w:rsidP="00F37F48">
      <w:pPr>
        <w:pStyle w:val="NoSpacing"/>
        <w:ind w:firstLine="720"/>
        <w:rPr>
          <w:rFonts w:ascii="Times New Roman" w:hAnsi="Times New Roman"/>
          <w:sz w:val="24"/>
          <w:szCs w:val="24"/>
        </w:rPr>
      </w:pPr>
      <w:r>
        <w:rPr>
          <w:rFonts w:ascii="Times New Roman" w:hAnsi="Times New Roman"/>
          <w:sz w:val="24"/>
          <w:szCs w:val="24"/>
        </w:rPr>
        <w:t>***</w:t>
      </w:r>
    </w:p>
    <w:p w14:paraId="55C87B8E" w14:textId="77777777" w:rsidR="00F37F48" w:rsidRDefault="00F37F48" w:rsidP="00F37F48">
      <w:pPr>
        <w:pStyle w:val="NormalWeb"/>
        <w:ind w:left="720"/>
      </w:pPr>
      <w:r>
        <w:t xml:space="preserve">Notably, contrary to plaintiffs' account, the judge found that in transferring Rose from her wheelchair to the stretcher, ‘Phillips . . . wrapped his arms around [Rose's] mid-section’ and Kobus and Phillips ‘gently placed [Rose] on the stretcher.’” </w:t>
      </w:r>
      <w:hyperlink r:id="rId2287" w:history="1">
        <w:r>
          <w:rPr>
            <w:rStyle w:val="Hyperlink"/>
          </w:rPr>
          <w:t>https://njcourts.gov/attorneys/assets/opinions/appellate/unpublished/a0530-19.pdf</w:t>
        </w:r>
      </w:hyperlink>
      <w:r>
        <w:t xml:space="preserve"> </w:t>
      </w:r>
    </w:p>
    <w:p w14:paraId="2516ACE9" w14:textId="77777777" w:rsidR="00F37F48" w:rsidRDefault="00F37F48" w:rsidP="00F37F48">
      <w:pPr>
        <w:spacing w:after="100"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EMS properly documented in patient care report that patient reported pain in the left arm; showed they were acting in “good faith.” </w:t>
      </w:r>
    </w:p>
    <w:p w14:paraId="61A363A8" w14:textId="54331758" w:rsidR="00F37F48" w:rsidRDefault="00F37F48" w:rsidP="002B1283">
      <w:pPr>
        <w:rPr>
          <w:rFonts w:ascii="Arial Black" w:hAnsi="Arial Black"/>
          <w:b/>
          <w:bCs/>
          <w:sz w:val="28"/>
          <w:szCs w:val="28"/>
        </w:rPr>
      </w:pPr>
    </w:p>
    <w:p w14:paraId="471379B6" w14:textId="77777777" w:rsidR="00F37F48" w:rsidRDefault="00F37F48" w:rsidP="002B1283">
      <w:pPr>
        <w:rPr>
          <w:rFonts w:ascii="Arial Black" w:hAnsi="Arial Black"/>
          <w:b/>
          <w:bCs/>
          <w:sz w:val="28"/>
          <w:szCs w:val="28"/>
        </w:rPr>
      </w:pPr>
    </w:p>
    <w:p w14:paraId="5475C7C1" w14:textId="6C34AFB0" w:rsidR="00663A6A" w:rsidRDefault="00663A6A" w:rsidP="002B1283">
      <w:pPr>
        <w:rPr>
          <w:rFonts w:ascii="Arial Black" w:hAnsi="Arial Black"/>
          <w:b/>
          <w:bCs/>
          <w:sz w:val="28"/>
          <w:szCs w:val="28"/>
        </w:rPr>
      </w:pPr>
      <w:r>
        <w:rPr>
          <w:rFonts w:ascii="Arial Black" w:hAnsi="Arial Black"/>
          <w:b/>
          <w:bCs/>
          <w:sz w:val="28"/>
          <w:szCs w:val="28"/>
        </w:rPr>
        <w:t>13-72</w:t>
      </w:r>
    </w:p>
    <w:p w14:paraId="6393AA01" w14:textId="77777777" w:rsidR="00663A6A" w:rsidRDefault="00663A6A" w:rsidP="00663A6A">
      <w:pPr>
        <w:rPr>
          <w:rFonts w:ascii="Arial Black" w:hAnsi="Arial Black"/>
          <w:sz w:val="28"/>
          <w:szCs w:val="28"/>
        </w:rPr>
      </w:pPr>
      <w:r>
        <w:rPr>
          <w:rFonts w:ascii="Arial Black" w:hAnsi="Arial Black"/>
          <w:sz w:val="28"/>
          <w:szCs w:val="28"/>
        </w:rPr>
        <w:t>NY: COVID-19 – U.S. SUPREME COURT INJUNCTION [5 T0 4] - GOV. CUOMO’S LIMITS ON RELIGIOUS GATHERINGS</w:t>
      </w:r>
    </w:p>
    <w:p w14:paraId="32EDCE1E" w14:textId="77777777" w:rsidR="00663A6A" w:rsidRPr="00D04237" w:rsidRDefault="00663A6A" w:rsidP="00663A6A">
      <w:pPr>
        <w:rPr>
          <w:rFonts w:ascii="Times New Roman" w:hAnsi="Times New Roman"/>
          <w:sz w:val="24"/>
          <w:szCs w:val="24"/>
        </w:rPr>
      </w:pPr>
      <w:r>
        <w:rPr>
          <w:rFonts w:ascii="Times New Roman" w:hAnsi="Times New Roman"/>
          <w:sz w:val="24"/>
          <w:szCs w:val="24"/>
        </w:rPr>
        <w:t xml:space="preserve">On Nov. 25, 2020, in </w:t>
      </w:r>
      <w:r w:rsidRPr="00D04237">
        <w:rPr>
          <w:rFonts w:ascii="Times New Roman" w:hAnsi="Times New Roman"/>
          <w:sz w:val="24"/>
          <w:szCs w:val="24"/>
          <w:u w:val="single"/>
        </w:rPr>
        <w:t>Roman Catholic Diocese of Brooklyn v. Cuomo and Agudath Israel v. Cuomo</w:t>
      </w:r>
      <w:r>
        <w:rPr>
          <w:rFonts w:ascii="Times New Roman" w:hAnsi="Times New Roman"/>
          <w:sz w:val="24"/>
          <w:szCs w:val="24"/>
        </w:rPr>
        <w:t xml:space="preserve">, the U.S. Supreme Court (5 to 4) issued an emergency injunction on the Governor’s 10-person (“Red Zones”) and 25-person (“Orange Zones”) occupancy limits. </w:t>
      </w:r>
    </w:p>
    <w:p w14:paraId="680921FF" w14:textId="77777777" w:rsidR="00663A6A" w:rsidRDefault="00663A6A" w:rsidP="00663A6A">
      <w:pPr>
        <w:pStyle w:val="NoSpacing"/>
        <w:ind w:left="720"/>
        <w:rPr>
          <w:rFonts w:ascii="Times New Roman" w:hAnsi="Times New Roman"/>
          <w:sz w:val="24"/>
          <w:szCs w:val="24"/>
        </w:rPr>
      </w:pPr>
      <w:r>
        <w:rPr>
          <w:rFonts w:ascii="Times New Roman" w:hAnsi="Times New Roman"/>
          <w:sz w:val="24"/>
          <w:szCs w:val="24"/>
        </w:rPr>
        <w:t>“</w:t>
      </w:r>
      <w:r w:rsidRPr="00D04237">
        <w:rPr>
          <w:rFonts w:ascii="Times New Roman" w:hAnsi="Times New Roman"/>
          <w:sz w:val="24"/>
          <w:szCs w:val="24"/>
        </w:rPr>
        <w:t>Respondent is enjoined from enforcing Executive Order 202.68’s 10- and 25-person occupancy limits on applicant pending disposition of the appeal in the United States Court of Appeals for the Second Circuit and disposition of the petition for a writ of certiorari, if such writ is timely sought.</w:t>
      </w:r>
    </w:p>
    <w:p w14:paraId="416A3051" w14:textId="77777777" w:rsidR="00663A6A" w:rsidRDefault="00663A6A" w:rsidP="00663A6A">
      <w:pPr>
        <w:pStyle w:val="NoSpacing"/>
        <w:ind w:left="720"/>
        <w:rPr>
          <w:rFonts w:ascii="Times New Roman" w:hAnsi="Times New Roman"/>
          <w:sz w:val="24"/>
          <w:szCs w:val="24"/>
        </w:rPr>
      </w:pPr>
    </w:p>
    <w:p w14:paraId="21CC76DC" w14:textId="77777777" w:rsidR="00663A6A" w:rsidRDefault="00663A6A" w:rsidP="00663A6A">
      <w:pPr>
        <w:pStyle w:val="NoSpacing"/>
        <w:ind w:left="720"/>
        <w:rPr>
          <w:rFonts w:ascii="Times New Roman" w:hAnsi="Times New Roman"/>
          <w:sz w:val="24"/>
          <w:szCs w:val="24"/>
        </w:rPr>
      </w:pPr>
      <w:r w:rsidRPr="00D04237">
        <w:rPr>
          <w:rFonts w:ascii="Times New Roman" w:hAnsi="Times New Roman"/>
          <w:sz w:val="24"/>
          <w:szCs w:val="24"/>
        </w:rPr>
        <w:t xml:space="preserve">In a red zone, while a synagogue or church may not admit more than 10 persons, businesses categorized as </w:t>
      </w:r>
      <w:r>
        <w:rPr>
          <w:rFonts w:ascii="Times New Roman" w:hAnsi="Times New Roman"/>
          <w:sz w:val="24"/>
          <w:szCs w:val="24"/>
        </w:rPr>
        <w:t>‘</w:t>
      </w:r>
      <w:r w:rsidRPr="00D04237">
        <w:rPr>
          <w:rFonts w:ascii="Times New Roman" w:hAnsi="Times New Roman"/>
          <w:sz w:val="24"/>
          <w:szCs w:val="24"/>
        </w:rPr>
        <w:t>essential</w:t>
      </w:r>
      <w:r>
        <w:rPr>
          <w:rFonts w:ascii="Times New Roman" w:hAnsi="Times New Roman"/>
          <w:sz w:val="24"/>
          <w:szCs w:val="24"/>
        </w:rPr>
        <w:t xml:space="preserve">’ </w:t>
      </w:r>
      <w:r w:rsidRPr="00D04237">
        <w:rPr>
          <w:rFonts w:ascii="Times New Roman" w:hAnsi="Times New Roman"/>
          <w:sz w:val="24"/>
          <w:szCs w:val="24"/>
        </w:rPr>
        <w:t xml:space="preserve">may admit as many people as they wish. And the list of “essential” businesses includes things such as acupuncture facilities, </w:t>
      </w:r>
      <w:proofErr w:type="gramStart"/>
      <w:r w:rsidRPr="00D04237">
        <w:rPr>
          <w:rFonts w:ascii="Times New Roman" w:hAnsi="Times New Roman"/>
          <w:sz w:val="24"/>
          <w:szCs w:val="24"/>
        </w:rPr>
        <w:t>camp grounds</w:t>
      </w:r>
      <w:proofErr w:type="gramEnd"/>
      <w:r w:rsidRPr="00D04237">
        <w:rPr>
          <w:rFonts w:ascii="Times New Roman" w:hAnsi="Times New Roman"/>
          <w:sz w:val="24"/>
          <w:szCs w:val="24"/>
        </w:rPr>
        <w:t>, garages, as well as many whose services are not limited to those that can be regarded as essential, such as all plants manufacturing chemicals and mi</w:t>
      </w:r>
      <w:r>
        <w:rPr>
          <w:rFonts w:ascii="Times New Roman" w:hAnsi="Times New Roman"/>
          <w:sz w:val="24"/>
          <w:szCs w:val="24"/>
        </w:rPr>
        <w:t>c</w:t>
      </w:r>
      <w:r w:rsidRPr="00D04237">
        <w:rPr>
          <w:rFonts w:ascii="Times New Roman" w:hAnsi="Times New Roman"/>
          <w:sz w:val="24"/>
          <w:szCs w:val="24"/>
        </w:rPr>
        <w:t>roelectronics and all transportation facilities.</w:t>
      </w:r>
      <w:r>
        <w:rPr>
          <w:rFonts w:ascii="Times New Roman" w:hAnsi="Times New Roman"/>
          <w:sz w:val="24"/>
          <w:szCs w:val="24"/>
        </w:rPr>
        <w:t>”</w:t>
      </w:r>
    </w:p>
    <w:p w14:paraId="3BF88AD2" w14:textId="77777777" w:rsidR="00663A6A" w:rsidRPr="00D04237" w:rsidRDefault="00663A6A" w:rsidP="00663A6A">
      <w:pPr>
        <w:pStyle w:val="NoSpacing"/>
        <w:ind w:left="720"/>
        <w:rPr>
          <w:rFonts w:ascii="Times New Roman" w:hAnsi="Times New Roman"/>
          <w:sz w:val="24"/>
          <w:szCs w:val="24"/>
        </w:rPr>
      </w:pPr>
      <w:hyperlink r:id="rId2288" w:history="1">
        <w:r w:rsidRPr="003E3134">
          <w:rPr>
            <w:rStyle w:val="Hyperlink"/>
            <w:rFonts w:ascii="Times New Roman" w:hAnsi="Times New Roman"/>
            <w:sz w:val="24"/>
            <w:szCs w:val="24"/>
          </w:rPr>
          <w:t>https://www.supremecourt.gov/opinions/20pdf/20a87_4g15.pdf</w:t>
        </w:r>
      </w:hyperlink>
      <w:r w:rsidRPr="00D04237">
        <w:rPr>
          <w:rFonts w:ascii="Times New Roman" w:hAnsi="Times New Roman"/>
          <w:sz w:val="24"/>
          <w:szCs w:val="24"/>
        </w:rPr>
        <w:t xml:space="preserve"> </w:t>
      </w:r>
    </w:p>
    <w:p w14:paraId="48F27D45" w14:textId="77777777" w:rsidR="00663A6A" w:rsidRDefault="00663A6A" w:rsidP="00663A6A">
      <w:pPr>
        <w:pStyle w:val="NoSpacing"/>
      </w:pPr>
    </w:p>
    <w:p w14:paraId="19BC97E3" w14:textId="77777777" w:rsidR="00663A6A" w:rsidRDefault="00663A6A" w:rsidP="00663A6A">
      <w:pPr>
        <w:pStyle w:val="NoSpacing"/>
        <w:rPr>
          <w:rFonts w:ascii="Times New Roman" w:hAnsi="Times New Roman"/>
          <w:b/>
          <w:bCs/>
          <w:sz w:val="24"/>
          <w:szCs w:val="24"/>
        </w:rPr>
      </w:pPr>
      <w:r w:rsidRPr="007D031B">
        <w:rPr>
          <w:b/>
          <w:bCs/>
        </w:rPr>
        <w:t xml:space="preserve"> </w:t>
      </w:r>
      <w:r w:rsidRPr="007D031B">
        <w:rPr>
          <w:rFonts w:ascii="Times New Roman" w:hAnsi="Times New Roman"/>
          <w:b/>
          <w:bCs/>
          <w:sz w:val="24"/>
          <w:szCs w:val="24"/>
        </w:rPr>
        <w:t xml:space="preserve">Legal Lessons Learned: The 5 “conservative” members of the Court issued the injunction, over the dissent of 4 other Justices.  </w:t>
      </w:r>
    </w:p>
    <w:p w14:paraId="731B8E71" w14:textId="77777777" w:rsidR="00663A6A" w:rsidRDefault="00663A6A" w:rsidP="00663A6A">
      <w:pPr>
        <w:pStyle w:val="NoSpacing"/>
        <w:rPr>
          <w:rFonts w:ascii="Times New Roman" w:hAnsi="Times New Roman"/>
          <w:b/>
          <w:bCs/>
          <w:sz w:val="24"/>
          <w:szCs w:val="24"/>
        </w:rPr>
      </w:pPr>
    </w:p>
    <w:p w14:paraId="033480FC" w14:textId="77777777" w:rsidR="00663A6A" w:rsidRDefault="00663A6A" w:rsidP="00663A6A">
      <w:pPr>
        <w:pStyle w:val="NoSpacing"/>
        <w:ind w:left="720"/>
        <w:rPr>
          <w:rFonts w:ascii="Times New Roman" w:hAnsi="Times New Roman"/>
          <w:sz w:val="24"/>
          <w:szCs w:val="24"/>
        </w:rPr>
      </w:pPr>
      <w:r w:rsidRPr="007D031B">
        <w:rPr>
          <w:rFonts w:ascii="Times New Roman" w:hAnsi="Times New Roman"/>
          <w:sz w:val="24"/>
          <w:szCs w:val="24"/>
        </w:rPr>
        <w:t xml:space="preserve">Note: </w:t>
      </w:r>
      <w:r>
        <w:rPr>
          <w:rFonts w:ascii="Times New Roman" w:hAnsi="Times New Roman"/>
          <w:sz w:val="24"/>
          <w:szCs w:val="24"/>
        </w:rPr>
        <w:t xml:space="preserve"> Majority decision by Justices Samuel Alito; Amy Coney Barrett; Neil Gorsuch; Brett Kavanaugh; Clarence Thomas</w:t>
      </w:r>
    </w:p>
    <w:p w14:paraId="2D8BB461" w14:textId="104507CF" w:rsidR="00663A6A" w:rsidRDefault="00663A6A" w:rsidP="00663A6A">
      <w:pPr>
        <w:rPr>
          <w:rFonts w:ascii="Arial Black" w:hAnsi="Arial Black"/>
          <w:b/>
          <w:bCs/>
          <w:sz w:val="28"/>
          <w:szCs w:val="28"/>
        </w:rPr>
      </w:pPr>
      <w:r>
        <w:rPr>
          <w:rFonts w:ascii="Times New Roman" w:hAnsi="Times New Roman"/>
          <w:sz w:val="24"/>
          <w:szCs w:val="24"/>
        </w:rPr>
        <w:t>Dissenting: Chief Justice John Roberts; Justices Steve Breyer; Elana Kagan; Sonia Sotomayor</w:t>
      </w:r>
    </w:p>
    <w:p w14:paraId="6A8A2C1A" w14:textId="77777777" w:rsidR="00663A6A" w:rsidRDefault="00663A6A" w:rsidP="002B1283">
      <w:pPr>
        <w:rPr>
          <w:rFonts w:ascii="Arial Black" w:hAnsi="Arial Black"/>
          <w:b/>
          <w:bCs/>
          <w:sz w:val="28"/>
          <w:szCs w:val="28"/>
        </w:rPr>
      </w:pPr>
    </w:p>
    <w:p w14:paraId="344AEE7E" w14:textId="457D148D" w:rsidR="00663A6A" w:rsidRDefault="00663A6A" w:rsidP="002B1283">
      <w:pPr>
        <w:rPr>
          <w:rFonts w:ascii="Arial Black" w:hAnsi="Arial Black"/>
          <w:b/>
          <w:bCs/>
          <w:sz w:val="28"/>
          <w:szCs w:val="28"/>
        </w:rPr>
      </w:pPr>
      <w:r>
        <w:rPr>
          <w:rFonts w:ascii="Arial Black" w:hAnsi="Arial Black"/>
          <w:b/>
          <w:bCs/>
          <w:sz w:val="28"/>
          <w:szCs w:val="28"/>
        </w:rPr>
        <w:t>13-71</w:t>
      </w:r>
    </w:p>
    <w:p w14:paraId="5B075897" w14:textId="77777777" w:rsidR="00663A6A" w:rsidRPr="00E85284" w:rsidRDefault="00663A6A" w:rsidP="00663A6A">
      <w:pPr>
        <w:pStyle w:val="NoSpacing"/>
        <w:rPr>
          <w:rFonts w:ascii="Arial Black" w:hAnsi="Arial Black"/>
          <w:sz w:val="28"/>
          <w:szCs w:val="28"/>
        </w:rPr>
      </w:pPr>
      <w:r>
        <w:rPr>
          <w:rFonts w:ascii="Arial Black" w:hAnsi="Arial Black"/>
          <w:sz w:val="28"/>
          <w:szCs w:val="28"/>
        </w:rPr>
        <w:t>GA: ISLAND RESIDENTS SUE COUNTY – POOR EMS SERVICE – EXPERT’S REPORT ADMISSIBLE – RELIABLE / HELPFUL</w:t>
      </w:r>
    </w:p>
    <w:p w14:paraId="43DE7804" w14:textId="77777777" w:rsidR="00663A6A" w:rsidRPr="00E85284" w:rsidRDefault="00663A6A" w:rsidP="00663A6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23, 2020, in </w:t>
      </w:r>
      <w:r w:rsidRPr="00E85284">
        <w:rPr>
          <w:rFonts w:ascii="Times New Roman" w:hAnsi="Times New Roman"/>
          <w:sz w:val="24"/>
          <w:szCs w:val="24"/>
          <w:u w:val="single"/>
        </w:rPr>
        <w:t>Melvin Banks, Sr., et al. v. Mc</w:t>
      </w:r>
      <w:r>
        <w:rPr>
          <w:rFonts w:ascii="Times New Roman" w:hAnsi="Times New Roman"/>
          <w:sz w:val="24"/>
          <w:szCs w:val="24"/>
          <w:u w:val="single"/>
        </w:rPr>
        <w:t>I</w:t>
      </w:r>
      <w:r w:rsidRPr="00E85284">
        <w:rPr>
          <w:rFonts w:ascii="Times New Roman" w:hAnsi="Times New Roman"/>
          <w:sz w:val="24"/>
          <w:szCs w:val="24"/>
          <w:u w:val="single"/>
        </w:rPr>
        <w:t>ntosh County</w:t>
      </w:r>
      <w:r>
        <w:rPr>
          <w:rFonts w:ascii="Times New Roman" w:hAnsi="Times New Roman"/>
          <w:sz w:val="24"/>
          <w:szCs w:val="24"/>
        </w:rPr>
        <w:t xml:space="preserve">, U.S. Magistrate Judge Benjamin W. Cheesbro, U.S. District Court for South District of Georgie, denied the County’s motion to exclude </w:t>
      </w:r>
      <w:r w:rsidRPr="00F26776">
        <w:rPr>
          <w:rFonts w:ascii="Times New Roman" w:hAnsi="Times New Roman"/>
          <w:sz w:val="24"/>
          <w:szCs w:val="24"/>
        </w:rPr>
        <w:t xml:space="preserve">the expert testimony </w:t>
      </w:r>
      <w:r>
        <w:rPr>
          <w:rFonts w:ascii="Times New Roman" w:hAnsi="Times New Roman"/>
          <w:sz w:val="24"/>
          <w:szCs w:val="24"/>
        </w:rPr>
        <w:t xml:space="preserve">and report </w:t>
      </w:r>
      <w:r w:rsidRPr="00F26776">
        <w:rPr>
          <w:rFonts w:ascii="Times New Roman" w:hAnsi="Times New Roman"/>
          <w:sz w:val="24"/>
          <w:szCs w:val="24"/>
        </w:rPr>
        <w:t>of Dr. William Fales</w:t>
      </w:r>
      <w:r>
        <w:rPr>
          <w:rFonts w:ascii="Times New Roman" w:hAnsi="Times New Roman"/>
          <w:sz w:val="24"/>
          <w:szCs w:val="24"/>
        </w:rPr>
        <w:t xml:space="preserve">, since he has extensive experience in EMS.  </w:t>
      </w:r>
    </w:p>
    <w:p w14:paraId="48AEFF27" w14:textId="77777777" w:rsidR="00663A6A" w:rsidRDefault="00663A6A" w:rsidP="00663A6A">
      <w:pPr>
        <w:pStyle w:val="NoSpacing"/>
        <w:ind w:left="720"/>
        <w:rPr>
          <w:rFonts w:ascii="Times New Roman" w:hAnsi="Times New Roman"/>
          <w:sz w:val="24"/>
          <w:szCs w:val="24"/>
        </w:rPr>
      </w:pPr>
      <w:r>
        <w:rPr>
          <w:rFonts w:ascii="Times New Roman" w:hAnsi="Times New Roman"/>
          <w:sz w:val="24"/>
          <w:szCs w:val="24"/>
        </w:rPr>
        <w:t>“</w:t>
      </w:r>
      <w:r w:rsidRPr="00F26776">
        <w:rPr>
          <w:rFonts w:ascii="Times New Roman" w:hAnsi="Times New Roman"/>
          <w:sz w:val="24"/>
          <w:szCs w:val="24"/>
        </w:rPr>
        <w:t>In other words, Dr. Fales</w:t>
      </w:r>
      <w:r>
        <w:rPr>
          <w:rFonts w:ascii="Times New Roman" w:hAnsi="Times New Roman"/>
          <w:sz w:val="24"/>
          <w:szCs w:val="24"/>
        </w:rPr>
        <w:t>’</w:t>
      </w:r>
      <w:r w:rsidRPr="00F26776">
        <w:rPr>
          <w:rFonts w:ascii="Times New Roman" w:hAnsi="Times New Roman"/>
          <w:sz w:val="24"/>
          <w:szCs w:val="24"/>
        </w:rPr>
        <w:t xml:space="preserve"> opinions concern how and when various healthcare assets are deployed and utilized on a system-wide basis, not the adequacy of specific forms of medical care or treatment. Dr. Fales</w:t>
      </w:r>
      <w:r>
        <w:rPr>
          <w:rFonts w:ascii="Times New Roman" w:hAnsi="Times New Roman"/>
          <w:sz w:val="24"/>
          <w:szCs w:val="24"/>
        </w:rPr>
        <w:t>’</w:t>
      </w:r>
      <w:r w:rsidRPr="00F26776">
        <w:rPr>
          <w:rFonts w:ascii="Times New Roman" w:hAnsi="Times New Roman"/>
          <w:sz w:val="24"/>
          <w:szCs w:val="24"/>
        </w:rPr>
        <w:t xml:space="preserve"> recommendations highlight this distinction. For example, Dr. Fales recommends Sapelo Island First Responders should have a dedicated vehicle (Recommendation B7) and the fireboat used by McIntosh County EMS should be moved from one location to another (Recommendation C3). Doc. 273-1 at 50.</w:t>
      </w:r>
    </w:p>
    <w:p w14:paraId="7C7F62DE" w14:textId="77777777" w:rsidR="00663A6A" w:rsidRPr="00F26776" w:rsidRDefault="00663A6A" w:rsidP="00663A6A">
      <w:pPr>
        <w:pStyle w:val="NoSpacing"/>
        <w:rPr>
          <w:rFonts w:ascii="Times New Roman" w:hAnsi="Times New Roman"/>
          <w:sz w:val="24"/>
          <w:szCs w:val="24"/>
        </w:rPr>
      </w:pPr>
    </w:p>
    <w:p w14:paraId="3E00C779" w14:textId="77777777" w:rsidR="00663A6A" w:rsidRDefault="00663A6A" w:rsidP="00663A6A">
      <w:pPr>
        <w:pStyle w:val="NoSpacing"/>
        <w:ind w:left="720"/>
        <w:rPr>
          <w:rFonts w:ascii="Times New Roman" w:hAnsi="Times New Roman"/>
          <w:sz w:val="24"/>
          <w:szCs w:val="24"/>
        </w:rPr>
      </w:pPr>
      <w:r w:rsidRPr="00F26776">
        <w:rPr>
          <w:rFonts w:ascii="Times New Roman" w:hAnsi="Times New Roman"/>
          <w:sz w:val="24"/>
          <w:szCs w:val="24"/>
        </w:rPr>
        <w:t xml:space="preserve">Recommendation A3 provides that the McIntosh County EMS should use Wiregrass 911 to adopt a formal 911 system. Doc. 273-1 at 48. Recommendation A4 provides the County should adopt a tiered response plan for the Sapelo Island EMS Response Plan based on patient acuity. </w:t>
      </w:r>
      <w:r w:rsidRPr="00F26776">
        <w:rPr>
          <w:rFonts w:ascii="Times New Roman" w:hAnsi="Times New Roman"/>
          <w:sz w:val="24"/>
          <w:szCs w:val="24"/>
          <w:u w:val="single"/>
        </w:rPr>
        <w:t>Id.</w:t>
      </w:r>
      <w:r w:rsidRPr="00F26776">
        <w:rPr>
          <w:rFonts w:ascii="Times New Roman" w:hAnsi="Times New Roman"/>
          <w:sz w:val="24"/>
          <w:szCs w:val="24"/>
        </w:rPr>
        <w:t xml:space="preserve"> Recommendation C1 provides McIntosh County should develop a form EMS Response Plan for Sapelo Island. </w:t>
      </w:r>
      <w:r w:rsidRPr="00F26776">
        <w:rPr>
          <w:rFonts w:ascii="Times New Roman" w:hAnsi="Times New Roman"/>
          <w:sz w:val="24"/>
          <w:szCs w:val="24"/>
          <w:u w:val="single"/>
        </w:rPr>
        <w:t>Id.</w:t>
      </w:r>
      <w:r w:rsidRPr="00F26776">
        <w:rPr>
          <w:rFonts w:ascii="Times New Roman" w:hAnsi="Times New Roman"/>
          <w:sz w:val="24"/>
          <w:szCs w:val="24"/>
        </w:rPr>
        <w:t xml:space="preserve"> At 49. Recommendation C2 also provides McIntosh County EMS should work in collaboration with Wiregrass 911. </w:t>
      </w:r>
      <w:r w:rsidRPr="00F26776">
        <w:rPr>
          <w:rFonts w:ascii="Times New Roman" w:hAnsi="Times New Roman"/>
          <w:sz w:val="24"/>
          <w:szCs w:val="24"/>
          <w:u w:val="single"/>
        </w:rPr>
        <w:t>Id.</w:t>
      </w:r>
      <w:r w:rsidRPr="00F26776">
        <w:rPr>
          <w:rFonts w:ascii="Times New Roman" w:hAnsi="Times New Roman"/>
          <w:sz w:val="24"/>
          <w:szCs w:val="24"/>
        </w:rPr>
        <w:t xml:space="preserve"> Recommendation C6 provides McIntosh County should develop a training program for first responders serving Sapelo Island to ensure effective EMS. </w:t>
      </w:r>
      <w:r w:rsidRPr="00F26776">
        <w:rPr>
          <w:rFonts w:ascii="Times New Roman" w:hAnsi="Times New Roman"/>
          <w:sz w:val="24"/>
          <w:szCs w:val="24"/>
          <w:u w:val="single"/>
        </w:rPr>
        <w:t>Id.</w:t>
      </w:r>
      <w:r w:rsidRPr="00F26776">
        <w:rPr>
          <w:rFonts w:ascii="Times New Roman" w:hAnsi="Times New Roman"/>
          <w:sz w:val="24"/>
          <w:szCs w:val="24"/>
        </w:rPr>
        <w:t xml:space="preserve"> Recommendation C7 provides McIntosh County EMS should established a quality improvement program. </w:t>
      </w:r>
      <w:r w:rsidRPr="00F26776">
        <w:rPr>
          <w:rFonts w:ascii="Times New Roman" w:hAnsi="Times New Roman"/>
          <w:sz w:val="24"/>
          <w:szCs w:val="24"/>
          <w:u w:val="single"/>
        </w:rPr>
        <w:t>Id.</w:t>
      </w:r>
      <w:r w:rsidRPr="00F26776">
        <w:rPr>
          <w:rFonts w:ascii="Times New Roman" w:hAnsi="Times New Roman"/>
          <w:sz w:val="24"/>
          <w:szCs w:val="24"/>
        </w:rPr>
        <w:t xml:space="preserve"> At 50. Recommendation C9 provides McIntosh County EMS should apply for a federal grant to </w:t>
      </w:r>
      <w:proofErr w:type="gramStart"/>
      <w:r w:rsidRPr="00F26776">
        <w:rPr>
          <w:rFonts w:ascii="Times New Roman" w:hAnsi="Times New Roman"/>
          <w:sz w:val="24"/>
          <w:szCs w:val="24"/>
        </w:rPr>
        <w:t>help better</w:t>
      </w:r>
      <w:proofErr w:type="gramEnd"/>
      <w:r w:rsidRPr="00F26776">
        <w:rPr>
          <w:rFonts w:ascii="Times New Roman" w:hAnsi="Times New Roman"/>
          <w:sz w:val="24"/>
          <w:szCs w:val="24"/>
        </w:rPr>
        <w:t xml:space="preserve"> serve both the County as a whole and the Island. </w:t>
      </w:r>
      <w:r w:rsidRPr="00F26776">
        <w:rPr>
          <w:rFonts w:ascii="Times New Roman" w:hAnsi="Times New Roman"/>
          <w:sz w:val="24"/>
          <w:szCs w:val="24"/>
          <w:u w:val="single"/>
        </w:rPr>
        <w:t>Id</w:t>
      </w:r>
      <w:r>
        <w:rPr>
          <w:rFonts w:ascii="Times New Roman" w:hAnsi="Times New Roman"/>
          <w:sz w:val="24"/>
          <w:szCs w:val="24"/>
        </w:rPr>
        <w:t>.”</w:t>
      </w:r>
    </w:p>
    <w:p w14:paraId="3EF14B4B" w14:textId="77777777" w:rsidR="00663A6A" w:rsidRDefault="00663A6A" w:rsidP="00663A6A">
      <w:pPr>
        <w:pStyle w:val="NoSpacing"/>
        <w:ind w:left="720"/>
      </w:pPr>
      <w:hyperlink r:id="rId2289" w:history="1">
        <w:r w:rsidRPr="00AA126E">
          <w:rPr>
            <w:rStyle w:val="Hyperlink"/>
          </w:rPr>
          <w:t>https://public.fastcase.com/Wl%2B2t%2BeVuI35%2FN70vAMFZu2kCKVGtKJMtqi4A8YrO%2FA1C58cJM7PHa67poZD1rnP</w:t>
        </w:r>
      </w:hyperlink>
      <w:r>
        <w:t xml:space="preserve"> </w:t>
      </w:r>
    </w:p>
    <w:p w14:paraId="49E24A05" w14:textId="77777777" w:rsidR="00663A6A" w:rsidRDefault="00663A6A" w:rsidP="00663A6A">
      <w:pPr>
        <w:pStyle w:val="NoSpacing"/>
        <w:rPr>
          <w:rFonts w:ascii="Times New Roman" w:hAnsi="Times New Roman"/>
          <w:sz w:val="24"/>
          <w:szCs w:val="24"/>
        </w:rPr>
      </w:pPr>
    </w:p>
    <w:p w14:paraId="1C15A1C0" w14:textId="77777777" w:rsidR="00663A6A" w:rsidRPr="00F26776" w:rsidRDefault="00663A6A" w:rsidP="00663A6A">
      <w:pPr>
        <w:spacing w:before="100" w:beforeAutospacing="1" w:after="100" w:afterAutospacing="1" w:line="240" w:lineRule="auto"/>
        <w:rPr>
          <w:rFonts w:ascii="Times New Roman" w:eastAsia="Times New Roman" w:hAnsi="Times New Roman"/>
          <w:b/>
          <w:bCs/>
          <w:sz w:val="24"/>
          <w:szCs w:val="24"/>
        </w:rPr>
      </w:pPr>
      <w:r w:rsidRPr="00295761">
        <w:rPr>
          <w:rFonts w:ascii="Times New Roman" w:hAnsi="Times New Roman"/>
          <w:b/>
          <w:bCs/>
          <w:sz w:val="24"/>
          <w:szCs w:val="24"/>
        </w:rPr>
        <w:t>Legal Lessons Learned:</w:t>
      </w:r>
      <w:r>
        <w:rPr>
          <w:rFonts w:ascii="Times New Roman" w:hAnsi="Times New Roman"/>
          <w:b/>
          <w:bCs/>
          <w:sz w:val="24"/>
          <w:szCs w:val="24"/>
        </w:rPr>
        <w:t xml:space="preserve">  The case may now proceed to trial.   Dr. Fales has apparently never visited </w:t>
      </w:r>
      <w:r w:rsidRPr="00295761">
        <w:rPr>
          <w:rFonts w:ascii="Times New Roman" w:eastAsia="Times New Roman" w:hAnsi="Times New Roman"/>
          <w:b/>
          <w:bCs/>
          <w:sz w:val="24"/>
          <w:szCs w:val="24"/>
        </w:rPr>
        <w:t xml:space="preserve">Sapelo Island; hopefully he will prior to trial. </w:t>
      </w:r>
    </w:p>
    <w:p w14:paraId="04EB0CC8" w14:textId="77777777" w:rsidR="00663A6A" w:rsidRPr="00295761" w:rsidRDefault="00663A6A" w:rsidP="00663A6A">
      <w:pPr>
        <w:pStyle w:val="NormalWeb"/>
        <w:ind w:left="720"/>
      </w:pPr>
      <w:r>
        <w:t xml:space="preserve">Note: Sapelo Island looks like a lovely place. </w:t>
      </w:r>
      <w:hyperlink r:id="rId2290" w:history="1">
        <w:r w:rsidRPr="00AA126E">
          <w:rPr>
            <w:rStyle w:val="Hyperlink"/>
          </w:rPr>
          <w:t>https://www.exploregeorgia.org/city/sapelo-island</w:t>
        </w:r>
      </w:hyperlink>
      <w:r>
        <w:t xml:space="preserve"> </w:t>
      </w:r>
    </w:p>
    <w:p w14:paraId="485619D1" w14:textId="77777777" w:rsidR="00663A6A" w:rsidRPr="00295761" w:rsidRDefault="00663A6A" w:rsidP="00663A6A">
      <w:pPr>
        <w:pStyle w:val="NormalWeb"/>
        <w:ind w:left="1440"/>
      </w:pPr>
      <w:r>
        <w:t>“</w:t>
      </w:r>
      <w:r w:rsidRPr="00295761">
        <w:t xml:space="preserve">Sapelo is a state-managed barrier island, the fourth largest in the chain of coastal Georgia islands between the Savannah and St. </w:t>
      </w:r>
      <w:proofErr w:type="spellStart"/>
      <w:r w:rsidRPr="00295761">
        <w:t>Marys</w:t>
      </w:r>
      <w:proofErr w:type="spellEnd"/>
      <w:r w:rsidRPr="00295761">
        <w:t xml:space="preserve"> rivers. Accessible only by passenger ferry, Sapelo provides </w:t>
      </w:r>
      <w:proofErr w:type="gramStart"/>
      <w:r w:rsidRPr="00295761">
        <w:t>a number of</w:t>
      </w:r>
      <w:proofErr w:type="gramEnd"/>
      <w:r w:rsidRPr="00295761">
        <w:t xml:space="preserve"> public access recreational, educational and lodging opportunities.</w:t>
      </w:r>
      <w:r>
        <w:t xml:space="preserve"> </w:t>
      </w:r>
      <w:r w:rsidRPr="00295761">
        <w:t>The Georgia Department of Natural Resources (DNR) manages the island. DNR operates the ferry service and serves as state liaison for the Sapelo Island National Estuarine Research Reserve, the University of Georgia Marine Institute, and the civilian Hog Hammock community, permanent home to about 70 full-time residents, many of whom are descended from the antebellum slaves of Sapelo</w:t>
      </w:r>
      <w:r>
        <w:t>’</w:t>
      </w:r>
      <w:r w:rsidRPr="00295761">
        <w:t>s plantations.</w:t>
      </w:r>
      <w:r>
        <w:t xml:space="preserve">” </w:t>
      </w:r>
    </w:p>
    <w:p w14:paraId="1ABC4AF5" w14:textId="77777777" w:rsidR="00663A6A" w:rsidRDefault="00663A6A" w:rsidP="002B1283">
      <w:pPr>
        <w:rPr>
          <w:rFonts w:ascii="Arial Black" w:hAnsi="Arial Black"/>
          <w:b/>
          <w:bCs/>
          <w:sz w:val="28"/>
          <w:szCs w:val="28"/>
        </w:rPr>
      </w:pPr>
    </w:p>
    <w:p w14:paraId="07D9A146" w14:textId="77777777" w:rsidR="00663A6A" w:rsidRDefault="00663A6A" w:rsidP="002B1283">
      <w:pPr>
        <w:rPr>
          <w:rFonts w:ascii="Arial Black" w:hAnsi="Arial Black"/>
          <w:b/>
          <w:bCs/>
          <w:sz w:val="28"/>
          <w:szCs w:val="28"/>
        </w:rPr>
      </w:pPr>
    </w:p>
    <w:p w14:paraId="50909CCE" w14:textId="449449A2" w:rsidR="00663A6A" w:rsidRDefault="00663A6A" w:rsidP="002B1283">
      <w:pPr>
        <w:rPr>
          <w:rFonts w:ascii="Arial Black" w:hAnsi="Arial Black"/>
          <w:b/>
          <w:bCs/>
          <w:sz w:val="28"/>
          <w:szCs w:val="28"/>
        </w:rPr>
      </w:pPr>
      <w:r>
        <w:rPr>
          <w:rFonts w:ascii="Arial Black" w:hAnsi="Arial Black"/>
          <w:b/>
          <w:bCs/>
          <w:sz w:val="28"/>
          <w:szCs w:val="28"/>
        </w:rPr>
        <w:t>13-70</w:t>
      </w:r>
    </w:p>
    <w:p w14:paraId="2E0F17CB" w14:textId="77777777" w:rsidR="00663A6A" w:rsidRDefault="00663A6A" w:rsidP="00663A6A">
      <w:pPr>
        <w:rPr>
          <w:rFonts w:ascii="Arial Black" w:hAnsi="Arial Black"/>
          <w:sz w:val="28"/>
          <w:szCs w:val="28"/>
        </w:rPr>
      </w:pPr>
      <w:r>
        <w:rPr>
          <w:rFonts w:ascii="Arial Black" w:hAnsi="Arial Black"/>
          <w:sz w:val="28"/>
          <w:szCs w:val="28"/>
        </w:rPr>
        <w:t>OH:  COVID-19 TEMPORARY STATUTE – EMS AUTHORIZED WORK IN HOSPITAL ED AND IN OTHER HOSPITAL AREAS</w:t>
      </w:r>
    </w:p>
    <w:p w14:paraId="14109486" w14:textId="77777777" w:rsidR="00663A6A" w:rsidRPr="00304944" w:rsidRDefault="00663A6A" w:rsidP="00663A6A">
      <w:pPr>
        <w:rPr>
          <w:rFonts w:ascii="Times New Roman" w:hAnsi="Times New Roman"/>
          <w:sz w:val="24"/>
          <w:szCs w:val="24"/>
        </w:rPr>
      </w:pPr>
      <w:r>
        <w:rPr>
          <w:rFonts w:ascii="Times New Roman" w:hAnsi="Times New Roman"/>
          <w:sz w:val="24"/>
          <w:szCs w:val="24"/>
        </w:rPr>
        <w:t xml:space="preserve">On Nov. 23, 2021, the Governor of Ohio signed </w:t>
      </w:r>
      <w:proofErr w:type="gramStart"/>
      <w:r>
        <w:rPr>
          <w:rFonts w:ascii="Times New Roman" w:hAnsi="Times New Roman"/>
          <w:sz w:val="24"/>
          <w:szCs w:val="24"/>
        </w:rPr>
        <w:t>into law House Bill 151</w:t>
      </w:r>
      <w:proofErr w:type="gramEnd"/>
      <w:r>
        <w:rPr>
          <w:rFonts w:ascii="Times New Roman" w:hAnsi="Times New Roman"/>
          <w:sz w:val="24"/>
          <w:szCs w:val="24"/>
        </w:rPr>
        <w:t>, provides in part:</w:t>
      </w:r>
    </w:p>
    <w:p w14:paraId="5B1EA0FC" w14:textId="77777777" w:rsidR="00663A6A" w:rsidRDefault="00663A6A" w:rsidP="00663A6A">
      <w:pPr>
        <w:ind w:left="720"/>
        <w:rPr>
          <w:rFonts w:ascii="Times New Roman" w:hAnsi="Times New Roman"/>
          <w:sz w:val="24"/>
          <w:szCs w:val="24"/>
        </w:rPr>
      </w:pPr>
      <w:r>
        <w:rPr>
          <w:rFonts w:ascii="Times New Roman" w:hAnsi="Times New Roman"/>
          <w:sz w:val="24"/>
          <w:szCs w:val="24"/>
        </w:rPr>
        <w:t>“</w:t>
      </w:r>
      <w:r w:rsidRPr="00304944">
        <w:rPr>
          <w:rFonts w:ascii="Times New Roman" w:hAnsi="Times New Roman"/>
          <w:sz w:val="24"/>
          <w:szCs w:val="24"/>
        </w:rPr>
        <w:t>(B) Beginning on the effective date of this section and until July 1, 2021, and not</w:t>
      </w:r>
      <w:r>
        <w:rPr>
          <w:rFonts w:ascii="Times New Roman" w:hAnsi="Times New Roman"/>
          <w:sz w:val="24"/>
          <w:szCs w:val="24"/>
        </w:rPr>
        <w:t xml:space="preserve"> </w:t>
      </w:r>
      <w:r w:rsidRPr="00304944">
        <w:rPr>
          <w:rFonts w:ascii="Times New Roman" w:hAnsi="Times New Roman"/>
          <w:sz w:val="24"/>
          <w:szCs w:val="24"/>
        </w:rPr>
        <w:t>withstanding</w:t>
      </w:r>
      <w:r>
        <w:rPr>
          <w:rFonts w:ascii="Times New Roman" w:hAnsi="Times New Roman"/>
          <w:sz w:val="24"/>
          <w:szCs w:val="24"/>
        </w:rPr>
        <w:t xml:space="preserve"> </w:t>
      </w:r>
      <w:r w:rsidRPr="00304944">
        <w:rPr>
          <w:rFonts w:ascii="Times New Roman" w:hAnsi="Times New Roman"/>
          <w:sz w:val="24"/>
          <w:szCs w:val="24"/>
        </w:rPr>
        <w:t>any provision of the Revised Code, a first responder, emergency medical technician-basic,</w:t>
      </w:r>
      <w:r>
        <w:rPr>
          <w:rFonts w:ascii="Times New Roman" w:hAnsi="Times New Roman"/>
          <w:sz w:val="24"/>
          <w:szCs w:val="24"/>
        </w:rPr>
        <w:t xml:space="preserve"> </w:t>
      </w:r>
      <w:r w:rsidRPr="00304944">
        <w:rPr>
          <w:rFonts w:ascii="Times New Roman" w:hAnsi="Times New Roman"/>
          <w:sz w:val="24"/>
          <w:szCs w:val="24"/>
        </w:rPr>
        <w:t>emergency medical technician-intermediate, and emergency medical technician-paramedic may</w:t>
      </w:r>
      <w:r>
        <w:rPr>
          <w:rFonts w:ascii="Times New Roman" w:hAnsi="Times New Roman"/>
          <w:sz w:val="24"/>
          <w:szCs w:val="24"/>
        </w:rPr>
        <w:t xml:space="preserve"> </w:t>
      </w:r>
      <w:r w:rsidRPr="00304944">
        <w:rPr>
          <w:rFonts w:ascii="Times New Roman" w:hAnsi="Times New Roman"/>
          <w:sz w:val="24"/>
          <w:szCs w:val="24"/>
        </w:rPr>
        <w:t>perform emergency medical services in any setting, including in any area of a hospital, if the services</w:t>
      </w:r>
      <w:r>
        <w:rPr>
          <w:rFonts w:ascii="Times New Roman" w:hAnsi="Times New Roman"/>
          <w:sz w:val="24"/>
          <w:szCs w:val="24"/>
        </w:rPr>
        <w:t xml:space="preserve"> </w:t>
      </w:r>
      <w:r w:rsidRPr="00304944">
        <w:rPr>
          <w:rFonts w:ascii="Times New Roman" w:hAnsi="Times New Roman"/>
          <w:sz w:val="24"/>
          <w:szCs w:val="24"/>
        </w:rPr>
        <w:t>are performed under the direction and supervision of one of the following</w:t>
      </w:r>
      <w:r>
        <w:rPr>
          <w:rFonts w:ascii="Times New Roman" w:hAnsi="Times New Roman"/>
          <w:sz w:val="24"/>
          <w:szCs w:val="24"/>
        </w:rPr>
        <w:t>:</w:t>
      </w:r>
      <w:r w:rsidRPr="00304944">
        <w:rPr>
          <w:rFonts w:ascii="Times New Roman" w:hAnsi="Times New Roman"/>
          <w:sz w:val="24"/>
          <w:szCs w:val="24"/>
        </w:rPr>
        <w:t>1) A physician;(2) A physician assistant designated by a physician;(3) An advanced practice registered nurse designated by a physician.(C) A first responder, emergency medical technician-basic, emergency medical technician-intermediate, and emergency medical technician-paramedic is not liable in damages in a civil action</w:t>
      </w:r>
      <w:r>
        <w:rPr>
          <w:rFonts w:ascii="Times New Roman" w:hAnsi="Times New Roman"/>
          <w:sz w:val="24"/>
          <w:szCs w:val="24"/>
        </w:rPr>
        <w:t xml:space="preserve"> </w:t>
      </w:r>
      <w:r w:rsidRPr="00304944">
        <w:rPr>
          <w:rFonts w:ascii="Times New Roman" w:hAnsi="Times New Roman"/>
          <w:sz w:val="24"/>
          <w:szCs w:val="24"/>
        </w:rPr>
        <w:t>for injury, death, or loss to person or property resulting from the individual</w:t>
      </w:r>
      <w:r>
        <w:rPr>
          <w:rFonts w:ascii="Times New Roman" w:hAnsi="Times New Roman"/>
          <w:sz w:val="24"/>
          <w:szCs w:val="24"/>
        </w:rPr>
        <w:t>’</w:t>
      </w:r>
      <w:r w:rsidRPr="00304944">
        <w:rPr>
          <w:rFonts w:ascii="Times New Roman" w:hAnsi="Times New Roman"/>
          <w:sz w:val="24"/>
          <w:szCs w:val="24"/>
        </w:rPr>
        <w:t>s administration of</w:t>
      </w:r>
      <w:r>
        <w:rPr>
          <w:rFonts w:ascii="Times New Roman" w:hAnsi="Times New Roman"/>
          <w:sz w:val="24"/>
          <w:szCs w:val="24"/>
        </w:rPr>
        <w:t xml:space="preserve"> </w:t>
      </w:r>
      <w:r w:rsidRPr="00304944">
        <w:rPr>
          <w:rFonts w:ascii="Times New Roman" w:hAnsi="Times New Roman"/>
          <w:sz w:val="24"/>
          <w:szCs w:val="24"/>
        </w:rPr>
        <w:t>emergency medical services, unless the services are administered in a manner that constitutes willful</w:t>
      </w:r>
      <w:r>
        <w:rPr>
          <w:rFonts w:ascii="Times New Roman" w:hAnsi="Times New Roman"/>
          <w:sz w:val="24"/>
          <w:szCs w:val="24"/>
        </w:rPr>
        <w:t xml:space="preserve"> </w:t>
      </w:r>
      <w:r w:rsidRPr="00304944">
        <w:rPr>
          <w:rFonts w:ascii="Times New Roman" w:hAnsi="Times New Roman"/>
          <w:sz w:val="24"/>
          <w:szCs w:val="24"/>
        </w:rPr>
        <w:t>or wanton misconduct.</w:t>
      </w:r>
      <w:r>
        <w:rPr>
          <w:rFonts w:ascii="Times New Roman" w:hAnsi="Times New Roman"/>
          <w:sz w:val="24"/>
          <w:szCs w:val="24"/>
        </w:rPr>
        <w:t xml:space="preserve">” </w:t>
      </w:r>
      <w:hyperlink r:id="rId2291" w:history="1">
        <w:r w:rsidRPr="00695F3D">
          <w:rPr>
            <w:rStyle w:val="Hyperlink"/>
            <w:rFonts w:ascii="Times New Roman" w:hAnsi="Times New Roman"/>
            <w:sz w:val="24"/>
            <w:szCs w:val="24"/>
          </w:rPr>
          <w:t>file:///C:/Users/lawre/AppData/Local/Temp/hb151_05_EN.pdf</w:t>
        </w:r>
      </w:hyperlink>
      <w:r>
        <w:rPr>
          <w:rFonts w:ascii="Times New Roman" w:hAnsi="Times New Roman"/>
          <w:sz w:val="24"/>
          <w:szCs w:val="24"/>
        </w:rPr>
        <w:t xml:space="preserve"> [page 20].</w:t>
      </w:r>
    </w:p>
    <w:p w14:paraId="79E8B821" w14:textId="77777777" w:rsidR="00663A6A" w:rsidRDefault="00663A6A" w:rsidP="00663A6A">
      <w:pPr>
        <w:rPr>
          <w:rFonts w:ascii="Times New Roman" w:hAnsi="Times New Roman"/>
          <w:b/>
          <w:bCs/>
          <w:sz w:val="24"/>
          <w:szCs w:val="24"/>
        </w:rPr>
      </w:pPr>
      <w:r w:rsidRPr="00304944">
        <w:rPr>
          <w:rFonts w:ascii="Times New Roman" w:hAnsi="Times New Roman"/>
          <w:b/>
          <w:bCs/>
          <w:sz w:val="24"/>
          <w:szCs w:val="24"/>
        </w:rPr>
        <w:t xml:space="preserve">Legal Lesson Learned: </w:t>
      </w:r>
      <w:r>
        <w:rPr>
          <w:rFonts w:ascii="Times New Roman" w:hAnsi="Times New Roman"/>
          <w:b/>
          <w:bCs/>
          <w:sz w:val="24"/>
          <w:szCs w:val="24"/>
        </w:rPr>
        <w:t xml:space="preserve">The new law will be helpful to many hospitals; Ohio EMS should keep their FD Medical Director informed of duties performed outside the ED. </w:t>
      </w:r>
    </w:p>
    <w:p w14:paraId="6FECD26E" w14:textId="77777777" w:rsidR="00663A6A" w:rsidRDefault="00663A6A" w:rsidP="00663A6A">
      <w:pPr>
        <w:ind w:left="720"/>
        <w:rPr>
          <w:rFonts w:ascii="Times New Roman" w:hAnsi="Times New Roman"/>
          <w:sz w:val="24"/>
          <w:szCs w:val="24"/>
        </w:rPr>
      </w:pPr>
      <w:r>
        <w:rPr>
          <w:rFonts w:ascii="Times New Roman" w:hAnsi="Times New Roman"/>
          <w:sz w:val="24"/>
          <w:szCs w:val="24"/>
        </w:rPr>
        <w:t xml:space="preserve">Note:  See memo from State Medical Director: </w:t>
      </w:r>
      <w:hyperlink r:id="rId2292" w:history="1">
        <w:r w:rsidRPr="00D74D0C">
          <w:rPr>
            <w:rStyle w:val="Hyperlink"/>
            <w:rFonts w:ascii="Times New Roman" w:hAnsi="Times New Roman"/>
            <w:sz w:val="24"/>
            <w:szCs w:val="24"/>
          </w:rPr>
          <w:t>https://www.ems.ohio.gov/links/COVID-19/Legislated%20COVID-19%20Contingency%20Measures%20for%20Ohio%20EMS.pdf</w:t>
        </w:r>
      </w:hyperlink>
      <w:r>
        <w:rPr>
          <w:rFonts w:ascii="Times New Roman" w:hAnsi="Times New Roman"/>
          <w:sz w:val="24"/>
          <w:szCs w:val="24"/>
        </w:rPr>
        <w:t xml:space="preserve"> </w:t>
      </w:r>
    </w:p>
    <w:p w14:paraId="6B51BD52" w14:textId="77777777" w:rsidR="00663A6A" w:rsidRDefault="00663A6A" w:rsidP="00663A6A">
      <w:pPr>
        <w:ind w:left="1440"/>
        <w:rPr>
          <w:rFonts w:ascii="Times New Roman" w:hAnsi="Times New Roman"/>
          <w:sz w:val="24"/>
          <w:szCs w:val="24"/>
        </w:rPr>
      </w:pPr>
      <w:r>
        <w:rPr>
          <w:rFonts w:ascii="Times New Roman" w:hAnsi="Times New Roman"/>
          <w:sz w:val="24"/>
          <w:szCs w:val="24"/>
        </w:rPr>
        <w:t>“</w:t>
      </w:r>
      <w:r w:rsidRPr="00881C45">
        <w:rPr>
          <w:rFonts w:ascii="Times New Roman" w:hAnsi="Times New Roman"/>
          <w:sz w:val="24"/>
          <w:szCs w:val="24"/>
        </w:rPr>
        <w:t xml:space="preserve">Typically, EMS medical directors and most emergency physicians are well versed in the parameters within the Ohio EMS scope of practice.  However, this may not be the case with other healthcare providers or physicians who specialize in other medical specialties.  Each Ohio EMS provider is responsible for their individual Ohio EMS certification and to ensure that their actions are within the authorized Ohio EMS scope of practice for their respective level of certification.  </w:t>
      </w:r>
      <w:r w:rsidRPr="00881C45">
        <w:rPr>
          <w:rStyle w:val="Strong"/>
          <w:rFonts w:ascii="Times New Roman" w:hAnsi="Times New Roman"/>
          <w:sz w:val="24"/>
          <w:szCs w:val="24"/>
        </w:rPr>
        <w:t>If any healthcare provider requests the provision of emergency medical services that are beyond the Ohio EMS scope of practice, it is the responsibility of the Ohio EMS provider to decline to perform skills or provide services that are not authorized by the State Board of Emergency Medical, Fire, and Transportation Services.</w:t>
      </w:r>
      <w:r>
        <w:rPr>
          <w:rFonts w:ascii="Times New Roman" w:hAnsi="Times New Roman"/>
          <w:sz w:val="24"/>
          <w:szCs w:val="24"/>
        </w:rPr>
        <w:t>” [Emphasis in original.]</w:t>
      </w:r>
    </w:p>
    <w:p w14:paraId="59B53D66" w14:textId="77777777" w:rsidR="00663A6A" w:rsidRDefault="00663A6A" w:rsidP="002B1283">
      <w:pPr>
        <w:rPr>
          <w:rFonts w:ascii="Arial Black" w:hAnsi="Arial Black"/>
          <w:b/>
          <w:bCs/>
          <w:sz w:val="28"/>
          <w:szCs w:val="28"/>
        </w:rPr>
      </w:pPr>
    </w:p>
    <w:p w14:paraId="5F291CDD" w14:textId="77777777" w:rsidR="00663A6A" w:rsidRDefault="00663A6A" w:rsidP="002B1283">
      <w:pPr>
        <w:rPr>
          <w:rFonts w:ascii="Arial Black" w:hAnsi="Arial Black"/>
          <w:b/>
          <w:bCs/>
          <w:sz w:val="28"/>
          <w:szCs w:val="28"/>
        </w:rPr>
      </w:pPr>
    </w:p>
    <w:p w14:paraId="793864CE" w14:textId="56DC5EAE" w:rsidR="00663A6A" w:rsidRDefault="00663A6A" w:rsidP="002B1283">
      <w:pPr>
        <w:rPr>
          <w:rFonts w:ascii="Arial Black" w:hAnsi="Arial Black"/>
          <w:b/>
          <w:bCs/>
          <w:sz w:val="28"/>
          <w:szCs w:val="28"/>
        </w:rPr>
      </w:pPr>
      <w:r>
        <w:rPr>
          <w:rFonts w:ascii="Arial Black" w:hAnsi="Arial Black"/>
          <w:b/>
          <w:bCs/>
          <w:sz w:val="28"/>
          <w:szCs w:val="28"/>
        </w:rPr>
        <w:t>13-69</w:t>
      </w:r>
    </w:p>
    <w:p w14:paraId="53486EDD" w14:textId="77777777" w:rsidR="00663A6A" w:rsidRDefault="00663A6A" w:rsidP="00663A6A">
      <w:pPr>
        <w:pStyle w:val="NoSpacing"/>
        <w:rPr>
          <w:rFonts w:ascii="Arial Black" w:hAnsi="Arial Black"/>
          <w:sz w:val="28"/>
          <w:szCs w:val="28"/>
        </w:rPr>
      </w:pPr>
      <w:r>
        <w:rPr>
          <w:rFonts w:ascii="Arial Black" w:hAnsi="Arial Black"/>
          <w:sz w:val="28"/>
          <w:szCs w:val="28"/>
        </w:rPr>
        <w:t>NY: PLAINTIFF PASSED OUT AT CONCERT – REFUSES EMS HELP – ORIENTED TIMES 3 - FALLS ON HIS FACE – CASE DISMISSED</w:t>
      </w:r>
    </w:p>
    <w:p w14:paraId="1CD1F2D9" w14:textId="77777777" w:rsidR="00663A6A" w:rsidRDefault="00663A6A" w:rsidP="00663A6A">
      <w:pPr>
        <w:pStyle w:val="NoSpacing"/>
        <w:rPr>
          <w:rFonts w:ascii="Arial Black" w:hAnsi="Arial Black"/>
          <w:sz w:val="28"/>
          <w:szCs w:val="28"/>
        </w:rPr>
      </w:pPr>
    </w:p>
    <w:p w14:paraId="3D5E2B26" w14:textId="77777777" w:rsidR="00663A6A" w:rsidRDefault="00663A6A" w:rsidP="00663A6A">
      <w:pPr>
        <w:pStyle w:val="NoSpacing"/>
        <w:rPr>
          <w:rFonts w:ascii="Times New Roman" w:hAnsi="Times New Roman"/>
          <w:sz w:val="24"/>
          <w:szCs w:val="24"/>
        </w:rPr>
      </w:pPr>
      <w:r>
        <w:rPr>
          <w:rFonts w:ascii="Times New Roman" w:hAnsi="Times New Roman"/>
          <w:sz w:val="24"/>
          <w:szCs w:val="24"/>
        </w:rPr>
        <w:t xml:space="preserve">On Nov. 19, 2020, in </w:t>
      </w:r>
      <w:r w:rsidRPr="00DF070F">
        <w:rPr>
          <w:rFonts w:ascii="Times New Roman" w:hAnsi="Times New Roman"/>
          <w:sz w:val="24"/>
          <w:szCs w:val="24"/>
          <w:u w:val="single"/>
        </w:rPr>
        <w:t>Anthony Fornabaio, et a. v. Beacon Broadway Company, Inc.</w:t>
      </w:r>
      <w:r>
        <w:rPr>
          <w:rFonts w:ascii="Times New Roman" w:hAnsi="Times New Roman"/>
          <w:sz w:val="24"/>
          <w:szCs w:val="24"/>
          <w:u w:val="single"/>
        </w:rPr>
        <w:t xml:space="preserve">; </w:t>
      </w:r>
      <w:proofErr w:type="spellStart"/>
      <w:r>
        <w:rPr>
          <w:rFonts w:ascii="Times New Roman" w:hAnsi="Times New Roman"/>
          <w:sz w:val="24"/>
          <w:szCs w:val="24"/>
          <w:u w:val="single"/>
        </w:rPr>
        <w:t>Transcare</w:t>
      </w:r>
      <w:proofErr w:type="spellEnd"/>
      <w:r>
        <w:rPr>
          <w:rFonts w:ascii="Times New Roman" w:hAnsi="Times New Roman"/>
          <w:sz w:val="24"/>
          <w:szCs w:val="24"/>
          <w:u w:val="single"/>
        </w:rPr>
        <w:t xml:space="preserve"> Corporation,</w:t>
      </w:r>
      <w:r w:rsidRPr="00DF070F">
        <w:rPr>
          <w:rFonts w:ascii="Times New Roman" w:hAnsi="Times New Roman"/>
          <w:sz w:val="24"/>
          <w:szCs w:val="24"/>
          <w:u w:val="single"/>
        </w:rPr>
        <w:t xml:space="preserve"> et al</w:t>
      </w:r>
      <w:r>
        <w:rPr>
          <w:rFonts w:ascii="Times New Roman" w:hAnsi="Times New Roman"/>
          <w:sz w:val="24"/>
          <w:szCs w:val="24"/>
        </w:rPr>
        <w:t xml:space="preserve">., the Appellate Division of the Supreme Court of New York, held (3 to 0) that when a competent adult  patient refuses EMS help, his lawsuit against the concert provider and </w:t>
      </w:r>
      <w:proofErr w:type="spellStart"/>
      <w:r>
        <w:rPr>
          <w:rFonts w:ascii="Times New Roman" w:hAnsi="Times New Roman"/>
          <w:sz w:val="24"/>
          <w:szCs w:val="24"/>
        </w:rPr>
        <w:t>Transcare</w:t>
      </w:r>
      <w:proofErr w:type="spellEnd"/>
      <w:r>
        <w:rPr>
          <w:rFonts w:ascii="Times New Roman" w:hAnsi="Times New Roman"/>
          <w:sz w:val="24"/>
          <w:szCs w:val="24"/>
        </w:rPr>
        <w:t>, the EMS provider should be dismissed.</w:t>
      </w:r>
    </w:p>
    <w:p w14:paraId="60AA331C" w14:textId="77777777" w:rsidR="00663A6A" w:rsidRPr="00765480" w:rsidRDefault="00663A6A" w:rsidP="00663A6A">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r w:rsidRPr="00765480">
        <w:rPr>
          <w:rFonts w:ascii="Times New Roman" w:hAnsi="Times New Roman"/>
          <w:sz w:val="24"/>
          <w:szCs w:val="24"/>
        </w:rPr>
        <w:t xml:space="preserve">Any duty Beacon or </w:t>
      </w:r>
      <w:proofErr w:type="spellStart"/>
      <w:r w:rsidRPr="00765480">
        <w:rPr>
          <w:rFonts w:ascii="Times New Roman" w:hAnsi="Times New Roman"/>
          <w:sz w:val="24"/>
          <w:szCs w:val="24"/>
        </w:rPr>
        <w:t>Transcare</w:t>
      </w:r>
      <w:proofErr w:type="spellEnd"/>
      <w:r w:rsidRPr="00765480">
        <w:rPr>
          <w:rFonts w:ascii="Times New Roman" w:hAnsi="Times New Roman"/>
          <w:sz w:val="24"/>
          <w:szCs w:val="24"/>
        </w:rPr>
        <w:t xml:space="preserve"> owed to plaintiff to assist him in exiting the theater terminated when he refused such assistance. It is well settled that a competent adult has the right to determine the course of his or her own medical treatment, including declining treatment </w:t>
      </w:r>
      <w:r w:rsidRPr="00765480">
        <w:rPr>
          <w:rFonts w:ascii="Times New Roman" w:hAnsi="Times New Roman"/>
          <w:i/>
          <w:iCs/>
          <w:sz w:val="24"/>
          <w:szCs w:val="24"/>
        </w:rPr>
        <w:t>(Matter of Fosmire v Nicoleau</w:t>
      </w:r>
      <w:r w:rsidRPr="00765480">
        <w:rPr>
          <w:rFonts w:ascii="Times New Roman" w:hAnsi="Times New Roman"/>
          <w:sz w:val="24"/>
          <w:szCs w:val="24"/>
        </w:rPr>
        <w:t xml:space="preserve">, 75 NY2d 218, 226 [1990]). Plaintiff does not dispute that he refused assistance in standing or ambulating. Further, the testimony was that the EMT technician assessed plaintiff as alert and oriented as he left his seat to exit the theater. Given this, the complaint should have been dismissed in its entirety as to defendants Beacon and </w:t>
      </w:r>
      <w:proofErr w:type="spellStart"/>
      <w:r w:rsidRPr="00765480">
        <w:rPr>
          <w:rFonts w:ascii="Times New Roman" w:hAnsi="Times New Roman"/>
          <w:sz w:val="24"/>
          <w:szCs w:val="24"/>
        </w:rPr>
        <w:t>Transcare</w:t>
      </w:r>
      <w:proofErr w:type="spellEnd"/>
      <w:r w:rsidRPr="00765480">
        <w:rPr>
          <w:rFonts w:ascii="Times New Roman" w:hAnsi="Times New Roman"/>
          <w:sz w:val="24"/>
          <w:szCs w:val="24"/>
        </w:rPr>
        <w:t xml:space="preserve"> (</w:t>
      </w:r>
      <w:r w:rsidRPr="00765480">
        <w:rPr>
          <w:rFonts w:ascii="Times New Roman" w:hAnsi="Times New Roman"/>
          <w:i/>
          <w:iCs/>
          <w:sz w:val="24"/>
          <w:szCs w:val="24"/>
        </w:rPr>
        <w:t>see Branda v MV Pub</w:t>
      </w:r>
      <w:r w:rsidRPr="00765480">
        <w:rPr>
          <w:rFonts w:ascii="Times New Roman" w:hAnsi="Times New Roman"/>
          <w:sz w:val="24"/>
          <w:szCs w:val="24"/>
        </w:rPr>
        <w:t xml:space="preserve">. </w:t>
      </w:r>
      <w:r w:rsidRPr="00765480">
        <w:rPr>
          <w:rFonts w:ascii="Times New Roman" w:hAnsi="Times New Roman"/>
          <w:i/>
          <w:iCs/>
          <w:sz w:val="24"/>
          <w:szCs w:val="24"/>
        </w:rPr>
        <w:t>Transp</w:t>
      </w:r>
      <w:r w:rsidRPr="00765480">
        <w:rPr>
          <w:rFonts w:ascii="Times New Roman" w:hAnsi="Times New Roman"/>
          <w:sz w:val="24"/>
          <w:szCs w:val="24"/>
        </w:rPr>
        <w:t xml:space="preserve">., </w:t>
      </w:r>
      <w:r w:rsidRPr="00765480">
        <w:rPr>
          <w:rFonts w:ascii="Times New Roman" w:hAnsi="Times New Roman"/>
          <w:i/>
          <w:iCs/>
          <w:sz w:val="24"/>
          <w:szCs w:val="24"/>
        </w:rPr>
        <w:t>Inc</w:t>
      </w:r>
      <w:r w:rsidRPr="00765480">
        <w:rPr>
          <w:rFonts w:ascii="Times New Roman" w:hAnsi="Times New Roman"/>
          <w:sz w:val="24"/>
          <w:szCs w:val="24"/>
        </w:rPr>
        <w:t>., 139 AD3d 636, 637 [1</w:t>
      </w:r>
      <w:r w:rsidRPr="00753DA9">
        <w:rPr>
          <w:rFonts w:ascii="Times New Roman" w:hAnsi="Times New Roman"/>
          <w:sz w:val="24"/>
          <w:szCs w:val="24"/>
          <w:vertAlign w:val="superscript"/>
        </w:rPr>
        <w:t>st</w:t>
      </w:r>
      <w:r w:rsidRPr="00765480">
        <w:rPr>
          <w:rFonts w:ascii="Times New Roman" w:hAnsi="Times New Roman"/>
          <w:sz w:val="24"/>
          <w:szCs w:val="24"/>
        </w:rPr>
        <w:t xml:space="preserve"> Dept 2016]).</w:t>
      </w:r>
      <w:r>
        <w:rPr>
          <w:rFonts w:ascii="Times New Roman" w:hAnsi="Times New Roman"/>
          <w:sz w:val="24"/>
          <w:szCs w:val="24"/>
        </w:rPr>
        <w:t xml:space="preserve">”  </w:t>
      </w:r>
      <w:hyperlink r:id="rId2293" w:history="1">
        <w:r w:rsidRPr="00D35A04">
          <w:rPr>
            <w:rStyle w:val="Hyperlink"/>
            <w:rFonts w:ascii="Times New Roman" w:hAnsi="Times New Roman"/>
            <w:sz w:val="24"/>
            <w:szCs w:val="24"/>
          </w:rPr>
          <w:t>https://public.fastcase.com/Wl%2B2t%2BeVuI35%2FN70vAMFZkrYpDR4hQ33Ax6oS1aJkCwq%2BUGCyTcW0uJ1XV2sRjwT</w:t>
        </w:r>
      </w:hyperlink>
      <w:r>
        <w:rPr>
          <w:rFonts w:ascii="Times New Roman" w:hAnsi="Times New Roman"/>
          <w:sz w:val="24"/>
          <w:szCs w:val="24"/>
        </w:rPr>
        <w:t xml:space="preserve"> </w:t>
      </w:r>
    </w:p>
    <w:p w14:paraId="736C0107" w14:textId="77777777" w:rsidR="00663A6A" w:rsidRPr="00765480" w:rsidRDefault="00663A6A" w:rsidP="00663A6A">
      <w:pPr>
        <w:pStyle w:val="NoSpacing"/>
        <w:rPr>
          <w:rFonts w:ascii="Times New Roman" w:hAnsi="Times New Roman"/>
          <w:b/>
          <w:bCs/>
          <w:sz w:val="24"/>
          <w:szCs w:val="24"/>
        </w:rPr>
      </w:pPr>
      <w:r w:rsidRPr="00765480">
        <w:rPr>
          <w:rFonts w:ascii="Times New Roman" w:hAnsi="Times New Roman"/>
          <w:b/>
          <w:bCs/>
          <w:sz w:val="24"/>
          <w:szCs w:val="24"/>
        </w:rPr>
        <w:t>Legal Lesson Learned:</w:t>
      </w:r>
      <w:r>
        <w:rPr>
          <w:rFonts w:ascii="Times New Roman" w:hAnsi="Times New Roman"/>
          <w:b/>
          <w:bCs/>
          <w:sz w:val="24"/>
          <w:szCs w:val="24"/>
        </w:rPr>
        <w:t xml:space="preserve">  Key facts – person was “alert” and “oriented times three” – led to dismissal of this case. </w:t>
      </w:r>
    </w:p>
    <w:p w14:paraId="1D3787DF" w14:textId="76643925" w:rsidR="00663A6A" w:rsidRDefault="00663A6A" w:rsidP="002B1283">
      <w:pPr>
        <w:rPr>
          <w:rFonts w:ascii="Arial Black" w:hAnsi="Arial Black"/>
          <w:b/>
          <w:bCs/>
          <w:sz w:val="28"/>
          <w:szCs w:val="28"/>
        </w:rPr>
      </w:pPr>
    </w:p>
    <w:p w14:paraId="7DF1370D" w14:textId="77777777" w:rsidR="00663A6A" w:rsidRDefault="00663A6A" w:rsidP="002B1283">
      <w:pPr>
        <w:rPr>
          <w:rFonts w:ascii="Arial Black" w:hAnsi="Arial Black"/>
          <w:b/>
          <w:bCs/>
          <w:sz w:val="28"/>
          <w:szCs w:val="28"/>
        </w:rPr>
      </w:pPr>
    </w:p>
    <w:p w14:paraId="67C87D3D" w14:textId="3A3A7E95" w:rsidR="00663A6A" w:rsidRDefault="00663A6A" w:rsidP="002B1283">
      <w:pPr>
        <w:rPr>
          <w:rFonts w:ascii="Arial Black" w:hAnsi="Arial Black"/>
          <w:b/>
          <w:bCs/>
          <w:sz w:val="28"/>
          <w:szCs w:val="28"/>
        </w:rPr>
      </w:pPr>
      <w:r>
        <w:rPr>
          <w:rFonts w:ascii="Arial Black" w:hAnsi="Arial Black"/>
          <w:b/>
          <w:bCs/>
          <w:sz w:val="28"/>
          <w:szCs w:val="28"/>
        </w:rPr>
        <w:t>13-68</w:t>
      </w:r>
    </w:p>
    <w:p w14:paraId="1A355046" w14:textId="77777777" w:rsidR="00663A6A" w:rsidRPr="005166FA" w:rsidRDefault="00663A6A" w:rsidP="00663A6A">
      <w:pPr>
        <w:pStyle w:val="NoSpacing"/>
        <w:rPr>
          <w:rFonts w:ascii="Arial Black" w:hAnsi="Arial Black"/>
          <w:sz w:val="28"/>
          <w:szCs w:val="28"/>
        </w:rPr>
      </w:pPr>
      <w:r>
        <w:rPr>
          <w:rFonts w:ascii="Arial Black" w:hAnsi="Arial Black"/>
          <w:sz w:val="28"/>
          <w:szCs w:val="28"/>
        </w:rPr>
        <w:t>MA: “EXCITED UTERANCE” - EMT ALLOWED TO TESTIFY IN CRIMINAL CASE ABOUT VICTIM’S COMMENTS IN AMBULANCE</w:t>
      </w:r>
    </w:p>
    <w:p w14:paraId="0A555909" w14:textId="77777777" w:rsidR="00663A6A" w:rsidRDefault="00663A6A" w:rsidP="00663A6A">
      <w:pPr>
        <w:spacing w:before="100" w:beforeAutospacing="1" w:after="100" w:afterAutospacing="1" w:line="240" w:lineRule="auto"/>
        <w:rPr>
          <w:rFonts w:ascii="Times New Roman" w:hAnsi="Times New Roman"/>
          <w:sz w:val="24"/>
          <w:szCs w:val="24"/>
        </w:rPr>
      </w:pPr>
      <w:r w:rsidRPr="005166FA">
        <w:rPr>
          <w:rFonts w:ascii="Times New Roman" w:eastAsia="Times New Roman" w:hAnsi="Times New Roman"/>
          <w:sz w:val="24"/>
          <w:szCs w:val="24"/>
        </w:rPr>
        <w:t xml:space="preserve">On </w:t>
      </w:r>
      <w:r>
        <w:rPr>
          <w:rFonts w:ascii="Times New Roman" w:eastAsia="Times New Roman" w:hAnsi="Times New Roman"/>
          <w:sz w:val="24"/>
          <w:szCs w:val="24"/>
        </w:rPr>
        <w:t xml:space="preserve">Oct. 29, 2020, in </w:t>
      </w:r>
      <w:r w:rsidRPr="005166FA">
        <w:rPr>
          <w:rFonts w:ascii="Times New Roman" w:eastAsia="Times New Roman" w:hAnsi="Times New Roman"/>
          <w:sz w:val="24"/>
          <w:szCs w:val="24"/>
          <w:u w:val="single"/>
        </w:rPr>
        <w:t>Commonwealth v. Antonio Marrero-Mipanda</w:t>
      </w:r>
      <w:r>
        <w:rPr>
          <w:rFonts w:ascii="Times New Roman" w:eastAsia="Times New Roman" w:hAnsi="Times New Roman"/>
          <w:sz w:val="24"/>
          <w:szCs w:val="24"/>
        </w:rPr>
        <w:t xml:space="preserve">, the Commonwealth of Massachusetts Appeals Court, held that the trial court properly allowed the EMT to testify at the defendant’s trial, along with the victim. Defendant’s conviction by jury was affirmed for </w:t>
      </w:r>
      <w:r w:rsidRPr="00F476E6">
        <w:rPr>
          <w:rFonts w:ascii="Times New Roman" w:hAnsi="Times New Roman"/>
          <w:sz w:val="24"/>
          <w:szCs w:val="24"/>
        </w:rPr>
        <w:t>assault with intent to rape and indecent assault and battery on a person fourteen years of age or older</w:t>
      </w:r>
      <w:r>
        <w:rPr>
          <w:rFonts w:ascii="Times New Roman" w:hAnsi="Times New Roman"/>
          <w:sz w:val="24"/>
          <w:szCs w:val="24"/>
        </w:rPr>
        <w:t xml:space="preserve">. </w:t>
      </w:r>
    </w:p>
    <w:p w14:paraId="07456C50" w14:textId="77777777" w:rsidR="00663A6A" w:rsidRDefault="00663A6A" w:rsidP="00663A6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5166FA">
        <w:rPr>
          <w:rFonts w:ascii="Times New Roman" w:eastAsia="Times New Roman" w:hAnsi="Times New Roman"/>
          <w:sz w:val="24"/>
          <w:szCs w:val="24"/>
        </w:rPr>
        <w:t xml:space="preserve">Under the excited utterance (or spontaneous utterance) exception to the rule against hearsay, </w:t>
      </w:r>
      <w:r>
        <w:rPr>
          <w:rFonts w:ascii="Times New Roman" w:eastAsia="Times New Roman" w:hAnsi="Times New Roman"/>
          <w:sz w:val="24"/>
          <w:szCs w:val="24"/>
        </w:rPr>
        <w:t>‘</w:t>
      </w:r>
      <w:r w:rsidRPr="005166FA">
        <w:rPr>
          <w:rFonts w:ascii="Times New Roman" w:eastAsia="Times New Roman" w:hAnsi="Times New Roman"/>
          <w:sz w:val="24"/>
          <w:szCs w:val="24"/>
        </w:rPr>
        <w:t>[a] spontaneous utterance will be admitted in evidence if (1) there is an occurrence or event 'sufficiently startling to render inoperative the normal reflective thought processes of the observer,' and (2) if the declarant's statement was a 'spontaneous reaction to the occurrence or event and not</w:t>
      </w:r>
      <w:r>
        <w:rPr>
          <w:rFonts w:ascii="Times New Roman" w:eastAsia="Times New Roman" w:hAnsi="Times New Roman"/>
          <w:sz w:val="24"/>
          <w:szCs w:val="24"/>
        </w:rPr>
        <w:t xml:space="preserve"> </w:t>
      </w:r>
      <w:r w:rsidRPr="005166FA">
        <w:rPr>
          <w:rFonts w:ascii="Times New Roman" w:eastAsia="Times New Roman" w:hAnsi="Times New Roman"/>
          <w:sz w:val="24"/>
          <w:szCs w:val="24"/>
        </w:rPr>
        <w:t xml:space="preserve">the result of reflective thought' (citation omitted). </w:t>
      </w:r>
      <w:r w:rsidRPr="005166FA">
        <w:rPr>
          <w:rFonts w:ascii="Times New Roman" w:eastAsia="Times New Roman" w:hAnsi="Times New Roman"/>
          <w:sz w:val="24"/>
          <w:szCs w:val="24"/>
          <w:u w:val="single"/>
        </w:rPr>
        <w:t>Commonwealth</w:t>
      </w:r>
      <w:r w:rsidRPr="005166FA">
        <w:rPr>
          <w:rFonts w:ascii="Times New Roman" w:eastAsia="Times New Roman" w:hAnsi="Times New Roman"/>
          <w:sz w:val="24"/>
          <w:szCs w:val="24"/>
        </w:rPr>
        <w:t xml:space="preserve"> v. </w:t>
      </w:r>
      <w:r w:rsidRPr="005166FA">
        <w:rPr>
          <w:rFonts w:ascii="Times New Roman" w:eastAsia="Times New Roman" w:hAnsi="Times New Roman"/>
          <w:sz w:val="24"/>
          <w:szCs w:val="24"/>
          <w:u w:val="single"/>
        </w:rPr>
        <w:t>Santiago</w:t>
      </w:r>
      <w:r w:rsidRPr="005166FA">
        <w:rPr>
          <w:rFonts w:ascii="Times New Roman" w:eastAsia="Times New Roman" w:hAnsi="Times New Roman"/>
          <w:sz w:val="24"/>
          <w:szCs w:val="24"/>
        </w:rPr>
        <w:t>, 437 Mass. 620, 623 (2002).</w:t>
      </w:r>
    </w:p>
    <w:p w14:paraId="0D58FBD4" w14:textId="77777777" w:rsidR="00663A6A" w:rsidRDefault="00663A6A" w:rsidP="00663A6A">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29C1A16D" w14:textId="77777777" w:rsidR="00663A6A" w:rsidRPr="00F476E6" w:rsidRDefault="00663A6A" w:rsidP="00663A6A">
      <w:pPr>
        <w:spacing w:before="100" w:beforeAutospacing="1" w:after="100" w:afterAutospacing="1" w:line="240" w:lineRule="auto"/>
        <w:ind w:left="720"/>
        <w:rPr>
          <w:rFonts w:ascii="Times New Roman" w:eastAsia="Times New Roman" w:hAnsi="Times New Roman"/>
          <w:sz w:val="24"/>
          <w:szCs w:val="24"/>
        </w:rPr>
      </w:pPr>
      <w:r w:rsidRPr="00F476E6">
        <w:rPr>
          <w:rFonts w:ascii="Times New Roman" w:eastAsia="Times New Roman" w:hAnsi="Times New Roman"/>
          <w:sz w:val="24"/>
          <w:szCs w:val="24"/>
        </w:rPr>
        <w:t>Here, we have no difficulty concluding that the primary purpose of the victim's statement to the EMT was to assist the</w:t>
      </w:r>
      <w:r>
        <w:rPr>
          <w:rFonts w:ascii="Times New Roman" w:eastAsia="Times New Roman" w:hAnsi="Times New Roman"/>
          <w:sz w:val="24"/>
          <w:szCs w:val="24"/>
        </w:rPr>
        <w:t xml:space="preserve"> </w:t>
      </w:r>
      <w:r w:rsidRPr="00F476E6">
        <w:rPr>
          <w:rFonts w:ascii="Times New Roman" w:eastAsia="Times New Roman" w:hAnsi="Times New Roman"/>
          <w:sz w:val="24"/>
          <w:szCs w:val="24"/>
        </w:rPr>
        <w:t xml:space="preserve">EMT in assessing the victim's need for medical care. Each of the three parts of the victim's statement -- that she had been </w:t>
      </w:r>
      <w:r>
        <w:rPr>
          <w:rFonts w:ascii="Times New Roman" w:eastAsia="Times New Roman" w:hAnsi="Times New Roman"/>
          <w:sz w:val="24"/>
          <w:szCs w:val="24"/>
        </w:rPr>
        <w:t>‘</w:t>
      </w:r>
      <w:r w:rsidRPr="00F476E6">
        <w:rPr>
          <w:rFonts w:ascii="Times New Roman" w:eastAsia="Times New Roman" w:hAnsi="Times New Roman"/>
          <w:sz w:val="24"/>
          <w:szCs w:val="24"/>
        </w:rPr>
        <w:t>forced up against a wall,</w:t>
      </w:r>
      <w:r>
        <w:rPr>
          <w:rFonts w:ascii="Times New Roman" w:eastAsia="Times New Roman" w:hAnsi="Times New Roman"/>
          <w:sz w:val="24"/>
          <w:szCs w:val="24"/>
        </w:rPr>
        <w:t>’</w:t>
      </w:r>
      <w:r w:rsidRPr="00F476E6">
        <w:rPr>
          <w:rFonts w:ascii="Times New Roman" w:eastAsia="Times New Roman" w:hAnsi="Times New Roman"/>
          <w:sz w:val="24"/>
          <w:szCs w:val="24"/>
        </w:rPr>
        <w:t xml:space="preserve"> </w:t>
      </w:r>
      <w:r>
        <w:rPr>
          <w:rFonts w:ascii="Times New Roman" w:eastAsia="Times New Roman" w:hAnsi="Times New Roman"/>
          <w:sz w:val="24"/>
          <w:szCs w:val="24"/>
        </w:rPr>
        <w:t>‘</w:t>
      </w:r>
      <w:r w:rsidRPr="00F476E6">
        <w:rPr>
          <w:rFonts w:ascii="Times New Roman" w:eastAsia="Times New Roman" w:hAnsi="Times New Roman"/>
          <w:sz w:val="24"/>
          <w:szCs w:val="24"/>
        </w:rPr>
        <w:t>thrown to the ground,</w:t>
      </w:r>
      <w:r>
        <w:rPr>
          <w:rFonts w:ascii="Times New Roman" w:eastAsia="Times New Roman" w:hAnsi="Times New Roman"/>
          <w:sz w:val="24"/>
          <w:szCs w:val="24"/>
        </w:rPr>
        <w:t>’</w:t>
      </w:r>
      <w:r w:rsidRPr="00F476E6">
        <w:rPr>
          <w:rFonts w:ascii="Times New Roman" w:eastAsia="Times New Roman" w:hAnsi="Times New Roman"/>
          <w:sz w:val="24"/>
          <w:szCs w:val="24"/>
        </w:rPr>
        <w:t xml:space="preserve"> and </w:t>
      </w:r>
      <w:r>
        <w:rPr>
          <w:rFonts w:ascii="Times New Roman" w:eastAsia="Times New Roman" w:hAnsi="Times New Roman"/>
          <w:sz w:val="24"/>
          <w:szCs w:val="24"/>
        </w:rPr>
        <w:t>‘</w:t>
      </w:r>
      <w:r w:rsidRPr="00F476E6">
        <w:rPr>
          <w:rFonts w:ascii="Times New Roman" w:eastAsia="Times New Roman" w:hAnsi="Times New Roman"/>
          <w:sz w:val="24"/>
          <w:szCs w:val="24"/>
        </w:rPr>
        <w:t>the male's fingers penetrated her vagina</w:t>
      </w:r>
      <w:r>
        <w:rPr>
          <w:rFonts w:ascii="Times New Roman" w:eastAsia="Times New Roman" w:hAnsi="Times New Roman"/>
          <w:sz w:val="24"/>
          <w:szCs w:val="24"/>
        </w:rPr>
        <w:t>’</w:t>
      </w:r>
      <w:r w:rsidRPr="00F476E6">
        <w:rPr>
          <w:rFonts w:ascii="Times New Roman" w:eastAsia="Times New Roman" w:hAnsi="Times New Roman"/>
          <w:sz w:val="24"/>
          <w:szCs w:val="24"/>
        </w:rPr>
        <w:t xml:space="preserve"> -- described the application of force to her body in a manner that could have resulted in a need for medical treatment. That the victim herself had not reported or shown signs of vaginal pain or discomfort was beside the point. The EMT asked an open-ended question for the purpose of evaluating what the victim's medical needs might be, and the victim's answer was directly responsive to that question. That the victim might have observed the police handcuffing the defendant and placing him in a cruiser, and that she made the statement to the EMT while the police were still on the scene, did not require the conclusion that she made the statement for the primary purpose of creating an out-of-court substitute for trial testimony, or of otherwise aiding a police investigation</w:t>
      </w:r>
      <w:r>
        <w:rPr>
          <w:rFonts w:ascii="Times New Roman" w:eastAsia="Times New Roman" w:hAnsi="Times New Roman"/>
          <w:sz w:val="24"/>
          <w:szCs w:val="24"/>
        </w:rPr>
        <w:t xml:space="preserve">.” </w:t>
      </w:r>
      <w:hyperlink r:id="rId2294" w:history="1">
        <w:r w:rsidRPr="00BA14DC">
          <w:rPr>
            <w:rStyle w:val="Hyperlink"/>
            <w:rFonts w:ascii="Times New Roman" w:hAnsi="Times New Roman"/>
            <w:sz w:val="24"/>
            <w:szCs w:val="24"/>
          </w:rPr>
          <w:t>file:///C:/Users/lawre/AppData/Local/Temp/19P0716.pdf</w:t>
        </w:r>
      </w:hyperlink>
      <w:r>
        <w:rPr>
          <w:rFonts w:ascii="Times New Roman" w:eastAsia="Times New Roman" w:hAnsi="Times New Roman"/>
          <w:sz w:val="24"/>
          <w:szCs w:val="24"/>
        </w:rPr>
        <w:t xml:space="preserve"> </w:t>
      </w:r>
    </w:p>
    <w:p w14:paraId="7116FEAE" w14:textId="15E8FCA3" w:rsidR="00663A6A" w:rsidRDefault="00663A6A" w:rsidP="002B1283">
      <w:pPr>
        <w:rPr>
          <w:rFonts w:ascii="Arial Black" w:hAnsi="Arial Black"/>
          <w:b/>
          <w:bCs/>
          <w:sz w:val="28"/>
          <w:szCs w:val="28"/>
        </w:rPr>
      </w:pPr>
      <w:r w:rsidRPr="00F365E9">
        <w:rPr>
          <w:rFonts w:ascii="Times New Roman" w:eastAsia="Times New Roman" w:hAnsi="Times New Roman"/>
          <w:b/>
          <w:bCs/>
          <w:sz w:val="24"/>
          <w:szCs w:val="24"/>
        </w:rPr>
        <w:t>Legal Lesson Learned</w:t>
      </w:r>
      <w:r>
        <w:rPr>
          <w:rFonts w:ascii="Times New Roman" w:eastAsia="Times New Roman" w:hAnsi="Times New Roman"/>
          <w:b/>
          <w:bCs/>
          <w:sz w:val="24"/>
          <w:szCs w:val="24"/>
        </w:rPr>
        <w:t>: “Excited utterances” are admissible in trial; EMS should document on the EMS report the victim’s comments.</w:t>
      </w:r>
    </w:p>
    <w:p w14:paraId="7B514712" w14:textId="77777777" w:rsidR="00663A6A" w:rsidRDefault="00663A6A" w:rsidP="002B1283">
      <w:pPr>
        <w:rPr>
          <w:rFonts w:ascii="Arial Black" w:hAnsi="Arial Black"/>
          <w:b/>
          <w:bCs/>
          <w:sz w:val="28"/>
          <w:szCs w:val="28"/>
        </w:rPr>
      </w:pPr>
    </w:p>
    <w:p w14:paraId="1E1C6FC2" w14:textId="11797384" w:rsidR="00102FD0" w:rsidRDefault="00102FD0" w:rsidP="002B1283">
      <w:pPr>
        <w:rPr>
          <w:rFonts w:ascii="Arial Black" w:hAnsi="Arial Black"/>
          <w:b/>
          <w:bCs/>
          <w:sz w:val="28"/>
          <w:szCs w:val="28"/>
        </w:rPr>
      </w:pPr>
      <w:r>
        <w:rPr>
          <w:rFonts w:ascii="Arial Black" w:hAnsi="Arial Black"/>
          <w:b/>
          <w:bCs/>
          <w:sz w:val="28"/>
          <w:szCs w:val="28"/>
        </w:rPr>
        <w:t>13-67</w:t>
      </w:r>
    </w:p>
    <w:p w14:paraId="48223C97" w14:textId="77777777" w:rsidR="00102FD0" w:rsidRDefault="00102FD0" w:rsidP="00102FD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ET TUBE IN ESOPHAGUS – PATIENT MONITORED DURING TRANSPORT, BUT NO PULSE OX – CASE DISMISSED</w:t>
      </w:r>
    </w:p>
    <w:p w14:paraId="647B577A" w14:textId="77777777" w:rsidR="00102FD0" w:rsidRDefault="00102FD0" w:rsidP="00102FD0">
      <w:pPr>
        <w:pStyle w:val="NoSpacing"/>
        <w:rPr>
          <w:rFonts w:ascii="Times New Roman" w:hAnsi="Times New Roman"/>
          <w:sz w:val="24"/>
          <w:szCs w:val="24"/>
        </w:rPr>
      </w:pPr>
      <w:r>
        <w:rPr>
          <w:rFonts w:ascii="Times New Roman" w:hAnsi="Times New Roman"/>
          <w:sz w:val="24"/>
          <w:szCs w:val="24"/>
        </w:rPr>
        <w:t xml:space="preserve">On Oct. 26, 2020, in Sally Grant, as </w:t>
      </w:r>
      <w:r w:rsidRPr="000A1B69">
        <w:rPr>
          <w:rFonts w:ascii="Times New Roman" w:hAnsi="Times New Roman"/>
          <w:sz w:val="24"/>
          <w:szCs w:val="24"/>
          <w:u w:val="single"/>
        </w:rPr>
        <w:t>Administrator of the Estate of Amanda Gary v. City of Calumet City</w:t>
      </w:r>
      <w:r>
        <w:rPr>
          <w:rFonts w:ascii="Times New Roman" w:hAnsi="Times New Roman"/>
          <w:sz w:val="24"/>
          <w:szCs w:val="24"/>
        </w:rPr>
        <w:t>, the Appellate Court of Illinois (First Judicial District / First Division), 2020 IL App (1</w:t>
      </w:r>
      <w:r w:rsidRPr="005B6AF8">
        <w:rPr>
          <w:rFonts w:ascii="Times New Roman" w:hAnsi="Times New Roman"/>
          <w:sz w:val="24"/>
          <w:szCs w:val="24"/>
          <w:vertAlign w:val="superscript"/>
        </w:rPr>
        <w:t>st</w:t>
      </w:r>
      <w:r>
        <w:rPr>
          <w:rFonts w:ascii="Times New Roman" w:hAnsi="Times New Roman"/>
          <w:sz w:val="24"/>
          <w:szCs w:val="24"/>
        </w:rPr>
        <w:t xml:space="preserve">) 191812-U,  held (3 to 0) that the trial court properly granted summary judgment to the </w:t>
      </w:r>
      <w:proofErr w:type="gramStart"/>
      <w:r>
        <w:rPr>
          <w:rFonts w:ascii="Times New Roman" w:hAnsi="Times New Roman"/>
          <w:sz w:val="24"/>
          <w:szCs w:val="24"/>
        </w:rPr>
        <w:t>City</w:t>
      </w:r>
      <w:proofErr w:type="gramEnd"/>
      <w:r>
        <w:rPr>
          <w:rFonts w:ascii="Times New Roman" w:hAnsi="Times New Roman"/>
          <w:sz w:val="24"/>
          <w:szCs w:val="24"/>
        </w:rPr>
        <w:t xml:space="preserve">.  Plaintiff alleged that the medics did not use a pulse oximeter to continuously monitor the patient’s blood oxygen levels after she was intubated, but their Training Officer testified this was not a required action. </w:t>
      </w:r>
    </w:p>
    <w:p w14:paraId="6AD7CF5D" w14:textId="77777777" w:rsidR="00102FD0" w:rsidRDefault="00102FD0" w:rsidP="00102FD0">
      <w:pPr>
        <w:pStyle w:val="NoSpacing"/>
        <w:rPr>
          <w:rFonts w:ascii="Times New Roman" w:hAnsi="Times New Roman"/>
          <w:sz w:val="24"/>
          <w:szCs w:val="24"/>
        </w:rPr>
      </w:pPr>
    </w:p>
    <w:p w14:paraId="743B2023" w14:textId="77777777" w:rsidR="00102FD0" w:rsidRDefault="00102FD0" w:rsidP="00102FD0">
      <w:pPr>
        <w:pStyle w:val="NoSpacing"/>
        <w:ind w:left="720"/>
        <w:rPr>
          <w:rFonts w:ascii="Times New Roman" w:hAnsi="Times New Roman"/>
          <w:sz w:val="24"/>
          <w:szCs w:val="24"/>
        </w:rPr>
      </w:pPr>
      <w:r>
        <w:rPr>
          <w:rFonts w:ascii="Times New Roman" w:hAnsi="Times New Roman"/>
          <w:sz w:val="24"/>
          <w:szCs w:val="24"/>
        </w:rPr>
        <w:t>“</w:t>
      </w:r>
      <w:r w:rsidRPr="005B6AF8">
        <w:rPr>
          <w:rFonts w:ascii="Times New Roman" w:hAnsi="Times New Roman"/>
          <w:sz w:val="24"/>
          <w:szCs w:val="24"/>
        </w:rPr>
        <w:t>Construing the record liberally in favor of plaintiff (</w:t>
      </w:r>
      <w:r w:rsidRPr="005B6AF8">
        <w:rPr>
          <w:rFonts w:ascii="Times New Roman" w:hAnsi="Times New Roman"/>
          <w:i/>
          <w:iCs/>
          <w:sz w:val="24"/>
          <w:szCs w:val="24"/>
        </w:rPr>
        <w:t>Williams</w:t>
      </w:r>
      <w:r w:rsidRPr="005B6AF8">
        <w:rPr>
          <w:rFonts w:ascii="Times New Roman" w:hAnsi="Times New Roman"/>
          <w:sz w:val="24"/>
          <w:szCs w:val="24"/>
        </w:rPr>
        <w:t xml:space="preserve">, 228 Ill. 2d at 417), a reasonable finder of fact could conclude that Pierce performed the intubation incorrectly by inserting the tube into Amanda's esophagus rather than her trachea. A </w:t>
      </w:r>
      <w:proofErr w:type="gramStart"/>
      <w:r w:rsidRPr="005B6AF8">
        <w:rPr>
          <w:rFonts w:ascii="Times New Roman" w:hAnsi="Times New Roman"/>
          <w:sz w:val="24"/>
          <w:szCs w:val="24"/>
        </w:rPr>
        <w:t>finder of fact</w:t>
      </w:r>
      <w:proofErr w:type="gramEnd"/>
      <w:r w:rsidRPr="005B6AF8">
        <w:rPr>
          <w:rFonts w:ascii="Times New Roman" w:hAnsi="Times New Roman"/>
          <w:sz w:val="24"/>
          <w:szCs w:val="24"/>
        </w:rPr>
        <w:t xml:space="preserve"> could also reasonably conclude that this error might have been discovered and fixed prior to Amanda's arrival at the hospital if the paramedics had used a pulse oximeter to continuously monitor Amanda's blood oxygen levels. But even taking these things as true, such errors do not reflect </w:t>
      </w:r>
      <w:r>
        <w:rPr>
          <w:rFonts w:ascii="Times New Roman" w:hAnsi="Times New Roman"/>
          <w:sz w:val="24"/>
          <w:szCs w:val="24"/>
        </w:rPr>
        <w:t>‘</w:t>
      </w:r>
      <w:r w:rsidRPr="005B6AF8">
        <w:rPr>
          <w:rFonts w:ascii="Times New Roman" w:hAnsi="Times New Roman"/>
          <w:sz w:val="24"/>
          <w:szCs w:val="24"/>
        </w:rPr>
        <w:t>an utter indifference to the decedent's safety</w:t>
      </w:r>
      <w:r>
        <w:rPr>
          <w:rFonts w:ascii="Times New Roman" w:hAnsi="Times New Roman"/>
          <w:sz w:val="24"/>
          <w:szCs w:val="24"/>
        </w:rPr>
        <w:t>’</w:t>
      </w:r>
      <w:r w:rsidRPr="005B6AF8">
        <w:rPr>
          <w:rFonts w:ascii="Times New Roman" w:hAnsi="Times New Roman"/>
          <w:sz w:val="24"/>
          <w:szCs w:val="24"/>
        </w:rPr>
        <w:t xml:space="preserve"> (</w:t>
      </w:r>
      <w:r w:rsidRPr="005B6AF8">
        <w:rPr>
          <w:rFonts w:ascii="Times New Roman" w:hAnsi="Times New Roman"/>
          <w:i/>
          <w:iCs/>
          <w:sz w:val="24"/>
          <w:szCs w:val="24"/>
        </w:rPr>
        <w:t>Bowden</w:t>
      </w:r>
      <w:r w:rsidRPr="005B6AF8">
        <w:rPr>
          <w:rFonts w:ascii="Times New Roman" w:hAnsi="Times New Roman"/>
          <w:sz w:val="24"/>
          <w:szCs w:val="24"/>
        </w:rPr>
        <w:t xml:space="preserve">, 304 Ill. App. 3d at 282) as required for a finding of willful and wanton misconduct. This is particularly true where, as here, the paramedics utilized multiple other methods to assess the intubation in a tense and time-sensitive </w:t>
      </w:r>
      <w:proofErr w:type="gramStart"/>
      <w:r w:rsidRPr="005B6AF8">
        <w:rPr>
          <w:rFonts w:ascii="Times New Roman" w:hAnsi="Times New Roman"/>
          <w:sz w:val="24"/>
          <w:szCs w:val="24"/>
        </w:rPr>
        <w:t>emergency situation</w:t>
      </w:r>
      <w:proofErr w:type="gramEnd"/>
      <w:r>
        <w:rPr>
          <w:rFonts w:ascii="Times New Roman" w:hAnsi="Times New Roman"/>
          <w:sz w:val="24"/>
          <w:szCs w:val="24"/>
        </w:rPr>
        <w:t>.</w:t>
      </w:r>
    </w:p>
    <w:p w14:paraId="1B4CDA93" w14:textId="77777777" w:rsidR="00102FD0" w:rsidRDefault="00102FD0" w:rsidP="00102FD0">
      <w:pPr>
        <w:pStyle w:val="NoSpacing"/>
        <w:ind w:left="720"/>
        <w:rPr>
          <w:rFonts w:ascii="Times New Roman" w:hAnsi="Times New Roman"/>
          <w:sz w:val="24"/>
          <w:szCs w:val="24"/>
        </w:rPr>
      </w:pPr>
    </w:p>
    <w:p w14:paraId="6E69F69E" w14:textId="77777777" w:rsidR="00102FD0" w:rsidRPr="005B6AF8" w:rsidRDefault="00102FD0" w:rsidP="00102FD0">
      <w:pPr>
        <w:pStyle w:val="NoSpacing"/>
        <w:ind w:left="720"/>
        <w:rPr>
          <w:rFonts w:ascii="Times New Roman" w:hAnsi="Times New Roman"/>
          <w:sz w:val="24"/>
          <w:szCs w:val="24"/>
        </w:rPr>
      </w:pPr>
      <w:r>
        <w:rPr>
          <w:rFonts w:ascii="Times New Roman" w:hAnsi="Times New Roman"/>
          <w:sz w:val="24"/>
          <w:szCs w:val="24"/>
        </w:rPr>
        <w:t>***</w:t>
      </w:r>
    </w:p>
    <w:p w14:paraId="74B98E7E" w14:textId="656D773A" w:rsidR="00102FD0" w:rsidRDefault="00102FD0" w:rsidP="00102FD0">
      <w:pPr>
        <w:rPr>
          <w:rStyle w:val="Hyperlink"/>
          <w:rFonts w:ascii="Times New Roman" w:hAnsi="Times New Roman"/>
          <w:sz w:val="24"/>
          <w:szCs w:val="24"/>
        </w:rPr>
      </w:pPr>
      <w:r w:rsidRPr="005B6AF8">
        <w:rPr>
          <w:rFonts w:ascii="Times New Roman" w:hAnsi="Times New Roman"/>
          <w:sz w:val="24"/>
          <w:szCs w:val="24"/>
        </w:rPr>
        <w:t xml:space="preserve">To defeat summary judgment, plaintiff would have had to present evidence that the </w:t>
      </w:r>
      <w:proofErr w:type="gramStart"/>
      <w:r w:rsidRPr="005B6AF8">
        <w:rPr>
          <w:rFonts w:ascii="Times New Roman" w:hAnsi="Times New Roman"/>
          <w:sz w:val="24"/>
          <w:szCs w:val="24"/>
        </w:rPr>
        <w:t>City</w:t>
      </w:r>
      <w:proofErr w:type="gramEnd"/>
      <w:r w:rsidRPr="005B6AF8">
        <w:rPr>
          <w:rFonts w:ascii="Times New Roman" w:hAnsi="Times New Roman"/>
          <w:sz w:val="24"/>
          <w:szCs w:val="24"/>
        </w:rPr>
        <w:t xml:space="preserve"> either knew </w:t>
      </w:r>
      <w:r>
        <w:rPr>
          <w:rFonts w:ascii="Times New Roman" w:hAnsi="Times New Roman"/>
          <w:sz w:val="24"/>
          <w:szCs w:val="24"/>
        </w:rPr>
        <w:t xml:space="preserve">[Deputy Fire Chief / EMS Training Officer Peter] </w:t>
      </w:r>
      <w:r w:rsidRPr="005B6AF8">
        <w:rPr>
          <w:rFonts w:ascii="Times New Roman" w:hAnsi="Times New Roman"/>
          <w:sz w:val="24"/>
          <w:szCs w:val="24"/>
        </w:rPr>
        <w:t xml:space="preserve">Bendinelli's training imperiled patients, or that the </w:t>
      </w:r>
      <w:proofErr w:type="gramStart"/>
      <w:r w:rsidRPr="005B6AF8">
        <w:rPr>
          <w:rFonts w:ascii="Times New Roman" w:hAnsi="Times New Roman"/>
          <w:sz w:val="24"/>
          <w:szCs w:val="24"/>
        </w:rPr>
        <w:t>City</w:t>
      </w:r>
      <w:proofErr w:type="gramEnd"/>
      <w:r w:rsidRPr="005B6AF8">
        <w:rPr>
          <w:rFonts w:ascii="Times New Roman" w:hAnsi="Times New Roman"/>
          <w:sz w:val="24"/>
          <w:szCs w:val="24"/>
        </w:rPr>
        <w:t xml:space="preserve"> failed to recognize this danger through recklessness. </w:t>
      </w:r>
      <w:r w:rsidRPr="005B6AF8">
        <w:rPr>
          <w:rFonts w:ascii="Times New Roman" w:hAnsi="Times New Roman"/>
          <w:i/>
          <w:iCs/>
          <w:sz w:val="24"/>
          <w:szCs w:val="24"/>
        </w:rPr>
        <w:t>Affatato v</w:t>
      </w:r>
      <w:r w:rsidRPr="005B6AF8">
        <w:rPr>
          <w:rFonts w:ascii="Times New Roman" w:hAnsi="Times New Roman"/>
          <w:sz w:val="24"/>
          <w:szCs w:val="24"/>
        </w:rPr>
        <w:t xml:space="preserve">. </w:t>
      </w:r>
      <w:r w:rsidRPr="005B6AF8">
        <w:rPr>
          <w:rFonts w:ascii="Times New Roman" w:hAnsi="Times New Roman"/>
          <w:i/>
          <w:iCs/>
          <w:sz w:val="24"/>
          <w:szCs w:val="24"/>
        </w:rPr>
        <w:t>Jewel Companies</w:t>
      </w:r>
      <w:r w:rsidRPr="005B6AF8">
        <w:rPr>
          <w:rFonts w:ascii="Times New Roman" w:hAnsi="Times New Roman"/>
          <w:sz w:val="24"/>
          <w:szCs w:val="24"/>
        </w:rPr>
        <w:t xml:space="preserve">, </w:t>
      </w:r>
      <w:r w:rsidRPr="005B6AF8">
        <w:rPr>
          <w:rFonts w:ascii="Times New Roman" w:hAnsi="Times New Roman"/>
          <w:i/>
          <w:iCs/>
          <w:sz w:val="24"/>
          <w:szCs w:val="24"/>
        </w:rPr>
        <w:t>Inc</w:t>
      </w:r>
      <w:r w:rsidRPr="005B6AF8">
        <w:rPr>
          <w:rFonts w:ascii="Times New Roman" w:hAnsi="Times New Roman"/>
          <w:sz w:val="24"/>
          <w:szCs w:val="24"/>
        </w:rPr>
        <w:t xml:space="preserve">., 259 Ill. App. 3d 787, 800 (1994). Plaintiff presented no such evidence. On the contrary, all three of Amanda's treating physicians corroborated Bendinelli's statement that pulse oximeter readings can be inaccurate. </w:t>
      </w:r>
      <w:proofErr w:type="gramStart"/>
      <w:r w:rsidRPr="005B6AF8">
        <w:rPr>
          <w:rFonts w:ascii="Times New Roman" w:hAnsi="Times New Roman"/>
          <w:sz w:val="24"/>
          <w:szCs w:val="24"/>
        </w:rPr>
        <w:t>In light of</w:t>
      </w:r>
      <w:proofErr w:type="gramEnd"/>
      <w:r w:rsidRPr="005B6AF8">
        <w:rPr>
          <w:rFonts w:ascii="Times New Roman" w:hAnsi="Times New Roman"/>
          <w:sz w:val="24"/>
          <w:szCs w:val="24"/>
        </w:rPr>
        <w:t xml:space="preserve"> their testimony, plaintiff has not presented an issue of fact as to whether Bendinelli's training reflects an utter indifference to patients' safety.</w:t>
      </w:r>
      <w:r>
        <w:rPr>
          <w:rFonts w:ascii="Times New Roman" w:hAnsi="Times New Roman"/>
          <w:sz w:val="24"/>
          <w:szCs w:val="24"/>
        </w:rPr>
        <w:t xml:space="preserve">” </w:t>
      </w:r>
      <w:hyperlink r:id="rId2295" w:history="1">
        <w:r w:rsidRPr="00EF3739">
          <w:rPr>
            <w:rStyle w:val="Hyperlink"/>
            <w:rFonts w:ascii="Times New Roman" w:hAnsi="Times New Roman"/>
            <w:sz w:val="24"/>
            <w:szCs w:val="24"/>
          </w:rPr>
          <w:t>https://public.fastcase.com/Wl%2B2t%2BeVuI35%2FN70vAMFZv50h%2Fykh7FShFoRYs3ZTa26w8rY%2BXvT1%2B6dqL4OkZlK</w:t>
        </w:r>
      </w:hyperlink>
    </w:p>
    <w:p w14:paraId="7F528A8C" w14:textId="77777777" w:rsidR="00102FD0" w:rsidRPr="00716D0B" w:rsidRDefault="00102FD0" w:rsidP="00102FD0">
      <w:pPr>
        <w:spacing w:before="100" w:beforeAutospacing="1" w:after="100" w:afterAutospacing="1" w:line="240" w:lineRule="auto"/>
        <w:rPr>
          <w:rFonts w:ascii="Times New Roman" w:hAnsi="Times New Roman"/>
          <w:b/>
          <w:bCs/>
          <w:sz w:val="24"/>
          <w:szCs w:val="24"/>
        </w:rPr>
      </w:pPr>
      <w:r w:rsidRPr="00716D0B">
        <w:rPr>
          <w:rFonts w:ascii="Times New Roman" w:hAnsi="Times New Roman"/>
          <w:b/>
          <w:bCs/>
          <w:sz w:val="24"/>
          <w:szCs w:val="24"/>
        </w:rPr>
        <w:t>Legal Lesson Learned:</w:t>
      </w:r>
      <w:r>
        <w:rPr>
          <w:rFonts w:ascii="Times New Roman" w:hAnsi="Times New Roman"/>
          <w:b/>
          <w:bCs/>
          <w:sz w:val="24"/>
          <w:szCs w:val="24"/>
        </w:rPr>
        <w:t xml:space="preserve"> Carefully follow your protocol after placement of ET Tube. </w:t>
      </w:r>
    </w:p>
    <w:p w14:paraId="3383E109" w14:textId="77777777" w:rsidR="00102FD0" w:rsidRDefault="00102FD0" w:rsidP="00102FD0">
      <w:pPr>
        <w:rPr>
          <w:rFonts w:ascii="Arial Black" w:hAnsi="Arial Black"/>
          <w:b/>
          <w:bCs/>
          <w:sz w:val="28"/>
          <w:szCs w:val="28"/>
        </w:rPr>
      </w:pPr>
    </w:p>
    <w:p w14:paraId="20FEAD83" w14:textId="15279DC2" w:rsidR="00102FD0" w:rsidRDefault="00102FD0" w:rsidP="002B1283">
      <w:pPr>
        <w:rPr>
          <w:rFonts w:ascii="Arial Black" w:hAnsi="Arial Black"/>
          <w:b/>
          <w:bCs/>
          <w:sz w:val="28"/>
          <w:szCs w:val="28"/>
        </w:rPr>
      </w:pPr>
      <w:r>
        <w:rPr>
          <w:rFonts w:ascii="Arial Black" w:hAnsi="Arial Black"/>
          <w:b/>
          <w:bCs/>
          <w:sz w:val="28"/>
          <w:szCs w:val="28"/>
        </w:rPr>
        <w:t>13-66</w:t>
      </w:r>
    </w:p>
    <w:p w14:paraId="4FBF2B97" w14:textId="77777777" w:rsidR="00102FD0" w:rsidRPr="00B85AFB" w:rsidRDefault="00102FD0" w:rsidP="00102FD0">
      <w:pPr>
        <w:pStyle w:val="NormalWeb"/>
        <w:rPr>
          <w:rFonts w:ascii="Arial Black" w:hAnsi="Arial Black"/>
          <w:b/>
          <w:bCs/>
          <w:sz w:val="28"/>
          <w:szCs w:val="28"/>
        </w:rPr>
      </w:pPr>
      <w:r>
        <w:rPr>
          <w:rFonts w:ascii="Arial Black" w:hAnsi="Arial Black"/>
          <w:b/>
          <w:bCs/>
          <w:sz w:val="28"/>
          <w:szCs w:val="28"/>
        </w:rPr>
        <w:t>OH: MVA - MEDIC FOUND NO PULSE – 1-HR LATER PATIENT COVERED BLANKET MOVED – NO PROOF “FAILURE TO TRAIN” - CASE DISMISSED</w:t>
      </w:r>
    </w:p>
    <w:p w14:paraId="73F817BE" w14:textId="77777777" w:rsidR="00102FD0" w:rsidRDefault="00102FD0" w:rsidP="00102FD0">
      <w:pPr>
        <w:pStyle w:val="NormalWeb"/>
      </w:pPr>
      <w:r>
        <w:t xml:space="preserve">On Oct. 20, 2020, in </w:t>
      </w:r>
      <w:r w:rsidRPr="00B85AFB">
        <w:rPr>
          <w:u w:val="single"/>
        </w:rPr>
        <w:t>Lynne Gooden, Individually and as Guardia of Terrell D. Gooden v. Chris Batz, Butler Township, et al.</w:t>
      </w:r>
      <w:r>
        <w:t xml:space="preserve">, Sharon L. Ovington, United States Magistrate Judge, U. S. District Court for Southern District of Ohio, issued a Report &amp; Recommendation to Federal District Judge that the lawsuit against Butler Township, and against City of Vandalia should be dismissed for alleged “failure to train.” There was no allegation that the Medic who first checked on the patient and found no pulse had a history of similar issues.  After an hour at the scene, the same Medic </w:t>
      </w:r>
      <w:r w:rsidRPr="00BA71B3">
        <w:t>saw Mr. Gooden spontaneously move and</w:t>
      </w:r>
      <w:r>
        <w:t xml:space="preserve"> </w:t>
      </w:r>
      <w:r w:rsidRPr="00BA71B3">
        <w:t>discovered he had a weak pulse</w:t>
      </w:r>
      <w:r>
        <w:t xml:space="preserve">; he survived with permanent brain damage and other long-term disabling health problems. </w:t>
      </w:r>
    </w:p>
    <w:p w14:paraId="0FB3D6B4" w14:textId="77777777" w:rsidR="00102FD0" w:rsidRDefault="00102FD0" w:rsidP="00102FD0">
      <w:pPr>
        <w:pStyle w:val="NormalWeb"/>
        <w:ind w:left="720"/>
      </w:pPr>
      <w:r>
        <w:t>“Life-threatening accidents are heartbreaking. Such an accident occurred to Plaintiff Terrell D. Gooden in 2016 when his vehicle collided with a tractor-trailer on Interstate 75. Plaintiffs allege that when Paramedic Chris Batz checked Mr. Gooden's pulse and respiration, he incorrectly concluded that Mr. Gooden had not survived the accident. Batz told other first responders that Mr. Gooden was not alive. And neither Batz nor other first responders immediately attempted to resuscitate Mr. Gooden or provide him with any emergency medical care.</w:t>
      </w:r>
    </w:p>
    <w:p w14:paraId="0140627B" w14:textId="77777777" w:rsidR="00102FD0" w:rsidRDefault="00102FD0" w:rsidP="00102FD0">
      <w:pPr>
        <w:pStyle w:val="NormalWeb"/>
        <w:ind w:left="720"/>
      </w:pPr>
      <w:r>
        <w:t>***</w:t>
      </w:r>
    </w:p>
    <w:p w14:paraId="45235C71" w14:textId="70774DAF" w:rsidR="00102FD0" w:rsidRDefault="00102FD0" w:rsidP="00102FD0">
      <w:pPr>
        <w:rPr>
          <w:rStyle w:val="Hyperlink"/>
          <w:rFonts w:ascii="Times New Roman" w:eastAsia="Times New Roman" w:hAnsi="Times New Roman"/>
          <w:sz w:val="24"/>
          <w:szCs w:val="24"/>
        </w:rPr>
      </w:pPr>
      <w:r w:rsidRPr="00B85AFB">
        <w:rPr>
          <w:rFonts w:ascii="Times New Roman" w:eastAsia="Times New Roman" w:hAnsi="Times New Roman"/>
          <w:sz w:val="24"/>
          <w:szCs w:val="24"/>
        </w:rPr>
        <w:t>The Complaint, for instance, does not allege that Batz made serious mistakes</w:t>
      </w:r>
      <w:r>
        <w:rPr>
          <w:rFonts w:ascii="Times New Roman" w:eastAsia="Times New Roman" w:hAnsi="Times New Roman"/>
          <w:sz w:val="24"/>
          <w:szCs w:val="24"/>
        </w:rPr>
        <w:t xml:space="preserve"> </w:t>
      </w:r>
      <w:r w:rsidRPr="00B85AFB">
        <w:rPr>
          <w:rFonts w:ascii="Times New Roman" w:eastAsia="Times New Roman" w:hAnsi="Times New Roman"/>
          <w:sz w:val="24"/>
          <w:szCs w:val="24"/>
        </w:rPr>
        <w:t xml:space="preserve">when examining victims of previous accidents that should have alerted Butler Township officials that his training was inadequate and likely to cause harm to </w:t>
      </w:r>
      <w:proofErr w:type="gramStart"/>
      <w:r w:rsidRPr="00B85AFB">
        <w:rPr>
          <w:rFonts w:ascii="Times New Roman" w:eastAsia="Times New Roman" w:hAnsi="Times New Roman"/>
          <w:sz w:val="24"/>
          <w:szCs w:val="24"/>
        </w:rPr>
        <w:t>accidents victims</w:t>
      </w:r>
      <w:proofErr w:type="gramEnd"/>
      <w:r w:rsidRPr="00B85AFB">
        <w:rPr>
          <w:rFonts w:ascii="Times New Roman" w:eastAsia="Times New Roman" w:hAnsi="Times New Roman"/>
          <w:sz w:val="24"/>
          <w:szCs w:val="24"/>
        </w:rPr>
        <w:t xml:space="preserve"> like Mr. Gooden. And, as to Defendants Gallup and Miller, Plaintiffs' Complaint contains no non-conclusory allegation indicating that they received inadequate training and that such training resulted in a violation of Mr. Gooden's constitutional rights.</w:t>
      </w:r>
      <w:r>
        <w:rPr>
          <w:rFonts w:ascii="Times New Roman" w:eastAsia="Times New Roman" w:hAnsi="Times New Roman"/>
          <w:sz w:val="24"/>
          <w:szCs w:val="24"/>
        </w:rPr>
        <w:t xml:space="preserve">” </w:t>
      </w:r>
      <w:hyperlink r:id="rId2296" w:history="1">
        <w:r w:rsidRPr="003B2E68">
          <w:rPr>
            <w:rStyle w:val="Hyperlink"/>
            <w:rFonts w:ascii="Times New Roman" w:eastAsia="Times New Roman" w:hAnsi="Times New Roman"/>
            <w:sz w:val="24"/>
            <w:szCs w:val="24"/>
          </w:rPr>
          <w:t>https://public.fastcase.com/Wl%2B2t%2BeVuI35%2FN70vAMFZoN7mlr4hHNtCTnayGEBC4RCM4jvijs5LLDyckRiAx%2Bw</w:t>
        </w:r>
      </w:hyperlink>
    </w:p>
    <w:p w14:paraId="2BEC2451" w14:textId="477F0E22" w:rsidR="00102FD0" w:rsidRDefault="00102FD0" w:rsidP="00102FD0">
      <w:pPr>
        <w:rPr>
          <w:rStyle w:val="Hyperlink"/>
          <w:rFonts w:ascii="Times New Roman" w:eastAsia="Times New Roman" w:hAnsi="Times New Roman"/>
          <w:sz w:val="24"/>
          <w:szCs w:val="24"/>
        </w:rPr>
      </w:pPr>
      <w:r w:rsidRPr="00545DA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Follow your protocols concerning determination of death; ask for a second opinion at the scene.</w:t>
      </w:r>
    </w:p>
    <w:p w14:paraId="562E40F6" w14:textId="77777777" w:rsidR="00102FD0" w:rsidRDefault="00102FD0" w:rsidP="00102FD0">
      <w:pPr>
        <w:rPr>
          <w:rFonts w:ascii="Arial Black" w:hAnsi="Arial Black"/>
          <w:b/>
          <w:bCs/>
          <w:sz w:val="28"/>
          <w:szCs w:val="28"/>
        </w:rPr>
      </w:pPr>
    </w:p>
    <w:p w14:paraId="6931AED6" w14:textId="7FF5FA3E" w:rsidR="00102FD0" w:rsidRDefault="00102FD0" w:rsidP="001C563D">
      <w:pPr>
        <w:rPr>
          <w:rFonts w:ascii="Arial Black" w:hAnsi="Arial Black"/>
          <w:b/>
          <w:bCs/>
          <w:sz w:val="28"/>
          <w:szCs w:val="28"/>
        </w:rPr>
      </w:pPr>
      <w:r>
        <w:rPr>
          <w:rFonts w:ascii="Arial Black" w:hAnsi="Arial Black"/>
          <w:b/>
          <w:bCs/>
          <w:sz w:val="28"/>
          <w:szCs w:val="28"/>
        </w:rPr>
        <w:t>13-65</w:t>
      </w:r>
    </w:p>
    <w:p w14:paraId="58E27E0A" w14:textId="77777777" w:rsidR="00102FD0" w:rsidRPr="00195883" w:rsidRDefault="00102FD0" w:rsidP="00102FD0">
      <w:pPr>
        <w:spacing w:before="100" w:beforeAutospacing="1" w:after="100" w:afterAutospacing="1" w:line="240" w:lineRule="auto"/>
        <w:rPr>
          <w:rFonts w:ascii="Arial Black" w:eastAsia="Times New Roman" w:hAnsi="Arial Black"/>
          <w:b/>
          <w:bCs/>
          <w:sz w:val="28"/>
          <w:szCs w:val="28"/>
        </w:rPr>
      </w:pPr>
      <w:r w:rsidRPr="00195883">
        <w:rPr>
          <w:rFonts w:ascii="Arial Black" w:eastAsia="Times New Roman" w:hAnsi="Arial Black"/>
          <w:b/>
          <w:bCs/>
          <w:sz w:val="28"/>
          <w:szCs w:val="28"/>
        </w:rPr>
        <w:t>MD:</w:t>
      </w:r>
      <w:r>
        <w:rPr>
          <w:rFonts w:ascii="Arial Black" w:eastAsia="Times New Roman" w:hAnsi="Arial Black"/>
          <w:b/>
          <w:bCs/>
          <w:sz w:val="28"/>
          <w:szCs w:val="28"/>
        </w:rPr>
        <w:t xml:space="preserve"> 21-YR OLD PATIENT IN BASEMENT, DIFFICULTY BREATHING – ARRIVED 6 MIN – ADMINISTERED NARCAN - IMMUNITY</w:t>
      </w:r>
    </w:p>
    <w:p w14:paraId="040A1B34" w14:textId="77777777" w:rsidR="00102FD0" w:rsidRDefault="00102FD0" w:rsidP="00102FD0">
      <w:pPr>
        <w:spacing w:before="100" w:beforeAutospacing="1" w:after="100" w:afterAutospacing="1" w:line="240" w:lineRule="auto"/>
        <w:rPr>
          <w:rFonts w:ascii="Times New Roman" w:eastAsia="Times New Roman" w:hAnsi="Times New Roman"/>
          <w:sz w:val="24"/>
          <w:szCs w:val="24"/>
        </w:rPr>
      </w:pPr>
      <w:r w:rsidRPr="00C43B83">
        <w:rPr>
          <w:rFonts w:ascii="Times New Roman" w:eastAsia="Times New Roman" w:hAnsi="Times New Roman"/>
          <w:sz w:val="24"/>
          <w:szCs w:val="24"/>
        </w:rPr>
        <w:t xml:space="preserve">On Oct. 1, 2020, in </w:t>
      </w:r>
      <w:r w:rsidRPr="00C43B83">
        <w:rPr>
          <w:rFonts w:ascii="Times New Roman" w:eastAsia="Times New Roman" w:hAnsi="Times New Roman"/>
          <w:sz w:val="24"/>
          <w:szCs w:val="24"/>
          <w:u w:val="single"/>
        </w:rPr>
        <w:t>Octavia T. Coit, et al. v. Nicole Nappi, et al</w:t>
      </w:r>
      <w:r>
        <w:rPr>
          <w:rFonts w:ascii="Times New Roman" w:eastAsia="Times New Roman" w:hAnsi="Times New Roman"/>
          <w:sz w:val="24"/>
          <w:szCs w:val="24"/>
        </w:rPr>
        <w:t xml:space="preserve">., the Court of Special Appeals of Maryland, held (4 to 0) that trial court properly dismissed the lawsuit.  The </w:t>
      </w:r>
      <w:proofErr w:type="gramStart"/>
      <w:r>
        <w:rPr>
          <w:rFonts w:ascii="Times New Roman" w:eastAsia="Times New Roman" w:hAnsi="Times New Roman"/>
          <w:sz w:val="24"/>
          <w:szCs w:val="24"/>
        </w:rPr>
        <w:t>21-year old</w:t>
      </w:r>
      <w:proofErr w:type="gramEnd"/>
      <w:r>
        <w:rPr>
          <w:rFonts w:ascii="Times New Roman" w:eastAsia="Times New Roman" w:hAnsi="Times New Roman"/>
          <w:sz w:val="24"/>
          <w:szCs w:val="24"/>
        </w:rPr>
        <w:t xml:space="preserve"> patient was at a friend’s house and was in the basement having difficulty breathing; history of asthma, died of cardiac arrest.  Administration of Narcan was not harmful and did not contribute to the patient’s death.  Plaintiffs also complained of a delayed response, but the CAD records show they arrived at scene within 6 minutes and 44 seconds of the 911 call. </w:t>
      </w:r>
    </w:p>
    <w:p w14:paraId="12C25E01" w14:textId="77777777" w:rsidR="00102FD0" w:rsidRDefault="00102FD0" w:rsidP="00102FD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“In</w:t>
      </w:r>
      <w:r w:rsidRPr="001E057A">
        <w:rPr>
          <w:rFonts w:ascii="Times New Roman" w:hAnsi="Times New Roman"/>
          <w:sz w:val="24"/>
          <w:szCs w:val="24"/>
        </w:rPr>
        <w:t xml:space="preserve"> the absence of willful or grossly negligent conduct, emergency responders covered under the Good Samaritan Act and/or the Fire &amp; Rescue Companies Act are immune from civil liability for any acts or omissions in </w:t>
      </w:r>
      <w:proofErr w:type="gramStart"/>
      <w:r w:rsidRPr="001E057A">
        <w:rPr>
          <w:rFonts w:ascii="Times New Roman" w:hAnsi="Times New Roman"/>
          <w:sz w:val="24"/>
          <w:szCs w:val="24"/>
        </w:rPr>
        <w:t>providing assistance</w:t>
      </w:r>
      <w:proofErr w:type="gramEnd"/>
      <w:r w:rsidRPr="001E057A">
        <w:rPr>
          <w:rFonts w:ascii="Times New Roman" w:hAnsi="Times New Roman"/>
          <w:sz w:val="24"/>
          <w:szCs w:val="24"/>
        </w:rPr>
        <w:t xml:space="preserve"> or in the performance of their duties.</w:t>
      </w:r>
    </w:p>
    <w:p w14:paraId="459D041C" w14:textId="77777777" w:rsidR="00102FD0" w:rsidRPr="001E057A" w:rsidRDefault="00102FD0" w:rsidP="00102FD0">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p>
    <w:p w14:paraId="33B38568" w14:textId="77777777" w:rsidR="00102FD0" w:rsidRDefault="00102FD0" w:rsidP="00102FD0">
      <w:pPr>
        <w:spacing w:after="100" w:line="240" w:lineRule="auto"/>
        <w:ind w:left="720"/>
        <w:rPr>
          <w:rFonts w:ascii="Times New Roman" w:eastAsia="Times New Roman" w:hAnsi="Times New Roman"/>
          <w:b/>
          <w:bCs/>
          <w:sz w:val="24"/>
          <w:szCs w:val="24"/>
        </w:rPr>
      </w:pPr>
      <w:r>
        <w:rPr>
          <w:rFonts w:ascii="Times New Roman" w:eastAsia="Times New Roman" w:hAnsi="Times New Roman"/>
          <w:sz w:val="24"/>
          <w:szCs w:val="24"/>
        </w:rPr>
        <w:t>[</w:t>
      </w:r>
      <w:r w:rsidRPr="00195883">
        <w:rPr>
          <w:rFonts w:ascii="Times New Roman" w:eastAsia="Times New Roman" w:hAnsi="Times New Roman"/>
          <w:sz w:val="24"/>
          <w:szCs w:val="24"/>
        </w:rPr>
        <w:t>Appellants] contend that the administration of Narcan was unnecessary because there was no specific indication that Mr. Coit was experiencing an opioid overdose. The Court understands and appreciates Mr. Coit's family's concern over a misperception that he was using drugs. The evidence demonstrates, however, that, regardless of how unnecessary the administration of Narcan may have been, there are no applicable contraindications for someone who did not overdose on opioids, and that</w:t>
      </w:r>
      <w:r>
        <w:rPr>
          <w:rFonts w:ascii="Times New Roman" w:eastAsia="Times New Roman" w:hAnsi="Times New Roman"/>
          <w:sz w:val="24"/>
          <w:szCs w:val="24"/>
        </w:rPr>
        <w:t xml:space="preserve"> </w:t>
      </w:r>
      <w:r w:rsidRPr="00195883">
        <w:rPr>
          <w:rFonts w:ascii="Times New Roman" w:eastAsia="Times New Roman" w:hAnsi="Times New Roman"/>
          <w:sz w:val="24"/>
          <w:szCs w:val="24"/>
        </w:rPr>
        <w:t>Narcan does not otherwise harm someone to whom it is administered. Even if Paramedic Nappi and EMT Jackson were, in some way, negligent in their assessment and treatment of Mr. Coit, which the Court is not suggesting, there is not sufficient evidence of gross negligence regarding their post-arrival conduct</w:t>
      </w:r>
      <w:r w:rsidRPr="001E057A">
        <w:rPr>
          <w:rFonts w:ascii="Times New Roman" w:eastAsia="Times New Roman" w:hAnsi="Times New Roman"/>
          <w:sz w:val="24"/>
          <w:szCs w:val="24"/>
        </w:rPr>
        <w:t xml:space="preserve">.”  </w:t>
      </w:r>
      <w:hyperlink r:id="rId2297" w:history="1">
        <w:r w:rsidRPr="001E057A">
          <w:rPr>
            <w:rStyle w:val="Hyperlink"/>
            <w:rFonts w:ascii="Times New Roman" w:eastAsia="Times New Roman" w:hAnsi="Times New Roman"/>
            <w:sz w:val="24"/>
            <w:szCs w:val="24"/>
          </w:rPr>
          <w:t>https://mdcourts.gov/data/opinions/cosa/2020/0318s19.pdf</w:t>
        </w:r>
      </w:hyperlink>
      <w:r>
        <w:rPr>
          <w:rFonts w:ascii="Times New Roman" w:eastAsia="Times New Roman" w:hAnsi="Times New Roman"/>
          <w:b/>
          <w:bCs/>
          <w:sz w:val="24"/>
          <w:szCs w:val="24"/>
        </w:rPr>
        <w:t xml:space="preserve"> </w:t>
      </w:r>
    </w:p>
    <w:p w14:paraId="357D98B7" w14:textId="77777777" w:rsidR="00102FD0" w:rsidRPr="0093728B" w:rsidRDefault="00102FD0" w:rsidP="00102FD0">
      <w:pPr>
        <w:spacing w:after="100" w:line="240" w:lineRule="auto"/>
        <w:rPr>
          <w:rFonts w:ascii="Times New Roman" w:hAnsi="Times New Roman"/>
          <w:b/>
          <w:bCs/>
          <w:sz w:val="24"/>
          <w:szCs w:val="24"/>
        </w:rPr>
      </w:pPr>
      <w:r w:rsidRPr="0093728B">
        <w:rPr>
          <w:rFonts w:ascii="Times New Roman" w:hAnsi="Times New Roman"/>
          <w:b/>
          <w:bCs/>
          <w:sz w:val="24"/>
          <w:szCs w:val="24"/>
        </w:rPr>
        <w:t>Legal Lesson Learned:</w:t>
      </w:r>
      <w:r>
        <w:rPr>
          <w:rFonts w:ascii="Times New Roman" w:hAnsi="Times New Roman"/>
          <w:b/>
          <w:bCs/>
          <w:sz w:val="24"/>
          <w:szCs w:val="24"/>
        </w:rPr>
        <w:t xml:space="preserve"> Immunity statutes like the Maryland statutes are designed to protect EMS and other emergency responders from civil liability; it is frankly hard to understand why this lawsuit </w:t>
      </w:r>
      <w:proofErr w:type="gramStart"/>
      <w:r>
        <w:rPr>
          <w:rFonts w:ascii="Times New Roman" w:hAnsi="Times New Roman"/>
          <w:b/>
          <w:bCs/>
          <w:sz w:val="24"/>
          <w:szCs w:val="24"/>
        </w:rPr>
        <w:t>were</w:t>
      </w:r>
      <w:proofErr w:type="gramEnd"/>
      <w:r>
        <w:rPr>
          <w:rFonts w:ascii="Times New Roman" w:hAnsi="Times New Roman"/>
          <w:b/>
          <w:bCs/>
          <w:sz w:val="24"/>
          <w:szCs w:val="24"/>
        </w:rPr>
        <w:t xml:space="preserve"> ever filed. </w:t>
      </w:r>
    </w:p>
    <w:p w14:paraId="1A8E1C5B" w14:textId="77777777" w:rsidR="00102FD0" w:rsidRDefault="00102FD0" w:rsidP="001C563D">
      <w:pPr>
        <w:rPr>
          <w:rFonts w:ascii="Arial Black" w:hAnsi="Arial Black"/>
          <w:b/>
          <w:bCs/>
          <w:sz w:val="28"/>
          <w:szCs w:val="28"/>
        </w:rPr>
      </w:pPr>
    </w:p>
    <w:p w14:paraId="3DBCB811" w14:textId="77777777" w:rsidR="00102FD0" w:rsidRDefault="00102FD0" w:rsidP="001C563D">
      <w:pPr>
        <w:rPr>
          <w:rFonts w:ascii="Arial Black" w:hAnsi="Arial Black"/>
          <w:b/>
          <w:bCs/>
          <w:sz w:val="28"/>
          <w:szCs w:val="28"/>
        </w:rPr>
      </w:pPr>
    </w:p>
    <w:p w14:paraId="55DC682F" w14:textId="320D27CD" w:rsidR="00B532F6" w:rsidRDefault="00B532F6" w:rsidP="001C563D">
      <w:pPr>
        <w:rPr>
          <w:rFonts w:ascii="Arial Black" w:hAnsi="Arial Black"/>
          <w:b/>
          <w:bCs/>
          <w:sz w:val="28"/>
          <w:szCs w:val="28"/>
        </w:rPr>
      </w:pPr>
      <w:r>
        <w:rPr>
          <w:rFonts w:ascii="Arial Black" w:hAnsi="Arial Black"/>
          <w:b/>
          <w:bCs/>
          <w:sz w:val="28"/>
          <w:szCs w:val="28"/>
        </w:rPr>
        <w:t>13-64</w:t>
      </w:r>
    </w:p>
    <w:p w14:paraId="46ED1E2D" w14:textId="77777777" w:rsidR="00B532F6" w:rsidRDefault="00B532F6" w:rsidP="00B532F6">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NY:  LAWSUIT AGAINST EMS – COURT OF APPEALS HOLDS “SPECIAL RELATIONSHIP” – NO GOV’T IMMUNITY </w:t>
      </w:r>
    </w:p>
    <w:p w14:paraId="11AB7892" w14:textId="77777777" w:rsidR="00B532F6" w:rsidRPr="006B5620" w:rsidRDefault="00B532F6" w:rsidP="00B532F6">
      <w:pPr>
        <w:rPr>
          <w:rFonts w:ascii="Times New Roman" w:hAnsi="Times New Roman"/>
          <w:sz w:val="24"/>
          <w:szCs w:val="24"/>
        </w:rPr>
      </w:pPr>
      <w:r w:rsidRPr="006B5620">
        <w:rPr>
          <w:rFonts w:ascii="Times New Roman" w:hAnsi="Times New Roman"/>
          <w:sz w:val="24"/>
          <w:szCs w:val="24"/>
        </w:rPr>
        <w:t xml:space="preserve">On Sept. 23, 2020, in </w:t>
      </w:r>
      <w:r w:rsidRPr="006B5620">
        <w:rPr>
          <w:rFonts w:ascii="Times New Roman" w:hAnsi="Times New Roman"/>
          <w:sz w:val="24"/>
          <w:szCs w:val="24"/>
          <w:u w:val="single"/>
        </w:rPr>
        <w:t>Rashawn Watts, et. al, v, City of New York</w:t>
      </w:r>
      <w:r w:rsidRPr="006B5620">
        <w:rPr>
          <w:rFonts w:ascii="Times New Roman" w:hAnsi="Times New Roman"/>
          <w:sz w:val="24"/>
          <w:szCs w:val="24"/>
        </w:rPr>
        <w:t xml:space="preserve">, 2020 NY Slip Op 05084, the Supreme Court of the State of New York, Appellate Division (Second Judicial Department) held (4 to 0) that the trial court judge properly denied the City’s motion to dismiss the case, taking the legal position that when EMS provides services to a patient, governmental immunity no longer applies since the City now has established a “special relationship.”  </w:t>
      </w:r>
      <w:r>
        <w:rPr>
          <w:rFonts w:ascii="Times New Roman" w:hAnsi="Times New Roman"/>
          <w:sz w:val="24"/>
          <w:szCs w:val="24"/>
        </w:rPr>
        <w:t>[Note: Courts in some other jurisdictions require proof of gross negligence for case to proceed.]</w:t>
      </w:r>
      <w:r w:rsidRPr="006B5620">
        <w:rPr>
          <w:rFonts w:ascii="Times New Roman" w:hAnsi="Times New Roman"/>
          <w:sz w:val="24"/>
          <w:szCs w:val="24"/>
        </w:rPr>
        <w:t xml:space="preserve"> </w:t>
      </w:r>
    </w:p>
    <w:p w14:paraId="7A3D32CE" w14:textId="77777777" w:rsidR="00B532F6" w:rsidRDefault="00B532F6" w:rsidP="00B532F6">
      <w:pPr>
        <w:ind w:left="720"/>
        <w:rPr>
          <w:rFonts w:ascii="Times New Roman" w:hAnsi="Times New Roman"/>
          <w:sz w:val="24"/>
          <w:szCs w:val="24"/>
        </w:rPr>
      </w:pPr>
      <w:r>
        <w:rPr>
          <w:rFonts w:ascii="Times New Roman" w:hAnsi="Times New Roman"/>
          <w:sz w:val="24"/>
          <w:szCs w:val="24"/>
        </w:rPr>
        <w:t>“</w:t>
      </w:r>
      <w:r w:rsidRPr="004C542C">
        <w:rPr>
          <w:rFonts w:ascii="Times New Roman" w:hAnsi="Times New Roman"/>
          <w:sz w:val="24"/>
          <w:szCs w:val="24"/>
        </w:rPr>
        <w:t>A municipality will be held to have voluntarily assumed a duty or special</w:t>
      </w:r>
      <w:r>
        <w:rPr>
          <w:rFonts w:ascii="Times New Roman" w:hAnsi="Times New Roman"/>
          <w:sz w:val="24"/>
          <w:szCs w:val="24"/>
        </w:rPr>
        <w:t xml:space="preserve"> </w:t>
      </w:r>
      <w:r w:rsidRPr="004C542C">
        <w:rPr>
          <w:rFonts w:ascii="Times New Roman" w:hAnsi="Times New Roman"/>
          <w:sz w:val="24"/>
          <w:szCs w:val="24"/>
        </w:rPr>
        <w:t xml:space="preserve">relationship with the plaintiff where there is: </w:t>
      </w:r>
      <w:r>
        <w:rPr>
          <w:rFonts w:ascii="Times New Roman" w:hAnsi="Times New Roman"/>
          <w:sz w:val="24"/>
          <w:szCs w:val="24"/>
        </w:rPr>
        <w:t>‘</w:t>
      </w:r>
      <w:r w:rsidRPr="004C542C">
        <w:rPr>
          <w:rFonts w:ascii="Times New Roman" w:hAnsi="Times New Roman"/>
          <w:sz w:val="24"/>
          <w:szCs w:val="24"/>
        </w:rPr>
        <w:t>(1) an assumption by the municipality, through promises or actions, of an affirmative duty to act on behalf of the party who was injured; (2) knowledge on the part of the municipality's agents that inaction could lead to harm; (3) some form of direct contact between the municipality's agents and the injured party; and (4) that party's justifiable reliance on the municipality's affirmative undertaking</w:t>
      </w:r>
      <w:r>
        <w:rPr>
          <w:rFonts w:ascii="Times New Roman" w:hAnsi="Times New Roman"/>
          <w:sz w:val="24"/>
          <w:szCs w:val="24"/>
        </w:rPr>
        <w:t>’</w:t>
      </w:r>
      <w:r w:rsidRPr="004C542C">
        <w:rPr>
          <w:rFonts w:ascii="Times New Roman" w:hAnsi="Times New Roman"/>
          <w:sz w:val="24"/>
          <w:szCs w:val="24"/>
        </w:rPr>
        <w:t xml:space="preserve"> (</w:t>
      </w:r>
      <w:r w:rsidRPr="004C542C">
        <w:rPr>
          <w:rFonts w:ascii="Times New Roman" w:hAnsi="Times New Roman"/>
          <w:i/>
          <w:iCs/>
          <w:sz w:val="24"/>
          <w:szCs w:val="24"/>
        </w:rPr>
        <w:t xml:space="preserve">Applewhite v </w:t>
      </w:r>
      <w:proofErr w:type="spellStart"/>
      <w:r w:rsidRPr="004C542C">
        <w:rPr>
          <w:rFonts w:ascii="Times New Roman" w:hAnsi="Times New Roman"/>
          <w:i/>
          <w:iCs/>
          <w:sz w:val="24"/>
          <w:szCs w:val="24"/>
        </w:rPr>
        <w:t>Accuhealth</w:t>
      </w:r>
      <w:proofErr w:type="spellEnd"/>
      <w:r w:rsidRPr="004C542C">
        <w:rPr>
          <w:rFonts w:ascii="Times New Roman" w:hAnsi="Times New Roman"/>
          <w:sz w:val="24"/>
          <w:szCs w:val="24"/>
        </w:rPr>
        <w:t xml:space="preserve">, </w:t>
      </w:r>
      <w:r w:rsidRPr="004C542C">
        <w:rPr>
          <w:rFonts w:ascii="Times New Roman" w:hAnsi="Times New Roman"/>
          <w:i/>
          <w:iCs/>
          <w:sz w:val="24"/>
          <w:szCs w:val="24"/>
        </w:rPr>
        <w:t>Inc</w:t>
      </w:r>
      <w:r w:rsidRPr="004C542C">
        <w:rPr>
          <w:rFonts w:ascii="Times New Roman" w:hAnsi="Times New Roman"/>
          <w:sz w:val="24"/>
          <w:szCs w:val="24"/>
        </w:rPr>
        <w:t xml:space="preserve">., 21 NY3d at 430-431; </w:t>
      </w:r>
      <w:r w:rsidRPr="004C542C">
        <w:rPr>
          <w:rFonts w:ascii="Times New Roman" w:hAnsi="Times New Roman"/>
          <w:i/>
          <w:iCs/>
          <w:sz w:val="24"/>
          <w:szCs w:val="24"/>
        </w:rPr>
        <w:t xml:space="preserve">see </w:t>
      </w:r>
      <w:proofErr w:type="spellStart"/>
      <w:r w:rsidRPr="004C542C">
        <w:rPr>
          <w:rFonts w:ascii="Times New Roman" w:hAnsi="Times New Roman"/>
          <w:i/>
          <w:iCs/>
          <w:sz w:val="24"/>
          <w:szCs w:val="24"/>
        </w:rPr>
        <w:t>Laratro</w:t>
      </w:r>
      <w:proofErr w:type="spellEnd"/>
      <w:r w:rsidRPr="004C542C">
        <w:rPr>
          <w:rFonts w:ascii="Times New Roman" w:hAnsi="Times New Roman"/>
          <w:i/>
          <w:iCs/>
          <w:sz w:val="24"/>
          <w:szCs w:val="24"/>
        </w:rPr>
        <w:t xml:space="preserve"> v City of New York</w:t>
      </w:r>
      <w:r w:rsidRPr="004C542C">
        <w:rPr>
          <w:rFonts w:ascii="Times New Roman" w:hAnsi="Times New Roman"/>
          <w:sz w:val="24"/>
          <w:szCs w:val="24"/>
        </w:rPr>
        <w:t xml:space="preserve">, 8 NY3d at 83; </w:t>
      </w:r>
      <w:r w:rsidRPr="004C542C">
        <w:rPr>
          <w:rFonts w:ascii="Times New Roman" w:hAnsi="Times New Roman"/>
          <w:i/>
          <w:iCs/>
          <w:sz w:val="24"/>
          <w:szCs w:val="24"/>
        </w:rPr>
        <w:t>Cuffy v City of New York</w:t>
      </w:r>
      <w:r w:rsidRPr="004C542C">
        <w:rPr>
          <w:rFonts w:ascii="Times New Roman" w:hAnsi="Times New Roman"/>
          <w:sz w:val="24"/>
          <w:szCs w:val="24"/>
        </w:rPr>
        <w:t>, 69 NY2d 255, 260).</w:t>
      </w:r>
      <w:r>
        <w:rPr>
          <w:rFonts w:ascii="Times New Roman" w:hAnsi="Times New Roman"/>
          <w:sz w:val="24"/>
          <w:szCs w:val="24"/>
        </w:rPr>
        <w:t>’</w:t>
      </w:r>
    </w:p>
    <w:p w14:paraId="18D30AC4" w14:textId="77777777" w:rsidR="00B532F6" w:rsidRDefault="00B532F6" w:rsidP="00B532F6">
      <w:pPr>
        <w:ind w:left="720"/>
        <w:rPr>
          <w:rFonts w:ascii="Times New Roman" w:hAnsi="Times New Roman"/>
          <w:sz w:val="24"/>
          <w:szCs w:val="24"/>
        </w:rPr>
      </w:pPr>
      <w:r>
        <w:rPr>
          <w:rFonts w:ascii="Times New Roman" w:hAnsi="Times New Roman"/>
          <w:sz w:val="24"/>
          <w:szCs w:val="24"/>
        </w:rPr>
        <w:t>***</w:t>
      </w:r>
    </w:p>
    <w:p w14:paraId="7350B37A" w14:textId="77777777" w:rsidR="00B532F6" w:rsidRPr="004C542C" w:rsidRDefault="00B532F6" w:rsidP="00B532F6">
      <w:pPr>
        <w:ind w:left="720"/>
        <w:rPr>
          <w:rFonts w:ascii="Times New Roman" w:eastAsia="Times New Roman" w:hAnsi="Times New Roman"/>
          <w:b/>
          <w:bCs/>
          <w:sz w:val="24"/>
          <w:szCs w:val="24"/>
        </w:rPr>
      </w:pPr>
      <w:r w:rsidRPr="004C542C">
        <w:rPr>
          <w:rFonts w:ascii="Times New Roman" w:hAnsi="Times New Roman"/>
          <w:sz w:val="24"/>
          <w:szCs w:val="24"/>
        </w:rPr>
        <w:t>The prehospital care report summaries and computerized automated dispatch report submitted in support of the City defendants' motion did not constitute documentary evidence within the intendment of CPLR 3211(a)(1) (</w:t>
      </w:r>
      <w:r w:rsidRPr="004C542C">
        <w:rPr>
          <w:rFonts w:ascii="Times New Roman" w:hAnsi="Times New Roman"/>
          <w:i/>
          <w:iCs/>
          <w:sz w:val="24"/>
          <w:szCs w:val="24"/>
        </w:rPr>
        <w:t xml:space="preserve">see </w:t>
      </w:r>
      <w:proofErr w:type="spellStart"/>
      <w:r w:rsidRPr="004C542C">
        <w:rPr>
          <w:rFonts w:ascii="Times New Roman" w:hAnsi="Times New Roman"/>
          <w:i/>
          <w:iCs/>
          <w:sz w:val="24"/>
          <w:szCs w:val="24"/>
        </w:rPr>
        <w:t>Santaiti</w:t>
      </w:r>
      <w:proofErr w:type="spellEnd"/>
      <w:r w:rsidRPr="004C542C">
        <w:rPr>
          <w:rFonts w:ascii="Times New Roman" w:hAnsi="Times New Roman"/>
          <w:i/>
          <w:iCs/>
          <w:sz w:val="24"/>
          <w:szCs w:val="24"/>
        </w:rPr>
        <w:t xml:space="preserve"> v Town of Ramapo</w:t>
      </w:r>
      <w:r w:rsidRPr="004C542C">
        <w:rPr>
          <w:rFonts w:ascii="Times New Roman" w:hAnsi="Times New Roman"/>
          <w:sz w:val="24"/>
          <w:szCs w:val="24"/>
        </w:rPr>
        <w:t xml:space="preserve">, 162 AD3d at 926; </w:t>
      </w:r>
      <w:r w:rsidRPr="004C542C">
        <w:rPr>
          <w:rFonts w:ascii="Times New Roman" w:hAnsi="Times New Roman"/>
          <w:i/>
          <w:iCs/>
          <w:sz w:val="24"/>
          <w:szCs w:val="24"/>
        </w:rPr>
        <w:t>Fontanetta v John Doe 1</w:t>
      </w:r>
      <w:r w:rsidRPr="004C542C">
        <w:rPr>
          <w:rFonts w:ascii="Times New Roman" w:hAnsi="Times New Roman"/>
          <w:sz w:val="24"/>
          <w:szCs w:val="24"/>
        </w:rPr>
        <w:t>, 73 AD3d 78, 87).</w:t>
      </w:r>
      <w:r>
        <w:rPr>
          <w:rFonts w:ascii="Times New Roman" w:hAnsi="Times New Roman"/>
          <w:sz w:val="24"/>
          <w:szCs w:val="24"/>
        </w:rPr>
        <w:t xml:space="preserve"> </w:t>
      </w:r>
      <w:hyperlink r:id="rId2298" w:history="1">
        <w:r w:rsidRPr="000929D2">
          <w:rPr>
            <w:rStyle w:val="Hyperlink"/>
            <w:rFonts w:ascii="Times New Roman" w:hAnsi="Times New Roman"/>
            <w:sz w:val="24"/>
            <w:szCs w:val="24"/>
          </w:rPr>
          <w:t>https://law.justia.com/cases/new-york/appellate-division-second-department/2020/2018-14386.html</w:t>
        </w:r>
      </w:hyperlink>
      <w:r>
        <w:rPr>
          <w:rFonts w:ascii="Times New Roman" w:hAnsi="Times New Roman"/>
          <w:sz w:val="24"/>
          <w:szCs w:val="24"/>
        </w:rPr>
        <w:t xml:space="preserve"> </w:t>
      </w:r>
    </w:p>
    <w:p w14:paraId="019BE7FC" w14:textId="77777777" w:rsidR="00B532F6" w:rsidRDefault="00B532F6" w:rsidP="00B532F6">
      <w:pPr>
        <w:rPr>
          <w:rFonts w:ascii="Times New Roman" w:hAnsi="Times New Roman"/>
          <w:b/>
          <w:bCs/>
          <w:sz w:val="24"/>
          <w:szCs w:val="24"/>
        </w:rPr>
      </w:pPr>
      <w:r w:rsidRPr="004C542C">
        <w:rPr>
          <w:rFonts w:ascii="Times New Roman" w:hAnsi="Times New Roman"/>
          <w:b/>
          <w:bCs/>
          <w:sz w:val="24"/>
          <w:szCs w:val="24"/>
        </w:rPr>
        <w:t xml:space="preserve">Legal Lessons Learned: </w:t>
      </w:r>
      <w:r>
        <w:rPr>
          <w:rFonts w:ascii="Times New Roman" w:hAnsi="Times New Roman"/>
          <w:b/>
          <w:bCs/>
          <w:sz w:val="24"/>
          <w:szCs w:val="24"/>
        </w:rPr>
        <w:t xml:space="preserve"> Governmental immunity normally protects the municipality from EMS liability unless proof of gross negligence or willful or wanton misconduct.  The case will now proceed to pre-trial discovery.  </w:t>
      </w:r>
    </w:p>
    <w:p w14:paraId="551F6971" w14:textId="77777777" w:rsidR="00B532F6" w:rsidRPr="000B00E6" w:rsidRDefault="00B532F6" w:rsidP="00B532F6">
      <w:pPr>
        <w:pStyle w:val="Heading2"/>
        <w:ind w:left="720"/>
        <w:rPr>
          <w:rFonts w:ascii="Times New Roman" w:hAnsi="Times New Roman"/>
          <w:b w:val="0"/>
          <w:bCs w:val="0"/>
          <w:i w:val="0"/>
          <w:iCs w:val="0"/>
          <w:sz w:val="24"/>
          <w:szCs w:val="24"/>
        </w:rPr>
      </w:pPr>
      <w:r w:rsidRPr="000B00E6">
        <w:rPr>
          <w:rFonts w:ascii="Times New Roman" w:hAnsi="Times New Roman"/>
          <w:b w:val="0"/>
          <w:bCs w:val="0"/>
          <w:i w:val="0"/>
          <w:iCs w:val="0"/>
          <w:sz w:val="24"/>
          <w:szCs w:val="24"/>
        </w:rPr>
        <w:t xml:space="preserve">Note: See Ohio Revised Code 4765.49, Emergency medical personnel and agencies - immunity. </w:t>
      </w:r>
      <w:hyperlink r:id="rId2299" w:history="1">
        <w:r w:rsidRPr="000B00E6">
          <w:rPr>
            <w:rStyle w:val="Hyperlink"/>
            <w:rFonts w:ascii="Times New Roman" w:hAnsi="Times New Roman"/>
            <w:b w:val="0"/>
            <w:bCs w:val="0"/>
            <w:i w:val="0"/>
            <w:iCs w:val="0"/>
            <w:sz w:val="24"/>
            <w:szCs w:val="24"/>
          </w:rPr>
          <w:t>https://codes.ohio.gov/orc/4765.49v1</w:t>
        </w:r>
      </w:hyperlink>
      <w:r w:rsidRPr="000B00E6">
        <w:rPr>
          <w:rFonts w:ascii="Times New Roman" w:hAnsi="Times New Roman"/>
          <w:b w:val="0"/>
          <w:bCs w:val="0"/>
          <w:i w:val="0"/>
          <w:iCs w:val="0"/>
          <w:sz w:val="24"/>
          <w:szCs w:val="24"/>
        </w:rPr>
        <w:t xml:space="preserve"> </w:t>
      </w:r>
    </w:p>
    <w:p w14:paraId="311CE50D" w14:textId="77777777" w:rsidR="00B532F6" w:rsidRDefault="00B532F6" w:rsidP="00B532F6">
      <w:pPr>
        <w:pStyle w:val="NormalWeb"/>
        <w:ind w:left="1440"/>
      </w:pPr>
      <w:r>
        <w:t xml:space="preserve">“(A) A first responder, emergency medical technician-basic, emergency medical technician-intermediate, or emergency medical technician-paramedic is not liable in damages in a civil action for injury, death, or loss to person or property resulting from the individual's administration of emergency medical services, unless the services are administered in a manner that constitutes willful or wanton misconduct. A physician, physician assistant designated by a physician, or registered nurse designated by a physician, any of whom is advising or assisting in the emergency medical services by means of any communication device or telemetering system, is not liable in damages in a civil action for injury, death, or loss to person or property resulting from the individual's advisory communication or assistance, unless the advisory communication or assistance is provided in a manner that constitutes willful or wanton misconduct. Medical directors and members of cooperating physician advisory boards of emergency medical service organizations are not liable in damages in a civil action for injury, death, or loss to person or property resulting from their acts or omissions in the performance of their duties, unless the act or omission constitutes willful or wanton misconduct. </w:t>
      </w:r>
    </w:p>
    <w:p w14:paraId="3C8BF03A" w14:textId="77777777" w:rsidR="00B532F6" w:rsidRDefault="00B532F6" w:rsidP="00B532F6">
      <w:pPr>
        <w:pStyle w:val="NormalWeb"/>
        <w:ind w:left="1440"/>
      </w:pPr>
      <w:r>
        <w:t>(B) A political subdivision, joint ambulance district, joint emergency medical services district, or other public agency, and any officer or employee of a public agency or of a private organization operating under contract or in joint agreement with one or more political subdivisions, that provides emergency medical services, or that enters into a joint agreement or a contract with the state, any political subdivision, joint ambulance district, or joint emergency medical services district for the provision of emergency medical services, is not liable in damages in a civil action for injury, death, or loss to person or property arising out of any actions taken by a first responder, EMT-basic, EMT-I, or paramedic working under the officer's or employee's jurisdiction, or for injury, death, or loss to person or property arising out of any actions of licensed medical personnel advising or assisting the first responder, EMT-basic, EMT-I, or paramedic, unless the services are provided in a manner that constitutes willful or wanton misconduct.”</w:t>
      </w:r>
    </w:p>
    <w:p w14:paraId="3664E206" w14:textId="77777777" w:rsidR="00B532F6" w:rsidRDefault="00B532F6" w:rsidP="001C563D">
      <w:pPr>
        <w:rPr>
          <w:rFonts w:ascii="Arial Black" w:hAnsi="Arial Black"/>
          <w:b/>
          <w:bCs/>
          <w:sz w:val="28"/>
          <w:szCs w:val="28"/>
        </w:rPr>
      </w:pPr>
    </w:p>
    <w:p w14:paraId="2386F71C" w14:textId="441FD9AC" w:rsidR="00B532F6" w:rsidRPr="00B532F6" w:rsidRDefault="00B532F6" w:rsidP="001C563D">
      <w:pPr>
        <w:rPr>
          <w:rFonts w:ascii="Times New Roman" w:hAnsi="Times New Roman"/>
          <w:sz w:val="24"/>
          <w:szCs w:val="24"/>
        </w:rPr>
      </w:pPr>
      <w:r>
        <w:rPr>
          <w:rFonts w:ascii="Arial Black" w:hAnsi="Arial Black"/>
          <w:b/>
          <w:bCs/>
          <w:sz w:val="28"/>
          <w:szCs w:val="28"/>
        </w:rPr>
        <w:t xml:space="preserve">13-63 </w:t>
      </w:r>
      <w:r w:rsidRPr="00B532F6">
        <w:rPr>
          <w:rFonts w:ascii="Times New Roman" w:hAnsi="Times New Roman"/>
          <w:sz w:val="24"/>
          <w:szCs w:val="24"/>
        </w:rPr>
        <w:t>[also filed, Chap. 18]</w:t>
      </w:r>
    </w:p>
    <w:p w14:paraId="2AF5AC26" w14:textId="77777777" w:rsidR="00B532F6" w:rsidRPr="004D5BFC" w:rsidRDefault="00B532F6" w:rsidP="00B532F6">
      <w:pPr>
        <w:rPr>
          <w:rFonts w:ascii="Arial Black" w:hAnsi="Arial Black"/>
          <w:sz w:val="28"/>
          <w:szCs w:val="28"/>
        </w:rPr>
      </w:pPr>
      <w:r>
        <w:rPr>
          <w:rFonts w:ascii="Arial Black" w:hAnsi="Arial Black"/>
          <w:sz w:val="28"/>
          <w:szCs w:val="28"/>
        </w:rPr>
        <w:t xml:space="preserve">OH:  TEMPORARY IMMUNITY DURING COVID-19 PANDEMIC – EMERGENCY RESPONDERS, SCHOOLS PROTECTED TORT LIABILITY  </w:t>
      </w:r>
    </w:p>
    <w:p w14:paraId="2DD9ED7F" w14:textId="77777777" w:rsidR="00B532F6" w:rsidRPr="00820E9C" w:rsidRDefault="00B532F6" w:rsidP="00B532F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Sept. 14, 2020, Ohio Governor Mike DeWine signed House Bill 606 into law.  </w:t>
      </w:r>
      <w:r w:rsidRPr="00820E9C">
        <w:rPr>
          <w:rFonts w:ascii="Times New Roman" w:hAnsi="Times New Roman"/>
          <w:sz w:val="24"/>
          <w:szCs w:val="24"/>
        </w:rPr>
        <w:t xml:space="preserve">“The bill ensures civil immunity to individuals, schools, health care providers, businesses and other entities from lawsuits arising from exposure, transmission or contraction of COVID-19, or any mutation of the virus, </w:t>
      </w:r>
      <w:proofErr w:type="gramStart"/>
      <w:r w:rsidRPr="00820E9C">
        <w:rPr>
          <w:rFonts w:ascii="Times New Roman" w:hAnsi="Times New Roman"/>
          <w:sz w:val="24"/>
          <w:szCs w:val="24"/>
        </w:rPr>
        <w:t>as long as</w:t>
      </w:r>
      <w:proofErr w:type="gramEnd"/>
      <w:r w:rsidRPr="00820E9C">
        <w:rPr>
          <w:rFonts w:ascii="Times New Roman" w:hAnsi="Times New Roman"/>
          <w:sz w:val="24"/>
          <w:szCs w:val="24"/>
        </w:rPr>
        <w:t xml:space="preserve"> they were not showing reckless, intentional or willful misconduct. It also shields health care providers from liability in tort actions regarding the care and services they provide during this pandemic unless they were acting recklessly or displaying intentional </w:t>
      </w:r>
      <w:proofErr w:type="gramStart"/>
      <w:r w:rsidRPr="00820E9C">
        <w:rPr>
          <w:rFonts w:ascii="Times New Roman" w:hAnsi="Times New Roman"/>
          <w:sz w:val="24"/>
          <w:szCs w:val="24"/>
        </w:rPr>
        <w:t>misconduct.</w:t>
      </w:r>
      <w:r>
        <w:rPr>
          <w:rFonts w:ascii="Times New Roman" w:hAnsi="Times New Roman"/>
          <w:sz w:val="24"/>
          <w:szCs w:val="24"/>
        </w:rPr>
        <w:t>”</w:t>
      </w:r>
      <w:proofErr w:type="gramEnd"/>
      <w:r w:rsidRPr="00820E9C">
        <w:rPr>
          <w:rFonts w:ascii="Times New Roman" w:hAnsi="Times New Roman"/>
          <w:sz w:val="24"/>
          <w:szCs w:val="24"/>
        </w:rPr>
        <w:t xml:space="preserve"> </w:t>
      </w:r>
      <w:hyperlink r:id="rId2300" w:history="1">
        <w:r w:rsidRPr="00EA25E1">
          <w:rPr>
            <w:rStyle w:val="Hyperlink"/>
            <w:rFonts w:ascii="Times New Roman" w:hAnsi="Times New Roman"/>
            <w:sz w:val="24"/>
            <w:szCs w:val="24"/>
          </w:rPr>
          <w:t>https://www.wkbn.com/news/coronavirus/dewine-signs-law-giving-covid-19-lawsuit-immunity/</w:t>
        </w:r>
      </w:hyperlink>
      <w:r>
        <w:rPr>
          <w:rFonts w:ascii="Times New Roman" w:hAnsi="Times New Roman"/>
          <w:sz w:val="24"/>
          <w:szCs w:val="24"/>
        </w:rPr>
        <w:t xml:space="preserve">  This will be particularly helpful to FDs that host paramedic and EMS students needing “ride time” for their certifications. See the statute: </w:t>
      </w:r>
      <w:hyperlink r:id="rId2301" w:history="1">
        <w:r w:rsidRPr="00EA25E1">
          <w:rPr>
            <w:rStyle w:val="Hyperlink"/>
            <w:rFonts w:ascii="Times New Roman" w:hAnsi="Times New Roman"/>
            <w:sz w:val="24"/>
            <w:szCs w:val="24"/>
          </w:rPr>
          <w:t>https://www.hannah.com/ShowDocument.aspx?BTextID=219206</w:t>
        </w:r>
      </w:hyperlink>
      <w:r>
        <w:rPr>
          <w:rFonts w:ascii="Times New Roman" w:hAnsi="Times New Roman"/>
          <w:sz w:val="24"/>
          <w:szCs w:val="24"/>
        </w:rPr>
        <w:t xml:space="preserve"> </w:t>
      </w:r>
    </w:p>
    <w:p w14:paraId="7D943446" w14:textId="77777777" w:rsidR="00B532F6" w:rsidRDefault="00B532F6" w:rsidP="00B532F6">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The statute is an excellent example of legislation providing immunity from tort liability during the pandemic for those serving others, including emergency responders.  </w:t>
      </w:r>
    </w:p>
    <w:p w14:paraId="39A64FF3" w14:textId="77777777" w:rsidR="00B532F6" w:rsidRPr="00E85202" w:rsidRDefault="00B532F6" w:rsidP="00B532F6">
      <w:pPr>
        <w:spacing w:before="100" w:beforeAutospacing="1" w:after="100" w:afterAutospacing="1" w:line="240" w:lineRule="auto"/>
        <w:ind w:left="720"/>
        <w:rPr>
          <w:rFonts w:ascii="Times New Roman" w:eastAsia="Times New Roman" w:hAnsi="Times New Roman"/>
          <w:sz w:val="24"/>
          <w:szCs w:val="24"/>
        </w:rPr>
      </w:pPr>
      <w:r w:rsidRPr="00E85202">
        <w:rPr>
          <w:rFonts w:ascii="Times New Roman" w:eastAsia="Times New Roman" w:hAnsi="Times New Roman"/>
          <w:sz w:val="24"/>
          <w:szCs w:val="24"/>
        </w:rPr>
        <w:t xml:space="preserve">Note: See legislative history: </w:t>
      </w:r>
      <w:hyperlink r:id="rId2302" w:history="1">
        <w:r w:rsidRPr="00EA25E1">
          <w:rPr>
            <w:rStyle w:val="Hyperlink"/>
            <w:rFonts w:ascii="Times New Roman" w:eastAsia="Times New Roman" w:hAnsi="Times New Roman"/>
            <w:sz w:val="24"/>
            <w:szCs w:val="24"/>
          </w:rPr>
          <w:t>https://www.legislature.ohio.gov/legislation/legislation-documents?id=GA133-HB-606</w:t>
        </w:r>
      </w:hyperlink>
      <w:r w:rsidRPr="00E85202">
        <w:rPr>
          <w:rFonts w:ascii="Times New Roman" w:eastAsia="Times New Roman" w:hAnsi="Times New Roman"/>
          <w:sz w:val="24"/>
          <w:szCs w:val="24"/>
        </w:rPr>
        <w:t xml:space="preserve"> </w:t>
      </w:r>
    </w:p>
    <w:p w14:paraId="347C9890" w14:textId="77777777" w:rsidR="00B532F6" w:rsidRDefault="00B532F6" w:rsidP="001C563D">
      <w:pPr>
        <w:rPr>
          <w:rFonts w:ascii="Arial Black" w:hAnsi="Arial Black"/>
          <w:b/>
          <w:bCs/>
          <w:sz w:val="28"/>
          <w:szCs w:val="28"/>
        </w:rPr>
      </w:pPr>
    </w:p>
    <w:p w14:paraId="45464A38" w14:textId="77777777" w:rsidR="00B532F6" w:rsidRDefault="00B532F6" w:rsidP="001C563D">
      <w:pPr>
        <w:rPr>
          <w:rFonts w:ascii="Arial Black" w:hAnsi="Arial Black"/>
          <w:b/>
          <w:bCs/>
          <w:sz w:val="28"/>
          <w:szCs w:val="28"/>
        </w:rPr>
      </w:pPr>
    </w:p>
    <w:p w14:paraId="6D00479F" w14:textId="0BC2A526" w:rsidR="00557CA2" w:rsidRDefault="00557CA2" w:rsidP="001C563D">
      <w:pPr>
        <w:rPr>
          <w:rFonts w:ascii="Arial Black" w:hAnsi="Arial Black"/>
          <w:b/>
          <w:bCs/>
          <w:sz w:val="28"/>
          <w:szCs w:val="28"/>
        </w:rPr>
      </w:pPr>
      <w:r>
        <w:rPr>
          <w:rFonts w:ascii="Arial Black" w:hAnsi="Arial Black"/>
          <w:b/>
          <w:bCs/>
          <w:sz w:val="28"/>
          <w:szCs w:val="28"/>
        </w:rPr>
        <w:t>13-62</w:t>
      </w:r>
    </w:p>
    <w:p w14:paraId="4016C6AA" w14:textId="77777777" w:rsidR="00557CA2" w:rsidRDefault="00557CA2" w:rsidP="00557CA2">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TX: “UNRESTRAINED” PATIENT DROPPED FROM STRETCHER – UNEVEN DRIVEWAY – NO EXPERT REPORT</w:t>
      </w:r>
    </w:p>
    <w:p w14:paraId="44D036CF" w14:textId="77777777" w:rsidR="00557CA2" w:rsidRDefault="00557CA2" w:rsidP="00557CA2">
      <w:pPr>
        <w:pStyle w:val="Heading1"/>
        <w:rPr>
          <w:b w:val="0"/>
          <w:bCs w:val="0"/>
          <w:sz w:val="24"/>
          <w:szCs w:val="24"/>
        </w:rPr>
      </w:pPr>
      <w:r>
        <w:rPr>
          <w:sz w:val="24"/>
          <w:szCs w:val="24"/>
        </w:rPr>
        <w:t xml:space="preserve"> </w:t>
      </w:r>
      <w:r>
        <w:rPr>
          <w:b w:val="0"/>
          <w:bCs w:val="0"/>
          <w:sz w:val="24"/>
          <w:szCs w:val="24"/>
        </w:rPr>
        <w:t xml:space="preserve">On Aug. 25, 2020, in City of </w:t>
      </w:r>
      <w:r>
        <w:rPr>
          <w:b w:val="0"/>
          <w:bCs w:val="0"/>
          <w:sz w:val="24"/>
          <w:szCs w:val="24"/>
          <w:u w:val="single"/>
        </w:rPr>
        <w:t>Houston v. Shirley Houston</w:t>
      </w:r>
      <w:r>
        <w:rPr>
          <w:b w:val="0"/>
          <w:bCs w:val="0"/>
          <w:sz w:val="24"/>
          <w:szCs w:val="24"/>
        </w:rPr>
        <w:t xml:space="preserve">, the Court of Appeals for the First District of Texas held (3 to 0) that the lawsuit should be dismissed, reversing a trial judge’s denial of City’s motion to dismiss. </w:t>
      </w:r>
    </w:p>
    <w:p w14:paraId="02D36EE1" w14:textId="77777777" w:rsidR="00557CA2" w:rsidRDefault="00557CA2" w:rsidP="00557CA2">
      <w:pPr>
        <w:pStyle w:val="Heading1"/>
        <w:ind w:left="720"/>
        <w:rPr>
          <w:b w:val="0"/>
          <w:bCs w:val="0"/>
          <w:sz w:val="24"/>
          <w:szCs w:val="24"/>
        </w:rPr>
      </w:pPr>
      <w:r>
        <w:rPr>
          <w:b w:val="0"/>
          <w:bCs w:val="0"/>
          <w:sz w:val="24"/>
          <w:szCs w:val="24"/>
        </w:rPr>
        <w:t>“In its sole issue, the City contends that the trial court erred in denying its motion to dismiss because Houston's claim constitutes a health care liability claim</w:t>
      </w:r>
      <w:bookmarkStart w:id="454" w:name="fn2"/>
      <w:r>
        <w:rPr>
          <w:b w:val="0"/>
          <w:bCs w:val="0"/>
          <w:sz w:val="24"/>
          <w:szCs w:val="24"/>
        </w:rPr>
        <w:fldChar w:fldCharType="begin"/>
      </w:r>
      <w:r>
        <w:rPr>
          <w:b w:val="0"/>
          <w:bCs w:val="0"/>
          <w:sz w:val="24"/>
          <w:szCs w:val="24"/>
        </w:rPr>
        <w:instrText xml:space="preserve"> HYPERLINK "https://public.fastcase.com/" \l "fr2" </w:instrText>
      </w:r>
      <w:r>
        <w:rPr>
          <w:b w:val="0"/>
          <w:bCs w:val="0"/>
          <w:sz w:val="24"/>
          <w:szCs w:val="24"/>
        </w:rPr>
      </w:r>
      <w:r>
        <w:rPr>
          <w:b w:val="0"/>
          <w:bCs w:val="0"/>
          <w:sz w:val="24"/>
          <w:szCs w:val="24"/>
        </w:rPr>
        <w:fldChar w:fldCharType="separate"/>
      </w:r>
      <w:r>
        <w:rPr>
          <w:rStyle w:val="Hyperlink"/>
          <w:rFonts w:eastAsiaTheme="majorEastAsia"/>
          <w:b w:val="0"/>
          <w:bCs w:val="0"/>
          <w:sz w:val="24"/>
          <w:szCs w:val="24"/>
          <w:vertAlign w:val="superscript"/>
        </w:rPr>
        <w:t>2</w:t>
      </w:r>
      <w:r>
        <w:rPr>
          <w:b w:val="0"/>
          <w:bCs w:val="0"/>
          <w:sz w:val="24"/>
          <w:szCs w:val="24"/>
        </w:rPr>
        <w:fldChar w:fldCharType="end"/>
      </w:r>
      <w:bookmarkEnd w:id="454"/>
      <w:r>
        <w:rPr>
          <w:b w:val="0"/>
          <w:bCs w:val="0"/>
          <w:sz w:val="24"/>
          <w:szCs w:val="24"/>
        </w:rPr>
        <w:t xml:space="preserve"> and she failed to serve it with a </w:t>
      </w:r>
      <w:proofErr w:type="gramStart"/>
      <w:r>
        <w:rPr>
          <w:b w:val="0"/>
          <w:bCs w:val="0"/>
          <w:sz w:val="24"/>
          <w:szCs w:val="24"/>
        </w:rPr>
        <w:t>statutorily-required</w:t>
      </w:r>
      <w:proofErr w:type="gramEnd"/>
      <w:r>
        <w:rPr>
          <w:b w:val="0"/>
          <w:bCs w:val="0"/>
          <w:sz w:val="24"/>
          <w:szCs w:val="24"/>
        </w:rPr>
        <w:t xml:space="preserve"> expert report.</w:t>
      </w:r>
      <w:r>
        <w:rPr>
          <w:b w:val="0"/>
          <w:bCs w:val="0"/>
          <w:sz w:val="24"/>
          <w:szCs w:val="24"/>
          <w:vertAlign w:val="superscript"/>
        </w:rPr>
        <w:t xml:space="preserve"> *** </w:t>
      </w:r>
      <w:r>
        <w:rPr>
          <w:b w:val="0"/>
          <w:bCs w:val="0"/>
          <w:sz w:val="24"/>
          <w:szCs w:val="24"/>
        </w:rPr>
        <w:t xml:space="preserve">Here, the allegations in Houston's first amended petition show that her claim is against a health care provider and is based on facts that implicate the defendant's conduct </w:t>
      </w:r>
      <w:proofErr w:type="gramStart"/>
      <w:r>
        <w:rPr>
          <w:b w:val="0"/>
          <w:bCs w:val="0"/>
          <w:sz w:val="24"/>
          <w:szCs w:val="24"/>
        </w:rPr>
        <w:t>during the course of</w:t>
      </w:r>
      <w:proofErr w:type="gramEnd"/>
      <w:r>
        <w:rPr>
          <w:b w:val="0"/>
          <w:bCs w:val="0"/>
          <w:sz w:val="24"/>
          <w:szCs w:val="24"/>
        </w:rPr>
        <w:t xml:space="preserve"> a patient's care, treatment, or confinement….  Thus, [the Plaintiff] bore the burden of rebutting the presumption that her claim against the City was a health care liability claim…. She has not done so.” </w:t>
      </w:r>
      <w:hyperlink r:id="rId2303" w:history="1">
        <w:r>
          <w:rPr>
            <w:rStyle w:val="Hyperlink"/>
            <w:rFonts w:eastAsiaTheme="majorEastAsia"/>
            <w:b w:val="0"/>
            <w:bCs w:val="0"/>
            <w:sz w:val="24"/>
            <w:szCs w:val="24"/>
          </w:rPr>
          <w:t>https://law.justia.com/cases/texas/first-court-of-appeals/2020/01-19-00255-cv.html</w:t>
        </w:r>
      </w:hyperlink>
      <w:r>
        <w:rPr>
          <w:b w:val="0"/>
          <w:bCs w:val="0"/>
          <w:sz w:val="24"/>
          <w:szCs w:val="24"/>
        </w:rPr>
        <w:t xml:space="preserve"> </w:t>
      </w:r>
    </w:p>
    <w:p w14:paraId="0E5BE7E5" w14:textId="77777777" w:rsidR="00CD02AE" w:rsidRDefault="00CD02AE" w:rsidP="00CD02AE">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When moving a patient on a stretcher from her home the patient must be “secured” to the stretcher and extreme caution must be exercised.  </w:t>
      </w:r>
    </w:p>
    <w:p w14:paraId="43A8DC43" w14:textId="77777777" w:rsidR="00557CA2" w:rsidRDefault="00557CA2" w:rsidP="001C563D">
      <w:pPr>
        <w:rPr>
          <w:rFonts w:ascii="Arial Black" w:hAnsi="Arial Black"/>
          <w:b/>
          <w:bCs/>
          <w:sz w:val="28"/>
          <w:szCs w:val="28"/>
        </w:rPr>
      </w:pPr>
    </w:p>
    <w:p w14:paraId="2ECCBAD4" w14:textId="77777777" w:rsidR="00557CA2" w:rsidRDefault="00557CA2" w:rsidP="001C563D">
      <w:pPr>
        <w:rPr>
          <w:rFonts w:ascii="Arial Black" w:hAnsi="Arial Black"/>
          <w:b/>
          <w:bCs/>
          <w:sz w:val="28"/>
          <w:szCs w:val="28"/>
        </w:rPr>
      </w:pPr>
    </w:p>
    <w:p w14:paraId="0497B739" w14:textId="3EC88CC2" w:rsidR="001C563D" w:rsidRPr="007105B3" w:rsidRDefault="007105B3" w:rsidP="001C563D">
      <w:pPr>
        <w:rPr>
          <w:rFonts w:ascii="Times New Roman" w:hAnsi="Times New Roman"/>
          <w:bCs/>
          <w:sz w:val="24"/>
          <w:szCs w:val="24"/>
        </w:rPr>
      </w:pPr>
      <w:r>
        <w:rPr>
          <w:rFonts w:ascii="Arial Black" w:hAnsi="Arial Black"/>
          <w:b/>
          <w:bCs/>
          <w:sz w:val="28"/>
          <w:szCs w:val="28"/>
        </w:rPr>
        <w:t>13-</w:t>
      </w:r>
      <w:r w:rsidR="001C563D">
        <w:rPr>
          <w:rFonts w:ascii="Arial Black" w:hAnsi="Arial Black"/>
          <w:b/>
          <w:bCs/>
          <w:sz w:val="28"/>
          <w:szCs w:val="28"/>
        </w:rPr>
        <w:t>6</w:t>
      </w:r>
      <w:r w:rsidR="001A653A">
        <w:rPr>
          <w:rFonts w:ascii="Arial Black" w:hAnsi="Arial Black"/>
          <w:b/>
          <w:bCs/>
          <w:sz w:val="28"/>
          <w:szCs w:val="28"/>
        </w:rPr>
        <w:t>1</w:t>
      </w:r>
      <w:r w:rsidR="001C563D">
        <w:rPr>
          <w:rFonts w:ascii="Arial Black" w:hAnsi="Arial Black"/>
          <w:b/>
          <w:bCs/>
          <w:sz w:val="28"/>
          <w:szCs w:val="28"/>
        </w:rPr>
        <w:t xml:space="preserve"> </w:t>
      </w:r>
      <w:r w:rsidR="001C563D" w:rsidRPr="007105B3">
        <w:rPr>
          <w:rFonts w:ascii="Times New Roman" w:hAnsi="Times New Roman"/>
          <w:bCs/>
          <w:sz w:val="24"/>
          <w:szCs w:val="24"/>
        </w:rPr>
        <w:t xml:space="preserve">[Also filed, Chap. </w:t>
      </w:r>
      <w:r w:rsidR="001C563D">
        <w:rPr>
          <w:rFonts w:ascii="Times New Roman" w:hAnsi="Times New Roman"/>
          <w:bCs/>
          <w:sz w:val="24"/>
          <w:szCs w:val="24"/>
        </w:rPr>
        <w:t>5</w:t>
      </w:r>
      <w:r w:rsidR="001C563D" w:rsidRPr="007105B3">
        <w:rPr>
          <w:rFonts w:ascii="Times New Roman" w:hAnsi="Times New Roman"/>
          <w:bCs/>
          <w:sz w:val="24"/>
          <w:szCs w:val="24"/>
        </w:rPr>
        <w:t>]</w:t>
      </w:r>
    </w:p>
    <w:p w14:paraId="7DE34904" w14:textId="77777777" w:rsidR="007105B3" w:rsidRDefault="007105B3" w:rsidP="007105B3">
      <w:pPr>
        <w:pStyle w:val="NoSpacing"/>
        <w:rPr>
          <w:rFonts w:ascii="Arial Black" w:hAnsi="Arial Black"/>
          <w:sz w:val="28"/>
          <w:szCs w:val="28"/>
        </w:rPr>
      </w:pPr>
      <w:r w:rsidRPr="00284D4F">
        <w:rPr>
          <w:rFonts w:ascii="Arial Black" w:hAnsi="Arial Black"/>
          <w:sz w:val="28"/>
          <w:szCs w:val="28"/>
        </w:rPr>
        <w:t xml:space="preserve">IL: </w:t>
      </w:r>
      <w:r>
        <w:rPr>
          <w:rFonts w:ascii="Arial Black" w:hAnsi="Arial Black"/>
          <w:sz w:val="28"/>
          <w:szCs w:val="28"/>
        </w:rPr>
        <w:t>PRIVATE AMBULANCE – RAN RED LIGHT WHEN DRIVING TO NON-EMERGENCY TRANSPORT - NO IMMUNITY</w:t>
      </w:r>
    </w:p>
    <w:p w14:paraId="1375197D" w14:textId="77777777" w:rsidR="007105B3" w:rsidRDefault="007105B3" w:rsidP="007105B3">
      <w:pPr>
        <w:pStyle w:val="NoSpacing"/>
        <w:rPr>
          <w:rFonts w:ascii="Arial Black" w:hAnsi="Arial Black"/>
          <w:sz w:val="28"/>
          <w:szCs w:val="28"/>
        </w:rPr>
      </w:pPr>
    </w:p>
    <w:p w14:paraId="0E5F8DC8" w14:textId="77777777" w:rsidR="007105B3" w:rsidRPr="00700A10" w:rsidRDefault="007105B3" w:rsidP="007105B3">
      <w:pPr>
        <w:pStyle w:val="NoSpacing"/>
        <w:rPr>
          <w:rFonts w:ascii="Times New Roman" w:hAnsi="Times New Roman"/>
          <w:sz w:val="24"/>
          <w:szCs w:val="24"/>
        </w:rPr>
      </w:pPr>
      <w:r w:rsidRPr="00284D4F">
        <w:rPr>
          <w:rFonts w:ascii="Times New Roman" w:hAnsi="Times New Roman"/>
          <w:sz w:val="24"/>
          <w:szCs w:val="24"/>
        </w:rPr>
        <w:t xml:space="preserve">On </w:t>
      </w:r>
      <w:r>
        <w:rPr>
          <w:rFonts w:ascii="Times New Roman" w:hAnsi="Times New Roman"/>
          <w:sz w:val="24"/>
          <w:szCs w:val="24"/>
        </w:rPr>
        <w:t xml:space="preserve">June 18, 2020, in </w:t>
      </w:r>
      <w:r w:rsidRPr="00284D4F">
        <w:rPr>
          <w:rFonts w:ascii="Times New Roman" w:hAnsi="Times New Roman"/>
          <w:sz w:val="24"/>
          <w:szCs w:val="24"/>
          <w:u w:val="single"/>
        </w:rPr>
        <w:t>Roberto Hernandez v. Lifeline Ambulance, LLC, et al</w:t>
      </w:r>
      <w:r>
        <w:rPr>
          <w:rFonts w:ascii="Times New Roman" w:hAnsi="Times New Roman"/>
          <w:sz w:val="24"/>
          <w:szCs w:val="24"/>
        </w:rPr>
        <w:t xml:space="preserve">., the Supreme Court of State of Illinois, held (4 to 3) that the private ambulance driver and his employer are not protected under the state’s EMS immunity statute when the ambulance driver, on a non-emergency run without lights or siren, ran a red light and injured the driver of another vehicle. The ambulance had been dispatched </w:t>
      </w:r>
      <w:r w:rsidRPr="00700A10">
        <w:rPr>
          <w:rFonts w:ascii="Times New Roman" w:hAnsi="Times New Roman"/>
          <w:sz w:val="24"/>
          <w:szCs w:val="24"/>
        </w:rPr>
        <w:t>to pick up a patient for nonemergency medical transport from Symphony at Aria Post Acute Care in Hillside to Villa Park Home Dialysis in Villa Park</w:t>
      </w:r>
      <w:r>
        <w:rPr>
          <w:rFonts w:ascii="Times New Roman" w:hAnsi="Times New Roman"/>
          <w:sz w:val="24"/>
          <w:szCs w:val="24"/>
        </w:rPr>
        <w:t>. The Court’s majority held: “</w:t>
      </w:r>
      <w:r w:rsidRPr="00700A10">
        <w:rPr>
          <w:rFonts w:ascii="Times New Roman" w:hAnsi="Times New Roman"/>
          <w:sz w:val="24"/>
          <w:szCs w:val="24"/>
        </w:rPr>
        <w:t xml:space="preserve">The issue presented is whether section 3.150 of the Emergency Medical Services Systems Act (EMS Act) (210 ILCS 50/3.150 (West 2016)) provides immunity from liability—to an ambulance owner and its driver—stemming from a motor-vehicle accident caused by the negligent operation of the ambulance while </w:t>
      </w:r>
      <w:proofErr w:type="spellStart"/>
      <w:r w:rsidRPr="00700A10">
        <w:rPr>
          <w:rFonts w:ascii="Times New Roman" w:hAnsi="Times New Roman"/>
          <w:sz w:val="24"/>
          <w:szCs w:val="24"/>
        </w:rPr>
        <w:t>en</w:t>
      </w:r>
      <w:proofErr w:type="spellEnd"/>
      <w:r w:rsidRPr="00700A10">
        <w:rPr>
          <w:rFonts w:ascii="Times New Roman" w:hAnsi="Times New Roman"/>
          <w:sz w:val="24"/>
          <w:szCs w:val="24"/>
        </w:rPr>
        <w:t xml:space="preserve"> route to pick up a patient for nonemergency transportation. We answer this question in the negative, holding that defendants are not immune from liability under the circumstances of this case.</w:t>
      </w:r>
      <w:r>
        <w:rPr>
          <w:rFonts w:ascii="Times New Roman" w:hAnsi="Times New Roman"/>
          <w:sz w:val="24"/>
          <w:szCs w:val="24"/>
        </w:rPr>
        <w:t xml:space="preserve">” </w:t>
      </w:r>
      <w:hyperlink r:id="rId2304" w:history="1">
        <w:r w:rsidRPr="005B0C9C">
          <w:rPr>
            <w:rStyle w:val="Hyperlink"/>
            <w:rFonts w:ascii="Times New Roman" w:hAnsi="Times New Roman"/>
            <w:sz w:val="24"/>
            <w:szCs w:val="24"/>
          </w:rPr>
          <w:t>https://courts.illinois.gov/Opinions/SupremeCourt/2020/124610.pdf</w:t>
        </w:r>
      </w:hyperlink>
      <w:r>
        <w:rPr>
          <w:rFonts w:ascii="Times New Roman" w:hAnsi="Times New Roman"/>
          <w:sz w:val="24"/>
          <w:szCs w:val="24"/>
        </w:rPr>
        <w:t xml:space="preserve"> </w:t>
      </w:r>
    </w:p>
    <w:p w14:paraId="02CEDC12" w14:textId="77777777" w:rsidR="007105B3" w:rsidRPr="00700A10" w:rsidRDefault="007105B3" w:rsidP="007105B3">
      <w:pPr>
        <w:pStyle w:val="NoSpacing"/>
        <w:rPr>
          <w:rFonts w:ascii="Times New Roman" w:hAnsi="Times New Roman"/>
          <w:sz w:val="24"/>
          <w:szCs w:val="24"/>
        </w:rPr>
      </w:pPr>
    </w:p>
    <w:p w14:paraId="54DD4AAC" w14:textId="77777777" w:rsidR="007105B3" w:rsidRPr="00700A10" w:rsidRDefault="007105B3" w:rsidP="007105B3">
      <w:pPr>
        <w:pStyle w:val="NoSpacing"/>
        <w:rPr>
          <w:rFonts w:ascii="Times New Roman" w:hAnsi="Times New Roman"/>
          <w:b/>
          <w:bCs/>
          <w:sz w:val="24"/>
          <w:szCs w:val="24"/>
        </w:rPr>
      </w:pPr>
      <w:r w:rsidRPr="00700A10">
        <w:rPr>
          <w:rFonts w:ascii="Times New Roman" w:hAnsi="Times New Roman"/>
          <w:b/>
          <w:bCs/>
          <w:sz w:val="24"/>
          <w:szCs w:val="24"/>
        </w:rPr>
        <w:t>Legal Lessons Learned:</w:t>
      </w:r>
      <w:r>
        <w:rPr>
          <w:rFonts w:ascii="Times New Roman" w:hAnsi="Times New Roman"/>
          <w:b/>
          <w:bCs/>
          <w:sz w:val="24"/>
          <w:szCs w:val="24"/>
        </w:rPr>
        <w:t xml:space="preserve"> EMS driving running a red light for a non-emergency transport should be held responsible, along with his company, for his negligent conduct. </w:t>
      </w:r>
    </w:p>
    <w:p w14:paraId="488681CD" w14:textId="77777777" w:rsidR="007105B3" w:rsidRDefault="007105B3" w:rsidP="007105B3">
      <w:pPr>
        <w:pStyle w:val="NoSpacing"/>
        <w:rPr>
          <w:rFonts w:ascii="Times New Roman" w:hAnsi="Times New Roman"/>
          <w:sz w:val="24"/>
          <w:szCs w:val="24"/>
        </w:rPr>
      </w:pPr>
    </w:p>
    <w:p w14:paraId="6B2E73BB" w14:textId="77777777" w:rsidR="007105B3" w:rsidRPr="005262A7" w:rsidRDefault="007105B3" w:rsidP="007105B3">
      <w:pPr>
        <w:pStyle w:val="NoSpacing"/>
        <w:ind w:firstLine="720"/>
        <w:rPr>
          <w:rFonts w:ascii="Times New Roman" w:hAnsi="Times New Roman"/>
          <w:sz w:val="24"/>
          <w:szCs w:val="24"/>
        </w:rPr>
      </w:pPr>
      <w:r w:rsidRPr="005262A7">
        <w:rPr>
          <w:rFonts w:ascii="Times New Roman" w:hAnsi="Times New Roman"/>
          <w:sz w:val="24"/>
          <w:szCs w:val="24"/>
        </w:rPr>
        <w:t xml:space="preserve">Note: Three dissenting Justices </w:t>
      </w:r>
      <w:r>
        <w:rPr>
          <w:rFonts w:ascii="Times New Roman" w:hAnsi="Times New Roman"/>
          <w:sz w:val="24"/>
          <w:szCs w:val="24"/>
        </w:rPr>
        <w:t>disagreed:</w:t>
      </w:r>
    </w:p>
    <w:p w14:paraId="701ABA1A" w14:textId="77777777" w:rsidR="007105B3" w:rsidRDefault="007105B3" w:rsidP="007105B3">
      <w:pPr>
        <w:pStyle w:val="NoSpacing"/>
        <w:ind w:left="720"/>
        <w:rPr>
          <w:rFonts w:ascii="Times New Roman" w:hAnsi="Times New Roman"/>
          <w:sz w:val="24"/>
          <w:szCs w:val="24"/>
        </w:rPr>
      </w:pPr>
    </w:p>
    <w:p w14:paraId="4C626A4F" w14:textId="77777777" w:rsidR="007105B3" w:rsidRDefault="007105B3" w:rsidP="007105B3">
      <w:pPr>
        <w:pStyle w:val="NoSpacing"/>
        <w:ind w:left="720"/>
      </w:pPr>
      <w:r>
        <w:rPr>
          <w:rFonts w:ascii="Times New Roman" w:hAnsi="Times New Roman"/>
          <w:sz w:val="24"/>
          <w:szCs w:val="24"/>
        </w:rPr>
        <w:t>“</w:t>
      </w:r>
      <w:r w:rsidRPr="005262A7">
        <w:rPr>
          <w:rFonts w:ascii="Times New Roman" w:hAnsi="Times New Roman"/>
          <w:sz w:val="24"/>
          <w:szCs w:val="24"/>
        </w:rPr>
        <w:t xml:space="preserve">In the case at bar, at the time of the accident, Nicholas was rendering nonemergency medical services in the normal course of conducting his duties. Nicholas was in the process of responding to a dispatch to transport a patient to a health care facility. Driving to the patient was preparatory for and integral to delivering the medical service. Further, the accident occurred before transporting the patient to a health care facility and during defendant’s driving in response to the dispatch. Therefore, absent willful and wanton misconduct, section 3.150(a) of the EMS Act immunizes defendants for their alleged negligent acts or omissions while providing nonemergency medical </w:t>
      </w:r>
      <w:proofErr w:type="gramStart"/>
      <w:r w:rsidRPr="005262A7">
        <w:rPr>
          <w:rFonts w:ascii="Times New Roman" w:hAnsi="Times New Roman"/>
          <w:sz w:val="24"/>
          <w:szCs w:val="24"/>
        </w:rPr>
        <w:t>services</w:t>
      </w:r>
      <w:r>
        <w:t>.”</w:t>
      </w:r>
      <w:proofErr w:type="gramEnd"/>
    </w:p>
    <w:p w14:paraId="76954412" w14:textId="77777777" w:rsidR="007105B3" w:rsidRDefault="007105B3" w:rsidP="007105B3">
      <w:pPr>
        <w:pStyle w:val="NoSpacing"/>
        <w:ind w:left="720"/>
      </w:pPr>
    </w:p>
    <w:p w14:paraId="5ACF48C8" w14:textId="0412504F" w:rsidR="001C563D" w:rsidRDefault="001C563D" w:rsidP="002B1283">
      <w:pPr>
        <w:rPr>
          <w:rFonts w:ascii="Arial Black" w:hAnsi="Arial Black"/>
          <w:b/>
          <w:bCs/>
          <w:sz w:val="28"/>
          <w:szCs w:val="28"/>
        </w:rPr>
      </w:pPr>
      <w:r>
        <w:rPr>
          <w:rFonts w:ascii="Arial Black" w:hAnsi="Arial Black"/>
          <w:b/>
          <w:bCs/>
          <w:sz w:val="28"/>
          <w:szCs w:val="28"/>
        </w:rPr>
        <w:t>13-</w:t>
      </w:r>
      <w:r w:rsidR="001A653A">
        <w:rPr>
          <w:rFonts w:ascii="Arial Black" w:hAnsi="Arial Black"/>
          <w:b/>
          <w:bCs/>
          <w:sz w:val="28"/>
          <w:szCs w:val="28"/>
        </w:rPr>
        <w:t>60</w:t>
      </w:r>
    </w:p>
    <w:p w14:paraId="24AED9DB" w14:textId="77777777" w:rsidR="001C563D" w:rsidRDefault="001C563D" w:rsidP="001C563D">
      <w:pPr>
        <w:pStyle w:val="NoSpacing"/>
        <w:rPr>
          <w:rFonts w:ascii="Arial Black" w:hAnsi="Arial Black"/>
          <w:sz w:val="28"/>
          <w:szCs w:val="28"/>
        </w:rPr>
      </w:pPr>
      <w:r w:rsidRPr="00371841">
        <w:rPr>
          <w:rFonts w:ascii="Arial Black" w:hAnsi="Arial Black"/>
          <w:sz w:val="28"/>
          <w:szCs w:val="28"/>
        </w:rPr>
        <w:t xml:space="preserve">MD: </w:t>
      </w:r>
      <w:r>
        <w:rPr>
          <w:rFonts w:ascii="Arial Black" w:hAnsi="Arial Black"/>
          <w:sz w:val="28"/>
          <w:szCs w:val="28"/>
        </w:rPr>
        <w:t xml:space="preserve"> EMS GAVE NARCAN TO UNCONSCIOUS 21-YR-OLD –STAUTORY IMMUNITY, NO GROSS NEGLIGENCE – NO HARM</w:t>
      </w:r>
    </w:p>
    <w:p w14:paraId="62E863C6" w14:textId="77777777" w:rsidR="001C563D" w:rsidRDefault="001C563D" w:rsidP="001C563D">
      <w:pPr>
        <w:pStyle w:val="NoSpacing"/>
        <w:rPr>
          <w:rFonts w:ascii="Times New Roman" w:hAnsi="Times New Roman"/>
          <w:sz w:val="24"/>
          <w:szCs w:val="24"/>
        </w:rPr>
      </w:pPr>
    </w:p>
    <w:p w14:paraId="1939C023" w14:textId="20D05FBD" w:rsidR="001C563D" w:rsidRDefault="001C563D" w:rsidP="001C563D">
      <w:pPr>
        <w:pStyle w:val="NoSpacing"/>
        <w:rPr>
          <w:rFonts w:ascii="Times New Roman" w:hAnsi="Times New Roman"/>
          <w:sz w:val="24"/>
          <w:szCs w:val="24"/>
        </w:rPr>
      </w:pPr>
      <w:r w:rsidRPr="00E03396">
        <w:rPr>
          <w:rFonts w:ascii="Times New Roman" w:hAnsi="Times New Roman"/>
          <w:sz w:val="24"/>
          <w:szCs w:val="24"/>
        </w:rPr>
        <w:t xml:space="preserve">On </w:t>
      </w:r>
      <w:r>
        <w:rPr>
          <w:rFonts w:ascii="Times New Roman" w:hAnsi="Times New Roman"/>
          <w:sz w:val="24"/>
          <w:szCs w:val="24"/>
        </w:rPr>
        <w:t xml:space="preserve">June 16, 2020, in </w:t>
      </w:r>
      <w:r w:rsidRPr="00E03396">
        <w:rPr>
          <w:rFonts w:ascii="Times New Roman" w:hAnsi="Times New Roman"/>
          <w:sz w:val="24"/>
          <w:szCs w:val="24"/>
          <w:u w:val="single"/>
        </w:rPr>
        <w:t>Octavia T. Coit v. Nicole Nappi, et al</w:t>
      </w:r>
      <w:r>
        <w:rPr>
          <w:rFonts w:ascii="Times New Roman" w:hAnsi="Times New Roman"/>
          <w:sz w:val="24"/>
          <w:szCs w:val="24"/>
        </w:rPr>
        <w:t>., the Court of Special Appeals of Maryland (unreported decision), held that the Paramedic, the EMT, and Baltimore County were all properly dismissed from this lawsuit by the trial judge.  The Court ruled: “</w:t>
      </w:r>
      <w:r w:rsidRPr="00E03396">
        <w:rPr>
          <w:rFonts w:ascii="Times New Roman" w:hAnsi="Times New Roman"/>
          <w:sz w:val="24"/>
          <w:szCs w:val="24"/>
        </w:rPr>
        <w:t>Paramedic Nappi and EMT Jackson are entitled to statutory immunity based on</w:t>
      </w:r>
    </w:p>
    <w:p w14:paraId="578CCD04" w14:textId="77777777" w:rsidR="001C563D" w:rsidRPr="00E03396" w:rsidRDefault="001C563D" w:rsidP="001C563D">
      <w:pPr>
        <w:pStyle w:val="NoSpacing"/>
        <w:rPr>
          <w:rFonts w:ascii="Times New Roman" w:eastAsia="Times New Roman" w:hAnsi="Times New Roman"/>
          <w:b/>
          <w:bCs/>
          <w:sz w:val="24"/>
          <w:szCs w:val="24"/>
        </w:rPr>
      </w:pPr>
      <w:r w:rsidRPr="00E03396">
        <w:rPr>
          <w:rFonts w:ascii="Times New Roman" w:hAnsi="Times New Roman"/>
          <w:sz w:val="24"/>
          <w:szCs w:val="24"/>
        </w:rPr>
        <w:t>the Good Samaritan Act and the Fire &amp; Rescue Companies Act because their conduct was neither willful nor grossly negligent. Baltimore County is entitled to governmental immunity under the [LGTCA]because there is no basis for any direct claims against it.</w:t>
      </w:r>
      <w:r>
        <w:t xml:space="preserve"> *** </w:t>
      </w:r>
      <w:r w:rsidRPr="00E03396">
        <w:rPr>
          <w:rFonts w:ascii="Times New Roman" w:hAnsi="Times New Roman"/>
          <w:sz w:val="24"/>
          <w:szCs w:val="24"/>
        </w:rPr>
        <w:t>[</w:t>
      </w:r>
      <w:r>
        <w:rPr>
          <w:rFonts w:ascii="Times New Roman" w:hAnsi="Times New Roman"/>
          <w:sz w:val="24"/>
          <w:szCs w:val="24"/>
        </w:rPr>
        <w:t>Plaintiffs] c</w:t>
      </w:r>
      <w:r w:rsidRPr="00E03396">
        <w:rPr>
          <w:rFonts w:ascii="Times New Roman" w:hAnsi="Times New Roman"/>
          <w:sz w:val="24"/>
          <w:szCs w:val="24"/>
        </w:rPr>
        <w:t>ontend that the administration of Narcan was unnecessary because there was no specific indication that Mr. Coit was experiencing an opioid overdose. The Court understands and appreciates Mr. Coit’s family’s concern over a misperception that he was using drugs. The evidence demonstrates, however, that, regardless of how unnecessary the administration of Narcan may have been, there are no applicable contraindications for someone who did not overdose on opioids, and that Narcan does not otherwise harm someone to whom it is administered. Even if Paramedic Nappi and EMT Jackson were, in some way, negligent in their assessment and treatment of Mr. Coit, which the Court is not suggesting, there is not sufficient evidence of gross negligence regarding their post-arrival conduct.</w:t>
      </w:r>
      <w:r>
        <w:rPr>
          <w:rFonts w:ascii="Times New Roman" w:hAnsi="Times New Roman"/>
          <w:sz w:val="24"/>
          <w:szCs w:val="24"/>
        </w:rPr>
        <w:t>”</w:t>
      </w:r>
    </w:p>
    <w:p w14:paraId="4FA1E52C" w14:textId="77777777" w:rsidR="001C563D" w:rsidRPr="00E03396" w:rsidRDefault="001C563D" w:rsidP="001C563D">
      <w:pPr>
        <w:pStyle w:val="NoSpacing"/>
        <w:rPr>
          <w:rFonts w:ascii="Times New Roman" w:hAnsi="Times New Roman"/>
          <w:sz w:val="24"/>
          <w:szCs w:val="24"/>
        </w:rPr>
      </w:pPr>
      <w:r>
        <w:t xml:space="preserve"> </w:t>
      </w:r>
      <w:hyperlink r:id="rId2305" w:history="1">
        <w:r w:rsidRPr="00E03396">
          <w:rPr>
            <w:rStyle w:val="Hyperlink"/>
            <w:rFonts w:ascii="Times New Roman" w:hAnsi="Times New Roman"/>
            <w:sz w:val="24"/>
            <w:szCs w:val="24"/>
          </w:rPr>
          <w:t>https://www.courts.state.md.us/sites/default/files/unreported-opinions/0318s19.pdf</w:t>
        </w:r>
      </w:hyperlink>
      <w:r w:rsidRPr="00E03396">
        <w:rPr>
          <w:rFonts w:ascii="Times New Roman" w:hAnsi="Times New Roman"/>
          <w:sz w:val="24"/>
          <w:szCs w:val="24"/>
        </w:rPr>
        <w:t xml:space="preserve"> </w:t>
      </w:r>
      <w:hyperlink r:id="rId2306" w:history="1">
        <w:r w:rsidR="00814FB6">
          <w:rPr>
            <w:rStyle w:val="Hyperlink"/>
          </w:rPr>
          <w:t>https://www.courts.state.md.us/sites/default/files/unreported-opinions/0318s19.pdf</w:t>
        </w:r>
      </w:hyperlink>
      <w:r w:rsidRPr="00E03396">
        <w:rPr>
          <w:rFonts w:ascii="Times New Roman" w:hAnsi="Times New Roman"/>
          <w:sz w:val="24"/>
          <w:szCs w:val="24"/>
        </w:rPr>
        <w:t xml:space="preserve">  </w:t>
      </w:r>
    </w:p>
    <w:p w14:paraId="16D25F05" w14:textId="77777777" w:rsidR="001C563D" w:rsidRDefault="001C563D" w:rsidP="001C563D">
      <w:pPr>
        <w:pStyle w:val="NoSpacing"/>
        <w:rPr>
          <w:rFonts w:ascii="Times New Roman" w:hAnsi="Times New Roman"/>
          <w:b/>
          <w:bCs/>
          <w:sz w:val="24"/>
          <w:szCs w:val="24"/>
        </w:rPr>
      </w:pPr>
    </w:p>
    <w:p w14:paraId="5CE3BCE5" w14:textId="78635C21" w:rsidR="001C563D" w:rsidRPr="00E03396" w:rsidRDefault="001C563D" w:rsidP="001C563D">
      <w:pPr>
        <w:pStyle w:val="NoSpacing"/>
        <w:rPr>
          <w:rFonts w:ascii="Times New Roman" w:hAnsi="Times New Roman"/>
          <w:b/>
          <w:bCs/>
          <w:sz w:val="24"/>
          <w:szCs w:val="24"/>
        </w:rPr>
      </w:pPr>
      <w:r w:rsidRPr="00E03396">
        <w:rPr>
          <w:rFonts w:ascii="Times New Roman" w:hAnsi="Times New Roman"/>
          <w:b/>
          <w:bCs/>
          <w:sz w:val="24"/>
          <w:szCs w:val="24"/>
        </w:rPr>
        <w:t>Legal Lessons Learned:</w:t>
      </w:r>
      <w:r>
        <w:rPr>
          <w:rFonts w:ascii="Times New Roman" w:hAnsi="Times New Roman"/>
          <w:b/>
          <w:bCs/>
          <w:sz w:val="24"/>
          <w:szCs w:val="24"/>
        </w:rPr>
        <w:t xml:space="preserve"> Finding unconscious 21-year-old in basement, one can understand why EMS used Narcan. </w:t>
      </w:r>
    </w:p>
    <w:p w14:paraId="47D1F654" w14:textId="77777777" w:rsidR="001C563D" w:rsidRDefault="001C563D" w:rsidP="002B1283">
      <w:pPr>
        <w:rPr>
          <w:rFonts w:ascii="Arial Black" w:hAnsi="Arial Black"/>
          <w:b/>
          <w:bCs/>
          <w:sz w:val="28"/>
          <w:szCs w:val="28"/>
        </w:rPr>
      </w:pPr>
    </w:p>
    <w:p w14:paraId="6C68C17A" w14:textId="77777777" w:rsidR="001A653A" w:rsidRDefault="001A653A" w:rsidP="002B1283">
      <w:pPr>
        <w:rPr>
          <w:rFonts w:ascii="Arial Black" w:hAnsi="Arial Black"/>
          <w:b/>
          <w:bCs/>
          <w:sz w:val="28"/>
          <w:szCs w:val="28"/>
        </w:rPr>
      </w:pPr>
    </w:p>
    <w:p w14:paraId="0D71DCDD" w14:textId="0C2DDC67" w:rsidR="001A653A" w:rsidRDefault="001A653A" w:rsidP="002B1283">
      <w:pPr>
        <w:rPr>
          <w:rFonts w:ascii="Arial Black" w:hAnsi="Arial Black"/>
          <w:b/>
          <w:bCs/>
          <w:sz w:val="28"/>
          <w:szCs w:val="28"/>
        </w:rPr>
      </w:pPr>
      <w:r>
        <w:rPr>
          <w:rFonts w:ascii="Arial Black" w:hAnsi="Arial Black"/>
          <w:b/>
          <w:bCs/>
          <w:sz w:val="28"/>
          <w:szCs w:val="28"/>
        </w:rPr>
        <w:t>13-59</w:t>
      </w:r>
    </w:p>
    <w:p w14:paraId="3353DCAC" w14:textId="77777777" w:rsidR="001A653A" w:rsidRPr="00A32D63" w:rsidRDefault="001A653A" w:rsidP="001A653A">
      <w:pPr>
        <w:spacing w:before="100" w:beforeAutospacing="1" w:after="100" w:afterAutospacing="1" w:line="240" w:lineRule="auto"/>
        <w:rPr>
          <w:rFonts w:ascii="Arial Black" w:hAnsi="Arial Black" w:cs="Arial"/>
          <w:sz w:val="28"/>
          <w:szCs w:val="28"/>
        </w:rPr>
      </w:pPr>
      <w:r w:rsidRPr="00A32D63">
        <w:rPr>
          <w:rFonts w:ascii="Arial Black" w:hAnsi="Arial Black" w:cs="Arial"/>
          <w:sz w:val="28"/>
          <w:szCs w:val="28"/>
        </w:rPr>
        <w:t xml:space="preserve">TX: PARAMEDIC </w:t>
      </w:r>
      <w:r>
        <w:rPr>
          <w:rFonts w:ascii="Arial Black" w:hAnsi="Arial Black" w:cs="Arial"/>
          <w:sz w:val="28"/>
          <w:szCs w:val="28"/>
        </w:rPr>
        <w:t xml:space="preserve">IN </w:t>
      </w:r>
      <w:r w:rsidRPr="00A32D63">
        <w:rPr>
          <w:rFonts w:ascii="Arial Black" w:hAnsi="Arial Black" w:cs="Arial"/>
          <w:sz w:val="28"/>
          <w:szCs w:val="28"/>
        </w:rPr>
        <w:t xml:space="preserve">BACK </w:t>
      </w:r>
      <w:r>
        <w:rPr>
          <w:rFonts w:ascii="Arial Black" w:hAnsi="Arial Black" w:cs="Arial"/>
          <w:sz w:val="28"/>
          <w:szCs w:val="28"/>
        </w:rPr>
        <w:t xml:space="preserve">OF </w:t>
      </w:r>
      <w:r w:rsidRPr="00A32D63">
        <w:rPr>
          <w:rFonts w:ascii="Arial Black" w:hAnsi="Arial Black" w:cs="Arial"/>
          <w:sz w:val="28"/>
          <w:szCs w:val="28"/>
        </w:rPr>
        <w:t>AMBULANCE –</w:t>
      </w:r>
      <w:r>
        <w:rPr>
          <w:rFonts w:ascii="Arial Black" w:hAnsi="Arial Black" w:cs="Arial"/>
          <w:sz w:val="28"/>
          <w:szCs w:val="28"/>
        </w:rPr>
        <w:t xml:space="preserve"> SEVERELY INJURED - </w:t>
      </w:r>
      <w:r w:rsidRPr="00A32D63">
        <w:rPr>
          <w:rFonts w:ascii="Arial Black" w:hAnsi="Arial Black" w:cs="Arial"/>
          <w:sz w:val="28"/>
          <w:szCs w:val="28"/>
        </w:rPr>
        <w:t xml:space="preserve">OVERWEIGHT </w:t>
      </w:r>
      <w:r>
        <w:rPr>
          <w:rFonts w:ascii="Arial Black" w:hAnsi="Arial Black" w:cs="Arial"/>
          <w:sz w:val="28"/>
          <w:szCs w:val="28"/>
        </w:rPr>
        <w:t xml:space="preserve">TRUCK DUMPED LOAD </w:t>
      </w:r>
      <w:r w:rsidRPr="00A32D63">
        <w:rPr>
          <w:rFonts w:ascii="Arial Black" w:hAnsi="Arial Black" w:cs="Arial"/>
          <w:sz w:val="28"/>
          <w:szCs w:val="28"/>
        </w:rPr>
        <w:t>– MENTAL ANGUISH</w:t>
      </w:r>
    </w:p>
    <w:p w14:paraId="33457BD7" w14:textId="77777777" w:rsidR="001A653A" w:rsidRPr="00344E23" w:rsidRDefault="001A653A" w:rsidP="001A653A">
      <w:pPr>
        <w:spacing w:before="100" w:beforeAutospacing="1" w:after="100" w:afterAutospacing="1" w:line="240" w:lineRule="auto"/>
        <w:rPr>
          <w:rFonts w:ascii="Times New Roman" w:hAnsi="Times New Roman"/>
          <w:sz w:val="24"/>
          <w:szCs w:val="24"/>
        </w:rPr>
      </w:pPr>
      <w:r w:rsidRPr="00A32D63">
        <w:rPr>
          <w:rFonts w:ascii="Times New Roman" w:hAnsi="Times New Roman"/>
          <w:sz w:val="24"/>
          <w:szCs w:val="24"/>
        </w:rPr>
        <w:t xml:space="preserve">On </w:t>
      </w:r>
      <w:r>
        <w:rPr>
          <w:rFonts w:ascii="Times New Roman" w:hAnsi="Times New Roman"/>
          <w:sz w:val="24"/>
          <w:szCs w:val="24"/>
        </w:rPr>
        <w:t xml:space="preserve">June 4, 2020, in </w:t>
      </w:r>
      <w:r w:rsidRPr="00A32D63">
        <w:rPr>
          <w:rFonts w:ascii="Times New Roman" w:hAnsi="Times New Roman"/>
          <w:sz w:val="24"/>
          <w:szCs w:val="24"/>
          <w:u w:val="single"/>
        </w:rPr>
        <w:t>Julio Edwin Martinez; Lone Star Disposal (Texas), LLC; and Lone Star Disposal, L.P. v. Jennifer Kwas</w:t>
      </w:r>
      <w:r>
        <w:rPr>
          <w:rFonts w:ascii="Times New Roman" w:hAnsi="Times New Roman"/>
          <w:sz w:val="24"/>
          <w:szCs w:val="24"/>
        </w:rPr>
        <w:t xml:space="preserve">, the Court of Appeals for the First District of Texas held (3 to 0) that the civil jury verdict in favor of Paramedic Kwas is affirmed: $1.1 million, including $700,000 for future pain and mental anguish, and $250,000 in punitive damages for gross negligence of Lone Star.  A paramedic for 26 </w:t>
      </w:r>
      <w:proofErr w:type="gramStart"/>
      <w:r>
        <w:rPr>
          <w:rFonts w:ascii="Times New Roman" w:hAnsi="Times New Roman"/>
          <w:sz w:val="24"/>
          <w:szCs w:val="24"/>
        </w:rPr>
        <w:t>year</w:t>
      </w:r>
      <w:proofErr w:type="gramEnd"/>
      <w:r>
        <w:rPr>
          <w:rFonts w:ascii="Times New Roman" w:hAnsi="Times New Roman"/>
          <w:sz w:val="24"/>
          <w:szCs w:val="24"/>
        </w:rPr>
        <w:t xml:space="preserve">, the mental anguish led her to resign as a medic. The Court wrote: </w:t>
      </w:r>
      <w:r w:rsidRPr="00344E23">
        <w:rPr>
          <w:rFonts w:ascii="Times New Roman" w:hAnsi="Times New Roman"/>
          <w:sz w:val="24"/>
          <w:szCs w:val="24"/>
        </w:rPr>
        <w:t>We conclude that the evidence presented at trial supports a conclusion that the jury could have formed a firm belief or conviction that Lone Star was grossly negligent in its training and supervision of its drivers, including Martinez.</w:t>
      </w:r>
      <w:r>
        <w:rPr>
          <w:rFonts w:ascii="Times New Roman" w:hAnsi="Times New Roman"/>
          <w:sz w:val="24"/>
          <w:szCs w:val="24"/>
        </w:rPr>
        <w:t xml:space="preserve">”  </w:t>
      </w:r>
      <w:hyperlink r:id="rId2307" w:history="1">
        <w:r w:rsidRPr="000603D4">
          <w:rPr>
            <w:rStyle w:val="Hyperlink"/>
            <w:rFonts w:ascii="Times New Roman" w:hAnsi="Times New Roman"/>
            <w:sz w:val="24"/>
            <w:szCs w:val="24"/>
          </w:rPr>
          <w:t>https://www.txcourts.gov/media/1447243/181085f-1.pdf</w:t>
        </w:r>
      </w:hyperlink>
      <w:r>
        <w:rPr>
          <w:rFonts w:ascii="Times New Roman" w:hAnsi="Times New Roman"/>
          <w:sz w:val="24"/>
          <w:szCs w:val="24"/>
        </w:rPr>
        <w:t xml:space="preserve"> </w:t>
      </w:r>
    </w:p>
    <w:p w14:paraId="77F9B221" w14:textId="77777777" w:rsidR="001A653A" w:rsidRDefault="001A653A" w:rsidP="001A653A">
      <w:pPr>
        <w:pStyle w:val="NoSpacing"/>
        <w:rPr>
          <w:rFonts w:ascii="Times New Roman" w:hAnsi="Times New Roman"/>
          <w:b/>
          <w:bCs/>
          <w:sz w:val="24"/>
          <w:szCs w:val="24"/>
        </w:rPr>
      </w:pPr>
      <w:r w:rsidRPr="00384185">
        <w:rPr>
          <w:rFonts w:ascii="Times New Roman" w:hAnsi="Times New Roman"/>
          <w:b/>
          <w:bCs/>
          <w:sz w:val="24"/>
          <w:szCs w:val="24"/>
        </w:rPr>
        <w:t xml:space="preserve">Legal Lesson Learned: The unrestrained paramedic suffered terrible physical and mental injury; see article on restraint systems for EMS in the back of the box. </w:t>
      </w:r>
    </w:p>
    <w:p w14:paraId="4133911A" w14:textId="77777777" w:rsidR="001A653A" w:rsidRDefault="001A653A" w:rsidP="001A653A">
      <w:pPr>
        <w:pStyle w:val="NoSpacing"/>
        <w:rPr>
          <w:rFonts w:ascii="Times New Roman" w:hAnsi="Times New Roman"/>
          <w:b/>
          <w:bCs/>
          <w:sz w:val="24"/>
          <w:szCs w:val="24"/>
        </w:rPr>
      </w:pPr>
    </w:p>
    <w:p w14:paraId="725268AF" w14:textId="77777777" w:rsidR="001A653A" w:rsidRPr="00384185" w:rsidRDefault="001A653A" w:rsidP="001A653A">
      <w:pPr>
        <w:pStyle w:val="NoSpacing"/>
        <w:ind w:left="720"/>
        <w:rPr>
          <w:rFonts w:ascii="Times New Roman" w:hAnsi="Times New Roman"/>
          <w:sz w:val="24"/>
          <w:szCs w:val="24"/>
        </w:rPr>
      </w:pPr>
      <w:r w:rsidRPr="00384185">
        <w:rPr>
          <w:rFonts w:ascii="Times New Roman" w:hAnsi="Times New Roman"/>
          <w:sz w:val="24"/>
          <w:szCs w:val="24"/>
        </w:rPr>
        <w:t xml:space="preserve">Note:  </w:t>
      </w:r>
      <w:r>
        <w:rPr>
          <w:rFonts w:ascii="Times New Roman" w:hAnsi="Times New Roman"/>
          <w:sz w:val="24"/>
          <w:szCs w:val="24"/>
        </w:rPr>
        <w:t xml:space="preserve">Several new restraint products </w:t>
      </w:r>
      <w:proofErr w:type="gramStart"/>
      <w:r>
        <w:rPr>
          <w:rFonts w:ascii="Times New Roman" w:hAnsi="Times New Roman"/>
          <w:sz w:val="24"/>
          <w:szCs w:val="24"/>
        </w:rPr>
        <w:t>now</w:t>
      </w:r>
      <w:proofErr w:type="gramEnd"/>
      <w:r>
        <w:rPr>
          <w:rFonts w:ascii="Times New Roman" w:hAnsi="Times New Roman"/>
          <w:sz w:val="24"/>
          <w:szCs w:val="24"/>
        </w:rPr>
        <w:t xml:space="preserve"> on the market.  For example, see this: “</w:t>
      </w:r>
      <w:r w:rsidRPr="00384185">
        <w:rPr>
          <w:rStyle w:val="field"/>
          <w:rFonts w:ascii="Times New Roman" w:hAnsi="Times New Roman"/>
          <w:sz w:val="24"/>
          <w:szCs w:val="24"/>
        </w:rPr>
        <w:t xml:space="preserve">IMMI Launches Per4Max Restraint for EMS Providers (May 3, 2019): </w:t>
      </w:r>
      <w:r w:rsidRPr="00384185">
        <w:rPr>
          <w:rFonts w:ascii="Times New Roman" w:hAnsi="Times New Roman"/>
          <w:sz w:val="24"/>
          <w:szCs w:val="24"/>
        </w:rPr>
        <w:t xml:space="preserve">An estimated 4,500 ambulances are involved in accidents every year, but 84% of emergency medical technicians do not wear their seat belts because they restrict movement while treating a patient.* IMMI’s Per4Max allows them to reach, stretch, and even stand up in their restraint if necessary. Patient safety is also improved when EMTs buckle up. They remain restrained in an accident and not thrown around the interior of the vehicle, possibly injuring the patient further.” </w:t>
      </w:r>
      <w:hyperlink r:id="rId2308" w:history="1">
        <w:r w:rsidRPr="00384185">
          <w:rPr>
            <w:rStyle w:val="Hyperlink"/>
            <w:rFonts w:ascii="Times New Roman" w:hAnsi="Times New Roman"/>
            <w:sz w:val="24"/>
            <w:szCs w:val="24"/>
          </w:rPr>
          <w:t>https://www.emsworld.com/press-release/1222611/immi-launches-per4max-restraint-ems-providers</w:t>
        </w:r>
      </w:hyperlink>
      <w:r w:rsidRPr="00384185">
        <w:rPr>
          <w:rFonts w:ascii="Times New Roman" w:hAnsi="Times New Roman"/>
          <w:sz w:val="24"/>
          <w:szCs w:val="24"/>
        </w:rPr>
        <w:t xml:space="preserve"> </w:t>
      </w:r>
    </w:p>
    <w:p w14:paraId="5E870466" w14:textId="77777777" w:rsidR="001A653A" w:rsidRPr="00384185" w:rsidRDefault="001A653A" w:rsidP="001A653A">
      <w:pPr>
        <w:spacing w:before="100" w:beforeAutospacing="1" w:after="100" w:afterAutospacing="1" w:line="240" w:lineRule="auto"/>
        <w:rPr>
          <w:rFonts w:ascii="Times New Roman" w:hAnsi="Times New Roman"/>
          <w:sz w:val="24"/>
          <w:szCs w:val="24"/>
        </w:rPr>
      </w:pPr>
    </w:p>
    <w:p w14:paraId="566D1F3A" w14:textId="77777777" w:rsidR="001A653A" w:rsidRDefault="001A653A" w:rsidP="002B1283">
      <w:pPr>
        <w:rPr>
          <w:rFonts w:ascii="Arial Black" w:hAnsi="Arial Black"/>
          <w:b/>
          <w:bCs/>
          <w:sz w:val="28"/>
          <w:szCs w:val="28"/>
        </w:rPr>
      </w:pPr>
    </w:p>
    <w:p w14:paraId="07D22898" w14:textId="77777777" w:rsidR="001A653A" w:rsidRDefault="001A653A" w:rsidP="002B1283">
      <w:pPr>
        <w:rPr>
          <w:rFonts w:ascii="Arial Black" w:hAnsi="Arial Black"/>
          <w:b/>
          <w:bCs/>
          <w:sz w:val="28"/>
          <w:szCs w:val="28"/>
        </w:rPr>
      </w:pPr>
    </w:p>
    <w:p w14:paraId="552EC25D" w14:textId="6432B18C" w:rsidR="007105B3" w:rsidRDefault="001C563D" w:rsidP="002B1283">
      <w:pPr>
        <w:rPr>
          <w:rFonts w:ascii="Arial Black" w:hAnsi="Arial Black"/>
          <w:b/>
          <w:bCs/>
          <w:sz w:val="28"/>
          <w:szCs w:val="28"/>
        </w:rPr>
      </w:pPr>
      <w:r>
        <w:rPr>
          <w:rFonts w:ascii="Arial Black" w:hAnsi="Arial Black"/>
          <w:b/>
          <w:bCs/>
          <w:sz w:val="28"/>
          <w:szCs w:val="28"/>
        </w:rPr>
        <w:t>13-58</w:t>
      </w:r>
    </w:p>
    <w:p w14:paraId="426DF34E" w14:textId="77777777" w:rsidR="001C563D" w:rsidRPr="00D67C96" w:rsidRDefault="001C563D" w:rsidP="001C563D">
      <w:pPr>
        <w:pStyle w:val="NormalWeb"/>
        <w:rPr>
          <w:rFonts w:ascii="Arial Black" w:hAnsi="Arial Black"/>
          <w:sz w:val="28"/>
          <w:szCs w:val="28"/>
        </w:rPr>
      </w:pPr>
      <w:r w:rsidRPr="00D67C96">
        <w:rPr>
          <w:rFonts w:ascii="Arial Black" w:hAnsi="Arial Black"/>
          <w:sz w:val="28"/>
          <w:szCs w:val="28"/>
        </w:rPr>
        <w:t xml:space="preserve">NY: </w:t>
      </w:r>
      <w:r>
        <w:rPr>
          <w:rFonts w:ascii="Arial Black" w:hAnsi="Arial Black"/>
          <w:sz w:val="28"/>
          <w:szCs w:val="28"/>
        </w:rPr>
        <w:t>PROB. EMT FIRED BY HOSPITAL – POOR AMBUL. CHECKS, COMPLAINTS – APPENDICITIS NOT A “DISABILITY”</w:t>
      </w:r>
    </w:p>
    <w:p w14:paraId="0F1BC33E" w14:textId="4A76B4CD" w:rsidR="001C563D" w:rsidRPr="008E15F3" w:rsidRDefault="001C563D" w:rsidP="001C563D">
      <w:pPr>
        <w:pStyle w:val="NoSpacing"/>
        <w:rPr>
          <w:rFonts w:ascii="Times New Roman" w:eastAsia="Times New Roman" w:hAnsi="Times New Roman"/>
          <w:sz w:val="24"/>
          <w:szCs w:val="24"/>
        </w:rPr>
      </w:pPr>
      <w:r w:rsidRPr="008E15F3">
        <w:rPr>
          <w:rFonts w:ascii="Times New Roman" w:hAnsi="Times New Roman"/>
          <w:sz w:val="24"/>
          <w:szCs w:val="24"/>
        </w:rPr>
        <w:t xml:space="preserve">On June 1, 2020, in </w:t>
      </w:r>
      <w:r w:rsidRPr="008E15F3">
        <w:rPr>
          <w:rFonts w:ascii="Times New Roman" w:hAnsi="Times New Roman"/>
          <w:sz w:val="24"/>
          <w:szCs w:val="24"/>
          <w:u w:val="single"/>
        </w:rPr>
        <w:t>Christopher Vargas v. The St. Luke’s-Roosevelt Hospital Center</w:t>
      </w:r>
      <w:r w:rsidRPr="008E15F3">
        <w:rPr>
          <w:rFonts w:ascii="Times New Roman" w:hAnsi="Times New Roman"/>
          <w:sz w:val="24"/>
          <w:szCs w:val="24"/>
        </w:rPr>
        <w:t xml:space="preserve">, U.S. District Court Judge J. Pail Oetken, U.S. District Court for Southern District of New York, granted the Hospital’s motion for summary judgment; the hospital had fired the probationary </w:t>
      </w:r>
      <w:r>
        <w:rPr>
          <w:rFonts w:ascii="Times New Roman" w:hAnsi="Times New Roman"/>
          <w:sz w:val="24"/>
          <w:szCs w:val="24"/>
        </w:rPr>
        <w:t xml:space="preserve">part-time </w:t>
      </w:r>
      <w:r w:rsidRPr="008E15F3">
        <w:rPr>
          <w:rFonts w:ascii="Times New Roman" w:hAnsi="Times New Roman"/>
          <w:sz w:val="24"/>
          <w:szCs w:val="24"/>
        </w:rPr>
        <w:t xml:space="preserve">EMT for </w:t>
      </w:r>
      <w:r>
        <w:rPr>
          <w:rFonts w:ascii="Times New Roman" w:hAnsi="Times New Roman"/>
          <w:sz w:val="24"/>
          <w:szCs w:val="24"/>
        </w:rPr>
        <w:t xml:space="preserve">not completing ambulance equipment checks, and </w:t>
      </w:r>
      <w:r w:rsidRPr="008E15F3">
        <w:rPr>
          <w:rFonts w:ascii="Times New Roman" w:hAnsi="Times New Roman"/>
          <w:sz w:val="24"/>
          <w:szCs w:val="24"/>
        </w:rPr>
        <w:t>complaints from co-workers</w:t>
      </w:r>
      <w:r>
        <w:rPr>
          <w:rFonts w:ascii="Times New Roman" w:hAnsi="Times New Roman"/>
          <w:sz w:val="24"/>
          <w:szCs w:val="24"/>
        </w:rPr>
        <w:t xml:space="preserve">.  Prior to being fired to </w:t>
      </w:r>
      <w:proofErr w:type="gramStart"/>
      <w:r>
        <w:rPr>
          <w:rFonts w:ascii="Times New Roman" w:hAnsi="Times New Roman"/>
          <w:sz w:val="24"/>
          <w:szCs w:val="24"/>
        </w:rPr>
        <w:t>told</w:t>
      </w:r>
      <w:proofErr w:type="gramEnd"/>
      <w:r>
        <w:rPr>
          <w:rFonts w:ascii="Times New Roman" w:hAnsi="Times New Roman"/>
          <w:sz w:val="24"/>
          <w:szCs w:val="24"/>
        </w:rPr>
        <w:t xml:space="preserve"> his manager</w:t>
      </w:r>
      <w:r w:rsidRPr="008E15F3">
        <w:rPr>
          <w:rFonts w:ascii="Times New Roman" w:hAnsi="Times New Roman"/>
          <w:sz w:val="24"/>
          <w:szCs w:val="24"/>
        </w:rPr>
        <w:t xml:space="preserve"> </w:t>
      </w:r>
      <w:r>
        <w:rPr>
          <w:rFonts w:ascii="Times New Roman" w:hAnsi="Times New Roman"/>
          <w:sz w:val="24"/>
          <w:szCs w:val="24"/>
        </w:rPr>
        <w:t xml:space="preserve">he had recently had appendix removed; hospital had already </w:t>
      </w:r>
      <w:r w:rsidRPr="008E15F3">
        <w:rPr>
          <w:rFonts w:ascii="Times New Roman" w:hAnsi="Times New Roman"/>
          <w:sz w:val="24"/>
          <w:szCs w:val="24"/>
        </w:rPr>
        <w:t>made t</w:t>
      </w:r>
      <w:r>
        <w:rPr>
          <w:rFonts w:ascii="Times New Roman" w:hAnsi="Times New Roman"/>
          <w:sz w:val="24"/>
          <w:szCs w:val="24"/>
        </w:rPr>
        <w:t xml:space="preserve">ermination </w:t>
      </w:r>
      <w:r w:rsidRPr="008E15F3">
        <w:rPr>
          <w:rFonts w:ascii="Times New Roman" w:hAnsi="Times New Roman"/>
          <w:sz w:val="24"/>
          <w:szCs w:val="24"/>
        </w:rPr>
        <w:t>decision</w:t>
      </w:r>
      <w:r>
        <w:rPr>
          <w:rFonts w:ascii="Times New Roman" w:hAnsi="Times New Roman"/>
          <w:sz w:val="24"/>
          <w:szCs w:val="24"/>
        </w:rPr>
        <w:t>.</w:t>
      </w:r>
      <w:r w:rsidRPr="008E15F3">
        <w:rPr>
          <w:rFonts w:ascii="Times New Roman" w:hAnsi="Times New Roman"/>
          <w:sz w:val="24"/>
          <w:szCs w:val="24"/>
        </w:rPr>
        <w:t xml:space="preserve"> The Judge wrote: “Here, the parties agree that ‘[a]s a result of his appendicitis, [Vargas] was hospitalized for only one day, able to return to work after one week, and able to work at ‘full physical activity’ after two months.’ … Vargas's doctor further instructed him he could not engage in heavy lifting during the period in which he was to refrain from ‘full physical activity.’ … Such a short-term impairment, absent long-term impact, is insufficient to qualify as substantially limiting a major life activity, as required to qualify as a disability under the ADA. *** </w:t>
      </w:r>
      <w:r w:rsidRPr="008E15F3">
        <w:rPr>
          <w:rFonts w:ascii="Times New Roman" w:eastAsia="Times New Roman" w:hAnsi="Times New Roman"/>
          <w:sz w:val="24"/>
          <w:szCs w:val="24"/>
        </w:rPr>
        <w:t xml:space="preserve">Summary judgment is also warranted on </w:t>
      </w:r>
      <w:proofErr w:type="gramStart"/>
      <w:r w:rsidRPr="008E15F3">
        <w:rPr>
          <w:rFonts w:ascii="Times New Roman" w:eastAsia="Times New Roman" w:hAnsi="Times New Roman"/>
          <w:sz w:val="24"/>
          <w:szCs w:val="24"/>
        </w:rPr>
        <w:t>an independent ground</w:t>
      </w:r>
      <w:proofErr w:type="gramEnd"/>
      <w:r w:rsidRPr="008E15F3">
        <w:rPr>
          <w:rFonts w:ascii="Times New Roman" w:eastAsia="Times New Roman" w:hAnsi="Times New Roman"/>
          <w:sz w:val="24"/>
          <w:szCs w:val="24"/>
        </w:rPr>
        <w:t xml:space="preserve">: there is no genuine dispute that the decision to terminate Vargas was made before his employer was aware of his appendectomy. The parties agree that Mendoza decided to terminate Vargas in late May or the first few days of June due to his co-workers' complaints and his performance problems. Pl. 56.1 ¶ 59 (citing RM Tr. 27) ("At some point in late May or the first </w:t>
      </w:r>
      <w:proofErr w:type="gramStart"/>
      <w:r w:rsidRPr="008E15F3">
        <w:rPr>
          <w:rFonts w:ascii="Times New Roman" w:eastAsia="Times New Roman" w:hAnsi="Times New Roman"/>
          <w:sz w:val="24"/>
          <w:szCs w:val="24"/>
        </w:rPr>
        <w:t>few of</w:t>
      </w:r>
      <w:proofErr w:type="gramEnd"/>
      <w:r w:rsidRPr="008E15F3">
        <w:rPr>
          <w:rFonts w:ascii="Times New Roman" w:eastAsia="Times New Roman" w:hAnsi="Times New Roman"/>
          <w:sz w:val="24"/>
          <w:szCs w:val="24"/>
        </w:rPr>
        <w:t xml:space="preserve"> days of June 2015, Mendoza decided that Vargas should not pass probation and that he should be terminated because of the co-worker complaints and Vargas's poor performance."). The parties also agree that Defendants did not become aware of Vargas's appendectomy until June 5, 2015. </w:t>
      </w:r>
      <w:r w:rsidRPr="008E15F3">
        <w:rPr>
          <w:rFonts w:ascii="Times New Roman" w:eastAsia="Times New Roman" w:hAnsi="Times New Roman"/>
          <w:i/>
          <w:iCs/>
          <w:sz w:val="24"/>
          <w:szCs w:val="24"/>
        </w:rPr>
        <w:t>Id</w:t>
      </w:r>
      <w:r w:rsidRPr="008E15F3">
        <w:rPr>
          <w:rFonts w:ascii="Times New Roman" w:eastAsia="Times New Roman" w:hAnsi="Times New Roman"/>
          <w:sz w:val="24"/>
          <w:szCs w:val="24"/>
        </w:rPr>
        <w:t>. ¶ 68 (citing RM Tr. 27; Mendoza I Decl. ¶ 2(a)). Because the decision to terminate Vargas was made before Defendants were aware of his appendectomy, the evidence fails to support a causal relationship necessary to prevail on either a failure to accommodate or discrimination claim under the ADA.</w:t>
      </w:r>
    </w:p>
    <w:p w14:paraId="371DD513" w14:textId="77777777" w:rsidR="001C563D" w:rsidRPr="008E15F3" w:rsidRDefault="001C563D" w:rsidP="001C563D">
      <w:pPr>
        <w:pStyle w:val="NoSpacing"/>
        <w:rPr>
          <w:rFonts w:ascii="Times New Roman" w:hAnsi="Times New Roman"/>
          <w:sz w:val="24"/>
          <w:szCs w:val="24"/>
        </w:rPr>
      </w:pPr>
      <w:hyperlink r:id="rId2309" w:history="1">
        <w:r w:rsidRPr="008E15F3">
          <w:rPr>
            <w:rStyle w:val="Hyperlink"/>
            <w:rFonts w:ascii="Times New Roman" w:hAnsi="Times New Roman"/>
            <w:sz w:val="24"/>
            <w:szCs w:val="24"/>
          </w:rPr>
          <w:t>https://public.fastcase.com/Wl%2B2t%2BeVuI35%2FN70vAMFZpHUgoz3hp5Nx0V5b99AFirO%2BO19k2h0p4CgWny%2Fxn0a</w:t>
        </w:r>
      </w:hyperlink>
      <w:r w:rsidRPr="008E15F3">
        <w:rPr>
          <w:rFonts w:ascii="Times New Roman" w:hAnsi="Times New Roman"/>
          <w:sz w:val="24"/>
          <w:szCs w:val="24"/>
        </w:rPr>
        <w:t xml:space="preserve"> </w:t>
      </w:r>
    </w:p>
    <w:p w14:paraId="6356C0FF" w14:textId="77777777" w:rsidR="001C563D" w:rsidRDefault="001C563D" w:rsidP="001C563D">
      <w:pPr>
        <w:spacing w:before="100" w:beforeAutospacing="1" w:after="100" w:afterAutospacing="1" w:line="240" w:lineRule="auto"/>
        <w:rPr>
          <w:rFonts w:ascii="Times New Roman" w:eastAsia="Times New Roman" w:hAnsi="Times New Roman"/>
          <w:b/>
          <w:bCs/>
          <w:sz w:val="24"/>
          <w:szCs w:val="24"/>
        </w:rPr>
      </w:pPr>
      <w:r w:rsidRPr="00CD3D78">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Probationary employee not covered under the Collective Bargaining Agreement; ADA does not apply to short-term </w:t>
      </w:r>
      <w:proofErr w:type="gramStart"/>
      <w:r>
        <w:rPr>
          <w:rFonts w:ascii="Times New Roman" w:eastAsia="Times New Roman" w:hAnsi="Times New Roman"/>
          <w:b/>
          <w:bCs/>
          <w:sz w:val="24"/>
          <w:szCs w:val="24"/>
        </w:rPr>
        <w:t>illness</w:t>
      </w:r>
      <w:proofErr w:type="gramEnd"/>
      <w:r>
        <w:rPr>
          <w:rFonts w:ascii="Times New Roman" w:eastAsia="Times New Roman" w:hAnsi="Times New Roman"/>
          <w:b/>
          <w:bCs/>
          <w:sz w:val="24"/>
          <w:szCs w:val="24"/>
        </w:rPr>
        <w:t xml:space="preserve"> such as appendicitis. </w:t>
      </w:r>
    </w:p>
    <w:p w14:paraId="1236DA98" w14:textId="77777777" w:rsidR="001C563D" w:rsidRPr="008E15F3" w:rsidRDefault="001C563D" w:rsidP="001C563D">
      <w:pPr>
        <w:spacing w:before="100" w:beforeAutospacing="1" w:after="100" w:afterAutospacing="1" w:line="240" w:lineRule="auto"/>
        <w:ind w:left="720"/>
        <w:rPr>
          <w:rFonts w:ascii="Times New Roman" w:eastAsia="Times New Roman" w:hAnsi="Times New Roman"/>
          <w:sz w:val="24"/>
          <w:szCs w:val="24"/>
        </w:rPr>
      </w:pPr>
      <w:r w:rsidRPr="00CD3D78">
        <w:rPr>
          <w:rFonts w:ascii="Times New Roman" w:eastAsia="Times New Roman" w:hAnsi="Times New Roman"/>
          <w:sz w:val="24"/>
          <w:szCs w:val="24"/>
        </w:rPr>
        <w:t xml:space="preserve">Note: </w:t>
      </w:r>
      <w:r>
        <w:rPr>
          <w:rFonts w:ascii="Times New Roman" w:eastAsia="Times New Roman" w:hAnsi="Times New Roman"/>
          <w:sz w:val="24"/>
          <w:szCs w:val="24"/>
        </w:rPr>
        <w:t xml:space="preserve">Congress in 2008 broadened the coverage under Americans </w:t>
      </w:r>
      <w:proofErr w:type="gramStart"/>
      <w:r>
        <w:rPr>
          <w:rFonts w:ascii="Times New Roman" w:eastAsia="Times New Roman" w:hAnsi="Times New Roman"/>
          <w:sz w:val="24"/>
          <w:szCs w:val="24"/>
        </w:rPr>
        <w:t>With</w:t>
      </w:r>
      <w:proofErr w:type="gramEnd"/>
      <w:r>
        <w:rPr>
          <w:rFonts w:ascii="Times New Roman" w:eastAsia="Times New Roman" w:hAnsi="Times New Roman"/>
          <w:sz w:val="24"/>
          <w:szCs w:val="24"/>
        </w:rPr>
        <w:t xml:space="preserve"> Disabilities Act, overturning two U.S. Supreme Court decisions, </w:t>
      </w:r>
      <w:r w:rsidRPr="005C4230">
        <w:rPr>
          <w:rFonts w:ascii="Times New Roman" w:eastAsia="Times New Roman" w:hAnsi="Times New Roman"/>
          <w:sz w:val="24"/>
          <w:szCs w:val="24"/>
          <w:u w:val="single"/>
        </w:rPr>
        <w:t>Sutton v. United Air Lines, Inc</w:t>
      </w:r>
      <w:r>
        <w:rPr>
          <w:rFonts w:ascii="Times New Roman" w:eastAsia="Times New Roman" w:hAnsi="Times New Roman"/>
          <w:sz w:val="24"/>
          <w:szCs w:val="24"/>
        </w:rPr>
        <w:t xml:space="preserve">., 527 U.S. 471 (1999), and </w:t>
      </w:r>
      <w:r w:rsidRPr="005C4230">
        <w:rPr>
          <w:rFonts w:ascii="Times New Roman" w:eastAsia="Times New Roman" w:hAnsi="Times New Roman"/>
          <w:sz w:val="24"/>
          <w:szCs w:val="24"/>
          <w:u w:val="single"/>
        </w:rPr>
        <w:t>Toyota Motor Manufacturing, Kentucky, Inc. v. Williams</w:t>
      </w:r>
      <w:r>
        <w:rPr>
          <w:rFonts w:ascii="Times New Roman" w:eastAsia="Times New Roman" w:hAnsi="Times New Roman"/>
          <w:sz w:val="24"/>
          <w:szCs w:val="24"/>
        </w:rPr>
        <w:t xml:space="preserve">, 534 U.S. 184 (2002).  </w:t>
      </w:r>
      <w:r w:rsidRPr="005C4230">
        <w:rPr>
          <w:rFonts w:ascii="Times New Roman" w:hAnsi="Times New Roman"/>
          <w:sz w:val="24"/>
          <w:szCs w:val="24"/>
        </w:rPr>
        <w:t xml:space="preserve">The EEOC has promulgated administrative rules that guide the analysis of whether </w:t>
      </w:r>
      <w:proofErr w:type="gramStart"/>
      <w:r w:rsidRPr="005C4230">
        <w:rPr>
          <w:rFonts w:ascii="Times New Roman" w:hAnsi="Times New Roman"/>
          <w:sz w:val="24"/>
          <w:szCs w:val="24"/>
        </w:rPr>
        <w:t>a temporary</w:t>
      </w:r>
      <w:proofErr w:type="gramEnd"/>
      <w:r w:rsidRPr="005C4230">
        <w:rPr>
          <w:rFonts w:ascii="Times New Roman" w:hAnsi="Times New Roman"/>
          <w:sz w:val="24"/>
          <w:szCs w:val="24"/>
        </w:rPr>
        <w:t xml:space="preserve"> impairment is sufficiently severe to qualify as a disability under the ADA. 29 C.F.R. § 1630.2(j)(1)(ix) (app.). Those regulations state that </w:t>
      </w:r>
      <w:r>
        <w:rPr>
          <w:rFonts w:ascii="Times New Roman" w:hAnsi="Times New Roman"/>
          <w:sz w:val="24"/>
          <w:szCs w:val="24"/>
        </w:rPr>
        <w:t>“</w:t>
      </w:r>
      <w:r w:rsidRPr="005C4230">
        <w:rPr>
          <w:rFonts w:ascii="Times New Roman" w:hAnsi="Times New Roman"/>
          <w:sz w:val="24"/>
          <w:szCs w:val="24"/>
        </w:rPr>
        <w:t xml:space="preserve">if an individual has a back impairment that results in a 20-pound lifting restriction that lasts for several months, he is substantially limited in the major life activity of </w:t>
      </w:r>
      <w:proofErr w:type="gramStart"/>
      <w:r w:rsidRPr="005C4230">
        <w:rPr>
          <w:rFonts w:ascii="Times New Roman" w:hAnsi="Times New Roman"/>
          <w:sz w:val="24"/>
          <w:szCs w:val="24"/>
        </w:rPr>
        <w:t>lifting, and</w:t>
      </w:r>
      <w:proofErr w:type="gramEnd"/>
      <w:r w:rsidRPr="005C4230">
        <w:rPr>
          <w:rFonts w:ascii="Times New Roman" w:hAnsi="Times New Roman"/>
          <w:sz w:val="24"/>
          <w:szCs w:val="24"/>
        </w:rPr>
        <w:t xml:space="preserve"> therefore covered under the first prong of the definition of disability.</w:t>
      </w:r>
      <w:r>
        <w:rPr>
          <w:rFonts w:ascii="Times New Roman" w:hAnsi="Times New Roman"/>
          <w:sz w:val="24"/>
          <w:szCs w:val="24"/>
        </w:rPr>
        <w:t>”</w:t>
      </w:r>
    </w:p>
    <w:p w14:paraId="72FB9C46" w14:textId="77777777" w:rsidR="007105B3" w:rsidRDefault="007105B3" w:rsidP="002B1283">
      <w:pPr>
        <w:rPr>
          <w:rFonts w:ascii="Arial Black" w:hAnsi="Arial Black"/>
          <w:b/>
          <w:bCs/>
          <w:sz w:val="28"/>
          <w:szCs w:val="28"/>
        </w:rPr>
      </w:pPr>
    </w:p>
    <w:p w14:paraId="339F9EB2" w14:textId="09288825" w:rsidR="00FA7B26" w:rsidRDefault="00FA7B26" w:rsidP="002B1283">
      <w:pPr>
        <w:rPr>
          <w:rFonts w:ascii="Arial Black" w:hAnsi="Arial Black"/>
          <w:b/>
          <w:bCs/>
          <w:sz w:val="28"/>
          <w:szCs w:val="28"/>
        </w:rPr>
      </w:pPr>
      <w:r>
        <w:rPr>
          <w:rFonts w:ascii="Arial Black" w:hAnsi="Arial Black"/>
          <w:b/>
          <w:bCs/>
          <w:sz w:val="28"/>
          <w:szCs w:val="28"/>
        </w:rPr>
        <w:t>13-57</w:t>
      </w:r>
    </w:p>
    <w:p w14:paraId="6EBC5A96" w14:textId="77777777" w:rsidR="00FA7B26" w:rsidRDefault="00FA7B26" w:rsidP="00FA7B2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U.S. SUPREME COURT – CARONA VIRUS – UPHOLDS CALIFORNIA RESTRICTIONS ON RELIGIOUS GATHERINGS</w:t>
      </w:r>
    </w:p>
    <w:p w14:paraId="4AEC2713" w14:textId="77777777" w:rsidR="00FA7B26" w:rsidRDefault="00FA7B26" w:rsidP="00FA7B26">
      <w:pPr>
        <w:spacing w:before="100" w:beforeAutospacing="1" w:after="100" w:afterAutospacing="1" w:line="240" w:lineRule="auto"/>
        <w:rPr>
          <w:rFonts w:ascii="Times New Roman" w:hAnsi="Times New Roman"/>
          <w:sz w:val="24"/>
          <w:szCs w:val="24"/>
        </w:rPr>
      </w:pPr>
      <w:r w:rsidRPr="00165D3F">
        <w:rPr>
          <w:rFonts w:ascii="Times New Roman" w:eastAsia="Times New Roman" w:hAnsi="Times New Roman"/>
          <w:sz w:val="24"/>
          <w:szCs w:val="24"/>
        </w:rPr>
        <w:t xml:space="preserve">On May 29, 2020, in </w:t>
      </w:r>
      <w:r w:rsidRPr="00165D3F">
        <w:rPr>
          <w:rFonts w:ascii="Times New Roman" w:eastAsia="Times New Roman" w:hAnsi="Times New Roman"/>
          <w:sz w:val="24"/>
          <w:szCs w:val="24"/>
          <w:u w:val="single"/>
        </w:rPr>
        <w:t>South Bay United Pentecostal Church, et a. v. Gavin Newsom, Governor of California,</w:t>
      </w:r>
      <w:r w:rsidRPr="00165D3F">
        <w:rPr>
          <w:rFonts w:ascii="Times New Roman" w:eastAsia="Times New Roman" w:hAnsi="Times New Roman"/>
          <w:sz w:val="24"/>
          <w:szCs w:val="24"/>
        </w:rPr>
        <w:t xml:space="preserve"> </w:t>
      </w:r>
      <w:r>
        <w:rPr>
          <w:rFonts w:ascii="Times New Roman" w:eastAsia="Times New Roman" w:hAnsi="Times New Roman"/>
          <w:sz w:val="24"/>
          <w:szCs w:val="24"/>
        </w:rPr>
        <w:t xml:space="preserve">the Court (5 to 4) denied the church’s request for an injunction, in a rare late-night ruling, and upheld the California restriction of attendance at places of worship to 25% of building capacity, or a maximum of 100 attendees.  The San Diego area church had lost before a U.S. District Court judge, </w:t>
      </w:r>
      <w:proofErr w:type="gramStart"/>
      <w:r>
        <w:rPr>
          <w:rFonts w:ascii="Times New Roman" w:eastAsia="Times New Roman" w:hAnsi="Times New Roman"/>
          <w:sz w:val="24"/>
          <w:szCs w:val="24"/>
        </w:rPr>
        <w:t>and also</w:t>
      </w:r>
      <w:proofErr w:type="gramEnd"/>
      <w:r>
        <w:rPr>
          <w:rFonts w:ascii="Times New Roman" w:eastAsia="Times New Roman" w:hAnsi="Times New Roman"/>
          <w:sz w:val="24"/>
          <w:szCs w:val="24"/>
        </w:rPr>
        <w:t xml:space="preserve"> the 9</w:t>
      </w:r>
      <w:r w:rsidRPr="0046707A">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w:t>
      </w:r>
      <w:hyperlink r:id="rId2310" w:history="1">
        <w:r w:rsidRPr="003826A8">
          <w:rPr>
            <w:rStyle w:val="Hyperlink"/>
            <w:sz w:val="24"/>
            <w:szCs w:val="24"/>
          </w:rPr>
          <w:t>https://www.supremecourt.gov/opinions/19pdf/19a1044_pok0.pdf</w:t>
        </w:r>
      </w:hyperlink>
      <w:r>
        <w:rPr>
          <w:rFonts w:ascii="Times New Roman" w:hAnsi="Times New Roman"/>
          <w:sz w:val="24"/>
          <w:szCs w:val="24"/>
        </w:rPr>
        <w:t xml:space="preserve"> </w:t>
      </w:r>
    </w:p>
    <w:p w14:paraId="07DA73D0" w14:textId="77777777" w:rsidR="00FA7B26" w:rsidRPr="00575185" w:rsidRDefault="00FA7B26" w:rsidP="00FA7B26">
      <w:pPr>
        <w:pStyle w:val="Heading1"/>
        <w:jc w:val="both"/>
        <w:rPr>
          <w:sz w:val="24"/>
          <w:szCs w:val="24"/>
        </w:rPr>
      </w:pPr>
      <w:r w:rsidRPr="00575185">
        <w:rPr>
          <w:sz w:val="24"/>
          <w:szCs w:val="24"/>
        </w:rPr>
        <w:t xml:space="preserve">Legal Lessons Learned:  There has been litigation throughout the nation challenging corona virus restrictions; this is the first case to reach the U.S. Supreme Court.  </w:t>
      </w:r>
    </w:p>
    <w:p w14:paraId="2D6DF77E" w14:textId="6299BA1E" w:rsidR="00FA7B26" w:rsidRPr="00FA7B26" w:rsidRDefault="00FA7B26" w:rsidP="00FA7B26">
      <w:pPr>
        <w:ind w:left="720"/>
        <w:rPr>
          <w:rFonts w:ascii="Times New Roman" w:hAnsi="Times New Roman"/>
          <w:sz w:val="24"/>
          <w:szCs w:val="24"/>
        </w:rPr>
      </w:pPr>
      <w:r w:rsidRPr="00FA7B26">
        <w:rPr>
          <w:rFonts w:ascii="Times New Roman" w:hAnsi="Times New Roman"/>
          <w:sz w:val="24"/>
          <w:szCs w:val="24"/>
        </w:rPr>
        <w:t xml:space="preserve">Note: On May 6, 2020, the U.S. Supreme Court declined to hear an appeal by PA businesses seeking an injunction.  The Court will not hear an appeal unless at least 4 Justices agree to hear case.  See article: “U.S. Supreme Court rejects request to end Pennsylvania's coronavirus lockdown.” </w:t>
      </w:r>
      <w:hyperlink r:id="rId2311" w:history="1">
        <w:r w:rsidRPr="00FA7B26">
          <w:rPr>
            <w:rStyle w:val="Hyperlink"/>
            <w:rFonts w:ascii="Times New Roman" w:hAnsi="Times New Roman"/>
            <w:sz w:val="24"/>
            <w:szCs w:val="24"/>
          </w:rPr>
          <w:t>https://www.phillyvoice.com/us-supreme-court-denies-overturn-pennsylvania-non-essential-businesses-coronavirus-gov-wolf/</w:t>
        </w:r>
      </w:hyperlink>
    </w:p>
    <w:p w14:paraId="156AA44B" w14:textId="77777777" w:rsidR="00FA7B26" w:rsidRDefault="00FA7B26" w:rsidP="002B1283">
      <w:pPr>
        <w:rPr>
          <w:rFonts w:ascii="Arial Black" w:hAnsi="Arial Black"/>
          <w:b/>
          <w:bCs/>
          <w:sz w:val="28"/>
          <w:szCs w:val="28"/>
        </w:rPr>
      </w:pPr>
    </w:p>
    <w:p w14:paraId="4D710F36" w14:textId="0D97D8F3" w:rsidR="00FA7B26" w:rsidRDefault="00FA7B26" w:rsidP="002B1283">
      <w:pPr>
        <w:rPr>
          <w:rFonts w:ascii="Arial Black" w:hAnsi="Arial Black"/>
          <w:b/>
          <w:bCs/>
          <w:sz w:val="28"/>
          <w:szCs w:val="28"/>
        </w:rPr>
      </w:pPr>
      <w:r>
        <w:rPr>
          <w:rFonts w:ascii="Arial Black" w:hAnsi="Arial Black"/>
          <w:b/>
          <w:bCs/>
          <w:sz w:val="28"/>
          <w:szCs w:val="28"/>
        </w:rPr>
        <w:t>13-56</w:t>
      </w:r>
    </w:p>
    <w:p w14:paraId="7F8D274B" w14:textId="77777777" w:rsidR="00FA7B26" w:rsidRPr="00B46B8F" w:rsidRDefault="00FA7B26" w:rsidP="00FA7B26">
      <w:pPr>
        <w:spacing w:before="100" w:beforeAutospacing="1" w:after="100" w:afterAutospacing="1" w:line="240" w:lineRule="auto"/>
        <w:jc w:val="both"/>
        <w:rPr>
          <w:rFonts w:ascii="Arial Black" w:eastAsia="Times New Roman" w:hAnsi="Arial Black"/>
          <w:b/>
          <w:bCs/>
          <w:sz w:val="28"/>
          <w:szCs w:val="28"/>
        </w:rPr>
      </w:pPr>
      <w:r w:rsidRPr="00B46B8F">
        <w:rPr>
          <w:rFonts w:ascii="Arial Black" w:eastAsia="Times New Roman" w:hAnsi="Arial Black"/>
          <w:b/>
          <w:bCs/>
          <w:sz w:val="28"/>
          <w:szCs w:val="28"/>
        </w:rPr>
        <w:t>NJ:</w:t>
      </w:r>
      <w:r>
        <w:rPr>
          <w:rFonts w:ascii="Arial Black" w:eastAsia="Times New Roman" w:hAnsi="Arial Black"/>
          <w:b/>
          <w:bCs/>
          <w:sz w:val="28"/>
          <w:szCs w:val="28"/>
        </w:rPr>
        <w:t xml:space="preserve"> MAINTENANCE ISSUES OF EMS VEHICLES – STATE SUSPENDS LICENSE – INSTEAD OF ADMIN. APPEAL, WENT TO COURT – COURT OF APPEALS UPHOLDS SUSPENSION</w:t>
      </w:r>
    </w:p>
    <w:p w14:paraId="65296453" w14:textId="77777777" w:rsidR="00FA7B26" w:rsidRPr="00290F9C" w:rsidRDefault="00FA7B26" w:rsidP="00FA7B26">
      <w:pPr>
        <w:spacing w:before="100" w:beforeAutospacing="1" w:after="100" w:afterAutospacing="1" w:line="240" w:lineRule="auto"/>
        <w:rPr>
          <w:rFonts w:ascii="Times New Roman" w:hAnsi="Times New Roman"/>
          <w:sz w:val="24"/>
          <w:szCs w:val="24"/>
        </w:rPr>
      </w:pPr>
      <w:r w:rsidRPr="00290F9C">
        <w:rPr>
          <w:rFonts w:ascii="Times New Roman" w:hAnsi="Times New Roman"/>
          <w:sz w:val="24"/>
          <w:szCs w:val="24"/>
        </w:rPr>
        <w:t xml:space="preserve">On May 27, 2020, in </w:t>
      </w:r>
      <w:proofErr w:type="spellStart"/>
      <w:r w:rsidRPr="00290F9C">
        <w:rPr>
          <w:rFonts w:ascii="Times New Roman" w:hAnsi="Times New Roman"/>
          <w:sz w:val="24"/>
          <w:szCs w:val="24"/>
          <w:u w:val="single"/>
        </w:rPr>
        <w:t>Americare</w:t>
      </w:r>
      <w:proofErr w:type="spellEnd"/>
      <w:r w:rsidRPr="00290F9C">
        <w:rPr>
          <w:rFonts w:ascii="Times New Roman" w:hAnsi="Times New Roman"/>
          <w:sz w:val="24"/>
          <w:szCs w:val="24"/>
          <w:u w:val="single"/>
        </w:rPr>
        <w:t xml:space="preserve"> Emergency Medical Service, Inc. v. City of Orange Township; State of New Jersey Department of Health, Office of EMS, et al.</w:t>
      </w:r>
      <w:r w:rsidRPr="00290F9C">
        <w:rPr>
          <w:rFonts w:ascii="Times New Roman" w:hAnsi="Times New Roman"/>
          <w:sz w:val="24"/>
          <w:szCs w:val="24"/>
        </w:rPr>
        <w:t>, the Superior Court of New Jersey Appellate Division, held (3 to 0) in unpublished decision that the State’s suspension is reinstated</w:t>
      </w:r>
      <w:r>
        <w:rPr>
          <w:rFonts w:ascii="Times New Roman" w:hAnsi="Times New Roman"/>
          <w:sz w:val="24"/>
          <w:szCs w:val="24"/>
        </w:rPr>
        <w:t>; they must exhaust administrative appeal to Commissioner of Dept. of Health</w:t>
      </w:r>
      <w:r w:rsidRPr="00290F9C">
        <w:rPr>
          <w:rFonts w:ascii="Times New Roman" w:hAnsi="Times New Roman"/>
          <w:sz w:val="24"/>
          <w:szCs w:val="24"/>
        </w:rPr>
        <w:t xml:space="preserve">.  </w:t>
      </w:r>
      <w:hyperlink r:id="rId2312" w:history="1">
        <w:r w:rsidRPr="00290F9C">
          <w:rPr>
            <w:rStyle w:val="Hyperlink"/>
            <w:sz w:val="24"/>
            <w:szCs w:val="24"/>
          </w:rPr>
          <w:t>https://njcourts.gov/attorneys/assets/opinions/appellate/published/a0117-19.pdf?c=WwB</w:t>
        </w:r>
      </w:hyperlink>
      <w:r w:rsidRPr="00290F9C">
        <w:rPr>
          <w:rFonts w:ascii="Times New Roman" w:hAnsi="Times New Roman"/>
          <w:sz w:val="24"/>
          <w:szCs w:val="24"/>
        </w:rPr>
        <w:t xml:space="preserve"> </w:t>
      </w:r>
    </w:p>
    <w:p w14:paraId="6D248F8B" w14:textId="77777777" w:rsidR="00FA7B26" w:rsidRPr="00290F9C" w:rsidRDefault="00FA7B26" w:rsidP="00FA7B26">
      <w:pPr>
        <w:spacing w:after="0" w:line="240" w:lineRule="auto"/>
        <w:jc w:val="both"/>
        <w:rPr>
          <w:rFonts w:ascii="Times New Roman" w:hAnsi="Times New Roman"/>
          <w:b/>
          <w:bCs/>
          <w:sz w:val="24"/>
          <w:szCs w:val="24"/>
        </w:rPr>
      </w:pPr>
      <w:r w:rsidRPr="00290F9C">
        <w:rPr>
          <w:rFonts w:ascii="Times New Roman" w:hAnsi="Times New Roman"/>
          <w:b/>
          <w:bCs/>
          <w:sz w:val="24"/>
          <w:szCs w:val="24"/>
        </w:rPr>
        <w:t>Legal Lessons Learned:</w:t>
      </w:r>
      <w:r>
        <w:rPr>
          <w:rFonts w:ascii="Times New Roman" w:hAnsi="Times New Roman"/>
          <w:b/>
          <w:bCs/>
          <w:sz w:val="24"/>
          <w:szCs w:val="24"/>
        </w:rPr>
        <w:t xml:space="preserve"> Proper maintenance of EMS transport vehicles is extremely important; it is generally best to exhaust administrative appeals before going to Court.</w:t>
      </w:r>
    </w:p>
    <w:p w14:paraId="2EA3C321" w14:textId="77777777" w:rsidR="00FA7B26" w:rsidRDefault="00FA7B26" w:rsidP="00FA7B26">
      <w:pPr>
        <w:spacing w:before="100" w:beforeAutospacing="1" w:after="100" w:afterAutospacing="1" w:line="240" w:lineRule="auto"/>
        <w:rPr>
          <w:rFonts w:ascii="Times New Roman" w:eastAsia="Times New Roman" w:hAnsi="Times New Roman"/>
          <w:sz w:val="24"/>
          <w:szCs w:val="24"/>
        </w:rPr>
      </w:pPr>
    </w:p>
    <w:p w14:paraId="5F55F461" w14:textId="77777777" w:rsidR="00FA7B26" w:rsidRDefault="00FA7B26" w:rsidP="002B1283">
      <w:pPr>
        <w:rPr>
          <w:rFonts w:ascii="Arial Black" w:hAnsi="Arial Black"/>
          <w:b/>
          <w:bCs/>
          <w:sz w:val="28"/>
          <w:szCs w:val="28"/>
        </w:rPr>
      </w:pPr>
    </w:p>
    <w:p w14:paraId="036ED8A8" w14:textId="77777777" w:rsidR="00FA7B26" w:rsidRDefault="00FA7B26" w:rsidP="002B1283">
      <w:pPr>
        <w:rPr>
          <w:rFonts w:ascii="Arial Black" w:hAnsi="Arial Black"/>
          <w:b/>
          <w:bCs/>
          <w:sz w:val="28"/>
          <w:szCs w:val="28"/>
        </w:rPr>
      </w:pPr>
    </w:p>
    <w:p w14:paraId="00C93788" w14:textId="05615E64" w:rsidR="00FA7B26" w:rsidRDefault="00FA7B26" w:rsidP="002B1283">
      <w:pPr>
        <w:rPr>
          <w:rFonts w:ascii="Arial Black" w:hAnsi="Arial Black"/>
          <w:b/>
          <w:bCs/>
          <w:sz w:val="28"/>
          <w:szCs w:val="28"/>
        </w:rPr>
      </w:pPr>
      <w:r>
        <w:rPr>
          <w:rFonts w:ascii="Arial Black" w:hAnsi="Arial Black"/>
          <w:b/>
          <w:bCs/>
          <w:sz w:val="28"/>
          <w:szCs w:val="28"/>
        </w:rPr>
        <w:t>13-55</w:t>
      </w:r>
    </w:p>
    <w:p w14:paraId="44F0F00C" w14:textId="2E48C118" w:rsidR="00FA7B26" w:rsidRPr="00C42FC3" w:rsidRDefault="00FA7B26" w:rsidP="00FA7B26">
      <w:pPr>
        <w:spacing w:before="100" w:beforeAutospacing="1" w:after="100" w:afterAutospacing="1" w:line="240" w:lineRule="auto"/>
        <w:rPr>
          <w:rFonts w:ascii="Arial Black" w:eastAsia="Times New Roman" w:hAnsi="Arial Black"/>
          <w:sz w:val="24"/>
          <w:szCs w:val="24"/>
        </w:rPr>
      </w:pPr>
      <w:bookmarkStart w:id="455" w:name="_Hlk42171981"/>
      <w:r w:rsidRPr="000B01EB">
        <w:rPr>
          <w:rFonts w:ascii="Arial Black" w:eastAsia="Times New Roman" w:hAnsi="Arial Black"/>
          <w:sz w:val="28"/>
          <w:szCs w:val="28"/>
        </w:rPr>
        <w:t>NY:</w:t>
      </w:r>
      <w:r>
        <w:rPr>
          <w:rFonts w:ascii="Arial Black" w:eastAsia="Times New Roman" w:hAnsi="Arial Black"/>
          <w:sz w:val="28"/>
          <w:szCs w:val="28"/>
        </w:rPr>
        <w:t xml:space="preserve"> DIF</w:t>
      </w:r>
      <w:r w:rsidR="00DC0660">
        <w:rPr>
          <w:rFonts w:ascii="Arial Black" w:eastAsia="Times New Roman" w:hAnsi="Arial Black"/>
          <w:sz w:val="28"/>
          <w:szCs w:val="28"/>
        </w:rPr>
        <w:t>F</w:t>
      </w:r>
      <w:r>
        <w:rPr>
          <w:rFonts w:ascii="Arial Black" w:eastAsia="Times New Roman" w:hAnsi="Arial Black"/>
          <w:sz w:val="28"/>
          <w:szCs w:val="28"/>
        </w:rPr>
        <w:t xml:space="preserve">ICULTY BREATHING CALL - RAPID PD RESPONSE, BUT 20 MINUTES </w:t>
      </w:r>
      <w:r w:rsidRPr="00C42FC3">
        <w:rPr>
          <w:rFonts w:ascii="Arial Black" w:eastAsia="Times New Roman" w:hAnsi="Arial Black"/>
          <w:sz w:val="28"/>
          <w:szCs w:val="28"/>
        </w:rPr>
        <w:t>MUTUAL</w:t>
      </w:r>
      <w:r>
        <w:rPr>
          <w:rFonts w:ascii="Arial Black" w:eastAsia="Times New Roman" w:hAnsi="Arial Black"/>
          <w:sz w:val="28"/>
          <w:szCs w:val="28"/>
        </w:rPr>
        <w:t xml:space="preserve"> AID</w:t>
      </w:r>
      <w:r w:rsidRPr="00C42FC3">
        <w:rPr>
          <w:rFonts w:ascii="Arial Black" w:eastAsia="Times New Roman" w:hAnsi="Arial Black"/>
          <w:sz w:val="28"/>
          <w:szCs w:val="28"/>
        </w:rPr>
        <w:t xml:space="preserve"> AMBULANCE - GOVERNMENTAL IMMUNITY</w:t>
      </w:r>
      <w:r>
        <w:rPr>
          <w:rFonts w:ascii="Arial Black" w:eastAsia="Times New Roman" w:hAnsi="Arial Black"/>
          <w:sz w:val="28"/>
          <w:szCs w:val="28"/>
        </w:rPr>
        <w:t xml:space="preserve"> - NO</w:t>
      </w:r>
      <w:r w:rsidRPr="00C42FC3">
        <w:rPr>
          <w:rFonts w:ascii="Arial Black" w:eastAsia="Times New Roman" w:hAnsi="Arial Black"/>
          <w:sz w:val="28"/>
          <w:szCs w:val="28"/>
        </w:rPr>
        <w:t xml:space="preserve"> “SPECIAL DUTY” </w:t>
      </w:r>
      <w:r>
        <w:rPr>
          <w:rFonts w:ascii="Arial Black" w:eastAsia="Times New Roman" w:hAnsi="Arial Black"/>
          <w:sz w:val="28"/>
          <w:szCs w:val="28"/>
        </w:rPr>
        <w:t>OWED</w:t>
      </w:r>
    </w:p>
    <w:bookmarkEnd w:id="455"/>
    <w:p w14:paraId="45901E8D" w14:textId="6A35DA9E" w:rsidR="00FA7B26" w:rsidRDefault="00FA7B26" w:rsidP="00FA7B26">
      <w:pPr>
        <w:rPr>
          <w:rFonts w:ascii="Arial Black" w:hAnsi="Arial Black"/>
          <w:b/>
          <w:bCs/>
          <w:sz w:val="28"/>
          <w:szCs w:val="28"/>
        </w:rPr>
      </w:pPr>
      <w:r w:rsidRPr="00C42FC3">
        <w:rPr>
          <w:rFonts w:ascii="Times New Roman" w:eastAsia="Times New Roman" w:hAnsi="Times New Roman"/>
          <w:sz w:val="24"/>
          <w:szCs w:val="24"/>
        </w:rPr>
        <w:t xml:space="preserve">On May 27, 2020, in </w:t>
      </w:r>
      <w:r w:rsidRPr="00C42FC3">
        <w:rPr>
          <w:rFonts w:ascii="Times New Roman" w:eastAsia="Times New Roman" w:hAnsi="Times New Roman"/>
          <w:sz w:val="24"/>
          <w:szCs w:val="24"/>
          <w:u w:val="single"/>
        </w:rPr>
        <w:t>Kathlene Marks-Barcia v. Village of Sleepy Hollow Ambulance Corps, et al.</w:t>
      </w:r>
      <w:r w:rsidRPr="00C42FC3">
        <w:rPr>
          <w:rFonts w:ascii="Times New Roman" w:eastAsia="Times New Roman" w:hAnsi="Times New Roman"/>
          <w:sz w:val="24"/>
          <w:szCs w:val="24"/>
        </w:rPr>
        <w:t xml:space="preserve">, </w:t>
      </w:r>
      <w:r>
        <w:rPr>
          <w:rFonts w:ascii="Times New Roman" w:eastAsia="Times New Roman" w:hAnsi="Times New Roman"/>
          <w:sz w:val="24"/>
          <w:szCs w:val="24"/>
        </w:rPr>
        <w:t xml:space="preserve">the Supreme Court of New York, Appellate Division (Second Judicial Department), held (3 to 0) that the trial judge properly granted summary judgment to the Village since they owed no “special duty” to the 911 caller or her husband.  </w:t>
      </w:r>
      <w:hyperlink r:id="rId2313" w:history="1">
        <w:r w:rsidRPr="00082B39">
          <w:rPr>
            <w:rStyle w:val="Hyperlink"/>
            <w:sz w:val="24"/>
            <w:szCs w:val="24"/>
          </w:rPr>
          <w:t>https://iapps.courts.state.ny.us/search/wicket/page?2-IResourceListener-pnlResultContainer-pnlResult-2-lnkDocument</w:t>
        </w:r>
      </w:hyperlink>
    </w:p>
    <w:p w14:paraId="1365AC58" w14:textId="77777777" w:rsidR="00FA7B26" w:rsidRPr="00FA61E9" w:rsidRDefault="00FA7B26" w:rsidP="00FA7B26">
      <w:pPr>
        <w:spacing w:before="100" w:beforeAutospacing="1" w:after="100" w:afterAutospacing="1" w:line="240" w:lineRule="auto"/>
        <w:jc w:val="both"/>
        <w:rPr>
          <w:rFonts w:ascii="Times New Roman" w:eastAsia="Times New Roman" w:hAnsi="Times New Roman"/>
          <w:b/>
          <w:bCs/>
          <w:sz w:val="24"/>
          <w:szCs w:val="24"/>
        </w:rPr>
      </w:pPr>
      <w:r w:rsidRPr="00FA61E9">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Governmental immunity is an important protection against liability for EMS.</w:t>
      </w:r>
    </w:p>
    <w:p w14:paraId="128E909E" w14:textId="3E91570E" w:rsidR="00FA7B26" w:rsidRPr="00FA7B26" w:rsidRDefault="00FA7B26" w:rsidP="00FA7B26">
      <w:pPr>
        <w:ind w:left="720"/>
        <w:rPr>
          <w:rFonts w:ascii="Times New Roman" w:hAnsi="Times New Roman"/>
          <w:sz w:val="24"/>
          <w:szCs w:val="24"/>
        </w:rPr>
      </w:pPr>
      <w:r w:rsidRPr="00FA7B26">
        <w:rPr>
          <w:rFonts w:ascii="Times New Roman" w:hAnsi="Times New Roman"/>
          <w:sz w:val="24"/>
          <w:szCs w:val="24"/>
        </w:rPr>
        <w:t xml:space="preserve">Note:  Some states, such as Florida, have by statute abolished the “Professional Rescuer Rule” [also known as “Fireman’s Rule”]. See Florida 2019 statute: </w:t>
      </w:r>
      <w:hyperlink r:id="rId2314" w:history="1">
        <w:r w:rsidRPr="00FA7B26">
          <w:rPr>
            <w:rStyle w:val="Hyperlink"/>
            <w:rFonts w:ascii="Times New Roman" w:hAnsi="Times New Roman"/>
            <w:sz w:val="24"/>
            <w:szCs w:val="24"/>
          </w:rPr>
          <w:t>http://www.leg.state.fl.us/statutes/index.cfm?App_mode=Display_Statute&amp;Search_String=&amp;URL=0100-0199/0112/Sections/0112.182.html</w:t>
        </w:r>
      </w:hyperlink>
    </w:p>
    <w:p w14:paraId="42778FA6" w14:textId="426407DD" w:rsidR="00FA7B26" w:rsidRDefault="00FA7B26" w:rsidP="002B1283">
      <w:pPr>
        <w:rPr>
          <w:rFonts w:ascii="Arial Black" w:hAnsi="Arial Black"/>
          <w:b/>
          <w:bCs/>
          <w:sz w:val="28"/>
          <w:szCs w:val="28"/>
        </w:rPr>
      </w:pPr>
      <w:r>
        <w:rPr>
          <w:rFonts w:ascii="Arial Black" w:hAnsi="Arial Black"/>
          <w:b/>
          <w:bCs/>
          <w:sz w:val="28"/>
          <w:szCs w:val="28"/>
        </w:rPr>
        <w:t>13-54</w:t>
      </w:r>
    </w:p>
    <w:p w14:paraId="0D4867B0" w14:textId="77777777" w:rsidR="00FA7B26" w:rsidRPr="003E7024" w:rsidRDefault="00FA7B26" w:rsidP="00FA7B26">
      <w:pPr>
        <w:tabs>
          <w:tab w:val="left" w:pos="820"/>
        </w:tabs>
        <w:spacing w:before="100" w:beforeAutospacing="1" w:after="100" w:afterAutospacing="1" w:line="240" w:lineRule="auto"/>
        <w:rPr>
          <w:rFonts w:ascii="Arial Black" w:eastAsia="Times New Roman" w:hAnsi="Arial Black"/>
          <w:b/>
          <w:bCs/>
          <w:sz w:val="28"/>
          <w:szCs w:val="28"/>
        </w:rPr>
      </w:pPr>
      <w:bookmarkStart w:id="456" w:name="_Hlk42171919"/>
      <w:r w:rsidRPr="003E7024">
        <w:rPr>
          <w:rFonts w:ascii="Arial Black" w:eastAsia="Times New Roman" w:hAnsi="Arial Black"/>
          <w:b/>
          <w:bCs/>
          <w:sz w:val="28"/>
          <w:szCs w:val="28"/>
        </w:rPr>
        <w:t xml:space="preserve">IL: </w:t>
      </w:r>
      <w:r>
        <w:rPr>
          <w:rFonts w:ascii="Arial Black" w:eastAsia="Times New Roman" w:hAnsi="Arial Black"/>
          <w:b/>
          <w:bCs/>
          <w:sz w:val="28"/>
          <w:szCs w:val="28"/>
        </w:rPr>
        <w:t xml:space="preserve">TRANSP. FEMALE FROM PD TO HOSPITAL - KICKED PARAMEDIC IN NECK – CONVICTED BY JURY AGGRAVATED BATTERY – VIDEO FROM HOSPITAL / PHOTO OF MEDIC’S BRUISED NECK – SENTENCED </w:t>
      </w:r>
      <w:r w:rsidRPr="003E7024">
        <w:rPr>
          <w:rFonts w:ascii="Arial Black" w:eastAsia="Times New Roman" w:hAnsi="Arial Black"/>
          <w:b/>
          <w:bCs/>
          <w:sz w:val="28"/>
          <w:szCs w:val="28"/>
        </w:rPr>
        <w:t xml:space="preserve">2 YEARS </w:t>
      </w:r>
      <w:r>
        <w:rPr>
          <w:rFonts w:ascii="Arial Black" w:eastAsia="Times New Roman" w:hAnsi="Arial Black"/>
          <w:b/>
          <w:bCs/>
          <w:sz w:val="28"/>
          <w:szCs w:val="28"/>
        </w:rPr>
        <w:t xml:space="preserve">IN </w:t>
      </w:r>
      <w:r w:rsidRPr="003E7024">
        <w:rPr>
          <w:rFonts w:ascii="Arial Black" w:eastAsia="Times New Roman" w:hAnsi="Arial Black"/>
          <w:b/>
          <w:bCs/>
          <w:sz w:val="28"/>
          <w:szCs w:val="28"/>
        </w:rPr>
        <w:t>PRISON</w:t>
      </w:r>
    </w:p>
    <w:p w14:paraId="2DBE90D9" w14:textId="77777777" w:rsidR="00FA7B26" w:rsidRDefault="00FA7B26" w:rsidP="00FA7B26">
      <w:pPr>
        <w:spacing w:before="100" w:beforeAutospacing="1" w:after="100" w:afterAutospacing="1" w:line="240" w:lineRule="auto"/>
        <w:rPr>
          <w:rFonts w:ascii="Times New Roman" w:hAnsi="Times New Roman"/>
          <w:sz w:val="24"/>
          <w:szCs w:val="24"/>
        </w:rPr>
      </w:pPr>
      <w:r w:rsidRPr="003E7024">
        <w:rPr>
          <w:rFonts w:ascii="Times New Roman" w:hAnsi="Times New Roman"/>
          <w:sz w:val="24"/>
          <w:szCs w:val="24"/>
        </w:rPr>
        <w:t xml:space="preserve">On May 13, 2020, in </w:t>
      </w:r>
      <w:r w:rsidRPr="003E7024">
        <w:rPr>
          <w:rFonts w:ascii="Times New Roman" w:hAnsi="Times New Roman"/>
          <w:sz w:val="24"/>
          <w:szCs w:val="24"/>
          <w:u w:val="single"/>
        </w:rPr>
        <w:t>The People of State of Illinois v. Krystina Stoch</w:t>
      </w:r>
      <w:r>
        <w:rPr>
          <w:rFonts w:ascii="Times New Roman" w:hAnsi="Times New Roman"/>
          <w:sz w:val="24"/>
          <w:szCs w:val="24"/>
        </w:rPr>
        <w:t xml:space="preserve">, the Appellate Court of Illinois, First District, held (3 to 0) that conviction of aggravated battery was affirmed, and rejected the defense that she didn’t intend to hurt the paramedic when she kicked out at him when being moved from stretcher to a wheel chair at the hospital. </w:t>
      </w:r>
      <w:hyperlink r:id="rId2315" w:history="1">
        <w:r w:rsidRPr="00C46C1D">
          <w:rPr>
            <w:rStyle w:val="Hyperlink"/>
            <w:sz w:val="24"/>
            <w:szCs w:val="24"/>
          </w:rPr>
          <w:t>https://courts.illinois.gov/R23_Orders/AppellateCourt/2020/1stDistrict/1172189_R23.pdf</w:t>
        </w:r>
      </w:hyperlink>
      <w:r>
        <w:rPr>
          <w:rFonts w:ascii="Times New Roman" w:hAnsi="Times New Roman"/>
          <w:sz w:val="24"/>
          <w:szCs w:val="24"/>
        </w:rPr>
        <w:t xml:space="preserve"> </w:t>
      </w:r>
    </w:p>
    <w:p w14:paraId="6E853503" w14:textId="77777777" w:rsidR="00FA7B26" w:rsidRPr="005E414E" w:rsidRDefault="00FA7B26" w:rsidP="00FA7B26">
      <w:pPr>
        <w:spacing w:before="100" w:beforeAutospacing="1" w:after="100" w:afterAutospacing="1" w:line="240" w:lineRule="auto"/>
        <w:jc w:val="both"/>
        <w:rPr>
          <w:rFonts w:ascii="Times New Roman" w:eastAsia="Times New Roman" w:hAnsi="Times New Roman"/>
          <w:b/>
          <w:bCs/>
          <w:sz w:val="24"/>
          <w:szCs w:val="24"/>
        </w:rPr>
      </w:pPr>
      <w:r w:rsidRPr="005E414E">
        <w:rPr>
          <w:rFonts w:ascii="Times New Roman" w:hAnsi="Times New Roman"/>
          <w:b/>
          <w:bCs/>
          <w:sz w:val="24"/>
          <w:szCs w:val="24"/>
        </w:rPr>
        <w:t>Legal Lessons Learned:</w:t>
      </w:r>
      <w:r>
        <w:rPr>
          <w:rFonts w:ascii="Times New Roman" w:hAnsi="Times New Roman"/>
          <w:b/>
          <w:bCs/>
          <w:sz w:val="24"/>
          <w:szCs w:val="24"/>
        </w:rPr>
        <w:t xml:space="preserve"> The hospital video, and photo of the paramedic’s bruised neck, were shown to the jury. </w:t>
      </w:r>
    </w:p>
    <w:bookmarkEnd w:id="456"/>
    <w:p w14:paraId="4676AD53" w14:textId="77777777" w:rsidR="00FA7B26" w:rsidRDefault="00FA7B26" w:rsidP="002B1283">
      <w:pPr>
        <w:rPr>
          <w:rFonts w:ascii="Arial Black" w:hAnsi="Arial Black"/>
          <w:b/>
          <w:bCs/>
          <w:sz w:val="28"/>
          <w:szCs w:val="28"/>
        </w:rPr>
      </w:pPr>
    </w:p>
    <w:p w14:paraId="02620294" w14:textId="6F4508FC" w:rsidR="00FA7B26" w:rsidRDefault="00FA7B26" w:rsidP="002B1283">
      <w:pPr>
        <w:rPr>
          <w:rFonts w:ascii="Arial Black" w:hAnsi="Arial Black"/>
          <w:b/>
          <w:bCs/>
          <w:sz w:val="28"/>
          <w:szCs w:val="28"/>
        </w:rPr>
      </w:pPr>
      <w:r>
        <w:rPr>
          <w:rFonts w:ascii="Arial Black" w:hAnsi="Arial Black"/>
          <w:b/>
          <w:bCs/>
          <w:sz w:val="28"/>
          <w:szCs w:val="28"/>
        </w:rPr>
        <w:t>13-53</w:t>
      </w:r>
    </w:p>
    <w:p w14:paraId="69459F1D" w14:textId="77777777" w:rsidR="00FA7B26" w:rsidRDefault="00FA7B26" w:rsidP="00FA7B26">
      <w:pPr>
        <w:spacing w:before="100" w:beforeAutospacing="1" w:after="100" w:afterAutospacing="1" w:line="240" w:lineRule="auto"/>
        <w:rPr>
          <w:rFonts w:ascii="Arial Black" w:hAnsi="Arial Black"/>
          <w:sz w:val="28"/>
          <w:szCs w:val="28"/>
        </w:rPr>
      </w:pPr>
      <w:r w:rsidRPr="008324B8">
        <w:rPr>
          <w:rFonts w:ascii="Arial Black" w:hAnsi="Arial Black"/>
          <w:sz w:val="28"/>
          <w:szCs w:val="28"/>
        </w:rPr>
        <w:t xml:space="preserve">NY:  </w:t>
      </w:r>
      <w:r>
        <w:rPr>
          <w:rFonts w:ascii="Arial Black" w:hAnsi="Arial Black"/>
          <w:sz w:val="28"/>
          <w:szCs w:val="28"/>
        </w:rPr>
        <w:t xml:space="preserve">PATIENT LEG PAIN, FLUID – EMS ADVISED SEE HER DOCTOR IN MORNING – SIGNED “RMA” REFUSAL MEDICAL ASSISTANCE – DIED 6 DAYS LATER - IMMUNITY </w:t>
      </w:r>
    </w:p>
    <w:p w14:paraId="5E0B0EDA" w14:textId="2EF60BEE" w:rsidR="00FA7B26" w:rsidRDefault="00FA7B26" w:rsidP="00FA7B26">
      <w:pPr>
        <w:rPr>
          <w:rFonts w:ascii="Arial Black" w:hAnsi="Arial Black"/>
          <w:b/>
          <w:bCs/>
          <w:sz w:val="28"/>
          <w:szCs w:val="28"/>
        </w:rPr>
      </w:pPr>
      <w:r w:rsidRPr="008324B8">
        <w:rPr>
          <w:rFonts w:ascii="Times New Roman" w:hAnsi="Times New Roman"/>
          <w:sz w:val="24"/>
          <w:szCs w:val="24"/>
        </w:rPr>
        <w:t xml:space="preserve">On May 5, 2020, </w:t>
      </w:r>
      <w:r>
        <w:rPr>
          <w:rFonts w:ascii="Times New Roman" w:hAnsi="Times New Roman"/>
          <w:sz w:val="24"/>
          <w:szCs w:val="24"/>
        </w:rPr>
        <w:t xml:space="preserve">in </w:t>
      </w:r>
      <w:r w:rsidRPr="008324B8">
        <w:rPr>
          <w:rFonts w:ascii="Times New Roman" w:hAnsi="Times New Roman"/>
          <w:sz w:val="24"/>
          <w:szCs w:val="24"/>
          <w:u w:val="single"/>
        </w:rPr>
        <w:t>Anthony L. Pioli, Administrator Estate of Anna Pioli v. New York City Fire Department et al</w:t>
      </w:r>
      <w:r>
        <w:rPr>
          <w:rFonts w:ascii="Times New Roman" w:hAnsi="Times New Roman"/>
          <w:sz w:val="24"/>
          <w:szCs w:val="24"/>
        </w:rPr>
        <w:t>., Judge Rosemarie Montalbano, Supreme Court of the State of New York, County of Kings: Part 22, dismissed the lawsuit since the EMTs did not owe a “Special Duty” to the patient. In addition, “</w:t>
      </w:r>
      <w:r w:rsidRPr="008324B8">
        <w:rPr>
          <w:rFonts w:ascii="Times New Roman" w:hAnsi="Times New Roman"/>
          <w:sz w:val="24"/>
          <w:szCs w:val="24"/>
        </w:rPr>
        <w:t xml:space="preserve">The decedent signed the RMA </w:t>
      </w:r>
      <w:r>
        <w:rPr>
          <w:rFonts w:ascii="Times New Roman" w:hAnsi="Times New Roman"/>
          <w:sz w:val="24"/>
          <w:szCs w:val="24"/>
        </w:rPr>
        <w:t xml:space="preserve">[Refusal of Medical Assistance] </w:t>
      </w:r>
      <w:r w:rsidRPr="008324B8">
        <w:rPr>
          <w:rFonts w:ascii="Times New Roman" w:hAnsi="Times New Roman"/>
          <w:sz w:val="24"/>
          <w:szCs w:val="24"/>
        </w:rPr>
        <w:t>expressly stating that she did not want to be transported to the hospital.</w:t>
      </w:r>
      <w:r>
        <w:rPr>
          <w:rFonts w:ascii="Times New Roman" w:hAnsi="Times New Roman"/>
          <w:sz w:val="24"/>
          <w:szCs w:val="24"/>
        </w:rPr>
        <w:t xml:space="preserve">” </w:t>
      </w:r>
      <w:hyperlink r:id="rId2316" w:history="1">
        <w:r w:rsidRPr="00B56DB8">
          <w:rPr>
            <w:rStyle w:val="Hyperlink"/>
            <w:sz w:val="24"/>
            <w:szCs w:val="24"/>
          </w:rPr>
          <w:t>https://public.fastcase.com/Wl%2B2t%2BeVuI35%2FN70vAMFZmo%2BcULZ%2FcXakIqGXvRrcFYkKri8LBojVsP%2FOvCVPfk0</w:t>
        </w:r>
      </w:hyperlink>
    </w:p>
    <w:p w14:paraId="3EBF49B8" w14:textId="77777777" w:rsidR="00FA7B26" w:rsidRDefault="00FA7B26" w:rsidP="00FA7B26">
      <w:pPr>
        <w:spacing w:before="100" w:beforeAutospacing="1" w:after="100" w:afterAutospacing="1" w:line="240" w:lineRule="auto"/>
        <w:rPr>
          <w:b/>
          <w:bCs/>
        </w:rPr>
      </w:pPr>
      <w:r w:rsidRPr="0045403E">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The Special Duty doctrine helps protect EMS and their employers from liability.  If patient is complaining of leg pain and using fluid, consider a call to Medical Control at the hospital. </w:t>
      </w:r>
    </w:p>
    <w:p w14:paraId="5D72C13D" w14:textId="77777777" w:rsidR="00FA7B26" w:rsidRDefault="00FA7B26" w:rsidP="002B1283">
      <w:pPr>
        <w:rPr>
          <w:rFonts w:ascii="Arial Black" w:hAnsi="Arial Black"/>
          <w:b/>
          <w:bCs/>
          <w:sz w:val="28"/>
          <w:szCs w:val="28"/>
        </w:rPr>
      </w:pPr>
    </w:p>
    <w:p w14:paraId="2B5C6EF8" w14:textId="0509A104" w:rsidR="0012517E" w:rsidRDefault="0012517E" w:rsidP="002B1283">
      <w:pPr>
        <w:rPr>
          <w:rFonts w:ascii="Arial Black" w:hAnsi="Arial Black"/>
          <w:b/>
          <w:bCs/>
          <w:sz w:val="28"/>
          <w:szCs w:val="28"/>
        </w:rPr>
      </w:pPr>
      <w:r>
        <w:rPr>
          <w:rFonts w:ascii="Arial Black" w:hAnsi="Arial Black"/>
          <w:b/>
          <w:bCs/>
          <w:sz w:val="28"/>
          <w:szCs w:val="28"/>
        </w:rPr>
        <w:t>13-52</w:t>
      </w:r>
    </w:p>
    <w:p w14:paraId="423AADCC" w14:textId="77777777" w:rsidR="0012517E" w:rsidRDefault="0012517E" w:rsidP="0012517E">
      <w:pPr>
        <w:pStyle w:val="NoSpacing"/>
        <w:rPr>
          <w:rFonts w:ascii="Arial Black" w:hAnsi="Arial Black"/>
          <w:sz w:val="28"/>
          <w:szCs w:val="28"/>
        </w:rPr>
      </w:pPr>
      <w:bookmarkStart w:id="457" w:name="_Hlk38437817"/>
      <w:r>
        <w:rPr>
          <w:rFonts w:ascii="Arial Black" w:hAnsi="Arial Black"/>
          <w:sz w:val="28"/>
          <w:szCs w:val="28"/>
        </w:rPr>
        <w:t>NM: CORONA VIRUS – MEGA CHURCH CHALLENGED LIMIT OF 5 PEOPLE – DENIED TEMPORARY RESTRAINING ORDER</w:t>
      </w:r>
    </w:p>
    <w:p w14:paraId="602A3390" w14:textId="77777777" w:rsidR="0012517E" w:rsidRPr="00AE3A49" w:rsidRDefault="0012517E" w:rsidP="0012517E">
      <w:pPr>
        <w:pStyle w:val="NormalWeb"/>
      </w:pPr>
      <w:r w:rsidRPr="00AE3A49">
        <w:t xml:space="preserve">On </w:t>
      </w:r>
      <w:bookmarkStart w:id="458" w:name="_Hlk39849351"/>
      <w:r w:rsidRPr="00AE3A49">
        <w:t xml:space="preserve">April 17, 2020, </w:t>
      </w:r>
      <w:r w:rsidRPr="00AE3A49">
        <w:rPr>
          <w:u w:val="single"/>
        </w:rPr>
        <w:t>in Legacy Church, Inc. v. Kathyleen M. Kunkel and State of New Mexico</w:t>
      </w:r>
      <w:bookmarkEnd w:id="458"/>
      <w:r w:rsidRPr="00AE3A49">
        <w:t xml:space="preserve">, U.S. District Court Judge James O/ Browning denied the church’s motion for temporary restraining order. Legacy Church has nearly 20,000 members, with church services held in four locations in Albuquerque.  Kathyleen M. Kunkel is New Mexico’s Secretary of Health Department; on March 24, 2020, Secretary Kunkel issued the Public Health Order, which ordered all non-essential businesses to close, ordered all of the state's non-essential workforce to work from home, and ordered New Mexico citizens to ‘stay at home and undertake only those outings absolutely necessary for their health, safety, or welfare.’ </w:t>
      </w:r>
    </w:p>
    <w:bookmarkEnd w:id="457"/>
    <w:p w14:paraId="4E090DF4" w14:textId="77777777" w:rsidR="0012517E" w:rsidRDefault="0012517E" w:rsidP="0012517E">
      <w:pPr>
        <w:pStyle w:val="NoSpacing"/>
        <w:ind w:left="720"/>
        <w:rPr>
          <w:rFonts w:ascii="Times New Roman" w:hAnsi="Times New Roman"/>
          <w:bCs/>
          <w:sz w:val="24"/>
          <w:szCs w:val="24"/>
        </w:rPr>
      </w:pPr>
      <w:r w:rsidRPr="00AE3A49">
        <w:rPr>
          <w:rFonts w:ascii="Times New Roman" w:hAnsi="Times New Roman"/>
          <w:bCs/>
          <w:sz w:val="24"/>
          <w:szCs w:val="24"/>
        </w:rPr>
        <w:t xml:space="preserve">“The Court denies the Motion. The Court concludes, first, that the Eleventh Amendment prohibits Legacy Church's suit insofar as it seeks relief against the state of New Mexico. Second, the Court concludes that Legacy Church is not substantially likely to succeed on the merits of its Free Exercise claim. Specifically, the April 11 Order is both neutral and generally applicable, and there is no evidence of animus against Christianity </w:t>
      </w:r>
      <w:proofErr w:type="gramStart"/>
      <w:r w:rsidRPr="00AE3A49">
        <w:rPr>
          <w:rFonts w:ascii="Times New Roman" w:hAnsi="Times New Roman"/>
          <w:bCs/>
          <w:sz w:val="24"/>
          <w:szCs w:val="24"/>
        </w:rPr>
        <w:t>in particular or</w:t>
      </w:r>
      <w:proofErr w:type="gramEnd"/>
      <w:r w:rsidRPr="00AE3A49">
        <w:rPr>
          <w:rFonts w:ascii="Times New Roman" w:hAnsi="Times New Roman"/>
          <w:bCs/>
          <w:sz w:val="24"/>
          <w:szCs w:val="24"/>
        </w:rPr>
        <w:t xml:space="preserve"> against religion in general. Accordingly, the April 11 Order is subject to rational basis review, which it satisfies. Third, the Court concludes that Legacy Church is not likely to succeed on its assembly claim, because the April 11 Order </w:t>
      </w:r>
      <w:proofErr w:type="gramStart"/>
      <w:r w:rsidRPr="00AE3A49">
        <w:rPr>
          <w:rFonts w:ascii="Times New Roman" w:hAnsi="Times New Roman"/>
          <w:bCs/>
          <w:sz w:val="24"/>
          <w:szCs w:val="24"/>
        </w:rPr>
        <w:t>not only is</w:t>
      </w:r>
      <w:proofErr w:type="gramEnd"/>
      <w:r w:rsidRPr="00AE3A49">
        <w:rPr>
          <w:rFonts w:ascii="Times New Roman" w:hAnsi="Times New Roman"/>
          <w:bCs/>
          <w:sz w:val="24"/>
          <w:szCs w:val="24"/>
        </w:rPr>
        <w:t xml:space="preserve"> narrowly tailored with sufficient alternatives for Legacy Church to assemble and mitigating a state pandemic is a compelling interest. Fourth, the Court concludes that Legacy Church has not demonstrated that it will suffer irreparable harm in a TRO's absence, it has not demonstrated that the equities weigh in a TRO's favor, and it has not demonstrated that a TRO is in the public interest. Accordingly, the Court denies the TRO.</w:t>
      </w:r>
      <w:bookmarkStart w:id="459" w:name="_Hlk38437842"/>
      <w:r w:rsidRPr="00AE3A49">
        <w:rPr>
          <w:rFonts w:ascii="Times New Roman" w:hAnsi="Times New Roman"/>
          <w:bCs/>
          <w:sz w:val="24"/>
          <w:szCs w:val="24"/>
        </w:rPr>
        <w:t xml:space="preserve"> … </w:t>
      </w:r>
      <w:r w:rsidRPr="00AE3A49">
        <w:rPr>
          <w:rFonts w:ascii="Times New Roman" w:eastAsia="Times New Roman" w:hAnsi="Times New Roman"/>
          <w:bCs/>
          <w:sz w:val="24"/>
          <w:szCs w:val="24"/>
        </w:rPr>
        <w:t>Footnote 16:</w:t>
      </w:r>
      <w:r w:rsidRPr="00AE3A49">
        <w:rPr>
          <w:rFonts w:ascii="Times New Roman" w:hAnsi="Times New Roman"/>
          <w:bCs/>
          <w:sz w:val="24"/>
          <w:szCs w:val="24"/>
        </w:rPr>
        <w:t xml:space="preserve"> The Court does not want its Memorandum Opinion to be read to minimize the importance of faith in people's lives. </w:t>
      </w:r>
      <w:proofErr w:type="gramStart"/>
      <w:r w:rsidRPr="00AE3A49">
        <w:rPr>
          <w:rFonts w:ascii="Times New Roman" w:hAnsi="Times New Roman"/>
          <w:bCs/>
          <w:sz w:val="24"/>
          <w:szCs w:val="24"/>
        </w:rPr>
        <w:t>Certainly</w:t>
      </w:r>
      <w:proofErr w:type="gramEnd"/>
      <w:r w:rsidRPr="00AE3A49">
        <w:rPr>
          <w:rFonts w:ascii="Times New Roman" w:hAnsi="Times New Roman"/>
          <w:bCs/>
          <w:sz w:val="24"/>
          <w:szCs w:val="24"/>
        </w:rPr>
        <w:t xml:space="preserve"> religion is the centerpiece of many people's lives, and many individuals may feel as if religion saved their life. But </w:t>
      </w:r>
    </w:p>
    <w:p w14:paraId="4C692008" w14:textId="77777777" w:rsidR="0012517E" w:rsidRDefault="0012517E" w:rsidP="0012517E">
      <w:pPr>
        <w:pStyle w:val="NoSpacing"/>
        <w:ind w:left="720"/>
        <w:rPr>
          <w:rFonts w:ascii="Times New Roman" w:hAnsi="Times New Roman"/>
          <w:bCs/>
          <w:sz w:val="24"/>
          <w:szCs w:val="24"/>
        </w:rPr>
      </w:pPr>
    </w:p>
    <w:p w14:paraId="77FEBD4D" w14:textId="77777777" w:rsidR="0012517E" w:rsidRPr="00AE3A49" w:rsidRDefault="0012517E" w:rsidP="0012517E">
      <w:pPr>
        <w:pStyle w:val="NoSpacing"/>
        <w:ind w:left="720"/>
        <w:rPr>
          <w:rFonts w:ascii="Times New Roman" w:eastAsia="Times New Roman" w:hAnsi="Times New Roman"/>
          <w:b/>
          <w:bCs/>
          <w:sz w:val="24"/>
          <w:szCs w:val="24"/>
        </w:rPr>
      </w:pPr>
      <w:r w:rsidRPr="00AE3A49">
        <w:rPr>
          <w:rFonts w:ascii="Times New Roman" w:hAnsi="Times New Roman"/>
          <w:bCs/>
          <w:sz w:val="24"/>
          <w:szCs w:val="24"/>
        </w:rPr>
        <w:t xml:space="preserve">essential services focus on the public as a whole -- essential businesses are essential for the lives of everyone, because they are necessary to ensure public health and welfare.” </w:t>
      </w:r>
      <w:bookmarkStart w:id="460" w:name="_Hlk39849371"/>
      <w:bookmarkStart w:id="461" w:name="_Hlk42172466"/>
      <w:r w:rsidR="00BC38B6">
        <w:fldChar w:fldCharType="begin"/>
      </w:r>
      <w:r w:rsidR="00BC38B6">
        <w:instrText xml:space="preserve"> HYPERLINK "https://public.fastcase.com/Wl%2B2t%2BeVuI35%2FN70vAMFZh8%2BLXJi%2BseM2%2Fc2jHlkq%2FfbJ38UuR%2FQUxRgZcrAfdvd" </w:instrText>
      </w:r>
      <w:r w:rsidR="00BC38B6">
        <w:fldChar w:fldCharType="separate"/>
      </w:r>
      <w:r w:rsidRPr="00AE3A49">
        <w:rPr>
          <w:rStyle w:val="Hyperlink"/>
          <w:rFonts w:ascii="Times New Roman" w:hAnsi="Times New Roman"/>
          <w:b/>
          <w:sz w:val="24"/>
          <w:szCs w:val="24"/>
        </w:rPr>
        <w:t>https://public.fastcase.com/Wl%2B2t%2BeVuI35%2FN70vAMFZh8%2BLXJi%2BseM2%2Fc2jHlkq%2FfbJ38UuR%2FQUxRgZcrAfdvd</w:t>
      </w:r>
      <w:r w:rsidR="00BC38B6">
        <w:rPr>
          <w:rStyle w:val="Hyperlink"/>
          <w:rFonts w:ascii="Times New Roman" w:hAnsi="Times New Roman"/>
          <w:b/>
          <w:sz w:val="24"/>
          <w:szCs w:val="24"/>
        </w:rPr>
        <w:fldChar w:fldCharType="end"/>
      </w:r>
      <w:bookmarkEnd w:id="460"/>
      <w:r w:rsidRPr="00AE3A49">
        <w:rPr>
          <w:rFonts w:ascii="Times New Roman" w:hAnsi="Times New Roman"/>
          <w:bCs/>
          <w:sz w:val="24"/>
          <w:szCs w:val="24"/>
        </w:rPr>
        <w:t xml:space="preserve"> </w:t>
      </w:r>
    </w:p>
    <w:bookmarkEnd w:id="459"/>
    <w:p w14:paraId="02B1307B" w14:textId="77777777" w:rsidR="0012517E" w:rsidRPr="00AE3A49" w:rsidRDefault="0012517E" w:rsidP="0012517E">
      <w:pPr>
        <w:spacing w:before="100" w:beforeAutospacing="1" w:after="100" w:afterAutospacing="1" w:line="240" w:lineRule="auto"/>
        <w:rPr>
          <w:rFonts w:ascii="Times New Roman" w:eastAsia="Times New Roman" w:hAnsi="Times New Roman"/>
          <w:b/>
          <w:bCs/>
          <w:sz w:val="24"/>
          <w:szCs w:val="24"/>
        </w:rPr>
      </w:pPr>
      <w:r w:rsidRPr="00AE3A49">
        <w:rPr>
          <w:rFonts w:ascii="Times New Roman" w:eastAsia="Times New Roman" w:hAnsi="Times New Roman"/>
          <w:b/>
          <w:bCs/>
          <w:sz w:val="24"/>
          <w:szCs w:val="24"/>
        </w:rPr>
        <w:t xml:space="preserve">Legal Lessons Learned: Public health and welfare </w:t>
      </w:r>
      <w:proofErr w:type="gramStart"/>
      <w:r w:rsidRPr="00AE3A49">
        <w:rPr>
          <w:rFonts w:ascii="Times New Roman" w:eastAsia="Times New Roman" w:hAnsi="Times New Roman"/>
          <w:b/>
          <w:bCs/>
          <w:sz w:val="24"/>
          <w:szCs w:val="24"/>
        </w:rPr>
        <w:t>prevails</w:t>
      </w:r>
      <w:proofErr w:type="gramEnd"/>
      <w:r w:rsidRPr="00AE3A49">
        <w:rPr>
          <w:rFonts w:ascii="Times New Roman" w:eastAsia="Times New Roman" w:hAnsi="Times New Roman"/>
          <w:b/>
          <w:bCs/>
          <w:sz w:val="24"/>
          <w:szCs w:val="24"/>
        </w:rPr>
        <w:t xml:space="preserve"> over a church’s desire to hold large gatherings.   </w:t>
      </w:r>
    </w:p>
    <w:p w14:paraId="629D9BC0" w14:textId="77777777" w:rsidR="0012517E" w:rsidRPr="00AE3A49" w:rsidRDefault="0012517E" w:rsidP="0012517E">
      <w:pPr>
        <w:pStyle w:val="Heading2"/>
        <w:ind w:left="720"/>
        <w:rPr>
          <w:rFonts w:ascii="Times New Roman" w:hAnsi="Times New Roman"/>
          <w:sz w:val="24"/>
          <w:szCs w:val="24"/>
        </w:rPr>
      </w:pPr>
      <w:r w:rsidRPr="00AE3A49">
        <w:rPr>
          <w:rFonts w:ascii="Times New Roman" w:hAnsi="Times New Roman"/>
          <w:b w:val="0"/>
          <w:bCs w:val="0"/>
          <w:i w:val="0"/>
          <w:iCs w:val="0"/>
          <w:sz w:val="24"/>
          <w:szCs w:val="24"/>
        </w:rPr>
        <w:t xml:space="preserve">Note: See this April 26, </w:t>
      </w:r>
      <w:proofErr w:type="gramStart"/>
      <w:r w:rsidRPr="00AE3A49">
        <w:rPr>
          <w:rFonts w:ascii="Times New Roman" w:hAnsi="Times New Roman"/>
          <w:b w:val="0"/>
          <w:bCs w:val="0"/>
          <w:i w:val="0"/>
          <w:iCs w:val="0"/>
          <w:sz w:val="24"/>
          <w:szCs w:val="24"/>
        </w:rPr>
        <w:t>2020</w:t>
      </w:r>
      <w:proofErr w:type="gramEnd"/>
      <w:r w:rsidRPr="00AE3A49">
        <w:rPr>
          <w:rFonts w:ascii="Times New Roman" w:hAnsi="Times New Roman"/>
          <w:b w:val="0"/>
          <w:bCs w:val="0"/>
          <w:i w:val="0"/>
          <w:iCs w:val="0"/>
          <w:sz w:val="24"/>
          <w:szCs w:val="24"/>
        </w:rPr>
        <w:t xml:space="preserve"> article, “Breaking: Church, Louisville, KY Mayor Reach Agreement in Dispute Over Drive-in Church Services,” </w:t>
      </w:r>
      <w:hyperlink r:id="rId2317" w:history="1">
        <w:r w:rsidRPr="00AE3A49">
          <w:rPr>
            <w:rStyle w:val="Hyperlink"/>
            <w:rFonts w:ascii="Times New Roman" w:hAnsi="Times New Roman"/>
            <w:b w:val="0"/>
            <w:bCs w:val="0"/>
            <w:i w:val="0"/>
            <w:iCs w:val="0"/>
            <w:sz w:val="24"/>
            <w:szCs w:val="24"/>
          </w:rPr>
          <w:t>https://firstliberty.org/media/breaking-church-louisville-ky-mayor-reach-agreement-in-dispute-over-drive-in-church-services/</w:t>
        </w:r>
      </w:hyperlink>
      <w:r w:rsidRPr="00AE3A49">
        <w:rPr>
          <w:rFonts w:ascii="Times New Roman" w:hAnsi="Times New Roman"/>
          <w:sz w:val="24"/>
          <w:szCs w:val="24"/>
        </w:rPr>
        <w:t xml:space="preserve"> </w:t>
      </w:r>
    </w:p>
    <w:bookmarkEnd w:id="461"/>
    <w:p w14:paraId="536CF004" w14:textId="77777777" w:rsidR="0012517E" w:rsidRPr="00AE3A49" w:rsidRDefault="0012517E" w:rsidP="0012517E">
      <w:pPr>
        <w:pStyle w:val="NoSpacing"/>
        <w:rPr>
          <w:rStyle w:val="citation"/>
          <w:rFonts w:ascii="Times New Roman" w:hAnsi="Times New Roman"/>
          <w:b/>
          <w:bCs/>
          <w:sz w:val="24"/>
          <w:szCs w:val="24"/>
        </w:rPr>
      </w:pPr>
    </w:p>
    <w:p w14:paraId="40EFB604" w14:textId="77777777" w:rsidR="0012517E" w:rsidRDefault="0012517E" w:rsidP="002B1283">
      <w:pPr>
        <w:rPr>
          <w:rFonts w:ascii="Arial Black" w:hAnsi="Arial Black"/>
          <w:b/>
          <w:bCs/>
          <w:sz w:val="28"/>
          <w:szCs w:val="28"/>
        </w:rPr>
      </w:pPr>
    </w:p>
    <w:p w14:paraId="0EDEF8B8" w14:textId="1419E841" w:rsidR="0012517E" w:rsidRDefault="0012517E" w:rsidP="002B1283">
      <w:pPr>
        <w:rPr>
          <w:rFonts w:ascii="Arial Black" w:hAnsi="Arial Black"/>
          <w:b/>
          <w:bCs/>
          <w:sz w:val="28"/>
          <w:szCs w:val="28"/>
        </w:rPr>
      </w:pPr>
      <w:r>
        <w:rPr>
          <w:rFonts w:ascii="Arial Black" w:hAnsi="Arial Black"/>
          <w:b/>
          <w:bCs/>
          <w:sz w:val="28"/>
          <w:szCs w:val="28"/>
        </w:rPr>
        <w:t>13-51</w:t>
      </w:r>
    </w:p>
    <w:p w14:paraId="29C69799" w14:textId="77777777" w:rsidR="0012517E" w:rsidRDefault="0012517E" w:rsidP="0012517E">
      <w:pPr>
        <w:pStyle w:val="NoSpacing"/>
        <w:rPr>
          <w:rFonts w:ascii="Arial Black" w:hAnsi="Arial Black"/>
          <w:b/>
          <w:bCs/>
          <w:sz w:val="28"/>
          <w:szCs w:val="28"/>
        </w:rPr>
      </w:pPr>
      <w:bookmarkStart w:id="462" w:name="_Hlk39772248"/>
      <w:r w:rsidRPr="005635B3">
        <w:rPr>
          <w:rFonts w:ascii="Arial Black" w:hAnsi="Arial Black"/>
          <w:bCs/>
          <w:sz w:val="28"/>
          <w:szCs w:val="28"/>
        </w:rPr>
        <w:t xml:space="preserve">NJ: </w:t>
      </w:r>
      <w:r>
        <w:rPr>
          <w:rFonts w:ascii="Arial Black" w:hAnsi="Arial Black"/>
          <w:bCs/>
          <w:sz w:val="28"/>
          <w:szCs w:val="28"/>
        </w:rPr>
        <w:t xml:space="preserve">RETALIATION - EMS SUPERVISOR FIRED – WOULD NOT GIVE FALSE INFO ON EMT SUING HOSP. FOR SEX HAR.  </w:t>
      </w:r>
    </w:p>
    <w:p w14:paraId="42B29921" w14:textId="77777777" w:rsidR="0012517E" w:rsidRDefault="0012517E" w:rsidP="0012517E">
      <w:pPr>
        <w:pStyle w:val="NoSpacing"/>
        <w:rPr>
          <w:rFonts w:ascii="Arial Black" w:hAnsi="Arial Black"/>
          <w:b/>
          <w:bCs/>
          <w:sz w:val="28"/>
          <w:szCs w:val="28"/>
        </w:rPr>
      </w:pPr>
    </w:p>
    <w:p w14:paraId="58A96AF1" w14:textId="04B44F44" w:rsidR="0012517E" w:rsidRPr="00AE3A49" w:rsidRDefault="0012517E" w:rsidP="0012517E">
      <w:pPr>
        <w:pStyle w:val="NoSpacing"/>
        <w:rPr>
          <w:rFonts w:ascii="Times New Roman" w:hAnsi="Times New Roman"/>
          <w:b/>
          <w:bCs/>
          <w:sz w:val="24"/>
          <w:szCs w:val="24"/>
        </w:rPr>
      </w:pPr>
      <w:r w:rsidRPr="00AE3A49">
        <w:rPr>
          <w:rFonts w:ascii="Times New Roman" w:hAnsi="Times New Roman"/>
          <w:bCs/>
          <w:sz w:val="24"/>
          <w:szCs w:val="24"/>
        </w:rPr>
        <w:t xml:space="preserve">On April 14, 2020, in </w:t>
      </w:r>
      <w:r w:rsidRPr="00AE3A49">
        <w:rPr>
          <w:rFonts w:ascii="Times New Roman" w:hAnsi="Times New Roman"/>
          <w:bCs/>
          <w:sz w:val="24"/>
          <w:szCs w:val="24"/>
          <w:u w:val="single"/>
        </w:rPr>
        <w:t>Emiliano Rio v. Meadowlands Hospital Medical Center</w:t>
      </w:r>
      <w:r w:rsidRPr="00AE3A49">
        <w:rPr>
          <w:rFonts w:ascii="Times New Roman" w:hAnsi="Times New Roman"/>
          <w:bCs/>
          <w:sz w:val="24"/>
          <w:szCs w:val="24"/>
        </w:rPr>
        <w:t xml:space="preserve">, the Superior Court of New Jersey, Appellative Division, held (3 to 0) that the trial court judge improperly granted the hospital’s motion for summary judgement;  the EMS Supervisor’s retaliation lawsuit may now proceed to trial.  </w:t>
      </w:r>
    </w:p>
    <w:p w14:paraId="7678853A" w14:textId="77777777" w:rsidR="0012517E" w:rsidRPr="00AE3A49" w:rsidRDefault="0012517E" w:rsidP="0012517E">
      <w:pPr>
        <w:pStyle w:val="NoSpacing"/>
        <w:rPr>
          <w:rFonts w:ascii="Times New Roman" w:hAnsi="Times New Roman"/>
          <w:b/>
          <w:bCs/>
          <w:sz w:val="24"/>
          <w:szCs w:val="24"/>
        </w:rPr>
      </w:pPr>
    </w:p>
    <w:p w14:paraId="089BEE92" w14:textId="77777777" w:rsidR="0012517E" w:rsidRPr="00AE3A49" w:rsidRDefault="0012517E" w:rsidP="0012517E">
      <w:pPr>
        <w:pStyle w:val="NoSpacing"/>
        <w:ind w:left="720"/>
        <w:rPr>
          <w:rFonts w:ascii="Times New Roman" w:hAnsi="Times New Roman"/>
          <w:b/>
          <w:bCs/>
          <w:sz w:val="24"/>
          <w:szCs w:val="24"/>
        </w:rPr>
      </w:pPr>
      <w:r w:rsidRPr="00AE3A49">
        <w:rPr>
          <w:rFonts w:ascii="Times New Roman" w:hAnsi="Times New Roman"/>
          <w:bCs/>
          <w:sz w:val="24"/>
          <w:szCs w:val="24"/>
        </w:rPr>
        <w:t xml:space="preserve">“Based on our review of the record, we are convinced the motion court erred in its determination plaintiff did not present sufficient evidence establishing the good faith and reasonable basis prerequisite for a LAD retaliatory discharge claim established by our Supreme Court in Carmona v. Resorts International Hotel, Inc., 189 N.J. 354, 372 (2007), and we reverse and remand for further proceedings….The facts proffered by plaintiff, which we accept as true for our analysis of the court's disposition of the summary judgment motion, show defendant attempted to retaliate against Bailey for the filing of her LAD complaint. Following the filing of [Ms.] Bailey's [sexual harassment] complaint, defendant requested plaintiff file a baseless complaint for a restraining order against Bailey; conjure up false complaints about Bailey; and make false statements about her. Those requests constitute an attempt by defendant to commit ‘an unlawful employment practice’ in violation of N.J.S.A. 10:5-12(d)—retaliation against Bailey for her filing of a sexual harassment complaint.” </w:t>
      </w:r>
      <w:hyperlink r:id="rId2318" w:history="1">
        <w:r w:rsidRPr="00AE3A49">
          <w:rPr>
            <w:rStyle w:val="Hyperlink"/>
            <w:rFonts w:ascii="Times New Roman" w:hAnsi="Times New Roman"/>
            <w:b/>
            <w:sz w:val="24"/>
            <w:szCs w:val="24"/>
          </w:rPr>
          <w:t>https://njcourts.gov/attorneys/assets/opinions/appellate/published/a3846-18.pdf?c=Npo</w:t>
        </w:r>
      </w:hyperlink>
      <w:r w:rsidRPr="00AE3A49">
        <w:rPr>
          <w:rFonts w:ascii="Times New Roman" w:hAnsi="Times New Roman"/>
          <w:bCs/>
          <w:sz w:val="24"/>
          <w:szCs w:val="24"/>
        </w:rPr>
        <w:t xml:space="preserve"> </w:t>
      </w:r>
    </w:p>
    <w:p w14:paraId="611C0B1D" w14:textId="77777777" w:rsidR="0012517E" w:rsidRPr="00AE3A49" w:rsidRDefault="0012517E" w:rsidP="0012517E">
      <w:pPr>
        <w:pStyle w:val="NoSpacing"/>
        <w:ind w:left="720"/>
        <w:rPr>
          <w:rFonts w:ascii="Times New Roman" w:hAnsi="Times New Roman"/>
          <w:b/>
          <w:bCs/>
          <w:sz w:val="24"/>
          <w:szCs w:val="24"/>
        </w:rPr>
      </w:pPr>
    </w:p>
    <w:bookmarkEnd w:id="462"/>
    <w:p w14:paraId="1057EFD3" w14:textId="77777777" w:rsidR="0012517E" w:rsidRPr="00AE3A49" w:rsidRDefault="0012517E" w:rsidP="0012517E">
      <w:pPr>
        <w:pStyle w:val="NoSpacing"/>
        <w:rPr>
          <w:rFonts w:ascii="Times New Roman" w:hAnsi="Times New Roman"/>
          <w:b/>
          <w:bCs/>
          <w:sz w:val="24"/>
          <w:szCs w:val="24"/>
        </w:rPr>
      </w:pPr>
      <w:r w:rsidRPr="00AE3A49">
        <w:rPr>
          <w:rFonts w:ascii="Times New Roman" w:hAnsi="Times New Roman"/>
          <w:b/>
          <w:bCs/>
          <w:sz w:val="24"/>
          <w:szCs w:val="24"/>
        </w:rPr>
        <w:t xml:space="preserve">Legal Lessons Learned: Employers sued for sexual harassment must be extremely careful in discussions with employees about their dealings with the plaintiff.   It is often best to leave this to legal counsel. </w:t>
      </w:r>
    </w:p>
    <w:p w14:paraId="18983AEF" w14:textId="77777777" w:rsidR="0012517E" w:rsidRPr="00AE3A49" w:rsidRDefault="0012517E" w:rsidP="0012517E">
      <w:pPr>
        <w:pStyle w:val="NoSpacing"/>
        <w:ind w:left="720"/>
        <w:rPr>
          <w:rFonts w:ascii="Times New Roman" w:hAnsi="Times New Roman"/>
          <w:b/>
          <w:bCs/>
          <w:sz w:val="24"/>
          <w:szCs w:val="24"/>
        </w:rPr>
      </w:pPr>
    </w:p>
    <w:p w14:paraId="43D19246" w14:textId="77777777" w:rsidR="0012517E" w:rsidRDefault="0012517E" w:rsidP="002B1283">
      <w:pPr>
        <w:rPr>
          <w:rFonts w:ascii="Arial Black" w:hAnsi="Arial Black"/>
          <w:b/>
          <w:bCs/>
          <w:sz w:val="28"/>
          <w:szCs w:val="28"/>
        </w:rPr>
      </w:pPr>
    </w:p>
    <w:p w14:paraId="4D6EBAAE" w14:textId="1AF85495" w:rsidR="0012517E" w:rsidRDefault="0012517E" w:rsidP="002B1283">
      <w:pPr>
        <w:rPr>
          <w:rFonts w:ascii="Arial Black" w:hAnsi="Arial Black"/>
          <w:b/>
          <w:bCs/>
          <w:sz w:val="28"/>
          <w:szCs w:val="28"/>
        </w:rPr>
      </w:pPr>
      <w:r>
        <w:rPr>
          <w:rFonts w:ascii="Arial Black" w:hAnsi="Arial Black"/>
          <w:b/>
          <w:bCs/>
          <w:sz w:val="28"/>
          <w:szCs w:val="28"/>
        </w:rPr>
        <w:t>13-50</w:t>
      </w:r>
    </w:p>
    <w:p w14:paraId="41A015E7" w14:textId="77777777" w:rsidR="0012517E" w:rsidRPr="009F24CE" w:rsidRDefault="0012517E" w:rsidP="0012517E">
      <w:pPr>
        <w:pStyle w:val="NoSpacing"/>
        <w:rPr>
          <w:rFonts w:ascii="Arial Black" w:hAnsi="Arial Black"/>
          <w:sz w:val="28"/>
          <w:szCs w:val="28"/>
        </w:rPr>
      </w:pPr>
      <w:bookmarkStart w:id="463" w:name="_Hlk39772341"/>
      <w:r w:rsidRPr="009F24CE">
        <w:rPr>
          <w:rFonts w:ascii="Arial Black" w:hAnsi="Arial Black"/>
          <w:sz w:val="28"/>
          <w:szCs w:val="28"/>
        </w:rPr>
        <w:t xml:space="preserve">PA: </w:t>
      </w:r>
      <w:r>
        <w:rPr>
          <w:rFonts w:ascii="Arial Black" w:hAnsi="Arial Black"/>
          <w:sz w:val="28"/>
          <w:szCs w:val="28"/>
        </w:rPr>
        <w:t xml:space="preserve">CORONA VIRUS – POL. CANDIDATE, </w:t>
      </w:r>
      <w:r w:rsidRPr="009F24CE">
        <w:rPr>
          <w:rFonts w:ascii="Arial Black" w:hAnsi="Arial Black"/>
          <w:sz w:val="28"/>
          <w:szCs w:val="28"/>
        </w:rPr>
        <w:t>REAL ESTATE</w:t>
      </w:r>
      <w:r>
        <w:rPr>
          <w:rFonts w:ascii="Arial Black" w:hAnsi="Arial Black"/>
          <w:sz w:val="28"/>
          <w:szCs w:val="28"/>
        </w:rPr>
        <w:t xml:space="preserve"> AGENT</w:t>
      </w:r>
      <w:r w:rsidRPr="009F24CE">
        <w:rPr>
          <w:rFonts w:ascii="Arial Black" w:hAnsi="Arial Black"/>
          <w:sz w:val="28"/>
          <w:szCs w:val="28"/>
        </w:rPr>
        <w:t>, GOLF COURSE</w:t>
      </w:r>
      <w:r>
        <w:rPr>
          <w:rFonts w:ascii="Arial Black" w:hAnsi="Arial Black"/>
          <w:sz w:val="28"/>
          <w:szCs w:val="28"/>
        </w:rPr>
        <w:t xml:space="preserve"> SHUT DOWN - TRO DENIED</w:t>
      </w:r>
    </w:p>
    <w:p w14:paraId="35751ADB" w14:textId="77777777" w:rsidR="0012517E" w:rsidRDefault="0012517E" w:rsidP="0012517E">
      <w:pPr>
        <w:pStyle w:val="NoSpacing"/>
        <w:rPr>
          <w:b/>
          <w:bCs/>
          <w:sz w:val="24"/>
          <w:szCs w:val="24"/>
        </w:rPr>
      </w:pPr>
    </w:p>
    <w:p w14:paraId="68941886" w14:textId="77777777" w:rsidR="0012517E" w:rsidRPr="00AE3A49" w:rsidRDefault="0012517E" w:rsidP="0012517E">
      <w:pPr>
        <w:pStyle w:val="NoSpacing"/>
        <w:rPr>
          <w:rFonts w:ascii="Times New Roman" w:hAnsi="Times New Roman"/>
          <w:b/>
          <w:bCs/>
          <w:sz w:val="24"/>
          <w:szCs w:val="24"/>
        </w:rPr>
      </w:pPr>
      <w:r w:rsidRPr="00AE3A49">
        <w:rPr>
          <w:rFonts w:ascii="Times New Roman" w:hAnsi="Times New Roman"/>
          <w:bCs/>
          <w:sz w:val="24"/>
          <w:szCs w:val="24"/>
        </w:rPr>
        <w:t xml:space="preserve">On April 13, 2020, in </w:t>
      </w:r>
      <w:r w:rsidRPr="00AE3A49">
        <w:rPr>
          <w:rFonts w:ascii="Times New Roman" w:hAnsi="Times New Roman"/>
          <w:bCs/>
          <w:sz w:val="24"/>
          <w:szCs w:val="24"/>
          <w:u w:val="single"/>
        </w:rPr>
        <w:t>Friends of Danny Devito, et al. v. Tom Wolf, Governor</w:t>
      </w:r>
      <w:r w:rsidRPr="00AE3A49">
        <w:rPr>
          <w:rFonts w:ascii="Times New Roman" w:hAnsi="Times New Roman"/>
          <w:bCs/>
          <w:sz w:val="24"/>
          <w:szCs w:val="24"/>
        </w:rPr>
        <w:t xml:space="preserve">, Supreme Court of Pennsylvania, Middle District, the Court held (4 to 3), that Governor lawfully declared an Emergency, and he could shut down their businesses: Candidate for PA House of Representatives; real estate agent; public golf course and restaurant. </w:t>
      </w:r>
    </w:p>
    <w:p w14:paraId="147DCC23" w14:textId="77777777" w:rsidR="0012517E" w:rsidRPr="00AE3A49" w:rsidRDefault="0012517E" w:rsidP="0012517E">
      <w:pPr>
        <w:pStyle w:val="NoSpacing"/>
        <w:rPr>
          <w:rFonts w:ascii="Times New Roman" w:hAnsi="Times New Roman"/>
          <w:b/>
          <w:bCs/>
          <w:sz w:val="24"/>
          <w:szCs w:val="24"/>
        </w:rPr>
      </w:pPr>
    </w:p>
    <w:p w14:paraId="44BB216A" w14:textId="14519AEE" w:rsidR="0012517E" w:rsidRDefault="0012517E" w:rsidP="0012517E">
      <w:pPr>
        <w:pStyle w:val="NoSpacing"/>
        <w:ind w:left="720"/>
        <w:rPr>
          <w:rFonts w:ascii="Times New Roman" w:hAnsi="Times New Roman"/>
          <w:bCs/>
          <w:sz w:val="24"/>
          <w:szCs w:val="24"/>
        </w:rPr>
      </w:pPr>
      <w:r w:rsidRPr="00AE3A49">
        <w:rPr>
          <w:rFonts w:ascii="Times New Roman" w:hAnsi="Times New Roman"/>
          <w:bCs/>
          <w:sz w:val="24"/>
          <w:szCs w:val="24"/>
        </w:rPr>
        <w:t xml:space="preserve">“Petitioners are four Pennsylvania businesses and one individual seeking extraordinary relief from Governor Wolf’s March 19, 2020 order (the ‘Executive Order’) compelling the closure of the physical operations of all non-life-sustaining business to reduce the spread of the novel coronavirus disease (‘COVID-19’).The businesses of the Petitioners were classified as non-life-sustaining…. Petitioners suggest that the public </w:t>
      </w:r>
    </w:p>
    <w:p w14:paraId="59FDA9FC" w14:textId="77777777" w:rsidR="0012517E" w:rsidRPr="00AE3A49" w:rsidRDefault="0012517E" w:rsidP="0012517E">
      <w:pPr>
        <w:pStyle w:val="NoSpacing"/>
        <w:ind w:left="720"/>
        <w:rPr>
          <w:rFonts w:ascii="Times New Roman" w:hAnsi="Times New Roman"/>
          <w:b/>
          <w:bCs/>
          <w:sz w:val="24"/>
          <w:szCs w:val="24"/>
        </w:rPr>
      </w:pPr>
      <w:r w:rsidRPr="00AE3A49">
        <w:rPr>
          <w:rFonts w:ascii="Times New Roman" w:hAnsi="Times New Roman"/>
          <w:bCs/>
          <w:sz w:val="24"/>
          <w:szCs w:val="24"/>
        </w:rPr>
        <w:t xml:space="preserve">interest would best be served by keeping businesses open to maintain the free flow of business. Although they cite to none, we are certain that there are some economists and social scientists who support that policy position. But the policy choice in this emergency was for the Governor and the Secretary to make and so long as the means chosen to meet the emergency are reasonably necessary for the purpose of combating the ravages of COVID-19, it is supported by the police power. The choice made by the Respondents was tailored to the nature of the emergency and utilized a recognized tool, business closures, to enforce social distancing to mitigate and suppress the continued spread of COVID-19. </w:t>
      </w:r>
      <w:hyperlink r:id="rId2319" w:history="1">
        <w:r w:rsidRPr="00AE3A49">
          <w:rPr>
            <w:rStyle w:val="Hyperlink"/>
            <w:rFonts w:ascii="Times New Roman" w:hAnsi="Times New Roman"/>
            <w:b/>
            <w:sz w:val="24"/>
            <w:szCs w:val="24"/>
          </w:rPr>
          <w:t>http://www.pacourts.us/assets/opinions/Supreme/out/68MM2020mo%20-%2010439399799476700.pdf?cb=1</w:t>
        </w:r>
      </w:hyperlink>
      <w:r w:rsidRPr="00AE3A49">
        <w:rPr>
          <w:rFonts w:ascii="Times New Roman" w:hAnsi="Times New Roman"/>
          <w:bCs/>
          <w:sz w:val="24"/>
          <w:szCs w:val="24"/>
        </w:rPr>
        <w:t xml:space="preserve"> </w:t>
      </w:r>
    </w:p>
    <w:bookmarkEnd w:id="463"/>
    <w:p w14:paraId="736F1783" w14:textId="77777777" w:rsidR="0012517E" w:rsidRPr="00AE3A49" w:rsidRDefault="0012517E" w:rsidP="0012517E">
      <w:pPr>
        <w:pStyle w:val="Heading1"/>
        <w:rPr>
          <w:bCs w:val="0"/>
          <w:sz w:val="24"/>
          <w:szCs w:val="24"/>
        </w:rPr>
      </w:pPr>
      <w:r w:rsidRPr="00AE3A49">
        <w:rPr>
          <w:bCs w:val="0"/>
          <w:sz w:val="24"/>
          <w:szCs w:val="24"/>
        </w:rPr>
        <w:t xml:space="preserve">Legal Lessons Learned:  Governor has broad emergency powers under State statutes. </w:t>
      </w:r>
    </w:p>
    <w:p w14:paraId="07E5FD2C" w14:textId="77777777" w:rsidR="0012517E" w:rsidRPr="00AE3A49" w:rsidRDefault="0012517E" w:rsidP="0012517E">
      <w:pPr>
        <w:pStyle w:val="Heading1"/>
        <w:ind w:left="720"/>
        <w:rPr>
          <w:b w:val="0"/>
          <w:bCs w:val="0"/>
          <w:sz w:val="24"/>
          <w:szCs w:val="24"/>
        </w:rPr>
      </w:pPr>
      <w:r w:rsidRPr="00AE3A49">
        <w:rPr>
          <w:b w:val="0"/>
          <w:sz w:val="24"/>
          <w:szCs w:val="24"/>
        </w:rPr>
        <w:t xml:space="preserve">Note: See newspaper article on the decision: “Split Pa. Supreme Court rejects latest challenge to Gov. Wolf’s coronavirus business shutdown order,” </w:t>
      </w:r>
      <w:hyperlink r:id="rId2320" w:history="1">
        <w:r w:rsidRPr="00AE3A49">
          <w:rPr>
            <w:rStyle w:val="Hyperlink"/>
            <w:sz w:val="24"/>
            <w:szCs w:val="24"/>
          </w:rPr>
          <w:t>https://www.pennlive.com/news/2020/04/split-pa-supreme-court-rejects-latest-challenge-to-gov-wolfs-coronavirus-business-shutdown-order.html</w:t>
        </w:r>
      </w:hyperlink>
      <w:r w:rsidRPr="00AE3A49">
        <w:rPr>
          <w:b w:val="0"/>
          <w:bCs w:val="0"/>
          <w:sz w:val="24"/>
          <w:szCs w:val="24"/>
        </w:rPr>
        <w:t xml:space="preserve"> </w:t>
      </w:r>
    </w:p>
    <w:p w14:paraId="12C7EEB2" w14:textId="77777777" w:rsidR="0012517E" w:rsidRDefault="0012517E" w:rsidP="002B1283">
      <w:pPr>
        <w:rPr>
          <w:rFonts w:ascii="Arial Black" w:hAnsi="Arial Black"/>
          <w:b/>
          <w:bCs/>
          <w:sz w:val="28"/>
          <w:szCs w:val="28"/>
        </w:rPr>
      </w:pPr>
    </w:p>
    <w:p w14:paraId="3BF8FAE3" w14:textId="2BFC8D5D" w:rsidR="0012517E" w:rsidRDefault="0012517E" w:rsidP="002B1283">
      <w:pPr>
        <w:rPr>
          <w:rFonts w:ascii="Arial Black" w:hAnsi="Arial Black"/>
          <w:b/>
          <w:bCs/>
          <w:sz w:val="28"/>
          <w:szCs w:val="28"/>
        </w:rPr>
      </w:pPr>
      <w:r>
        <w:rPr>
          <w:rFonts w:ascii="Arial Black" w:hAnsi="Arial Black"/>
          <w:b/>
          <w:bCs/>
          <w:sz w:val="28"/>
          <w:szCs w:val="28"/>
        </w:rPr>
        <w:t>13-49</w:t>
      </w:r>
    </w:p>
    <w:p w14:paraId="14C2C218" w14:textId="77777777" w:rsidR="0012517E" w:rsidRPr="009F24CE" w:rsidRDefault="0012517E" w:rsidP="0012517E">
      <w:pPr>
        <w:pStyle w:val="NoSpacing"/>
        <w:rPr>
          <w:rFonts w:ascii="Arial Black" w:hAnsi="Arial Black"/>
          <w:b/>
          <w:bCs/>
          <w:sz w:val="28"/>
          <w:szCs w:val="28"/>
        </w:rPr>
      </w:pPr>
      <w:bookmarkStart w:id="464" w:name="_Hlk38437864"/>
      <w:bookmarkStart w:id="465" w:name="_Hlk39772406"/>
      <w:r w:rsidRPr="009F24CE">
        <w:rPr>
          <w:rFonts w:ascii="Arial Black" w:hAnsi="Arial Black"/>
          <w:bCs/>
          <w:sz w:val="28"/>
          <w:szCs w:val="28"/>
        </w:rPr>
        <w:t xml:space="preserve">KS: </w:t>
      </w:r>
      <w:r>
        <w:rPr>
          <w:rFonts w:ascii="Arial Black" w:hAnsi="Arial Black"/>
          <w:bCs/>
          <w:sz w:val="28"/>
          <w:szCs w:val="28"/>
        </w:rPr>
        <w:t xml:space="preserve">CORONA VIRUS – STATE LEGISLATIVE COMMITTEE CAN’T OVERRULE GOVERNOR’S LIMITS 10 PEOPLE </w:t>
      </w:r>
    </w:p>
    <w:p w14:paraId="0E9CCFDD" w14:textId="77777777" w:rsidR="0012517E" w:rsidRDefault="0012517E" w:rsidP="0012517E">
      <w:pPr>
        <w:pStyle w:val="NoSpacing"/>
        <w:ind w:left="720"/>
        <w:rPr>
          <w:b/>
          <w:bCs/>
          <w:sz w:val="24"/>
          <w:szCs w:val="24"/>
        </w:rPr>
      </w:pPr>
    </w:p>
    <w:p w14:paraId="30DF0D27" w14:textId="77777777" w:rsidR="0012517E" w:rsidRPr="00D61723" w:rsidRDefault="0012517E" w:rsidP="0012517E">
      <w:pPr>
        <w:pStyle w:val="NoSpacing"/>
        <w:rPr>
          <w:rFonts w:ascii="Times New Roman" w:hAnsi="Times New Roman"/>
          <w:b/>
          <w:bCs/>
          <w:sz w:val="24"/>
          <w:szCs w:val="24"/>
        </w:rPr>
      </w:pPr>
      <w:r w:rsidRPr="00D61723">
        <w:rPr>
          <w:rFonts w:ascii="Times New Roman" w:hAnsi="Times New Roman"/>
          <w:bCs/>
          <w:sz w:val="24"/>
          <w:szCs w:val="24"/>
        </w:rPr>
        <w:t xml:space="preserve">On April 11, 2020, in </w:t>
      </w:r>
      <w:r w:rsidRPr="00D61723">
        <w:rPr>
          <w:rFonts w:ascii="Times New Roman" w:hAnsi="Times New Roman"/>
          <w:bCs/>
          <w:sz w:val="24"/>
          <w:szCs w:val="24"/>
          <w:u w:val="single"/>
        </w:rPr>
        <w:t>Governor Laura Kelly v. Legislative Coordinating Council, Kansas House of Representatives, and Kansas Senate</w:t>
      </w:r>
      <w:r w:rsidRPr="00D61723">
        <w:rPr>
          <w:rFonts w:ascii="Times New Roman" w:hAnsi="Times New Roman"/>
          <w:bCs/>
          <w:sz w:val="24"/>
          <w:szCs w:val="24"/>
        </w:rPr>
        <w:t>, the Kansas Supreme Court held (7 to 0) that the Legislative Council cannot revoke an Executive Order of the Governor.  On April 8, the LCC convened pursuant to HCR5025. By 5-to-2vote, it revoked Executive Order 20-18.</w:t>
      </w:r>
    </w:p>
    <w:bookmarkEnd w:id="464"/>
    <w:p w14:paraId="78087006" w14:textId="77777777" w:rsidR="0012517E" w:rsidRPr="00D61723" w:rsidRDefault="0012517E" w:rsidP="0012517E">
      <w:pPr>
        <w:pStyle w:val="NoSpacing"/>
        <w:ind w:left="720"/>
        <w:rPr>
          <w:rFonts w:ascii="Times New Roman" w:hAnsi="Times New Roman"/>
          <w:b/>
          <w:bCs/>
          <w:sz w:val="24"/>
          <w:szCs w:val="24"/>
        </w:rPr>
      </w:pPr>
    </w:p>
    <w:p w14:paraId="76BE94BB" w14:textId="77777777" w:rsidR="0012517E" w:rsidRPr="00D61723" w:rsidRDefault="0012517E" w:rsidP="0012517E">
      <w:pPr>
        <w:pStyle w:val="NoSpacing"/>
        <w:ind w:left="720"/>
        <w:rPr>
          <w:rFonts w:ascii="Times New Roman" w:hAnsi="Times New Roman"/>
          <w:b/>
          <w:bCs/>
          <w:sz w:val="24"/>
          <w:szCs w:val="24"/>
        </w:rPr>
      </w:pPr>
      <w:r w:rsidRPr="00D61723">
        <w:rPr>
          <w:rFonts w:ascii="Times New Roman" w:hAnsi="Times New Roman"/>
          <w:bCs/>
          <w:sz w:val="24"/>
          <w:szCs w:val="24"/>
        </w:rPr>
        <w:t xml:space="preserve">“On April 7, Governor Kelly used her K.S.A. 2019 Supp. 48-925(b) powers to issue Executive Order 20-18, relating to her March 12 emergency proclamation. Among other things, it </w:t>
      </w:r>
      <w:proofErr w:type="gramStart"/>
      <w:r w:rsidRPr="00D61723">
        <w:rPr>
          <w:rFonts w:ascii="Times New Roman" w:hAnsi="Times New Roman"/>
          <w:bCs/>
          <w:sz w:val="24"/>
          <w:szCs w:val="24"/>
        </w:rPr>
        <w:t>temporarily</w:t>
      </w:r>
      <w:proofErr w:type="gramEnd"/>
      <w:r w:rsidRPr="00D61723">
        <w:rPr>
          <w:rFonts w:ascii="Times New Roman" w:hAnsi="Times New Roman"/>
          <w:bCs/>
          <w:sz w:val="24"/>
          <w:szCs w:val="24"/>
        </w:rPr>
        <w:t xml:space="preserve"> prohibited, subject to several </w:t>
      </w:r>
      <w:proofErr w:type="gramStart"/>
      <w:r w:rsidRPr="00D61723">
        <w:rPr>
          <w:rFonts w:ascii="Times New Roman" w:hAnsi="Times New Roman"/>
          <w:bCs/>
          <w:sz w:val="24"/>
          <w:szCs w:val="24"/>
        </w:rPr>
        <w:t>exemptions, ‘</w:t>
      </w:r>
      <w:proofErr w:type="gramEnd"/>
      <w:r w:rsidRPr="00D61723">
        <w:rPr>
          <w:rFonts w:ascii="Times New Roman" w:hAnsi="Times New Roman"/>
          <w:bCs/>
          <w:sz w:val="24"/>
          <w:szCs w:val="24"/>
        </w:rPr>
        <w:t>mass gatherings,’ defined as ‘any planned or spontaneous, public or private event[s] or convening[s] that will bring together or [are] likely to bring together more than 10 people in a confined or enclosed space at the same time.’ Executive Order 20-18 rescinded and replaced an earlier, substantially similar executive order. But Executive Order 20-18 differed in that it removed ‘[r]</w:t>
      </w:r>
      <w:proofErr w:type="spellStart"/>
      <w:r w:rsidRPr="00D61723">
        <w:rPr>
          <w:rFonts w:ascii="Times New Roman" w:hAnsi="Times New Roman"/>
          <w:bCs/>
          <w:sz w:val="24"/>
          <w:szCs w:val="24"/>
        </w:rPr>
        <w:t>eligious</w:t>
      </w:r>
      <w:proofErr w:type="spellEnd"/>
      <w:r w:rsidRPr="00D61723">
        <w:rPr>
          <w:rFonts w:ascii="Times New Roman" w:hAnsi="Times New Roman"/>
          <w:bCs/>
          <w:sz w:val="24"/>
          <w:szCs w:val="24"/>
        </w:rPr>
        <w:t xml:space="preserve"> gatherings’ and ‘[f]unreal or memorial services or ceremonies’ from the list of ‘activities or facilities’ exempt from the temporary prohibition of mass gatherings…. The Court has considered and grants in part the Governor's Petition in Quo Warranto. The LCC's purported revocation of Executive Order20-18 on April 8 was a nullity, because the LCC lacked authority do so under HCR5025's terms.” </w:t>
      </w:r>
      <w:bookmarkStart w:id="466" w:name="_Hlk38437889"/>
      <w:r w:rsidRPr="00D61723">
        <w:fldChar w:fldCharType="begin"/>
      </w:r>
      <w:r w:rsidRPr="00D61723">
        <w:rPr>
          <w:rFonts w:ascii="Times New Roman" w:hAnsi="Times New Roman"/>
          <w:sz w:val="24"/>
          <w:szCs w:val="24"/>
        </w:rPr>
        <w:instrText xml:space="preserve"> HYPERLINK "https://www.kscourts.org/KSCourts/media/KsCourts/Opinions/122765.pdf" </w:instrText>
      </w:r>
      <w:r w:rsidRPr="00D61723">
        <w:fldChar w:fldCharType="separate"/>
      </w:r>
      <w:r w:rsidRPr="00D61723">
        <w:rPr>
          <w:rStyle w:val="Hyperlink"/>
          <w:rFonts w:ascii="Times New Roman" w:hAnsi="Times New Roman"/>
          <w:b/>
          <w:sz w:val="24"/>
          <w:szCs w:val="24"/>
        </w:rPr>
        <w:t>https://www.kscourts.org/KSCourts/media/KsCourts/Opinions/122765.pdf</w:t>
      </w:r>
      <w:r w:rsidRPr="00D61723">
        <w:rPr>
          <w:rStyle w:val="Hyperlink"/>
          <w:rFonts w:ascii="Times New Roman" w:hAnsi="Times New Roman"/>
          <w:b/>
          <w:bCs/>
          <w:sz w:val="24"/>
          <w:szCs w:val="24"/>
        </w:rPr>
        <w:fldChar w:fldCharType="end"/>
      </w:r>
      <w:r w:rsidRPr="00D61723">
        <w:rPr>
          <w:rFonts w:ascii="Times New Roman" w:hAnsi="Times New Roman"/>
          <w:bCs/>
          <w:sz w:val="24"/>
          <w:szCs w:val="24"/>
        </w:rPr>
        <w:t xml:space="preserve"> </w:t>
      </w:r>
    </w:p>
    <w:bookmarkEnd w:id="465"/>
    <w:bookmarkEnd w:id="466"/>
    <w:p w14:paraId="085CC232" w14:textId="77777777" w:rsidR="0012517E" w:rsidRPr="00D61723" w:rsidRDefault="0012517E" w:rsidP="0012517E">
      <w:pPr>
        <w:spacing w:before="100" w:beforeAutospacing="1" w:after="100" w:afterAutospacing="1" w:line="240" w:lineRule="auto"/>
        <w:rPr>
          <w:rFonts w:ascii="Times New Roman" w:hAnsi="Times New Roman"/>
          <w:b/>
          <w:bCs/>
          <w:sz w:val="24"/>
          <w:szCs w:val="24"/>
        </w:rPr>
      </w:pPr>
      <w:r w:rsidRPr="00D61723">
        <w:rPr>
          <w:rFonts w:ascii="Times New Roman" w:hAnsi="Times New Roman"/>
          <w:b/>
          <w:bCs/>
          <w:sz w:val="24"/>
          <w:szCs w:val="24"/>
        </w:rPr>
        <w:t xml:space="preserve">Legal Lessons Learned:  A Legislative Committee does not have power to overturn Governor. </w:t>
      </w:r>
    </w:p>
    <w:p w14:paraId="6992C02B" w14:textId="77777777" w:rsidR="0012517E" w:rsidRPr="00D61723" w:rsidRDefault="0012517E" w:rsidP="0012517E">
      <w:pPr>
        <w:spacing w:before="100" w:beforeAutospacing="1" w:after="100" w:afterAutospacing="1" w:line="240" w:lineRule="auto"/>
        <w:ind w:left="720"/>
        <w:rPr>
          <w:rFonts w:ascii="Times New Roman" w:eastAsia="Times New Roman" w:hAnsi="Times New Roman"/>
          <w:sz w:val="24"/>
          <w:szCs w:val="24"/>
        </w:rPr>
      </w:pPr>
      <w:r w:rsidRPr="00D61723">
        <w:rPr>
          <w:rFonts w:ascii="Times New Roman" w:hAnsi="Times New Roman"/>
          <w:sz w:val="24"/>
          <w:szCs w:val="24"/>
        </w:rPr>
        <w:t>Note:</w:t>
      </w:r>
      <w:r w:rsidRPr="00D61723">
        <w:rPr>
          <w:rFonts w:ascii="Times New Roman" w:hAnsi="Times New Roman"/>
          <w:b/>
          <w:bCs/>
          <w:sz w:val="24"/>
          <w:szCs w:val="24"/>
        </w:rPr>
        <w:t xml:space="preserve"> </w:t>
      </w:r>
      <w:r w:rsidRPr="00D61723">
        <w:rPr>
          <w:rFonts w:ascii="Times New Roman" w:hAnsi="Times New Roman"/>
          <w:sz w:val="24"/>
          <w:szCs w:val="24"/>
        </w:rPr>
        <w:t xml:space="preserve">See the April 12, </w:t>
      </w:r>
      <w:proofErr w:type="gramStart"/>
      <w:r w:rsidRPr="00D61723">
        <w:rPr>
          <w:rFonts w:ascii="Times New Roman" w:hAnsi="Times New Roman"/>
          <w:sz w:val="24"/>
          <w:szCs w:val="24"/>
        </w:rPr>
        <w:t>2020</w:t>
      </w:r>
      <w:proofErr w:type="gramEnd"/>
      <w:r w:rsidRPr="00D61723">
        <w:rPr>
          <w:rFonts w:ascii="Times New Roman" w:hAnsi="Times New Roman"/>
          <w:sz w:val="24"/>
          <w:szCs w:val="24"/>
        </w:rPr>
        <w:t xml:space="preserve"> article about this decision:</w:t>
      </w:r>
      <w:r w:rsidRPr="00D61723">
        <w:rPr>
          <w:rFonts w:ascii="Times New Roman" w:hAnsi="Times New Roman"/>
          <w:b/>
          <w:bCs/>
          <w:sz w:val="24"/>
          <w:szCs w:val="24"/>
        </w:rPr>
        <w:t xml:space="preserve"> “</w:t>
      </w:r>
      <w:r w:rsidRPr="00D61723">
        <w:rPr>
          <w:rFonts w:ascii="Times New Roman" w:eastAsia="Times New Roman" w:hAnsi="Times New Roman"/>
          <w:kern w:val="36"/>
          <w:sz w:val="24"/>
          <w:szCs w:val="24"/>
        </w:rPr>
        <w:t xml:space="preserve">Kansas Supreme Court Upholds Governor's Order Limiting </w:t>
      </w:r>
      <w:proofErr w:type="gramStart"/>
      <w:r w:rsidRPr="00D61723">
        <w:rPr>
          <w:rFonts w:ascii="Times New Roman" w:eastAsia="Times New Roman" w:hAnsi="Times New Roman"/>
          <w:kern w:val="36"/>
          <w:sz w:val="24"/>
          <w:szCs w:val="24"/>
        </w:rPr>
        <w:t>The</w:t>
      </w:r>
      <w:proofErr w:type="gramEnd"/>
      <w:r w:rsidRPr="00D61723">
        <w:rPr>
          <w:rFonts w:ascii="Times New Roman" w:eastAsia="Times New Roman" w:hAnsi="Times New Roman"/>
          <w:kern w:val="36"/>
          <w:sz w:val="24"/>
          <w:szCs w:val="24"/>
        </w:rPr>
        <w:t xml:space="preserve"> Size </w:t>
      </w:r>
      <w:proofErr w:type="gramStart"/>
      <w:r w:rsidRPr="00D61723">
        <w:rPr>
          <w:rFonts w:ascii="Times New Roman" w:eastAsia="Times New Roman" w:hAnsi="Times New Roman"/>
          <w:kern w:val="36"/>
          <w:sz w:val="24"/>
          <w:szCs w:val="24"/>
        </w:rPr>
        <w:t>Of</w:t>
      </w:r>
      <w:proofErr w:type="gramEnd"/>
      <w:r w:rsidRPr="00D61723">
        <w:rPr>
          <w:rFonts w:ascii="Times New Roman" w:eastAsia="Times New Roman" w:hAnsi="Times New Roman"/>
          <w:kern w:val="36"/>
          <w:sz w:val="24"/>
          <w:szCs w:val="24"/>
        </w:rPr>
        <w:t xml:space="preserve"> Easter Services,”  </w:t>
      </w:r>
      <w:hyperlink r:id="rId2321" w:history="1">
        <w:r w:rsidRPr="00D61723">
          <w:rPr>
            <w:rStyle w:val="Hyperlink"/>
            <w:rFonts w:ascii="Times New Roman" w:hAnsi="Times New Roman"/>
            <w:sz w:val="24"/>
            <w:szCs w:val="24"/>
          </w:rPr>
          <w:t>https://www.npr.org/sections/coronavirus-live-updates/2020/04/12/832644243/kansas-supreme-court-upholds-governors-order-limiting-the-size-of-easter-service</w:t>
        </w:r>
      </w:hyperlink>
      <w:r w:rsidRPr="00D61723">
        <w:rPr>
          <w:rFonts w:ascii="Times New Roman" w:eastAsia="Times New Roman" w:hAnsi="Times New Roman"/>
          <w:sz w:val="24"/>
          <w:szCs w:val="24"/>
        </w:rPr>
        <w:t xml:space="preserve"> </w:t>
      </w:r>
    </w:p>
    <w:p w14:paraId="6A51E4A8" w14:textId="77777777" w:rsidR="0012517E" w:rsidRDefault="0012517E" w:rsidP="002B1283">
      <w:pPr>
        <w:rPr>
          <w:rFonts w:ascii="Arial Black" w:hAnsi="Arial Black"/>
          <w:b/>
          <w:bCs/>
          <w:sz w:val="28"/>
          <w:szCs w:val="28"/>
        </w:rPr>
      </w:pPr>
    </w:p>
    <w:p w14:paraId="02BAA80F" w14:textId="30E285CA" w:rsidR="0012517E" w:rsidRDefault="0012517E" w:rsidP="002B1283">
      <w:pPr>
        <w:rPr>
          <w:rFonts w:ascii="Arial Black" w:hAnsi="Arial Black"/>
          <w:b/>
          <w:bCs/>
          <w:sz w:val="28"/>
          <w:szCs w:val="28"/>
        </w:rPr>
      </w:pPr>
      <w:r>
        <w:rPr>
          <w:rFonts w:ascii="Arial Black" w:hAnsi="Arial Black"/>
          <w:b/>
          <w:bCs/>
          <w:sz w:val="28"/>
          <w:szCs w:val="28"/>
        </w:rPr>
        <w:t>13-48</w:t>
      </w:r>
    </w:p>
    <w:p w14:paraId="4E9F5E3B" w14:textId="77777777" w:rsidR="0012517E" w:rsidRDefault="0012517E" w:rsidP="0012517E">
      <w:pPr>
        <w:pStyle w:val="NoSpacing"/>
      </w:pPr>
      <w:bookmarkStart w:id="467" w:name="_Hlk39819679"/>
      <w:r>
        <w:rPr>
          <w:rFonts w:ascii="Arial Black" w:hAnsi="Arial Black"/>
          <w:sz w:val="28"/>
          <w:szCs w:val="28"/>
        </w:rPr>
        <w:t>TX: EMS CHECKED OUT OVERDOSE PATIENT AT SCENE – HIT HIS HEAD 40+ POLICE CRUISER GOING JAIL – DIED - EMS IMMUNITY, NOT PD</w:t>
      </w:r>
    </w:p>
    <w:p w14:paraId="52EED673" w14:textId="77777777" w:rsidR="0012517E" w:rsidRDefault="0012517E" w:rsidP="0012517E">
      <w:pPr>
        <w:pStyle w:val="NoSpacing"/>
        <w:rPr>
          <w:b/>
          <w:bCs/>
          <w:sz w:val="24"/>
          <w:szCs w:val="24"/>
        </w:rPr>
      </w:pPr>
    </w:p>
    <w:p w14:paraId="2FA5CB87" w14:textId="740F405A" w:rsidR="0012517E" w:rsidRPr="00D61723" w:rsidRDefault="0012517E" w:rsidP="0012517E">
      <w:pPr>
        <w:pStyle w:val="NoSpacing"/>
        <w:rPr>
          <w:rFonts w:ascii="Times New Roman" w:hAnsi="Times New Roman"/>
          <w:b/>
          <w:bCs/>
          <w:sz w:val="24"/>
          <w:szCs w:val="24"/>
        </w:rPr>
      </w:pPr>
      <w:r w:rsidRPr="00D61723">
        <w:rPr>
          <w:rFonts w:ascii="Times New Roman" w:hAnsi="Times New Roman"/>
          <w:bCs/>
          <w:sz w:val="24"/>
          <w:szCs w:val="24"/>
        </w:rPr>
        <w:t xml:space="preserve">On April 9, 2020, in </w:t>
      </w:r>
      <w:r w:rsidRPr="00D61723">
        <w:rPr>
          <w:rFonts w:ascii="Times New Roman" w:hAnsi="Times New Roman"/>
          <w:bCs/>
          <w:sz w:val="24"/>
          <w:szCs w:val="24"/>
          <w:u w:val="single"/>
        </w:rPr>
        <w:t>Kathy Dyer &amp; Robert Dyer  v. Richard Houston, et al.</w:t>
      </w:r>
      <w:r w:rsidRPr="00D61723">
        <w:rPr>
          <w:rFonts w:ascii="Times New Roman" w:hAnsi="Times New Roman"/>
          <w:bCs/>
          <w:sz w:val="24"/>
          <w:szCs w:val="24"/>
        </w:rPr>
        <w:t>, the U.S. Court of Appeals for the 5</w:t>
      </w:r>
      <w:r w:rsidRPr="00D61723">
        <w:rPr>
          <w:rFonts w:ascii="Times New Roman" w:hAnsi="Times New Roman"/>
          <w:bCs/>
          <w:sz w:val="24"/>
          <w:szCs w:val="24"/>
          <w:vertAlign w:val="superscript"/>
        </w:rPr>
        <w:t>th</w:t>
      </w:r>
      <w:r w:rsidRPr="00D61723">
        <w:rPr>
          <w:rFonts w:ascii="Times New Roman" w:hAnsi="Times New Roman"/>
          <w:bCs/>
          <w:sz w:val="24"/>
          <w:szCs w:val="24"/>
        </w:rPr>
        <w:t xml:space="preserve"> Circuit (New Orleans), held (3 to 0) that the U.S. District Court judge properly granted the paramedics’ motion to dismiss </w:t>
      </w:r>
      <w:proofErr w:type="gramStart"/>
      <w:r w:rsidRPr="00D61723">
        <w:rPr>
          <w:rFonts w:ascii="Times New Roman" w:hAnsi="Times New Roman"/>
          <w:bCs/>
          <w:sz w:val="24"/>
          <w:szCs w:val="24"/>
        </w:rPr>
        <w:t>on the basis of</w:t>
      </w:r>
      <w:proofErr w:type="gramEnd"/>
      <w:r w:rsidRPr="00D61723">
        <w:rPr>
          <w:rFonts w:ascii="Times New Roman" w:hAnsi="Times New Roman"/>
          <w:bCs/>
          <w:sz w:val="24"/>
          <w:szCs w:val="24"/>
        </w:rPr>
        <w:t xml:space="preserve"> qualified immunity; there was no proof of “deliberate indifference.”  Court, however, reinstated the lawsuit against the police officers since patient hit his head over 40 times in </w:t>
      </w:r>
      <w:r w:rsidR="0013686B">
        <w:rPr>
          <w:rFonts w:ascii="Times New Roman" w:hAnsi="Times New Roman"/>
          <w:bCs/>
          <w:sz w:val="24"/>
          <w:szCs w:val="24"/>
        </w:rPr>
        <w:t xml:space="preserve">the </w:t>
      </w:r>
      <w:r w:rsidRPr="00D61723">
        <w:rPr>
          <w:rFonts w:ascii="Times New Roman" w:hAnsi="Times New Roman"/>
          <w:bCs/>
          <w:sz w:val="24"/>
          <w:szCs w:val="24"/>
        </w:rPr>
        <w:t>back</w:t>
      </w:r>
      <w:r w:rsidR="0013686B">
        <w:rPr>
          <w:rFonts w:ascii="Times New Roman" w:hAnsi="Times New Roman"/>
          <w:bCs/>
          <w:sz w:val="24"/>
          <w:szCs w:val="24"/>
        </w:rPr>
        <w:t xml:space="preserve"> seat</w:t>
      </w:r>
      <w:r w:rsidRPr="00D61723">
        <w:rPr>
          <w:rFonts w:ascii="Times New Roman" w:hAnsi="Times New Roman"/>
          <w:bCs/>
          <w:sz w:val="24"/>
          <w:szCs w:val="24"/>
        </w:rPr>
        <w:t xml:space="preserve"> of </w:t>
      </w:r>
      <w:r w:rsidR="0013686B">
        <w:rPr>
          <w:rFonts w:ascii="Times New Roman" w:hAnsi="Times New Roman"/>
          <w:bCs/>
          <w:sz w:val="24"/>
          <w:szCs w:val="24"/>
        </w:rPr>
        <w:t xml:space="preserve">a </w:t>
      </w:r>
      <w:r w:rsidRPr="00D61723">
        <w:rPr>
          <w:rFonts w:ascii="Times New Roman" w:hAnsi="Times New Roman"/>
          <w:bCs/>
          <w:sz w:val="24"/>
          <w:szCs w:val="24"/>
        </w:rPr>
        <w:t xml:space="preserve">police cruiser. </w:t>
      </w:r>
    </w:p>
    <w:p w14:paraId="067DB40B" w14:textId="77777777" w:rsidR="0012517E" w:rsidRPr="00D61723" w:rsidRDefault="0012517E" w:rsidP="0012517E">
      <w:pPr>
        <w:pStyle w:val="NoSpacing"/>
        <w:rPr>
          <w:rFonts w:ascii="Times New Roman" w:hAnsi="Times New Roman"/>
          <w:b/>
          <w:bCs/>
          <w:sz w:val="24"/>
          <w:szCs w:val="24"/>
        </w:rPr>
      </w:pPr>
    </w:p>
    <w:p w14:paraId="7D336CD9" w14:textId="1F70ADBD" w:rsidR="0012517E" w:rsidRDefault="0012517E" w:rsidP="0012517E">
      <w:pPr>
        <w:ind w:left="720"/>
        <w:rPr>
          <w:rFonts w:ascii="Arial Black" w:hAnsi="Arial Black"/>
          <w:b/>
          <w:bCs/>
          <w:sz w:val="28"/>
          <w:szCs w:val="28"/>
        </w:rPr>
      </w:pPr>
      <w:r w:rsidRPr="00D61723">
        <w:rPr>
          <w:rFonts w:ascii="Times New Roman" w:hAnsi="Times New Roman"/>
          <w:bCs/>
          <w:sz w:val="24"/>
          <w:szCs w:val="24"/>
        </w:rPr>
        <w:t>“We agree with the district court that the Dyers’ complaint fails to allege facts that plausibly show the Paramedics’ deliberate indifference. The thrust of the complaint is that, after examining Graham [Dyer] and observing his head injury and drug-induced behavior, the Paramedics should have provided additional care—such as sending Graham to the hospital, accompanying him to jail, providing ‘further assessment or monitoring,’ or sedating him. At most, these are allegations that the Paramedics acted with negligence in not taking further steps to treat Graham after examining him. Our cases have consistently recognized, however, that ‘deliberate indifference cannot be inferred merely from a negligent or even a grossly negligent response to a substantial risk of serious harm.’”</w:t>
      </w:r>
      <w:r w:rsidRPr="00D61723">
        <w:rPr>
          <w:rFonts w:ascii="Times New Roman" w:hAnsi="Times New Roman"/>
          <w:sz w:val="24"/>
          <w:szCs w:val="24"/>
        </w:rPr>
        <w:t xml:space="preserve"> </w:t>
      </w:r>
      <w:hyperlink r:id="rId2322" w:history="1">
        <w:r w:rsidRPr="00D61723">
          <w:rPr>
            <w:rStyle w:val="Hyperlink"/>
            <w:rFonts w:ascii="Times New Roman" w:hAnsi="Times New Roman"/>
            <w:b/>
            <w:sz w:val="24"/>
            <w:szCs w:val="24"/>
          </w:rPr>
          <w:t>http://www.ca5.uscourts.gov/opinions/pub/19/19-10280-CV0.pdf</w:t>
        </w:r>
      </w:hyperlink>
    </w:p>
    <w:p w14:paraId="3C9F38A0" w14:textId="77777777" w:rsidR="0012517E" w:rsidRPr="00D61723" w:rsidRDefault="0012517E" w:rsidP="0012517E">
      <w:pPr>
        <w:pStyle w:val="NoSpacing"/>
        <w:rPr>
          <w:rFonts w:ascii="Times New Roman" w:hAnsi="Times New Roman"/>
          <w:b/>
          <w:bCs/>
          <w:sz w:val="24"/>
          <w:szCs w:val="24"/>
        </w:rPr>
      </w:pPr>
      <w:bookmarkStart w:id="468" w:name="_Hlk40514363"/>
      <w:bookmarkEnd w:id="467"/>
      <w:r w:rsidRPr="00D61723">
        <w:rPr>
          <w:rFonts w:ascii="Times New Roman" w:hAnsi="Times New Roman"/>
          <w:b/>
          <w:bCs/>
          <w:sz w:val="24"/>
          <w:szCs w:val="24"/>
        </w:rPr>
        <w:t>Legal Lessons Learned:  Qualified immunity is an important legal protection for emergency responders, but it is not “absolute” immunity.</w:t>
      </w:r>
    </w:p>
    <w:p w14:paraId="434C357B" w14:textId="77777777" w:rsidR="0012517E" w:rsidRPr="00D61723" w:rsidRDefault="0012517E" w:rsidP="0012517E">
      <w:pPr>
        <w:pStyle w:val="NoSpacing"/>
        <w:rPr>
          <w:rFonts w:ascii="Times New Roman" w:hAnsi="Times New Roman"/>
          <w:sz w:val="24"/>
          <w:szCs w:val="24"/>
        </w:rPr>
      </w:pPr>
    </w:p>
    <w:p w14:paraId="5DAC83FA" w14:textId="77777777" w:rsidR="0012517E" w:rsidRPr="00D61723" w:rsidRDefault="0012517E" w:rsidP="0012517E">
      <w:pPr>
        <w:pStyle w:val="NoSpacing"/>
        <w:ind w:left="720"/>
        <w:rPr>
          <w:rFonts w:ascii="Times New Roman" w:hAnsi="Times New Roman"/>
          <w:b/>
          <w:bCs/>
          <w:sz w:val="24"/>
          <w:szCs w:val="24"/>
        </w:rPr>
      </w:pPr>
      <w:r w:rsidRPr="00D61723">
        <w:rPr>
          <w:rFonts w:ascii="Times New Roman" w:hAnsi="Times New Roman"/>
          <w:bCs/>
          <w:sz w:val="24"/>
          <w:szCs w:val="24"/>
        </w:rPr>
        <w:t xml:space="preserve">Note: Lawsuit against police officers will proceed. </w:t>
      </w:r>
      <w:bookmarkEnd w:id="468"/>
      <w:r w:rsidRPr="00D61723">
        <w:rPr>
          <w:rFonts w:ascii="Times New Roman" w:hAnsi="Times New Roman"/>
          <w:bCs/>
          <w:sz w:val="24"/>
          <w:szCs w:val="24"/>
        </w:rPr>
        <w:t xml:space="preserve"> Court wrote: “By contrast, in this case a reasonable jury could find that (1) Graham violently bashed his head against the interior of Officer Heidelburg’s patrol car over 40 times while </w:t>
      </w:r>
      <w:proofErr w:type="spellStart"/>
      <w:r w:rsidRPr="00D61723">
        <w:rPr>
          <w:rFonts w:ascii="Times New Roman" w:hAnsi="Times New Roman"/>
          <w:bCs/>
          <w:sz w:val="24"/>
          <w:szCs w:val="24"/>
        </w:rPr>
        <w:t>en</w:t>
      </w:r>
      <w:proofErr w:type="spellEnd"/>
      <w:r w:rsidRPr="00D61723">
        <w:rPr>
          <w:rFonts w:ascii="Times New Roman" w:hAnsi="Times New Roman"/>
          <w:bCs/>
          <w:sz w:val="24"/>
          <w:szCs w:val="24"/>
        </w:rPr>
        <w:t xml:space="preserve"> route to jail; (2) Officers Heidelburg, Gafford, and Scott were fully aware of Graham’s actions and of their serious danger; (3) the Officers sought no medical attention for Graham; and (4) upon arriving at jail, the Officers failed to inform jail officials what Graham had done to himself, telling them only that Graham had been ‘medically cleared’ at the scene. From this evidence, a reasonable jury could conclude that the Officers ‘were either aware or should have been aware, because it was so obvious, of an unjustifiably high risk to [Graham’s] health,’ did nothing to seek medical attention, and even misstated the severity of Graham’s condition to those who could have sought help.”</w:t>
      </w:r>
    </w:p>
    <w:p w14:paraId="3E4FF4EC" w14:textId="77777777" w:rsidR="0012517E" w:rsidRPr="00D61723" w:rsidRDefault="0012517E" w:rsidP="0012517E">
      <w:pPr>
        <w:pStyle w:val="NoSpacing"/>
        <w:rPr>
          <w:rFonts w:ascii="Times New Roman" w:hAnsi="Times New Roman"/>
          <w:sz w:val="24"/>
          <w:szCs w:val="24"/>
        </w:rPr>
      </w:pPr>
    </w:p>
    <w:p w14:paraId="73735882" w14:textId="77777777" w:rsidR="0012517E" w:rsidRDefault="0012517E" w:rsidP="002B1283">
      <w:pPr>
        <w:rPr>
          <w:rFonts w:ascii="Arial Black" w:hAnsi="Arial Black"/>
          <w:b/>
          <w:bCs/>
          <w:sz w:val="28"/>
          <w:szCs w:val="28"/>
        </w:rPr>
      </w:pPr>
    </w:p>
    <w:p w14:paraId="5B07EA31" w14:textId="774431A3" w:rsidR="0012517E" w:rsidRDefault="0012517E" w:rsidP="002B1283">
      <w:pPr>
        <w:rPr>
          <w:rFonts w:ascii="Arial Black" w:hAnsi="Arial Black"/>
          <w:b/>
          <w:bCs/>
          <w:sz w:val="28"/>
          <w:szCs w:val="28"/>
        </w:rPr>
      </w:pPr>
      <w:r>
        <w:rPr>
          <w:rFonts w:ascii="Arial Black" w:hAnsi="Arial Black"/>
          <w:b/>
          <w:bCs/>
          <w:sz w:val="28"/>
          <w:szCs w:val="28"/>
        </w:rPr>
        <w:t>13-47</w:t>
      </w:r>
    </w:p>
    <w:p w14:paraId="20CD7806" w14:textId="77777777" w:rsidR="0012517E" w:rsidRDefault="0012517E" w:rsidP="0012517E">
      <w:pPr>
        <w:rPr>
          <w:rFonts w:ascii="Arial Black" w:hAnsi="Arial Black"/>
          <w:sz w:val="28"/>
          <w:szCs w:val="28"/>
        </w:rPr>
      </w:pPr>
      <w:r w:rsidRPr="009F24CE">
        <w:rPr>
          <w:rFonts w:ascii="Arial Black" w:hAnsi="Arial Black"/>
          <w:sz w:val="28"/>
          <w:szCs w:val="28"/>
        </w:rPr>
        <w:t xml:space="preserve">CA: </w:t>
      </w:r>
      <w:r>
        <w:rPr>
          <w:rFonts w:ascii="Arial Black" w:hAnsi="Arial Black"/>
          <w:b/>
          <w:bCs/>
          <w:sz w:val="28"/>
          <w:szCs w:val="28"/>
        </w:rPr>
        <w:t xml:space="preserve">CORONA VIRUS – </w:t>
      </w:r>
      <w:r>
        <w:rPr>
          <w:rFonts w:ascii="Arial Black" w:hAnsi="Arial Black"/>
          <w:sz w:val="28"/>
          <w:szCs w:val="28"/>
        </w:rPr>
        <w:t>LOS ANGELES MAYOR SHUTS DOWN GUN SHOPS – GOVERNOR / SHERIFF HAD NOT - TRO DENIED</w:t>
      </w:r>
    </w:p>
    <w:p w14:paraId="05824870" w14:textId="77777777" w:rsidR="0012517E" w:rsidRDefault="0012517E" w:rsidP="0012517E">
      <w:pPr>
        <w:rPr>
          <w:rFonts w:ascii="Times New Roman" w:hAnsi="Times New Roman"/>
          <w:sz w:val="24"/>
          <w:szCs w:val="24"/>
        </w:rPr>
      </w:pPr>
      <w:r w:rsidRPr="009F24CE">
        <w:rPr>
          <w:rFonts w:ascii="Times New Roman" w:hAnsi="Times New Roman"/>
          <w:sz w:val="24"/>
          <w:szCs w:val="24"/>
        </w:rPr>
        <w:t xml:space="preserve">On </w:t>
      </w:r>
      <w:bookmarkStart w:id="469" w:name="_Hlk39849537"/>
      <w:r>
        <w:rPr>
          <w:rFonts w:ascii="Times New Roman" w:hAnsi="Times New Roman"/>
          <w:sz w:val="24"/>
          <w:szCs w:val="24"/>
        </w:rPr>
        <w:t xml:space="preserve">April 6, 2020, in </w:t>
      </w:r>
      <w:r w:rsidRPr="009F24CE">
        <w:rPr>
          <w:rFonts w:ascii="Times New Roman" w:hAnsi="Times New Roman"/>
          <w:sz w:val="24"/>
          <w:szCs w:val="24"/>
          <w:u w:val="single"/>
        </w:rPr>
        <w:t>Adam Brandy v. Alex Villanueva</w:t>
      </w:r>
      <w:r>
        <w:rPr>
          <w:rFonts w:ascii="Times New Roman" w:hAnsi="Times New Roman"/>
          <w:sz w:val="24"/>
          <w:szCs w:val="24"/>
        </w:rPr>
        <w:t xml:space="preserve">, </w:t>
      </w:r>
      <w:r w:rsidRPr="00951840">
        <w:rPr>
          <w:rFonts w:ascii="Times New Roman" w:hAnsi="Times New Roman"/>
          <w:sz w:val="24"/>
          <w:szCs w:val="24"/>
          <w:u w:val="single"/>
        </w:rPr>
        <w:t>et al.,</w:t>
      </w:r>
      <w:r>
        <w:rPr>
          <w:rFonts w:ascii="Times New Roman" w:hAnsi="Times New Roman"/>
          <w:sz w:val="24"/>
          <w:szCs w:val="24"/>
        </w:rPr>
        <w:t xml:space="preserve">  </w:t>
      </w:r>
      <w:bookmarkEnd w:id="469"/>
      <w:r>
        <w:rPr>
          <w:rFonts w:ascii="Times New Roman" w:hAnsi="Times New Roman"/>
          <w:sz w:val="24"/>
          <w:szCs w:val="24"/>
        </w:rPr>
        <w:t xml:space="preserve">U.S. District Court Judge Andrew Birotte, Jr. held that Los Angeles Mayor Eric Garcetti has the power to shut down gun stores as non-essential businesses in the city. The Governor on March 19, </w:t>
      </w:r>
      <w:proofErr w:type="gramStart"/>
      <w:r>
        <w:rPr>
          <w:rFonts w:ascii="Times New Roman" w:hAnsi="Times New Roman"/>
          <w:sz w:val="24"/>
          <w:szCs w:val="24"/>
        </w:rPr>
        <w:t>2020</w:t>
      </w:r>
      <w:proofErr w:type="gramEnd"/>
      <w:r>
        <w:rPr>
          <w:rFonts w:ascii="Times New Roman" w:hAnsi="Times New Roman"/>
          <w:sz w:val="24"/>
          <w:szCs w:val="24"/>
        </w:rPr>
        <w:t xml:space="preserve"> had issued an order that left the decision on gun shops to County Sheriffs.  On March 24, 2020, Sheriff Villanueva of LA County ordered all gun shops closed, but he later changed his opinion and declared them an essential business. Federal judge denied gun shop owners’ motion for a Temporary Restraining Order.</w:t>
      </w:r>
    </w:p>
    <w:p w14:paraId="7221A463" w14:textId="77777777" w:rsidR="0012517E" w:rsidRDefault="0012517E" w:rsidP="0012517E">
      <w:pPr>
        <w:ind w:left="720"/>
        <w:rPr>
          <w:rStyle w:val="Hyperlink"/>
          <w:sz w:val="24"/>
          <w:szCs w:val="24"/>
        </w:rPr>
      </w:pPr>
      <w:r>
        <w:rPr>
          <w:rFonts w:ascii="Times New Roman" w:hAnsi="Times New Roman"/>
          <w:sz w:val="24"/>
          <w:szCs w:val="24"/>
        </w:rPr>
        <w:t xml:space="preserve">“Moreover, because this disease spreads ‘[a]n affects person coughs, sneezes or otherwise  expels aerosolized droplets containing the virus,’… the closure on non-essential businesses, including firearms and ammunition retailers, reasonably fits the City’s and County’s stated objective of reducing the spread of this disease.  Plaintiffs fail to demonstrate a likelihood of success on the merits of the Second Amendment claim against the County and City </w:t>
      </w:r>
      <w:proofErr w:type="gramStart"/>
      <w:r>
        <w:rPr>
          <w:rFonts w:ascii="Times New Roman" w:hAnsi="Times New Roman"/>
          <w:sz w:val="24"/>
          <w:szCs w:val="24"/>
        </w:rPr>
        <w:t>orders</w:t>
      </w:r>
      <w:bookmarkStart w:id="470" w:name="_Hlk39849553"/>
      <w:r>
        <w:rPr>
          <w:rFonts w:ascii="Times New Roman" w:hAnsi="Times New Roman"/>
          <w:sz w:val="24"/>
          <w:szCs w:val="24"/>
        </w:rPr>
        <w:t>.”</w:t>
      </w:r>
      <w:proofErr w:type="gramEnd"/>
      <w:r>
        <w:rPr>
          <w:rFonts w:ascii="Times New Roman" w:hAnsi="Times New Roman"/>
          <w:sz w:val="24"/>
          <w:szCs w:val="24"/>
        </w:rPr>
        <w:t xml:space="preserve"> </w:t>
      </w:r>
      <w:hyperlink r:id="rId2323" w:history="1">
        <w:r w:rsidRPr="00DE231C">
          <w:rPr>
            <w:rStyle w:val="Hyperlink"/>
            <w:sz w:val="24"/>
            <w:szCs w:val="24"/>
          </w:rPr>
          <w:t>https://brady-static.s3.amazonaws.com/2020-04-06-29-Order-Denying-TRO-App.pdf</w:t>
        </w:r>
      </w:hyperlink>
      <w:r>
        <w:rPr>
          <w:rStyle w:val="Hyperlink"/>
          <w:sz w:val="24"/>
          <w:szCs w:val="24"/>
        </w:rPr>
        <w:t xml:space="preserve"> </w:t>
      </w:r>
    </w:p>
    <w:bookmarkEnd w:id="470"/>
    <w:p w14:paraId="0FAC508C" w14:textId="77777777" w:rsidR="0012517E" w:rsidRDefault="0012517E" w:rsidP="0012517E">
      <w:pPr>
        <w:pStyle w:val="NoSpacing"/>
        <w:rPr>
          <w:sz w:val="24"/>
          <w:szCs w:val="24"/>
        </w:rPr>
      </w:pPr>
    </w:p>
    <w:p w14:paraId="609AB198" w14:textId="77777777" w:rsidR="0012517E" w:rsidRPr="0012517E" w:rsidRDefault="0012517E" w:rsidP="0012517E">
      <w:pPr>
        <w:pStyle w:val="NoSpacing"/>
        <w:rPr>
          <w:rFonts w:ascii="Times New Roman" w:hAnsi="Times New Roman"/>
          <w:b/>
          <w:bCs/>
          <w:sz w:val="24"/>
          <w:szCs w:val="24"/>
        </w:rPr>
      </w:pPr>
      <w:r w:rsidRPr="0012517E">
        <w:rPr>
          <w:rFonts w:ascii="Times New Roman" w:hAnsi="Times New Roman"/>
          <w:b/>
          <w:bCs/>
          <w:sz w:val="24"/>
          <w:szCs w:val="24"/>
        </w:rPr>
        <w:t xml:space="preserve">Legal Lessons Learned: TRO denied since Mayor’s orders are based on emergency.   </w:t>
      </w:r>
    </w:p>
    <w:p w14:paraId="299C10E7" w14:textId="77777777" w:rsidR="0012517E" w:rsidRPr="0012517E" w:rsidRDefault="0012517E" w:rsidP="0012517E">
      <w:pPr>
        <w:pStyle w:val="NoSpacing"/>
        <w:rPr>
          <w:rFonts w:ascii="Times New Roman" w:hAnsi="Times New Roman"/>
          <w:sz w:val="24"/>
          <w:szCs w:val="24"/>
        </w:rPr>
      </w:pPr>
    </w:p>
    <w:p w14:paraId="63412AFC" w14:textId="77777777" w:rsidR="0012517E" w:rsidRPr="002F12AE" w:rsidRDefault="0012517E" w:rsidP="0012517E">
      <w:pPr>
        <w:pStyle w:val="NoSpacing"/>
        <w:ind w:left="720"/>
        <w:rPr>
          <w:b/>
          <w:sz w:val="24"/>
          <w:szCs w:val="24"/>
        </w:rPr>
      </w:pPr>
      <w:r w:rsidRPr="0012517E">
        <w:rPr>
          <w:rFonts w:ascii="Times New Roman" w:hAnsi="Times New Roman"/>
          <w:bCs/>
          <w:sz w:val="24"/>
          <w:szCs w:val="24"/>
        </w:rPr>
        <w:t>Note:</w:t>
      </w:r>
      <w:r w:rsidRPr="0012517E">
        <w:rPr>
          <w:rFonts w:ascii="Times New Roman" w:hAnsi="Times New Roman"/>
          <w:sz w:val="24"/>
          <w:szCs w:val="24"/>
        </w:rPr>
        <w:t xml:space="preserve"> See </w:t>
      </w:r>
      <w:bookmarkStart w:id="471" w:name="_Hlk39849460"/>
      <w:r w:rsidRPr="0012517E">
        <w:rPr>
          <w:rFonts w:ascii="Times New Roman" w:hAnsi="Times New Roman"/>
          <w:sz w:val="24"/>
          <w:szCs w:val="24"/>
        </w:rPr>
        <w:t xml:space="preserve">April 14, </w:t>
      </w:r>
      <w:proofErr w:type="gramStart"/>
      <w:r w:rsidRPr="0012517E">
        <w:rPr>
          <w:rFonts w:ascii="Times New Roman" w:hAnsi="Times New Roman"/>
          <w:sz w:val="24"/>
          <w:szCs w:val="24"/>
        </w:rPr>
        <w:t>2020</w:t>
      </w:r>
      <w:proofErr w:type="gramEnd"/>
      <w:r w:rsidRPr="0012517E">
        <w:rPr>
          <w:rFonts w:ascii="Times New Roman" w:hAnsi="Times New Roman"/>
          <w:sz w:val="24"/>
          <w:szCs w:val="24"/>
        </w:rPr>
        <w:t xml:space="preserve"> article on LA Superior Court judge’s decision, forcing gun stores to remain closed, “</w:t>
      </w:r>
      <w:r w:rsidRPr="0012517E">
        <w:rPr>
          <w:rStyle w:val="dfm-title"/>
          <w:rFonts w:ascii="Times New Roman" w:hAnsi="Times New Roman"/>
          <w:sz w:val="24"/>
          <w:szCs w:val="24"/>
        </w:rPr>
        <w:t xml:space="preserve">Coronavirus: Judge upholds LA city order to close gun stores,” </w:t>
      </w:r>
      <w:hyperlink r:id="rId2324" w:history="1">
        <w:r w:rsidRPr="0012517E">
          <w:rPr>
            <w:rStyle w:val="Hyperlink"/>
            <w:rFonts w:ascii="Times New Roman" w:hAnsi="Times New Roman"/>
            <w:b/>
            <w:sz w:val="24"/>
            <w:szCs w:val="24"/>
          </w:rPr>
          <w:t>https://www.dailynews.com/2020/04/14/coronavirus-judge-upholds-l-a-city-order-to-close-gun-stores/</w:t>
        </w:r>
      </w:hyperlink>
      <w:bookmarkEnd w:id="471"/>
      <w:r w:rsidRPr="002F12AE">
        <w:rPr>
          <w:sz w:val="24"/>
          <w:szCs w:val="24"/>
        </w:rPr>
        <w:t xml:space="preserve"> </w:t>
      </w:r>
    </w:p>
    <w:p w14:paraId="561AE0CF" w14:textId="77777777" w:rsidR="0012517E" w:rsidRDefault="0012517E" w:rsidP="0012517E">
      <w:pPr>
        <w:pStyle w:val="NoSpacing"/>
        <w:rPr>
          <w:b/>
          <w:bCs/>
          <w:sz w:val="24"/>
          <w:szCs w:val="24"/>
        </w:rPr>
      </w:pPr>
      <w:r>
        <w:rPr>
          <w:bCs/>
          <w:sz w:val="24"/>
          <w:szCs w:val="24"/>
        </w:rPr>
        <w:t xml:space="preserve"> </w:t>
      </w:r>
    </w:p>
    <w:p w14:paraId="0E314117" w14:textId="77777777" w:rsidR="0012517E" w:rsidRDefault="0012517E" w:rsidP="002B1283">
      <w:pPr>
        <w:rPr>
          <w:rFonts w:ascii="Arial Black" w:hAnsi="Arial Black"/>
          <w:b/>
          <w:bCs/>
          <w:sz w:val="28"/>
          <w:szCs w:val="28"/>
        </w:rPr>
      </w:pPr>
    </w:p>
    <w:p w14:paraId="582A0735" w14:textId="77777777" w:rsidR="0012517E" w:rsidRDefault="0012517E" w:rsidP="002B1283">
      <w:pPr>
        <w:rPr>
          <w:rFonts w:ascii="Arial Black" w:hAnsi="Arial Black"/>
          <w:b/>
          <w:bCs/>
          <w:sz w:val="28"/>
          <w:szCs w:val="28"/>
        </w:rPr>
      </w:pPr>
    </w:p>
    <w:p w14:paraId="427194AE" w14:textId="59B03690" w:rsidR="0066298F" w:rsidRDefault="0066298F" w:rsidP="002B1283">
      <w:pPr>
        <w:rPr>
          <w:rFonts w:ascii="Arial Black" w:hAnsi="Arial Black"/>
          <w:b/>
          <w:bCs/>
          <w:sz w:val="28"/>
          <w:szCs w:val="28"/>
        </w:rPr>
      </w:pPr>
      <w:r>
        <w:rPr>
          <w:rFonts w:ascii="Arial Black" w:hAnsi="Arial Black"/>
          <w:b/>
          <w:bCs/>
          <w:sz w:val="28"/>
          <w:szCs w:val="28"/>
        </w:rPr>
        <w:t>13-46</w:t>
      </w:r>
    </w:p>
    <w:p w14:paraId="09B71252" w14:textId="0FB07371" w:rsidR="0066298F" w:rsidRPr="00F05611" w:rsidRDefault="0066298F" w:rsidP="0066298F">
      <w:pPr>
        <w:spacing w:before="100" w:beforeAutospacing="1" w:after="100" w:afterAutospacing="1" w:line="240" w:lineRule="auto"/>
        <w:rPr>
          <w:rFonts w:ascii="Arial Black" w:hAnsi="Arial Black"/>
          <w:b/>
          <w:bCs/>
          <w:sz w:val="28"/>
          <w:szCs w:val="28"/>
        </w:rPr>
      </w:pPr>
      <w:bookmarkStart w:id="472" w:name="_Hlk39819842"/>
      <w:r w:rsidRPr="00F05611">
        <w:rPr>
          <w:rFonts w:ascii="Arial Black" w:hAnsi="Arial Black"/>
          <w:b/>
          <w:bCs/>
          <w:sz w:val="28"/>
          <w:szCs w:val="28"/>
        </w:rPr>
        <w:t xml:space="preserve">FL: </w:t>
      </w:r>
      <w:r>
        <w:rPr>
          <w:rFonts w:ascii="Arial Black" w:hAnsi="Arial Black"/>
          <w:b/>
          <w:bCs/>
          <w:sz w:val="28"/>
          <w:szCs w:val="28"/>
        </w:rPr>
        <w:t xml:space="preserve"> </w:t>
      </w:r>
      <w:r w:rsidR="00F81147">
        <w:rPr>
          <w:rFonts w:ascii="Arial Black" w:hAnsi="Arial Black"/>
          <w:b/>
          <w:bCs/>
          <w:sz w:val="28"/>
          <w:szCs w:val="28"/>
        </w:rPr>
        <w:t xml:space="preserve">DEPUTY SHERIFF ORDERED CPR STOPPED – HANGING - LAWSUIT TO CONTINUE, NO QUALIFIED IMMUNITY                                                                                          </w:t>
      </w:r>
    </w:p>
    <w:p w14:paraId="4F46870A" w14:textId="77777777" w:rsidR="0066298F" w:rsidRDefault="0066298F" w:rsidP="0066298F">
      <w:pPr>
        <w:spacing w:before="100" w:beforeAutospacing="1" w:after="100" w:afterAutospacing="1" w:line="240" w:lineRule="auto"/>
        <w:rPr>
          <w:rFonts w:ascii="Times New Roman" w:hAnsi="Times New Roman"/>
          <w:sz w:val="24"/>
          <w:szCs w:val="24"/>
        </w:rPr>
      </w:pPr>
      <w:r w:rsidRPr="00F05611">
        <w:rPr>
          <w:rFonts w:ascii="Times New Roman" w:hAnsi="Times New Roman"/>
          <w:sz w:val="24"/>
          <w:szCs w:val="24"/>
        </w:rPr>
        <w:t xml:space="preserve">On </w:t>
      </w:r>
      <w:bookmarkStart w:id="473" w:name="_Hlk39849752"/>
      <w:r>
        <w:rPr>
          <w:rFonts w:ascii="Times New Roman" w:hAnsi="Times New Roman"/>
          <w:sz w:val="24"/>
          <w:szCs w:val="24"/>
        </w:rPr>
        <w:t xml:space="preserve">March 25, 2020, in </w:t>
      </w:r>
      <w:r w:rsidRPr="00F05611">
        <w:rPr>
          <w:rFonts w:ascii="Times New Roman" w:hAnsi="Times New Roman"/>
          <w:sz w:val="24"/>
          <w:szCs w:val="24"/>
          <w:u w:val="single"/>
        </w:rPr>
        <w:t>Jolene Waldron v. Gregory Spicher, Deputy</w:t>
      </w:r>
      <w:bookmarkEnd w:id="473"/>
      <w:r>
        <w:rPr>
          <w:rFonts w:ascii="Times New Roman" w:hAnsi="Times New Roman"/>
          <w:sz w:val="24"/>
          <w:szCs w:val="24"/>
        </w:rPr>
        <w:t xml:space="preserve">, the U.S. Court of Appeals for Eleventh Circuit (Atlanta), held (3 to 0) that the trial court properly denied Deputy Sheriff’s motion to dismiss the case based on qualified immunity.   The lawsuit may proceed, but mother of the deceased has very difficult burden to proving to a jury that the Deputy was not only reckless, but that he intended to cause death of her son.  </w:t>
      </w:r>
    </w:p>
    <w:p w14:paraId="5FB76DC3"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“Several minutes later, a fire truck and an ambulance arrived. Three paramedics—later identified as David Warren, Christensen, and Grisales—attempted to attend to Ybarra, but Spicher only allowed Warren to do so to ‘confirm the patient’s status.’ Warren testified that Spicher told him </w:t>
      </w:r>
      <w:proofErr w:type="gramStart"/>
      <w:r w:rsidRPr="00665BD0">
        <w:rPr>
          <w:rFonts w:ascii="Times New Roman" w:hAnsi="Times New Roman"/>
          <w:bCs/>
          <w:sz w:val="24"/>
          <w:szCs w:val="24"/>
        </w:rPr>
        <w:t>to ‘not</w:t>
      </w:r>
      <w:proofErr w:type="gramEnd"/>
      <w:r w:rsidRPr="00665BD0">
        <w:rPr>
          <w:rFonts w:ascii="Times New Roman" w:hAnsi="Times New Roman"/>
          <w:bCs/>
          <w:sz w:val="24"/>
          <w:szCs w:val="24"/>
        </w:rPr>
        <w:t xml:space="preserve"> touch the patient very much because this was . . . a crime </w:t>
      </w:r>
      <w:proofErr w:type="gramStart"/>
      <w:r w:rsidRPr="00665BD0">
        <w:rPr>
          <w:rFonts w:ascii="Times New Roman" w:hAnsi="Times New Roman"/>
          <w:bCs/>
          <w:sz w:val="24"/>
          <w:szCs w:val="24"/>
        </w:rPr>
        <w:t>scene.’</w:t>
      </w:r>
      <w:proofErr w:type="gramEnd"/>
      <w:r w:rsidRPr="00665BD0">
        <w:rPr>
          <w:rFonts w:ascii="Times New Roman" w:hAnsi="Times New Roman"/>
          <w:bCs/>
          <w:sz w:val="24"/>
          <w:szCs w:val="24"/>
        </w:rPr>
        <w:t xml:space="preserve">  Warren noted that Ybarra was ‘severely cyanotic and unresponsive’ and his neck was elongated. He assessed Ybarra with a Glasgow Coma Score of one in eyes, verbal, and motor, which was consistent with a deceased person’s score. Warren hooked up Ybarra to a heart monitor and noted a heart rate of 24 beats per minute, which he testified indicated organized electrical activity in the heart inconsistent with death. Warren called for Spicher to retrieve Lieutenant Christensen, but Spicher was on the phone and did not hear him, so Warren shouted louder, which finally brought Christiansen over. The two immediately recontinued CPR and began ‘manual C-spine immobilization,’ which was meant to hold Ybarra’s spine in line. Ybarra was then transported to the hospital, where he died a week later.</w:t>
      </w:r>
    </w:p>
    <w:p w14:paraId="1AFAB798" w14:textId="77777777" w:rsidR="0066298F" w:rsidRPr="00665BD0" w:rsidRDefault="0066298F" w:rsidP="0066298F">
      <w:pPr>
        <w:pStyle w:val="NoSpacing"/>
        <w:ind w:left="720"/>
        <w:rPr>
          <w:rFonts w:ascii="Times New Roman" w:hAnsi="Times New Roman"/>
          <w:b/>
          <w:bCs/>
          <w:sz w:val="24"/>
          <w:szCs w:val="24"/>
        </w:rPr>
      </w:pPr>
    </w:p>
    <w:p w14:paraId="1F620F53"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w:t>
      </w:r>
    </w:p>
    <w:p w14:paraId="0FF2931C" w14:textId="77777777" w:rsidR="0066298F" w:rsidRPr="00665BD0" w:rsidRDefault="0066298F" w:rsidP="0066298F">
      <w:pPr>
        <w:spacing w:before="100" w:beforeAutospacing="1" w:after="100" w:afterAutospacing="1" w:line="240" w:lineRule="auto"/>
        <w:ind w:left="720"/>
        <w:rPr>
          <w:rFonts w:ascii="Times New Roman" w:hAnsi="Times New Roman"/>
          <w:sz w:val="24"/>
          <w:szCs w:val="24"/>
        </w:rPr>
      </w:pPr>
      <w:r w:rsidRPr="00665BD0">
        <w:rPr>
          <w:rFonts w:ascii="Times New Roman" w:hAnsi="Times New Roman"/>
          <w:sz w:val="24"/>
          <w:szCs w:val="24"/>
        </w:rPr>
        <w:t xml:space="preserve">In this opinion, we have held that…Waldron cannot demonstrate that Spicher violated clearly established substantive due process rights without proving more than that Spicher acted with deliberate indifference or recklessness. But we have also held that, if the jury should find that Spicher acted for the purpose of causing harm to Ybarra, Waldron would have proved a violation of clearly established substantive due process rights.” </w:t>
      </w:r>
      <w:bookmarkStart w:id="474" w:name="_Hlk39849774"/>
      <w:r w:rsidR="00BC38B6">
        <w:fldChar w:fldCharType="begin"/>
      </w:r>
      <w:r w:rsidR="00BC38B6">
        <w:instrText xml:space="preserve"> HYPERLINK "http://media.ca11.uscourts.gov/opinions/pub/files/201814536.pdf" </w:instrText>
      </w:r>
      <w:r w:rsidR="00BC38B6">
        <w:fldChar w:fldCharType="separate"/>
      </w:r>
      <w:r w:rsidRPr="00665BD0">
        <w:rPr>
          <w:rStyle w:val="Hyperlink"/>
          <w:rFonts w:ascii="Times New Roman" w:hAnsi="Times New Roman"/>
          <w:sz w:val="24"/>
          <w:szCs w:val="24"/>
        </w:rPr>
        <w:t>http://media.ca11.uscourts.gov/opinions/pub/files/201814536.pdf</w:t>
      </w:r>
      <w:r w:rsidR="00BC38B6">
        <w:rPr>
          <w:rStyle w:val="Hyperlink"/>
          <w:rFonts w:ascii="Times New Roman" w:hAnsi="Times New Roman"/>
          <w:sz w:val="24"/>
          <w:szCs w:val="24"/>
        </w:rPr>
        <w:fldChar w:fldCharType="end"/>
      </w:r>
      <w:r w:rsidRPr="00665BD0">
        <w:rPr>
          <w:rFonts w:ascii="Times New Roman" w:hAnsi="Times New Roman"/>
          <w:sz w:val="24"/>
          <w:szCs w:val="24"/>
        </w:rPr>
        <w:t xml:space="preserve"> </w:t>
      </w:r>
    </w:p>
    <w:p w14:paraId="3CB33D6C" w14:textId="77777777" w:rsidR="0066298F" w:rsidRPr="00665BD0" w:rsidRDefault="0066298F" w:rsidP="0066298F">
      <w:pPr>
        <w:spacing w:before="100" w:beforeAutospacing="1" w:after="100" w:afterAutospacing="1" w:line="240" w:lineRule="auto"/>
        <w:rPr>
          <w:rFonts w:ascii="Times New Roman" w:hAnsi="Times New Roman"/>
          <w:b/>
          <w:bCs/>
          <w:sz w:val="24"/>
          <w:szCs w:val="24"/>
        </w:rPr>
      </w:pPr>
      <w:bookmarkStart w:id="475" w:name="_Hlk40514407"/>
      <w:bookmarkEnd w:id="472"/>
      <w:bookmarkEnd w:id="474"/>
      <w:r w:rsidRPr="00665BD0">
        <w:rPr>
          <w:rFonts w:ascii="Times New Roman" w:hAnsi="Times New Roman"/>
          <w:b/>
          <w:bCs/>
          <w:sz w:val="24"/>
          <w:szCs w:val="24"/>
        </w:rPr>
        <w:t xml:space="preserve">Legal Lessons Learned:  </w:t>
      </w:r>
      <w:r>
        <w:rPr>
          <w:rFonts w:ascii="Times New Roman" w:hAnsi="Times New Roman"/>
          <w:b/>
          <w:bCs/>
          <w:sz w:val="24"/>
          <w:szCs w:val="24"/>
        </w:rPr>
        <w:t xml:space="preserve">Terrible conduct by Deputy Sheriff, but </w:t>
      </w:r>
      <w:r w:rsidRPr="00665BD0">
        <w:rPr>
          <w:rFonts w:ascii="Times New Roman" w:hAnsi="Times New Roman"/>
          <w:b/>
          <w:bCs/>
          <w:sz w:val="24"/>
          <w:szCs w:val="24"/>
        </w:rPr>
        <w:t xml:space="preserve">plaintiff must </w:t>
      </w:r>
      <w:r>
        <w:rPr>
          <w:rFonts w:ascii="Times New Roman" w:hAnsi="Times New Roman"/>
          <w:b/>
          <w:bCs/>
          <w:sz w:val="24"/>
          <w:szCs w:val="24"/>
        </w:rPr>
        <w:t xml:space="preserve">now </w:t>
      </w:r>
      <w:r w:rsidRPr="00665BD0">
        <w:rPr>
          <w:rFonts w:ascii="Times New Roman" w:hAnsi="Times New Roman"/>
          <w:b/>
          <w:bCs/>
          <w:sz w:val="24"/>
          <w:szCs w:val="24"/>
        </w:rPr>
        <w:t xml:space="preserve">prove </w:t>
      </w:r>
      <w:r>
        <w:rPr>
          <w:rFonts w:ascii="Times New Roman" w:hAnsi="Times New Roman"/>
          <w:b/>
          <w:bCs/>
          <w:sz w:val="24"/>
          <w:szCs w:val="24"/>
        </w:rPr>
        <w:t xml:space="preserve">Deputy intended to harm the victim.  Hopefully this case settles prior to jury trial. </w:t>
      </w:r>
    </w:p>
    <w:bookmarkEnd w:id="475"/>
    <w:p w14:paraId="0D9D32BB" w14:textId="77777777" w:rsidR="0031119E" w:rsidRDefault="0031119E" w:rsidP="002B1283">
      <w:pPr>
        <w:rPr>
          <w:rFonts w:ascii="Arial Black" w:hAnsi="Arial Black"/>
          <w:b/>
          <w:bCs/>
          <w:sz w:val="28"/>
          <w:szCs w:val="28"/>
        </w:rPr>
      </w:pPr>
    </w:p>
    <w:p w14:paraId="6F780014" w14:textId="74F59D37" w:rsidR="007A1E7A" w:rsidRDefault="007A1E7A" w:rsidP="002B1283">
      <w:pPr>
        <w:rPr>
          <w:rFonts w:ascii="Arial Black" w:hAnsi="Arial Black"/>
          <w:b/>
          <w:bCs/>
          <w:sz w:val="28"/>
          <w:szCs w:val="28"/>
        </w:rPr>
      </w:pPr>
      <w:r>
        <w:rPr>
          <w:rFonts w:ascii="Arial Black" w:hAnsi="Arial Black"/>
          <w:b/>
          <w:bCs/>
          <w:sz w:val="28"/>
          <w:szCs w:val="28"/>
        </w:rPr>
        <w:t>13-45</w:t>
      </w:r>
    </w:p>
    <w:p w14:paraId="01BD9FEC" w14:textId="77777777" w:rsidR="007A1E7A" w:rsidRPr="00A514DF" w:rsidRDefault="007A1E7A" w:rsidP="007A1E7A">
      <w:pPr>
        <w:spacing w:before="100" w:beforeAutospacing="1" w:after="100" w:afterAutospacing="1" w:line="240" w:lineRule="auto"/>
        <w:rPr>
          <w:rFonts w:ascii="Arial Black" w:eastAsia="Times New Roman" w:hAnsi="Arial Black"/>
          <w:b/>
          <w:bCs/>
          <w:sz w:val="28"/>
          <w:szCs w:val="28"/>
        </w:rPr>
      </w:pPr>
      <w:r w:rsidRPr="00A514DF">
        <w:rPr>
          <w:rFonts w:ascii="Arial Black" w:eastAsia="Times New Roman" w:hAnsi="Arial Black"/>
          <w:b/>
          <w:bCs/>
          <w:sz w:val="28"/>
          <w:szCs w:val="28"/>
        </w:rPr>
        <w:t>IL</w:t>
      </w:r>
      <w:r>
        <w:rPr>
          <w:rFonts w:ascii="Arial Black" w:eastAsia="Times New Roman" w:hAnsi="Arial Black"/>
          <w:b/>
          <w:bCs/>
          <w:sz w:val="28"/>
          <w:szCs w:val="28"/>
        </w:rPr>
        <w:t>: OFF-DUTY PARAMEDIC - IN HOT TUB WITH FEMALE - SHE INJURED HEAD WHEN SLIPPED BATHROOM – CANNOT SUE CITY</w:t>
      </w:r>
    </w:p>
    <w:p w14:paraId="62ACCA3E" w14:textId="77777777" w:rsidR="007A1E7A" w:rsidRPr="00465FB3" w:rsidRDefault="007A1E7A" w:rsidP="007A1E7A">
      <w:pPr>
        <w:spacing w:before="100" w:beforeAutospacing="1" w:after="100" w:afterAutospacing="1" w:line="240" w:lineRule="auto"/>
        <w:rPr>
          <w:rFonts w:ascii="Times New Roman" w:hAnsi="Times New Roman"/>
          <w:sz w:val="24"/>
          <w:szCs w:val="24"/>
        </w:rPr>
      </w:pPr>
      <w:r w:rsidRPr="00465FB3">
        <w:rPr>
          <w:rFonts w:ascii="Times New Roman" w:eastAsia="Times New Roman" w:hAnsi="Times New Roman"/>
          <w:sz w:val="24"/>
          <w:szCs w:val="24"/>
        </w:rPr>
        <w:t xml:space="preserve">On Feb. 28, 2020, in </w:t>
      </w:r>
      <w:r w:rsidRPr="00465FB3">
        <w:rPr>
          <w:rFonts w:ascii="Times New Roman" w:eastAsia="Times New Roman" w:hAnsi="Times New Roman"/>
          <w:sz w:val="24"/>
          <w:szCs w:val="24"/>
          <w:u w:val="single"/>
        </w:rPr>
        <w:t xml:space="preserve">Kylie </w:t>
      </w:r>
      <w:proofErr w:type="spellStart"/>
      <w:r w:rsidRPr="00465FB3">
        <w:rPr>
          <w:rFonts w:ascii="Times New Roman" w:eastAsia="Times New Roman" w:hAnsi="Times New Roman"/>
          <w:sz w:val="24"/>
          <w:szCs w:val="24"/>
          <w:u w:val="single"/>
        </w:rPr>
        <w:t>Didonato</w:t>
      </w:r>
      <w:proofErr w:type="spellEnd"/>
      <w:r w:rsidRPr="00465FB3">
        <w:rPr>
          <w:rFonts w:ascii="Times New Roman" w:eastAsia="Times New Roman" w:hAnsi="Times New Roman"/>
          <w:sz w:val="24"/>
          <w:szCs w:val="24"/>
          <w:u w:val="single"/>
        </w:rPr>
        <w:t xml:space="preserve"> v. Tim Panatera and City of Chicago</w:t>
      </w:r>
      <w:r w:rsidRPr="00465FB3">
        <w:rPr>
          <w:rFonts w:ascii="Times New Roman" w:eastAsia="Times New Roman" w:hAnsi="Times New Roman"/>
          <w:sz w:val="24"/>
          <w:szCs w:val="24"/>
        </w:rPr>
        <w:t>, U.S. District Court Judge V</w:t>
      </w:r>
      <w:r w:rsidRPr="00465FB3">
        <w:rPr>
          <w:rFonts w:ascii="Times New Roman" w:hAnsi="Times New Roman"/>
          <w:sz w:val="24"/>
          <w:szCs w:val="24"/>
        </w:rPr>
        <w:t>irginia M. Kendall, Northern District of Illinois (Eastern Division), granted the motions to dismiss by the paramedic and the city.</w:t>
      </w:r>
    </w:p>
    <w:p w14:paraId="19D79E7F" w14:textId="77777777" w:rsidR="007A1E7A" w:rsidRPr="00465FB3" w:rsidRDefault="007A1E7A" w:rsidP="007A1E7A">
      <w:pPr>
        <w:spacing w:before="100" w:beforeAutospacing="1" w:after="100" w:afterAutospacing="1" w:line="240" w:lineRule="auto"/>
        <w:ind w:left="720"/>
        <w:rPr>
          <w:rFonts w:ascii="Times New Roman" w:hAnsi="Times New Roman"/>
          <w:sz w:val="24"/>
          <w:szCs w:val="24"/>
        </w:rPr>
      </w:pPr>
      <w:r w:rsidRPr="00465FB3">
        <w:rPr>
          <w:rFonts w:ascii="Times New Roman" w:hAnsi="Times New Roman"/>
          <w:sz w:val="24"/>
          <w:szCs w:val="24"/>
        </w:rPr>
        <w:t xml:space="preserve">“As this Court noted before, DiDonato's claim is that </w:t>
      </w:r>
      <w:proofErr w:type="spellStart"/>
      <w:r w:rsidRPr="00465FB3">
        <w:rPr>
          <w:rFonts w:ascii="Times New Roman" w:hAnsi="Times New Roman"/>
          <w:sz w:val="24"/>
          <w:szCs w:val="24"/>
        </w:rPr>
        <w:t>Panatera</w:t>
      </w:r>
      <w:proofErr w:type="spellEnd"/>
      <w:r w:rsidRPr="00465FB3">
        <w:rPr>
          <w:rFonts w:ascii="Times New Roman" w:hAnsi="Times New Roman"/>
          <w:sz w:val="24"/>
          <w:szCs w:val="24"/>
        </w:rPr>
        <w:t xml:space="preserve"> failed to do anything more than wrap her head in a towel and that he denied her proper medical care by failing to call 911 or taking her to a hospital for emergency care. (</w:t>
      </w:r>
      <w:proofErr w:type="spellStart"/>
      <w:r w:rsidRPr="00465FB3">
        <w:rPr>
          <w:rFonts w:ascii="Times New Roman" w:hAnsi="Times New Roman"/>
          <w:sz w:val="24"/>
          <w:szCs w:val="24"/>
        </w:rPr>
        <w:t>Dkt</w:t>
      </w:r>
      <w:proofErr w:type="spellEnd"/>
      <w:r w:rsidRPr="00465FB3">
        <w:rPr>
          <w:rFonts w:ascii="Times New Roman" w:hAnsi="Times New Roman"/>
          <w:sz w:val="24"/>
          <w:szCs w:val="24"/>
        </w:rPr>
        <w:t xml:space="preserve">. 37 at 10; </w:t>
      </w:r>
      <w:proofErr w:type="spellStart"/>
      <w:r w:rsidRPr="00465FB3">
        <w:rPr>
          <w:rFonts w:ascii="Times New Roman" w:hAnsi="Times New Roman"/>
          <w:sz w:val="24"/>
          <w:szCs w:val="24"/>
        </w:rPr>
        <w:t>Dkt</w:t>
      </w:r>
      <w:proofErr w:type="spellEnd"/>
      <w:r w:rsidRPr="00465FB3">
        <w:rPr>
          <w:rFonts w:ascii="Times New Roman" w:hAnsi="Times New Roman"/>
          <w:sz w:val="24"/>
          <w:szCs w:val="24"/>
        </w:rPr>
        <w:t xml:space="preserve">. 51 at 4; </w:t>
      </w:r>
      <w:proofErr w:type="spellStart"/>
      <w:r w:rsidRPr="00465FB3">
        <w:rPr>
          <w:rFonts w:ascii="Times New Roman" w:hAnsi="Times New Roman"/>
          <w:sz w:val="24"/>
          <w:szCs w:val="24"/>
        </w:rPr>
        <w:t>Dkt</w:t>
      </w:r>
      <w:proofErr w:type="spellEnd"/>
      <w:r w:rsidRPr="00465FB3">
        <w:rPr>
          <w:rFonts w:ascii="Times New Roman" w:hAnsi="Times New Roman"/>
          <w:sz w:val="24"/>
          <w:szCs w:val="24"/>
        </w:rPr>
        <w:t xml:space="preserve">. 52 at 3). This inaction, as DiDonato has alleged it, relates more to </w:t>
      </w:r>
      <w:proofErr w:type="spellStart"/>
      <w:r w:rsidRPr="00465FB3">
        <w:rPr>
          <w:rFonts w:ascii="Times New Roman" w:hAnsi="Times New Roman"/>
          <w:sz w:val="24"/>
          <w:szCs w:val="24"/>
        </w:rPr>
        <w:t>Panatera's</w:t>
      </w:r>
      <w:proofErr w:type="spellEnd"/>
      <w:r w:rsidRPr="00465FB3">
        <w:rPr>
          <w:rFonts w:ascii="Times New Roman" w:hAnsi="Times New Roman"/>
          <w:sz w:val="24"/>
          <w:szCs w:val="24"/>
        </w:rPr>
        <w:t xml:space="preserve"> role as a bystander than a paramedic, and actions unrelated to a state actor's official duties are not taken under color of </w:t>
      </w:r>
      <w:proofErr w:type="gramStart"/>
      <w:r w:rsidRPr="00465FB3">
        <w:rPr>
          <w:rFonts w:ascii="Times New Roman" w:hAnsi="Times New Roman"/>
          <w:sz w:val="24"/>
          <w:szCs w:val="24"/>
        </w:rPr>
        <w:t>law.”</w:t>
      </w:r>
      <w:proofErr w:type="gramEnd"/>
      <w:r w:rsidRPr="00465FB3">
        <w:rPr>
          <w:rFonts w:ascii="Times New Roman" w:hAnsi="Times New Roman"/>
          <w:sz w:val="24"/>
          <w:szCs w:val="24"/>
        </w:rPr>
        <w:t xml:space="preserve">  </w:t>
      </w:r>
      <w:hyperlink r:id="rId2325" w:history="1">
        <w:r w:rsidRPr="00465FB3">
          <w:rPr>
            <w:rStyle w:val="Hyperlink"/>
            <w:rFonts w:ascii="Times New Roman" w:hAnsi="Times New Roman"/>
            <w:sz w:val="24"/>
            <w:szCs w:val="24"/>
          </w:rPr>
          <w:t>https://public.fastcase.com/Wl%2B2t%2BeVuI35%2FN70vAMFZqKFItzKKJAOGXNCbwUcRCkzx%2FKqq12PgRkvPC2fj024</w:t>
        </w:r>
      </w:hyperlink>
      <w:r w:rsidRPr="00465FB3">
        <w:rPr>
          <w:rFonts w:ascii="Times New Roman" w:hAnsi="Times New Roman"/>
          <w:sz w:val="24"/>
          <w:szCs w:val="24"/>
        </w:rPr>
        <w:t xml:space="preserve"> </w:t>
      </w:r>
    </w:p>
    <w:p w14:paraId="06A65DFD" w14:textId="77777777" w:rsidR="007A1E7A" w:rsidRPr="00465FB3" w:rsidRDefault="007A1E7A" w:rsidP="007A1E7A">
      <w:pPr>
        <w:spacing w:before="100" w:beforeAutospacing="1" w:after="100" w:afterAutospacing="1" w:line="240" w:lineRule="auto"/>
        <w:rPr>
          <w:rFonts w:ascii="Times New Roman" w:hAnsi="Times New Roman"/>
          <w:b/>
          <w:bCs/>
          <w:sz w:val="24"/>
          <w:szCs w:val="24"/>
        </w:rPr>
      </w:pPr>
      <w:r w:rsidRPr="00465FB3">
        <w:rPr>
          <w:rFonts w:ascii="Times New Roman" w:eastAsia="Times New Roman" w:hAnsi="Times New Roman"/>
          <w:b/>
          <w:bCs/>
          <w:sz w:val="24"/>
          <w:szCs w:val="24"/>
        </w:rPr>
        <w:t xml:space="preserve">Legal Lessons Learned:  </w:t>
      </w:r>
      <w:r w:rsidRPr="00465FB3">
        <w:rPr>
          <w:rFonts w:ascii="Times New Roman" w:hAnsi="Times New Roman"/>
          <w:b/>
          <w:bCs/>
          <w:sz w:val="24"/>
          <w:szCs w:val="24"/>
        </w:rPr>
        <w:t xml:space="preserve">The Court had previously given plaintiff and opportunity to file an amended complaint: Aug. 20, 2019: </w:t>
      </w:r>
      <w:hyperlink r:id="rId2326" w:history="1">
        <w:r w:rsidRPr="00465FB3">
          <w:rPr>
            <w:rStyle w:val="Hyperlink"/>
            <w:rFonts w:ascii="Times New Roman" w:hAnsi="Times New Roman"/>
            <w:b/>
            <w:bCs/>
            <w:sz w:val="24"/>
            <w:szCs w:val="24"/>
          </w:rPr>
          <w:t>https://casetext.com/case/didonato-v-panatera</w:t>
        </w:r>
      </w:hyperlink>
      <w:r w:rsidRPr="00465FB3">
        <w:rPr>
          <w:rFonts w:ascii="Times New Roman" w:hAnsi="Times New Roman"/>
          <w:b/>
          <w:bCs/>
          <w:sz w:val="24"/>
          <w:szCs w:val="24"/>
        </w:rPr>
        <w:t xml:space="preserve"> . The case may now go back to State court on her claims against the paramedic (not the city) for negligence, assault, battery, and willful and wanton misconduct.</w:t>
      </w:r>
    </w:p>
    <w:p w14:paraId="29D23EBD" w14:textId="77777777" w:rsidR="007A1E7A" w:rsidRDefault="007A1E7A" w:rsidP="002B1283">
      <w:pPr>
        <w:rPr>
          <w:rFonts w:ascii="Arial Black" w:hAnsi="Arial Black"/>
          <w:b/>
          <w:bCs/>
          <w:sz w:val="28"/>
          <w:szCs w:val="28"/>
        </w:rPr>
      </w:pPr>
    </w:p>
    <w:p w14:paraId="2ECBFAAB" w14:textId="2BAC90B5" w:rsidR="007A1E7A" w:rsidRDefault="007A1E7A" w:rsidP="002B1283">
      <w:pPr>
        <w:rPr>
          <w:rFonts w:ascii="Arial Black" w:hAnsi="Arial Black"/>
          <w:b/>
          <w:bCs/>
          <w:sz w:val="28"/>
          <w:szCs w:val="28"/>
        </w:rPr>
      </w:pPr>
      <w:r>
        <w:rPr>
          <w:rFonts w:ascii="Arial Black" w:hAnsi="Arial Black"/>
          <w:b/>
          <w:bCs/>
          <w:sz w:val="28"/>
          <w:szCs w:val="28"/>
        </w:rPr>
        <w:t>13-44</w:t>
      </w:r>
    </w:p>
    <w:p w14:paraId="1C96A44A" w14:textId="77777777" w:rsidR="007A1E7A" w:rsidRPr="002C021D" w:rsidRDefault="007A1E7A" w:rsidP="007A1E7A">
      <w:pPr>
        <w:pStyle w:val="NoSpacing"/>
        <w:rPr>
          <w:rFonts w:ascii="Arial Black" w:hAnsi="Arial Black"/>
          <w:sz w:val="28"/>
          <w:szCs w:val="28"/>
        </w:rPr>
      </w:pPr>
      <w:r w:rsidRPr="002C021D">
        <w:rPr>
          <w:rFonts w:ascii="Arial Black" w:hAnsi="Arial Black"/>
          <w:sz w:val="28"/>
          <w:szCs w:val="28"/>
        </w:rPr>
        <w:t>NC</w:t>
      </w:r>
      <w:r>
        <w:rPr>
          <w:rFonts w:ascii="Arial Black" w:hAnsi="Arial Black"/>
          <w:sz w:val="28"/>
          <w:szCs w:val="28"/>
        </w:rPr>
        <w:t>: PARAMEDIC FIRED – ET TUBE PLACEMENT, MEDS – EMS BOARD REDUCED TO EMT-B – NOT RACE DISCRIMINATION</w:t>
      </w:r>
    </w:p>
    <w:p w14:paraId="5A2962DA" w14:textId="77777777" w:rsidR="007A1E7A" w:rsidRDefault="007A1E7A" w:rsidP="007A1E7A">
      <w:pPr>
        <w:pStyle w:val="NoSpacing"/>
        <w:rPr>
          <w:b/>
          <w:bCs/>
          <w:sz w:val="24"/>
          <w:szCs w:val="24"/>
        </w:rPr>
      </w:pPr>
    </w:p>
    <w:p w14:paraId="00C23957" w14:textId="77777777" w:rsidR="007A1E7A" w:rsidRPr="00465FB3" w:rsidRDefault="007A1E7A" w:rsidP="007A1E7A">
      <w:pPr>
        <w:pStyle w:val="NoSpacing"/>
        <w:rPr>
          <w:rFonts w:ascii="Times New Roman" w:hAnsi="Times New Roman"/>
          <w:b/>
          <w:bCs/>
          <w:sz w:val="24"/>
          <w:szCs w:val="24"/>
        </w:rPr>
      </w:pPr>
      <w:r w:rsidRPr="00465FB3">
        <w:rPr>
          <w:rFonts w:ascii="Times New Roman" w:hAnsi="Times New Roman"/>
          <w:bCs/>
          <w:sz w:val="24"/>
          <w:szCs w:val="24"/>
        </w:rPr>
        <w:t xml:space="preserve">On Feb. 11, 2020, in </w:t>
      </w:r>
      <w:r w:rsidRPr="00465FB3">
        <w:rPr>
          <w:rFonts w:ascii="Times New Roman" w:hAnsi="Times New Roman"/>
          <w:bCs/>
          <w:sz w:val="24"/>
          <w:szCs w:val="24"/>
          <w:u w:val="single"/>
        </w:rPr>
        <w:t>Danny Cade v. County of Bladen</w:t>
      </w:r>
      <w:r w:rsidRPr="00465FB3">
        <w:rPr>
          <w:rFonts w:ascii="Times New Roman" w:hAnsi="Times New Roman"/>
          <w:bCs/>
          <w:sz w:val="24"/>
          <w:szCs w:val="24"/>
        </w:rPr>
        <w:t xml:space="preserve">, U.S. District Court Judge Louise W. Flannigan, Eastern District of North Carolina (Western Division), granted the County’s motion for summary judgment, dismissing the race-discrimination lawsuit. </w:t>
      </w:r>
    </w:p>
    <w:p w14:paraId="361E608D" w14:textId="77777777" w:rsidR="007A1E7A" w:rsidRPr="00465FB3" w:rsidRDefault="007A1E7A" w:rsidP="007A1E7A">
      <w:pPr>
        <w:pStyle w:val="NoSpacing"/>
        <w:ind w:left="720"/>
        <w:rPr>
          <w:rFonts w:ascii="Times New Roman" w:hAnsi="Times New Roman"/>
          <w:b/>
          <w:bCs/>
          <w:sz w:val="24"/>
          <w:szCs w:val="24"/>
        </w:rPr>
      </w:pPr>
    </w:p>
    <w:p w14:paraId="466ABF90" w14:textId="77777777" w:rsidR="007A1E7A" w:rsidRDefault="007A1E7A" w:rsidP="007A1E7A">
      <w:pPr>
        <w:pStyle w:val="NoSpacing"/>
        <w:ind w:left="720"/>
        <w:rPr>
          <w:rFonts w:ascii="Times New Roman" w:hAnsi="Times New Roman"/>
          <w:bCs/>
          <w:sz w:val="24"/>
          <w:szCs w:val="24"/>
        </w:rPr>
      </w:pPr>
      <w:r w:rsidRPr="00465FB3">
        <w:rPr>
          <w:rFonts w:ascii="Times New Roman" w:hAnsi="Times New Roman"/>
          <w:bCs/>
          <w:sz w:val="24"/>
          <w:szCs w:val="24"/>
        </w:rPr>
        <w:t xml:space="preserve">“Defendant meets its burden by coming forward with legitimate nondiscriminatory reasons for plaintiff's suspension and termination. Bowman testified that, on January 27, 2017, plaintiff failed properly to use an endotracheal tube to help the patient breathe. (Bowman Dep. (DE 40-3, 43-3) 41:5-43:15, 48:16-49:10, 52:6-25). Bowman asked if any medication had been given, plaintiff responded he had administered two epinephrine pills, though all the epinephrine pills were still in the bag. (Bowman Dep. (DE 40-3, 43-3) </w:t>
      </w:r>
    </w:p>
    <w:p w14:paraId="0843E16A" w14:textId="77777777" w:rsidR="007A1E7A" w:rsidRDefault="007A1E7A" w:rsidP="007A1E7A">
      <w:pPr>
        <w:pStyle w:val="NoSpacing"/>
        <w:ind w:left="720"/>
        <w:rPr>
          <w:rFonts w:ascii="Times New Roman" w:hAnsi="Times New Roman"/>
          <w:bCs/>
          <w:sz w:val="24"/>
          <w:szCs w:val="24"/>
        </w:rPr>
      </w:pPr>
    </w:p>
    <w:p w14:paraId="2F2B5AC7" w14:textId="77777777" w:rsidR="007A1E7A" w:rsidRDefault="007A1E7A" w:rsidP="007A1E7A">
      <w:pPr>
        <w:pStyle w:val="NoSpacing"/>
        <w:ind w:left="720"/>
        <w:rPr>
          <w:rFonts w:ascii="Times New Roman" w:hAnsi="Times New Roman"/>
          <w:bCs/>
          <w:sz w:val="24"/>
          <w:szCs w:val="24"/>
        </w:rPr>
      </w:pPr>
    </w:p>
    <w:p w14:paraId="2D4651C5" w14:textId="77777777" w:rsidR="007A1E7A" w:rsidRPr="00465FB3" w:rsidRDefault="007A1E7A" w:rsidP="007A1E7A">
      <w:pPr>
        <w:pStyle w:val="NoSpacing"/>
        <w:ind w:left="720"/>
        <w:rPr>
          <w:rFonts w:ascii="Times New Roman" w:hAnsi="Times New Roman"/>
          <w:sz w:val="24"/>
          <w:szCs w:val="24"/>
        </w:rPr>
      </w:pPr>
      <w:r w:rsidRPr="00465FB3">
        <w:rPr>
          <w:rFonts w:ascii="Times New Roman" w:hAnsi="Times New Roman"/>
          <w:bCs/>
          <w:sz w:val="24"/>
          <w:szCs w:val="24"/>
        </w:rPr>
        <w:t xml:space="preserve">43:16-44:4, 48:9-15). Bowman testified that plaintiff failed properly to take a diagnostic of the patient's heart. (Bowman Dep. (DE 40-3, 43-3) 46:14-22, 59:1-11). Singletary, who was also on the call with plaintiff, and Bowman both filed reports identifying deficiencies in the care administered by plaintiff to the patient. (Cade Dep. (DE 40-2) Ex. 12, 13). *** A peer review committee was convened to review the call and determined that a state investigation was necessary regarding whether plaintiff failed to follow proper treatment protocol, negligently performed his duties, and falsified patient records. (Cade Dep. (DE 40-2) Ex. 15). Defendant suspended plaintiff without pay pending investigation of these issues by the state, and it explained that plaintiff's continued </w:t>
      </w:r>
      <w:proofErr w:type="gramStart"/>
      <w:r w:rsidRPr="00465FB3">
        <w:rPr>
          <w:rFonts w:ascii="Times New Roman" w:hAnsi="Times New Roman"/>
          <w:bCs/>
          <w:sz w:val="24"/>
          <w:szCs w:val="24"/>
        </w:rPr>
        <w:t>employed</w:t>
      </w:r>
      <w:proofErr w:type="gramEnd"/>
      <w:r w:rsidRPr="00465FB3">
        <w:rPr>
          <w:rFonts w:ascii="Times New Roman" w:hAnsi="Times New Roman"/>
          <w:bCs/>
          <w:sz w:val="24"/>
          <w:szCs w:val="24"/>
        </w:rPr>
        <w:t xml:space="preserve"> with the state would be contingent on the state findings of investigation. (Cade Dep. (DE 40-2) Ex. 15, 16). The state investigation </w:t>
      </w:r>
      <w:r w:rsidRPr="00465FB3">
        <w:rPr>
          <w:rFonts w:ascii="Times New Roman" w:eastAsia="Times New Roman" w:hAnsi="Times New Roman"/>
          <w:bCs/>
          <w:sz w:val="24"/>
          <w:szCs w:val="24"/>
        </w:rPr>
        <w:t xml:space="preserve">[by </w:t>
      </w:r>
      <w:r w:rsidRPr="00465FB3">
        <w:rPr>
          <w:rFonts w:ascii="Times New Roman" w:hAnsi="Times New Roman"/>
          <w:bCs/>
          <w:sz w:val="24"/>
          <w:szCs w:val="24"/>
        </w:rPr>
        <w:t>North Carolina Office of Emergency Medical Services]</w:t>
      </w:r>
      <w:r w:rsidRPr="00465FB3">
        <w:rPr>
          <w:rFonts w:ascii="Times New Roman" w:hAnsi="Times New Roman"/>
          <w:sz w:val="24"/>
          <w:szCs w:val="24"/>
        </w:rPr>
        <w:t xml:space="preserve"> </w:t>
      </w:r>
      <w:r w:rsidRPr="00465FB3">
        <w:rPr>
          <w:rFonts w:ascii="Times New Roman" w:hAnsi="Times New Roman"/>
          <w:bCs/>
          <w:sz w:val="24"/>
          <w:szCs w:val="24"/>
        </w:rPr>
        <w:t xml:space="preserve">found numerous deficiencies in plaintiff's performance on the job, determined that plaintiff falsified details of the call, and revoked plaintiff's EMT-P credential. (Cade Dep. (DE 40-2) Ex. 20). Relying on the same factual findings as the state, </w:t>
      </w:r>
      <w:proofErr w:type="gramStart"/>
      <w:r w:rsidRPr="00465FB3">
        <w:rPr>
          <w:rFonts w:ascii="Times New Roman" w:hAnsi="Times New Roman"/>
          <w:bCs/>
          <w:sz w:val="24"/>
          <w:szCs w:val="24"/>
        </w:rPr>
        <w:t>defendant</w:t>
      </w:r>
      <w:proofErr w:type="gramEnd"/>
      <w:r w:rsidRPr="00465FB3">
        <w:rPr>
          <w:rFonts w:ascii="Times New Roman" w:hAnsi="Times New Roman"/>
          <w:bCs/>
          <w:sz w:val="24"/>
          <w:szCs w:val="24"/>
        </w:rPr>
        <w:t xml:space="preserve"> terminated plaintiff's employment for violating county policy. (Cade Dep. (DE 40-2) Ex. 21, 22).”</w:t>
      </w:r>
      <w:r w:rsidRPr="00465FB3">
        <w:rPr>
          <w:rFonts w:ascii="Times New Roman" w:hAnsi="Times New Roman"/>
          <w:sz w:val="24"/>
          <w:szCs w:val="24"/>
        </w:rPr>
        <w:t xml:space="preserve"> </w:t>
      </w:r>
      <w:hyperlink r:id="rId2327" w:history="1">
        <w:r w:rsidRPr="00465FB3">
          <w:rPr>
            <w:rStyle w:val="Hyperlink"/>
            <w:rFonts w:ascii="Times New Roman" w:hAnsi="Times New Roman"/>
            <w:bCs/>
            <w:sz w:val="24"/>
            <w:szCs w:val="24"/>
          </w:rPr>
          <w:t>https://public.fastcase.com/Wl%2B2t%2BeVuI35%2FN70vAMFZiXFpIhEfmm%2F8CTY%2Fzzj67xZNFbM2CzcHQjFO%2Fg%2BhpjG</w:t>
        </w:r>
      </w:hyperlink>
      <w:r w:rsidRPr="00465FB3">
        <w:rPr>
          <w:rFonts w:ascii="Times New Roman" w:hAnsi="Times New Roman"/>
          <w:bCs/>
          <w:sz w:val="24"/>
          <w:szCs w:val="24"/>
        </w:rPr>
        <w:t xml:space="preserve"> </w:t>
      </w:r>
    </w:p>
    <w:p w14:paraId="263C0693" w14:textId="77777777" w:rsidR="007A1E7A" w:rsidRPr="00465FB3" w:rsidRDefault="007A1E7A" w:rsidP="007A1E7A">
      <w:pPr>
        <w:spacing w:before="100" w:beforeAutospacing="1" w:after="100" w:afterAutospacing="1" w:line="240" w:lineRule="auto"/>
        <w:rPr>
          <w:rFonts w:ascii="Times New Roman" w:eastAsia="Times New Roman" w:hAnsi="Times New Roman"/>
          <w:b/>
          <w:bCs/>
          <w:sz w:val="24"/>
          <w:szCs w:val="24"/>
        </w:rPr>
      </w:pPr>
      <w:r w:rsidRPr="00465FB3">
        <w:rPr>
          <w:rFonts w:ascii="Times New Roman" w:eastAsia="Times New Roman" w:hAnsi="Times New Roman"/>
          <w:b/>
          <w:bCs/>
          <w:sz w:val="24"/>
          <w:szCs w:val="24"/>
        </w:rPr>
        <w:t xml:space="preserve">Legal Lessons Learned: The EMS Department properly notified State EMS Board of serious violations of protocol; suspended Medic and awaited state investigation before terminating the Medic. </w:t>
      </w:r>
    </w:p>
    <w:p w14:paraId="659D2EA1" w14:textId="77777777" w:rsidR="007A1E7A" w:rsidRDefault="007A1E7A" w:rsidP="002B1283">
      <w:pPr>
        <w:rPr>
          <w:rFonts w:ascii="Arial Black" w:hAnsi="Arial Black"/>
          <w:b/>
          <w:bCs/>
          <w:sz w:val="28"/>
          <w:szCs w:val="28"/>
        </w:rPr>
      </w:pPr>
    </w:p>
    <w:p w14:paraId="5C29A0F3" w14:textId="11E6FDA4" w:rsidR="00021E64" w:rsidRDefault="00021E64" w:rsidP="002B1283">
      <w:pPr>
        <w:rPr>
          <w:rFonts w:ascii="Arial Black" w:hAnsi="Arial Black"/>
          <w:b/>
          <w:bCs/>
          <w:sz w:val="28"/>
          <w:szCs w:val="28"/>
        </w:rPr>
      </w:pPr>
      <w:r>
        <w:rPr>
          <w:rFonts w:ascii="Arial Black" w:hAnsi="Arial Black"/>
          <w:b/>
          <w:bCs/>
          <w:sz w:val="28"/>
          <w:szCs w:val="28"/>
        </w:rPr>
        <w:t>13-4</w:t>
      </w:r>
      <w:r w:rsidR="007A1E7A">
        <w:rPr>
          <w:rFonts w:ascii="Arial Black" w:hAnsi="Arial Black"/>
          <w:b/>
          <w:bCs/>
          <w:sz w:val="28"/>
          <w:szCs w:val="28"/>
        </w:rPr>
        <w:t>3</w:t>
      </w:r>
    </w:p>
    <w:p w14:paraId="20BAA0F2" w14:textId="77777777" w:rsidR="00021E64" w:rsidRPr="00E72B44" w:rsidRDefault="00021E64" w:rsidP="00021E64">
      <w:pPr>
        <w:pStyle w:val="NoSpacing"/>
        <w:rPr>
          <w:rFonts w:ascii="Arial Black" w:hAnsi="Arial Black"/>
          <w:b/>
          <w:bCs/>
          <w:sz w:val="28"/>
          <w:szCs w:val="28"/>
        </w:rPr>
      </w:pPr>
      <w:bookmarkStart w:id="476" w:name="_Hlk39819998"/>
      <w:r w:rsidRPr="00E72B44">
        <w:rPr>
          <w:rFonts w:ascii="Arial Black" w:hAnsi="Arial Black"/>
          <w:bCs/>
          <w:sz w:val="28"/>
          <w:szCs w:val="28"/>
        </w:rPr>
        <w:t xml:space="preserve">TN: </w:t>
      </w:r>
      <w:r>
        <w:rPr>
          <w:rFonts w:ascii="Arial Black" w:hAnsi="Arial Black"/>
          <w:bCs/>
          <w:sz w:val="28"/>
          <w:szCs w:val="28"/>
        </w:rPr>
        <w:t>COMBATIVE PATIENT – PD RESTRAINED PATIENT - EMS USED SUCCINYLCHOLINE – QUALIFIED IMMUNITY, FOLLOWED PROTOCOL</w:t>
      </w:r>
    </w:p>
    <w:p w14:paraId="32BD2361" w14:textId="77777777" w:rsidR="00021E64" w:rsidRDefault="00021E64" w:rsidP="00021E64">
      <w:pPr>
        <w:pStyle w:val="NoSpacing"/>
        <w:ind w:left="720"/>
        <w:rPr>
          <w:b/>
          <w:bCs/>
          <w:sz w:val="24"/>
          <w:szCs w:val="24"/>
        </w:rPr>
      </w:pPr>
    </w:p>
    <w:p w14:paraId="1D03144F" w14:textId="77777777" w:rsidR="00021E64" w:rsidRPr="004236BE" w:rsidRDefault="00021E64" w:rsidP="00021E64">
      <w:pPr>
        <w:pStyle w:val="NoSpacing"/>
        <w:rPr>
          <w:rFonts w:ascii="Times New Roman" w:hAnsi="Times New Roman"/>
          <w:b/>
          <w:bCs/>
          <w:sz w:val="24"/>
          <w:szCs w:val="24"/>
        </w:rPr>
      </w:pPr>
      <w:r w:rsidRPr="004236BE">
        <w:rPr>
          <w:rFonts w:ascii="Times New Roman" w:hAnsi="Times New Roman"/>
          <w:bCs/>
          <w:sz w:val="24"/>
          <w:szCs w:val="24"/>
        </w:rPr>
        <w:t xml:space="preserve">On Jan. 21, 2020, in </w:t>
      </w:r>
      <w:r w:rsidRPr="004236BE">
        <w:rPr>
          <w:rFonts w:ascii="Times New Roman" w:hAnsi="Times New Roman"/>
          <w:bCs/>
          <w:sz w:val="24"/>
          <w:szCs w:val="24"/>
          <w:u w:val="single"/>
        </w:rPr>
        <w:t>Estate of Dustin Barnwell v. Mitchell Grigsby, et al</w:t>
      </w:r>
      <w:r w:rsidRPr="004236BE">
        <w:rPr>
          <w:rFonts w:ascii="Times New Roman" w:hAnsi="Times New Roman"/>
          <w:bCs/>
          <w:sz w:val="24"/>
          <w:szCs w:val="24"/>
        </w:rPr>
        <w:t xml:space="preserve">., the U.S. Court of Appeals for the Sixth Circuit (Cincinnati, OH) held 3 to 0 that the U.S. District Court judge, after three days of trial before a jury, properly dismissed the lawsuit against police and paramedics. </w:t>
      </w:r>
    </w:p>
    <w:p w14:paraId="1A2EECE6" w14:textId="77777777" w:rsidR="00021E64" w:rsidRPr="004236BE" w:rsidRDefault="00021E64" w:rsidP="00021E64">
      <w:pPr>
        <w:pStyle w:val="NoSpacing"/>
        <w:ind w:left="720"/>
        <w:rPr>
          <w:rFonts w:ascii="Times New Roman" w:hAnsi="Times New Roman"/>
          <w:b/>
          <w:bCs/>
          <w:sz w:val="24"/>
          <w:szCs w:val="24"/>
        </w:rPr>
      </w:pPr>
    </w:p>
    <w:p w14:paraId="1542F100" w14:textId="77777777" w:rsidR="00021E64" w:rsidRPr="004236BE" w:rsidRDefault="00021E64" w:rsidP="00021E64">
      <w:pPr>
        <w:pStyle w:val="NoSpacing"/>
        <w:ind w:left="720"/>
        <w:rPr>
          <w:rFonts w:ascii="Times New Roman" w:hAnsi="Times New Roman"/>
          <w:b/>
          <w:bCs/>
          <w:sz w:val="24"/>
          <w:szCs w:val="24"/>
        </w:rPr>
      </w:pPr>
      <w:r w:rsidRPr="004236BE">
        <w:rPr>
          <w:rFonts w:ascii="Times New Roman" w:hAnsi="Times New Roman"/>
          <w:bCs/>
          <w:sz w:val="24"/>
          <w:szCs w:val="24"/>
        </w:rPr>
        <w:t xml:space="preserve">“After three days of trial, the district court found that the defendants’ entitlement to qualified immunity resolved the ultimate issue in the case: whether administration of succinylcholine to Barnwell constituted </w:t>
      </w:r>
      <w:proofErr w:type="gramStart"/>
      <w:r w:rsidRPr="004236BE">
        <w:rPr>
          <w:rFonts w:ascii="Times New Roman" w:hAnsi="Times New Roman"/>
          <w:bCs/>
          <w:sz w:val="24"/>
          <w:szCs w:val="24"/>
        </w:rPr>
        <w:t>constitutionally-impermissible</w:t>
      </w:r>
      <w:proofErr w:type="gramEnd"/>
      <w:r w:rsidRPr="004236BE">
        <w:rPr>
          <w:rFonts w:ascii="Times New Roman" w:hAnsi="Times New Roman"/>
          <w:bCs/>
          <w:sz w:val="24"/>
          <w:szCs w:val="24"/>
        </w:rPr>
        <w:t xml:space="preserve"> excessive force. The district court properly viewed the evidence in the light most favorable to Gilmore and found that there was no legally sufficient basis fora reasonable jury to find for Gilmore on the ultimate issue in the case.”</w:t>
      </w:r>
      <w:r w:rsidRPr="004236BE">
        <w:rPr>
          <w:rFonts w:ascii="Times New Roman" w:hAnsi="Times New Roman"/>
          <w:sz w:val="24"/>
          <w:szCs w:val="24"/>
        </w:rPr>
        <w:t xml:space="preserve"> </w:t>
      </w:r>
      <w:hyperlink r:id="rId2328" w:history="1">
        <w:r w:rsidRPr="004236BE">
          <w:rPr>
            <w:rStyle w:val="Hyperlink"/>
            <w:rFonts w:ascii="Times New Roman" w:hAnsi="Times New Roman"/>
            <w:b/>
            <w:sz w:val="24"/>
            <w:szCs w:val="24"/>
          </w:rPr>
          <w:t>https://cases.justia.com/federal/appellate-courts/ca6/18-5480/18-5480-2020-01-21.pdf?ts=1579627818</w:t>
        </w:r>
      </w:hyperlink>
      <w:r w:rsidRPr="004236BE">
        <w:rPr>
          <w:rFonts w:ascii="Times New Roman" w:hAnsi="Times New Roman"/>
          <w:bCs/>
          <w:sz w:val="24"/>
          <w:szCs w:val="24"/>
        </w:rPr>
        <w:t xml:space="preserve"> </w:t>
      </w:r>
    </w:p>
    <w:bookmarkEnd w:id="476"/>
    <w:p w14:paraId="7D77084D" w14:textId="77777777" w:rsidR="00021E64" w:rsidRDefault="00021E64" w:rsidP="00021E64">
      <w:pPr>
        <w:pStyle w:val="NoSpacing"/>
        <w:rPr>
          <w:rFonts w:ascii="Times New Roman" w:hAnsi="Times New Roman"/>
          <w:b/>
          <w:bCs/>
          <w:sz w:val="24"/>
          <w:szCs w:val="24"/>
        </w:rPr>
      </w:pPr>
    </w:p>
    <w:p w14:paraId="3D79DD9D" w14:textId="0737A9BA" w:rsidR="00021E64" w:rsidRPr="004236BE" w:rsidRDefault="00021E64" w:rsidP="00021E64">
      <w:pPr>
        <w:pStyle w:val="NoSpacing"/>
        <w:rPr>
          <w:rFonts w:ascii="Times New Roman" w:eastAsia="Times New Roman" w:hAnsi="Times New Roman"/>
          <w:b/>
          <w:bCs/>
          <w:sz w:val="24"/>
          <w:szCs w:val="24"/>
        </w:rPr>
      </w:pPr>
      <w:bookmarkStart w:id="477" w:name="_Hlk40514480"/>
      <w:r w:rsidRPr="004236BE">
        <w:rPr>
          <w:rFonts w:ascii="Times New Roman" w:hAnsi="Times New Roman"/>
          <w:b/>
          <w:bCs/>
          <w:sz w:val="24"/>
          <w:szCs w:val="24"/>
        </w:rPr>
        <w:t xml:space="preserve">Legal Lessons Learned: Thoroughly document details about the combative patient, and </w:t>
      </w:r>
      <w:r>
        <w:rPr>
          <w:rFonts w:ascii="Times New Roman" w:hAnsi="Times New Roman"/>
          <w:b/>
          <w:bCs/>
          <w:sz w:val="24"/>
          <w:szCs w:val="24"/>
        </w:rPr>
        <w:t xml:space="preserve">protocol on </w:t>
      </w:r>
      <w:r w:rsidRPr="004236BE">
        <w:rPr>
          <w:rFonts w:ascii="Times New Roman" w:hAnsi="Times New Roman"/>
          <w:b/>
          <w:bCs/>
          <w:sz w:val="24"/>
          <w:szCs w:val="24"/>
        </w:rPr>
        <w:t xml:space="preserve">meds administered </w:t>
      </w:r>
      <w:r>
        <w:rPr>
          <w:rFonts w:ascii="Times New Roman" w:hAnsi="Times New Roman"/>
          <w:b/>
          <w:bCs/>
          <w:sz w:val="24"/>
          <w:szCs w:val="24"/>
        </w:rPr>
        <w:t xml:space="preserve">was followed. </w:t>
      </w:r>
    </w:p>
    <w:p w14:paraId="531D28FF" w14:textId="77777777" w:rsidR="00021E64" w:rsidRDefault="00021E64" w:rsidP="002B1283">
      <w:pPr>
        <w:rPr>
          <w:rFonts w:ascii="Arial Black" w:hAnsi="Arial Black"/>
          <w:b/>
          <w:bCs/>
          <w:sz w:val="28"/>
          <w:szCs w:val="28"/>
        </w:rPr>
      </w:pPr>
    </w:p>
    <w:bookmarkEnd w:id="477"/>
    <w:p w14:paraId="305E8D18" w14:textId="77777777" w:rsidR="00021E64" w:rsidRDefault="00021E64" w:rsidP="00DE0F03">
      <w:pPr>
        <w:pStyle w:val="NoSpacing"/>
        <w:rPr>
          <w:rFonts w:ascii="Arial Black" w:hAnsi="Arial Black"/>
          <w:sz w:val="24"/>
          <w:szCs w:val="24"/>
        </w:rPr>
      </w:pPr>
    </w:p>
    <w:p w14:paraId="5269B26C" w14:textId="5A8944E7" w:rsidR="00420322" w:rsidRDefault="00420322" w:rsidP="00DE0F03">
      <w:pPr>
        <w:pStyle w:val="NoSpacing"/>
        <w:rPr>
          <w:rFonts w:ascii="Arial Black" w:hAnsi="Arial Black"/>
          <w:sz w:val="24"/>
          <w:szCs w:val="24"/>
        </w:rPr>
      </w:pPr>
      <w:r>
        <w:rPr>
          <w:rFonts w:ascii="Arial Black" w:hAnsi="Arial Black"/>
          <w:sz w:val="24"/>
          <w:szCs w:val="24"/>
        </w:rPr>
        <w:t>13-4</w:t>
      </w:r>
      <w:r w:rsidR="007A1E7A">
        <w:rPr>
          <w:rFonts w:ascii="Arial Black" w:hAnsi="Arial Black"/>
          <w:sz w:val="24"/>
          <w:szCs w:val="24"/>
        </w:rPr>
        <w:t>2</w:t>
      </w:r>
    </w:p>
    <w:p w14:paraId="03855AE1" w14:textId="2DFC2981" w:rsidR="00420322" w:rsidRDefault="00420322" w:rsidP="00DE0F03">
      <w:pPr>
        <w:pStyle w:val="NoSpacing"/>
        <w:rPr>
          <w:rFonts w:ascii="Arial Black" w:hAnsi="Arial Black"/>
          <w:sz w:val="24"/>
          <w:szCs w:val="24"/>
        </w:rPr>
      </w:pPr>
    </w:p>
    <w:p w14:paraId="5C0F8BD1" w14:textId="6EF9963B" w:rsidR="00420322" w:rsidRPr="00F81147" w:rsidRDefault="00420322" w:rsidP="00420322">
      <w:pPr>
        <w:rPr>
          <w:rFonts w:ascii="Arial Black" w:hAnsi="Arial Black"/>
          <w:sz w:val="28"/>
          <w:szCs w:val="28"/>
        </w:rPr>
      </w:pPr>
      <w:bookmarkStart w:id="478" w:name="_Hlk39820349"/>
      <w:bookmarkStart w:id="479" w:name="_Hlk41297971"/>
      <w:r w:rsidRPr="00AF53CE">
        <w:rPr>
          <w:rFonts w:ascii="Arial Black" w:hAnsi="Arial Black"/>
          <w:sz w:val="28"/>
          <w:szCs w:val="28"/>
        </w:rPr>
        <w:t xml:space="preserve">GA: </w:t>
      </w:r>
      <w:r>
        <w:rPr>
          <w:rFonts w:ascii="Arial Black" w:hAnsi="Arial Black"/>
          <w:sz w:val="28"/>
          <w:szCs w:val="28"/>
        </w:rPr>
        <w:t>EMT – OBJECTED WHEN TOLD TO FALSIFY PATIENTS CAN’T WALK – LATER FIRED, DIDN’T INFORM DIR. 2</w:t>
      </w:r>
      <w:r w:rsidRPr="00AC5D85">
        <w:rPr>
          <w:rFonts w:ascii="Arial Black" w:hAnsi="Arial Black"/>
          <w:sz w:val="28"/>
          <w:szCs w:val="28"/>
          <w:vertAlign w:val="superscript"/>
        </w:rPr>
        <w:t>nd</w:t>
      </w:r>
      <w:r>
        <w:rPr>
          <w:rFonts w:ascii="Arial Black" w:hAnsi="Arial Black"/>
          <w:sz w:val="28"/>
          <w:szCs w:val="28"/>
        </w:rPr>
        <w:t xml:space="preserve"> EMS JOB – NO RETALIATION </w:t>
      </w:r>
      <w:r w:rsidR="00F81147">
        <w:rPr>
          <w:rFonts w:ascii="Arial Black" w:hAnsi="Arial Black"/>
          <w:sz w:val="28"/>
          <w:szCs w:val="28"/>
        </w:rPr>
        <w:t xml:space="preserve">                                                                                              </w:t>
      </w:r>
      <w:r>
        <w:rPr>
          <w:rFonts w:ascii="Times New Roman" w:hAnsi="Times New Roman"/>
          <w:sz w:val="24"/>
          <w:szCs w:val="24"/>
        </w:rPr>
        <w:t xml:space="preserve">On Jan. 3, 2020, in </w:t>
      </w:r>
      <w:r w:rsidRPr="00AF53CE">
        <w:rPr>
          <w:rFonts w:ascii="Times New Roman" w:hAnsi="Times New Roman"/>
          <w:sz w:val="24"/>
          <w:szCs w:val="24"/>
          <w:u w:val="single"/>
        </w:rPr>
        <w:t>Jamie Nesbitt v. Chandler County, GA, d.b.a. Chandler County Ambulance Service</w:t>
      </w:r>
      <w:r>
        <w:rPr>
          <w:rFonts w:ascii="Times New Roman" w:hAnsi="Times New Roman"/>
          <w:sz w:val="24"/>
          <w:szCs w:val="24"/>
        </w:rPr>
        <w:t>, the U.S. Court of Appeals for the 11</w:t>
      </w:r>
      <w:r w:rsidRPr="00AF53CE">
        <w:rPr>
          <w:rFonts w:ascii="Times New Roman" w:hAnsi="Times New Roman"/>
          <w:sz w:val="24"/>
          <w:szCs w:val="24"/>
          <w:vertAlign w:val="superscript"/>
        </w:rPr>
        <w:t>th</w:t>
      </w:r>
      <w:r>
        <w:rPr>
          <w:rFonts w:ascii="Times New Roman" w:hAnsi="Times New Roman"/>
          <w:sz w:val="24"/>
          <w:szCs w:val="24"/>
        </w:rPr>
        <w:t xml:space="preserve"> Circuit (Atlanta) held 3 to 0 that the U.S. District Court judge properly dismissed the EMT’s False Claims Act lawsuit claiming retaliation.  He was fired for having an undisclosed second job working for a private ambulance company; no proof that “but for” his being a whistleblower he would have been fired. </w:t>
      </w:r>
    </w:p>
    <w:p w14:paraId="5B73BD32" w14:textId="77777777" w:rsidR="00420322" w:rsidRPr="00127858" w:rsidRDefault="00420322" w:rsidP="00420322">
      <w:pPr>
        <w:ind w:left="720"/>
        <w:rPr>
          <w:rFonts w:ascii="Times New Roman" w:hAnsi="Times New Roman"/>
          <w:sz w:val="24"/>
          <w:szCs w:val="24"/>
        </w:rPr>
      </w:pPr>
      <w:r>
        <w:rPr>
          <w:rFonts w:ascii="Times New Roman" w:hAnsi="Times New Roman"/>
          <w:sz w:val="24"/>
          <w:szCs w:val="24"/>
        </w:rPr>
        <w:t>“</w:t>
      </w:r>
      <w:r w:rsidRPr="00127858">
        <w:rPr>
          <w:rFonts w:ascii="Times New Roman" w:hAnsi="Times New Roman"/>
          <w:sz w:val="24"/>
          <w:szCs w:val="24"/>
        </w:rPr>
        <w:t xml:space="preserve">According to Nesbitt, when Greer became the deputy </w:t>
      </w:r>
      <w:proofErr w:type="gramStart"/>
      <w:r w:rsidRPr="00127858">
        <w:rPr>
          <w:rFonts w:ascii="Times New Roman" w:hAnsi="Times New Roman"/>
          <w:sz w:val="24"/>
          <w:szCs w:val="24"/>
        </w:rPr>
        <w:t>director</w:t>
      </w:r>
      <w:proofErr w:type="gramEnd"/>
      <w:r w:rsidRPr="00127858">
        <w:rPr>
          <w:rFonts w:ascii="Times New Roman" w:hAnsi="Times New Roman"/>
          <w:sz w:val="24"/>
          <w:szCs w:val="24"/>
        </w:rPr>
        <w:t xml:space="preserve"> he started pressuring the EMTs to write in their report narratives that patients were unable to walk, even if they could. That </w:t>
      </w:r>
      <w:proofErr w:type="gramStart"/>
      <w:r w:rsidRPr="00127858">
        <w:rPr>
          <w:rFonts w:ascii="Times New Roman" w:hAnsi="Times New Roman"/>
          <w:sz w:val="24"/>
          <w:szCs w:val="24"/>
        </w:rPr>
        <w:t>way</w:t>
      </w:r>
      <w:proofErr w:type="gramEnd"/>
      <w:r w:rsidRPr="00127858">
        <w:rPr>
          <w:rFonts w:ascii="Times New Roman" w:hAnsi="Times New Roman"/>
          <w:sz w:val="24"/>
          <w:szCs w:val="24"/>
        </w:rPr>
        <w:t xml:space="preserve"> Medicare would pay for more trips. Nesbitt believed that Greer was asking him to commit fraud, so he began complaining to Greer himself and other County officials.  *** The County had a policy prohibiting EMTs from working side jobs without the approval of the ambulance service director. Greer was not the director, David Moore was. Nesbitt assumed that Moore somehow knew about his other job, but there’s no evidence that Moore did know about it, much less that he approved it.</w:t>
      </w:r>
      <w:r>
        <w:rPr>
          <w:rFonts w:ascii="Times New Roman" w:hAnsi="Times New Roman"/>
          <w:sz w:val="24"/>
          <w:szCs w:val="24"/>
        </w:rPr>
        <w:t xml:space="preserve">” </w:t>
      </w:r>
      <w:bookmarkStart w:id="480" w:name="_Hlk41151938"/>
      <w:r w:rsidR="00F37A4B">
        <w:fldChar w:fldCharType="begin"/>
      </w:r>
      <w:r w:rsidR="00F37A4B">
        <w:instrText xml:space="preserve"> HYPERLINK "http://media.ca11.uscourts.gov/opinions/pub/files/201814484.pdf" </w:instrText>
      </w:r>
      <w:r w:rsidR="00F37A4B">
        <w:fldChar w:fldCharType="separate"/>
      </w:r>
      <w:r w:rsidRPr="00631896">
        <w:rPr>
          <w:rStyle w:val="Hyperlink"/>
          <w:rFonts w:ascii="Times New Roman" w:hAnsi="Times New Roman"/>
          <w:sz w:val="24"/>
          <w:szCs w:val="24"/>
        </w:rPr>
        <w:t>http://media.ca11.uscourts.gov/opinions/pub/files/201814484.pdf</w:t>
      </w:r>
      <w:r w:rsidR="00F37A4B">
        <w:rPr>
          <w:rStyle w:val="Hyperlink"/>
          <w:rFonts w:ascii="Times New Roman" w:hAnsi="Times New Roman"/>
          <w:sz w:val="24"/>
          <w:szCs w:val="24"/>
        </w:rPr>
        <w:fldChar w:fldCharType="end"/>
      </w:r>
      <w:r>
        <w:rPr>
          <w:rFonts w:ascii="Times New Roman" w:hAnsi="Times New Roman"/>
          <w:sz w:val="24"/>
          <w:szCs w:val="24"/>
        </w:rPr>
        <w:t xml:space="preserve"> </w:t>
      </w:r>
    </w:p>
    <w:bookmarkEnd w:id="478"/>
    <w:p w14:paraId="3DD10371" w14:textId="4B44F376" w:rsidR="00420322" w:rsidRPr="00F37A4B" w:rsidRDefault="00F37A4B" w:rsidP="00DE0F03">
      <w:pPr>
        <w:pStyle w:val="NoSpacing"/>
        <w:rPr>
          <w:rFonts w:ascii="Times New Roman" w:hAnsi="Times New Roman"/>
          <w:b/>
          <w:bCs/>
          <w:sz w:val="24"/>
          <w:szCs w:val="24"/>
        </w:rPr>
      </w:pPr>
      <w:r w:rsidRPr="00F37A4B">
        <w:rPr>
          <w:rFonts w:ascii="Times New Roman" w:hAnsi="Times New Roman"/>
          <w:b/>
          <w:bCs/>
          <w:sz w:val="24"/>
          <w:szCs w:val="24"/>
        </w:rPr>
        <w:t xml:space="preserve">Legal Lessons Learned: </w:t>
      </w:r>
      <w:r>
        <w:rPr>
          <w:rFonts w:ascii="Times New Roman" w:hAnsi="Times New Roman"/>
          <w:b/>
          <w:bCs/>
          <w:sz w:val="24"/>
          <w:szCs w:val="24"/>
        </w:rPr>
        <w:t xml:space="preserve"> Employer had basis for termination. </w:t>
      </w:r>
    </w:p>
    <w:bookmarkEnd w:id="480"/>
    <w:p w14:paraId="51A03752" w14:textId="77777777" w:rsidR="00420322" w:rsidRDefault="00420322" w:rsidP="00DE0F03">
      <w:pPr>
        <w:pStyle w:val="NoSpacing"/>
        <w:rPr>
          <w:rFonts w:ascii="Arial Black" w:hAnsi="Arial Black"/>
          <w:sz w:val="24"/>
          <w:szCs w:val="24"/>
        </w:rPr>
      </w:pPr>
    </w:p>
    <w:bookmarkEnd w:id="479"/>
    <w:p w14:paraId="17EA2C23" w14:textId="77777777" w:rsidR="00420322" w:rsidRDefault="00420322" w:rsidP="00DE0F03">
      <w:pPr>
        <w:pStyle w:val="NoSpacing"/>
        <w:rPr>
          <w:rFonts w:ascii="Arial Black" w:hAnsi="Arial Black"/>
          <w:sz w:val="24"/>
          <w:szCs w:val="24"/>
        </w:rPr>
      </w:pPr>
    </w:p>
    <w:p w14:paraId="373A5411" w14:textId="3FF15815" w:rsidR="00420322" w:rsidRDefault="00420322" w:rsidP="00DE0F03">
      <w:pPr>
        <w:pStyle w:val="NoSpacing"/>
        <w:rPr>
          <w:rFonts w:ascii="Arial Black" w:hAnsi="Arial Black"/>
          <w:sz w:val="24"/>
          <w:szCs w:val="24"/>
        </w:rPr>
      </w:pPr>
      <w:r>
        <w:rPr>
          <w:rFonts w:ascii="Arial Black" w:hAnsi="Arial Black"/>
          <w:sz w:val="24"/>
          <w:szCs w:val="24"/>
        </w:rPr>
        <w:t>13-4</w:t>
      </w:r>
      <w:r w:rsidR="007A1E7A">
        <w:rPr>
          <w:rFonts w:ascii="Arial Black" w:hAnsi="Arial Black"/>
          <w:sz w:val="24"/>
          <w:szCs w:val="24"/>
        </w:rPr>
        <w:t>1</w:t>
      </w:r>
    </w:p>
    <w:p w14:paraId="4AFBD5AD" w14:textId="7252AC36" w:rsidR="00420322" w:rsidRDefault="00420322" w:rsidP="00DE0F03">
      <w:pPr>
        <w:pStyle w:val="NoSpacing"/>
        <w:rPr>
          <w:rFonts w:ascii="Arial Black" w:hAnsi="Arial Black"/>
          <w:sz w:val="24"/>
          <w:szCs w:val="24"/>
        </w:rPr>
      </w:pPr>
    </w:p>
    <w:p w14:paraId="319522F0" w14:textId="77777777" w:rsidR="00420322" w:rsidRPr="00F02676" w:rsidRDefault="00420322" w:rsidP="00420322">
      <w:pPr>
        <w:rPr>
          <w:rFonts w:ascii="Arial Black" w:hAnsi="Arial Black"/>
          <w:sz w:val="28"/>
          <w:szCs w:val="28"/>
        </w:rPr>
      </w:pPr>
      <w:bookmarkStart w:id="481" w:name="_Hlk41152123"/>
      <w:r w:rsidRPr="00F02676">
        <w:rPr>
          <w:rFonts w:ascii="Arial Black" w:hAnsi="Arial Black"/>
          <w:sz w:val="28"/>
          <w:szCs w:val="28"/>
        </w:rPr>
        <w:t xml:space="preserve">FL: </w:t>
      </w:r>
      <w:r>
        <w:rPr>
          <w:rFonts w:ascii="Arial Black" w:hAnsi="Arial Black"/>
          <w:sz w:val="28"/>
          <w:szCs w:val="28"/>
        </w:rPr>
        <w:t>HIGH SCHOOL FOOTBALL – HEAT EXHAUSTION / DIED - COACH DELAYED CALLING 911 – NO LIABILITY, LACK REQUISITE CONTROL</w:t>
      </w:r>
    </w:p>
    <w:p w14:paraId="416A27F4" w14:textId="77777777" w:rsidR="00420322" w:rsidRDefault="00420322" w:rsidP="00420322">
      <w:pPr>
        <w:rPr>
          <w:rFonts w:ascii="Times New Roman" w:hAnsi="Times New Roman"/>
          <w:sz w:val="24"/>
          <w:szCs w:val="24"/>
        </w:rPr>
      </w:pPr>
      <w:r w:rsidRPr="00F02676">
        <w:rPr>
          <w:rFonts w:ascii="Times New Roman" w:hAnsi="Times New Roman"/>
          <w:sz w:val="24"/>
          <w:szCs w:val="24"/>
        </w:rPr>
        <w:t xml:space="preserve">On Jan. 2, 2019, in </w:t>
      </w:r>
      <w:r w:rsidRPr="00F02676">
        <w:rPr>
          <w:rFonts w:ascii="Times New Roman" w:hAnsi="Times New Roman"/>
          <w:sz w:val="24"/>
          <w:szCs w:val="24"/>
          <w:u w:val="single"/>
        </w:rPr>
        <w:t>Laurie Alice Giordano v. The School Board of Lee County, Florida and James Delgado</w:t>
      </w:r>
      <w:r>
        <w:rPr>
          <w:rFonts w:ascii="Times New Roman" w:hAnsi="Times New Roman"/>
          <w:sz w:val="24"/>
          <w:szCs w:val="24"/>
        </w:rPr>
        <w:t xml:space="preserve">, U.S. District Court Judge John E. Steele, U.S. District Court, Middle District of Florida (Fort Myers Division), granted defendants motion to dismiss. </w:t>
      </w:r>
    </w:p>
    <w:p w14:paraId="208BA285" w14:textId="77777777" w:rsidR="00420322" w:rsidRPr="00F02676" w:rsidRDefault="00420322" w:rsidP="00420322">
      <w:pPr>
        <w:ind w:left="720"/>
        <w:rPr>
          <w:rFonts w:ascii="Times New Roman" w:hAnsi="Times New Roman"/>
          <w:sz w:val="24"/>
          <w:szCs w:val="24"/>
        </w:rPr>
      </w:pPr>
      <w:r>
        <w:rPr>
          <w:rFonts w:ascii="Times New Roman" w:hAnsi="Times New Roman"/>
          <w:sz w:val="24"/>
          <w:szCs w:val="24"/>
        </w:rPr>
        <w:t>“</w:t>
      </w:r>
      <w:r w:rsidRPr="00F02676">
        <w:rPr>
          <w:rFonts w:ascii="Times New Roman" w:hAnsi="Times New Roman"/>
          <w:sz w:val="24"/>
          <w:szCs w:val="24"/>
        </w:rPr>
        <w:t>Mere compulsory attendance at a public school does not give rise to a constitutional duty of protection under the Due Process Clause because public schools generally lack the requisite control over children to impose such a duty of care upon these institutions.</w:t>
      </w:r>
      <w:r>
        <w:rPr>
          <w:rFonts w:ascii="Times New Roman" w:hAnsi="Times New Roman"/>
          <w:sz w:val="24"/>
          <w:szCs w:val="24"/>
        </w:rPr>
        <w:t xml:space="preserve">” </w:t>
      </w:r>
      <w:hyperlink r:id="rId2329" w:history="1">
        <w:r w:rsidRPr="006C1964">
          <w:rPr>
            <w:rStyle w:val="Hyperlink"/>
            <w:rFonts w:ascii="Times New Roman" w:hAnsi="Times New Roman"/>
            <w:sz w:val="24"/>
            <w:szCs w:val="24"/>
          </w:rPr>
          <w:t>https://ecf.flmd.uscourts.gov/cgi-bin/show_public_doc?2019-00439-60-2-cv</w:t>
        </w:r>
      </w:hyperlink>
      <w:r>
        <w:rPr>
          <w:rFonts w:ascii="Times New Roman" w:hAnsi="Times New Roman"/>
          <w:sz w:val="24"/>
          <w:szCs w:val="24"/>
        </w:rPr>
        <w:t xml:space="preserve"> </w:t>
      </w:r>
    </w:p>
    <w:p w14:paraId="68A58967" w14:textId="10725851" w:rsidR="00420322" w:rsidRPr="00E658E1" w:rsidRDefault="00E658E1" w:rsidP="00DE0F03">
      <w:pPr>
        <w:pStyle w:val="NoSpacing"/>
        <w:rPr>
          <w:rFonts w:ascii="Times New Roman" w:hAnsi="Times New Roman"/>
          <w:b/>
          <w:bCs/>
          <w:sz w:val="24"/>
          <w:szCs w:val="24"/>
        </w:rPr>
      </w:pPr>
      <w:r w:rsidRPr="00E658E1">
        <w:rPr>
          <w:rFonts w:ascii="Times New Roman" w:hAnsi="Times New Roman"/>
          <w:b/>
          <w:bCs/>
          <w:sz w:val="24"/>
          <w:szCs w:val="24"/>
        </w:rPr>
        <w:t>Legal Lesson Learned:</w:t>
      </w:r>
      <w:r>
        <w:rPr>
          <w:rFonts w:ascii="Times New Roman" w:hAnsi="Times New Roman"/>
          <w:b/>
          <w:bCs/>
          <w:sz w:val="24"/>
          <w:szCs w:val="24"/>
        </w:rPr>
        <w:t xml:space="preserve"> </w:t>
      </w:r>
      <w:r w:rsidRPr="00E658E1">
        <w:rPr>
          <w:rFonts w:ascii="Times New Roman" w:hAnsi="Times New Roman"/>
          <w:b/>
          <w:bCs/>
          <w:sz w:val="24"/>
          <w:szCs w:val="24"/>
        </w:rPr>
        <w:t xml:space="preserve">Football and other athletic coaches need training in signs of serious </w:t>
      </w:r>
      <w:proofErr w:type="gramStart"/>
      <w:r w:rsidRPr="00E658E1">
        <w:rPr>
          <w:rFonts w:ascii="Times New Roman" w:hAnsi="Times New Roman"/>
          <w:b/>
          <w:bCs/>
          <w:sz w:val="24"/>
          <w:szCs w:val="24"/>
        </w:rPr>
        <w:t>illness, and</w:t>
      </w:r>
      <w:proofErr w:type="gramEnd"/>
      <w:r w:rsidRPr="00E658E1">
        <w:rPr>
          <w:rFonts w:ascii="Times New Roman" w:hAnsi="Times New Roman"/>
          <w:b/>
          <w:bCs/>
          <w:sz w:val="24"/>
          <w:szCs w:val="24"/>
        </w:rPr>
        <w:t xml:space="preserve"> need to promptly call 911.</w:t>
      </w:r>
    </w:p>
    <w:bookmarkEnd w:id="481"/>
    <w:p w14:paraId="4DE7B7AC" w14:textId="77777777" w:rsidR="00420322" w:rsidRDefault="00420322" w:rsidP="00DE0F03">
      <w:pPr>
        <w:pStyle w:val="NoSpacing"/>
        <w:rPr>
          <w:rFonts w:ascii="Arial Black" w:hAnsi="Arial Black"/>
          <w:sz w:val="24"/>
          <w:szCs w:val="24"/>
        </w:rPr>
      </w:pPr>
    </w:p>
    <w:p w14:paraId="7BD0DAF7" w14:textId="77777777" w:rsidR="00420322" w:rsidRDefault="00420322" w:rsidP="00DE0F03">
      <w:pPr>
        <w:pStyle w:val="NoSpacing"/>
        <w:rPr>
          <w:rFonts w:ascii="Arial Black" w:hAnsi="Arial Black"/>
          <w:sz w:val="24"/>
          <w:szCs w:val="24"/>
        </w:rPr>
      </w:pPr>
    </w:p>
    <w:p w14:paraId="3CFF2485" w14:textId="47B5ECA6" w:rsidR="00420322" w:rsidRDefault="00420322" w:rsidP="00DE0F03">
      <w:pPr>
        <w:pStyle w:val="NoSpacing"/>
        <w:rPr>
          <w:rFonts w:ascii="Arial Black" w:hAnsi="Arial Black"/>
          <w:sz w:val="24"/>
          <w:szCs w:val="24"/>
        </w:rPr>
      </w:pPr>
      <w:r>
        <w:rPr>
          <w:rFonts w:ascii="Arial Black" w:hAnsi="Arial Black"/>
          <w:sz w:val="24"/>
          <w:szCs w:val="24"/>
        </w:rPr>
        <w:t>13-</w:t>
      </w:r>
      <w:r w:rsidR="007A1E7A">
        <w:rPr>
          <w:rFonts w:ascii="Arial Black" w:hAnsi="Arial Black"/>
          <w:sz w:val="24"/>
          <w:szCs w:val="24"/>
        </w:rPr>
        <w:t>40</w:t>
      </w:r>
    </w:p>
    <w:p w14:paraId="2543D7E4" w14:textId="36BE05AB" w:rsidR="00420322" w:rsidRDefault="00420322" w:rsidP="00DE0F03">
      <w:pPr>
        <w:pStyle w:val="NoSpacing"/>
        <w:rPr>
          <w:rFonts w:ascii="Arial Black" w:hAnsi="Arial Black"/>
          <w:sz w:val="24"/>
          <w:szCs w:val="24"/>
        </w:rPr>
      </w:pPr>
    </w:p>
    <w:p w14:paraId="60D59A59" w14:textId="77777777" w:rsidR="00420322" w:rsidRDefault="00420322" w:rsidP="00420322">
      <w:pPr>
        <w:rPr>
          <w:rFonts w:ascii="Arial Black" w:hAnsi="Arial Black"/>
          <w:sz w:val="28"/>
          <w:szCs w:val="28"/>
        </w:rPr>
      </w:pPr>
      <w:bookmarkStart w:id="482" w:name="_Hlk41152157"/>
      <w:r w:rsidRPr="00C44FF6">
        <w:rPr>
          <w:rFonts w:ascii="Arial Black" w:hAnsi="Arial Black"/>
          <w:sz w:val="28"/>
          <w:szCs w:val="28"/>
        </w:rPr>
        <w:t xml:space="preserve">TX: </w:t>
      </w:r>
      <w:r>
        <w:rPr>
          <w:rFonts w:ascii="Arial Black" w:hAnsi="Arial Black"/>
          <w:sz w:val="28"/>
          <w:szCs w:val="28"/>
        </w:rPr>
        <w:t>POTHOLE - MOTORCYCLIST INJURED – DIDN’T INFORM CITY OF POTHOLE - EMS RUN RPT. NOT “ACTUAL NOTICE” – CASE DISMISSED</w:t>
      </w:r>
    </w:p>
    <w:p w14:paraId="7D8F2743" w14:textId="77777777" w:rsidR="00420322" w:rsidRPr="00C44FF6" w:rsidRDefault="00420322" w:rsidP="00420322">
      <w:pPr>
        <w:rPr>
          <w:rFonts w:ascii="Times New Roman" w:hAnsi="Times New Roman"/>
          <w:sz w:val="24"/>
          <w:szCs w:val="24"/>
        </w:rPr>
      </w:pPr>
      <w:r w:rsidRPr="00C44FF6">
        <w:rPr>
          <w:rFonts w:ascii="Times New Roman" w:hAnsi="Times New Roman"/>
          <w:sz w:val="24"/>
          <w:szCs w:val="24"/>
        </w:rPr>
        <w:t xml:space="preserve">On </w:t>
      </w:r>
      <w:r>
        <w:rPr>
          <w:rFonts w:ascii="Times New Roman" w:hAnsi="Times New Roman"/>
          <w:sz w:val="24"/>
          <w:szCs w:val="24"/>
        </w:rPr>
        <w:t xml:space="preserve">Dec. 31, 2019, in </w:t>
      </w:r>
      <w:r w:rsidRPr="00C44FF6">
        <w:rPr>
          <w:rFonts w:ascii="Times New Roman" w:hAnsi="Times New Roman"/>
          <w:sz w:val="24"/>
          <w:szCs w:val="24"/>
          <w:u w:val="single"/>
        </w:rPr>
        <w:t>City of Houston v. Elvin D. Miller</w:t>
      </w:r>
      <w:r>
        <w:rPr>
          <w:rFonts w:ascii="Times New Roman" w:hAnsi="Times New Roman"/>
          <w:sz w:val="24"/>
          <w:szCs w:val="24"/>
        </w:rPr>
        <w:t xml:space="preserve">, the Court of Appeals for the First District of Texas, held (3 to 0) that the trial judge should have dismissed this lawsuit. </w:t>
      </w:r>
    </w:p>
    <w:p w14:paraId="77E23ADC" w14:textId="27A3D0C8" w:rsidR="00420322" w:rsidRDefault="00420322" w:rsidP="00420322">
      <w:pPr>
        <w:ind w:left="720"/>
        <w:rPr>
          <w:rFonts w:ascii="Times New Roman" w:hAnsi="Times New Roman"/>
          <w:sz w:val="24"/>
          <w:szCs w:val="24"/>
        </w:rPr>
      </w:pPr>
      <w:r>
        <w:rPr>
          <w:rFonts w:ascii="Times New Roman" w:hAnsi="Times New Roman"/>
          <w:sz w:val="24"/>
          <w:szCs w:val="24"/>
        </w:rPr>
        <w:t>“</w:t>
      </w:r>
      <w:r w:rsidRPr="00C44FF6">
        <w:rPr>
          <w:rFonts w:ascii="Times New Roman" w:hAnsi="Times New Roman"/>
          <w:sz w:val="24"/>
          <w:szCs w:val="24"/>
        </w:rPr>
        <w:t>Accordingly, we hold</w:t>
      </w:r>
      <w:r>
        <w:rPr>
          <w:rFonts w:ascii="Times New Roman" w:hAnsi="Times New Roman"/>
          <w:sz w:val="24"/>
          <w:szCs w:val="24"/>
        </w:rPr>
        <w:t xml:space="preserve"> </w:t>
      </w:r>
      <w:r w:rsidRPr="00C44FF6">
        <w:rPr>
          <w:rFonts w:ascii="Times New Roman" w:hAnsi="Times New Roman"/>
          <w:sz w:val="24"/>
          <w:szCs w:val="24"/>
        </w:rPr>
        <w:t>that Miller</w:t>
      </w:r>
      <w:r>
        <w:rPr>
          <w:rFonts w:ascii="Times New Roman" w:hAnsi="Times New Roman"/>
          <w:sz w:val="24"/>
          <w:szCs w:val="24"/>
        </w:rPr>
        <w:t xml:space="preserve"> </w:t>
      </w:r>
      <w:r w:rsidRPr="00C44FF6">
        <w:rPr>
          <w:rFonts w:ascii="Times New Roman" w:hAnsi="Times New Roman"/>
          <w:sz w:val="24"/>
          <w:szCs w:val="24"/>
        </w:rPr>
        <w:t>has not demonstrated</w:t>
      </w:r>
      <w:r>
        <w:rPr>
          <w:rFonts w:ascii="Times New Roman" w:hAnsi="Times New Roman"/>
          <w:sz w:val="24"/>
          <w:szCs w:val="24"/>
        </w:rPr>
        <w:t xml:space="preserve"> </w:t>
      </w:r>
      <w:r w:rsidRPr="00C44FF6">
        <w:rPr>
          <w:rFonts w:ascii="Times New Roman" w:hAnsi="Times New Roman"/>
          <w:sz w:val="24"/>
          <w:szCs w:val="24"/>
        </w:rPr>
        <w:t>that the City was subjectively aware</w:t>
      </w:r>
      <w:r>
        <w:rPr>
          <w:rFonts w:ascii="Times New Roman" w:hAnsi="Times New Roman"/>
          <w:sz w:val="24"/>
          <w:szCs w:val="24"/>
        </w:rPr>
        <w:t xml:space="preserve"> </w:t>
      </w:r>
      <w:r w:rsidRPr="00C44FF6">
        <w:rPr>
          <w:rFonts w:ascii="Times New Roman" w:hAnsi="Times New Roman"/>
          <w:sz w:val="24"/>
          <w:szCs w:val="24"/>
        </w:rPr>
        <w:t>of its fault in producing</w:t>
      </w:r>
      <w:r>
        <w:rPr>
          <w:rFonts w:ascii="Times New Roman" w:hAnsi="Times New Roman"/>
          <w:sz w:val="24"/>
          <w:szCs w:val="24"/>
        </w:rPr>
        <w:t xml:space="preserve"> </w:t>
      </w:r>
      <w:r w:rsidRPr="00C44FF6">
        <w:rPr>
          <w:rFonts w:ascii="Times New Roman" w:hAnsi="Times New Roman"/>
          <w:sz w:val="24"/>
          <w:szCs w:val="24"/>
        </w:rPr>
        <w:t>or causing his</w:t>
      </w:r>
      <w:r>
        <w:rPr>
          <w:rFonts w:ascii="Times New Roman" w:hAnsi="Times New Roman"/>
          <w:sz w:val="24"/>
          <w:szCs w:val="24"/>
        </w:rPr>
        <w:t xml:space="preserve"> </w:t>
      </w:r>
      <w:r w:rsidRPr="00C44FF6">
        <w:rPr>
          <w:rFonts w:ascii="Times New Roman" w:hAnsi="Times New Roman"/>
          <w:sz w:val="24"/>
          <w:szCs w:val="24"/>
        </w:rPr>
        <w:t>injuries</w:t>
      </w:r>
      <w:r>
        <w:rPr>
          <w:rFonts w:ascii="Times New Roman" w:hAnsi="Times New Roman"/>
          <w:sz w:val="24"/>
          <w:szCs w:val="24"/>
        </w:rPr>
        <w:t xml:space="preserve"> </w:t>
      </w:r>
      <w:r w:rsidRPr="00C44FF6">
        <w:rPr>
          <w:rFonts w:ascii="Times New Roman" w:hAnsi="Times New Roman"/>
          <w:sz w:val="24"/>
          <w:szCs w:val="24"/>
        </w:rPr>
        <w:t>such that it had actual notice of his claims</w:t>
      </w:r>
      <w:r>
        <w:rPr>
          <w:rFonts w:ascii="Times New Roman" w:hAnsi="Times New Roman"/>
          <w:sz w:val="24"/>
          <w:szCs w:val="24"/>
        </w:rPr>
        <w:t xml:space="preserve"> </w:t>
      </w:r>
      <w:r w:rsidRPr="00C44FF6">
        <w:rPr>
          <w:rFonts w:ascii="Times New Roman" w:hAnsi="Times New Roman"/>
          <w:sz w:val="24"/>
          <w:szCs w:val="24"/>
        </w:rPr>
        <w:t>prior to the jurisdictional deadline for giving notice of</w:t>
      </w:r>
      <w:r>
        <w:rPr>
          <w:rFonts w:ascii="Times New Roman" w:hAnsi="Times New Roman"/>
          <w:sz w:val="24"/>
          <w:szCs w:val="24"/>
        </w:rPr>
        <w:t xml:space="preserve"> </w:t>
      </w:r>
      <w:r w:rsidRPr="00C44FF6">
        <w:rPr>
          <w:rFonts w:ascii="Times New Roman" w:hAnsi="Times New Roman"/>
          <w:sz w:val="24"/>
          <w:szCs w:val="24"/>
        </w:rPr>
        <w:t>his claims.</w:t>
      </w:r>
      <w:r>
        <w:rPr>
          <w:rFonts w:ascii="Times New Roman" w:hAnsi="Times New Roman"/>
          <w:sz w:val="24"/>
          <w:szCs w:val="24"/>
        </w:rPr>
        <w:t xml:space="preserve">” </w:t>
      </w:r>
      <w:hyperlink r:id="rId2330" w:history="1">
        <w:r w:rsidRPr="006C1964">
          <w:rPr>
            <w:rStyle w:val="Hyperlink"/>
            <w:rFonts w:ascii="Times New Roman" w:hAnsi="Times New Roman"/>
            <w:sz w:val="24"/>
            <w:szCs w:val="24"/>
          </w:rPr>
          <w:t>https://cases.justia.com/texas/first-court-of-appeals/2019-01-19-00450-cv.pdf?ts=1577798110</w:t>
        </w:r>
      </w:hyperlink>
      <w:r>
        <w:rPr>
          <w:rFonts w:ascii="Times New Roman" w:hAnsi="Times New Roman"/>
          <w:sz w:val="24"/>
          <w:szCs w:val="24"/>
        </w:rPr>
        <w:t xml:space="preserve"> </w:t>
      </w:r>
    </w:p>
    <w:p w14:paraId="47935559" w14:textId="3D25BCD3" w:rsidR="00E658E1" w:rsidRPr="00E658E1" w:rsidRDefault="00E658E1" w:rsidP="00E658E1">
      <w:pPr>
        <w:rPr>
          <w:rFonts w:ascii="Times New Roman" w:hAnsi="Times New Roman"/>
          <w:b/>
          <w:bCs/>
          <w:sz w:val="24"/>
          <w:szCs w:val="24"/>
        </w:rPr>
      </w:pPr>
      <w:r w:rsidRPr="00E658E1">
        <w:rPr>
          <w:rFonts w:ascii="Times New Roman" w:hAnsi="Times New Roman"/>
          <w:b/>
          <w:bCs/>
          <w:sz w:val="24"/>
          <w:szCs w:val="24"/>
        </w:rPr>
        <w:t xml:space="preserve">Legal Lessons Learned: If EMS respond to serious </w:t>
      </w:r>
      <w:proofErr w:type="gramStart"/>
      <w:r w:rsidRPr="00E658E1">
        <w:rPr>
          <w:rFonts w:ascii="Times New Roman" w:hAnsi="Times New Roman"/>
          <w:b/>
          <w:bCs/>
          <w:sz w:val="24"/>
          <w:szCs w:val="24"/>
        </w:rPr>
        <w:t>accident</w:t>
      </w:r>
      <w:proofErr w:type="gramEnd"/>
      <w:r w:rsidRPr="00E658E1">
        <w:rPr>
          <w:rFonts w:ascii="Times New Roman" w:hAnsi="Times New Roman"/>
          <w:b/>
          <w:bCs/>
          <w:sz w:val="24"/>
          <w:szCs w:val="24"/>
        </w:rPr>
        <w:t xml:space="preserve"> and patient advises it was caused by pothole, notify the city immediately of the pothole so it can be filled and similar injuries avoided.</w:t>
      </w:r>
    </w:p>
    <w:bookmarkEnd w:id="482"/>
    <w:p w14:paraId="6FE38F99" w14:textId="77777777" w:rsidR="00420322" w:rsidRDefault="00420322" w:rsidP="00DE0F03">
      <w:pPr>
        <w:pStyle w:val="NoSpacing"/>
        <w:rPr>
          <w:rFonts w:ascii="Arial Black" w:hAnsi="Arial Black"/>
          <w:sz w:val="24"/>
          <w:szCs w:val="24"/>
        </w:rPr>
      </w:pPr>
    </w:p>
    <w:p w14:paraId="5839CA0A" w14:textId="31EE5DD4" w:rsidR="00420322" w:rsidRDefault="00420322" w:rsidP="00DE0F03">
      <w:pPr>
        <w:pStyle w:val="NoSpacing"/>
        <w:rPr>
          <w:rFonts w:ascii="Arial Black" w:hAnsi="Arial Black"/>
          <w:sz w:val="24"/>
          <w:szCs w:val="24"/>
        </w:rPr>
      </w:pPr>
      <w:r>
        <w:rPr>
          <w:rFonts w:ascii="Arial Black" w:hAnsi="Arial Black"/>
          <w:sz w:val="24"/>
          <w:szCs w:val="24"/>
        </w:rPr>
        <w:t>13-3</w:t>
      </w:r>
      <w:r w:rsidR="007A1E7A">
        <w:rPr>
          <w:rFonts w:ascii="Arial Black" w:hAnsi="Arial Black"/>
          <w:sz w:val="24"/>
          <w:szCs w:val="24"/>
        </w:rPr>
        <w:t>9</w:t>
      </w:r>
    </w:p>
    <w:p w14:paraId="39685BF6" w14:textId="77777777" w:rsidR="00420322" w:rsidRDefault="00420322" w:rsidP="00DE0F03">
      <w:pPr>
        <w:pStyle w:val="NoSpacing"/>
        <w:rPr>
          <w:rFonts w:ascii="Arial Black" w:hAnsi="Arial Black"/>
          <w:sz w:val="24"/>
          <w:szCs w:val="24"/>
        </w:rPr>
      </w:pPr>
    </w:p>
    <w:p w14:paraId="2C758E7E" w14:textId="77777777" w:rsidR="00420322" w:rsidRPr="00327BE0" w:rsidRDefault="00420322" w:rsidP="00420322">
      <w:pPr>
        <w:rPr>
          <w:rFonts w:ascii="Arial Black" w:hAnsi="Arial Black"/>
          <w:sz w:val="28"/>
          <w:szCs w:val="28"/>
        </w:rPr>
      </w:pPr>
      <w:bookmarkStart w:id="483" w:name="_Hlk41152252"/>
      <w:r>
        <w:rPr>
          <w:rFonts w:ascii="Arial Black" w:hAnsi="Arial Black"/>
          <w:sz w:val="28"/>
          <w:szCs w:val="28"/>
        </w:rPr>
        <w:t>L</w:t>
      </w:r>
      <w:r w:rsidRPr="00327BE0">
        <w:rPr>
          <w:rFonts w:ascii="Arial Black" w:hAnsi="Arial Black"/>
          <w:sz w:val="28"/>
          <w:szCs w:val="28"/>
        </w:rPr>
        <w:t>A</w:t>
      </w:r>
      <w:r>
        <w:rPr>
          <w:rFonts w:ascii="Arial Black" w:hAnsi="Arial Black"/>
          <w:sz w:val="28"/>
          <w:szCs w:val="28"/>
        </w:rPr>
        <w:t>: PARAMEDIC LETTER TO BOARD – NEED POLICY CHANGES – FIRED 19 MOS. LATER – FALSIFYING TRAINING RECORDS – NO RETALIATION</w:t>
      </w:r>
    </w:p>
    <w:p w14:paraId="34E848D9" w14:textId="37C2F112" w:rsidR="00420322" w:rsidRDefault="00420322" w:rsidP="00420322">
      <w:pPr>
        <w:pStyle w:val="NoSpacing"/>
        <w:rPr>
          <w:rFonts w:ascii="In" w:hAnsi="In"/>
          <w:sz w:val="24"/>
          <w:szCs w:val="24"/>
        </w:rPr>
      </w:pPr>
      <w:r>
        <w:rPr>
          <w:rFonts w:ascii="In" w:hAnsi="In"/>
          <w:sz w:val="24"/>
          <w:szCs w:val="24"/>
        </w:rPr>
        <w:t xml:space="preserve">On Dec. 17, 2019, in </w:t>
      </w:r>
      <w:r w:rsidRPr="009F6F16">
        <w:rPr>
          <w:rFonts w:ascii="Times New Roman" w:hAnsi="Times New Roman"/>
          <w:sz w:val="24"/>
          <w:szCs w:val="24"/>
          <w:u w:val="single"/>
        </w:rPr>
        <w:t>Patrick A. Benefield; Brian Scott Warren v. Joe D. Magee</w:t>
      </w:r>
      <w:r>
        <w:rPr>
          <w:rFonts w:ascii="In" w:hAnsi="In"/>
          <w:sz w:val="24"/>
          <w:szCs w:val="24"/>
        </w:rPr>
        <w:t>, the U.S. Court of Appeals for the 5</w:t>
      </w:r>
      <w:r w:rsidRPr="009F6F16">
        <w:rPr>
          <w:rFonts w:ascii="In" w:hAnsi="In"/>
          <w:sz w:val="24"/>
          <w:szCs w:val="24"/>
          <w:vertAlign w:val="superscript"/>
        </w:rPr>
        <w:t>th</w:t>
      </w:r>
      <w:r>
        <w:rPr>
          <w:rFonts w:ascii="In" w:hAnsi="In"/>
          <w:sz w:val="24"/>
          <w:szCs w:val="24"/>
        </w:rPr>
        <w:t xml:space="preserve"> Circuit (New Orleans) held (3 to 0) that </w:t>
      </w:r>
      <w:r w:rsidR="00BD7C29">
        <w:rPr>
          <w:rFonts w:ascii="In" w:hAnsi="In"/>
          <w:sz w:val="24"/>
          <w:szCs w:val="24"/>
        </w:rPr>
        <w:t xml:space="preserve">19-month gap too long; no retaliation. </w:t>
      </w:r>
    </w:p>
    <w:p w14:paraId="4E3F74D6" w14:textId="77777777" w:rsidR="00420322" w:rsidRDefault="00420322" w:rsidP="00420322">
      <w:pPr>
        <w:pStyle w:val="NoSpacing"/>
        <w:rPr>
          <w:rFonts w:ascii="In" w:hAnsi="In"/>
          <w:sz w:val="24"/>
          <w:szCs w:val="24"/>
        </w:rPr>
      </w:pPr>
    </w:p>
    <w:p w14:paraId="737224EF" w14:textId="77777777" w:rsidR="00420322" w:rsidRPr="00D16E0D" w:rsidRDefault="00420322" w:rsidP="00420322">
      <w:pPr>
        <w:pStyle w:val="NoSpacing"/>
        <w:ind w:left="720"/>
        <w:rPr>
          <w:rFonts w:ascii="Times New Roman" w:hAnsi="Times New Roman"/>
          <w:sz w:val="24"/>
          <w:szCs w:val="24"/>
        </w:rPr>
      </w:pPr>
      <w:r>
        <w:rPr>
          <w:rFonts w:ascii="Times New Roman" w:hAnsi="Times New Roman"/>
          <w:sz w:val="24"/>
          <w:szCs w:val="24"/>
        </w:rPr>
        <w:t>“</w:t>
      </w:r>
      <w:r w:rsidRPr="00D16E0D">
        <w:rPr>
          <w:rFonts w:ascii="Times New Roman" w:hAnsi="Times New Roman"/>
          <w:sz w:val="24"/>
          <w:szCs w:val="24"/>
        </w:rPr>
        <w:t xml:space="preserve">The issues, therefore, are (1) whether Warren’s speech was on a matter of public concern and (2) whether his June 2015 letter was a substantial or motivating factor for his firing. We agree with Magee </w:t>
      </w:r>
      <w:r>
        <w:rPr>
          <w:rFonts w:ascii="Times New Roman" w:hAnsi="Times New Roman"/>
          <w:sz w:val="24"/>
          <w:szCs w:val="24"/>
        </w:rPr>
        <w:t xml:space="preserve">[EMS Manager] </w:t>
      </w:r>
      <w:r w:rsidRPr="00D16E0D">
        <w:rPr>
          <w:rFonts w:ascii="Times New Roman" w:hAnsi="Times New Roman"/>
          <w:sz w:val="24"/>
          <w:szCs w:val="24"/>
        </w:rPr>
        <w:t>that Warren failed to allege a sufficient causal connection between his letter and his firing</w:t>
      </w:r>
      <w:r>
        <w:rPr>
          <w:rFonts w:ascii="Times New Roman" w:hAnsi="Times New Roman"/>
          <w:sz w:val="24"/>
          <w:szCs w:val="24"/>
        </w:rPr>
        <w:t xml:space="preserve">…. </w:t>
      </w:r>
      <w:r w:rsidRPr="00D16E0D">
        <w:rPr>
          <w:rFonts w:ascii="Times New Roman" w:hAnsi="Times New Roman"/>
          <w:sz w:val="24"/>
          <w:szCs w:val="24"/>
        </w:rPr>
        <w:t>Warren sent his letter in June 2015 and was fired in January 2017—a 19-month gap</w:t>
      </w:r>
      <w:r>
        <w:rPr>
          <w:rFonts w:ascii="Times New Roman" w:hAnsi="Times New Roman"/>
          <w:sz w:val="24"/>
          <w:szCs w:val="24"/>
        </w:rPr>
        <w:t xml:space="preserve">…. </w:t>
      </w:r>
      <w:r w:rsidRPr="00D16E0D">
        <w:rPr>
          <w:rFonts w:ascii="Times New Roman" w:hAnsi="Times New Roman"/>
          <w:sz w:val="24"/>
          <w:szCs w:val="24"/>
        </w:rPr>
        <w:t xml:space="preserve">Thus, the timing, by itself, between Warren’s speech and his firing is not close enough to permit a plausible inference that Warren’s firing was causally connected to his </w:t>
      </w:r>
      <w:proofErr w:type="gramStart"/>
      <w:r w:rsidRPr="00D16E0D">
        <w:rPr>
          <w:rFonts w:ascii="Times New Roman" w:hAnsi="Times New Roman"/>
          <w:sz w:val="24"/>
          <w:szCs w:val="24"/>
        </w:rPr>
        <w:t>speech.</w:t>
      </w:r>
      <w:r>
        <w:rPr>
          <w:rFonts w:ascii="Times New Roman" w:hAnsi="Times New Roman"/>
          <w:sz w:val="24"/>
          <w:szCs w:val="24"/>
        </w:rPr>
        <w:t>”</w:t>
      </w:r>
      <w:proofErr w:type="gramEnd"/>
    </w:p>
    <w:p w14:paraId="5FAC1997" w14:textId="2045E93B" w:rsidR="00420322" w:rsidRDefault="006114FF" w:rsidP="00E658E1">
      <w:pPr>
        <w:pStyle w:val="NoSpacing"/>
        <w:ind w:firstLine="720"/>
        <w:rPr>
          <w:rFonts w:ascii="Arial Black" w:hAnsi="Arial Black"/>
          <w:sz w:val="24"/>
          <w:szCs w:val="24"/>
        </w:rPr>
      </w:pPr>
      <w:hyperlink r:id="rId2331" w:history="1">
        <w:r w:rsidRPr="002F304C">
          <w:rPr>
            <w:rStyle w:val="Hyperlink"/>
            <w:rFonts w:ascii="Times New Roman" w:hAnsi="Times New Roman"/>
            <w:sz w:val="24"/>
            <w:szCs w:val="24"/>
          </w:rPr>
          <w:t>https://cases.justia.com/federal/appellate-courts/ca5/18-30932/18-30932-2019-12-17.pdf?ts=1576629071</w:t>
        </w:r>
      </w:hyperlink>
    </w:p>
    <w:p w14:paraId="0FCF64ED" w14:textId="35033C62" w:rsidR="00420322" w:rsidRDefault="00420322" w:rsidP="00DE0F03">
      <w:pPr>
        <w:pStyle w:val="NoSpacing"/>
        <w:rPr>
          <w:rFonts w:ascii="Arial Black" w:hAnsi="Arial Black"/>
          <w:sz w:val="24"/>
          <w:szCs w:val="24"/>
        </w:rPr>
      </w:pPr>
    </w:p>
    <w:p w14:paraId="58305BBC" w14:textId="4EA3755B" w:rsidR="003464C5" w:rsidRPr="006114FF" w:rsidRDefault="006114FF" w:rsidP="00DE0F03">
      <w:pPr>
        <w:pStyle w:val="NoSpacing"/>
        <w:rPr>
          <w:rFonts w:ascii="Times New Roman" w:hAnsi="Times New Roman"/>
          <w:b/>
          <w:bCs/>
          <w:sz w:val="24"/>
          <w:szCs w:val="24"/>
        </w:rPr>
      </w:pPr>
      <w:r w:rsidRPr="006114FF">
        <w:rPr>
          <w:rFonts w:ascii="Times New Roman" w:hAnsi="Times New Roman"/>
          <w:b/>
          <w:bCs/>
          <w:sz w:val="24"/>
          <w:szCs w:val="24"/>
        </w:rPr>
        <w:t>Legal Lessons Learned:</w:t>
      </w:r>
      <w:r>
        <w:rPr>
          <w:rFonts w:ascii="Times New Roman" w:hAnsi="Times New Roman"/>
          <w:b/>
          <w:bCs/>
          <w:sz w:val="24"/>
          <w:szCs w:val="24"/>
        </w:rPr>
        <w:t xml:space="preserve"> </w:t>
      </w:r>
      <w:r w:rsidR="00BD7C29">
        <w:rPr>
          <w:rFonts w:ascii="Times New Roman" w:hAnsi="Times New Roman"/>
          <w:b/>
          <w:bCs/>
          <w:sz w:val="24"/>
          <w:szCs w:val="24"/>
        </w:rPr>
        <w:t xml:space="preserve">The </w:t>
      </w:r>
      <w:r w:rsidRPr="006114FF">
        <w:rPr>
          <w:rFonts w:ascii="Times New Roman" w:hAnsi="Times New Roman"/>
          <w:b/>
          <w:bCs/>
          <w:sz w:val="24"/>
          <w:szCs w:val="24"/>
        </w:rPr>
        <w:t xml:space="preserve">EMS Manager won </w:t>
      </w:r>
      <w:proofErr w:type="gramStart"/>
      <w:r w:rsidRPr="006114FF">
        <w:rPr>
          <w:rFonts w:ascii="Times New Roman" w:hAnsi="Times New Roman"/>
          <w:b/>
          <w:bCs/>
          <w:sz w:val="24"/>
          <w:szCs w:val="24"/>
        </w:rPr>
        <w:t xml:space="preserve">his </w:t>
      </w:r>
      <w:r w:rsidR="00BD7C29">
        <w:rPr>
          <w:rFonts w:ascii="Times New Roman" w:hAnsi="Times New Roman"/>
          <w:b/>
          <w:bCs/>
          <w:sz w:val="24"/>
          <w:szCs w:val="24"/>
        </w:rPr>
        <w:t>interlocutory</w:t>
      </w:r>
      <w:proofErr w:type="gramEnd"/>
      <w:r w:rsidR="00BD7C29">
        <w:rPr>
          <w:rFonts w:ascii="Times New Roman" w:hAnsi="Times New Roman"/>
          <w:b/>
          <w:bCs/>
          <w:sz w:val="24"/>
          <w:szCs w:val="24"/>
        </w:rPr>
        <w:t xml:space="preserve"> </w:t>
      </w:r>
      <w:proofErr w:type="gramStart"/>
      <w:r w:rsidRPr="006114FF">
        <w:rPr>
          <w:rFonts w:ascii="Times New Roman" w:hAnsi="Times New Roman"/>
          <w:b/>
          <w:bCs/>
          <w:sz w:val="24"/>
          <w:szCs w:val="24"/>
        </w:rPr>
        <w:t>appeal</w:t>
      </w:r>
      <w:proofErr w:type="gramEnd"/>
      <w:r w:rsidRPr="006114FF">
        <w:rPr>
          <w:rFonts w:ascii="Times New Roman" w:hAnsi="Times New Roman"/>
          <w:b/>
          <w:bCs/>
          <w:sz w:val="24"/>
          <w:szCs w:val="24"/>
        </w:rPr>
        <w:t xml:space="preserve"> and he is now dismissed from the lawsuit.</w:t>
      </w:r>
    </w:p>
    <w:bookmarkEnd w:id="483"/>
    <w:p w14:paraId="449D2D8B" w14:textId="77777777" w:rsidR="00420322" w:rsidRDefault="00420322" w:rsidP="00DE0F03">
      <w:pPr>
        <w:pStyle w:val="NoSpacing"/>
        <w:rPr>
          <w:rFonts w:ascii="Arial Black" w:hAnsi="Arial Black"/>
          <w:sz w:val="24"/>
          <w:szCs w:val="24"/>
        </w:rPr>
      </w:pPr>
    </w:p>
    <w:p w14:paraId="1F0C7FD8" w14:textId="77777777" w:rsidR="003464C5" w:rsidRDefault="003464C5" w:rsidP="00DE0F03">
      <w:pPr>
        <w:pStyle w:val="NoSpacing"/>
        <w:rPr>
          <w:rFonts w:ascii="Arial Black" w:hAnsi="Arial Black"/>
          <w:sz w:val="24"/>
          <w:szCs w:val="24"/>
        </w:rPr>
      </w:pPr>
    </w:p>
    <w:p w14:paraId="0635FEC3" w14:textId="77777777" w:rsidR="003464C5" w:rsidRDefault="003464C5" w:rsidP="00DE0F03">
      <w:pPr>
        <w:pStyle w:val="NoSpacing"/>
        <w:rPr>
          <w:rFonts w:ascii="Arial Black" w:hAnsi="Arial Black"/>
          <w:sz w:val="24"/>
          <w:szCs w:val="24"/>
        </w:rPr>
      </w:pPr>
    </w:p>
    <w:p w14:paraId="1442EB00" w14:textId="45395C9D" w:rsidR="00420322" w:rsidRDefault="00420322" w:rsidP="00DE0F03">
      <w:pPr>
        <w:pStyle w:val="NoSpacing"/>
        <w:rPr>
          <w:rFonts w:ascii="Arial Black" w:hAnsi="Arial Black"/>
          <w:sz w:val="24"/>
          <w:szCs w:val="24"/>
        </w:rPr>
      </w:pPr>
      <w:r>
        <w:rPr>
          <w:rFonts w:ascii="Arial Black" w:hAnsi="Arial Black"/>
          <w:sz w:val="24"/>
          <w:szCs w:val="24"/>
        </w:rPr>
        <w:t>13-3</w:t>
      </w:r>
      <w:r w:rsidR="007A1E7A">
        <w:rPr>
          <w:rFonts w:ascii="Arial Black" w:hAnsi="Arial Black"/>
          <w:sz w:val="24"/>
          <w:szCs w:val="24"/>
        </w:rPr>
        <w:t>8</w:t>
      </w:r>
    </w:p>
    <w:p w14:paraId="45FDBC89" w14:textId="3236AB36" w:rsidR="00420322" w:rsidRDefault="00420322" w:rsidP="00DE0F03">
      <w:pPr>
        <w:pStyle w:val="NoSpacing"/>
        <w:rPr>
          <w:rFonts w:ascii="Arial Black" w:hAnsi="Arial Black"/>
          <w:sz w:val="24"/>
          <w:szCs w:val="24"/>
        </w:rPr>
      </w:pPr>
    </w:p>
    <w:p w14:paraId="49F7194F" w14:textId="77777777" w:rsidR="00420322" w:rsidRPr="00201158" w:rsidRDefault="00420322" w:rsidP="00420322">
      <w:pPr>
        <w:pStyle w:val="NormalWeb"/>
        <w:rPr>
          <w:rFonts w:ascii="Arial Black" w:hAnsi="Arial Black"/>
          <w:sz w:val="28"/>
          <w:szCs w:val="28"/>
        </w:rPr>
      </w:pPr>
      <w:bookmarkStart w:id="484" w:name="_Hlk41152380"/>
      <w:r w:rsidRPr="00201158">
        <w:rPr>
          <w:rFonts w:ascii="Arial Black" w:hAnsi="Arial Black"/>
          <w:sz w:val="28"/>
          <w:szCs w:val="28"/>
        </w:rPr>
        <w:t xml:space="preserve">WV: </w:t>
      </w:r>
      <w:r>
        <w:rPr>
          <w:rFonts w:ascii="Arial Black" w:hAnsi="Arial Black"/>
          <w:sz w:val="28"/>
          <w:szCs w:val="28"/>
        </w:rPr>
        <w:t xml:space="preserve"> DRAG RACING / SON EJECTED – MOTHER RN / FLIGHT NURSE - PD STOPS HER CARE SON; MEDICS DIDN’T TAKE PULSE – CASE PROCEED</w:t>
      </w:r>
    </w:p>
    <w:p w14:paraId="2792D427" w14:textId="77777777" w:rsidR="00420322" w:rsidRDefault="00420322" w:rsidP="00420322">
      <w:pPr>
        <w:pStyle w:val="NormalWeb"/>
      </w:pPr>
      <w:r>
        <w:t xml:space="preserve">On Dec. 5, 2019, in </w:t>
      </w:r>
      <w:r w:rsidRPr="00403915">
        <w:rPr>
          <w:u w:val="single"/>
        </w:rPr>
        <w:t>Amy Brown, individually and Administratrix of the Estate of James Brady Leonard v. Mason County Commission, Gallia County Board of Commissioners, et al.</w:t>
      </w:r>
      <w:r>
        <w:t xml:space="preserve">, U.S. District Court Judge Robert Chambers, Southern District of West Virginia (Huntington Division), the lawsuit against the Deputy Sheriff may proceed. </w:t>
      </w:r>
    </w:p>
    <w:bookmarkEnd w:id="484"/>
    <w:p w14:paraId="46E19796" w14:textId="77777777" w:rsidR="00420322" w:rsidRDefault="00420322" w:rsidP="00420322">
      <w:pPr>
        <w:pStyle w:val="NormalWeb"/>
        <w:ind w:left="720"/>
      </w:pPr>
      <w:r>
        <w:t xml:space="preserve">“Taken as true, the conduct [by County Deputy Sheriff] alleged here is certainly more than ‘merely annoying’ or ‘uncivil.’ A jury could very well determine that physically restraining a mother attempting to provide medical assistance to her son is utterly intolerable in a civilized community. </w:t>
      </w:r>
      <w:r>
        <w:rPr>
          <w:i/>
          <w:iCs/>
        </w:rPr>
        <w:t>See Travis</w:t>
      </w:r>
      <w:r>
        <w:t xml:space="preserve">, 504 S.E.2d at 425. It would be similarly reasonable for a jury to determine that Bryant acted recklessly, that his actions caused Plaintiff to suffer emotional distress, and that her distress was so severe that no reasonable person could be expected to endure it. It follows that Plaintiff has pleaded sufficient facts to state a claim for relief under </w:t>
      </w:r>
      <w:r w:rsidRPr="00F03088">
        <w:t>an [Intentional Infliction of Emotional Distress] theory.</w:t>
      </w:r>
    </w:p>
    <w:p w14:paraId="578130E7" w14:textId="77777777" w:rsidR="00420322" w:rsidRDefault="00420322" w:rsidP="00420322">
      <w:pPr>
        <w:pStyle w:val="NormalWeb"/>
        <w:ind w:left="720"/>
      </w:pPr>
      <w:r>
        <w:t>***</w:t>
      </w:r>
    </w:p>
    <w:p w14:paraId="123DFED7" w14:textId="77777777" w:rsidR="00420322" w:rsidRPr="000F68B0" w:rsidRDefault="00420322" w:rsidP="00420322">
      <w:pPr>
        <w:spacing w:before="100" w:beforeAutospacing="1" w:after="100" w:afterAutospacing="1" w:line="240" w:lineRule="auto"/>
        <w:ind w:left="720"/>
      </w:pPr>
      <w:r w:rsidRPr="00970678">
        <w:rPr>
          <w:rFonts w:ascii="Times New Roman" w:eastAsia="Times New Roman" w:hAnsi="Times New Roman"/>
          <w:sz w:val="24"/>
          <w:szCs w:val="24"/>
        </w:rPr>
        <w:t>Gallia County EMS is not entitled to dismissal. As discussed in the preceding section, Plaintiff alleges that Elliott and Turner—both Gallia County EMS responders—did not check Leonard's pulse, his breathing, or his body for injuries, and that they pronounced him dead without following proper procedures.</w:t>
      </w:r>
      <w:r>
        <w:rPr>
          <w:rFonts w:ascii="Times New Roman" w:eastAsia="Times New Roman" w:hAnsi="Times New Roman"/>
          <w:sz w:val="24"/>
          <w:szCs w:val="24"/>
        </w:rPr>
        <w:t xml:space="preserve">” </w:t>
      </w:r>
      <w:bookmarkStart w:id="485" w:name="_Hlk41152402"/>
      <w:r w:rsidR="00F37A4B">
        <w:fldChar w:fldCharType="begin"/>
      </w:r>
      <w:r w:rsidR="00F37A4B">
        <w:instrText xml:space="preserve"> HYPERLINK "https://public.fastcase.com/Wl%2B2t%2BeVuI35%2FN70vAMFZg2lBBReDY5nF88uy08v8DAnqlL%2F2Z9bDGzSJQpTYHOu" </w:instrText>
      </w:r>
      <w:r w:rsidR="00F37A4B">
        <w:fldChar w:fldCharType="separate"/>
      </w:r>
      <w:r w:rsidRPr="007A71AD">
        <w:rPr>
          <w:rStyle w:val="Hyperlink"/>
        </w:rPr>
        <w:t>https://public.fastcase.com/Wl%2B2t%2BeVuI35%2FN70vAMFZg2lBBReDY5nF88uy08v8DAnqlL%2F2Z9bDGzSJQpTYHOu</w:t>
      </w:r>
      <w:r w:rsidR="00F37A4B">
        <w:rPr>
          <w:rStyle w:val="Hyperlink"/>
        </w:rPr>
        <w:fldChar w:fldCharType="end"/>
      </w:r>
      <w:r>
        <w:t xml:space="preserve"> </w:t>
      </w:r>
    </w:p>
    <w:p w14:paraId="76530F7B" w14:textId="4E3CB12E" w:rsidR="00420322" w:rsidRPr="006114FF" w:rsidRDefault="006114FF" w:rsidP="00DE0F03">
      <w:pPr>
        <w:pStyle w:val="NoSpacing"/>
        <w:rPr>
          <w:rFonts w:ascii="Times New Roman" w:hAnsi="Times New Roman"/>
          <w:b/>
          <w:bCs/>
          <w:sz w:val="24"/>
          <w:szCs w:val="24"/>
        </w:rPr>
      </w:pPr>
      <w:r w:rsidRPr="006114FF">
        <w:rPr>
          <w:rFonts w:ascii="Times New Roman" w:hAnsi="Times New Roman"/>
          <w:b/>
          <w:bCs/>
          <w:sz w:val="24"/>
          <w:szCs w:val="24"/>
        </w:rPr>
        <w:t>Legal Lessons Learned:</w:t>
      </w:r>
      <w:r>
        <w:rPr>
          <w:rFonts w:ascii="Times New Roman" w:hAnsi="Times New Roman"/>
          <w:b/>
          <w:bCs/>
          <w:sz w:val="24"/>
          <w:szCs w:val="24"/>
        </w:rPr>
        <w:t xml:space="preserve"> </w:t>
      </w:r>
      <w:r w:rsidRPr="006114FF">
        <w:rPr>
          <w:rFonts w:ascii="Times New Roman" w:hAnsi="Times New Roman"/>
          <w:b/>
          <w:bCs/>
          <w:sz w:val="24"/>
          <w:szCs w:val="24"/>
        </w:rPr>
        <w:t>The</w:t>
      </w:r>
      <w:r>
        <w:rPr>
          <w:rFonts w:ascii="Times New Roman" w:hAnsi="Times New Roman"/>
          <w:b/>
          <w:bCs/>
          <w:sz w:val="24"/>
          <w:szCs w:val="24"/>
        </w:rPr>
        <w:t xml:space="preserve"> </w:t>
      </w:r>
      <w:r w:rsidRPr="006114FF">
        <w:rPr>
          <w:rFonts w:ascii="Times New Roman" w:hAnsi="Times New Roman"/>
          <w:b/>
          <w:bCs/>
          <w:sz w:val="24"/>
          <w:szCs w:val="24"/>
        </w:rPr>
        <w:t>lawsuit will now proceed; hopefully the EMS run report by</w:t>
      </w:r>
      <w:r>
        <w:rPr>
          <w:rFonts w:ascii="Times New Roman" w:hAnsi="Times New Roman"/>
          <w:b/>
          <w:bCs/>
          <w:sz w:val="24"/>
          <w:szCs w:val="24"/>
        </w:rPr>
        <w:t xml:space="preserve"> </w:t>
      </w:r>
      <w:r w:rsidRPr="006114FF">
        <w:rPr>
          <w:rFonts w:ascii="Times New Roman" w:hAnsi="Times New Roman"/>
          <w:b/>
          <w:bCs/>
          <w:sz w:val="24"/>
          <w:szCs w:val="24"/>
        </w:rPr>
        <w:t>the two Gallia County EMS reflects they followed their protocol prior to deciding the victim was dead at the scene</w:t>
      </w:r>
      <w:bookmarkEnd w:id="485"/>
      <w:r w:rsidRPr="006114FF">
        <w:rPr>
          <w:rFonts w:ascii="Times New Roman" w:hAnsi="Times New Roman"/>
          <w:b/>
          <w:bCs/>
          <w:sz w:val="24"/>
          <w:szCs w:val="24"/>
        </w:rPr>
        <w:t>.</w:t>
      </w:r>
    </w:p>
    <w:p w14:paraId="7A6B150B" w14:textId="77777777" w:rsidR="00420322" w:rsidRDefault="00420322" w:rsidP="00DE0F03">
      <w:pPr>
        <w:pStyle w:val="NoSpacing"/>
        <w:rPr>
          <w:rFonts w:ascii="Arial Black" w:hAnsi="Arial Black"/>
          <w:sz w:val="24"/>
          <w:szCs w:val="24"/>
        </w:rPr>
      </w:pPr>
    </w:p>
    <w:p w14:paraId="7396A196" w14:textId="77777777" w:rsidR="00420322" w:rsidRDefault="00420322" w:rsidP="00DE0F03">
      <w:pPr>
        <w:pStyle w:val="NoSpacing"/>
        <w:rPr>
          <w:rFonts w:ascii="Arial Black" w:hAnsi="Arial Black"/>
          <w:sz w:val="24"/>
          <w:szCs w:val="24"/>
        </w:rPr>
      </w:pPr>
    </w:p>
    <w:p w14:paraId="616E9133" w14:textId="32138EFF" w:rsidR="00297434" w:rsidRDefault="00297434" w:rsidP="00DE0F03">
      <w:pPr>
        <w:pStyle w:val="NoSpacing"/>
        <w:rPr>
          <w:rFonts w:ascii="Arial Black" w:hAnsi="Arial Black"/>
          <w:sz w:val="24"/>
          <w:szCs w:val="24"/>
        </w:rPr>
      </w:pPr>
      <w:r>
        <w:rPr>
          <w:rFonts w:ascii="Arial Black" w:hAnsi="Arial Black"/>
          <w:sz w:val="24"/>
          <w:szCs w:val="24"/>
        </w:rPr>
        <w:t>13-3</w:t>
      </w:r>
      <w:r w:rsidR="007A1E7A">
        <w:rPr>
          <w:rFonts w:ascii="Arial Black" w:hAnsi="Arial Black"/>
          <w:sz w:val="24"/>
          <w:szCs w:val="24"/>
        </w:rPr>
        <w:t>7</w:t>
      </w:r>
    </w:p>
    <w:p w14:paraId="27ACE6B3" w14:textId="77777777" w:rsidR="00297434" w:rsidRDefault="00297434" w:rsidP="00297434">
      <w:pPr>
        <w:spacing w:before="100" w:beforeAutospacing="1" w:after="100" w:afterAutospacing="1" w:line="240" w:lineRule="auto"/>
        <w:jc w:val="both"/>
        <w:rPr>
          <w:rFonts w:ascii="Arial Black" w:hAnsi="Arial Black"/>
          <w:sz w:val="28"/>
          <w:szCs w:val="28"/>
        </w:rPr>
      </w:pPr>
      <w:bookmarkStart w:id="486" w:name="_Hlk41152441"/>
      <w:r>
        <w:rPr>
          <w:rFonts w:ascii="Arial Black" w:hAnsi="Arial Black"/>
          <w:sz w:val="28"/>
          <w:szCs w:val="28"/>
        </w:rPr>
        <w:t>OH: EMS RUN REPORT – DRIVER ADMITTED DRINKING WINE – TWO MEDICS TESTIFIED IN VEHICULAR HOMICIDE TRIAL</w:t>
      </w:r>
    </w:p>
    <w:p w14:paraId="2F1B2237" w14:textId="77777777" w:rsidR="00297434" w:rsidRDefault="00297434" w:rsidP="00297434">
      <w:pPr>
        <w:pStyle w:val="NoSpacing"/>
        <w:rPr>
          <w:rFonts w:ascii="Times New Roman" w:hAnsi="Times New Roman"/>
          <w:sz w:val="24"/>
          <w:szCs w:val="24"/>
        </w:rPr>
      </w:pPr>
      <w:r>
        <w:rPr>
          <w:rFonts w:ascii="Times New Roman" w:hAnsi="Times New Roman"/>
          <w:sz w:val="24"/>
          <w:szCs w:val="24"/>
        </w:rPr>
        <w:t xml:space="preserve">On Nov. 15, 2019, in State of </w:t>
      </w:r>
      <w:r>
        <w:rPr>
          <w:rFonts w:ascii="Times New Roman" w:hAnsi="Times New Roman"/>
          <w:sz w:val="24"/>
          <w:szCs w:val="24"/>
          <w:u w:val="single"/>
        </w:rPr>
        <w:t>Ohio v. Kathy J. Smith</w:t>
      </w:r>
      <w:r>
        <w:rPr>
          <w:rFonts w:ascii="Times New Roman" w:hAnsi="Times New Roman"/>
          <w:sz w:val="24"/>
          <w:szCs w:val="24"/>
        </w:rPr>
        <w:t>, the Court of Appeals of Ohio, Second Appellate District (Greene County) held (3 to 0) that defendant’s appeal is denied, and she must continue to serve her seven-year sentence for aggravated vehicular homicide.</w:t>
      </w:r>
    </w:p>
    <w:p w14:paraId="3EFC72DE" w14:textId="77777777" w:rsidR="00297434" w:rsidRDefault="00297434" w:rsidP="00297434">
      <w:pPr>
        <w:pStyle w:val="NoSpacing"/>
        <w:rPr>
          <w:rFonts w:ascii="Times New Roman" w:hAnsi="Times New Roman"/>
          <w:sz w:val="24"/>
          <w:szCs w:val="24"/>
        </w:rPr>
      </w:pPr>
    </w:p>
    <w:p w14:paraId="75CF9526" w14:textId="77777777" w:rsidR="00297434" w:rsidRDefault="00297434" w:rsidP="00297434">
      <w:pPr>
        <w:pStyle w:val="NoSpacing"/>
        <w:ind w:left="720"/>
        <w:rPr>
          <w:rFonts w:ascii="Times New Roman" w:hAnsi="Times New Roman"/>
          <w:sz w:val="24"/>
          <w:szCs w:val="24"/>
        </w:rPr>
      </w:pPr>
      <w:r>
        <w:rPr>
          <w:rFonts w:ascii="Times New Roman" w:hAnsi="Times New Roman"/>
          <w:sz w:val="24"/>
          <w:szCs w:val="24"/>
        </w:rPr>
        <w:t xml:space="preserve">“On appeal, Smith argues that her statements to the paramedics about drinking were analogous to the written record of those statements in the EMS run sheet. But regardless of whether the run sheet itself might or might not qualify by statute as a ‘medical record,’ we are unpersuaded that the Fourth Amendment precluded Meadows from speaking to the paramedics without a </w:t>
      </w:r>
      <w:proofErr w:type="gramStart"/>
      <w:r>
        <w:rPr>
          <w:rFonts w:ascii="Times New Roman" w:hAnsi="Times New Roman"/>
          <w:sz w:val="24"/>
          <w:szCs w:val="24"/>
        </w:rPr>
        <w:t>warrant</w:t>
      </w:r>
      <w:proofErr w:type="gramEnd"/>
      <w:r>
        <w:rPr>
          <w:rFonts w:ascii="Times New Roman" w:hAnsi="Times New Roman"/>
          <w:sz w:val="24"/>
          <w:szCs w:val="24"/>
        </w:rPr>
        <w:t xml:space="preserve"> and hearing what Smith told them about consuming alcohol. The trial court correctly found that Smith was not in law-enforcement custody when she made her voluntary statements in response to the paramedics' questions. We note too that Smith's statements were not entitled to a statutory privilege.” </w:t>
      </w:r>
      <w:hyperlink r:id="rId2332" w:history="1">
        <w:r>
          <w:rPr>
            <w:rStyle w:val="Hyperlink"/>
            <w:rFonts w:ascii="Times New Roman" w:hAnsi="Times New Roman"/>
            <w:sz w:val="24"/>
            <w:szCs w:val="24"/>
          </w:rPr>
          <w:t>https://public.fastcase.com/Wl%2B2t%2BeVuI35%2FN70vAMFZmE2ukal8IvDC5BUTFBRpPNG0o0%2FGYOYjoFH9I91Iplb</w:t>
        </w:r>
      </w:hyperlink>
      <w:r>
        <w:rPr>
          <w:rFonts w:ascii="Times New Roman" w:hAnsi="Times New Roman"/>
          <w:sz w:val="24"/>
          <w:szCs w:val="24"/>
        </w:rPr>
        <w:t xml:space="preserve"> </w:t>
      </w:r>
    </w:p>
    <w:p w14:paraId="23419F00" w14:textId="77777777" w:rsidR="00297434" w:rsidRDefault="00297434" w:rsidP="00297434">
      <w:pPr>
        <w:spacing w:after="100" w:line="240" w:lineRule="auto"/>
        <w:rPr>
          <w:rFonts w:ascii="Times New Roman" w:eastAsia="Times New Roman" w:hAnsi="Times New Roman"/>
          <w:b/>
          <w:bCs/>
          <w:sz w:val="24"/>
          <w:szCs w:val="24"/>
        </w:rPr>
      </w:pPr>
    </w:p>
    <w:p w14:paraId="2049E79E" w14:textId="277D981F" w:rsidR="00297434" w:rsidRDefault="00297434" w:rsidP="00297434">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EMS should record on EMS Run Report comments by patients about drinking alcohol prior to the accident, and other culpable admissions. </w:t>
      </w:r>
    </w:p>
    <w:bookmarkEnd w:id="486"/>
    <w:p w14:paraId="47968706" w14:textId="096603FC" w:rsidR="00297434" w:rsidRPr="00297434" w:rsidRDefault="00297434" w:rsidP="00297434">
      <w:pPr>
        <w:spacing w:after="100" w:line="240" w:lineRule="auto"/>
        <w:rPr>
          <w:rFonts w:ascii="Times New Roman" w:eastAsia="Times New Roman" w:hAnsi="Times New Roman"/>
          <w:sz w:val="24"/>
          <w:szCs w:val="24"/>
        </w:rPr>
      </w:pPr>
    </w:p>
    <w:p w14:paraId="29972D2D" w14:textId="77777777" w:rsidR="00297434" w:rsidRDefault="00297434" w:rsidP="00DE0F03">
      <w:pPr>
        <w:pStyle w:val="NoSpacing"/>
        <w:rPr>
          <w:rFonts w:ascii="Arial Black" w:hAnsi="Arial Black"/>
          <w:sz w:val="24"/>
          <w:szCs w:val="24"/>
        </w:rPr>
      </w:pPr>
    </w:p>
    <w:p w14:paraId="4BECA905" w14:textId="77777777" w:rsidR="00297434" w:rsidRDefault="00297434" w:rsidP="00DE0F03">
      <w:pPr>
        <w:pStyle w:val="NoSpacing"/>
        <w:rPr>
          <w:rFonts w:ascii="Arial Black" w:hAnsi="Arial Black"/>
          <w:sz w:val="24"/>
          <w:szCs w:val="24"/>
        </w:rPr>
      </w:pPr>
    </w:p>
    <w:p w14:paraId="3E6A5B86" w14:textId="6AD45D7C" w:rsidR="00297434" w:rsidRDefault="00297434" w:rsidP="00DE0F03">
      <w:pPr>
        <w:pStyle w:val="NoSpacing"/>
        <w:rPr>
          <w:rFonts w:ascii="Arial Black" w:hAnsi="Arial Black"/>
          <w:sz w:val="24"/>
          <w:szCs w:val="24"/>
        </w:rPr>
      </w:pPr>
      <w:r>
        <w:rPr>
          <w:rFonts w:ascii="Arial Black" w:hAnsi="Arial Black"/>
          <w:sz w:val="24"/>
          <w:szCs w:val="24"/>
        </w:rPr>
        <w:t>13-3</w:t>
      </w:r>
      <w:r w:rsidR="007A1E7A">
        <w:rPr>
          <w:rFonts w:ascii="Arial Black" w:hAnsi="Arial Black"/>
          <w:sz w:val="24"/>
          <w:szCs w:val="24"/>
        </w:rPr>
        <w:t>6</w:t>
      </w:r>
    </w:p>
    <w:p w14:paraId="3F680522" w14:textId="1499BF39" w:rsidR="00297434" w:rsidRDefault="00297434" w:rsidP="00DE0F03">
      <w:pPr>
        <w:pStyle w:val="NoSpacing"/>
        <w:rPr>
          <w:rFonts w:ascii="Arial Black" w:hAnsi="Arial Black"/>
          <w:sz w:val="24"/>
          <w:szCs w:val="24"/>
        </w:rPr>
      </w:pPr>
    </w:p>
    <w:p w14:paraId="49A50F24" w14:textId="77777777" w:rsidR="00297434" w:rsidRDefault="00297434" w:rsidP="00297434">
      <w:pPr>
        <w:pStyle w:val="NoSpacing"/>
        <w:rPr>
          <w:rFonts w:ascii="Arial Black" w:eastAsiaTheme="minorHAnsi" w:hAnsi="Arial Black" w:cstheme="minorBidi"/>
          <w:sz w:val="28"/>
          <w:szCs w:val="28"/>
        </w:rPr>
      </w:pPr>
      <w:bookmarkStart w:id="487" w:name="_Hlk41152474"/>
      <w:r>
        <w:rPr>
          <w:rFonts w:ascii="Arial Black" w:hAnsi="Arial Black"/>
          <w:sz w:val="28"/>
          <w:szCs w:val="28"/>
        </w:rPr>
        <w:t xml:space="preserve">IN: OPERATOR PRIVATE AMBUL. CO. INDICTED – DIALYSIS PATIENT TRANSPORTS – IMPROPERLY BILLED MEDICARE </w:t>
      </w:r>
    </w:p>
    <w:p w14:paraId="5C42B8CF" w14:textId="77777777" w:rsidR="00297434" w:rsidRDefault="00297434" w:rsidP="00297434">
      <w:pPr>
        <w:pStyle w:val="NoSpacing"/>
        <w:rPr>
          <w:rFonts w:ascii="Arial Black" w:hAnsi="Arial Black"/>
          <w:sz w:val="28"/>
          <w:szCs w:val="28"/>
        </w:rPr>
      </w:pPr>
    </w:p>
    <w:p w14:paraId="16981FD9" w14:textId="6AE5F09F" w:rsidR="00297434" w:rsidRDefault="00297434" w:rsidP="006114FF">
      <w:pPr>
        <w:pStyle w:val="NoSpacing"/>
        <w:rPr>
          <w:rFonts w:ascii="Times New Roman" w:eastAsia="Times New Roman" w:hAnsi="Times New Roman"/>
          <w:sz w:val="24"/>
          <w:szCs w:val="24"/>
        </w:rPr>
      </w:pPr>
      <w:r>
        <w:rPr>
          <w:rFonts w:ascii="On Times New Roman" w:hAnsi="On Times New Roman"/>
          <w:sz w:val="24"/>
          <w:szCs w:val="24"/>
        </w:rPr>
        <w:t xml:space="preserve">On Nov. 15, 2019, in </w:t>
      </w:r>
      <w:r>
        <w:rPr>
          <w:rFonts w:ascii="On Times New Roman" w:hAnsi="On Times New Roman"/>
          <w:sz w:val="24"/>
          <w:szCs w:val="24"/>
          <w:u w:val="single"/>
        </w:rPr>
        <w:t>United States v. Basil Ubanwa</w:t>
      </w:r>
      <w:r>
        <w:rPr>
          <w:rFonts w:ascii="On Times New Roman" w:hAnsi="On Times New Roman"/>
          <w:sz w:val="24"/>
          <w:szCs w:val="24"/>
        </w:rPr>
        <w:t xml:space="preserve">, U.S. District Court of Northern District of Indiana,  Chief Judge Theresa L. Springmann denied defense motion to dismiss the indictment.  </w:t>
      </w:r>
    </w:p>
    <w:bookmarkEnd w:id="487"/>
    <w:p w14:paraId="650A8280" w14:textId="77777777" w:rsidR="00297434" w:rsidRDefault="00297434" w:rsidP="00297434">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 xml:space="preserve">“[FBI] Agent Pawelko testified as follows: Based on—based on the people we had spoken to and the things we've reviewed, it does appear that, number one, the majority of people that Northwest was transporting during the time of our investigation were patients being transported to and from dialysis, which is a form of - it's a nonemergency transportation. And so far, what we've seen does support the allegation that they are transporting patients who do not qualify for this type </w:t>
      </w:r>
      <w:r>
        <w:rPr>
          <w:rFonts w:ascii="Times New Roman" w:hAnsi="Times New Roman"/>
          <w:sz w:val="24"/>
          <w:szCs w:val="24"/>
        </w:rPr>
        <w:t xml:space="preserve">of transportation. </w:t>
      </w:r>
      <w:proofErr w:type="gramStart"/>
      <w:r>
        <w:rPr>
          <w:rFonts w:ascii="Times New Roman" w:hAnsi="Times New Roman"/>
          <w:sz w:val="24"/>
          <w:szCs w:val="24"/>
        </w:rPr>
        <w:t>There's</w:t>
      </w:r>
      <w:proofErr w:type="gramEnd"/>
      <w:r>
        <w:rPr>
          <w:rFonts w:ascii="Times New Roman" w:hAnsi="Times New Roman"/>
          <w:sz w:val="24"/>
          <w:szCs w:val="24"/>
        </w:rPr>
        <w:t xml:space="preserve"> many indicators that these patients are capable of being transported to dialysis and other places by different means.</w:t>
      </w:r>
    </w:p>
    <w:p w14:paraId="5F3D4AF4" w14:textId="77777777" w:rsidR="00297434" w:rsidRDefault="00297434" w:rsidP="00297434">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4D716668" w14:textId="77777777" w:rsidR="00297434" w:rsidRDefault="00297434" w:rsidP="00297434">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Carlos Trevino, an Emergency Medical Technician and employee of Northwest Ambulance, was then called to testify before the Grand Jury. Ex. C, pp. 2, 5-6, ECF No. 25-3. In essence, Trevino testified that the Defendant directed his employees to alter and fabricate documents so that Medicare would reimburse Northwest Ambulance for transporting patients who did not qualify for ambulance transportation. </w:t>
      </w:r>
      <w:r>
        <w:rPr>
          <w:rFonts w:ascii="Times New Roman" w:hAnsi="Times New Roman"/>
          <w:i/>
          <w:iCs/>
          <w:sz w:val="24"/>
          <w:szCs w:val="24"/>
        </w:rPr>
        <w:t>See</w:t>
      </w:r>
      <w:r>
        <w:rPr>
          <w:rFonts w:ascii="Times New Roman" w:hAnsi="Times New Roman"/>
          <w:sz w:val="24"/>
          <w:szCs w:val="24"/>
        </w:rPr>
        <w:t xml:space="preserve">, </w:t>
      </w:r>
      <w:r>
        <w:rPr>
          <w:rFonts w:ascii="Times New Roman" w:hAnsi="Times New Roman"/>
          <w:i/>
          <w:iCs/>
          <w:sz w:val="24"/>
          <w:szCs w:val="24"/>
        </w:rPr>
        <w:t>e</w:t>
      </w:r>
      <w:r>
        <w:rPr>
          <w:rFonts w:ascii="Times New Roman" w:hAnsi="Times New Roman"/>
          <w:sz w:val="24"/>
          <w:szCs w:val="24"/>
        </w:rPr>
        <w:t>.</w:t>
      </w:r>
      <w:r>
        <w:rPr>
          <w:rFonts w:ascii="Times New Roman" w:hAnsi="Times New Roman"/>
          <w:i/>
          <w:iCs/>
          <w:sz w:val="24"/>
          <w:szCs w:val="24"/>
        </w:rPr>
        <w:t>g</w:t>
      </w:r>
      <w:r>
        <w:rPr>
          <w:rFonts w:ascii="Times New Roman" w:hAnsi="Times New Roman"/>
          <w:sz w:val="24"/>
          <w:szCs w:val="24"/>
        </w:rPr>
        <w:t xml:space="preserve">., </w:t>
      </w:r>
      <w:r>
        <w:rPr>
          <w:rFonts w:ascii="Times New Roman" w:hAnsi="Times New Roman"/>
          <w:i/>
          <w:iCs/>
          <w:sz w:val="24"/>
          <w:szCs w:val="24"/>
        </w:rPr>
        <w:t>id</w:t>
      </w:r>
      <w:r>
        <w:rPr>
          <w:rFonts w:ascii="Times New Roman" w:hAnsi="Times New Roman"/>
          <w:sz w:val="24"/>
          <w:szCs w:val="24"/>
        </w:rPr>
        <w:t xml:space="preserve">. </w:t>
      </w:r>
      <w:proofErr w:type="gramStart"/>
      <w:r>
        <w:rPr>
          <w:rFonts w:ascii="Times New Roman" w:hAnsi="Times New Roman"/>
          <w:sz w:val="24"/>
          <w:szCs w:val="24"/>
        </w:rPr>
        <w:t>at</w:t>
      </w:r>
      <w:proofErr w:type="gramEnd"/>
      <w:r>
        <w:rPr>
          <w:rFonts w:ascii="Times New Roman" w:hAnsi="Times New Roman"/>
          <w:sz w:val="24"/>
          <w:szCs w:val="24"/>
        </w:rPr>
        <w:t xml:space="preserve"> 12, 24-27, 44-45, 52. The Prosecutor also discussed various patients that Northwest Ambulance had transported, and Trevino offered his opinion on whether those patients qualified for transport under the applicable Medicare regulations. </w:t>
      </w:r>
      <w:r>
        <w:rPr>
          <w:rFonts w:ascii="Times New Roman" w:hAnsi="Times New Roman"/>
          <w:i/>
          <w:iCs/>
          <w:sz w:val="24"/>
          <w:szCs w:val="24"/>
        </w:rPr>
        <w:t>Id</w:t>
      </w:r>
      <w:r>
        <w:rPr>
          <w:rFonts w:ascii="Times New Roman" w:hAnsi="Times New Roman"/>
          <w:sz w:val="24"/>
          <w:szCs w:val="24"/>
        </w:rPr>
        <w:t xml:space="preserve">. </w:t>
      </w:r>
      <w:proofErr w:type="gramStart"/>
      <w:r>
        <w:rPr>
          <w:rFonts w:ascii="Times New Roman" w:hAnsi="Times New Roman"/>
          <w:sz w:val="24"/>
          <w:szCs w:val="24"/>
        </w:rPr>
        <w:t>at</w:t>
      </w:r>
      <w:proofErr w:type="gramEnd"/>
      <w:r>
        <w:rPr>
          <w:rFonts w:ascii="Times New Roman" w:hAnsi="Times New Roman"/>
          <w:sz w:val="24"/>
          <w:szCs w:val="24"/>
        </w:rPr>
        <w:t xml:space="preserve"> 29, 31, 34. The Prosecutor also asked Trevino the following question: "how many millions of dollars was paid out by Medicaid for the transportation of [the] patients?" </w:t>
      </w:r>
      <w:r>
        <w:rPr>
          <w:rFonts w:ascii="Times New Roman" w:hAnsi="Times New Roman"/>
          <w:i/>
          <w:iCs/>
          <w:sz w:val="24"/>
          <w:szCs w:val="24"/>
        </w:rPr>
        <w:t>Id</w:t>
      </w:r>
      <w:r>
        <w:rPr>
          <w:rFonts w:ascii="Times New Roman" w:hAnsi="Times New Roman"/>
          <w:sz w:val="24"/>
          <w:szCs w:val="24"/>
        </w:rPr>
        <w:t xml:space="preserve">. at 54. Trevino responded that he did not know. </w:t>
      </w:r>
      <w:r>
        <w:rPr>
          <w:rFonts w:ascii="Times New Roman" w:hAnsi="Times New Roman"/>
          <w:i/>
          <w:iCs/>
          <w:sz w:val="24"/>
          <w:szCs w:val="24"/>
        </w:rPr>
        <w:t>Id</w:t>
      </w:r>
      <w:r>
        <w:rPr>
          <w:rFonts w:ascii="Times New Roman" w:hAnsi="Times New Roman"/>
          <w:sz w:val="24"/>
          <w:szCs w:val="24"/>
        </w:rPr>
        <w:t xml:space="preserve">. The Prosecutor then asked a follow up question: "Would it surprise you to know it's 3 or 4 million dollars?" </w:t>
      </w:r>
      <w:r>
        <w:rPr>
          <w:rFonts w:ascii="Times New Roman" w:hAnsi="Times New Roman"/>
          <w:i/>
          <w:iCs/>
          <w:sz w:val="24"/>
          <w:szCs w:val="24"/>
        </w:rPr>
        <w:t>Id</w:t>
      </w:r>
      <w:r>
        <w:rPr>
          <w:rFonts w:ascii="Times New Roman" w:hAnsi="Times New Roman"/>
          <w:sz w:val="24"/>
          <w:szCs w:val="24"/>
        </w:rPr>
        <w:t xml:space="preserve">. Trevino answered, "That is surprising, yes." </w:t>
      </w:r>
      <w:r>
        <w:rPr>
          <w:rFonts w:ascii="Times New Roman" w:hAnsi="Times New Roman"/>
          <w:i/>
          <w:iCs/>
          <w:sz w:val="24"/>
          <w:szCs w:val="24"/>
        </w:rPr>
        <w:t>Id</w:t>
      </w:r>
      <w:r>
        <w:rPr>
          <w:rFonts w:ascii="Times New Roman" w:hAnsi="Times New Roman"/>
          <w:sz w:val="24"/>
          <w:szCs w:val="24"/>
        </w:rPr>
        <w:t xml:space="preserve">. </w:t>
      </w:r>
      <w:bookmarkStart w:id="488" w:name="_Hlk41152492"/>
      <w:r w:rsidR="00F37A4B">
        <w:fldChar w:fldCharType="begin"/>
      </w:r>
      <w:r w:rsidR="00F37A4B">
        <w:instrText xml:space="preserve"> HYPERLINK "https://public.fastcase.com/Wl%2B2t%2BeVuI35%2FN70vAMFZlf8DDiJ0IlZyenM%2FaRiHEaOXnxs5YVKmrc22QWJLh0q" </w:instrText>
      </w:r>
      <w:r w:rsidR="00F37A4B">
        <w:fldChar w:fldCharType="separate"/>
      </w:r>
      <w:r>
        <w:rPr>
          <w:rStyle w:val="Hyperlink"/>
          <w:rFonts w:ascii="Times New Roman" w:hAnsi="Times New Roman"/>
          <w:sz w:val="24"/>
          <w:szCs w:val="24"/>
        </w:rPr>
        <w:t>https://public.fastcase.com/Wl%2B2t%2BeVuI35%2FN70vAMFZlf8DDiJ0IlZyenM%2FaRiHEaOXnxs5YVKmrc22QWJLh0q</w:t>
      </w:r>
      <w:r w:rsidR="00F37A4B">
        <w:rPr>
          <w:rStyle w:val="Hyperlink"/>
          <w:rFonts w:ascii="Times New Roman" w:hAnsi="Times New Roman"/>
          <w:sz w:val="24"/>
          <w:szCs w:val="24"/>
        </w:rPr>
        <w:fldChar w:fldCharType="end"/>
      </w:r>
      <w:r>
        <w:rPr>
          <w:rFonts w:ascii="Times New Roman" w:hAnsi="Times New Roman"/>
          <w:sz w:val="24"/>
          <w:szCs w:val="24"/>
        </w:rPr>
        <w:t xml:space="preserve"> </w:t>
      </w:r>
    </w:p>
    <w:p w14:paraId="4B30869E" w14:textId="77777777" w:rsidR="00297434" w:rsidRDefault="00297434" w:rsidP="00297434">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Legal Lessons Learned: Federal government continues widespread investigation of Medicare fraud.  </w:t>
      </w:r>
      <w:hyperlink r:id="rId2333" w:history="1">
        <w:r>
          <w:rPr>
            <w:rStyle w:val="Hyperlink"/>
            <w:rFonts w:ascii="Times New Roman" w:hAnsi="Times New Roman"/>
            <w:b/>
            <w:bCs/>
            <w:sz w:val="24"/>
            <w:szCs w:val="24"/>
          </w:rPr>
          <w:t>https://oig.hhs.gov/fraud/strike-force/</w:t>
        </w:r>
      </w:hyperlink>
      <w:r>
        <w:rPr>
          <w:rFonts w:ascii="Times New Roman" w:hAnsi="Times New Roman"/>
          <w:b/>
          <w:bCs/>
          <w:sz w:val="24"/>
          <w:szCs w:val="24"/>
        </w:rPr>
        <w:t xml:space="preserve">  “First established in March 2007, Strike Force teams currently operate in the following areas: Miami, Florida; Los Angeles, California; Detroit, Michigan; Houston, Texas; Brooklyn, New York; Baton Rouge and New Orleans, Louisiana; Tampa and Orlando, Florida; Chicago, Illinois; Dallas, Texas; Washington, D.C.; Newark, New Jersey/Philadelphia, Pennsylvania; and the Appalachian Region.”</w:t>
      </w:r>
    </w:p>
    <w:bookmarkEnd w:id="488"/>
    <w:p w14:paraId="446F30BF" w14:textId="77777777" w:rsidR="00297434" w:rsidRDefault="00297434" w:rsidP="00DE0F03">
      <w:pPr>
        <w:pStyle w:val="NoSpacing"/>
        <w:rPr>
          <w:rFonts w:ascii="Arial Black" w:hAnsi="Arial Black"/>
          <w:sz w:val="24"/>
          <w:szCs w:val="24"/>
        </w:rPr>
      </w:pPr>
    </w:p>
    <w:p w14:paraId="3A7641FC" w14:textId="280F6F56" w:rsidR="00297434" w:rsidRDefault="00297434" w:rsidP="00DE0F03">
      <w:pPr>
        <w:pStyle w:val="NoSpacing"/>
        <w:rPr>
          <w:rFonts w:ascii="Arial Black" w:hAnsi="Arial Black"/>
          <w:sz w:val="24"/>
          <w:szCs w:val="24"/>
        </w:rPr>
      </w:pPr>
      <w:r>
        <w:rPr>
          <w:rFonts w:ascii="Arial Black" w:hAnsi="Arial Black"/>
          <w:sz w:val="24"/>
          <w:szCs w:val="24"/>
        </w:rPr>
        <w:t>13-3</w:t>
      </w:r>
      <w:r w:rsidR="007A1E7A">
        <w:rPr>
          <w:rFonts w:ascii="Arial Black" w:hAnsi="Arial Black"/>
          <w:sz w:val="24"/>
          <w:szCs w:val="24"/>
        </w:rPr>
        <w:t>5</w:t>
      </w:r>
    </w:p>
    <w:p w14:paraId="51CFF4A9" w14:textId="77777777" w:rsidR="00297434" w:rsidRDefault="00297434" w:rsidP="00297434">
      <w:pPr>
        <w:spacing w:before="100" w:beforeAutospacing="1" w:after="100" w:afterAutospacing="1" w:line="240" w:lineRule="auto"/>
        <w:rPr>
          <w:rFonts w:ascii="Arial Black" w:eastAsia="Times New Roman" w:hAnsi="Arial Black"/>
          <w:b/>
          <w:bCs/>
          <w:sz w:val="28"/>
          <w:szCs w:val="28"/>
        </w:rPr>
      </w:pPr>
      <w:bookmarkStart w:id="489" w:name="_Hlk41152552"/>
      <w:bookmarkStart w:id="490" w:name="_Hlk41293717"/>
      <w:r>
        <w:rPr>
          <w:rFonts w:ascii="Arial Black" w:hAnsi="Arial Black"/>
          <w:b/>
          <w:bCs/>
          <w:sz w:val="28"/>
          <w:szCs w:val="28"/>
        </w:rPr>
        <w:t>NY:  UNCONSCIOUS PATIENT – 37 MIN. DELAY - PD RE-DIRECTED TO ANOTHER PATIENT – PATIENT DIED - LAWSUIT MAY PROCEED</w:t>
      </w:r>
    </w:p>
    <w:p w14:paraId="31E9D7E7" w14:textId="77777777" w:rsidR="00297434" w:rsidRPr="00E265AB" w:rsidRDefault="00297434" w:rsidP="00297434">
      <w:pPr>
        <w:pStyle w:val="NoSpacing"/>
        <w:rPr>
          <w:rFonts w:ascii="Times New Roman" w:eastAsiaTheme="minorHAnsi" w:hAnsi="Times New Roman"/>
          <w:sz w:val="24"/>
          <w:szCs w:val="24"/>
        </w:rPr>
      </w:pPr>
      <w:r w:rsidRPr="00E265AB">
        <w:rPr>
          <w:rFonts w:ascii="Times New Roman" w:hAnsi="Times New Roman"/>
          <w:sz w:val="24"/>
          <w:szCs w:val="24"/>
        </w:rPr>
        <w:t xml:space="preserve">On Nov. 7, 2019, in </w:t>
      </w:r>
      <w:r w:rsidRPr="00E265AB">
        <w:rPr>
          <w:rFonts w:ascii="Times New Roman" w:hAnsi="Times New Roman"/>
          <w:sz w:val="24"/>
          <w:szCs w:val="24"/>
          <w:u w:val="single"/>
        </w:rPr>
        <w:t>Michael Mannino, as Administrator of the Estate of Carmen Mannino v. The City of New York</w:t>
      </w:r>
      <w:r w:rsidRPr="00E265AB">
        <w:rPr>
          <w:rFonts w:ascii="Times New Roman" w:hAnsi="Times New Roman"/>
          <w:sz w:val="24"/>
          <w:szCs w:val="24"/>
        </w:rPr>
        <w:t xml:space="preserve">, Supreme Court of New York, New York County (Part 5), Justice Verna L. Saunders, denied the City’s motion for summary judgment. </w:t>
      </w:r>
    </w:p>
    <w:p w14:paraId="730C90F5" w14:textId="77777777" w:rsidR="00297434" w:rsidRDefault="00297434" w:rsidP="00297434">
      <w:pPr>
        <w:pStyle w:val="NoSpacing"/>
        <w:rPr>
          <w:rFonts w:ascii="On Times New Roman" w:hAnsi="On Times New Roman"/>
          <w:sz w:val="24"/>
          <w:szCs w:val="24"/>
        </w:rPr>
      </w:pPr>
    </w:p>
    <w:bookmarkEnd w:id="489"/>
    <w:p w14:paraId="653113F7" w14:textId="0E2FE895" w:rsidR="00297434" w:rsidRDefault="00297434" w:rsidP="00297434">
      <w:pPr>
        <w:pStyle w:val="NoSpacing"/>
        <w:ind w:left="720"/>
        <w:rPr>
          <w:rFonts w:ascii="Times New Roman" w:hAnsi="Times New Roman"/>
          <w:sz w:val="24"/>
          <w:szCs w:val="24"/>
        </w:rPr>
      </w:pPr>
      <w:r>
        <w:rPr>
          <w:rFonts w:ascii="Times New Roman" w:hAnsi="Times New Roman"/>
          <w:sz w:val="24"/>
          <w:szCs w:val="24"/>
        </w:rPr>
        <w:t xml:space="preserve">“Moreover, it is clear from the facts presented that reasonable minds may differ as to whether the dispatcher made the appropriate inquires in order to dispatch the most suitable unit to plaintiff's home; whether the thirty-seven minutes that elapsed between Mr. Mannino's first 911 call and FDNY's ultimate arrival to his home constitutes a breach of duty where Mr. Mannino called 911 three times and was never informed that </w:t>
      </w:r>
    </w:p>
    <w:p w14:paraId="26D7E444" w14:textId="77777777" w:rsidR="00297434" w:rsidRDefault="00297434" w:rsidP="00297434">
      <w:pPr>
        <w:pStyle w:val="NoSpacing"/>
        <w:ind w:left="720"/>
        <w:rPr>
          <w:rFonts w:ascii="Times New Roman" w:hAnsi="Times New Roman"/>
          <w:sz w:val="24"/>
          <w:szCs w:val="24"/>
        </w:rPr>
      </w:pPr>
      <w:proofErr w:type="gramStart"/>
      <w:r>
        <w:rPr>
          <w:rFonts w:ascii="Times New Roman" w:hAnsi="Times New Roman"/>
          <w:sz w:val="24"/>
          <w:szCs w:val="24"/>
        </w:rPr>
        <w:t>there</w:t>
      </w:r>
      <w:proofErr w:type="gramEnd"/>
      <w:r>
        <w:rPr>
          <w:rFonts w:ascii="Times New Roman" w:hAnsi="Times New Roman"/>
          <w:sz w:val="24"/>
          <w:szCs w:val="24"/>
        </w:rPr>
        <w:t xml:space="preserve"> was a delay due to the initial ambulance being stopped by NYPD; and finally, whether plaintiff's reliance on the statements of the dispatcher was reasonable where on three separate occasions he informed the 911 of dispatch of his wife's condition and each time was told that ‘they </w:t>
      </w:r>
      <w:proofErr w:type="gramStart"/>
      <w:r>
        <w:rPr>
          <w:rFonts w:ascii="Times New Roman" w:hAnsi="Times New Roman"/>
          <w:sz w:val="24"/>
          <w:szCs w:val="24"/>
        </w:rPr>
        <w:t>will</w:t>
      </w:r>
      <w:proofErr w:type="gramEnd"/>
      <w:r>
        <w:rPr>
          <w:rFonts w:ascii="Times New Roman" w:hAnsi="Times New Roman"/>
          <w:sz w:val="24"/>
          <w:szCs w:val="24"/>
        </w:rPr>
        <w:t xml:space="preserve"> take care of it.’ The City's assertion in reply, that plaintiff did not report to the dispatcher his wife's "deteriorating" condition is without merit as it is the dispatcher who elicits relevant information through questioning. Furthermore, the information provided to the dispatcher over the course of the multiple 911 calls resulted in plaintiff's priority increasing with each call, with the final call being given top priority and an ALS unit assignment. </w:t>
      </w:r>
      <w:bookmarkStart w:id="491" w:name="_Hlk41152572"/>
      <w:r w:rsidR="00F37A4B">
        <w:fldChar w:fldCharType="begin"/>
      </w:r>
      <w:r w:rsidR="00F37A4B">
        <w:instrText xml:space="preserve"> HYPERLINK "https://public.fastcase.com/Wl%2B2t%2BeVuI35%2FN70vAMFZi1T3lhea37qRbZrbVg21pm1BEJfSmxcdX46bLXGGvU2" </w:instrText>
      </w:r>
      <w:r w:rsidR="00F37A4B">
        <w:fldChar w:fldCharType="separate"/>
      </w:r>
      <w:r>
        <w:rPr>
          <w:rStyle w:val="Hyperlink"/>
          <w:rFonts w:ascii="Times New Roman" w:hAnsi="Times New Roman"/>
          <w:sz w:val="24"/>
          <w:szCs w:val="24"/>
        </w:rPr>
        <w:t>https://public.fastcase.com/Wl%2B2t%2BeVuI35%2FN70vAMFZi1T3lhea37qRbZrbVg21pm1BEJfSmxcdX46bLXGGvU2</w:t>
      </w:r>
      <w:r w:rsidR="00F37A4B">
        <w:rPr>
          <w:rStyle w:val="Hyperlink"/>
          <w:rFonts w:ascii="Times New Roman" w:hAnsi="Times New Roman"/>
          <w:sz w:val="24"/>
          <w:szCs w:val="24"/>
        </w:rPr>
        <w:fldChar w:fldCharType="end"/>
      </w:r>
      <w:r>
        <w:rPr>
          <w:rFonts w:ascii="Times New Roman" w:hAnsi="Times New Roman"/>
          <w:sz w:val="24"/>
          <w:szCs w:val="24"/>
        </w:rPr>
        <w:t xml:space="preserve"> </w:t>
      </w:r>
    </w:p>
    <w:p w14:paraId="435CD002" w14:textId="77777777" w:rsidR="00297434" w:rsidRDefault="00297434" w:rsidP="00297434">
      <w:pPr>
        <w:pStyle w:val="NoSpacing"/>
        <w:ind w:left="720"/>
        <w:rPr>
          <w:rFonts w:ascii="Times New Roman" w:hAnsi="Times New Roman"/>
          <w:sz w:val="24"/>
          <w:szCs w:val="24"/>
        </w:rPr>
      </w:pPr>
    </w:p>
    <w:p w14:paraId="7964A838" w14:textId="77777777" w:rsidR="00297434" w:rsidRDefault="00297434" w:rsidP="00297434">
      <w:pPr>
        <w:pStyle w:val="NoSpacing"/>
        <w:rPr>
          <w:rFonts w:ascii="Times New Roman" w:hAnsi="Times New Roman"/>
          <w:b/>
          <w:bCs/>
          <w:sz w:val="24"/>
          <w:szCs w:val="24"/>
        </w:rPr>
      </w:pPr>
      <w:r>
        <w:rPr>
          <w:rFonts w:ascii="Times New Roman" w:hAnsi="Times New Roman"/>
          <w:b/>
          <w:bCs/>
          <w:sz w:val="24"/>
          <w:szCs w:val="24"/>
        </w:rPr>
        <w:t xml:space="preserve">Legal Lessons Learned: If an ambulance is re-directed on another run, dispatch should inform the 911 caller of the delay. </w:t>
      </w:r>
    </w:p>
    <w:bookmarkEnd w:id="490"/>
    <w:bookmarkEnd w:id="491"/>
    <w:p w14:paraId="31E24DD0" w14:textId="259664FB" w:rsidR="00297434" w:rsidRDefault="00297434" w:rsidP="00DE0F03">
      <w:pPr>
        <w:pStyle w:val="NoSpacing"/>
        <w:rPr>
          <w:rFonts w:ascii="Arial Black" w:hAnsi="Arial Black"/>
          <w:sz w:val="24"/>
          <w:szCs w:val="24"/>
        </w:rPr>
      </w:pPr>
    </w:p>
    <w:p w14:paraId="2DF47F9E" w14:textId="77777777" w:rsidR="006114FF" w:rsidRDefault="006114FF" w:rsidP="00DE0F03">
      <w:pPr>
        <w:pStyle w:val="NoSpacing"/>
        <w:rPr>
          <w:rFonts w:ascii="Arial Black" w:hAnsi="Arial Black"/>
          <w:sz w:val="24"/>
          <w:szCs w:val="24"/>
        </w:rPr>
      </w:pPr>
    </w:p>
    <w:p w14:paraId="3B84534E" w14:textId="77777777" w:rsidR="006114FF" w:rsidRDefault="006114FF" w:rsidP="00DE0F03">
      <w:pPr>
        <w:pStyle w:val="NoSpacing"/>
        <w:rPr>
          <w:rFonts w:ascii="Arial Black" w:hAnsi="Arial Black"/>
          <w:sz w:val="24"/>
          <w:szCs w:val="24"/>
        </w:rPr>
      </w:pPr>
    </w:p>
    <w:p w14:paraId="5129AE77" w14:textId="17D0ACDD" w:rsidR="007A1E7A" w:rsidRDefault="005C30A4" w:rsidP="00DE0F03">
      <w:pPr>
        <w:pStyle w:val="NoSpacing"/>
        <w:rPr>
          <w:rFonts w:ascii="Arial Black" w:hAnsi="Arial Black"/>
          <w:sz w:val="24"/>
          <w:szCs w:val="24"/>
        </w:rPr>
      </w:pPr>
      <w:r>
        <w:rPr>
          <w:rFonts w:ascii="Arial Black" w:hAnsi="Arial Black"/>
          <w:sz w:val="24"/>
          <w:szCs w:val="24"/>
        </w:rPr>
        <w:t>13-34</w:t>
      </w:r>
    </w:p>
    <w:p w14:paraId="1AB13479" w14:textId="77777777" w:rsidR="007A1E7A" w:rsidRPr="007D1530" w:rsidRDefault="007A1E7A" w:rsidP="007A1E7A">
      <w:pPr>
        <w:spacing w:before="100" w:beforeAutospacing="1" w:after="100" w:afterAutospacing="1" w:line="240" w:lineRule="auto"/>
        <w:rPr>
          <w:rFonts w:ascii="Arial Black" w:eastAsia="Times New Roman" w:hAnsi="Arial Black"/>
          <w:b/>
          <w:bCs/>
          <w:sz w:val="28"/>
          <w:szCs w:val="28"/>
        </w:rPr>
      </w:pPr>
      <w:bookmarkStart w:id="492" w:name="_Hlk34226456"/>
      <w:bookmarkStart w:id="493" w:name="_Hlk41152597"/>
      <w:r w:rsidRPr="007D1530">
        <w:rPr>
          <w:rFonts w:ascii="Arial Black" w:eastAsia="Times New Roman" w:hAnsi="Arial Black"/>
          <w:b/>
          <w:bCs/>
          <w:sz w:val="28"/>
          <w:szCs w:val="28"/>
        </w:rPr>
        <w:t>MD:</w:t>
      </w:r>
      <w:r>
        <w:rPr>
          <w:rFonts w:ascii="Arial Black" w:eastAsia="Times New Roman" w:hAnsi="Arial Black"/>
          <w:b/>
          <w:bCs/>
          <w:sz w:val="28"/>
          <w:szCs w:val="28"/>
        </w:rPr>
        <w:t xml:space="preserve">  CARDIAC RUN - PATIENT WALKED TO AMBULANCE, TO WHEELCHAIR - $3.7M JURY REVERSED - NOT “GROSS NEGLIENCE” </w:t>
      </w:r>
    </w:p>
    <w:bookmarkEnd w:id="492"/>
    <w:p w14:paraId="1B36C2A7" w14:textId="77777777" w:rsidR="007A1E7A" w:rsidRPr="004B30C8" w:rsidRDefault="007A1E7A" w:rsidP="007A1E7A">
      <w:pPr>
        <w:pStyle w:val="NoSpacing"/>
        <w:rPr>
          <w:rFonts w:ascii="Times New Roman" w:hAnsi="Times New Roman"/>
          <w:b/>
          <w:bCs/>
          <w:sz w:val="24"/>
          <w:szCs w:val="24"/>
        </w:rPr>
      </w:pPr>
      <w:r w:rsidRPr="004B30C8">
        <w:rPr>
          <w:rFonts w:ascii="Times New Roman" w:eastAsia="Times New Roman" w:hAnsi="Times New Roman"/>
          <w:bCs/>
          <w:sz w:val="24"/>
          <w:szCs w:val="24"/>
        </w:rPr>
        <w:t xml:space="preserve">On Aug. 16, 2019, in </w:t>
      </w:r>
      <w:r w:rsidRPr="004B30C8">
        <w:rPr>
          <w:rFonts w:ascii="Times New Roman" w:eastAsia="Times New Roman" w:hAnsi="Times New Roman"/>
          <w:bCs/>
          <w:sz w:val="24"/>
          <w:szCs w:val="24"/>
          <w:u w:val="single"/>
        </w:rPr>
        <w:t>Joseph Strackle, et al. v. Estate of Kerry Butler, Jr</w:t>
      </w:r>
      <w:r w:rsidRPr="004B30C8">
        <w:rPr>
          <w:rFonts w:ascii="Times New Roman" w:eastAsia="Times New Roman" w:hAnsi="Times New Roman"/>
          <w:bCs/>
          <w:sz w:val="24"/>
          <w:szCs w:val="24"/>
        </w:rPr>
        <w:t xml:space="preserve">., the Maryland Court of Appeals (4 to 3), reversed the Court of Special Appeals, and agreed with the trial judge that the paramedics were not grossly negligent.  Plaintiff alleged breach of City of Baltimore FD protocol when the patient walked from his home to the ambulance, and upon arrival at hospital walked from ambulance to wheelchair.  The jury verdict of </w:t>
      </w:r>
      <w:r w:rsidRPr="004B30C8">
        <w:rPr>
          <w:rFonts w:ascii="Times New Roman" w:hAnsi="Times New Roman"/>
          <w:bCs/>
          <w:sz w:val="24"/>
          <w:szCs w:val="24"/>
        </w:rPr>
        <w:t xml:space="preserve">$3,707,000 was set aside by the trial </w:t>
      </w:r>
      <w:proofErr w:type="gramStart"/>
      <w:r w:rsidRPr="004B30C8">
        <w:rPr>
          <w:rFonts w:ascii="Times New Roman" w:hAnsi="Times New Roman"/>
          <w:bCs/>
          <w:sz w:val="24"/>
          <w:szCs w:val="24"/>
        </w:rPr>
        <w:t>judge, but</w:t>
      </w:r>
      <w:proofErr w:type="gramEnd"/>
      <w:r w:rsidRPr="004B30C8">
        <w:rPr>
          <w:rFonts w:ascii="Times New Roman" w:hAnsi="Times New Roman"/>
          <w:bCs/>
          <w:sz w:val="24"/>
          <w:szCs w:val="24"/>
        </w:rPr>
        <w:t xml:space="preserve"> reinstated by the Special Court of Appeals; the paramedics appealed to Maryland Court of Appeals, which set aside the jury verdict. </w:t>
      </w:r>
    </w:p>
    <w:bookmarkEnd w:id="493"/>
    <w:p w14:paraId="1ED63917" w14:textId="77777777" w:rsidR="007A1E7A" w:rsidRPr="004B30C8" w:rsidRDefault="007A1E7A" w:rsidP="007A1E7A">
      <w:pPr>
        <w:pStyle w:val="NoSpacing"/>
        <w:rPr>
          <w:rFonts w:ascii="Times New Roman" w:hAnsi="Times New Roman"/>
          <w:b/>
          <w:bCs/>
          <w:sz w:val="24"/>
          <w:szCs w:val="24"/>
        </w:rPr>
      </w:pPr>
    </w:p>
    <w:p w14:paraId="1B58F895" w14:textId="77777777" w:rsidR="007A1E7A" w:rsidRPr="004B30C8" w:rsidRDefault="007A1E7A" w:rsidP="007A1E7A">
      <w:pPr>
        <w:pStyle w:val="NoSpacing"/>
        <w:ind w:left="720"/>
        <w:rPr>
          <w:rFonts w:ascii="Times New Roman" w:hAnsi="Times New Roman"/>
          <w:b/>
          <w:bCs/>
          <w:sz w:val="24"/>
          <w:szCs w:val="24"/>
        </w:rPr>
      </w:pPr>
      <w:r w:rsidRPr="004B30C8">
        <w:rPr>
          <w:rFonts w:ascii="Times New Roman" w:hAnsi="Times New Roman"/>
          <w:bCs/>
          <w:sz w:val="24"/>
          <w:szCs w:val="24"/>
        </w:rPr>
        <w:t xml:space="preserve">“Petitioners [paramedics] assessed the patient, took his vitals, and promptly transported him to the nearest hospital within approximately seven minutes of first arriving on the scene. Based on the evidence presented at trial, the jury could not have found that Petitioners were grossly negligent by a preponderance of the evidence. We further conclude that </w:t>
      </w:r>
      <w:proofErr w:type="spellStart"/>
      <w:r w:rsidRPr="004B30C8">
        <w:rPr>
          <w:rFonts w:ascii="Times New Roman" w:hAnsi="Times New Roman"/>
          <w:bCs/>
          <w:sz w:val="24"/>
          <w:szCs w:val="24"/>
        </w:rPr>
        <w:t>Cts</w:t>
      </w:r>
      <w:proofErr w:type="spellEnd"/>
      <w:r w:rsidRPr="004B30C8">
        <w:rPr>
          <w:rFonts w:ascii="Times New Roman" w:hAnsi="Times New Roman"/>
          <w:bCs/>
          <w:sz w:val="24"/>
          <w:szCs w:val="24"/>
        </w:rPr>
        <w:t xml:space="preserve">. &amp; Jud. Proc. § 5-604(a) unambiguously confers immunity upon municipal fire departments in simple negligence claims. *** Finally, the practical implications of holding otherwise cannot be overstated. Concluding that Petitioners were grossly negligent would have a negative impact on not only the number of individuals who seek employment as first responders in the </w:t>
      </w:r>
      <w:proofErr w:type="gramStart"/>
      <w:r w:rsidRPr="004B30C8">
        <w:rPr>
          <w:rFonts w:ascii="Times New Roman" w:hAnsi="Times New Roman"/>
          <w:bCs/>
          <w:sz w:val="24"/>
          <w:szCs w:val="24"/>
        </w:rPr>
        <w:t>future, but</w:t>
      </w:r>
      <w:proofErr w:type="gramEnd"/>
      <w:r w:rsidRPr="004B30C8">
        <w:rPr>
          <w:rFonts w:ascii="Times New Roman" w:hAnsi="Times New Roman"/>
          <w:bCs/>
          <w:sz w:val="24"/>
          <w:szCs w:val="24"/>
        </w:rPr>
        <w:t xml:space="preserve"> would create a chilling effect on their conduct. First responders must have broad discretion to proceed in their assessment and treatment of patients without the fear of liability. *** We conclude that there was not sufficient evidence to establish that Petitioners [paramedics] committed gross negligence. The mere fact that Petitioners inaccurately diagnosed and treated their patient does not elevate their conduct to gross negligence.</w:t>
      </w:r>
    </w:p>
    <w:bookmarkStart w:id="494" w:name="_Hlk41152616"/>
    <w:p w14:paraId="3F451BB5" w14:textId="77777777" w:rsidR="007A1E7A" w:rsidRPr="004B30C8" w:rsidRDefault="00F37A4B" w:rsidP="007A1E7A">
      <w:pPr>
        <w:pStyle w:val="NoSpacing"/>
        <w:ind w:left="720"/>
        <w:rPr>
          <w:rFonts w:ascii="Times New Roman" w:hAnsi="Times New Roman"/>
          <w:b/>
          <w:bCs/>
          <w:sz w:val="24"/>
          <w:szCs w:val="24"/>
        </w:rPr>
      </w:pPr>
      <w:r>
        <w:fldChar w:fldCharType="begin"/>
      </w:r>
      <w:r>
        <w:instrText xml:space="preserve"> HYPERLINK "https://mdcourts.gov/data/opinions/coa/2019/64a18.pdf" </w:instrText>
      </w:r>
      <w:r>
        <w:fldChar w:fldCharType="separate"/>
      </w:r>
      <w:r w:rsidR="007A1E7A" w:rsidRPr="004B30C8">
        <w:rPr>
          <w:rStyle w:val="Hyperlink"/>
          <w:rFonts w:ascii="Times New Roman" w:hAnsi="Times New Roman"/>
          <w:bCs/>
          <w:sz w:val="24"/>
          <w:szCs w:val="24"/>
        </w:rPr>
        <w:t>https://mdcourts.gov/data/opinions/coa/2019/64a18.pdf</w:t>
      </w:r>
      <w:r>
        <w:rPr>
          <w:rStyle w:val="Hyperlink"/>
          <w:rFonts w:ascii="Times New Roman" w:hAnsi="Times New Roman"/>
          <w:bCs/>
          <w:sz w:val="24"/>
          <w:szCs w:val="24"/>
        </w:rPr>
        <w:fldChar w:fldCharType="end"/>
      </w:r>
      <w:r w:rsidR="007A1E7A" w:rsidRPr="004B30C8">
        <w:rPr>
          <w:rFonts w:ascii="Times New Roman" w:hAnsi="Times New Roman"/>
          <w:bCs/>
          <w:sz w:val="24"/>
          <w:szCs w:val="24"/>
        </w:rPr>
        <w:t xml:space="preserve"> </w:t>
      </w:r>
    </w:p>
    <w:p w14:paraId="55222C6A" w14:textId="40C74A42" w:rsidR="007A1E7A" w:rsidRDefault="007A1E7A" w:rsidP="00DE0F03">
      <w:pPr>
        <w:pStyle w:val="NoSpacing"/>
        <w:rPr>
          <w:rFonts w:ascii="Arial Black" w:hAnsi="Arial Black"/>
          <w:sz w:val="24"/>
          <w:szCs w:val="24"/>
        </w:rPr>
      </w:pPr>
    </w:p>
    <w:p w14:paraId="72910659" w14:textId="77777777" w:rsidR="007A1E7A" w:rsidRDefault="007A1E7A" w:rsidP="007A1E7A">
      <w:pPr>
        <w:pStyle w:val="NoSpacing"/>
        <w:rPr>
          <w:rFonts w:ascii="Times New Roman" w:hAnsi="Times New Roman"/>
          <w:b/>
          <w:bCs/>
          <w:sz w:val="24"/>
          <w:szCs w:val="24"/>
        </w:rPr>
      </w:pPr>
    </w:p>
    <w:p w14:paraId="5A32BF6B" w14:textId="77777777" w:rsidR="007A1E7A" w:rsidRDefault="007A1E7A" w:rsidP="007A1E7A">
      <w:pPr>
        <w:pStyle w:val="NoSpacing"/>
        <w:rPr>
          <w:rFonts w:ascii="Times New Roman" w:hAnsi="Times New Roman"/>
          <w:b/>
          <w:bCs/>
          <w:sz w:val="24"/>
          <w:szCs w:val="24"/>
        </w:rPr>
      </w:pPr>
    </w:p>
    <w:p w14:paraId="07974E18" w14:textId="77777777" w:rsidR="007A1E7A" w:rsidRDefault="007A1E7A" w:rsidP="007A1E7A">
      <w:pPr>
        <w:pStyle w:val="NoSpacing"/>
        <w:rPr>
          <w:rFonts w:ascii="Times New Roman" w:hAnsi="Times New Roman"/>
          <w:b/>
          <w:bCs/>
          <w:sz w:val="24"/>
          <w:szCs w:val="24"/>
        </w:rPr>
      </w:pPr>
    </w:p>
    <w:p w14:paraId="07AEBA0F" w14:textId="67E642A3" w:rsidR="007A1E7A" w:rsidRPr="004B30C8" w:rsidRDefault="007A1E7A" w:rsidP="007A1E7A">
      <w:pPr>
        <w:pStyle w:val="NoSpacing"/>
        <w:rPr>
          <w:rFonts w:ascii="Times New Roman" w:hAnsi="Times New Roman"/>
          <w:b/>
          <w:bCs/>
          <w:sz w:val="24"/>
          <w:szCs w:val="24"/>
        </w:rPr>
      </w:pPr>
      <w:r w:rsidRPr="004B30C8">
        <w:rPr>
          <w:rFonts w:ascii="Times New Roman" w:hAnsi="Times New Roman"/>
          <w:b/>
          <w:bCs/>
          <w:sz w:val="24"/>
          <w:szCs w:val="24"/>
        </w:rPr>
        <w:t xml:space="preserve">Legal Lessons Learned: Follow your Protocols, and on cardiac run if the patient will not wait to get on the cot, or upon arrival at hospital insists on walking out of the ambulance to the wheelchair, thoroughly document the facts. </w:t>
      </w:r>
    </w:p>
    <w:bookmarkEnd w:id="494"/>
    <w:p w14:paraId="3878A716" w14:textId="77777777" w:rsidR="007A1E7A" w:rsidRDefault="007A1E7A" w:rsidP="00DE0F03">
      <w:pPr>
        <w:pStyle w:val="NoSpacing"/>
        <w:rPr>
          <w:rFonts w:ascii="Arial Black" w:hAnsi="Arial Black"/>
          <w:sz w:val="24"/>
          <w:szCs w:val="24"/>
        </w:rPr>
      </w:pPr>
    </w:p>
    <w:p w14:paraId="39482879" w14:textId="77777777" w:rsidR="005C30A4" w:rsidRDefault="005C30A4" w:rsidP="00DE0F03">
      <w:pPr>
        <w:pStyle w:val="NoSpacing"/>
        <w:rPr>
          <w:rFonts w:ascii="Arial Black" w:hAnsi="Arial Black"/>
          <w:sz w:val="24"/>
          <w:szCs w:val="24"/>
        </w:rPr>
      </w:pPr>
    </w:p>
    <w:p w14:paraId="23B333BE" w14:textId="77777777" w:rsidR="005C30A4" w:rsidRDefault="005C30A4" w:rsidP="00DE0F03">
      <w:pPr>
        <w:pStyle w:val="NoSpacing"/>
        <w:rPr>
          <w:rFonts w:ascii="Arial Black" w:hAnsi="Arial Black"/>
          <w:sz w:val="24"/>
          <w:szCs w:val="24"/>
        </w:rPr>
      </w:pPr>
    </w:p>
    <w:p w14:paraId="7B1BB773" w14:textId="77777777" w:rsidR="005C30A4" w:rsidRDefault="005C30A4" w:rsidP="00DE0F03">
      <w:pPr>
        <w:pStyle w:val="NoSpacing"/>
        <w:rPr>
          <w:rFonts w:ascii="Arial Black" w:hAnsi="Arial Black"/>
          <w:sz w:val="24"/>
          <w:szCs w:val="24"/>
        </w:rPr>
      </w:pPr>
    </w:p>
    <w:p w14:paraId="395E863D" w14:textId="2CD4CF26" w:rsidR="00853142" w:rsidRDefault="00853142" w:rsidP="00DE0F03">
      <w:pPr>
        <w:pStyle w:val="NoSpacing"/>
        <w:rPr>
          <w:rFonts w:ascii="Arial Black" w:hAnsi="Arial Black"/>
          <w:sz w:val="24"/>
          <w:szCs w:val="24"/>
        </w:rPr>
      </w:pPr>
      <w:r>
        <w:rPr>
          <w:rFonts w:ascii="Arial Black" w:hAnsi="Arial Black"/>
          <w:sz w:val="24"/>
          <w:szCs w:val="24"/>
        </w:rPr>
        <w:t>13-3</w:t>
      </w:r>
      <w:r w:rsidR="00C95AF6">
        <w:rPr>
          <w:rFonts w:ascii="Arial Black" w:hAnsi="Arial Black"/>
          <w:sz w:val="24"/>
          <w:szCs w:val="24"/>
        </w:rPr>
        <w:t>3</w:t>
      </w:r>
      <w:r w:rsidR="006508FC">
        <w:rPr>
          <w:rFonts w:ascii="Arial Black" w:hAnsi="Arial Black"/>
          <w:sz w:val="24"/>
          <w:szCs w:val="24"/>
        </w:rPr>
        <w:t xml:space="preserve"> </w:t>
      </w:r>
    </w:p>
    <w:p w14:paraId="51B9659A" w14:textId="507B96B1" w:rsidR="00853142" w:rsidRDefault="00853142" w:rsidP="00DE0F03">
      <w:pPr>
        <w:pStyle w:val="NoSpacing"/>
        <w:rPr>
          <w:rFonts w:ascii="Arial Black" w:hAnsi="Arial Black"/>
          <w:sz w:val="24"/>
          <w:szCs w:val="24"/>
        </w:rPr>
      </w:pPr>
    </w:p>
    <w:p w14:paraId="2A60F180" w14:textId="77777777" w:rsidR="00853142" w:rsidRDefault="00853142" w:rsidP="00853142">
      <w:pPr>
        <w:pStyle w:val="NoSpacing"/>
        <w:rPr>
          <w:rFonts w:ascii="Arial Black" w:hAnsi="Arial Black"/>
          <w:sz w:val="28"/>
          <w:szCs w:val="28"/>
        </w:rPr>
      </w:pPr>
      <w:bookmarkStart w:id="495" w:name="_Hlk41299121"/>
      <w:bookmarkStart w:id="496" w:name="_Hlk41152673"/>
      <w:r>
        <w:rPr>
          <w:rFonts w:ascii="Arial Black" w:hAnsi="Arial Black"/>
          <w:sz w:val="28"/>
          <w:szCs w:val="28"/>
        </w:rPr>
        <w:t xml:space="preserve">LA: BLACK EMS CAPT. – NITROGLYCERIN WAS FOR MOUTH, NOT CHEST – SUSPENSION / REMEDIATION PROPER - NOT RACE / GENDER </w:t>
      </w:r>
    </w:p>
    <w:p w14:paraId="641D87A0" w14:textId="77777777" w:rsidR="00853142" w:rsidRDefault="00853142" w:rsidP="00853142">
      <w:pPr>
        <w:pStyle w:val="NoSpacing"/>
      </w:pPr>
    </w:p>
    <w:p w14:paraId="5BE8F3F1" w14:textId="77777777" w:rsidR="00853142" w:rsidRDefault="00853142" w:rsidP="00853142">
      <w:pPr>
        <w:pStyle w:val="NoSpacing"/>
        <w:rPr>
          <w:rFonts w:ascii="Times New Roman" w:hAnsi="Times New Roman"/>
          <w:sz w:val="24"/>
          <w:szCs w:val="24"/>
        </w:rPr>
      </w:pPr>
      <w:r w:rsidRPr="008F2205">
        <w:rPr>
          <w:rFonts w:ascii="Times New Roman" w:hAnsi="Times New Roman"/>
          <w:sz w:val="24"/>
          <w:szCs w:val="24"/>
        </w:rPr>
        <w:t xml:space="preserve">On Sept. 17, 2019, in </w:t>
      </w:r>
      <w:r w:rsidRPr="008F2205">
        <w:rPr>
          <w:rFonts w:ascii="Times New Roman" w:hAnsi="Times New Roman"/>
          <w:sz w:val="24"/>
          <w:szCs w:val="24"/>
          <w:u w:val="single"/>
        </w:rPr>
        <w:t>Deborah Mills v. City of Shreveport</w:t>
      </w:r>
      <w:r w:rsidRPr="008F2205">
        <w:rPr>
          <w:rFonts w:ascii="Times New Roman" w:hAnsi="Times New Roman"/>
          <w:sz w:val="24"/>
          <w:szCs w:val="24"/>
        </w:rPr>
        <w:t xml:space="preserve">, </w:t>
      </w:r>
      <w:r>
        <w:rPr>
          <w:rFonts w:ascii="Times New Roman" w:hAnsi="Times New Roman"/>
          <w:sz w:val="24"/>
          <w:szCs w:val="24"/>
        </w:rPr>
        <w:t>U.S. District Court Judge Terry A. Doughty, U.S. District Court of Louisiana,  Western District</w:t>
      </w:r>
      <w:r w:rsidRPr="00D91FDE">
        <w:rPr>
          <w:rFonts w:ascii="Times New Roman" w:hAnsi="Times New Roman"/>
          <w:sz w:val="24"/>
          <w:szCs w:val="24"/>
        </w:rPr>
        <w:t>, Shreveport Division,</w:t>
      </w:r>
      <w:r>
        <w:rPr>
          <w:b/>
          <w:bCs/>
        </w:rPr>
        <w:t xml:space="preserve"> </w:t>
      </w:r>
      <w:r>
        <w:rPr>
          <w:rFonts w:ascii="Times New Roman" w:hAnsi="Times New Roman"/>
          <w:sz w:val="24"/>
          <w:szCs w:val="24"/>
        </w:rPr>
        <w:t xml:space="preserve">dismissed her claim of “hostile work atmosphere.”  He had previously dismissed her race and gender discrimination claims. </w:t>
      </w:r>
      <w:hyperlink r:id="rId2334" w:history="1">
        <w:r w:rsidRPr="00DB571D">
          <w:rPr>
            <w:rStyle w:val="Hyperlink"/>
            <w:rFonts w:ascii="Times New Roman" w:hAnsi="Times New Roman"/>
            <w:sz w:val="24"/>
            <w:szCs w:val="24"/>
          </w:rPr>
          <w:t>https://scholar.google.com/scholar_case?case=2959279778538737103&amp;hl=en&amp;as_sdt=6,36</w:t>
        </w:r>
      </w:hyperlink>
      <w:r>
        <w:rPr>
          <w:rFonts w:ascii="Times New Roman" w:hAnsi="Times New Roman"/>
          <w:sz w:val="24"/>
          <w:szCs w:val="24"/>
        </w:rPr>
        <w:t xml:space="preserve"> </w:t>
      </w:r>
    </w:p>
    <w:p w14:paraId="12E35732" w14:textId="77777777" w:rsidR="00853142" w:rsidRPr="008F2205" w:rsidRDefault="00853142" w:rsidP="00853142">
      <w:pPr>
        <w:pStyle w:val="NoSpacing"/>
        <w:rPr>
          <w:rFonts w:ascii="Times New Roman" w:hAnsi="Times New Roman"/>
          <w:sz w:val="24"/>
          <w:szCs w:val="24"/>
        </w:rPr>
      </w:pPr>
      <w:r>
        <w:rPr>
          <w:rFonts w:ascii="Times New Roman" w:hAnsi="Times New Roman"/>
          <w:sz w:val="24"/>
          <w:szCs w:val="24"/>
        </w:rPr>
        <w:t xml:space="preserve"> </w:t>
      </w:r>
    </w:p>
    <w:p w14:paraId="3694C932" w14:textId="77777777" w:rsidR="00853142" w:rsidRDefault="00853142" w:rsidP="00853142">
      <w:pPr>
        <w:pStyle w:val="NoSpacing"/>
        <w:ind w:left="720"/>
        <w:rPr>
          <w:rFonts w:ascii="Times New Roman" w:hAnsi="Times New Roman"/>
          <w:sz w:val="24"/>
          <w:szCs w:val="24"/>
        </w:rPr>
      </w:pPr>
      <w:r>
        <w:rPr>
          <w:rFonts w:ascii="Times New Roman" w:hAnsi="Times New Roman"/>
          <w:sz w:val="24"/>
          <w:szCs w:val="24"/>
        </w:rPr>
        <w:t>“</w:t>
      </w:r>
      <w:r w:rsidRPr="008F2205">
        <w:rPr>
          <w:rFonts w:ascii="Times New Roman" w:hAnsi="Times New Roman"/>
          <w:sz w:val="24"/>
          <w:szCs w:val="24"/>
        </w:rPr>
        <w:t xml:space="preserve">While Mills may subjectively believe that she has been treated differently and more harshly because of her race and/or gender, neither her subjective belief </w:t>
      </w:r>
      <w:proofErr w:type="gramStart"/>
      <w:r w:rsidRPr="008F2205">
        <w:rPr>
          <w:rFonts w:ascii="Times New Roman" w:hAnsi="Times New Roman"/>
          <w:sz w:val="24"/>
          <w:szCs w:val="24"/>
        </w:rPr>
        <w:t>or</w:t>
      </w:r>
      <w:proofErr w:type="gramEnd"/>
      <w:r w:rsidRPr="008F2205">
        <w:rPr>
          <w:rFonts w:ascii="Times New Roman" w:hAnsi="Times New Roman"/>
          <w:sz w:val="24"/>
          <w:szCs w:val="24"/>
        </w:rPr>
        <w:t xml:space="preserve"> that of others is enough to present this case to a jury. The Court finds that Mills has presented no genuine issue of material fact regarding whether she was subjected to harassment based on race or gender, and therefore she has failed to present a </w:t>
      </w:r>
      <w:r w:rsidRPr="008F2205">
        <w:rPr>
          <w:rFonts w:ascii="Times New Roman" w:hAnsi="Times New Roman"/>
          <w:i/>
          <w:iCs/>
          <w:sz w:val="24"/>
          <w:szCs w:val="24"/>
        </w:rPr>
        <w:t>prima facie</w:t>
      </w:r>
      <w:r w:rsidRPr="008F2205">
        <w:rPr>
          <w:rFonts w:ascii="Times New Roman" w:hAnsi="Times New Roman"/>
          <w:sz w:val="24"/>
          <w:szCs w:val="24"/>
        </w:rPr>
        <w:t xml:space="preserve"> case for a hostile work environment under Title VII. Therefore, the Court GRANTS the City's Motion for Summary Judgment on this remaining claim.</w:t>
      </w:r>
      <w:r>
        <w:rPr>
          <w:rFonts w:ascii="Times New Roman" w:hAnsi="Times New Roman"/>
          <w:sz w:val="24"/>
          <w:szCs w:val="24"/>
        </w:rPr>
        <w:t>”</w:t>
      </w:r>
    </w:p>
    <w:p w14:paraId="04F74734" w14:textId="77777777" w:rsidR="00853142" w:rsidRDefault="00853142" w:rsidP="00853142">
      <w:pPr>
        <w:pStyle w:val="NoSpacing"/>
        <w:ind w:left="720"/>
        <w:rPr>
          <w:rFonts w:ascii="Times New Roman" w:hAnsi="Times New Roman"/>
          <w:sz w:val="24"/>
          <w:szCs w:val="24"/>
        </w:rPr>
      </w:pPr>
    </w:p>
    <w:p w14:paraId="1D7346AC" w14:textId="77777777" w:rsidR="00853142" w:rsidRDefault="00853142" w:rsidP="00853142">
      <w:pPr>
        <w:pStyle w:val="NoSpacing"/>
      </w:pPr>
      <w:r>
        <w:rPr>
          <w:rFonts w:ascii="Times New Roman" w:hAnsi="Times New Roman"/>
          <w:sz w:val="24"/>
          <w:szCs w:val="24"/>
        </w:rPr>
        <w:t xml:space="preserve">On June 21, 2019, here other claims of race and gender discrimination were dismissed: </w:t>
      </w:r>
      <w:hyperlink r:id="rId2335" w:history="1">
        <w:r w:rsidRPr="00062632">
          <w:rPr>
            <w:rStyle w:val="Hyperlink"/>
            <w:rFonts w:ascii="Times New Roman" w:hAnsi="Times New Roman"/>
            <w:sz w:val="24"/>
            <w:szCs w:val="24"/>
          </w:rPr>
          <w:t>https://www.leagle.com/decision/infdco20190624a02</w:t>
        </w:r>
      </w:hyperlink>
      <w:r>
        <w:rPr>
          <w:rFonts w:ascii="Times New Roman" w:hAnsi="Times New Roman"/>
          <w:sz w:val="24"/>
          <w:szCs w:val="24"/>
        </w:rPr>
        <w:t xml:space="preserve">  </w:t>
      </w:r>
    </w:p>
    <w:p w14:paraId="6A6AF179" w14:textId="77777777" w:rsidR="00853142" w:rsidRDefault="00853142" w:rsidP="00853142">
      <w:pPr>
        <w:pStyle w:val="NoSpacing"/>
        <w:rPr>
          <w:rFonts w:ascii="Times New Roman" w:hAnsi="Times New Roman"/>
          <w:sz w:val="24"/>
          <w:szCs w:val="24"/>
        </w:rPr>
      </w:pPr>
    </w:p>
    <w:p w14:paraId="23BEA99E" w14:textId="1356E665" w:rsidR="00853142" w:rsidRDefault="00853142" w:rsidP="00853142">
      <w:pPr>
        <w:pStyle w:val="NoSpacing"/>
        <w:rPr>
          <w:rFonts w:ascii="Times New Roman" w:hAnsi="Times New Roman"/>
          <w:b/>
          <w:bCs/>
          <w:sz w:val="24"/>
          <w:szCs w:val="24"/>
        </w:rPr>
      </w:pPr>
      <w:r w:rsidRPr="009871EA">
        <w:rPr>
          <w:rFonts w:ascii="Times New Roman" w:hAnsi="Times New Roman"/>
          <w:b/>
          <w:bCs/>
          <w:sz w:val="24"/>
          <w:szCs w:val="24"/>
        </w:rPr>
        <w:t xml:space="preserve">Legal Lessons Learned:  </w:t>
      </w:r>
      <w:r>
        <w:rPr>
          <w:rFonts w:ascii="Times New Roman" w:hAnsi="Times New Roman"/>
          <w:b/>
          <w:bCs/>
          <w:sz w:val="24"/>
          <w:szCs w:val="24"/>
        </w:rPr>
        <w:t xml:space="preserve">EMS protocols must be followed, and suspension / remediation training is an appropriate corrective action.  </w:t>
      </w:r>
      <w:bookmarkEnd w:id="495"/>
      <w:r>
        <w:rPr>
          <w:rFonts w:ascii="Times New Roman" w:hAnsi="Times New Roman"/>
          <w:b/>
          <w:bCs/>
          <w:sz w:val="24"/>
          <w:szCs w:val="24"/>
        </w:rPr>
        <w:t xml:space="preserve">  </w:t>
      </w:r>
      <w:bookmarkEnd w:id="496"/>
      <w:r>
        <w:rPr>
          <w:rFonts w:ascii="Times New Roman" w:hAnsi="Times New Roman"/>
          <w:b/>
          <w:bCs/>
          <w:sz w:val="24"/>
          <w:szCs w:val="24"/>
        </w:rPr>
        <w:t>[Also filed, Chap. 8, Race Discrimination.]</w:t>
      </w:r>
    </w:p>
    <w:p w14:paraId="3050E4A9" w14:textId="77777777" w:rsidR="00853142" w:rsidRDefault="00853142" w:rsidP="00DE0F03">
      <w:pPr>
        <w:pStyle w:val="NoSpacing"/>
        <w:rPr>
          <w:rFonts w:ascii="Arial Black" w:hAnsi="Arial Black"/>
          <w:sz w:val="24"/>
          <w:szCs w:val="24"/>
        </w:rPr>
      </w:pPr>
    </w:p>
    <w:p w14:paraId="00F22F8F" w14:textId="77777777" w:rsidR="00853142" w:rsidRDefault="00853142" w:rsidP="00DE0F03">
      <w:pPr>
        <w:pStyle w:val="NoSpacing"/>
        <w:rPr>
          <w:rFonts w:ascii="Arial Black" w:hAnsi="Arial Black"/>
          <w:sz w:val="24"/>
          <w:szCs w:val="24"/>
        </w:rPr>
      </w:pPr>
    </w:p>
    <w:p w14:paraId="2406827B" w14:textId="77777777" w:rsidR="00853142" w:rsidRDefault="00853142" w:rsidP="00DE0F03">
      <w:pPr>
        <w:pStyle w:val="NoSpacing"/>
        <w:rPr>
          <w:rFonts w:ascii="Arial Black" w:hAnsi="Arial Black"/>
          <w:sz w:val="24"/>
          <w:szCs w:val="24"/>
        </w:rPr>
      </w:pPr>
    </w:p>
    <w:p w14:paraId="32CEF3DC" w14:textId="27E2754E" w:rsidR="009F0F05" w:rsidRDefault="00EE0562" w:rsidP="00DE0F03">
      <w:pPr>
        <w:pStyle w:val="NoSpacing"/>
        <w:rPr>
          <w:rFonts w:ascii="Arial Black" w:hAnsi="Arial Black"/>
          <w:sz w:val="24"/>
          <w:szCs w:val="24"/>
        </w:rPr>
      </w:pPr>
      <w:r>
        <w:rPr>
          <w:rFonts w:ascii="Arial Black" w:hAnsi="Arial Black"/>
          <w:sz w:val="24"/>
          <w:szCs w:val="24"/>
        </w:rPr>
        <w:t>13-3</w:t>
      </w:r>
      <w:r w:rsidR="00C95AF6">
        <w:rPr>
          <w:rFonts w:ascii="Arial Black" w:hAnsi="Arial Black"/>
          <w:sz w:val="24"/>
          <w:szCs w:val="24"/>
        </w:rPr>
        <w:t>2</w:t>
      </w:r>
      <w:r>
        <w:rPr>
          <w:rFonts w:ascii="Arial Black" w:hAnsi="Arial Black"/>
          <w:sz w:val="24"/>
          <w:szCs w:val="24"/>
        </w:rPr>
        <w:t xml:space="preserve"> </w:t>
      </w:r>
    </w:p>
    <w:p w14:paraId="5A6B044E" w14:textId="77777777" w:rsidR="00EE0562" w:rsidRDefault="00EE0562" w:rsidP="00DE0F03">
      <w:pPr>
        <w:pStyle w:val="NoSpacing"/>
        <w:rPr>
          <w:rFonts w:ascii="Arial Black" w:hAnsi="Arial Black"/>
          <w:sz w:val="24"/>
          <w:szCs w:val="24"/>
        </w:rPr>
      </w:pPr>
    </w:p>
    <w:p w14:paraId="2DAFD27D" w14:textId="77777777" w:rsidR="009F0F05" w:rsidRPr="003561BE" w:rsidRDefault="009F0F05" w:rsidP="009F0F05">
      <w:pPr>
        <w:rPr>
          <w:rFonts w:ascii="Arial Black" w:hAnsi="Arial Black"/>
          <w:sz w:val="28"/>
          <w:szCs w:val="28"/>
        </w:rPr>
      </w:pPr>
      <w:bookmarkStart w:id="497" w:name="_Hlk41152875"/>
      <w:bookmarkStart w:id="498" w:name="_Hlk41297020"/>
      <w:r w:rsidRPr="003561BE">
        <w:rPr>
          <w:rFonts w:ascii="Arial Black" w:hAnsi="Arial Black"/>
          <w:sz w:val="28"/>
          <w:szCs w:val="28"/>
        </w:rPr>
        <w:t xml:space="preserve">OK: </w:t>
      </w:r>
      <w:r>
        <w:rPr>
          <w:rFonts w:ascii="Arial Black" w:hAnsi="Arial Black"/>
          <w:sz w:val="28"/>
          <w:szCs w:val="28"/>
        </w:rPr>
        <w:t>EMS HELD BACK FROM PD SHOOTING FOR 12 MINUTES – CONFIRM SCENE SECURE - QUALIFIED IMMUNITY</w:t>
      </w:r>
    </w:p>
    <w:p w14:paraId="4D2AC446" w14:textId="77777777" w:rsidR="009F0F05" w:rsidRDefault="009F0F05" w:rsidP="009F0F05">
      <w:r w:rsidRPr="0025287C">
        <w:rPr>
          <w:rFonts w:ascii="Times New Roman" w:hAnsi="Times New Roman"/>
          <w:sz w:val="24"/>
          <w:szCs w:val="24"/>
        </w:rPr>
        <w:t xml:space="preserve">On Sept. 6, 2019, </w:t>
      </w:r>
      <w:r>
        <w:rPr>
          <w:rFonts w:ascii="Times New Roman" w:hAnsi="Times New Roman"/>
          <w:sz w:val="24"/>
          <w:szCs w:val="24"/>
        </w:rPr>
        <w:t xml:space="preserve">in </w:t>
      </w:r>
      <w:r w:rsidRPr="0088321C">
        <w:rPr>
          <w:rFonts w:ascii="Times New Roman" w:hAnsi="Times New Roman"/>
          <w:sz w:val="24"/>
          <w:szCs w:val="24"/>
          <w:u w:val="single"/>
        </w:rPr>
        <w:t>Briena Crittenden, as personal representative of estate of Joshua</w:t>
      </w:r>
      <w:r w:rsidRPr="005B29CF">
        <w:rPr>
          <w:rFonts w:ascii="Times New Roman" w:hAnsi="Times New Roman"/>
          <w:sz w:val="24"/>
          <w:szCs w:val="24"/>
          <w:u w:val="single"/>
        </w:rPr>
        <w:t xml:space="preserve"> P. Crittenden v. City of Tahlequah, Officer Randy Tanner, et al</w:t>
      </w:r>
      <w:r>
        <w:rPr>
          <w:rFonts w:ascii="Times New Roman" w:hAnsi="Times New Roman"/>
          <w:sz w:val="24"/>
          <w:szCs w:val="24"/>
        </w:rPr>
        <w:t>., the U.S. Court of Appeals for the 10</w:t>
      </w:r>
      <w:r w:rsidRPr="005B29CF">
        <w:rPr>
          <w:rFonts w:ascii="Times New Roman" w:hAnsi="Times New Roman"/>
          <w:sz w:val="24"/>
          <w:szCs w:val="24"/>
          <w:vertAlign w:val="superscript"/>
        </w:rPr>
        <w:t>th</w:t>
      </w:r>
      <w:r>
        <w:rPr>
          <w:rFonts w:ascii="Times New Roman" w:hAnsi="Times New Roman"/>
          <w:sz w:val="24"/>
          <w:szCs w:val="24"/>
        </w:rPr>
        <w:t xml:space="preserve"> District (Denver) held (3 to 0) that U.S. District Court judge properly granted summary judgment to the police officers and the City.  </w:t>
      </w:r>
      <w:hyperlink r:id="rId2336" w:history="1">
        <w:r w:rsidRPr="00586529">
          <w:rPr>
            <w:rStyle w:val="Hyperlink"/>
          </w:rPr>
          <w:t>https://law.justia.com/cases/federal/appellate-courts/ca10/18-7036/18-7036-2019-09-06.html</w:t>
        </w:r>
      </w:hyperlink>
      <w:r>
        <w:t xml:space="preserve"> </w:t>
      </w:r>
    </w:p>
    <w:bookmarkEnd w:id="497"/>
    <w:p w14:paraId="7CB89A7A" w14:textId="77777777" w:rsidR="009F0F05" w:rsidRPr="0025287C" w:rsidRDefault="009F0F05" w:rsidP="009F0F05">
      <w:pPr>
        <w:rPr>
          <w:rFonts w:ascii="Times New Roman" w:hAnsi="Times New Roman"/>
          <w:sz w:val="24"/>
          <w:szCs w:val="24"/>
        </w:rPr>
      </w:pPr>
      <w:r>
        <w:rPr>
          <w:rFonts w:ascii="Times New Roman" w:hAnsi="Times New Roman"/>
          <w:sz w:val="24"/>
          <w:szCs w:val="24"/>
        </w:rPr>
        <w:t xml:space="preserve"> Circuit Judge Michael R, Murphy wrote:</w:t>
      </w:r>
    </w:p>
    <w:p w14:paraId="510B2D7C" w14:textId="77777777" w:rsidR="009F0F05" w:rsidRPr="00DA74F4" w:rsidRDefault="009F0F05" w:rsidP="009F0F05">
      <w:pPr>
        <w:ind w:left="720"/>
        <w:rPr>
          <w:rFonts w:ascii="Times New Roman" w:hAnsi="Times New Roman"/>
          <w:sz w:val="24"/>
          <w:szCs w:val="24"/>
        </w:rPr>
      </w:pPr>
      <w:r>
        <w:rPr>
          <w:rFonts w:ascii="Times New Roman" w:hAnsi="Times New Roman"/>
          <w:sz w:val="24"/>
          <w:szCs w:val="24"/>
        </w:rPr>
        <w:t>“</w:t>
      </w:r>
      <w:r w:rsidRPr="00682A63">
        <w:rPr>
          <w:rFonts w:ascii="Times New Roman" w:hAnsi="Times New Roman"/>
          <w:sz w:val="24"/>
          <w:szCs w:val="24"/>
        </w:rPr>
        <w:t xml:space="preserve">There is no precedent supporting the notion that police officers have an affirmative duty to provide immediate medical care in situations such as the instant case. </w:t>
      </w:r>
      <w:r w:rsidRPr="00DA74F4">
        <w:rPr>
          <w:rFonts w:ascii="Times New Roman" w:hAnsi="Times New Roman"/>
          <w:sz w:val="24"/>
          <w:szCs w:val="24"/>
        </w:rPr>
        <w:t>See Wilson v.</w:t>
      </w:r>
      <w:r>
        <w:rPr>
          <w:rFonts w:ascii="Times New Roman" w:hAnsi="Times New Roman"/>
          <w:sz w:val="24"/>
          <w:szCs w:val="24"/>
        </w:rPr>
        <w:t xml:space="preserve"> </w:t>
      </w:r>
      <w:r w:rsidRPr="00DA74F4">
        <w:rPr>
          <w:rFonts w:ascii="Times New Roman" w:hAnsi="Times New Roman"/>
          <w:sz w:val="24"/>
          <w:szCs w:val="24"/>
        </w:rPr>
        <w:t>Meeks, 52</w:t>
      </w:r>
      <w:r>
        <w:rPr>
          <w:rFonts w:ascii="Times New Roman" w:hAnsi="Times New Roman"/>
          <w:sz w:val="24"/>
          <w:szCs w:val="24"/>
        </w:rPr>
        <w:t xml:space="preserve"> </w:t>
      </w:r>
      <w:r w:rsidRPr="00DA74F4">
        <w:rPr>
          <w:rFonts w:ascii="Times New Roman" w:hAnsi="Times New Roman"/>
          <w:sz w:val="24"/>
          <w:szCs w:val="24"/>
        </w:rPr>
        <w:t>F.3d1547, 1556</w:t>
      </w:r>
      <w:r>
        <w:rPr>
          <w:rFonts w:ascii="Times New Roman" w:hAnsi="Times New Roman"/>
          <w:sz w:val="24"/>
          <w:szCs w:val="24"/>
        </w:rPr>
        <w:t xml:space="preserve"> </w:t>
      </w:r>
      <w:r w:rsidRPr="00DA74F4">
        <w:rPr>
          <w:rFonts w:ascii="Times New Roman" w:hAnsi="Times New Roman"/>
          <w:sz w:val="24"/>
          <w:szCs w:val="24"/>
        </w:rPr>
        <w:t>(10thCir.1995), abrogated on other grounds by Saucier</w:t>
      </w:r>
      <w:r>
        <w:rPr>
          <w:rFonts w:ascii="Times New Roman" w:hAnsi="Times New Roman"/>
          <w:sz w:val="24"/>
          <w:szCs w:val="24"/>
        </w:rPr>
        <w:t xml:space="preserve"> </w:t>
      </w:r>
      <w:r w:rsidRPr="00DA74F4">
        <w:rPr>
          <w:rFonts w:ascii="Times New Roman" w:hAnsi="Times New Roman"/>
          <w:sz w:val="24"/>
          <w:szCs w:val="24"/>
        </w:rPr>
        <w:t>v.</w:t>
      </w:r>
      <w:r>
        <w:rPr>
          <w:rFonts w:ascii="Times New Roman" w:hAnsi="Times New Roman"/>
          <w:sz w:val="24"/>
          <w:szCs w:val="24"/>
        </w:rPr>
        <w:t xml:space="preserve"> </w:t>
      </w:r>
      <w:r w:rsidRPr="00DA74F4">
        <w:rPr>
          <w:rFonts w:ascii="Times New Roman" w:hAnsi="Times New Roman"/>
          <w:sz w:val="24"/>
          <w:szCs w:val="24"/>
        </w:rPr>
        <w:t>Katz,</w:t>
      </w:r>
      <w:r>
        <w:rPr>
          <w:rFonts w:ascii="Times New Roman" w:hAnsi="Times New Roman"/>
          <w:sz w:val="24"/>
          <w:szCs w:val="24"/>
        </w:rPr>
        <w:t xml:space="preserve"> </w:t>
      </w:r>
      <w:r w:rsidRPr="00DA74F4">
        <w:rPr>
          <w:rFonts w:ascii="Times New Roman" w:hAnsi="Times New Roman"/>
          <w:sz w:val="24"/>
          <w:szCs w:val="24"/>
        </w:rPr>
        <w:t>533</w:t>
      </w:r>
      <w:r>
        <w:rPr>
          <w:rFonts w:ascii="Times New Roman" w:hAnsi="Times New Roman"/>
          <w:sz w:val="24"/>
          <w:szCs w:val="24"/>
        </w:rPr>
        <w:t xml:space="preserve"> </w:t>
      </w:r>
      <w:r w:rsidRPr="00DA74F4">
        <w:rPr>
          <w:rFonts w:ascii="Times New Roman" w:hAnsi="Times New Roman"/>
          <w:sz w:val="24"/>
          <w:szCs w:val="24"/>
        </w:rPr>
        <w:t>U.S.194</w:t>
      </w:r>
      <w:r>
        <w:rPr>
          <w:rFonts w:ascii="Times New Roman" w:hAnsi="Times New Roman"/>
          <w:sz w:val="24"/>
          <w:szCs w:val="24"/>
        </w:rPr>
        <w:t xml:space="preserve"> </w:t>
      </w:r>
      <w:r w:rsidRPr="00DA74F4">
        <w:rPr>
          <w:rFonts w:ascii="Times New Roman" w:hAnsi="Times New Roman"/>
          <w:sz w:val="24"/>
          <w:szCs w:val="24"/>
        </w:rPr>
        <w:t>(2001).</w:t>
      </w:r>
      <w:r>
        <w:rPr>
          <w:rFonts w:ascii="Times New Roman" w:hAnsi="Times New Roman"/>
          <w:sz w:val="24"/>
          <w:szCs w:val="24"/>
        </w:rPr>
        <w:t xml:space="preserve"> I</w:t>
      </w:r>
      <w:r w:rsidRPr="00DA74F4">
        <w:rPr>
          <w:rFonts w:ascii="Times New Roman" w:hAnsi="Times New Roman"/>
          <w:sz w:val="24"/>
          <w:szCs w:val="24"/>
        </w:rPr>
        <w:t>n</w:t>
      </w:r>
      <w:r>
        <w:rPr>
          <w:rFonts w:ascii="Times New Roman" w:hAnsi="Times New Roman"/>
          <w:sz w:val="24"/>
          <w:szCs w:val="24"/>
        </w:rPr>
        <w:t xml:space="preserve"> </w:t>
      </w:r>
      <w:r w:rsidRPr="00DA74F4">
        <w:rPr>
          <w:rFonts w:ascii="Times New Roman" w:hAnsi="Times New Roman"/>
          <w:sz w:val="24"/>
          <w:szCs w:val="24"/>
        </w:rPr>
        <w:t>Wilson,</w:t>
      </w:r>
      <w:r>
        <w:rPr>
          <w:rFonts w:ascii="Times New Roman" w:hAnsi="Times New Roman"/>
          <w:sz w:val="24"/>
          <w:szCs w:val="24"/>
        </w:rPr>
        <w:t xml:space="preserve"> </w:t>
      </w:r>
      <w:r w:rsidRPr="00DA74F4">
        <w:rPr>
          <w:rFonts w:ascii="Times New Roman" w:hAnsi="Times New Roman"/>
          <w:sz w:val="24"/>
          <w:szCs w:val="24"/>
        </w:rPr>
        <w:t>after</w:t>
      </w:r>
      <w:r>
        <w:rPr>
          <w:rFonts w:ascii="Times New Roman" w:hAnsi="Times New Roman"/>
          <w:sz w:val="24"/>
          <w:szCs w:val="24"/>
        </w:rPr>
        <w:t xml:space="preserve"> </w:t>
      </w:r>
      <w:r w:rsidRPr="00DA74F4">
        <w:rPr>
          <w:rFonts w:ascii="Times New Roman" w:hAnsi="Times New Roman"/>
          <w:sz w:val="24"/>
          <w:szCs w:val="24"/>
        </w:rPr>
        <w:t>a</w:t>
      </w:r>
      <w:r>
        <w:rPr>
          <w:rFonts w:ascii="Times New Roman" w:hAnsi="Times New Roman"/>
          <w:sz w:val="24"/>
          <w:szCs w:val="24"/>
        </w:rPr>
        <w:t xml:space="preserve"> </w:t>
      </w:r>
      <w:r w:rsidRPr="00DA74F4">
        <w:rPr>
          <w:rFonts w:ascii="Times New Roman" w:hAnsi="Times New Roman"/>
          <w:sz w:val="24"/>
          <w:szCs w:val="24"/>
        </w:rPr>
        <w:t>police</w:t>
      </w:r>
      <w:r>
        <w:rPr>
          <w:rFonts w:ascii="Times New Roman" w:hAnsi="Times New Roman"/>
          <w:sz w:val="24"/>
          <w:szCs w:val="24"/>
        </w:rPr>
        <w:t xml:space="preserve"> </w:t>
      </w:r>
      <w:r w:rsidRPr="00DA74F4">
        <w:rPr>
          <w:rFonts w:ascii="Times New Roman" w:hAnsi="Times New Roman"/>
          <w:sz w:val="24"/>
          <w:szCs w:val="24"/>
        </w:rPr>
        <w:t>officer</w:t>
      </w:r>
      <w:r>
        <w:rPr>
          <w:rFonts w:ascii="Times New Roman" w:hAnsi="Times New Roman"/>
          <w:sz w:val="24"/>
          <w:szCs w:val="24"/>
        </w:rPr>
        <w:t xml:space="preserve"> </w:t>
      </w:r>
      <w:r w:rsidRPr="00DA74F4">
        <w:rPr>
          <w:rFonts w:ascii="Times New Roman" w:hAnsi="Times New Roman"/>
          <w:sz w:val="24"/>
          <w:szCs w:val="24"/>
        </w:rPr>
        <w:t>shot</w:t>
      </w:r>
      <w:r>
        <w:rPr>
          <w:rFonts w:ascii="Times New Roman" w:hAnsi="Times New Roman"/>
          <w:sz w:val="24"/>
          <w:szCs w:val="24"/>
        </w:rPr>
        <w:t xml:space="preserve"> </w:t>
      </w:r>
      <w:r w:rsidRPr="00DA74F4">
        <w:rPr>
          <w:rFonts w:ascii="Times New Roman" w:hAnsi="Times New Roman"/>
          <w:sz w:val="24"/>
          <w:szCs w:val="24"/>
        </w:rPr>
        <w:t>a</w:t>
      </w:r>
      <w:r>
        <w:rPr>
          <w:rFonts w:ascii="Times New Roman" w:hAnsi="Times New Roman"/>
          <w:sz w:val="24"/>
          <w:szCs w:val="24"/>
        </w:rPr>
        <w:t xml:space="preserve"> </w:t>
      </w:r>
      <w:r w:rsidRPr="00DA74F4">
        <w:rPr>
          <w:rFonts w:ascii="Times New Roman" w:hAnsi="Times New Roman"/>
          <w:sz w:val="24"/>
          <w:szCs w:val="24"/>
        </w:rPr>
        <w:t>man</w:t>
      </w:r>
      <w:r>
        <w:rPr>
          <w:rFonts w:ascii="Times New Roman" w:hAnsi="Times New Roman"/>
          <w:sz w:val="24"/>
          <w:szCs w:val="24"/>
        </w:rPr>
        <w:t xml:space="preserve"> </w:t>
      </w:r>
      <w:r w:rsidRPr="00DA74F4">
        <w:rPr>
          <w:rFonts w:ascii="Times New Roman" w:hAnsi="Times New Roman"/>
          <w:sz w:val="24"/>
          <w:szCs w:val="24"/>
        </w:rPr>
        <w:t>holding</w:t>
      </w:r>
      <w:r>
        <w:rPr>
          <w:rFonts w:ascii="Times New Roman" w:hAnsi="Times New Roman"/>
          <w:sz w:val="24"/>
          <w:szCs w:val="24"/>
        </w:rPr>
        <w:t xml:space="preserve"> </w:t>
      </w:r>
      <w:r w:rsidRPr="00DA74F4">
        <w:rPr>
          <w:rFonts w:ascii="Times New Roman" w:hAnsi="Times New Roman"/>
          <w:sz w:val="24"/>
          <w:szCs w:val="24"/>
        </w:rPr>
        <w:t>a</w:t>
      </w:r>
      <w:r>
        <w:rPr>
          <w:rFonts w:ascii="Times New Roman" w:hAnsi="Times New Roman"/>
          <w:sz w:val="24"/>
          <w:szCs w:val="24"/>
        </w:rPr>
        <w:t xml:space="preserve"> </w:t>
      </w:r>
      <w:r w:rsidRPr="00DA74F4">
        <w:rPr>
          <w:rFonts w:ascii="Times New Roman" w:hAnsi="Times New Roman"/>
          <w:sz w:val="24"/>
          <w:szCs w:val="24"/>
        </w:rPr>
        <w:t>gun,</w:t>
      </w:r>
      <w:r>
        <w:rPr>
          <w:rFonts w:ascii="Times New Roman" w:hAnsi="Times New Roman"/>
          <w:sz w:val="24"/>
          <w:szCs w:val="24"/>
        </w:rPr>
        <w:t xml:space="preserve"> </w:t>
      </w:r>
      <w:r w:rsidRPr="00DA74F4">
        <w:rPr>
          <w:rFonts w:ascii="Times New Roman" w:hAnsi="Times New Roman"/>
          <w:sz w:val="24"/>
          <w:szCs w:val="24"/>
        </w:rPr>
        <w:t>other</w:t>
      </w:r>
      <w:r>
        <w:rPr>
          <w:rFonts w:ascii="Times New Roman" w:hAnsi="Times New Roman"/>
          <w:sz w:val="24"/>
          <w:szCs w:val="24"/>
        </w:rPr>
        <w:t xml:space="preserve"> </w:t>
      </w:r>
      <w:r w:rsidRPr="00DA74F4">
        <w:rPr>
          <w:rFonts w:ascii="Times New Roman" w:hAnsi="Times New Roman"/>
          <w:sz w:val="24"/>
          <w:szCs w:val="24"/>
        </w:rPr>
        <w:t>officers</w:t>
      </w:r>
      <w:r>
        <w:rPr>
          <w:rFonts w:ascii="Times New Roman" w:hAnsi="Times New Roman"/>
          <w:sz w:val="24"/>
          <w:szCs w:val="24"/>
        </w:rPr>
        <w:t xml:space="preserve"> </w:t>
      </w:r>
      <w:r w:rsidRPr="00DA74F4">
        <w:rPr>
          <w:rFonts w:ascii="Times New Roman" w:hAnsi="Times New Roman"/>
          <w:sz w:val="24"/>
          <w:szCs w:val="24"/>
        </w:rPr>
        <w:t>handcuffed</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victim</w:t>
      </w:r>
      <w:r>
        <w:rPr>
          <w:rFonts w:ascii="Times New Roman" w:hAnsi="Times New Roman"/>
          <w:sz w:val="24"/>
          <w:szCs w:val="24"/>
        </w:rPr>
        <w:t xml:space="preserve"> </w:t>
      </w:r>
      <w:r w:rsidRPr="00DA74F4">
        <w:rPr>
          <w:rFonts w:ascii="Times New Roman" w:hAnsi="Times New Roman"/>
          <w:sz w:val="24"/>
          <w:szCs w:val="24"/>
        </w:rPr>
        <w:t>before</w:t>
      </w:r>
      <w:r>
        <w:rPr>
          <w:rFonts w:ascii="Times New Roman" w:hAnsi="Times New Roman"/>
          <w:sz w:val="24"/>
          <w:szCs w:val="24"/>
        </w:rPr>
        <w:t xml:space="preserve"> </w:t>
      </w:r>
      <w:r w:rsidRPr="00DA74F4">
        <w:rPr>
          <w:rFonts w:ascii="Times New Roman" w:hAnsi="Times New Roman"/>
          <w:sz w:val="24"/>
          <w:szCs w:val="24"/>
        </w:rPr>
        <w:t>medical</w:t>
      </w:r>
      <w:r>
        <w:rPr>
          <w:rFonts w:ascii="Times New Roman" w:hAnsi="Times New Roman"/>
          <w:sz w:val="24"/>
          <w:szCs w:val="24"/>
        </w:rPr>
        <w:t xml:space="preserve"> </w:t>
      </w:r>
      <w:r w:rsidRPr="00DA74F4">
        <w:rPr>
          <w:rFonts w:ascii="Times New Roman" w:hAnsi="Times New Roman"/>
          <w:sz w:val="24"/>
          <w:szCs w:val="24"/>
        </w:rPr>
        <w:t>help</w:t>
      </w:r>
      <w:r>
        <w:rPr>
          <w:rFonts w:ascii="Times New Roman" w:hAnsi="Times New Roman"/>
          <w:sz w:val="24"/>
          <w:szCs w:val="24"/>
        </w:rPr>
        <w:t xml:space="preserve"> </w:t>
      </w:r>
      <w:r w:rsidRPr="00DA74F4">
        <w:rPr>
          <w:rFonts w:ascii="Times New Roman" w:hAnsi="Times New Roman"/>
          <w:sz w:val="24"/>
          <w:szCs w:val="24"/>
        </w:rPr>
        <w:t>arrived.</w:t>
      </w:r>
      <w:r>
        <w:rPr>
          <w:rFonts w:ascii="Times New Roman" w:hAnsi="Times New Roman"/>
          <w:sz w:val="24"/>
          <w:szCs w:val="24"/>
        </w:rPr>
        <w:t xml:space="preserve"> </w:t>
      </w:r>
      <w:r w:rsidRPr="00DA74F4">
        <w:rPr>
          <w:rFonts w:ascii="Times New Roman" w:hAnsi="Times New Roman"/>
          <w:sz w:val="24"/>
          <w:szCs w:val="24"/>
        </w:rPr>
        <w:t>Id.</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officers</w:t>
      </w:r>
      <w:r>
        <w:rPr>
          <w:rFonts w:ascii="Times New Roman" w:hAnsi="Times New Roman"/>
          <w:sz w:val="24"/>
          <w:szCs w:val="24"/>
        </w:rPr>
        <w:t xml:space="preserve"> </w:t>
      </w:r>
      <w:r w:rsidRPr="00DA74F4">
        <w:rPr>
          <w:rFonts w:ascii="Times New Roman" w:hAnsi="Times New Roman"/>
          <w:sz w:val="24"/>
          <w:szCs w:val="24"/>
        </w:rPr>
        <w:t>did</w:t>
      </w:r>
      <w:r>
        <w:rPr>
          <w:rFonts w:ascii="Times New Roman" w:hAnsi="Times New Roman"/>
          <w:sz w:val="24"/>
          <w:szCs w:val="24"/>
        </w:rPr>
        <w:t xml:space="preserve"> </w:t>
      </w:r>
      <w:r w:rsidRPr="00DA74F4">
        <w:rPr>
          <w:rFonts w:ascii="Times New Roman" w:hAnsi="Times New Roman"/>
          <w:sz w:val="24"/>
          <w:szCs w:val="24"/>
        </w:rPr>
        <w:t>not</w:t>
      </w:r>
      <w:r>
        <w:rPr>
          <w:rFonts w:ascii="Times New Roman" w:hAnsi="Times New Roman"/>
          <w:sz w:val="24"/>
          <w:szCs w:val="24"/>
        </w:rPr>
        <w:t xml:space="preserve"> </w:t>
      </w:r>
      <w:r w:rsidRPr="00DA74F4">
        <w:rPr>
          <w:rFonts w:ascii="Times New Roman" w:hAnsi="Times New Roman"/>
          <w:sz w:val="24"/>
          <w:szCs w:val="24"/>
        </w:rPr>
        <w:t>provide</w:t>
      </w:r>
      <w:r>
        <w:rPr>
          <w:rFonts w:ascii="Times New Roman" w:hAnsi="Times New Roman"/>
          <w:sz w:val="24"/>
          <w:szCs w:val="24"/>
        </w:rPr>
        <w:t xml:space="preserve"> </w:t>
      </w:r>
      <w:r w:rsidRPr="00DA74F4">
        <w:rPr>
          <w:rFonts w:ascii="Times New Roman" w:hAnsi="Times New Roman"/>
          <w:sz w:val="24"/>
          <w:szCs w:val="24"/>
        </w:rPr>
        <w:t>medical</w:t>
      </w:r>
      <w:r>
        <w:rPr>
          <w:rFonts w:ascii="Times New Roman" w:hAnsi="Times New Roman"/>
          <w:sz w:val="24"/>
          <w:szCs w:val="24"/>
        </w:rPr>
        <w:t xml:space="preserve"> </w:t>
      </w:r>
      <w:r w:rsidRPr="00DA74F4">
        <w:rPr>
          <w:rFonts w:ascii="Times New Roman" w:hAnsi="Times New Roman"/>
          <w:sz w:val="24"/>
          <w:szCs w:val="24"/>
        </w:rPr>
        <w:t>care</w:t>
      </w:r>
      <w:r>
        <w:rPr>
          <w:rFonts w:ascii="Times New Roman" w:hAnsi="Times New Roman"/>
          <w:sz w:val="24"/>
          <w:szCs w:val="24"/>
        </w:rPr>
        <w:t xml:space="preserve"> </w:t>
      </w:r>
      <w:r w:rsidRPr="00DA74F4">
        <w:rPr>
          <w:rFonts w:ascii="Times New Roman" w:hAnsi="Times New Roman"/>
          <w:sz w:val="24"/>
          <w:szCs w:val="24"/>
        </w:rPr>
        <w:t>or</w:t>
      </w:r>
      <w:r>
        <w:rPr>
          <w:rFonts w:ascii="Times New Roman" w:hAnsi="Times New Roman"/>
          <w:sz w:val="24"/>
          <w:szCs w:val="24"/>
        </w:rPr>
        <w:t xml:space="preserve"> </w:t>
      </w:r>
      <w:r w:rsidRPr="00DA74F4">
        <w:rPr>
          <w:rFonts w:ascii="Times New Roman" w:hAnsi="Times New Roman"/>
          <w:sz w:val="24"/>
          <w:szCs w:val="24"/>
        </w:rPr>
        <w:t>first</w:t>
      </w:r>
      <w:r>
        <w:rPr>
          <w:rFonts w:ascii="Times New Roman" w:hAnsi="Times New Roman"/>
          <w:sz w:val="24"/>
          <w:szCs w:val="24"/>
        </w:rPr>
        <w:t xml:space="preserve"> </w:t>
      </w:r>
      <w:r w:rsidRPr="00DA74F4">
        <w:rPr>
          <w:rFonts w:ascii="Times New Roman" w:hAnsi="Times New Roman"/>
          <w:sz w:val="24"/>
          <w:szCs w:val="24"/>
        </w:rPr>
        <w:t>aid</w:t>
      </w:r>
      <w:r>
        <w:rPr>
          <w:rFonts w:ascii="Times New Roman" w:hAnsi="Times New Roman"/>
          <w:sz w:val="24"/>
          <w:szCs w:val="24"/>
        </w:rPr>
        <w:t xml:space="preserve"> </w:t>
      </w:r>
      <w:r w:rsidRPr="00DA74F4">
        <w:rPr>
          <w:rFonts w:ascii="Times New Roman" w:hAnsi="Times New Roman"/>
          <w:sz w:val="24"/>
          <w:szCs w:val="24"/>
        </w:rPr>
        <w:t>before</w:t>
      </w:r>
      <w:r>
        <w:rPr>
          <w:rFonts w:ascii="Times New Roman" w:hAnsi="Times New Roman"/>
          <w:sz w:val="24"/>
          <w:szCs w:val="24"/>
        </w:rPr>
        <w:t xml:space="preserve"> </w:t>
      </w:r>
      <w:r w:rsidRPr="00DA74F4">
        <w:rPr>
          <w:rFonts w:ascii="Times New Roman" w:hAnsi="Times New Roman"/>
          <w:sz w:val="24"/>
          <w:szCs w:val="24"/>
        </w:rPr>
        <w:t>EMS</w:t>
      </w:r>
      <w:r>
        <w:rPr>
          <w:rFonts w:ascii="Times New Roman" w:hAnsi="Times New Roman"/>
          <w:sz w:val="24"/>
          <w:szCs w:val="24"/>
        </w:rPr>
        <w:t xml:space="preserve"> </w:t>
      </w:r>
      <w:r w:rsidRPr="00DA74F4">
        <w:rPr>
          <w:rFonts w:ascii="Times New Roman" w:hAnsi="Times New Roman"/>
          <w:sz w:val="24"/>
          <w:szCs w:val="24"/>
        </w:rPr>
        <w:t>arrived.</w:t>
      </w:r>
      <w:r>
        <w:rPr>
          <w:rFonts w:ascii="Times New Roman" w:hAnsi="Times New Roman"/>
          <w:sz w:val="24"/>
          <w:szCs w:val="24"/>
        </w:rPr>
        <w:t xml:space="preserve"> </w:t>
      </w:r>
      <w:r w:rsidRPr="00DA74F4">
        <w:rPr>
          <w:rFonts w:ascii="Times New Roman" w:hAnsi="Times New Roman"/>
          <w:sz w:val="24"/>
          <w:szCs w:val="24"/>
        </w:rPr>
        <w:t>Id.</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victim’s</w:t>
      </w:r>
      <w:r>
        <w:rPr>
          <w:rFonts w:ascii="Times New Roman" w:hAnsi="Times New Roman"/>
          <w:sz w:val="24"/>
          <w:szCs w:val="24"/>
        </w:rPr>
        <w:t xml:space="preserve"> </w:t>
      </w:r>
      <w:r w:rsidRPr="00DA74F4">
        <w:rPr>
          <w:rFonts w:ascii="Times New Roman" w:hAnsi="Times New Roman"/>
          <w:sz w:val="24"/>
          <w:szCs w:val="24"/>
        </w:rPr>
        <w:t>estate</w:t>
      </w:r>
      <w:r>
        <w:rPr>
          <w:rFonts w:ascii="Times New Roman" w:hAnsi="Times New Roman"/>
          <w:sz w:val="24"/>
          <w:szCs w:val="24"/>
        </w:rPr>
        <w:t xml:space="preserve"> </w:t>
      </w:r>
      <w:r w:rsidRPr="00DA74F4">
        <w:rPr>
          <w:rFonts w:ascii="Times New Roman" w:hAnsi="Times New Roman"/>
          <w:sz w:val="24"/>
          <w:szCs w:val="24"/>
        </w:rPr>
        <w:t>alleged</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officers</w:t>
      </w:r>
      <w:r>
        <w:rPr>
          <w:rFonts w:ascii="Times New Roman" w:hAnsi="Times New Roman"/>
          <w:sz w:val="24"/>
          <w:szCs w:val="24"/>
        </w:rPr>
        <w:t xml:space="preserve"> </w:t>
      </w:r>
      <w:r w:rsidRPr="00DA74F4">
        <w:rPr>
          <w:rFonts w:ascii="Times New Roman" w:hAnsi="Times New Roman"/>
          <w:sz w:val="24"/>
          <w:szCs w:val="24"/>
        </w:rPr>
        <w:t>interfered</w:t>
      </w:r>
      <w:r>
        <w:rPr>
          <w:rFonts w:ascii="Times New Roman" w:hAnsi="Times New Roman"/>
          <w:sz w:val="24"/>
          <w:szCs w:val="24"/>
        </w:rPr>
        <w:t xml:space="preserve"> </w:t>
      </w:r>
      <w:r w:rsidRPr="00DA74F4">
        <w:rPr>
          <w:rFonts w:ascii="Times New Roman" w:hAnsi="Times New Roman"/>
          <w:sz w:val="24"/>
          <w:szCs w:val="24"/>
        </w:rPr>
        <w:t>with</w:t>
      </w:r>
      <w:r>
        <w:rPr>
          <w:rFonts w:ascii="Times New Roman" w:hAnsi="Times New Roman"/>
          <w:sz w:val="24"/>
          <w:szCs w:val="24"/>
        </w:rPr>
        <w:t xml:space="preserve"> </w:t>
      </w:r>
      <w:r w:rsidRPr="00DA74F4">
        <w:rPr>
          <w:rFonts w:ascii="Times New Roman" w:hAnsi="Times New Roman"/>
          <w:sz w:val="24"/>
          <w:szCs w:val="24"/>
        </w:rPr>
        <w:t>EMS</w:t>
      </w:r>
      <w:r>
        <w:rPr>
          <w:rFonts w:ascii="Times New Roman" w:hAnsi="Times New Roman"/>
          <w:sz w:val="24"/>
          <w:szCs w:val="24"/>
        </w:rPr>
        <w:t xml:space="preserve"> </w:t>
      </w:r>
      <w:r w:rsidRPr="00DA74F4">
        <w:rPr>
          <w:rFonts w:ascii="Times New Roman" w:hAnsi="Times New Roman"/>
          <w:sz w:val="24"/>
          <w:szCs w:val="24"/>
        </w:rPr>
        <w:t>by</w:t>
      </w:r>
      <w:r>
        <w:rPr>
          <w:rFonts w:ascii="Times New Roman" w:hAnsi="Times New Roman"/>
          <w:sz w:val="24"/>
          <w:szCs w:val="24"/>
        </w:rPr>
        <w:t xml:space="preserve"> </w:t>
      </w:r>
      <w:r w:rsidRPr="00DA74F4">
        <w:rPr>
          <w:rFonts w:ascii="Times New Roman" w:hAnsi="Times New Roman"/>
          <w:sz w:val="24"/>
          <w:szCs w:val="24"/>
        </w:rPr>
        <w:t>refusing</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remove</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handcuffs</w:t>
      </w:r>
      <w:r>
        <w:rPr>
          <w:rFonts w:ascii="Times New Roman" w:hAnsi="Times New Roman"/>
          <w:sz w:val="24"/>
          <w:szCs w:val="24"/>
        </w:rPr>
        <w:t xml:space="preserve"> </w:t>
      </w:r>
      <w:r w:rsidRPr="00DA74F4">
        <w:rPr>
          <w:rFonts w:ascii="Times New Roman" w:hAnsi="Times New Roman"/>
          <w:sz w:val="24"/>
          <w:szCs w:val="24"/>
        </w:rPr>
        <w:t>upon</w:t>
      </w:r>
      <w:r>
        <w:rPr>
          <w:rFonts w:ascii="Times New Roman" w:hAnsi="Times New Roman"/>
          <w:sz w:val="24"/>
          <w:szCs w:val="24"/>
        </w:rPr>
        <w:t xml:space="preserve"> </w:t>
      </w:r>
      <w:proofErr w:type="spellStart"/>
      <w:r w:rsidRPr="00DA74F4">
        <w:rPr>
          <w:rFonts w:ascii="Times New Roman" w:hAnsi="Times New Roman"/>
          <w:sz w:val="24"/>
          <w:szCs w:val="24"/>
        </w:rPr>
        <w:t>request.Id</w:t>
      </w:r>
      <w:proofErr w:type="spellEnd"/>
      <w:r w:rsidRPr="00DA74F4">
        <w:rPr>
          <w:rFonts w:ascii="Times New Roman" w:hAnsi="Times New Roman"/>
          <w:sz w:val="24"/>
          <w:szCs w:val="24"/>
        </w:rPr>
        <w:t>.</w:t>
      </w:r>
      <w:r>
        <w:rPr>
          <w:rFonts w:ascii="Times New Roman" w:hAnsi="Times New Roman"/>
          <w:sz w:val="24"/>
          <w:szCs w:val="24"/>
        </w:rPr>
        <w:t xml:space="preserve"> </w:t>
      </w:r>
      <w:r w:rsidRPr="00DA74F4">
        <w:rPr>
          <w:rFonts w:ascii="Times New Roman" w:hAnsi="Times New Roman"/>
          <w:sz w:val="24"/>
          <w:szCs w:val="24"/>
        </w:rPr>
        <w:t>This</w:t>
      </w:r>
      <w:r>
        <w:rPr>
          <w:rFonts w:ascii="Times New Roman" w:hAnsi="Times New Roman"/>
          <w:sz w:val="24"/>
          <w:szCs w:val="24"/>
        </w:rPr>
        <w:t xml:space="preserve"> </w:t>
      </w:r>
      <w:r w:rsidRPr="00DA74F4">
        <w:rPr>
          <w:rFonts w:ascii="Times New Roman" w:hAnsi="Times New Roman"/>
          <w:sz w:val="24"/>
          <w:szCs w:val="24"/>
        </w:rPr>
        <w:t>court,</w:t>
      </w:r>
      <w:r>
        <w:rPr>
          <w:rFonts w:ascii="Times New Roman" w:hAnsi="Times New Roman"/>
          <w:sz w:val="24"/>
          <w:szCs w:val="24"/>
        </w:rPr>
        <w:t xml:space="preserve"> </w:t>
      </w:r>
      <w:r w:rsidRPr="00DA74F4">
        <w:rPr>
          <w:rFonts w:ascii="Times New Roman" w:hAnsi="Times New Roman"/>
          <w:sz w:val="24"/>
          <w:szCs w:val="24"/>
        </w:rPr>
        <w:t>applying</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Fourteenth</w:t>
      </w:r>
      <w:r>
        <w:rPr>
          <w:rFonts w:ascii="Times New Roman" w:hAnsi="Times New Roman"/>
          <w:sz w:val="24"/>
          <w:szCs w:val="24"/>
        </w:rPr>
        <w:t xml:space="preserve"> </w:t>
      </w:r>
      <w:r w:rsidRPr="00DA74F4">
        <w:rPr>
          <w:rFonts w:ascii="Times New Roman" w:hAnsi="Times New Roman"/>
          <w:sz w:val="24"/>
          <w:szCs w:val="24"/>
        </w:rPr>
        <w:t>Amendment</w:t>
      </w:r>
      <w:r>
        <w:rPr>
          <w:rFonts w:ascii="Times New Roman" w:hAnsi="Times New Roman"/>
          <w:sz w:val="24"/>
          <w:szCs w:val="24"/>
        </w:rPr>
        <w:t xml:space="preserve"> </w:t>
      </w:r>
      <w:r w:rsidRPr="00DA74F4">
        <w:rPr>
          <w:rFonts w:ascii="Times New Roman" w:hAnsi="Times New Roman"/>
          <w:sz w:val="24"/>
          <w:szCs w:val="24"/>
        </w:rPr>
        <w:t>deliberate</w:t>
      </w:r>
      <w:r>
        <w:rPr>
          <w:rFonts w:ascii="Times New Roman" w:hAnsi="Times New Roman"/>
          <w:sz w:val="24"/>
          <w:szCs w:val="24"/>
        </w:rPr>
        <w:t xml:space="preserve"> </w:t>
      </w:r>
      <w:r w:rsidRPr="00DA74F4">
        <w:rPr>
          <w:rFonts w:ascii="Times New Roman" w:hAnsi="Times New Roman"/>
          <w:sz w:val="24"/>
          <w:szCs w:val="24"/>
        </w:rPr>
        <w:t>indifference</w:t>
      </w:r>
      <w:r>
        <w:rPr>
          <w:rFonts w:ascii="Times New Roman" w:hAnsi="Times New Roman"/>
          <w:sz w:val="24"/>
          <w:szCs w:val="24"/>
        </w:rPr>
        <w:t xml:space="preserve"> </w:t>
      </w:r>
      <w:r w:rsidRPr="00DA74F4">
        <w:rPr>
          <w:rFonts w:ascii="Times New Roman" w:hAnsi="Times New Roman"/>
          <w:sz w:val="24"/>
          <w:szCs w:val="24"/>
        </w:rPr>
        <w:t>standard,</w:t>
      </w:r>
      <w:r>
        <w:rPr>
          <w:rFonts w:ascii="Times New Roman" w:hAnsi="Times New Roman"/>
          <w:sz w:val="24"/>
          <w:szCs w:val="24"/>
        </w:rPr>
        <w:t xml:space="preserve"> </w:t>
      </w:r>
      <w:r w:rsidRPr="00DA74F4">
        <w:rPr>
          <w:rFonts w:ascii="Times New Roman" w:hAnsi="Times New Roman"/>
          <w:sz w:val="24"/>
          <w:szCs w:val="24"/>
        </w:rPr>
        <w:t>held</w:t>
      </w:r>
      <w:r>
        <w:rPr>
          <w:rFonts w:ascii="Times New Roman" w:hAnsi="Times New Roman"/>
          <w:sz w:val="24"/>
          <w:szCs w:val="24"/>
        </w:rPr>
        <w:t xml:space="preserve"> </w:t>
      </w:r>
      <w:r w:rsidRPr="00DA74F4">
        <w:rPr>
          <w:rFonts w:ascii="Times New Roman" w:hAnsi="Times New Roman"/>
          <w:sz w:val="24"/>
          <w:szCs w:val="24"/>
        </w:rPr>
        <w:t>that</w:t>
      </w:r>
      <w:r>
        <w:rPr>
          <w:rFonts w:ascii="Times New Roman" w:hAnsi="Times New Roman"/>
          <w:sz w:val="24"/>
          <w:szCs w:val="24"/>
        </w:rPr>
        <w:t xml:space="preserve"> </w:t>
      </w:r>
      <w:r w:rsidRPr="00DA74F4">
        <w:rPr>
          <w:rFonts w:ascii="Times New Roman" w:hAnsi="Times New Roman"/>
          <w:sz w:val="24"/>
          <w:szCs w:val="24"/>
        </w:rPr>
        <w:t>neither</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handcuffing</w:t>
      </w:r>
      <w:r>
        <w:rPr>
          <w:rFonts w:ascii="Times New Roman" w:hAnsi="Times New Roman"/>
          <w:sz w:val="24"/>
          <w:szCs w:val="24"/>
        </w:rPr>
        <w:t xml:space="preserve"> </w:t>
      </w:r>
      <w:r w:rsidRPr="00DA74F4">
        <w:rPr>
          <w:rFonts w:ascii="Times New Roman" w:hAnsi="Times New Roman"/>
          <w:sz w:val="24"/>
          <w:szCs w:val="24"/>
        </w:rPr>
        <w:t>nor</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refusal</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remove</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handcuffs</w:t>
      </w:r>
      <w:r>
        <w:rPr>
          <w:rFonts w:ascii="Times New Roman" w:hAnsi="Times New Roman"/>
          <w:sz w:val="24"/>
          <w:szCs w:val="24"/>
        </w:rPr>
        <w:t xml:space="preserve"> </w:t>
      </w:r>
      <w:r w:rsidRPr="00DA74F4">
        <w:rPr>
          <w:rFonts w:ascii="Times New Roman" w:hAnsi="Times New Roman"/>
          <w:sz w:val="24"/>
          <w:szCs w:val="24"/>
        </w:rPr>
        <w:t>amounted</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a</w:t>
      </w:r>
      <w:r>
        <w:rPr>
          <w:rFonts w:ascii="Times New Roman" w:hAnsi="Times New Roman"/>
          <w:sz w:val="24"/>
          <w:szCs w:val="24"/>
        </w:rPr>
        <w:t xml:space="preserve"> </w:t>
      </w:r>
      <w:r w:rsidRPr="00DA74F4">
        <w:rPr>
          <w:rFonts w:ascii="Times New Roman" w:hAnsi="Times New Roman"/>
          <w:sz w:val="24"/>
          <w:szCs w:val="24"/>
        </w:rPr>
        <w:t>constitutional</w:t>
      </w:r>
      <w:r>
        <w:rPr>
          <w:rFonts w:ascii="Times New Roman" w:hAnsi="Times New Roman"/>
          <w:sz w:val="24"/>
          <w:szCs w:val="24"/>
        </w:rPr>
        <w:t xml:space="preserve"> </w:t>
      </w:r>
      <w:r w:rsidRPr="00DA74F4">
        <w:rPr>
          <w:rFonts w:ascii="Times New Roman" w:hAnsi="Times New Roman"/>
          <w:sz w:val="24"/>
          <w:szCs w:val="24"/>
        </w:rPr>
        <w:t>violation.</w:t>
      </w:r>
      <w:r>
        <w:rPr>
          <w:rFonts w:ascii="Times New Roman" w:hAnsi="Times New Roman"/>
          <w:sz w:val="24"/>
          <w:szCs w:val="24"/>
        </w:rPr>
        <w:t xml:space="preserve"> </w:t>
      </w:r>
      <w:r w:rsidRPr="00DA74F4">
        <w:rPr>
          <w:rFonts w:ascii="Times New Roman" w:hAnsi="Times New Roman"/>
          <w:sz w:val="24"/>
          <w:szCs w:val="24"/>
        </w:rPr>
        <w:t>Id.</w:t>
      </w:r>
      <w:r>
        <w:rPr>
          <w:rFonts w:ascii="Times New Roman" w:hAnsi="Times New Roman"/>
          <w:sz w:val="24"/>
          <w:szCs w:val="24"/>
        </w:rPr>
        <w:t xml:space="preserve"> </w:t>
      </w:r>
      <w:r w:rsidRPr="00DA74F4">
        <w:rPr>
          <w:rFonts w:ascii="Times New Roman" w:hAnsi="Times New Roman"/>
          <w:sz w:val="24"/>
          <w:szCs w:val="24"/>
        </w:rPr>
        <w:t>Further,</w:t>
      </w:r>
      <w:r>
        <w:rPr>
          <w:rFonts w:ascii="Times New Roman" w:hAnsi="Times New Roman"/>
          <w:sz w:val="24"/>
          <w:szCs w:val="24"/>
        </w:rPr>
        <w:t xml:space="preserve"> </w:t>
      </w:r>
      <w:r w:rsidRPr="00DA74F4">
        <w:rPr>
          <w:rFonts w:ascii="Times New Roman" w:hAnsi="Times New Roman"/>
          <w:sz w:val="24"/>
          <w:szCs w:val="24"/>
        </w:rPr>
        <w:t>Wilson</w:t>
      </w:r>
      <w:r>
        <w:rPr>
          <w:rFonts w:ascii="Times New Roman" w:hAnsi="Times New Roman"/>
          <w:sz w:val="24"/>
          <w:szCs w:val="24"/>
        </w:rPr>
        <w:t xml:space="preserve"> </w:t>
      </w:r>
      <w:r w:rsidRPr="00DA74F4">
        <w:rPr>
          <w:rFonts w:ascii="Times New Roman" w:hAnsi="Times New Roman"/>
          <w:sz w:val="24"/>
          <w:szCs w:val="24"/>
        </w:rPr>
        <w:t>refused</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hold</w:t>
      </w:r>
      <w:r>
        <w:rPr>
          <w:rFonts w:ascii="Times New Roman" w:hAnsi="Times New Roman"/>
          <w:sz w:val="24"/>
          <w:szCs w:val="24"/>
        </w:rPr>
        <w:t xml:space="preserve"> </w:t>
      </w:r>
      <w:r w:rsidRPr="00DA74F4">
        <w:rPr>
          <w:rFonts w:ascii="Times New Roman" w:hAnsi="Times New Roman"/>
          <w:sz w:val="24"/>
          <w:szCs w:val="24"/>
        </w:rPr>
        <w:t>that</w:t>
      </w:r>
      <w:r>
        <w:rPr>
          <w:rFonts w:ascii="Times New Roman" w:hAnsi="Times New Roman"/>
          <w:sz w:val="24"/>
          <w:szCs w:val="24"/>
        </w:rPr>
        <w:t xml:space="preserve"> </w:t>
      </w:r>
      <w:r w:rsidRPr="00DA74F4">
        <w:rPr>
          <w:rFonts w:ascii="Times New Roman" w:hAnsi="Times New Roman"/>
          <w:sz w:val="24"/>
          <w:szCs w:val="24"/>
        </w:rPr>
        <w:t>the</w:t>
      </w:r>
      <w:r>
        <w:rPr>
          <w:rFonts w:ascii="Times New Roman" w:hAnsi="Times New Roman"/>
          <w:sz w:val="24"/>
          <w:szCs w:val="24"/>
        </w:rPr>
        <w:t xml:space="preserve"> </w:t>
      </w:r>
      <w:r w:rsidRPr="00DA74F4">
        <w:rPr>
          <w:rFonts w:ascii="Times New Roman" w:hAnsi="Times New Roman"/>
          <w:sz w:val="24"/>
          <w:szCs w:val="24"/>
        </w:rPr>
        <w:t>Due</w:t>
      </w:r>
      <w:r>
        <w:rPr>
          <w:rFonts w:ascii="Times New Roman" w:hAnsi="Times New Roman"/>
          <w:sz w:val="24"/>
          <w:szCs w:val="24"/>
        </w:rPr>
        <w:t xml:space="preserve"> </w:t>
      </w:r>
      <w:r w:rsidRPr="00DA74F4">
        <w:rPr>
          <w:rFonts w:ascii="Times New Roman" w:hAnsi="Times New Roman"/>
          <w:sz w:val="24"/>
          <w:szCs w:val="24"/>
        </w:rPr>
        <w:t>Process</w:t>
      </w:r>
      <w:r>
        <w:rPr>
          <w:rFonts w:ascii="Times New Roman" w:hAnsi="Times New Roman"/>
          <w:sz w:val="24"/>
          <w:szCs w:val="24"/>
        </w:rPr>
        <w:t xml:space="preserve"> </w:t>
      </w:r>
      <w:r w:rsidRPr="00DA74F4">
        <w:rPr>
          <w:rFonts w:ascii="Times New Roman" w:hAnsi="Times New Roman"/>
          <w:sz w:val="24"/>
          <w:szCs w:val="24"/>
        </w:rPr>
        <w:t>Clause</w:t>
      </w:r>
      <w:r>
        <w:rPr>
          <w:rFonts w:ascii="Times New Roman" w:hAnsi="Times New Roman"/>
          <w:sz w:val="24"/>
          <w:szCs w:val="24"/>
        </w:rPr>
        <w:t xml:space="preserve"> </w:t>
      </w:r>
      <w:r w:rsidRPr="00DA74F4">
        <w:rPr>
          <w:rFonts w:ascii="Times New Roman" w:hAnsi="Times New Roman"/>
          <w:sz w:val="24"/>
          <w:szCs w:val="24"/>
        </w:rPr>
        <w:t>establishes</w:t>
      </w:r>
      <w:r>
        <w:rPr>
          <w:rFonts w:ascii="Times New Roman" w:hAnsi="Times New Roman"/>
          <w:sz w:val="24"/>
          <w:szCs w:val="24"/>
        </w:rPr>
        <w:t xml:space="preserve"> </w:t>
      </w:r>
      <w:r w:rsidRPr="00DA74F4">
        <w:rPr>
          <w:rFonts w:ascii="Times New Roman" w:hAnsi="Times New Roman"/>
          <w:sz w:val="24"/>
          <w:szCs w:val="24"/>
        </w:rPr>
        <w:t>an</w:t>
      </w:r>
      <w:r>
        <w:rPr>
          <w:rFonts w:ascii="Times New Roman" w:hAnsi="Times New Roman"/>
          <w:sz w:val="24"/>
          <w:szCs w:val="24"/>
        </w:rPr>
        <w:t xml:space="preserve"> </w:t>
      </w:r>
      <w:r w:rsidRPr="00DA74F4">
        <w:rPr>
          <w:rFonts w:ascii="Times New Roman" w:hAnsi="Times New Roman"/>
          <w:sz w:val="24"/>
          <w:szCs w:val="24"/>
        </w:rPr>
        <w:t>affirmative</w:t>
      </w:r>
      <w:r>
        <w:rPr>
          <w:rFonts w:ascii="Times New Roman" w:hAnsi="Times New Roman"/>
          <w:sz w:val="24"/>
          <w:szCs w:val="24"/>
        </w:rPr>
        <w:t xml:space="preserve"> </w:t>
      </w:r>
      <w:r w:rsidRPr="00DA74F4">
        <w:rPr>
          <w:rFonts w:ascii="Times New Roman" w:hAnsi="Times New Roman"/>
          <w:sz w:val="24"/>
          <w:szCs w:val="24"/>
        </w:rPr>
        <w:t>duty</w:t>
      </w:r>
      <w:r>
        <w:rPr>
          <w:rFonts w:ascii="Times New Roman" w:hAnsi="Times New Roman"/>
          <w:sz w:val="24"/>
          <w:szCs w:val="24"/>
        </w:rPr>
        <w:t xml:space="preserve"> </w:t>
      </w:r>
      <w:r w:rsidRPr="00DA74F4">
        <w:rPr>
          <w:rFonts w:ascii="Times New Roman" w:hAnsi="Times New Roman"/>
          <w:sz w:val="24"/>
          <w:szCs w:val="24"/>
        </w:rPr>
        <w:t>on</w:t>
      </w:r>
      <w:r>
        <w:rPr>
          <w:rFonts w:ascii="Times New Roman" w:hAnsi="Times New Roman"/>
          <w:sz w:val="24"/>
          <w:szCs w:val="24"/>
        </w:rPr>
        <w:t xml:space="preserve"> </w:t>
      </w:r>
      <w:r w:rsidRPr="00DA74F4">
        <w:rPr>
          <w:rFonts w:ascii="Times New Roman" w:hAnsi="Times New Roman"/>
          <w:sz w:val="24"/>
          <w:szCs w:val="24"/>
        </w:rPr>
        <w:t>police</w:t>
      </w:r>
      <w:r>
        <w:rPr>
          <w:rFonts w:ascii="Times New Roman" w:hAnsi="Times New Roman"/>
          <w:sz w:val="24"/>
          <w:szCs w:val="24"/>
        </w:rPr>
        <w:t xml:space="preserve"> </w:t>
      </w:r>
      <w:r w:rsidRPr="00DA74F4">
        <w:rPr>
          <w:rFonts w:ascii="Times New Roman" w:hAnsi="Times New Roman"/>
          <w:sz w:val="24"/>
          <w:szCs w:val="24"/>
        </w:rPr>
        <w:t>officers</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provide</w:t>
      </w:r>
      <w:r>
        <w:rPr>
          <w:rFonts w:ascii="Times New Roman" w:hAnsi="Times New Roman"/>
          <w:sz w:val="24"/>
          <w:szCs w:val="24"/>
        </w:rPr>
        <w:t xml:space="preserve"> </w:t>
      </w:r>
      <w:r w:rsidRPr="00DA74F4">
        <w:rPr>
          <w:rFonts w:ascii="Times New Roman" w:hAnsi="Times New Roman"/>
          <w:sz w:val="24"/>
          <w:szCs w:val="24"/>
        </w:rPr>
        <w:t>medical</w:t>
      </w:r>
      <w:r>
        <w:rPr>
          <w:rFonts w:ascii="Times New Roman" w:hAnsi="Times New Roman"/>
          <w:sz w:val="24"/>
          <w:szCs w:val="24"/>
        </w:rPr>
        <w:t xml:space="preserve"> </w:t>
      </w:r>
      <w:r w:rsidRPr="00DA74F4">
        <w:rPr>
          <w:rFonts w:ascii="Times New Roman" w:hAnsi="Times New Roman"/>
          <w:sz w:val="24"/>
          <w:szCs w:val="24"/>
        </w:rPr>
        <w:t>care</w:t>
      </w:r>
      <w:r>
        <w:rPr>
          <w:rFonts w:ascii="Times New Roman" w:hAnsi="Times New Roman"/>
          <w:sz w:val="24"/>
          <w:szCs w:val="24"/>
        </w:rPr>
        <w:t xml:space="preserve"> </w:t>
      </w:r>
      <w:r w:rsidRPr="00DA74F4">
        <w:rPr>
          <w:rFonts w:ascii="Times New Roman" w:hAnsi="Times New Roman"/>
          <w:sz w:val="24"/>
          <w:szCs w:val="24"/>
        </w:rPr>
        <w:t>(even</w:t>
      </w:r>
      <w:r>
        <w:rPr>
          <w:rFonts w:ascii="Times New Roman" w:hAnsi="Times New Roman"/>
          <w:sz w:val="24"/>
          <w:szCs w:val="24"/>
        </w:rPr>
        <w:t xml:space="preserve"> </w:t>
      </w:r>
      <w:r w:rsidRPr="00DA74F4">
        <w:rPr>
          <w:rFonts w:ascii="Times New Roman" w:hAnsi="Times New Roman"/>
          <w:sz w:val="24"/>
          <w:szCs w:val="24"/>
        </w:rPr>
        <w:t>something</w:t>
      </w:r>
      <w:r>
        <w:rPr>
          <w:rFonts w:ascii="Times New Roman" w:hAnsi="Times New Roman"/>
          <w:sz w:val="24"/>
          <w:szCs w:val="24"/>
        </w:rPr>
        <w:t xml:space="preserve"> </w:t>
      </w:r>
      <w:r w:rsidRPr="00DA74F4">
        <w:rPr>
          <w:rFonts w:ascii="Times New Roman" w:hAnsi="Times New Roman"/>
          <w:sz w:val="24"/>
          <w:szCs w:val="24"/>
        </w:rPr>
        <w:t>as</w:t>
      </w:r>
      <w:r>
        <w:rPr>
          <w:rFonts w:ascii="Times New Roman" w:hAnsi="Times New Roman"/>
          <w:sz w:val="24"/>
          <w:szCs w:val="24"/>
        </w:rPr>
        <w:t xml:space="preserve"> </w:t>
      </w:r>
      <w:r w:rsidRPr="00DA74F4">
        <w:rPr>
          <w:rFonts w:ascii="Times New Roman" w:hAnsi="Times New Roman"/>
          <w:sz w:val="24"/>
          <w:szCs w:val="24"/>
        </w:rPr>
        <w:t>basic</w:t>
      </w:r>
      <w:r>
        <w:rPr>
          <w:rFonts w:ascii="Times New Roman" w:hAnsi="Times New Roman"/>
          <w:sz w:val="24"/>
          <w:szCs w:val="24"/>
        </w:rPr>
        <w:t xml:space="preserve"> </w:t>
      </w:r>
      <w:r w:rsidRPr="00DA74F4">
        <w:rPr>
          <w:rFonts w:ascii="Times New Roman" w:hAnsi="Times New Roman"/>
          <w:sz w:val="24"/>
          <w:szCs w:val="24"/>
        </w:rPr>
        <w:t>as</w:t>
      </w:r>
      <w:r>
        <w:rPr>
          <w:rFonts w:ascii="Times New Roman" w:hAnsi="Times New Roman"/>
          <w:sz w:val="24"/>
          <w:szCs w:val="24"/>
        </w:rPr>
        <w:t xml:space="preserve"> </w:t>
      </w:r>
      <w:r w:rsidRPr="00DA74F4">
        <w:rPr>
          <w:rFonts w:ascii="Times New Roman" w:hAnsi="Times New Roman"/>
          <w:sz w:val="24"/>
          <w:szCs w:val="24"/>
        </w:rPr>
        <w:t>CPR),</w:t>
      </w:r>
      <w:r>
        <w:rPr>
          <w:rFonts w:ascii="Times New Roman" w:hAnsi="Times New Roman"/>
          <w:sz w:val="24"/>
          <w:szCs w:val="24"/>
        </w:rPr>
        <w:t xml:space="preserve"> i</w:t>
      </w:r>
      <w:r w:rsidRPr="00DA74F4">
        <w:rPr>
          <w:rFonts w:ascii="Times New Roman" w:hAnsi="Times New Roman"/>
          <w:sz w:val="24"/>
          <w:szCs w:val="24"/>
        </w:rPr>
        <w:t>n</w:t>
      </w:r>
      <w:r>
        <w:rPr>
          <w:rFonts w:ascii="Times New Roman" w:hAnsi="Times New Roman"/>
          <w:sz w:val="24"/>
          <w:szCs w:val="24"/>
        </w:rPr>
        <w:t xml:space="preserve"> </w:t>
      </w:r>
      <w:proofErr w:type="gramStart"/>
      <w:r w:rsidRPr="00DA74F4">
        <w:rPr>
          <w:rFonts w:ascii="Times New Roman" w:hAnsi="Times New Roman"/>
          <w:sz w:val="24"/>
          <w:szCs w:val="24"/>
        </w:rPr>
        <w:t>any</w:t>
      </w:r>
      <w:r>
        <w:rPr>
          <w:rFonts w:ascii="Times New Roman" w:hAnsi="Times New Roman"/>
          <w:sz w:val="24"/>
          <w:szCs w:val="24"/>
        </w:rPr>
        <w:t xml:space="preserve"> </w:t>
      </w:r>
      <w:r w:rsidRPr="00DA74F4">
        <w:rPr>
          <w:rFonts w:ascii="Times New Roman" w:hAnsi="Times New Roman"/>
          <w:sz w:val="24"/>
          <w:szCs w:val="24"/>
        </w:rPr>
        <w:t>and</w:t>
      </w:r>
      <w:r>
        <w:rPr>
          <w:rFonts w:ascii="Times New Roman" w:hAnsi="Times New Roman"/>
          <w:sz w:val="24"/>
          <w:szCs w:val="24"/>
        </w:rPr>
        <w:t xml:space="preserve"> </w:t>
      </w:r>
      <w:r w:rsidRPr="00DA74F4">
        <w:rPr>
          <w:rFonts w:ascii="Times New Roman" w:hAnsi="Times New Roman"/>
          <w:sz w:val="24"/>
          <w:szCs w:val="24"/>
        </w:rPr>
        <w:t>all</w:t>
      </w:r>
      <w:proofErr w:type="gramEnd"/>
      <w:r>
        <w:rPr>
          <w:rFonts w:ascii="Times New Roman" w:hAnsi="Times New Roman"/>
          <w:sz w:val="24"/>
          <w:szCs w:val="24"/>
        </w:rPr>
        <w:t xml:space="preserve"> </w:t>
      </w:r>
      <w:r w:rsidRPr="00DA74F4">
        <w:rPr>
          <w:rFonts w:ascii="Times New Roman" w:hAnsi="Times New Roman"/>
          <w:sz w:val="24"/>
          <w:szCs w:val="24"/>
        </w:rPr>
        <w:t>circumstances,</w:t>
      </w:r>
      <w:r>
        <w:rPr>
          <w:rFonts w:ascii="Times New Roman" w:hAnsi="Times New Roman"/>
          <w:sz w:val="24"/>
          <w:szCs w:val="24"/>
        </w:rPr>
        <w:t xml:space="preserve"> </w:t>
      </w:r>
      <w:r w:rsidRPr="00DA74F4">
        <w:rPr>
          <w:rFonts w:ascii="Times New Roman" w:hAnsi="Times New Roman"/>
          <w:sz w:val="24"/>
          <w:szCs w:val="24"/>
        </w:rPr>
        <w:t>or</w:t>
      </w:r>
      <w:r>
        <w:rPr>
          <w:rFonts w:ascii="Times New Roman" w:hAnsi="Times New Roman"/>
          <w:sz w:val="24"/>
          <w:szCs w:val="24"/>
        </w:rPr>
        <w:t xml:space="preserve"> </w:t>
      </w:r>
      <w:r w:rsidRPr="00DA74F4">
        <w:rPr>
          <w:rFonts w:ascii="Times New Roman" w:hAnsi="Times New Roman"/>
          <w:sz w:val="24"/>
          <w:szCs w:val="24"/>
        </w:rPr>
        <w:t>to</w:t>
      </w:r>
      <w:r>
        <w:rPr>
          <w:rFonts w:ascii="Times New Roman" w:hAnsi="Times New Roman"/>
          <w:sz w:val="24"/>
          <w:szCs w:val="24"/>
        </w:rPr>
        <w:t xml:space="preserve"> </w:t>
      </w:r>
      <w:r w:rsidRPr="00DA74F4">
        <w:rPr>
          <w:rFonts w:ascii="Times New Roman" w:hAnsi="Times New Roman"/>
          <w:sz w:val="24"/>
          <w:szCs w:val="24"/>
        </w:rPr>
        <w:t>render</w:t>
      </w:r>
      <w:r>
        <w:rPr>
          <w:rFonts w:ascii="Times New Roman" w:hAnsi="Times New Roman"/>
          <w:sz w:val="24"/>
          <w:szCs w:val="24"/>
        </w:rPr>
        <w:t xml:space="preserve"> </w:t>
      </w:r>
      <w:r w:rsidRPr="00DA74F4">
        <w:rPr>
          <w:rFonts w:ascii="Times New Roman" w:hAnsi="Times New Roman"/>
          <w:sz w:val="24"/>
          <w:szCs w:val="24"/>
        </w:rPr>
        <w:t>first</w:t>
      </w:r>
      <w:r>
        <w:rPr>
          <w:rFonts w:ascii="Times New Roman" w:hAnsi="Times New Roman"/>
          <w:sz w:val="24"/>
          <w:szCs w:val="24"/>
        </w:rPr>
        <w:t xml:space="preserve"> </w:t>
      </w:r>
      <w:r w:rsidRPr="00DA74F4">
        <w:rPr>
          <w:rFonts w:ascii="Times New Roman" w:hAnsi="Times New Roman"/>
          <w:sz w:val="24"/>
          <w:szCs w:val="24"/>
        </w:rPr>
        <w:t>aid.</w:t>
      </w:r>
      <w:r>
        <w:rPr>
          <w:rFonts w:ascii="Times New Roman" w:hAnsi="Times New Roman"/>
          <w:sz w:val="24"/>
          <w:szCs w:val="24"/>
        </w:rPr>
        <w:t>”</w:t>
      </w:r>
    </w:p>
    <w:p w14:paraId="265B6BCE" w14:textId="77777777" w:rsidR="00EE0562" w:rsidRPr="0088321C" w:rsidRDefault="00EE0562" w:rsidP="00EE0562">
      <w:pPr>
        <w:pStyle w:val="NoSpacing"/>
        <w:rPr>
          <w:rFonts w:ascii="Arial Black" w:hAnsi="Arial Black"/>
          <w:sz w:val="24"/>
          <w:szCs w:val="24"/>
        </w:rPr>
      </w:pPr>
      <w:bookmarkStart w:id="499" w:name="_Hlk41152902"/>
      <w:r w:rsidRPr="0088321C">
        <w:rPr>
          <w:rFonts w:ascii="Arial Black" w:hAnsi="Arial Black"/>
          <w:sz w:val="24"/>
          <w:szCs w:val="24"/>
        </w:rPr>
        <w:t xml:space="preserve">Legal Lessons Learned: </w:t>
      </w:r>
      <w:r>
        <w:rPr>
          <w:rFonts w:ascii="Arial Black" w:hAnsi="Arial Black"/>
          <w:sz w:val="24"/>
          <w:szCs w:val="24"/>
        </w:rPr>
        <w:t xml:space="preserve">Police enjoy qualified immunity, particularly where EMS is held back while scene is secured.  EMS should document reasons for delay, and subsequent medical care provided. </w:t>
      </w:r>
    </w:p>
    <w:bookmarkEnd w:id="499"/>
    <w:p w14:paraId="6CFFCF31" w14:textId="0BA64685" w:rsidR="009F0F05" w:rsidRDefault="009F0F05" w:rsidP="00DE0F03">
      <w:pPr>
        <w:pStyle w:val="NoSpacing"/>
        <w:rPr>
          <w:rFonts w:ascii="Arial Black" w:hAnsi="Arial Black"/>
          <w:sz w:val="24"/>
          <w:szCs w:val="24"/>
        </w:rPr>
      </w:pPr>
    </w:p>
    <w:p w14:paraId="5A0E3FB1" w14:textId="77777777" w:rsidR="00E26EA8" w:rsidRDefault="00E26EA8" w:rsidP="00DE0F03">
      <w:pPr>
        <w:pStyle w:val="NoSpacing"/>
        <w:rPr>
          <w:rFonts w:ascii="Arial Black" w:hAnsi="Arial Black"/>
          <w:sz w:val="24"/>
          <w:szCs w:val="24"/>
        </w:rPr>
      </w:pPr>
    </w:p>
    <w:bookmarkEnd w:id="498"/>
    <w:p w14:paraId="200426E1" w14:textId="380443FE" w:rsidR="00EE0562" w:rsidRDefault="00EE0562" w:rsidP="00DE0F03">
      <w:pPr>
        <w:pStyle w:val="NoSpacing"/>
        <w:rPr>
          <w:rFonts w:ascii="Arial Black" w:hAnsi="Arial Black"/>
          <w:sz w:val="24"/>
          <w:szCs w:val="24"/>
        </w:rPr>
      </w:pPr>
      <w:r>
        <w:rPr>
          <w:rFonts w:ascii="Arial Black" w:hAnsi="Arial Black"/>
          <w:sz w:val="24"/>
          <w:szCs w:val="24"/>
        </w:rPr>
        <w:t>13-</w:t>
      </w:r>
      <w:r w:rsidR="009C7552">
        <w:rPr>
          <w:rFonts w:ascii="Arial Black" w:hAnsi="Arial Black"/>
          <w:sz w:val="24"/>
          <w:szCs w:val="24"/>
        </w:rPr>
        <w:t>3</w:t>
      </w:r>
      <w:r w:rsidR="00C95AF6">
        <w:rPr>
          <w:rFonts w:ascii="Arial Black" w:hAnsi="Arial Black"/>
          <w:sz w:val="24"/>
          <w:szCs w:val="24"/>
        </w:rPr>
        <w:t>1</w:t>
      </w:r>
    </w:p>
    <w:p w14:paraId="5252359C" w14:textId="77777777" w:rsidR="00EE0562" w:rsidRDefault="00EE0562" w:rsidP="00DE0F03">
      <w:pPr>
        <w:pStyle w:val="NoSpacing"/>
        <w:rPr>
          <w:rFonts w:ascii="Arial Black" w:hAnsi="Arial Black"/>
          <w:sz w:val="24"/>
          <w:szCs w:val="24"/>
        </w:rPr>
      </w:pPr>
    </w:p>
    <w:p w14:paraId="621898A8" w14:textId="77777777" w:rsidR="00EE0562" w:rsidRDefault="00EE0562" w:rsidP="00EE0562">
      <w:pPr>
        <w:rPr>
          <w:rFonts w:ascii="Arial Black" w:hAnsi="Arial Black"/>
          <w:sz w:val="28"/>
          <w:szCs w:val="28"/>
        </w:rPr>
      </w:pPr>
      <w:bookmarkStart w:id="500" w:name="_Hlk41152970"/>
      <w:bookmarkStart w:id="501" w:name="_Hlk41297079"/>
      <w:r w:rsidRPr="00576E46">
        <w:rPr>
          <w:rFonts w:ascii="Arial Black" w:hAnsi="Arial Black"/>
          <w:sz w:val="28"/>
          <w:szCs w:val="28"/>
        </w:rPr>
        <w:t xml:space="preserve">GA: </w:t>
      </w:r>
      <w:r>
        <w:rPr>
          <w:rFonts w:ascii="Arial Black" w:hAnsi="Arial Black"/>
          <w:sz w:val="28"/>
          <w:szCs w:val="28"/>
        </w:rPr>
        <w:t>SOFT RESTRAINTS - MANIC EPISODE - POLICE VIDEOS SHOW NEED FOR RESTRAINTS - QUALIFIED IMMUNITY</w:t>
      </w:r>
    </w:p>
    <w:p w14:paraId="64A55D24" w14:textId="77777777" w:rsidR="00EE0562" w:rsidRPr="008028C7" w:rsidRDefault="00EE0562" w:rsidP="00EE0562">
      <w:pPr>
        <w:rPr>
          <w:rFonts w:ascii="Times New Roman" w:hAnsi="Times New Roman"/>
          <w:sz w:val="24"/>
          <w:szCs w:val="24"/>
        </w:rPr>
      </w:pPr>
      <w:r w:rsidRPr="008028C7">
        <w:rPr>
          <w:rFonts w:ascii="Times New Roman" w:hAnsi="Times New Roman"/>
          <w:sz w:val="24"/>
          <w:szCs w:val="24"/>
        </w:rPr>
        <w:t xml:space="preserve">On Aug. 29, 2019, in </w:t>
      </w:r>
      <w:r w:rsidRPr="008028C7">
        <w:rPr>
          <w:rFonts w:ascii="Times New Roman" w:hAnsi="Times New Roman"/>
          <w:sz w:val="24"/>
          <w:szCs w:val="24"/>
          <w:u w:val="single"/>
        </w:rPr>
        <w:t>Kimberly Ellison v. Kenneth Hobbs, et al</w:t>
      </w:r>
      <w:r w:rsidRPr="008028C7">
        <w:rPr>
          <w:rFonts w:ascii="Times New Roman" w:hAnsi="Times New Roman"/>
          <w:sz w:val="24"/>
          <w:szCs w:val="24"/>
        </w:rPr>
        <w:t>., the U.S. Court of Appeals for the 11</w:t>
      </w:r>
      <w:r w:rsidRPr="008028C7">
        <w:rPr>
          <w:rFonts w:ascii="Times New Roman" w:hAnsi="Times New Roman"/>
          <w:sz w:val="24"/>
          <w:szCs w:val="24"/>
          <w:vertAlign w:val="superscript"/>
        </w:rPr>
        <w:t>th</w:t>
      </w:r>
      <w:r w:rsidRPr="008028C7">
        <w:rPr>
          <w:rFonts w:ascii="Times New Roman" w:hAnsi="Times New Roman"/>
          <w:sz w:val="24"/>
          <w:szCs w:val="24"/>
        </w:rPr>
        <w:t xml:space="preserve"> District (Atlanta), held (3 to 0) in an unpublished decision, that U.S. District Court judge had properly granted summary judgment to all EMS and Police.  </w:t>
      </w:r>
      <w:hyperlink r:id="rId2337" w:history="1">
        <w:r w:rsidRPr="008028C7">
          <w:rPr>
            <w:rStyle w:val="Hyperlink"/>
            <w:rFonts w:ascii="Times New Roman" w:hAnsi="Times New Roman"/>
            <w:sz w:val="24"/>
            <w:szCs w:val="24"/>
          </w:rPr>
          <w:t>http://media.ca11.uscourts.gov/opinions/unpub/files/201814142.pdf</w:t>
        </w:r>
      </w:hyperlink>
      <w:r w:rsidRPr="008028C7">
        <w:rPr>
          <w:rFonts w:ascii="Times New Roman" w:hAnsi="Times New Roman"/>
          <w:sz w:val="24"/>
          <w:szCs w:val="24"/>
        </w:rPr>
        <w:t xml:space="preserve"> </w:t>
      </w:r>
    </w:p>
    <w:bookmarkEnd w:id="500"/>
    <w:p w14:paraId="36F30E70" w14:textId="77777777" w:rsidR="00EE0562" w:rsidRDefault="00EE0562" w:rsidP="00EE0562">
      <w:pPr>
        <w:rPr>
          <w:rFonts w:ascii="On On" w:hAnsi="On On"/>
          <w:sz w:val="24"/>
          <w:szCs w:val="24"/>
        </w:rPr>
      </w:pPr>
      <w:r>
        <w:rPr>
          <w:rFonts w:ascii="On On" w:hAnsi="On On"/>
          <w:sz w:val="24"/>
          <w:szCs w:val="24"/>
        </w:rPr>
        <w:tab/>
        <w:t xml:space="preserve">The court held: </w:t>
      </w:r>
    </w:p>
    <w:p w14:paraId="257DA8CB" w14:textId="77777777" w:rsidR="00EE0562" w:rsidRDefault="00EE0562" w:rsidP="00EE0562">
      <w:pPr>
        <w:pStyle w:val="NoSpacing"/>
        <w:ind w:left="720"/>
        <w:rPr>
          <w:rFonts w:ascii="Times New Roman" w:hAnsi="Times New Roman"/>
          <w:sz w:val="24"/>
          <w:szCs w:val="24"/>
        </w:rPr>
      </w:pPr>
      <w:r>
        <w:rPr>
          <w:rFonts w:ascii="Times New Roman" w:hAnsi="Times New Roman"/>
          <w:sz w:val="24"/>
          <w:szCs w:val="24"/>
        </w:rPr>
        <w:t>“[C]</w:t>
      </w:r>
      <w:proofErr w:type="spellStart"/>
      <w:r w:rsidRPr="00741E0D">
        <w:rPr>
          <w:rFonts w:ascii="Times New Roman" w:hAnsi="Times New Roman"/>
          <w:sz w:val="24"/>
          <w:szCs w:val="24"/>
        </w:rPr>
        <w:t>ontrary</w:t>
      </w:r>
      <w:proofErr w:type="spellEnd"/>
      <w:r w:rsidRPr="00741E0D">
        <w:rPr>
          <w:rFonts w:ascii="Times New Roman" w:hAnsi="Times New Roman"/>
          <w:sz w:val="24"/>
          <w:szCs w:val="24"/>
        </w:rPr>
        <w:t xml:space="preserve"> to Ellison’s contentions, the use of soft restraints is a tool available to Paramedic Gasaway and EMT Howard in performing their job-related functions. See Davenport, 906 F.3d at 940. Thus, because Paramedic Gasaway’s and EMT Howard’s actions were not outside their </w:t>
      </w:r>
      <w:r>
        <w:rPr>
          <w:rFonts w:ascii="Times New Roman" w:hAnsi="Times New Roman"/>
          <w:sz w:val="24"/>
          <w:szCs w:val="24"/>
        </w:rPr>
        <w:t>‘</w:t>
      </w:r>
      <w:r w:rsidRPr="00741E0D">
        <w:rPr>
          <w:rFonts w:ascii="Times New Roman" w:hAnsi="Times New Roman"/>
          <w:sz w:val="24"/>
          <w:szCs w:val="24"/>
        </w:rPr>
        <w:t>arsenal</w:t>
      </w:r>
      <w:r>
        <w:rPr>
          <w:rFonts w:ascii="Times New Roman" w:hAnsi="Times New Roman"/>
          <w:sz w:val="24"/>
          <w:szCs w:val="24"/>
        </w:rPr>
        <w:t>’</w:t>
      </w:r>
      <w:r w:rsidRPr="00741E0D">
        <w:rPr>
          <w:rFonts w:ascii="Times New Roman" w:hAnsi="Times New Roman"/>
          <w:sz w:val="24"/>
          <w:szCs w:val="24"/>
        </w:rPr>
        <w:t xml:space="preserve"> of powers, they acted within their discretionary authority.</w:t>
      </w:r>
      <w:r>
        <w:rPr>
          <w:rFonts w:ascii="Times New Roman" w:hAnsi="Times New Roman"/>
          <w:sz w:val="24"/>
          <w:szCs w:val="24"/>
        </w:rPr>
        <w:t>”</w:t>
      </w:r>
    </w:p>
    <w:p w14:paraId="52B1FC3D" w14:textId="77777777" w:rsidR="00EE0562" w:rsidRDefault="00EE0562" w:rsidP="00EE0562">
      <w:pPr>
        <w:pStyle w:val="NoSpacing"/>
        <w:rPr>
          <w:rFonts w:ascii="Times New Roman" w:hAnsi="Times New Roman"/>
          <w:b/>
          <w:bCs/>
          <w:sz w:val="24"/>
          <w:szCs w:val="24"/>
        </w:rPr>
      </w:pPr>
    </w:p>
    <w:p w14:paraId="007683A9" w14:textId="11A1AD04" w:rsidR="00EE0562" w:rsidRPr="00E052A6" w:rsidRDefault="00EE0562" w:rsidP="00EE0562">
      <w:pPr>
        <w:pStyle w:val="NoSpacing"/>
        <w:rPr>
          <w:rFonts w:ascii="Times New Roman" w:hAnsi="Times New Roman"/>
          <w:b/>
          <w:bCs/>
          <w:sz w:val="24"/>
          <w:szCs w:val="24"/>
        </w:rPr>
      </w:pPr>
      <w:bookmarkStart w:id="502" w:name="_Hlk41152984"/>
      <w:r w:rsidRPr="00E052A6">
        <w:rPr>
          <w:rFonts w:ascii="Times New Roman" w:hAnsi="Times New Roman"/>
          <w:b/>
          <w:bCs/>
          <w:sz w:val="24"/>
          <w:szCs w:val="24"/>
        </w:rPr>
        <w:t xml:space="preserve">Legal Lessons Learned:  Thanks to officer’s video cameras, both the U.S. District Court judge, and the Court of Appeals, had a “minute by minute” view of what occurred in getting this patient [who is a practicing attorney] out of her apartment and to the hospital. </w:t>
      </w:r>
    </w:p>
    <w:bookmarkEnd w:id="501"/>
    <w:bookmarkEnd w:id="502"/>
    <w:p w14:paraId="027732E5" w14:textId="338EEE5F" w:rsidR="00EE0562" w:rsidRDefault="00EE0562" w:rsidP="00EE0562">
      <w:pPr>
        <w:pStyle w:val="NoSpacing"/>
        <w:rPr>
          <w:rFonts w:ascii="Arial Black" w:hAnsi="Arial Black"/>
          <w:b/>
          <w:bCs/>
          <w:sz w:val="24"/>
          <w:szCs w:val="24"/>
        </w:rPr>
      </w:pPr>
    </w:p>
    <w:p w14:paraId="0D5B8948" w14:textId="0C2D03ED" w:rsidR="00EE0562" w:rsidRDefault="00EE0562" w:rsidP="00EE0562">
      <w:pPr>
        <w:pStyle w:val="NoSpacing"/>
        <w:rPr>
          <w:rFonts w:ascii="Arial Black" w:hAnsi="Arial Black"/>
          <w:b/>
          <w:bCs/>
          <w:sz w:val="24"/>
          <w:szCs w:val="24"/>
        </w:rPr>
      </w:pPr>
    </w:p>
    <w:p w14:paraId="15695EEB" w14:textId="066B0AA2" w:rsidR="00E26EA8" w:rsidRDefault="00E26EA8" w:rsidP="00EE0562">
      <w:pPr>
        <w:pStyle w:val="NoSpacing"/>
        <w:rPr>
          <w:rFonts w:ascii="Arial Black" w:hAnsi="Arial Black"/>
          <w:b/>
          <w:bCs/>
          <w:sz w:val="24"/>
          <w:szCs w:val="24"/>
        </w:rPr>
      </w:pPr>
    </w:p>
    <w:p w14:paraId="5383913D" w14:textId="77777777" w:rsidR="00E26EA8" w:rsidRPr="00EE0562" w:rsidRDefault="00E26EA8" w:rsidP="00EE0562">
      <w:pPr>
        <w:pStyle w:val="NoSpacing"/>
        <w:rPr>
          <w:rFonts w:ascii="Arial Black" w:hAnsi="Arial Black"/>
          <w:b/>
          <w:bCs/>
          <w:sz w:val="24"/>
          <w:szCs w:val="24"/>
        </w:rPr>
      </w:pPr>
    </w:p>
    <w:p w14:paraId="348999D4" w14:textId="6BF8BE8E" w:rsidR="00EE0562" w:rsidRPr="00EE0562" w:rsidRDefault="00EE0562" w:rsidP="00EE0562">
      <w:pPr>
        <w:pStyle w:val="NoSpacing"/>
        <w:rPr>
          <w:rFonts w:ascii="Arial Black" w:hAnsi="Arial Black"/>
          <w:b/>
          <w:bCs/>
          <w:sz w:val="24"/>
          <w:szCs w:val="24"/>
        </w:rPr>
      </w:pPr>
      <w:r w:rsidRPr="00EE0562">
        <w:rPr>
          <w:rFonts w:ascii="Arial Black" w:hAnsi="Arial Black"/>
          <w:b/>
          <w:bCs/>
          <w:sz w:val="24"/>
          <w:szCs w:val="24"/>
        </w:rPr>
        <w:t>13-</w:t>
      </w:r>
      <w:r w:rsidR="00C95AF6">
        <w:rPr>
          <w:rFonts w:ascii="Arial Black" w:hAnsi="Arial Black"/>
          <w:b/>
          <w:bCs/>
          <w:sz w:val="24"/>
          <w:szCs w:val="24"/>
        </w:rPr>
        <w:t>30</w:t>
      </w:r>
    </w:p>
    <w:p w14:paraId="627225B0" w14:textId="77777777" w:rsidR="00EE0562" w:rsidRDefault="00EE0562" w:rsidP="00EE0562">
      <w:pPr>
        <w:pStyle w:val="NoSpacing"/>
        <w:rPr>
          <w:rFonts w:ascii="Times New Roman" w:hAnsi="Times New Roman"/>
          <w:b/>
          <w:bCs/>
          <w:sz w:val="24"/>
          <w:szCs w:val="24"/>
        </w:rPr>
      </w:pPr>
    </w:p>
    <w:p w14:paraId="06D50D98" w14:textId="77777777" w:rsidR="00EE0562" w:rsidRPr="00DC1D9B" w:rsidRDefault="00EE0562" w:rsidP="00EE0562">
      <w:pPr>
        <w:rPr>
          <w:rFonts w:ascii="Arial Black" w:hAnsi="Arial Black"/>
          <w:b/>
          <w:bCs/>
          <w:sz w:val="28"/>
          <w:szCs w:val="28"/>
        </w:rPr>
      </w:pPr>
      <w:bookmarkStart w:id="503" w:name="_Hlk41153061"/>
      <w:bookmarkStart w:id="504" w:name="_Hlk41296305"/>
      <w:r w:rsidRPr="00DC1D9B">
        <w:rPr>
          <w:rFonts w:ascii="Arial Black" w:hAnsi="Arial Black"/>
          <w:b/>
          <w:bCs/>
          <w:sz w:val="28"/>
          <w:szCs w:val="28"/>
        </w:rPr>
        <w:t xml:space="preserve">IL:  STROKE PATIENT </w:t>
      </w:r>
      <w:r>
        <w:rPr>
          <w:rFonts w:ascii="Arial Black" w:hAnsi="Arial Black"/>
          <w:b/>
          <w:bCs/>
          <w:sz w:val="28"/>
          <w:szCs w:val="28"/>
        </w:rPr>
        <w:t xml:space="preserve">WHO RAN OUT </w:t>
      </w:r>
      <w:r w:rsidRPr="00DC1D9B">
        <w:rPr>
          <w:rFonts w:ascii="Arial Black" w:hAnsi="Arial Black"/>
          <w:b/>
          <w:bCs/>
          <w:sz w:val="28"/>
          <w:szCs w:val="28"/>
        </w:rPr>
        <w:t xml:space="preserve">HOME – </w:t>
      </w:r>
      <w:r>
        <w:rPr>
          <w:rFonts w:ascii="Arial Black" w:hAnsi="Arial Black"/>
          <w:b/>
          <w:bCs/>
          <w:sz w:val="28"/>
          <w:szCs w:val="28"/>
        </w:rPr>
        <w:t>EMS TACKLED ON DRIVEWAY - LAWSUIT PROCEED, FACTS IN DISPUTE</w:t>
      </w:r>
    </w:p>
    <w:p w14:paraId="36772576" w14:textId="77777777" w:rsidR="00EE0562" w:rsidRDefault="00EE0562" w:rsidP="00EE0562">
      <w:pPr>
        <w:rPr>
          <w:rFonts w:ascii="Times New Roman" w:hAnsi="Times New Roman"/>
          <w:sz w:val="24"/>
          <w:szCs w:val="24"/>
        </w:rPr>
      </w:pPr>
      <w:r w:rsidRPr="004E2C24">
        <w:rPr>
          <w:rFonts w:ascii="Times New Roman" w:hAnsi="Times New Roman"/>
          <w:sz w:val="24"/>
          <w:szCs w:val="24"/>
        </w:rPr>
        <w:t xml:space="preserve">On Aug. 28, 2019, in </w:t>
      </w:r>
      <w:r w:rsidRPr="004E2C24">
        <w:rPr>
          <w:rFonts w:ascii="Times New Roman" w:hAnsi="Times New Roman"/>
          <w:sz w:val="24"/>
          <w:szCs w:val="24"/>
          <w:u w:val="single"/>
        </w:rPr>
        <w:t>Douglas Johnson v. City of East Peoria, et al</w:t>
      </w:r>
      <w:r w:rsidRPr="004E2C24">
        <w:rPr>
          <w:rFonts w:ascii="Times New Roman" w:hAnsi="Times New Roman"/>
          <w:sz w:val="24"/>
          <w:szCs w:val="24"/>
        </w:rPr>
        <w:t xml:space="preserve">., </w:t>
      </w:r>
      <w:r>
        <w:rPr>
          <w:rFonts w:ascii="Times New Roman" w:hAnsi="Times New Roman"/>
          <w:sz w:val="24"/>
          <w:szCs w:val="24"/>
        </w:rPr>
        <w:t xml:space="preserve">U.S. District Court </w:t>
      </w:r>
      <w:r w:rsidRPr="004E2C24">
        <w:rPr>
          <w:rFonts w:ascii="Times New Roman" w:hAnsi="Times New Roman"/>
          <w:sz w:val="24"/>
          <w:szCs w:val="24"/>
        </w:rPr>
        <w:t>judge James E. Shadid</w:t>
      </w:r>
      <w:r>
        <w:rPr>
          <w:rFonts w:ascii="Times New Roman" w:hAnsi="Times New Roman"/>
          <w:sz w:val="24"/>
          <w:szCs w:val="24"/>
        </w:rPr>
        <w:t xml:space="preserve">, </w:t>
      </w:r>
      <w:r w:rsidRPr="004E2C24">
        <w:rPr>
          <w:rFonts w:ascii="Times New Roman" w:hAnsi="Times New Roman"/>
          <w:sz w:val="24"/>
          <w:szCs w:val="24"/>
        </w:rPr>
        <w:t>Central District of Illinois, Case No. 17-cv-1212-JES-JEH,</w:t>
      </w:r>
      <w:r>
        <w:rPr>
          <w:rFonts w:ascii="Times New Roman" w:hAnsi="Times New Roman"/>
          <w:sz w:val="24"/>
          <w:szCs w:val="24"/>
        </w:rPr>
        <w:t xml:space="preserve"> denied motion for summary judgment by the City and several paramedics; pre-trial discovery may now proceed unless they take an immediate appeal.  </w:t>
      </w:r>
      <w:hyperlink r:id="rId2338" w:history="1">
        <w:r w:rsidRPr="0075063D">
          <w:rPr>
            <w:rStyle w:val="Hyperlink"/>
            <w:rFonts w:ascii="Times New Roman" w:hAnsi="Times New Roman"/>
            <w:sz w:val="24"/>
            <w:szCs w:val="24"/>
          </w:rPr>
          <w:t>https://cases.justia.com/federal/district-courts/illinois/ilcdce/1:2017cv01212/69571/44/0.pdf?ts=1567070402</w:t>
        </w:r>
      </w:hyperlink>
      <w:bookmarkEnd w:id="503"/>
      <w:r>
        <w:rPr>
          <w:rFonts w:ascii="Times New Roman" w:hAnsi="Times New Roman"/>
          <w:sz w:val="24"/>
          <w:szCs w:val="24"/>
        </w:rPr>
        <w:t xml:space="preserve"> </w:t>
      </w:r>
    </w:p>
    <w:p w14:paraId="215248E9" w14:textId="77777777" w:rsidR="00EE0562" w:rsidRDefault="00EE0562" w:rsidP="00EE0562">
      <w:pPr>
        <w:ind w:firstLine="720"/>
        <w:rPr>
          <w:rFonts w:ascii="Times New Roman" w:hAnsi="Times New Roman"/>
          <w:sz w:val="24"/>
          <w:szCs w:val="24"/>
        </w:rPr>
      </w:pPr>
      <w:r>
        <w:rPr>
          <w:rFonts w:ascii="Times New Roman" w:hAnsi="Times New Roman"/>
          <w:sz w:val="24"/>
          <w:szCs w:val="24"/>
        </w:rPr>
        <w:t xml:space="preserve">Judge Shadid wrote: </w:t>
      </w:r>
    </w:p>
    <w:p w14:paraId="6CC3E091" w14:textId="77777777" w:rsidR="00EE0562" w:rsidRDefault="00EE0562" w:rsidP="00EE0562">
      <w:pPr>
        <w:ind w:left="1440"/>
        <w:rPr>
          <w:rFonts w:ascii="Times New Roman" w:hAnsi="Times New Roman"/>
          <w:sz w:val="24"/>
          <w:szCs w:val="24"/>
        </w:rPr>
      </w:pPr>
      <w:r>
        <w:rPr>
          <w:rFonts w:ascii="Times New Roman" w:hAnsi="Times New Roman"/>
          <w:sz w:val="24"/>
          <w:szCs w:val="24"/>
        </w:rPr>
        <w:t>“</w:t>
      </w:r>
      <w:r w:rsidRPr="00282EEF">
        <w:rPr>
          <w:rFonts w:ascii="Times New Roman" w:hAnsi="Times New Roman"/>
          <w:sz w:val="24"/>
          <w:szCs w:val="24"/>
        </w:rPr>
        <w:t xml:space="preserve">Between the bottom of the stairs and the front door, Plaintiff’s pants began to fall </w:t>
      </w:r>
      <w:proofErr w:type="gramStart"/>
      <w:r w:rsidRPr="00282EEF">
        <w:rPr>
          <w:rFonts w:ascii="Times New Roman" w:hAnsi="Times New Roman"/>
          <w:sz w:val="24"/>
          <w:szCs w:val="24"/>
        </w:rPr>
        <w:t>down</w:t>
      </w:r>
      <w:proofErr w:type="gramEnd"/>
      <w:r w:rsidRPr="00282EEF">
        <w:rPr>
          <w:rFonts w:ascii="Times New Roman" w:hAnsi="Times New Roman"/>
          <w:sz w:val="24"/>
          <w:szCs w:val="24"/>
        </w:rPr>
        <w:t xml:space="preserve"> and Defendant Sauder attempted to pull them up. (Docs. 37 at 8, 42 at 10). Plaintiff turned at least the top half of his body in a manner Defendants Riggenbach and Sauder state they found aggressive. (Docs. 37 at 8, 42 at 10). He then ran out the front door, down the front steps, and into the driveway, falling three times as he ran.</w:t>
      </w:r>
      <w:r>
        <w:rPr>
          <w:rFonts w:ascii="Times New Roman" w:hAnsi="Times New Roman"/>
          <w:sz w:val="24"/>
          <w:szCs w:val="24"/>
        </w:rPr>
        <w:t xml:space="preserve"> </w:t>
      </w:r>
      <w:r w:rsidRPr="001272AF">
        <w:rPr>
          <w:rFonts w:ascii="Times New Roman" w:hAnsi="Times New Roman"/>
          <w:sz w:val="24"/>
          <w:szCs w:val="24"/>
        </w:rPr>
        <w:t>*** What happened next is disputed in large part, but the parties agree that Defendant Sauder bear-hugged Plaintiff, both Defendant Sauder and Plaintiff ended up on the ground, and Defendants Duckworth, Riggenbach,</w:t>
      </w:r>
      <w:r>
        <w:rPr>
          <w:rFonts w:ascii="Times New Roman" w:hAnsi="Times New Roman"/>
          <w:sz w:val="24"/>
          <w:szCs w:val="24"/>
        </w:rPr>
        <w:t xml:space="preserve"> </w:t>
      </w:r>
      <w:r w:rsidRPr="001272AF">
        <w:rPr>
          <w:rFonts w:ascii="Times New Roman" w:hAnsi="Times New Roman"/>
          <w:sz w:val="24"/>
          <w:szCs w:val="24"/>
        </w:rPr>
        <w:t xml:space="preserve">and Sauder, along with Knaus, restrained Plaintiff on the ground. </w:t>
      </w:r>
    </w:p>
    <w:p w14:paraId="318B1748" w14:textId="77777777" w:rsidR="00EE0562" w:rsidRDefault="00EE0562" w:rsidP="00EE0562">
      <w:pPr>
        <w:ind w:left="1440"/>
        <w:rPr>
          <w:rFonts w:ascii="Times New Roman" w:hAnsi="Times New Roman"/>
          <w:sz w:val="24"/>
          <w:szCs w:val="24"/>
        </w:rPr>
      </w:pPr>
      <w:r w:rsidRPr="001272AF">
        <w:rPr>
          <w:rFonts w:ascii="Times New Roman" w:hAnsi="Times New Roman"/>
          <w:sz w:val="24"/>
          <w:szCs w:val="24"/>
        </w:rPr>
        <w:t xml:space="preserve">*** </w:t>
      </w:r>
    </w:p>
    <w:p w14:paraId="400901B1" w14:textId="77777777" w:rsidR="00EE0562" w:rsidRPr="00D82446" w:rsidRDefault="00EE0562" w:rsidP="00EE0562">
      <w:pPr>
        <w:pStyle w:val="NoSpacing"/>
        <w:ind w:left="1440"/>
        <w:rPr>
          <w:rFonts w:ascii="Times New Roman" w:hAnsi="Times New Roman"/>
          <w:sz w:val="24"/>
          <w:szCs w:val="24"/>
        </w:rPr>
      </w:pPr>
      <w:r w:rsidRPr="00D82446">
        <w:rPr>
          <w:rFonts w:ascii="Times New Roman" w:hAnsi="Times New Roman"/>
          <w:sz w:val="24"/>
          <w:szCs w:val="24"/>
        </w:rPr>
        <w:t>However, Plaintiff is correct that the state-created danger theory is not duplicative of his other claims. See Monfils v. Taylor, 165 F.3d 511, 515–517 (7th Cir. 1998) (recognizing the existence of a substantive due process claim for a state-created danger)</w:t>
      </w:r>
      <w:r>
        <w:rPr>
          <w:rFonts w:ascii="Times New Roman" w:hAnsi="Times New Roman"/>
          <w:sz w:val="24"/>
          <w:szCs w:val="24"/>
        </w:rPr>
        <w:t>….</w:t>
      </w:r>
      <w:r w:rsidRPr="00D82446">
        <w:rPr>
          <w:rFonts w:ascii="Times New Roman" w:hAnsi="Times New Roman"/>
          <w:sz w:val="24"/>
          <w:szCs w:val="24"/>
        </w:rPr>
        <w:t>Therefore, Plaintiff’s due process claim survives summary judgment on the state-created danger theory alone.</w:t>
      </w:r>
      <w:r>
        <w:rPr>
          <w:rFonts w:ascii="Times New Roman" w:hAnsi="Times New Roman"/>
          <w:sz w:val="24"/>
          <w:szCs w:val="24"/>
        </w:rPr>
        <w:t>”</w:t>
      </w:r>
    </w:p>
    <w:p w14:paraId="16C10B23" w14:textId="77777777" w:rsidR="00EE0562" w:rsidRPr="005E68F9" w:rsidRDefault="00EE0562" w:rsidP="00EE0562">
      <w:pPr>
        <w:pStyle w:val="NoSpacing"/>
        <w:rPr>
          <w:rFonts w:ascii="Times New Roman" w:hAnsi="Times New Roman"/>
          <w:b/>
          <w:bCs/>
          <w:sz w:val="24"/>
          <w:szCs w:val="24"/>
        </w:rPr>
      </w:pPr>
    </w:p>
    <w:p w14:paraId="7E4EEA26" w14:textId="3479B5E2" w:rsidR="00EE0562" w:rsidRDefault="00EE0562" w:rsidP="00EE0562">
      <w:pPr>
        <w:rPr>
          <w:rFonts w:ascii="Times New Roman" w:hAnsi="Times New Roman"/>
          <w:b/>
          <w:bCs/>
          <w:sz w:val="24"/>
          <w:szCs w:val="24"/>
        </w:rPr>
      </w:pPr>
      <w:bookmarkStart w:id="505" w:name="_Hlk41153080"/>
      <w:r w:rsidRPr="00995498">
        <w:rPr>
          <w:rFonts w:ascii="Times New Roman" w:hAnsi="Times New Roman"/>
          <w:b/>
          <w:bCs/>
          <w:sz w:val="24"/>
          <w:szCs w:val="24"/>
        </w:rPr>
        <w:t xml:space="preserve">Legal Lessons Learned: </w:t>
      </w:r>
      <w:r>
        <w:rPr>
          <w:rFonts w:ascii="Times New Roman" w:hAnsi="Times New Roman"/>
          <w:b/>
          <w:bCs/>
          <w:sz w:val="24"/>
          <w:szCs w:val="24"/>
        </w:rPr>
        <w:t>On an EMS run where there is a struggle with the patient, thoroughly documents on EMS run report the actions taken by each medic.   This will help avoid “facts in dispute” in any subsequent civil lawsuit, and any prosecution for assault.</w:t>
      </w:r>
    </w:p>
    <w:bookmarkEnd w:id="504"/>
    <w:bookmarkEnd w:id="505"/>
    <w:p w14:paraId="49E1905B" w14:textId="5E7CB9F1" w:rsidR="00E052A6" w:rsidRPr="00715CF2" w:rsidRDefault="00E052A6" w:rsidP="00E052A6">
      <w:pPr>
        <w:rPr>
          <w:rFonts w:ascii="Times New Roman" w:hAnsi="Times New Roman"/>
          <w:bCs/>
          <w:sz w:val="24"/>
          <w:szCs w:val="24"/>
        </w:rPr>
      </w:pPr>
    </w:p>
    <w:p w14:paraId="2AFE8B4F" w14:textId="0FBCDDD5" w:rsidR="00E26EA8" w:rsidRDefault="00E26EA8" w:rsidP="00EE0562">
      <w:pPr>
        <w:rPr>
          <w:rFonts w:ascii="Arial Black" w:hAnsi="Arial Black"/>
          <w:b/>
          <w:bCs/>
          <w:sz w:val="24"/>
          <w:szCs w:val="24"/>
        </w:rPr>
      </w:pPr>
    </w:p>
    <w:p w14:paraId="5B96F929" w14:textId="77777777" w:rsidR="00E052A6" w:rsidRPr="00EE0562" w:rsidRDefault="00E052A6" w:rsidP="00EE0562">
      <w:pPr>
        <w:rPr>
          <w:rFonts w:ascii="Arial Black" w:hAnsi="Arial Black"/>
          <w:b/>
          <w:bCs/>
          <w:sz w:val="24"/>
          <w:szCs w:val="24"/>
        </w:rPr>
      </w:pPr>
    </w:p>
    <w:p w14:paraId="3C435F2A" w14:textId="3D823A2F" w:rsidR="00EE0562" w:rsidRPr="00EE0562" w:rsidRDefault="00EE0562" w:rsidP="00EE0562">
      <w:pPr>
        <w:rPr>
          <w:rFonts w:ascii="Arial Black" w:hAnsi="Arial Black"/>
          <w:b/>
          <w:bCs/>
          <w:sz w:val="24"/>
          <w:szCs w:val="24"/>
        </w:rPr>
      </w:pPr>
      <w:r w:rsidRPr="00EE0562">
        <w:rPr>
          <w:rFonts w:ascii="Arial Black" w:hAnsi="Arial Black"/>
          <w:b/>
          <w:bCs/>
          <w:sz w:val="24"/>
          <w:szCs w:val="24"/>
        </w:rPr>
        <w:t>13-2</w:t>
      </w:r>
      <w:r w:rsidR="00C95AF6">
        <w:rPr>
          <w:rFonts w:ascii="Arial Black" w:hAnsi="Arial Black"/>
          <w:b/>
          <w:bCs/>
          <w:sz w:val="24"/>
          <w:szCs w:val="24"/>
        </w:rPr>
        <w:t>9</w:t>
      </w:r>
    </w:p>
    <w:p w14:paraId="06B476F8" w14:textId="77777777" w:rsidR="00EE0562" w:rsidRPr="00812C5F" w:rsidRDefault="00EE0562" w:rsidP="00EE0562">
      <w:pPr>
        <w:rPr>
          <w:rFonts w:ascii="Arial Black" w:hAnsi="Arial Black"/>
          <w:sz w:val="28"/>
          <w:szCs w:val="28"/>
        </w:rPr>
      </w:pPr>
      <w:bookmarkStart w:id="506" w:name="_Hlk41153139"/>
      <w:r w:rsidRPr="00812C5F">
        <w:rPr>
          <w:rFonts w:ascii="Arial Black" w:hAnsi="Arial Black"/>
          <w:sz w:val="28"/>
          <w:szCs w:val="28"/>
        </w:rPr>
        <w:t xml:space="preserve">MI: </w:t>
      </w:r>
      <w:r>
        <w:rPr>
          <w:rFonts w:ascii="Arial Black" w:hAnsi="Arial Black"/>
          <w:sz w:val="28"/>
          <w:szCs w:val="28"/>
        </w:rPr>
        <w:t>GURNEY TIPPED – LAWSUIT TO PROCEED - EMS DIDN’T TELL HOSPITAL OR DOCUMENT – X-RAYS SHOWED NECK FRACTURES</w:t>
      </w:r>
    </w:p>
    <w:p w14:paraId="5444BB7E" w14:textId="77777777" w:rsidR="00EE0562" w:rsidRDefault="00EE0562" w:rsidP="00EE0562">
      <w:pPr>
        <w:rPr>
          <w:rFonts w:ascii="Times New Roman" w:hAnsi="Times New Roman"/>
          <w:sz w:val="24"/>
          <w:szCs w:val="24"/>
        </w:rPr>
      </w:pPr>
      <w:r w:rsidRPr="003C36A2">
        <w:rPr>
          <w:rFonts w:ascii="Times New Roman" w:hAnsi="Times New Roman"/>
          <w:sz w:val="24"/>
          <w:szCs w:val="24"/>
        </w:rPr>
        <w:t xml:space="preserve">On Aug. 27, 2019, in </w:t>
      </w:r>
      <w:r w:rsidRPr="00235BC8">
        <w:rPr>
          <w:rFonts w:ascii="Times New Roman" w:hAnsi="Times New Roman"/>
          <w:sz w:val="24"/>
          <w:szCs w:val="24"/>
          <w:u w:val="single"/>
        </w:rPr>
        <w:t>Estate of Ralph Brown, by Victoria Brown, Personal Representative v. Sean Wolan and Jeffrey Vescio</w:t>
      </w:r>
      <w:r>
        <w:rPr>
          <w:rFonts w:ascii="Times New Roman" w:hAnsi="Times New Roman"/>
          <w:sz w:val="24"/>
          <w:szCs w:val="24"/>
        </w:rPr>
        <w:t xml:space="preserve">, the Michigan Court of Appeals, held (2 to 1) in an unpublished opinion, that the trial court judge properly denied the two paramedics’ governmental immunity motion to dismiss. </w:t>
      </w:r>
    </w:p>
    <w:bookmarkEnd w:id="506"/>
    <w:p w14:paraId="6BD9C1D6" w14:textId="77777777" w:rsidR="00EE0562" w:rsidRDefault="00EE0562" w:rsidP="00EE0562">
      <w:pPr>
        <w:rPr>
          <w:rFonts w:ascii="Times New Roman" w:hAnsi="Times New Roman"/>
          <w:sz w:val="24"/>
          <w:szCs w:val="24"/>
        </w:rPr>
      </w:pPr>
      <w:r>
        <w:rPr>
          <w:rFonts w:ascii="Times New Roman" w:hAnsi="Times New Roman"/>
          <w:sz w:val="24"/>
          <w:szCs w:val="24"/>
        </w:rPr>
        <w:tab/>
        <w:t xml:space="preserve">The 2-judge majority held: </w:t>
      </w:r>
    </w:p>
    <w:p w14:paraId="78885785" w14:textId="67A8BE8A" w:rsidR="00EE0562" w:rsidRDefault="00EE0562" w:rsidP="00EE0562">
      <w:pPr>
        <w:ind w:left="720"/>
        <w:rPr>
          <w:rFonts w:ascii="Times New Roman" w:hAnsi="Times New Roman"/>
          <w:sz w:val="24"/>
          <w:szCs w:val="24"/>
        </w:rPr>
      </w:pPr>
      <w:r>
        <w:rPr>
          <w:rFonts w:ascii="Times New Roman" w:hAnsi="Times New Roman"/>
          <w:sz w:val="24"/>
          <w:szCs w:val="24"/>
        </w:rPr>
        <w:t>“</w:t>
      </w:r>
      <w:r w:rsidRPr="00AC20EB">
        <w:rPr>
          <w:rFonts w:ascii="Times New Roman" w:hAnsi="Times New Roman"/>
          <w:sz w:val="24"/>
          <w:szCs w:val="24"/>
        </w:rPr>
        <w:t>The failure to report the incident has additional import on the issue of whether the conduct of the defendants was grossly negligent. They had an undisputed duty to make such a report. Indeed, Vescio acknowledged in his deposition that the incident should have been reported. Vescio testified that Wolan was responsible for documenting the ambulance run and communicating information to the ER staff. Wolan explained that he did not report or document the incident because he did not believe the decedent had</w:t>
      </w:r>
      <w:r>
        <w:rPr>
          <w:rFonts w:ascii="Times New Roman" w:hAnsi="Times New Roman"/>
          <w:sz w:val="24"/>
          <w:szCs w:val="24"/>
        </w:rPr>
        <w:t xml:space="preserve"> </w:t>
      </w:r>
      <w:r w:rsidRPr="00AC20EB">
        <w:rPr>
          <w:rFonts w:ascii="Times New Roman" w:hAnsi="Times New Roman"/>
          <w:sz w:val="24"/>
          <w:szCs w:val="24"/>
        </w:rPr>
        <w:t xml:space="preserve">been injured. </w:t>
      </w:r>
      <w:proofErr w:type="gramStart"/>
      <w:r w:rsidRPr="00AC20EB">
        <w:rPr>
          <w:rFonts w:ascii="Times New Roman" w:hAnsi="Times New Roman"/>
          <w:sz w:val="24"/>
          <w:szCs w:val="24"/>
        </w:rPr>
        <w:t>To</w:t>
      </w:r>
      <w:proofErr w:type="gramEnd"/>
      <w:r w:rsidRPr="00AC20EB">
        <w:rPr>
          <w:rFonts w:ascii="Times New Roman" w:hAnsi="Times New Roman"/>
          <w:sz w:val="24"/>
          <w:szCs w:val="24"/>
        </w:rPr>
        <w:t xml:space="preserve"> the contrary, </w:t>
      </w:r>
      <w:proofErr w:type="spellStart"/>
      <w:r w:rsidRPr="00AC20EB">
        <w:rPr>
          <w:rFonts w:ascii="Times New Roman" w:hAnsi="Times New Roman"/>
          <w:sz w:val="24"/>
          <w:szCs w:val="24"/>
        </w:rPr>
        <w:t>Everlove</w:t>
      </w:r>
      <w:proofErr w:type="spellEnd"/>
      <w:r>
        <w:rPr>
          <w:rFonts w:ascii="Times New Roman" w:hAnsi="Times New Roman"/>
          <w:sz w:val="24"/>
          <w:szCs w:val="24"/>
        </w:rPr>
        <w:t xml:space="preserve"> [expert witness]</w:t>
      </w:r>
      <w:r w:rsidRPr="00AC20EB">
        <w:rPr>
          <w:rFonts w:ascii="Times New Roman" w:hAnsi="Times New Roman"/>
          <w:sz w:val="24"/>
          <w:szCs w:val="24"/>
        </w:rPr>
        <w:t xml:space="preserve"> testified that the reporting of the incident,</w:t>
      </w:r>
      <w:r>
        <w:rPr>
          <w:rFonts w:ascii="Times New Roman" w:hAnsi="Times New Roman"/>
          <w:sz w:val="24"/>
          <w:szCs w:val="24"/>
        </w:rPr>
        <w:t xml:space="preserve"> </w:t>
      </w:r>
      <w:r w:rsidRPr="00AC20EB">
        <w:rPr>
          <w:rFonts w:ascii="Times New Roman" w:hAnsi="Times New Roman"/>
          <w:sz w:val="24"/>
          <w:szCs w:val="24"/>
        </w:rPr>
        <w:t>regardless of the paramedics’</w:t>
      </w:r>
      <w:r>
        <w:rPr>
          <w:rFonts w:ascii="Times New Roman" w:hAnsi="Times New Roman"/>
          <w:sz w:val="24"/>
          <w:szCs w:val="24"/>
        </w:rPr>
        <w:t xml:space="preserve"> </w:t>
      </w:r>
      <w:r w:rsidRPr="00AC20EB">
        <w:rPr>
          <w:rFonts w:ascii="Times New Roman" w:hAnsi="Times New Roman"/>
          <w:sz w:val="24"/>
          <w:szCs w:val="24"/>
        </w:rPr>
        <w:t>assessment of injury,</w:t>
      </w:r>
      <w:r>
        <w:rPr>
          <w:rFonts w:ascii="Times New Roman" w:hAnsi="Times New Roman"/>
          <w:sz w:val="24"/>
          <w:szCs w:val="24"/>
        </w:rPr>
        <w:t xml:space="preserve"> </w:t>
      </w:r>
      <w:r w:rsidRPr="00AC20EB">
        <w:rPr>
          <w:rFonts w:ascii="Times New Roman" w:hAnsi="Times New Roman"/>
          <w:sz w:val="24"/>
          <w:szCs w:val="24"/>
        </w:rPr>
        <w:t>was crucial to patient care at the hospital. Additionally,</w:t>
      </w:r>
      <w:r>
        <w:rPr>
          <w:rFonts w:ascii="Times New Roman" w:hAnsi="Times New Roman"/>
          <w:sz w:val="24"/>
          <w:szCs w:val="24"/>
        </w:rPr>
        <w:t xml:space="preserve"> </w:t>
      </w:r>
      <w:r w:rsidRPr="00AC20EB">
        <w:rPr>
          <w:rFonts w:ascii="Times New Roman" w:hAnsi="Times New Roman"/>
          <w:sz w:val="24"/>
          <w:szCs w:val="24"/>
        </w:rPr>
        <w:t>the veracity of Wolan’s testimony regarding his belief that there was no injury is</w:t>
      </w:r>
      <w:r>
        <w:rPr>
          <w:rFonts w:ascii="Times New Roman" w:hAnsi="Times New Roman"/>
          <w:sz w:val="24"/>
          <w:szCs w:val="24"/>
        </w:rPr>
        <w:t xml:space="preserve"> </w:t>
      </w:r>
      <w:r w:rsidRPr="00AC20EB">
        <w:rPr>
          <w:rFonts w:ascii="Times New Roman" w:hAnsi="Times New Roman"/>
          <w:sz w:val="24"/>
          <w:szCs w:val="24"/>
        </w:rPr>
        <w:t xml:space="preserve">belied by his partner Vescio’s description of the incident in his e-mail to his supervisors where he reported </w:t>
      </w:r>
      <w:proofErr w:type="gramStart"/>
      <w:r w:rsidRPr="00AC20EB">
        <w:rPr>
          <w:rFonts w:ascii="Times New Roman" w:hAnsi="Times New Roman"/>
          <w:sz w:val="24"/>
          <w:szCs w:val="24"/>
        </w:rPr>
        <w:t>that,</w:t>
      </w:r>
      <w:r>
        <w:rPr>
          <w:rFonts w:ascii="Times New Roman" w:hAnsi="Times New Roman"/>
          <w:sz w:val="24"/>
          <w:szCs w:val="24"/>
        </w:rPr>
        <w:t xml:space="preserve"> ‘</w:t>
      </w:r>
      <w:proofErr w:type="gramEnd"/>
      <w:r w:rsidRPr="00AC20EB">
        <w:rPr>
          <w:rFonts w:ascii="Times New Roman" w:hAnsi="Times New Roman"/>
          <w:sz w:val="24"/>
          <w:szCs w:val="24"/>
        </w:rPr>
        <w:t>the patient [was] hanging sideways reaching out while remaining belted onto the stretcher.</w:t>
      </w:r>
      <w:r>
        <w:rPr>
          <w:rFonts w:ascii="Times New Roman" w:hAnsi="Times New Roman"/>
          <w:sz w:val="24"/>
          <w:szCs w:val="24"/>
        </w:rPr>
        <w:t>’</w:t>
      </w:r>
      <w:r w:rsidRPr="00AC20EB">
        <w:rPr>
          <w:rFonts w:ascii="Times New Roman" w:hAnsi="Times New Roman"/>
          <w:sz w:val="24"/>
          <w:szCs w:val="24"/>
        </w:rPr>
        <w:t xml:space="preserve"> A rational juror thus could believe that the EMTs did not assess the patient and failed to even report the indecent to those charged with the patient’s medical care or record the incident in the transport record that</w:t>
      </w:r>
      <w:r>
        <w:rPr>
          <w:rFonts w:ascii="Times New Roman" w:hAnsi="Times New Roman"/>
          <w:sz w:val="24"/>
          <w:szCs w:val="24"/>
        </w:rPr>
        <w:t xml:space="preserve"> </w:t>
      </w:r>
      <w:r w:rsidRPr="00AC20EB">
        <w:rPr>
          <w:rFonts w:ascii="Times New Roman" w:hAnsi="Times New Roman"/>
          <w:sz w:val="24"/>
          <w:szCs w:val="24"/>
        </w:rPr>
        <w:t>would have been used by the hospital staff to inform patient care decisions. On this record,</w:t>
      </w:r>
      <w:r>
        <w:rPr>
          <w:rFonts w:ascii="Times New Roman" w:hAnsi="Times New Roman"/>
          <w:sz w:val="24"/>
          <w:szCs w:val="24"/>
        </w:rPr>
        <w:t xml:space="preserve"> </w:t>
      </w:r>
      <w:r w:rsidRPr="00AC20EB">
        <w:rPr>
          <w:rFonts w:ascii="Times New Roman" w:hAnsi="Times New Roman"/>
          <w:sz w:val="24"/>
          <w:szCs w:val="24"/>
        </w:rPr>
        <w:t xml:space="preserve">a reasonable juror could determine that the EMTs showed </w:t>
      </w:r>
      <w:r>
        <w:rPr>
          <w:rFonts w:ascii="Times New Roman" w:hAnsi="Times New Roman"/>
          <w:sz w:val="24"/>
          <w:szCs w:val="24"/>
        </w:rPr>
        <w:t>‘</w:t>
      </w:r>
      <w:r w:rsidRPr="00AC20EB">
        <w:rPr>
          <w:rFonts w:ascii="Times New Roman" w:hAnsi="Times New Roman"/>
          <w:sz w:val="24"/>
          <w:szCs w:val="24"/>
        </w:rPr>
        <w:t>a substantial lack of concern for whether an injury results.</w:t>
      </w:r>
      <w:r>
        <w:rPr>
          <w:rFonts w:ascii="Times New Roman" w:hAnsi="Times New Roman"/>
          <w:sz w:val="24"/>
          <w:szCs w:val="24"/>
        </w:rPr>
        <w:t>’</w:t>
      </w:r>
      <w:r w:rsidRPr="00AC20EB">
        <w:rPr>
          <w:rFonts w:ascii="Times New Roman" w:hAnsi="Times New Roman"/>
          <w:sz w:val="24"/>
          <w:szCs w:val="24"/>
        </w:rPr>
        <w:t xml:space="preserve"> Defendants’ failure </w:t>
      </w:r>
      <w:proofErr w:type="gramStart"/>
      <w:r w:rsidRPr="00AC20EB">
        <w:rPr>
          <w:rFonts w:ascii="Times New Roman" w:hAnsi="Times New Roman"/>
          <w:sz w:val="24"/>
          <w:szCs w:val="24"/>
        </w:rPr>
        <w:t>in</w:t>
      </w:r>
      <w:r>
        <w:rPr>
          <w:rFonts w:ascii="Times New Roman" w:hAnsi="Times New Roman"/>
          <w:sz w:val="24"/>
          <w:szCs w:val="24"/>
        </w:rPr>
        <w:t xml:space="preserve"> </w:t>
      </w:r>
      <w:r w:rsidRPr="00AC20EB">
        <w:rPr>
          <w:rFonts w:ascii="Times New Roman" w:hAnsi="Times New Roman"/>
          <w:sz w:val="24"/>
          <w:szCs w:val="24"/>
        </w:rPr>
        <w:t>regards</w:t>
      </w:r>
      <w:r>
        <w:rPr>
          <w:rFonts w:ascii="Times New Roman" w:hAnsi="Times New Roman"/>
          <w:sz w:val="24"/>
          <w:szCs w:val="24"/>
        </w:rPr>
        <w:t xml:space="preserve"> </w:t>
      </w:r>
      <w:r w:rsidRPr="00AC20EB">
        <w:rPr>
          <w:rFonts w:ascii="Times New Roman" w:hAnsi="Times New Roman"/>
          <w:sz w:val="24"/>
          <w:szCs w:val="24"/>
        </w:rPr>
        <w:t>to</w:t>
      </w:r>
      <w:proofErr w:type="gramEnd"/>
      <w:r w:rsidRPr="00AC20EB">
        <w:rPr>
          <w:rFonts w:ascii="Times New Roman" w:hAnsi="Times New Roman"/>
          <w:sz w:val="24"/>
          <w:szCs w:val="24"/>
        </w:rPr>
        <w:t xml:space="preserve"> reporting cannot be considered accidental.</w:t>
      </w:r>
      <w:r>
        <w:rPr>
          <w:rFonts w:ascii="Times New Roman" w:hAnsi="Times New Roman"/>
          <w:sz w:val="24"/>
          <w:szCs w:val="24"/>
        </w:rPr>
        <w:t>”</w:t>
      </w:r>
      <w:r w:rsidR="006114FF">
        <w:rPr>
          <w:rFonts w:ascii="Times New Roman" w:hAnsi="Times New Roman"/>
          <w:sz w:val="24"/>
          <w:szCs w:val="24"/>
        </w:rPr>
        <w:t xml:space="preserve"> </w:t>
      </w:r>
      <w:bookmarkStart w:id="507" w:name="_Hlk41153167"/>
      <w:r w:rsidR="00F37A4B">
        <w:fldChar w:fldCharType="begin"/>
      </w:r>
      <w:r w:rsidR="00F37A4B">
        <w:instrText xml:space="preserve"> HYPERLINK "https://casetext.com/case/estate-of-brown-v-wolan-1" </w:instrText>
      </w:r>
      <w:r w:rsidR="00F37A4B">
        <w:fldChar w:fldCharType="separate"/>
      </w:r>
      <w:r w:rsidR="006114FF" w:rsidRPr="002F304C">
        <w:rPr>
          <w:rStyle w:val="Hyperlink"/>
          <w:rFonts w:ascii="Times New Roman" w:hAnsi="Times New Roman"/>
          <w:sz w:val="24"/>
          <w:szCs w:val="24"/>
        </w:rPr>
        <w:t>https://casetext.com/case/estate-of-brown-v-wolan-1</w:t>
      </w:r>
      <w:r w:rsidR="00F37A4B">
        <w:rPr>
          <w:rStyle w:val="Hyperlink"/>
          <w:rFonts w:ascii="Times New Roman" w:hAnsi="Times New Roman"/>
          <w:sz w:val="24"/>
          <w:szCs w:val="24"/>
        </w:rPr>
        <w:fldChar w:fldCharType="end"/>
      </w:r>
      <w:r w:rsidR="006114FF">
        <w:rPr>
          <w:rFonts w:ascii="Times New Roman" w:hAnsi="Times New Roman"/>
          <w:sz w:val="24"/>
          <w:szCs w:val="24"/>
        </w:rPr>
        <w:t xml:space="preserve"> </w:t>
      </w:r>
    </w:p>
    <w:p w14:paraId="0EB5396D" w14:textId="77777777" w:rsidR="00EE0562" w:rsidRPr="00B922AC" w:rsidRDefault="00EE0562" w:rsidP="00EE0562">
      <w:pPr>
        <w:rPr>
          <w:rFonts w:ascii="Times New Roman" w:hAnsi="Times New Roman"/>
          <w:b/>
          <w:bCs/>
          <w:sz w:val="24"/>
          <w:szCs w:val="24"/>
        </w:rPr>
      </w:pPr>
      <w:r w:rsidRPr="00B922AC">
        <w:rPr>
          <w:rStyle w:val="Hyperlink"/>
          <w:rFonts w:ascii="Times New Roman" w:hAnsi="Times New Roman"/>
          <w:b/>
          <w:bCs/>
          <w:color w:val="auto"/>
          <w:sz w:val="24"/>
          <w:szCs w:val="24"/>
          <w:u w:val="none"/>
        </w:rPr>
        <w:t xml:space="preserve">Legal Lessons Learned: </w:t>
      </w:r>
      <w:r w:rsidRPr="00B922AC">
        <w:rPr>
          <w:rFonts w:ascii="Times New Roman" w:hAnsi="Times New Roman"/>
          <w:b/>
          <w:bCs/>
          <w:sz w:val="24"/>
          <w:szCs w:val="24"/>
        </w:rPr>
        <w:t xml:space="preserve"> When “things go bad” on a run, inform hospital and supervisors and document on EMS run report.  </w:t>
      </w:r>
    </w:p>
    <w:bookmarkEnd w:id="507"/>
    <w:p w14:paraId="30B86A34" w14:textId="4FA29876" w:rsidR="00E052A6" w:rsidRPr="00715CF2" w:rsidRDefault="00E052A6" w:rsidP="00E052A6">
      <w:pPr>
        <w:rPr>
          <w:rFonts w:ascii="Times New Roman" w:hAnsi="Times New Roman"/>
          <w:bCs/>
          <w:sz w:val="24"/>
          <w:szCs w:val="24"/>
        </w:rPr>
      </w:pPr>
    </w:p>
    <w:p w14:paraId="56BD87AA" w14:textId="400A5B86" w:rsidR="009F0F05" w:rsidRDefault="009F0F05" w:rsidP="00DE0F03">
      <w:pPr>
        <w:pStyle w:val="NoSpacing"/>
        <w:rPr>
          <w:rFonts w:ascii="Arial Black" w:hAnsi="Arial Black"/>
          <w:sz w:val="24"/>
          <w:szCs w:val="24"/>
        </w:rPr>
      </w:pPr>
    </w:p>
    <w:p w14:paraId="5CA039B7" w14:textId="77777777" w:rsidR="00E052A6" w:rsidRDefault="00E052A6" w:rsidP="00DE0F03">
      <w:pPr>
        <w:pStyle w:val="NoSpacing"/>
        <w:rPr>
          <w:rFonts w:ascii="Arial Black" w:hAnsi="Arial Black"/>
          <w:sz w:val="24"/>
          <w:szCs w:val="24"/>
        </w:rPr>
      </w:pPr>
    </w:p>
    <w:p w14:paraId="0078AE03" w14:textId="77777777" w:rsidR="00E052A6" w:rsidRDefault="00E052A6" w:rsidP="00DE0F03">
      <w:pPr>
        <w:pStyle w:val="NoSpacing"/>
        <w:rPr>
          <w:rFonts w:ascii="Arial Black" w:hAnsi="Arial Black"/>
          <w:sz w:val="24"/>
          <w:szCs w:val="24"/>
        </w:rPr>
      </w:pPr>
    </w:p>
    <w:p w14:paraId="162195F8" w14:textId="09D30BCF" w:rsidR="00DE0F03" w:rsidRDefault="00DE0F03" w:rsidP="00DE0F03">
      <w:pPr>
        <w:pStyle w:val="NoSpacing"/>
        <w:rPr>
          <w:rFonts w:ascii="Arial Black" w:hAnsi="Arial Black"/>
          <w:sz w:val="24"/>
          <w:szCs w:val="24"/>
        </w:rPr>
      </w:pPr>
      <w:r>
        <w:rPr>
          <w:rFonts w:ascii="Arial Black" w:hAnsi="Arial Black"/>
          <w:sz w:val="24"/>
          <w:szCs w:val="24"/>
        </w:rPr>
        <w:t>13-2</w:t>
      </w:r>
      <w:r w:rsidR="00C95AF6">
        <w:rPr>
          <w:rFonts w:ascii="Arial Black" w:hAnsi="Arial Black"/>
          <w:sz w:val="24"/>
          <w:szCs w:val="24"/>
        </w:rPr>
        <w:t>8</w:t>
      </w:r>
    </w:p>
    <w:p w14:paraId="4380E4F3" w14:textId="77777777" w:rsidR="00DE0F03" w:rsidRDefault="00DE0F03" w:rsidP="00DE0F03">
      <w:pPr>
        <w:pStyle w:val="NoSpacing"/>
        <w:rPr>
          <w:rFonts w:ascii="Arial Black" w:hAnsi="Arial Black"/>
          <w:b/>
          <w:bCs/>
          <w:sz w:val="28"/>
          <w:szCs w:val="28"/>
        </w:rPr>
      </w:pPr>
    </w:p>
    <w:p w14:paraId="389C0B17" w14:textId="25AA6CED" w:rsidR="002B1283" w:rsidRPr="00D5555E" w:rsidRDefault="002B1283" w:rsidP="002B1283">
      <w:pPr>
        <w:rPr>
          <w:rFonts w:ascii="Arial Black" w:hAnsi="Arial Black"/>
          <w:b/>
          <w:bCs/>
          <w:sz w:val="28"/>
          <w:szCs w:val="28"/>
        </w:rPr>
      </w:pPr>
      <w:bookmarkStart w:id="508" w:name="_Hlk41153261"/>
      <w:r w:rsidRPr="00D5555E">
        <w:rPr>
          <w:rFonts w:ascii="Arial Black" w:hAnsi="Arial Black"/>
          <w:b/>
          <w:bCs/>
          <w:sz w:val="28"/>
          <w:szCs w:val="28"/>
        </w:rPr>
        <w:t xml:space="preserve">IN: </w:t>
      </w:r>
      <w:r>
        <w:rPr>
          <w:rFonts w:ascii="Arial Black" w:hAnsi="Arial Black"/>
          <w:b/>
          <w:bCs/>
          <w:sz w:val="28"/>
          <w:szCs w:val="28"/>
        </w:rPr>
        <w:t>UNRESP. DRIVER – DRIVES OFF WHEN MEDIC SEES REVOLVER – CONV. WITHOUT GUN FOUND – MEDIC’S FIREARM KNOWLEDGE</w:t>
      </w:r>
    </w:p>
    <w:p w14:paraId="55625648" w14:textId="77777777" w:rsidR="002B1283" w:rsidRDefault="002B1283" w:rsidP="002B1283">
      <w:pPr>
        <w:rPr>
          <w:rFonts w:ascii="Times New Roman" w:hAnsi="Times New Roman"/>
          <w:sz w:val="24"/>
          <w:szCs w:val="24"/>
        </w:rPr>
      </w:pPr>
      <w:r w:rsidRPr="00D5555E">
        <w:rPr>
          <w:rFonts w:ascii="Times New Roman" w:hAnsi="Times New Roman"/>
          <w:sz w:val="24"/>
          <w:szCs w:val="24"/>
        </w:rPr>
        <w:t xml:space="preserve">On July 15, 2019, in </w:t>
      </w:r>
      <w:r w:rsidRPr="00D5555E">
        <w:rPr>
          <w:rFonts w:ascii="Times New Roman" w:hAnsi="Times New Roman"/>
          <w:sz w:val="24"/>
          <w:szCs w:val="24"/>
          <w:u w:val="single"/>
        </w:rPr>
        <w:t>Evan Michael Sapp v. State of Indiana</w:t>
      </w:r>
      <w:r w:rsidRPr="00D5555E">
        <w:rPr>
          <w:rFonts w:ascii="Times New Roman" w:hAnsi="Times New Roman"/>
          <w:sz w:val="24"/>
          <w:szCs w:val="24"/>
        </w:rPr>
        <w:t xml:space="preserve">, </w:t>
      </w:r>
      <w:r>
        <w:rPr>
          <w:rFonts w:ascii="Times New Roman" w:hAnsi="Times New Roman"/>
          <w:sz w:val="24"/>
          <w:szCs w:val="24"/>
        </w:rPr>
        <w:t xml:space="preserve">the Court of Appeals (3 to 0) upheld the jury’s conviction, even though no firearm was ever recovered.  He received 12-year sentence as a serious violent felon, based on prior burglary conviction.  </w:t>
      </w:r>
    </w:p>
    <w:p w14:paraId="3894FBB2" w14:textId="77777777" w:rsidR="002B1283" w:rsidRPr="005A0B47"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5A0B47">
        <w:rPr>
          <w:rFonts w:ascii="Times New Roman" w:hAnsi="Times New Roman"/>
          <w:sz w:val="24"/>
          <w:szCs w:val="24"/>
        </w:rPr>
        <w:t>We likewise reject Sapp’s broader argument that no reasonable trier of fact could have found from the evidence presented that what Osborne saw was a firearm (i.e., not a toy).</w:t>
      </w:r>
    </w:p>
    <w:p w14:paraId="4688B8F3" w14:textId="77777777" w:rsidR="002B1283" w:rsidRDefault="002B1283" w:rsidP="002B1283">
      <w:pPr>
        <w:pStyle w:val="NoSpacing"/>
        <w:ind w:left="720"/>
        <w:rPr>
          <w:rFonts w:ascii="Times New Roman" w:hAnsi="Times New Roman"/>
          <w:sz w:val="24"/>
          <w:szCs w:val="24"/>
        </w:rPr>
      </w:pPr>
      <w:r w:rsidRPr="005A0B47">
        <w:rPr>
          <w:rFonts w:ascii="Times New Roman" w:hAnsi="Times New Roman"/>
          <w:sz w:val="24"/>
          <w:szCs w:val="24"/>
        </w:rPr>
        <w:t>Osborne, who had decades of experience with guns,</w:t>
      </w:r>
      <w:r>
        <w:rPr>
          <w:rFonts w:ascii="Times New Roman" w:hAnsi="Times New Roman"/>
          <w:sz w:val="24"/>
          <w:szCs w:val="24"/>
        </w:rPr>
        <w:t xml:space="preserve"> </w:t>
      </w:r>
      <w:r w:rsidRPr="005A0B47">
        <w:rPr>
          <w:rFonts w:ascii="Times New Roman" w:hAnsi="Times New Roman"/>
          <w:sz w:val="24"/>
          <w:szCs w:val="24"/>
        </w:rPr>
        <w:t xml:space="preserve">testified in considerable detail about the gun that he saw, including its color, that it was a revolver, </w:t>
      </w:r>
      <w:proofErr w:type="gramStart"/>
      <w:r w:rsidRPr="005A0B47">
        <w:rPr>
          <w:rFonts w:ascii="Times New Roman" w:hAnsi="Times New Roman"/>
          <w:sz w:val="24"/>
          <w:szCs w:val="24"/>
        </w:rPr>
        <w:t>similar to</w:t>
      </w:r>
      <w:proofErr w:type="gramEnd"/>
      <w:r w:rsidRPr="005A0B47">
        <w:rPr>
          <w:rFonts w:ascii="Times New Roman" w:hAnsi="Times New Roman"/>
          <w:sz w:val="24"/>
          <w:szCs w:val="24"/>
        </w:rPr>
        <w:t xml:space="preserve"> one he owned, and had a </w:t>
      </w:r>
      <w:r>
        <w:rPr>
          <w:rFonts w:ascii="Times New Roman" w:hAnsi="Times New Roman"/>
          <w:sz w:val="24"/>
          <w:szCs w:val="24"/>
        </w:rPr>
        <w:t>‘</w:t>
      </w:r>
      <w:r w:rsidRPr="005A0B47">
        <w:rPr>
          <w:rFonts w:ascii="Times New Roman" w:hAnsi="Times New Roman"/>
          <w:sz w:val="24"/>
          <w:szCs w:val="24"/>
        </w:rPr>
        <w:t xml:space="preserve">trap </w:t>
      </w:r>
      <w:proofErr w:type="gramStart"/>
      <w:r w:rsidRPr="005A0B47">
        <w:rPr>
          <w:rFonts w:ascii="Times New Roman" w:hAnsi="Times New Roman"/>
          <w:sz w:val="24"/>
          <w:szCs w:val="24"/>
        </w:rPr>
        <w:t>door</w:t>
      </w:r>
      <w:r>
        <w:rPr>
          <w:rFonts w:ascii="Times New Roman" w:hAnsi="Times New Roman"/>
          <w:sz w:val="24"/>
          <w:szCs w:val="24"/>
        </w:rPr>
        <w:t>’</w:t>
      </w:r>
      <w:proofErr w:type="gramEnd"/>
      <w:r>
        <w:rPr>
          <w:rFonts w:ascii="Times New Roman" w:hAnsi="Times New Roman"/>
          <w:sz w:val="24"/>
          <w:szCs w:val="24"/>
        </w:rPr>
        <w:t xml:space="preserve"> </w:t>
      </w:r>
      <w:r w:rsidRPr="005A0B47">
        <w:rPr>
          <w:rFonts w:ascii="Times New Roman" w:hAnsi="Times New Roman"/>
          <w:sz w:val="24"/>
          <w:szCs w:val="24"/>
        </w:rPr>
        <w:t>feature consistent with small caliber pistols. Transcript Vol. II at 232, 235. He also said that, when he saw it, he did not think it was a toy and, in fact, was afraid for his safety when Sapp appeared to be reaching for it</w:t>
      </w:r>
      <w:r>
        <w:rPr>
          <w:rFonts w:ascii="Times New Roman" w:hAnsi="Times New Roman"/>
          <w:sz w:val="24"/>
          <w:szCs w:val="24"/>
        </w:rPr>
        <w:t>.”</w:t>
      </w:r>
    </w:p>
    <w:p w14:paraId="062C2197" w14:textId="77777777" w:rsidR="002B1283" w:rsidRPr="004F6070" w:rsidRDefault="002B1283" w:rsidP="002B1283">
      <w:pPr>
        <w:ind w:firstLine="720"/>
        <w:rPr>
          <w:rFonts w:ascii="Times New Roman" w:hAnsi="Times New Roman"/>
          <w:sz w:val="24"/>
          <w:szCs w:val="24"/>
        </w:rPr>
      </w:pPr>
      <w:hyperlink r:id="rId2339" w:history="1">
        <w:r w:rsidRPr="004F6070">
          <w:rPr>
            <w:rStyle w:val="Hyperlink"/>
            <w:rFonts w:ascii="Times New Roman" w:hAnsi="Times New Roman"/>
            <w:sz w:val="24"/>
            <w:szCs w:val="24"/>
          </w:rPr>
          <w:t>https://www.in.gov/judiciary/opinions/pdf/07151902rra.pdf</w:t>
        </w:r>
      </w:hyperlink>
      <w:r w:rsidRPr="004F6070">
        <w:rPr>
          <w:rFonts w:ascii="Times New Roman" w:hAnsi="Times New Roman"/>
          <w:sz w:val="24"/>
          <w:szCs w:val="24"/>
        </w:rPr>
        <w:t xml:space="preserve"> </w:t>
      </w:r>
    </w:p>
    <w:p w14:paraId="5ABAD75F" w14:textId="77777777" w:rsidR="002B1283" w:rsidRPr="00755833" w:rsidRDefault="002B1283" w:rsidP="002B1283">
      <w:pPr>
        <w:pStyle w:val="NoSpacing"/>
        <w:rPr>
          <w:rFonts w:ascii="Times New Roman" w:hAnsi="Times New Roman"/>
          <w:sz w:val="24"/>
          <w:szCs w:val="24"/>
        </w:rPr>
      </w:pPr>
    </w:p>
    <w:p w14:paraId="4CE535FF" w14:textId="77777777" w:rsidR="002B1283" w:rsidRDefault="002B1283" w:rsidP="002B1283">
      <w:pPr>
        <w:pStyle w:val="NoSpacing"/>
        <w:rPr>
          <w:rFonts w:ascii="Times New Roman" w:hAnsi="Times New Roman"/>
          <w:b/>
          <w:bCs/>
          <w:sz w:val="24"/>
          <w:szCs w:val="24"/>
        </w:rPr>
      </w:pPr>
      <w:r w:rsidRPr="00755833">
        <w:rPr>
          <w:rFonts w:ascii="Times New Roman" w:hAnsi="Times New Roman"/>
          <w:b/>
          <w:bCs/>
          <w:sz w:val="24"/>
          <w:szCs w:val="24"/>
        </w:rPr>
        <w:t xml:space="preserve">Legal Lessons Learned: </w:t>
      </w:r>
      <w:r>
        <w:rPr>
          <w:rFonts w:ascii="Times New Roman" w:hAnsi="Times New Roman"/>
          <w:b/>
          <w:bCs/>
          <w:sz w:val="24"/>
          <w:szCs w:val="24"/>
        </w:rPr>
        <w:t xml:space="preserve"> Paramedic’s long experience with firearms, and his written report to police shortly after the EMS run, were powerful evidence.</w:t>
      </w:r>
    </w:p>
    <w:p w14:paraId="1055535A" w14:textId="77777777" w:rsidR="002B1283" w:rsidRDefault="002B1283" w:rsidP="002B1283">
      <w:pPr>
        <w:pStyle w:val="NoSpacing"/>
        <w:rPr>
          <w:rFonts w:ascii="Times New Roman" w:hAnsi="Times New Roman"/>
          <w:b/>
          <w:bCs/>
          <w:sz w:val="24"/>
          <w:szCs w:val="24"/>
        </w:rPr>
      </w:pPr>
    </w:p>
    <w:p w14:paraId="346B63C3" w14:textId="77777777" w:rsidR="002B1283" w:rsidRDefault="002B1283" w:rsidP="002B1283">
      <w:pPr>
        <w:pStyle w:val="NoSpacing"/>
        <w:ind w:left="720"/>
        <w:rPr>
          <w:rFonts w:ascii="Times New Roman" w:hAnsi="Times New Roman"/>
          <w:sz w:val="24"/>
          <w:szCs w:val="24"/>
        </w:rPr>
      </w:pPr>
      <w:r w:rsidRPr="00F30DAD">
        <w:rPr>
          <w:rFonts w:ascii="Times New Roman" w:hAnsi="Times New Roman"/>
          <w:sz w:val="24"/>
          <w:szCs w:val="24"/>
        </w:rPr>
        <w:t>Note: Under prior Indiana case law, a firearm does not need to be recovered</w:t>
      </w:r>
      <w:r>
        <w:rPr>
          <w:rFonts w:ascii="Times New Roman" w:hAnsi="Times New Roman"/>
          <w:sz w:val="24"/>
          <w:szCs w:val="24"/>
        </w:rPr>
        <w:t xml:space="preserve"> to convict for unlawful possession</w:t>
      </w:r>
      <w:r w:rsidRPr="00F30DAD">
        <w:rPr>
          <w:rFonts w:ascii="Times New Roman" w:hAnsi="Times New Roman"/>
          <w:sz w:val="24"/>
          <w:szCs w:val="24"/>
        </w:rPr>
        <w:t xml:space="preserve">.  </w:t>
      </w:r>
    </w:p>
    <w:p w14:paraId="16DEEEEF" w14:textId="77777777" w:rsidR="002B1283" w:rsidRDefault="002B1283" w:rsidP="002B1283">
      <w:pPr>
        <w:pStyle w:val="NoSpacing"/>
        <w:ind w:left="720"/>
        <w:rPr>
          <w:rFonts w:ascii="Times New Roman" w:hAnsi="Times New Roman"/>
          <w:sz w:val="24"/>
          <w:szCs w:val="24"/>
        </w:rPr>
      </w:pPr>
    </w:p>
    <w:p w14:paraId="0180F80E" w14:textId="77777777" w:rsidR="002B1283" w:rsidRDefault="002B1283" w:rsidP="002B1283">
      <w:pPr>
        <w:pStyle w:val="NoSpacing"/>
        <w:ind w:left="1440"/>
        <w:rPr>
          <w:rFonts w:ascii="Times New Roman" w:hAnsi="Times New Roman"/>
          <w:sz w:val="24"/>
          <w:szCs w:val="24"/>
        </w:rPr>
      </w:pPr>
      <w:bookmarkStart w:id="509" w:name="_Hlk41153282"/>
      <w:bookmarkEnd w:id="508"/>
      <w:r>
        <w:rPr>
          <w:rFonts w:ascii="Times New Roman" w:hAnsi="Times New Roman"/>
          <w:sz w:val="24"/>
          <w:szCs w:val="24"/>
        </w:rPr>
        <w:t>“</w:t>
      </w:r>
      <w:r w:rsidRPr="005A0B47">
        <w:rPr>
          <w:rFonts w:ascii="Times New Roman" w:hAnsi="Times New Roman"/>
          <w:sz w:val="24"/>
          <w:szCs w:val="24"/>
        </w:rPr>
        <w:t>Sapp acknowledges that our courts have sustained a conviction in circumstances when the firearm was not located after the defendant’s arrest</w:t>
      </w:r>
      <w:r>
        <w:rPr>
          <w:rFonts w:ascii="Times New Roman" w:hAnsi="Times New Roman"/>
          <w:sz w:val="24"/>
          <w:szCs w:val="24"/>
        </w:rPr>
        <w:t xml:space="preserve"> </w:t>
      </w:r>
      <w:r w:rsidRPr="005A0B47">
        <w:rPr>
          <w:rFonts w:ascii="Times New Roman" w:hAnsi="Times New Roman"/>
          <w:sz w:val="24"/>
          <w:szCs w:val="24"/>
        </w:rPr>
        <w:t>but urges that, unlike where a defendant displayed or used a weapon, he did nothing “to signify or imply that the item [in his truck]was a ‘firearm.’” Id. at 5. We disagree</w:t>
      </w:r>
      <w:r>
        <w:rPr>
          <w:rFonts w:ascii="Times New Roman" w:hAnsi="Times New Roman"/>
          <w:sz w:val="24"/>
          <w:szCs w:val="24"/>
        </w:rPr>
        <w:t xml:space="preserve">… </w:t>
      </w:r>
      <w:r w:rsidRPr="005A0B47">
        <w:rPr>
          <w:rFonts w:ascii="Times New Roman" w:hAnsi="Times New Roman"/>
          <w:sz w:val="24"/>
          <w:szCs w:val="24"/>
        </w:rPr>
        <w:t xml:space="preserve">Footnote 1:  See e.g., </w:t>
      </w:r>
      <w:proofErr w:type="gramStart"/>
      <w:r w:rsidRPr="005A0B47">
        <w:rPr>
          <w:rFonts w:ascii="Times New Roman" w:hAnsi="Times New Roman"/>
          <w:sz w:val="24"/>
          <w:szCs w:val="24"/>
        </w:rPr>
        <w:t>Gray</w:t>
      </w:r>
      <w:proofErr w:type="gramEnd"/>
      <w:r w:rsidRPr="005A0B47">
        <w:rPr>
          <w:rFonts w:ascii="Times New Roman" w:hAnsi="Times New Roman"/>
          <w:sz w:val="24"/>
          <w:szCs w:val="24"/>
        </w:rPr>
        <w:t xml:space="preserve"> v. State, 903 N.E.2d 940, 943 (Ind. 2009)</w:t>
      </w:r>
      <w:r>
        <w:rPr>
          <w:rFonts w:ascii="Times New Roman" w:hAnsi="Times New Roman"/>
          <w:sz w:val="24"/>
          <w:szCs w:val="24"/>
        </w:rPr>
        <w:t xml:space="preserve">. </w:t>
      </w:r>
    </w:p>
    <w:p w14:paraId="0CA56E6E" w14:textId="77777777" w:rsidR="00AE0ACC" w:rsidRDefault="00AE0ACC" w:rsidP="00AE0ACC">
      <w:pPr>
        <w:pStyle w:val="NoSpacing"/>
        <w:rPr>
          <w:sz w:val="24"/>
          <w:szCs w:val="24"/>
        </w:rPr>
      </w:pPr>
    </w:p>
    <w:bookmarkEnd w:id="509"/>
    <w:p w14:paraId="58E5DFF2" w14:textId="77777777" w:rsidR="002B1283" w:rsidRDefault="002B1283" w:rsidP="00527EDF">
      <w:pPr>
        <w:pStyle w:val="NoSpacing"/>
        <w:rPr>
          <w:sz w:val="24"/>
          <w:szCs w:val="24"/>
        </w:rPr>
      </w:pPr>
    </w:p>
    <w:p w14:paraId="6DD9D18B" w14:textId="77777777" w:rsidR="002B1283" w:rsidRDefault="002B1283" w:rsidP="00527EDF">
      <w:pPr>
        <w:pStyle w:val="NoSpacing"/>
        <w:rPr>
          <w:sz w:val="24"/>
          <w:szCs w:val="24"/>
        </w:rPr>
      </w:pPr>
    </w:p>
    <w:p w14:paraId="4BFCFE08" w14:textId="2408E0FA" w:rsidR="00DE0F03" w:rsidRDefault="00DE0F03" w:rsidP="00DE0F03">
      <w:pPr>
        <w:pStyle w:val="NoSpacing"/>
        <w:rPr>
          <w:rFonts w:ascii="Arial Black" w:hAnsi="Arial Black"/>
          <w:sz w:val="24"/>
          <w:szCs w:val="24"/>
        </w:rPr>
      </w:pPr>
      <w:r>
        <w:rPr>
          <w:rFonts w:ascii="Arial Black" w:hAnsi="Arial Black"/>
          <w:sz w:val="24"/>
          <w:szCs w:val="24"/>
        </w:rPr>
        <w:t>13-2</w:t>
      </w:r>
      <w:r w:rsidR="00C95AF6">
        <w:rPr>
          <w:rFonts w:ascii="Arial Black" w:hAnsi="Arial Black"/>
          <w:sz w:val="24"/>
          <w:szCs w:val="24"/>
        </w:rPr>
        <w:t>7</w:t>
      </w:r>
    </w:p>
    <w:p w14:paraId="7795604B" w14:textId="77777777" w:rsidR="002B1283" w:rsidRDefault="002B1283" w:rsidP="00527EDF">
      <w:pPr>
        <w:pStyle w:val="NoSpacing"/>
        <w:rPr>
          <w:sz w:val="24"/>
          <w:szCs w:val="24"/>
        </w:rPr>
      </w:pPr>
    </w:p>
    <w:p w14:paraId="1E4A0418" w14:textId="5848B004" w:rsidR="00527EDF" w:rsidRDefault="00527EDF" w:rsidP="00527EDF">
      <w:pPr>
        <w:pStyle w:val="NoSpacing"/>
        <w:rPr>
          <w:rFonts w:ascii="Arial Black" w:hAnsi="Arial Black" w:cs="Arial"/>
          <w:sz w:val="28"/>
          <w:szCs w:val="28"/>
        </w:rPr>
      </w:pPr>
      <w:bookmarkStart w:id="510" w:name="_Hlk41153336"/>
      <w:r w:rsidRPr="00AF5E92">
        <w:rPr>
          <w:rFonts w:ascii="Arial Black" w:hAnsi="Arial Black" w:cs="Arial"/>
          <w:sz w:val="28"/>
          <w:szCs w:val="28"/>
        </w:rPr>
        <w:t>CA:</w:t>
      </w:r>
      <w:r>
        <w:rPr>
          <w:rFonts w:ascii="Arial Black" w:hAnsi="Arial Black" w:cs="Arial"/>
          <w:sz w:val="28"/>
          <w:szCs w:val="28"/>
        </w:rPr>
        <w:t xml:space="preserve"> FLIGHT PARAM. KILLED HELICOPTER CRASH – ONLY WORKERS COMP - CAN’T SUE HELICOPTER CO. - “SPECIAL EMPLOYEE”</w:t>
      </w:r>
    </w:p>
    <w:p w14:paraId="74502AEE" w14:textId="77777777" w:rsidR="00527EDF" w:rsidRDefault="00527EDF" w:rsidP="00527EDF">
      <w:pPr>
        <w:pStyle w:val="NoSpacing"/>
        <w:rPr>
          <w:rFonts w:ascii="Arial Black" w:hAnsi="Arial Black" w:cs="Arial"/>
          <w:sz w:val="28"/>
          <w:szCs w:val="28"/>
        </w:rPr>
      </w:pPr>
    </w:p>
    <w:p w14:paraId="456FE34B" w14:textId="1E210882" w:rsidR="00527EDF" w:rsidRDefault="00527EDF" w:rsidP="00527EDF">
      <w:pPr>
        <w:pStyle w:val="NoSpacing"/>
        <w:rPr>
          <w:rFonts w:ascii="Times New Roman" w:hAnsi="Times New Roman"/>
          <w:sz w:val="24"/>
          <w:szCs w:val="24"/>
        </w:rPr>
      </w:pPr>
      <w:r w:rsidRPr="003316F4">
        <w:rPr>
          <w:rFonts w:ascii="Times New Roman" w:hAnsi="Times New Roman"/>
          <w:sz w:val="24"/>
          <w:szCs w:val="24"/>
        </w:rPr>
        <w:t xml:space="preserve">On May 24, 2019, in </w:t>
      </w:r>
      <w:r w:rsidRPr="003316F4">
        <w:rPr>
          <w:rFonts w:ascii="Times New Roman" w:hAnsi="Times New Roman"/>
          <w:sz w:val="24"/>
          <w:szCs w:val="24"/>
          <w:u w:val="single"/>
        </w:rPr>
        <w:t>Brooke Juarez v. Rogers Helicopters, Inc.</w:t>
      </w:r>
      <w:r>
        <w:rPr>
          <w:rFonts w:ascii="Times New Roman" w:hAnsi="Times New Roman"/>
          <w:sz w:val="24"/>
          <w:szCs w:val="24"/>
          <w:u w:val="single"/>
        </w:rPr>
        <w:t>, et al.</w:t>
      </w:r>
      <w:r>
        <w:rPr>
          <w:rFonts w:ascii="Times New Roman" w:hAnsi="Times New Roman"/>
          <w:sz w:val="24"/>
          <w:szCs w:val="24"/>
        </w:rPr>
        <w:t xml:space="preserve">, the Court of Appeals for California, Fifth Appellate District, held (3 to 0) in an unpublished decision, the trial court properly granted summary judgment to the helicopter company; the deceased paramedic was a “general employee” of American Airborne company, and a “special employee” of Rogers Helicopter, and therefore workers compensation was the sole remedy for the wife of the deceased paramedic. </w:t>
      </w:r>
    </w:p>
    <w:p w14:paraId="706F7D86" w14:textId="77777777" w:rsidR="00527EDF" w:rsidRPr="003316F4" w:rsidRDefault="00527EDF" w:rsidP="00527EDF">
      <w:pPr>
        <w:pStyle w:val="NoSpacing"/>
        <w:rPr>
          <w:rFonts w:ascii="Times New Roman" w:hAnsi="Times New Roman"/>
          <w:sz w:val="24"/>
          <w:szCs w:val="24"/>
        </w:rPr>
      </w:pPr>
    </w:p>
    <w:p w14:paraId="60BEB463" w14:textId="77777777" w:rsidR="00527EDF" w:rsidRDefault="00527EDF" w:rsidP="00527EDF">
      <w:pPr>
        <w:pStyle w:val="NoSpacing"/>
        <w:ind w:left="720"/>
        <w:rPr>
          <w:rFonts w:ascii="Times New Roman" w:hAnsi="Times New Roman"/>
          <w:sz w:val="24"/>
          <w:szCs w:val="24"/>
        </w:rPr>
      </w:pPr>
      <w:r>
        <w:rPr>
          <w:rFonts w:ascii="Times New Roman" w:hAnsi="Times New Roman"/>
          <w:sz w:val="24"/>
          <w:szCs w:val="24"/>
        </w:rPr>
        <w:t>“</w:t>
      </w:r>
      <w:r w:rsidRPr="003316F4">
        <w:rPr>
          <w:rFonts w:ascii="Times New Roman" w:hAnsi="Times New Roman"/>
          <w:sz w:val="24"/>
          <w:szCs w:val="24"/>
        </w:rPr>
        <w:t xml:space="preserve">In sum, based on the facts and circumstances of this case, since </w:t>
      </w:r>
      <w:proofErr w:type="spellStart"/>
      <w:r w:rsidRPr="003316F4">
        <w:rPr>
          <w:rFonts w:ascii="Times New Roman" w:hAnsi="Times New Roman"/>
          <w:sz w:val="24"/>
          <w:szCs w:val="24"/>
        </w:rPr>
        <w:t>SkyLife</w:t>
      </w:r>
      <w:proofErr w:type="spellEnd"/>
      <w:r>
        <w:rPr>
          <w:rFonts w:ascii="Times New Roman" w:hAnsi="Times New Roman"/>
          <w:sz w:val="24"/>
          <w:szCs w:val="24"/>
        </w:rPr>
        <w:t xml:space="preserve"> </w:t>
      </w:r>
      <w:r w:rsidRPr="003316F4">
        <w:rPr>
          <w:rFonts w:ascii="Times New Roman" w:hAnsi="Times New Roman"/>
          <w:sz w:val="24"/>
          <w:szCs w:val="24"/>
        </w:rPr>
        <w:t xml:space="preserve">was Juarez’s special employer, </w:t>
      </w:r>
      <w:proofErr w:type="spellStart"/>
      <w:r w:rsidRPr="003316F4">
        <w:rPr>
          <w:rFonts w:ascii="Times New Roman" w:hAnsi="Times New Roman"/>
          <w:sz w:val="24"/>
          <w:szCs w:val="24"/>
        </w:rPr>
        <w:t>SkyLife’s</w:t>
      </w:r>
      <w:proofErr w:type="spellEnd"/>
      <w:r w:rsidRPr="003316F4">
        <w:rPr>
          <w:rFonts w:ascii="Times New Roman" w:hAnsi="Times New Roman"/>
          <w:sz w:val="24"/>
          <w:szCs w:val="24"/>
        </w:rPr>
        <w:t xml:space="preserve"> general partners, American Airborne and Rogers Helicopters, are also Juarez’s special employers. As such, respondents are all immune from tort </w:t>
      </w:r>
      <w:proofErr w:type="gramStart"/>
      <w:r w:rsidRPr="003316F4">
        <w:rPr>
          <w:rFonts w:ascii="Times New Roman" w:hAnsi="Times New Roman"/>
          <w:sz w:val="24"/>
          <w:szCs w:val="24"/>
        </w:rPr>
        <w:t>liability</w:t>
      </w:r>
      <w:proofErr w:type="gramEnd"/>
      <w:r w:rsidRPr="003316F4">
        <w:rPr>
          <w:rFonts w:ascii="Times New Roman" w:hAnsi="Times New Roman"/>
          <w:sz w:val="24"/>
          <w:szCs w:val="24"/>
        </w:rPr>
        <w:t xml:space="preserve"> and the trial court properly granted summary judgment in their favor</w:t>
      </w:r>
      <w:r>
        <w:rPr>
          <w:rFonts w:ascii="Times New Roman" w:hAnsi="Times New Roman"/>
          <w:sz w:val="24"/>
          <w:szCs w:val="24"/>
        </w:rPr>
        <w:t>.”</w:t>
      </w:r>
    </w:p>
    <w:p w14:paraId="0F1B1C80" w14:textId="41BCC0DA" w:rsidR="00527EDF" w:rsidRDefault="00527EDF" w:rsidP="00527EDF">
      <w:pPr>
        <w:pStyle w:val="NoSpacing"/>
        <w:ind w:left="720"/>
        <w:rPr>
          <w:rFonts w:ascii="Times New Roman" w:hAnsi="Times New Roman"/>
          <w:sz w:val="24"/>
          <w:szCs w:val="24"/>
        </w:rPr>
      </w:pPr>
      <w:hyperlink r:id="rId2340" w:history="1">
        <w:r w:rsidRPr="00821231">
          <w:rPr>
            <w:rStyle w:val="Hyperlink"/>
            <w:rFonts w:ascii="Times New Roman" w:hAnsi="Times New Roman"/>
            <w:sz w:val="24"/>
            <w:szCs w:val="24"/>
          </w:rPr>
          <w:t>https://www.courts.ca.gov/opinions/nonpub/F076225.PDF</w:t>
        </w:r>
      </w:hyperlink>
      <w:r>
        <w:rPr>
          <w:rFonts w:ascii="Times New Roman" w:hAnsi="Times New Roman"/>
          <w:sz w:val="24"/>
          <w:szCs w:val="24"/>
        </w:rPr>
        <w:t xml:space="preserve"> </w:t>
      </w:r>
    </w:p>
    <w:p w14:paraId="013F37C7" w14:textId="714B72D4" w:rsidR="00527EDF" w:rsidRDefault="00527EDF" w:rsidP="00527EDF">
      <w:pPr>
        <w:pStyle w:val="NoSpacing"/>
        <w:ind w:left="720"/>
        <w:rPr>
          <w:rFonts w:ascii="Times New Roman" w:hAnsi="Times New Roman"/>
          <w:sz w:val="24"/>
          <w:szCs w:val="24"/>
        </w:rPr>
      </w:pPr>
    </w:p>
    <w:p w14:paraId="5500346D" w14:textId="77777777" w:rsidR="00527EDF" w:rsidRPr="00842296" w:rsidRDefault="00527EDF" w:rsidP="00527EDF">
      <w:pPr>
        <w:pStyle w:val="NoSpacing"/>
        <w:rPr>
          <w:rFonts w:ascii="Times New Roman" w:hAnsi="Times New Roman"/>
          <w:b/>
          <w:sz w:val="24"/>
          <w:szCs w:val="24"/>
        </w:rPr>
      </w:pPr>
      <w:r w:rsidRPr="00842296">
        <w:rPr>
          <w:rFonts w:ascii="Times New Roman" w:hAnsi="Times New Roman"/>
          <w:b/>
          <w:sz w:val="24"/>
          <w:szCs w:val="24"/>
        </w:rPr>
        <w:t xml:space="preserve">Legal Lessons Learned: </w:t>
      </w:r>
      <w:r>
        <w:rPr>
          <w:rFonts w:ascii="Times New Roman" w:hAnsi="Times New Roman"/>
          <w:b/>
          <w:sz w:val="24"/>
          <w:szCs w:val="24"/>
        </w:rPr>
        <w:t xml:space="preserve"> Flight paramedics may be considered “dual employees” in many states; and workers comp. is their sole remedy for injury or death in those states.  </w:t>
      </w:r>
    </w:p>
    <w:p w14:paraId="03E80DE5" w14:textId="77777777" w:rsidR="00527EDF" w:rsidRPr="00842296" w:rsidRDefault="00527EDF" w:rsidP="00527EDF">
      <w:pPr>
        <w:pStyle w:val="NoSpacing"/>
        <w:ind w:firstLine="720"/>
        <w:rPr>
          <w:rFonts w:ascii="Times New Roman" w:hAnsi="Times New Roman"/>
          <w:sz w:val="24"/>
          <w:szCs w:val="24"/>
        </w:rPr>
      </w:pPr>
      <w:r w:rsidRPr="00842296">
        <w:rPr>
          <w:rFonts w:ascii="Times New Roman" w:hAnsi="Times New Roman"/>
          <w:sz w:val="24"/>
          <w:szCs w:val="24"/>
        </w:rPr>
        <w:t>See article on the crash:</w:t>
      </w:r>
    </w:p>
    <w:p w14:paraId="7869CAED" w14:textId="77777777" w:rsidR="00527EDF" w:rsidRDefault="00527EDF" w:rsidP="00527EDF">
      <w:pPr>
        <w:pStyle w:val="NoSpacing"/>
        <w:ind w:firstLine="720"/>
      </w:pPr>
      <w:hyperlink r:id="rId2341" w:history="1">
        <w:r w:rsidRPr="005B46AA">
          <w:rPr>
            <w:rStyle w:val="Hyperlink"/>
          </w:rPr>
          <w:t>https://www.fresnobee.com/news/local/article167656267.html</w:t>
        </w:r>
      </w:hyperlink>
      <w:r>
        <w:t xml:space="preserve"> </w:t>
      </w:r>
    </w:p>
    <w:p w14:paraId="0D9AE3E8" w14:textId="77777777" w:rsidR="00527EDF" w:rsidRPr="00DE64B9" w:rsidRDefault="00527EDF" w:rsidP="00527EDF">
      <w:pPr>
        <w:pStyle w:val="NoSpacing"/>
        <w:ind w:left="720"/>
        <w:rPr>
          <w:rFonts w:ascii="Times New Roman" w:hAnsi="Times New Roman"/>
          <w:sz w:val="24"/>
          <w:szCs w:val="24"/>
        </w:rPr>
      </w:pPr>
      <w:r w:rsidRPr="00DE64B9">
        <w:rPr>
          <w:rFonts w:ascii="Times New Roman" w:hAnsi="Times New Roman"/>
          <w:sz w:val="24"/>
          <w:szCs w:val="24"/>
        </w:rPr>
        <w:t xml:space="preserve">See trial court’s summary judgment decision: </w:t>
      </w:r>
      <w:hyperlink r:id="rId2342" w:history="1">
        <w:r w:rsidRPr="005B46AA">
          <w:rPr>
            <w:rStyle w:val="Hyperlink"/>
            <w:rFonts w:ascii="Times New Roman" w:hAnsi="Times New Roman"/>
            <w:sz w:val="24"/>
            <w:szCs w:val="24"/>
          </w:rPr>
          <w:t>https://assets.documentcloud.org/documents/3933644/Order-Granting-Summary-Judgment.pdf</w:t>
        </w:r>
      </w:hyperlink>
      <w:r w:rsidRPr="00DE64B9">
        <w:rPr>
          <w:rFonts w:ascii="Times New Roman" w:hAnsi="Times New Roman"/>
          <w:sz w:val="24"/>
          <w:szCs w:val="24"/>
        </w:rPr>
        <w:t xml:space="preserve"> </w:t>
      </w:r>
    </w:p>
    <w:p w14:paraId="0A25EDDD" w14:textId="77777777" w:rsidR="00527EDF" w:rsidRPr="00DE64B9" w:rsidRDefault="00527EDF" w:rsidP="00527EDF">
      <w:pPr>
        <w:pStyle w:val="NoSpacing"/>
        <w:ind w:left="720"/>
        <w:rPr>
          <w:rFonts w:ascii="Times New Roman" w:hAnsi="Times New Roman"/>
          <w:sz w:val="24"/>
          <w:szCs w:val="24"/>
        </w:rPr>
      </w:pPr>
      <w:r w:rsidRPr="00DE64B9">
        <w:rPr>
          <w:rFonts w:ascii="Times New Roman" w:hAnsi="Times New Roman"/>
          <w:sz w:val="24"/>
          <w:szCs w:val="24"/>
        </w:rPr>
        <w:t>See this article about air</w:t>
      </w:r>
      <w:r>
        <w:rPr>
          <w:rFonts w:ascii="Times New Roman" w:hAnsi="Times New Roman"/>
          <w:sz w:val="24"/>
          <w:szCs w:val="24"/>
        </w:rPr>
        <w:t xml:space="preserve"> </w:t>
      </w:r>
      <w:r w:rsidRPr="00DE64B9">
        <w:rPr>
          <w:rFonts w:ascii="Times New Roman" w:hAnsi="Times New Roman"/>
          <w:sz w:val="24"/>
          <w:szCs w:val="24"/>
        </w:rPr>
        <w:t xml:space="preserve">care helicopter crashes: </w:t>
      </w:r>
      <w:hyperlink r:id="rId2343" w:history="1">
        <w:r w:rsidRPr="005B46AA">
          <w:rPr>
            <w:rStyle w:val="Hyperlink"/>
            <w:rFonts w:ascii="Times New Roman" w:hAnsi="Times New Roman"/>
            <w:sz w:val="24"/>
            <w:szCs w:val="24"/>
          </w:rPr>
          <w:t>https://www.plaintiffmagazine.com/recent-issues/item/ems-helicopter-crashes-raise-complex-liability-issues</w:t>
        </w:r>
      </w:hyperlink>
      <w:r w:rsidRPr="00DE64B9">
        <w:rPr>
          <w:rFonts w:ascii="Times New Roman" w:hAnsi="Times New Roman"/>
          <w:sz w:val="24"/>
          <w:szCs w:val="24"/>
        </w:rPr>
        <w:t xml:space="preserve"> </w:t>
      </w:r>
    </w:p>
    <w:p w14:paraId="6C22DBB3" w14:textId="77777777" w:rsidR="00527EDF" w:rsidRPr="00DE64B9" w:rsidRDefault="00527EDF" w:rsidP="00527EDF">
      <w:pPr>
        <w:pStyle w:val="NoSpacing"/>
        <w:ind w:left="1440"/>
        <w:rPr>
          <w:rFonts w:ascii="Times New Roman" w:hAnsi="Times New Roman"/>
          <w:sz w:val="24"/>
          <w:szCs w:val="24"/>
        </w:rPr>
      </w:pPr>
      <w:r w:rsidRPr="00DE64B9">
        <w:rPr>
          <w:rFonts w:ascii="Times New Roman" w:hAnsi="Times New Roman"/>
          <w:sz w:val="24"/>
          <w:szCs w:val="24"/>
        </w:rPr>
        <w:t xml:space="preserve">“Of course, if the crash was caused by a defect in the helicopter, the crew case may proceed against the helicopter manufacturer. But there are legal challenges to be overcome there as well. A federal statute of repose known as the General Aviation Revitalization Act, or GARA, bars </w:t>
      </w:r>
      <w:proofErr w:type="gramStart"/>
      <w:r w:rsidRPr="00DE64B9">
        <w:rPr>
          <w:rFonts w:ascii="Times New Roman" w:hAnsi="Times New Roman"/>
          <w:sz w:val="24"/>
          <w:szCs w:val="24"/>
        </w:rPr>
        <w:t>claims</w:t>
      </w:r>
      <w:proofErr w:type="gramEnd"/>
      <w:r w:rsidRPr="00DE64B9">
        <w:rPr>
          <w:rFonts w:ascii="Times New Roman" w:hAnsi="Times New Roman"/>
          <w:sz w:val="24"/>
          <w:szCs w:val="24"/>
        </w:rPr>
        <w:t xml:space="preserve"> against the manufacturer if the helicopter is older than 18 years. And beneath their shiny paint, most of the helicopters now in service date back to the 1970s. (In case you’re wondering, GARA protects not just US helicopter manufacturers, but foreign helicopter manufacturers too.)”</w:t>
      </w:r>
    </w:p>
    <w:bookmarkEnd w:id="510"/>
    <w:p w14:paraId="76812F4B" w14:textId="74D719C3" w:rsidR="00527EDF" w:rsidRDefault="00527EDF" w:rsidP="00527EDF">
      <w:pPr>
        <w:pStyle w:val="NoSpacing"/>
        <w:ind w:left="720"/>
        <w:rPr>
          <w:rFonts w:ascii="Times New Roman" w:hAnsi="Times New Roman"/>
          <w:sz w:val="24"/>
          <w:szCs w:val="24"/>
        </w:rPr>
      </w:pPr>
    </w:p>
    <w:p w14:paraId="7B0443D9" w14:textId="6DABDF54" w:rsidR="00527EDF" w:rsidRDefault="00527EDF" w:rsidP="00527EDF">
      <w:pPr>
        <w:pStyle w:val="NoSpacing"/>
        <w:ind w:left="720"/>
        <w:rPr>
          <w:rFonts w:ascii="Times New Roman" w:hAnsi="Times New Roman"/>
          <w:sz w:val="24"/>
          <w:szCs w:val="24"/>
        </w:rPr>
      </w:pPr>
    </w:p>
    <w:p w14:paraId="7808354A" w14:textId="77777777" w:rsidR="0097592D" w:rsidRDefault="0097592D" w:rsidP="00DE0F03">
      <w:pPr>
        <w:pStyle w:val="NoSpacing"/>
        <w:rPr>
          <w:rFonts w:ascii="Arial Black" w:hAnsi="Arial Black"/>
          <w:sz w:val="24"/>
          <w:szCs w:val="24"/>
        </w:rPr>
      </w:pPr>
    </w:p>
    <w:p w14:paraId="5F00D369" w14:textId="77777777" w:rsidR="0097592D" w:rsidRDefault="0097592D" w:rsidP="00DE0F03">
      <w:pPr>
        <w:pStyle w:val="NoSpacing"/>
        <w:rPr>
          <w:rFonts w:ascii="Arial Black" w:hAnsi="Arial Black"/>
          <w:sz w:val="24"/>
          <w:szCs w:val="24"/>
        </w:rPr>
      </w:pPr>
    </w:p>
    <w:p w14:paraId="761B919D" w14:textId="6DF1596E" w:rsidR="00DE0F03" w:rsidRDefault="00DE0F03" w:rsidP="00DE0F03">
      <w:pPr>
        <w:pStyle w:val="NoSpacing"/>
        <w:rPr>
          <w:rFonts w:ascii="Arial Black" w:hAnsi="Arial Black"/>
          <w:sz w:val="24"/>
          <w:szCs w:val="24"/>
        </w:rPr>
      </w:pPr>
      <w:r>
        <w:rPr>
          <w:rFonts w:ascii="Arial Black" w:hAnsi="Arial Black"/>
          <w:sz w:val="24"/>
          <w:szCs w:val="24"/>
        </w:rPr>
        <w:t>13-2</w:t>
      </w:r>
      <w:r w:rsidR="00C95AF6">
        <w:rPr>
          <w:rFonts w:ascii="Arial Black" w:hAnsi="Arial Black"/>
          <w:sz w:val="24"/>
          <w:szCs w:val="24"/>
        </w:rPr>
        <w:t>6</w:t>
      </w:r>
    </w:p>
    <w:p w14:paraId="0C0D5250" w14:textId="77777777" w:rsidR="00DE0F03" w:rsidRDefault="00DE0F03" w:rsidP="00527EDF">
      <w:pPr>
        <w:pStyle w:val="NoSpacing"/>
        <w:rPr>
          <w:rFonts w:ascii="Arial Black" w:hAnsi="Arial Black"/>
          <w:sz w:val="28"/>
          <w:szCs w:val="28"/>
        </w:rPr>
      </w:pPr>
    </w:p>
    <w:p w14:paraId="09D32D39" w14:textId="56381EAD" w:rsidR="00527EDF" w:rsidRPr="00842470" w:rsidRDefault="00527EDF" w:rsidP="00527EDF">
      <w:pPr>
        <w:pStyle w:val="NoSpacing"/>
        <w:rPr>
          <w:rFonts w:ascii="Arial Black" w:hAnsi="Arial Black"/>
          <w:sz w:val="28"/>
          <w:szCs w:val="28"/>
        </w:rPr>
      </w:pPr>
      <w:bookmarkStart w:id="511" w:name="_Hlk41153395"/>
      <w:r w:rsidRPr="00842470">
        <w:rPr>
          <w:rFonts w:ascii="Arial Black" w:hAnsi="Arial Black"/>
          <w:sz w:val="28"/>
          <w:szCs w:val="28"/>
        </w:rPr>
        <w:t xml:space="preserve">KY: </w:t>
      </w:r>
      <w:r>
        <w:rPr>
          <w:rFonts w:ascii="Arial Black" w:hAnsi="Arial Black"/>
          <w:sz w:val="28"/>
          <w:szCs w:val="28"/>
        </w:rPr>
        <w:t xml:space="preserve">DRIVER / POSS. STROKE - REFUSED TREATMENT - PD TOOK </w:t>
      </w:r>
      <w:r w:rsidR="009C7552">
        <w:rPr>
          <w:rFonts w:ascii="Arial Black" w:hAnsi="Arial Black"/>
          <w:sz w:val="28"/>
          <w:szCs w:val="28"/>
        </w:rPr>
        <w:t>HIM TO McDonalds</w:t>
      </w:r>
      <w:r>
        <w:rPr>
          <w:rFonts w:ascii="Arial Black" w:hAnsi="Arial Black"/>
          <w:sz w:val="28"/>
          <w:szCs w:val="28"/>
        </w:rPr>
        <w:t xml:space="preserve"> – KILLED WALKING HWY – QUALIF. IMMUNITY</w:t>
      </w:r>
    </w:p>
    <w:p w14:paraId="057A9610" w14:textId="77777777" w:rsidR="00527EDF" w:rsidRPr="00842470" w:rsidRDefault="00527EDF" w:rsidP="00527EDF">
      <w:pPr>
        <w:pStyle w:val="NoSpacing"/>
        <w:rPr>
          <w:rFonts w:ascii="Times New Roman" w:hAnsi="Times New Roman"/>
          <w:sz w:val="24"/>
          <w:szCs w:val="24"/>
        </w:rPr>
      </w:pPr>
    </w:p>
    <w:p w14:paraId="4ADB99B0" w14:textId="77777777" w:rsidR="00527EDF" w:rsidRDefault="00527EDF" w:rsidP="00527EDF">
      <w:pPr>
        <w:pStyle w:val="NoSpacing"/>
        <w:rPr>
          <w:rFonts w:ascii="Times New Roman" w:hAnsi="Times New Roman"/>
          <w:sz w:val="24"/>
          <w:szCs w:val="24"/>
        </w:rPr>
      </w:pPr>
      <w:r>
        <w:rPr>
          <w:rFonts w:ascii="Times New Roman" w:hAnsi="Times New Roman"/>
          <w:sz w:val="24"/>
          <w:szCs w:val="24"/>
        </w:rPr>
        <w:t xml:space="preserve">On May 24, 2019, in </w:t>
      </w:r>
      <w:r w:rsidRPr="00842470">
        <w:rPr>
          <w:rFonts w:ascii="Times New Roman" w:hAnsi="Times New Roman"/>
          <w:sz w:val="24"/>
          <w:szCs w:val="24"/>
          <w:u w:val="single"/>
        </w:rPr>
        <w:t>Lisa K. Williams v. City of Georgetown, KY, et al</w:t>
      </w:r>
      <w:r>
        <w:rPr>
          <w:rFonts w:ascii="Times New Roman" w:hAnsi="Times New Roman"/>
          <w:sz w:val="24"/>
          <w:szCs w:val="24"/>
        </w:rPr>
        <w:t>., the U.S. Court of Appeals for 6</w:t>
      </w:r>
      <w:r w:rsidRPr="00842470">
        <w:rPr>
          <w:rFonts w:ascii="Times New Roman" w:hAnsi="Times New Roman"/>
          <w:sz w:val="24"/>
          <w:szCs w:val="24"/>
          <w:vertAlign w:val="superscript"/>
        </w:rPr>
        <w:t>th</w:t>
      </w:r>
      <w:r>
        <w:rPr>
          <w:rFonts w:ascii="Times New Roman" w:hAnsi="Times New Roman"/>
          <w:sz w:val="24"/>
          <w:szCs w:val="24"/>
        </w:rPr>
        <w:t xml:space="preserve"> Circuit, in an unpublished opinion, held (2 to 1). </w:t>
      </w:r>
    </w:p>
    <w:p w14:paraId="65A3BF6A" w14:textId="77777777" w:rsidR="00527EDF" w:rsidRDefault="00527EDF" w:rsidP="00527EDF">
      <w:pPr>
        <w:pStyle w:val="NoSpacing"/>
        <w:rPr>
          <w:rFonts w:ascii="Times New Roman" w:hAnsi="Times New Roman"/>
          <w:sz w:val="24"/>
          <w:szCs w:val="24"/>
        </w:rPr>
      </w:pPr>
    </w:p>
    <w:p w14:paraId="55F3347A" w14:textId="77777777" w:rsidR="00527EDF" w:rsidRPr="008D3A7A" w:rsidRDefault="00527EDF" w:rsidP="00527EDF">
      <w:pPr>
        <w:pStyle w:val="NoSpacing"/>
        <w:ind w:left="720"/>
        <w:rPr>
          <w:rFonts w:ascii="Times New Roman" w:hAnsi="Times New Roman"/>
          <w:sz w:val="24"/>
          <w:szCs w:val="24"/>
        </w:rPr>
      </w:pPr>
      <w:r w:rsidRPr="00BD2A4C">
        <w:rPr>
          <w:rFonts w:ascii="Times New Roman" w:hAnsi="Times New Roman"/>
          <w:sz w:val="24"/>
          <w:szCs w:val="24"/>
        </w:rPr>
        <w:t>“This case presents tragic facts without a legal remedy. ***</w:t>
      </w:r>
      <w:r>
        <w:rPr>
          <w:rFonts w:ascii="Times New Roman" w:hAnsi="Times New Roman"/>
          <w:sz w:val="24"/>
          <w:szCs w:val="24"/>
        </w:rPr>
        <w:t xml:space="preserve"> </w:t>
      </w:r>
      <w:r w:rsidRPr="008D3A7A">
        <w:rPr>
          <w:rFonts w:ascii="Times New Roman" w:hAnsi="Times New Roman"/>
          <w:sz w:val="24"/>
          <w:szCs w:val="24"/>
        </w:rPr>
        <w:t xml:space="preserve">Although it is true that </w:t>
      </w:r>
      <w:r>
        <w:rPr>
          <w:rFonts w:ascii="Times New Roman" w:hAnsi="Times New Roman"/>
          <w:sz w:val="24"/>
          <w:szCs w:val="24"/>
        </w:rPr>
        <w:t>‘</w:t>
      </w:r>
      <w:r w:rsidRPr="008D3A7A">
        <w:rPr>
          <w:rFonts w:ascii="Times New Roman" w:hAnsi="Times New Roman"/>
          <w:sz w:val="24"/>
          <w:szCs w:val="24"/>
        </w:rPr>
        <w:t>an officer’s duty exists even after the custodial relationship has ended,</w:t>
      </w:r>
      <w:r>
        <w:rPr>
          <w:rFonts w:ascii="Times New Roman" w:hAnsi="Times New Roman"/>
          <w:sz w:val="24"/>
          <w:szCs w:val="24"/>
        </w:rPr>
        <w:t>’</w:t>
      </w:r>
      <w:r w:rsidRPr="008D3A7A">
        <w:rPr>
          <w:rFonts w:ascii="Times New Roman" w:hAnsi="Times New Roman"/>
          <w:sz w:val="24"/>
          <w:szCs w:val="24"/>
        </w:rPr>
        <w:t xml:space="preserve"> Davis, 143 F.3d at1025, it does not extend in perpetuity. Plaintiff admits that the officers concluded Burns was not a danger to himself or others. Calling an ambulance and giving Burns a ride to McDonald’s does not strike us as the deliberate indifference described in Davis. 143 F.3d at1027; see also Salyers, 534 F. </w:t>
      </w:r>
      <w:proofErr w:type="spellStart"/>
      <w:r w:rsidRPr="008D3A7A">
        <w:rPr>
          <w:rFonts w:ascii="Times New Roman" w:hAnsi="Times New Roman"/>
          <w:sz w:val="24"/>
          <w:szCs w:val="24"/>
        </w:rPr>
        <w:t>App’x</w:t>
      </w:r>
      <w:proofErr w:type="spellEnd"/>
      <w:r w:rsidRPr="008D3A7A">
        <w:rPr>
          <w:rFonts w:ascii="Times New Roman" w:hAnsi="Times New Roman"/>
          <w:sz w:val="24"/>
          <w:szCs w:val="24"/>
        </w:rPr>
        <w:t xml:space="preserve"> at 460. There was no constitutional violation.</w:t>
      </w:r>
      <w:r>
        <w:rPr>
          <w:rFonts w:ascii="Times New Roman" w:hAnsi="Times New Roman"/>
          <w:sz w:val="24"/>
          <w:szCs w:val="24"/>
        </w:rPr>
        <w:t xml:space="preserve">” </w:t>
      </w:r>
      <w:hyperlink r:id="rId2344" w:history="1">
        <w:r w:rsidRPr="00821231">
          <w:rPr>
            <w:rStyle w:val="Hyperlink"/>
            <w:rFonts w:ascii="Times New Roman" w:hAnsi="Times New Roman"/>
            <w:sz w:val="24"/>
            <w:szCs w:val="24"/>
          </w:rPr>
          <w:t>http://www.opn.ca6.uscourts.gov/opinions.pdf/19a0272n-06.pdf</w:t>
        </w:r>
      </w:hyperlink>
      <w:r>
        <w:rPr>
          <w:rFonts w:ascii="Times New Roman" w:hAnsi="Times New Roman"/>
          <w:sz w:val="24"/>
          <w:szCs w:val="24"/>
        </w:rPr>
        <w:t xml:space="preserve"> </w:t>
      </w:r>
    </w:p>
    <w:p w14:paraId="6E310688" w14:textId="77777777" w:rsidR="00527EDF" w:rsidRDefault="00527EDF" w:rsidP="00527EDF">
      <w:pPr>
        <w:pStyle w:val="NoSpacing"/>
        <w:rPr>
          <w:rFonts w:ascii="Times New Roman" w:hAnsi="Times New Roman"/>
          <w:sz w:val="24"/>
          <w:szCs w:val="24"/>
        </w:rPr>
      </w:pPr>
    </w:p>
    <w:p w14:paraId="676E63B2" w14:textId="77777777" w:rsidR="00527EDF" w:rsidRDefault="00527EDF" w:rsidP="00527EDF">
      <w:pPr>
        <w:pStyle w:val="NoSpacing"/>
        <w:rPr>
          <w:rFonts w:ascii="Times New Roman" w:hAnsi="Times New Roman"/>
          <w:b/>
          <w:sz w:val="24"/>
          <w:szCs w:val="24"/>
        </w:rPr>
      </w:pPr>
      <w:r w:rsidRPr="00BD2A4C">
        <w:rPr>
          <w:rFonts w:ascii="Times New Roman" w:hAnsi="Times New Roman"/>
          <w:b/>
          <w:sz w:val="24"/>
          <w:szCs w:val="24"/>
        </w:rPr>
        <w:t xml:space="preserve">Legal Lessons Learned: </w:t>
      </w:r>
      <w:r>
        <w:rPr>
          <w:rFonts w:ascii="Times New Roman" w:hAnsi="Times New Roman"/>
          <w:b/>
          <w:sz w:val="24"/>
          <w:szCs w:val="24"/>
        </w:rPr>
        <w:t xml:space="preserve"> Fire &amp; EMS Departments should have a written policy about patient refusals that includes handling situations where the individual </w:t>
      </w:r>
      <w:proofErr w:type="spellStart"/>
      <w:proofErr w:type="gramStart"/>
      <w:r>
        <w:rPr>
          <w:rFonts w:ascii="Times New Roman" w:hAnsi="Times New Roman"/>
          <w:b/>
          <w:sz w:val="24"/>
          <w:szCs w:val="24"/>
        </w:rPr>
        <w:t>can not</w:t>
      </w:r>
      <w:proofErr w:type="spellEnd"/>
      <w:proofErr w:type="gramEnd"/>
      <w:r>
        <w:rPr>
          <w:rFonts w:ascii="Times New Roman" w:hAnsi="Times New Roman"/>
          <w:b/>
          <w:sz w:val="24"/>
          <w:szCs w:val="24"/>
        </w:rPr>
        <w:t xml:space="preserve"> be safely left at the scene (such as MVA, with no ride home).</w:t>
      </w:r>
    </w:p>
    <w:p w14:paraId="10F38A65" w14:textId="77777777" w:rsidR="00527EDF" w:rsidRDefault="00527EDF" w:rsidP="00527EDF">
      <w:pPr>
        <w:pStyle w:val="NoSpacing"/>
        <w:rPr>
          <w:rFonts w:ascii="Times New Roman" w:hAnsi="Times New Roman"/>
          <w:b/>
          <w:sz w:val="24"/>
          <w:szCs w:val="24"/>
        </w:rPr>
      </w:pPr>
    </w:p>
    <w:p w14:paraId="6A10F94A" w14:textId="77777777" w:rsidR="00527EDF" w:rsidRPr="000E62D4" w:rsidRDefault="00527EDF" w:rsidP="00527EDF">
      <w:pPr>
        <w:pStyle w:val="NoSpacing"/>
        <w:ind w:left="720"/>
        <w:rPr>
          <w:rFonts w:ascii="Times New Roman" w:hAnsi="Times New Roman"/>
          <w:sz w:val="24"/>
          <w:szCs w:val="24"/>
        </w:rPr>
      </w:pPr>
      <w:r w:rsidRPr="000E62D4">
        <w:rPr>
          <w:rFonts w:ascii="Times New Roman" w:hAnsi="Times New Roman"/>
          <w:sz w:val="24"/>
          <w:szCs w:val="24"/>
        </w:rPr>
        <w:t xml:space="preserve">See attached Policy on “High Risk” and “Low Risk” refusals. </w:t>
      </w:r>
      <w:hyperlink r:id="rId2345" w:history="1">
        <w:r w:rsidRPr="00D10EF5">
          <w:rPr>
            <w:rStyle w:val="Hyperlink"/>
            <w:rFonts w:ascii="Times New Roman" w:hAnsi="Times New Roman"/>
            <w:sz w:val="24"/>
            <w:szCs w:val="24"/>
          </w:rPr>
          <w:t>https://www.unitypoint.org/peoria/filesimages/Documents/EMS%20Documents/EMS%20Policies/PROCTOR%20Policy%20Dr.%20Huff%2032%20Patient%20Right%20of%20Refusal.pdf</w:t>
        </w:r>
      </w:hyperlink>
      <w:r>
        <w:rPr>
          <w:rFonts w:ascii="Times New Roman" w:hAnsi="Times New Roman"/>
          <w:sz w:val="24"/>
          <w:szCs w:val="24"/>
        </w:rPr>
        <w:t xml:space="preserve"> </w:t>
      </w:r>
    </w:p>
    <w:bookmarkEnd w:id="511"/>
    <w:p w14:paraId="2838795B" w14:textId="77777777" w:rsidR="00527EDF" w:rsidRDefault="00527EDF" w:rsidP="00527EDF">
      <w:pPr>
        <w:pStyle w:val="NoSpacing"/>
        <w:rPr>
          <w:rFonts w:ascii="Times New Roman" w:hAnsi="Times New Roman"/>
          <w:sz w:val="24"/>
          <w:szCs w:val="24"/>
        </w:rPr>
      </w:pPr>
    </w:p>
    <w:p w14:paraId="50C6F0D8" w14:textId="77777777" w:rsidR="00DE0F03" w:rsidRDefault="00DE0F03" w:rsidP="00DE0F03">
      <w:pPr>
        <w:pStyle w:val="NoSpacing"/>
        <w:rPr>
          <w:rFonts w:ascii="Arial Black" w:hAnsi="Arial Black"/>
          <w:sz w:val="24"/>
          <w:szCs w:val="24"/>
        </w:rPr>
      </w:pPr>
    </w:p>
    <w:p w14:paraId="036FF166" w14:textId="77777777" w:rsidR="0097592D" w:rsidRDefault="0097592D" w:rsidP="00DE0F03">
      <w:pPr>
        <w:pStyle w:val="NoSpacing"/>
        <w:rPr>
          <w:rFonts w:ascii="Arial Black" w:hAnsi="Arial Black"/>
          <w:sz w:val="24"/>
          <w:szCs w:val="24"/>
        </w:rPr>
      </w:pPr>
    </w:p>
    <w:p w14:paraId="41E11F73" w14:textId="77777777" w:rsidR="0097592D" w:rsidRDefault="0097592D" w:rsidP="00DE0F03">
      <w:pPr>
        <w:pStyle w:val="NoSpacing"/>
        <w:rPr>
          <w:rFonts w:ascii="Arial Black" w:hAnsi="Arial Black"/>
          <w:sz w:val="24"/>
          <w:szCs w:val="24"/>
        </w:rPr>
      </w:pPr>
    </w:p>
    <w:p w14:paraId="7B7B2F91" w14:textId="77777777" w:rsidR="0097592D" w:rsidRDefault="0097592D" w:rsidP="00DE0F03">
      <w:pPr>
        <w:pStyle w:val="NoSpacing"/>
        <w:rPr>
          <w:rFonts w:ascii="Arial Black" w:hAnsi="Arial Black"/>
          <w:sz w:val="24"/>
          <w:szCs w:val="24"/>
        </w:rPr>
      </w:pPr>
    </w:p>
    <w:p w14:paraId="74FCC083" w14:textId="74805CF6" w:rsidR="00DE0F03" w:rsidRDefault="00DE0F03" w:rsidP="00DE0F03">
      <w:pPr>
        <w:pStyle w:val="NoSpacing"/>
        <w:rPr>
          <w:rFonts w:ascii="Arial Black" w:hAnsi="Arial Black"/>
          <w:sz w:val="24"/>
          <w:szCs w:val="24"/>
        </w:rPr>
      </w:pPr>
      <w:r>
        <w:rPr>
          <w:rFonts w:ascii="Arial Black" w:hAnsi="Arial Black"/>
          <w:sz w:val="24"/>
          <w:szCs w:val="24"/>
        </w:rPr>
        <w:t>13-2</w:t>
      </w:r>
      <w:r w:rsidR="00C95AF6">
        <w:rPr>
          <w:rFonts w:ascii="Arial Black" w:hAnsi="Arial Black"/>
          <w:sz w:val="24"/>
          <w:szCs w:val="24"/>
        </w:rPr>
        <w:t>5</w:t>
      </w:r>
    </w:p>
    <w:p w14:paraId="75A39153" w14:textId="5E700095" w:rsidR="00527EDF" w:rsidRDefault="00527EDF" w:rsidP="00527EDF">
      <w:pPr>
        <w:pStyle w:val="NoSpacing"/>
        <w:ind w:left="720"/>
        <w:rPr>
          <w:rFonts w:ascii="Times New Roman" w:hAnsi="Times New Roman"/>
          <w:sz w:val="24"/>
          <w:szCs w:val="24"/>
        </w:rPr>
      </w:pPr>
    </w:p>
    <w:p w14:paraId="1444BE9E" w14:textId="3245901A" w:rsidR="00527EDF" w:rsidRDefault="00527EDF" w:rsidP="00F326E5">
      <w:pPr>
        <w:pStyle w:val="NoSpacing"/>
        <w:rPr>
          <w:sz w:val="24"/>
          <w:szCs w:val="24"/>
        </w:rPr>
      </w:pPr>
    </w:p>
    <w:p w14:paraId="5C916AF6" w14:textId="2F2A2FAC" w:rsidR="00527EDF" w:rsidRPr="00A67D90" w:rsidRDefault="00527EDF" w:rsidP="00527EDF">
      <w:pPr>
        <w:pStyle w:val="NoSpacing"/>
        <w:rPr>
          <w:rFonts w:ascii="Arial Black" w:hAnsi="Arial Black" w:cs="Arial"/>
          <w:sz w:val="28"/>
          <w:szCs w:val="28"/>
        </w:rPr>
      </w:pPr>
      <w:bookmarkStart w:id="512" w:name="_Hlk41153585"/>
      <w:r>
        <w:rPr>
          <w:rFonts w:ascii="Arial Black" w:hAnsi="Arial Black" w:cs="Arial"/>
          <w:sz w:val="28"/>
          <w:szCs w:val="28"/>
        </w:rPr>
        <w:t>CA:  CHILD CHOKING, MOTHER CALLED 911 - ONLY SPOKE SPANISH – IMMUNITY - NO REQ. THAT DISPATCHERS MUST SPEAK SPANISH</w:t>
      </w:r>
    </w:p>
    <w:p w14:paraId="51C14738" w14:textId="77777777" w:rsidR="00527EDF" w:rsidRDefault="00527EDF" w:rsidP="00527EDF">
      <w:pPr>
        <w:pStyle w:val="NoSpacing"/>
        <w:rPr>
          <w:rFonts w:ascii="Arial" w:hAnsi="Arial" w:cs="Arial"/>
          <w:sz w:val="32"/>
          <w:szCs w:val="32"/>
        </w:rPr>
      </w:pPr>
    </w:p>
    <w:p w14:paraId="7ED5FFBD" w14:textId="77777777" w:rsidR="00527EDF" w:rsidRDefault="00527EDF" w:rsidP="00527EDF">
      <w:pPr>
        <w:pStyle w:val="NoSpacing"/>
        <w:rPr>
          <w:rFonts w:ascii="Times New Roman" w:hAnsi="Times New Roman"/>
          <w:sz w:val="24"/>
          <w:szCs w:val="24"/>
        </w:rPr>
      </w:pPr>
      <w:r w:rsidRPr="00EC12DB">
        <w:rPr>
          <w:rFonts w:ascii="Times New Roman" w:hAnsi="Times New Roman"/>
          <w:sz w:val="24"/>
          <w:szCs w:val="24"/>
        </w:rPr>
        <w:t>On May 20, 2019</w:t>
      </w:r>
      <w:r>
        <w:rPr>
          <w:rFonts w:ascii="Times New Roman" w:hAnsi="Times New Roman"/>
          <w:sz w:val="24"/>
          <w:szCs w:val="24"/>
        </w:rPr>
        <w:t xml:space="preserve">, in </w:t>
      </w:r>
      <w:r w:rsidRPr="00EC12DB">
        <w:rPr>
          <w:rFonts w:ascii="Times New Roman" w:hAnsi="Times New Roman"/>
          <w:sz w:val="24"/>
          <w:szCs w:val="24"/>
          <w:u w:val="single"/>
        </w:rPr>
        <w:t>Dylan Tellez v. City of Pomona</w:t>
      </w:r>
      <w:r>
        <w:rPr>
          <w:rFonts w:ascii="Times New Roman" w:hAnsi="Times New Roman"/>
          <w:sz w:val="24"/>
          <w:szCs w:val="24"/>
        </w:rPr>
        <w:t xml:space="preserve">, the Court </w:t>
      </w:r>
      <w:proofErr w:type="gramStart"/>
      <w:r>
        <w:rPr>
          <w:rFonts w:ascii="Times New Roman" w:hAnsi="Times New Roman"/>
          <w:sz w:val="24"/>
          <w:szCs w:val="24"/>
        </w:rPr>
        <w:t>Of</w:t>
      </w:r>
      <w:proofErr w:type="gramEnd"/>
      <w:r>
        <w:rPr>
          <w:rFonts w:ascii="Times New Roman" w:hAnsi="Times New Roman"/>
          <w:sz w:val="24"/>
          <w:szCs w:val="24"/>
        </w:rPr>
        <w:t xml:space="preserve"> Appeal of California, Second Appellate District / Division One held (3 to 0) in an unpublished decision, that the lawsuit against the City of Pomona was properly dismissed by the trial court.</w:t>
      </w:r>
    </w:p>
    <w:p w14:paraId="72C0F20A" w14:textId="77777777" w:rsidR="00527EDF" w:rsidRPr="00EC12DB" w:rsidRDefault="00527EDF" w:rsidP="00527EDF">
      <w:pPr>
        <w:pStyle w:val="NoSpacing"/>
        <w:rPr>
          <w:rFonts w:ascii="Times New Roman" w:hAnsi="Times New Roman"/>
          <w:sz w:val="24"/>
          <w:szCs w:val="24"/>
        </w:rPr>
      </w:pPr>
    </w:p>
    <w:p w14:paraId="6F12578D" w14:textId="77777777" w:rsidR="00527EDF" w:rsidRDefault="00527EDF" w:rsidP="00527EDF">
      <w:pPr>
        <w:pStyle w:val="NoSpacing"/>
        <w:ind w:left="720"/>
        <w:rPr>
          <w:rFonts w:ascii="Times New Roman" w:hAnsi="Times New Roman"/>
          <w:sz w:val="24"/>
          <w:szCs w:val="24"/>
        </w:rPr>
      </w:pPr>
      <w:r>
        <w:rPr>
          <w:rFonts w:ascii="Times New Roman" w:hAnsi="Times New Roman"/>
          <w:sz w:val="24"/>
          <w:szCs w:val="24"/>
        </w:rPr>
        <w:t>“</w:t>
      </w:r>
      <w:r w:rsidRPr="00EC12DB">
        <w:rPr>
          <w:rFonts w:ascii="Times New Roman" w:hAnsi="Times New Roman"/>
          <w:sz w:val="24"/>
          <w:szCs w:val="24"/>
        </w:rPr>
        <w:t>That one person fails on an occasion to understand another is</w:t>
      </w:r>
      <w:r>
        <w:rPr>
          <w:rFonts w:ascii="Times New Roman" w:hAnsi="Times New Roman"/>
          <w:sz w:val="24"/>
          <w:szCs w:val="24"/>
        </w:rPr>
        <w:t xml:space="preserve"> </w:t>
      </w:r>
      <w:r w:rsidRPr="00EC12DB">
        <w:rPr>
          <w:rFonts w:ascii="Times New Roman" w:hAnsi="Times New Roman"/>
          <w:sz w:val="24"/>
          <w:szCs w:val="24"/>
        </w:rPr>
        <w:t>an everyday occurrence</w:t>
      </w:r>
      <w:r>
        <w:rPr>
          <w:rFonts w:ascii="Times New Roman" w:hAnsi="Times New Roman"/>
          <w:sz w:val="24"/>
          <w:szCs w:val="24"/>
        </w:rPr>
        <w:t xml:space="preserve"> </w:t>
      </w:r>
      <w:r w:rsidRPr="00EC12DB">
        <w:rPr>
          <w:rFonts w:ascii="Times New Roman" w:hAnsi="Times New Roman"/>
          <w:sz w:val="24"/>
          <w:szCs w:val="24"/>
        </w:rPr>
        <w:t>between</w:t>
      </w:r>
      <w:r>
        <w:rPr>
          <w:rFonts w:ascii="Times New Roman" w:hAnsi="Times New Roman"/>
          <w:sz w:val="24"/>
          <w:szCs w:val="24"/>
        </w:rPr>
        <w:t xml:space="preserve"> </w:t>
      </w:r>
      <w:r w:rsidRPr="00EC12DB">
        <w:rPr>
          <w:rFonts w:ascii="Times New Roman" w:hAnsi="Times New Roman"/>
          <w:sz w:val="24"/>
          <w:szCs w:val="24"/>
        </w:rPr>
        <w:t>even the best intentioned. And it appears from Dylan’s allegations that the police officers’ decision not to wait for an ambulance</w:t>
      </w:r>
      <w:r>
        <w:rPr>
          <w:rFonts w:ascii="Times New Roman" w:hAnsi="Times New Roman"/>
          <w:sz w:val="24"/>
          <w:szCs w:val="24"/>
        </w:rPr>
        <w:t xml:space="preserve"> </w:t>
      </w:r>
      <w:r w:rsidRPr="00EC12DB">
        <w:rPr>
          <w:rFonts w:ascii="Times New Roman" w:hAnsi="Times New Roman"/>
          <w:sz w:val="24"/>
          <w:szCs w:val="24"/>
        </w:rPr>
        <w:t>saved his life.</w:t>
      </w:r>
      <w:r>
        <w:rPr>
          <w:rFonts w:ascii="Times New Roman" w:hAnsi="Times New Roman"/>
          <w:sz w:val="24"/>
          <w:szCs w:val="24"/>
        </w:rPr>
        <w:t xml:space="preserve"> </w:t>
      </w:r>
      <w:r w:rsidRPr="00EC12DB">
        <w:rPr>
          <w:rFonts w:ascii="Times New Roman" w:hAnsi="Times New Roman"/>
          <w:sz w:val="24"/>
          <w:szCs w:val="24"/>
        </w:rPr>
        <w:t>A city</w:t>
      </w:r>
      <w:r>
        <w:rPr>
          <w:rFonts w:ascii="Times New Roman" w:hAnsi="Times New Roman"/>
          <w:sz w:val="24"/>
          <w:szCs w:val="24"/>
        </w:rPr>
        <w:t xml:space="preserve"> </w:t>
      </w:r>
      <w:r w:rsidRPr="00EC12DB">
        <w:rPr>
          <w:rFonts w:ascii="Times New Roman" w:hAnsi="Times New Roman"/>
          <w:sz w:val="24"/>
          <w:szCs w:val="24"/>
        </w:rPr>
        <w:t>cannot be held liable simply for failure to provide translators in its 911 call centers</w:t>
      </w:r>
      <w:r>
        <w:rPr>
          <w:rFonts w:ascii="Times New Roman" w:hAnsi="Times New Roman"/>
          <w:sz w:val="24"/>
          <w:szCs w:val="24"/>
        </w:rPr>
        <w:t>….”</w:t>
      </w:r>
    </w:p>
    <w:p w14:paraId="2DB5A80C" w14:textId="77777777" w:rsidR="00527EDF" w:rsidRDefault="00527EDF" w:rsidP="00527EDF">
      <w:pPr>
        <w:pStyle w:val="NoSpacing"/>
        <w:ind w:left="720"/>
        <w:rPr>
          <w:rFonts w:ascii="Times New Roman" w:hAnsi="Times New Roman"/>
          <w:sz w:val="24"/>
          <w:szCs w:val="24"/>
        </w:rPr>
      </w:pPr>
      <w:hyperlink r:id="rId2346" w:history="1">
        <w:r w:rsidRPr="000A6245">
          <w:rPr>
            <w:rStyle w:val="Hyperlink"/>
            <w:rFonts w:ascii="Times New Roman" w:hAnsi="Times New Roman"/>
            <w:sz w:val="24"/>
            <w:szCs w:val="24"/>
          </w:rPr>
          <w:t>https://www.courts.ca.gov/opinions/nonpub/B284099.PDF</w:t>
        </w:r>
      </w:hyperlink>
      <w:r>
        <w:rPr>
          <w:rFonts w:ascii="Times New Roman" w:hAnsi="Times New Roman"/>
          <w:sz w:val="24"/>
          <w:szCs w:val="24"/>
        </w:rPr>
        <w:t xml:space="preserve"> </w:t>
      </w:r>
    </w:p>
    <w:p w14:paraId="4CAE3F0D" w14:textId="77777777" w:rsidR="00527EDF" w:rsidRDefault="00527EDF" w:rsidP="00527EDF">
      <w:pPr>
        <w:pStyle w:val="NoSpacing"/>
        <w:rPr>
          <w:rFonts w:ascii="Times New Roman" w:hAnsi="Times New Roman"/>
          <w:b/>
          <w:sz w:val="24"/>
          <w:szCs w:val="24"/>
        </w:rPr>
      </w:pPr>
    </w:p>
    <w:p w14:paraId="7E0E1299" w14:textId="28367835" w:rsidR="00527EDF" w:rsidRDefault="00527EDF" w:rsidP="00527EDF">
      <w:pPr>
        <w:pStyle w:val="NoSpacing"/>
        <w:rPr>
          <w:rFonts w:ascii="Times New Roman" w:hAnsi="Times New Roman"/>
          <w:b/>
          <w:sz w:val="24"/>
          <w:szCs w:val="24"/>
        </w:rPr>
      </w:pPr>
      <w:r w:rsidRPr="00A301B0">
        <w:rPr>
          <w:rFonts w:ascii="Times New Roman" w:hAnsi="Times New Roman"/>
          <w:b/>
          <w:sz w:val="24"/>
          <w:szCs w:val="24"/>
        </w:rPr>
        <w:t xml:space="preserve">Legal Lessons Learned: </w:t>
      </w:r>
      <w:r>
        <w:rPr>
          <w:rFonts w:ascii="Times New Roman" w:hAnsi="Times New Roman"/>
          <w:b/>
          <w:sz w:val="24"/>
          <w:szCs w:val="24"/>
        </w:rPr>
        <w:t>911 Centers do not have to employee Spanish-speaking dispatchers.  There are translation services available for dispatch centers.</w:t>
      </w:r>
    </w:p>
    <w:p w14:paraId="7CEC81AC" w14:textId="46B7A107" w:rsidR="00527EDF" w:rsidRPr="00DE64B9" w:rsidRDefault="00527EDF" w:rsidP="00527EDF">
      <w:pPr>
        <w:pStyle w:val="Heading1"/>
        <w:ind w:left="720"/>
        <w:rPr>
          <w:b w:val="0"/>
          <w:sz w:val="24"/>
          <w:szCs w:val="24"/>
        </w:rPr>
      </w:pPr>
      <w:r w:rsidRPr="00DE64B9">
        <w:rPr>
          <w:b w:val="0"/>
          <w:sz w:val="24"/>
          <w:szCs w:val="24"/>
        </w:rPr>
        <w:t>Se</w:t>
      </w:r>
      <w:r>
        <w:rPr>
          <w:b w:val="0"/>
          <w:sz w:val="24"/>
          <w:szCs w:val="24"/>
        </w:rPr>
        <w:t xml:space="preserve">e </w:t>
      </w:r>
      <w:r w:rsidRPr="00DE64B9">
        <w:rPr>
          <w:b w:val="0"/>
          <w:sz w:val="24"/>
          <w:szCs w:val="24"/>
        </w:rPr>
        <w:t>for example:  “</w:t>
      </w:r>
      <w:r w:rsidRPr="00DE64B9">
        <w:rPr>
          <w:rStyle w:val="field"/>
          <w:b w:val="0"/>
          <w:sz w:val="24"/>
          <w:szCs w:val="24"/>
        </w:rPr>
        <w:t xml:space="preserve">How to Break the 9-1-1 Language Barrier,” </w:t>
      </w:r>
      <w:hyperlink r:id="rId2347" w:history="1">
        <w:r w:rsidRPr="00DE64B9">
          <w:rPr>
            <w:rStyle w:val="Hyperlink"/>
            <w:b w:val="0"/>
            <w:sz w:val="24"/>
            <w:szCs w:val="24"/>
          </w:rPr>
          <w:t>https://www.emsworld.com/article/12091816/language-translation-in-emergencies</w:t>
        </w:r>
      </w:hyperlink>
      <w:r w:rsidRPr="00DE64B9">
        <w:rPr>
          <w:rStyle w:val="field"/>
          <w:b w:val="0"/>
          <w:sz w:val="24"/>
          <w:szCs w:val="24"/>
        </w:rPr>
        <w:t xml:space="preserve"> “</w:t>
      </w:r>
      <w:r w:rsidRPr="00DE64B9">
        <w:rPr>
          <w:b w:val="0"/>
          <w:sz w:val="24"/>
          <w:szCs w:val="24"/>
        </w:rPr>
        <w:t xml:space="preserve">According to Gallegos, the </w:t>
      </w:r>
      <w:proofErr w:type="spellStart"/>
      <w:r w:rsidRPr="00DE64B9">
        <w:rPr>
          <w:b w:val="0"/>
          <w:sz w:val="24"/>
          <w:szCs w:val="24"/>
        </w:rPr>
        <w:t>LanguageLine</w:t>
      </w:r>
      <w:proofErr w:type="spellEnd"/>
      <w:r w:rsidRPr="00DE64B9">
        <w:rPr>
          <w:b w:val="0"/>
          <w:sz w:val="24"/>
          <w:szCs w:val="24"/>
        </w:rPr>
        <w:t xml:space="preserve"> system is built into the CAD system, so the ECO just </w:t>
      </w:r>
      <w:proofErr w:type="gramStart"/>
      <w:r w:rsidRPr="00DE64B9">
        <w:rPr>
          <w:b w:val="0"/>
          <w:sz w:val="24"/>
          <w:szCs w:val="24"/>
        </w:rPr>
        <w:t>has to</w:t>
      </w:r>
      <w:proofErr w:type="gramEnd"/>
      <w:r w:rsidRPr="00DE64B9">
        <w:rPr>
          <w:b w:val="0"/>
          <w:sz w:val="24"/>
          <w:szCs w:val="24"/>
        </w:rPr>
        <w:t xml:space="preserve"> push a button to be connected. The </w:t>
      </w:r>
      <w:proofErr w:type="spellStart"/>
      <w:r w:rsidRPr="00DE64B9">
        <w:rPr>
          <w:b w:val="0"/>
          <w:sz w:val="24"/>
          <w:szCs w:val="24"/>
        </w:rPr>
        <w:t>Language</w:t>
      </w:r>
      <w:r w:rsidR="00195FD1">
        <w:rPr>
          <w:b w:val="0"/>
          <w:sz w:val="24"/>
          <w:szCs w:val="24"/>
        </w:rPr>
        <w:t>L</w:t>
      </w:r>
      <w:r w:rsidRPr="00DE64B9">
        <w:rPr>
          <w:b w:val="0"/>
          <w:sz w:val="24"/>
          <w:szCs w:val="24"/>
        </w:rPr>
        <w:t>ine</w:t>
      </w:r>
      <w:proofErr w:type="spellEnd"/>
      <w:r w:rsidRPr="00DE64B9">
        <w:rPr>
          <w:b w:val="0"/>
          <w:sz w:val="24"/>
          <w:szCs w:val="24"/>
        </w:rPr>
        <w:t xml:space="preserve"> is used in call centers statewide and falls under the New Mexico Department of Finance and Administration.”</w:t>
      </w:r>
    </w:p>
    <w:bookmarkEnd w:id="512"/>
    <w:p w14:paraId="18379AB3" w14:textId="77777777" w:rsidR="00527EDF" w:rsidRDefault="00527EDF" w:rsidP="00527EDF">
      <w:pPr>
        <w:pStyle w:val="NoSpacing"/>
        <w:rPr>
          <w:rFonts w:ascii="Times New Roman" w:hAnsi="Times New Roman"/>
          <w:sz w:val="24"/>
          <w:szCs w:val="24"/>
        </w:rPr>
      </w:pPr>
    </w:p>
    <w:p w14:paraId="40D9D147" w14:textId="77777777" w:rsidR="00C95AF6" w:rsidRDefault="00C95AF6" w:rsidP="00DE0F03">
      <w:pPr>
        <w:pStyle w:val="NoSpacing"/>
        <w:rPr>
          <w:rFonts w:ascii="Arial Black" w:hAnsi="Arial Black"/>
          <w:sz w:val="24"/>
          <w:szCs w:val="24"/>
        </w:rPr>
      </w:pPr>
    </w:p>
    <w:p w14:paraId="17236AD2" w14:textId="156B5CF2" w:rsidR="00C95AF6" w:rsidRDefault="00C95AF6" w:rsidP="00DE0F03">
      <w:pPr>
        <w:pStyle w:val="NoSpacing"/>
        <w:rPr>
          <w:rFonts w:ascii="Arial Black" w:hAnsi="Arial Black"/>
          <w:sz w:val="24"/>
          <w:szCs w:val="24"/>
        </w:rPr>
      </w:pPr>
      <w:r>
        <w:rPr>
          <w:rFonts w:ascii="Arial Black" w:hAnsi="Arial Black"/>
          <w:sz w:val="24"/>
          <w:szCs w:val="24"/>
        </w:rPr>
        <w:t>13-24</w:t>
      </w:r>
    </w:p>
    <w:p w14:paraId="52D976CC" w14:textId="7BAF4380" w:rsidR="00C95AF6" w:rsidRDefault="00C95AF6" w:rsidP="00DE0F03">
      <w:pPr>
        <w:pStyle w:val="NoSpacing"/>
        <w:rPr>
          <w:rFonts w:ascii="Arial Black" w:hAnsi="Arial Black"/>
          <w:sz w:val="24"/>
          <w:szCs w:val="24"/>
        </w:rPr>
      </w:pPr>
    </w:p>
    <w:p w14:paraId="3528A4E2" w14:textId="77777777" w:rsidR="00C95AF6" w:rsidRPr="00C95AF6" w:rsidRDefault="00C95AF6" w:rsidP="00DE0F03">
      <w:pPr>
        <w:pStyle w:val="NoSpacing"/>
        <w:rPr>
          <w:rFonts w:ascii="Arial Black" w:hAnsi="Arial Black" w:cs="Arial"/>
          <w:sz w:val="28"/>
          <w:szCs w:val="28"/>
        </w:rPr>
      </w:pPr>
      <w:bookmarkStart w:id="513" w:name="_Hlk41153633"/>
      <w:r w:rsidRPr="00C95AF6">
        <w:rPr>
          <w:rFonts w:ascii="Arial Black" w:hAnsi="Arial Black" w:cs="Arial"/>
          <w:sz w:val="28"/>
          <w:szCs w:val="28"/>
        </w:rPr>
        <w:t xml:space="preserve">NY: EMT SUING RESTAURANT - SLIP &amp; FALL ICY SIDEWALK, HELPING PATIENT WHO FELL – MUST PROVE RESTAURANT KNEW ABOUT ICE </w:t>
      </w:r>
    </w:p>
    <w:p w14:paraId="04392F43" w14:textId="77777777" w:rsidR="00C95AF6" w:rsidRDefault="00C95AF6" w:rsidP="00DE0F03">
      <w:pPr>
        <w:pStyle w:val="NoSpacing"/>
        <w:rPr>
          <w:rFonts w:ascii="Arial" w:hAnsi="Arial" w:cs="Arial"/>
          <w:sz w:val="35"/>
          <w:szCs w:val="35"/>
        </w:rPr>
      </w:pPr>
    </w:p>
    <w:p w14:paraId="0DBD8C13" w14:textId="702ABB03" w:rsidR="00C95AF6" w:rsidRPr="0036327D" w:rsidRDefault="00C95AF6" w:rsidP="00DE0F03">
      <w:pPr>
        <w:pStyle w:val="NoSpacing"/>
        <w:rPr>
          <w:rFonts w:ascii="Times New Roman" w:hAnsi="Times New Roman"/>
          <w:sz w:val="24"/>
          <w:szCs w:val="24"/>
        </w:rPr>
      </w:pPr>
      <w:r w:rsidRPr="0036327D">
        <w:rPr>
          <w:rFonts w:ascii="Times New Roman" w:hAnsi="Times New Roman"/>
          <w:sz w:val="24"/>
          <w:szCs w:val="24"/>
        </w:rPr>
        <w:t xml:space="preserve">On April 5, 2019, in Michael Benny v. Concord Partners 46Stree LLC, Supreme Court of New York, Part 63, 2019 NY Slip Op 30983(U), Judge Tanya R. Kennedy denied the EMT’s motion for summary judgment. “Here, the testimony raises factual issues as to the length of time the alleged condition existed and whether the defendants knew about the condition in enough time to remedy the situation. Plaintiff testified that he did not observe any ice prior to his accident, and it is unknown whether the condition was visible and apparent to the defendants.” </w:t>
      </w:r>
      <w:hyperlink r:id="rId2348" w:history="1">
        <w:r w:rsidRPr="0036327D">
          <w:rPr>
            <w:rStyle w:val="Hyperlink"/>
            <w:rFonts w:ascii="Times New Roman" w:hAnsi="Times New Roman"/>
            <w:sz w:val="24"/>
            <w:szCs w:val="24"/>
          </w:rPr>
          <w:t>https://law.justia.com/cases/new-york/other-courts/2019/2019-ny-slip-op-30983-u.html</w:t>
        </w:r>
      </w:hyperlink>
      <w:r w:rsidRPr="0036327D">
        <w:rPr>
          <w:rFonts w:ascii="Times New Roman" w:hAnsi="Times New Roman"/>
          <w:sz w:val="24"/>
          <w:szCs w:val="24"/>
        </w:rPr>
        <w:t xml:space="preserve"> </w:t>
      </w:r>
    </w:p>
    <w:p w14:paraId="3255631E" w14:textId="10C847A6" w:rsidR="00C95AF6" w:rsidRPr="0036327D" w:rsidRDefault="00C95AF6" w:rsidP="00DE0F03">
      <w:pPr>
        <w:pStyle w:val="NoSpacing"/>
        <w:rPr>
          <w:rFonts w:ascii="Times New Roman" w:hAnsi="Times New Roman"/>
          <w:sz w:val="24"/>
          <w:szCs w:val="24"/>
        </w:rPr>
      </w:pPr>
    </w:p>
    <w:p w14:paraId="6E71654C" w14:textId="142270D1" w:rsidR="00C95AF6" w:rsidRPr="0036327D" w:rsidRDefault="00C95AF6" w:rsidP="00DE0F03">
      <w:pPr>
        <w:pStyle w:val="NoSpacing"/>
        <w:rPr>
          <w:rFonts w:ascii="Times New Roman" w:hAnsi="Times New Roman"/>
          <w:b/>
          <w:bCs/>
          <w:sz w:val="24"/>
          <w:szCs w:val="24"/>
        </w:rPr>
      </w:pPr>
      <w:r w:rsidRPr="0036327D">
        <w:rPr>
          <w:rFonts w:ascii="Times New Roman" w:hAnsi="Times New Roman"/>
          <w:b/>
          <w:bCs/>
          <w:sz w:val="24"/>
          <w:szCs w:val="24"/>
        </w:rPr>
        <w:t>Legal Lessons Learned: Lawsuit will now be tried. The “danger invites rescue” doctrine is applicable only in extreme emergency, helping another avoid serious injury or death.</w:t>
      </w:r>
    </w:p>
    <w:bookmarkEnd w:id="513"/>
    <w:p w14:paraId="71AA6737" w14:textId="77777777" w:rsidR="00C95AF6" w:rsidRPr="0036327D" w:rsidRDefault="00C95AF6" w:rsidP="00DE0F03">
      <w:pPr>
        <w:pStyle w:val="NoSpacing"/>
        <w:rPr>
          <w:rFonts w:ascii="Times New Roman" w:hAnsi="Times New Roman"/>
          <w:sz w:val="24"/>
          <w:szCs w:val="24"/>
        </w:rPr>
      </w:pPr>
    </w:p>
    <w:p w14:paraId="102279ED" w14:textId="2BBFC906" w:rsidR="00C95AF6" w:rsidRPr="0036327D" w:rsidRDefault="00C95AF6" w:rsidP="00DE0F03">
      <w:pPr>
        <w:pStyle w:val="NoSpacing"/>
        <w:rPr>
          <w:rFonts w:ascii="Times New Roman" w:hAnsi="Times New Roman"/>
          <w:sz w:val="24"/>
          <w:szCs w:val="24"/>
        </w:rPr>
      </w:pPr>
    </w:p>
    <w:p w14:paraId="08FA77CB" w14:textId="77777777" w:rsidR="00C95AF6" w:rsidRPr="0036327D" w:rsidRDefault="00C95AF6" w:rsidP="00DE0F03">
      <w:pPr>
        <w:pStyle w:val="NoSpacing"/>
        <w:rPr>
          <w:rFonts w:ascii="Times New Roman" w:hAnsi="Times New Roman"/>
          <w:sz w:val="24"/>
          <w:szCs w:val="24"/>
        </w:rPr>
      </w:pPr>
    </w:p>
    <w:p w14:paraId="3D9EAE1A" w14:textId="77777777" w:rsidR="0036327D" w:rsidRDefault="0036327D" w:rsidP="00DE0F03">
      <w:pPr>
        <w:pStyle w:val="NoSpacing"/>
        <w:rPr>
          <w:rFonts w:ascii="Arial Black" w:hAnsi="Arial Black"/>
          <w:sz w:val="24"/>
          <w:szCs w:val="24"/>
        </w:rPr>
      </w:pPr>
    </w:p>
    <w:p w14:paraId="4748DB0B" w14:textId="77777777" w:rsidR="0036327D" w:rsidRDefault="0036327D" w:rsidP="00DE0F03">
      <w:pPr>
        <w:pStyle w:val="NoSpacing"/>
        <w:rPr>
          <w:rFonts w:ascii="Arial Black" w:hAnsi="Arial Black"/>
          <w:sz w:val="24"/>
          <w:szCs w:val="24"/>
        </w:rPr>
      </w:pPr>
    </w:p>
    <w:p w14:paraId="690884DB" w14:textId="0B89FA02" w:rsidR="009C7552" w:rsidRDefault="009C7552" w:rsidP="00DE0F03">
      <w:pPr>
        <w:pStyle w:val="NoSpacing"/>
        <w:rPr>
          <w:rFonts w:ascii="Arial Black" w:hAnsi="Arial Black"/>
          <w:sz w:val="24"/>
          <w:szCs w:val="24"/>
        </w:rPr>
      </w:pPr>
      <w:r>
        <w:rPr>
          <w:rFonts w:ascii="Arial Black" w:hAnsi="Arial Black"/>
          <w:sz w:val="24"/>
          <w:szCs w:val="24"/>
        </w:rPr>
        <w:t>13-23</w:t>
      </w:r>
    </w:p>
    <w:p w14:paraId="451E750B" w14:textId="3C7CEE7A" w:rsidR="0036327D" w:rsidRDefault="0036327D" w:rsidP="00DE0F03">
      <w:pPr>
        <w:pStyle w:val="NoSpacing"/>
        <w:rPr>
          <w:rFonts w:ascii="Arial Black" w:hAnsi="Arial Black"/>
          <w:sz w:val="24"/>
          <w:szCs w:val="24"/>
        </w:rPr>
      </w:pPr>
    </w:p>
    <w:p w14:paraId="1FD5A31A" w14:textId="77777777" w:rsidR="0036327D" w:rsidRDefault="0036327D" w:rsidP="00DE0F03">
      <w:pPr>
        <w:pStyle w:val="NoSpacing"/>
        <w:rPr>
          <w:rFonts w:ascii="Arial Black" w:hAnsi="Arial Black"/>
          <w:sz w:val="24"/>
          <w:szCs w:val="24"/>
        </w:rPr>
      </w:pPr>
    </w:p>
    <w:p w14:paraId="0D199C5B" w14:textId="77777777" w:rsidR="009C7552" w:rsidRPr="009C7552" w:rsidRDefault="009C7552" w:rsidP="00DE0F03">
      <w:pPr>
        <w:pStyle w:val="NoSpacing"/>
        <w:rPr>
          <w:rFonts w:ascii="Arial Black" w:hAnsi="Arial Black" w:cs="Arial"/>
          <w:sz w:val="28"/>
          <w:szCs w:val="28"/>
        </w:rPr>
      </w:pPr>
      <w:bookmarkStart w:id="514" w:name="_Hlk41295871"/>
      <w:bookmarkStart w:id="515" w:name="_Hlk41153674"/>
      <w:r w:rsidRPr="009C7552">
        <w:rPr>
          <w:rFonts w:ascii="Arial Black" w:hAnsi="Arial Black" w:cs="Arial"/>
          <w:sz w:val="28"/>
          <w:szCs w:val="28"/>
        </w:rPr>
        <w:t>MI: PRIVATE AMBULANCES – COUNTY ORDINANCE THAT CO. MUST GET THEIR APPROVAL – FED. JUDGE WILL NOT DECLARE THIS LAWFUL</w:t>
      </w:r>
    </w:p>
    <w:p w14:paraId="19EACD07" w14:textId="3E75932B" w:rsidR="009C7552" w:rsidRPr="0036327D" w:rsidRDefault="009C7552" w:rsidP="00DE0F03">
      <w:pPr>
        <w:pStyle w:val="NoSpacing"/>
        <w:rPr>
          <w:rFonts w:ascii="Times New Roman" w:hAnsi="Times New Roman"/>
          <w:sz w:val="24"/>
          <w:szCs w:val="24"/>
        </w:rPr>
      </w:pPr>
      <w:r w:rsidRPr="0036327D">
        <w:rPr>
          <w:rFonts w:ascii="Times New Roman" w:hAnsi="Times New Roman"/>
          <w:sz w:val="24"/>
          <w:szCs w:val="24"/>
        </w:rPr>
        <w:t xml:space="preserve">On March 25, 2019, in Saginaw County v. State Emergency Medical Service, Inc., U.S. District Court Judge Terrence B. Berg, again denied the County’s request for a declaratory judgment that its ordinance is lawful and not a restraint of trade under Sherman Antitrust Act. “Plaintiff sought a declaration that their ambulance plan was legal and not in violation of the Sherman Act, among other statutes. But they did not plead adequate facts to show that this is true. The Court made no finding whatever on the question of whether Saginaw County’s plan ran afoul of the Sherman Act, it simply concluded that, on the facts as alleged, the Court could not declare as a matter of law that the plan does not violate the Act.” </w:t>
      </w:r>
      <w:hyperlink r:id="rId2349" w:history="1">
        <w:r w:rsidRPr="0036327D">
          <w:rPr>
            <w:rStyle w:val="Hyperlink"/>
            <w:rFonts w:ascii="Times New Roman" w:hAnsi="Times New Roman"/>
            <w:sz w:val="24"/>
            <w:szCs w:val="24"/>
          </w:rPr>
          <w:t>http://business.cch.com/ald/saginawVstat03262019.pdf</w:t>
        </w:r>
      </w:hyperlink>
      <w:r w:rsidRPr="0036327D">
        <w:rPr>
          <w:rFonts w:ascii="Times New Roman" w:hAnsi="Times New Roman"/>
          <w:sz w:val="24"/>
          <w:szCs w:val="24"/>
        </w:rPr>
        <w:t xml:space="preserve"> </w:t>
      </w:r>
    </w:p>
    <w:p w14:paraId="0A4032CA" w14:textId="77777777" w:rsidR="009C7552" w:rsidRPr="0036327D" w:rsidRDefault="009C7552" w:rsidP="00DE0F03">
      <w:pPr>
        <w:pStyle w:val="NoSpacing"/>
        <w:rPr>
          <w:rFonts w:ascii="Times New Roman" w:hAnsi="Times New Roman"/>
          <w:sz w:val="24"/>
          <w:szCs w:val="24"/>
        </w:rPr>
      </w:pPr>
    </w:p>
    <w:p w14:paraId="37BA3F7F" w14:textId="52118775" w:rsidR="009C7552" w:rsidRPr="0036327D" w:rsidRDefault="009C7552" w:rsidP="009C7552">
      <w:pPr>
        <w:pStyle w:val="NoSpacing"/>
        <w:ind w:left="720"/>
        <w:rPr>
          <w:rFonts w:ascii="Times New Roman" w:hAnsi="Times New Roman"/>
          <w:b/>
          <w:bCs/>
          <w:sz w:val="24"/>
          <w:szCs w:val="24"/>
        </w:rPr>
      </w:pPr>
      <w:r w:rsidRPr="0036327D">
        <w:rPr>
          <w:rFonts w:ascii="Times New Roman" w:hAnsi="Times New Roman"/>
          <w:sz w:val="24"/>
          <w:szCs w:val="24"/>
        </w:rPr>
        <w:t xml:space="preserve">See also article on this decision in Antitrust News: </w:t>
      </w:r>
      <w:hyperlink r:id="rId2350" w:history="1">
        <w:r w:rsidRPr="0036327D">
          <w:rPr>
            <w:rStyle w:val="Hyperlink"/>
            <w:rFonts w:ascii="Times New Roman" w:hAnsi="Times New Roman"/>
            <w:sz w:val="24"/>
            <w:szCs w:val="24"/>
          </w:rPr>
          <w:t>https://lrus.wolterskluwer.com/store/daily-reporting-suite/antitrust-law-daily/</w:t>
        </w:r>
      </w:hyperlink>
      <w:r w:rsidRPr="0036327D">
        <w:rPr>
          <w:rFonts w:ascii="Times New Roman" w:hAnsi="Times New Roman"/>
          <w:sz w:val="24"/>
          <w:szCs w:val="24"/>
        </w:rPr>
        <w:t xml:space="preserve"> </w:t>
      </w:r>
    </w:p>
    <w:p w14:paraId="708A436B" w14:textId="77777777" w:rsidR="009C7552" w:rsidRPr="0036327D" w:rsidRDefault="009C7552" w:rsidP="00DE0F03">
      <w:pPr>
        <w:pStyle w:val="NoSpacing"/>
        <w:rPr>
          <w:rFonts w:ascii="Times New Roman" w:hAnsi="Times New Roman"/>
          <w:b/>
          <w:bCs/>
          <w:sz w:val="24"/>
          <w:szCs w:val="24"/>
        </w:rPr>
      </w:pPr>
    </w:p>
    <w:p w14:paraId="3F9BBA7A" w14:textId="7F22AE6B" w:rsidR="009C7552" w:rsidRPr="0036327D" w:rsidRDefault="009C7552" w:rsidP="00DE0F03">
      <w:pPr>
        <w:pStyle w:val="NoSpacing"/>
        <w:rPr>
          <w:rFonts w:ascii="Times New Roman" w:hAnsi="Times New Roman"/>
          <w:b/>
          <w:bCs/>
          <w:sz w:val="24"/>
          <w:szCs w:val="24"/>
        </w:rPr>
      </w:pPr>
      <w:r w:rsidRPr="0036327D">
        <w:rPr>
          <w:rFonts w:ascii="Times New Roman" w:hAnsi="Times New Roman"/>
          <w:b/>
          <w:bCs/>
          <w:sz w:val="24"/>
          <w:szCs w:val="24"/>
        </w:rPr>
        <w:t xml:space="preserve">Legal Lessons Learned: Competition among private ambulance companies is generally good for patients. </w:t>
      </w:r>
    </w:p>
    <w:bookmarkEnd w:id="514"/>
    <w:p w14:paraId="04F5BBA5" w14:textId="77777777" w:rsidR="009C7552" w:rsidRPr="0036327D" w:rsidRDefault="009C7552" w:rsidP="00DE0F03">
      <w:pPr>
        <w:pStyle w:val="NoSpacing"/>
        <w:rPr>
          <w:rFonts w:ascii="Times New Roman" w:hAnsi="Times New Roman"/>
          <w:sz w:val="24"/>
          <w:szCs w:val="24"/>
        </w:rPr>
      </w:pPr>
    </w:p>
    <w:bookmarkEnd w:id="515"/>
    <w:p w14:paraId="5B6F2034" w14:textId="778FC311" w:rsidR="009C7552" w:rsidRPr="0036327D" w:rsidRDefault="009C7552" w:rsidP="00DE0F03">
      <w:pPr>
        <w:pStyle w:val="NoSpacing"/>
        <w:rPr>
          <w:rFonts w:ascii="Times New Roman" w:hAnsi="Times New Roman"/>
          <w:sz w:val="24"/>
          <w:szCs w:val="24"/>
        </w:rPr>
      </w:pPr>
    </w:p>
    <w:p w14:paraId="3B0AFBA0" w14:textId="77777777" w:rsidR="009C7552" w:rsidRPr="0036327D" w:rsidRDefault="009C7552" w:rsidP="00DE0F03">
      <w:pPr>
        <w:pStyle w:val="NoSpacing"/>
        <w:rPr>
          <w:rFonts w:ascii="Times New Roman" w:hAnsi="Times New Roman"/>
          <w:sz w:val="24"/>
          <w:szCs w:val="24"/>
        </w:rPr>
      </w:pPr>
    </w:p>
    <w:p w14:paraId="34BF321D" w14:textId="51336087" w:rsidR="00DE0F03" w:rsidRDefault="00DE0F03" w:rsidP="00DE0F03">
      <w:pPr>
        <w:pStyle w:val="NoSpacing"/>
        <w:rPr>
          <w:rFonts w:ascii="Arial Black" w:hAnsi="Arial Black"/>
          <w:sz w:val="24"/>
          <w:szCs w:val="24"/>
        </w:rPr>
      </w:pPr>
      <w:r>
        <w:rPr>
          <w:rFonts w:ascii="Arial Black" w:hAnsi="Arial Black"/>
          <w:sz w:val="24"/>
          <w:szCs w:val="24"/>
        </w:rPr>
        <w:t>13-22</w:t>
      </w:r>
    </w:p>
    <w:p w14:paraId="48C7DDDA" w14:textId="66E439FC" w:rsidR="00527EDF" w:rsidRDefault="00527EDF" w:rsidP="00F326E5">
      <w:pPr>
        <w:pStyle w:val="NoSpacing"/>
        <w:rPr>
          <w:sz w:val="24"/>
          <w:szCs w:val="24"/>
        </w:rPr>
      </w:pPr>
    </w:p>
    <w:p w14:paraId="504039E7" w14:textId="77777777" w:rsidR="00527EDF" w:rsidRDefault="00527EDF" w:rsidP="00F326E5">
      <w:pPr>
        <w:pStyle w:val="NoSpacing"/>
        <w:rPr>
          <w:sz w:val="24"/>
          <w:szCs w:val="24"/>
        </w:rPr>
      </w:pPr>
    </w:p>
    <w:p w14:paraId="040AAAA1" w14:textId="0073AC6F" w:rsidR="00F326E5" w:rsidRDefault="00F326E5" w:rsidP="00F326E5">
      <w:pPr>
        <w:pStyle w:val="NoSpacing"/>
        <w:rPr>
          <w:sz w:val="32"/>
        </w:rPr>
      </w:pPr>
      <w:bookmarkStart w:id="516" w:name="_Hlk41153721"/>
      <w:r>
        <w:rPr>
          <w:rFonts w:ascii="Arial Black" w:hAnsi="Arial Black"/>
          <w:sz w:val="28"/>
          <w:szCs w:val="28"/>
        </w:rPr>
        <w:t>HHS OPINION: CLINIC PROVIDE FREE HOME VISITS – CHF / COPD PATIENTS – NOT FED. ANTI-KICKBACK</w:t>
      </w:r>
    </w:p>
    <w:p w14:paraId="284093B8" w14:textId="77777777" w:rsidR="00F326E5" w:rsidRPr="006114FF" w:rsidRDefault="00F326E5" w:rsidP="00F326E5">
      <w:pPr>
        <w:pStyle w:val="NoSpacing"/>
        <w:rPr>
          <w:rFonts w:ascii="Times New Roman" w:hAnsi="Times New Roman"/>
          <w:sz w:val="24"/>
          <w:szCs w:val="24"/>
        </w:rPr>
      </w:pPr>
      <w:r w:rsidRPr="006114FF">
        <w:rPr>
          <w:rFonts w:ascii="Times New Roman" w:hAnsi="Times New Roman"/>
          <w:sz w:val="24"/>
          <w:szCs w:val="24"/>
        </w:rPr>
        <w:t xml:space="preserve">On March 6, 2019, the HHS Office of Inspector General issued Advisory Opinion No. 19-03. </w:t>
      </w:r>
      <w:hyperlink r:id="rId2351" w:history="1">
        <w:r w:rsidRPr="006114FF">
          <w:rPr>
            <w:rStyle w:val="Hyperlink"/>
            <w:rFonts w:ascii="Times New Roman" w:hAnsi="Times New Roman"/>
            <w:sz w:val="24"/>
            <w:szCs w:val="24"/>
          </w:rPr>
          <w:t>https://oig.hhs.gov/fraud/docs/advisoryopinions/2019/AdvOpn19-03.pdf</w:t>
        </w:r>
      </w:hyperlink>
      <w:r w:rsidRPr="006114FF">
        <w:rPr>
          <w:rFonts w:ascii="Times New Roman" w:hAnsi="Times New Roman"/>
          <w:sz w:val="24"/>
          <w:szCs w:val="24"/>
        </w:rPr>
        <w:t xml:space="preserve"> </w:t>
      </w:r>
    </w:p>
    <w:p w14:paraId="506FBA48" w14:textId="77777777" w:rsidR="00F326E5" w:rsidRPr="006114FF" w:rsidRDefault="00F326E5" w:rsidP="00F326E5">
      <w:pPr>
        <w:pStyle w:val="NoSpacing"/>
        <w:rPr>
          <w:rFonts w:ascii="Times New Roman" w:hAnsi="Times New Roman"/>
          <w:sz w:val="24"/>
          <w:szCs w:val="24"/>
        </w:rPr>
      </w:pPr>
    </w:p>
    <w:p w14:paraId="694A3E16" w14:textId="77777777" w:rsidR="00F326E5" w:rsidRPr="006114FF" w:rsidRDefault="00F326E5" w:rsidP="00F326E5">
      <w:pPr>
        <w:pStyle w:val="NoSpacing"/>
        <w:ind w:left="720"/>
        <w:rPr>
          <w:rFonts w:ascii="Times New Roman" w:hAnsi="Times New Roman"/>
          <w:sz w:val="24"/>
          <w:szCs w:val="24"/>
        </w:rPr>
      </w:pPr>
      <w:r w:rsidRPr="006114FF">
        <w:rPr>
          <w:rFonts w:ascii="Times New Roman" w:hAnsi="Times New Roman"/>
          <w:sz w:val="24"/>
          <w:szCs w:val="24"/>
        </w:rPr>
        <w:t xml:space="preserve">“Requestor [clinic] has developed a program to provide free, in-home follow-up care to certain patients who it certifies are at higher risk of admission or readmission to a hospital. Under the Current Arrangement, Requestor offers in-home care to patients with congestive heart </w:t>
      </w:r>
      <w:proofErr w:type="gramStart"/>
      <w:r w:rsidRPr="006114FF">
        <w:rPr>
          <w:rFonts w:ascii="Times New Roman" w:hAnsi="Times New Roman"/>
          <w:sz w:val="24"/>
          <w:szCs w:val="24"/>
        </w:rPr>
        <w:t>failure (‘</w:t>
      </w:r>
      <w:proofErr w:type="gramEnd"/>
      <w:r w:rsidRPr="006114FF">
        <w:rPr>
          <w:rFonts w:ascii="Times New Roman" w:hAnsi="Times New Roman"/>
          <w:sz w:val="24"/>
          <w:szCs w:val="24"/>
        </w:rPr>
        <w:t xml:space="preserve">CHF’) who qualify for participation, and under the Proposed Arrangement, Requestor would expand the program to qualifying patients with chronic obstructive pulmonary </w:t>
      </w:r>
      <w:proofErr w:type="gramStart"/>
      <w:r w:rsidRPr="006114FF">
        <w:rPr>
          <w:rFonts w:ascii="Times New Roman" w:hAnsi="Times New Roman"/>
          <w:sz w:val="24"/>
          <w:szCs w:val="24"/>
        </w:rPr>
        <w:t>disease (‘</w:t>
      </w:r>
      <w:proofErr w:type="gramEnd"/>
      <w:r w:rsidRPr="006114FF">
        <w:rPr>
          <w:rFonts w:ascii="Times New Roman" w:hAnsi="Times New Roman"/>
          <w:sz w:val="24"/>
          <w:szCs w:val="24"/>
        </w:rPr>
        <w:t>COPD’). According to Requestor, the goals of both Arrangements are to increase patient compliance with discharge plans, improve patient health, and reduce hospital inpatient admissions and readmissions.</w:t>
      </w:r>
    </w:p>
    <w:p w14:paraId="580B3669" w14:textId="77777777" w:rsidR="006114FF" w:rsidRDefault="006114FF" w:rsidP="00F326E5">
      <w:pPr>
        <w:pStyle w:val="NoSpacing"/>
        <w:rPr>
          <w:rFonts w:ascii="Times New Roman" w:hAnsi="Times New Roman"/>
          <w:b/>
          <w:sz w:val="24"/>
          <w:szCs w:val="24"/>
        </w:rPr>
      </w:pPr>
      <w:bookmarkStart w:id="517" w:name="_Hlk6756145"/>
    </w:p>
    <w:p w14:paraId="603CBB57" w14:textId="5B5E9F1E" w:rsidR="00F326E5" w:rsidRPr="006114FF" w:rsidRDefault="00F326E5" w:rsidP="00F326E5">
      <w:pPr>
        <w:pStyle w:val="NoSpacing"/>
        <w:rPr>
          <w:rFonts w:ascii="Times New Roman" w:hAnsi="Times New Roman"/>
          <w:b/>
          <w:sz w:val="24"/>
          <w:szCs w:val="24"/>
        </w:rPr>
      </w:pPr>
      <w:r w:rsidRPr="006114FF">
        <w:rPr>
          <w:rFonts w:ascii="Times New Roman" w:hAnsi="Times New Roman"/>
          <w:b/>
          <w:sz w:val="24"/>
          <w:szCs w:val="24"/>
        </w:rPr>
        <w:t xml:space="preserve">Legal Lessons Learned: Community Paramedicine programs are rapidly expanding throughout the Nation. </w:t>
      </w:r>
    </w:p>
    <w:bookmarkEnd w:id="433"/>
    <w:bookmarkEnd w:id="517"/>
    <w:p w14:paraId="2DC65B07" w14:textId="77777777" w:rsidR="00DE0F03" w:rsidRPr="006114FF" w:rsidRDefault="00DE0F03" w:rsidP="00DE0F03">
      <w:pPr>
        <w:pStyle w:val="NoSpacing"/>
        <w:rPr>
          <w:rFonts w:ascii="Times New Roman" w:hAnsi="Times New Roman"/>
          <w:sz w:val="24"/>
          <w:szCs w:val="24"/>
        </w:rPr>
      </w:pPr>
    </w:p>
    <w:bookmarkEnd w:id="516"/>
    <w:p w14:paraId="06C9AFBC" w14:textId="026779F8" w:rsidR="005F7D6B" w:rsidRPr="005F7D6B" w:rsidRDefault="005F7D6B" w:rsidP="00DE0F03">
      <w:pPr>
        <w:pStyle w:val="NoSpacing"/>
        <w:rPr>
          <w:rFonts w:ascii="Times New Roman" w:hAnsi="Times New Roman"/>
          <w:sz w:val="24"/>
          <w:szCs w:val="24"/>
        </w:rPr>
      </w:pPr>
    </w:p>
    <w:p w14:paraId="56BEDB2F" w14:textId="77777777" w:rsidR="005F7D6B" w:rsidRDefault="005F7D6B" w:rsidP="00DE0F03">
      <w:pPr>
        <w:pStyle w:val="NoSpacing"/>
        <w:rPr>
          <w:rFonts w:ascii="Arial Black" w:hAnsi="Arial Black"/>
          <w:sz w:val="24"/>
          <w:szCs w:val="24"/>
        </w:rPr>
      </w:pPr>
    </w:p>
    <w:p w14:paraId="482C3816" w14:textId="2D9EF36F" w:rsidR="00DE0F03" w:rsidRDefault="00DE0F03" w:rsidP="00DE0F03">
      <w:pPr>
        <w:pStyle w:val="NoSpacing"/>
        <w:rPr>
          <w:rFonts w:ascii="Arial Black" w:hAnsi="Arial Black"/>
          <w:sz w:val="24"/>
          <w:szCs w:val="24"/>
        </w:rPr>
      </w:pPr>
      <w:r>
        <w:rPr>
          <w:rFonts w:ascii="Arial Black" w:hAnsi="Arial Black"/>
          <w:sz w:val="24"/>
          <w:szCs w:val="24"/>
        </w:rPr>
        <w:t>13-21</w:t>
      </w:r>
    </w:p>
    <w:p w14:paraId="6C02713D" w14:textId="77777777" w:rsidR="00DE0F03" w:rsidRDefault="00DE0F03" w:rsidP="00F326E5">
      <w:pPr>
        <w:pStyle w:val="NoSpacing"/>
        <w:rPr>
          <w:rFonts w:ascii="Arial Black" w:hAnsi="Arial Black"/>
          <w:sz w:val="28"/>
          <w:szCs w:val="28"/>
        </w:rPr>
      </w:pPr>
      <w:bookmarkStart w:id="518" w:name="_Hlk7346249"/>
    </w:p>
    <w:p w14:paraId="542D6FF9" w14:textId="4DC3CFA9" w:rsidR="00F326E5" w:rsidRDefault="00F326E5" w:rsidP="00F326E5">
      <w:pPr>
        <w:pStyle w:val="NoSpacing"/>
        <w:rPr>
          <w:rFonts w:ascii="Arial Black" w:hAnsi="Arial Black"/>
          <w:sz w:val="28"/>
          <w:szCs w:val="28"/>
        </w:rPr>
      </w:pPr>
      <w:bookmarkStart w:id="519" w:name="_Hlk41295020"/>
      <w:bookmarkStart w:id="520" w:name="_Hlk41153758"/>
      <w:r>
        <w:rPr>
          <w:rFonts w:ascii="Arial Black" w:hAnsi="Arial Black"/>
          <w:sz w:val="28"/>
          <w:szCs w:val="28"/>
        </w:rPr>
        <w:t xml:space="preserve">PA: ATTEMPTED MURDER CONV. UPHELD - EMT TESTIFIED ABOUT VICTIM’S </w:t>
      </w:r>
      <w:r w:rsidR="000F0910">
        <w:rPr>
          <w:rFonts w:ascii="Arial Black" w:hAnsi="Arial Black"/>
          <w:sz w:val="28"/>
          <w:szCs w:val="28"/>
        </w:rPr>
        <w:t xml:space="preserve">COMMENTS ABOUT </w:t>
      </w:r>
      <w:r>
        <w:rPr>
          <w:rFonts w:ascii="Arial Black" w:hAnsi="Arial Black"/>
          <w:sz w:val="28"/>
          <w:szCs w:val="28"/>
        </w:rPr>
        <w:t xml:space="preserve">WHO SHOT HIM </w:t>
      </w:r>
    </w:p>
    <w:p w14:paraId="6E2D8ED4" w14:textId="77777777" w:rsidR="00F326E5" w:rsidRPr="006114FF" w:rsidRDefault="00F326E5" w:rsidP="006114FF">
      <w:pPr>
        <w:pStyle w:val="NoSpacing"/>
        <w:rPr>
          <w:rFonts w:ascii="Times New Roman" w:hAnsi="Times New Roman"/>
          <w:sz w:val="24"/>
          <w:szCs w:val="24"/>
        </w:rPr>
      </w:pPr>
      <w:r w:rsidRPr="006114FF">
        <w:rPr>
          <w:rFonts w:ascii="Times New Roman" w:hAnsi="Times New Roman"/>
          <w:sz w:val="24"/>
          <w:szCs w:val="24"/>
        </w:rPr>
        <w:t xml:space="preserve">On Feb. 22, 2019, in </w:t>
      </w:r>
      <w:r w:rsidRPr="006114FF">
        <w:rPr>
          <w:rFonts w:ascii="Times New Roman" w:hAnsi="Times New Roman"/>
          <w:sz w:val="24"/>
          <w:szCs w:val="24"/>
          <w:u w:val="single"/>
        </w:rPr>
        <w:t>Commonwealth of Pennsylvania v. Gregory Mack</w:t>
      </w:r>
      <w:r w:rsidRPr="006114FF">
        <w:rPr>
          <w:rFonts w:ascii="Times New Roman" w:hAnsi="Times New Roman"/>
          <w:sz w:val="24"/>
          <w:szCs w:val="24"/>
        </w:rPr>
        <w:t xml:space="preserve">, the Superior Court of PA held (3 to 0) that the jury conviction is affirmed.  One of the issues on appeal was veracity of the EMT who testified at the criminal trial: </w:t>
      </w:r>
    </w:p>
    <w:p w14:paraId="64CD4004" w14:textId="77777777" w:rsidR="00F326E5" w:rsidRPr="006114FF" w:rsidRDefault="00F326E5" w:rsidP="006114FF">
      <w:pPr>
        <w:pStyle w:val="NoSpacing"/>
        <w:ind w:left="720"/>
        <w:rPr>
          <w:rFonts w:ascii="Times New Roman" w:hAnsi="Times New Roman"/>
          <w:sz w:val="24"/>
          <w:szCs w:val="24"/>
        </w:rPr>
      </w:pPr>
      <w:r w:rsidRPr="006114FF">
        <w:rPr>
          <w:rFonts w:ascii="Times New Roman" w:hAnsi="Times New Roman"/>
          <w:sz w:val="24"/>
          <w:szCs w:val="24"/>
        </w:rPr>
        <w:t>“Moreover, at trial, the emergency medical technician (EMT) who transported the victim to the hospital testified that the victim told him that his friend shot him; on appeal, Appellant claims the testimony was invalid and lacked veracity because the EMT did not make a record of the conversation or subsequently inform the police of it.”</w:t>
      </w:r>
    </w:p>
    <w:p w14:paraId="311DD3F6" w14:textId="4497C144" w:rsidR="00F326E5" w:rsidRPr="006114FF" w:rsidRDefault="006114FF" w:rsidP="006114FF">
      <w:pPr>
        <w:pStyle w:val="NoSpacing"/>
        <w:ind w:left="720"/>
        <w:rPr>
          <w:rFonts w:ascii="Times New Roman" w:hAnsi="Times New Roman"/>
          <w:sz w:val="24"/>
          <w:szCs w:val="24"/>
        </w:rPr>
      </w:pPr>
      <w:hyperlink r:id="rId2352" w:anchor="search=%22GREGORY%20MACK%20%27Superior%2bCourt%27%22" w:history="1">
        <w:r w:rsidRPr="002F304C">
          <w:rPr>
            <w:rStyle w:val="Hyperlink"/>
            <w:rFonts w:ascii="Times New Roman" w:hAnsi="Times New Roman"/>
            <w:sz w:val="24"/>
            <w:szCs w:val="24"/>
          </w:rPr>
          <w:t>http://www.pacourts.us/assets/opinions/Superior/out/memorandum%20%20affirmed%20%2010388943251531544.pdf#search=%22GREGORY%20MACK%20%27Superior%2bCourt%27%22</w:t>
        </w:r>
      </w:hyperlink>
      <w:r w:rsidR="00F326E5" w:rsidRPr="006114FF">
        <w:rPr>
          <w:rFonts w:ascii="Times New Roman" w:hAnsi="Times New Roman"/>
          <w:sz w:val="24"/>
          <w:szCs w:val="24"/>
        </w:rPr>
        <w:t xml:space="preserve"> </w:t>
      </w:r>
    </w:p>
    <w:p w14:paraId="41E1EE32" w14:textId="77777777" w:rsidR="006114FF" w:rsidRDefault="006114FF" w:rsidP="006114FF">
      <w:pPr>
        <w:pStyle w:val="NoSpacing"/>
        <w:rPr>
          <w:rFonts w:ascii="Times New Roman" w:hAnsi="Times New Roman"/>
          <w:b/>
          <w:sz w:val="24"/>
          <w:szCs w:val="24"/>
        </w:rPr>
      </w:pPr>
    </w:p>
    <w:p w14:paraId="60595D88" w14:textId="0CDE2945" w:rsidR="00F326E5" w:rsidRPr="006114FF" w:rsidRDefault="00F326E5" w:rsidP="006114FF">
      <w:pPr>
        <w:pStyle w:val="NoSpacing"/>
        <w:rPr>
          <w:rFonts w:ascii="Times New Roman" w:hAnsi="Times New Roman"/>
          <w:b/>
          <w:sz w:val="24"/>
          <w:szCs w:val="24"/>
        </w:rPr>
      </w:pPr>
      <w:r w:rsidRPr="006114FF">
        <w:rPr>
          <w:rFonts w:ascii="Times New Roman" w:hAnsi="Times New Roman"/>
          <w:b/>
          <w:sz w:val="24"/>
          <w:szCs w:val="24"/>
        </w:rPr>
        <w:t>Legal Lessons Learned: EMS should document a victim’s statement concerning who shot him, either on the EMS run report or on a supplemental report. This helps avoid issues on appeal</w:t>
      </w:r>
      <w:bookmarkEnd w:id="519"/>
      <w:r w:rsidRPr="006114FF">
        <w:rPr>
          <w:rFonts w:ascii="Times New Roman" w:hAnsi="Times New Roman"/>
          <w:b/>
          <w:sz w:val="24"/>
          <w:szCs w:val="24"/>
        </w:rPr>
        <w:t xml:space="preserve">.  </w:t>
      </w:r>
    </w:p>
    <w:bookmarkEnd w:id="518"/>
    <w:bookmarkEnd w:id="520"/>
    <w:p w14:paraId="689DEC78" w14:textId="77777777" w:rsidR="00F326E5" w:rsidRDefault="00F326E5" w:rsidP="00F326E5">
      <w:pPr>
        <w:pStyle w:val="NoSpacing"/>
        <w:rPr>
          <w:b/>
          <w:sz w:val="24"/>
          <w:szCs w:val="24"/>
        </w:rPr>
      </w:pPr>
    </w:p>
    <w:p w14:paraId="0CD4CDFB" w14:textId="77777777" w:rsidR="006114FF" w:rsidRDefault="006114FF" w:rsidP="00F326E5">
      <w:pPr>
        <w:pStyle w:val="NoSpacing"/>
        <w:rPr>
          <w:rFonts w:ascii="Arial Black" w:hAnsi="Arial Black"/>
          <w:sz w:val="24"/>
          <w:szCs w:val="24"/>
        </w:rPr>
      </w:pPr>
    </w:p>
    <w:p w14:paraId="0D85A8D0" w14:textId="137BBB80" w:rsidR="00F326E5" w:rsidRDefault="00DE0F03" w:rsidP="00F326E5">
      <w:pPr>
        <w:pStyle w:val="NoSpacing"/>
        <w:rPr>
          <w:b/>
          <w:sz w:val="24"/>
          <w:szCs w:val="24"/>
        </w:rPr>
      </w:pPr>
      <w:r>
        <w:rPr>
          <w:rFonts w:ascii="Arial Black" w:hAnsi="Arial Black"/>
          <w:sz w:val="24"/>
          <w:szCs w:val="24"/>
        </w:rPr>
        <w:t>13-20</w:t>
      </w:r>
    </w:p>
    <w:p w14:paraId="3E74FF6C" w14:textId="77777777" w:rsidR="00DE0F03" w:rsidRDefault="00DE0F03" w:rsidP="00F326E5">
      <w:pPr>
        <w:pStyle w:val="NoSpacing"/>
        <w:rPr>
          <w:b/>
          <w:sz w:val="24"/>
          <w:szCs w:val="24"/>
        </w:rPr>
      </w:pPr>
    </w:p>
    <w:p w14:paraId="5BA9F8A5" w14:textId="64AF921A" w:rsidR="00F326E5" w:rsidRDefault="00F326E5" w:rsidP="00F326E5">
      <w:pPr>
        <w:pStyle w:val="NoSpacing"/>
        <w:rPr>
          <w:rFonts w:ascii="Arial Black" w:hAnsi="Arial Black"/>
          <w:sz w:val="28"/>
          <w:szCs w:val="28"/>
        </w:rPr>
      </w:pPr>
      <w:bookmarkStart w:id="521" w:name="_Hlk41153820"/>
      <w:bookmarkStart w:id="522" w:name="_Hlk7346323"/>
      <w:r w:rsidRPr="009D44BC">
        <w:rPr>
          <w:rFonts w:ascii="Arial Black" w:hAnsi="Arial Black"/>
          <w:sz w:val="28"/>
          <w:szCs w:val="28"/>
        </w:rPr>
        <w:t>OH</w:t>
      </w:r>
      <w:r>
        <w:rPr>
          <w:rFonts w:ascii="Arial Black" w:hAnsi="Arial Black"/>
          <w:sz w:val="28"/>
          <w:szCs w:val="28"/>
        </w:rPr>
        <w:t xml:space="preserve">: DUI - BLOOD DRAW BY NURSE UNCONSCIOUS DRIVER LAWFUL - PD NO TIME FOR SEARCH WARRANT </w:t>
      </w:r>
    </w:p>
    <w:p w14:paraId="334DFF26" w14:textId="77777777" w:rsidR="006114FF" w:rsidRDefault="00F326E5" w:rsidP="00F326E5">
      <w:pPr>
        <w:pStyle w:val="NoSpacing"/>
        <w:rPr>
          <w:rFonts w:ascii="Times New Roman" w:hAnsi="Times New Roman"/>
          <w:sz w:val="24"/>
          <w:szCs w:val="24"/>
        </w:rPr>
      </w:pPr>
      <w:r w:rsidRPr="006114FF">
        <w:rPr>
          <w:rFonts w:ascii="Times New Roman" w:hAnsi="Times New Roman"/>
          <w:sz w:val="24"/>
          <w:szCs w:val="24"/>
        </w:rPr>
        <w:t xml:space="preserve">On Feb. 12, </w:t>
      </w:r>
      <w:proofErr w:type="gramStart"/>
      <w:r w:rsidRPr="006114FF">
        <w:rPr>
          <w:rFonts w:ascii="Times New Roman" w:hAnsi="Times New Roman"/>
          <w:sz w:val="24"/>
          <w:szCs w:val="24"/>
        </w:rPr>
        <w:t>2019</w:t>
      </w:r>
      <w:proofErr w:type="gramEnd"/>
      <w:r w:rsidRPr="006114FF">
        <w:rPr>
          <w:rFonts w:ascii="Times New Roman" w:hAnsi="Times New Roman"/>
          <w:sz w:val="24"/>
          <w:szCs w:val="24"/>
        </w:rPr>
        <w:t xml:space="preserve"> in </w:t>
      </w:r>
      <w:r w:rsidRPr="006114FF">
        <w:rPr>
          <w:rFonts w:ascii="Times New Roman" w:hAnsi="Times New Roman"/>
          <w:sz w:val="24"/>
          <w:szCs w:val="24"/>
          <w:u w:val="single"/>
        </w:rPr>
        <w:t>State of Ohio v. Richard Barnhart, Jr.</w:t>
      </w:r>
      <w:r w:rsidRPr="006114FF">
        <w:rPr>
          <w:rFonts w:ascii="Times New Roman" w:hAnsi="Times New Roman"/>
          <w:sz w:val="24"/>
          <w:szCs w:val="24"/>
        </w:rPr>
        <w:t xml:space="preserve">, Court of Appeals of Ohio, Fourth Appellate District – Meigs County, held (3 to 0) that trial court properly allowed into evidence the results of the blood draw.  The Court </w:t>
      </w:r>
      <w:proofErr w:type="gramStart"/>
      <w:r w:rsidRPr="006114FF">
        <w:rPr>
          <w:rFonts w:ascii="Times New Roman" w:hAnsi="Times New Roman"/>
          <w:sz w:val="24"/>
          <w:szCs w:val="24"/>
        </w:rPr>
        <w:t>write</w:t>
      </w:r>
      <w:proofErr w:type="gramEnd"/>
      <w:r w:rsidRPr="006114FF">
        <w:rPr>
          <w:rFonts w:ascii="Times New Roman" w:hAnsi="Times New Roman"/>
          <w:sz w:val="24"/>
          <w:szCs w:val="24"/>
        </w:rPr>
        <w:t xml:space="preserve">: </w:t>
      </w:r>
    </w:p>
    <w:p w14:paraId="4DAE5C83" w14:textId="77777777" w:rsidR="006114FF" w:rsidRDefault="006114FF" w:rsidP="00F326E5">
      <w:pPr>
        <w:pStyle w:val="NoSpacing"/>
        <w:rPr>
          <w:rFonts w:ascii="Times New Roman" w:hAnsi="Times New Roman"/>
          <w:sz w:val="24"/>
          <w:szCs w:val="24"/>
        </w:rPr>
      </w:pPr>
    </w:p>
    <w:p w14:paraId="22B4BDEA" w14:textId="52421F0F" w:rsidR="00F326E5" w:rsidRPr="006114FF" w:rsidRDefault="00F326E5" w:rsidP="006114FF">
      <w:pPr>
        <w:pStyle w:val="NoSpacing"/>
        <w:ind w:left="720"/>
        <w:rPr>
          <w:rFonts w:ascii="Times New Roman" w:hAnsi="Times New Roman"/>
          <w:sz w:val="24"/>
          <w:szCs w:val="24"/>
        </w:rPr>
      </w:pPr>
      <w:r w:rsidRPr="006114FF">
        <w:rPr>
          <w:rFonts w:ascii="Times New Roman" w:hAnsi="Times New Roman"/>
          <w:sz w:val="24"/>
          <w:szCs w:val="24"/>
        </w:rPr>
        <w:t>“[B]</w:t>
      </w:r>
      <w:proofErr w:type="spellStart"/>
      <w:r w:rsidRPr="006114FF">
        <w:rPr>
          <w:rFonts w:ascii="Times New Roman" w:hAnsi="Times New Roman"/>
          <w:sz w:val="24"/>
          <w:szCs w:val="24"/>
        </w:rPr>
        <w:t>ased</w:t>
      </w:r>
      <w:proofErr w:type="spellEnd"/>
      <w:r w:rsidRPr="006114FF">
        <w:rPr>
          <w:rFonts w:ascii="Times New Roman" w:hAnsi="Times New Roman"/>
          <w:sz w:val="24"/>
          <w:szCs w:val="24"/>
        </w:rPr>
        <w:t xml:space="preserve"> upon the totality of the circumstances, we conclude that the blood sample obtained from Appellant, which was taken while he was unconscious at the hospital and being prepared for transfer to another facility, was both lawful and constitutionally valid pursuant to Ohio’s Implied Consent statute, as well as both the consent and exigent circumstances exceptions to the warrant requirement.”   </w:t>
      </w:r>
    </w:p>
    <w:p w14:paraId="0AE68A09" w14:textId="19998A49" w:rsidR="00F326E5" w:rsidRPr="006114FF" w:rsidRDefault="006114FF" w:rsidP="006114FF">
      <w:pPr>
        <w:pStyle w:val="NoSpacing"/>
        <w:ind w:firstLine="720"/>
        <w:rPr>
          <w:rFonts w:ascii="Times New Roman" w:hAnsi="Times New Roman"/>
          <w:sz w:val="24"/>
          <w:szCs w:val="24"/>
        </w:rPr>
      </w:pPr>
      <w:hyperlink r:id="rId2353" w:history="1">
        <w:r w:rsidRPr="002F304C">
          <w:rPr>
            <w:rStyle w:val="Hyperlink"/>
            <w:rFonts w:ascii="Times New Roman" w:hAnsi="Times New Roman"/>
            <w:sz w:val="24"/>
            <w:szCs w:val="24"/>
          </w:rPr>
          <w:t>https://cases.justia.com/ohio/fourth-district-court-of-appeals/2019-18ca8-5.pdf?ts=1553894129</w:t>
        </w:r>
      </w:hyperlink>
      <w:r w:rsidR="00F326E5" w:rsidRPr="006114FF">
        <w:rPr>
          <w:rFonts w:ascii="Times New Roman" w:hAnsi="Times New Roman"/>
          <w:sz w:val="24"/>
          <w:szCs w:val="24"/>
        </w:rPr>
        <w:t xml:space="preserve"> </w:t>
      </w:r>
    </w:p>
    <w:p w14:paraId="1C3F419C" w14:textId="77777777" w:rsidR="006114FF" w:rsidRDefault="006114FF" w:rsidP="00F326E5">
      <w:pPr>
        <w:pStyle w:val="NoSpacing"/>
        <w:rPr>
          <w:rFonts w:ascii="Times New Roman" w:hAnsi="Times New Roman"/>
          <w:b/>
          <w:sz w:val="24"/>
          <w:szCs w:val="24"/>
        </w:rPr>
      </w:pPr>
      <w:bookmarkStart w:id="523" w:name="_Hlk7182059"/>
    </w:p>
    <w:p w14:paraId="494A2E72" w14:textId="48E5356C" w:rsidR="00F326E5" w:rsidRPr="006114FF" w:rsidRDefault="00F326E5" w:rsidP="00F326E5">
      <w:pPr>
        <w:pStyle w:val="NoSpacing"/>
        <w:rPr>
          <w:rFonts w:ascii="Times New Roman" w:hAnsi="Times New Roman"/>
          <w:b/>
          <w:sz w:val="24"/>
          <w:szCs w:val="24"/>
        </w:rPr>
      </w:pPr>
      <w:r w:rsidRPr="006114FF">
        <w:rPr>
          <w:rFonts w:ascii="Times New Roman" w:hAnsi="Times New Roman"/>
          <w:b/>
          <w:sz w:val="24"/>
          <w:szCs w:val="24"/>
        </w:rPr>
        <w:t xml:space="preserve">Legal Lessons Learned: Implied consent statutes are an important part of highway safety. </w:t>
      </w:r>
    </w:p>
    <w:p w14:paraId="47C1FCA3" w14:textId="6E020BB8" w:rsidR="009C7552" w:rsidRDefault="009C7552" w:rsidP="00F326E5">
      <w:pPr>
        <w:pStyle w:val="NoSpacing"/>
        <w:rPr>
          <w:b/>
          <w:sz w:val="24"/>
          <w:szCs w:val="24"/>
        </w:rPr>
      </w:pPr>
    </w:p>
    <w:bookmarkEnd w:id="521"/>
    <w:p w14:paraId="5F8888E7" w14:textId="77777777" w:rsidR="009C7552" w:rsidRPr="00747A23" w:rsidRDefault="009C7552" w:rsidP="00F326E5">
      <w:pPr>
        <w:pStyle w:val="NoSpacing"/>
        <w:rPr>
          <w:b/>
          <w:sz w:val="24"/>
          <w:szCs w:val="24"/>
        </w:rPr>
      </w:pPr>
    </w:p>
    <w:bookmarkEnd w:id="522"/>
    <w:bookmarkEnd w:id="523"/>
    <w:p w14:paraId="27611C85" w14:textId="77777777" w:rsidR="00F326E5" w:rsidRDefault="00F326E5" w:rsidP="00F326E5">
      <w:pPr>
        <w:rPr>
          <w:rFonts w:ascii="Arial Black" w:hAnsi="Arial Black"/>
          <w:sz w:val="40"/>
          <w:szCs w:val="40"/>
        </w:rPr>
      </w:pPr>
    </w:p>
    <w:p w14:paraId="22A0E706" w14:textId="2F51C807" w:rsidR="00DE0F03" w:rsidRDefault="00DE0F03" w:rsidP="00F326E5">
      <w:pPr>
        <w:pStyle w:val="NoSpacing"/>
        <w:rPr>
          <w:rFonts w:ascii="Arial Black" w:hAnsi="Arial Black"/>
          <w:b/>
          <w:sz w:val="28"/>
          <w:szCs w:val="28"/>
        </w:rPr>
      </w:pPr>
      <w:bookmarkStart w:id="524" w:name="_Hlk7346439"/>
      <w:r>
        <w:rPr>
          <w:rFonts w:ascii="Arial Black" w:hAnsi="Arial Black"/>
          <w:sz w:val="24"/>
          <w:szCs w:val="24"/>
        </w:rPr>
        <w:t>13-19</w:t>
      </w:r>
    </w:p>
    <w:p w14:paraId="4D27B397" w14:textId="77777777" w:rsidR="00DE0F03" w:rsidRDefault="00DE0F03" w:rsidP="00F326E5">
      <w:pPr>
        <w:pStyle w:val="NoSpacing"/>
        <w:rPr>
          <w:rFonts w:ascii="Arial Black" w:hAnsi="Arial Black"/>
          <w:b/>
          <w:sz w:val="28"/>
          <w:szCs w:val="28"/>
        </w:rPr>
      </w:pPr>
    </w:p>
    <w:p w14:paraId="538FF428" w14:textId="11CBA939" w:rsidR="00F326E5" w:rsidRDefault="00F326E5" w:rsidP="00F326E5">
      <w:pPr>
        <w:pStyle w:val="NoSpacing"/>
        <w:rPr>
          <w:rFonts w:ascii="Arial Black" w:hAnsi="Arial Black"/>
          <w:b/>
          <w:sz w:val="28"/>
          <w:szCs w:val="28"/>
        </w:rPr>
      </w:pPr>
      <w:bookmarkStart w:id="525" w:name="_Hlk41294907"/>
      <w:bookmarkStart w:id="526" w:name="_Hlk41153975"/>
      <w:r w:rsidRPr="00EA2DAF">
        <w:rPr>
          <w:rFonts w:ascii="Arial Black" w:hAnsi="Arial Black"/>
          <w:b/>
          <w:sz w:val="28"/>
          <w:szCs w:val="28"/>
        </w:rPr>
        <w:t>WA</w:t>
      </w:r>
      <w:r>
        <w:rPr>
          <w:rFonts w:ascii="Arial Black" w:hAnsi="Arial Black"/>
          <w:b/>
          <w:sz w:val="28"/>
          <w:szCs w:val="28"/>
        </w:rPr>
        <w:t xml:space="preserve">: </w:t>
      </w:r>
      <w:r w:rsidRPr="00EA2DAF">
        <w:rPr>
          <w:rFonts w:ascii="Arial Black" w:hAnsi="Arial Black"/>
          <w:b/>
          <w:sz w:val="28"/>
          <w:szCs w:val="28"/>
        </w:rPr>
        <w:t xml:space="preserve">PATIENT WITH CHEST PAIN </w:t>
      </w:r>
      <w:r>
        <w:rPr>
          <w:rFonts w:ascii="Arial Black" w:hAnsi="Arial Black"/>
          <w:b/>
          <w:sz w:val="28"/>
          <w:szCs w:val="28"/>
        </w:rPr>
        <w:t xml:space="preserve">REFUSED TRANSPORT - </w:t>
      </w:r>
      <w:r w:rsidRPr="00EA2DAF">
        <w:rPr>
          <w:rFonts w:ascii="Arial Black" w:hAnsi="Arial Black"/>
          <w:b/>
          <w:sz w:val="28"/>
          <w:szCs w:val="28"/>
        </w:rPr>
        <w:t xml:space="preserve">FORCIBLY TAKEN TO HOSPITAL </w:t>
      </w:r>
      <w:r w:rsidR="000F0910">
        <w:rPr>
          <w:rFonts w:ascii="Arial Black" w:hAnsi="Arial Black"/>
          <w:b/>
          <w:sz w:val="28"/>
          <w:szCs w:val="28"/>
        </w:rPr>
        <w:t>– NO QUALIFIED IMMUNITY</w:t>
      </w:r>
    </w:p>
    <w:p w14:paraId="54967434" w14:textId="77777777" w:rsidR="00F326E5" w:rsidRPr="006114FF" w:rsidRDefault="00F326E5" w:rsidP="006114FF">
      <w:pPr>
        <w:pStyle w:val="NoSpacing"/>
        <w:rPr>
          <w:rFonts w:ascii="Times New Roman" w:hAnsi="Times New Roman"/>
          <w:sz w:val="24"/>
          <w:szCs w:val="24"/>
        </w:rPr>
      </w:pPr>
      <w:r w:rsidRPr="006114FF">
        <w:rPr>
          <w:rFonts w:ascii="Times New Roman" w:hAnsi="Times New Roman"/>
          <w:sz w:val="24"/>
          <w:szCs w:val="24"/>
        </w:rPr>
        <w:t xml:space="preserve">On Jan. 11, 2019, in </w:t>
      </w:r>
      <w:r w:rsidRPr="006114FF">
        <w:rPr>
          <w:rFonts w:ascii="Times New Roman" w:hAnsi="Times New Roman"/>
          <w:sz w:val="24"/>
          <w:szCs w:val="24"/>
          <w:u w:val="single"/>
        </w:rPr>
        <w:t>El-Fatih P. Nowell v. Trimmed Ambulance, LLLC, et al</w:t>
      </w:r>
      <w:r w:rsidRPr="006114FF">
        <w:rPr>
          <w:rFonts w:ascii="Times New Roman" w:hAnsi="Times New Roman"/>
          <w:sz w:val="24"/>
          <w:szCs w:val="24"/>
        </w:rPr>
        <w:t xml:space="preserve">, U.S. District Court Judge Robert S. </w:t>
      </w:r>
      <w:proofErr w:type="spellStart"/>
      <w:r w:rsidRPr="006114FF">
        <w:rPr>
          <w:rFonts w:ascii="Times New Roman" w:hAnsi="Times New Roman"/>
          <w:sz w:val="24"/>
          <w:szCs w:val="24"/>
        </w:rPr>
        <w:t>Lasnik</w:t>
      </w:r>
      <w:proofErr w:type="spellEnd"/>
      <w:r w:rsidRPr="006114FF">
        <w:rPr>
          <w:rFonts w:ascii="Times New Roman" w:hAnsi="Times New Roman"/>
          <w:sz w:val="24"/>
          <w:szCs w:val="24"/>
        </w:rPr>
        <w:t xml:space="preserve"> (Seattle, WA), denied EMS defendants’ motion for summary judgments on most of the allegations of “involuntary detention and transport to a medical facility.” </w:t>
      </w:r>
      <w:hyperlink r:id="rId2354" w:history="1">
        <w:r w:rsidRPr="006114FF">
          <w:rPr>
            <w:rStyle w:val="Hyperlink"/>
            <w:rFonts w:ascii="Times New Roman" w:hAnsi="Times New Roman"/>
            <w:sz w:val="24"/>
            <w:szCs w:val="24"/>
          </w:rPr>
          <w:t>https://docs.justia.com/cases/federal/district-courts/washington/wawdce/2:2017cv01133/248111/33</w:t>
        </w:r>
      </w:hyperlink>
      <w:r w:rsidRPr="006114FF">
        <w:rPr>
          <w:rFonts w:ascii="Times New Roman" w:hAnsi="Times New Roman"/>
          <w:sz w:val="24"/>
          <w:szCs w:val="24"/>
        </w:rPr>
        <w:t xml:space="preserve"> </w:t>
      </w:r>
    </w:p>
    <w:p w14:paraId="7C381CFB" w14:textId="77777777" w:rsidR="006114FF" w:rsidRDefault="006114FF" w:rsidP="006114FF">
      <w:pPr>
        <w:pStyle w:val="NoSpacing"/>
        <w:rPr>
          <w:rFonts w:ascii="Times New Roman" w:eastAsia="Times New Roman" w:hAnsi="Times New Roman"/>
          <w:b/>
          <w:sz w:val="24"/>
          <w:szCs w:val="24"/>
        </w:rPr>
      </w:pPr>
    </w:p>
    <w:p w14:paraId="2AF4C848" w14:textId="4772050A" w:rsidR="00F326E5" w:rsidRPr="006114FF" w:rsidRDefault="00F326E5" w:rsidP="006114FF">
      <w:pPr>
        <w:pStyle w:val="NoSpacing"/>
        <w:rPr>
          <w:rFonts w:ascii="Times New Roman" w:eastAsia="Times New Roman" w:hAnsi="Times New Roman"/>
          <w:b/>
          <w:sz w:val="24"/>
          <w:szCs w:val="24"/>
        </w:rPr>
      </w:pPr>
      <w:r w:rsidRPr="006114FF">
        <w:rPr>
          <w:rFonts w:ascii="Times New Roman" w:eastAsia="Times New Roman" w:hAnsi="Times New Roman"/>
          <w:b/>
          <w:sz w:val="24"/>
          <w:szCs w:val="24"/>
        </w:rPr>
        <w:t>Legal Lessons Learned:  When EMS are faced with the difficult decision on whether to forcibly transport a patient, consider first calling the hospital emergency department and getting medical clearance to transport</w:t>
      </w:r>
      <w:bookmarkEnd w:id="525"/>
      <w:r w:rsidRPr="006114FF">
        <w:rPr>
          <w:rFonts w:ascii="Times New Roman" w:eastAsia="Times New Roman" w:hAnsi="Times New Roman"/>
          <w:b/>
          <w:sz w:val="24"/>
          <w:szCs w:val="24"/>
        </w:rPr>
        <w:t xml:space="preserve">. </w:t>
      </w:r>
    </w:p>
    <w:p w14:paraId="590DC6B5" w14:textId="77777777" w:rsidR="006114FF" w:rsidRDefault="006114FF" w:rsidP="00F326E5">
      <w:pPr>
        <w:pStyle w:val="NoSpacing"/>
        <w:rPr>
          <w:rFonts w:ascii="Arial Black" w:hAnsi="Arial Black"/>
          <w:sz w:val="24"/>
          <w:szCs w:val="24"/>
        </w:rPr>
      </w:pPr>
      <w:bookmarkStart w:id="527" w:name="_Hlk7346486"/>
      <w:bookmarkEnd w:id="524"/>
      <w:bookmarkEnd w:id="526"/>
    </w:p>
    <w:p w14:paraId="3A5B0FD9" w14:textId="77777777" w:rsidR="006114FF" w:rsidRDefault="006114FF" w:rsidP="00F326E5">
      <w:pPr>
        <w:pStyle w:val="NoSpacing"/>
        <w:rPr>
          <w:rFonts w:ascii="Arial Black" w:hAnsi="Arial Black"/>
          <w:sz w:val="24"/>
          <w:szCs w:val="24"/>
        </w:rPr>
      </w:pPr>
    </w:p>
    <w:p w14:paraId="579DAE40" w14:textId="008CF336" w:rsidR="00DE0F03" w:rsidRDefault="00DE0F03" w:rsidP="00F326E5">
      <w:pPr>
        <w:pStyle w:val="NoSpacing"/>
        <w:rPr>
          <w:rFonts w:ascii="Arial Black" w:hAnsi="Arial Black"/>
          <w:b/>
          <w:sz w:val="28"/>
          <w:szCs w:val="28"/>
        </w:rPr>
      </w:pPr>
      <w:r>
        <w:rPr>
          <w:rFonts w:ascii="Arial Black" w:hAnsi="Arial Black"/>
          <w:sz w:val="24"/>
          <w:szCs w:val="24"/>
        </w:rPr>
        <w:t>13-18</w:t>
      </w:r>
    </w:p>
    <w:p w14:paraId="4F5796F9" w14:textId="77777777" w:rsidR="00DE0F03" w:rsidRDefault="00DE0F03" w:rsidP="00F326E5">
      <w:pPr>
        <w:pStyle w:val="NoSpacing"/>
        <w:rPr>
          <w:rFonts w:ascii="Arial Black" w:hAnsi="Arial Black"/>
          <w:b/>
          <w:sz w:val="28"/>
          <w:szCs w:val="28"/>
        </w:rPr>
      </w:pPr>
    </w:p>
    <w:p w14:paraId="0C1E5E0A" w14:textId="57EF8A4A" w:rsidR="00F326E5" w:rsidRDefault="00F326E5" w:rsidP="00F326E5">
      <w:pPr>
        <w:pStyle w:val="NoSpacing"/>
        <w:rPr>
          <w:rFonts w:ascii="Arial Black" w:hAnsi="Arial Black"/>
          <w:b/>
          <w:sz w:val="28"/>
          <w:szCs w:val="28"/>
        </w:rPr>
      </w:pPr>
      <w:bookmarkStart w:id="528" w:name="_Hlk41154042"/>
      <w:r w:rsidRPr="00EA2DAF">
        <w:rPr>
          <w:rFonts w:ascii="Arial Black" w:hAnsi="Arial Black"/>
          <w:b/>
          <w:sz w:val="28"/>
          <w:szCs w:val="28"/>
        </w:rPr>
        <w:t>OH:  911 DISPATCHES FOR DRUG OVERDOSES –</w:t>
      </w:r>
      <w:r w:rsidR="00195FD1">
        <w:rPr>
          <w:rFonts w:ascii="Arial Black" w:hAnsi="Arial Black"/>
          <w:b/>
          <w:sz w:val="28"/>
          <w:szCs w:val="28"/>
        </w:rPr>
        <w:t xml:space="preserve"> </w:t>
      </w:r>
      <w:r w:rsidRPr="00EA2DAF">
        <w:rPr>
          <w:rFonts w:ascii="Arial Black" w:hAnsi="Arial Black"/>
          <w:b/>
          <w:sz w:val="28"/>
          <w:szCs w:val="28"/>
        </w:rPr>
        <w:t>NOT HIPPA PROTECTED UNLESS DISCLOSES PHI</w:t>
      </w:r>
      <w:r>
        <w:rPr>
          <w:rFonts w:ascii="Arial Black" w:hAnsi="Arial Black"/>
          <w:b/>
          <w:sz w:val="28"/>
          <w:szCs w:val="28"/>
        </w:rPr>
        <w:t xml:space="preserve"> </w:t>
      </w:r>
    </w:p>
    <w:p w14:paraId="040A6028" w14:textId="77777777" w:rsidR="00F326E5" w:rsidRPr="006114FF" w:rsidRDefault="00F326E5" w:rsidP="00F326E5">
      <w:pPr>
        <w:pStyle w:val="NoSpacing"/>
        <w:rPr>
          <w:rFonts w:ascii="Times New Roman" w:eastAsia="Times New Roman" w:hAnsi="Times New Roman"/>
          <w:sz w:val="24"/>
          <w:szCs w:val="24"/>
        </w:rPr>
      </w:pPr>
      <w:r w:rsidRPr="006114FF">
        <w:rPr>
          <w:rFonts w:ascii="Times New Roman" w:hAnsi="Times New Roman"/>
          <w:sz w:val="24"/>
          <w:szCs w:val="24"/>
        </w:rPr>
        <w:t xml:space="preserve">On Dec. 14, 2018, in </w:t>
      </w:r>
      <w:r w:rsidRPr="006114FF">
        <w:rPr>
          <w:rFonts w:ascii="Times New Roman" w:hAnsi="Times New Roman"/>
          <w:sz w:val="24"/>
          <w:szCs w:val="24"/>
          <w:u w:val="single"/>
        </w:rPr>
        <w:t>Rachel L. Dissell v. City of Cleveland</w:t>
      </w:r>
      <w:r w:rsidRPr="006114FF">
        <w:rPr>
          <w:rFonts w:ascii="Times New Roman" w:hAnsi="Times New Roman"/>
          <w:sz w:val="24"/>
          <w:szCs w:val="24"/>
        </w:rPr>
        <w:t xml:space="preserve">, the Ohio Court of Claims appointed a Special Master to advise the Court on request for records by a reporter for the </w:t>
      </w:r>
      <w:proofErr w:type="spellStart"/>
      <w:r w:rsidRPr="006114FF">
        <w:rPr>
          <w:rFonts w:ascii="Times New Roman" w:hAnsi="Times New Roman"/>
          <w:sz w:val="24"/>
          <w:szCs w:val="24"/>
        </w:rPr>
        <w:t>The</w:t>
      </w:r>
      <w:proofErr w:type="spellEnd"/>
      <w:r w:rsidRPr="006114FF">
        <w:rPr>
          <w:rFonts w:ascii="Times New Roman" w:hAnsi="Times New Roman"/>
          <w:sz w:val="24"/>
          <w:szCs w:val="24"/>
        </w:rPr>
        <w:t xml:space="preserve"> Plain Dealer newspaper.  The Special Master concluded that Computer Aided Dispatch records, including addresses where EMS responded, be released under Ohio Public Records Act.  “Upon consideration of the pleadings and attachments, I recommend that the court order respondent to provide requester with a copy of the EMS/Fire CAD event summary records, as submitted under seal.” </w:t>
      </w:r>
      <w:hyperlink r:id="rId2355" w:history="1">
        <w:r w:rsidRPr="006114FF">
          <w:rPr>
            <w:rStyle w:val="Hyperlink"/>
            <w:rFonts w:ascii="Times New Roman" w:hAnsi="Times New Roman"/>
            <w:sz w:val="24"/>
            <w:szCs w:val="24"/>
          </w:rPr>
          <w:t>https://scholar.google.com/scholar_case?case=16398402888190855228&amp;q=Dissell+v.+Cleveland&amp;hl=en&amp;as_sdt=6,36&amp;as_vis=1</w:t>
        </w:r>
      </w:hyperlink>
      <w:r w:rsidRPr="006114FF">
        <w:rPr>
          <w:rFonts w:ascii="Times New Roman" w:hAnsi="Times New Roman"/>
          <w:sz w:val="24"/>
          <w:szCs w:val="24"/>
        </w:rPr>
        <w:t xml:space="preserve"> </w:t>
      </w:r>
    </w:p>
    <w:p w14:paraId="4B35A819" w14:textId="77777777" w:rsidR="006114FF" w:rsidRDefault="006114FF" w:rsidP="00F326E5">
      <w:pPr>
        <w:rPr>
          <w:rFonts w:ascii="Times New Roman" w:hAnsi="Times New Roman"/>
          <w:b/>
          <w:sz w:val="24"/>
          <w:szCs w:val="24"/>
        </w:rPr>
      </w:pPr>
    </w:p>
    <w:p w14:paraId="1D178CB1" w14:textId="53750460" w:rsidR="00F326E5" w:rsidRPr="006114FF" w:rsidRDefault="00F326E5" w:rsidP="00F326E5">
      <w:pPr>
        <w:rPr>
          <w:rFonts w:ascii="Times New Roman" w:hAnsi="Times New Roman"/>
          <w:b/>
          <w:sz w:val="24"/>
          <w:szCs w:val="24"/>
        </w:rPr>
      </w:pPr>
      <w:r w:rsidRPr="006114FF">
        <w:rPr>
          <w:rFonts w:ascii="Times New Roman" w:hAnsi="Times New Roman"/>
          <w:b/>
          <w:sz w:val="24"/>
          <w:szCs w:val="24"/>
        </w:rPr>
        <w:t xml:space="preserve">Legal Lessons Learned:  In producing CAD or other records on EMS calls, be very careful to exclude any “Protected Health Information.”  If in doubt, advise requester that info is HIPAA protected and will only be revealed to Court under seal.   </w:t>
      </w:r>
    </w:p>
    <w:bookmarkEnd w:id="528"/>
    <w:p w14:paraId="3629CE52" w14:textId="77777777" w:rsidR="00DE0F03" w:rsidRDefault="00DE0F03" w:rsidP="00DE0F03">
      <w:pPr>
        <w:pStyle w:val="NoSpacing"/>
        <w:rPr>
          <w:rFonts w:ascii="Arial Black" w:hAnsi="Arial Black"/>
          <w:sz w:val="24"/>
          <w:szCs w:val="24"/>
        </w:rPr>
      </w:pPr>
    </w:p>
    <w:p w14:paraId="4330B4DE" w14:textId="77777777" w:rsidR="00DE0F03" w:rsidRDefault="00DE0F03" w:rsidP="00DE0F03">
      <w:pPr>
        <w:pStyle w:val="NoSpacing"/>
        <w:rPr>
          <w:rFonts w:ascii="Arial Black" w:hAnsi="Arial Black"/>
          <w:sz w:val="24"/>
          <w:szCs w:val="24"/>
        </w:rPr>
      </w:pPr>
    </w:p>
    <w:p w14:paraId="4017311B" w14:textId="7CDCF1AF" w:rsidR="00DE0F03" w:rsidRDefault="00DE0F03" w:rsidP="00DE0F03">
      <w:pPr>
        <w:pStyle w:val="NoSpacing"/>
        <w:rPr>
          <w:rFonts w:ascii="Arial Black" w:hAnsi="Arial Black"/>
          <w:sz w:val="24"/>
          <w:szCs w:val="24"/>
        </w:rPr>
      </w:pPr>
      <w:r>
        <w:rPr>
          <w:rFonts w:ascii="Arial Black" w:hAnsi="Arial Black"/>
          <w:sz w:val="24"/>
          <w:szCs w:val="24"/>
        </w:rPr>
        <w:t>13-17</w:t>
      </w:r>
    </w:p>
    <w:p w14:paraId="78184C34" w14:textId="77777777" w:rsidR="00F326E5" w:rsidRDefault="00F326E5" w:rsidP="00F326E5">
      <w:pPr>
        <w:pStyle w:val="NoSpacing"/>
        <w:rPr>
          <w:b/>
          <w:sz w:val="24"/>
          <w:szCs w:val="24"/>
        </w:rPr>
      </w:pPr>
    </w:p>
    <w:bookmarkEnd w:id="527"/>
    <w:p w14:paraId="5730673E" w14:textId="77777777" w:rsidR="00F326E5" w:rsidRDefault="00F326E5" w:rsidP="00F326E5">
      <w:pPr>
        <w:pStyle w:val="NoSpacing"/>
        <w:rPr>
          <w:b/>
          <w:sz w:val="24"/>
          <w:szCs w:val="24"/>
        </w:rPr>
      </w:pPr>
    </w:p>
    <w:p w14:paraId="76F59534" w14:textId="7575FE80" w:rsidR="00F326E5" w:rsidRPr="00CA3D6F" w:rsidRDefault="00F326E5" w:rsidP="00F326E5">
      <w:pPr>
        <w:pStyle w:val="NoSpacing"/>
        <w:rPr>
          <w:rStyle w:val="dfm-title"/>
          <w:b/>
          <w:sz w:val="24"/>
          <w:szCs w:val="24"/>
        </w:rPr>
      </w:pPr>
      <w:bookmarkStart w:id="529" w:name="_Hlk7346521"/>
      <w:r w:rsidRPr="00877AA6">
        <w:rPr>
          <w:rStyle w:val="dfm-title"/>
          <w:rFonts w:ascii="Arial Black" w:hAnsi="Arial Black"/>
          <w:b/>
          <w:sz w:val="28"/>
          <w:szCs w:val="28"/>
        </w:rPr>
        <w:t>PA: HOSPITAL EMPLOYEE RECORDS HACKED; EMPLOYEES MAY SUE HOSPITAL</w:t>
      </w:r>
      <w:r>
        <w:rPr>
          <w:rStyle w:val="dfm-title"/>
          <w:rFonts w:ascii="Arial Black" w:hAnsi="Arial Black"/>
          <w:b/>
          <w:sz w:val="24"/>
          <w:szCs w:val="24"/>
        </w:rPr>
        <w:t xml:space="preserve"> </w:t>
      </w:r>
      <w:r w:rsidRPr="00877AA6">
        <w:rPr>
          <w:rStyle w:val="dfm-title"/>
          <w:sz w:val="24"/>
          <w:szCs w:val="24"/>
        </w:rPr>
        <w:t>[also filed, Chap. 6]</w:t>
      </w:r>
    </w:p>
    <w:p w14:paraId="4669EA5F" w14:textId="227509D0" w:rsidR="00F326E5" w:rsidRPr="006114FF" w:rsidRDefault="00F326E5" w:rsidP="00F326E5">
      <w:pPr>
        <w:rPr>
          <w:rFonts w:ascii="Times New Roman" w:hAnsi="Times New Roman"/>
          <w:sz w:val="24"/>
          <w:szCs w:val="24"/>
        </w:rPr>
      </w:pPr>
      <w:r w:rsidRPr="006114FF">
        <w:rPr>
          <w:rFonts w:ascii="Times New Roman" w:hAnsi="Times New Roman"/>
          <w:sz w:val="24"/>
          <w:szCs w:val="24"/>
        </w:rPr>
        <w:t xml:space="preserve">On Nov. 21, 2018, in </w:t>
      </w:r>
      <w:r w:rsidRPr="006114FF">
        <w:rPr>
          <w:rFonts w:ascii="Times New Roman" w:hAnsi="Times New Roman"/>
          <w:sz w:val="24"/>
          <w:szCs w:val="24"/>
          <w:u w:val="single"/>
        </w:rPr>
        <w:t>Barbara A. Dittman, et al. v.</w:t>
      </w:r>
      <w:r w:rsidRPr="006114FF">
        <w:rPr>
          <w:rFonts w:ascii="Times New Roman" w:hAnsi="Times New Roman"/>
          <w:sz w:val="24"/>
          <w:szCs w:val="24"/>
        </w:rPr>
        <w:t xml:space="preserve"> </w:t>
      </w:r>
      <w:r w:rsidRPr="006114FF">
        <w:rPr>
          <w:rFonts w:ascii="Times New Roman" w:eastAsia="Times New Roman" w:hAnsi="Times New Roman"/>
          <w:sz w:val="24"/>
          <w:szCs w:val="24"/>
          <w:u w:val="single"/>
        </w:rPr>
        <w:t>UPMC d/b/a The University of Pittsburgh Medical Center, et al.</w:t>
      </w:r>
      <w:r w:rsidRPr="006114FF">
        <w:rPr>
          <w:rFonts w:ascii="Times New Roman" w:eastAsia="Times New Roman" w:hAnsi="Times New Roman"/>
          <w:sz w:val="24"/>
          <w:szCs w:val="24"/>
        </w:rPr>
        <w:t>, the PA Supreme Court ruled (4 to 3), the lawsuit was reinstated against the hospital. “We hold that an employer has a legal duty to exercise reasonable care to safeguard its employees’ sensitive personal information stored by the employer on an internet-</w:t>
      </w:r>
      <w:r w:rsidRPr="006114FF">
        <w:rPr>
          <w:rFonts w:ascii="Times New Roman" w:hAnsi="Times New Roman"/>
          <w:sz w:val="24"/>
          <w:szCs w:val="24"/>
        </w:rPr>
        <w:t xml:space="preserve">accessible computer system.” </w:t>
      </w:r>
      <w:hyperlink r:id="rId2356" w:history="1">
        <w:r w:rsidRPr="006114FF">
          <w:rPr>
            <w:rStyle w:val="Hyperlink"/>
            <w:rFonts w:ascii="Times New Roman" w:hAnsi="Times New Roman"/>
            <w:sz w:val="24"/>
            <w:szCs w:val="24"/>
          </w:rPr>
          <w:t>http://www.pacourts.us/assets/opinions/Supreme/out/Majority%20Opinion%20%20VacatedRemanded%20%2010378165044604409.pdf?cb=1</w:t>
        </w:r>
      </w:hyperlink>
      <w:r w:rsidRPr="006114FF">
        <w:rPr>
          <w:rFonts w:ascii="Times New Roman" w:hAnsi="Times New Roman"/>
          <w:sz w:val="24"/>
          <w:szCs w:val="24"/>
        </w:rPr>
        <w:t xml:space="preserve"> </w:t>
      </w:r>
    </w:p>
    <w:p w14:paraId="6851095D" w14:textId="77777777" w:rsidR="00F326E5" w:rsidRPr="006114FF" w:rsidRDefault="00F326E5" w:rsidP="00F326E5">
      <w:pPr>
        <w:pStyle w:val="Heading1"/>
        <w:rPr>
          <w:b w:val="0"/>
          <w:sz w:val="24"/>
          <w:szCs w:val="24"/>
        </w:rPr>
      </w:pPr>
      <w:r w:rsidRPr="006114FF">
        <w:rPr>
          <w:sz w:val="24"/>
          <w:szCs w:val="24"/>
        </w:rPr>
        <w:t xml:space="preserve">Legal Lessons Learned:  This is an important decision that will now proceed to trial or settlement. Hopefully this decision will prompt employers in PA, and other states, including Fire &amp; EMS agencies, to review their electronic data safeguards with IT experts.  </w:t>
      </w:r>
    </w:p>
    <w:p w14:paraId="07E1203C" w14:textId="77777777" w:rsidR="00F326E5" w:rsidRPr="006114FF" w:rsidRDefault="00F326E5" w:rsidP="00F326E5">
      <w:pPr>
        <w:pStyle w:val="NoSpacing"/>
        <w:ind w:left="720"/>
        <w:rPr>
          <w:rFonts w:ascii="Times New Roman" w:hAnsi="Times New Roman"/>
          <w:sz w:val="24"/>
          <w:szCs w:val="24"/>
        </w:rPr>
      </w:pPr>
      <w:r w:rsidRPr="006114FF">
        <w:rPr>
          <w:rFonts w:ascii="Times New Roman" w:hAnsi="Times New Roman"/>
          <w:sz w:val="24"/>
          <w:szCs w:val="24"/>
        </w:rPr>
        <w:t xml:space="preserve">Note:  Ohio has enacted the Ohio Data Protection Act, effective Nov. 2, 2018 (to be in Ohio Revised Code 1354.01-05), which provides companies with an affirmative defense to lawsuits involving release of personal information, if the company has a written cybersecurity program that conforms to the NIST Cybersecurity Framework. </w:t>
      </w:r>
      <w:hyperlink r:id="rId2357" w:history="1">
        <w:r w:rsidRPr="006114FF">
          <w:rPr>
            <w:rStyle w:val="Hyperlink"/>
            <w:rFonts w:ascii="Times New Roman" w:hAnsi="Times New Roman"/>
            <w:sz w:val="24"/>
            <w:szCs w:val="24"/>
          </w:rPr>
          <w:t>https://www.legislature.ohio.gov/legislation/legislation-summary?id=GA132-SB-220</w:t>
        </w:r>
      </w:hyperlink>
      <w:r w:rsidRPr="006114FF">
        <w:rPr>
          <w:rFonts w:ascii="Times New Roman" w:hAnsi="Times New Roman"/>
          <w:sz w:val="24"/>
          <w:szCs w:val="24"/>
        </w:rPr>
        <w:t xml:space="preserve">.  See Sept. 20, </w:t>
      </w:r>
      <w:proofErr w:type="gramStart"/>
      <w:r w:rsidRPr="006114FF">
        <w:rPr>
          <w:rFonts w:ascii="Times New Roman" w:hAnsi="Times New Roman"/>
          <w:sz w:val="24"/>
          <w:szCs w:val="24"/>
        </w:rPr>
        <w:t>2018</w:t>
      </w:r>
      <w:proofErr w:type="gramEnd"/>
      <w:r w:rsidRPr="006114FF">
        <w:rPr>
          <w:rFonts w:ascii="Times New Roman" w:hAnsi="Times New Roman"/>
          <w:sz w:val="24"/>
          <w:szCs w:val="24"/>
        </w:rPr>
        <w:t xml:space="preserve"> article, “New Ohio law incentivizes businesses that comply with cybersecurity programs,” </w:t>
      </w:r>
      <w:hyperlink r:id="rId2358" w:history="1">
        <w:r w:rsidRPr="006114FF">
          <w:rPr>
            <w:rStyle w:val="Hyperlink"/>
            <w:rFonts w:ascii="Times New Roman" w:hAnsi="Times New Roman"/>
            <w:sz w:val="24"/>
            <w:szCs w:val="24"/>
          </w:rPr>
          <w:t>https://www.bizjournals.com/columbus/news/2018/09/20/new-ohio-law-incentivizes-businesses-that-comply.html</w:t>
        </w:r>
      </w:hyperlink>
    </w:p>
    <w:bookmarkEnd w:id="529"/>
    <w:p w14:paraId="629E6367" w14:textId="77777777" w:rsidR="00F326E5" w:rsidRDefault="00F326E5" w:rsidP="00F326E5">
      <w:pPr>
        <w:pStyle w:val="NoSpacing"/>
        <w:rPr>
          <w:b/>
          <w:sz w:val="24"/>
          <w:szCs w:val="24"/>
        </w:rPr>
      </w:pPr>
    </w:p>
    <w:p w14:paraId="71585CCD" w14:textId="77777777" w:rsidR="00F326E5" w:rsidRDefault="00F326E5" w:rsidP="00F326E5">
      <w:pPr>
        <w:pStyle w:val="NoSpacing"/>
        <w:rPr>
          <w:b/>
          <w:sz w:val="24"/>
          <w:szCs w:val="24"/>
        </w:rPr>
      </w:pPr>
    </w:p>
    <w:p w14:paraId="2CFD1049" w14:textId="6992CEDF" w:rsidR="00DE0F03" w:rsidRDefault="00DE0F03" w:rsidP="00F326E5">
      <w:pPr>
        <w:pStyle w:val="NoSpacing"/>
        <w:rPr>
          <w:rFonts w:ascii="Arial Black" w:hAnsi="Arial Black"/>
          <w:b/>
          <w:sz w:val="28"/>
          <w:szCs w:val="28"/>
        </w:rPr>
      </w:pPr>
      <w:bookmarkStart w:id="530" w:name="_Hlk7346609"/>
      <w:r>
        <w:rPr>
          <w:rFonts w:ascii="Arial Black" w:hAnsi="Arial Black"/>
          <w:sz w:val="24"/>
          <w:szCs w:val="24"/>
        </w:rPr>
        <w:t>13-16</w:t>
      </w:r>
    </w:p>
    <w:p w14:paraId="11569771" w14:textId="77777777" w:rsidR="00DE0F03" w:rsidRDefault="00DE0F03" w:rsidP="00F326E5">
      <w:pPr>
        <w:pStyle w:val="NoSpacing"/>
        <w:rPr>
          <w:rFonts w:ascii="Arial Black" w:hAnsi="Arial Black"/>
          <w:b/>
          <w:sz w:val="28"/>
          <w:szCs w:val="28"/>
        </w:rPr>
      </w:pPr>
    </w:p>
    <w:p w14:paraId="65ED2460" w14:textId="0366945E" w:rsidR="00F326E5" w:rsidRPr="00877AA6" w:rsidRDefault="00F326E5" w:rsidP="00F326E5">
      <w:pPr>
        <w:pStyle w:val="NoSpacing"/>
        <w:rPr>
          <w:rFonts w:ascii="Arial Black" w:hAnsi="Arial Black"/>
          <w:b/>
          <w:sz w:val="28"/>
          <w:szCs w:val="28"/>
        </w:rPr>
      </w:pPr>
      <w:bookmarkStart w:id="531" w:name="_Hlk41154132"/>
      <w:r w:rsidRPr="00877AA6">
        <w:rPr>
          <w:rFonts w:ascii="Arial Black" w:hAnsi="Arial Black"/>
          <w:b/>
          <w:sz w:val="28"/>
          <w:szCs w:val="28"/>
        </w:rPr>
        <w:t xml:space="preserve">OH: </w:t>
      </w:r>
      <w:r>
        <w:rPr>
          <w:rFonts w:ascii="Arial Black" w:hAnsi="Arial Black"/>
          <w:b/>
          <w:sz w:val="28"/>
          <w:szCs w:val="28"/>
        </w:rPr>
        <w:t>PUBLIC RECORDS</w:t>
      </w:r>
      <w:r w:rsidR="00DA4990">
        <w:rPr>
          <w:rFonts w:ascii="Arial Black" w:hAnsi="Arial Black"/>
          <w:b/>
          <w:sz w:val="28"/>
          <w:szCs w:val="28"/>
        </w:rPr>
        <w:t xml:space="preserve"> REQUEST – INCLUDING </w:t>
      </w:r>
      <w:r>
        <w:rPr>
          <w:rFonts w:ascii="Arial Black" w:hAnsi="Arial Black"/>
          <w:b/>
          <w:sz w:val="28"/>
          <w:szCs w:val="28"/>
        </w:rPr>
        <w:t>EMS INJUR</w:t>
      </w:r>
      <w:r w:rsidR="00DA4990">
        <w:rPr>
          <w:rFonts w:ascii="Arial Black" w:hAnsi="Arial Black"/>
          <w:b/>
          <w:sz w:val="28"/>
          <w:szCs w:val="28"/>
        </w:rPr>
        <w:t xml:space="preserve">ED ON JOB </w:t>
      </w:r>
      <w:r>
        <w:rPr>
          <w:rFonts w:ascii="Arial Black" w:hAnsi="Arial Black"/>
          <w:b/>
          <w:sz w:val="28"/>
          <w:szCs w:val="28"/>
        </w:rPr>
        <w:t>– CITY’S DELAY UNREASONABLE, PAY $8,812 ATTORNEY FEES</w:t>
      </w:r>
    </w:p>
    <w:p w14:paraId="24E677F8" w14:textId="77777777" w:rsidR="006114FF" w:rsidRDefault="00F326E5" w:rsidP="00F326E5">
      <w:pPr>
        <w:rPr>
          <w:rFonts w:ascii="Times New Roman" w:eastAsia="Times New Roman" w:hAnsi="Times New Roman"/>
          <w:sz w:val="24"/>
          <w:szCs w:val="24"/>
        </w:rPr>
      </w:pPr>
      <w:r w:rsidRPr="006114FF">
        <w:rPr>
          <w:rFonts w:ascii="Times New Roman" w:eastAsia="Times New Roman" w:hAnsi="Times New Roman"/>
          <w:sz w:val="24"/>
          <w:szCs w:val="24"/>
        </w:rPr>
        <w:t xml:space="preserve">On Nov. 14, 2018, in </w:t>
      </w:r>
      <w:r w:rsidRPr="006114FF">
        <w:rPr>
          <w:rFonts w:ascii="Times New Roman" w:eastAsia="Times New Roman" w:hAnsi="Times New Roman"/>
          <w:sz w:val="24"/>
          <w:szCs w:val="24"/>
          <w:u w:val="single"/>
        </w:rPr>
        <w:t xml:space="preserve">Cleveland Association </w:t>
      </w:r>
      <w:proofErr w:type="gramStart"/>
      <w:r w:rsidRPr="006114FF">
        <w:rPr>
          <w:rFonts w:ascii="Times New Roman" w:eastAsia="Times New Roman" w:hAnsi="Times New Roman"/>
          <w:sz w:val="24"/>
          <w:szCs w:val="24"/>
          <w:u w:val="single"/>
        </w:rPr>
        <w:t>Of</w:t>
      </w:r>
      <w:proofErr w:type="gramEnd"/>
      <w:r w:rsidRPr="006114FF">
        <w:rPr>
          <w:rFonts w:ascii="Times New Roman" w:eastAsia="Times New Roman" w:hAnsi="Times New Roman"/>
          <w:sz w:val="24"/>
          <w:szCs w:val="24"/>
          <w:u w:val="single"/>
        </w:rPr>
        <w:t xml:space="preserve"> Rescue Employees – Local 1975 v. City of Cleveland</w:t>
      </w:r>
      <w:r w:rsidRPr="006114FF">
        <w:rPr>
          <w:rFonts w:ascii="Times New Roman" w:eastAsia="Times New Roman" w:hAnsi="Times New Roman"/>
          <w:sz w:val="24"/>
          <w:szCs w:val="24"/>
        </w:rPr>
        <w:t xml:space="preserve">, the Ohio Court of Appeals for Cuyahoga County, held (3 to 0) held that the City must reimburse CARE $8,812.50 in attorney fees.  </w:t>
      </w:r>
    </w:p>
    <w:p w14:paraId="76164A03" w14:textId="6ED60E10" w:rsidR="00F326E5" w:rsidRPr="006114FF" w:rsidRDefault="00F326E5" w:rsidP="006114FF">
      <w:pPr>
        <w:ind w:left="720"/>
        <w:rPr>
          <w:rStyle w:val="Hyperlink"/>
          <w:rFonts w:ascii="Times New Roman" w:hAnsi="Times New Roman"/>
          <w:sz w:val="24"/>
          <w:szCs w:val="24"/>
        </w:rPr>
      </w:pPr>
      <w:r w:rsidRPr="006114FF">
        <w:rPr>
          <w:rFonts w:ascii="Times New Roman" w:eastAsia="Times New Roman" w:hAnsi="Times New Roman"/>
          <w:sz w:val="24"/>
          <w:szCs w:val="24"/>
        </w:rPr>
        <w:t>“This court finds that the city’s failure to respond to the records request by releasing the requested records in this case was unreasonable. The city’s two-month delay in producing some of the records and more than five-month delay in producing all the requested records constitutes a failure to respond within a reasonable time.”</w:t>
      </w:r>
      <w:r w:rsidR="006114FF">
        <w:rPr>
          <w:rFonts w:ascii="Times New Roman" w:eastAsia="Times New Roman" w:hAnsi="Times New Roman"/>
          <w:sz w:val="24"/>
          <w:szCs w:val="24"/>
        </w:rPr>
        <w:t xml:space="preserve"> </w:t>
      </w:r>
      <w:hyperlink r:id="rId2359" w:history="1">
        <w:r w:rsidRPr="006114FF">
          <w:rPr>
            <w:rStyle w:val="Hyperlink"/>
            <w:rFonts w:ascii="Times New Roman" w:hAnsi="Times New Roman"/>
            <w:sz w:val="24"/>
            <w:szCs w:val="24"/>
          </w:rPr>
          <w:t>https://www.supremecourt.ohio.gov/rod/docs/pdf/8/2018/2018-Ohio-4602.pdf</w:t>
        </w:r>
      </w:hyperlink>
    </w:p>
    <w:p w14:paraId="5022440F" w14:textId="77777777" w:rsidR="00F326E5" w:rsidRPr="006114FF" w:rsidRDefault="00F326E5" w:rsidP="00F326E5">
      <w:pPr>
        <w:rPr>
          <w:rFonts w:ascii="Times New Roman" w:eastAsia="Times New Roman" w:hAnsi="Times New Roman"/>
          <w:b/>
          <w:sz w:val="24"/>
          <w:szCs w:val="24"/>
        </w:rPr>
      </w:pPr>
      <w:r w:rsidRPr="006114FF">
        <w:rPr>
          <w:rFonts w:ascii="Times New Roman" w:eastAsia="Times New Roman" w:hAnsi="Times New Roman"/>
          <w:b/>
          <w:sz w:val="24"/>
          <w:szCs w:val="24"/>
        </w:rPr>
        <w:t xml:space="preserve">Legal Lessons Learned:  Public records act statutes require prompt response; political subdivision should promptly produce readily available records, such Fire &amp; EMS job descriptions and certifications. </w:t>
      </w:r>
    </w:p>
    <w:bookmarkEnd w:id="530"/>
    <w:bookmarkEnd w:id="531"/>
    <w:p w14:paraId="2076A0C8" w14:textId="77777777" w:rsidR="00F326E5" w:rsidRPr="006114FF" w:rsidRDefault="00F326E5" w:rsidP="00F326E5">
      <w:pPr>
        <w:rPr>
          <w:rFonts w:ascii="Times New Roman" w:eastAsia="Times New Roman" w:hAnsi="Times New Roman"/>
          <w:sz w:val="24"/>
          <w:szCs w:val="24"/>
        </w:rPr>
      </w:pPr>
    </w:p>
    <w:p w14:paraId="3C1C841A" w14:textId="281F5A45" w:rsidR="00DE0F03" w:rsidRDefault="00DE0F03" w:rsidP="00DE0F03">
      <w:pPr>
        <w:pStyle w:val="NoSpacing"/>
        <w:rPr>
          <w:rFonts w:ascii="Arial Black" w:hAnsi="Arial Black"/>
          <w:sz w:val="24"/>
          <w:szCs w:val="24"/>
        </w:rPr>
      </w:pPr>
      <w:bookmarkStart w:id="532" w:name="_Hlk7346666"/>
      <w:r>
        <w:rPr>
          <w:rFonts w:ascii="Arial Black" w:hAnsi="Arial Black"/>
          <w:sz w:val="24"/>
          <w:szCs w:val="24"/>
        </w:rPr>
        <w:t>13-15</w:t>
      </w:r>
    </w:p>
    <w:p w14:paraId="649B7D23" w14:textId="77777777" w:rsidR="00DE0F03" w:rsidRDefault="00DE0F03" w:rsidP="00F326E5">
      <w:pPr>
        <w:pStyle w:val="NoSpacing"/>
        <w:rPr>
          <w:rFonts w:ascii="Arial Black" w:hAnsi="Arial Black"/>
          <w:sz w:val="28"/>
          <w:szCs w:val="28"/>
        </w:rPr>
      </w:pPr>
    </w:p>
    <w:p w14:paraId="0202D953" w14:textId="56B4793A" w:rsidR="00F326E5" w:rsidRDefault="00F326E5" w:rsidP="00F326E5">
      <w:pPr>
        <w:pStyle w:val="NoSpacing"/>
        <w:rPr>
          <w:rFonts w:ascii="Arial Black" w:hAnsi="Arial Black"/>
          <w:sz w:val="28"/>
          <w:szCs w:val="28"/>
        </w:rPr>
      </w:pPr>
      <w:bookmarkStart w:id="533" w:name="_Hlk41154233"/>
      <w:r>
        <w:rPr>
          <w:rFonts w:ascii="Arial Black" w:hAnsi="Arial Black"/>
          <w:sz w:val="28"/>
          <w:szCs w:val="28"/>
        </w:rPr>
        <w:t xml:space="preserve">KY:  STERNUM RUB ON PATIENT WHO HAD BECOME UNRESPONSIVE – CAN’T SUE </w:t>
      </w:r>
      <w:r w:rsidR="00DA4990">
        <w:rPr>
          <w:rFonts w:ascii="Arial Black" w:hAnsi="Arial Black"/>
          <w:sz w:val="28"/>
          <w:szCs w:val="28"/>
        </w:rPr>
        <w:t xml:space="preserve">EMS </w:t>
      </w:r>
      <w:r>
        <w:rPr>
          <w:rFonts w:ascii="Arial Black" w:hAnsi="Arial Black"/>
          <w:sz w:val="28"/>
          <w:szCs w:val="28"/>
        </w:rPr>
        <w:t>FOR ASSAULT</w:t>
      </w:r>
    </w:p>
    <w:p w14:paraId="6162907F" w14:textId="77777777" w:rsidR="006114FF" w:rsidRDefault="00F326E5" w:rsidP="006114FF">
      <w:pPr>
        <w:pStyle w:val="NoSpacing"/>
        <w:rPr>
          <w:rFonts w:ascii="Times New Roman" w:hAnsi="Times New Roman"/>
          <w:sz w:val="24"/>
          <w:szCs w:val="24"/>
        </w:rPr>
      </w:pPr>
      <w:r w:rsidRPr="006114FF">
        <w:rPr>
          <w:rFonts w:ascii="Times New Roman" w:hAnsi="Times New Roman"/>
          <w:sz w:val="24"/>
          <w:szCs w:val="24"/>
        </w:rPr>
        <w:t xml:space="preserve">On Oct. 9, 2018, in </w:t>
      </w:r>
      <w:r w:rsidRPr="006114FF">
        <w:rPr>
          <w:rFonts w:ascii="Times New Roman" w:hAnsi="Times New Roman"/>
          <w:sz w:val="24"/>
          <w:szCs w:val="24"/>
          <w:u w:val="single"/>
        </w:rPr>
        <w:t>Troy K. Scheffler v. Alex Lee, et al.</w:t>
      </w:r>
      <w:r w:rsidRPr="006114FF">
        <w:rPr>
          <w:rFonts w:ascii="Times New Roman" w:hAnsi="Times New Roman"/>
          <w:sz w:val="24"/>
          <w:szCs w:val="24"/>
        </w:rPr>
        <w:t xml:space="preserve">, the U.S. Court of Appeals </w:t>
      </w:r>
      <w:proofErr w:type="spellStart"/>
      <w:r w:rsidRPr="006114FF">
        <w:rPr>
          <w:rFonts w:ascii="Times New Roman" w:hAnsi="Times New Roman"/>
          <w:sz w:val="24"/>
          <w:szCs w:val="24"/>
        </w:rPr>
        <w:t>flor</w:t>
      </w:r>
      <w:proofErr w:type="spellEnd"/>
      <w:r w:rsidRPr="006114FF">
        <w:rPr>
          <w:rFonts w:ascii="Times New Roman" w:hAnsi="Times New Roman"/>
          <w:sz w:val="24"/>
          <w:szCs w:val="24"/>
        </w:rPr>
        <w:t xml:space="preserve"> 6</w:t>
      </w:r>
      <w:r w:rsidRPr="006114FF">
        <w:rPr>
          <w:rFonts w:ascii="Times New Roman" w:hAnsi="Times New Roman"/>
          <w:sz w:val="24"/>
          <w:szCs w:val="24"/>
          <w:vertAlign w:val="superscript"/>
        </w:rPr>
        <w:t>th</w:t>
      </w:r>
      <w:r w:rsidRPr="006114FF">
        <w:rPr>
          <w:rFonts w:ascii="Times New Roman" w:hAnsi="Times New Roman"/>
          <w:sz w:val="24"/>
          <w:szCs w:val="24"/>
        </w:rPr>
        <w:t xml:space="preserve"> Circuit (Cincinnati, OH) held (3 to 0) that the U.S. District Court had properly granted summary judgment and dismissed the lawsuit against EMT Michael Carroll.  </w:t>
      </w:r>
    </w:p>
    <w:p w14:paraId="5F584D87" w14:textId="77777777" w:rsidR="006114FF" w:rsidRDefault="006114FF" w:rsidP="006114FF">
      <w:pPr>
        <w:pStyle w:val="NoSpacing"/>
        <w:rPr>
          <w:rFonts w:ascii="Times New Roman" w:hAnsi="Times New Roman"/>
          <w:sz w:val="24"/>
          <w:szCs w:val="24"/>
        </w:rPr>
      </w:pPr>
    </w:p>
    <w:p w14:paraId="4257EF43" w14:textId="1D4E4922" w:rsidR="00F326E5" w:rsidRPr="006114FF" w:rsidRDefault="00F326E5" w:rsidP="006114FF">
      <w:pPr>
        <w:pStyle w:val="NoSpacing"/>
        <w:ind w:left="720"/>
        <w:rPr>
          <w:rFonts w:ascii="Times New Roman" w:eastAsia="Times New Roman" w:hAnsi="Times New Roman"/>
          <w:sz w:val="24"/>
          <w:szCs w:val="24"/>
        </w:rPr>
      </w:pPr>
      <w:r w:rsidRPr="006114FF">
        <w:rPr>
          <w:rFonts w:ascii="Times New Roman" w:hAnsi="Times New Roman"/>
          <w:sz w:val="24"/>
          <w:szCs w:val="24"/>
        </w:rPr>
        <w:t>“</w:t>
      </w:r>
      <w:r w:rsidRPr="006114FF">
        <w:rPr>
          <w:rFonts w:ascii="Times New Roman" w:eastAsia="Times New Roman" w:hAnsi="Times New Roman"/>
          <w:sz w:val="24"/>
          <w:szCs w:val="24"/>
        </w:rPr>
        <w:t xml:space="preserve">Scheffler consented to medical care by asking to be taken to the hospital and by willingly entering the ambulance with the EMTs, and there is no indication that Scheffler withdrew or limited that consent. Carroll performed the sternum rub as part of that care.” </w:t>
      </w:r>
      <w:hyperlink r:id="rId2360" w:history="1">
        <w:r w:rsidRPr="006114FF">
          <w:rPr>
            <w:rStyle w:val="Hyperlink"/>
            <w:rFonts w:ascii="Times New Roman" w:hAnsi="Times New Roman"/>
            <w:sz w:val="24"/>
            <w:szCs w:val="24"/>
          </w:rPr>
          <w:t>http://www.opn.ca6.uscourts.gov/opinions.pdf/18a0499n-06.pdf</w:t>
        </w:r>
      </w:hyperlink>
      <w:r w:rsidRPr="006114FF">
        <w:rPr>
          <w:rFonts w:ascii="Times New Roman" w:eastAsia="Times New Roman" w:hAnsi="Times New Roman"/>
          <w:sz w:val="24"/>
          <w:szCs w:val="24"/>
        </w:rPr>
        <w:t xml:space="preserve"> </w:t>
      </w:r>
    </w:p>
    <w:p w14:paraId="0D0CB075" w14:textId="77777777" w:rsidR="006114FF" w:rsidRDefault="006114FF" w:rsidP="006114FF">
      <w:pPr>
        <w:pStyle w:val="NoSpacing"/>
        <w:rPr>
          <w:rFonts w:ascii="Times New Roman" w:hAnsi="Times New Roman"/>
          <w:b/>
          <w:sz w:val="24"/>
          <w:szCs w:val="24"/>
        </w:rPr>
      </w:pPr>
    </w:p>
    <w:p w14:paraId="4282BA54" w14:textId="242726EA" w:rsidR="00F326E5" w:rsidRPr="006114FF" w:rsidRDefault="00F326E5" w:rsidP="006114FF">
      <w:pPr>
        <w:pStyle w:val="NoSpacing"/>
        <w:rPr>
          <w:rFonts w:ascii="Times New Roman" w:hAnsi="Times New Roman"/>
          <w:b/>
          <w:sz w:val="24"/>
          <w:szCs w:val="24"/>
        </w:rPr>
      </w:pPr>
      <w:r w:rsidRPr="006114FF">
        <w:rPr>
          <w:rFonts w:ascii="Times New Roman" w:hAnsi="Times New Roman"/>
          <w:b/>
          <w:sz w:val="24"/>
          <w:szCs w:val="24"/>
        </w:rPr>
        <w:t xml:space="preserve">Legal Lessons Learned:  Thoroughly document reasons for a sternum rub, or other medical procedures.  </w:t>
      </w:r>
    </w:p>
    <w:bookmarkEnd w:id="533"/>
    <w:p w14:paraId="2C3302F5" w14:textId="77777777" w:rsidR="00F326E5" w:rsidRPr="006114FF" w:rsidRDefault="00F326E5" w:rsidP="006114FF">
      <w:pPr>
        <w:pStyle w:val="NoSpacing"/>
        <w:rPr>
          <w:rFonts w:ascii="Times New Roman" w:eastAsia="Times New Roman" w:hAnsi="Times New Roman"/>
          <w:b/>
          <w:sz w:val="24"/>
          <w:szCs w:val="24"/>
        </w:rPr>
      </w:pPr>
    </w:p>
    <w:bookmarkEnd w:id="532"/>
    <w:p w14:paraId="3C052DB2" w14:textId="77777777" w:rsidR="00F326E5" w:rsidRDefault="00F326E5" w:rsidP="00F326E5">
      <w:pPr>
        <w:pStyle w:val="NoSpacing"/>
        <w:rPr>
          <w:rFonts w:ascii="Arial Black" w:hAnsi="Arial Black"/>
          <w:b/>
          <w:sz w:val="24"/>
          <w:szCs w:val="24"/>
        </w:rPr>
      </w:pPr>
    </w:p>
    <w:p w14:paraId="0CC0E30B" w14:textId="5ED2C3F5" w:rsidR="00DE0F03" w:rsidRDefault="00DE0F03" w:rsidP="00DE0F03">
      <w:pPr>
        <w:pStyle w:val="NoSpacing"/>
        <w:rPr>
          <w:rFonts w:ascii="Arial Black" w:hAnsi="Arial Black"/>
          <w:sz w:val="24"/>
          <w:szCs w:val="24"/>
        </w:rPr>
      </w:pPr>
      <w:r>
        <w:rPr>
          <w:rFonts w:ascii="Arial Black" w:hAnsi="Arial Black"/>
          <w:sz w:val="24"/>
          <w:szCs w:val="24"/>
        </w:rPr>
        <w:t>13-14</w:t>
      </w:r>
    </w:p>
    <w:p w14:paraId="2DB6E473" w14:textId="77777777" w:rsidR="00F326E5" w:rsidRDefault="00F326E5" w:rsidP="00F326E5">
      <w:pPr>
        <w:pStyle w:val="NoSpacing"/>
        <w:rPr>
          <w:b/>
          <w:sz w:val="24"/>
          <w:szCs w:val="24"/>
        </w:rPr>
      </w:pPr>
    </w:p>
    <w:p w14:paraId="71D292F1" w14:textId="538A478D" w:rsidR="00F326E5" w:rsidRPr="00877AA6" w:rsidRDefault="00F326E5" w:rsidP="00F326E5">
      <w:pPr>
        <w:rPr>
          <w:rFonts w:ascii="Times New Roman" w:hAnsi="Times New Roman"/>
          <w:sz w:val="24"/>
          <w:szCs w:val="24"/>
        </w:rPr>
      </w:pPr>
      <w:bookmarkStart w:id="534" w:name="_Hlk7346706"/>
      <w:r w:rsidRPr="00877AA6">
        <w:rPr>
          <w:rFonts w:ascii="Arial Black" w:hAnsi="Arial Black"/>
          <w:sz w:val="28"/>
          <w:szCs w:val="28"/>
        </w:rPr>
        <w:t xml:space="preserve">NY: FF </w:t>
      </w:r>
      <w:r>
        <w:rPr>
          <w:rFonts w:ascii="Arial Black" w:hAnsi="Arial Black"/>
          <w:sz w:val="28"/>
          <w:szCs w:val="28"/>
        </w:rPr>
        <w:t xml:space="preserve">FELL WHEN AMBUL. BACK STEP NOT LOWERED – ACCIDENTAL DISAB. CLAIM UPHELD </w:t>
      </w:r>
      <w:r w:rsidRPr="00877AA6">
        <w:rPr>
          <w:rFonts w:ascii="Times New Roman" w:hAnsi="Times New Roman"/>
          <w:sz w:val="24"/>
          <w:szCs w:val="24"/>
        </w:rPr>
        <w:t xml:space="preserve">[also filed, Chap. 6] </w:t>
      </w:r>
    </w:p>
    <w:p w14:paraId="365C0E81" w14:textId="77777777" w:rsidR="00F326E5" w:rsidRPr="006114FF" w:rsidRDefault="00F326E5" w:rsidP="00F326E5">
      <w:pPr>
        <w:rPr>
          <w:rFonts w:ascii="Times New Roman" w:hAnsi="Times New Roman"/>
          <w:b/>
          <w:sz w:val="24"/>
          <w:szCs w:val="24"/>
        </w:rPr>
      </w:pPr>
      <w:r w:rsidRPr="006114FF">
        <w:rPr>
          <w:rFonts w:ascii="Times New Roman" w:eastAsia="Times New Roman" w:hAnsi="Times New Roman"/>
          <w:sz w:val="24"/>
          <w:szCs w:val="24"/>
        </w:rPr>
        <w:t xml:space="preserve">On Sept. 6, 2018, </w:t>
      </w:r>
      <w:r w:rsidRPr="006114FF">
        <w:rPr>
          <w:rFonts w:ascii="Times New Roman" w:eastAsia="Times New Roman" w:hAnsi="Times New Roman"/>
          <w:sz w:val="24"/>
          <w:szCs w:val="24"/>
          <w:u w:val="single"/>
        </w:rPr>
        <w:t>In The Matter Of Gregg A. Loia v. Thomas P. Di Napoli, State Comptroller</w:t>
      </w:r>
      <w:r w:rsidRPr="006114FF">
        <w:rPr>
          <w:rFonts w:ascii="Times New Roman" w:eastAsia="Times New Roman" w:hAnsi="Times New Roman"/>
          <w:sz w:val="24"/>
          <w:szCs w:val="24"/>
        </w:rPr>
        <w:t xml:space="preserve">,  the NY Supreme Court, Appellate Division (Third Judicial Department) held (3 to 0) the injured firefighter is entitled to accidental retirement benefits since the back step of the ambulance had not been lowered by EMS personnel, and he suffered an “accident” on the “malfunctioning piece of equipment that was designed, under normal circumstances, to promote safety.” </w:t>
      </w:r>
      <w:hyperlink r:id="rId2361" w:history="1">
        <w:r w:rsidRPr="006114FF">
          <w:rPr>
            <w:rStyle w:val="Hyperlink"/>
            <w:rFonts w:ascii="Times New Roman" w:hAnsi="Times New Roman"/>
            <w:sz w:val="24"/>
            <w:szCs w:val="24"/>
          </w:rPr>
          <w:t>http://decisions.courts.state.ny.us/ad3/Decisions/2018/526165.pdf</w:t>
        </w:r>
      </w:hyperlink>
      <w:r w:rsidRPr="006114FF">
        <w:rPr>
          <w:rFonts w:ascii="Times New Roman" w:eastAsia="Times New Roman" w:hAnsi="Times New Roman"/>
          <w:sz w:val="24"/>
          <w:szCs w:val="24"/>
        </w:rPr>
        <w:t xml:space="preserve"> </w:t>
      </w:r>
    </w:p>
    <w:p w14:paraId="04A53486" w14:textId="77777777" w:rsidR="00F326E5" w:rsidRPr="006114FF" w:rsidRDefault="00F326E5" w:rsidP="00F326E5">
      <w:pPr>
        <w:rPr>
          <w:rFonts w:ascii="Times New Roman" w:eastAsia="Times New Roman" w:hAnsi="Times New Roman"/>
          <w:b/>
          <w:sz w:val="24"/>
          <w:szCs w:val="24"/>
        </w:rPr>
      </w:pPr>
      <w:r w:rsidRPr="006114FF">
        <w:rPr>
          <w:rFonts w:ascii="Times New Roman" w:eastAsia="Times New Roman" w:hAnsi="Times New Roman"/>
          <w:b/>
          <w:sz w:val="24"/>
          <w:szCs w:val="24"/>
        </w:rPr>
        <w:t xml:space="preserve">Legal Lessons Learned:  Fire &amp; EMS personnel should document any on the job injury (including, in this case, photos of the ambulance step) and obtain statements from others on the scene.  It is unfortunate that a dispute over disability retirement benefits has been in litigation since 2012.  </w:t>
      </w:r>
    </w:p>
    <w:bookmarkEnd w:id="534"/>
    <w:p w14:paraId="50DC9AFF" w14:textId="77777777" w:rsidR="00F326E5" w:rsidRDefault="00F326E5" w:rsidP="00F326E5">
      <w:pPr>
        <w:rPr>
          <w:rFonts w:eastAsia="Times New Roman"/>
          <w:b/>
          <w:sz w:val="24"/>
          <w:szCs w:val="24"/>
        </w:rPr>
      </w:pPr>
    </w:p>
    <w:p w14:paraId="50C60981" w14:textId="64903EAA" w:rsidR="00DE0F03" w:rsidRDefault="00DE0F03" w:rsidP="00DE0F03">
      <w:pPr>
        <w:pStyle w:val="NoSpacing"/>
        <w:rPr>
          <w:rFonts w:ascii="Arial Black" w:hAnsi="Arial Black"/>
          <w:sz w:val="24"/>
          <w:szCs w:val="24"/>
        </w:rPr>
      </w:pPr>
      <w:r>
        <w:rPr>
          <w:rFonts w:ascii="Arial Black" w:hAnsi="Arial Black"/>
          <w:sz w:val="24"/>
          <w:szCs w:val="24"/>
        </w:rPr>
        <w:t>13-13</w:t>
      </w:r>
    </w:p>
    <w:p w14:paraId="62EEFCB4" w14:textId="77777777" w:rsidR="00DA4990" w:rsidRDefault="00DA4990" w:rsidP="00F326E5">
      <w:pPr>
        <w:rPr>
          <w:sz w:val="24"/>
          <w:szCs w:val="24"/>
        </w:rPr>
      </w:pPr>
    </w:p>
    <w:p w14:paraId="3A3309D2" w14:textId="7AE7C010" w:rsidR="00F326E5" w:rsidRPr="00877AA6" w:rsidRDefault="00F326E5" w:rsidP="00F326E5">
      <w:pPr>
        <w:rPr>
          <w:rFonts w:ascii="Arial Black" w:hAnsi="Arial Black"/>
          <w:sz w:val="28"/>
          <w:szCs w:val="28"/>
        </w:rPr>
      </w:pPr>
      <w:bookmarkStart w:id="535" w:name="_Hlk7346756"/>
      <w:bookmarkStart w:id="536" w:name="_Hlk41154421"/>
      <w:r w:rsidRPr="00877AA6">
        <w:rPr>
          <w:rFonts w:ascii="Arial Black" w:hAnsi="Arial Black"/>
          <w:sz w:val="28"/>
          <w:szCs w:val="28"/>
        </w:rPr>
        <w:t>NJ: P</w:t>
      </w:r>
      <w:r>
        <w:rPr>
          <w:rFonts w:ascii="Arial Black" w:hAnsi="Arial Black"/>
          <w:sz w:val="28"/>
          <w:szCs w:val="28"/>
        </w:rPr>
        <w:t xml:space="preserve">ARAMEDIC STUDENT </w:t>
      </w:r>
      <w:r w:rsidR="00DA4990">
        <w:rPr>
          <w:rFonts w:ascii="Arial Black" w:hAnsi="Arial Black"/>
          <w:sz w:val="28"/>
          <w:szCs w:val="28"/>
        </w:rPr>
        <w:t xml:space="preserve">WAS </w:t>
      </w:r>
      <w:r>
        <w:rPr>
          <w:rFonts w:ascii="Arial Black" w:hAnsi="Arial Black"/>
          <w:sz w:val="28"/>
          <w:szCs w:val="28"/>
        </w:rPr>
        <w:t>GIVEN 6-MONTH EXTENSION TO COMPLETE CLINICALS – NO FURTHER</w:t>
      </w:r>
      <w:r w:rsidR="00DA4990">
        <w:rPr>
          <w:rFonts w:ascii="Arial Black" w:hAnsi="Arial Black"/>
          <w:sz w:val="28"/>
          <w:szCs w:val="28"/>
        </w:rPr>
        <w:t xml:space="preserve"> EXTENSIONS</w:t>
      </w:r>
    </w:p>
    <w:p w14:paraId="530C8751" w14:textId="77777777" w:rsidR="00F326E5" w:rsidRPr="006114FF" w:rsidRDefault="00F326E5" w:rsidP="006114FF">
      <w:pPr>
        <w:pStyle w:val="NoSpacing"/>
        <w:rPr>
          <w:rFonts w:ascii="Times New Roman" w:hAnsi="Times New Roman"/>
          <w:sz w:val="24"/>
          <w:szCs w:val="24"/>
        </w:rPr>
      </w:pPr>
      <w:r w:rsidRPr="006114FF">
        <w:rPr>
          <w:rFonts w:ascii="Times New Roman" w:hAnsi="Times New Roman"/>
          <w:sz w:val="24"/>
          <w:szCs w:val="24"/>
        </w:rPr>
        <w:t>On Sept. 4, 2018, in</w:t>
      </w:r>
      <w:r w:rsidRPr="006114FF">
        <w:rPr>
          <w:rFonts w:ascii="Times New Roman" w:hAnsi="Times New Roman"/>
          <w:sz w:val="24"/>
          <w:szCs w:val="24"/>
          <w:u w:val="single"/>
        </w:rPr>
        <w:t xml:space="preserve"> The Matter </w:t>
      </w:r>
      <w:proofErr w:type="gramStart"/>
      <w:r w:rsidRPr="006114FF">
        <w:rPr>
          <w:rFonts w:ascii="Times New Roman" w:hAnsi="Times New Roman"/>
          <w:sz w:val="24"/>
          <w:szCs w:val="24"/>
          <w:u w:val="single"/>
        </w:rPr>
        <w:t>Of</w:t>
      </w:r>
      <w:proofErr w:type="gramEnd"/>
      <w:r w:rsidRPr="006114FF">
        <w:rPr>
          <w:rFonts w:ascii="Times New Roman" w:hAnsi="Times New Roman"/>
          <w:sz w:val="24"/>
          <w:szCs w:val="24"/>
          <w:u w:val="single"/>
        </w:rPr>
        <w:t xml:space="preserve"> Denial </w:t>
      </w:r>
      <w:proofErr w:type="gramStart"/>
      <w:r w:rsidRPr="006114FF">
        <w:rPr>
          <w:rFonts w:ascii="Times New Roman" w:hAnsi="Times New Roman"/>
          <w:sz w:val="24"/>
          <w:szCs w:val="24"/>
          <w:u w:val="single"/>
        </w:rPr>
        <w:t>Of</w:t>
      </w:r>
      <w:proofErr w:type="gramEnd"/>
      <w:r w:rsidRPr="006114FF">
        <w:rPr>
          <w:rFonts w:ascii="Times New Roman" w:hAnsi="Times New Roman"/>
          <w:sz w:val="24"/>
          <w:szCs w:val="24"/>
          <w:u w:val="single"/>
        </w:rPr>
        <w:t xml:space="preserve"> Waiver </w:t>
      </w:r>
      <w:proofErr w:type="gramStart"/>
      <w:r w:rsidRPr="006114FF">
        <w:rPr>
          <w:rFonts w:ascii="Times New Roman" w:hAnsi="Times New Roman"/>
          <w:sz w:val="24"/>
          <w:szCs w:val="24"/>
          <w:u w:val="single"/>
        </w:rPr>
        <w:t>For</w:t>
      </w:r>
      <w:proofErr w:type="gramEnd"/>
      <w:r w:rsidRPr="006114FF">
        <w:rPr>
          <w:rFonts w:ascii="Times New Roman" w:hAnsi="Times New Roman"/>
          <w:sz w:val="24"/>
          <w:szCs w:val="24"/>
          <w:u w:val="single"/>
        </w:rPr>
        <w:t xml:space="preserve"> Alberto Sanchez</w:t>
      </w:r>
      <w:r w:rsidRPr="006114FF">
        <w:rPr>
          <w:rFonts w:ascii="Times New Roman" w:hAnsi="Times New Roman"/>
          <w:sz w:val="24"/>
          <w:szCs w:val="24"/>
        </w:rPr>
        <w:t xml:space="preserve">, the Superior Court of New Jersey, Appellate Division, held (2 to 0 in unpublished opinion) that State EMS Board properly refused to grant an extension of total training time. “Despite obtaining an extension [of six months to complete clinicals], Sanchez failed to timely complete his clinical training by not participating in at least five cardiac arrest resuscitations and not successfully performing at least five defibrillations and synchronized cardioversions. N.J.A.C. 8:41A-2.6(a)(9) and (10). He only participated in three cardiac </w:t>
      </w:r>
      <w:proofErr w:type="gramStart"/>
      <w:r w:rsidRPr="006114FF">
        <w:rPr>
          <w:rFonts w:ascii="Times New Roman" w:hAnsi="Times New Roman"/>
          <w:sz w:val="24"/>
          <w:szCs w:val="24"/>
        </w:rPr>
        <w:t>arrests, and</w:t>
      </w:r>
      <w:proofErr w:type="gramEnd"/>
      <w:r w:rsidRPr="006114FF">
        <w:rPr>
          <w:rFonts w:ascii="Times New Roman" w:hAnsi="Times New Roman"/>
          <w:sz w:val="24"/>
          <w:szCs w:val="24"/>
        </w:rPr>
        <w:t xml:space="preserve"> failed to complete any defibrillations or cardioversions. *** The OEMS denied the waiver [of 36-month total training time] request on March 6, 2017, because under N.J.A.C. 8:41A -2.4, his training could not be extended beyond February 6, 2017– thirty-six months of his starting date – and there were public health concerns if he was allowed more time.”</w:t>
      </w:r>
    </w:p>
    <w:p w14:paraId="22B019F3" w14:textId="77777777" w:rsidR="00F326E5" w:rsidRPr="006114FF" w:rsidRDefault="00F326E5" w:rsidP="006114FF">
      <w:pPr>
        <w:pStyle w:val="NoSpacing"/>
        <w:rPr>
          <w:rStyle w:val="Hyperlink"/>
          <w:rFonts w:ascii="Times New Roman" w:hAnsi="Times New Roman"/>
          <w:b/>
          <w:sz w:val="24"/>
          <w:szCs w:val="24"/>
        </w:rPr>
      </w:pPr>
      <w:hyperlink r:id="rId2362" w:history="1">
        <w:r w:rsidRPr="006114FF">
          <w:rPr>
            <w:rStyle w:val="Hyperlink"/>
            <w:rFonts w:ascii="Times New Roman" w:hAnsi="Times New Roman"/>
            <w:sz w:val="24"/>
            <w:szCs w:val="24"/>
          </w:rPr>
          <w:t>https://www.njcourts.gov/attorneys/assets/opinions/appellate/unpublished/a4258-16.pdf?cacheID=HAxjRbJ</w:t>
        </w:r>
      </w:hyperlink>
    </w:p>
    <w:p w14:paraId="60B2DA04" w14:textId="77777777" w:rsidR="006114FF" w:rsidRDefault="006114FF" w:rsidP="006114FF">
      <w:pPr>
        <w:pStyle w:val="NoSpacing"/>
        <w:rPr>
          <w:rFonts w:ascii="Times New Roman" w:hAnsi="Times New Roman"/>
          <w:b/>
          <w:sz w:val="24"/>
          <w:szCs w:val="24"/>
        </w:rPr>
      </w:pPr>
    </w:p>
    <w:p w14:paraId="58E04BDA" w14:textId="2AA03F8D" w:rsidR="00F326E5" w:rsidRPr="006114FF" w:rsidRDefault="00F326E5" w:rsidP="006114FF">
      <w:pPr>
        <w:pStyle w:val="NoSpacing"/>
        <w:rPr>
          <w:rFonts w:ascii="Times New Roman" w:hAnsi="Times New Roman"/>
          <w:b/>
          <w:sz w:val="24"/>
          <w:szCs w:val="24"/>
        </w:rPr>
      </w:pPr>
      <w:r w:rsidRPr="006114FF">
        <w:rPr>
          <w:rFonts w:ascii="Times New Roman" w:hAnsi="Times New Roman"/>
          <w:b/>
          <w:sz w:val="24"/>
          <w:szCs w:val="24"/>
        </w:rPr>
        <w:t>Legal Lesson Learned:  Courts are generally very reluctant to overturn decisions of State agencies, such as EMS Boards, regarding the protection of health of the public.</w:t>
      </w:r>
    </w:p>
    <w:p w14:paraId="2FCADC76" w14:textId="77777777" w:rsidR="00F326E5" w:rsidRPr="006114FF" w:rsidRDefault="00F326E5" w:rsidP="006114FF">
      <w:pPr>
        <w:pStyle w:val="NoSpacing"/>
        <w:rPr>
          <w:rFonts w:ascii="Times New Roman" w:hAnsi="Times New Roman"/>
          <w:b/>
          <w:sz w:val="24"/>
          <w:szCs w:val="24"/>
        </w:rPr>
      </w:pPr>
    </w:p>
    <w:bookmarkEnd w:id="535"/>
    <w:p w14:paraId="147874C9" w14:textId="77777777" w:rsidR="00F326E5" w:rsidRPr="006114FF" w:rsidRDefault="00F326E5" w:rsidP="006114FF">
      <w:pPr>
        <w:pStyle w:val="NoSpacing"/>
        <w:rPr>
          <w:rFonts w:ascii="Times New Roman" w:hAnsi="Times New Roman"/>
          <w:b/>
          <w:sz w:val="24"/>
          <w:szCs w:val="24"/>
        </w:rPr>
      </w:pPr>
    </w:p>
    <w:bookmarkEnd w:id="536"/>
    <w:p w14:paraId="6C24F54B" w14:textId="77777777" w:rsidR="00F326E5" w:rsidRDefault="00F326E5" w:rsidP="00F326E5">
      <w:pPr>
        <w:pStyle w:val="NoSpacing"/>
        <w:rPr>
          <w:rFonts w:eastAsia="Times New Roman"/>
          <w:b/>
          <w:sz w:val="24"/>
          <w:szCs w:val="24"/>
        </w:rPr>
      </w:pPr>
    </w:p>
    <w:p w14:paraId="6555DF9F" w14:textId="77777777" w:rsidR="0036327D" w:rsidRDefault="0036327D" w:rsidP="00DE0F03">
      <w:pPr>
        <w:pStyle w:val="NoSpacing"/>
        <w:rPr>
          <w:rFonts w:ascii="Arial Black" w:hAnsi="Arial Black"/>
          <w:sz w:val="24"/>
          <w:szCs w:val="24"/>
        </w:rPr>
      </w:pPr>
    </w:p>
    <w:p w14:paraId="40509453" w14:textId="77777777" w:rsidR="0036327D" w:rsidRDefault="0036327D" w:rsidP="00DE0F03">
      <w:pPr>
        <w:pStyle w:val="NoSpacing"/>
        <w:rPr>
          <w:rFonts w:ascii="Arial Black" w:hAnsi="Arial Black"/>
          <w:sz w:val="24"/>
          <w:szCs w:val="24"/>
        </w:rPr>
      </w:pPr>
    </w:p>
    <w:p w14:paraId="1C4220A3" w14:textId="77777777" w:rsidR="0036327D" w:rsidRDefault="0036327D" w:rsidP="00DE0F03">
      <w:pPr>
        <w:pStyle w:val="NoSpacing"/>
        <w:rPr>
          <w:rFonts w:ascii="Arial Black" w:hAnsi="Arial Black"/>
          <w:sz w:val="24"/>
          <w:szCs w:val="24"/>
        </w:rPr>
      </w:pPr>
    </w:p>
    <w:p w14:paraId="482BD327" w14:textId="6E570AB1" w:rsidR="00DE0F03" w:rsidRDefault="00DE0F03" w:rsidP="00DE0F03">
      <w:pPr>
        <w:pStyle w:val="NoSpacing"/>
        <w:rPr>
          <w:rFonts w:ascii="Arial Black" w:hAnsi="Arial Black"/>
          <w:sz w:val="24"/>
          <w:szCs w:val="24"/>
        </w:rPr>
      </w:pPr>
      <w:r>
        <w:rPr>
          <w:rFonts w:ascii="Arial Black" w:hAnsi="Arial Black"/>
          <w:sz w:val="24"/>
          <w:szCs w:val="24"/>
        </w:rPr>
        <w:t>13-12</w:t>
      </w:r>
    </w:p>
    <w:p w14:paraId="60E339E0" w14:textId="77777777" w:rsidR="00F326E5" w:rsidRDefault="00F326E5" w:rsidP="00F326E5">
      <w:pPr>
        <w:rPr>
          <w:sz w:val="24"/>
          <w:szCs w:val="24"/>
        </w:rPr>
      </w:pPr>
    </w:p>
    <w:p w14:paraId="08303B7E" w14:textId="27C02FD5" w:rsidR="00F326E5" w:rsidRPr="00877AA6" w:rsidRDefault="00F326E5" w:rsidP="00F326E5">
      <w:pPr>
        <w:rPr>
          <w:rFonts w:ascii="Arial Black" w:hAnsi="Arial Black"/>
          <w:sz w:val="28"/>
          <w:szCs w:val="28"/>
        </w:rPr>
      </w:pPr>
      <w:bookmarkStart w:id="537" w:name="_Hlk41154467"/>
      <w:bookmarkStart w:id="538" w:name="_Hlk7346790"/>
      <w:r w:rsidRPr="00877AA6">
        <w:rPr>
          <w:rFonts w:ascii="Arial Black" w:hAnsi="Arial Black"/>
          <w:sz w:val="28"/>
          <w:szCs w:val="28"/>
        </w:rPr>
        <w:t xml:space="preserve">OK: </w:t>
      </w:r>
      <w:r>
        <w:rPr>
          <w:rFonts w:ascii="Arial Black" w:hAnsi="Arial Black"/>
          <w:sz w:val="28"/>
          <w:szCs w:val="28"/>
        </w:rPr>
        <w:t>VERY EXPENSIVE TRANSPORT BY HELICOPTER – PATIENTS CAN’T SUE, FED. STATUTE</w:t>
      </w:r>
    </w:p>
    <w:p w14:paraId="795D8B48" w14:textId="77777777" w:rsidR="006114FF" w:rsidRDefault="00F326E5" w:rsidP="00F326E5">
      <w:pPr>
        <w:rPr>
          <w:rFonts w:ascii="Times New Roman" w:hAnsi="Times New Roman"/>
          <w:sz w:val="24"/>
          <w:szCs w:val="24"/>
        </w:rPr>
      </w:pPr>
      <w:r w:rsidRPr="006114FF">
        <w:rPr>
          <w:rFonts w:ascii="Times New Roman" w:hAnsi="Times New Roman"/>
          <w:sz w:val="24"/>
          <w:szCs w:val="24"/>
        </w:rPr>
        <w:t xml:space="preserve">On Aug. 31, 2018, in </w:t>
      </w:r>
      <w:r w:rsidRPr="006114FF">
        <w:rPr>
          <w:rFonts w:ascii="Times New Roman" w:hAnsi="Times New Roman"/>
          <w:sz w:val="24"/>
          <w:szCs w:val="24"/>
          <w:u w:val="single"/>
        </w:rPr>
        <w:t xml:space="preserve">Susan Schenberger, Lacy Stidman and Johnny Trent v. Air Evac EMS, </w:t>
      </w:r>
      <w:proofErr w:type="spellStart"/>
      <w:r w:rsidRPr="006114FF">
        <w:rPr>
          <w:rFonts w:ascii="Times New Roman" w:hAnsi="Times New Roman"/>
          <w:sz w:val="24"/>
          <w:szCs w:val="24"/>
          <w:u w:val="single"/>
        </w:rPr>
        <w:t>Inc.and</w:t>
      </w:r>
      <w:proofErr w:type="spellEnd"/>
      <w:r w:rsidRPr="006114FF">
        <w:rPr>
          <w:rFonts w:ascii="Times New Roman" w:hAnsi="Times New Roman"/>
          <w:sz w:val="24"/>
          <w:szCs w:val="24"/>
          <w:u w:val="single"/>
        </w:rPr>
        <w:t xml:space="preserve"> Air Evac EMS, Inc.</w:t>
      </w:r>
      <w:r w:rsidRPr="006114FF">
        <w:rPr>
          <w:rFonts w:ascii="Times New Roman" w:hAnsi="Times New Roman"/>
          <w:sz w:val="24"/>
          <w:szCs w:val="24"/>
        </w:rPr>
        <w:t>, the U.S. Court of Appeals for the 10</w:t>
      </w:r>
      <w:r w:rsidRPr="006114FF">
        <w:rPr>
          <w:rFonts w:ascii="Times New Roman" w:hAnsi="Times New Roman"/>
          <w:sz w:val="24"/>
          <w:szCs w:val="24"/>
          <w:vertAlign w:val="superscript"/>
        </w:rPr>
        <w:t>th</w:t>
      </w:r>
      <w:r w:rsidRPr="006114FF">
        <w:rPr>
          <w:rFonts w:ascii="Times New Roman" w:hAnsi="Times New Roman"/>
          <w:sz w:val="24"/>
          <w:szCs w:val="24"/>
        </w:rPr>
        <w:t xml:space="preserve"> Circuit, held (3 to 0) that the lawsuit was properly dismissed: </w:t>
      </w:r>
    </w:p>
    <w:p w14:paraId="3D670094" w14:textId="1C656843" w:rsidR="00F326E5" w:rsidRPr="006114FF" w:rsidRDefault="00F326E5" w:rsidP="006114FF">
      <w:pPr>
        <w:ind w:left="720"/>
        <w:rPr>
          <w:rFonts w:ascii="Times New Roman" w:hAnsi="Times New Roman"/>
          <w:sz w:val="24"/>
          <w:szCs w:val="24"/>
        </w:rPr>
      </w:pPr>
      <w:r w:rsidRPr="006114FF">
        <w:rPr>
          <w:rFonts w:ascii="Times New Roman" w:hAnsi="Times New Roman"/>
          <w:sz w:val="24"/>
          <w:szCs w:val="24"/>
        </w:rPr>
        <w:t xml:space="preserve">“Like the district court in this case, we have previously recognized that [Airline Deregulation Act] preemption may sometimes produce harsh results for potential plaintiffs seeking redress for perceived unfair treatment by air-ambulance carriers. </w:t>
      </w:r>
      <w:r w:rsidRPr="006114FF">
        <w:rPr>
          <w:rFonts w:ascii="Times New Roman" w:hAnsi="Times New Roman"/>
          <w:i/>
          <w:iCs/>
          <w:sz w:val="24"/>
          <w:szCs w:val="24"/>
        </w:rPr>
        <w:t>See Cox,</w:t>
      </w:r>
      <w:r w:rsidRPr="006114FF">
        <w:rPr>
          <w:rFonts w:ascii="Times New Roman" w:hAnsi="Times New Roman"/>
          <w:sz w:val="24"/>
          <w:szCs w:val="24"/>
        </w:rPr>
        <w:t xml:space="preserve"> 868 F.3d at 906-07. Yet, we felt constrained to observe that ‘[s]</w:t>
      </w:r>
      <w:proofErr w:type="spellStart"/>
      <w:r w:rsidRPr="006114FF">
        <w:rPr>
          <w:rFonts w:ascii="Times New Roman" w:hAnsi="Times New Roman"/>
          <w:sz w:val="24"/>
          <w:szCs w:val="24"/>
        </w:rPr>
        <w:t>uch</w:t>
      </w:r>
      <w:proofErr w:type="spellEnd"/>
      <w:r w:rsidRPr="006114FF">
        <w:rPr>
          <w:rFonts w:ascii="Times New Roman" w:hAnsi="Times New Roman"/>
          <w:sz w:val="24"/>
          <w:szCs w:val="24"/>
        </w:rPr>
        <w:t xml:space="preserve"> policy considerations . . . are beyond the purview of [the courts]’ and ‘must be addressed to Congress.’ </w:t>
      </w:r>
      <w:r w:rsidRPr="006114FF">
        <w:rPr>
          <w:rFonts w:ascii="Times New Roman" w:hAnsi="Times New Roman"/>
          <w:i/>
          <w:iCs/>
          <w:sz w:val="24"/>
          <w:szCs w:val="24"/>
        </w:rPr>
        <w:t>Id.</w:t>
      </w:r>
      <w:r w:rsidRPr="006114FF">
        <w:rPr>
          <w:rFonts w:ascii="Times New Roman" w:hAnsi="Times New Roman"/>
          <w:sz w:val="24"/>
          <w:szCs w:val="24"/>
        </w:rPr>
        <w:t xml:space="preserve">; </w:t>
      </w:r>
      <w:r w:rsidRPr="006114FF">
        <w:rPr>
          <w:rFonts w:ascii="Times New Roman" w:hAnsi="Times New Roman"/>
          <w:i/>
          <w:iCs/>
          <w:sz w:val="24"/>
          <w:szCs w:val="24"/>
        </w:rPr>
        <w:t>see also Ferrell v. Air EVAC EMS, Inc.,</w:t>
      </w:r>
      <w:r w:rsidRPr="006114FF">
        <w:rPr>
          <w:rFonts w:ascii="Times New Roman" w:hAnsi="Times New Roman"/>
          <w:sz w:val="24"/>
          <w:szCs w:val="24"/>
        </w:rPr>
        <w:t xml:space="preserve"> ___ F.3d ___, No. 17-2554, 2018 WL 3886688, at *3 (8th Cir. Aug. 16, 2018) (‘We may not refuse to apply ADA preemption merely because we do not believe it would be sound public policy to enforce the statute Congress enacted.’).” </w:t>
      </w:r>
      <w:hyperlink r:id="rId2363" w:history="1">
        <w:r w:rsidRPr="006114FF">
          <w:rPr>
            <w:rStyle w:val="Hyperlink"/>
            <w:rFonts w:ascii="Times New Roman" w:hAnsi="Times New Roman"/>
            <w:sz w:val="24"/>
            <w:szCs w:val="24"/>
          </w:rPr>
          <w:t>https://www.leagle.com/decision/infco20180831084</w:t>
        </w:r>
      </w:hyperlink>
      <w:r w:rsidRPr="006114FF">
        <w:rPr>
          <w:rFonts w:ascii="Times New Roman" w:hAnsi="Times New Roman"/>
          <w:sz w:val="24"/>
          <w:szCs w:val="24"/>
        </w:rPr>
        <w:t xml:space="preserve"> </w:t>
      </w:r>
    </w:p>
    <w:p w14:paraId="338E0343" w14:textId="77777777" w:rsidR="00F326E5" w:rsidRPr="006114FF" w:rsidRDefault="00F326E5" w:rsidP="00F326E5">
      <w:pPr>
        <w:rPr>
          <w:rFonts w:ascii="Times New Roman" w:hAnsi="Times New Roman"/>
          <w:b/>
          <w:sz w:val="24"/>
          <w:szCs w:val="24"/>
        </w:rPr>
      </w:pPr>
      <w:r w:rsidRPr="006114FF">
        <w:rPr>
          <w:rFonts w:ascii="Times New Roman" w:hAnsi="Times New Roman"/>
          <w:b/>
          <w:sz w:val="24"/>
          <w:szCs w:val="24"/>
        </w:rPr>
        <w:t xml:space="preserve">Legal Lessons Learned:  Air ambulance rates, like many other medical charges, can indeed be very expensive, but the remedy is with Congress.    </w:t>
      </w:r>
    </w:p>
    <w:bookmarkEnd w:id="537"/>
    <w:p w14:paraId="6A1FDE7B" w14:textId="77777777" w:rsidR="00F326E5" w:rsidRDefault="00F326E5" w:rsidP="00F326E5">
      <w:pPr>
        <w:rPr>
          <w:b/>
          <w:sz w:val="24"/>
          <w:szCs w:val="24"/>
        </w:rPr>
      </w:pPr>
    </w:p>
    <w:p w14:paraId="626EAFDF" w14:textId="0E86104B" w:rsidR="00DE0F03" w:rsidRDefault="00DE0F03" w:rsidP="00DE0F03">
      <w:pPr>
        <w:pStyle w:val="NoSpacing"/>
        <w:rPr>
          <w:rFonts w:ascii="Arial Black" w:hAnsi="Arial Black"/>
          <w:sz w:val="24"/>
          <w:szCs w:val="24"/>
        </w:rPr>
      </w:pPr>
      <w:r>
        <w:rPr>
          <w:rFonts w:ascii="Arial Black" w:hAnsi="Arial Black"/>
          <w:sz w:val="24"/>
          <w:szCs w:val="24"/>
        </w:rPr>
        <w:t>13-11</w:t>
      </w:r>
    </w:p>
    <w:p w14:paraId="63A6F6EA" w14:textId="77777777" w:rsidR="00F326E5" w:rsidRDefault="00F326E5" w:rsidP="00F326E5">
      <w:pPr>
        <w:rPr>
          <w:b/>
          <w:sz w:val="24"/>
          <w:szCs w:val="24"/>
        </w:rPr>
      </w:pPr>
    </w:p>
    <w:p w14:paraId="175B4DDF" w14:textId="036E2781" w:rsidR="00F326E5" w:rsidRPr="00C17E65" w:rsidRDefault="00F326E5" w:rsidP="00F326E5">
      <w:pPr>
        <w:rPr>
          <w:rFonts w:ascii="Arial Black" w:hAnsi="Arial Black"/>
          <w:sz w:val="28"/>
          <w:szCs w:val="28"/>
        </w:rPr>
      </w:pPr>
      <w:bookmarkStart w:id="539" w:name="_Hlk7346857"/>
      <w:bookmarkEnd w:id="538"/>
      <w:r>
        <w:rPr>
          <w:b/>
          <w:sz w:val="24"/>
          <w:szCs w:val="24"/>
        </w:rPr>
        <w:t xml:space="preserve"> </w:t>
      </w:r>
      <w:bookmarkStart w:id="540" w:name="_Hlk41154546"/>
      <w:r w:rsidRPr="00C17E65">
        <w:rPr>
          <w:rFonts w:ascii="Arial Black" w:hAnsi="Arial Black"/>
          <w:sz w:val="28"/>
          <w:szCs w:val="28"/>
        </w:rPr>
        <w:t xml:space="preserve">NY: ALLERGIC REACTION TO DOG BITE – PATIENT DIED – </w:t>
      </w:r>
      <w:r w:rsidR="00DA4990">
        <w:rPr>
          <w:rFonts w:ascii="Arial Black" w:hAnsi="Arial Black"/>
          <w:sz w:val="28"/>
          <w:szCs w:val="28"/>
        </w:rPr>
        <w:t>EM</w:t>
      </w:r>
      <w:r w:rsidR="00572A91">
        <w:rPr>
          <w:rFonts w:ascii="Arial Black" w:hAnsi="Arial Black"/>
          <w:sz w:val="28"/>
          <w:szCs w:val="28"/>
        </w:rPr>
        <w:t>S</w:t>
      </w:r>
      <w:r w:rsidR="00DA4990">
        <w:rPr>
          <w:rFonts w:ascii="Arial Black" w:hAnsi="Arial Black"/>
          <w:sz w:val="28"/>
          <w:szCs w:val="28"/>
        </w:rPr>
        <w:t xml:space="preserve"> </w:t>
      </w:r>
      <w:r>
        <w:rPr>
          <w:rFonts w:ascii="Arial Black" w:hAnsi="Arial Black"/>
          <w:sz w:val="28"/>
          <w:szCs w:val="28"/>
        </w:rPr>
        <w:t xml:space="preserve">PROTOCOL </w:t>
      </w:r>
      <w:r w:rsidR="00DA4990">
        <w:rPr>
          <w:rFonts w:ascii="Arial Black" w:hAnsi="Arial Black"/>
          <w:sz w:val="28"/>
          <w:szCs w:val="28"/>
        </w:rPr>
        <w:t xml:space="preserve">WAS </w:t>
      </w:r>
      <w:r>
        <w:rPr>
          <w:rFonts w:ascii="Arial Black" w:hAnsi="Arial Black"/>
          <w:sz w:val="28"/>
          <w:szCs w:val="28"/>
        </w:rPr>
        <w:t xml:space="preserve">NOT FOLLOWED, NO GOV’T </w:t>
      </w:r>
      <w:r w:rsidRPr="00C17E65">
        <w:rPr>
          <w:rFonts w:ascii="Arial Black" w:hAnsi="Arial Black"/>
          <w:sz w:val="28"/>
          <w:szCs w:val="28"/>
        </w:rPr>
        <w:t>IMMUNITY</w:t>
      </w:r>
      <w:r>
        <w:rPr>
          <w:rFonts w:ascii="Arial Black" w:hAnsi="Arial Black"/>
          <w:sz w:val="28"/>
          <w:szCs w:val="28"/>
        </w:rPr>
        <w:t xml:space="preserve"> </w:t>
      </w:r>
    </w:p>
    <w:p w14:paraId="6CB2C79E" w14:textId="77777777" w:rsidR="006114FF" w:rsidRDefault="00F326E5" w:rsidP="00F326E5">
      <w:pPr>
        <w:rPr>
          <w:rFonts w:ascii="Times New Roman" w:hAnsi="Times New Roman"/>
          <w:sz w:val="24"/>
          <w:szCs w:val="24"/>
        </w:rPr>
      </w:pPr>
      <w:r w:rsidRPr="006114FF">
        <w:rPr>
          <w:rFonts w:ascii="Times New Roman" w:hAnsi="Times New Roman"/>
          <w:sz w:val="24"/>
          <w:szCs w:val="24"/>
        </w:rPr>
        <w:t xml:space="preserve">On August 16, 2018, in </w:t>
      </w:r>
      <w:r w:rsidRPr="006114FF">
        <w:rPr>
          <w:rFonts w:ascii="Times New Roman" w:hAnsi="Times New Roman"/>
          <w:sz w:val="24"/>
          <w:szCs w:val="24"/>
          <w:u w:val="single"/>
        </w:rPr>
        <w:t>Christine Lynch v. Town of Greenburg and Greenburg Police Department Emergency Medical Service</w:t>
      </w:r>
      <w:r w:rsidRPr="006114FF">
        <w:rPr>
          <w:rFonts w:ascii="Times New Roman" w:hAnsi="Times New Roman"/>
          <w:sz w:val="24"/>
          <w:szCs w:val="24"/>
        </w:rPr>
        <w:t xml:space="preserve">, the NY Supreme Court, County of Westchester (Judge Lawrence E. Ecker), denied the defendants’ motion for summary judgment.  “In fact, despite being told that the decedent was having an allergic reaction to the dog, Marcello acknowledged that he did not consider whether the attack was an allergic attack, verses another form of asthma incident. He also specifically stated that he never considered giving the decedent any medication to address an allergic reaction.”   </w:t>
      </w:r>
      <w:bookmarkEnd w:id="540"/>
      <w:r w:rsidRPr="006114FF">
        <w:rPr>
          <w:rFonts w:ascii="Times New Roman" w:hAnsi="Times New Roman"/>
          <w:sz w:val="24"/>
          <w:szCs w:val="24"/>
        </w:rPr>
        <w:t xml:space="preserve">The Court also noted poor affidavit from EMS Supervisor: </w:t>
      </w:r>
    </w:p>
    <w:p w14:paraId="24C715D7" w14:textId="530E7531" w:rsidR="00F326E5" w:rsidRPr="006114FF" w:rsidRDefault="00F326E5" w:rsidP="006114FF">
      <w:pPr>
        <w:ind w:left="720"/>
        <w:rPr>
          <w:rFonts w:ascii="Times New Roman" w:hAnsi="Times New Roman"/>
          <w:sz w:val="24"/>
          <w:szCs w:val="24"/>
        </w:rPr>
      </w:pPr>
      <w:r w:rsidRPr="006114FF">
        <w:rPr>
          <w:rFonts w:ascii="Times New Roman" w:hAnsi="Times New Roman"/>
          <w:sz w:val="24"/>
          <w:szCs w:val="24"/>
        </w:rPr>
        <w:t xml:space="preserve">“Despite acknowledging that ‘this action sounds in medical malpractice’ …, defendants do not submit a physician's or EMT expert affirmation specifically addressing the precise medical treatment rendered to the decedent. Instead, defendants rely upon the affidavit of an EMT Supervisor who offers generalized, conclusory statements to the effect that EMS protocols permit EMTs to exercise discretion, without ever addressing any of the specifics of defendants' actions in this case. In fact, the specific protocols are not discussed or explained, the actual medical actions taken by the first responders are not delineated or compared to protocols, specific examples of acts of discretion by the first responders are not provided, and there is no express support for the medical care that was given.” </w:t>
      </w:r>
      <w:bookmarkStart w:id="541" w:name="_Hlk41154578"/>
      <w:r w:rsidR="00F37A4B">
        <w:fldChar w:fldCharType="begin"/>
      </w:r>
      <w:r w:rsidR="00F37A4B">
        <w:instrText xml:space="preserve"> HYPERLINK "https://law.justia.com/cases/new-york/other-courts/2018/2018-ny-slip-op-28264.html" </w:instrText>
      </w:r>
      <w:r w:rsidR="00F37A4B">
        <w:fldChar w:fldCharType="separate"/>
      </w:r>
      <w:r w:rsidRPr="006114FF">
        <w:rPr>
          <w:rStyle w:val="Hyperlink"/>
          <w:rFonts w:ascii="Times New Roman" w:hAnsi="Times New Roman"/>
          <w:sz w:val="24"/>
          <w:szCs w:val="24"/>
        </w:rPr>
        <w:t>https://law.justia.com/cases/new-york/other-courts/2018/2018-ny-slip-op-28264.html</w:t>
      </w:r>
      <w:r w:rsidR="00F37A4B">
        <w:rPr>
          <w:rStyle w:val="Hyperlink"/>
          <w:rFonts w:ascii="Times New Roman" w:hAnsi="Times New Roman"/>
          <w:sz w:val="24"/>
          <w:szCs w:val="24"/>
        </w:rPr>
        <w:fldChar w:fldCharType="end"/>
      </w:r>
      <w:r w:rsidRPr="006114FF">
        <w:rPr>
          <w:rFonts w:ascii="Times New Roman" w:hAnsi="Times New Roman"/>
          <w:sz w:val="24"/>
          <w:szCs w:val="24"/>
        </w:rPr>
        <w:t xml:space="preserve"> </w:t>
      </w:r>
    </w:p>
    <w:p w14:paraId="049DAAEE" w14:textId="77777777" w:rsidR="00F326E5" w:rsidRPr="006114FF" w:rsidRDefault="00F326E5" w:rsidP="00F326E5">
      <w:pPr>
        <w:pStyle w:val="Heading1"/>
        <w:rPr>
          <w:b w:val="0"/>
          <w:sz w:val="24"/>
          <w:szCs w:val="24"/>
        </w:rPr>
      </w:pPr>
      <w:r w:rsidRPr="006114FF">
        <w:rPr>
          <w:sz w:val="24"/>
          <w:szCs w:val="24"/>
        </w:rPr>
        <w:t xml:space="preserve">Legal Lessons Learned: Follow EMS </w:t>
      </w:r>
      <w:proofErr w:type="gramStart"/>
      <w:r w:rsidRPr="006114FF">
        <w:rPr>
          <w:sz w:val="24"/>
          <w:szCs w:val="24"/>
        </w:rPr>
        <w:t>protocol, or</w:t>
      </w:r>
      <w:proofErr w:type="gramEnd"/>
      <w:r w:rsidRPr="006114FF">
        <w:rPr>
          <w:sz w:val="24"/>
          <w:szCs w:val="24"/>
        </w:rPr>
        <w:t xml:space="preserve"> explain on EMS run report why the protocol was not followed. </w:t>
      </w:r>
    </w:p>
    <w:bookmarkEnd w:id="539"/>
    <w:bookmarkEnd w:id="541"/>
    <w:p w14:paraId="2FB32D6D" w14:textId="77777777" w:rsidR="00F326E5" w:rsidRDefault="00F326E5" w:rsidP="00F326E5">
      <w:pPr>
        <w:pStyle w:val="NoSpacing"/>
        <w:rPr>
          <w:rFonts w:ascii="Arial Black" w:hAnsi="Arial Black"/>
          <w:b/>
          <w:sz w:val="24"/>
          <w:szCs w:val="24"/>
        </w:rPr>
      </w:pPr>
    </w:p>
    <w:p w14:paraId="07E27496" w14:textId="77777777" w:rsidR="00F326E5" w:rsidRPr="00BE5483" w:rsidRDefault="00F326E5" w:rsidP="00F326E5">
      <w:pPr>
        <w:rPr>
          <w:b/>
          <w:sz w:val="24"/>
          <w:szCs w:val="24"/>
        </w:rPr>
      </w:pPr>
    </w:p>
    <w:p w14:paraId="2055BCF2" w14:textId="71659E16" w:rsidR="00DE0F03" w:rsidRDefault="00DE0F03" w:rsidP="00DE0F03">
      <w:pPr>
        <w:pStyle w:val="NoSpacing"/>
        <w:rPr>
          <w:rFonts w:ascii="Arial Black" w:hAnsi="Arial Black"/>
          <w:sz w:val="24"/>
          <w:szCs w:val="24"/>
        </w:rPr>
      </w:pPr>
      <w:r>
        <w:rPr>
          <w:rFonts w:ascii="Arial Black" w:hAnsi="Arial Black"/>
          <w:sz w:val="24"/>
          <w:szCs w:val="24"/>
        </w:rPr>
        <w:t>13-10</w:t>
      </w:r>
    </w:p>
    <w:p w14:paraId="159F44A2" w14:textId="77777777" w:rsidR="00F326E5" w:rsidRDefault="00F326E5" w:rsidP="00F326E5">
      <w:pPr>
        <w:pStyle w:val="NoSpacing"/>
        <w:rPr>
          <w:rFonts w:ascii="Arial Black" w:hAnsi="Arial Black"/>
          <w:b/>
          <w:sz w:val="24"/>
          <w:szCs w:val="24"/>
        </w:rPr>
      </w:pPr>
    </w:p>
    <w:p w14:paraId="1A18BFCA" w14:textId="77777777" w:rsidR="00F326E5" w:rsidRPr="00BE5483" w:rsidRDefault="00F326E5" w:rsidP="00F326E5">
      <w:pPr>
        <w:pStyle w:val="NoSpacing"/>
        <w:rPr>
          <w:rFonts w:ascii="Arial Black" w:hAnsi="Arial Black"/>
          <w:b/>
          <w:sz w:val="24"/>
          <w:szCs w:val="24"/>
        </w:rPr>
      </w:pPr>
    </w:p>
    <w:p w14:paraId="4282600E" w14:textId="4C86F806" w:rsidR="00F326E5" w:rsidRPr="00CA2809" w:rsidRDefault="00F326E5" w:rsidP="00F326E5">
      <w:pPr>
        <w:rPr>
          <w:rFonts w:eastAsia="Times New Roman"/>
          <w:b/>
          <w:sz w:val="24"/>
          <w:szCs w:val="24"/>
        </w:rPr>
      </w:pPr>
      <w:bookmarkStart w:id="542" w:name="_Hlk41154622"/>
      <w:bookmarkStart w:id="543" w:name="_Hlk7346894"/>
      <w:r w:rsidRPr="00BE5483">
        <w:rPr>
          <w:rFonts w:ascii="Arial Black" w:eastAsia="Times New Roman" w:hAnsi="Arial Black"/>
          <w:b/>
          <w:sz w:val="28"/>
          <w:szCs w:val="28"/>
        </w:rPr>
        <w:t>IN:</w:t>
      </w:r>
      <w:r>
        <w:rPr>
          <w:rFonts w:eastAsia="Times New Roman"/>
          <w:b/>
          <w:sz w:val="24"/>
          <w:szCs w:val="24"/>
        </w:rPr>
        <w:t xml:space="preserve"> </w:t>
      </w:r>
      <w:r>
        <w:rPr>
          <w:rFonts w:ascii="Arial Black" w:eastAsia="Times New Roman" w:hAnsi="Arial Black"/>
          <w:b/>
          <w:sz w:val="28"/>
          <w:szCs w:val="28"/>
        </w:rPr>
        <w:t>SEDATIVE FOR NAKED PATIENT RUNNING IN STREET – DIED -QUALIFIED IMMUNITY FOR EMS</w:t>
      </w:r>
    </w:p>
    <w:p w14:paraId="3FB1D2F8" w14:textId="0048CABA" w:rsidR="006114FF" w:rsidRDefault="00F326E5" w:rsidP="00F326E5">
      <w:pPr>
        <w:rPr>
          <w:rFonts w:ascii="Times New Roman" w:eastAsia="Times New Roman" w:hAnsi="Times New Roman"/>
          <w:sz w:val="24"/>
          <w:szCs w:val="24"/>
        </w:rPr>
      </w:pPr>
      <w:r w:rsidRPr="006114FF">
        <w:rPr>
          <w:rFonts w:ascii="Times New Roman" w:eastAsia="Times New Roman" w:hAnsi="Times New Roman"/>
          <w:sz w:val="24"/>
          <w:szCs w:val="24"/>
        </w:rPr>
        <w:t xml:space="preserve">On Aug. 14, 2018, in </w:t>
      </w:r>
      <w:r w:rsidRPr="006114FF">
        <w:rPr>
          <w:rFonts w:ascii="Times New Roman" w:eastAsia="Times New Roman" w:hAnsi="Times New Roman"/>
          <w:sz w:val="24"/>
          <w:szCs w:val="24"/>
          <w:u w:val="single"/>
        </w:rPr>
        <w:t>Billie Thompson v. Lance Cope</w:t>
      </w:r>
      <w:r w:rsidRPr="006114FF">
        <w:rPr>
          <w:rFonts w:ascii="Times New Roman" w:eastAsia="Times New Roman" w:hAnsi="Times New Roman"/>
          <w:sz w:val="24"/>
          <w:szCs w:val="24"/>
        </w:rPr>
        <w:t xml:space="preserve"> , 7</w:t>
      </w:r>
      <w:r w:rsidRPr="006114FF">
        <w:rPr>
          <w:rFonts w:ascii="Times New Roman" w:eastAsia="Times New Roman" w:hAnsi="Times New Roman"/>
          <w:sz w:val="24"/>
          <w:szCs w:val="24"/>
          <w:vertAlign w:val="superscript"/>
        </w:rPr>
        <w:t>th</w:t>
      </w:r>
      <w:r w:rsidRPr="006114FF">
        <w:rPr>
          <w:rFonts w:ascii="Times New Roman" w:eastAsia="Times New Roman" w:hAnsi="Times New Roman"/>
          <w:sz w:val="24"/>
          <w:szCs w:val="24"/>
        </w:rPr>
        <w:t xml:space="preserve"> Circuit, the Court </w:t>
      </w:r>
      <w:proofErr w:type="gramStart"/>
      <w:r w:rsidRPr="006114FF">
        <w:rPr>
          <w:rFonts w:ascii="Times New Roman" w:eastAsia="Times New Roman" w:hAnsi="Times New Roman"/>
          <w:sz w:val="24"/>
          <w:szCs w:val="24"/>
        </w:rPr>
        <w:t>held</w:t>
      </w:r>
      <w:proofErr w:type="gramEnd"/>
      <w:r w:rsidRPr="006114FF">
        <w:rPr>
          <w:rFonts w:ascii="Times New Roman" w:eastAsia="Times New Roman" w:hAnsi="Times New Roman"/>
          <w:sz w:val="24"/>
          <w:szCs w:val="24"/>
        </w:rPr>
        <w:t xml:space="preserve"> (3 to 0), </w:t>
      </w:r>
    </w:p>
    <w:p w14:paraId="408B427C" w14:textId="51B59F6C" w:rsidR="00F326E5" w:rsidRPr="006114FF" w:rsidRDefault="00F326E5" w:rsidP="006114FF">
      <w:pPr>
        <w:ind w:left="720"/>
        <w:rPr>
          <w:rFonts w:ascii="Times New Roman" w:eastAsia="Times New Roman" w:hAnsi="Times New Roman"/>
          <w:b/>
          <w:sz w:val="24"/>
          <w:szCs w:val="24"/>
        </w:rPr>
      </w:pPr>
      <w:r w:rsidRPr="006114FF">
        <w:rPr>
          <w:rFonts w:ascii="Times New Roman" w:eastAsia="Times New Roman" w:hAnsi="Times New Roman"/>
          <w:sz w:val="24"/>
          <w:szCs w:val="24"/>
        </w:rPr>
        <w:t xml:space="preserve">“The paramedic is entitled to qualified immunity on the excessive force claim. Case law did not (and does not) clearly establish that a paramedic can violate a patient-arrestee’s Fourth Amendment rights by exercising medical judgment to administer a sedative in a medical </w:t>
      </w:r>
      <w:proofErr w:type="gramStart"/>
      <w:r w:rsidRPr="006114FF">
        <w:rPr>
          <w:rFonts w:ascii="Times New Roman" w:eastAsia="Times New Roman" w:hAnsi="Times New Roman"/>
          <w:sz w:val="24"/>
          <w:szCs w:val="24"/>
        </w:rPr>
        <w:t>emergency.”</w:t>
      </w:r>
      <w:proofErr w:type="gramEnd"/>
      <w:r w:rsidRPr="006114FF">
        <w:rPr>
          <w:rFonts w:ascii="Times New Roman" w:eastAsia="Times New Roman" w:hAnsi="Times New Roman"/>
          <w:sz w:val="24"/>
          <w:szCs w:val="24"/>
        </w:rPr>
        <w:t xml:space="preserve">  Indianapolis police called EMS to help with person found naked, running in street, high on amphetamines, and combative.  EMS administered a sedative; patient died 8-days later.  </w:t>
      </w:r>
      <w:hyperlink r:id="rId2364" w:history="1">
        <w:r w:rsidRPr="006114FF">
          <w:rPr>
            <w:rStyle w:val="Hyperlink"/>
            <w:rFonts w:ascii="Times New Roman" w:hAnsi="Times New Roman"/>
            <w:sz w:val="24"/>
            <w:szCs w:val="24"/>
          </w:rPr>
          <w:t>https://cases.justia.com/federal/appellate-courts/ca7/17-3060/17-3060-2018-08-14.pdf?ts=1534262420</w:t>
        </w:r>
      </w:hyperlink>
      <w:r w:rsidRPr="006114FF">
        <w:rPr>
          <w:rFonts w:ascii="Times New Roman" w:eastAsia="Times New Roman" w:hAnsi="Times New Roman"/>
          <w:b/>
          <w:sz w:val="24"/>
          <w:szCs w:val="24"/>
        </w:rPr>
        <w:t xml:space="preserve"> </w:t>
      </w:r>
    </w:p>
    <w:p w14:paraId="39827241" w14:textId="77777777" w:rsidR="00F326E5" w:rsidRPr="006114FF" w:rsidRDefault="00F326E5" w:rsidP="00F326E5">
      <w:pPr>
        <w:rPr>
          <w:rFonts w:ascii="Times New Roman" w:eastAsia="Times New Roman" w:hAnsi="Times New Roman"/>
          <w:b/>
          <w:sz w:val="24"/>
          <w:szCs w:val="24"/>
        </w:rPr>
      </w:pPr>
      <w:r w:rsidRPr="006114FF">
        <w:rPr>
          <w:rFonts w:ascii="Times New Roman" w:eastAsia="Times New Roman" w:hAnsi="Times New Roman"/>
          <w:b/>
          <w:sz w:val="24"/>
          <w:szCs w:val="24"/>
        </w:rPr>
        <w:t xml:space="preserve">Legal Lessons Learned: Qualified Immunity protects police, fire, EMS personnel from personal liability.   </w:t>
      </w:r>
    </w:p>
    <w:p w14:paraId="4D673270" w14:textId="66734710" w:rsidR="00F326E5" w:rsidRPr="006114FF" w:rsidRDefault="00F326E5" w:rsidP="00F326E5">
      <w:pPr>
        <w:ind w:left="720"/>
        <w:rPr>
          <w:rFonts w:ascii="Times New Roman" w:eastAsia="Times New Roman" w:hAnsi="Times New Roman"/>
          <w:sz w:val="24"/>
          <w:szCs w:val="24"/>
        </w:rPr>
      </w:pPr>
      <w:r w:rsidRPr="006114FF">
        <w:rPr>
          <w:rFonts w:ascii="Times New Roman" w:eastAsia="Times New Roman" w:hAnsi="Times New Roman"/>
          <w:sz w:val="24"/>
          <w:szCs w:val="24"/>
        </w:rPr>
        <w:t xml:space="preserve">See also U.S. Supreme Court’s </w:t>
      </w:r>
      <w:r w:rsidRPr="006114FF">
        <w:rPr>
          <w:rFonts w:ascii="Times New Roman" w:hAnsi="Times New Roman"/>
          <w:sz w:val="24"/>
          <w:szCs w:val="24"/>
        </w:rPr>
        <w:t xml:space="preserve">Jan. 7, </w:t>
      </w:r>
      <w:proofErr w:type="gramStart"/>
      <w:r w:rsidRPr="006114FF">
        <w:rPr>
          <w:rFonts w:ascii="Times New Roman" w:hAnsi="Times New Roman"/>
          <w:sz w:val="24"/>
          <w:szCs w:val="24"/>
        </w:rPr>
        <w:t>2019</w:t>
      </w:r>
      <w:proofErr w:type="gramEnd"/>
      <w:r w:rsidRPr="006114FF">
        <w:rPr>
          <w:rFonts w:ascii="Times New Roman" w:hAnsi="Times New Roman"/>
          <w:sz w:val="24"/>
          <w:szCs w:val="24"/>
        </w:rPr>
        <w:t xml:space="preserve"> decision, in </w:t>
      </w:r>
      <w:r w:rsidRPr="006114FF">
        <w:rPr>
          <w:rFonts w:ascii="Times New Roman" w:hAnsi="Times New Roman"/>
          <w:sz w:val="24"/>
          <w:szCs w:val="24"/>
          <w:u w:val="single"/>
        </w:rPr>
        <w:t>City of Escondido, California v. Mart Emmons</w:t>
      </w:r>
      <w:r w:rsidRPr="006114FF">
        <w:rPr>
          <w:rFonts w:ascii="Times New Roman" w:hAnsi="Times New Roman"/>
          <w:sz w:val="24"/>
          <w:szCs w:val="24"/>
        </w:rPr>
        <w:t>, (9 to 0), in a per curiam decision [not authored by a specific Justice], reversed the 9</w:t>
      </w:r>
      <w:r w:rsidRPr="006114FF">
        <w:rPr>
          <w:rFonts w:ascii="Times New Roman" w:hAnsi="Times New Roman"/>
          <w:sz w:val="24"/>
          <w:szCs w:val="24"/>
          <w:vertAlign w:val="superscript"/>
        </w:rPr>
        <w:t>th</w:t>
      </w:r>
      <w:r w:rsidRPr="006114FF">
        <w:rPr>
          <w:rFonts w:ascii="Times New Roman" w:hAnsi="Times New Roman"/>
          <w:sz w:val="24"/>
          <w:szCs w:val="24"/>
        </w:rPr>
        <w:t xml:space="preserve"> Circuit without the need to even hear oral argument.  The Court held: “</w:t>
      </w:r>
      <w:r w:rsidRPr="006114FF">
        <w:rPr>
          <w:rFonts w:ascii="Times New Roman" w:eastAsia="Times New Roman" w:hAnsi="Times New Roman"/>
          <w:sz w:val="24"/>
          <w:szCs w:val="24"/>
        </w:rPr>
        <w:t xml:space="preserve">As to Officer Craig, the Ninth Circuit also erred. As we have explained many times: ‘Qualified immunity attaches when an official’s conduct does not violate clearly established statutory or constitutional rights of which a reasonable person would have known.’” </w:t>
      </w:r>
      <w:hyperlink r:id="rId2365" w:history="1">
        <w:r w:rsidRPr="006114FF">
          <w:rPr>
            <w:rStyle w:val="Hyperlink"/>
            <w:rFonts w:ascii="Times New Roman" w:hAnsi="Times New Roman"/>
            <w:sz w:val="24"/>
            <w:szCs w:val="24"/>
          </w:rPr>
          <w:t>https://www.supremecourt.gov/opinions/18pdf/17-1660_5ifl.pdf</w:t>
        </w:r>
      </w:hyperlink>
      <w:r w:rsidRPr="006114FF">
        <w:rPr>
          <w:rFonts w:ascii="Times New Roman" w:eastAsia="Times New Roman" w:hAnsi="Times New Roman"/>
          <w:sz w:val="24"/>
          <w:szCs w:val="24"/>
        </w:rPr>
        <w:t xml:space="preserve"> </w:t>
      </w:r>
    </w:p>
    <w:bookmarkEnd w:id="542"/>
    <w:p w14:paraId="6F7A1A89" w14:textId="77777777" w:rsidR="00536545" w:rsidRPr="00BE5483" w:rsidRDefault="00536545" w:rsidP="00F326E5">
      <w:pPr>
        <w:ind w:left="720"/>
        <w:rPr>
          <w:rFonts w:eastAsia="Times New Roman"/>
          <w:sz w:val="24"/>
          <w:szCs w:val="24"/>
        </w:rPr>
      </w:pPr>
    </w:p>
    <w:p w14:paraId="0B06C962" w14:textId="77777777" w:rsidR="00F326E5" w:rsidRPr="00CA2809" w:rsidRDefault="00F326E5" w:rsidP="00F326E5">
      <w:pPr>
        <w:rPr>
          <w:b/>
          <w:sz w:val="24"/>
          <w:szCs w:val="24"/>
        </w:rPr>
      </w:pPr>
    </w:p>
    <w:bookmarkEnd w:id="543"/>
    <w:p w14:paraId="4C3FFA8B" w14:textId="15E8D590" w:rsidR="00DE0F03" w:rsidRDefault="00DE0F03" w:rsidP="00DE0F03">
      <w:pPr>
        <w:pStyle w:val="NoSpacing"/>
        <w:rPr>
          <w:rFonts w:ascii="Arial Black" w:hAnsi="Arial Black"/>
          <w:sz w:val="24"/>
          <w:szCs w:val="24"/>
        </w:rPr>
      </w:pPr>
      <w:r>
        <w:rPr>
          <w:rFonts w:ascii="Arial Black" w:hAnsi="Arial Black"/>
          <w:sz w:val="24"/>
          <w:szCs w:val="24"/>
        </w:rPr>
        <w:t>13-9</w:t>
      </w:r>
    </w:p>
    <w:p w14:paraId="1E686E26" w14:textId="77777777" w:rsidR="00F326E5" w:rsidRDefault="00F326E5" w:rsidP="00F326E5">
      <w:pPr>
        <w:pStyle w:val="NoSpacing"/>
        <w:rPr>
          <w:b/>
          <w:sz w:val="24"/>
          <w:szCs w:val="24"/>
        </w:rPr>
      </w:pPr>
    </w:p>
    <w:p w14:paraId="27566E77" w14:textId="70E5C9B4" w:rsidR="00F326E5" w:rsidRPr="0002048B" w:rsidRDefault="00F326E5" w:rsidP="00F326E5">
      <w:pPr>
        <w:pStyle w:val="NoSpacing"/>
        <w:rPr>
          <w:b/>
          <w:sz w:val="24"/>
          <w:szCs w:val="24"/>
        </w:rPr>
      </w:pPr>
      <w:bookmarkStart w:id="544" w:name="_Hlk41154698"/>
      <w:bookmarkStart w:id="545" w:name="_Hlk7346941"/>
      <w:r w:rsidRPr="00C17E65">
        <w:rPr>
          <w:rFonts w:ascii="Arial Black" w:hAnsi="Arial Black"/>
          <w:b/>
          <w:sz w:val="28"/>
          <w:szCs w:val="28"/>
        </w:rPr>
        <w:t xml:space="preserve">OH: DYING DECLARATION </w:t>
      </w:r>
      <w:r>
        <w:rPr>
          <w:rFonts w:ascii="Arial Black" w:hAnsi="Arial Black"/>
          <w:b/>
          <w:sz w:val="28"/>
          <w:szCs w:val="28"/>
        </w:rPr>
        <w:t xml:space="preserve">BY VICTIM </w:t>
      </w:r>
      <w:r w:rsidRPr="00C17E65">
        <w:rPr>
          <w:rFonts w:ascii="Arial Black" w:hAnsi="Arial Black"/>
          <w:b/>
          <w:sz w:val="28"/>
          <w:szCs w:val="28"/>
        </w:rPr>
        <w:t>IN BACK OF AMBULANCE ADMISSIBLE IN MURDER TRIAL</w:t>
      </w:r>
      <w:r>
        <w:rPr>
          <w:rFonts w:ascii="Arial Black" w:hAnsi="Arial Black"/>
          <w:b/>
          <w:sz w:val="24"/>
          <w:szCs w:val="24"/>
        </w:rPr>
        <w:t xml:space="preserve"> </w:t>
      </w:r>
      <w:r w:rsidRPr="00C17E65">
        <w:rPr>
          <w:sz w:val="24"/>
          <w:szCs w:val="24"/>
        </w:rPr>
        <w:t>[also filed Chap. 1]</w:t>
      </w:r>
    </w:p>
    <w:p w14:paraId="39D889B9" w14:textId="77777777" w:rsidR="00F326E5" w:rsidRPr="006114FF" w:rsidRDefault="00F326E5" w:rsidP="00F326E5">
      <w:pPr>
        <w:rPr>
          <w:rFonts w:ascii="Times New Roman" w:eastAsia="Times New Roman" w:hAnsi="Times New Roman"/>
          <w:sz w:val="24"/>
          <w:szCs w:val="24"/>
        </w:rPr>
      </w:pPr>
      <w:r w:rsidRPr="006114FF">
        <w:rPr>
          <w:rFonts w:ascii="Times New Roman" w:hAnsi="Times New Roman"/>
          <w:sz w:val="24"/>
          <w:szCs w:val="24"/>
        </w:rPr>
        <w:t xml:space="preserve">On July 25, 2018, in </w:t>
      </w:r>
      <w:r w:rsidRPr="006114FF">
        <w:rPr>
          <w:rFonts w:ascii="Times New Roman" w:eastAsia="Times New Roman" w:hAnsi="Times New Roman"/>
          <w:sz w:val="24"/>
          <w:szCs w:val="24"/>
          <w:u w:val="single"/>
        </w:rPr>
        <w:t>State v. Fred Taylor</w:t>
      </w:r>
      <w:r w:rsidRPr="006114FF">
        <w:rPr>
          <w:rFonts w:ascii="Times New Roman" w:eastAsia="Times New Roman" w:hAnsi="Times New Roman"/>
          <w:sz w:val="24"/>
          <w:szCs w:val="24"/>
        </w:rPr>
        <w:t xml:space="preserve">, 2018-Ohio-2921, the Ohio Court of Appeals for Summit County, upheld (3 to 0) his conviction of felony murder of Javon Knaff.   </w:t>
      </w:r>
    </w:p>
    <w:p w14:paraId="7AD577E9" w14:textId="648FE652" w:rsidR="00F326E5" w:rsidRPr="006114FF" w:rsidRDefault="00F326E5" w:rsidP="006114FF">
      <w:pPr>
        <w:ind w:left="720"/>
        <w:rPr>
          <w:rFonts w:ascii="Times New Roman" w:eastAsia="Times New Roman" w:hAnsi="Times New Roman"/>
          <w:sz w:val="24"/>
          <w:szCs w:val="24"/>
        </w:rPr>
      </w:pPr>
      <w:r w:rsidRPr="006114FF">
        <w:rPr>
          <w:rFonts w:ascii="Times New Roman" w:eastAsia="Times New Roman" w:hAnsi="Times New Roman"/>
          <w:sz w:val="24"/>
          <w:szCs w:val="24"/>
        </w:rPr>
        <w:t>“Mr. Knaff’s repeated statements concerning the fact that he was dying, coupled with the severity of his condition, demonstrate his awareness of his impending death at the time that he stated, ‘Fred shot [me].’ Consequently, this statement was admissible as a dying declaration.”</w:t>
      </w:r>
      <w:r w:rsidR="006114FF">
        <w:rPr>
          <w:rFonts w:ascii="Times New Roman" w:eastAsia="Times New Roman" w:hAnsi="Times New Roman"/>
          <w:sz w:val="24"/>
          <w:szCs w:val="24"/>
        </w:rPr>
        <w:t xml:space="preserve"> </w:t>
      </w:r>
      <w:hyperlink r:id="rId2366" w:history="1">
        <w:r w:rsidRPr="006114FF">
          <w:rPr>
            <w:rStyle w:val="Hyperlink"/>
            <w:rFonts w:ascii="Times New Roman" w:hAnsi="Times New Roman"/>
            <w:sz w:val="24"/>
            <w:szCs w:val="24"/>
          </w:rPr>
          <w:t>https://cases.justia.com/ohio/ninth-district-court-of-appeals/2018-28746.pdf?ts=1532525904</w:t>
        </w:r>
      </w:hyperlink>
      <w:r w:rsidRPr="006114FF">
        <w:rPr>
          <w:rFonts w:ascii="Times New Roman" w:eastAsia="Times New Roman" w:hAnsi="Times New Roman"/>
          <w:sz w:val="24"/>
          <w:szCs w:val="24"/>
        </w:rPr>
        <w:t xml:space="preserve"> </w:t>
      </w:r>
    </w:p>
    <w:p w14:paraId="6A662AF1" w14:textId="77777777" w:rsidR="00F326E5" w:rsidRPr="006114FF" w:rsidRDefault="00F326E5" w:rsidP="00F326E5">
      <w:pPr>
        <w:rPr>
          <w:rFonts w:ascii="Times New Roman" w:hAnsi="Times New Roman"/>
          <w:b/>
          <w:sz w:val="24"/>
          <w:szCs w:val="24"/>
        </w:rPr>
      </w:pPr>
      <w:r w:rsidRPr="006114FF">
        <w:rPr>
          <w:rFonts w:ascii="Times New Roman" w:hAnsi="Times New Roman"/>
          <w:b/>
          <w:sz w:val="24"/>
          <w:szCs w:val="24"/>
        </w:rPr>
        <w:t xml:space="preserve">Legal Lessons Learned:  Document on your EMS run report the actual words spoken by the patient; a “dying declaration” is admissible in evidence.   Recording the comments on your run report can help prosecution reach a plea agreement. </w:t>
      </w:r>
    </w:p>
    <w:bookmarkEnd w:id="544"/>
    <w:p w14:paraId="039DECD5" w14:textId="77777777" w:rsidR="00DE0F03" w:rsidRDefault="00DE0F03" w:rsidP="00DE0F03">
      <w:pPr>
        <w:pStyle w:val="NoSpacing"/>
        <w:rPr>
          <w:rFonts w:ascii="Arial Black" w:hAnsi="Arial Black"/>
          <w:sz w:val="24"/>
          <w:szCs w:val="24"/>
        </w:rPr>
      </w:pPr>
    </w:p>
    <w:p w14:paraId="1C67915A" w14:textId="77777777" w:rsidR="00DE0F03" w:rsidRDefault="00DE0F03" w:rsidP="00DE0F03">
      <w:pPr>
        <w:pStyle w:val="NoSpacing"/>
        <w:rPr>
          <w:rFonts w:ascii="Arial Black" w:hAnsi="Arial Black"/>
          <w:sz w:val="24"/>
          <w:szCs w:val="24"/>
        </w:rPr>
      </w:pPr>
    </w:p>
    <w:p w14:paraId="6C8A3EC8" w14:textId="5C935D1A" w:rsidR="00F326E5" w:rsidRDefault="00DE0F03" w:rsidP="00DE0F03">
      <w:pPr>
        <w:pStyle w:val="NoSpacing"/>
        <w:rPr>
          <w:rFonts w:ascii="Arial Black" w:hAnsi="Arial Black"/>
          <w:sz w:val="24"/>
          <w:szCs w:val="24"/>
        </w:rPr>
      </w:pPr>
      <w:r>
        <w:rPr>
          <w:rFonts w:ascii="Arial Black" w:hAnsi="Arial Black"/>
          <w:sz w:val="24"/>
          <w:szCs w:val="24"/>
        </w:rPr>
        <w:t>13-8</w:t>
      </w:r>
    </w:p>
    <w:p w14:paraId="42FCE522" w14:textId="77777777" w:rsidR="00DE0F03" w:rsidRDefault="00DE0F03" w:rsidP="00DE0F03">
      <w:pPr>
        <w:pStyle w:val="NoSpacing"/>
        <w:rPr>
          <w:rFonts w:eastAsia="Times New Roman"/>
          <w:sz w:val="25"/>
          <w:szCs w:val="25"/>
        </w:rPr>
      </w:pPr>
    </w:p>
    <w:p w14:paraId="56A2135A" w14:textId="3A780231" w:rsidR="00DA4990" w:rsidRPr="008A5B80" w:rsidRDefault="00DA4990" w:rsidP="00DA4990">
      <w:pPr>
        <w:pStyle w:val="NoSpacing"/>
        <w:rPr>
          <w:rFonts w:ascii="Arial Black" w:hAnsi="Arial Black"/>
          <w:sz w:val="24"/>
          <w:szCs w:val="24"/>
        </w:rPr>
      </w:pPr>
      <w:bookmarkStart w:id="546" w:name="_Hlk7347158"/>
      <w:bookmarkEnd w:id="545"/>
      <w:r w:rsidRPr="00732C84">
        <w:rPr>
          <w:rFonts w:ascii="Arial Black" w:hAnsi="Arial Black"/>
          <w:b/>
          <w:sz w:val="28"/>
          <w:szCs w:val="28"/>
        </w:rPr>
        <w:t xml:space="preserve">LA: </w:t>
      </w:r>
      <w:r>
        <w:rPr>
          <w:rFonts w:ascii="Arial Black" w:hAnsi="Arial Black"/>
          <w:b/>
          <w:sz w:val="28"/>
          <w:szCs w:val="28"/>
        </w:rPr>
        <w:t xml:space="preserve">FREE SPEECH CASE NOT DISMISSED - TWO PARAMEDICS FIRED AFTER LETTER TO BOARD ABOUT MGT </w:t>
      </w:r>
      <w:r w:rsidRPr="008A5B80">
        <w:rPr>
          <w:sz w:val="24"/>
          <w:szCs w:val="24"/>
        </w:rPr>
        <w:t xml:space="preserve">[also filed, Chap. </w:t>
      </w:r>
      <w:r>
        <w:rPr>
          <w:sz w:val="24"/>
          <w:szCs w:val="24"/>
        </w:rPr>
        <w:t>6</w:t>
      </w:r>
      <w:r w:rsidRPr="008A5B80">
        <w:rPr>
          <w:sz w:val="24"/>
          <w:szCs w:val="24"/>
        </w:rPr>
        <w:t>]</w:t>
      </w:r>
    </w:p>
    <w:p w14:paraId="22CD49E7" w14:textId="77777777" w:rsidR="00DA4990" w:rsidRDefault="00DA4990" w:rsidP="00DA4990">
      <w:pPr>
        <w:pStyle w:val="NoSpacing"/>
        <w:rPr>
          <w:b/>
          <w:sz w:val="24"/>
          <w:szCs w:val="24"/>
        </w:rPr>
      </w:pPr>
    </w:p>
    <w:p w14:paraId="1A052ED3" w14:textId="77777777" w:rsidR="006114FF" w:rsidRDefault="00DA4990" w:rsidP="006114FF">
      <w:pPr>
        <w:rPr>
          <w:rFonts w:ascii="Times New Roman" w:hAnsi="Times New Roman"/>
          <w:sz w:val="24"/>
          <w:szCs w:val="24"/>
        </w:rPr>
      </w:pPr>
      <w:r w:rsidRPr="006114FF">
        <w:rPr>
          <w:rFonts w:ascii="Times New Roman" w:hAnsi="Times New Roman"/>
          <w:sz w:val="24"/>
          <w:szCs w:val="24"/>
        </w:rPr>
        <w:t xml:space="preserve">On July 18, 2018, in </w:t>
      </w:r>
      <w:r w:rsidRPr="006114FF">
        <w:rPr>
          <w:rFonts w:ascii="Times New Roman" w:hAnsi="Times New Roman"/>
          <w:sz w:val="24"/>
          <w:szCs w:val="24"/>
          <w:u w:val="single"/>
        </w:rPr>
        <w:t>Patrick Alan Benfield &amp; Brian Warren v. Joe Magee, et al</w:t>
      </w:r>
      <w:r w:rsidRPr="006114FF">
        <w:rPr>
          <w:rFonts w:ascii="Times New Roman" w:hAnsi="Times New Roman"/>
          <w:sz w:val="24"/>
          <w:szCs w:val="24"/>
        </w:rPr>
        <w:t xml:space="preserve">., U.S. District Court Judge Elizabeth Foote, Western District of Louisiana, held that a lawsuit by two paramedics fired by Desoto Parish EMS may proceed to trial.  They were fired after Warren wrote a letter to a member of the Desoto Parish Police Jury (they </w:t>
      </w:r>
      <w:proofErr w:type="gramStart"/>
      <w:r w:rsidRPr="006114FF">
        <w:rPr>
          <w:rFonts w:ascii="Times New Roman" w:hAnsi="Times New Roman"/>
          <w:sz w:val="24"/>
          <w:szCs w:val="24"/>
        </w:rPr>
        <w:t>appoint</w:t>
      </w:r>
      <w:proofErr w:type="gramEnd"/>
      <w:r w:rsidRPr="006114FF">
        <w:rPr>
          <w:rFonts w:ascii="Times New Roman" w:hAnsi="Times New Roman"/>
          <w:sz w:val="24"/>
          <w:szCs w:val="24"/>
        </w:rPr>
        <w:t xml:space="preserve"> the Board of Commissioners of the Desoto Parish EMS).   The Judge ruled: </w:t>
      </w:r>
    </w:p>
    <w:p w14:paraId="08727202" w14:textId="00DA1F5E" w:rsidR="00DA4990" w:rsidRPr="006114FF" w:rsidRDefault="00DA4990" w:rsidP="00BC17B3">
      <w:pPr>
        <w:ind w:left="720"/>
        <w:rPr>
          <w:rFonts w:ascii="Times New Roman" w:hAnsi="Times New Roman"/>
          <w:sz w:val="24"/>
          <w:szCs w:val="24"/>
        </w:rPr>
      </w:pPr>
      <w:r w:rsidRPr="006114FF">
        <w:rPr>
          <w:rFonts w:ascii="Times New Roman" w:hAnsi="Times New Roman"/>
          <w:sz w:val="24"/>
          <w:szCs w:val="24"/>
        </w:rPr>
        <w:t xml:space="preserve">“The motion [to dismiss] is DENIED as to Warren’s free speech claim because the facts alleged establish that his letter was protected speech.”  </w:t>
      </w:r>
      <w:hyperlink r:id="rId2367" w:history="1">
        <w:r w:rsidRPr="006114FF">
          <w:rPr>
            <w:rStyle w:val="Hyperlink"/>
            <w:rFonts w:ascii="Times New Roman" w:hAnsi="Times New Roman"/>
            <w:sz w:val="24"/>
            <w:szCs w:val="24"/>
          </w:rPr>
          <w:t>https://cases.justia.com/federal/district-courts/louisiana/lawdce/5:2018cv00034/160852/18/0.pdf?ts=1532079100</w:t>
        </w:r>
      </w:hyperlink>
    </w:p>
    <w:p w14:paraId="298C6974" w14:textId="77777777" w:rsidR="00DA4990" w:rsidRPr="006114FF" w:rsidRDefault="00DA4990" w:rsidP="00DA4990">
      <w:pPr>
        <w:rPr>
          <w:rFonts w:ascii="Times New Roman" w:hAnsi="Times New Roman"/>
          <w:b/>
          <w:sz w:val="24"/>
          <w:szCs w:val="24"/>
        </w:rPr>
      </w:pPr>
      <w:r w:rsidRPr="006114FF">
        <w:rPr>
          <w:rFonts w:ascii="Times New Roman" w:hAnsi="Times New Roman"/>
          <w:b/>
          <w:sz w:val="24"/>
          <w:szCs w:val="24"/>
        </w:rPr>
        <w:t xml:space="preserve">Legal Lessons Learned: First Amendment free speech cases are </w:t>
      </w:r>
      <w:proofErr w:type="gramStart"/>
      <w:r w:rsidRPr="006114FF">
        <w:rPr>
          <w:rFonts w:ascii="Times New Roman" w:hAnsi="Times New Roman"/>
          <w:b/>
          <w:sz w:val="24"/>
          <w:szCs w:val="24"/>
        </w:rPr>
        <w:t>increasing</w:t>
      </w:r>
      <w:proofErr w:type="gramEnd"/>
      <w:r w:rsidRPr="006114FF">
        <w:rPr>
          <w:rFonts w:ascii="Times New Roman" w:hAnsi="Times New Roman"/>
          <w:b/>
          <w:sz w:val="24"/>
          <w:szCs w:val="24"/>
        </w:rPr>
        <w:t xml:space="preserve"> </w:t>
      </w:r>
      <w:proofErr w:type="gramStart"/>
      <w:r w:rsidRPr="006114FF">
        <w:rPr>
          <w:rFonts w:ascii="Times New Roman" w:hAnsi="Times New Roman"/>
          <w:b/>
          <w:sz w:val="24"/>
          <w:szCs w:val="24"/>
        </w:rPr>
        <w:t>being permitted</w:t>
      </w:r>
      <w:proofErr w:type="gramEnd"/>
      <w:r w:rsidRPr="006114FF">
        <w:rPr>
          <w:rFonts w:ascii="Times New Roman" w:hAnsi="Times New Roman"/>
          <w:b/>
          <w:sz w:val="24"/>
          <w:szCs w:val="24"/>
        </w:rPr>
        <w:t xml:space="preserve"> to go to the jury.  Fire &amp; EMS Departments should thoroughly document reasons for termination, including employees who serve “at will.”</w:t>
      </w:r>
    </w:p>
    <w:bookmarkEnd w:id="546"/>
    <w:p w14:paraId="04D8F5AE" w14:textId="77777777" w:rsidR="00BC17B3" w:rsidRDefault="00BC17B3" w:rsidP="00DE0F03">
      <w:pPr>
        <w:pStyle w:val="NoSpacing"/>
        <w:rPr>
          <w:rFonts w:ascii="Arial Black" w:hAnsi="Arial Black"/>
          <w:sz w:val="24"/>
          <w:szCs w:val="24"/>
        </w:rPr>
      </w:pPr>
    </w:p>
    <w:p w14:paraId="746CA2B1" w14:textId="4A60F662" w:rsidR="00DE0F03" w:rsidRDefault="00DE0F03" w:rsidP="00DE0F03">
      <w:pPr>
        <w:pStyle w:val="NoSpacing"/>
        <w:rPr>
          <w:rFonts w:ascii="Arial Black" w:hAnsi="Arial Black"/>
          <w:sz w:val="24"/>
          <w:szCs w:val="24"/>
        </w:rPr>
      </w:pPr>
      <w:r>
        <w:rPr>
          <w:rFonts w:ascii="Arial Black" w:hAnsi="Arial Black"/>
          <w:sz w:val="24"/>
          <w:szCs w:val="24"/>
        </w:rPr>
        <w:t>13-7</w:t>
      </w:r>
    </w:p>
    <w:p w14:paraId="3FDB1CEF" w14:textId="77777777" w:rsidR="00DA4990" w:rsidRDefault="00DA4990" w:rsidP="00F326E5">
      <w:pPr>
        <w:pStyle w:val="NoSpacing"/>
        <w:rPr>
          <w:sz w:val="24"/>
          <w:szCs w:val="24"/>
        </w:rPr>
      </w:pPr>
    </w:p>
    <w:p w14:paraId="31735E12" w14:textId="28F8D8C2" w:rsidR="00F326E5" w:rsidRDefault="00F326E5" w:rsidP="00F326E5">
      <w:pPr>
        <w:pStyle w:val="NoSpacing"/>
        <w:rPr>
          <w:rFonts w:ascii="Arial Black" w:hAnsi="Arial Black"/>
          <w:b/>
          <w:sz w:val="24"/>
          <w:szCs w:val="24"/>
        </w:rPr>
      </w:pPr>
      <w:bookmarkStart w:id="547" w:name="_Hlk7347202"/>
      <w:r w:rsidRPr="00C17E65">
        <w:rPr>
          <w:rFonts w:ascii="Arial Black" w:hAnsi="Arial Black"/>
          <w:b/>
          <w:sz w:val="28"/>
          <w:szCs w:val="28"/>
        </w:rPr>
        <w:t>KY: EMT WHISTLEBLOWER</w:t>
      </w:r>
      <w:r w:rsidR="00DA4990">
        <w:rPr>
          <w:rFonts w:ascii="Arial Black" w:hAnsi="Arial Black"/>
          <w:b/>
          <w:sz w:val="28"/>
          <w:szCs w:val="28"/>
        </w:rPr>
        <w:t xml:space="preserve"> – ALLEGED </w:t>
      </w:r>
      <w:r>
        <w:rPr>
          <w:rFonts w:ascii="Arial Black" w:hAnsi="Arial Black"/>
          <w:b/>
          <w:sz w:val="28"/>
          <w:szCs w:val="28"/>
        </w:rPr>
        <w:t xml:space="preserve">TRANSPORTS NOT MEDICALLY NECESSARY – BUT </w:t>
      </w:r>
      <w:r w:rsidR="00DA4990">
        <w:rPr>
          <w:rFonts w:ascii="Arial Black" w:hAnsi="Arial Black"/>
          <w:b/>
          <w:sz w:val="28"/>
          <w:szCs w:val="28"/>
        </w:rPr>
        <w:t xml:space="preserve">FAILED TO PROVIDE </w:t>
      </w:r>
      <w:r>
        <w:rPr>
          <w:rFonts w:ascii="Arial Black" w:hAnsi="Arial Black"/>
          <w:b/>
          <w:sz w:val="28"/>
          <w:szCs w:val="28"/>
        </w:rPr>
        <w:t>SPECIFIC</w:t>
      </w:r>
      <w:r w:rsidR="00DA4990">
        <w:rPr>
          <w:rFonts w:ascii="Arial Black" w:hAnsi="Arial Black"/>
          <w:b/>
          <w:sz w:val="28"/>
          <w:szCs w:val="28"/>
        </w:rPr>
        <w:t>S</w:t>
      </w:r>
      <w:r>
        <w:rPr>
          <w:rFonts w:ascii="Arial Black" w:hAnsi="Arial Black"/>
          <w:b/>
          <w:sz w:val="28"/>
          <w:szCs w:val="28"/>
        </w:rPr>
        <w:t xml:space="preserve"> </w:t>
      </w:r>
    </w:p>
    <w:p w14:paraId="31EC9695" w14:textId="77777777" w:rsidR="00F326E5" w:rsidRPr="00BC17B3" w:rsidRDefault="00F326E5" w:rsidP="00F326E5">
      <w:pPr>
        <w:rPr>
          <w:rFonts w:ascii="Times New Roman" w:eastAsia="Times New Roman" w:hAnsi="Times New Roman"/>
          <w:sz w:val="24"/>
          <w:szCs w:val="24"/>
        </w:rPr>
      </w:pPr>
      <w:r w:rsidRPr="00BC17B3">
        <w:rPr>
          <w:rFonts w:ascii="Times New Roman" w:eastAsia="Times New Roman" w:hAnsi="Times New Roman"/>
          <w:sz w:val="24"/>
          <w:szCs w:val="24"/>
        </w:rPr>
        <w:t xml:space="preserve">On June 21, </w:t>
      </w:r>
      <w:proofErr w:type="gramStart"/>
      <w:r w:rsidRPr="00BC17B3">
        <w:rPr>
          <w:rFonts w:ascii="Times New Roman" w:eastAsia="Times New Roman" w:hAnsi="Times New Roman"/>
          <w:sz w:val="24"/>
          <w:szCs w:val="24"/>
        </w:rPr>
        <w:t>2018</w:t>
      </w:r>
      <w:proofErr w:type="gramEnd"/>
      <w:r w:rsidRPr="00BC17B3">
        <w:rPr>
          <w:rFonts w:ascii="Times New Roman" w:eastAsia="Times New Roman" w:hAnsi="Times New Roman"/>
          <w:sz w:val="24"/>
          <w:szCs w:val="24"/>
        </w:rPr>
        <w:t xml:space="preserve"> in </w:t>
      </w:r>
      <w:r w:rsidRPr="00BC17B3">
        <w:rPr>
          <w:rFonts w:ascii="Times New Roman" w:eastAsia="Times New Roman" w:hAnsi="Times New Roman"/>
          <w:sz w:val="24"/>
          <w:szCs w:val="24"/>
          <w:u w:val="single"/>
        </w:rPr>
        <w:t>United States of America ex rel. Jessica N. Stripe v. Powell County Fiscal Court</w:t>
      </w:r>
      <w:r w:rsidRPr="00BC17B3">
        <w:rPr>
          <w:rFonts w:ascii="Times New Roman" w:eastAsia="Times New Roman" w:hAnsi="Times New Roman"/>
          <w:sz w:val="24"/>
          <w:szCs w:val="24"/>
        </w:rPr>
        <w:t xml:space="preserve">, U.S. District Court Judge Karen Caldwell, Lexington, Kentucky, dismissed a “whistleblower” lawsuit by an EMS employee.    </w:t>
      </w:r>
    </w:p>
    <w:p w14:paraId="5C5994E3" w14:textId="77777777" w:rsidR="00F326E5" w:rsidRPr="00BC17B3" w:rsidRDefault="00F326E5" w:rsidP="00F326E5">
      <w:pPr>
        <w:ind w:left="720"/>
        <w:rPr>
          <w:rFonts w:ascii="Times New Roman" w:eastAsia="Times New Roman" w:hAnsi="Times New Roman"/>
          <w:sz w:val="24"/>
          <w:szCs w:val="24"/>
        </w:rPr>
      </w:pPr>
      <w:r w:rsidRPr="00BC17B3">
        <w:rPr>
          <w:rFonts w:ascii="Times New Roman" w:eastAsia="Times New Roman" w:hAnsi="Times New Roman"/>
          <w:sz w:val="24"/>
          <w:szCs w:val="24"/>
        </w:rPr>
        <w:t xml:space="preserve">“Stipe was employed in a care provider role as an </w:t>
      </w:r>
      <w:proofErr w:type="gramStart"/>
      <w:r w:rsidRPr="00BC17B3">
        <w:rPr>
          <w:rFonts w:ascii="Times New Roman" w:eastAsia="Times New Roman" w:hAnsi="Times New Roman"/>
          <w:sz w:val="24"/>
          <w:szCs w:val="24"/>
        </w:rPr>
        <w:t>EMT</w:t>
      </w:r>
      <w:proofErr w:type="gramEnd"/>
      <w:r w:rsidRPr="00BC17B3">
        <w:rPr>
          <w:rFonts w:ascii="Times New Roman" w:eastAsia="Times New Roman" w:hAnsi="Times New Roman"/>
          <w:sz w:val="24"/>
          <w:szCs w:val="24"/>
        </w:rPr>
        <w:t xml:space="preserve"> and she does not allege that her job involved any work related to billing or that it gave her detailed or specialized knowledge of PCFC's billing practices…. Accordingly, Stipe lacks the specialized knowledge necessary to invoke the exception to Rule 9(b).”</w:t>
      </w:r>
    </w:p>
    <w:p w14:paraId="73B1C298" w14:textId="77777777" w:rsidR="00F326E5" w:rsidRPr="00BC17B3" w:rsidRDefault="00F326E5" w:rsidP="00F326E5">
      <w:pPr>
        <w:ind w:left="720"/>
        <w:rPr>
          <w:rFonts w:ascii="Times New Roman" w:eastAsia="Times New Roman" w:hAnsi="Times New Roman"/>
          <w:sz w:val="24"/>
          <w:szCs w:val="24"/>
        </w:rPr>
      </w:pPr>
      <w:hyperlink r:id="rId2368" w:history="1">
        <w:r w:rsidRPr="00BC17B3">
          <w:rPr>
            <w:rStyle w:val="Hyperlink"/>
            <w:rFonts w:ascii="Times New Roman" w:hAnsi="Times New Roman"/>
            <w:sz w:val="24"/>
            <w:szCs w:val="24"/>
          </w:rPr>
          <w:t>https://cases.justia.com/federal/district-courts/kentucky/kyedce/5:2016cv00446/81785/59/0.pdf?ts=1529661227</w:t>
        </w:r>
      </w:hyperlink>
      <w:r w:rsidRPr="00BC17B3">
        <w:rPr>
          <w:rFonts w:ascii="Times New Roman" w:eastAsia="Times New Roman" w:hAnsi="Times New Roman"/>
          <w:sz w:val="24"/>
          <w:szCs w:val="24"/>
        </w:rPr>
        <w:t xml:space="preserve"> </w:t>
      </w:r>
    </w:p>
    <w:p w14:paraId="05834446" w14:textId="77777777" w:rsidR="00F326E5" w:rsidRPr="00BC17B3" w:rsidRDefault="00F326E5" w:rsidP="00F326E5">
      <w:pPr>
        <w:pStyle w:val="NoSpacing"/>
        <w:rPr>
          <w:rFonts w:ascii="Times New Roman" w:hAnsi="Times New Roman"/>
          <w:b/>
          <w:sz w:val="24"/>
          <w:szCs w:val="24"/>
        </w:rPr>
      </w:pPr>
      <w:r w:rsidRPr="00BC17B3">
        <w:rPr>
          <w:rFonts w:ascii="Times New Roman" w:hAnsi="Times New Roman"/>
          <w:b/>
          <w:sz w:val="24"/>
          <w:szCs w:val="24"/>
        </w:rPr>
        <w:t xml:space="preserve">Legal Lessons Learned:  Whistleblowers alleging fraudulent “up charging” must include in their complaint specific information about </w:t>
      </w:r>
      <w:proofErr w:type="gramStart"/>
      <w:r w:rsidRPr="00BC17B3">
        <w:rPr>
          <w:rFonts w:ascii="Times New Roman" w:hAnsi="Times New Roman"/>
          <w:b/>
          <w:sz w:val="24"/>
          <w:szCs w:val="24"/>
        </w:rPr>
        <w:t>particular EMS</w:t>
      </w:r>
      <w:proofErr w:type="gramEnd"/>
      <w:r w:rsidRPr="00BC17B3">
        <w:rPr>
          <w:rFonts w:ascii="Times New Roman" w:hAnsi="Times New Roman"/>
          <w:b/>
          <w:sz w:val="24"/>
          <w:szCs w:val="24"/>
        </w:rPr>
        <w:t xml:space="preserve"> runs where Medicare was overbilled.  With specifics, the U.S. Attorney can launch an investigation of the complaint that has been filed under seal.  </w:t>
      </w:r>
    </w:p>
    <w:p w14:paraId="17DED912" w14:textId="77777777" w:rsidR="00F326E5" w:rsidRPr="00BC17B3" w:rsidRDefault="00F326E5" w:rsidP="00F326E5">
      <w:pPr>
        <w:pStyle w:val="NoSpacing"/>
        <w:ind w:left="720"/>
        <w:rPr>
          <w:rFonts w:ascii="Times New Roman" w:eastAsia="Times New Roman" w:hAnsi="Times New Roman"/>
          <w:sz w:val="24"/>
          <w:szCs w:val="24"/>
        </w:rPr>
      </w:pPr>
      <w:r w:rsidRPr="00BC17B3">
        <w:rPr>
          <w:rFonts w:ascii="Times New Roman" w:hAnsi="Times New Roman"/>
          <w:sz w:val="24"/>
          <w:szCs w:val="24"/>
        </w:rPr>
        <w:t xml:space="preserve">See U.S. Department of Justice report: </w:t>
      </w:r>
      <w:r w:rsidRPr="00BC17B3">
        <w:rPr>
          <w:rFonts w:ascii="Times New Roman" w:eastAsia="Times New Roman" w:hAnsi="Times New Roman"/>
          <w:sz w:val="24"/>
          <w:szCs w:val="24"/>
        </w:rPr>
        <w:t xml:space="preserve">“Of the $3.7 billion in settlements and judgments reported by the government in fiscal year 2017, $3.4 billion related to lawsuits filed under the qui tam provisions of the False Claims Act.  During the same period, the government paid out $392 million to the individuals who exposed fraud and false claims by filing a qui tam complaint.” </w:t>
      </w:r>
      <w:hyperlink r:id="rId2369" w:history="1">
        <w:r w:rsidRPr="00BC17B3">
          <w:rPr>
            <w:rStyle w:val="Hyperlink"/>
            <w:rFonts w:ascii="Times New Roman" w:hAnsi="Times New Roman"/>
            <w:sz w:val="24"/>
            <w:szCs w:val="24"/>
          </w:rPr>
          <w:t>https://www.justice.gov/opa/pr/justice-department-recovers-over-37-billion-false-claims-act-cases-fiscal-year-2017</w:t>
        </w:r>
      </w:hyperlink>
      <w:r w:rsidRPr="00BC17B3">
        <w:rPr>
          <w:rFonts w:ascii="Times New Roman" w:eastAsia="Times New Roman" w:hAnsi="Times New Roman"/>
          <w:sz w:val="24"/>
          <w:szCs w:val="24"/>
        </w:rPr>
        <w:t xml:space="preserve"> </w:t>
      </w:r>
    </w:p>
    <w:bookmarkEnd w:id="547"/>
    <w:p w14:paraId="5B3A3E63" w14:textId="77777777" w:rsidR="00F326E5" w:rsidRPr="00BC17B3" w:rsidRDefault="00F326E5" w:rsidP="00F326E5">
      <w:pPr>
        <w:ind w:left="720"/>
        <w:rPr>
          <w:rFonts w:ascii="Times New Roman" w:eastAsia="Times New Roman" w:hAnsi="Times New Roman"/>
          <w:sz w:val="24"/>
          <w:szCs w:val="24"/>
        </w:rPr>
      </w:pPr>
    </w:p>
    <w:p w14:paraId="1C21654E" w14:textId="2C4F2C8B" w:rsidR="00DE0F03" w:rsidRDefault="00DE0F03" w:rsidP="00DE0F03">
      <w:pPr>
        <w:pStyle w:val="NoSpacing"/>
        <w:rPr>
          <w:rFonts w:ascii="Arial Black" w:hAnsi="Arial Black"/>
          <w:sz w:val="24"/>
          <w:szCs w:val="24"/>
        </w:rPr>
      </w:pPr>
      <w:r>
        <w:rPr>
          <w:rFonts w:ascii="Arial Black" w:hAnsi="Arial Black"/>
          <w:sz w:val="24"/>
          <w:szCs w:val="24"/>
        </w:rPr>
        <w:t>13-6</w:t>
      </w:r>
    </w:p>
    <w:p w14:paraId="727B7417" w14:textId="77777777" w:rsidR="00F326E5" w:rsidRDefault="00F326E5" w:rsidP="00F326E5">
      <w:pPr>
        <w:pStyle w:val="NoSpacing"/>
        <w:rPr>
          <w:b/>
          <w:sz w:val="24"/>
          <w:szCs w:val="24"/>
        </w:rPr>
      </w:pPr>
    </w:p>
    <w:p w14:paraId="05219BCF" w14:textId="6DF89A59" w:rsidR="00F326E5" w:rsidRPr="00F65F37" w:rsidRDefault="00F326E5" w:rsidP="00F326E5">
      <w:pPr>
        <w:pStyle w:val="NoSpacing"/>
        <w:rPr>
          <w:b/>
          <w:sz w:val="28"/>
          <w:szCs w:val="28"/>
        </w:rPr>
      </w:pPr>
      <w:bookmarkStart w:id="548" w:name="_Hlk7347344"/>
      <w:r w:rsidRPr="00F65F37">
        <w:rPr>
          <w:rFonts w:ascii="Arial Black" w:hAnsi="Arial Black"/>
          <w:b/>
          <w:sz w:val="28"/>
          <w:szCs w:val="28"/>
        </w:rPr>
        <w:t xml:space="preserve">VA: </w:t>
      </w:r>
      <w:r>
        <w:rPr>
          <w:rFonts w:ascii="Arial Black" w:hAnsi="Arial Black"/>
          <w:b/>
          <w:sz w:val="28"/>
          <w:szCs w:val="28"/>
        </w:rPr>
        <w:t xml:space="preserve">AMMONIA CAPSULES FOUND IN NOSE OF </w:t>
      </w:r>
      <w:r w:rsidR="0048537E">
        <w:rPr>
          <w:rFonts w:ascii="Arial Black" w:hAnsi="Arial Black"/>
          <w:b/>
          <w:sz w:val="28"/>
          <w:szCs w:val="28"/>
        </w:rPr>
        <w:t xml:space="preserve">DECEASED </w:t>
      </w:r>
      <w:r>
        <w:rPr>
          <w:rFonts w:ascii="Arial Black" w:hAnsi="Arial Black"/>
          <w:b/>
          <w:sz w:val="28"/>
          <w:szCs w:val="28"/>
        </w:rPr>
        <w:t xml:space="preserve">JAIL INMATE - LAWSUIT AGAINST NURSE, OTHERS </w:t>
      </w:r>
      <w:r w:rsidR="0048537E">
        <w:rPr>
          <w:rFonts w:ascii="Arial Black" w:hAnsi="Arial Black"/>
          <w:b/>
          <w:sz w:val="28"/>
          <w:szCs w:val="28"/>
        </w:rPr>
        <w:t xml:space="preserve">MAY </w:t>
      </w:r>
      <w:r>
        <w:rPr>
          <w:rFonts w:ascii="Arial Black" w:hAnsi="Arial Black"/>
          <w:b/>
          <w:sz w:val="28"/>
          <w:szCs w:val="28"/>
        </w:rPr>
        <w:t>PROCEED</w:t>
      </w:r>
    </w:p>
    <w:p w14:paraId="7562F4A4" w14:textId="77777777" w:rsidR="00F326E5" w:rsidRPr="00BC17B3" w:rsidRDefault="00F326E5" w:rsidP="00F326E5">
      <w:pPr>
        <w:rPr>
          <w:rFonts w:ascii="Times New Roman" w:eastAsia="Times New Roman" w:hAnsi="Times New Roman"/>
          <w:sz w:val="24"/>
          <w:szCs w:val="24"/>
        </w:rPr>
      </w:pPr>
      <w:r w:rsidRPr="00BC17B3">
        <w:rPr>
          <w:rFonts w:ascii="Times New Roman" w:eastAsia="Times New Roman" w:hAnsi="Times New Roman"/>
          <w:sz w:val="24"/>
          <w:szCs w:val="24"/>
        </w:rPr>
        <w:t xml:space="preserve">On May 31, 2018, in </w:t>
      </w:r>
      <w:r w:rsidRPr="00BC17B3">
        <w:rPr>
          <w:rFonts w:ascii="Times New Roman" w:eastAsia="Times New Roman" w:hAnsi="Times New Roman"/>
          <w:sz w:val="24"/>
          <w:szCs w:val="24"/>
          <w:u w:val="single"/>
        </w:rPr>
        <w:t>Benjamin M. Andrews, Administrator of Estate of Zachary Tuggle v. Sheriff C.T. Woody, et al.</w:t>
      </w:r>
      <w:r w:rsidRPr="00BC17B3">
        <w:rPr>
          <w:rFonts w:ascii="Times New Roman" w:eastAsia="Times New Roman" w:hAnsi="Times New Roman"/>
          <w:sz w:val="24"/>
          <w:szCs w:val="24"/>
        </w:rPr>
        <w:t>, a U.S. District Court Judge for Eastern District of Virginia (Richmond Division), issued two memorandum, holding (1) jail nurse and other jail personnel will not be granted summary judgment; and (2) that defense expert report of Dr. William J. Brady will not be admitted.</w:t>
      </w:r>
    </w:p>
    <w:p w14:paraId="70502A5E" w14:textId="77777777" w:rsidR="00F326E5" w:rsidRPr="00BC17B3" w:rsidRDefault="00F326E5" w:rsidP="00F326E5">
      <w:pPr>
        <w:pStyle w:val="ListParagraph"/>
        <w:rPr>
          <w:rFonts w:ascii="Times New Roman" w:eastAsia="Times New Roman" w:hAnsi="Times New Roman" w:cs="Times New Roman"/>
          <w:sz w:val="24"/>
          <w:szCs w:val="24"/>
        </w:rPr>
      </w:pPr>
      <w:hyperlink r:id="rId2370" w:history="1">
        <w:r w:rsidRPr="00BC17B3">
          <w:rPr>
            <w:rStyle w:val="Hyperlink"/>
            <w:rFonts w:ascii="Times New Roman" w:hAnsi="Times New Roman" w:cs="Times New Roman"/>
            <w:sz w:val="24"/>
            <w:szCs w:val="24"/>
          </w:rPr>
          <w:t>https://cases.justia.com/federal/district-courts/virginia/vaedce/3:2017cv00167/360316/92/0.pdf?ts=1527856286</w:t>
        </w:r>
      </w:hyperlink>
      <w:r w:rsidRPr="00BC17B3">
        <w:rPr>
          <w:rFonts w:ascii="Times New Roman" w:eastAsia="Times New Roman" w:hAnsi="Times New Roman" w:cs="Times New Roman"/>
          <w:sz w:val="24"/>
          <w:szCs w:val="24"/>
        </w:rPr>
        <w:t xml:space="preserve"> </w:t>
      </w:r>
    </w:p>
    <w:p w14:paraId="28FAF68E" w14:textId="77777777" w:rsidR="00F326E5" w:rsidRPr="00BC17B3" w:rsidRDefault="00F326E5" w:rsidP="00F326E5">
      <w:pPr>
        <w:spacing w:before="100" w:beforeAutospacing="1" w:after="100" w:afterAutospacing="1"/>
        <w:rPr>
          <w:rFonts w:ascii="Times New Roman" w:eastAsia="Times New Roman" w:hAnsi="Times New Roman"/>
          <w:b/>
          <w:sz w:val="24"/>
          <w:szCs w:val="24"/>
        </w:rPr>
      </w:pPr>
      <w:r w:rsidRPr="00BC17B3">
        <w:rPr>
          <w:rFonts w:ascii="Times New Roman" w:eastAsia="Times New Roman" w:hAnsi="Times New Roman"/>
          <w:b/>
          <w:sz w:val="24"/>
          <w:szCs w:val="24"/>
        </w:rPr>
        <w:t xml:space="preserve">Legal Lessons Learned: EMS in this case properly documented to unusual conditions they observed.  </w:t>
      </w:r>
    </w:p>
    <w:p w14:paraId="3ED15E15" w14:textId="77777777" w:rsidR="00F326E5" w:rsidRPr="00BC17B3" w:rsidRDefault="00F326E5" w:rsidP="00F326E5">
      <w:pPr>
        <w:spacing w:before="100" w:beforeAutospacing="1" w:after="100" w:afterAutospacing="1"/>
        <w:ind w:left="720"/>
        <w:rPr>
          <w:rFonts w:ascii="Times New Roman" w:eastAsia="Times New Roman" w:hAnsi="Times New Roman"/>
          <w:b/>
          <w:sz w:val="24"/>
          <w:szCs w:val="24"/>
        </w:rPr>
      </w:pPr>
      <w:r w:rsidRPr="00BC17B3">
        <w:rPr>
          <w:rFonts w:ascii="Times New Roman" w:eastAsia="Times New Roman" w:hAnsi="Times New Roman"/>
          <w:sz w:val="24"/>
          <w:szCs w:val="24"/>
        </w:rPr>
        <w:t xml:space="preserve">The U.S. Supreme Court has instructed judges to carefully screen reports of proposed “experts.”  Daubert v. Merrell Dow Pharms., Inc., 509 U.S. 579 (1993); Kumho Tire Co. v. Carmichael, 526 U.S. 137 (1999).  Federal Rules of Evidence were adopted to further clarify review of proposed expert written reports: </w:t>
      </w:r>
      <w:hyperlink r:id="rId2371" w:history="1">
        <w:r w:rsidRPr="00BC17B3">
          <w:rPr>
            <w:rStyle w:val="Hyperlink"/>
            <w:rFonts w:ascii="Times New Roman" w:hAnsi="Times New Roman"/>
            <w:sz w:val="24"/>
            <w:szCs w:val="24"/>
          </w:rPr>
          <w:t>https://www.law.cornell.edu/rules/frcp/rule_26</w:t>
        </w:r>
      </w:hyperlink>
      <w:r w:rsidRPr="00BC17B3">
        <w:rPr>
          <w:rFonts w:ascii="Times New Roman" w:eastAsia="Times New Roman" w:hAnsi="Times New Roman"/>
          <w:sz w:val="24"/>
          <w:szCs w:val="24"/>
        </w:rPr>
        <w:t xml:space="preserve"> </w:t>
      </w:r>
    </w:p>
    <w:p w14:paraId="011323D3" w14:textId="77777777" w:rsidR="00F326E5" w:rsidRPr="00BC17B3" w:rsidRDefault="00F326E5" w:rsidP="00F326E5">
      <w:pPr>
        <w:pStyle w:val="statutory-body-2em"/>
        <w:ind w:left="720"/>
      </w:pPr>
      <w:r w:rsidRPr="00BC17B3">
        <w:t xml:space="preserve">(B) </w:t>
      </w:r>
      <w:r w:rsidRPr="00BC17B3">
        <w:rPr>
          <w:rStyle w:val="Emphasis"/>
        </w:rPr>
        <w:t>Witnesses Who Must Provide a</w:t>
      </w:r>
      <w:r w:rsidRPr="00BC17B3">
        <w:t xml:space="preserve"> </w:t>
      </w:r>
      <w:r w:rsidRPr="00BC17B3">
        <w:rPr>
          <w:rStyle w:val="Emphasis"/>
        </w:rPr>
        <w:t>Written Report.</w:t>
      </w:r>
      <w:r w:rsidRPr="00BC17B3">
        <w:t xml:space="preserve"> Unless otherwise stipulated or ordered by the court, this disclosure must be accompanied by a written report—prepared and signed by the witness—if the witness is one retained or specially employed to provide expert testimony in the case or one whose duties as the party's employee regularly involve giving expert testimony. The report must contain:</w:t>
      </w:r>
    </w:p>
    <w:p w14:paraId="5652011C" w14:textId="77777777" w:rsidR="00F326E5" w:rsidRPr="00BC17B3" w:rsidRDefault="00F326E5" w:rsidP="00F326E5">
      <w:pPr>
        <w:pStyle w:val="statutory-body-3em"/>
        <w:ind w:left="720"/>
      </w:pPr>
      <w:r w:rsidRPr="00BC17B3">
        <w:t>(</w:t>
      </w:r>
      <w:proofErr w:type="spellStart"/>
      <w:r w:rsidRPr="00BC17B3">
        <w:t>i</w:t>
      </w:r>
      <w:proofErr w:type="spellEnd"/>
      <w:r w:rsidRPr="00BC17B3">
        <w:t>) a complete statement of all opinions the witness will express and the basis and reasons for them;</w:t>
      </w:r>
    </w:p>
    <w:p w14:paraId="23017680" w14:textId="77777777" w:rsidR="00F326E5" w:rsidRPr="00BC17B3" w:rsidRDefault="00F326E5" w:rsidP="00F326E5">
      <w:pPr>
        <w:pStyle w:val="statutory-body-3em"/>
        <w:ind w:firstLine="720"/>
      </w:pPr>
      <w:r w:rsidRPr="00BC17B3">
        <w:t>(ii) the facts or data considered by the witness in forming them;</w:t>
      </w:r>
    </w:p>
    <w:p w14:paraId="0A2BDDF3" w14:textId="77777777" w:rsidR="00F326E5" w:rsidRPr="00BC17B3" w:rsidRDefault="00F326E5" w:rsidP="00F326E5">
      <w:pPr>
        <w:pStyle w:val="statutory-body-3em"/>
        <w:ind w:left="720"/>
      </w:pPr>
      <w:r w:rsidRPr="00BC17B3">
        <w:t>(iii) any exhibits that will be used to summarize or support them;(iv) the witness's qualifications, including a list of all publications authored in the previous 10 years;</w:t>
      </w:r>
    </w:p>
    <w:p w14:paraId="4FEE77C3" w14:textId="77777777" w:rsidR="00F326E5" w:rsidRPr="00BC17B3" w:rsidRDefault="00F326E5" w:rsidP="00F326E5">
      <w:pPr>
        <w:pStyle w:val="statutory-body-3em"/>
        <w:ind w:left="720"/>
      </w:pPr>
      <w:r w:rsidRPr="00BC17B3">
        <w:t>(v) a list of all other cases in which, during the previous 4 years, the witness testified as an expert at trial or by deposition; and</w:t>
      </w:r>
    </w:p>
    <w:p w14:paraId="0A754E6F" w14:textId="77777777" w:rsidR="00F326E5" w:rsidRPr="00BC17B3" w:rsidRDefault="00F326E5" w:rsidP="00F326E5">
      <w:pPr>
        <w:pStyle w:val="statutory-body-3em"/>
        <w:ind w:firstLine="720"/>
      </w:pPr>
      <w:r w:rsidRPr="00BC17B3">
        <w:t xml:space="preserve">(vi) a statement of </w:t>
      </w:r>
      <w:proofErr w:type="gramStart"/>
      <w:r w:rsidRPr="00BC17B3">
        <w:t>the compensation</w:t>
      </w:r>
      <w:proofErr w:type="gramEnd"/>
      <w:r w:rsidRPr="00BC17B3">
        <w:t xml:space="preserve"> to be paid for the study and testimony in the case.</w:t>
      </w:r>
    </w:p>
    <w:bookmarkEnd w:id="548"/>
    <w:p w14:paraId="514E9C97" w14:textId="77777777" w:rsidR="00F326E5" w:rsidRPr="00BE5483" w:rsidRDefault="00F326E5" w:rsidP="00F326E5">
      <w:pPr>
        <w:ind w:left="720"/>
        <w:rPr>
          <w:rFonts w:eastAsia="Times New Roman"/>
          <w:sz w:val="24"/>
          <w:szCs w:val="24"/>
        </w:rPr>
      </w:pPr>
    </w:p>
    <w:p w14:paraId="6B70332B" w14:textId="0CD6810C" w:rsidR="00DE0F03" w:rsidRDefault="00DE0F03" w:rsidP="00DE0F03">
      <w:pPr>
        <w:pStyle w:val="NoSpacing"/>
        <w:rPr>
          <w:rFonts w:ascii="Arial Black" w:hAnsi="Arial Black"/>
          <w:sz w:val="24"/>
          <w:szCs w:val="24"/>
        </w:rPr>
      </w:pPr>
      <w:r>
        <w:rPr>
          <w:rFonts w:ascii="Arial Black" w:hAnsi="Arial Black"/>
          <w:sz w:val="24"/>
          <w:szCs w:val="24"/>
        </w:rPr>
        <w:t>13-5</w:t>
      </w:r>
    </w:p>
    <w:p w14:paraId="34A0A897" w14:textId="77777777" w:rsidR="0048537E" w:rsidRDefault="0048537E" w:rsidP="00F326E5">
      <w:pPr>
        <w:rPr>
          <w:sz w:val="24"/>
          <w:szCs w:val="24"/>
        </w:rPr>
      </w:pPr>
    </w:p>
    <w:p w14:paraId="4FDA2366" w14:textId="3D496831" w:rsidR="00F326E5" w:rsidRPr="00F65F37" w:rsidRDefault="00F326E5" w:rsidP="00F326E5">
      <w:pPr>
        <w:rPr>
          <w:rFonts w:ascii="Arial Black" w:hAnsi="Arial Black"/>
          <w:sz w:val="24"/>
          <w:szCs w:val="24"/>
        </w:rPr>
      </w:pPr>
      <w:bookmarkStart w:id="549" w:name="_Hlk41154942"/>
      <w:bookmarkStart w:id="550" w:name="_Hlk7347398"/>
      <w:r w:rsidRPr="00F65F37">
        <w:rPr>
          <w:rFonts w:ascii="Arial Black" w:hAnsi="Arial Black"/>
          <w:sz w:val="28"/>
          <w:szCs w:val="28"/>
        </w:rPr>
        <w:t xml:space="preserve">OH: 911 </w:t>
      </w:r>
      <w:r>
        <w:rPr>
          <w:rFonts w:ascii="Arial Black" w:hAnsi="Arial Black"/>
          <w:sz w:val="28"/>
          <w:szCs w:val="28"/>
        </w:rPr>
        <w:t>“</w:t>
      </w:r>
      <w:r w:rsidRPr="00F65F37">
        <w:rPr>
          <w:rFonts w:ascii="Arial Black" w:hAnsi="Arial Black"/>
          <w:sz w:val="28"/>
          <w:szCs w:val="28"/>
        </w:rPr>
        <w:t>G</w:t>
      </w:r>
      <w:r>
        <w:rPr>
          <w:rFonts w:ascii="Arial Black" w:hAnsi="Arial Black"/>
          <w:sz w:val="28"/>
          <w:szCs w:val="28"/>
        </w:rPr>
        <w:t>OOD SAMARITAN” LAW – DRUG OVERDOSE, CAN AVOID PROSECUTION IF CALL 911</w:t>
      </w:r>
      <w:r w:rsidR="0048537E">
        <w:rPr>
          <w:rFonts w:ascii="Arial Black" w:hAnsi="Arial Black"/>
          <w:sz w:val="28"/>
          <w:szCs w:val="28"/>
        </w:rPr>
        <w:t>, GET TREATMENT</w:t>
      </w:r>
      <w:r>
        <w:rPr>
          <w:rFonts w:ascii="Arial Black" w:hAnsi="Arial Black"/>
          <w:sz w:val="28"/>
          <w:szCs w:val="28"/>
        </w:rPr>
        <w:t xml:space="preserve"> </w:t>
      </w:r>
      <w:r w:rsidRPr="00F65F37">
        <w:rPr>
          <w:sz w:val="24"/>
          <w:szCs w:val="24"/>
        </w:rPr>
        <w:t>[also filed, Chap. 18]</w:t>
      </w:r>
    </w:p>
    <w:p w14:paraId="7E8CD206" w14:textId="77777777" w:rsidR="00F326E5" w:rsidRPr="00BC17B3" w:rsidRDefault="00F326E5" w:rsidP="00F326E5">
      <w:pPr>
        <w:rPr>
          <w:rFonts w:ascii="Times New Roman" w:eastAsia="Times New Roman" w:hAnsi="Times New Roman"/>
          <w:sz w:val="24"/>
          <w:szCs w:val="24"/>
        </w:rPr>
      </w:pPr>
      <w:r w:rsidRPr="00BC17B3">
        <w:rPr>
          <w:rFonts w:ascii="Times New Roman" w:eastAsia="Times New Roman" w:hAnsi="Times New Roman"/>
          <w:sz w:val="24"/>
          <w:szCs w:val="24"/>
        </w:rPr>
        <w:t xml:space="preserve">On May 18, 2018, in </w:t>
      </w:r>
      <w:r w:rsidRPr="00BC17B3">
        <w:rPr>
          <w:rFonts w:ascii="Times New Roman" w:eastAsia="Times New Roman" w:hAnsi="Times New Roman"/>
          <w:sz w:val="24"/>
          <w:szCs w:val="24"/>
          <w:u w:val="single"/>
        </w:rPr>
        <w:t>State of Ohio v. Andrew Melms</w:t>
      </w:r>
      <w:r w:rsidRPr="00BC17B3">
        <w:rPr>
          <w:rFonts w:ascii="Times New Roman" w:eastAsia="Times New Roman" w:hAnsi="Times New Roman"/>
          <w:sz w:val="24"/>
          <w:szCs w:val="24"/>
        </w:rPr>
        <w:t xml:space="preserve">, the Court of Appeals For Second District (Montgomery County), held (3 to 0) that an overdose victim, arrested with </w:t>
      </w:r>
      <w:r w:rsidRPr="00BC17B3">
        <w:rPr>
          <w:rFonts w:ascii="Times New Roman" w:hAnsi="Times New Roman"/>
          <w:sz w:val="24"/>
          <w:szCs w:val="24"/>
        </w:rPr>
        <w:t>six gel caps of fentanyl, was not eligible for immunity; he was in jail and did not enroll in treatment within the 30-day limit set under the new Ohio statute enacted in 2016.  The Court urged the Ohio General Assembly to modify the law: “</w:t>
      </w:r>
      <w:r w:rsidRPr="00BC17B3">
        <w:rPr>
          <w:rFonts w:ascii="Times New Roman" w:eastAsia="Times New Roman" w:hAnsi="Times New Roman"/>
          <w:sz w:val="24"/>
          <w:szCs w:val="24"/>
        </w:rPr>
        <w:t xml:space="preserve">Granted Melms seemingly was an ideal candidate for immunity, but for the clear and unambiguous 30-day window set forth by the legislature. The remedy lies with the </w:t>
      </w:r>
      <w:proofErr w:type="gramStart"/>
      <w:r w:rsidRPr="00BC17B3">
        <w:rPr>
          <w:rFonts w:ascii="Times New Roman" w:eastAsia="Times New Roman" w:hAnsi="Times New Roman"/>
          <w:sz w:val="24"/>
          <w:szCs w:val="24"/>
        </w:rPr>
        <w:t>legislature to</w:t>
      </w:r>
      <w:proofErr w:type="gramEnd"/>
      <w:r w:rsidRPr="00BC17B3">
        <w:rPr>
          <w:rFonts w:ascii="Times New Roman" w:eastAsia="Times New Roman" w:hAnsi="Times New Roman"/>
          <w:sz w:val="24"/>
          <w:szCs w:val="24"/>
        </w:rPr>
        <w:t xml:space="preserve"> either eliminate the 30-day restriction or </w:t>
      </w:r>
      <w:proofErr w:type="gramStart"/>
      <w:r w:rsidRPr="00BC17B3">
        <w:rPr>
          <w:rFonts w:ascii="Times New Roman" w:eastAsia="Times New Roman" w:hAnsi="Times New Roman"/>
          <w:sz w:val="24"/>
          <w:szCs w:val="24"/>
        </w:rPr>
        <w:t>to provide</w:t>
      </w:r>
      <w:proofErr w:type="gramEnd"/>
      <w:r w:rsidRPr="00BC17B3">
        <w:rPr>
          <w:rFonts w:ascii="Times New Roman" w:eastAsia="Times New Roman" w:hAnsi="Times New Roman"/>
          <w:sz w:val="24"/>
          <w:szCs w:val="24"/>
        </w:rPr>
        <w:t xml:space="preserve"> for the exercise of judicial discretion, particularly in those cases of the most vulnerable, often indigent, incarcerated individuals who are unaware of the time limit until after counsel is appointed on the drug offense. In our view, an immediate legislative fix is warranted so that this legislation achieves its laudable </w:t>
      </w:r>
      <w:proofErr w:type="gramStart"/>
      <w:r w:rsidRPr="00BC17B3">
        <w:rPr>
          <w:rFonts w:ascii="Times New Roman" w:eastAsia="Times New Roman" w:hAnsi="Times New Roman"/>
          <w:sz w:val="24"/>
          <w:szCs w:val="24"/>
        </w:rPr>
        <w:t>goals.”</w:t>
      </w:r>
      <w:proofErr w:type="gramEnd"/>
    </w:p>
    <w:p w14:paraId="7B622570" w14:textId="77777777" w:rsidR="00F326E5" w:rsidRPr="00BC17B3" w:rsidRDefault="00F326E5" w:rsidP="00F326E5">
      <w:pPr>
        <w:rPr>
          <w:rStyle w:val="Hyperlink"/>
          <w:rFonts w:ascii="Times New Roman" w:hAnsi="Times New Roman"/>
          <w:b/>
          <w:sz w:val="24"/>
          <w:szCs w:val="24"/>
        </w:rPr>
      </w:pPr>
      <w:hyperlink r:id="rId2372" w:history="1">
        <w:r w:rsidRPr="00BC17B3">
          <w:rPr>
            <w:rStyle w:val="Hyperlink"/>
            <w:rFonts w:ascii="Times New Roman" w:hAnsi="Times New Roman"/>
            <w:sz w:val="24"/>
            <w:szCs w:val="24"/>
          </w:rPr>
          <w:t>https://cases.justia.com/ohio/second-district-court-of-appeals/2018-27685.pdf?ts=1526679598</w:t>
        </w:r>
      </w:hyperlink>
    </w:p>
    <w:p w14:paraId="7F43443A" w14:textId="77777777" w:rsidR="00F326E5" w:rsidRPr="00BC17B3" w:rsidRDefault="00F326E5" w:rsidP="00F326E5">
      <w:pPr>
        <w:rPr>
          <w:rFonts w:ascii="Times New Roman" w:eastAsia="Times New Roman" w:hAnsi="Times New Roman"/>
          <w:b/>
          <w:sz w:val="24"/>
          <w:szCs w:val="24"/>
        </w:rPr>
      </w:pPr>
      <w:r w:rsidRPr="00BC17B3">
        <w:rPr>
          <w:rFonts w:ascii="Times New Roman" w:eastAsia="Times New Roman" w:hAnsi="Times New Roman"/>
          <w:b/>
          <w:sz w:val="24"/>
          <w:szCs w:val="24"/>
        </w:rPr>
        <w:t xml:space="preserve">Legal Lessons Learned:  The “911 Good Samaritan” immunity statute is to encourage drug users and their associates to call 911 for an overdose, and to promptly seek treatment (can receive immunity only twice). </w:t>
      </w:r>
    </w:p>
    <w:p w14:paraId="529D5FBA" w14:textId="77777777" w:rsidR="00F326E5" w:rsidRPr="00BC17B3" w:rsidRDefault="00F326E5" w:rsidP="00F326E5">
      <w:pPr>
        <w:ind w:firstLine="720"/>
        <w:rPr>
          <w:rFonts w:ascii="Times New Roman" w:eastAsia="Times New Roman" w:hAnsi="Times New Roman"/>
          <w:sz w:val="24"/>
          <w:szCs w:val="24"/>
        </w:rPr>
      </w:pPr>
      <w:r w:rsidRPr="00BC17B3">
        <w:rPr>
          <w:rFonts w:ascii="Times New Roman" w:eastAsia="Times New Roman" w:hAnsi="Times New Roman"/>
          <w:sz w:val="24"/>
          <w:szCs w:val="24"/>
        </w:rPr>
        <w:t>Note: 911 Dispatchers ae required to inform overdose patients about the new law:</w:t>
      </w:r>
    </w:p>
    <w:p w14:paraId="7A6E49BE"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R.C. 128.04 provides as follows: </w:t>
      </w:r>
    </w:p>
    <w:p w14:paraId="741002CB"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(A) Public safety answering point personnel who are certified as emergency service </w:t>
      </w:r>
    </w:p>
    <w:p w14:paraId="254820DB"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telecommunicators under section 4742.03 of the Revised Code shall receive training in </w:t>
      </w:r>
    </w:p>
    <w:p w14:paraId="5B2135D1" w14:textId="77777777" w:rsidR="00F326E5" w:rsidRPr="00BC17B3" w:rsidRDefault="00F326E5" w:rsidP="00F326E5">
      <w:pPr>
        <w:pStyle w:val="NoSpacing"/>
        <w:ind w:left="720"/>
        <w:rPr>
          <w:rFonts w:ascii="Times New Roman" w:hAnsi="Times New Roman"/>
          <w:sz w:val="24"/>
          <w:szCs w:val="24"/>
        </w:rPr>
      </w:pPr>
      <w:proofErr w:type="gramStart"/>
      <w:r w:rsidRPr="00BC17B3">
        <w:rPr>
          <w:rFonts w:ascii="Times New Roman" w:hAnsi="Times New Roman"/>
          <w:sz w:val="24"/>
          <w:szCs w:val="24"/>
        </w:rPr>
        <w:t>informing</w:t>
      </w:r>
      <w:proofErr w:type="gramEnd"/>
      <w:r w:rsidRPr="00BC17B3">
        <w:rPr>
          <w:rFonts w:ascii="Times New Roman" w:hAnsi="Times New Roman"/>
          <w:sz w:val="24"/>
          <w:szCs w:val="24"/>
        </w:rPr>
        <w:t xml:space="preserve"> individuals who call about an apparent drug overdose about the immunity from prosecution for a minor drug possession offense created by section 2925.11 of the Revised Code. </w:t>
      </w:r>
    </w:p>
    <w:p w14:paraId="241A7EF9"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(B) Public safety answering point personnel who receive a call about an apparent drug </w:t>
      </w:r>
    </w:p>
    <w:p w14:paraId="2785ED73"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overdose shall make reasonable efforts, upon the caller's inquiry, to inform the caller </w:t>
      </w:r>
    </w:p>
    <w:p w14:paraId="57F32A32"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about the immunity from prosecution for a minor drug possession offense created </w:t>
      </w:r>
    </w:p>
    <w:p w14:paraId="26A69CB4" w14:textId="77777777" w:rsidR="00F326E5" w:rsidRPr="00BC17B3" w:rsidRDefault="00F326E5" w:rsidP="00F326E5">
      <w:pPr>
        <w:pStyle w:val="NoSpacing"/>
        <w:ind w:firstLine="720"/>
        <w:rPr>
          <w:rFonts w:ascii="Times New Roman" w:hAnsi="Times New Roman"/>
          <w:sz w:val="24"/>
          <w:szCs w:val="24"/>
        </w:rPr>
      </w:pPr>
      <w:r w:rsidRPr="00BC17B3">
        <w:rPr>
          <w:rFonts w:ascii="Times New Roman" w:hAnsi="Times New Roman"/>
          <w:sz w:val="24"/>
          <w:szCs w:val="24"/>
        </w:rPr>
        <w:t xml:space="preserve">by section 2925.11 of the Revised Code. </w:t>
      </w:r>
    </w:p>
    <w:p w14:paraId="60D66561" w14:textId="77777777" w:rsidR="00F326E5" w:rsidRPr="00BC17B3" w:rsidRDefault="00F326E5" w:rsidP="00F326E5">
      <w:pPr>
        <w:pStyle w:val="NoSpacing"/>
        <w:rPr>
          <w:rFonts w:ascii="Times New Roman" w:hAnsi="Times New Roman"/>
          <w:sz w:val="24"/>
          <w:szCs w:val="24"/>
        </w:rPr>
      </w:pPr>
    </w:p>
    <w:bookmarkEnd w:id="549"/>
    <w:p w14:paraId="00581AC2" w14:textId="77777777" w:rsidR="00BC17B3" w:rsidRDefault="00BC17B3" w:rsidP="00F326E5">
      <w:pPr>
        <w:pStyle w:val="NoSpacing"/>
        <w:rPr>
          <w:rFonts w:ascii="Arial Black" w:hAnsi="Arial Black"/>
          <w:sz w:val="24"/>
          <w:szCs w:val="24"/>
        </w:rPr>
      </w:pPr>
    </w:p>
    <w:p w14:paraId="1BFC18BA" w14:textId="5AC63124" w:rsidR="00F326E5" w:rsidRDefault="00DE0F03" w:rsidP="00F326E5">
      <w:pPr>
        <w:pStyle w:val="NoSpacing"/>
        <w:rPr>
          <w:rFonts w:ascii="Arial Black" w:hAnsi="Arial Black"/>
          <w:sz w:val="24"/>
          <w:szCs w:val="24"/>
        </w:rPr>
      </w:pPr>
      <w:r>
        <w:rPr>
          <w:rFonts w:ascii="Arial Black" w:hAnsi="Arial Black"/>
          <w:sz w:val="24"/>
          <w:szCs w:val="24"/>
        </w:rPr>
        <w:t>13-4</w:t>
      </w:r>
    </w:p>
    <w:p w14:paraId="4FF1041C" w14:textId="77777777" w:rsidR="00DE0F03" w:rsidRPr="00BE5483" w:rsidRDefault="00DE0F03" w:rsidP="00F326E5">
      <w:pPr>
        <w:pStyle w:val="NoSpacing"/>
        <w:rPr>
          <w:rFonts w:ascii="Arial Black" w:hAnsi="Arial Black"/>
          <w:sz w:val="24"/>
          <w:szCs w:val="24"/>
        </w:rPr>
      </w:pPr>
    </w:p>
    <w:p w14:paraId="314D4CEC" w14:textId="442F02C8" w:rsidR="00F326E5" w:rsidRPr="00F65F37" w:rsidRDefault="00F326E5" w:rsidP="00F326E5">
      <w:pPr>
        <w:pStyle w:val="NoSpacing"/>
        <w:rPr>
          <w:rFonts w:ascii="Arial Black" w:eastAsia="Times New Roman" w:hAnsi="Arial Black"/>
          <w:sz w:val="28"/>
          <w:szCs w:val="28"/>
        </w:rPr>
      </w:pPr>
      <w:bookmarkStart w:id="551" w:name="_Hlk515212934"/>
      <w:bookmarkStart w:id="552" w:name="_Hlk7347462"/>
      <w:bookmarkEnd w:id="550"/>
      <w:r w:rsidRPr="00F65F37">
        <w:rPr>
          <w:rFonts w:ascii="Arial Black" w:eastAsia="Times New Roman" w:hAnsi="Arial Black"/>
          <w:sz w:val="28"/>
          <w:szCs w:val="28"/>
        </w:rPr>
        <w:t xml:space="preserve">MI: DYING DECLARATION </w:t>
      </w:r>
      <w:r>
        <w:rPr>
          <w:rFonts w:ascii="Arial Black" w:eastAsia="Times New Roman" w:hAnsi="Arial Black"/>
          <w:sz w:val="28"/>
          <w:szCs w:val="28"/>
        </w:rPr>
        <w:t xml:space="preserve">BY VICTIM </w:t>
      </w:r>
      <w:r w:rsidRPr="00F65F37">
        <w:rPr>
          <w:rFonts w:ascii="Arial Black" w:eastAsia="Times New Roman" w:hAnsi="Arial Black"/>
          <w:sz w:val="28"/>
          <w:szCs w:val="28"/>
        </w:rPr>
        <w:t>TO PARAMEDIC – ADMISSIBLE IN MURDER TRIAL</w:t>
      </w:r>
    </w:p>
    <w:bookmarkEnd w:id="551"/>
    <w:p w14:paraId="7D8CB9CB" w14:textId="77777777" w:rsidR="00F326E5" w:rsidRPr="00BC17B3" w:rsidRDefault="00F326E5" w:rsidP="00F326E5">
      <w:pPr>
        <w:rPr>
          <w:rFonts w:ascii="Times New Roman" w:eastAsia="Times New Roman" w:hAnsi="Times New Roman"/>
          <w:sz w:val="24"/>
          <w:szCs w:val="24"/>
        </w:rPr>
      </w:pPr>
      <w:r w:rsidRPr="00BC17B3">
        <w:rPr>
          <w:rFonts w:ascii="Times New Roman" w:eastAsia="Times New Roman" w:hAnsi="Times New Roman"/>
          <w:sz w:val="24"/>
          <w:szCs w:val="24"/>
        </w:rPr>
        <w:t xml:space="preserve">On April 19, 2018, in </w:t>
      </w:r>
      <w:r w:rsidRPr="00BC17B3">
        <w:rPr>
          <w:rFonts w:ascii="Times New Roman" w:eastAsia="Times New Roman" w:hAnsi="Times New Roman"/>
          <w:sz w:val="24"/>
          <w:szCs w:val="24"/>
          <w:u w:val="single"/>
        </w:rPr>
        <w:t>State of Michigan v. Christopher Tank</w:t>
      </w:r>
      <w:r w:rsidRPr="00BC17B3">
        <w:rPr>
          <w:rFonts w:ascii="Times New Roman" w:eastAsia="Times New Roman" w:hAnsi="Times New Roman"/>
          <w:sz w:val="24"/>
          <w:szCs w:val="24"/>
        </w:rPr>
        <w:t xml:space="preserve">, the State of Michigan Court of Appeals, upheld the jury conviction (3 to 0), holding “there was no plain error in admitting the victim’s dying declaration identifying defendant as his assailant.”  </w:t>
      </w:r>
      <w:hyperlink r:id="rId2373" w:history="1">
        <w:r w:rsidRPr="00BC17B3">
          <w:rPr>
            <w:rStyle w:val="Hyperlink"/>
            <w:rFonts w:ascii="Times New Roman" w:hAnsi="Times New Roman"/>
            <w:sz w:val="24"/>
            <w:szCs w:val="24"/>
          </w:rPr>
          <w:t>https://cases.justia.com/michigan/court-of-appeals-unpublished/2018-335366.pdf?ts=1524229247</w:t>
        </w:r>
      </w:hyperlink>
      <w:r w:rsidRPr="00BC17B3">
        <w:rPr>
          <w:rFonts w:ascii="Times New Roman" w:eastAsia="Times New Roman" w:hAnsi="Times New Roman"/>
          <w:sz w:val="24"/>
          <w:szCs w:val="24"/>
        </w:rPr>
        <w:t xml:space="preserve"> </w:t>
      </w:r>
    </w:p>
    <w:p w14:paraId="1AC0AC91" w14:textId="77777777" w:rsidR="00F326E5" w:rsidRPr="00BC17B3" w:rsidRDefault="00F326E5" w:rsidP="00F326E5">
      <w:pPr>
        <w:rPr>
          <w:rFonts w:ascii="Times New Roman" w:eastAsia="Times New Roman" w:hAnsi="Times New Roman"/>
          <w:b/>
          <w:sz w:val="24"/>
          <w:szCs w:val="24"/>
        </w:rPr>
      </w:pPr>
      <w:r w:rsidRPr="00BC17B3">
        <w:rPr>
          <w:rFonts w:ascii="Times New Roman" w:eastAsia="Times New Roman" w:hAnsi="Times New Roman"/>
          <w:b/>
          <w:sz w:val="24"/>
          <w:szCs w:val="24"/>
        </w:rPr>
        <w:t>Legal Lessons Learned: Dying declarations are admissible; include victim’s exact words in “quotes” in the EMS run report.</w:t>
      </w:r>
    </w:p>
    <w:bookmarkEnd w:id="552"/>
    <w:p w14:paraId="6CA8E80D" w14:textId="77777777" w:rsidR="00F326E5" w:rsidRDefault="00F326E5" w:rsidP="00F326E5">
      <w:pPr>
        <w:rPr>
          <w:rFonts w:eastAsia="Times New Roman"/>
          <w:sz w:val="24"/>
          <w:szCs w:val="24"/>
        </w:rPr>
      </w:pPr>
    </w:p>
    <w:p w14:paraId="014DEED9" w14:textId="5179C159" w:rsidR="00DE0F03" w:rsidRDefault="00DE0F03" w:rsidP="00DE0F03">
      <w:pPr>
        <w:rPr>
          <w:b/>
          <w:szCs w:val="24"/>
        </w:rPr>
      </w:pPr>
      <w:bookmarkStart w:id="553" w:name="_Hlk7347500"/>
      <w:r>
        <w:rPr>
          <w:rFonts w:ascii="Arial Black" w:hAnsi="Arial Black"/>
          <w:b/>
          <w:sz w:val="24"/>
          <w:szCs w:val="24"/>
        </w:rPr>
        <w:t>13-3</w:t>
      </w:r>
    </w:p>
    <w:p w14:paraId="26DB2F76" w14:textId="4134DF2F" w:rsidR="00F326E5" w:rsidRPr="00F65F37" w:rsidRDefault="00F326E5" w:rsidP="00F326E5">
      <w:pPr>
        <w:rPr>
          <w:rFonts w:eastAsia="Times New Roman"/>
          <w:sz w:val="28"/>
          <w:szCs w:val="28"/>
        </w:rPr>
      </w:pPr>
      <w:bookmarkStart w:id="554" w:name="_Hlk41155031"/>
      <w:r w:rsidRPr="00F65F37">
        <w:rPr>
          <w:rFonts w:ascii="Arial Black" w:eastAsia="Times New Roman" w:hAnsi="Arial Black"/>
          <w:sz w:val="28"/>
          <w:szCs w:val="28"/>
        </w:rPr>
        <w:t xml:space="preserve">MI:  CPR – NO NEED TO PERFORM WHEN </w:t>
      </w:r>
      <w:r>
        <w:rPr>
          <w:rFonts w:ascii="Arial Black" w:eastAsia="Times New Roman" w:hAnsi="Arial Black"/>
          <w:sz w:val="28"/>
          <w:szCs w:val="28"/>
        </w:rPr>
        <w:t xml:space="preserve">PATIENT CLEARLY DEAD - </w:t>
      </w:r>
      <w:r w:rsidRPr="00F65F37">
        <w:rPr>
          <w:rFonts w:ascii="Arial Black" w:eastAsia="Times New Roman" w:hAnsi="Arial Black"/>
          <w:sz w:val="28"/>
          <w:szCs w:val="28"/>
        </w:rPr>
        <w:t>LIVIDITY, NO PULSE</w:t>
      </w:r>
    </w:p>
    <w:p w14:paraId="41B89BB5" w14:textId="77777777" w:rsidR="00F326E5" w:rsidRPr="00BC17B3" w:rsidRDefault="00F326E5" w:rsidP="00F326E5">
      <w:pPr>
        <w:rPr>
          <w:rFonts w:ascii="Times New Roman" w:hAnsi="Times New Roman"/>
          <w:sz w:val="24"/>
          <w:szCs w:val="24"/>
        </w:rPr>
      </w:pPr>
      <w:r w:rsidRPr="00BC17B3">
        <w:rPr>
          <w:rFonts w:ascii="Times New Roman" w:eastAsia="Times New Roman" w:hAnsi="Times New Roman"/>
          <w:sz w:val="24"/>
          <w:szCs w:val="24"/>
        </w:rPr>
        <w:t xml:space="preserve">On April 12, 2018, in </w:t>
      </w:r>
      <w:r w:rsidRPr="00BC17B3">
        <w:rPr>
          <w:rFonts w:ascii="Times New Roman" w:eastAsia="Times New Roman" w:hAnsi="Times New Roman"/>
          <w:sz w:val="24"/>
          <w:szCs w:val="24"/>
          <w:u w:val="single"/>
        </w:rPr>
        <w:t>Eusebio Saldana v. Nathan Smith and Sanilac County Sheriff’s Office</w:t>
      </w:r>
      <w:r w:rsidRPr="00BC17B3">
        <w:rPr>
          <w:rFonts w:ascii="Times New Roman" w:eastAsia="Times New Roman" w:hAnsi="Times New Roman"/>
          <w:sz w:val="24"/>
          <w:szCs w:val="24"/>
        </w:rPr>
        <w:t>, the State of Michigan Court of Appeals held (3 to 0; unpublished decision) that the police officer “</w:t>
      </w:r>
      <w:r w:rsidRPr="00BC17B3">
        <w:rPr>
          <w:rFonts w:ascii="Times New Roman" w:hAnsi="Times New Roman"/>
          <w:sz w:val="24"/>
          <w:szCs w:val="24"/>
        </w:rPr>
        <w:t xml:space="preserve">exercised his discretion based on his experience and training in identifying Michael's condition and acting according to those conclusions.”  </w:t>
      </w:r>
      <w:hyperlink r:id="rId2374" w:history="1">
        <w:r w:rsidRPr="00BC17B3">
          <w:rPr>
            <w:rStyle w:val="Hyperlink"/>
            <w:rFonts w:ascii="Times New Roman" w:hAnsi="Times New Roman"/>
            <w:sz w:val="24"/>
            <w:szCs w:val="24"/>
          </w:rPr>
          <w:t>https://scholar.google.com/scholar_case?case=10284773024569378667&amp;hl=en&amp;as_sdt=6&amp;as_vis=1&amp;oi=scholarr</w:t>
        </w:r>
      </w:hyperlink>
      <w:r w:rsidRPr="00BC17B3">
        <w:rPr>
          <w:rFonts w:ascii="Times New Roman" w:hAnsi="Times New Roman"/>
          <w:sz w:val="24"/>
          <w:szCs w:val="24"/>
        </w:rPr>
        <w:t xml:space="preserve"> </w:t>
      </w:r>
    </w:p>
    <w:p w14:paraId="623A406D" w14:textId="77777777" w:rsidR="00F326E5" w:rsidRPr="00BC17B3" w:rsidRDefault="00F326E5" w:rsidP="00F326E5">
      <w:pPr>
        <w:rPr>
          <w:rFonts w:ascii="Times New Roman" w:hAnsi="Times New Roman"/>
          <w:b/>
          <w:sz w:val="24"/>
          <w:szCs w:val="24"/>
        </w:rPr>
      </w:pPr>
      <w:r w:rsidRPr="00BC17B3">
        <w:rPr>
          <w:rFonts w:ascii="Times New Roman" w:hAnsi="Times New Roman"/>
          <w:b/>
          <w:sz w:val="24"/>
          <w:szCs w:val="24"/>
        </w:rPr>
        <w:t>Legal Lessons Learned:  Michigan statues protect police &amp; EMS from liability, unless proof of gross negligence.</w:t>
      </w:r>
    </w:p>
    <w:bookmarkEnd w:id="553"/>
    <w:bookmarkEnd w:id="554"/>
    <w:p w14:paraId="6FC66EFC" w14:textId="77777777" w:rsidR="00F326E5" w:rsidRDefault="00F326E5" w:rsidP="00F326E5">
      <w:pPr>
        <w:rPr>
          <w:rFonts w:eastAsia="Times New Roman"/>
          <w:sz w:val="24"/>
          <w:szCs w:val="24"/>
        </w:rPr>
      </w:pPr>
    </w:p>
    <w:p w14:paraId="30B2109F" w14:textId="07A43293" w:rsidR="00DE0F03" w:rsidRDefault="00DE0F03" w:rsidP="00DE0F03">
      <w:pPr>
        <w:rPr>
          <w:b/>
          <w:szCs w:val="24"/>
        </w:rPr>
      </w:pPr>
      <w:bookmarkStart w:id="555" w:name="_Hlk515213164"/>
      <w:r>
        <w:rPr>
          <w:rFonts w:ascii="Arial Black" w:hAnsi="Arial Black"/>
          <w:b/>
          <w:sz w:val="24"/>
          <w:szCs w:val="24"/>
        </w:rPr>
        <w:t>13-2</w:t>
      </w:r>
    </w:p>
    <w:p w14:paraId="57D14077" w14:textId="77777777" w:rsidR="00F326E5" w:rsidRDefault="00F326E5" w:rsidP="00F326E5">
      <w:pPr>
        <w:pStyle w:val="NoSpacing"/>
        <w:rPr>
          <w:sz w:val="24"/>
          <w:szCs w:val="24"/>
        </w:rPr>
      </w:pPr>
    </w:p>
    <w:p w14:paraId="11A30793" w14:textId="0FEF194E" w:rsidR="00F326E5" w:rsidRDefault="00F326E5" w:rsidP="00F326E5">
      <w:pPr>
        <w:pStyle w:val="NoSpacing"/>
        <w:rPr>
          <w:rFonts w:ascii="Arial Black" w:hAnsi="Arial Black"/>
          <w:b/>
          <w:sz w:val="28"/>
          <w:szCs w:val="28"/>
        </w:rPr>
      </w:pPr>
      <w:bookmarkStart w:id="556" w:name="_Hlk7347620"/>
      <w:r w:rsidRPr="00B018B0">
        <w:rPr>
          <w:rFonts w:ascii="Arial Black" w:hAnsi="Arial Black"/>
          <w:b/>
          <w:sz w:val="28"/>
          <w:szCs w:val="28"/>
        </w:rPr>
        <w:t>OH</w:t>
      </w:r>
      <w:r>
        <w:rPr>
          <w:rFonts w:ascii="Arial Black" w:hAnsi="Arial Black"/>
          <w:b/>
          <w:sz w:val="28"/>
          <w:szCs w:val="28"/>
        </w:rPr>
        <w:t xml:space="preserve">: </w:t>
      </w:r>
      <w:r w:rsidRPr="00B018B0">
        <w:rPr>
          <w:rFonts w:ascii="Arial Black" w:hAnsi="Arial Black"/>
          <w:b/>
          <w:sz w:val="28"/>
          <w:szCs w:val="28"/>
        </w:rPr>
        <w:t xml:space="preserve"> DRUNK DRIVER </w:t>
      </w:r>
      <w:r>
        <w:rPr>
          <w:rFonts w:ascii="Arial Black" w:hAnsi="Arial Black"/>
          <w:b/>
          <w:sz w:val="28"/>
          <w:szCs w:val="28"/>
        </w:rPr>
        <w:t xml:space="preserve">- </w:t>
      </w:r>
      <w:r w:rsidRPr="00B018B0">
        <w:rPr>
          <w:rFonts w:ascii="Arial Black" w:hAnsi="Arial Black"/>
          <w:b/>
          <w:sz w:val="28"/>
          <w:szCs w:val="28"/>
        </w:rPr>
        <w:t xml:space="preserve">URINE </w:t>
      </w:r>
      <w:r>
        <w:rPr>
          <w:rFonts w:ascii="Arial Black" w:hAnsi="Arial Black"/>
          <w:b/>
          <w:sz w:val="28"/>
          <w:szCs w:val="28"/>
        </w:rPr>
        <w:t xml:space="preserve">/ </w:t>
      </w:r>
      <w:r w:rsidRPr="00B018B0">
        <w:rPr>
          <w:rFonts w:ascii="Arial Black" w:hAnsi="Arial Black"/>
          <w:b/>
          <w:sz w:val="28"/>
          <w:szCs w:val="28"/>
        </w:rPr>
        <w:t xml:space="preserve">BLOOD TESTS </w:t>
      </w:r>
      <w:r>
        <w:rPr>
          <w:rFonts w:ascii="Arial Black" w:hAnsi="Arial Black"/>
          <w:b/>
          <w:sz w:val="28"/>
          <w:szCs w:val="28"/>
        </w:rPr>
        <w:t>IN E</w:t>
      </w:r>
      <w:r w:rsidR="0048537E">
        <w:rPr>
          <w:rFonts w:ascii="Arial Black" w:hAnsi="Arial Black"/>
          <w:b/>
          <w:sz w:val="28"/>
          <w:szCs w:val="28"/>
        </w:rPr>
        <w:t>MERGENCY ROOM BY ORDERS OF PHYSICIAN</w:t>
      </w:r>
      <w:r>
        <w:rPr>
          <w:rFonts w:ascii="Arial Black" w:hAnsi="Arial Black"/>
          <w:b/>
          <w:sz w:val="28"/>
          <w:szCs w:val="28"/>
        </w:rPr>
        <w:t xml:space="preserve"> - </w:t>
      </w:r>
      <w:r w:rsidRPr="00B018B0">
        <w:rPr>
          <w:rFonts w:ascii="Arial Black" w:hAnsi="Arial Black"/>
          <w:b/>
          <w:sz w:val="28"/>
          <w:szCs w:val="28"/>
        </w:rPr>
        <w:t>NO 4</w:t>
      </w:r>
      <w:r w:rsidRPr="00B018B0">
        <w:rPr>
          <w:rFonts w:ascii="Arial Black" w:hAnsi="Arial Black"/>
          <w:b/>
          <w:sz w:val="28"/>
          <w:szCs w:val="28"/>
          <w:vertAlign w:val="superscript"/>
        </w:rPr>
        <w:t>TH</w:t>
      </w:r>
      <w:r w:rsidRPr="00B018B0">
        <w:rPr>
          <w:rFonts w:ascii="Arial Black" w:hAnsi="Arial Black"/>
          <w:b/>
          <w:sz w:val="28"/>
          <w:szCs w:val="28"/>
        </w:rPr>
        <w:t xml:space="preserve"> AMENDMENT VIOL</w:t>
      </w:r>
      <w:r w:rsidR="0048537E">
        <w:rPr>
          <w:rFonts w:ascii="Arial Black" w:hAnsi="Arial Black"/>
          <w:b/>
          <w:sz w:val="28"/>
          <w:szCs w:val="28"/>
        </w:rPr>
        <w:t xml:space="preserve">. BY PD </w:t>
      </w:r>
    </w:p>
    <w:bookmarkEnd w:id="555"/>
    <w:p w14:paraId="36664CEC" w14:textId="77777777" w:rsidR="00F326E5" w:rsidRPr="00BC17B3" w:rsidRDefault="00F326E5" w:rsidP="00F326E5">
      <w:pPr>
        <w:rPr>
          <w:rFonts w:ascii="Times New Roman" w:hAnsi="Times New Roman"/>
          <w:b/>
          <w:sz w:val="24"/>
          <w:szCs w:val="24"/>
        </w:rPr>
      </w:pPr>
      <w:r w:rsidRPr="00BC17B3">
        <w:rPr>
          <w:rFonts w:ascii="Times New Roman" w:hAnsi="Times New Roman"/>
          <w:sz w:val="24"/>
          <w:szCs w:val="24"/>
        </w:rPr>
        <w:t xml:space="preserve">On March 26, 2018, in </w:t>
      </w:r>
      <w:r w:rsidRPr="00BC17B3">
        <w:rPr>
          <w:rFonts w:ascii="Times New Roman" w:hAnsi="Times New Roman"/>
          <w:sz w:val="24"/>
          <w:szCs w:val="24"/>
          <w:u w:val="single"/>
        </w:rPr>
        <w:t>John W. Gold v. City of Sandusky, et al</w:t>
      </w:r>
      <w:r w:rsidRPr="00BC17B3">
        <w:rPr>
          <w:rFonts w:ascii="Times New Roman" w:hAnsi="Times New Roman"/>
          <w:sz w:val="24"/>
          <w:szCs w:val="24"/>
        </w:rPr>
        <w:t xml:space="preserve">., U.S. Magistrate Judge for the U.S. District Court, Northern, OH, issued a Memorandum Opinion and Order dismissing the civil rights lawsuit filed against the City, police officers, and ER medical staff, holding: “To the extent Plaintiff argues the officers violated his Fourth Amendment rights in the insertion of the catheter or in taking his blood, such a claim fails for the reasons stated above. That is, there is no </w:t>
      </w:r>
      <w:proofErr w:type="gramStart"/>
      <w:r w:rsidRPr="00BC17B3">
        <w:rPr>
          <w:rFonts w:ascii="Times New Roman" w:hAnsi="Times New Roman"/>
          <w:sz w:val="24"/>
          <w:szCs w:val="24"/>
        </w:rPr>
        <w:t>evidence</w:t>
      </w:r>
      <w:proofErr w:type="gramEnd"/>
      <w:r w:rsidRPr="00BC17B3">
        <w:rPr>
          <w:rFonts w:ascii="Times New Roman" w:hAnsi="Times New Roman"/>
          <w:sz w:val="24"/>
          <w:szCs w:val="24"/>
        </w:rPr>
        <w:t xml:space="preserve"> the catheter was placed, or blood drawn, at the request of the police. Rather, it was medical personnel who made the decision and performed the action.”</w:t>
      </w:r>
      <w:r w:rsidRPr="00BC17B3">
        <w:rPr>
          <w:rFonts w:ascii="Times New Roman" w:hAnsi="Times New Roman"/>
          <w:b/>
          <w:sz w:val="24"/>
          <w:szCs w:val="24"/>
        </w:rPr>
        <w:t xml:space="preserve"> </w:t>
      </w:r>
      <w:hyperlink r:id="rId2375" w:history="1">
        <w:r w:rsidRPr="00BC17B3">
          <w:rPr>
            <w:rStyle w:val="Hyperlink"/>
            <w:rFonts w:ascii="Times New Roman" w:hAnsi="Times New Roman"/>
            <w:sz w:val="24"/>
            <w:szCs w:val="24"/>
          </w:rPr>
          <w:t>http://courtweb.pamd.uscourts.gov/courtwebsearch/ndoh/AlKFf0ZU_k.pdf</w:t>
        </w:r>
      </w:hyperlink>
      <w:r w:rsidRPr="00BC17B3">
        <w:rPr>
          <w:rFonts w:ascii="Times New Roman" w:hAnsi="Times New Roman"/>
          <w:b/>
          <w:sz w:val="24"/>
          <w:szCs w:val="24"/>
        </w:rPr>
        <w:t xml:space="preserve"> </w:t>
      </w:r>
    </w:p>
    <w:p w14:paraId="0DA1CE42" w14:textId="77777777" w:rsidR="00F326E5" w:rsidRPr="00BC17B3" w:rsidRDefault="00F326E5" w:rsidP="00F326E5">
      <w:pPr>
        <w:rPr>
          <w:rFonts w:ascii="Times New Roman" w:hAnsi="Times New Roman"/>
          <w:b/>
          <w:sz w:val="24"/>
          <w:szCs w:val="24"/>
        </w:rPr>
      </w:pPr>
      <w:r w:rsidRPr="00BC17B3">
        <w:rPr>
          <w:rFonts w:ascii="Times New Roman" w:hAnsi="Times New Roman"/>
          <w:b/>
          <w:sz w:val="24"/>
          <w:szCs w:val="24"/>
        </w:rPr>
        <w:t xml:space="preserve">LEGAL LESSONS LEARNED:  Blood and urine may be obtained in ER for medical reasons, without patient consent; police may obtain a search warrant for use in criminal </w:t>
      </w:r>
      <w:proofErr w:type="gramStart"/>
      <w:r w:rsidRPr="00BC17B3">
        <w:rPr>
          <w:rFonts w:ascii="Times New Roman" w:hAnsi="Times New Roman"/>
          <w:b/>
          <w:sz w:val="24"/>
          <w:szCs w:val="24"/>
        </w:rPr>
        <w:t>case</w:t>
      </w:r>
      <w:proofErr w:type="gramEnd"/>
      <w:r w:rsidRPr="00BC17B3">
        <w:rPr>
          <w:rFonts w:ascii="Times New Roman" w:hAnsi="Times New Roman"/>
          <w:b/>
          <w:sz w:val="24"/>
          <w:szCs w:val="24"/>
        </w:rPr>
        <w:t>.</w:t>
      </w:r>
    </w:p>
    <w:bookmarkEnd w:id="556"/>
    <w:p w14:paraId="51B12EA0" w14:textId="77777777" w:rsidR="0036327D" w:rsidRDefault="0036327D" w:rsidP="00DE0F03">
      <w:pPr>
        <w:rPr>
          <w:rFonts w:ascii="Arial Black" w:hAnsi="Arial Black"/>
          <w:b/>
          <w:sz w:val="24"/>
          <w:szCs w:val="24"/>
        </w:rPr>
      </w:pPr>
    </w:p>
    <w:p w14:paraId="639FF713" w14:textId="2C18E25F" w:rsidR="00F326E5" w:rsidRDefault="00DE0F03" w:rsidP="00DE0F03">
      <w:pPr>
        <w:rPr>
          <w:b/>
          <w:szCs w:val="24"/>
        </w:rPr>
      </w:pPr>
      <w:r>
        <w:rPr>
          <w:rFonts w:ascii="Arial Black" w:hAnsi="Arial Black"/>
          <w:b/>
          <w:sz w:val="24"/>
          <w:szCs w:val="24"/>
        </w:rPr>
        <w:t>13-1</w:t>
      </w:r>
    </w:p>
    <w:p w14:paraId="0AD67384" w14:textId="77777777" w:rsidR="00F326E5" w:rsidRDefault="00F326E5" w:rsidP="00F326E5">
      <w:pPr>
        <w:pStyle w:val="NoSpacing"/>
        <w:rPr>
          <w:b/>
          <w:szCs w:val="24"/>
        </w:rPr>
      </w:pPr>
    </w:p>
    <w:p w14:paraId="601A39BC" w14:textId="62AA748A" w:rsidR="00F326E5" w:rsidRPr="008D7D88" w:rsidRDefault="00F326E5" w:rsidP="00F326E5">
      <w:pPr>
        <w:pStyle w:val="NoSpacing"/>
        <w:rPr>
          <w:b/>
          <w:sz w:val="24"/>
          <w:szCs w:val="24"/>
        </w:rPr>
      </w:pPr>
      <w:bookmarkStart w:id="557" w:name="_Hlk7347790"/>
      <w:r w:rsidRPr="0066326F">
        <w:rPr>
          <w:rFonts w:ascii="Arial Black" w:hAnsi="Arial Black"/>
          <w:sz w:val="28"/>
          <w:szCs w:val="28"/>
        </w:rPr>
        <w:t xml:space="preserve">OH: </w:t>
      </w:r>
      <w:r w:rsidR="0048537E">
        <w:rPr>
          <w:rFonts w:ascii="Arial Black" w:hAnsi="Arial Black"/>
          <w:sz w:val="28"/>
          <w:szCs w:val="28"/>
        </w:rPr>
        <w:t xml:space="preserve">AMBULANCE IN MVA </w:t>
      </w:r>
      <w:r w:rsidR="00247719">
        <w:rPr>
          <w:rFonts w:ascii="Arial Black" w:hAnsi="Arial Black"/>
          <w:sz w:val="28"/>
          <w:szCs w:val="28"/>
        </w:rPr>
        <w:t>–</w:t>
      </w:r>
      <w:r w:rsidR="0048537E">
        <w:rPr>
          <w:rFonts w:ascii="Arial Black" w:hAnsi="Arial Black"/>
          <w:sz w:val="28"/>
          <w:szCs w:val="28"/>
        </w:rPr>
        <w:t xml:space="preserve"> </w:t>
      </w:r>
      <w:r w:rsidR="00247719">
        <w:rPr>
          <w:rFonts w:ascii="Arial Black" w:hAnsi="Arial Black"/>
          <w:sz w:val="28"/>
          <w:szCs w:val="28"/>
        </w:rPr>
        <w:t xml:space="preserve">EMT </w:t>
      </w:r>
      <w:r w:rsidRPr="0066326F">
        <w:rPr>
          <w:rFonts w:ascii="Arial Black" w:hAnsi="Arial Black"/>
          <w:sz w:val="28"/>
          <w:szCs w:val="28"/>
        </w:rPr>
        <w:t xml:space="preserve">DRIVER SPEEDING, </w:t>
      </w:r>
      <w:r w:rsidR="00247719">
        <w:rPr>
          <w:rFonts w:ascii="Arial Black" w:hAnsi="Arial Black"/>
          <w:sz w:val="28"/>
          <w:szCs w:val="28"/>
        </w:rPr>
        <w:t xml:space="preserve">PASSING </w:t>
      </w:r>
      <w:r w:rsidRPr="0066326F">
        <w:rPr>
          <w:rFonts w:ascii="Arial Black" w:hAnsi="Arial Black"/>
          <w:sz w:val="28"/>
          <w:szCs w:val="28"/>
        </w:rPr>
        <w:t>IN NO PASSING ZONE, NO LIGHTS &amp; SIREN</w:t>
      </w:r>
      <w:r>
        <w:rPr>
          <w:rFonts w:ascii="Arial Black" w:hAnsi="Arial Black"/>
          <w:sz w:val="28"/>
          <w:szCs w:val="28"/>
        </w:rPr>
        <w:t xml:space="preserve"> </w:t>
      </w:r>
      <w:r w:rsidRPr="008D7D88">
        <w:rPr>
          <w:b/>
          <w:sz w:val="24"/>
          <w:szCs w:val="24"/>
        </w:rPr>
        <w:t>[also filed, Chap. 5]</w:t>
      </w:r>
    </w:p>
    <w:p w14:paraId="492C1AF9" w14:textId="77777777" w:rsidR="0048537E" w:rsidRPr="00BC17B3" w:rsidRDefault="00F326E5" w:rsidP="00F326E5">
      <w:pPr>
        <w:pStyle w:val="NoSpacing"/>
        <w:rPr>
          <w:rFonts w:ascii="Times New Roman" w:hAnsi="Times New Roman"/>
          <w:b/>
          <w:sz w:val="24"/>
          <w:szCs w:val="24"/>
        </w:rPr>
      </w:pPr>
      <w:r w:rsidRPr="00BC17B3">
        <w:rPr>
          <w:rFonts w:ascii="Times New Roman" w:hAnsi="Times New Roman"/>
          <w:sz w:val="24"/>
          <w:szCs w:val="24"/>
        </w:rPr>
        <w:t xml:space="preserve">On Jan. 2, 2018, in </w:t>
      </w:r>
      <w:r w:rsidRPr="00BC17B3">
        <w:rPr>
          <w:rFonts w:ascii="Times New Roman" w:hAnsi="Times New Roman"/>
          <w:sz w:val="24"/>
          <w:szCs w:val="24"/>
          <w:u w:val="single"/>
        </w:rPr>
        <w:t>Folmer v. Meigs County Commissioners, et al.,</w:t>
      </w:r>
      <w:r w:rsidRPr="00BC17B3">
        <w:rPr>
          <w:rFonts w:ascii="Times New Roman" w:hAnsi="Times New Roman"/>
          <w:sz w:val="24"/>
          <w:szCs w:val="24"/>
        </w:rPr>
        <w:t xml:space="preserve"> 2018-Ohio- 31, 4th Appellate District (Meigs County), the Court held that the EMS driver may have been negligent when transporting a patient traveling over 20 mph above posted speed limit, with no lights or siren, and attempted to pass vehicle in no passing lane, hitting oncoming vehicle. While the lawsuit may proceed against Meigs County EMS, the EMS driver enjoys immunity from personal liability since plaintiff did not </w:t>
      </w:r>
      <w:proofErr w:type="gramStart"/>
      <w:r w:rsidRPr="00BC17B3">
        <w:rPr>
          <w:rFonts w:ascii="Times New Roman" w:hAnsi="Times New Roman"/>
          <w:sz w:val="24"/>
          <w:szCs w:val="24"/>
        </w:rPr>
        <w:t>alleged</w:t>
      </w:r>
      <w:proofErr w:type="gramEnd"/>
      <w:r w:rsidRPr="00BC17B3">
        <w:rPr>
          <w:rFonts w:ascii="Times New Roman" w:hAnsi="Times New Roman"/>
          <w:sz w:val="24"/>
          <w:szCs w:val="24"/>
        </w:rPr>
        <w:t xml:space="preserve"> he “acted with malicious purpose, bad faith, or recklessness under R.C. 2744.03(A)(6)(b).”</w:t>
      </w:r>
      <w:r w:rsidRPr="00BC17B3">
        <w:rPr>
          <w:rFonts w:ascii="Times New Roman" w:hAnsi="Times New Roman"/>
          <w:b/>
          <w:sz w:val="24"/>
          <w:szCs w:val="24"/>
        </w:rPr>
        <w:t xml:space="preserve"> </w:t>
      </w:r>
    </w:p>
    <w:p w14:paraId="6925D6A2" w14:textId="6D0861F7" w:rsidR="00F326E5" w:rsidRPr="00BC17B3" w:rsidRDefault="0048537E" w:rsidP="00F326E5">
      <w:pPr>
        <w:pStyle w:val="NoSpacing"/>
        <w:rPr>
          <w:rFonts w:ascii="Times New Roman" w:hAnsi="Times New Roman"/>
          <w:b/>
          <w:sz w:val="24"/>
          <w:szCs w:val="24"/>
        </w:rPr>
      </w:pPr>
      <w:hyperlink r:id="rId2376" w:history="1">
        <w:r w:rsidRPr="00BC17B3">
          <w:rPr>
            <w:rStyle w:val="Hyperlink"/>
            <w:rFonts w:ascii="Times New Roman" w:hAnsi="Times New Roman"/>
            <w:sz w:val="24"/>
            <w:szCs w:val="24"/>
          </w:rPr>
          <w:t>https://www.supremecourt.ohio.gov/rod/docs/pdf/4/2018/2018-Ohio-31.pdf</w:t>
        </w:r>
      </w:hyperlink>
      <w:r w:rsidR="00F326E5" w:rsidRPr="00BC17B3">
        <w:rPr>
          <w:rFonts w:ascii="Times New Roman" w:hAnsi="Times New Roman"/>
          <w:b/>
          <w:sz w:val="24"/>
          <w:szCs w:val="24"/>
        </w:rPr>
        <w:t xml:space="preserve"> </w:t>
      </w:r>
    </w:p>
    <w:p w14:paraId="093FD0A7" w14:textId="77777777" w:rsidR="00BC17B3" w:rsidRDefault="00BC17B3" w:rsidP="00F326E5">
      <w:pPr>
        <w:pStyle w:val="NoSpacing"/>
        <w:rPr>
          <w:rFonts w:ascii="Times New Roman" w:hAnsi="Times New Roman"/>
          <w:b/>
          <w:sz w:val="24"/>
          <w:szCs w:val="24"/>
        </w:rPr>
      </w:pPr>
    </w:p>
    <w:p w14:paraId="6BA7EFEC" w14:textId="79428D9E" w:rsidR="00F326E5" w:rsidRPr="00BC17B3" w:rsidRDefault="00F326E5" w:rsidP="00F326E5">
      <w:pPr>
        <w:pStyle w:val="NoSpacing"/>
        <w:rPr>
          <w:rFonts w:ascii="Times New Roman" w:hAnsi="Times New Roman"/>
          <w:b/>
          <w:sz w:val="24"/>
          <w:szCs w:val="24"/>
        </w:rPr>
      </w:pPr>
      <w:r w:rsidRPr="00BC17B3">
        <w:rPr>
          <w:rFonts w:ascii="Times New Roman" w:hAnsi="Times New Roman"/>
          <w:b/>
          <w:sz w:val="24"/>
          <w:szCs w:val="24"/>
        </w:rPr>
        <w:t>Legal Lessons Learned: If transporting without lights and siren, then EMS driver must obey speed limit and no passing zone. The EMS driver was fortunate the plaintiff did not allege he was driving in “wanton or reckless manner.</w:t>
      </w:r>
    </w:p>
    <w:bookmarkEnd w:id="557"/>
    <w:p w14:paraId="24AC203B" w14:textId="77777777" w:rsidR="00F326E5" w:rsidRPr="00952ED4" w:rsidRDefault="00F326E5" w:rsidP="00F326E5">
      <w:pPr>
        <w:rPr>
          <w:rFonts w:eastAsia="Times New Roman"/>
          <w:b/>
          <w:sz w:val="24"/>
          <w:szCs w:val="24"/>
        </w:rPr>
      </w:pPr>
    </w:p>
    <w:p w14:paraId="7A5D35B2" w14:textId="66A9C55B" w:rsidR="00247719" w:rsidRDefault="00247719">
      <w:pPr>
        <w:spacing w:after="0" w:line="240" w:lineRule="auto"/>
        <w:rPr>
          <w:b/>
          <w:sz w:val="24"/>
          <w:szCs w:val="24"/>
        </w:rPr>
      </w:pPr>
      <w:r>
        <w:rPr>
          <w:b/>
          <w:sz w:val="24"/>
          <w:szCs w:val="24"/>
        </w:rPr>
        <w:br w:type="page"/>
      </w:r>
    </w:p>
    <w:p w14:paraId="11C44DFC" w14:textId="77777777" w:rsidR="00F326E5" w:rsidRPr="00CA2809" w:rsidRDefault="00F326E5" w:rsidP="00F326E5">
      <w:pPr>
        <w:pStyle w:val="NoSpacing"/>
        <w:rPr>
          <w:b/>
          <w:sz w:val="24"/>
          <w:szCs w:val="24"/>
        </w:rPr>
      </w:pPr>
    </w:p>
    <w:p w14:paraId="4CA8BBA7" w14:textId="63043C04" w:rsidR="00F86334" w:rsidRDefault="00F86334">
      <w:pPr>
        <w:spacing w:after="0" w:line="240" w:lineRule="auto"/>
        <w:rPr>
          <w:rFonts w:ascii="Arial Black" w:hAnsi="Arial Black"/>
          <w:sz w:val="40"/>
          <w:szCs w:val="40"/>
        </w:rPr>
      </w:pPr>
      <w:r>
        <w:rPr>
          <w:rFonts w:ascii="Arial Black" w:hAnsi="Arial Black"/>
          <w:sz w:val="40"/>
          <w:szCs w:val="40"/>
        </w:rPr>
        <w:br w:type="page"/>
      </w:r>
    </w:p>
    <w:p w14:paraId="61F3DA22" w14:textId="77777777" w:rsidR="00F86334" w:rsidRDefault="00F86334" w:rsidP="00F326E5">
      <w:pPr>
        <w:pStyle w:val="NoSpacing"/>
        <w:rPr>
          <w:rFonts w:ascii="Arial Black" w:hAnsi="Arial Black"/>
          <w:sz w:val="40"/>
          <w:szCs w:val="40"/>
        </w:rPr>
      </w:pPr>
    </w:p>
    <w:p w14:paraId="32F06443" w14:textId="33D5CE78" w:rsidR="00F326E5" w:rsidRDefault="00F326E5" w:rsidP="00F326E5">
      <w:pPr>
        <w:pStyle w:val="NoSpacing"/>
        <w:rPr>
          <w:rFonts w:ascii="Arial Black" w:hAnsi="Arial Black"/>
          <w:sz w:val="40"/>
          <w:szCs w:val="40"/>
        </w:rPr>
      </w:pPr>
      <w:r w:rsidRPr="007732FA">
        <w:rPr>
          <w:rFonts w:ascii="Arial Black" w:hAnsi="Arial Black"/>
          <w:sz w:val="40"/>
          <w:szCs w:val="40"/>
        </w:rPr>
        <w:t>Chap. 14</w:t>
      </w:r>
      <w:r w:rsidRPr="007732FA">
        <w:rPr>
          <w:rFonts w:ascii="Arial Black" w:hAnsi="Arial Black"/>
          <w:sz w:val="40"/>
          <w:szCs w:val="40"/>
        </w:rPr>
        <w:tab/>
      </w:r>
      <w:r w:rsidRPr="007732FA">
        <w:rPr>
          <w:rFonts w:ascii="Arial Black" w:hAnsi="Arial Black"/>
          <w:sz w:val="40"/>
          <w:szCs w:val="40"/>
        </w:rPr>
        <w:tab/>
        <w:t>Physical Fitness</w:t>
      </w:r>
      <w:r w:rsidR="00344E40">
        <w:rPr>
          <w:rFonts w:ascii="Arial Black" w:hAnsi="Arial Black"/>
          <w:sz w:val="40"/>
          <w:szCs w:val="40"/>
        </w:rPr>
        <w:t xml:space="preserve"> and </w:t>
      </w:r>
      <w:r w:rsidR="00D5755F">
        <w:rPr>
          <w:rFonts w:ascii="Arial Black" w:hAnsi="Arial Black"/>
          <w:sz w:val="40"/>
          <w:szCs w:val="40"/>
        </w:rPr>
        <w:t xml:space="preserve">Light Duty </w:t>
      </w:r>
      <w:r w:rsidR="00344E40">
        <w:rPr>
          <w:rFonts w:ascii="Arial Black" w:hAnsi="Arial Black"/>
          <w:sz w:val="40"/>
          <w:szCs w:val="40"/>
        </w:rPr>
        <w:t xml:space="preserve"> </w:t>
      </w:r>
      <w:r w:rsidRPr="007732FA">
        <w:rPr>
          <w:rFonts w:ascii="Arial Black" w:hAnsi="Arial Black"/>
          <w:sz w:val="40"/>
          <w:szCs w:val="40"/>
        </w:rPr>
        <w:tab/>
      </w:r>
    </w:p>
    <w:p w14:paraId="3EC3C8EF" w14:textId="77777777" w:rsidR="00BC5936" w:rsidRDefault="00BC5936" w:rsidP="00F326E5">
      <w:pPr>
        <w:pStyle w:val="NoSpacing"/>
        <w:rPr>
          <w:rFonts w:ascii="Arial Black" w:hAnsi="Arial Black"/>
          <w:sz w:val="28"/>
          <w:szCs w:val="28"/>
        </w:rPr>
      </w:pPr>
    </w:p>
    <w:p w14:paraId="728415D3" w14:textId="1B4195BD" w:rsidR="00116265" w:rsidRDefault="00116265" w:rsidP="00116265">
      <w:pPr>
        <w:pStyle w:val="NoSpacing"/>
        <w:rPr>
          <w:rFonts w:ascii="Arial Black" w:hAnsi="Arial Black"/>
          <w:sz w:val="28"/>
          <w:szCs w:val="28"/>
        </w:rPr>
      </w:pPr>
      <w:r>
        <w:rPr>
          <w:rFonts w:ascii="Arial Black" w:hAnsi="Arial Black"/>
          <w:sz w:val="28"/>
          <w:szCs w:val="28"/>
        </w:rPr>
        <w:t>14-9</w:t>
      </w:r>
      <w:r w:rsidR="008C7243">
        <w:rPr>
          <w:rFonts w:ascii="Arial Black" w:hAnsi="Arial Black"/>
          <w:sz w:val="28"/>
          <w:szCs w:val="28"/>
        </w:rPr>
        <w:t xml:space="preserve"> [also filed, Chap. 9, ADA]</w:t>
      </w:r>
    </w:p>
    <w:p w14:paraId="67278772" w14:textId="77777777" w:rsidR="00116265" w:rsidRDefault="00116265" w:rsidP="00116265">
      <w:pPr>
        <w:pStyle w:val="NoSpacing"/>
        <w:rPr>
          <w:rFonts w:ascii="Arial Black" w:hAnsi="Arial Black"/>
          <w:sz w:val="28"/>
          <w:szCs w:val="28"/>
        </w:rPr>
      </w:pPr>
    </w:p>
    <w:p w14:paraId="1D69FC85" w14:textId="7273FFC1" w:rsidR="00116265" w:rsidRDefault="00116265" w:rsidP="00116265">
      <w:pPr>
        <w:pStyle w:val="NoSpacing"/>
        <w:rPr>
          <w:rFonts w:ascii="Arial Black" w:hAnsi="Arial Black"/>
          <w:bCs/>
          <w:sz w:val="28"/>
          <w:szCs w:val="28"/>
        </w:rPr>
      </w:pPr>
      <w:r>
        <w:rPr>
          <w:rFonts w:ascii="Arial Black" w:hAnsi="Arial Black"/>
          <w:sz w:val="28"/>
          <w:szCs w:val="28"/>
        </w:rPr>
        <w:t>MD: DEPRESSION – SLOWER STATION – CASE PROCEED</w:t>
      </w:r>
    </w:p>
    <w:p w14:paraId="06092CBF" w14:textId="77777777" w:rsidR="00116265" w:rsidRDefault="00116265" w:rsidP="00116265">
      <w:pPr>
        <w:pStyle w:val="NoSpacing"/>
        <w:rPr>
          <w:rFonts w:ascii="Arial Black" w:hAnsi="Arial Black"/>
          <w:bCs/>
          <w:sz w:val="28"/>
          <w:szCs w:val="28"/>
        </w:rPr>
      </w:pPr>
    </w:p>
    <w:p w14:paraId="2906583B" w14:textId="77777777" w:rsidR="00116265" w:rsidRDefault="00116265" w:rsidP="00116265">
      <w:pPr>
        <w:pStyle w:val="NoSpacing"/>
      </w:pPr>
      <w:r>
        <w:t xml:space="preserve">On April 28, 2025, in </w:t>
      </w:r>
      <w:r w:rsidRPr="00636B1D">
        <w:rPr>
          <w:u w:val="single"/>
        </w:rPr>
        <w:t xml:space="preserve">Mark R. Levy v. Howard County, Maryland and Howard County Fire </w:t>
      </w:r>
      <w:proofErr w:type="gramStart"/>
      <w:r w:rsidRPr="00636B1D">
        <w:rPr>
          <w:u w:val="single"/>
        </w:rPr>
        <w:t>And</w:t>
      </w:r>
      <w:proofErr w:type="gramEnd"/>
      <w:r w:rsidRPr="00636B1D">
        <w:rPr>
          <w:u w:val="single"/>
        </w:rPr>
        <w:t xml:space="preserve"> Rescue,</w:t>
      </w:r>
      <w:r>
        <w:t xml:space="preserve"> U.S. Senior District Court Judge </w:t>
      </w:r>
      <w:r w:rsidRPr="000725BC">
        <w:t>Richard D. Bennett</w:t>
      </w:r>
      <w:r>
        <w:t xml:space="preserve">, United States District Court for the District of Maryland, denied plaintiff’s motion for pre-trial </w:t>
      </w:r>
      <w:r w:rsidRPr="00467BB4">
        <w:t>declaratory</w:t>
      </w:r>
      <w:r>
        <w:t xml:space="preserve"> judgement; case will proceed with pre-trial discovery. The firefighter / paramedic has </w:t>
      </w:r>
      <w:r w:rsidRPr="004765D7">
        <w:t>been diagnosed with anxiety and depression since 2002</w:t>
      </w:r>
      <w:r>
        <w:t>; the case will proceed with pre-trial discovery.  The Court wrote: “</w:t>
      </w:r>
      <w:r w:rsidRPr="00832DBD">
        <w:t>To be clear, it is Levy's burden in this case of proving that he is a qualified individual with a disability and that, with a reasonable accommodation, he would be able to properly do the job of a Fire Fighter/Paramedic at Station 3.</w:t>
      </w:r>
      <w:r>
        <w:t xml:space="preserve">”  </w:t>
      </w:r>
      <w:hyperlink r:id="rId2377" w:history="1">
        <w:r w:rsidRPr="003A1948">
          <w:rPr>
            <w:rStyle w:val="Hyperlink"/>
          </w:rPr>
          <w:t>https://cases.justia.com/federal/district-courts/maryland/mddce/1:2024cv03580/573207/56/0.pdf?ts=1777474810</w:t>
        </w:r>
      </w:hyperlink>
      <w:r>
        <w:t xml:space="preserve"> </w:t>
      </w:r>
    </w:p>
    <w:p w14:paraId="737395CA" w14:textId="77777777" w:rsidR="00116265" w:rsidRDefault="00116265" w:rsidP="00116265">
      <w:pPr>
        <w:pStyle w:val="NoSpacing"/>
      </w:pPr>
    </w:p>
    <w:p w14:paraId="344655BA" w14:textId="77777777" w:rsidR="00116265" w:rsidRDefault="00116265" w:rsidP="00116265">
      <w:pPr>
        <w:pStyle w:val="NoSpacing"/>
      </w:pPr>
      <w:r>
        <w:t xml:space="preserve">THE COURT HELD: </w:t>
      </w:r>
    </w:p>
    <w:p w14:paraId="0953976A" w14:textId="77777777" w:rsidR="00116265" w:rsidRDefault="00116265" w:rsidP="00116265">
      <w:pPr>
        <w:pStyle w:val="NoSpacing"/>
      </w:pPr>
    </w:p>
    <w:p w14:paraId="66E484FD" w14:textId="77777777" w:rsidR="00116265" w:rsidRDefault="00116265" w:rsidP="00116265">
      <w:pPr>
        <w:pStyle w:val="NoSpacing"/>
        <w:ind w:left="720"/>
      </w:pPr>
      <w:r>
        <w:t>“</w:t>
      </w:r>
      <w:r w:rsidRPr="004765D7">
        <w:t>Plaintiff Mark R. Levy has been employed as a Fire Fighter/Paramedic with Defendant Howard County Department of Fire and Rescue Services since October 31, 2016</w:t>
      </w:r>
      <w:r>
        <w:t xml:space="preserve">…. </w:t>
      </w:r>
      <w:r w:rsidRPr="004765D7">
        <w:t>Levy alleges that he has been diagnosed with anxiety and depression since 2002</w:t>
      </w:r>
      <w:r>
        <w:t xml:space="preserve">…. </w:t>
      </w:r>
      <w:r w:rsidRPr="004765D7">
        <w:t>As of December 8, 2025, the date Levy filed his First Amended Complaint in this Court, he was assigned to B Shift at Station 3, which is within Battalion 3 of the Howard County Department of Fire and Rescue Services</w:t>
      </w:r>
      <w:r>
        <w:t xml:space="preserve">…. </w:t>
      </w:r>
      <w:r w:rsidRPr="0026656C">
        <w:t>Station 3 is located at 12535 Old Frederick Road in Sykesville, Maryland</w:t>
      </w:r>
      <w:r>
        <w:t xml:space="preserve">…. </w:t>
      </w:r>
      <w:r w:rsidRPr="004765D7">
        <w:t>He asserts that Station 3 has a lower call volume in comparison to other stations within the battalion</w:t>
      </w:r>
      <w:r>
        <w:t xml:space="preserve">…. </w:t>
      </w:r>
      <w:r w:rsidRPr="004765D7">
        <w:t xml:space="preserve">He claims that this lower call volume is the optimal assignment for him to be able to manage his mental health. </w:t>
      </w:r>
    </w:p>
    <w:p w14:paraId="67CEC2B0" w14:textId="77777777" w:rsidR="00116265" w:rsidRDefault="00116265" w:rsidP="00116265">
      <w:pPr>
        <w:pStyle w:val="NoSpacing"/>
        <w:ind w:left="720"/>
      </w:pPr>
    </w:p>
    <w:p w14:paraId="020FBF8B" w14:textId="77777777" w:rsidR="00116265" w:rsidRDefault="00116265" w:rsidP="00116265">
      <w:pPr>
        <w:pStyle w:val="NoSpacing"/>
        <w:ind w:left="720"/>
      </w:pPr>
      <w:r>
        <w:t>***</w:t>
      </w:r>
    </w:p>
    <w:p w14:paraId="3133F6A9" w14:textId="77777777" w:rsidR="00116265" w:rsidRDefault="00116265" w:rsidP="00116265">
      <w:pPr>
        <w:pStyle w:val="NoSpacing"/>
        <w:ind w:left="720"/>
      </w:pPr>
      <w:r w:rsidRPr="00A26479">
        <w:t>Levy alleges that, on multiple different occasions in 2022, he was reassigned from Station 3 to other stations within Battalion 3</w:t>
      </w:r>
      <w:r>
        <w:t xml:space="preserve">…. </w:t>
      </w:r>
      <w:r w:rsidRPr="00A26479">
        <w:t>Each time, the Department apparently denied his requests to remain at Station 3</w:t>
      </w:r>
      <w:r>
        <w:t xml:space="preserve">…. </w:t>
      </w:r>
      <w:r w:rsidRPr="00A26479">
        <w:t>Levy claims that the Department determined, without engaging in any interactive process, that he did not need a reasonable accommodation</w:t>
      </w:r>
      <w:r>
        <w:t>….</w:t>
      </w:r>
      <w:r w:rsidRPr="00A26479">
        <w:t xml:space="preserve"> Ultimately, after multiple reassignments, Levy was placed at Station 3 under a Temporary Hardship Request</w:t>
      </w:r>
      <w:r>
        <w:t xml:space="preserve">…. </w:t>
      </w:r>
      <w:r w:rsidRPr="00A26479">
        <w:t xml:space="preserve">He contends that the Temporary Hardship Request was </w:t>
      </w:r>
      <w:r>
        <w:t>‘</w:t>
      </w:r>
      <w:r w:rsidRPr="00A26479">
        <w:t>wholly improper and simply an attempt by Defendants to circumvent</w:t>
      </w:r>
      <w:r>
        <w:t xml:space="preserve">’ </w:t>
      </w:r>
      <w:r w:rsidRPr="00A26479">
        <w:t xml:space="preserve"> the ADA's accommodation obligations</w:t>
      </w:r>
      <w:r>
        <w:t xml:space="preserve">…. </w:t>
      </w:r>
      <w:r w:rsidRPr="00A26479">
        <w:t>From the face of the First Amended Complaint, Levy continues to work as a Fire Fighter/Paramedic for the Department.</w:t>
      </w:r>
    </w:p>
    <w:p w14:paraId="318A8FF5" w14:textId="77777777" w:rsidR="00116265" w:rsidRDefault="00116265" w:rsidP="00116265">
      <w:pPr>
        <w:pStyle w:val="NoSpacing"/>
        <w:ind w:left="720"/>
      </w:pPr>
    </w:p>
    <w:p w14:paraId="2BC17D53" w14:textId="77777777" w:rsidR="00116265" w:rsidRDefault="00116265" w:rsidP="00116265">
      <w:pPr>
        <w:pStyle w:val="NoSpacing"/>
        <w:ind w:left="720"/>
      </w:pPr>
      <w:r>
        <w:t>***</w:t>
      </w:r>
    </w:p>
    <w:p w14:paraId="38F1B265" w14:textId="77777777" w:rsidR="00116265" w:rsidRDefault="00116265" w:rsidP="00116265">
      <w:pPr>
        <w:pStyle w:val="NoSpacing"/>
        <w:ind w:left="720"/>
      </w:pPr>
      <w:r w:rsidRPr="00BA13D8">
        <w:t xml:space="preserve">As noted above, Levy seeks declarations in Count Four that (1) he is a qualified individual with a disability; (2) that he can perform the essential functions of his job with a reasonable accommodation; (3) that Defendants have an obligation to engage in the ADA's interactive process with him and explore reasonable alternatives; and (4) that Defendants have an obligation to grant him a reasonable accommodation. </w:t>
      </w:r>
    </w:p>
    <w:p w14:paraId="2B558CFB" w14:textId="77777777" w:rsidR="00116265" w:rsidRDefault="00116265" w:rsidP="00116265">
      <w:pPr>
        <w:pStyle w:val="NoSpacing"/>
        <w:ind w:left="720"/>
      </w:pPr>
    </w:p>
    <w:p w14:paraId="0C0E4D2F" w14:textId="77777777" w:rsidR="00116265" w:rsidRDefault="00116265" w:rsidP="00116265">
      <w:pPr>
        <w:pStyle w:val="NoSpacing"/>
        <w:ind w:left="720"/>
      </w:pPr>
      <w:r>
        <w:t>***</w:t>
      </w:r>
    </w:p>
    <w:p w14:paraId="1BB3A8F1" w14:textId="77777777" w:rsidR="00116265" w:rsidRDefault="00116265" w:rsidP="00116265">
      <w:pPr>
        <w:pStyle w:val="NoSpacing"/>
        <w:ind w:left="720"/>
      </w:pPr>
      <w:r w:rsidRPr="004A2357">
        <w:t xml:space="preserve">Again, it is Levy's burden to prove that he was entitled to the ADA's interactive process and, ultimately, </w:t>
      </w:r>
      <w:proofErr w:type="gramStart"/>
      <w:r w:rsidRPr="004A2357">
        <w:t>a reasonable</w:t>
      </w:r>
      <w:proofErr w:type="gramEnd"/>
      <w:r w:rsidRPr="004A2357">
        <w:t xml:space="preserve"> accommodation.</w:t>
      </w:r>
      <w:r>
        <w:rPr>
          <w:vertAlign w:val="superscript"/>
        </w:rPr>
        <w:t xml:space="preserve"> </w:t>
      </w:r>
      <w:r w:rsidRPr="004A2357">
        <w:t xml:space="preserve"> In sum, the four declarations that Levy requests in Count Four render that claim duplicative of Count One.</w:t>
      </w:r>
      <w:r>
        <w:t>”</w:t>
      </w:r>
    </w:p>
    <w:p w14:paraId="5664E71D" w14:textId="77777777" w:rsidR="00116265" w:rsidRDefault="00116265" w:rsidP="00116265">
      <w:pPr>
        <w:pStyle w:val="NoSpacing"/>
        <w:ind w:left="720"/>
      </w:pPr>
    </w:p>
    <w:p w14:paraId="78031AE6" w14:textId="77777777" w:rsidR="00116265" w:rsidRPr="004A2357" w:rsidRDefault="00116265" w:rsidP="00116265">
      <w:pPr>
        <w:rPr>
          <w:b/>
          <w:bCs/>
        </w:rPr>
      </w:pPr>
      <w:r>
        <w:rPr>
          <w:b/>
        </w:rPr>
        <w:t>Legal lesson learned: The firefighter has burden of proof in this ADA case; permanent assignment to a slower station is a unique request for “reasonable accommodation.”</w:t>
      </w:r>
    </w:p>
    <w:p w14:paraId="5891AC5A" w14:textId="77777777" w:rsidR="0091755D" w:rsidRDefault="0091755D" w:rsidP="00F326E5">
      <w:pPr>
        <w:pStyle w:val="NoSpacing"/>
        <w:rPr>
          <w:rFonts w:ascii="Arial Black" w:hAnsi="Arial Black"/>
          <w:sz w:val="28"/>
          <w:szCs w:val="28"/>
        </w:rPr>
      </w:pPr>
    </w:p>
    <w:p w14:paraId="4B42105B" w14:textId="77777777" w:rsidR="0091755D" w:rsidRDefault="0091755D" w:rsidP="00F326E5">
      <w:pPr>
        <w:pStyle w:val="NoSpacing"/>
        <w:rPr>
          <w:rFonts w:ascii="Arial Black" w:hAnsi="Arial Black"/>
          <w:sz w:val="28"/>
          <w:szCs w:val="28"/>
        </w:rPr>
      </w:pPr>
    </w:p>
    <w:p w14:paraId="3218205F" w14:textId="77777777" w:rsidR="0091755D" w:rsidRDefault="0091755D" w:rsidP="00F326E5">
      <w:pPr>
        <w:pStyle w:val="NoSpacing"/>
        <w:rPr>
          <w:rFonts w:ascii="Arial Black" w:hAnsi="Arial Black"/>
          <w:sz w:val="28"/>
          <w:szCs w:val="28"/>
        </w:rPr>
      </w:pPr>
    </w:p>
    <w:p w14:paraId="40116357" w14:textId="407A6241" w:rsidR="0026368F" w:rsidRDefault="0026368F" w:rsidP="00F326E5">
      <w:pPr>
        <w:pStyle w:val="NoSpacing"/>
        <w:rPr>
          <w:rFonts w:ascii="Arial Black" w:hAnsi="Arial Black"/>
          <w:sz w:val="28"/>
          <w:szCs w:val="28"/>
        </w:rPr>
      </w:pPr>
      <w:r>
        <w:rPr>
          <w:rFonts w:ascii="Arial Black" w:hAnsi="Arial Black"/>
          <w:sz w:val="28"/>
          <w:szCs w:val="28"/>
        </w:rPr>
        <w:t>14-9</w:t>
      </w:r>
    </w:p>
    <w:p w14:paraId="5AA0CFDE" w14:textId="77777777" w:rsidR="008F1833" w:rsidRDefault="008F1833" w:rsidP="0026368F">
      <w:pPr>
        <w:pStyle w:val="NoSpacing"/>
        <w:rPr>
          <w:rFonts w:ascii="Arial Black" w:hAnsi="Arial Black"/>
          <w:b/>
          <w:sz w:val="28"/>
          <w:szCs w:val="28"/>
        </w:rPr>
      </w:pPr>
    </w:p>
    <w:p w14:paraId="4791AD03" w14:textId="0F44BA03" w:rsidR="0026368F" w:rsidRPr="008F1833" w:rsidRDefault="0026368F" w:rsidP="0026368F">
      <w:pPr>
        <w:pStyle w:val="NoSpacing"/>
        <w:rPr>
          <w:rFonts w:ascii="Times New Roman" w:hAnsi="Times New Roman"/>
          <w:b/>
          <w:sz w:val="24"/>
          <w:szCs w:val="24"/>
        </w:rPr>
      </w:pPr>
      <w:r>
        <w:rPr>
          <w:rFonts w:ascii="Arial Black" w:hAnsi="Arial Black"/>
          <w:b/>
          <w:sz w:val="28"/>
          <w:szCs w:val="28"/>
        </w:rPr>
        <w:t>FL: FF FIRED – ANNUAL PHYSICAL – TRIED AVOID TB TEST</w:t>
      </w:r>
      <w:r w:rsidR="008F1833">
        <w:rPr>
          <w:rFonts w:ascii="Arial Black" w:hAnsi="Arial Black"/>
          <w:b/>
          <w:sz w:val="28"/>
          <w:szCs w:val="28"/>
        </w:rPr>
        <w:t xml:space="preserve"> </w:t>
      </w:r>
      <w:r w:rsidR="008F1833" w:rsidRPr="008F1833">
        <w:rPr>
          <w:rFonts w:ascii="Times New Roman" w:hAnsi="Times New Roman"/>
          <w:b/>
          <w:sz w:val="24"/>
          <w:szCs w:val="24"/>
        </w:rPr>
        <w:t>[also filed, Chap. 16]</w:t>
      </w:r>
    </w:p>
    <w:p w14:paraId="3AA73271" w14:textId="77777777" w:rsidR="0026368F" w:rsidRDefault="0026368F" w:rsidP="0026368F">
      <w:pPr>
        <w:pStyle w:val="NoSpacing"/>
        <w:rPr>
          <w:b/>
        </w:rPr>
      </w:pPr>
    </w:p>
    <w:p w14:paraId="3B46F789" w14:textId="77777777" w:rsidR="0026368F" w:rsidRPr="00FF0E3F" w:rsidRDefault="0026368F" w:rsidP="0026368F">
      <w:pPr>
        <w:pStyle w:val="NoSpacing"/>
        <w:rPr>
          <w:bCs/>
        </w:rPr>
      </w:pPr>
      <w:r w:rsidRPr="001D2253">
        <w:t xml:space="preserve">On February 6, 2026, in </w:t>
      </w:r>
      <w:r w:rsidRPr="001D2253">
        <w:rPr>
          <w:u w:val="single"/>
        </w:rPr>
        <w:t>Nathaniel Griffin v. City of South Pasadena and The St. Petersburg International Association of Fire Fighters, Local 747</w:t>
      </w:r>
      <w:r w:rsidRPr="001D2253">
        <w:t xml:space="preserve">, </w:t>
      </w:r>
      <w:r>
        <w:t xml:space="preserve">U.S. District Court Judge William F. Jung, </w:t>
      </w:r>
      <w:r w:rsidRPr="00FF0E3F">
        <w:t>United States District Court for the Middle District of Florida, Tampa Division</w:t>
      </w:r>
      <w:r>
        <w:t xml:space="preserve">, dismissed the lawsuit against both the </w:t>
      </w:r>
      <w:proofErr w:type="gramStart"/>
      <w:r>
        <w:t>City</w:t>
      </w:r>
      <w:proofErr w:type="gramEnd"/>
      <w:r>
        <w:t xml:space="preserve"> and the Local.  Firefighter, paramedic Griffin, on </w:t>
      </w:r>
      <w:r w:rsidRPr="00F470E1">
        <w:t xml:space="preserve">August 12, </w:t>
      </w:r>
      <w:proofErr w:type="gramStart"/>
      <w:r w:rsidRPr="00F470E1">
        <w:t>2022</w:t>
      </w:r>
      <w:proofErr w:type="gramEnd"/>
      <w:r w:rsidRPr="00F470E1">
        <w:t xml:space="preserve"> underwent his annual physical examination at Life Scan Wellness Center</w:t>
      </w:r>
      <w:r>
        <w:t xml:space="preserve">; he </w:t>
      </w:r>
      <w:r w:rsidRPr="00F470E1">
        <w:t>completed most of the medical examination without issue, except for the TB test</w:t>
      </w:r>
      <w:r>
        <w:t xml:space="preserve">, when asked </w:t>
      </w:r>
      <w:r w:rsidRPr="00F470E1">
        <w:t>the Life Scan technician to skip the TB test but fraudulently report that a test had been done.</w:t>
      </w:r>
      <w:r>
        <w:t xml:space="preserve">  The Fire Chief gave the plaintiff an opportunity to </w:t>
      </w:r>
      <w:proofErr w:type="gramStart"/>
      <w:r>
        <w:t>resigned</w:t>
      </w:r>
      <w:proofErr w:type="gramEnd"/>
      <w:r>
        <w:t xml:space="preserve">; he refused and was fired on September 13, 2022. </w:t>
      </w:r>
      <w:hyperlink r:id="rId2378" w:history="1">
        <w:r w:rsidRPr="00C72C21">
          <w:rPr>
            <w:rStyle w:val="Hyperlink"/>
          </w:rPr>
          <w:t>https://cases.justia.com/federal/district-courts/florida/flmdce/8:2025cv02787/448658/35/0.pdf</w:t>
        </w:r>
      </w:hyperlink>
      <w:r>
        <w:t xml:space="preserve"> </w:t>
      </w:r>
    </w:p>
    <w:p w14:paraId="2C931E7C" w14:textId="77777777" w:rsidR="0026368F" w:rsidRDefault="0026368F" w:rsidP="0026368F">
      <w:pPr>
        <w:pStyle w:val="NoSpacing"/>
        <w:rPr>
          <w:bCs/>
        </w:rPr>
      </w:pPr>
    </w:p>
    <w:p w14:paraId="23053B1D" w14:textId="77777777" w:rsidR="0026368F" w:rsidRDefault="0026368F" w:rsidP="0026368F">
      <w:pPr>
        <w:pStyle w:val="NoSpacing"/>
      </w:pPr>
      <w:r>
        <w:t>THE COURT HELD: “</w:t>
      </w:r>
      <w:r w:rsidRPr="005C306F">
        <w:t>When evaluating the results of the physical examination, the CBA requires the physician to follow the national guidelines set forth in the National Fire Protection Association (</w:t>
      </w:r>
      <w:r>
        <w:t>‘</w:t>
      </w:r>
      <w:r w:rsidRPr="005C306F">
        <w:t>NFPA</w:t>
      </w:r>
      <w:r>
        <w:t>’</w:t>
      </w:r>
      <w:r w:rsidRPr="005C306F">
        <w:t>) 1582, Chapter 9</w:t>
      </w:r>
      <w:r>
        <w:t xml:space="preserve">…. </w:t>
      </w:r>
      <w:r w:rsidRPr="005C306F">
        <w:t xml:space="preserve"> As relevant to this lawsuit, the annual physical examination includes tuberculosis (</w:t>
      </w:r>
      <w:r>
        <w:t>‘</w:t>
      </w:r>
      <w:r w:rsidRPr="005C306F">
        <w:t>TB</w:t>
      </w:r>
      <w:r>
        <w:t>’</w:t>
      </w:r>
      <w:r w:rsidRPr="005C306F">
        <w:t>) testing, which may require an additional chest X-ray if the TB test comes back positive</w:t>
      </w:r>
      <w:r>
        <w:t xml:space="preserve">…. </w:t>
      </w:r>
      <w:r w:rsidRPr="005C306F">
        <w:t xml:space="preserve">Plaintiff alleges that at some unspecified point during the CBA negotiations, he objected to the CBA agreement due </w:t>
      </w:r>
      <w:r>
        <w:t>‘</w:t>
      </w:r>
      <w:r w:rsidRPr="005C306F">
        <w:t>to the breath [sic] and intrusive nature of the mandatory medical examinations.</w:t>
      </w:r>
      <w:r>
        <w:t xml:space="preserve">’ … </w:t>
      </w:r>
      <w:r w:rsidRPr="005C306F">
        <w:t xml:space="preserve">Plaintiff further alleges that he continually voiced his objection to the CBA, even after the agreement was adopted on August 28, 2019. </w:t>
      </w:r>
      <w:r>
        <w:t xml:space="preserve">***  </w:t>
      </w:r>
      <w:r w:rsidRPr="00901B14">
        <w:t>Based on a careful review of the pleadings, the Court grants the City's motion to dismiss. As discussed below, Plaintiff has failed to state a claim under the ADA, GINA, Title VII, and Section 1983</w:t>
      </w:r>
      <w:r>
        <w:t xml:space="preserve">…. </w:t>
      </w:r>
      <w:r w:rsidRPr="003E7359">
        <w:t xml:space="preserve">Here, even when accepting the meager factual allegations as true, Plaintiff fails to allege any Fourth Amendment violation since the Complaint fails to allege that any private interests outweigh the City's interest in public safety. The Complaint vaguely asserts that the August 2022 physical examination violated </w:t>
      </w:r>
      <w:r>
        <w:t>‘</w:t>
      </w:r>
      <w:r w:rsidRPr="003E7359">
        <w:t xml:space="preserve">Plaintiff's personal privacy </w:t>
      </w:r>
      <w:proofErr w:type="gramStart"/>
      <w:r w:rsidRPr="003E7359">
        <w:t>rights</w:t>
      </w:r>
      <w:r>
        <w:t>’</w:t>
      </w:r>
      <w:proofErr w:type="gramEnd"/>
      <w:r w:rsidRPr="003E7359">
        <w:t xml:space="preserve"> due to the exam's </w:t>
      </w:r>
      <w:r>
        <w:t>‘</w:t>
      </w:r>
      <w:r w:rsidRPr="003E7359">
        <w:t>breadth and intrusive nature.</w:t>
      </w:r>
      <w:r>
        <w:t xml:space="preserve">’ … </w:t>
      </w:r>
      <w:r w:rsidRPr="003E7359">
        <w:t xml:space="preserve">But Plaintiff never specifies what aspect of the physical examination was so </w:t>
      </w:r>
      <w:r>
        <w:t>‘</w:t>
      </w:r>
      <w:proofErr w:type="spellStart"/>
      <w:r w:rsidRPr="003E7359">
        <w:t>intrusiv</w:t>
      </w:r>
      <w:proofErr w:type="spellEnd"/>
      <w:r>
        <w:t>’</w:t>
      </w:r>
      <w:r w:rsidRPr="003E7359">
        <w:t xml:space="preserve"> and overbroad that it violated Plaintiff's diminished expectation of privacy due to his job as a firefighter and paramedic. </w:t>
      </w:r>
      <w:r w:rsidRPr="003E7359">
        <w:rPr>
          <w:i/>
          <w:iCs/>
        </w:rPr>
        <w:t xml:space="preserve">See </w:t>
      </w:r>
      <w:proofErr w:type="spellStart"/>
      <w:r w:rsidRPr="003E7359">
        <w:rPr>
          <w:i/>
          <w:iCs/>
        </w:rPr>
        <w:t>Nat'l</w:t>
      </w:r>
      <w:proofErr w:type="spellEnd"/>
      <w:r w:rsidRPr="003E7359">
        <w:rPr>
          <w:i/>
          <w:iCs/>
        </w:rPr>
        <w:t xml:space="preserve"> Treasury Emps. Union v. Von Raab</w:t>
      </w:r>
      <w:r w:rsidRPr="003E7359">
        <w:t>, 489 U.S. 656, 671 (1989) (</w:t>
      </w:r>
      <w:r>
        <w:t>‘</w:t>
      </w:r>
      <w:r w:rsidRPr="003E7359">
        <w:t>[I]t is plain that certain forms of public employment may diminish privacy expectations even with respect to . . . personal searches.</w:t>
      </w:r>
      <w:r>
        <w:t>’</w:t>
      </w:r>
      <w:r w:rsidRPr="003E7359">
        <w:t xml:space="preserve">); </w:t>
      </w:r>
      <w:r w:rsidRPr="003E7359">
        <w:rPr>
          <w:i/>
          <w:iCs/>
        </w:rPr>
        <w:t>Scott</w:t>
      </w:r>
      <w:r w:rsidRPr="003E7359">
        <w:t>, 717 F.3d at 869 (</w:t>
      </w:r>
      <w:r>
        <w:t>‘</w:t>
      </w:r>
      <w:r w:rsidRPr="003E7359">
        <w:t xml:space="preserve">Another category-a natural extension of the Supreme Court's holding in </w:t>
      </w:r>
      <w:r w:rsidRPr="003E7359">
        <w:rPr>
          <w:i/>
          <w:iCs/>
        </w:rPr>
        <w:t>Von Raab</w:t>
      </w:r>
      <w:r w:rsidRPr="003E7359">
        <w:t>-encompasses . . . firefighters.</w:t>
      </w:r>
      <w:r>
        <w:t>’</w:t>
      </w:r>
      <w:r w:rsidRPr="003E7359">
        <w:t xml:space="preserve">); </w:t>
      </w:r>
      <w:r w:rsidRPr="003E7359">
        <w:rPr>
          <w:i/>
          <w:iCs/>
        </w:rPr>
        <w:t>Williams v. Bd. of Regents of Univ. Sys. of Georgia</w:t>
      </w:r>
      <w:r w:rsidRPr="003E7359">
        <w:t>, No. CV 120-100, 2021 WL 2827293, at *7 (S.D. Ga. July 7, 2021) (dismissing the plaintiff's Fourth Amendment search and seizure claim, as her employer's drug test fell under the special needs exception).</w:t>
      </w:r>
      <w:r>
        <w:t xml:space="preserve"> ***  Local 747’s motion seeks dismissal of the single ADA discrimination claim</w:t>
      </w:r>
    </w:p>
    <w:p w14:paraId="1AB986A1" w14:textId="77777777" w:rsidR="0026368F" w:rsidRDefault="0026368F" w:rsidP="0026368F">
      <w:pPr>
        <w:pStyle w:val="NoSpacing"/>
      </w:pPr>
      <w:r>
        <w:t xml:space="preserve">in Count IX. Local 747 asserts that the ADA claim is time-barred since Plaintiff ‘failed to file a charge against the Local challenging the medical exam requirement at issue within 300 days after Local 747 entered into the CBA on August 28, 2019.’ … Plaintiff’s discrimination charge must have been filed with the FCHR or the EEOC within 300 days—i.e., by June 23, 2020.” </w:t>
      </w:r>
    </w:p>
    <w:p w14:paraId="5A6E7FB7" w14:textId="77777777" w:rsidR="0026368F" w:rsidRDefault="0026368F" w:rsidP="0026368F">
      <w:pPr>
        <w:pStyle w:val="NoSpacing"/>
      </w:pPr>
    </w:p>
    <w:p w14:paraId="5C267648" w14:textId="77777777" w:rsidR="0026368F" w:rsidRDefault="0026368F" w:rsidP="0026368F">
      <w:pPr>
        <w:pStyle w:val="NoSpacing"/>
        <w:rPr>
          <w:b/>
          <w:bCs/>
        </w:rPr>
      </w:pPr>
      <w:r w:rsidRPr="00C65E3A">
        <w:rPr>
          <w:b/>
        </w:rPr>
        <w:t xml:space="preserve">Legal lesson learned: </w:t>
      </w:r>
      <w:r>
        <w:rPr>
          <w:b/>
        </w:rPr>
        <w:t xml:space="preserve">Very unusual to have a firefighter complain about annual physical. </w:t>
      </w:r>
    </w:p>
    <w:p w14:paraId="4A948A16" w14:textId="77777777" w:rsidR="0026368F" w:rsidRDefault="0026368F" w:rsidP="0026368F">
      <w:pPr>
        <w:pStyle w:val="NoSpacing"/>
        <w:rPr>
          <w:b/>
          <w:bCs/>
        </w:rPr>
      </w:pPr>
      <w:r>
        <w:rPr>
          <w:b/>
        </w:rPr>
        <w:tab/>
      </w:r>
      <w:r w:rsidRPr="00EA4E78">
        <w:t>Note: In Footnote 7, the Court wrote</w:t>
      </w:r>
      <w:r>
        <w:rPr>
          <w:b/>
        </w:rPr>
        <w:t xml:space="preserve">: </w:t>
      </w:r>
    </w:p>
    <w:p w14:paraId="3F825757" w14:textId="77777777" w:rsidR="0026368F" w:rsidRDefault="0026368F" w:rsidP="0026368F">
      <w:pPr>
        <w:pStyle w:val="NoSpacing"/>
        <w:ind w:left="720"/>
      </w:pPr>
      <w:r>
        <w:rPr>
          <w:b/>
        </w:rPr>
        <w:t>“</w:t>
      </w:r>
      <w:r w:rsidRPr="00975937">
        <w:t xml:space="preserve">Firefighters reside in close quarters. They must be strong and hale. They must be able to provide emergency lifesaving techniques in difficult circumstances to people of varying health. </w:t>
      </w:r>
      <w:r w:rsidRPr="00975937">
        <w:rPr>
          <w:i/>
          <w:iCs/>
        </w:rPr>
        <w:t>See Cremeens v. City of Montgomery, Ala.</w:t>
      </w:r>
      <w:r w:rsidRPr="00975937">
        <w:t xml:space="preserve">, 427 </w:t>
      </w:r>
      <w:proofErr w:type="spellStart"/>
      <w:r w:rsidRPr="00975937">
        <w:t>Fed.Appx</w:t>
      </w:r>
      <w:proofErr w:type="spellEnd"/>
      <w:r w:rsidRPr="00975937">
        <w:t>. 855, 858 (11th Cir. 2011) (</w:t>
      </w:r>
      <w:r>
        <w:t>‘</w:t>
      </w:r>
      <w:r w:rsidRPr="00975937">
        <w:t>The physical fitness requirements are directly related to a Fire Investigator's duty to fight fires, and they are necessary to ensure that Fire Investigators are able to perform that function when called upon to do so.).</w:t>
      </w:r>
      <w:r>
        <w:t>”</w:t>
      </w:r>
    </w:p>
    <w:p w14:paraId="065D8D49" w14:textId="77777777" w:rsidR="0026368F" w:rsidRPr="003E7359" w:rsidRDefault="0026368F" w:rsidP="0026368F">
      <w:pPr>
        <w:pStyle w:val="NoSpacing"/>
        <w:rPr>
          <w:b/>
          <w:bCs/>
        </w:rPr>
      </w:pPr>
    </w:p>
    <w:p w14:paraId="0C4ED6C3" w14:textId="77777777" w:rsidR="0026368F" w:rsidRDefault="0026368F" w:rsidP="00F326E5">
      <w:pPr>
        <w:pStyle w:val="NoSpacing"/>
        <w:rPr>
          <w:rFonts w:ascii="Arial Black" w:hAnsi="Arial Black"/>
          <w:sz w:val="28"/>
          <w:szCs w:val="28"/>
        </w:rPr>
      </w:pPr>
    </w:p>
    <w:p w14:paraId="4C3FD5B9" w14:textId="77777777" w:rsidR="0026368F" w:rsidRDefault="0026368F" w:rsidP="00F326E5">
      <w:pPr>
        <w:pStyle w:val="NoSpacing"/>
        <w:rPr>
          <w:rFonts w:ascii="Arial Black" w:hAnsi="Arial Black"/>
          <w:sz w:val="28"/>
          <w:szCs w:val="28"/>
        </w:rPr>
      </w:pPr>
    </w:p>
    <w:p w14:paraId="5F20C882" w14:textId="761CDC64" w:rsidR="006A02A4" w:rsidRDefault="009002CD" w:rsidP="00F326E5">
      <w:pPr>
        <w:pStyle w:val="NoSpacing"/>
        <w:rPr>
          <w:rFonts w:ascii="Arial Black" w:hAnsi="Arial Black"/>
          <w:sz w:val="28"/>
          <w:szCs w:val="28"/>
        </w:rPr>
      </w:pPr>
      <w:r>
        <w:rPr>
          <w:rFonts w:ascii="Arial Black" w:hAnsi="Arial Black"/>
          <w:sz w:val="28"/>
          <w:szCs w:val="28"/>
        </w:rPr>
        <w:t>14-8</w:t>
      </w:r>
    </w:p>
    <w:p w14:paraId="53F016D7" w14:textId="77777777" w:rsidR="0026368F" w:rsidRDefault="0026368F" w:rsidP="009002CD">
      <w:pPr>
        <w:rPr>
          <w:rFonts w:ascii="Arial Black" w:hAnsi="Arial Black"/>
          <w:sz w:val="28"/>
          <w:szCs w:val="28"/>
        </w:rPr>
      </w:pPr>
    </w:p>
    <w:p w14:paraId="0725B673" w14:textId="422D039B" w:rsidR="009002CD" w:rsidRDefault="009002CD" w:rsidP="009002CD">
      <w:pPr>
        <w:rPr>
          <w:rFonts w:ascii="Arial Black" w:hAnsi="Arial Black"/>
          <w:bCs/>
          <w:sz w:val="28"/>
          <w:szCs w:val="28"/>
        </w:rPr>
      </w:pPr>
      <w:r>
        <w:rPr>
          <w:rFonts w:ascii="Arial Black" w:hAnsi="Arial Black"/>
          <w:sz w:val="28"/>
          <w:szCs w:val="28"/>
        </w:rPr>
        <w:t>NY: VOL. FF - “PARTIALLY DISABLED” – DIDN’T TELL FD</w:t>
      </w:r>
    </w:p>
    <w:p w14:paraId="4CD507DC" w14:textId="77777777" w:rsidR="009002CD" w:rsidRPr="009002CD" w:rsidRDefault="009002CD" w:rsidP="009002CD">
      <w:pPr>
        <w:rPr>
          <w:rFonts w:ascii="Times New Roman" w:hAnsi="Times New Roman"/>
          <w:bCs/>
          <w:sz w:val="24"/>
          <w:szCs w:val="24"/>
        </w:rPr>
      </w:pPr>
      <w:r w:rsidRPr="009002CD">
        <w:rPr>
          <w:rFonts w:ascii="Times New Roman" w:hAnsi="Times New Roman"/>
          <w:sz w:val="24"/>
          <w:szCs w:val="24"/>
        </w:rPr>
        <w:t xml:space="preserve">On April 30, 2025, </w:t>
      </w:r>
      <w:r w:rsidRPr="009002CD">
        <w:rPr>
          <w:rFonts w:ascii="Times New Roman" w:hAnsi="Times New Roman"/>
          <w:sz w:val="24"/>
          <w:szCs w:val="24"/>
          <w:u w:val="single"/>
        </w:rPr>
        <w:t>In the Matter of Robert Correra v. Millwood Fire District, et al</w:t>
      </w:r>
      <w:r w:rsidRPr="009002CD">
        <w:rPr>
          <w:rFonts w:ascii="Times New Roman" w:hAnsi="Times New Roman"/>
          <w:sz w:val="24"/>
          <w:szCs w:val="24"/>
        </w:rPr>
        <w:t xml:space="preserve">., the Supreme Court of New York, Second Department, held (4 to 0) that the trial court properly adopted the report and recommendation of the Hearing Officer, which found the volunteer firefighter (volunteer since 2003; terminated Jan. 17, 2022) guilty of two charges: (1) provided false information regarding his failure to disclose his designation by the Workers' Compensation Board as ‘permanently, partially disabled’ on a form in connection with the 2020 physical examination; and (2) misconduct and insubordination, for improperly obtaining a physical examination while his operational privileges were suspended and for failing to provide a medical provider with the current job performance requirements for a firefighter. </w:t>
      </w:r>
      <w:hyperlink r:id="rId2379" w:history="1">
        <w:r w:rsidRPr="009002CD">
          <w:rPr>
            <w:rStyle w:val="Hyperlink"/>
            <w:rFonts w:ascii="Times New Roman" w:hAnsi="Times New Roman"/>
            <w:sz w:val="24"/>
            <w:szCs w:val="24"/>
          </w:rPr>
          <w:t>https://cdn.ca9.uscourts.gov/datastore/memoranda/2025/04/30/24-3195.pdf</w:t>
        </w:r>
      </w:hyperlink>
      <w:r w:rsidRPr="009002CD">
        <w:rPr>
          <w:rFonts w:ascii="Times New Roman" w:hAnsi="Times New Roman"/>
          <w:sz w:val="24"/>
          <w:szCs w:val="24"/>
        </w:rPr>
        <w:t xml:space="preserve"> </w:t>
      </w:r>
    </w:p>
    <w:p w14:paraId="41FF3899" w14:textId="77777777" w:rsidR="00AA11C3" w:rsidRPr="00AA11C3" w:rsidRDefault="00AA11C3" w:rsidP="00AA11C3">
      <w:pPr>
        <w:rPr>
          <w:rFonts w:ascii="Times New Roman" w:hAnsi="Times New Roman"/>
          <w:b/>
          <w:sz w:val="24"/>
          <w:szCs w:val="24"/>
        </w:rPr>
      </w:pPr>
      <w:r w:rsidRPr="00AA11C3">
        <w:rPr>
          <w:rFonts w:ascii="Times New Roman" w:hAnsi="Times New Roman"/>
          <w:b/>
          <w:sz w:val="24"/>
          <w:szCs w:val="24"/>
        </w:rPr>
        <w:t>Legal Lesson Learned: A firefighter’s failure to disclose that he is “permanently, partially disabled’ is threat to fellow firefighters and the public.</w:t>
      </w:r>
    </w:p>
    <w:p w14:paraId="2487C1E2" w14:textId="77777777" w:rsidR="009002CD" w:rsidRDefault="009002CD" w:rsidP="00F326E5">
      <w:pPr>
        <w:pStyle w:val="NoSpacing"/>
        <w:rPr>
          <w:rFonts w:ascii="Arial Black" w:hAnsi="Arial Black"/>
          <w:sz w:val="28"/>
          <w:szCs w:val="28"/>
        </w:rPr>
      </w:pPr>
    </w:p>
    <w:p w14:paraId="1E94C294" w14:textId="77777777" w:rsidR="009002CD" w:rsidRDefault="009002CD" w:rsidP="00F326E5">
      <w:pPr>
        <w:pStyle w:val="NoSpacing"/>
        <w:rPr>
          <w:rFonts w:ascii="Arial Black" w:hAnsi="Arial Black"/>
          <w:sz w:val="28"/>
          <w:szCs w:val="28"/>
        </w:rPr>
      </w:pPr>
    </w:p>
    <w:p w14:paraId="38E902CA" w14:textId="77777777" w:rsidR="009002CD" w:rsidRDefault="009002CD" w:rsidP="00F326E5">
      <w:pPr>
        <w:pStyle w:val="NoSpacing"/>
        <w:rPr>
          <w:rFonts w:ascii="Arial Black" w:hAnsi="Arial Black"/>
          <w:sz w:val="28"/>
          <w:szCs w:val="28"/>
        </w:rPr>
      </w:pPr>
    </w:p>
    <w:p w14:paraId="684E347A" w14:textId="4BF9601C" w:rsidR="004A59EC" w:rsidRDefault="004A59EC" w:rsidP="00F326E5">
      <w:pPr>
        <w:pStyle w:val="NoSpacing"/>
        <w:rPr>
          <w:rFonts w:ascii="Arial Black" w:hAnsi="Arial Black"/>
          <w:sz w:val="28"/>
          <w:szCs w:val="28"/>
        </w:rPr>
      </w:pPr>
      <w:r>
        <w:rPr>
          <w:rFonts w:ascii="Arial Black" w:hAnsi="Arial Black"/>
          <w:sz w:val="28"/>
          <w:szCs w:val="28"/>
        </w:rPr>
        <w:t>14-7</w:t>
      </w:r>
    </w:p>
    <w:p w14:paraId="30D15665" w14:textId="77777777" w:rsidR="004A59EC" w:rsidRDefault="004A59EC" w:rsidP="00F326E5">
      <w:pPr>
        <w:pStyle w:val="NoSpacing"/>
        <w:rPr>
          <w:rFonts w:ascii="Arial Black" w:hAnsi="Arial Black"/>
          <w:sz w:val="28"/>
          <w:szCs w:val="28"/>
        </w:rPr>
      </w:pPr>
    </w:p>
    <w:p w14:paraId="5B3DDF47" w14:textId="573E5642" w:rsidR="004A59EC" w:rsidRPr="00085C8F" w:rsidRDefault="004A59EC" w:rsidP="004A59EC">
      <w:pPr>
        <w:pStyle w:val="NoSpacing"/>
        <w:rPr>
          <w:rFonts w:ascii="Arial Black" w:hAnsi="Arial Black"/>
          <w:b/>
          <w:sz w:val="28"/>
          <w:szCs w:val="28"/>
        </w:rPr>
      </w:pPr>
      <w:r>
        <w:rPr>
          <w:rFonts w:ascii="Arial Black" w:hAnsi="Arial Black"/>
          <w:b/>
          <w:sz w:val="28"/>
          <w:szCs w:val="28"/>
        </w:rPr>
        <w:t xml:space="preserve">AR:  </w:t>
      </w:r>
      <w:r w:rsidR="00D87B7D">
        <w:rPr>
          <w:rFonts w:ascii="Arial Black" w:hAnsi="Arial Black"/>
          <w:b/>
          <w:sz w:val="28"/>
          <w:szCs w:val="28"/>
        </w:rPr>
        <w:t xml:space="preserve">WORKING OUT - </w:t>
      </w:r>
      <w:r>
        <w:rPr>
          <w:rFonts w:ascii="Arial Black" w:hAnsi="Arial Black"/>
          <w:b/>
          <w:sz w:val="28"/>
          <w:szCs w:val="28"/>
        </w:rPr>
        <w:t xml:space="preserve">INJURED LUMBAR – WORK COMP </w:t>
      </w:r>
    </w:p>
    <w:p w14:paraId="6FAB9F5A" w14:textId="77777777" w:rsidR="004A59EC" w:rsidRDefault="004A59EC" w:rsidP="004A59EC">
      <w:pPr>
        <w:pStyle w:val="NoSpacing"/>
        <w:rPr>
          <w:b/>
        </w:rPr>
      </w:pPr>
    </w:p>
    <w:p w14:paraId="0B65BC26" w14:textId="77777777" w:rsidR="00E077F6" w:rsidRPr="00932110" w:rsidRDefault="00E077F6" w:rsidP="00932110">
      <w:pPr>
        <w:pStyle w:val="NoSpacing"/>
        <w:rPr>
          <w:rFonts w:ascii="Times New Roman" w:hAnsi="Times New Roman"/>
          <w:bCs/>
          <w:sz w:val="24"/>
          <w:szCs w:val="24"/>
        </w:rPr>
      </w:pPr>
      <w:r w:rsidRPr="00932110">
        <w:rPr>
          <w:rFonts w:ascii="Times New Roman" w:hAnsi="Times New Roman"/>
          <w:sz w:val="24"/>
          <w:szCs w:val="24"/>
        </w:rPr>
        <w:t xml:space="preserve">On Dec. 13, 2024, in </w:t>
      </w:r>
      <w:r w:rsidRPr="00932110">
        <w:rPr>
          <w:rFonts w:ascii="Times New Roman" w:hAnsi="Times New Roman"/>
          <w:sz w:val="24"/>
          <w:szCs w:val="24"/>
          <w:u w:val="single"/>
        </w:rPr>
        <w:t>City of Tucson v. The Indus. Comm'n of Ariz</w:t>
      </w:r>
      <w:r w:rsidRPr="00932110">
        <w:rPr>
          <w:rFonts w:ascii="Times New Roman" w:hAnsi="Times New Roman"/>
          <w:sz w:val="24"/>
          <w:szCs w:val="24"/>
        </w:rPr>
        <w:t xml:space="preserve">., Court of Appeals of Arizona, Second Division held (3 to 0) that ALJ properly found Spitzer's lumbar surgery claim compensable.  The Court held: “The City contends Dr. Jeong's testimony was ‘foundationally deficient’ and should not have been used as competent medical evidence to support the ALJ's award of a compensable claim. We conclude otherwise. Jeong, Spitzer's surgeon, testified that the ‘deadlift episode’ was ‘more likely than not’ the cause of Spitzer's lumbar disk herniation. Dr. Eskay-Auerbach, the City's expert, opined that Spitzer's workout resulted in a 'lumbar sprain’ and noted that deadlifting is ‘not an activity that causes disk herniations.’ Eskay-Auerbach attributed Spitzer's disk herniation to ‘age related degenerative changes.’"  </w:t>
      </w:r>
      <w:hyperlink r:id="rId2380" w:history="1">
        <w:r w:rsidRPr="00932110">
          <w:rPr>
            <w:rStyle w:val="Hyperlink"/>
            <w:rFonts w:ascii="Times New Roman" w:hAnsi="Times New Roman"/>
            <w:sz w:val="24"/>
            <w:szCs w:val="24"/>
          </w:rPr>
          <w:t>https://casetext.com/case/city-of-tucson-v-the-indus-commn-of-ariz</w:t>
        </w:r>
      </w:hyperlink>
    </w:p>
    <w:p w14:paraId="58EFB061" w14:textId="77777777" w:rsidR="00E077F6" w:rsidRDefault="00E077F6" w:rsidP="00E077F6">
      <w:pPr>
        <w:ind w:left="720"/>
      </w:pPr>
    </w:p>
    <w:p w14:paraId="260D2380" w14:textId="38D0F8A9" w:rsidR="004A59EC" w:rsidRPr="004A59EC" w:rsidRDefault="004A59EC" w:rsidP="004A59EC">
      <w:pPr>
        <w:pStyle w:val="NoSpacing"/>
        <w:rPr>
          <w:rFonts w:ascii="Times New Roman" w:hAnsi="Times New Roman"/>
          <w:bCs/>
          <w:sz w:val="24"/>
          <w:szCs w:val="24"/>
        </w:rPr>
      </w:pPr>
      <w:r w:rsidRPr="004A59EC">
        <w:rPr>
          <w:rFonts w:ascii="Times New Roman" w:hAnsi="Times New Roman"/>
          <w:sz w:val="24"/>
          <w:szCs w:val="24"/>
        </w:rPr>
        <w:t>The Court held:</w:t>
      </w:r>
    </w:p>
    <w:p w14:paraId="6117BD3D" w14:textId="77777777" w:rsidR="004A59EC" w:rsidRPr="004A59EC" w:rsidRDefault="004A59EC" w:rsidP="004A59EC">
      <w:pPr>
        <w:pStyle w:val="NoSpacing"/>
        <w:ind w:left="720"/>
        <w:rPr>
          <w:rFonts w:ascii="Times New Roman" w:hAnsi="Times New Roman"/>
          <w:bCs/>
          <w:sz w:val="24"/>
          <w:szCs w:val="24"/>
        </w:rPr>
      </w:pPr>
    </w:p>
    <w:p w14:paraId="66C3C1E5" w14:textId="77777777" w:rsidR="004A59EC" w:rsidRPr="004A59EC" w:rsidRDefault="004A59EC" w:rsidP="004A59EC">
      <w:pPr>
        <w:pStyle w:val="NoSpacing"/>
        <w:ind w:left="720"/>
        <w:rPr>
          <w:rFonts w:ascii="Times New Roman" w:hAnsi="Times New Roman"/>
          <w:bCs/>
          <w:sz w:val="24"/>
          <w:szCs w:val="24"/>
        </w:rPr>
      </w:pPr>
      <w:r w:rsidRPr="004A59EC">
        <w:rPr>
          <w:rFonts w:ascii="Times New Roman" w:hAnsi="Times New Roman"/>
          <w:sz w:val="24"/>
          <w:szCs w:val="24"/>
        </w:rPr>
        <w:t xml:space="preserve">“The </w:t>
      </w:r>
      <w:proofErr w:type="gramStart"/>
      <w:r w:rsidRPr="004A59EC">
        <w:rPr>
          <w:rFonts w:ascii="Times New Roman" w:hAnsi="Times New Roman"/>
          <w:sz w:val="24"/>
          <w:szCs w:val="24"/>
        </w:rPr>
        <w:t>City</w:t>
      </w:r>
      <w:proofErr w:type="gramEnd"/>
      <w:r w:rsidRPr="004A59EC">
        <w:rPr>
          <w:rFonts w:ascii="Times New Roman" w:hAnsi="Times New Roman"/>
          <w:sz w:val="24"/>
          <w:szCs w:val="24"/>
        </w:rPr>
        <w:t xml:space="preserve"> contends Dr. Jeong's testimony was ‘foundationally deficient’ and should not have been used as competent medical evidence to support the ALJ's award of a compensable claim. We conclude otherwise. Jeong, Spitzer's surgeon, testified that the ‘deadlift episode’ was ‘more likely than not’ the cause of Spitzer's lumbar disk herniation. Dr. Eskay-Auerbach, the City's expert, opined that Spitzer's workout resulted in a 'lumbar sprain’ and noted that deadlifting is ‘not an activity that causes disk herniations.’ Eskay-Auerbach attributed Spitzer's disk herniation to ‘age related degenerative changes.’"  </w:t>
      </w:r>
      <w:hyperlink r:id="rId2381" w:history="1">
        <w:r w:rsidRPr="004A59EC">
          <w:rPr>
            <w:rStyle w:val="Hyperlink"/>
            <w:rFonts w:ascii="Times New Roman" w:hAnsi="Times New Roman"/>
            <w:sz w:val="24"/>
            <w:szCs w:val="24"/>
          </w:rPr>
          <w:t>https://casetext.com/case/city-of-tucson-v-the-indus-commn-of-ariz</w:t>
        </w:r>
      </w:hyperlink>
      <w:r w:rsidRPr="004A59EC">
        <w:rPr>
          <w:rFonts w:ascii="Times New Roman" w:hAnsi="Times New Roman"/>
          <w:sz w:val="24"/>
          <w:szCs w:val="24"/>
        </w:rPr>
        <w:t xml:space="preserve"> </w:t>
      </w:r>
    </w:p>
    <w:p w14:paraId="7EF26E3E" w14:textId="77777777" w:rsidR="004A59EC" w:rsidRPr="002A425F" w:rsidRDefault="004A59EC" w:rsidP="004A59EC">
      <w:pPr>
        <w:pStyle w:val="NoSpacing"/>
        <w:rPr>
          <w:bCs/>
        </w:rPr>
      </w:pPr>
    </w:p>
    <w:p w14:paraId="6113C16E" w14:textId="77777777" w:rsidR="00C0038F" w:rsidRPr="001B383B" w:rsidRDefault="00C0038F" w:rsidP="00C0038F">
      <w:pPr>
        <w:pStyle w:val="NoSpacing"/>
        <w:rPr>
          <w:rFonts w:ascii="Times New Roman" w:hAnsi="Times New Roman"/>
          <w:bCs/>
          <w:sz w:val="24"/>
          <w:szCs w:val="24"/>
        </w:rPr>
      </w:pPr>
      <w:r w:rsidRPr="001B383B">
        <w:rPr>
          <w:rFonts w:ascii="Times New Roman" w:hAnsi="Times New Roman"/>
          <w:sz w:val="24"/>
          <w:szCs w:val="24"/>
        </w:rPr>
        <w:t>HOLDING:</w:t>
      </w:r>
    </w:p>
    <w:p w14:paraId="4DF09664" w14:textId="77777777" w:rsidR="00C0038F" w:rsidRPr="001B383B" w:rsidRDefault="00C0038F" w:rsidP="00C0038F">
      <w:pPr>
        <w:pStyle w:val="NoSpacing"/>
        <w:rPr>
          <w:rFonts w:ascii="Times New Roman" w:hAnsi="Times New Roman"/>
          <w:bCs/>
          <w:sz w:val="24"/>
          <w:szCs w:val="24"/>
        </w:rPr>
      </w:pPr>
    </w:p>
    <w:p w14:paraId="21C656B8" w14:textId="77777777" w:rsidR="00C0038F" w:rsidRPr="001B383B" w:rsidRDefault="00C0038F" w:rsidP="00C0038F">
      <w:pPr>
        <w:pStyle w:val="NoSpacing"/>
        <w:ind w:left="720"/>
        <w:rPr>
          <w:rFonts w:ascii="Times New Roman" w:hAnsi="Times New Roman"/>
          <w:sz w:val="24"/>
          <w:szCs w:val="24"/>
        </w:rPr>
      </w:pPr>
      <w:r w:rsidRPr="001B383B">
        <w:rPr>
          <w:rFonts w:ascii="Times New Roman" w:hAnsi="Times New Roman"/>
          <w:sz w:val="24"/>
          <w:szCs w:val="24"/>
        </w:rPr>
        <w:t>“However, Spitzer consistently testified that his back was ‘sore’ leading up to January 27 and differentiated that soreness from it being painful or hurting. For example, Spitzer explained that he did not report his back injury on the date it occurred because it was ‘sore and not hurt’ and that the ‘soreness lined up with having done a workout.’ Therefore, the ALJ's follow-up accurately reflected the record. The ALJ did not err in finding Dr. Jeong's medical opinion more probably correct. Consequently, we conclude substantial evidence supports the ALJ's findings and award.”</w:t>
      </w:r>
    </w:p>
    <w:p w14:paraId="50F982E5" w14:textId="77777777" w:rsidR="00C0038F" w:rsidRPr="001B383B" w:rsidRDefault="00C0038F" w:rsidP="00C0038F">
      <w:pPr>
        <w:pStyle w:val="NoSpacing"/>
        <w:ind w:left="720"/>
        <w:rPr>
          <w:rFonts w:ascii="Times New Roman" w:hAnsi="Times New Roman"/>
          <w:sz w:val="24"/>
          <w:szCs w:val="24"/>
        </w:rPr>
      </w:pPr>
    </w:p>
    <w:p w14:paraId="0F1F71EC" w14:textId="77777777" w:rsidR="00C0038F" w:rsidRPr="001B383B" w:rsidRDefault="00C0038F" w:rsidP="00C0038F">
      <w:pPr>
        <w:pStyle w:val="NoSpacing"/>
        <w:rPr>
          <w:rFonts w:ascii="Times New Roman" w:hAnsi="Times New Roman"/>
          <w:b/>
          <w:bCs/>
          <w:sz w:val="24"/>
          <w:szCs w:val="24"/>
        </w:rPr>
      </w:pPr>
      <w:r w:rsidRPr="001B383B">
        <w:rPr>
          <w:rFonts w:ascii="Times New Roman" w:hAnsi="Times New Roman"/>
          <w:b/>
          <w:sz w:val="24"/>
          <w:szCs w:val="24"/>
        </w:rPr>
        <w:t xml:space="preserve">Legal Lesson Learned:  The firefighter presented expert testimony that persuaded the Administrative Law Judge. </w:t>
      </w:r>
    </w:p>
    <w:p w14:paraId="44621F56" w14:textId="77777777" w:rsidR="00C0038F" w:rsidRPr="001B383B" w:rsidRDefault="00C0038F" w:rsidP="00C0038F">
      <w:pPr>
        <w:pStyle w:val="NoSpacing"/>
        <w:rPr>
          <w:rFonts w:ascii="Times New Roman" w:hAnsi="Times New Roman"/>
          <w:b/>
          <w:bCs/>
          <w:sz w:val="24"/>
          <w:szCs w:val="24"/>
        </w:rPr>
      </w:pPr>
    </w:p>
    <w:p w14:paraId="221358AE" w14:textId="77777777" w:rsidR="004A59EC" w:rsidRDefault="004A59EC" w:rsidP="00F326E5">
      <w:pPr>
        <w:pStyle w:val="NoSpacing"/>
        <w:rPr>
          <w:rFonts w:ascii="Arial Black" w:hAnsi="Arial Black"/>
          <w:sz w:val="28"/>
          <w:szCs w:val="28"/>
        </w:rPr>
      </w:pPr>
    </w:p>
    <w:p w14:paraId="0532E24D" w14:textId="77777777" w:rsidR="004A59EC" w:rsidRDefault="004A59EC" w:rsidP="00F326E5">
      <w:pPr>
        <w:pStyle w:val="NoSpacing"/>
        <w:rPr>
          <w:rFonts w:ascii="Arial Black" w:hAnsi="Arial Black"/>
          <w:sz w:val="28"/>
          <w:szCs w:val="28"/>
        </w:rPr>
      </w:pPr>
    </w:p>
    <w:p w14:paraId="4423A638" w14:textId="1B401A05" w:rsidR="006C4BDE" w:rsidRDefault="006C4BDE" w:rsidP="00F326E5">
      <w:pPr>
        <w:pStyle w:val="NoSpacing"/>
        <w:rPr>
          <w:rFonts w:ascii="Arial Black" w:hAnsi="Arial Black"/>
          <w:sz w:val="28"/>
          <w:szCs w:val="28"/>
        </w:rPr>
      </w:pPr>
      <w:r>
        <w:rPr>
          <w:rFonts w:ascii="Arial Black" w:hAnsi="Arial Black"/>
          <w:sz w:val="28"/>
          <w:szCs w:val="28"/>
        </w:rPr>
        <w:t>14-6 [Also filed, Chap. 7]</w:t>
      </w:r>
    </w:p>
    <w:p w14:paraId="1D0DA59C" w14:textId="2488F8A5" w:rsidR="006C4BDE" w:rsidRPr="00F315B4" w:rsidRDefault="006C4BDE" w:rsidP="006C4BDE">
      <w:pPr>
        <w:spacing w:before="100" w:beforeAutospacing="1" w:after="100" w:afterAutospacing="1" w:line="240" w:lineRule="auto"/>
        <w:rPr>
          <w:rFonts w:ascii="Arial Black" w:hAnsi="Arial Black"/>
          <w:sz w:val="28"/>
          <w:szCs w:val="28"/>
        </w:rPr>
      </w:pPr>
      <w:r>
        <w:rPr>
          <w:rFonts w:ascii="Arial Black" w:hAnsi="Arial Black"/>
          <w:sz w:val="28"/>
          <w:szCs w:val="28"/>
        </w:rPr>
        <w:t>WI: FEMALE FAILS APPLICANT PHYSICAL FITNESS TEST –</w:t>
      </w:r>
      <w:r w:rsidR="006B7287">
        <w:rPr>
          <w:rFonts w:ascii="Arial Black" w:hAnsi="Arial Black"/>
          <w:sz w:val="28"/>
          <w:szCs w:val="28"/>
        </w:rPr>
        <w:t xml:space="preserve"> </w:t>
      </w:r>
      <w:r>
        <w:rPr>
          <w:rFonts w:ascii="Arial Black" w:hAnsi="Arial Black"/>
          <w:sz w:val="28"/>
          <w:szCs w:val="28"/>
        </w:rPr>
        <w:t>NOT CPAT, BUT MEETS EEOC GUIDELINES – TEST UPHELD</w:t>
      </w:r>
    </w:p>
    <w:p w14:paraId="6F425D2A" w14:textId="77777777" w:rsidR="00744AE5" w:rsidRDefault="006C4BDE" w:rsidP="006C4BDE">
      <w:pPr>
        <w:spacing w:before="100" w:beforeAutospacing="1" w:after="100" w:afterAutospacing="1" w:line="240" w:lineRule="auto"/>
        <w:rPr>
          <w:rFonts w:ascii="Times New Roman" w:eastAsia="Times New Roman" w:hAnsi="Times New Roman"/>
          <w:sz w:val="24"/>
          <w:szCs w:val="24"/>
        </w:rPr>
      </w:pPr>
      <w:r w:rsidRPr="00A4532F">
        <w:rPr>
          <w:rFonts w:ascii="Times New Roman" w:hAnsi="Times New Roman"/>
          <w:sz w:val="24"/>
          <w:szCs w:val="24"/>
        </w:rPr>
        <w:t xml:space="preserve">On July 20, 2022, in </w:t>
      </w:r>
      <w:r w:rsidRPr="00A4532F">
        <w:rPr>
          <w:rFonts w:ascii="Times New Roman" w:hAnsi="Times New Roman"/>
          <w:sz w:val="24"/>
          <w:szCs w:val="24"/>
          <w:u w:val="single"/>
        </w:rPr>
        <w:t>Catherine Erdman v. City of Madison</w:t>
      </w:r>
      <w:r>
        <w:rPr>
          <w:rFonts w:ascii="Times New Roman" w:hAnsi="Times New Roman"/>
          <w:sz w:val="24"/>
          <w:szCs w:val="24"/>
        </w:rPr>
        <w:t xml:space="preserve">, U.S. District Court Judge William M. Conley dismissed the lawsuit, findings that the Madison Fire Department in their 2014 applicant testing did not violate Title VII of the Civil Rights Act of 1964, even if more female failed compared to fire departments using the CPAT, since the tests were developed by consultants to assess actual job duties and meet the EEOC’s </w:t>
      </w:r>
      <w:r w:rsidRPr="005403E6">
        <w:rPr>
          <w:rFonts w:ascii="Times New Roman" w:eastAsia="Times New Roman" w:hAnsi="Times New Roman"/>
          <w:sz w:val="24"/>
          <w:szCs w:val="24"/>
        </w:rPr>
        <w:t>Uniform Guidelines on Employee Selection Procedures</w:t>
      </w:r>
      <w:r>
        <w:rPr>
          <w:rFonts w:ascii="Times New Roman" w:eastAsia="Times New Roman" w:hAnsi="Times New Roman"/>
          <w:sz w:val="24"/>
          <w:szCs w:val="24"/>
        </w:rPr>
        <w:t xml:space="preserve">. </w:t>
      </w:r>
    </w:p>
    <w:p w14:paraId="023A36A0" w14:textId="77777777" w:rsidR="00744AE5" w:rsidRPr="004C0299" w:rsidRDefault="00744AE5" w:rsidP="00744AE5">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2F972285" w14:textId="5FFD10C9" w:rsidR="006C4BDE" w:rsidRPr="005403E6" w:rsidRDefault="006C4BDE" w:rsidP="006C4BD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Plaintiff’s lawsuit claimed that she would have passed CPAT [Madison FD’s pass rate for women was 14%; the pass rate for women taking CPAT at Austin, Teas FD was 48%].  </w:t>
      </w:r>
      <w:r>
        <w:rPr>
          <w:rFonts w:ascii="Times New Roman" w:hAnsi="Times New Roman"/>
          <w:sz w:val="24"/>
          <w:szCs w:val="24"/>
        </w:rPr>
        <w:t xml:space="preserve">Plaintiff failed the “pike pole” which required </w:t>
      </w:r>
      <w:r w:rsidRPr="005403E6">
        <w:rPr>
          <w:rFonts w:ascii="Times New Roman" w:eastAsia="Times New Roman" w:hAnsi="Times New Roman"/>
          <w:sz w:val="24"/>
          <w:szCs w:val="24"/>
        </w:rPr>
        <w:t>applicants to stand at least 18 inches back from the ceiling being pulled down with a pike pole to account for safety concerns with</w:t>
      </w:r>
      <w:r>
        <w:rPr>
          <w:rFonts w:ascii="Times New Roman" w:eastAsia="Times New Roman" w:hAnsi="Times New Roman"/>
          <w:sz w:val="24"/>
          <w:szCs w:val="24"/>
        </w:rPr>
        <w:t xml:space="preserve"> test takers </w:t>
      </w:r>
      <w:r w:rsidRPr="005403E6">
        <w:rPr>
          <w:rFonts w:ascii="Times New Roman" w:eastAsia="Times New Roman" w:hAnsi="Times New Roman"/>
          <w:sz w:val="24"/>
          <w:szCs w:val="24"/>
        </w:rPr>
        <w:t>standing directly under the ceiling</w:t>
      </w:r>
      <w:r>
        <w:rPr>
          <w:rFonts w:ascii="Times New Roman" w:eastAsia="Times New Roman" w:hAnsi="Times New Roman"/>
          <w:sz w:val="24"/>
          <w:szCs w:val="24"/>
        </w:rPr>
        <w:t xml:space="preserve">; </w:t>
      </w:r>
      <w:r w:rsidRPr="005403E6">
        <w:rPr>
          <w:rFonts w:ascii="Times New Roman" w:eastAsia="Times New Roman" w:hAnsi="Times New Roman"/>
          <w:sz w:val="24"/>
          <w:szCs w:val="24"/>
        </w:rPr>
        <w:t>the pole was long enough to allow applicants of different heights to adjust the hold to account for that differential.</w:t>
      </w:r>
      <w:r>
        <w:rPr>
          <w:rFonts w:ascii="Times New Roman" w:eastAsia="Times New Roman" w:hAnsi="Times New Roman"/>
          <w:sz w:val="24"/>
          <w:szCs w:val="24"/>
        </w:rPr>
        <w:t xml:space="preserve"> </w:t>
      </w:r>
      <w:hyperlink r:id="rId2382" w:history="1">
        <w:r w:rsidRPr="00355029">
          <w:rPr>
            <w:rStyle w:val="Hyperlink"/>
            <w:rFonts w:ascii="Times New Roman" w:hAnsi="Times New Roman"/>
            <w:sz w:val="24"/>
            <w:szCs w:val="24"/>
          </w:rPr>
          <w:t>https://public.fastcase.com/J%2FJP6pdidelsXxEE4k%2BLMiptlpkB0gZD0zq9ZoOKNJuhacmaRfGRvhQDw8Dzjp093sUgUkI4CwYYkhqoix%2B0P6g4YOgoDnx2kMnRYwj%2FWdA%3D</w:t>
        </w:r>
      </w:hyperlink>
      <w:r>
        <w:rPr>
          <w:rFonts w:ascii="Times New Roman" w:hAnsi="Times New Roman"/>
          <w:sz w:val="24"/>
          <w:szCs w:val="24"/>
        </w:rPr>
        <w:t xml:space="preserve"> </w:t>
      </w:r>
    </w:p>
    <w:p w14:paraId="7245A580" w14:textId="77777777" w:rsidR="006C4BDE" w:rsidRPr="006E479D" w:rsidRDefault="006C4BDE" w:rsidP="006C4BDE">
      <w:pPr>
        <w:spacing w:before="100" w:beforeAutospacing="1" w:after="100" w:afterAutospacing="1" w:line="240" w:lineRule="auto"/>
        <w:rPr>
          <w:rFonts w:ascii="Times New Roman" w:hAnsi="Times New Roman"/>
          <w:b/>
          <w:bCs/>
          <w:sz w:val="24"/>
          <w:szCs w:val="24"/>
        </w:rPr>
      </w:pPr>
      <w:r w:rsidRPr="00604285">
        <w:rPr>
          <w:rFonts w:ascii="Times New Roman" w:hAnsi="Times New Roman"/>
          <w:b/>
          <w:bCs/>
          <w:sz w:val="24"/>
          <w:szCs w:val="24"/>
        </w:rPr>
        <w:t>Legal Lesson Learned:</w:t>
      </w:r>
      <w:r>
        <w:rPr>
          <w:rFonts w:ascii="Times New Roman" w:hAnsi="Times New Roman"/>
          <w:b/>
          <w:bCs/>
          <w:sz w:val="24"/>
          <w:szCs w:val="24"/>
        </w:rPr>
        <w:t xml:space="preserve"> </w:t>
      </w:r>
      <w:r w:rsidRPr="006E479D">
        <w:rPr>
          <w:rFonts w:ascii="Times New Roman" w:hAnsi="Times New Roman"/>
          <w:b/>
          <w:bCs/>
          <w:sz w:val="24"/>
          <w:szCs w:val="24"/>
        </w:rPr>
        <w:t xml:space="preserve">This alternative test passed EEOC “Uniform Guidelines </w:t>
      </w:r>
      <w:r w:rsidRPr="006E479D">
        <w:rPr>
          <w:rFonts w:ascii="Times New Roman" w:eastAsia="Times New Roman" w:hAnsi="Times New Roman"/>
          <w:b/>
          <w:bCs/>
          <w:sz w:val="24"/>
          <w:szCs w:val="24"/>
        </w:rPr>
        <w:t xml:space="preserve">on Employee Selection Procedures (1978), 29 C.F.R. § 1607, </w:t>
      </w:r>
      <w:r w:rsidRPr="006E479D">
        <w:rPr>
          <w:rFonts w:ascii="Times New Roman" w:eastAsia="Times New Roman" w:hAnsi="Times New Roman"/>
          <w:b/>
          <w:bCs/>
          <w:i/>
          <w:iCs/>
          <w:sz w:val="24"/>
          <w:szCs w:val="24"/>
        </w:rPr>
        <w:t xml:space="preserve">et seq.” </w:t>
      </w:r>
      <w:r w:rsidRPr="006E479D">
        <w:rPr>
          <w:rFonts w:ascii="Times New Roman" w:hAnsi="Times New Roman"/>
          <w:b/>
          <w:bCs/>
          <w:sz w:val="24"/>
          <w:szCs w:val="24"/>
        </w:rPr>
        <w:t xml:space="preserve">  </w:t>
      </w:r>
    </w:p>
    <w:p w14:paraId="6BD9C955" w14:textId="77777777" w:rsidR="006C4BDE" w:rsidRDefault="006C4BDE" w:rsidP="00F326E5">
      <w:pPr>
        <w:pStyle w:val="NoSpacing"/>
        <w:rPr>
          <w:rFonts w:ascii="Arial Black" w:hAnsi="Arial Black"/>
          <w:sz w:val="28"/>
          <w:szCs w:val="28"/>
        </w:rPr>
      </w:pPr>
    </w:p>
    <w:p w14:paraId="42575218" w14:textId="77777777" w:rsidR="006C4BDE" w:rsidRDefault="006C4BDE" w:rsidP="00F326E5">
      <w:pPr>
        <w:pStyle w:val="NoSpacing"/>
        <w:rPr>
          <w:rFonts w:ascii="Arial Black" w:hAnsi="Arial Black"/>
          <w:sz w:val="28"/>
          <w:szCs w:val="28"/>
        </w:rPr>
      </w:pPr>
    </w:p>
    <w:p w14:paraId="3C49D17B" w14:textId="26AC7D80" w:rsidR="00506EE7" w:rsidRDefault="00506EE7" w:rsidP="00F326E5">
      <w:pPr>
        <w:pStyle w:val="NoSpacing"/>
        <w:rPr>
          <w:rFonts w:ascii="Arial Black" w:hAnsi="Arial Black"/>
          <w:sz w:val="28"/>
          <w:szCs w:val="28"/>
        </w:rPr>
      </w:pPr>
      <w:r>
        <w:rPr>
          <w:rFonts w:ascii="Arial Black" w:hAnsi="Arial Black"/>
          <w:sz w:val="28"/>
          <w:szCs w:val="28"/>
        </w:rPr>
        <w:t>14-5</w:t>
      </w:r>
    </w:p>
    <w:p w14:paraId="4F26E956" w14:textId="77777777" w:rsidR="00506EE7" w:rsidRPr="002D2746" w:rsidRDefault="00506EE7" w:rsidP="00506EE7">
      <w:pPr>
        <w:spacing w:before="100" w:beforeAutospacing="1" w:after="100" w:afterAutospacing="1" w:line="240" w:lineRule="auto"/>
        <w:rPr>
          <w:rFonts w:ascii="Arial Black" w:eastAsia="Times New Roman" w:hAnsi="Arial Black"/>
          <w:b/>
          <w:bCs/>
          <w:sz w:val="28"/>
          <w:szCs w:val="28"/>
        </w:rPr>
      </w:pPr>
      <w:bookmarkStart w:id="558" w:name="_Hlk89148163"/>
      <w:r w:rsidRPr="002D2746">
        <w:rPr>
          <w:rFonts w:ascii="Arial Black" w:eastAsia="Times New Roman" w:hAnsi="Arial Black"/>
          <w:b/>
          <w:bCs/>
          <w:sz w:val="28"/>
          <w:szCs w:val="28"/>
        </w:rPr>
        <w:t>VA: PSYCHIA</w:t>
      </w:r>
      <w:r>
        <w:rPr>
          <w:rFonts w:ascii="Arial Black" w:eastAsia="Times New Roman" w:hAnsi="Arial Black"/>
          <w:b/>
          <w:bCs/>
          <w:sz w:val="28"/>
          <w:szCs w:val="28"/>
        </w:rPr>
        <w:t>T</w:t>
      </w:r>
      <w:r w:rsidRPr="002D2746">
        <w:rPr>
          <w:rFonts w:ascii="Arial Black" w:eastAsia="Times New Roman" w:hAnsi="Arial Black"/>
          <w:b/>
          <w:bCs/>
          <w:sz w:val="28"/>
          <w:szCs w:val="28"/>
        </w:rPr>
        <w:t>RIST</w:t>
      </w:r>
      <w:r>
        <w:rPr>
          <w:rFonts w:ascii="Arial Black" w:eastAsia="Times New Roman" w:hAnsi="Arial Black"/>
          <w:b/>
          <w:bCs/>
          <w:sz w:val="28"/>
          <w:szCs w:val="28"/>
        </w:rPr>
        <w:t xml:space="preserve"> (AGE 67) COULD NOT PASS PHYSICAL AGILITY TEST - JOB IN FED. PRISON – CASE TO PROCEED</w:t>
      </w:r>
    </w:p>
    <w:p w14:paraId="22D26C6C" w14:textId="77777777" w:rsidR="00506EE7" w:rsidRDefault="00506EE7" w:rsidP="00506EE7">
      <w:pPr>
        <w:spacing w:before="100" w:beforeAutospacing="1" w:after="100" w:afterAutospacing="1" w:line="240" w:lineRule="auto"/>
        <w:rPr>
          <w:rFonts w:ascii="Times New Roman" w:hAnsi="Times New Roman"/>
          <w:sz w:val="24"/>
          <w:szCs w:val="24"/>
        </w:rPr>
      </w:pPr>
      <w:r w:rsidRPr="009366B6">
        <w:rPr>
          <w:rFonts w:ascii="Times New Roman" w:eastAsia="Times New Roman" w:hAnsi="Times New Roman"/>
          <w:sz w:val="24"/>
          <w:szCs w:val="24"/>
        </w:rPr>
        <w:t xml:space="preserve">On </w:t>
      </w:r>
      <w:r>
        <w:rPr>
          <w:rFonts w:ascii="Times New Roman" w:eastAsia="Times New Roman" w:hAnsi="Times New Roman"/>
          <w:sz w:val="24"/>
          <w:szCs w:val="24"/>
        </w:rPr>
        <w:t xml:space="preserve">Nov. 17, 2021, in </w:t>
      </w:r>
      <w:r w:rsidRPr="009366B6">
        <w:rPr>
          <w:rFonts w:ascii="Times New Roman" w:eastAsia="Times New Roman" w:hAnsi="Times New Roman"/>
          <w:sz w:val="24"/>
          <w:szCs w:val="24"/>
          <w:u w:val="single"/>
        </w:rPr>
        <w:t>Jane D. Dicocco, MD v. Merick B. Garland, Attorney General, U.S. Department of Justice</w:t>
      </w:r>
      <w:r>
        <w:rPr>
          <w:rFonts w:ascii="Times New Roman" w:eastAsia="Times New Roman" w:hAnsi="Times New Roman"/>
          <w:sz w:val="24"/>
          <w:szCs w:val="24"/>
        </w:rPr>
        <w:t>, the U.S. Court of Appeals for the 4</w:t>
      </w:r>
      <w:r w:rsidRPr="009366B6">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(Richmond, VA) holds (2 to 1) that the psychiatrist may proceed with her case under Title VII of the Civil Rights Act, but </w:t>
      </w:r>
      <w:r>
        <w:rPr>
          <w:rStyle w:val="markedcontent"/>
          <w:rFonts w:ascii="Times New Roman" w:hAnsi="Times New Roman"/>
          <w:sz w:val="24"/>
          <w:szCs w:val="24"/>
        </w:rPr>
        <w:t>cannot sue Federal government under the A</w:t>
      </w:r>
      <w:r w:rsidRPr="00E84A85">
        <w:rPr>
          <w:rStyle w:val="markedcontent"/>
          <w:rFonts w:ascii="Times New Roman" w:hAnsi="Times New Roman"/>
          <w:sz w:val="24"/>
          <w:szCs w:val="24"/>
        </w:rPr>
        <w:t>ge Discrimination in Employment Act of 1967 (ADEA)</w:t>
      </w:r>
      <w:r>
        <w:rPr>
          <w:rStyle w:val="markedcontent"/>
          <w:rFonts w:ascii="Times New Roman" w:hAnsi="Times New Roman"/>
          <w:sz w:val="24"/>
          <w:szCs w:val="24"/>
        </w:rPr>
        <w:t xml:space="preserve">, because Congress never authorized Federal government to be sued for “adverse impact” on employees age 40 or older.  </w:t>
      </w:r>
      <w:r>
        <w:rPr>
          <w:rFonts w:ascii="Times New Roman" w:hAnsi="Times New Roman"/>
          <w:sz w:val="24"/>
          <w:szCs w:val="24"/>
        </w:rPr>
        <w:t xml:space="preserve">Note: </w:t>
      </w:r>
      <w:r>
        <w:rPr>
          <w:rFonts w:ascii="Times New Roman" w:eastAsia="Times New Roman" w:hAnsi="Times New Roman"/>
          <w:sz w:val="24"/>
          <w:szCs w:val="24"/>
        </w:rPr>
        <w:t>The Bureau of Prisons “Physical Abilities Test” includes: “</w:t>
      </w:r>
      <w:r w:rsidRPr="00CF5EED">
        <w:rPr>
          <w:rFonts w:ascii="Times New Roman" w:hAnsi="Times New Roman"/>
          <w:sz w:val="24"/>
          <w:szCs w:val="24"/>
        </w:rPr>
        <w:t>Employees taking the test must drag a seventy-five-pound dummy at least 694 feet for three minutes, climb a ladder to retrieve an object within seven seconds, complete an obstacle course in fifty-eight seconds, run a quarter mile and handcuff someone within two minutes and thirty-five seconds, and climb three flights of stairs in forty-five seconds while wearing a twenty-pound weight belt. Employees receive scores for the five components, which are aggregated and measured against a passing composite score.</w:t>
      </w:r>
      <w:r>
        <w:rPr>
          <w:rFonts w:ascii="Times New Roman" w:hAnsi="Times New Roman"/>
          <w:sz w:val="24"/>
          <w:szCs w:val="24"/>
        </w:rPr>
        <w:t xml:space="preserve">” </w:t>
      </w:r>
    </w:p>
    <w:p w14:paraId="7D963F73" w14:textId="77777777" w:rsidR="00506EE7" w:rsidRPr="001C3BEE" w:rsidRDefault="00506EE7" w:rsidP="00506EE7">
      <w:pPr>
        <w:spacing w:before="100" w:beforeAutospacing="1" w:after="100" w:afterAutospacing="1" w:line="240" w:lineRule="auto"/>
        <w:ind w:left="720"/>
        <w:rPr>
          <w:rStyle w:val="markedcontent"/>
          <w:rFonts w:ascii="Times New Roman" w:hAnsi="Times New Roman"/>
          <w:sz w:val="24"/>
          <w:szCs w:val="24"/>
        </w:rPr>
      </w:pPr>
      <w:r>
        <w:rPr>
          <w:rStyle w:val="markedcontent"/>
          <w:rFonts w:ascii="Times New Roman" w:hAnsi="Times New Roman"/>
          <w:sz w:val="24"/>
          <w:szCs w:val="24"/>
        </w:rPr>
        <w:t>“</w:t>
      </w:r>
      <w:r w:rsidRPr="001C3BEE">
        <w:rPr>
          <w:rStyle w:val="markedcontent"/>
          <w:rFonts w:ascii="Times New Roman" w:hAnsi="Times New Roman"/>
          <w:sz w:val="24"/>
          <w:szCs w:val="24"/>
        </w:rPr>
        <w:t xml:space="preserve">Dr. DiCocco alleged that she suffered financial and job-related injuries in fact that are </w:t>
      </w:r>
      <w:proofErr w:type="gramStart"/>
      <w:r w:rsidRPr="001C3BEE">
        <w:rPr>
          <w:rStyle w:val="markedcontent"/>
          <w:rFonts w:ascii="Times New Roman" w:hAnsi="Times New Roman"/>
          <w:sz w:val="24"/>
          <w:szCs w:val="24"/>
        </w:rPr>
        <w:t>fairly traceable</w:t>
      </w:r>
      <w:proofErr w:type="gramEnd"/>
      <w:r w:rsidRPr="001C3BEE">
        <w:rPr>
          <w:rStyle w:val="markedcontent"/>
          <w:rFonts w:ascii="Times New Roman" w:hAnsi="Times New Roman"/>
          <w:sz w:val="24"/>
          <w:szCs w:val="24"/>
        </w:rPr>
        <w:t xml:space="preserve"> to the government’s action and likely to be redressed by a favorable ruling</w:t>
      </w:r>
      <w:r>
        <w:rPr>
          <w:rStyle w:val="markedcontent"/>
          <w:rFonts w:ascii="Times New Roman" w:hAnsi="Times New Roman"/>
          <w:sz w:val="24"/>
          <w:szCs w:val="24"/>
        </w:rPr>
        <w:t xml:space="preserve">…. </w:t>
      </w:r>
      <w:r w:rsidRPr="001C3BEE">
        <w:rPr>
          <w:rStyle w:val="markedcontent"/>
          <w:rFonts w:ascii="Times New Roman" w:hAnsi="Times New Roman"/>
          <w:sz w:val="24"/>
          <w:szCs w:val="24"/>
        </w:rPr>
        <w:t xml:space="preserve"> </w:t>
      </w:r>
      <w:proofErr w:type="gramStart"/>
      <w:r w:rsidRPr="001C3BEE">
        <w:rPr>
          <w:rStyle w:val="markedcontent"/>
          <w:rFonts w:ascii="Times New Roman" w:hAnsi="Times New Roman"/>
          <w:sz w:val="24"/>
          <w:szCs w:val="24"/>
        </w:rPr>
        <w:t>So</w:t>
      </w:r>
      <w:proofErr w:type="gramEnd"/>
      <w:r w:rsidRPr="001C3BEE">
        <w:rPr>
          <w:rStyle w:val="markedcontent"/>
          <w:rFonts w:ascii="Times New Roman" w:hAnsi="Times New Roman"/>
          <w:sz w:val="24"/>
          <w:szCs w:val="24"/>
        </w:rPr>
        <w:t xml:space="preserve"> she has Article III standing. But we must still dismiss her ADEA claim because the ADEA provision applicable to federal-sector employees does not provide a disparate-impact cause of action. </w:t>
      </w:r>
      <w:proofErr w:type="gramStart"/>
      <w:r w:rsidRPr="001C3BEE">
        <w:rPr>
          <w:rStyle w:val="markedcontent"/>
          <w:rFonts w:ascii="Times New Roman" w:hAnsi="Times New Roman"/>
          <w:sz w:val="24"/>
          <w:szCs w:val="24"/>
        </w:rPr>
        <w:t>So</w:t>
      </w:r>
      <w:proofErr w:type="gramEnd"/>
      <w:r w:rsidRPr="001C3BEE">
        <w:rPr>
          <w:rStyle w:val="markedcontent"/>
          <w:rFonts w:ascii="Times New Roman" w:hAnsi="Times New Roman"/>
          <w:sz w:val="24"/>
          <w:szCs w:val="24"/>
        </w:rPr>
        <w:t xml:space="preserve"> her claim does not fall within the government’s waiver of sovereign immunity. We decline, however, to address arguments for rejecting her remaining Title VII claim under Rule 12(b)(6). We therefore affirm the district court’s dismissal of the ADEA claim but remand the Title VII claim for further proceedings.</w:t>
      </w:r>
      <w:r>
        <w:rPr>
          <w:rStyle w:val="markedcontent"/>
          <w:rFonts w:ascii="Times New Roman" w:hAnsi="Times New Roman"/>
          <w:sz w:val="24"/>
          <w:szCs w:val="24"/>
        </w:rPr>
        <w:t xml:space="preserve">” </w:t>
      </w:r>
      <w:hyperlink r:id="rId2383" w:history="1">
        <w:r w:rsidRPr="00C13A89">
          <w:rPr>
            <w:rStyle w:val="Hyperlink"/>
            <w:rFonts w:ascii="Times New Roman" w:hAnsi="Times New Roman"/>
            <w:sz w:val="24"/>
            <w:szCs w:val="24"/>
          </w:rPr>
          <w:t>https://www.ca4.uscourts.gov/Opinions/201342.P.pdf</w:t>
        </w:r>
      </w:hyperlink>
      <w:r>
        <w:rPr>
          <w:rStyle w:val="markedcontent"/>
          <w:rFonts w:ascii="Times New Roman" w:hAnsi="Times New Roman"/>
          <w:sz w:val="24"/>
          <w:szCs w:val="24"/>
        </w:rPr>
        <w:t xml:space="preserve"> </w:t>
      </w:r>
    </w:p>
    <w:p w14:paraId="0ED4A994" w14:textId="77777777" w:rsidR="00506EE7" w:rsidRDefault="00506EE7" w:rsidP="00506EE7">
      <w:pPr>
        <w:pStyle w:val="NormalWeb"/>
        <w:rPr>
          <w:b/>
          <w:bCs/>
        </w:rPr>
      </w:pPr>
      <w:r w:rsidRPr="006C5BC9">
        <w:rPr>
          <w:b/>
          <w:bCs/>
        </w:rPr>
        <w:t>Legal Lesson Learned:</w:t>
      </w:r>
      <w:r>
        <w:rPr>
          <w:b/>
          <w:bCs/>
        </w:rPr>
        <w:t xml:space="preserve">  Fire &amp; EMS Departments may impose physical fitness requirements as a condition of hire of emergency responders, such as passing CPAT test.  But requiring all employees, including secretaries and mechanics, to pass such a test would be a violation of Title VII. </w:t>
      </w:r>
    </w:p>
    <w:bookmarkEnd w:id="558"/>
    <w:p w14:paraId="1567EE1F" w14:textId="77777777" w:rsidR="00506EE7" w:rsidRDefault="00506EE7" w:rsidP="00F326E5">
      <w:pPr>
        <w:pStyle w:val="NoSpacing"/>
        <w:rPr>
          <w:rFonts w:ascii="Arial Black" w:hAnsi="Arial Black"/>
          <w:sz w:val="28"/>
          <w:szCs w:val="28"/>
        </w:rPr>
      </w:pPr>
    </w:p>
    <w:p w14:paraId="5E33CA11" w14:textId="77777777" w:rsidR="00506EE7" w:rsidRDefault="00506EE7" w:rsidP="00F326E5">
      <w:pPr>
        <w:pStyle w:val="NoSpacing"/>
        <w:rPr>
          <w:rFonts w:ascii="Arial Black" w:hAnsi="Arial Black"/>
          <w:sz w:val="28"/>
          <w:szCs w:val="28"/>
        </w:rPr>
      </w:pPr>
    </w:p>
    <w:p w14:paraId="4B431C28" w14:textId="76F633F2" w:rsidR="00F326E5" w:rsidRPr="00102FD0" w:rsidRDefault="00102FD0" w:rsidP="00F326E5">
      <w:pPr>
        <w:pStyle w:val="NoSpacing"/>
        <w:rPr>
          <w:rFonts w:ascii="Arial Black" w:hAnsi="Arial Black"/>
          <w:sz w:val="28"/>
          <w:szCs w:val="28"/>
        </w:rPr>
      </w:pPr>
      <w:r w:rsidRPr="00102FD0">
        <w:rPr>
          <w:rFonts w:ascii="Arial Black" w:hAnsi="Arial Black"/>
          <w:sz w:val="28"/>
          <w:szCs w:val="28"/>
        </w:rPr>
        <w:t>14-4</w:t>
      </w:r>
    </w:p>
    <w:p w14:paraId="3A655A75" w14:textId="77777777" w:rsidR="00102FD0" w:rsidRPr="00493410" w:rsidRDefault="00102FD0" w:rsidP="00102FD0">
      <w:pPr>
        <w:spacing w:before="100" w:beforeAutospacing="1" w:after="100" w:afterAutospacing="1" w:line="240" w:lineRule="auto"/>
        <w:rPr>
          <w:rFonts w:ascii="Arial Black" w:eastAsia="Times New Roman" w:hAnsi="Arial Black"/>
          <w:b/>
          <w:bCs/>
          <w:sz w:val="28"/>
          <w:szCs w:val="28"/>
        </w:rPr>
      </w:pPr>
      <w:bookmarkStart w:id="559" w:name="_Hlk66949804"/>
      <w:r w:rsidRPr="00493410">
        <w:rPr>
          <w:rFonts w:ascii="Arial Black" w:eastAsia="Times New Roman" w:hAnsi="Arial Black"/>
          <w:b/>
          <w:bCs/>
          <w:sz w:val="28"/>
          <w:szCs w:val="28"/>
        </w:rPr>
        <w:t xml:space="preserve">TX: </w:t>
      </w:r>
      <w:r>
        <w:rPr>
          <w:rFonts w:ascii="Arial Black" w:eastAsia="Times New Roman" w:hAnsi="Arial Black"/>
          <w:b/>
          <w:bCs/>
          <w:sz w:val="28"/>
          <w:szCs w:val="28"/>
        </w:rPr>
        <w:t>RECRUIT BROKE ANKLE TRAINING RUN, RESIGNED - CLAIMS HARASSED BY LIEUTENANT – AN “ISOLATED INCIDENT” - DISMISSED</w:t>
      </w:r>
    </w:p>
    <w:p w14:paraId="5D4BFDA3" w14:textId="77777777" w:rsidR="00102FD0" w:rsidRDefault="00102FD0" w:rsidP="00102FD0">
      <w:pPr>
        <w:spacing w:before="100" w:beforeAutospacing="1" w:after="100" w:afterAutospacing="1" w:line="240" w:lineRule="auto"/>
        <w:rPr>
          <w:rFonts w:ascii="Times New Roman" w:eastAsia="Times New Roman" w:hAnsi="Times New Roman"/>
          <w:sz w:val="24"/>
          <w:szCs w:val="24"/>
        </w:rPr>
      </w:pPr>
      <w:r w:rsidRPr="00493410">
        <w:rPr>
          <w:rFonts w:ascii="Times New Roman" w:eastAsia="Times New Roman" w:hAnsi="Times New Roman"/>
          <w:sz w:val="24"/>
          <w:szCs w:val="24"/>
        </w:rPr>
        <w:t xml:space="preserve">On Oct. 14, 2020, in </w:t>
      </w:r>
      <w:r w:rsidRPr="00493410">
        <w:rPr>
          <w:rFonts w:ascii="Times New Roman" w:eastAsia="Times New Roman" w:hAnsi="Times New Roman"/>
          <w:sz w:val="24"/>
          <w:szCs w:val="24"/>
          <w:u w:val="single"/>
        </w:rPr>
        <w:t>Bryce Baker v. City of Arlington</w:t>
      </w:r>
      <w:r>
        <w:rPr>
          <w:rFonts w:ascii="Times New Roman" w:eastAsia="Times New Roman" w:hAnsi="Times New Roman"/>
          <w:sz w:val="24"/>
          <w:szCs w:val="24"/>
        </w:rPr>
        <w:t xml:space="preserve">, U.S. District Court Judge Mark T. Pittman, Northern District of Texas, granted the City’s motion to dismiss.  The recruit broke his ankle during a training run and resigned; he claims that prior to injury, Training Lieutenant harassed him in front of recruit class about having joined in a class action lawsuit against </w:t>
      </w:r>
      <w:proofErr w:type="gramStart"/>
      <w:r>
        <w:rPr>
          <w:rFonts w:ascii="Times New Roman" w:eastAsia="Times New Roman" w:hAnsi="Times New Roman"/>
          <w:sz w:val="24"/>
          <w:szCs w:val="24"/>
        </w:rPr>
        <w:t>City, and</w:t>
      </w:r>
      <w:proofErr w:type="gramEnd"/>
      <w:r>
        <w:rPr>
          <w:rFonts w:ascii="Times New Roman" w:eastAsia="Times New Roman" w:hAnsi="Times New Roman"/>
          <w:sz w:val="24"/>
          <w:szCs w:val="24"/>
        </w:rPr>
        <w:t xml:space="preserve"> following the injury urging him to resign.  Case dismissed; isolated acts by training officer does not prove City endorses such conduct.   </w:t>
      </w:r>
    </w:p>
    <w:bookmarkEnd w:id="559"/>
    <w:p w14:paraId="474E4CD4" w14:textId="77777777" w:rsidR="00102FD0" w:rsidRDefault="00102FD0" w:rsidP="00102FD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E40DB8">
        <w:rPr>
          <w:rFonts w:ascii="Times New Roman" w:hAnsi="Times New Roman"/>
          <w:sz w:val="24"/>
          <w:szCs w:val="24"/>
        </w:rPr>
        <w:t xml:space="preserve">Baker asserts a single claim against Arlington for First Amendment retaliation under 42 U.S.C. § 1983. </w:t>
      </w:r>
      <w:proofErr w:type="spellStart"/>
      <w:r w:rsidRPr="00E40DB8">
        <w:rPr>
          <w:rFonts w:ascii="Times New Roman" w:hAnsi="Times New Roman"/>
          <w:sz w:val="24"/>
          <w:szCs w:val="24"/>
        </w:rPr>
        <w:t>Compl</w:t>
      </w:r>
      <w:proofErr w:type="spellEnd"/>
      <w:r w:rsidRPr="00E40DB8">
        <w:rPr>
          <w:rFonts w:ascii="Times New Roman" w:hAnsi="Times New Roman"/>
          <w:sz w:val="24"/>
          <w:szCs w:val="24"/>
        </w:rPr>
        <w:t xml:space="preserve">. </w:t>
      </w:r>
      <w:proofErr w:type="gramStart"/>
      <w:r w:rsidRPr="00E40DB8">
        <w:rPr>
          <w:rFonts w:ascii="Times New Roman" w:hAnsi="Times New Roman"/>
          <w:sz w:val="24"/>
          <w:szCs w:val="24"/>
        </w:rPr>
        <w:t>at ¶¶</w:t>
      </w:r>
      <w:proofErr w:type="gramEnd"/>
      <w:r w:rsidRPr="00E40DB8">
        <w:rPr>
          <w:rFonts w:ascii="Times New Roman" w:hAnsi="Times New Roman"/>
          <w:sz w:val="24"/>
          <w:szCs w:val="24"/>
        </w:rPr>
        <w:t xml:space="preserve"> 20-24. However, as explained below, Arlington cannot be held liable under </w:t>
      </w:r>
      <w:r w:rsidRPr="00E40DB8">
        <w:rPr>
          <w:rFonts w:ascii="Times New Roman" w:hAnsi="Times New Roman"/>
          <w:i/>
          <w:iCs/>
          <w:sz w:val="24"/>
          <w:szCs w:val="24"/>
        </w:rPr>
        <w:t>Monell</w:t>
      </w:r>
      <w:r w:rsidRPr="00E40DB8">
        <w:rPr>
          <w:rFonts w:ascii="Times New Roman" w:hAnsi="Times New Roman"/>
          <w:sz w:val="24"/>
          <w:szCs w:val="24"/>
        </w:rPr>
        <w:t xml:space="preserve"> because Baker </w:t>
      </w:r>
      <w:proofErr w:type="gramStart"/>
      <w:r w:rsidRPr="00E40DB8">
        <w:rPr>
          <w:rFonts w:ascii="Times New Roman" w:hAnsi="Times New Roman"/>
          <w:sz w:val="24"/>
          <w:szCs w:val="24"/>
        </w:rPr>
        <w:t>actually pleaded</w:t>
      </w:r>
      <w:proofErr w:type="gramEnd"/>
      <w:r w:rsidRPr="00E40DB8">
        <w:rPr>
          <w:rFonts w:ascii="Times New Roman" w:hAnsi="Times New Roman"/>
          <w:sz w:val="24"/>
          <w:szCs w:val="24"/>
        </w:rPr>
        <w:t xml:space="preserve"> a policy </w:t>
      </w:r>
      <w:r w:rsidRPr="00E40DB8">
        <w:rPr>
          <w:rFonts w:ascii="Times New Roman" w:hAnsi="Times New Roman"/>
          <w:b/>
          <w:bCs/>
          <w:i/>
          <w:iCs/>
          <w:sz w:val="24"/>
          <w:szCs w:val="24"/>
        </w:rPr>
        <w:t>against</w:t>
      </w:r>
      <w:r w:rsidRPr="00E40DB8">
        <w:rPr>
          <w:rFonts w:ascii="Times New Roman" w:hAnsi="Times New Roman"/>
          <w:sz w:val="24"/>
          <w:szCs w:val="24"/>
        </w:rPr>
        <w:t xml:space="preserve"> the harassment Baker alleges. </w:t>
      </w:r>
      <w:r w:rsidRPr="00E40DB8">
        <w:rPr>
          <w:rFonts w:ascii="Times New Roman" w:hAnsi="Times New Roman"/>
          <w:i/>
          <w:iCs/>
          <w:sz w:val="24"/>
          <w:szCs w:val="24"/>
        </w:rPr>
        <w:t>Id</w:t>
      </w:r>
      <w:r w:rsidRPr="00E40DB8">
        <w:rPr>
          <w:rFonts w:ascii="Times New Roman" w:hAnsi="Times New Roman"/>
          <w:sz w:val="24"/>
          <w:szCs w:val="24"/>
        </w:rPr>
        <w:t>. at ¶ 18. Further, Baker's bare allegation that Lt. Price is a policymaker is conclusory and, as such, is insufficient to state a claim.</w:t>
      </w:r>
    </w:p>
    <w:p w14:paraId="21E62919" w14:textId="77777777" w:rsidR="00102FD0" w:rsidRPr="00E40DB8" w:rsidRDefault="00102FD0" w:rsidP="00102FD0">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p>
    <w:p w14:paraId="30329BAB" w14:textId="15C373E2" w:rsidR="00102FD0" w:rsidRDefault="00102FD0" w:rsidP="00102FD0">
      <w:pPr>
        <w:pStyle w:val="NoSpacing"/>
        <w:rPr>
          <w:sz w:val="24"/>
          <w:szCs w:val="24"/>
        </w:rPr>
      </w:pPr>
      <w:r w:rsidRPr="0037516D">
        <w:rPr>
          <w:rFonts w:ascii="Times New Roman" w:eastAsia="Times New Roman" w:hAnsi="Times New Roman"/>
          <w:sz w:val="24"/>
          <w:szCs w:val="24"/>
        </w:rPr>
        <w:t xml:space="preserve">Further, Arlington cannot be held liable under § 1983 for an isolated incident involving one of its employees. Under § 1983, "isolated unconstitutional actions by municipal employees will almost never trigger liability." </w:t>
      </w:r>
      <w:r w:rsidRPr="0037516D">
        <w:rPr>
          <w:rFonts w:ascii="Times New Roman" w:eastAsia="Times New Roman" w:hAnsi="Times New Roman"/>
          <w:i/>
          <w:iCs/>
          <w:sz w:val="24"/>
          <w:szCs w:val="24"/>
        </w:rPr>
        <w:t>Piotrowski</w:t>
      </w:r>
      <w:r w:rsidRPr="0037516D">
        <w:rPr>
          <w:rFonts w:ascii="Times New Roman" w:eastAsia="Times New Roman" w:hAnsi="Times New Roman"/>
          <w:sz w:val="24"/>
          <w:szCs w:val="24"/>
        </w:rPr>
        <w:t xml:space="preserve">, 237 F.3d at 578. Arlington makes this argument in its Motion to Dismiss when it states that Baker's claims are </w:t>
      </w:r>
      <w:r>
        <w:rPr>
          <w:rFonts w:ascii="Times New Roman" w:eastAsia="Times New Roman" w:hAnsi="Times New Roman"/>
          <w:sz w:val="24"/>
          <w:szCs w:val="24"/>
        </w:rPr>
        <w:t>‘</w:t>
      </w:r>
      <w:r w:rsidRPr="0037516D">
        <w:rPr>
          <w:rFonts w:ascii="Times New Roman" w:eastAsia="Times New Roman" w:hAnsi="Times New Roman"/>
          <w:sz w:val="24"/>
          <w:szCs w:val="24"/>
        </w:rPr>
        <w:t>directed at a single former Arlington employee—a fire department trainer.</w:t>
      </w:r>
      <w:r>
        <w:rPr>
          <w:rFonts w:ascii="Times New Roman" w:eastAsia="Times New Roman" w:hAnsi="Times New Roman"/>
          <w:sz w:val="24"/>
          <w:szCs w:val="24"/>
        </w:rPr>
        <w:t>’</w:t>
      </w:r>
      <w:r w:rsidRPr="0037516D">
        <w:rPr>
          <w:rFonts w:ascii="Times New Roman" w:eastAsia="Times New Roman" w:hAnsi="Times New Roman"/>
          <w:sz w:val="24"/>
          <w:szCs w:val="24"/>
        </w:rPr>
        <w:t xml:space="preserve"> MTD at ¶ 2.01. Baker fails to plead any facts that the alleged harassment and badgering were</w:t>
      </w:r>
      <w:r w:rsidRPr="00E911C8">
        <w:rPr>
          <w:rFonts w:ascii="Times New Roman" w:eastAsia="Times New Roman" w:hAnsi="Times New Roman"/>
          <w:sz w:val="24"/>
          <w:szCs w:val="24"/>
        </w:rPr>
        <w:t xml:space="preserve"> </w:t>
      </w:r>
      <w:r w:rsidRPr="0037516D">
        <w:rPr>
          <w:rFonts w:ascii="Times New Roman" w:eastAsia="Times New Roman" w:hAnsi="Times New Roman"/>
          <w:sz w:val="24"/>
          <w:szCs w:val="24"/>
        </w:rPr>
        <w:t xml:space="preserve">anything more than an isolated situation between one trainer and one employee. These isolated acts of one employee do not constitute </w:t>
      </w:r>
      <w:r>
        <w:rPr>
          <w:rFonts w:ascii="Times New Roman" w:eastAsia="Times New Roman" w:hAnsi="Times New Roman"/>
          <w:sz w:val="24"/>
          <w:szCs w:val="24"/>
        </w:rPr>
        <w:t>‘</w:t>
      </w:r>
      <w:r w:rsidRPr="0037516D">
        <w:rPr>
          <w:rFonts w:ascii="Times New Roman" w:eastAsia="Times New Roman" w:hAnsi="Times New Roman"/>
          <w:sz w:val="24"/>
          <w:szCs w:val="24"/>
        </w:rPr>
        <w:t>widespread practice</w:t>
      </w:r>
      <w:r>
        <w:rPr>
          <w:rFonts w:ascii="Times New Roman" w:eastAsia="Times New Roman" w:hAnsi="Times New Roman"/>
          <w:sz w:val="24"/>
          <w:szCs w:val="24"/>
        </w:rPr>
        <w:t>’</w:t>
      </w:r>
      <w:r w:rsidRPr="0037516D">
        <w:rPr>
          <w:rFonts w:ascii="Times New Roman" w:eastAsia="Times New Roman" w:hAnsi="Times New Roman"/>
          <w:sz w:val="24"/>
          <w:szCs w:val="24"/>
        </w:rPr>
        <w:t xml:space="preserve"> and thus cannot be said to qualify as a custom under </w:t>
      </w:r>
      <w:r w:rsidRPr="0037516D">
        <w:rPr>
          <w:rFonts w:ascii="Times New Roman" w:eastAsia="Times New Roman" w:hAnsi="Times New Roman"/>
          <w:i/>
          <w:iCs/>
          <w:sz w:val="24"/>
          <w:szCs w:val="24"/>
        </w:rPr>
        <w:t>Monell</w:t>
      </w:r>
      <w:r w:rsidRPr="0037516D">
        <w:rPr>
          <w:rFonts w:ascii="Times New Roman" w:eastAsia="Times New Roman" w:hAnsi="Times New Roman"/>
          <w:sz w:val="24"/>
          <w:szCs w:val="24"/>
        </w:rPr>
        <w:t xml:space="preserve">. </w:t>
      </w:r>
      <w:r w:rsidRPr="0037516D">
        <w:rPr>
          <w:rFonts w:ascii="Times New Roman" w:eastAsia="Times New Roman" w:hAnsi="Times New Roman"/>
          <w:i/>
          <w:iCs/>
          <w:sz w:val="24"/>
          <w:szCs w:val="24"/>
        </w:rPr>
        <w:t>See Peterson</w:t>
      </w:r>
      <w:r w:rsidRPr="0037516D">
        <w:rPr>
          <w:rFonts w:ascii="Times New Roman" w:eastAsia="Times New Roman" w:hAnsi="Times New Roman"/>
          <w:sz w:val="24"/>
          <w:szCs w:val="24"/>
        </w:rPr>
        <w:t xml:space="preserve">, 588 F.3d at 847. Therefore, the Court finds that Baker did not plead sufficient facts to identify any official Arlington policies or customs actionable under § 1983. Arlington's Motion to Dismiss should be and hereby is </w:t>
      </w:r>
      <w:r w:rsidRPr="0037516D">
        <w:rPr>
          <w:rFonts w:ascii="Times New Roman" w:eastAsia="Times New Roman" w:hAnsi="Times New Roman"/>
          <w:b/>
          <w:bCs/>
          <w:sz w:val="24"/>
          <w:szCs w:val="24"/>
        </w:rPr>
        <w:t>GRANTED.</w:t>
      </w:r>
      <w:r>
        <w:rPr>
          <w:rFonts w:ascii="Times New Roman" w:eastAsia="Times New Roman" w:hAnsi="Times New Roman"/>
          <w:b/>
          <w:bCs/>
          <w:sz w:val="24"/>
          <w:szCs w:val="24"/>
        </w:rPr>
        <w:t xml:space="preserve">” </w:t>
      </w:r>
      <w:bookmarkStart w:id="560" w:name="_Hlk66949840"/>
      <w:r w:rsidR="00F00958">
        <w:fldChar w:fldCharType="begin"/>
      </w:r>
      <w:r w:rsidR="00F00958">
        <w:instrText xml:space="preserve"> HYPERLINK "https://public.fastcase.com/Wl%2B2t%2BeVuI35%2FN70vAMFZnHSF8BEUL1CjKubfF2B3NrqkfafOcq09oBO0aW1DE51" </w:instrText>
      </w:r>
      <w:r w:rsidR="00F00958">
        <w:fldChar w:fldCharType="separate"/>
      </w:r>
      <w:r w:rsidRPr="00E911C8">
        <w:rPr>
          <w:rStyle w:val="Hyperlink"/>
          <w:rFonts w:ascii="Times New Roman" w:eastAsia="Times New Roman" w:hAnsi="Times New Roman"/>
          <w:sz w:val="24"/>
          <w:szCs w:val="24"/>
        </w:rPr>
        <w:t>https://public.fastcase.com/Wl%2B2t%2BeVuI35%2FN70vAMFZnHSF8BEUL1CjKubfF2B3NrqkfafOcq09oBO0aW1DE51</w:t>
      </w:r>
      <w:r w:rsidR="00F00958">
        <w:rPr>
          <w:rStyle w:val="Hyperlink"/>
          <w:rFonts w:ascii="Times New Roman" w:eastAsia="Times New Roman" w:hAnsi="Times New Roman"/>
          <w:sz w:val="24"/>
          <w:szCs w:val="24"/>
        </w:rPr>
        <w:fldChar w:fldCharType="end"/>
      </w:r>
    </w:p>
    <w:p w14:paraId="5F9BD153" w14:textId="77777777" w:rsidR="00102FD0" w:rsidRPr="00E40DB8" w:rsidRDefault="00102FD0" w:rsidP="00102FD0">
      <w:pPr>
        <w:spacing w:before="100" w:beforeAutospacing="1" w:after="100" w:afterAutospacing="1" w:line="240" w:lineRule="auto"/>
        <w:rPr>
          <w:rFonts w:ascii="Times New Roman" w:eastAsia="Times New Roman" w:hAnsi="Times New Roman"/>
          <w:b/>
          <w:bCs/>
          <w:sz w:val="24"/>
          <w:szCs w:val="24"/>
        </w:rPr>
      </w:pPr>
      <w:bookmarkStart w:id="561" w:name="_Hlk7348114"/>
      <w:r w:rsidRPr="00E40DB8">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Isolated acts by training lieutenant, while unfortunate, do not establish a basis for liability of the City.  </w:t>
      </w:r>
    </w:p>
    <w:bookmarkEnd w:id="560"/>
    <w:p w14:paraId="52238CA7" w14:textId="07C27398" w:rsidR="00102FD0" w:rsidRDefault="00102FD0" w:rsidP="00F326E5">
      <w:pPr>
        <w:pStyle w:val="NoSpacing"/>
        <w:rPr>
          <w:rFonts w:ascii="Arial Black" w:hAnsi="Arial Black"/>
          <w:sz w:val="24"/>
          <w:szCs w:val="24"/>
        </w:rPr>
      </w:pPr>
    </w:p>
    <w:p w14:paraId="49D933D5" w14:textId="77777777" w:rsidR="00102FD0" w:rsidRDefault="00102FD0" w:rsidP="00F326E5">
      <w:pPr>
        <w:pStyle w:val="NoSpacing"/>
        <w:rPr>
          <w:rFonts w:ascii="Arial Black" w:hAnsi="Arial Black"/>
          <w:sz w:val="24"/>
          <w:szCs w:val="24"/>
        </w:rPr>
      </w:pPr>
    </w:p>
    <w:p w14:paraId="48BDA982" w14:textId="77777777" w:rsidR="00102FD0" w:rsidRDefault="00102FD0" w:rsidP="00F326E5">
      <w:pPr>
        <w:pStyle w:val="NoSpacing"/>
        <w:rPr>
          <w:rFonts w:ascii="Arial Black" w:hAnsi="Arial Black"/>
          <w:sz w:val="24"/>
          <w:szCs w:val="24"/>
        </w:rPr>
      </w:pPr>
    </w:p>
    <w:p w14:paraId="1220EFA7" w14:textId="38D7C56D" w:rsidR="002147DA" w:rsidRDefault="002147DA" w:rsidP="00F326E5">
      <w:pPr>
        <w:pStyle w:val="NoSpacing"/>
        <w:rPr>
          <w:rFonts w:ascii="Arial Black" w:hAnsi="Arial Black"/>
          <w:sz w:val="24"/>
          <w:szCs w:val="24"/>
        </w:rPr>
      </w:pPr>
      <w:r>
        <w:rPr>
          <w:rFonts w:ascii="Arial Black" w:hAnsi="Arial Black"/>
          <w:sz w:val="24"/>
          <w:szCs w:val="24"/>
        </w:rPr>
        <w:t>14-3 [Also posted, Chap. 7]</w:t>
      </w:r>
    </w:p>
    <w:p w14:paraId="2FD32C62" w14:textId="535A793A" w:rsidR="002147DA" w:rsidRDefault="002147DA" w:rsidP="00F326E5">
      <w:pPr>
        <w:pStyle w:val="NoSpacing"/>
        <w:rPr>
          <w:rFonts w:ascii="Arial Black" w:hAnsi="Arial Black"/>
          <w:sz w:val="24"/>
          <w:szCs w:val="24"/>
        </w:rPr>
      </w:pPr>
    </w:p>
    <w:p w14:paraId="29E5536C" w14:textId="77777777" w:rsidR="002147DA" w:rsidRDefault="002147DA" w:rsidP="002147DA">
      <w:pPr>
        <w:pStyle w:val="NoSpacing"/>
        <w:rPr>
          <w:rFonts w:ascii="Arial Black" w:hAnsi="Arial Black"/>
          <w:sz w:val="28"/>
          <w:szCs w:val="28"/>
        </w:rPr>
      </w:pPr>
      <w:bookmarkStart w:id="562" w:name="_Hlk39772505"/>
      <w:r>
        <w:rPr>
          <w:rFonts w:ascii="Arial Black" w:hAnsi="Arial Black"/>
          <w:sz w:val="28"/>
          <w:szCs w:val="28"/>
        </w:rPr>
        <w:t xml:space="preserve">AL:  PREGNANT EMT – DENIED LIGHT DUTY – AMR CO. PROVIDES ONLY INJURED ON JOB - LAWSUIT REINSTATED </w:t>
      </w:r>
    </w:p>
    <w:p w14:paraId="5DBE0DC1" w14:textId="77777777" w:rsidR="002147DA" w:rsidRDefault="002147DA" w:rsidP="002147DA">
      <w:pPr>
        <w:pStyle w:val="NoSpacing"/>
        <w:rPr>
          <w:b/>
          <w:bCs/>
          <w:sz w:val="24"/>
          <w:szCs w:val="24"/>
        </w:rPr>
      </w:pPr>
    </w:p>
    <w:p w14:paraId="5F2295CE"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Cs/>
          <w:sz w:val="24"/>
          <w:szCs w:val="24"/>
        </w:rPr>
        <w:t xml:space="preserve">On April 17, 2020, in </w:t>
      </w:r>
      <w:r w:rsidRPr="00AE3A49">
        <w:rPr>
          <w:rFonts w:ascii="Times New Roman" w:hAnsi="Times New Roman"/>
          <w:bCs/>
          <w:sz w:val="24"/>
          <w:szCs w:val="24"/>
          <w:u w:val="single"/>
        </w:rPr>
        <w:t>Kimberlie Michelle Durham v. Rural/Metro Corporation</w:t>
      </w:r>
      <w:r w:rsidRPr="00AE3A49">
        <w:rPr>
          <w:rFonts w:ascii="Times New Roman" w:hAnsi="Times New Roman"/>
          <w:bCs/>
          <w:sz w:val="24"/>
          <w:szCs w:val="24"/>
        </w:rPr>
        <w:t>, the U.S. Court of Appeals for the 11</w:t>
      </w:r>
      <w:r w:rsidRPr="00AE3A49">
        <w:rPr>
          <w:rFonts w:ascii="Times New Roman" w:hAnsi="Times New Roman"/>
          <w:bCs/>
          <w:sz w:val="24"/>
          <w:szCs w:val="24"/>
          <w:vertAlign w:val="superscript"/>
        </w:rPr>
        <w:t>th</w:t>
      </w:r>
      <w:r w:rsidRPr="00AE3A49">
        <w:rPr>
          <w:rFonts w:ascii="Times New Roman" w:hAnsi="Times New Roman"/>
          <w:bCs/>
          <w:sz w:val="24"/>
          <w:szCs w:val="24"/>
        </w:rPr>
        <w:t xml:space="preserve"> Circuit (Atlanta) held (3 to 0) that the U.S. District Court judge had improperly granted summary judgment to AMR.  </w:t>
      </w:r>
    </w:p>
    <w:p w14:paraId="4CD9E0DE" w14:textId="77777777" w:rsidR="002147DA" w:rsidRDefault="002147DA" w:rsidP="002147DA">
      <w:pPr>
        <w:pStyle w:val="NoSpacing"/>
        <w:ind w:left="720"/>
        <w:rPr>
          <w:rFonts w:ascii="Times New Roman" w:hAnsi="Times New Roman"/>
          <w:bCs/>
          <w:sz w:val="24"/>
          <w:szCs w:val="24"/>
        </w:rPr>
      </w:pPr>
    </w:p>
    <w:p w14:paraId="5D94871A" w14:textId="77777777" w:rsidR="002147DA" w:rsidRPr="00AE3A49" w:rsidRDefault="002147DA" w:rsidP="002147DA">
      <w:pPr>
        <w:pStyle w:val="NoSpacing"/>
        <w:ind w:left="720"/>
        <w:rPr>
          <w:rFonts w:ascii="Times New Roman" w:hAnsi="Times New Roman"/>
          <w:sz w:val="24"/>
          <w:szCs w:val="24"/>
        </w:rPr>
      </w:pPr>
      <w:r w:rsidRPr="00AE3A49">
        <w:rPr>
          <w:rFonts w:ascii="Times New Roman" w:hAnsi="Times New Roman"/>
          <w:bCs/>
          <w:sz w:val="24"/>
          <w:szCs w:val="24"/>
        </w:rPr>
        <w:t>“We therefore vacate the grant of summary judgment. Neither a non-pregnant EMT who is limited to lifting 10 or 20 pounds nor a pregnant EMT who is restricted to lifting 50 pounds or less can lift the required 100 pounds to serve as an EMT. Since neither can meet the lifting requirement, they are the same in their ‘inability to work’ as an EMT. And that satisfies the plaintiff’s prima facie requirement to establish that she was ‘similar [to other employees] in their ability or inability to work.’</w:t>
      </w:r>
      <w:r w:rsidRPr="00AE3A49">
        <w:rPr>
          <w:rFonts w:ascii="Times New Roman" w:hAnsi="Times New Roman"/>
          <w:sz w:val="24"/>
          <w:szCs w:val="24"/>
        </w:rPr>
        <w:t xml:space="preserve">” </w:t>
      </w:r>
      <w:hyperlink r:id="rId2384" w:history="1">
        <w:r w:rsidRPr="00AE3A49">
          <w:rPr>
            <w:rStyle w:val="Hyperlink"/>
            <w:rFonts w:ascii="Times New Roman" w:hAnsi="Times New Roman"/>
            <w:b/>
            <w:sz w:val="24"/>
            <w:szCs w:val="24"/>
          </w:rPr>
          <w:t>http://media.ca11.uscourts.gov/opinions/pub/files/201814687.pdf</w:t>
        </w:r>
      </w:hyperlink>
      <w:r w:rsidRPr="00AE3A49">
        <w:rPr>
          <w:rFonts w:ascii="Times New Roman" w:hAnsi="Times New Roman"/>
          <w:sz w:val="24"/>
          <w:szCs w:val="24"/>
        </w:rPr>
        <w:t xml:space="preserve"> </w:t>
      </w:r>
    </w:p>
    <w:bookmarkEnd w:id="562"/>
    <w:p w14:paraId="260FE436" w14:textId="77777777" w:rsidR="002147DA" w:rsidRDefault="002147DA" w:rsidP="002147DA">
      <w:pPr>
        <w:pStyle w:val="NoSpacing"/>
        <w:rPr>
          <w:rFonts w:ascii="Times New Roman" w:hAnsi="Times New Roman"/>
          <w:b/>
          <w:bCs/>
          <w:sz w:val="24"/>
          <w:szCs w:val="24"/>
        </w:rPr>
      </w:pPr>
    </w:p>
    <w:p w14:paraId="4AB2B772" w14:textId="77777777" w:rsidR="002147DA" w:rsidRPr="00AE3A49" w:rsidRDefault="002147DA" w:rsidP="002147DA">
      <w:pPr>
        <w:pStyle w:val="NoSpacing"/>
        <w:rPr>
          <w:rFonts w:ascii="Times New Roman" w:hAnsi="Times New Roman"/>
          <w:b/>
          <w:bCs/>
          <w:sz w:val="24"/>
          <w:szCs w:val="24"/>
        </w:rPr>
      </w:pPr>
      <w:r w:rsidRPr="00AE3A49">
        <w:rPr>
          <w:rFonts w:ascii="Times New Roman" w:hAnsi="Times New Roman"/>
          <w:b/>
          <w:bCs/>
          <w:sz w:val="24"/>
          <w:szCs w:val="24"/>
        </w:rPr>
        <w:t xml:space="preserve">Legal Lessons Learned: Congress in enacting the Pregnancy Discrimination Act did not specifically address the issue of light-duty; hopefully the U.S. Supreme Court will ultimately give clear direction on this issue.  </w:t>
      </w:r>
    </w:p>
    <w:p w14:paraId="4534635C" w14:textId="77777777" w:rsidR="002147DA" w:rsidRDefault="002147DA" w:rsidP="002147DA">
      <w:pPr>
        <w:rPr>
          <w:rFonts w:ascii="Arial Black" w:hAnsi="Arial Black"/>
          <w:b/>
          <w:sz w:val="24"/>
          <w:szCs w:val="24"/>
        </w:rPr>
      </w:pPr>
    </w:p>
    <w:p w14:paraId="50E986CD" w14:textId="77777777" w:rsidR="002147DA" w:rsidRDefault="002147DA" w:rsidP="00F326E5">
      <w:pPr>
        <w:pStyle w:val="NoSpacing"/>
        <w:rPr>
          <w:rFonts w:ascii="Arial Black" w:hAnsi="Arial Black"/>
          <w:sz w:val="24"/>
          <w:szCs w:val="24"/>
        </w:rPr>
      </w:pPr>
    </w:p>
    <w:p w14:paraId="6F163196" w14:textId="77777777" w:rsidR="002147DA" w:rsidRDefault="002147DA" w:rsidP="00F326E5">
      <w:pPr>
        <w:pStyle w:val="NoSpacing"/>
        <w:rPr>
          <w:rFonts w:ascii="Arial Black" w:hAnsi="Arial Black"/>
          <w:sz w:val="24"/>
          <w:szCs w:val="24"/>
        </w:rPr>
      </w:pPr>
    </w:p>
    <w:p w14:paraId="6050DC6B" w14:textId="77777777" w:rsidR="002147DA" w:rsidRDefault="002147DA" w:rsidP="00F326E5">
      <w:pPr>
        <w:pStyle w:val="NoSpacing"/>
        <w:rPr>
          <w:rFonts w:ascii="Arial Black" w:hAnsi="Arial Black"/>
          <w:sz w:val="24"/>
          <w:szCs w:val="24"/>
        </w:rPr>
      </w:pPr>
    </w:p>
    <w:p w14:paraId="4E9E9E58" w14:textId="41792A19" w:rsidR="00DE0F03" w:rsidRDefault="00DE0F03" w:rsidP="00F326E5">
      <w:pPr>
        <w:pStyle w:val="NoSpacing"/>
        <w:rPr>
          <w:rFonts w:ascii="Arial Black" w:hAnsi="Arial Black"/>
          <w:sz w:val="28"/>
          <w:szCs w:val="28"/>
        </w:rPr>
      </w:pPr>
      <w:r>
        <w:rPr>
          <w:rFonts w:ascii="Arial Black" w:hAnsi="Arial Black"/>
          <w:sz w:val="24"/>
          <w:szCs w:val="24"/>
        </w:rPr>
        <w:t>14-2</w:t>
      </w:r>
    </w:p>
    <w:p w14:paraId="0A3AF1F3" w14:textId="77777777" w:rsidR="00DE0F03" w:rsidRDefault="00DE0F03" w:rsidP="00F326E5">
      <w:pPr>
        <w:pStyle w:val="NoSpacing"/>
        <w:rPr>
          <w:rFonts w:ascii="Arial Black" w:hAnsi="Arial Black"/>
          <w:sz w:val="28"/>
          <w:szCs w:val="28"/>
        </w:rPr>
      </w:pPr>
    </w:p>
    <w:p w14:paraId="689BFEC0" w14:textId="6A722DB6" w:rsidR="00F326E5" w:rsidRDefault="00F326E5" w:rsidP="00F326E5">
      <w:pPr>
        <w:pStyle w:val="NoSpacing"/>
        <w:rPr>
          <w:rFonts w:ascii="Arial Black" w:hAnsi="Arial Black"/>
          <w:b/>
          <w:sz w:val="24"/>
          <w:szCs w:val="24"/>
        </w:rPr>
      </w:pPr>
      <w:bookmarkStart w:id="563" w:name="_Hlk39772584"/>
      <w:bookmarkStart w:id="564" w:name="_Hlk66949967"/>
      <w:r w:rsidRPr="0010462B">
        <w:rPr>
          <w:rFonts w:ascii="Arial Black" w:hAnsi="Arial Black"/>
          <w:sz w:val="28"/>
          <w:szCs w:val="28"/>
        </w:rPr>
        <w:t>NY</w:t>
      </w:r>
      <w:r>
        <w:rPr>
          <w:rFonts w:ascii="Arial Black" w:hAnsi="Arial Black"/>
          <w:sz w:val="28"/>
          <w:szCs w:val="28"/>
        </w:rPr>
        <w:t xml:space="preserve">: </w:t>
      </w:r>
      <w:r w:rsidRPr="0010462B">
        <w:rPr>
          <w:rFonts w:ascii="Arial Black" w:hAnsi="Arial Black"/>
          <w:sz w:val="28"/>
          <w:szCs w:val="28"/>
        </w:rPr>
        <w:t>FDNY RECRUIT DIED DURING PHYSICAL EXERCISES –</w:t>
      </w:r>
      <w:r>
        <w:rPr>
          <w:rFonts w:ascii="Arial Black" w:hAnsi="Arial Black"/>
          <w:sz w:val="28"/>
          <w:szCs w:val="28"/>
        </w:rPr>
        <w:t xml:space="preserve"> </w:t>
      </w:r>
      <w:r w:rsidRPr="0010462B">
        <w:rPr>
          <w:rFonts w:ascii="Arial Black" w:hAnsi="Arial Black"/>
          <w:sz w:val="28"/>
          <w:szCs w:val="28"/>
        </w:rPr>
        <w:t>HEART CONDITION</w:t>
      </w:r>
      <w:r w:rsidR="0016102B">
        <w:rPr>
          <w:rFonts w:ascii="Arial Black" w:hAnsi="Arial Black"/>
          <w:sz w:val="28"/>
          <w:szCs w:val="28"/>
        </w:rPr>
        <w:t xml:space="preserve"> – DEATH CLAIM DENIED </w:t>
      </w:r>
      <w:r w:rsidRPr="0010462B">
        <w:rPr>
          <w:rFonts w:ascii="Arial Black" w:hAnsi="Arial Black"/>
          <w:sz w:val="28"/>
          <w:szCs w:val="28"/>
        </w:rPr>
        <w:t xml:space="preserve"> </w:t>
      </w:r>
      <w:r w:rsidRPr="0010462B">
        <w:rPr>
          <w:b/>
          <w:sz w:val="24"/>
          <w:szCs w:val="24"/>
        </w:rPr>
        <w:t>[also filed, Chap. 2]</w:t>
      </w:r>
      <w:r>
        <w:rPr>
          <w:b/>
          <w:sz w:val="24"/>
          <w:szCs w:val="24"/>
        </w:rPr>
        <w:t xml:space="preserve">  </w:t>
      </w:r>
    </w:p>
    <w:p w14:paraId="47AFA6A8" w14:textId="77777777" w:rsidR="00BC17B3" w:rsidRDefault="00F326E5" w:rsidP="00F326E5">
      <w:pPr>
        <w:pStyle w:val="NoSpacing"/>
        <w:rPr>
          <w:rFonts w:ascii="Times New Roman" w:hAnsi="Times New Roman"/>
          <w:sz w:val="24"/>
          <w:szCs w:val="24"/>
        </w:rPr>
      </w:pPr>
      <w:r w:rsidRPr="00BC17B3">
        <w:rPr>
          <w:rFonts w:ascii="Times New Roman" w:hAnsi="Times New Roman"/>
          <w:sz w:val="24"/>
          <w:szCs w:val="24"/>
        </w:rPr>
        <w:t xml:space="preserve">On April 10, 2018, in </w:t>
      </w:r>
      <w:r w:rsidRPr="00BC17B3">
        <w:rPr>
          <w:rFonts w:ascii="Times New Roman" w:hAnsi="Times New Roman"/>
          <w:sz w:val="24"/>
          <w:szCs w:val="24"/>
          <w:u w:val="single"/>
        </w:rPr>
        <w:t>Sherita Sears v. The City of New York</w:t>
      </w:r>
      <w:r w:rsidRPr="00BC17B3">
        <w:rPr>
          <w:rFonts w:ascii="Times New Roman" w:hAnsi="Times New Roman"/>
          <w:sz w:val="24"/>
          <w:szCs w:val="24"/>
        </w:rPr>
        <w:t>, the Appellate Division of the Supreme Court of State of New York (5 to 0) denied the death claim, holding:</w:t>
      </w:r>
    </w:p>
    <w:p w14:paraId="6CB8C7EC" w14:textId="77777777" w:rsidR="00BC17B3" w:rsidRDefault="00BC17B3" w:rsidP="00F326E5">
      <w:pPr>
        <w:pStyle w:val="NoSpacing"/>
        <w:rPr>
          <w:rFonts w:ascii="Times New Roman" w:hAnsi="Times New Roman"/>
          <w:sz w:val="24"/>
          <w:szCs w:val="24"/>
        </w:rPr>
      </w:pPr>
    </w:p>
    <w:p w14:paraId="4388EBE2" w14:textId="07DAA917" w:rsidR="00F326E5" w:rsidRPr="00BC17B3" w:rsidRDefault="00F326E5" w:rsidP="00BC17B3">
      <w:pPr>
        <w:pStyle w:val="NoSpacing"/>
        <w:ind w:left="720"/>
        <w:rPr>
          <w:rFonts w:ascii="Times New Roman" w:hAnsi="Times New Roman"/>
          <w:sz w:val="24"/>
          <w:szCs w:val="24"/>
        </w:rPr>
      </w:pPr>
      <w:r w:rsidRPr="00BC17B3">
        <w:rPr>
          <w:rFonts w:ascii="Times New Roman" w:hAnsi="Times New Roman"/>
          <w:sz w:val="24"/>
          <w:szCs w:val="24"/>
        </w:rPr>
        <w:t>“Plaintiff is not entitled to recover under GML §</w:t>
      </w:r>
      <w:r w:rsidRPr="00BC17B3">
        <w:rPr>
          <w:rFonts w:ascii="Times New Roman" w:hAnsi="Times New Roman"/>
          <w:sz w:val="24"/>
          <w:szCs w:val="24"/>
        </w:rPr>
        <w:t> </w:t>
      </w:r>
      <w:r w:rsidRPr="00BC17B3">
        <w:rPr>
          <w:rFonts w:ascii="Times New Roman" w:hAnsi="Times New Roman"/>
          <w:sz w:val="24"/>
          <w:szCs w:val="24"/>
        </w:rPr>
        <w:t>205–a, as the injuries decedent sustained were not the type of occupational injury that Labor Law §</w:t>
      </w:r>
      <w:r w:rsidRPr="00BC17B3">
        <w:rPr>
          <w:rFonts w:ascii="Times New Roman" w:hAnsi="Times New Roman"/>
          <w:sz w:val="24"/>
          <w:szCs w:val="24"/>
        </w:rPr>
        <w:t> </w:t>
      </w:r>
      <w:r w:rsidRPr="00BC17B3">
        <w:rPr>
          <w:rFonts w:ascii="Times New Roman" w:hAnsi="Times New Roman"/>
          <w:sz w:val="24"/>
          <w:szCs w:val="24"/>
        </w:rPr>
        <w:t xml:space="preserve">27–a was designed to protect, but rather, arose from risks unique to firefighting work (Williams v. City of New York, 2 N.Y.3d 352, 368, 779 N.Y.S.2d 449, 811 N.E.2d 1103 [2004] ).”  </w:t>
      </w:r>
      <w:hyperlink r:id="rId2385" w:history="1">
        <w:r w:rsidRPr="00BC17B3">
          <w:rPr>
            <w:rStyle w:val="Hyperlink"/>
            <w:rFonts w:ascii="Times New Roman" w:hAnsi="Times New Roman"/>
            <w:sz w:val="24"/>
            <w:szCs w:val="24"/>
          </w:rPr>
          <w:t>https://caselaw.findlaw.com/ny-supreme-court-appellate-division/1893546.html</w:t>
        </w:r>
      </w:hyperlink>
      <w:bookmarkEnd w:id="563"/>
      <w:r w:rsidRPr="00BC17B3">
        <w:rPr>
          <w:rFonts w:ascii="Times New Roman" w:hAnsi="Times New Roman"/>
          <w:sz w:val="24"/>
          <w:szCs w:val="24"/>
        </w:rPr>
        <w:t xml:space="preserve"> </w:t>
      </w:r>
    </w:p>
    <w:bookmarkEnd w:id="564"/>
    <w:p w14:paraId="51234441" w14:textId="77777777" w:rsidR="00BC17B3" w:rsidRDefault="00BC17B3" w:rsidP="00F326E5">
      <w:pPr>
        <w:pStyle w:val="NoSpacing"/>
        <w:rPr>
          <w:rFonts w:ascii="Times New Roman" w:hAnsi="Times New Roman"/>
          <w:b/>
          <w:sz w:val="24"/>
          <w:szCs w:val="24"/>
        </w:rPr>
      </w:pPr>
    </w:p>
    <w:p w14:paraId="76CE18A9" w14:textId="64BD66F2" w:rsidR="00F326E5" w:rsidRPr="00BC17B3" w:rsidRDefault="00F326E5" w:rsidP="00F326E5">
      <w:pPr>
        <w:pStyle w:val="NoSpacing"/>
        <w:rPr>
          <w:rFonts w:ascii="Times New Roman" w:hAnsi="Times New Roman"/>
          <w:sz w:val="24"/>
          <w:szCs w:val="24"/>
        </w:rPr>
      </w:pPr>
      <w:bookmarkStart w:id="565" w:name="_Hlk66950038"/>
      <w:r w:rsidRPr="00BC17B3">
        <w:rPr>
          <w:rFonts w:ascii="Times New Roman" w:hAnsi="Times New Roman"/>
          <w:b/>
          <w:sz w:val="24"/>
          <w:szCs w:val="24"/>
        </w:rPr>
        <w:t>Legal Lessons Learned: The New York statute requires proof of “neglect, omission, willful or culpable negligence.”</w:t>
      </w:r>
      <w:r w:rsidRPr="00BC17B3">
        <w:rPr>
          <w:rFonts w:ascii="Times New Roman" w:hAnsi="Times New Roman"/>
          <w:sz w:val="24"/>
          <w:szCs w:val="24"/>
        </w:rPr>
        <w:t xml:space="preserve"> </w:t>
      </w:r>
    </w:p>
    <w:bookmarkEnd w:id="565"/>
    <w:p w14:paraId="058519D2" w14:textId="77777777" w:rsidR="0016102B" w:rsidRDefault="0016102B" w:rsidP="00F326E5">
      <w:pPr>
        <w:pStyle w:val="NoSpacing"/>
        <w:ind w:firstLine="720"/>
      </w:pPr>
    </w:p>
    <w:p w14:paraId="5B950A3F" w14:textId="4AF10FA7" w:rsidR="00F326E5" w:rsidRPr="00BC17B3" w:rsidRDefault="0016102B" w:rsidP="00F326E5">
      <w:pPr>
        <w:pStyle w:val="NoSpacing"/>
        <w:ind w:firstLine="720"/>
        <w:rPr>
          <w:rFonts w:ascii="Times New Roman" w:hAnsi="Times New Roman"/>
          <w:b/>
          <w:bCs/>
          <w:kern w:val="36"/>
          <w:sz w:val="24"/>
          <w:szCs w:val="24"/>
        </w:rPr>
      </w:pPr>
      <w:r w:rsidRPr="0016102B">
        <w:rPr>
          <w:rFonts w:ascii="Times New Roman" w:hAnsi="Times New Roman"/>
          <w:sz w:val="24"/>
          <w:szCs w:val="24"/>
        </w:rPr>
        <w:t>Note:</w:t>
      </w:r>
      <w:r>
        <w:t xml:space="preserve"> </w:t>
      </w:r>
      <w:hyperlink r:id="rId2386" w:history="1">
        <w:r w:rsidRPr="00AC42F8">
          <w:rPr>
            <w:rStyle w:val="Hyperlink"/>
            <w:rFonts w:ascii="Times New Roman" w:hAnsi="Times New Roman"/>
            <w:sz w:val="24"/>
            <w:szCs w:val="24"/>
          </w:rPr>
          <w:t>https://codes.findlaw.com/ny/general-municipal-law/gmu-sect-205-a.html</w:t>
        </w:r>
      </w:hyperlink>
      <w:r w:rsidR="00F326E5" w:rsidRPr="00BC17B3">
        <w:rPr>
          <w:rFonts w:ascii="Times New Roman" w:hAnsi="Times New Roman"/>
          <w:b/>
          <w:bCs/>
          <w:kern w:val="36"/>
          <w:sz w:val="24"/>
          <w:szCs w:val="24"/>
        </w:rPr>
        <w:t xml:space="preserve"> </w:t>
      </w:r>
    </w:p>
    <w:p w14:paraId="7FB700A7" w14:textId="77777777" w:rsidR="00F326E5" w:rsidRPr="00BC17B3" w:rsidRDefault="00F326E5" w:rsidP="00F326E5">
      <w:pPr>
        <w:pStyle w:val="NoSpacing"/>
        <w:ind w:left="720"/>
        <w:rPr>
          <w:rFonts w:ascii="Times New Roman" w:hAnsi="Times New Roman"/>
          <w:sz w:val="24"/>
          <w:szCs w:val="24"/>
        </w:rPr>
      </w:pPr>
      <w:r w:rsidRPr="00BC17B3">
        <w:rPr>
          <w:rFonts w:ascii="Times New Roman" w:eastAsia="Times New Roman" w:hAnsi="Times New Roman"/>
          <w:bCs/>
          <w:kern w:val="36"/>
          <w:sz w:val="24"/>
          <w:szCs w:val="24"/>
        </w:rPr>
        <w:t xml:space="preserve">New York Consolidated Laws, General Municipal Law - GMU § 205-a. Additional right of action to certain injured or representatives of certain deceased firefighters </w:t>
      </w:r>
      <w:r w:rsidRPr="00BC17B3">
        <w:rPr>
          <w:rFonts w:ascii="Times New Roman" w:hAnsi="Times New Roman"/>
          <w:sz w:val="24"/>
          <w:szCs w:val="24"/>
        </w:rPr>
        <w:t>“In addition to any other right of action or recovery under any other provision of law, in the event any accident, causing injury, death or a disease which results in death, occurs directly or indirectly as a result of any neglect, omission, willful or culpable negligence of any person or persons in failing to comply with the requirements of any of the statutes, ordinances, rules, orders and requirements of the federal, state, county, village, town or city governments or of any and all their departments, divisions and bureaus, the person or persons guilty of said neglect, omission, willful or culpable negligence at the time of such injury or death shall be liable to pay any officer, member, agent or employee of any fire department injured, or whose life may be lost while in the discharge or performance at any time or place of any duty imposed by the fire commissioner, fire chief or other superior officer of the fire department, or to pay to the wife and children, or to pay to the parents, or to pay to the brothers and sisters, being the surviving heirs-at-law of any deceased person thus having lost his life, a sum of money, in case of injury to person, not less than ten thousand dollars, and in case of death not less than forty thousand dollars, such liability to be determined and such sums recovered in an action to be instituted by any person injured or the family or relatives of any person killed as aforesaid.”</w:t>
      </w:r>
    </w:p>
    <w:bookmarkEnd w:id="561"/>
    <w:p w14:paraId="2AA10AD8" w14:textId="77777777" w:rsidR="00F326E5" w:rsidRPr="00BC17B3" w:rsidRDefault="00F326E5" w:rsidP="00F326E5">
      <w:pPr>
        <w:pStyle w:val="NoSpacing"/>
        <w:rPr>
          <w:rFonts w:ascii="Times New Roman" w:hAnsi="Times New Roman"/>
          <w:sz w:val="24"/>
          <w:szCs w:val="24"/>
        </w:rPr>
      </w:pPr>
    </w:p>
    <w:p w14:paraId="7F29C3D3" w14:textId="77777777" w:rsidR="00F326E5" w:rsidRDefault="00F326E5" w:rsidP="00F326E5">
      <w:pPr>
        <w:pStyle w:val="NoSpacing"/>
        <w:rPr>
          <w:sz w:val="24"/>
          <w:szCs w:val="24"/>
        </w:rPr>
      </w:pPr>
    </w:p>
    <w:p w14:paraId="3F3556C3" w14:textId="18997406" w:rsidR="00DE0F03" w:rsidRDefault="00DE0F03" w:rsidP="00DE0F03">
      <w:pPr>
        <w:pStyle w:val="NoSpacing"/>
        <w:rPr>
          <w:rFonts w:ascii="Arial Black" w:hAnsi="Arial Black"/>
          <w:sz w:val="24"/>
          <w:szCs w:val="24"/>
        </w:rPr>
      </w:pPr>
      <w:bookmarkStart w:id="566" w:name="_Hlk7348210"/>
      <w:r>
        <w:rPr>
          <w:rFonts w:ascii="Arial Black" w:hAnsi="Arial Black"/>
          <w:sz w:val="24"/>
          <w:szCs w:val="24"/>
        </w:rPr>
        <w:t>14-1</w:t>
      </w:r>
    </w:p>
    <w:p w14:paraId="11FD5868" w14:textId="77777777" w:rsidR="00DE0F03" w:rsidRDefault="00DE0F03" w:rsidP="00F326E5">
      <w:pPr>
        <w:pStyle w:val="NoSpacing"/>
        <w:rPr>
          <w:rFonts w:ascii="Arial Black" w:hAnsi="Arial Black"/>
          <w:sz w:val="28"/>
          <w:szCs w:val="28"/>
        </w:rPr>
      </w:pPr>
    </w:p>
    <w:p w14:paraId="004A812C" w14:textId="42DC217C" w:rsidR="00F326E5" w:rsidRPr="00247719" w:rsidRDefault="00F326E5" w:rsidP="00F326E5">
      <w:pPr>
        <w:pStyle w:val="NoSpacing"/>
        <w:rPr>
          <w:rFonts w:ascii="[Times New Roman" w:hAnsi="[Times New Roman"/>
          <w:b/>
          <w:sz w:val="24"/>
          <w:szCs w:val="24"/>
        </w:rPr>
      </w:pPr>
      <w:bookmarkStart w:id="567" w:name="_Hlk39772641"/>
      <w:r>
        <w:rPr>
          <w:rFonts w:ascii="Arial Black" w:hAnsi="Arial Black"/>
          <w:sz w:val="28"/>
          <w:szCs w:val="28"/>
        </w:rPr>
        <w:t xml:space="preserve">OH: DAYTON FD RECRUIT – REMOVED FROM CLASS AFTER KNEE INJURY </w:t>
      </w:r>
      <w:r w:rsidR="00247719">
        <w:rPr>
          <w:rFonts w:ascii="Arial Black" w:hAnsi="Arial Black"/>
          <w:sz w:val="28"/>
          <w:szCs w:val="28"/>
        </w:rPr>
        <w:t xml:space="preserve">– NO FMLA VIOLATION </w:t>
      </w:r>
      <w:r w:rsidR="00247719">
        <w:rPr>
          <w:rFonts w:ascii="[Times New Roman" w:hAnsi="[Times New Roman"/>
          <w:sz w:val="24"/>
          <w:szCs w:val="24"/>
        </w:rPr>
        <w:t>[also filed, Chap. 10]</w:t>
      </w:r>
    </w:p>
    <w:p w14:paraId="6D7A83C8" w14:textId="77777777" w:rsidR="00BC17B3" w:rsidRDefault="00F326E5" w:rsidP="00F326E5">
      <w:pPr>
        <w:rPr>
          <w:rFonts w:ascii="Times New Roman" w:hAnsi="Times New Roman"/>
          <w:sz w:val="24"/>
          <w:szCs w:val="24"/>
        </w:rPr>
      </w:pPr>
      <w:r w:rsidRPr="00BC17B3">
        <w:rPr>
          <w:rFonts w:ascii="Times New Roman" w:hAnsi="Times New Roman"/>
          <w:sz w:val="24"/>
          <w:szCs w:val="24"/>
        </w:rPr>
        <w:t xml:space="preserve">On Feb. 9, </w:t>
      </w:r>
      <w:proofErr w:type="gramStart"/>
      <w:r w:rsidRPr="00BC17B3">
        <w:rPr>
          <w:rFonts w:ascii="Times New Roman" w:hAnsi="Times New Roman"/>
          <w:sz w:val="24"/>
          <w:szCs w:val="24"/>
        </w:rPr>
        <w:t>2018</w:t>
      </w:r>
      <w:proofErr w:type="gramEnd"/>
      <w:r w:rsidRPr="00BC17B3">
        <w:rPr>
          <w:rFonts w:ascii="Times New Roman" w:hAnsi="Times New Roman"/>
          <w:sz w:val="24"/>
          <w:szCs w:val="24"/>
        </w:rPr>
        <w:t xml:space="preserve"> in </w:t>
      </w:r>
      <w:r w:rsidRPr="00BC17B3">
        <w:rPr>
          <w:rFonts w:ascii="Times New Roman" w:hAnsi="Times New Roman"/>
          <w:sz w:val="24"/>
          <w:szCs w:val="24"/>
          <w:u w:val="single"/>
        </w:rPr>
        <w:t>Shawn N. Geisel v. City of Dayton, et al</w:t>
      </w:r>
      <w:r w:rsidRPr="00BC17B3">
        <w:rPr>
          <w:rFonts w:ascii="Times New Roman" w:hAnsi="Times New Roman"/>
          <w:sz w:val="24"/>
          <w:szCs w:val="24"/>
        </w:rPr>
        <w:t xml:space="preserve">., Ohio Court of Appeals for Second Circuit (Montgomery County) held (3 to 0) that the FD had the authority to remove him from the recruit class and ‘demote’ him back to EMT.   </w:t>
      </w:r>
    </w:p>
    <w:p w14:paraId="454A30DA" w14:textId="3AF1E8BE" w:rsidR="00F326E5" w:rsidRPr="00BC17B3" w:rsidRDefault="00F326E5" w:rsidP="00BC17B3">
      <w:pPr>
        <w:ind w:left="720"/>
        <w:rPr>
          <w:rFonts w:ascii="Times New Roman" w:hAnsi="Times New Roman"/>
          <w:sz w:val="24"/>
          <w:szCs w:val="24"/>
        </w:rPr>
      </w:pPr>
      <w:r w:rsidRPr="00BC17B3">
        <w:rPr>
          <w:rFonts w:ascii="Times New Roman" w:hAnsi="Times New Roman"/>
          <w:sz w:val="24"/>
          <w:szCs w:val="24"/>
        </w:rPr>
        <w:t xml:space="preserve">“We do not mean to imply that Geisel could not reapply for the position, but only that his appointment to Firefighter Recruit was a self-contained opportunity that did not entail a right to be reappointed or to continue as a recruit until he could complete the training program.”  </w:t>
      </w:r>
      <w:hyperlink r:id="rId2387" w:history="1">
        <w:r w:rsidRPr="00BC17B3">
          <w:rPr>
            <w:rStyle w:val="Hyperlink"/>
            <w:rFonts w:ascii="Times New Roman" w:hAnsi="Times New Roman"/>
            <w:sz w:val="24"/>
            <w:szCs w:val="24"/>
          </w:rPr>
          <w:t>http://www.supremecourt.ohio.gov/rod/docs/pdf/2/2018/2018-ohio-512.pdf</w:t>
        </w:r>
      </w:hyperlink>
      <w:r w:rsidRPr="00BC17B3">
        <w:rPr>
          <w:rFonts w:ascii="Times New Roman" w:hAnsi="Times New Roman"/>
          <w:sz w:val="24"/>
          <w:szCs w:val="24"/>
        </w:rPr>
        <w:t xml:space="preserve"> </w:t>
      </w:r>
    </w:p>
    <w:p w14:paraId="4A40FA0E" w14:textId="5DA50009" w:rsidR="00F326E5" w:rsidRPr="00BC17B3" w:rsidRDefault="00F326E5" w:rsidP="00F326E5">
      <w:pPr>
        <w:rPr>
          <w:rFonts w:ascii="Times New Roman" w:hAnsi="Times New Roman"/>
          <w:b/>
          <w:sz w:val="24"/>
          <w:szCs w:val="24"/>
        </w:rPr>
      </w:pPr>
      <w:bookmarkStart w:id="568" w:name="_Hlk1066962"/>
      <w:bookmarkEnd w:id="567"/>
      <w:r w:rsidRPr="00BC17B3">
        <w:rPr>
          <w:rFonts w:ascii="Times New Roman" w:hAnsi="Times New Roman"/>
          <w:b/>
          <w:sz w:val="24"/>
          <w:szCs w:val="24"/>
        </w:rPr>
        <w:t xml:space="preserve">Legal Lessons Learned:  Dayton Civil Services rules treat </w:t>
      </w:r>
      <w:proofErr w:type="gramStart"/>
      <w:r w:rsidRPr="00BC17B3">
        <w:rPr>
          <w:rFonts w:ascii="Times New Roman" w:hAnsi="Times New Roman"/>
          <w:b/>
          <w:sz w:val="24"/>
          <w:szCs w:val="24"/>
        </w:rPr>
        <w:t>a</w:t>
      </w:r>
      <w:proofErr w:type="gramEnd"/>
      <w:r w:rsidRPr="00BC17B3">
        <w:rPr>
          <w:rFonts w:ascii="Times New Roman" w:hAnsi="Times New Roman"/>
          <w:b/>
          <w:sz w:val="24"/>
          <w:szCs w:val="24"/>
        </w:rPr>
        <w:t xml:space="preserve"> FF recruit as a probationary employee; when injured in recruit school, can be “demoted” back to EMT-B and placed on light duty.</w:t>
      </w:r>
    </w:p>
    <w:p w14:paraId="1DFF312A" w14:textId="78F4250F" w:rsidR="000C4DF5" w:rsidRDefault="000C4DF5">
      <w:pPr>
        <w:spacing w:after="0" w:line="240" w:lineRule="auto"/>
        <w:rPr>
          <w:b/>
          <w:sz w:val="24"/>
          <w:szCs w:val="24"/>
        </w:rPr>
      </w:pPr>
      <w:r>
        <w:rPr>
          <w:b/>
          <w:sz w:val="24"/>
          <w:szCs w:val="24"/>
        </w:rPr>
        <w:br w:type="page"/>
      </w:r>
    </w:p>
    <w:bookmarkEnd w:id="566"/>
    <w:bookmarkEnd w:id="568"/>
    <w:p w14:paraId="16EB49F9" w14:textId="77777777" w:rsidR="004378B8" w:rsidRDefault="004378B8" w:rsidP="00F326E5">
      <w:pPr>
        <w:rPr>
          <w:rFonts w:ascii="Arial Black" w:hAnsi="Arial Black"/>
          <w:sz w:val="40"/>
          <w:szCs w:val="40"/>
        </w:rPr>
      </w:pPr>
    </w:p>
    <w:p w14:paraId="178B1B2A" w14:textId="77777777" w:rsidR="004378B8" w:rsidRDefault="004378B8" w:rsidP="00F326E5">
      <w:pPr>
        <w:rPr>
          <w:rFonts w:ascii="Arial Black" w:hAnsi="Arial Black"/>
          <w:sz w:val="40"/>
          <w:szCs w:val="40"/>
        </w:rPr>
      </w:pPr>
    </w:p>
    <w:p w14:paraId="1AC74A7C" w14:textId="77777777" w:rsidR="004378B8" w:rsidRDefault="004378B8" w:rsidP="00F326E5">
      <w:pPr>
        <w:rPr>
          <w:rFonts w:ascii="Arial Black" w:hAnsi="Arial Black"/>
          <w:sz w:val="40"/>
          <w:szCs w:val="40"/>
        </w:rPr>
      </w:pPr>
    </w:p>
    <w:p w14:paraId="787CE605" w14:textId="77777777" w:rsidR="004378B8" w:rsidRDefault="004378B8" w:rsidP="00F326E5">
      <w:pPr>
        <w:rPr>
          <w:rFonts w:ascii="Arial Black" w:hAnsi="Arial Black"/>
          <w:sz w:val="40"/>
          <w:szCs w:val="40"/>
        </w:rPr>
      </w:pPr>
    </w:p>
    <w:p w14:paraId="63BB63F1" w14:textId="77777777" w:rsidR="004378B8" w:rsidRDefault="004378B8" w:rsidP="00F326E5">
      <w:pPr>
        <w:rPr>
          <w:rFonts w:ascii="Arial Black" w:hAnsi="Arial Black"/>
          <w:sz w:val="40"/>
          <w:szCs w:val="40"/>
        </w:rPr>
      </w:pPr>
    </w:p>
    <w:p w14:paraId="44B5D944" w14:textId="77777777" w:rsidR="004378B8" w:rsidRDefault="004378B8" w:rsidP="00F326E5">
      <w:pPr>
        <w:rPr>
          <w:rFonts w:ascii="Arial Black" w:hAnsi="Arial Black"/>
          <w:sz w:val="40"/>
          <w:szCs w:val="40"/>
        </w:rPr>
      </w:pPr>
    </w:p>
    <w:p w14:paraId="79630461" w14:textId="77777777" w:rsidR="004378B8" w:rsidRDefault="004378B8" w:rsidP="00F326E5">
      <w:pPr>
        <w:rPr>
          <w:rFonts w:ascii="Arial Black" w:hAnsi="Arial Black"/>
          <w:sz w:val="40"/>
          <w:szCs w:val="40"/>
        </w:rPr>
      </w:pPr>
    </w:p>
    <w:p w14:paraId="6F3AC8F7" w14:textId="77777777" w:rsidR="004378B8" w:rsidRDefault="004378B8" w:rsidP="00F326E5">
      <w:pPr>
        <w:rPr>
          <w:rFonts w:ascii="Arial Black" w:hAnsi="Arial Black"/>
          <w:sz w:val="40"/>
          <w:szCs w:val="40"/>
        </w:rPr>
      </w:pPr>
    </w:p>
    <w:p w14:paraId="594F7C28" w14:textId="77777777" w:rsidR="004378B8" w:rsidRDefault="004378B8" w:rsidP="00F326E5">
      <w:pPr>
        <w:rPr>
          <w:rFonts w:ascii="Arial Black" w:hAnsi="Arial Black"/>
          <w:sz w:val="40"/>
          <w:szCs w:val="40"/>
        </w:rPr>
      </w:pPr>
    </w:p>
    <w:p w14:paraId="111CE97C" w14:textId="77777777" w:rsidR="004378B8" w:rsidRDefault="004378B8" w:rsidP="00F326E5">
      <w:pPr>
        <w:rPr>
          <w:rFonts w:ascii="Arial Black" w:hAnsi="Arial Black"/>
          <w:sz w:val="40"/>
          <w:szCs w:val="40"/>
        </w:rPr>
      </w:pPr>
    </w:p>
    <w:p w14:paraId="3B9AC02F" w14:textId="77777777" w:rsidR="004378B8" w:rsidRDefault="004378B8" w:rsidP="00F326E5">
      <w:pPr>
        <w:rPr>
          <w:rFonts w:ascii="Arial Black" w:hAnsi="Arial Black"/>
          <w:sz w:val="40"/>
          <w:szCs w:val="40"/>
        </w:rPr>
      </w:pPr>
    </w:p>
    <w:p w14:paraId="32151016" w14:textId="77777777" w:rsidR="004378B8" w:rsidRDefault="004378B8" w:rsidP="00F326E5">
      <w:pPr>
        <w:rPr>
          <w:rFonts w:ascii="Arial Black" w:hAnsi="Arial Black"/>
          <w:sz w:val="40"/>
          <w:szCs w:val="40"/>
        </w:rPr>
      </w:pPr>
    </w:p>
    <w:p w14:paraId="22103E84" w14:textId="77777777" w:rsidR="004378B8" w:rsidRDefault="004378B8" w:rsidP="00F326E5">
      <w:pPr>
        <w:rPr>
          <w:rFonts w:ascii="Arial Black" w:hAnsi="Arial Black"/>
          <w:sz w:val="40"/>
          <w:szCs w:val="40"/>
        </w:rPr>
      </w:pPr>
    </w:p>
    <w:p w14:paraId="466DADBD" w14:textId="77777777" w:rsidR="004378B8" w:rsidRDefault="004378B8" w:rsidP="00F326E5">
      <w:pPr>
        <w:rPr>
          <w:rFonts w:ascii="Arial Black" w:hAnsi="Arial Black"/>
          <w:sz w:val="40"/>
          <w:szCs w:val="40"/>
        </w:rPr>
      </w:pPr>
    </w:p>
    <w:p w14:paraId="6AF4ADE1" w14:textId="77777777" w:rsidR="004378B8" w:rsidRDefault="004378B8" w:rsidP="00F326E5">
      <w:pPr>
        <w:rPr>
          <w:rFonts w:ascii="Arial Black" w:hAnsi="Arial Black"/>
          <w:sz w:val="40"/>
          <w:szCs w:val="40"/>
        </w:rPr>
      </w:pPr>
    </w:p>
    <w:p w14:paraId="1A36CA2A" w14:textId="77777777" w:rsidR="004378B8" w:rsidRDefault="004378B8" w:rsidP="00F326E5">
      <w:pPr>
        <w:rPr>
          <w:rFonts w:ascii="Arial Black" w:hAnsi="Arial Black"/>
          <w:sz w:val="40"/>
          <w:szCs w:val="40"/>
        </w:rPr>
      </w:pPr>
    </w:p>
    <w:p w14:paraId="0206712B" w14:textId="77777777" w:rsidR="004378B8" w:rsidRDefault="004378B8" w:rsidP="00F326E5">
      <w:pPr>
        <w:rPr>
          <w:rFonts w:ascii="Arial Black" w:hAnsi="Arial Black"/>
          <w:sz w:val="40"/>
          <w:szCs w:val="40"/>
        </w:rPr>
      </w:pPr>
    </w:p>
    <w:p w14:paraId="1E590846" w14:textId="05B8579E" w:rsidR="00F326E5" w:rsidRDefault="00F326E5" w:rsidP="00F326E5">
      <w:pPr>
        <w:rPr>
          <w:rFonts w:ascii="Arial Black" w:hAnsi="Arial Black"/>
          <w:sz w:val="40"/>
          <w:szCs w:val="40"/>
        </w:rPr>
      </w:pPr>
      <w:r w:rsidRPr="007732FA">
        <w:rPr>
          <w:rFonts w:ascii="Arial Black" w:hAnsi="Arial Black"/>
          <w:sz w:val="40"/>
          <w:szCs w:val="40"/>
        </w:rPr>
        <w:t>Chap. 15</w:t>
      </w:r>
      <w:r>
        <w:rPr>
          <w:rFonts w:ascii="Arial Black" w:hAnsi="Arial Black"/>
          <w:sz w:val="40"/>
          <w:szCs w:val="40"/>
        </w:rPr>
        <w:t xml:space="preserve"> </w:t>
      </w:r>
      <w:r w:rsidR="00CA57F1">
        <w:rPr>
          <w:rFonts w:ascii="Arial Black" w:hAnsi="Arial Black"/>
          <w:sz w:val="40"/>
          <w:szCs w:val="40"/>
        </w:rPr>
        <w:t xml:space="preserve"> </w:t>
      </w:r>
      <w:r w:rsidR="00EC5D4A">
        <w:rPr>
          <w:rFonts w:ascii="Arial Black" w:hAnsi="Arial Black"/>
          <w:sz w:val="40"/>
          <w:szCs w:val="40"/>
        </w:rPr>
        <w:t>Mental Health, incl.</w:t>
      </w:r>
      <w:r w:rsidR="00CA57F1">
        <w:rPr>
          <w:rFonts w:ascii="Arial Black" w:hAnsi="Arial Black"/>
          <w:sz w:val="40"/>
          <w:szCs w:val="40"/>
        </w:rPr>
        <w:t xml:space="preserve"> </w:t>
      </w:r>
      <w:r w:rsidRPr="007732FA">
        <w:rPr>
          <w:rFonts w:ascii="Arial Black" w:hAnsi="Arial Black"/>
          <w:sz w:val="40"/>
          <w:szCs w:val="40"/>
        </w:rPr>
        <w:t>C</w:t>
      </w:r>
      <w:r w:rsidR="006D5E9F">
        <w:rPr>
          <w:rFonts w:ascii="Arial Black" w:hAnsi="Arial Black"/>
          <w:sz w:val="40"/>
          <w:szCs w:val="40"/>
        </w:rPr>
        <w:t xml:space="preserve">ISM / </w:t>
      </w:r>
      <w:r w:rsidR="00636395">
        <w:rPr>
          <w:rFonts w:ascii="Arial Black" w:hAnsi="Arial Black"/>
          <w:sz w:val="40"/>
          <w:szCs w:val="40"/>
        </w:rPr>
        <w:t>Peer Support</w:t>
      </w:r>
      <w:r w:rsidR="006D5E9F">
        <w:rPr>
          <w:rFonts w:ascii="Arial Black" w:hAnsi="Arial Black"/>
          <w:sz w:val="40"/>
          <w:szCs w:val="40"/>
        </w:rPr>
        <w:t xml:space="preserve"> </w:t>
      </w:r>
    </w:p>
    <w:p w14:paraId="624B6688" w14:textId="2CE06424" w:rsidR="009330C5" w:rsidRDefault="00AD7E21" w:rsidP="004D70DC">
      <w:pPr>
        <w:pStyle w:val="NoSpacing"/>
        <w:rPr>
          <w:rFonts w:ascii="Arial Black" w:hAnsi="Arial Black"/>
          <w:sz w:val="24"/>
          <w:szCs w:val="24"/>
        </w:rPr>
      </w:pPr>
      <w:r>
        <w:rPr>
          <w:rFonts w:ascii="Arial Black" w:hAnsi="Arial Black"/>
          <w:sz w:val="24"/>
          <w:szCs w:val="24"/>
        </w:rPr>
        <w:t>15-53</w:t>
      </w:r>
      <w:r w:rsidR="001C15DD">
        <w:rPr>
          <w:rFonts w:ascii="Arial Black" w:hAnsi="Arial Black"/>
          <w:sz w:val="24"/>
          <w:szCs w:val="24"/>
        </w:rPr>
        <w:t xml:space="preserve"> [also filed, Chap. 9, ADA]</w:t>
      </w:r>
    </w:p>
    <w:p w14:paraId="262428C6" w14:textId="77777777" w:rsidR="001C15DD" w:rsidRDefault="001C15DD" w:rsidP="004D70DC">
      <w:pPr>
        <w:pStyle w:val="NoSpacing"/>
        <w:rPr>
          <w:rFonts w:ascii="Arial Black" w:hAnsi="Arial Black"/>
          <w:sz w:val="24"/>
          <w:szCs w:val="24"/>
        </w:rPr>
      </w:pPr>
    </w:p>
    <w:p w14:paraId="053DF54B" w14:textId="77777777" w:rsidR="00AD7E21" w:rsidRPr="00E60E4B" w:rsidRDefault="00AD7E21" w:rsidP="00AD7E21">
      <w:pPr>
        <w:rPr>
          <w:rFonts w:ascii="Arial Black" w:hAnsi="Arial Black"/>
          <w:b/>
          <w:sz w:val="28"/>
          <w:szCs w:val="28"/>
        </w:rPr>
      </w:pPr>
      <w:r>
        <w:rPr>
          <w:rFonts w:ascii="Arial Black" w:hAnsi="Arial Black"/>
          <w:b/>
          <w:sz w:val="28"/>
          <w:szCs w:val="28"/>
        </w:rPr>
        <w:t xml:space="preserve">KY: FIRE MARSHAL – NO MJ - SUICIDE ATTEMPT ADDERALL </w:t>
      </w:r>
    </w:p>
    <w:p w14:paraId="34F7FC5D" w14:textId="77777777" w:rsidR="00AD7E21" w:rsidRDefault="00AD7E21" w:rsidP="00AD7E21">
      <w:pPr>
        <w:pStyle w:val="NoSpacing"/>
      </w:pPr>
      <w:r>
        <w:t xml:space="preserve">On May 5, 2026, in </w:t>
      </w:r>
      <w:r w:rsidRPr="00BE6F41">
        <w:rPr>
          <w:u w:val="single"/>
        </w:rPr>
        <w:t>Joseph Wheeling v. City of Winchester</w:t>
      </w:r>
      <w:r>
        <w:t xml:space="preserve">, U.S. District Court Judge </w:t>
      </w:r>
      <w:r w:rsidRPr="003F4A5C">
        <w:t>Karen K. Caldwel</w:t>
      </w:r>
      <w:r>
        <w:t xml:space="preserve">, United States District Court for Eastern District of Kentucky, Central Division, Lexington, granted the City’s motion for summary judgment on his May 16, </w:t>
      </w:r>
      <w:proofErr w:type="gramStart"/>
      <w:r>
        <w:t>2023</w:t>
      </w:r>
      <w:proofErr w:type="gramEnd"/>
      <w:r>
        <w:t xml:space="preserve"> termination for breach of city’s drug policy - abuse of proscribed medication.  The Fire Marshal had taken FMLA leave </w:t>
      </w:r>
      <w:r w:rsidRPr="00D73A56">
        <w:t>June 22</w:t>
      </w:r>
      <w:r>
        <w:t>-</w:t>
      </w:r>
      <w:r w:rsidRPr="00D73A56">
        <w:t xml:space="preserve">25, 2022, </w:t>
      </w:r>
      <w:r>
        <w:t xml:space="preserve">for </w:t>
      </w:r>
      <w:r w:rsidRPr="00D73A56">
        <w:t>in-patient treatment at the International Association of Fire Fighters Center for Excellence</w:t>
      </w:r>
      <w:r>
        <w:t xml:space="preserve">, and upon return he was receiving treatment </w:t>
      </w:r>
      <w:r w:rsidRPr="00216F9E">
        <w:t>Bluegrass Behavioral Health and Consulting Services</w:t>
      </w:r>
      <w:r>
        <w:t xml:space="preserve">.  After a second FMLA, the </w:t>
      </w:r>
      <w:proofErr w:type="gramStart"/>
      <w:r>
        <w:t>City</w:t>
      </w:r>
      <w:proofErr w:type="gramEnd"/>
      <w:r>
        <w:t xml:space="preserve"> declined his return to work using proscribed marijuana, so he was proscribed Adderall.  He r</w:t>
      </w:r>
      <w:r w:rsidRPr="00724F86">
        <w:t>eturned to work on March 14, 2023</w:t>
      </w:r>
      <w:r>
        <w:t xml:space="preserve">; but on </w:t>
      </w:r>
      <w:r w:rsidRPr="00147A46">
        <w:t xml:space="preserve">March 31, 2023, Wheeling attempted suicide while at work by </w:t>
      </w:r>
      <w:r w:rsidRPr="00D600CD">
        <w:t>ingesting about 9 or 11 Adderall pills.</w:t>
      </w:r>
      <w:r>
        <w:t xml:space="preserve"> THE COURT WROTE: “</w:t>
      </w:r>
      <w:r w:rsidRPr="00835EAE">
        <w:t xml:space="preserve">Because the record conclusively reveals a nondiscriminatory reason for the termination, the </w:t>
      </w:r>
      <w:proofErr w:type="gramStart"/>
      <w:r w:rsidRPr="00835EAE">
        <w:t>City</w:t>
      </w:r>
      <w:proofErr w:type="gramEnd"/>
      <w:r w:rsidRPr="00835EAE">
        <w:t xml:space="preserve"> is entitled to summary judgment on the disability discrimination claim</w:t>
      </w:r>
      <w:r>
        <w:t xml:space="preserve">…. </w:t>
      </w:r>
      <w:r w:rsidRPr="00E60E4B">
        <w:t xml:space="preserve"> Here, the written job requirements, the undisputed testimony from Wheeling and his supervisors, and the duties inherent in being a first responder indicate that field inspections and fire prevention </w:t>
      </w:r>
      <w:proofErr w:type="gramStart"/>
      <w:r w:rsidRPr="00E60E4B">
        <w:t>is</w:t>
      </w:r>
      <w:proofErr w:type="gramEnd"/>
      <w:r w:rsidRPr="00E60E4B">
        <w:t xml:space="preserve"> essential to performing the Fire Marshal role. The </w:t>
      </w:r>
      <w:proofErr w:type="gramStart"/>
      <w:r w:rsidRPr="00E60E4B">
        <w:t>City</w:t>
      </w:r>
      <w:proofErr w:type="gramEnd"/>
      <w:r w:rsidRPr="00E60E4B">
        <w:t xml:space="preserve"> was not required to reassign Wheeling's fire inspection and prevention responsibilities to other employees</w:t>
      </w:r>
      <w:r>
        <w:t xml:space="preserve">…. </w:t>
      </w:r>
      <w:r w:rsidRPr="00E60E4B">
        <w:t xml:space="preserve">Therefore, based on the record, Wheeling's request to have other employees help with </w:t>
      </w:r>
      <w:r>
        <w:t>‘</w:t>
      </w:r>
      <w:r w:rsidRPr="00E60E4B">
        <w:t xml:space="preserve">fire </w:t>
      </w:r>
      <w:proofErr w:type="gramStart"/>
      <w:r w:rsidRPr="00E60E4B">
        <w:t>inspections</w:t>
      </w:r>
      <w:r>
        <w:t>’</w:t>
      </w:r>
      <w:r w:rsidRPr="00E60E4B">
        <w:t xml:space="preserve"> and </w:t>
      </w:r>
      <w:r>
        <w:t>‘</w:t>
      </w:r>
      <w:proofErr w:type="gramEnd"/>
      <w:r w:rsidRPr="00E60E4B">
        <w:t>fire prevention</w:t>
      </w:r>
      <w:r>
        <w:t xml:space="preserve">’ </w:t>
      </w:r>
      <w:r w:rsidRPr="00E60E4B">
        <w:t xml:space="preserve">seeks </w:t>
      </w:r>
      <w:proofErr w:type="gramStart"/>
      <w:r w:rsidRPr="00E60E4B">
        <w:t>an accommodation</w:t>
      </w:r>
      <w:proofErr w:type="gramEnd"/>
      <w:r w:rsidRPr="00E60E4B">
        <w:t xml:space="preserve"> relating to the most fundamental aspects of the job. On this evidence, no reasonable jury could conclude that Wheeling's accommodation request would not eliminate or reallocate the most essential functions of his job</w:t>
      </w:r>
      <w:r>
        <w:t xml:space="preserve">…. </w:t>
      </w:r>
      <w:r w:rsidRPr="00E60E4B">
        <w:t xml:space="preserve">Because Wheeling failed to provide a reasonable accommodation request, his failure to accommodate claim fails as a matter of </w:t>
      </w:r>
      <w:proofErr w:type="gramStart"/>
      <w:r w:rsidRPr="00E60E4B">
        <w:t>law.</w:t>
      </w:r>
      <w:r>
        <w:t>”</w:t>
      </w:r>
      <w:proofErr w:type="gramEnd"/>
      <w:r>
        <w:t xml:space="preserve"> </w:t>
      </w:r>
      <w:hyperlink r:id="rId2388" w:history="1">
        <w:r w:rsidRPr="00BC462E">
          <w:rPr>
            <w:rStyle w:val="Hyperlink"/>
          </w:rPr>
          <w:t>https://cases.justia.com/federal/district-courts/kentucky/kyedce/5:2024cv00129/104855/29/0.pdf?ts=1778093974</w:t>
        </w:r>
      </w:hyperlink>
      <w:r>
        <w:t xml:space="preserve"> </w:t>
      </w:r>
    </w:p>
    <w:p w14:paraId="28994584" w14:textId="77777777" w:rsidR="00AD7E21" w:rsidRDefault="00AD7E21" w:rsidP="00AD7E21">
      <w:pPr>
        <w:pStyle w:val="NoSpacing"/>
      </w:pPr>
    </w:p>
    <w:p w14:paraId="1B0CA89B" w14:textId="77777777" w:rsidR="00AD7E21" w:rsidRDefault="00AD7E21" w:rsidP="00AD7E21">
      <w:pPr>
        <w:pStyle w:val="NoSpacing"/>
      </w:pPr>
      <w:r>
        <w:t xml:space="preserve">THE COURT HELD: </w:t>
      </w:r>
    </w:p>
    <w:p w14:paraId="4FACF901" w14:textId="77777777" w:rsidR="00AD7E21" w:rsidRDefault="00AD7E21" w:rsidP="00AD7E21">
      <w:pPr>
        <w:pStyle w:val="NoSpacing"/>
      </w:pPr>
    </w:p>
    <w:p w14:paraId="39D98C22" w14:textId="77777777" w:rsidR="00AD7E21" w:rsidRDefault="00AD7E21" w:rsidP="00AD7E21">
      <w:pPr>
        <w:pStyle w:val="NoSpacing"/>
        <w:ind w:left="720"/>
      </w:pPr>
      <w:r>
        <w:t>“</w:t>
      </w:r>
      <w:r w:rsidRPr="00CF2083">
        <w:t>Wheeling identifies two potential accommodations that could have aided him in his employment: using medical marijuana and additional personnel to assist him in the office</w:t>
      </w:r>
      <w:r>
        <w:t xml:space="preserve">…. </w:t>
      </w:r>
      <w:r w:rsidRPr="006A2B36">
        <w:t xml:space="preserve">The City's letter explained </w:t>
      </w:r>
      <w:proofErr w:type="gramStart"/>
      <w:r w:rsidRPr="006A2B36">
        <w:t>that,</w:t>
      </w:r>
      <w:proofErr w:type="gramEnd"/>
      <w:r w:rsidRPr="006A2B36">
        <w:t xml:space="preserve"> </w:t>
      </w:r>
      <w:r>
        <w:t>‘</w:t>
      </w:r>
      <w:r w:rsidRPr="006A2B36">
        <w:t xml:space="preserve">[Wheeling's] position of employment with the </w:t>
      </w:r>
      <w:proofErr w:type="gramStart"/>
      <w:r w:rsidRPr="006A2B36">
        <w:t>City</w:t>
      </w:r>
      <w:proofErr w:type="gramEnd"/>
      <w:r w:rsidRPr="006A2B36">
        <w:t xml:space="preserve"> is a heightened safety awareness level position (HSAL) that involves exceptional duties to the community citizens in the area of public safety.</w:t>
      </w:r>
      <w:r>
        <w:t xml:space="preserve">’ …. </w:t>
      </w:r>
      <w:r w:rsidRPr="006A2B36">
        <w:t xml:space="preserve">Because of the heightened safety level required of his position, the </w:t>
      </w:r>
      <w:proofErr w:type="gramStart"/>
      <w:r w:rsidRPr="006A2B36">
        <w:t>City</w:t>
      </w:r>
      <w:proofErr w:type="gramEnd"/>
      <w:r w:rsidRPr="006A2B36">
        <w:t xml:space="preserve"> explicitly prohibited his use of medical marijuana. </w:t>
      </w:r>
    </w:p>
    <w:p w14:paraId="69E1B5FD" w14:textId="77777777" w:rsidR="00AD7E21" w:rsidRDefault="00AD7E21" w:rsidP="00AD7E21">
      <w:pPr>
        <w:pStyle w:val="NoSpacing"/>
        <w:ind w:left="720"/>
      </w:pPr>
    </w:p>
    <w:p w14:paraId="130F893F" w14:textId="77777777" w:rsidR="00AD7E21" w:rsidRDefault="00AD7E21" w:rsidP="00AD7E21">
      <w:pPr>
        <w:pStyle w:val="NoSpacing"/>
        <w:ind w:left="720"/>
      </w:pPr>
      <w:r>
        <w:t>***</w:t>
      </w:r>
    </w:p>
    <w:p w14:paraId="561103A9" w14:textId="77777777" w:rsidR="00AD7E21" w:rsidRDefault="00AD7E21" w:rsidP="00AD7E21">
      <w:pPr>
        <w:pStyle w:val="NoSpacing"/>
        <w:ind w:left="720"/>
      </w:pPr>
    </w:p>
    <w:p w14:paraId="65C65910" w14:textId="77777777" w:rsidR="00AD7E21" w:rsidRPr="00A43D41" w:rsidRDefault="00AD7E21" w:rsidP="00AD7E21">
      <w:pPr>
        <w:pStyle w:val="NoSpacing"/>
        <w:ind w:left="720"/>
      </w:pPr>
      <w:r w:rsidRPr="00A43D41">
        <w:t xml:space="preserve">Wheeling's healthcare provider responded with a March 1, </w:t>
      </w:r>
      <w:proofErr w:type="gramStart"/>
      <w:r w:rsidRPr="00A43D41">
        <w:t>2023, letter</w:t>
      </w:r>
      <w:proofErr w:type="gramEnd"/>
      <w:r w:rsidRPr="00A43D41">
        <w:t xml:space="preserve">: </w:t>
      </w:r>
    </w:p>
    <w:p w14:paraId="05539F85" w14:textId="77777777" w:rsidR="00AD7E21" w:rsidRDefault="00AD7E21" w:rsidP="00AD7E21">
      <w:pPr>
        <w:pStyle w:val="NoSpacing"/>
        <w:ind w:left="720" w:firstLine="720"/>
      </w:pPr>
    </w:p>
    <w:p w14:paraId="741B6996" w14:textId="77777777" w:rsidR="00AD7E21" w:rsidRPr="00A43D41" w:rsidRDefault="00AD7E21" w:rsidP="00AD7E21">
      <w:pPr>
        <w:pStyle w:val="NoSpacing"/>
        <w:ind w:left="1440"/>
      </w:pPr>
      <w:r w:rsidRPr="00A43D41">
        <w:t xml:space="preserve">This letter is to certify that Joseph Wheeling has been released to return to work effective immediately with the following accommodation(s): </w:t>
      </w:r>
    </w:p>
    <w:p w14:paraId="5AAE8924" w14:textId="77777777" w:rsidR="00AD7E21" w:rsidRPr="00A43D41" w:rsidRDefault="00AD7E21" w:rsidP="00AD7E21">
      <w:pPr>
        <w:pStyle w:val="NoSpacing"/>
        <w:ind w:left="1440"/>
      </w:pPr>
      <w:r w:rsidRPr="00A43D41">
        <w:t xml:space="preserve">• Scheduling flexibility to allow him to continue his medical treatment which includes weekly </w:t>
      </w:r>
      <w:proofErr w:type="spellStart"/>
      <w:r w:rsidRPr="00A43D41">
        <w:t>Spravato</w:t>
      </w:r>
      <w:proofErr w:type="spellEnd"/>
      <w:r w:rsidRPr="00A43D41">
        <w:t xml:space="preserve"> treatment and therapy. </w:t>
      </w:r>
    </w:p>
    <w:p w14:paraId="74D00869" w14:textId="77777777" w:rsidR="00AD7E21" w:rsidRPr="00A43D41" w:rsidRDefault="00AD7E21" w:rsidP="00AD7E21">
      <w:pPr>
        <w:pStyle w:val="NoSpacing"/>
        <w:ind w:left="1440"/>
      </w:pPr>
      <w:r w:rsidRPr="00A43D41">
        <w:t xml:space="preserve">Please note that additional </w:t>
      </w:r>
      <w:proofErr w:type="gramStart"/>
      <w:r w:rsidRPr="00A43D41">
        <w:t>accommodations</w:t>
      </w:r>
      <w:proofErr w:type="gramEnd"/>
      <w:r w:rsidRPr="00A43D41">
        <w:t xml:space="preserve"> may be required in the future and are dependent on progress/status. </w:t>
      </w:r>
    </w:p>
    <w:p w14:paraId="6BDF9848" w14:textId="77777777" w:rsidR="00AD7E21" w:rsidRPr="00A43D41" w:rsidRDefault="00AD7E21" w:rsidP="00AD7E21">
      <w:pPr>
        <w:pStyle w:val="NoSpacing"/>
        <w:ind w:left="1440"/>
      </w:pPr>
      <w:r w:rsidRPr="00A43D41">
        <w:t xml:space="preserve">Please note that it is felt that the </w:t>
      </w:r>
      <w:proofErr w:type="gramStart"/>
      <w:r w:rsidRPr="00A43D41">
        <w:t>above mentioned</w:t>
      </w:r>
      <w:proofErr w:type="gramEnd"/>
      <w:r w:rsidRPr="00A43D41">
        <w:t xml:space="preserve"> is capable of safely performing the required functions of his job while taking his current prescribed medications: </w:t>
      </w:r>
      <w:proofErr w:type="spellStart"/>
      <w:r w:rsidRPr="00A43D41">
        <w:t>Spravato</w:t>
      </w:r>
      <w:proofErr w:type="spellEnd"/>
      <w:r w:rsidRPr="00A43D41">
        <w:t xml:space="preserve"> (administered in office, once weekly, and Clonazepam 0.5mg twice daily as needed. </w:t>
      </w:r>
    </w:p>
    <w:p w14:paraId="7BE1F0F9" w14:textId="77777777" w:rsidR="00AD7E21" w:rsidRDefault="00AD7E21" w:rsidP="00AD7E21">
      <w:pPr>
        <w:pStyle w:val="NoSpacing"/>
        <w:ind w:left="720"/>
      </w:pPr>
    </w:p>
    <w:p w14:paraId="25E6732D" w14:textId="77777777" w:rsidR="00AD7E21" w:rsidRDefault="00AD7E21" w:rsidP="00AD7E21">
      <w:pPr>
        <w:pStyle w:val="NoSpacing"/>
        <w:ind w:left="720"/>
      </w:pPr>
      <w:r w:rsidRPr="00077FEA">
        <w:t xml:space="preserve">After </w:t>
      </w:r>
      <w:proofErr w:type="gramStart"/>
      <w:r w:rsidRPr="00077FEA">
        <w:t>receipt of</w:t>
      </w:r>
      <w:proofErr w:type="gramEnd"/>
      <w:r w:rsidRPr="00077FEA">
        <w:t xml:space="preserve"> the letter, the City confirmed that the proposed treatment plan complied with its policies.</w:t>
      </w:r>
    </w:p>
    <w:p w14:paraId="14DD3C6C" w14:textId="77777777" w:rsidR="00AD7E21" w:rsidRDefault="00AD7E21" w:rsidP="00AD7E21">
      <w:pPr>
        <w:pStyle w:val="NoSpacing"/>
        <w:ind w:left="720"/>
      </w:pPr>
    </w:p>
    <w:p w14:paraId="0663C21F" w14:textId="77777777" w:rsidR="00AD7E21" w:rsidRDefault="00AD7E21" w:rsidP="00AD7E21">
      <w:pPr>
        <w:pStyle w:val="NoSpacing"/>
        <w:ind w:left="720"/>
      </w:pPr>
      <w:r>
        <w:t>***</w:t>
      </w:r>
    </w:p>
    <w:p w14:paraId="3C1ACC4B" w14:textId="77777777" w:rsidR="00AD7E21" w:rsidRDefault="00AD7E21" w:rsidP="00AD7E21">
      <w:pPr>
        <w:pStyle w:val="NoSpacing"/>
        <w:ind w:left="720"/>
      </w:pPr>
      <w:r w:rsidRPr="00746CE2">
        <w:t xml:space="preserve">The </w:t>
      </w:r>
      <w:proofErr w:type="gramStart"/>
      <w:r w:rsidRPr="00746CE2">
        <w:t>City</w:t>
      </w:r>
      <w:proofErr w:type="gramEnd"/>
      <w:r w:rsidRPr="00746CE2">
        <w:t xml:space="preserve"> was not required to reassign Wheeling's fire inspection and prevention responsibilities to other employees</w:t>
      </w:r>
      <w:r>
        <w:t xml:space="preserve">…. </w:t>
      </w:r>
      <w:r w:rsidRPr="00746CE2">
        <w:t xml:space="preserve">Therefore, based on the record, Wheeling's request to have other employees help with </w:t>
      </w:r>
      <w:r>
        <w:t>‘</w:t>
      </w:r>
      <w:r w:rsidRPr="00746CE2">
        <w:t xml:space="preserve">fire </w:t>
      </w:r>
      <w:proofErr w:type="gramStart"/>
      <w:r w:rsidRPr="00746CE2">
        <w:t>inspections</w:t>
      </w:r>
      <w:r>
        <w:t>’</w:t>
      </w:r>
      <w:r w:rsidRPr="00746CE2">
        <w:t xml:space="preserve"> and </w:t>
      </w:r>
      <w:r>
        <w:t>‘</w:t>
      </w:r>
      <w:proofErr w:type="gramEnd"/>
      <w:r w:rsidRPr="00746CE2">
        <w:t>fire prevention</w:t>
      </w:r>
      <w:r>
        <w:t>’</w:t>
      </w:r>
      <w:r w:rsidRPr="00746CE2">
        <w:t xml:space="preserve"> seeks </w:t>
      </w:r>
      <w:proofErr w:type="gramStart"/>
      <w:r w:rsidRPr="00746CE2">
        <w:t>an accommodation</w:t>
      </w:r>
      <w:proofErr w:type="gramEnd"/>
      <w:r w:rsidRPr="00746CE2">
        <w:t xml:space="preserve"> relating to the most fundamental aspects of the job. On this evidence, no reasonable jury could conclude that Wheeling's accommodation request would not eliminate or reallocate the most essential functions of his job</w:t>
      </w:r>
      <w:r>
        <w:t xml:space="preserve">…. </w:t>
      </w:r>
      <w:r w:rsidRPr="00746CE2">
        <w:t xml:space="preserve">Because Wheeling failed to provide a reasonable accommodation request, his failure to accommodate claim fails as a matter of </w:t>
      </w:r>
      <w:proofErr w:type="gramStart"/>
      <w:r w:rsidRPr="00746CE2">
        <w:t>law.</w:t>
      </w:r>
      <w:r>
        <w:t>”</w:t>
      </w:r>
      <w:proofErr w:type="gramEnd"/>
    </w:p>
    <w:p w14:paraId="6B1C3974" w14:textId="77777777" w:rsidR="00AD7E21" w:rsidRDefault="00AD7E21" w:rsidP="00AD7E21">
      <w:pPr>
        <w:pStyle w:val="NoSpacing"/>
        <w:ind w:left="720"/>
      </w:pPr>
    </w:p>
    <w:p w14:paraId="34D4F9AC" w14:textId="77777777" w:rsidR="00AD7E21" w:rsidRDefault="00AD7E21" w:rsidP="00AD7E21">
      <w:pPr>
        <w:pStyle w:val="NoSpacing"/>
        <w:rPr>
          <w:b/>
          <w:bCs/>
        </w:rPr>
      </w:pPr>
      <w:r>
        <w:rPr>
          <w:b/>
        </w:rPr>
        <w:t xml:space="preserve">Legal lesson learned: The ADA does not require an employer to allow use of proscribed marijuana for an emergency responder. </w:t>
      </w:r>
    </w:p>
    <w:p w14:paraId="697B0FED" w14:textId="77777777" w:rsidR="00AD7E21" w:rsidRDefault="00AD7E21" w:rsidP="00AD7E21">
      <w:pPr>
        <w:pStyle w:val="NoSpacing"/>
        <w:rPr>
          <w:b/>
          <w:bCs/>
        </w:rPr>
      </w:pPr>
    </w:p>
    <w:p w14:paraId="311EEC23" w14:textId="77777777" w:rsidR="00AD7E21" w:rsidRPr="00CC791A" w:rsidRDefault="00AD7E21" w:rsidP="00AD7E21">
      <w:pPr>
        <w:pStyle w:val="NoSpacing"/>
        <w:ind w:left="720"/>
      </w:pPr>
      <w:r w:rsidRPr="00CC791A">
        <w:t>Note: Good news. The Court wrote that “Wheeling is currently employed at the Clark County Fire Department, which is also where he began his career as a firefighter in 2008.”</w:t>
      </w:r>
    </w:p>
    <w:p w14:paraId="68E3C65E" w14:textId="77777777" w:rsidR="00AD7E21" w:rsidRDefault="00AD7E21" w:rsidP="004D70DC">
      <w:pPr>
        <w:pStyle w:val="NoSpacing"/>
        <w:rPr>
          <w:rFonts w:ascii="Arial Black" w:hAnsi="Arial Black"/>
          <w:sz w:val="24"/>
          <w:szCs w:val="24"/>
        </w:rPr>
      </w:pPr>
    </w:p>
    <w:p w14:paraId="58A20E15" w14:textId="77777777" w:rsidR="009330C5" w:rsidRDefault="009330C5" w:rsidP="004D70DC">
      <w:pPr>
        <w:pStyle w:val="NoSpacing"/>
        <w:rPr>
          <w:rFonts w:ascii="Arial Black" w:hAnsi="Arial Black"/>
          <w:sz w:val="24"/>
          <w:szCs w:val="24"/>
        </w:rPr>
      </w:pPr>
    </w:p>
    <w:p w14:paraId="7C5BA53C" w14:textId="77777777" w:rsidR="009330C5" w:rsidRDefault="009330C5" w:rsidP="004D70DC">
      <w:pPr>
        <w:pStyle w:val="NoSpacing"/>
        <w:rPr>
          <w:rFonts w:ascii="Arial Black" w:hAnsi="Arial Black"/>
          <w:sz w:val="24"/>
          <w:szCs w:val="24"/>
        </w:rPr>
      </w:pPr>
    </w:p>
    <w:p w14:paraId="164A4EB6" w14:textId="5C030ECD" w:rsidR="004D70DC" w:rsidRDefault="004D70DC" w:rsidP="004D70DC">
      <w:pPr>
        <w:pStyle w:val="NoSpacing"/>
        <w:rPr>
          <w:rFonts w:ascii="Arial Black" w:hAnsi="Arial Black"/>
          <w:sz w:val="24"/>
          <w:szCs w:val="24"/>
        </w:rPr>
      </w:pPr>
      <w:r>
        <w:rPr>
          <w:rFonts w:ascii="Arial Black" w:hAnsi="Arial Black"/>
          <w:sz w:val="24"/>
          <w:szCs w:val="24"/>
        </w:rPr>
        <w:t>15-52</w:t>
      </w:r>
      <w:r w:rsidR="003E35D8">
        <w:rPr>
          <w:rFonts w:ascii="Arial Black" w:hAnsi="Arial Black"/>
          <w:sz w:val="24"/>
          <w:szCs w:val="24"/>
        </w:rPr>
        <w:t xml:space="preserve"> [also filed, Chap. 9 – ADA]</w:t>
      </w:r>
    </w:p>
    <w:p w14:paraId="5566CD44" w14:textId="77777777" w:rsidR="004D70DC" w:rsidRDefault="004D70DC" w:rsidP="00073CC7">
      <w:pPr>
        <w:pStyle w:val="NoSpacing"/>
        <w:rPr>
          <w:rFonts w:ascii="Arial Black" w:hAnsi="Arial Black"/>
          <w:sz w:val="28"/>
          <w:szCs w:val="28"/>
        </w:rPr>
      </w:pPr>
    </w:p>
    <w:p w14:paraId="2F7BA50A" w14:textId="63DD979F" w:rsidR="00073CC7" w:rsidRDefault="00073CC7" w:rsidP="00073CC7">
      <w:pPr>
        <w:pStyle w:val="NoSpacing"/>
        <w:rPr>
          <w:rFonts w:ascii="Arial Black" w:hAnsi="Arial Black"/>
          <w:bCs/>
          <w:sz w:val="28"/>
          <w:szCs w:val="28"/>
        </w:rPr>
      </w:pPr>
      <w:r>
        <w:rPr>
          <w:rFonts w:ascii="Arial Black" w:hAnsi="Arial Black"/>
          <w:sz w:val="28"/>
          <w:szCs w:val="28"/>
        </w:rPr>
        <w:t>MD: DEPRESSION – SLOWER STATION – CASE PROCEED</w:t>
      </w:r>
    </w:p>
    <w:p w14:paraId="35772BD4" w14:textId="77777777" w:rsidR="00073CC7" w:rsidRDefault="00073CC7" w:rsidP="00073CC7">
      <w:pPr>
        <w:pStyle w:val="NoSpacing"/>
        <w:rPr>
          <w:rFonts w:ascii="Arial Black" w:hAnsi="Arial Black"/>
          <w:bCs/>
          <w:sz w:val="28"/>
          <w:szCs w:val="28"/>
        </w:rPr>
      </w:pPr>
    </w:p>
    <w:p w14:paraId="37D92A86" w14:textId="77777777" w:rsidR="00073CC7" w:rsidRDefault="00073CC7" w:rsidP="00073CC7">
      <w:pPr>
        <w:pStyle w:val="NoSpacing"/>
      </w:pPr>
      <w:r>
        <w:t xml:space="preserve">On April 28, 2025, in </w:t>
      </w:r>
      <w:r w:rsidRPr="00636B1D">
        <w:rPr>
          <w:u w:val="single"/>
        </w:rPr>
        <w:t xml:space="preserve">Mark R. Levy v. Howard County, Maryland and Howard County Fire </w:t>
      </w:r>
      <w:proofErr w:type="gramStart"/>
      <w:r w:rsidRPr="00636B1D">
        <w:rPr>
          <w:u w:val="single"/>
        </w:rPr>
        <w:t>And</w:t>
      </w:r>
      <w:proofErr w:type="gramEnd"/>
      <w:r w:rsidRPr="00636B1D">
        <w:rPr>
          <w:u w:val="single"/>
        </w:rPr>
        <w:t xml:space="preserve"> Rescue,</w:t>
      </w:r>
      <w:r>
        <w:t xml:space="preserve"> U.S. Senior District Court Judge </w:t>
      </w:r>
      <w:r w:rsidRPr="000725BC">
        <w:t>Richard D. Bennett</w:t>
      </w:r>
      <w:r>
        <w:t xml:space="preserve">, United States District Court for the District of Maryland, denied plaintiff’s motion for pre-trial </w:t>
      </w:r>
      <w:r w:rsidRPr="00467BB4">
        <w:t>declaratory</w:t>
      </w:r>
      <w:r>
        <w:t xml:space="preserve"> judgement; case will proceed with pre-trial discovery. The firefighter / paramedic has </w:t>
      </w:r>
      <w:r w:rsidRPr="004765D7">
        <w:t>been diagnosed with anxiety and depression since 2002</w:t>
      </w:r>
      <w:r>
        <w:t>; the case will proceed with pre-trial discovery.  The Court wrote: “</w:t>
      </w:r>
      <w:r w:rsidRPr="00832DBD">
        <w:t>To be clear, it is Levy's burden in this case of proving that he is a qualified individual with a disability and that, with a reasonable accommodation, he would be able to properly do the job of a Fire Fighter/Paramedic at Station 3.</w:t>
      </w:r>
      <w:r>
        <w:t xml:space="preserve">”  </w:t>
      </w:r>
      <w:hyperlink r:id="rId2389" w:history="1">
        <w:r w:rsidRPr="003A1948">
          <w:rPr>
            <w:rStyle w:val="Hyperlink"/>
          </w:rPr>
          <w:t>https://cases.justia.com/federal/district-courts/maryland/mddce/1:2024cv03580/573207/56/0.pdf?ts=1777474810</w:t>
        </w:r>
      </w:hyperlink>
      <w:r>
        <w:t xml:space="preserve"> </w:t>
      </w:r>
    </w:p>
    <w:p w14:paraId="21412D99" w14:textId="77777777" w:rsidR="00073CC7" w:rsidRDefault="00073CC7" w:rsidP="00073CC7">
      <w:pPr>
        <w:pStyle w:val="NoSpacing"/>
      </w:pPr>
    </w:p>
    <w:p w14:paraId="5C7F1508" w14:textId="77777777" w:rsidR="00073CC7" w:rsidRDefault="00073CC7" w:rsidP="00073CC7">
      <w:pPr>
        <w:pStyle w:val="NoSpacing"/>
      </w:pPr>
      <w:r>
        <w:t xml:space="preserve">THE COURT HELD: </w:t>
      </w:r>
    </w:p>
    <w:p w14:paraId="1256B491" w14:textId="77777777" w:rsidR="00073CC7" w:rsidRDefault="00073CC7" w:rsidP="00073CC7">
      <w:pPr>
        <w:pStyle w:val="NoSpacing"/>
      </w:pPr>
    </w:p>
    <w:p w14:paraId="2359DE4B" w14:textId="77777777" w:rsidR="00073CC7" w:rsidRDefault="00073CC7" w:rsidP="00073CC7">
      <w:pPr>
        <w:pStyle w:val="NoSpacing"/>
        <w:ind w:left="720"/>
      </w:pPr>
      <w:r>
        <w:t>“</w:t>
      </w:r>
      <w:r w:rsidRPr="004765D7">
        <w:t>Plaintiff Mark R. Levy has been employed as a Fire Fighter/Paramedic with Defendant Howard County Department of Fire and Rescue Services since October 31, 2016</w:t>
      </w:r>
      <w:r>
        <w:t xml:space="preserve">…. </w:t>
      </w:r>
      <w:r w:rsidRPr="004765D7">
        <w:t>Levy alleges that he has been diagnosed with anxiety and depression since 2002</w:t>
      </w:r>
      <w:r>
        <w:t xml:space="preserve">…. </w:t>
      </w:r>
      <w:r w:rsidRPr="004765D7">
        <w:t>As of December 8, 2025, the date Levy filed his First Amended Complaint in this Court, he was assigned to B Shift at Station 3, which is within Battalion 3 of the Howard County Department of Fire and Rescue Services</w:t>
      </w:r>
      <w:r>
        <w:t xml:space="preserve">…. </w:t>
      </w:r>
      <w:r w:rsidRPr="0026656C">
        <w:t>Station 3 is located at 12535 Old Frederick Road in Sykesville, Maryland</w:t>
      </w:r>
      <w:r>
        <w:t xml:space="preserve">…. </w:t>
      </w:r>
      <w:r w:rsidRPr="004765D7">
        <w:t>He asserts that Station 3 has a lower call volume in comparison to other stations within the battalion</w:t>
      </w:r>
      <w:r>
        <w:t xml:space="preserve">…. </w:t>
      </w:r>
      <w:r w:rsidRPr="004765D7">
        <w:t xml:space="preserve">He claims that this lower call volume is the optimal assignment for him to be able to manage his mental health. </w:t>
      </w:r>
    </w:p>
    <w:p w14:paraId="49B19EE4" w14:textId="77777777" w:rsidR="00073CC7" w:rsidRDefault="00073CC7" w:rsidP="00073CC7">
      <w:pPr>
        <w:pStyle w:val="NoSpacing"/>
        <w:ind w:left="720"/>
      </w:pPr>
    </w:p>
    <w:p w14:paraId="3E295AC8" w14:textId="77777777" w:rsidR="00073CC7" w:rsidRDefault="00073CC7" w:rsidP="00073CC7">
      <w:pPr>
        <w:pStyle w:val="NoSpacing"/>
        <w:ind w:left="720"/>
      </w:pPr>
      <w:r>
        <w:t>***</w:t>
      </w:r>
    </w:p>
    <w:p w14:paraId="538C8F36" w14:textId="77777777" w:rsidR="00073CC7" w:rsidRDefault="00073CC7" w:rsidP="00073CC7">
      <w:pPr>
        <w:pStyle w:val="NoSpacing"/>
        <w:ind w:left="720"/>
      </w:pPr>
      <w:r w:rsidRPr="00A26479">
        <w:t>Levy alleges that, on multiple different occasions in 2022, he was reassigned from Station 3 to other stations within Battalion 3</w:t>
      </w:r>
      <w:r>
        <w:t xml:space="preserve">…. </w:t>
      </w:r>
      <w:r w:rsidRPr="00A26479">
        <w:t>Each time, the Department apparently denied his requests to remain at Station 3</w:t>
      </w:r>
      <w:r>
        <w:t xml:space="preserve">…. </w:t>
      </w:r>
      <w:r w:rsidRPr="00A26479">
        <w:t>Levy claims that the Department determined, without engaging in any interactive process, that he did not need a reasonable accommodation</w:t>
      </w:r>
      <w:r>
        <w:t>….</w:t>
      </w:r>
      <w:r w:rsidRPr="00A26479">
        <w:t xml:space="preserve"> Ultimately, after multiple reassignments, Levy was placed at Station 3 under a Temporary Hardship Request</w:t>
      </w:r>
      <w:r>
        <w:t xml:space="preserve">…. </w:t>
      </w:r>
      <w:r w:rsidRPr="00A26479">
        <w:t xml:space="preserve">He contends that the Temporary Hardship Request was </w:t>
      </w:r>
      <w:r>
        <w:t>‘</w:t>
      </w:r>
      <w:r w:rsidRPr="00A26479">
        <w:t>wholly improper and simply an attempt by Defendants to circumvent</w:t>
      </w:r>
      <w:r>
        <w:t xml:space="preserve">’ </w:t>
      </w:r>
      <w:r w:rsidRPr="00A26479">
        <w:t xml:space="preserve"> the ADA's accommodation obligations</w:t>
      </w:r>
      <w:r>
        <w:t xml:space="preserve">…. </w:t>
      </w:r>
      <w:r w:rsidRPr="00A26479">
        <w:t>From the face of the First Amended Complaint, Levy continues to work as a Fire Fighter/Paramedic for the Department.</w:t>
      </w:r>
    </w:p>
    <w:p w14:paraId="525EDB50" w14:textId="77777777" w:rsidR="00073CC7" w:rsidRDefault="00073CC7" w:rsidP="00073CC7">
      <w:pPr>
        <w:pStyle w:val="NoSpacing"/>
        <w:ind w:left="720"/>
      </w:pPr>
    </w:p>
    <w:p w14:paraId="1C107DF5" w14:textId="77777777" w:rsidR="00073CC7" w:rsidRDefault="00073CC7" w:rsidP="00073CC7">
      <w:pPr>
        <w:pStyle w:val="NoSpacing"/>
        <w:ind w:left="720"/>
      </w:pPr>
      <w:r>
        <w:t>***</w:t>
      </w:r>
    </w:p>
    <w:p w14:paraId="3FBCD714" w14:textId="77777777" w:rsidR="00073CC7" w:rsidRDefault="00073CC7" w:rsidP="00073CC7">
      <w:pPr>
        <w:pStyle w:val="NoSpacing"/>
        <w:ind w:left="720"/>
      </w:pPr>
      <w:r w:rsidRPr="00BA13D8">
        <w:t xml:space="preserve">As noted above, Levy seeks declarations in Count Four that (1) he is a qualified individual with a disability; (2) that he can perform the essential functions of his job with a reasonable accommodation; (3) that Defendants have an obligation to engage in the ADA's interactive process with him and explore reasonable alternatives; and (4) that Defendants have an obligation to grant him a reasonable accommodation. </w:t>
      </w:r>
    </w:p>
    <w:p w14:paraId="4A93E126" w14:textId="77777777" w:rsidR="00073CC7" w:rsidRDefault="00073CC7" w:rsidP="00073CC7">
      <w:pPr>
        <w:pStyle w:val="NoSpacing"/>
        <w:ind w:left="720"/>
      </w:pPr>
    </w:p>
    <w:p w14:paraId="26314234" w14:textId="77777777" w:rsidR="00073CC7" w:rsidRDefault="00073CC7" w:rsidP="00073CC7">
      <w:pPr>
        <w:pStyle w:val="NoSpacing"/>
        <w:ind w:left="720"/>
      </w:pPr>
      <w:r>
        <w:t>***</w:t>
      </w:r>
    </w:p>
    <w:p w14:paraId="4AC57EBC" w14:textId="77777777" w:rsidR="00073CC7" w:rsidRDefault="00073CC7" w:rsidP="00073CC7">
      <w:pPr>
        <w:pStyle w:val="NoSpacing"/>
        <w:ind w:left="720"/>
      </w:pPr>
      <w:r w:rsidRPr="004A2357">
        <w:t xml:space="preserve">Again, it is Levy's burden to prove that he was entitled to the ADA's interactive process and, ultimately, </w:t>
      </w:r>
      <w:proofErr w:type="gramStart"/>
      <w:r w:rsidRPr="004A2357">
        <w:t>a reasonable</w:t>
      </w:r>
      <w:proofErr w:type="gramEnd"/>
      <w:r w:rsidRPr="004A2357">
        <w:t xml:space="preserve"> accommodation.</w:t>
      </w:r>
      <w:r>
        <w:rPr>
          <w:vertAlign w:val="superscript"/>
        </w:rPr>
        <w:t xml:space="preserve"> </w:t>
      </w:r>
      <w:r w:rsidRPr="004A2357">
        <w:t xml:space="preserve"> In sum, the four declarations that Levy requests in Count Four render that claim duplicative of Count One.</w:t>
      </w:r>
      <w:r>
        <w:t>”</w:t>
      </w:r>
    </w:p>
    <w:p w14:paraId="159BD4D5" w14:textId="77777777" w:rsidR="00073CC7" w:rsidRDefault="00073CC7" w:rsidP="00073CC7">
      <w:pPr>
        <w:pStyle w:val="NoSpacing"/>
        <w:ind w:left="720"/>
      </w:pPr>
    </w:p>
    <w:p w14:paraId="16409D63" w14:textId="77777777" w:rsidR="00073CC7" w:rsidRPr="004A2357" w:rsidRDefault="00073CC7" w:rsidP="00073CC7">
      <w:pPr>
        <w:rPr>
          <w:b/>
          <w:bCs/>
        </w:rPr>
      </w:pPr>
      <w:r>
        <w:rPr>
          <w:b/>
        </w:rPr>
        <w:t>Legal lesson learned: The firefighter has burden of proof in this ADA case; permanent assignment to a slower station is a unique request for “reasonable accommodation.”</w:t>
      </w:r>
    </w:p>
    <w:p w14:paraId="00192D29" w14:textId="77777777" w:rsidR="00116265" w:rsidRDefault="00116265" w:rsidP="000C4DF5">
      <w:pPr>
        <w:pStyle w:val="NoSpacing"/>
        <w:rPr>
          <w:rFonts w:ascii="Arial Black" w:hAnsi="Arial Black"/>
          <w:sz w:val="24"/>
          <w:szCs w:val="24"/>
        </w:rPr>
      </w:pPr>
    </w:p>
    <w:p w14:paraId="614A862A" w14:textId="77777777" w:rsidR="00073CC7" w:rsidRDefault="00073CC7" w:rsidP="00C143F8">
      <w:pPr>
        <w:pStyle w:val="NoSpacing"/>
        <w:rPr>
          <w:rFonts w:ascii="Arial Black" w:hAnsi="Arial Black"/>
          <w:b/>
          <w:sz w:val="28"/>
          <w:szCs w:val="28"/>
        </w:rPr>
      </w:pPr>
    </w:p>
    <w:p w14:paraId="32235DA2" w14:textId="77777777" w:rsidR="004D70DC" w:rsidRDefault="004D70DC" w:rsidP="004D70DC">
      <w:pPr>
        <w:pStyle w:val="NoSpacing"/>
        <w:rPr>
          <w:rFonts w:ascii="Arial Black" w:hAnsi="Arial Black"/>
          <w:sz w:val="24"/>
          <w:szCs w:val="24"/>
        </w:rPr>
      </w:pPr>
    </w:p>
    <w:p w14:paraId="67DF0229" w14:textId="026BE2FD" w:rsidR="004D70DC" w:rsidRDefault="004D70DC" w:rsidP="004D70DC">
      <w:pPr>
        <w:pStyle w:val="NoSpacing"/>
        <w:rPr>
          <w:rFonts w:ascii="Arial Black" w:hAnsi="Arial Black"/>
          <w:sz w:val="24"/>
          <w:szCs w:val="24"/>
        </w:rPr>
      </w:pPr>
      <w:r>
        <w:rPr>
          <w:rFonts w:ascii="Arial Black" w:hAnsi="Arial Black"/>
          <w:sz w:val="24"/>
          <w:szCs w:val="24"/>
        </w:rPr>
        <w:t>15-51</w:t>
      </w:r>
      <w:r w:rsidR="00BC4752">
        <w:rPr>
          <w:rFonts w:ascii="Arial Black" w:hAnsi="Arial Black"/>
          <w:sz w:val="24"/>
          <w:szCs w:val="24"/>
        </w:rPr>
        <w:t xml:space="preserve">  [also filed, Chap. 9, ADA]</w:t>
      </w:r>
    </w:p>
    <w:p w14:paraId="3015DCA7" w14:textId="77777777" w:rsidR="00073CC7" w:rsidRDefault="00073CC7" w:rsidP="00C143F8">
      <w:pPr>
        <w:pStyle w:val="NoSpacing"/>
        <w:rPr>
          <w:rFonts w:ascii="Arial Black" w:hAnsi="Arial Black"/>
          <w:b/>
          <w:sz w:val="28"/>
          <w:szCs w:val="28"/>
        </w:rPr>
      </w:pPr>
    </w:p>
    <w:p w14:paraId="1F2026C2" w14:textId="77777777" w:rsidR="00073CC7" w:rsidRDefault="00073CC7" w:rsidP="00C143F8">
      <w:pPr>
        <w:pStyle w:val="NoSpacing"/>
        <w:rPr>
          <w:rFonts w:ascii="Arial Black" w:hAnsi="Arial Black"/>
          <w:b/>
          <w:sz w:val="28"/>
          <w:szCs w:val="28"/>
        </w:rPr>
      </w:pPr>
    </w:p>
    <w:p w14:paraId="3964AC7F" w14:textId="51BEC88A" w:rsidR="00C143F8" w:rsidRDefault="00C143F8" w:rsidP="00C143F8">
      <w:pPr>
        <w:pStyle w:val="NoSpacing"/>
        <w:rPr>
          <w:rFonts w:ascii="Arial Black" w:hAnsi="Arial Black"/>
          <w:b/>
          <w:sz w:val="28"/>
          <w:szCs w:val="28"/>
        </w:rPr>
      </w:pPr>
      <w:r>
        <w:rPr>
          <w:rFonts w:ascii="Arial Black" w:hAnsi="Arial Black"/>
          <w:b/>
          <w:sz w:val="28"/>
          <w:szCs w:val="28"/>
        </w:rPr>
        <w:t xml:space="preserve">TX: ASSISTANT CHIEF – PTSD – NOT RIGHT INDEF. LEAVE </w:t>
      </w:r>
    </w:p>
    <w:p w14:paraId="663A5AE7" w14:textId="77777777" w:rsidR="00C143F8" w:rsidRDefault="00C143F8" w:rsidP="00C143F8">
      <w:pPr>
        <w:pStyle w:val="NoSpacing"/>
        <w:rPr>
          <w:rFonts w:ascii="Arial Black" w:hAnsi="Arial Black"/>
          <w:b/>
          <w:sz w:val="28"/>
          <w:szCs w:val="28"/>
        </w:rPr>
      </w:pPr>
    </w:p>
    <w:p w14:paraId="67BE36CB" w14:textId="77777777" w:rsidR="00C143F8" w:rsidRDefault="00C143F8" w:rsidP="00C143F8">
      <w:pPr>
        <w:pStyle w:val="NoSpacing"/>
        <w:rPr>
          <w:b/>
        </w:rPr>
      </w:pPr>
      <w:r>
        <w:t xml:space="preserve">On April 8, 2026, in </w:t>
      </w:r>
      <w:r w:rsidRPr="003A1915">
        <w:rPr>
          <w:u w:val="single"/>
        </w:rPr>
        <w:t>Cameron Kramer v. City of Frisco, Texas</w:t>
      </w:r>
      <w:r>
        <w:t xml:space="preserve">, the </w:t>
      </w:r>
      <w:r w:rsidRPr="003A1915">
        <w:t>Court of Appeals of Texas, Twelfth District, Tyler</w:t>
      </w:r>
      <w:r>
        <w:t xml:space="preserve"> held (3 to 0) that trial court properly granted summary judgment to the City since the Assistant Chief never able to provide a </w:t>
      </w:r>
      <w:r w:rsidRPr="006D408F">
        <w:t xml:space="preserve">psychological </w:t>
      </w:r>
      <w:r w:rsidRPr="008C5C09">
        <w:t>clearance</w:t>
      </w:r>
      <w:r>
        <w:t xml:space="preserve"> to return to work and indefinite leave is not a reasonable accommodation.   </w:t>
      </w:r>
      <w:r w:rsidRPr="00AA4727">
        <w:t>On August 15, 2022</w:t>
      </w:r>
      <w:r>
        <w:t xml:space="preserve"> he took Family Medical Leave Act leave for PTSD until November 1, 2022; took another 90 days of leave under City’s policy; in January 31, 2023 the city approved additional unpaid leave until March 31 as an accommodation for his PTSD; o</w:t>
      </w:r>
      <w:r w:rsidRPr="00E87171">
        <w:t>n March 31, Kraemer requested additional unpaid leave through April 30, stating at the</w:t>
      </w:r>
      <w:r>
        <w:t xml:space="preserve"> </w:t>
      </w:r>
      <w:r w:rsidRPr="00E87171">
        <w:t xml:space="preserve">end of the leave period, he would </w:t>
      </w:r>
      <w:r>
        <w:t>‘</w:t>
      </w:r>
      <w:r w:rsidRPr="00E87171">
        <w:t>be re-evaluated</w:t>
      </w:r>
      <w:r>
        <w:t xml:space="preserve">” by his treating physician.  </w:t>
      </w:r>
      <w:r w:rsidRPr="00C4058E">
        <w:t>The City viewed this as a request for</w:t>
      </w:r>
      <w:r>
        <w:t xml:space="preserve"> </w:t>
      </w:r>
      <w:r w:rsidRPr="00C4058E">
        <w:t>indefinite unpaid leave and the City’s human resources director, Lauren Safranek, initially</w:t>
      </w:r>
      <w:r>
        <w:t xml:space="preserve"> </w:t>
      </w:r>
      <w:r w:rsidRPr="00C4058E">
        <w:t xml:space="preserve">informed Kraemer that the City could not grant such a </w:t>
      </w:r>
      <w:proofErr w:type="gramStart"/>
      <w:r w:rsidRPr="00C4058E">
        <w:t>reques</w:t>
      </w:r>
      <w:r>
        <w:t>t, but</w:t>
      </w:r>
      <w:proofErr w:type="gramEnd"/>
      <w:r>
        <w:t xml:space="preserve"> gave him until </w:t>
      </w:r>
      <w:r w:rsidRPr="008C5C09">
        <w:t>April 30 to allow him to</w:t>
      </w:r>
      <w:r>
        <w:t xml:space="preserve"> </w:t>
      </w:r>
      <w:r w:rsidRPr="008C5C09">
        <w:t xml:space="preserve">obtain the required </w:t>
      </w:r>
      <w:r w:rsidRPr="006D408F">
        <w:t xml:space="preserve">psychological </w:t>
      </w:r>
      <w:r w:rsidRPr="008C5C09">
        <w:t>clearance, which Kraemer did not submit.</w:t>
      </w:r>
      <w:r>
        <w:t xml:space="preserve"> </w:t>
      </w:r>
      <w:r w:rsidRPr="00FB0730">
        <w:t xml:space="preserve">On May 1, 2023, the </w:t>
      </w:r>
      <w:proofErr w:type="gramStart"/>
      <w:r w:rsidRPr="00FB0730">
        <w:t>City</w:t>
      </w:r>
      <w:proofErr w:type="gramEnd"/>
      <w:r w:rsidRPr="00FB0730">
        <w:t xml:space="preserve"> informed Kraemer via letter that his employment was</w:t>
      </w:r>
      <w:r>
        <w:t xml:space="preserve"> </w:t>
      </w:r>
      <w:r w:rsidRPr="00FB0730">
        <w:t>terminated because of his inability to return to work “with or without reasonable</w:t>
      </w:r>
      <w:r>
        <w:t xml:space="preserve"> </w:t>
      </w:r>
      <w:r w:rsidRPr="00FB0730">
        <w:t>accommodations” following the end of his leave period</w:t>
      </w:r>
      <w:r>
        <w:t xml:space="preserve">. The letter stated, in relevant part, that “the vacancy in the position of Assistant Fire Chief is compromising the operations of the City of Frisco Fire Department and granting continued accommodations of additional leave would cause an undue burden and hardship for the department and the City, placing the safety of the community and the department at risk.” </w:t>
      </w:r>
      <w:hyperlink r:id="rId2390" w:history="1">
        <w:r w:rsidRPr="00941A72">
          <w:rPr>
            <w:rStyle w:val="Hyperlink"/>
            <w:b/>
          </w:rPr>
          <w:t>https://cases.justia.com/texas/twelfth-court-of-appeals/2026-12-25-00273-cv.pdf?ts=1775749638</w:t>
        </w:r>
      </w:hyperlink>
      <w:r>
        <w:rPr>
          <w:b/>
        </w:rPr>
        <w:t xml:space="preserve"> </w:t>
      </w:r>
    </w:p>
    <w:p w14:paraId="0748F2A6" w14:textId="77777777" w:rsidR="00C143F8" w:rsidRDefault="00C143F8" w:rsidP="00C143F8">
      <w:pPr>
        <w:pStyle w:val="NoSpacing"/>
      </w:pPr>
      <w:r>
        <w:t xml:space="preserve"> </w:t>
      </w:r>
    </w:p>
    <w:p w14:paraId="1491892C" w14:textId="77777777" w:rsidR="00C143F8" w:rsidRDefault="00C143F8" w:rsidP="00C143F8">
      <w:pPr>
        <w:pStyle w:val="NoSpacing"/>
        <w:rPr>
          <w:bCs/>
        </w:rPr>
      </w:pPr>
      <w:r>
        <w:t>THE COURT HELD:</w:t>
      </w:r>
    </w:p>
    <w:p w14:paraId="2E481FAC" w14:textId="77777777" w:rsidR="00C143F8" w:rsidRDefault="00C143F8" w:rsidP="00C143F8">
      <w:pPr>
        <w:pStyle w:val="NoSpacing"/>
        <w:rPr>
          <w:bCs/>
        </w:rPr>
      </w:pPr>
    </w:p>
    <w:p w14:paraId="1FF3D64A" w14:textId="77777777" w:rsidR="00C143F8" w:rsidRDefault="00C143F8" w:rsidP="00C143F8">
      <w:pPr>
        <w:pStyle w:val="NoSpacing"/>
        <w:ind w:left="720"/>
      </w:pPr>
      <w:r>
        <w:t>“Although taking leave that is limited in duration may be a reasonable accommodation to enable an employee to perform the essential functions of the job upon return, taking leave without a specified date to return is not a reasonable accommodation.</w:t>
      </w:r>
    </w:p>
    <w:p w14:paraId="68708F53" w14:textId="77777777" w:rsidR="00C143F8" w:rsidRDefault="00C143F8" w:rsidP="00C143F8">
      <w:pPr>
        <w:pStyle w:val="NoSpacing"/>
        <w:ind w:left="720"/>
      </w:pPr>
    </w:p>
    <w:p w14:paraId="41375711" w14:textId="77777777" w:rsidR="00C143F8" w:rsidRDefault="00C143F8" w:rsidP="00C143F8">
      <w:pPr>
        <w:pStyle w:val="NoSpacing"/>
        <w:ind w:left="720"/>
      </w:pPr>
      <w:r>
        <w:t>***</w:t>
      </w:r>
    </w:p>
    <w:p w14:paraId="031400F2" w14:textId="77777777" w:rsidR="00C143F8" w:rsidRDefault="00C143F8" w:rsidP="00C143F8">
      <w:pPr>
        <w:pStyle w:val="NoSpacing"/>
      </w:pPr>
    </w:p>
    <w:p w14:paraId="3174E841" w14:textId="77777777" w:rsidR="00C143F8" w:rsidRDefault="00C143F8" w:rsidP="00C143F8">
      <w:pPr>
        <w:pStyle w:val="NoSpacing"/>
        <w:ind w:firstLine="720"/>
      </w:pPr>
      <w:r>
        <w:t>The evidence shows that Kraemer discussed with Safranek whether he might be capable</w:t>
      </w:r>
    </w:p>
    <w:p w14:paraId="6CFEE320" w14:textId="77777777" w:rsidR="00C143F8" w:rsidRDefault="00C143F8" w:rsidP="00C143F8">
      <w:pPr>
        <w:pStyle w:val="NoSpacing"/>
        <w:ind w:left="720"/>
      </w:pPr>
      <w:r>
        <w:t xml:space="preserve">of returning to work on a reduced schedule, but nothing showing that he, or any of his doctors, ever concluded that, despite his disability, he </w:t>
      </w:r>
      <w:proofErr w:type="gramStart"/>
      <w:r>
        <w:t>was capable of performing</w:t>
      </w:r>
      <w:proofErr w:type="gramEnd"/>
      <w:r>
        <w:t xml:space="preserve"> the functions of the assistant fire chief position at all, even on a part-time basis…. In April of 2024, Dr. </w:t>
      </w:r>
      <w:proofErr w:type="spellStart"/>
      <w:r>
        <w:t>Tedwell</w:t>
      </w:r>
      <w:proofErr w:type="spellEnd"/>
      <w:r>
        <w:t xml:space="preserve"> testified before an administrative law judge that throughout her treatment relationship with Kraemer, her opinion has ‘always been that he has not been ready to go back to Frisco Fire Department[,]” an opinion which persisted until the time of her testimony.”</w:t>
      </w:r>
    </w:p>
    <w:p w14:paraId="095C277B" w14:textId="77777777" w:rsidR="00C143F8" w:rsidRDefault="00C143F8" w:rsidP="00C143F8">
      <w:pPr>
        <w:pStyle w:val="NoSpacing"/>
        <w:ind w:left="720"/>
      </w:pPr>
    </w:p>
    <w:p w14:paraId="2F63600B" w14:textId="77777777" w:rsidR="00C143F8" w:rsidRDefault="00C143F8" w:rsidP="00C143F8">
      <w:pPr>
        <w:pStyle w:val="NoSpacing"/>
      </w:pPr>
      <w:r>
        <w:rPr>
          <w:b/>
        </w:rPr>
        <w:t xml:space="preserve">Legal lesson learned: Indefinite leave is not reasonable accommodation. </w:t>
      </w:r>
    </w:p>
    <w:p w14:paraId="12684EFB" w14:textId="77777777" w:rsidR="00C143F8" w:rsidRDefault="00C143F8" w:rsidP="00C143F8">
      <w:pPr>
        <w:pStyle w:val="NoSpacing"/>
        <w:rPr>
          <w:b/>
        </w:rPr>
      </w:pPr>
    </w:p>
    <w:p w14:paraId="46AAA383" w14:textId="77777777" w:rsidR="00C143F8" w:rsidRDefault="00C143F8" w:rsidP="00C143F8">
      <w:pPr>
        <w:pStyle w:val="NoSpacing"/>
        <w:rPr>
          <w:bCs/>
        </w:rPr>
      </w:pPr>
    </w:p>
    <w:p w14:paraId="27C5B9FA" w14:textId="77777777" w:rsidR="00C143F8" w:rsidRDefault="00C143F8" w:rsidP="000C4DF5">
      <w:pPr>
        <w:pStyle w:val="NoSpacing"/>
        <w:rPr>
          <w:rFonts w:ascii="Arial Black" w:hAnsi="Arial Black"/>
          <w:sz w:val="24"/>
          <w:szCs w:val="24"/>
        </w:rPr>
      </w:pPr>
    </w:p>
    <w:p w14:paraId="2BB69D62" w14:textId="77777777" w:rsidR="00C143F8" w:rsidRDefault="00C143F8" w:rsidP="000C4DF5">
      <w:pPr>
        <w:pStyle w:val="NoSpacing"/>
        <w:rPr>
          <w:rFonts w:ascii="Arial Black" w:hAnsi="Arial Black"/>
          <w:sz w:val="24"/>
          <w:szCs w:val="24"/>
        </w:rPr>
      </w:pPr>
    </w:p>
    <w:p w14:paraId="4FB3A242" w14:textId="77777777" w:rsidR="00C143F8" w:rsidRDefault="00C143F8" w:rsidP="000C4DF5">
      <w:pPr>
        <w:pStyle w:val="NoSpacing"/>
        <w:rPr>
          <w:rFonts w:ascii="Arial Black" w:hAnsi="Arial Black"/>
          <w:sz w:val="24"/>
          <w:szCs w:val="24"/>
        </w:rPr>
      </w:pPr>
    </w:p>
    <w:p w14:paraId="79D2DD40" w14:textId="77777777" w:rsidR="00116265" w:rsidRDefault="00116265" w:rsidP="000C4DF5">
      <w:pPr>
        <w:pStyle w:val="NoSpacing"/>
        <w:rPr>
          <w:rFonts w:ascii="Arial Black" w:hAnsi="Arial Black"/>
          <w:sz w:val="24"/>
          <w:szCs w:val="24"/>
        </w:rPr>
      </w:pPr>
    </w:p>
    <w:p w14:paraId="39BCE9BA" w14:textId="60E6302B" w:rsidR="009256C3" w:rsidRDefault="009256C3" w:rsidP="000C4DF5">
      <w:pPr>
        <w:pStyle w:val="NoSpacing"/>
        <w:rPr>
          <w:rFonts w:ascii="Arial Black" w:hAnsi="Arial Black"/>
          <w:sz w:val="24"/>
          <w:szCs w:val="24"/>
        </w:rPr>
      </w:pPr>
      <w:r>
        <w:rPr>
          <w:rFonts w:ascii="Arial Black" w:hAnsi="Arial Black"/>
          <w:sz w:val="24"/>
          <w:szCs w:val="24"/>
        </w:rPr>
        <w:t>15-50</w:t>
      </w:r>
    </w:p>
    <w:p w14:paraId="313520FC" w14:textId="77777777" w:rsidR="009256C3" w:rsidRDefault="009256C3" w:rsidP="000C4DF5">
      <w:pPr>
        <w:pStyle w:val="NoSpacing"/>
        <w:rPr>
          <w:rFonts w:ascii="Arial Black" w:hAnsi="Arial Black"/>
          <w:sz w:val="24"/>
          <w:szCs w:val="24"/>
        </w:rPr>
      </w:pPr>
    </w:p>
    <w:p w14:paraId="5AB78115" w14:textId="77777777" w:rsidR="0075332D" w:rsidRPr="00745672" w:rsidRDefault="0075332D" w:rsidP="0075332D">
      <w:pPr>
        <w:pStyle w:val="NoSpacing"/>
        <w:rPr>
          <w:rFonts w:ascii="Arial Black" w:hAnsi="Arial Black"/>
          <w:b/>
          <w:sz w:val="28"/>
          <w:szCs w:val="28"/>
        </w:rPr>
      </w:pPr>
      <w:r>
        <w:rPr>
          <w:rFonts w:ascii="Arial Black" w:hAnsi="Arial Black"/>
          <w:b/>
          <w:sz w:val="28"/>
          <w:szCs w:val="28"/>
        </w:rPr>
        <w:t xml:space="preserve">MI: PSYCH EXAM – UNFIT DUTY / FF NO FOLLOW UP - FIRED </w:t>
      </w:r>
    </w:p>
    <w:p w14:paraId="4CDFDF17" w14:textId="77777777" w:rsidR="0075332D" w:rsidRDefault="0075332D" w:rsidP="0075332D">
      <w:pPr>
        <w:pStyle w:val="NoSpacing"/>
      </w:pPr>
    </w:p>
    <w:p w14:paraId="437E54BD" w14:textId="77777777" w:rsidR="0075332D" w:rsidRPr="000713CE" w:rsidRDefault="0075332D" w:rsidP="0075332D">
      <w:pPr>
        <w:pStyle w:val="NoSpacing"/>
        <w:rPr>
          <w:b/>
        </w:rPr>
      </w:pPr>
      <w:r>
        <w:t xml:space="preserve">On March 17, </w:t>
      </w:r>
      <w:proofErr w:type="gramStart"/>
      <w:r>
        <w:t>2026</w:t>
      </w:r>
      <w:proofErr w:type="gramEnd"/>
      <w:r>
        <w:t xml:space="preserve"> in </w:t>
      </w:r>
      <w:r w:rsidRPr="004C658C">
        <w:rPr>
          <w:u w:val="single"/>
        </w:rPr>
        <w:t>Dan Martin v. City of Flat Rock Fire Department and City of Flat Rock</w:t>
      </w:r>
      <w:r>
        <w:t xml:space="preserve">, the </w:t>
      </w:r>
      <w:r w:rsidRPr="004C658C">
        <w:t>Court of Appeals of Michigan</w:t>
      </w:r>
      <w:r>
        <w:t xml:space="preserve"> held (3 to 0; unpublished decision) that trial court properly granted summary judgment to the defense after pre-trial discovery was completed.  Plaintiff </w:t>
      </w:r>
      <w:proofErr w:type="gramStart"/>
      <w:r>
        <w:t>clamed</w:t>
      </w:r>
      <w:proofErr w:type="gramEnd"/>
      <w:r>
        <w:t xml:space="preserve"> retaliation for being a whistleblower about hostile conduct towards him by another firefighter and his support for a discrimination claim by another firefighter. The Court held that  the Fire Chief had a legitimate basis to order him on May 8, 2029 to undergo a psychological examination, to continue him on administrative leave when he was determined to currently be unfit for duty, and to terminate him in December 2019 for failure to the undertake the recommended </w:t>
      </w:r>
      <w:r w:rsidRPr="001C3227">
        <w:t>neuropsychological testing</w:t>
      </w:r>
      <w:r>
        <w:t xml:space="preserve">, and </w:t>
      </w:r>
      <w:r w:rsidRPr="001C3227">
        <w:t>12 psychotherapy sessions with a therapist</w:t>
      </w:r>
      <w:r>
        <w:t xml:space="preserve">, and </w:t>
      </w:r>
      <w:r w:rsidRPr="001C3227">
        <w:t>consultation with his physician regarding antidepression medication</w:t>
      </w:r>
      <w:r>
        <w:t xml:space="preserve">. </w:t>
      </w:r>
      <w:hyperlink r:id="rId2391" w:history="1">
        <w:r w:rsidRPr="004D13CD">
          <w:rPr>
            <w:rStyle w:val="Hyperlink"/>
          </w:rPr>
          <w:t>https://www.courts.michigan.gov/494b62/siteassets/case-documents/uploads/opinions/final/coa/20260317_c372830_50_372830.opn.pdf</w:t>
        </w:r>
      </w:hyperlink>
      <w:r>
        <w:t xml:space="preserve">  </w:t>
      </w:r>
    </w:p>
    <w:p w14:paraId="6085B944" w14:textId="77777777" w:rsidR="0075332D" w:rsidRDefault="0075332D" w:rsidP="0075332D">
      <w:pPr>
        <w:pStyle w:val="NoSpacing"/>
      </w:pPr>
    </w:p>
    <w:p w14:paraId="0521410B" w14:textId="77777777" w:rsidR="0075332D" w:rsidRDefault="0075332D" w:rsidP="0075332D">
      <w:pPr>
        <w:pStyle w:val="NoSpacing"/>
      </w:pPr>
    </w:p>
    <w:p w14:paraId="67C90694" w14:textId="77777777" w:rsidR="0075332D" w:rsidRDefault="0075332D" w:rsidP="0075332D">
      <w:pPr>
        <w:pStyle w:val="NoSpacing"/>
      </w:pPr>
      <w:r>
        <w:t xml:space="preserve">THE COURT HELD: “Plaintiff has failed to present sufficient evidence from which a </w:t>
      </w:r>
      <w:proofErr w:type="gramStart"/>
      <w:r>
        <w:t>fact-finder</w:t>
      </w:r>
      <w:proofErr w:type="gramEnd"/>
      <w:r>
        <w:t xml:space="preserve"> could reasonably infer that defendants’ decisions to place plaintiff on administrative leave and to continue his leave had a retaliatory basis.</w:t>
      </w:r>
    </w:p>
    <w:p w14:paraId="260E55D3" w14:textId="77777777" w:rsidR="0075332D" w:rsidRDefault="0075332D" w:rsidP="0075332D">
      <w:pPr>
        <w:pStyle w:val="NoSpacing"/>
      </w:pPr>
    </w:p>
    <w:p w14:paraId="0EFF5560" w14:textId="77777777" w:rsidR="0075332D" w:rsidRDefault="0075332D" w:rsidP="0075332D">
      <w:pPr>
        <w:pStyle w:val="NoSpacing"/>
      </w:pPr>
      <w:r>
        <w:t>***</w:t>
      </w:r>
    </w:p>
    <w:p w14:paraId="747AEF8E" w14:textId="77777777" w:rsidR="0075332D" w:rsidRPr="009E0DEA" w:rsidRDefault="0075332D" w:rsidP="0075332D">
      <w:pPr>
        <w:pStyle w:val="NoSpacing"/>
      </w:pPr>
      <w:r w:rsidRPr="009E0DEA">
        <w:t xml:space="preserve">Fire Chief </w:t>
      </w:r>
      <w:proofErr w:type="spellStart"/>
      <w:r w:rsidRPr="009E0DEA">
        <w:t>Vack</w:t>
      </w:r>
      <w:proofErr w:type="spellEnd"/>
      <w:r w:rsidRPr="009E0DEA">
        <w:t xml:space="preserve"> recommended that plaintiff undergo physical and psychological</w:t>
      </w:r>
    </w:p>
    <w:p w14:paraId="2B4516D2" w14:textId="77777777" w:rsidR="0075332D" w:rsidRPr="009E0DEA" w:rsidRDefault="0075332D" w:rsidP="0075332D">
      <w:pPr>
        <w:pStyle w:val="NoSpacing"/>
      </w:pPr>
      <w:r w:rsidRPr="009E0DEA">
        <w:t xml:space="preserve">evaluations </w:t>
      </w:r>
      <w:proofErr w:type="gramStart"/>
      <w:r w:rsidRPr="009E0DEA">
        <w:t>on the basis of</w:t>
      </w:r>
      <w:proofErr w:type="gramEnd"/>
      <w:r w:rsidRPr="009E0DEA">
        <w:t xml:space="preserve"> his own observations as well as concerns reported to him by Sergeant</w:t>
      </w:r>
    </w:p>
    <w:p w14:paraId="14893010" w14:textId="77777777" w:rsidR="0075332D" w:rsidRPr="009E0DEA" w:rsidRDefault="0075332D" w:rsidP="0075332D">
      <w:pPr>
        <w:pStyle w:val="NoSpacing"/>
      </w:pPr>
      <w:r w:rsidRPr="009E0DEA">
        <w:t>John Rose, Sergeant Rich, Metzger, and other firefighters. These concerns included: plaintiff</w:t>
      </w:r>
    </w:p>
    <w:p w14:paraId="6E058B02" w14:textId="77777777" w:rsidR="0075332D" w:rsidRPr="009E0DEA" w:rsidRDefault="0075332D" w:rsidP="0075332D">
      <w:pPr>
        <w:pStyle w:val="NoSpacing"/>
      </w:pPr>
      <w:r w:rsidRPr="009E0DEA">
        <w:t>failed to pay attention to details, acted strangely, had slurred/mumbled speech, had issues</w:t>
      </w:r>
    </w:p>
    <w:p w14:paraId="65B2CA94" w14:textId="77777777" w:rsidR="0075332D" w:rsidRPr="009E0DEA" w:rsidRDefault="0075332D" w:rsidP="0075332D">
      <w:pPr>
        <w:pStyle w:val="NoSpacing"/>
      </w:pPr>
      <w:r w:rsidRPr="009E0DEA">
        <w:t>maintaining his train of thought during a conversation, was taking numerous medications that</w:t>
      </w:r>
    </w:p>
    <w:p w14:paraId="17127D8A" w14:textId="77777777" w:rsidR="0075332D" w:rsidRPr="009E0DEA" w:rsidRDefault="0075332D" w:rsidP="0075332D">
      <w:pPr>
        <w:pStyle w:val="NoSpacing"/>
      </w:pPr>
      <w:r w:rsidRPr="009E0DEA">
        <w:t>appeared to alter his mental status, embellished stories, authored reports that did not make sense,</w:t>
      </w:r>
    </w:p>
    <w:p w14:paraId="3B66CE95" w14:textId="77777777" w:rsidR="0075332D" w:rsidRPr="009E0DEA" w:rsidRDefault="0075332D" w:rsidP="0075332D">
      <w:pPr>
        <w:pStyle w:val="NoSpacing"/>
      </w:pPr>
      <w:r w:rsidRPr="009E0DEA">
        <w:t xml:space="preserve">had driving issues, </w:t>
      </w:r>
      <w:proofErr w:type="gramStart"/>
      <w:r w:rsidRPr="009E0DEA">
        <w:t>provided</w:t>
      </w:r>
      <w:proofErr w:type="gramEnd"/>
      <w:r w:rsidRPr="009E0DEA">
        <w:t xml:space="preserve"> inaccurate patient histories, and behaved erratically. Fire Chief </w:t>
      </w:r>
      <w:proofErr w:type="spellStart"/>
      <w:r w:rsidRPr="009E0DEA">
        <w:t>Vack</w:t>
      </w:r>
      <w:proofErr w:type="spellEnd"/>
    </w:p>
    <w:p w14:paraId="720FED7D" w14:textId="77777777" w:rsidR="0075332D" w:rsidRPr="009E0DEA" w:rsidRDefault="0075332D" w:rsidP="0075332D">
      <w:pPr>
        <w:pStyle w:val="NoSpacing"/>
      </w:pPr>
      <w:r w:rsidRPr="009E0DEA">
        <w:t>expressed that he was concerned about plaintiff’s physical and mental health as well at the city’s</w:t>
      </w:r>
    </w:p>
    <w:p w14:paraId="6816B990" w14:textId="77777777" w:rsidR="0075332D" w:rsidRDefault="0075332D" w:rsidP="0075332D">
      <w:pPr>
        <w:pStyle w:val="NoSpacing"/>
      </w:pPr>
      <w:r w:rsidRPr="009E0DEA">
        <w:t>and fire department’s liability exposure.</w:t>
      </w:r>
      <w:r>
        <w:t>”</w:t>
      </w:r>
    </w:p>
    <w:p w14:paraId="4AD9AB8B" w14:textId="77777777" w:rsidR="0075332D" w:rsidRDefault="0075332D" w:rsidP="0075332D">
      <w:pPr>
        <w:pStyle w:val="NoSpacing"/>
      </w:pPr>
    </w:p>
    <w:p w14:paraId="1B96D25C" w14:textId="77777777" w:rsidR="0075332D" w:rsidRPr="003852D1" w:rsidRDefault="0075332D" w:rsidP="0075332D">
      <w:pPr>
        <w:pStyle w:val="NoSpacing"/>
        <w:rPr>
          <w:b/>
          <w:bCs/>
        </w:rPr>
      </w:pPr>
      <w:r w:rsidRPr="003852D1">
        <w:rPr>
          <w:b/>
        </w:rPr>
        <w:t>Legal lesson learned:</w:t>
      </w:r>
      <w:r>
        <w:rPr>
          <w:b/>
        </w:rPr>
        <w:t xml:space="preserve"> There was a legitimate basis to order psychological exam of the firefighter. </w:t>
      </w:r>
    </w:p>
    <w:p w14:paraId="0410C541" w14:textId="77777777" w:rsidR="0075332D" w:rsidRDefault="0075332D" w:rsidP="0075332D">
      <w:pPr>
        <w:pStyle w:val="NoSpacing"/>
      </w:pPr>
    </w:p>
    <w:p w14:paraId="1FC81AC3" w14:textId="77777777" w:rsidR="0075332D" w:rsidRDefault="0075332D" w:rsidP="000C4DF5">
      <w:pPr>
        <w:pStyle w:val="NoSpacing"/>
        <w:rPr>
          <w:rFonts w:ascii="Arial Black" w:hAnsi="Arial Black"/>
          <w:sz w:val="24"/>
          <w:szCs w:val="24"/>
        </w:rPr>
      </w:pPr>
    </w:p>
    <w:p w14:paraId="26123236" w14:textId="77777777" w:rsidR="009256C3" w:rsidRDefault="009256C3" w:rsidP="000C4DF5">
      <w:pPr>
        <w:pStyle w:val="NoSpacing"/>
        <w:rPr>
          <w:rFonts w:ascii="Arial Black" w:hAnsi="Arial Black"/>
          <w:sz w:val="24"/>
          <w:szCs w:val="24"/>
        </w:rPr>
      </w:pPr>
    </w:p>
    <w:p w14:paraId="2A497C01" w14:textId="77777777" w:rsidR="009256C3" w:rsidRDefault="009256C3" w:rsidP="000C4DF5">
      <w:pPr>
        <w:pStyle w:val="NoSpacing"/>
        <w:rPr>
          <w:rFonts w:ascii="Arial Black" w:hAnsi="Arial Black"/>
          <w:sz w:val="24"/>
          <w:szCs w:val="24"/>
        </w:rPr>
      </w:pPr>
    </w:p>
    <w:p w14:paraId="7154C7CA" w14:textId="231CFE03" w:rsidR="00816988" w:rsidRDefault="00610D0A" w:rsidP="000C4DF5">
      <w:pPr>
        <w:pStyle w:val="NoSpacing"/>
        <w:rPr>
          <w:rFonts w:ascii="Arial Black" w:hAnsi="Arial Black"/>
          <w:sz w:val="24"/>
          <w:szCs w:val="24"/>
        </w:rPr>
      </w:pPr>
      <w:r>
        <w:rPr>
          <w:rFonts w:ascii="Arial Black" w:hAnsi="Arial Black"/>
          <w:sz w:val="24"/>
          <w:szCs w:val="24"/>
        </w:rPr>
        <w:t>15-</w:t>
      </w:r>
      <w:r w:rsidR="001F6F71">
        <w:rPr>
          <w:rFonts w:ascii="Arial Black" w:hAnsi="Arial Black"/>
          <w:sz w:val="24"/>
          <w:szCs w:val="24"/>
        </w:rPr>
        <w:t>49</w:t>
      </w:r>
    </w:p>
    <w:p w14:paraId="507A0D33" w14:textId="77777777" w:rsidR="009256C3" w:rsidRDefault="009256C3" w:rsidP="000C4DF5">
      <w:pPr>
        <w:pStyle w:val="NoSpacing"/>
        <w:rPr>
          <w:rFonts w:ascii="Arial Black" w:hAnsi="Arial Black"/>
          <w:sz w:val="24"/>
          <w:szCs w:val="24"/>
        </w:rPr>
      </w:pPr>
    </w:p>
    <w:p w14:paraId="1A1F67C3" w14:textId="77777777" w:rsidR="001F6F71" w:rsidRPr="00D32581" w:rsidRDefault="001F6F71" w:rsidP="001F6F71">
      <w:pPr>
        <w:pStyle w:val="NoSpacing"/>
        <w:rPr>
          <w:rFonts w:ascii="Arial Black" w:hAnsi="Arial Black"/>
          <w:sz w:val="28"/>
          <w:szCs w:val="28"/>
        </w:rPr>
      </w:pPr>
      <w:r>
        <w:rPr>
          <w:rFonts w:ascii="Arial Black" w:hAnsi="Arial Black"/>
          <w:sz w:val="28"/>
          <w:szCs w:val="28"/>
        </w:rPr>
        <w:t>TX: MEDIC SUICIDE – COUNTY SUBPOENA PSYCH RECORDS</w:t>
      </w:r>
    </w:p>
    <w:p w14:paraId="41DC524C" w14:textId="77777777" w:rsidR="001F6F71" w:rsidRDefault="001F6F71" w:rsidP="001F6F71">
      <w:pPr>
        <w:pStyle w:val="NoSpacing"/>
      </w:pPr>
    </w:p>
    <w:p w14:paraId="3C4DF8C3" w14:textId="77777777" w:rsidR="001F6F71" w:rsidRDefault="001F6F71" w:rsidP="001F6F71">
      <w:pPr>
        <w:pStyle w:val="NoSpacing"/>
      </w:pPr>
      <w:r>
        <w:t xml:space="preserve">On February 24, 2026, in </w:t>
      </w:r>
      <w:r w:rsidRPr="00DD524A">
        <w:rPr>
          <w:u w:val="single"/>
        </w:rPr>
        <w:t>In Re Fort Bend County, et al. v. Joshua Heiliger, individually and</w:t>
      </w:r>
      <w:r>
        <w:rPr>
          <w:u w:val="single"/>
        </w:rPr>
        <w:t xml:space="preserve"> </w:t>
      </w:r>
      <w:r w:rsidRPr="00DD524A">
        <w:rPr>
          <w:u w:val="single"/>
        </w:rPr>
        <w:t>on behalf</w:t>
      </w:r>
      <w:r>
        <w:rPr>
          <w:u w:val="single"/>
        </w:rPr>
        <w:t xml:space="preserve"> </w:t>
      </w:r>
      <w:r w:rsidRPr="00DD524A">
        <w:rPr>
          <w:u w:val="single"/>
        </w:rPr>
        <w:t xml:space="preserve"> o</w:t>
      </w:r>
      <w:r>
        <w:rPr>
          <w:u w:val="single"/>
        </w:rPr>
        <w:t>f</w:t>
      </w:r>
      <w:r w:rsidRPr="00DD524A">
        <w:rPr>
          <w:u w:val="single"/>
        </w:rPr>
        <w:t xml:space="preserve"> the estate of Lauren Smith, deceased, et al</w:t>
      </w:r>
      <w:r>
        <w:t xml:space="preserve">., the </w:t>
      </w:r>
      <w:r w:rsidRPr="00DD524A">
        <w:t>Court of Appeals of Texas, Fifteenth District</w:t>
      </w:r>
      <w:r>
        <w:t xml:space="preserve"> held (3 to 0) that the trial court had no jurisdiction in this contested worker’s compensation case about dispute of Lauren’s medical records. The worker’s comp Administrative Law Judge should decide of the County’s subpoena can be enforced for the medical records from </w:t>
      </w:r>
      <w:r w:rsidRPr="00D245C9">
        <w:t>Dr. John Marcellus, the doctor who prescribed Lauren's ADHD medication</w:t>
      </w:r>
      <w:r>
        <w:t xml:space="preserve">, her </w:t>
      </w:r>
      <w:r w:rsidRPr="00D245C9">
        <w:t>hypertension along with her complaints about stress.</w:t>
      </w:r>
      <w:r>
        <w:t xml:space="preserve"> His lawsuit is therefore ordered dismissed.   </w:t>
      </w:r>
    </w:p>
    <w:p w14:paraId="164D31CD" w14:textId="77777777" w:rsidR="001F6F71" w:rsidRDefault="001F6F71" w:rsidP="001F6F71">
      <w:pPr>
        <w:pStyle w:val="NoSpacing"/>
      </w:pPr>
      <w:hyperlink r:id="rId2392" w:history="1">
        <w:r w:rsidRPr="00CB2F3F">
          <w:rPr>
            <w:rStyle w:val="Hyperlink"/>
          </w:rPr>
          <w:t>https://cases.justia.com/texas/fifteenth-court-of-appeals/2026-15-25-00102-cv.pdf?ts=1771951104</w:t>
        </w:r>
      </w:hyperlink>
      <w:r>
        <w:t xml:space="preserve"> </w:t>
      </w:r>
    </w:p>
    <w:p w14:paraId="2A7C3A99" w14:textId="77777777" w:rsidR="001F6F71" w:rsidRDefault="001F6F71" w:rsidP="001F6F71">
      <w:pPr>
        <w:pStyle w:val="NoSpacing"/>
      </w:pPr>
    </w:p>
    <w:p w14:paraId="7AE0D11A" w14:textId="77777777" w:rsidR="001F6F71" w:rsidRDefault="001F6F71" w:rsidP="001F6F71">
      <w:pPr>
        <w:pStyle w:val="NoSpacing"/>
        <w:rPr>
          <w:bCs/>
        </w:rPr>
      </w:pPr>
      <w:r>
        <w:t>THE COURT HELD:  “</w:t>
      </w:r>
      <w:r w:rsidRPr="00766FC4">
        <w:t>Heiliger</w:t>
      </w:r>
      <w:r>
        <w:t xml:space="preserve"> … </w:t>
      </w:r>
      <w:r w:rsidRPr="00766FC4">
        <w:t>filed his claim with the Division</w:t>
      </w:r>
      <w:r>
        <w:t xml:space="preserve"> [of Worker’s Compensation]</w:t>
      </w:r>
      <w:r w:rsidRPr="00766FC4">
        <w:t xml:space="preserve">, seeking a finding that he and his daughter are entitled to workers' compensation benefits because his wife died </w:t>
      </w:r>
      <w:proofErr w:type="gramStart"/>
      <w:r w:rsidRPr="00766FC4">
        <w:t>as a result of</w:t>
      </w:r>
      <w:proofErr w:type="gramEnd"/>
      <w:r w:rsidRPr="00766FC4">
        <w:t xml:space="preserve"> her work, a contention her employer contests</w:t>
      </w:r>
      <w:r>
        <w:t>…. I</w:t>
      </w:r>
      <w:r w:rsidRPr="00E11DDE">
        <w:t>n this case, that means if Heiliger objected to the amended subpoena or the subpoenaed party did not comply, then the ALJ or Fort Bend County</w:t>
      </w:r>
      <w:r>
        <w:t xml:space="preserve"> </w:t>
      </w:r>
      <w:r w:rsidRPr="00E11DDE">
        <w:t>-</w:t>
      </w:r>
      <w:r>
        <w:t xml:space="preserve"> </w:t>
      </w:r>
      <w:r w:rsidRPr="00E11DDE">
        <w:t>not Heiliger-</w:t>
      </w:r>
      <w:r>
        <w:t xml:space="preserve"> </w:t>
      </w:r>
      <w:r w:rsidRPr="00E11DDE">
        <w:t>would have the option to seek an order compelling compliance from a district court in Travis County or Harris County. Instead, Heiliger took matters into his own hands and filed a suit in Harris County to enjoin the subpoena instead of waiting for the administrative process to play out</w:t>
      </w:r>
      <w:r>
        <w:t xml:space="preserve">…. </w:t>
      </w:r>
      <w:r w:rsidRPr="00A22D34">
        <w:t xml:space="preserve">We first address whether the trial court has jurisdiction over Heiliger's suit and </w:t>
      </w:r>
      <w:proofErr w:type="gramStart"/>
      <w:r w:rsidRPr="00A22D34">
        <w:t>conclude</w:t>
      </w:r>
      <w:proofErr w:type="gramEnd"/>
      <w:r w:rsidRPr="00A22D34">
        <w:t xml:space="preserve"> it does not. "The Division of Workers' Compensation administers the [workers' compensation] system and has exclusive jurisdiction to determine </w:t>
      </w:r>
      <w:r>
        <w:t xml:space="preserve"> </w:t>
      </w:r>
      <w:r w:rsidRPr="00A22D34">
        <w:t xml:space="preserve">compensation entitlement and to award any benefits." </w:t>
      </w:r>
      <w:r w:rsidRPr="00A22D34">
        <w:rPr>
          <w:i/>
          <w:iCs/>
        </w:rPr>
        <w:t>University of Tex. Rio Grande Valley v. Oteka</w:t>
      </w:r>
      <w:r w:rsidRPr="00A22D34">
        <w:t xml:space="preserve">, 715 S.W.3d 734, 736 (Tex. 2025). </w:t>
      </w:r>
    </w:p>
    <w:p w14:paraId="1DC2C444" w14:textId="77777777" w:rsidR="001F6F71" w:rsidRDefault="001F6F71" w:rsidP="001F6F71">
      <w:pPr>
        <w:pStyle w:val="NoSpacing"/>
        <w:rPr>
          <w:bCs/>
        </w:rPr>
      </w:pPr>
    </w:p>
    <w:p w14:paraId="53F014E2" w14:textId="77777777" w:rsidR="001F6F71" w:rsidRPr="00445625" w:rsidRDefault="001F6F71" w:rsidP="001F6F71">
      <w:pPr>
        <w:pStyle w:val="NoSpacing"/>
        <w:rPr>
          <w:b/>
        </w:rPr>
      </w:pPr>
      <w:r>
        <w:rPr>
          <w:b/>
        </w:rPr>
        <w:t xml:space="preserve">Legal lesson learned: The worker’s comp. Hearing Officer will now decide if the deceased’s medical records must be disclosed and then hold a hearing on the worker’s comp claim. </w:t>
      </w:r>
    </w:p>
    <w:p w14:paraId="3C5DF413" w14:textId="77777777" w:rsidR="001F6F71" w:rsidRDefault="001F6F71" w:rsidP="001F6F71">
      <w:pPr>
        <w:pStyle w:val="NoSpacing"/>
        <w:rPr>
          <w:bCs/>
        </w:rPr>
      </w:pPr>
    </w:p>
    <w:p w14:paraId="4EA13948" w14:textId="77777777" w:rsidR="001F6F71" w:rsidRDefault="001F6F71" w:rsidP="000C4DF5">
      <w:pPr>
        <w:pStyle w:val="NoSpacing"/>
        <w:rPr>
          <w:rFonts w:ascii="Arial Black" w:hAnsi="Arial Black"/>
          <w:sz w:val="24"/>
          <w:szCs w:val="24"/>
        </w:rPr>
      </w:pPr>
    </w:p>
    <w:p w14:paraId="6075AF63" w14:textId="77777777" w:rsidR="00683602" w:rsidRDefault="00683602" w:rsidP="00683602">
      <w:pPr>
        <w:pStyle w:val="NoSpacing"/>
        <w:rPr>
          <w:rFonts w:ascii="Arial Black" w:hAnsi="Arial Black"/>
          <w:b/>
          <w:sz w:val="28"/>
          <w:szCs w:val="28"/>
        </w:rPr>
      </w:pPr>
      <w:r>
        <w:rPr>
          <w:rFonts w:ascii="Arial Black" w:hAnsi="Arial Black"/>
          <w:b/>
          <w:sz w:val="28"/>
          <w:szCs w:val="28"/>
        </w:rPr>
        <w:t>OR: DISPATCHER – 20 YRS – 2 MDs / NO PTSD - NO WK COMP</w:t>
      </w:r>
    </w:p>
    <w:p w14:paraId="1DD65FCE" w14:textId="77777777" w:rsidR="00683602" w:rsidRDefault="00683602" w:rsidP="00683602">
      <w:pPr>
        <w:pStyle w:val="NoSpacing"/>
        <w:rPr>
          <w:b/>
        </w:rPr>
      </w:pPr>
    </w:p>
    <w:p w14:paraId="44261875" w14:textId="77777777" w:rsidR="00683602" w:rsidRPr="00BD3E91" w:rsidRDefault="00683602" w:rsidP="00683602">
      <w:pPr>
        <w:pStyle w:val="NoSpacing"/>
        <w:rPr>
          <w:bCs/>
        </w:rPr>
      </w:pPr>
      <w:r>
        <w:t xml:space="preserve">On Feb. 11, 2026, in </w:t>
      </w:r>
      <w:r w:rsidRPr="00817C08">
        <w:rPr>
          <w:u w:val="single"/>
        </w:rPr>
        <w:t>In The Matter Of The Compensation Of Camille Smicz v. Deschutes County 911 Service District</w:t>
      </w:r>
      <w:r>
        <w:t xml:space="preserve">, the </w:t>
      </w:r>
      <w:r w:rsidRPr="00817C08">
        <w:t>Court of Appeals of Oregon</w:t>
      </w:r>
      <w:r>
        <w:t xml:space="preserve"> held (3 to 0) that the </w:t>
      </w:r>
      <w:r w:rsidRPr="00FB066E">
        <w:t>Workers' Compensation Board</w:t>
      </w:r>
      <w:r>
        <w:t xml:space="preserve">’s </w:t>
      </w:r>
      <w:r w:rsidRPr="00BD3E91">
        <w:t>determination</w:t>
      </w:r>
      <w:r>
        <w:t xml:space="preserve"> was s</w:t>
      </w:r>
      <w:r w:rsidRPr="00BD3E91">
        <w:t>upported by substantial evidence</w:t>
      </w:r>
      <w:r>
        <w:t>; the   c</w:t>
      </w:r>
      <w:r w:rsidRPr="00BD3E91">
        <w:t xml:space="preserve">laimant </w:t>
      </w:r>
      <w:r>
        <w:t xml:space="preserve">failed to </w:t>
      </w:r>
      <w:r w:rsidRPr="00BD3E91">
        <w:t xml:space="preserve">establish by a preponderance of persuasive medical evidence that </w:t>
      </w:r>
      <w:r>
        <w:t xml:space="preserve">she </w:t>
      </w:r>
      <w:r w:rsidRPr="00BD3E91">
        <w:t>met the criteria for PTSD.</w:t>
      </w:r>
      <w:r>
        <w:t xml:space="preserve"> </w:t>
      </w:r>
      <w:r w:rsidRPr="00225020">
        <w:t xml:space="preserve">The </w:t>
      </w:r>
      <w:r>
        <w:t xml:space="preserve">Administrative Law Judge after a hearing denied her claim, and </w:t>
      </w:r>
      <w:r w:rsidRPr="00225020">
        <w:t xml:space="preserve">Board found that </w:t>
      </w:r>
      <w:r>
        <w:t>the opinion of Dr. Barran (psychologist who interviewed her for 3 hours)</w:t>
      </w:r>
      <w:r w:rsidRPr="00225020">
        <w:t xml:space="preserve"> "was not based on a complete or accurate history" because he did not review the reports of the </w:t>
      </w:r>
      <w:r>
        <w:t xml:space="preserve">two </w:t>
      </w:r>
      <w:r w:rsidRPr="00225020">
        <w:t>other diagnosing medical doctors</w:t>
      </w:r>
      <w:r>
        <w:t xml:space="preserve"> (psychiatrist and a psychologist) who concluded she does suffer from PTSD. </w:t>
      </w:r>
      <w:hyperlink r:id="rId2393" w:history="1">
        <w:r w:rsidRPr="002B0907">
          <w:rPr>
            <w:rStyle w:val="Hyperlink"/>
          </w:rPr>
          <w:t>https://www.casemine.com/judgement/us/698dd4328a508cf645e20167</w:t>
        </w:r>
      </w:hyperlink>
      <w:r>
        <w:t xml:space="preserve"> </w:t>
      </w:r>
    </w:p>
    <w:p w14:paraId="04852A4E" w14:textId="77777777" w:rsidR="00683602" w:rsidRPr="00817C08" w:rsidRDefault="00683602" w:rsidP="00683602">
      <w:pPr>
        <w:pStyle w:val="NoSpacing"/>
        <w:rPr>
          <w:bCs/>
        </w:rPr>
      </w:pPr>
    </w:p>
    <w:p w14:paraId="03B4B819" w14:textId="77777777" w:rsidR="00683602" w:rsidRDefault="00683602" w:rsidP="00683602">
      <w:pPr>
        <w:pStyle w:val="NoSpacing"/>
      </w:pPr>
      <w:r>
        <w:t>THE COURT HELD: “</w:t>
      </w:r>
      <w:r w:rsidRPr="00A972C2">
        <w:t xml:space="preserve">Claimant worked as a 9-1-1 dispatcher for 20 years. Over her 20 years as a dispatcher, claimant assisted by phone with many alarming and disturbing situations, and she eventually asserted that the </w:t>
      </w:r>
      <w:r>
        <w:t>‘</w:t>
      </w:r>
      <w:r w:rsidRPr="00A972C2">
        <w:t>continued exposure to trauma and critical incidents</w:t>
      </w:r>
      <w:r>
        <w:t>’</w:t>
      </w:r>
      <w:r w:rsidRPr="00A972C2">
        <w:t xml:space="preserve"> led to an occupational disease of </w:t>
      </w:r>
      <w:r>
        <w:t>‘</w:t>
      </w:r>
      <w:r w:rsidRPr="00A972C2">
        <w:t>PTSD, secondary trauma, [and] cumulative stress disorder.</w:t>
      </w:r>
      <w:r>
        <w:t>’</w:t>
      </w:r>
      <w:r w:rsidRPr="00A972C2">
        <w:t xml:space="preserve"> However, the combined medical history that all three testifying experts relied upon also indicated significant non-work-related stressors that claimant experienced and that had led to her receiving other mental health diagnoses in the past—including that claimant's son had been in residential facilities due to developmental disabilities and violence toward claimant, such as holding a belt across claim- ant's neck while she was sleeping; that claimant recently went through a divorce that required a restraining order; and that claimant had severe health complications from an unsuccessful surgery.</w:t>
      </w:r>
      <w:r>
        <w:t xml:space="preserve"> *** </w:t>
      </w:r>
      <w:r w:rsidRPr="00C54522">
        <w:t xml:space="preserve">The three experts differed in their assessment of claimant. Drs. Wicher (a psychologist) and </w:t>
      </w:r>
      <w:proofErr w:type="spellStart"/>
      <w:r w:rsidRPr="00C54522">
        <w:t>Telew</w:t>
      </w:r>
      <w:proofErr w:type="spellEnd"/>
      <w:r w:rsidRPr="00C54522">
        <w:t xml:space="preserve"> (a psychiatrist) conducted medical evaluations at the request of claimant's employer and could not determine that claimant suffered from PTSD. Wicher concluded that her symptoms better fit the criteria for an adjustment disorder, and upon reviewing her previous diagnoses, concluded that her major depressive disorder and unspecified anxiety disorder developed </w:t>
      </w:r>
      <w:proofErr w:type="gramStart"/>
      <w:r w:rsidRPr="00C54522">
        <w:t>during the course of</w:t>
      </w:r>
      <w:proofErr w:type="gramEnd"/>
      <w:r w:rsidRPr="00C54522">
        <w:t xml:space="preserve"> her </w:t>
      </w:r>
      <w:proofErr w:type="gramStart"/>
      <w:r w:rsidRPr="00C54522">
        <w:t xml:space="preserve">work, </w:t>
      </w:r>
      <w:r>
        <w:t>‘</w:t>
      </w:r>
      <w:proofErr w:type="gramEnd"/>
      <w:r w:rsidRPr="00C54522">
        <w:t>but not largely due to the experiences at work.</w:t>
      </w:r>
      <w:r>
        <w:t>’</w:t>
      </w:r>
      <w:r w:rsidRPr="00C54522">
        <w:t xml:space="preserve"> </w:t>
      </w:r>
      <w:proofErr w:type="spellStart"/>
      <w:r w:rsidRPr="00C54522">
        <w:t>Telew</w:t>
      </w:r>
      <w:proofErr w:type="spellEnd"/>
      <w:r w:rsidRPr="00C54522">
        <w:t xml:space="preserve"> similarly opined that </w:t>
      </w:r>
      <w:r>
        <w:t>‘</w:t>
      </w:r>
      <w:r w:rsidRPr="00C54522">
        <w:t>[</w:t>
      </w:r>
      <w:proofErr w:type="spellStart"/>
      <w:r w:rsidRPr="00C54522">
        <w:t>i</w:t>
      </w:r>
      <w:proofErr w:type="spellEnd"/>
      <w:r w:rsidRPr="00C54522">
        <w:t>]t is evident that she does not have sufficient symptomatology to make a diagnosis of PTSD.</w:t>
      </w:r>
      <w:r>
        <w:t>’</w:t>
      </w:r>
      <w:r w:rsidRPr="00C54522">
        <w:t xml:space="preserve"> His analysis included indications that she was exaggerating symptoms, did not have a problem discussing events she identified as traumatic, and did not avoid or even evi</w:t>
      </w:r>
      <w:r>
        <w:t>de</w:t>
      </w:r>
      <w:r w:rsidRPr="00C54522">
        <w:t xml:space="preserve">nce a reaction to stimuli that she had identified as causing panic </w:t>
      </w:r>
      <w:proofErr w:type="gramStart"/>
      <w:r w:rsidRPr="00C54522">
        <w:t>attacks.</w:t>
      </w:r>
      <w:r>
        <w:t>”</w:t>
      </w:r>
      <w:proofErr w:type="gramEnd"/>
    </w:p>
    <w:p w14:paraId="47074EAE" w14:textId="77777777" w:rsidR="00683602" w:rsidRDefault="00683602" w:rsidP="00683602">
      <w:pPr>
        <w:pStyle w:val="NoSpacing"/>
      </w:pPr>
    </w:p>
    <w:p w14:paraId="7E623A81" w14:textId="77777777" w:rsidR="00683602" w:rsidRPr="00B71524" w:rsidRDefault="00683602" w:rsidP="00683602">
      <w:pPr>
        <w:pStyle w:val="NoSpacing"/>
      </w:pPr>
      <w:r w:rsidRPr="00AA6A27">
        <w:rPr>
          <w:b/>
        </w:rPr>
        <w:t xml:space="preserve">Legal lesson learned: </w:t>
      </w:r>
      <w:r>
        <w:rPr>
          <w:b/>
        </w:rPr>
        <w:t xml:space="preserve">Battle of the experts; two experts found no work created PTSD. </w:t>
      </w:r>
    </w:p>
    <w:p w14:paraId="22FD0A02" w14:textId="77777777" w:rsidR="00683602" w:rsidRDefault="00683602" w:rsidP="000C4DF5">
      <w:pPr>
        <w:pStyle w:val="NoSpacing"/>
        <w:rPr>
          <w:rFonts w:ascii="Arial Black" w:hAnsi="Arial Black"/>
          <w:sz w:val="24"/>
          <w:szCs w:val="24"/>
        </w:rPr>
      </w:pPr>
    </w:p>
    <w:p w14:paraId="111CEE87" w14:textId="77777777" w:rsidR="00610D0A" w:rsidRDefault="00610D0A" w:rsidP="00491756">
      <w:pPr>
        <w:pStyle w:val="NoSpacing"/>
        <w:rPr>
          <w:rFonts w:ascii="Arial Black" w:hAnsi="Arial Black"/>
          <w:sz w:val="24"/>
          <w:szCs w:val="24"/>
        </w:rPr>
      </w:pPr>
    </w:p>
    <w:p w14:paraId="3A086F43" w14:textId="77777777" w:rsidR="00610D0A" w:rsidRDefault="00610D0A" w:rsidP="00491756">
      <w:pPr>
        <w:pStyle w:val="NoSpacing"/>
        <w:rPr>
          <w:rFonts w:ascii="Arial Black" w:hAnsi="Arial Black"/>
          <w:sz w:val="24"/>
          <w:szCs w:val="24"/>
        </w:rPr>
      </w:pPr>
    </w:p>
    <w:p w14:paraId="70D213C8" w14:textId="77777777" w:rsidR="00610D0A" w:rsidRDefault="00610D0A" w:rsidP="00491756">
      <w:pPr>
        <w:pStyle w:val="NoSpacing"/>
        <w:rPr>
          <w:rFonts w:ascii="Arial Black" w:hAnsi="Arial Black"/>
          <w:sz w:val="24"/>
          <w:szCs w:val="24"/>
        </w:rPr>
      </w:pPr>
    </w:p>
    <w:p w14:paraId="4AB005F8" w14:textId="70A1233F" w:rsidR="00CD6C01" w:rsidRPr="00977F30" w:rsidRDefault="00CD6C01" w:rsidP="00491756">
      <w:pPr>
        <w:pStyle w:val="NoSpacing"/>
        <w:rPr>
          <w:rFonts w:ascii="Times New Roman" w:hAnsi="Times New Roman"/>
          <w:sz w:val="24"/>
          <w:szCs w:val="24"/>
        </w:rPr>
      </w:pPr>
      <w:r>
        <w:rPr>
          <w:rFonts w:ascii="Arial Black" w:hAnsi="Arial Black"/>
          <w:sz w:val="24"/>
          <w:szCs w:val="24"/>
        </w:rPr>
        <w:t>15-4</w:t>
      </w:r>
      <w:r w:rsidR="003D2AAD">
        <w:rPr>
          <w:rFonts w:ascii="Arial Black" w:hAnsi="Arial Black"/>
          <w:sz w:val="24"/>
          <w:szCs w:val="24"/>
        </w:rPr>
        <w:t xml:space="preserve">7 </w:t>
      </w:r>
      <w:r w:rsidR="003D2AAD" w:rsidRPr="003D2AAD">
        <w:rPr>
          <w:rFonts w:ascii="Times New Roman" w:hAnsi="Times New Roman"/>
          <w:sz w:val="24"/>
          <w:szCs w:val="24"/>
        </w:rPr>
        <w:t>[also filed,</w:t>
      </w:r>
      <w:r w:rsidR="003D2AAD">
        <w:rPr>
          <w:rFonts w:ascii="Arial Black" w:hAnsi="Arial Black"/>
          <w:sz w:val="24"/>
          <w:szCs w:val="24"/>
        </w:rPr>
        <w:t xml:space="preserve"> </w:t>
      </w:r>
      <w:r w:rsidR="00977F30" w:rsidRPr="00977F30">
        <w:rPr>
          <w:rFonts w:ascii="Times New Roman" w:hAnsi="Times New Roman"/>
          <w:sz w:val="24"/>
          <w:szCs w:val="24"/>
        </w:rPr>
        <w:t xml:space="preserve">Chap. 9, ADA] </w:t>
      </w:r>
    </w:p>
    <w:p w14:paraId="60E43917" w14:textId="77777777" w:rsidR="003D2AAD" w:rsidRDefault="003D2AAD" w:rsidP="00491756">
      <w:pPr>
        <w:pStyle w:val="NoSpacing"/>
        <w:rPr>
          <w:rFonts w:ascii="Arial Black" w:hAnsi="Arial Black"/>
          <w:sz w:val="24"/>
          <w:szCs w:val="24"/>
        </w:rPr>
      </w:pPr>
    </w:p>
    <w:p w14:paraId="5A32F3ED" w14:textId="77777777" w:rsidR="003D2AAD" w:rsidRPr="00FC582A" w:rsidRDefault="003D2AAD" w:rsidP="003D2AAD">
      <w:pPr>
        <w:pStyle w:val="NoSpacing"/>
        <w:rPr>
          <w:rFonts w:ascii="Arial Black" w:hAnsi="Arial Black"/>
          <w:sz w:val="28"/>
          <w:szCs w:val="28"/>
        </w:rPr>
      </w:pPr>
      <w:r>
        <w:rPr>
          <w:rFonts w:ascii="Arial Black" w:hAnsi="Arial Black"/>
          <w:sz w:val="28"/>
          <w:szCs w:val="28"/>
        </w:rPr>
        <w:t>SC: MEDIC PTSD – DIDN’T INTERVIEW FOR BILLING JOB</w:t>
      </w:r>
    </w:p>
    <w:p w14:paraId="6FC4C3CE" w14:textId="77777777" w:rsidR="003D2AAD" w:rsidRDefault="003D2AAD" w:rsidP="003D2AAD">
      <w:pPr>
        <w:pStyle w:val="NoSpacing"/>
        <w:ind w:left="720"/>
      </w:pPr>
    </w:p>
    <w:p w14:paraId="6A98A793" w14:textId="77777777" w:rsidR="003D2AAD" w:rsidRDefault="003D2AAD" w:rsidP="003D2AAD">
      <w:pPr>
        <w:pStyle w:val="NoSpacing"/>
      </w:pPr>
      <w:r>
        <w:t xml:space="preserve">On December 18, 2025, in </w:t>
      </w:r>
      <w:r w:rsidRPr="00AF68E6">
        <w:rPr>
          <w:u w:val="single"/>
        </w:rPr>
        <w:t>William D. Shugart v. Chester County</w:t>
      </w:r>
      <w:r>
        <w:t xml:space="preserve">, Senior U.S. District Court Judge Cameron McGowan Currie, </w:t>
      </w:r>
      <w:r w:rsidRPr="00AF68E6">
        <w:t>United States District Court, D. South Carolina, Rock Hill Division</w:t>
      </w:r>
      <w:r>
        <w:t xml:space="preserve">, granted defense motion for summary judgment; no proof of ADA discrimination or retaliation for taking FMLA leave.  Plaintiff was a Senior Medic with Chest County EMS, and on September 8, </w:t>
      </w:r>
      <w:proofErr w:type="gramStart"/>
      <w:r>
        <w:t>2021</w:t>
      </w:r>
      <w:proofErr w:type="gramEnd"/>
      <w:r>
        <w:t xml:space="preserve"> there was incident where a gun shot came from a house.  He sought treatment for PTSD and history of depression and went on 12-weeks of FMLA leave.  On January 1, </w:t>
      </w:r>
      <w:proofErr w:type="gramStart"/>
      <w:r>
        <w:t>2023</w:t>
      </w:r>
      <w:proofErr w:type="gramEnd"/>
      <w:r>
        <w:t xml:space="preserve"> he was terminated when he was medically cleared to return to work as a paramedic but did not return. His supervisor encouraged him to apply for billing position that opened with a recent retirement, but he cancelled the January 30 (1 pm) in-person interview the day </w:t>
      </w:r>
      <w:proofErr w:type="gramStart"/>
      <w:r>
        <w:t>prior, and</w:t>
      </w:r>
      <w:proofErr w:type="gramEnd"/>
      <w:r>
        <w:t xml:space="preserve"> did not respond to offer of ZOOM interview.  </w:t>
      </w:r>
      <w:hyperlink r:id="rId2394" w:history="1">
        <w:r w:rsidRPr="007B3445">
          <w:rPr>
            <w:rStyle w:val="Hyperlink"/>
          </w:rPr>
          <w:t>https://cases.justia.com/federal/district-courts/south-carolina/scdce/0:2024cv00826/288831/46/0.pdf</w:t>
        </w:r>
      </w:hyperlink>
      <w:r>
        <w:t xml:space="preserve"> </w:t>
      </w:r>
    </w:p>
    <w:p w14:paraId="7D61A869" w14:textId="77777777" w:rsidR="003D2AAD" w:rsidRDefault="003D2AAD" w:rsidP="003D2AAD">
      <w:pPr>
        <w:pStyle w:val="NoSpacing"/>
        <w:rPr>
          <w:bCs/>
        </w:rPr>
      </w:pPr>
    </w:p>
    <w:p w14:paraId="2686C792" w14:textId="77777777" w:rsidR="003D2AAD" w:rsidRDefault="003D2AAD" w:rsidP="003D2AAD">
      <w:pPr>
        <w:pStyle w:val="NoSpacing"/>
        <w:rPr>
          <w:bCs/>
        </w:rPr>
      </w:pPr>
      <w:r>
        <w:t xml:space="preserve">THE COURT HELD: </w:t>
      </w:r>
    </w:p>
    <w:p w14:paraId="1BA2F698" w14:textId="77777777" w:rsidR="003D2AAD" w:rsidRDefault="003D2AAD" w:rsidP="003D2AAD">
      <w:pPr>
        <w:pStyle w:val="NoSpacing"/>
        <w:rPr>
          <w:bCs/>
        </w:rPr>
      </w:pPr>
    </w:p>
    <w:p w14:paraId="55DAF4CB" w14:textId="77777777" w:rsidR="003D2AAD" w:rsidRDefault="003D2AAD" w:rsidP="003D2AAD">
      <w:pPr>
        <w:pStyle w:val="NoSpacing"/>
        <w:ind w:firstLine="720"/>
      </w:pPr>
      <w:r>
        <w:t>“Plaintiff was employed by Chester County in its Emergency Medical Services (‘EMS’)</w:t>
      </w:r>
    </w:p>
    <w:p w14:paraId="4BEDE5D7" w14:textId="77777777" w:rsidR="003D2AAD" w:rsidRDefault="003D2AAD" w:rsidP="003D2AAD">
      <w:pPr>
        <w:pStyle w:val="NoSpacing"/>
        <w:ind w:left="720"/>
      </w:pPr>
      <w:r>
        <w:t xml:space="preserve">department from May 2016 until January 2023….He was promoted to Senior Paramedic on December 4, 2021…. An essential function of the Senior Paramedic was operation of an ambulance. </w:t>
      </w:r>
    </w:p>
    <w:p w14:paraId="009737A2" w14:textId="77777777" w:rsidR="003D2AAD" w:rsidRDefault="003D2AAD" w:rsidP="003D2AAD">
      <w:pPr>
        <w:pStyle w:val="NoSpacing"/>
        <w:ind w:left="720"/>
      </w:pPr>
    </w:p>
    <w:p w14:paraId="443E031D" w14:textId="77777777" w:rsidR="003D2AAD" w:rsidRDefault="003D2AAD" w:rsidP="003D2AAD">
      <w:pPr>
        <w:pStyle w:val="NoSpacing"/>
        <w:ind w:left="720"/>
      </w:pPr>
      <w:r>
        <w:t>***</w:t>
      </w:r>
    </w:p>
    <w:p w14:paraId="1A0A5165" w14:textId="77777777" w:rsidR="003D2AAD" w:rsidRDefault="003D2AAD" w:rsidP="003D2AAD">
      <w:pPr>
        <w:pStyle w:val="NoSpacing"/>
      </w:pPr>
    </w:p>
    <w:p w14:paraId="18E1572D" w14:textId="77777777" w:rsidR="003D2AAD" w:rsidRDefault="003D2AAD" w:rsidP="003D2AAD">
      <w:pPr>
        <w:pStyle w:val="NoSpacing"/>
        <w:ind w:firstLine="720"/>
      </w:pPr>
      <w:r>
        <w:t xml:space="preserve">Plaintiff was </w:t>
      </w:r>
      <w:proofErr w:type="gramStart"/>
      <w:r>
        <w:t>provided</w:t>
      </w:r>
      <w:proofErr w:type="gramEnd"/>
      <w:r>
        <w:t xml:space="preserve"> the opportunity to apply and interview for the billing specialist</w:t>
      </w:r>
    </w:p>
    <w:p w14:paraId="17DA17C4" w14:textId="77777777" w:rsidR="003D2AAD" w:rsidRDefault="003D2AAD" w:rsidP="003D2AAD">
      <w:pPr>
        <w:pStyle w:val="NoSpacing"/>
        <w:ind w:left="720"/>
      </w:pPr>
      <w:r>
        <w:t>position when it was posted, but cancelled the interview the day before, and did not respond to inquiries about another option for the interview. The job was filled by a person with finance or accounting experience. For the reasons above, the court finds summary judgment is appropriate for Defendant on Plaintiff’s claims of ADA discrimination and retaliation.</w:t>
      </w:r>
    </w:p>
    <w:p w14:paraId="24CE7972" w14:textId="77777777" w:rsidR="003D2AAD" w:rsidRDefault="003D2AAD" w:rsidP="003D2AAD">
      <w:pPr>
        <w:pStyle w:val="NoSpacing"/>
        <w:ind w:left="720"/>
      </w:pPr>
    </w:p>
    <w:p w14:paraId="2015C995" w14:textId="77777777" w:rsidR="003D2AAD" w:rsidRDefault="003D2AAD" w:rsidP="003D2AAD">
      <w:pPr>
        <w:pStyle w:val="NoSpacing"/>
        <w:ind w:left="720"/>
      </w:pPr>
      <w:r>
        <w:t>***</w:t>
      </w:r>
    </w:p>
    <w:p w14:paraId="7EE31152" w14:textId="77777777" w:rsidR="003D2AAD" w:rsidRDefault="003D2AAD" w:rsidP="003D2AAD">
      <w:pPr>
        <w:pStyle w:val="NoSpacing"/>
      </w:pPr>
    </w:p>
    <w:p w14:paraId="681C7FD5" w14:textId="77777777" w:rsidR="003D2AAD" w:rsidRDefault="003D2AAD" w:rsidP="003D2AAD">
      <w:pPr>
        <w:pStyle w:val="NoSpacing"/>
        <w:ind w:firstLine="720"/>
      </w:pPr>
      <w:r>
        <w:t>To make out an FMLA interference claim, an employee must demonstrate he was entitled</w:t>
      </w:r>
    </w:p>
    <w:p w14:paraId="2860F0C3" w14:textId="77777777" w:rsidR="003D2AAD" w:rsidRDefault="003D2AAD" w:rsidP="003D2AAD">
      <w:pPr>
        <w:pStyle w:val="NoSpacing"/>
        <w:ind w:left="720"/>
      </w:pPr>
      <w:r>
        <w:t xml:space="preserve">to an FMLA benefit, his employer interfered with the provision of that benefit, and the interference caused him harm. Adkins v. CSX Transp., Inc., 70 F.4th 785, 796 (4th Cir. 2023). The court agrees with the Magistrate Judge Defendant has produced evidence Plaintiff was provided his twelve-week statutorily mandated FMLA leave, his position was protected during that time, and there is no evidence his use of FMLA leave was a factor in his termination. Plaintiff has failed to refute this evidence. In fact, the record shows Defendant went out of its way to assist Plaintiff in obtaining the appropriate paperwork when Plaintiff indicated he was ready to come back to work, even though he indicated he would not be going back on an </w:t>
      </w:r>
      <w:proofErr w:type="gramStart"/>
      <w:r>
        <w:t>ambulance.”</w:t>
      </w:r>
      <w:proofErr w:type="gramEnd"/>
    </w:p>
    <w:p w14:paraId="2A012F46" w14:textId="77777777" w:rsidR="003D2AAD" w:rsidRDefault="003D2AAD" w:rsidP="003D2AAD">
      <w:pPr>
        <w:pStyle w:val="NoSpacing"/>
        <w:ind w:left="720"/>
      </w:pPr>
    </w:p>
    <w:p w14:paraId="0A7F6062" w14:textId="77777777" w:rsidR="003D2AAD" w:rsidRPr="00E35214" w:rsidRDefault="003D2AAD" w:rsidP="003D2AAD">
      <w:pPr>
        <w:pStyle w:val="NoSpacing"/>
        <w:rPr>
          <w:b/>
          <w:bCs/>
        </w:rPr>
      </w:pPr>
      <w:r>
        <w:rPr>
          <w:b/>
        </w:rPr>
        <w:t xml:space="preserve">Legal lesson learned:  Plaintiff’s supervisors went out of their way to assist the paramedic. </w:t>
      </w:r>
    </w:p>
    <w:p w14:paraId="53A13BCF" w14:textId="77777777" w:rsidR="003D2AAD" w:rsidRDefault="003D2AAD" w:rsidP="003D2AAD">
      <w:pPr>
        <w:pStyle w:val="NoSpacing"/>
      </w:pPr>
    </w:p>
    <w:p w14:paraId="73AD4B69" w14:textId="77777777" w:rsidR="003D2AAD" w:rsidRDefault="003D2AAD" w:rsidP="00491756">
      <w:pPr>
        <w:pStyle w:val="NoSpacing"/>
        <w:rPr>
          <w:rFonts w:ascii="Arial Black" w:hAnsi="Arial Black"/>
          <w:sz w:val="24"/>
          <w:szCs w:val="24"/>
        </w:rPr>
      </w:pPr>
    </w:p>
    <w:p w14:paraId="3B708979" w14:textId="77777777" w:rsidR="00CD6C01" w:rsidRDefault="00CD6C01" w:rsidP="00491756">
      <w:pPr>
        <w:pStyle w:val="NoSpacing"/>
        <w:rPr>
          <w:rFonts w:ascii="Arial Black" w:hAnsi="Arial Black"/>
          <w:sz w:val="24"/>
          <w:szCs w:val="24"/>
        </w:rPr>
      </w:pPr>
    </w:p>
    <w:p w14:paraId="0312E79C" w14:textId="77777777" w:rsidR="00CD6C01" w:rsidRDefault="00CD6C01" w:rsidP="00491756">
      <w:pPr>
        <w:pStyle w:val="NoSpacing"/>
        <w:rPr>
          <w:rFonts w:ascii="Arial Black" w:hAnsi="Arial Black"/>
          <w:sz w:val="24"/>
          <w:szCs w:val="24"/>
        </w:rPr>
      </w:pPr>
    </w:p>
    <w:p w14:paraId="0E6D54FF" w14:textId="6756AC0A" w:rsidR="004B6753" w:rsidRDefault="0000182B" w:rsidP="00491756">
      <w:pPr>
        <w:pStyle w:val="NoSpacing"/>
        <w:rPr>
          <w:rFonts w:ascii="Arial Black" w:hAnsi="Arial Black"/>
          <w:sz w:val="24"/>
          <w:szCs w:val="24"/>
        </w:rPr>
      </w:pPr>
      <w:r>
        <w:rPr>
          <w:rFonts w:ascii="Arial Black" w:hAnsi="Arial Black"/>
          <w:sz w:val="24"/>
          <w:szCs w:val="24"/>
        </w:rPr>
        <w:t>15-46</w:t>
      </w:r>
    </w:p>
    <w:p w14:paraId="5AEB231A" w14:textId="77777777" w:rsidR="0000182B" w:rsidRDefault="0000182B" w:rsidP="00491756">
      <w:pPr>
        <w:pStyle w:val="NoSpacing"/>
        <w:rPr>
          <w:rFonts w:ascii="Arial Black" w:hAnsi="Arial Black"/>
          <w:sz w:val="24"/>
          <w:szCs w:val="24"/>
        </w:rPr>
      </w:pPr>
    </w:p>
    <w:p w14:paraId="7825D952" w14:textId="77777777" w:rsidR="00594C0D" w:rsidRPr="0082689F" w:rsidRDefault="00594C0D" w:rsidP="00594C0D">
      <w:pPr>
        <w:rPr>
          <w:rFonts w:ascii="Arial Black" w:hAnsi="Arial Black"/>
          <w:b/>
          <w:sz w:val="28"/>
          <w:szCs w:val="28"/>
        </w:rPr>
      </w:pPr>
      <w:r>
        <w:rPr>
          <w:rFonts w:ascii="Arial Black" w:hAnsi="Arial Black"/>
          <w:b/>
          <w:sz w:val="28"/>
          <w:szCs w:val="28"/>
        </w:rPr>
        <w:t xml:space="preserve">IL: CHICAGO FD – PASSED MENTAL FITNESS FOR DUTY </w:t>
      </w:r>
    </w:p>
    <w:p w14:paraId="5F0F0E81" w14:textId="77777777" w:rsidR="00594C0D" w:rsidRDefault="00594C0D" w:rsidP="00594C0D">
      <w:pPr>
        <w:rPr>
          <w:bCs/>
        </w:rPr>
      </w:pPr>
      <w:r>
        <w:t xml:space="preserve">On December 3, 2025, in </w:t>
      </w:r>
      <w:r w:rsidRPr="00CE42F8">
        <w:rPr>
          <w:u w:val="single"/>
        </w:rPr>
        <w:t>Lee Ann McKay v. Nicole Patino, et al</w:t>
      </w:r>
      <w:r>
        <w:t xml:space="preserve">., U.S. District Court Judge Jorge L. Alonso, </w:t>
      </w:r>
      <w:r w:rsidRPr="007D31A0">
        <w:t>United States District Court, N.D. Illinois, Eastern Division</w:t>
      </w:r>
      <w:r>
        <w:t xml:space="preserve">, dismissed the plaintiff’s pro se [no attorney] lawsuit.  There were no constitutional rights violated when in May 2024 two Office of Inspector General investigators came to her home, unannounced, to interview her about her January 2024 complain of inferior </w:t>
      </w:r>
      <w:r w:rsidRPr="005A21BE">
        <w:t>bathroom facilities available to women in certain firehouses</w:t>
      </w:r>
      <w:r>
        <w:t xml:space="preserve">.   Likewise, there was no violation of her constitutional rights when </w:t>
      </w:r>
      <w:r w:rsidRPr="00793C90">
        <w:t>Dr. Nicole Patino, Chief Medical Director for the City of Chicago</w:t>
      </w:r>
      <w:r>
        <w:t>,</w:t>
      </w:r>
      <w:r w:rsidRPr="00793C90">
        <w:t xml:space="preserve"> Office of Public Safety Administration</w:t>
      </w:r>
      <w:r>
        <w:t xml:space="preserve"> on July 11, 2024 took her blood pressure, or when she was ordered by Dr. Patino to take a </w:t>
      </w:r>
      <w:r w:rsidRPr="009D0ED5">
        <w:t>mental capacity examination</w:t>
      </w:r>
      <w:r>
        <w:t xml:space="preserve"> with a </w:t>
      </w:r>
      <w:r w:rsidRPr="009D0ED5">
        <w:t>psychologist</w:t>
      </w:r>
      <w:r>
        <w:t xml:space="preserve"> (July 15 tests, and </w:t>
      </w:r>
      <w:r w:rsidRPr="0078051A">
        <w:t>August 2024, psychologist found her fit for duty</w:t>
      </w:r>
      <w:r>
        <w:t xml:space="preserve">); or to take pulmonary function test on </w:t>
      </w:r>
      <w:r w:rsidRPr="00792A7A">
        <w:t>December 31, 2024</w:t>
      </w:r>
      <w:r>
        <w:t xml:space="preserve">. </w:t>
      </w:r>
      <w:hyperlink r:id="rId2395" w:history="1">
        <w:r w:rsidRPr="00B64AD8">
          <w:rPr>
            <w:rStyle w:val="Hyperlink"/>
          </w:rPr>
          <w:t>https://public.fastcase.com/Jhe1Qn%2BmJndQYQU6z%2FeNm%2BcFVCy5tJw2gy1zfbpkLaze9U67QqLJTV5FE2cJQCoqnSyWDfbWSo3ic5o1p0zHzyDw8vgxY%2BBok5izm2ejH6U%3D?utm_medium=email&amp;_hsenc=p2ANqtz--bkYiy1pyPlPSsVe74xwULcEQroRrEa3UI3GrVMXxBGgBl78iSBqXQuZMV2NG07-VaF6HXpA1gGzG-xJKwbOenCq2wOg&amp;_hsmi=226712652&amp;utm_content=226712652&amp;utm_source=hs_email</w:t>
        </w:r>
      </w:hyperlink>
      <w:r>
        <w:t xml:space="preserve">   </w:t>
      </w:r>
    </w:p>
    <w:p w14:paraId="5FAC6478" w14:textId="77777777" w:rsidR="00594C0D" w:rsidRPr="008E10FD" w:rsidRDefault="00594C0D" w:rsidP="00594C0D">
      <w:pPr>
        <w:rPr>
          <w:bCs/>
        </w:rPr>
      </w:pPr>
      <w:r w:rsidRPr="008E10FD">
        <w:t xml:space="preserve">THE COURT HELD:  </w:t>
      </w:r>
    </w:p>
    <w:p w14:paraId="7397483A" w14:textId="77777777" w:rsidR="00594C0D" w:rsidRDefault="00594C0D" w:rsidP="00594C0D">
      <w:pPr>
        <w:pStyle w:val="NoSpacing"/>
        <w:ind w:left="720"/>
      </w:pPr>
      <w:r>
        <w:t>“</w:t>
      </w:r>
      <w:r w:rsidRPr="00D61F0C">
        <w:t xml:space="preserve">To the extent Plaintiff complains of </w:t>
      </w:r>
      <w:r>
        <w:t xml:space="preserve">[OIG investigators] </w:t>
      </w:r>
      <w:r w:rsidRPr="00D61F0C">
        <w:t>Lauder and Arellano showing up to her house or of any psychological test she was given, she fails to state a claim of a constitutional violation.</w:t>
      </w:r>
    </w:p>
    <w:p w14:paraId="0DBAC3D9" w14:textId="77777777" w:rsidR="00594C0D" w:rsidRDefault="00594C0D" w:rsidP="00594C0D">
      <w:pPr>
        <w:pStyle w:val="NoSpacing"/>
        <w:ind w:left="720"/>
      </w:pPr>
    </w:p>
    <w:p w14:paraId="50F8092A" w14:textId="77777777" w:rsidR="00594C0D" w:rsidRDefault="00594C0D" w:rsidP="00594C0D">
      <w:pPr>
        <w:pStyle w:val="NoSpacing"/>
        <w:ind w:left="720"/>
      </w:pPr>
      <w:r>
        <w:t>***</w:t>
      </w:r>
    </w:p>
    <w:p w14:paraId="568465FA" w14:textId="77777777" w:rsidR="00594C0D" w:rsidRDefault="00594C0D" w:rsidP="00594C0D">
      <w:pPr>
        <w:pStyle w:val="NoSpacing"/>
      </w:pPr>
    </w:p>
    <w:p w14:paraId="3048F9DE" w14:textId="77777777" w:rsidR="00594C0D" w:rsidRDefault="00594C0D" w:rsidP="00594C0D">
      <w:pPr>
        <w:pStyle w:val="NoSpacing"/>
        <w:ind w:left="720"/>
      </w:pPr>
      <w:r w:rsidRPr="00B16BE9">
        <w:t>Dr. Patino is entitled to qualified immunity on the issue of whether the pulmonary function testing violated the Fourth Amendment.</w:t>
      </w:r>
    </w:p>
    <w:p w14:paraId="7AA68F83" w14:textId="77777777" w:rsidR="00594C0D" w:rsidRDefault="00594C0D" w:rsidP="00594C0D">
      <w:pPr>
        <w:pStyle w:val="NoSpacing"/>
        <w:ind w:left="720"/>
      </w:pPr>
    </w:p>
    <w:p w14:paraId="62DC9AEF" w14:textId="77777777" w:rsidR="00594C0D" w:rsidRDefault="00594C0D" w:rsidP="00594C0D">
      <w:pPr>
        <w:pStyle w:val="NoSpacing"/>
        <w:ind w:left="720"/>
      </w:pPr>
      <w:r>
        <w:t>***</w:t>
      </w:r>
    </w:p>
    <w:p w14:paraId="4430B6E3" w14:textId="77777777" w:rsidR="00594C0D" w:rsidRDefault="00594C0D" w:rsidP="00594C0D">
      <w:pPr>
        <w:pStyle w:val="NoSpacing"/>
      </w:pPr>
    </w:p>
    <w:p w14:paraId="1BE50A2B" w14:textId="77777777" w:rsidR="00594C0D" w:rsidRDefault="00594C0D" w:rsidP="00594C0D">
      <w:pPr>
        <w:pStyle w:val="NoSpacing"/>
        <w:ind w:left="720" w:firstLine="60"/>
      </w:pPr>
      <w:r w:rsidRPr="008D2049">
        <w:t>It follows that Dr. Marder</w:t>
      </w:r>
      <w:r>
        <w:t xml:space="preserve"> [pulmonary function test] </w:t>
      </w:r>
      <w:r w:rsidRPr="008D2049">
        <w:t>and any other defendant alleged to have participated in the testing is likewise protected by qualified immunity from any Fourth Amendment claim</w:t>
      </w:r>
      <w:r>
        <w:t>.</w:t>
      </w:r>
    </w:p>
    <w:p w14:paraId="3CC3D615" w14:textId="77777777" w:rsidR="00594C0D" w:rsidRDefault="00594C0D" w:rsidP="00594C0D">
      <w:pPr>
        <w:pStyle w:val="NoSpacing"/>
        <w:ind w:left="720" w:firstLine="60"/>
      </w:pPr>
    </w:p>
    <w:p w14:paraId="3FF8C1E4" w14:textId="77777777" w:rsidR="00594C0D" w:rsidRDefault="00594C0D" w:rsidP="00594C0D">
      <w:pPr>
        <w:pStyle w:val="NoSpacing"/>
        <w:ind w:left="720" w:firstLine="60"/>
      </w:pPr>
      <w:r>
        <w:t>***</w:t>
      </w:r>
    </w:p>
    <w:p w14:paraId="45330EA3" w14:textId="77777777" w:rsidR="00594C0D" w:rsidRDefault="00594C0D" w:rsidP="00594C0D">
      <w:pPr>
        <w:pStyle w:val="NoSpacing"/>
      </w:pPr>
    </w:p>
    <w:p w14:paraId="52C54FA4" w14:textId="77777777" w:rsidR="00594C0D" w:rsidRDefault="00594C0D" w:rsidP="00594C0D">
      <w:pPr>
        <w:pStyle w:val="NoSpacing"/>
        <w:ind w:left="720"/>
      </w:pPr>
      <w:r w:rsidRPr="00AD6383">
        <w:t xml:space="preserve">Plaintiff's </w:t>
      </w:r>
      <w:r w:rsidRPr="00AD6383">
        <w:rPr>
          <w:i/>
          <w:iCs/>
        </w:rPr>
        <w:t>pro se</w:t>
      </w:r>
      <w:r w:rsidRPr="00AD6383">
        <w:t xml:space="preserve"> status and the surplusage in Plaintiff's complaint counsel against dismissal with prejudice at this point. As the Court has taken pains to recount in some detail above, Plaintiff's allegations go far beyond what is necessary to assert a Fourth Amendment claim. Although she does not rely on any other legal theory in her response briefs, the Court cannot say for certain whether there is not some potentially viable claim within the scope of the events described in her complaint that she might be able to plausibly state in an amended complaint. Therefore, the Court will grant Plaintiff leave to file an amended complaint, if she can do so in compliance with the principles set forth in this Order and the Federal Rules of Civil Procedure.</w:t>
      </w:r>
      <w:r>
        <w:t>”</w:t>
      </w:r>
    </w:p>
    <w:p w14:paraId="768D2AE7" w14:textId="77777777" w:rsidR="00594C0D" w:rsidRDefault="00594C0D" w:rsidP="00594C0D">
      <w:pPr>
        <w:pStyle w:val="NoSpacing"/>
        <w:ind w:left="720"/>
      </w:pPr>
    </w:p>
    <w:p w14:paraId="20B3E871" w14:textId="77777777" w:rsidR="00594C0D" w:rsidRPr="0015463F" w:rsidRDefault="00594C0D" w:rsidP="00594C0D">
      <w:pPr>
        <w:pStyle w:val="NoSpacing"/>
        <w:rPr>
          <w:b/>
          <w:bCs/>
        </w:rPr>
      </w:pPr>
      <w:r>
        <w:rPr>
          <w:b/>
        </w:rPr>
        <w:t xml:space="preserve">Legal lesson learned: Qualified immunity protects Fire Department’s physicians conducting fitness for duty exams. </w:t>
      </w:r>
    </w:p>
    <w:p w14:paraId="30E8E8BB" w14:textId="77777777" w:rsidR="00594C0D" w:rsidRDefault="00594C0D" w:rsidP="00594C0D">
      <w:pPr>
        <w:pStyle w:val="NoSpacing"/>
      </w:pPr>
    </w:p>
    <w:p w14:paraId="2E47160E" w14:textId="77777777" w:rsidR="00594C0D" w:rsidRDefault="00594C0D" w:rsidP="00491756">
      <w:pPr>
        <w:pStyle w:val="NoSpacing"/>
        <w:rPr>
          <w:rFonts w:ascii="Arial Black" w:hAnsi="Arial Black"/>
          <w:sz w:val="24"/>
          <w:szCs w:val="24"/>
        </w:rPr>
      </w:pPr>
    </w:p>
    <w:p w14:paraId="5F537BAE" w14:textId="77777777" w:rsidR="0000182B" w:rsidRDefault="0000182B" w:rsidP="00491756">
      <w:pPr>
        <w:pStyle w:val="NoSpacing"/>
        <w:rPr>
          <w:rFonts w:ascii="Arial Black" w:hAnsi="Arial Black"/>
          <w:sz w:val="24"/>
          <w:szCs w:val="24"/>
        </w:rPr>
      </w:pPr>
    </w:p>
    <w:p w14:paraId="01BAEDDE" w14:textId="77777777" w:rsidR="0000182B" w:rsidRDefault="0000182B" w:rsidP="00491756">
      <w:pPr>
        <w:pStyle w:val="NoSpacing"/>
        <w:rPr>
          <w:rFonts w:ascii="Arial Black" w:hAnsi="Arial Black"/>
          <w:sz w:val="24"/>
          <w:szCs w:val="24"/>
        </w:rPr>
      </w:pPr>
    </w:p>
    <w:p w14:paraId="408932D5" w14:textId="20BCB00F" w:rsidR="004B6753" w:rsidRDefault="00F02AD2" w:rsidP="00491756">
      <w:pPr>
        <w:pStyle w:val="NoSpacing"/>
        <w:rPr>
          <w:rFonts w:ascii="Arial Black" w:hAnsi="Arial Black"/>
          <w:sz w:val="24"/>
          <w:szCs w:val="24"/>
        </w:rPr>
      </w:pPr>
      <w:r>
        <w:rPr>
          <w:rFonts w:ascii="Arial Black" w:hAnsi="Arial Black"/>
          <w:sz w:val="24"/>
          <w:szCs w:val="24"/>
        </w:rPr>
        <w:t>15-4</w:t>
      </w:r>
      <w:r w:rsidR="00D92FBD">
        <w:rPr>
          <w:rFonts w:ascii="Arial Black" w:hAnsi="Arial Black"/>
          <w:sz w:val="24"/>
          <w:szCs w:val="24"/>
        </w:rPr>
        <w:t>5</w:t>
      </w:r>
    </w:p>
    <w:p w14:paraId="242B23BA" w14:textId="77777777" w:rsidR="00F02AD2" w:rsidRDefault="00F02AD2" w:rsidP="00491756">
      <w:pPr>
        <w:pStyle w:val="NoSpacing"/>
        <w:rPr>
          <w:rFonts w:ascii="Arial Black" w:hAnsi="Arial Black"/>
          <w:sz w:val="24"/>
          <w:szCs w:val="24"/>
        </w:rPr>
      </w:pPr>
    </w:p>
    <w:p w14:paraId="38D66C82" w14:textId="499C2990" w:rsidR="001C617A" w:rsidRPr="00F75C74" w:rsidRDefault="001C617A" w:rsidP="001C617A">
      <w:pPr>
        <w:pStyle w:val="NoSpacing"/>
        <w:rPr>
          <w:rFonts w:ascii="Arial Black" w:hAnsi="Arial Black"/>
          <w:sz w:val="28"/>
          <w:szCs w:val="28"/>
        </w:rPr>
      </w:pPr>
      <w:r>
        <w:rPr>
          <w:rFonts w:ascii="Arial Black" w:hAnsi="Arial Black"/>
          <w:sz w:val="28"/>
          <w:szCs w:val="28"/>
        </w:rPr>
        <w:t xml:space="preserve">PA: PTSD – 2 INFANT CPR </w:t>
      </w:r>
      <w:r w:rsidR="00771197">
        <w:rPr>
          <w:rFonts w:ascii="Arial Black" w:hAnsi="Arial Black"/>
          <w:sz w:val="28"/>
          <w:szCs w:val="28"/>
        </w:rPr>
        <w:t xml:space="preserve">- </w:t>
      </w:r>
      <w:r>
        <w:rPr>
          <w:rFonts w:ascii="Arial Black" w:hAnsi="Arial Black"/>
          <w:sz w:val="28"/>
          <w:szCs w:val="28"/>
        </w:rPr>
        <w:t>“ABNORMAL”</w:t>
      </w:r>
      <w:r w:rsidR="00771197">
        <w:rPr>
          <w:rFonts w:ascii="Arial Black" w:hAnsi="Arial Black"/>
          <w:sz w:val="28"/>
          <w:szCs w:val="28"/>
        </w:rPr>
        <w:t xml:space="preserve"> RUNS</w:t>
      </w:r>
      <w:r>
        <w:rPr>
          <w:rFonts w:ascii="Arial Black" w:hAnsi="Arial Black"/>
          <w:sz w:val="28"/>
          <w:szCs w:val="28"/>
        </w:rPr>
        <w:t xml:space="preserve"> –- GETS WORK COMP</w:t>
      </w:r>
    </w:p>
    <w:p w14:paraId="150D77D1" w14:textId="77777777" w:rsidR="001C617A" w:rsidRDefault="001C617A" w:rsidP="001C617A">
      <w:pPr>
        <w:pStyle w:val="NoSpacing"/>
      </w:pPr>
    </w:p>
    <w:p w14:paraId="40BA566E" w14:textId="77777777" w:rsidR="001C617A" w:rsidRDefault="001C617A" w:rsidP="001C617A">
      <w:pPr>
        <w:pStyle w:val="NoSpacing"/>
        <w:rPr>
          <w:bCs/>
        </w:rPr>
      </w:pPr>
      <w:r>
        <w:t xml:space="preserve">On Oct. 22, 2025, in </w:t>
      </w:r>
      <w:r w:rsidRPr="006259EC">
        <w:rPr>
          <w:u w:val="single"/>
        </w:rPr>
        <w:t>Brian Ganley v. Upper Darby Township (Workers Compensation Appeal Board)</w:t>
      </w:r>
      <w:r>
        <w:t>, the</w:t>
      </w:r>
      <w:r w:rsidRPr="00A72D5F">
        <w:rPr>
          <w:b/>
        </w:rPr>
        <w:t xml:space="preserve"> </w:t>
      </w:r>
      <w:r w:rsidRPr="00A72D5F">
        <w:t>Commonwealth Court of Pennsylvania</w:t>
      </w:r>
      <w:r>
        <w:t xml:space="preserve"> held (3 to 0) that a career firefighter with 33 years’ experience should be awarded worker’s comp after performing two separate CPRs on infants within 16 months (Nov. 2018; May 2021).  The Court reversed the Workers Comp Law Judge and the Appeal Board – holding that the two incidents met the requirement of “abnormal” event. </w:t>
      </w:r>
      <w:hyperlink r:id="rId2396" w:history="1">
        <w:r w:rsidRPr="00410A8E">
          <w:rPr>
            <w:rStyle w:val="Hyperlink"/>
          </w:rPr>
          <w:t>https://www.pacourts.us/assets/opinions/Commonwealth/out/770CD24_10-22-25.pdf?cb=1</w:t>
        </w:r>
      </w:hyperlink>
      <w:r>
        <w:t xml:space="preserve"> </w:t>
      </w:r>
    </w:p>
    <w:p w14:paraId="47929B11" w14:textId="77777777" w:rsidR="001C617A" w:rsidRDefault="001C617A" w:rsidP="001C617A">
      <w:pPr>
        <w:pStyle w:val="NoSpacing"/>
        <w:rPr>
          <w:bCs/>
        </w:rPr>
      </w:pPr>
    </w:p>
    <w:p w14:paraId="5E53C499" w14:textId="77777777" w:rsidR="001C617A" w:rsidRPr="003424B4" w:rsidRDefault="001C617A" w:rsidP="001C617A">
      <w:pPr>
        <w:pStyle w:val="NoSpacing"/>
        <w:rPr>
          <w:b/>
        </w:rPr>
      </w:pPr>
      <w:r>
        <w:t xml:space="preserve">THE COURT HELD: </w:t>
      </w:r>
    </w:p>
    <w:p w14:paraId="4EAA113A" w14:textId="77777777" w:rsidR="001C617A" w:rsidRDefault="001C617A" w:rsidP="001C617A">
      <w:pPr>
        <w:pStyle w:val="NoSpacing"/>
      </w:pPr>
    </w:p>
    <w:p w14:paraId="6D63AA45" w14:textId="77777777" w:rsidR="001C617A" w:rsidRDefault="001C617A" w:rsidP="001C617A">
      <w:pPr>
        <w:pStyle w:val="NoSpacing"/>
        <w:ind w:left="720"/>
      </w:pPr>
      <w:r>
        <w:t>“Consequently, the [PA] Supreme Court held that claimants seeking benefits</w:t>
      </w:r>
    </w:p>
    <w:p w14:paraId="23880EDB" w14:textId="77777777" w:rsidR="001C617A" w:rsidRDefault="001C617A" w:rsidP="001C617A">
      <w:pPr>
        <w:pStyle w:val="NoSpacing"/>
        <w:ind w:left="720"/>
      </w:pPr>
      <w:r>
        <w:t>for psychological injuries must meet a higher burden for causation by proving a</w:t>
      </w:r>
    </w:p>
    <w:p w14:paraId="35AEAFB7" w14:textId="77777777" w:rsidR="001C617A" w:rsidRDefault="001C617A" w:rsidP="001C617A">
      <w:pPr>
        <w:pStyle w:val="NoSpacing"/>
        <w:ind w:left="720"/>
      </w:pPr>
      <w:proofErr w:type="gramStart"/>
      <w:r>
        <w:t>psychological</w:t>
      </w:r>
      <w:proofErr w:type="gramEnd"/>
      <w:r>
        <w:t xml:space="preserve"> injury is more than a subjective reaction to normal working</w:t>
      </w:r>
    </w:p>
    <w:p w14:paraId="0997D640" w14:textId="77777777" w:rsidR="001C617A" w:rsidRDefault="001C617A" w:rsidP="001C617A">
      <w:pPr>
        <w:pStyle w:val="NoSpacing"/>
        <w:ind w:left="720"/>
      </w:pPr>
      <w:r>
        <w:t>conditions, in other words, that the psychological injury was caused by ‘abnormal</w:t>
      </w:r>
    </w:p>
    <w:p w14:paraId="210315C4" w14:textId="77777777" w:rsidR="001C617A" w:rsidRDefault="001C617A" w:rsidP="001C617A">
      <w:pPr>
        <w:pStyle w:val="NoSpacing"/>
        <w:ind w:left="720"/>
      </w:pPr>
      <w:r>
        <w:t xml:space="preserve">working conditions.’ </w:t>
      </w:r>
    </w:p>
    <w:p w14:paraId="0E66C2BE" w14:textId="77777777" w:rsidR="001C617A" w:rsidRDefault="001C617A" w:rsidP="001C617A">
      <w:pPr>
        <w:pStyle w:val="NoSpacing"/>
        <w:ind w:left="720"/>
      </w:pPr>
    </w:p>
    <w:p w14:paraId="1749B1E4" w14:textId="77777777" w:rsidR="001C617A" w:rsidRDefault="001C617A" w:rsidP="001C617A">
      <w:pPr>
        <w:pStyle w:val="NoSpacing"/>
        <w:ind w:left="720"/>
      </w:pPr>
      <w:r>
        <w:t>***</w:t>
      </w:r>
    </w:p>
    <w:p w14:paraId="013A3A85" w14:textId="77777777" w:rsidR="001C617A" w:rsidRDefault="001C617A" w:rsidP="001C617A">
      <w:pPr>
        <w:pStyle w:val="NoSpacing"/>
        <w:ind w:left="720"/>
      </w:pPr>
    </w:p>
    <w:p w14:paraId="31E3A6C1" w14:textId="77777777" w:rsidR="001C617A" w:rsidRDefault="001C617A" w:rsidP="001C617A">
      <w:pPr>
        <w:pStyle w:val="NoSpacing"/>
        <w:ind w:left="720"/>
      </w:pPr>
      <w:r w:rsidRPr="00873946">
        <w:t>The reality of Claimant’s situation was that he performed CPR on and</w:t>
      </w:r>
      <w:r>
        <w:t xml:space="preserve"> </w:t>
      </w:r>
      <w:r w:rsidRPr="00873946">
        <w:t>witnessed the deaths of two infant children within a 16-month period. It was the compounded effect of these two incidents that caused Claimant’s disabling PTSD.</w:t>
      </w:r>
      <w:r>
        <w:t xml:space="preserve"> </w:t>
      </w:r>
      <w:r w:rsidRPr="00873946">
        <w:t>There can be little doubt that firefighters experience a high amount of stress in their</w:t>
      </w:r>
      <w:r>
        <w:t xml:space="preserve"> </w:t>
      </w:r>
      <w:r w:rsidRPr="00873946">
        <w:t>jobs. Nonetheless, we must recognize that certain events, even in high-stress</w:t>
      </w:r>
      <w:r>
        <w:t xml:space="preserve"> </w:t>
      </w:r>
      <w:r w:rsidRPr="00873946">
        <w:t>professions, may rise to the level of abnormal working conditions. Claimant did not</w:t>
      </w:r>
      <w:r>
        <w:t xml:space="preserve"> </w:t>
      </w:r>
      <w:r w:rsidRPr="00873946">
        <w:t>simply witness death at a usual call involving a fire or a motor vehicle crash.</w:t>
      </w:r>
    </w:p>
    <w:p w14:paraId="05811AED" w14:textId="77777777" w:rsidR="001C617A" w:rsidRDefault="001C617A" w:rsidP="001C617A">
      <w:pPr>
        <w:pStyle w:val="NoSpacing"/>
        <w:ind w:left="720"/>
      </w:pPr>
    </w:p>
    <w:p w14:paraId="44F2A8C9" w14:textId="77777777" w:rsidR="001C617A" w:rsidRPr="00873946" w:rsidRDefault="001C617A" w:rsidP="001C617A">
      <w:pPr>
        <w:pStyle w:val="NoSpacing"/>
        <w:ind w:left="720"/>
      </w:pPr>
      <w:r>
        <w:t>***</w:t>
      </w:r>
    </w:p>
    <w:p w14:paraId="2C420F6F" w14:textId="77777777" w:rsidR="001C617A" w:rsidRDefault="001C617A" w:rsidP="001C617A">
      <w:pPr>
        <w:pStyle w:val="NoSpacing"/>
        <w:ind w:left="720"/>
      </w:pPr>
      <w:r w:rsidRPr="00873946">
        <w:t>Claimant was actively involved in attempting to resuscitate two separate</w:t>
      </w:r>
      <w:r>
        <w:t xml:space="preserve"> </w:t>
      </w:r>
      <w:r w:rsidRPr="00873946">
        <w:t>unresponsive babies and witnessing each of their deaths. We cannot agree that</w:t>
      </w:r>
      <w:r>
        <w:t xml:space="preserve"> </w:t>
      </w:r>
      <w:r w:rsidRPr="00873946">
        <w:t xml:space="preserve">Claimant’s experience in this regard was a </w:t>
      </w:r>
      <w:r>
        <w:t>‘</w:t>
      </w:r>
      <w:r w:rsidRPr="00873946">
        <w:t>normal</w:t>
      </w:r>
      <w:r>
        <w:t xml:space="preserve">’ </w:t>
      </w:r>
      <w:r w:rsidRPr="00873946">
        <w:t xml:space="preserve">or </w:t>
      </w:r>
      <w:r>
        <w:t>‘</w:t>
      </w:r>
      <w:r w:rsidRPr="00873946">
        <w:t>expected</w:t>
      </w:r>
      <w:r>
        <w:t xml:space="preserve">’ </w:t>
      </w:r>
      <w:r w:rsidRPr="00873946">
        <w:t xml:space="preserve"> consequence of</w:t>
      </w:r>
      <w:r>
        <w:t xml:space="preserve"> </w:t>
      </w:r>
      <w:r w:rsidRPr="00873946">
        <w:t>being a firefighter.</w:t>
      </w:r>
      <w:r>
        <w:t xml:space="preserve"> Indeed, in Claimant’s 20 years’ experience in firefighting service before the first event, Claimant had </w:t>
      </w:r>
      <w:proofErr w:type="gramStart"/>
      <w:r>
        <w:t>never before</w:t>
      </w:r>
      <w:proofErr w:type="gramEnd"/>
      <w:r>
        <w:t xml:space="preserve"> had to perform CPR on an infant. There is no evidence in the record that suggests firefighters in Upper Darby or even in Pennsylvania routinely or normally perform CPR on infant children or witness the deaths of infant children. Furthermore, it is noteworthy that of the three instances in which Employer called upon the county’s Critical Incident Stress [Management] Team between 2018 and 2022, two of those calls were in response to these two incidents involving Claimant and the infants. Id. </w:t>
      </w:r>
      <w:proofErr w:type="gramStart"/>
      <w:r>
        <w:t>at</w:t>
      </w:r>
      <w:proofErr w:type="gramEnd"/>
      <w:r>
        <w:t xml:space="preserve"> 251-52. Certainly, this highlights both the rarity of these events and the potential for substantial</w:t>
      </w:r>
    </w:p>
    <w:p w14:paraId="7D56E066" w14:textId="77777777" w:rsidR="001C617A" w:rsidRDefault="001C617A" w:rsidP="001C617A">
      <w:pPr>
        <w:pStyle w:val="NoSpacing"/>
        <w:ind w:firstLine="720"/>
      </w:pPr>
      <w:r>
        <w:t xml:space="preserve">psychological impact </w:t>
      </w:r>
      <w:proofErr w:type="gramStart"/>
      <w:r>
        <w:t>to</w:t>
      </w:r>
      <w:proofErr w:type="gramEnd"/>
      <w:r>
        <w:t xml:space="preserve"> the participants, which is further magnified by the fact that</w:t>
      </w:r>
    </w:p>
    <w:p w14:paraId="08EBA969" w14:textId="77777777" w:rsidR="001C617A" w:rsidRDefault="001C617A" w:rsidP="001C617A">
      <w:pPr>
        <w:pStyle w:val="NoSpacing"/>
        <w:ind w:firstLine="720"/>
      </w:pPr>
      <w:r>
        <w:t>the same person, Claimant, administered CPR on infants on each occasion.</w:t>
      </w:r>
    </w:p>
    <w:p w14:paraId="53CEDA77" w14:textId="77777777" w:rsidR="001C617A" w:rsidRDefault="001C617A" w:rsidP="001C617A">
      <w:pPr>
        <w:pStyle w:val="NoSpacing"/>
        <w:ind w:firstLine="720"/>
      </w:pPr>
    </w:p>
    <w:p w14:paraId="419FDF59" w14:textId="77777777" w:rsidR="001C617A" w:rsidRPr="00873946" w:rsidRDefault="001C617A" w:rsidP="001C617A">
      <w:pPr>
        <w:pStyle w:val="NoSpacing"/>
        <w:ind w:firstLine="720"/>
      </w:pPr>
      <w:r>
        <w:t>***</w:t>
      </w:r>
    </w:p>
    <w:p w14:paraId="2D482430" w14:textId="77777777" w:rsidR="001C617A" w:rsidRDefault="001C617A" w:rsidP="001C617A">
      <w:pPr>
        <w:pStyle w:val="NoSpacing"/>
      </w:pPr>
    </w:p>
    <w:p w14:paraId="43A10A86" w14:textId="77777777" w:rsidR="001C617A" w:rsidRDefault="001C617A" w:rsidP="001C617A">
      <w:pPr>
        <w:pStyle w:val="NoSpacing"/>
        <w:ind w:left="720"/>
      </w:pPr>
      <w:r>
        <w:t>During the first event, in November 2018, Claimant responded to a report of cardiac arrest for a two-week-old infant. Claimant performed CPR on the infant, assisted by paramedics. Despite Claimant’s efforts, he was unable to bring the baby back. Claimant continued to work for Employer but suffered from mental issues related to the first incident.</w:t>
      </w:r>
    </w:p>
    <w:p w14:paraId="141D7C4B" w14:textId="77777777" w:rsidR="001C617A" w:rsidRDefault="001C617A" w:rsidP="001C617A">
      <w:pPr>
        <w:pStyle w:val="NoSpacing"/>
      </w:pPr>
    </w:p>
    <w:p w14:paraId="4A35F2E8" w14:textId="77777777" w:rsidR="001C617A" w:rsidRDefault="001C617A" w:rsidP="001C617A">
      <w:pPr>
        <w:pStyle w:val="NoSpacing"/>
        <w:ind w:left="720"/>
      </w:pPr>
      <w:r>
        <w:t xml:space="preserve">During the second event, in May 2021, a father brought a nine-month-old infant who was not breathing into the fire station. Claimant and co-workers performed CPR on the nine-month-old baby, who was not revived. After the second incident, Claimant’s mental health symptoms intensified, and he left his duties as a </w:t>
      </w:r>
      <w:proofErr w:type="gramStart"/>
      <w:r>
        <w:t>firefighter.”</w:t>
      </w:r>
      <w:proofErr w:type="gramEnd"/>
    </w:p>
    <w:p w14:paraId="12B487D3" w14:textId="77777777" w:rsidR="001C617A" w:rsidRDefault="001C617A" w:rsidP="001C617A">
      <w:pPr>
        <w:pStyle w:val="NoSpacing"/>
        <w:ind w:left="720"/>
      </w:pPr>
    </w:p>
    <w:p w14:paraId="32CB5F74" w14:textId="7B1E5972" w:rsidR="001C617A" w:rsidRPr="00237F1C" w:rsidRDefault="001C617A" w:rsidP="001C617A">
      <w:pPr>
        <w:pStyle w:val="NoSpacing"/>
        <w:rPr>
          <w:b/>
          <w:bCs/>
        </w:rPr>
      </w:pPr>
      <w:r w:rsidRPr="00237F1C">
        <w:rPr>
          <w:b/>
        </w:rPr>
        <w:t xml:space="preserve">Lesson learned: </w:t>
      </w:r>
      <w:r>
        <w:rPr>
          <w:b/>
        </w:rPr>
        <w:t xml:space="preserve"> The firefighter proved the two infant CPR incidents were “abnormal” for his fire department.</w:t>
      </w:r>
    </w:p>
    <w:p w14:paraId="3F19A8A7" w14:textId="77777777" w:rsidR="001C617A" w:rsidRPr="00873946" w:rsidRDefault="001C617A" w:rsidP="001C617A">
      <w:pPr>
        <w:pStyle w:val="NoSpacing"/>
      </w:pPr>
    </w:p>
    <w:p w14:paraId="5667DB65" w14:textId="77777777" w:rsidR="001C617A" w:rsidRDefault="001C617A" w:rsidP="001C617A">
      <w:pPr>
        <w:spacing w:after="0"/>
        <w:rPr>
          <w:sz w:val="20"/>
          <w:szCs w:val="20"/>
        </w:rPr>
      </w:pPr>
    </w:p>
    <w:p w14:paraId="69588B87" w14:textId="77777777" w:rsidR="001C617A" w:rsidRDefault="001C617A" w:rsidP="001C617A">
      <w:pPr>
        <w:spacing w:after="0"/>
        <w:rPr>
          <w:sz w:val="20"/>
          <w:szCs w:val="20"/>
        </w:rPr>
      </w:pPr>
    </w:p>
    <w:p w14:paraId="0D7767D1" w14:textId="68EF738F" w:rsidR="001C617A" w:rsidRDefault="00D92FBD" w:rsidP="00491756">
      <w:pPr>
        <w:pStyle w:val="NoSpacing"/>
        <w:rPr>
          <w:rFonts w:ascii="Arial Black" w:hAnsi="Arial Black"/>
          <w:sz w:val="24"/>
          <w:szCs w:val="24"/>
        </w:rPr>
      </w:pPr>
      <w:r>
        <w:rPr>
          <w:rFonts w:ascii="Arial Black" w:hAnsi="Arial Black"/>
          <w:sz w:val="24"/>
          <w:szCs w:val="24"/>
        </w:rPr>
        <w:t>15-44</w:t>
      </w:r>
    </w:p>
    <w:p w14:paraId="078C9BFD" w14:textId="77777777" w:rsidR="00D92FBD" w:rsidRDefault="00D92FBD" w:rsidP="00491756">
      <w:pPr>
        <w:pStyle w:val="NoSpacing"/>
        <w:rPr>
          <w:rFonts w:ascii="Arial Black" w:hAnsi="Arial Black"/>
          <w:sz w:val="24"/>
          <w:szCs w:val="24"/>
        </w:rPr>
      </w:pPr>
    </w:p>
    <w:p w14:paraId="47908250" w14:textId="66C55835" w:rsidR="008F05D1" w:rsidRDefault="008F05D1" w:rsidP="008F05D1">
      <w:pPr>
        <w:pStyle w:val="NoSpacing"/>
        <w:rPr>
          <w:rFonts w:ascii="Arial Black" w:hAnsi="Arial Black"/>
          <w:b/>
          <w:sz w:val="28"/>
          <w:szCs w:val="28"/>
        </w:rPr>
      </w:pPr>
      <w:r>
        <w:rPr>
          <w:rFonts w:ascii="Arial Black" w:hAnsi="Arial Black"/>
          <w:b/>
          <w:sz w:val="28"/>
          <w:szCs w:val="28"/>
        </w:rPr>
        <w:t xml:space="preserve">TN: PTSD – </w:t>
      </w:r>
      <w:r w:rsidR="00902336">
        <w:rPr>
          <w:rFonts w:ascii="Arial Black" w:hAnsi="Arial Black"/>
          <w:b/>
          <w:sz w:val="28"/>
          <w:szCs w:val="28"/>
        </w:rPr>
        <w:t>DENIED “</w:t>
      </w:r>
      <w:r w:rsidR="00973D14">
        <w:rPr>
          <w:rFonts w:ascii="Arial Black" w:hAnsi="Arial Black"/>
          <w:b/>
          <w:sz w:val="28"/>
          <w:szCs w:val="28"/>
        </w:rPr>
        <w:t>DISAB</w:t>
      </w:r>
      <w:r w:rsidR="00284724">
        <w:rPr>
          <w:rFonts w:ascii="Arial Black" w:hAnsi="Arial Black"/>
          <w:b/>
          <w:sz w:val="28"/>
          <w:szCs w:val="28"/>
        </w:rPr>
        <w:t xml:space="preserve">ILITY” </w:t>
      </w:r>
      <w:r>
        <w:rPr>
          <w:rFonts w:ascii="Arial Black" w:hAnsi="Arial Black"/>
          <w:b/>
          <w:sz w:val="28"/>
          <w:szCs w:val="28"/>
        </w:rPr>
        <w:t xml:space="preserve">PENSION / TRAUMA NOT “UNEXPECTED” </w:t>
      </w:r>
    </w:p>
    <w:p w14:paraId="025345A9" w14:textId="77777777" w:rsidR="00AE5515" w:rsidRDefault="00AE5515" w:rsidP="008F05D1">
      <w:pPr>
        <w:pStyle w:val="NoSpacing"/>
      </w:pPr>
    </w:p>
    <w:p w14:paraId="7F585762" w14:textId="06B5AA4F" w:rsidR="008F05D1" w:rsidRDefault="008F05D1" w:rsidP="008F05D1">
      <w:pPr>
        <w:pStyle w:val="NoSpacing"/>
      </w:pPr>
      <w:r>
        <w:t xml:space="preserve">On Oct. 13, 2025, in </w:t>
      </w:r>
      <w:r w:rsidRPr="005A20C3">
        <w:rPr>
          <w:u w:val="single"/>
        </w:rPr>
        <w:t xml:space="preserve">Matthew Long v. Chattanooga Fire </w:t>
      </w:r>
      <w:proofErr w:type="gramStart"/>
      <w:r w:rsidRPr="005A20C3">
        <w:rPr>
          <w:u w:val="single"/>
        </w:rPr>
        <w:t>And</w:t>
      </w:r>
      <w:proofErr w:type="gramEnd"/>
      <w:r w:rsidRPr="005A20C3">
        <w:rPr>
          <w:u w:val="single"/>
        </w:rPr>
        <w:t xml:space="preserve"> Police Pension</w:t>
      </w:r>
      <w:r>
        <w:t xml:space="preserve">, the Supreme Court of Tennessee a Knoxville held (5 to 0) that Board correctly denied </w:t>
      </w:r>
      <w:r w:rsidRPr="00B022C6">
        <w:t>disability pension benefit</w:t>
      </w:r>
      <w:r>
        <w:t>s to a 15-year firefighter after a hearing, since his PTSD did not arise from “unexpected” traumatic runs.  The Board consists of eight members: three active members of the police department, three active members of the fire department, the mayor or the mayor’s appointee, and a member appointed by the City Council. In February 2020, Mr. Long completed treatment at the Center</w:t>
      </w:r>
    </w:p>
    <w:p w14:paraId="7B1D415C" w14:textId="77777777" w:rsidR="008F05D1" w:rsidRDefault="008F05D1" w:rsidP="008F05D1">
      <w:pPr>
        <w:pStyle w:val="NoSpacing"/>
      </w:pPr>
      <w:r>
        <w:t>for Excellence in Maryland and then returned home. Mr. Long continued receiving care</w:t>
      </w:r>
    </w:p>
    <w:p w14:paraId="2C6162E1" w14:textId="77777777" w:rsidR="008F05D1" w:rsidRDefault="008F05D1" w:rsidP="008F05D1">
      <w:pPr>
        <w:pStyle w:val="NoSpacing"/>
      </w:pPr>
      <w:r>
        <w:t>from primary care providers but reported difficulty finding satisfactory follow-up mental</w:t>
      </w:r>
    </w:p>
    <w:p w14:paraId="2F1B2057" w14:textId="77777777" w:rsidR="008F05D1" w:rsidRDefault="008F05D1" w:rsidP="008F05D1">
      <w:pPr>
        <w:pStyle w:val="NoSpacing"/>
      </w:pPr>
      <w:r>
        <w:t xml:space="preserve">health care. In June 2020, FD had psychiatrist Dr. Keith Caruso again </w:t>
      </w:r>
      <w:proofErr w:type="gramStart"/>
      <w:r>
        <w:t>evaluate</w:t>
      </w:r>
      <w:proofErr w:type="gramEnd"/>
      <w:r>
        <w:t xml:space="preserve"> Mr. Long’s fitness for duty and he determined that Mr. Long was “permanently and totally disabled as a firefighter.”  The Court reversed both the trial court and the Court of Appeals, which had found Board term ambiguous, </w:t>
      </w:r>
      <w:proofErr w:type="gramStart"/>
      <w:r>
        <w:t>an</w:t>
      </w:r>
      <w:proofErr w:type="gramEnd"/>
      <w:r>
        <w:t xml:space="preserve"> applied the liberal construction doctrine to award benefits. </w:t>
      </w:r>
      <w:hyperlink r:id="rId2397" w:history="1">
        <w:r w:rsidRPr="002D5C71">
          <w:rPr>
            <w:rStyle w:val="Hyperlink"/>
          </w:rPr>
          <w:t>https://www.tncourts.gov/sites/default/files/OpinionsPDFVersion/Majority%20Opinion%20-%20E2022-01151-SC-R11-CV.pdf</w:t>
        </w:r>
      </w:hyperlink>
      <w:r>
        <w:t xml:space="preserve"> </w:t>
      </w:r>
    </w:p>
    <w:p w14:paraId="3EB471D6" w14:textId="77777777" w:rsidR="008F05D1" w:rsidRDefault="008F05D1" w:rsidP="008F05D1">
      <w:pPr>
        <w:pStyle w:val="NoSpacing"/>
      </w:pPr>
    </w:p>
    <w:p w14:paraId="2B7FFC7B" w14:textId="77777777" w:rsidR="008F05D1" w:rsidRDefault="008F05D1" w:rsidP="008F05D1">
      <w:pPr>
        <w:pStyle w:val="NoSpacing"/>
      </w:pPr>
      <w:r>
        <w:t>THE COURT HELD:</w:t>
      </w:r>
    </w:p>
    <w:p w14:paraId="6805B713" w14:textId="77777777" w:rsidR="008F05D1" w:rsidRDefault="008F05D1" w:rsidP="008F05D1">
      <w:pPr>
        <w:pStyle w:val="NoSpacing"/>
      </w:pPr>
    </w:p>
    <w:p w14:paraId="3E4D3D2D" w14:textId="77777777" w:rsidR="008F05D1" w:rsidRDefault="008F05D1" w:rsidP="008F05D1">
      <w:pPr>
        <w:pStyle w:val="NoSpacing"/>
        <w:ind w:left="720"/>
      </w:pPr>
      <w:r>
        <w:t>“At the heart of this dispute is the Policy requirement that, to be eligible for benefits, a mental health ‘disability [must be] a direct result of a traumatic event that is . . . unexpected.’ Specifically, what does it mean for a traumatic event to be “unexpected” as required by the Policy?</w:t>
      </w:r>
    </w:p>
    <w:p w14:paraId="3430C90E" w14:textId="77777777" w:rsidR="008F05D1" w:rsidRDefault="008F05D1" w:rsidP="008F05D1">
      <w:pPr>
        <w:pStyle w:val="NoSpacing"/>
      </w:pPr>
    </w:p>
    <w:p w14:paraId="4E9DF288" w14:textId="77777777" w:rsidR="008F05D1" w:rsidRDefault="008F05D1" w:rsidP="008F05D1">
      <w:pPr>
        <w:pStyle w:val="NoSpacing"/>
        <w:ind w:firstLine="720"/>
      </w:pPr>
      <w:r>
        <w:t>The Court of Appeals found the term ambiguous, applied the liberal construction</w:t>
      </w:r>
    </w:p>
    <w:p w14:paraId="1C6E1A15" w14:textId="77777777" w:rsidR="008F05D1" w:rsidRDefault="008F05D1" w:rsidP="008F05D1">
      <w:pPr>
        <w:pStyle w:val="NoSpacing"/>
        <w:ind w:firstLine="720"/>
      </w:pPr>
      <w:r>
        <w:t>doctrine, and then construed the Policy in favor of Mr. Long. Long, 2023 WL 8716539, at</w:t>
      </w:r>
    </w:p>
    <w:p w14:paraId="46EB66D4" w14:textId="77777777" w:rsidR="008F05D1" w:rsidRDefault="008F05D1" w:rsidP="008F05D1">
      <w:pPr>
        <w:pStyle w:val="NoSpacing"/>
        <w:ind w:firstLine="720"/>
      </w:pPr>
      <w:r>
        <w:t xml:space="preserve">*9–11. The Fund disputes the finding of ambiguity </w:t>
      </w:r>
      <w:proofErr w:type="gramStart"/>
      <w:r>
        <w:t>and also</w:t>
      </w:r>
      <w:proofErr w:type="gramEnd"/>
      <w:r>
        <w:t xml:space="preserve"> argues that the Court should</w:t>
      </w:r>
    </w:p>
    <w:p w14:paraId="4FD4ACA1" w14:textId="77777777" w:rsidR="008F05D1" w:rsidRPr="0081000D" w:rsidRDefault="008F05D1" w:rsidP="008F05D1">
      <w:pPr>
        <w:pStyle w:val="NoSpacing"/>
        <w:ind w:left="720"/>
      </w:pPr>
      <w:proofErr w:type="gramStart"/>
      <w:r>
        <w:t>defer</w:t>
      </w:r>
      <w:proofErr w:type="gramEnd"/>
      <w:r>
        <w:t xml:space="preserve"> to the Board’s interpretation of the Policy. We hold that the Policy is not ambiguous, and we interpret it according to its unambiguous plain meaning. </w:t>
      </w:r>
    </w:p>
    <w:p w14:paraId="2CEF7F9F" w14:textId="77777777" w:rsidR="008F05D1" w:rsidRDefault="008F05D1" w:rsidP="008F05D1">
      <w:pPr>
        <w:pStyle w:val="NoSpacing"/>
        <w:ind w:left="720"/>
      </w:pPr>
    </w:p>
    <w:p w14:paraId="7AFFB626" w14:textId="77777777" w:rsidR="008F05D1" w:rsidRDefault="008F05D1" w:rsidP="008F05D1">
      <w:pPr>
        <w:pStyle w:val="NoSpacing"/>
        <w:ind w:left="720"/>
      </w:pPr>
      <w:r>
        <w:t>***</w:t>
      </w:r>
    </w:p>
    <w:p w14:paraId="3EFBC345" w14:textId="77777777" w:rsidR="008F05D1" w:rsidRDefault="008F05D1" w:rsidP="008F05D1">
      <w:pPr>
        <w:pStyle w:val="NoSpacing"/>
        <w:ind w:left="720"/>
      </w:pPr>
      <w:r>
        <w:t xml:space="preserve">Matthew Long was employed as a firefighter with the Chattanooga Fire Department for fifteen years before he applied to the Chattanooga Fire and Police Pension </w:t>
      </w:r>
      <w:proofErr w:type="gramStart"/>
      <w:r>
        <w:t>Fund (‘</w:t>
      </w:r>
      <w:proofErr w:type="gramEnd"/>
      <w:r>
        <w:t xml:space="preserve">Fund’) </w:t>
      </w:r>
      <w:proofErr w:type="gramStart"/>
      <w:r>
        <w:t>for disability</w:t>
      </w:r>
      <w:proofErr w:type="gramEnd"/>
      <w:r>
        <w:t xml:space="preserve"> pension benefits. The denial of Mr. Long’s application is the subject of this appeal.</w:t>
      </w:r>
    </w:p>
    <w:p w14:paraId="5B7F0475" w14:textId="77777777" w:rsidR="008F05D1" w:rsidRDefault="008F05D1" w:rsidP="008F05D1">
      <w:pPr>
        <w:pStyle w:val="NoSpacing"/>
        <w:ind w:left="720"/>
      </w:pPr>
    </w:p>
    <w:p w14:paraId="32DAE6E7" w14:textId="77777777" w:rsidR="008F05D1" w:rsidRPr="00614036" w:rsidRDefault="008F05D1" w:rsidP="008F05D1">
      <w:pPr>
        <w:pStyle w:val="NoSpacing"/>
        <w:ind w:left="720"/>
      </w:pPr>
      <w:r>
        <w:t>***</w:t>
      </w:r>
    </w:p>
    <w:p w14:paraId="12D90310" w14:textId="77777777" w:rsidR="008F05D1" w:rsidRDefault="008F05D1" w:rsidP="008F05D1">
      <w:pPr>
        <w:pStyle w:val="NoSpacing"/>
        <w:ind w:firstLine="720"/>
      </w:pPr>
      <w:r>
        <w:t xml:space="preserve">Mr. Long responded to many </w:t>
      </w:r>
      <w:proofErr w:type="gramStart"/>
      <w:r>
        <w:t>emergency</w:t>
      </w:r>
      <w:proofErr w:type="gramEnd"/>
      <w:r>
        <w:t xml:space="preserve"> calls over the course of his career. This</w:t>
      </w:r>
    </w:p>
    <w:p w14:paraId="2A5739CE" w14:textId="77777777" w:rsidR="008F05D1" w:rsidRDefault="008F05D1" w:rsidP="008F05D1">
      <w:pPr>
        <w:pStyle w:val="NoSpacing"/>
        <w:ind w:firstLine="720"/>
      </w:pPr>
      <w:r>
        <w:t>case focuses on four traumatic events that Mr. Long identifies as contributing to his</w:t>
      </w:r>
    </w:p>
    <w:p w14:paraId="6F516821" w14:textId="77777777" w:rsidR="008F05D1" w:rsidRDefault="008F05D1" w:rsidP="008F05D1">
      <w:pPr>
        <w:pStyle w:val="NoSpacing"/>
        <w:ind w:firstLine="720"/>
      </w:pPr>
      <w:r>
        <w:t>disability.1 We will discuss them in the order they occurred.</w:t>
      </w:r>
    </w:p>
    <w:p w14:paraId="2114A118" w14:textId="77777777" w:rsidR="008F05D1" w:rsidRDefault="008F05D1" w:rsidP="008F05D1">
      <w:pPr>
        <w:pStyle w:val="NoSpacing"/>
      </w:pPr>
    </w:p>
    <w:p w14:paraId="2F74C6CC" w14:textId="77777777" w:rsidR="008F05D1" w:rsidRDefault="008F05D1" w:rsidP="008F05D1">
      <w:pPr>
        <w:pStyle w:val="NoSpacing"/>
        <w:ind w:firstLine="720"/>
      </w:pPr>
      <w:r>
        <w:t>The first event Mr. Long identified was a car accident near the Bailey-Willow</w:t>
      </w:r>
    </w:p>
    <w:p w14:paraId="2DFB58FA" w14:textId="77777777" w:rsidR="008F05D1" w:rsidRDefault="008F05D1" w:rsidP="008F05D1">
      <w:pPr>
        <w:pStyle w:val="NoSpacing"/>
        <w:ind w:left="720"/>
      </w:pPr>
      <w:r>
        <w:t>intersection in 2008. Mr. Long was called to the scene of a car wreck involving a mother and three children. Mr. Long testified that the mother had run a red-light and been T-boned by an SUV. The children, including an infant in a car seat, were not buckled in when the wreck occurred. Mr. Long rendered aid to the infant whose skull had been crushed after the car seat bounced around the car as well as to a young girl who had been thrown out of the car. Two of the three children died from their injuries. Mr. Long noted that this incident was deeply troubling to all the firefighters who were on the call and that it was particularly hard for him because his children were about the same age as the children in the wreck.</w:t>
      </w:r>
    </w:p>
    <w:p w14:paraId="1E9132A2" w14:textId="77777777" w:rsidR="008F05D1" w:rsidRDefault="008F05D1" w:rsidP="008F05D1">
      <w:pPr>
        <w:pStyle w:val="NoSpacing"/>
      </w:pPr>
    </w:p>
    <w:p w14:paraId="43503317" w14:textId="77777777" w:rsidR="008F05D1" w:rsidRDefault="008F05D1" w:rsidP="008F05D1">
      <w:pPr>
        <w:pStyle w:val="NoSpacing"/>
        <w:ind w:firstLine="720"/>
      </w:pPr>
      <w:r>
        <w:t>The second event Mr. Long identified was the Highland Park fire in 2013. Mr. Long</w:t>
      </w:r>
    </w:p>
    <w:p w14:paraId="76C4C2B5" w14:textId="77777777" w:rsidR="008F05D1" w:rsidRDefault="008F05D1" w:rsidP="008F05D1">
      <w:pPr>
        <w:pStyle w:val="NoSpacing"/>
        <w:ind w:firstLine="720"/>
      </w:pPr>
      <w:r>
        <w:t>was called to a fire at an apartment where two children were trapped in the burning</w:t>
      </w:r>
    </w:p>
    <w:p w14:paraId="756E9349" w14:textId="77777777" w:rsidR="008F05D1" w:rsidRDefault="008F05D1" w:rsidP="008F05D1">
      <w:pPr>
        <w:pStyle w:val="NoSpacing"/>
        <w:ind w:firstLine="720"/>
      </w:pPr>
      <w:r>
        <w:t>building. Mr. Long rendered aid to one of the children and remembered that the child’s</w:t>
      </w:r>
    </w:p>
    <w:p w14:paraId="2E154956" w14:textId="77777777" w:rsidR="008F05D1" w:rsidRDefault="008F05D1" w:rsidP="008F05D1">
      <w:pPr>
        <w:pStyle w:val="NoSpacing"/>
        <w:ind w:firstLine="720"/>
      </w:pPr>
      <w:r>
        <w:t>hair was ‘sloughing off,’ his ‘skin was hanging,’ and he was ‘covered in soot.’ Mr. Long</w:t>
      </w:r>
    </w:p>
    <w:p w14:paraId="01AB3ECA" w14:textId="77777777" w:rsidR="008F05D1" w:rsidRDefault="008F05D1" w:rsidP="008F05D1">
      <w:pPr>
        <w:pStyle w:val="NoSpacing"/>
        <w:ind w:firstLine="720"/>
      </w:pPr>
      <w:r>
        <w:t>and the other firefighters revived the child and then sent him in an ambulance for further</w:t>
      </w:r>
    </w:p>
    <w:p w14:paraId="219476FE" w14:textId="77777777" w:rsidR="008F05D1" w:rsidRDefault="008F05D1" w:rsidP="008F05D1">
      <w:pPr>
        <w:pStyle w:val="NoSpacing"/>
        <w:ind w:left="720"/>
      </w:pPr>
      <w:r>
        <w:t>treatment. Unfortunately, the other child died at the scene. Mr. Long also discussed the aftermath of the Highland Park fire. More than a year after the fire, the surviving child came to visit the fire station to thank Mr. Long and the other firefighters. Mr. Long did not know in advance that the child was coming to visit, and the child was “so disfigured that . . . it was something that stuck with [Mr. Long].” Mr. Long also testified that he rarely learned anything about the people he helped and the child “was one of the few” he ever saw again.</w:t>
      </w:r>
    </w:p>
    <w:p w14:paraId="57A5BD2D" w14:textId="77777777" w:rsidR="008F05D1" w:rsidRDefault="008F05D1" w:rsidP="008F05D1">
      <w:pPr>
        <w:pStyle w:val="NoSpacing"/>
      </w:pPr>
    </w:p>
    <w:p w14:paraId="0C573C18" w14:textId="77777777" w:rsidR="008F05D1" w:rsidRDefault="008F05D1" w:rsidP="008F05D1">
      <w:pPr>
        <w:pStyle w:val="NoSpacing"/>
        <w:ind w:firstLine="720"/>
      </w:pPr>
      <w:r>
        <w:t>The third event was a pedestrian being struck by a car.2 Mr. Long was one of the</w:t>
      </w:r>
    </w:p>
    <w:p w14:paraId="09A928E8" w14:textId="77777777" w:rsidR="008F05D1" w:rsidRDefault="008F05D1" w:rsidP="008F05D1">
      <w:pPr>
        <w:pStyle w:val="NoSpacing"/>
        <w:ind w:firstLine="720"/>
      </w:pPr>
      <w:r>
        <w:t>responders to an accident where a man was hit by a car while pushing his girlfriend out of</w:t>
      </w:r>
    </w:p>
    <w:p w14:paraId="39930AFF" w14:textId="77777777" w:rsidR="008F05D1" w:rsidRDefault="008F05D1" w:rsidP="008F05D1">
      <w:pPr>
        <w:pStyle w:val="NoSpacing"/>
        <w:ind w:firstLine="720"/>
      </w:pPr>
      <w:r>
        <w:t>the way. The man died on the scene after “spitting out pieces of his lungs.” Mr. Long</w:t>
      </w:r>
    </w:p>
    <w:p w14:paraId="5919B3C0" w14:textId="77777777" w:rsidR="008F05D1" w:rsidRDefault="008F05D1" w:rsidP="008F05D1">
      <w:pPr>
        <w:pStyle w:val="NoSpacing"/>
        <w:ind w:firstLine="720"/>
      </w:pPr>
      <w:r>
        <w:t>found this particularly troubling because the man’s friends and girlfriend were asking Mr.</w:t>
      </w:r>
    </w:p>
    <w:p w14:paraId="4A11A1CB" w14:textId="77777777" w:rsidR="008F05D1" w:rsidRDefault="008F05D1" w:rsidP="008F05D1">
      <w:pPr>
        <w:pStyle w:val="NoSpacing"/>
        <w:ind w:firstLine="720"/>
      </w:pPr>
      <w:r>
        <w:t>Long if the man would be okay.</w:t>
      </w:r>
    </w:p>
    <w:p w14:paraId="2178C8CE" w14:textId="77777777" w:rsidR="008F05D1" w:rsidRDefault="008F05D1" w:rsidP="008F05D1">
      <w:pPr>
        <w:pStyle w:val="NoSpacing"/>
      </w:pPr>
    </w:p>
    <w:p w14:paraId="31BC5B6E" w14:textId="77777777" w:rsidR="008F05D1" w:rsidRDefault="008F05D1" w:rsidP="008F05D1">
      <w:pPr>
        <w:pStyle w:val="NoSpacing"/>
        <w:ind w:firstLine="720"/>
      </w:pPr>
      <w:r>
        <w:t>The fourth event was an encounter with an armed man in July 2019. Mr. Long and</w:t>
      </w:r>
    </w:p>
    <w:p w14:paraId="220C6793" w14:textId="77777777" w:rsidR="008F05D1" w:rsidRDefault="008F05D1" w:rsidP="008F05D1">
      <w:pPr>
        <w:pStyle w:val="NoSpacing"/>
        <w:ind w:left="720"/>
      </w:pPr>
      <w:r>
        <w:t>other firefighters responded to a call that an elderly woman had fallen. When they arrived, Mr. Long came upon a man cutting pills. The man had a handgun out on the table and looked at Mr. Long in a way that made him feel threatened, particularly because the call was without police backup. Mr. Long testified of this encounter, “I’ve seen people with guns and different things, but at this moment I was done.” This event occurred around the time that Mr. Long began mental health treatment.</w:t>
      </w:r>
    </w:p>
    <w:p w14:paraId="50EE395C" w14:textId="77777777" w:rsidR="008F05D1" w:rsidRDefault="008F05D1" w:rsidP="008F05D1">
      <w:pPr>
        <w:pStyle w:val="NoSpacing"/>
      </w:pPr>
    </w:p>
    <w:p w14:paraId="5E1B58C9" w14:textId="77777777" w:rsidR="008F05D1" w:rsidRDefault="008F05D1" w:rsidP="008F05D1">
      <w:pPr>
        <w:pStyle w:val="NoSpacing"/>
      </w:pPr>
      <w:r>
        <w:tab/>
        <w:t>***</w:t>
      </w:r>
    </w:p>
    <w:p w14:paraId="5A29F31B" w14:textId="77777777" w:rsidR="008F05D1" w:rsidRDefault="008F05D1" w:rsidP="008F05D1">
      <w:pPr>
        <w:pStyle w:val="NoSpacing"/>
      </w:pPr>
    </w:p>
    <w:p w14:paraId="166035B8" w14:textId="77777777" w:rsidR="008F05D1" w:rsidRDefault="008F05D1" w:rsidP="008F05D1">
      <w:pPr>
        <w:pStyle w:val="NoSpacing"/>
        <w:ind w:left="720"/>
      </w:pPr>
      <w:r>
        <w:t xml:space="preserve">There is little evidence that the events causing Mr. Long’s PTSD were ‘unexpected,’ and there is significant evidence that the events were expected. There is certainly ‘more than a scintilla of evidence’  to support the Board’s decision. The Policy placed the burden of proof on Mr. Long to show that the events causing his PTSD were unexpected, and our review of the record yields little evidence that he met that burden. Accordingly, we find that the Board’s decision is supported by substantial and material evidence in the record and there is ample basis for a reasonable person to reach the same </w:t>
      </w:r>
      <w:proofErr w:type="gramStart"/>
      <w:r>
        <w:t>conclusion.”</w:t>
      </w:r>
      <w:proofErr w:type="gramEnd"/>
    </w:p>
    <w:p w14:paraId="03F97E55" w14:textId="77777777" w:rsidR="008F05D1" w:rsidRDefault="008F05D1" w:rsidP="008F05D1">
      <w:pPr>
        <w:pStyle w:val="NoSpacing"/>
        <w:ind w:left="720"/>
      </w:pPr>
    </w:p>
    <w:p w14:paraId="157035FC" w14:textId="0E41A0F2" w:rsidR="008F05D1" w:rsidRPr="006A66F3" w:rsidRDefault="008F05D1" w:rsidP="008F05D1">
      <w:pPr>
        <w:pStyle w:val="NoSpacing"/>
        <w:rPr>
          <w:b/>
          <w:bCs/>
        </w:rPr>
      </w:pPr>
      <w:r>
        <w:rPr>
          <w:b/>
        </w:rPr>
        <w:t xml:space="preserve">Lesson learned:  </w:t>
      </w:r>
      <w:r w:rsidR="0002141E">
        <w:rPr>
          <w:b/>
        </w:rPr>
        <w:t xml:space="preserve">The </w:t>
      </w:r>
      <w:r>
        <w:rPr>
          <w:b/>
        </w:rPr>
        <w:t xml:space="preserve">claimant failed to prove </w:t>
      </w:r>
      <w:r w:rsidR="0002141E">
        <w:rPr>
          <w:b/>
        </w:rPr>
        <w:t xml:space="preserve">his </w:t>
      </w:r>
      <w:r>
        <w:rPr>
          <w:b/>
        </w:rPr>
        <w:t xml:space="preserve">mental health </w:t>
      </w:r>
      <w:r w:rsidRPr="006A66F3">
        <w:rPr>
          <w:b/>
        </w:rPr>
        <w:t xml:space="preserve">disability </w:t>
      </w:r>
      <w:r w:rsidR="0002141E">
        <w:rPr>
          <w:b/>
        </w:rPr>
        <w:t xml:space="preserve"> was “</w:t>
      </w:r>
      <w:r w:rsidRPr="006A66F3">
        <w:rPr>
          <w:b/>
        </w:rPr>
        <w:t>a direct result of a traumatic event that is . . . unexpected.”</w:t>
      </w:r>
    </w:p>
    <w:p w14:paraId="0CD3B361" w14:textId="77777777" w:rsidR="008F05D1" w:rsidRPr="006A66F3" w:rsidRDefault="008F05D1" w:rsidP="008F05D1">
      <w:pPr>
        <w:pStyle w:val="NoSpacing"/>
        <w:ind w:left="720"/>
        <w:rPr>
          <w:b/>
          <w:bCs/>
        </w:rPr>
      </w:pPr>
    </w:p>
    <w:p w14:paraId="309557DF" w14:textId="77777777" w:rsidR="008F05D1" w:rsidRDefault="008F05D1" w:rsidP="008F05D1">
      <w:pPr>
        <w:pStyle w:val="NoSpacing"/>
        <w:ind w:left="720"/>
      </w:pPr>
      <w:r w:rsidRPr="00496071">
        <w:t xml:space="preserve"> Note: See Oct. 15, </w:t>
      </w:r>
      <w:proofErr w:type="gramStart"/>
      <w:r w:rsidRPr="00496071">
        <w:t>2025</w:t>
      </w:r>
      <w:proofErr w:type="gramEnd"/>
      <w:r w:rsidRPr="00496071">
        <w:t xml:space="preserve"> article, “Tenn. Supreme Court reinstates denial of PTSD benefits for former firefighter. “ </w:t>
      </w:r>
      <w:hyperlink r:id="rId2398" w:history="1">
        <w:r w:rsidRPr="00496071">
          <w:rPr>
            <w:rStyle w:val="Hyperlink"/>
          </w:rPr>
          <w:t>https://www.firerescue1.com/legal/tenn-supreme-court-reinstates-denial-of-ptsd-benefits-for-former-firefighter?utm_source=delivra&amp;utm_medium=email&amp;utm_campaign=FR1-Daily-10-15-25&amp;utm_id=9641961&amp;dlv-emuid=fed355b8-46a2-4fa4-b55c-4d602dde33c4&amp;dlv-mlid=964196</w:t>
        </w:r>
      </w:hyperlink>
      <w:r w:rsidRPr="00496071">
        <w:t xml:space="preserve"> </w:t>
      </w:r>
    </w:p>
    <w:p w14:paraId="386BF20C" w14:textId="77777777" w:rsidR="00F02AD2" w:rsidRDefault="00F02AD2" w:rsidP="00491756">
      <w:pPr>
        <w:pStyle w:val="NoSpacing"/>
        <w:rPr>
          <w:rFonts w:ascii="Arial Black" w:hAnsi="Arial Black"/>
          <w:sz w:val="24"/>
          <w:szCs w:val="24"/>
        </w:rPr>
      </w:pPr>
    </w:p>
    <w:p w14:paraId="2889E54C" w14:textId="77777777" w:rsidR="00F02AD2" w:rsidRDefault="00F02AD2" w:rsidP="00491756">
      <w:pPr>
        <w:pStyle w:val="NoSpacing"/>
        <w:rPr>
          <w:rFonts w:ascii="Arial Black" w:hAnsi="Arial Black"/>
          <w:sz w:val="24"/>
          <w:szCs w:val="24"/>
        </w:rPr>
      </w:pPr>
    </w:p>
    <w:p w14:paraId="04EC1605" w14:textId="77777777" w:rsidR="00F02AD2" w:rsidRDefault="00F02AD2" w:rsidP="00491756">
      <w:pPr>
        <w:pStyle w:val="NoSpacing"/>
        <w:rPr>
          <w:rFonts w:ascii="Arial Black" w:hAnsi="Arial Black"/>
          <w:sz w:val="24"/>
          <w:szCs w:val="24"/>
        </w:rPr>
      </w:pPr>
    </w:p>
    <w:p w14:paraId="5F3BA784" w14:textId="776368B7" w:rsidR="00F02AD2" w:rsidRDefault="00F02AD2" w:rsidP="00491756">
      <w:pPr>
        <w:pStyle w:val="NoSpacing"/>
        <w:rPr>
          <w:rFonts w:ascii="Arial Black" w:hAnsi="Arial Black"/>
          <w:sz w:val="24"/>
          <w:szCs w:val="24"/>
        </w:rPr>
      </w:pPr>
      <w:r>
        <w:rPr>
          <w:rFonts w:ascii="Arial Black" w:hAnsi="Arial Black"/>
          <w:sz w:val="24"/>
          <w:szCs w:val="24"/>
        </w:rPr>
        <w:t>15-4</w:t>
      </w:r>
      <w:r w:rsidR="00CF6AB5">
        <w:rPr>
          <w:rFonts w:ascii="Arial Black" w:hAnsi="Arial Black"/>
          <w:sz w:val="24"/>
          <w:szCs w:val="24"/>
        </w:rPr>
        <w:t>3</w:t>
      </w:r>
    </w:p>
    <w:p w14:paraId="374EF672" w14:textId="77777777" w:rsidR="00F02AD2" w:rsidRDefault="00F02AD2" w:rsidP="00491756">
      <w:pPr>
        <w:pStyle w:val="NoSpacing"/>
        <w:rPr>
          <w:rFonts w:ascii="Arial Black" w:hAnsi="Arial Black"/>
          <w:sz w:val="24"/>
          <w:szCs w:val="24"/>
        </w:rPr>
      </w:pPr>
    </w:p>
    <w:p w14:paraId="5E21C88E" w14:textId="77777777" w:rsidR="00876E96" w:rsidRDefault="00876E96" w:rsidP="00491756">
      <w:pPr>
        <w:pStyle w:val="NoSpacing"/>
        <w:rPr>
          <w:rFonts w:ascii="Arial Black" w:hAnsi="Arial Black"/>
          <w:sz w:val="24"/>
          <w:szCs w:val="24"/>
        </w:rPr>
      </w:pPr>
    </w:p>
    <w:p w14:paraId="60F6CBE0" w14:textId="77777777" w:rsidR="00876E96" w:rsidRDefault="00876E96" w:rsidP="00876E96">
      <w:pPr>
        <w:spacing w:after="0"/>
        <w:rPr>
          <w:rFonts w:ascii="Arial Black" w:hAnsi="Arial Black"/>
          <w:b/>
          <w:sz w:val="28"/>
          <w:szCs w:val="28"/>
        </w:rPr>
      </w:pPr>
      <w:bookmarkStart w:id="569" w:name="_Hlk212805120"/>
      <w:r>
        <w:rPr>
          <w:rFonts w:ascii="Arial Black" w:hAnsi="Arial Black"/>
          <w:b/>
          <w:sz w:val="28"/>
          <w:szCs w:val="28"/>
        </w:rPr>
        <w:t>NY: PTSD – GET “ORDINARY” DISAB – NOT “ACCIDENTAL”</w:t>
      </w:r>
    </w:p>
    <w:p w14:paraId="76F84017" w14:textId="77777777" w:rsidR="00876E96" w:rsidRDefault="00876E96" w:rsidP="00876E96">
      <w:pPr>
        <w:spacing w:after="0"/>
        <w:rPr>
          <w:bCs/>
        </w:rPr>
      </w:pPr>
    </w:p>
    <w:p w14:paraId="2CBFABE4" w14:textId="77777777" w:rsidR="00876E96" w:rsidRPr="005153BB" w:rsidRDefault="00876E96" w:rsidP="00876E96">
      <w:pPr>
        <w:spacing w:after="0"/>
        <w:rPr>
          <w:b/>
        </w:rPr>
      </w:pPr>
      <w:r w:rsidRPr="00CA4B2B">
        <w:t xml:space="preserve">On October 10, 2025, in </w:t>
      </w:r>
      <w:r w:rsidRPr="009C2E71">
        <w:rPr>
          <w:u w:val="single"/>
        </w:rPr>
        <w:t>Gordon Springs v. The New York City Fire Pension Fund</w:t>
      </w:r>
      <w:r>
        <w:rPr>
          <w:u w:val="single"/>
        </w:rPr>
        <w:t>, et al.</w:t>
      </w:r>
      <w:r>
        <w:t xml:space="preserve">, Judge  </w:t>
      </w:r>
      <w:r w:rsidRPr="00230706">
        <w:t>Lyle E. Frank</w:t>
      </w:r>
      <w:r>
        <w:t xml:space="preserve">, </w:t>
      </w:r>
      <w:r w:rsidRPr="000452AD">
        <w:t>Supreme Court, New York County</w:t>
      </w:r>
      <w:r>
        <w:t xml:space="preserve"> (unpublished decision) held that the Pension Board, while granting the retired firefighter ordinary disability benefits, properly denied him Accidental Disability Retirement (ADR). The case was first </w:t>
      </w:r>
      <w:proofErr w:type="gramStart"/>
      <w:r>
        <w:t>remanded</w:t>
      </w:r>
      <w:proofErr w:type="gramEnd"/>
      <w:r>
        <w:t xml:space="preserve"> to the Board, which reconfirmed its </w:t>
      </w:r>
      <w:proofErr w:type="gramStart"/>
      <w:r>
        <w:t>decision</w:t>
      </w:r>
      <w:proofErr w:type="gramEnd"/>
      <w:r>
        <w:t xml:space="preserve"> denying ADR.  </w:t>
      </w:r>
      <w:hyperlink r:id="rId2399" w:history="1">
        <w:r w:rsidRPr="00C117F2">
          <w:rPr>
            <w:rStyle w:val="Hyperlink"/>
          </w:rPr>
          <w:t>https://cases.justia.com/new-york/other-courts/2025-2025-ny-slip-op-33910-u.pdf?ts=1761341305</w:t>
        </w:r>
      </w:hyperlink>
      <w:bookmarkEnd w:id="569"/>
      <w:r w:rsidRPr="00C117F2">
        <w:t xml:space="preserve"> </w:t>
      </w:r>
    </w:p>
    <w:p w14:paraId="50321548" w14:textId="77777777" w:rsidR="00876E96" w:rsidRDefault="00876E96" w:rsidP="00876E96">
      <w:pPr>
        <w:spacing w:after="0"/>
        <w:rPr>
          <w:b/>
        </w:rPr>
      </w:pPr>
    </w:p>
    <w:p w14:paraId="2C6741A0" w14:textId="77777777" w:rsidR="00876E96" w:rsidRDefault="00876E96" w:rsidP="00876E96">
      <w:pPr>
        <w:spacing w:after="0"/>
        <w:rPr>
          <w:bCs/>
        </w:rPr>
      </w:pPr>
      <w:r>
        <w:t>THE COURT HELD:</w:t>
      </w:r>
    </w:p>
    <w:p w14:paraId="104D6222" w14:textId="77777777" w:rsidR="00876E96" w:rsidRDefault="00876E96" w:rsidP="00876E96">
      <w:pPr>
        <w:spacing w:after="0"/>
        <w:ind w:firstLine="720"/>
        <w:rPr>
          <w:bCs/>
        </w:rPr>
      </w:pPr>
    </w:p>
    <w:p w14:paraId="03BA5F03" w14:textId="77777777" w:rsidR="00876E96" w:rsidRPr="008A0293" w:rsidRDefault="00876E96" w:rsidP="00876E96">
      <w:pPr>
        <w:spacing w:after="0"/>
        <w:ind w:firstLine="720"/>
        <w:rPr>
          <w:bCs/>
        </w:rPr>
      </w:pPr>
      <w:r>
        <w:t>“</w:t>
      </w:r>
      <w:r w:rsidRPr="008A0293">
        <w:t xml:space="preserve">To receive ADR, a member must establish that they are </w:t>
      </w:r>
      <w:r>
        <w:t>‘</w:t>
      </w:r>
      <w:r w:rsidRPr="008A0293">
        <w:t>physically or mentally</w:t>
      </w:r>
    </w:p>
    <w:p w14:paraId="1FDBB375" w14:textId="77777777" w:rsidR="00876E96" w:rsidRPr="008A0293" w:rsidRDefault="00876E96" w:rsidP="00876E96">
      <w:pPr>
        <w:spacing w:after="0"/>
        <w:ind w:firstLine="720"/>
        <w:rPr>
          <w:bCs/>
        </w:rPr>
      </w:pPr>
      <w:r w:rsidRPr="008A0293">
        <w:t>incapacitated for the performance of city-service, as a natural and proximate result</w:t>
      </w:r>
      <w:r>
        <w:t>’</w:t>
      </w:r>
      <w:r w:rsidRPr="008A0293">
        <w:t xml:space="preserve"> of an</w:t>
      </w:r>
    </w:p>
    <w:p w14:paraId="4A806047" w14:textId="77777777" w:rsidR="00876E96" w:rsidRDefault="00876E96" w:rsidP="00876E96">
      <w:pPr>
        <w:spacing w:after="0"/>
        <w:ind w:firstLine="720"/>
        <w:rPr>
          <w:bCs/>
        </w:rPr>
      </w:pPr>
      <w:r w:rsidRPr="008A0293">
        <w:t>accidental injury received in such city-service. Administrative Code §13-353.</w:t>
      </w:r>
    </w:p>
    <w:p w14:paraId="39FA564A" w14:textId="77777777" w:rsidR="00876E96" w:rsidRDefault="00876E96" w:rsidP="00876E96">
      <w:pPr>
        <w:spacing w:after="0"/>
        <w:ind w:firstLine="720"/>
        <w:rPr>
          <w:bCs/>
        </w:rPr>
      </w:pPr>
    </w:p>
    <w:p w14:paraId="53CD2E32" w14:textId="77777777" w:rsidR="00876E96" w:rsidRDefault="00876E96" w:rsidP="00876E96">
      <w:pPr>
        <w:spacing w:after="0"/>
        <w:ind w:firstLine="720"/>
        <w:rPr>
          <w:bCs/>
        </w:rPr>
      </w:pPr>
      <w:r>
        <w:t>***</w:t>
      </w:r>
    </w:p>
    <w:p w14:paraId="017221CA" w14:textId="77777777" w:rsidR="00876E96" w:rsidRPr="00E529FB" w:rsidRDefault="00876E96" w:rsidP="00876E96">
      <w:pPr>
        <w:spacing w:after="0"/>
        <w:ind w:firstLine="720"/>
        <w:rPr>
          <w:bCs/>
        </w:rPr>
      </w:pPr>
      <w:r w:rsidRPr="00E529FB">
        <w:t>With respect to petitioner’s psychological disability, the Court similarly finds that</w:t>
      </w:r>
    </w:p>
    <w:p w14:paraId="1286EBE5" w14:textId="77777777" w:rsidR="00876E96" w:rsidRDefault="00876E96" w:rsidP="00876E96">
      <w:pPr>
        <w:spacing w:after="0"/>
        <w:ind w:left="720"/>
        <w:rPr>
          <w:bCs/>
        </w:rPr>
      </w:pPr>
      <w:r w:rsidRPr="00E529FB">
        <w:t>respondents, consistent with binding precedent, reasonably determined that it was not causally</w:t>
      </w:r>
      <w:r>
        <w:t xml:space="preserve"> </w:t>
      </w:r>
      <w:r w:rsidRPr="00E529FB">
        <w:t>related to his duties as a firefighter. See Smith v City of N.Y., 208 AD3d 1335 [2d Dept 2022]</w:t>
      </w:r>
      <w:r>
        <w:t xml:space="preserve"> </w:t>
      </w:r>
      <w:r w:rsidRPr="00E529FB">
        <w:t>(firefighter physically and sexually assaulted by two fellow firefighters and subsequently</w:t>
      </w:r>
      <w:r>
        <w:t xml:space="preserve"> </w:t>
      </w:r>
      <w:r w:rsidRPr="00E529FB">
        <w:t xml:space="preserve">developed PTSD in connection with </w:t>
      </w:r>
      <w:proofErr w:type="spellStart"/>
      <w:r w:rsidRPr="00E529FB">
        <w:t>assualt</w:t>
      </w:r>
      <w:proofErr w:type="spellEnd"/>
      <w:r w:rsidRPr="00E529FB">
        <w:t xml:space="preserve">); Picciurro v. Bd. of </w:t>
      </w:r>
      <w:proofErr w:type="spellStart"/>
      <w:r w:rsidRPr="00E529FB">
        <w:t>Trs</w:t>
      </w:r>
      <w:proofErr w:type="spellEnd"/>
      <w:r w:rsidRPr="00E529FB">
        <w:t>. of the N.Y.C. Police</w:t>
      </w:r>
      <w:r>
        <w:t xml:space="preserve"> </w:t>
      </w:r>
      <w:r w:rsidRPr="00E529FB">
        <w:t>Pension Fund, 46 AD3d 346, 348-49 [1st Dept 2007] (police officer suffered PTSD and</w:t>
      </w:r>
      <w:r>
        <w:t xml:space="preserve"> </w:t>
      </w:r>
      <w:r w:rsidRPr="00E529FB">
        <w:t>depression after humiliation, harassment and taunting by coworkers); Baird v Kelly, 25 AD3d</w:t>
      </w:r>
      <w:r>
        <w:t xml:space="preserve"> </w:t>
      </w:r>
      <w:r w:rsidRPr="00E529FB">
        <w:t>311, 313 [1st Dept 2006] (</w:t>
      </w:r>
      <w:r>
        <w:t>‘</w:t>
      </w:r>
      <w:r w:rsidRPr="00E529FB">
        <w:t>campaign of harassment does not constitute an accident</w:t>
      </w:r>
      <w:r>
        <w:t>’</w:t>
      </w:r>
      <w:r w:rsidRPr="00E529FB">
        <w:t>).</w:t>
      </w:r>
    </w:p>
    <w:p w14:paraId="5D147BCB" w14:textId="77777777" w:rsidR="00876E96" w:rsidRDefault="00876E96" w:rsidP="00876E96">
      <w:pPr>
        <w:spacing w:after="0"/>
        <w:ind w:left="720"/>
        <w:rPr>
          <w:bCs/>
        </w:rPr>
      </w:pPr>
    </w:p>
    <w:p w14:paraId="75DE0AA6" w14:textId="727777D4" w:rsidR="00876E96" w:rsidRDefault="00876E96" w:rsidP="00876E96">
      <w:pPr>
        <w:spacing w:after="0"/>
        <w:rPr>
          <w:b/>
        </w:rPr>
      </w:pPr>
      <w:r>
        <w:rPr>
          <w:b/>
        </w:rPr>
        <w:t xml:space="preserve">Lesson Learned: Under New York precedent, harassment does not constitute an accident. </w:t>
      </w:r>
    </w:p>
    <w:p w14:paraId="624B7A0A" w14:textId="77777777" w:rsidR="00876E96" w:rsidRDefault="00876E96" w:rsidP="00876E96">
      <w:pPr>
        <w:spacing w:after="0"/>
        <w:rPr>
          <w:b/>
        </w:rPr>
      </w:pPr>
    </w:p>
    <w:p w14:paraId="0495B5AB" w14:textId="77777777" w:rsidR="00876E96" w:rsidRDefault="00876E96" w:rsidP="00876E96">
      <w:pPr>
        <w:pStyle w:val="NoSpacing"/>
        <w:ind w:left="720"/>
      </w:pPr>
      <w:r w:rsidRPr="0065117A">
        <w:t xml:space="preserve">Note: </w:t>
      </w:r>
      <w:r>
        <w:t xml:space="preserve"> See plaintiff’s Feb. 8, </w:t>
      </w:r>
      <w:proofErr w:type="gramStart"/>
      <w:r>
        <w:t>2000</w:t>
      </w:r>
      <w:proofErr w:type="gramEnd"/>
      <w:r>
        <w:t xml:space="preserve"> Complaint where he alleged harassment as a Black, Muslim firefighter. </w:t>
      </w:r>
      <w:hyperlink r:id="rId2400" w:history="1">
        <w:r w:rsidRPr="00E52E8B">
          <w:rPr>
            <w:rStyle w:val="Hyperlink"/>
            <w:b/>
          </w:rPr>
          <w:t>file:///C:/Users/lawre/Downloads/US_DIS_NYSD_1_19cv11555_COMPLAINT_against_City_of_New_York_City_of_New_Yor.pdf</w:t>
        </w:r>
      </w:hyperlink>
      <w:r>
        <w:t xml:space="preserve"> </w:t>
      </w:r>
    </w:p>
    <w:p w14:paraId="7E670109" w14:textId="77777777" w:rsidR="00876E96" w:rsidRPr="0065117A" w:rsidRDefault="00876E96" w:rsidP="00876E96">
      <w:pPr>
        <w:spacing w:after="0"/>
        <w:ind w:left="720"/>
        <w:rPr>
          <w:bCs/>
        </w:rPr>
      </w:pPr>
      <w:r>
        <w:t xml:space="preserve"> </w:t>
      </w:r>
    </w:p>
    <w:p w14:paraId="509FC502" w14:textId="77777777" w:rsidR="00876E96" w:rsidRPr="000452AD" w:rsidRDefault="00876E96" w:rsidP="00876E96">
      <w:pPr>
        <w:spacing w:after="0"/>
        <w:rPr>
          <w:bCs/>
        </w:rPr>
      </w:pPr>
    </w:p>
    <w:p w14:paraId="04F92309" w14:textId="1B2B9424" w:rsidR="00491756" w:rsidRDefault="00491756" w:rsidP="000C4DF5">
      <w:pPr>
        <w:pStyle w:val="NoSpacing"/>
        <w:rPr>
          <w:rFonts w:ascii="Arial Black" w:hAnsi="Arial Black"/>
          <w:sz w:val="24"/>
          <w:szCs w:val="24"/>
        </w:rPr>
      </w:pPr>
    </w:p>
    <w:p w14:paraId="76320291" w14:textId="77777777" w:rsidR="00491756" w:rsidRDefault="00491756" w:rsidP="000C4DF5">
      <w:pPr>
        <w:pStyle w:val="NoSpacing"/>
        <w:rPr>
          <w:rFonts w:ascii="Arial Black" w:hAnsi="Arial Black"/>
          <w:sz w:val="24"/>
          <w:szCs w:val="24"/>
        </w:rPr>
      </w:pPr>
    </w:p>
    <w:p w14:paraId="6A909376" w14:textId="64C1B462" w:rsidR="00A93EB6" w:rsidRDefault="00A93EB6" w:rsidP="000C4DF5">
      <w:pPr>
        <w:pStyle w:val="NoSpacing"/>
        <w:rPr>
          <w:rFonts w:ascii="Arial Black" w:hAnsi="Arial Black"/>
          <w:sz w:val="24"/>
          <w:szCs w:val="24"/>
        </w:rPr>
      </w:pPr>
      <w:r>
        <w:rPr>
          <w:rFonts w:ascii="Arial Black" w:hAnsi="Arial Black"/>
          <w:sz w:val="24"/>
          <w:szCs w:val="24"/>
        </w:rPr>
        <w:t>15-42</w:t>
      </w:r>
    </w:p>
    <w:p w14:paraId="7531E8F3" w14:textId="77777777" w:rsidR="00A93EB6" w:rsidRDefault="00A93EB6" w:rsidP="000C4DF5">
      <w:pPr>
        <w:pStyle w:val="NoSpacing"/>
        <w:rPr>
          <w:rFonts w:ascii="Arial Black" w:hAnsi="Arial Black"/>
          <w:sz w:val="24"/>
          <w:szCs w:val="24"/>
        </w:rPr>
      </w:pPr>
    </w:p>
    <w:p w14:paraId="71EC53F1" w14:textId="77777777" w:rsidR="00A93EB6" w:rsidRPr="004D227C" w:rsidRDefault="00A93EB6" w:rsidP="00A93EB6">
      <w:pPr>
        <w:rPr>
          <w:rFonts w:ascii="Arial Black" w:hAnsi="Arial Black"/>
          <w:sz w:val="28"/>
          <w:szCs w:val="28"/>
        </w:rPr>
      </w:pPr>
      <w:r>
        <w:rPr>
          <w:rFonts w:ascii="Arial Black" w:hAnsi="Arial Black"/>
          <w:sz w:val="28"/>
          <w:szCs w:val="28"/>
        </w:rPr>
        <w:t>IL: CHICAGO – PSYCHOLOGICAL “SUITABILITY SCREENING”</w:t>
      </w:r>
    </w:p>
    <w:p w14:paraId="5A11A4CE" w14:textId="125D2DFA" w:rsidR="00A93EB6" w:rsidRPr="000449B4" w:rsidRDefault="00A93EB6" w:rsidP="00A93EB6">
      <w:pPr>
        <w:pStyle w:val="NoSpacing"/>
        <w:rPr>
          <w:rFonts w:ascii="Times New Roman" w:hAnsi="Times New Roman"/>
          <w:sz w:val="24"/>
          <w:szCs w:val="24"/>
        </w:rPr>
      </w:pPr>
      <w:r w:rsidRPr="000449B4">
        <w:rPr>
          <w:rFonts w:ascii="Times New Roman" w:hAnsi="Times New Roman"/>
          <w:sz w:val="24"/>
          <w:szCs w:val="24"/>
        </w:rPr>
        <w:t xml:space="preserve">On July 1, 2025, in </w:t>
      </w:r>
      <w:r w:rsidRPr="000449B4">
        <w:rPr>
          <w:rFonts w:ascii="Times New Roman" w:hAnsi="Times New Roman"/>
          <w:sz w:val="24"/>
          <w:szCs w:val="24"/>
          <w:u w:val="single"/>
        </w:rPr>
        <w:t>Nicholas Sintos v. City of Chicago</w:t>
      </w:r>
      <w:r w:rsidRPr="000449B4">
        <w:rPr>
          <w:rFonts w:ascii="Times New Roman" w:hAnsi="Times New Roman"/>
          <w:sz w:val="24"/>
          <w:szCs w:val="24"/>
        </w:rPr>
        <w:t xml:space="preserve">, U.S. District Court Judge Sara L. Ellis, United States District Court for Northern District of Illinois (Eastern Divion) held that plaintiff, who in February 2019 was rejected by the Chicago Fire Department’s Medical Director after undergoing a “psychological suitability screening” may proceed with his ADA lawsuit.  In 2020, the </w:t>
      </w:r>
      <w:proofErr w:type="gramStart"/>
      <w:r w:rsidRPr="000449B4">
        <w:rPr>
          <w:rFonts w:ascii="Times New Roman" w:hAnsi="Times New Roman"/>
          <w:sz w:val="24"/>
          <w:szCs w:val="24"/>
        </w:rPr>
        <w:t>City</w:t>
      </w:r>
      <w:proofErr w:type="gramEnd"/>
      <w:r w:rsidRPr="000449B4">
        <w:rPr>
          <w:rFonts w:ascii="Times New Roman" w:hAnsi="Times New Roman"/>
          <w:sz w:val="24"/>
          <w:szCs w:val="24"/>
        </w:rPr>
        <w:t xml:space="preserve"> stopped using this screening for applicants with mental health history.  THE COUT HELD:  “Dr. Wong also referred </w:t>
      </w:r>
      <w:proofErr w:type="spellStart"/>
      <w:r w:rsidRPr="000449B4">
        <w:rPr>
          <w:rFonts w:ascii="Times New Roman" w:hAnsi="Times New Roman"/>
          <w:sz w:val="24"/>
          <w:szCs w:val="24"/>
        </w:rPr>
        <w:t>Sintos</w:t>
      </w:r>
      <w:proofErr w:type="spellEnd"/>
      <w:r w:rsidRPr="000449B4">
        <w:rPr>
          <w:rFonts w:ascii="Times New Roman" w:hAnsi="Times New Roman"/>
          <w:sz w:val="24"/>
          <w:szCs w:val="24"/>
        </w:rPr>
        <w:t xml:space="preserve"> for a psychological suitability screening administered by Dr. Diana Goldstein of the Isaac Ray Forensic Group. The screening consisted of a twenty-three-page biographical questionnaire, two psychometric exams (the Minnesota Multiphasic Personality Inventory, revised (“MMPI-2”): Public Safety Module, and the Personality Assessment Inventory: Law Enforcement, Corrections and Public Safety Selection Report (“PAI”)), and an interview…. Dr. Goldstein rated individuals as acceptable, acceptable with reservations, or unacceptable. An unacceptable finding [rating she gave to plaintiff] on the screening meant that the candidate's results did not look like those of a sample group of individuals who completed the probationary period…. The parties agree that the second [ADA] element, whether </w:t>
      </w:r>
      <w:proofErr w:type="spellStart"/>
      <w:r w:rsidRPr="000449B4">
        <w:rPr>
          <w:rFonts w:ascii="Times New Roman" w:hAnsi="Times New Roman"/>
          <w:sz w:val="24"/>
          <w:szCs w:val="24"/>
        </w:rPr>
        <w:t>Sintos</w:t>
      </w:r>
      <w:proofErr w:type="spellEnd"/>
      <w:r w:rsidRPr="000449B4">
        <w:rPr>
          <w:rFonts w:ascii="Times New Roman" w:hAnsi="Times New Roman"/>
          <w:sz w:val="24"/>
          <w:szCs w:val="24"/>
        </w:rPr>
        <w:t xml:space="preserve"> was qualified to perform the essential functions of a firefighter/EMT with or without a reasonable accommodation, remains a question for the jury.”  </w:t>
      </w:r>
      <w:hyperlink r:id="rId2401" w:history="1">
        <w:r w:rsidRPr="000449B4">
          <w:rPr>
            <w:rStyle w:val="Hyperlink"/>
            <w:rFonts w:ascii="Times New Roman" w:hAnsi="Times New Roman"/>
            <w:sz w:val="24"/>
            <w:szCs w:val="24"/>
          </w:rPr>
          <w:t>https://cases.justia.com/federal/district-courts/illinois/ilndce/1:2021cv05327/407800/161/0.pdf?ts=1751450196</w:t>
        </w:r>
      </w:hyperlink>
    </w:p>
    <w:p w14:paraId="765E9D30" w14:textId="77777777" w:rsidR="000449B4" w:rsidRPr="000449B4" w:rsidRDefault="000449B4" w:rsidP="000449B4">
      <w:pPr>
        <w:rPr>
          <w:rFonts w:ascii="Times New Roman" w:hAnsi="Times New Roman"/>
          <w:b/>
          <w:bCs/>
          <w:sz w:val="24"/>
          <w:szCs w:val="24"/>
        </w:rPr>
      </w:pPr>
      <w:r w:rsidRPr="000449B4">
        <w:rPr>
          <w:rFonts w:ascii="Times New Roman" w:hAnsi="Times New Roman"/>
          <w:b/>
          <w:sz w:val="24"/>
          <w:szCs w:val="24"/>
        </w:rPr>
        <w:t xml:space="preserve">Legal lesson learned: The case will now go to a jury trial unless the parties settle.  </w:t>
      </w:r>
    </w:p>
    <w:p w14:paraId="1A2E1EC1" w14:textId="77777777" w:rsidR="000449B4" w:rsidRDefault="000449B4" w:rsidP="00A93EB6">
      <w:pPr>
        <w:pStyle w:val="NoSpacing"/>
        <w:rPr>
          <w:rFonts w:ascii="Arial Black" w:hAnsi="Arial Black"/>
          <w:sz w:val="24"/>
          <w:szCs w:val="24"/>
        </w:rPr>
      </w:pPr>
    </w:p>
    <w:p w14:paraId="140C3253" w14:textId="77777777" w:rsidR="00A93EB6" w:rsidRDefault="00A93EB6" w:rsidP="000C4DF5">
      <w:pPr>
        <w:pStyle w:val="NoSpacing"/>
        <w:rPr>
          <w:rFonts w:ascii="Arial Black" w:hAnsi="Arial Black"/>
          <w:sz w:val="24"/>
          <w:szCs w:val="24"/>
        </w:rPr>
      </w:pPr>
    </w:p>
    <w:p w14:paraId="719D3BEC" w14:textId="4775FA32" w:rsidR="00816988" w:rsidRDefault="00816988" w:rsidP="000C4DF5">
      <w:pPr>
        <w:pStyle w:val="NoSpacing"/>
        <w:rPr>
          <w:rFonts w:ascii="Arial Black" w:hAnsi="Arial Black"/>
          <w:sz w:val="24"/>
          <w:szCs w:val="24"/>
        </w:rPr>
      </w:pPr>
      <w:r>
        <w:rPr>
          <w:rFonts w:ascii="Arial Black" w:hAnsi="Arial Black"/>
          <w:sz w:val="24"/>
          <w:szCs w:val="24"/>
        </w:rPr>
        <w:t>15-41</w:t>
      </w:r>
    </w:p>
    <w:p w14:paraId="41537DFD" w14:textId="77777777" w:rsidR="00816988" w:rsidRDefault="00816988" w:rsidP="000C4DF5">
      <w:pPr>
        <w:pStyle w:val="NoSpacing"/>
        <w:rPr>
          <w:rFonts w:ascii="Arial Black" w:hAnsi="Arial Black"/>
          <w:sz w:val="24"/>
          <w:szCs w:val="24"/>
        </w:rPr>
      </w:pPr>
    </w:p>
    <w:p w14:paraId="78A3F431" w14:textId="77777777" w:rsidR="00E67DEA" w:rsidRPr="006F2B87" w:rsidRDefault="00E67DEA" w:rsidP="00E67DEA">
      <w:pPr>
        <w:pStyle w:val="NoSpacing"/>
        <w:rPr>
          <w:rFonts w:ascii="Arial Black" w:hAnsi="Arial Black"/>
          <w:bCs/>
          <w:sz w:val="28"/>
          <w:szCs w:val="28"/>
        </w:rPr>
      </w:pPr>
      <w:r w:rsidRPr="006F2B87">
        <w:rPr>
          <w:rFonts w:ascii="Arial Black" w:hAnsi="Arial Black"/>
          <w:sz w:val="28"/>
          <w:szCs w:val="28"/>
        </w:rPr>
        <w:t xml:space="preserve">WA: MECHANIC – ANXIETY – </w:t>
      </w:r>
      <w:r>
        <w:rPr>
          <w:rFonts w:ascii="Arial Black" w:hAnsi="Arial Black"/>
          <w:sz w:val="28"/>
          <w:szCs w:val="28"/>
        </w:rPr>
        <w:t xml:space="preserve">NO ADA / DIDN’T </w:t>
      </w:r>
      <w:r w:rsidRPr="006F2B87">
        <w:rPr>
          <w:rFonts w:ascii="Arial Black" w:hAnsi="Arial Black"/>
          <w:sz w:val="28"/>
          <w:szCs w:val="28"/>
        </w:rPr>
        <w:t>COOPERATE</w:t>
      </w:r>
    </w:p>
    <w:p w14:paraId="44DC000D" w14:textId="77777777" w:rsidR="00E67DEA" w:rsidRPr="006F2B87" w:rsidRDefault="00E67DEA" w:rsidP="00E67DEA">
      <w:pPr>
        <w:pStyle w:val="NoSpacing"/>
        <w:rPr>
          <w:bCs/>
        </w:rPr>
      </w:pPr>
    </w:p>
    <w:p w14:paraId="46FABD20" w14:textId="77777777" w:rsidR="00E67DEA" w:rsidRPr="00E67DEA" w:rsidRDefault="00E67DEA" w:rsidP="00E67DEA">
      <w:pPr>
        <w:pStyle w:val="NoSpacing"/>
        <w:rPr>
          <w:rFonts w:ascii="Times New Roman" w:hAnsi="Times New Roman"/>
          <w:bCs/>
          <w:sz w:val="24"/>
          <w:szCs w:val="24"/>
        </w:rPr>
      </w:pPr>
      <w:r w:rsidRPr="00E67DEA">
        <w:rPr>
          <w:rFonts w:ascii="Times New Roman" w:hAnsi="Times New Roman"/>
          <w:sz w:val="24"/>
          <w:szCs w:val="24"/>
        </w:rPr>
        <w:t xml:space="preserve">On May 20, 2025, in </w:t>
      </w:r>
      <w:r w:rsidRPr="00E67DEA">
        <w:rPr>
          <w:rFonts w:ascii="Times New Roman" w:hAnsi="Times New Roman"/>
          <w:sz w:val="24"/>
          <w:szCs w:val="24"/>
          <w:u w:val="single"/>
        </w:rPr>
        <w:t>Liam Riley v. City of Tacoma; Tacoma Fire Department</w:t>
      </w:r>
      <w:r w:rsidRPr="00E67DEA">
        <w:rPr>
          <w:rFonts w:ascii="Times New Roman" w:hAnsi="Times New Roman"/>
          <w:sz w:val="24"/>
          <w:szCs w:val="24"/>
        </w:rPr>
        <w:t xml:space="preserve">, the Court of Appeals of Washington, Division 2, held (3 to 0; unpublished decision) that trial court properly dismissed his ADA claim.  </w:t>
      </w:r>
    </w:p>
    <w:p w14:paraId="1C365CA1" w14:textId="77777777" w:rsidR="00E67DEA" w:rsidRPr="00E67DEA" w:rsidRDefault="00E67DEA" w:rsidP="00E67DEA">
      <w:pPr>
        <w:pStyle w:val="NoSpacing"/>
        <w:rPr>
          <w:rFonts w:ascii="Times New Roman" w:hAnsi="Times New Roman"/>
          <w:bCs/>
          <w:sz w:val="24"/>
          <w:szCs w:val="24"/>
        </w:rPr>
      </w:pPr>
    </w:p>
    <w:p w14:paraId="6C8C4475" w14:textId="77777777" w:rsidR="00E67DEA" w:rsidRPr="00E67DEA" w:rsidRDefault="00E67DEA" w:rsidP="00E67DEA">
      <w:pPr>
        <w:pStyle w:val="NoSpacing"/>
        <w:rPr>
          <w:rFonts w:ascii="Times New Roman" w:hAnsi="Times New Roman"/>
          <w:bCs/>
          <w:sz w:val="24"/>
          <w:szCs w:val="24"/>
        </w:rPr>
      </w:pPr>
      <w:r w:rsidRPr="00E67DEA">
        <w:rPr>
          <w:rFonts w:ascii="Times New Roman" w:hAnsi="Times New Roman"/>
          <w:sz w:val="24"/>
          <w:szCs w:val="24"/>
        </w:rPr>
        <w:t xml:space="preserve">The Court wrote: “The trial court properly dismissed the failure to accommodate claim because the undisputed evidence established that Riley failed to cooperate with the City during the interactive process for evaluating Riley’s need for accommodation. Despite several clear requests from the </w:t>
      </w:r>
      <w:proofErr w:type="gramStart"/>
      <w:r w:rsidRPr="00E67DEA">
        <w:rPr>
          <w:rFonts w:ascii="Times New Roman" w:hAnsi="Times New Roman"/>
          <w:sz w:val="24"/>
          <w:szCs w:val="24"/>
        </w:rPr>
        <w:t>City</w:t>
      </w:r>
      <w:proofErr w:type="gramEnd"/>
      <w:r w:rsidRPr="00E67DEA">
        <w:rPr>
          <w:rFonts w:ascii="Times New Roman" w:hAnsi="Times New Roman"/>
          <w:sz w:val="24"/>
          <w:szCs w:val="24"/>
        </w:rPr>
        <w:t xml:space="preserve">, Riley failed to provide requested medical documentation addressing the nexus between his disability and his ability to perform the essential functions of his job. Riley’s lack of cooperation was fatal to his claim. The trial court also properly dismissed the hostile work environment claim because Riley failed to establish more than isolated incidents of hostility and he did not offer any evidence they were a result of his disability. We affirm.” </w:t>
      </w:r>
      <w:hyperlink r:id="rId2402" w:history="1">
        <w:r w:rsidRPr="00E67DEA">
          <w:rPr>
            <w:rStyle w:val="Hyperlink"/>
            <w:rFonts w:ascii="Times New Roman" w:hAnsi="Times New Roman"/>
            <w:sz w:val="24"/>
            <w:szCs w:val="24"/>
          </w:rPr>
          <w:t>https://www.courts.wa.gov/opinions/pdf/D2%2058295-3-II%20Unpublished%20Opinion.pdf</w:t>
        </w:r>
      </w:hyperlink>
      <w:r w:rsidRPr="00E67DEA">
        <w:rPr>
          <w:rFonts w:ascii="Times New Roman" w:hAnsi="Times New Roman"/>
          <w:sz w:val="24"/>
          <w:szCs w:val="24"/>
        </w:rPr>
        <w:t xml:space="preserve"> </w:t>
      </w:r>
    </w:p>
    <w:p w14:paraId="5C2B30A4" w14:textId="77777777" w:rsidR="00E67DEA" w:rsidRPr="00E67DEA" w:rsidRDefault="00E67DEA" w:rsidP="00E67DEA">
      <w:pPr>
        <w:pStyle w:val="NoSpacing"/>
        <w:rPr>
          <w:rFonts w:ascii="Times New Roman" w:hAnsi="Times New Roman"/>
          <w:b/>
          <w:bCs/>
          <w:sz w:val="24"/>
          <w:szCs w:val="24"/>
        </w:rPr>
      </w:pPr>
    </w:p>
    <w:p w14:paraId="2E976304" w14:textId="77777777" w:rsidR="009701FE" w:rsidRPr="009701FE" w:rsidRDefault="009701FE" w:rsidP="009701FE">
      <w:pPr>
        <w:pStyle w:val="NoSpacing"/>
        <w:rPr>
          <w:rFonts w:ascii="Times New Roman" w:hAnsi="Times New Roman"/>
          <w:b/>
          <w:bCs/>
          <w:sz w:val="24"/>
          <w:szCs w:val="24"/>
        </w:rPr>
      </w:pPr>
      <w:r w:rsidRPr="009701FE">
        <w:rPr>
          <w:rFonts w:ascii="Times New Roman" w:hAnsi="Times New Roman"/>
          <w:b/>
          <w:sz w:val="24"/>
          <w:szCs w:val="24"/>
        </w:rPr>
        <w:t xml:space="preserve">Legal Lesson Learned: The City promptly conducted a “Climate Assessment” of the garage workplace; plaintiff failed to cooperate with the city, including refusing to provide city access to his medical records. </w:t>
      </w:r>
    </w:p>
    <w:p w14:paraId="7FF5F265" w14:textId="77777777" w:rsidR="00E67DEA" w:rsidRPr="009701FE" w:rsidRDefault="00E67DEA" w:rsidP="00E67DEA">
      <w:pPr>
        <w:pStyle w:val="NoSpacing"/>
        <w:rPr>
          <w:rFonts w:ascii="Times New Roman" w:hAnsi="Times New Roman"/>
          <w:bCs/>
          <w:sz w:val="24"/>
          <w:szCs w:val="24"/>
        </w:rPr>
      </w:pPr>
    </w:p>
    <w:p w14:paraId="081947BE" w14:textId="77777777" w:rsidR="00E67DEA" w:rsidRPr="009701FE" w:rsidRDefault="00E67DEA" w:rsidP="000C4DF5">
      <w:pPr>
        <w:pStyle w:val="NoSpacing"/>
        <w:rPr>
          <w:rFonts w:ascii="Times New Roman" w:hAnsi="Times New Roman"/>
          <w:sz w:val="24"/>
          <w:szCs w:val="24"/>
        </w:rPr>
      </w:pPr>
    </w:p>
    <w:p w14:paraId="120C3041" w14:textId="77777777" w:rsidR="00E67DEA" w:rsidRDefault="00E67DEA" w:rsidP="000C4DF5">
      <w:pPr>
        <w:pStyle w:val="NoSpacing"/>
        <w:rPr>
          <w:rFonts w:ascii="Arial Black" w:hAnsi="Arial Black"/>
          <w:sz w:val="24"/>
          <w:szCs w:val="24"/>
        </w:rPr>
      </w:pPr>
    </w:p>
    <w:p w14:paraId="77BE0311" w14:textId="77777777" w:rsidR="00816988" w:rsidRDefault="00816988" w:rsidP="000C4DF5">
      <w:pPr>
        <w:pStyle w:val="NoSpacing"/>
        <w:rPr>
          <w:rFonts w:ascii="Arial Black" w:hAnsi="Arial Black"/>
          <w:sz w:val="24"/>
          <w:szCs w:val="24"/>
        </w:rPr>
      </w:pPr>
    </w:p>
    <w:p w14:paraId="49472C61" w14:textId="3810CE10" w:rsidR="00F37D60" w:rsidRDefault="00F37D60" w:rsidP="000C4DF5">
      <w:pPr>
        <w:pStyle w:val="NoSpacing"/>
        <w:rPr>
          <w:rFonts w:ascii="Arial Black" w:hAnsi="Arial Black"/>
          <w:sz w:val="24"/>
          <w:szCs w:val="24"/>
        </w:rPr>
      </w:pPr>
      <w:r>
        <w:rPr>
          <w:rFonts w:ascii="Arial Black" w:hAnsi="Arial Black"/>
          <w:sz w:val="24"/>
          <w:szCs w:val="24"/>
        </w:rPr>
        <w:t>15-</w:t>
      </w:r>
      <w:r w:rsidR="00C96532">
        <w:rPr>
          <w:rFonts w:ascii="Arial Black" w:hAnsi="Arial Black"/>
          <w:sz w:val="24"/>
          <w:szCs w:val="24"/>
        </w:rPr>
        <w:t>40</w:t>
      </w:r>
    </w:p>
    <w:p w14:paraId="26F2F651" w14:textId="77777777" w:rsidR="00F37D60" w:rsidRDefault="00F37D60" w:rsidP="000C4DF5">
      <w:pPr>
        <w:pStyle w:val="NoSpacing"/>
        <w:rPr>
          <w:rFonts w:ascii="Arial Black" w:hAnsi="Arial Black"/>
          <w:sz w:val="24"/>
          <w:szCs w:val="24"/>
        </w:rPr>
      </w:pPr>
    </w:p>
    <w:p w14:paraId="51ABB297" w14:textId="77777777" w:rsidR="00F37D60" w:rsidRDefault="00F37D60" w:rsidP="00F37D60">
      <w:pPr>
        <w:rPr>
          <w:rFonts w:ascii="Arial Black" w:hAnsi="Arial Black"/>
          <w:bCs/>
          <w:sz w:val="28"/>
          <w:szCs w:val="28"/>
        </w:rPr>
      </w:pPr>
      <w:r>
        <w:rPr>
          <w:rFonts w:ascii="Arial Black" w:hAnsi="Arial Black"/>
          <w:sz w:val="28"/>
          <w:szCs w:val="28"/>
        </w:rPr>
        <w:t xml:space="preserve">AR:  FF PTSD – RESPONDED 2 SHOOTINGS - NO WORK COMP </w:t>
      </w:r>
    </w:p>
    <w:p w14:paraId="42EF2658" w14:textId="77777777" w:rsidR="00F37D60" w:rsidRPr="006F79FB" w:rsidRDefault="00F37D60" w:rsidP="00F37D60">
      <w:pPr>
        <w:pStyle w:val="NoSpacing"/>
        <w:rPr>
          <w:rFonts w:ascii="Times New Roman" w:hAnsi="Times New Roman"/>
          <w:sz w:val="24"/>
          <w:szCs w:val="24"/>
        </w:rPr>
      </w:pPr>
      <w:r w:rsidRPr="006F79FB">
        <w:rPr>
          <w:rFonts w:ascii="Times New Roman" w:hAnsi="Times New Roman"/>
          <w:sz w:val="24"/>
          <w:szCs w:val="24"/>
        </w:rPr>
        <w:t xml:space="preserve">On April 29, 2025, in </w:t>
      </w:r>
      <w:r w:rsidRPr="006F79FB">
        <w:rPr>
          <w:rFonts w:ascii="Times New Roman" w:hAnsi="Times New Roman"/>
          <w:sz w:val="24"/>
          <w:szCs w:val="24"/>
          <w:u w:val="single"/>
        </w:rPr>
        <w:t>Shawn Lawless v. The Industrial Commission of Arizona, and the Northern AZ Consolidated Fire District</w:t>
      </w:r>
      <w:r w:rsidRPr="006F79FB">
        <w:rPr>
          <w:rFonts w:ascii="Times New Roman" w:hAnsi="Times New Roman"/>
          <w:sz w:val="24"/>
          <w:szCs w:val="24"/>
        </w:rPr>
        <w:t xml:space="preserve">, the Court of Appeals of Arizona, First Division, held (3 to 0) that a firefighter </w:t>
      </w:r>
      <w:r w:rsidRPr="006F79FB">
        <w:rPr>
          <w:rFonts w:ascii="Times New Roman" w:hAnsi="Times New Roman"/>
          <w:bCs/>
          <w:sz w:val="24"/>
          <w:szCs w:val="24"/>
        </w:rPr>
        <w:t xml:space="preserve">was properly denied workers comp since responding to shooting is </w:t>
      </w:r>
      <w:r w:rsidRPr="006F79FB">
        <w:rPr>
          <w:rFonts w:ascii="Times New Roman" w:hAnsi="Times New Roman"/>
          <w:sz w:val="24"/>
          <w:szCs w:val="24"/>
        </w:rPr>
        <w:t xml:space="preserve">not “unexpected, unusual, or extraordinary.”  Shawn Lewis has had PTSD since 2017 when working for another Lake Havasu City FD when he responded to a fatal watercraft.   In April 2020, while working for Northern AZ Consolidated Fire District [NAFD] he responded to two shootings.  April 1, 2020: he and firefighter / EMT Dillon Haskell were dispatched to Mohave Community College, where police had shot ‘one of the subjects’ involved in the shooting of the DPS officer earlier that day. On April 7, 2020, he and Haskell were dispatched to a scene of a random shooting that happened at a stop sign.  When they arrived, they saw that the driver of a car was dead from “multiple” gun shots “in the chest.” In both incidents, the hearing officer concluded they were not “unexpected, unusual or extraordinary.” A.R.S. § 23-1043.01(B). </w:t>
      </w:r>
      <w:hyperlink r:id="rId2403" w:history="1">
        <w:r w:rsidRPr="006F79FB">
          <w:rPr>
            <w:rStyle w:val="Hyperlink"/>
            <w:rFonts w:ascii="Times New Roman" w:hAnsi="Times New Roman"/>
            <w:sz w:val="24"/>
            <w:szCs w:val="24"/>
          </w:rPr>
          <w:t>https://cases.justia.com/arizona/court-of-appeals-division-one-published/2025-1-ca-ic-24-0009.pdf?ts=1745946035</w:t>
        </w:r>
      </w:hyperlink>
      <w:r w:rsidRPr="006F79FB">
        <w:rPr>
          <w:rFonts w:ascii="Times New Roman" w:hAnsi="Times New Roman"/>
          <w:sz w:val="24"/>
          <w:szCs w:val="24"/>
        </w:rPr>
        <w:t xml:space="preserve"> </w:t>
      </w:r>
    </w:p>
    <w:p w14:paraId="6B9ECF7D" w14:textId="77777777" w:rsidR="00F37D60" w:rsidRDefault="00F37D60" w:rsidP="00F37D60">
      <w:pPr>
        <w:pStyle w:val="NoSpacing"/>
        <w:rPr>
          <w:rFonts w:ascii="Times New Roman" w:hAnsi="Times New Roman"/>
          <w:sz w:val="24"/>
          <w:szCs w:val="24"/>
        </w:rPr>
      </w:pPr>
    </w:p>
    <w:p w14:paraId="7FFF24EC" w14:textId="77777777" w:rsidR="00325997" w:rsidRDefault="00325997" w:rsidP="00325997">
      <w:pPr>
        <w:pStyle w:val="NoSpacing"/>
        <w:rPr>
          <w:rFonts w:ascii="Times New Roman" w:hAnsi="Times New Roman"/>
          <w:b/>
          <w:sz w:val="24"/>
          <w:szCs w:val="24"/>
        </w:rPr>
      </w:pPr>
      <w:r w:rsidRPr="00290C93">
        <w:rPr>
          <w:rFonts w:ascii="Times New Roman" w:hAnsi="Times New Roman"/>
          <w:b/>
          <w:sz w:val="24"/>
          <w:szCs w:val="24"/>
        </w:rPr>
        <w:t xml:space="preserve">Legal Lesson Learned: It is very difficult to prove that </w:t>
      </w:r>
      <w:r w:rsidRPr="00290C93">
        <w:rPr>
          <w:rFonts w:ascii="Times New Roman" w:hAnsi="Times New Roman"/>
          <w:b/>
          <w:bCs/>
          <w:sz w:val="24"/>
          <w:szCs w:val="24"/>
        </w:rPr>
        <w:t xml:space="preserve">responding to a shooting </w:t>
      </w:r>
      <w:r w:rsidRPr="00290C93">
        <w:rPr>
          <w:rFonts w:ascii="Times New Roman" w:hAnsi="Times New Roman"/>
          <w:b/>
          <w:sz w:val="24"/>
          <w:szCs w:val="24"/>
        </w:rPr>
        <w:t>was “unexpected, unusual, or extraordinary.”</w:t>
      </w:r>
    </w:p>
    <w:p w14:paraId="12CCFB0A" w14:textId="77777777" w:rsidR="00C96532" w:rsidRDefault="00C96532" w:rsidP="00325997">
      <w:pPr>
        <w:pStyle w:val="NoSpacing"/>
        <w:rPr>
          <w:rFonts w:ascii="Times New Roman" w:hAnsi="Times New Roman"/>
          <w:b/>
          <w:sz w:val="24"/>
          <w:szCs w:val="24"/>
        </w:rPr>
      </w:pPr>
    </w:p>
    <w:p w14:paraId="315C23A2" w14:textId="77777777" w:rsidR="00C96532" w:rsidRDefault="00C96532" w:rsidP="00325997">
      <w:pPr>
        <w:pStyle w:val="NoSpacing"/>
        <w:rPr>
          <w:rFonts w:ascii="Arial Black" w:hAnsi="Arial Black"/>
          <w:b/>
          <w:sz w:val="28"/>
          <w:szCs w:val="28"/>
        </w:rPr>
      </w:pPr>
    </w:p>
    <w:p w14:paraId="6C0AEFCD" w14:textId="40C71ACE" w:rsidR="00C96532" w:rsidRPr="00C96532" w:rsidRDefault="00C96532" w:rsidP="00325997">
      <w:pPr>
        <w:pStyle w:val="NoSpacing"/>
        <w:rPr>
          <w:rFonts w:ascii="Arial Black" w:hAnsi="Arial Black"/>
          <w:b/>
          <w:sz w:val="24"/>
          <w:szCs w:val="24"/>
        </w:rPr>
      </w:pPr>
      <w:r w:rsidRPr="00C96532">
        <w:rPr>
          <w:rFonts w:ascii="Arial Black" w:hAnsi="Arial Black"/>
          <w:b/>
          <w:sz w:val="24"/>
          <w:szCs w:val="24"/>
        </w:rPr>
        <w:t>15-39</w:t>
      </w:r>
    </w:p>
    <w:p w14:paraId="3229C256" w14:textId="77777777" w:rsidR="00C96532" w:rsidRDefault="00C96532" w:rsidP="00325997">
      <w:pPr>
        <w:pStyle w:val="NoSpacing"/>
        <w:rPr>
          <w:rFonts w:ascii="Times New Roman" w:hAnsi="Times New Roman"/>
          <w:b/>
          <w:sz w:val="24"/>
          <w:szCs w:val="24"/>
        </w:rPr>
      </w:pPr>
    </w:p>
    <w:p w14:paraId="13BB66F6" w14:textId="77777777" w:rsidR="00C96532" w:rsidRPr="00CD07A8" w:rsidRDefault="00C96532" w:rsidP="00C96532">
      <w:pPr>
        <w:rPr>
          <w:rFonts w:ascii="Arial Black" w:hAnsi="Arial Black"/>
          <w:sz w:val="28"/>
          <w:szCs w:val="28"/>
        </w:rPr>
      </w:pPr>
      <w:r>
        <w:rPr>
          <w:rFonts w:ascii="Arial Black" w:hAnsi="Arial Black"/>
          <w:sz w:val="28"/>
          <w:szCs w:val="28"/>
        </w:rPr>
        <w:t>MI: FF WITH PTSD – NO RIGHT TO BRING HIS DOG TO WORK</w:t>
      </w:r>
    </w:p>
    <w:p w14:paraId="3ABA2F75" w14:textId="17699B79" w:rsidR="00C96532" w:rsidRPr="00C96532" w:rsidRDefault="00C96532" w:rsidP="00C96532">
      <w:pPr>
        <w:pStyle w:val="NoSpacing"/>
        <w:rPr>
          <w:rFonts w:ascii="Times New Roman" w:hAnsi="Times New Roman"/>
          <w:b/>
          <w:bCs/>
          <w:sz w:val="24"/>
          <w:szCs w:val="24"/>
        </w:rPr>
      </w:pPr>
      <w:r w:rsidRPr="00C96532">
        <w:rPr>
          <w:rFonts w:ascii="Times New Roman" w:hAnsi="Times New Roman"/>
          <w:sz w:val="24"/>
          <w:szCs w:val="24"/>
        </w:rPr>
        <w:t xml:space="preserve">On April 29, 2025, in </w:t>
      </w:r>
      <w:r w:rsidRPr="00C96532">
        <w:rPr>
          <w:rFonts w:ascii="Times New Roman" w:hAnsi="Times New Roman"/>
          <w:sz w:val="24"/>
          <w:szCs w:val="24"/>
          <w:u w:val="single"/>
        </w:rPr>
        <w:t>Aaron Fisher v. City of Lansing</w:t>
      </w:r>
      <w:r w:rsidRPr="00C96532">
        <w:rPr>
          <w:rFonts w:ascii="Times New Roman" w:hAnsi="Times New Roman"/>
          <w:sz w:val="24"/>
          <w:szCs w:val="24"/>
        </w:rPr>
        <w:t xml:space="preserve">, U.S. District Court Judge Paul L. Maloney, United States District Court for Western District of Michigan, Southern Division, granted the City’s motion for summary judgment, since the City established that Plaintiff could perform his duties at the fire station without a service animal.  The firefighter / engineer joined the FD in 2004; he started suffering from PTSD around 2010. In March 2020 he asked his Battalion Chief if he could bring his personal dog, “Chet” to work.  This was unofficially authorized, and he did this for four months.  On July 30, 2020, the City issued a notice to all fire department employees stating that employees were not allowed to bring pets of any kind to work.  In mid-August 2020, Plaintiff submitted his request for “service animal” using the City's approved form, and submitted a letter from Dr. Ronald Fandrick, a licensed clinical psychologist, who concluded that Plaintiff needed an “emotional support animal” during work hours at the fire station….  Around August 26, 2020, Kathy Woodman, the City's Health and Wellness Director, met with Plaintiff for over an hour to discuss his request; near the end of September, Defendant denied Plaintiff's request for accommodation. </w:t>
      </w:r>
      <w:hyperlink r:id="rId2404" w:history="1">
        <w:r w:rsidRPr="00C96532">
          <w:rPr>
            <w:rStyle w:val="Hyperlink"/>
            <w:rFonts w:ascii="Times New Roman" w:hAnsi="Times New Roman"/>
            <w:sz w:val="24"/>
            <w:szCs w:val="24"/>
          </w:rPr>
          <w:t>https://hr.cch.com/ELD/FisherLansing042925.pdf</w:t>
        </w:r>
      </w:hyperlink>
    </w:p>
    <w:p w14:paraId="33272690" w14:textId="77777777" w:rsidR="00325997" w:rsidRPr="00C96532" w:rsidRDefault="00325997" w:rsidP="00F37D60">
      <w:pPr>
        <w:pStyle w:val="NoSpacing"/>
        <w:rPr>
          <w:rFonts w:ascii="Times New Roman" w:hAnsi="Times New Roman"/>
          <w:sz w:val="24"/>
          <w:szCs w:val="24"/>
        </w:rPr>
      </w:pPr>
    </w:p>
    <w:p w14:paraId="220DA4E6" w14:textId="77777777" w:rsidR="00153742" w:rsidRPr="00D55B6E" w:rsidRDefault="00153742" w:rsidP="00153742">
      <w:pPr>
        <w:pStyle w:val="NoSpacing"/>
        <w:rPr>
          <w:rFonts w:ascii="Times New Roman" w:hAnsi="Times New Roman"/>
          <w:b/>
          <w:bCs/>
          <w:sz w:val="24"/>
          <w:szCs w:val="24"/>
        </w:rPr>
      </w:pPr>
      <w:r w:rsidRPr="00D55B6E">
        <w:rPr>
          <w:rFonts w:ascii="Times New Roman" w:hAnsi="Times New Roman"/>
          <w:b/>
          <w:sz w:val="24"/>
          <w:szCs w:val="24"/>
        </w:rPr>
        <w:t xml:space="preserve">Legal Lesson Learned: The ADA </w:t>
      </w:r>
      <w:r w:rsidRPr="00D55B6E">
        <w:rPr>
          <w:rFonts w:ascii="Times New Roman" w:hAnsi="Times New Roman"/>
          <w:b/>
          <w:bCs/>
          <w:sz w:val="24"/>
          <w:szCs w:val="24"/>
        </w:rPr>
        <w:t>applies to employees who need a “service animal” to perform work duties,  not “</w:t>
      </w:r>
      <w:r w:rsidRPr="00D55B6E">
        <w:rPr>
          <w:rFonts w:ascii="Times New Roman" w:hAnsi="Times New Roman"/>
          <w:b/>
          <w:sz w:val="24"/>
          <w:szCs w:val="24"/>
        </w:rPr>
        <w:t>emotional support animals</w:t>
      </w:r>
      <w:r w:rsidRPr="00D55B6E">
        <w:rPr>
          <w:rFonts w:ascii="Times New Roman" w:hAnsi="Times New Roman"/>
          <w:b/>
          <w:bCs/>
          <w:sz w:val="24"/>
          <w:szCs w:val="24"/>
        </w:rPr>
        <w:t xml:space="preserve">.” </w:t>
      </w:r>
      <w:r w:rsidRPr="00D55B6E">
        <w:rPr>
          <w:rFonts w:ascii="Times New Roman" w:hAnsi="Times New Roman"/>
          <w:b/>
          <w:sz w:val="24"/>
          <w:szCs w:val="24"/>
        </w:rPr>
        <w:t xml:space="preserve"> </w:t>
      </w:r>
    </w:p>
    <w:p w14:paraId="26597A0B" w14:textId="7CACCB8D" w:rsidR="00F37D60" w:rsidRPr="00D55B6E" w:rsidRDefault="00153742" w:rsidP="00D55B6E">
      <w:pPr>
        <w:pStyle w:val="NoSpacing"/>
        <w:ind w:left="720"/>
        <w:rPr>
          <w:rFonts w:ascii="Times New Roman" w:hAnsi="Times New Roman"/>
          <w:sz w:val="24"/>
          <w:szCs w:val="24"/>
        </w:rPr>
      </w:pPr>
      <w:r w:rsidRPr="00D55B6E">
        <w:rPr>
          <w:rFonts w:ascii="Times New Roman" w:hAnsi="Times New Roman"/>
          <w:sz w:val="24"/>
          <w:szCs w:val="24"/>
        </w:rPr>
        <w:t xml:space="preserve">Note: See article on this case. </w:t>
      </w:r>
      <w:hyperlink r:id="rId2405" w:history="1">
        <w:r w:rsidR="00D55B6E" w:rsidRPr="00D55B6E">
          <w:rPr>
            <w:rStyle w:val="Hyperlink"/>
            <w:rFonts w:ascii="Times New Roman" w:hAnsi="Times New Roman"/>
            <w:sz w:val="24"/>
            <w:szCs w:val="24"/>
          </w:rPr>
          <w:t>https://www.vitallaw.com/news/discrimination-disability-w-d-mich-firefighter-with-ptsd-fails-to-show-firehouse-dog-was-reasonable-accommodation/eld0112d25548de2942ffb5b58765cda11301</w:t>
        </w:r>
      </w:hyperlink>
    </w:p>
    <w:p w14:paraId="6C3ABDA2" w14:textId="77777777" w:rsidR="00F37D60" w:rsidRDefault="00F37D60" w:rsidP="000C4DF5">
      <w:pPr>
        <w:pStyle w:val="NoSpacing"/>
        <w:rPr>
          <w:rFonts w:ascii="Arial Black" w:hAnsi="Arial Black"/>
          <w:sz w:val="24"/>
          <w:szCs w:val="24"/>
        </w:rPr>
      </w:pPr>
    </w:p>
    <w:p w14:paraId="5B0D37EF" w14:textId="77777777" w:rsidR="00F37D60" w:rsidRDefault="00F37D60" w:rsidP="000C4DF5">
      <w:pPr>
        <w:pStyle w:val="NoSpacing"/>
        <w:rPr>
          <w:rFonts w:ascii="Arial Black" w:hAnsi="Arial Black"/>
          <w:sz w:val="24"/>
          <w:szCs w:val="24"/>
        </w:rPr>
      </w:pPr>
    </w:p>
    <w:p w14:paraId="674A8451" w14:textId="2489F1C7" w:rsidR="006F1059" w:rsidRDefault="00A84B8B" w:rsidP="000C4DF5">
      <w:pPr>
        <w:pStyle w:val="NoSpacing"/>
        <w:rPr>
          <w:rFonts w:ascii="Arial Black" w:hAnsi="Arial Black"/>
          <w:sz w:val="24"/>
          <w:szCs w:val="24"/>
        </w:rPr>
      </w:pPr>
      <w:r>
        <w:rPr>
          <w:rFonts w:ascii="Arial Black" w:hAnsi="Arial Black"/>
          <w:sz w:val="24"/>
          <w:szCs w:val="24"/>
        </w:rPr>
        <w:t>15-38</w:t>
      </w:r>
    </w:p>
    <w:p w14:paraId="56B6329E" w14:textId="77777777" w:rsidR="00A84B8B" w:rsidRDefault="00A84B8B" w:rsidP="000C4DF5">
      <w:pPr>
        <w:pStyle w:val="NoSpacing"/>
        <w:rPr>
          <w:rFonts w:ascii="Arial Black" w:hAnsi="Arial Black"/>
          <w:sz w:val="24"/>
          <w:szCs w:val="24"/>
        </w:rPr>
      </w:pPr>
    </w:p>
    <w:p w14:paraId="45AD527B" w14:textId="25375FE5" w:rsidR="00A84B8B" w:rsidRPr="00EB63ED" w:rsidRDefault="00A84B8B" w:rsidP="00A84B8B">
      <w:pPr>
        <w:pStyle w:val="NoSpacing"/>
        <w:rPr>
          <w:rFonts w:ascii="Arial Black" w:hAnsi="Arial Black"/>
          <w:sz w:val="28"/>
          <w:szCs w:val="28"/>
        </w:rPr>
      </w:pPr>
      <w:r w:rsidRPr="00EB63ED">
        <w:rPr>
          <w:rFonts w:ascii="Arial Black" w:hAnsi="Arial Black"/>
          <w:sz w:val="28"/>
          <w:szCs w:val="28"/>
        </w:rPr>
        <w:t xml:space="preserve">NY: NYPD RESONSE </w:t>
      </w:r>
      <w:r w:rsidR="0061722F">
        <w:rPr>
          <w:rFonts w:ascii="Arial Black" w:hAnsi="Arial Black"/>
          <w:sz w:val="28"/>
          <w:szCs w:val="28"/>
        </w:rPr>
        <w:t xml:space="preserve">TO </w:t>
      </w:r>
      <w:r w:rsidRPr="00EB63ED">
        <w:rPr>
          <w:rFonts w:ascii="Arial Black" w:hAnsi="Arial Black"/>
          <w:sz w:val="28"/>
          <w:szCs w:val="28"/>
        </w:rPr>
        <w:t xml:space="preserve">MENTAL RUNS - PROP. CLASS ACTION </w:t>
      </w:r>
    </w:p>
    <w:p w14:paraId="254221F6" w14:textId="77777777" w:rsidR="00A84B8B" w:rsidRPr="00D11443" w:rsidRDefault="00A84B8B" w:rsidP="00A84B8B">
      <w:pPr>
        <w:pStyle w:val="NoSpacing"/>
        <w:rPr>
          <w:rFonts w:ascii="Times New Roman" w:hAnsi="Times New Roman"/>
          <w:sz w:val="24"/>
          <w:szCs w:val="24"/>
        </w:rPr>
      </w:pPr>
    </w:p>
    <w:p w14:paraId="4C787F02" w14:textId="751D95B5" w:rsidR="00A84B8B" w:rsidRPr="00D11443" w:rsidRDefault="00A84B8B" w:rsidP="00A84B8B">
      <w:pPr>
        <w:pStyle w:val="NoSpacing"/>
        <w:rPr>
          <w:rFonts w:ascii="Times New Roman" w:hAnsi="Times New Roman"/>
          <w:sz w:val="24"/>
          <w:szCs w:val="24"/>
        </w:rPr>
      </w:pPr>
      <w:r w:rsidRPr="00D11443">
        <w:rPr>
          <w:rFonts w:ascii="Times New Roman" w:hAnsi="Times New Roman"/>
          <w:sz w:val="24"/>
          <w:szCs w:val="24"/>
        </w:rPr>
        <w:t xml:space="preserve">On March 28, 2025, in </w:t>
      </w:r>
      <w:r w:rsidRPr="00D11443">
        <w:rPr>
          <w:rFonts w:ascii="Times New Roman" w:hAnsi="Times New Roman"/>
          <w:sz w:val="24"/>
          <w:szCs w:val="24"/>
          <w:u w:val="single"/>
        </w:rPr>
        <w:t>Steve Greene, et al. v. City of New York, et al</w:t>
      </w:r>
      <w:r w:rsidRPr="00D11443">
        <w:rPr>
          <w:rFonts w:ascii="Times New Roman" w:hAnsi="Times New Roman"/>
          <w:sz w:val="24"/>
          <w:szCs w:val="24"/>
        </w:rPr>
        <w:t xml:space="preserve">., Senior U.S. District Court Judge Loretta A. Preska, U.S. District Court for Southern District of New York, in proposed class action lawsuit by several community action groups, including Community Access, Inc, National Alliance of Mental Illness of New York City, Inc., the federal judge denied the City’s motion to strike the class action from the complaint at this early stage of litigation, and held that the case may proceed on the City’s current practice of sending police to mental health calls (instead of a mental health crisis team, such as the City’s limited “B-Heard” program).  “Defendants' motion to dismiss the disability claims regarding the on-site response pursuant to Title II of the ADA, Section 504 of the Rehabilitation Act, and the NYCHRL is DENIED.” </w:t>
      </w:r>
      <w:hyperlink r:id="rId2406" w:history="1">
        <w:r w:rsidRPr="00D11443">
          <w:rPr>
            <w:rStyle w:val="Hyperlink"/>
            <w:rFonts w:ascii="Times New Roman" w:hAnsi="Times New Roman"/>
            <w:sz w:val="24"/>
            <w:szCs w:val="24"/>
          </w:rPr>
          <w:t>https://public.fastcase.com/jaEE2PXzRXmZ99jOLMt1IgF1yYEhvQDwrp3nUQiGNB%2BGSciFeLM%2FmBTuULLxAVc6AJd7N%2FBSzM%2BwBsHVa7Iixu%2BNwJWRs9nDd4Lbk0%2BZyEc%3D?utm_medium=email&amp;_hsenc=p2ANqtz-_AJp8PZettrdOWllyvjduuYkYNLjKGvTo7FG_iUypW4feeCV7HNQpd9yy59szCksxig4Y61bV5hSQSKDqcsmFU4r11KQ&amp;_hsmi=226712652&amp;utm_content=226712652&amp;utm_source=hs_email</w:t>
        </w:r>
      </w:hyperlink>
    </w:p>
    <w:p w14:paraId="2C86C4AA" w14:textId="77777777" w:rsidR="00D11443" w:rsidRPr="00D11443" w:rsidRDefault="00D11443" w:rsidP="00D11443">
      <w:pPr>
        <w:pStyle w:val="NoSpacing"/>
        <w:rPr>
          <w:rFonts w:ascii="Times New Roman" w:hAnsi="Times New Roman"/>
          <w:b/>
          <w:sz w:val="24"/>
          <w:szCs w:val="24"/>
        </w:rPr>
      </w:pPr>
    </w:p>
    <w:p w14:paraId="6B785B13" w14:textId="77777777" w:rsidR="006361FE" w:rsidRPr="008A731F" w:rsidRDefault="006361FE" w:rsidP="006361FE">
      <w:pPr>
        <w:pStyle w:val="NoSpacing"/>
        <w:rPr>
          <w:rFonts w:ascii="Times New Roman" w:hAnsi="Times New Roman"/>
          <w:b/>
          <w:bCs/>
          <w:sz w:val="24"/>
          <w:szCs w:val="24"/>
        </w:rPr>
      </w:pPr>
      <w:r w:rsidRPr="008A731F">
        <w:rPr>
          <w:rFonts w:ascii="Times New Roman" w:hAnsi="Times New Roman"/>
          <w:b/>
          <w:sz w:val="24"/>
          <w:szCs w:val="24"/>
        </w:rPr>
        <w:t xml:space="preserve">Legal Lessons Learned:  Litigation will proceed on NYPD response to mental health patients. </w:t>
      </w:r>
    </w:p>
    <w:p w14:paraId="77BB0503" w14:textId="77777777" w:rsidR="00A84B8B" w:rsidRDefault="00A84B8B" w:rsidP="000C4DF5">
      <w:pPr>
        <w:pStyle w:val="NoSpacing"/>
        <w:rPr>
          <w:rFonts w:ascii="Arial Black" w:hAnsi="Arial Black"/>
          <w:sz w:val="24"/>
          <w:szCs w:val="24"/>
        </w:rPr>
      </w:pPr>
    </w:p>
    <w:p w14:paraId="3AF70134" w14:textId="77777777" w:rsidR="00A84B8B" w:rsidRDefault="00A84B8B" w:rsidP="000C4DF5">
      <w:pPr>
        <w:pStyle w:val="NoSpacing"/>
        <w:rPr>
          <w:rFonts w:ascii="Arial Black" w:hAnsi="Arial Black"/>
          <w:sz w:val="24"/>
          <w:szCs w:val="24"/>
        </w:rPr>
      </w:pPr>
    </w:p>
    <w:p w14:paraId="1A8B2B93" w14:textId="5CBC32D5" w:rsidR="004D6FB2" w:rsidRDefault="004D6FB2" w:rsidP="000C4DF5">
      <w:pPr>
        <w:pStyle w:val="NoSpacing"/>
        <w:rPr>
          <w:rFonts w:ascii="Arial Black" w:hAnsi="Arial Black"/>
          <w:sz w:val="24"/>
          <w:szCs w:val="24"/>
        </w:rPr>
      </w:pPr>
      <w:r>
        <w:rPr>
          <w:rFonts w:ascii="Arial Black" w:hAnsi="Arial Black"/>
          <w:sz w:val="24"/>
          <w:szCs w:val="24"/>
        </w:rPr>
        <w:t>15-</w:t>
      </w:r>
      <w:r w:rsidR="00062DA4">
        <w:rPr>
          <w:rFonts w:ascii="Arial Black" w:hAnsi="Arial Black"/>
          <w:sz w:val="24"/>
          <w:szCs w:val="24"/>
        </w:rPr>
        <w:t>3</w:t>
      </w:r>
      <w:r w:rsidR="001A4CAA">
        <w:rPr>
          <w:rFonts w:ascii="Arial Black" w:hAnsi="Arial Black"/>
          <w:sz w:val="24"/>
          <w:szCs w:val="24"/>
        </w:rPr>
        <w:t>7</w:t>
      </w:r>
      <w:r w:rsidR="00062DA4">
        <w:rPr>
          <w:rFonts w:ascii="Arial Black" w:hAnsi="Arial Black"/>
          <w:sz w:val="24"/>
          <w:szCs w:val="24"/>
        </w:rPr>
        <w:t xml:space="preserve"> [also filed, Chap. 13]</w:t>
      </w:r>
    </w:p>
    <w:p w14:paraId="47B8B26C" w14:textId="77777777" w:rsidR="00062DA4" w:rsidRDefault="00062DA4" w:rsidP="000C4DF5">
      <w:pPr>
        <w:pStyle w:val="NoSpacing"/>
        <w:rPr>
          <w:rFonts w:ascii="Arial Black" w:hAnsi="Arial Black"/>
          <w:sz w:val="24"/>
          <w:szCs w:val="24"/>
        </w:rPr>
      </w:pPr>
    </w:p>
    <w:p w14:paraId="1EDAD8D1" w14:textId="77777777" w:rsidR="00062DA4" w:rsidRPr="000B7F2C" w:rsidRDefault="00062DA4" w:rsidP="00062DA4">
      <w:pPr>
        <w:rPr>
          <w:rFonts w:ascii="Arial Black" w:hAnsi="Arial Black"/>
          <w:sz w:val="28"/>
          <w:szCs w:val="28"/>
        </w:rPr>
      </w:pPr>
      <w:r w:rsidRPr="000B7F2C">
        <w:rPr>
          <w:rFonts w:ascii="Arial Black" w:hAnsi="Arial Black"/>
          <w:sz w:val="28"/>
          <w:szCs w:val="28"/>
        </w:rPr>
        <w:t>CO: PARAMEDIC TACKLED MENTAL - PT DIED – NO CASE</w:t>
      </w:r>
    </w:p>
    <w:p w14:paraId="4CBC7EC0" w14:textId="77777777" w:rsidR="00062DA4" w:rsidRPr="00CA2B3F" w:rsidRDefault="00062DA4" w:rsidP="00062DA4">
      <w:pPr>
        <w:rPr>
          <w:rFonts w:ascii="Times New Roman" w:hAnsi="Times New Roman"/>
          <w:sz w:val="24"/>
          <w:szCs w:val="24"/>
        </w:rPr>
      </w:pPr>
      <w:r w:rsidRPr="00CA2B3F">
        <w:rPr>
          <w:rFonts w:ascii="Times New Roman" w:hAnsi="Times New Roman"/>
          <w:sz w:val="24"/>
          <w:szCs w:val="24"/>
        </w:rPr>
        <w:t xml:space="preserve">On Feb. 28, 2025, in </w:t>
      </w:r>
      <w:r w:rsidRPr="00CA2B3F">
        <w:rPr>
          <w:rFonts w:ascii="Times New Roman" w:hAnsi="Times New Roman"/>
          <w:sz w:val="24"/>
          <w:szCs w:val="24"/>
          <w:u w:val="single"/>
        </w:rPr>
        <w:t>Estate of Kevin Dizmang v. Sean Reed, a Colorado Springs Police Officer and Nick Fischer, a Colorado Springs Paramedic</w:t>
      </w:r>
      <w:r w:rsidRPr="00CA2B3F">
        <w:rPr>
          <w:rFonts w:ascii="Times New Roman" w:hAnsi="Times New Roman"/>
          <w:sz w:val="24"/>
          <w:szCs w:val="24"/>
        </w:rPr>
        <w:t xml:space="preserve">, United States District Court Judge Charlotte N. Sweeney, U.S. District Court for District of Colorado, granted motions to dismiss the paramedic and the police officer.  The paramedic was on a three-person crisis response team (CRT) with a police officer and a licensed clinician.  The paramedic tackled the mental patient to prevent him walking back into the street and then render care. Both the paramedic and the police officer have qualified immunity.  </w:t>
      </w:r>
      <w:hyperlink r:id="rId2407" w:history="1">
        <w:r w:rsidRPr="00CA2B3F">
          <w:rPr>
            <w:rStyle w:val="Hyperlink"/>
            <w:rFonts w:ascii="Times New Roman" w:hAnsi="Times New Roman"/>
            <w:sz w:val="24"/>
            <w:szCs w:val="24"/>
          </w:rPr>
          <w:t>https://storage.courtlistener.com/recap/gov.uscourts.cod.231472/gov.uscourts.cod.231472.63.0.pdf</w:t>
        </w:r>
      </w:hyperlink>
      <w:r w:rsidRPr="00CA2B3F">
        <w:rPr>
          <w:rFonts w:ascii="Times New Roman" w:hAnsi="Times New Roman"/>
          <w:sz w:val="24"/>
          <w:szCs w:val="24"/>
        </w:rPr>
        <w:t xml:space="preserve"> </w:t>
      </w:r>
    </w:p>
    <w:p w14:paraId="765767C2" w14:textId="77777777" w:rsidR="00062DA4" w:rsidRPr="00CA2B3F" w:rsidRDefault="00062DA4" w:rsidP="00062DA4">
      <w:pPr>
        <w:pStyle w:val="NoSpacing"/>
        <w:rPr>
          <w:rFonts w:ascii="Times New Roman" w:hAnsi="Times New Roman"/>
          <w:sz w:val="24"/>
          <w:szCs w:val="24"/>
        </w:rPr>
      </w:pPr>
      <w:r w:rsidRPr="00CA2B3F">
        <w:rPr>
          <w:rFonts w:ascii="Times New Roman" w:hAnsi="Times New Roman"/>
          <w:sz w:val="24"/>
          <w:szCs w:val="24"/>
        </w:rPr>
        <w:t xml:space="preserve">The Court described facts:  </w:t>
      </w:r>
    </w:p>
    <w:p w14:paraId="12347FC8" w14:textId="77777777" w:rsidR="00062DA4" w:rsidRPr="00CA2B3F" w:rsidRDefault="00062DA4" w:rsidP="00062DA4">
      <w:pPr>
        <w:pStyle w:val="NoSpacing"/>
        <w:rPr>
          <w:rFonts w:ascii="Times New Roman" w:hAnsi="Times New Roman"/>
          <w:sz w:val="24"/>
          <w:szCs w:val="24"/>
        </w:rPr>
      </w:pPr>
    </w:p>
    <w:p w14:paraId="0316CA57" w14:textId="6E055EF3"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“[Officer]</w:t>
      </w:r>
      <w:r w:rsidR="00387756">
        <w:rPr>
          <w:rFonts w:ascii="Times New Roman" w:hAnsi="Times New Roman"/>
          <w:sz w:val="24"/>
          <w:szCs w:val="24"/>
        </w:rPr>
        <w:t xml:space="preserve"> </w:t>
      </w:r>
      <w:r w:rsidRPr="00CA2B3F">
        <w:rPr>
          <w:rFonts w:ascii="Times New Roman" w:hAnsi="Times New Roman"/>
          <w:sz w:val="24"/>
          <w:szCs w:val="24"/>
        </w:rPr>
        <w:t xml:space="preserve">Reed approached Mr. Dizmang, who walked back into traffic and bent over with his hands on his knees, displaying respiratory distress. Id. Mr. Dizmang said, ‘HELP me,’ then walked farther into the road…. Mr. Dizmang repeatedly </w:t>
      </w:r>
      <w:proofErr w:type="gramStart"/>
      <w:r w:rsidRPr="00CA2B3F">
        <w:rPr>
          <w:rFonts w:ascii="Times New Roman" w:hAnsi="Times New Roman"/>
          <w:sz w:val="24"/>
          <w:szCs w:val="24"/>
        </w:rPr>
        <w:t>said ‘please’</w:t>
      </w:r>
      <w:proofErr w:type="gramEnd"/>
      <w:r w:rsidRPr="00CA2B3F">
        <w:rPr>
          <w:rFonts w:ascii="Times New Roman" w:hAnsi="Times New Roman"/>
          <w:sz w:val="24"/>
          <w:szCs w:val="24"/>
        </w:rPr>
        <w:t xml:space="preserve"> and walked in circles in a ‘clearly </w:t>
      </w:r>
      <w:proofErr w:type="gramStart"/>
      <w:r w:rsidRPr="00CA2B3F">
        <w:rPr>
          <w:rFonts w:ascii="Times New Roman" w:hAnsi="Times New Roman"/>
          <w:sz w:val="24"/>
          <w:szCs w:val="24"/>
        </w:rPr>
        <w:t>confused</w:t>
      </w:r>
      <w:proofErr w:type="gramEnd"/>
      <w:r w:rsidRPr="00CA2B3F">
        <w:rPr>
          <w:rFonts w:ascii="Times New Roman" w:hAnsi="Times New Roman"/>
          <w:sz w:val="24"/>
          <w:szCs w:val="24"/>
        </w:rPr>
        <w:t xml:space="preserve"> and panicked state.’ … Defendant Reed then told Mr. Dizmang, </w:t>
      </w:r>
      <w:proofErr w:type="gramStart"/>
      <w:r w:rsidRPr="00CA2B3F">
        <w:rPr>
          <w:rFonts w:ascii="Times New Roman" w:hAnsi="Times New Roman"/>
          <w:sz w:val="24"/>
          <w:szCs w:val="24"/>
        </w:rPr>
        <w:t>‘sit</w:t>
      </w:r>
      <w:proofErr w:type="gramEnd"/>
      <w:r w:rsidRPr="00CA2B3F">
        <w:rPr>
          <w:rFonts w:ascii="Times New Roman" w:hAnsi="Times New Roman"/>
          <w:sz w:val="24"/>
          <w:szCs w:val="24"/>
        </w:rPr>
        <w:t xml:space="preserve"> down or put your hands behind your back.’</w:t>
      </w:r>
    </w:p>
    <w:p w14:paraId="1C5D254E" w14:textId="77777777" w:rsidR="00062DA4" w:rsidRPr="00CA2B3F" w:rsidRDefault="00062DA4" w:rsidP="00062DA4">
      <w:pPr>
        <w:pStyle w:val="NoSpacing"/>
        <w:rPr>
          <w:rFonts w:ascii="Times New Roman" w:hAnsi="Times New Roman"/>
          <w:sz w:val="24"/>
          <w:szCs w:val="24"/>
        </w:rPr>
      </w:pPr>
    </w:p>
    <w:p w14:paraId="3C6CCF92"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3563E14B"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The parties </w:t>
      </w:r>
      <w:proofErr w:type="gramStart"/>
      <w:r w:rsidRPr="00CA2B3F">
        <w:rPr>
          <w:rFonts w:ascii="Times New Roman" w:hAnsi="Times New Roman"/>
          <w:sz w:val="24"/>
          <w:szCs w:val="24"/>
        </w:rPr>
        <w:t>dispute</w:t>
      </w:r>
      <w:proofErr w:type="gramEnd"/>
      <w:r w:rsidRPr="00CA2B3F">
        <w:rPr>
          <w:rFonts w:ascii="Times New Roman" w:hAnsi="Times New Roman"/>
          <w:sz w:val="24"/>
          <w:szCs w:val="24"/>
        </w:rPr>
        <w:t xml:space="preserve"> what happened next. [Court now references the plaintiff’s complaint.] Plaintiff alleges that, as Mr. Dizmang stood in the tree line approximately 20 feet from the road, [Paramedic] Fischer ‘suddenly and violently tackled’ him to the ground…. As alleged, Defendant Fischer put Mr. Dizmang into a chokehold by wrapping his arms around his neck while Defendant Reed handcuffed Mr. Dizmang’s hands behind his back….  Defendant Fischer maintained this hold for approximately 30 seconds…. Mr. Dizmang stopped moving.</w:t>
      </w:r>
    </w:p>
    <w:p w14:paraId="53C6B823" w14:textId="77777777" w:rsidR="00062DA4" w:rsidRPr="00CA2B3F" w:rsidRDefault="00062DA4" w:rsidP="00062DA4">
      <w:pPr>
        <w:pStyle w:val="NoSpacing"/>
        <w:rPr>
          <w:rFonts w:ascii="Times New Roman" w:hAnsi="Times New Roman"/>
          <w:sz w:val="24"/>
          <w:szCs w:val="24"/>
        </w:rPr>
      </w:pPr>
    </w:p>
    <w:p w14:paraId="0992F1E8"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then rolled Mr. Dizmang face down on the ground, with his</w:t>
      </w:r>
    </w:p>
    <w:p w14:paraId="655706EE"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hands on the back of Mr. Dizmang’s neck and ‘driving his body weight downward, [Mr. Dizmang’s] neck and face into the ground. … Plaintiff alleges that Defendant Fischer stayed in that position, ‘with his body weight on [Mr. Dizmang’s] neck and back,’ for approximately forty-five seconds….Defendants Fischer and Reed then rolled Mr. Dizmang into a seated position….  At that point, Mr. Dizmang still had a faint pulse, but he was struggling to breathe and was unresponsive to questions and commands…. A bystander repeatedly told Mr. Dizmang, </w:t>
      </w:r>
      <w:proofErr w:type="gramStart"/>
      <w:r w:rsidRPr="00CA2B3F">
        <w:rPr>
          <w:rFonts w:ascii="Times New Roman" w:hAnsi="Times New Roman"/>
          <w:sz w:val="24"/>
          <w:szCs w:val="24"/>
        </w:rPr>
        <w:t>‘talk</w:t>
      </w:r>
      <w:proofErr w:type="gramEnd"/>
      <w:r w:rsidRPr="00CA2B3F">
        <w:rPr>
          <w:rFonts w:ascii="Times New Roman" w:hAnsi="Times New Roman"/>
          <w:sz w:val="24"/>
          <w:szCs w:val="24"/>
        </w:rPr>
        <w:t xml:space="preserve"> to me,’ but he never responded…. Defendant Reed called for an ambulance…. Defendants Reed and Fischer left Mr. Dizmang in handcuffs…. He remained handcuffed for nearly seven minutes before he was loaded onto a stretcher and moved into an ambulance…. As alleged,</w:t>
      </w:r>
    </w:p>
    <w:p w14:paraId="56B1B466"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took no actions to provide medical care or resuscitate Mr. Dizmang….</w:t>
      </w:r>
    </w:p>
    <w:p w14:paraId="7A628205"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Defendant Fischer commented, ‘He’s not aspirating’ and ‘I want to attempt a</w:t>
      </w:r>
    </w:p>
    <w:p w14:paraId="3022F945"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nasal airway.’ …Medical staff attempted resuscitation measures once Mr. Dizmang was</w:t>
      </w:r>
    </w:p>
    <w:p w14:paraId="48C1A4DB"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transferred to the ambulance…. Once at the hospital, emergency room staff also attempted life-saving measures, but Mr. Dizmang was pronounced dead at 6:16 p.m.”</w:t>
      </w:r>
    </w:p>
    <w:p w14:paraId="47DE48C3" w14:textId="77777777" w:rsidR="00062DA4" w:rsidRPr="00CA2B3F" w:rsidRDefault="00062DA4" w:rsidP="00062DA4">
      <w:pPr>
        <w:pStyle w:val="NoSpacing"/>
        <w:rPr>
          <w:rFonts w:ascii="Times New Roman" w:hAnsi="Times New Roman"/>
          <w:sz w:val="24"/>
          <w:szCs w:val="24"/>
        </w:rPr>
      </w:pPr>
    </w:p>
    <w:p w14:paraId="359A4D90" w14:textId="77777777" w:rsidR="00062DA4" w:rsidRPr="00CA2B3F" w:rsidRDefault="00062DA4" w:rsidP="00062DA4">
      <w:pPr>
        <w:pStyle w:val="NoSpacing"/>
        <w:rPr>
          <w:rFonts w:ascii="Times New Roman" w:hAnsi="Times New Roman"/>
          <w:sz w:val="24"/>
          <w:szCs w:val="24"/>
        </w:rPr>
      </w:pPr>
      <w:r w:rsidRPr="00CA2B3F">
        <w:rPr>
          <w:rFonts w:ascii="Times New Roman" w:hAnsi="Times New Roman"/>
          <w:sz w:val="24"/>
          <w:szCs w:val="24"/>
        </w:rPr>
        <w:t>The Court held:</w:t>
      </w:r>
    </w:p>
    <w:p w14:paraId="7B9E564A" w14:textId="77777777" w:rsidR="00062DA4" w:rsidRPr="00CA2B3F" w:rsidRDefault="00062DA4" w:rsidP="00062DA4">
      <w:pPr>
        <w:pStyle w:val="NoSpacing"/>
        <w:rPr>
          <w:rFonts w:ascii="Times New Roman" w:hAnsi="Times New Roman"/>
          <w:sz w:val="24"/>
          <w:szCs w:val="24"/>
        </w:rPr>
      </w:pPr>
    </w:p>
    <w:p w14:paraId="046151F1"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“Here, based on the allegations in the complaint, it appears that [Paramedic] Fischer</w:t>
      </w:r>
    </w:p>
    <w:p w14:paraId="2491442C"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was not attempting to arrest Mr. Dizmang or otherwise enforce the law; he was trying to</w:t>
      </w:r>
    </w:p>
    <w:p w14:paraId="73F1199B"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subdue him so that he could be properly treated…. </w:t>
      </w:r>
      <w:proofErr w:type="gramStart"/>
      <w:r w:rsidRPr="00CA2B3F">
        <w:rPr>
          <w:rFonts w:ascii="Times New Roman" w:hAnsi="Times New Roman"/>
          <w:sz w:val="24"/>
          <w:szCs w:val="24"/>
        </w:rPr>
        <w:t>It is clear that Mr. Dizmang</w:t>
      </w:r>
      <w:proofErr w:type="gramEnd"/>
      <w:r w:rsidRPr="00CA2B3F">
        <w:rPr>
          <w:rFonts w:ascii="Times New Roman" w:hAnsi="Times New Roman"/>
          <w:sz w:val="24"/>
          <w:szCs w:val="24"/>
        </w:rPr>
        <w:t xml:space="preserve"> needed </w:t>
      </w:r>
    </w:p>
    <w:p w14:paraId="03705669"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treatment and that Defendant Fischer was attempting to fulfill his role as a treatment provider.</w:t>
      </w:r>
    </w:p>
    <w:p w14:paraId="07AF9A71" w14:textId="77777777" w:rsidR="00062DA4" w:rsidRPr="00CA2B3F" w:rsidRDefault="00062DA4" w:rsidP="00062DA4">
      <w:pPr>
        <w:pStyle w:val="NoSpacing"/>
        <w:rPr>
          <w:rFonts w:ascii="Times New Roman" w:hAnsi="Times New Roman"/>
          <w:sz w:val="24"/>
          <w:szCs w:val="24"/>
        </w:rPr>
      </w:pPr>
    </w:p>
    <w:p w14:paraId="76C49F8A"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70295DB4"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Even if a paramedic’s attempt to provide treatment amounts to a violation of a constitutional right to be free from </w:t>
      </w:r>
      <w:proofErr w:type="gramStart"/>
      <w:r w:rsidRPr="00CA2B3F">
        <w:rPr>
          <w:rFonts w:ascii="Times New Roman" w:hAnsi="Times New Roman"/>
          <w:sz w:val="24"/>
          <w:szCs w:val="24"/>
        </w:rPr>
        <w:t>an unlawful</w:t>
      </w:r>
      <w:proofErr w:type="gramEnd"/>
      <w:r w:rsidRPr="00CA2B3F">
        <w:rPr>
          <w:rFonts w:ascii="Times New Roman" w:hAnsi="Times New Roman"/>
          <w:sz w:val="24"/>
          <w:szCs w:val="24"/>
        </w:rPr>
        <w:t xml:space="preserve"> seizure, the right was not clearly established. The Tenth Circuit has not opined on whether or in what circumstances a paramedic can effectuate a Fourth Amendment seizure…. Thus, the Court grants Defendant Fischer’s motion to dismiss and declines to exercise supplemental jurisdiction over state law claims brought here.</w:t>
      </w:r>
    </w:p>
    <w:p w14:paraId="7DFCA3DE" w14:textId="77777777" w:rsidR="00062DA4" w:rsidRPr="00CA2B3F" w:rsidRDefault="00062DA4" w:rsidP="00062DA4">
      <w:pPr>
        <w:pStyle w:val="NoSpacing"/>
        <w:rPr>
          <w:rFonts w:ascii="Times New Roman" w:hAnsi="Times New Roman"/>
          <w:sz w:val="24"/>
          <w:szCs w:val="24"/>
        </w:rPr>
      </w:pPr>
    </w:p>
    <w:p w14:paraId="602787FD" w14:textId="77777777" w:rsidR="00062DA4" w:rsidRPr="00CA2B3F" w:rsidRDefault="00062DA4" w:rsidP="00062DA4">
      <w:pPr>
        <w:pStyle w:val="NoSpacing"/>
        <w:ind w:firstLine="720"/>
        <w:rPr>
          <w:rFonts w:ascii="Times New Roman" w:hAnsi="Times New Roman"/>
          <w:sz w:val="24"/>
          <w:szCs w:val="24"/>
        </w:rPr>
      </w:pPr>
      <w:r w:rsidRPr="00CA2B3F">
        <w:rPr>
          <w:rFonts w:ascii="Times New Roman" w:hAnsi="Times New Roman"/>
          <w:sz w:val="24"/>
          <w:szCs w:val="24"/>
        </w:rPr>
        <w:t>***</w:t>
      </w:r>
    </w:p>
    <w:p w14:paraId="6798D6FD" w14:textId="77777777" w:rsidR="00062DA4" w:rsidRPr="00CA2B3F" w:rsidRDefault="00062DA4" w:rsidP="00062DA4">
      <w:pPr>
        <w:pStyle w:val="NoSpacing"/>
        <w:rPr>
          <w:rFonts w:ascii="Times New Roman" w:hAnsi="Times New Roman"/>
          <w:sz w:val="24"/>
          <w:szCs w:val="24"/>
        </w:rPr>
      </w:pPr>
    </w:p>
    <w:p w14:paraId="6D7C9F32" w14:textId="77777777" w:rsidR="00062DA4" w:rsidRPr="00CA2B3F" w:rsidRDefault="00062DA4" w:rsidP="00062DA4">
      <w:pPr>
        <w:pStyle w:val="NoSpacing"/>
        <w:ind w:left="720"/>
        <w:rPr>
          <w:rFonts w:ascii="Times New Roman" w:hAnsi="Times New Roman"/>
          <w:sz w:val="24"/>
          <w:szCs w:val="24"/>
        </w:rPr>
      </w:pPr>
      <w:r w:rsidRPr="00CA2B3F">
        <w:rPr>
          <w:rFonts w:ascii="Times New Roman" w:hAnsi="Times New Roman"/>
          <w:sz w:val="24"/>
          <w:szCs w:val="24"/>
        </w:rPr>
        <w:t xml:space="preserve">[Police Officer] Reed is also entitled to qualified immunity based on the second prong. Plaintiff has not pointed to any Tenth Circuit precedent establishing a Fourth Amendment claim based on a failure to intervene in a paramedic’s alleged use of excessive </w:t>
      </w:r>
      <w:proofErr w:type="gramStart"/>
      <w:r w:rsidRPr="00CA2B3F">
        <w:rPr>
          <w:rFonts w:ascii="Times New Roman" w:hAnsi="Times New Roman"/>
          <w:sz w:val="24"/>
          <w:szCs w:val="24"/>
        </w:rPr>
        <w:t>force.”</w:t>
      </w:r>
      <w:proofErr w:type="gramEnd"/>
    </w:p>
    <w:p w14:paraId="60F42198" w14:textId="77777777" w:rsidR="00062DA4" w:rsidRPr="00CA2B3F" w:rsidRDefault="00062DA4" w:rsidP="00062DA4">
      <w:pPr>
        <w:pStyle w:val="NoSpacing"/>
        <w:rPr>
          <w:rFonts w:ascii="Times New Roman" w:hAnsi="Times New Roman"/>
          <w:sz w:val="24"/>
          <w:szCs w:val="24"/>
        </w:rPr>
      </w:pPr>
    </w:p>
    <w:p w14:paraId="10B9BBBC" w14:textId="77777777" w:rsidR="00062DA4" w:rsidRPr="00CA2B3F" w:rsidRDefault="00062DA4" w:rsidP="00062DA4">
      <w:pPr>
        <w:rPr>
          <w:rFonts w:ascii="Times New Roman" w:hAnsi="Times New Roman"/>
          <w:b/>
          <w:bCs/>
          <w:sz w:val="24"/>
          <w:szCs w:val="24"/>
        </w:rPr>
      </w:pPr>
      <w:r w:rsidRPr="00CA2B3F">
        <w:rPr>
          <w:rFonts w:ascii="Times New Roman" w:hAnsi="Times New Roman"/>
          <w:b/>
          <w:sz w:val="24"/>
          <w:szCs w:val="24"/>
        </w:rPr>
        <w:t xml:space="preserve">Legal Lesson Learned:  Critical Response Teams are a wonderful community asset; when subduing a mental </w:t>
      </w:r>
      <w:proofErr w:type="gramStart"/>
      <w:r w:rsidRPr="00CA2B3F">
        <w:rPr>
          <w:rFonts w:ascii="Times New Roman" w:hAnsi="Times New Roman"/>
          <w:b/>
          <w:sz w:val="24"/>
          <w:szCs w:val="24"/>
        </w:rPr>
        <w:t>patient</w:t>
      </w:r>
      <w:proofErr w:type="gramEnd"/>
      <w:r w:rsidRPr="00CA2B3F">
        <w:rPr>
          <w:rFonts w:ascii="Times New Roman" w:hAnsi="Times New Roman"/>
          <w:b/>
          <w:sz w:val="24"/>
          <w:szCs w:val="24"/>
        </w:rPr>
        <w:t xml:space="preserve"> it is helpful to have a member of the team videotape the conduct</w:t>
      </w:r>
    </w:p>
    <w:p w14:paraId="4063C3E9" w14:textId="77777777" w:rsidR="00062DA4" w:rsidRPr="00CA2B3F" w:rsidRDefault="00062DA4" w:rsidP="00062DA4">
      <w:pPr>
        <w:rPr>
          <w:rFonts w:ascii="Times New Roman" w:hAnsi="Times New Roman"/>
          <w:b/>
          <w:bCs/>
          <w:sz w:val="24"/>
          <w:szCs w:val="24"/>
        </w:rPr>
      </w:pPr>
    </w:p>
    <w:p w14:paraId="3EE97FDB" w14:textId="7695F3BE" w:rsidR="00062DA4" w:rsidRDefault="001A4CAA" w:rsidP="000C4DF5">
      <w:pPr>
        <w:pStyle w:val="NoSpacing"/>
        <w:rPr>
          <w:rFonts w:ascii="Arial Black" w:hAnsi="Arial Black"/>
          <w:sz w:val="24"/>
          <w:szCs w:val="24"/>
        </w:rPr>
      </w:pPr>
      <w:r>
        <w:rPr>
          <w:rFonts w:ascii="Arial Black" w:hAnsi="Arial Black"/>
          <w:sz w:val="24"/>
          <w:szCs w:val="24"/>
        </w:rPr>
        <w:t>15-36</w:t>
      </w:r>
      <w:r w:rsidR="00144037">
        <w:rPr>
          <w:rFonts w:ascii="Arial Black" w:hAnsi="Arial Black"/>
          <w:sz w:val="24"/>
          <w:szCs w:val="24"/>
        </w:rPr>
        <w:t xml:space="preserve"> [also filed, Chap. 6]</w:t>
      </w:r>
    </w:p>
    <w:p w14:paraId="3EE8DB43" w14:textId="77777777" w:rsidR="00144037" w:rsidRDefault="00144037" w:rsidP="000C4DF5">
      <w:pPr>
        <w:pStyle w:val="NoSpacing"/>
        <w:rPr>
          <w:rFonts w:ascii="Arial Black" w:hAnsi="Arial Black"/>
          <w:sz w:val="24"/>
          <w:szCs w:val="24"/>
        </w:rPr>
      </w:pPr>
    </w:p>
    <w:p w14:paraId="02D321ED" w14:textId="77777777" w:rsidR="001A4CAA" w:rsidRPr="000B7F2C" w:rsidRDefault="001A4CAA" w:rsidP="001A4CAA">
      <w:pPr>
        <w:rPr>
          <w:rFonts w:ascii="Arial Black" w:hAnsi="Arial Black"/>
          <w:sz w:val="28"/>
          <w:szCs w:val="28"/>
        </w:rPr>
      </w:pPr>
      <w:r w:rsidRPr="000B7F2C">
        <w:rPr>
          <w:rFonts w:ascii="Arial Black" w:hAnsi="Arial Black"/>
          <w:sz w:val="28"/>
          <w:szCs w:val="28"/>
        </w:rPr>
        <w:t>AR: PTSD –1 YR OF “DIAGNOSIS” TO FILE WORK COMP</w:t>
      </w:r>
    </w:p>
    <w:p w14:paraId="78C93492" w14:textId="77777777" w:rsidR="001A4CAA" w:rsidRPr="00144037" w:rsidRDefault="001A4CAA" w:rsidP="001A4CAA">
      <w:pPr>
        <w:rPr>
          <w:rFonts w:ascii="Times New Roman" w:hAnsi="Times New Roman"/>
          <w:sz w:val="24"/>
          <w:szCs w:val="24"/>
        </w:rPr>
      </w:pPr>
      <w:r w:rsidRPr="00144037">
        <w:rPr>
          <w:rFonts w:ascii="Times New Roman" w:hAnsi="Times New Roman"/>
          <w:sz w:val="24"/>
          <w:szCs w:val="24"/>
        </w:rPr>
        <w:t xml:space="preserve">On January 27, 2025, in </w:t>
      </w:r>
      <w:r w:rsidRPr="00144037">
        <w:rPr>
          <w:rFonts w:ascii="Times New Roman" w:hAnsi="Times New Roman"/>
          <w:sz w:val="24"/>
          <w:szCs w:val="24"/>
          <w:u w:val="single"/>
        </w:rPr>
        <w:t>City of Tucson v. The Industrial Commission of Arizona; Christopher Mercer, Respondent Employee</w:t>
      </w:r>
      <w:r w:rsidRPr="00144037">
        <w:rPr>
          <w:rFonts w:ascii="Times New Roman" w:hAnsi="Times New Roman"/>
          <w:sz w:val="24"/>
          <w:szCs w:val="24"/>
        </w:rPr>
        <w:t xml:space="preserve">, the Court of Appeals of Arizona, Second Division, (3 to 0; unpublished decision) upheld the Administrative Law Judge who ruled the 1-Year statute of limitations to file worker’s comp claim starts when the official diagnosis of PTSD has been made, not when employee has sought help for mental issues.  Time line: In 2017, with anger issues, his Captain suggested he see a psychiatrist; met six times between 2017 and 2021; in 2020 moved to slower station; April 2022 attended music festival off duty and helped female patient who feel 15 feet; that night at home threatened suicide including pulling trigger of 9 mil firearm (presumably unloaded); hospitalized 28 days at facility for first responders where for first time was diagnosed with PTSD; filed works comp claim July 30, 2022.  </w:t>
      </w:r>
      <w:hyperlink r:id="rId2408" w:history="1">
        <w:r w:rsidRPr="00144037">
          <w:rPr>
            <w:rStyle w:val="Hyperlink"/>
            <w:rFonts w:ascii="Times New Roman" w:hAnsi="Times New Roman"/>
            <w:sz w:val="24"/>
            <w:szCs w:val="24"/>
          </w:rPr>
          <w:t>https://cases.justia.com/arizona/court-of-appeals-division-two-unpublished/2025-2-ca-ic-2024-0003.pdf?ts=1738026580</w:t>
        </w:r>
      </w:hyperlink>
      <w:r w:rsidRPr="00144037">
        <w:rPr>
          <w:rFonts w:ascii="Times New Roman" w:hAnsi="Times New Roman"/>
          <w:sz w:val="24"/>
          <w:szCs w:val="24"/>
        </w:rPr>
        <w:t xml:space="preserve"> </w:t>
      </w:r>
    </w:p>
    <w:p w14:paraId="59F2BD13" w14:textId="77777777" w:rsidR="001A4CAA" w:rsidRPr="00144037" w:rsidRDefault="001A4CAA" w:rsidP="001A4CAA">
      <w:pPr>
        <w:rPr>
          <w:rFonts w:ascii="Times New Roman" w:hAnsi="Times New Roman"/>
          <w:sz w:val="24"/>
          <w:szCs w:val="24"/>
        </w:rPr>
      </w:pPr>
    </w:p>
    <w:p w14:paraId="504C725E" w14:textId="77777777" w:rsidR="001A4CAA" w:rsidRPr="00144037" w:rsidRDefault="001A4CAA" w:rsidP="001A4CAA">
      <w:pPr>
        <w:pStyle w:val="NoSpacing"/>
        <w:rPr>
          <w:rFonts w:ascii="Times New Roman" w:hAnsi="Times New Roman"/>
          <w:sz w:val="24"/>
          <w:szCs w:val="24"/>
        </w:rPr>
      </w:pPr>
      <w:r w:rsidRPr="00144037">
        <w:rPr>
          <w:rFonts w:ascii="Times New Roman" w:hAnsi="Times New Roman"/>
          <w:sz w:val="24"/>
          <w:szCs w:val="24"/>
        </w:rPr>
        <w:t xml:space="preserve">The Court wrote: </w:t>
      </w:r>
    </w:p>
    <w:p w14:paraId="1FCC72A4" w14:textId="77777777" w:rsidR="001A4CAA" w:rsidRPr="00144037" w:rsidRDefault="001A4CAA" w:rsidP="001A4CAA">
      <w:pPr>
        <w:pStyle w:val="NoSpacing"/>
        <w:rPr>
          <w:rFonts w:ascii="Times New Roman" w:hAnsi="Times New Roman"/>
          <w:sz w:val="24"/>
          <w:szCs w:val="24"/>
        </w:rPr>
      </w:pPr>
    </w:p>
    <w:p w14:paraId="0156C60A" w14:textId="77777777" w:rsidR="001A4CAA" w:rsidRPr="00144037" w:rsidRDefault="001A4CAA" w:rsidP="001A4CAA">
      <w:pPr>
        <w:pStyle w:val="NoSpacing"/>
        <w:ind w:left="720"/>
        <w:rPr>
          <w:rFonts w:ascii="Times New Roman" w:hAnsi="Times New Roman"/>
          <w:sz w:val="24"/>
          <w:szCs w:val="24"/>
        </w:rPr>
      </w:pPr>
      <w:r w:rsidRPr="00144037">
        <w:rPr>
          <w:rFonts w:ascii="Times New Roman" w:hAnsi="Times New Roman"/>
          <w:sz w:val="24"/>
          <w:szCs w:val="24"/>
        </w:rPr>
        <w:t>“The ALJ determined that he was never ‘officially diagnosed with PTSD’ until April 2022, and there was ‘insufficient evidence to find that his symptoms had become serious and acute enough to meet the diagnosis for PTSD’ before then. The ALJ further explained that April 2022 was also the point at which Mercer first required inpatient psychiatric treatment and first became unable to return to work. Accordingly, the ALJ determined that Mercer’s July 2022 ICA claim was timely.</w:t>
      </w:r>
    </w:p>
    <w:p w14:paraId="78F8138B" w14:textId="77777777" w:rsidR="001A4CAA" w:rsidRPr="00144037" w:rsidRDefault="001A4CAA" w:rsidP="001A4CAA">
      <w:pPr>
        <w:pStyle w:val="NoSpacing"/>
        <w:rPr>
          <w:rFonts w:ascii="Times New Roman" w:hAnsi="Times New Roman"/>
          <w:sz w:val="24"/>
          <w:szCs w:val="24"/>
        </w:rPr>
      </w:pPr>
    </w:p>
    <w:p w14:paraId="6012B840" w14:textId="77777777" w:rsidR="001A4CAA" w:rsidRPr="00144037" w:rsidRDefault="001A4CAA" w:rsidP="001A4CAA">
      <w:pPr>
        <w:pStyle w:val="NoSpacing"/>
        <w:ind w:firstLine="720"/>
        <w:rPr>
          <w:rFonts w:ascii="Times New Roman" w:hAnsi="Times New Roman"/>
          <w:sz w:val="24"/>
          <w:szCs w:val="24"/>
        </w:rPr>
      </w:pPr>
      <w:r w:rsidRPr="00144037">
        <w:rPr>
          <w:rFonts w:ascii="Times New Roman" w:hAnsi="Times New Roman"/>
          <w:sz w:val="24"/>
          <w:szCs w:val="24"/>
        </w:rPr>
        <w:t>***</w:t>
      </w:r>
    </w:p>
    <w:p w14:paraId="49336543" w14:textId="77777777" w:rsidR="001A4CAA" w:rsidRPr="00144037" w:rsidRDefault="001A4CAA" w:rsidP="001A4CAA">
      <w:pPr>
        <w:pStyle w:val="NoSpacing"/>
        <w:rPr>
          <w:rFonts w:ascii="Times New Roman" w:hAnsi="Times New Roman"/>
          <w:sz w:val="24"/>
          <w:szCs w:val="24"/>
        </w:rPr>
      </w:pPr>
    </w:p>
    <w:p w14:paraId="53C09866" w14:textId="77777777" w:rsidR="001A4CAA" w:rsidRPr="00144037" w:rsidRDefault="001A4CAA" w:rsidP="001A4CAA">
      <w:pPr>
        <w:pStyle w:val="NoSpacing"/>
        <w:ind w:left="720"/>
        <w:rPr>
          <w:rFonts w:ascii="Times New Roman" w:hAnsi="Times New Roman"/>
          <w:sz w:val="24"/>
          <w:szCs w:val="24"/>
        </w:rPr>
      </w:pPr>
      <w:r w:rsidRPr="00144037">
        <w:rPr>
          <w:rFonts w:ascii="Times New Roman" w:hAnsi="Times New Roman"/>
          <w:sz w:val="24"/>
          <w:szCs w:val="24"/>
        </w:rPr>
        <w:t>[T]</w:t>
      </w:r>
      <w:proofErr w:type="gramStart"/>
      <w:r w:rsidRPr="00144037">
        <w:rPr>
          <w:rFonts w:ascii="Times New Roman" w:hAnsi="Times New Roman"/>
          <w:sz w:val="24"/>
          <w:szCs w:val="24"/>
        </w:rPr>
        <w:t>he</w:t>
      </w:r>
      <w:proofErr w:type="gramEnd"/>
      <w:r w:rsidRPr="00144037">
        <w:rPr>
          <w:rFonts w:ascii="Times New Roman" w:hAnsi="Times New Roman"/>
          <w:sz w:val="24"/>
          <w:szCs w:val="24"/>
        </w:rPr>
        <w:t xml:space="preserve"> City contends it produced expert testimony that Mercer’s PTSD was diagnosable prior to July 2021, it has satisfied some portion of the test for the accrual of mental injuries. Not so.” </w:t>
      </w:r>
    </w:p>
    <w:p w14:paraId="1EA371D3" w14:textId="77777777" w:rsidR="001A4CAA" w:rsidRPr="00144037" w:rsidRDefault="001A4CAA" w:rsidP="001A4CAA">
      <w:pPr>
        <w:pStyle w:val="NoSpacing"/>
        <w:rPr>
          <w:rFonts w:ascii="Times New Roman" w:hAnsi="Times New Roman"/>
          <w:b/>
          <w:bCs/>
          <w:sz w:val="24"/>
          <w:szCs w:val="24"/>
        </w:rPr>
      </w:pPr>
    </w:p>
    <w:p w14:paraId="7F526D49" w14:textId="77777777" w:rsidR="001A4CAA" w:rsidRPr="00144037" w:rsidRDefault="001A4CAA" w:rsidP="001A4CAA">
      <w:pPr>
        <w:pStyle w:val="NoSpacing"/>
        <w:rPr>
          <w:rFonts w:ascii="Times New Roman" w:hAnsi="Times New Roman"/>
          <w:b/>
          <w:bCs/>
          <w:sz w:val="24"/>
          <w:szCs w:val="24"/>
        </w:rPr>
      </w:pPr>
      <w:r w:rsidRPr="00144037">
        <w:rPr>
          <w:rFonts w:ascii="Times New Roman" w:hAnsi="Times New Roman"/>
          <w:b/>
          <w:sz w:val="24"/>
          <w:szCs w:val="24"/>
        </w:rPr>
        <w:t xml:space="preserve">Legal Lesson Learned: Excellent decision; city can’t force employees to file workers comp claim when they are merely seeking assistance. </w:t>
      </w:r>
    </w:p>
    <w:p w14:paraId="18378E38" w14:textId="77777777" w:rsidR="001A4CAA" w:rsidRPr="00144037" w:rsidRDefault="001A4CAA" w:rsidP="001A4CAA">
      <w:pPr>
        <w:pStyle w:val="NoSpacing"/>
        <w:rPr>
          <w:rFonts w:ascii="Times New Roman" w:hAnsi="Times New Roman"/>
          <w:sz w:val="24"/>
          <w:szCs w:val="24"/>
        </w:rPr>
      </w:pPr>
    </w:p>
    <w:p w14:paraId="7C23C1EA" w14:textId="77777777" w:rsidR="001A4CAA" w:rsidRPr="00144037" w:rsidRDefault="001A4CAA" w:rsidP="000C4DF5">
      <w:pPr>
        <w:pStyle w:val="NoSpacing"/>
        <w:rPr>
          <w:rFonts w:ascii="Times New Roman" w:hAnsi="Times New Roman"/>
          <w:sz w:val="24"/>
          <w:szCs w:val="24"/>
        </w:rPr>
      </w:pPr>
    </w:p>
    <w:p w14:paraId="49D9197F" w14:textId="77777777" w:rsidR="004D6FB2" w:rsidRDefault="004D6FB2" w:rsidP="000C4DF5">
      <w:pPr>
        <w:pStyle w:val="NoSpacing"/>
        <w:rPr>
          <w:rFonts w:ascii="Arial Black" w:hAnsi="Arial Black"/>
          <w:sz w:val="24"/>
          <w:szCs w:val="24"/>
        </w:rPr>
      </w:pPr>
    </w:p>
    <w:p w14:paraId="1A8CACB4" w14:textId="77777777" w:rsidR="004D6FB2" w:rsidRDefault="004D6FB2" w:rsidP="000C4DF5">
      <w:pPr>
        <w:pStyle w:val="NoSpacing"/>
        <w:rPr>
          <w:rFonts w:ascii="Arial Black" w:hAnsi="Arial Black"/>
          <w:sz w:val="24"/>
          <w:szCs w:val="24"/>
        </w:rPr>
      </w:pPr>
    </w:p>
    <w:p w14:paraId="2031D947" w14:textId="28B3F362" w:rsidR="00503691" w:rsidRDefault="00503691" w:rsidP="000C4DF5">
      <w:pPr>
        <w:pStyle w:val="NoSpacing"/>
        <w:rPr>
          <w:rFonts w:ascii="Arial Black" w:hAnsi="Arial Black"/>
          <w:sz w:val="24"/>
          <w:szCs w:val="24"/>
        </w:rPr>
      </w:pPr>
      <w:r>
        <w:rPr>
          <w:rFonts w:ascii="Arial Black" w:hAnsi="Arial Black"/>
          <w:sz w:val="24"/>
          <w:szCs w:val="24"/>
        </w:rPr>
        <w:t>15-35</w:t>
      </w:r>
    </w:p>
    <w:p w14:paraId="7D8A8A4B" w14:textId="77777777" w:rsidR="00503691" w:rsidRDefault="00503691" w:rsidP="000C4DF5">
      <w:pPr>
        <w:pStyle w:val="NoSpacing"/>
        <w:rPr>
          <w:rFonts w:ascii="Arial Black" w:hAnsi="Arial Black"/>
          <w:sz w:val="24"/>
          <w:szCs w:val="24"/>
        </w:rPr>
      </w:pPr>
    </w:p>
    <w:p w14:paraId="091FA3E1" w14:textId="23260C29" w:rsidR="008619DE" w:rsidRPr="00A34AEC" w:rsidRDefault="008619DE" w:rsidP="008619DE">
      <w:pPr>
        <w:pStyle w:val="NoSpacing"/>
        <w:rPr>
          <w:rFonts w:ascii="Arial Black" w:hAnsi="Arial Black"/>
          <w:b/>
          <w:sz w:val="28"/>
          <w:szCs w:val="28"/>
        </w:rPr>
      </w:pPr>
      <w:r>
        <w:rPr>
          <w:rFonts w:ascii="Arial Black" w:hAnsi="Arial Black"/>
          <w:b/>
          <w:sz w:val="28"/>
          <w:szCs w:val="28"/>
        </w:rPr>
        <w:t xml:space="preserve">TX: SUICIDE ATT. – DORM FIRE – </w:t>
      </w:r>
      <w:r w:rsidR="00441F95">
        <w:rPr>
          <w:rFonts w:ascii="Arial Black" w:hAnsi="Arial Black"/>
          <w:b/>
          <w:sz w:val="28"/>
          <w:szCs w:val="28"/>
        </w:rPr>
        <w:t>AIR FORCE DISCHARGE</w:t>
      </w:r>
      <w:r>
        <w:rPr>
          <w:rFonts w:ascii="Arial Black" w:hAnsi="Arial Black"/>
          <w:b/>
          <w:sz w:val="28"/>
          <w:szCs w:val="28"/>
        </w:rPr>
        <w:t xml:space="preserve"> </w:t>
      </w:r>
    </w:p>
    <w:p w14:paraId="1DDEA12B" w14:textId="77777777" w:rsidR="008619DE" w:rsidRDefault="008619DE" w:rsidP="008619DE">
      <w:pPr>
        <w:pStyle w:val="NoSpacing"/>
        <w:rPr>
          <w:b/>
        </w:rPr>
      </w:pPr>
    </w:p>
    <w:p w14:paraId="00D9AB78" w14:textId="77777777" w:rsidR="008619DE" w:rsidRPr="008619DE" w:rsidRDefault="008619DE" w:rsidP="008619DE">
      <w:pPr>
        <w:pStyle w:val="NoSpacing"/>
        <w:rPr>
          <w:rFonts w:ascii="Times New Roman" w:hAnsi="Times New Roman"/>
          <w:bCs/>
          <w:sz w:val="24"/>
          <w:szCs w:val="24"/>
        </w:rPr>
      </w:pPr>
      <w:r w:rsidRPr="008619DE">
        <w:rPr>
          <w:rFonts w:ascii="Times New Roman" w:hAnsi="Times New Roman"/>
          <w:sz w:val="24"/>
          <w:szCs w:val="24"/>
        </w:rPr>
        <w:t xml:space="preserve">On Dec. 23, 2024, in </w:t>
      </w:r>
      <w:r w:rsidRPr="008619DE">
        <w:rPr>
          <w:rFonts w:ascii="Times New Roman" w:hAnsi="Times New Roman"/>
          <w:sz w:val="24"/>
          <w:szCs w:val="24"/>
          <w:u w:val="single"/>
        </w:rPr>
        <w:t>United States v. Randy B. Giles, Jr., Airman Basic (E-1), U.S. Air Force</w:t>
      </w:r>
      <w:r w:rsidRPr="008619DE">
        <w:rPr>
          <w:rFonts w:ascii="Times New Roman" w:hAnsi="Times New Roman"/>
          <w:sz w:val="24"/>
          <w:szCs w:val="24"/>
        </w:rPr>
        <w:t>, the United States Air Force Court of Criminal Appeals, held (3 to 0) that the bad-conduct discharge, confinement for 30 days, and forfeiture of $1,917.00 pay for one month was appropriate penalty, given the attempted suicide by starting a fire on Aug. 16, 2022 in his dormitory room at Sheppard Air Force Base (AFB), Wichita Falls, Texas.  Instructors had sent him to be evaluated by Air Force mental, which allowed him to return to his dorm. The Court wrote:</w:t>
      </w:r>
    </w:p>
    <w:p w14:paraId="3993BA97" w14:textId="77777777" w:rsidR="008619DE" w:rsidRPr="008619DE" w:rsidRDefault="008619DE" w:rsidP="008619DE">
      <w:pPr>
        <w:pStyle w:val="NoSpacing"/>
        <w:rPr>
          <w:rFonts w:ascii="Times New Roman" w:hAnsi="Times New Roman"/>
          <w:bCs/>
          <w:sz w:val="24"/>
          <w:szCs w:val="24"/>
        </w:rPr>
      </w:pPr>
    </w:p>
    <w:p w14:paraId="7369FBD5" w14:textId="77777777" w:rsidR="008619DE" w:rsidRPr="008619DE" w:rsidRDefault="008619DE" w:rsidP="008619DE">
      <w:pPr>
        <w:pStyle w:val="NoSpacing"/>
        <w:ind w:left="720"/>
        <w:rPr>
          <w:rFonts w:ascii="Times New Roman" w:hAnsi="Times New Roman"/>
          <w:b/>
          <w:sz w:val="24"/>
          <w:szCs w:val="24"/>
        </w:rPr>
      </w:pPr>
      <w:r w:rsidRPr="008619DE">
        <w:rPr>
          <w:rFonts w:ascii="Times New Roman" w:hAnsi="Times New Roman"/>
          <w:sz w:val="24"/>
          <w:szCs w:val="24"/>
        </w:rPr>
        <w:t xml:space="preserve">“We are not persuaded Appellant’s bad-conduct discharge is inappropriately severe. Contrary to Appellant’s argument, he was not prosecuted for attempting suicide; he was prosecuted for the serious offense of aggravated arson and related offenses, which created a risk to the health and safety to many of his fellow Airmen as well as himself. Appellant pleaded guilty to the charges, unconditionally admitting his criminal responsibility. Based on his guilty pleas, Appellant faced a maximum punishment that included a dishonorable discharge and confinement for 25 years, among other penalties. Through the  admitted evidence and Appellant’s unsworn statements, the court members were well-informed of the nature of his mental health problems and the progress of his inpatient treatment. The court members likely took these factors into account when they adjudged a relatively lenient sentence including only 30 days of confinement and one month of forfeitures—entirely nullified by the sentence credit the military judge awarded—in addition to the bad-conduct discharge. Having </w:t>
      </w:r>
      <w:proofErr w:type="gramStart"/>
      <w:r w:rsidRPr="008619DE">
        <w:rPr>
          <w:rFonts w:ascii="Times New Roman" w:hAnsi="Times New Roman"/>
          <w:sz w:val="24"/>
          <w:szCs w:val="24"/>
        </w:rPr>
        <w:t>given individualized consideration to</w:t>
      </w:r>
      <w:proofErr w:type="gramEnd"/>
      <w:r w:rsidRPr="008619DE">
        <w:rPr>
          <w:rFonts w:ascii="Times New Roman" w:hAnsi="Times New Roman"/>
          <w:sz w:val="24"/>
          <w:szCs w:val="24"/>
        </w:rPr>
        <w:t xml:space="preserve"> Appellant, the nature and seriousness of the offenses, Appellant’s record of service, and all other matters contained in the record of trial, we conclude Appellant’s sentence is not inappropriately severe.” </w:t>
      </w:r>
      <w:hyperlink r:id="rId2409" w:history="1">
        <w:r w:rsidRPr="008619DE">
          <w:rPr>
            <w:rStyle w:val="Hyperlink"/>
            <w:rFonts w:ascii="Times New Roman" w:hAnsi="Times New Roman"/>
            <w:b/>
            <w:sz w:val="24"/>
            <w:szCs w:val="24"/>
          </w:rPr>
          <w:t>https://afcca.law.af.mil/afcca_opinions/cp/giles_-_40482_u_2091447.pdf</w:t>
        </w:r>
      </w:hyperlink>
      <w:r w:rsidRPr="008619DE">
        <w:rPr>
          <w:rFonts w:ascii="Times New Roman" w:hAnsi="Times New Roman"/>
          <w:b/>
          <w:sz w:val="24"/>
          <w:szCs w:val="24"/>
        </w:rPr>
        <w:t xml:space="preserve"> </w:t>
      </w:r>
    </w:p>
    <w:p w14:paraId="43EF22E6" w14:textId="77777777" w:rsidR="008619DE" w:rsidRDefault="008619DE" w:rsidP="008619DE">
      <w:pPr>
        <w:pStyle w:val="NoSpacing"/>
        <w:ind w:left="720"/>
        <w:rPr>
          <w:bCs/>
        </w:rPr>
      </w:pPr>
      <w:r>
        <w:t xml:space="preserve"> </w:t>
      </w:r>
    </w:p>
    <w:p w14:paraId="4172A425" w14:textId="77777777" w:rsidR="009A3152" w:rsidRPr="00441F95" w:rsidRDefault="009A3152" w:rsidP="009A3152">
      <w:pPr>
        <w:pStyle w:val="NoSpacing"/>
        <w:rPr>
          <w:rFonts w:ascii="Times New Roman" w:hAnsi="Times New Roman"/>
          <w:bCs/>
          <w:sz w:val="24"/>
          <w:szCs w:val="24"/>
        </w:rPr>
      </w:pPr>
      <w:r w:rsidRPr="00441F95">
        <w:rPr>
          <w:rFonts w:ascii="Times New Roman" w:hAnsi="Times New Roman"/>
          <w:sz w:val="24"/>
          <w:szCs w:val="24"/>
        </w:rPr>
        <w:t xml:space="preserve">HOLDING:  </w:t>
      </w:r>
    </w:p>
    <w:p w14:paraId="660FE5A6" w14:textId="77777777" w:rsidR="009A3152" w:rsidRPr="00441F95" w:rsidRDefault="009A3152" w:rsidP="009A3152">
      <w:pPr>
        <w:pStyle w:val="NoSpacing"/>
        <w:rPr>
          <w:rFonts w:ascii="Times New Roman" w:hAnsi="Times New Roman"/>
          <w:bCs/>
          <w:sz w:val="24"/>
          <w:szCs w:val="24"/>
        </w:rPr>
      </w:pPr>
    </w:p>
    <w:p w14:paraId="0AE9F2B7" w14:textId="77777777" w:rsidR="009A3152" w:rsidRPr="00441F95" w:rsidRDefault="009A3152" w:rsidP="009A3152">
      <w:pPr>
        <w:pStyle w:val="NoSpacing"/>
        <w:ind w:left="720"/>
        <w:rPr>
          <w:rFonts w:ascii="Times New Roman" w:hAnsi="Times New Roman"/>
          <w:bCs/>
          <w:sz w:val="24"/>
          <w:szCs w:val="24"/>
        </w:rPr>
      </w:pPr>
      <w:r w:rsidRPr="00441F95">
        <w:rPr>
          <w:rFonts w:ascii="Times New Roman" w:hAnsi="Times New Roman"/>
          <w:sz w:val="24"/>
          <w:szCs w:val="24"/>
        </w:rPr>
        <w:t>“The findings as entered are correct in law, the sentence as entered is correct in law and fact, and no error materially prejudicial to the substantial rights of Appellant occurred. Articles 59(a) and 66(d), UCMJ, 10 U.S.C. §§ 859(a), 866(d). Accordingly, the findings and sentence are AFFIRMED.”</w:t>
      </w:r>
    </w:p>
    <w:p w14:paraId="4C110F0D" w14:textId="77777777" w:rsidR="009A3152" w:rsidRPr="00441F95" w:rsidRDefault="009A3152" w:rsidP="009A3152">
      <w:pPr>
        <w:pStyle w:val="NoSpacing"/>
        <w:ind w:left="720"/>
        <w:rPr>
          <w:rFonts w:ascii="Times New Roman" w:hAnsi="Times New Roman"/>
          <w:bCs/>
          <w:sz w:val="24"/>
          <w:szCs w:val="24"/>
        </w:rPr>
      </w:pPr>
    </w:p>
    <w:p w14:paraId="457B44E2" w14:textId="77777777" w:rsidR="009A3152" w:rsidRPr="00441F95" w:rsidRDefault="009A3152" w:rsidP="009A3152">
      <w:pPr>
        <w:pStyle w:val="NoSpacing"/>
        <w:rPr>
          <w:rFonts w:ascii="Times New Roman" w:hAnsi="Times New Roman"/>
          <w:b/>
          <w:sz w:val="24"/>
          <w:szCs w:val="24"/>
        </w:rPr>
      </w:pPr>
      <w:r w:rsidRPr="00441F95">
        <w:rPr>
          <w:rFonts w:ascii="Times New Roman" w:hAnsi="Times New Roman"/>
          <w:b/>
          <w:sz w:val="24"/>
          <w:szCs w:val="24"/>
        </w:rPr>
        <w:t xml:space="preserve">Legal Lesson Learned:  A fellow airman properly reported the arson threat to Instructors, who promptly referred him for mental evaluation.  It is unfortunate that the evaluation did not immediately lead to inpatient treatment. </w:t>
      </w:r>
    </w:p>
    <w:p w14:paraId="593B6C33" w14:textId="77777777" w:rsidR="00503691" w:rsidRPr="00441F95" w:rsidRDefault="00503691" w:rsidP="000C4DF5">
      <w:pPr>
        <w:pStyle w:val="NoSpacing"/>
        <w:rPr>
          <w:rFonts w:ascii="Times New Roman" w:hAnsi="Times New Roman"/>
          <w:sz w:val="24"/>
          <w:szCs w:val="24"/>
        </w:rPr>
      </w:pPr>
    </w:p>
    <w:p w14:paraId="0327D0AA" w14:textId="77777777" w:rsidR="00503691" w:rsidRDefault="00503691" w:rsidP="000C4DF5">
      <w:pPr>
        <w:pStyle w:val="NoSpacing"/>
        <w:rPr>
          <w:rFonts w:ascii="Arial Black" w:hAnsi="Arial Black"/>
          <w:sz w:val="24"/>
          <w:szCs w:val="24"/>
        </w:rPr>
      </w:pPr>
    </w:p>
    <w:p w14:paraId="57C0408D" w14:textId="77777777" w:rsidR="00955FF9" w:rsidRDefault="006547A0" w:rsidP="000C4DF5">
      <w:pPr>
        <w:pStyle w:val="NoSpacing"/>
        <w:rPr>
          <w:rFonts w:ascii="Arial Black" w:hAnsi="Arial Black"/>
          <w:sz w:val="24"/>
          <w:szCs w:val="24"/>
        </w:rPr>
      </w:pPr>
      <w:r>
        <w:rPr>
          <w:rFonts w:ascii="Arial Black" w:hAnsi="Arial Black"/>
          <w:sz w:val="24"/>
          <w:szCs w:val="24"/>
        </w:rPr>
        <w:t>15-34</w:t>
      </w:r>
      <w:r w:rsidR="00955FF9">
        <w:rPr>
          <w:rFonts w:ascii="Arial Black" w:hAnsi="Arial Black"/>
          <w:sz w:val="24"/>
          <w:szCs w:val="24"/>
        </w:rPr>
        <w:t xml:space="preserve">  </w:t>
      </w:r>
    </w:p>
    <w:p w14:paraId="1693C9B8" w14:textId="77777777" w:rsidR="00955FF9" w:rsidRDefault="00955FF9" w:rsidP="000C4DF5">
      <w:pPr>
        <w:pStyle w:val="NoSpacing"/>
        <w:rPr>
          <w:rFonts w:ascii="Arial Black" w:hAnsi="Arial Black"/>
          <w:sz w:val="24"/>
          <w:szCs w:val="24"/>
        </w:rPr>
      </w:pPr>
    </w:p>
    <w:p w14:paraId="01C62B28" w14:textId="342D26F5" w:rsidR="006547A0" w:rsidRDefault="008A552F" w:rsidP="000C4DF5">
      <w:pPr>
        <w:pStyle w:val="NoSpacing"/>
        <w:rPr>
          <w:rFonts w:ascii="Arial Black" w:hAnsi="Arial Black"/>
          <w:sz w:val="24"/>
          <w:szCs w:val="24"/>
        </w:rPr>
      </w:pPr>
      <w:r>
        <w:rPr>
          <w:rFonts w:ascii="Arial Black" w:hAnsi="Arial Black"/>
          <w:sz w:val="24"/>
          <w:szCs w:val="24"/>
        </w:rPr>
        <w:t xml:space="preserve">AR: </w:t>
      </w:r>
      <w:r w:rsidR="00955FF9">
        <w:rPr>
          <w:rFonts w:ascii="Arial Black" w:hAnsi="Arial Black"/>
          <w:sz w:val="24"/>
          <w:szCs w:val="24"/>
        </w:rPr>
        <w:t>FF DENIED WORKERS COMP – LACK PROOF PTSD CAUSED BY JOB</w:t>
      </w:r>
    </w:p>
    <w:p w14:paraId="59401C46" w14:textId="77777777" w:rsidR="006547A0" w:rsidRPr="005D4D24" w:rsidRDefault="006547A0" w:rsidP="000C4DF5">
      <w:pPr>
        <w:pStyle w:val="NoSpacing"/>
        <w:rPr>
          <w:rFonts w:ascii="Times New Roman" w:hAnsi="Times New Roman"/>
          <w:sz w:val="24"/>
          <w:szCs w:val="24"/>
        </w:rPr>
      </w:pPr>
    </w:p>
    <w:p w14:paraId="2BCEF997" w14:textId="671A12BA" w:rsidR="005D4D24" w:rsidRPr="005D4D24" w:rsidRDefault="005D4D24" w:rsidP="005D4D24">
      <w:pPr>
        <w:pStyle w:val="NoSpacing"/>
        <w:rPr>
          <w:rFonts w:ascii="Times New Roman" w:hAnsi="Times New Roman"/>
          <w:sz w:val="24"/>
          <w:szCs w:val="24"/>
        </w:rPr>
      </w:pPr>
      <w:r w:rsidRPr="005D4D24">
        <w:rPr>
          <w:rFonts w:ascii="Times New Roman" w:hAnsi="Times New Roman"/>
          <w:sz w:val="24"/>
          <w:szCs w:val="24"/>
        </w:rPr>
        <w:t xml:space="preserve">On September 26, 2024, in </w:t>
      </w:r>
      <w:r w:rsidRPr="005D4D24">
        <w:rPr>
          <w:rFonts w:ascii="Times New Roman" w:hAnsi="Times New Roman"/>
          <w:sz w:val="24"/>
          <w:szCs w:val="24"/>
          <w:u w:val="single"/>
        </w:rPr>
        <w:t>Jerald Franzmeier v. Industrial Commission of Arizona; City of Tolleson</w:t>
      </w:r>
      <w:r w:rsidRPr="005D4D24">
        <w:rPr>
          <w:rFonts w:ascii="Times New Roman" w:hAnsi="Times New Roman"/>
          <w:sz w:val="24"/>
          <w:szCs w:val="24"/>
        </w:rPr>
        <w:t xml:space="preserve">, the Court of Appeals of Arizona, First Division, held (3 to 0) that the firefighter was properly denied workers comp.  While fighting a fire in November 2021, Franzmeier experienced a “sudden alteration in [his] mental status” that left him confused and disorientated, and caused him to hallucinate; he was diagnosed by a psychiatrist with PTSD. In </w:t>
      </w:r>
      <w:proofErr w:type="gramStart"/>
      <w:r w:rsidRPr="005D4D24">
        <w:rPr>
          <w:rFonts w:ascii="Times New Roman" w:hAnsi="Times New Roman"/>
          <w:sz w:val="24"/>
          <w:szCs w:val="24"/>
        </w:rPr>
        <w:t>May</w:t>
      </w:r>
      <w:r w:rsidR="00955FF9">
        <w:rPr>
          <w:rFonts w:ascii="Times New Roman" w:hAnsi="Times New Roman"/>
          <w:sz w:val="24"/>
          <w:szCs w:val="24"/>
        </w:rPr>
        <w:t>,</w:t>
      </w:r>
      <w:proofErr w:type="gramEnd"/>
      <w:r w:rsidRPr="005D4D24">
        <w:rPr>
          <w:rFonts w:ascii="Times New Roman" w:hAnsi="Times New Roman"/>
          <w:sz w:val="24"/>
          <w:szCs w:val="24"/>
        </w:rPr>
        <w:t xml:space="preserve"> 2022 he filed a worker’s comp claim that alleged he got COVID from fellow firefighter on Aug. 21, 2020 [a week after he had flow to Maryland wearing mask and gloves on the plane] and that “long COVID” was the cause of his PTSD. The Court wrote: “However, Franzmeier offered no competent evidence showing, with a reasonable degree of medical probability, that his COVID-19 infection contributed to his mental injury.”  </w:t>
      </w:r>
      <w:hyperlink r:id="rId2410" w:history="1">
        <w:r w:rsidRPr="005D4D24">
          <w:rPr>
            <w:rStyle w:val="Hyperlink"/>
            <w:rFonts w:ascii="Times New Roman" w:hAnsi="Times New Roman"/>
            <w:sz w:val="24"/>
            <w:szCs w:val="24"/>
          </w:rPr>
          <w:t>https://cases.justia.com/arizona/court-of-appeals-division-one-unpublished/2024-1-ca-ic-23-0013.pdf?ts=1727375455</w:t>
        </w:r>
      </w:hyperlink>
    </w:p>
    <w:p w14:paraId="3E49EECC" w14:textId="77777777" w:rsidR="005D4D24" w:rsidRPr="005D4D24" w:rsidRDefault="005D4D24" w:rsidP="005D4D24">
      <w:pPr>
        <w:pStyle w:val="NoSpacing"/>
        <w:rPr>
          <w:rFonts w:ascii="Times New Roman" w:hAnsi="Times New Roman"/>
          <w:sz w:val="24"/>
          <w:szCs w:val="24"/>
        </w:rPr>
      </w:pPr>
    </w:p>
    <w:p w14:paraId="355AD2E4" w14:textId="77777777" w:rsidR="005D4D24" w:rsidRPr="005D4D24" w:rsidRDefault="005D4D24" w:rsidP="005D4D24">
      <w:pPr>
        <w:pStyle w:val="NoSpacing"/>
        <w:rPr>
          <w:rFonts w:ascii="Times New Roman" w:hAnsi="Times New Roman"/>
          <w:sz w:val="24"/>
          <w:szCs w:val="24"/>
        </w:rPr>
      </w:pPr>
      <w:r w:rsidRPr="005D4D24">
        <w:rPr>
          <w:rFonts w:ascii="Times New Roman" w:hAnsi="Times New Roman"/>
          <w:sz w:val="24"/>
          <w:szCs w:val="24"/>
        </w:rPr>
        <w:t>THE COURT HELD:</w:t>
      </w:r>
    </w:p>
    <w:p w14:paraId="785932F1" w14:textId="77777777" w:rsidR="005D4D24" w:rsidRPr="005D4D24" w:rsidRDefault="005D4D24" w:rsidP="005D4D24">
      <w:pPr>
        <w:pStyle w:val="NoSpacing"/>
        <w:rPr>
          <w:rFonts w:ascii="Times New Roman" w:hAnsi="Times New Roman"/>
          <w:sz w:val="24"/>
          <w:szCs w:val="24"/>
        </w:rPr>
      </w:pPr>
      <w:r w:rsidRPr="005D4D24">
        <w:rPr>
          <w:rFonts w:ascii="Times New Roman" w:hAnsi="Times New Roman"/>
          <w:sz w:val="24"/>
          <w:szCs w:val="24"/>
        </w:rPr>
        <w:t xml:space="preserve"> </w:t>
      </w:r>
    </w:p>
    <w:p w14:paraId="110437A6"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“Thus, Franzmeier needed to offer medical expert opinion evidence linking his mental injury to his employment, but he offered none. Instead, he testified to what his doctors told him, that there was ‘the possibility of a COVID claim,’ but his testimony made clear that these opinions were speculative. The Respondents presented the only competent medical evidence on causation through Dr. Lee, who opined that Franzmeier was probably infected during his cross-country trip.</w:t>
      </w:r>
    </w:p>
    <w:p w14:paraId="69D78497" w14:textId="77777777" w:rsidR="005D4D24" w:rsidRPr="005D4D24" w:rsidRDefault="005D4D24" w:rsidP="005D4D24">
      <w:pPr>
        <w:pStyle w:val="NoSpacing"/>
        <w:ind w:left="720"/>
        <w:rPr>
          <w:rFonts w:ascii="Times New Roman" w:hAnsi="Times New Roman"/>
          <w:sz w:val="24"/>
          <w:szCs w:val="24"/>
        </w:rPr>
      </w:pPr>
    </w:p>
    <w:p w14:paraId="0C0671EB"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w:t>
      </w:r>
    </w:p>
    <w:p w14:paraId="6E4D0EC6" w14:textId="77777777" w:rsidR="005D4D24" w:rsidRPr="005D4D24" w:rsidRDefault="005D4D24" w:rsidP="005D4D24">
      <w:pPr>
        <w:pStyle w:val="NoSpacing"/>
        <w:ind w:left="720"/>
        <w:rPr>
          <w:rFonts w:ascii="Times New Roman" w:hAnsi="Times New Roman"/>
          <w:sz w:val="24"/>
          <w:szCs w:val="24"/>
        </w:rPr>
      </w:pPr>
    </w:p>
    <w:p w14:paraId="1D3CA9EF"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Meanwhile, in preparation for the February 2023 hearing [before Worker’s Comp. Administrative Law Judge] , neurologist Dr. Leo Kahn performed an independent medical examination of Franzmeier at the Respondents’ request. Dr. Kahn physically examined Franzmeier and reviewed the available records, including medical records.</w:t>
      </w:r>
    </w:p>
    <w:p w14:paraId="3B4FEDCC"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Dr. Kahn acknowledged Franzmeier’s underlying psychological condition but concluded that no objective evidence supported Franzmeier’s claim that he sustained a neurological injury from contracting COVID-19 in 2020.”</w:t>
      </w:r>
    </w:p>
    <w:p w14:paraId="046278E4" w14:textId="77777777" w:rsidR="005D4D24" w:rsidRPr="005D4D24" w:rsidRDefault="005D4D24" w:rsidP="005D4D24">
      <w:pPr>
        <w:pStyle w:val="NoSpacing"/>
        <w:ind w:left="720"/>
        <w:rPr>
          <w:rFonts w:ascii="Times New Roman" w:hAnsi="Times New Roman"/>
          <w:sz w:val="24"/>
          <w:szCs w:val="24"/>
        </w:rPr>
      </w:pPr>
    </w:p>
    <w:p w14:paraId="50C464C5" w14:textId="77777777" w:rsidR="005D4D24" w:rsidRPr="005D4D24" w:rsidRDefault="005D4D24" w:rsidP="005D4D24">
      <w:pPr>
        <w:pStyle w:val="NoSpacing"/>
        <w:rPr>
          <w:rFonts w:ascii="Times New Roman" w:hAnsi="Times New Roman"/>
          <w:sz w:val="24"/>
          <w:szCs w:val="24"/>
        </w:rPr>
      </w:pPr>
      <w:r w:rsidRPr="005D4D24">
        <w:rPr>
          <w:rFonts w:ascii="Times New Roman" w:hAnsi="Times New Roman"/>
          <w:sz w:val="24"/>
          <w:szCs w:val="24"/>
        </w:rPr>
        <w:t>FACTS:</w:t>
      </w:r>
    </w:p>
    <w:p w14:paraId="195ABE46" w14:textId="77777777" w:rsidR="005D4D24" w:rsidRPr="005D4D24" w:rsidRDefault="005D4D24" w:rsidP="005D4D24">
      <w:pPr>
        <w:pStyle w:val="NoSpacing"/>
        <w:rPr>
          <w:rFonts w:ascii="Times New Roman" w:hAnsi="Times New Roman"/>
          <w:sz w:val="24"/>
          <w:szCs w:val="24"/>
        </w:rPr>
      </w:pPr>
    </w:p>
    <w:p w14:paraId="49423BB3"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“For nearly two decades, Franzmeier worked as a paramedic and firefighter for the City of Tolleson (‘City’). On August 18, 2020, he flew home to Arizona after visiting family in Maryland. The next day, he returned to work for a 48-hour shift, working closely with others at the fire station. On August 21, a co-worker tested positive for COVID-19. Five days later, Franzmeier tested positive. For the next ten days, Franzmeier quarantined at home before returning to work without incident. He experienced mild symptoms but never sought medical attention.</w:t>
      </w:r>
    </w:p>
    <w:p w14:paraId="0CF92BAE" w14:textId="77777777" w:rsidR="005D4D24" w:rsidRPr="005D4D24" w:rsidRDefault="005D4D24" w:rsidP="005D4D24">
      <w:pPr>
        <w:pStyle w:val="NoSpacing"/>
        <w:ind w:left="720"/>
        <w:rPr>
          <w:rFonts w:ascii="Times New Roman" w:hAnsi="Times New Roman"/>
          <w:sz w:val="24"/>
          <w:szCs w:val="24"/>
        </w:rPr>
      </w:pPr>
    </w:p>
    <w:p w14:paraId="4E0D6A08"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w:t>
      </w:r>
    </w:p>
    <w:p w14:paraId="73A99B1B" w14:textId="77777777" w:rsidR="005D4D24" w:rsidRPr="005D4D24" w:rsidRDefault="005D4D24" w:rsidP="005D4D24">
      <w:pPr>
        <w:pStyle w:val="NoSpacing"/>
        <w:rPr>
          <w:rFonts w:ascii="Times New Roman" w:hAnsi="Times New Roman"/>
          <w:sz w:val="24"/>
          <w:szCs w:val="24"/>
        </w:rPr>
      </w:pPr>
    </w:p>
    <w:p w14:paraId="4CB051B8"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 xml:space="preserve">More than a year later, while fighting a fire in November 2021, Franzmeier experienced a “sudden alteration in [his] mental status” that left him confused and disorientated, and caused him to hallucinate. He was taken off duty and evaluated by a psychiatrist, who diagnosed him with post-traumatic stress </w:t>
      </w:r>
      <w:proofErr w:type="gramStart"/>
      <w:r w:rsidRPr="005D4D24">
        <w:rPr>
          <w:rFonts w:ascii="Times New Roman" w:hAnsi="Times New Roman"/>
          <w:sz w:val="24"/>
          <w:szCs w:val="24"/>
        </w:rPr>
        <w:t>disorder (‘</w:t>
      </w:r>
      <w:proofErr w:type="gramEnd"/>
      <w:r w:rsidRPr="005D4D24">
        <w:rPr>
          <w:rFonts w:ascii="Times New Roman" w:hAnsi="Times New Roman"/>
          <w:sz w:val="24"/>
          <w:szCs w:val="24"/>
        </w:rPr>
        <w:t xml:space="preserve">PTSD’). Franzmeier believed his PTSD and other mental health symptoms resulted from ‘long COVID’ or </w:t>
      </w:r>
      <w:proofErr w:type="gramStart"/>
      <w:r w:rsidRPr="005D4D24">
        <w:rPr>
          <w:rFonts w:ascii="Times New Roman" w:hAnsi="Times New Roman"/>
          <w:sz w:val="24"/>
          <w:szCs w:val="24"/>
        </w:rPr>
        <w:t>a post-</w:t>
      </w:r>
      <w:proofErr w:type="gramEnd"/>
    </w:p>
    <w:p w14:paraId="233BE3E0"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COVID condition. He also believed he contracted the COVID-19 virus in August 2020 while at work and not during his earlier travels to and from Maryland.</w:t>
      </w:r>
    </w:p>
    <w:p w14:paraId="4BA1CEA8" w14:textId="77777777" w:rsidR="005D4D24" w:rsidRPr="005D4D24" w:rsidRDefault="005D4D24" w:rsidP="005D4D24">
      <w:pPr>
        <w:pStyle w:val="NoSpacing"/>
        <w:ind w:left="720"/>
        <w:rPr>
          <w:rFonts w:ascii="Times New Roman" w:hAnsi="Times New Roman"/>
          <w:sz w:val="24"/>
          <w:szCs w:val="24"/>
        </w:rPr>
      </w:pPr>
    </w:p>
    <w:p w14:paraId="1981EB69"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w:t>
      </w:r>
    </w:p>
    <w:p w14:paraId="2830CF99" w14:textId="77777777" w:rsidR="005D4D24" w:rsidRPr="005D4D24" w:rsidRDefault="005D4D24" w:rsidP="005D4D24">
      <w:pPr>
        <w:pStyle w:val="NoSpacing"/>
        <w:ind w:left="720"/>
        <w:rPr>
          <w:rFonts w:ascii="Times New Roman" w:hAnsi="Times New Roman"/>
          <w:sz w:val="24"/>
          <w:szCs w:val="24"/>
        </w:rPr>
      </w:pPr>
    </w:p>
    <w:p w14:paraId="7398D9C0"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The week before the scheduled hearing (Nov. 2022), Franzmeier’s wife checked him into an inpatient care facility for PTSD. Consequently, the ICA hearing was postponed to February 2023.</w:t>
      </w:r>
    </w:p>
    <w:p w14:paraId="49E68B4B" w14:textId="77777777" w:rsidR="005D4D24" w:rsidRPr="005D4D24" w:rsidRDefault="005D4D24" w:rsidP="005D4D24">
      <w:pPr>
        <w:pStyle w:val="NoSpacing"/>
        <w:ind w:left="720"/>
        <w:rPr>
          <w:rFonts w:ascii="Times New Roman" w:hAnsi="Times New Roman"/>
          <w:sz w:val="24"/>
          <w:szCs w:val="24"/>
        </w:rPr>
      </w:pPr>
    </w:p>
    <w:p w14:paraId="2C7A8F7E"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w:t>
      </w:r>
    </w:p>
    <w:p w14:paraId="74DFA70B"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 xml:space="preserve">Franzmeier represented himself and, outside of his own testimony, called no witnesses. When asked why he had not requested a medical expert to testify on his behalf, Franzmeier responded, ‘I believe that the -- </w:t>
      </w:r>
      <w:proofErr w:type="spellStart"/>
      <w:r w:rsidRPr="005D4D24">
        <w:rPr>
          <w:rFonts w:ascii="Times New Roman" w:hAnsi="Times New Roman"/>
          <w:sz w:val="24"/>
          <w:szCs w:val="24"/>
        </w:rPr>
        <w:t>the</w:t>
      </w:r>
      <w:proofErr w:type="spellEnd"/>
      <w:r w:rsidRPr="005D4D24">
        <w:rPr>
          <w:rFonts w:ascii="Times New Roman" w:hAnsi="Times New Roman"/>
          <w:sz w:val="24"/>
          <w:szCs w:val="24"/>
        </w:rPr>
        <w:t xml:space="preserve"> incident speaks for itself as -- </w:t>
      </w:r>
      <w:proofErr w:type="spellStart"/>
      <w:r w:rsidRPr="005D4D24">
        <w:rPr>
          <w:rFonts w:ascii="Times New Roman" w:hAnsi="Times New Roman"/>
          <w:sz w:val="24"/>
          <w:szCs w:val="24"/>
        </w:rPr>
        <w:t>as</w:t>
      </w:r>
      <w:proofErr w:type="spellEnd"/>
      <w:r w:rsidRPr="005D4D24">
        <w:rPr>
          <w:rFonts w:ascii="Times New Roman" w:hAnsi="Times New Roman"/>
          <w:sz w:val="24"/>
          <w:szCs w:val="24"/>
        </w:rPr>
        <w:t xml:space="preserve"> far as -- </w:t>
      </w:r>
      <w:proofErr w:type="spellStart"/>
      <w:r w:rsidRPr="005D4D24">
        <w:rPr>
          <w:rFonts w:ascii="Times New Roman" w:hAnsi="Times New Roman"/>
          <w:sz w:val="24"/>
          <w:szCs w:val="24"/>
        </w:rPr>
        <w:t>as</w:t>
      </w:r>
      <w:proofErr w:type="spellEnd"/>
      <w:r w:rsidRPr="005D4D24">
        <w:rPr>
          <w:rFonts w:ascii="Times New Roman" w:hAnsi="Times New Roman"/>
          <w:sz w:val="24"/>
          <w:szCs w:val="24"/>
        </w:rPr>
        <w:t xml:space="preserve"> mathematical possibilities.’ Franzmeier then testified that he believed he contracted the</w:t>
      </w:r>
    </w:p>
    <w:p w14:paraId="43183BC5" w14:textId="77777777" w:rsidR="005D4D24" w:rsidRPr="005D4D24" w:rsidRDefault="005D4D24" w:rsidP="005D4D24">
      <w:pPr>
        <w:pStyle w:val="NoSpacing"/>
        <w:ind w:left="720"/>
        <w:rPr>
          <w:rFonts w:ascii="Times New Roman" w:hAnsi="Times New Roman"/>
          <w:sz w:val="24"/>
          <w:szCs w:val="24"/>
        </w:rPr>
      </w:pPr>
      <w:r w:rsidRPr="005D4D24">
        <w:rPr>
          <w:rFonts w:ascii="Times New Roman" w:hAnsi="Times New Roman"/>
          <w:sz w:val="24"/>
          <w:szCs w:val="24"/>
        </w:rPr>
        <w:t>virus in August 2020 while at work, not while traveling to or from Maryland. In describing the injury he suffered, he recounted his PTSD symptoms and other cognitive events experienced in November 2021 and the months that followed. The ALJ asked Franzmeier whether he was asserting a claim that COVID-19 caused his mental health issues. Franzmeier testified that he had undergone an MRI that suggested ‘the possibility of a COVID claim because of COVID exposures,’ and further stated that the flashback he experienced in November 2021 ‘could be an exacerbation of COVID.’ But when the ALJ pressed whether any doctor had opined that COVID-19 caused his PTSD symptoms, Franzmeier admitted that none had. Franzmeier concluded his testimony by asserting that during the relevant ‘14-day incubation period,’ he had worked and slept for 304 hours (out of the 336 total hours), which he claimed established only a 10% probability that he became infected outside of work.”</w:t>
      </w:r>
    </w:p>
    <w:p w14:paraId="13B9C844" w14:textId="77777777" w:rsidR="005D4D24" w:rsidRPr="005D4D24" w:rsidRDefault="005D4D24" w:rsidP="005D4D24">
      <w:pPr>
        <w:pStyle w:val="NoSpacing"/>
        <w:ind w:left="720"/>
        <w:rPr>
          <w:rFonts w:ascii="Times New Roman" w:hAnsi="Times New Roman"/>
          <w:sz w:val="24"/>
          <w:szCs w:val="24"/>
        </w:rPr>
      </w:pPr>
    </w:p>
    <w:p w14:paraId="5944880E" w14:textId="77777777" w:rsidR="005D4D24" w:rsidRPr="005D4D24" w:rsidRDefault="005D4D24" w:rsidP="005D4D24">
      <w:pPr>
        <w:pStyle w:val="NoSpacing"/>
        <w:rPr>
          <w:rFonts w:ascii="Times New Roman" w:hAnsi="Times New Roman"/>
          <w:b/>
          <w:bCs/>
          <w:sz w:val="24"/>
          <w:szCs w:val="24"/>
        </w:rPr>
      </w:pPr>
      <w:r w:rsidRPr="005D4D24">
        <w:rPr>
          <w:rFonts w:ascii="Times New Roman" w:hAnsi="Times New Roman"/>
          <w:b/>
          <w:bCs/>
          <w:sz w:val="24"/>
          <w:szCs w:val="24"/>
        </w:rPr>
        <w:t>Legal Lesson Learned: The firefighter never offered any expert testimony or other proof that his PTSD was caused by exposure to COVID-19.</w:t>
      </w:r>
    </w:p>
    <w:p w14:paraId="36133904" w14:textId="77777777" w:rsidR="006547A0" w:rsidRDefault="006547A0" w:rsidP="000C4DF5">
      <w:pPr>
        <w:pStyle w:val="NoSpacing"/>
        <w:rPr>
          <w:rFonts w:ascii="Arial Black" w:hAnsi="Arial Black"/>
          <w:sz w:val="24"/>
          <w:szCs w:val="24"/>
        </w:rPr>
      </w:pPr>
    </w:p>
    <w:p w14:paraId="7E2A7071" w14:textId="77777777" w:rsidR="006547A0" w:rsidRDefault="006547A0" w:rsidP="000C4DF5">
      <w:pPr>
        <w:pStyle w:val="NoSpacing"/>
        <w:rPr>
          <w:rFonts w:ascii="Arial Black" w:hAnsi="Arial Black"/>
          <w:sz w:val="24"/>
          <w:szCs w:val="24"/>
        </w:rPr>
      </w:pPr>
    </w:p>
    <w:p w14:paraId="592AA11A" w14:textId="77777777" w:rsidR="006547A0" w:rsidRDefault="006547A0" w:rsidP="000C4DF5">
      <w:pPr>
        <w:pStyle w:val="NoSpacing"/>
        <w:rPr>
          <w:rFonts w:ascii="Arial Black" w:hAnsi="Arial Black"/>
          <w:sz w:val="24"/>
          <w:szCs w:val="24"/>
        </w:rPr>
      </w:pPr>
    </w:p>
    <w:p w14:paraId="2EFC7D46" w14:textId="3D2896B6" w:rsidR="003F2037" w:rsidRDefault="003F2037" w:rsidP="000C4DF5">
      <w:pPr>
        <w:pStyle w:val="NoSpacing"/>
        <w:rPr>
          <w:rFonts w:ascii="Arial Black" w:hAnsi="Arial Black"/>
          <w:sz w:val="24"/>
          <w:szCs w:val="24"/>
        </w:rPr>
      </w:pPr>
      <w:r>
        <w:rPr>
          <w:rFonts w:ascii="Arial Black" w:hAnsi="Arial Black"/>
          <w:sz w:val="24"/>
          <w:szCs w:val="24"/>
        </w:rPr>
        <w:t>15-33</w:t>
      </w:r>
    </w:p>
    <w:p w14:paraId="6498C0D0" w14:textId="4B45EBAE" w:rsidR="003F2037" w:rsidRPr="004A2F1A" w:rsidRDefault="003F2037" w:rsidP="003F2037">
      <w:pPr>
        <w:rPr>
          <w:rFonts w:ascii="Arial Black" w:hAnsi="Arial Black"/>
          <w:b/>
          <w:bCs/>
          <w:sz w:val="28"/>
        </w:rPr>
      </w:pPr>
      <w:r>
        <w:rPr>
          <w:rFonts w:ascii="Arial Black" w:hAnsi="Arial Black"/>
          <w:b/>
          <w:bCs/>
          <w:sz w:val="28"/>
        </w:rPr>
        <w:t xml:space="preserve">IL: FEMALE FF / MEDIC – PTSD AFTER FATHER’S DEATH – NO “LINE-OF-DUTY” PENSION – RECEIVES NON-DUTY PENSION </w:t>
      </w:r>
    </w:p>
    <w:p w14:paraId="5329C806"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 xml:space="preserve">On September 25, 2024, in </w:t>
      </w:r>
      <w:r w:rsidRPr="006547A0">
        <w:rPr>
          <w:rFonts w:ascii="Times New Roman" w:hAnsi="Times New Roman"/>
          <w:sz w:val="24"/>
          <w:szCs w:val="24"/>
          <w:u w:val="single"/>
        </w:rPr>
        <w:t>Cheryl Mayer v. The Board of Trustees of the Calumet City Firefighters Pension</w:t>
      </w:r>
      <w:r w:rsidRPr="006547A0">
        <w:rPr>
          <w:rFonts w:ascii="Times New Roman" w:hAnsi="Times New Roman"/>
          <w:sz w:val="24"/>
          <w:szCs w:val="24"/>
        </w:rPr>
        <w:t>, the Court of Appeals of Illinois, First District, Third Division, held (3 to 0) that the Board correctly denied her a “line-of-duty” pension based on findings of four independent medical evaluators, and the fact that prior to her father’s death in April, 2020, she could handle difficult EMS and other runs, including 2015 (active shooter scene), 2018 (suicide</w:t>
      </w:r>
    </w:p>
    <w:p w14:paraId="04EB6D91"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 xml:space="preserve">by hanging), and 2019 (suicide by self-inflicted gunshot wound).  The Court wrote: “Contrary to plaintiff’s contentions, the record reveals that the Board did not solely rely on the independent medical evaluators’ opinions as to the cause of her medical condition. The Board also relied on plaintiff’s own testimony, where she acknowledged that she did not abuse alcohol or suffer from depression or PTSD, until after her father’s death.” </w:t>
      </w:r>
      <w:hyperlink r:id="rId2411" w:history="1">
        <w:r w:rsidRPr="006547A0">
          <w:rPr>
            <w:rStyle w:val="Hyperlink"/>
            <w:rFonts w:ascii="Times New Roman" w:hAnsi="Times New Roman"/>
            <w:sz w:val="24"/>
            <w:szCs w:val="24"/>
          </w:rPr>
          <w:t>https://ilcourtsaudio.blob.core.windows.net/antilles-resources/resources/519d3cc5-abe9-4494-b624-73bca90ee228/Mayer%20v.%20%20Calumet%20Firefighters%20Pension%20Fund,%202024%20IL%20App%20(1st)%20232059-U.pdf</w:t>
        </w:r>
      </w:hyperlink>
      <w:r w:rsidRPr="006547A0">
        <w:rPr>
          <w:rFonts w:ascii="Times New Roman" w:hAnsi="Times New Roman"/>
          <w:sz w:val="24"/>
          <w:szCs w:val="24"/>
        </w:rPr>
        <w:t xml:space="preserve"> </w:t>
      </w:r>
    </w:p>
    <w:p w14:paraId="56D70FEB" w14:textId="77777777" w:rsidR="003F2037" w:rsidRPr="006547A0" w:rsidRDefault="003F2037" w:rsidP="003F2037">
      <w:pPr>
        <w:pStyle w:val="NoSpacing"/>
        <w:rPr>
          <w:rFonts w:ascii="Times New Roman" w:hAnsi="Times New Roman"/>
          <w:sz w:val="24"/>
          <w:szCs w:val="24"/>
        </w:rPr>
      </w:pPr>
    </w:p>
    <w:p w14:paraId="138A85B6"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THE COURT HELD:</w:t>
      </w:r>
    </w:p>
    <w:p w14:paraId="44385AB4" w14:textId="77777777" w:rsidR="003F2037" w:rsidRPr="006547A0" w:rsidRDefault="003F2037" w:rsidP="003F2037">
      <w:pPr>
        <w:pStyle w:val="NoSpacing"/>
        <w:rPr>
          <w:rFonts w:ascii="Times New Roman" w:hAnsi="Times New Roman"/>
          <w:sz w:val="24"/>
          <w:szCs w:val="24"/>
        </w:rPr>
      </w:pPr>
    </w:p>
    <w:p w14:paraId="40FC7F16"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ab/>
        <w:t>“To be entitled to a line-of-duty disability pension, a claimant is required to establish a</w:t>
      </w:r>
    </w:p>
    <w:p w14:paraId="31A444B6"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causal connection between the claimant’s disability and an act of duty.</w:t>
      </w:r>
    </w:p>
    <w:p w14:paraId="05ECCC2B" w14:textId="77777777" w:rsidR="003F2037" w:rsidRPr="006547A0" w:rsidRDefault="003F2037" w:rsidP="003F2037">
      <w:pPr>
        <w:pStyle w:val="NoSpacing"/>
        <w:ind w:firstLine="720"/>
        <w:rPr>
          <w:rFonts w:ascii="Times New Roman" w:hAnsi="Times New Roman"/>
          <w:sz w:val="24"/>
          <w:szCs w:val="24"/>
        </w:rPr>
      </w:pPr>
    </w:p>
    <w:p w14:paraId="68613D20"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w:t>
      </w:r>
    </w:p>
    <w:p w14:paraId="7572D49B"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Here, the independent medical evaluators all agreed that plaintiff suffered from preexisting mental and emotional issues that contributed to her disability, namely, depression, anxiety disorder, and PTSD. The issue is whether plaintiff’s preexisting conditions were aggravated by her duties as a firefighter/paramedic, thereby establishing a causal connection between her disability and service as a firefighter/paramedic.</w:t>
      </w:r>
    </w:p>
    <w:p w14:paraId="5153324C" w14:textId="77777777" w:rsidR="003F2037" w:rsidRPr="006547A0" w:rsidRDefault="003F2037" w:rsidP="003F2037">
      <w:pPr>
        <w:pStyle w:val="NoSpacing"/>
        <w:ind w:left="720"/>
        <w:rPr>
          <w:rFonts w:ascii="Times New Roman" w:hAnsi="Times New Roman"/>
          <w:sz w:val="24"/>
          <w:szCs w:val="24"/>
        </w:rPr>
      </w:pPr>
    </w:p>
    <w:p w14:paraId="7FBD6E57"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w:t>
      </w:r>
    </w:p>
    <w:p w14:paraId="213EEC8E" w14:textId="77777777" w:rsidR="003F2037" w:rsidRPr="006547A0" w:rsidRDefault="003F2037" w:rsidP="003F2037">
      <w:pPr>
        <w:pStyle w:val="NoSpacing"/>
        <w:rPr>
          <w:rFonts w:ascii="Times New Roman" w:hAnsi="Times New Roman"/>
          <w:sz w:val="24"/>
          <w:szCs w:val="24"/>
        </w:rPr>
      </w:pPr>
    </w:p>
    <w:p w14:paraId="0605BB43"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Contrary to plaintiff’s contentions, the record reveals that the Board did not solely rely on</w:t>
      </w:r>
    </w:p>
    <w:p w14:paraId="24EDAB3E"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the independent medical evaluators’ opinions as to the cause of her medical condition. The Board also relied on plaintiff’s own testimony, where she acknowledged that she did not abuse alcohol or suffer from depression or PTSD, until after her father’s death. The documentary evidence and testimony presented at the administrative hearing gave rise to a factual issue concerning whether plaintiff’s preexisting conditions were aggravated by her duties as a firefighter/paramedic.</w:t>
      </w:r>
    </w:p>
    <w:p w14:paraId="4CCF4250" w14:textId="77777777" w:rsidR="003F2037" w:rsidRPr="006547A0" w:rsidRDefault="003F2037" w:rsidP="003F2037">
      <w:pPr>
        <w:pStyle w:val="NoSpacing"/>
        <w:ind w:left="720"/>
        <w:rPr>
          <w:rFonts w:ascii="Times New Roman" w:hAnsi="Times New Roman"/>
          <w:sz w:val="24"/>
          <w:szCs w:val="24"/>
        </w:rPr>
      </w:pPr>
    </w:p>
    <w:p w14:paraId="462FDA44"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w:t>
      </w:r>
    </w:p>
    <w:p w14:paraId="34D54F6D"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The Board made a factual finding that plaintiff failed to meet her burden of establishing a</w:t>
      </w:r>
    </w:p>
    <w:p w14:paraId="7654D193"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 xml:space="preserve">causal connection between her preexisting conditions and her duties as a firefighter/paramedic. </w:t>
      </w:r>
      <w:proofErr w:type="gramStart"/>
      <w:r w:rsidRPr="006547A0">
        <w:rPr>
          <w:rFonts w:ascii="Times New Roman" w:hAnsi="Times New Roman"/>
          <w:sz w:val="24"/>
          <w:szCs w:val="24"/>
        </w:rPr>
        <w:t>In light of</w:t>
      </w:r>
      <w:proofErr w:type="gramEnd"/>
      <w:r w:rsidRPr="006547A0">
        <w:rPr>
          <w:rFonts w:ascii="Times New Roman" w:hAnsi="Times New Roman"/>
          <w:sz w:val="24"/>
          <w:szCs w:val="24"/>
        </w:rPr>
        <w:t xml:space="preserve"> the record before us, and the deference we must afford to a board’s credibility determinations and factual findings, we cannot say that the Board’s finding that plaintiff failed to meet her burden of proof was against the manifest weight of the evidence. We find that the Board’s </w:t>
      </w:r>
      <w:proofErr w:type="gramStart"/>
      <w:r w:rsidRPr="006547A0">
        <w:rPr>
          <w:rFonts w:ascii="Times New Roman" w:hAnsi="Times New Roman"/>
          <w:sz w:val="24"/>
          <w:szCs w:val="24"/>
        </w:rPr>
        <w:t>finding was</w:t>
      </w:r>
      <w:proofErr w:type="gramEnd"/>
      <w:r w:rsidRPr="006547A0">
        <w:rPr>
          <w:rFonts w:ascii="Times New Roman" w:hAnsi="Times New Roman"/>
          <w:sz w:val="24"/>
          <w:szCs w:val="24"/>
        </w:rPr>
        <w:t xml:space="preserve"> supported by competent </w:t>
      </w:r>
      <w:proofErr w:type="gramStart"/>
      <w:r w:rsidRPr="006547A0">
        <w:rPr>
          <w:rFonts w:ascii="Times New Roman" w:hAnsi="Times New Roman"/>
          <w:sz w:val="24"/>
          <w:szCs w:val="24"/>
        </w:rPr>
        <w:t>evidence.”</w:t>
      </w:r>
      <w:proofErr w:type="gramEnd"/>
    </w:p>
    <w:p w14:paraId="2EF8F176" w14:textId="77777777" w:rsidR="003F2037" w:rsidRPr="006547A0" w:rsidRDefault="003F2037" w:rsidP="003F2037">
      <w:pPr>
        <w:pStyle w:val="NoSpacing"/>
        <w:ind w:left="720"/>
        <w:rPr>
          <w:rFonts w:ascii="Times New Roman" w:hAnsi="Times New Roman"/>
          <w:sz w:val="24"/>
          <w:szCs w:val="24"/>
        </w:rPr>
      </w:pPr>
    </w:p>
    <w:p w14:paraId="1F53F57D"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FACTS:</w:t>
      </w:r>
    </w:p>
    <w:p w14:paraId="72FD8A08" w14:textId="77777777" w:rsidR="003F2037" w:rsidRPr="006547A0" w:rsidRDefault="003F2037" w:rsidP="003F2037">
      <w:pPr>
        <w:pStyle w:val="NoSpacing"/>
        <w:rPr>
          <w:rFonts w:ascii="Times New Roman" w:hAnsi="Times New Roman"/>
          <w:sz w:val="24"/>
          <w:szCs w:val="24"/>
        </w:rPr>
      </w:pPr>
    </w:p>
    <w:p w14:paraId="03A55C02"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“Plaintiff was 46 years old at the time of the hearing and the married mother of two sons,</w:t>
      </w:r>
    </w:p>
    <w:p w14:paraId="79C75904" w14:textId="77777777" w:rsidR="003F2037" w:rsidRPr="006547A0" w:rsidRDefault="003F2037" w:rsidP="003F2037">
      <w:pPr>
        <w:pStyle w:val="NoSpacing"/>
        <w:ind w:left="720"/>
        <w:rPr>
          <w:rFonts w:ascii="Times New Roman" w:hAnsi="Times New Roman"/>
          <w:sz w:val="24"/>
          <w:szCs w:val="24"/>
        </w:rPr>
      </w:pPr>
      <w:proofErr w:type="gramStart"/>
      <w:r w:rsidRPr="006547A0">
        <w:rPr>
          <w:rFonts w:ascii="Times New Roman" w:hAnsi="Times New Roman"/>
          <w:sz w:val="24"/>
          <w:szCs w:val="24"/>
        </w:rPr>
        <w:t>both over</w:t>
      </w:r>
      <w:proofErr w:type="gramEnd"/>
      <w:r w:rsidRPr="006547A0">
        <w:rPr>
          <w:rFonts w:ascii="Times New Roman" w:hAnsi="Times New Roman"/>
          <w:sz w:val="24"/>
          <w:szCs w:val="24"/>
        </w:rPr>
        <w:t xml:space="preserve"> twenty-one years of age. Plaintiff’s background included instances of domestic conflict between her mother and father; the murder of her older brother when she was nine years old; sexual molestation by a neighbor’s teenaged son when she was ten and eleven years old; and verbal and physical abuse by her mother, until she left home at eighteen. In 1998, plaintiff was successfully treated with Zoloft for post-partum depression after the birth of her second son.</w:t>
      </w:r>
    </w:p>
    <w:p w14:paraId="6FAEF9AB" w14:textId="77777777" w:rsidR="003F2037" w:rsidRPr="006547A0" w:rsidRDefault="003F2037" w:rsidP="003F2037">
      <w:pPr>
        <w:pStyle w:val="NoSpacing"/>
        <w:rPr>
          <w:rFonts w:ascii="Times New Roman" w:hAnsi="Times New Roman"/>
          <w:sz w:val="24"/>
          <w:szCs w:val="24"/>
        </w:rPr>
      </w:pPr>
    </w:p>
    <w:p w14:paraId="26AD01D8" w14:textId="77777777" w:rsidR="003F2037" w:rsidRPr="006547A0" w:rsidRDefault="003F2037" w:rsidP="003F2037">
      <w:pPr>
        <w:pStyle w:val="NoSpacing"/>
        <w:rPr>
          <w:rFonts w:ascii="Times New Roman" w:hAnsi="Times New Roman"/>
          <w:sz w:val="24"/>
          <w:szCs w:val="24"/>
        </w:rPr>
      </w:pPr>
      <w:r w:rsidRPr="006547A0">
        <w:rPr>
          <w:rFonts w:ascii="Times New Roman" w:hAnsi="Times New Roman"/>
          <w:sz w:val="24"/>
          <w:szCs w:val="24"/>
        </w:rPr>
        <w:tab/>
        <w:t>***</w:t>
      </w:r>
    </w:p>
    <w:p w14:paraId="562C8486" w14:textId="77777777" w:rsidR="003F2037" w:rsidRPr="006547A0" w:rsidRDefault="003F2037" w:rsidP="003F2037">
      <w:pPr>
        <w:pStyle w:val="NoSpacing"/>
        <w:rPr>
          <w:rFonts w:ascii="Times New Roman" w:hAnsi="Times New Roman"/>
          <w:sz w:val="24"/>
          <w:szCs w:val="24"/>
        </w:rPr>
      </w:pPr>
    </w:p>
    <w:p w14:paraId="04E4E658"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Plaintiff joined the Calumet Fire Department as a firefighter/paramedic on March 1, 2009. Before she was hired, plaintiff underwent and passed physical and psychological examinations. She was neither diagnosed with nor receiving treatment for any psychiatric conditions.</w:t>
      </w:r>
    </w:p>
    <w:p w14:paraId="5C657364" w14:textId="77777777" w:rsidR="003F2037" w:rsidRPr="006547A0" w:rsidRDefault="003F2037" w:rsidP="003F2037">
      <w:pPr>
        <w:pStyle w:val="NoSpacing"/>
        <w:ind w:left="720"/>
        <w:rPr>
          <w:rFonts w:ascii="Times New Roman" w:hAnsi="Times New Roman"/>
          <w:sz w:val="24"/>
          <w:szCs w:val="24"/>
        </w:rPr>
      </w:pPr>
    </w:p>
    <w:p w14:paraId="3B08B0B9"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w:t>
      </w:r>
    </w:p>
    <w:p w14:paraId="57708A8A" w14:textId="77777777" w:rsidR="003F2037" w:rsidRPr="006547A0" w:rsidRDefault="003F2037" w:rsidP="003F2037">
      <w:pPr>
        <w:pStyle w:val="NoSpacing"/>
        <w:rPr>
          <w:rFonts w:ascii="Times New Roman" w:hAnsi="Times New Roman"/>
          <w:sz w:val="24"/>
          <w:szCs w:val="24"/>
        </w:rPr>
      </w:pPr>
    </w:p>
    <w:p w14:paraId="137FA81A"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In July 2020, plaintiff began receiving psychological counseling from Dr. Katie Johnson,</w:t>
      </w:r>
    </w:p>
    <w:p w14:paraId="2360AA5D"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 xml:space="preserve">a licensed clinical professional counselor. On August 14, 2020, plaintiff reported to Johnson that she had suicidal ideations and had posted to Facebook that she put a firearm </w:t>
      </w:r>
      <w:proofErr w:type="gramStart"/>
      <w:r w:rsidRPr="006547A0">
        <w:rPr>
          <w:rFonts w:ascii="Times New Roman" w:hAnsi="Times New Roman"/>
          <w:sz w:val="24"/>
          <w:szCs w:val="24"/>
        </w:rPr>
        <w:t>to</w:t>
      </w:r>
      <w:proofErr w:type="gramEnd"/>
      <w:r w:rsidRPr="006547A0">
        <w:rPr>
          <w:rFonts w:ascii="Times New Roman" w:hAnsi="Times New Roman"/>
          <w:sz w:val="24"/>
          <w:szCs w:val="24"/>
        </w:rPr>
        <w:t xml:space="preserve"> her head and contemplated committing suicide. Plaintiff was eventually referred to Dr. Kelsey Oster, for a neuropsychological evaluation. She was admitted into a 28-day inpatient substance-abuse program at Advanced Recovery Systems in Orlando, Florida. Plaintiff testified that the program helped her stop drinking. After her discharge from the program, plaintiff continued working full duty without restrictions. At the time of the hearing, plaintiff was still seeing Dr. Johnson ‘every week to two weeks.’</w:t>
      </w:r>
    </w:p>
    <w:p w14:paraId="4E747F1C" w14:textId="77777777" w:rsidR="003F2037" w:rsidRPr="006547A0" w:rsidRDefault="003F2037" w:rsidP="003F2037">
      <w:pPr>
        <w:pStyle w:val="NoSpacing"/>
        <w:ind w:left="720"/>
        <w:rPr>
          <w:rFonts w:ascii="Times New Roman" w:hAnsi="Times New Roman"/>
          <w:sz w:val="24"/>
          <w:szCs w:val="24"/>
        </w:rPr>
      </w:pPr>
    </w:p>
    <w:p w14:paraId="663D4064"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w:t>
      </w:r>
    </w:p>
    <w:p w14:paraId="56DC39C2" w14:textId="77777777" w:rsidR="003F2037" w:rsidRPr="006547A0" w:rsidRDefault="003F2037" w:rsidP="003F2037">
      <w:pPr>
        <w:pStyle w:val="NoSpacing"/>
        <w:rPr>
          <w:rFonts w:ascii="Times New Roman" w:hAnsi="Times New Roman"/>
          <w:sz w:val="24"/>
          <w:szCs w:val="24"/>
        </w:rPr>
      </w:pPr>
    </w:p>
    <w:p w14:paraId="59A0A3DD" w14:textId="77777777" w:rsidR="003F2037" w:rsidRPr="006547A0" w:rsidRDefault="003F2037" w:rsidP="003F2037">
      <w:pPr>
        <w:pStyle w:val="NoSpacing"/>
        <w:ind w:firstLine="720"/>
        <w:rPr>
          <w:rFonts w:ascii="Times New Roman" w:hAnsi="Times New Roman"/>
          <w:sz w:val="24"/>
          <w:szCs w:val="24"/>
        </w:rPr>
      </w:pPr>
      <w:r w:rsidRPr="006547A0">
        <w:rPr>
          <w:rFonts w:ascii="Times New Roman" w:hAnsi="Times New Roman"/>
          <w:sz w:val="24"/>
          <w:szCs w:val="24"/>
        </w:rPr>
        <w:t>On February 12, 2021, plaintiff responded to a call involving a man in full cardiac arrest.</w:t>
      </w:r>
    </w:p>
    <w:p w14:paraId="02BB2DB4"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As plaintiff was attempting resuscitation efforts, a female family member, who did not have a ‘do-not-resuscitate’ order or a power of attorney, started yelling not to touch him. When plaintiff’s supervisor instructed emergency personnel to honor the woman’s wishes, plaintiff became upset and asked why they were not following the pandemic protocols. Plaintiff left the house and began complaining and swearing to a nearby police officer. Plaintiff returned to the station, but did not finish her shift, claiming she was sick and needed to go home. That was the last day plaintiff worked in a full and unrestricted capacity as a firefighter/paramedic for the Calumet Fire Department.”</w:t>
      </w:r>
    </w:p>
    <w:p w14:paraId="61D512C1" w14:textId="77777777" w:rsidR="003F2037" w:rsidRPr="006547A0" w:rsidRDefault="003F2037" w:rsidP="003F2037">
      <w:pPr>
        <w:pStyle w:val="NoSpacing"/>
        <w:ind w:left="720"/>
        <w:rPr>
          <w:rFonts w:ascii="Times New Roman" w:hAnsi="Times New Roman"/>
          <w:sz w:val="24"/>
          <w:szCs w:val="24"/>
        </w:rPr>
      </w:pPr>
    </w:p>
    <w:p w14:paraId="463D5114" w14:textId="77777777" w:rsidR="003F2037" w:rsidRPr="006547A0" w:rsidRDefault="003F2037" w:rsidP="003F2037">
      <w:pPr>
        <w:pStyle w:val="NoSpacing"/>
        <w:rPr>
          <w:rFonts w:ascii="Times New Roman" w:hAnsi="Times New Roman"/>
          <w:b/>
          <w:bCs/>
          <w:sz w:val="24"/>
          <w:szCs w:val="24"/>
        </w:rPr>
      </w:pPr>
      <w:r w:rsidRPr="006547A0">
        <w:rPr>
          <w:rFonts w:ascii="Times New Roman" w:hAnsi="Times New Roman"/>
          <w:b/>
          <w:bCs/>
          <w:sz w:val="24"/>
          <w:szCs w:val="24"/>
        </w:rPr>
        <w:t xml:space="preserve">Legal Lesson Learned: The Board’s independent medical experts found that she could perform her duties as firefighter / medic, despite her anxiety and depression, until death of her father.   </w:t>
      </w:r>
    </w:p>
    <w:p w14:paraId="395C4A60" w14:textId="77777777" w:rsidR="003F2037" w:rsidRPr="006547A0" w:rsidRDefault="003F2037" w:rsidP="003F2037">
      <w:pPr>
        <w:pStyle w:val="NoSpacing"/>
        <w:rPr>
          <w:rFonts w:ascii="Times New Roman" w:hAnsi="Times New Roman"/>
          <w:sz w:val="24"/>
          <w:szCs w:val="24"/>
        </w:rPr>
      </w:pPr>
    </w:p>
    <w:p w14:paraId="249E241C"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 xml:space="preserve">Note:  Dr. </w:t>
      </w:r>
      <w:proofErr w:type="spellStart"/>
      <w:r w:rsidRPr="006547A0">
        <w:rPr>
          <w:rFonts w:ascii="Times New Roman" w:hAnsi="Times New Roman"/>
          <w:sz w:val="24"/>
          <w:szCs w:val="24"/>
        </w:rPr>
        <w:t>Ganellen</w:t>
      </w:r>
      <w:proofErr w:type="spellEnd"/>
      <w:r w:rsidRPr="006547A0">
        <w:rPr>
          <w:rFonts w:ascii="Times New Roman" w:hAnsi="Times New Roman"/>
          <w:sz w:val="24"/>
          <w:szCs w:val="24"/>
        </w:rPr>
        <w:t xml:space="preserve"> noted that plaintiff’s medical records revealed she was being treated for anxiety and depression as early as 2018, but that these conditions “markedly” worsened after the death of her father in April 2020.</w:t>
      </w:r>
    </w:p>
    <w:p w14:paraId="61DC1AD7" w14:textId="77777777" w:rsidR="003F2037" w:rsidRPr="006547A0" w:rsidRDefault="003F2037" w:rsidP="003F2037">
      <w:pPr>
        <w:pStyle w:val="NoSpacing"/>
        <w:ind w:left="720"/>
        <w:rPr>
          <w:rFonts w:ascii="Times New Roman" w:hAnsi="Times New Roman"/>
          <w:sz w:val="24"/>
          <w:szCs w:val="24"/>
        </w:rPr>
      </w:pPr>
    </w:p>
    <w:p w14:paraId="53FE8DAF"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w:t>
      </w:r>
    </w:p>
    <w:p w14:paraId="678E5BC5" w14:textId="77777777" w:rsidR="003F2037" w:rsidRPr="006547A0" w:rsidRDefault="003F2037" w:rsidP="003F2037">
      <w:pPr>
        <w:pStyle w:val="NoSpacing"/>
        <w:rPr>
          <w:rFonts w:ascii="Times New Roman" w:hAnsi="Times New Roman"/>
          <w:sz w:val="24"/>
          <w:szCs w:val="24"/>
        </w:rPr>
      </w:pPr>
    </w:p>
    <w:p w14:paraId="5B6395AB" w14:textId="77777777" w:rsidR="003F2037" w:rsidRPr="006547A0" w:rsidRDefault="003F2037" w:rsidP="003F2037">
      <w:pPr>
        <w:pStyle w:val="NoSpacing"/>
        <w:ind w:left="720"/>
        <w:rPr>
          <w:rFonts w:ascii="Times New Roman" w:hAnsi="Times New Roman"/>
          <w:sz w:val="24"/>
          <w:szCs w:val="24"/>
        </w:rPr>
      </w:pPr>
      <w:r w:rsidRPr="006547A0">
        <w:rPr>
          <w:rFonts w:ascii="Times New Roman" w:hAnsi="Times New Roman"/>
          <w:sz w:val="24"/>
          <w:szCs w:val="24"/>
        </w:rPr>
        <w:t>Dr. Conroe noted that plaintiff exhibited symptoms of anxiety and depression prior to her father’s death, but that ‘they were moderate and did not interfere with her functioning at work.’ According to the doctor, the death of plaintiff’s father ‘lessened her stress tolerance and affected her ability to respond appropriately to similar subsequent emergencies.’ Dr. Conroe determined that work events ‘were not the cause of [plaintiff’s] disability, but rather her father’s death and the surrounding circumstances fueled her emotional reactions to these demanding situations.’”</w:t>
      </w:r>
    </w:p>
    <w:p w14:paraId="4D44D47E" w14:textId="77777777" w:rsidR="003F2037" w:rsidRDefault="003F2037" w:rsidP="000C4DF5">
      <w:pPr>
        <w:pStyle w:val="NoSpacing"/>
        <w:rPr>
          <w:rFonts w:ascii="Arial Black" w:hAnsi="Arial Black"/>
          <w:sz w:val="24"/>
          <w:szCs w:val="24"/>
        </w:rPr>
      </w:pPr>
    </w:p>
    <w:p w14:paraId="7725BE34" w14:textId="77777777" w:rsidR="003F2037" w:rsidRDefault="003F2037" w:rsidP="000C4DF5">
      <w:pPr>
        <w:pStyle w:val="NoSpacing"/>
        <w:rPr>
          <w:rFonts w:ascii="Arial Black" w:hAnsi="Arial Black"/>
          <w:sz w:val="24"/>
          <w:szCs w:val="24"/>
        </w:rPr>
      </w:pPr>
    </w:p>
    <w:p w14:paraId="329FE35D" w14:textId="77777777" w:rsidR="003F2037" w:rsidRDefault="003F2037" w:rsidP="000C4DF5">
      <w:pPr>
        <w:pStyle w:val="NoSpacing"/>
        <w:rPr>
          <w:rFonts w:ascii="Arial Black" w:hAnsi="Arial Black"/>
          <w:sz w:val="24"/>
          <w:szCs w:val="24"/>
        </w:rPr>
      </w:pPr>
    </w:p>
    <w:p w14:paraId="425F8798" w14:textId="7DFECA32" w:rsidR="00AB3777" w:rsidRDefault="00AB3777" w:rsidP="000C4DF5">
      <w:pPr>
        <w:pStyle w:val="NoSpacing"/>
        <w:rPr>
          <w:rFonts w:ascii="Arial Black" w:hAnsi="Arial Black"/>
          <w:sz w:val="24"/>
          <w:szCs w:val="24"/>
        </w:rPr>
      </w:pPr>
      <w:r>
        <w:rPr>
          <w:rFonts w:ascii="Arial Black" w:hAnsi="Arial Black"/>
          <w:sz w:val="24"/>
          <w:szCs w:val="24"/>
        </w:rPr>
        <w:t>15-32</w:t>
      </w:r>
    </w:p>
    <w:p w14:paraId="1B018D5B" w14:textId="77777777" w:rsidR="00AB3777" w:rsidRDefault="00AB3777" w:rsidP="000C4DF5">
      <w:pPr>
        <w:pStyle w:val="NoSpacing"/>
        <w:rPr>
          <w:rFonts w:ascii="Arial Black" w:hAnsi="Arial Black"/>
          <w:sz w:val="24"/>
          <w:szCs w:val="24"/>
        </w:rPr>
      </w:pPr>
    </w:p>
    <w:p w14:paraId="5676A8E1" w14:textId="78952469" w:rsidR="009622FF" w:rsidRPr="003066C5" w:rsidRDefault="009622FF" w:rsidP="009622FF">
      <w:pPr>
        <w:rPr>
          <w:rFonts w:ascii="Arial Black" w:hAnsi="Arial Black"/>
          <w:b/>
          <w:bCs/>
          <w:sz w:val="28"/>
          <w:szCs w:val="28"/>
        </w:rPr>
      </w:pPr>
      <w:r>
        <w:rPr>
          <w:rFonts w:ascii="Arial Black" w:hAnsi="Arial Black"/>
          <w:b/>
          <w:bCs/>
          <w:sz w:val="28"/>
          <w:szCs w:val="28"/>
        </w:rPr>
        <w:t>ME: DROWNING / PSYCH - FF SHOUTED: “GONNA KICK HIS ASS IF HE GETS OUT OF THAT WATER” – CASE DISMISSED</w:t>
      </w:r>
    </w:p>
    <w:p w14:paraId="2139B35B" w14:textId="77777777" w:rsidR="009622FF" w:rsidRDefault="009622FF" w:rsidP="009622FF">
      <w:pPr>
        <w:jc w:val="both"/>
        <w:rPr>
          <w:rFonts w:ascii="Times New Roman" w:hAnsi="Times New Roman"/>
          <w:sz w:val="24"/>
          <w:szCs w:val="24"/>
        </w:rPr>
      </w:pPr>
      <w:r>
        <w:rPr>
          <w:rFonts w:ascii="Times New Roman" w:hAnsi="Times New Roman"/>
          <w:sz w:val="24"/>
          <w:szCs w:val="24"/>
        </w:rPr>
        <w:t xml:space="preserve">On Aug. 1, 2024, in </w:t>
      </w:r>
      <w:r w:rsidRPr="002D27CC">
        <w:rPr>
          <w:rFonts w:ascii="Times New Roman" w:hAnsi="Times New Roman"/>
          <w:sz w:val="24"/>
          <w:szCs w:val="24"/>
          <w:u w:val="single"/>
        </w:rPr>
        <w:t>John Cohen v. City of Portland, et al.</w:t>
      </w:r>
      <w:r>
        <w:rPr>
          <w:rFonts w:ascii="Times New Roman" w:hAnsi="Times New Roman"/>
          <w:sz w:val="24"/>
          <w:szCs w:val="24"/>
        </w:rPr>
        <w:t>, the U.S. Court of Appeals for 1</w:t>
      </w:r>
      <w:r w:rsidRPr="002D27CC">
        <w:rPr>
          <w:rFonts w:ascii="Times New Roman" w:hAnsi="Times New Roman"/>
          <w:sz w:val="24"/>
          <w:szCs w:val="24"/>
          <w:vertAlign w:val="superscript"/>
        </w:rPr>
        <w:t>st</w:t>
      </w:r>
      <w:r>
        <w:rPr>
          <w:rFonts w:ascii="Times New Roman" w:hAnsi="Times New Roman"/>
          <w:sz w:val="24"/>
          <w:szCs w:val="24"/>
        </w:rPr>
        <w:t xml:space="preserve"> Circuit (Boston), held (3 to 0) that Federal District Court judge properly granted summary judgment to City, police officers and the firefighter who made the “kick ass” comments.  </w:t>
      </w:r>
      <w:proofErr w:type="spellStart"/>
      <w:r>
        <w:rPr>
          <w:rFonts w:ascii="Times New Roman" w:hAnsi="Times New Roman"/>
          <w:sz w:val="24"/>
          <w:szCs w:val="24"/>
        </w:rPr>
        <w:t>Regardling</w:t>
      </w:r>
      <w:proofErr w:type="spellEnd"/>
      <w:r>
        <w:rPr>
          <w:rFonts w:ascii="Times New Roman" w:hAnsi="Times New Roman"/>
          <w:sz w:val="24"/>
          <w:szCs w:val="24"/>
        </w:rPr>
        <w:t xml:space="preserve"> the claim against the firefighter, on appeal “</w:t>
      </w:r>
      <w:r w:rsidRPr="00A85C9C">
        <w:rPr>
          <w:rFonts w:ascii="Times New Roman" w:hAnsi="Times New Roman"/>
          <w:sz w:val="24"/>
          <w:szCs w:val="24"/>
        </w:rPr>
        <w:t xml:space="preserve">the estate simply asserts that Cohen was in shallow water, and therefore </w:t>
      </w:r>
      <w:r>
        <w:rPr>
          <w:rFonts w:ascii="Times New Roman" w:hAnsi="Times New Roman"/>
          <w:sz w:val="24"/>
          <w:szCs w:val="24"/>
        </w:rPr>
        <w:t>‘</w:t>
      </w:r>
      <w:r w:rsidRPr="00A85C9C">
        <w:rPr>
          <w:rFonts w:ascii="Times New Roman" w:hAnsi="Times New Roman"/>
          <w:sz w:val="24"/>
          <w:szCs w:val="24"/>
        </w:rPr>
        <w:t>may have been able to come out of the water</w:t>
      </w:r>
      <w:r>
        <w:rPr>
          <w:rFonts w:ascii="Times New Roman" w:hAnsi="Times New Roman"/>
          <w:sz w:val="24"/>
          <w:szCs w:val="24"/>
        </w:rPr>
        <w:t>’</w:t>
      </w:r>
      <w:r w:rsidRPr="00A85C9C">
        <w:rPr>
          <w:rFonts w:ascii="Times New Roman" w:hAnsi="Times New Roman"/>
          <w:sz w:val="24"/>
          <w:szCs w:val="24"/>
        </w:rPr>
        <w:t xml:space="preserve"> absent </w:t>
      </w:r>
      <w:r>
        <w:rPr>
          <w:rFonts w:ascii="Times New Roman" w:hAnsi="Times New Roman"/>
          <w:sz w:val="24"/>
          <w:szCs w:val="24"/>
        </w:rPr>
        <w:t xml:space="preserve">[firefighter Ronald] </w:t>
      </w:r>
      <w:r w:rsidRPr="00A85C9C">
        <w:rPr>
          <w:rFonts w:ascii="Times New Roman" w:hAnsi="Times New Roman"/>
          <w:sz w:val="24"/>
          <w:szCs w:val="24"/>
        </w:rPr>
        <w:t>Giroux's threat. Even if we assume that Cohen could have come out of the water in defiance of Giroux's bellowed threat, this assumption would not justify finding that (1) he would have done so, (2) he would have done so before the rescue boat arrived, or (3) doing so would have prevented his eventual death.</w:t>
      </w:r>
      <w:r>
        <w:rPr>
          <w:rFonts w:ascii="Times New Roman" w:hAnsi="Times New Roman"/>
          <w:sz w:val="24"/>
          <w:szCs w:val="24"/>
        </w:rPr>
        <w:t xml:space="preserve">” </w:t>
      </w:r>
      <w:hyperlink r:id="rId2412" w:history="1">
        <w:r w:rsidRPr="005A083B">
          <w:rPr>
            <w:rStyle w:val="Hyperlink"/>
            <w:rFonts w:ascii="Times New Roman" w:hAnsi="Times New Roman"/>
            <w:sz w:val="24"/>
            <w:szCs w:val="24"/>
          </w:rPr>
          <w:t>https://caselaw.findlaw.com/court/us-1st-circuit/116442772.html</w:t>
        </w:r>
      </w:hyperlink>
      <w:r>
        <w:rPr>
          <w:rFonts w:ascii="Times New Roman" w:hAnsi="Times New Roman"/>
          <w:sz w:val="24"/>
          <w:szCs w:val="24"/>
        </w:rPr>
        <w:t xml:space="preserve"> </w:t>
      </w:r>
    </w:p>
    <w:p w14:paraId="3DA267F3" w14:textId="77777777" w:rsidR="009622FF" w:rsidRDefault="009622FF" w:rsidP="009622FF">
      <w:pPr>
        <w:rPr>
          <w:rFonts w:ascii="Times New Roman" w:hAnsi="Times New Roman"/>
          <w:sz w:val="24"/>
          <w:szCs w:val="24"/>
        </w:rPr>
      </w:pPr>
      <w:r>
        <w:rPr>
          <w:rFonts w:ascii="Times New Roman" w:hAnsi="Times New Roman"/>
          <w:sz w:val="24"/>
          <w:szCs w:val="24"/>
        </w:rPr>
        <w:t>THE COURT HELD:</w:t>
      </w:r>
    </w:p>
    <w:p w14:paraId="1A7AB078" w14:textId="77777777" w:rsidR="009622FF" w:rsidRPr="0039533E" w:rsidRDefault="009622FF" w:rsidP="009622FF">
      <w:pPr>
        <w:ind w:left="720"/>
        <w:rPr>
          <w:rFonts w:ascii="Times New Roman" w:hAnsi="Times New Roman"/>
          <w:sz w:val="24"/>
          <w:szCs w:val="24"/>
        </w:rPr>
      </w:pPr>
      <w:r w:rsidRPr="0039533E">
        <w:rPr>
          <w:rFonts w:ascii="Times New Roman" w:hAnsi="Times New Roman"/>
          <w:sz w:val="24"/>
          <w:szCs w:val="24"/>
        </w:rPr>
        <w:t xml:space="preserve">“We first consider the state-created danger claim against Giroux. Giroux arrived at the Back Cove at 1:42 p.m. Cohen had already been in the water for around twenty minutes. Giroux did not know that Cohen was </w:t>
      </w:r>
      <w:proofErr w:type="gramStart"/>
      <w:r w:rsidRPr="0039533E">
        <w:rPr>
          <w:rFonts w:ascii="Times New Roman" w:hAnsi="Times New Roman"/>
          <w:sz w:val="24"/>
          <w:szCs w:val="24"/>
        </w:rPr>
        <w:t>in the midst of</w:t>
      </w:r>
      <w:proofErr w:type="gramEnd"/>
      <w:r w:rsidRPr="0039533E">
        <w:rPr>
          <w:rFonts w:ascii="Times New Roman" w:hAnsi="Times New Roman"/>
          <w:sz w:val="24"/>
          <w:szCs w:val="24"/>
        </w:rPr>
        <w:t xml:space="preserve"> a psychotic episode. He knew only that Cohen had assaulted his girlfriend before fleeing into the water. At 1:43 p.m., Giroux called out: “Tell him we're </w:t>
      </w:r>
      <w:proofErr w:type="spellStart"/>
      <w:r w:rsidRPr="0039533E">
        <w:rPr>
          <w:rFonts w:ascii="Times New Roman" w:hAnsi="Times New Roman"/>
          <w:sz w:val="24"/>
          <w:szCs w:val="24"/>
        </w:rPr>
        <w:t>gonna</w:t>
      </w:r>
      <w:proofErr w:type="spellEnd"/>
      <w:r w:rsidRPr="0039533E">
        <w:rPr>
          <w:rFonts w:ascii="Times New Roman" w:hAnsi="Times New Roman"/>
          <w:sz w:val="24"/>
          <w:szCs w:val="24"/>
        </w:rPr>
        <w:t xml:space="preserve"> kick his ass if he gets out of that water.” Giroux's only other involvement at the scene was to hand</w:t>
      </w:r>
      <w:r>
        <w:rPr>
          <w:rFonts w:ascii="Times New Roman" w:hAnsi="Times New Roman"/>
          <w:sz w:val="24"/>
          <w:szCs w:val="24"/>
        </w:rPr>
        <w:t xml:space="preserve"> [Police Sergeant Michael]</w:t>
      </w:r>
      <w:r w:rsidRPr="0039533E">
        <w:rPr>
          <w:rFonts w:ascii="Times New Roman" w:hAnsi="Times New Roman"/>
          <w:sz w:val="24"/>
          <w:szCs w:val="24"/>
        </w:rPr>
        <w:t xml:space="preserve"> Rand a life jacket for </w:t>
      </w:r>
      <w:r>
        <w:rPr>
          <w:rFonts w:ascii="Times New Roman" w:hAnsi="Times New Roman"/>
          <w:sz w:val="24"/>
          <w:szCs w:val="24"/>
        </w:rPr>
        <w:t xml:space="preserve">[police officer Blake] </w:t>
      </w:r>
      <w:r w:rsidRPr="0039533E">
        <w:rPr>
          <w:rFonts w:ascii="Times New Roman" w:hAnsi="Times New Roman"/>
          <w:sz w:val="24"/>
          <w:szCs w:val="24"/>
        </w:rPr>
        <w:t>Cunningham</w:t>
      </w:r>
      <w:r>
        <w:rPr>
          <w:rFonts w:ascii="Times New Roman" w:hAnsi="Times New Roman"/>
          <w:sz w:val="24"/>
          <w:szCs w:val="24"/>
        </w:rPr>
        <w:t xml:space="preserve"> [a former U.S. Coast Guard rescue swimmer]</w:t>
      </w:r>
      <w:r w:rsidRPr="00A1474A">
        <w:rPr>
          <w:rFonts w:ascii="Times New Roman" w:hAnsi="Times New Roman"/>
          <w:sz w:val="24"/>
          <w:szCs w:val="24"/>
        </w:rPr>
        <w:t>.</w:t>
      </w:r>
    </w:p>
    <w:p w14:paraId="6FD0A13D" w14:textId="77777777" w:rsidR="009622FF" w:rsidRDefault="009622FF" w:rsidP="009622FF">
      <w:pPr>
        <w:ind w:left="720"/>
        <w:rPr>
          <w:rFonts w:ascii="Times New Roman" w:hAnsi="Times New Roman"/>
          <w:sz w:val="24"/>
          <w:szCs w:val="24"/>
        </w:rPr>
      </w:pPr>
      <w:r>
        <w:rPr>
          <w:rFonts w:ascii="Times New Roman" w:hAnsi="Times New Roman"/>
          <w:sz w:val="24"/>
          <w:szCs w:val="24"/>
        </w:rPr>
        <w:t>***</w:t>
      </w:r>
    </w:p>
    <w:p w14:paraId="31C6A376" w14:textId="77777777" w:rsidR="009622FF" w:rsidRPr="0039533E" w:rsidRDefault="009622FF" w:rsidP="009622FF">
      <w:pPr>
        <w:ind w:left="720"/>
        <w:rPr>
          <w:rFonts w:ascii="Times New Roman" w:hAnsi="Times New Roman"/>
          <w:sz w:val="24"/>
          <w:szCs w:val="24"/>
        </w:rPr>
      </w:pPr>
      <w:r w:rsidRPr="0039533E">
        <w:rPr>
          <w:rFonts w:ascii="Times New Roman" w:hAnsi="Times New Roman"/>
          <w:sz w:val="24"/>
          <w:szCs w:val="24"/>
        </w:rPr>
        <w:t>Here, the district court found that no reasonable jury could conclude that Giroux's threat factually or legally caused Cohen's death. See Cohen ex rel. Est. of Cohen v. City of Portland, No. 2:21-CV-00267-NT, 2023 WL 8187213, at *10 (D. Me. Nov. 27, 2023). Specifically, the court found that a jury could only find causation via a series of increasingly speculative inferences:</w:t>
      </w:r>
    </w:p>
    <w:p w14:paraId="2C79BAEA" w14:textId="77777777" w:rsidR="009622FF" w:rsidRDefault="009622FF" w:rsidP="009622FF">
      <w:pPr>
        <w:ind w:left="1440"/>
        <w:rPr>
          <w:rFonts w:ascii="Times New Roman" w:hAnsi="Times New Roman"/>
          <w:sz w:val="24"/>
          <w:szCs w:val="24"/>
        </w:rPr>
      </w:pPr>
      <w:r w:rsidRPr="0039533E">
        <w:rPr>
          <w:rFonts w:ascii="Times New Roman" w:hAnsi="Times New Roman"/>
          <w:sz w:val="24"/>
          <w:szCs w:val="24"/>
        </w:rPr>
        <w:t>[The jury] would have to find that Cohen could have made the deliberate choice to come to shore while in a state of alleged psychosis, would have been able to get himself to shore after having been in the cold water for twenty minutes already, could have done so faster than the rescue boat ultimately did, and would not have died of hypothermia or drowning if he had started for the shore at the time the comment was made.</w:t>
      </w:r>
      <w:r>
        <w:rPr>
          <w:rFonts w:ascii="Times New Roman" w:hAnsi="Times New Roman"/>
          <w:sz w:val="24"/>
          <w:szCs w:val="24"/>
        </w:rPr>
        <w:t>”</w:t>
      </w:r>
    </w:p>
    <w:p w14:paraId="0A43522F" w14:textId="77777777" w:rsidR="00713EF6" w:rsidRDefault="00713EF6" w:rsidP="00713EF6">
      <w:pPr>
        <w:rPr>
          <w:rFonts w:ascii="Times New Roman" w:hAnsi="Times New Roman"/>
          <w:b/>
          <w:bCs/>
          <w:sz w:val="24"/>
          <w:szCs w:val="24"/>
        </w:rPr>
      </w:pPr>
      <w:r w:rsidRPr="00CB3ACA">
        <w:rPr>
          <w:rFonts w:ascii="Times New Roman" w:hAnsi="Times New Roman"/>
          <w:b/>
          <w:bCs/>
          <w:sz w:val="24"/>
          <w:szCs w:val="24"/>
        </w:rPr>
        <w:t>Legal Lesson Learned: No liability</w:t>
      </w:r>
      <w:r>
        <w:rPr>
          <w:rFonts w:ascii="Times New Roman" w:hAnsi="Times New Roman"/>
          <w:b/>
          <w:bCs/>
          <w:sz w:val="24"/>
          <w:szCs w:val="24"/>
        </w:rPr>
        <w:t xml:space="preserve"> </w:t>
      </w:r>
      <w:r w:rsidRPr="00CB3ACA">
        <w:rPr>
          <w:rFonts w:ascii="Times New Roman" w:hAnsi="Times New Roman"/>
          <w:b/>
          <w:bCs/>
          <w:sz w:val="24"/>
          <w:szCs w:val="24"/>
        </w:rPr>
        <w:t>but avoid making threatening remarks at an emergency scene</w:t>
      </w:r>
      <w:r>
        <w:rPr>
          <w:rFonts w:ascii="Times New Roman" w:hAnsi="Times New Roman"/>
          <w:b/>
          <w:bCs/>
          <w:sz w:val="24"/>
          <w:szCs w:val="24"/>
        </w:rPr>
        <w:t xml:space="preserve">; particularly dealing with psycho patient. </w:t>
      </w:r>
      <w:r w:rsidRPr="00CB3ACA">
        <w:rPr>
          <w:rFonts w:ascii="Times New Roman" w:hAnsi="Times New Roman"/>
          <w:b/>
          <w:bCs/>
          <w:sz w:val="24"/>
          <w:szCs w:val="24"/>
        </w:rPr>
        <w:t xml:space="preserve"> </w:t>
      </w:r>
    </w:p>
    <w:p w14:paraId="53B49057" w14:textId="77777777" w:rsidR="00713EF6" w:rsidRDefault="00713EF6" w:rsidP="00713EF6">
      <w:pPr>
        <w:rPr>
          <w:rFonts w:ascii="Times New Roman" w:hAnsi="Times New Roman"/>
          <w:sz w:val="24"/>
          <w:szCs w:val="24"/>
        </w:rPr>
      </w:pPr>
      <w:r>
        <w:rPr>
          <w:rFonts w:ascii="Times New Roman" w:hAnsi="Times New Roman"/>
          <w:b/>
          <w:bCs/>
          <w:sz w:val="24"/>
          <w:szCs w:val="24"/>
        </w:rPr>
        <w:tab/>
      </w:r>
      <w:r w:rsidRPr="000B0B4D">
        <w:rPr>
          <w:rFonts w:ascii="Times New Roman" w:hAnsi="Times New Roman"/>
          <w:sz w:val="24"/>
          <w:szCs w:val="24"/>
        </w:rPr>
        <w:t xml:space="preserve">Note: Court remarked about </w:t>
      </w:r>
      <w:r>
        <w:rPr>
          <w:rFonts w:ascii="Times New Roman" w:hAnsi="Times New Roman"/>
          <w:sz w:val="24"/>
          <w:szCs w:val="24"/>
        </w:rPr>
        <w:t xml:space="preserve">Police Department’s rescue efforts </w:t>
      </w:r>
      <w:r w:rsidRPr="000B0B4D">
        <w:rPr>
          <w:rFonts w:ascii="Times New Roman" w:hAnsi="Times New Roman"/>
          <w:sz w:val="24"/>
          <w:szCs w:val="24"/>
        </w:rPr>
        <w:t xml:space="preserve">at the scene. </w:t>
      </w:r>
    </w:p>
    <w:p w14:paraId="51124D72" w14:textId="77777777" w:rsidR="00713EF6" w:rsidRPr="00A155F3" w:rsidRDefault="00713EF6" w:rsidP="00713EF6">
      <w:pPr>
        <w:ind w:left="1440"/>
        <w:rPr>
          <w:rFonts w:ascii="Times New Roman" w:hAnsi="Times New Roman"/>
          <w:sz w:val="24"/>
          <w:szCs w:val="24"/>
        </w:rPr>
      </w:pPr>
      <w:r>
        <w:rPr>
          <w:rFonts w:ascii="Times New Roman" w:hAnsi="Times New Roman"/>
          <w:sz w:val="24"/>
          <w:szCs w:val="24"/>
        </w:rPr>
        <w:t>“’</w:t>
      </w:r>
      <w:r w:rsidRPr="00F57035">
        <w:rPr>
          <w:rFonts w:ascii="Times New Roman" w:hAnsi="Times New Roman"/>
          <w:sz w:val="24"/>
          <w:szCs w:val="24"/>
        </w:rPr>
        <w:t>Protect and serve</w:t>
      </w:r>
      <w:r>
        <w:rPr>
          <w:rFonts w:ascii="Times New Roman" w:hAnsi="Times New Roman"/>
          <w:sz w:val="24"/>
          <w:szCs w:val="24"/>
        </w:rPr>
        <w:t>’</w:t>
      </w:r>
      <w:r w:rsidRPr="00F57035">
        <w:rPr>
          <w:rFonts w:ascii="Times New Roman" w:hAnsi="Times New Roman"/>
          <w:sz w:val="24"/>
          <w:szCs w:val="24"/>
        </w:rPr>
        <w:t xml:space="preserve"> is the motto of the Portland Police Department. Even acknowledging the challenge posed by Cohen's behavior, the efforts of the responding officers likely fell short of the aspirations behind that motto. </w:t>
      </w:r>
      <w:proofErr w:type="gramStart"/>
      <w:r w:rsidRPr="00F57035">
        <w:rPr>
          <w:rFonts w:ascii="Times New Roman" w:hAnsi="Times New Roman"/>
          <w:sz w:val="24"/>
          <w:szCs w:val="24"/>
        </w:rPr>
        <w:t>That being said, this</w:t>
      </w:r>
      <w:proofErr w:type="gramEnd"/>
      <w:r w:rsidRPr="00F57035">
        <w:rPr>
          <w:rFonts w:ascii="Times New Roman" w:hAnsi="Times New Roman"/>
          <w:sz w:val="24"/>
          <w:szCs w:val="24"/>
        </w:rPr>
        <w:t xml:space="preserve"> appeal turns on whether any defendant violated Cohen's constitutional rights. And for the foregoing reasons, the answer is clearly no. The district court's dismissal and summary judgment orders are therefore affirmed.</w:t>
      </w:r>
      <w:r>
        <w:rPr>
          <w:rFonts w:ascii="Times New Roman" w:hAnsi="Times New Roman"/>
          <w:sz w:val="24"/>
          <w:szCs w:val="24"/>
        </w:rPr>
        <w:t>”</w:t>
      </w:r>
    </w:p>
    <w:p w14:paraId="6B25D127" w14:textId="77777777" w:rsidR="00AB3777" w:rsidRDefault="00AB3777" w:rsidP="000C4DF5">
      <w:pPr>
        <w:pStyle w:val="NoSpacing"/>
        <w:rPr>
          <w:rFonts w:ascii="Arial Black" w:hAnsi="Arial Black"/>
          <w:sz w:val="24"/>
          <w:szCs w:val="24"/>
        </w:rPr>
      </w:pPr>
    </w:p>
    <w:p w14:paraId="1C0B9EB6" w14:textId="77777777" w:rsidR="00AB3777" w:rsidRDefault="00AB3777" w:rsidP="000C4DF5">
      <w:pPr>
        <w:pStyle w:val="NoSpacing"/>
        <w:rPr>
          <w:rFonts w:ascii="Arial Black" w:hAnsi="Arial Black"/>
          <w:sz w:val="24"/>
          <w:szCs w:val="24"/>
        </w:rPr>
      </w:pPr>
    </w:p>
    <w:p w14:paraId="38BA5786" w14:textId="65E1A1DE" w:rsidR="00C825BD" w:rsidRDefault="00C825BD" w:rsidP="000C4DF5">
      <w:pPr>
        <w:pStyle w:val="NoSpacing"/>
        <w:rPr>
          <w:rFonts w:ascii="Arial Black" w:hAnsi="Arial Black"/>
          <w:sz w:val="24"/>
          <w:szCs w:val="24"/>
        </w:rPr>
      </w:pPr>
      <w:r>
        <w:rPr>
          <w:rFonts w:ascii="Arial Black" w:hAnsi="Arial Black"/>
          <w:sz w:val="24"/>
          <w:szCs w:val="24"/>
        </w:rPr>
        <w:t>15-31</w:t>
      </w:r>
    </w:p>
    <w:p w14:paraId="1D93AEC6" w14:textId="77777777" w:rsidR="00AE4AE1" w:rsidRPr="009B0477" w:rsidRDefault="00AE4AE1" w:rsidP="00AE4AE1">
      <w:pPr>
        <w:pStyle w:val="NormalWeb"/>
        <w:rPr>
          <w:rFonts w:ascii="Arial Black" w:hAnsi="Arial Black"/>
          <w:sz w:val="28"/>
          <w:szCs w:val="28"/>
        </w:rPr>
      </w:pPr>
      <w:r>
        <w:rPr>
          <w:rFonts w:ascii="Arial Black" w:hAnsi="Arial Black"/>
          <w:sz w:val="28"/>
          <w:szCs w:val="28"/>
        </w:rPr>
        <w:t>WA: FF WITH PTSD IN 2010 – NO INJURY / NO WORKERS COMP – LAW CHANGED 2018 BUT LAW NOT RETROACTIVE</w:t>
      </w:r>
    </w:p>
    <w:p w14:paraId="45A4AEBB" w14:textId="77777777" w:rsidR="00AE4AE1" w:rsidRPr="00AE4AE1" w:rsidRDefault="00AE4AE1" w:rsidP="00AE4AE1">
      <w:pPr>
        <w:pStyle w:val="NormalWeb"/>
      </w:pPr>
      <w:r w:rsidRPr="00AE4AE1">
        <w:t xml:space="preserve">On May 2, 2024, in </w:t>
      </w:r>
      <w:r w:rsidRPr="00AE4AE1">
        <w:rPr>
          <w:u w:val="single"/>
        </w:rPr>
        <w:t>Frank Shaw v. Kittitas Valley Fire and Rescue, et al.</w:t>
      </w:r>
      <w:r w:rsidRPr="00AE4AE1">
        <w:t xml:space="preserve">, the Court of Appeals of Washington, Division 3, held (3 to 1; unpublished opinion), that the firefighter paramedic (1989 – 2007) was not entitled to workers’ compensation since he suffered no physical injury. On June 7, 2018, the laws in Washington changed, to allow for occupational disease claims resulting from PTSD for certain firefighters, in an amendment to the Industrial Insurance Act, Title 51 RCW. </w:t>
      </w:r>
      <w:r w:rsidRPr="00AE4AE1">
        <w:rPr>
          <w:rStyle w:val="Emphasis"/>
          <w:rFonts w:eastAsiaTheme="majorEastAsia"/>
        </w:rPr>
        <w:t>See</w:t>
      </w:r>
      <w:r w:rsidRPr="00AE4AE1">
        <w:t xml:space="preserve"> former RCW 51.08.142 (2018); Laws of 2018, </w:t>
      </w:r>
      <w:proofErr w:type="spellStart"/>
      <w:r w:rsidRPr="00AE4AE1">
        <w:t>ch.</w:t>
      </w:r>
      <w:proofErr w:type="spellEnd"/>
      <w:r w:rsidRPr="00AE4AE1">
        <w:t xml:space="preserve"> 264. The Court held:</w:t>
      </w:r>
    </w:p>
    <w:p w14:paraId="0D6D8B56" w14:textId="59D01CBD" w:rsidR="00C825BD" w:rsidRDefault="00AE4AE1" w:rsidP="00AE4AE1">
      <w:pPr>
        <w:pStyle w:val="NoSpacing"/>
        <w:ind w:left="720"/>
        <w:rPr>
          <w:rStyle w:val="Hyperlink"/>
          <w:rFonts w:ascii="Times New Roman" w:hAnsi="Times New Roman"/>
          <w:sz w:val="24"/>
          <w:szCs w:val="24"/>
        </w:rPr>
      </w:pPr>
      <w:r w:rsidRPr="00AE4AE1">
        <w:rPr>
          <w:rFonts w:ascii="Times New Roman" w:hAnsi="Times New Roman"/>
          <w:sz w:val="24"/>
          <w:szCs w:val="24"/>
        </w:rPr>
        <w:t xml:space="preserve">“Looking first to the retroactivity test, the legislature did not adopt any language explicitly providing for retroactivity. Mr. Shaw argues that the legislature's choice of various adjectives and verbs </w:t>
      </w:r>
      <w:proofErr w:type="gramStart"/>
      <w:r w:rsidRPr="00AE4AE1">
        <w:rPr>
          <w:rFonts w:ascii="Times New Roman" w:hAnsi="Times New Roman"/>
          <w:sz w:val="24"/>
          <w:szCs w:val="24"/>
        </w:rPr>
        <w:t>reveal</w:t>
      </w:r>
      <w:proofErr w:type="gramEnd"/>
      <w:r w:rsidRPr="00AE4AE1">
        <w:rPr>
          <w:rFonts w:ascii="Times New Roman" w:hAnsi="Times New Roman"/>
          <w:sz w:val="24"/>
          <w:szCs w:val="24"/>
        </w:rPr>
        <w:t xml:space="preserve"> retroactive intent. We reject this reasoning. An explicit choice as to retroactivity is not one that turns on analyzing subtle textual clues. The legislature </w:t>
      </w:r>
      <w:proofErr w:type="gramStart"/>
      <w:r w:rsidRPr="00AE4AE1">
        <w:rPr>
          <w:rFonts w:ascii="Times New Roman" w:hAnsi="Times New Roman"/>
          <w:sz w:val="24"/>
          <w:szCs w:val="24"/>
        </w:rPr>
        <w:t>is well aware that</w:t>
      </w:r>
      <w:proofErr w:type="gramEnd"/>
      <w:r w:rsidRPr="00AE4AE1">
        <w:rPr>
          <w:rFonts w:ascii="Times New Roman" w:hAnsi="Times New Roman"/>
          <w:sz w:val="24"/>
          <w:szCs w:val="24"/>
        </w:rPr>
        <w:t xml:space="preserve"> it must make an explicit declaration if it intends a statute to have retroactive effect. It is accustomed to passing statutes with clear and explicit statements as to retroactivity. </w:t>
      </w:r>
      <w:r w:rsidRPr="00AE4AE1">
        <w:rPr>
          <w:rStyle w:val="Emphasis"/>
          <w:rFonts w:ascii="Times New Roman" w:eastAsiaTheme="majorEastAsia" w:hAnsi="Times New Roman"/>
          <w:sz w:val="24"/>
          <w:szCs w:val="24"/>
        </w:rPr>
        <w:t>See, e.g.</w:t>
      </w:r>
      <w:r w:rsidRPr="00AE4AE1">
        <w:rPr>
          <w:rFonts w:ascii="Times New Roman" w:hAnsi="Times New Roman"/>
          <w:sz w:val="24"/>
          <w:szCs w:val="24"/>
        </w:rPr>
        <w:t xml:space="preserve">, RCW 51.32.187(5)(c); RCW 67.16.300; Laws of 2023, </w:t>
      </w:r>
      <w:proofErr w:type="spellStart"/>
      <w:r w:rsidRPr="00AE4AE1">
        <w:rPr>
          <w:rFonts w:ascii="Times New Roman" w:hAnsi="Times New Roman"/>
          <w:sz w:val="24"/>
          <w:szCs w:val="24"/>
        </w:rPr>
        <w:t>ch.</w:t>
      </w:r>
      <w:proofErr w:type="spellEnd"/>
      <w:r w:rsidRPr="00AE4AE1">
        <w:rPr>
          <w:rFonts w:ascii="Times New Roman" w:hAnsi="Times New Roman"/>
          <w:sz w:val="24"/>
          <w:szCs w:val="24"/>
        </w:rPr>
        <w:t xml:space="preserve"> 171 § 13; Laws of 2019, </w:t>
      </w:r>
      <w:proofErr w:type="spellStart"/>
      <w:r w:rsidRPr="00AE4AE1">
        <w:rPr>
          <w:rFonts w:ascii="Times New Roman" w:hAnsi="Times New Roman"/>
          <w:sz w:val="24"/>
          <w:szCs w:val="24"/>
        </w:rPr>
        <w:t>ch.</w:t>
      </w:r>
      <w:proofErr w:type="spellEnd"/>
      <w:r w:rsidRPr="00AE4AE1">
        <w:rPr>
          <w:rFonts w:ascii="Times New Roman" w:hAnsi="Times New Roman"/>
          <w:sz w:val="24"/>
          <w:szCs w:val="24"/>
        </w:rPr>
        <w:t xml:space="preserve"> 159 § 6; Laws of 2007, </w:t>
      </w:r>
      <w:proofErr w:type="spellStart"/>
      <w:r w:rsidRPr="00AE4AE1">
        <w:rPr>
          <w:rFonts w:ascii="Times New Roman" w:hAnsi="Times New Roman"/>
          <w:sz w:val="24"/>
          <w:szCs w:val="24"/>
        </w:rPr>
        <w:t>ch.</w:t>
      </w:r>
      <w:proofErr w:type="spellEnd"/>
      <w:r w:rsidRPr="00AE4AE1">
        <w:rPr>
          <w:rFonts w:ascii="Times New Roman" w:hAnsi="Times New Roman"/>
          <w:sz w:val="24"/>
          <w:szCs w:val="24"/>
        </w:rPr>
        <w:t xml:space="preserve"> 317, § 3. But no explicit statement was made here. Mr. Shaw's arguments to the contrary </w:t>
      </w:r>
      <w:proofErr w:type="gramStart"/>
      <w:r w:rsidRPr="00AE4AE1">
        <w:rPr>
          <w:rFonts w:ascii="Times New Roman" w:hAnsi="Times New Roman"/>
          <w:sz w:val="24"/>
          <w:szCs w:val="24"/>
        </w:rPr>
        <w:t>fail</w:t>
      </w:r>
      <w:proofErr w:type="gramEnd"/>
      <w:r w:rsidRPr="00AE4AE1">
        <w:rPr>
          <w:rFonts w:ascii="Times New Roman" w:hAnsi="Times New Roman"/>
          <w:sz w:val="24"/>
          <w:szCs w:val="24"/>
        </w:rPr>
        <w:t xml:space="preserve">.” </w:t>
      </w:r>
      <w:hyperlink r:id="rId2413" w:history="1">
        <w:r w:rsidRPr="00AE4AE1">
          <w:rPr>
            <w:rStyle w:val="Hyperlink"/>
            <w:rFonts w:ascii="Times New Roman" w:hAnsi="Times New Roman"/>
            <w:sz w:val="24"/>
            <w:szCs w:val="24"/>
          </w:rPr>
          <w:t>https://casetext.com/case/shaw-v-kittitas-valley-fire-rescue</w:t>
        </w:r>
      </w:hyperlink>
    </w:p>
    <w:p w14:paraId="2BAA0A7A" w14:textId="77777777" w:rsidR="000E1441" w:rsidRDefault="000E1441" w:rsidP="00AE4AE1">
      <w:pPr>
        <w:pStyle w:val="NoSpacing"/>
        <w:ind w:left="720"/>
        <w:rPr>
          <w:rStyle w:val="Hyperlink"/>
          <w:rFonts w:ascii="Times New Roman" w:hAnsi="Times New Roman"/>
          <w:sz w:val="24"/>
          <w:szCs w:val="24"/>
        </w:rPr>
      </w:pPr>
    </w:p>
    <w:p w14:paraId="518329DF" w14:textId="77777777" w:rsidR="000E1441" w:rsidRDefault="000E1441" w:rsidP="000E1441">
      <w:pPr>
        <w:pStyle w:val="NormalWeb"/>
        <w:rPr>
          <w:b/>
          <w:bCs/>
        </w:rPr>
      </w:pPr>
      <w:r w:rsidRPr="00551B71">
        <w:rPr>
          <w:b/>
          <w:bCs/>
        </w:rPr>
        <w:t>Legal Lesson Learned:</w:t>
      </w:r>
      <w:r>
        <w:rPr>
          <w:b/>
          <w:bCs/>
        </w:rPr>
        <w:t xml:space="preserve"> PTSD statute was not retroactive. </w:t>
      </w:r>
    </w:p>
    <w:p w14:paraId="2FEA4281" w14:textId="77777777" w:rsidR="000E1441" w:rsidRDefault="000E1441" w:rsidP="000E1441">
      <w:pPr>
        <w:pStyle w:val="NormalWeb"/>
        <w:ind w:left="720"/>
      </w:pPr>
      <w:r w:rsidRPr="00145389">
        <w:t>Note: See this law f</w:t>
      </w:r>
      <w:r>
        <w:t>i</w:t>
      </w:r>
      <w:r w:rsidRPr="00145389">
        <w:t xml:space="preserve">rm review of new WA law. </w:t>
      </w:r>
      <w:hyperlink r:id="rId2414" w:history="1">
        <w:r w:rsidRPr="00145389">
          <w:rPr>
            <w:rStyle w:val="Hyperlink"/>
          </w:rPr>
          <w:t>https://www.firstresponderptsdclaims.com/faq/</w:t>
        </w:r>
      </w:hyperlink>
      <w:r w:rsidRPr="00145389">
        <w:t xml:space="preserve"> </w:t>
      </w:r>
    </w:p>
    <w:p w14:paraId="49061752" w14:textId="77777777" w:rsidR="000E1441" w:rsidRDefault="000E1441" w:rsidP="000E1441">
      <w:pPr>
        <w:pStyle w:val="NormalWeb"/>
        <w:ind w:left="720"/>
      </w:pPr>
      <w:r>
        <w:t>“Eligible ‘</w:t>
      </w:r>
      <w:proofErr w:type="gramStart"/>
      <w:r>
        <w:t>firefighters’</w:t>
      </w:r>
      <w:proofErr w:type="gramEnd"/>
      <w:r>
        <w:t xml:space="preserve"> must meet at least one of the definitions set forth in </w:t>
      </w:r>
      <w:hyperlink r:id="rId2415" w:tgtFrame="_blank" w:history="1">
        <w:r>
          <w:rPr>
            <w:rStyle w:val="Hyperlink"/>
            <w:rFonts w:eastAsiaTheme="majorEastAsia"/>
          </w:rPr>
          <w:t>RCW 41.26.030(17)(a)(b)(c) and (h)</w:t>
        </w:r>
      </w:hyperlink>
      <w:r>
        <w:t>, which include:</w:t>
      </w:r>
    </w:p>
    <w:p w14:paraId="09B97112" w14:textId="77777777" w:rsidR="000E1441" w:rsidRPr="00A8246F" w:rsidRDefault="000E1441" w:rsidP="000E1441">
      <w:pPr>
        <w:numPr>
          <w:ilvl w:val="0"/>
          <w:numId w:val="21"/>
        </w:numPr>
        <w:spacing w:before="100" w:beforeAutospacing="1" w:after="100" w:afterAutospacing="1" w:line="240" w:lineRule="auto"/>
        <w:rPr>
          <w:rFonts w:ascii="Times New Roman" w:hAnsi="Times New Roman"/>
          <w:sz w:val="24"/>
          <w:szCs w:val="24"/>
        </w:rPr>
      </w:pPr>
      <w:r w:rsidRPr="00A8246F">
        <w:rPr>
          <w:rFonts w:ascii="Times New Roman" w:hAnsi="Times New Roman"/>
          <w:sz w:val="24"/>
          <w:szCs w:val="24"/>
        </w:rPr>
        <w:t>Any person who is serving on a full time, fully compensated basis as a member of a fire department of an employer and who is serving in a position which requires passing a civil service examination for firefighter, and who is actively employed as such;</w:t>
      </w:r>
    </w:p>
    <w:p w14:paraId="2A336F92" w14:textId="77777777" w:rsidR="000E1441" w:rsidRPr="00A8246F" w:rsidRDefault="000E1441" w:rsidP="000E1441">
      <w:pPr>
        <w:numPr>
          <w:ilvl w:val="0"/>
          <w:numId w:val="21"/>
        </w:numPr>
        <w:spacing w:before="100" w:beforeAutospacing="1" w:after="100" w:afterAutospacing="1" w:line="240" w:lineRule="auto"/>
        <w:rPr>
          <w:rFonts w:ascii="Times New Roman" w:hAnsi="Times New Roman"/>
          <w:sz w:val="24"/>
          <w:szCs w:val="24"/>
        </w:rPr>
      </w:pPr>
      <w:r w:rsidRPr="00A8246F">
        <w:rPr>
          <w:rFonts w:ascii="Times New Roman" w:hAnsi="Times New Roman"/>
          <w:sz w:val="24"/>
          <w:szCs w:val="24"/>
        </w:rPr>
        <w:t xml:space="preserve">Anyone who is actively employed as a </w:t>
      </w:r>
      <w:proofErr w:type="gramStart"/>
      <w:r w:rsidRPr="00A8246F">
        <w:rPr>
          <w:rFonts w:ascii="Times New Roman" w:hAnsi="Times New Roman"/>
          <w:sz w:val="24"/>
          <w:szCs w:val="24"/>
        </w:rPr>
        <w:t>full time</w:t>
      </w:r>
      <w:proofErr w:type="gramEnd"/>
      <w:r w:rsidRPr="00A8246F">
        <w:rPr>
          <w:rFonts w:ascii="Times New Roman" w:hAnsi="Times New Roman"/>
          <w:sz w:val="24"/>
          <w:szCs w:val="24"/>
        </w:rPr>
        <w:t xml:space="preserve"> firefighter where the fire department does not have a civil service examination;</w:t>
      </w:r>
    </w:p>
    <w:p w14:paraId="124BF814" w14:textId="77777777" w:rsidR="000E1441" w:rsidRPr="00A8246F" w:rsidRDefault="000E1441" w:rsidP="000E1441">
      <w:pPr>
        <w:numPr>
          <w:ilvl w:val="0"/>
          <w:numId w:val="21"/>
        </w:numPr>
        <w:spacing w:before="100" w:beforeAutospacing="1" w:after="100" w:afterAutospacing="1" w:line="240" w:lineRule="auto"/>
        <w:rPr>
          <w:rFonts w:ascii="Times New Roman" w:hAnsi="Times New Roman"/>
          <w:sz w:val="24"/>
          <w:szCs w:val="24"/>
        </w:rPr>
      </w:pPr>
      <w:r w:rsidRPr="00A8246F">
        <w:rPr>
          <w:rFonts w:ascii="Times New Roman" w:hAnsi="Times New Roman"/>
          <w:sz w:val="24"/>
          <w:szCs w:val="24"/>
        </w:rPr>
        <w:t>Supervisory firefighter personnel; and,</w:t>
      </w:r>
    </w:p>
    <w:p w14:paraId="0778C80C" w14:textId="77777777" w:rsidR="000E1441" w:rsidRPr="00A8246F" w:rsidRDefault="000E1441" w:rsidP="000E1441">
      <w:pPr>
        <w:numPr>
          <w:ilvl w:val="0"/>
          <w:numId w:val="21"/>
        </w:numPr>
        <w:spacing w:before="100" w:beforeAutospacing="1" w:after="100" w:afterAutospacing="1" w:line="240" w:lineRule="auto"/>
        <w:rPr>
          <w:rFonts w:ascii="Times New Roman" w:hAnsi="Times New Roman"/>
          <w:sz w:val="24"/>
          <w:szCs w:val="24"/>
        </w:rPr>
      </w:pPr>
      <w:r w:rsidRPr="00A8246F">
        <w:rPr>
          <w:rFonts w:ascii="Times New Roman" w:hAnsi="Times New Roman"/>
          <w:sz w:val="24"/>
          <w:szCs w:val="24"/>
        </w:rPr>
        <w:t xml:space="preserve">Any person who is employed on a full-time, fully compensated basis by an employer as an emergency medical technician that meets the requirements of </w:t>
      </w:r>
      <w:hyperlink r:id="rId2416" w:tgtFrame="_blank" w:history="1">
        <w:r w:rsidRPr="00A8246F">
          <w:rPr>
            <w:rStyle w:val="Hyperlink"/>
            <w:rFonts w:ascii="Times New Roman" w:hAnsi="Times New Roman"/>
            <w:sz w:val="24"/>
            <w:szCs w:val="24"/>
          </w:rPr>
          <w:t>RCW 18.71.200</w:t>
        </w:r>
      </w:hyperlink>
      <w:r w:rsidRPr="00A8246F">
        <w:rPr>
          <w:rFonts w:ascii="Times New Roman" w:hAnsi="Times New Roman"/>
          <w:sz w:val="24"/>
          <w:szCs w:val="24"/>
        </w:rPr>
        <w:t> or </w:t>
      </w:r>
      <w:hyperlink r:id="rId2417" w:tgtFrame="_blank" w:history="1">
        <w:r w:rsidRPr="00A8246F">
          <w:rPr>
            <w:rStyle w:val="Hyperlink"/>
            <w:rFonts w:ascii="Times New Roman" w:hAnsi="Times New Roman"/>
            <w:sz w:val="24"/>
            <w:szCs w:val="24"/>
          </w:rPr>
          <w:t>18.73.030(12)</w:t>
        </w:r>
      </w:hyperlink>
      <w:r w:rsidRPr="00A8246F">
        <w:rPr>
          <w:rFonts w:ascii="Times New Roman" w:hAnsi="Times New Roman"/>
          <w:sz w:val="24"/>
          <w:szCs w:val="24"/>
        </w:rPr>
        <w:t xml:space="preserve">, and whose duties include providing emergency medical services as defined in </w:t>
      </w:r>
      <w:hyperlink r:id="rId2418" w:tgtFrame="_blank" w:history="1">
        <w:r w:rsidRPr="00A8246F">
          <w:rPr>
            <w:rStyle w:val="Hyperlink"/>
            <w:rFonts w:ascii="Times New Roman" w:hAnsi="Times New Roman"/>
            <w:sz w:val="24"/>
            <w:szCs w:val="24"/>
          </w:rPr>
          <w:t>RCW 18.73.030</w:t>
        </w:r>
      </w:hyperlink>
      <w:r w:rsidRPr="00A8246F">
        <w:rPr>
          <w:rFonts w:ascii="Times New Roman" w:hAnsi="Times New Roman"/>
          <w:sz w:val="24"/>
          <w:szCs w:val="24"/>
        </w:rPr>
        <w:t>.</w:t>
      </w:r>
    </w:p>
    <w:p w14:paraId="3F9F315A" w14:textId="77777777" w:rsidR="000E1441" w:rsidRPr="00145389" w:rsidRDefault="000E1441" w:rsidP="000E1441">
      <w:pPr>
        <w:spacing w:before="100" w:beforeAutospacing="1" w:after="100" w:afterAutospacing="1" w:line="240" w:lineRule="auto"/>
        <w:ind w:left="720"/>
      </w:pPr>
      <w:r>
        <w:t>***</w:t>
      </w:r>
    </w:p>
    <w:p w14:paraId="59351DFD" w14:textId="77777777" w:rsidR="000E1441" w:rsidRPr="00551B71" w:rsidRDefault="000E1441" w:rsidP="000E1441">
      <w:pPr>
        <w:pStyle w:val="NormalWeb"/>
        <w:ind w:left="720"/>
        <w:rPr>
          <w:b/>
          <w:bCs/>
        </w:rPr>
      </w:pPr>
      <w:r>
        <w:t>Washington State is taking steps to help our firefighters, paramedics, and police officers suffering from PTSD due to their inherently stressful jobs. More work remains to be done as the new law does not apply to volunteer firefighters, reserve police officers or other professional first responders depending upon their membership in certain state retirement plans.”</w:t>
      </w:r>
    </w:p>
    <w:p w14:paraId="5B1BB888" w14:textId="77777777" w:rsidR="000E1441" w:rsidRPr="00AE4AE1" w:rsidRDefault="000E1441" w:rsidP="00AE4AE1">
      <w:pPr>
        <w:pStyle w:val="NoSpacing"/>
        <w:ind w:left="720"/>
        <w:rPr>
          <w:rFonts w:ascii="Times New Roman" w:hAnsi="Times New Roman"/>
          <w:sz w:val="24"/>
          <w:szCs w:val="24"/>
        </w:rPr>
      </w:pPr>
    </w:p>
    <w:p w14:paraId="6067544E" w14:textId="77777777" w:rsidR="00C825BD" w:rsidRDefault="00C825BD" w:rsidP="000C4DF5">
      <w:pPr>
        <w:pStyle w:val="NoSpacing"/>
        <w:rPr>
          <w:rFonts w:ascii="Arial Black" w:hAnsi="Arial Black"/>
          <w:sz w:val="24"/>
          <w:szCs w:val="24"/>
        </w:rPr>
      </w:pPr>
    </w:p>
    <w:p w14:paraId="21EAC371" w14:textId="5FBC932F" w:rsidR="00725A91" w:rsidRDefault="00725A91" w:rsidP="000C4DF5">
      <w:pPr>
        <w:pStyle w:val="NoSpacing"/>
        <w:rPr>
          <w:rFonts w:ascii="Arial Black" w:hAnsi="Arial Black"/>
          <w:sz w:val="24"/>
          <w:szCs w:val="24"/>
        </w:rPr>
      </w:pPr>
      <w:r>
        <w:rPr>
          <w:rFonts w:ascii="Arial Black" w:hAnsi="Arial Black"/>
          <w:sz w:val="24"/>
          <w:szCs w:val="24"/>
        </w:rPr>
        <w:t>15-30</w:t>
      </w:r>
    </w:p>
    <w:p w14:paraId="43EFE65C" w14:textId="77777777" w:rsidR="00725A91" w:rsidRDefault="00725A91" w:rsidP="00725A91">
      <w:pPr>
        <w:pStyle w:val="NormalWeb"/>
        <w:rPr>
          <w:rFonts w:ascii="Arial Black" w:hAnsi="Arial Black"/>
          <w:sz w:val="28"/>
          <w:szCs w:val="28"/>
        </w:rPr>
      </w:pPr>
      <w:r>
        <w:rPr>
          <w:rFonts w:ascii="Arial Black" w:hAnsi="Arial Black"/>
          <w:sz w:val="28"/>
          <w:szCs w:val="28"/>
        </w:rPr>
        <w:t>AR: PTSD – CAREER FF DISABILITY RETIREMENT – BUT STILL VOL. FF – NOT ELIGIBLE DUTY- RELATED DISABILITY</w:t>
      </w:r>
    </w:p>
    <w:p w14:paraId="656533CE" w14:textId="77777777" w:rsidR="00725A91" w:rsidRDefault="00725A91" w:rsidP="00725A91">
      <w:pPr>
        <w:pStyle w:val="NoSpacing"/>
        <w:rPr>
          <w:rFonts w:ascii="Times New Roman" w:hAnsi="Times New Roman"/>
          <w:sz w:val="24"/>
          <w:szCs w:val="24"/>
        </w:rPr>
      </w:pPr>
      <w:r w:rsidRPr="006C40B3">
        <w:rPr>
          <w:rFonts w:ascii="Times New Roman" w:hAnsi="Times New Roman"/>
          <w:sz w:val="24"/>
          <w:szCs w:val="24"/>
        </w:rPr>
        <w:t xml:space="preserve">On April 24, 2024, in </w:t>
      </w:r>
      <w:r w:rsidRPr="006C40B3">
        <w:rPr>
          <w:rFonts w:ascii="Times New Roman" w:hAnsi="Times New Roman"/>
          <w:sz w:val="24"/>
          <w:szCs w:val="24"/>
          <w:u w:val="single"/>
        </w:rPr>
        <w:t xml:space="preserve">Gregory Mills v. Arkansas Local Police </w:t>
      </w:r>
      <w:proofErr w:type="gramStart"/>
      <w:r w:rsidRPr="006C40B3">
        <w:rPr>
          <w:rFonts w:ascii="Times New Roman" w:hAnsi="Times New Roman"/>
          <w:sz w:val="24"/>
          <w:szCs w:val="24"/>
          <w:u w:val="single"/>
        </w:rPr>
        <w:t>And</w:t>
      </w:r>
      <w:proofErr w:type="gramEnd"/>
      <w:r w:rsidRPr="006C40B3">
        <w:rPr>
          <w:rFonts w:ascii="Times New Roman" w:hAnsi="Times New Roman"/>
          <w:sz w:val="24"/>
          <w:szCs w:val="24"/>
          <w:u w:val="single"/>
        </w:rPr>
        <w:t xml:space="preserve"> Fire Retirement System</w:t>
      </w:r>
      <w:r w:rsidRPr="006C40B3">
        <w:rPr>
          <w:rFonts w:ascii="Times New Roman" w:hAnsi="Times New Roman"/>
          <w:sz w:val="24"/>
          <w:szCs w:val="24"/>
        </w:rPr>
        <w:t xml:space="preserve">, the Arkansas Court of Appeals held (3 to 0) the retirement Board decision was supported by substantial evidence. </w:t>
      </w:r>
      <w:r>
        <w:rPr>
          <w:rFonts w:ascii="Times New Roman" w:hAnsi="Times New Roman"/>
          <w:sz w:val="24"/>
          <w:szCs w:val="24"/>
        </w:rPr>
        <w:t xml:space="preserve"> Oct. 2019 FD placed him on medical leave when informed by his doctor needed to avoid trauma events; terminated April 4, </w:t>
      </w:r>
      <w:proofErr w:type="gramStart"/>
      <w:r>
        <w:rPr>
          <w:rFonts w:ascii="Times New Roman" w:hAnsi="Times New Roman"/>
          <w:sz w:val="24"/>
          <w:szCs w:val="24"/>
        </w:rPr>
        <w:t>2020</w:t>
      </w:r>
      <w:proofErr w:type="gramEnd"/>
      <w:r>
        <w:rPr>
          <w:rFonts w:ascii="Times New Roman" w:hAnsi="Times New Roman"/>
          <w:sz w:val="24"/>
          <w:szCs w:val="24"/>
        </w:rPr>
        <w:t xml:space="preserve"> when he was </w:t>
      </w:r>
      <w:proofErr w:type="gramStart"/>
      <w:r>
        <w:rPr>
          <w:rFonts w:ascii="Times New Roman" w:hAnsi="Times New Roman"/>
          <w:sz w:val="24"/>
          <w:szCs w:val="24"/>
        </w:rPr>
        <w:t>approved</w:t>
      </w:r>
      <w:proofErr w:type="gramEnd"/>
      <w:r>
        <w:rPr>
          <w:rFonts w:ascii="Times New Roman" w:hAnsi="Times New Roman"/>
          <w:sz w:val="24"/>
          <w:szCs w:val="24"/>
        </w:rPr>
        <w:t xml:space="preserve"> long-term disability.  Retirement board rejected his claim for duty-related disability retirement benefits since he is still running as a volunteer at another FD; trial court agreed.   State statute:  </w:t>
      </w:r>
    </w:p>
    <w:p w14:paraId="7681649D" w14:textId="77777777" w:rsidR="00725A91" w:rsidRDefault="00725A91" w:rsidP="00725A91">
      <w:pPr>
        <w:pStyle w:val="NoSpacing"/>
        <w:rPr>
          <w:rFonts w:ascii="Times New Roman" w:hAnsi="Times New Roman"/>
          <w:sz w:val="24"/>
          <w:szCs w:val="24"/>
        </w:rPr>
      </w:pPr>
    </w:p>
    <w:p w14:paraId="5CFDC1C3" w14:textId="77777777" w:rsidR="00725A91" w:rsidRPr="00ED333B" w:rsidRDefault="00725A91" w:rsidP="00725A91">
      <w:pPr>
        <w:pStyle w:val="NoSpacing"/>
        <w:ind w:firstLine="720"/>
        <w:rPr>
          <w:rFonts w:ascii="Times New Roman" w:hAnsi="Times New Roman"/>
          <w:sz w:val="24"/>
          <w:szCs w:val="24"/>
        </w:rPr>
      </w:pPr>
      <w:r>
        <w:rPr>
          <w:rFonts w:ascii="Times New Roman" w:hAnsi="Times New Roman"/>
          <w:sz w:val="24"/>
          <w:szCs w:val="24"/>
        </w:rPr>
        <w:t>“</w:t>
      </w:r>
      <w:r w:rsidRPr="00ED333B">
        <w:rPr>
          <w:rFonts w:ascii="Times New Roman" w:hAnsi="Times New Roman"/>
          <w:sz w:val="24"/>
          <w:szCs w:val="24"/>
        </w:rPr>
        <w:t>Any active member who while an active member becomes totally and</w:t>
      </w:r>
    </w:p>
    <w:p w14:paraId="0DFF30E2" w14:textId="77777777" w:rsidR="00725A91" w:rsidRPr="00ED333B" w:rsidRDefault="00725A91" w:rsidP="00725A91">
      <w:pPr>
        <w:pStyle w:val="NoSpacing"/>
        <w:ind w:firstLine="720"/>
        <w:rPr>
          <w:rFonts w:ascii="Times New Roman" w:hAnsi="Times New Roman"/>
          <w:sz w:val="24"/>
          <w:szCs w:val="24"/>
        </w:rPr>
      </w:pPr>
      <w:r w:rsidRPr="00ED333B">
        <w:rPr>
          <w:rFonts w:ascii="Times New Roman" w:hAnsi="Times New Roman"/>
          <w:sz w:val="24"/>
          <w:szCs w:val="24"/>
        </w:rPr>
        <w:t>permanently physically or mentally incapacitated for any suitable duty as an employee</w:t>
      </w:r>
    </w:p>
    <w:p w14:paraId="1202F5D1" w14:textId="77777777" w:rsidR="00725A91" w:rsidRPr="00ED333B" w:rsidRDefault="00725A91" w:rsidP="00725A91">
      <w:pPr>
        <w:pStyle w:val="NoSpacing"/>
        <w:ind w:firstLine="720"/>
        <w:rPr>
          <w:rFonts w:ascii="Times New Roman" w:hAnsi="Times New Roman"/>
          <w:sz w:val="24"/>
          <w:szCs w:val="24"/>
        </w:rPr>
      </w:pPr>
      <w:r w:rsidRPr="00ED333B">
        <w:rPr>
          <w:rFonts w:ascii="Times New Roman" w:hAnsi="Times New Roman"/>
          <w:sz w:val="24"/>
          <w:szCs w:val="24"/>
        </w:rPr>
        <w:t>as the result of a personal injury or disease that the board finds to have arisen out of</w:t>
      </w:r>
    </w:p>
    <w:p w14:paraId="169D10BF" w14:textId="77777777" w:rsidR="00725A91" w:rsidRPr="006C7C3B" w:rsidRDefault="00725A91" w:rsidP="00725A91">
      <w:pPr>
        <w:pStyle w:val="NoSpacing"/>
        <w:ind w:firstLine="720"/>
        <w:rPr>
          <w:rFonts w:ascii="Times New Roman" w:hAnsi="Times New Roman"/>
          <w:sz w:val="24"/>
          <w:szCs w:val="24"/>
        </w:rPr>
      </w:pPr>
      <w:r w:rsidRPr="00ED333B">
        <w:rPr>
          <w:rFonts w:ascii="Times New Roman" w:hAnsi="Times New Roman"/>
          <w:sz w:val="24"/>
          <w:szCs w:val="24"/>
        </w:rPr>
        <w:t xml:space="preserve">and </w:t>
      </w:r>
      <w:proofErr w:type="gramStart"/>
      <w:r w:rsidRPr="00ED333B">
        <w:rPr>
          <w:rFonts w:ascii="Times New Roman" w:hAnsi="Times New Roman"/>
          <w:sz w:val="24"/>
          <w:szCs w:val="24"/>
        </w:rPr>
        <w:t>in the course of</w:t>
      </w:r>
      <w:proofErr w:type="gramEnd"/>
      <w:r w:rsidRPr="00ED333B">
        <w:rPr>
          <w:rFonts w:ascii="Times New Roman" w:hAnsi="Times New Roman"/>
          <w:sz w:val="24"/>
          <w:szCs w:val="24"/>
        </w:rPr>
        <w:t xml:space="preserve"> his or her actual performance of duty as an employee may be</w:t>
      </w:r>
      <w:r>
        <w:rPr>
          <w:rFonts w:ascii="Times New Roman" w:hAnsi="Times New Roman"/>
          <w:sz w:val="24"/>
          <w:szCs w:val="24"/>
        </w:rPr>
        <w:t xml:space="preserve"> </w:t>
      </w:r>
      <w:r w:rsidRPr="006C7C3B">
        <w:rPr>
          <w:rFonts w:ascii="Times New Roman" w:hAnsi="Times New Roman"/>
          <w:sz w:val="24"/>
          <w:szCs w:val="24"/>
        </w:rPr>
        <w:t>3</w:t>
      </w:r>
    </w:p>
    <w:p w14:paraId="22981D3F" w14:textId="77777777" w:rsidR="00725A91" w:rsidRPr="006C7C3B" w:rsidRDefault="00725A91" w:rsidP="00725A91">
      <w:pPr>
        <w:pStyle w:val="NoSpacing"/>
        <w:ind w:firstLine="720"/>
        <w:rPr>
          <w:rFonts w:ascii="Times New Roman" w:hAnsi="Times New Roman"/>
          <w:sz w:val="24"/>
          <w:szCs w:val="24"/>
        </w:rPr>
      </w:pPr>
      <w:r w:rsidRPr="006C7C3B">
        <w:rPr>
          <w:rFonts w:ascii="Times New Roman" w:hAnsi="Times New Roman"/>
          <w:sz w:val="24"/>
          <w:szCs w:val="24"/>
        </w:rPr>
        <w:t>retired by the board upon proper application filed with the board by or on behalf of</w:t>
      </w:r>
    </w:p>
    <w:p w14:paraId="40A6B3A8" w14:textId="77777777" w:rsidR="00725A91" w:rsidRDefault="00725A91" w:rsidP="00725A91">
      <w:pPr>
        <w:pStyle w:val="NoSpacing"/>
        <w:ind w:firstLine="720"/>
        <w:rPr>
          <w:rFonts w:ascii="Times New Roman" w:hAnsi="Times New Roman"/>
          <w:sz w:val="24"/>
          <w:szCs w:val="24"/>
        </w:rPr>
      </w:pPr>
      <w:r w:rsidRPr="006C7C3B">
        <w:rPr>
          <w:rFonts w:ascii="Times New Roman" w:hAnsi="Times New Roman"/>
          <w:sz w:val="24"/>
          <w:szCs w:val="24"/>
        </w:rPr>
        <w:t>the member or former member.</w:t>
      </w:r>
      <w:r>
        <w:rPr>
          <w:rFonts w:ascii="Times New Roman" w:hAnsi="Times New Roman"/>
          <w:sz w:val="24"/>
          <w:szCs w:val="24"/>
        </w:rPr>
        <w:t>”</w:t>
      </w:r>
    </w:p>
    <w:p w14:paraId="56470F98" w14:textId="77777777" w:rsidR="00725A91" w:rsidRDefault="00725A91" w:rsidP="00725A91">
      <w:pPr>
        <w:pStyle w:val="NoSpacing"/>
        <w:rPr>
          <w:rFonts w:ascii="Times New Roman" w:hAnsi="Times New Roman"/>
          <w:sz w:val="24"/>
          <w:szCs w:val="24"/>
        </w:rPr>
      </w:pPr>
    </w:p>
    <w:p w14:paraId="7F2E12B5" w14:textId="77777777" w:rsidR="00725A91" w:rsidRPr="006C40B3" w:rsidRDefault="00725A91" w:rsidP="00725A91">
      <w:pPr>
        <w:pStyle w:val="NoSpacing"/>
        <w:rPr>
          <w:rFonts w:ascii="Times New Roman" w:hAnsi="Times New Roman"/>
          <w:sz w:val="24"/>
          <w:szCs w:val="24"/>
        </w:rPr>
      </w:pPr>
      <w:hyperlink r:id="rId2419" w:history="1">
        <w:r w:rsidRPr="0005504F">
          <w:rPr>
            <w:rStyle w:val="Hyperlink"/>
            <w:rFonts w:ascii="Times New Roman" w:hAnsi="Times New Roman"/>
            <w:sz w:val="24"/>
            <w:szCs w:val="24"/>
          </w:rPr>
          <w:t>https://cases.justia.com/arkansas/court-of-appeals/2024-cv-22-650.pdf?ts=1713971302</w:t>
        </w:r>
      </w:hyperlink>
      <w:r>
        <w:rPr>
          <w:rFonts w:ascii="Times New Roman" w:hAnsi="Times New Roman"/>
          <w:sz w:val="24"/>
          <w:szCs w:val="24"/>
        </w:rPr>
        <w:t xml:space="preserve"> </w:t>
      </w:r>
    </w:p>
    <w:p w14:paraId="25909773" w14:textId="77777777" w:rsidR="00725A91" w:rsidRDefault="00725A91" w:rsidP="00725A91">
      <w:pPr>
        <w:pStyle w:val="NoSpacing"/>
        <w:rPr>
          <w:rFonts w:ascii="Times New Roman" w:hAnsi="Times New Roman"/>
          <w:sz w:val="24"/>
          <w:szCs w:val="24"/>
        </w:rPr>
      </w:pPr>
    </w:p>
    <w:p w14:paraId="370EED9F" w14:textId="77777777" w:rsidR="00725A91" w:rsidRDefault="00725A91" w:rsidP="00725A91">
      <w:pPr>
        <w:pStyle w:val="NormalWeb"/>
      </w:pPr>
      <w:r>
        <w:t>COURT HELD:</w:t>
      </w:r>
    </w:p>
    <w:p w14:paraId="52BEB43E" w14:textId="77777777" w:rsidR="00725A91" w:rsidRDefault="00725A91" w:rsidP="00725A91">
      <w:pPr>
        <w:pStyle w:val="NormalWeb"/>
        <w:ind w:left="720"/>
      </w:pPr>
      <w:r>
        <w:t>“On April 4, 2020, the Bella Vista Fire Department terminated his employment because Mills was notified that he had been approved for a long-term disability policy.</w:t>
      </w:r>
    </w:p>
    <w:p w14:paraId="7915934D" w14:textId="77777777" w:rsidR="00725A91" w:rsidRDefault="00725A91" w:rsidP="00725A91">
      <w:pPr>
        <w:pStyle w:val="NormalWeb"/>
        <w:ind w:left="720"/>
      </w:pPr>
      <w:r>
        <w:t>***</w:t>
      </w:r>
    </w:p>
    <w:p w14:paraId="4BC0D693" w14:textId="77777777" w:rsidR="00725A91" w:rsidRPr="00A271C9" w:rsidRDefault="00725A91" w:rsidP="00725A91">
      <w:pPr>
        <w:pStyle w:val="NoSpacing"/>
        <w:ind w:firstLine="720"/>
        <w:rPr>
          <w:rFonts w:ascii="Times New Roman" w:hAnsi="Times New Roman"/>
          <w:sz w:val="24"/>
          <w:szCs w:val="24"/>
        </w:rPr>
      </w:pPr>
      <w:r w:rsidRPr="00A271C9">
        <w:rPr>
          <w:rFonts w:ascii="Times New Roman" w:hAnsi="Times New Roman"/>
          <w:sz w:val="24"/>
          <w:szCs w:val="24"/>
        </w:rPr>
        <w:t xml:space="preserve">The Board’s designated physician, Dr. </w:t>
      </w:r>
      <w:proofErr w:type="spellStart"/>
      <w:r w:rsidRPr="00A271C9">
        <w:rPr>
          <w:rFonts w:ascii="Times New Roman" w:hAnsi="Times New Roman"/>
          <w:sz w:val="24"/>
          <w:szCs w:val="24"/>
        </w:rPr>
        <w:t>Podkova</w:t>
      </w:r>
      <w:proofErr w:type="spellEnd"/>
      <w:r w:rsidRPr="00A271C9">
        <w:rPr>
          <w:rFonts w:ascii="Times New Roman" w:hAnsi="Times New Roman"/>
          <w:sz w:val="24"/>
          <w:szCs w:val="24"/>
        </w:rPr>
        <w:t>, examined Mills and reviewed his</w:t>
      </w:r>
    </w:p>
    <w:p w14:paraId="3FF4AAEE" w14:textId="77777777" w:rsidR="00725A91" w:rsidRPr="00A271C9" w:rsidRDefault="00725A91" w:rsidP="00725A91">
      <w:pPr>
        <w:pStyle w:val="NoSpacing"/>
        <w:ind w:firstLine="720"/>
        <w:rPr>
          <w:rFonts w:ascii="Times New Roman" w:hAnsi="Times New Roman"/>
          <w:sz w:val="24"/>
          <w:szCs w:val="24"/>
        </w:rPr>
      </w:pPr>
      <w:r w:rsidRPr="00A271C9">
        <w:rPr>
          <w:rFonts w:ascii="Times New Roman" w:hAnsi="Times New Roman"/>
          <w:sz w:val="24"/>
          <w:szCs w:val="24"/>
        </w:rPr>
        <w:t xml:space="preserve">medical records submitted to LOPFI. On June 29, 2020, Dr. </w:t>
      </w:r>
      <w:proofErr w:type="spellStart"/>
      <w:r w:rsidRPr="00A271C9">
        <w:rPr>
          <w:rFonts w:ascii="Times New Roman" w:hAnsi="Times New Roman"/>
          <w:sz w:val="24"/>
          <w:szCs w:val="24"/>
        </w:rPr>
        <w:t>Podkova</w:t>
      </w:r>
      <w:proofErr w:type="spellEnd"/>
      <w:r w:rsidRPr="00A271C9">
        <w:rPr>
          <w:rFonts w:ascii="Times New Roman" w:hAnsi="Times New Roman"/>
          <w:sz w:val="24"/>
          <w:szCs w:val="24"/>
        </w:rPr>
        <w:t xml:space="preserve"> issued a detailed</w:t>
      </w:r>
    </w:p>
    <w:p w14:paraId="284E4B06" w14:textId="77777777" w:rsidR="00725A91" w:rsidRPr="00A271C9" w:rsidRDefault="00725A91" w:rsidP="00725A91">
      <w:pPr>
        <w:pStyle w:val="NoSpacing"/>
        <w:ind w:firstLine="720"/>
        <w:rPr>
          <w:rFonts w:ascii="Times New Roman" w:hAnsi="Times New Roman"/>
          <w:sz w:val="24"/>
          <w:szCs w:val="24"/>
        </w:rPr>
      </w:pPr>
      <w:r w:rsidRPr="00A271C9">
        <w:rPr>
          <w:rFonts w:ascii="Times New Roman" w:hAnsi="Times New Roman"/>
          <w:sz w:val="24"/>
          <w:szCs w:val="24"/>
        </w:rPr>
        <w:t>report and determined that Mills was not totally and permanently disabled from his</w:t>
      </w:r>
    </w:p>
    <w:p w14:paraId="5EA0E17F" w14:textId="77777777" w:rsidR="00725A91" w:rsidRPr="00A271C9" w:rsidRDefault="00725A91" w:rsidP="00725A91">
      <w:pPr>
        <w:pStyle w:val="NoSpacing"/>
        <w:ind w:left="720"/>
        <w:rPr>
          <w:rFonts w:ascii="Times New Roman" w:hAnsi="Times New Roman"/>
          <w:sz w:val="24"/>
          <w:szCs w:val="24"/>
        </w:rPr>
      </w:pPr>
      <w:r w:rsidRPr="00A271C9">
        <w:rPr>
          <w:rFonts w:ascii="Times New Roman" w:hAnsi="Times New Roman"/>
          <w:sz w:val="24"/>
          <w:szCs w:val="24"/>
        </w:rPr>
        <w:t xml:space="preserve">firefighting activity. Dr. </w:t>
      </w:r>
      <w:proofErr w:type="spellStart"/>
      <w:r w:rsidRPr="00A271C9">
        <w:rPr>
          <w:rFonts w:ascii="Times New Roman" w:hAnsi="Times New Roman"/>
          <w:sz w:val="24"/>
          <w:szCs w:val="24"/>
        </w:rPr>
        <w:t>Podkova</w:t>
      </w:r>
      <w:proofErr w:type="spellEnd"/>
      <w:r w:rsidRPr="00A271C9">
        <w:rPr>
          <w:rFonts w:ascii="Times New Roman" w:hAnsi="Times New Roman"/>
          <w:sz w:val="24"/>
          <w:szCs w:val="24"/>
        </w:rPr>
        <w:t xml:space="preserve"> concluded that Mills met the criteria for PTSD and that it</w:t>
      </w:r>
      <w:r>
        <w:rPr>
          <w:rFonts w:ascii="Times New Roman" w:hAnsi="Times New Roman"/>
          <w:sz w:val="24"/>
          <w:szCs w:val="24"/>
        </w:rPr>
        <w:t xml:space="preserve"> </w:t>
      </w:r>
      <w:r w:rsidRPr="00A271C9">
        <w:rPr>
          <w:rFonts w:ascii="Times New Roman" w:hAnsi="Times New Roman"/>
          <w:sz w:val="24"/>
          <w:szCs w:val="24"/>
        </w:rPr>
        <w:t>was more likely than not that Mills’s PTSD arose from his employment. However, she opined</w:t>
      </w:r>
      <w:r>
        <w:rPr>
          <w:rFonts w:ascii="Times New Roman" w:hAnsi="Times New Roman"/>
          <w:sz w:val="24"/>
          <w:szCs w:val="24"/>
        </w:rPr>
        <w:t xml:space="preserve"> </w:t>
      </w:r>
      <w:r w:rsidRPr="00A271C9">
        <w:rPr>
          <w:rFonts w:ascii="Times New Roman" w:hAnsi="Times New Roman"/>
          <w:sz w:val="24"/>
          <w:szCs w:val="24"/>
        </w:rPr>
        <w:t>that the disability was not total and permanent due, among other things, to Mills’s mental</w:t>
      </w:r>
      <w:r>
        <w:rPr>
          <w:rFonts w:ascii="Times New Roman" w:hAnsi="Times New Roman"/>
          <w:sz w:val="24"/>
          <w:szCs w:val="24"/>
        </w:rPr>
        <w:t xml:space="preserve"> </w:t>
      </w:r>
      <w:r w:rsidRPr="00A271C9">
        <w:rPr>
          <w:rFonts w:ascii="Times New Roman" w:hAnsi="Times New Roman"/>
          <w:sz w:val="24"/>
          <w:szCs w:val="24"/>
        </w:rPr>
        <w:t>status, the severity of his impairment, his noted improvement in symptoms with treatment,</w:t>
      </w:r>
      <w:r>
        <w:rPr>
          <w:rFonts w:ascii="Times New Roman" w:hAnsi="Times New Roman"/>
          <w:sz w:val="24"/>
          <w:szCs w:val="24"/>
        </w:rPr>
        <w:t xml:space="preserve"> </w:t>
      </w:r>
      <w:r w:rsidRPr="00A271C9">
        <w:rPr>
          <w:rFonts w:ascii="Times New Roman" w:hAnsi="Times New Roman"/>
          <w:sz w:val="24"/>
          <w:szCs w:val="24"/>
        </w:rPr>
        <w:t>his presentation, and the fact that he continued to volunteer with the Little Flock Fire</w:t>
      </w:r>
      <w:r>
        <w:rPr>
          <w:rFonts w:ascii="Times New Roman" w:hAnsi="Times New Roman"/>
          <w:sz w:val="24"/>
          <w:szCs w:val="24"/>
        </w:rPr>
        <w:t xml:space="preserve"> </w:t>
      </w:r>
      <w:r w:rsidRPr="00A271C9">
        <w:rPr>
          <w:rFonts w:ascii="Times New Roman" w:hAnsi="Times New Roman"/>
          <w:sz w:val="24"/>
          <w:szCs w:val="24"/>
        </w:rPr>
        <w:t>Department in addition to his full-time employment with the Bella Vista Fire Department</w:t>
      </w:r>
      <w:r>
        <w:rPr>
          <w:rFonts w:ascii="Times New Roman" w:hAnsi="Times New Roman"/>
          <w:sz w:val="24"/>
          <w:szCs w:val="24"/>
        </w:rPr>
        <w:t xml:space="preserve"> </w:t>
      </w:r>
      <w:r w:rsidRPr="00A271C9">
        <w:rPr>
          <w:rFonts w:ascii="Times New Roman" w:hAnsi="Times New Roman"/>
          <w:sz w:val="24"/>
          <w:szCs w:val="24"/>
        </w:rPr>
        <w:t>for a period of years after he started seeking help for his PTSD symptoms.</w:t>
      </w:r>
      <w:r>
        <w:rPr>
          <w:rFonts w:ascii="Times New Roman" w:hAnsi="Times New Roman"/>
          <w:sz w:val="24"/>
          <w:szCs w:val="24"/>
        </w:rPr>
        <w:t>”</w:t>
      </w:r>
    </w:p>
    <w:p w14:paraId="5CF7A771" w14:textId="77777777" w:rsidR="00725A91" w:rsidRDefault="00725A91" w:rsidP="00725A91">
      <w:pPr>
        <w:pStyle w:val="NormalWeb"/>
        <w:spacing w:before="0" w:beforeAutospacing="0"/>
        <w:rPr>
          <w:b/>
          <w:bCs/>
          <w:color w:val="454545"/>
          <w:shd w:val="clear" w:color="auto" w:fill="FFFFFF"/>
        </w:rPr>
      </w:pPr>
    </w:p>
    <w:p w14:paraId="72351711" w14:textId="77777777" w:rsidR="00725A91" w:rsidRDefault="00725A91" w:rsidP="00725A91">
      <w:pPr>
        <w:pStyle w:val="NoSpacing"/>
        <w:ind w:left="720"/>
        <w:rPr>
          <w:rFonts w:ascii="Times New Roman" w:hAnsi="Times New Roman"/>
          <w:sz w:val="24"/>
          <w:szCs w:val="24"/>
          <w:shd w:val="clear" w:color="auto" w:fill="FFFFFF"/>
        </w:rPr>
      </w:pPr>
    </w:p>
    <w:p w14:paraId="79C2E055" w14:textId="77777777" w:rsidR="00725A91" w:rsidRPr="00A961ED" w:rsidRDefault="00725A91" w:rsidP="00725A91">
      <w:pPr>
        <w:pStyle w:val="NoSpacing"/>
        <w:rPr>
          <w:rFonts w:ascii="Times New Roman" w:hAnsi="Times New Roman"/>
          <w:b/>
          <w:bCs/>
          <w:sz w:val="24"/>
          <w:szCs w:val="24"/>
          <w:shd w:val="clear" w:color="auto" w:fill="FFFFFF"/>
        </w:rPr>
      </w:pPr>
      <w:r w:rsidRPr="00A961ED">
        <w:rPr>
          <w:rFonts w:ascii="Times New Roman" w:hAnsi="Times New Roman"/>
          <w:b/>
          <w:bCs/>
          <w:sz w:val="24"/>
          <w:szCs w:val="24"/>
          <w:shd w:val="clear" w:color="auto" w:fill="FFFFFF"/>
        </w:rPr>
        <w:t>Legal Lesson Learned:</w:t>
      </w:r>
      <w:r>
        <w:rPr>
          <w:rFonts w:ascii="Times New Roman" w:hAnsi="Times New Roman"/>
          <w:b/>
          <w:bCs/>
          <w:sz w:val="24"/>
          <w:szCs w:val="24"/>
          <w:shd w:val="clear" w:color="auto" w:fill="FFFFFF"/>
        </w:rPr>
        <w:t xml:space="preserve"> Firefighter failed to prove he was “</w:t>
      </w:r>
      <w:r w:rsidRPr="00CC13B5">
        <w:rPr>
          <w:rFonts w:ascii="Times New Roman" w:hAnsi="Times New Roman"/>
          <w:b/>
          <w:bCs/>
          <w:sz w:val="24"/>
          <w:szCs w:val="24"/>
          <w:shd w:val="clear" w:color="auto" w:fill="FFFFFF"/>
        </w:rPr>
        <w:t>totally and</w:t>
      </w:r>
      <w:r>
        <w:rPr>
          <w:rFonts w:ascii="Times New Roman" w:hAnsi="Times New Roman"/>
          <w:b/>
          <w:bCs/>
          <w:sz w:val="24"/>
          <w:szCs w:val="24"/>
          <w:shd w:val="clear" w:color="auto" w:fill="FFFFFF"/>
        </w:rPr>
        <w:t xml:space="preserve"> </w:t>
      </w:r>
      <w:r w:rsidRPr="00CC13B5">
        <w:rPr>
          <w:rFonts w:ascii="Times New Roman" w:hAnsi="Times New Roman"/>
          <w:b/>
          <w:bCs/>
          <w:sz w:val="24"/>
          <w:szCs w:val="24"/>
          <w:shd w:val="clear" w:color="auto" w:fill="FFFFFF"/>
        </w:rPr>
        <w:t>permanently physically or mentally incapacitated for any suitable duty as an employee</w:t>
      </w:r>
      <w:r>
        <w:rPr>
          <w:rFonts w:ascii="Times New Roman" w:hAnsi="Times New Roman"/>
          <w:b/>
          <w:bCs/>
          <w:sz w:val="24"/>
          <w:szCs w:val="24"/>
          <w:shd w:val="clear" w:color="auto" w:fill="FFFFFF"/>
        </w:rPr>
        <w:t>.”</w:t>
      </w:r>
    </w:p>
    <w:p w14:paraId="44251224" w14:textId="77777777" w:rsidR="00725A91" w:rsidRDefault="00725A91" w:rsidP="00725A91">
      <w:pPr>
        <w:pStyle w:val="NormalWeb"/>
        <w:spacing w:before="0" w:beforeAutospacing="0"/>
        <w:jc w:val="center"/>
        <w:rPr>
          <w:b/>
          <w:bCs/>
          <w:color w:val="454545"/>
          <w:shd w:val="clear" w:color="auto" w:fill="FFFFFF"/>
        </w:rPr>
      </w:pPr>
    </w:p>
    <w:p w14:paraId="5D35D341" w14:textId="77777777" w:rsidR="00725A91" w:rsidRPr="000E0B66" w:rsidRDefault="00725A91" w:rsidP="00725A91">
      <w:pPr>
        <w:pStyle w:val="NormalWeb"/>
        <w:spacing w:before="0" w:beforeAutospacing="0"/>
      </w:pPr>
    </w:p>
    <w:p w14:paraId="3D830BE7" w14:textId="77777777" w:rsidR="00725A91" w:rsidRDefault="00725A91" w:rsidP="000C4DF5">
      <w:pPr>
        <w:pStyle w:val="NoSpacing"/>
        <w:rPr>
          <w:rFonts w:ascii="Arial Black" w:hAnsi="Arial Black"/>
          <w:sz w:val="24"/>
          <w:szCs w:val="24"/>
        </w:rPr>
      </w:pPr>
    </w:p>
    <w:p w14:paraId="4CAAF129" w14:textId="77777777" w:rsidR="00725A91" w:rsidRDefault="00725A91" w:rsidP="000C4DF5">
      <w:pPr>
        <w:pStyle w:val="NoSpacing"/>
        <w:rPr>
          <w:rFonts w:ascii="Arial Black" w:hAnsi="Arial Black"/>
          <w:sz w:val="24"/>
          <w:szCs w:val="24"/>
        </w:rPr>
      </w:pPr>
    </w:p>
    <w:p w14:paraId="4623BC08" w14:textId="4658831E" w:rsidR="006F1059" w:rsidRDefault="006F1059" w:rsidP="000C4DF5">
      <w:pPr>
        <w:pStyle w:val="NoSpacing"/>
        <w:rPr>
          <w:rFonts w:ascii="Arial Black" w:hAnsi="Arial Black"/>
          <w:sz w:val="24"/>
          <w:szCs w:val="24"/>
        </w:rPr>
      </w:pPr>
      <w:r>
        <w:rPr>
          <w:rFonts w:ascii="Arial Black" w:hAnsi="Arial Black"/>
          <w:sz w:val="24"/>
          <w:szCs w:val="24"/>
        </w:rPr>
        <w:t>15-29</w:t>
      </w:r>
    </w:p>
    <w:p w14:paraId="4EFCCE20" w14:textId="77777777" w:rsidR="00776614" w:rsidRPr="00801B4D" w:rsidRDefault="00776614" w:rsidP="00776614">
      <w:pPr>
        <w:pStyle w:val="Heading1"/>
        <w:rPr>
          <w:rFonts w:ascii="Arial Black" w:hAnsi="Arial Black"/>
          <w:b w:val="0"/>
          <w:bCs w:val="0"/>
          <w:sz w:val="28"/>
          <w:szCs w:val="28"/>
        </w:rPr>
      </w:pPr>
      <w:r>
        <w:rPr>
          <w:rFonts w:ascii="Arial Black" w:hAnsi="Arial Black"/>
          <w:b w:val="0"/>
          <w:bCs w:val="0"/>
          <w:sz w:val="28"/>
          <w:szCs w:val="28"/>
        </w:rPr>
        <w:t>NY: PTSD - PERUVIAN FDNY FF – HAZING – HOSTILE WORK ATMOSPHERE – 2015-2021 – FIRED - CASE PROCEED</w:t>
      </w:r>
    </w:p>
    <w:p w14:paraId="537C7193" w14:textId="77777777" w:rsidR="00776614" w:rsidRDefault="00776614" w:rsidP="00776614">
      <w:pPr>
        <w:pStyle w:val="Heading1"/>
        <w:rPr>
          <w:b w:val="0"/>
          <w:bCs w:val="0"/>
          <w:sz w:val="24"/>
          <w:szCs w:val="24"/>
        </w:rPr>
      </w:pPr>
      <w:r>
        <w:rPr>
          <w:b w:val="0"/>
          <w:bCs w:val="0"/>
          <w:sz w:val="24"/>
          <w:szCs w:val="24"/>
        </w:rPr>
        <w:t xml:space="preserve">Jan. 5, 2024, Court granted FDNY motion for protective order (pre-trial discovery extended to March 15, 2024).  On March 31, 2023, in </w:t>
      </w:r>
      <w:r w:rsidRPr="00A65A6D">
        <w:rPr>
          <w:b w:val="0"/>
          <w:bCs w:val="0"/>
          <w:sz w:val="24"/>
          <w:szCs w:val="24"/>
          <w:u w:val="single"/>
        </w:rPr>
        <w:t>Joseph Mendoza v. City of New York, et al</w:t>
      </w:r>
      <w:r>
        <w:rPr>
          <w:b w:val="0"/>
          <w:bCs w:val="0"/>
          <w:sz w:val="24"/>
          <w:szCs w:val="24"/>
        </w:rPr>
        <w:t xml:space="preserve">., U.S. District Court Judge Lashann Dearcy Hall, U.S. District Court for Eastern District of New York, dismissed most of the plaintiff’s claims, but denied the defense motion to dismiss Section 1983 hostile work environment claim. </w:t>
      </w:r>
    </w:p>
    <w:p w14:paraId="681DE6F9" w14:textId="77777777" w:rsidR="00776614" w:rsidRDefault="00776614" w:rsidP="00776614">
      <w:pPr>
        <w:pStyle w:val="paragraph"/>
      </w:pPr>
      <w:r>
        <w:t xml:space="preserve">The Court held: </w:t>
      </w:r>
    </w:p>
    <w:p w14:paraId="5E32BEBD" w14:textId="77777777" w:rsidR="00776614" w:rsidRDefault="00776614" w:rsidP="00776614">
      <w:pPr>
        <w:pStyle w:val="paragraph"/>
        <w:ind w:left="720"/>
      </w:pPr>
      <w:r>
        <w:t xml:space="preserve">“Plaintiff's hostile work environment claims warrant different treatment. “A charge alleging a hostile work environment claim . . . will not be time barred so long as all acts which constitute the claim are part of the same unlawful employment practice and at least one act falls within the time period.” </w:t>
      </w:r>
      <w:r>
        <w:rPr>
          <w:i/>
          <w:iCs/>
        </w:rPr>
        <w:t>Sotomayor v. City of New York</w:t>
      </w:r>
      <w:r>
        <w:t xml:space="preserve">, </w:t>
      </w:r>
      <w:hyperlink r:id="rId2420" w:anchor="p250" w:history="1">
        <w:r>
          <w:rPr>
            <w:rStyle w:val="Hyperlink"/>
          </w:rPr>
          <w:t>862 F.Supp.2d 226, 250</w:t>
        </w:r>
      </w:hyperlink>
      <w:r>
        <w:t xml:space="preserve"> (E.D.N.Y. 2012) (quoting </w:t>
      </w:r>
      <w:r>
        <w:rPr>
          <w:i/>
          <w:iCs/>
        </w:rPr>
        <w:t>Morgan</w:t>
      </w:r>
      <w:r>
        <w:t>, 536 U.S. at 122). As Plaintiff correctly argues, the amended complaint alleges a continuous and ongoing period of racial harassment that began in 2015 and continued through at least May 2019, when he alleges he received a racially offensive text message in the group chat. (</w:t>
      </w:r>
      <w:r>
        <w:rPr>
          <w:i/>
          <w:iCs/>
        </w:rPr>
        <w:t>See</w:t>
      </w:r>
      <w:r>
        <w:t xml:space="preserve"> Pl's </w:t>
      </w:r>
      <w:proofErr w:type="spellStart"/>
      <w:r>
        <w:t>Opp'n</w:t>
      </w:r>
      <w:proofErr w:type="spellEnd"/>
      <w:r>
        <w:t xml:space="preserve"> at 6-7; </w:t>
      </w:r>
      <w:r>
        <w:rPr>
          <w:i/>
          <w:iCs/>
        </w:rPr>
        <w:t>see also</w:t>
      </w:r>
      <w:r>
        <w:t xml:space="preserve"> Am. </w:t>
      </w:r>
      <w:proofErr w:type="spellStart"/>
      <w:r>
        <w:t>Compl</w:t>
      </w:r>
      <w:proofErr w:type="spellEnd"/>
      <w:r>
        <w:t xml:space="preserve">. ¶¶ 23, 38, 56.) Plaintiff alleges he was subjected to racially demeaning conduct throughout this </w:t>
      </w:r>
      <w:proofErr w:type="gramStart"/>
      <w:r>
        <w:t>time period</w:t>
      </w:r>
      <w:proofErr w:type="gramEnd"/>
      <w:r>
        <w:t>, and none of those individual comments or racial incidents could constitute a discrete act or be considered unrelated to the racial incidents he experienced within the limitations period.”</w:t>
      </w:r>
      <w:r w:rsidRPr="00D36ABB">
        <w:t xml:space="preserve"> </w:t>
      </w:r>
      <w:hyperlink r:id="rId2421" w:history="1">
        <w:r w:rsidRPr="00E007C4">
          <w:rPr>
            <w:rStyle w:val="Hyperlink"/>
          </w:rPr>
          <w:t>https://casetext.com/case/mendoza-v-the-city-of-new-york-3</w:t>
        </w:r>
      </w:hyperlink>
      <w:r>
        <w:t xml:space="preserve"> </w:t>
      </w:r>
    </w:p>
    <w:p w14:paraId="6D11FED5" w14:textId="77777777" w:rsidR="00776614" w:rsidRPr="00EB6336" w:rsidRDefault="00776614" w:rsidP="00776614">
      <w:pPr>
        <w:pStyle w:val="paragraph"/>
        <w:rPr>
          <w:b/>
          <w:bCs/>
        </w:rPr>
      </w:pPr>
      <w:r w:rsidRPr="00EB6336">
        <w:rPr>
          <w:b/>
          <w:bCs/>
        </w:rPr>
        <w:t xml:space="preserve">Legal Lesson Learned: </w:t>
      </w:r>
      <w:r>
        <w:rPr>
          <w:b/>
          <w:bCs/>
        </w:rPr>
        <w:t xml:space="preserve">Continuous hazing can lead to hostile work atmosphere litigation. </w:t>
      </w:r>
    </w:p>
    <w:p w14:paraId="66A64024" w14:textId="77777777" w:rsidR="006F1059" w:rsidRDefault="006F1059" w:rsidP="000C4DF5">
      <w:pPr>
        <w:pStyle w:val="NoSpacing"/>
        <w:rPr>
          <w:rFonts w:ascii="Arial Black" w:hAnsi="Arial Black"/>
          <w:sz w:val="24"/>
          <w:szCs w:val="24"/>
        </w:rPr>
      </w:pPr>
    </w:p>
    <w:p w14:paraId="3EDD726D" w14:textId="77777777" w:rsidR="006F1059" w:rsidRDefault="006F1059" w:rsidP="000C4DF5">
      <w:pPr>
        <w:pStyle w:val="NoSpacing"/>
        <w:rPr>
          <w:rFonts w:ascii="Arial Black" w:hAnsi="Arial Black"/>
          <w:sz w:val="24"/>
          <w:szCs w:val="24"/>
        </w:rPr>
      </w:pPr>
    </w:p>
    <w:p w14:paraId="065E298F" w14:textId="63F165DB" w:rsidR="003A2816" w:rsidRDefault="003A2816" w:rsidP="000C4DF5">
      <w:pPr>
        <w:pStyle w:val="NoSpacing"/>
        <w:rPr>
          <w:rFonts w:ascii="Arial Black" w:hAnsi="Arial Black"/>
          <w:sz w:val="24"/>
          <w:szCs w:val="24"/>
        </w:rPr>
      </w:pPr>
      <w:r>
        <w:rPr>
          <w:rFonts w:ascii="Arial Black" w:hAnsi="Arial Black"/>
          <w:sz w:val="24"/>
          <w:szCs w:val="24"/>
        </w:rPr>
        <w:t>15-28</w:t>
      </w:r>
    </w:p>
    <w:p w14:paraId="719B7E88" w14:textId="77777777" w:rsidR="00787369" w:rsidRDefault="00787369" w:rsidP="00787369">
      <w:pPr>
        <w:pStyle w:val="NormalWeb"/>
        <w:rPr>
          <w:rFonts w:ascii="Arial Black" w:hAnsi="Arial Black"/>
          <w:b/>
          <w:bCs/>
          <w:sz w:val="28"/>
          <w:szCs w:val="28"/>
        </w:rPr>
      </w:pPr>
      <w:r>
        <w:rPr>
          <w:rFonts w:ascii="Arial Black" w:hAnsi="Arial Black"/>
          <w:b/>
          <w:bCs/>
          <w:sz w:val="28"/>
          <w:szCs w:val="28"/>
        </w:rPr>
        <w:t xml:space="preserve">OH: MENTAL CALL / SUICIDE GUNSHOT – DEPUTIES NOT RECKLESS - CALLED MOBILE CRISIS - NOT LIABLE </w:t>
      </w:r>
    </w:p>
    <w:p w14:paraId="75520E94" w14:textId="77777777" w:rsidR="00787369" w:rsidRDefault="00787369" w:rsidP="00787369">
      <w:pPr>
        <w:pStyle w:val="NormalWeb"/>
      </w:pPr>
      <w:r>
        <w:t xml:space="preserve">On Dec. 28, 2023, in </w:t>
      </w:r>
      <w:r w:rsidRPr="00DF2081">
        <w:rPr>
          <w:u w:val="single"/>
        </w:rPr>
        <w:t>Sarah Wilson, Administrator of the Estate of Jack Huelsman, et al. v. Eric Gregory, et al.</w:t>
      </w:r>
      <w:r>
        <w:t>, the Court of Appeals of Ohio, Twelfth District, held (3 to 0) that lawsuit against two Deputy Sheriff’s for not taking the patient to mental health facility was properly dismissed, since patient at that time did not appear to be a risk to himself or others.  The Court held:  “We find that the Deputies did not engage in reckless conduct because there is no evidence in the record that they consciously disregarded or were indifferent to a known or obvious risk of harm to Jack [Huelsmann].”.</w:t>
      </w:r>
      <w:hyperlink r:id="rId2422" w:history="1">
        <w:r w:rsidRPr="0044657D">
          <w:rPr>
            <w:rStyle w:val="Hyperlink"/>
          </w:rPr>
          <w:t>https://cases.justia.com/ohio/twelfth-district-court-of-appeals/2023-ca2023-06-039.pdf?ts=1703791198</w:t>
        </w:r>
      </w:hyperlink>
    </w:p>
    <w:p w14:paraId="4FA17AAC" w14:textId="77777777" w:rsidR="004C2189" w:rsidRDefault="004C2189" w:rsidP="004C2189">
      <w:pPr>
        <w:pStyle w:val="NormalWeb"/>
        <w:rPr>
          <w:b/>
          <w:bCs/>
        </w:rPr>
      </w:pPr>
      <w:r w:rsidRPr="00190E94">
        <w:rPr>
          <w:b/>
          <w:bCs/>
        </w:rPr>
        <w:t>Legal Lesson Learned:</w:t>
      </w:r>
      <w:r>
        <w:rPr>
          <w:b/>
          <w:bCs/>
        </w:rPr>
        <w:t xml:space="preserve"> A tragic outcome to a mental health run; lengthy litigation, if the Deputies had not cancelled EMS there would have been four witnesses to testify about patient’s condition.  </w:t>
      </w:r>
    </w:p>
    <w:p w14:paraId="00EBF9F8" w14:textId="77777777" w:rsidR="004C2189" w:rsidRDefault="004C2189" w:rsidP="004C2189">
      <w:pPr>
        <w:pStyle w:val="NormalWeb"/>
        <w:ind w:left="720"/>
      </w:pPr>
      <w:r>
        <w:t xml:space="preserve">Note: FEDERAL LAWSUIT. Plaintiff  had originally filed a lawsuit against the Deputies in Federal court. On Sept. 30, 2020, U.S. District Court granted summary judgment to the Deputies. </w:t>
      </w:r>
      <w:hyperlink r:id="rId2423" w:history="1">
        <w:r w:rsidRPr="003C00DD">
          <w:rPr>
            <w:rStyle w:val="Hyperlink"/>
          </w:rPr>
          <w:t>https://caselaw.findlaw.com/court/us-dis-crt-s-d-ohi-wes-div/2089388.html</w:t>
        </w:r>
      </w:hyperlink>
      <w:r>
        <w:t>. On July 1, 2021, the 6</w:t>
      </w:r>
      <w:r w:rsidRPr="0021237F">
        <w:rPr>
          <w:vertAlign w:val="superscript"/>
        </w:rPr>
        <w:t>th</w:t>
      </w:r>
      <w:r>
        <w:t xml:space="preserve"> Circuit Court of Appeals directed District Court judge “to determine whether to exercise supplemental jurisdiction” over the state law claims that remain.”</w:t>
      </w:r>
      <w:r>
        <w:tab/>
        <w:t xml:space="preserve"> </w:t>
      </w:r>
      <w:hyperlink r:id="rId2424" w:history="1">
        <w:r w:rsidRPr="003C00DD">
          <w:rPr>
            <w:rStyle w:val="Hyperlink"/>
          </w:rPr>
          <w:t>https://www.opn.ca6.uscourts.gov/opinions.pdf/21a0151p-06.pdf</w:t>
        </w:r>
      </w:hyperlink>
      <w:r>
        <w:t>.] On Aug. 18, 2021, the U.S. District Court judge declined to exercise supplemental jurisdiction and dismisses all remaining claims without prejudice.</w:t>
      </w:r>
      <w:r w:rsidRPr="00D83569">
        <w:t xml:space="preserve"> </w:t>
      </w:r>
      <w:hyperlink r:id="rId2425" w:history="1">
        <w:r w:rsidRPr="003C00DD">
          <w:rPr>
            <w:rStyle w:val="Hyperlink"/>
          </w:rPr>
          <w:t>https://casetext.com/case/wilson-v-gregory-4</w:t>
        </w:r>
      </w:hyperlink>
    </w:p>
    <w:p w14:paraId="77E15EA1" w14:textId="77777777" w:rsidR="004C2189" w:rsidRDefault="004C2189" w:rsidP="004C2189">
      <w:pPr>
        <w:pStyle w:val="NoSpacing"/>
        <w:ind w:firstLine="720"/>
        <w:rPr>
          <w:rFonts w:ascii="Times New Roman" w:hAnsi="Times New Roman"/>
          <w:sz w:val="24"/>
          <w:szCs w:val="24"/>
        </w:rPr>
      </w:pPr>
      <w:r>
        <w:rPr>
          <w:rFonts w:ascii="Times New Roman" w:hAnsi="Times New Roman"/>
          <w:sz w:val="24"/>
          <w:szCs w:val="24"/>
        </w:rPr>
        <w:t>6</w:t>
      </w:r>
      <w:r w:rsidRPr="00102E41">
        <w:rPr>
          <w:rFonts w:ascii="Times New Roman" w:hAnsi="Times New Roman"/>
          <w:sz w:val="24"/>
          <w:szCs w:val="24"/>
          <w:vertAlign w:val="superscript"/>
        </w:rPr>
        <w:t>th</w:t>
      </w:r>
      <w:r>
        <w:rPr>
          <w:rFonts w:ascii="Times New Roman" w:hAnsi="Times New Roman"/>
          <w:sz w:val="24"/>
          <w:szCs w:val="24"/>
        </w:rPr>
        <w:t xml:space="preserve"> Circuit focused on EMS being cancelled. </w:t>
      </w:r>
    </w:p>
    <w:p w14:paraId="1BF847E5" w14:textId="77777777" w:rsidR="004C2189" w:rsidRDefault="004C2189" w:rsidP="004C2189">
      <w:pPr>
        <w:pStyle w:val="NoSpacing"/>
        <w:ind w:left="1440"/>
        <w:rPr>
          <w:rFonts w:ascii="Times New Roman" w:hAnsi="Times New Roman"/>
          <w:sz w:val="24"/>
          <w:szCs w:val="24"/>
        </w:rPr>
      </w:pPr>
    </w:p>
    <w:p w14:paraId="1EEACF85" w14:textId="77777777" w:rsidR="004C2189" w:rsidRDefault="004C2189" w:rsidP="004C2189">
      <w:pPr>
        <w:pStyle w:val="NoSpacing"/>
        <w:ind w:left="720"/>
        <w:rPr>
          <w:rFonts w:ascii="Times New Roman" w:hAnsi="Times New Roman"/>
          <w:sz w:val="24"/>
          <w:szCs w:val="24"/>
        </w:rPr>
      </w:pPr>
      <w:r w:rsidRPr="00692EF2">
        <w:rPr>
          <w:rFonts w:ascii="Times New Roman" w:hAnsi="Times New Roman"/>
          <w:sz w:val="24"/>
          <w:szCs w:val="24"/>
        </w:rPr>
        <w:t>In the meantime, emergency medical services (EMS) personnel had arrived and were</w:t>
      </w:r>
      <w:r>
        <w:rPr>
          <w:rFonts w:ascii="Times New Roman" w:hAnsi="Times New Roman"/>
          <w:sz w:val="24"/>
          <w:szCs w:val="24"/>
        </w:rPr>
        <w:t xml:space="preserve"> </w:t>
      </w:r>
      <w:r w:rsidRPr="00692EF2">
        <w:rPr>
          <w:rFonts w:ascii="Times New Roman" w:hAnsi="Times New Roman"/>
          <w:sz w:val="24"/>
          <w:szCs w:val="24"/>
        </w:rPr>
        <w:t>waiting for the Deputies’ go-ahead. Though EMS personnel’s ability to provide mental health</w:t>
      </w:r>
      <w:r>
        <w:rPr>
          <w:rFonts w:ascii="Times New Roman" w:hAnsi="Times New Roman"/>
          <w:sz w:val="24"/>
          <w:szCs w:val="24"/>
        </w:rPr>
        <w:t xml:space="preserve"> </w:t>
      </w:r>
      <w:r w:rsidRPr="00692EF2">
        <w:rPr>
          <w:rFonts w:ascii="Times New Roman" w:hAnsi="Times New Roman"/>
          <w:sz w:val="24"/>
          <w:szCs w:val="24"/>
        </w:rPr>
        <w:t>services was limited to asking basic questions to test a person’s mental acuity, their training and</w:t>
      </w:r>
      <w:r>
        <w:rPr>
          <w:rFonts w:ascii="Times New Roman" w:hAnsi="Times New Roman"/>
          <w:sz w:val="24"/>
          <w:szCs w:val="24"/>
        </w:rPr>
        <w:t xml:space="preserve"> </w:t>
      </w:r>
      <w:r w:rsidRPr="00692EF2">
        <w:rPr>
          <w:rFonts w:ascii="Times New Roman" w:hAnsi="Times New Roman"/>
          <w:sz w:val="24"/>
          <w:szCs w:val="24"/>
        </w:rPr>
        <w:t>policy permitted them to assess a person’s mental condition and make a recommendation to a</w:t>
      </w:r>
      <w:r>
        <w:rPr>
          <w:rFonts w:ascii="Times New Roman" w:hAnsi="Times New Roman"/>
          <w:sz w:val="24"/>
          <w:szCs w:val="24"/>
        </w:rPr>
        <w:t xml:space="preserve"> </w:t>
      </w:r>
      <w:r w:rsidRPr="00692EF2">
        <w:rPr>
          <w:rFonts w:ascii="Times New Roman" w:hAnsi="Times New Roman"/>
          <w:sz w:val="24"/>
          <w:szCs w:val="24"/>
        </w:rPr>
        <w:t>deputy that the person should or should not be detained. Within four minutes of his arrival at the</w:t>
      </w:r>
      <w:r>
        <w:rPr>
          <w:rFonts w:ascii="Times New Roman" w:hAnsi="Times New Roman"/>
          <w:sz w:val="24"/>
          <w:szCs w:val="24"/>
        </w:rPr>
        <w:t xml:space="preserve"> </w:t>
      </w:r>
      <w:proofErr w:type="spellStart"/>
      <w:r w:rsidRPr="00692EF2">
        <w:rPr>
          <w:rFonts w:ascii="Times New Roman" w:hAnsi="Times New Roman"/>
          <w:sz w:val="24"/>
          <w:szCs w:val="24"/>
        </w:rPr>
        <w:t>Huelsmans</w:t>
      </w:r>
      <w:proofErr w:type="spellEnd"/>
      <w:r w:rsidRPr="00692EF2">
        <w:rPr>
          <w:rFonts w:ascii="Times New Roman" w:hAnsi="Times New Roman"/>
          <w:sz w:val="24"/>
          <w:szCs w:val="24"/>
        </w:rPr>
        <w:t>’ home, Deputy Gregory called off EMS.</w:t>
      </w:r>
    </w:p>
    <w:p w14:paraId="3127E50E" w14:textId="77777777" w:rsidR="004C2189" w:rsidRDefault="004C2189" w:rsidP="004C2189">
      <w:pPr>
        <w:pStyle w:val="NoSpacing"/>
        <w:rPr>
          <w:rFonts w:ascii="Times New Roman" w:hAnsi="Times New Roman"/>
          <w:sz w:val="24"/>
          <w:szCs w:val="24"/>
        </w:rPr>
      </w:pPr>
    </w:p>
    <w:p w14:paraId="628B055A" w14:textId="77777777" w:rsidR="004C2189" w:rsidRDefault="004C2189" w:rsidP="004C2189">
      <w:pPr>
        <w:pStyle w:val="NoSpacing"/>
        <w:ind w:firstLine="720"/>
        <w:rPr>
          <w:rFonts w:ascii="Times New Roman" w:hAnsi="Times New Roman"/>
          <w:sz w:val="24"/>
          <w:szCs w:val="24"/>
        </w:rPr>
      </w:pPr>
      <w:r>
        <w:rPr>
          <w:rFonts w:ascii="Times New Roman" w:hAnsi="Times New Roman"/>
          <w:sz w:val="24"/>
          <w:szCs w:val="24"/>
        </w:rPr>
        <w:t>***</w:t>
      </w:r>
    </w:p>
    <w:p w14:paraId="0A59418A" w14:textId="77777777" w:rsidR="004C2189" w:rsidRDefault="004C2189" w:rsidP="004C2189">
      <w:pPr>
        <w:pStyle w:val="NoSpacing"/>
        <w:ind w:left="720"/>
        <w:rPr>
          <w:rFonts w:ascii="Times New Roman" w:hAnsi="Times New Roman"/>
          <w:sz w:val="24"/>
          <w:szCs w:val="24"/>
        </w:rPr>
      </w:pPr>
      <w:r w:rsidRPr="003C7982">
        <w:rPr>
          <w:rFonts w:ascii="Times New Roman" w:hAnsi="Times New Roman"/>
          <w:sz w:val="24"/>
          <w:szCs w:val="24"/>
        </w:rPr>
        <w:t>A reasonable juror could conclude from some combination of these indicia that</w:t>
      </w:r>
      <w:r>
        <w:rPr>
          <w:rFonts w:ascii="Times New Roman" w:hAnsi="Times New Roman"/>
          <w:sz w:val="24"/>
          <w:szCs w:val="24"/>
        </w:rPr>
        <w:t xml:space="preserve"> </w:t>
      </w:r>
      <w:r w:rsidRPr="003C7982">
        <w:rPr>
          <w:rFonts w:ascii="Times New Roman" w:hAnsi="Times New Roman"/>
          <w:sz w:val="24"/>
          <w:szCs w:val="24"/>
        </w:rPr>
        <w:t>the risk of Mr. Huelsman’s suicide was indeed obvious and that Deputies Gregory and/or Walsh</w:t>
      </w:r>
      <w:r>
        <w:rPr>
          <w:rFonts w:ascii="Times New Roman" w:hAnsi="Times New Roman"/>
          <w:sz w:val="24"/>
          <w:szCs w:val="24"/>
        </w:rPr>
        <w:t xml:space="preserve"> </w:t>
      </w:r>
      <w:r w:rsidRPr="003C7982">
        <w:rPr>
          <w:rFonts w:ascii="Times New Roman" w:hAnsi="Times New Roman"/>
          <w:sz w:val="24"/>
          <w:szCs w:val="24"/>
        </w:rPr>
        <w:t>acted recklessly as a result. It may well be that when presented with this case, a jury would</w:t>
      </w:r>
      <w:r>
        <w:rPr>
          <w:rFonts w:ascii="Times New Roman" w:hAnsi="Times New Roman"/>
          <w:sz w:val="24"/>
          <w:szCs w:val="24"/>
        </w:rPr>
        <w:t xml:space="preserve"> </w:t>
      </w:r>
      <w:r w:rsidRPr="003C7982">
        <w:rPr>
          <w:rFonts w:ascii="Times New Roman" w:hAnsi="Times New Roman"/>
          <w:sz w:val="24"/>
          <w:szCs w:val="24"/>
        </w:rPr>
        <w:t>conclude Deputies Gregory and/or Walsh did not act recklessly on the rationales that the separate</w:t>
      </w:r>
      <w:r>
        <w:rPr>
          <w:rFonts w:ascii="Times New Roman" w:hAnsi="Times New Roman"/>
          <w:sz w:val="24"/>
          <w:szCs w:val="24"/>
        </w:rPr>
        <w:t xml:space="preserve"> </w:t>
      </w:r>
      <w:r w:rsidRPr="003C7982">
        <w:rPr>
          <w:rFonts w:ascii="Times New Roman" w:hAnsi="Times New Roman"/>
          <w:sz w:val="24"/>
          <w:szCs w:val="24"/>
        </w:rPr>
        <w:t>writing discusses. But on this record and given Ohio courts’ strong preference for a jury to</w:t>
      </w:r>
      <w:r>
        <w:rPr>
          <w:rFonts w:ascii="Times New Roman" w:hAnsi="Times New Roman"/>
          <w:sz w:val="24"/>
          <w:szCs w:val="24"/>
        </w:rPr>
        <w:t xml:space="preserve"> </w:t>
      </w:r>
      <w:r w:rsidRPr="003C7982">
        <w:rPr>
          <w:rFonts w:ascii="Times New Roman" w:hAnsi="Times New Roman"/>
          <w:sz w:val="24"/>
          <w:szCs w:val="24"/>
        </w:rPr>
        <w:t xml:space="preserve">determine whether </w:t>
      </w:r>
      <w:proofErr w:type="gramStart"/>
      <w:r w:rsidRPr="003C7982">
        <w:rPr>
          <w:rFonts w:ascii="Times New Roman" w:hAnsi="Times New Roman"/>
          <w:sz w:val="24"/>
          <w:szCs w:val="24"/>
        </w:rPr>
        <w:t>particular acts</w:t>
      </w:r>
      <w:proofErr w:type="gramEnd"/>
      <w:r w:rsidRPr="003C7982">
        <w:rPr>
          <w:rFonts w:ascii="Times New Roman" w:hAnsi="Times New Roman"/>
          <w:sz w:val="24"/>
          <w:szCs w:val="24"/>
        </w:rPr>
        <w:t xml:space="preserve"> or decisions demonstrate recklessness, the grant of statutory</w:t>
      </w:r>
      <w:r>
        <w:rPr>
          <w:rFonts w:ascii="Times New Roman" w:hAnsi="Times New Roman"/>
          <w:sz w:val="24"/>
          <w:szCs w:val="24"/>
        </w:rPr>
        <w:t xml:space="preserve"> </w:t>
      </w:r>
      <w:r w:rsidRPr="003C7982">
        <w:rPr>
          <w:rFonts w:ascii="Times New Roman" w:hAnsi="Times New Roman"/>
          <w:sz w:val="24"/>
          <w:szCs w:val="24"/>
        </w:rPr>
        <w:t>immunity to Deputies Gregory and Walsh, and therefore the grant of summary judgment in their</w:t>
      </w:r>
      <w:r>
        <w:rPr>
          <w:rFonts w:ascii="Times New Roman" w:hAnsi="Times New Roman"/>
          <w:sz w:val="24"/>
          <w:szCs w:val="24"/>
        </w:rPr>
        <w:t xml:space="preserve"> </w:t>
      </w:r>
      <w:r w:rsidRPr="003C7982">
        <w:rPr>
          <w:rFonts w:ascii="Times New Roman" w:hAnsi="Times New Roman"/>
          <w:sz w:val="24"/>
          <w:szCs w:val="24"/>
        </w:rPr>
        <w:t xml:space="preserve">favor on the </w:t>
      </w:r>
      <w:proofErr w:type="spellStart"/>
      <w:r w:rsidRPr="003C7982">
        <w:rPr>
          <w:rFonts w:ascii="Times New Roman" w:hAnsi="Times New Roman"/>
          <w:sz w:val="24"/>
          <w:szCs w:val="24"/>
        </w:rPr>
        <w:t>Huelsmans</w:t>
      </w:r>
      <w:proofErr w:type="spellEnd"/>
      <w:r w:rsidRPr="003C7982">
        <w:rPr>
          <w:rFonts w:ascii="Times New Roman" w:hAnsi="Times New Roman"/>
          <w:sz w:val="24"/>
          <w:szCs w:val="24"/>
        </w:rPr>
        <w:t>’ state law claims, was also error.</w:t>
      </w:r>
    </w:p>
    <w:p w14:paraId="1D33F791" w14:textId="77777777" w:rsidR="004C2189" w:rsidRDefault="004C2189" w:rsidP="004C2189">
      <w:pPr>
        <w:pStyle w:val="NormalWeb"/>
        <w:ind w:left="720"/>
      </w:pPr>
      <w:r w:rsidRPr="00784817">
        <w:t>Note</w:t>
      </w:r>
      <w:r>
        <w:t xml:space="preserve"> – Pink Slip</w:t>
      </w:r>
    </w:p>
    <w:p w14:paraId="6DAD447F" w14:textId="77777777" w:rsidR="004C2189" w:rsidRDefault="004C2189" w:rsidP="004C2189">
      <w:pPr>
        <w:pStyle w:val="NormalWeb"/>
        <w:ind w:left="720"/>
      </w:pPr>
      <w:r w:rsidRPr="00784817">
        <w:t xml:space="preserve">In Ohio, police officers have authority to “pink slip” an individual for </w:t>
      </w:r>
      <w:proofErr w:type="gramStart"/>
      <w:r w:rsidRPr="00784817">
        <w:t>72 hour</w:t>
      </w:r>
      <w:proofErr w:type="gramEnd"/>
      <w:r w:rsidRPr="00784817">
        <w:t xml:space="preserve"> mental health hold, under Ohio Rev. Code 5122.10</w:t>
      </w:r>
      <w:r>
        <w:t xml:space="preserve">: “substantial risk of physical harm to self or others.”  </w:t>
      </w:r>
      <w:hyperlink r:id="rId2426" w:history="1">
        <w:r w:rsidRPr="003C00DD">
          <w:rPr>
            <w:rStyle w:val="Hyperlink"/>
          </w:rPr>
          <w:t>https://codes.ohio.gov/ohio-revised-code/section-5122.10/9-17-2014</w:t>
        </w:r>
      </w:hyperlink>
      <w:r>
        <w:t xml:space="preserve"> </w:t>
      </w:r>
    </w:p>
    <w:p w14:paraId="2B29BFA3" w14:textId="77777777" w:rsidR="004C2189" w:rsidRPr="00784817" w:rsidRDefault="004C2189" w:rsidP="004C2189">
      <w:pPr>
        <w:pStyle w:val="NormalWeb"/>
        <w:ind w:left="720"/>
      </w:pPr>
      <w:r w:rsidRPr="00784817">
        <w:t>See</w:t>
      </w:r>
      <w:r>
        <w:t xml:space="preserve"> also</w:t>
      </w:r>
      <w:r w:rsidRPr="00784817">
        <w:t xml:space="preserve"> this research publication by Legislative </w:t>
      </w:r>
      <w:r>
        <w:t xml:space="preserve">Service Commission for </w:t>
      </w:r>
      <w:r w:rsidRPr="00784817">
        <w:t xml:space="preserve">Ohio General Assembly, “Involuntary Treatment for Mental Illness.” </w:t>
      </w:r>
      <w:hyperlink r:id="rId2427" w:history="1">
        <w:r w:rsidRPr="00784817">
          <w:rPr>
            <w:rStyle w:val="Hyperlink"/>
          </w:rPr>
          <w:t>https://www.lsc.ohio.gov/assets/organizations/legislative-service-commission/files/involuntary-treatment-for-mental-illness.pdf</w:t>
        </w:r>
      </w:hyperlink>
      <w:r w:rsidRPr="00784817">
        <w:t xml:space="preserve"> </w:t>
      </w:r>
    </w:p>
    <w:p w14:paraId="6E590CC7" w14:textId="77777777" w:rsidR="003A2816" w:rsidRDefault="003A2816" w:rsidP="000C4DF5">
      <w:pPr>
        <w:pStyle w:val="NoSpacing"/>
        <w:rPr>
          <w:rFonts w:ascii="Arial Black" w:hAnsi="Arial Black"/>
          <w:sz w:val="24"/>
          <w:szCs w:val="24"/>
        </w:rPr>
      </w:pPr>
    </w:p>
    <w:p w14:paraId="24B8BCF5" w14:textId="77777777" w:rsidR="003A2816" w:rsidRDefault="003A2816" w:rsidP="000C4DF5">
      <w:pPr>
        <w:pStyle w:val="NoSpacing"/>
        <w:rPr>
          <w:rFonts w:ascii="Arial Black" w:hAnsi="Arial Black"/>
          <w:sz w:val="24"/>
          <w:szCs w:val="24"/>
        </w:rPr>
      </w:pPr>
    </w:p>
    <w:p w14:paraId="523569D9" w14:textId="77777777" w:rsidR="003A2816" w:rsidRDefault="003A2816" w:rsidP="000C4DF5">
      <w:pPr>
        <w:pStyle w:val="NoSpacing"/>
        <w:rPr>
          <w:rFonts w:ascii="Arial Black" w:hAnsi="Arial Black"/>
          <w:sz w:val="24"/>
          <w:szCs w:val="24"/>
        </w:rPr>
      </w:pPr>
    </w:p>
    <w:p w14:paraId="5344F339" w14:textId="5E35D4E6" w:rsidR="00EC5D4A" w:rsidRDefault="00EC5D4A" w:rsidP="000C4DF5">
      <w:pPr>
        <w:pStyle w:val="NoSpacing"/>
        <w:rPr>
          <w:rFonts w:ascii="Arial Black" w:hAnsi="Arial Black"/>
          <w:sz w:val="24"/>
          <w:szCs w:val="24"/>
        </w:rPr>
      </w:pPr>
      <w:r>
        <w:rPr>
          <w:rFonts w:ascii="Arial Black" w:hAnsi="Arial Black"/>
          <w:sz w:val="24"/>
          <w:szCs w:val="24"/>
        </w:rPr>
        <w:t>15-27</w:t>
      </w:r>
    </w:p>
    <w:p w14:paraId="395AC890" w14:textId="77777777" w:rsidR="00EC5D4A" w:rsidRDefault="00EC5D4A" w:rsidP="00EC5D4A">
      <w:pPr>
        <w:pStyle w:val="NormalWeb"/>
        <w:rPr>
          <w:rFonts w:ascii="Arial Black" w:hAnsi="Arial Black"/>
          <w:b/>
          <w:bCs/>
          <w:sz w:val="28"/>
          <w:szCs w:val="28"/>
        </w:rPr>
      </w:pPr>
      <w:r>
        <w:rPr>
          <w:rFonts w:ascii="Arial Black" w:hAnsi="Arial Black"/>
          <w:b/>
          <w:bCs/>
          <w:sz w:val="28"/>
          <w:szCs w:val="28"/>
        </w:rPr>
        <w:t>WV: MENTAL CALL / SUICIDE – LAWUIT PROCEED SHERIFF POLICY “NO SUNDAY” RESPONSES – EMS / PD IMMUNITY</w:t>
      </w:r>
    </w:p>
    <w:p w14:paraId="27105A09" w14:textId="6ACD061D" w:rsidR="00EC5D4A" w:rsidRDefault="00EC5D4A" w:rsidP="00EC5D4A">
      <w:pPr>
        <w:pStyle w:val="NoSpacing"/>
        <w:rPr>
          <w:rStyle w:val="Hyperlink"/>
          <w:rFonts w:ascii="Times New Roman" w:hAnsi="Times New Roman"/>
          <w:sz w:val="24"/>
          <w:szCs w:val="24"/>
        </w:rPr>
      </w:pPr>
      <w:r w:rsidRPr="00EC5D4A">
        <w:rPr>
          <w:rFonts w:ascii="Times New Roman" w:hAnsi="Times New Roman"/>
          <w:sz w:val="24"/>
          <w:szCs w:val="24"/>
        </w:rPr>
        <w:t xml:space="preserve">On Dec. 21, 2023, in </w:t>
      </w:r>
      <w:r w:rsidRPr="00EC5D4A">
        <w:rPr>
          <w:rFonts w:ascii="Times New Roman" w:hAnsi="Times New Roman"/>
          <w:sz w:val="24"/>
          <w:szCs w:val="24"/>
          <w:u w:val="single"/>
        </w:rPr>
        <w:t>Rex Eagon and Diane Egon, individually as co-administrators of the Estate of Darien M. Eagon v. Cambell County Emergency Medical Service, et al</w:t>
      </w:r>
      <w:r w:rsidRPr="00EC5D4A">
        <w:rPr>
          <w:rFonts w:ascii="Times New Roman" w:hAnsi="Times New Roman"/>
          <w:sz w:val="24"/>
          <w:szCs w:val="24"/>
        </w:rPr>
        <w:t xml:space="preserve">., U.S. District Court Judge Robert C. Chambers, United States District Court, S.D. West Virginia, Huntington Division, held that City of Huntington police officers and County EMS are immune from liability, but plaintiffs may proceed with pre-trial discovery on allegations that County Sheriff.  The Court wrote: “Certainly, there are no allegations that Sheriff Zerkle or any employee of the Sheriff's Department were at the scene, had any knowledge of Ms. Eagon's situation, or ever had any contact with her. Without any of these connections with Ms. Eagon, the Court agrees with the County Defendants that Plaintiffs have not plausibly alleged Sheriff Zerkle acted with direct ‘intent’ to inflict emotional distress upon Ms. Eagon or her parents. However, for purposes of a motion to dismiss, the Court must assume the truthfulness of Plaintiffs' allegation that Sheriff Zerkle adopted, enforced, and made known to EMS and HPD that his Department had a custom, practice, or policy of not dispatching deputies to respond to any mental health crises on a Sunday, regardless of how urgent or dire the situation presents. From this vantage, the Court finds this allegation is sufficient to plausibly allege Sheriff Zerkle intentionally acted so recklessly that it was substantially certain that someone like Plaintiffs would suffer emotional distress. Additionally, it is plausible that such custom, practice, or policy could be found to be ‘atrocious, intolerable, and so extreme and outrageous as to exceed the bounds of decency[.]’ </w:t>
      </w:r>
      <w:r w:rsidRPr="00EC5D4A">
        <w:rPr>
          <w:rStyle w:val="Emphasis"/>
          <w:rFonts w:ascii="Times New Roman" w:hAnsi="Times New Roman"/>
          <w:sz w:val="24"/>
          <w:szCs w:val="24"/>
        </w:rPr>
        <w:t>Hoops</w:t>
      </w:r>
      <w:r w:rsidRPr="00EC5D4A">
        <w:rPr>
          <w:rFonts w:ascii="Times New Roman" w:hAnsi="Times New Roman"/>
          <w:sz w:val="24"/>
          <w:szCs w:val="24"/>
        </w:rPr>
        <w:t xml:space="preserve">, 2022 WL 2400039, at *7 (internal quotation marks and citation omitted). Therefore, the Court finds Count IV is sufficient as to Sheriff Zerkle and </w:t>
      </w:r>
      <w:r w:rsidRPr="00EC5D4A">
        <w:rPr>
          <w:rStyle w:val="Strong"/>
          <w:rFonts w:ascii="Times New Roman" w:hAnsi="Times New Roman"/>
          <w:b w:val="0"/>
          <w:bCs w:val="0"/>
          <w:sz w:val="24"/>
          <w:szCs w:val="24"/>
        </w:rPr>
        <w:t>DENIES</w:t>
      </w:r>
      <w:r w:rsidRPr="00EC5D4A">
        <w:rPr>
          <w:rFonts w:ascii="Times New Roman" w:hAnsi="Times New Roman"/>
          <w:sz w:val="24"/>
          <w:szCs w:val="24"/>
        </w:rPr>
        <w:t xml:space="preserve"> the County Defendants' motion to have this Count dismissed against him.</w:t>
      </w:r>
      <w:r w:rsidRPr="00EC5D4A">
        <w:rPr>
          <w:rFonts w:ascii="Times New Roman" w:hAnsi="Times New Roman"/>
          <w:sz w:val="24"/>
          <w:szCs w:val="24"/>
          <w:vertAlign w:val="superscript"/>
        </w:rPr>
        <w:t xml:space="preserve">” </w:t>
      </w:r>
      <w:hyperlink r:id="rId2428" w:history="1">
        <w:r w:rsidRPr="00EC5D4A">
          <w:rPr>
            <w:rStyle w:val="Hyperlink"/>
            <w:rFonts w:ascii="Times New Roman" w:hAnsi="Times New Roman"/>
            <w:sz w:val="24"/>
            <w:szCs w:val="24"/>
          </w:rPr>
          <w:t>https://public.fastcase.com/ZZhmr5v9wN%2FXOe5IsQ%2FqD7d2ApzwrZCQvAZQlM%2B4VVcvgALpNi2VKyyjI%2Bz22f3P?utm_medium=email&amp;_hsmi=226712652&amp;_hsenc=p2ANqtz-9QV0nznODHw4_m_j0AE4K8p0b7Wes2e9d7AzOOyb86IGbeyJ8jbpovdpcqHFVtvrmWyxti44YX_ZuNCNTYmJshWS7Dxw&amp;utm_content=226712652&amp;utm_source=hs_email</w:t>
        </w:r>
      </w:hyperlink>
    </w:p>
    <w:p w14:paraId="1AB70322" w14:textId="77777777" w:rsidR="003A2816" w:rsidRDefault="003A2816" w:rsidP="00EC5D4A">
      <w:pPr>
        <w:pStyle w:val="NoSpacing"/>
        <w:rPr>
          <w:rStyle w:val="Hyperlink"/>
          <w:rFonts w:ascii="Times New Roman" w:hAnsi="Times New Roman"/>
          <w:sz w:val="24"/>
          <w:szCs w:val="24"/>
        </w:rPr>
      </w:pPr>
    </w:p>
    <w:p w14:paraId="0EFF8B1F" w14:textId="77777777" w:rsidR="003A2816" w:rsidRDefault="003A2816" w:rsidP="003A2816">
      <w:pPr>
        <w:pStyle w:val="NormalWeb"/>
        <w:rPr>
          <w:b/>
          <w:bCs/>
        </w:rPr>
      </w:pPr>
      <w:r w:rsidRPr="00E57983">
        <w:rPr>
          <w:b/>
          <w:bCs/>
        </w:rPr>
        <w:t xml:space="preserve">Legal Lesson Learned: </w:t>
      </w:r>
      <w:r>
        <w:rPr>
          <w:b/>
          <w:bCs/>
        </w:rPr>
        <w:t xml:space="preserve">Police body camera footage of interaction with </w:t>
      </w:r>
      <w:proofErr w:type="gramStart"/>
      <w:r>
        <w:rPr>
          <w:b/>
          <w:bCs/>
        </w:rPr>
        <w:t>patient</w:t>
      </w:r>
      <w:proofErr w:type="gramEnd"/>
      <w:r>
        <w:rPr>
          <w:b/>
          <w:bCs/>
        </w:rPr>
        <w:t xml:space="preserve"> very helpful; EMS should likewise consider using body cameras on mental health and other patient refusals. </w:t>
      </w:r>
    </w:p>
    <w:p w14:paraId="7C88DF87" w14:textId="77777777" w:rsidR="003A2816" w:rsidRPr="006E25D9" w:rsidRDefault="003A2816" w:rsidP="003A2816">
      <w:pPr>
        <w:pStyle w:val="NormalWeb"/>
        <w:ind w:left="720"/>
      </w:pPr>
      <w:r w:rsidRPr="006E25D9">
        <w:t xml:space="preserve">Note:  The Court referenced </w:t>
      </w:r>
      <w:proofErr w:type="gramStart"/>
      <w:r>
        <w:t>in its decision (Footnote 3) this interview</w:t>
      </w:r>
      <w:proofErr w:type="gramEnd"/>
      <w:r>
        <w:t xml:space="preserve">. </w:t>
      </w:r>
      <w:r w:rsidRPr="006E25D9">
        <w:t xml:space="preserve">West Virginia Public Broadcasting, Cabell Sheriff Says System Broken As 20 Percent </w:t>
      </w:r>
      <w:proofErr w:type="gramStart"/>
      <w:r w:rsidRPr="006E25D9">
        <w:t>Of</w:t>
      </w:r>
      <w:proofErr w:type="gramEnd"/>
      <w:r w:rsidRPr="006E25D9">
        <w:t xml:space="preserve"> Mental Safety Pickups Go Unanswered </w:t>
      </w:r>
      <w:proofErr w:type="gramStart"/>
      <w:r w:rsidRPr="006E25D9">
        <w:t>In</w:t>
      </w:r>
      <w:proofErr w:type="gramEnd"/>
      <w:r w:rsidRPr="006E25D9">
        <w:t xml:space="preserve"> County (Apr. 5, 2021) </w:t>
      </w:r>
      <w:r w:rsidRPr="006E25D9">
        <w:rPr>
          <w:rStyle w:val="Emphasis"/>
        </w:rPr>
        <w:t>https://perma.cc/4EPP-E4TC</w:t>
      </w:r>
      <w:r w:rsidRPr="006E25D9">
        <w:t>.</w:t>
      </w:r>
    </w:p>
    <w:p w14:paraId="29F431E2" w14:textId="77777777" w:rsidR="003A2816" w:rsidRPr="006B4455" w:rsidRDefault="003A2816" w:rsidP="003A2816">
      <w:pPr>
        <w:pStyle w:val="NormalWeb"/>
        <w:ind w:left="720"/>
      </w:pPr>
      <w:r w:rsidRPr="006B4455">
        <w:t xml:space="preserve">“Cabell Sheriff Says System Broken As 20 Percent </w:t>
      </w:r>
      <w:proofErr w:type="gramStart"/>
      <w:r w:rsidRPr="006B4455">
        <w:t>Of</w:t>
      </w:r>
      <w:proofErr w:type="gramEnd"/>
      <w:r w:rsidRPr="006B4455">
        <w:t xml:space="preserve"> Mental Safety Pickups Go Unanswered </w:t>
      </w:r>
      <w:proofErr w:type="gramStart"/>
      <w:r w:rsidRPr="006B4455">
        <w:t>In</w:t>
      </w:r>
      <w:proofErr w:type="gramEnd"/>
      <w:r w:rsidRPr="006B4455">
        <w:t xml:space="preserve"> County,” April 5, 2021.  </w:t>
      </w:r>
      <w:hyperlink r:id="rId2429" w:history="1">
        <w:r w:rsidRPr="006B4455">
          <w:rPr>
            <w:rStyle w:val="Hyperlink"/>
          </w:rPr>
          <w:t>https://perma.cc/4EPP-E4TC</w:t>
        </w:r>
      </w:hyperlink>
      <w:r w:rsidRPr="006B4455">
        <w:t xml:space="preserve"> </w:t>
      </w:r>
    </w:p>
    <w:p w14:paraId="182A7E0D" w14:textId="77777777" w:rsidR="003A2816" w:rsidRPr="002A3F08" w:rsidRDefault="003A2816" w:rsidP="003A2816">
      <w:pPr>
        <w:pStyle w:val="NormalWeb"/>
        <w:ind w:left="720"/>
      </w:pPr>
      <w:r>
        <w:t>“</w:t>
      </w:r>
      <w:r w:rsidRPr="002A3F08">
        <w:t xml:space="preserve">In West Virginia, when a person is thought to be a threat to themselves or others, they can be involuntarily committed to a mental health facility through a process known as a </w:t>
      </w:r>
      <w:r>
        <w:t>‘</w:t>
      </w:r>
      <w:r w:rsidRPr="002A3F08">
        <w:t>mental hygiene petition.</w:t>
      </w:r>
      <w:r>
        <w:t>’</w:t>
      </w:r>
      <w:r w:rsidRPr="002A3F08">
        <w:t xml:space="preserve"> These petitions, usually taken out by a family member or outreach worker, </w:t>
      </w:r>
      <w:proofErr w:type="gramStart"/>
      <w:r w:rsidRPr="002A3F08">
        <w:t>have to</w:t>
      </w:r>
      <w:proofErr w:type="gramEnd"/>
      <w:r w:rsidRPr="002A3F08">
        <w:t xml:space="preserve"> be approved by a county court and require a sheriff’s deputy to help transport the person being committed.</w:t>
      </w:r>
    </w:p>
    <w:p w14:paraId="31326F1F" w14:textId="77777777" w:rsidR="003A2816" w:rsidRDefault="003A2816" w:rsidP="003A2816">
      <w:pPr>
        <w:pStyle w:val="NormalWeb"/>
        <w:ind w:left="720"/>
      </w:pPr>
      <w:r w:rsidRPr="002A3F08">
        <w:t>But in Cabell County, data from a mental health facility show at least 75 mental hygiene orders went unanswered by the Cabell County Sheriff’s Department in 2020. The sheriff says his department is overwhelmed.</w:t>
      </w:r>
    </w:p>
    <w:p w14:paraId="76DDCD27" w14:textId="77777777" w:rsidR="003A2816" w:rsidRDefault="003A2816" w:rsidP="003A2816">
      <w:pPr>
        <w:pStyle w:val="NormalWeb"/>
        <w:ind w:left="720"/>
      </w:pPr>
      <w:r>
        <w:t>***</w:t>
      </w:r>
    </w:p>
    <w:p w14:paraId="361449A7" w14:textId="77777777" w:rsidR="003A2816" w:rsidRDefault="003A2816" w:rsidP="003A2816">
      <w:pPr>
        <w:pStyle w:val="NormalWeb"/>
        <w:ind w:left="720"/>
      </w:pPr>
      <w:r>
        <w:t>Cabell County Sheriff Chuck Zerkle explains the mental hygiene process at his office in Huntington, West Virginia, on Wednesday, March 31, 2021.</w:t>
      </w:r>
    </w:p>
    <w:p w14:paraId="435A6881" w14:textId="77777777" w:rsidR="003A2816" w:rsidRDefault="003A2816" w:rsidP="003A2816">
      <w:pPr>
        <w:pStyle w:val="NormalWeb"/>
        <w:ind w:left="720"/>
      </w:pPr>
      <w:r>
        <w:t xml:space="preserve">Zerkle added that in 2020 alone, his office received approximately one mental hygiene order </w:t>
      </w:r>
      <w:r>
        <w:rPr>
          <w:i/>
          <w:iCs/>
        </w:rPr>
        <w:t>a day</w:t>
      </w:r>
      <w:r>
        <w:t xml:space="preserve"> from the courts. And per the WV State Code, only sheriffs and their deputies are approved to execute mental hygiene. He says his office can’t keep up.</w:t>
      </w:r>
    </w:p>
    <w:p w14:paraId="7E67F8B9" w14:textId="77777777" w:rsidR="003A2816" w:rsidRDefault="003A2816" w:rsidP="003A2816">
      <w:pPr>
        <w:pStyle w:val="NormalWeb"/>
        <w:ind w:left="1440"/>
      </w:pPr>
      <w:r>
        <w:rPr>
          <w:b/>
          <w:bCs/>
        </w:rPr>
        <w:t>“</w:t>
      </w:r>
      <w:r>
        <w:t>We all want to agree that we’re all wanting to help ourselves dig out of this opioid issue and the mental health issue. But you’ve got a small minority of law enforcement that is saddled with doing this.</w:t>
      </w:r>
    </w:p>
    <w:p w14:paraId="75BDC591" w14:textId="77777777" w:rsidR="003A2816" w:rsidRDefault="003A2816" w:rsidP="003A2816">
      <w:pPr>
        <w:pStyle w:val="NormalWeb"/>
        <w:ind w:left="720"/>
      </w:pPr>
      <w:r>
        <w:t>For Zerkle, the only way to fix the problem is to change the law regarding mental hygiene orders. He doesn’t see why lawmakers can’t approve all law enforcement agencies to do these pickups.</w:t>
      </w:r>
    </w:p>
    <w:p w14:paraId="0C514F54" w14:textId="77777777" w:rsidR="003A2816" w:rsidRDefault="003A2816" w:rsidP="003A2816">
      <w:pPr>
        <w:pStyle w:val="NormalWeb"/>
        <w:ind w:left="1440"/>
      </w:pPr>
      <w:r>
        <w:t>“My perfect world would be law enforcement would secure them, get them to the facility, get the stuff started, and then we leave and turn it over to someone else that’s medically trained to take care of these people,” he said.</w:t>
      </w:r>
    </w:p>
    <w:p w14:paraId="265D028A" w14:textId="77777777" w:rsidR="003A2816" w:rsidRDefault="003A2816" w:rsidP="003A2816">
      <w:pPr>
        <w:pStyle w:val="NormalWeb"/>
        <w:ind w:left="720"/>
      </w:pPr>
      <w:r>
        <w:t xml:space="preserve">Currently, two bills have been introduced by Sen. Charles Trump, a Republican from Morgan County, that would address mental hygiene orders in the state. The new bills would expand the window deputies have to pick people up from 10 to 20 days and remove the need for deputies to first take people to the hospital prior to transporting them to a mental health facility. </w:t>
      </w:r>
      <w:proofErr w:type="gramStart"/>
      <w:r>
        <w:t>Both of these</w:t>
      </w:r>
      <w:proofErr w:type="gramEnd"/>
      <w:r>
        <w:t xml:space="preserve"> bills have made it out of the senate and are currently being heard by the House Health and Human Resources Committee.”</w:t>
      </w:r>
    </w:p>
    <w:p w14:paraId="59372460" w14:textId="77777777" w:rsidR="003A2816" w:rsidRDefault="003A2816" w:rsidP="003A2816">
      <w:pPr>
        <w:pStyle w:val="NoSpacing"/>
        <w:ind w:left="720"/>
        <w:rPr>
          <w:rFonts w:ascii="Times New Roman" w:hAnsi="Times New Roman"/>
          <w:sz w:val="24"/>
          <w:szCs w:val="24"/>
        </w:rPr>
      </w:pPr>
    </w:p>
    <w:p w14:paraId="6D7079DA" w14:textId="77777777" w:rsidR="003A2816" w:rsidRPr="00EC5D4A" w:rsidRDefault="003A2816" w:rsidP="00EC5D4A">
      <w:pPr>
        <w:pStyle w:val="NoSpacing"/>
        <w:rPr>
          <w:rFonts w:ascii="Times New Roman" w:hAnsi="Times New Roman"/>
          <w:sz w:val="24"/>
          <w:szCs w:val="24"/>
        </w:rPr>
      </w:pPr>
    </w:p>
    <w:p w14:paraId="35B31B3D" w14:textId="77777777" w:rsidR="00EC5D4A" w:rsidRDefault="00EC5D4A" w:rsidP="000C4DF5">
      <w:pPr>
        <w:pStyle w:val="NoSpacing"/>
        <w:rPr>
          <w:rFonts w:ascii="Arial Black" w:hAnsi="Arial Black"/>
          <w:sz w:val="24"/>
          <w:szCs w:val="24"/>
        </w:rPr>
      </w:pPr>
    </w:p>
    <w:p w14:paraId="6F0DB125" w14:textId="1733B4FD" w:rsidR="00832745" w:rsidRDefault="00832745" w:rsidP="000C4DF5">
      <w:pPr>
        <w:pStyle w:val="NoSpacing"/>
        <w:rPr>
          <w:rFonts w:ascii="Arial Black" w:hAnsi="Arial Black"/>
          <w:sz w:val="24"/>
          <w:szCs w:val="24"/>
        </w:rPr>
      </w:pPr>
      <w:r>
        <w:rPr>
          <w:rFonts w:ascii="Arial Black" w:hAnsi="Arial Black"/>
          <w:sz w:val="24"/>
          <w:szCs w:val="24"/>
        </w:rPr>
        <w:t>15-26</w:t>
      </w:r>
    </w:p>
    <w:p w14:paraId="58D4A639" w14:textId="77777777" w:rsidR="00832745" w:rsidRDefault="00832745" w:rsidP="00832745">
      <w:pPr>
        <w:pStyle w:val="NormalWeb"/>
        <w:rPr>
          <w:rFonts w:ascii="Arial Black" w:hAnsi="Arial Black"/>
          <w:sz w:val="28"/>
          <w:szCs w:val="28"/>
        </w:rPr>
      </w:pPr>
      <w:r>
        <w:rPr>
          <w:rFonts w:ascii="Arial Black" w:hAnsi="Arial Black"/>
          <w:sz w:val="28"/>
          <w:szCs w:val="28"/>
        </w:rPr>
        <w:t xml:space="preserve">WA: NEW PTSD LAW NOT RETROACTIVE – FF HAD EXHIBITED PTSD PRIOR EFFECTIVE DATE – NOT COVERED </w:t>
      </w:r>
    </w:p>
    <w:p w14:paraId="70F9BF95" w14:textId="77777777" w:rsidR="00832745" w:rsidRDefault="00832745" w:rsidP="00832745">
      <w:pPr>
        <w:pStyle w:val="NormalWeb"/>
      </w:pPr>
      <w:r>
        <w:t xml:space="preserve">On Oct. 2, 2023, in </w:t>
      </w:r>
      <w:r>
        <w:rPr>
          <w:u w:val="single"/>
        </w:rPr>
        <w:t>Frank DeYoung v. The City of Mount Vernon and the Department of Labor and Industries</w:t>
      </w:r>
      <w:r>
        <w:t xml:space="preserve">, the Court of Appeals of the State of Washington, held (3 to 0) that the new PTSD statute for police and fire, making PTSD </w:t>
      </w:r>
      <w:proofErr w:type="spellStart"/>
      <w:proofErr w:type="gramStart"/>
      <w:r>
        <w:t>a</w:t>
      </w:r>
      <w:proofErr w:type="spellEnd"/>
      <w:proofErr w:type="gramEnd"/>
      <w:r>
        <w:t xml:space="preserve"> occupational disease, is not retroactive.  The Court held that the firefighter’s claim on Oct. 24, </w:t>
      </w:r>
      <w:proofErr w:type="gramStart"/>
      <w:r>
        <w:t>2019</w:t>
      </w:r>
      <w:proofErr w:type="gramEnd"/>
      <w:r>
        <w:t xml:space="preserve"> is not covered by the statute. “DeYoung also asserts that the requirement in RCW 51.32.185(5) that a firefighter must have served at least ten years before they are eligible to make a claim indicates the legislature’s intent to apply the statute retroactively. According to DeYoung, applying the statute prospectively would mean that no firefighter will be eligible to file a claim for occupational disease benefits for PTSD until 2028. Id. The plain language of the statute does not support such an interpretation. The statute establishes that only firefighters who have served the minimum number of years may file a claim for occupational disease benefits for PTSD. Nothing about the provision is indicative of retroactivity.” </w:t>
      </w:r>
      <w:hyperlink r:id="rId2430" w:history="1">
        <w:r>
          <w:rPr>
            <w:rStyle w:val="Hyperlink"/>
          </w:rPr>
          <w:t>https://cases.justia.com/washington/court-of-appeals-division-i/2023-84561-6-0.pdf?ts=1696273779</w:t>
        </w:r>
      </w:hyperlink>
      <w:r>
        <w:t xml:space="preserve"> </w:t>
      </w:r>
    </w:p>
    <w:p w14:paraId="49B95CAC" w14:textId="77777777" w:rsidR="000518BE" w:rsidRDefault="000518BE" w:rsidP="000518BE">
      <w:pPr>
        <w:pStyle w:val="Heading1"/>
        <w:rPr>
          <w:sz w:val="24"/>
          <w:szCs w:val="24"/>
        </w:rPr>
      </w:pPr>
      <w:r>
        <w:rPr>
          <w:sz w:val="24"/>
          <w:szCs w:val="24"/>
        </w:rPr>
        <w:t xml:space="preserve">Legal Lesson Learned: Legislatures when drafting new benefits for firefighters should in the statute or the legislative history make clear whether the law is retroactive. </w:t>
      </w:r>
    </w:p>
    <w:p w14:paraId="63268BF8" w14:textId="77777777" w:rsidR="00832745" w:rsidRDefault="00832745" w:rsidP="000C4DF5">
      <w:pPr>
        <w:pStyle w:val="NoSpacing"/>
        <w:rPr>
          <w:rFonts w:ascii="Arial Black" w:hAnsi="Arial Black"/>
          <w:sz w:val="24"/>
          <w:szCs w:val="24"/>
        </w:rPr>
      </w:pPr>
    </w:p>
    <w:p w14:paraId="0D52EABB" w14:textId="77777777" w:rsidR="00832745" w:rsidRDefault="00832745" w:rsidP="000C4DF5">
      <w:pPr>
        <w:pStyle w:val="NoSpacing"/>
        <w:rPr>
          <w:rFonts w:ascii="Arial Black" w:hAnsi="Arial Black"/>
          <w:sz w:val="24"/>
          <w:szCs w:val="24"/>
        </w:rPr>
      </w:pPr>
    </w:p>
    <w:p w14:paraId="302C51AA" w14:textId="7B51D485" w:rsidR="00D66BAA" w:rsidRDefault="00D66BAA" w:rsidP="000C4DF5">
      <w:pPr>
        <w:pStyle w:val="NoSpacing"/>
        <w:rPr>
          <w:rFonts w:ascii="Arial Black" w:hAnsi="Arial Black"/>
          <w:sz w:val="24"/>
          <w:szCs w:val="24"/>
        </w:rPr>
      </w:pPr>
      <w:r>
        <w:rPr>
          <w:rFonts w:ascii="Arial Black" w:hAnsi="Arial Black"/>
          <w:sz w:val="24"/>
          <w:szCs w:val="24"/>
        </w:rPr>
        <w:t>15-25</w:t>
      </w:r>
    </w:p>
    <w:p w14:paraId="7A84A0DA" w14:textId="6B2DAF80" w:rsidR="00D66BAA" w:rsidRDefault="00D66BAA" w:rsidP="00D66BAA">
      <w:pPr>
        <w:pStyle w:val="NormalWeb"/>
        <w:rPr>
          <w:rFonts w:ascii="Arial Black" w:hAnsi="Arial Black"/>
          <w:sz w:val="28"/>
          <w:szCs w:val="28"/>
        </w:rPr>
      </w:pPr>
      <w:r>
        <w:rPr>
          <w:rFonts w:ascii="Arial Black" w:hAnsi="Arial Black"/>
          <w:sz w:val="28"/>
          <w:szCs w:val="28"/>
        </w:rPr>
        <w:t xml:space="preserve">IL: PTSD - DENIED LINE-OF-DUTY DISABILITY PENSION – FELL OFF LADDER 2007 – STRESS FROM DEMOTION 2019 </w:t>
      </w:r>
    </w:p>
    <w:p w14:paraId="4D1BB1D9" w14:textId="77777777" w:rsidR="00D66BAA" w:rsidRDefault="00D66BAA" w:rsidP="00D66BAA">
      <w:pPr>
        <w:pStyle w:val="NormalWeb"/>
      </w:pPr>
      <w:r>
        <w:t xml:space="preserve">On March 24, 2023, in </w:t>
      </w:r>
      <w:r>
        <w:rPr>
          <w:u w:val="single"/>
        </w:rPr>
        <w:t>Arthur Szymala v, Romeoville Firefighters’ Pension Fund, et al</w:t>
      </w:r>
      <w:r>
        <w:t xml:space="preserve">., the Court of Appeals of Illinois, Third District, held (3 to 0) that the Pension Board, and the trial court judge, each properly held that the firefighter was not entitled to Line-Of-Duty disability; the firefighter claimed he was disabled due to his posttraumatic stress disorder (PTSD) and major depressive disorder. </w:t>
      </w:r>
    </w:p>
    <w:p w14:paraId="3A82A5FA" w14:textId="77777777" w:rsidR="00D66BAA" w:rsidRDefault="00D66BAA" w:rsidP="00D66BAA">
      <w:pPr>
        <w:pStyle w:val="NormalWeb"/>
        <w:ind w:left="720"/>
      </w:pPr>
      <w:r>
        <w:t xml:space="preserve">The Court of Appeals referenced Board decision, which was made after the firefighter was examined by three independent medical experts (IMEs): “The Board concluded that the plaintiff did not prove a disability, noting: (1) the minor injuries reported after the fall that he fully recovered from, (2) Dr. Eschbach's opinion linking the fall and his condition was based on incomplete and inaccurate information, (3) the plaintiff succeeded in his career for many years following the fall and was promoted after a competitive test, (4) the plaintiff reported a change in work conditions when the department brought in a new battalion chief who frequently challenged the plaintiff's work performance (evidencing a personal dispute rather than a deficit in brain functioning from a fall seven to eight years prior), and (5) the plaintiff only ever reported the claimed conditions immediately following his demotion.” </w:t>
      </w:r>
      <w:hyperlink r:id="rId2431" w:history="1">
        <w:r>
          <w:rPr>
            <w:rStyle w:val="Hyperlink"/>
          </w:rPr>
          <w:t>https://ilcourtsaudio.blob.core.windows.net/antilles-resources/resources/92cdfb54-2dda-4342-acee-d86ea11493ea/Szymala%20v.%20Romeoville%20Firefighters%27%20Pension%20Fund,%202023%20IL%20App%20(3d)%20220093-U.pdf</w:t>
        </w:r>
      </w:hyperlink>
      <w:r>
        <w:t xml:space="preserve"> </w:t>
      </w:r>
    </w:p>
    <w:p w14:paraId="412640FC" w14:textId="77777777" w:rsidR="00D66BAA" w:rsidRDefault="00D66BAA" w:rsidP="00D66BAA">
      <w:pPr>
        <w:pStyle w:val="NormalWeb"/>
        <w:ind w:left="720"/>
      </w:pPr>
      <w:r>
        <w:t xml:space="preserve">“In 2013, the plaintiff was promoted to lieutenant following a competitive promotional testing process. However, he testified that management decided that his performance as lieutenant was inadequate between 2015 and 2018. Around May 2017, the plaintiff was placed on a ‘Performance Improvement Plan’, which included an evaluation of his work performance as lieutenant from May 24, 2017, through February 28, 2018. He </w:t>
      </w:r>
      <w:proofErr w:type="gramStart"/>
      <w:r>
        <w:t>entered into</w:t>
      </w:r>
      <w:proofErr w:type="gramEnd"/>
      <w:r>
        <w:t xml:space="preserve"> a ‘Last Chance Agreement’ in April 2018, where he acknowledged deficiencies in his work performance and agreed to improve these areas during a period of 60 work shifts or risk </w:t>
      </w:r>
      <w:proofErr w:type="gramStart"/>
      <w:r>
        <w:t>a demotion</w:t>
      </w:r>
      <w:proofErr w:type="gramEnd"/>
      <w:r>
        <w:t xml:space="preserve">. The agreement </w:t>
      </w:r>
      <w:proofErr w:type="gramStart"/>
      <w:r>
        <w:t>provided that</w:t>
      </w:r>
      <w:proofErr w:type="gramEnd"/>
      <w:r>
        <w:t xml:space="preserve"> he failed to meet various guidelines, such as working as a team, leading personnel, communicating effectively, and working calmly in stressful situations.</w:t>
      </w:r>
    </w:p>
    <w:p w14:paraId="7397E33A" w14:textId="77777777" w:rsidR="00D66BAA" w:rsidRDefault="00D66BAA" w:rsidP="00D66BAA">
      <w:pPr>
        <w:pStyle w:val="NormalWeb"/>
        <w:ind w:left="720"/>
      </w:pPr>
      <w:r>
        <w:t>***</w:t>
      </w:r>
    </w:p>
    <w:p w14:paraId="24F5268D" w14:textId="77777777" w:rsidR="00D66BAA" w:rsidRDefault="00D66BAA" w:rsidP="00D66BAA">
      <w:pPr>
        <w:pStyle w:val="NormalWeb"/>
        <w:ind w:left="720"/>
      </w:pPr>
      <w:r>
        <w:t>On January 29, 2019, the plaintiff attended a meeting with Chief Kent Adams, other fire department officials, and the Union Executive Board. During the meeting, Chief Adams informed the plaintiff that he failed to satisfactorily complete the Performance Improvement Plan and terms of the Last Chance Agreement and that his performance as lieutenant remained inadequate. The plaintiff was also informed that he was being demoted from lieutenant to firefighter/paramedic effectively immediately.”</w:t>
      </w:r>
    </w:p>
    <w:p w14:paraId="6BD4BA13" w14:textId="77777777" w:rsidR="00D66BAA" w:rsidRDefault="00D66BAA" w:rsidP="00D66BAA">
      <w:pPr>
        <w:pStyle w:val="NormalWeb"/>
        <w:rPr>
          <w:b/>
          <w:bCs/>
        </w:rPr>
      </w:pPr>
      <w:r>
        <w:rPr>
          <w:b/>
          <w:bCs/>
        </w:rPr>
        <w:t xml:space="preserve">Legal Lesson Learned: Working for a “difficult” Battalion Chief may </w:t>
      </w:r>
      <w:proofErr w:type="gramStart"/>
      <w:r>
        <w:rPr>
          <w:b/>
          <w:bCs/>
        </w:rPr>
        <w:t>definitely cause</w:t>
      </w:r>
      <w:proofErr w:type="gramEnd"/>
      <w:r>
        <w:rPr>
          <w:b/>
          <w:bCs/>
        </w:rPr>
        <w:t xml:space="preserve"> stress, but it is not proof of a line-of-duty disability.</w:t>
      </w:r>
    </w:p>
    <w:p w14:paraId="5AF35659" w14:textId="77777777" w:rsidR="00D66BAA" w:rsidRDefault="00D66BAA" w:rsidP="00D66BAA">
      <w:pPr>
        <w:pStyle w:val="NormalWeb"/>
        <w:rPr>
          <w:b/>
          <w:bCs/>
        </w:rPr>
      </w:pPr>
    </w:p>
    <w:p w14:paraId="1CF19242" w14:textId="77777777" w:rsidR="00D66BAA" w:rsidRDefault="00D66BAA" w:rsidP="000C4DF5">
      <w:pPr>
        <w:pStyle w:val="NoSpacing"/>
        <w:rPr>
          <w:rFonts w:ascii="Arial Black" w:hAnsi="Arial Black"/>
          <w:sz w:val="24"/>
          <w:szCs w:val="24"/>
        </w:rPr>
      </w:pPr>
    </w:p>
    <w:p w14:paraId="1D7CB2FD" w14:textId="77777777" w:rsidR="00D66BAA" w:rsidRDefault="00D66BAA" w:rsidP="000C4DF5">
      <w:pPr>
        <w:pStyle w:val="NoSpacing"/>
        <w:rPr>
          <w:rFonts w:ascii="Arial Black" w:hAnsi="Arial Black"/>
          <w:sz w:val="24"/>
          <w:szCs w:val="24"/>
        </w:rPr>
      </w:pPr>
    </w:p>
    <w:p w14:paraId="03DF357C" w14:textId="77777777" w:rsidR="00D66BAA" w:rsidRDefault="00D66BAA" w:rsidP="000C4DF5">
      <w:pPr>
        <w:pStyle w:val="NoSpacing"/>
        <w:rPr>
          <w:rFonts w:ascii="Arial Black" w:hAnsi="Arial Black"/>
          <w:sz w:val="24"/>
          <w:szCs w:val="24"/>
        </w:rPr>
      </w:pPr>
    </w:p>
    <w:p w14:paraId="0593526A" w14:textId="53EB45BD" w:rsidR="00F55395" w:rsidRDefault="00F55395" w:rsidP="000C4DF5">
      <w:pPr>
        <w:pStyle w:val="NoSpacing"/>
        <w:rPr>
          <w:rFonts w:ascii="Arial Black" w:hAnsi="Arial Black"/>
          <w:sz w:val="24"/>
          <w:szCs w:val="24"/>
        </w:rPr>
      </w:pPr>
      <w:r>
        <w:rPr>
          <w:rFonts w:ascii="Arial Black" w:hAnsi="Arial Black"/>
          <w:sz w:val="24"/>
          <w:szCs w:val="24"/>
        </w:rPr>
        <w:t>15-24</w:t>
      </w:r>
    </w:p>
    <w:p w14:paraId="0B98FCC8" w14:textId="77777777" w:rsidR="00F55395" w:rsidRPr="00AD7734" w:rsidRDefault="00F55395" w:rsidP="00F55395">
      <w:pPr>
        <w:pStyle w:val="NormalWeb"/>
        <w:rPr>
          <w:rFonts w:ascii="Arial Black" w:hAnsi="Arial Black"/>
          <w:b/>
          <w:bCs/>
          <w:sz w:val="28"/>
          <w:szCs w:val="28"/>
        </w:rPr>
      </w:pPr>
      <w:r>
        <w:rPr>
          <w:rFonts w:ascii="Arial Black" w:hAnsi="Arial Black"/>
          <w:b/>
          <w:bCs/>
          <w:sz w:val="28"/>
          <w:szCs w:val="28"/>
        </w:rPr>
        <w:t>LA: FD FINANCE MGR. – EAP COUNSELING SESSIONS ONLY AFTER WORK – RESIGNED - NO CONSTRUCTIVE DISCHARGE</w:t>
      </w:r>
    </w:p>
    <w:p w14:paraId="07262CBF" w14:textId="77777777" w:rsidR="00F55395" w:rsidRDefault="00F55395" w:rsidP="00F55395">
      <w:pPr>
        <w:pStyle w:val="NormalWeb"/>
      </w:pPr>
      <w:r>
        <w:t xml:space="preserve">On March 1, 2023, in </w:t>
      </w:r>
      <w:r w:rsidRPr="00AD7734">
        <w:rPr>
          <w:u w:val="single"/>
        </w:rPr>
        <w:t>Sherita Ann Cooks v. The City of Shreveport, et al</w:t>
      </w:r>
      <w:r>
        <w:t xml:space="preserve">., the Court of Appeals of Louisiana, Second Circuit, held (3 to 0) that the trial court properly dismissed her claim of that workplace was so hostile that she was forced to quit.  The Court wrote: “The plaintiff's summary judgment evidence falls far short of prima facie proof of constructive termination. The entirety of the evidence that she cites in support of that claim consists of an April 2016 email exchange between her and Chief Tolliver wherein the plaintiff requested an explanation as to why she could not attend an EAP session during her lunch hour, even though it would take more than one hour when including travel time. The plaintiff offered to compensate the </w:t>
      </w:r>
      <w:proofErr w:type="gramStart"/>
      <w:r>
        <w:t>City</w:t>
      </w:r>
      <w:proofErr w:type="gramEnd"/>
      <w:r>
        <w:t xml:space="preserve"> for the time the session required </w:t>
      </w:r>
      <w:proofErr w:type="gramStart"/>
      <w:r>
        <w:t>in excess of</w:t>
      </w:r>
      <w:proofErr w:type="gramEnd"/>
      <w:r>
        <w:t xml:space="preserve"> the allotted one-hour lunch by taking sick leave. In response, Chief Tolliver granted the plaintiff permission to attend one session during her lunch hour, but stated that, thereafter, the plaintiff would have to adhere to the fire department's policy of requiring that EAP sessions take place after work hours.” </w:t>
      </w:r>
      <w:hyperlink r:id="rId2432" w:history="1">
        <w:r w:rsidRPr="003F256B">
          <w:rPr>
            <w:rStyle w:val="Hyperlink"/>
            <w:rFonts w:eastAsiaTheme="majorEastAsia"/>
          </w:rPr>
          <w:t>https://law.justia.com/cases/louisiana/second-circuit-court-of-appeal/2023/54-841-ca.html</w:t>
        </w:r>
      </w:hyperlink>
      <w:r>
        <w:t xml:space="preserve"> </w:t>
      </w:r>
    </w:p>
    <w:p w14:paraId="5E8F55AE" w14:textId="77777777" w:rsidR="00F55395" w:rsidRDefault="00F55395" w:rsidP="00F55395">
      <w:pPr>
        <w:pStyle w:val="NormalWeb"/>
        <w:ind w:left="720"/>
      </w:pPr>
      <w:r>
        <w:t xml:space="preserve">“This case stems from the plaintiff's employment as a financial accreditation manager with the Shreveport Fire Department, which began in June 2014. In or around December 2014, the plaintiff's immediate supervisor, Chief of Communications, Kathy Rushworth (‘Chief Rushworth’), allegedly ordered the plaintiff to spend her personal money on official fire department business and indicated that plaintiff would be reimbursed from an "off the books" bank account known as the International CAD Consortium fund (‘ICC fund’). It contained money that was to fund a consortium event; the event was later canceled, but the money was not refunded. The plaintiff alleged that her assistant, Ashley </w:t>
      </w:r>
      <w:proofErr w:type="gramStart"/>
      <w:r>
        <w:t>Wiggins (‘</w:t>
      </w:r>
      <w:proofErr w:type="gramEnd"/>
      <w:r>
        <w:t>Wiggins’), and Chief Rushworth, used the ICC fund as a ‘slush fund,’ and that Chief Rushworth instructed her to not open the ICC bank statements or mention the ICC fund to the finance auditor or Violet Anderson, the Assistant Chief of Communications.</w:t>
      </w:r>
    </w:p>
    <w:p w14:paraId="3BD6DA30" w14:textId="77777777" w:rsidR="00F55395" w:rsidRDefault="00F55395" w:rsidP="00F55395">
      <w:pPr>
        <w:pStyle w:val="NormalWeb"/>
        <w:ind w:left="720"/>
      </w:pPr>
      <w:r>
        <w:t>***</w:t>
      </w:r>
    </w:p>
    <w:p w14:paraId="3C7D4572" w14:textId="77777777" w:rsidR="00F55395" w:rsidRDefault="00F55395" w:rsidP="00F55395">
      <w:pPr>
        <w:pStyle w:val="NormalWeb"/>
        <w:ind w:left="720"/>
      </w:pPr>
      <w:r>
        <w:t xml:space="preserve">Also, in April 2016, because of the stress that the hostile work environment and the slush fund matter allegedly </w:t>
      </w:r>
      <w:proofErr w:type="gramStart"/>
      <w:r>
        <w:t>caused her</w:t>
      </w:r>
      <w:proofErr w:type="gramEnd"/>
      <w:r>
        <w:t xml:space="preserve">, the plaintiff voluntarily began counseling or psychiatry sessions pursuant to the city's employee assistance </w:t>
      </w:r>
      <w:proofErr w:type="gramStart"/>
      <w:r>
        <w:t>program (‘</w:t>
      </w:r>
      <w:proofErr w:type="gramEnd"/>
      <w:r>
        <w:t>EAP’). However, with only one exception, she was not allowed to use her sick leave to attend these sessions during the workday. Furthermore, as previously stated, the plaintiff took a two-month sabbatical beginning in April 2016. It bears repeating that when the plaintiff returned to work in June 2016, both Chief Rushworth and Wiggins were no longer employed with the Shreveport Fire Department. The plaintiff did not quit her job until November 2016.”</w:t>
      </w:r>
    </w:p>
    <w:p w14:paraId="2CDDF05F" w14:textId="77777777" w:rsidR="00F55395" w:rsidRPr="00927A58" w:rsidRDefault="00F55395" w:rsidP="00F55395">
      <w:pPr>
        <w:pStyle w:val="NormalWeb"/>
        <w:rPr>
          <w:b/>
          <w:bCs/>
        </w:rPr>
      </w:pPr>
      <w:r w:rsidRPr="00927A58">
        <w:rPr>
          <w:b/>
          <w:bCs/>
        </w:rPr>
        <w:t>Legal Lesson Learned:</w:t>
      </w:r>
      <w:r>
        <w:rPr>
          <w:b/>
          <w:bCs/>
        </w:rPr>
        <w:t xml:space="preserve">  Employee Assistance Programs (EAP) can be very beneficial.  Consider adding a provision in employee handbook allowing sick leave to be used.  </w:t>
      </w:r>
    </w:p>
    <w:p w14:paraId="4D2B278C" w14:textId="757CC001" w:rsidR="00F55395" w:rsidRDefault="00F55395" w:rsidP="000C4DF5">
      <w:pPr>
        <w:pStyle w:val="NoSpacing"/>
        <w:rPr>
          <w:rFonts w:ascii="Arial Black" w:hAnsi="Arial Black"/>
          <w:sz w:val="24"/>
          <w:szCs w:val="24"/>
        </w:rPr>
      </w:pPr>
    </w:p>
    <w:p w14:paraId="79593F02" w14:textId="77777777" w:rsidR="00F55395" w:rsidRDefault="00F55395" w:rsidP="000C4DF5">
      <w:pPr>
        <w:pStyle w:val="NoSpacing"/>
        <w:rPr>
          <w:rFonts w:ascii="Arial Black" w:hAnsi="Arial Black"/>
          <w:sz w:val="24"/>
          <w:szCs w:val="24"/>
        </w:rPr>
      </w:pPr>
    </w:p>
    <w:p w14:paraId="1239225A" w14:textId="77777777" w:rsidR="00F55395" w:rsidRDefault="00F55395" w:rsidP="000C4DF5">
      <w:pPr>
        <w:pStyle w:val="NoSpacing"/>
        <w:rPr>
          <w:rFonts w:ascii="Arial Black" w:hAnsi="Arial Black"/>
          <w:sz w:val="24"/>
          <w:szCs w:val="24"/>
        </w:rPr>
      </w:pPr>
    </w:p>
    <w:p w14:paraId="4DDEDF4C" w14:textId="6FD324D6" w:rsidR="00F55395" w:rsidRDefault="00F55395" w:rsidP="000C4DF5">
      <w:pPr>
        <w:pStyle w:val="NoSpacing"/>
        <w:rPr>
          <w:rFonts w:ascii="Arial Black" w:hAnsi="Arial Black"/>
          <w:sz w:val="24"/>
          <w:szCs w:val="24"/>
        </w:rPr>
      </w:pPr>
      <w:r>
        <w:rPr>
          <w:rFonts w:ascii="Arial Black" w:hAnsi="Arial Black"/>
          <w:sz w:val="24"/>
          <w:szCs w:val="24"/>
        </w:rPr>
        <w:t>15-23</w:t>
      </w:r>
    </w:p>
    <w:p w14:paraId="41E250C5" w14:textId="77777777" w:rsidR="00F55395" w:rsidRDefault="00F55395" w:rsidP="00F55395">
      <w:pPr>
        <w:pStyle w:val="NormalWeb"/>
        <w:rPr>
          <w:rFonts w:ascii="Arial Black" w:hAnsi="Arial Black"/>
          <w:b/>
          <w:bCs/>
          <w:sz w:val="28"/>
          <w:szCs w:val="28"/>
        </w:rPr>
      </w:pPr>
      <w:r>
        <w:rPr>
          <w:rFonts w:ascii="Arial Black" w:hAnsi="Arial Black"/>
          <w:b/>
          <w:bCs/>
          <w:sz w:val="28"/>
          <w:szCs w:val="28"/>
        </w:rPr>
        <w:t xml:space="preserve">FL: BAT. CHIEF “EXTREMELY ANXIOUS” MAKING EMER. RUNS – DENIED OFFICE WORK ONLY - PIP - FIRED </w:t>
      </w:r>
    </w:p>
    <w:p w14:paraId="22417CBF" w14:textId="77777777" w:rsidR="00F55395" w:rsidRDefault="00F55395" w:rsidP="00F55395">
      <w:pPr>
        <w:pStyle w:val="NormalWeb"/>
      </w:pPr>
      <w:r w:rsidRPr="00930FD8">
        <w:t xml:space="preserve">On Feb. 14, 2023, in </w:t>
      </w:r>
      <w:r w:rsidRPr="00930FD8">
        <w:rPr>
          <w:u w:val="single"/>
        </w:rPr>
        <w:t>William Valencia v. Haines City, Florida,</w:t>
      </w:r>
      <w:r w:rsidRPr="00930FD8">
        <w:t xml:space="preserve"> </w:t>
      </w:r>
      <w:r>
        <w:t xml:space="preserve">U.S. District Court Judge Tom Barber granted City’s motion for summary judgment.  The Battalion Chief suffered from high blood pressure and anxiety, and in 2018 the Fire Chief allowed him to do administrative work and not make emergency runs. In February 2019, Jeffrey Davidson became the new Fire Chief. Plaintiff asked Davidson to excuse him from running calls. Davidson did not agree, and he asked Plaintiff to provide medical documentation to support the request, which Plaintiff never did. He was placed on a 90-day Performance Improvement Plan [PIPO|] in </w:t>
      </w:r>
      <w:proofErr w:type="gramStart"/>
      <w:r>
        <w:t>Nov. 2019, and</w:t>
      </w:r>
      <w:proofErr w:type="gramEnd"/>
      <w:r>
        <w:t xml:space="preserve"> ultimately fired after a pre-disciplinary hearing on April 10, 2020.  The Court held: “In short, Defendant has pointed to legitimate reasons that would motivate a reasonable employer to take the actions it did, and Plaintiff has not shown that the reasons were pretextual under the standards set forth above. Defendant may have been high-handed, unfair, or wrong, but Plaintiff has pointed to no evidence that its stated reasons were not the real reasons. Accordingly, Defendant's motion for summary judgment is granted.” </w:t>
      </w:r>
      <w:hyperlink r:id="rId2433" w:history="1">
        <w:r w:rsidRPr="00933DFB">
          <w:rPr>
            <w:rStyle w:val="Hyperlink"/>
            <w:rFonts w:eastAsiaTheme="majorEastAsia"/>
          </w:rPr>
          <w:t>https://storage.courtlistener.com/recap/gov.uscourts.flmd.392068/gov.uscourts.flmd.392068.43.0.pdf</w:t>
        </w:r>
      </w:hyperlink>
      <w:r>
        <w:t xml:space="preserve"> </w:t>
      </w:r>
    </w:p>
    <w:p w14:paraId="455B636F" w14:textId="77777777" w:rsidR="00F55395" w:rsidRPr="00930FD8" w:rsidRDefault="00F55395" w:rsidP="00F55395">
      <w:pPr>
        <w:pStyle w:val="NormalWeb"/>
        <w:ind w:left="720"/>
        <w:rPr>
          <w:rFonts w:ascii="Arial Black" w:hAnsi="Arial Black"/>
          <w:b/>
          <w:bCs/>
          <w:sz w:val="28"/>
          <w:szCs w:val="28"/>
        </w:rPr>
      </w:pPr>
      <w:r>
        <w:t xml:space="preserve">“Defendant [Fire Department] has offered legitimate non-discriminatory and non-retaliatory reasons for Plaintiff's discipline and termination, identifying numerous specific incidents and problems with Plaintiff's performance as Battalion Chief in 2019. Chief Davidson supported his recommendation that Plaintiff be terminated by citing the following issues, among others: multiple instances of improper use of a department purchasing card for supplies without using a tax exemption as required by department policy, failure to turn in an assignment in time for Davidson to use at a meeting, failure to send part of another assignment until reminded to do so by Davidson, turning in a report that was due in October on November 1, 2019, failing to attend a training class as directed, failing to prepare a draft purchasing procedure as directed, and coming to a meeting without a list of specific job responsibilities as directed.” </w:t>
      </w:r>
    </w:p>
    <w:p w14:paraId="5E026E11" w14:textId="77777777" w:rsidR="00F55395" w:rsidRDefault="00F55395" w:rsidP="00F55395">
      <w:pPr>
        <w:pStyle w:val="NormalWeb"/>
        <w:rPr>
          <w:b/>
          <w:bCs/>
        </w:rPr>
      </w:pPr>
      <w:r w:rsidRPr="006C0460">
        <w:rPr>
          <w:b/>
          <w:bCs/>
        </w:rPr>
        <w:t>Legal Lesson Learned:</w:t>
      </w:r>
      <w:r>
        <w:rPr>
          <w:b/>
          <w:bCs/>
        </w:rPr>
        <w:t xml:space="preserve">  A “PIP” can be an effective management tool.    </w:t>
      </w:r>
    </w:p>
    <w:p w14:paraId="1E456CBA" w14:textId="77777777" w:rsidR="00F55395" w:rsidRPr="006C0460" w:rsidRDefault="00F55395" w:rsidP="00F55395">
      <w:pPr>
        <w:pStyle w:val="NormalWeb"/>
        <w:ind w:left="720"/>
        <w:rPr>
          <w:b/>
          <w:bCs/>
        </w:rPr>
      </w:pPr>
      <w:r w:rsidRPr="00FE0DD3">
        <w:t xml:space="preserve">Note: See EEOC description of “reasonable </w:t>
      </w:r>
      <w:r>
        <w:t>a</w:t>
      </w:r>
      <w:r w:rsidRPr="00FE0DD3">
        <w:t>ccommodations” obligations under ADA</w:t>
      </w:r>
      <w:r>
        <w:t>.</w:t>
      </w:r>
      <w:r w:rsidRPr="00FE0DD3">
        <w:t xml:space="preserve"> “</w:t>
      </w:r>
      <w:r>
        <w:t xml:space="preserve">An employer doesn't have to provide an accommodation if doing so would cause undue hardship to the business.  Undue hardship means that the accommodation would be too difficult or too expensive to provide, </w:t>
      </w:r>
      <w:proofErr w:type="gramStart"/>
      <w:r>
        <w:t>in light of</w:t>
      </w:r>
      <w:proofErr w:type="gramEnd"/>
      <w:r>
        <w:t xml:space="preserve"> the employer's size, financial resources, and the needs of the business.” </w:t>
      </w:r>
      <w:hyperlink r:id="rId2434" w:history="1">
        <w:r w:rsidRPr="00557FA1">
          <w:rPr>
            <w:rStyle w:val="Hyperlink"/>
            <w:rFonts w:eastAsiaTheme="majorEastAsia"/>
          </w:rPr>
          <w:t>https://www.eeoc.gov/disability-discrimination-and-employment-decisions</w:t>
        </w:r>
      </w:hyperlink>
      <w:r>
        <w:t xml:space="preserve"> </w:t>
      </w:r>
    </w:p>
    <w:p w14:paraId="0F2963B2" w14:textId="77777777" w:rsidR="00F55395" w:rsidRDefault="00F55395" w:rsidP="000C4DF5">
      <w:pPr>
        <w:pStyle w:val="NoSpacing"/>
        <w:rPr>
          <w:rFonts w:ascii="Arial Black" w:hAnsi="Arial Black"/>
          <w:sz w:val="24"/>
          <w:szCs w:val="24"/>
        </w:rPr>
      </w:pPr>
    </w:p>
    <w:p w14:paraId="02A65238" w14:textId="77777777" w:rsidR="00F55395" w:rsidRDefault="00F55395" w:rsidP="000C4DF5">
      <w:pPr>
        <w:pStyle w:val="NoSpacing"/>
        <w:rPr>
          <w:rFonts w:ascii="Arial Black" w:hAnsi="Arial Black"/>
          <w:sz w:val="24"/>
          <w:szCs w:val="24"/>
        </w:rPr>
      </w:pPr>
    </w:p>
    <w:p w14:paraId="1DF8E2A4" w14:textId="77777777" w:rsidR="00F55395" w:rsidRDefault="00F55395" w:rsidP="000C4DF5">
      <w:pPr>
        <w:pStyle w:val="NoSpacing"/>
        <w:rPr>
          <w:rFonts w:ascii="Arial Black" w:hAnsi="Arial Black"/>
          <w:sz w:val="24"/>
          <w:szCs w:val="24"/>
        </w:rPr>
      </w:pPr>
    </w:p>
    <w:p w14:paraId="2346BD04" w14:textId="41ACD1C9" w:rsidR="00BA3CDE" w:rsidRDefault="00BA3CDE" w:rsidP="000C4DF5">
      <w:pPr>
        <w:pStyle w:val="NoSpacing"/>
        <w:rPr>
          <w:rFonts w:ascii="Arial Black" w:hAnsi="Arial Black"/>
          <w:sz w:val="24"/>
          <w:szCs w:val="24"/>
        </w:rPr>
      </w:pPr>
      <w:r>
        <w:rPr>
          <w:rFonts w:ascii="Arial Black" w:hAnsi="Arial Black"/>
          <w:sz w:val="24"/>
          <w:szCs w:val="24"/>
        </w:rPr>
        <w:t>15-22</w:t>
      </w:r>
    </w:p>
    <w:p w14:paraId="27E01CB9" w14:textId="77777777" w:rsidR="00BA3CDE" w:rsidRPr="009024DC" w:rsidRDefault="00BA3CDE" w:rsidP="00BA3CDE">
      <w:pPr>
        <w:pStyle w:val="NormalWeb"/>
        <w:rPr>
          <w:rFonts w:ascii="Arial Black" w:hAnsi="Arial Black"/>
          <w:sz w:val="28"/>
          <w:szCs w:val="28"/>
        </w:rPr>
      </w:pPr>
      <w:r>
        <w:rPr>
          <w:rFonts w:ascii="Arial Black" w:hAnsi="Arial Black"/>
          <w:sz w:val="28"/>
          <w:szCs w:val="28"/>
        </w:rPr>
        <w:t xml:space="preserve">MN: PTSD STATUTORY PRESUMPTION - DEPUTY GET WORKER COMP – COUNTY PSYCH IME NOT FOR 10 MONTHS </w:t>
      </w:r>
    </w:p>
    <w:p w14:paraId="5BBAA844" w14:textId="77777777" w:rsidR="00BA3CDE" w:rsidRDefault="00BA3CDE" w:rsidP="00BA3CDE">
      <w:pPr>
        <w:pStyle w:val="NormalWeb"/>
      </w:pPr>
      <w:r>
        <w:t xml:space="preserve">On Dec. 21, 2022, in </w:t>
      </w:r>
      <w:r w:rsidRPr="00DB4210">
        <w:t>Douglas Juntunen v. Carlton County, et al.,</w:t>
      </w:r>
      <w:r>
        <w:t xml:space="preserve"> the Supreme Court of Minnesota held (7 to 0; including 2 concurring opinions) that Deputy Juntunen is entitled to workers compensation. The Deputy’s psychiatrist concluded he suffered from PTSD on the date of the exam, Aug. 20, 2019. The County took 10 months to arrange for their psychiatrist to conduct an independent medical exam (July 20, 2020), who concluded that the Deputy now suffers from major depression but not PTSD. The County therefore failed to rebut the Minnesota statutory presumption for emergency responders.  The Deputy also submitted proof of seeking mental help after the suicide of a former partner in 2016.  He contacted County EAP who referred him to Beth Jordan, a licensed mental health clinician, who he saw four our times during next 3 months. Then in Dec. 2018, he renewed meeting with the Beth Jordan when he found it </w:t>
      </w:r>
      <w:proofErr w:type="gramStart"/>
      <w:r>
        <w:t>more and more</w:t>
      </w:r>
      <w:proofErr w:type="gramEnd"/>
      <w:r>
        <w:t xml:space="preserve"> difficult to report to duty.  Over the next few months, he met with Jordan a few times a month, and he received eye movement desensitization and reprocessing (EMDR) therapy to process the pursuit and suicide, his partner's suicide, his mother's death, and the death of a 16-year-old boy in MVA who had just received his driver’s license. The Workers Comp administrative law judge denied coverage based on the County’s psychiatrist’s report.  On appeal, the Workers' Compensation Court of Appeals reversed since that report was 10 months after the Deputy’s report of PTSD (Aug. 20, 2019).  The Minnesota statutory presumption law became effective for claims made on or after Jan. 1, 2019.</w:t>
      </w:r>
    </w:p>
    <w:p w14:paraId="22D62859" w14:textId="77777777" w:rsidR="00BA3CDE" w:rsidRPr="00B57D9A" w:rsidRDefault="00BA3CDE" w:rsidP="00BA3CDE">
      <w:pPr>
        <w:pStyle w:val="NormalWeb"/>
        <w:ind w:left="720"/>
      </w:pPr>
      <w:r>
        <w:t>“</w:t>
      </w:r>
      <w:r w:rsidRPr="00B57D9A">
        <w:t xml:space="preserve">The employer argues that Dr. Arbisi's opinion from July 2020 was sufficient to rebut the presumption. We disagree. The WCCA determined that the County did not rebut the presumption for the following reason: </w:t>
      </w:r>
    </w:p>
    <w:p w14:paraId="0CD6AA8A" w14:textId="77777777" w:rsidR="00BA3CDE" w:rsidRDefault="00BA3CDE" w:rsidP="00BA3CDE">
      <w:pPr>
        <w:spacing w:after="100" w:line="240" w:lineRule="auto"/>
        <w:ind w:left="1440"/>
        <w:rPr>
          <w:rFonts w:ascii="Times New Roman" w:eastAsia="Times New Roman" w:hAnsi="Times New Roman"/>
          <w:sz w:val="24"/>
          <w:szCs w:val="24"/>
        </w:rPr>
      </w:pPr>
      <w:r w:rsidRPr="00B57D9A">
        <w:rPr>
          <w:rFonts w:ascii="Times New Roman" w:eastAsia="Times New Roman" w:hAnsi="Times New Roman"/>
          <w:sz w:val="24"/>
          <w:szCs w:val="24"/>
        </w:rPr>
        <w:t>The presumption [based on Dr. Keller's diagnosis in September 2019] established that at the time of his disablement from work, the employee had compensable PTSD. To rebut, the employer needed to offer evidence that at the time of the employee's disablement, he did not have a PTSD diagnosis. The employer failed to do so as Dr. Arbisi's opinion was, at the time of his July 2020 evaluation and for the 30 days preceding that evaluation, that the employee did not have a PTSD diagnosis. His opinion, in both his report and his deposition testimony, failed to address the issue surrounding the statutory presumption, specifically whether the employee had a diagnosis of PTSD in September 2019.</w:t>
      </w:r>
      <w:r>
        <w:rPr>
          <w:rFonts w:ascii="Times New Roman" w:eastAsia="Times New Roman" w:hAnsi="Times New Roman"/>
          <w:sz w:val="24"/>
          <w:szCs w:val="24"/>
        </w:rPr>
        <w:t>”</w:t>
      </w:r>
    </w:p>
    <w:p w14:paraId="22591932" w14:textId="77777777" w:rsidR="00BA3CDE" w:rsidRPr="00B57D9A" w:rsidRDefault="00BA3CDE" w:rsidP="00BA3CDE">
      <w:pPr>
        <w:spacing w:after="100" w:line="240" w:lineRule="auto"/>
        <w:ind w:left="720"/>
        <w:rPr>
          <w:rFonts w:ascii="Times New Roman" w:eastAsia="Times New Roman" w:hAnsi="Times New Roman"/>
          <w:sz w:val="24"/>
          <w:szCs w:val="24"/>
        </w:rPr>
      </w:pPr>
      <w:hyperlink r:id="rId2435" w:history="1">
        <w:r w:rsidRPr="006B595F">
          <w:rPr>
            <w:rStyle w:val="Hyperlink"/>
            <w:rFonts w:ascii="Times New Roman" w:eastAsia="Times New Roman" w:hAnsi="Times New Roman"/>
            <w:sz w:val="24"/>
            <w:szCs w:val="24"/>
          </w:rPr>
          <w:t>https://mn.gov/workcomp-stat/2021/Juntunen%20-%2012-28-21.html</w:t>
        </w:r>
      </w:hyperlink>
      <w:r>
        <w:rPr>
          <w:rFonts w:ascii="Times New Roman" w:eastAsia="Times New Roman" w:hAnsi="Times New Roman"/>
          <w:sz w:val="24"/>
          <w:szCs w:val="24"/>
        </w:rPr>
        <w:t xml:space="preserve"> </w:t>
      </w:r>
    </w:p>
    <w:p w14:paraId="4F285B52" w14:textId="77777777" w:rsidR="00BA3CDE" w:rsidRPr="00B57D9A" w:rsidRDefault="00BA3CDE" w:rsidP="00BA3CDE">
      <w:pPr>
        <w:pStyle w:val="NormalWeb"/>
        <w:rPr>
          <w:b/>
          <w:bCs/>
        </w:rPr>
      </w:pPr>
      <w:r w:rsidRPr="00B57D9A">
        <w:rPr>
          <w:b/>
          <w:bCs/>
        </w:rPr>
        <w:t xml:space="preserve">Legal Lesson Learned: </w:t>
      </w:r>
      <w:r>
        <w:rPr>
          <w:b/>
          <w:bCs/>
        </w:rPr>
        <w:t xml:space="preserve"> Statutory presumption for emergency responders </w:t>
      </w:r>
      <w:proofErr w:type="gramStart"/>
      <w:r>
        <w:rPr>
          <w:b/>
          <w:bCs/>
        </w:rPr>
        <w:t>are</w:t>
      </w:r>
      <w:proofErr w:type="gramEnd"/>
      <w:r>
        <w:rPr>
          <w:b/>
          <w:bCs/>
        </w:rPr>
        <w:t xml:space="preserve"> extremely helpful for those seeking workers comp for PTSD,</w:t>
      </w:r>
    </w:p>
    <w:p w14:paraId="5A442F8E" w14:textId="77777777" w:rsidR="00BA3CDE" w:rsidRDefault="00BA3CDE" w:rsidP="00BA3CDE">
      <w:pPr>
        <w:pStyle w:val="NormalWeb"/>
        <w:ind w:left="720"/>
      </w:pPr>
      <w:r>
        <w:t>Note: Two of the seven Minnesota Supreme Court Justices issued a concurring opinion. Justice Anderson wrote:</w:t>
      </w:r>
    </w:p>
    <w:p w14:paraId="04E14177" w14:textId="77777777" w:rsidR="00BA3CDE" w:rsidRPr="00C02792" w:rsidRDefault="00BA3CDE" w:rsidP="00BA3CDE">
      <w:pPr>
        <w:pStyle w:val="NormalWeb"/>
        <w:ind w:left="720"/>
      </w:pPr>
      <w:r>
        <w:t xml:space="preserve">“This [opinion] leaves local government units, and by extension, taxpayers, potentially required to pay disability compensation to any covered employee who is diagnosed with PTSD from the time the employee files the claim until the employer can schedule an independent medical examination, regardless of the validity of the initial diagnosis. *** What amendments, if any, are necessary to clarify the operation of Minn. Stat. § 176.011, subd. 15(e), are within the purview of the Legislative and Executive branches of our government. I write separately only to highlight some potential issues that may, or may not, require further action by those branches.” </w:t>
      </w:r>
      <w:hyperlink r:id="rId2436" w:history="1">
        <w:r w:rsidRPr="00037B1A">
          <w:rPr>
            <w:rStyle w:val="Hyperlink"/>
            <w:rFonts w:eastAsiaTheme="majorEastAsia"/>
          </w:rPr>
          <w:t>https://public.fastcase.com/J%2FJP6pdidelsXxEE4k%2BLMrxVcam7rKBSdRgmN0M2d%2BrW9J8HXjyMcs%2BCJsDK%2Fusk%2B2E9D%2F1BAqASOG07gYFsTW16dm6lb%2FBgwI52A7gDyzw%3D?utm_medium=email&amp;_hsmi=226712652&amp;_hsenc=p2ANqtz-9PBrRsgZ6dWHR_pYoIAB1lqWQVVefDA3UXzg06QZf9i4O0NAY5ywCEjL-xcfOhIm7moLGvuFP1IQS4Gks-qJ07TvkP3Q&amp;utm_content=226712652&amp;utm_source=hs_email</w:t>
        </w:r>
      </w:hyperlink>
    </w:p>
    <w:p w14:paraId="6C9B9641" w14:textId="77777777" w:rsidR="00BA3CDE" w:rsidRDefault="00BA3CDE" w:rsidP="000C4DF5">
      <w:pPr>
        <w:pStyle w:val="NoSpacing"/>
        <w:rPr>
          <w:rFonts w:ascii="Arial Black" w:hAnsi="Arial Black"/>
          <w:sz w:val="24"/>
          <w:szCs w:val="24"/>
        </w:rPr>
      </w:pPr>
    </w:p>
    <w:p w14:paraId="5B8AED27" w14:textId="77777777" w:rsidR="00BA3CDE" w:rsidRDefault="00BA3CDE" w:rsidP="000C4DF5">
      <w:pPr>
        <w:pStyle w:val="NoSpacing"/>
        <w:rPr>
          <w:rFonts w:ascii="Arial Black" w:hAnsi="Arial Black"/>
          <w:sz w:val="24"/>
          <w:szCs w:val="24"/>
        </w:rPr>
      </w:pPr>
    </w:p>
    <w:p w14:paraId="7C1A1458" w14:textId="77777777" w:rsidR="00BA3CDE" w:rsidRDefault="00BA3CDE" w:rsidP="000C4DF5">
      <w:pPr>
        <w:pStyle w:val="NoSpacing"/>
        <w:rPr>
          <w:rFonts w:ascii="Arial Black" w:hAnsi="Arial Black"/>
          <w:sz w:val="24"/>
          <w:szCs w:val="24"/>
        </w:rPr>
      </w:pPr>
    </w:p>
    <w:p w14:paraId="167E6E98" w14:textId="7BB8D040" w:rsidR="00BA3CDE" w:rsidRDefault="00BA3CDE" w:rsidP="000C4DF5">
      <w:pPr>
        <w:pStyle w:val="NoSpacing"/>
        <w:rPr>
          <w:rFonts w:ascii="Arial Black" w:hAnsi="Arial Black"/>
          <w:sz w:val="24"/>
          <w:szCs w:val="24"/>
        </w:rPr>
      </w:pPr>
      <w:r>
        <w:rPr>
          <w:rFonts w:ascii="Arial Black" w:hAnsi="Arial Black"/>
          <w:sz w:val="24"/>
          <w:szCs w:val="24"/>
        </w:rPr>
        <w:t>15-21</w:t>
      </w:r>
    </w:p>
    <w:p w14:paraId="3810AAC9" w14:textId="77777777" w:rsidR="00BA3CDE" w:rsidRDefault="00BA3CDE" w:rsidP="00BA3CDE">
      <w:pPr>
        <w:pStyle w:val="NormalWeb"/>
        <w:rPr>
          <w:rFonts w:ascii="Arial Black" w:hAnsi="Arial Black"/>
          <w:sz w:val="28"/>
          <w:szCs w:val="28"/>
        </w:rPr>
      </w:pPr>
      <w:r>
        <w:rPr>
          <w:rFonts w:ascii="Arial Black" w:hAnsi="Arial Black"/>
          <w:sz w:val="28"/>
          <w:szCs w:val="28"/>
        </w:rPr>
        <w:t>MN: DEPUTY SHERIFF SUICIDE – “KILLED IN LINE-OF-DUTY” PENSION AWARDED TO WIFE – COURT OVERTURNS ALJ</w:t>
      </w:r>
    </w:p>
    <w:p w14:paraId="72749FA8" w14:textId="77777777" w:rsidR="00BA3CDE" w:rsidRDefault="00BA3CDE" w:rsidP="00BA3CDE">
      <w:pPr>
        <w:pStyle w:val="NormalWeb"/>
      </w:pPr>
      <w:r>
        <w:t xml:space="preserve">On Dec. 19, 2022, in </w:t>
      </w:r>
      <w:r w:rsidRPr="00036152">
        <w:rPr>
          <w:u w:val="single"/>
        </w:rPr>
        <w:t xml:space="preserve">In </w:t>
      </w:r>
      <w:proofErr w:type="gramStart"/>
      <w:r w:rsidRPr="00036152">
        <w:rPr>
          <w:u w:val="single"/>
        </w:rPr>
        <w:t>The</w:t>
      </w:r>
      <w:proofErr w:type="gramEnd"/>
      <w:r w:rsidRPr="00036152">
        <w:rPr>
          <w:u w:val="single"/>
        </w:rPr>
        <w:t xml:space="preserve"> Matter </w:t>
      </w:r>
      <w:proofErr w:type="gramStart"/>
      <w:r w:rsidRPr="00036152">
        <w:rPr>
          <w:u w:val="single"/>
        </w:rPr>
        <w:t>Of</w:t>
      </w:r>
      <w:proofErr w:type="gramEnd"/>
      <w:r w:rsidRPr="00036152">
        <w:rPr>
          <w:u w:val="single"/>
        </w:rPr>
        <w:t xml:space="preserve"> </w:t>
      </w:r>
      <w:proofErr w:type="gramStart"/>
      <w:r w:rsidRPr="00036152">
        <w:rPr>
          <w:u w:val="single"/>
        </w:rPr>
        <w:t>A</w:t>
      </w:r>
      <w:proofErr w:type="gramEnd"/>
      <w:r w:rsidRPr="00036152">
        <w:rPr>
          <w:u w:val="single"/>
        </w:rPr>
        <w:t xml:space="preserve"> Public Safety Officer Death Benefit </w:t>
      </w:r>
      <w:proofErr w:type="gramStart"/>
      <w:r w:rsidRPr="00036152">
        <w:rPr>
          <w:u w:val="single"/>
        </w:rPr>
        <w:t>For</w:t>
      </w:r>
      <w:proofErr w:type="gramEnd"/>
      <w:r w:rsidRPr="00036152">
        <w:rPr>
          <w:u w:val="single"/>
        </w:rPr>
        <w:t xml:space="preserve"> Jerome Ri</w:t>
      </w:r>
      <w:r>
        <w:rPr>
          <w:u w:val="single"/>
        </w:rPr>
        <w:t>h</w:t>
      </w:r>
      <w:r w:rsidRPr="00036152">
        <w:rPr>
          <w:u w:val="single"/>
        </w:rPr>
        <w:t>card Lannon (deceased)</w:t>
      </w:r>
      <w:r>
        <w:t>, the Court of Appeals on Minnesota, held (3 to 0) that Administrative Law Judge incorrectly ruled that a deputy’s suicide cannot be considered a “line of duty death.” Deputy Lannon committed suicide in 2018; he had been employed by Washington County Sheriff’s Office since 1999 and had responded to numerous critical incidents including a double murder, multiple suicides, a child's sexual assault, and fatal vehicle crashes. He was also involved in high-stress situations like apprehending a suspect in a domestic dispute who had fired a weapon in the home. Inn 2015, Deputy Lannon was diagnosed with anxiety and depression. In 2016, he began attending therapy to address symptoms of anxiety and depression. In September 2018, he was further injured in a serious car accident and in Nov. 2018 a supervisor brought him to a hospital because he was experiencing suicidal ideations; after his release he committed suicide on Nov. 26, 2018.</w:t>
      </w:r>
    </w:p>
    <w:p w14:paraId="7F1DEA89" w14:textId="77777777" w:rsidR="00BA3CDE" w:rsidRDefault="00BA3CDE" w:rsidP="00BA3CDE">
      <w:pPr>
        <w:pStyle w:val="NormalWeb"/>
        <w:ind w:left="720"/>
      </w:pPr>
      <w:r>
        <w:t xml:space="preserve">“The primary question before us is whether a public safety officer who dies by suicide </w:t>
      </w:r>
      <w:proofErr w:type="gramStart"/>
      <w:r>
        <w:t>as a result of</w:t>
      </w:r>
      <w:proofErr w:type="gramEnd"/>
      <w:r>
        <w:t xml:space="preserve"> job-related PTSD</w:t>
      </w:r>
      <w:r>
        <w:rPr>
          <w:vertAlign w:val="superscript"/>
        </w:rPr>
        <w:t xml:space="preserve"> </w:t>
      </w:r>
      <w:r>
        <w:t xml:space="preserve">is ‘killed in the line of duty’ within the meaning of the death-benefit statute, Minn. Stat. § 299A.44…. We conclude that ‘killed in the line of duty,’ as used in Minn. Stat. § 299A.44, includes a death by suicide resulting from PTSD caused by performing duties peculiar to a public safety officer. Accordingly, survivors of such an officer may qualify for the death benefit provided by Minn. Stat. § 299A.44. We further conclude that relator has presented sufficient evidence to raise a genuine issue of material fact as to whether Deputy Lannon's death by suicide meets that qualification. We therefore reverse and remand to the Office of Administrative Hearings for further proceedings consistent with this </w:t>
      </w:r>
      <w:proofErr w:type="gramStart"/>
      <w:r>
        <w:t>opinion.”</w:t>
      </w:r>
      <w:proofErr w:type="gramEnd"/>
      <w:r>
        <w:t xml:space="preserve"> </w:t>
      </w:r>
      <w:hyperlink r:id="rId2437" w:history="1">
        <w:r w:rsidRPr="00212B30">
          <w:rPr>
            <w:rStyle w:val="Hyperlink"/>
            <w:rFonts w:eastAsiaTheme="majorEastAsia"/>
          </w:rPr>
          <w:t>https://law.justia.com/cases/minnesota/court-of-appeals/2022/a22-0507.html</w:t>
        </w:r>
      </w:hyperlink>
      <w:r>
        <w:t xml:space="preserve"> </w:t>
      </w:r>
    </w:p>
    <w:p w14:paraId="39BB8960" w14:textId="77777777" w:rsidR="00BA3CDE" w:rsidRDefault="00BA3CDE" w:rsidP="00BA3CDE">
      <w:pPr>
        <w:pStyle w:val="NormalWeb"/>
        <w:rPr>
          <w:b/>
          <w:bCs/>
        </w:rPr>
      </w:pPr>
      <w:r w:rsidRPr="003E7459">
        <w:rPr>
          <w:b/>
          <w:bCs/>
        </w:rPr>
        <w:t>Legal Lesson Learned:</w:t>
      </w:r>
      <w:r>
        <w:rPr>
          <w:b/>
          <w:bCs/>
        </w:rPr>
        <w:t xml:space="preserve"> Suicide by public safety officers is a nationwide issue. I hope the widow receives LODD benefits. </w:t>
      </w:r>
    </w:p>
    <w:p w14:paraId="0D6689E0" w14:textId="77777777" w:rsidR="00BA3CDE" w:rsidRDefault="00BA3CDE" w:rsidP="000C4DF5">
      <w:pPr>
        <w:pStyle w:val="NoSpacing"/>
        <w:rPr>
          <w:rFonts w:ascii="Arial Black" w:hAnsi="Arial Black"/>
          <w:sz w:val="24"/>
          <w:szCs w:val="24"/>
        </w:rPr>
      </w:pPr>
    </w:p>
    <w:p w14:paraId="4F8138BD" w14:textId="77777777" w:rsidR="00BA3CDE" w:rsidRDefault="00BA3CDE" w:rsidP="000C4DF5">
      <w:pPr>
        <w:pStyle w:val="NoSpacing"/>
        <w:rPr>
          <w:rFonts w:ascii="Arial Black" w:hAnsi="Arial Black"/>
          <w:sz w:val="24"/>
          <w:szCs w:val="24"/>
        </w:rPr>
      </w:pPr>
    </w:p>
    <w:p w14:paraId="30B1D0F1" w14:textId="77777777" w:rsidR="00BA3CDE" w:rsidRDefault="00BA3CDE" w:rsidP="000C4DF5">
      <w:pPr>
        <w:pStyle w:val="NoSpacing"/>
        <w:rPr>
          <w:rFonts w:ascii="Arial Black" w:hAnsi="Arial Black"/>
          <w:sz w:val="24"/>
          <w:szCs w:val="24"/>
        </w:rPr>
      </w:pPr>
    </w:p>
    <w:p w14:paraId="44243A38" w14:textId="2B6A8660" w:rsidR="00F31C1B" w:rsidRDefault="00F31C1B" w:rsidP="000C4DF5">
      <w:pPr>
        <w:pStyle w:val="NoSpacing"/>
        <w:rPr>
          <w:rFonts w:ascii="Arial Black" w:hAnsi="Arial Black"/>
          <w:sz w:val="24"/>
          <w:szCs w:val="24"/>
        </w:rPr>
      </w:pPr>
      <w:r>
        <w:rPr>
          <w:rFonts w:ascii="Arial Black" w:hAnsi="Arial Black"/>
          <w:sz w:val="24"/>
          <w:szCs w:val="24"/>
        </w:rPr>
        <w:t>15-20</w:t>
      </w:r>
    </w:p>
    <w:p w14:paraId="7A442755" w14:textId="77777777" w:rsidR="00F31C1B" w:rsidRDefault="00F31C1B" w:rsidP="00F31C1B">
      <w:pPr>
        <w:spacing w:before="100" w:beforeAutospacing="1" w:after="100" w:afterAutospacing="1" w:line="240" w:lineRule="auto"/>
        <w:outlineLvl w:val="0"/>
        <w:rPr>
          <w:rFonts w:ascii="Times New Roman" w:eastAsia="Times New Roman" w:hAnsi="Times New Roman"/>
          <w:b/>
          <w:bCs/>
          <w:kern w:val="36"/>
          <w:sz w:val="48"/>
          <w:szCs w:val="48"/>
        </w:rPr>
      </w:pPr>
      <w:bookmarkStart w:id="570" w:name="_Hlk120872340"/>
      <w:r>
        <w:rPr>
          <w:rFonts w:ascii="Arial Black" w:eastAsia="Times New Roman" w:hAnsi="Arial Black"/>
          <w:b/>
          <w:bCs/>
          <w:kern w:val="36"/>
          <w:sz w:val="28"/>
          <w:szCs w:val="28"/>
        </w:rPr>
        <w:t>FL: PTSD – MEDIC WINS WORKERS’ COMP – WHILE TRAUMA RUNS PRIOR NEW STATUTE, LOSS WAGES AFTER 2018 LAW</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0800"/>
      </w:tblGrid>
      <w:tr w:rsidR="00F31C1B" w:rsidRPr="004879C2" w14:paraId="71B79F3C" w14:textId="77777777" w:rsidTr="00317ED5">
        <w:trPr>
          <w:tblCellSpacing w:w="15" w:type="dxa"/>
        </w:trPr>
        <w:tc>
          <w:tcPr>
            <w:tcW w:w="0" w:type="auto"/>
            <w:vAlign w:val="center"/>
          </w:tcPr>
          <w:p w14:paraId="23A5ECE1" w14:textId="77777777" w:rsidR="00F31C1B" w:rsidRDefault="00F31C1B" w:rsidP="00317ED5">
            <w:pPr>
              <w:spacing w:after="0" w:line="240" w:lineRule="auto"/>
              <w:rPr>
                <w:rFonts w:ascii="Times New Roman" w:eastAsia="Times New Roman" w:hAnsi="Times New Roman"/>
                <w:kern w:val="36"/>
                <w:sz w:val="24"/>
                <w:szCs w:val="24"/>
              </w:rPr>
            </w:pPr>
            <w:r>
              <w:rPr>
                <w:rFonts w:ascii="Times New Roman" w:eastAsia="Times New Roman" w:hAnsi="Times New Roman"/>
                <w:kern w:val="36"/>
                <w:sz w:val="24"/>
                <w:szCs w:val="24"/>
              </w:rPr>
              <w:t xml:space="preserve">On Nov. 2, 2022, in </w:t>
            </w:r>
            <w:r w:rsidRPr="004879C2">
              <w:rPr>
                <w:rFonts w:ascii="Times New Roman" w:eastAsia="Times New Roman" w:hAnsi="Times New Roman"/>
                <w:kern w:val="36"/>
                <w:sz w:val="24"/>
                <w:szCs w:val="24"/>
                <w:u w:val="single"/>
              </w:rPr>
              <w:t>Mandy Lynn Wyatt v. Polk County Board of Commissioners, et al</w:t>
            </w:r>
            <w:r>
              <w:rPr>
                <w:rFonts w:ascii="Times New Roman" w:eastAsia="Times New Roman" w:hAnsi="Times New Roman"/>
                <w:kern w:val="36"/>
                <w:sz w:val="24"/>
                <w:szCs w:val="24"/>
              </w:rPr>
              <w:t xml:space="preserve">., the Florida Court of Appeals, First District, held (3 to 0) that the firefighter is entitled to workers comp coverage for PTSD.  She first began experiencing nightmares in 2016; began seeing a therapist in 2017; after trauma runs involving children in 2017 and 2018, she left the Department on Nov. 27. 2018.   Statute no longer requires proof of physical injury for workers comp. claim for mental stress. The new Florida statute expanding coverage for emergency responders with PTSD, without need to prove physical injury, was effective Oct. 1, 2018. She lost wages </w:t>
            </w:r>
            <w:proofErr w:type="gramStart"/>
            <w:r>
              <w:rPr>
                <w:rFonts w:ascii="Times New Roman" w:eastAsia="Times New Roman" w:hAnsi="Times New Roman"/>
                <w:kern w:val="36"/>
                <w:sz w:val="24"/>
                <w:szCs w:val="24"/>
              </w:rPr>
              <w:t>because</w:t>
            </w:r>
            <w:proofErr w:type="gramEnd"/>
            <w:r>
              <w:rPr>
                <w:rFonts w:ascii="Times New Roman" w:eastAsia="Times New Roman" w:hAnsi="Times New Roman"/>
                <w:kern w:val="36"/>
                <w:sz w:val="24"/>
                <w:szCs w:val="24"/>
              </w:rPr>
              <w:t xml:space="preserve"> her PTSD after the effective date of the statute and is therefore entitled to workers’ comp for her prior traumatic incidents. </w:t>
            </w:r>
          </w:p>
          <w:p w14:paraId="2F7D371A" w14:textId="77777777" w:rsidR="00F31C1B" w:rsidRPr="006158E8" w:rsidRDefault="00F31C1B" w:rsidP="00317ED5">
            <w:pPr>
              <w:spacing w:after="0" w:line="240" w:lineRule="auto"/>
              <w:rPr>
                <w:rFonts w:ascii="Times New Roman" w:eastAsia="Times New Roman" w:hAnsi="Times New Roman"/>
                <w:sz w:val="24"/>
                <w:szCs w:val="24"/>
              </w:rPr>
            </w:pPr>
          </w:p>
        </w:tc>
      </w:tr>
    </w:tbl>
    <w:bookmarkEnd w:id="570"/>
    <w:p w14:paraId="2C64A2E1" w14:textId="77777777" w:rsidR="00F31C1B" w:rsidRDefault="00F31C1B" w:rsidP="00F31C1B">
      <w:pPr>
        <w:pStyle w:val="NoSpacing"/>
        <w:ind w:left="720"/>
        <w:rPr>
          <w:rStyle w:val="markedcontent"/>
          <w:rFonts w:ascii="Times New Roman" w:hAnsi="Times New Roman"/>
          <w:sz w:val="24"/>
          <w:szCs w:val="24"/>
        </w:rPr>
      </w:pPr>
      <w:r>
        <w:rPr>
          <w:rStyle w:val="markedcontent"/>
          <w:rFonts w:ascii="Times New Roman" w:hAnsi="Times New Roman"/>
          <w:sz w:val="24"/>
          <w:szCs w:val="24"/>
        </w:rPr>
        <w:t>“</w:t>
      </w:r>
      <w:r w:rsidRPr="00806239">
        <w:rPr>
          <w:rStyle w:val="markedcontent"/>
          <w:rFonts w:ascii="Times New Roman" w:hAnsi="Times New Roman"/>
          <w:sz w:val="24"/>
          <w:szCs w:val="24"/>
        </w:rPr>
        <w:t>Application of section 112.1815 makes a difference in the</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determination of a claim like Wyatt’s. For example, Wyatt does not</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claim to have suffered a physical injury at work, and the Workers’</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Compensation Law generally places strict limits on</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compensability for a mental or nervous work injury. A</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compensable physical injury must be the major contributing cause</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of the mental or nervous injury, and temporary benefits may not</w:t>
      </w:r>
      <w:r w:rsidRPr="00806239">
        <w:br/>
      </w:r>
      <w:r w:rsidRPr="00806239">
        <w:rPr>
          <w:rStyle w:val="markedcontent"/>
          <w:rFonts w:ascii="Times New Roman" w:hAnsi="Times New Roman"/>
          <w:sz w:val="24"/>
          <w:szCs w:val="24"/>
        </w:rPr>
        <w:t>be paid for more than six months following the date of maximum</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medical improvement for the physical injury. See § 440.093, Fla.</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Stat. (2018). Under this provision (considered alone), Wyatt’s</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claimed injury would not be compensable at all. Since its original</w:t>
      </w:r>
      <w:r>
        <w:rPr>
          <w:rStyle w:val="markedcontent"/>
          <w:rFonts w:ascii="Times New Roman" w:hAnsi="Times New Roman"/>
          <w:sz w:val="24"/>
          <w:szCs w:val="24"/>
        </w:rPr>
        <w:t xml:space="preserve"> e</w:t>
      </w:r>
      <w:r w:rsidRPr="00806239">
        <w:rPr>
          <w:rStyle w:val="markedcontent"/>
          <w:rFonts w:ascii="Times New Roman" w:hAnsi="Times New Roman"/>
          <w:sz w:val="24"/>
          <w:szCs w:val="24"/>
        </w:rPr>
        <w:t>nactment in 2007, however, section 112.1815 has eased this</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limitation for first responders like Wyatt by allowing for medical</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benefits under section 440.13 to treat a mental or nervous injury</w:t>
      </w:r>
      <w:r>
        <w:rPr>
          <w:rStyle w:val="markedcontent"/>
          <w:rFonts w:ascii="Times New Roman" w:hAnsi="Times New Roman"/>
          <w:sz w:val="24"/>
          <w:szCs w:val="24"/>
        </w:rPr>
        <w:t xml:space="preserve"> </w:t>
      </w:r>
      <w:r w:rsidRPr="00806239">
        <w:rPr>
          <w:rStyle w:val="markedcontent"/>
          <w:rFonts w:ascii="Times New Roman" w:hAnsi="Times New Roman"/>
          <w:sz w:val="24"/>
          <w:szCs w:val="24"/>
        </w:rPr>
        <w:t xml:space="preserve">suffered at work, even if it was </w:t>
      </w:r>
      <w:r>
        <w:rPr>
          <w:rStyle w:val="markedcontent"/>
          <w:rFonts w:ascii="Times New Roman" w:hAnsi="Times New Roman"/>
          <w:sz w:val="24"/>
          <w:szCs w:val="24"/>
        </w:rPr>
        <w:t>‘</w:t>
      </w:r>
      <w:r w:rsidRPr="00806239">
        <w:rPr>
          <w:rStyle w:val="markedcontent"/>
          <w:rFonts w:ascii="Times New Roman" w:hAnsi="Times New Roman"/>
          <w:sz w:val="24"/>
          <w:szCs w:val="24"/>
        </w:rPr>
        <w:t>unaccompanied by a physical</w:t>
      </w:r>
      <w:r w:rsidRPr="00806239">
        <w:br/>
      </w:r>
      <w:r w:rsidRPr="00806239">
        <w:rPr>
          <w:rStyle w:val="markedcontent"/>
          <w:rFonts w:ascii="Times New Roman" w:hAnsi="Times New Roman"/>
          <w:sz w:val="24"/>
          <w:szCs w:val="24"/>
        </w:rPr>
        <w:t>injury.</w:t>
      </w:r>
      <w:r>
        <w:rPr>
          <w:rStyle w:val="markedcontent"/>
          <w:rFonts w:ascii="Times New Roman" w:hAnsi="Times New Roman"/>
          <w:sz w:val="24"/>
          <w:szCs w:val="24"/>
        </w:rPr>
        <w:t>’</w:t>
      </w:r>
      <w:r w:rsidRPr="00806239">
        <w:rPr>
          <w:rStyle w:val="markedcontent"/>
          <w:rFonts w:ascii="Times New Roman" w:hAnsi="Times New Roman"/>
          <w:sz w:val="24"/>
          <w:szCs w:val="24"/>
        </w:rPr>
        <w:t xml:space="preserve"> § 112.1815(2)(a)3., Fla. Stat. (2018)</w:t>
      </w:r>
      <w:r>
        <w:rPr>
          <w:rStyle w:val="markedcontent"/>
          <w:rFonts w:ascii="Times New Roman" w:hAnsi="Times New Roman"/>
          <w:sz w:val="24"/>
          <w:szCs w:val="24"/>
        </w:rPr>
        <w:t>.</w:t>
      </w:r>
    </w:p>
    <w:p w14:paraId="2BC962BD" w14:textId="77777777" w:rsidR="00F31C1B" w:rsidRDefault="00F31C1B" w:rsidP="00F31C1B">
      <w:pPr>
        <w:pStyle w:val="NoSpacing"/>
        <w:ind w:left="720"/>
        <w:rPr>
          <w:rStyle w:val="markedcontent"/>
          <w:rFonts w:ascii="Times New Roman" w:hAnsi="Times New Roman"/>
          <w:sz w:val="24"/>
          <w:szCs w:val="24"/>
        </w:rPr>
      </w:pPr>
    </w:p>
    <w:p w14:paraId="67DDADB2" w14:textId="77777777" w:rsidR="00F31C1B" w:rsidRDefault="00F31C1B" w:rsidP="00F31C1B">
      <w:pPr>
        <w:pStyle w:val="NoSpacing"/>
        <w:ind w:left="720"/>
        <w:rPr>
          <w:rStyle w:val="markedcontent"/>
          <w:rFonts w:ascii="Times New Roman" w:hAnsi="Times New Roman"/>
          <w:sz w:val="24"/>
          <w:szCs w:val="24"/>
        </w:rPr>
      </w:pPr>
      <w:r>
        <w:rPr>
          <w:rStyle w:val="markedcontent"/>
          <w:rFonts w:ascii="Times New Roman" w:hAnsi="Times New Roman"/>
          <w:sz w:val="24"/>
          <w:szCs w:val="24"/>
        </w:rPr>
        <w:t>***</w:t>
      </w:r>
    </w:p>
    <w:p w14:paraId="3E5D78FB" w14:textId="77777777" w:rsidR="00F31C1B" w:rsidRPr="004879C2" w:rsidRDefault="00F31C1B" w:rsidP="00F31C1B">
      <w:pPr>
        <w:pStyle w:val="NoSpacing"/>
        <w:ind w:left="720"/>
        <w:rPr>
          <w:rFonts w:ascii="Times New Roman" w:eastAsia="Times New Roman" w:hAnsi="Times New Roman"/>
          <w:b/>
          <w:bCs/>
          <w:kern w:val="36"/>
          <w:sz w:val="24"/>
          <w:szCs w:val="24"/>
        </w:rPr>
      </w:pPr>
      <w:r>
        <w:rPr>
          <w:rFonts w:ascii="Times New Roman" w:hAnsi="Times New Roman"/>
          <w:sz w:val="24"/>
          <w:szCs w:val="24"/>
        </w:rPr>
        <w:t xml:space="preserve">In </w:t>
      </w:r>
      <w:r w:rsidRPr="004879C2">
        <w:rPr>
          <w:rFonts w:ascii="Times New Roman" w:hAnsi="Times New Roman"/>
          <w:sz w:val="24"/>
          <w:szCs w:val="24"/>
        </w:rPr>
        <w:t xml:space="preserve">2018, the Legislature added </w:t>
      </w:r>
      <w:proofErr w:type="gramStart"/>
      <w:r w:rsidRPr="004879C2">
        <w:rPr>
          <w:rFonts w:ascii="Times New Roman" w:hAnsi="Times New Roman"/>
          <w:sz w:val="24"/>
          <w:szCs w:val="24"/>
        </w:rPr>
        <w:t>a subsection</w:t>
      </w:r>
      <w:proofErr w:type="gramEnd"/>
      <w:r w:rsidRPr="004879C2">
        <w:rPr>
          <w:rFonts w:ascii="Times New Roman" w:hAnsi="Times New Roman"/>
          <w:sz w:val="24"/>
          <w:szCs w:val="24"/>
        </w:rPr>
        <w:t xml:space="preserve"> five to section 112.1815. </w:t>
      </w:r>
      <w:r w:rsidRPr="004879C2">
        <w:rPr>
          <w:rStyle w:val="Emphasis"/>
          <w:rFonts w:ascii="Times New Roman" w:hAnsi="Times New Roman"/>
          <w:sz w:val="24"/>
          <w:szCs w:val="24"/>
        </w:rPr>
        <w:t>See</w:t>
      </w:r>
      <w:r w:rsidRPr="004879C2">
        <w:rPr>
          <w:rFonts w:ascii="Times New Roman" w:hAnsi="Times New Roman"/>
          <w:sz w:val="24"/>
          <w:szCs w:val="24"/>
        </w:rPr>
        <w:t xml:space="preserve"> </w:t>
      </w:r>
      <w:proofErr w:type="spellStart"/>
      <w:r w:rsidRPr="004879C2">
        <w:rPr>
          <w:rFonts w:ascii="Times New Roman" w:hAnsi="Times New Roman"/>
          <w:sz w:val="24"/>
          <w:szCs w:val="24"/>
        </w:rPr>
        <w:t>ch.</w:t>
      </w:r>
      <w:proofErr w:type="spellEnd"/>
      <w:r w:rsidRPr="004879C2">
        <w:rPr>
          <w:rFonts w:ascii="Times New Roman" w:hAnsi="Times New Roman"/>
          <w:sz w:val="24"/>
          <w:szCs w:val="24"/>
        </w:rPr>
        <w:t xml:space="preserve"> 2018-124, § 1, at 1655-57, Laws of Fla. The law took effect October 1, 2018, which was after Wyatt's exposure to the various traumas that we identified above, but before Wyatt suffered lost wages </w:t>
      </w:r>
      <w:proofErr w:type="gramStart"/>
      <w:r w:rsidRPr="004879C2">
        <w:rPr>
          <w:rFonts w:ascii="Times New Roman" w:hAnsi="Times New Roman"/>
          <w:sz w:val="24"/>
          <w:szCs w:val="24"/>
        </w:rPr>
        <w:t>as a result of</w:t>
      </w:r>
      <w:proofErr w:type="gramEnd"/>
      <w:r w:rsidRPr="004879C2">
        <w:rPr>
          <w:rFonts w:ascii="Times New Roman" w:hAnsi="Times New Roman"/>
          <w:sz w:val="24"/>
          <w:szCs w:val="24"/>
        </w:rPr>
        <w:t xml:space="preserve"> going out of work for her PTSD. </w:t>
      </w:r>
      <w:r w:rsidRPr="004879C2">
        <w:rPr>
          <w:rStyle w:val="Emphasis"/>
          <w:rFonts w:ascii="Times New Roman" w:hAnsi="Times New Roman"/>
          <w:sz w:val="24"/>
          <w:szCs w:val="24"/>
        </w:rPr>
        <w:t>See id.</w:t>
      </w:r>
      <w:r w:rsidRPr="004879C2">
        <w:rPr>
          <w:rFonts w:ascii="Times New Roman" w:hAnsi="Times New Roman"/>
          <w:sz w:val="24"/>
          <w:szCs w:val="24"/>
        </w:rPr>
        <w:t xml:space="preserve"> § 3, at 1657. The new provision expands compensability for first responders who suffer specifically from PTSD, a particular type of mental injury that ordinarily would have to be addressed under subparagraph (2)(a)3., which we just discussed. Subsection five now directs that PTSD suffered by a first responder be considered a </w:t>
      </w:r>
      <w:r>
        <w:rPr>
          <w:rFonts w:ascii="Times New Roman" w:hAnsi="Times New Roman"/>
          <w:sz w:val="24"/>
          <w:szCs w:val="24"/>
        </w:rPr>
        <w:t>‘</w:t>
      </w:r>
      <w:r w:rsidRPr="004879C2">
        <w:rPr>
          <w:rFonts w:ascii="Times New Roman" w:hAnsi="Times New Roman"/>
          <w:sz w:val="24"/>
          <w:szCs w:val="24"/>
        </w:rPr>
        <w:t>compensable occupational disease</w:t>
      </w:r>
      <w:r>
        <w:rPr>
          <w:rFonts w:ascii="Times New Roman" w:hAnsi="Times New Roman"/>
          <w:sz w:val="24"/>
          <w:szCs w:val="24"/>
        </w:rPr>
        <w:t>’</w:t>
      </w:r>
      <w:r w:rsidRPr="004879C2">
        <w:rPr>
          <w:rFonts w:ascii="Times New Roman" w:hAnsi="Times New Roman"/>
          <w:sz w:val="24"/>
          <w:szCs w:val="24"/>
        </w:rPr>
        <w:t xml:space="preserve"> as provided in section 440.151. § 112.1815(5)(a), (c)1, Fla. Stat. (2018); </w:t>
      </w:r>
      <w:r w:rsidRPr="004879C2">
        <w:rPr>
          <w:rStyle w:val="Emphasis"/>
          <w:rFonts w:ascii="Times New Roman" w:hAnsi="Times New Roman"/>
          <w:sz w:val="24"/>
          <w:szCs w:val="24"/>
        </w:rPr>
        <w:t>see Wilkes</w:t>
      </w:r>
      <w:r w:rsidRPr="004879C2">
        <w:rPr>
          <w:rFonts w:ascii="Times New Roman" w:hAnsi="Times New Roman"/>
          <w:sz w:val="24"/>
          <w:szCs w:val="24"/>
        </w:rPr>
        <w:t xml:space="preserve">, 309 So.3d at 688. Under section 440.151, then, a first responder who cannot work because of PTSD is entitled to not just medical benefits but also indemnity for lost wages stemming from the disability-even without any accompanying physical injury. </w:t>
      </w:r>
      <w:r w:rsidRPr="004879C2">
        <w:rPr>
          <w:rStyle w:val="Emphasis"/>
          <w:rFonts w:ascii="Times New Roman" w:hAnsi="Times New Roman"/>
          <w:sz w:val="24"/>
          <w:szCs w:val="24"/>
        </w:rPr>
        <w:t>Cf.</w:t>
      </w:r>
      <w:r w:rsidRPr="004879C2">
        <w:rPr>
          <w:rFonts w:ascii="Times New Roman" w:hAnsi="Times New Roman"/>
          <w:sz w:val="24"/>
          <w:szCs w:val="24"/>
        </w:rPr>
        <w:t xml:space="preserve"> § 440.151(1), Fla. Stat. (providing that an employee </w:t>
      </w:r>
      <w:r>
        <w:rPr>
          <w:rFonts w:ascii="Times New Roman" w:hAnsi="Times New Roman"/>
          <w:sz w:val="24"/>
          <w:szCs w:val="24"/>
        </w:rPr>
        <w:t>‘</w:t>
      </w:r>
      <w:r w:rsidRPr="004879C2">
        <w:rPr>
          <w:rFonts w:ascii="Times New Roman" w:hAnsi="Times New Roman"/>
          <w:sz w:val="24"/>
          <w:szCs w:val="24"/>
        </w:rPr>
        <w:t>shall be entitled to compensation as provided by this chapter</w:t>
      </w:r>
      <w:r>
        <w:rPr>
          <w:rFonts w:ascii="Times New Roman" w:hAnsi="Times New Roman"/>
          <w:sz w:val="24"/>
          <w:szCs w:val="24"/>
        </w:rPr>
        <w:t>’</w:t>
      </w:r>
      <w:r w:rsidRPr="004879C2">
        <w:rPr>
          <w:rFonts w:ascii="Times New Roman" w:hAnsi="Times New Roman"/>
          <w:sz w:val="24"/>
          <w:szCs w:val="24"/>
        </w:rPr>
        <w:t xml:space="preserve"> if the employee becomes disabled </w:t>
      </w:r>
      <w:proofErr w:type="gramStart"/>
      <w:r w:rsidRPr="004879C2">
        <w:rPr>
          <w:rFonts w:ascii="Times New Roman" w:hAnsi="Times New Roman"/>
          <w:sz w:val="24"/>
          <w:szCs w:val="24"/>
        </w:rPr>
        <w:t>as a result of</w:t>
      </w:r>
      <w:proofErr w:type="gramEnd"/>
      <w:r w:rsidRPr="004879C2">
        <w:rPr>
          <w:rFonts w:ascii="Times New Roman" w:hAnsi="Times New Roman"/>
          <w:sz w:val="24"/>
          <w:szCs w:val="24"/>
        </w:rPr>
        <w:t xml:space="preserve"> </w:t>
      </w:r>
      <w:r>
        <w:rPr>
          <w:rFonts w:ascii="Times New Roman" w:hAnsi="Times New Roman"/>
          <w:sz w:val="24"/>
          <w:szCs w:val="24"/>
        </w:rPr>
        <w:t>‘</w:t>
      </w:r>
      <w:r w:rsidRPr="004879C2">
        <w:rPr>
          <w:rFonts w:ascii="Times New Roman" w:hAnsi="Times New Roman"/>
          <w:sz w:val="24"/>
          <w:szCs w:val="24"/>
        </w:rPr>
        <w:t>an occupational disease</w:t>
      </w:r>
      <w:r>
        <w:rPr>
          <w:rFonts w:ascii="Times New Roman" w:hAnsi="Times New Roman"/>
          <w:sz w:val="24"/>
          <w:szCs w:val="24"/>
        </w:rPr>
        <w:t>’</w:t>
      </w:r>
      <w:r w:rsidRPr="004879C2">
        <w:rPr>
          <w:rFonts w:ascii="Times New Roman" w:hAnsi="Times New Roman"/>
          <w:sz w:val="24"/>
          <w:szCs w:val="24"/>
        </w:rPr>
        <w:t>).</w:t>
      </w:r>
      <w:r>
        <w:rPr>
          <w:rFonts w:ascii="Times New Roman" w:hAnsi="Times New Roman"/>
          <w:sz w:val="24"/>
          <w:szCs w:val="24"/>
        </w:rPr>
        <w:t xml:space="preserve"> </w:t>
      </w:r>
      <w:hyperlink r:id="rId2438" w:history="1">
        <w:r w:rsidRPr="00E8516D">
          <w:rPr>
            <w:rStyle w:val="Hyperlink"/>
            <w:rFonts w:ascii="Times New Roman" w:hAnsi="Times New Roman"/>
            <w:sz w:val="24"/>
            <w:szCs w:val="24"/>
          </w:rPr>
          <w:t>https://law.justia.com/cases/florida/first-district-court-of-appeal/2022/19-4601.html</w:t>
        </w:r>
      </w:hyperlink>
      <w:r>
        <w:rPr>
          <w:rFonts w:ascii="Times New Roman" w:hAnsi="Times New Roman"/>
          <w:sz w:val="24"/>
          <w:szCs w:val="24"/>
        </w:rPr>
        <w:t xml:space="preserve"> </w:t>
      </w:r>
    </w:p>
    <w:p w14:paraId="6ACA9F0A" w14:textId="0B489CE4" w:rsidR="00F31C1B" w:rsidRDefault="00F31C1B" w:rsidP="000C4DF5">
      <w:pPr>
        <w:pStyle w:val="NoSpacing"/>
        <w:rPr>
          <w:rFonts w:ascii="Arial Black" w:hAnsi="Arial Black"/>
          <w:sz w:val="24"/>
          <w:szCs w:val="24"/>
        </w:rPr>
      </w:pPr>
    </w:p>
    <w:p w14:paraId="4AD468EC" w14:textId="77777777" w:rsidR="00F31C1B" w:rsidRPr="0084660B" w:rsidRDefault="00F31C1B" w:rsidP="00F31C1B">
      <w:pPr>
        <w:pStyle w:val="NormalWeb"/>
        <w:rPr>
          <w:b/>
          <w:bCs/>
        </w:rPr>
      </w:pPr>
      <w:r w:rsidRPr="0084660B">
        <w:rPr>
          <w:b/>
          <w:bCs/>
        </w:rPr>
        <w:t>Legal Lesson Learned:</w:t>
      </w:r>
      <w:r>
        <w:rPr>
          <w:b/>
          <w:bCs/>
        </w:rPr>
        <w:t xml:space="preserve"> The new PTSD statute covers </w:t>
      </w:r>
      <w:proofErr w:type="gramStart"/>
      <w:r>
        <w:rPr>
          <w:b/>
          <w:bCs/>
        </w:rPr>
        <w:t>loses</w:t>
      </w:r>
      <w:proofErr w:type="gramEnd"/>
      <w:r>
        <w:rPr>
          <w:b/>
          <w:bCs/>
        </w:rPr>
        <w:t xml:space="preserve"> of income incurred after its effective date. </w:t>
      </w:r>
    </w:p>
    <w:p w14:paraId="7BB78774" w14:textId="77777777" w:rsidR="00F31C1B" w:rsidRDefault="00F31C1B" w:rsidP="000C4DF5">
      <w:pPr>
        <w:pStyle w:val="NoSpacing"/>
        <w:rPr>
          <w:rFonts w:ascii="Arial Black" w:hAnsi="Arial Black"/>
          <w:sz w:val="24"/>
          <w:szCs w:val="24"/>
        </w:rPr>
      </w:pPr>
    </w:p>
    <w:p w14:paraId="1E206E4D" w14:textId="77777777" w:rsidR="00F31C1B" w:rsidRDefault="00F31C1B" w:rsidP="000C4DF5">
      <w:pPr>
        <w:pStyle w:val="NoSpacing"/>
        <w:rPr>
          <w:rFonts w:ascii="Arial Black" w:hAnsi="Arial Black"/>
          <w:sz w:val="24"/>
          <w:szCs w:val="24"/>
        </w:rPr>
      </w:pPr>
    </w:p>
    <w:p w14:paraId="1984BEA9" w14:textId="3CDA4F49" w:rsidR="00936792" w:rsidRDefault="00936792" w:rsidP="000C4DF5">
      <w:pPr>
        <w:pStyle w:val="NoSpacing"/>
        <w:rPr>
          <w:rFonts w:ascii="Arial Black" w:hAnsi="Arial Black"/>
          <w:sz w:val="24"/>
          <w:szCs w:val="24"/>
        </w:rPr>
      </w:pPr>
      <w:r>
        <w:rPr>
          <w:rFonts w:ascii="Arial Black" w:hAnsi="Arial Black"/>
          <w:sz w:val="24"/>
          <w:szCs w:val="24"/>
        </w:rPr>
        <w:t>15-19</w:t>
      </w:r>
    </w:p>
    <w:p w14:paraId="032E18E6" w14:textId="77777777" w:rsidR="00FC62FF" w:rsidRDefault="00FC62FF" w:rsidP="00FC62FF">
      <w:pPr>
        <w:spacing w:before="100" w:beforeAutospacing="1" w:after="100" w:afterAutospacing="1" w:line="240" w:lineRule="auto"/>
        <w:rPr>
          <w:rFonts w:ascii="Arial Black" w:hAnsi="Arial Black"/>
          <w:sz w:val="28"/>
          <w:szCs w:val="28"/>
        </w:rPr>
      </w:pPr>
      <w:bookmarkStart w:id="571" w:name="_Hlk107816326"/>
      <w:r>
        <w:rPr>
          <w:rFonts w:ascii="Arial Black" w:hAnsi="Arial Black"/>
          <w:sz w:val="28"/>
          <w:szCs w:val="28"/>
        </w:rPr>
        <w:t>IL: PTSD - CAPTAIN RESPONDED TO DOG ATTACK ON CHILD -  LINE OF DUTY PENSION, AND WORKERS COMP PPD</w:t>
      </w:r>
    </w:p>
    <w:p w14:paraId="6E7D542F" w14:textId="16AFBA2F" w:rsidR="00501BDD" w:rsidRDefault="00FC62FF" w:rsidP="00FC62FF">
      <w:pPr>
        <w:pStyle w:val="NoSpacing"/>
        <w:rPr>
          <w:rStyle w:val="Hyperlink"/>
          <w:sz w:val="24"/>
          <w:szCs w:val="24"/>
        </w:rPr>
      </w:pPr>
      <w:r>
        <w:rPr>
          <w:rFonts w:ascii="Times New Roman" w:hAnsi="Times New Roman"/>
          <w:sz w:val="24"/>
          <w:szCs w:val="24"/>
        </w:rPr>
        <w:t xml:space="preserve">On June 27, 2022, in </w:t>
      </w:r>
      <w:r>
        <w:rPr>
          <w:rFonts w:ascii="Times New Roman" w:hAnsi="Times New Roman"/>
          <w:sz w:val="24"/>
          <w:szCs w:val="24"/>
          <w:u w:val="single"/>
        </w:rPr>
        <w:t>City of Springfield v. The Illinois Workers’ Compensation Commission (Robert Talbott)</w:t>
      </w:r>
      <w:r>
        <w:rPr>
          <w:rFonts w:ascii="Times New Roman" w:hAnsi="Times New Roman"/>
          <w:sz w:val="24"/>
          <w:szCs w:val="24"/>
        </w:rPr>
        <w:t xml:space="preserve">, the Court of Appeals of Illinois, Fourth District (Workers’ Compensation Commission Division), held (5 to 0), </w:t>
      </w:r>
      <w:r>
        <w:rPr>
          <w:rFonts w:ascii="Times New Roman" w:eastAsia="Times New Roman" w:hAnsi="Times New Roman"/>
          <w:sz w:val="24"/>
          <w:szCs w:val="24"/>
        </w:rPr>
        <w:t xml:space="preserve">2022 IL App (4th) 210338WC-U, that the Commission properly held that Captain Robert Talbott, who </w:t>
      </w:r>
      <w:r w:rsidRPr="00F95159">
        <w:rPr>
          <w:rFonts w:ascii="Times New Roman" w:hAnsi="Times New Roman"/>
          <w:sz w:val="24"/>
          <w:szCs w:val="24"/>
        </w:rPr>
        <w:t>was awarded a line-of-duty disability pension on June 30, 2017</w:t>
      </w:r>
      <w:r>
        <w:rPr>
          <w:rFonts w:ascii="Times New Roman" w:hAnsi="Times New Roman"/>
          <w:sz w:val="24"/>
          <w:szCs w:val="24"/>
        </w:rPr>
        <w:t xml:space="preserve">, was also eligible to receive workers comp PPD [permanent partial disability] award </w:t>
      </w:r>
      <w:r w:rsidRPr="0058484A">
        <w:rPr>
          <w:rFonts w:ascii="Times New Roman" w:hAnsi="Times New Roman"/>
          <w:sz w:val="24"/>
          <w:szCs w:val="24"/>
        </w:rPr>
        <w:t>$721.66 per week for 250 weeks</w:t>
      </w:r>
      <w:r>
        <w:rPr>
          <w:rFonts w:ascii="Times New Roman" w:hAnsi="Times New Roman"/>
          <w:sz w:val="24"/>
          <w:szCs w:val="24"/>
        </w:rPr>
        <w:t xml:space="preserve">; case remanded to Commission to re-calculate award. The </w:t>
      </w:r>
      <w:r w:rsidRPr="00FC1C3B">
        <w:rPr>
          <w:rFonts w:ascii="Times New Roman" w:hAnsi="Times New Roman"/>
          <w:sz w:val="24"/>
          <w:szCs w:val="24"/>
        </w:rPr>
        <w:t>claimant developed PTSD following the dog-attack incident and it was causing emotional symptoms that were preventing him from returning to work.</w:t>
      </w:r>
      <w:r>
        <w:rPr>
          <w:rFonts w:ascii="Times New Roman" w:hAnsi="Times New Roman"/>
          <w:sz w:val="24"/>
          <w:szCs w:val="24"/>
        </w:rPr>
        <w:t xml:space="preserve"> Captain Robert Talbott on April 11, </w:t>
      </w:r>
      <w:proofErr w:type="gramStart"/>
      <w:r>
        <w:rPr>
          <w:rFonts w:ascii="Times New Roman" w:hAnsi="Times New Roman"/>
          <w:sz w:val="24"/>
          <w:szCs w:val="24"/>
        </w:rPr>
        <w:t>2015</w:t>
      </w:r>
      <w:proofErr w:type="gramEnd"/>
      <w:r>
        <w:rPr>
          <w:rFonts w:ascii="Times New Roman" w:hAnsi="Times New Roman"/>
          <w:sz w:val="24"/>
          <w:szCs w:val="24"/>
        </w:rPr>
        <w:t xml:space="preserve"> responded to a terrible dog bite scene, that contributed with subsequent diagnosis of PTSD.   Claimant was awarded a line-of-duty disability pension on June 30, 2017. The </w:t>
      </w:r>
      <w:proofErr w:type="gramStart"/>
      <w:r>
        <w:rPr>
          <w:rFonts w:ascii="Times New Roman" w:hAnsi="Times New Roman"/>
          <w:sz w:val="24"/>
          <w:szCs w:val="24"/>
        </w:rPr>
        <w:t>City</w:t>
      </w:r>
      <w:proofErr w:type="gramEnd"/>
      <w:r>
        <w:rPr>
          <w:rFonts w:ascii="Times New Roman" w:hAnsi="Times New Roman"/>
          <w:sz w:val="24"/>
          <w:szCs w:val="24"/>
        </w:rPr>
        <w:t xml:space="preserve"> challenged an award of “permanent partial disability” arguing he could work in other professions, such as his 14 years parttime work at a funeral home. </w:t>
      </w:r>
      <w:hyperlink r:id="rId2439" w:history="1">
        <w:r>
          <w:rPr>
            <w:rStyle w:val="Hyperlink"/>
            <w:sz w:val="24"/>
            <w:szCs w:val="24"/>
          </w:rPr>
          <w:t>https://public.fastcase.com/J%2FJP6pdidelsXxEE4k%2BLMmppr1xeX1%2Bm2bW38%2FPoc%2BjXR15UXAVR8dC2RoWWa4H5Xq9pVObZCpSmCaBhyWr74I1EN1To2hIbHKD6%2F8UayPI%3D</w:t>
        </w:r>
      </w:hyperlink>
      <w:bookmarkEnd w:id="571"/>
    </w:p>
    <w:p w14:paraId="6E865B0A" w14:textId="335F70CA" w:rsidR="00FC62FF" w:rsidRDefault="00FC62FF" w:rsidP="00FC62FF">
      <w:pPr>
        <w:pStyle w:val="NoSpacing"/>
        <w:rPr>
          <w:rStyle w:val="Hyperlink"/>
          <w:sz w:val="24"/>
          <w:szCs w:val="24"/>
        </w:rPr>
      </w:pPr>
    </w:p>
    <w:p w14:paraId="62551E09" w14:textId="77777777" w:rsidR="00FC62FF" w:rsidRDefault="00FC62FF" w:rsidP="00FC62FF">
      <w:pPr>
        <w:spacing w:before="100" w:beforeAutospacing="1" w:after="100" w:afterAutospacing="1" w:line="240" w:lineRule="auto"/>
        <w:rPr>
          <w:rFonts w:ascii="Times New Roman" w:eastAsia="Times New Roman" w:hAnsi="Times New Roman"/>
          <w:b/>
          <w:bCs/>
          <w:sz w:val="24"/>
          <w:szCs w:val="24"/>
        </w:rPr>
      </w:pPr>
      <w:bookmarkStart w:id="572" w:name="_Hlk107816439"/>
      <w:r>
        <w:rPr>
          <w:rFonts w:ascii="Times New Roman" w:eastAsia="Times New Roman" w:hAnsi="Times New Roman"/>
          <w:b/>
          <w:bCs/>
          <w:sz w:val="24"/>
          <w:szCs w:val="24"/>
        </w:rPr>
        <w:t xml:space="preserve">Legal Lesson Learned: PTSD can lead to a line-of-duty disability retirement and a  permanent partial disability award.   </w:t>
      </w:r>
    </w:p>
    <w:bookmarkEnd w:id="572"/>
    <w:p w14:paraId="73076866" w14:textId="7E3D0A96" w:rsidR="00FC62FF" w:rsidRDefault="00FC62FF" w:rsidP="00FC62FF">
      <w:pPr>
        <w:pStyle w:val="NoSpacing"/>
        <w:rPr>
          <w:rStyle w:val="Hyperlink"/>
          <w:sz w:val="24"/>
          <w:szCs w:val="24"/>
        </w:rPr>
      </w:pPr>
    </w:p>
    <w:p w14:paraId="06CC0E50" w14:textId="5D4DC33D" w:rsidR="00FC62FF" w:rsidRDefault="00FC62FF" w:rsidP="00FC62FF">
      <w:pPr>
        <w:pStyle w:val="NoSpacing"/>
        <w:rPr>
          <w:rStyle w:val="Hyperlink"/>
          <w:sz w:val="24"/>
          <w:szCs w:val="24"/>
        </w:rPr>
      </w:pPr>
    </w:p>
    <w:p w14:paraId="0B47F380" w14:textId="77777777" w:rsidR="00FC62FF" w:rsidRDefault="00FC62FF" w:rsidP="00FC62FF">
      <w:pPr>
        <w:pStyle w:val="NoSpacing"/>
        <w:rPr>
          <w:rFonts w:ascii="Arial Black" w:hAnsi="Arial Black"/>
          <w:sz w:val="24"/>
          <w:szCs w:val="24"/>
        </w:rPr>
      </w:pPr>
    </w:p>
    <w:p w14:paraId="6C8648F6" w14:textId="77777777" w:rsidR="00936792" w:rsidRDefault="00936792" w:rsidP="000C4DF5">
      <w:pPr>
        <w:pStyle w:val="NoSpacing"/>
        <w:rPr>
          <w:rFonts w:ascii="Arial Black" w:hAnsi="Arial Black"/>
          <w:sz w:val="24"/>
          <w:szCs w:val="24"/>
        </w:rPr>
      </w:pPr>
    </w:p>
    <w:p w14:paraId="28423E59" w14:textId="14932886" w:rsidR="009453FA" w:rsidRDefault="009453FA" w:rsidP="000C4DF5">
      <w:pPr>
        <w:pStyle w:val="NoSpacing"/>
        <w:rPr>
          <w:rFonts w:ascii="Arial Black" w:hAnsi="Arial Black"/>
          <w:sz w:val="24"/>
          <w:szCs w:val="24"/>
        </w:rPr>
      </w:pPr>
      <w:r>
        <w:rPr>
          <w:rFonts w:ascii="Arial Black" w:hAnsi="Arial Black"/>
          <w:sz w:val="24"/>
          <w:szCs w:val="24"/>
        </w:rPr>
        <w:t>15-18</w:t>
      </w:r>
    </w:p>
    <w:p w14:paraId="6E82213A" w14:textId="77777777" w:rsidR="009453FA" w:rsidRDefault="009453FA" w:rsidP="009453FA">
      <w:pPr>
        <w:spacing w:before="100" w:beforeAutospacing="1" w:after="100" w:afterAutospacing="1" w:line="240" w:lineRule="auto"/>
        <w:rPr>
          <w:rFonts w:ascii="Arial Black" w:hAnsi="Arial Black"/>
          <w:sz w:val="28"/>
          <w:szCs w:val="28"/>
        </w:rPr>
      </w:pPr>
      <w:bookmarkStart w:id="573" w:name="_Hlk99871263"/>
      <w:r>
        <w:rPr>
          <w:rFonts w:ascii="Arial Black" w:hAnsi="Arial Black"/>
          <w:sz w:val="28"/>
          <w:szCs w:val="28"/>
        </w:rPr>
        <w:t xml:space="preserve">NJ: PTSD - OFFICER CALLED TO FF’S SUICIDE WITH SHOTGUN – NOT CLOSE FRIENDS - NO ACCIDENTAL DISAB. </w:t>
      </w:r>
    </w:p>
    <w:p w14:paraId="1141A8BB" w14:textId="77777777" w:rsidR="009453FA" w:rsidRDefault="009453FA" w:rsidP="009453F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March 30, 2022, in </w:t>
      </w:r>
      <w:r w:rsidRPr="00483D1D">
        <w:rPr>
          <w:rFonts w:ascii="Times New Roman" w:hAnsi="Times New Roman"/>
          <w:sz w:val="24"/>
          <w:szCs w:val="24"/>
          <w:u w:val="single"/>
        </w:rPr>
        <w:t>Barry Mesmer v. Board of Trustee, Police And Firemen’s Retirement System</w:t>
      </w:r>
      <w:r>
        <w:rPr>
          <w:rFonts w:ascii="Times New Roman" w:hAnsi="Times New Roman"/>
          <w:sz w:val="24"/>
          <w:szCs w:val="24"/>
        </w:rPr>
        <w:t xml:space="preserve">, the Superior Court of New Jersey, Appellate Division, held (3 to 0), unpublished decision, the Board properly denied the application for accidental disability retirement; the deceased firefighter was someone he casually knew, but not close friends; under New Jersey case law the traumatic event must be “undesigned and unexpected” in job duties of a police officer.  </w:t>
      </w:r>
      <w:hyperlink r:id="rId2440" w:history="1">
        <w:r w:rsidRPr="002477AB">
          <w:rPr>
            <w:rStyle w:val="Hyperlink"/>
            <w:rFonts w:ascii="Times New Roman" w:eastAsia="Times New Roman" w:hAnsi="Times New Roman"/>
            <w:sz w:val="24"/>
            <w:szCs w:val="24"/>
          </w:rPr>
          <w:t>https://www.njcourts.gov/attorneys/assets/opinions/appellate/unpublished/a3633-19.pdf</w:t>
        </w:r>
      </w:hyperlink>
    </w:p>
    <w:bookmarkEnd w:id="573"/>
    <w:p w14:paraId="1EF2CEC0" w14:textId="77777777" w:rsidR="009453FA" w:rsidRDefault="009453FA" w:rsidP="009453FA">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w:t>
      </w:r>
      <w:r w:rsidRPr="00A63115">
        <w:rPr>
          <w:rFonts w:ascii="Times New Roman" w:eastAsia="Times New Roman" w:hAnsi="Times New Roman"/>
          <w:sz w:val="24"/>
          <w:szCs w:val="24"/>
        </w:rPr>
        <w:t xml:space="preserve">Mesmer received training, both at the police academy and through the course of his career in law enforcement, in responding to situations involving graphic and gruesome deaths. Mesmer was not a rookie officer and, during his career in law enforcement, he responded to at least ten calls involving gruesome and disfigured dead bodies or serious injuries. Mesmer conceded he did not experience any disabling mental injury after responding to those deaths and he returned to work without incident after each of those events. </w:t>
      </w:r>
    </w:p>
    <w:p w14:paraId="63F253CB" w14:textId="77777777" w:rsidR="009453FA" w:rsidRPr="00A63115" w:rsidRDefault="009453FA" w:rsidP="009453FA">
      <w:pPr>
        <w:spacing w:before="100" w:beforeAutospacing="1" w:after="100" w:afterAutospacing="1" w:line="240" w:lineRule="auto"/>
        <w:ind w:left="720"/>
        <w:rPr>
          <w:rFonts w:ascii="Times New Roman" w:hAnsi="Times New Roman"/>
          <w:sz w:val="24"/>
          <w:szCs w:val="24"/>
        </w:rPr>
      </w:pPr>
      <w:r w:rsidRPr="00A63115">
        <w:rPr>
          <w:rFonts w:ascii="Times New Roman" w:hAnsi="Times New Roman"/>
          <w:sz w:val="24"/>
          <w:szCs w:val="24"/>
        </w:rPr>
        <w:t xml:space="preserve">Additionally, while Mesmer knew M.H., the two men were not even casual friends. Mesmer provided no evidence of any close, personal relationship with the deceased that might have satisfied the undesigned and unexpected requirement under </w:t>
      </w:r>
      <w:r w:rsidRPr="00A63115">
        <w:rPr>
          <w:rStyle w:val="Emphasis"/>
          <w:rFonts w:ascii="Times New Roman" w:hAnsi="Times New Roman"/>
          <w:sz w:val="24"/>
          <w:szCs w:val="24"/>
        </w:rPr>
        <w:t>Richardson</w:t>
      </w:r>
      <w:r w:rsidRPr="00A63115">
        <w:rPr>
          <w:rFonts w:ascii="Times New Roman" w:hAnsi="Times New Roman"/>
          <w:sz w:val="24"/>
          <w:szCs w:val="24"/>
        </w:rPr>
        <w:t xml:space="preserve">. </w:t>
      </w:r>
    </w:p>
    <w:p w14:paraId="62858DDA" w14:textId="77777777" w:rsidR="009453FA" w:rsidRPr="00A63115" w:rsidRDefault="009453FA" w:rsidP="009453FA">
      <w:pPr>
        <w:spacing w:before="100" w:beforeAutospacing="1" w:after="100" w:afterAutospacing="1" w:line="240" w:lineRule="auto"/>
        <w:ind w:left="720"/>
        <w:rPr>
          <w:rFonts w:ascii="Times New Roman" w:eastAsia="Times New Roman" w:hAnsi="Times New Roman"/>
          <w:sz w:val="24"/>
          <w:szCs w:val="24"/>
        </w:rPr>
      </w:pPr>
      <w:r w:rsidRPr="00A63115">
        <w:rPr>
          <w:rFonts w:ascii="Times New Roman" w:eastAsia="Times New Roman" w:hAnsi="Times New Roman"/>
          <w:sz w:val="24"/>
          <w:szCs w:val="24"/>
        </w:rPr>
        <w:t xml:space="preserve">Mesmer knew he was responding to a suicide at an address where he knew the homeowner. On this record, nothing about the events of February 14, 2016, fell outside the scope of Mesmer's general duties as a police officer. Given the totality of the circumstances, it was not unreasonable for Mesmer to anticipate the aftermath of M.H.'s suicide. </w:t>
      </w:r>
    </w:p>
    <w:p w14:paraId="389FCEBE" w14:textId="77777777" w:rsidR="009453FA" w:rsidRDefault="009453FA" w:rsidP="009453FA">
      <w:pPr>
        <w:spacing w:before="100" w:beforeAutospacing="1" w:after="100" w:afterAutospacing="1" w:line="240" w:lineRule="auto"/>
        <w:ind w:left="720"/>
        <w:rPr>
          <w:rFonts w:ascii="Times New Roman" w:eastAsia="Times New Roman" w:hAnsi="Times New Roman"/>
          <w:sz w:val="24"/>
          <w:szCs w:val="24"/>
        </w:rPr>
      </w:pPr>
      <w:r w:rsidRPr="00A63115">
        <w:rPr>
          <w:rFonts w:ascii="Times New Roman" w:eastAsia="Times New Roman" w:hAnsi="Times New Roman"/>
          <w:sz w:val="24"/>
          <w:szCs w:val="24"/>
        </w:rPr>
        <w:t>On this record, we are satisfied there is ample credible evidence supporting the denial of Mesmer's application for ADR benefits and the Board's decision was not arbitrary, capricious, or unreasonable.</w:t>
      </w:r>
      <w:r>
        <w:rPr>
          <w:rFonts w:ascii="Times New Roman" w:eastAsia="Times New Roman" w:hAnsi="Times New Roman"/>
          <w:sz w:val="24"/>
          <w:szCs w:val="24"/>
        </w:rPr>
        <w:t xml:space="preserve">” </w:t>
      </w:r>
      <w:hyperlink r:id="rId2441" w:history="1">
        <w:r w:rsidRPr="002477AB">
          <w:rPr>
            <w:rStyle w:val="Hyperlink"/>
            <w:rFonts w:ascii="Times New Roman" w:eastAsia="Times New Roman" w:hAnsi="Times New Roman"/>
            <w:sz w:val="24"/>
            <w:szCs w:val="24"/>
          </w:rPr>
          <w:t>https://www.njcourts.gov/attorneys/assets/opinions/appellate/unpublished/a3633-19.pdf</w:t>
        </w:r>
      </w:hyperlink>
      <w:r>
        <w:rPr>
          <w:rFonts w:ascii="Times New Roman" w:eastAsia="Times New Roman" w:hAnsi="Times New Roman"/>
          <w:sz w:val="24"/>
          <w:szCs w:val="24"/>
        </w:rPr>
        <w:t xml:space="preserve"> </w:t>
      </w:r>
    </w:p>
    <w:p w14:paraId="54BC8C61" w14:textId="77777777" w:rsidR="009453FA" w:rsidRPr="005F0249" w:rsidRDefault="009453FA" w:rsidP="009453FA">
      <w:pPr>
        <w:spacing w:before="100" w:beforeAutospacing="1" w:after="100" w:afterAutospacing="1" w:line="240" w:lineRule="auto"/>
        <w:rPr>
          <w:rFonts w:ascii="Times New Roman" w:eastAsia="Times New Roman" w:hAnsi="Times New Roman"/>
          <w:b/>
          <w:bCs/>
          <w:sz w:val="24"/>
          <w:szCs w:val="24"/>
        </w:rPr>
      </w:pPr>
      <w:r w:rsidRPr="005F0249">
        <w:rPr>
          <w:rFonts w:ascii="Times New Roman" w:hAnsi="Times New Roman"/>
          <w:b/>
          <w:bCs/>
          <w:sz w:val="24"/>
          <w:szCs w:val="24"/>
        </w:rPr>
        <w:t>Legal Lesson Learned:</w:t>
      </w:r>
      <w:r>
        <w:rPr>
          <w:rFonts w:ascii="Times New Roman" w:hAnsi="Times New Roman"/>
          <w:b/>
          <w:bCs/>
          <w:sz w:val="24"/>
          <w:szCs w:val="24"/>
        </w:rPr>
        <w:t xml:space="preserve"> Under N.J. case law, this single traumatic event leading to PTSD did not qualify for added retirement benefits. </w:t>
      </w:r>
    </w:p>
    <w:p w14:paraId="1D7F54EC" w14:textId="77777777" w:rsidR="009453FA" w:rsidRDefault="009453FA" w:rsidP="000C4DF5">
      <w:pPr>
        <w:pStyle w:val="NoSpacing"/>
        <w:rPr>
          <w:rFonts w:ascii="Arial Black" w:hAnsi="Arial Black"/>
          <w:sz w:val="24"/>
          <w:szCs w:val="24"/>
        </w:rPr>
      </w:pPr>
    </w:p>
    <w:p w14:paraId="19EA6567" w14:textId="77777777" w:rsidR="009453FA" w:rsidRDefault="009453FA" w:rsidP="000C4DF5">
      <w:pPr>
        <w:pStyle w:val="NoSpacing"/>
        <w:rPr>
          <w:rFonts w:ascii="Arial Black" w:hAnsi="Arial Black"/>
          <w:sz w:val="24"/>
          <w:szCs w:val="24"/>
        </w:rPr>
      </w:pPr>
    </w:p>
    <w:p w14:paraId="660D1BD2" w14:textId="77777777" w:rsidR="009453FA" w:rsidRDefault="009453FA" w:rsidP="000C4DF5">
      <w:pPr>
        <w:pStyle w:val="NoSpacing"/>
        <w:rPr>
          <w:rFonts w:ascii="Arial Black" w:hAnsi="Arial Black"/>
          <w:sz w:val="24"/>
          <w:szCs w:val="24"/>
        </w:rPr>
      </w:pPr>
    </w:p>
    <w:p w14:paraId="5A7859D0" w14:textId="5040EE91" w:rsidR="009453FA" w:rsidRDefault="009453FA" w:rsidP="000C4DF5">
      <w:pPr>
        <w:pStyle w:val="NoSpacing"/>
        <w:rPr>
          <w:rFonts w:ascii="Arial Black" w:hAnsi="Arial Black"/>
          <w:sz w:val="24"/>
          <w:szCs w:val="24"/>
        </w:rPr>
      </w:pPr>
      <w:r>
        <w:rPr>
          <w:rFonts w:ascii="Arial Black" w:hAnsi="Arial Black"/>
          <w:sz w:val="24"/>
          <w:szCs w:val="24"/>
        </w:rPr>
        <w:t>15-17</w:t>
      </w:r>
    </w:p>
    <w:p w14:paraId="7971465A" w14:textId="77777777" w:rsidR="009453FA" w:rsidRPr="00C130F0" w:rsidRDefault="009453FA" w:rsidP="009453FA">
      <w:pPr>
        <w:spacing w:before="100" w:beforeAutospacing="1" w:after="100" w:afterAutospacing="1" w:line="240" w:lineRule="auto"/>
        <w:rPr>
          <w:rFonts w:ascii="Arial Black" w:eastAsia="Times New Roman" w:hAnsi="Arial Black"/>
          <w:b/>
          <w:bCs/>
          <w:sz w:val="28"/>
          <w:szCs w:val="28"/>
        </w:rPr>
      </w:pPr>
      <w:bookmarkStart w:id="574" w:name="_Hlk99871308"/>
      <w:r>
        <w:rPr>
          <w:rFonts w:ascii="Arial Black" w:eastAsia="Times New Roman" w:hAnsi="Arial Black"/>
          <w:b/>
          <w:bCs/>
          <w:sz w:val="28"/>
          <w:szCs w:val="28"/>
        </w:rPr>
        <w:t>MD: PTSD - MEDICAL LEAVE 1-YR – OFFERED TAKE DEMOTION TO FF - CAN’T PERFORM DUTIES - NO FED. VIOL.</w:t>
      </w:r>
    </w:p>
    <w:p w14:paraId="09A4D8D8" w14:textId="77777777" w:rsidR="009453FA" w:rsidRDefault="009453FA" w:rsidP="009453FA">
      <w:pPr>
        <w:spacing w:before="100" w:beforeAutospacing="1" w:after="100" w:afterAutospacing="1" w:line="240" w:lineRule="auto"/>
        <w:rPr>
          <w:rFonts w:ascii="Times New Roman" w:hAnsi="Times New Roman"/>
          <w:sz w:val="24"/>
          <w:szCs w:val="24"/>
        </w:rPr>
      </w:pPr>
      <w:r w:rsidRPr="00632C03">
        <w:rPr>
          <w:rFonts w:ascii="Times New Roman" w:eastAsia="Times New Roman" w:hAnsi="Times New Roman"/>
          <w:sz w:val="24"/>
          <w:szCs w:val="24"/>
        </w:rPr>
        <w:t xml:space="preserve">On </w:t>
      </w:r>
      <w:r>
        <w:rPr>
          <w:rFonts w:ascii="Times New Roman" w:eastAsia="Times New Roman" w:hAnsi="Times New Roman"/>
          <w:sz w:val="24"/>
          <w:szCs w:val="24"/>
        </w:rPr>
        <w:t xml:space="preserve">March 18, 2022, in </w:t>
      </w:r>
      <w:r w:rsidRPr="00632C03">
        <w:rPr>
          <w:rFonts w:ascii="Times New Roman" w:eastAsia="Times New Roman" w:hAnsi="Times New Roman"/>
          <w:sz w:val="24"/>
          <w:szCs w:val="24"/>
          <w:u w:val="single"/>
        </w:rPr>
        <w:t>Stanley Abler v. Mayor and City Council of Baltimore</w:t>
      </w:r>
      <w:r>
        <w:rPr>
          <w:rFonts w:ascii="Times New Roman" w:eastAsia="Times New Roman" w:hAnsi="Times New Roman"/>
          <w:sz w:val="24"/>
          <w:szCs w:val="24"/>
        </w:rPr>
        <w:t xml:space="preserve">, Beth P. Gesner, Chief U.S. Magistrate Judge, U.S. District Court for District of Maryland, granted the defense motion for summary judgment, finding no violation of the federal Rehabilitation Act since he could no longer perform the duties of a medic or a firefighter.  Paramedic Abler </w:t>
      </w:r>
      <w:r w:rsidRPr="00C130F0">
        <w:rPr>
          <w:rFonts w:ascii="Times New Roman" w:hAnsi="Times New Roman"/>
          <w:sz w:val="24"/>
          <w:szCs w:val="24"/>
        </w:rPr>
        <w:t>suffered from PTSD stemming from an incident in April 2015</w:t>
      </w:r>
      <w:r>
        <w:rPr>
          <w:rFonts w:ascii="Times New Roman" w:hAnsi="Times New Roman"/>
          <w:sz w:val="24"/>
          <w:szCs w:val="24"/>
        </w:rPr>
        <w:t xml:space="preserve"> [no details about the incident in Court’s opinion].  “</w:t>
      </w:r>
      <w:r w:rsidRPr="00632C03">
        <w:rPr>
          <w:rFonts w:ascii="Times New Roman" w:hAnsi="Times New Roman"/>
          <w:sz w:val="24"/>
          <w:szCs w:val="24"/>
        </w:rPr>
        <w:t>After reporting to the Baltimore City Public Safety Infirmary (</w:t>
      </w:r>
      <w:r>
        <w:rPr>
          <w:rFonts w:ascii="Times New Roman" w:hAnsi="Times New Roman"/>
          <w:sz w:val="24"/>
          <w:szCs w:val="24"/>
        </w:rPr>
        <w:t>‘</w:t>
      </w:r>
      <w:r w:rsidRPr="00632C03">
        <w:rPr>
          <w:rFonts w:ascii="Times New Roman" w:hAnsi="Times New Roman"/>
          <w:sz w:val="24"/>
          <w:szCs w:val="24"/>
        </w:rPr>
        <w:t>PSI</w:t>
      </w:r>
      <w:r>
        <w:rPr>
          <w:rFonts w:ascii="Times New Roman" w:hAnsi="Times New Roman"/>
          <w:sz w:val="24"/>
          <w:szCs w:val="24"/>
        </w:rPr>
        <w:t>’</w:t>
      </w:r>
      <w:r w:rsidRPr="00632C03">
        <w:rPr>
          <w:rFonts w:ascii="Times New Roman" w:hAnsi="Times New Roman"/>
          <w:sz w:val="24"/>
          <w:szCs w:val="24"/>
        </w:rPr>
        <w:t>) for a medical evaluation, plaintiff was placed on medical leave effective June 7, 2015</w:t>
      </w:r>
      <w:r>
        <w:rPr>
          <w:rFonts w:ascii="Times New Roman" w:hAnsi="Times New Roman"/>
          <w:sz w:val="24"/>
          <w:szCs w:val="24"/>
        </w:rPr>
        <w:t xml:space="preserve">…. </w:t>
      </w:r>
      <w:r w:rsidRPr="00632C03">
        <w:rPr>
          <w:rFonts w:ascii="Times New Roman" w:hAnsi="Times New Roman"/>
          <w:sz w:val="24"/>
          <w:szCs w:val="24"/>
        </w:rPr>
        <w:t xml:space="preserve">Plaintiff remained on medical leave </w:t>
      </w:r>
      <w:r>
        <w:rPr>
          <w:rFonts w:ascii="Times New Roman" w:hAnsi="Times New Roman"/>
          <w:sz w:val="24"/>
          <w:szCs w:val="24"/>
        </w:rPr>
        <w:t xml:space="preserve">for a year, and his clinician noted he was “disabled from all work.” He requested a reduction in rank to return to work as a firefighter, but this was not granted and was forced to retire on </w:t>
      </w:r>
      <w:r w:rsidRPr="00332157">
        <w:rPr>
          <w:rFonts w:ascii="Times New Roman" w:hAnsi="Times New Roman"/>
          <w:sz w:val="24"/>
          <w:szCs w:val="24"/>
        </w:rPr>
        <w:t>November 22, 2016</w:t>
      </w:r>
      <w:r>
        <w:rPr>
          <w:rFonts w:ascii="Times New Roman" w:hAnsi="Times New Roman"/>
          <w:sz w:val="24"/>
          <w:szCs w:val="24"/>
        </w:rPr>
        <w:t xml:space="preserve">. </w:t>
      </w:r>
      <w:hyperlink r:id="rId2442" w:history="1">
        <w:r w:rsidRPr="002477AB">
          <w:rPr>
            <w:rStyle w:val="Hyperlink"/>
            <w:rFonts w:ascii="Times New Roman" w:hAnsi="Times New Roman"/>
            <w:sz w:val="24"/>
            <w:szCs w:val="24"/>
          </w:rPr>
          <w:t>https://casetext.com/case/abler-v-mayor-of-balt</w:t>
        </w:r>
      </w:hyperlink>
      <w:r>
        <w:rPr>
          <w:rFonts w:ascii="Times New Roman" w:hAnsi="Times New Roman"/>
          <w:sz w:val="24"/>
          <w:szCs w:val="24"/>
        </w:rPr>
        <w:t xml:space="preserve"> </w:t>
      </w:r>
    </w:p>
    <w:bookmarkEnd w:id="574"/>
    <w:p w14:paraId="141F8A8C" w14:textId="77777777" w:rsidR="009453FA" w:rsidRDefault="009453FA" w:rsidP="009453F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AB0831">
        <w:rPr>
          <w:rFonts w:ascii="Times New Roman" w:eastAsia="Times New Roman" w:hAnsi="Times New Roman"/>
          <w:sz w:val="24"/>
          <w:szCs w:val="24"/>
        </w:rPr>
        <w:t>Here, plaintiff argues that he and his clinician believed he could perform the essential functions of a firefighter</w:t>
      </w:r>
      <w:r>
        <w:rPr>
          <w:rFonts w:ascii="Times New Roman" w:eastAsia="Times New Roman" w:hAnsi="Times New Roman"/>
          <w:sz w:val="24"/>
          <w:szCs w:val="24"/>
        </w:rPr>
        <w:t xml:space="preserve">…. </w:t>
      </w:r>
      <w:r w:rsidRPr="00AB0831">
        <w:rPr>
          <w:rFonts w:ascii="Times New Roman" w:eastAsia="Times New Roman" w:hAnsi="Times New Roman"/>
          <w:sz w:val="24"/>
          <w:szCs w:val="24"/>
        </w:rPr>
        <w:t xml:space="preserve">Plaintiff, however, provides no evidence to support his claim. Instead, plaintiff references documents indicating that the BCFD engaged in the interactive process with other disabled employees, but these documents do not provide evidence of </w:t>
      </w:r>
      <w:r w:rsidRPr="00AB0831">
        <w:rPr>
          <w:rFonts w:ascii="Times New Roman" w:eastAsia="Times New Roman" w:hAnsi="Times New Roman"/>
          <w:i/>
          <w:iCs/>
          <w:sz w:val="24"/>
          <w:szCs w:val="24"/>
        </w:rPr>
        <w:t>plaintiff's</w:t>
      </w:r>
      <w:r w:rsidRPr="00AB0831">
        <w:rPr>
          <w:rFonts w:ascii="Times New Roman" w:eastAsia="Times New Roman" w:hAnsi="Times New Roman"/>
          <w:sz w:val="24"/>
          <w:szCs w:val="24"/>
        </w:rPr>
        <w:t xml:space="preserve"> ability to perform the essential functions of a firefighter or some other position within the BCFD</w:t>
      </w:r>
      <w:r>
        <w:rPr>
          <w:rFonts w:ascii="Times New Roman" w:eastAsia="Times New Roman" w:hAnsi="Times New Roman"/>
          <w:sz w:val="24"/>
          <w:szCs w:val="24"/>
        </w:rPr>
        <w:t xml:space="preserve">…. </w:t>
      </w:r>
      <w:r w:rsidRPr="00AB0831">
        <w:rPr>
          <w:rFonts w:ascii="Times New Roman" w:eastAsia="Times New Roman" w:hAnsi="Times New Roman"/>
          <w:sz w:val="24"/>
          <w:szCs w:val="24"/>
        </w:rPr>
        <w:t xml:space="preserve">Further, plaintiff contends that while his medical providers noted that he </w:t>
      </w:r>
      <w:proofErr w:type="gramStart"/>
      <w:r w:rsidRPr="00AB0831">
        <w:rPr>
          <w:rFonts w:ascii="Times New Roman" w:eastAsia="Times New Roman" w:hAnsi="Times New Roman"/>
          <w:sz w:val="24"/>
          <w:szCs w:val="24"/>
        </w:rPr>
        <w:t>was not able to</w:t>
      </w:r>
      <w:proofErr w:type="gramEnd"/>
      <w:r w:rsidRPr="00AB0831">
        <w:rPr>
          <w:rFonts w:ascii="Times New Roman" w:eastAsia="Times New Roman" w:hAnsi="Times New Roman"/>
          <w:sz w:val="24"/>
          <w:szCs w:val="24"/>
        </w:rPr>
        <w:t xml:space="preserve"> work as a paramedic, they did not otherwise indicate that he was unable to perform as a firefighter or in a variety of other positions</w:t>
      </w:r>
      <w:r>
        <w:rPr>
          <w:rFonts w:ascii="Times New Roman" w:eastAsia="Times New Roman" w:hAnsi="Times New Roman"/>
          <w:sz w:val="24"/>
          <w:szCs w:val="24"/>
        </w:rPr>
        <w:t xml:space="preserve">…. </w:t>
      </w:r>
      <w:r w:rsidRPr="00AB0831">
        <w:rPr>
          <w:rFonts w:ascii="Times New Roman" w:eastAsia="Times New Roman" w:hAnsi="Times New Roman"/>
          <w:sz w:val="24"/>
          <w:szCs w:val="24"/>
        </w:rPr>
        <w:t xml:space="preserve">Plaintiff's argument, however, is not supported by the record. For example, while plaintiff's clinician opined that plaintiff was </w:t>
      </w:r>
      <w:r>
        <w:rPr>
          <w:rFonts w:ascii="Times New Roman" w:eastAsia="Times New Roman" w:hAnsi="Times New Roman"/>
          <w:sz w:val="24"/>
          <w:szCs w:val="24"/>
        </w:rPr>
        <w:t>‘</w:t>
      </w:r>
      <w:r w:rsidRPr="00AB0831">
        <w:rPr>
          <w:rFonts w:ascii="Times New Roman" w:eastAsia="Times New Roman" w:hAnsi="Times New Roman"/>
          <w:sz w:val="24"/>
          <w:szCs w:val="24"/>
        </w:rPr>
        <w:t>permanently disabled from returning to the BCFD as a Paramedic,</w:t>
      </w:r>
      <w:r>
        <w:rPr>
          <w:rFonts w:ascii="Times New Roman" w:eastAsia="Times New Roman" w:hAnsi="Times New Roman"/>
          <w:sz w:val="24"/>
          <w:szCs w:val="24"/>
        </w:rPr>
        <w:t xml:space="preserve">’ </w:t>
      </w:r>
      <w:r w:rsidRPr="00AB0831">
        <w:rPr>
          <w:rFonts w:ascii="Times New Roman" w:eastAsia="Times New Roman" w:hAnsi="Times New Roman"/>
          <w:sz w:val="24"/>
          <w:szCs w:val="24"/>
        </w:rPr>
        <w:t xml:space="preserve">she also noted, two days before plaintiff retired, that plaintiff was </w:t>
      </w:r>
      <w:r>
        <w:rPr>
          <w:rFonts w:ascii="Times New Roman" w:eastAsia="Times New Roman" w:hAnsi="Times New Roman"/>
          <w:sz w:val="24"/>
          <w:szCs w:val="24"/>
        </w:rPr>
        <w:t>‘</w:t>
      </w:r>
      <w:r w:rsidRPr="00AB0831">
        <w:rPr>
          <w:rFonts w:ascii="Times New Roman" w:eastAsia="Times New Roman" w:hAnsi="Times New Roman"/>
          <w:sz w:val="24"/>
          <w:szCs w:val="24"/>
        </w:rPr>
        <w:t xml:space="preserve">disabled from </w:t>
      </w:r>
      <w:r w:rsidRPr="00AB0831">
        <w:rPr>
          <w:rFonts w:ascii="Times New Roman" w:eastAsia="Times New Roman" w:hAnsi="Times New Roman"/>
          <w:i/>
          <w:iCs/>
          <w:sz w:val="24"/>
          <w:szCs w:val="24"/>
        </w:rPr>
        <w:t>all work</w:t>
      </w:r>
      <w:r w:rsidRPr="00AB0831">
        <w:rPr>
          <w:rFonts w:ascii="Times New Roman" w:eastAsia="Times New Roman" w:hAnsi="Times New Roman"/>
          <w:sz w:val="24"/>
          <w:szCs w:val="24"/>
        </w:rPr>
        <w:t xml:space="preserve"> at this time</w:t>
      </w:r>
      <w:r>
        <w:rPr>
          <w:rFonts w:ascii="Times New Roman" w:eastAsia="Times New Roman" w:hAnsi="Times New Roman"/>
          <w:sz w:val="24"/>
          <w:szCs w:val="24"/>
        </w:rPr>
        <w:t>’</w:t>
      </w:r>
      <w:r w:rsidRPr="00AB0831">
        <w:rPr>
          <w:rFonts w:ascii="Times New Roman" w:eastAsia="Times New Roman" w:hAnsi="Times New Roman"/>
          <w:sz w:val="24"/>
          <w:szCs w:val="24"/>
        </w:rPr>
        <w:t xml:space="preserve"> and that she would </w:t>
      </w:r>
      <w:r>
        <w:rPr>
          <w:rFonts w:ascii="Times New Roman" w:eastAsia="Times New Roman" w:hAnsi="Times New Roman"/>
          <w:sz w:val="24"/>
          <w:szCs w:val="24"/>
        </w:rPr>
        <w:t>‘</w:t>
      </w:r>
      <w:r w:rsidRPr="00AB0831">
        <w:rPr>
          <w:rFonts w:ascii="Times New Roman" w:eastAsia="Times New Roman" w:hAnsi="Times New Roman"/>
          <w:sz w:val="24"/>
          <w:szCs w:val="24"/>
        </w:rPr>
        <w:t>re-evaluate his condition in two months to see if he is prepared to try to enter the job force in a different position.</w:t>
      </w:r>
      <w:r>
        <w:rPr>
          <w:rFonts w:ascii="Times New Roman" w:eastAsia="Times New Roman" w:hAnsi="Times New Roman"/>
          <w:sz w:val="24"/>
          <w:szCs w:val="24"/>
        </w:rPr>
        <w:t>’</w:t>
      </w:r>
      <w:r w:rsidRPr="00AB0831">
        <w:rPr>
          <w:rFonts w:ascii="Times New Roman" w:eastAsia="Times New Roman" w:hAnsi="Times New Roman"/>
          <w:sz w:val="24"/>
          <w:szCs w:val="24"/>
        </w:rPr>
        <w:t xml:space="preserve"> (emphasis added). </w:t>
      </w:r>
    </w:p>
    <w:p w14:paraId="1912D98E" w14:textId="77777777" w:rsidR="009453FA" w:rsidRDefault="009453FA" w:rsidP="009453FA">
      <w:pPr>
        <w:spacing w:before="100" w:beforeAutospacing="1" w:after="100" w:afterAutospacing="1" w:line="240" w:lineRule="auto"/>
        <w:ind w:left="720"/>
        <w:rPr>
          <w:rFonts w:ascii="Times New Roman" w:hAnsi="Times New Roman"/>
          <w:sz w:val="24"/>
          <w:szCs w:val="24"/>
        </w:rPr>
      </w:pPr>
      <w:r w:rsidRPr="00C130F0">
        <w:rPr>
          <w:rFonts w:ascii="Times New Roman" w:hAnsi="Times New Roman"/>
          <w:sz w:val="24"/>
          <w:szCs w:val="24"/>
        </w:rPr>
        <w:t>In addition, plaintiff admits that he “was not able to do any job functions, for the entire year [he] was off injured</w:t>
      </w:r>
      <w:r>
        <w:rPr>
          <w:rFonts w:ascii="Times New Roman" w:hAnsi="Times New Roman"/>
          <w:sz w:val="24"/>
          <w:szCs w:val="24"/>
        </w:rPr>
        <w:t>….</w:t>
      </w:r>
      <w:r w:rsidRPr="00C130F0">
        <w:rPr>
          <w:rFonts w:ascii="Times New Roman" w:hAnsi="Times New Roman"/>
          <w:sz w:val="24"/>
          <w:szCs w:val="24"/>
        </w:rPr>
        <w:t>”</w:t>
      </w:r>
      <w:r>
        <w:rPr>
          <w:rFonts w:ascii="Times New Roman" w:hAnsi="Times New Roman"/>
          <w:sz w:val="24"/>
          <w:szCs w:val="24"/>
        </w:rPr>
        <w:t xml:space="preserve"> </w:t>
      </w:r>
      <w:r w:rsidRPr="00C130F0">
        <w:rPr>
          <w:rFonts w:ascii="Times New Roman" w:hAnsi="Times New Roman"/>
          <w:sz w:val="24"/>
          <w:szCs w:val="24"/>
        </w:rPr>
        <w:t xml:space="preserve"> Further, plaintiff indicated in his answers to defendant's interrogatories that he suffered from PTSD stemming from an incident in April 2015, and he struggled with </w:t>
      </w:r>
      <w:r>
        <w:rPr>
          <w:rFonts w:ascii="Times New Roman" w:hAnsi="Times New Roman"/>
          <w:sz w:val="24"/>
          <w:szCs w:val="24"/>
        </w:rPr>
        <w:t>‘</w:t>
      </w:r>
      <w:r w:rsidRPr="00C130F0">
        <w:rPr>
          <w:rFonts w:ascii="Times New Roman" w:hAnsi="Times New Roman"/>
          <w:sz w:val="24"/>
          <w:szCs w:val="24"/>
        </w:rPr>
        <w:t>depression, anxiety, insomnia, flashback [sic], [and] cognitive issues that make it hard to focus, at times it is extremely debilitating where daily activities of living are difficult</w:t>
      </w:r>
      <w:r>
        <w:rPr>
          <w:rFonts w:ascii="Times New Roman" w:hAnsi="Times New Roman"/>
          <w:sz w:val="24"/>
          <w:szCs w:val="24"/>
        </w:rPr>
        <w:t xml:space="preserve">….’ </w:t>
      </w:r>
      <w:r w:rsidRPr="00C130F0">
        <w:rPr>
          <w:rFonts w:ascii="Times New Roman" w:hAnsi="Times New Roman"/>
          <w:sz w:val="24"/>
          <w:szCs w:val="24"/>
        </w:rPr>
        <w:t xml:space="preserve">Plaintiff, however, fails to provide any evidence of how, despite his PTSD and </w:t>
      </w:r>
      <w:r>
        <w:rPr>
          <w:rFonts w:ascii="Times New Roman" w:hAnsi="Times New Roman"/>
          <w:sz w:val="24"/>
          <w:szCs w:val="24"/>
        </w:rPr>
        <w:t>‘</w:t>
      </w:r>
      <w:r w:rsidRPr="00C130F0">
        <w:rPr>
          <w:rFonts w:ascii="Times New Roman" w:hAnsi="Times New Roman"/>
          <w:sz w:val="24"/>
          <w:szCs w:val="24"/>
        </w:rPr>
        <w:t>extremely debilitating</w:t>
      </w:r>
      <w:r>
        <w:rPr>
          <w:rFonts w:ascii="Times New Roman" w:hAnsi="Times New Roman"/>
          <w:sz w:val="24"/>
          <w:szCs w:val="24"/>
        </w:rPr>
        <w:t>’</w:t>
      </w:r>
      <w:r w:rsidRPr="00C130F0">
        <w:rPr>
          <w:rFonts w:ascii="Times New Roman" w:hAnsi="Times New Roman"/>
          <w:sz w:val="24"/>
          <w:szCs w:val="24"/>
        </w:rPr>
        <w:t xml:space="preserve"> medical conditions, he was able to perform the essential functions of a firefighter, such as extinguishing fires and rescuing emergency victims</w:t>
      </w:r>
      <w:r>
        <w:rPr>
          <w:rFonts w:ascii="Times New Roman" w:hAnsi="Times New Roman"/>
          <w:sz w:val="24"/>
          <w:szCs w:val="24"/>
        </w:rPr>
        <w:t xml:space="preserve">…. </w:t>
      </w:r>
      <w:r w:rsidRPr="00C130F0">
        <w:rPr>
          <w:rFonts w:ascii="Times New Roman" w:hAnsi="Times New Roman"/>
          <w:sz w:val="24"/>
          <w:szCs w:val="24"/>
        </w:rPr>
        <w:t xml:space="preserve"> The court, therefore, concludes that plaintiff has failed to offer evidence that he was able to perform the essential functions of a firefighter or some other position within the BCFD</w:t>
      </w:r>
      <w:r>
        <w:rPr>
          <w:rFonts w:ascii="Times New Roman" w:hAnsi="Times New Roman"/>
          <w:sz w:val="24"/>
          <w:szCs w:val="24"/>
        </w:rPr>
        <w:t xml:space="preserve">…. </w:t>
      </w:r>
      <w:r w:rsidRPr="00C130F0">
        <w:rPr>
          <w:rFonts w:ascii="Times New Roman" w:hAnsi="Times New Roman"/>
          <w:sz w:val="24"/>
          <w:szCs w:val="24"/>
        </w:rPr>
        <w:t>Accordingly, plaintiff fails to satisfy the third element of his prima facie claim of failure to accommodate under the Rehabilitation Act.</w:t>
      </w:r>
      <w:r>
        <w:rPr>
          <w:rFonts w:ascii="Times New Roman" w:hAnsi="Times New Roman"/>
          <w:sz w:val="24"/>
          <w:szCs w:val="24"/>
        </w:rPr>
        <w:t xml:space="preserve">” </w:t>
      </w:r>
      <w:hyperlink r:id="rId2443" w:history="1">
        <w:r w:rsidRPr="002477AB">
          <w:rPr>
            <w:rStyle w:val="Hyperlink"/>
            <w:rFonts w:ascii="Times New Roman" w:hAnsi="Times New Roman"/>
            <w:sz w:val="24"/>
            <w:szCs w:val="24"/>
          </w:rPr>
          <w:t>https://casetext.com/case/abler-v-mayor-of-balt</w:t>
        </w:r>
      </w:hyperlink>
      <w:r>
        <w:rPr>
          <w:rFonts w:ascii="Times New Roman" w:hAnsi="Times New Roman"/>
          <w:sz w:val="24"/>
          <w:szCs w:val="24"/>
        </w:rPr>
        <w:t xml:space="preserve"> </w:t>
      </w:r>
    </w:p>
    <w:p w14:paraId="50B1BB29" w14:textId="77777777" w:rsidR="009453FA" w:rsidRDefault="009453FA" w:rsidP="009453FA">
      <w:pPr>
        <w:spacing w:before="100" w:beforeAutospacing="1" w:after="100" w:afterAutospacing="1" w:line="240" w:lineRule="auto"/>
        <w:rPr>
          <w:rFonts w:ascii="Times New Roman" w:eastAsia="Times New Roman" w:hAnsi="Times New Roman"/>
          <w:b/>
          <w:bCs/>
          <w:sz w:val="24"/>
          <w:szCs w:val="24"/>
        </w:rPr>
      </w:pPr>
      <w:r w:rsidRPr="00E94438">
        <w:rPr>
          <w:rFonts w:ascii="Times New Roman" w:hAnsi="Times New Roman"/>
          <w:b/>
          <w:bCs/>
          <w:sz w:val="24"/>
          <w:szCs w:val="24"/>
        </w:rPr>
        <w:t>Legal Lesson Learned:</w:t>
      </w:r>
      <w:r>
        <w:rPr>
          <w:rFonts w:ascii="Times New Roman" w:hAnsi="Times New Roman"/>
          <w:b/>
          <w:bCs/>
          <w:sz w:val="24"/>
          <w:szCs w:val="24"/>
        </w:rPr>
        <w:t xml:space="preserve"> The clinician’s determination that he was disabled “from all work” meant FD did not need to try find an accommodation. </w:t>
      </w:r>
    </w:p>
    <w:p w14:paraId="4CFC683A" w14:textId="77777777" w:rsidR="009453FA" w:rsidRDefault="009453FA" w:rsidP="000C4DF5">
      <w:pPr>
        <w:pStyle w:val="NoSpacing"/>
        <w:rPr>
          <w:rFonts w:ascii="Arial Black" w:hAnsi="Arial Black"/>
          <w:sz w:val="24"/>
          <w:szCs w:val="24"/>
        </w:rPr>
      </w:pPr>
    </w:p>
    <w:p w14:paraId="0740C8A6" w14:textId="77777777" w:rsidR="009453FA" w:rsidRDefault="009453FA" w:rsidP="000C4DF5">
      <w:pPr>
        <w:pStyle w:val="NoSpacing"/>
        <w:rPr>
          <w:rFonts w:ascii="Arial Black" w:hAnsi="Arial Black"/>
          <w:sz w:val="24"/>
          <w:szCs w:val="24"/>
        </w:rPr>
      </w:pPr>
    </w:p>
    <w:p w14:paraId="48B53E80" w14:textId="77777777" w:rsidR="009453FA" w:rsidRDefault="009453FA" w:rsidP="000C4DF5">
      <w:pPr>
        <w:pStyle w:val="NoSpacing"/>
        <w:rPr>
          <w:rFonts w:ascii="Arial Black" w:hAnsi="Arial Black"/>
          <w:sz w:val="24"/>
          <w:szCs w:val="24"/>
        </w:rPr>
      </w:pPr>
    </w:p>
    <w:p w14:paraId="140F5CEE" w14:textId="032E6A42" w:rsidR="009453FA" w:rsidRDefault="009453FA" w:rsidP="000C4DF5">
      <w:pPr>
        <w:pStyle w:val="NoSpacing"/>
        <w:rPr>
          <w:rFonts w:ascii="Arial Black" w:hAnsi="Arial Black"/>
          <w:sz w:val="24"/>
          <w:szCs w:val="24"/>
        </w:rPr>
      </w:pPr>
      <w:r>
        <w:rPr>
          <w:rFonts w:ascii="Arial Black" w:hAnsi="Arial Black"/>
          <w:sz w:val="24"/>
          <w:szCs w:val="24"/>
        </w:rPr>
        <w:t>15-16 [also filed, Chap. 7]</w:t>
      </w:r>
    </w:p>
    <w:p w14:paraId="63389D1E" w14:textId="4ADC5C59" w:rsidR="009453FA" w:rsidRDefault="009453FA" w:rsidP="000C4DF5">
      <w:pPr>
        <w:pStyle w:val="NoSpacing"/>
        <w:rPr>
          <w:rFonts w:ascii="Arial Black" w:hAnsi="Arial Black"/>
          <w:sz w:val="24"/>
          <w:szCs w:val="24"/>
        </w:rPr>
      </w:pPr>
    </w:p>
    <w:p w14:paraId="74DD3C21" w14:textId="77777777" w:rsidR="009453FA" w:rsidRDefault="009453FA" w:rsidP="009453FA">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TX: PTSD - FEMALE FF NUDE VIDEO FOR HER HUSBAND (FF) – LEARNED 9 YRS LATER FF WATCHED IT – MAY SUE FD </w:t>
      </w:r>
    </w:p>
    <w:p w14:paraId="6658C05D" w14:textId="77777777" w:rsidR="009453FA" w:rsidRPr="004D78BE" w:rsidRDefault="009453FA" w:rsidP="009453FA">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March 11, 2022, in </w:t>
      </w:r>
      <w:r w:rsidRPr="004C0507">
        <w:rPr>
          <w:rFonts w:ascii="Times New Roman" w:eastAsia="Times New Roman" w:hAnsi="Times New Roman"/>
          <w:sz w:val="24"/>
          <w:szCs w:val="24"/>
          <w:u w:val="single"/>
        </w:rPr>
        <w:t xml:space="preserve">Melinda </w:t>
      </w:r>
      <w:proofErr w:type="spellStart"/>
      <w:r w:rsidRPr="004C0507">
        <w:rPr>
          <w:rFonts w:ascii="Times New Roman" w:eastAsia="Times New Roman" w:hAnsi="Times New Roman"/>
          <w:sz w:val="24"/>
          <w:szCs w:val="24"/>
          <w:u w:val="single"/>
        </w:rPr>
        <w:t>Abbt</w:t>
      </w:r>
      <w:proofErr w:type="spellEnd"/>
      <w:r w:rsidRPr="004C0507">
        <w:rPr>
          <w:rFonts w:ascii="Times New Roman" w:eastAsia="Times New Roman" w:hAnsi="Times New Roman"/>
          <w:sz w:val="24"/>
          <w:szCs w:val="24"/>
          <w:u w:val="single"/>
        </w:rPr>
        <w:t xml:space="preserve"> v. City of Houston, John Chris Barrientes</w:t>
      </w:r>
      <w:r>
        <w:rPr>
          <w:rFonts w:ascii="Times New Roman" w:eastAsia="Times New Roman" w:hAnsi="Times New Roman"/>
          <w:sz w:val="24"/>
          <w:szCs w:val="24"/>
        </w:rPr>
        <w:t>, the U.S. Court of Appeals for 5</w:t>
      </w:r>
      <w:r w:rsidRPr="004C0507">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Circuit (New Orleans) held (3 to 0) that the lawsuit against the City of Houston and Captain Barrientes should be reinstated. </w:t>
      </w:r>
      <w:r w:rsidRPr="003170E5">
        <w:rPr>
          <w:rFonts w:ascii="Times New Roman" w:hAnsi="Times New Roman"/>
          <w:sz w:val="24"/>
          <w:szCs w:val="24"/>
        </w:rPr>
        <w:t>“</w:t>
      </w:r>
      <w:proofErr w:type="spellStart"/>
      <w:r w:rsidRPr="003170E5">
        <w:rPr>
          <w:rFonts w:ascii="Times New Roman" w:hAnsi="Times New Roman"/>
          <w:sz w:val="24"/>
          <w:szCs w:val="24"/>
        </w:rPr>
        <w:t>Abbt</w:t>
      </w:r>
      <w:proofErr w:type="spellEnd"/>
      <w:r w:rsidRPr="003170E5">
        <w:rPr>
          <w:rFonts w:ascii="Times New Roman" w:hAnsi="Times New Roman"/>
          <w:sz w:val="24"/>
          <w:szCs w:val="24"/>
        </w:rPr>
        <w:t xml:space="preserve"> has presented sufficient evidence to create a genuine dispute as to whether the City knew or should have known about the </w:t>
      </w:r>
      <w:proofErr w:type="gramStart"/>
      <w:r w:rsidRPr="003170E5">
        <w:rPr>
          <w:rFonts w:ascii="Times New Roman" w:hAnsi="Times New Roman"/>
          <w:sz w:val="24"/>
          <w:szCs w:val="24"/>
        </w:rPr>
        <w:t>harassment, and</w:t>
      </w:r>
      <w:proofErr w:type="gramEnd"/>
      <w:r w:rsidRPr="003170E5">
        <w:rPr>
          <w:rFonts w:ascii="Times New Roman" w:hAnsi="Times New Roman"/>
          <w:sz w:val="24"/>
          <w:szCs w:val="24"/>
        </w:rPr>
        <w:t xml:space="preserve"> thus can be held liable.”</w:t>
      </w:r>
      <w:r>
        <w:rPr>
          <w:rFonts w:ascii="Times New Roman" w:hAnsi="Times New Roman"/>
          <w:sz w:val="24"/>
          <w:szCs w:val="24"/>
        </w:rPr>
        <w:t xml:space="preserve"> </w:t>
      </w:r>
      <w:hyperlink r:id="rId2444" w:history="1">
        <w:r w:rsidRPr="000247F2">
          <w:rPr>
            <w:rStyle w:val="Hyperlink"/>
            <w:rFonts w:ascii="Times New Roman" w:eastAsia="Times New Roman" w:hAnsi="Times New Roman"/>
            <w:sz w:val="24"/>
            <w:szCs w:val="24"/>
          </w:rPr>
          <w:t>https://www.ca5.uscourts.gov/opinions/pub/21/21-20085-CV0.pdf</w:t>
        </w:r>
      </w:hyperlink>
      <w:r>
        <w:rPr>
          <w:rFonts w:ascii="Times New Roman" w:eastAsia="Times New Roman" w:hAnsi="Times New Roman"/>
          <w:sz w:val="24"/>
          <w:szCs w:val="24"/>
        </w:rPr>
        <w:t xml:space="preserve"> </w:t>
      </w:r>
    </w:p>
    <w:p w14:paraId="75D8A2CC" w14:textId="77777777" w:rsidR="009453FA" w:rsidRDefault="009453FA" w:rsidP="009453F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In a Concurring Opinion, Justice James C. Ho wrote: </w:t>
      </w:r>
    </w:p>
    <w:p w14:paraId="12EA6559" w14:textId="77777777" w:rsidR="009453FA" w:rsidRPr="004D78BE" w:rsidRDefault="009453FA" w:rsidP="009453FA">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4D78BE">
        <w:rPr>
          <w:rFonts w:ascii="Times New Roman" w:eastAsia="Times New Roman" w:hAnsi="Times New Roman"/>
          <w:sz w:val="24"/>
          <w:szCs w:val="24"/>
        </w:rPr>
        <w:t xml:space="preserve">Melinda </w:t>
      </w:r>
      <w:proofErr w:type="spellStart"/>
      <w:r w:rsidRPr="004D78BE">
        <w:rPr>
          <w:rFonts w:ascii="Times New Roman" w:eastAsia="Times New Roman" w:hAnsi="Times New Roman"/>
          <w:sz w:val="24"/>
          <w:szCs w:val="24"/>
        </w:rPr>
        <w:t>Abbt</w:t>
      </w:r>
      <w:proofErr w:type="spellEnd"/>
      <w:r w:rsidRPr="004D78BE">
        <w:rPr>
          <w:rFonts w:ascii="Times New Roman" w:eastAsia="Times New Roman" w:hAnsi="Times New Roman"/>
          <w:sz w:val="24"/>
          <w:szCs w:val="24"/>
        </w:rPr>
        <w:t xml:space="preserve"> is a firefighter. But at least two of her male superiors at the Houston Fire Department-Chris Barrientes and David Elliott-and perhaps countless others treated her as nothing more than a sexual object. They accessed a private, intimate, nude video that </w:t>
      </w:r>
      <w:proofErr w:type="spellStart"/>
      <w:r w:rsidRPr="004D78BE">
        <w:rPr>
          <w:rFonts w:ascii="Times New Roman" w:eastAsia="Times New Roman" w:hAnsi="Times New Roman"/>
          <w:sz w:val="24"/>
          <w:szCs w:val="24"/>
        </w:rPr>
        <w:t>Abbt</w:t>
      </w:r>
      <w:proofErr w:type="spellEnd"/>
      <w:r w:rsidRPr="004D78BE">
        <w:rPr>
          <w:rFonts w:ascii="Times New Roman" w:eastAsia="Times New Roman" w:hAnsi="Times New Roman"/>
          <w:sz w:val="24"/>
          <w:szCs w:val="24"/>
        </w:rPr>
        <w:t xml:space="preserve"> had obviously made exclusively for her husband. They did so without her knowledge or permission. And they watched it repeatedly, both on and off-duty, alone and in front of co-workers, </w:t>
      </w:r>
      <w:r w:rsidRPr="004D78BE">
        <w:rPr>
          <w:rFonts w:ascii="Times New Roman" w:eastAsia="Times New Roman" w:hAnsi="Times New Roman"/>
          <w:i/>
          <w:iCs/>
          <w:sz w:val="24"/>
          <w:szCs w:val="24"/>
        </w:rPr>
        <w:t>for over nine years</w:t>
      </w:r>
      <w:r w:rsidRPr="004D78BE">
        <w:rPr>
          <w:rFonts w:ascii="Times New Roman" w:eastAsia="Times New Roman" w:hAnsi="Times New Roman"/>
          <w:sz w:val="24"/>
          <w:szCs w:val="24"/>
        </w:rPr>
        <w:t xml:space="preserve">. The only reason </w:t>
      </w:r>
      <w:proofErr w:type="spellStart"/>
      <w:r w:rsidRPr="004D78BE">
        <w:rPr>
          <w:rFonts w:ascii="Times New Roman" w:eastAsia="Times New Roman" w:hAnsi="Times New Roman"/>
          <w:sz w:val="24"/>
          <w:szCs w:val="24"/>
        </w:rPr>
        <w:t>Abbt</w:t>
      </w:r>
      <w:proofErr w:type="spellEnd"/>
      <w:r w:rsidRPr="004D78BE">
        <w:rPr>
          <w:rFonts w:ascii="Times New Roman" w:eastAsia="Times New Roman" w:hAnsi="Times New Roman"/>
          <w:sz w:val="24"/>
          <w:szCs w:val="24"/>
        </w:rPr>
        <w:t xml:space="preserve"> ever discovered this most invasive violation of privacy was because Elliott finally confessed to her husband. Even to this day, </w:t>
      </w:r>
      <w:proofErr w:type="spellStart"/>
      <w:r w:rsidRPr="004D78BE">
        <w:rPr>
          <w:rFonts w:ascii="Times New Roman" w:eastAsia="Times New Roman" w:hAnsi="Times New Roman"/>
          <w:sz w:val="24"/>
          <w:szCs w:val="24"/>
        </w:rPr>
        <w:t>Abbt</w:t>
      </w:r>
      <w:proofErr w:type="spellEnd"/>
      <w:r w:rsidRPr="004D78BE">
        <w:rPr>
          <w:rFonts w:ascii="Times New Roman" w:eastAsia="Times New Roman" w:hAnsi="Times New Roman"/>
          <w:sz w:val="24"/>
          <w:szCs w:val="24"/>
        </w:rPr>
        <w:t xml:space="preserve"> cannot be sure whether anyone else at the Department has already seen the video-or may watch it in the future.</w:t>
      </w:r>
      <w:r>
        <w:rPr>
          <w:rFonts w:ascii="Times New Roman" w:eastAsia="Times New Roman" w:hAnsi="Times New Roman"/>
          <w:sz w:val="24"/>
          <w:szCs w:val="24"/>
        </w:rPr>
        <w:t xml:space="preserve">”  </w:t>
      </w:r>
      <w:hyperlink r:id="rId2445" w:history="1">
        <w:r w:rsidRPr="000247F2">
          <w:rPr>
            <w:rStyle w:val="Hyperlink"/>
            <w:rFonts w:ascii="Times New Roman" w:eastAsia="Times New Roman" w:hAnsi="Times New Roman"/>
            <w:sz w:val="24"/>
            <w:szCs w:val="24"/>
          </w:rPr>
          <w:t>https://www.ca5.uscourts.gov/opinions/pub/21/21-20085-CV0.pdf</w:t>
        </w:r>
      </w:hyperlink>
      <w:r>
        <w:rPr>
          <w:rFonts w:ascii="Times New Roman" w:eastAsia="Times New Roman" w:hAnsi="Times New Roman"/>
          <w:sz w:val="24"/>
          <w:szCs w:val="24"/>
        </w:rPr>
        <w:t xml:space="preserve"> </w:t>
      </w:r>
    </w:p>
    <w:p w14:paraId="7C1D7575" w14:textId="77777777" w:rsidR="009453FA" w:rsidRDefault="009453FA" w:rsidP="009453FA">
      <w:pPr>
        <w:pStyle w:val="NormalWeb"/>
        <w:rPr>
          <w:b/>
          <w:bCs/>
        </w:rPr>
      </w:pPr>
      <w:r w:rsidRPr="00DA6A29">
        <w:rPr>
          <w:b/>
          <w:bCs/>
        </w:rPr>
        <w:t>Legal Lesson Learned:</w:t>
      </w:r>
      <w:r>
        <w:rPr>
          <w:b/>
          <w:bCs/>
        </w:rPr>
        <w:t xml:space="preserve"> Terrible facts; City would be wise to quickly settle this case. </w:t>
      </w:r>
    </w:p>
    <w:p w14:paraId="02CFB19B" w14:textId="77777777" w:rsidR="009453FA" w:rsidRDefault="009453FA" w:rsidP="000C4DF5">
      <w:pPr>
        <w:pStyle w:val="NoSpacing"/>
        <w:rPr>
          <w:rFonts w:ascii="Arial Black" w:hAnsi="Arial Black"/>
          <w:sz w:val="24"/>
          <w:szCs w:val="24"/>
        </w:rPr>
      </w:pPr>
    </w:p>
    <w:p w14:paraId="5DB3B55C" w14:textId="77777777" w:rsidR="009453FA" w:rsidRDefault="009453FA" w:rsidP="000C4DF5">
      <w:pPr>
        <w:pStyle w:val="NoSpacing"/>
        <w:rPr>
          <w:rFonts w:ascii="Arial Black" w:hAnsi="Arial Black"/>
          <w:sz w:val="24"/>
          <w:szCs w:val="24"/>
        </w:rPr>
      </w:pPr>
    </w:p>
    <w:p w14:paraId="19612664" w14:textId="0DF07B37" w:rsidR="00221640" w:rsidRDefault="00221640" w:rsidP="000C4DF5">
      <w:pPr>
        <w:pStyle w:val="NoSpacing"/>
        <w:rPr>
          <w:rFonts w:ascii="Arial Black" w:hAnsi="Arial Black"/>
          <w:sz w:val="24"/>
          <w:szCs w:val="24"/>
        </w:rPr>
      </w:pPr>
      <w:r>
        <w:rPr>
          <w:rFonts w:ascii="Arial Black" w:hAnsi="Arial Black"/>
          <w:sz w:val="24"/>
          <w:szCs w:val="24"/>
        </w:rPr>
        <w:t>15-15</w:t>
      </w:r>
    </w:p>
    <w:p w14:paraId="0A03C679" w14:textId="77777777" w:rsidR="00221640" w:rsidRPr="003A47ED" w:rsidRDefault="00221640" w:rsidP="00221640">
      <w:pPr>
        <w:spacing w:before="100" w:beforeAutospacing="1" w:after="100" w:afterAutospacing="1" w:line="240" w:lineRule="auto"/>
        <w:rPr>
          <w:rFonts w:ascii="Arial Black" w:eastAsia="Times New Roman" w:hAnsi="Arial Black"/>
          <w:b/>
          <w:bCs/>
          <w:sz w:val="28"/>
          <w:szCs w:val="28"/>
        </w:rPr>
      </w:pPr>
      <w:bookmarkStart w:id="575" w:name="_Hlk99871184"/>
      <w:r>
        <w:rPr>
          <w:rFonts w:ascii="Arial Black" w:eastAsia="Times New Roman" w:hAnsi="Arial Black"/>
          <w:b/>
          <w:bCs/>
          <w:sz w:val="28"/>
          <w:szCs w:val="28"/>
        </w:rPr>
        <w:t>CA: PTSD – CHP TROOPER – FIREARM RETURNED – KILLED WIFE – SHOT HER BOYFRIEND, SUICIDE – NO IMMUNITY</w:t>
      </w:r>
    </w:p>
    <w:p w14:paraId="4DE1CAA0" w14:textId="77777777" w:rsidR="00221640" w:rsidRDefault="00221640" w:rsidP="00221640">
      <w:pPr>
        <w:spacing w:before="100" w:beforeAutospacing="1" w:after="100" w:afterAutospacing="1" w:line="240" w:lineRule="auto"/>
        <w:rPr>
          <w:rFonts w:ascii="Times New Roman" w:hAnsi="Times New Roman"/>
          <w:sz w:val="24"/>
          <w:szCs w:val="24"/>
        </w:rPr>
      </w:pPr>
      <w:r w:rsidRPr="00021501">
        <w:rPr>
          <w:rFonts w:ascii="Times New Roman" w:eastAsia="Times New Roman" w:hAnsi="Times New Roman"/>
          <w:sz w:val="24"/>
          <w:szCs w:val="24"/>
        </w:rPr>
        <w:t xml:space="preserve">On Feb. 25, 2022, in </w:t>
      </w:r>
      <w:r w:rsidRPr="00021501">
        <w:rPr>
          <w:rFonts w:ascii="Times New Roman" w:eastAsia="Times New Roman" w:hAnsi="Times New Roman"/>
          <w:sz w:val="24"/>
          <w:szCs w:val="24"/>
          <w:u w:val="single"/>
        </w:rPr>
        <w:t>Phil</w:t>
      </w:r>
      <w:r>
        <w:rPr>
          <w:rFonts w:ascii="Times New Roman" w:eastAsia="Times New Roman" w:hAnsi="Times New Roman"/>
          <w:sz w:val="24"/>
          <w:szCs w:val="24"/>
          <w:u w:val="single"/>
        </w:rPr>
        <w:t xml:space="preserve"> </w:t>
      </w:r>
      <w:proofErr w:type="spellStart"/>
      <w:r w:rsidRPr="00021501">
        <w:rPr>
          <w:rFonts w:ascii="Times New Roman" w:eastAsia="Times New Roman" w:hAnsi="Times New Roman"/>
          <w:sz w:val="24"/>
          <w:szCs w:val="24"/>
          <w:u w:val="single"/>
        </w:rPr>
        <w:t>Debeaubien</w:t>
      </w:r>
      <w:proofErr w:type="spellEnd"/>
      <w:r w:rsidRPr="00021501">
        <w:rPr>
          <w:rFonts w:ascii="Times New Roman" w:eastAsia="Times New Roman" w:hAnsi="Times New Roman"/>
          <w:sz w:val="24"/>
          <w:szCs w:val="24"/>
          <w:u w:val="single"/>
        </w:rPr>
        <w:t xml:space="preserve"> v. State of California, California Highway Patrol, Todd Brown, et al.</w:t>
      </w:r>
      <w:r w:rsidRPr="00021501">
        <w:rPr>
          <w:rFonts w:ascii="Times New Roman" w:eastAsia="Times New Roman" w:hAnsi="Times New Roman"/>
          <w:sz w:val="24"/>
          <w:szCs w:val="24"/>
        </w:rPr>
        <w:t xml:space="preserve">, U.S. District Court Judge William B. </w:t>
      </w:r>
      <w:proofErr w:type="spellStart"/>
      <w:r w:rsidRPr="00021501">
        <w:rPr>
          <w:rFonts w:ascii="Times New Roman" w:eastAsia="Times New Roman" w:hAnsi="Times New Roman"/>
          <w:sz w:val="24"/>
          <w:szCs w:val="24"/>
        </w:rPr>
        <w:t>Shubb</w:t>
      </w:r>
      <w:proofErr w:type="spellEnd"/>
      <w:r w:rsidRPr="00021501">
        <w:rPr>
          <w:rFonts w:ascii="Times New Roman" w:eastAsia="Times New Roman" w:hAnsi="Times New Roman"/>
          <w:sz w:val="24"/>
          <w:szCs w:val="24"/>
        </w:rPr>
        <w:t xml:space="preserve">, U.S. District Court for Eastern District of California, in a lawsuit filed by </w:t>
      </w:r>
      <w:r>
        <w:rPr>
          <w:rFonts w:ascii="Times New Roman" w:eastAsia="Times New Roman" w:hAnsi="Times New Roman"/>
          <w:sz w:val="24"/>
          <w:szCs w:val="24"/>
        </w:rPr>
        <w:t xml:space="preserve">estranged wife’s boyfriend who was shot in arm, </w:t>
      </w:r>
      <w:r w:rsidRPr="00021501">
        <w:rPr>
          <w:rFonts w:ascii="Times New Roman" w:eastAsia="Times New Roman" w:hAnsi="Times New Roman"/>
          <w:sz w:val="24"/>
          <w:szCs w:val="24"/>
        </w:rPr>
        <w:t>denied the State of California and the CHP supervisors’ motion for summary judgment</w:t>
      </w:r>
      <w:r>
        <w:rPr>
          <w:rFonts w:ascii="Times New Roman" w:eastAsia="Times New Roman" w:hAnsi="Times New Roman"/>
          <w:sz w:val="24"/>
          <w:szCs w:val="24"/>
        </w:rPr>
        <w:t xml:space="preserve">. The service weapon had been returned after EAP counselors advised CHP he could return to work. </w:t>
      </w:r>
      <w:hyperlink r:id="rId2446" w:history="1">
        <w:r w:rsidRPr="002477AB">
          <w:rPr>
            <w:rStyle w:val="Hyperlink"/>
            <w:rFonts w:ascii="Times New Roman" w:eastAsia="Times New Roman" w:hAnsi="Times New Roman"/>
            <w:sz w:val="24"/>
            <w:szCs w:val="24"/>
          </w:rPr>
          <w:t>https://public.fastcase.com/waZtJvSA54UAurM2rmIZz6DHvxBXKDNOBT4bWQ9B2C2XMExqnhPDmJ4RTlgjq%2FCO3g5z%2BjC1yjBDqKCmneuiR5bS8Q3ELHfgftRpjN8MXvk%3D</w:t>
        </w:r>
      </w:hyperlink>
      <w:bookmarkEnd w:id="575"/>
      <w:r>
        <w:rPr>
          <w:rFonts w:ascii="Times New Roman" w:eastAsia="Times New Roman" w:hAnsi="Times New Roman"/>
          <w:sz w:val="24"/>
          <w:szCs w:val="24"/>
        </w:rPr>
        <w:t xml:space="preserve"> </w:t>
      </w:r>
    </w:p>
    <w:p w14:paraId="6A273E94" w14:textId="77777777" w:rsidR="00221640" w:rsidRDefault="00221640" w:rsidP="00221640">
      <w:pPr>
        <w:pStyle w:val="NormalWeb"/>
        <w:ind w:left="720" w:firstLine="60"/>
      </w:pPr>
      <w:r>
        <w:t xml:space="preserve">“Plaintiff Philip </w:t>
      </w:r>
      <w:proofErr w:type="spellStart"/>
      <w:r>
        <w:t>Debeaubien</w:t>
      </w:r>
      <w:proofErr w:type="spellEnd"/>
      <w:r>
        <w:t xml:space="preserve"> (‘plaintiff’) brought this section 1983 action against the State of California; the California Highway Patrol (‘CHP’); CHP officers Todd Brown, Reggie Whitehead, Ryan Stonebraker, Brent Newman, and Jeremy Dobler (collectively the ‘CHP defendants’); Joy Graf; and Sabrena Swain; for various alleged constitutional and state tort offenses…</w:t>
      </w:r>
      <w:r>
        <w:rPr>
          <w:vertAlign w:val="superscript"/>
        </w:rPr>
        <w:t xml:space="preserve">. </w:t>
      </w:r>
      <w:r>
        <w:t xml:space="preserve"> The case arises out of events on September 3, 2018, wherein CHP officer Brad Wheat (‘Wheat’) shot plaintiff before fatally shooting Wheat's wife and himself.</w:t>
      </w:r>
    </w:p>
    <w:p w14:paraId="7E98A787" w14:textId="77777777" w:rsidR="00221640" w:rsidRDefault="00221640" w:rsidP="00221640">
      <w:pPr>
        <w:pStyle w:val="NormalWeb"/>
        <w:ind w:left="720" w:firstLine="60"/>
      </w:pPr>
      <w:r>
        <w:t>***</w:t>
      </w:r>
    </w:p>
    <w:p w14:paraId="415FD83C" w14:textId="77777777" w:rsidR="00221640" w:rsidRDefault="00221640" w:rsidP="00221640">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[Motion to dismiss is] </w:t>
      </w:r>
      <w:r w:rsidRPr="007E70C2">
        <w:rPr>
          <w:rFonts w:ascii="Times New Roman" w:hAnsi="Times New Roman"/>
          <w:sz w:val="24"/>
          <w:szCs w:val="24"/>
        </w:rPr>
        <w:t>DENIED as to defendants Dobler, Brown, Stonebraker, State of California, and California Highway Patrol on the issue of whether these defendants owed plaintiff a duty not to entrust Wheat with a firearm</w:t>
      </w:r>
      <w:r>
        <w:rPr>
          <w:rFonts w:ascii="Times New Roman" w:hAnsi="Times New Roman"/>
          <w:sz w:val="24"/>
          <w:szCs w:val="24"/>
        </w:rPr>
        <w:t xml:space="preserve">.” </w:t>
      </w:r>
    </w:p>
    <w:p w14:paraId="14F748BF" w14:textId="77777777" w:rsidR="00221640" w:rsidRPr="00021501" w:rsidRDefault="00221640" w:rsidP="00221640">
      <w:pPr>
        <w:pStyle w:val="Heading1"/>
        <w:rPr>
          <w:sz w:val="24"/>
          <w:szCs w:val="24"/>
        </w:rPr>
      </w:pPr>
      <w:r>
        <w:rPr>
          <w:b w:val="0"/>
          <w:bCs w:val="0"/>
          <w:sz w:val="24"/>
          <w:szCs w:val="24"/>
        </w:rPr>
        <w:t xml:space="preserve">Watch the Jan. 26, </w:t>
      </w:r>
      <w:proofErr w:type="gramStart"/>
      <w:r>
        <w:rPr>
          <w:b w:val="0"/>
          <w:bCs w:val="0"/>
          <w:sz w:val="24"/>
          <w:szCs w:val="24"/>
        </w:rPr>
        <w:t>2022</w:t>
      </w:r>
      <w:proofErr w:type="gramEnd"/>
      <w:r>
        <w:rPr>
          <w:b w:val="0"/>
          <w:bCs w:val="0"/>
          <w:sz w:val="24"/>
          <w:szCs w:val="24"/>
        </w:rPr>
        <w:t xml:space="preserve"> TV interview with Plaintiff - includes bystander video of scene on </w:t>
      </w:r>
      <w:proofErr w:type="gramStart"/>
      <w:r>
        <w:rPr>
          <w:b w:val="0"/>
          <w:bCs w:val="0"/>
          <w:sz w:val="24"/>
          <w:szCs w:val="24"/>
        </w:rPr>
        <w:t>Sept,</w:t>
      </w:r>
      <w:proofErr w:type="gramEnd"/>
      <w:r>
        <w:rPr>
          <w:b w:val="0"/>
          <w:bCs w:val="0"/>
          <w:sz w:val="24"/>
          <w:szCs w:val="24"/>
        </w:rPr>
        <w:t xml:space="preserve"> 3, 2018 where you can hear shots being fired. </w:t>
      </w:r>
    </w:p>
    <w:p w14:paraId="6DAE7DC8" w14:textId="77777777" w:rsidR="00221640" w:rsidRDefault="00221640" w:rsidP="00221640">
      <w:pPr>
        <w:pStyle w:val="ListParagraph"/>
        <w:spacing w:before="100" w:beforeAutospacing="1" w:after="100" w:afterAutospacing="1" w:line="240" w:lineRule="auto"/>
        <w:ind w:left="1440"/>
        <w:rPr>
          <w:rStyle w:val="Hyperlink"/>
          <w:rFonts w:ascii="Times New Roman" w:hAnsi="Times New Roman" w:cs="Times New Roman"/>
          <w:sz w:val="24"/>
          <w:szCs w:val="24"/>
        </w:rPr>
      </w:pPr>
      <w:r w:rsidRPr="00021501">
        <w:rPr>
          <w:rFonts w:ascii="Times New Roman" w:hAnsi="Times New Roman" w:cs="Times New Roman"/>
          <w:sz w:val="24"/>
          <w:szCs w:val="24"/>
        </w:rPr>
        <w:t xml:space="preserve">“He’s suing the CHP after an off-duty officer shot him. Here’s what he hopes to change.  Bystander video shows part of the 2018 murder-suicide incident involving CHP Lt. Brad Wheat and his estranged wife, Mary. Trae </w:t>
      </w:r>
      <w:proofErr w:type="spellStart"/>
      <w:r w:rsidRPr="00021501">
        <w:rPr>
          <w:rFonts w:ascii="Times New Roman" w:hAnsi="Times New Roman" w:cs="Times New Roman"/>
          <w:sz w:val="24"/>
          <w:szCs w:val="24"/>
        </w:rPr>
        <w:t>deBeaubien</w:t>
      </w:r>
      <w:proofErr w:type="spellEnd"/>
      <w:r w:rsidRPr="00021501">
        <w:rPr>
          <w:rFonts w:ascii="Times New Roman" w:hAnsi="Times New Roman" w:cs="Times New Roman"/>
          <w:sz w:val="24"/>
          <w:szCs w:val="24"/>
        </w:rPr>
        <w:t xml:space="preserve">, who was dating Mary, was also shot and is suing the agency for returning Wheat's gun after he made threats.” </w:t>
      </w:r>
      <w:hyperlink r:id="rId2447" w:history="1">
        <w:r w:rsidRPr="00021501">
          <w:rPr>
            <w:rStyle w:val="Hyperlink"/>
            <w:rFonts w:ascii="Times New Roman" w:hAnsi="Times New Roman" w:cs="Times New Roman"/>
            <w:sz w:val="24"/>
            <w:szCs w:val="24"/>
          </w:rPr>
          <w:t>https://www.sacbee.com/news/local/article257698263.html</w:t>
        </w:r>
      </w:hyperlink>
    </w:p>
    <w:p w14:paraId="5A1C5CE9" w14:textId="77777777" w:rsidR="00221640" w:rsidRDefault="00221640" w:rsidP="00221640">
      <w:pPr>
        <w:spacing w:before="100" w:beforeAutospacing="1" w:after="100" w:afterAutospacing="1" w:line="240" w:lineRule="auto"/>
        <w:rPr>
          <w:rStyle w:val="Hyperlink"/>
          <w:rFonts w:ascii="Times New Roman" w:hAnsi="Times New Roman"/>
          <w:sz w:val="24"/>
          <w:szCs w:val="24"/>
        </w:rPr>
      </w:pPr>
      <w:r w:rsidRPr="0050050C">
        <w:rPr>
          <w:rFonts w:ascii="Times New Roman" w:hAnsi="Times New Roman"/>
          <w:sz w:val="24"/>
          <w:szCs w:val="24"/>
        </w:rPr>
        <w:t xml:space="preserve">Feb. 25, 2022: “An Off-Duty Cop Murdered His Ex-Girlfriend. The California Highway Patrol Ignored the Red Flags.” </w:t>
      </w:r>
      <w:hyperlink r:id="rId2448" w:history="1">
        <w:r w:rsidRPr="0050050C">
          <w:rPr>
            <w:rStyle w:val="Hyperlink"/>
            <w:rFonts w:ascii="Times New Roman" w:hAnsi="Times New Roman"/>
            <w:sz w:val="24"/>
            <w:szCs w:val="24"/>
          </w:rPr>
          <w:t>https://gemm.site/2022/02/25/an-off-duty-cop-murdered-his-ex-girlfriend-the-california-highway-patrol-ignored-the-red-flags/</w:t>
        </w:r>
      </w:hyperlink>
    </w:p>
    <w:p w14:paraId="65052A0E" w14:textId="77777777" w:rsidR="009453FA" w:rsidRPr="004B6F15" w:rsidRDefault="009453FA" w:rsidP="009453FA">
      <w:pPr>
        <w:pStyle w:val="NormalWeb"/>
        <w:rPr>
          <w:b/>
          <w:bCs/>
        </w:rPr>
      </w:pPr>
      <w:r w:rsidRPr="004B6F15">
        <w:rPr>
          <w:b/>
          <w:bCs/>
        </w:rPr>
        <w:t xml:space="preserve">Legal Lesson Learned: Returning a service weapon to a police officer suffering </w:t>
      </w:r>
      <w:r>
        <w:rPr>
          <w:b/>
          <w:bCs/>
        </w:rPr>
        <w:t xml:space="preserve">from PTSD or other serious </w:t>
      </w:r>
      <w:r w:rsidRPr="004B6F15">
        <w:rPr>
          <w:b/>
          <w:bCs/>
        </w:rPr>
        <w:t>mental should only be done after a Fitness for Duty</w:t>
      </w:r>
      <w:r>
        <w:rPr>
          <w:b/>
          <w:bCs/>
        </w:rPr>
        <w:t xml:space="preserve"> (FFDE)</w:t>
      </w:r>
      <w:r w:rsidRPr="004B6F15">
        <w:rPr>
          <w:b/>
          <w:bCs/>
        </w:rPr>
        <w:t xml:space="preserve"> psychological evaluation (FFDE) by an appropriately trained and competent licensed mental health professional.</w:t>
      </w:r>
    </w:p>
    <w:p w14:paraId="122B53A6" w14:textId="7F0701A2" w:rsidR="009453FA" w:rsidRPr="00B572BA" w:rsidRDefault="009453FA" w:rsidP="009453FA">
      <w:pPr>
        <w:spacing w:before="100" w:beforeAutospacing="1" w:after="100" w:afterAutospacing="1" w:line="240" w:lineRule="auto"/>
        <w:ind w:left="720"/>
        <w:rPr>
          <w:rFonts w:ascii="Times New Roman" w:eastAsia="Times New Roman" w:hAnsi="Times New Roman"/>
          <w:sz w:val="24"/>
          <w:szCs w:val="24"/>
        </w:rPr>
      </w:pPr>
      <w:r w:rsidRPr="00B572BA">
        <w:rPr>
          <w:rFonts w:ascii="Times New Roman" w:eastAsia="Times New Roman" w:hAnsi="Times New Roman"/>
          <w:sz w:val="24"/>
          <w:szCs w:val="24"/>
        </w:rPr>
        <w:t xml:space="preserve">Note: Dr. Eric Birkley, Psychologist, has kindly provided this info on Fitness </w:t>
      </w:r>
      <w:proofErr w:type="gramStart"/>
      <w:r w:rsidRPr="00B572BA">
        <w:rPr>
          <w:rFonts w:ascii="Times New Roman" w:eastAsia="Times New Roman" w:hAnsi="Times New Roman"/>
          <w:sz w:val="24"/>
          <w:szCs w:val="24"/>
        </w:rPr>
        <w:t>For</w:t>
      </w:r>
      <w:proofErr w:type="gramEnd"/>
      <w:r w:rsidRPr="00B572BA">
        <w:rPr>
          <w:rFonts w:ascii="Times New Roman" w:eastAsia="Times New Roman" w:hAnsi="Times New Roman"/>
          <w:sz w:val="24"/>
          <w:szCs w:val="24"/>
        </w:rPr>
        <w:t xml:space="preserve"> Duty Evaluations </w:t>
      </w:r>
      <w:bookmarkStart w:id="576" w:name="_Hlk99975468"/>
      <w:r w:rsidRPr="00B572BA">
        <w:rPr>
          <w:rFonts w:ascii="Times New Roman" w:eastAsia="Times New Roman" w:hAnsi="Times New Roman"/>
          <w:sz w:val="24"/>
          <w:szCs w:val="24"/>
        </w:rPr>
        <w:t xml:space="preserve">[posted with her permission]. </w:t>
      </w:r>
      <w:bookmarkEnd w:id="576"/>
      <w:r w:rsidRPr="00B572BA">
        <w:rPr>
          <w:rFonts w:ascii="Times New Roman" w:eastAsia="Times New Roman" w:hAnsi="Times New Roman"/>
          <w:sz w:val="24"/>
          <w:szCs w:val="24"/>
        </w:rPr>
        <w:t xml:space="preserve">On May 26, 2022, Dr. Birley and the author of this </w:t>
      </w:r>
      <w:proofErr w:type="gramStart"/>
      <w:r w:rsidRPr="00B572BA">
        <w:rPr>
          <w:rFonts w:ascii="Times New Roman" w:eastAsia="Times New Roman" w:hAnsi="Times New Roman"/>
          <w:sz w:val="24"/>
          <w:szCs w:val="24"/>
        </w:rPr>
        <w:t>newsletter,</w:t>
      </w:r>
      <w:proofErr w:type="gramEnd"/>
      <w:r w:rsidRPr="00B572BA">
        <w:rPr>
          <w:rFonts w:ascii="Times New Roman" w:eastAsia="Times New Roman" w:hAnsi="Times New Roman"/>
          <w:sz w:val="24"/>
          <w:szCs w:val="24"/>
        </w:rPr>
        <w:t xml:space="preserve"> will both be on a panel for First Responder Mental Health Symposium. </w:t>
      </w:r>
      <w:hyperlink r:id="rId2449" w:history="1">
        <w:r w:rsidRPr="00B572BA">
          <w:rPr>
            <w:rStyle w:val="Hyperlink"/>
            <w:rFonts w:ascii="Times New Roman" w:eastAsia="Times New Roman" w:hAnsi="Times New Roman"/>
            <w:sz w:val="24"/>
            <w:szCs w:val="24"/>
          </w:rPr>
          <w:t>https://ceas.uc.edu/academics/departments/aerospace-engineering-mechanics/fire-science/news.html</w:t>
        </w:r>
      </w:hyperlink>
      <w:r w:rsidRPr="00B572BA">
        <w:rPr>
          <w:rFonts w:ascii="Times New Roman" w:eastAsia="Times New Roman" w:hAnsi="Times New Roman"/>
          <w:sz w:val="24"/>
          <w:szCs w:val="24"/>
        </w:rPr>
        <w:t xml:space="preserve"> </w:t>
      </w:r>
    </w:p>
    <w:p w14:paraId="2334C4BF" w14:textId="77777777" w:rsidR="009453FA" w:rsidRPr="00B572BA" w:rsidRDefault="009453FA" w:rsidP="009453FA">
      <w:pPr>
        <w:ind w:firstLine="720"/>
        <w:rPr>
          <w:rFonts w:ascii="Times New Roman" w:hAnsi="Times New Roman"/>
          <w:sz w:val="24"/>
          <w:szCs w:val="24"/>
        </w:rPr>
      </w:pPr>
      <w:r w:rsidRPr="00B572BA">
        <w:rPr>
          <w:rFonts w:ascii="Times New Roman" w:hAnsi="Times New Roman"/>
          <w:sz w:val="24"/>
          <w:szCs w:val="24"/>
        </w:rPr>
        <w:t>3/25/2022</w:t>
      </w:r>
    </w:p>
    <w:p w14:paraId="3A6CAB21" w14:textId="77777777" w:rsidR="009453FA" w:rsidRPr="00B572BA" w:rsidRDefault="009453FA" w:rsidP="009453FA">
      <w:pPr>
        <w:ind w:firstLine="720"/>
        <w:rPr>
          <w:rFonts w:ascii="Times New Roman" w:hAnsi="Times New Roman"/>
          <w:sz w:val="24"/>
          <w:szCs w:val="24"/>
        </w:rPr>
      </w:pPr>
      <w:r w:rsidRPr="00B572BA">
        <w:rPr>
          <w:rFonts w:ascii="Times New Roman" w:hAnsi="Times New Roman"/>
          <w:sz w:val="24"/>
          <w:szCs w:val="24"/>
        </w:rPr>
        <w:t>Hi Larry,</w:t>
      </w:r>
    </w:p>
    <w:p w14:paraId="75EDDF5C" w14:textId="77777777" w:rsidR="009453FA" w:rsidRPr="00B572BA" w:rsidRDefault="009453FA" w:rsidP="009453FA">
      <w:pPr>
        <w:ind w:left="720"/>
        <w:rPr>
          <w:rFonts w:ascii="Times New Roman" w:hAnsi="Times New Roman"/>
          <w:sz w:val="24"/>
          <w:szCs w:val="24"/>
        </w:rPr>
      </w:pPr>
      <w:r w:rsidRPr="00B572BA">
        <w:rPr>
          <w:rFonts w:ascii="Times New Roman" w:hAnsi="Times New Roman"/>
          <w:sz w:val="24"/>
          <w:szCs w:val="24"/>
        </w:rPr>
        <w:t xml:space="preserve">I would specify that when an employed officer makes specific threats of violence that the criterion standard is (under all circumstances I can think of) met to order a Fitness for Duty psychological evaluation (FFDE) by an appropriately trained and competent licensed mental health professional.  Part of that professional’s job is to provide feedback to the first responder agency on whether the criterion standard for a FFDE is met given the facts of the case. As mental health professionals, we expect that if a person is </w:t>
      </w:r>
      <w:proofErr w:type="gramStart"/>
      <w:r w:rsidRPr="00B572BA">
        <w:rPr>
          <w:rFonts w:ascii="Times New Roman" w:hAnsi="Times New Roman"/>
          <w:sz w:val="24"/>
          <w:szCs w:val="24"/>
        </w:rPr>
        <w:t>referred</w:t>
      </w:r>
      <w:proofErr w:type="gramEnd"/>
      <w:r w:rsidRPr="00B572BA">
        <w:rPr>
          <w:rFonts w:ascii="Times New Roman" w:hAnsi="Times New Roman"/>
          <w:sz w:val="24"/>
          <w:szCs w:val="24"/>
        </w:rPr>
        <w:t xml:space="preserve"> for a Fitness for Duty evaluation that they will most likely be placed on administrative leave, and/or other actions have been taken by the agency to limit their duties appropriately. </w:t>
      </w:r>
    </w:p>
    <w:p w14:paraId="419ECC79" w14:textId="77777777" w:rsidR="009453FA" w:rsidRPr="00B572BA" w:rsidRDefault="009453FA" w:rsidP="009453FA">
      <w:pPr>
        <w:rPr>
          <w:rFonts w:ascii="Times New Roman" w:hAnsi="Times New Roman"/>
          <w:sz w:val="24"/>
          <w:szCs w:val="24"/>
        </w:rPr>
      </w:pPr>
    </w:p>
    <w:p w14:paraId="04172822" w14:textId="77777777" w:rsidR="009453FA" w:rsidRPr="00B572BA" w:rsidRDefault="009453FA" w:rsidP="009453FA">
      <w:pPr>
        <w:ind w:left="720"/>
        <w:rPr>
          <w:rFonts w:ascii="Times New Roman" w:hAnsi="Times New Roman"/>
          <w:sz w:val="24"/>
          <w:szCs w:val="24"/>
        </w:rPr>
      </w:pPr>
      <w:r w:rsidRPr="00B572BA">
        <w:rPr>
          <w:rFonts w:ascii="Times New Roman" w:hAnsi="Times New Roman"/>
          <w:sz w:val="24"/>
          <w:szCs w:val="24"/>
        </w:rPr>
        <w:t>This is the criterion standard for a fitness for duty evaluation: “According to the Americans with Disabilities Act (ADA), when an employer has a reasonable belief, based on objective evidence, that a police officer may have a psychological condition that impairs his or her ability to perform essential job functions or poses a direct threat, an FFDE is “job-related and consistent with business necessity” (42 U.S.C. §12112[d][4][A]; 29 C.F.R. §1630.14[c]). Case law has established that an employer need not wait for objective evidence of impaired performance before justifying an FFDE when the employee is engaged in dangerous work.”</w:t>
      </w:r>
    </w:p>
    <w:p w14:paraId="076B6298" w14:textId="77777777" w:rsidR="009453FA" w:rsidRPr="00B572BA" w:rsidRDefault="009453FA" w:rsidP="009453FA">
      <w:pPr>
        <w:rPr>
          <w:rFonts w:ascii="Times New Roman" w:hAnsi="Times New Roman"/>
          <w:sz w:val="24"/>
          <w:szCs w:val="24"/>
        </w:rPr>
      </w:pPr>
    </w:p>
    <w:p w14:paraId="3DB20436" w14:textId="77777777" w:rsidR="009453FA" w:rsidRPr="00B572BA" w:rsidRDefault="009453FA" w:rsidP="009453FA">
      <w:pPr>
        <w:ind w:left="720"/>
        <w:rPr>
          <w:rFonts w:ascii="Times New Roman" w:hAnsi="Times New Roman"/>
          <w:sz w:val="24"/>
          <w:szCs w:val="24"/>
        </w:rPr>
      </w:pPr>
      <w:r w:rsidRPr="00B572BA">
        <w:rPr>
          <w:rFonts w:ascii="Times New Roman" w:hAnsi="Times New Roman"/>
          <w:sz w:val="24"/>
          <w:szCs w:val="24"/>
        </w:rPr>
        <w:t xml:space="preserve">I perform FFDE for LEOs and most often agencies aren’t abreast of the criterion standard for ordering an FFDE and order one too prematurely (when someone is an “asshole” but does not have an identifiable mental health impairment) or wait too long as in this case as they may be unaware of their options. FFDEs are designed to safeguard the public and the agency and save departments/taxpayers millions – they cost around $3500 for a psychologist to </w:t>
      </w:r>
      <w:proofErr w:type="gramStart"/>
      <w:r w:rsidRPr="00B572BA">
        <w:rPr>
          <w:rFonts w:ascii="Times New Roman" w:hAnsi="Times New Roman"/>
          <w:sz w:val="24"/>
          <w:szCs w:val="24"/>
        </w:rPr>
        <w:t>perform</w:t>
      </w:r>
      <w:proofErr w:type="gramEnd"/>
      <w:r w:rsidRPr="00B572BA">
        <w:rPr>
          <w:rFonts w:ascii="Times New Roman" w:hAnsi="Times New Roman"/>
          <w:sz w:val="24"/>
          <w:szCs w:val="24"/>
        </w:rPr>
        <w:t xml:space="preserve"> and some departments don’t consider the alternative cost of a lawsuit. </w:t>
      </w:r>
    </w:p>
    <w:p w14:paraId="663936AF" w14:textId="77777777" w:rsidR="009453FA" w:rsidRPr="00B572BA" w:rsidRDefault="009453FA" w:rsidP="009453FA">
      <w:pPr>
        <w:ind w:left="720"/>
        <w:rPr>
          <w:rFonts w:ascii="Times New Roman" w:hAnsi="Times New Roman"/>
          <w:sz w:val="24"/>
          <w:szCs w:val="24"/>
        </w:rPr>
      </w:pPr>
      <w:r w:rsidRPr="00B572BA">
        <w:rPr>
          <w:rFonts w:ascii="Times New Roman" w:hAnsi="Times New Roman"/>
          <w:sz w:val="24"/>
          <w:szCs w:val="24"/>
        </w:rPr>
        <w:t xml:space="preserve">Hope this is helpful! I attached a key article written by two leading police psychologists who literally wrote the book on FFDEs for LEO with several case law examples included. </w:t>
      </w:r>
    </w:p>
    <w:p w14:paraId="3BF3C68B" w14:textId="77777777" w:rsidR="009453FA" w:rsidRPr="00B572BA" w:rsidRDefault="009453FA" w:rsidP="001E264B">
      <w:pPr>
        <w:pStyle w:val="NoSpacing"/>
        <w:ind w:left="720"/>
        <w:rPr>
          <w:rFonts w:ascii="Times New Roman" w:hAnsi="Times New Roman"/>
          <w:sz w:val="24"/>
          <w:szCs w:val="24"/>
        </w:rPr>
      </w:pPr>
      <w:r w:rsidRPr="00B572BA">
        <w:rPr>
          <w:rFonts w:ascii="Times New Roman" w:hAnsi="Times New Roman"/>
          <w:sz w:val="24"/>
          <w:szCs w:val="24"/>
        </w:rPr>
        <w:t xml:space="preserve">Current Issues in Psychological Fitness-for-Duty Evaluations of Law Enforcement Officers: Legal and Practice Implications (2016): </w:t>
      </w:r>
      <w:hyperlink r:id="rId2450" w:history="1">
        <w:r w:rsidRPr="00B572BA">
          <w:rPr>
            <w:rStyle w:val="Hyperlink"/>
            <w:rFonts w:ascii="Times New Roman" w:hAnsi="Times New Roman"/>
            <w:sz w:val="24"/>
            <w:szCs w:val="24"/>
          </w:rPr>
          <w:t>Mayer ^0 Corey 2016 Current Issues in FFD evaluations of LEOs.pdf</w:t>
        </w:r>
      </w:hyperlink>
      <w:r w:rsidRPr="00B572BA">
        <w:rPr>
          <w:rFonts w:ascii="Times New Roman" w:hAnsi="Times New Roman"/>
          <w:sz w:val="24"/>
          <w:szCs w:val="24"/>
        </w:rPr>
        <w:t xml:space="preserve"> </w:t>
      </w:r>
    </w:p>
    <w:p w14:paraId="12149CB6" w14:textId="77777777" w:rsidR="009453FA" w:rsidRPr="00B572BA" w:rsidRDefault="009453FA" w:rsidP="009453FA">
      <w:pPr>
        <w:ind w:left="720"/>
        <w:rPr>
          <w:rFonts w:ascii="Times New Roman" w:hAnsi="Times New Roman"/>
          <w:sz w:val="24"/>
          <w:szCs w:val="24"/>
        </w:rPr>
      </w:pPr>
    </w:p>
    <w:p w14:paraId="3BCCC045" w14:textId="77777777" w:rsidR="009453FA" w:rsidRPr="00B572BA" w:rsidRDefault="009453FA" w:rsidP="009453FA">
      <w:pPr>
        <w:ind w:firstLine="720"/>
        <w:rPr>
          <w:rFonts w:ascii="Times New Roman" w:hAnsi="Times New Roman"/>
          <w:sz w:val="24"/>
          <w:szCs w:val="24"/>
        </w:rPr>
      </w:pPr>
      <w:r w:rsidRPr="00B572BA">
        <w:rPr>
          <w:rFonts w:ascii="Times New Roman" w:hAnsi="Times New Roman"/>
          <w:sz w:val="24"/>
          <w:szCs w:val="24"/>
        </w:rPr>
        <w:t>Erica</w:t>
      </w:r>
    </w:p>
    <w:p w14:paraId="3E170A4B"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Erica Birkley, PhD</w:t>
      </w:r>
    </w:p>
    <w:p w14:paraId="14F2BFC2"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Associate Professor</w:t>
      </w:r>
    </w:p>
    <w:p w14:paraId="3FB32728"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Psychologist</w:t>
      </w:r>
    </w:p>
    <w:p w14:paraId="56F1ED6A"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UC Department of Psychiatry and Behavioral Neuroscience</w:t>
      </w:r>
    </w:p>
    <w:p w14:paraId="1A2DEB14"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513-585-7742 (direct office)</w:t>
      </w:r>
    </w:p>
    <w:p w14:paraId="6EA0237F"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513-585-7700 (scheduling desk)</w:t>
      </w:r>
    </w:p>
    <w:p w14:paraId="107EB90C" w14:textId="77777777" w:rsidR="009453FA" w:rsidRPr="00B572BA" w:rsidRDefault="009453FA" w:rsidP="009453FA">
      <w:pPr>
        <w:pStyle w:val="NoSpacing"/>
        <w:ind w:firstLine="720"/>
        <w:rPr>
          <w:rFonts w:ascii="Times New Roman" w:hAnsi="Times New Roman"/>
          <w:sz w:val="24"/>
          <w:szCs w:val="24"/>
        </w:rPr>
      </w:pPr>
      <w:r w:rsidRPr="00B572BA">
        <w:rPr>
          <w:rFonts w:ascii="Times New Roman" w:hAnsi="Times New Roman"/>
          <w:sz w:val="24"/>
          <w:szCs w:val="24"/>
        </w:rPr>
        <w:t>513-585-7778 (fax)</w:t>
      </w:r>
    </w:p>
    <w:p w14:paraId="688DC937" w14:textId="77777777" w:rsidR="009453FA" w:rsidRPr="00B572BA" w:rsidRDefault="009453FA" w:rsidP="009453FA">
      <w:pPr>
        <w:pStyle w:val="NoSpacing"/>
        <w:ind w:firstLine="720"/>
        <w:rPr>
          <w:rFonts w:ascii="Times New Roman" w:hAnsi="Times New Roman"/>
          <w:sz w:val="24"/>
          <w:szCs w:val="24"/>
        </w:rPr>
      </w:pPr>
      <w:hyperlink r:id="rId2451" w:history="1">
        <w:r w:rsidRPr="00B572BA">
          <w:rPr>
            <w:rStyle w:val="Hyperlink"/>
            <w:rFonts w:ascii="Times New Roman" w:hAnsi="Times New Roman"/>
            <w:sz w:val="24"/>
            <w:szCs w:val="24"/>
          </w:rPr>
          <w:t>Birkleea@ucmail.uc.edu</w:t>
        </w:r>
      </w:hyperlink>
    </w:p>
    <w:p w14:paraId="226D243D" w14:textId="77777777" w:rsidR="009453FA" w:rsidRPr="00B572BA" w:rsidRDefault="009453FA" w:rsidP="009453FA">
      <w:pPr>
        <w:pStyle w:val="NoSpacing"/>
        <w:ind w:firstLine="720"/>
        <w:rPr>
          <w:rFonts w:ascii="Times New Roman" w:hAnsi="Times New Roman"/>
          <w:sz w:val="24"/>
          <w:szCs w:val="24"/>
        </w:rPr>
      </w:pPr>
    </w:p>
    <w:p w14:paraId="31AE6274" w14:textId="77777777" w:rsidR="00221640" w:rsidRPr="00B572BA" w:rsidRDefault="00221640" w:rsidP="000C4DF5">
      <w:pPr>
        <w:pStyle w:val="NoSpacing"/>
        <w:rPr>
          <w:rFonts w:ascii="Times New Roman" w:hAnsi="Times New Roman"/>
          <w:sz w:val="24"/>
          <w:szCs w:val="24"/>
        </w:rPr>
      </w:pPr>
    </w:p>
    <w:p w14:paraId="10C296ED" w14:textId="77777777" w:rsidR="00221640" w:rsidRDefault="00221640" w:rsidP="000C4DF5">
      <w:pPr>
        <w:pStyle w:val="NoSpacing"/>
        <w:rPr>
          <w:rFonts w:ascii="Arial Black" w:hAnsi="Arial Black"/>
          <w:sz w:val="24"/>
          <w:szCs w:val="24"/>
        </w:rPr>
      </w:pPr>
    </w:p>
    <w:p w14:paraId="5E6AE4AD" w14:textId="77777777" w:rsidR="00221640" w:rsidRDefault="00221640" w:rsidP="000C4DF5">
      <w:pPr>
        <w:pStyle w:val="NoSpacing"/>
        <w:rPr>
          <w:rFonts w:ascii="Arial Black" w:hAnsi="Arial Black"/>
          <w:sz w:val="24"/>
          <w:szCs w:val="24"/>
        </w:rPr>
      </w:pPr>
    </w:p>
    <w:p w14:paraId="7DF0D82F" w14:textId="1424AF6F" w:rsidR="00FF5FCF" w:rsidRDefault="00BD3FE4" w:rsidP="000C4DF5">
      <w:pPr>
        <w:pStyle w:val="NoSpacing"/>
        <w:rPr>
          <w:rFonts w:ascii="Arial Black" w:hAnsi="Arial Black"/>
          <w:sz w:val="24"/>
          <w:szCs w:val="24"/>
        </w:rPr>
      </w:pPr>
      <w:r>
        <w:rPr>
          <w:rFonts w:ascii="Arial Black" w:hAnsi="Arial Black"/>
          <w:sz w:val="24"/>
          <w:szCs w:val="24"/>
        </w:rPr>
        <w:t>15-14</w:t>
      </w:r>
      <w:r w:rsidR="00680939">
        <w:rPr>
          <w:rFonts w:ascii="Arial Black" w:hAnsi="Arial Black"/>
          <w:sz w:val="24"/>
          <w:szCs w:val="24"/>
        </w:rPr>
        <w:t xml:space="preserve"> [also filed Chap. 10]</w:t>
      </w:r>
    </w:p>
    <w:p w14:paraId="65841AB0" w14:textId="77777777" w:rsidR="00BD3FE4" w:rsidRDefault="00BD3FE4" w:rsidP="00BD3FE4">
      <w:pPr>
        <w:pStyle w:val="NormalWeb"/>
        <w:rPr>
          <w:rFonts w:ascii="Arial Black" w:hAnsi="Arial Black"/>
          <w:b/>
          <w:bCs/>
          <w:sz w:val="28"/>
          <w:szCs w:val="28"/>
        </w:rPr>
      </w:pPr>
      <w:r>
        <w:rPr>
          <w:rFonts w:ascii="Arial Black" w:hAnsi="Arial Black"/>
          <w:b/>
          <w:bCs/>
          <w:sz w:val="28"/>
          <w:szCs w:val="28"/>
        </w:rPr>
        <w:t xml:space="preserve">MA: CAPTAIN PSYCHIATRICT EXAM – FIRE CHIEF DENIED IMMUNITY – ALLEGED RETALIATION / BREACH OF FMLA </w:t>
      </w:r>
    </w:p>
    <w:p w14:paraId="1800C362" w14:textId="77777777" w:rsidR="00BD3FE4" w:rsidRDefault="00BD3FE4" w:rsidP="00BD3FE4">
      <w:pPr>
        <w:pStyle w:val="NormalWeb"/>
      </w:pPr>
      <w:r w:rsidRPr="00944162">
        <w:t xml:space="preserve">On </w:t>
      </w:r>
      <w:r>
        <w:t xml:space="preserve">Jan. 26, 2022, in </w:t>
      </w:r>
      <w:r w:rsidRPr="00944162">
        <w:rPr>
          <w:u w:val="single"/>
        </w:rPr>
        <w:t>Andrew Brennan v. City of Everett and Anthony Carli</w:t>
      </w:r>
      <w:r>
        <w:t>, the Appeals Court of Massachusetts held (3 to 0; unpublished decision) that trial judge properly denied the Fire Chief Anthony Carli’s  motion to be dismissed from lawsuit based on qualified immunity.  “</w:t>
      </w:r>
      <w:r w:rsidRPr="00DE5CFC">
        <w:t>Here, Brennan alleged that Carli placed him on leave and provided false information to medical evaluators under the false belief that Brennan was mentally unfit.</w:t>
      </w:r>
      <w:r>
        <w:t xml:space="preserve">” </w:t>
      </w:r>
      <w:hyperlink r:id="rId2452" w:history="1">
        <w:r w:rsidRPr="003B2357">
          <w:rPr>
            <w:rStyle w:val="Hyperlink"/>
            <w:rFonts w:eastAsiaTheme="majorEastAsia"/>
          </w:rPr>
          <w:t>https://public.fastcase.com/9SKwsfNqTc6OieYDhNMyM%2BsbSTu241pOZ38l1fL3GtOxRE1iLhH6RZm0FIyTdVeF1XRK6Ebg7B5equTDg4ZQiMxFMDQEZko4UYsaxrmOuYk%3D</w:t>
        </w:r>
      </w:hyperlink>
      <w:r>
        <w:t xml:space="preserve"> </w:t>
      </w:r>
      <w:r w:rsidRPr="00266965">
        <w:t xml:space="preserve"> </w:t>
      </w:r>
      <w:r>
        <w:t xml:space="preserve"> </w:t>
      </w:r>
    </w:p>
    <w:p w14:paraId="2A469E66" w14:textId="7EC0D23D" w:rsidR="00BD3FE4" w:rsidRDefault="00BD3FE4" w:rsidP="00BD3FE4">
      <w:pPr>
        <w:spacing w:before="100" w:beforeAutospacing="1" w:after="100" w:afterAutospacing="1" w:line="240" w:lineRule="auto"/>
        <w:rPr>
          <w:rFonts w:ascii="Times New Roman" w:hAnsi="Times New Roman"/>
          <w:b/>
          <w:bCs/>
          <w:sz w:val="24"/>
          <w:szCs w:val="24"/>
        </w:rPr>
      </w:pPr>
      <w:r w:rsidRPr="003B747D">
        <w:rPr>
          <w:rFonts w:ascii="Times New Roman" w:hAnsi="Times New Roman"/>
          <w:b/>
          <w:bCs/>
          <w:sz w:val="24"/>
          <w:szCs w:val="24"/>
        </w:rPr>
        <w:t>Legal Lesson Learned:</w:t>
      </w:r>
      <w:r>
        <w:rPr>
          <w:rFonts w:ascii="Times New Roman" w:hAnsi="Times New Roman"/>
          <w:b/>
          <w:bCs/>
          <w:sz w:val="24"/>
          <w:szCs w:val="24"/>
        </w:rPr>
        <w:t xml:space="preserve">  If employee may need psychiatric evaluation, provide specific information to the medical evaluators; and if employee asks about FMLA, provide form to request leave.  </w:t>
      </w:r>
    </w:p>
    <w:p w14:paraId="06CE7F4D" w14:textId="77777777" w:rsidR="00FB73E3" w:rsidRDefault="00FB73E3" w:rsidP="00BD3FE4">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ab/>
      </w:r>
      <w:r w:rsidRPr="00FB73E3">
        <w:rPr>
          <w:rFonts w:ascii="Times New Roman" w:hAnsi="Times New Roman"/>
          <w:sz w:val="24"/>
          <w:szCs w:val="24"/>
        </w:rPr>
        <w:t>Note:</w:t>
      </w:r>
      <w:r>
        <w:rPr>
          <w:rFonts w:ascii="Times New Roman" w:hAnsi="Times New Roman"/>
          <w:sz w:val="24"/>
          <w:szCs w:val="24"/>
        </w:rPr>
        <w:t xml:space="preserve"> The Court wrote:</w:t>
      </w:r>
    </w:p>
    <w:p w14:paraId="464E7BC6" w14:textId="3AF66325" w:rsidR="00FB73E3" w:rsidRPr="003B747D" w:rsidRDefault="00FB73E3" w:rsidP="00FB73E3">
      <w:pPr>
        <w:spacing w:before="100" w:beforeAutospacing="1" w:after="100" w:afterAutospacing="1" w:line="240" w:lineRule="auto"/>
        <w:ind w:left="720"/>
        <w:rPr>
          <w:rFonts w:ascii="Times New Roman" w:hAnsi="Times New Roman"/>
          <w:b/>
          <w:bCs/>
          <w:sz w:val="24"/>
          <w:szCs w:val="24"/>
        </w:rPr>
      </w:pPr>
      <w:r w:rsidRPr="00DE5CFC">
        <w:rPr>
          <w:rFonts w:ascii="Times New Roman" w:eastAsia="Times New Roman" w:hAnsi="Times New Roman"/>
          <w:i/>
          <w:iCs/>
          <w:sz w:val="24"/>
          <w:szCs w:val="24"/>
        </w:rPr>
        <w:t>FMLA interference claim</w:t>
      </w:r>
      <w:r w:rsidRPr="00DE5CFC">
        <w:rPr>
          <w:rFonts w:ascii="Times New Roman" w:eastAsia="Times New Roman" w:hAnsi="Times New Roman"/>
          <w:sz w:val="24"/>
          <w:szCs w:val="24"/>
        </w:rPr>
        <w:t xml:space="preserve">. Employers are required to notify employees of their FMLA rights and to respond promptly to employee questions about the applicability and procedures for FMLA leave. See 29 C.F.R. §§ 825.300 (c)(1), (d) (2019). More specifically, an employer must provide an employee who requests FMLA leave with notice of eligibility within five business days absent extenuating circumstances. See 29 C.F.R. § 825.300(b)(1) (2019). Here, Brennan claimed that Carli interfered with his FMLA rights by refusing to provide him with information about these rights upon </w:t>
      </w:r>
      <w:proofErr w:type="gramStart"/>
      <w:r w:rsidRPr="00DE5CFC">
        <w:rPr>
          <w:rFonts w:ascii="Times New Roman" w:eastAsia="Times New Roman" w:hAnsi="Times New Roman"/>
          <w:sz w:val="24"/>
          <w:szCs w:val="24"/>
        </w:rPr>
        <w:t>request</w:t>
      </w:r>
      <w:proofErr w:type="gramEnd"/>
      <w:r w:rsidRPr="00DE5CFC">
        <w:rPr>
          <w:rFonts w:ascii="Times New Roman" w:eastAsia="Times New Roman" w:hAnsi="Times New Roman"/>
          <w:sz w:val="24"/>
          <w:szCs w:val="24"/>
        </w:rPr>
        <w:t xml:space="preserve"> thereby causing </w:t>
      </w:r>
      <w:proofErr w:type="gramStart"/>
      <w:r w:rsidRPr="00DE5CFC">
        <w:rPr>
          <w:rFonts w:ascii="Times New Roman" w:eastAsia="Times New Roman" w:hAnsi="Times New Roman"/>
          <w:sz w:val="24"/>
          <w:szCs w:val="24"/>
        </w:rPr>
        <w:t>damages</w:t>
      </w:r>
      <w:proofErr w:type="gramEnd"/>
      <w:r w:rsidRPr="00DE5CFC">
        <w:rPr>
          <w:rFonts w:ascii="Times New Roman" w:eastAsia="Times New Roman" w:hAnsi="Times New Roman"/>
          <w:sz w:val="24"/>
          <w:szCs w:val="24"/>
        </w:rPr>
        <w:t xml:space="preserve">. On these facts, the complaint alleged violations of clearly established law of which a reasonable fire chief would be aware. Cf. </w:t>
      </w:r>
      <w:r w:rsidRPr="00DE5CFC">
        <w:rPr>
          <w:rFonts w:ascii="Times New Roman" w:eastAsia="Times New Roman" w:hAnsi="Times New Roman"/>
          <w:i/>
          <w:iCs/>
          <w:sz w:val="24"/>
          <w:szCs w:val="24"/>
        </w:rPr>
        <w:t>Crevier</w:t>
      </w:r>
      <w:r w:rsidRPr="00DE5CFC">
        <w:rPr>
          <w:rFonts w:ascii="Times New Roman" w:eastAsia="Times New Roman" w:hAnsi="Times New Roman"/>
          <w:sz w:val="24"/>
          <w:szCs w:val="24"/>
        </w:rPr>
        <w:t xml:space="preserve"> </w:t>
      </w:r>
      <w:r w:rsidRPr="00DE5CFC">
        <w:rPr>
          <w:rFonts w:ascii="Times New Roman" w:eastAsia="Times New Roman" w:hAnsi="Times New Roman"/>
          <w:i/>
          <w:iCs/>
          <w:sz w:val="24"/>
          <w:szCs w:val="24"/>
        </w:rPr>
        <w:t>v. Spencer</w:t>
      </w:r>
      <w:r w:rsidRPr="00DE5CFC">
        <w:rPr>
          <w:rFonts w:ascii="Times New Roman" w:eastAsia="Times New Roman" w:hAnsi="Times New Roman"/>
          <w:sz w:val="24"/>
          <w:szCs w:val="24"/>
        </w:rPr>
        <w:t>, 600 F.Supp.2d 242, 257 (D. Mass. 2008) (</w:t>
      </w:r>
      <w:r>
        <w:rPr>
          <w:rFonts w:ascii="Times New Roman" w:eastAsia="Times New Roman" w:hAnsi="Times New Roman"/>
          <w:sz w:val="24"/>
          <w:szCs w:val="24"/>
        </w:rPr>
        <w:t>‘</w:t>
      </w:r>
      <w:r w:rsidRPr="00DE5CFC">
        <w:rPr>
          <w:rFonts w:ascii="Times New Roman" w:eastAsia="Times New Roman" w:hAnsi="Times New Roman"/>
          <w:sz w:val="24"/>
          <w:szCs w:val="24"/>
        </w:rPr>
        <w:t>employer's failure to explain FMLA procedures can constitute interference with employee's FMLA rights</w:t>
      </w:r>
      <w:r>
        <w:rPr>
          <w:rFonts w:ascii="Times New Roman" w:eastAsia="Times New Roman" w:hAnsi="Times New Roman"/>
          <w:sz w:val="24"/>
          <w:szCs w:val="24"/>
        </w:rPr>
        <w:t>’</w:t>
      </w:r>
      <w:r w:rsidRPr="00DE5CFC">
        <w:rPr>
          <w:rFonts w:ascii="Times New Roman" w:eastAsia="Times New Roman" w:hAnsi="Times New Roman"/>
          <w:sz w:val="24"/>
          <w:szCs w:val="24"/>
        </w:rPr>
        <w:t xml:space="preserve"> [quotation and citation omitted]).</w:t>
      </w:r>
      <w:r>
        <w:rPr>
          <w:rFonts w:ascii="Times New Roman" w:eastAsia="Times New Roman" w:hAnsi="Times New Roman"/>
          <w:sz w:val="24"/>
          <w:szCs w:val="24"/>
        </w:rPr>
        <w:t xml:space="preserve">” </w:t>
      </w:r>
      <w:hyperlink r:id="rId2453" w:history="1">
        <w:r w:rsidRPr="003B2357">
          <w:rPr>
            <w:rStyle w:val="Hyperlink"/>
            <w:rFonts w:ascii="Times New Roman" w:eastAsia="Times New Roman" w:hAnsi="Times New Roman"/>
            <w:sz w:val="24"/>
            <w:szCs w:val="24"/>
          </w:rPr>
          <w:t>https://public.fastcase.com/9SKwsfNqTc6OieYDhNMyM%2BsbSTu241pOZ38l1fL3GtOxRE1iLhH6RZm0FIyTdVeF1XRK6Ebg7B5equTDg4ZQiMxFMDQEZko4UYsaxrmOuYk%3D</w:t>
        </w:r>
      </w:hyperlink>
    </w:p>
    <w:p w14:paraId="4E4C707C" w14:textId="77777777" w:rsidR="00BD3FE4" w:rsidRDefault="00BD3FE4" w:rsidP="000C4DF5">
      <w:pPr>
        <w:pStyle w:val="NoSpacing"/>
        <w:rPr>
          <w:rFonts w:ascii="Arial Black" w:hAnsi="Arial Black"/>
          <w:sz w:val="24"/>
          <w:szCs w:val="24"/>
        </w:rPr>
      </w:pPr>
    </w:p>
    <w:p w14:paraId="25D50362" w14:textId="77777777" w:rsidR="00BD3FE4" w:rsidRDefault="00BD3FE4" w:rsidP="000C4DF5">
      <w:pPr>
        <w:pStyle w:val="NoSpacing"/>
        <w:rPr>
          <w:rFonts w:ascii="Arial Black" w:hAnsi="Arial Black"/>
          <w:sz w:val="24"/>
          <w:szCs w:val="24"/>
        </w:rPr>
      </w:pPr>
    </w:p>
    <w:p w14:paraId="3975DF93" w14:textId="77777777" w:rsidR="00BD3FE4" w:rsidRDefault="00BD3FE4" w:rsidP="000C4DF5">
      <w:pPr>
        <w:pStyle w:val="NoSpacing"/>
        <w:rPr>
          <w:rFonts w:ascii="Arial Black" w:hAnsi="Arial Black"/>
          <w:sz w:val="24"/>
          <w:szCs w:val="24"/>
        </w:rPr>
      </w:pPr>
    </w:p>
    <w:p w14:paraId="4484AD43" w14:textId="77EF7C06" w:rsidR="00FF5FCF" w:rsidRDefault="00FF5FCF" w:rsidP="000C4DF5">
      <w:pPr>
        <w:pStyle w:val="NoSpacing"/>
        <w:rPr>
          <w:rFonts w:ascii="Arial Black" w:hAnsi="Arial Black"/>
          <w:sz w:val="24"/>
          <w:szCs w:val="24"/>
        </w:rPr>
      </w:pPr>
      <w:r>
        <w:rPr>
          <w:rFonts w:ascii="Arial Black" w:hAnsi="Arial Black"/>
          <w:sz w:val="24"/>
          <w:szCs w:val="24"/>
        </w:rPr>
        <w:t>15-13</w:t>
      </w:r>
    </w:p>
    <w:p w14:paraId="2B2759EB" w14:textId="77777777" w:rsidR="00FF5FCF" w:rsidRPr="00CD0CC5" w:rsidRDefault="00FF5FCF" w:rsidP="00FF5FCF">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b/>
          <w:bCs/>
          <w:sz w:val="28"/>
          <w:szCs w:val="28"/>
        </w:rPr>
        <w:t xml:space="preserve">NY:  PTSD - </w:t>
      </w:r>
      <w:r>
        <w:rPr>
          <w:rFonts w:ascii="Arial Black" w:eastAsia="Times New Roman" w:hAnsi="Arial Black"/>
          <w:sz w:val="28"/>
          <w:szCs w:val="28"/>
        </w:rPr>
        <w:t>BASED ON SEVERAL INCIDENTS 26 YRS ON FD –</w:t>
      </w:r>
      <w:r>
        <w:rPr>
          <w:rFonts w:ascii="Arial Black" w:eastAsia="Times New Roman" w:hAnsi="Arial Black"/>
          <w:b/>
          <w:bCs/>
          <w:sz w:val="28"/>
          <w:szCs w:val="28"/>
        </w:rPr>
        <w:t>WOR</w:t>
      </w:r>
      <w:r>
        <w:rPr>
          <w:rFonts w:ascii="Arial Black" w:eastAsia="Times New Roman" w:hAnsi="Arial Black"/>
          <w:sz w:val="28"/>
          <w:szCs w:val="28"/>
        </w:rPr>
        <w:t>KER’S COMP – DON’T NEED “EXTRAORDINARY” EVENT</w:t>
      </w:r>
    </w:p>
    <w:p w14:paraId="1FB14744" w14:textId="77777777" w:rsidR="00FF5FCF" w:rsidRPr="002D426A" w:rsidRDefault="00FF5FCF" w:rsidP="00FF5FCF">
      <w:pPr>
        <w:spacing w:before="100" w:beforeAutospacing="1" w:after="100" w:afterAutospacing="1" w:line="240" w:lineRule="auto"/>
        <w:rPr>
          <w:rFonts w:ascii="Times New Roman" w:eastAsia="Times New Roman" w:hAnsi="Times New Roman"/>
          <w:sz w:val="24"/>
          <w:szCs w:val="24"/>
        </w:rPr>
      </w:pPr>
      <w:r w:rsidRPr="00CD0CC5">
        <w:rPr>
          <w:rFonts w:ascii="Times New Roman" w:eastAsia="Times New Roman" w:hAnsi="Times New Roman"/>
          <w:sz w:val="24"/>
          <w:szCs w:val="24"/>
        </w:rPr>
        <w:t xml:space="preserve">On Dec. </w:t>
      </w:r>
      <w:r>
        <w:rPr>
          <w:rFonts w:ascii="Times New Roman" w:eastAsia="Times New Roman" w:hAnsi="Times New Roman"/>
          <w:sz w:val="24"/>
          <w:szCs w:val="24"/>
        </w:rPr>
        <w:t xml:space="preserve">23, 2021, </w:t>
      </w:r>
      <w:r w:rsidRPr="00CD0CC5">
        <w:rPr>
          <w:rFonts w:ascii="Times New Roman" w:eastAsia="Times New Roman" w:hAnsi="Times New Roman"/>
          <w:sz w:val="24"/>
          <w:szCs w:val="24"/>
          <w:u w:val="single"/>
        </w:rPr>
        <w:t>In the Matter of the Claim of Brian C. Reith v. City of Albany, and Workers. Compensation Board</w:t>
      </w:r>
      <w:r>
        <w:rPr>
          <w:rFonts w:ascii="Times New Roman" w:eastAsia="Times New Roman" w:hAnsi="Times New Roman"/>
          <w:sz w:val="24"/>
          <w:szCs w:val="24"/>
        </w:rPr>
        <w:t xml:space="preserve">, the Supreme Court of New York (Third Department, held (4 to 0) that the Workers Compensation Board is reversed and the firefighter is entitled to workers comp since he </w:t>
      </w:r>
      <w:r w:rsidRPr="00C46511">
        <w:rPr>
          <w:rFonts w:ascii="Times New Roman" w:eastAsia="Times New Roman" w:hAnsi="Times New Roman"/>
          <w:sz w:val="24"/>
          <w:szCs w:val="24"/>
        </w:rPr>
        <w:t>did “</w:t>
      </w:r>
      <w:r w:rsidRPr="00C46511">
        <w:rPr>
          <w:rFonts w:ascii="Times New Roman" w:hAnsi="Times New Roman"/>
          <w:sz w:val="24"/>
          <w:szCs w:val="24"/>
        </w:rPr>
        <w:t xml:space="preserve">sustain a </w:t>
      </w:r>
      <w:proofErr w:type="gramStart"/>
      <w:r w:rsidRPr="002D426A">
        <w:rPr>
          <w:rFonts w:ascii="Times New Roman" w:hAnsi="Times New Roman"/>
          <w:sz w:val="24"/>
          <w:szCs w:val="24"/>
        </w:rPr>
        <w:t>causally-related</w:t>
      </w:r>
      <w:proofErr w:type="gramEnd"/>
      <w:r w:rsidRPr="002D426A">
        <w:rPr>
          <w:rFonts w:ascii="Times New Roman" w:hAnsi="Times New Roman"/>
          <w:sz w:val="24"/>
          <w:szCs w:val="24"/>
        </w:rPr>
        <w:t xml:space="preserve"> psychological injury” based on several incidents. </w:t>
      </w:r>
      <w:r>
        <w:rPr>
          <w:rFonts w:ascii="Times New Roman" w:hAnsi="Times New Roman"/>
          <w:sz w:val="24"/>
          <w:szCs w:val="24"/>
        </w:rPr>
        <w:t xml:space="preserve"> New York in 2017 amended statute so no longer must prove stressful incident was “greater than that which other similarly situated workers experienced in the normal work environment.”</w:t>
      </w:r>
    </w:p>
    <w:p w14:paraId="6F07CCB3" w14:textId="77777777" w:rsidR="00FF5FCF" w:rsidRPr="00C46511" w:rsidRDefault="00FF5FCF" w:rsidP="00FF5FCF">
      <w:pPr>
        <w:spacing w:before="100" w:beforeAutospacing="1" w:after="100" w:afterAutospacing="1" w:line="240" w:lineRule="auto"/>
        <w:ind w:left="720"/>
        <w:rPr>
          <w:rFonts w:ascii="Times New Roman" w:eastAsia="Times New Roman" w:hAnsi="Times New Roman"/>
          <w:b/>
          <w:bCs/>
          <w:sz w:val="24"/>
          <w:szCs w:val="24"/>
        </w:rPr>
      </w:pPr>
      <w:r>
        <w:rPr>
          <w:rFonts w:ascii="Times New Roman" w:hAnsi="Times New Roman"/>
          <w:sz w:val="24"/>
          <w:szCs w:val="24"/>
        </w:rPr>
        <w:t>“</w:t>
      </w:r>
      <w:r w:rsidRPr="00C46511">
        <w:rPr>
          <w:rFonts w:ascii="Times New Roman" w:hAnsi="Times New Roman"/>
          <w:sz w:val="24"/>
          <w:szCs w:val="24"/>
        </w:rPr>
        <w:t xml:space="preserve">During the hearing, claimant explained that he had witnessed several traumatic incidents during his nearly 26-year career as a firefighter, including a suicide, a triple homicide of children, car accidents with fatalities and individuals who had been "dead for days stuck to the floor." He also recounted spraining his ankle after he slipped on brain matter while rendering aid to a victim, experiencing CPR regurgitation while attempting to resuscitate a fellow firefighter and dragging a woman out of a fire, which resulted in </w:t>
      </w:r>
      <w:r>
        <w:rPr>
          <w:rFonts w:ascii="Times New Roman" w:hAnsi="Times New Roman"/>
          <w:sz w:val="24"/>
          <w:szCs w:val="24"/>
        </w:rPr>
        <w:t>‘</w:t>
      </w:r>
      <w:proofErr w:type="spellStart"/>
      <w:r w:rsidRPr="00C46511">
        <w:rPr>
          <w:rFonts w:ascii="Times New Roman" w:hAnsi="Times New Roman"/>
          <w:sz w:val="24"/>
          <w:szCs w:val="24"/>
        </w:rPr>
        <w:t>deglov</w:t>
      </w:r>
      <w:proofErr w:type="spellEnd"/>
      <w:r w:rsidRPr="00C46511">
        <w:rPr>
          <w:rFonts w:ascii="Times New Roman" w:hAnsi="Times New Roman"/>
          <w:sz w:val="24"/>
          <w:szCs w:val="24"/>
        </w:rPr>
        <w:t>[</w:t>
      </w:r>
      <w:proofErr w:type="spellStart"/>
      <w:r w:rsidRPr="00C46511">
        <w:rPr>
          <w:rFonts w:ascii="Times New Roman" w:hAnsi="Times New Roman"/>
          <w:sz w:val="24"/>
          <w:szCs w:val="24"/>
        </w:rPr>
        <w:t>ing</w:t>
      </w:r>
      <w:proofErr w:type="spellEnd"/>
      <w:r w:rsidRPr="00C46511">
        <w:rPr>
          <w:rFonts w:ascii="Times New Roman" w:hAnsi="Times New Roman"/>
          <w:sz w:val="24"/>
          <w:szCs w:val="24"/>
        </w:rPr>
        <w:t>] her.</w:t>
      </w:r>
      <w:r>
        <w:rPr>
          <w:rFonts w:ascii="Times New Roman" w:hAnsi="Times New Roman"/>
          <w:sz w:val="24"/>
          <w:szCs w:val="24"/>
        </w:rPr>
        <w:t xml:space="preserve">’ *** We reverse. </w:t>
      </w:r>
      <w:r w:rsidRPr="002D426A">
        <w:rPr>
          <w:rFonts w:ascii="Times New Roman" w:hAnsi="Times New Roman"/>
          <w:sz w:val="24"/>
          <w:szCs w:val="24"/>
        </w:rPr>
        <w:t xml:space="preserve">Prior to the enactment of Workers' Compensation Law § 10 (3) (b) in April 2017 (see L 2017, </w:t>
      </w:r>
      <w:proofErr w:type="spellStart"/>
      <w:r w:rsidRPr="002D426A">
        <w:rPr>
          <w:rFonts w:ascii="Times New Roman" w:hAnsi="Times New Roman"/>
          <w:sz w:val="24"/>
          <w:szCs w:val="24"/>
        </w:rPr>
        <w:t>ch</w:t>
      </w:r>
      <w:proofErr w:type="spellEnd"/>
      <w:r w:rsidRPr="002D426A">
        <w:rPr>
          <w:rFonts w:ascii="Times New Roman" w:hAnsi="Times New Roman"/>
          <w:sz w:val="24"/>
          <w:szCs w:val="24"/>
        </w:rPr>
        <w:t xml:space="preserve"> 59, part NNN, subpart I, § 1), a claimant seeking to recover for a psychological injury was required to </w:t>
      </w:r>
      <w:r>
        <w:rPr>
          <w:rFonts w:ascii="Times New Roman" w:hAnsi="Times New Roman"/>
          <w:sz w:val="24"/>
          <w:szCs w:val="24"/>
        </w:rPr>
        <w:t>‘</w:t>
      </w:r>
      <w:r w:rsidRPr="002D426A">
        <w:rPr>
          <w:rFonts w:ascii="Times New Roman" w:hAnsi="Times New Roman"/>
          <w:sz w:val="24"/>
          <w:szCs w:val="24"/>
        </w:rPr>
        <w:t>demonstrate that the stress that caused the claimed mental injury was greater than that which other similarly situated workers experienced in the normal work environment</w:t>
      </w:r>
      <w:r>
        <w:rPr>
          <w:rFonts w:ascii="Times New Roman" w:hAnsi="Times New Roman"/>
          <w:sz w:val="24"/>
          <w:szCs w:val="24"/>
        </w:rPr>
        <w:t xml:space="preserve">’ … </w:t>
      </w:r>
      <w:r w:rsidRPr="002D426A">
        <w:rPr>
          <w:rFonts w:ascii="Times New Roman" w:hAnsi="Times New Roman"/>
          <w:sz w:val="24"/>
          <w:szCs w:val="24"/>
        </w:rPr>
        <w:t xml:space="preserve">The statutory amendment, however, effectively removed that hurdle for certain first responders by providing, as relevant here, that where a firefighter </w:t>
      </w:r>
      <w:r>
        <w:rPr>
          <w:rFonts w:ascii="Times New Roman" w:hAnsi="Times New Roman"/>
          <w:sz w:val="24"/>
          <w:szCs w:val="24"/>
        </w:rPr>
        <w:t>‘</w:t>
      </w:r>
      <w:r w:rsidRPr="002D426A">
        <w:rPr>
          <w:rFonts w:ascii="Times New Roman" w:hAnsi="Times New Roman"/>
          <w:sz w:val="24"/>
          <w:szCs w:val="24"/>
        </w:rPr>
        <w:t>files a claim for mental injury premised upon extraordinary work-related stress incurred in a work-related emergency, the [B]</w:t>
      </w:r>
      <w:proofErr w:type="spellStart"/>
      <w:r w:rsidRPr="002D426A">
        <w:rPr>
          <w:rFonts w:ascii="Times New Roman" w:hAnsi="Times New Roman"/>
          <w:sz w:val="24"/>
          <w:szCs w:val="24"/>
        </w:rPr>
        <w:t>oard</w:t>
      </w:r>
      <w:proofErr w:type="spellEnd"/>
      <w:r w:rsidRPr="002D426A">
        <w:rPr>
          <w:rFonts w:ascii="Times New Roman" w:hAnsi="Times New Roman"/>
          <w:sz w:val="24"/>
          <w:szCs w:val="24"/>
        </w:rPr>
        <w:t xml:space="preserve"> may not disallow the claim, upon a factual finding that the stress was not greater than that which usually occurs in the normal work environment</w:t>
      </w:r>
      <w:r>
        <w:rPr>
          <w:rFonts w:ascii="Times New Roman" w:hAnsi="Times New Roman"/>
          <w:sz w:val="24"/>
          <w:szCs w:val="24"/>
        </w:rPr>
        <w:t>’</w:t>
      </w:r>
      <w:r w:rsidRPr="002D426A">
        <w:rPr>
          <w:rFonts w:ascii="Times New Roman" w:hAnsi="Times New Roman"/>
          <w:sz w:val="24"/>
          <w:szCs w:val="24"/>
        </w:rPr>
        <w:t xml:space="preserve"> (Workers' Compensation Law § 10 [3] [b]; see Matter of McMillan v Town of New Castle, 162 A.D.3d 1425, 1426 [2018]).</w:t>
      </w:r>
      <w:r>
        <w:rPr>
          <w:rFonts w:ascii="Times New Roman" w:hAnsi="Times New Roman"/>
          <w:sz w:val="24"/>
          <w:szCs w:val="24"/>
        </w:rPr>
        <w:t xml:space="preserve">” </w:t>
      </w:r>
      <w:hyperlink r:id="rId2454" w:history="1">
        <w:r w:rsidRPr="00EC5853">
          <w:rPr>
            <w:rStyle w:val="Hyperlink"/>
            <w:rFonts w:ascii="Times New Roman" w:hAnsi="Times New Roman"/>
            <w:sz w:val="24"/>
            <w:szCs w:val="24"/>
          </w:rPr>
          <w:t>https://law.justia.com/cases/new-york/appellate-division-third-department/2021/532779.html</w:t>
        </w:r>
      </w:hyperlink>
      <w:r>
        <w:rPr>
          <w:rFonts w:ascii="Times New Roman" w:hAnsi="Times New Roman"/>
          <w:sz w:val="24"/>
          <w:szCs w:val="24"/>
        </w:rPr>
        <w:t xml:space="preserve"> </w:t>
      </w:r>
    </w:p>
    <w:p w14:paraId="277BA0BB" w14:textId="77777777" w:rsidR="00AC5DED" w:rsidRPr="00E21469" w:rsidRDefault="00AC5DED" w:rsidP="00AC5DED">
      <w:pPr>
        <w:spacing w:before="100" w:beforeAutospacing="1" w:after="100" w:afterAutospacing="1" w:line="240" w:lineRule="auto"/>
        <w:rPr>
          <w:rFonts w:ascii="Times New Roman" w:eastAsia="Times New Roman" w:hAnsi="Times New Roman"/>
          <w:b/>
          <w:bCs/>
          <w:sz w:val="24"/>
          <w:szCs w:val="24"/>
        </w:rPr>
      </w:pPr>
      <w:r w:rsidRPr="00E21469">
        <w:rPr>
          <w:rFonts w:ascii="Times New Roman" w:hAnsi="Times New Roman"/>
          <w:b/>
          <w:bCs/>
          <w:sz w:val="24"/>
          <w:szCs w:val="24"/>
        </w:rPr>
        <w:t>Legal Lesson Learned:</w:t>
      </w:r>
      <w:r>
        <w:rPr>
          <w:rFonts w:ascii="Times New Roman" w:hAnsi="Times New Roman"/>
          <w:b/>
          <w:bCs/>
          <w:sz w:val="24"/>
          <w:szCs w:val="24"/>
        </w:rPr>
        <w:t xml:space="preserve"> Great decision, and helpful statute, recognizing that PTSD can arise from multiple incidents. </w:t>
      </w:r>
    </w:p>
    <w:p w14:paraId="4CD1FAD4" w14:textId="77777777" w:rsidR="00AC5DED" w:rsidRDefault="00AC5DED" w:rsidP="00AC5DE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The Workers Comp. Board wisely recognized the 2017 statutory amendment applied to multiple incidents, not just a singular event. </w:t>
      </w:r>
    </w:p>
    <w:p w14:paraId="2E906923" w14:textId="77777777" w:rsidR="00AC5DED" w:rsidRDefault="00AC5DED" w:rsidP="00AC5DED">
      <w:pPr>
        <w:spacing w:before="100" w:beforeAutospacing="1" w:after="100" w:afterAutospacing="1" w:line="240" w:lineRule="auto"/>
        <w:ind w:left="1440"/>
        <w:rPr>
          <w:rFonts w:ascii="Times New Roman" w:hAnsi="Times New Roman"/>
          <w:sz w:val="24"/>
          <w:szCs w:val="24"/>
        </w:rPr>
      </w:pPr>
      <w:r>
        <w:rPr>
          <w:rFonts w:ascii="Times New Roman" w:hAnsi="Times New Roman"/>
          <w:sz w:val="24"/>
          <w:szCs w:val="24"/>
        </w:rPr>
        <w:t>Footnote 1: “</w:t>
      </w:r>
      <w:r w:rsidRPr="00E21469">
        <w:rPr>
          <w:rFonts w:ascii="Times New Roman" w:hAnsi="Times New Roman"/>
          <w:sz w:val="24"/>
          <w:szCs w:val="24"/>
        </w:rPr>
        <w:t xml:space="preserve">The Board initially ruled - citing the singular form of the phrase </w:t>
      </w:r>
      <w:r>
        <w:rPr>
          <w:rFonts w:ascii="Times New Roman" w:hAnsi="Times New Roman"/>
          <w:sz w:val="24"/>
          <w:szCs w:val="24"/>
        </w:rPr>
        <w:t>‘</w:t>
      </w:r>
      <w:r w:rsidRPr="00E21469">
        <w:rPr>
          <w:rFonts w:ascii="Times New Roman" w:hAnsi="Times New Roman"/>
          <w:sz w:val="24"/>
          <w:szCs w:val="24"/>
        </w:rPr>
        <w:t>in a work-related emergency</w:t>
      </w:r>
      <w:r>
        <w:rPr>
          <w:rFonts w:ascii="Times New Roman" w:hAnsi="Times New Roman"/>
          <w:sz w:val="24"/>
          <w:szCs w:val="24"/>
        </w:rPr>
        <w:t>’</w:t>
      </w:r>
      <w:r w:rsidRPr="00E21469">
        <w:rPr>
          <w:rFonts w:ascii="Times New Roman" w:hAnsi="Times New Roman"/>
          <w:sz w:val="24"/>
          <w:szCs w:val="24"/>
        </w:rPr>
        <w:t xml:space="preserve"> - that the statutory amendment did not apply where the injury sustained was the product of stress-inducing events incurred over </w:t>
      </w:r>
      <w:proofErr w:type="gramStart"/>
      <w:r w:rsidRPr="00E21469">
        <w:rPr>
          <w:rFonts w:ascii="Times New Roman" w:hAnsi="Times New Roman"/>
          <w:sz w:val="24"/>
          <w:szCs w:val="24"/>
        </w:rPr>
        <w:t>a period of time</w:t>
      </w:r>
      <w:proofErr w:type="gramEnd"/>
      <w:r w:rsidRPr="00E21469">
        <w:rPr>
          <w:rFonts w:ascii="Times New Roman" w:hAnsi="Times New Roman"/>
          <w:sz w:val="24"/>
          <w:szCs w:val="24"/>
        </w:rPr>
        <w:t xml:space="preserve">. Upon reconsideration, the Board effectively reversed course, ruling that the amendment could apply where, as here, a claimant </w:t>
      </w:r>
      <w:r>
        <w:rPr>
          <w:rFonts w:ascii="Times New Roman" w:hAnsi="Times New Roman"/>
          <w:sz w:val="24"/>
          <w:szCs w:val="24"/>
        </w:rPr>
        <w:t>‘</w:t>
      </w:r>
      <w:r w:rsidRPr="00E21469">
        <w:rPr>
          <w:rFonts w:ascii="Times New Roman" w:hAnsi="Times New Roman"/>
          <w:sz w:val="24"/>
          <w:szCs w:val="24"/>
        </w:rPr>
        <w:t>alleges multiple incidents of exposure rather than one singular event</w:t>
      </w:r>
      <w:r>
        <w:rPr>
          <w:rFonts w:ascii="Times New Roman" w:hAnsi="Times New Roman"/>
          <w:sz w:val="24"/>
          <w:szCs w:val="24"/>
        </w:rPr>
        <w:t>’</w:t>
      </w:r>
      <w:r w:rsidRPr="00E21469">
        <w:rPr>
          <w:rFonts w:ascii="Times New Roman" w:hAnsi="Times New Roman"/>
          <w:sz w:val="24"/>
          <w:szCs w:val="24"/>
        </w:rPr>
        <w:t xml:space="preserve"> (citing Employer: Town of New Castle, 2018 WL 6132752, *4, 2018 NY Wrk Comp LEXIS 11628, *10 [WCB No. G140 4105, Nov. 16, 2018]).</w:t>
      </w:r>
      <w:r>
        <w:rPr>
          <w:rFonts w:ascii="Times New Roman" w:hAnsi="Times New Roman"/>
          <w:sz w:val="24"/>
          <w:szCs w:val="24"/>
        </w:rPr>
        <w:t>”</w:t>
      </w:r>
    </w:p>
    <w:p w14:paraId="751E408C" w14:textId="77777777" w:rsidR="00AC5DED" w:rsidRDefault="00AC5DED" w:rsidP="00AC5DED">
      <w:pPr>
        <w:ind w:left="720"/>
      </w:pPr>
      <w:r>
        <w:rPr>
          <w:rFonts w:ascii="Times New Roman" w:hAnsi="Times New Roman"/>
          <w:sz w:val="24"/>
          <w:szCs w:val="24"/>
        </w:rPr>
        <w:t xml:space="preserve">In Ohio, Governor DeWine on Jan. 9, </w:t>
      </w:r>
      <w:proofErr w:type="gramStart"/>
      <w:r>
        <w:rPr>
          <w:rFonts w:ascii="Times New Roman" w:hAnsi="Times New Roman"/>
          <w:sz w:val="24"/>
          <w:szCs w:val="24"/>
        </w:rPr>
        <w:t>2021</w:t>
      </w:r>
      <w:proofErr w:type="gramEnd"/>
      <w:r>
        <w:rPr>
          <w:rFonts w:ascii="Times New Roman" w:hAnsi="Times New Roman"/>
          <w:sz w:val="24"/>
          <w:szCs w:val="24"/>
        </w:rPr>
        <w:t xml:space="preserve"> signed into law House Bill 308, which created a fund for first responders who become disabled from PTSD, without any need to also have physical injury. See statutory language: </w:t>
      </w:r>
      <w:hyperlink r:id="rId2455" w:history="1">
        <w:r w:rsidRPr="00EC5853">
          <w:rPr>
            <w:rStyle w:val="Hyperlink"/>
            <w:rFonts w:ascii="Times New Roman" w:hAnsi="Times New Roman"/>
            <w:sz w:val="24"/>
            <w:szCs w:val="24"/>
          </w:rPr>
          <w:t>https://search-prod.lis.state.oh.us/solarapi/v1/general_assembly_133/bills/hb308/EN/06?format=pdf</w:t>
        </w:r>
      </w:hyperlink>
      <w:r>
        <w:rPr>
          <w:rFonts w:ascii="Times New Roman" w:hAnsi="Times New Roman"/>
          <w:sz w:val="24"/>
          <w:szCs w:val="24"/>
        </w:rPr>
        <w:t xml:space="preserve"> </w:t>
      </w:r>
    </w:p>
    <w:p w14:paraId="249F3D16" w14:textId="77777777" w:rsidR="00AC5DED" w:rsidRPr="00BF5169" w:rsidRDefault="00AC5DED" w:rsidP="00AC5DED">
      <w:pPr>
        <w:spacing w:before="100" w:beforeAutospacing="1" w:after="100" w:afterAutospacing="1" w:line="240" w:lineRule="auto"/>
        <w:ind w:left="1440"/>
        <w:rPr>
          <w:rFonts w:ascii="Times New Roman" w:hAnsi="Times New Roman"/>
          <w:sz w:val="24"/>
          <w:szCs w:val="24"/>
        </w:rPr>
      </w:pPr>
      <w:r w:rsidRPr="00BF5169">
        <w:rPr>
          <w:rFonts w:ascii="Times New Roman" w:hAnsi="Times New Roman"/>
          <w:sz w:val="24"/>
          <w:szCs w:val="24"/>
        </w:rPr>
        <w:t>Sec. 126.65. (A) The state post-traumatic stress fund is created in the state treasury. The</w:t>
      </w:r>
      <w:r>
        <w:rPr>
          <w:rFonts w:ascii="Times New Roman" w:hAnsi="Times New Roman"/>
          <w:sz w:val="24"/>
          <w:szCs w:val="24"/>
        </w:rPr>
        <w:t xml:space="preserve"> </w:t>
      </w:r>
      <w:r w:rsidRPr="00BF5169">
        <w:rPr>
          <w:rFonts w:ascii="Times New Roman" w:hAnsi="Times New Roman"/>
          <w:sz w:val="24"/>
          <w:szCs w:val="24"/>
        </w:rPr>
        <w:t>director of budget and management shall be the trustee of the fund.</w:t>
      </w:r>
      <w:r w:rsidRPr="00BF5169">
        <w:rPr>
          <w:rFonts w:ascii="Times New Roman" w:hAnsi="Times New Roman"/>
          <w:sz w:val="24"/>
          <w:szCs w:val="24"/>
        </w:rPr>
        <w:br/>
        <w:t>(B) The state post-traumatic stress fund shall be used for the following purposes:</w:t>
      </w:r>
      <w:r w:rsidRPr="00BF5169">
        <w:rPr>
          <w:rFonts w:ascii="Times New Roman" w:hAnsi="Times New Roman"/>
          <w:sz w:val="24"/>
          <w:szCs w:val="24"/>
        </w:rPr>
        <w:br/>
        <w:t>(1) Payment of compensation for lost wages that result from a public safety officer being</w:t>
      </w:r>
      <w:r>
        <w:rPr>
          <w:rFonts w:ascii="Times New Roman" w:hAnsi="Times New Roman"/>
          <w:sz w:val="24"/>
          <w:szCs w:val="24"/>
        </w:rPr>
        <w:t xml:space="preserve"> </w:t>
      </w:r>
      <w:r w:rsidRPr="00BF5169">
        <w:rPr>
          <w:rFonts w:ascii="Times New Roman" w:hAnsi="Times New Roman"/>
          <w:sz w:val="24"/>
          <w:szCs w:val="24"/>
        </w:rPr>
        <w:t>disabled by post-traumatic stress disorder received in the course of, and arising</w:t>
      </w:r>
      <w:r>
        <w:rPr>
          <w:rFonts w:ascii="Times New Roman" w:hAnsi="Times New Roman"/>
          <w:sz w:val="24"/>
          <w:szCs w:val="24"/>
        </w:rPr>
        <w:t xml:space="preserve"> </w:t>
      </w:r>
      <w:r w:rsidRPr="00BF5169">
        <w:rPr>
          <w:rFonts w:ascii="Times New Roman" w:hAnsi="Times New Roman"/>
          <w:sz w:val="24"/>
          <w:szCs w:val="24"/>
        </w:rPr>
        <w:t>out of, employment</w:t>
      </w:r>
      <w:r>
        <w:rPr>
          <w:rFonts w:ascii="Times New Roman" w:hAnsi="Times New Roman"/>
          <w:sz w:val="24"/>
          <w:szCs w:val="24"/>
        </w:rPr>
        <w:t xml:space="preserve"> </w:t>
      </w:r>
      <w:r w:rsidRPr="00BF5169">
        <w:rPr>
          <w:rFonts w:ascii="Times New Roman" w:hAnsi="Times New Roman"/>
          <w:sz w:val="24"/>
          <w:szCs w:val="24"/>
        </w:rPr>
        <w:t>as a public safety officer but without an accompanying physical injury.</w:t>
      </w:r>
      <w:r>
        <w:rPr>
          <w:rFonts w:ascii="Times New Roman" w:hAnsi="Times New Roman"/>
          <w:sz w:val="24"/>
          <w:szCs w:val="24"/>
        </w:rPr>
        <w:t>”</w:t>
      </w:r>
    </w:p>
    <w:p w14:paraId="15B3BB5B" w14:textId="77777777" w:rsidR="00FF5FCF" w:rsidRDefault="00FF5FCF" w:rsidP="000C4DF5">
      <w:pPr>
        <w:pStyle w:val="NoSpacing"/>
        <w:rPr>
          <w:rFonts w:ascii="Arial Black" w:hAnsi="Arial Black"/>
          <w:sz w:val="24"/>
          <w:szCs w:val="24"/>
        </w:rPr>
      </w:pPr>
    </w:p>
    <w:p w14:paraId="2A7D86C2" w14:textId="77777777" w:rsidR="00FF5FCF" w:rsidRDefault="00FF5FCF" w:rsidP="000C4DF5">
      <w:pPr>
        <w:pStyle w:val="NoSpacing"/>
        <w:rPr>
          <w:rFonts w:ascii="Arial Black" w:hAnsi="Arial Black"/>
          <w:sz w:val="24"/>
          <w:szCs w:val="24"/>
        </w:rPr>
      </w:pPr>
    </w:p>
    <w:p w14:paraId="3A709F00" w14:textId="30F7B8E9" w:rsidR="00663A6A" w:rsidRDefault="00BD1702" w:rsidP="000C4DF5">
      <w:pPr>
        <w:pStyle w:val="NoSpacing"/>
        <w:rPr>
          <w:rFonts w:ascii="Arial Black" w:hAnsi="Arial Black"/>
          <w:sz w:val="24"/>
          <w:szCs w:val="24"/>
        </w:rPr>
      </w:pPr>
      <w:r>
        <w:rPr>
          <w:rFonts w:ascii="Arial Black" w:hAnsi="Arial Black"/>
          <w:sz w:val="24"/>
          <w:szCs w:val="24"/>
        </w:rPr>
        <w:t>15-12</w:t>
      </w:r>
    </w:p>
    <w:p w14:paraId="3B86D474" w14:textId="77777777" w:rsidR="00BD1702" w:rsidRDefault="00BD1702" w:rsidP="00BD1702">
      <w:pPr>
        <w:pStyle w:val="NormalWeb"/>
        <w:rPr>
          <w:rFonts w:ascii="Arial Black" w:hAnsi="Arial Black"/>
          <w:b/>
          <w:bCs/>
          <w:sz w:val="28"/>
          <w:szCs w:val="28"/>
        </w:rPr>
      </w:pPr>
      <w:r>
        <w:rPr>
          <w:rFonts w:ascii="Arial Black" w:hAnsi="Arial Black"/>
          <w:b/>
          <w:bCs/>
          <w:sz w:val="28"/>
          <w:szCs w:val="28"/>
        </w:rPr>
        <w:t xml:space="preserve">PA: PET THERAPY DOG – IN COURT TO COMFORT 13-YEAR- OLD AUSTIC CHILD – WITNESS TO A MURDER </w:t>
      </w:r>
    </w:p>
    <w:p w14:paraId="3E914B38" w14:textId="77777777" w:rsidR="00BD1702" w:rsidRDefault="00BD1702" w:rsidP="00BD1702">
      <w:pPr>
        <w:pStyle w:val="NormalWeb"/>
      </w:pPr>
      <w:r>
        <w:t xml:space="preserve">On September 22, 2021, in </w:t>
      </w:r>
      <w:r>
        <w:rPr>
          <w:u w:val="single"/>
        </w:rPr>
        <w:t>Commonwealth of Pennsylvania v. Sheron Jalen Purnell</w:t>
      </w:r>
      <w:r>
        <w:t xml:space="preserve">, the Supreme Court of Pennsylvania (Middle District) held (7 to 0) that judge properly allowed the comfort dog in the courtroom, and upheld jury verdict of guilty of third-degree murder and sentence of 20.5 to 47 years of imprisonment. </w:t>
      </w:r>
    </w:p>
    <w:p w14:paraId="66FF7E74" w14:textId="77777777" w:rsidR="00BD1702" w:rsidRDefault="00BD1702" w:rsidP="00BD1702">
      <w:pPr>
        <w:pStyle w:val="NormalWeb"/>
        <w:ind w:left="720"/>
      </w:pPr>
      <w:r>
        <w:t xml:space="preserve">“We granted allowance of appeal in this matter to consider the appropriate test to apply to a trial court’s determination concerning whether a witness in a criminal case may utilize a ‘comfort dog’ for support during his or her trial testimony. We hold that a trial court should balance the degree to which the accommodation will assist the witness in testifying in a truthful manner against any possible prejudice </w:t>
      </w:r>
      <w:proofErr w:type="gramStart"/>
      <w:r>
        <w:t>to</w:t>
      </w:r>
      <w:proofErr w:type="gramEnd"/>
      <w:r>
        <w:t xml:space="preserve"> the defendant’s right to a fair trial. Here, the trial court allowed a witness to testify with the assistance of a comfort dog, and the Superior Court concluded that the trial court did not abuse its discretion in this regard. For the reasons stated below, we agree with the Superior Court and, therefore, affirm that court’s judgment.</w:t>
      </w:r>
    </w:p>
    <w:p w14:paraId="72A3238B" w14:textId="77777777" w:rsidR="00BD1702" w:rsidRDefault="00BD1702" w:rsidP="00BD1702">
      <w:pPr>
        <w:pStyle w:val="NormalWeb"/>
        <w:ind w:left="720"/>
      </w:pPr>
      <w:r>
        <w:t>***</w:t>
      </w:r>
    </w:p>
    <w:p w14:paraId="779791EA" w14:textId="77777777" w:rsidR="00BD1702" w:rsidRDefault="00BD1702" w:rsidP="00BD1702">
      <w:pPr>
        <w:pStyle w:val="NormalWeb"/>
        <w:ind w:left="720"/>
      </w:pPr>
      <w:r>
        <w:t xml:space="preserve">The court noted that: (1) its legal reasoning for allowing the dog to be present could be found on the record; (2) the dog was situated under the witness box prior to the jury entering the courtroom and could not be seen by the jury, and (3) it provided instructions to the jury concerning the presence of the dog.”  </w:t>
      </w:r>
      <w:hyperlink r:id="rId2456" w:history="1">
        <w:r>
          <w:rPr>
            <w:rStyle w:val="Hyperlink"/>
          </w:rPr>
          <w:t>https://casetext.com/case/commonwealth-v-purnell-10</w:t>
        </w:r>
      </w:hyperlink>
      <w:r>
        <w:t xml:space="preserve"> </w:t>
      </w:r>
    </w:p>
    <w:p w14:paraId="4F9F6DE5" w14:textId="77777777" w:rsidR="00BD1702" w:rsidRDefault="00BD1702" w:rsidP="00BD1702">
      <w:pPr>
        <w:pStyle w:val="Heading1"/>
        <w:rPr>
          <w:sz w:val="24"/>
          <w:szCs w:val="24"/>
        </w:rPr>
      </w:pPr>
      <w:r>
        <w:rPr>
          <w:sz w:val="24"/>
          <w:szCs w:val="24"/>
        </w:rPr>
        <w:t xml:space="preserve">Legal Lesson Learned: Great decision! Dogs can also comfort emergency responders. </w:t>
      </w:r>
    </w:p>
    <w:p w14:paraId="59782E83" w14:textId="31639F4C" w:rsidR="00BD1702" w:rsidRDefault="00BD1702" w:rsidP="00BD1702">
      <w:pPr>
        <w:pStyle w:val="NoSpacing"/>
        <w:ind w:left="720"/>
        <w:rPr>
          <w:rFonts w:ascii="Arial Black" w:hAnsi="Arial Black"/>
          <w:sz w:val="24"/>
          <w:szCs w:val="24"/>
        </w:rPr>
      </w:pPr>
      <w:r>
        <w:rPr>
          <w:sz w:val="24"/>
          <w:szCs w:val="24"/>
        </w:rPr>
        <w:t xml:space="preserve">See article: “Comfort Dogs Allowed </w:t>
      </w:r>
      <w:proofErr w:type="gramStart"/>
      <w:r>
        <w:rPr>
          <w:sz w:val="24"/>
          <w:szCs w:val="24"/>
        </w:rPr>
        <w:t>For</w:t>
      </w:r>
      <w:proofErr w:type="gramEnd"/>
      <w:r>
        <w:rPr>
          <w:sz w:val="24"/>
          <w:szCs w:val="24"/>
        </w:rPr>
        <w:t xml:space="preserve"> Some During Criminal Trials, PA Supreme Court Rules (9/22/2021).” </w:t>
      </w:r>
      <w:hyperlink r:id="rId2457" w:history="1">
        <w:r w:rsidRPr="00936B2D">
          <w:rPr>
            <w:rStyle w:val="Hyperlink"/>
            <w:b/>
            <w:bCs/>
            <w:sz w:val="24"/>
            <w:szCs w:val="24"/>
          </w:rPr>
          <w:t>https://dailyvoice.com/pennsylvania/chester/news/comfort-dogs-allowed-for-some-during-criminal-trials-pa-supreme-court-rules/816798/</w:t>
        </w:r>
      </w:hyperlink>
    </w:p>
    <w:p w14:paraId="2DFEE32E" w14:textId="77777777" w:rsidR="00BD1702" w:rsidRDefault="00BD1702" w:rsidP="000C4DF5">
      <w:pPr>
        <w:pStyle w:val="NoSpacing"/>
        <w:rPr>
          <w:rFonts w:ascii="Arial Black" w:hAnsi="Arial Black"/>
          <w:sz w:val="24"/>
          <w:szCs w:val="24"/>
        </w:rPr>
      </w:pPr>
      <w:bookmarkStart w:id="577" w:name="_Hlk66950092"/>
    </w:p>
    <w:p w14:paraId="041FD798" w14:textId="77777777" w:rsidR="00BD1702" w:rsidRDefault="00BD1702" w:rsidP="000C4DF5">
      <w:pPr>
        <w:pStyle w:val="NoSpacing"/>
        <w:rPr>
          <w:rFonts w:ascii="Arial Black" w:hAnsi="Arial Black"/>
          <w:sz w:val="24"/>
          <w:szCs w:val="24"/>
        </w:rPr>
      </w:pPr>
    </w:p>
    <w:p w14:paraId="694FA015" w14:textId="265E20DF" w:rsidR="00F37F48" w:rsidRDefault="00F37F48" w:rsidP="000C4DF5">
      <w:pPr>
        <w:pStyle w:val="NoSpacing"/>
        <w:rPr>
          <w:rFonts w:ascii="Arial Black" w:hAnsi="Arial Black"/>
          <w:sz w:val="24"/>
          <w:szCs w:val="24"/>
        </w:rPr>
      </w:pPr>
      <w:r>
        <w:rPr>
          <w:rFonts w:ascii="Arial Black" w:hAnsi="Arial Black"/>
          <w:sz w:val="24"/>
          <w:szCs w:val="24"/>
        </w:rPr>
        <w:t>15-11</w:t>
      </w:r>
    </w:p>
    <w:p w14:paraId="67BD830B" w14:textId="6C591B07" w:rsidR="00F37F48" w:rsidRDefault="00F37F48" w:rsidP="000C4DF5">
      <w:pPr>
        <w:pStyle w:val="NoSpacing"/>
        <w:rPr>
          <w:rFonts w:ascii="Arial Black" w:hAnsi="Arial Black"/>
          <w:sz w:val="24"/>
          <w:szCs w:val="24"/>
        </w:rPr>
      </w:pPr>
    </w:p>
    <w:p w14:paraId="04B4A2EE" w14:textId="77777777" w:rsidR="00F37F48" w:rsidRDefault="00F37F48" w:rsidP="00F37F48">
      <w:pPr>
        <w:rPr>
          <w:rFonts w:asciiTheme="minorHAnsi" w:hAnsiTheme="minorHAnsi" w:cstheme="minorBidi"/>
        </w:rPr>
      </w:pPr>
      <w:r>
        <w:rPr>
          <w:rFonts w:ascii="Arial Black" w:hAnsi="Arial Black"/>
          <w:sz w:val="28"/>
          <w:szCs w:val="28"/>
        </w:rPr>
        <w:t xml:space="preserve">WV: FF WITH PTSD – 20 YRS ON THE JOB – DENIED WORKERS COMP – STATE LAW REQUIRES THERE BE PHYSICAL INJURY </w:t>
      </w:r>
    </w:p>
    <w:p w14:paraId="20DB28E1" w14:textId="77777777" w:rsidR="00F37F48" w:rsidRDefault="00F37F48" w:rsidP="00F37F48">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11, 2020, in </w:t>
      </w:r>
      <w:r>
        <w:rPr>
          <w:rFonts w:ascii="Times New Roman" w:eastAsia="Times New Roman" w:hAnsi="Times New Roman"/>
          <w:sz w:val="24"/>
          <w:szCs w:val="24"/>
          <w:u w:val="single"/>
        </w:rPr>
        <w:t>John Angle v. City of Huntington</w:t>
      </w:r>
      <w:r>
        <w:rPr>
          <w:rFonts w:ascii="Times New Roman" w:eastAsia="Times New Roman" w:hAnsi="Times New Roman"/>
          <w:sz w:val="24"/>
          <w:szCs w:val="24"/>
        </w:rPr>
        <w:t xml:space="preserve">, the State of West Virginia Supreme Court of Appeals, held (5 to 0) that under state statute he was not entitled to workers comp for his PTSD.  </w:t>
      </w:r>
    </w:p>
    <w:bookmarkEnd w:id="577"/>
    <w:p w14:paraId="12BBFDDB" w14:textId="77777777" w:rsidR="00F37F48" w:rsidRDefault="00F37F48" w:rsidP="00F37F48">
      <w:pPr>
        <w:ind w:left="720"/>
        <w:rPr>
          <w:rFonts w:ascii="Times New Roman" w:eastAsiaTheme="minorHAnsi" w:hAnsi="Times New Roman"/>
          <w:sz w:val="24"/>
          <w:szCs w:val="24"/>
        </w:rPr>
      </w:pPr>
      <w:r>
        <w:rPr>
          <w:rFonts w:ascii="Times New Roman" w:hAnsi="Times New Roman"/>
          <w:sz w:val="24"/>
          <w:szCs w:val="24"/>
        </w:rPr>
        <w:t>“All of Mr. Angle's symptoms, and the requested diagnoses, were caused by nonphysical means and did not result in any physical injury or disease. Pursuant to West Virginia Code § 23-4-1F, the claim was properly denied.</w:t>
      </w:r>
    </w:p>
    <w:p w14:paraId="5106844A" w14:textId="77777777" w:rsidR="00F37F48" w:rsidRDefault="00F37F48" w:rsidP="00F37F48">
      <w:pPr>
        <w:ind w:left="720"/>
        <w:rPr>
          <w:rFonts w:ascii="Times New Roman" w:hAnsi="Times New Roman"/>
          <w:sz w:val="24"/>
          <w:szCs w:val="24"/>
        </w:rPr>
      </w:pPr>
      <w:r>
        <w:rPr>
          <w:rFonts w:ascii="Times New Roman" w:hAnsi="Times New Roman"/>
          <w:sz w:val="24"/>
          <w:szCs w:val="24"/>
        </w:rPr>
        <w:t>***</w:t>
      </w:r>
    </w:p>
    <w:p w14:paraId="020DDA89" w14:textId="77777777" w:rsidR="00F37F48" w:rsidRDefault="00F37F48" w:rsidP="00F37F48">
      <w:pPr>
        <w:spacing w:before="100" w:beforeAutospacing="1" w:after="100" w:afterAutospacing="1" w:line="24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West Virginia Code § 23-4-1F provides that: </w:t>
      </w:r>
    </w:p>
    <w:p w14:paraId="68857077" w14:textId="77777777" w:rsidR="00F37F48" w:rsidRDefault="00F37F48" w:rsidP="00F37F48">
      <w:pPr>
        <w:spacing w:after="100" w:line="240" w:lineRule="auto"/>
        <w:ind w:left="1440"/>
        <w:rPr>
          <w:rFonts w:ascii="Times New Roman" w:eastAsia="Times New Roman" w:hAnsi="Times New Roman"/>
          <w:sz w:val="24"/>
          <w:szCs w:val="24"/>
        </w:rPr>
      </w:pPr>
      <w:r>
        <w:rPr>
          <w:rFonts w:ascii="Times New Roman" w:eastAsia="Times New Roman" w:hAnsi="Times New Roman"/>
          <w:sz w:val="24"/>
          <w:szCs w:val="24"/>
        </w:rPr>
        <w:t xml:space="preserve">no alleged injury or disease shall be recognized as a compensable injury or disease which was solely caused by nonphysical </w:t>
      </w:r>
      <w:proofErr w:type="gramStart"/>
      <w:r>
        <w:rPr>
          <w:rFonts w:ascii="Times New Roman" w:eastAsia="Times New Roman" w:hAnsi="Times New Roman"/>
          <w:sz w:val="24"/>
          <w:szCs w:val="24"/>
        </w:rPr>
        <w:t>means</w:t>
      </w:r>
      <w:proofErr w:type="gramEnd"/>
      <w:r>
        <w:rPr>
          <w:rFonts w:ascii="Times New Roman" w:eastAsia="Times New Roman" w:hAnsi="Times New Roman"/>
          <w:sz w:val="24"/>
          <w:szCs w:val="24"/>
        </w:rPr>
        <w:t xml:space="preserve"> and which did not result in any physical injury or disease to the person claiming benefits. It is the purpose of this section to clarify that so-called mental-mental claims are not compensable under this chapter.” </w:t>
      </w:r>
      <w:bookmarkStart w:id="578" w:name="_Hlk66950115"/>
      <w:r w:rsidR="00F00958">
        <w:fldChar w:fldCharType="begin"/>
      </w:r>
      <w:r w:rsidR="00F00958">
        <w:instrText xml:space="preserve"> HYPERLINK "https://law.justia.com/cases/west-virginia/supreme-court/2020/19-0970.html" </w:instrText>
      </w:r>
      <w:r w:rsidR="00F00958">
        <w:fldChar w:fldCharType="separate"/>
      </w:r>
      <w:r>
        <w:rPr>
          <w:rStyle w:val="Hyperlink"/>
        </w:rPr>
        <w:t>https://law.justia.com/cases/west-virginia/supreme-court/2020/19-0970.html</w:t>
      </w:r>
      <w:r w:rsidR="00F00958">
        <w:rPr>
          <w:rStyle w:val="Hyperlink"/>
        </w:rPr>
        <w:fldChar w:fldCharType="end"/>
      </w:r>
      <w:r>
        <w:rPr>
          <w:rFonts w:ascii="Times New Roman" w:eastAsia="Times New Roman" w:hAnsi="Times New Roman"/>
          <w:sz w:val="24"/>
          <w:szCs w:val="24"/>
        </w:rPr>
        <w:t xml:space="preserve"> </w:t>
      </w:r>
    </w:p>
    <w:p w14:paraId="73D221EE" w14:textId="77777777" w:rsidR="00F37F48" w:rsidRDefault="00F37F48" w:rsidP="00F37F48">
      <w:pPr>
        <w:pStyle w:val="NormalWeb"/>
        <w:rPr>
          <w:b/>
          <w:bCs/>
        </w:rPr>
      </w:pPr>
      <w:r>
        <w:rPr>
          <w:b/>
          <w:bCs/>
        </w:rPr>
        <w:t>Legal Lesson Learned: Some states have now enacted statutes allowing PTSD coverage without physical injury.</w:t>
      </w:r>
    </w:p>
    <w:p w14:paraId="5F6C98D3" w14:textId="77777777" w:rsidR="00F37F48" w:rsidRPr="00500548" w:rsidRDefault="00F37F48" w:rsidP="00F37F48">
      <w:pPr>
        <w:pStyle w:val="Heading1"/>
        <w:ind w:left="720"/>
        <w:rPr>
          <w:b w:val="0"/>
          <w:bCs w:val="0"/>
          <w:sz w:val="24"/>
          <w:szCs w:val="24"/>
        </w:rPr>
      </w:pPr>
      <w:bookmarkStart w:id="579" w:name="_Hlk66950170"/>
      <w:r>
        <w:rPr>
          <w:b w:val="0"/>
          <w:bCs w:val="0"/>
          <w:sz w:val="24"/>
          <w:szCs w:val="24"/>
        </w:rPr>
        <w:t>Note:</w:t>
      </w:r>
      <w:r>
        <w:t xml:space="preserve">  </w:t>
      </w:r>
      <w:r>
        <w:rPr>
          <w:b w:val="0"/>
          <w:bCs w:val="0"/>
          <w:sz w:val="24"/>
          <w:szCs w:val="24"/>
        </w:rPr>
        <w:t xml:space="preserve">Feb. 13, 2020: “Ohio House passes bill expanding first </w:t>
      </w:r>
      <w:proofErr w:type="gramStart"/>
      <w:r>
        <w:rPr>
          <w:b w:val="0"/>
          <w:bCs w:val="0"/>
          <w:sz w:val="24"/>
          <w:szCs w:val="24"/>
        </w:rPr>
        <w:t>responders</w:t>
      </w:r>
      <w:proofErr w:type="gramEnd"/>
      <w:r>
        <w:rPr>
          <w:b w:val="0"/>
          <w:bCs w:val="0"/>
          <w:sz w:val="24"/>
          <w:szCs w:val="24"/>
        </w:rPr>
        <w:t xml:space="preserve"> workers' compensation for PTSD. The legislation would allow first responders to seek workers' compensation even if they don't have a physical condition that led to PTSD.” </w:t>
      </w:r>
      <w:hyperlink r:id="rId2458" w:history="1">
        <w:r w:rsidRPr="00500548">
          <w:rPr>
            <w:rStyle w:val="Hyperlink"/>
            <w:b w:val="0"/>
            <w:bCs w:val="0"/>
            <w:sz w:val="24"/>
            <w:szCs w:val="24"/>
          </w:rPr>
          <w:t>https://www.firerescue1.com/ptsd/articles/ohio-house-passes-bill-expanding-first-responders-workers-compensation-for-ptsd-QXXQPU6H47rb9Z8o/</w:t>
        </w:r>
      </w:hyperlink>
      <w:r w:rsidRPr="00500548">
        <w:rPr>
          <w:b w:val="0"/>
          <w:bCs w:val="0"/>
          <w:sz w:val="24"/>
          <w:szCs w:val="24"/>
        </w:rPr>
        <w:t xml:space="preserve"> </w:t>
      </w:r>
    </w:p>
    <w:p w14:paraId="316EDA2C" w14:textId="642FD01C" w:rsidR="00F37F48" w:rsidRPr="00F37F48" w:rsidRDefault="00F37F48" w:rsidP="00F37F48">
      <w:pPr>
        <w:pStyle w:val="NoSpacing"/>
        <w:ind w:left="720"/>
        <w:rPr>
          <w:rFonts w:ascii="Times New Roman" w:hAnsi="Times New Roman"/>
          <w:sz w:val="24"/>
          <w:szCs w:val="24"/>
        </w:rPr>
      </w:pPr>
      <w:r w:rsidRPr="00F37F48">
        <w:rPr>
          <w:rFonts w:ascii="Times New Roman" w:hAnsi="Times New Roman"/>
          <w:sz w:val="24"/>
          <w:szCs w:val="24"/>
        </w:rPr>
        <w:t xml:space="preserve">See also: “Nine states (California, Connecticut, Idaho, Louisiana, Nevada, New Hampshire, New Mexico, Oregon, and Texas) have passed legislation addressing benefits for first responders with PTSD in 2019. In 2018, 2 states (Florida and Washington) passed legislation expanding benefits for first responders with </w:t>
      </w:r>
      <w:proofErr w:type="gramStart"/>
      <w:r w:rsidRPr="00F37F48">
        <w:rPr>
          <w:rFonts w:ascii="Times New Roman" w:hAnsi="Times New Roman"/>
          <w:sz w:val="24"/>
          <w:szCs w:val="24"/>
        </w:rPr>
        <w:t>PTSD.”</w:t>
      </w:r>
      <w:proofErr w:type="gramEnd"/>
      <w:r w:rsidRPr="00F37F48">
        <w:rPr>
          <w:rFonts w:ascii="Times New Roman" w:hAnsi="Times New Roman"/>
          <w:sz w:val="24"/>
          <w:szCs w:val="24"/>
        </w:rPr>
        <w:t xml:space="preserve"> </w:t>
      </w:r>
      <w:hyperlink r:id="rId2459" w:history="1">
        <w:r w:rsidRPr="00F37F48">
          <w:rPr>
            <w:rStyle w:val="Hyperlink"/>
            <w:rFonts w:ascii="Times New Roman" w:hAnsi="Times New Roman"/>
            <w:sz w:val="24"/>
            <w:szCs w:val="24"/>
          </w:rPr>
          <w:t>https://www.gerberholderlaw.com/workers-comp-ptsd-by-state/</w:t>
        </w:r>
      </w:hyperlink>
    </w:p>
    <w:bookmarkEnd w:id="578"/>
    <w:bookmarkEnd w:id="579"/>
    <w:p w14:paraId="2ABA6CC2" w14:textId="77777777" w:rsidR="00F37F48" w:rsidRDefault="00F37F48" w:rsidP="000C4DF5">
      <w:pPr>
        <w:pStyle w:val="NoSpacing"/>
        <w:rPr>
          <w:rFonts w:ascii="Arial Black" w:hAnsi="Arial Black"/>
          <w:sz w:val="24"/>
          <w:szCs w:val="24"/>
        </w:rPr>
      </w:pPr>
    </w:p>
    <w:p w14:paraId="7F791A4D" w14:textId="2EBD2ED5" w:rsidR="00663A6A" w:rsidRDefault="00663A6A" w:rsidP="000C4DF5">
      <w:pPr>
        <w:pStyle w:val="NoSpacing"/>
        <w:rPr>
          <w:rFonts w:ascii="Arial Black" w:hAnsi="Arial Black"/>
          <w:sz w:val="24"/>
          <w:szCs w:val="24"/>
        </w:rPr>
      </w:pPr>
      <w:r>
        <w:rPr>
          <w:rFonts w:ascii="Arial Black" w:hAnsi="Arial Black"/>
          <w:sz w:val="24"/>
          <w:szCs w:val="24"/>
        </w:rPr>
        <w:t>15-10</w:t>
      </w:r>
    </w:p>
    <w:p w14:paraId="4F1BA4A6" w14:textId="72885F60" w:rsidR="00663A6A" w:rsidRDefault="00663A6A" w:rsidP="000C4DF5">
      <w:pPr>
        <w:pStyle w:val="NoSpacing"/>
        <w:rPr>
          <w:rFonts w:ascii="Arial Black" w:hAnsi="Arial Black"/>
          <w:sz w:val="24"/>
          <w:szCs w:val="24"/>
        </w:rPr>
      </w:pPr>
    </w:p>
    <w:p w14:paraId="7E695BC6" w14:textId="77777777" w:rsidR="00663A6A" w:rsidRDefault="00663A6A" w:rsidP="00663A6A">
      <w:pPr>
        <w:pStyle w:val="NoSpacing"/>
        <w:rPr>
          <w:rFonts w:ascii="Arial Black" w:hAnsi="Arial Black"/>
          <w:sz w:val="28"/>
          <w:szCs w:val="28"/>
        </w:rPr>
      </w:pPr>
      <w:r>
        <w:rPr>
          <w:rFonts w:ascii="Arial Black" w:hAnsi="Arial Black"/>
          <w:sz w:val="28"/>
          <w:szCs w:val="28"/>
        </w:rPr>
        <w:t xml:space="preserve">TX: PARAMEDIC WITH PTSD – DENIED “ON-DUTY” DISABILITY PENSION – 75% Of SALARY - CONFLICING PSYCHOLOGISTS </w:t>
      </w:r>
    </w:p>
    <w:p w14:paraId="2AF2B909" w14:textId="77777777" w:rsidR="00663A6A" w:rsidRDefault="00663A6A" w:rsidP="00663A6A">
      <w:pPr>
        <w:pStyle w:val="NoSpacing"/>
        <w:rPr>
          <w:rFonts w:ascii="Arial Black" w:hAnsi="Arial Black"/>
          <w:sz w:val="28"/>
          <w:szCs w:val="28"/>
        </w:rPr>
      </w:pPr>
    </w:p>
    <w:p w14:paraId="3CB15CB8" w14:textId="77777777" w:rsidR="00663A6A" w:rsidRDefault="00663A6A" w:rsidP="00663A6A">
      <w:pPr>
        <w:pStyle w:val="NoSpacing"/>
        <w:rPr>
          <w:rFonts w:ascii="Times New Roman" w:hAnsi="Times New Roman"/>
          <w:sz w:val="24"/>
          <w:szCs w:val="24"/>
        </w:rPr>
      </w:pPr>
      <w:r>
        <w:rPr>
          <w:rFonts w:ascii="Times New Roman" w:hAnsi="Times New Roman"/>
          <w:sz w:val="24"/>
          <w:szCs w:val="24"/>
        </w:rPr>
        <w:t xml:space="preserve">On Nov. 17, 2020, in </w:t>
      </w:r>
      <w:r w:rsidRPr="008B5E95">
        <w:rPr>
          <w:rFonts w:ascii="Times New Roman" w:hAnsi="Times New Roman"/>
          <w:sz w:val="24"/>
          <w:szCs w:val="24"/>
          <w:u w:val="single"/>
        </w:rPr>
        <w:t xml:space="preserve">Gregory Green v. Houston Firefighters’ Relief </w:t>
      </w:r>
      <w:proofErr w:type="gramStart"/>
      <w:r w:rsidRPr="008B5E95">
        <w:rPr>
          <w:rFonts w:ascii="Times New Roman" w:hAnsi="Times New Roman"/>
          <w:sz w:val="24"/>
          <w:szCs w:val="24"/>
          <w:u w:val="single"/>
        </w:rPr>
        <w:t>And</w:t>
      </w:r>
      <w:proofErr w:type="gramEnd"/>
      <w:r w:rsidRPr="008B5E95">
        <w:rPr>
          <w:rFonts w:ascii="Times New Roman" w:hAnsi="Times New Roman"/>
          <w:sz w:val="24"/>
          <w:szCs w:val="24"/>
          <w:u w:val="single"/>
        </w:rPr>
        <w:t xml:space="preserve"> Retirement Fund</w:t>
      </w:r>
      <w:r>
        <w:rPr>
          <w:rFonts w:ascii="Times New Roman" w:hAnsi="Times New Roman"/>
          <w:sz w:val="24"/>
          <w:szCs w:val="24"/>
        </w:rPr>
        <w:t xml:space="preserve">, the State of Texas in the Fourteenth Court of Appeals, held (3 to 0) that trial court correctly upheld the Board to deny on-duty disability pension for </w:t>
      </w:r>
      <w:proofErr w:type="gramStart"/>
      <w:r>
        <w:rPr>
          <w:rFonts w:ascii="Times New Roman" w:hAnsi="Times New Roman"/>
          <w:sz w:val="24"/>
          <w:szCs w:val="24"/>
        </w:rPr>
        <w:t>paramedic</w:t>
      </w:r>
      <w:proofErr w:type="gramEnd"/>
      <w:r>
        <w:rPr>
          <w:rFonts w:ascii="Times New Roman" w:hAnsi="Times New Roman"/>
          <w:sz w:val="24"/>
          <w:szCs w:val="24"/>
        </w:rPr>
        <w:t xml:space="preserve"> with 17-years of experience,  given conflicting opinions of two mental health professionals.  Plaintiff may be eligible for a non-duty disability pension; on-duty disability pensions are 75% of average salary if not capable of any gainful future employment; or 50% if can’t perform firefighter duties. </w:t>
      </w:r>
    </w:p>
    <w:p w14:paraId="7B3EDF7F" w14:textId="77777777" w:rsidR="00663A6A" w:rsidRDefault="00663A6A" w:rsidP="00663A6A">
      <w:pPr>
        <w:pStyle w:val="NoSpacing"/>
        <w:rPr>
          <w:rFonts w:ascii="Times New Roman" w:hAnsi="Times New Roman"/>
          <w:sz w:val="24"/>
          <w:szCs w:val="24"/>
        </w:rPr>
      </w:pPr>
    </w:p>
    <w:p w14:paraId="74BFD55E" w14:textId="564A8A7B" w:rsidR="00663A6A" w:rsidRDefault="00663A6A" w:rsidP="00663A6A">
      <w:pPr>
        <w:pStyle w:val="NoSpacing"/>
        <w:rPr>
          <w:rStyle w:val="Hyperlink"/>
          <w:rFonts w:ascii="Times New Roman" w:hAnsi="Times New Roman"/>
          <w:sz w:val="24"/>
          <w:szCs w:val="24"/>
        </w:rPr>
      </w:pPr>
      <w:r>
        <w:rPr>
          <w:rFonts w:ascii="Times New Roman" w:hAnsi="Times New Roman"/>
          <w:sz w:val="24"/>
          <w:szCs w:val="24"/>
        </w:rPr>
        <w:t>“</w:t>
      </w:r>
      <w:r w:rsidRPr="008B5E95">
        <w:rPr>
          <w:rFonts w:ascii="Times New Roman" w:hAnsi="Times New Roman"/>
          <w:sz w:val="24"/>
          <w:szCs w:val="24"/>
        </w:rPr>
        <w:t xml:space="preserve">The evidence before the Board and subsequently before the trial court was in direct conflict. </w:t>
      </w:r>
      <w:r>
        <w:rPr>
          <w:rFonts w:ascii="Times New Roman" w:hAnsi="Times New Roman"/>
          <w:sz w:val="24"/>
          <w:szCs w:val="24"/>
        </w:rPr>
        <w:t xml:space="preserve">[Dr. Ashley] </w:t>
      </w:r>
      <w:r w:rsidRPr="008B5E95">
        <w:rPr>
          <w:rFonts w:ascii="Times New Roman" w:hAnsi="Times New Roman"/>
          <w:sz w:val="24"/>
          <w:szCs w:val="24"/>
        </w:rPr>
        <w:t xml:space="preserve">Woolbert opined that Green experienced disability to the degree that he could not perform any full-time work. </w:t>
      </w:r>
      <w:r>
        <w:rPr>
          <w:rFonts w:ascii="Times New Roman" w:hAnsi="Times New Roman"/>
          <w:sz w:val="24"/>
          <w:szCs w:val="24"/>
        </w:rPr>
        <w:t xml:space="preserve">[Dr. Edwin] </w:t>
      </w:r>
      <w:r w:rsidRPr="008B5E95">
        <w:rPr>
          <w:rFonts w:ascii="Times New Roman" w:hAnsi="Times New Roman"/>
          <w:sz w:val="24"/>
          <w:szCs w:val="24"/>
        </w:rPr>
        <w:t>Johnstone, on the other hand, opined that Green</w:t>
      </w:r>
      <w:r>
        <w:rPr>
          <w:rFonts w:ascii="Times New Roman" w:hAnsi="Times New Roman"/>
          <w:sz w:val="24"/>
          <w:szCs w:val="24"/>
        </w:rPr>
        <w:t>’</w:t>
      </w:r>
      <w:r w:rsidRPr="008B5E95">
        <w:rPr>
          <w:rFonts w:ascii="Times New Roman" w:hAnsi="Times New Roman"/>
          <w:sz w:val="24"/>
          <w:szCs w:val="24"/>
        </w:rPr>
        <w:t>s only limitation in performing full-time work was the physical limitation of his shoulder. In a substantial evidence review the agency</w:t>
      </w:r>
      <w:r>
        <w:rPr>
          <w:rFonts w:ascii="Times New Roman" w:hAnsi="Times New Roman"/>
          <w:sz w:val="24"/>
          <w:szCs w:val="24"/>
        </w:rPr>
        <w:t>’</w:t>
      </w:r>
      <w:r w:rsidRPr="008B5E95">
        <w:rPr>
          <w:rFonts w:ascii="Times New Roman" w:hAnsi="Times New Roman"/>
          <w:sz w:val="24"/>
          <w:szCs w:val="24"/>
        </w:rPr>
        <w:t xml:space="preserve">s action will be sustained if the evidence is such that reasonable minds could have reached the conclusion that the agency must have reached to justify its actions. </w:t>
      </w:r>
      <w:r w:rsidRPr="008B5E95">
        <w:rPr>
          <w:rFonts w:ascii="Times New Roman" w:hAnsi="Times New Roman"/>
          <w:i/>
          <w:iCs/>
          <w:sz w:val="24"/>
          <w:szCs w:val="24"/>
        </w:rPr>
        <w:t xml:space="preserve">Texas Health Facilities </w:t>
      </w:r>
      <w:proofErr w:type="spellStart"/>
      <w:r w:rsidRPr="008B5E95">
        <w:rPr>
          <w:rFonts w:ascii="Times New Roman" w:hAnsi="Times New Roman"/>
          <w:i/>
          <w:iCs/>
          <w:sz w:val="24"/>
          <w:szCs w:val="24"/>
        </w:rPr>
        <w:t>Com</w:t>
      </w:r>
      <w:r>
        <w:rPr>
          <w:rFonts w:ascii="Times New Roman" w:hAnsi="Times New Roman"/>
          <w:i/>
          <w:iCs/>
          <w:sz w:val="24"/>
          <w:szCs w:val="24"/>
        </w:rPr>
        <w:t>’</w:t>
      </w:r>
      <w:r w:rsidRPr="008B5E95">
        <w:rPr>
          <w:rFonts w:ascii="Times New Roman" w:hAnsi="Times New Roman"/>
          <w:i/>
          <w:iCs/>
          <w:sz w:val="24"/>
          <w:szCs w:val="24"/>
        </w:rPr>
        <w:t>n</w:t>
      </w:r>
      <w:proofErr w:type="spellEnd"/>
      <w:r w:rsidRPr="008B5E95">
        <w:rPr>
          <w:rFonts w:ascii="Times New Roman" w:hAnsi="Times New Roman"/>
          <w:sz w:val="24"/>
          <w:szCs w:val="24"/>
        </w:rPr>
        <w:t>, 665 S.W.2d at 453. Because the evidence was conflicting, the Board could have determined after reviewing Johnstone</w:t>
      </w:r>
      <w:r>
        <w:rPr>
          <w:rFonts w:ascii="Times New Roman" w:hAnsi="Times New Roman"/>
          <w:sz w:val="24"/>
          <w:szCs w:val="24"/>
        </w:rPr>
        <w:t>’</w:t>
      </w:r>
      <w:r w:rsidRPr="008B5E95">
        <w:rPr>
          <w:rFonts w:ascii="Times New Roman" w:hAnsi="Times New Roman"/>
          <w:sz w:val="24"/>
          <w:szCs w:val="24"/>
        </w:rPr>
        <w:t xml:space="preserve">s reports that Green did not qualify under the Act for on-duty disability. </w:t>
      </w:r>
      <w:r w:rsidRPr="008B5E95">
        <w:rPr>
          <w:rFonts w:ascii="Times New Roman" w:hAnsi="Times New Roman"/>
          <w:i/>
          <w:iCs/>
          <w:sz w:val="24"/>
          <w:szCs w:val="24"/>
        </w:rPr>
        <w:t>See id</w:t>
      </w:r>
      <w:r w:rsidRPr="008B5E95">
        <w:rPr>
          <w:rFonts w:ascii="Times New Roman" w:hAnsi="Times New Roman"/>
          <w:sz w:val="24"/>
          <w:szCs w:val="24"/>
        </w:rPr>
        <w:t>. (If there is evidence to support either affirmative or negative findings on a specific matter, the decision of the agency must be upheld).</w:t>
      </w:r>
      <w:r>
        <w:rPr>
          <w:rFonts w:ascii="Times New Roman" w:hAnsi="Times New Roman"/>
          <w:sz w:val="24"/>
          <w:szCs w:val="24"/>
        </w:rPr>
        <w:t>”</w:t>
      </w:r>
      <w:r w:rsidRPr="008B5E95">
        <w:t xml:space="preserve"> </w:t>
      </w:r>
      <w:hyperlink r:id="rId2460" w:history="1">
        <w:r w:rsidRPr="00804FA5">
          <w:rPr>
            <w:rStyle w:val="Hyperlink"/>
            <w:rFonts w:ascii="Times New Roman" w:hAnsi="Times New Roman"/>
            <w:sz w:val="24"/>
            <w:szCs w:val="24"/>
          </w:rPr>
          <w:t>https://public.fastcase.com/Wl%2B2t%2BeVuI35%2FN70vAMFZlfrbL2Iv9t8X190JkA%2BKSgGR212V5tgaR0%2FcTyilOxc</w:t>
        </w:r>
      </w:hyperlink>
    </w:p>
    <w:p w14:paraId="04AF6728" w14:textId="58150E2C" w:rsidR="00663A6A" w:rsidRDefault="00663A6A" w:rsidP="00663A6A">
      <w:pPr>
        <w:pStyle w:val="NoSpacing"/>
        <w:rPr>
          <w:rStyle w:val="Hyperlink"/>
          <w:rFonts w:ascii="Times New Roman" w:hAnsi="Times New Roman"/>
          <w:sz w:val="24"/>
          <w:szCs w:val="24"/>
        </w:rPr>
      </w:pPr>
    </w:p>
    <w:p w14:paraId="78DAE717" w14:textId="77777777" w:rsidR="00663A6A" w:rsidRPr="00D22C73" w:rsidRDefault="00663A6A" w:rsidP="00663A6A">
      <w:pPr>
        <w:pStyle w:val="NormalWeb"/>
        <w:rPr>
          <w:b/>
          <w:bCs/>
        </w:rPr>
      </w:pPr>
      <w:r w:rsidRPr="00D22C73">
        <w:rPr>
          <w:b/>
          <w:bCs/>
        </w:rPr>
        <w:t>Legal Lesson Learned:</w:t>
      </w:r>
      <w:r>
        <w:rPr>
          <w:b/>
          <w:bCs/>
        </w:rPr>
        <w:t xml:space="preserve"> Given the conflicting experts’ reports, Courts will uphold decisions of Boards. </w:t>
      </w:r>
    </w:p>
    <w:p w14:paraId="3ACD8101" w14:textId="77777777" w:rsidR="00663A6A" w:rsidRDefault="00663A6A" w:rsidP="00663A6A">
      <w:pPr>
        <w:pStyle w:val="NoSpacing"/>
        <w:rPr>
          <w:rFonts w:ascii="Arial Black" w:hAnsi="Arial Black"/>
          <w:sz w:val="24"/>
          <w:szCs w:val="24"/>
        </w:rPr>
      </w:pPr>
    </w:p>
    <w:p w14:paraId="7A4E4CD9" w14:textId="77777777" w:rsidR="00663A6A" w:rsidRDefault="00663A6A" w:rsidP="000C4DF5">
      <w:pPr>
        <w:pStyle w:val="NoSpacing"/>
        <w:rPr>
          <w:rFonts w:ascii="Arial Black" w:hAnsi="Arial Black"/>
          <w:sz w:val="24"/>
          <w:szCs w:val="24"/>
        </w:rPr>
      </w:pPr>
    </w:p>
    <w:p w14:paraId="375271BB" w14:textId="63F2F282" w:rsidR="000F18B0" w:rsidRDefault="001C563D" w:rsidP="000C4DF5">
      <w:pPr>
        <w:pStyle w:val="NoSpacing"/>
        <w:rPr>
          <w:rFonts w:ascii="Arial Black" w:hAnsi="Arial Black"/>
          <w:sz w:val="24"/>
          <w:szCs w:val="24"/>
        </w:rPr>
      </w:pPr>
      <w:r>
        <w:rPr>
          <w:rFonts w:ascii="Arial Black" w:hAnsi="Arial Black"/>
          <w:sz w:val="24"/>
          <w:szCs w:val="24"/>
        </w:rPr>
        <w:t>15-</w:t>
      </w:r>
      <w:r w:rsidR="001A653A">
        <w:rPr>
          <w:rFonts w:ascii="Arial Black" w:hAnsi="Arial Black"/>
          <w:sz w:val="24"/>
          <w:szCs w:val="24"/>
        </w:rPr>
        <w:t>9</w:t>
      </w:r>
    </w:p>
    <w:p w14:paraId="23FC37D0" w14:textId="1DF5E8CD" w:rsidR="001C563D" w:rsidRDefault="001C563D" w:rsidP="000C4DF5">
      <w:pPr>
        <w:pStyle w:val="NoSpacing"/>
        <w:rPr>
          <w:rFonts w:ascii="Arial Black" w:hAnsi="Arial Black"/>
          <w:sz w:val="24"/>
          <w:szCs w:val="24"/>
        </w:rPr>
      </w:pPr>
    </w:p>
    <w:p w14:paraId="50D0D24B" w14:textId="77777777" w:rsidR="001C563D" w:rsidRPr="00BF19C3" w:rsidRDefault="001C563D" w:rsidP="001C563D">
      <w:pPr>
        <w:pStyle w:val="NoSpacing"/>
        <w:rPr>
          <w:rFonts w:ascii="Arial Black" w:hAnsi="Arial Black"/>
          <w:sz w:val="28"/>
          <w:szCs w:val="28"/>
        </w:rPr>
      </w:pPr>
      <w:r w:rsidRPr="00BF19C3">
        <w:rPr>
          <w:rFonts w:ascii="Arial Black" w:hAnsi="Arial Black"/>
          <w:sz w:val="28"/>
          <w:szCs w:val="28"/>
        </w:rPr>
        <w:t xml:space="preserve">SC: </w:t>
      </w:r>
      <w:r>
        <w:rPr>
          <w:rFonts w:ascii="Arial Black" w:hAnsi="Arial Black"/>
          <w:sz w:val="28"/>
          <w:szCs w:val="28"/>
        </w:rPr>
        <w:t>PARAMEDIC ON BAD MVA RUN – PTSD / PANIC ATTACKS – TOLD HOSP. CAN NO LONGER DO JOB, TERMINATED</w:t>
      </w:r>
    </w:p>
    <w:p w14:paraId="264B2C36" w14:textId="77777777" w:rsidR="006E50D9" w:rsidRDefault="006E50D9" w:rsidP="001C563D">
      <w:pPr>
        <w:pStyle w:val="NoSpacing"/>
        <w:rPr>
          <w:rFonts w:ascii="Times New Roman" w:hAnsi="Times New Roman"/>
          <w:sz w:val="24"/>
          <w:szCs w:val="24"/>
        </w:rPr>
      </w:pPr>
    </w:p>
    <w:p w14:paraId="7DF0C9D3" w14:textId="36F313CB" w:rsidR="001C563D" w:rsidRDefault="001C563D" w:rsidP="001C563D">
      <w:pPr>
        <w:pStyle w:val="NoSpacing"/>
        <w:rPr>
          <w:rStyle w:val="Hyperlink"/>
          <w:rFonts w:ascii="Times New Roman" w:hAnsi="Times New Roman"/>
          <w:sz w:val="24"/>
          <w:szCs w:val="24"/>
        </w:rPr>
      </w:pPr>
      <w:r w:rsidRPr="00633872">
        <w:rPr>
          <w:rFonts w:ascii="Times New Roman" w:hAnsi="Times New Roman"/>
          <w:sz w:val="24"/>
          <w:szCs w:val="24"/>
        </w:rPr>
        <w:t xml:space="preserve">On </w:t>
      </w:r>
      <w:r>
        <w:rPr>
          <w:rFonts w:ascii="Times New Roman" w:hAnsi="Times New Roman"/>
          <w:sz w:val="24"/>
          <w:szCs w:val="24"/>
        </w:rPr>
        <w:t xml:space="preserve">June 25, 2020, in </w:t>
      </w:r>
      <w:r w:rsidRPr="00633872">
        <w:rPr>
          <w:rFonts w:ascii="Times New Roman" w:hAnsi="Times New Roman"/>
          <w:sz w:val="24"/>
          <w:szCs w:val="24"/>
          <w:u w:val="single"/>
        </w:rPr>
        <w:t>Stephen E. Sanders v. McLeod Health</w:t>
      </w:r>
      <w:r>
        <w:rPr>
          <w:rFonts w:ascii="Times New Roman" w:hAnsi="Times New Roman"/>
          <w:sz w:val="24"/>
          <w:szCs w:val="24"/>
          <w:u w:val="single"/>
        </w:rPr>
        <w:t xml:space="preserve"> </w:t>
      </w:r>
      <w:proofErr w:type="spellStart"/>
      <w:r w:rsidRPr="00633872">
        <w:rPr>
          <w:rFonts w:ascii="Times New Roman" w:hAnsi="Times New Roman"/>
          <w:sz w:val="24"/>
          <w:szCs w:val="24"/>
          <w:u w:val="single"/>
        </w:rPr>
        <w:t>Claredon</w:t>
      </w:r>
      <w:proofErr w:type="spellEnd"/>
      <w:r>
        <w:rPr>
          <w:rFonts w:ascii="Times New Roman" w:hAnsi="Times New Roman"/>
          <w:sz w:val="24"/>
          <w:szCs w:val="24"/>
        </w:rPr>
        <w:t>, U.S. District Court Judge David C. Norton, U.S. District Court of South Carolina, Charleston Division, granted the hospital’s motion for summary judgment; on A</w:t>
      </w:r>
      <w:r w:rsidRPr="001B71D1">
        <w:rPr>
          <w:rFonts w:ascii="Times New Roman" w:eastAsia="Times New Roman" w:hAnsi="Times New Roman"/>
          <w:sz w:val="24"/>
          <w:szCs w:val="24"/>
        </w:rPr>
        <w:t xml:space="preserve">ugust 10, 2017, </w:t>
      </w:r>
      <w:r>
        <w:rPr>
          <w:rFonts w:ascii="Times New Roman" w:eastAsia="Times New Roman" w:hAnsi="Times New Roman"/>
          <w:sz w:val="24"/>
          <w:szCs w:val="24"/>
        </w:rPr>
        <w:t xml:space="preserve">he responded MVA involving </w:t>
      </w:r>
      <w:r w:rsidRPr="001B71D1">
        <w:rPr>
          <w:rFonts w:ascii="Times New Roman" w:eastAsia="Times New Roman" w:hAnsi="Times New Roman"/>
          <w:sz w:val="24"/>
          <w:szCs w:val="24"/>
        </w:rPr>
        <w:t>logging truck and an SUV</w:t>
      </w:r>
      <w:r>
        <w:rPr>
          <w:rFonts w:ascii="Times New Roman" w:eastAsia="Times New Roman" w:hAnsi="Times New Roman"/>
          <w:sz w:val="24"/>
          <w:szCs w:val="24"/>
        </w:rPr>
        <w:t xml:space="preserve">, where SUV driver was trapped by logs and died. </w:t>
      </w:r>
      <w:r>
        <w:rPr>
          <w:rFonts w:ascii="Times New Roman" w:hAnsi="Times New Roman"/>
          <w:sz w:val="24"/>
          <w:szCs w:val="24"/>
        </w:rPr>
        <w:t>Court wrote: “</w:t>
      </w:r>
      <w:r>
        <w:rPr>
          <w:rFonts w:ascii="Times New Roman" w:eastAsia="Times New Roman" w:hAnsi="Times New Roman"/>
          <w:sz w:val="24"/>
          <w:szCs w:val="24"/>
        </w:rPr>
        <w:t xml:space="preserve">[T]here </w:t>
      </w:r>
      <w:r w:rsidRPr="00BF19C3">
        <w:rPr>
          <w:rFonts w:ascii="Times New Roman" w:eastAsia="Times New Roman" w:hAnsi="Times New Roman"/>
          <w:sz w:val="24"/>
          <w:szCs w:val="24"/>
        </w:rPr>
        <w:t xml:space="preserve">is evidence in the record that Sanders could not perform the essential functions of his job at the time of his August 18, </w:t>
      </w:r>
      <w:proofErr w:type="gramStart"/>
      <w:r w:rsidRPr="00BF19C3">
        <w:rPr>
          <w:rFonts w:ascii="Times New Roman" w:eastAsia="Times New Roman" w:hAnsi="Times New Roman"/>
          <w:sz w:val="24"/>
          <w:szCs w:val="24"/>
        </w:rPr>
        <w:t>2017</w:t>
      </w:r>
      <w:proofErr w:type="gramEnd"/>
      <w:r w:rsidRPr="00BF19C3">
        <w:rPr>
          <w:rFonts w:ascii="Times New Roman" w:eastAsia="Times New Roman" w:hAnsi="Times New Roman"/>
          <w:sz w:val="24"/>
          <w:szCs w:val="24"/>
        </w:rPr>
        <w:t xml:space="preserve"> discharge. Sanders testified in his deposition that shortly after the August 10th accident, he began experiencing </w:t>
      </w:r>
      <w:r>
        <w:rPr>
          <w:rFonts w:ascii="Times New Roman" w:eastAsia="Times New Roman" w:hAnsi="Times New Roman"/>
          <w:sz w:val="24"/>
          <w:szCs w:val="24"/>
        </w:rPr>
        <w:t>‘</w:t>
      </w:r>
      <w:r w:rsidRPr="00BF19C3">
        <w:rPr>
          <w:rFonts w:ascii="Times New Roman" w:eastAsia="Times New Roman" w:hAnsi="Times New Roman"/>
          <w:sz w:val="24"/>
          <w:szCs w:val="24"/>
        </w:rPr>
        <w:t>severe . . . emotional problems</w:t>
      </w:r>
      <w:r>
        <w:rPr>
          <w:rFonts w:ascii="Times New Roman" w:eastAsia="Times New Roman" w:hAnsi="Times New Roman"/>
          <w:sz w:val="24"/>
          <w:szCs w:val="24"/>
        </w:rPr>
        <w:t>’</w:t>
      </w:r>
      <w:r w:rsidRPr="00BF19C3">
        <w:rPr>
          <w:rFonts w:ascii="Times New Roman" w:eastAsia="Times New Roman" w:hAnsi="Times New Roman"/>
          <w:sz w:val="24"/>
          <w:szCs w:val="24"/>
        </w:rPr>
        <w:t>, including "anxiety, depression [and] panic attacks</w:t>
      </w:r>
      <w:r>
        <w:rPr>
          <w:rFonts w:ascii="Times New Roman" w:eastAsia="Times New Roman" w:hAnsi="Times New Roman"/>
          <w:sz w:val="24"/>
          <w:szCs w:val="24"/>
        </w:rPr>
        <w:t xml:space="preserve"> …. </w:t>
      </w:r>
      <w:r w:rsidRPr="00BF19C3">
        <w:rPr>
          <w:rFonts w:ascii="Times New Roman" w:eastAsia="Times New Roman" w:hAnsi="Times New Roman"/>
          <w:sz w:val="24"/>
          <w:szCs w:val="24"/>
        </w:rPr>
        <w:t xml:space="preserve">As a result, Sanders noted that he </w:t>
      </w:r>
      <w:r>
        <w:rPr>
          <w:rFonts w:ascii="Times New Roman" w:eastAsia="Times New Roman" w:hAnsi="Times New Roman"/>
          <w:sz w:val="24"/>
          <w:szCs w:val="24"/>
        </w:rPr>
        <w:t>‘</w:t>
      </w:r>
      <w:r w:rsidRPr="00BF19C3">
        <w:rPr>
          <w:rFonts w:ascii="Times New Roman" w:eastAsia="Times New Roman" w:hAnsi="Times New Roman"/>
          <w:sz w:val="24"/>
          <w:szCs w:val="24"/>
        </w:rPr>
        <w:t>couldn't stay around</w:t>
      </w:r>
      <w:r>
        <w:rPr>
          <w:rFonts w:ascii="Times New Roman" w:eastAsia="Times New Roman" w:hAnsi="Times New Roman"/>
          <w:sz w:val="24"/>
          <w:szCs w:val="24"/>
        </w:rPr>
        <w:t>’</w:t>
      </w:r>
      <w:r w:rsidRPr="00BF19C3">
        <w:rPr>
          <w:rFonts w:ascii="Times New Roman" w:eastAsia="Times New Roman" w:hAnsi="Times New Roman"/>
          <w:sz w:val="24"/>
          <w:szCs w:val="24"/>
        </w:rPr>
        <w:t xml:space="preserve"> his place of work</w:t>
      </w:r>
      <w:r>
        <w:rPr>
          <w:rFonts w:ascii="Times New Roman" w:eastAsia="Times New Roman" w:hAnsi="Times New Roman"/>
          <w:sz w:val="24"/>
          <w:szCs w:val="24"/>
        </w:rPr>
        <w:t>… A</w:t>
      </w:r>
      <w:r w:rsidRPr="008D16D6">
        <w:rPr>
          <w:rFonts w:ascii="Times New Roman" w:hAnsi="Times New Roman"/>
          <w:sz w:val="24"/>
          <w:szCs w:val="24"/>
        </w:rPr>
        <w:t>s the first element of a prima facie case of disability discrimination, Sanders must show that he was a qualified individual with a disability at the time of his firing. There is no dispute that Sanders suffered from PTSD, a disability under the ADA, at the time of his discharge. The court's inquiry thus focuses on whether Sanders was a "qualified individual." Under the ADA, "the term 'qualified individual' means an individual who, with or without reasonable accommodation, can perform the essential functions of the employment position that such individual holds or desires." 42 U.S.C. § 12111(8). The court agrees with the R&amp;R that summary judgment is warranted on this basis because there is no evidence in the record that Sanders could perform the essential functions of his job at the time of his firing.</w:t>
      </w:r>
      <w:r>
        <w:rPr>
          <w:rFonts w:ascii="Times New Roman" w:hAnsi="Times New Roman"/>
          <w:sz w:val="24"/>
          <w:szCs w:val="24"/>
        </w:rPr>
        <w:t xml:space="preserve"> </w:t>
      </w:r>
      <w:hyperlink r:id="rId2461" w:history="1">
        <w:r w:rsidRPr="006B0F65">
          <w:rPr>
            <w:rStyle w:val="Hyperlink"/>
            <w:rFonts w:ascii="Times New Roman" w:hAnsi="Times New Roman"/>
            <w:sz w:val="24"/>
            <w:szCs w:val="24"/>
          </w:rPr>
          <w:t>https://public.fastcase.com/Wl%2B2t%2BeVuI35%2FN70vAMFZkQk422sTW9%2BWIlpk%2BnE1B7e7DrNn16tDd9SfmLDmtL4</w:t>
        </w:r>
      </w:hyperlink>
    </w:p>
    <w:p w14:paraId="73C013E4" w14:textId="2AC80811" w:rsidR="001C563D" w:rsidRDefault="001C563D" w:rsidP="001C563D">
      <w:pPr>
        <w:pStyle w:val="NoSpacing"/>
        <w:rPr>
          <w:rStyle w:val="Hyperlink"/>
          <w:rFonts w:ascii="Times New Roman" w:hAnsi="Times New Roman"/>
          <w:sz w:val="24"/>
          <w:szCs w:val="24"/>
        </w:rPr>
      </w:pPr>
    </w:p>
    <w:p w14:paraId="73A3596F" w14:textId="77777777" w:rsidR="001C563D" w:rsidRDefault="001C563D" w:rsidP="001C563D">
      <w:pPr>
        <w:pStyle w:val="NoSpacing"/>
        <w:tabs>
          <w:tab w:val="left" w:pos="3040"/>
        </w:tabs>
        <w:rPr>
          <w:rFonts w:ascii="Times New Roman" w:hAnsi="Times New Roman"/>
          <w:b/>
          <w:bCs/>
          <w:sz w:val="24"/>
          <w:szCs w:val="24"/>
        </w:rPr>
      </w:pPr>
      <w:r w:rsidRPr="008D16D6">
        <w:rPr>
          <w:rFonts w:ascii="Times New Roman" w:hAnsi="Times New Roman"/>
          <w:b/>
          <w:bCs/>
          <w:sz w:val="24"/>
          <w:szCs w:val="24"/>
        </w:rPr>
        <w:t>Legal Lessons Learned</w:t>
      </w:r>
      <w:r>
        <w:rPr>
          <w:rFonts w:ascii="Times New Roman" w:hAnsi="Times New Roman"/>
          <w:b/>
          <w:bCs/>
          <w:sz w:val="24"/>
          <w:szCs w:val="24"/>
        </w:rPr>
        <w:t xml:space="preserve">:  If the paramedic had asked the hospital for a leave of absence or other reasonable accommodation, and the hospital refused, this lawsuit might not have been dismissed. </w:t>
      </w:r>
    </w:p>
    <w:p w14:paraId="56EA3FED" w14:textId="77777777" w:rsidR="001C563D" w:rsidRDefault="001C563D" w:rsidP="001C563D">
      <w:pPr>
        <w:pStyle w:val="NoSpacing"/>
        <w:rPr>
          <w:rFonts w:ascii="Arial Black" w:hAnsi="Arial Black"/>
          <w:sz w:val="24"/>
          <w:szCs w:val="24"/>
        </w:rPr>
      </w:pPr>
    </w:p>
    <w:p w14:paraId="4598F4E3" w14:textId="62952EA5" w:rsidR="001C563D" w:rsidRDefault="001A653A" w:rsidP="000C4DF5">
      <w:pPr>
        <w:pStyle w:val="NoSpacing"/>
        <w:rPr>
          <w:rFonts w:ascii="Arial Black" w:hAnsi="Arial Black"/>
          <w:sz w:val="24"/>
          <w:szCs w:val="24"/>
        </w:rPr>
      </w:pPr>
      <w:r>
        <w:rPr>
          <w:rFonts w:ascii="Arial Black" w:hAnsi="Arial Black"/>
          <w:sz w:val="24"/>
          <w:szCs w:val="24"/>
        </w:rPr>
        <w:t>15-8</w:t>
      </w:r>
    </w:p>
    <w:p w14:paraId="102B4DAE" w14:textId="684FC89A" w:rsidR="001A653A" w:rsidRDefault="001A653A" w:rsidP="000C4DF5">
      <w:pPr>
        <w:pStyle w:val="NoSpacing"/>
        <w:rPr>
          <w:rFonts w:ascii="Arial Black" w:hAnsi="Arial Black"/>
          <w:sz w:val="24"/>
          <w:szCs w:val="24"/>
        </w:rPr>
      </w:pPr>
    </w:p>
    <w:p w14:paraId="5402370D" w14:textId="77777777" w:rsidR="001A653A" w:rsidRPr="00B64EBC" w:rsidRDefault="001A653A" w:rsidP="001A653A">
      <w:pPr>
        <w:pStyle w:val="NoSpacing"/>
        <w:rPr>
          <w:rFonts w:ascii="Arial Black" w:hAnsi="Arial Black"/>
          <w:b/>
          <w:bCs/>
          <w:sz w:val="28"/>
          <w:szCs w:val="28"/>
        </w:rPr>
      </w:pPr>
      <w:bookmarkStart w:id="580" w:name="_Hlk66950286"/>
      <w:r w:rsidRPr="00B64EBC">
        <w:rPr>
          <w:rFonts w:ascii="Arial Black" w:hAnsi="Arial Black"/>
          <w:b/>
          <w:bCs/>
          <w:sz w:val="28"/>
          <w:szCs w:val="28"/>
        </w:rPr>
        <w:t>NJ:</w:t>
      </w:r>
      <w:r>
        <w:rPr>
          <w:rFonts w:ascii="Arial Black" w:hAnsi="Arial Black"/>
          <w:b/>
          <w:bCs/>
          <w:sz w:val="28"/>
          <w:szCs w:val="28"/>
        </w:rPr>
        <w:t xml:space="preserve">  FF FAILED PSYCHOLOGICAL EXAM FOR CAREER POSITION – FORMER MARINE – MEDICAL DISCHARGE WITH PTSD – APPEAL DENIED</w:t>
      </w:r>
    </w:p>
    <w:p w14:paraId="7406C22A" w14:textId="77777777" w:rsidR="001A653A" w:rsidRDefault="001A653A" w:rsidP="001A653A">
      <w:pPr>
        <w:pStyle w:val="NoSpacing"/>
        <w:rPr>
          <w:rFonts w:ascii="Times New Roman" w:hAnsi="Times New Roman"/>
          <w:sz w:val="24"/>
          <w:szCs w:val="24"/>
        </w:rPr>
      </w:pPr>
    </w:p>
    <w:p w14:paraId="4253BA4C" w14:textId="77777777" w:rsidR="001A653A" w:rsidRPr="00C32347" w:rsidRDefault="001A653A" w:rsidP="001A653A">
      <w:pPr>
        <w:pStyle w:val="NoSpacing"/>
        <w:rPr>
          <w:rFonts w:ascii="Times New Roman" w:eastAsia="Times New Roman" w:hAnsi="Times New Roman"/>
          <w:b/>
          <w:bCs/>
          <w:sz w:val="24"/>
          <w:szCs w:val="24"/>
        </w:rPr>
      </w:pPr>
      <w:r w:rsidRPr="00B64EBC">
        <w:rPr>
          <w:rFonts w:ascii="Times New Roman" w:hAnsi="Times New Roman"/>
          <w:sz w:val="24"/>
          <w:szCs w:val="24"/>
        </w:rPr>
        <w:t xml:space="preserve">On </w:t>
      </w:r>
      <w:r>
        <w:rPr>
          <w:rFonts w:ascii="Times New Roman" w:hAnsi="Times New Roman"/>
          <w:sz w:val="24"/>
          <w:szCs w:val="24"/>
        </w:rPr>
        <w:t xml:space="preserve">June 12, 2020, in </w:t>
      </w:r>
      <w:r w:rsidRPr="00B64EBC">
        <w:rPr>
          <w:rFonts w:ascii="Times New Roman" w:hAnsi="Times New Roman"/>
          <w:sz w:val="24"/>
          <w:szCs w:val="24"/>
          <w:u w:val="single"/>
        </w:rPr>
        <w:t>Frank Rivera v. Township of Cranford</w:t>
      </w:r>
      <w:r>
        <w:rPr>
          <w:rFonts w:ascii="Times New Roman" w:hAnsi="Times New Roman"/>
          <w:sz w:val="24"/>
          <w:szCs w:val="24"/>
        </w:rPr>
        <w:t>, the Superior Court of New Jersey, Appellate Division, held (unpublished opinion) that the jury’s decision in favor of the Township is affirmed. The Court wrote: “P</w:t>
      </w:r>
      <w:r w:rsidRPr="00C32347">
        <w:rPr>
          <w:rFonts w:ascii="Times New Roman" w:hAnsi="Times New Roman"/>
          <w:sz w:val="24"/>
          <w:szCs w:val="24"/>
        </w:rPr>
        <w:t>laintiff's</w:t>
      </w:r>
      <w:r>
        <w:rPr>
          <w:rFonts w:ascii="Times New Roman" w:hAnsi="Times New Roman"/>
          <w:sz w:val="24"/>
          <w:szCs w:val="24"/>
        </w:rPr>
        <w:t xml:space="preserve"> </w:t>
      </w:r>
      <w:r w:rsidRPr="00C32347">
        <w:rPr>
          <w:rFonts w:ascii="Times New Roman" w:hAnsi="Times New Roman"/>
          <w:sz w:val="24"/>
          <w:szCs w:val="24"/>
        </w:rPr>
        <w:t>superiors</w:t>
      </w:r>
      <w:r>
        <w:rPr>
          <w:rFonts w:ascii="Times New Roman" w:hAnsi="Times New Roman"/>
          <w:sz w:val="24"/>
          <w:szCs w:val="24"/>
        </w:rPr>
        <w:t xml:space="preserve"> </w:t>
      </w:r>
      <w:r w:rsidRPr="00C32347">
        <w:rPr>
          <w:rFonts w:ascii="Times New Roman" w:hAnsi="Times New Roman"/>
          <w:sz w:val="24"/>
          <w:szCs w:val="24"/>
        </w:rPr>
        <w:t>denied ever hearing about any issues stemming from plaintiff's military service or any medical diagnoses or treatment.</w:t>
      </w:r>
      <w:r>
        <w:rPr>
          <w:rFonts w:ascii="Times New Roman" w:hAnsi="Times New Roman"/>
          <w:sz w:val="24"/>
          <w:szCs w:val="24"/>
        </w:rPr>
        <w:t xml:space="preserve"> </w:t>
      </w:r>
      <w:r w:rsidRPr="00C32347">
        <w:rPr>
          <w:rFonts w:ascii="Times New Roman" w:hAnsi="Times New Roman"/>
          <w:sz w:val="24"/>
          <w:szCs w:val="24"/>
        </w:rPr>
        <w:t>There is no evidence to support the conclusion that the persons responsible for deciding whether to appoint plaintiff as a career firefighter–Dolan and the Township Committee–had either engaged in making or had heard the negative comments</w:t>
      </w:r>
      <w:r>
        <w:rPr>
          <w:rFonts w:ascii="Times New Roman" w:hAnsi="Times New Roman"/>
          <w:sz w:val="24"/>
          <w:szCs w:val="24"/>
        </w:rPr>
        <w:t xml:space="preserve">.”  </w:t>
      </w:r>
      <w:hyperlink r:id="rId2462" w:history="1">
        <w:r w:rsidRPr="00F9258E">
          <w:rPr>
            <w:rStyle w:val="Hyperlink"/>
            <w:rFonts w:ascii="Times New Roman" w:hAnsi="Times New Roman"/>
            <w:sz w:val="24"/>
            <w:szCs w:val="24"/>
          </w:rPr>
          <w:t>https://images.law.com/contrib/content/uploads/documents/399/44956/psych.pdf</w:t>
        </w:r>
      </w:hyperlink>
      <w:r>
        <w:rPr>
          <w:rFonts w:ascii="Times New Roman" w:hAnsi="Times New Roman"/>
          <w:sz w:val="24"/>
          <w:szCs w:val="24"/>
        </w:rPr>
        <w:t xml:space="preserve"> </w:t>
      </w:r>
    </w:p>
    <w:p w14:paraId="57CFA538" w14:textId="0BC8A4DB" w:rsidR="001A653A" w:rsidRDefault="001A653A" w:rsidP="000C4DF5">
      <w:pPr>
        <w:pStyle w:val="NoSpacing"/>
        <w:rPr>
          <w:rFonts w:ascii="Arial Black" w:hAnsi="Arial Black"/>
          <w:sz w:val="24"/>
          <w:szCs w:val="24"/>
        </w:rPr>
      </w:pPr>
    </w:p>
    <w:p w14:paraId="7AA1980D" w14:textId="77777777" w:rsidR="001A653A" w:rsidRDefault="001A653A" w:rsidP="001A653A">
      <w:pPr>
        <w:pStyle w:val="NoSpacing"/>
        <w:rPr>
          <w:rFonts w:ascii="Times New Roman" w:hAnsi="Times New Roman"/>
          <w:b/>
          <w:bCs/>
          <w:sz w:val="24"/>
          <w:szCs w:val="24"/>
        </w:rPr>
      </w:pPr>
      <w:r w:rsidRPr="00EA7DA2">
        <w:rPr>
          <w:rFonts w:ascii="Times New Roman" w:hAnsi="Times New Roman"/>
          <w:b/>
          <w:bCs/>
          <w:sz w:val="24"/>
          <w:szCs w:val="24"/>
        </w:rPr>
        <w:t xml:space="preserve">Legal Lessons Learned: </w:t>
      </w:r>
      <w:r>
        <w:rPr>
          <w:rFonts w:ascii="Times New Roman" w:hAnsi="Times New Roman"/>
          <w:b/>
          <w:bCs/>
          <w:sz w:val="24"/>
          <w:szCs w:val="24"/>
        </w:rPr>
        <w:t>PTSD is a difficult burden.  Question: Would you allow the firefighter in this case to later take another psychological exam?</w:t>
      </w:r>
    </w:p>
    <w:p w14:paraId="24531546" w14:textId="77777777" w:rsidR="001A653A" w:rsidRDefault="001A653A" w:rsidP="001A653A">
      <w:pPr>
        <w:pStyle w:val="NoSpacing"/>
        <w:rPr>
          <w:rFonts w:ascii="Times New Roman" w:hAnsi="Times New Roman"/>
          <w:b/>
          <w:bCs/>
          <w:sz w:val="24"/>
          <w:szCs w:val="24"/>
        </w:rPr>
      </w:pPr>
    </w:p>
    <w:p w14:paraId="2263DD4C" w14:textId="77777777" w:rsidR="001A653A" w:rsidRPr="00EA7DA2" w:rsidRDefault="001A653A" w:rsidP="001A653A">
      <w:pPr>
        <w:pStyle w:val="NoSpacing"/>
        <w:ind w:left="720"/>
        <w:rPr>
          <w:rFonts w:ascii="Times New Roman" w:hAnsi="Times New Roman"/>
          <w:sz w:val="24"/>
          <w:szCs w:val="24"/>
        </w:rPr>
      </w:pPr>
      <w:r w:rsidRPr="00EA7DA2">
        <w:rPr>
          <w:rFonts w:ascii="Times New Roman" w:hAnsi="Times New Roman"/>
          <w:sz w:val="24"/>
          <w:szCs w:val="24"/>
        </w:rPr>
        <w:t xml:space="preserve">Note: </w:t>
      </w:r>
      <w:r>
        <w:rPr>
          <w:rFonts w:ascii="Times New Roman" w:hAnsi="Times New Roman"/>
          <w:sz w:val="24"/>
          <w:szCs w:val="24"/>
        </w:rPr>
        <w:t xml:space="preserve">See this article: </w:t>
      </w:r>
      <w:r w:rsidRPr="00EA7DA2">
        <w:rPr>
          <w:rFonts w:ascii="Times New Roman" w:hAnsi="Times New Roman"/>
          <w:sz w:val="24"/>
          <w:szCs w:val="24"/>
          <w:u w:val="single"/>
        </w:rPr>
        <w:t>Tips on how to pass your Firefighter Psychological Test</w:t>
      </w:r>
      <w:r w:rsidRPr="00EA7DA2">
        <w:rPr>
          <w:rFonts w:ascii="Times New Roman" w:hAnsi="Times New Roman"/>
          <w:sz w:val="24"/>
          <w:szCs w:val="24"/>
        </w:rPr>
        <w:t xml:space="preserve"> (June 24, 2019):</w:t>
      </w:r>
      <w:r>
        <w:rPr>
          <w:rFonts w:ascii="Times New Roman" w:hAnsi="Times New Roman"/>
          <w:sz w:val="24"/>
          <w:szCs w:val="24"/>
        </w:rPr>
        <w:t xml:space="preserve"> </w:t>
      </w:r>
      <w:r w:rsidRPr="00EA7DA2">
        <w:rPr>
          <w:rFonts w:ascii="Times New Roman" w:hAnsi="Times New Roman"/>
          <w:sz w:val="24"/>
          <w:szCs w:val="24"/>
        </w:rPr>
        <w:t xml:space="preserve">First, consider answering the questions briefly and honestly with the best of your ability. Secondly, before you answer any questions from the interviewer, take time to think and come up with the correct answer. Thirdly, don’t rush with your answers, be calm consider the questions for some time, take a deep breath and offer your solutions. </w:t>
      </w:r>
      <w:hyperlink r:id="rId2463" w:history="1">
        <w:r w:rsidRPr="00EA7DA2">
          <w:rPr>
            <w:rStyle w:val="Hyperlink"/>
            <w:rFonts w:ascii="Times New Roman" w:hAnsi="Times New Roman"/>
            <w:sz w:val="24"/>
            <w:szCs w:val="24"/>
          </w:rPr>
          <w:t>http://www.firefighters-exam.com/2019/06/24/tips-on-how-to-pass-your-firefighter-psychological-test/</w:t>
        </w:r>
      </w:hyperlink>
      <w:r w:rsidRPr="00EA7DA2">
        <w:rPr>
          <w:rFonts w:ascii="Times New Roman" w:hAnsi="Times New Roman"/>
          <w:sz w:val="24"/>
          <w:szCs w:val="24"/>
        </w:rPr>
        <w:t xml:space="preserve"> </w:t>
      </w:r>
    </w:p>
    <w:bookmarkEnd w:id="580"/>
    <w:p w14:paraId="6C2D6F4B" w14:textId="77777777" w:rsidR="001A653A" w:rsidRDefault="001A653A" w:rsidP="001A653A">
      <w:pPr>
        <w:pStyle w:val="NoSpacing"/>
        <w:rPr>
          <w:rFonts w:ascii="Times New Roman" w:hAnsi="Times New Roman"/>
          <w:sz w:val="24"/>
          <w:szCs w:val="24"/>
        </w:rPr>
      </w:pPr>
    </w:p>
    <w:p w14:paraId="2B691D9B" w14:textId="77777777" w:rsidR="001A653A" w:rsidRDefault="001A653A" w:rsidP="000C4DF5">
      <w:pPr>
        <w:pStyle w:val="NoSpacing"/>
        <w:rPr>
          <w:rFonts w:ascii="Arial Black" w:hAnsi="Arial Black"/>
          <w:sz w:val="24"/>
          <w:szCs w:val="24"/>
        </w:rPr>
      </w:pPr>
    </w:p>
    <w:p w14:paraId="0FC9FF6E" w14:textId="77777777" w:rsidR="001C563D" w:rsidRDefault="001C563D" w:rsidP="000C4DF5">
      <w:pPr>
        <w:pStyle w:val="NoSpacing"/>
        <w:rPr>
          <w:rFonts w:ascii="Arial Black" w:hAnsi="Arial Black"/>
          <w:sz w:val="24"/>
          <w:szCs w:val="24"/>
        </w:rPr>
      </w:pPr>
    </w:p>
    <w:p w14:paraId="05856C7B" w14:textId="17F792DE" w:rsidR="00FA7B26" w:rsidRDefault="00FA7B26" w:rsidP="000C4DF5">
      <w:pPr>
        <w:pStyle w:val="NoSpacing"/>
        <w:rPr>
          <w:rFonts w:ascii="Arial Black" w:hAnsi="Arial Black"/>
          <w:sz w:val="24"/>
          <w:szCs w:val="24"/>
        </w:rPr>
      </w:pPr>
      <w:r>
        <w:rPr>
          <w:rFonts w:ascii="Arial Black" w:hAnsi="Arial Black"/>
          <w:sz w:val="24"/>
          <w:szCs w:val="24"/>
        </w:rPr>
        <w:t>15-7</w:t>
      </w:r>
    </w:p>
    <w:p w14:paraId="5321AC53" w14:textId="77777777" w:rsidR="00FA7B26" w:rsidRDefault="00FA7B26" w:rsidP="00FA7B26">
      <w:pPr>
        <w:spacing w:before="100" w:beforeAutospacing="1" w:after="100" w:afterAutospacing="1" w:line="240" w:lineRule="auto"/>
        <w:jc w:val="both"/>
        <w:rPr>
          <w:rFonts w:ascii="Arial Black" w:eastAsia="Times New Roman" w:hAnsi="Arial Black"/>
          <w:b/>
          <w:bCs/>
          <w:sz w:val="28"/>
          <w:szCs w:val="28"/>
        </w:rPr>
      </w:pPr>
      <w:r w:rsidRPr="00EF0D90">
        <w:rPr>
          <w:rFonts w:ascii="Arial Black" w:eastAsia="Times New Roman" w:hAnsi="Arial Black"/>
          <w:b/>
          <w:bCs/>
          <w:sz w:val="28"/>
          <w:szCs w:val="28"/>
        </w:rPr>
        <w:t xml:space="preserve">NY: </w:t>
      </w:r>
      <w:r>
        <w:rPr>
          <w:rFonts w:ascii="Arial Black" w:eastAsia="Times New Roman" w:hAnsi="Arial Black"/>
          <w:b/>
          <w:bCs/>
          <w:sz w:val="28"/>
          <w:szCs w:val="28"/>
        </w:rPr>
        <w:t>FORMER FDNY EMT WITH PTSD – U.S. SOCIAL SECURITY DENIED BECAUSE SHE CAN PERFORM OTHER JOBS – COURT ORDERS SOCIAL SECURITY TO MAKE FUTHER REVIEW</w:t>
      </w:r>
    </w:p>
    <w:p w14:paraId="7D0C1229" w14:textId="195A357B" w:rsidR="00FA7B26" w:rsidRDefault="00FA7B26" w:rsidP="00FA7B26">
      <w:pPr>
        <w:pStyle w:val="NoSpacing"/>
        <w:rPr>
          <w:rStyle w:val="Hyperlink"/>
          <w:sz w:val="24"/>
          <w:szCs w:val="24"/>
        </w:rPr>
      </w:pPr>
      <w:r w:rsidRPr="002C5236">
        <w:rPr>
          <w:rFonts w:ascii="Times New Roman" w:eastAsia="Times New Roman" w:hAnsi="Times New Roman"/>
          <w:sz w:val="24"/>
          <w:szCs w:val="24"/>
        </w:rPr>
        <w:t xml:space="preserve">On May 18, 2020, in </w:t>
      </w:r>
      <w:r w:rsidRPr="002C5236">
        <w:rPr>
          <w:rFonts w:ascii="Times New Roman" w:eastAsia="Times New Roman" w:hAnsi="Times New Roman"/>
          <w:sz w:val="24"/>
          <w:szCs w:val="24"/>
          <w:u w:val="single"/>
        </w:rPr>
        <w:t xml:space="preserve">Eileen </w:t>
      </w:r>
      <w:proofErr w:type="spellStart"/>
      <w:r w:rsidRPr="002C5236">
        <w:rPr>
          <w:rFonts w:ascii="Times New Roman" w:eastAsia="Times New Roman" w:hAnsi="Times New Roman"/>
          <w:sz w:val="24"/>
          <w:szCs w:val="24"/>
          <w:u w:val="single"/>
        </w:rPr>
        <w:t>Dechberry</w:t>
      </w:r>
      <w:proofErr w:type="spellEnd"/>
      <w:r w:rsidRPr="002C5236">
        <w:rPr>
          <w:rFonts w:ascii="Times New Roman" w:eastAsia="Times New Roman" w:hAnsi="Times New Roman"/>
          <w:sz w:val="24"/>
          <w:szCs w:val="24"/>
          <w:u w:val="single"/>
        </w:rPr>
        <w:t xml:space="preserve"> v. Nancy A. Berryhill, Acting Commissioner of Social Security</w:t>
      </w:r>
      <w:r>
        <w:rPr>
          <w:rFonts w:ascii="Times New Roman" w:eastAsia="Times New Roman" w:hAnsi="Times New Roman"/>
          <w:sz w:val="24"/>
          <w:szCs w:val="24"/>
        </w:rPr>
        <w:t xml:space="preserve">, Chief U.S. District Court Judge Roslynn R. Mauskopf, Eastern District of New York (Brooklyn) granted the EMT’s motion to remand to Social Security for further review. </w:t>
      </w:r>
      <w:hyperlink r:id="rId2464" w:history="1">
        <w:r w:rsidRPr="00502F08">
          <w:rPr>
            <w:rStyle w:val="Hyperlink"/>
            <w:sz w:val="24"/>
            <w:szCs w:val="24"/>
          </w:rPr>
          <w:t>https://public.fastcase.com/Wl%2B2t%2BeVuI35%2FN70vAMFZhAr68AdbratCNmy2dcHSKg4lqOPhLPvbyL5oFysv%2FPr</w:t>
        </w:r>
      </w:hyperlink>
    </w:p>
    <w:p w14:paraId="375C20C4" w14:textId="77777777" w:rsidR="00FA7B26" w:rsidRPr="002C5236" w:rsidRDefault="00FA7B26" w:rsidP="00FA7B26">
      <w:pPr>
        <w:spacing w:before="100" w:beforeAutospacing="1" w:after="100" w:afterAutospacing="1" w:line="240" w:lineRule="auto"/>
        <w:rPr>
          <w:rFonts w:ascii="Times New Roman" w:eastAsia="Times New Roman" w:hAnsi="Times New Roman"/>
          <w:b/>
          <w:bCs/>
          <w:sz w:val="24"/>
          <w:szCs w:val="24"/>
        </w:rPr>
      </w:pPr>
      <w:r w:rsidRPr="00EA4371">
        <w:rPr>
          <w:rFonts w:ascii="Times New Roman" w:eastAsia="Times New Roman" w:hAnsi="Times New Roman"/>
          <w:b/>
          <w:bCs/>
          <w:sz w:val="24"/>
          <w:szCs w:val="24"/>
        </w:rPr>
        <w:t xml:space="preserve">Legal Lessons Learned: Mental health for emergency responders is thankfully now an item of great attention in </w:t>
      </w:r>
      <w:proofErr w:type="gramStart"/>
      <w:r w:rsidRPr="00EA4371">
        <w:rPr>
          <w:rFonts w:ascii="Times New Roman" w:eastAsia="Times New Roman" w:hAnsi="Times New Roman"/>
          <w:b/>
          <w:bCs/>
          <w:sz w:val="24"/>
          <w:szCs w:val="24"/>
        </w:rPr>
        <w:t>the Fire</w:t>
      </w:r>
      <w:proofErr w:type="gramEnd"/>
      <w:r w:rsidRPr="00EA4371">
        <w:rPr>
          <w:rFonts w:ascii="Times New Roman" w:eastAsia="Times New Roman" w:hAnsi="Times New Roman"/>
          <w:b/>
          <w:bCs/>
          <w:sz w:val="24"/>
          <w:szCs w:val="24"/>
        </w:rPr>
        <w:t xml:space="preserve">, EMS and Law Enforcement, including Peer Support Teams. </w:t>
      </w:r>
    </w:p>
    <w:p w14:paraId="74AD4C7C" w14:textId="77777777" w:rsidR="00FA7B26" w:rsidRDefault="00FA7B26" w:rsidP="00FA7B26">
      <w:pPr>
        <w:pStyle w:val="NoSpacing"/>
        <w:rPr>
          <w:rFonts w:ascii="Arial Black" w:hAnsi="Arial Black"/>
          <w:sz w:val="24"/>
          <w:szCs w:val="24"/>
        </w:rPr>
      </w:pPr>
    </w:p>
    <w:p w14:paraId="572BB697" w14:textId="77777777" w:rsidR="00FA7B26" w:rsidRDefault="00FA7B26" w:rsidP="000C4DF5">
      <w:pPr>
        <w:pStyle w:val="NoSpacing"/>
        <w:rPr>
          <w:rFonts w:ascii="Arial Black" w:hAnsi="Arial Black"/>
          <w:sz w:val="24"/>
          <w:szCs w:val="24"/>
        </w:rPr>
      </w:pPr>
    </w:p>
    <w:p w14:paraId="3E8B772B" w14:textId="77777777" w:rsidR="00FA7B26" w:rsidRDefault="00FA7B26" w:rsidP="000C4DF5">
      <w:pPr>
        <w:pStyle w:val="NoSpacing"/>
        <w:rPr>
          <w:rFonts w:ascii="Arial Black" w:hAnsi="Arial Black"/>
          <w:sz w:val="24"/>
          <w:szCs w:val="24"/>
        </w:rPr>
      </w:pPr>
    </w:p>
    <w:p w14:paraId="610B8C77" w14:textId="4308AAC1" w:rsidR="00366CDD" w:rsidRPr="00D8433A" w:rsidRDefault="00366CDD" w:rsidP="000C4DF5">
      <w:pPr>
        <w:pStyle w:val="NoSpacing"/>
        <w:rPr>
          <w:rFonts w:ascii="Times New Roman" w:hAnsi="Times New Roman"/>
          <w:sz w:val="24"/>
          <w:szCs w:val="24"/>
        </w:rPr>
      </w:pPr>
      <w:r>
        <w:rPr>
          <w:rFonts w:ascii="Arial Black" w:hAnsi="Arial Black"/>
          <w:sz w:val="24"/>
          <w:szCs w:val="24"/>
        </w:rPr>
        <w:t>15-</w:t>
      </w:r>
      <w:r w:rsidR="000F18B0">
        <w:rPr>
          <w:rFonts w:ascii="Arial Black" w:hAnsi="Arial Black"/>
          <w:sz w:val="24"/>
          <w:szCs w:val="24"/>
        </w:rPr>
        <w:t>6</w:t>
      </w:r>
      <w:r>
        <w:rPr>
          <w:rFonts w:ascii="Arial Black" w:hAnsi="Arial Black"/>
          <w:sz w:val="24"/>
          <w:szCs w:val="24"/>
        </w:rPr>
        <w:t xml:space="preserve"> </w:t>
      </w:r>
      <w:r w:rsidRPr="00D8433A">
        <w:rPr>
          <w:rFonts w:ascii="Times New Roman" w:hAnsi="Times New Roman"/>
          <w:sz w:val="24"/>
          <w:szCs w:val="24"/>
        </w:rPr>
        <w:t>[Also filed, Chap. 9 &amp; Chap. 10]</w:t>
      </w:r>
    </w:p>
    <w:p w14:paraId="60B2594B" w14:textId="77777777" w:rsidR="00366CDD" w:rsidRPr="00A670C3" w:rsidRDefault="00366CDD" w:rsidP="00366CDD">
      <w:pPr>
        <w:spacing w:before="100" w:beforeAutospacing="1" w:after="100" w:afterAutospacing="1" w:line="240" w:lineRule="auto"/>
        <w:rPr>
          <w:rFonts w:ascii="Arial Black" w:eastAsia="Times New Roman" w:hAnsi="Arial Black"/>
          <w:sz w:val="28"/>
          <w:szCs w:val="28"/>
        </w:rPr>
      </w:pPr>
      <w:r w:rsidRPr="00A670C3">
        <w:rPr>
          <w:rFonts w:ascii="Arial Black" w:eastAsia="Times New Roman" w:hAnsi="Arial Black"/>
          <w:sz w:val="28"/>
          <w:szCs w:val="28"/>
        </w:rPr>
        <w:t xml:space="preserve">PA: </w:t>
      </w:r>
      <w:r>
        <w:rPr>
          <w:rFonts w:ascii="Arial Black" w:eastAsia="Times New Roman" w:hAnsi="Arial Black"/>
          <w:sz w:val="28"/>
          <w:szCs w:val="28"/>
        </w:rPr>
        <w:t>FF PANIC ATTACK ON DUTY – PTSD, MEDICATION – NO LONGER QUALIFIED AS FF – TERMINATION NOT VIOL. ADA</w:t>
      </w:r>
    </w:p>
    <w:p w14:paraId="35186AF6" w14:textId="77777777" w:rsidR="00366CDD" w:rsidRPr="008561E5" w:rsidRDefault="00366CDD" w:rsidP="00366CD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April 17, 2020, in </w:t>
      </w:r>
      <w:r w:rsidRPr="008561E5">
        <w:rPr>
          <w:rFonts w:ascii="Times New Roman" w:eastAsia="Times New Roman" w:hAnsi="Times New Roman"/>
          <w:sz w:val="24"/>
          <w:szCs w:val="24"/>
          <w:u w:val="single"/>
        </w:rPr>
        <w:t xml:space="preserve">Robert Carpenter v. York Area United Fire </w:t>
      </w:r>
      <w:proofErr w:type="gramStart"/>
      <w:r w:rsidRPr="008561E5">
        <w:rPr>
          <w:rFonts w:ascii="Times New Roman" w:eastAsia="Times New Roman" w:hAnsi="Times New Roman"/>
          <w:sz w:val="24"/>
          <w:szCs w:val="24"/>
          <w:u w:val="single"/>
        </w:rPr>
        <w:t>And</w:t>
      </w:r>
      <w:proofErr w:type="gramEnd"/>
      <w:r w:rsidRPr="008561E5">
        <w:rPr>
          <w:rFonts w:ascii="Times New Roman" w:eastAsia="Times New Roman" w:hAnsi="Times New Roman"/>
          <w:sz w:val="24"/>
          <w:szCs w:val="24"/>
          <w:u w:val="single"/>
        </w:rPr>
        <w:t xml:space="preserve"> Rescue</w:t>
      </w:r>
      <w:r>
        <w:rPr>
          <w:rFonts w:ascii="Times New Roman" w:eastAsia="Times New Roman" w:hAnsi="Times New Roman"/>
          <w:sz w:val="24"/>
          <w:szCs w:val="24"/>
        </w:rPr>
        <w:t>, U.S. District Court Judge Christopher C. Conner, Chief Judge, Middle District of Pennsylvania, granted the FD’s motion for summary judgment.  The Court held that the firefighter was not a “</w:t>
      </w:r>
      <w:r w:rsidRPr="00A670C3">
        <w:rPr>
          <w:rFonts w:ascii="Times New Roman" w:eastAsia="Times New Roman" w:hAnsi="Times New Roman"/>
          <w:sz w:val="24"/>
          <w:szCs w:val="24"/>
        </w:rPr>
        <w:t>qualified individual for ADA purposes because he could not perform the essential functions of his job with or without reasonable accommodation</w:t>
      </w:r>
      <w:r>
        <w:rPr>
          <w:rFonts w:ascii="Times New Roman" w:eastAsia="Times New Roman" w:hAnsi="Times New Roman"/>
          <w:sz w:val="24"/>
          <w:szCs w:val="24"/>
        </w:rPr>
        <w:t>,” and indefinite leave of absence was not a reasonable accommodation; “</w:t>
      </w:r>
      <w:r w:rsidRPr="008561E5">
        <w:rPr>
          <w:rFonts w:ascii="Times New Roman" w:hAnsi="Times New Roman"/>
          <w:sz w:val="24"/>
          <w:szCs w:val="24"/>
        </w:rPr>
        <w:t xml:space="preserve">there must be some expectation that the employee could perform his essential job functions in the </w:t>
      </w:r>
      <w:r>
        <w:rPr>
          <w:rFonts w:ascii="Times New Roman" w:hAnsi="Times New Roman"/>
          <w:sz w:val="24"/>
          <w:szCs w:val="24"/>
        </w:rPr>
        <w:t>‘</w:t>
      </w:r>
      <w:r w:rsidRPr="008561E5">
        <w:rPr>
          <w:rFonts w:ascii="Times New Roman" w:hAnsi="Times New Roman"/>
          <w:sz w:val="24"/>
          <w:szCs w:val="24"/>
        </w:rPr>
        <w:t>near future</w:t>
      </w:r>
      <w:r>
        <w:rPr>
          <w:rFonts w:ascii="Times New Roman" w:hAnsi="Times New Roman"/>
          <w:sz w:val="24"/>
          <w:szCs w:val="24"/>
        </w:rPr>
        <w:t>’</w:t>
      </w:r>
      <w:r w:rsidRPr="008561E5">
        <w:rPr>
          <w:rFonts w:ascii="Times New Roman" w:hAnsi="Times New Roman"/>
          <w:sz w:val="24"/>
          <w:szCs w:val="24"/>
        </w:rPr>
        <w:t xml:space="preserve"> following the requested leave.</w:t>
      </w:r>
      <w:r>
        <w:rPr>
          <w:rFonts w:ascii="Times New Roman" w:hAnsi="Times New Roman"/>
          <w:sz w:val="24"/>
          <w:szCs w:val="24"/>
        </w:rPr>
        <w:t xml:space="preserve">   </w:t>
      </w:r>
    </w:p>
    <w:p w14:paraId="04CC3B9C" w14:textId="77777777" w:rsidR="00366CDD" w:rsidRDefault="00366CDD" w:rsidP="00366CDD">
      <w:pPr>
        <w:pStyle w:val="NormalWeb"/>
        <w:ind w:left="720"/>
      </w:pPr>
      <w:r>
        <w:t xml:space="preserve">“[Fire Department] </w:t>
      </w:r>
      <w:r w:rsidRPr="00A670C3">
        <w:t>argues that Carpenter is not a qualified individual for ADA purposes because he could not perform the essential functions of his job with or without reasonable accommodation. We agree.</w:t>
      </w:r>
      <w:r>
        <w:t xml:space="preserve">” </w:t>
      </w:r>
      <w:hyperlink r:id="rId2465" w:history="1">
        <w:r w:rsidRPr="00377614">
          <w:rPr>
            <w:rStyle w:val="Hyperlink"/>
          </w:rPr>
          <w:t>https://public.fastcase.com/Wl%2B2t%2BeVuI35%2FN70vAMFZkkc03nKI8qkpSJ%2FzmzLggswfoR1RvbDETmM60pPGUhc</w:t>
        </w:r>
      </w:hyperlink>
      <w:r>
        <w:t xml:space="preserve"> </w:t>
      </w:r>
    </w:p>
    <w:p w14:paraId="2A1773CA" w14:textId="77777777" w:rsidR="00366CDD" w:rsidRPr="00DE2E06" w:rsidRDefault="00366CDD" w:rsidP="00366CDD">
      <w:pPr>
        <w:rPr>
          <w:rFonts w:ascii="Times New Roman" w:hAnsi="Times New Roman"/>
          <w:b/>
          <w:bCs/>
          <w:sz w:val="24"/>
          <w:szCs w:val="24"/>
        </w:rPr>
      </w:pPr>
      <w:r w:rsidRPr="00DE2E06">
        <w:rPr>
          <w:rFonts w:ascii="Times New Roman" w:hAnsi="Times New Roman"/>
          <w:b/>
          <w:bCs/>
          <w:sz w:val="24"/>
          <w:szCs w:val="24"/>
        </w:rPr>
        <w:t>Legal Lessons Learned:  FF on leave and undergoing treatment, who desires to get back to the job, needs to stay in communication with FD.</w:t>
      </w:r>
      <w:r>
        <w:rPr>
          <w:rFonts w:ascii="Times New Roman" w:hAnsi="Times New Roman"/>
          <w:b/>
          <w:bCs/>
          <w:sz w:val="24"/>
          <w:szCs w:val="24"/>
        </w:rPr>
        <w:t xml:space="preserve">   FMLA also addressed (see below).</w:t>
      </w:r>
    </w:p>
    <w:p w14:paraId="60C1D4FD" w14:textId="77777777" w:rsidR="00366CDD" w:rsidRPr="00063DF6" w:rsidRDefault="00366CDD" w:rsidP="00366CDD">
      <w:pPr>
        <w:pStyle w:val="NormalWeb"/>
        <w:ind w:left="720"/>
        <w:rPr>
          <w:b/>
          <w:bCs/>
        </w:rPr>
      </w:pPr>
      <w:r w:rsidRPr="00063DF6">
        <w:t xml:space="preserve">Note:  </w:t>
      </w:r>
      <w:r>
        <w:t xml:space="preserve">Court also held that the FF was not </w:t>
      </w:r>
      <w:proofErr w:type="gramStart"/>
      <w:r>
        <w:t>entitle</w:t>
      </w:r>
      <w:proofErr w:type="gramEnd"/>
      <w:r>
        <w:t xml:space="preserve"> the FMLA leave. </w:t>
      </w:r>
      <w:r>
        <w:rPr>
          <w:bCs/>
        </w:rPr>
        <w:t>“</w:t>
      </w:r>
      <w:r w:rsidRPr="00A670C3">
        <w:rPr>
          <w:bCs/>
        </w:rPr>
        <w:t>In a letter dated October 11, 2017, YAUFR denied Carpenter's FMLA leave request</w:t>
      </w:r>
      <w:r>
        <w:rPr>
          <w:bCs/>
        </w:rPr>
        <w:t xml:space="preserve">…. </w:t>
      </w:r>
      <w:r w:rsidRPr="00A670C3">
        <w:rPr>
          <w:bCs/>
        </w:rPr>
        <w:t xml:space="preserve"> </w:t>
      </w:r>
      <w:r>
        <w:rPr>
          <w:bCs/>
        </w:rPr>
        <w:tab/>
      </w:r>
      <w:r w:rsidRPr="00A670C3">
        <w:rPr>
          <w:bCs/>
        </w:rPr>
        <w:t xml:space="preserve"> YAUFR explained that, although it was a covered employer under the FMLA, it did not employ the requisite number of people for Carpenter to be considered an </w:t>
      </w:r>
      <w:r>
        <w:rPr>
          <w:bCs/>
        </w:rPr>
        <w:t>‘</w:t>
      </w:r>
      <w:r w:rsidRPr="00A670C3">
        <w:rPr>
          <w:bCs/>
        </w:rPr>
        <w:t>eligible employee</w:t>
      </w:r>
      <w:r>
        <w:rPr>
          <w:bCs/>
        </w:rPr>
        <w:t>’</w:t>
      </w:r>
      <w:r w:rsidRPr="00A670C3">
        <w:rPr>
          <w:bCs/>
        </w:rPr>
        <w:t xml:space="preserve"> under FMLA regulations.</w:t>
      </w:r>
      <w:r>
        <w:rPr>
          <w:bCs/>
        </w:rPr>
        <w:t xml:space="preserve"> *** </w:t>
      </w:r>
      <w:r w:rsidRPr="00063DF6">
        <w:rPr>
          <w:bCs/>
        </w:rPr>
        <w:t xml:space="preserve">To qualify as an </w:t>
      </w:r>
      <w:r>
        <w:rPr>
          <w:bCs/>
        </w:rPr>
        <w:t>‘</w:t>
      </w:r>
      <w:r w:rsidRPr="00063DF6">
        <w:rPr>
          <w:bCs/>
        </w:rPr>
        <w:t>eligible employee,</w:t>
      </w:r>
      <w:r>
        <w:rPr>
          <w:bCs/>
        </w:rPr>
        <w:t>’</w:t>
      </w:r>
      <w:r w:rsidRPr="00063DF6">
        <w:rPr>
          <w:bCs/>
        </w:rPr>
        <w:t xml:space="preserve"> the employee must be </w:t>
      </w:r>
      <w:r>
        <w:rPr>
          <w:bCs/>
        </w:rPr>
        <w:t>‘</w:t>
      </w:r>
      <w:r w:rsidRPr="00063DF6">
        <w:rPr>
          <w:bCs/>
        </w:rPr>
        <w:t>employed at a worksite where 50 or more employees are employed by the employer within 75 miles of that worksite.</w:t>
      </w:r>
      <w:r>
        <w:rPr>
          <w:bCs/>
        </w:rPr>
        <w:t>’</w:t>
      </w:r>
      <w:r w:rsidRPr="00063DF6">
        <w:rPr>
          <w:bCs/>
        </w:rPr>
        <w:t xml:space="preserve"> 29 C.F.R. § 825.110(a)(3); see 29 U.S.C. § 2611(2)(B)(ii). YAUFR avers, and Carpenter concedes, that YAUFR has never employed 50 or more people.</w:t>
      </w:r>
      <w:r>
        <w:rPr>
          <w:bCs/>
        </w:rPr>
        <w:t>”</w:t>
      </w:r>
    </w:p>
    <w:p w14:paraId="10C495C5" w14:textId="77777777" w:rsidR="00366CDD" w:rsidRDefault="00366CDD" w:rsidP="000C4DF5">
      <w:pPr>
        <w:pStyle w:val="NoSpacing"/>
        <w:rPr>
          <w:rFonts w:ascii="Arial Black" w:hAnsi="Arial Black"/>
          <w:sz w:val="24"/>
          <w:szCs w:val="24"/>
        </w:rPr>
      </w:pPr>
    </w:p>
    <w:p w14:paraId="27E214B3" w14:textId="0DAB946C" w:rsidR="00366CDD" w:rsidRDefault="0012517E" w:rsidP="000C4DF5">
      <w:pPr>
        <w:pStyle w:val="NoSpacing"/>
        <w:rPr>
          <w:rFonts w:ascii="Arial Black" w:hAnsi="Arial Black"/>
          <w:sz w:val="24"/>
          <w:szCs w:val="24"/>
        </w:rPr>
      </w:pPr>
      <w:r>
        <w:rPr>
          <w:rFonts w:ascii="Arial Black" w:hAnsi="Arial Black"/>
          <w:sz w:val="24"/>
          <w:szCs w:val="24"/>
        </w:rPr>
        <w:t>15-5</w:t>
      </w:r>
    </w:p>
    <w:p w14:paraId="3EA60D97" w14:textId="7ACBA758" w:rsidR="0012517E" w:rsidRDefault="0012517E" w:rsidP="000C4DF5">
      <w:pPr>
        <w:pStyle w:val="NoSpacing"/>
        <w:rPr>
          <w:rFonts w:ascii="Arial Black" w:hAnsi="Arial Black"/>
          <w:sz w:val="24"/>
          <w:szCs w:val="24"/>
        </w:rPr>
      </w:pPr>
    </w:p>
    <w:p w14:paraId="31EE0F7E" w14:textId="77777777" w:rsidR="0012517E" w:rsidRPr="00C6323F" w:rsidRDefault="0012517E" w:rsidP="0012517E">
      <w:pPr>
        <w:pStyle w:val="NoSpacing"/>
        <w:rPr>
          <w:rFonts w:ascii="Arial Black" w:hAnsi="Arial Black"/>
          <w:sz w:val="28"/>
          <w:szCs w:val="28"/>
        </w:rPr>
      </w:pPr>
      <w:r w:rsidRPr="00C6323F">
        <w:rPr>
          <w:rFonts w:ascii="Arial Black" w:hAnsi="Arial Black"/>
          <w:sz w:val="28"/>
          <w:szCs w:val="28"/>
        </w:rPr>
        <w:t>MA:</w:t>
      </w:r>
      <w:r>
        <w:rPr>
          <w:rFonts w:ascii="Arial Black" w:hAnsi="Arial Black"/>
          <w:sz w:val="28"/>
          <w:szCs w:val="28"/>
        </w:rPr>
        <w:t xml:space="preserve"> ANGER MGT, THREATS TO “GO POSTAL” – PAID LEAVE 1-YR - DIDN’T COMPLY RETURN-TO-WORK REQUIREMENTS - FIRED</w:t>
      </w:r>
    </w:p>
    <w:p w14:paraId="14D5319D" w14:textId="77777777" w:rsidR="0012517E" w:rsidRDefault="0012517E" w:rsidP="0012517E">
      <w:pPr>
        <w:pStyle w:val="NoSpacing"/>
        <w:rPr>
          <w:b/>
          <w:bCs/>
          <w:sz w:val="24"/>
          <w:szCs w:val="24"/>
        </w:rPr>
      </w:pPr>
    </w:p>
    <w:p w14:paraId="51DD0988" w14:textId="77777777" w:rsidR="0012517E" w:rsidRPr="00D61723" w:rsidRDefault="0012517E" w:rsidP="0012517E">
      <w:pPr>
        <w:pStyle w:val="NoSpacing"/>
        <w:rPr>
          <w:rFonts w:ascii="Times New Roman" w:hAnsi="Times New Roman"/>
          <w:b/>
          <w:bCs/>
          <w:sz w:val="24"/>
          <w:szCs w:val="24"/>
        </w:rPr>
      </w:pPr>
      <w:r w:rsidRPr="00D61723">
        <w:rPr>
          <w:rFonts w:ascii="Times New Roman" w:hAnsi="Times New Roman"/>
          <w:bCs/>
          <w:sz w:val="24"/>
          <w:szCs w:val="24"/>
        </w:rPr>
        <w:t xml:space="preserve">On April 2, 2020, in </w:t>
      </w:r>
      <w:r w:rsidRPr="00D61723">
        <w:rPr>
          <w:rFonts w:ascii="Times New Roman" w:hAnsi="Times New Roman"/>
          <w:bCs/>
          <w:sz w:val="24"/>
          <w:szCs w:val="24"/>
          <w:u w:val="single"/>
        </w:rPr>
        <w:t>Gerald Alston v. Town of Brookline, Massachusetts</w:t>
      </w:r>
      <w:r w:rsidRPr="00D61723">
        <w:rPr>
          <w:rFonts w:ascii="Times New Roman" w:hAnsi="Times New Roman"/>
          <w:bCs/>
          <w:sz w:val="24"/>
          <w:szCs w:val="24"/>
        </w:rPr>
        <w:t xml:space="preserve">, Senior U.S. District Court Judge George A. O’Toole, Jr., District of Massachusetts, granted summary judgment for the Town, finding that he failed to meet the Fire Chiefs return to work requirements, including completing an anger management course, and passing a fitness for duty evaluation, and drug test.  </w:t>
      </w:r>
    </w:p>
    <w:p w14:paraId="27C39AC6" w14:textId="77777777" w:rsidR="0012517E" w:rsidRPr="00D61723" w:rsidRDefault="0012517E" w:rsidP="0012517E">
      <w:pPr>
        <w:pStyle w:val="NoSpacing"/>
        <w:rPr>
          <w:rFonts w:ascii="Times New Roman" w:hAnsi="Times New Roman"/>
          <w:sz w:val="24"/>
          <w:szCs w:val="24"/>
        </w:rPr>
      </w:pPr>
    </w:p>
    <w:p w14:paraId="362B84D2" w14:textId="2E4D1637" w:rsidR="0012517E" w:rsidRDefault="0012517E" w:rsidP="000C4DF5">
      <w:pPr>
        <w:pStyle w:val="NoSpacing"/>
        <w:rPr>
          <w:rFonts w:ascii="Arial Black" w:hAnsi="Arial Black"/>
          <w:sz w:val="24"/>
          <w:szCs w:val="24"/>
        </w:rPr>
      </w:pPr>
      <w:r w:rsidRPr="00D61723">
        <w:rPr>
          <w:rFonts w:ascii="Times New Roman" w:hAnsi="Times New Roman"/>
          <w:bCs/>
          <w:sz w:val="24"/>
          <w:szCs w:val="24"/>
        </w:rPr>
        <w:t xml:space="preserve">“Alston was evaluated both by a psychiatrist chosen by the Town and, after his request for evaluation by a different doctor, an evaluation by a psychiatrist from the Massachusetts General Hospital was arranged. Both psychiatrists recommended essentially the same return-to-work conditions for Alston, and it is undisputed that Alston never complied with those conditions. Nor did he provide any conflicting opinion from another psychiatrist.” </w:t>
      </w:r>
      <w:hyperlink r:id="rId2466" w:history="1">
        <w:r w:rsidRPr="00D61723">
          <w:rPr>
            <w:rStyle w:val="Hyperlink"/>
            <w:rFonts w:ascii="Times New Roman" w:hAnsi="Times New Roman"/>
            <w:b/>
            <w:sz w:val="24"/>
            <w:szCs w:val="24"/>
          </w:rPr>
          <w:t>https://jgpr.net/wp-content/uploads/2020/04/433-MSJ-Order.pdf</w:t>
        </w:r>
      </w:hyperlink>
    </w:p>
    <w:p w14:paraId="7E877980" w14:textId="77777777" w:rsidR="0012517E" w:rsidRPr="00D61723" w:rsidRDefault="0012517E" w:rsidP="0012517E">
      <w:pPr>
        <w:spacing w:before="100" w:beforeAutospacing="1" w:after="100" w:afterAutospacing="1" w:line="240" w:lineRule="auto"/>
        <w:rPr>
          <w:rFonts w:ascii="Times New Roman" w:hAnsi="Times New Roman"/>
          <w:b/>
          <w:bCs/>
          <w:sz w:val="24"/>
          <w:szCs w:val="24"/>
        </w:rPr>
      </w:pPr>
      <w:r w:rsidRPr="00D61723">
        <w:rPr>
          <w:rFonts w:ascii="Times New Roman" w:hAnsi="Times New Roman"/>
          <w:b/>
          <w:bCs/>
          <w:sz w:val="24"/>
          <w:szCs w:val="24"/>
        </w:rPr>
        <w:t xml:space="preserve">Legal Lessons Learned: The Town wisely proposed a return-to-work plan and provided adequate time for completion of the plan. </w:t>
      </w:r>
    </w:p>
    <w:p w14:paraId="06C27836" w14:textId="77777777" w:rsidR="0012517E" w:rsidRDefault="0012517E" w:rsidP="000C4DF5">
      <w:pPr>
        <w:pStyle w:val="NoSpacing"/>
        <w:rPr>
          <w:rFonts w:ascii="Arial Black" w:hAnsi="Arial Black"/>
          <w:sz w:val="24"/>
          <w:szCs w:val="24"/>
        </w:rPr>
      </w:pPr>
    </w:p>
    <w:p w14:paraId="73BA4259" w14:textId="77777777" w:rsidR="0012517E" w:rsidRDefault="0012517E" w:rsidP="000C4DF5">
      <w:pPr>
        <w:pStyle w:val="NoSpacing"/>
        <w:rPr>
          <w:rFonts w:ascii="Arial Black" w:hAnsi="Arial Black"/>
          <w:sz w:val="24"/>
          <w:szCs w:val="24"/>
        </w:rPr>
      </w:pPr>
    </w:p>
    <w:p w14:paraId="7BA4DB8C" w14:textId="77777777" w:rsidR="0012517E" w:rsidRDefault="0012517E" w:rsidP="000C4DF5">
      <w:pPr>
        <w:pStyle w:val="NoSpacing"/>
        <w:rPr>
          <w:rFonts w:ascii="Arial Black" w:hAnsi="Arial Black"/>
          <w:sz w:val="24"/>
          <w:szCs w:val="24"/>
        </w:rPr>
      </w:pPr>
    </w:p>
    <w:p w14:paraId="23429A29" w14:textId="4B9058A0" w:rsidR="006508FC" w:rsidRDefault="006508FC" w:rsidP="000C4DF5">
      <w:pPr>
        <w:pStyle w:val="NoSpacing"/>
        <w:rPr>
          <w:rFonts w:ascii="Arial Black" w:hAnsi="Arial Black"/>
          <w:sz w:val="24"/>
          <w:szCs w:val="24"/>
        </w:rPr>
      </w:pPr>
      <w:r>
        <w:rPr>
          <w:rFonts w:ascii="Arial Black" w:hAnsi="Arial Black"/>
          <w:sz w:val="24"/>
          <w:szCs w:val="24"/>
        </w:rPr>
        <w:t>15-4</w:t>
      </w:r>
    </w:p>
    <w:p w14:paraId="124103C3" w14:textId="633A0915" w:rsidR="006508FC" w:rsidRDefault="006508FC" w:rsidP="000C4DF5">
      <w:pPr>
        <w:pStyle w:val="NoSpacing"/>
        <w:rPr>
          <w:rFonts w:ascii="Arial Black" w:hAnsi="Arial Black"/>
          <w:sz w:val="24"/>
          <w:szCs w:val="24"/>
        </w:rPr>
      </w:pPr>
    </w:p>
    <w:p w14:paraId="3342711F" w14:textId="77777777" w:rsidR="006508FC" w:rsidRPr="006508FC" w:rsidRDefault="006508FC" w:rsidP="000C4DF5">
      <w:pPr>
        <w:pStyle w:val="NoSpacing"/>
        <w:rPr>
          <w:rFonts w:ascii="Arial Black" w:hAnsi="Arial Black" w:cs="Arial"/>
          <w:sz w:val="28"/>
          <w:szCs w:val="28"/>
        </w:rPr>
      </w:pPr>
      <w:bookmarkStart w:id="581" w:name="_Hlk39772708"/>
      <w:r w:rsidRPr="006508FC">
        <w:rPr>
          <w:rFonts w:ascii="Arial Black" w:hAnsi="Arial Black" w:cs="Arial"/>
          <w:sz w:val="28"/>
          <w:szCs w:val="28"/>
        </w:rPr>
        <w:t>NY: PTSD - CAR FIRE / MASK DISLODGED BY SNOW - PSYCHIATRIST’S NOTES FF INTERVIEW - ACCIDENTAL DISAB. RETIREMENT DENIED</w:t>
      </w:r>
    </w:p>
    <w:p w14:paraId="7E98E737" w14:textId="77777777" w:rsidR="00BC17B3" w:rsidRDefault="006508FC" w:rsidP="000C4DF5">
      <w:pPr>
        <w:pStyle w:val="NoSpacing"/>
        <w:rPr>
          <w:rFonts w:ascii="Times New Roman" w:hAnsi="Times New Roman"/>
          <w:sz w:val="24"/>
          <w:szCs w:val="24"/>
        </w:rPr>
      </w:pPr>
      <w:r w:rsidRPr="0036327D">
        <w:rPr>
          <w:rFonts w:ascii="Times New Roman" w:hAnsi="Times New Roman"/>
          <w:sz w:val="24"/>
          <w:szCs w:val="24"/>
        </w:rPr>
        <w:t xml:space="preserve">On April 25, 2019, In </w:t>
      </w:r>
      <w:proofErr w:type="gramStart"/>
      <w:r w:rsidRPr="0036327D">
        <w:rPr>
          <w:rFonts w:ascii="Times New Roman" w:hAnsi="Times New Roman"/>
          <w:sz w:val="24"/>
          <w:szCs w:val="24"/>
        </w:rPr>
        <w:t>The</w:t>
      </w:r>
      <w:proofErr w:type="gramEnd"/>
      <w:r w:rsidRPr="0036327D">
        <w:rPr>
          <w:rFonts w:ascii="Times New Roman" w:hAnsi="Times New Roman"/>
          <w:sz w:val="24"/>
          <w:szCs w:val="24"/>
        </w:rPr>
        <w:t xml:space="preserve"> Matter of Alexander Hanon v. Thomas P. </w:t>
      </w:r>
      <w:proofErr w:type="spellStart"/>
      <w:r w:rsidRPr="0036327D">
        <w:rPr>
          <w:rFonts w:ascii="Times New Roman" w:hAnsi="Times New Roman"/>
          <w:sz w:val="24"/>
          <w:szCs w:val="24"/>
        </w:rPr>
        <w:t>PiNapoli</w:t>
      </w:r>
      <w:proofErr w:type="spellEnd"/>
      <w:r w:rsidRPr="0036327D">
        <w:rPr>
          <w:rFonts w:ascii="Times New Roman" w:hAnsi="Times New Roman"/>
          <w:sz w:val="24"/>
          <w:szCs w:val="24"/>
        </w:rPr>
        <w:t xml:space="preserve">, State Comptroller, the New York Appellate Division, Third Department, (5 to 0), upheld the denial of his claim. </w:t>
      </w:r>
    </w:p>
    <w:p w14:paraId="3AE55E68" w14:textId="77777777" w:rsidR="00BC17B3" w:rsidRDefault="00BC17B3" w:rsidP="000C4DF5">
      <w:pPr>
        <w:pStyle w:val="NoSpacing"/>
        <w:rPr>
          <w:rFonts w:ascii="Times New Roman" w:hAnsi="Times New Roman"/>
          <w:sz w:val="24"/>
          <w:szCs w:val="24"/>
        </w:rPr>
      </w:pPr>
    </w:p>
    <w:p w14:paraId="447B6224" w14:textId="4AEB2B35" w:rsidR="006508FC" w:rsidRPr="0036327D" w:rsidRDefault="006508FC" w:rsidP="00BC17B3">
      <w:pPr>
        <w:pStyle w:val="NoSpacing"/>
        <w:ind w:left="720"/>
        <w:rPr>
          <w:rFonts w:ascii="Times New Roman" w:hAnsi="Times New Roman"/>
          <w:sz w:val="24"/>
          <w:szCs w:val="24"/>
        </w:rPr>
      </w:pPr>
      <w:r w:rsidRPr="0036327D">
        <w:rPr>
          <w:rFonts w:ascii="Times New Roman" w:hAnsi="Times New Roman"/>
          <w:sz w:val="24"/>
          <w:szCs w:val="24"/>
        </w:rPr>
        <w:t>“Leslie Citrome, the psychiatrist who conducted an independent medical examination of petitioner on behalf of the Retirement System, opined that petitioner's PTSD and depressive disorder were causally related to [his off duty] June 2010 motor vehicle accident. He stated that the February 2010 accident [car fire run, snow from garage roof] was incidental to his psychiatric assessment as petitioner only mentioned this incident briefly, indicating that he suffered cardiac problems from inhaling smoke, and focused primarily on the June 2010 motor vehicle accident in discussing his history of psychiatric problems and symptoms.</w:t>
      </w:r>
      <w:r w:rsidR="00F4486C" w:rsidRPr="0036327D">
        <w:rPr>
          <w:rFonts w:ascii="Times New Roman" w:hAnsi="Times New Roman"/>
          <w:sz w:val="24"/>
          <w:szCs w:val="24"/>
        </w:rPr>
        <w:t xml:space="preserve"> </w:t>
      </w:r>
      <w:hyperlink r:id="rId2467" w:history="1">
        <w:r w:rsidR="00F4486C" w:rsidRPr="0036327D">
          <w:rPr>
            <w:rStyle w:val="Hyperlink"/>
            <w:rFonts w:ascii="Times New Roman" w:hAnsi="Times New Roman"/>
            <w:sz w:val="24"/>
            <w:szCs w:val="24"/>
          </w:rPr>
          <w:t>https://law.justia.com/cases/new-york/appellate-division-third-department/2019/527240.html</w:t>
        </w:r>
      </w:hyperlink>
      <w:r w:rsidR="00F4486C" w:rsidRPr="0036327D">
        <w:rPr>
          <w:rFonts w:ascii="Times New Roman" w:hAnsi="Times New Roman"/>
          <w:sz w:val="24"/>
          <w:szCs w:val="24"/>
        </w:rPr>
        <w:t xml:space="preserve"> </w:t>
      </w:r>
    </w:p>
    <w:bookmarkEnd w:id="581"/>
    <w:p w14:paraId="5A659DE9" w14:textId="0767D8A7" w:rsidR="00F4486C" w:rsidRPr="0036327D" w:rsidRDefault="00F4486C" w:rsidP="000C4DF5">
      <w:pPr>
        <w:pStyle w:val="NoSpacing"/>
        <w:rPr>
          <w:rFonts w:ascii="Times New Roman" w:hAnsi="Times New Roman"/>
          <w:sz w:val="24"/>
          <w:szCs w:val="24"/>
        </w:rPr>
      </w:pPr>
    </w:p>
    <w:p w14:paraId="35EF2C73" w14:textId="76F511DB" w:rsidR="00F4486C" w:rsidRPr="0036327D" w:rsidRDefault="00F4486C" w:rsidP="000C4DF5">
      <w:pPr>
        <w:pStyle w:val="NoSpacing"/>
        <w:rPr>
          <w:rFonts w:ascii="Times New Roman" w:hAnsi="Times New Roman"/>
          <w:b/>
          <w:bCs/>
          <w:sz w:val="24"/>
          <w:szCs w:val="24"/>
        </w:rPr>
      </w:pPr>
      <w:bookmarkStart w:id="582" w:name="_Hlk40516405"/>
      <w:r w:rsidRPr="0036327D">
        <w:rPr>
          <w:rFonts w:ascii="Times New Roman" w:hAnsi="Times New Roman"/>
          <w:b/>
          <w:bCs/>
          <w:sz w:val="24"/>
          <w:szCs w:val="24"/>
        </w:rPr>
        <w:t>Legal Lessons Learned: Courts rely on the expert testimony of independent medical examiners. Psychiatrist’s notes from interview with firefighter become part of the “psychiatric history” of patient.</w:t>
      </w:r>
    </w:p>
    <w:p w14:paraId="32BAED14" w14:textId="4825EF1B" w:rsidR="00F4486C" w:rsidRPr="0036327D" w:rsidRDefault="00F4486C" w:rsidP="000C4DF5">
      <w:pPr>
        <w:pStyle w:val="NoSpacing"/>
        <w:rPr>
          <w:rFonts w:ascii="Times New Roman" w:hAnsi="Times New Roman"/>
          <w:b/>
          <w:bCs/>
          <w:sz w:val="24"/>
          <w:szCs w:val="24"/>
        </w:rPr>
      </w:pPr>
    </w:p>
    <w:bookmarkEnd w:id="582"/>
    <w:p w14:paraId="6D7D57FC" w14:textId="77777777" w:rsidR="0012517E" w:rsidRDefault="0012517E" w:rsidP="000C4DF5">
      <w:pPr>
        <w:pStyle w:val="NoSpacing"/>
        <w:rPr>
          <w:rFonts w:ascii="Arial Black" w:hAnsi="Arial Black"/>
          <w:sz w:val="24"/>
          <w:szCs w:val="24"/>
        </w:rPr>
      </w:pPr>
    </w:p>
    <w:p w14:paraId="0B7DC144" w14:textId="6C8CB80A" w:rsidR="000C4DF5" w:rsidRDefault="000C4DF5" w:rsidP="000C4DF5">
      <w:pPr>
        <w:pStyle w:val="NoSpacing"/>
        <w:rPr>
          <w:rFonts w:ascii="Arial Black" w:hAnsi="Arial Black"/>
          <w:sz w:val="24"/>
          <w:szCs w:val="24"/>
        </w:rPr>
      </w:pPr>
      <w:r>
        <w:rPr>
          <w:rFonts w:ascii="Arial Black" w:hAnsi="Arial Black"/>
          <w:sz w:val="24"/>
          <w:szCs w:val="24"/>
        </w:rPr>
        <w:t>15-3</w:t>
      </w:r>
    </w:p>
    <w:p w14:paraId="589F27BD" w14:textId="77777777" w:rsidR="00F326E5" w:rsidRDefault="00F326E5" w:rsidP="00F326E5">
      <w:pPr>
        <w:pStyle w:val="NoSpacing"/>
        <w:rPr>
          <w:rFonts w:ascii="FeTimes New Roman" w:hAnsi="FeTimes New Roman"/>
          <w:sz w:val="24"/>
          <w:szCs w:val="24"/>
        </w:rPr>
      </w:pPr>
    </w:p>
    <w:p w14:paraId="6CC47458" w14:textId="08A9F7D7" w:rsidR="00F326E5" w:rsidRDefault="00F326E5" w:rsidP="00F326E5">
      <w:pPr>
        <w:pStyle w:val="NoSpacing"/>
        <w:rPr>
          <w:rFonts w:ascii="Arial Black" w:hAnsi="Arial Black"/>
          <w:sz w:val="28"/>
          <w:szCs w:val="28"/>
        </w:rPr>
      </w:pPr>
      <w:bookmarkStart w:id="583" w:name="_Hlk39772756"/>
      <w:bookmarkStart w:id="584" w:name="_Hlk41155654"/>
      <w:bookmarkStart w:id="585" w:name="_Hlk7348353"/>
      <w:r w:rsidRPr="0091233E">
        <w:rPr>
          <w:rFonts w:ascii="Arial Black" w:hAnsi="Arial Black"/>
          <w:sz w:val="28"/>
          <w:szCs w:val="28"/>
        </w:rPr>
        <w:t xml:space="preserve">IL: </w:t>
      </w:r>
      <w:r>
        <w:rPr>
          <w:rFonts w:ascii="Arial Black" w:hAnsi="Arial Black"/>
          <w:sz w:val="28"/>
          <w:szCs w:val="28"/>
        </w:rPr>
        <w:t>PTSD –</w:t>
      </w:r>
      <w:r w:rsidR="000F18B0">
        <w:rPr>
          <w:rFonts w:ascii="Arial Black" w:hAnsi="Arial Black"/>
          <w:sz w:val="28"/>
          <w:szCs w:val="28"/>
        </w:rPr>
        <w:t xml:space="preserve"> </w:t>
      </w:r>
      <w:r>
        <w:rPr>
          <w:rFonts w:ascii="Arial Black" w:hAnsi="Arial Black"/>
          <w:sz w:val="28"/>
          <w:szCs w:val="28"/>
        </w:rPr>
        <w:t>COURT ORDERS DISABILITY PENSION - CHICAGO PARAMEDIC’S TRAUMATIC WORK EXPERIENCES</w:t>
      </w:r>
    </w:p>
    <w:p w14:paraId="3FDC7CBB" w14:textId="77777777" w:rsidR="000F18B0" w:rsidRDefault="000F18B0" w:rsidP="00F326E5">
      <w:pPr>
        <w:rPr>
          <w:rFonts w:ascii="Times New Roman" w:hAnsi="Times New Roman"/>
          <w:sz w:val="24"/>
          <w:szCs w:val="24"/>
        </w:rPr>
      </w:pPr>
    </w:p>
    <w:p w14:paraId="1F71FDEB" w14:textId="26F5D441" w:rsidR="00BC17B3" w:rsidRDefault="00F326E5" w:rsidP="00F326E5">
      <w:pPr>
        <w:rPr>
          <w:rFonts w:ascii="Times New Roman" w:hAnsi="Times New Roman"/>
          <w:sz w:val="24"/>
          <w:szCs w:val="24"/>
        </w:rPr>
      </w:pPr>
      <w:r w:rsidRPr="00BC17B3">
        <w:rPr>
          <w:rFonts w:ascii="Times New Roman" w:hAnsi="Times New Roman"/>
          <w:sz w:val="24"/>
          <w:szCs w:val="24"/>
        </w:rPr>
        <w:t xml:space="preserve">On Feb. 1, 2019, in </w:t>
      </w:r>
      <w:r w:rsidRPr="00BC17B3">
        <w:rPr>
          <w:rFonts w:ascii="Times New Roman" w:hAnsi="Times New Roman"/>
          <w:sz w:val="24"/>
          <w:szCs w:val="24"/>
          <w:u w:val="single"/>
        </w:rPr>
        <w:t>Leah Siwinski v. The Retirement Board of the Fireman’s Annuity and Benefit Fund of the City of Chicago</w:t>
      </w:r>
      <w:r w:rsidRPr="00BC17B3">
        <w:rPr>
          <w:rFonts w:ascii="Times New Roman" w:hAnsi="Times New Roman"/>
          <w:sz w:val="24"/>
          <w:szCs w:val="24"/>
        </w:rPr>
        <w:t xml:space="preserve">, the Appellate Court of Illinois (First District) held (3 to 0), </w:t>
      </w:r>
    </w:p>
    <w:p w14:paraId="47B04962" w14:textId="09AF26D9" w:rsidR="00F326E5" w:rsidRPr="00BC17B3" w:rsidRDefault="00F326E5" w:rsidP="00BC17B3">
      <w:pPr>
        <w:ind w:left="720"/>
        <w:rPr>
          <w:rFonts w:ascii="Times New Roman" w:eastAsia="Times New Roman" w:hAnsi="Times New Roman"/>
          <w:bCs/>
          <w:sz w:val="24"/>
          <w:szCs w:val="24"/>
        </w:rPr>
      </w:pPr>
      <w:r w:rsidRPr="00BC17B3">
        <w:rPr>
          <w:rFonts w:ascii="Times New Roman" w:hAnsi="Times New Roman"/>
          <w:sz w:val="24"/>
          <w:szCs w:val="24"/>
        </w:rPr>
        <w:t xml:space="preserve">“In summary, because the manifest weight of the evidence showed that the plaintiff sustained PTSD arising from an act or acts of duty while working for CFD, and as a result, was disabled from performing any of her assigned duties, we reverse the decision of the Board that denied her a duty disability pension, and reverse the decision of the circuit court, which confirmed the Board’s decision." </w:t>
      </w:r>
      <w:hyperlink r:id="rId2468" w:history="1">
        <w:r w:rsidRPr="00BC17B3">
          <w:rPr>
            <w:rStyle w:val="Hyperlink"/>
            <w:rFonts w:ascii="Times New Roman" w:hAnsi="Times New Roman"/>
            <w:sz w:val="24"/>
            <w:szCs w:val="24"/>
          </w:rPr>
          <w:t>https://law.justia.com/cases/illinois/court-of-appeals-first-appellate-district/2019/1-18-0388.html</w:t>
        </w:r>
      </w:hyperlink>
      <w:r w:rsidRPr="00BC17B3">
        <w:rPr>
          <w:rFonts w:ascii="Times New Roman" w:eastAsia="Times New Roman" w:hAnsi="Times New Roman"/>
          <w:bCs/>
          <w:sz w:val="24"/>
          <w:szCs w:val="24"/>
        </w:rPr>
        <w:t xml:space="preserve"> </w:t>
      </w:r>
    </w:p>
    <w:p w14:paraId="50FC005A" w14:textId="77777777" w:rsidR="00F326E5" w:rsidRPr="00BC17B3" w:rsidRDefault="00F326E5" w:rsidP="00F326E5">
      <w:pPr>
        <w:rPr>
          <w:rFonts w:ascii="Times New Roman" w:hAnsi="Times New Roman"/>
          <w:b/>
          <w:sz w:val="24"/>
          <w:szCs w:val="24"/>
        </w:rPr>
      </w:pPr>
      <w:bookmarkStart w:id="586" w:name="_Hlk40516463"/>
      <w:bookmarkEnd w:id="583"/>
      <w:r w:rsidRPr="00BC17B3">
        <w:rPr>
          <w:rFonts w:ascii="Times New Roman" w:hAnsi="Times New Roman"/>
          <w:b/>
          <w:sz w:val="24"/>
          <w:szCs w:val="24"/>
        </w:rPr>
        <w:t xml:space="preserve">Legal Lesson Learned:  PTSD is a recognized disability issue in </w:t>
      </w:r>
      <w:proofErr w:type="gramStart"/>
      <w:r w:rsidRPr="00BC17B3">
        <w:rPr>
          <w:rFonts w:ascii="Times New Roman" w:hAnsi="Times New Roman"/>
          <w:b/>
          <w:sz w:val="24"/>
          <w:szCs w:val="24"/>
        </w:rPr>
        <w:t>the emergency</w:t>
      </w:r>
      <w:proofErr w:type="gramEnd"/>
      <w:r w:rsidRPr="00BC17B3">
        <w:rPr>
          <w:rFonts w:ascii="Times New Roman" w:hAnsi="Times New Roman"/>
          <w:b/>
          <w:sz w:val="24"/>
          <w:szCs w:val="24"/>
        </w:rPr>
        <w:t xml:space="preserve"> services. </w:t>
      </w:r>
    </w:p>
    <w:p w14:paraId="6EA66F09" w14:textId="33AC367F" w:rsidR="00F326E5" w:rsidRPr="00BC17B3" w:rsidRDefault="000164B1" w:rsidP="00F326E5">
      <w:pPr>
        <w:pStyle w:val="NoSpacing"/>
        <w:ind w:left="720"/>
        <w:rPr>
          <w:rFonts w:ascii="Times New Roman" w:hAnsi="Times New Roman"/>
          <w:sz w:val="24"/>
          <w:szCs w:val="24"/>
        </w:rPr>
      </w:pPr>
      <w:r>
        <w:rPr>
          <w:rFonts w:ascii="Times New Roman" w:eastAsia="Times New Roman" w:hAnsi="Times New Roman"/>
          <w:bCs/>
          <w:sz w:val="24"/>
          <w:szCs w:val="24"/>
        </w:rPr>
        <w:t xml:space="preserve">Note: </w:t>
      </w:r>
      <w:r w:rsidR="00F326E5" w:rsidRPr="00BC17B3">
        <w:rPr>
          <w:rFonts w:ascii="Times New Roman" w:eastAsia="Times New Roman" w:hAnsi="Times New Roman"/>
          <w:bCs/>
          <w:sz w:val="24"/>
          <w:szCs w:val="24"/>
        </w:rPr>
        <w:t xml:space="preserve">See April 13, </w:t>
      </w:r>
      <w:proofErr w:type="gramStart"/>
      <w:r w:rsidR="00F326E5" w:rsidRPr="00BC17B3">
        <w:rPr>
          <w:rFonts w:ascii="Times New Roman" w:eastAsia="Times New Roman" w:hAnsi="Times New Roman"/>
          <w:bCs/>
          <w:sz w:val="24"/>
          <w:szCs w:val="24"/>
        </w:rPr>
        <w:t>2018</w:t>
      </w:r>
      <w:proofErr w:type="gramEnd"/>
      <w:r w:rsidR="00F326E5" w:rsidRPr="00BC17B3">
        <w:rPr>
          <w:rFonts w:ascii="Times New Roman" w:eastAsia="Times New Roman" w:hAnsi="Times New Roman"/>
          <w:bCs/>
          <w:sz w:val="24"/>
          <w:szCs w:val="24"/>
        </w:rPr>
        <w:t xml:space="preserve"> article: </w:t>
      </w:r>
      <w:r w:rsidR="00F326E5" w:rsidRPr="00BC17B3">
        <w:rPr>
          <w:rFonts w:ascii="Times New Roman" w:hAnsi="Times New Roman"/>
          <w:sz w:val="24"/>
          <w:szCs w:val="24"/>
        </w:rPr>
        <w:t xml:space="preserve">Study: More firefighters died by suicide than in the line of duty in 2017 - A study found that 103 firefighters and 140 police officers died by suicide in 2017. </w:t>
      </w:r>
      <w:hyperlink r:id="rId2469" w:history="1">
        <w:r w:rsidR="00F326E5" w:rsidRPr="00BC17B3">
          <w:rPr>
            <w:rStyle w:val="Hyperlink"/>
            <w:rFonts w:ascii="Times New Roman" w:hAnsi="Times New Roman"/>
            <w:sz w:val="24"/>
            <w:szCs w:val="24"/>
          </w:rPr>
          <w:t>https://www.firerescue1.com/fallen-firefighters/articles/379994018-Study-More-firefighters-died-by-suicide-than-in-the-line-of-duty-in-2017/</w:t>
        </w:r>
      </w:hyperlink>
      <w:r w:rsidR="00F326E5" w:rsidRPr="00BC17B3">
        <w:rPr>
          <w:rFonts w:ascii="Times New Roman" w:hAnsi="Times New Roman"/>
          <w:sz w:val="24"/>
          <w:szCs w:val="24"/>
        </w:rPr>
        <w:t xml:space="preserve"> </w:t>
      </w:r>
      <w:bookmarkEnd w:id="584"/>
      <w:r w:rsidR="00F326E5" w:rsidRPr="00BC17B3">
        <w:rPr>
          <w:rFonts w:ascii="Times New Roman" w:hAnsi="Times New Roman"/>
          <w:sz w:val="24"/>
          <w:szCs w:val="24"/>
        </w:rPr>
        <w:br/>
      </w:r>
    </w:p>
    <w:bookmarkEnd w:id="585"/>
    <w:bookmarkEnd w:id="586"/>
    <w:p w14:paraId="4269EABC" w14:textId="77777777" w:rsidR="000C4DF5" w:rsidRDefault="000C4DF5" w:rsidP="000C4DF5">
      <w:pPr>
        <w:pStyle w:val="NoSpacing"/>
        <w:rPr>
          <w:sz w:val="24"/>
          <w:szCs w:val="24"/>
        </w:rPr>
      </w:pPr>
    </w:p>
    <w:p w14:paraId="485914DD" w14:textId="77777777" w:rsidR="00BC17B3" w:rsidRDefault="00BC17B3" w:rsidP="000C4DF5">
      <w:pPr>
        <w:pStyle w:val="NoSpacing"/>
        <w:rPr>
          <w:rFonts w:ascii="Arial Black" w:hAnsi="Arial Black"/>
          <w:sz w:val="24"/>
          <w:szCs w:val="24"/>
        </w:rPr>
      </w:pPr>
    </w:p>
    <w:p w14:paraId="0E28ACF9" w14:textId="50C8F483" w:rsidR="000C4DF5" w:rsidRDefault="000C4DF5" w:rsidP="000C4DF5">
      <w:pPr>
        <w:pStyle w:val="NoSpacing"/>
        <w:rPr>
          <w:rFonts w:ascii="Arial Black" w:hAnsi="Arial Black"/>
          <w:sz w:val="24"/>
          <w:szCs w:val="24"/>
        </w:rPr>
      </w:pPr>
      <w:r>
        <w:rPr>
          <w:rFonts w:ascii="Arial Black" w:hAnsi="Arial Black"/>
          <w:sz w:val="24"/>
          <w:szCs w:val="24"/>
        </w:rPr>
        <w:t>15-2</w:t>
      </w:r>
    </w:p>
    <w:p w14:paraId="7ED320D9" w14:textId="77777777" w:rsidR="000C4DF5" w:rsidRDefault="000C4DF5" w:rsidP="00F326E5">
      <w:pPr>
        <w:pStyle w:val="NoSpacing"/>
        <w:rPr>
          <w:rFonts w:ascii="Arial Black" w:eastAsia="Times New Roman" w:hAnsi="Arial Black" w:cs="Arial"/>
          <w:sz w:val="28"/>
          <w:szCs w:val="28"/>
        </w:rPr>
      </w:pPr>
      <w:bookmarkStart w:id="587" w:name="_Hlk7184137"/>
    </w:p>
    <w:p w14:paraId="364BAE1A" w14:textId="745F15C5" w:rsidR="00F326E5" w:rsidRDefault="00F326E5" w:rsidP="00F326E5">
      <w:pPr>
        <w:pStyle w:val="NoSpacing"/>
        <w:rPr>
          <w:rFonts w:ascii="Arial Black" w:eastAsia="Times New Roman" w:hAnsi="Arial Black" w:cs="Arial"/>
          <w:sz w:val="28"/>
          <w:szCs w:val="28"/>
        </w:rPr>
      </w:pPr>
      <w:bookmarkStart w:id="588" w:name="_Hlk39820545"/>
      <w:r w:rsidRPr="00A15120">
        <w:rPr>
          <w:rFonts w:ascii="Arial Black" w:eastAsia="Times New Roman" w:hAnsi="Arial Black" w:cs="Arial"/>
          <w:sz w:val="28"/>
          <w:szCs w:val="28"/>
        </w:rPr>
        <w:t>MN</w:t>
      </w:r>
      <w:r>
        <w:rPr>
          <w:rFonts w:ascii="Arial Black" w:eastAsia="Times New Roman" w:hAnsi="Arial Black" w:cs="Arial"/>
          <w:sz w:val="28"/>
          <w:szCs w:val="28"/>
        </w:rPr>
        <w:t xml:space="preserve">: </w:t>
      </w:r>
      <w:r w:rsidRPr="00A15120">
        <w:rPr>
          <w:rFonts w:ascii="Arial Black" w:eastAsia="Times New Roman" w:hAnsi="Arial Black" w:cs="Arial"/>
          <w:sz w:val="28"/>
          <w:szCs w:val="28"/>
        </w:rPr>
        <w:t>PTSD – NEW STATUT</w:t>
      </w:r>
      <w:r>
        <w:rPr>
          <w:rFonts w:ascii="Arial Black" w:eastAsia="Times New Roman" w:hAnsi="Arial Black" w:cs="Arial"/>
          <w:sz w:val="28"/>
          <w:szCs w:val="28"/>
        </w:rPr>
        <w:t xml:space="preserve">ORY </w:t>
      </w:r>
      <w:r w:rsidRPr="00A15120">
        <w:rPr>
          <w:rFonts w:ascii="Arial Black" w:eastAsia="Times New Roman" w:hAnsi="Arial Black" w:cs="Arial"/>
          <w:sz w:val="28"/>
          <w:szCs w:val="28"/>
        </w:rPr>
        <w:t xml:space="preserve">PRESUMPTION </w:t>
      </w:r>
      <w:r>
        <w:rPr>
          <w:rFonts w:ascii="Arial Black" w:eastAsia="Times New Roman" w:hAnsi="Arial Black" w:cs="Arial"/>
          <w:sz w:val="28"/>
          <w:szCs w:val="28"/>
        </w:rPr>
        <w:t xml:space="preserve">THAT PTSD IS WORKPLACE </w:t>
      </w:r>
    </w:p>
    <w:p w14:paraId="476D646C" w14:textId="77777777" w:rsidR="00BC17B3" w:rsidRDefault="00F326E5" w:rsidP="00F326E5">
      <w:pPr>
        <w:rPr>
          <w:rFonts w:ascii="Times New Roman" w:hAnsi="Times New Roman"/>
          <w:sz w:val="24"/>
          <w:szCs w:val="24"/>
        </w:rPr>
      </w:pPr>
      <w:r w:rsidRPr="00BC17B3">
        <w:rPr>
          <w:rFonts w:ascii="Times New Roman" w:hAnsi="Times New Roman"/>
          <w:sz w:val="24"/>
          <w:szCs w:val="24"/>
        </w:rPr>
        <w:t xml:space="preserve">Effective Jan. 1, 2019, the new state statute, </w:t>
      </w:r>
    </w:p>
    <w:p w14:paraId="1062ECBF" w14:textId="08307E64" w:rsidR="00F326E5" w:rsidRPr="00BC17B3" w:rsidRDefault="00F326E5" w:rsidP="00BC17B3">
      <w:pPr>
        <w:ind w:left="720"/>
        <w:rPr>
          <w:rFonts w:ascii="Times New Roman" w:eastAsia="Times New Roman" w:hAnsi="Times New Roman"/>
          <w:sz w:val="24"/>
          <w:szCs w:val="24"/>
        </w:rPr>
      </w:pPr>
      <w:proofErr w:type="gramStart"/>
      <w:r w:rsidRPr="00BC17B3">
        <w:rPr>
          <w:rFonts w:ascii="Times New Roman" w:hAnsi="Times New Roman"/>
          <w:sz w:val="24"/>
          <w:szCs w:val="24"/>
        </w:rPr>
        <w:t>“post</w:t>
      </w:r>
      <w:proofErr w:type="gramEnd"/>
      <w:r w:rsidRPr="00BC17B3">
        <w:rPr>
          <w:rFonts w:ascii="Times New Roman" w:hAnsi="Times New Roman"/>
          <w:sz w:val="24"/>
          <w:szCs w:val="24"/>
        </w:rPr>
        <w:t xml:space="preserve">-traumatic stress disorder was reclassified as an occupational disease for first responders. That includes police officers, firefighters, paramedics, emergency medical technicians, and nurses who provide emergency medical services outside of a medical facility.” </w:t>
      </w:r>
      <w:hyperlink r:id="rId2470" w:history="1">
        <w:r w:rsidRPr="00BC17B3">
          <w:rPr>
            <w:rStyle w:val="Hyperlink"/>
            <w:rFonts w:ascii="Times New Roman" w:hAnsi="Times New Roman"/>
            <w:sz w:val="24"/>
            <w:szCs w:val="24"/>
          </w:rPr>
          <w:t>https://www.postbulletin.com/news/public_safety/ptsd-now-an-occupational-disease-for-first-responders/article_27a2353c-15d3-11e9-a864-cb74a37ce7f1.html</w:t>
        </w:r>
      </w:hyperlink>
      <w:bookmarkEnd w:id="588"/>
      <w:r w:rsidRPr="00BC17B3">
        <w:rPr>
          <w:rFonts w:ascii="Times New Roman" w:hAnsi="Times New Roman"/>
          <w:b/>
          <w:sz w:val="24"/>
          <w:szCs w:val="24"/>
        </w:rPr>
        <w:t xml:space="preserve"> </w:t>
      </w:r>
    </w:p>
    <w:p w14:paraId="3E2111EF" w14:textId="77777777" w:rsidR="00F326E5" w:rsidRPr="00BC17B3" w:rsidRDefault="00F326E5" w:rsidP="00F326E5">
      <w:pPr>
        <w:pStyle w:val="Heading1"/>
        <w:rPr>
          <w:sz w:val="24"/>
          <w:szCs w:val="24"/>
        </w:rPr>
      </w:pPr>
      <w:r w:rsidRPr="00BC17B3">
        <w:rPr>
          <w:sz w:val="24"/>
          <w:szCs w:val="24"/>
        </w:rPr>
        <w:t xml:space="preserve">Legal Lessons Learned: Several states have enacted similar statutes.  See “Update: Workers’ Comp Coverage for Firefighters,” </w:t>
      </w:r>
      <w:hyperlink r:id="rId2471" w:history="1">
        <w:r w:rsidRPr="00BC17B3">
          <w:rPr>
            <w:rStyle w:val="Hyperlink"/>
            <w:b w:val="0"/>
            <w:sz w:val="24"/>
            <w:szCs w:val="24"/>
          </w:rPr>
          <w:t>https://www.wci360.com/update-workers-comp-coverage-for-firefighters/</w:t>
        </w:r>
      </w:hyperlink>
      <w:r w:rsidRPr="00BC17B3">
        <w:rPr>
          <w:sz w:val="24"/>
          <w:szCs w:val="24"/>
        </w:rPr>
        <w:t xml:space="preserve">.  </w:t>
      </w:r>
    </w:p>
    <w:p w14:paraId="15B9E0A8" w14:textId="77777777" w:rsidR="00F326E5" w:rsidRPr="00BC17B3" w:rsidRDefault="00F326E5" w:rsidP="00F326E5">
      <w:pPr>
        <w:spacing w:before="100" w:beforeAutospacing="1" w:after="100" w:afterAutospacing="1"/>
        <w:ind w:left="360"/>
        <w:rPr>
          <w:rFonts w:ascii="Times New Roman" w:hAnsi="Times New Roman"/>
          <w:sz w:val="24"/>
          <w:szCs w:val="24"/>
        </w:rPr>
      </w:pPr>
      <w:r w:rsidRPr="00BC17B3">
        <w:rPr>
          <w:rFonts w:ascii="Times New Roman" w:hAnsi="Times New Roman"/>
          <w:sz w:val="24"/>
          <w:szCs w:val="24"/>
        </w:rPr>
        <w:t xml:space="preserve">See also this report: </w:t>
      </w:r>
      <w:hyperlink r:id="rId2472" w:history="1">
        <w:r w:rsidRPr="00BC17B3">
          <w:rPr>
            <w:rStyle w:val="Hyperlink"/>
            <w:rFonts w:ascii="Times New Roman" w:hAnsi="Times New Roman"/>
            <w:sz w:val="24"/>
            <w:szCs w:val="24"/>
          </w:rPr>
          <w:t>https://www.minnesotacomp.com/blog/2018/11/post-traumatic-stress-disorder-may-become-a-presumptive-condition-for-first-responders/</w:t>
        </w:r>
      </w:hyperlink>
      <w:r w:rsidRPr="00BC17B3">
        <w:rPr>
          <w:rFonts w:ascii="Times New Roman" w:eastAsia="Times New Roman" w:hAnsi="Times New Roman"/>
          <w:sz w:val="24"/>
          <w:szCs w:val="24"/>
        </w:rPr>
        <w:t xml:space="preserve">  </w:t>
      </w:r>
    </w:p>
    <w:p w14:paraId="16EC56EA" w14:textId="77777777" w:rsidR="00F326E5" w:rsidRPr="00BC17B3" w:rsidRDefault="00F326E5" w:rsidP="00F326E5">
      <w:pPr>
        <w:numPr>
          <w:ilvl w:val="0"/>
          <w:numId w:val="2"/>
        </w:numPr>
        <w:spacing w:before="100" w:beforeAutospacing="1" w:after="100" w:afterAutospacing="1" w:line="240" w:lineRule="auto"/>
        <w:rPr>
          <w:rFonts w:ascii="Times New Roman" w:hAnsi="Times New Roman"/>
          <w:sz w:val="24"/>
          <w:szCs w:val="24"/>
        </w:rPr>
      </w:pPr>
      <w:r w:rsidRPr="00BC17B3">
        <w:rPr>
          <w:rFonts w:ascii="Times New Roman" w:hAnsi="Times New Roman"/>
          <w:sz w:val="24"/>
          <w:szCs w:val="24"/>
        </w:rPr>
        <w:t xml:space="preserve">So far in 2018, of 103 state bills dealt with workers compensation provisions for first responders and only 6 bills past passed “true occupational presumption for PTSD.”  </w:t>
      </w:r>
      <w:hyperlink r:id="rId2473" w:tgtFrame="_blank" w:history="1">
        <w:r w:rsidRPr="00BC17B3">
          <w:rPr>
            <w:rStyle w:val="Hyperlink"/>
            <w:rFonts w:ascii="Times New Roman" w:hAnsi="Times New Roman"/>
            <w:sz w:val="24"/>
            <w:szCs w:val="24"/>
          </w:rPr>
          <w:t>Washington State</w:t>
        </w:r>
      </w:hyperlink>
      <w:r w:rsidRPr="00BC17B3">
        <w:rPr>
          <w:rFonts w:ascii="Times New Roman" w:hAnsi="Times New Roman"/>
          <w:sz w:val="24"/>
          <w:szCs w:val="24"/>
        </w:rPr>
        <w:t>, Florida, Vermont, Hawaii, New Jersey, and New Hampshire enacted inclusion of the PTSD presumption into their workers’ compensation legislation.</w:t>
      </w:r>
    </w:p>
    <w:p w14:paraId="03CF063C" w14:textId="77777777" w:rsidR="00F326E5" w:rsidRPr="00BC17B3" w:rsidRDefault="00F326E5" w:rsidP="00F326E5">
      <w:pPr>
        <w:numPr>
          <w:ilvl w:val="0"/>
          <w:numId w:val="2"/>
        </w:numPr>
        <w:spacing w:before="100" w:beforeAutospacing="1" w:after="100" w:afterAutospacing="1" w:line="240" w:lineRule="auto"/>
        <w:rPr>
          <w:rFonts w:ascii="Times New Roman" w:hAnsi="Times New Roman"/>
          <w:sz w:val="24"/>
          <w:szCs w:val="24"/>
        </w:rPr>
      </w:pPr>
      <w:r w:rsidRPr="00BC17B3">
        <w:rPr>
          <w:rFonts w:ascii="Times New Roman" w:hAnsi="Times New Roman"/>
          <w:sz w:val="24"/>
          <w:szCs w:val="24"/>
        </w:rPr>
        <w:t>In 2017, Colorado passed a bill recognizing PTSD as compensable under workers compensation. Then the state passed a bill allowing the treatment of PTSD using medical marijuana.</w:t>
      </w:r>
    </w:p>
    <w:p w14:paraId="382EDA41" w14:textId="77777777" w:rsidR="00F326E5" w:rsidRPr="00BC17B3" w:rsidRDefault="00F326E5" w:rsidP="00F326E5">
      <w:pPr>
        <w:numPr>
          <w:ilvl w:val="0"/>
          <w:numId w:val="2"/>
        </w:numPr>
        <w:spacing w:before="100" w:beforeAutospacing="1" w:after="100" w:afterAutospacing="1" w:line="240" w:lineRule="auto"/>
        <w:rPr>
          <w:rFonts w:ascii="Times New Roman" w:hAnsi="Times New Roman"/>
          <w:sz w:val="24"/>
          <w:szCs w:val="24"/>
        </w:rPr>
      </w:pPr>
      <w:r w:rsidRPr="00BC17B3">
        <w:rPr>
          <w:rFonts w:ascii="Times New Roman" w:hAnsi="Times New Roman"/>
          <w:sz w:val="24"/>
          <w:szCs w:val="24"/>
        </w:rPr>
        <w:t>South Carolina created a $500,000 fund to help fund first responders out of pocket medical costs related to the treatment of PTSD.</w:t>
      </w:r>
    </w:p>
    <w:p w14:paraId="7877BAC3" w14:textId="77777777" w:rsidR="00F326E5" w:rsidRPr="00BC17B3" w:rsidRDefault="00F326E5" w:rsidP="00F326E5">
      <w:pPr>
        <w:numPr>
          <w:ilvl w:val="0"/>
          <w:numId w:val="2"/>
        </w:numPr>
        <w:spacing w:before="100" w:beforeAutospacing="1" w:after="100" w:afterAutospacing="1" w:line="240" w:lineRule="auto"/>
        <w:rPr>
          <w:rFonts w:ascii="Times New Roman" w:hAnsi="Times New Roman"/>
          <w:sz w:val="24"/>
          <w:szCs w:val="24"/>
        </w:rPr>
      </w:pPr>
      <w:r w:rsidRPr="00BC17B3">
        <w:rPr>
          <w:rFonts w:ascii="Times New Roman" w:hAnsi="Times New Roman"/>
          <w:sz w:val="24"/>
          <w:szCs w:val="24"/>
        </w:rPr>
        <w:t>Texas passed an act that eases the burden for first responders filing PTSD claims, requiring the lower standard of proof: “preponderance of evidence” and without the need to declare medical impairment.</w:t>
      </w:r>
    </w:p>
    <w:p w14:paraId="2444D22A" w14:textId="77777777" w:rsidR="00F326E5" w:rsidRPr="00BC17B3" w:rsidRDefault="00F326E5" w:rsidP="00F326E5">
      <w:pPr>
        <w:numPr>
          <w:ilvl w:val="0"/>
          <w:numId w:val="2"/>
        </w:numPr>
        <w:spacing w:before="100" w:beforeAutospacing="1" w:after="100" w:afterAutospacing="1" w:line="240" w:lineRule="auto"/>
        <w:rPr>
          <w:rFonts w:ascii="Times New Roman" w:eastAsia="Times New Roman" w:hAnsi="Times New Roman"/>
          <w:sz w:val="24"/>
          <w:szCs w:val="24"/>
        </w:rPr>
      </w:pPr>
      <w:r w:rsidRPr="00BC17B3">
        <w:rPr>
          <w:rFonts w:ascii="Times New Roman" w:hAnsi="Times New Roman"/>
          <w:sz w:val="24"/>
          <w:szCs w:val="24"/>
        </w:rPr>
        <w:t xml:space="preserve">New York included PTSD references in the 2018 budget that would allow first responders to claim personal injury based on “extraordinary work-related stress” [Hanson &amp; Watson, “Addressing the Emergence of PTSD Presumption: Issues and Solutions” pdf]. </w:t>
      </w:r>
    </w:p>
    <w:p w14:paraId="7F3F4A87" w14:textId="77777777" w:rsidR="00F326E5" w:rsidRPr="00BC17B3" w:rsidRDefault="00F326E5" w:rsidP="00F326E5">
      <w:pPr>
        <w:pStyle w:val="Heading1"/>
        <w:ind w:left="720"/>
        <w:rPr>
          <w:sz w:val="24"/>
          <w:szCs w:val="24"/>
        </w:rPr>
      </w:pPr>
      <w:r w:rsidRPr="00BC17B3">
        <w:rPr>
          <w:sz w:val="24"/>
          <w:szCs w:val="24"/>
        </w:rPr>
        <w:t xml:space="preserve">See also Jan. 17, </w:t>
      </w:r>
      <w:proofErr w:type="gramStart"/>
      <w:r w:rsidRPr="00BC17B3">
        <w:rPr>
          <w:sz w:val="24"/>
          <w:szCs w:val="24"/>
        </w:rPr>
        <w:t>2019</w:t>
      </w:r>
      <w:proofErr w:type="gramEnd"/>
      <w:r w:rsidRPr="00BC17B3">
        <w:rPr>
          <w:sz w:val="24"/>
          <w:szCs w:val="24"/>
        </w:rPr>
        <w:t xml:space="preserve"> article from Massachusetts: “Critical incident intervention for first responders bill signed into law.” </w:t>
      </w:r>
      <w:hyperlink r:id="rId2474" w:history="1">
        <w:r w:rsidRPr="00BC17B3">
          <w:rPr>
            <w:rStyle w:val="Hyperlink"/>
            <w:sz w:val="24"/>
            <w:szCs w:val="24"/>
          </w:rPr>
          <w:t>https://www.wwlp.com/news/massachusetts/critical-incident-intervention-for-first-responders-bill-signed-into-law/1706453191</w:t>
        </w:r>
      </w:hyperlink>
      <w:r w:rsidRPr="00BC17B3">
        <w:rPr>
          <w:sz w:val="24"/>
          <w:szCs w:val="24"/>
        </w:rPr>
        <w:t xml:space="preserve"> </w:t>
      </w:r>
    </w:p>
    <w:bookmarkEnd w:id="587"/>
    <w:p w14:paraId="5FAAE6C5" w14:textId="77777777" w:rsidR="00536545" w:rsidRDefault="00536545" w:rsidP="000C4DF5">
      <w:pPr>
        <w:pStyle w:val="NoSpacing"/>
        <w:rPr>
          <w:rFonts w:ascii="Arial Black" w:hAnsi="Arial Black"/>
          <w:sz w:val="24"/>
          <w:szCs w:val="24"/>
        </w:rPr>
      </w:pPr>
    </w:p>
    <w:p w14:paraId="34B2A7A8" w14:textId="2D16D30A" w:rsidR="000C4DF5" w:rsidRDefault="000C4DF5" w:rsidP="000C4DF5">
      <w:pPr>
        <w:pStyle w:val="NoSpacing"/>
        <w:rPr>
          <w:rFonts w:ascii="Arial Black" w:hAnsi="Arial Black"/>
          <w:sz w:val="24"/>
          <w:szCs w:val="24"/>
        </w:rPr>
      </w:pPr>
      <w:r>
        <w:rPr>
          <w:rFonts w:ascii="Arial Black" w:hAnsi="Arial Black"/>
          <w:sz w:val="24"/>
          <w:szCs w:val="24"/>
        </w:rPr>
        <w:t>15-1</w:t>
      </w:r>
    </w:p>
    <w:p w14:paraId="0A6358D3" w14:textId="77777777" w:rsidR="00F326E5" w:rsidRDefault="00F326E5" w:rsidP="00F326E5">
      <w:pPr>
        <w:pStyle w:val="NoSpacing"/>
        <w:rPr>
          <w:sz w:val="24"/>
          <w:szCs w:val="24"/>
        </w:rPr>
      </w:pPr>
    </w:p>
    <w:p w14:paraId="34F9950D" w14:textId="0EB6C5DB" w:rsidR="00F326E5" w:rsidRDefault="00F326E5" w:rsidP="00F326E5">
      <w:pPr>
        <w:pStyle w:val="NoSpacing"/>
        <w:rPr>
          <w:rFonts w:ascii="Arial Black" w:hAnsi="Arial Black"/>
          <w:b/>
          <w:sz w:val="28"/>
          <w:szCs w:val="28"/>
        </w:rPr>
      </w:pPr>
      <w:bookmarkStart w:id="589" w:name="_Hlk39772846"/>
      <w:bookmarkStart w:id="590" w:name="_Hlk7348476"/>
      <w:r w:rsidRPr="008C56F7">
        <w:rPr>
          <w:rFonts w:ascii="Arial Black" w:hAnsi="Arial Black"/>
          <w:b/>
          <w:sz w:val="28"/>
          <w:szCs w:val="28"/>
        </w:rPr>
        <w:t>NJ</w:t>
      </w:r>
      <w:r>
        <w:rPr>
          <w:rFonts w:ascii="Arial Black" w:hAnsi="Arial Black"/>
          <w:b/>
          <w:sz w:val="28"/>
          <w:szCs w:val="28"/>
        </w:rPr>
        <w:t xml:space="preserve">: </w:t>
      </w:r>
      <w:r w:rsidRPr="008C56F7">
        <w:rPr>
          <w:rFonts w:ascii="Arial Black" w:hAnsi="Arial Black"/>
          <w:b/>
          <w:sz w:val="28"/>
          <w:szCs w:val="28"/>
        </w:rPr>
        <w:t xml:space="preserve">PTSD – </w:t>
      </w:r>
      <w:r>
        <w:rPr>
          <w:rFonts w:ascii="Arial Black" w:hAnsi="Arial Black"/>
          <w:b/>
          <w:sz w:val="28"/>
          <w:szCs w:val="28"/>
        </w:rPr>
        <w:t xml:space="preserve">POLICE OFFICERS MUST PROVE EXPERIENCED “TERRIFYING” &amp; “UNEXPECTED” EVENT </w:t>
      </w:r>
    </w:p>
    <w:p w14:paraId="3E2AA062" w14:textId="77777777" w:rsidR="005B7BBD" w:rsidRDefault="00F326E5" w:rsidP="00F326E5">
      <w:pPr>
        <w:pStyle w:val="NoSpacing"/>
        <w:rPr>
          <w:rFonts w:ascii="Times New Roman" w:eastAsia="Times New Roman" w:hAnsi="Times New Roman"/>
          <w:sz w:val="24"/>
          <w:szCs w:val="24"/>
        </w:rPr>
      </w:pPr>
      <w:r w:rsidRPr="00BC17B3">
        <w:rPr>
          <w:rFonts w:ascii="Times New Roman" w:eastAsia="Times New Roman" w:hAnsi="Times New Roman"/>
          <w:sz w:val="24"/>
          <w:szCs w:val="24"/>
        </w:rPr>
        <w:t xml:space="preserve">On June 5, 2018, in </w:t>
      </w:r>
      <w:r w:rsidRPr="00BC17B3">
        <w:rPr>
          <w:rFonts w:ascii="Times New Roman" w:eastAsia="Times New Roman" w:hAnsi="Times New Roman"/>
          <w:sz w:val="24"/>
          <w:szCs w:val="24"/>
          <w:u w:val="single"/>
        </w:rPr>
        <w:t>Christopher Mount v. Board of Trustees, Police and Fireman’s Retirement System</w:t>
      </w:r>
      <w:r w:rsidRPr="00BC17B3">
        <w:rPr>
          <w:rFonts w:ascii="Times New Roman" w:eastAsia="Times New Roman" w:hAnsi="Times New Roman"/>
          <w:sz w:val="24"/>
          <w:szCs w:val="24"/>
        </w:rPr>
        <w:t xml:space="preserve">, the New Jersey Supreme Court (7 to 0) held in two cases (1) that police officer who observed three teenagers burned to death in MVA may have a claim; but (2) police hostage negotiator has no claim when SWAT Team killed the assailant.  </w:t>
      </w:r>
    </w:p>
    <w:p w14:paraId="2F23A738" w14:textId="77777777" w:rsidR="005B7BBD" w:rsidRDefault="005B7BBD" w:rsidP="00F326E5">
      <w:pPr>
        <w:pStyle w:val="NoSpacing"/>
        <w:rPr>
          <w:rFonts w:ascii="Times New Roman" w:eastAsia="Times New Roman" w:hAnsi="Times New Roman"/>
          <w:sz w:val="24"/>
          <w:szCs w:val="24"/>
        </w:rPr>
      </w:pPr>
    </w:p>
    <w:p w14:paraId="65D7E4CB" w14:textId="0457960A" w:rsidR="00F326E5" w:rsidRPr="00BC17B3" w:rsidRDefault="00F326E5" w:rsidP="005B7BBD">
      <w:pPr>
        <w:pStyle w:val="NoSpacing"/>
        <w:ind w:left="720"/>
        <w:rPr>
          <w:rFonts w:ascii="Times New Roman" w:eastAsia="Times New Roman" w:hAnsi="Times New Roman"/>
          <w:sz w:val="24"/>
          <w:szCs w:val="24"/>
        </w:rPr>
      </w:pPr>
      <w:r w:rsidRPr="00BC17B3">
        <w:rPr>
          <w:rFonts w:ascii="Times New Roman" w:eastAsia="Times New Roman" w:hAnsi="Times New Roman"/>
          <w:sz w:val="24"/>
          <w:szCs w:val="24"/>
        </w:rPr>
        <w:t xml:space="preserve">“Although the shooting was clearly devastating to Martinez -- an officer exemplary for his professionalism and compassion in highly stressful circumstances -- it was not “unexpected….” </w:t>
      </w:r>
    </w:p>
    <w:p w14:paraId="26712E1E" w14:textId="61523A8C" w:rsidR="00F326E5" w:rsidRPr="00BC17B3" w:rsidRDefault="005B7BBD" w:rsidP="005B7BBD">
      <w:pPr>
        <w:ind w:firstLine="720"/>
        <w:rPr>
          <w:rFonts w:ascii="Times New Roman" w:eastAsia="Times New Roman" w:hAnsi="Times New Roman"/>
          <w:sz w:val="24"/>
          <w:szCs w:val="24"/>
        </w:rPr>
      </w:pPr>
      <w:hyperlink r:id="rId2475" w:history="1">
        <w:r w:rsidRPr="00D07486">
          <w:rPr>
            <w:rStyle w:val="Hyperlink"/>
            <w:rFonts w:ascii="Times New Roman" w:hAnsi="Times New Roman"/>
            <w:sz w:val="24"/>
            <w:szCs w:val="24"/>
          </w:rPr>
          <w:t>https://law.justia.com/cases/new-jersey/supreme-court/2018/a-9-16.html</w:t>
        </w:r>
      </w:hyperlink>
      <w:bookmarkEnd w:id="589"/>
      <w:r w:rsidR="00F326E5" w:rsidRPr="00BC17B3">
        <w:rPr>
          <w:rFonts w:ascii="Times New Roman" w:eastAsia="Times New Roman" w:hAnsi="Times New Roman"/>
          <w:sz w:val="24"/>
          <w:szCs w:val="24"/>
        </w:rPr>
        <w:t xml:space="preserve"> </w:t>
      </w:r>
    </w:p>
    <w:p w14:paraId="5F02FDBA" w14:textId="336E5178" w:rsidR="00F326E5" w:rsidRPr="00BC17B3" w:rsidRDefault="00F326E5" w:rsidP="00F326E5">
      <w:pPr>
        <w:pStyle w:val="HTMLPreformatted"/>
        <w:rPr>
          <w:rFonts w:ascii="Times New Roman" w:hAnsi="Times New Roman" w:cs="Times New Roman"/>
          <w:b/>
          <w:sz w:val="24"/>
          <w:szCs w:val="24"/>
        </w:rPr>
      </w:pPr>
      <w:bookmarkStart w:id="591" w:name="_Hlk40516566"/>
      <w:r w:rsidRPr="00BC17B3">
        <w:rPr>
          <w:rFonts w:ascii="Times New Roman" w:hAnsi="Times New Roman" w:cs="Times New Roman"/>
          <w:b/>
          <w:sz w:val="24"/>
          <w:szCs w:val="24"/>
        </w:rPr>
        <w:t xml:space="preserve">Legal Lessons Learned:  PTSD accidental disbenefit ability claims, with no physical injury, are particularly difficult </w:t>
      </w:r>
      <w:r w:rsidR="000164B1">
        <w:rPr>
          <w:rFonts w:ascii="Times New Roman" w:hAnsi="Times New Roman" w:cs="Times New Roman"/>
          <w:b/>
          <w:sz w:val="24"/>
          <w:szCs w:val="24"/>
        </w:rPr>
        <w:t>to prove.</w:t>
      </w:r>
    </w:p>
    <w:bookmarkEnd w:id="591"/>
    <w:p w14:paraId="10CCB7B1" w14:textId="77777777" w:rsidR="00F326E5" w:rsidRDefault="00F326E5" w:rsidP="00F326E5">
      <w:pPr>
        <w:rPr>
          <w:rFonts w:ascii="Arial Black" w:hAnsi="Arial Black"/>
          <w:sz w:val="40"/>
          <w:szCs w:val="40"/>
        </w:rPr>
      </w:pPr>
      <w:r>
        <w:rPr>
          <w:rFonts w:ascii="Arial Black" w:hAnsi="Arial Black"/>
          <w:sz w:val="40"/>
          <w:szCs w:val="40"/>
        </w:rPr>
        <w:br w:type="page"/>
      </w:r>
    </w:p>
    <w:bookmarkEnd w:id="590"/>
    <w:p w14:paraId="18AFC317" w14:textId="77777777" w:rsidR="00F326E5" w:rsidRPr="007732FA" w:rsidRDefault="00F326E5" w:rsidP="00F326E5">
      <w:pPr>
        <w:pStyle w:val="NoSpacing"/>
        <w:rPr>
          <w:rFonts w:ascii="Arial Black" w:hAnsi="Arial Black"/>
          <w:sz w:val="40"/>
          <w:szCs w:val="40"/>
        </w:rPr>
      </w:pPr>
    </w:p>
    <w:p w14:paraId="1C364A7F" w14:textId="77777777" w:rsidR="00635D7C" w:rsidRDefault="00635D7C" w:rsidP="00F326E5">
      <w:pPr>
        <w:pStyle w:val="NoSpacing"/>
        <w:rPr>
          <w:rFonts w:ascii="Arial Black" w:hAnsi="Arial Black"/>
          <w:sz w:val="40"/>
          <w:szCs w:val="40"/>
        </w:rPr>
      </w:pPr>
    </w:p>
    <w:p w14:paraId="1EF127B7" w14:textId="77777777" w:rsidR="00635D7C" w:rsidRDefault="00635D7C" w:rsidP="00F326E5">
      <w:pPr>
        <w:pStyle w:val="NoSpacing"/>
        <w:rPr>
          <w:rFonts w:ascii="Arial Black" w:hAnsi="Arial Black"/>
          <w:sz w:val="40"/>
          <w:szCs w:val="40"/>
        </w:rPr>
      </w:pPr>
    </w:p>
    <w:p w14:paraId="5DC8F06C" w14:textId="77777777" w:rsidR="00635D7C" w:rsidRDefault="00635D7C" w:rsidP="00F326E5">
      <w:pPr>
        <w:pStyle w:val="NoSpacing"/>
        <w:rPr>
          <w:rFonts w:ascii="Arial Black" w:hAnsi="Arial Black"/>
          <w:sz w:val="40"/>
          <w:szCs w:val="40"/>
        </w:rPr>
      </w:pPr>
    </w:p>
    <w:p w14:paraId="50F1B38C" w14:textId="77777777" w:rsidR="00635D7C" w:rsidRDefault="00635D7C" w:rsidP="00F326E5">
      <w:pPr>
        <w:pStyle w:val="NoSpacing"/>
        <w:rPr>
          <w:rFonts w:ascii="Arial Black" w:hAnsi="Arial Black"/>
          <w:sz w:val="40"/>
          <w:szCs w:val="40"/>
        </w:rPr>
      </w:pPr>
    </w:p>
    <w:p w14:paraId="07D35F4C" w14:textId="77777777" w:rsidR="00635D7C" w:rsidRDefault="00635D7C" w:rsidP="00F326E5">
      <w:pPr>
        <w:pStyle w:val="NoSpacing"/>
        <w:rPr>
          <w:rFonts w:ascii="Arial Black" w:hAnsi="Arial Black"/>
          <w:sz w:val="40"/>
          <w:szCs w:val="40"/>
        </w:rPr>
      </w:pPr>
    </w:p>
    <w:p w14:paraId="18AC572B" w14:textId="77777777" w:rsidR="00635D7C" w:rsidRDefault="00635D7C" w:rsidP="00F326E5">
      <w:pPr>
        <w:pStyle w:val="NoSpacing"/>
        <w:rPr>
          <w:rFonts w:ascii="Arial Black" w:hAnsi="Arial Black"/>
          <w:sz w:val="40"/>
          <w:szCs w:val="40"/>
        </w:rPr>
      </w:pPr>
    </w:p>
    <w:p w14:paraId="4E504245" w14:textId="77777777" w:rsidR="00635D7C" w:rsidRDefault="00635D7C" w:rsidP="00F326E5">
      <w:pPr>
        <w:pStyle w:val="NoSpacing"/>
        <w:rPr>
          <w:rFonts w:ascii="Arial Black" w:hAnsi="Arial Black"/>
          <w:sz w:val="40"/>
          <w:szCs w:val="40"/>
        </w:rPr>
      </w:pPr>
    </w:p>
    <w:p w14:paraId="5F3A9ACC" w14:textId="77777777" w:rsidR="00635D7C" w:rsidRDefault="00635D7C" w:rsidP="00F326E5">
      <w:pPr>
        <w:pStyle w:val="NoSpacing"/>
        <w:rPr>
          <w:rFonts w:ascii="Arial Black" w:hAnsi="Arial Black"/>
          <w:sz w:val="40"/>
          <w:szCs w:val="40"/>
        </w:rPr>
      </w:pPr>
    </w:p>
    <w:p w14:paraId="5C936DAB" w14:textId="77777777" w:rsidR="00635D7C" w:rsidRDefault="00635D7C" w:rsidP="00F326E5">
      <w:pPr>
        <w:pStyle w:val="NoSpacing"/>
        <w:rPr>
          <w:rFonts w:ascii="Arial Black" w:hAnsi="Arial Black"/>
          <w:sz w:val="40"/>
          <w:szCs w:val="40"/>
        </w:rPr>
      </w:pPr>
    </w:p>
    <w:p w14:paraId="0C1B4DD9" w14:textId="77777777" w:rsidR="00635D7C" w:rsidRDefault="00635D7C" w:rsidP="00F326E5">
      <w:pPr>
        <w:pStyle w:val="NoSpacing"/>
        <w:rPr>
          <w:rFonts w:ascii="Arial Black" w:hAnsi="Arial Black"/>
          <w:sz w:val="40"/>
          <w:szCs w:val="40"/>
        </w:rPr>
      </w:pPr>
    </w:p>
    <w:p w14:paraId="4DBF6E21" w14:textId="77777777" w:rsidR="00635D7C" w:rsidRDefault="00635D7C" w:rsidP="00F326E5">
      <w:pPr>
        <w:pStyle w:val="NoSpacing"/>
        <w:rPr>
          <w:rFonts w:ascii="Arial Black" w:hAnsi="Arial Black"/>
          <w:sz w:val="40"/>
          <w:szCs w:val="40"/>
        </w:rPr>
      </w:pPr>
    </w:p>
    <w:p w14:paraId="06207580" w14:textId="77777777" w:rsidR="00635D7C" w:rsidRDefault="00635D7C" w:rsidP="00F326E5">
      <w:pPr>
        <w:pStyle w:val="NoSpacing"/>
        <w:rPr>
          <w:rFonts w:ascii="Arial Black" w:hAnsi="Arial Black"/>
          <w:sz w:val="40"/>
          <w:szCs w:val="40"/>
        </w:rPr>
      </w:pPr>
    </w:p>
    <w:p w14:paraId="44DE41E7" w14:textId="77777777" w:rsidR="00635D7C" w:rsidRDefault="00635D7C" w:rsidP="00F326E5">
      <w:pPr>
        <w:pStyle w:val="NoSpacing"/>
        <w:rPr>
          <w:rFonts w:ascii="Arial Black" w:hAnsi="Arial Black"/>
          <w:sz w:val="40"/>
          <w:szCs w:val="40"/>
        </w:rPr>
      </w:pPr>
    </w:p>
    <w:p w14:paraId="2E176D95" w14:textId="77777777" w:rsidR="00635D7C" w:rsidRDefault="00635D7C" w:rsidP="00F326E5">
      <w:pPr>
        <w:pStyle w:val="NoSpacing"/>
        <w:rPr>
          <w:rFonts w:ascii="Arial Black" w:hAnsi="Arial Black"/>
          <w:sz w:val="40"/>
          <w:szCs w:val="40"/>
        </w:rPr>
      </w:pPr>
    </w:p>
    <w:p w14:paraId="7BA50ADF" w14:textId="77777777" w:rsidR="00635D7C" w:rsidRDefault="00635D7C" w:rsidP="00F326E5">
      <w:pPr>
        <w:pStyle w:val="NoSpacing"/>
        <w:rPr>
          <w:rFonts w:ascii="Arial Black" w:hAnsi="Arial Black"/>
          <w:sz w:val="40"/>
          <w:szCs w:val="40"/>
        </w:rPr>
      </w:pPr>
    </w:p>
    <w:p w14:paraId="3ED9AA9C" w14:textId="77777777" w:rsidR="00635D7C" w:rsidRDefault="00635D7C" w:rsidP="00F326E5">
      <w:pPr>
        <w:pStyle w:val="NoSpacing"/>
        <w:rPr>
          <w:rFonts w:ascii="Arial Black" w:hAnsi="Arial Black"/>
          <w:sz w:val="40"/>
          <w:szCs w:val="40"/>
        </w:rPr>
      </w:pPr>
    </w:p>
    <w:p w14:paraId="3B1CCA71" w14:textId="77777777" w:rsidR="00635D7C" w:rsidRDefault="00635D7C" w:rsidP="00F326E5">
      <w:pPr>
        <w:pStyle w:val="NoSpacing"/>
        <w:rPr>
          <w:rFonts w:ascii="Arial Black" w:hAnsi="Arial Black"/>
          <w:sz w:val="40"/>
          <w:szCs w:val="40"/>
        </w:rPr>
      </w:pPr>
    </w:p>
    <w:p w14:paraId="3FA9F2CE" w14:textId="77777777" w:rsidR="00635D7C" w:rsidRDefault="00635D7C" w:rsidP="00F326E5">
      <w:pPr>
        <w:pStyle w:val="NoSpacing"/>
        <w:rPr>
          <w:rFonts w:ascii="Arial Black" w:hAnsi="Arial Black"/>
          <w:sz w:val="40"/>
          <w:szCs w:val="40"/>
        </w:rPr>
      </w:pPr>
    </w:p>
    <w:p w14:paraId="789A0237" w14:textId="77777777" w:rsidR="00635D7C" w:rsidRDefault="00635D7C" w:rsidP="00F326E5">
      <w:pPr>
        <w:pStyle w:val="NoSpacing"/>
        <w:rPr>
          <w:rFonts w:ascii="Arial Black" w:hAnsi="Arial Black"/>
          <w:sz w:val="40"/>
          <w:szCs w:val="40"/>
        </w:rPr>
      </w:pPr>
    </w:p>
    <w:p w14:paraId="7BA9F1B7" w14:textId="77777777" w:rsidR="00635D7C" w:rsidRDefault="00635D7C" w:rsidP="00F326E5">
      <w:pPr>
        <w:pStyle w:val="NoSpacing"/>
        <w:rPr>
          <w:rFonts w:ascii="Arial Black" w:hAnsi="Arial Black"/>
          <w:sz w:val="40"/>
          <w:szCs w:val="40"/>
        </w:rPr>
      </w:pPr>
    </w:p>
    <w:p w14:paraId="54E0BB6D" w14:textId="77777777" w:rsidR="00635D7C" w:rsidRDefault="00635D7C" w:rsidP="00F326E5">
      <w:pPr>
        <w:pStyle w:val="NoSpacing"/>
        <w:rPr>
          <w:rFonts w:ascii="Arial Black" w:hAnsi="Arial Black"/>
          <w:sz w:val="40"/>
          <w:szCs w:val="40"/>
        </w:rPr>
      </w:pPr>
    </w:p>
    <w:p w14:paraId="5C112D6B" w14:textId="77777777" w:rsidR="00635D7C" w:rsidRDefault="00635D7C" w:rsidP="00F326E5">
      <w:pPr>
        <w:pStyle w:val="NoSpacing"/>
        <w:rPr>
          <w:rFonts w:ascii="Arial Black" w:hAnsi="Arial Black"/>
          <w:sz w:val="40"/>
          <w:szCs w:val="40"/>
        </w:rPr>
      </w:pPr>
    </w:p>
    <w:p w14:paraId="4DB8AF4F" w14:textId="77777777" w:rsidR="00635D7C" w:rsidRDefault="00635D7C" w:rsidP="00F326E5">
      <w:pPr>
        <w:pStyle w:val="NoSpacing"/>
        <w:rPr>
          <w:rFonts w:ascii="Arial Black" w:hAnsi="Arial Black"/>
          <w:sz w:val="40"/>
          <w:szCs w:val="40"/>
        </w:rPr>
      </w:pPr>
    </w:p>
    <w:p w14:paraId="0CE0FD25" w14:textId="77777777" w:rsidR="00635D7C" w:rsidRDefault="00635D7C" w:rsidP="00F326E5">
      <w:pPr>
        <w:pStyle w:val="NoSpacing"/>
        <w:rPr>
          <w:rFonts w:ascii="Arial Black" w:hAnsi="Arial Black"/>
          <w:sz w:val="40"/>
          <w:szCs w:val="40"/>
        </w:rPr>
      </w:pPr>
    </w:p>
    <w:p w14:paraId="29DC0F44" w14:textId="412A3FDE" w:rsidR="00F326E5" w:rsidRDefault="00F326E5" w:rsidP="00F326E5">
      <w:pPr>
        <w:pStyle w:val="NoSpacing"/>
        <w:rPr>
          <w:rFonts w:ascii="Arial Black" w:hAnsi="Arial Black"/>
          <w:sz w:val="40"/>
          <w:szCs w:val="40"/>
        </w:rPr>
      </w:pPr>
      <w:r w:rsidRPr="007732FA">
        <w:rPr>
          <w:rFonts w:ascii="Arial Black" w:hAnsi="Arial Black"/>
          <w:sz w:val="40"/>
          <w:szCs w:val="40"/>
        </w:rPr>
        <w:t>Chap. 16</w:t>
      </w:r>
      <w:r w:rsidRPr="007732FA">
        <w:rPr>
          <w:rFonts w:ascii="Arial Black" w:hAnsi="Arial Black"/>
          <w:sz w:val="40"/>
          <w:szCs w:val="40"/>
        </w:rPr>
        <w:tab/>
      </w:r>
      <w:r w:rsidRPr="007732FA">
        <w:rPr>
          <w:rFonts w:ascii="Arial Black" w:hAnsi="Arial Black"/>
          <w:sz w:val="40"/>
          <w:szCs w:val="40"/>
        </w:rPr>
        <w:tab/>
        <w:t>Discipline</w:t>
      </w:r>
      <w:r w:rsidRPr="007732FA">
        <w:rPr>
          <w:rFonts w:ascii="Arial Black" w:hAnsi="Arial Black"/>
          <w:sz w:val="40"/>
          <w:szCs w:val="40"/>
        </w:rPr>
        <w:tab/>
      </w:r>
      <w:r w:rsidR="00BC5936">
        <w:rPr>
          <w:rFonts w:ascii="Arial Black" w:hAnsi="Arial Black"/>
          <w:sz w:val="40"/>
          <w:szCs w:val="40"/>
        </w:rPr>
        <w:t>, incl. Social Media</w:t>
      </w:r>
    </w:p>
    <w:p w14:paraId="7A42693C" w14:textId="77777777" w:rsidR="00F326E5" w:rsidRDefault="00F326E5" w:rsidP="00F326E5">
      <w:pPr>
        <w:pStyle w:val="NoSpacing"/>
        <w:rPr>
          <w:b/>
          <w:sz w:val="24"/>
          <w:szCs w:val="24"/>
        </w:rPr>
      </w:pPr>
    </w:p>
    <w:p w14:paraId="5B615D3B" w14:textId="77777777" w:rsidR="005A4098" w:rsidRDefault="005A4098" w:rsidP="00DA3352">
      <w:pPr>
        <w:pStyle w:val="NoSpacing"/>
        <w:rPr>
          <w:rFonts w:ascii="Arial Black" w:hAnsi="Arial Black"/>
          <w:b/>
          <w:sz w:val="24"/>
          <w:szCs w:val="24"/>
        </w:rPr>
      </w:pPr>
    </w:p>
    <w:p w14:paraId="46308E51" w14:textId="386F7CE0" w:rsidR="00E77EA7" w:rsidRDefault="00E77EA7" w:rsidP="00E77EA7">
      <w:pPr>
        <w:pStyle w:val="NoSpacing"/>
        <w:rPr>
          <w:rFonts w:ascii="Arial Black" w:hAnsi="Arial Black"/>
          <w:b/>
          <w:sz w:val="24"/>
          <w:szCs w:val="24"/>
        </w:rPr>
      </w:pPr>
      <w:r>
        <w:rPr>
          <w:rFonts w:ascii="Arial Black" w:hAnsi="Arial Black"/>
          <w:b/>
          <w:sz w:val="24"/>
          <w:szCs w:val="24"/>
        </w:rPr>
        <w:t>16-1</w:t>
      </w:r>
      <w:r w:rsidR="000676A0">
        <w:rPr>
          <w:rFonts w:ascii="Arial Black" w:hAnsi="Arial Black"/>
          <w:b/>
          <w:sz w:val="24"/>
          <w:szCs w:val="24"/>
        </w:rPr>
        <w:t>60</w:t>
      </w:r>
    </w:p>
    <w:p w14:paraId="31929BFC" w14:textId="77777777" w:rsidR="005A4098" w:rsidRDefault="005A4098" w:rsidP="00DA3352">
      <w:pPr>
        <w:pStyle w:val="NoSpacing"/>
        <w:rPr>
          <w:rFonts w:ascii="Arial Black" w:hAnsi="Arial Black"/>
          <w:b/>
          <w:sz w:val="24"/>
          <w:szCs w:val="24"/>
        </w:rPr>
      </w:pPr>
    </w:p>
    <w:p w14:paraId="594B4569" w14:textId="0DD0A5A4" w:rsidR="005A4098" w:rsidRPr="00291717" w:rsidRDefault="005A4098" w:rsidP="005A4098">
      <w:pPr>
        <w:rPr>
          <w:rFonts w:ascii="Arial Black" w:hAnsi="Arial Black"/>
          <w:b/>
          <w:sz w:val="28"/>
          <w:szCs w:val="28"/>
        </w:rPr>
      </w:pPr>
      <w:r>
        <w:rPr>
          <w:rFonts w:ascii="Arial Black" w:hAnsi="Arial Black"/>
          <w:b/>
          <w:sz w:val="28"/>
          <w:szCs w:val="28"/>
        </w:rPr>
        <w:t>MT: VOL. FIRED</w:t>
      </w:r>
      <w:r w:rsidR="00E77EA7">
        <w:rPr>
          <w:rFonts w:ascii="Arial Black" w:hAnsi="Arial Black"/>
          <w:b/>
          <w:sz w:val="28"/>
          <w:szCs w:val="28"/>
        </w:rPr>
        <w:t xml:space="preserve"> / CRIM CH</w:t>
      </w:r>
      <w:r w:rsidR="00DE6BEF">
        <w:rPr>
          <w:rFonts w:ascii="Arial Black" w:hAnsi="Arial Black"/>
          <w:b/>
          <w:sz w:val="28"/>
          <w:szCs w:val="28"/>
        </w:rPr>
        <w:t>ARGE</w:t>
      </w:r>
      <w:r w:rsidR="00E77EA7">
        <w:rPr>
          <w:rFonts w:ascii="Arial Black" w:hAnsi="Arial Black"/>
          <w:b/>
          <w:sz w:val="28"/>
          <w:szCs w:val="28"/>
        </w:rPr>
        <w:t xml:space="preserve"> - </w:t>
      </w:r>
      <w:r>
        <w:rPr>
          <w:rFonts w:ascii="Arial Black" w:hAnsi="Arial Black"/>
          <w:b/>
          <w:sz w:val="28"/>
          <w:szCs w:val="28"/>
        </w:rPr>
        <w:t>DUE PROCESS RIGHTS</w:t>
      </w:r>
    </w:p>
    <w:p w14:paraId="37B2AC14" w14:textId="77777777" w:rsidR="005A4098" w:rsidRDefault="005A4098" w:rsidP="005A4098">
      <w:pPr>
        <w:pStyle w:val="NoSpacing"/>
      </w:pPr>
      <w:r>
        <w:t xml:space="preserve">On June 25, 2026, in </w:t>
      </w:r>
      <w:r w:rsidRPr="00F52987">
        <w:rPr>
          <w:u w:val="single"/>
        </w:rPr>
        <w:t>Andrew Hoel v. Lake County, et al</w:t>
      </w:r>
      <w:r>
        <w:t xml:space="preserve">., U.S. District Court Judge Dana L. Christensen, United States District Court for Montana, Missoula Division, denied the motion to dismiss by the five members of the Board of </w:t>
      </w:r>
      <w:r w:rsidRPr="003254DA">
        <w:t>Polson Rural Fire District</w:t>
      </w:r>
      <w:r>
        <w:t xml:space="preserve">, and the lawsuit by the 16-year volunteer may continue.  The judge held that while there is no state statute on whether a volunteer in a rural fire district has a “property interest” in the position, and no Montana Supreme Court opinion on the issue, the plaintiff has </w:t>
      </w:r>
      <w:r w:rsidRPr="00372501">
        <w:t>alleged a plausible claim that a protected property interest exists</w:t>
      </w:r>
      <w:r>
        <w:t>.  The Court wrote: “</w:t>
      </w:r>
      <w:r w:rsidRPr="00372501">
        <w:t>Viewing Hoel's allegations in the light most favorable to him, as required at this stage of the proceeding, he has alleged a plausible claim that a protected property interest exists.</w:t>
      </w:r>
      <w:r>
        <w:t>”</w:t>
      </w:r>
    </w:p>
    <w:p w14:paraId="5C805A6C" w14:textId="77777777" w:rsidR="005A4098" w:rsidRDefault="005A4098" w:rsidP="005A4098">
      <w:pPr>
        <w:rPr>
          <w:b/>
        </w:rPr>
      </w:pPr>
      <w:hyperlink r:id="rId2476" w:history="1">
        <w:r w:rsidRPr="00014504">
          <w:rPr>
            <w:rStyle w:val="Hyperlink"/>
            <w:b/>
          </w:rPr>
          <w:t>https://public.fastcase.com/Jhe1Qn%2BmJndQYQU6z%2FeNm8xp5bcQpM0LeCpj95rZ5gNEdVG1ibFcIduRcZ%2B3IipaZYnYIym7VYjtpqKVlaUqasfnn8Tz1CVmcjSIlOE%2BPZg%3D?utm_medium=email&amp;_hsenc=p2ANqtz-9jjfQQEOm_2mMKI3z_PNL0spa8WgXuU5UtiIChSVPrFWGJFWa_yPhDa2X3hbtFntOPOz5eOn48J2_-s790WqIcSfBsuw&amp;_hsmi=226712652&amp;utm_content=226712652&amp;utm_source=hs_email</w:t>
        </w:r>
      </w:hyperlink>
      <w:r>
        <w:rPr>
          <w:b/>
        </w:rPr>
        <w:t xml:space="preserve"> </w:t>
      </w:r>
    </w:p>
    <w:p w14:paraId="4319D54C" w14:textId="77777777" w:rsidR="005A4098" w:rsidRDefault="005A4098" w:rsidP="005A4098">
      <w:pPr>
        <w:pStyle w:val="NoSpacing"/>
        <w:rPr>
          <w:b/>
          <w:bCs/>
        </w:rPr>
      </w:pPr>
      <w:r w:rsidRPr="005138E2">
        <w:rPr>
          <w:b/>
        </w:rPr>
        <w:t>FACTS:</w:t>
      </w:r>
    </w:p>
    <w:p w14:paraId="5118AC4F" w14:textId="77777777" w:rsidR="005A4098" w:rsidRPr="0054668F" w:rsidRDefault="005A4098" w:rsidP="005A4098">
      <w:pPr>
        <w:pStyle w:val="NoSpacing"/>
      </w:pPr>
    </w:p>
    <w:p w14:paraId="3A973B86" w14:textId="77777777" w:rsidR="005A4098" w:rsidRDefault="005A4098" w:rsidP="005A4098">
      <w:pPr>
        <w:pStyle w:val="NoSpacing"/>
      </w:pPr>
      <w:r>
        <w:t>“</w:t>
      </w:r>
      <w:r w:rsidRPr="0054668F">
        <w:t xml:space="preserve">Andrew Hoel was a member of the Polson Rural Fire District for 16 years. In 2023, Hoel settled a dispute involving a jointly owned LLC with Defendants Matthew Dougherty and Nancy Dougherty. Following the settlement, the </w:t>
      </w:r>
      <w:proofErr w:type="spellStart"/>
      <w:r w:rsidRPr="0054668F">
        <w:t>Doughertys</w:t>
      </w:r>
      <w:proofErr w:type="spellEnd"/>
      <w:r w:rsidRPr="0054668F">
        <w:t xml:space="preserve"> made a series of defamatory statements and allegations of criminal conduct against Hoel, prompting Lake County to charge him with two felony counts of exploitation of older person, incapacitated person, or person with developmental disability, Mont. Code Ann. § 45-6-333. </w:t>
      </w:r>
    </w:p>
    <w:p w14:paraId="56D361F0" w14:textId="77777777" w:rsidR="005A4098" w:rsidRDefault="005A4098" w:rsidP="005A4098">
      <w:pPr>
        <w:pStyle w:val="NoSpacing"/>
      </w:pPr>
    </w:p>
    <w:p w14:paraId="0661215D" w14:textId="77777777" w:rsidR="005A4098" w:rsidRDefault="005A4098" w:rsidP="005A4098">
      <w:pPr>
        <w:pStyle w:val="NoSpacing"/>
      </w:pPr>
      <w:r w:rsidRPr="0054668F">
        <w:t xml:space="preserve">Board Members, acting as Trustees of the Polson Rural Fire District, revoked Hoel's membership based on these criminal charges. Hoel appealed, and Board Members responded by notifying Hoel </w:t>
      </w:r>
      <w:proofErr w:type="gramStart"/>
      <w:r w:rsidRPr="0054668F">
        <w:t xml:space="preserve">that </w:t>
      </w:r>
      <w:r>
        <w:t>‘</w:t>
      </w:r>
      <w:r w:rsidRPr="0054668F">
        <w:t>[</w:t>
      </w:r>
      <w:proofErr w:type="gramEnd"/>
      <w:r w:rsidRPr="0054668F">
        <w:t>t]</w:t>
      </w:r>
      <w:proofErr w:type="gramStart"/>
      <w:r w:rsidRPr="0054668F">
        <w:t>he</w:t>
      </w:r>
      <w:proofErr w:type="gramEnd"/>
      <w:r w:rsidRPr="0054668F">
        <w:t xml:space="preserve"> Board will take no action on the appeal until a future appropriate time when your situation has stabilized. It will be in touch at that time.</w:t>
      </w:r>
      <w:r>
        <w:t>’</w:t>
      </w:r>
      <w:r w:rsidRPr="0054668F">
        <w:t xml:space="preserve"> After criminal charges against Hoel were dismissed, he wrote to the Polson Rural Fire District to renew his appeal. Board Members responded that his appeal had already been denied. In terminating Hoel, Board Members failed to comply with the Polson Rural Fire District's disciplinary policies.</w:t>
      </w:r>
      <w:r>
        <w:t>”</w:t>
      </w:r>
    </w:p>
    <w:p w14:paraId="574992D9" w14:textId="77777777" w:rsidR="005A4098" w:rsidRDefault="005A4098" w:rsidP="005A4098">
      <w:pPr>
        <w:pStyle w:val="NoSpacing"/>
      </w:pPr>
    </w:p>
    <w:p w14:paraId="3C937329" w14:textId="77777777" w:rsidR="005A4098" w:rsidRPr="00A03529" w:rsidRDefault="005A4098" w:rsidP="005A4098">
      <w:pPr>
        <w:pStyle w:val="NoSpacing"/>
        <w:rPr>
          <w:b/>
          <w:bCs/>
        </w:rPr>
      </w:pPr>
      <w:r w:rsidRPr="00A03529">
        <w:rPr>
          <w:b/>
        </w:rPr>
        <w:t>COURT HELD:</w:t>
      </w:r>
    </w:p>
    <w:p w14:paraId="7FB5CE0C" w14:textId="77777777" w:rsidR="005A4098" w:rsidRPr="0054668F" w:rsidRDefault="005A4098" w:rsidP="005A4098">
      <w:pPr>
        <w:pStyle w:val="NoSpacing"/>
      </w:pPr>
    </w:p>
    <w:p w14:paraId="7CAEA09C" w14:textId="77777777" w:rsidR="005A4098" w:rsidRPr="00372501" w:rsidRDefault="005A4098" w:rsidP="005A4098">
      <w:pPr>
        <w:pStyle w:val="NoSpacing"/>
      </w:pPr>
      <w:r>
        <w:t>“</w:t>
      </w:r>
      <w:r w:rsidRPr="00372501">
        <w:t xml:space="preserve">Montana statutes are silent on whether volunteer members of rural fire districts enjoy any removal protections. Paid municipal firefighters enjoy for-cause termination protections, </w:t>
      </w:r>
      <w:r w:rsidRPr="00372501">
        <w:rPr>
          <w:i/>
          <w:iCs/>
        </w:rPr>
        <w:t>see</w:t>
      </w:r>
      <w:r w:rsidRPr="00372501">
        <w:t xml:space="preserve"> Mont. Code Ann. § 7-33-4123, and mandatory suspension procedures, </w:t>
      </w:r>
      <w:r w:rsidRPr="00372501">
        <w:rPr>
          <w:i/>
          <w:iCs/>
        </w:rPr>
        <w:t>see</w:t>
      </w:r>
      <w:r w:rsidRPr="00372501">
        <w:t xml:space="preserve"> Mont. Code Ann. § 7-33-4124, while city </w:t>
      </w:r>
      <w:r>
        <w:t>‘</w:t>
      </w:r>
      <w:r w:rsidRPr="00372501">
        <w:t xml:space="preserve">volunteer fire </w:t>
      </w:r>
      <w:proofErr w:type="gramStart"/>
      <w:r w:rsidRPr="00372501">
        <w:t>departments,</w:t>
      </w:r>
      <w:r>
        <w:t>’</w:t>
      </w:r>
      <w:proofErr w:type="gramEnd"/>
      <w:r w:rsidRPr="00372501">
        <w:t xml:space="preserve"> established under Part 41 are explicitly exempted from these provisions. Mont. Code Ann. § 7-33-4110. Rural fire districts like Polson, meanwhile, are legally distinct from volunteer fire departments even if they are composed entirely of volunteers. Highlighting this distinction, Montana Code Annotated § 7-33-4510(c) clarifies that </w:t>
      </w:r>
      <w:r>
        <w:t>‘</w:t>
      </w:r>
      <w:r w:rsidRPr="00372501">
        <w:t>a member of a volunteer fire department provided for in [§] 7-33-4109</w:t>
      </w:r>
      <w:r>
        <w:t>’</w:t>
      </w:r>
      <w:r w:rsidRPr="00372501">
        <w:t xml:space="preserve"> does not fall within the definition of a “volunteer firefighter,” and is therefore ineligible for worker's compensation. Therefore, no statute addresses whether volunteer members of a rural fire district are subject to removal protections or not. </w:t>
      </w:r>
    </w:p>
    <w:p w14:paraId="5254836C" w14:textId="77777777" w:rsidR="005A4098" w:rsidRDefault="005A4098" w:rsidP="005A4098">
      <w:pPr>
        <w:pStyle w:val="NoSpacing"/>
      </w:pPr>
      <w:r w:rsidRPr="00372501">
        <w:t>         </w:t>
      </w:r>
    </w:p>
    <w:p w14:paraId="0F429EBA" w14:textId="77777777" w:rsidR="005A4098" w:rsidRDefault="005A4098" w:rsidP="005A4098">
      <w:pPr>
        <w:pStyle w:val="NoSpacing"/>
      </w:pPr>
      <w:r w:rsidRPr="00372501">
        <w:t xml:space="preserve">Nor has the Montana Supreme Court directly addressed whether volunteer members of a rural fire district have a property interest in their volunteer status. In </w:t>
      </w:r>
      <w:r w:rsidRPr="00372501">
        <w:rPr>
          <w:i/>
          <w:iCs/>
        </w:rPr>
        <w:t>State v. Robertson,</w:t>
      </w:r>
      <w:r w:rsidRPr="00372501">
        <w:t xml:space="preserve"> however, the Court held that a rural fire district board could not suspend volunteers because their bylaws did not </w:t>
      </w:r>
      <w:r>
        <w:t>‘</w:t>
      </w:r>
      <w:r w:rsidRPr="00372501">
        <w:t>authorize</w:t>
      </w:r>
      <w:r>
        <w:t>’</w:t>
      </w:r>
      <w:r w:rsidRPr="00372501">
        <w:t xml:space="preserve"> them to do so. 336 P.3d 367, 371-72 (Mont. 2014</w:t>
      </w:r>
      <w:proofErr w:type="gramStart"/>
      <w:r w:rsidRPr="00372501">
        <w:t>) (</w:t>
      </w:r>
      <w:r>
        <w:t>‘</w:t>
      </w:r>
      <w:proofErr w:type="gramEnd"/>
      <w:r w:rsidRPr="00372501">
        <w:t>[T]</w:t>
      </w:r>
      <w:proofErr w:type="gramStart"/>
      <w:r w:rsidRPr="00372501">
        <w:t>he</w:t>
      </w:r>
      <w:proofErr w:type="gramEnd"/>
      <w:r w:rsidRPr="00372501">
        <w:t xml:space="preserve"> by-laws are altogether silent on the suspension of [fire district] members.</w:t>
      </w:r>
      <w:r>
        <w:t>’</w:t>
      </w:r>
      <w:r w:rsidRPr="00372501">
        <w:t xml:space="preserve">). Although </w:t>
      </w:r>
      <w:r w:rsidRPr="00372501">
        <w:rPr>
          <w:i/>
          <w:iCs/>
        </w:rPr>
        <w:t>Robertson</w:t>
      </w:r>
      <w:r w:rsidRPr="00372501">
        <w:t xml:space="preserve"> was decided in the context of a criminal trespass charge, </w:t>
      </w:r>
      <w:r w:rsidRPr="00372501">
        <w:rPr>
          <w:i/>
          <w:iCs/>
        </w:rPr>
        <w:t>see id,</w:t>
      </w:r>
      <w:r w:rsidRPr="00372501">
        <w:t xml:space="preserve"> the Court's reasoning indicates that, depending on the precise language in their bylaws, Board Members may not have had the authority to terminate Hoel at will. If the bylaws contain for-cause protections or specific removal criteria, they could create a reasonable expectation of continued volunteer status. Viewing Hoel's allegations in the light most favorable to him, as required at this stage of the proceeding, he has alleged a plausible claim that a protected property interest exists.</w:t>
      </w:r>
      <w:r>
        <w:t>”</w:t>
      </w:r>
    </w:p>
    <w:p w14:paraId="09D00CE8" w14:textId="77777777" w:rsidR="005A4098" w:rsidRDefault="005A4098" w:rsidP="005A4098">
      <w:pPr>
        <w:pStyle w:val="NoSpacing"/>
      </w:pPr>
    </w:p>
    <w:p w14:paraId="0D8BD0C3" w14:textId="77777777" w:rsidR="005A4098" w:rsidRPr="004A6680" w:rsidRDefault="005A4098" w:rsidP="005A4098">
      <w:pPr>
        <w:pStyle w:val="NoSpacing"/>
        <w:rPr>
          <w:b/>
          <w:bCs/>
        </w:rPr>
      </w:pPr>
      <w:r>
        <w:rPr>
          <w:b/>
        </w:rPr>
        <w:t>Legal lesson learned: State laws control whether volunteer firefighters have a right to due process hearing before Fire Board; providing such a hearing can help avoid litigation such as this case.</w:t>
      </w:r>
    </w:p>
    <w:p w14:paraId="47D49052" w14:textId="77777777" w:rsidR="005A4098" w:rsidRPr="0034231D" w:rsidRDefault="005A4098" w:rsidP="005A4098">
      <w:pPr>
        <w:pStyle w:val="NoSpacing"/>
      </w:pPr>
      <w:r w:rsidRPr="0034231D">
        <w:t xml:space="preserve"> </w:t>
      </w:r>
    </w:p>
    <w:p w14:paraId="4E403929" w14:textId="77777777" w:rsidR="005A4098" w:rsidRDefault="005A4098" w:rsidP="00DA3352">
      <w:pPr>
        <w:pStyle w:val="NoSpacing"/>
        <w:rPr>
          <w:rFonts w:ascii="Arial Black" w:hAnsi="Arial Black"/>
          <w:b/>
          <w:sz w:val="24"/>
          <w:szCs w:val="24"/>
        </w:rPr>
      </w:pPr>
    </w:p>
    <w:p w14:paraId="4060FC99" w14:textId="3B096321" w:rsidR="000676A0" w:rsidRDefault="000676A0" w:rsidP="000676A0">
      <w:pPr>
        <w:pStyle w:val="NoSpacing"/>
        <w:rPr>
          <w:rFonts w:ascii="Arial Black" w:hAnsi="Arial Black"/>
          <w:b/>
          <w:sz w:val="24"/>
          <w:szCs w:val="24"/>
        </w:rPr>
      </w:pPr>
      <w:r>
        <w:rPr>
          <w:rFonts w:ascii="Arial Black" w:hAnsi="Arial Black"/>
          <w:b/>
          <w:sz w:val="24"/>
          <w:szCs w:val="24"/>
        </w:rPr>
        <w:t>16-158</w:t>
      </w:r>
      <w:r>
        <w:rPr>
          <w:rFonts w:ascii="Arial Black" w:hAnsi="Arial Black"/>
          <w:b/>
          <w:sz w:val="24"/>
          <w:szCs w:val="24"/>
        </w:rPr>
        <w:t xml:space="preserve"> [also filed Chap. 18]</w:t>
      </w:r>
    </w:p>
    <w:p w14:paraId="6B51E8E8" w14:textId="77777777" w:rsidR="000676A0" w:rsidRDefault="000676A0" w:rsidP="00DA3352">
      <w:pPr>
        <w:pStyle w:val="NoSpacing"/>
        <w:rPr>
          <w:rFonts w:ascii="Arial Black" w:hAnsi="Arial Black"/>
          <w:b/>
          <w:sz w:val="24"/>
          <w:szCs w:val="24"/>
        </w:rPr>
      </w:pPr>
    </w:p>
    <w:p w14:paraId="25EB91F6" w14:textId="77777777" w:rsidR="005A4098" w:rsidRDefault="005A4098" w:rsidP="00DA3352">
      <w:pPr>
        <w:pStyle w:val="NoSpacing"/>
        <w:rPr>
          <w:rFonts w:ascii="Arial Black" w:hAnsi="Arial Black"/>
          <w:b/>
          <w:sz w:val="24"/>
          <w:szCs w:val="24"/>
        </w:rPr>
      </w:pPr>
    </w:p>
    <w:p w14:paraId="66AD47D2" w14:textId="77777777" w:rsidR="00E13167" w:rsidRPr="00554749" w:rsidRDefault="00E13167" w:rsidP="00E13167">
      <w:pPr>
        <w:pStyle w:val="NoSpacing"/>
        <w:rPr>
          <w:rFonts w:ascii="Arial Black" w:hAnsi="Arial Black"/>
          <w:sz w:val="28"/>
          <w:szCs w:val="28"/>
        </w:rPr>
      </w:pPr>
      <w:r>
        <w:rPr>
          <w:rFonts w:ascii="Arial Black" w:hAnsi="Arial Black"/>
          <w:sz w:val="28"/>
          <w:szCs w:val="28"/>
        </w:rPr>
        <w:t>CO: BABY “SAFE HAVEN LAW” – MOM STAYS “ANONYMOUS”</w:t>
      </w:r>
    </w:p>
    <w:p w14:paraId="20A93ACD" w14:textId="77777777" w:rsidR="00E13167" w:rsidRDefault="00E13167" w:rsidP="00E13167">
      <w:pPr>
        <w:pStyle w:val="NoSpacing"/>
      </w:pPr>
    </w:p>
    <w:p w14:paraId="17419973" w14:textId="77777777" w:rsidR="00E13167" w:rsidRDefault="00E13167" w:rsidP="00E13167">
      <w:r>
        <w:t xml:space="preserve">On June 8, 2026, </w:t>
      </w:r>
      <w:r w:rsidRPr="0018279B">
        <w:rPr>
          <w:u w:val="single"/>
        </w:rPr>
        <w:t>In Re The People of the State of Colorado, In The Interest of Minor Child:</w:t>
      </w:r>
      <w:r>
        <w:rPr>
          <w:u w:val="single"/>
        </w:rPr>
        <w:t xml:space="preserve"> </w:t>
      </w:r>
      <w:r w:rsidRPr="0018279B">
        <w:rPr>
          <w:u w:val="single"/>
        </w:rPr>
        <w:t>G.D.M. v. Morgan County Department of Human Services</w:t>
      </w:r>
      <w:r>
        <w:t xml:space="preserve">, </w:t>
      </w:r>
      <w:r w:rsidRPr="0018279B">
        <w:t>the Supreme Court of Colorado, En Banc</w:t>
      </w:r>
      <w:r>
        <w:t xml:space="preserve"> (6 to 1) held that with baby born in ambulance in hospital parking lot, and mother told EMS she wanted to give the baby up for adoption, the County Department of Human Services had no right to know mother’s or father’s identity. The Court wrote: “</w:t>
      </w:r>
      <w:r w:rsidRPr="00B548EE">
        <w:t>Together, these tools of construction speak in a quiet but unmistakable voice, leading us to infer that parents who avail themselves of this law are entitled to anonymity and confidentiality.</w:t>
      </w:r>
      <w:r>
        <w:t xml:space="preserve">” </w:t>
      </w:r>
      <w:hyperlink r:id="rId2477" w:history="1">
        <w:r w:rsidRPr="003E6F82">
          <w:rPr>
            <w:rStyle w:val="Hyperlink"/>
          </w:rPr>
          <w:t>https://caselaw.findlaw.com/court/co-supreme-court/111256.html</w:t>
        </w:r>
      </w:hyperlink>
      <w:r>
        <w:t xml:space="preserve"> </w:t>
      </w:r>
    </w:p>
    <w:p w14:paraId="4AA8957C" w14:textId="77777777" w:rsidR="00E13167" w:rsidRDefault="00E13167" w:rsidP="00E13167">
      <w:pPr>
        <w:rPr>
          <w:b/>
        </w:rPr>
      </w:pPr>
    </w:p>
    <w:p w14:paraId="407BA58A" w14:textId="77777777" w:rsidR="00E13167" w:rsidRDefault="00E13167" w:rsidP="00E13167">
      <w:pPr>
        <w:rPr>
          <w:b/>
        </w:rPr>
      </w:pPr>
      <w:r>
        <w:rPr>
          <w:b/>
        </w:rPr>
        <w:t>FACTS:</w:t>
      </w:r>
    </w:p>
    <w:p w14:paraId="628A83C2" w14:textId="77777777" w:rsidR="00E13167" w:rsidRPr="00CA4A65" w:rsidRDefault="00E13167" w:rsidP="00E13167">
      <w:pPr>
        <w:pStyle w:val="NoSpacing"/>
      </w:pPr>
      <w:r>
        <w:t>“</w:t>
      </w:r>
      <w:r w:rsidRPr="00CA4A65">
        <w:t>In this case, M.O.M. (</w:t>
      </w:r>
      <w:r>
        <w:t>‘</w:t>
      </w:r>
      <w:r w:rsidRPr="00CA4A65">
        <w:t>Birth Mother</w:t>
      </w:r>
      <w:r>
        <w:t>’</w:t>
      </w:r>
      <w:r w:rsidRPr="00CA4A65">
        <w:t xml:space="preserve">) gave birth to G.D.M. in the back of an ambulance in the parking lot of a hospital. She immediately told medical staff that she neither wanted nor had the means to care for G.D.M. She added that the baby's father was not in the picture, so she wanted to give the baby up for adoption. </w:t>
      </w:r>
    </w:p>
    <w:p w14:paraId="76EDA781" w14:textId="77777777" w:rsidR="00E13167" w:rsidRDefault="00E13167" w:rsidP="00E13167">
      <w:pPr>
        <w:pStyle w:val="NoSpacing"/>
      </w:pPr>
      <w:r w:rsidRPr="00CA4A65">
        <w:t>       </w:t>
      </w:r>
    </w:p>
    <w:p w14:paraId="163FEDA3" w14:textId="77777777" w:rsidR="00E13167" w:rsidRDefault="00E13167" w:rsidP="00E13167">
      <w:pPr>
        <w:pStyle w:val="NoSpacing"/>
      </w:pPr>
      <w:r w:rsidRPr="00CA4A65">
        <w:t xml:space="preserve">The Morgan County Department of Human </w:t>
      </w:r>
      <w:proofErr w:type="gramStart"/>
      <w:r w:rsidRPr="00CA4A65">
        <w:t>Services (</w:t>
      </w:r>
      <w:r>
        <w:t>‘</w:t>
      </w:r>
      <w:r w:rsidRPr="00CA4A65">
        <w:t>MCDHS</w:t>
      </w:r>
      <w:r>
        <w:t>’</w:t>
      </w:r>
      <w:r w:rsidRPr="00CA4A65">
        <w:t>)</w:t>
      </w:r>
      <w:proofErr w:type="gramEnd"/>
      <w:r w:rsidRPr="00CA4A65">
        <w:t xml:space="preserve"> promptly initiated this dependency or </w:t>
      </w:r>
      <w:proofErr w:type="gramStart"/>
      <w:r w:rsidRPr="00CA4A65">
        <w:t>neglect</w:t>
      </w:r>
      <w:proofErr w:type="gramEnd"/>
      <w:r w:rsidRPr="00CA4A65">
        <w:t xml:space="preserve"> proceeding. Treating this case like any other abandonment matter, MCDHS </w:t>
      </w:r>
      <w:proofErr w:type="gramStart"/>
      <w:r w:rsidRPr="00CA4A65">
        <w:t>conducted an investigation</w:t>
      </w:r>
      <w:proofErr w:type="gramEnd"/>
      <w:r w:rsidRPr="00CA4A65">
        <w:t xml:space="preserve"> and, after discovering Birth Mother's identity, undertook </w:t>
      </w:r>
      <w:r>
        <w:t>‘</w:t>
      </w:r>
      <w:r w:rsidRPr="00CA4A65">
        <w:t xml:space="preserve">due </w:t>
      </w:r>
      <w:proofErr w:type="gramStart"/>
      <w:r w:rsidRPr="00CA4A65">
        <w:t>diligence</w:t>
      </w:r>
      <w:r>
        <w:t>’</w:t>
      </w:r>
      <w:proofErr w:type="gramEnd"/>
      <w:r>
        <w:t xml:space="preserve"> </w:t>
      </w:r>
      <w:r w:rsidRPr="00CA4A65">
        <w:t xml:space="preserve">efforts by contacting her family members in search of appropriate placement options. When the juvenile court realized what was occurring, it intervened to </w:t>
      </w:r>
      <w:proofErr w:type="gramStart"/>
      <w:r w:rsidRPr="00CA4A65">
        <w:t>course correct</w:t>
      </w:r>
      <w:proofErr w:type="gramEnd"/>
      <w:r w:rsidRPr="00CA4A65">
        <w:t xml:space="preserve"> by written order. The </w:t>
      </w:r>
      <w:r>
        <w:t xml:space="preserve"> </w:t>
      </w:r>
      <w:r w:rsidRPr="00CA4A65">
        <w:t>court halted MCDHS's efforts, concluding that Birth Mother had a right to anonymity and confidentiality under the Safe Haven Law.</w:t>
      </w:r>
    </w:p>
    <w:p w14:paraId="2D8C3DBD" w14:textId="77777777" w:rsidR="00E13167" w:rsidRDefault="00E13167" w:rsidP="00E13167">
      <w:pPr>
        <w:pStyle w:val="NoSpacing"/>
      </w:pPr>
    </w:p>
    <w:p w14:paraId="782945FC" w14:textId="77777777" w:rsidR="00E13167" w:rsidRDefault="00E13167" w:rsidP="00E13167">
      <w:pPr>
        <w:pStyle w:val="NoSpacing"/>
      </w:pPr>
      <w:r w:rsidRPr="00DC2200">
        <w:t>MCDHS disagreed. It filed a C.A.R. 21 petition asking us to shed light on the question, and we issued an order to show cause. MCDHS contends that the juvenile court went astray in determining that Birth Mother is entitled to anonymity and confidentiality under the Safe Haven Law. As a result, MCDHS asserts, the court improperly blocked its efforts to identify appropriate placement options for G.D.M. among Birth Mother's family members</w:t>
      </w:r>
      <w:r>
        <w:t xml:space="preserve">.” </w:t>
      </w:r>
    </w:p>
    <w:p w14:paraId="626EDBF1" w14:textId="77777777" w:rsidR="00E13167" w:rsidRDefault="00E13167" w:rsidP="00E13167">
      <w:pPr>
        <w:pStyle w:val="NoSpacing"/>
      </w:pPr>
    </w:p>
    <w:p w14:paraId="51F88F15" w14:textId="77777777" w:rsidR="00E13167" w:rsidRDefault="00E13167" w:rsidP="00E13167">
      <w:pPr>
        <w:pStyle w:val="NoSpacing"/>
        <w:rPr>
          <w:b/>
          <w:bCs/>
        </w:rPr>
      </w:pPr>
      <w:r w:rsidRPr="001F38F4">
        <w:rPr>
          <w:b/>
        </w:rPr>
        <w:t xml:space="preserve">COURT HELD: </w:t>
      </w:r>
    </w:p>
    <w:p w14:paraId="4795ECFF" w14:textId="77777777" w:rsidR="00E13167" w:rsidRDefault="00E13167" w:rsidP="00E13167">
      <w:pPr>
        <w:pStyle w:val="NoSpacing"/>
        <w:rPr>
          <w:b/>
          <w:bCs/>
        </w:rPr>
      </w:pPr>
    </w:p>
    <w:p w14:paraId="5DB1E0B4" w14:textId="77777777" w:rsidR="00E13167" w:rsidRDefault="00E13167" w:rsidP="00E13167">
      <w:pPr>
        <w:pStyle w:val="NoSpacing"/>
      </w:pPr>
      <w:r>
        <w:t>“</w:t>
      </w:r>
      <w:r w:rsidRPr="0090196A">
        <w:t xml:space="preserve">Colorado's Safe Haven Law, section 19-3-304.5(1)(b), C.R.S. (2025), affords parents of newborns a vital refuge: It allows them to voluntarily relinquish a child who is seventy-two hours old or younger into the protective hands of either a firefighter (when the firefighter is at a fire station) or certain hospital or clinic staff members (when they are at a hospital or community clinic emergency center), as long as the parent does </w:t>
      </w:r>
      <w:r>
        <w:t>‘</w:t>
      </w:r>
      <w:r w:rsidRPr="0090196A">
        <w:t>not express an intent to return for the child.</w:t>
      </w:r>
      <w:r>
        <w:t>’</w:t>
      </w:r>
      <w:r w:rsidRPr="0090196A">
        <w:t xml:space="preserve"> In extending this lifeline, the legislature also provided an assurance: Any parent who takes advantage of the Safe Haven Law</w:t>
      </w:r>
      <w:r>
        <w:t xml:space="preserve">’ </w:t>
      </w:r>
      <w:r w:rsidRPr="0090196A">
        <w:t>shall not, for that reason alone, be found to be responsible in a confirmed report of abuse or neglect.</w:t>
      </w:r>
      <w:r>
        <w:t>’</w:t>
      </w:r>
      <w:r w:rsidRPr="0090196A">
        <w:t xml:space="preserve"> § 19-3-304.5(8). </w:t>
      </w:r>
    </w:p>
    <w:p w14:paraId="0C065314" w14:textId="77777777" w:rsidR="00E13167" w:rsidRDefault="00E13167" w:rsidP="00E13167">
      <w:pPr>
        <w:pStyle w:val="NoSpacing"/>
      </w:pPr>
    </w:p>
    <w:p w14:paraId="69ADD924" w14:textId="77777777" w:rsidR="00E13167" w:rsidRDefault="00E13167" w:rsidP="00E13167">
      <w:pPr>
        <w:pStyle w:val="NoSpacing"/>
      </w:pPr>
      <w:r>
        <w:t>***</w:t>
      </w:r>
    </w:p>
    <w:p w14:paraId="4D7020BB" w14:textId="77777777" w:rsidR="00E13167" w:rsidRDefault="00E13167" w:rsidP="00E13167">
      <w:pPr>
        <w:pStyle w:val="NoSpacing"/>
      </w:pPr>
      <w:r w:rsidRPr="0082533A">
        <w:t>In short, the statute's broader provisions and the architecture they blueprint signal that the legislature meant to bestow a parent who properly invokes the Safe Haven Law with anonymity and confidentiality.</w:t>
      </w:r>
      <w:r>
        <w:t>”</w:t>
      </w:r>
    </w:p>
    <w:p w14:paraId="61A479ED" w14:textId="77777777" w:rsidR="00E13167" w:rsidRDefault="00E13167" w:rsidP="00E13167">
      <w:pPr>
        <w:pStyle w:val="NoSpacing"/>
      </w:pPr>
    </w:p>
    <w:p w14:paraId="7DE66AAF" w14:textId="77777777" w:rsidR="00E13167" w:rsidRDefault="00E13167" w:rsidP="00E13167">
      <w:pPr>
        <w:pStyle w:val="NoSpacing"/>
        <w:rPr>
          <w:b/>
          <w:bCs/>
        </w:rPr>
      </w:pPr>
      <w:r w:rsidRPr="0082533A">
        <w:rPr>
          <w:b/>
        </w:rPr>
        <w:t xml:space="preserve">Legal lesson learned: </w:t>
      </w:r>
      <w:r>
        <w:rPr>
          <w:b/>
        </w:rPr>
        <w:t xml:space="preserve">Excellent decision; helpful if statutes are explicit that mother can remain anonymous. </w:t>
      </w:r>
    </w:p>
    <w:p w14:paraId="78F8478C" w14:textId="77777777" w:rsidR="00E13167" w:rsidRDefault="00E13167" w:rsidP="00DA3352">
      <w:pPr>
        <w:pStyle w:val="NoSpacing"/>
        <w:rPr>
          <w:rFonts w:ascii="Arial Black" w:hAnsi="Arial Black"/>
          <w:b/>
          <w:sz w:val="24"/>
          <w:szCs w:val="24"/>
        </w:rPr>
      </w:pPr>
    </w:p>
    <w:p w14:paraId="4157AD52" w14:textId="77777777" w:rsidR="00E13167" w:rsidRDefault="00E13167" w:rsidP="00DA3352">
      <w:pPr>
        <w:pStyle w:val="NoSpacing"/>
        <w:rPr>
          <w:rFonts w:ascii="Arial Black" w:hAnsi="Arial Black"/>
          <w:b/>
          <w:sz w:val="24"/>
          <w:szCs w:val="24"/>
        </w:rPr>
      </w:pPr>
    </w:p>
    <w:p w14:paraId="47D237A3" w14:textId="77777777" w:rsidR="00E13167" w:rsidRDefault="00E13167" w:rsidP="00DA3352">
      <w:pPr>
        <w:pStyle w:val="NoSpacing"/>
        <w:rPr>
          <w:rFonts w:ascii="Arial Black" w:hAnsi="Arial Black"/>
          <w:b/>
          <w:sz w:val="24"/>
          <w:szCs w:val="24"/>
        </w:rPr>
      </w:pPr>
    </w:p>
    <w:p w14:paraId="5116A0AD" w14:textId="5BA0EDDE" w:rsidR="0049781A" w:rsidRDefault="009A2956" w:rsidP="00DA3352">
      <w:pPr>
        <w:pStyle w:val="NoSpacing"/>
        <w:rPr>
          <w:rFonts w:ascii="Arial Black" w:hAnsi="Arial Black"/>
          <w:b/>
          <w:sz w:val="24"/>
          <w:szCs w:val="24"/>
        </w:rPr>
      </w:pPr>
      <w:r>
        <w:rPr>
          <w:rFonts w:ascii="Arial Black" w:hAnsi="Arial Black"/>
          <w:b/>
          <w:sz w:val="24"/>
          <w:szCs w:val="24"/>
        </w:rPr>
        <w:t>16-158</w:t>
      </w:r>
    </w:p>
    <w:p w14:paraId="6B0E59AD" w14:textId="77777777" w:rsidR="00F72BA0" w:rsidRDefault="00F72BA0" w:rsidP="00DA3352">
      <w:pPr>
        <w:pStyle w:val="NoSpacing"/>
        <w:rPr>
          <w:rFonts w:ascii="Arial Black" w:hAnsi="Arial Black"/>
          <w:b/>
          <w:sz w:val="24"/>
          <w:szCs w:val="24"/>
        </w:rPr>
      </w:pPr>
    </w:p>
    <w:p w14:paraId="7E9BC879" w14:textId="77777777" w:rsidR="0042436E" w:rsidRPr="00AE5143" w:rsidRDefault="0042436E" w:rsidP="0042436E">
      <w:pPr>
        <w:rPr>
          <w:rFonts w:ascii="Arial Black" w:hAnsi="Arial Black"/>
          <w:b/>
          <w:sz w:val="28"/>
          <w:szCs w:val="28"/>
        </w:rPr>
      </w:pPr>
      <w:r>
        <w:rPr>
          <w:rFonts w:ascii="Arial Black" w:hAnsi="Arial Black"/>
          <w:b/>
          <w:sz w:val="28"/>
          <w:szCs w:val="28"/>
        </w:rPr>
        <w:t>OH: GEORGE FLOYD UNREST / FF “STAND ON THEIR NECK”</w:t>
      </w:r>
    </w:p>
    <w:p w14:paraId="3966D374" w14:textId="77777777" w:rsidR="0042436E" w:rsidRPr="00F86093" w:rsidRDefault="0042436E" w:rsidP="0042436E">
      <w:pPr>
        <w:pStyle w:val="NoSpacing"/>
        <w:rPr>
          <w:bCs/>
        </w:rPr>
      </w:pPr>
      <w:r w:rsidRPr="00321167">
        <w:t xml:space="preserve">On May 28, 2026, in </w:t>
      </w:r>
      <w:r w:rsidRPr="004F629C">
        <w:rPr>
          <w:u w:val="single"/>
        </w:rPr>
        <w:t xml:space="preserve">Robin Garrison v. City of Columbus, </w:t>
      </w:r>
      <w:r w:rsidRPr="00321167">
        <w:rPr>
          <w:u w:val="single"/>
        </w:rPr>
        <w:t>et al.</w:t>
      </w:r>
      <w:r w:rsidRPr="00321167">
        <w:t xml:space="preserve">, </w:t>
      </w:r>
      <w:r>
        <w:t xml:space="preserve">the </w:t>
      </w:r>
      <w:r w:rsidRPr="00737AF0">
        <w:t>Court of Appeals of Ohio, Tenth District</w:t>
      </w:r>
      <w:r>
        <w:t xml:space="preserve"> held (3 to 0) that he was properly fired. During civil unrest in Columbus after George Floyd was killed in Minneapolis, Mr. Garrison was on duty in the Columbus FD Fire Alarm Office and told fellow firefighters (including black female firefighter) on May 31, 2020: “Just stand on their neck and wait until they get there. It will be okay.”  His Lieutenant immediately took him out of the room to “deescalate the situation” and submitted a report and ordered him to counseling.  THE COURT WROTE: “Upon review, we conclude that the common pleas court’s reasoning and finding that Garrison violated the City’s rules and anti-harassment policy is sound. Here, there is no dispute that Garrison made the ‘stand on their </w:t>
      </w:r>
      <w:proofErr w:type="gramStart"/>
      <w:r>
        <w:t>neck’</w:t>
      </w:r>
      <w:proofErr w:type="gramEnd"/>
      <w:r>
        <w:t xml:space="preserve"> comment. Even outside the context of the protests, Garrison’s ‘stand on their neck’ comment in a room full of firefighters, one of which is African American, condones abusive or violent behavior. However, we cannot look at the statement in isolation. As aptly contextualized by the common pleas court, Garrison’s comment occurred during a period ‘when protests were breaking out all over the country, including in Columbus, and only days after the murder of George Floyd, an </w:t>
      </w:r>
      <w:proofErr w:type="gramStart"/>
      <w:r>
        <w:t>African-American</w:t>
      </w:r>
      <w:proofErr w:type="gramEnd"/>
      <w:r>
        <w:t xml:space="preserve">, by a Minneapolis police officer who stepped on his neck.’… Garrison explained that he intended the statement to be heard by others as a ‘joke’ to lighten the mood during a tense period. Implicit in Garrison’s testimony is the admission that he wanted the individuals in the FAO to hear the remark. The fact that the comment was not ‘directed’ at any one person is immaterial as the comment was intended for everyone in the FAO, which includes Finnegan, at that time. Therefore, the context of the comment, i.e. during the George Floyd protests, only compounds the abhorrent nature of the remark.” </w:t>
      </w:r>
      <w:hyperlink r:id="rId2478" w:history="1">
        <w:r w:rsidRPr="00F86093">
          <w:rPr>
            <w:rStyle w:val="Hyperlink"/>
          </w:rPr>
          <w:t>https://www.supremecourt.ohio.gov/rod/docs/pdf/10/2026/2026-Ohio-1981.pdf</w:t>
        </w:r>
      </w:hyperlink>
    </w:p>
    <w:p w14:paraId="38CAC89B" w14:textId="77777777" w:rsidR="0042436E" w:rsidRDefault="0042436E" w:rsidP="0042436E">
      <w:pPr>
        <w:pStyle w:val="NoSpacing"/>
      </w:pPr>
      <w:r>
        <w:t xml:space="preserve"> </w:t>
      </w:r>
    </w:p>
    <w:p w14:paraId="567EB661" w14:textId="77777777" w:rsidR="0042436E" w:rsidRDefault="0042436E" w:rsidP="0042436E">
      <w:pPr>
        <w:pStyle w:val="NoSpacing"/>
      </w:pPr>
      <w:r>
        <w:t>THE COURT HELD:</w:t>
      </w:r>
    </w:p>
    <w:p w14:paraId="5627796F" w14:textId="77777777" w:rsidR="0042436E" w:rsidRDefault="0042436E" w:rsidP="0042436E">
      <w:pPr>
        <w:pStyle w:val="NoSpacing"/>
      </w:pPr>
    </w:p>
    <w:p w14:paraId="436A7B21" w14:textId="77777777" w:rsidR="0042436E" w:rsidRDefault="0042436E" w:rsidP="0042436E">
      <w:pPr>
        <w:pStyle w:val="NoSpacing"/>
        <w:ind w:firstLine="720"/>
      </w:pPr>
      <w:r>
        <w:t>“Elizabeth Finnegan, an African American woman, worked with Garrison in</w:t>
      </w:r>
    </w:p>
    <w:p w14:paraId="670278BA" w14:textId="77777777" w:rsidR="0042436E" w:rsidRDefault="0042436E" w:rsidP="0042436E">
      <w:pPr>
        <w:pStyle w:val="NoSpacing"/>
        <w:ind w:left="720"/>
      </w:pPr>
      <w:r>
        <w:t>the FAO on May 31, 2020…. On the date of the incident, Finnegan recalled</w:t>
      </w:r>
    </w:p>
    <w:p w14:paraId="64DE6C4F" w14:textId="77777777" w:rsidR="0042436E" w:rsidRDefault="0042436E" w:rsidP="0042436E">
      <w:pPr>
        <w:pStyle w:val="NoSpacing"/>
        <w:ind w:left="720"/>
      </w:pPr>
      <w:r>
        <w:t xml:space="preserve">there were protests all around Columbus in response to the murder of George Floyd….Finnegan commented that ‘it was hard to believe that in 2020 we were dealing with incidents like that.’ … During the May 31, </w:t>
      </w:r>
      <w:proofErr w:type="gramStart"/>
      <w:r>
        <w:t>2020</w:t>
      </w:r>
      <w:proofErr w:type="gramEnd"/>
      <w:r>
        <w:t xml:space="preserve"> shift, Finnegan was stationed</w:t>
      </w:r>
    </w:p>
    <w:p w14:paraId="43EDEC63" w14:textId="77777777" w:rsidR="0042436E" w:rsidRDefault="0042436E" w:rsidP="0042436E">
      <w:pPr>
        <w:pStyle w:val="NoSpacing"/>
        <w:ind w:left="720"/>
      </w:pPr>
      <w:r>
        <w:t>close to Garrison and recalled that an officer with Engine 15 asked for an estimated time of arrival on a row one and law enforcement….  After Garrison ended the call, he</w:t>
      </w:r>
    </w:p>
    <w:p w14:paraId="19927C11" w14:textId="77777777" w:rsidR="0042436E" w:rsidRPr="007131C1" w:rsidRDefault="0042436E" w:rsidP="0042436E">
      <w:pPr>
        <w:pStyle w:val="NoSpacing"/>
        <w:ind w:firstLine="720"/>
      </w:pPr>
      <w:r>
        <w:t>stated, ‘Just stand on their neck and wait until they get there</w:t>
      </w:r>
      <w:proofErr w:type="gramStart"/>
      <w:r>
        <w:t>.</w:t>
      </w:r>
      <w:proofErr w:type="gramEnd"/>
      <w:r>
        <w:t xml:space="preserve"> It will be okay.’ … </w:t>
      </w:r>
    </w:p>
    <w:p w14:paraId="23AE5372" w14:textId="77777777" w:rsidR="0042436E" w:rsidRDefault="0042436E" w:rsidP="0042436E">
      <w:pPr>
        <w:pStyle w:val="NoSpacing"/>
        <w:ind w:firstLine="720"/>
      </w:pPr>
      <w:r w:rsidRPr="003B0139">
        <w:t>Finnegan was interviewed by internal affairs soon after the incident.</w:t>
      </w:r>
    </w:p>
    <w:p w14:paraId="71C409E3" w14:textId="77777777" w:rsidR="0042436E" w:rsidRDefault="0042436E" w:rsidP="0042436E">
      <w:pPr>
        <w:pStyle w:val="NoSpacing"/>
        <w:ind w:firstLine="720"/>
      </w:pPr>
    </w:p>
    <w:p w14:paraId="08BC42A1" w14:textId="77777777" w:rsidR="0042436E" w:rsidRDefault="0042436E" w:rsidP="0042436E">
      <w:pPr>
        <w:pStyle w:val="NoSpacing"/>
        <w:ind w:firstLine="720"/>
      </w:pPr>
      <w:r>
        <w:t>***</w:t>
      </w:r>
    </w:p>
    <w:p w14:paraId="3954C306" w14:textId="77777777" w:rsidR="0042436E" w:rsidRDefault="0042436E" w:rsidP="0042436E">
      <w:pPr>
        <w:pStyle w:val="NoSpacing"/>
        <w:ind w:left="720"/>
      </w:pPr>
      <w:r>
        <w:t>Keller is a FAO lieutenant for the Columbus Division of Fire…. Keller recalled that Garrison ‘made a statement or a comment referring to standing on someone’s neck.’…  After the statement, Keller removed Garrison from the room to deescalate the situation…. Keller told Garrison that the statement was offensive and unprofessional, which Garrison agreed…. Keller recalled that Garrison later apologized for the comment to the entire room…. Keller gave Garrison a ‘form PI-17’ for counseling to ‘go over the rules, show him the rules that he broke.’… Keller was not involved in the subsequent investigation or decision to discipline Garrison for the incident.”</w:t>
      </w:r>
    </w:p>
    <w:p w14:paraId="03CAA14A" w14:textId="77777777" w:rsidR="0042436E" w:rsidRDefault="0042436E" w:rsidP="0042436E">
      <w:pPr>
        <w:pStyle w:val="NoSpacing"/>
        <w:ind w:left="720"/>
      </w:pPr>
    </w:p>
    <w:p w14:paraId="0F9A3AC6" w14:textId="77777777" w:rsidR="0042436E" w:rsidRDefault="0042436E" w:rsidP="0042436E">
      <w:pPr>
        <w:pStyle w:val="NoSpacing"/>
        <w:rPr>
          <w:b/>
          <w:bCs/>
        </w:rPr>
      </w:pPr>
      <w:r>
        <w:rPr>
          <w:b/>
        </w:rPr>
        <w:t>Legal lesson learned: Court made it clear that comments that can be viewed as “</w:t>
      </w:r>
      <w:r w:rsidRPr="00106A51">
        <w:rPr>
          <w:b/>
        </w:rPr>
        <w:t>abusive or violent behavior</w:t>
      </w:r>
      <w:r>
        <w:rPr>
          <w:b/>
        </w:rPr>
        <w:t xml:space="preserve">” can lead to termination. </w:t>
      </w:r>
    </w:p>
    <w:p w14:paraId="2ACD7BD2" w14:textId="77777777" w:rsidR="0042436E" w:rsidRDefault="0042436E" w:rsidP="0042436E">
      <w:pPr>
        <w:pStyle w:val="NoSpacing"/>
        <w:rPr>
          <w:b/>
          <w:bCs/>
        </w:rPr>
      </w:pPr>
    </w:p>
    <w:p w14:paraId="2814027B" w14:textId="77777777" w:rsidR="0042436E" w:rsidRPr="005C75EE" w:rsidRDefault="0042436E" w:rsidP="0042436E">
      <w:pPr>
        <w:pStyle w:val="NoSpacing"/>
      </w:pPr>
      <w:r>
        <w:rPr>
          <w:b/>
        </w:rPr>
        <w:tab/>
      </w:r>
      <w:r w:rsidRPr="005C75EE">
        <w:t xml:space="preserve">Note: The firefighter had previously been on a “last chance agreement.” </w:t>
      </w:r>
    </w:p>
    <w:p w14:paraId="22AFDE56" w14:textId="77777777" w:rsidR="0042436E" w:rsidRDefault="0042436E" w:rsidP="0042436E">
      <w:pPr>
        <w:pStyle w:val="NoSpacing"/>
        <w:ind w:left="720"/>
      </w:pPr>
    </w:p>
    <w:p w14:paraId="4FF13ED1" w14:textId="77777777" w:rsidR="0042436E" w:rsidRDefault="0042436E" w:rsidP="0042436E">
      <w:pPr>
        <w:pStyle w:val="NoSpacing"/>
        <w:ind w:left="1440"/>
      </w:pPr>
      <w:r>
        <w:t>“On redirect [at Civil Service Commission hearing], [</w:t>
      </w:r>
      <w:r w:rsidRPr="006159CA">
        <w:t>Assistant Chief David</w:t>
      </w:r>
      <w:r>
        <w:t xml:space="preserve">] Baugh stated that he was aware of Garrison’s multiple disciplinary infractions prior to these two incidents…. ‘One was dishonesty regarding where he was </w:t>
      </w:r>
      <w:proofErr w:type="gramStart"/>
      <w:r>
        <w:t>at for</w:t>
      </w:r>
      <w:proofErr w:type="gramEnd"/>
      <w:r>
        <w:t xml:space="preserve"> work, and he served 48-hour suspension. And the other was an incident that involved him exposing himself to a civilian while in uniform. And by exposing himself, I mean exposing his genitals to a civilian while in uniform. And he was offered a last chance agreement for a certain time frame.’ … That last chance agreement had expired by the time of these new cases.</w:t>
      </w:r>
    </w:p>
    <w:p w14:paraId="7503ACE4" w14:textId="77777777" w:rsidR="0042436E" w:rsidRDefault="0042436E" w:rsidP="0042436E">
      <w:pPr>
        <w:pStyle w:val="NoSpacing"/>
        <w:ind w:left="720"/>
      </w:pPr>
    </w:p>
    <w:p w14:paraId="290CA648" w14:textId="77777777" w:rsidR="0042436E" w:rsidRDefault="0042436E" w:rsidP="0042436E">
      <w:pPr>
        <w:pStyle w:val="NoSpacing"/>
      </w:pPr>
    </w:p>
    <w:p w14:paraId="6553F0F2" w14:textId="77777777" w:rsidR="0042436E" w:rsidRDefault="0042436E" w:rsidP="0042436E">
      <w:pPr>
        <w:pStyle w:val="NoSpacing"/>
      </w:pPr>
    </w:p>
    <w:p w14:paraId="5ECE069E" w14:textId="0B94ECC3" w:rsidR="0042436E" w:rsidRDefault="00F72BA0" w:rsidP="0042436E">
      <w:pPr>
        <w:pStyle w:val="NoSpacing"/>
        <w:rPr>
          <w:rFonts w:ascii="Arial Black" w:hAnsi="Arial Black"/>
          <w:b/>
          <w:sz w:val="24"/>
          <w:szCs w:val="24"/>
        </w:rPr>
      </w:pPr>
      <w:r>
        <w:rPr>
          <w:rFonts w:ascii="Arial Black" w:hAnsi="Arial Black"/>
          <w:b/>
          <w:sz w:val="24"/>
          <w:szCs w:val="24"/>
        </w:rPr>
        <w:t>16-157</w:t>
      </w:r>
    </w:p>
    <w:p w14:paraId="53E0766E" w14:textId="77777777" w:rsidR="00F72BA0" w:rsidRDefault="00F72BA0" w:rsidP="0042436E">
      <w:pPr>
        <w:pStyle w:val="NoSpacing"/>
        <w:rPr>
          <w:rFonts w:ascii="Arial Black" w:hAnsi="Arial Black"/>
          <w:b/>
          <w:bCs/>
          <w:sz w:val="28"/>
          <w:szCs w:val="28"/>
        </w:rPr>
      </w:pPr>
    </w:p>
    <w:p w14:paraId="20E0CABE" w14:textId="77777777" w:rsidR="0042436E" w:rsidRDefault="0042436E" w:rsidP="0042436E">
      <w:pPr>
        <w:pStyle w:val="NoSpacing"/>
        <w:rPr>
          <w:rFonts w:ascii="Arial Black" w:hAnsi="Arial Black"/>
          <w:b/>
          <w:bCs/>
          <w:sz w:val="28"/>
          <w:szCs w:val="28"/>
        </w:rPr>
      </w:pPr>
      <w:r>
        <w:rPr>
          <w:rFonts w:ascii="Arial Black" w:hAnsi="Arial Black"/>
          <w:b/>
          <w:sz w:val="28"/>
          <w:szCs w:val="28"/>
        </w:rPr>
        <w:t>CA: ABSENCE WITHOUT LEAVE – FIRED – CASE DISMISSED</w:t>
      </w:r>
    </w:p>
    <w:p w14:paraId="6ACEB1B7" w14:textId="77777777" w:rsidR="0042436E" w:rsidRDefault="0042436E" w:rsidP="0042436E">
      <w:pPr>
        <w:pStyle w:val="NoSpacing"/>
        <w:rPr>
          <w:rFonts w:ascii="Arial Black" w:hAnsi="Arial Black"/>
          <w:b/>
          <w:bCs/>
          <w:sz w:val="28"/>
          <w:szCs w:val="28"/>
        </w:rPr>
      </w:pPr>
    </w:p>
    <w:p w14:paraId="16849964" w14:textId="77777777" w:rsidR="0042436E" w:rsidRPr="00530300" w:rsidRDefault="0042436E" w:rsidP="0042436E">
      <w:pPr>
        <w:pStyle w:val="NoSpacing"/>
      </w:pPr>
      <w:r w:rsidRPr="00864ACD">
        <w:t xml:space="preserve">On May 22, 2026, </w:t>
      </w:r>
      <w:r>
        <w:t xml:space="preserve">in </w:t>
      </w:r>
      <w:r w:rsidRPr="00864ACD">
        <w:rPr>
          <w:u w:val="single"/>
        </w:rPr>
        <w:t>Jason Casillas v. Department of Forestry and Fire Protection</w:t>
      </w:r>
      <w:r>
        <w:t xml:space="preserve">, U.S. District Court Judge </w:t>
      </w:r>
      <w:r w:rsidRPr="00440BB8">
        <w:t>Benjamin J. Cheeks</w:t>
      </w:r>
      <w:r>
        <w:t xml:space="preserve">, United States District Court for Southern District of California, grated Cal Fire’s motion to dismiss.  Absent without </w:t>
      </w:r>
      <w:proofErr w:type="gramStart"/>
      <w:r>
        <w:t>leave</w:t>
      </w:r>
      <w:proofErr w:type="gramEnd"/>
      <w:r>
        <w:t xml:space="preserve"> CAL FIRE Sandiego on </w:t>
      </w:r>
      <w:r w:rsidRPr="00940156">
        <w:t>September 1, 2024</w:t>
      </w:r>
      <w:r>
        <w:t xml:space="preserve">, and again on </w:t>
      </w:r>
      <w:r w:rsidRPr="00940156">
        <w:t>September 18, 2024</w:t>
      </w:r>
      <w:r>
        <w:t>; terminated on September 28, 2024.  THE COURT WROTE: “O</w:t>
      </w:r>
      <w:r w:rsidRPr="006425C2">
        <w:t>n September 28, 2024, Battalion Chief Clays (</w:t>
      </w:r>
      <w:r>
        <w:t>‘</w:t>
      </w:r>
      <w:r w:rsidRPr="006425C2">
        <w:t>Clays</w:t>
      </w:r>
      <w:r>
        <w:t>’</w:t>
      </w:r>
      <w:r w:rsidRPr="006425C2">
        <w:t>) served Plaintiff with two separate adverse action documents. The first was a Notice of Termination with Cause, and the second placed Plaintiff on Administrative Time Off</w:t>
      </w:r>
      <w:r>
        <w:t xml:space="preserve">…. </w:t>
      </w:r>
      <w:r w:rsidRPr="006425C2">
        <w:t>Plaintiff argues that the documentation violated CAL FIRE's Progressive Disciplinary Policy and Procedures because he did not receive a development plan to correct any mistakes before he received the Notice of Termination with Cause</w:t>
      </w:r>
      <w:r>
        <w:t xml:space="preserve">…. </w:t>
      </w:r>
      <w:r w:rsidRPr="00072792">
        <w:t>Accordingly, the Court finds that the Complaint fails to state a plausible claim for relief and grants Defendant's motion to dismiss without prejudice.</w:t>
      </w:r>
      <w:r>
        <w:t xml:space="preserve">” </w:t>
      </w:r>
      <w:hyperlink r:id="rId2479" w:history="1">
        <w:r w:rsidRPr="00530300">
          <w:rPr>
            <w:rStyle w:val="Hyperlink"/>
          </w:rPr>
          <w:t>https://public.fastcase.com/Jhe1Qn%2BmJndQYQU6z%2FeNm3FkCM2jWCAdlM1JWFE9c8I4cu8UE8nnROw9g8pQru3qX50wM6VA5Q6C6W7bTimjewt8baK5LV89G9hOJ3Hoqaw%3D?utm_medium=email&amp;_hsenc=p2ANqtz-_BuWF_rVxZJ_ThXodME56Qn02TlxXtEPZR0pM596-W86IiSz4xrEN_MpysqbI906jQkVOKXR9ddhRRIzUH7APhy4Ve8A&amp;_hsmi=226712652&amp;utm_content=226712652&amp;utm_source=hs_email</w:t>
        </w:r>
      </w:hyperlink>
      <w:r w:rsidRPr="00530300">
        <w:t xml:space="preserve"> </w:t>
      </w:r>
    </w:p>
    <w:p w14:paraId="77FD57FB" w14:textId="77777777" w:rsidR="0042436E" w:rsidRPr="00530300" w:rsidRDefault="0042436E" w:rsidP="0042436E">
      <w:pPr>
        <w:pStyle w:val="NoSpacing"/>
      </w:pPr>
      <w:r w:rsidRPr="00530300">
        <w:t xml:space="preserve"> </w:t>
      </w:r>
    </w:p>
    <w:p w14:paraId="4D254366" w14:textId="77777777" w:rsidR="0042436E" w:rsidRDefault="0042436E" w:rsidP="0042436E">
      <w:pPr>
        <w:pStyle w:val="NoSpacing"/>
      </w:pPr>
      <w:r>
        <w:t>THE COURT HELD:</w:t>
      </w:r>
    </w:p>
    <w:p w14:paraId="29978CC7" w14:textId="77777777" w:rsidR="0042436E" w:rsidRDefault="0042436E" w:rsidP="0042436E">
      <w:pPr>
        <w:pStyle w:val="NoSpacing"/>
      </w:pPr>
    </w:p>
    <w:p w14:paraId="36007746" w14:textId="77777777" w:rsidR="0042436E" w:rsidRPr="00940156" w:rsidRDefault="0042436E" w:rsidP="0042436E">
      <w:pPr>
        <w:pStyle w:val="NoSpacing"/>
        <w:ind w:left="720"/>
      </w:pPr>
      <w:r>
        <w:t>“</w:t>
      </w:r>
      <w:r w:rsidRPr="00940156">
        <w:t>Plaintiff claims that on August 31, 2024, he told Fire Captain Haven (</w:t>
      </w:r>
      <w:r>
        <w:t>‘</w:t>
      </w:r>
      <w:r w:rsidRPr="00940156">
        <w:t>Haven</w:t>
      </w:r>
      <w:r>
        <w:t>’</w:t>
      </w:r>
      <w:r w:rsidRPr="00940156">
        <w:t>) that he would not be coming to work on September 1, 2024</w:t>
      </w:r>
      <w:r>
        <w:t xml:space="preserve">…. </w:t>
      </w:r>
      <w:r w:rsidRPr="00940156">
        <w:t xml:space="preserve">On September 1, 2024, Plaintiff asserts that he told </w:t>
      </w:r>
      <w:r>
        <w:t xml:space="preserve">[Fire Captain] </w:t>
      </w:r>
      <w:proofErr w:type="spellStart"/>
      <w:r w:rsidRPr="00940156">
        <w:t>Woychak</w:t>
      </w:r>
      <w:proofErr w:type="spellEnd"/>
      <w:r w:rsidRPr="00940156">
        <w:t xml:space="preserve"> that he had given Haven notice that he would not be working that day. Yet, on September 15, 2024, </w:t>
      </w:r>
      <w:proofErr w:type="spellStart"/>
      <w:r w:rsidRPr="00940156">
        <w:t>Woychak</w:t>
      </w:r>
      <w:proofErr w:type="spellEnd"/>
      <w:r w:rsidRPr="00940156">
        <w:t xml:space="preserve"> told Plaintiff that he would be documented as </w:t>
      </w:r>
      <w:r>
        <w:t>‘</w:t>
      </w:r>
      <w:r w:rsidRPr="00940156">
        <w:t>absent without leave</w:t>
      </w:r>
      <w:r>
        <w:t>’</w:t>
      </w:r>
      <w:r w:rsidRPr="00940156">
        <w:t xml:space="preserve"> for the September 1, 2024, shift</w:t>
      </w:r>
      <w:r>
        <w:t>….</w:t>
      </w:r>
      <w:r w:rsidRPr="00940156">
        <w:t xml:space="preserve"> </w:t>
      </w:r>
    </w:p>
    <w:p w14:paraId="4AEC8F1F" w14:textId="77777777" w:rsidR="0042436E" w:rsidRDefault="0042436E" w:rsidP="0042436E">
      <w:pPr>
        <w:pStyle w:val="NoSpacing"/>
      </w:pPr>
      <w:r w:rsidRPr="00940156">
        <w:t>         </w:t>
      </w:r>
    </w:p>
    <w:p w14:paraId="703B782B" w14:textId="77777777" w:rsidR="0042436E" w:rsidRDefault="0042436E" w:rsidP="0042436E">
      <w:pPr>
        <w:pStyle w:val="NoSpacing"/>
        <w:ind w:left="720"/>
      </w:pPr>
      <w:r w:rsidRPr="00940156">
        <w:t>On September 18, 2024, Plaintiff informed firefighter Vincent Media that he was leaving work because of an emergency involving his spouse</w:t>
      </w:r>
      <w:r>
        <w:t xml:space="preserve">…. </w:t>
      </w:r>
      <w:r w:rsidRPr="00940156">
        <w:t xml:space="preserve">Later that day, Plaintiff claims he spoke to Division Chief </w:t>
      </w:r>
      <w:proofErr w:type="gramStart"/>
      <w:r w:rsidRPr="00940156">
        <w:t>Reynolds (</w:t>
      </w:r>
      <w:r>
        <w:t>‘</w:t>
      </w:r>
      <w:r w:rsidRPr="00940156">
        <w:t>Reynolds</w:t>
      </w:r>
      <w:r>
        <w:t>’</w:t>
      </w:r>
      <w:r w:rsidRPr="00940156">
        <w:t>)</w:t>
      </w:r>
      <w:proofErr w:type="gramEnd"/>
      <w:r w:rsidRPr="00940156">
        <w:t xml:space="preserve">, who told </w:t>
      </w:r>
      <w:proofErr w:type="gramStart"/>
      <w:r w:rsidRPr="00940156">
        <w:t xml:space="preserve">Plaintiff </w:t>
      </w:r>
      <w:r>
        <w:t>‘</w:t>
      </w:r>
      <w:r w:rsidRPr="00940156">
        <w:t>[</w:t>
      </w:r>
      <w:proofErr w:type="gramEnd"/>
      <w:r w:rsidRPr="00940156">
        <w:t>n]</w:t>
      </w:r>
      <w:proofErr w:type="spellStart"/>
      <w:r w:rsidRPr="00940156">
        <w:t>ext</w:t>
      </w:r>
      <w:proofErr w:type="spellEnd"/>
      <w:r w:rsidRPr="00940156">
        <w:t xml:space="preserve"> time, please let a supervisor know, and if there is anything that you need, let us know.</w:t>
      </w:r>
      <w:r>
        <w:t>’ …</w:t>
      </w:r>
      <w:r w:rsidRPr="00940156">
        <w:t xml:space="preserve">According to Plaintiff, Reynolds knew that Plaintiff had been on FMLA leave, yet Plaintiff claims that this critical information was never documented in the Notice of Termination with Cause. </w:t>
      </w:r>
    </w:p>
    <w:p w14:paraId="347DF6A5" w14:textId="77777777" w:rsidR="0042436E" w:rsidRDefault="0042436E" w:rsidP="0042436E">
      <w:pPr>
        <w:pStyle w:val="NoSpacing"/>
        <w:ind w:left="720"/>
      </w:pPr>
    </w:p>
    <w:p w14:paraId="5F6BD681" w14:textId="77777777" w:rsidR="0042436E" w:rsidRDefault="0042436E" w:rsidP="0042436E">
      <w:pPr>
        <w:pStyle w:val="NoSpacing"/>
        <w:ind w:left="720"/>
      </w:pPr>
      <w:r>
        <w:t>***</w:t>
      </w:r>
    </w:p>
    <w:p w14:paraId="47110667" w14:textId="77777777" w:rsidR="0042436E" w:rsidRDefault="0042436E" w:rsidP="0042436E">
      <w:pPr>
        <w:pStyle w:val="NoSpacing"/>
        <w:ind w:left="720"/>
      </w:pPr>
      <w:r w:rsidRPr="004A01EE">
        <w:t xml:space="preserve">Despite being advised in the Complaint for Employment Discrimination to </w:t>
      </w:r>
      <w:r>
        <w:t>‘</w:t>
      </w:r>
      <w:r w:rsidRPr="004A01EE">
        <w:t>write a short and plain statement of the claim</w:t>
      </w:r>
      <w:r>
        <w:t>’</w:t>
      </w:r>
      <w:r w:rsidRPr="004A01EE">
        <w:t xml:space="preserve"> in which he should “state how each defendant was involved and what each defendant did” that violated his rights, Plaintiff's claims do not meet this standard. In the first claim alone, Plaintiff lists 39 separate laws or common law rights he claims have been violated, including the Firefighters Procedural Bill of Rights Act, California Evidence Code § 210, Violation of Weingarten Rights, among numerous others</w:t>
      </w:r>
      <w:r>
        <w:t xml:space="preserve">…. </w:t>
      </w:r>
      <w:r w:rsidRPr="004A01EE">
        <w:t xml:space="preserve">He then lists Defendant CAL FIRE and Battalion Chief J. Clays as the defendants who purportedly violated his rights, but he does not connect the conduct of CAL FIRE or Clays to the asserted legal protections in the statement of facts. As a result, Plaintiff has not sufficiently alleged a cause of action against either of them. Claims two through six </w:t>
      </w:r>
      <w:proofErr w:type="gramStart"/>
      <w:r w:rsidRPr="004A01EE">
        <w:t>fare</w:t>
      </w:r>
      <w:proofErr w:type="gramEnd"/>
      <w:r w:rsidRPr="004A01EE">
        <w:t xml:space="preserve"> no better. While the Court is required to liberally construe Plaintiff's claims, it cannot provide the elements of a cause of action for him in the Complaint.</w:t>
      </w:r>
      <w:r>
        <w:t>”</w:t>
      </w:r>
    </w:p>
    <w:p w14:paraId="732F7AB3" w14:textId="77777777" w:rsidR="0042436E" w:rsidRDefault="0042436E" w:rsidP="0042436E">
      <w:pPr>
        <w:pStyle w:val="NoSpacing"/>
        <w:ind w:left="720"/>
      </w:pPr>
    </w:p>
    <w:p w14:paraId="7F832AB2" w14:textId="77777777" w:rsidR="0042436E" w:rsidRPr="004A01EE" w:rsidRDefault="0042436E" w:rsidP="0042436E">
      <w:pPr>
        <w:pStyle w:val="NoSpacing"/>
        <w:rPr>
          <w:b/>
          <w:bCs/>
        </w:rPr>
      </w:pPr>
      <w:r>
        <w:rPr>
          <w:b/>
        </w:rPr>
        <w:t xml:space="preserve">Legal lesson learned: Absence without leave can result in termination; it is a serious offense. </w:t>
      </w:r>
    </w:p>
    <w:p w14:paraId="6609F0AA" w14:textId="77777777" w:rsidR="0042436E" w:rsidRDefault="0042436E" w:rsidP="0042436E">
      <w:pPr>
        <w:pStyle w:val="NoSpacing"/>
      </w:pPr>
    </w:p>
    <w:p w14:paraId="7A480B4D" w14:textId="77777777" w:rsidR="0049781A" w:rsidRDefault="0049781A" w:rsidP="00DA3352">
      <w:pPr>
        <w:pStyle w:val="NoSpacing"/>
        <w:rPr>
          <w:rFonts w:ascii="Arial Black" w:hAnsi="Arial Black"/>
          <w:b/>
          <w:sz w:val="24"/>
          <w:szCs w:val="24"/>
        </w:rPr>
      </w:pPr>
    </w:p>
    <w:p w14:paraId="7FE14CD0" w14:textId="77777777" w:rsidR="0049781A" w:rsidRDefault="0049781A" w:rsidP="00DA3352">
      <w:pPr>
        <w:pStyle w:val="NoSpacing"/>
        <w:rPr>
          <w:rFonts w:ascii="Arial Black" w:hAnsi="Arial Black"/>
          <w:b/>
          <w:sz w:val="24"/>
          <w:szCs w:val="24"/>
        </w:rPr>
      </w:pPr>
    </w:p>
    <w:p w14:paraId="6D471EE3" w14:textId="38E68DF9" w:rsidR="007265BA" w:rsidRDefault="007265BA" w:rsidP="00DA3352">
      <w:pPr>
        <w:pStyle w:val="NoSpacing"/>
        <w:rPr>
          <w:rFonts w:ascii="Arial Black" w:hAnsi="Arial Black"/>
          <w:b/>
          <w:sz w:val="24"/>
          <w:szCs w:val="24"/>
        </w:rPr>
      </w:pPr>
      <w:r>
        <w:rPr>
          <w:rFonts w:ascii="Arial Black" w:hAnsi="Arial Black"/>
          <w:b/>
          <w:sz w:val="24"/>
          <w:szCs w:val="24"/>
        </w:rPr>
        <w:t>16-156 [also filed, Chap. 8, Racial Discri</w:t>
      </w:r>
      <w:r w:rsidR="00EB490D">
        <w:rPr>
          <w:rFonts w:ascii="Arial Black" w:hAnsi="Arial Black"/>
          <w:b/>
          <w:sz w:val="24"/>
          <w:szCs w:val="24"/>
        </w:rPr>
        <w:t>mination]</w:t>
      </w:r>
    </w:p>
    <w:p w14:paraId="0056A9A9" w14:textId="77777777" w:rsidR="007265BA" w:rsidRDefault="007265BA" w:rsidP="00DA3352">
      <w:pPr>
        <w:pStyle w:val="NoSpacing"/>
        <w:rPr>
          <w:rFonts w:ascii="Arial Black" w:hAnsi="Arial Black"/>
          <w:b/>
          <w:sz w:val="24"/>
          <w:szCs w:val="24"/>
        </w:rPr>
      </w:pPr>
    </w:p>
    <w:p w14:paraId="1656A95A" w14:textId="77777777" w:rsidR="007265BA" w:rsidRPr="00DA19ED" w:rsidRDefault="007265BA" w:rsidP="007265BA">
      <w:pPr>
        <w:rPr>
          <w:rFonts w:ascii="Arial Black" w:hAnsi="Arial Black"/>
          <w:b/>
          <w:sz w:val="28"/>
          <w:szCs w:val="28"/>
        </w:rPr>
      </w:pPr>
      <w:r>
        <w:rPr>
          <w:rFonts w:ascii="Arial Black" w:hAnsi="Arial Black"/>
          <w:b/>
          <w:sz w:val="28"/>
          <w:szCs w:val="28"/>
        </w:rPr>
        <w:t xml:space="preserve">VA: BLACK FF – FIRED – THREATS VIOLENCE IN STATION </w:t>
      </w:r>
    </w:p>
    <w:p w14:paraId="15AB9014" w14:textId="77777777" w:rsidR="007265BA" w:rsidRDefault="007265BA" w:rsidP="007265BA">
      <w:pPr>
        <w:pStyle w:val="NoSpacing"/>
        <w:rPr>
          <w:b/>
        </w:rPr>
      </w:pPr>
      <w:r>
        <w:t xml:space="preserve">On May 19, 2026, in </w:t>
      </w:r>
      <w:r w:rsidRPr="00AD6041">
        <w:rPr>
          <w:u w:val="single"/>
        </w:rPr>
        <w:t>Brian Younger v. City of Lynchburg</w:t>
      </w:r>
      <w:r>
        <w:t xml:space="preserve">, U.S. District Court Judge Norman K. Moon, United States District Court for the Western District of Virginia, </w:t>
      </w:r>
      <w:r w:rsidRPr="00D12863">
        <w:t>Lynchburg Division</w:t>
      </w:r>
      <w:r>
        <w:t xml:space="preserve">, granted the City’s motion for summary judgment.  The firefighter was fired on June 4, </w:t>
      </w:r>
      <w:proofErr w:type="gramStart"/>
      <w:r>
        <w:t>2024</w:t>
      </w:r>
      <w:proofErr w:type="gramEnd"/>
      <w:r>
        <w:t xml:space="preserve"> after an incident on July 16, </w:t>
      </w:r>
      <w:proofErr w:type="gramStart"/>
      <w:r>
        <w:t>2024</w:t>
      </w:r>
      <w:proofErr w:type="gramEnd"/>
      <w:r>
        <w:t xml:space="preserve"> where he asked a white firefighter. At start of morning shift, to move his personal items to another bunkbed, and Younger became upset it was not done immediately.  THE COURT WROTE:  “Younger complains that he was treated differently from his White co-workers. Younger, however, does not establish sufficient similarity between what he did on July 16, 2022, and what his White co-workers did. Specifically, several fellow firefighters were recorded using racial slurs off-duty and those firefighters were not disciplined by the LFD. In contrast, though, Younger used racialized and threatening language against a co-worker in the fire station.” </w:t>
      </w:r>
      <w:hyperlink r:id="rId2480" w:history="1">
        <w:r w:rsidRPr="00D00712">
          <w:rPr>
            <w:rStyle w:val="Hyperlink"/>
            <w:b/>
          </w:rPr>
          <w:t>https://cases.justia.com/federal/district-courts/virginia/vawdce/6:2024cv00051/132979/41/0.pdf?ts=1779390167</w:t>
        </w:r>
      </w:hyperlink>
      <w:r>
        <w:rPr>
          <w:b/>
        </w:rPr>
        <w:t xml:space="preserve"> </w:t>
      </w:r>
    </w:p>
    <w:p w14:paraId="71C31373" w14:textId="77777777" w:rsidR="007265BA" w:rsidRDefault="007265BA" w:rsidP="007265BA">
      <w:pPr>
        <w:pStyle w:val="NoSpacing"/>
        <w:rPr>
          <w:bCs/>
        </w:rPr>
      </w:pPr>
    </w:p>
    <w:p w14:paraId="63CE07DB" w14:textId="77777777" w:rsidR="007265BA" w:rsidRDefault="007265BA" w:rsidP="007265BA">
      <w:pPr>
        <w:pStyle w:val="NoSpacing"/>
        <w:rPr>
          <w:bCs/>
        </w:rPr>
      </w:pPr>
      <w:r>
        <w:t>THE COURT HELD:</w:t>
      </w:r>
    </w:p>
    <w:p w14:paraId="721037BE" w14:textId="77777777" w:rsidR="007265BA" w:rsidRDefault="007265BA" w:rsidP="007265BA">
      <w:pPr>
        <w:pStyle w:val="NoSpacing"/>
        <w:rPr>
          <w:bCs/>
        </w:rPr>
      </w:pPr>
    </w:p>
    <w:p w14:paraId="73377665" w14:textId="77777777" w:rsidR="007265BA" w:rsidRDefault="007265BA" w:rsidP="007265BA">
      <w:pPr>
        <w:pStyle w:val="NoSpacing"/>
        <w:ind w:left="720"/>
      </w:pPr>
      <w:r>
        <w:t xml:space="preserve">“The </w:t>
      </w:r>
      <w:proofErr w:type="gramStart"/>
      <w:r>
        <w:t>City</w:t>
      </w:r>
      <w:proofErr w:type="gramEnd"/>
      <w:r>
        <w:t xml:space="preserve"> claims it terminated Younger because of events that occurred on the morning of July 16, 2022. During the early morning shift change at LFD Station 5, Younger entered the station bedroom to place his belongings on a bunkbed. However, upon his arrival, he discovered that Firefighter Brennen Lawson, who had worked the previous shift, had already placed his items on the bed </w:t>
      </w:r>
      <w:proofErr w:type="gramStart"/>
      <w:r>
        <w:t>Younger</w:t>
      </w:r>
      <w:proofErr w:type="gramEnd"/>
      <w:r>
        <w:t xml:space="preserve"> intended to use….Younger found Lawson and asked him to move his belongings…. Lawson agreed but did not move his</w:t>
      </w:r>
    </w:p>
    <w:p w14:paraId="31C602FE" w14:textId="77777777" w:rsidR="007265BA" w:rsidRDefault="007265BA" w:rsidP="007265BA">
      <w:pPr>
        <w:pStyle w:val="NoSpacing"/>
        <w:ind w:firstLine="720"/>
      </w:pPr>
      <w:r>
        <w:t xml:space="preserve">belongings as promptly as Younger expected. </w:t>
      </w:r>
    </w:p>
    <w:p w14:paraId="146D9F52" w14:textId="77777777" w:rsidR="007265BA" w:rsidRDefault="007265BA" w:rsidP="007265BA">
      <w:pPr>
        <w:pStyle w:val="NoSpacing"/>
      </w:pPr>
    </w:p>
    <w:p w14:paraId="4C85C67C" w14:textId="77777777" w:rsidR="007265BA" w:rsidRDefault="007265BA" w:rsidP="007265BA">
      <w:pPr>
        <w:pStyle w:val="NoSpacing"/>
        <w:ind w:firstLine="720"/>
      </w:pPr>
      <w:r>
        <w:t>Although accounts differ as to whether either party made threatening movements towards</w:t>
      </w:r>
    </w:p>
    <w:p w14:paraId="431C57A4" w14:textId="77777777" w:rsidR="007265BA" w:rsidRDefault="007265BA" w:rsidP="007265BA">
      <w:pPr>
        <w:pStyle w:val="NoSpacing"/>
        <w:ind w:left="720"/>
      </w:pPr>
      <w:r>
        <w:t>the other during the exchange, neither party disputes that Younger made several comments directed at Lawson, who is a White male, including that: (</w:t>
      </w:r>
      <w:proofErr w:type="spellStart"/>
      <w:r>
        <w:t>i</w:t>
      </w:r>
      <w:proofErr w:type="spellEnd"/>
      <w:r>
        <w:t xml:space="preserve">) Lawson was ‘a racist scumbag that couldn’t keep his wife happy’; (ii) that Lawson had ‘pushed’ his wife ‘right into the embrace of another Black man’; (iii) that his wife was ‘in California’ ‘loving that black dick she was taking out West’; (iv) that Younger did not know why ‘y’all racists keep dating and marrying women who aren’t racists’; (v) that if Lawson came towards him he would ‘fuck you all up out here’; and (iv) that Lawson better ‘stay away from [Younger] or else.’” </w:t>
      </w:r>
    </w:p>
    <w:p w14:paraId="315B0B31" w14:textId="77777777" w:rsidR="007265BA" w:rsidRDefault="007265BA" w:rsidP="007265BA">
      <w:pPr>
        <w:pStyle w:val="NoSpacing"/>
        <w:ind w:left="720"/>
      </w:pPr>
    </w:p>
    <w:p w14:paraId="0CC91DC3" w14:textId="77777777" w:rsidR="007265BA" w:rsidRDefault="007265BA" w:rsidP="007265BA">
      <w:pPr>
        <w:pStyle w:val="NoSpacing"/>
        <w:rPr>
          <w:b/>
          <w:bCs/>
        </w:rPr>
      </w:pPr>
      <w:r>
        <w:rPr>
          <w:b/>
        </w:rPr>
        <w:t xml:space="preserve">Legal lesson learned: Threats of violence cannot be tolerated, without regard to the race of the offender.  </w:t>
      </w:r>
    </w:p>
    <w:p w14:paraId="1A8775D8" w14:textId="77777777" w:rsidR="007265BA" w:rsidRDefault="007265BA" w:rsidP="007265BA">
      <w:pPr>
        <w:rPr>
          <w:rFonts w:ascii="Arial Black" w:hAnsi="Arial Black"/>
          <w:b/>
          <w:sz w:val="24"/>
          <w:szCs w:val="24"/>
        </w:rPr>
      </w:pPr>
    </w:p>
    <w:p w14:paraId="59C09531" w14:textId="77777777" w:rsidR="007265BA" w:rsidRDefault="007265BA" w:rsidP="007265BA">
      <w:pPr>
        <w:rPr>
          <w:rFonts w:ascii="Arial Black" w:hAnsi="Arial Black"/>
          <w:b/>
          <w:sz w:val="24"/>
          <w:szCs w:val="24"/>
        </w:rPr>
      </w:pPr>
    </w:p>
    <w:p w14:paraId="72CBFA85" w14:textId="77777777" w:rsidR="007265BA" w:rsidRDefault="007265BA" w:rsidP="00DA3352">
      <w:pPr>
        <w:pStyle w:val="NoSpacing"/>
        <w:rPr>
          <w:rFonts w:ascii="Arial Black" w:hAnsi="Arial Black"/>
          <w:b/>
          <w:sz w:val="24"/>
          <w:szCs w:val="24"/>
        </w:rPr>
      </w:pPr>
    </w:p>
    <w:p w14:paraId="229C38CE" w14:textId="77777777" w:rsidR="007265BA" w:rsidRDefault="007265BA" w:rsidP="00DA3352">
      <w:pPr>
        <w:pStyle w:val="NoSpacing"/>
        <w:rPr>
          <w:rFonts w:ascii="Arial Black" w:hAnsi="Arial Black"/>
          <w:b/>
          <w:sz w:val="24"/>
          <w:szCs w:val="24"/>
        </w:rPr>
      </w:pPr>
    </w:p>
    <w:p w14:paraId="3B67F2EF" w14:textId="77777777" w:rsidR="007265BA" w:rsidRDefault="007265BA" w:rsidP="00DA3352">
      <w:pPr>
        <w:pStyle w:val="NoSpacing"/>
        <w:rPr>
          <w:rFonts w:ascii="Arial Black" w:hAnsi="Arial Black"/>
          <w:b/>
          <w:sz w:val="24"/>
          <w:szCs w:val="24"/>
        </w:rPr>
      </w:pPr>
    </w:p>
    <w:p w14:paraId="4B0F1F23" w14:textId="5E3BE909" w:rsidR="00DA3352" w:rsidRDefault="00DA3352" w:rsidP="00DA3352">
      <w:pPr>
        <w:pStyle w:val="NoSpacing"/>
        <w:rPr>
          <w:rFonts w:ascii="Arial Black" w:hAnsi="Arial Black"/>
          <w:b/>
          <w:sz w:val="24"/>
          <w:szCs w:val="24"/>
        </w:rPr>
      </w:pPr>
      <w:r>
        <w:rPr>
          <w:rFonts w:ascii="Arial Black" w:hAnsi="Arial Black"/>
          <w:b/>
          <w:sz w:val="24"/>
          <w:szCs w:val="24"/>
        </w:rPr>
        <w:t>16-155</w:t>
      </w:r>
    </w:p>
    <w:p w14:paraId="5B5B81C1" w14:textId="77777777" w:rsidR="00E11253" w:rsidRDefault="00E11253" w:rsidP="002F7727">
      <w:pPr>
        <w:pStyle w:val="NoSpacing"/>
        <w:rPr>
          <w:rFonts w:ascii="Arial Black" w:hAnsi="Arial Black"/>
          <w:b/>
          <w:sz w:val="24"/>
          <w:szCs w:val="24"/>
        </w:rPr>
      </w:pPr>
    </w:p>
    <w:p w14:paraId="15E6990D" w14:textId="77777777" w:rsidR="00F838A9" w:rsidRPr="00E67138" w:rsidRDefault="00F838A9" w:rsidP="00F838A9">
      <w:pPr>
        <w:pStyle w:val="NoSpacing"/>
        <w:rPr>
          <w:rFonts w:ascii="Arial Black" w:hAnsi="Arial Black"/>
          <w:b/>
          <w:sz w:val="28"/>
          <w:szCs w:val="28"/>
        </w:rPr>
      </w:pPr>
      <w:r>
        <w:rPr>
          <w:rFonts w:ascii="Arial Black" w:hAnsi="Arial Black"/>
          <w:b/>
          <w:sz w:val="28"/>
          <w:szCs w:val="28"/>
        </w:rPr>
        <w:t>LA: 48-HR DISCIPLINE SET ASIDE – NO BILL RIGHTS NOTICE</w:t>
      </w:r>
    </w:p>
    <w:p w14:paraId="4A8A3F05" w14:textId="77777777" w:rsidR="00F838A9" w:rsidRDefault="00F838A9" w:rsidP="00F838A9">
      <w:pPr>
        <w:pStyle w:val="NoSpacing"/>
        <w:rPr>
          <w:b/>
        </w:rPr>
      </w:pPr>
    </w:p>
    <w:p w14:paraId="34A07E9B" w14:textId="77777777" w:rsidR="00F838A9" w:rsidRDefault="00F838A9" w:rsidP="00F838A9">
      <w:pPr>
        <w:pStyle w:val="NoSpacing"/>
        <w:rPr>
          <w:bCs/>
        </w:rPr>
      </w:pPr>
      <w:r>
        <w:t xml:space="preserve">On April 29, 2026, in </w:t>
      </w:r>
      <w:r w:rsidRPr="000B1335">
        <w:rPr>
          <w:u w:val="single"/>
        </w:rPr>
        <w:t>Donald Adams v. New Orleans Fire Department</w:t>
      </w:r>
      <w:r>
        <w:t xml:space="preserve">, the </w:t>
      </w:r>
      <w:r w:rsidRPr="000B1335">
        <w:t>Court of Appeals of Louisiana, Fourth Circuit</w:t>
      </w:r>
      <w:r>
        <w:t xml:space="preserve"> held (2 to 1) that 48-hour suspension is set aside; he was disciplined  for leaving a courthouse while the rest of 4-member team looked for cause of smoke alarm. The Court wrote: </w:t>
      </w:r>
    </w:p>
    <w:p w14:paraId="0C25C758" w14:textId="77777777" w:rsidR="00F838A9" w:rsidRDefault="00F838A9" w:rsidP="00F838A9">
      <w:pPr>
        <w:pStyle w:val="NoSpacing"/>
        <w:ind w:left="720" w:firstLine="60"/>
        <w:rPr>
          <w:bCs/>
        </w:rPr>
      </w:pPr>
    </w:p>
    <w:p w14:paraId="205D35F1" w14:textId="77777777" w:rsidR="00F838A9" w:rsidRDefault="00F838A9" w:rsidP="00F838A9">
      <w:pPr>
        <w:pStyle w:val="NoSpacing"/>
        <w:ind w:left="720" w:firstLine="60"/>
      </w:pPr>
      <w:r>
        <w:t xml:space="preserve">“First Platoon Deputy Chief </w:t>
      </w:r>
      <w:r w:rsidRPr="00960F97">
        <w:t xml:space="preserve">Castle completed his investigation and on April 22, 2024, he issued a letter to Adams informing him that he was suspended for 48 hours for violating fire department policy. The letter advised Adams that, </w:t>
      </w:r>
      <w:r>
        <w:t>‘</w:t>
      </w:r>
      <w:r w:rsidRPr="00960F97">
        <w:t xml:space="preserve">Specifically, on </w:t>
      </w:r>
      <w:r>
        <w:t xml:space="preserve">[March 17, </w:t>
      </w:r>
      <w:r w:rsidRPr="00960F97">
        <w:t>2024</w:t>
      </w:r>
      <w:r>
        <w:t>]</w:t>
      </w:r>
      <w:r w:rsidRPr="00960F97">
        <w:t xml:space="preserve"> while on an incident investigating an alarm you exited the building without the captain's permission while the rest of the crew remained inside to confirm the alarm status and mitigate the incident</w:t>
      </w:r>
      <w:r>
        <w:t xml:space="preserve">…. </w:t>
      </w:r>
      <w:r w:rsidRPr="00654C32">
        <w:t>We are constrained to hold that the strict statutory requirements of La. R.S. 33:2181 were not met in this process</w:t>
      </w:r>
      <w:r>
        <w:t xml:space="preserve">…. </w:t>
      </w:r>
      <w:r w:rsidRPr="00DB6DA9">
        <w:t>At no point in the investigation was Adams notified of his rights under the Firefighter's Bill of Rights. To the extent that the record in this case reveals the substance of the investigation we conclude that the investigators were Edwards and Castle.</w:t>
      </w:r>
      <w:r>
        <w:t xml:space="preserve"> </w:t>
      </w:r>
      <w:hyperlink r:id="rId2481" w:history="1">
        <w:r w:rsidRPr="00A118A9">
          <w:rPr>
            <w:rStyle w:val="Hyperlink"/>
          </w:rPr>
          <w:t>https://caselaw.findlaw.com/court/la-court-of-appeal/118312488.html</w:t>
        </w:r>
      </w:hyperlink>
      <w:r>
        <w:t xml:space="preserve"> </w:t>
      </w:r>
    </w:p>
    <w:p w14:paraId="32EB1028" w14:textId="77777777" w:rsidR="00F838A9" w:rsidRDefault="00F838A9" w:rsidP="00F838A9">
      <w:pPr>
        <w:pStyle w:val="NoSpacing"/>
      </w:pPr>
    </w:p>
    <w:p w14:paraId="7ED78B72" w14:textId="77777777" w:rsidR="00F838A9" w:rsidRDefault="00F838A9" w:rsidP="00F838A9">
      <w:pPr>
        <w:pStyle w:val="NoSpacing"/>
      </w:pPr>
      <w:r>
        <w:t>THE COURT HELD:</w:t>
      </w:r>
    </w:p>
    <w:p w14:paraId="2E0D881B" w14:textId="77777777" w:rsidR="00F838A9" w:rsidRDefault="00F838A9" w:rsidP="00F838A9">
      <w:pPr>
        <w:pStyle w:val="NoSpacing"/>
      </w:pPr>
    </w:p>
    <w:p w14:paraId="582B38AB" w14:textId="77777777" w:rsidR="00F838A9" w:rsidRDefault="00F838A9" w:rsidP="00F838A9">
      <w:pPr>
        <w:pStyle w:val="NoSpacing"/>
        <w:ind w:left="720"/>
      </w:pPr>
      <w:r>
        <w:t>“</w:t>
      </w:r>
      <w:r w:rsidRPr="009B5BDC">
        <w:t xml:space="preserve">On March 17, 2024, firefighters from Engine Company 20 were called out to the Second City Courthouse on Morgan Street in Algiers. The firefighters involved were Captain Randolph </w:t>
      </w:r>
      <w:proofErr w:type="gramStart"/>
      <w:r w:rsidRPr="009B5BDC">
        <w:t>Edwards (</w:t>
      </w:r>
      <w:r>
        <w:t>‘</w:t>
      </w:r>
      <w:r w:rsidRPr="009B5BDC">
        <w:t>Edwards</w:t>
      </w:r>
      <w:r>
        <w:t>’</w:t>
      </w:r>
      <w:r w:rsidRPr="009B5BDC">
        <w:t>)</w:t>
      </w:r>
      <w:proofErr w:type="gramEnd"/>
      <w:r w:rsidRPr="009B5BDC">
        <w:t xml:space="preserve">, Anthony </w:t>
      </w:r>
      <w:proofErr w:type="gramStart"/>
      <w:r w:rsidRPr="009B5BDC">
        <w:t>Donseroaux (</w:t>
      </w:r>
      <w:r>
        <w:t>‘</w:t>
      </w:r>
      <w:proofErr w:type="spellStart"/>
      <w:r w:rsidRPr="009B5BDC">
        <w:t>Donseroaux</w:t>
      </w:r>
      <w:proofErr w:type="spellEnd"/>
      <w:r>
        <w:t>’</w:t>
      </w:r>
      <w:r w:rsidRPr="009B5BDC">
        <w:t>)</w:t>
      </w:r>
      <w:proofErr w:type="gramEnd"/>
      <w:r w:rsidRPr="009B5BDC">
        <w:t xml:space="preserve">, Milton </w:t>
      </w:r>
      <w:proofErr w:type="gramStart"/>
      <w:r w:rsidRPr="009B5BDC">
        <w:t>Smith (</w:t>
      </w:r>
      <w:r>
        <w:t>‘</w:t>
      </w:r>
      <w:r w:rsidRPr="009B5BDC">
        <w:t>Smith</w:t>
      </w:r>
      <w:r>
        <w:t>’</w:t>
      </w:r>
      <w:r w:rsidRPr="009B5BDC">
        <w:t>)</w:t>
      </w:r>
      <w:proofErr w:type="gramEnd"/>
      <w:r w:rsidRPr="009B5BDC">
        <w:t xml:space="preserve"> and Adams. It was the third callout to this address that day. On the two prior occasions, the team </w:t>
      </w:r>
      <w:proofErr w:type="gramStart"/>
      <w:r w:rsidRPr="009B5BDC">
        <w:t>was not able to</w:t>
      </w:r>
      <w:proofErr w:type="gramEnd"/>
      <w:r w:rsidRPr="009B5BDC">
        <w:t xml:space="preserve"> get into the courthouse. On this third occasion, a building representative was present and let the men in. They searched the building and found no evidence of fire. They were unable to stop the alarm. While awaiting someone from the alarm company to stop the false alarm, Edwards, who was the ranking firefighter on the scene, began a conversation with the building representative on matters unrelated to the fire call. </w:t>
      </w:r>
      <w:r>
        <w:t xml:space="preserve"> </w:t>
      </w:r>
      <w:r w:rsidRPr="009B5BDC">
        <w:t>         </w:t>
      </w:r>
    </w:p>
    <w:p w14:paraId="0D29CF31" w14:textId="77777777" w:rsidR="00F838A9" w:rsidRDefault="00F838A9" w:rsidP="00F838A9">
      <w:pPr>
        <w:pStyle w:val="NoSpacing"/>
        <w:ind w:left="720"/>
      </w:pPr>
    </w:p>
    <w:p w14:paraId="17FE40D4" w14:textId="77777777" w:rsidR="00F838A9" w:rsidRDefault="00F838A9" w:rsidP="00F838A9">
      <w:pPr>
        <w:pStyle w:val="NoSpacing"/>
        <w:ind w:left="720"/>
      </w:pPr>
      <w:r w:rsidRPr="009B5BDC">
        <w:t xml:space="preserve">Approximately 10 to 15 minutes after the building was searched, the captain and other firefighters walked outside and saw Adams talking to Smith, the firetruck operator. The building representative commented that the two firefighters by the truck were ready to leave. Edwards then walked to the truck and chastised Adams for leaving the scene inside the building and informed him that he should stay next to his captain. </w:t>
      </w:r>
    </w:p>
    <w:p w14:paraId="1009B712" w14:textId="77777777" w:rsidR="00F838A9" w:rsidRPr="009B5BDC" w:rsidRDefault="00F838A9" w:rsidP="00F838A9">
      <w:pPr>
        <w:pStyle w:val="NoSpacing"/>
        <w:ind w:left="720"/>
      </w:pPr>
    </w:p>
    <w:p w14:paraId="5FC0EDE7" w14:textId="77777777" w:rsidR="00F838A9" w:rsidRDefault="00F838A9" w:rsidP="00F838A9">
      <w:pPr>
        <w:pStyle w:val="NoSpacing"/>
        <w:ind w:left="720"/>
      </w:pPr>
      <w:r w:rsidRPr="009B5BDC">
        <w:t xml:space="preserve">Edwards alleges that Adams told him, </w:t>
      </w:r>
      <w:proofErr w:type="gramStart"/>
      <w:r>
        <w:t>‘</w:t>
      </w:r>
      <w:r w:rsidRPr="009B5BDC">
        <w:t>you</w:t>
      </w:r>
      <w:proofErr w:type="gramEnd"/>
      <w:r w:rsidRPr="009B5BDC">
        <w:t xml:space="preserve"> think you're in charge of f*****g </w:t>
      </w:r>
      <w:r>
        <w:t xml:space="preserve"> </w:t>
      </w:r>
      <w:r w:rsidRPr="009B5BDC">
        <w:t>E20 but you're not in charge.</w:t>
      </w:r>
      <w:r>
        <w:t xml:space="preserve">’ </w:t>
      </w:r>
      <w:r w:rsidRPr="009B5BDC">
        <w:t xml:space="preserve"> Adams alleges that he said, </w:t>
      </w:r>
      <w:r>
        <w:t>‘</w:t>
      </w:r>
      <w:r w:rsidRPr="009B5BDC">
        <w:t>you think you're in charge of E20 but it's a team.</w:t>
      </w:r>
      <w:r>
        <w:t xml:space="preserve">’ </w:t>
      </w:r>
      <w:r w:rsidRPr="009B5BDC">
        <w:t xml:space="preserve">Neither Smith nor </w:t>
      </w:r>
      <w:proofErr w:type="spellStart"/>
      <w:r w:rsidRPr="009B5BDC">
        <w:t>Donseroaux</w:t>
      </w:r>
      <w:proofErr w:type="spellEnd"/>
      <w:r w:rsidRPr="009B5BDC">
        <w:t xml:space="preserve"> heard the profanity that Edwards described but both witnesses testified that the conversation was heated. Smith, who </w:t>
      </w:r>
      <w:proofErr w:type="gramStart"/>
      <w:r w:rsidRPr="009B5BDC">
        <w:t>was outside at all times</w:t>
      </w:r>
      <w:proofErr w:type="gramEnd"/>
      <w:r w:rsidRPr="009B5BDC">
        <w:t xml:space="preserve">, explained that he called Adams to the truck to ask if the inspection revealed anything. </w:t>
      </w:r>
    </w:p>
    <w:p w14:paraId="077391E2" w14:textId="77777777" w:rsidR="00F838A9" w:rsidRDefault="00F838A9" w:rsidP="00F838A9">
      <w:pPr>
        <w:pStyle w:val="NoSpacing"/>
        <w:ind w:left="720"/>
      </w:pPr>
    </w:p>
    <w:p w14:paraId="77B05235" w14:textId="77777777" w:rsidR="00F838A9" w:rsidRDefault="00F838A9" w:rsidP="00F838A9">
      <w:pPr>
        <w:pStyle w:val="NoSpacing"/>
        <w:ind w:left="720"/>
      </w:pPr>
      <w:r>
        <w:t>***</w:t>
      </w:r>
    </w:p>
    <w:p w14:paraId="424EA38E" w14:textId="77777777" w:rsidR="00F838A9" w:rsidRDefault="00F838A9" w:rsidP="00F838A9">
      <w:pPr>
        <w:pStyle w:val="NoSpacing"/>
        <w:ind w:left="720"/>
      </w:pPr>
      <w:r w:rsidRPr="00A9657E">
        <w:t xml:space="preserve">After the incident, Edwards asked every member of the team to write a Special Report (statement) regarding the call out. </w:t>
      </w:r>
      <w:r>
        <w:t xml:space="preserve"> </w:t>
      </w:r>
      <w:r w:rsidRPr="00A9657E">
        <w:t xml:space="preserve">Edwards completed a Documentation of Disciplinary </w:t>
      </w:r>
      <w:proofErr w:type="gramStart"/>
      <w:r w:rsidRPr="00A9657E">
        <w:t>Action (</w:t>
      </w:r>
      <w:r>
        <w:t>‘</w:t>
      </w:r>
      <w:proofErr w:type="gramEnd"/>
      <w:r w:rsidRPr="00A9657E">
        <w:t>DDA</w:t>
      </w:r>
      <w:r>
        <w:t>’</w:t>
      </w:r>
      <w:r w:rsidRPr="00A9657E">
        <w:t xml:space="preserve">) form charging Adams with violating NOFDRR57 of the New Orleans Fire </w:t>
      </w:r>
      <w:proofErr w:type="gramStart"/>
      <w:r w:rsidRPr="00A9657E">
        <w:t>Department (</w:t>
      </w:r>
      <w:r>
        <w:t>‘</w:t>
      </w:r>
      <w:proofErr w:type="gramEnd"/>
      <w:r w:rsidRPr="00A9657E">
        <w:t>NOFD</w:t>
      </w:r>
      <w:r>
        <w:t>’</w:t>
      </w:r>
      <w:r w:rsidRPr="00A9657E">
        <w:t xml:space="preserve">) Rules and Regulations. RR 57 provides that, </w:t>
      </w:r>
      <w:r>
        <w:t>‘</w:t>
      </w:r>
      <w:r w:rsidRPr="00A9657E">
        <w:t>At fire scenes or emergency calls, members shall not perform tasks without direction or orders from command or perform tasks that do not support incident objectives (i.e. freelancing).</w:t>
      </w:r>
      <w:r>
        <w:t>’</w:t>
      </w:r>
    </w:p>
    <w:p w14:paraId="5DE5526E" w14:textId="77777777" w:rsidR="00F838A9" w:rsidRDefault="00F838A9" w:rsidP="00F838A9">
      <w:pPr>
        <w:pStyle w:val="NoSpacing"/>
        <w:ind w:left="720"/>
      </w:pPr>
    </w:p>
    <w:p w14:paraId="4198299E" w14:textId="77777777" w:rsidR="00F838A9" w:rsidRDefault="00F838A9" w:rsidP="00F838A9">
      <w:pPr>
        <w:pStyle w:val="NoSpacing"/>
        <w:ind w:left="720"/>
      </w:pPr>
      <w:r>
        <w:t>***</w:t>
      </w:r>
    </w:p>
    <w:p w14:paraId="05815C35" w14:textId="77777777" w:rsidR="00F838A9" w:rsidRPr="00F24C16" w:rsidRDefault="00F838A9" w:rsidP="00F838A9">
      <w:pPr>
        <w:pStyle w:val="NoSpacing"/>
        <w:ind w:left="720"/>
      </w:pPr>
      <w:r w:rsidRPr="00F24C16">
        <w:t xml:space="preserve">We believe that Edwards' initiation of a disciplinary procedure based on Adams' actions was appropriate. In this case, it does not appear that there was an emergency in progress when Adams decided to walk away from the working group in the courthouse. However, it is the very nature of emergencies that they occur without warning. No one was injured and there was no loss of life or property in this situation. For that, everyone must be grateful to good fortune. In the business of protecting life and property, good fortune is never a substitute for safe procedure. </w:t>
      </w:r>
    </w:p>
    <w:p w14:paraId="4EBB0D82" w14:textId="77777777" w:rsidR="00F838A9" w:rsidRDefault="00F838A9" w:rsidP="00F838A9">
      <w:pPr>
        <w:pStyle w:val="NoSpacing"/>
        <w:ind w:left="720"/>
      </w:pPr>
      <w:r w:rsidRPr="00F24C16">
        <w:t>         </w:t>
      </w:r>
    </w:p>
    <w:p w14:paraId="79020D2A" w14:textId="77777777" w:rsidR="00F838A9" w:rsidRDefault="00F838A9" w:rsidP="00F838A9">
      <w:pPr>
        <w:pStyle w:val="NoSpacing"/>
        <w:ind w:left="720"/>
      </w:pPr>
      <w:r w:rsidRPr="00F24C16">
        <w:t>Having noted for the record this court's support for the intention of the disciplinary proceeding, we find that the decision of the CSC was not manifestly erroneous. We are constrained to hold that the strict statutory requirements of La. R.S. 33:2181 were not met in this process.</w:t>
      </w:r>
      <w:r>
        <w:t>”</w:t>
      </w:r>
    </w:p>
    <w:p w14:paraId="5EBFF566" w14:textId="77777777" w:rsidR="00F838A9" w:rsidRDefault="00F838A9" w:rsidP="00F838A9">
      <w:pPr>
        <w:pStyle w:val="NoSpacing"/>
        <w:ind w:left="720"/>
      </w:pPr>
    </w:p>
    <w:p w14:paraId="05362EB0" w14:textId="77777777" w:rsidR="00F838A9" w:rsidRDefault="00F838A9" w:rsidP="00F838A9">
      <w:pPr>
        <w:pStyle w:val="NoSpacing"/>
      </w:pPr>
      <w:r>
        <w:t>DISSENT:</w:t>
      </w:r>
    </w:p>
    <w:p w14:paraId="0AA9C73E" w14:textId="77777777" w:rsidR="00F838A9" w:rsidRDefault="00F838A9" w:rsidP="00F838A9">
      <w:pPr>
        <w:pStyle w:val="NoSpacing"/>
      </w:pPr>
    </w:p>
    <w:p w14:paraId="2E4D5CEE" w14:textId="77777777" w:rsidR="00F838A9" w:rsidRDefault="00F838A9" w:rsidP="00F838A9">
      <w:pPr>
        <w:pStyle w:val="NoSpacing"/>
        <w:ind w:left="720"/>
      </w:pPr>
      <w:r>
        <w:t xml:space="preserve">“The distinction between investigation and formal investigation is an important one. Initial steps taken to prepare for a formal investigation (i.e., gathering witness statements, promulgating Documentation of Disciplinary Action) are distinguishable from the formal investigation itself. A formal investigation cannot commence unless and until a complaint is lodged, evidence is gathered, and such documentation is submitted to the appointing authority to determine whether a formal investigation is </w:t>
      </w:r>
      <w:proofErr w:type="gramStart"/>
      <w:r>
        <w:t>merited.”</w:t>
      </w:r>
      <w:proofErr w:type="gramEnd"/>
      <w:r>
        <w:t xml:space="preserve"> </w:t>
      </w:r>
      <w:hyperlink r:id="rId2482" w:history="1">
        <w:r w:rsidRPr="00A118A9">
          <w:rPr>
            <w:rStyle w:val="Hyperlink"/>
          </w:rPr>
          <w:t>https://cases.justia.com/louisiana/fourth-circuit-court-of-appeal/2026-2025-ca-0639-0.pdf?ts=1777519082</w:t>
        </w:r>
      </w:hyperlink>
      <w:r>
        <w:t xml:space="preserve"> </w:t>
      </w:r>
    </w:p>
    <w:p w14:paraId="68F2F445" w14:textId="77777777" w:rsidR="00F838A9" w:rsidRDefault="00F838A9" w:rsidP="00F838A9">
      <w:pPr>
        <w:pStyle w:val="NoSpacing"/>
        <w:ind w:left="720"/>
      </w:pPr>
    </w:p>
    <w:p w14:paraId="4B91E4CA" w14:textId="77777777" w:rsidR="00F838A9" w:rsidRPr="009B5BDC" w:rsidRDefault="00F838A9" w:rsidP="00F838A9">
      <w:pPr>
        <w:pStyle w:val="NoSpacing"/>
      </w:pPr>
      <w:r>
        <w:rPr>
          <w:b/>
        </w:rPr>
        <w:t xml:space="preserve">Legal lesson learned: This is second New Orleans FD recent case where discipline is set aside.  There is a clear need for written guidance from State’s Attorney General on when a “formal investigation” is deemed to start. </w:t>
      </w:r>
    </w:p>
    <w:p w14:paraId="3702FE89" w14:textId="77777777" w:rsidR="00F838A9" w:rsidRDefault="00F838A9" w:rsidP="00F838A9">
      <w:pPr>
        <w:pStyle w:val="NoSpacing"/>
      </w:pPr>
    </w:p>
    <w:p w14:paraId="31B6C0CC" w14:textId="77777777" w:rsidR="00DA3352" w:rsidRDefault="00DA3352" w:rsidP="00DA3352">
      <w:pPr>
        <w:pStyle w:val="NoSpacing"/>
        <w:rPr>
          <w:rFonts w:ascii="Arial Black" w:hAnsi="Arial Black"/>
          <w:b/>
          <w:sz w:val="24"/>
          <w:szCs w:val="24"/>
        </w:rPr>
      </w:pPr>
    </w:p>
    <w:p w14:paraId="1841EA4D" w14:textId="45282F98" w:rsidR="00DA3352" w:rsidRDefault="00DA3352" w:rsidP="00DA3352">
      <w:pPr>
        <w:pStyle w:val="NoSpacing"/>
        <w:rPr>
          <w:rFonts w:ascii="Arial Black" w:hAnsi="Arial Black"/>
          <w:b/>
          <w:sz w:val="24"/>
          <w:szCs w:val="24"/>
        </w:rPr>
      </w:pPr>
      <w:r>
        <w:rPr>
          <w:rFonts w:ascii="Arial Black" w:hAnsi="Arial Black"/>
          <w:b/>
          <w:sz w:val="24"/>
          <w:szCs w:val="24"/>
        </w:rPr>
        <w:t>16-154</w:t>
      </w:r>
    </w:p>
    <w:p w14:paraId="33C65973" w14:textId="77777777" w:rsidR="00DA3352" w:rsidRDefault="00DA3352" w:rsidP="00DA3352">
      <w:pPr>
        <w:pStyle w:val="NoSpacing"/>
        <w:rPr>
          <w:rFonts w:ascii="Arial Black" w:hAnsi="Arial Black"/>
          <w:b/>
          <w:sz w:val="24"/>
          <w:szCs w:val="24"/>
        </w:rPr>
      </w:pPr>
    </w:p>
    <w:p w14:paraId="0CADA8D4" w14:textId="77777777" w:rsidR="00C03046" w:rsidRPr="00807158" w:rsidRDefault="00C03046" w:rsidP="00C03046">
      <w:pPr>
        <w:pStyle w:val="NoSpacing"/>
        <w:rPr>
          <w:rFonts w:ascii="Arial Black" w:hAnsi="Arial Black"/>
          <w:b/>
          <w:sz w:val="28"/>
          <w:szCs w:val="28"/>
        </w:rPr>
      </w:pPr>
      <w:r>
        <w:rPr>
          <w:rFonts w:ascii="Arial Black" w:hAnsi="Arial Black"/>
          <w:b/>
          <w:sz w:val="28"/>
          <w:szCs w:val="28"/>
        </w:rPr>
        <w:t>LA: 36-HR DISCIPLINE SET ASIDE– NO BILL RIGHTS NOTICE</w:t>
      </w:r>
    </w:p>
    <w:p w14:paraId="7D3285CF" w14:textId="77777777" w:rsidR="00C03046" w:rsidRDefault="00C03046" w:rsidP="00C03046">
      <w:pPr>
        <w:pStyle w:val="NoSpacing"/>
      </w:pPr>
    </w:p>
    <w:p w14:paraId="16444A44" w14:textId="77777777" w:rsidR="00C03046" w:rsidRDefault="00C03046" w:rsidP="00C03046">
      <w:pPr>
        <w:pStyle w:val="NoSpacing"/>
      </w:pPr>
      <w:r>
        <w:t xml:space="preserve">On April 28, 2026, in </w:t>
      </w:r>
      <w:r w:rsidRPr="00AB5D12">
        <w:rPr>
          <w:u w:val="single"/>
        </w:rPr>
        <w:t>Michael Murphy v. New Orleans Fire Department</w:t>
      </w:r>
      <w:r>
        <w:t xml:space="preserve">, the </w:t>
      </w:r>
      <w:r w:rsidRPr="00AB5D12">
        <w:t>Court of Appeals of Louisiana, Fourth Circuit</w:t>
      </w:r>
      <w:r>
        <w:t xml:space="preserve"> held (3 to 0) that under the Louisiana </w:t>
      </w:r>
      <w:r w:rsidRPr="007D2D81">
        <w:t>Firefighter Bill of Rights</w:t>
      </w:r>
      <w:r>
        <w:t xml:space="preserve">, even though there is no question that the Fire Apparatus Operator’s failed to wear seat belts on December 2 and December 11, 2024 when driving </w:t>
      </w:r>
      <w:r w:rsidRPr="004C28D7">
        <w:t>Fire Engine 14</w:t>
      </w:r>
      <w:r>
        <w:t xml:space="preserve">. The NOFD Samsara video monitoring system recorded </w:t>
      </w:r>
      <w:proofErr w:type="gramStart"/>
      <w:r>
        <w:t>the seatbelt</w:t>
      </w:r>
      <w:proofErr w:type="gramEnd"/>
      <w:r>
        <w:t xml:space="preserve"> infractions and alerted Captain Jason Dufrene, who on December 20, </w:t>
      </w:r>
      <w:proofErr w:type="gramStart"/>
      <w:r>
        <w:t>2024</w:t>
      </w:r>
      <w:proofErr w:type="gramEnd"/>
      <w:r>
        <w:t xml:space="preserve"> issued the charges.  The Civil Service Commission held (2 to 1) that there was no “formal investigation” under the Bill of Rights which would require the following notices: “notify the employee in writing of the nature of the investigation, of the identity and authority of the person conducting such investigation, and of the specific charges or violations being investigated. The Commission held: “Captain Dufrene’s routine review of photos or videos from an electronic monitoring system does not rise to the level of a formal investigation.” The Court of Appeals disagreed and set aside the suspensions. “The NOFD conducted a formal investigation of Mr. Murphy’s seatbelt violations without providing written notice of an investigation. The SAMSARA evidence does not abrogate the Firefighter Bill of Rights. Accordingly, we find that Mr. Murphy’s discipline was an absolute </w:t>
      </w:r>
      <w:proofErr w:type="gramStart"/>
      <w:r>
        <w:t>nullity.”</w:t>
      </w:r>
      <w:proofErr w:type="gramEnd"/>
      <w:r>
        <w:t xml:space="preserve"> </w:t>
      </w:r>
      <w:hyperlink r:id="rId2483" w:history="1">
        <w:r w:rsidRPr="00CF721F">
          <w:rPr>
            <w:rStyle w:val="Hyperlink"/>
          </w:rPr>
          <w:t>https://www.la4th.org/opinion/2025/4959829_1.pdf</w:t>
        </w:r>
      </w:hyperlink>
      <w:r>
        <w:t xml:space="preserve"> </w:t>
      </w:r>
    </w:p>
    <w:p w14:paraId="54E1D41D" w14:textId="77777777" w:rsidR="00C03046" w:rsidRDefault="00C03046" w:rsidP="00C03046">
      <w:pPr>
        <w:pStyle w:val="NoSpacing"/>
      </w:pPr>
    </w:p>
    <w:p w14:paraId="76934C53" w14:textId="77777777" w:rsidR="00C03046" w:rsidRDefault="00C03046" w:rsidP="00C03046">
      <w:pPr>
        <w:pStyle w:val="NoSpacing"/>
      </w:pPr>
      <w:r>
        <w:t>THE COURT HELD:</w:t>
      </w:r>
    </w:p>
    <w:p w14:paraId="0BE40CA8" w14:textId="77777777" w:rsidR="00C03046" w:rsidRDefault="00C03046" w:rsidP="00C03046">
      <w:pPr>
        <w:pStyle w:val="NoSpacing"/>
      </w:pPr>
    </w:p>
    <w:p w14:paraId="46C6504A" w14:textId="77777777" w:rsidR="00C03046" w:rsidRDefault="00C03046" w:rsidP="00C03046">
      <w:pPr>
        <w:pStyle w:val="NoSpacing"/>
        <w:ind w:firstLine="720"/>
      </w:pPr>
      <w:r>
        <w:t>“[The] NOFD asserts that no formal investigation was warranted or</w:t>
      </w:r>
    </w:p>
    <w:p w14:paraId="4102F6C2" w14:textId="77777777" w:rsidR="00C03046" w:rsidRDefault="00C03046" w:rsidP="00C03046">
      <w:pPr>
        <w:pStyle w:val="NoSpacing"/>
        <w:ind w:firstLine="720"/>
      </w:pPr>
      <w:r>
        <w:t>conducted due to the conclusive SAMSARA video evidence of Mr. Murphy’s</w:t>
      </w:r>
    </w:p>
    <w:p w14:paraId="29C13C15" w14:textId="77777777" w:rsidR="00C03046" w:rsidRDefault="00C03046" w:rsidP="00C03046">
      <w:pPr>
        <w:pStyle w:val="NoSpacing"/>
        <w:ind w:firstLine="720"/>
      </w:pPr>
      <w:r>
        <w:t xml:space="preserve">infractions. Nonetheless, the NOFD </w:t>
      </w:r>
      <w:proofErr w:type="gramStart"/>
      <w:r>
        <w:t>contends, ‘</w:t>
      </w:r>
      <w:proofErr w:type="gramEnd"/>
      <w:r>
        <w:t>[t]o the extent any investigation</w:t>
      </w:r>
    </w:p>
    <w:p w14:paraId="752AAFAB" w14:textId="77777777" w:rsidR="00C03046" w:rsidRDefault="00C03046" w:rsidP="00C03046">
      <w:pPr>
        <w:pStyle w:val="NoSpacing"/>
        <w:ind w:firstLine="720"/>
      </w:pPr>
      <w:r>
        <w:t>was conducted, which is denied, it was informal and had not arisen to the level of a</w:t>
      </w:r>
    </w:p>
    <w:p w14:paraId="01A21C40" w14:textId="77777777" w:rsidR="00C03046" w:rsidRDefault="00C03046" w:rsidP="00C03046">
      <w:pPr>
        <w:pStyle w:val="NoSpacing"/>
        <w:ind w:firstLine="720"/>
      </w:pPr>
      <w:r>
        <w:t>formal investigation and the required procedural steps pursuant to La R.S.</w:t>
      </w:r>
    </w:p>
    <w:p w14:paraId="432270BB" w14:textId="77777777" w:rsidR="00C03046" w:rsidRDefault="00C03046" w:rsidP="00C03046">
      <w:pPr>
        <w:pStyle w:val="NoSpacing"/>
        <w:ind w:firstLine="720"/>
      </w:pPr>
      <w:r>
        <w:t>§33:2181(B).’</w:t>
      </w:r>
    </w:p>
    <w:p w14:paraId="1B4B9998" w14:textId="77777777" w:rsidR="00C03046" w:rsidRDefault="00C03046" w:rsidP="00C03046">
      <w:pPr>
        <w:pStyle w:val="NoSpacing"/>
        <w:ind w:firstLine="720"/>
      </w:pPr>
    </w:p>
    <w:p w14:paraId="3E500B20" w14:textId="77777777" w:rsidR="00C03046" w:rsidRDefault="00C03046" w:rsidP="00C03046">
      <w:pPr>
        <w:pStyle w:val="NoSpacing"/>
        <w:ind w:firstLine="720"/>
      </w:pPr>
      <w:r>
        <w:t>***</w:t>
      </w:r>
    </w:p>
    <w:p w14:paraId="1FC7993A" w14:textId="77777777" w:rsidR="00C03046" w:rsidRDefault="00C03046" w:rsidP="00C03046">
      <w:pPr>
        <w:pStyle w:val="NoSpacing"/>
      </w:pPr>
    </w:p>
    <w:p w14:paraId="474E0E4D" w14:textId="77777777" w:rsidR="00C03046" w:rsidRDefault="00C03046" w:rsidP="00C03046">
      <w:pPr>
        <w:pStyle w:val="NoSpacing"/>
        <w:ind w:firstLine="720"/>
      </w:pPr>
      <w:r>
        <w:t>We must determine whether the NOFD conducted a formal investigation of</w:t>
      </w:r>
    </w:p>
    <w:p w14:paraId="18877DB6" w14:textId="77777777" w:rsidR="00C03046" w:rsidRDefault="00C03046" w:rsidP="00C03046">
      <w:pPr>
        <w:pStyle w:val="NoSpacing"/>
        <w:ind w:firstLine="720"/>
      </w:pPr>
      <w:r>
        <w:t>Mr. Murphy.</w:t>
      </w:r>
    </w:p>
    <w:p w14:paraId="20EE6B83" w14:textId="77777777" w:rsidR="00C03046" w:rsidRDefault="00C03046" w:rsidP="00C03046">
      <w:pPr>
        <w:pStyle w:val="NoSpacing"/>
        <w:ind w:firstLine="720"/>
      </w:pPr>
    </w:p>
    <w:p w14:paraId="759F437F" w14:textId="77777777" w:rsidR="00C03046" w:rsidRDefault="00C03046" w:rsidP="00C03046">
      <w:pPr>
        <w:pStyle w:val="NoSpacing"/>
        <w:ind w:firstLine="720"/>
      </w:pPr>
      <w:r>
        <w:t xml:space="preserve">As stated above, </w:t>
      </w:r>
      <w:proofErr w:type="gramStart"/>
      <w:r>
        <w:t>the NOFD</w:t>
      </w:r>
      <w:proofErr w:type="gramEnd"/>
      <w:r>
        <w:t xml:space="preserve"> is required to provide notice in writing of a</w:t>
      </w:r>
    </w:p>
    <w:p w14:paraId="79ED6734" w14:textId="77777777" w:rsidR="00C03046" w:rsidRDefault="00C03046" w:rsidP="00C03046">
      <w:pPr>
        <w:pStyle w:val="NoSpacing"/>
        <w:ind w:firstLine="720"/>
      </w:pPr>
      <w:r>
        <w:t>formal investigation into a firefighter’s conduct. “The Louisiana Attorney</w:t>
      </w:r>
    </w:p>
    <w:p w14:paraId="239D30B3" w14:textId="77777777" w:rsidR="00C03046" w:rsidRDefault="00C03046" w:rsidP="00C03046">
      <w:pPr>
        <w:pStyle w:val="NoSpacing"/>
        <w:ind w:firstLine="720"/>
      </w:pPr>
      <w:r>
        <w:t>General’s office has interpreted La. R.S. 33:2181 as applying to all situations when</w:t>
      </w:r>
    </w:p>
    <w:p w14:paraId="606211C6" w14:textId="77777777" w:rsidR="00C03046" w:rsidRDefault="00C03046" w:rsidP="00C03046">
      <w:pPr>
        <w:pStyle w:val="NoSpacing"/>
        <w:ind w:firstLine="720"/>
      </w:pPr>
      <w:r>
        <w:t>an authorized person makes an inquiry or collects evidence with a view to</w:t>
      </w:r>
    </w:p>
    <w:p w14:paraId="2D50D576" w14:textId="77777777" w:rsidR="00C03046" w:rsidRDefault="00C03046" w:rsidP="00C03046">
      <w:pPr>
        <w:pStyle w:val="NoSpacing"/>
        <w:ind w:firstLine="720"/>
      </w:pPr>
      <w:r>
        <w:t xml:space="preserve">disciplinary action.” Farrelly, 2019-216, p. 4, 284 So.3d at 683 (citing La. </w:t>
      </w:r>
      <w:proofErr w:type="spellStart"/>
      <w:r>
        <w:t>Att’y</w:t>
      </w:r>
      <w:proofErr w:type="spellEnd"/>
    </w:p>
    <w:p w14:paraId="1119E55D" w14:textId="77777777" w:rsidR="00C03046" w:rsidRDefault="00C03046" w:rsidP="00C03046">
      <w:pPr>
        <w:pStyle w:val="NoSpacing"/>
        <w:ind w:firstLine="720"/>
      </w:pPr>
      <w:r>
        <w:t>Gen. Op. No. 13-0207, 2014 WL 1404481). This Court held that a formal</w:t>
      </w:r>
    </w:p>
    <w:p w14:paraId="2980DDEE" w14:textId="77777777" w:rsidR="00C03046" w:rsidRDefault="00C03046" w:rsidP="00C03046">
      <w:pPr>
        <w:pStyle w:val="NoSpacing"/>
        <w:ind w:firstLine="720"/>
      </w:pPr>
      <w:r>
        <w:t>investigation began when the NOFD was made aware of the firefighter’s alleged</w:t>
      </w:r>
    </w:p>
    <w:p w14:paraId="4FCEAF54" w14:textId="77777777" w:rsidR="00C03046" w:rsidRDefault="00C03046" w:rsidP="00C03046">
      <w:pPr>
        <w:pStyle w:val="NoSpacing"/>
        <w:ind w:firstLine="720"/>
      </w:pPr>
      <w:r>
        <w:t xml:space="preserve">behavior and evidence </w:t>
      </w:r>
      <w:proofErr w:type="gramStart"/>
      <w:r>
        <w:t>was</w:t>
      </w:r>
      <w:proofErr w:type="gramEnd"/>
      <w:r>
        <w:t xml:space="preserve"> received.</w:t>
      </w:r>
    </w:p>
    <w:p w14:paraId="47290860" w14:textId="77777777" w:rsidR="00C03046" w:rsidRDefault="00C03046" w:rsidP="00C03046">
      <w:pPr>
        <w:pStyle w:val="NoSpacing"/>
        <w:ind w:firstLine="720"/>
      </w:pPr>
    </w:p>
    <w:p w14:paraId="0C332312" w14:textId="77777777" w:rsidR="00C03046" w:rsidRDefault="00C03046" w:rsidP="00C03046">
      <w:pPr>
        <w:pStyle w:val="NoSpacing"/>
        <w:ind w:firstLine="720"/>
      </w:pPr>
      <w:r>
        <w:t>***</w:t>
      </w:r>
    </w:p>
    <w:p w14:paraId="20D51500" w14:textId="77777777" w:rsidR="00C03046" w:rsidRDefault="00C03046" w:rsidP="00C03046">
      <w:pPr>
        <w:pStyle w:val="NoSpacing"/>
        <w:ind w:left="720"/>
      </w:pPr>
      <w:r>
        <w:t>Louisiana Revised Statutes: 33:2181(B), a portion of the Firefighter Bill of Rights, provides:</w:t>
      </w:r>
    </w:p>
    <w:p w14:paraId="299361F7" w14:textId="77777777" w:rsidR="00C03046" w:rsidRDefault="00C03046" w:rsidP="00C03046">
      <w:pPr>
        <w:pStyle w:val="NoSpacing"/>
        <w:ind w:left="720" w:firstLine="720"/>
      </w:pPr>
      <w:r>
        <w:t>B. Whenever a fire employee is under investigation, the following</w:t>
      </w:r>
    </w:p>
    <w:p w14:paraId="162206B7" w14:textId="77777777" w:rsidR="00C03046" w:rsidRDefault="00C03046" w:rsidP="00C03046">
      <w:pPr>
        <w:pStyle w:val="NoSpacing"/>
        <w:ind w:left="720" w:firstLine="720"/>
      </w:pPr>
      <w:r>
        <w:t>minimum standards shall apply:</w:t>
      </w:r>
    </w:p>
    <w:p w14:paraId="326866FC" w14:textId="77777777" w:rsidR="00C03046" w:rsidRDefault="00C03046" w:rsidP="00C03046">
      <w:pPr>
        <w:pStyle w:val="NoSpacing"/>
        <w:ind w:left="720" w:firstLine="720"/>
      </w:pPr>
      <w:r>
        <w:t>(1) Prior to commencing a formal investigation of a fire employee,</w:t>
      </w:r>
    </w:p>
    <w:p w14:paraId="6A43967B" w14:textId="77777777" w:rsidR="00C03046" w:rsidRDefault="00C03046" w:rsidP="00C03046">
      <w:pPr>
        <w:pStyle w:val="NoSpacing"/>
        <w:ind w:left="720" w:firstLine="720"/>
      </w:pPr>
      <w:r>
        <w:t>the appointing authority shall notify the employee in writing of the</w:t>
      </w:r>
    </w:p>
    <w:p w14:paraId="3DF0CAB8" w14:textId="77777777" w:rsidR="00C03046" w:rsidRDefault="00C03046" w:rsidP="00C03046">
      <w:pPr>
        <w:pStyle w:val="NoSpacing"/>
        <w:ind w:left="720" w:firstLine="720"/>
      </w:pPr>
      <w:r>
        <w:t>nature of the investigation, of the identity and authority of the</w:t>
      </w:r>
    </w:p>
    <w:p w14:paraId="599DCD1C" w14:textId="77777777" w:rsidR="00C03046" w:rsidRDefault="00C03046" w:rsidP="00C03046">
      <w:pPr>
        <w:pStyle w:val="NoSpacing"/>
        <w:ind w:left="720" w:firstLine="720"/>
      </w:pPr>
      <w:r>
        <w:t>person conducting such investigation, and of the specific charges or</w:t>
      </w:r>
    </w:p>
    <w:p w14:paraId="15D283F7" w14:textId="77777777" w:rsidR="00C03046" w:rsidRDefault="00C03046" w:rsidP="00C03046">
      <w:pPr>
        <w:pStyle w:val="NoSpacing"/>
        <w:ind w:left="720" w:firstLine="720"/>
      </w:pPr>
      <w:r>
        <w:t>violations being investigated.”</w:t>
      </w:r>
    </w:p>
    <w:p w14:paraId="481D5792" w14:textId="77777777" w:rsidR="00C03046" w:rsidRDefault="00C03046" w:rsidP="00C03046">
      <w:pPr>
        <w:pStyle w:val="NoSpacing"/>
        <w:ind w:firstLine="720"/>
      </w:pPr>
    </w:p>
    <w:p w14:paraId="28B568C3" w14:textId="77777777" w:rsidR="00C03046" w:rsidRDefault="00C03046" w:rsidP="00C03046">
      <w:pPr>
        <w:pStyle w:val="NoSpacing"/>
        <w:ind w:firstLine="720"/>
      </w:pPr>
    </w:p>
    <w:p w14:paraId="5280C9D2" w14:textId="77777777" w:rsidR="00C03046" w:rsidRPr="008F3E61" w:rsidRDefault="00C03046" w:rsidP="00C03046">
      <w:pPr>
        <w:pStyle w:val="NoSpacing"/>
        <w:rPr>
          <w:b/>
          <w:bCs/>
        </w:rPr>
      </w:pPr>
      <w:r w:rsidRPr="008F3E61">
        <w:rPr>
          <w:b/>
        </w:rPr>
        <w:t>Legal lesson learned:</w:t>
      </w:r>
      <w:r>
        <w:rPr>
          <w:b/>
        </w:rPr>
        <w:t xml:space="preserve"> Given this very broad decision about “formal” investigations, the fire department should consider providing written notice for all infractions that can lead to discipline. </w:t>
      </w:r>
    </w:p>
    <w:p w14:paraId="31CB53FB" w14:textId="77777777" w:rsidR="00C03046" w:rsidRDefault="00C03046" w:rsidP="00C03046">
      <w:pPr>
        <w:pStyle w:val="NoSpacing"/>
        <w:ind w:firstLine="720"/>
      </w:pPr>
    </w:p>
    <w:p w14:paraId="6061A417" w14:textId="77777777" w:rsidR="00C03046" w:rsidRDefault="00C03046" w:rsidP="00C03046">
      <w:pPr>
        <w:pStyle w:val="NoSpacing"/>
        <w:ind w:left="720"/>
      </w:pPr>
      <w:r>
        <w:t xml:space="preserve">Note: Read the Civil Service Commission report. </w:t>
      </w:r>
      <w:hyperlink r:id="rId2484" w:history="1">
        <w:r w:rsidRPr="00D41613">
          <w:rPr>
            <w:rStyle w:val="Hyperlink"/>
          </w:rPr>
          <w:t>https://nola.gov/getattachment/a5d775b2-685d-43c3-a7ff-ae60a9dcf745/Murphy,-Michael-9697-9698/</w:t>
        </w:r>
      </w:hyperlink>
      <w:r>
        <w:t xml:space="preserve">  </w:t>
      </w:r>
    </w:p>
    <w:p w14:paraId="1CE0F361" w14:textId="77777777" w:rsidR="00C03046" w:rsidRDefault="00C03046" w:rsidP="00C03046">
      <w:pPr>
        <w:pStyle w:val="NoSpacing"/>
      </w:pPr>
    </w:p>
    <w:p w14:paraId="7CE58EBA" w14:textId="77777777" w:rsidR="00C03046" w:rsidRDefault="00C03046" w:rsidP="00C03046">
      <w:pPr>
        <w:pStyle w:val="NoSpacing"/>
        <w:ind w:left="1440"/>
      </w:pPr>
      <w:r>
        <w:t xml:space="preserve">“Deputy Chief Larry White instructed the District Chief to instruct Captain Wiltz to charge Operator Murphy with a violation of the seatbelt policy. Captain Wiltz charged Operator Murphy on December 20, 2024, with violating the seatbelt policy, RR-55. Operator Murphy prepared a special report about the seatbelt infraction, which District Chiefs Ashburn and </w:t>
      </w:r>
      <w:proofErr w:type="spellStart"/>
      <w:r>
        <w:t>Kuruda</w:t>
      </w:r>
      <w:proofErr w:type="spellEnd"/>
      <w:r>
        <w:t xml:space="preserve"> required him to rewrite several times. (Tr. at 94-95). Operator Murphy appeared at a pre-disciplinary hearing before a panel of Deputy Chief White and two District Chiefs on January 16, 2025. NOFD suspended Operator Murphy for 12 hours for the December 2 offense, the minimum penalty for the offense under NOFD policy. (Tr. at 44). NOFD suspended Operator Murphy for 24 hours for the second offense on December 11, the minimum penalty for a second offense. (Tr. At 44).” </w:t>
      </w:r>
    </w:p>
    <w:p w14:paraId="0DA16225" w14:textId="77777777" w:rsidR="00C03046" w:rsidRDefault="00C03046" w:rsidP="00C03046">
      <w:pPr>
        <w:pStyle w:val="NoSpacing"/>
        <w:ind w:left="1440"/>
      </w:pPr>
      <w:hyperlink r:id="rId2485" w:history="1">
        <w:r w:rsidRPr="00CF721F">
          <w:rPr>
            <w:rStyle w:val="Hyperlink"/>
          </w:rPr>
          <w:t>https://nola.gov/getattachment/a5d775b2-685d-43c3-a7ff-ae60a9dcf745/Murphy,-Michael-9697-9698/</w:t>
        </w:r>
      </w:hyperlink>
      <w:r>
        <w:t xml:space="preserve"> </w:t>
      </w:r>
    </w:p>
    <w:p w14:paraId="53F5D4F2" w14:textId="77777777" w:rsidR="00E11253" w:rsidRDefault="00E11253" w:rsidP="002F7727">
      <w:pPr>
        <w:pStyle w:val="NoSpacing"/>
        <w:rPr>
          <w:rFonts w:ascii="Arial Black" w:hAnsi="Arial Black"/>
          <w:b/>
          <w:sz w:val="24"/>
          <w:szCs w:val="24"/>
        </w:rPr>
      </w:pPr>
    </w:p>
    <w:p w14:paraId="2B440090" w14:textId="4028E5AE" w:rsidR="00DA3352" w:rsidRDefault="00DA3352" w:rsidP="00DA3352">
      <w:pPr>
        <w:pStyle w:val="NoSpacing"/>
        <w:rPr>
          <w:rFonts w:ascii="Arial Black" w:hAnsi="Arial Black"/>
          <w:b/>
          <w:sz w:val="24"/>
          <w:szCs w:val="24"/>
        </w:rPr>
      </w:pPr>
      <w:r>
        <w:rPr>
          <w:rFonts w:ascii="Arial Black" w:hAnsi="Arial Black"/>
          <w:b/>
          <w:sz w:val="24"/>
          <w:szCs w:val="24"/>
        </w:rPr>
        <w:t>16-153</w:t>
      </w:r>
    </w:p>
    <w:p w14:paraId="6AD66682" w14:textId="77777777" w:rsidR="00DA3352" w:rsidRDefault="00DA3352" w:rsidP="00DA3352">
      <w:pPr>
        <w:pStyle w:val="NoSpacing"/>
        <w:rPr>
          <w:rFonts w:ascii="Arial Black" w:hAnsi="Arial Black"/>
          <w:b/>
          <w:sz w:val="24"/>
          <w:szCs w:val="24"/>
        </w:rPr>
      </w:pPr>
    </w:p>
    <w:p w14:paraId="356FBC20" w14:textId="77777777" w:rsidR="00DA3352" w:rsidRDefault="00DA3352" w:rsidP="002F7727">
      <w:pPr>
        <w:pStyle w:val="NoSpacing"/>
        <w:rPr>
          <w:rFonts w:ascii="Arial Black" w:hAnsi="Arial Black"/>
          <w:b/>
          <w:sz w:val="24"/>
          <w:szCs w:val="24"/>
        </w:rPr>
      </w:pPr>
    </w:p>
    <w:p w14:paraId="7B284716" w14:textId="77777777" w:rsidR="00DA3352" w:rsidRPr="0030539D" w:rsidRDefault="00DA3352" w:rsidP="00DA3352">
      <w:pPr>
        <w:pStyle w:val="NoSpacing"/>
        <w:rPr>
          <w:rFonts w:ascii="Arial Black" w:hAnsi="Arial Black"/>
          <w:b/>
          <w:sz w:val="28"/>
          <w:szCs w:val="28"/>
        </w:rPr>
      </w:pPr>
      <w:r w:rsidRPr="0030539D">
        <w:rPr>
          <w:rFonts w:ascii="Arial Black" w:hAnsi="Arial Black"/>
          <w:b/>
          <w:sz w:val="28"/>
          <w:szCs w:val="28"/>
        </w:rPr>
        <w:t xml:space="preserve">MA: </w:t>
      </w:r>
      <w:r>
        <w:rPr>
          <w:rFonts w:ascii="Arial Black" w:hAnsi="Arial Black"/>
          <w:b/>
          <w:sz w:val="28"/>
          <w:szCs w:val="28"/>
        </w:rPr>
        <w:t>FIRE CHIEF – FIRED - SCAMMERS – NO DEFEMATION</w:t>
      </w:r>
    </w:p>
    <w:p w14:paraId="533C0390" w14:textId="77777777" w:rsidR="00DA3352" w:rsidRDefault="00DA3352" w:rsidP="00DA3352">
      <w:pPr>
        <w:pStyle w:val="NoSpacing"/>
      </w:pPr>
    </w:p>
    <w:p w14:paraId="40618CCB" w14:textId="77777777" w:rsidR="00DA3352" w:rsidRDefault="00DA3352" w:rsidP="00DA3352">
      <w:pPr>
        <w:pStyle w:val="NoSpacing"/>
      </w:pPr>
      <w:r>
        <w:t xml:space="preserve">On March 26, 2026, in </w:t>
      </w:r>
      <w:r w:rsidRPr="00C81E1F">
        <w:rPr>
          <w:u w:val="single"/>
        </w:rPr>
        <w:t>Ernest J. Cardillo, Jr. v. Donald M. Chabon</w:t>
      </w:r>
      <w:r>
        <w:t xml:space="preserve">, the </w:t>
      </w:r>
      <w:r w:rsidRPr="005E251C">
        <w:t>Appeals Court of Massachusetts</w:t>
      </w:r>
      <w:r>
        <w:t xml:space="preserve"> held (3 to 0) that trial court properly granted summary judgment to </w:t>
      </w:r>
      <w:r w:rsidRPr="00C12454">
        <w:t xml:space="preserve">because </w:t>
      </w:r>
      <w:r>
        <w:t xml:space="preserve">the Town of </w:t>
      </w:r>
      <w:r w:rsidRPr="005A489C">
        <w:t>Stockbridge</w:t>
      </w:r>
      <w:r>
        <w:t>’s</w:t>
      </w:r>
      <w:r w:rsidRPr="005A489C">
        <w:t xml:space="preserve"> Selectboard Chair Donald M. Chabon</w:t>
      </w:r>
      <w:r>
        <w:t xml:space="preserve">’s </w:t>
      </w:r>
      <w:r w:rsidRPr="00C12454">
        <w:t xml:space="preserve">statements to a newspaper reporter </w:t>
      </w:r>
      <w:r>
        <w:t xml:space="preserve">about the former Fire Chief </w:t>
      </w:r>
      <w:r w:rsidRPr="00C12454">
        <w:t>were</w:t>
      </w:r>
      <w:r>
        <w:t xml:space="preserve"> not </w:t>
      </w:r>
      <w:r w:rsidRPr="00C12454">
        <w:t xml:space="preserve">defamatory and </w:t>
      </w:r>
      <w:r>
        <w:t xml:space="preserve">not </w:t>
      </w:r>
      <w:r w:rsidRPr="00C12454">
        <w:t>made with actual malice</w:t>
      </w:r>
      <w:r>
        <w:t xml:space="preserve">.  </w:t>
      </w:r>
      <w:r w:rsidRPr="0030539D">
        <w:t>On February 8, 2019, the Springfield Republican newspaper published an article in response to members of the fire department protesting Cardillo's termination. The article stated that Cardillo was terminated after repeatedly falling "victim to scammers" in the purchasing of equipment for the fire department. The article reported that the selectboard had estimated that Cardillo's actions cost the town around $83,000. Chabon told the reporter that after Cardillo had learned that he had been taken advantage of, he tried to conceal the purchases and "[h]e changed the books." After the newspaper article was published, Cardillo filed suit against Chabon alleging defamation and infliction of emotional distress.</w:t>
      </w:r>
      <w:r>
        <w:t xml:space="preserve"> </w:t>
      </w:r>
      <w:hyperlink r:id="rId2486" w:history="1">
        <w:r w:rsidRPr="00682DA7">
          <w:rPr>
            <w:rStyle w:val="Hyperlink"/>
          </w:rPr>
          <w:t>https://public.fastcase.com/Jhe1Qn%2BmJndQYQU6z%2FeNm0JH5q8gWciAXAF9bixHugWdaYIct3CF769DEA6AolcFot0MADEgf34paIS5RxXYfLHjDYkVz561VNE3Py00FLo%3D?utm_medium=email&amp;_hsenc=p2ANqtz--lMiV9AKrZhOCKCU8G42zfsMnA0WduNXw5NGIFgBNIi3qKeq5uCBwN2k8_bjKsGZk1kObDueEzHePI446cTwvuol4Y2w&amp;_hsmi=226712652&amp;utm_content=226712652&amp;utm_source=hs_email</w:t>
        </w:r>
      </w:hyperlink>
      <w:r>
        <w:t xml:space="preserve"> </w:t>
      </w:r>
    </w:p>
    <w:p w14:paraId="79632DA5" w14:textId="77777777" w:rsidR="00DA3352" w:rsidRDefault="00DA3352" w:rsidP="00DA3352">
      <w:pPr>
        <w:pStyle w:val="NoSpacing"/>
      </w:pPr>
    </w:p>
    <w:p w14:paraId="6CDB1457" w14:textId="77777777" w:rsidR="00DA3352" w:rsidRDefault="00DA3352" w:rsidP="00DA3352">
      <w:pPr>
        <w:pStyle w:val="NoSpacing"/>
      </w:pPr>
      <w:r>
        <w:t>THE COURT HELD:</w:t>
      </w:r>
    </w:p>
    <w:p w14:paraId="2BA8421F" w14:textId="77777777" w:rsidR="00DA3352" w:rsidRDefault="00DA3352" w:rsidP="00DA3352">
      <w:pPr>
        <w:pStyle w:val="NoSpacing"/>
      </w:pPr>
    </w:p>
    <w:p w14:paraId="70FD641E" w14:textId="77777777" w:rsidR="00DA3352" w:rsidRDefault="00DA3352" w:rsidP="00DA3352">
      <w:pPr>
        <w:pStyle w:val="NoSpacing"/>
        <w:ind w:left="720"/>
      </w:pPr>
      <w:r>
        <w:t>“</w:t>
      </w:r>
      <w:r w:rsidRPr="00EA4E4C">
        <w:t>In 2012, Cardillo was appointed to the position of fire chief for the town of Stockbridge. That same year, Cardillo received an unsolicited telephone call from a sales representative of a New York company, Pioneer Products Inc. (Pioneer). Cardillo agreed to purchase four gallons of fire hose and gear cleaner from Pioneer. While the parties did not sign a written contract, it is undisputed that Cardillo agreed to this purchase and submitted the invoice to the town for payment.</w:t>
      </w:r>
      <w:r w:rsidRPr="00EA4E4C">
        <w:rPr>
          <w:vertAlign w:val="superscript"/>
        </w:rPr>
        <w:t>[</w:t>
      </w:r>
      <w:hyperlink r:id="rId2487" w:anchor="ftn.FN3" w:history="1">
        <w:r w:rsidRPr="00EA4E4C">
          <w:rPr>
            <w:rStyle w:val="Hyperlink"/>
            <w:vertAlign w:val="superscript"/>
          </w:rPr>
          <w:t>3</w:t>
        </w:r>
      </w:hyperlink>
      <w:r w:rsidRPr="00EA4E4C">
        <w:rPr>
          <w:vertAlign w:val="superscript"/>
        </w:rPr>
        <w:t>]</w:t>
      </w:r>
      <w:r w:rsidRPr="00EA4E4C">
        <w:t xml:space="preserve"> Sometime after the initial purchase, Cardillo was contacted by Pioneer and told that the purchase price paid for his first order was contingent on accepting additional shipments. The sales representative told Cardillo that if he did not place an additional order, Pioneer would submit an amended invoice for the first shipment at a significantly higher price. Although there did not appear to be anything in writing memorializing Pioneer's claim that the price could be increased retroactively, Cardillo felt pressured and placed an additional order to avoid the ballooning costs. </w:t>
      </w:r>
    </w:p>
    <w:p w14:paraId="43F6D054" w14:textId="77777777" w:rsidR="00DA3352" w:rsidRDefault="00DA3352" w:rsidP="00DA3352">
      <w:pPr>
        <w:pStyle w:val="NoSpacing"/>
        <w:ind w:left="720"/>
      </w:pPr>
    </w:p>
    <w:p w14:paraId="6EA3030D" w14:textId="77777777" w:rsidR="00DA3352" w:rsidRDefault="00DA3352" w:rsidP="00DA3352">
      <w:pPr>
        <w:pStyle w:val="NoSpacing"/>
        <w:ind w:left="720"/>
      </w:pPr>
      <w:r>
        <w:t>***</w:t>
      </w:r>
    </w:p>
    <w:p w14:paraId="7EB8F012" w14:textId="77777777" w:rsidR="00DA3352" w:rsidRDefault="00DA3352" w:rsidP="00DA3352">
      <w:pPr>
        <w:pStyle w:val="NoSpacing"/>
        <w:ind w:left="720"/>
      </w:pPr>
    </w:p>
    <w:p w14:paraId="17DEE78A" w14:textId="77777777" w:rsidR="00DA3352" w:rsidRDefault="00DA3352" w:rsidP="00DA3352">
      <w:pPr>
        <w:pStyle w:val="NoSpacing"/>
        <w:ind w:left="720"/>
      </w:pPr>
      <w:r w:rsidRPr="000F2420">
        <w:t xml:space="preserve">December 2016, Cardillo agreed to purchase $6,779 of deicer from Pioneer. However, Cardillo's spreadsheet identified the vendor as Fire Tech instead of Pioneer. Two months later, Cardillo purchased additional deicer from Pioneer totaling $6,780 but logged the vendor as Meadow Farm and described the expenditure as fuel. The pattern was repeated in 2017, when Cardillo purchased over $7,500 of supplies (heavy duty truck wash and hose and gear cleaner) despite making the same purchase several months </w:t>
      </w:r>
      <w:proofErr w:type="gramStart"/>
      <w:r w:rsidRPr="000F2420">
        <w:t>previous</w:t>
      </w:r>
      <w:proofErr w:type="gramEnd"/>
      <w:r w:rsidRPr="000F2420">
        <w:t>. This purchase was from Noble, but Cardillo listed the vendor as Stock Motor Car on the spreadsheets.</w:t>
      </w:r>
    </w:p>
    <w:p w14:paraId="5D655C7E" w14:textId="77777777" w:rsidR="00DA3352" w:rsidRDefault="00DA3352" w:rsidP="00DA3352">
      <w:pPr>
        <w:pStyle w:val="NoSpacing"/>
        <w:ind w:left="720"/>
      </w:pPr>
    </w:p>
    <w:p w14:paraId="149A32EE" w14:textId="77777777" w:rsidR="00DA3352" w:rsidRDefault="00DA3352" w:rsidP="00DA3352">
      <w:pPr>
        <w:pStyle w:val="NoSpacing"/>
        <w:ind w:left="720"/>
      </w:pPr>
      <w:r>
        <w:t>***</w:t>
      </w:r>
    </w:p>
    <w:p w14:paraId="7AA0902D" w14:textId="77777777" w:rsidR="00DA3352" w:rsidRDefault="00DA3352" w:rsidP="00DA3352">
      <w:pPr>
        <w:pStyle w:val="NoSpacing"/>
        <w:ind w:left="720"/>
      </w:pPr>
      <w:r w:rsidRPr="00575870">
        <w:t xml:space="preserve">In 2018, one of Cardillo's purchases came to the attention of the town administrator, resulting in the selectboard retaining town counsel. Town </w:t>
      </w:r>
      <w:proofErr w:type="spellStart"/>
      <w:r w:rsidRPr="00575870">
        <w:t>counsel</w:t>
      </w:r>
      <w:proofErr w:type="spellEnd"/>
      <w:r w:rsidRPr="00575870">
        <w:t xml:space="preserve"> (Miyares) was tasked with investigating Cardillo's purchases from Pioneer and a related company, Noble Industrial Supply Corp. (Noble), and issuing a report (the </w:t>
      </w:r>
      <w:r>
        <w:t>‘</w:t>
      </w:r>
      <w:r w:rsidRPr="00575870">
        <w:t>Miyares report</w:t>
      </w:r>
      <w:r>
        <w:t>’</w:t>
      </w:r>
      <w:r w:rsidRPr="00575870">
        <w:t xml:space="preserve">). The Miyares report found that both Pioneer and Noble had a history of defrauding </w:t>
      </w:r>
      <w:proofErr w:type="gramStart"/>
      <w:r w:rsidRPr="00575870">
        <w:t>small town</w:t>
      </w:r>
      <w:proofErr w:type="gramEnd"/>
      <w:r w:rsidRPr="00575870">
        <w:t xml:space="preserve"> governments, especially fire departments. The Better Business Bureau had received complaints that the companies would initially offer to sell a product at a "seemingly favorable price" but then later demand additional purchases be made to avoid being charged for prior purchases at a higher rate. Pioneer and Noble shipped more </w:t>
      </w:r>
      <w:proofErr w:type="gramStart"/>
      <w:r w:rsidRPr="00575870">
        <w:t>products,</w:t>
      </w:r>
      <w:proofErr w:type="gramEnd"/>
      <w:r w:rsidRPr="00575870">
        <w:t xml:space="preserve"> each time with the representation that the customer had to accept the delivery to avoid additional charges. Even when customers complained that they had an adequate supply of a particular product, the message from Pioneer and Noble was firm. They would offer to switch to a different product, but the customer was obligated to pay for additional purchases.</w:t>
      </w:r>
    </w:p>
    <w:p w14:paraId="7CC805A1" w14:textId="77777777" w:rsidR="00DA3352" w:rsidRDefault="00DA3352" w:rsidP="00DA3352">
      <w:pPr>
        <w:pStyle w:val="NoSpacing"/>
        <w:ind w:left="720"/>
      </w:pPr>
    </w:p>
    <w:p w14:paraId="208CF849" w14:textId="77777777" w:rsidR="00DA3352" w:rsidRDefault="00DA3352" w:rsidP="00DA3352">
      <w:pPr>
        <w:pStyle w:val="NoSpacing"/>
        <w:ind w:left="720"/>
      </w:pPr>
      <w:r>
        <w:t>***</w:t>
      </w:r>
    </w:p>
    <w:p w14:paraId="5B1DD9AA" w14:textId="77777777" w:rsidR="00DA3352" w:rsidRPr="00B52D12" w:rsidRDefault="00DA3352" w:rsidP="00DA3352">
      <w:pPr>
        <w:pStyle w:val="NoSpacing"/>
        <w:ind w:left="720"/>
      </w:pPr>
      <w:r w:rsidRPr="00B52D12">
        <w:t> Here, Chabon's statement, read as a whole, communicated that the town incurred a substantial cost when Cardillo fell prey to a purchasing scam orchestrated by Pioneer and Noble. The gist of Chabon's statement, even if the precise amount of loss to the town was inaccurate, is substantially true. The impact on the reader was the same regardless of whether Chabon's or Miyares's estimate reflected a thorough accounting of the financial harm to the town</w:t>
      </w:r>
      <w:r>
        <w:t xml:space="preserve">…. </w:t>
      </w:r>
      <w:r w:rsidRPr="00B52D12">
        <w:t xml:space="preserve">We conclude that, given the substance of the statement and when read as a whole, Chabon's statement was essentially true and was insufficient to establish falsehood for purposes of a claim of </w:t>
      </w:r>
      <w:proofErr w:type="gramStart"/>
      <w:r w:rsidRPr="00B52D12">
        <w:t>defamation.</w:t>
      </w:r>
      <w:r>
        <w:t>”</w:t>
      </w:r>
      <w:proofErr w:type="gramEnd"/>
    </w:p>
    <w:p w14:paraId="23344419" w14:textId="77777777" w:rsidR="00DA3352" w:rsidRDefault="00DA3352" w:rsidP="00DA3352">
      <w:pPr>
        <w:pStyle w:val="NoSpacing"/>
        <w:ind w:left="720"/>
      </w:pPr>
    </w:p>
    <w:p w14:paraId="272537CB" w14:textId="77777777" w:rsidR="00DA3352" w:rsidRDefault="00DA3352" w:rsidP="00DA3352">
      <w:pPr>
        <w:pStyle w:val="NoSpacing"/>
        <w:ind w:left="720"/>
      </w:pPr>
    </w:p>
    <w:p w14:paraId="59DA2FE0" w14:textId="77777777" w:rsidR="00DA3352" w:rsidRPr="00575870" w:rsidRDefault="00DA3352" w:rsidP="00DA3352">
      <w:pPr>
        <w:rPr>
          <w:b/>
          <w:bCs/>
        </w:rPr>
      </w:pPr>
      <w:r>
        <w:rPr>
          <w:b/>
        </w:rPr>
        <w:t xml:space="preserve">Legal lesson learned: The Town’s statements to the reporter were “essentially true” – no defamation. </w:t>
      </w:r>
    </w:p>
    <w:p w14:paraId="68BECF6C" w14:textId="77777777" w:rsidR="00DA3352" w:rsidRDefault="00DA3352" w:rsidP="002F7727">
      <w:pPr>
        <w:pStyle w:val="NoSpacing"/>
        <w:rPr>
          <w:rFonts w:ascii="Arial Black" w:hAnsi="Arial Black"/>
          <w:b/>
          <w:sz w:val="24"/>
          <w:szCs w:val="24"/>
        </w:rPr>
      </w:pPr>
    </w:p>
    <w:p w14:paraId="46276CEB" w14:textId="77777777" w:rsidR="00DA3352" w:rsidRDefault="00DA3352" w:rsidP="002F7727">
      <w:pPr>
        <w:pStyle w:val="NoSpacing"/>
        <w:rPr>
          <w:rFonts w:ascii="Arial Black" w:hAnsi="Arial Black"/>
          <w:b/>
          <w:sz w:val="24"/>
          <w:szCs w:val="24"/>
        </w:rPr>
      </w:pPr>
    </w:p>
    <w:p w14:paraId="62D4D5DF" w14:textId="77777777" w:rsidR="00DA3352" w:rsidRDefault="00DA3352" w:rsidP="002F7727">
      <w:pPr>
        <w:pStyle w:val="NoSpacing"/>
        <w:rPr>
          <w:rFonts w:ascii="Arial Black" w:hAnsi="Arial Black"/>
          <w:b/>
          <w:sz w:val="24"/>
          <w:szCs w:val="24"/>
        </w:rPr>
      </w:pPr>
    </w:p>
    <w:p w14:paraId="0258C0DE" w14:textId="77777777" w:rsidR="00DA3352" w:rsidRDefault="00DA3352" w:rsidP="002F7727">
      <w:pPr>
        <w:pStyle w:val="NoSpacing"/>
        <w:rPr>
          <w:rFonts w:ascii="Arial Black" w:hAnsi="Arial Black"/>
          <w:b/>
          <w:sz w:val="24"/>
          <w:szCs w:val="24"/>
        </w:rPr>
      </w:pPr>
    </w:p>
    <w:p w14:paraId="74CA35A5" w14:textId="04267F7F" w:rsidR="008F1833" w:rsidRDefault="0075332D" w:rsidP="002F7727">
      <w:pPr>
        <w:pStyle w:val="NoSpacing"/>
        <w:rPr>
          <w:rFonts w:ascii="Arial Black" w:hAnsi="Arial Black"/>
          <w:b/>
          <w:sz w:val="24"/>
          <w:szCs w:val="24"/>
        </w:rPr>
      </w:pPr>
      <w:r>
        <w:rPr>
          <w:rFonts w:ascii="Arial Black" w:hAnsi="Arial Black"/>
          <w:b/>
          <w:sz w:val="24"/>
          <w:szCs w:val="24"/>
        </w:rPr>
        <w:t>16-15</w:t>
      </w:r>
      <w:r w:rsidR="000301F2">
        <w:rPr>
          <w:rFonts w:ascii="Arial Black" w:hAnsi="Arial Black"/>
          <w:b/>
          <w:sz w:val="24"/>
          <w:szCs w:val="24"/>
        </w:rPr>
        <w:t>2</w:t>
      </w:r>
    </w:p>
    <w:p w14:paraId="000BA964" w14:textId="77777777" w:rsidR="0075332D" w:rsidRDefault="0075332D" w:rsidP="002F7727">
      <w:pPr>
        <w:pStyle w:val="NoSpacing"/>
        <w:rPr>
          <w:rFonts w:ascii="Arial Black" w:hAnsi="Arial Black"/>
          <w:b/>
          <w:sz w:val="24"/>
          <w:szCs w:val="24"/>
        </w:rPr>
      </w:pPr>
    </w:p>
    <w:p w14:paraId="7805EB33" w14:textId="77777777" w:rsidR="009352C7" w:rsidRPr="00495C7E" w:rsidRDefault="009352C7" w:rsidP="009352C7">
      <w:pPr>
        <w:pStyle w:val="NoSpacing"/>
        <w:rPr>
          <w:rFonts w:ascii="Arial Black" w:hAnsi="Arial Black"/>
          <w:sz w:val="28"/>
          <w:szCs w:val="28"/>
        </w:rPr>
      </w:pPr>
      <w:r>
        <w:rPr>
          <w:rFonts w:ascii="Arial Black" w:hAnsi="Arial Black"/>
          <w:sz w:val="28"/>
          <w:szCs w:val="28"/>
        </w:rPr>
        <w:t>TX: FF MISD – NO WRITTEN NOTICE TO CHIEF – 3 DAY SUSP</w:t>
      </w:r>
    </w:p>
    <w:p w14:paraId="161CF772" w14:textId="77777777" w:rsidR="009352C7" w:rsidRDefault="009352C7" w:rsidP="009352C7">
      <w:pPr>
        <w:pStyle w:val="NoSpacing"/>
      </w:pPr>
    </w:p>
    <w:p w14:paraId="704D83E3" w14:textId="77777777" w:rsidR="009352C7" w:rsidRDefault="009352C7" w:rsidP="009352C7">
      <w:pPr>
        <w:pStyle w:val="NoSpacing"/>
      </w:pPr>
      <w:r>
        <w:t xml:space="preserve">On March 17, 2026, in </w:t>
      </w:r>
      <w:r w:rsidRPr="002C29C3">
        <w:rPr>
          <w:u w:val="single"/>
        </w:rPr>
        <w:t>Fenton Petry v. City of Houston, Texas, and Police Officers and Firefighters Civil Service Commission</w:t>
      </w:r>
      <w:r>
        <w:t xml:space="preserve">, the </w:t>
      </w:r>
      <w:r w:rsidRPr="002C29C3">
        <w:t>Court of Appeals of Texas, Fourteenth District</w:t>
      </w:r>
      <w:r>
        <w:t xml:space="preserve"> held that both the “independent hearing examiner” and a District Court judge properly upheld the 3-day suspension for firefighter’s failure to inform the fire chief of his misdemeanor conviction of </w:t>
      </w:r>
      <w:r w:rsidRPr="004C4F78">
        <w:t>abuse of official capacity</w:t>
      </w:r>
      <w:r>
        <w:t xml:space="preserve">.  Fire Department regulations require firefighters to give written notice to the Fire Chief within twenty-four hours of “any court hearing dates and results involving a criminal matter.” </w:t>
      </w:r>
      <w:hyperlink r:id="rId2488" w:history="1">
        <w:r w:rsidRPr="004D13CD">
          <w:rPr>
            <w:rStyle w:val="Hyperlink"/>
          </w:rPr>
          <w:t>https://search.txcourts.gov/SearchMedia.aspx?MediaVersionID=2b0bcd7a-4ade-4d61-a274-df674ed3857f&amp;coa=coa14&amp;DT=Opinion&amp;MediaID=e76a99e8-4da0-48c8-9433-ea85e5f312cd</w:t>
        </w:r>
      </w:hyperlink>
      <w:r>
        <w:t xml:space="preserve"> </w:t>
      </w:r>
    </w:p>
    <w:p w14:paraId="68C9937F" w14:textId="77777777" w:rsidR="009352C7" w:rsidRDefault="009352C7" w:rsidP="009352C7">
      <w:pPr>
        <w:pStyle w:val="NoSpacing"/>
      </w:pPr>
    </w:p>
    <w:p w14:paraId="182C6F0B" w14:textId="77777777" w:rsidR="009352C7" w:rsidRPr="004C4F78" w:rsidRDefault="009352C7" w:rsidP="009352C7">
      <w:pPr>
        <w:pStyle w:val="NoSpacing"/>
      </w:pPr>
      <w:r>
        <w:t xml:space="preserve"> THE COURT HELD:  “</w:t>
      </w:r>
      <w:r w:rsidRPr="004C4F78">
        <w:t>Fenton Petry, the firefighter at issue, was charged with a felony count of</w:t>
      </w:r>
    </w:p>
    <w:p w14:paraId="7BACAECB" w14:textId="77777777" w:rsidR="009352C7" w:rsidRPr="004C4F78" w:rsidRDefault="009352C7" w:rsidP="009352C7">
      <w:pPr>
        <w:pStyle w:val="NoSpacing"/>
      </w:pPr>
      <w:r w:rsidRPr="004C4F78">
        <w:t>misuse of official information. See Tex. Penal Code § 39.06. He later pleaded guilty</w:t>
      </w:r>
    </w:p>
    <w:p w14:paraId="2ABA8B9F" w14:textId="77777777" w:rsidR="009352C7" w:rsidRDefault="009352C7" w:rsidP="009352C7">
      <w:pPr>
        <w:pStyle w:val="NoSpacing"/>
        <w:rPr>
          <w:bCs/>
        </w:rPr>
      </w:pPr>
      <w:r w:rsidRPr="004C4F78">
        <w:t>to a lesser misdemeanor count of abuse of official capacity</w:t>
      </w:r>
      <w:r>
        <w:t xml:space="preserve">…. </w:t>
      </w:r>
      <w:r w:rsidRPr="00235407">
        <w:t>Another document attached to the court slip alluded to a conviction. This</w:t>
      </w:r>
      <w:r>
        <w:t xml:space="preserve"> </w:t>
      </w:r>
      <w:r w:rsidRPr="00235407">
        <w:t xml:space="preserve">document was styled as </w:t>
      </w:r>
      <w:r>
        <w:t>‘</w:t>
      </w:r>
      <w:r w:rsidRPr="00235407">
        <w:t>Collections Instructions,</w:t>
      </w:r>
      <w:r>
        <w:t>’</w:t>
      </w:r>
      <w:r w:rsidRPr="00235407">
        <w:t xml:space="preserve"> and it contained a note saying</w:t>
      </w:r>
      <w:r>
        <w:t xml:space="preserve"> ‘</w:t>
      </w:r>
      <w:r w:rsidRPr="00235407">
        <w:t>$100 fine, Class C, court cost payment plan granted.</w:t>
      </w:r>
      <w:r>
        <w:t>’</w:t>
      </w:r>
      <w:r w:rsidRPr="00235407">
        <w:t xml:space="preserve"> But the document did not</w:t>
      </w:r>
      <w:r>
        <w:t xml:space="preserve"> </w:t>
      </w:r>
      <w:r w:rsidRPr="00235407">
        <w:t>identify the offense or even state that there had been a conviction.</w:t>
      </w:r>
      <w:r>
        <w:t>”</w:t>
      </w:r>
    </w:p>
    <w:p w14:paraId="518B1F90" w14:textId="77777777" w:rsidR="009352C7" w:rsidRDefault="009352C7" w:rsidP="009352C7">
      <w:pPr>
        <w:pStyle w:val="NoSpacing"/>
      </w:pPr>
    </w:p>
    <w:p w14:paraId="6146B81E" w14:textId="77777777" w:rsidR="009352C7" w:rsidRDefault="009352C7" w:rsidP="009352C7">
      <w:pPr>
        <w:pStyle w:val="NoSpacing"/>
      </w:pPr>
      <w:r>
        <w:t>***</w:t>
      </w:r>
    </w:p>
    <w:p w14:paraId="71124ACF" w14:textId="77777777" w:rsidR="009352C7" w:rsidRDefault="009352C7" w:rsidP="009352C7">
      <w:pPr>
        <w:pStyle w:val="NoSpacing"/>
      </w:pPr>
      <w:r>
        <w:t>Petry testified that he timely gave a copy of the judgment of conviction to his station captain, rather than the Fire Chief. But he also indicated that he anticipated that his captain would forward that judgment up the chain of command to the Fire Chief…. The Assistant Fire Chief further testified that the captain did not inform anyone in the chain of command about Petry’s conviction, and that the burden of providing that notice ultimately fell on Petry. The Assistant Fire Chief said that Petry knew of this burden because he had complied with it in the past when such notice happened to paint him in a beneficial light. The Assistant Fire Chief referred to an earlier occasion when Petry had been charged with DWI, and Petry directly notified the Fire Chief after that charge had been dismissed.”</w:t>
      </w:r>
    </w:p>
    <w:p w14:paraId="65CCE753" w14:textId="77777777" w:rsidR="009352C7" w:rsidRDefault="009352C7" w:rsidP="009352C7">
      <w:pPr>
        <w:pStyle w:val="NoSpacing"/>
        <w:rPr>
          <w:bCs/>
        </w:rPr>
      </w:pPr>
    </w:p>
    <w:p w14:paraId="00D34C60" w14:textId="77777777" w:rsidR="009352C7" w:rsidRDefault="009352C7" w:rsidP="009352C7">
      <w:pPr>
        <w:pStyle w:val="NoSpacing"/>
        <w:rPr>
          <w:b/>
        </w:rPr>
      </w:pPr>
      <w:r w:rsidRPr="00CA50E8">
        <w:rPr>
          <w:b/>
        </w:rPr>
        <w:t xml:space="preserve">Legal lesson learned: </w:t>
      </w:r>
      <w:r>
        <w:rPr>
          <w:b/>
        </w:rPr>
        <w:t xml:space="preserve">Excellent Fire Department policy – 24-hour written notice to Fire Chief of </w:t>
      </w:r>
      <w:r w:rsidRPr="00411EF9">
        <w:rPr>
          <w:b/>
        </w:rPr>
        <w:t>“any court hearing dates and results involving a criminal matter.”</w:t>
      </w:r>
    </w:p>
    <w:p w14:paraId="44A09BC3" w14:textId="77777777" w:rsidR="000301F2" w:rsidRDefault="000301F2" w:rsidP="009352C7">
      <w:pPr>
        <w:pStyle w:val="NoSpacing"/>
        <w:rPr>
          <w:b/>
        </w:rPr>
      </w:pPr>
    </w:p>
    <w:p w14:paraId="53648DB5" w14:textId="77777777" w:rsidR="000301F2" w:rsidRDefault="000301F2" w:rsidP="009352C7">
      <w:pPr>
        <w:pStyle w:val="NoSpacing"/>
        <w:rPr>
          <w:b/>
        </w:rPr>
      </w:pPr>
    </w:p>
    <w:p w14:paraId="51FDF3A1" w14:textId="75ABF0CC" w:rsidR="000301F2" w:rsidRPr="003C1133" w:rsidRDefault="000301F2" w:rsidP="009352C7">
      <w:pPr>
        <w:pStyle w:val="NoSpacing"/>
        <w:rPr>
          <w:b/>
          <w:sz w:val="28"/>
          <w:szCs w:val="28"/>
        </w:rPr>
      </w:pPr>
      <w:r w:rsidRPr="003C1133">
        <w:rPr>
          <w:b/>
          <w:sz w:val="28"/>
          <w:szCs w:val="28"/>
        </w:rPr>
        <w:t>16-151</w:t>
      </w:r>
    </w:p>
    <w:p w14:paraId="55C28911" w14:textId="77777777" w:rsidR="000301F2" w:rsidRDefault="000301F2" w:rsidP="009352C7">
      <w:pPr>
        <w:pStyle w:val="NoSpacing"/>
        <w:rPr>
          <w:b/>
        </w:rPr>
      </w:pPr>
    </w:p>
    <w:p w14:paraId="133CC37A" w14:textId="77777777" w:rsidR="000301F2" w:rsidRDefault="000301F2" w:rsidP="000301F2">
      <w:pPr>
        <w:pStyle w:val="NoSpacing"/>
        <w:rPr>
          <w:rFonts w:ascii="Arial Black" w:hAnsi="Arial Black"/>
          <w:sz w:val="28"/>
          <w:szCs w:val="28"/>
        </w:rPr>
      </w:pPr>
      <w:r>
        <w:rPr>
          <w:rFonts w:ascii="Arial Black" w:hAnsi="Arial Black"/>
          <w:sz w:val="28"/>
          <w:szCs w:val="28"/>
        </w:rPr>
        <w:t>MO: BC FIRED – USED AFFF STRUCTURE FIRE – VIOL ORDER</w:t>
      </w:r>
    </w:p>
    <w:p w14:paraId="1D23EAA0" w14:textId="77777777" w:rsidR="000301F2" w:rsidRDefault="000301F2" w:rsidP="000301F2">
      <w:pPr>
        <w:pStyle w:val="NoSpacing"/>
        <w:rPr>
          <w:rFonts w:ascii="Arial Black" w:hAnsi="Arial Black"/>
          <w:sz w:val="28"/>
          <w:szCs w:val="28"/>
        </w:rPr>
      </w:pPr>
    </w:p>
    <w:p w14:paraId="05ECC4A9" w14:textId="77777777" w:rsidR="000301F2" w:rsidRDefault="000301F2" w:rsidP="000301F2">
      <w:pPr>
        <w:pStyle w:val="NoSpacing"/>
      </w:pPr>
      <w:r>
        <w:t xml:space="preserve">On March 3, 2026, in </w:t>
      </w:r>
      <w:r w:rsidRPr="002E2C1B">
        <w:rPr>
          <w:u w:val="single"/>
        </w:rPr>
        <w:t>David Matusik v. Lake Ozark Fire Protection District</w:t>
      </w:r>
      <w:r>
        <w:t xml:space="preserve">, the </w:t>
      </w:r>
      <w:r w:rsidRPr="007F3B5A">
        <w:t>Court of Appeals of Missouri, Western District, Third Division</w:t>
      </w:r>
      <w:r>
        <w:t xml:space="preserve"> held (3 to 0) that the </w:t>
      </w:r>
      <w:r w:rsidRPr="00D37D10">
        <w:t>Board of Directors</w:t>
      </w:r>
      <w:r>
        <w:t xml:space="preserve"> held a due process hearing and had </w:t>
      </w:r>
      <w:r w:rsidRPr="00AB4BDB">
        <w:t>just cause to terminate Matusik’s employment.</w:t>
      </w:r>
      <w:r>
        <w:t xml:space="preserve">  New Fire Chief was hired in April 2023, and in </w:t>
      </w:r>
      <w:r w:rsidRPr="003E2F37">
        <w:t xml:space="preserve">November 2023, </w:t>
      </w:r>
      <w:r>
        <w:t xml:space="preserve">he </w:t>
      </w:r>
      <w:r w:rsidRPr="003E2F37">
        <w:t xml:space="preserve">discovered the </w:t>
      </w:r>
      <w:proofErr w:type="gramStart"/>
      <w:r w:rsidRPr="003E2F37">
        <w:t>District</w:t>
      </w:r>
      <w:proofErr w:type="gramEnd"/>
      <w:r w:rsidRPr="003E2F37">
        <w:t xml:space="preserve"> was still using AFFF</w:t>
      </w:r>
      <w:r>
        <w:t xml:space="preserve"> foam (cancer risk); on November 11, </w:t>
      </w:r>
      <w:proofErr w:type="gramStart"/>
      <w:r>
        <w:t>2023</w:t>
      </w:r>
      <w:proofErr w:type="gramEnd"/>
      <w:r>
        <w:t xml:space="preserve"> issued a written order prohibiting its use “unless an absolute life safety issue exists.” Less </w:t>
      </w:r>
      <w:proofErr w:type="spellStart"/>
      <w:r>
        <w:t>that</w:t>
      </w:r>
      <w:proofErr w:type="spellEnd"/>
      <w:r>
        <w:t xml:space="preserve"> two weeks later, on November 24, 2023, Matusik responded to a rekindled fire; was a “wind driven” fire that had spread to two homes beyond the initial involved home, and he decided to use the AFFF at the fire. The Fire Chief recommended his termination for this decision, plus working a shift trade that he converted to overtime pay without Chief’s permission. The Battalion Chief appealed to Circuit Court judge that reversed the termination;  the Court of Appeals reinstated the termination. </w:t>
      </w:r>
      <w:hyperlink r:id="rId2489" w:history="1">
        <w:r w:rsidRPr="002E59C2">
          <w:rPr>
            <w:rStyle w:val="Hyperlink"/>
          </w:rPr>
          <w:t>https://cases.justia.com/missouri/court-of-appeals/2026-wd88004.pdf?ts=1772555406</w:t>
        </w:r>
      </w:hyperlink>
      <w:r>
        <w:t xml:space="preserve"> </w:t>
      </w:r>
    </w:p>
    <w:p w14:paraId="67413446" w14:textId="77777777" w:rsidR="000301F2" w:rsidRDefault="000301F2" w:rsidP="000301F2">
      <w:pPr>
        <w:pStyle w:val="NoSpacing"/>
      </w:pPr>
    </w:p>
    <w:p w14:paraId="4B7F5A10" w14:textId="77777777" w:rsidR="000301F2" w:rsidRDefault="000301F2" w:rsidP="000301F2">
      <w:pPr>
        <w:pStyle w:val="NoSpacing"/>
      </w:pPr>
      <w:r>
        <w:t xml:space="preserve">THE COURT HELD: “We affirm the decision of the Board and remand the cause to the circuit court with directions to reinstate the Board’s decision terminating Matusik’s employment… With respect to his use of the AFFF, the Board found that Matusik was aware of Fire Chief’s order regarding the use of AFFF and knew that use of the foam without a life safety emergency was prohibited. The Board also discounted Matusik’s testimony that Fire Chief’s order gave him discretion to use AFFF because the only discretion afforded was if there was a life safety issue. The Board concluded that the evidence did not support </w:t>
      </w:r>
      <w:proofErr w:type="gramStart"/>
      <w:r>
        <w:t>a finding</w:t>
      </w:r>
      <w:proofErr w:type="gramEnd"/>
      <w:r>
        <w:t xml:space="preserve"> that any person’s life was in danger and that Matusik had other options available to him to fight the fire. The Board found Matusik’s decision to use the AFFF contradicted a direct order and was not supported by the facts…. </w:t>
      </w:r>
      <w:r w:rsidRPr="004474C8">
        <w:t>The Board affirmed the disciplinary recommendation and terminated Matusik’s employment.</w:t>
      </w:r>
      <w:r>
        <w:t>”</w:t>
      </w:r>
    </w:p>
    <w:p w14:paraId="6FAF0295" w14:textId="77777777" w:rsidR="000301F2" w:rsidRDefault="000301F2" w:rsidP="000301F2">
      <w:pPr>
        <w:pStyle w:val="NoSpacing"/>
      </w:pPr>
    </w:p>
    <w:p w14:paraId="2803081D" w14:textId="77777777" w:rsidR="000301F2" w:rsidRDefault="000301F2" w:rsidP="000301F2">
      <w:pPr>
        <w:pStyle w:val="NoSpacing"/>
      </w:pPr>
      <w:r w:rsidRPr="00C015D9">
        <w:rPr>
          <w:b/>
        </w:rPr>
        <w:t xml:space="preserve">Legal lesson learned: </w:t>
      </w:r>
      <w:r>
        <w:rPr>
          <w:b/>
        </w:rPr>
        <w:t xml:space="preserve">The Battalion Chief disobeyed the Chief’s order to not use AFFF foam. </w:t>
      </w:r>
    </w:p>
    <w:p w14:paraId="175B0F4A" w14:textId="77777777" w:rsidR="000301F2" w:rsidRDefault="000301F2" w:rsidP="000301F2">
      <w:pPr>
        <w:pStyle w:val="NoSpacing"/>
      </w:pPr>
    </w:p>
    <w:p w14:paraId="1B6639B1" w14:textId="77777777" w:rsidR="000301F2" w:rsidRPr="001C5BE8" w:rsidRDefault="000301F2" w:rsidP="000301F2">
      <w:pPr>
        <w:pStyle w:val="NoSpacing"/>
        <w:ind w:left="720"/>
        <w:rPr>
          <w:bCs/>
        </w:rPr>
      </w:pPr>
      <w:r w:rsidRPr="000425E7">
        <w:t>Note: See</w:t>
      </w:r>
      <w:r>
        <w:t xml:space="preserve"> July 8, </w:t>
      </w:r>
      <w:proofErr w:type="gramStart"/>
      <w:r>
        <w:t>2024</w:t>
      </w:r>
      <w:proofErr w:type="gramEnd"/>
      <w:r>
        <w:t xml:space="preserve"> GAO report: “</w:t>
      </w:r>
      <w:r w:rsidRPr="001C5BE8">
        <w:t>Firefighting Foam: DOD is Working to Address Challenges to Transitioning to PFAS-Free Alternatives</w:t>
      </w:r>
      <w:r>
        <w:t xml:space="preserve">.” </w:t>
      </w:r>
      <w:hyperlink r:id="rId2490" w:history="1">
        <w:r w:rsidRPr="0045422A">
          <w:rPr>
            <w:rStyle w:val="Hyperlink"/>
          </w:rPr>
          <w:t>https://www.gao.gov/products/gao-24-107322</w:t>
        </w:r>
      </w:hyperlink>
      <w:r>
        <w:t xml:space="preserve"> </w:t>
      </w:r>
    </w:p>
    <w:p w14:paraId="3BBFEA6E" w14:textId="77777777" w:rsidR="000301F2" w:rsidRDefault="000301F2" w:rsidP="000301F2">
      <w:pPr>
        <w:pStyle w:val="NoSpacing"/>
        <w:ind w:left="720"/>
        <w:rPr>
          <w:bCs/>
        </w:rPr>
      </w:pPr>
    </w:p>
    <w:p w14:paraId="4C916177" w14:textId="77777777" w:rsidR="000301F2" w:rsidRDefault="000301F2" w:rsidP="000301F2">
      <w:pPr>
        <w:pStyle w:val="NoSpacing"/>
        <w:ind w:left="720"/>
      </w:pPr>
      <w:r>
        <w:t>“</w:t>
      </w:r>
      <w:r w:rsidRPr="00C435C4">
        <w:t>The Defense Department is required to transition away from using firefighting foam that contains PFAS, a class of chemicals that poses health risks and has been found in drinking water around bases. This kind of foam has been considered the most effective product for suppressing jet fuel fires.</w:t>
      </w:r>
      <w:r>
        <w:t>”</w:t>
      </w:r>
    </w:p>
    <w:p w14:paraId="0054F477" w14:textId="77777777" w:rsidR="000301F2" w:rsidRDefault="000301F2" w:rsidP="000301F2">
      <w:pPr>
        <w:pStyle w:val="NoSpacing"/>
        <w:ind w:left="720"/>
      </w:pPr>
    </w:p>
    <w:p w14:paraId="66E250A5" w14:textId="77777777" w:rsidR="000301F2" w:rsidRPr="00CA50E8" w:rsidRDefault="000301F2" w:rsidP="009352C7">
      <w:pPr>
        <w:pStyle w:val="NoSpacing"/>
        <w:rPr>
          <w:b/>
        </w:rPr>
      </w:pPr>
    </w:p>
    <w:p w14:paraId="5A1523A9" w14:textId="77777777" w:rsidR="009352C7" w:rsidRDefault="009352C7" w:rsidP="002F7727">
      <w:pPr>
        <w:pStyle w:val="NoSpacing"/>
        <w:rPr>
          <w:rFonts w:ascii="Arial Black" w:hAnsi="Arial Black"/>
          <w:b/>
          <w:sz w:val="24"/>
          <w:szCs w:val="24"/>
        </w:rPr>
      </w:pPr>
    </w:p>
    <w:p w14:paraId="67954119" w14:textId="77777777" w:rsidR="0075332D" w:rsidRDefault="0075332D" w:rsidP="002F7727">
      <w:pPr>
        <w:pStyle w:val="NoSpacing"/>
        <w:rPr>
          <w:rFonts w:ascii="Arial Black" w:hAnsi="Arial Black"/>
          <w:b/>
          <w:sz w:val="24"/>
          <w:szCs w:val="24"/>
        </w:rPr>
      </w:pPr>
    </w:p>
    <w:p w14:paraId="6E80C789" w14:textId="77777777" w:rsidR="0075332D" w:rsidRDefault="0075332D" w:rsidP="002F7727">
      <w:pPr>
        <w:pStyle w:val="NoSpacing"/>
        <w:rPr>
          <w:rFonts w:ascii="Arial Black" w:hAnsi="Arial Black"/>
          <w:b/>
          <w:sz w:val="24"/>
          <w:szCs w:val="24"/>
        </w:rPr>
      </w:pPr>
    </w:p>
    <w:p w14:paraId="1983BDF7" w14:textId="63EF4D99" w:rsidR="008F1833" w:rsidRDefault="002F409C" w:rsidP="002F7727">
      <w:pPr>
        <w:pStyle w:val="NoSpacing"/>
        <w:rPr>
          <w:rFonts w:ascii="Arial Black" w:hAnsi="Arial Black"/>
          <w:b/>
          <w:sz w:val="24"/>
          <w:szCs w:val="24"/>
        </w:rPr>
      </w:pPr>
      <w:r>
        <w:rPr>
          <w:rFonts w:ascii="Arial Black" w:hAnsi="Arial Black"/>
          <w:b/>
          <w:sz w:val="24"/>
          <w:szCs w:val="24"/>
        </w:rPr>
        <w:t>16-150</w:t>
      </w:r>
      <w:r w:rsidR="00DB1FBE">
        <w:rPr>
          <w:rFonts w:ascii="Arial Black" w:hAnsi="Arial Black"/>
          <w:b/>
          <w:sz w:val="24"/>
          <w:szCs w:val="24"/>
        </w:rPr>
        <w:t xml:space="preserve">  </w:t>
      </w:r>
      <w:r w:rsidR="00DB1FBE" w:rsidRPr="00DB1FBE">
        <w:rPr>
          <w:rFonts w:ascii="Times New Roman" w:hAnsi="Times New Roman"/>
          <w:b/>
          <w:sz w:val="24"/>
          <w:szCs w:val="24"/>
        </w:rPr>
        <w:t>[also filed, Chap. 13]</w:t>
      </w:r>
      <w:r w:rsidR="00DB1FBE">
        <w:rPr>
          <w:rFonts w:ascii="Arial Black" w:hAnsi="Arial Black"/>
          <w:b/>
          <w:sz w:val="24"/>
          <w:szCs w:val="24"/>
        </w:rPr>
        <w:t xml:space="preserve"> </w:t>
      </w:r>
    </w:p>
    <w:p w14:paraId="145F0D18" w14:textId="77777777" w:rsidR="00DB1FBE" w:rsidRDefault="00DB1FBE" w:rsidP="002F7727">
      <w:pPr>
        <w:pStyle w:val="NoSpacing"/>
        <w:rPr>
          <w:rFonts w:ascii="Arial Black" w:hAnsi="Arial Black"/>
          <w:b/>
          <w:sz w:val="24"/>
          <w:szCs w:val="24"/>
        </w:rPr>
      </w:pPr>
    </w:p>
    <w:p w14:paraId="322B0E8A" w14:textId="77777777" w:rsidR="002F409C" w:rsidRDefault="002F409C" w:rsidP="002F409C">
      <w:pPr>
        <w:pStyle w:val="NoSpacing"/>
        <w:rPr>
          <w:rFonts w:ascii="Arial Black" w:hAnsi="Arial Black"/>
          <w:b/>
          <w:sz w:val="28"/>
          <w:szCs w:val="28"/>
        </w:rPr>
      </w:pPr>
      <w:r>
        <w:rPr>
          <w:rFonts w:ascii="Arial Black" w:hAnsi="Arial Black"/>
          <w:b/>
          <w:sz w:val="28"/>
          <w:szCs w:val="28"/>
        </w:rPr>
        <w:t xml:space="preserve">FL: B/C FIRED – REFUSED TO ISSUE COVID REPRIMANDS </w:t>
      </w:r>
    </w:p>
    <w:p w14:paraId="38D9810D" w14:textId="77777777" w:rsidR="002F409C" w:rsidRDefault="002F409C" w:rsidP="002F409C">
      <w:pPr>
        <w:pStyle w:val="NoSpacing"/>
        <w:rPr>
          <w:rFonts w:ascii="Arial Black" w:hAnsi="Arial Black"/>
          <w:b/>
          <w:sz w:val="28"/>
          <w:szCs w:val="28"/>
        </w:rPr>
      </w:pPr>
    </w:p>
    <w:p w14:paraId="0B38A88E" w14:textId="77777777" w:rsidR="002F409C" w:rsidRDefault="002F409C" w:rsidP="002F409C">
      <w:pPr>
        <w:pStyle w:val="NoSpacing"/>
        <w:rPr>
          <w:bCs/>
        </w:rPr>
      </w:pPr>
      <w:r>
        <w:t xml:space="preserve">On February 13, 2026, in </w:t>
      </w:r>
      <w:r w:rsidRPr="00805F39">
        <w:rPr>
          <w:u w:val="single"/>
        </w:rPr>
        <w:t>Stephen M. Davis v. Orange County</w:t>
      </w:r>
      <w:r>
        <w:t xml:space="preserve">, the United States Court of Appeals for the Eleventh Circuit (Atlanta) held (3 to 0; unpublished decision) that his lawsuit was properly dismissed.  </w:t>
      </w:r>
      <w:r w:rsidRPr="00CD2C4C">
        <w:t xml:space="preserve">Davis worked for the department for 15 years and advanced through the ranks to battalion chief. In 2021, Davis was terminated after he did not reprimand department personnel who refused the Orange County’s mandated COVID-19 vaccine. </w:t>
      </w:r>
      <w:r>
        <w:t xml:space="preserve"> Davis has failed to allege an” objectively reasonable” belief that issuing the written reprimands to firefighters who hadn’t timely provided a vaccination certificate or exemption request, because the union had negotiated an MOU with the County that COVID reprimands could not be considered or used in a union member’s performance evaluation, and that no further disciplinary action could be taken against employees who didn’t file a timely vaccination certificate or exemption request. </w:t>
      </w:r>
      <w:hyperlink r:id="rId2491" w:history="1">
        <w:r w:rsidRPr="002B0907">
          <w:rPr>
            <w:rStyle w:val="Hyperlink"/>
          </w:rPr>
          <w:t>https://www.govinfo.gov/content/pkg/USCOURTS-ca11-25-11434/pdf/USCOURTS-ca11-25-11434-0.pdf</w:t>
        </w:r>
      </w:hyperlink>
      <w:r>
        <w:t xml:space="preserve"> </w:t>
      </w:r>
    </w:p>
    <w:p w14:paraId="17A6FCB2" w14:textId="77777777" w:rsidR="002F409C" w:rsidRDefault="002F409C" w:rsidP="002F409C">
      <w:pPr>
        <w:pStyle w:val="NoSpacing"/>
        <w:rPr>
          <w:bCs/>
        </w:rPr>
      </w:pPr>
    </w:p>
    <w:p w14:paraId="7C38F979" w14:textId="77777777" w:rsidR="002F409C" w:rsidRDefault="002F409C" w:rsidP="002F409C">
      <w:pPr>
        <w:pStyle w:val="NoSpacing"/>
      </w:pPr>
      <w:r>
        <w:t>THE COURT HELD: “It is undisputed that Davis’s termination was an adverse employment action caused by his refusal to issue reprimands for violations of the department’s COVID-19 policy, so this case comes down to whether that refusal was protected activity…. Here, Davis asserts that he believed the reprimands he was ordered to issue violated Title VII’s anti-discrimination provision. That belief wasn’t objectively reasonable….  The memorandum of understanding between the union representing Orange County firefighters and the county stated that the reprimands could not be considered or used in a union member’s performance</w:t>
      </w:r>
    </w:p>
    <w:p w14:paraId="30C79BBB" w14:textId="77777777" w:rsidR="002F409C" w:rsidRDefault="002F409C" w:rsidP="002F409C">
      <w:pPr>
        <w:pStyle w:val="NoSpacing"/>
      </w:pPr>
      <w:r>
        <w:t xml:space="preserve">evaluation, and that no further disciplinary action could be taken against employees who didn’t file a timely vaccination certificate or exemption request. In other words, the reprimands were toothless—they themselves didn’t rise to the level of an adverse employment action, and a future adverse employment action couldn’t be based on them…. In other words, the reprimands were toothless—they themselves didn’t rise to the level of an adverse employment action, and a future adverse employment action couldn’t be based on them. </w:t>
      </w:r>
      <w:proofErr w:type="gramStart"/>
      <w:r>
        <w:t>So</w:t>
      </w:r>
      <w:proofErr w:type="gramEnd"/>
      <w:r>
        <w:t xml:space="preserve"> Davis has failed to allege an objectively reasonable belief that a written reprimand—that by its own terms could</w:t>
      </w:r>
    </w:p>
    <w:p w14:paraId="74AE29AD" w14:textId="77777777" w:rsidR="002F409C" w:rsidRDefault="002F409C" w:rsidP="002F409C">
      <w:pPr>
        <w:pStyle w:val="NoSpacing"/>
      </w:pPr>
      <w:r>
        <w:t>not impact the terms or conditions of a firefighter’s employment— would disadvantage, harm, or make “worse off” his subordinates’ employment in any way.”</w:t>
      </w:r>
    </w:p>
    <w:p w14:paraId="5881BC65" w14:textId="77777777" w:rsidR="002F409C" w:rsidRDefault="002F409C" w:rsidP="002F409C">
      <w:pPr>
        <w:pStyle w:val="NoSpacing"/>
      </w:pPr>
    </w:p>
    <w:p w14:paraId="042553EC" w14:textId="77777777" w:rsidR="002F409C" w:rsidRDefault="002F409C" w:rsidP="002F409C">
      <w:pPr>
        <w:pStyle w:val="NoSpacing"/>
        <w:rPr>
          <w:b/>
          <w:bCs/>
        </w:rPr>
      </w:pPr>
      <w:r>
        <w:rPr>
          <w:b/>
        </w:rPr>
        <w:t>Legal lesson learned:  Davis should have consulted an employment layer before refusing to issue the COVID reprimands.</w:t>
      </w:r>
    </w:p>
    <w:p w14:paraId="2711476C" w14:textId="77777777" w:rsidR="002F409C" w:rsidRDefault="002F409C" w:rsidP="002F409C">
      <w:pPr>
        <w:pStyle w:val="NoSpacing"/>
        <w:rPr>
          <w:b/>
          <w:bCs/>
        </w:rPr>
      </w:pPr>
    </w:p>
    <w:p w14:paraId="5CEDC709" w14:textId="77777777" w:rsidR="002F409C" w:rsidRDefault="002F409C" w:rsidP="002F409C">
      <w:pPr>
        <w:pStyle w:val="NoSpacing"/>
        <w:ind w:left="720"/>
      </w:pPr>
      <w:r>
        <w:t xml:space="preserve">Note: See June 15, </w:t>
      </w:r>
      <w:proofErr w:type="gramStart"/>
      <w:r>
        <w:t>2024</w:t>
      </w:r>
      <w:proofErr w:type="gramEnd"/>
      <w:r>
        <w:t xml:space="preserve"> article</w:t>
      </w:r>
      <w:r w:rsidRPr="001260AC">
        <w:rPr>
          <w:b/>
        </w:rPr>
        <w:t xml:space="preserve">: </w:t>
      </w:r>
      <w:r>
        <w:rPr>
          <w:b/>
        </w:rPr>
        <w:t>“</w:t>
      </w:r>
      <w:r w:rsidRPr="001260AC">
        <w:t>BREAKING: Former Orange County Fire Rescue battalion chief announces candidacy for County Commission District 1</w:t>
      </w:r>
      <w:r>
        <w:t xml:space="preserve">. </w:t>
      </w:r>
      <w:hyperlink r:id="rId2492" w:history="1">
        <w:r w:rsidRPr="002B0907">
          <w:rPr>
            <w:rStyle w:val="Hyperlink"/>
          </w:rPr>
          <w:t>https://www.orangeobserver.com/news/2024/jun/15/breaking-former-orange-county-fire-rescue-battalion-chief-announces-candidacy-for-county-commission-district-1/</w:t>
        </w:r>
      </w:hyperlink>
      <w:r>
        <w:t xml:space="preserve"> </w:t>
      </w:r>
    </w:p>
    <w:p w14:paraId="28F98514" w14:textId="77777777" w:rsidR="002F409C" w:rsidRDefault="002F409C" w:rsidP="002F409C">
      <w:pPr>
        <w:pStyle w:val="NoSpacing"/>
        <w:ind w:left="720"/>
      </w:pPr>
    </w:p>
    <w:p w14:paraId="07731DD2" w14:textId="77777777" w:rsidR="002F409C" w:rsidRPr="00A21182" w:rsidRDefault="002F409C" w:rsidP="002F409C">
      <w:pPr>
        <w:pStyle w:val="NoSpacing"/>
        <w:ind w:left="720"/>
      </w:pPr>
      <w:r>
        <w:t>“</w:t>
      </w:r>
      <w:r w:rsidRPr="00722EC8">
        <w:t xml:space="preserve">Stephen Davis, a former Orange County Fire Rescue battalion chief has filed as a qualified write-in candidate for the </w:t>
      </w:r>
      <w:proofErr w:type="gramStart"/>
      <w:r w:rsidRPr="00722EC8">
        <w:t>District</w:t>
      </w:r>
      <w:proofErr w:type="gramEnd"/>
      <w:r w:rsidRPr="00722EC8">
        <w:t xml:space="preserve"> 1 Orange County Commission seat.</w:t>
      </w:r>
      <w:r>
        <w:t xml:space="preserve"> </w:t>
      </w:r>
      <w:r w:rsidRPr="00722EC8">
        <w:t xml:space="preserve">Davis joins incumbent Nicole Wilson and challenger Austin Arthur in the race. </w:t>
      </w:r>
      <w:proofErr w:type="spellStart"/>
      <w:r w:rsidRPr="00722EC8">
        <w:t>Davis’</w:t>
      </w:r>
      <w:proofErr w:type="spellEnd"/>
      <w:r w:rsidRPr="00722EC8">
        <w:t xml:space="preserve"> candidacy also moves the race from November general election up to the primary ballot, Aug. 20.</w:t>
      </w:r>
      <w:r>
        <w:t xml:space="preserve"> </w:t>
      </w:r>
      <w:r w:rsidRPr="00722EC8">
        <w:t xml:space="preserve">If one candidate gets 50% plus one vote in the primary, that person wins the seat, Orange County Supervisor of Elections Public Information Officer Christopher Heath said. </w:t>
      </w:r>
      <w:r>
        <w:t xml:space="preserve"> </w:t>
      </w:r>
      <w:r w:rsidRPr="00722EC8">
        <w:t>Davis worked for the department for 15 years and advanced through the ranks to battalion chief. In 2021, Davis was terminated after he did not reprimand department personnel who refused the Orange County’s mandated COVID-19 vaccine.</w:t>
      </w:r>
      <w:r w:rsidRPr="00A21182">
        <w:rPr>
          <w:rFonts w:eastAsia="Times New Roman"/>
        </w:rPr>
        <w:t xml:space="preserve"> </w:t>
      </w:r>
      <w:r w:rsidRPr="00A21182">
        <w:t xml:space="preserve">He later filed a lawsuit against the county for wrongful termination </w:t>
      </w:r>
      <w:proofErr w:type="gramStart"/>
      <w:r w:rsidRPr="00A21182">
        <w:t>and also</w:t>
      </w:r>
      <w:proofErr w:type="gramEnd"/>
      <w:r w:rsidRPr="00A21182">
        <w:t xml:space="preserve"> has written a book about his experience.</w:t>
      </w:r>
      <w:r>
        <w:t xml:space="preserve"> ‘</w:t>
      </w:r>
      <w:r w:rsidRPr="00A21182">
        <w:t>History has now proven Orange County was wrong to mandate the so-called vaccine,</w:t>
      </w:r>
      <w:r>
        <w:t>’</w:t>
      </w:r>
      <w:r w:rsidRPr="00A21182">
        <w:t xml:space="preserve"> Davis said. </w:t>
      </w:r>
      <w:r>
        <w:t>‘</w:t>
      </w:r>
      <w:r w:rsidRPr="00A21182">
        <w:t>It did not stop the spread. Worse, Commissioner Nicole Wilson ridiculed and showed disdain for the firefighters who refused it. That’s why I’m running — to make sure this issue does not go away.</w:t>
      </w:r>
      <w:r>
        <w:t>’”</w:t>
      </w:r>
    </w:p>
    <w:p w14:paraId="664BB4B0" w14:textId="77777777" w:rsidR="002F409C" w:rsidRPr="00722EC8" w:rsidRDefault="002F409C" w:rsidP="002F409C">
      <w:pPr>
        <w:pStyle w:val="NoSpacing"/>
        <w:ind w:left="720"/>
      </w:pPr>
    </w:p>
    <w:p w14:paraId="015FB502" w14:textId="77777777" w:rsidR="002F409C" w:rsidRDefault="002F409C" w:rsidP="002F409C">
      <w:pPr>
        <w:pStyle w:val="NoSpacing"/>
      </w:pPr>
    </w:p>
    <w:p w14:paraId="4FAFC4E0" w14:textId="23635BD7" w:rsidR="002F409C" w:rsidRPr="008A774F" w:rsidRDefault="00B8457C" w:rsidP="008A774F">
      <w:pPr>
        <w:pStyle w:val="NoSpacing"/>
        <w:rPr>
          <w:rFonts w:ascii="Arial Black" w:hAnsi="Arial Black"/>
          <w:sz w:val="28"/>
          <w:szCs w:val="28"/>
        </w:rPr>
      </w:pPr>
      <w:r w:rsidRPr="008A774F">
        <w:rPr>
          <w:rFonts w:ascii="Arial Black" w:hAnsi="Arial Black"/>
          <w:sz w:val="28"/>
          <w:szCs w:val="28"/>
        </w:rPr>
        <w:t>16-149</w:t>
      </w:r>
    </w:p>
    <w:p w14:paraId="2E59CE5D" w14:textId="77777777" w:rsidR="00B8457C" w:rsidRDefault="00B8457C" w:rsidP="002F409C">
      <w:pPr>
        <w:pStyle w:val="NoSpacing"/>
        <w:ind w:left="720"/>
      </w:pPr>
    </w:p>
    <w:p w14:paraId="0F963F48" w14:textId="77777777" w:rsidR="00B8457C" w:rsidRPr="008A1D44" w:rsidRDefault="00B8457C" w:rsidP="00B8457C">
      <w:pPr>
        <w:pStyle w:val="NoSpacing"/>
        <w:rPr>
          <w:rFonts w:ascii="Arial Black" w:hAnsi="Arial Black"/>
          <w:sz w:val="28"/>
          <w:szCs w:val="28"/>
        </w:rPr>
      </w:pPr>
      <w:r>
        <w:rPr>
          <w:rFonts w:ascii="Arial Black" w:hAnsi="Arial Black"/>
          <w:sz w:val="28"/>
          <w:szCs w:val="28"/>
        </w:rPr>
        <w:t>TX: FEMALE LT – 5-DAY &amp; 10-DAY SUSP - LEAVING STATION</w:t>
      </w:r>
    </w:p>
    <w:p w14:paraId="1206711F" w14:textId="77777777" w:rsidR="00B8457C" w:rsidRDefault="00B8457C" w:rsidP="00B8457C">
      <w:pPr>
        <w:pStyle w:val="NoSpacing"/>
      </w:pPr>
      <w:r w:rsidRPr="008A1D44">
        <w:t> </w:t>
      </w:r>
    </w:p>
    <w:p w14:paraId="1C2E5C13" w14:textId="77777777" w:rsidR="00B8457C" w:rsidRDefault="00B8457C" w:rsidP="00B8457C">
      <w:pPr>
        <w:pStyle w:val="NoSpacing"/>
      </w:pPr>
      <w:r>
        <w:t xml:space="preserve">On February 12, 2026, in </w:t>
      </w:r>
      <w:r w:rsidRPr="003851F7">
        <w:rPr>
          <w:u w:val="single"/>
        </w:rPr>
        <w:t>City of Pharr v. Lt. Krystle Guerra</w:t>
      </w:r>
      <w:r>
        <w:t xml:space="preserve">, the </w:t>
      </w:r>
      <w:r w:rsidRPr="003851F7">
        <w:t>Court of Appeals of Texas, Thirteenth District, Corpus Christi-Edinburg</w:t>
      </w:r>
      <w:r>
        <w:t xml:space="preserve">, held that the </w:t>
      </w:r>
      <w:r w:rsidRPr="00D62030">
        <w:t>City of Pharr Fire &amp; Police Civil Service Commission</w:t>
      </w:r>
      <w:r>
        <w:t xml:space="preserve"> upheld her two separate suspensions after hearings, and the trial court should have dismissed her lawsuit.   </w:t>
      </w:r>
      <w:hyperlink r:id="rId2493" w:history="1">
        <w:r w:rsidRPr="00C72C21">
          <w:rPr>
            <w:rStyle w:val="Hyperlink"/>
          </w:rPr>
          <w:t>https://cases.justia.com/texas/thirteenth-court-of-appeals/2026-13-24-00112-cv.pdf?ts=1770913029</w:t>
        </w:r>
      </w:hyperlink>
      <w:r>
        <w:t xml:space="preserve"> </w:t>
      </w:r>
    </w:p>
    <w:p w14:paraId="398F0604" w14:textId="77777777" w:rsidR="00B8457C" w:rsidRDefault="00B8457C" w:rsidP="00B8457C">
      <w:pPr>
        <w:pStyle w:val="NoSpacing"/>
      </w:pPr>
    </w:p>
    <w:p w14:paraId="3EE69B60" w14:textId="77777777" w:rsidR="00B8457C" w:rsidRDefault="00B8457C" w:rsidP="00B8457C">
      <w:pPr>
        <w:pStyle w:val="NoSpacing"/>
      </w:pPr>
      <w:r>
        <w:t>THE COURT HELD: “</w:t>
      </w:r>
      <w:r w:rsidRPr="00363CB9">
        <w:t>On June 22, 2021, Guerra received written notice that then-Fire Chief Leonardo Perez was investigating allegations that she violated Department policies on multiple occasions. The allegations largely centered on several reports that, without prior authorization, Guerra repeatedly left her assigned fire station and district to conduct personal business or socialize at other stations while on duty.</w:t>
      </w:r>
      <w:r>
        <w:t xml:space="preserve"> </w:t>
      </w:r>
      <w:r w:rsidRPr="00363CB9">
        <w:t xml:space="preserve">During a disciplinary hearing before Chief Perez, Guerra did not dispute those allegations; instead, she generally claimed that it was common for other Department personnel to run personal errands during work hours. Chief Perez invited Guerra to provide examples to support her contention. In a follow-up email to Chief Perez, she accused him of running personal errands while on duty and cited specific instances of him allegedly doing so. After considering Guerra's response, Chief Perez found the allegations against her to be true and suspended Guerra for five days without pay. </w:t>
      </w:r>
      <w:r>
        <w:t xml:space="preserve">*** </w:t>
      </w:r>
      <w:r w:rsidRPr="00001403">
        <w:t xml:space="preserve">In January 2022, Chief Perez's successor, Pilar Rodriguez, sent Guerra written notice of contemplated discipline concerning two incidents. Guerra was accused of </w:t>
      </w:r>
      <w:r>
        <w:t>‘</w:t>
      </w:r>
      <w:r w:rsidRPr="00001403">
        <w:t>exchanging time</w:t>
      </w:r>
      <w:r>
        <w:t>’</w:t>
      </w:r>
      <w:r w:rsidRPr="00001403">
        <w:t xml:space="preserve"> with another lieutenant in violation of a supervisor's prior directive not to do so. She was also accused of leaving her post for two hours without obtaining prior authorization from her immediate supervisor or notifying others above her in the chain of command.</w:t>
      </w:r>
      <w:r>
        <w:t xml:space="preserve"> *** </w:t>
      </w:r>
      <w:r w:rsidRPr="00802436">
        <w:t xml:space="preserve">Guerra alleged in her petition that her protected activities consisted of </w:t>
      </w:r>
      <w:r>
        <w:t>‘</w:t>
      </w:r>
      <w:r w:rsidRPr="00802436">
        <w:t>reporting misbehavior by a male firefighter and [Chief Perez]</w:t>
      </w:r>
      <w:r>
        <w:t>’</w:t>
      </w:r>
      <w:r w:rsidRPr="00802436">
        <w:t xml:space="preserve"> and that her transfer to another station and suspensions constituted </w:t>
      </w:r>
      <w:r>
        <w:t>‘</w:t>
      </w:r>
      <w:r w:rsidRPr="00802436">
        <w:t>retaliation</w:t>
      </w:r>
      <w:r>
        <w:t>’</w:t>
      </w:r>
      <w:r w:rsidRPr="00802436">
        <w:t xml:space="preserve"> for making these reports. However, as she described in her own petition, the January 2021 report concerned </w:t>
      </w:r>
      <w:proofErr w:type="gramStart"/>
      <w:r w:rsidRPr="00802436">
        <w:t xml:space="preserve">a subordinate's </w:t>
      </w:r>
      <w:r>
        <w:t>‘</w:t>
      </w:r>
      <w:proofErr w:type="gramEnd"/>
      <w:r w:rsidRPr="00802436">
        <w:t>work performance issues." For example, Guerra reported that this employee's job performance was "unsatisfactory</w:t>
      </w:r>
      <w:r>
        <w:t>’</w:t>
      </w:r>
      <w:r w:rsidRPr="00802436">
        <w:t xml:space="preserve"> because of his poor interpersonal skills. Nowhere in the report did Guerra state that the employee had engaged in any kind of discriminatory behavior</w:t>
      </w:r>
      <w:r>
        <w:t xml:space="preserve">…. </w:t>
      </w:r>
      <w:r w:rsidRPr="00C83518">
        <w:t>In short, Guerra's pleadings and evidence conclusively establish that her retaliation claims are based on activities that are not protected by Chapter 2</w:t>
      </w:r>
      <w:r>
        <w:t>1.”</w:t>
      </w:r>
    </w:p>
    <w:p w14:paraId="2FE37623" w14:textId="77777777" w:rsidR="00B8457C" w:rsidRDefault="00B8457C" w:rsidP="00B8457C">
      <w:pPr>
        <w:pStyle w:val="NoSpacing"/>
      </w:pPr>
    </w:p>
    <w:p w14:paraId="4437E266" w14:textId="77777777" w:rsidR="00B8457C" w:rsidRPr="00FB3A46" w:rsidRDefault="00B8457C" w:rsidP="00B8457C">
      <w:pPr>
        <w:pStyle w:val="NoSpacing"/>
        <w:rPr>
          <w:b/>
          <w:bCs/>
        </w:rPr>
      </w:pPr>
      <w:r w:rsidRPr="00FB3A46">
        <w:rPr>
          <w:b/>
        </w:rPr>
        <w:t xml:space="preserve">Legal lesson learned: </w:t>
      </w:r>
      <w:r>
        <w:rPr>
          <w:b/>
        </w:rPr>
        <w:t xml:space="preserve">Laving a station without permission, particularly when you are the OIC, can lead to discipline. </w:t>
      </w:r>
    </w:p>
    <w:p w14:paraId="4C666750" w14:textId="77777777" w:rsidR="00B8457C" w:rsidRDefault="00B8457C" w:rsidP="002F409C">
      <w:pPr>
        <w:pStyle w:val="NoSpacing"/>
        <w:ind w:left="720"/>
      </w:pPr>
    </w:p>
    <w:p w14:paraId="2520933B" w14:textId="77777777" w:rsidR="002F409C" w:rsidRPr="005E4175" w:rsidRDefault="002F409C" w:rsidP="002F409C">
      <w:pPr>
        <w:pStyle w:val="NoSpacing"/>
        <w:ind w:left="720"/>
        <w:rPr>
          <w:bCs/>
        </w:rPr>
      </w:pPr>
    </w:p>
    <w:p w14:paraId="015843BB" w14:textId="77777777" w:rsidR="002F409C" w:rsidRDefault="002F409C" w:rsidP="002F7727">
      <w:pPr>
        <w:pStyle w:val="NoSpacing"/>
        <w:rPr>
          <w:rFonts w:ascii="Arial Black" w:hAnsi="Arial Black"/>
          <w:b/>
          <w:sz w:val="24"/>
          <w:szCs w:val="24"/>
        </w:rPr>
      </w:pPr>
    </w:p>
    <w:p w14:paraId="0CD8FBB3" w14:textId="77777777" w:rsidR="002F409C" w:rsidRDefault="002F409C" w:rsidP="002F7727">
      <w:pPr>
        <w:pStyle w:val="NoSpacing"/>
        <w:rPr>
          <w:rFonts w:ascii="Arial Black" w:hAnsi="Arial Black"/>
          <w:b/>
          <w:sz w:val="24"/>
          <w:szCs w:val="24"/>
        </w:rPr>
      </w:pPr>
    </w:p>
    <w:p w14:paraId="657BAB78" w14:textId="77777777" w:rsidR="002F409C" w:rsidRDefault="002F409C" w:rsidP="002F7727">
      <w:pPr>
        <w:pStyle w:val="NoSpacing"/>
        <w:rPr>
          <w:rFonts w:ascii="Arial Black" w:hAnsi="Arial Black"/>
          <w:b/>
          <w:sz w:val="24"/>
          <w:szCs w:val="24"/>
        </w:rPr>
      </w:pPr>
    </w:p>
    <w:p w14:paraId="1D2F6AFE" w14:textId="77777777" w:rsidR="002F409C" w:rsidRDefault="002F409C" w:rsidP="002F7727">
      <w:pPr>
        <w:pStyle w:val="NoSpacing"/>
        <w:rPr>
          <w:rFonts w:ascii="Arial Black" w:hAnsi="Arial Black"/>
          <w:b/>
          <w:sz w:val="24"/>
          <w:szCs w:val="24"/>
        </w:rPr>
      </w:pPr>
    </w:p>
    <w:p w14:paraId="2D4EEB85" w14:textId="546E0E82" w:rsidR="008F1833" w:rsidRDefault="008F1833" w:rsidP="002F7727">
      <w:pPr>
        <w:pStyle w:val="NoSpacing"/>
        <w:rPr>
          <w:rFonts w:ascii="Arial Black" w:hAnsi="Arial Black"/>
          <w:b/>
          <w:sz w:val="24"/>
          <w:szCs w:val="24"/>
        </w:rPr>
      </w:pPr>
      <w:r>
        <w:rPr>
          <w:rFonts w:ascii="Arial Black" w:hAnsi="Arial Black"/>
          <w:b/>
          <w:sz w:val="24"/>
          <w:szCs w:val="24"/>
        </w:rPr>
        <w:t>16-148</w:t>
      </w:r>
    </w:p>
    <w:p w14:paraId="3629D51F" w14:textId="77777777" w:rsidR="008F1833" w:rsidRDefault="008F1833" w:rsidP="002F7727">
      <w:pPr>
        <w:pStyle w:val="NoSpacing"/>
        <w:rPr>
          <w:rFonts w:ascii="Arial Black" w:hAnsi="Arial Black"/>
          <w:b/>
          <w:sz w:val="24"/>
          <w:szCs w:val="24"/>
        </w:rPr>
      </w:pPr>
    </w:p>
    <w:p w14:paraId="2425D079" w14:textId="3802543F" w:rsidR="008F1833" w:rsidRPr="008F1833" w:rsidRDefault="008F1833" w:rsidP="008F1833">
      <w:pPr>
        <w:pStyle w:val="NoSpacing"/>
        <w:rPr>
          <w:rFonts w:ascii="Times New Roman" w:hAnsi="Times New Roman"/>
          <w:b/>
          <w:sz w:val="24"/>
          <w:szCs w:val="24"/>
        </w:rPr>
      </w:pPr>
      <w:r>
        <w:rPr>
          <w:rFonts w:ascii="Arial Black" w:hAnsi="Arial Black"/>
          <w:b/>
          <w:sz w:val="28"/>
          <w:szCs w:val="28"/>
        </w:rPr>
        <w:t xml:space="preserve">FL: FF FIRED – ANNUAL PHYSICAL – TRIED AVOID TB TEST </w:t>
      </w:r>
      <w:r w:rsidRPr="008F1833">
        <w:rPr>
          <w:rFonts w:ascii="Times New Roman" w:hAnsi="Times New Roman"/>
          <w:b/>
          <w:sz w:val="24"/>
          <w:szCs w:val="24"/>
        </w:rPr>
        <w:t>[also filed, Chap. 1</w:t>
      </w:r>
      <w:r>
        <w:rPr>
          <w:rFonts w:ascii="Times New Roman" w:hAnsi="Times New Roman"/>
          <w:b/>
          <w:sz w:val="24"/>
          <w:szCs w:val="24"/>
        </w:rPr>
        <w:t>4</w:t>
      </w:r>
      <w:r w:rsidRPr="008F1833">
        <w:rPr>
          <w:rFonts w:ascii="Times New Roman" w:hAnsi="Times New Roman"/>
          <w:b/>
          <w:sz w:val="24"/>
          <w:szCs w:val="24"/>
        </w:rPr>
        <w:t>]</w:t>
      </w:r>
    </w:p>
    <w:p w14:paraId="59BB6ECC" w14:textId="77777777" w:rsidR="008F1833" w:rsidRDefault="008F1833" w:rsidP="008F1833">
      <w:pPr>
        <w:pStyle w:val="NoSpacing"/>
        <w:rPr>
          <w:b/>
        </w:rPr>
      </w:pPr>
    </w:p>
    <w:p w14:paraId="069674D6" w14:textId="77777777" w:rsidR="008F1833" w:rsidRPr="00FF0E3F" w:rsidRDefault="008F1833" w:rsidP="008F1833">
      <w:pPr>
        <w:pStyle w:val="NoSpacing"/>
        <w:rPr>
          <w:bCs/>
        </w:rPr>
      </w:pPr>
      <w:r w:rsidRPr="001D2253">
        <w:t xml:space="preserve">On February 6, 2026, in </w:t>
      </w:r>
      <w:r w:rsidRPr="001D2253">
        <w:rPr>
          <w:u w:val="single"/>
        </w:rPr>
        <w:t>Nathaniel Griffin v. City of South Pasadena and The St. Petersburg International Association of Fire Fighters, Local 747</w:t>
      </w:r>
      <w:r w:rsidRPr="001D2253">
        <w:t xml:space="preserve">, </w:t>
      </w:r>
      <w:r>
        <w:t xml:space="preserve">U.S. District Court Judge William F. Jung, </w:t>
      </w:r>
      <w:r w:rsidRPr="00FF0E3F">
        <w:t>United States District Court for the Middle District of Florida, Tampa Division</w:t>
      </w:r>
      <w:r>
        <w:t xml:space="preserve">, dismissed the lawsuit against both the </w:t>
      </w:r>
      <w:proofErr w:type="gramStart"/>
      <w:r>
        <w:t>City</w:t>
      </w:r>
      <w:proofErr w:type="gramEnd"/>
      <w:r>
        <w:t xml:space="preserve"> and the Local.  Firefighter, paramedic Griffin, on </w:t>
      </w:r>
      <w:r w:rsidRPr="00F470E1">
        <w:t xml:space="preserve">August 12, </w:t>
      </w:r>
      <w:proofErr w:type="gramStart"/>
      <w:r w:rsidRPr="00F470E1">
        <w:t>2022</w:t>
      </w:r>
      <w:proofErr w:type="gramEnd"/>
      <w:r w:rsidRPr="00F470E1">
        <w:t xml:space="preserve"> underwent his annual physical examination at Life Scan Wellness Center</w:t>
      </w:r>
      <w:r>
        <w:t xml:space="preserve">; he </w:t>
      </w:r>
      <w:r w:rsidRPr="00F470E1">
        <w:t>completed most of the medical examination without issue, except for the TB test</w:t>
      </w:r>
      <w:r>
        <w:t xml:space="preserve">, when asked </w:t>
      </w:r>
      <w:r w:rsidRPr="00F470E1">
        <w:t>the Life Scan technician to skip the TB test but fraudulently report that a test had been done.</w:t>
      </w:r>
      <w:r>
        <w:t xml:space="preserve">  The Fire Chief gave the plaintiff an opportunity to </w:t>
      </w:r>
      <w:proofErr w:type="gramStart"/>
      <w:r>
        <w:t>resigned</w:t>
      </w:r>
      <w:proofErr w:type="gramEnd"/>
      <w:r>
        <w:t xml:space="preserve">; he refused and was fired on September 13, 2022. </w:t>
      </w:r>
      <w:hyperlink r:id="rId2494" w:history="1">
        <w:r w:rsidRPr="00C72C21">
          <w:rPr>
            <w:rStyle w:val="Hyperlink"/>
          </w:rPr>
          <w:t>https://cases.justia.com/federal/district-courts/florida/flmdce/8:2025cv02787/448658/35/0.pdf</w:t>
        </w:r>
      </w:hyperlink>
      <w:r>
        <w:t xml:space="preserve"> </w:t>
      </w:r>
    </w:p>
    <w:p w14:paraId="550CD85C" w14:textId="77777777" w:rsidR="008F1833" w:rsidRDefault="008F1833" w:rsidP="008F1833">
      <w:pPr>
        <w:pStyle w:val="NoSpacing"/>
        <w:rPr>
          <w:bCs/>
        </w:rPr>
      </w:pPr>
    </w:p>
    <w:p w14:paraId="68D5181D" w14:textId="77777777" w:rsidR="008F1833" w:rsidRDefault="008F1833" w:rsidP="008F1833">
      <w:pPr>
        <w:pStyle w:val="NoSpacing"/>
      </w:pPr>
      <w:r>
        <w:t>THE COURT HELD: “</w:t>
      </w:r>
      <w:r w:rsidRPr="005C306F">
        <w:t>When evaluating the results of the physical examination, the CBA requires the physician to follow the national guidelines set forth in the National Fire Protection Association (</w:t>
      </w:r>
      <w:r>
        <w:t>‘</w:t>
      </w:r>
      <w:r w:rsidRPr="005C306F">
        <w:t>NFPA</w:t>
      </w:r>
      <w:r>
        <w:t>’</w:t>
      </w:r>
      <w:r w:rsidRPr="005C306F">
        <w:t>) 1582, Chapter 9</w:t>
      </w:r>
      <w:r>
        <w:t xml:space="preserve">…. </w:t>
      </w:r>
      <w:r w:rsidRPr="005C306F">
        <w:t xml:space="preserve"> As relevant to this lawsuit, the annual physical examination includes tuberculosis (</w:t>
      </w:r>
      <w:r>
        <w:t>‘</w:t>
      </w:r>
      <w:r w:rsidRPr="005C306F">
        <w:t>TB</w:t>
      </w:r>
      <w:r>
        <w:t>’</w:t>
      </w:r>
      <w:r w:rsidRPr="005C306F">
        <w:t>) testing, which may require an additional chest X-ray if the TB test comes back positive</w:t>
      </w:r>
      <w:r>
        <w:t xml:space="preserve">…. </w:t>
      </w:r>
      <w:r w:rsidRPr="005C306F">
        <w:t xml:space="preserve">Plaintiff alleges that at some unspecified point during the CBA negotiations, he objected to the CBA agreement due </w:t>
      </w:r>
      <w:r>
        <w:t>‘</w:t>
      </w:r>
      <w:r w:rsidRPr="005C306F">
        <w:t>to the breath [sic] and intrusive nature of the mandatory medical examinations.</w:t>
      </w:r>
      <w:r>
        <w:t xml:space="preserve">’ … </w:t>
      </w:r>
      <w:r w:rsidRPr="005C306F">
        <w:t xml:space="preserve">Plaintiff further alleges that he continually voiced his objection to the CBA, even after the agreement was adopted on August 28, 2019. </w:t>
      </w:r>
      <w:r>
        <w:t xml:space="preserve">***  </w:t>
      </w:r>
      <w:r w:rsidRPr="00901B14">
        <w:t>Based on a careful review of the pleadings, the Court grants the City's motion to dismiss. As discussed below, Plaintiff has failed to state a claim under the ADA, GINA, Title VII, and Section 1983</w:t>
      </w:r>
      <w:r>
        <w:t xml:space="preserve">…. </w:t>
      </w:r>
      <w:r w:rsidRPr="003E7359">
        <w:t xml:space="preserve">Here, even when accepting the meager factual allegations as true, Plaintiff fails to allege any Fourth Amendment violation since the Complaint fails to allege that any private interests outweigh the City's interest in public safety. The Complaint vaguely asserts that the August 2022 physical examination violated </w:t>
      </w:r>
      <w:r>
        <w:t>‘</w:t>
      </w:r>
      <w:r w:rsidRPr="003E7359">
        <w:t xml:space="preserve">Plaintiff's personal privacy </w:t>
      </w:r>
      <w:proofErr w:type="gramStart"/>
      <w:r w:rsidRPr="003E7359">
        <w:t>rights</w:t>
      </w:r>
      <w:r>
        <w:t>’</w:t>
      </w:r>
      <w:proofErr w:type="gramEnd"/>
      <w:r w:rsidRPr="003E7359">
        <w:t xml:space="preserve"> due to the exam's </w:t>
      </w:r>
      <w:r>
        <w:t>‘</w:t>
      </w:r>
      <w:r w:rsidRPr="003E7359">
        <w:t>breadth and intrusive nature.</w:t>
      </w:r>
      <w:r>
        <w:t xml:space="preserve">’ … </w:t>
      </w:r>
      <w:r w:rsidRPr="003E7359">
        <w:t xml:space="preserve">But Plaintiff never specifies what aspect of the physical examination was so </w:t>
      </w:r>
      <w:r>
        <w:t>‘</w:t>
      </w:r>
      <w:proofErr w:type="spellStart"/>
      <w:r w:rsidRPr="003E7359">
        <w:t>intrusiv</w:t>
      </w:r>
      <w:proofErr w:type="spellEnd"/>
      <w:r>
        <w:t>’</w:t>
      </w:r>
      <w:r w:rsidRPr="003E7359">
        <w:t xml:space="preserve"> and overbroad that it violated Plaintiff's diminished expectation of privacy due to his job as a firefighter and paramedic. </w:t>
      </w:r>
      <w:r w:rsidRPr="003E7359">
        <w:rPr>
          <w:i/>
          <w:iCs/>
        </w:rPr>
        <w:t xml:space="preserve">See </w:t>
      </w:r>
      <w:proofErr w:type="spellStart"/>
      <w:r w:rsidRPr="003E7359">
        <w:rPr>
          <w:i/>
          <w:iCs/>
        </w:rPr>
        <w:t>Nat'l</w:t>
      </w:r>
      <w:proofErr w:type="spellEnd"/>
      <w:r w:rsidRPr="003E7359">
        <w:rPr>
          <w:i/>
          <w:iCs/>
        </w:rPr>
        <w:t xml:space="preserve"> Treasury Emps. Union v. Von Raab</w:t>
      </w:r>
      <w:r w:rsidRPr="003E7359">
        <w:t>, 489 U.S. 656, 671 (1989) (</w:t>
      </w:r>
      <w:r>
        <w:t>‘</w:t>
      </w:r>
      <w:r w:rsidRPr="003E7359">
        <w:t>[I]t is plain that certain forms of public employment may diminish privacy expectations even with respect to . . . personal searches.</w:t>
      </w:r>
      <w:r>
        <w:t>’</w:t>
      </w:r>
      <w:r w:rsidRPr="003E7359">
        <w:t xml:space="preserve">); </w:t>
      </w:r>
      <w:r w:rsidRPr="003E7359">
        <w:rPr>
          <w:i/>
          <w:iCs/>
        </w:rPr>
        <w:t>Scott</w:t>
      </w:r>
      <w:r w:rsidRPr="003E7359">
        <w:t>, 717 F.3d at 869 (</w:t>
      </w:r>
      <w:r>
        <w:t>‘</w:t>
      </w:r>
      <w:r w:rsidRPr="003E7359">
        <w:t xml:space="preserve">Another category-a natural extension of the Supreme Court's holding in </w:t>
      </w:r>
      <w:r w:rsidRPr="003E7359">
        <w:rPr>
          <w:i/>
          <w:iCs/>
        </w:rPr>
        <w:t>Von Raab</w:t>
      </w:r>
      <w:r w:rsidRPr="003E7359">
        <w:t>-encompasses . . . firefighters.</w:t>
      </w:r>
      <w:r>
        <w:t>’</w:t>
      </w:r>
      <w:r w:rsidRPr="003E7359">
        <w:t xml:space="preserve">); </w:t>
      </w:r>
      <w:r w:rsidRPr="003E7359">
        <w:rPr>
          <w:i/>
          <w:iCs/>
        </w:rPr>
        <w:t>Williams v. Bd. of Regents of Univ. Sys. of Georgia</w:t>
      </w:r>
      <w:r w:rsidRPr="003E7359">
        <w:t>, No. CV 120-100, 2021 WL 2827293, at *7 (S.D. Ga. July 7, 2021) (dismissing the plaintiff's Fourth Amendment search and seizure claim, as her employer's drug test fell under the special needs exception).</w:t>
      </w:r>
      <w:r>
        <w:t xml:space="preserve"> ***  Local 747’s motion seeks dismissal of the single ADA discrimination claim</w:t>
      </w:r>
    </w:p>
    <w:p w14:paraId="520AF071" w14:textId="77777777" w:rsidR="008F1833" w:rsidRDefault="008F1833" w:rsidP="008F1833">
      <w:pPr>
        <w:pStyle w:val="NoSpacing"/>
      </w:pPr>
      <w:r>
        <w:t xml:space="preserve">in Count IX. Local 747 asserts that the ADA claim is time-barred since Plaintiff ‘failed to file a charge against the Local challenging the medical exam requirement at issue within 300 days after Local 747 entered into the CBA on August 28, 2019.’ … Plaintiff’s discrimination charge must have been filed with the FCHR or the EEOC within 300 days—i.e., by June 23, 2020.” </w:t>
      </w:r>
    </w:p>
    <w:p w14:paraId="08B70C13" w14:textId="77777777" w:rsidR="008F1833" w:rsidRDefault="008F1833" w:rsidP="008F1833">
      <w:pPr>
        <w:pStyle w:val="NoSpacing"/>
      </w:pPr>
    </w:p>
    <w:p w14:paraId="7156F364" w14:textId="77777777" w:rsidR="008F1833" w:rsidRDefault="008F1833" w:rsidP="008F1833">
      <w:pPr>
        <w:pStyle w:val="NoSpacing"/>
        <w:rPr>
          <w:b/>
          <w:bCs/>
        </w:rPr>
      </w:pPr>
      <w:r w:rsidRPr="00C65E3A">
        <w:rPr>
          <w:b/>
        </w:rPr>
        <w:t xml:space="preserve">Legal lesson learned: </w:t>
      </w:r>
      <w:r>
        <w:rPr>
          <w:b/>
        </w:rPr>
        <w:t xml:space="preserve">Very unusual to have a firefighter complain about annual physical. </w:t>
      </w:r>
    </w:p>
    <w:p w14:paraId="2FC42FE7" w14:textId="77777777" w:rsidR="008F1833" w:rsidRDefault="008F1833" w:rsidP="008F1833">
      <w:pPr>
        <w:pStyle w:val="NoSpacing"/>
        <w:rPr>
          <w:b/>
          <w:bCs/>
        </w:rPr>
      </w:pPr>
      <w:r>
        <w:rPr>
          <w:b/>
        </w:rPr>
        <w:tab/>
      </w:r>
      <w:r w:rsidRPr="00EA4E78">
        <w:t>Note: In Footnote 7, the Court wrote</w:t>
      </w:r>
      <w:r>
        <w:rPr>
          <w:b/>
        </w:rPr>
        <w:t xml:space="preserve">: </w:t>
      </w:r>
    </w:p>
    <w:p w14:paraId="146E6C0A" w14:textId="77777777" w:rsidR="008F1833" w:rsidRDefault="008F1833" w:rsidP="008F1833">
      <w:pPr>
        <w:pStyle w:val="NoSpacing"/>
        <w:ind w:left="720"/>
      </w:pPr>
      <w:r>
        <w:rPr>
          <w:b/>
        </w:rPr>
        <w:t>“</w:t>
      </w:r>
      <w:r w:rsidRPr="00975937">
        <w:t xml:space="preserve">Firefighters reside in close quarters. They must be strong and hale. They must be able to provide emergency lifesaving techniques in difficult circumstances to people of varying health. </w:t>
      </w:r>
      <w:r w:rsidRPr="00975937">
        <w:rPr>
          <w:i/>
          <w:iCs/>
        </w:rPr>
        <w:t>See Cremeens v. City of Montgomery, Ala.</w:t>
      </w:r>
      <w:r w:rsidRPr="00975937">
        <w:t xml:space="preserve">, 427 </w:t>
      </w:r>
      <w:proofErr w:type="spellStart"/>
      <w:r w:rsidRPr="00975937">
        <w:t>Fed.Appx</w:t>
      </w:r>
      <w:proofErr w:type="spellEnd"/>
      <w:r w:rsidRPr="00975937">
        <w:t>. 855, 858 (11th Cir. 2011) (</w:t>
      </w:r>
      <w:r>
        <w:t>‘</w:t>
      </w:r>
      <w:r w:rsidRPr="00975937">
        <w:t>The physical fitness requirements are directly related to a Fire Investigator's duty to fight fires, and they are necessary to ensure that Fire Investigators are able to perform that function when called upon to do so.).</w:t>
      </w:r>
      <w:r>
        <w:t>”</w:t>
      </w:r>
    </w:p>
    <w:p w14:paraId="6B337B2B" w14:textId="77777777" w:rsidR="008F1833" w:rsidRPr="003E7359" w:rsidRDefault="008F1833" w:rsidP="008F1833">
      <w:pPr>
        <w:pStyle w:val="NoSpacing"/>
        <w:rPr>
          <w:b/>
          <w:bCs/>
        </w:rPr>
      </w:pPr>
    </w:p>
    <w:p w14:paraId="5CA43F86" w14:textId="77777777" w:rsidR="008F1833" w:rsidRDefault="008F1833" w:rsidP="002F7727">
      <w:pPr>
        <w:pStyle w:val="NoSpacing"/>
        <w:rPr>
          <w:rFonts w:ascii="Arial Black" w:hAnsi="Arial Black"/>
          <w:b/>
          <w:sz w:val="24"/>
          <w:szCs w:val="24"/>
        </w:rPr>
      </w:pPr>
    </w:p>
    <w:p w14:paraId="7C861934" w14:textId="77777777" w:rsidR="008F1833" w:rsidRDefault="008F1833" w:rsidP="002F7727">
      <w:pPr>
        <w:pStyle w:val="NoSpacing"/>
        <w:rPr>
          <w:rFonts w:ascii="Arial Black" w:hAnsi="Arial Black"/>
          <w:b/>
          <w:sz w:val="24"/>
          <w:szCs w:val="24"/>
        </w:rPr>
      </w:pPr>
    </w:p>
    <w:p w14:paraId="73FA9069" w14:textId="77777777" w:rsidR="008F1833" w:rsidRDefault="008F1833" w:rsidP="002F7727">
      <w:pPr>
        <w:pStyle w:val="NoSpacing"/>
        <w:rPr>
          <w:rFonts w:ascii="Arial Black" w:hAnsi="Arial Black"/>
          <w:b/>
          <w:sz w:val="24"/>
          <w:szCs w:val="24"/>
        </w:rPr>
      </w:pPr>
    </w:p>
    <w:p w14:paraId="4E085C1C" w14:textId="3F81DCA6" w:rsidR="00E775DC" w:rsidRDefault="00D03249" w:rsidP="002F7727">
      <w:pPr>
        <w:pStyle w:val="NoSpacing"/>
        <w:rPr>
          <w:rFonts w:ascii="Arial Black" w:hAnsi="Arial Black"/>
          <w:b/>
          <w:sz w:val="24"/>
          <w:szCs w:val="24"/>
        </w:rPr>
      </w:pPr>
      <w:r>
        <w:rPr>
          <w:rFonts w:ascii="Arial Black" w:hAnsi="Arial Black"/>
          <w:b/>
          <w:sz w:val="24"/>
          <w:szCs w:val="24"/>
        </w:rPr>
        <w:t>16-147</w:t>
      </w:r>
    </w:p>
    <w:p w14:paraId="13A2D7BC" w14:textId="77777777" w:rsidR="00D03249" w:rsidRDefault="00D03249" w:rsidP="002F7727">
      <w:pPr>
        <w:pStyle w:val="NoSpacing"/>
        <w:rPr>
          <w:rFonts w:ascii="Arial Black" w:hAnsi="Arial Black"/>
          <w:b/>
          <w:sz w:val="24"/>
          <w:szCs w:val="24"/>
        </w:rPr>
      </w:pPr>
    </w:p>
    <w:p w14:paraId="3215AEE9" w14:textId="7C81C2E3" w:rsidR="00C01200" w:rsidRDefault="00C01200" w:rsidP="00C01200">
      <w:r>
        <w:rPr>
          <w:rFonts w:ascii="Arial Black" w:hAnsi="Arial Black"/>
          <w:b/>
          <w:sz w:val="28"/>
          <w:szCs w:val="28"/>
        </w:rPr>
        <w:t xml:space="preserve">IL: CPT / FFs WORE TRUMP MASKS STATION – </w:t>
      </w:r>
      <w:r w:rsidR="006648D0">
        <w:rPr>
          <w:rFonts w:ascii="Arial Black" w:hAnsi="Arial Black"/>
          <w:b/>
          <w:sz w:val="28"/>
          <w:szCs w:val="28"/>
        </w:rPr>
        <w:t xml:space="preserve">CASE </w:t>
      </w:r>
      <w:r>
        <w:rPr>
          <w:rFonts w:ascii="Arial Black" w:hAnsi="Arial Black"/>
          <w:b/>
          <w:sz w:val="28"/>
          <w:szCs w:val="28"/>
        </w:rPr>
        <w:t>PROCEED</w:t>
      </w:r>
    </w:p>
    <w:p w14:paraId="04E3E00A" w14:textId="77777777" w:rsidR="00C01200" w:rsidRDefault="00C01200" w:rsidP="00C01200">
      <w:pPr>
        <w:pStyle w:val="NoSpacing"/>
      </w:pPr>
      <w:r>
        <w:t xml:space="preserve">On January 27, 2026, in </w:t>
      </w:r>
      <w:r w:rsidRPr="00F55727">
        <w:rPr>
          <w:u w:val="single"/>
        </w:rPr>
        <w:t>Curt Koopman v. City of Evanston, et al</w:t>
      </w:r>
      <w:r>
        <w:t xml:space="preserve">., U.S. District Court Judge </w:t>
      </w:r>
      <w:r w:rsidRPr="00F55727">
        <w:t>Joan B. Gottschall</w:t>
      </w:r>
      <w:r>
        <w:t xml:space="preserve">, United States District Court for Northern District of Illinois, Eastern Division, denied the City’s motion to dismiss. The </w:t>
      </w:r>
      <w:proofErr w:type="gramStart"/>
      <w:r>
        <w:t>Captain</w:t>
      </w:r>
      <w:proofErr w:type="gramEnd"/>
      <w:r>
        <w:t xml:space="preserve"> and other members of his crew briefly wore Trump masks while watch the inauguration on TV, and a photo was taken.  During the disciplinary interrogation, the </w:t>
      </w:r>
      <w:proofErr w:type="gramStart"/>
      <w:r>
        <w:t>Captain</w:t>
      </w:r>
      <w:proofErr w:type="gramEnd"/>
      <w:r>
        <w:t xml:space="preserve"> was asked “whether he supported Donald Trump during the recent presidential election.”</w:t>
      </w:r>
      <w:r w:rsidRPr="008367D7">
        <w:t xml:space="preserve"> </w:t>
      </w:r>
      <w:hyperlink r:id="rId2495" w:history="1">
        <w:r w:rsidRPr="00560ED8">
          <w:rPr>
            <w:rStyle w:val="Hyperlink"/>
          </w:rPr>
          <w:t>https://cases.justia.com/federal/district-courts/illinois/ilndce/1:2025cv10892/485962/24/0.pdf?ts=1769597667</w:t>
        </w:r>
      </w:hyperlink>
      <w:r>
        <w:t xml:space="preserve"> </w:t>
      </w:r>
    </w:p>
    <w:p w14:paraId="3516865F" w14:textId="77777777" w:rsidR="00C01200" w:rsidRDefault="00C01200" w:rsidP="00C01200">
      <w:pPr>
        <w:pStyle w:val="NoSpacing"/>
      </w:pPr>
    </w:p>
    <w:p w14:paraId="3C2DC0D4" w14:textId="77777777" w:rsidR="00C01200" w:rsidRDefault="00C01200" w:rsidP="00C01200">
      <w:pPr>
        <w:pStyle w:val="NoSpacing"/>
      </w:pPr>
      <w:r>
        <w:t xml:space="preserve">THE COURT HELD: </w:t>
      </w:r>
    </w:p>
    <w:p w14:paraId="424B6872" w14:textId="77777777" w:rsidR="00C01200" w:rsidRDefault="00C01200" w:rsidP="00C01200">
      <w:pPr>
        <w:pStyle w:val="NoSpacing"/>
      </w:pPr>
    </w:p>
    <w:p w14:paraId="61F2B8AD" w14:textId="77777777" w:rsidR="00C01200" w:rsidRDefault="00C01200" w:rsidP="00C01200">
      <w:pPr>
        <w:pStyle w:val="NoSpacing"/>
        <w:ind w:left="720"/>
      </w:pPr>
      <w:r>
        <w:t>“Koopman’s complaint alleges that on ‘January 20, 2025, Plaintiff and multiple other members of the Evanston Fire Department briefly donned Donald Trump masks</w:t>
      </w:r>
    </w:p>
    <w:p w14:paraId="37A3A7D4" w14:textId="77777777" w:rsidR="00C01200" w:rsidRDefault="00C01200" w:rsidP="00C01200">
      <w:pPr>
        <w:pStyle w:val="NoSpacing"/>
        <w:ind w:firstLine="720"/>
      </w:pPr>
      <w:r>
        <w:t>while watching the presidential inauguration on television.’ …Further, plaintiff</w:t>
      </w:r>
    </w:p>
    <w:p w14:paraId="1C6A47D6" w14:textId="77777777" w:rsidR="00C01200" w:rsidRDefault="00C01200" w:rsidP="00C01200">
      <w:pPr>
        <w:pStyle w:val="NoSpacing"/>
        <w:ind w:left="720"/>
      </w:pPr>
      <w:r>
        <w:t xml:space="preserve">alleges, ‘[a]t some point thereafter, someone posted an image of Plaintiff and several other members of the Evanston Fire Department wearing Donald Trump masks on an internet site.’… ‘When wearing the mask,’ plaintiff alleges, he ‘did not make any political statement, or express any political views.’… </w:t>
      </w:r>
    </w:p>
    <w:p w14:paraId="34528BB9" w14:textId="77777777" w:rsidR="00C01200" w:rsidRDefault="00C01200" w:rsidP="00C01200">
      <w:pPr>
        <w:pStyle w:val="NoSpacing"/>
        <w:ind w:left="720"/>
      </w:pPr>
    </w:p>
    <w:p w14:paraId="5DC70DC6" w14:textId="77777777" w:rsidR="00C01200" w:rsidRDefault="00C01200" w:rsidP="00C01200">
      <w:pPr>
        <w:pStyle w:val="NoSpacing"/>
        <w:ind w:left="720"/>
      </w:pPr>
      <w:r>
        <w:t>‘On or about January 23, 2025, Plaintiff received written notification that he was being subjected to a disciplinary investigation,’ which required his attendance at a ‘disciplinary</w:t>
      </w:r>
    </w:p>
    <w:p w14:paraId="38684F67" w14:textId="77777777" w:rsidR="00C01200" w:rsidRDefault="00C01200" w:rsidP="00C01200">
      <w:pPr>
        <w:pStyle w:val="NoSpacing"/>
        <w:ind w:left="720"/>
      </w:pPr>
      <w:r>
        <w:t xml:space="preserve">interrogation.’… Plaintiff alleges that during the interrogation, ‘Defendant [Fire Chief Paul] </w:t>
      </w:r>
      <w:proofErr w:type="spellStart"/>
      <w:r>
        <w:t>Polep</w:t>
      </w:r>
      <w:proofErr w:type="spellEnd"/>
      <w:r>
        <w:t xml:space="preserve"> ordered Plaintiff to answer all questions,’ including ‘whether he supported Donald Trump during the recent presidential election.’… After being ‘required to reveal that he was a supporter of Donald Trump,’ plaintiff ‘was subjected to a seven (7) shift suspension by Defendant </w:t>
      </w:r>
      <w:proofErr w:type="spellStart"/>
      <w:r>
        <w:t>Polep</w:t>
      </w:r>
      <w:proofErr w:type="spellEnd"/>
      <w:r>
        <w:t xml:space="preserve">.’ …The suspension, plaintiff alleges, ‘was motivated by a desire to punish Plaintiff for his political support of a presidential candidate [who] was unpopular in the City of Evanston.’ … Koopman lost wages </w:t>
      </w:r>
      <w:proofErr w:type="gramStart"/>
      <w:r>
        <w:t>as a result of</w:t>
      </w:r>
      <w:proofErr w:type="gramEnd"/>
      <w:r>
        <w:t xml:space="preserve"> the suspension.</w:t>
      </w:r>
    </w:p>
    <w:p w14:paraId="14BB0088" w14:textId="77777777" w:rsidR="00C01200" w:rsidRDefault="00C01200" w:rsidP="00C01200">
      <w:pPr>
        <w:pStyle w:val="NoSpacing"/>
        <w:ind w:left="720"/>
      </w:pPr>
    </w:p>
    <w:p w14:paraId="65101A46" w14:textId="77777777" w:rsidR="00C01200" w:rsidRDefault="00C01200" w:rsidP="00C01200">
      <w:pPr>
        <w:pStyle w:val="NoSpacing"/>
        <w:ind w:left="720"/>
      </w:pPr>
      <w:r>
        <w:t>***</w:t>
      </w:r>
    </w:p>
    <w:p w14:paraId="35CCEA76" w14:textId="77777777" w:rsidR="00C01200" w:rsidRDefault="00C01200" w:rsidP="00C01200">
      <w:pPr>
        <w:pStyle w:val="NoSpacing"/>
        <w:ind w:firstLine="720"/>
      </w:pPr>
      <w:r>
        <w:t>The court need not decide whether the complaint’s allegation of the reason for plaintiff’s</w:t>
      </w:r>
    </w:p>
    <w:p w14:paraId="114B9473" w14:textId="77777777" w:rsidR="00C01200" w:rsidRDefault="00C01200" w:rsidP="00C01200">
      <w:pPr>
        <w:pStyle w:val="NoSpacing"/>
        <w:ind w:firstLine="720"/>
      </w:pPr>
      <w:r>
        <w:t>discipline, standing alone, would be considered plausible because the transcript of the</w:t>
      </w:r>
    </w:p>
    <w:p w14:paraId="1B8AC29E" w14:textId="77777777" w:rsidR="00C01200" w:rsidRDefault="00C01200" w:rsidP="00C01200">
      <w:pPr>
        <w:pStyle w:val="NoSpacing"/>
        <w:ind w:left="720"/>
      </w:pPr>
      <w:proofErr w:type="gramStart"/>
      <w:r>
        <w:t>disciplinary</w:t>
      </w:r>
      <w:proofErr w:type="gramEnd"/>
      <w:r>
        <w:t xml:space="preserve"> interrogation offered by defendants provides evidence that plaintiff’s political affiliation was explicitly considered before he was disciplined. Plaintiff’s “support” of Donald Trump, which as far as the complaint alleges was limited to his personal beliefs and his vote, is constitutionally protected…. Because plaintiff has alleged a plausible First Amendment retaliation claim, the motion to dismiss for failure to allege that the plaintiff engaged in conduct protected by the First Amendment is denied.</w:t>
      </w:r>
    </w:p>
    <w:p w14:paraId="3558DBC6" w14:textId="77777777" w:rsidR="00C01200" w:rsidRDefault="00C01200" w:rsidP="00C01200">
      <w:pPr>
        <w:pStyle w:val="NoSpacing"/>
        <w:ind w:left="720"/>
      </w:pPr>
    </w:p>
    <w:p w14:paraId="2CF4137F" w14:textId="77777777" w:rsidR="00C01200" w:rsidRDefault="00C01200" w:rsidP="00C01200">
      <w:pPr>
        <w:pStyle w:val="NoSpacing"/>
        <w:ind w:left="720"/>
      </w:pPr>
      <w:r>
        <w:t>***</w:t>
      </w:r>
    </w:p>
    <w:p w14:paraId="2A9CBD70" w14:textId="77777777" w:rsidR="00C01200" w:rsidRDefault="00C01200" w:rsidP="00C01200">
      <w:pPr>
        <w:pStyle w:val="NoSpacing"/>
        <w:ind w:firstLine="720"/>
      </w:pPr>
      <w:r>
        <w:t>With a few exceptions like the need for governmental efficiency or effectiveness (which</w:t>
      </w:r>
    </w:p>
    <w:p w14:paraId="5A1C4468" w14:textId="77777777" w:rsidR="00C01200" w:rsidRDefault="00C01200" w:rsidP="00C01200">
      <w:pPr>
        <w:pStyle w:val="NoSpacing"/>
        <w:ind w:left="720"/>
      </w:pPr>
      <w:r>
        <w:t>would not appear to apply to plaintiff’s actions in the privacy of his conscience or the sanctity of the voting booth), a government employer may not discipline an employee because the employee supports a particular political candidate. See Heffernan v. City of Paterson, 578 U.S. 266, 270 (2016).”</w:t>
      </w:r>
    </w:p>
    <w:p w14:paraId="09793801" w14:textId="77777777" w:rsidR="00C01200" w:rsidRDefault="00C01200" w:rsidP="00C01200">
      <w:pPr>
        <w:pStyle w:val="NoSpacing"/>
        <w:ind w:left="720"/>
      </w:pPr>
    </w:p>
    <w:p w14:paraId="0A663943" w14:textId="77777777" w:rsidR="00C01200" w:rsidRDefault="00C01200" w:rsidP="00C01200">
      <w:pPr>
        <w:pStyle w:val="NoSpacing"/>
        <w:rPr>
          <w:b/>
          <w:bCs/>
        </w:rPr>
      </w:pPr>
      <w:r>
        <w:rPr>
          <w:b/>
        </w:rPr>
        <w:t xml:space="preserve">Legal lesson learned: Captain’s conduct was </w:t>
      </w:r>
      <w:proofErr w:type="gramStart"/>
      <w:r>
        <w:rPr>
          <w:b/>
        </w:rPr>
        <w:t>stupid, but</w:t>
      </w:r>
      <w:proofErr w:type="gramEnd"/>
      <w:r>
        <w:rPr>
          <w:b/>
        </w:rPr>
        <w:t xml:space="preserve"> avoid asking employees about their political views in the disciplinary process.  </w:t>
      </w:r>
    </w:p>
    <w:p w14:paraId="0EAF69FA" w14:textId="77777777" w:rsidR="00C01200" w:rsidRDefault="00C01200" w:rsidP="00C01200">
      <w:pPr>
        <w:pStyle w:val="NoSpacing"/>
        <w:rPr>
          <w:b/>
          <w:bCs/>
        </w:rPr>
      </w:pPr>
    </w:p>
    <w:p w14:paraId="7A815CDB" w14:textId="77777777" w:rsidR="00C01200" w:rsidRDefault="00C01200" w:rsidP="00C01200">
      <w:pPr>
        <w:pStyle w:val="NoSpacing"/>
        <w:ind w:left="720"/>
      </w:pPr>
      <w:r w:rsidRPr="00FF0890">
        <w:t>Note:</w:t>
      </w:r>
      <w:r>
        <w:t xml:space="preserve"> The U.S. Supreme Court in </w:t>
      </w:r>
      <w:r w:rsidRPr="00FF0890">
        <w:t>Heffernan v. City of Paterson, 578 U.S. 266, 270 (2016)</w:t>
      </w:r>
      <w:r>
        <w:t xml:space="preserve"> held:</w:t>
      </w:r>
    </w:p>
    <w:p w14:paraId="4FD430DF" w14:textId="77777777" w:rsidR="00C01200" w:rsidRPr="00FF0890" w:rsidRDefault="00C01200" w:rsidP="00C01200">
      <w:pPr>
        <w:pStyle w:val="NoSpacing"/>
        <w:ind w:left="720"/>
      </w:pPr>
      <w:r>
        <w:t>“</w:t>
      </w:r>
      <w:r w:rsidRPr="00E21DE5">
        <w:t xml:space="preserve">In this case a government official </w:t>
      </w:r>
      <w:r>
        <w:t xml:space="preserve">[police chief] </w:t>
      </w:r>
      <w:r w:rsidRPr="00E21DE5">
        <w:t>demoted an employee</w:t>
      </w:r>
      <w:r>
        <w:t xml:space="preserve"> [detective demoted to patrol officer]</w:t>
      </w:r>
      <w:r w:rsidRPr="00E21DE5">
        <w:t xml:space="preserve"> because the official believed, but </w:t>
      </w:r>
      <w:r w:rsidRPr="00E21DE5">
        <w:rPr>
          <w:i/>
          <w:iCs/>
        </w:rPr>
        <w:t>incorrectly</w:t>
      </w:r>
      <w:r w:rsidRPr="00E21DE5">
        <w:t xml:space="preserve"> believed, that the employee had supported a particular candidate for mayor. The question is whether the official’s factual mistake makes a critical legal difference. Even though the employee had not in fact engaged in protected political activity, did his demotion </w:t>
      </w:r>
      <w:r>
        <w:t>‘</w:t>
      </w:r>
      <w:r w:rsidRPr="00E21DE5">
        <w:t>deprive</w:t>
      </w:r>
      <w:r>
        <w:t>’</w:t>
      </w:r>
      <w:r w:rsidRPr="00E21DE5">
        <w:t xml:space="preserve"> him of a </w:t>
      </w:r>
      <w:r>
        <w:t>‘</w:t>
      </w:r>
      <w:r w:rsidRPr="00E21DE5">
        <w:t>right . . . secured by the Constitution</w:t>
      </w:r>
      <w:r>
        <w:t>’</w:t>
      </w:r>
      <w:r w:rsidRPr="00E21DE5">
        <w:t>? 42 U. S. C. §1983. We hold that it did.</w:t>
      </w:r>
      <w:r>
        <w:t xml:space="preserve">” </w:t>
      </w:r>
      <w:hyperlink r:id="rId2496" w:history="1">
        <w:r w:rsidRPr="00560ED8">
          <w:rPr>
            <w:rStyle w:val="Hyperlink"/>
          </w:rPr>
          <w:t>https://supreme.justia.com/cases/federal/us/578/14-1280/</w:t>
        </w:r>
      </w:hyperlink>
      <w:r>
        <w:t xml:space="preserve"> </w:t>
      </w:r>
    </w:p>
    <w:p w14:paraId="1A63C9D5" w14:textId="77777777" w:rsidR="00C01200" w:rsidRDefault="00C01200" w:rsidP="00C01200">
      <w:pPr>
        <w:pStyle w:val="NoSpacing"/>
      </w:pPr>
    </w:p>
    <w:p w14:paraId="0142BCA9" w14:textId="77777777" w:rsidR="00C01200" w:rsidRDefault="00C01200" w:rsidP="00C01200">
      <w:pPr>
        <w:rPr>
          <w:b/>
        </w:rPr>
      </w:pPr>
    </w:p>
    <w:p w14:paraId="423CD073" w14:textId="77777777" w:rsidR="00C01200" w:rsidRDefault="00C01200" w:rsidP="002F7727">
      <w:pPr>
        <w:pStyle w:val="NoSpacing"/>
        <w:rPr>
          <w:rFonts w:ascii="Arial Black" w:hAnsi="Arial Black"/>
          <w:b/>
          <w:sz w:val="24"/>
          <w:szCs w:val="24"/>
        </w:rPr>
      </w:pPr>
    </w:p>
    <w:p w14:paraId="507A821A" w14:textId="77777777" w:rsidR="00D03249" w:rsidRDefault="00D03249" w:rsidP="002F7727">
      <w:pPr>
        <w:pStyle w:val="NoSpacing"/>
        <w:rPr>
          <w:rFonts w:ascii="Arial Black" w:hAnsi="Arial Black"/>
          <w:b/>
          <w:sz w:val="24"/>
          <w:szCs w:val="24"/>
        </w:rPr>
      </w:pPr>
    </w:p>
    <w:p w14:paraId="0C46DBFB" w14:textId="77777777" w:rsidR="00D03249" w:rsidRDefault="00D03249" w:rsidP="002F7727">
      <w:pPr>
        <w:pStyle w:val="NoSpacing"/>
        <w:rPr>
          <w:rFonts w:ascii="Arial Black" w:hAnsi="Arial Black"/>
          <w:b/>
          <w:sz w:val="24"/>
          <w:szCs w:val="24"/>
        </w:rPr>
      </w:pPr>
    </w:p>
    <w:p w14:paraId="6FBB0CE9" w14:textId="06DDF684" w:rsidR="00745B4B" w:rsidRDefault="00745B4B" w:rsidP="002F7727">
      <w:pPr>
        <w:pStyle w:val="NoSpacing"/>
        <w:rPr>
          <w:rFonts w:ascii="Arial Black" w:hAnsi="Arial Black"/>
          <w:b/>
          <w:sz w:val="24"/>
          <w:szCs w:val="24"/>
        </w:rPr>
      </w:pPr>
      <w:r>
        <w:rPr>
          <w:rFonts w:ascii="Arial Black" w:hAnsi="Arial Black"/>
          <w:b/>
          <w:sz w:val="24"/>
          <w:szCs w:val="24"/>
        </w:rPr>
        <w:t>16-146</w:t>
      </w:r>
    </w:p>
    <w:p w14:paraId="45A40338" w14:textId="77777777" w:rsidR="00745B4B" w:rsidRDefault="00745B4B" w:rsidP="002F7727">
      <w:pPr>
        <w:pStyle w:val="NoSpacing"/>
        <w:rPr>
          <w:rFonts w:ascii="Arial Black" w:hAnsi="Arial Black"/>
          <w:b/>
          <w:sz w:val="24"/>
          <w:szCs w:val="24"/>
        </w:rPr>
      </w:pPr>
    </w:p>
    <w:p w14:paraId="1FB1EA57" w14:textId="77777777" w:rsidR="00BA59D3" w:rsidRPr="002B3436" w:rsidRDefault="00BA59D3" w:rsidP="00BA59D3">
      <w:pPr>
        <w:rPr>
          <w:rFonts w:ascii="Arial Black" w:hAnsi="Arial Black"/>
          <w:b/>
          <w:sz w:val="28"/>
          <w:szCs w:val="28"/>
        </w:rPr>
      </w:pPr>
      <w:r>
        <w:rPr>
          <w:rFonts w:ascii="Arial Black" w:hAnsi="Arial Black"/>
          <w:b/>
          <w:sz w:val="28"/>
          <w:szCs w:val="28"/>
        </w:rPr>
        <w:t>NV: CITY MGR FIRED – 2022 VIDEO FIRE CHIEF RESIGNING</w:t>
      </w:r>
    </w:p>
    <w:p w14:paraId="0777C8C0" w14:textId="77777777" w:rsidR="00BA59D3" w:rsidRDefault="00BA59D3" w:rsidP="00BA59D3">
      <w:r>
        <w:t xml:space="preserve">On January 22, 2026, in </w:t>
      </w:r>
      <w:r w:rsidRPr="008674C8">
        <w:rPr>
          <w:u w:val="single"/>
        </w:rPr>
        <w:t>Neil C. Krutz v. The City of Sparks</w:t>
      </w:r>
      <w:r>
        <w:t xml:space="preserve">, U.S. District Court Judge Miranda M. Du, United States District Court for the District of Nevada, held that the terminated City Manager lawsuit may proceed with his lawsuit on some claims, including that he was fired on September 5, </w:t>
      </w:r>
      <w:proofErr w:type="gramStart"/>
      <w:r>
        <w:t>2023</w:t>
      </w:r>
      <w:proofErr w:type="gramEnd"/>
      <w:r>
        <w:t xml:space="preserve"> in violation of his </w:t>
      </w:r>
      <w:r w:rsidRPr="00FC1E14">
        <w:t>procedural due process protections</w:t>
      </w:r>
      <w:r>
        <w:t xml:space="preserve">. His contract included a provision allowing termination “for cause”). On December 5, 2022, the fire chief resigned over pending drug charge, and the City Manager made a video reporting the resignation.   In 2024, the city settled with the former chief about the public leak of the video for $381,000.   </w:t>
      </w:r>
      <w:hyperlink r:id="rId2497" w:history="1">
        <w:r w:rsidRPr="003E5AED">
          <w:rPr>
            <w:rStyle w:val="Hyperlink"/>
          </w:rPr>
          <w:t>https://cases.justia.com/federal/district-courts/nevada/nvdce/3:2025cv00159/173760/49/0.pdf</w:t>
        </w:r>
      </w:hyperlink>
    </w:p>
    <w:p w14:paraId="195D299F" w14:textId="77777777" w:rsidR="00BA59D3" w:rsidRDefault="00BA59D3" w:rsidP="00BA59D3">
      <w:r>
        <w:t>THE COURT HELD:</w:t>
      </w:r>
    </w:p>
    <w:p w14:paraId="26127142" w14:textId="77777777" w:rsidR="00BA59D3" w:rsidRDefault="00BA59D3" w:rsidP="00BA59D3">
      <w:pPr>
        <w:ind w:left="720"/>
      </w:pPr>
      <w:r>
        <w:t>Footnote 5:  “</w:t>
      </w:r>
      <w:r w:rsidRPr="00270580">
        <w:t>The parties dispute whether Krutz publicly disseminated the video statement or whether it was instead leaked to the public</w:t>
      </w:r>
      <w:r>
        <w:t xml:space="preserve">…. </w:t>
      </w:r>
      <w:r w:rsidRPr="00270580">
        <w:t>Defendants contend that Krutz posted the video on YouTube</w:t>
      </w:r>
      <w:r>
        <w:t xml:space="preserve"> …</w:t>
      </w:r>
      <w:r w:rsidRPr="00270580">
        <w:t xml:space="preserve"> whereas Krutz asserts that the video was shared privately via email with only the City of Sparks Fire Department employees, Mayor Lawson, Councilmembers Abbott, </w:t>
      </w:r>
      <w:proofErr w:type="spellStart"/>
      <w:r w:rsidRPr="00270580">
        <w:t>VanderWell</w:t>
      </w:r>
      <w:proofErr w:type="spellEnd"/>
      <w:r w:rsidRPr="00270580">
        <w:t>, Anderson, Bybee, and Dahir, and Assistant City Managers Alyson McCormick and John Martini</w:t>
      </w:r>
      <w:r>
        <w:t>.”</w:t>
      </w:r>
    </w:p>
    <w:p w14:paraId="2C8FC92B" w14:textId="77777777" w:rsidR="00BA59D3" w:rsidRPr="00270580" w:rsidRDefault="00BA59D3" w:rsidP="00BA59D3">
      <w:pPr>
        <w:rPr>
          <w:b/>
          <w:bCs/>
        </w:rPr>
      </w:pPr>
      <w:r>
        <w:rPr>
          <w:b/>
        </w:rPr>
        <w:t xml:space="preserve">Legal Lesson Learned: When a Fire Chief or other senior manager resigns, be very cautious in communicating info beyond the fact that there was a resignation; consult with legal counsel. </w:t>
      </w:r>
    </w:p>
    <w:p w14:paraId="23254872" w14:textId="77777777" w:rsidR="00BA59D3" w:rsidRPr="0059689A" w:rsidRDefault="00BA59D3" w:rsidP="00BA59D3">
      <w:pPr>
        <w:ind w:left="720"/>
        <w:rPr>
          <w:bCs/>
        </w:rPr>
      </w:pPr>
      <w:r>
        <w:t xml:space="preserve">Note: See September 23, </w:t>
      </w:r>
      <w:proofErr w:type="gramStart"/>
      <w:r>
        <w:t>2024</w:t>
      </w:r>
      <w:proofErr w:type="gramEnd"/>
      <w:r>
        <w:t xml:space="preserve"> article and TV Video: “</w:t>
      </w:r>
      <w:r w:rsidRPr="0059689A">
        <w:t>Former Sparks Fire Chief pleads no contest to drug-related charge</w:t>
      </w:r>
      <w:r>
        <w:t xml:space="preserve">.” </w:t>
      </w:r>
      <w:hyperlink r:id="rId2498" w:history="1">
        <w:r w:rsidRPr="00700587">
          <w:rPr>
            <w:rStyle w:val="Hyperlink"/>
          </w:rPr>
          <w:t>https://www.2news.com/news/local/former-sparks-fire-chief-pleads-no-contest-to-drug-related-charge/article_484d699c-7023-11ed-b795-ff8664a2c2d9.html</w:t>
        </w:r>
      </w:hyperlink>
      <w:r>
        <w:t xml:space="preserve"> </w:t>
      </w:r>
    </w:p>
    <w:p w14:paraId="6858FE60" w14:textId="77777777" w:rsidR="00BA59D3" w:rsidRDefault="00BA59D3" w:rsidP="00BA59D3">
      <w:pPr>
        <w:pStyle w:val="NoSpacing"/>
        <w:ind w:left="720"/>
      </w:pPr>
      <w:r>
        <w:t>“</w:t>
      </w:r>
      <w:r w:rsidRPr="00793EF3">
        <w:t>Former Sparks Fire Chief Mark Lawson pleaded no-contest last month to a drug-related charge brought against him in Dec. 2022.</w:t>
      </w:r>
      <w:r>
        <w:t xml:space="preserve"> </w:t>
      </w:r>
      <w:r w:rsidRPr="00793EF3">
        <w:t xml:space="preserve">Included in the court’s judgement, Lawson is guilty of conspiracy to possess a drug that may not be introduced into interstate commerce, and he will have to pay </w:t>
      </w:r>
      <w:proofErr w:type="gramStart"/>
      <w:r w:rsidRPr="00793EF3">
        <w:t>a $2,000 fine and complete eight hours of substance abuse education</w:t>
      </w:r>
      <w:proofErr w:type="gramEnd"/>
      <w:r w:rsidRPr="00793EF3">
        <w:t>.</w:t>
      </w:r>
      <w:r>
        <w:t xml:space="preserve"> </w:t>
      </w:r>
      <w:r w:rsidRPr="00793EF3">
        <w:t>Earlier this year, the City of Sparks paid Lawson $381,000 to settle a lawsuit over his firing. His attorneys argued that he was unfairly fired for pending criminal charges, and that the City’s actions damaged Lawson’s reputation and ability to seek reemployment.</w:t>
      </w:r>
      <w:r>
        <w:t>”</w:t>
      </w:r>
    </w:p>
    <w:p w14:paraId="39239539" w14:textId="77777777" w:rsidR="00BA59D3" w:rsidRDefault="00BA59D3" w:rsidP="00BA59D3">
      <w:pPr>
        <w:pStyle w:val="NoSpacing"/>
        <w:ind w:left="720"/>
      </w:pPr>
    </w:p>
    <w:p w14:paraId="25207836" w14:textId="77777777" w:rsidR="00BA59D3" w:rsidRDefault="00BA59D3" w:rsidP="00BA59D3">
      <w:pPr>
        <w:ind w:left="720"/>
      </w:pPr>
      <w:r w:rsidRPr="00574E88">
        <w:t>See also: Sept. 5, 2024</w:t>
      </w:r>
      <w:r>
        <w:t xml:space="preserve">, </w:t>
      </w:r>
      <w:r w:rsidRPr="00574E88">
        <w:t xml:space="preserve">Sparks City Council Special Meeting. </w:t>
      </w:r>
      <w:hyperlink r:id="rId2499" w:history="1">
        <w:r w:rsidRPr="00700587">
          <w:rPr>
            <w:rStyle w:val="Hyperlink"/>
          </w:rPr>
          <w:t>https://www.youtube.com/watch?v=5NXiLsCyQwc</w:t>
        </w:r>
      </w:hyperlink>
      <w:r>
        <w:t xml:space="preserve">. </w:t>
      </w:r>
      <w:r w:rsidRPr="00574E88">
        <w:t xml:space="preserve">IAFF President calls for termination of City Manager (at 2:07) </w:t>
      </w:r>
    </w:p>
    <w:p w14:paraId="69B0748D" w14:textId="77777777" w:rsidR="00BA59D3" w:rsidRDefault="00BA59D3" w:rsidP="00BA59D3">
      <w:pPr>
        <w:ind w:left="720"/>
        <w:rPr>
          <w:bCs/>
        </w:rPr>
      </w:pPr>
      <w:r>
        <w:t xml:space="preserve">See also: May 9, 2023: City Manager Survives Termination Vote [3 to 2]:  </w:t>
      </w:r>
      <w:hyperlink r:id="rId2500" w:history="1">
        <w:r w:rsidRPr="00700587">
          <w:rPr>
            <w:rStyle w:val="Hyperlink"/>
          </w:rPr>
          <w:t>https://www.youtube.com/watch?v=RmdIuKRFVuU</w:t>
        </w:r>
      </w:hyperlink>
      <w:r>
        <w:t xml:space="preserve"> </w:t>
      </w:r>
    </w:p>
    <w:p w14:paraId="31742342" w14:textId="77777777" w:rsidR="00BA59D3" w:rsidRDefault="00BA59D3" w:rsidP="00BA59D3">
      <w:pPr>
        <w:rPr>
          <w:rFonts w:ascii="Arial Black" w:hAnsi="Arial Black"/>
          <w:b/>
          <w:sz w:val="28"/>
          <w:szCs w:val="28"/>
        </w:rPr>
      </w:pPr>
    </w:p>
    <w:p w14:paraId="17AC9864" w14:textId="77777777" w:rsidR="00745B4B" w:rsidRDefault="00745B4B" w:rsidP="002F7727">
      <w:pPr>
        <w:pStyle w:val="NoSpacing"/>
        <w:rPr>
          <w:rFonts w:ascii="Arial Black" w:hAnsi="Arial Black"/>
          <w:b/>
          <w:sz w:val="24"/>
          <w:szCs w:val="24"/>
        </w:rPr>
      </w:pPr>
    </w:p>
    <w:p w14:paraId="5ED2FB86" w14:textId="77777777" w:rsidR="00745B4B" w:rsidRDefault="00745B4B" w:rsidP="002F7727">
      <w:pPr>
        <w:pStyle w:val="NoSpacing"/>
        <w:rPr>
          <w:rFonts w:ascii="Arial Black" w:hAnsi="Arial Black"/>
          <w:b/>
          <w:sz w:val="24"/>
          <w:szCs w:val="24"/>
        </w:rPr>
      </w:pPr>
    </w:p>
    <w:p w14:paraId="59215DCB" w14:textId="77777777" w:rsidR="00745B4B" w:rsidRDefault="00745B4B" w:rsidP="002F7727">
      <w:pPr>
        <w:pStyle w:val="NoSpacing"/>
        <w:rPr>
          <w:rFonts w:ascii="Arial Black" w:hAnsi="Arial Black"/>
          <w:b/>
          <w:sz w:val="24"/>
          <w:szCs w:val="24"/>
        </w:rPr>
      </w:pPr>
    </w:p>
    <w:p w14:paraId="78A4212F" w14:textId="5F08368B" w:rsidR="00A66F20" w:rsidRDefault="00A66F20" w:rsidP="002F7727">
      <w:pPr>
        <w:pStyle w:val="NoSpacing"/>
        <w:rPr>
          <w:rFonts w:ascii="Arial Black" w:hAnsi="Arial Black"/>
          <w:b/>
          <w:sz w:val="24"/>
          <w:szCs w:val="24"/>
        </w:rPr>
      </w:pPr>
      <w:r>
        <w:rPr>
          <w:rFonts w:ascii="Arial Black" w:hAnsi="Arial Black"/>
          <w:b/>
          <w:sz w:val="24"/>
          <w:szCs w:val="24"/>
        </w:rPr>
        <w:t>16-145</w:t>
      </w:r>
    </w:p>
    <w:p w14:paraId="60F6E9A0" w14:textId="77777777" w:rsidR="00745B4B" w:rsidRDefault="00745B4B" w:rsidP="002F7727">
      <w:pPr>
        <w:pStyle w:val="NoSpacing"/>
        <w:rPr>
          <w:rFonts w:ascii="Arial Black" w:hAnsi="Arial Black"/>
          <w:b/>
          <w:sz w:val="24"/>
          <w:szCs w:val="24"/>
        </w:rPr>
      </w:pPr>
    </w:p>
    <w:p w14:paraId="06A161C9" w14:textId="77777777" w:rsidR="00745B4B" w:rsidRDefault="00745B4B" w:rsidP="00745B4B">
      <w:pPr>
        <w:rPr>
          <w:rFonts w:ascii="Arial Black" w:hAnsi="Arial Black"/>
          <w:b/>
          <w:sz w:val="28"/>
          <w:szCs w:val="28"/>
        </w:rPr>
      </w:pPr>
      <w:r>
        <w:rPr>
          <w:rFonts w:ascii="Arial Black" w:hAnsi="Arial Black"/>
          <w:b/>
          <w:sz w:val="28"/>
          <w:szCs w:val="28"/>
        </w:rPr>
        <w:t xml:space="preserve">OH: CHIEF FIRED – NO FED CT TRO / STATE CT CASE  </w:t>
      </w:r>
    </w:p>
    <w:p w14:paraId="783106BA" w14:textId="77777777" w:rsidR="00745B4B" w:rsidRDefault="00745B4B" w:rsidP="00745B4B">
      <w:pPr>
        <w:rPr>
          <w:bCs/>
        </w:rPr>
      </w:pPr>
      <w:r w:rsidRPr="00967F0E">
        <w:t xml:space="preserve">On January 7, 2026, </w:t>
      </w:r>
      <w:r>
        <w:t xml:space="preserve">in </w:t>
      </w:r>
      <w:r w:rsidRPr="00793D2D">
        <w:rPr>
          <w:u w:val="single"/>
        </w:rPr>
        <w:t>Jeremy Betsa v. City of Avon Lake, Ohio</w:t>
      </w:r>
      <w:r>
        <w:rPr>
          <w:u w:val="single"/>
        </w:rPr>
        <w:t xml:space="preserve">, IAFF Local </w:t>
      </w:r>
      <w:r w:rsidRPr="00007CC8">
        <w:rPr>
          <w:u w:val="single"/>
        </w:rPr>
        <w:t>1361</w:t>
      </w:r>
      <w:r>
        <w:rPr>
          <w:u w:val="single"/>
        </w:rPr>
        <w:t xml:space="preserve">, et al., </w:t>
      </w:r>
      <w:r>
        <w:t xml:space="preserve"> U.S. Magistrate Judge James E. Grimes, Jr., issued a Report and Recommendation to U.S. District Court Judge Donald C. Nugent, United States District Court for the Northern District of Ohio, Eastern Division, recommending the Court deny Jeremy Betsa’s December 15, 2025 “Emergency Motion For A Temporary Restraining Order.”  He had a pending lawsuit in </w:t>
      </w:r>
      <w:r w:rsidRPr="00030F83">
        <w:t>Lorain County Court of Common Plea</w:t>
      </w:r>
      <w:r>
        <w:t xml:space="preserve">, also seeking a TRO (been suspended with pay since August 2025; he was ultimately fired December 31, </w:t>
      </w:r>
      <w:proofErr w:type="gramStart"/>
      <w:r>
        <w:t>2025</w:t>
      </w:r>
      <w:proofErr w:type="gramEnd"/>
      <w:r>
        <w:t xml:space="preserve"> </w:t>
      </w:r>
      <w:r w:rsidRPr="001240F1">
        <w:t>for “workplace conduct and leadership</w:t>
      </w:r>
      <w:r>
        <w:t xml:space="preserve">” issues),  Federal courts follow “abstention” doctrine where they decline to intervene in matters already pending in state court. He can appeal his termination to the City’s Civil Service Commission. </w:t>
      </w:r>
      <w:hyperlink r:id="rId2501" w:history="1">
        <w:r w:rsidRPr="00091B3B">
          <w:rPr>
            <w:rStyle w:val="Hyperlink"/>
          </w:rPr>
          <w:t>https://public.fastcase.com/Jhe1Qn%2BmJndQYQU6z%2FeNmypmOFzJk4IjV67xdVBvH10%2BbioR%2BE7hDrSDKPa8oeXy4gUzK0dNFlYVAdtPS9qapAikGtcKVY%2BDC%2Fxrd0A1wWk%3D?utm_medium=email&amp;_hsenc=p2ANqtz--Rb3GwipZHtCJJMLiUWpVHk6Q4w73GSXOI_LD5Raf1axu72BnOP1L2YEQ80fNqXbpHCp329zbZOj3hD1ZT_BRNOO8R9w&amp;_hsmi=226712652&amp;utm_content=226712652&amp;utm_source=hs_email</w:t>
        </w:r>
      </w:hyperlink>
      <w:r>
        <w:t xml:space="preserve"> </w:t>
      </w:r>
    </w:p>
    <w:p w14:paraId="0BDBFBF1" w14:textId="77777777" w:rsidR="00745B4B" w:rsidRDefault="00745B4B" w:rsidP="00745B4B">
      <w:pPr>
        <w:rPr>
          <w:rFonts w:eastAsia="Times New Roman"/>
          <w:bCs/>
        </w:rPr>
      </w:pPr>
      <w:r>
        <w:t>THE MAGISTRATE WROTE:</w:t>
      </w:r>
      <w:r w:rsidRPr="00CE0948">
        <w:rPr>
          <w:rFonts w:eastAsia="Times New Roman"/>
        </w:rPr>
        <w:t xml:space="preserve"> </w:t>
      </w:r>
    </w:p>
    <w:p w14:paraId="115D1576" w14:textId="77777777" w:rsidR="00745B4B" w:rsidRDefault="00745B4B" w:rsidP="00745B4B">
      <w:pPr>
        <w:ind w:left="720"/>
        <w:rPr>
          <w:rFonts w:eastAsia="Times New Roman"/>
          <w:bCs/>
        </w:rPr>
      </w:pPr>
      <w:r>
        <w:rPr>
          <w:rFonts w:eastAsia="Times New Roman"/>
        </w:rPr>
        <w:t>“</w:t>
      </w:r>
      <w:r w:rsidRPr="00416673">
        <w:rPr>
          <w:rFonts w:eastAsia="Times New Roman"/>
        </w:rPr>
        <w:t>The District Court referred Betsa's Motion to me on January 2, 2026. Doc. 28. That day, I set a hearing by videoconference for January 6</w:t>
      </w:r>
      <w:r>
        <w:rPr>
          <w:rFonts w:eastAsia="Times New Roman"/>
        </w:rPr>
        <w:t xml:space="preserve">…. </w:t>
      </w:r>
      <w:r w:rsidRPr="009E6596">
        <w:rPr>
          <w:rFonts w:eastAsia="Times New Roman"/>
        </w:rPr>
        <w:t xml:space="preserve">To recap, Betsa has two lawsuits pending related to the same factual </w:t>
      </w:r>
      <w:proofErr w:type="gramStart"/>
      <w:r w:rsidRPr="009E6596">
        <w:rPr>
          <w:rFonts w:eastAsia="Times New Roman"/>
        </w:rPr>
        <w:t>matter—</w:t>
      </w:r>
      <w:proofErr w:type="gramEnd"/>
      <w:r w:rsidRPr="009E6596">
        <w:rPr>
          <w:rFonts w:eastAsia="Times New Roman"/>
        </w:rPr>
        <w:t>one in state court and one in federal court. Also pending in both cases are Betsa's TRO motions. The heart of Betsa's lawsuits, and his TRO motions, are his claims that the City suspended him, and later terminated him, in violation of Ohio law and his federal due process rights. At the TRO hearing, Betsa explained that his Ohio lawsuit focuses on his state-law claims, whereas his federal lawsuit focuses on federal claims.</w:t>
      </w:r>
    </w:p>
    <w:p w14:paraId="3B0CF93A" w14:textId="77777777" w:rsidR="00745B4B" w:rsidRDefault="00745B4B" w:rsidP="00745B4B">
      <w:pPr>
        <w:ind w:left="720"/>
        <w:rPr>
          <w:rFonts w:eastAsia="Times New Roman"/>
          <w:bCs/>
        </w:rPr>
      </w:pPr>
      <w:r>
        <w:rPr>
          <w:rFonts w:eastAsia="Times New Roman"/>
        </w:rPr>
        <w:t>***</w:t>
      </w:r>
    </w:p>
    <w:p w14:paraId="7BC20A19" w14:textId="77777777" w:rsidR="00745B4B" w:rsidRPr="00CE0948" w:rsidRDefault="00745B4B" w:rsidP="00745B4B">
      <w:pPr>
        <w:ind w:left="720"/>
      </w:pPr>
      <w:r w:rsidRPr="00CE0948">
        <w:t xml:space="preserve">Betsa hasn't shown a likelihood of success on his due process claim because this Court should abstain from deciding the issue under the authority of </w:t>
      </w:r>
      <w:proofErr w:type="gramStart"/>
      <w:r w:rsidRPr="00CE0948">
        <w:rPr>
          <w:i/>
          <w:iCs/>
        </w:rPr>
        <w:t>Younger</w:t>
      </w:r>
      <w:proofErr w:type="gramEnd"/>
      <w:r w:rsidRPr="00CE0948">
        <w:rPr>
          <w:i/>
          <w:iCs/>
        </w:rPr>
        <w:t xml:space="preserve"> v. Harris</w:t>
      </w:r>
      <w:r w:rsidRPr="00CE0948">
        <w:t xml:space="preserve">, 401 U.S. 37 (1971). </w:t>
      </w:r>
    </w:p>
    <w:p w14:paraId="5E0A4DBA" w14:textId="77777777" w:rsidR="00745B4B" w:rsidRDefault="00745B4B" w:rsidP="00745B4B">
      <w:pPr>
        <w:ind w:left="720"/>
      </w:pPr>
      <w:r>
        <w:t>‘</w:t>
      </w:r>
      <w:r w:rsidRPr="00CE0948">
        <w:t xml:space="preserve">Under </w:t>
      </w:r>
      <w:r w:rsidRPr="00CE0948">
        <w:rPr>
          <w:i/>
          <w:iCs/>
        </w:rPr>
        <w:t>Younger</w:t>
      </w:r>
      <w:r w:rsidRPr="00CE0948">
        <w:t xml:space="preserve"> abstention ... a federal court must decline to interfere with pending state civil or criminal proceedings when important state interests are involved.</w:t>
      </w:r>
      <w:r>
        <w:t>’</w:t>
      </w:r>
      <w:r w:rsidRPr="00CE0948">
        <w:t xml:space="preserve"> </w:t>
      </w:r>
      <w:r w:rsidRPr="00CE0948">
        <w:rPr>
          <w:i/>
          <w:iCs/>
        </w:rPr>
        <w:t>O'Neill v. Coughlan</w:t>
      </w:r>
      <w:r w:rsidRPr="00CE0948">
        <w:t xml:space="preserve">, 511 F.3d 638, 641 (6th Cir. 2008) (citations omitted). </w:t>
      </w:r>
      <w:r>
        <w:t>‘</w:t>
      </w:r>
      <w:r w:rsidRPr="00CE0948">
        <w:rPr>
          <w:i/>
          <w:iCs/>
        </w:rPr>
        <w:t>Younger</w:t>
      </w:r>
      <w:r w:rsidRPr="00CE0948">
        <w:t xml:space="preserve"> abstention is not a question of </w:t>
      </w:r>
      <w:proofErr w:type="gramStart"/>
      <w:r w:rsidRPr="00CE0948">
        <w:t>jurisdiction, but</w:t>
      </w:r>
      <w:proofErr w:type="gramEnd"/>
      <w:r w:rsidRPr="00CE0948">
        <w:t xml:space="preserve"> is rather based on ‘strong policies counseling against the exercise of such jurisdiction.' </w:t>
      </w:r>
      <w:r w:rsidRPr="00CE0948">
        <w:rPr>
          <w:i/>
          <w:iCs/>
        </w:rPr>
        <w:t>Id</w:t>
      </w:r>
      <w:r w:rsidRPr="00CE0948">
        <w:t xml:space="preserve">. (citing </w:t>
      </w:r>
      <w:r w:rsidRPr="00CE0948">
        <w:rPr>
          <w:i/>
          <w:iCs/>
        </w:rPr>
        <w:t>Ohio Civil Rights Comm'n v. Dayton Christian Sch., Inc</w:t>
      </w:r>
      <w:r w:rsidRPr="00CE0948">
        <w:t xml:space="preserve">., 477 U.S. 619, 626 (1986). </w:t>
      </w:r>
    </w:p>
    <w:p w14:paraId="4C54C118" w14:textId="77777777" w:rsidR="00745B4B" w:rsidRDefault="00745B4B" w:rsidP="00745B4B">
      <w:pPr>
        <w:ind w:left="720"/>
      </w:pPr>
      <w:r>
        <w:t>***</w:t>
      </w:r>
    </w:p>
    <w:p w14:paraId="6A809E77" w14:textId="77777777" w:rsidR="00745B4B" w:rsidRDefault="00745B4B" w:rsidP="00745B4B">
      <w:pPr>
        <w:ind w:left="720"/>
      </w:pPr>
      <w:r w:rsidRPr="001633A5">
        <w:t xml:space="preserve">Even if Betsa had cleanly separated his state-law and federal claims in the relevant venues, which he has not done, abstention under </w:t>
      </w:r>
      <w:r w:rsidRPr="001633A5">
        <w:rPr>
          <w:i/>
          <w:iCs/>
        </w:rPr>
        <w:t>Younger</w:t>
      </w:r>
      <w:r w:rsidRPr="001633A5">
        <w:t xml:space="preserve"> would still be warranted. This is so because Betsa's procedural due process claim is inextricably intertwined with his state-law procedural issues which he has raised in his state case. Indeed, Betsa concedes that he is not arguing that Ohio's disciplinary and termination procedures are unconstitutional. This means that if the City properly adhered to Ohio law when it suspended and terminated Betsa, it necessarily </w:t>
      </w:r>
      <w:r w:rsidRPr="001633A5">
        <w:rPr>
          <w:i/>
          <w:iCs/>
        </w:rPr>
        <w:t>did not</w:t>
      </w:r>
      <w:r w:rsidRPr="001633A5">
        <w:t xml:space="preserve"> violate Betsa's due process rights.</w:t>
      </w:r>
      <w:r w:rsidRPr="001633A5">
        <w:rPr>
          <w:vertAlign w:val="superscript"/>
        </w:rPr>
        <w:t>[</w:t>
      </w:r>
      <w:r w:rsidRPr="001633A5">
        <w:t xml:space="preserve"> And Betsa has only asked the Ohio court—not this Court—to determine whether the City properly adhered to Ohio law. </w:t>
      </w:r>
      <w:proofErr w:type="gramStart"/>
      <w:r w:rsidRPr="001633A5">
        <w:t>So</w:t>
      </w:r>
      <w:proofErr w:type="gramEnd"/>
      <w:r w:rsidRPr="001633A5">
        <w:t xml:space="preserve"> the Ohio court should resolve Betsa's state-law claim before this Court wades into Betsa's related due process </w:t>
      </w:r>
      <w:proofErr w:type="gramStart"/>
      <w:r w:rsidRPr="001633A5">
        <w:t>claim.</w:t>
      </w:r>
      <w:r>
        <w:t>”</w:t>
      </w:r>
      <w:proofErr w:type="gramEnd"/>
    </w:p>
    <w:p w14:paraId="634C38E2" w14:textId="77777777" w:rsidR="00745B4B" w:rsidRDefault="00745B4B" w:rsidP="00745B4B">
      <w:pPr>
        <w:rPr>
          <w:b/>
          <w:bCs/>
        </w:rPr>
      </w:pPr>
      <w:r>
        <w:rPr>
          <w:b/>
        </w:rPr>
        <w:t>Legal lesson learned:  Federal courts will normally abstain when the employee has already filed a lawsuit in state court on similar issues.</w:t>
      </w:r>
    </w:p>
    <w:p w14:paraId="7E2F2764" w14:textId="77777777" w:rsidR="00745B4B" w:rsidRDefault="00745B4B" w:rsidP="00745B4B">
      <w:pPr>
        <w:ind w:left="720"/>
      </w:pPr>
      <w:r w:rsidRPr="00D55245">
        <w:t xml:space="preserve">Note: </w:t>
      </w:r>
      <w:r w:rsidRPr="001B7700">
        <w:rPr>
          <w:vanish/>
        </w:rPr>
        <w:t>Top of Form</w:t>
      </w:r>
    </w:p>
    <w:p w14:paraId="720719BE" w14:textId="77777777" w:rsidR="00745B4B" w:rsidRDefault="00745B4B" w:rsidP="00745B4B">
      <w:pPr>
        <w:ind w:left="720"/>
        <w:rPr>
          <w:bCs/>
        </w:rPr>
      </w:pPr>
      <w:r>
        <w:t>Jan. 1, 2026:</w:t>
      </w:r>
      <w:r w:rsidRPr="000D33A9">
        <w:t xml:space="preserve">Avon Lake terminates fire chief after investigation into 'workplace conduct and leadership </w:t>
      </w:r>
      <w:r>
        <w:t>[</w:t>
      </w:r>
      <w:r w:rsidRPr="000D33A9">
        <w:t xml:space="preserve">TV VIDEO.]: </w:t>
      </w:r>
      <w:hyperlink r:id="rId2502" w:history="1">
        <w:r w:rsidRPr="000D33A9">
          <w:rPr>
            <w:rStyle w:val="Hyperlink"/>
          </w:rPr>
          <w:t>https://www.youtube.com/watch?v=NQ_XX2qp684</w:t>
        </w:r>
      </w:hyperlink>
      <w:r w:rsidRPr="000D33A9">
        <w:t xml:space="preserve"> </w:t>
      </w:r>
    </w:p>
    <w:p w14:paraId="157375F4" w14:textId="77777777" w:rsidR="00745B4B" w:rsidRDefault="00745B4B" w:rsidP="00745B4B">
      <w:pPr>
        <w:ind w:left="720"/>
      </w:pPr>
      <w:r>
        <w:t xml:space="preserve">Jan. 1, 2026: </w:t>
      </w:r>
      <w:hyperlink r:id="rId2503" w:history="1">
        <w:r w:rsidRPr="00F620D0">
          <w:rPr>
            <w:rStyle w:val="Hyperlink"/>
          </w:rPr>
          <w:t>https://www.wkyc.com/article/news/local/lorain-county/3news-investigates-avon-lake-terminates-fire-chief-investigation-into-workplace-conduct-leadership/95-a94cb6d7-c3ff-4355-be21-18103dc8f3f4</w:t>
        </w:r>
      </w:hyperlink>
    </w:p>
    <w:p w14:paraId="33029F2D" w14:textId="77777777" w:rsidR="00745B4B" w:rsidRDefault="00745B4B" w:rsidP="002F7727">
      <w:pPr>
        <w:pStyle w:val="NoSpacing"/>
        <w:rPr>
          <w:rFonts w:ascii="Arial Black" w:hAnsi="Arial Black"/>
          <w:b/>
          <w:sz w:val="24"/>
          <w:szCs w:val="24"/>
        </w:rPr>
      </w:pPr>
    </w:p>
    <w:p w14:paraId="6F649BBA" w14:textId="77777777" w:rsidR="00A66F20" w:rsidRDefault="00A66F20" w:rsidP="002F7727">
      <w:pPr>
        <w:pStyle w:val="NoSpacing"/>
        <w:rPr>
          <w:rFonts w:ascii="Arial Black" w:hAnsi="Arial Black"/>
          <w:b/>
          <w:sz w:val="24"/>
          <w:szCs w:val="24"/>
        </w:rPr>
      </w:pPr>
    </w:p>
    <w:p w14:paraId="699EA9B7" w14:textId="77777777" w:rsidR="00A66F20" w:rsidRDefault="00A66F20" w:rsidP="002F7727">
      <w:pPr>
        <w:pStyle w:val="NoSpacing"/>
        <w:rPr>
          <w:rFonts w:ascii="Arial Black" w:hAnsi="Arial Black"/>
          <w:b/>
          <w:sz w:val="24"/>
          <w:szCs w:val="24"/>
        </w:rPr>
      </w:pPr>
    </w:p>
    <w:p w14:paraId="1C8459CD" w14:textId="77777777" w:rsidR="00A66F20" w:rsidRDefault="00A66F20" w:rsidP="002F7727">
      <w:pPr>
        <w:pStyle w:val="NoSpacing"/>
        <w:rPr>
          <w:rFonts w:ascii="Arial Black" w:hAnsi="Arial Black"/>
          <w:b/>
          <w:sz w:val="24"/>
          <w:szCs w:val="24"/>
        </w:rPr>
      </w:pPr>
    </w:p>
    <w:p w14:paraId="437AE70E" w14:textId="06E1B90A" w:rsidR="006D1F52" w:rsidRDefault="006D1F52" w:rsidP="002F7727">
      <w:pPr>
        <w:pStyle w:val="NoSpacing"/>
        <w:rPr>
          <w:rFonts w:ascii="Arial Black" w:hAnsi="Arial Black"/>
          <w:b/>
          <w:sz w:val="24"/>
          <w:szCs w:val="24"/>
        </w:rPr>
      </w:pPr>
      <w:r>
        <w:rPr>
          <w:rFonts w:ascii="Arial Black" w:hAnsi="Arial Black"/>
          <w:b/>
          <w:sz w:val="24"/>
          <w:szCs w:val="24"/>
        </w:rPr>
        <w:t>16-144</w:t>
      </w:r>
    </w:p>
    <w:p w14:paraId="7E665A36" w14:textId="77777777" w:rsidR="006D1F52" w:rsidRDefault="006D1F52" w:rsidP="002F7727">
      <w:pPr>
        <w:pStyle w:val="NoSpacing"/>
        <w:rPr>
          <w:rFonts w:ascii="Arial Black" w:hAnsi="Arial Black"/>
          <w:b/>
          <w:sz w:val="24"/>
          <w:szCs w:val="24"/>
        </w:rPr>
      </w:pPr>
    </w:p>
    <w:p w14:paraId="33A27F3A" w14:textId="102937FE" w:rsidR="006D1F52" w:rsidRDefault="006D1F52" w:rsidP="006D1F52">
      <w:pPr>
        <w:rPr>
          <w:rFonts w:ascii="Arial Black" w:hAnsi="Arial Black"/>
          <w:sz w:val="28"/>
          <w:szCs w:val="28"/>
        </w:rPr>
      </w:pPr>
      <w:r>
        <w:rPr>
          <w:rFonts w:ascii="Arial Black" w:hAnsi="Arial Black"/>
          <w:sz w:val="28"/>
          <w:szCs w:val="28"/>
        </w:rPr>
        <w:t xml:space="preserve">MA: FF FIRED – MUST </w:t>
      </w:r>
      <w:r w:rsidR="00357F5D">
        <w:rPr>
          <w:rFonts w:ascii="Arial Black" w:hAnsi="Arial Black"/>
          <w:sz w:val="28"/>
          <w:szCs w:val="28"/>
        </w:rPr>
        <w:t xml:space="preserve">FIRST </w:t>
      </w:r>
      <w:r>
        <w:rPr>
          <w:rFonts w:ascii="Arial Black" w:hAnsi="Arial Black"/>
          <w:sz w:val="28"/>
          <w:szCs w:val="28"/>
        </w:rPr>
        <w:t>APPEAL TO CIVIL SERVICE COMM.</w:t>
      </w:r>
    </w:p>
    <w:p w14:paraId="7BF79807" w14:textId="77777777" w:rsidR="006D1F52" w:rsidRDefault="006D1F52" w:rsidP="006D1F52">
      <w:r>
        <w:t xml:space="preserve">On January 5, 2026, in </w:t>
      </w:r>
      <w:r w:rsidRPr="00EC756F">
        <w:rPr>
          <w:u w:val="single"/>
        </w:rPr>
        <w:t>Casley Bailey v. Boston Fire Department</w:t>
      </w:r>
      <w:r>
        <w:t xml:space="preserve">, the Commonwealth of Massachusetts Appeal Court held (3 to 0; unpublished opinion) that the trial court properly denied his “emergency motion for a preliminary injunction to stay the disciplinary proceedings.” He was fired the same day (regarding alleged workplace injury) he filed his complaint; he must first exercise his appeal rights to the state’s Civil Service Commission (where he has previously appealed </w:t>
      </w:r>
      <w:proofErr w:type="gramStart"/>
      <w:r>
        <w:t>other</w:t>
      </w:r>
      <w:proofErr w:type="gramEnd"/>
      <w:r>
        <w:t xml:space="preserve"> discipline). </w:t>
      </w:r>
      <w:hyperlink r:id="rId2504" w:history="1">
        <w:r w:rsidRPr="001D590B">
          <w:rPr>
            <w:rStyle w:val="Hyperlink"/>
          </w:rPr>
          <w:t>file:///C:/Users/lawre/Downloads/25P0275.pdf</w:t>
        </w:r>
      </w:hyperlink>
      <w:r>
        <w:t xml:space="preserve">  </w:t>
      </w:r>
    </w:p>
    <w:p w14:paraId="64903B14" w14:textId="77777777" w:rsidR="006D1F52" w:rsidRDefault="006D1F52" w:rsidP="006D1F52">
      <w:r>
        <w:t>THE COURT HELD:</w:t>
      </w:r>
    </w:p>
    <w:p w14:paraId="0C3755E5" w14:textId="77777777" w:rsidR="006D1F52" w:rsidRDefault="006D1F52" w:rsidP="006D1F52">
      <w:pPr>
        <w:pStyle w:val="NoSpacing"/>
        <w:ind w:left="720"/>
      </w:pPr>
      <w:r>
        <w:t>“The plaintiff, Casley Bailey, filed a complaint in the Superior Court against the defendant Boston Fire Department (department) seeking to stay the department's ongoing</w:t>
      </w:r>
    </w:p>
    <w:p w14:paraId="41E6EDAF" w14:textId="77777777" w:rsidR="006D1F52" w:rsidRDefault="006D1F52" w:rsidP="006D1F52">
      <w:pPr>
        <w:pStyle w:val="NoSpacing"/>
        <w:ind w:left="720"/>
      </w:pPr>
      <w:r>
        <w:t>disciplinary action against him. He accompanied the complaint with an emergency motion for a preliminary injunction to stay the disciplinary proceedings.</w:t>
      </w:r>
    </w:p>
    <w:p w14:paraId="533934F4" w14:textId="77777777" w:rsidR="006D1F52" w:rsidRDefault="006D1F52" w:rsidP="006D1F52">
      <w:pPr>
        <w:pStyle w:val="NoSpacing"/>
        <w:ind w:left="720"/>
      </w:pPr>
    </w:p>
    <w:p w14:paraId="54B16170" w14:textId="77777777" w:rsidR="006D1F52" w:rsidRDefault="006D1F52" w:rsidP="006D1F52">
      <w:pPr>
        <w:pStyle w:val="NoSpacing"/>
        <w:ind w:left="720"/>
      </w:pPr>
      <w:r>
        <w:t xml:space="preserve">Meanwhile, the same day the plaintiff filed his complaint, the department announced its final decision and discharged him from service as a firefighter. In opposition to the preliminary injunction, the department argued that the request should be dismissed as moot </w:t>
      </w:r>
      <w:proofErr w:type="gramStart"/>
      <w:r>
        <w:t>and also</w:t>
      </w:r>
      <w:proofErr w:type="gramEnd"/>
      <w:r>
        <w:t xml:space="preserve"> for failure to exhaust administrative remedies. After a hearing, a Superior Court judge denied injunctive relief on the ground that the plaintiff ‘must first exhaust his administrative remedies before coming to Court.’ Shortly thereafter the judge dismissed the complaint because the only relief the plaintiff sought -- the stay of the disciplinary</w:t>
      </w:r>
    </w:p>
    <w:p w14:paraId="33F3D5A3" w14:textId="77777777" w:rsidR="006D1F52" w:rsidRDefault="006D1F52" w:rsidP="006D1F52">
      <w:pPr>
        <w:pStyle w:val="NoSpacing"/>
        <w:ind w:left="720"/>
      </w:pPr>
      <w:r>
        <w:t>procedures -- had been denied.</w:t>
      </w:r>
    </w:p>
    <w:p w14:paraId="2C57A0CA" w14:textId="77777777" w:rsidR="006D1F52" w:rsidRDefault="006D1F52" w:rsidP="006D1F52">
      <w:pPr>
        <w:pStyle w:val="NoSpacing"/>
        <w:ind w:left="720"/>
      </w:pPr>
    </w:p>
    <w:p w14:paraId="38C01F4E" w14:textId="77777777" w:rsidR="006D1F52" w:rsidRDefault="006D1F52" w:rsidP="006D1F52">
      <w:pPr>
        <w:pStyle w:val="NoSpacing"/>
        <w:ind w:left="720"/>
      </w:pPr>
      <w:r>
        <w:t xml:space="preserve">The plaintiff appeals </w:t>
      </w:r>
      <w:proofErr w:type="gramStart"/>
      <w:r>
        <w:t>from</w:t>
      </w:r>
      <w:proofErr w:type="gramEnd"/>
      <w:r>
        <w:t xml:space="preserve"> the dismissal of his complaint. He asserts that the physician who examined him in connection with his claimed work-related injury forged a medical release; that the department chief who oversaw the disciplinary action was biased against him; that his union colluded with the department and failed to provide adequate representation, "rendering administrative remedies futile"; that the judge failed to consider his claim of irreparable harm, particularly the loss of health insurance for his family; and, finally, that he was disciplined more severely than similarly situated</w:t>
      </w:r>
    </w:p>
    <w:p w14:paraId="3D7DB679" w14:textId="77777777" w:rsidR="006D1F52" w:rsidRDefault="006D1F52" w:rsidP="006D1F52">
      <w:pPr>
        <w:pStyle w:val="NoSpacing"/>
        <w:ind w:left="720"/>
      </w:pPr>
      <w:r>
        <w:t xml:space="preserve">firefighters. </w:t>
      </w:r>
    </w:p>
    <w:p w14:paraId="1ACE1035" w14:textId="77777777" w:rsidR="006D1F52" w:rsidRDefault="006D1F52" w:rsidP="006D1F52">
      <w:pPr>
        <w:pStyle w:val="NoSpacing"/>
        <w:ind w:left="720"/>
      </w:pPr>
    </w:p>
    <w:p w14:paraId="6E508955" w14:textId="77777777" w:rsidR="006D1F52" w:rsidRDefault="006D1F52" w:rsidP="006D1F52">
      <w:pPr>
        <w:pStyle w:val="NoSpacing"/>
        <w:ind w:left="720"/>
      </w:pPr>
      <w:r>
        <w:t>Notwithstanding these claims of ‘fraudulent evidence, procedural misconduct, and labor law violations,’ we conclude that the judge did not abuse his discretion in denying the</w:t>
      </w:r>
    </w:p>
    <w:p w14:paraId="22B1780B" w14:textId="77777777" w:rsidR="006D1F52" w:rsidRDefault="006D1F52" w:rsidP="006D1F52">
      <w:pPr>
        <w:pStyle w:val="NoSpacing"/>
        <w:ind w:left="720"/>
      </w:pPr>
      <w:r>
        <w:t>injunction and dismissing the complaint for failure to exhaust available remedies.</w:t>
      </w:r>
    </w:p>
    <w:p w14:paraId="0D5702B5" w14:textId="77777777" w:rsidR="006D1F52" w:rsidRDefault="006D1F52" w:rsidP="006D1F52">
      <w:pPr>
        <w:pStyle w:val="NoSpacing"/>
        <w:ind w:left="720"/>
      </w:pPr>
    </w:p>
    <w:p w14:paraId="5E0FA2E2" w14:textId="77777777" w:rsidR="006D1F52" w:rsidRDefault="006D1F52" w:rsidP="006D1F52">
      <w:pPr>
        <w:pStyle w:val="NoSpacing"/>
        <w:ind w:left="720"/>
      </w:pPr>
      <w:r>
        <w:t>***</w:t>
      </w:r>
    </w:p>
    <w:p w14:paraId="18E89CBC" w14:textId="77777777" w:rsidR="006D1F52" w:rsidRDefault="006D1F52" w:rsidP="006D1F52">
      <w:pPr>
        <w:pStyle w:val="NoSpacing"/>
        <w:ind w:left="720"/>
      </w:pPr>
    </w:p>
    <w:p w14:paraId="2ED1899A" w14:textId="77777777" w:rsidR="006D1F52" w:rsidRDefault="006D1F52" w:rsidP="006D1F52">
      <w:pPr>
        <w:pStyle w:val="NoSpacing"/>
        <w:ind w:left="720"/>
      </w:pPr>
      <w:r>
        <w:t>Moreover, at the time the preliminary injunction was denied and the case was dismissed, the plaintiff had not yet availed himself of the remedies available to him under the civil service statute, G. L</w:t>
      </w:r>
      <w:proofErr w:type="gramStart"/>
      <w:r>
        <w:t>. c</w:t>
      </w:r>
      <w:proofErr w:type="gramEnd"/>
      <w:r>
        <w:t>. 31, §§ 41-45. The plaintiff was a tenured civil servant entitled to the protection of the statute. Documents in the plaintiff's record appendix show that within one month of the dismissal of his complaint he was actively challenging his termination in proceedings before the Civil Service Commission (commission).</w:t>
      </w:r>
    </w:p>
    <w:p w14:paraId="3798A05A" w14:textId="77777777" w:rsidR="006D1F52" w:rsidRDefault="006D1F52" w:rsidP="006D1F52">
      <w:pPr>
        <w:pStyle w:val="NoSpacing"/>
        <w:ind w:left="720"/>
      </w:pPr>
    </w:p>
    <w:p w14:paraId="754C7A81" w14:textId="77777777" w:rsidR="006D1F52" w:rsidRDefault="006D1F52" w:rsidP="006D1F52">
      <w:pPr>
        <w:pStyle w:val="NoSpacing"/>
        <w:ind w:left="720"/>
      </w:pPr>
      <w:r>
        <w:t xml:space="preserve">The plaintiff's claim of irreparable harm -- the harm from loss of employment -- is generally not sufficient to obtain an </w:t>
      </w:r>
      <w:proofErr w:type="gramStart"/>
      <w:r>
        <w:t>injunction.”</w:t>
      </w:r>
      <w:proofErr w:type="gramEnd"/>
    </w:p>
    <w:p w14:paraId="12049097" w14:textId="77777777" w:rsidR="006D1F52" w:rsidRDefault="006D1F52" w:rsidP="006D1F52">
      <w:pPr>
        <w:pStyle w:val="NoSpacing"/>
        <w:ind w:left="720"/>
      </w:pPr>
    </w:p>
    <w:p w14:paraId="542BAFB8" w14:textId="77777777" w:rsidR="006D1F52" w:rsidRDefault="006D1F52" w:rsidP="006D1F52">
      <w:pPr>
        <w:pStyle w:val="NoSpacing"/>
        <w:rPr>
          <w:b/>
          <w:bCs/>
        </w:rPr>
      </w:pPr>
      <w:r>
        <w:rPr>
          <w:b/>
        </w:rPr>
        <w:t xml:space="preserve">Legal lesson learned: Must first exhaust administrative right of appeal to Civil Service Commission before seeking judicial relief. </w:t>
      </w:r>
    </w:p>
    <w:p w14:paraId="2B010EE5" w14:textId="77777777" w:rsidR="006D1F52" w:rsidRDefault="006D1F52" w:rsidP="006D1F52">
      <w:pPr>
        <w:pStyle w:val="NoSpacing"/>
        <w:rPr>
          <w:b/>
          <w:bCs/>
        </w:rPr>
      </w:pPr>
    </w:p>
    <w:p w14:paraId="62A533FE" w14:textId="77777777" w:rsidR="006D1F52" w:rsidRDefault="006D1F52" w:rsidP="006D1F52">
      <w:pPr>
        <w:pStyle w:val="NoSpacing"/>
      </w:pPr>
      <w:r>
        <w:rPr>
          <w:b/>
        </w:rPr>
        <w:tab/>
      </w:r>
      <w:r>
        <w:t xml:space="preserve">Note:  See his prior discipline appeals. </w:t>
      </w:r>
    </w:p>
    <w:p w14:paraId="76C87814" w14:textId="77777777" w:rsidR="006D1F52" w:rsidRDefault="006D1F52" w:rsidP="006D1F52">
      <w:pPr>
        <w:ind w:left="720"/>
      </w:pPr>
      <w:r>
        <w:t xml:space="preserve">February 6, 2025: Civil Service Commission: </w:t>
      </w:r>
      <w:hyperlink r:id="rId2505" w:history="1">
        <w:r w:rsidRPr="002B4D2D">
          <w:rPr>
            <w:rStyle w:val="Hyperlink"/>
          </w:rPr>
          <w:t>https://www.mass.gov/doc/bailey-casley-v-boston-fire-department-2625/download</w:t>
        </w:r>
      </w:hyperlink>
      <w:r>
        <w:t xml:space="preserve"> </w:t>
      </w:r>
    </w:p>
    <w:p w14:paraId="03B38B2F" w14:textId="77777777" w:rsidR="006D1F52" w:rsidRDefault="006D1F52" w:rsidP="006D1F52">
      <w:pPr>
        <w:pStyle w:val="NoSpacing"/>
        <w:ind w:left="720"/>
        <w:rPr>
          <w:bCs/>
        </w:rPr>
      </w:pPr>
      <w:r>
        <w:t>“</w:t>
      </w:r>
      <w:r w:rsidRPr="00301812">
        <w:t>The Commission affirmed the decision of the Boston Fire Department (BFD) to suspend a</w:t>
      </w:r>
      <w:r>
        <w:t xml:space="preserve"> </w:t>
      </w:r>
      <w:r w:rsidRPr="00301812">
        <w:t>firefighter for 60 days for violation of rules related to untruthfulness and misrepresentation</w:t>
      </w:r>
      <w:r>
        <w:t xml:space="preserve"> </w:t>
      </w:r>
      <w:r w:rsidRPr="00301812">
        <w:t>regarding the unauthorized use of emergency lights and sirens on his personal vehicle.</w:t>
      </w:r>
      <w:r>
        <w:t>”</w:t>
      </w:r>
    </w:p>
    <w:p w14:paraId="19EF3D8D" w14:textId="77777777" w:rsidR="006D1F52" w:rsidRDefault="006D1F52" w:rsidP="006D1F52">
      <w:pPr>
        <w:pStyle w:val="NoSpacing"/>
        <w:ind w:left="720"/>
      </w:pPr>
    </w:p>
    <w:p w14:paraId="0A191BE6" w14:textId="77777777" w:rsidR="006D1F52" w:rsidRDefault="006D1F52" w:rsidP="006D1F52">
      <w:pPr>
        <w:pStyle w:val="NoSpacing"/>
        <w:ind w:left="720"/>
      </w:pPr>
      <w:r>
        <w:t xml:space="preserve">May 6, 2024: Civil Service Commission - </w:t>
      </w:r>
      <w:hyperlink r:id="rId2506" w:history="1">
        <w:r w:rsidRPr="001D590B">
          <w:rPr>
            <w:rStyle w:val="Hyperlink"/>
          </w:rPr>
          <w:t>https://www.mass.gov/doc/bailey-casley-v-boston-fire-department-62724/download</w:t>
        </w:r>
      </w:hyperlink>
    </w:p>
    <w:p w14:paraId="004FF996" w14:textId="77777777" w:rsidR="006D1F52" w:rsidRDefault="006D1F52" w:rsidP="006D1F52">
      <w:pPr>
        <w:pStyle w:val="NoSpacing"/>
        <w:ind w:left="720"/>
      </w:pPr>
      <w:r>
        <w:t>“The four-tour suspension [took FMLA leave to take Lt. exam] is modified to a two-tour</w:t>
      </w:r>
    </w:p>
    <w:p w14:paraId="1726975B" w14:textId="77777777" w:rsidR="006D1F52" w:rsidRDefault="006D1F52" w:rsidP="006D1F52">
      <w:pPr>
        <w:pStyle w:val="NoSpacing"/>
        <w:ind w:left="720"/>
      </w:pPr>
      <w:r>
        <w:t>suspension and the Appellant shall be restored to his position for the two remaining tours</w:t>
      </w:r>
    </w:p>
    <w:p w14:paraId="3E8949D0" w14:textId="77777777" w:rsidR="006D1F52" w:rsidRDefault="006D1F52" w:rsidP="006D1F52">
      <w:pPr>
        <w:pStyle w:val="NoSpacing"/>
        <w:ind w:left="720"/>
        <w:rPr>
          <w:b/>
        </w:rPr>
      </w:pPr>
      <w:r>
        <w:t>without loss of pay or other benefits.”</w:t>
      </w:r>
      <w:r>
        <w:rPr>
          <w:b/>
        </w:rPr>
        <w:t xml:space="preserve"> </w:t>
      </w:r>
    </w:p>
    <w:p w14:paraId="33E18AE9" w14:textId="77777777" w:rsidR="006D1F52" w:rsidRDefault="006D1F52" w:rsidP="006D1F52">
      <w:pPr>
        <w:rPr>
          <w:b/>
        </w:rPr>
      </w:pPr>
    </w:p>
    <w:p w14:paraId="6E9ACA3C" w14:textId="77777777" w:rsidR="006D1F52" w:rsidRDefault="006D1F52" w:rsidP="006D1F52">
      <w:pPr>
        <w:rPr>
          <w:b/>
        </w:rPr>
      </w:pPr>
    </w:p>
    <w:p w14:paraId="090583EB" w14:textId="77777777" w:rsidR="006D1F52" w:rsidRDefault="006D1F52" w:rsidP="002F7727">
      <w:pPr>
        <w:pStyle w:val="NoSpacing"/>
        <w:rPr>
          <w:rFonts w:ascii="Arial Black" w:hAnsi="Arial Black"/>
          <w:b/>
          <w:sz w:val="24"/>
          <w:szCs w:val="24"/>
        </w:rPr>
      </w:pPr>
    </w:p>
    <w:p w14:paraId="368C562E" w14:textId="77777777" w:rsidR="006D1F52" w:rsidRDefault="006D1F52" w:rsidP="002F7727">
      <w:pPr>
        <w:pStyle w:val="NoSpacing"/>
        <w:rPr>
          <w:rFonts w:ascii="Arial Black" w:hAnsi="Arial Black"/>
          <w:b/>
          <w:sz w:val="24"/>
          <w:szCs w:val="24"/>
        </w:rPr>
      </w:pPr>
    </w:p>
    <w:p w14:paraId="75EB0486" w14:textId="77777777" w:rsidR="006D1F52" w:rsidRDefault="006D1F52" w:rsidP="002F7727">
      <w:pPr>
        <w:pStyle w:val="NoSpacing"/>
        <w:rPr>
          <w:rFonts w:ascii="Arial Black" w:hAnsi="Arial Black"/>
          <w:b/>
          <w:sz w:val="24"/>
          <w:szCs w:val="24"/>
        </w:rPr>
      </w:pPr>
    </w:p>
    <w:p w14:paraId="5789EED6" w14:textId="40D2E6BF" w:rsidR="00966476" w:rsidRDefault="00966476" w:rsidP="002F7727">
      <w:pPr>
        <w:pStyle w:val="NoSpacing"/>
        <w:rPr>
          <w:rFonts w:ascii="Arial Black" w:hAnsi="Arial Black"/>
          <w:b/>
          <w:sz w:val="24"/>
          <w:szCs w:val="24"/>
        </w:rPr>
      </w:pPr>
      <w:r>
        <w:rPr>
          <w:rFonts w:ascii="Arial Black" w:hAnsi="Arial Black"/>
          <w:b/>
          <w:sz w:val="24"/>
          <w:szCs w:val="24"/>
        </w:rPr>
        <w:t>16-</w:t>
      </w:r>
      <w:r w:rsidR="00583923">
        <w:rPr>
          <w:rFonts w:ascii="Arial Black" w:hAnsi="Arial Black"/>
          <w:b/>
          <w:sz w:val="24"/>
          <w:szCs w:val="24"/>
        </w:rPr>
        <w:t>143</w:t>
      </w:r>
    </w:p>
    <w:p w14:paraId="7A11CE31" w14:textId="77777777" w:rsidR="004F5159" w:rsidRDefault="004F5159" w:rsidP="002F7727">
      <w:pPr>
        <w:pStyle w:val="NoSpacing"/>
        <w:rPr>
          <w:rFonts w:ascii="Arial Black" w:hAnsi="Arial Black"/>
          <w:b/>
          <w:sz w:val="24"/>
          <w:szCs w:val="24"/>
        </w:rPr>
      </w:pPr>
    </w:p>
    <w:p w14:paraId="6459F85A" w14:textId="77777777" w:rsidR="000637E4" w:rsidRPr="00E72C24" w:rsidRDefault="000637E4" w:rsidP="000637E4">
      <w:pPr>
        <w:rPr>
          <w:rFonts w:ascii="Arial Black" w:hAnsi="Arial Black"/>
          <w:b/>
          <w:sz w:val="28"/>
          <w:szCs w:val="28"/>
        </w:rPr>
      </w:pPr>
      <w:r>
        <w:rPr>
          <w:rFonts w:ascii="Arial Black" w:hAnsi="Arial Black"/>
          <w:b/>
          <w:sz w:val="28"/>
          <w:szCs w:val="28"/>
        </w:rPr>
        <w:t>CA: KOBE BRYANT CRASH – PHOTOS – NO RETALIATION</w:t>
      </w:r>
    </w:p>
    <w:p w14:paraId="6A9986A9" w14:textId="77777777" w:rsidR="000637E4" w:rsidRDefault="000637E4" w:rsidP="000637E4">
      <w:pPr>
        <w:pStyle w:val="NoSpacing"/>
      </w:pPr>
      <w:r>
        <w:t xml:space="preserve">On December 23, 2025, in </w:t>
      </w:r>
      <w:r w:rsidRPr="00524324">
        <w:rPr>
          <w:u w:val="single"/>
        </w:rPr>
        <w:t>Brian Jordan v. County of Los Angeles</w:t>
      </w:r>
      <w:r>
        <w:t xml:space="preserve">, the </w:t>
      </w:r>
      <w:r w:rsidRPr="00524324">
        <w:t>California Court of Appeals, Second District, Third Division</w:t>
      </w:r>
      <w:r>
        <w:t xml:space="preserve"> held (3 to 0, unpublished decision) that trial court properly dismissed the former Captain’s lawsuit for retaliation.  </w:t>
      </w:r>
      <w:r w:rsidRPr="00726530">
        <w:t>Jordan responded to the</w:t>
      </w:r>
      <w:r>
        <w:t xml:space="preserve"> </w:t>
      </w:r>
      <w:r w:rsidRPr="00726530">
        <w:t xml:space="preserve">scene of the </w:t>
      </w:r>
      <w:r>
        <w:t xml:space="preserve">Jan. 26, </w:t>
      </w:r>
      <w:proofErr w:type="gramStart"/>
      <w:r>
        <w:t>2020</w:t>
      </w:r>
      <w:proofErr w:type="gramEnd"/>
      <w:r>
        <w:t xml:space="preserve"> </w:t>
      </w:r>
      <w:r w:rsidRPr="00726530">
        <w:t>helicopter crash that killed NBA star Kobe Bryant</w:t>
      </w:r>
      <w:r>
        <w:t xml:space="preserve">, his daughter, Christopher Chester’s wife and daughter, among others.  He was ordered to take photos of the scene.  </w:t>
      </w:r>
      <w:r w:rsidRPr="00726530">
        <w:t>He alleged that he was later told to lie about taking</w:t>
      </w:r>
      <w:r>
        <w:t xml:space="preserve"> </w:t>
      </w:r>
      <w:r w:rsidRPr="00726530">
        <w:t>those photos. He further alleged that when he refused to lie, the</w:t>
      </w:r>
      <w:r>
        <w:t xml:space="preserve"> </w:t>
      </w:r>
      <w:r w:rsidRPr="00726530">
        <w:t>County retaliated against him by failing to pay for his legal</w:t>
      </w:r>
      <w:r>
        <w:t xml:space="preserve"> </w:t>
      </w:r>
      <w:r w:rsidRPr="00726530">
        <w:t>representation in an action brought by the crash victims’</w:t>
      </w:r>
      <w:r>
        <w:t xml:space="preserve"> </w:t>
      </w:r>
      <w:r w:rsidRPr="00726530">
        <w:t>families</w:t>
      </w:r>
      <w:r>
        <w:t xml:space="preserve"> (November 2021 deposition and August 2022 trial) </w:t>
      </w:r>
      <w:r w:rsidRPr="00726530">
        <w:t>and by denying him a retirement badge.</w:t>
      </w:r>
      <w:r>
        <w:t xml:space="preserve">  </w:t>
      </w:r>
      <w:hyperlink r:id="rId2507" w:history="1">
        <w:r w:rsidRPr="00F75E71">
          <w:rPr>
            <w:rStyle w:val="Hyperlink"/>
          </w:rPr>
          <w:t>https://www4.courts.ca.gov/opinions/nonpub/B333041.PDF</w:t>
        </w:r>
      </w:hyperlink>
      <w:r>
        <w:t xml:space="preserve"> </w:t>
      </w:r>
    </w:p>
    <w:p w14:paraId="1ECFE5CD" w14:textId="77777777" w:rsidR="000637E4" w:rsidRDefault="000637E4" w:rsidP="000637E4">
      <w:pPr>
        <w:pStyle w:val="NoSpacing"/>
      </w:pPr>
    </w:p>
    <w:p w14:paraId="28AFAC3C" w14:textId="77777777" w:rsidR="000637E4" w:rsidRDefault="000637E4" w:rsidP="000637E4">
      <w:pPr>
        <w:pStyle w:val="NoSpacing"/>
      </w:pPr>
      <w:r>
        <w:t>THE COURT HELD:</w:t>
      </w:r>
    </w:p>
    <w:p w14:paraId="766F4D90" w14:textId="77777777" w:rsidR="000637E4" w:rsidRDefault="000637E4" w:rsidP="000637E4">
      <w:pPr>
        <w:pStyle w:val="NoSpacing"/>
      </w:pPr>
    </w:p>
    <w:p w14:paraId="26FF905D" w14:textId="77777777" w:rsidR="000637E4" w:rsidRDefault="000637E4" w:rsidP="000637E4">
      <w:pPr>
        <w:pStyle w:val="NoSpacing"/>
        <w:ind w:left="720"/>
      </w:pPr>
      <w:r>
        <w:t>“A superior officer, Anthony Marrone, ordered Jordan, in the scope of Jordan’s work as a safety officer for the LACFD, to photograph the crash site. Jordan did so. An unnamed superior officer later told Jordan to delete all photos he had taken, and he complied. According to the complaint, at an unspecified later date, ‘defendants’ told Jordan to claim he had not taken any pictures. He refused to do so.</w:t>
      </w:r>
    </w:p>
    <w:p w14:paraId="35520DC9" w14:textId="77777777" w:rsidR="000637E4" w:rsidRDefault="000637E4" w:rsidP="000637E4">
      <w:pPr>
        <w:pStyle w:val="NoSpacing"/>
        <w:ind w:left="720"/>
      </w:pPr>
    </w:p>
    <w:p w14:paraId="27E7B53B" w14:textId="77777777" w:rsidR="000637E4" w:rsidRDefault="000637E4" w:rsidP="000637E4">
      <w:pPr>
        <w:pStyle w:val="NoSpacing"/>
        <w:ind w:left="720"/>
      </w:pPr>
      <w:r>
        <w:t>***</w:t>
      </w:r>
    </w:p>
    <w:p w14:paraId="7F2070C5" w14:textId="77777777" w:rsidR="000637E4" w:rsidRDefault="000637E4" w:rsidP="000637E4">
      <w:pPr>
        <w:pStyle w:val="NoSpacing"/>
        <w:ind w:left="720"/>
      </w:pPr>
      <w:r>
        <w:t>On December 2, 2020, Jordan applied for disability retirement. On December 3, he received a Notice of Intent to Terminate (Notice) from the LACFD. The Notice was based on the claim that Jordan had taken and disseminated photos of the crash site without authorization.</w:t>
      </w:r>
    </w:p>
    <w:p w14:paraId="1A933BB1" w14:textId="77777777" w:rsidR="000637E4" w:rsidRDefault="000637E4" w:rsidP="000637E4">
      <w:pPr>
        <w:pStyle w:val="NoSpacing"/>
        <w:ind w:left="720"/>
      </w:pPr>
    </w:p>
    <w:p w14:paraId="1D65AE2C" w14:textId="77777777" w:rsidR="000637E4" w:rsidRDefault="000637E4" w:rsidP="000637E4">
      <w:pPr>
        <w:pStyle w:val="NoSpacing"/>
        <w:ind w:left="720"/>
      </w:pPr>
      <w:r>
        <w:t>***</w:t>
      </w:r>
    </w:p>
    <w:p w14:paraId="60D7A2A7" w14:textId="77777777" w:rsidR="000637E4" w:rsidRDefault="000637E4" w:rsidP="000637E4">
      <w:pPr>
        <w:pStyle w:val="NoSpacing"/>
        <w:ind w:left="720"/>
      </w:pPr>
    </w:p>
    <w:p w14:paraId="4B87C43F" w14:textId="77777777" w:rsidR="000637E4" w:rsidRDefault="000637E4" w:rsidP="000637E4">
      <w:pPr>
        <w:pStyle w:val="NoSpacing"/>
        <w:ind w:left="720"/>
      </w:pPr>
      <w:r>
        <w:t>In May 2021, Christopher Chester named Jordan as a defendant in his lawsuit concerning the crash photographs. Jordan retained an attorney to represent him in the matter. The</w:t>
      </w:r>
    </w:p>
    <w:p w14:paraId="32808E16" w14:textId="77777777" w:rsidR="000637E4" w:rsidRDefault="000637E4" w:rsidP="000637E4">
      <w:pPr>
        <w:pStyle w:val="NoSpacing"/>
        <w:ind w:left="720"/>
      </w:pPr>
      <w:r>
        <w:t>County, through Deputy Fire Chief William McCloud, offered to pay for Jordan’s legal defense, but [Jordan alleges] only if he was willing to change lawyers and testify that he did not take any pictures at the crash site. Jordan rejected the County’s offer through his attorney.</w:t>
      </w:r>
    </w:p>
    <w:p w14:paraId="08D7BCBC" w14:textId="77777777" w:rsidR="000637E4" w:rsidRDefault="000637E4" w:rsidP="000637E4">
      <w:pPr>
        <w:pStyle w:val="NoSpacing"/>
        <w:ind w:left="720"/>
      </w:pPr>
    </w:p>
    <w:p w14:paraId="57702A7F" w14:textId="77777777" w:rsidR="000637E4" w:rsidRDefault="000637E4" w:rsidP="000637E4">
      <w:pPr>
        <w:pStyle w:val="NoSpacing"/>
        <w:ind w:left="720"/>
      </w:pPr>
      <w:r>
        <w:t>***</w:t>
      </w:r>
    </w:p>
    <w:p w14:paraId="051B3ECE" w14:textId="77777777" w:rsidR="000637E4" w:rsidRDefault="000637E4" w:rsidP="000637E4">
      <w:pPr>
        <w:pStyle w:val="NoSpacing"/>
        <w:ind w:left="720"/>
      </w:pPr>
      <w:r>
        <w:t>Thus, the only employment action at issue is the Notice. However, the County’s issuance of the Notice in December 2020 could not be retaliation for Jordan’s deposition and trial</w:t>
      </w:r>
    </w:p>
    <w:p w14:paraId="01451133" w14:textId="77777777" w:rsidR="000637E4" w:rsidRDefault="000637E4" w:rsidP="000637E4">
      <w:pPr>
        <w:pStyle w:val="NoSpacing"/>
        <w:ind w:left="720"/>
      </w:pPr>
      <w:r>
        <w:t>testimony which did not take place until November 2021 and August 2022, respectively…. However, Jordan’s government claim, which he attached to the</w:t>
      </w:r>
    </w:p>
    <w:p w14:paraId="51B17305" w14:textId="77777777" w:rsidR="000637E4" w:rsidRDefault="000637E4" w:rsidP="000637E4">
      <w:pPr>
        <w:pStyle w:val="NoSpacing"/>
        <w:ind w:left="720"/>
      </w:pPr>
      <w:r>
        <w:t>second amended complaint, indicates that this conversation occurred after he was named as a defendant in the Chester action in May 2021, several months after the County issued the Notice…. it is apparent on the face of the complaint that there could be no causal link between the protected activity and the actionable alleged retaliatory conduct.”</w:t>
      </w:r>
    </w:p>
    <w:p w14:paraId="1F966814" w14:textId="77777777" w:rsidR="000637E4" w:rsidRDefault="000637E4" w:rsidP="000637E4">
      <w:pPr>
        <w:pStyle w:val="NoSpacing"/>
        <w:ind w:left="720"/>
      </w:pPr>
    </w:p>
    <w:p w14:paraId="68237D5D" w14:textId="77777777" w:rsidR="000637E4" w:rsidRDefault="000637E4" w:rsidP="000637E4">
      <w:pPr>
        <w:pStyle w:val="NoSpacing"/>
        <w:rPr>
          <w:b/>
          <w:bCs/>
        </w:rPr>
      </w:pPr>
      <w:r>
        <w:rPr>
          <w:b/>
        </w:rPr>
        <w:t xml:space="preserve">Legal lesson learned: If ever ordered to destroy photos or other evidence, or to lie about your </w:t>
      </w:r>
      <w:proofErr w:type="gramStart"/>
      <w:r>
        <w:rPr>
          <w:b/>
        </w:rPr>
        <w:t>on duty</w:t>
      </w:r>
      <w:proofErr w:type="gramEnd"/>
      <w:r>
        <w:rPr>
          <w:b/>
        </w:rPr>
        <w:t xml:space="preserve"> conduct, immediately report it to a senior supervisor or prosecutor. </w:t>
      </w:r>
    </w:p>
    <w:p w14:paraId="348D382B" w14:textId="77777777" w:rsidR="000637E4" w:rsidRDefault="000637E4" w:rsidP="000637E4">
      <w:pPr>
        <w:pStyle w:val="NoSpacing"/>
        <w:rPr>
          <w:b/>
          <w:bCs/>
        </w:rPr>
      </w:pPr>
    </w:p>
    <w:p w14:paraId="28B0AC3A" w14:textId="77777777" w:rsidR="000637E4" w:rsidRDefault="000637E4" w:rsidP="000637E4">
      <w:pPr>
        <w:pStyle w:val="NoSpacing"/>
        <w:ind w:firstLine="720"/>
      </w:pPr>
      <w:r w:rsidRPr="003847B3">
        <w:t xml:space="preserve">Note: For example, see Ohio Revised Code – Whistleblower statute: </w:t>
      </w:r>
    </w:p>
    <w:p w14:paraId="1CCC0869" w14:textId="77777777" w:rsidR="000637E4" w:rsidRPr="00D47016" w:rsidRDefault="000637E4" w:rsidP="000637E4">
      <w:pPr>
        <w:pStyle w:val="NoSpacing"/>
        <w:ind w:firstLine="720"/>
        <w:rPr>
          <w:b/>
          <w:bCs/>
        </w:rPr>
      </w:pPr>
      <w:r w:rsidRPr="00D47016">
        <w:t>Section 4113.52 | Reporting violations by state and local officials and employees</w:t>
      </w:r>
    </w:p>
    <w:p w14:paraId="5A6B67BB" w14:textId="77777777" w:rsidR="000637E4" w:rsidRPr="003847B3" w:rsidRDefault="000637E4" w:rsidP="000637E4">
      <w:pPr>
        <w:pStyle w:val="NoSpacing"/>
        <w:ind w:firstLine="720"/>
      </w:pPr>
      <w:hyperlink r:id="rId2508" w:history="1">
        <w:r w:rsidRPr="00F75E71">
          <w:rPr>
            <w:rStyle w:val="Hyperlink"/>
          </w:rPr>
          <w:t>https://codes.ohio.gov/ohio-revised-code/section-4113.52</w:t>
        </w:r>
      </w:hyperlink>
      <w:r>
        <w:t xml:space="preserve"> </w:t>
      </w:r>
    </w:p>
    <w:p w14:paraId="657744A0" w14:textId="77777777" w:rsidR="000637E4" w:rsidRDefault="000637E4" w:rsidP="000637E4">
      <w:pPr>
        <w:pStyle w:val="NoSpacing"/>
        <w:ind w:left="720"/>
        <w:rPr>
          <w:bCs/>
        </w:rPr>
      </w:pPr>
    </w:p>
    <w:p w14:paraId="2B90AA35" w14:textId="77777777" w:rsidR="000637E4" w:rsidRPr="00727820" w:rsidRDefault="000637E4" w:rsidP="000637E4">
      <w:pPr>
        <w:pStyle w:val="NoSpacing"/>
        <w:ind w:left="720"/>
        <w:rPr>
          <w:bCs/>
        </w:rPr>
      </w:pPr>
      <w:r>
        <w:t>“</w:t>
      </w:r>
      <w:r w:rsidRPr="00727820">
        <w:t xml:space="preserve">(f) If a person becomes aware in the course of the person's employment of a violation of any state or federal statute or any ordinance or regulation of a political subdivision that the person's employer has authority to correct, and the person reasonably believes that the violation is a criminal offense that is likely to cause an imminent risk of physical harm to persons or a hazard to public health or safety, a felony, or an improper solicitation for a contribution, the person orally shall notify the person's supervisor or other responsible officer of the person's employer of the violation and subsequently shall file with that supervisor or officer a written report that provides sufficient detail to identify and describe the violation. If the employer does not correct the violation or make a reasonable and good faith effort to correct the violation within twenty-four hours after the oral notification or the receipt of the report, whichever is earlier, the person may file a written report that provides sufficient detail to identify and describe the violation with the prosecuting authority of the county or municipal corporation where the violation occurred, with a peace officer, with the inspector general if the violation is within the inspector general's jurisdiction, with the auditor of state's fraud-reporting system under section </w:t>
      </w:r>
      <w:hyperlink r:id="rId2509" w:history="1">
        <w:r w:rsidRPr="00727820">
          <w:rPr>
            <w:rStyle w:val="Hyperlink"/>
          </w:rPr>
          <w:t>117.103</w:t>
        </w:r>
      </w:hyperlink>
      <w:r w:rsidRPr="00727820">
        <w:t xml:space="preserve"> of the Revised Code if applicable, or with any other appropriate public official or agency that has regulatory authority over the employer and the industry, trade, or business in which the employer is engaged.</w:t>
      </w:r>
      <w:r>
        <w:t>”</w:t>
      </w:r>
    </w:p>
    <w:p w14:paraId="67DE854C" w14:textId="77777777" w:rsidR="000637E4" w:rsidRDefault="000637E4" w:rsidP="000637E4">
      <w:pPr>
        <w:pStyle w:val="NoSpacing"/>
        <w:ind w:left="720"/>
      </w:pPr>
    </w:p>
    <w:p w14:paraId="5EACB0D7" w14:textId="77777777" w:rsidR="000637E4" w:rsidRDefault="000637E4" w:rsidP="000637E4">
      <w:pPr>
        <w:pStyle w:val="NoSpacing"/>
      </w:pPr>
    </w:p>
    <w:p w14:paraId="22090817" w14:textId="77777777" w:rsidR="000637E4" w:rsidRDefault="000637E4" w:rsidP="000637E4">
      <w:pPr>
        <w:pStyle w:val="NoSpacing"/>
        <w:ind w:left="720"/>
      </w:pPr>
    </w:p>
    <w:p w14:paraId="5957C0A1" w14:textId="55687991" w:rsidR="00790D60" w:rsidRDefault="000637E4" w:rsidP="002F7727">
      <w:pPr>
        <w:pStyle w:val="NoSpacing"/>
        <w:rPr>
          <w:rFonts w:ascii="Arial Black" w:hAnsi="Arial Black"/>
          <w:b/>
          <w:sz w:val="24"/>
          <w:szCs w:val="24"/>
        </w:rPr>
      </w:pPr>
      <w:r>
        <w:rPr>
          <w:rFonts w:ascii="Arial Black" w:hAnsi="Arial Black"/>
          <w:b/>
          <w:sz w:val="24"/>
          <w:szCs w:val="24"/>
        </w:rPr>
        <w:t>16-</w:t>
      </w:r>
      <w:r w:rsidR="00583923">
        <w:rPr>
          <w:rFonts w:ascii="Arial Black" w:hAnsi="Arial Black"/>
          <w:b/>
          <w:sz w:val="24"/>
          <w:szCs w:val="24"/>
        </w:rPr>
        <w:t>142</w:t>
      </w:r>
    </w:p>
    <w:p w14:paraId="084CF9C5" w14:textId="77777777" w:rsidR="00FC6682" w:rsidRDefault="00FC6682" w:rsidP="002F7727">
      <w:pPr>
        <w:pStyle w:val="NoSpacing"/>
        <w:rPr>
          <w:rFonts w:ascii="Arial Black" w:hAnsi="Arial Black"/>
          <w:b/>
          <w:sz w:val="24"/>
          <w:szCs w:val="24"/>
        </w:rPr>
      </w:pPr>
    </w:p>
    <w:p w14:paraId="1B7C880B" w14:textId="77777777" w:rsidR="00FC6682" w:rsidRPr="0072287A" w:rsidRDefault="00FC6682" w:rsidP="00FC6682">
      <w:pPr>
        <w:pStyle w:val="NoSpacing"/>
        <w:rPr>
          <w:rFonts w:ascii="Arial Black" w:hAnsi="Arial Black"/>
          <w:sz w:val="28"/>
          <w:szCs w:val="28"/>
        </w:rPr>
      </w:pPr>
      <w:r>
        <w:rPr>
          <w:rFonts w:ascii="Arial Black" w:hAnsi="Arial Black"/>
          <w:sz w:val="28"/>
          <w:szCs w:val="28"/>
        </w:rPr>
        <w:t xml:space="preserve">FEMA: 13-DAY SUSP – PROFANITY – TENSION FEMALES  </w:t>
      </w:r>
    </w:p>
    <w:p w14:paraId="137BD6FB" w14:textId="77777777" w:rsidR="00FC6682" w:rsidRDefault="00FC6682" w:rsidP="00FC6682">
      <w:pPr>
        <w:pStyle w:val="NoSpacing"/>
      </w:pPr>
    </w:p>
    <w:p w14:paraId="10F30B84" w14:textId="77777777" w:rsidR="00FC6682" w:rsidRDefault="00FC6682" w:rsidP="00FC6682">
      <w:pPr>
        <w:pStyle w:val="NoSpacing"/>
      </w:pPr>
      <w:r>
        <w:t xml:space="preserve">On December 22, 2025, in </w:t>
      </w:r>
      <w:r w:rsidRPr="004E708C">
        <w:rPr>
          <w:u w:val="single"/>
        </w:rPr>
        <w:t xml:space="preserve">Karl Rabenhorst v. Kristi L. Noem, Secretary, Department of Homeland </w:t>
      </w:r>
      <w:r>
        <w:rPr>
          <w:u w:val="single"/>
        </w:rPr>
        <w:t>S</w:t>
      </w:r>
      <w:r w:rsidRPr="004E708C">
        <w:rPr>
          <w:u w:val="single"/>
        </w:rPr>
        <w:t>ecurity</w:t>
      </w:r>
      <w:r>
        <w:t xml:space="preserve">, the U.S. Court of Appeals for Seventh Circuit (Chicago) held (3 to 0) that the DHS was properly granted summary judgment; the former FEMA employee was suspended for 13 days and also removed from deployment in Puerto Rice in October 2017 because of his misconduct. </w:t>
      </w:r>
      <w:hyperlink r:id="rId2510" w:history="1">
        <w:r w:rsidRPr="001402A1">
          <w:rPr>
            <w:rStyle w:val="Hyperlink"/>
          </w:rPr>
          <w:t>https://cases.justia.com/federal/appellate-courts/ca7/24-1297/24-1297-2025-12-22.pdf?ts=1766437242</w:t>
        </w:r>
      </w:hyperlink>
      <w:r>
        <w:t xml:space="preserve"> </w:t>
      </w:r>
    </w:p>
    <w:p w14:paraId="570D807F" w14:textId="77777777" w:rsidR="00FC6682" w:rsidRDefault="00FC6682" w:rsidP="00FC6682">
      <w:pPr>
        <w:pStyle w:val="NoSpacing"/>
      </w:pPr>
    </w:p>
    <w:p w14:paraId="3C077528" w14:textId="77777777" w:rsidR="00FC6682" w:rsidRDefault="00FC6682" w:rsidP="00FC6682">
      <w:pPr>
        <w:pStyle w:val="NoSpacing"/>
      </w:pPr>
    </w:p>
    <w:p w14:paraId="05266463" w14:textId="77777777" w:rsidR="00FC6682" w:rsidRDefault="00FC6682" w:rsidP="00FC6682">
      <w:pPr>
        <w:pStyle w:val="NoSpacing"/>
      </w:pPr>
      <w:r>
        <w:t>THE COURT HELD:</w:t>
      </w:r>
    </w:p>
    <w:p w14:paraId="2CE5F02D" w14:textId="77777777" w:rsidR="00FC6682" w:rsidRDefault="00FC6682" w:rsidP="00FC6682">
      <w:pPr>
        <w:pStyle w:val="NoSpacing"/>
      </w:pPr>
    </w:p>
    <w:p w14:paraId="0C3BA965" w14:textId="77777777" w:rsidR="00FC6682" w:rsidRDefault="00FC6682" w:rsidP="00FC6682">
      <w:pPr>
        <w:pStyle w:val="NoSpacing"/>
        <w:ind w:left="720"/>
      </w:pPr>
      <w:r>
        <w:t xml:space="preserve">“Rabenhorst was deployed to Puerto Rico in October 2017 in the wake of Hurricane Maria. Based on his military aviation and air operations experience, Rabenhorst was assigned to help oversee Puerto Rico air operations related to the disaster relief effort, including the airlifting of emergency aid to the island and medical evacuations from the island. In that capacity, Rabenhorst was working with female FEMA employees in their twenties who, according to him, knew nothing about air operations and management. Tensions arose between Rabenhorst and his female coworkers, and </w:t>
      </w:r>
      <w:proofErr w:type="gramStart"/>
      <w:r>
        <w:t>a number of</w:t>
      </w:r>
      <w:proofErr w:type="gramEnd"/>
      <w:r>
        <w:t xml:space="preserve"> the women became uncomfortable working with him. During staff meetings, Rabenhorst reportedly used profanity, treated his female coworkers and supervisors with disrespect, and on one </w:t>
      </w:r>
    </w:p>
    <w:p w14:paraId="67DE4043" w14:textId="77777777" w:rsidR="00FC6682" w:rsidRDefault="00FC6682" w:rsidP="00FC6682">
      <w:pPr>
        <w:pStyle w:val="NoSpacing"/>
        <w:ind w:left="720"/>
      </w:pPr>
      <w:r>
        <w:t>occasion referred to one or more of female colleagues as ‘sorority girls’ and remarked as to one of them that he had ‘paddled the butts of daughters who were older than her.’ Ultimately, approximately one month after Rabenhorst arrived in Puerto Rico, Josie Arcurio, the FEMA official serving as chief of staff for the relief effort, decided to remove him from the operation for cause, in view of his treatment of co-workers, and had him escorted out of the air operations branch in the view of other employees.</w:t>
      </w:r>
    </w:p>
    <w:p w14:paraId="5454297F" w14:textId="77777777" w:rsidR="00FC6682" w:rsidRDefault="00FC6682" w:rsidP="00FC6682">
      <w:pPr>
        <w:pStyle w:val="NoSpacing"/>
        <w:ind w:left="720"/>
      </w:pPr>
    </w:p>
    <w:p w14:paraId="3BC8E134" w14:textId="77777777" w:rsidR="00FC6682" w:rsidRDefault="00FC6682" w:rsidP="00FC6682">
      <w:pPr>
        <w:pStyle w:val="NoSpacing"/>
        <w:ind w:left="720"/>
      </w:pPr>
      <w:r>
        <w:t>***</w:t>
      </w:r>
    </w:p>
    <w:p w14:paraId="2474493B" w14:textId="77777777" w:rsidR="00FC6682" w:rsidRDefault="00FC6682" w:rsidP="00FC6682">
      <w:pPr>
        <w:pStyle w:val="NoSpacing"/>
        <w:ind w:left="720"/>
      </w:pPr>
      <w:r>
        <w:t xml:space="preserve">There was nothing suggesting that O’Leary [his </w:t>
      </w:r>
      <w:proofErr w:type="gramStart"/>
      <w:r>
        <w:t>Supervisor</w:t>
      </w:r>
      <w:proofErr w:type="gramEnd"/>
      <w:r>
        <w:t xml:space="preserve">] may have harbored a retaliatory animus; nothing indicating that </w:t>
      </w:r>
      <w:proofErr w:type="gramStart"/>
      <w:r>
        <w:t>similarly-situated</w:t>
      </w:r>
      <w:proofErr w:type="gramEnd"/>
      <w:r>
        <w:t xml:space="preserve"> employees were treated more leniently than Rabenhorst; and nothing suggesting that O’Leary’s stated reasons for disciplining Rabenhorst were pretextual.”</w:t>
      </w:r>
    </w:p>
    <w:p w14:paraId="1C2A1EE6" w14:textId="77777777" w:rsidR="00FC6682" w:rsidRDefault="00FC6682" w:rsidP="00FC6682">
      <w:pPr>
        <w:pStyle w:val="NoSpacing"/>
      </w:pPr>
    </w:p>
    <w:p w14:paraId="16F01574" w14:textId="77777777" w:rsidR="00FC6682" w:rsidRPr="00B85FEC" w:rsidRDefault="00FC6682" w:rsidP="00FC6682">
      <w:pPr>
        <w:pStyle w:val="NoSpacing"/>
        <w:rPr>
          <w:b/>
          <w:bCs/>
        </w:rPr>
      </w:pPr>
      <w:r>
        <w:rPr>
          <w:b/>
        </w:rPr>
        <w:t xml:space="preserve">Legal lesson learned: Inappropriate comments can lead to discipline. </w:t>
      </w:r>
    </w:p>
    <w:p w14:paraId="5CF76F7A" w14:textId="77777777" w:rsidR="00FC6682" w:rsidRDefault="00FC6682" w:rsidP="002F7727">
      <w:pPr>
        <w:pStyle w:val="NoSpacing"/>
        <w:rPr>
          <w:rFonts w:ascii="Arial Black" w:hAnsi="Arial Black"/>
          <w:b/>
          <w:sz w:val="24"/>
          <w:szCs w:val="24"/>
        </w:rPr>
      </w:pPr>
    </w:p>
    <w:p w14:paraId="570C3AA8" w14:textId="77777777" w:rsidR="00FC6682" w:rsidRDefault="00FC6682" w:rsidP="002F7727">
      <w:pPr>
        <w:pStyle w:val="NoSpacing"/>
        <w:rPr>
          <w:rFonts w:ascii="Arial Black" w:hAnsi="Arial Black"/>
          <w:b/>
          <w:sz w:val="24"/>
          <w:szCs w:val="24"/>
        </w:rPr>
      </w:pPr>
    </w:p>
    <w:p w14:paraId="4376075D" w14:textId="1D3C8363" w:rsidR="00FC6682" w:rsidRDefault="00FC6682" w:rsidP="002F7727">
      <w:pPr>
        <w:pStyle w:val="NoSpacing"/>
        <w:rPr>
          <w:rFonts w:ascii="Arial Black" w:hAnsi="Arial Black"/>
          <w:b/>
          <w:sz w:val="24"/>
          <w:szCs w:val="24"/>
        </w:rPr>
      </w:pPr>
      <w:r>
        <w:rPr>
          <w:rFonts w:ascii="Arial Black" w:hAnsi="Arial Black"/>
          <w:b/>
          <w:sz w:val="24"/>
          <w:szCs w:val="24"/>
        </w:rPr>
        <w:t>16-</w:t>
      </w:r>
      <w:r w:rsidR="00583923">
        <w:rPr>
          <w:rFonts w:ascii="Arial Black" w:hAnsi="Arial Black"/>
          <w:b/>
          <w:sz w:val="24"/>
          <w:szCs w:val="24"/>
        </w:rPr>
        <w:t>141</w:t>
      </w:r>
    </w:p>
    <w:p w14:paraId="0F111372" w14:textId="77777777" w:rsidR="00A26558" w:rsidRDefault="00A26558" w:rsidP="002F7727">
      <w:pPr>
        <w:pStyle w:val="NoSpacing"/>
        <w:rPr>
          <w:rFonts w:ascii="Arial Black" w:hAnsi="Arial Black"/>
          <w:b/>
          <w:sz w:val="24"/>
          <w:szCs w:val="24"/>
        </w:rPr>
      </w:pPr>
    </w:p>
    <w:p w14:paraId="42224E97" w14:textId="2B785E23" w:rsidR="00A26558" w:rsidRPr="00EF05BE" w:rsidRDefault="00A26558" w:rsidP="00A26558">
      <w:pPr>
        <w:rPr>
          <w:rFonts w:ascii="Arial Black" w:hAnsi="Arial Black"/>
          <w:bCs/>
          <w:sz w:val="28"/>
          <w:szCs w:val="28"/>
        </w:rPr>
      </w:pPr>
      <w:r>
        <w:rPr>
          <w:rFonts w:ascii="Arial Black" w:hAnsi="Arial Black"/>
          <w:sz w:val="28"/>
          <w:szCs w:val="28"/>
        </w:rPr>
        <w:t xml:space="preserve">IL: FF CONVICTED – ENTERED FALSE HRS </w:t>
      </w:r>
      <w:r w:rsidR="006063CB">
        <w:rPr>
          <w:rFonts w:ascii="Arial Black" w:hAnsi="Arial Black"/>
          <w:sz w:val="28"/>
          <w:szCs w:val="28"/>
        </w:rPr>
        <w:t xml:space="preserve">FOR </w:t>
      </w:r>
      <w:r>
        <w:rPr>
          <w:rFonts w:ascii="Arial Black" w:hAnsi="Arial Black"/>
          <w:sz w:val="28"/>
          <w:szCs w:val="28"/>
        </w:rPr>
        <w:t xml:space="preserve">2 YRS - $17,000 </w:t>
      </w:r>
    </w:p>
    <w:p w14:paraId="392DCE60" w14:textId="77777777" w:rsidR="00A26558" w:rsidRDefault="00A26558" w:rsidP="00A26558">
      <w:pPr>
        <w:rPr>
          <w:bCs/>
        </w:rPr>
      </w:pPr>
      <w:r>
        <w:t xml:space="preserve">On December 15, 2025, in </w:t>
      </w:r>
      <w:r w:rsidRPr="007072AE">
        <w:rPr>
          <w:u w:val="single"/>
        </w:rPr>
        <w:t>The People of the State of Illinois v. Greg Algrim</w:t>
      </w:r>
      <w:r>
        <w:t xml:space="preserve">, the </w:t>
      </w:r>
      <w:r w:rsidRPr="007072AE">
        <w:t>Appellate Court of Illinois, Second District</w:t>
      </w:r>
      <w:r>
        <w:t xml:space="preserve"> held (3 to 0) that the firefighter, with 22 years on the job, was properly convicted in bench trial of </w:t>
      </w:r>
      <w:r w:rsidRPr="00B02511">
        <w:t>19 counts of theft</w:t>
      </w:r>
      <w:r>
        <w:t xml:space="preserve">, which occurred </w:t>
      </w:r>
      <w:r w:rsidRPr="00C75DBC">
        <w:t>between August 2, 2019, and September 10, 2021</w:t>
      </w:r>
      <w:r>
        <w:t xml:space="preserve">. The firefighter had administrator privileges with the scheduling software, and would add a false day that he worked a shift, and then after he was paid by direct </w:t>
      </w:r>
      <w:proofErr w:type="gramStart"/>
      <w:r>
        <w:t>deposit</w:t>
      </w:r>
      <w:proofErr w:type="gramEnd"/>
      <w:r>
        <w:t xml:space="preserve"> he would delete the false entry.  </w:t>
      </w:r>
      <w:r w:rsidRPr="008D6B98">
        <w:t xml:space="preserve">The </w:t>
      </w:r>
      <w:r>
        <w:t xml:space="preserve">trial </w:t>
      </w:r>
      <w:r w:rsidRPr="008D6B98">
        <w:t>court sentenced him to three</w:t>
      </w:r>
      <w:r>
        <w:t xml:space="preserve"> </w:t>
      </w:r>
      <w:r w:rsidRPr="008D6B98">
        <w:t>years’ probation and ordered him to pay $17,211.52 in restitution.</w:t>
      </w:r>
      <w:r>
        <w:t xml:space="preserve"> </w:t>
      </w:r>
      <w:hyperlink r:id="rId2511" w:history="1">
        <w:r w:rsidRPr="00811005">
          <w:rPr>
            <w:rStyle w:val="Hyperlink"/>
          </w:rPr>
          <w:t>https://cases.justia.com/illinois/court-of-appeals-second-appellate-district/2025-2-24-0565.pdf?ts=1765847849</w:t>
        </w:r>
      </w:hyperlink>
      <w:r>
        <w:t xml:space="preserve"> </w:t>
      </w:r>
    </w:p>
    <w:p w14:paraId="2D52FDCF" w14:textId="77777777" w:rsidR="00A26558" w:rsidRDefault="00A26558" w:rsidP="00A26558">
      <w:pPr>
        <w:rPr>
          <w:bCs/>
        </w:rPr>
      </w:pPr>
      <w:r>
        <w:t>THE COURT HELD:</w:t>
      </w:r>
    </w:p>
    <w:p w14:paraId="63DFCC3B" w14:textId="77777777" w:rsidR="00A26558" w:rsidRDefault="00A26558" w:rsidP="00A26558">
      <w:pPr>
        <w:pStyle w:val="NoSpacing"/>
        <w:ind w:left="720"/>
      </w:pPr>
      <w:r>
        <w:t>“</w:t>
      </w:r>
      <w:r w:rsidRPr="00C75DBC">
        <w:t>Defendant worked as a firefighter for the Elburn and Countryside Fire Protection District</w:t>
      </w:r>
      <w:r>
        <w:t xml:space="preserve"> </w:t>
      </w:r>
      <w:r w:rsidRPr="00C75DBC">
        <w:t>(District) until September 20, 2021, when he was placed on paid administrative leave pending the</w:t>
      </w:r>
      <w:r>
        <w:t xml:space="preserve"> </w:t>
      </w:r>
      <w:proofErr w:type="gramStart"/>
      <w:r w:rsidRPr="00C75DBC">
        <w:t>District’s</w:t>
      </w:r>
      <w:proofErr w:type="gramEnd"/>
      <w:r w:rsidRPr="00C75DBC">
        <w:t xml:space="preserve"> inquiry into discrepancies between the </w:t>
      </w:r>
      <w:proofErr w:type="gramStart"/>
      <w:r w:rsidRPr="00C75DBC">
        <w:t>hours</w:t>
      </w:r>
      <w:proofErr w:type="gramEnd"/>
      <w:r w:rsidRPr="00C75DBC">
        <w:t xml:space="preserve"> he had been paid for and the hours he had</w:t>
      </w:r>
      <w:r>
        <w:t xml:space="preserve"> </w:t>
      </w:r>
      <w:proofErr w:type="gramStart"/>
      <w:r w:rsidRPr="00C75DBC">
        <w:t>actually worked</w:t>
      </w:r>
      <w:proofErr w:type="gramEnd"/>
      <w:r w:rsidRPr="00C75DBC">
        <w:t>. The police interviewed defendant on September 30, 2021, and he subsequently</w:t>
      </w:r>
      <w:r>
        <w:t xml:space="preserve"> </w:t>
      </w:r>
      <w:r w:rsidRPr="00C75DBC">
        <w:t xml:space="preserve">resigned on November 25, 2021. </w:t>
      </w:r>
    </w:p>
    <w:p w14:paraId="1BAAF211" w14:textId="77777777" w:rsidR="00A26558" w:rsidRDefault="00A26558" w:rsidP="00A26558">
      <w:pPr>
        <w:pStyle w:val="NoSpacing"/>
        <w:ind w:left="720"/>
      </w:pPr>
    </w:p>
    <w:p w14:paraId="0815289B" w14:textId="77777777" w:rsidR="00A26558" w:rsidRDefault="00A26558" w:rsidP="00A26558">
      <w:pPr>
        <w:pStyle w:val="NoSpacing"/>
        <w:ind w:left="720"/>
      </w:pPr>
      <w:r w:rsidRPr="00C75DBC">
        <w:t>On July 20, 2022, a grand jury indicted defendant on 20 counts</w:t>
      </w:r>
      <w:r>
        <w:t xml:space="preserve"> </w:t>
      </w:r>
      <w:r w:rsidRPr="00C75DBC">
        <w:t>of theft that occurred between August 2, 2019, and September 10, 2021</w:t>
      </w:r>
      <w:proofErr w:type="gramStart"/>
      <w:r>
        <w:t>…..</w:t>
      </w:r>
      <w:proofErr w:type="gramEnd"/>
      <w:r>
        <w:t xml:space="preserve"> Defendant waived his right to a jury trial, and a bench trial was held over the course of four days in 2024: February 1 and 2, March 21, and April 9.</w:t>
      </w:r>
    </w:p>
    <w:p w14:paraId="2EC37F27" w14:textId="77777777" w:rsidR="00A26558" w:rsidRDefault="00A26558" w:rsidP="00A26558">
      <w:pPr>
        <w:pStyle w:val="NoSpacing"/>
        <w:ind w:left="720"/>
      </w:pPr>
    </w:p>
    <w:p w14:paraId="1CF1C187" w14:textId="77777777" w:rsidR="00A26558" w:rsidRDefault="00A26558" w:rsidP="00A26558">
      <w:pPr>
        <w:pStyle w:val="NoSpacing"/>
        <w:ind w:left="720"/>
      </w:pPr>
      <w:r>
        <w:t>***</w:t>
      </w:r>
    </w:p>
    <w:p w14:paraId="019A2107" w14:textId="77777777" w:rsidR="00A26558" w:rsidRDefault="00A26558" w:rsidP="00A26558">
      <w:pPr>
        <w:pStyle w:val="NoSpacing"/>
      </w:pPr>
    </w:p>
    <w:p w14:paraId="10F1B9E0" w14:textId="77777777" w:rsidR="00A26558" w:rsidRDefault="00A26558" w:rsidP="00A26558">
      <w:pPr>
        <w:pStyle w:val="NoSpacing"/>
        <w:ind w:left="720"/>
      </w:pPr>
      <w:r>
        <w:t xml:space="preserve">The State first called Merry Morris, who had worked as a financial specialist for the </w:t>
      </w:r>
      <w:proofErr w:type="gramStart"/>
      <w:r>
        <w:t>District</w:t>
      </w:r>
      <w:proofErr w:type="gramEnd"/>
      <w:r>
        <w:t xml:space="preserve"> for nearly 12 years. In that role, Morris processed payroll for the </w:t>
      </w:r>
      <w:proofErr w:type="gramStart"/>
      <w:r>
        <w:t>District</w:t>
      </w:r>
      <w:proofErr w:type="gramEnd"/>
      <w:r>
        <w:t>. When asked to describe her role in the payroll process, Morris stated:</w:t>
      </w:r>
    </w:p>
    <w:p w14:paraId="24747FEC" w14:textId="77777777" w:rsidR="00A26558" w:rsidRDefault="00A26558" w:rsidP="00A26558">
      <w:pPr>
        <w:pStyle w:val="NoSpacing"/>
      </w:pPr>
    </w:p>
    <w:p w14:paraId="245C52E5" w14:textId="77777777" w:rsidR="00A26558" w:rsidRDefault="00A26558" w:rsidP="00A26558">
      <w:pPr>
        <w:pStyle w:val="NoSpacing"/>
        <w:ind w:left="720" w:firstLine="720"/>
      </w:pPr>
      <w:r>
        <w:t>“Once I was advised that the timecards had been looked at [by supervisors], then I</w:t>
      </w:r>
    </w:p>
    <w:p w14:paraId="04E4E856" w14:textId="77777777" w:rsidR="00A26558" w:rsidRDefault="00A26558" w:rsidP="00A26558">
      <w:pPr>
        <w:pStyle w:val="NoSpacing"/>
        <w:ind w:left="1440"/>
      </w:pPr>
      <w:r>
        <w:t>would pull the schedule from the scheduling software and download that into an Excel spreadsheet, and then I would look over the spreadsheet for any obvious anomalies or errors, and then that was downloaded into the payroll company’s software so that checks could be written.”</w:t>
      </w:r>
    </w:p>
    <w:p w14:paraId="5CB1CB7F" w14:textId="77777777" w:rsidR="00A26558" w:rsidRDefault="00A26558" w:rsidP="00A26558">
      <w:pPr>
        <w:pStyle w:val="NoSpacing"/>
      </w:pPr>
    </w:p>
    <w:p w14:paraId="2BD8BBB0" w14:textId="77777777" w:rsidR="00A26558" w:rsidRDefault="00A26558" w:rsidP="00A26558">
      <w:pPr>
        <w:pStyle w:val="NoSpacing"/>
        <w:ind w:left="720"/>
      </w:pPr>
      <w:r>
        <w:t xml:space="preserve">Defendant was one of three employees who had administrator privileges with the scheduling software. Morris said she had no way to check whether employees worked the number of hours listed; she “wasn’t there, so [she] had no means of doing that.” Employees were paid every other Friday and were required to report their hours by Monday morning preceding </w:t>
      </w:r>
      <w:proofErr w:type="gramStart"/>
      <w:r>
        <w:t>a payday</w:t>
      </w:r>
      <w:proofErr w:type="gramEnd"/>
      <w:r>
        <w:t>. The hours reported by employees had to be approved by their “officers.” All payments were made by direct deposit.</w:t>
      </w:r>
    </w:p>
    <w:p w14:paraId="34A52A5A" w14:textId="77777777" w:rsidR="00A26558" w:rsidRDefault="00A26558" w:rsidP="00A26558">
      <w:pPr>
        <w:pStyle w:val="NoSpacing"/>
        <w:ind w:left="720"/>
      </w:pPr>
    </w:p>
    <w:p w14:paraId="3F568940" w14:textId="77777777" w:rsidR="00A26558" w:rsidRDefault="00A26558" w:rsidP="00A26558">
      <w:pPr>
        <w:pStyle w:val="NoSpacing"/>
        <w:ind w:left="720"/>
      </w:pPr>
      <w:r>
        <w:t>***</w:t>
      </w:r>
    </w:p>
    <w:p w14:paraId="75DC2BD2" w14:textId="77777777" w:rsidR="00A26558" w:rsidRDefault="00A26558" w:rsidP="00A26558">
      <w:pPr>
        <w:pStyle w:val="NoSpacing"/>
        <w:ind w:firstLine="720"/>
      </w:pPr>
    </w:p>
    <w:p w14:paraId="1A8A13BF" w14:textId="77777777" w:rsidR="00A26558" w:rsidRDefault="00A26558" w:rsidP="00A26558">
      <w:pPr>
        <w:pStyle w:val="NoSpacing"/>
        <w:ind w:left="720"/>
      </w:pPr>
      <w:r>
        <w:t xml:space="preserve">[Assistant Fire Chief] Huneke testified that, on September 10, 2021, defendant informed him that an employee of the </w:t>
      </w:r>
      <w:proofErr w:type="gramStart"/>
      <w:r>
        <w:t>District</w:t>
      </w:r>
      <w:proofErr w:type="gramEnd"/>
      <w:r>
        <w:t xml:space="preserve"> had not received overtime pay for a particular day. When Huneke accessed the scheduling software to investigate the issue, he happened to notice that defendant appeared on the schedule as a fourth medic on the day in question. Huneke explained that, typically, only three medics were assigned to each ambulance. Huneke verified that defendant received pay for working that day. Huneke then texted defendant to ask if he had been paid for working that day. Defendant replied that he was unsure whether he had been paid, but if he had, it was a mistake and the money should be deducted from his next paycheck. Huneke notified Joe Cluchey, the fire chief at the time, of defendant’s payroll discrepancy. Cluchey instructed Huneke to examine the entire payroll for other discrepancies. Huneke found two additional payroll discrepancies, both for wages paid to defendant. Huneke did not find discrepancies for any other employee.</w:t>
      </w:r>
    </w:p>
    <w:p w14:paraId="3E2454FD" w14:textId="77777777" w:rsidR="00A26558" w:rsidRDefault="00A26558" w:rsidP="00A26558">
      <w:pPr>
        <w:pStyle w:val="NoSpacing"/>
      </w:pPr>
    </w:p>
    <w:p w14:paraId="12DD3625" w14:textId="77777777" w:rsidR="00A26558" w:rsidRDefault="00A26558" w:rsidP="00A26558">
      <w:pPr>
        <w:pStyle w:val="NoSpacing"/>
      </w:pPr>
      <w:r>
        <w:tab/>
        <w:t>***</w:t>
      </w:r>
    </w:p>
    <w:p w14:paraId="4B72E0D0" w14:textId="77777777" w:rsidR="00A26558" w:rsidRDefault="00A26558" w:rsidP="00A26558">
      <w:pPr>
        <w:pStyle w:val="NoSpacing"/>
        <w:ind w:left="720"/>
      </w:pPr>
      <w:r>
        <w:t xml:space="preserve">The log for the scheduling software showed that, on July 29 at 7:45 a.m., defendant signed into the scheduling software. At 7:57 a.m., defendant added himself to the schedule as a medic for voluntary overtime from 7 a.m. on July 24 to 7 a.m. on July 25. Payroll processing occurred the following Monday, July 29. On August 2, defendant signed into the scheduling software and deleted the 24-hour overtime shift that he had added. Huneke went on to testify about other discrepancies in the reports that inflated defendant’s pay. Huneke stated that his investigation found no discrepancies affecting other </w:t>
      </w:r>
      <w:proofErr w:type="gramStart"/>
      <w:r>
        <w:t>employees.”</w:t>
      </w:r>
      <w:proofErr w:type="gramEnd"/>
    </w:p>
    <w:p w14:paraId="11276E52" w14:textId="77777777" w:rsidR="00A26558" w:rsidRDefault="00A26558" w:rsidP="00A26558">
      <w:pPr>
        <w:pStyle w:val="NoSpacing"/>
        <w:ind w:left="720"/>
      </w:pPr>
    </w:p>
    <w:p w14:paraId="30C002B4" w14:textId="77777777" w:rsidR="00A26558" w:rsidRDefault="00A26558" w:rsidP="00A26558">
      <w:pPr>
        <w:pStyle w:val="NoSpacing"/>
        <w:rPr>
          <w:b/>
          <w:bCs/>
        </w:rPr>
      </w:pPr>
      <w:r>
        <w:rPr>
          <w:b/>
        </w:rPr>
        <w:t xml:space="preserve">Legal lesson learned:  Payroll software should reflect all entries and deletions; and should be audited at least each year by auditing entity. </w:t>
      </w:r>
    </w:p>
    <w:p w14:paraId="51346EBC" w14:textId="77777777" w:rsidR="00A26558" w:rsidRDefault="00A26558" w:rsidP="00A26558">
      <w:pPr>
        <w:pStyle w:val="NoSpacing"/>
        <w:rPr>
          <w:b/>
          <w:bCs/>
        </w:rPr>
      </w:pPr>
    </w:p>
    <w:p w14:paraId="6388F6BD" w14:textId="77777777" w:rsidR="00A26558" w:rsidRDefault="00A26558" w:rsidP="00A26558">
      <w:pPr>
        <w:pStyle w:val="NoSpacing"/>
        <w:rPr>
          <w:b/>
          <w:bCs/>
        </w:rPr>
      </w:pPr>
    </w:p>
    <w:p w14:paraId="00D9E491" w14:textId="51B58937" w:rsidR="00A26558" w:rsidRDefault="00A26558" w:rsidP="002F7727">
      <w:pPr>
        <w:pStyle w:val="NoSpacing"/>
        <w:rPr>
          <w:rFonts w:ascii="Arial Black" w:hAnsi="Arial Black"/>
          <w:b/>
          <w:sz w:val="24"/>
          <w:szCs w:val="24"/>
        </w:rPr>
      </w:pPr>
      <w:r>
        <w:rPr>
          <w:rFonts w:ascii="Arial Black" w:hAnsi="Arial Black"/>
          <w:b/>
          <w:sz w:val="24"/>
          <w:szCs w:val="24"/>
        </w:rPr>
        <w:t>16-</w:t>
      </w:r>
      <w:r w:rsidR="00583923">
        <w:rPr>
          <w:rFonts w:ascii="Arial Black" w:hAnsi="Arial Black"/>
          <w:b/>
          <w:sz w:val="24"/>
          <w:szCs w:val="24"/>
        </w:rPr>
        <w:t>140</w:t>
      </w:r>
    </w:p>
    <w:p w14:paraId="47B46F42" w14:textId="77777777" w:rsidR="00583923" w:rsidRDefault="00583923" w:rsidP="002F7727">
      <w:pPr>
        <w:pStyle w:val="NoSpacing"/>
        <w:rPr>
          <w:rFonts w:ascii="Arial Black" w:hAnsi="Arial Black"/>
          <w:b/>
          <w:sz w:val="24"/>
          <w:szCs w:val="24"/>
        </w:rPr>
      </w:pPr>
    </w:p>
    <w:p w14:paraId="27B05BF3" w14:textId="2948F767" w:rsidR="00583923" w:rsidRPr="00C51DC6" w:rsidRDefault="00583923" w:rsidP="00583923">
      <w:pPr>
        <w:pStyle w:val="NoSpacing"/>
        <w:rPr>
          <w:rFonts w:ascii="Arial Black" w:hAnsi="Arial Black"/>
          <w:bCs/>
          <w:sz w:val="28"/>
          <w:szCs w:val="28"/>
        </w:rPr>
      </w:pPr>
      <w:r>
        <w:rPr>
          <w:rFonts w:ascii="Arial Black" w:hAnsi="Arial Black"/>
          <w:sz w:val="28"/>
          <w:szCs w:val="28"/>
        </w:rPr>
        <w:t>NY: FDNY – COVID RELIGIOUS APPEAL – NO CASE</w:t>
      </w:r>
    </w:p>
    <w:p w14:paraId="33C43BAA" w14:textId="77777777" w:rsidR="00583923" w:rsidRDefault="00583923" w:rsidP="00583923">
      <w:pPr>
        <w:pStyle w:val="NoSpacing"/>
        <w:ind w:left="720"/>
        <w:rPr>
          <w:bCs/>
        </w:rPr>
      </w:pPr>
    </w:p>
    <w:p w14:paraId="0A31C00E" w14:textId="77777777" w:rsidR="00583923" w:rsidRDefault="00583923" w:rsidP="00583923">
      <w:pPr>
        <w:rPr>
          <w:bCs/>
        </w:rPr>
      </w:pPr>
      <w:r>
        <w:t xml:space="preserve">On December 17, 2025, </w:t>
      </w:r>
      <w:r w:rsidRPr="00C54553">
        <w:rPr>
          <w:u w:val="single"/>
        </w:rPr>
        <w:t xml:space="preserve">In </w:t>
      </w:r>
      <w:proofErr w:type="gramStart"/>
      <w:r w:rsidRPr="00C54553">
        <w:rPr>
          <w:u w:val="single"/>
        </w:rPr>
        <w:t>The</w:t>
      </w:r>
      <w:proofErr w:type="gramEnd"/>
      <w:r w:rsidRPr="00C54553">
        <w:rPr>
          <w:u w:val="single"/>
        </w:rPr>
        <w:t xml:space="preserve"> Matter</w:t>
      </w:r>
      <w:r w:rsidRPr="00B2157A">
        <w:rPr>
          <w:u w:val="single"/>
        </w:rPr>
        <w:t xml:space="preserve"> of Christopher Hughes v. New York City Fire Department, et al</w:t>
      </w:r>
      <w:r w:rsidRPr="00B2157A">
        <w:t>.,</w:t>
      </w:r>
      <w:r w:rsidRPr="0013709D">
        <w:rPr>
          <w:b/>
        </w:rPr>
        <w:t xml:space="preserve"> </w:t>
      </w:r>
      <w:r w:rsidRPr="00B2157A">
        <w:t>the Supreme Court of New York, Second Department</w:t>
      </w:r>
      <w:r>
        <w:t xml:space="preserve"> held (4 to 0) that the trial court judge decision reinstating the firefighter is reversed; NYFD properly fired the plaintiff on July 27, </w:t>
      </w:r>
      <w:proofErr w:type="gramStart"/>
      <w:r>
        <w:t>2022</w:t>
      </w:r>
      <w:proofErr w:type="gramEnd"/>
      <w:r>
        <w:t xml:space="preserve"> after denying his religious accommodation request. </w:t>
      </w:r>
      <w:hyperlink r:id="rId2512" w:history="1">
        <w:r w:rsidRPr="00B346EB">
          <w:rPr>
            <w:rStyle w:val="Hyperlink"/>
          </w:rPr>
          <w:t>https://law.justia.com/cases/new-york/appellate-division-second-department/2025/2024-01225.html</w:t>
        </w:r>
      </w:hyperlink>
      <w:r>
        <w:t xml:space="preserve"> </w:t>
      </w:r>
    </w:p>
    <w:p w14:paraId="31A17DA7" w14:textId="77777777" w:rsidR="00583923" w:rsidRDefault="00583923" w:rsidP="00583923">
      <w:pPr>
        <w:pStyle w:val="NoSpacing"/>
      </w:pPr>
      <w:r>
        <w:t>THE COURT HELD:</w:t>
      </w:r>
    </w:p>
    <w:p w14:paraId="1B5E3BB9" w14:textId="77777777" w:rsidR="00583923" w:rsidRDefault="00583923" w:rsidP="00583923">
      <w:pPr>
        <w:pStyle w:val="NoSpacing"/>
      </w:pPr>
    </w:p>
    <w:p w14:paraId="0925E9B3" w14:textId="77777777" w:rsidR="00583923" w:rsidRDefault="00583923" w:rsidP="00583923">
      <w:pPr>
        <w:pStyle w:val="NoSpacing"/>
        <w:ind w:left="720"/>
      </w:pPr>
      <w:r>
        <w:t>“</w:t>
      </w:r>
      <w:r w:rsidRPr="00042449">
        <w:t>The petitioner was a firefighter with the New York City Fire Department (hereinafter the FDNY). By order dated October 20, 2021, the New York City Commissioner of Health and Mental Hygiene issued a mandate requiring all City employees, among others, to submit proof that they had received at least one dose of a COVID-19 vaccine by October 29, 2021 (hereinafter the vaccine mandate). On November 1, 2021, the petitioner was placed on leave, without pay, since he failed to submit proof of vaccination or request a reasonable accommodation by the specified deadline.</w:t>
      </w:r>
    </w:p>
    <w:p w14:paraId="0E832211" w14:textId="77777777" w:rsidR="00583923" w:rsidRDefault="00583923" w:rsidP="00583923">
      <w:pPr>
        <w:pStyle w:val="NoSpacing"/>
      </w:pPr>
    </w:p>
    <w:p w14:paraId="57BE95D4" w14:textId="77777777" w:rsidR="00583923" w:rsidRDefault="00583923" w:rsidP="00583923">
      <w:pPr>
        <w:pStyle w:val="NoSpacing"/>
        <w:ind w:left="720"/>
      </w:pPr>
      <w:r w:rsidRPr="00507DFD">
        <w:t xml:space="preserve">On November 5, 2021, the petitioner submitted a request to the FDNY's Equal Employment Opportunity Office for a reasonable accommodation from the vaccine mandate based on his religion, which was denied on December 8, 2021. The petitioner then appealed to the City of New York Reasonable Accommodation Appeals Panel (hereinafter the Panel). In a determination dated July 11, 2022, the Panel upheld the FDNY's denial of the petitioner's request for </w:t>
      </w:r>
      <w:proofErr w:type="gramStart"/>
      <w:r w:rsidRPr="00507DFD">
        <w:t>a reasonable</w:t>
      </w:r>
      <w:proofErr w:type="gramEnd"/>
      <w:r w:rsidRPr="00507DFD">
        <w:t xml:space="preserve"> accommodation. The FDNY then terminated the petitioner's employment on July 27, 2022.</w:t>
      </w:r>
    </w:p>
    <w:p w14:paraId="4586D3EF" w14:textId="77777777" w:rsidR="00583923" w:rsidRDefault="00583923" w:rsidP="00583923">
      <w:pPr>
        <w:pStyle w:val="NoSpacing"/>
        <w:ind w:left="720"/>
      </w:pPr>
    </w:p>
    <w:p w14:paraId="607D6392" w14:textId="77777777" w:rsidR="00583923" w:rsidRDefault="00583923" w:rsidP="00583923">
      <w:pPr>
        <w:pStyle w:val="NoSpacing"/>
        <w:ind w:left="720"/>
      </w:pPr>
      <w:r>
        <w:t>***</w:t>
      </w:r>
    </w:p>
    <w:p w14:paraId="4561B985" w14:textId="77777777" w:rsidR="00583923" w:rsidRDefault="00583923" w:rsidP="00583923">
      <w:pPr>
        <w:pStyle w:val="NoSpacing"/>
        <w:ind w:left="720"/>
      </w:pPr>
      <w:r w:rsidRPr="00E03C01">
        <w:t>Supreme Court, Kings County (Joy F. Campanelli, J), dated October 18, 2023</w:t>
      </w:r>
      <w:r>
        <w:t xml:space="preserve"> … </w:t>
      </w:r>
      <w:r w:rsidRPr="00E03C01">
        <w:t>granted the petition, in effect, annulled the determination dated July 11, 2022, directed the New York City Fire Department and the City of New York to reinstate the petitioner to his position as a firefighter with a reasonable accommodation from the vaccine mandate and back pay, and directed that the petitioner was entitled to an award of attorneys' fees.</w:t>
      </w:r>
    </w:p>
    <w:p w14:paraId="51170938" w14:textId="77777777" w:rsidR="00583923" w:rsidRDefault="00583923" w:rsidP="00583923">
      <w:pPr>
        <w:pStyle w:val="NoSpacing"/>
        <w:ind w:left="720"/>
      </w:pPr>
    </w:p>
    <w:p w14:paraId="7BC98461" w14:textId="77777777" w:rsidR="00583923" w:rsidRDefault="00583923" w:rsidP="00583923">
      <w:pPr>
        <w:pStyle w:val="NoSpacing"/>
        <w:ind w:left="720"/>
      </w:pPr>
      <w:r>
        <w:t>***</w:t>
      </w:r>
    </w:p>
    <w:p w14:paraId="7CE871AC" w14:textId="77777777" w:rsidR="00583923" w:rsidRDefault="00583923" w:rsidP="00583923">
      <w:pPr>
        <w:pStyle w:val="NoSpacing"/>
        <w:ind w:left="720"/>
      </w:pPr>
    </w:p>
    <w:p w14:paraId="7C5DDE2C" w14:textId="77777777" w:rsidR="00583923" w:rsidRDefault="00583923" w:rsidP="00583923">
      <w:pPr>
        <w:pStyle w:val="NoSpacing"/>
        <w:ind w:left="720"/>
      </w:pPr>
      <w:r w:rsidRPr="008D4AC1">
        <w:t xml:space="preserve">The </w:t>
      </w:r>
      <w:r>
        <w:t xml:space="preserve">[FDNY] </w:t>
      </w:r>
      <w:r w:rsidRPr="008D4AC1">
        <w:t>provided information on the process for reviewing accommodation requests related to the vaccine mandate and informed employees on how to appeal request denials. The record demonstrates that the petitioner availed himself of this process. Moreover, the record shows that there were multiple communications between the petitioner, the FDNY, and the Panel regarding the petitioner's request. The petitioner "failed to establish that, under the unique circumstances present at the time of the vaccine mandate, the NYCHRL required a more robust or individual dialogue" (</w:t>
      </w:r>
      <w:r w:rsidRPr="008D4AC1">
        <w:rPr>
          <w:i/>
          <w:iCs/>
        </w:rPr>
        <w:t>Matter of Smith v New York City Fire Dept.</w:t>
      </w:r>
      <w:r w:rsidRPr="008D4AC1">
        <w:t>, 239 AD3d at 872).</w:t>
      </w:r>
      <w:r>
        <w:t>”</w:t>
      </w:r>
    </w:p>
    <w:p w14:paraId="38214694" w14:textId="77777777" w:rsidR="00583923" w:rsidRDefault="00583923" w:rsidP="00583923">
      <w:pPr>
        <w:pStyle w:val="NoSpacing"/>
        <w:ind w:left="720"/>
      </w:pPr>
    </w:p>
    <w:p w14:paraId="6F9D7AB2" w14:textId="77777777" w:rsidR="00583923" w:rsidRPr="00431A3E" w:rsidRDefault="00583923" w:rsidP="00583923">
      <w:pPr>
        <w:pStyle w:val="NoSpacing"/>
        <w:rPr>
          <w:b/>
          <w:bCs/>
        </w:rPr>
      </w:pPr>
      <w:r>
        <w:rPr>
          <w:b/>
        </w:rPr>
        <w:t xml:space="preserve">Legal lesson learned: </w:t>
      </w:r>
      <w:r w:rsidRPr="00431A3E">
        <w:rPr>
          <w:b/>
        </w:rPr>
        <w:t xml:space="preserve">The </w:t>
      </w:r>
      <w:r>
        <w:rPr>
          <w:b/>
        </w:rPr>
        <w:t xml:space="preserve">Supreme </w:t>
      </w:r>
      <w:r w:rsidRPr="00431A3E">
        <w:rPr>
          <w:b/>
        </w:rPr>
        <w:t>Court</w:t>
      </w:r>
      <w:r>
        <w:rPr>
          <w:b/>
        </w:rPr>
        <w:t xml:space="preserve"> of New York</w:t>
      </w:r>
      <w:r w:rsidRPr="00431A3E">
        <w:rPr>
          <w:b/>
        </w:rPr>
        <w:t xml:space="preserve"> has repeatedly upheld </w:t>
      </w:r>
      <w:r>
        <w:rPr>
          <w:b/>
        </w:rPr>
        <w:t xml:space="preserve">termination decisions after firefighters </w:t>
      </w:r>
      <w:proofErr w:type="gramStart"/>
      <w:r>
        <w:rPr>
          <w:b/>
        </w:rPr>
        <w:t>has</w:t>
      </w:r>
      <w:proofErr w:type="gramEnd"/>
      <w:r>
        <w:rPr>
          <w:b/>
        </w:rPr>
        <w:t xml:space="preserve"> appealed to t</w:t>
      </w:r>
      <w:r w:rsidRPr="00431A3E">
        <w:rPr>
          <w:b/>
        </w:rPr>
        <w:t>he City of New York Reasonable Accommodation Appeals Panel</w:t>
      </w:r>
      <w:r>
        <w:rPr>
          <w:b/>
        </w:rPr>
        <w:t>.</w:t>
      </w:r>
    </w:p>
    <w:p w14:paraId="07790431" w14:textId="77777777" w:rsidR="00583923" w:rsidRDefault="00583923" w:rsidP="00583923">
      <w:pPr>
        <w:rPr>
          <w:b/>
        </w:rPr>
      </w:pPr>
    </w:p>
    <w:p w14:paraId="28FDB25D" w14:textId="77777777" w:rsidR="00583923" w:rsidRDefault="00583923" w:rsidP="002F7727">
      <w:pPr>
        <w:pStyle w:val="NoSpacing"/>
        <w:rPr>
          <w:rFonts w:ascii="Arial Black" w:hAnsi="Arial Black"/>
          <w:b/>
          <w:sz w:val="24"/>
          <w:szCs w:val="24"/>
        </w:rPr>
      </w:pPr>
    </w:p>
    <w:p w14:paraId="47FC3B6E" w14:textId="77777777" w:rsidR="00966476" w:rsidRDefault="00966476" w:rsidP="002F7727">
      <w:pPr>
        <w:pStyle w:val="NoSpacing"/>
        <w:rPr>
          <w:rFonts w:ascii="Arial Black" w:hAnsi="Arial Black"/>
          <w:b/>
          <w:sz w:val="24"/>
          <w:szCs w:val="24"/>
        </w:rPr>
      </w:pPr>
    </w:p>
    <w:p w14:paraId="10446712" w14:textId="77777777" w:rsidR="00966476" w:rsidRDefault="00966476" w:rsidP="002F7727">
      <w:pPr>
        <w:pStyle w:val="NoSpacing"/>
        <w:rPr>
          <w:rFonts w:ascii="Arial Black" w:hAnsi="Arial Black"/>
          <w:b/>
          <w:sz w:val="24"/>
          <w:szCs w:val="24"/>
        </w:rPr>
      </w:pPr>
    </w:p>
    <w:p w14:paraId="0D1E15C8" w14:textId="3280BFA2" w:rsidR="00E775DC" w:rsidRDefault="00E775DC" w:rsidP="002F7727">
      <w:pPr>
        <w:pStyle w:val="NoSpacing"/>
        <w:rPr>
          <w:rFonts w:ascii="Arial Black" w:hAnsi="Arial Black"/>
          <w:b/>
          <w:sz w:val="24"/>
          <w:szCs w:val="24"/>
        </w:rPr>
      </w:pPr>
      <w:r>
        <w:rPr>
          <w:rFonts w:ascii="Arial Black" w:hAnsi="Arial Black"/>
          <w:b/>
          <w:sz w:val="24"/>
          <w:szCs w:val="24"/>
        </w:rPr>
        <w:t>16-13</w:t>
      </w:r>
      <w:r w:rsidR="00D11FFB">
        <w:rPr>
          <w:rFonts w:ascii="Arial Black" w:hAnsi="Arial Black"/>
          <w:b/>
          <w:sz w:val="24"/>
          <w:szCs w:val="24"/>
        </w:rPr>
        <w:t>9</w:t>
      </w:r>
    </w:p>
    <w:p w14:paraId="4BCCC6D2" w14:textId="77777777" w:rsidR="007E0BE0" w:rsidRDefault="007E0BE0" w:rsidP="00E775DC">
      <w:pPr>
        <w:pStyle w:val="NoSpacing"/>
        <w:rPr>
          <w:rFonts w:ascii="Arial Black" w:hAnsi="Arial Black"/>
          <w:sz w:val="28"/>
          <w:szCs w:val="28"/>
        </w:rPr>
      </w:pPr>
    </w:p>
    <w:p w14:paraId="507A8B4A" w14:textId="4A161267" w:rsidR="00E775DC" w:rsidRDefault="00E775DC" w:rsidP="00E775DC">
      <w:pPr>
        <w:pStyle w:val="NoSpacing"/>
        <w:rPr>
          <w:rFonts w:ascii="Arial Black" w:hAnsi="Arial Black"/>
          <w:sz w:val="28"/>
          <w:szCs w:val="28"/>
        </w:rPr>
      </w:pPr>
      <w:r>
        <w:rPr>
          <w:rFonts w:ascii="Arial Black" w:hAnsi="Arial Black"/>
          <w:sz w:val="28"/>
          <w:szCs w:val="28"/>
        </w:rPr>
        <w:t>OH: FF ARRESTED CHILD PORN – IN JAIL UNTIL TRIAL</w:t>
      </w:r>
    </w:p>
    <w:p w14:paraId="083E6BAE" w14:textId="77777777" w:rsidR="00E775DC" w:rsidRDefault="00E775DC" w:rsidP="00E775DC">
      <w:pPr>
        <w:pStyle w:val="NoSpacing"/>
        <w:rPr>
          <w:rFonts w:ascii="Arial Black" w:hAnsi="Arial Black"/>
          <w:sz w:val="28"/>
          <w:szCs w:val="28"/>
        </w:rPr>
      </w:pPr>
    </w:p>
    <w:p w14:paraId="5DB5A4DC" w14:textId="77777777" w:rsidR="00E775DC" w:rsidRDefault="00E775DC" w:rsidP="00E775DC">
      <w:pPr>
        <w:pStyle w:val="NoSpacing"/>
      </w:pPr>
      <w:r>
        <w:t xml:space="preserve">On November 18, </w:t>
      </w:r>
      <w:proofErr w:type="gramStart"/>
      <w:r>
        <w:t>2025</w:t>
      </w:r>
      <w:proofErr w:type="gramEnd"/>
      <w:r>
        <w:t xml:space="preserve"> in </w:t>
      </w:r>
      <w:r w:rsidRPr="00831A9A">
        <w:rPr>
          <w:u w:val="single"/>
        </w:rPr>
        <w:t>United States of America v. Carson A. Bigham</w:t>
      </w:r>
      <w:r>
        <w:t xml:space="preserve">, U.S. District Court Judge Algenon L. Marbley, United States District Court for Southern District of Ohio, Eastern Division, denied the firefighter’s </w:t>
      </w:r>
      <w:r w:rsidRPr="00006775">
        <w:t>Motion for the Revocation of Detention</w:t>
      </w:r>
      <w:r>
        <w:t xml:space="preserve">; he was arrested on May 22, 2025, and denied release by U.S. Magistrate Judge </w:t>
      </w:r>
      <w:r w:rsidRPr="001337BD">
        <w:t>Kimberly A. Jolson</w:t>
      </w:r>
      <w:r>
        <w:t>. The Government advised the Court that Bigham, us</w:t>
      </w:r>
      <w:r w:rsidRPr="00A96EF6">
        <w:t>ing an alias</w:t>
      </w:r>
      <w:r>
        <w:t xml:space="preserve"> starting </w:t>
      </w:r>
      <w:proofErr w:type="spellStart"/>
      <w:r>
        <w:t>n</w:t>
      </w:r>
      <w:proofErr w:type="spellEnd"/>
      <w:r>
        <w:t xml:space="preserve"> August 2024, </w:t>
      </w:r>
      <w:r w:rsidRPr="00A96EF6">
        <w:t>began communicating with a one Mr. Richard Tyler Campbell over Snapchat, where they discussed having sex with minors.</w:t>
      </w:r>
      <w:r>
        <w:t xml:space="preserve">  THE COURT WROTE: “</w:t>
      </w:r>
      <w:r w:rsidRPr="00434B35">
        <w:t>Here, the weight of evidence of Bigham's dangerousness is apparent. Carson Bigham is a firefighter entrusted with public safety.</w:t>
      </w:r>
      <w:r>
        <w:t xml:space="preserve"> *** </w:t>
      </w:r>
      <w:r w:rsidRPr="00434B35">
        <w:t>He even left his underwear and a used condom for Campbell outside the Columbus fire station he worked at as a “show of good faith.” (</w:t>
      </w:r>
      <w:r w:rsidRPr="00434B35">
        <w:rPr>
          <w:i/>
          <w:iCs/>
        </w:rPr>
        <w:t>Id.</w:t>
      </w:r>
      <w:r w:rsidRPr="00434B35">
        <w:t xml:space="preserve"> at 12-13). Bigham used his own fire station as a personal playground for his fetishes and took brazen, public steps to view and obtain more child pornography. This demonstrates the danger that he would pose to minors and the public if released. This factor also weighs in favor of detention.</w:t>
      </w:r>
      <w:r>
        <w:t xml:space="preserve">” </w:t>
      </w:r>
    </w:p>
    <w:p w14:paraId="1C828409" w14:textId="77777777" w:rsidR="00E775DC" w:rsidRDefault="00E775DC" w:rsidP="00E775DC">
      <w:pPr>
        <w:pStyle w:val="NoSpacing"/>
      </w:pPr>
      <w:hyperlink r:id="rId2513" w:history="1">
        <w:r w:rsidRPr="00583A8C">
          <w:rPr>
            <w:rStyle w:val="Hyperlink"/>
          </w:rPr>
          <w:t>https://public.fastcase.com/jaEE2PXzRXmZ99jOLMt1Io06bpL9%2FLcVXr53aaIUyQvAP5%2BtJH87Oz9onDjzcythnenHIV2f708%2FwR4gt4qkO1f7jeRt%2FKEtj1yUDHm75oU%3D?utm_medium=email&amp;_hsenc=p2ANqtz-_2UmH9uPWr2Na6-FEToPkSf6GcL7PU5KfrxYC2lQgS-z6zkFrF54nulArls3PhR-gkNqFrsBzQlt3BvLsHbxpWeUso_A&amp;_hsmi=226712652&amp;utm_content=226712652&amp;utm_source=hs_email</w:t>
        </w:r>
      </w:hyperlink>
      <w:r>
        <w:t xml:space="preserve"> </w:t>
      </w:r>
    </w:p>
    <w:p w14:paraId="56100743" w14:textId="77777777" w:rsidR="00E775DC" w:rsidRDefault="00E775DC" w:rsidP="00E775DC">
      <w:pPr>
        <w:pStyle w:val="NoSpacing"/>
      </w:pPr>
    </w:p>
    <w:p w14:paraId="3FF385CF" w14:textId="77777777" w:rsidR="00E775DC" w:rsidRDefault="00E775DC" w:rsidP="00E775DC">
      <w:pPr>
        <w:pStyle w:val="NoSpacing"/>
      </w:pPr>
      <w:r>
        <w:t>THE COURT HELD:</w:t>
      </w:r>
    </w:p>
    <w:p w14:paraId="7C612253" w14:textId="77777777" w:rsidR="00E775DC" w:rsidRDefault="00E775DC" w:rsidP="00E775DC">
      <w:pPr>
        <w:pStyle w:val="NoSpacing"/>
      </w:pPr>
    </w:p>
    <w:p w14:paraId="356EB8F9" w14:textId="77777777" w:rsidR="00E775DC" w:rsidRDefault="00E775DC" w:rsidP="00E775DC">
      <w:pPr>
        <w:pStyle w:val="NoSpacing"/>
        <w:ind w:left="720"/>
        <w:rPr>
          <w:bCs/>
        </w:rPr>
      </w:pPr>
      <w:r>
        <w:t>“</w:t>
      </w:r>
      <w:r w:rsidRPr="00A13912">
        <w:t> Mr. Bigham is a firefighter in the Columbus area who is charged with possession of child pornography</w:t>
      </w:r>
      <w:r>
        <w:t xml:space="preserve">…. </w:t>
      </w:r>
      <w:r w:rsidRPr="00A13912">
        <w:t>The Government alleges that in August 2024, Bigham, using an alias, began communicating with a one Mr. Richard Tyler Campbell over Snapchat, where they discussed having sex with minors</w:t>
      </w:r>
      <w:r>
        <w:t xml:space="preserve">…. </w:t>
      </w:r>
      <w:r w:rsidRPr="00A13912">
        <w:t xml:space="preserve">Campbell sent Bigham a video of an adult man engaging in sex acts prepubescent minor who appeared to be 6 or 7 years old. Bigham expressed gratitude and requested specific child pornography from Campbell, including pornography that would depict the minor child </w:t>
      </w:r>
      <w:r>
        <w:t>‘</w:t>
      </w:r>
      <w:r w:rsidRPr="00A13912">
        <w:t>bent over</w:t>
      </w:r>
      <w:r>
        <w:t>’</w:t>
      </w:r>
      <w:r w:rsidRPr="00A13912">
        <w:t xml:space="preserve"> in the way that Bigham </w:t>
      </w:r>
      <w:r>
        <w:t>‘</w:t>
      </w:r>
      <w:r w:rsidRPr="00A13912">
        <w:t>[would] want her.</w:t>
      </w:r>
      <w:r>
        <w:t xml:space="preserve">’ … </w:t>
      </w:r>
      <w:r w:rsidRPr="00A13912">
        <w:t xml:space="preserve"> The two met at a restaurant for lunch, where they watched child pornography on Campbell's phone-including videos of a minor victim being sexually assaulted. Campbell told Bigham that this video showing sexual assault of a minor depicted Campbell</w:t>
      </w:r>
      <w:r>
        <w:t xml:space="preserve">…. </w:t>
      </w:r>
    </w:p>
    <w:p w14:paraId="73BAF4CE" w14:textId="77777777" w:rsidR="00E775DC" w:rsidRDefault="00E775DC" w:rsidP="00E775DC">
      <w:pPr>
        <w:pStyle w:val="NoSpacing"/>
        <w:ind w:left="720"/>
        <w:rPr>
          <w:bCs/>
        </w:rPr>
      </w:pPr>
    </w:p>
    <w:p w14:paraId="664E868F" w14:textId="77777777" w:rsidR="00E775DC" w:rsidRDefault="00E775DC" w:rsidP="00E775DC">
      <w:pPr>
        <w:pStyle w:val="NoSpacing"/>
        <w:ind w:left="720"/>
      </w:pPr>
      <w:r w:rsidRPr="008D447A">
        <w:t xml:space="preserve">Law enforcement executed a search warrant </w:t>
      </w:r>
      <w:proofErr w:type="gramStart"/>
      <w:r w:rsidRPr="008D447A">
        <w:t>of</w:t>
      </w:r>
      <w:proofErr w:type="gramEnd"/>
      <w:r w:rsidRPr="008D447A">
        <w:t xml:space="preserve"> Campbell's residence in February 2025, and after reviewing Campbell's devices, discovered the correspondence with Bigham. Campbell was arrested in March 2025, and Bigham was arrested and ordered temporarily detained on May 22, 2025</w:t>
      </w:r>
      <w:r>
        <w:t xml:space="preserve">…. </w:t>
      </w:r>
      <w:r w:rsidRPr="008D447A">
        <w:t>The Magistrate Judge held a detention hearing on May 27 where the Government proffered Bigham's full confession to law enforcement; Bigham was ordered detained pending trial</w:t>
      </w:r>
      <w:r>
        <w:t xml:space="preserve">… </w:t>
      </w:r>
      <w:r w:rsidRPr="008D447A">
        <w:t xml:space="preserve">Law enforcement completed its forensic review of Bigham's cellular phone following his detention, locating his correspondence with Campbell, along with </w:t>
      </w:r>
      <w:r>
        <w:t>‘</w:t>
      </w:r>
      <w:r w:rsidRPr="008D447A">
        <w:t>one other file of child pornography.</w:t>
      </w:r>
      <w:r>
        <w:t xml:space="preserve">’ … </w:t>
      </w:r>
      <w:r w:rsidRPr="008D447A">
        <w:t xml:space="preserve">Bigham moved to revoke his detention pursuant to 18 U.S.C. § 3145(b) on September 19, 2025, arguing that no substantial </w:t>
      </w:r>
      <w:r>
        <w:t>‘</w:t>
      </w:r>
      <w:r w:rsidRPr="008D447A">
        <w:t>trove</w:t>
      </w:r>
      <w:r>
        <w:t>’</w:t>
      </w:r>
      <w:r w:rsidRPr="008D447A">
        <w:t xml:space="preserve"> of child pornography had materialized</w:t>
      </w:r>
      <w:r>
        <w:t xml:space="preserve">…. </w:t>
      </w:r>
      <w:r w:rsidRPr="008D447A">
        <w:t xml:space="preserve"> The Government opposed revocation of his pre-trial detention, and on October 31, this Court heard argument on the issue.</w:t>
      </w:r>
    </w:p>
    <w:p w14:paraId="6D8D0260" w14:textId="77777777" w:rsidR="00E775DC" w:rsidRDefault="00E775DC" w:rsidP="00E775DC">
      <w:pPr>
        <w:pStyle w:val="NoSpacing"/>
        <w:ind w:left="720"/>
      </w:pPr>
    </w:p>
    <w:p w14:paraId="55A10254" w14:textId="77777777" w:rsidR="00E775DC" w:rsidRDefault="00E775DC" w:rsidP="00E775DC">
      <w:pPr>
        <w:pStyle w:val="NoSpacing"/>
        <w:ind w:left="720"/>
      </w:pPr>
      <w:r>
        <w:t>***</w:t>
      </w:r>
    </w:p>
    <w:p w14:paraId="1CE32842" w14:textId="77777777" w:rsidR="00E775DC" w:rsidRDefault="00E775DC" w:rsidP="00E775DC">
      <w:pPr>
        <w:pStyle w:val="NoSpacing"/>
        <w:ind w:left="720"/>
      </w:pPr>
    </w:p>
    <w:p w14:paraId="518C3A5A" w14:textId="77777777" w:rsidR="00E775DC" w:rsidRDefault="00E775DC" w:rsidP="00E775DC">
      <w:pPr>
        <w:pStyle w:val="NoSpacing"/>
        <w:ind w:left="720"/>
      </w:pPr>
      <w:r w:rsidRPr="00434B35">
        <w:t>Yet, according to the Government, Bigham requested child pornography from Campbell. Bigham did not notify authorities when he was under the impression that Campbell was abusing a minor; instead, he plotted with Campbell to have sexual relations with a minor he believed to be Campbell's niece</w:t>
      </w:r>
      <w:r>
        <w:t xml:space="preserve">…. </w:t>
      </w:r>
      <w:r w:rsidRPr="00434B35">
        <w:t xml:space="preserve">Bigham was excited and sexually stimulated by minors being abused, failed to report this abuse, and allegedly stated that his sexual interest in 12-to-15-year-old minors presented challenges because they could </w:t>
      </w:r>
      <w:r>
        <w:t>‘</w:t>
      </w:r>
      <w:r w:rsidRPr="00434B35">
        <w:t>remember faces, tattle, whatever</w:t>
      </w:r>
      <w:proofErr w:type="gramStart"/>
      <w:r>
        <w:t>…..</w:t>
      </w:r>
      <w:proofErr w:type="gramEnd"/>
      <w:r>
        <w:t xml:space="preserve">’ </w:t>
      </w:r>
    </w:p>
    <w:p w14:paraId="0BA76863" w14:textId="77777777" w:rsidR="00E775DC" w:rsidRDefault="00E775DC" w:rsidP="00E775DC">
      <w:pPr>
        <w:pStyle w:val="NoSpacing"/>
        <w:ind w:left="720"/>
        <w:rPr>
          <w:bCs/>
        </w:rPr>
      </w:pPr>
    </w:p>
    <w:p w14:paraId="305C61B4" w14:textId="78337BD7" w:rsidR="00E775DC" w:rsidRDefault="00E775DC" w:rsidP="00E775DC">
      <w:pPr>
        <w:pStyle w:val="NoSpacing"/>
        <w:rPr>
          <w:b/>
        </w:rPr>
      </w:pPr>
      <w:r>
        <w:rPr>
          <w:b/>
        </w:rPr>
        <w:t>Legal lesson learned:  Child pornography is a very serious offense</w:t>
      </w:r>
      <w:r w:rsidR="007E0BE0">
        <w:rPr>
          <w:b/>
        </w:rPr>
        <w:t>.</w:t>
      </w:r>
      <w:r>
        <w:rPr>
          <w:b/>
        </w:rPr>
        <w:t xml:space="preserve"> </w:t>
      </w:r>
    </w:p>
    <w:p w14:paraId="631CF1A8" w14:textId="77777777" w:rsidR="00E775DC" w:rsidRDefault="00E775DC" w:rsidP="00E775DC">
      <w:pPr>
        <w:pStyle w:val="NoSpacing"/>
        <w:rPr>
          <w:b/>
        </w:rPr>
      </w:pPr>
    </w:p>
    <w:p w14:paraId="686FADDE" w14:textId="77777777" w:rsidR="00E775DC" w:rsidRDefault="00E775DC" w:rsidP="00E775DC">
      <w:pPr>
        <w:pStyle w:val="NoSpacing"/>
        <w:ind w:left="720"/>
      </w:pPr>
      <w:r w:rsidRPr="00505347">
        <w:t xml:space="preserve">Note: See May 22, </w:t>
      </w:r>
      <w:proofErr w:type="gramStart"/>
      <w:r w:rsidRPr="00505347">
        <w:t>2025</w:t>
      </w:r>
      <w:proofErr w:type="gramEnd"/>
      <w:r w:rsidRPr="00505347">
        <w:t xml:space="preserve"> article</w:t>
      </w:r>
      <w:r>
        <w:t>: “</w:t>
      </w:r>
      <w:r w:rsidRPr="00505347">
        <w:t xml:space="preserve">Columbus firefighter living in Lancaster accused of receiving child pornography.  </w:t>
      </w:r>
      <w:r w:rsidRPr="00E54ACC">
        <w:t>A Fairfield County man who works as a Columbus firefighter was arrested on Wednesday, May 21, on federal child pornography charges, the U.S. Attorney's Office for the Southern District of Ohio has announced</w:t>
      </w:r>
      <w:r>
        <w:t xml:space="preserve">…. </w:t>
      </w:r>
      <w:r w:rsidRPr="00FE13DF">
        <w:t xml:space="preserve">Steven Stein, president of the Columbus Firefighters Union IAFF Local No. 67, is aware of Bigham's arrest and said the union is taking the charges </w:t>
      </w:r>
      <w:r>
        <w:t>‘</w:t>
      </w:r>
      <w:r w:rsidRPr="00FE13DF">
        <w:t>very seriously.</w:t>
      </w:r>
      <w:r>
        <w:t>’ ‘</w:t>
      </w:r>
      <w:r w:rsidRPr="0057230C">
        <w:t>As Fire Fighters and members of this community we want to provide the best possible service to the citizens of Columbus— that means holding our members to the highest standards of trust and responsibility,</w:t>
      </w:r>
      <w:r>
        <w:t>’</w:t>
      </w:r>
      <w:r w:rsidRPr="0057230C">
        <w:t xml:space="preserve"> Stein said in a prepared statement.</w:t>
      </w:r>
      <w:r>
        <w:t>”</w:t>
      </w:r>
    </w:p>
    <w:p w14:paraId="1F6E16CF" w14:textId="77777777" w:rsidR="00E775DC" w:rsidRPr="00505347" w:rsidRDefault="00E775DC" w:rsidP="00E775DC">
      <w:pPr>
        <w:pStyle w:val="NoSpacing"/>
        <w:ind w:left="720"/>
        <w:rPr>
          <w:bCs/>
        </w:rPr>
      </w:pPr>
      <w:hyperlink r:id="rId2514" w:history="1">
        <w:r w:rsidRPr="003869A6">
          <w:rPr>
            <w:rStyle w:val="Hyperlink"/>
          </w:rPr>
          <w:t>https://www.dispatch.com/story/news/crime/2025/05/22/columbus-firefighter-child-porn-charges-lancaster-ohio-carson-bigham/83795834007/</w:t>
        </w:r>
      </w:hyperlink>
      <w:r w:rsidRPr="00505347">
        <w:t xml:space="preserve"> </w:t>
      </w:r>
    </w:p>
    <w:p w14:paraId="5D6DD206" w14:textId="77777777" w:rsidR="00E775DC" w:rsidRPr="00A13912" w:rsidRDefault="00E775DC" w:rsidP="00E775DC">
      <w:pPr>
        <w:pStyle w:val="NoSpacing"/>
        <w:rPr>
          <w:bCs/>
        </w:rPr>
      </w:pPr>
    </w:p>
    <w:p w14:paraId="7E16EC77" w14:textId="77777777" w:rsidR="00E775DC" w:rsidRDefault="00E775DC" w:rsidP="002F7727">
      <w:pPr>
        <w:pStyle w:val="NoSpacing"/>
        <w:rPr>
          <w:rFonts w:ascii="Arial Black" w:hAnsi="Arial Black"/>
          <w:b/>
          <w:sz w:val="24"/>
          <w:szCs w:val="24"/>
        </w:rPr>
      </w:pPr>
    </w:p>
    <w:p w14:paraId="25CB65A0" w14:textId="77777777" w:rsidR="00E775DC" w:rsidRDefault="00E775DC" w:rsidP="002F7727">
      <w:pPr>
        <w:pStyle w:val="NoSpacing"/>
        <w:rPr>
          <w:rFonts w:ascii="Arial Black" w:hAnsi="Arial Black"/>
          <w:b/>
          <w:sz w:val="24"/>
          <w:szCs w:val="24"/>
        </w:rPr>
      </w:pPr>
    </w:p>
    <w:p w14:paraId="1E7B7CAD" w14:textId="77777777" w:rsidR="00E775DC" w:rsidRDefault="00E775DC" w:rsidP="002F7727">
      <w:pPr>
        <w:pStyle w:val="NoSpacing"/>
        <w:rPr>
          <w:rFonts w:ascii="Arial Black" w:hAnsi="Arial Black"/>
          <w:b/>
          <w:sz w:val="24"/>
          <w:szCs w:val="24"/>
        </w:rPr>
      </w:pPr>
    </w:p>
    <w:p w14:paraId="7D4DD69B" w14:textId="694B23CD" w:rsidR="00E775DC" w:rsidRDefault="00E775DC" w:rsidP="002F7727">
      <w:pPr>
        <w:pStyle w:val="NoSpacing"/>
        <w:rPr>
          <w:rFonts w:ascii="Arial Black" w:hAnsi="Arial Black"/>
          <w:b/>
          <w:sz w:val="24"/>
          <w:szCs w:val="24"/>
        </w:rPr>
      </w:pPr>
      <w:r>
        <w:rPr>
          <w:rFonts w:ascii="Arial Black" w:hAnsi="Arial Black"/>
          <w:b/>
          <w:sz w:val="24"/>
          <w:szCs w:val="24"/>
        </w:rPr>
        <w:t>16-13</w:t>
      </w:r>
      <w:r w:rsidR="00D11FFB">
        <w:rPr>
          <w:rFonts w:ascii="Arial Black" w:hAnsi="Arial Black"/>
          <w:b/>
          <w:sz w:val="24"/>
          <w:szCs w:val="24"/>
        </w:rPr>
        <w:t>8</w:t>
      </w:r>
    </w:p>
    <w:p w14:paraId="0541BAB5" w14:textId="77777777" w:rsidR="00311014" w:rsidRDefault="00311014" w:rsidP="002F7727">
      <w:pPr>
        <w:pStyle w:val="NoSpacing"/>
        <w:rPr>
          <w:rFonts w:ascii="Arial Black" w:hAnsi="Arial Black"/>
          <w:b/>
          <w:sz w:val="24"/>
          <w:szCs w:val="24"/>
        </w:rPr>
      </w:pPr>
    </w:p>
    <w:p w14:paraId="4F3FED32" w14:textId="77777777" w:rsidR="00311014" w:rsidRPr="00D83843" w:rsidRDefault="00311014" w:rsidP="00311014">
      <w:pPr>
        <w:rPr>
          <w:rFonts w:ascii="Arial Black" w:hAnsi="Arial Black"/>
          <w:b/>
          <w:sz w:val="28"/>
          <w:szCs w:val="28"/>
        </w:rPr>
      </w:pPr>
      <w:r>
        <w:rPr>
          <w:rFonts w:ascii="Arial Black" w:hAnsi="Arial Black"/>
          <w:b/>
          <w:sz w:val="28"/>
          <w:szCs w:val="28"/>
        </w:rPr>
        <w:t xml:space="preserve">CA: MECHANIC’S THREAT – “TARONE” - KILLED FF STAT. 81 </w:t>
      </w:r>
    </w:p>
    <w:p w14:paraId="627B7280" w14:textId="77777777" w:rsidR="00311014" w:rsidRDefault="00311014" w:rsidP="00311014">
      <w:pPr>
        <w:pStyle w:val="NoSpacing"/>
      </w:pPr>
      <w:r w:rsidRPr="00DE351B">
        <w:t xml:space="preserve">On October 31, 2025, in </w:t>
      </w:r>
      <w:r w:rsidRPr="00DE351B">
        <w:rPr>
          <w:u w:val="single"/>
        </w:rPr>
        <w:t>County of Los Angeles v. Neill Francis Niblett</w:t>
      </w:r>
      <w:r w:rsidRPr="00DE351B">
        <w:t xml:space="preserve">, </w:t>
      </w:r>
      <w:r>
        <w:t xml:space="preserve">the </w:t>
      </w:r>
      <w:r w:rsidRPr="00DE351B">
        <w:t>California Court of Appeals, Second District, First Division</w:t>
      </w:r>
      <w:r>
        <w:t xml:space="preserve"> held (3 to 0) that trial court judge properly issued a three-year </w:t>
      </w:r>
      <w:r w:rsidRPr="005B58D8">
        <w:t>workplace violence restraining order on January 18, 2023</w:t>
      </w:r>
      <w:r>
        <w:t xml:space="preserve">, on the petition filed by the LA County Fire Department on behalf of an Assistant Fire Chief.  Neill Niblett is barred until Jan. 18, </w:t>
      </w:r>
      <w:proofErr w:type="gramStart"/>
      <w:r>
        <w:t>2026</w:t>
      </w:r>
      <w:proofErr w:type="gramEnd"/>
      <w:r>
        <w:t xml:space="preserve"> from harassing the Assistant Fire Chief or entering his </w:t>
      </w:r>
      <w:proofErr w:type="gramStart"/>
      <w:r>
        <w:t>workplace, and</w:t>
      </w:r>
      <w:proofErr w:type="gramEnd"/>
      <w:r>
        <w:t xml:space="preserve"> prohibits Niblett from possessing firearms or ammunition. THE COURT WROTE:  “</w:t>
      </w:r>
      <w:r w:rsidRPr="003B559C">
        <w:t>In sum, the trial court reasonably could have found it</w:t>
      </w:r>
      <w:r>
        <w:t xml:space="preserve"> </w:t>
      </w:r>
      <w:r w:rsidRPr="003B559C">
        <w:t xml:space="preserve">highly probable that by telling Hughes, </w:t>
      </w:r>
      <w:r>
        <w:t>‘</w:t>
      </w:r>
      <w:r w:rsidRPr="003B559C">
        <w:t>If they don’t change</w:t>
      </w:r>
      <w:r>
        <w:t xml:space="preserve"> </w:t>
      </w:r>
      <w:r w:rsidRPr="003B559C">
        <w:t>things in this department, they’re going to have another situation</w:t>
      </w:r>
      <w:r>
        <w:t xml:space="preserve"> </w:t>
      </w:r>
      <w:r w:rsidRPr="003B559C">
        <w:t>like they had with Tatone,</w:t>
      </w:r>
      <w:r>
        <w:t>’</w:t>
      </w:r>
      <w:r w:rsidRPr="003B559C">
        <w:t xml:space="preserve"> </w:t>
      </w:r>
      <w:r>
        <w:t xml:space="preserve">[who shot and killed another firefighter in Station 81 on June 1, 2021] </w:t>
      </w:r>
      <w:r w:rsidRPr="003B559C">
        <w:t>Niblett made a knowing and willful</w:t>
      </w:r>
      <w:r>
        <w:t xml:space="preserve"> </w:t>
      </w:r>
      <w:r w:rsidRPr="003B559C">
        <w:t>statement that would place a reasonable person in fear for his or</w:t>
      </w:r>
      <w:r>
        <w:t xml:space="preserve"> </w:t>
      </w:r>
      <w:r w:rsidRPr="003B559C">
        <w:t>her safety</w:t>
      </w:r>
      <w:r>
        <w:t xml:space="preserve">.”  </w:t>
      </w:r>
      <w:hyperlink r:id="rId2515" w:history="1">
        <w:r w:rsidRPr="00B165D1">
          <w:rPr>
            <w:rStyle w:val="Hyperlink"/>
          </w:rPr>
          <w:t>https://cases.justia.com/california/court-of-appeal/2025-b327744.pdf?ts=1764194477</w:t>
        </w:r>
      </w:hyperlink>
      <w:r>
        <w:t xml:space="preserve"> </w:t>
      </w:r>
    </w:p>
    <w:p w14:paraId="34E48273" w14:textId="77777777" w:rsidR="00311014" w:rsidRDefault="00311014" w:rsidP="00311014">
      <w:pPr>
        <w:pStyle w:val="NoSpacing"/>
      </w:pPr>
    </w:p>
    <w:p w14:paraId="3D6D4979" w14:textId="77777777" w:rsidR="00311014" w:rsidRDefault="00311014" w:rsidP="00311014">
      <w:pPr>
        <w:pStyle w:val="NoSpacing"/>
        <w:rPr>
          <w:bCs/>
        </w:rPr>
      </w:pPr>
      <w:r>
        <w:t>THE COURT HELD:</w:t>
      </w:r>
    </w:p>
    <w:p w14:paraId="24A87CAD" w14:textId="77777777" w:rsidR="00311014" w:rsidRDefault="00311014" w:rsidP="00311014">
      <w:pPr>
        <w:pStyle w:val="NoSpacing"/>
        <w:rPr>
          <w:bCs/>
        </w:rPr>
      </w:pPr>
    </w:p>
    <w:p w14:paraId="6EC3CAE4" w14:textId="77777777" w:rsidR="00311014" w:rsidRDefault="00311014" w:rsidP="00311014">
      <w:pPr>
        <w:ind w:left="720"/>
      </w:pPr>
      <w:r>
        <w:t xml:space="preserve">“Prior to the commencement of the instant action, Niblett was employed as a senior mechanic at the County’s fire department and Assistant Chief [A/C - Court did not use his last name] was Niblett’s supervisor.  </w:t>
      </w:r>
    </w:p>
    <w:p w14:paraId="684B890F" w14:textId="77777777" w:rsidR="00311014" w:rsidRDefault="00311014" w:rsidP="00311014">
      <w:pPr>
        <w:pStyle w:val="NoSpacing"/>
        <w:ind w:left="720"/>
      </w:pPr>
      <w:r>
        <w:t>***</w:t>
      </w:r>
    </w:p>
    <w:p w14:paraId="34D5E495" w14:textId="77777777" w:rsidR="00311014" w:rsidRDefault="00311014" w:rsidP="00311014">
      <w:pPr>
        <w:pStyle w:val="NoSpacing"/>
        <w:ind w:left="720"/>
      </w:pPr>
      <w:r>
        <w:t>According to the County, on October 5, 2022, Niblett acted in a ‘verbally abusive’ manner toward [A/C] after [A/C] asked Niblett to pick up parts Niblett had left on the floor of a fire department facility. The County further avers that on October 11, 2022, Niblett made the following statement to Cari Hughes, a secretary for the fire department: ‘If they don’t change things in this department, they’re going to have another situation like they had with Tatone.’ There is no dispute that in June 2021, a firefighter named ‘Tatone’ fatally shot another firefighter at Station 81.</w:t>
      </w:r>
    </w:p>
    <w:p w14:paraId="0CAF03B2" w14:textId="77777777" w:rsidR="00311014" w:rsidRDefault="00311014" w:rsidP="00311014">
      <w:pPr>
        <w:pStyle w:val="NoSpacing"/>
        <w:ind w:left="720"/>
      </w:pPr>
    </w:p>
    <w:p w14:paraId="312D75CB" w14:textId="77777777" w:rsidR="00311014" w:rsidRDefault="00311014" w:rsidP="00311014">
      <w:pPr>
        <w:pStyle w:val="NoSpacing"/>
        <w:ind w:left="720"/>
      </w:pPr>
      <w:r>
        <w:t>***</w:t>
      </w:r>
    </w:p>
    <w:p w14:paraId="380CB414" w14:textId="77777777" w:rsidR="00311014" w:rsidRDefault="00311014" w:rsidP="00311014">
      <w:pPr>
        <w:pStyle w:val="NoSpacing"/>
        <w:ind w:left="720"/>
        <w:rPr>
          <w:bCs/>
        </w:rPr>
      </w:pPr>
      <w:r>
        <w:t xml:space="preserve">Footnote 5: [A/C] </w:t>
      </w:r>
      <w:r w:rsidRPr="00DB7C6D">
        <w:t xml:space="preserve">testified that the County </w:t>
      </w:r>
      <w:r>
        <w:t>‘</w:t>
      </w:r>
      <w:r w:rsidRPr="00DB7C6D">
        <w:t>placed [Niblett] off of</w:t>
      </w:r>
      <w:r>
        <w:t xml:space="preserve"> </w:t>
      </w:r>
      <w:r w:rsidRPr="00DB7C6D">
        <w:t>work</w:t>
      </w:r>
      <w:r>
        <w:t>’</w:t>
      </w:r>
      <w:r w:rsidRPr="00DB7C6D">
        <w:t xml:space="preserve"> because of his threatening conduct</w:t>
      </w:r>
      <w:r>
        <w:t xml:space="preserve">…. </w:t>
      </w:r>
    </w:p>
    <w:p w14:paraId="5A653A1B" w14:textId="77777777" w:rsidR="00311014" w:rsidRDefault="00311014" w:rsidP="00311014">
      <w:pPr>
        <w:pStyle w:val="NoSpacing"/>
        <w:ind w:left="720"/>
        <w:rPr>
          <w:bCs/>
        </w:rPr>
      </w:pPr>
    </w:p>
    <w:p w14:paraId="78730BA6" w14:textId="77777777" w:rsidR="00311014" w:rsidRDefault="00311014" w:rsidP="00311014">
      <w:pPr>
        <w:pStyle w:val="NoSpacing"/>
        <w:ind w:left="720"/>
      </w:pPr>
      <w:r>
        <w:t>***</w:t>
      </w:r>
    </w:p>
    <w:p w14:paraId="7092EA72" w14:textId="77777777" w:rsidR="00311014" w:rsidRDefault="00311014" w:rsidP="00311014">
      <w:pPr>
        <w:pStyle w:val="NoSpacing"/>
        <w:ind w:left="720"/>
      </w:pPr>
    </w:p>
    <w:p w14:paraId="4F38FD17" w14:textId="77777777" w:rsidR="00311014" w:rsidRDefault="00311014" w:rsidP="00311014">
      <w:pPr>
        <w:pStyle w:val="NoSpacing"/>
        <w:ind w:left="720"/>
      </w:pPr>
      <w:r>
        <w:t xml:space="preserve">Niblett insists he was not threatening to shoot department </w:t>
      </w:r>
      <w:proofErr w:type="gramStart"/>
      <w:r>
        <w:t>management, but</w:t>
      </w:r>
      <w:proofErr w:type="gramEnd"/>
      <w:r>
        <w:t xml:space="preserve"> instead made ‘a hypothetical warning about potential consequences of poor management . . . .’  As</w:t>
      </w:r>
    </w:p>
    <w:p w14:paraId="585247ED" w14:textId="77777777" w:rsidR="00311014" w:rsidRDefault="00311014" w:rsidP="00311014">
      <w:pPr>
        <w:pStyle w:val="NoSpacing"/>
        <w:ind w:left="720"/>
      </w:pPr>
      <w:r>
        <w:t xml:space="preserve">explained above, the trial court rationally could have inferred it is highly probable that a reasonable person hearing this statement would have feared for his or her </w:t>
      </w:r>
      <w:proofErr w:type="gramStart"/>
      <w:r>
        <w:t>safety.”</w:t>
      </w:r>
      <w:proofErr w:type="gramEnd"/>
    </w:p>
    <w:p w14:paraId="679E3081" w14:textId="77777777" w:rsidR="00311014" w:rsidRDefault="00311014" w:rsidP="00311014">
      <w:pPr>
        <w:pStyle w:val="NoSpacing"/>
        <w:ind w:left="720"/>
      </w:pPr>
    </w:p>
    <w:p w14:paraId="3AB7A3CC" w14:textId="3576294C" w:rsidR="00311014" w:rsidRPr="005419F9" w:rsidRDefault="00311014" w:rsidP="00311014">
      <w:pPr>
        <w:pStyle w:val="NoSpacing"/>
        <w:rPr>
          <w:b/>
          <w:bCs/>
        </w:rPr>
      </w:pPr>
      <w:r>
        <w:rPr>
          <w:b/>
        </w:rPr>
        <w:t>Legal Lesson Learned:  Threats of workplace violence must be taken very seriously; immediate suspension from duty</w:t>
      </w:r>
      <w:r w:rsidR="00DB3D9D">
        <w:rPr>
          <w:b/>
        </w:rPr>
        <w:t xml:space="preserve">, notify police </w:t>
      </w:r>
      <w:r>
        <w:rPr>
          <w:b/>
        </w:rPr>
        <w:t xml:space="preserve">and </w:t>
      </w:r>
      <w:r w:rsidR="00DB3D9D">
        <w:rPr>
          <w:b/>
        </w:rPr>
        <w:t xml:space="preserve">conduct </w:t>
      </w:r>
      <w:r>
        <w:rPr>
          <w:b/>
        </w:rPr>
        <w:t>prompt investigation.</w:t>
      </w:r>
    </w:p>
    <w:p w14:paraId="3213A845" w14:textId="77777777" w:rsidR="00311014" w:rsidRDefault="00311014" w:rsidP="00311014">
      <w:pPr>
        <w:pStyle w:val="NoSpacing"/>
        <w:ind w:left="720"/>
        <w:rPr>
          <w:bCs/>
        </w:rPr>
      </w:pPr>
    </w:p>
    <w:p w14:paraId="372B2CC5" w14:textId="77777777" w:rsidR="00311014" w:rsidRDefault="00311014" w:rsidP="00311014">
      <w:pPr>
        <w:pStyle w:val="NoSpacing"/>
        <w:ind w:left="720"/>
      </w:pPr>
      <w:r>
        <w:t xml:space="preserve">Note: See this September 11, </w:t>
      </w:r>
      <w:proofErr w:type="gramStart"/>
      <w:r>
        <w:t>2024</w:t>
      </w:r>
      <w:proofErr w:type="gramEnd"/>
      <w:r>
        <w:t xml:space="preserve"> article.   “</w:t>
      </w:r>
      <w:r w:rsidRPr="002772E6">
        <w:t>L.A. County pays $7.2M to family of firefighter killed in firehouse shooting. A station captain later told investigators that Firefighter Carlon had voiced concerns his harasser would one day shoot and kill him.</w:t>
      </w:r>
      <w:r>
        <w:t xml:space="preserve"> </w:t>
      </w:r>
      <w:r w:rsidRPr="0003781D">
        <w:t>More than three years after a firefighter was shot and killed by a co-worker at a remote station in Agua Dulce, the Los Angeles County Board of Supervisors agreed Tuesday to pay his family $7.2 million.</w:t>
      </w:r>
      <w:r>
        <w:t xml:space="preserve"> </w:t>
      </w:r>
      <w:r w:rsidRPr="0003781D">
        <w:t xml:space="preserve">Tory Carlon was fatally shot while on duty at L.A. County Fire Station 81 on June 1, 2021. The following year, Carlon’s widow, Heidi, and the couple’s three children filed a wrongful-death lawsuit against L.A. County, alleging fire officials had known about the shooter’s </w:t>
      </w:r>
      <w:r>
        <w:t>‘</w:t>
      </w:r>
      <w:r w:rsidRPr="0003781D">
        <w:t>dangerous conduct</w:t>
      </w:r>
      <w:r>
        <w:t>’</w:t>
      </w:r>
      <w:r w:rsidRPr="0003781D">
        <w:t xml:space="preserve"> for years.</w:t>
      </w:r>
      <w:r>
        <w:t xml:space="preserve"> </w:t>
      </w:r>
      <w:r w:rsidRPr="00063FAE">
        <w:t>The gunman, Jonathan Tatone, also shot and injured Fire Capt. Arnoldo Sandoval, before later killing himself. Last year, the board agreed to pay Sandoval nearly $2.6 million.</w:t>
      </w:r>
      <w:r>
        <w:t xml:space="preserve">” </w:t>
      </w:r>
      <w:hyperlink r:id="rId2516" w:history="1">
        <w:r w:rsidRPr="00A22012">
          <w:rPr>
            <w:rStyle w:val="Hyperlink"/>
          </w:rPr>
          <w:t>https://www.firerescue1.com/legal/l-a-county-pays-7-2m-to-family-of-firefighter-killed-in-firehouse-shooting</w:t>
        </w:r>
      </w:hyperlink>
      <w:r>
        <w:t xml:space="preserve"> </w:t>
      </w:r>
    </w:p>
    <w:p w14:paraId="0E6142E8" w14:textId="77777777" w:rsidR="00311014" w:rsidRDefault="00311014" w:rsidP="00311014">
      <w:pPr>
        <w:pStyle w:val="NoSpacing"/>
        <w:ind w:left="720"/>
      </w:pPr>
    </w:p>
    <w:p w14:paraId="445080BE" w14:textId="77777777" w:rsidR="00311014" w:rsidRDefault="00311014" w:rsidP="00311014">
      <w:pPr>
        <w:pStyle w:val="NoSpacing"/>
        <w:ind w:left="720"/>
      </w:pPr>
    </w:p>
    <w:p w14:paraId="4D034EAB" w14:textId="77777777" w:rsidR="00311014" w:rsidRDefault="00311014" w:rsidP="002F7727">
      <w:pPr>
        <w:pStyle w:val="NoSpacing"/>
        <w:rPr>
          <w:rFonts w:ascii="Arial Black" w:hAnsi="Arial Black"/>
          <w:b/>
          <w:sz w:val="24"/>
          <w:szCs w:val="24"/>
        </w:rPr>
      </w:pPr>
    </w:p>
    <w:p w14:paraId="48B47D83" w14:textId="77777777" w:rsidR="00311014" w:rsidRDefault="00311014" w:rsidP="002F7727">
      <w:pPr>
        <w:pStyle w:val="NoSpacing"/>
        <w:rPr>
          <w:rFonts w:ascii="Arial Black" w:hAnsi="Arial Black"/>
          <w:b/>
          <w:sz w:val="24"/>
          <w:szCs w:val="24"/>
        </w:rPr>
      </w:pPr>
    </w:p>
    <w:p w14:paraId="592360CE" w14:textId="77777777" w:rsidR="00E775DC" w:rsidRDefault="00E775DC" w:rsidP="002F7727">
      <w:pPr>
        <w:pStyle w:val="NoSpacing"/>
        <w:rPr>
          <w:rFonts w:ascii="Arial Black" w:hAnsi="Arial Black"/>
          <w:b/>
          <w:sz w:val="24"/>
          <w:szCs w:val="24"/>
        </w:rPr>
      </w:pPr>
    </w:p>
    <w:p w14:paraId="7413FEE7" w14:textId="3C164EA6" w:rsidR="002F7727" w:rsidRDefault="002F7727" w:rsidP="002F7727">
      <w:pPr>
        <w:pStyle w:val="NoSpacing"/>
        <w:rPr>
          <w:rFonts w:ascii="Arial Black" w:hAnsi="Arial Black"/>
          <w:b/>
          <w:sz w:val="24"/>
          <w:szCs w:val="24"/>
        </w:rPr>
      </w:pPr>
      <w:r>
        <w:rPr>
          <w:rFonts w:ascii="Arial Black" w:hAnsi="Arial Black"/>
          <w:b/>
          <w:sz w:val="24"/>
          <w:szCs w:val="24"/>
        </w:rPr>
        <w:t>16-13</w:t>
      </w:r>
      <w:r w:rsidR="00D11FFB">
        <w:rPr>
          <w:rFonts w:ascii="Arial Black" w:hAnsi="Arial Black"/>
          <w:b/>
          <w:sz w:val="24"/>
          <w:szCs w:val="24"/>
        </w:rPr>
        <w:t>7</w:t>
      </w:r>
    </w:p>
    <w:p w14:paraId="0D8CF808" w14:textId="77777777" w:rsidR="002F7727" w:rsidRDefault="002F7727" w:rsidP="001F4CDF">
      <w:pPr>
        <w:pStyle w:val="NoSpacing"/>
        <w:rPr>
          <w:rFonts w:ascii="Arial Black" w:hAnsi="Arial Black"/>
          <w:sz w:val="28"/>
          <w:szCs w:val="28"/>
        </w:rPr>
      </w:pPr>
    </w:p>
    <w:p w14:paraId="72AE168A" w14:textId="35DD803A" w:rsidR="001F4CDF" w:rsidRPr="00B763EB" w:rsidRDefault="001F4CDF" w:rsidP="001F4CDF">
      <w:pPr>
        <w:pStyle w:val="NoSpacing"/>
        <w:rPr>
          <w:rFonts w:ascii="Arial Black" w:hAnsi="Arial Black"/>
          <w:sz w:val="28"/>
          <w:szCs w:val="28"/>
        </w:rPr>
      </w:pPr>
      <w:r>
        <w:rPr>
          <w:rFonts w:ascii="Arial Black" w:hAnsi="Arial Black"/>
          <w:sz w:val="28"/>
          <w:szCs w:val="28"/>
        </w:rPr>
        <w:t xml:space="preserve">NC: FF AFFAIR – WOMAN TOLD FD “STALKING” – FF FIRED </w:t>
      </w:r>
    </w:p>
    <w:p w14:paraId="1BA39FAD" w14:textId="77777777" w:rsidR="001F4CDF" w:rsidRDefault="001F4CDF" w:rsidP="001F4CDF">
      <w:pPr>
        <w:pStyle w:val="NoSpacing"/>
      </w:pPr>
    </w:p>
    <w:p w14:paraId="6F3166EB" w14:textId="77777777" w:rsidR="001F4CDF" w:rsidRDefault="001F4CDF" w:rsidP="001F4CDF">
      <w:pPr>
        <w:pStyle w:val="NoSpacing"/>
      </w:pPr>
      <w:r>
        <w:t xml:space="preserve">On September 15, 2025, in </w:t>
      </w:r>
      <w:r w:rsidRPr="00B26718">
        <w:rPr>
          <w:u w:val="single"/>
        </w:rPr>
        <w:t>Robert Patterson v. City of Graham, et al</w:t>
      </w:r>
      <w:r w:rsidRPr="000A6483">
        <w:rPr>
          <w:u w:val="single"/>
        </w:rPr>
        <w:t>.</w:t>
      </w:r>
      <w:r>
        <w:t xml:space="preserve">, U.S. Magistrate Judge </w:t>
      </w:r>
      <w:r w:rsidRPr="00D35A64">
        <w:t>L. Patrick Auld</w:t>
      </w:r>
      <w:r>
        <w:t xml:space="preserve">, United States District Court for Middle District of North Carolina, issued an opinion and recommendation that the U.S. District Court judge dismiss the firefighter’s lawsuit claiming age discrimination and hostile workplace.  </w:t>
      </w:r>
    </w:p>
    <w:p w14:paraId="5546329E" w14:textId="77777777" w:rsidR="001F4CDF" w:rsidRDefault="001F4CDF" w:rsidP="001F4CDF">
      <w:pPr>
        <w:pStyle w:val="NoSpacing"/>
      </w:pPr>
    </w:p>
    <w:p w14:paraId="0110AAF3" w14:textId="77777777" w:rsidR="001F4CDF" w:rsidRDefault="001F4CDF" w:rsidP="001F4CDF">
      <w:pPr>
        <w:pStyle w:val="NoSpacing"/>
      </w:pPr>
      <w:r w:rsidRPr="00913B5B">
        <w:rPr>
          <w:b/>
        </w:rPr>
        <w:t>THE MAGISTRATE WROTE</w:t>
      </w:r>
      <w:r>
        <w:t>: “</w:t>
      </w:r>
      <w:r w:rsidRPr="00C01814">
        <w:t>Plaintiff contends that Defendants terminated his employment because of his age</w:t>
      </w:r>
      <w:r>
        <w:t>…. [T]</w:t>
      </w:r>
      <w:r w:rsidRPr="00253C24">
        <w:t>he Amended Complaint reveals that Plaintiff experienced his termination (and non-promotion) only after the revelation of his affair with a married woman and the volatile aftermath of the cessation of that affair, which involved allegations of violence and criminally inappropriate conduct by Plaintiff and other community members (</w:t>
      </w:r>
      <w:r w:rsidRPr="00253C24">
        <w:rPr>
          <w:i/>
          <w:iCs/>
        </w:rPr>
        <w:t>see, e.g.</w:t>
      </w:r>
      <w:r w:rsidRPr="00253C24">
        <w:t xml:space="preserve">, Docket Entries 12-2 to 12-4 (confirming the </w:t>
      </w:r>
      <w:proofErr w:type="spellStart"/>
      <w:r w:rsidRPr="00253C24">
        <w:t>Wrenns</w:t>
      </w:r>
      <w:proofErr w:type="spellEnd"/>
      <w:r w:rsidRPr="00253C24">
        <w:t>' status as members of City community)). These circumstances render implausible any notion that age bias motivated Defendants' termination of Plaintiff's employment, necessitating dismissal of Plaintiff's ADEA discrimination claim.</w:t>
      </w:r>
      <w:r>
        <w:t xml:space="preserve"> *** </w:t>
      </w:r>
      <w:r w:rsidRPr="00174919">
        <w:t>A plaintiff must provide objective facts or dates linking his termination[ or non-promotion] to his protected conduct other than his own opinions about a supervisor's motives. Plaintiff provides only his own opinions about the cause of his termination[ and non-promotion], with objective facts and dates that do not align with retaliation as a plausible motive. Thus, Plaintiff falls short of alleging facts sufficient for a retaliation case</w:t>
      </w:r>
      <w:r>
        <w:t>.</w:t>
      </w:r>
      <w:r w:rsidRPr="00174919">
        <w:t xml:space="preserve">... </w:t>
      </w:r>
      <w:r>
        <w:t xml:space="preserve"> </w:t>
      </w:r>
      <w:hyperlink r:id="rId2517" w:history="1">
        <w:r w:rsidRPr="00B31461">
          <w:rPr>
            <w:rStyle w:val="Hyperlink"/>
          </w:rPr>
          <w:t>https://public.fastcase.com/jaEE2PXzRXmZ99jOLMt1Ilcjd44wj1gOUELzUZUXmDmbuUsOiVZitmDUzsj9wpOSz4ErC%2Bb83%2Bac%2Bxbf2Y5XWbaFtY83bMRM%2FnYjCn7PkRA%3D?utm_medium=email&amp;_hsenc=p2ANqtz-_fx1n9_ms4yphjYB4YK1tT4ojMXKWZyFtyDBkZEK1fupUD4WQ_rkXhMfyPQZmyXGwaNXHPYYCETcsN16Fd9R-eiG6PHw&amp;_hsmi=226712652&amp;utm_content=226712652&amp;utm_source=hs_email</w:t>
        </w:r>
      </w:hyperlink>
      <w:r>
        <w:t xml:space="preserve"> </w:t>
      </w:r>
    </w:p>
    <w:p w14:paraId="777ACDB1" w14:textId="77777777" w:rsidR="001F4CDF" w:rsidRDefault="001F4CDF" w:rsidP="001F4CDF">
      <w:pPr>
        <w:pStyle w:val="NoSpacing"/>
      </w:pPr>
    </w:p>
    <w:p w14:paraId="3D31FFF4" w14:textId="77777777" w:rsidR="001F4CDF" w:rsidRPr="00913B5B" w:rsidRDefault="001F4CDF" w:rsidP="001F4CDF">
      <w:pPr>
        <w:pStyle w:val="NoSpacing"/>
        <w:rPr>
          <w:b/>
          <w:bCs/>
        </w:rPr>
      </w:pPr>
      <w:r w:rsidRPr="00913B5B">
        <w:rPr>
          <w:b/>
        </w:rPr>
        <w:t>KEY FACTS:</w:t>
      </w:r>
    </w:p>
    <w:p w14:paraId="42351460" w14:textId="77777777" w:rsidR="001F4CDF" w:rsidRDefault="001F4CDF" w:rsidP="001F4CDF">
      <w:pPr>
        <w:pStyle w:val="NoSpacing"/>
      </w:pPr>
    </w:p>
    <w:p w14:paraId="095B6D76" w14:textId="77777777" w:rsidR="001F4CDF" w:rsidRDefault="001F4CDF" w:rsidP="001F4CDF">
      <w:pPr>
        <w:pStyle w:val="NoSpacing"/>
        <w:ind w:left="720"/>
      </w:pPr>
      <w:r>
        <w:t>“</w:t>
      </w:r>
      <w:r w:rsidRPr="003D716B">
        <w:t>In October 2022 Plaintiff advised Chief Cole that he was involved in an affair that had ended, and that the wife had threatened that her husband would do everything in his power to get him fired. [Plaintiff] also informed [Chief Cole] that: a) the wife was previously in an affair that ended in a murder-suicide in 2009, with the failed suicide attempt on her part; b) the wife attempted suicide again October 18, 2022; and c) he was extremely fearful of what measures this couple would take to have him fired</w:t>
      </w:r>
      <w:r>
        <w:t>….‘</w:t>
      </w:r>
      <w:r w:rsidRPr="003D716B">
        <w:t>On October 25, 2022, an internal affairs investigation was opened against Plaintiff for an affair he had with Mrs. Wrenn that occurred while he was off duty</w:t>
      </w:r>
      <w:r>
        <w:t>….’</w:t>
      </w:r>
      <w:r w:rsidRPr="003D716B">
        <w:t xml:space="preserve">  </w:t>
      </w:r>
    </w:p>
    <w:p w14:paraId="1382FF64" w14:textId="77777777" w:rsidR="001F4CDF" w:rsidRPr="003D716B" w:rsidRDefault="001F4CDF" w:rsidP="001F4CDF">
      <w:pPr>
        <w:pStyle w:val="NoSpacing"/>
        <w:ind w:left="720"/>
      </w:pPr>
    </w:p>
    <w:p w14:paraId="238C69A9" w14:textId="77777777" w:rsidR="001F4CDF" w:rsidRDefault="001F4CDF" w:rsidP="001F4CDF">
      <w:pPr>
        <w:pStyle w:val="NoSpacing"/>
        <w:ind w:left="720"/>
      </w:pPr>
      <w:r>
        <w:t>‘</w:t>
      </w:r>
      <w:r w:rsidRPr="003D716B">
        <w:t xml:space="preserve">On October 28, </w:t>
      </w:r>
      <w:proofErr w:type="gramStart"/>
      <w:r w:rsidRPr="003D716B">
        <w:t>2022</w:t>
      </w:r>
      <w:proofErr w:type="gramEnd"/>
      <w:r w:rsidRPr="003D716B">
        <w:t xml:space="preserve"> Mrs. Wrenn advised the City of Graham Fire Department's Fire Chief, Defendant Cole and City of Graham Investigator, Billy Clayton, that Plaintiff was responsible for the whistleblower complaints against Chief Cole and Capt. Moore.</w:t>
      </w:r>
      <w:r>
        <w:t>’</w:t>
      </w:r>
      <w:r w:rsidRPr="003D716B">
        <w:t xml:space="preserve"> </w:t>
      </w:r>
      <w:r>
        <w:t>…</w:t>
      </w:r>
      <w:r w:rsidRPr="003D716B">
        <w:t xml:space="preserve"> </w:t>
      </w:r>
      <w:r>
        <w:t>‘</w:t>
      </w:r>
      <w:r w:rsidRPr="003D716B">
        <w:t>On October 28, 2022 Mrs. Wrenn also advised Chief Cole and Investigator Billy Clayton that Plaintiff planned to expose Chief Cole and City Manager Megan Garner in their direct attempts to ‘poison the well'</w:t>
      </w:r>
      <w:r>
        <w:t>….</w:t>
      </w:r>
      <w:r w:rsidRPr="003D716B">
        <w:t>After Mrs. Wrenn's involvement with the Plaintiff had been exposed in mid-October 2022, and the involvement between these two parties had ended, Mrs. Wrenn willfully and falsely misled her husband to believe she had been threatened and forced to remain involved with Plaintiff for fear of retaliation</w:t>
      </w:r>
      <w:r>
        <w:t>….</w:t>
      </w:r>
      <w:r w:rsidRPr="003D716B">
        <w:t xml:space="preserve"> </w:t>
      </w:r>
    </w:p>
    <w:p w14:paraId="5CBE3310" w14:textId="77777777" w:rsidR="001F4CDF" w:rsidRDefault="001F4CDF" w:rsidP="001F4CDF">
      <w:pPr>
        <w:pStyle w:val="NoSpacing"/>
        <w:ind w:left="720"/>
      </w:pPr>
    </w:p>
    <w:p w14:paraId="07B9CF46" w14:textId="77777777" w:rsidR="001F4CDF" w:rsidRDefault="001F4CDF" w:rsidP="001F4CDF">
      <w:pPr>
        <w:pStyle w:val="NoSpacing"/>
        <w:ind w:left="720"/>
      </w:pPr>
      <w:r>
        <w:t>***</w:t>
      </w:r>
    </w:p>
    <w:p w14:paraId="7E515777" w14:textId="77777777" w:rsidR="001F4CDF" w:rsidRPr="005709ED" w:rsidRDefault="001F4CDF" w:rsidP="001F4CDF">
      <w:pPr>
        <w:pStyle w:val="NoSpacing"/>
        <w:ind w:left="720"/>
      </w:pPr>
      <w:r>
        <w:t>‘</w:t>
      </w:r>
      <w:r w:rsidRPr="005709ED">
        <w:t>Plaintiff received a pre-disciplinary conference notice on May 10, 2023. He was denied an attorney again. He filed a formal complaint against Fire Chief Tommy Cole for retaliation with the City Manager, Megan Garner.</w:t>
      </w:r>
      <w:r>
        <w:t>’ …</w:t>
      </w:r>
      <w:r w:rsidRPr="005709ED">
        <w:t xml:space="preserve"> Nonetheless: </w:t>
      </w:r>
      <w:r>
        <w:t xml:space="preserve">  </w:t>
      </w:r>
      <w:r w:rsidRPr="005709ED">
        <w:t xml:space="preserve">On May 17, 2023, Plaintiff was placed on paid administrative leave and was terminated via email after 8:00 pm that evening. Mrs. Wrenn was contacted that same day by the City of Graham and advised of his termination. He </w:t>
      </w:r>
      <w:proofErr w:type="gramStart"/>
      <w:r w:rsidRPr="005709ED">
        <w:t>appealed</w:t>
      </w:r>
      <w:proofErr w:type="gramEnd"/>
      <w:r w:rsidRPr="005709ED">
        <w:t xml:space="preserve"> the termination. [City Manager] Garner was the person who presided over his appeals hearing and made the decision to uphold his termination.</w:t>
      </w:r>
      <w:r>
        <w:t xml:space="preserve">” </w:t>
      </w:r>
    </w:p>
    <w:p w14:paraId="1195626D" w14:textId="77777777" w:rsidR="001F4CDF" w:rsidRPr="003D716B" w:rsidRDefault="001F4CDF" w:rsidP="001F4CDF">
      <w:pPr>
        <w:pStyle w:val="NoSpacing"/>
        <w:ind w:left="720"/>
      </w:pPr>
    </w:p>
    <w:p w14:paraId="2AED9C2E" w14:textId="77777777" w:rsidR="001F4CDF" w:rsidRPr="00E415CE" w:rsidRDefault="001F4CDF" w:rsidP="001F4CDF">
      <w:pPr>
        <w:pStyle w:val="NoSpacing"/>
        <w:rPr>
          <w:b/>
          <w:bCs/>
        </w:rPr>
      </w:pPr>
      <w:r>
        <w:rPr>
          <w:b/>
        </w:rPr>
        <w:t xml:space="preserve">Legal lesson learned:  Affair can lead to ugly allegations and internal investigations. </w:t>
      </w:r>
    </w:p>
    <w:p w14:paraId="788D6D78" w14:textId="77777777" w:rsidR="001F4CDF" w:rsidRDefault="001F4CDF" w:rsidP="001F4CDF">
      <w:pPr>
        <w:pStyle w:val="NoSpacing"/>
        <w:ind w:left="720"/>
      </w:pPr>
    </w:p>
    <w:p w14:paraId="4CAA8A56" w14:textId="77777777" w:rsidR="00D11FFB" w:rsidRDefault="00D11FFB" w:rsidP="002F7727">
      <w:pPr>
        <w:pStyle w:val="NoSpacing"/>
        <w:rPr>
          <w:rFonts w:ascii="Arial Black" w:hAnsi="Arial Black"/>
          <w:b/>
          <w:sz w:val="24"/>
          <w:szCs w:val="24"/>
        </w:rPr>
      </w:pPr>
    </w:p>
    <w:p w14:paraId="5195B3FD" w14:textId="1C282F47" w:rsidR="002F7727" w:rsidRDefault="002F7727" w:rsidP="002F7727">
      <w:pPr>
        <w:pStyle w:val="NoSpacing"/>
        <w:rPr>
          <w:rFonts w:ascii="Arial Black" w:hAnsi="Arial Black"/>
          <w:b/>
          <w:sz w:val="24"/>
          <w:szCs w:val="24"/>
        </w:rPr>
      </w:pPr>
      <w:r>
        <w:rPr>
          <w:rFonts w:ascii="Arial Black" w:hAnsi="Arial Black"/>
          <w:b/>
          <w:sz w:val="24"/>
          <w:szCs w:val="24"/>
        </w:rPr>
        <w:t>16-13</w:t>
      </w:r>
      <w:r w:rsidR="00D11FFB">
        <w:rPr>
          <w:rFonts w:ascii="Arial Black" w:hAnsi="Arial Black"/>
          <w:b/>
          <w:sz w:val="24"/>
          <w:szCs w:val="24"/>
        </w:rPr>
        <w:t>6</w:t>
      </w:r>
    </w:p>
    <w:p w14:paraId="39E749BB" w14:textId="77777777" w:rsidR="002F7727" w:rsidRDefault="002F7727" w:rsidP="008F4B50">
      <w:pPr>
        <w:pStyle w:val="NoSpacing"/>
        <w:rPr>
          <w:rFonts w:ascii="Arial Black" w:hAnsi="Arial Black"/>
          <w:sz w:val="28"/>
          <w:szCs w:val="28"/>
        </w:rPr>
      </w:pPr>
    </w:p>
    <w:p w14:paraId="20A5B6C5" w14:textId="0479249E" w:rsidR="008F4B50" w:rsidRDefault="008F4B50" w:rsidP="008F4B50">
      <w:pPr>
        <w:pStyle w:val="NoSpacing"/>
        <w:rPr>
          <w:rFonts w:ascii="Arial Black" w:hAnsi="Arial Black"/>
          <w:sz w:val="28"/>
          <w:szCs w:val="28"/>
        </w:rPr>
      </w:pPr>
      <w:r>
        <w:rPr>
          <w:rFonts w:ascii="Arial Black" w:hAnsi="Arial Black"/>
          <w:sz w:val="28"/>
          <w:szCs w:val="28"/>
        </w:rPr>
        <w:t xml:space="preserve">FL: FORMER CHIEF – SEX </w:t>
      </w:r>
      <w:r w:rsidR="0061722F">
        <w:rPr>
          <w:rFonts w:ascii="Arial Black" w:hAnsi="Arial Black"/>
          <w:sz w:val="28"/>
          <w:szCs w:val="28"/>
        </w:rPr>
        <w:t xml:space="preserve">WITH </w:t>
      </w:r>
      <w:r>
        <w:rPr>
          <w:rFonts w:ascii="Arial Black" w:hAnsi="Arial Black"/>
          <w:sz w:val="28"/>
          <w:szCs w:val="28"/>
        </w:rPr>
        <w:t>HIS MINOR CHILD – LIFE PRISON</w:t>
      </w:r>
    </w:p>
    <w:p w14:paraId="10615D7D" w14:textId="77777777" w:rsidR="008F4B50" w:rsidRDefault="008F4B50" w:rsidP="008F4B50">
      <w:pPr>
        <w:pStyle w:val="NoSpacing"/>
      </w:pPr>
    </w:p>
    <w:p w14:paraId="024C478D" w14:textId="77777777" w:rsidR="008F4B50" w:rsidRDefault="008F4B50" w:rsidP="008F4B50">
      <w:pPr>
        <w:pStyle w:val="NoSpacing"/>
      </w:pPr>
      <w:r>
        <w:t xml:space="preserve">On September 4, 2025, in </w:t>
      </w:r>
      <w:r w:rsidRPr="006B7EF4">
        <w:rPr>
          <w:u w:val="single"/>
        </w:rPr>
        <w:t>Jamie Douglas Geer v. Secretary, Department of Corrections</w:t>
      </w:r>
      <w:r>
        <w:t xml:space="preserve">, </w:t>
      </w:r>
      <w:r w:rsidRPr="006B7EF4">
        <w:t>U</w:t>
      </w:r>
      <w:r>
        <w:t>.</w:t>
      </w:r>
      <w:r w:rsidRPr="006B7EF4">
        <w:t xml:space="preserve">S. District </w:t>
      </w:r>
      <w:r>
        <w:t>Court Judge Kathryn Kimball Mizelle, United States District Court for Middle District of Florida (Tampa Division) held that Geer, former Fire Chief of City of Clearwater, is denied habeas corpus and must serve sentence of life in prison in Florida prison.</w:t>
      </w:r>
    </w:p>
    <w:p w14:paraId="4361961C" w14:textId="77777777" w:rsidR="008F4B50" w:rsidRDefault="008F4B50" w:rsidP="008F4B50">
      <w:pPr>
        <w:pStyle w:val="NoSpacing"/>
      </w:pPr>
    </w:p>
    <w:p w14:paraId="11C87842" w14:textId="77777777" w:rsidR="008F4B50" w:rsidRDefault="008F4B50" w:rsidP="008F4B50">
      <w:pPr>
        <w:pStyle w:val="NoSpacing"/>
      </w:pPr>
      <w:r w:rsidRPr="00D70E6E">
        <w:rPr>
          <w:b/>
        </w:rPr>
        <w:t>THE COURT HELD</w:t>
      </w:r>
      <w:r>
        <w:t>:  “</w:t>
      </w:r>
      <w:r w:rsidRPr="003802F4">
        <w:t>Geer, a Florida prisoner, timely filed a pro se second amended petition for writ of habeas corpus under 28 U.S.C. § 2254</w:t>
      </w:r>
      <w:r>
        <w:t xml:space="preserve">…. </w:t>
      </w:r>
      <w:r w:rsidRPr="003802F4">
        <w:t>Also, Geer moved for an evidentiary hearing</w:t>
      </w:r>
      <w:r>
        <w:t xml:space="preserve">…. </w:t>
      </w:r>
      <w:r w:rsidRPr="003802F4">
        <w:t xml:space="preserve">Having considered the second amended </w:t>
      </w:r>
      <w:proofErr w:type="gramStart"/>
      <w:r w:rsidRPr="003802F4">
        <w:t>petition,</w:t>
      </w:r>
      <w:r>
        <w:t>…</w:t>
      </w:r>
      <w:proofErr w:type="gramEnd"/>
      <w:r>
        <w:t xml:space="preserve"> </w:t>
      </w:r>
      <w:r w:rsidRPr="003802F4">
        <w:t>the response in opposition</w:t>
      </w:r>
      <w:r>
        <w:t xml:space="preserve"> … </w:t>
      </w:r>
      <w:r w:rsidRPr="003802F4">
        <w:t>and the reply and the supplemental reply</w:t>
      </w:r>
      <w:r>
        <w:t xml:space="preserve"> … </w:t>
      </w:r>
      <w:r w:rsidRPr="003802F4">
        <w:t>the petition is denied</w:t>
      </w:r>
      <w:r>
        <w:t xml:space="preserve">.” </w:t>
      </w:r>
      <w:hyperlink r:id="rId2518" w:history="1">
        <w:r w:rsidRPr="00204094">
          <w:rPr>
            <w:rStyle w:val="Hyperlink"/>
          </w:rPr>
          <w:t>https://app.midpage.ai/document/geer-v-secretary-department-of-11133637?refG=true</w:t>
        </w:r>
      </w:hyperlink>
      <w:r>
        <w:t xml:space="preserve"> </w:t>
      </w:r>
    </w:p>
    <w:p w14:paraId="52BA3C6A" w14:textId="77777777" w:rsidR="008F4B50" w:rsidRDefault="008F4B50" w:rsidP="008F4B50">
      <w:pPr>
        <w:pStyle w:val="NoSpacing"/>
      </w:pPr>
    </w:p>
    <w:p w14:paraId="4DAC9070" w14:textId="77777777" w:rsidR="008F4B50" w:rsidRPr="003802F4" w:rsidRDefault="008F4B50" w:rsidP="008F4B50">
      <w:pPr>
        <w:pStyle w:val="NoSpacing"/>
        <w:rPr>
          <w:b/>
          <w:bCs/>
        </w:rPr>
      </w:pPr>
      <w:r w:rsidRPr="003802F4">
        <w:rPr>
          <w:b/>
        </w:rPr>
        <w:t xml:space="preserve">KEY FACTS: </w:t>
      </w:r>
    </w:p>
    <w:p w14:paraId="702E0209" w14:textId="77777777" w:rsidR="008F4B50" w:rsidRDefault="008F4B50" w:rsidP="008F4B50">
      <w:pPr>
        <w:pStyle w:val="NoSpacing"/>
      </w:pPr>
    </w:p>
    <w:p w14:paraId="3010FBF2" w14:textId="77777777" w:rsidR="008F4B50" w:rsidRDefault="008F4B50" w:rsidP="008F4B50">
      <w:pPr>
        <w:pStyle w:val="NoSpacing"/>
        <w:ind w:left="720"/>
      </w:pPr>
      <w:r>
        <w:t>“</w:t>
      </w:r>
      <w:r w:rsidRPr="007139A8">
        <w:t>A state court jury convicted Geer of sexual battery, lewd and lascivious battery, and unlawful sexual activity with a minor</w:t>
      </w:r>
      <w:r>
        <w:t xml:space="preserve">…. </w:t>
      </w:r>
      <w:r w:rsidRPr="007139A8">
        <w:t>The state trial court sentenced him to life in prison for the sexual battery conviction, a concurrent fifteen years in prison for the lewd and lascivious battery conviction, and a consecutive fifteen years in prison for the unlawful sexual activity with a minor conviction</w:t>
      </w:r>
      <w:r>
        <w:t xml:space="preserve">…. </w:t>
      </w:r>
      <w:r w:rsidRPr="007139A8">
        <w:t>The state appellate court per curiam affirmed the convictions and sentences</w:t>
      </w:r>
      <w:r>
        <w:t>….</w:t>
      </w:r>
    </w:p>
    <w:p w14:paraId="169E4351" w14:textId="77777777" w:rsidR="008F4B50" w:rsidRDefault="008F4B50" w:rsidP="008F4B50">
      <w:pPr>
        <w:pStyle w:val="NoSpacing"/>
        <w:ind w:left="720"/>
      </w:pPr>
    </w:p>
    <w:p w14:paraId="50892A14" w14:textId="77777777" w:rsidR="008F4B50" w:rsidRDefault="008F4B50" w:rsidP="008F4B50">
      <w:pPr>
        <w:pStyle w:val="NoSpacing"/>
        <w:ind w:left="720"/>
      </w:pPr>
      <w:r>
        <w:t>***</w:t>
      </w:r>
    </w:p>
    <w:p w14:paraId="39202F30" w14:textId="77777777" w:rsidR="008F4B50" w:rsidRDefault="008F4B50" w:rsidP="008F4B50">
      <w:pPr>
        <w:pStyle w:val="NoSpacing"/>
        <w:ind w:left="720"/>
      </w:pPr>
      <w:r w:rsidRPr="002D71DC">
        <w:t xml:space="preserve">At trial, the victim, who was nineteen, testified that Geer began to engage in sexual activity with </w:t>
      </w:r>
      <w:r>
        <w:t>‘</w:t>
      </w:r>
      <w:r w:rsidRPr="002D71DC">
        <w:t>her when she was seven, began to engage in oral sex with her when she was eleven, and began to engage in vaginal sex with her when she was fifteen.</w:t>
      </w:r>
      <w:r>
        <w:t xml:space="preserve">’ </w:t>
      </w:r>
      <w:r w:rsidRPr="008E332A">
        <w:t>A state court jury convicted Geer</w:t>
      </w:r>
      <w:r>
        <w:t xml:space="preserve"> in 2012</w:t>
      </w:r>
      <w:r w:rsidRPr="008E332A">
        <w:t xml:space="preserve"> of sexual battery, lewd and lascivious battery, and unlawful sexual activity with a minor</w:t>
      </w:r>
      <w:r>
        <w:t xml:space="preserve"> (started at age 7)</w:t>
      </w:r>
      <w:r w:rsidRPr="008E332A">
        <w:t xml:space="preserve">. </w:t>
      </w:r>
      <w:r>
        <w:t>T</w:t>
      </w:r>
      <w:r w:rsidRPr="008E332A">
        <w:t>he state trial court sentenced him to life in prison for the sexual battery conviction, a concurrent fifteen years in prison for the lewd and lascivious battery conviction, and a consecutive fifteen years in prison for unlawful sexual activity with a minor conviction.</w:t>
      </w:r>
      <w:r>
        <w:t xml:space="preserve">” </w:t>
      </w:r>
    </w:p>
    <w:p w14:paraId="22BF09D3" w14:textId="77777777" w:rsidR="008F4B50" w:rsidRDefault="008F4B50" w:rsidP="008F4B50">
      <w:pPr>
        <w:pStyle w:val="NoSpacing"/>
      </w:pPr>
    </w:p>
    <w:p w14:paraId="15E89EC6" w14:textId="77777777" w:rsidR="008F4B50" w:rsidRPr="00827C25" w:rsidRDefault="008F4B50" w:rsidP="008F4B50">
      <w:pPr>
        <w:pStyle w:val="NoSpacing"/>
        <w:rPr>
          <w:b/>
        </w:rPr>
      </w:pPr>
      <w:r w:rsidRPr="00827C25">
        <w:rPr>
          <w:b/>
        </w:rPr>
        <w:t xml:space="preserve">Legal lesson learned: </w:t>
      </w:r>
      <w:r>
        <w:rPr>
          <w:b/>
        </w:rPr>
        <w:t xml:space="preserve">Terrible conduct; life in prison appropriate sentence. </w:t>
      </w:r>
    </w:p>
    <w:p w14:paraId="181FD179" w14:textId="77777777" w:rsidR="008F4B50" w:rsidRDefault="008F4B50" w:rsidP="008F4B50">
      <w:pPr>
        <w:pStyle w:val="NoSpacing"/>
        <w:ind w:left="720"/>
      </w:pPr>
    </w:p>
    <w:p w14:paraId="17B3C3A2" w14:textId="77777777" w:rsidR="008F4B50" w:rsidRPr="0040299C" w:rsidRDefault="008F4B50" w:rsidP="008F4B50">
      <w:pPr>
        <w:pStyle w:val="NoSpacing"/>
        <w:ind w:left="720"/>
        <w:rPr>
          <w:rFonts w:ascii="Arial Black" w:hAnsi="Arial Black"/>
          <w:b/>
          <w:sz w:val="28"/>
          <w:szCs w:val="28"/>
        </w:rPr>
      </w:pPr>
      <w:r>
        <w:t xml:space="preserve">Note: </w:t>
      </w:r>
      <w:r w:rsidRPr="00827C25">
        <w:t xml:space="preserve">See </w:t>
      </w:r>
      <w:r w:rsidRPr="0040299C">
        <w:t xml:space="preserve">April 27, </w:t>
      </w:r>
      <w:proofErr w:type="gramStart"/>
      <w:r w:rsidRPr="0040299C">
        <w:t>2012</w:t>
      </w:r>
      <w:proofErr w:type="gramEnd"/>
      <w:r w:rsidRPr="0040299C">
        <w:t xml:space="preserve"> article, “Ex-fire chief convicted in child sex abuse trial. A former Clearwater fire chief is going to prison for life for having sex with a minor</w:t>
      </w:r>
      <w:r>
        <w:t>.”</w:t>
      </w:r>
    </w:p>
    <w:p w14:paraId="6664EBED" w14:textId="77777777" w:rsidR="008F4B50" w:rsidRDefault="008F4B50" w:rsidP="008F4B50">
      <w:pPr>
        <w:pStyle w:val="NoSpacing"/>
        <w:ind w:left="720"/>
        <w:rPr>
          <w:b/>
        </w:rPr>
      </w:pPr>
      <w:hyperlink r:id="rId2519" w:history="1">
        <w:r w:rsidRPr="006219A0">
          <w:rPr>
            <w:rStyle w:val="Hyperlink"/>
            <w:b/>
          </w:rPr>
          <w:t>https://www.wtsp.com/article/news/local/ex-fire-chief-convicted-in-child-sex-abuse-trial/67-376283027</w:t>
        </w:r>
      </w:hyperlink>
      <w:r w:rsidRPr="00AB2879">
        <w:rPr>
          <w:b/>
        </w:rPr>
        <w:t xml:space="preserve"> </w:t>
      </w:r>
    </w:p>
    <w:p w14:paraId="48BBC747" w14:textId="77777777" w:rsidR="008F4B50" w:rsidRDefault="008F4B50" w:rsidP="008F4B50">
      <w:pPr>
        <w:pStyle w:val="NoSpacing"/>
        <w:ind w:left="720"/>
        <w:rPr>
          <w:bCs/>
        </w:rPr>
      </w:pPr>
    </w:p>
    <w:p w14:paraId="66D8C303" w14:textId="77777777" w:rsidR="008F4B50" w:rsidRPr="002376C5" w:rsidRDefault="008F4B50" w:rsidP="008F4B50">
      <w:pPr>
        <w:pStyle w:val="NoSpacing"/>
        <w:ind w:left="720"/>
        <w:rPr>
          <w:bCs/>
        </w:rPr>
      </w:pPr>
      <w:r>
        <w:t xml:space="preserve">See closing arguments [VIDEO]: </w:t>
      </w:r>
      <w:hyperlink r:id="rId2520" w:history="1">
        <w:r w:rsidRPr="00FE3641">
          <w:rPr>
            <w:rStyle w:val="Hyperlink"/>
          </w:rPr>
          <w:t>https://www.youtube.com/watch?v=J9a7dzpchr4</w:t>
        </w:r>
      </w:hyperlink>
      <w:r>
        <w:t xml:space="preserve"> </w:t>
      </w:r>
    </w:p>
    <w:p w14:paraId="24BE2A3A" w14:textId="77777777" w:rsidR="008F4B50" w:rsidRDefault="008F4B50" w:rsidP="008F4B50">
      <w:pPr>
        <w:pStyle w:val="NoSpacing"/>
        <w:ind w:left="720"/>
        <w:rPr>
          <w:bCs/>
        </w:rPr>
      </w:pPr>
    </w:p>
    <w:p w14:paraId="5137F7DA" w14:textId="11F90AC5" w:rsidR="002F7727" w:rsidRDefault="002F7727" w:rsidP="002F7727">
      <w:pPr>
        <w:pStyle w:val="NoSpacing"/>
        <w:rPr>
          <w:rFonts w:ascii="Arial Black" w:hAnsi="Arial Black"/>
          <w:b/>
          <w:sz w:val="24"/>
          <w:szCs w:val="24"/>
        </w:rPr>
      </w:pPr>
      <w:r>
        <w:rPr>
          <w:rFonts w:ascii="Arial Black" w:hAnsi="Arial Black"/>
          <w:b/>
          <w:sz w:val="24"/>
          <w:szCs w:val="24"/>
        </w:rPr>
        <w:t>16-13</w:t>
      </w:r>
      <w:r w:rsidR="00D11FFB">
        <w:rPr>
          <w:rFonts w:ascii="Arial Black" w:hAnsi="Arial Black"/>
          <w:b/>
          <w:sz w:val="24"/>
          <w:szCs w:val="24"/>
        </w:rPr>
        <w:t>5</w:t>
      </w:r>
    </w:p>
    <w:p w14:paraId="056E02E6" w14:textId="77777777" w:rsidR="00524648" w:rsidRDefault="00524648" w:rsidP="00F326E5">
      <w:pPr>
        <w:pStyle w:val="NoSpacing"/>
        <w:rPr>
          <w:rFonts w:ascii="Arial Black" w:hAnsi="Arial Black"/>
          <w:b/>
          <w:sz w:val="24"/>
          <w:szCs w:val="24"/>
        </w:rPr>
      </w:pPr>
    </w:p>
    <w:p w14:paraId="08BE13CD" w14:textId="2EE029D2" w:rsidR="00C222A8" w:rsidRPr="004F4C85" w:rsidRDefault="00C222A8" w:rsidP="00C222A8">
      <w:pPr>
        <w:pStyle w:val="NoSpacing"/>
        <w:rPr>
          <w:rFonts w:ascii="Arial Black" w:hAnsi="Arial Black"/>
          <w:sz w:val="28"/>
          <w:szCs w:val="28"/>
        </w:rPr>
      </w:pPr>
      <w:r>
        <w:rPr>
          <w:rFonts w:ascii="Arial Black" w:hAnsi="Arial Black"/>
          <w:sz w:val="28"/>
          <w:szCs w:val="28"/>
        </w:rPr>
        <w:t>LA: CAPT TRANF</w:t>
      </w:r>
      <w:r w:rsidR="0061722F">
        <w:rPr>
          <w:rFonts w:ascii="Arial Black" w:hAnsi="Arial Black"/>
          <w:sz w:val="28"/>
          <w:szCs w:val="28"/>
        </w:rPr>
        <w:t>ER</w:t>
      </w:r>
      <w:r>
        <w:rPr>
          <w:rFonts w:ascii="Arial Black" w:hAnsi="Arial Black"/>
          <w:sz w:val="28"/>
          <w:szCs w:val="28"/>
        </w:rPr>
        <w:t xml:space="preserve"> - NOT “DISCIPLINE” – FF BILL OF RIGHTS </w:t>
      </w:r>
    </w:p>
    <w:p w14:paraId="7F0A5D96" w14:textId="77777777" w:rsidR="00C222A8" w:rsidRDefault="00C222A8" w:rsidP="00C222A8">
      <w:pPr>
        <w:pStyle w:val="NoSpacing"/>
      </w:pPr>
    </w:p>
    <w:p w14:paraId="4BB53396" w14:textId="77777777" w:rsidR="00C222A8" w:rsidRDefault="00C222A8" w:rsidP="00C222A8">
      <w:pPr>
        <w:pStyle w:val="NoSpacing"/>
      </w:pPr>
      <w:r>
        <w:t xml:space="preserve">On Aug. 28, 2025, in </w:t>
      </w:r>
      <w:r w:rsidRPr="00AA47E1">
        <w:rPr>
          <w:u w:val="single"/>
        </w:rPr>
        <w:t>Marlan Hyde, Sr. v. New Orleans Fire Department</w:t>
      </w:r>
      <w:r>
        <w:t xml:space="preserve">, the </w:t>
      </w:r>
      <w:r w:rsidRPr="00D2578E">
        <w:t>Court of Appeals of Louisiana, Fourth Circuit</w:t>
      </w:r>
      <w:r>
        <w:t xml:space="preserve"> held (3 to 0) that the City Civil Service Commission properly held that the transfer from District Four to District Three, three months after the December 17, 2023 “physical altercation” with another fire captain, Craig Armant, was not a disciplinary action.   The pre-disciplinary hearing was conducted on March 20, 2024, and the FD decided to not issue any discipline, to avoid any violation of “60-day rule” of Louisiana Firefighters Bill of Rights Act. “Any investigation of a fire employee . . . shall be completed within sixty days, including the conducting of any pre-disciplinary hearing or conference.  </w:t>
      </w:r>
    </w:p>
    <w:p w14:paraId="0188D125" w14:textId="77777777" w:rsidR="00C222A8" w:rsidRDefault="00C222A8" w:rsidP="00C222A8">
      <w:pPr>
        <w:pStyle w:val="NoSpacing"/>
      </w:pPr>
    </w:p>
    <w:p w14:paraId="78CC2F23" w14:textId="77777777" w:rsidR="00C222A8" w:rsidRPr="00733C69" w:rsidRDefault="00C222A8" w:rsidP="00C222A8">
      <w:pPr>
        <w:pStyle w:val="NoSpacing"/>
        <w:rPr>
          <w:b/>
          <w:bCs/>
        </w:rPr>
      </w:pPr>
      <w:r w:rsidRPr="00733C69">
        <w:rPr>
          <w:b/>
        </w:rPr>
        <w:t xml:space="preserve">THE COURT HELD: </w:t>
      </w:r>
      <w:r>
        <w:t xml:space="preserve">In its October 3, </w:t>
      </w:r>
      <w:proofErr w:type="gramStart"/>
      <w:r>
        <w:t>2024</w:t>
      </w:r>
      <w:proofErr w:type="gramEnd"/>
      <w:r>
        <w:t xml:space="preserve"> decision, the Commission found that NOFD’s transfer of Hyde without any attendant loss in pay “[was] not discipline” under Civil Service Rule II, § 4.13 ‘so [he] has no right of appeal’  and denied Hyde’s civil service appeal. This appeal follows…. Accordingly, we find no error in the Commission’s determination that Hyde’s transfer was not disciplinary in nature, such that he had no right under Civil Service Rule II, § </w:t>
      </w:r>
      <w:proofErr w:type="gramStart"/>
      <w:r>
        <w:t>4.1</w:t>
      </w:r>
      <w:proofErr w:type="gramEnd"/>
      <w:r>
        <w:t xml:space="preserve"> to appeal the transfer. We find this assignment without merit… Hyde has failed to demonstrate that his transfer will cause him to suffer any negative effect. Accordingly, the Court finds that Hyde’s transfer does not amount to an adverse action under the Firefighters Bill of Rights.” </w:t>
      </w:r>
      <w:hyperlink r:id="rId2521" w:history="1">
        <w:r w:rsidRPr="00494FBC">
          <w:rPr>
            <w:rStyle w:val="Hyperlink"/>
            <w:b/>
          </w:rPr>
          <w:t>https://cases.justia.com/louisiana/fourth-circuit-court-of-appeal/2025-2025-ca-0114.pdf?ts=1756426619</w:t>
        </w:r>
      </w:hyperlink>
    </w:p>
    <w:p w14:paraId="4C39427C" w14:textId="77777777" w:rsidR="00C222A8" w:rsidRDefault="00C222A8" w:rsidP="00C222A8">
      <w:pPr>
        <w:pStyle w:val="NoSpacing"/>
      </w:pPr>
    </w:p>
    <w:p w14:paraId="4BB85C4C" w14:textId="77777777" w:rsidR="00C222A8" w:rsidRPr="00F86675" w:rsidRDefault="00C222A8" w:rsidP="00C222A8">
      <w:pPr>
        <w:pStyle w:val="NoSpacing"/>
        <w:rPr>
          <w:b/>
          <w:bCs/>
        </w:rPr>
      </w:pPr>
      <w:r w:rsidRPr="00F86675">
        <w:rPr>
          <w:b/>
        </w:rPr>
        <w:t xml:space="preserve">KEY FACTS: </w:t>
      </w:r>
    </w:p>
    <w:p w14:paraId="7AB9B3DC" w14:textId="77777777" w:rsidR="00C222A8" w:rsidRDefault="00C222A8" w:rsidP="00C222A8">
      <w:pPr>
        <w:pStyle w:val="NoSpacing"/>
      </w:pPr>
    </w:p>
    <w:p w14:paraId="41360079" w14:textId="77777777" w:rsidR="00C222A8" w:rsidRDefault="00C222A8" w:rsidP="00C222A8">
      <w:pPr>
        <w:pStyle w:val="NoSpacing"/>
        <w:ind w:left="720"/>
      </w:pPr>
      <w:r>
        <w:t>“On December 17, 2023, Hyde engaged in a physical altercation with another fire captain, Craig Armant (‘Captain Armant’), at a fire station in the Fourth District where they both worked. Following the altercation, NOFD initiated an investigation into the incident.</w:t>
      </w:r>
    </w:p>
    <w:p w14:paraId="4FBCFE0B" w14:textId="77777777" w:rsidR="00C222A8" w:rsidRDefault="00C222A8" w:rsidP="00C222A8">
      <w:pPr>
        <w:pStyle w:val="NoSpacing"/>
      </w:pPr>
    </w:p>
    <w:p w14:paraId="206ACEE7" w14:textId="77777777" w:rsidR="00C222A8" w:rsidRDefault="00C222A8" w:rsidP="00C222A8">
      <w:pPr>
        <w:pStyle w:val="NoSpacing"/>
      </w:pPr>
      <w:r>
        <w:tab/>
        <w:t>***</w:t>
      </w:r>
    </w:p>
    <w:p w14:paraId="3C9044C4" w14:textId="77777777" w:rsidR="00C222A8" w:rsidRDefault="00C222A8" w:rsidP="00C222A8">
      <w:pPr>
        <w:pStyle w:val="NoSpacing"/>
      </w:pPr>
    </w:p>
    <w:p w14:paraId="05AAECAC" w14:textId="77777777" w:rsidR="00C222A8" w:rsidRDefault="00C222A8" w:rsidP="00C222A8">
      <w:pPr>
        <w:pStyle w:val="NoSpacing"/>
        <w:ind w:left="720"/>
      </w:pPr>
      <w:r>
        <w:t xml:space="preserve">On January 24, 2024, NOFD charged Hyde with violating its departmental rule RR-25, which provides </w:t>
      </w:r>
      <w:proofErr w:type="gramStart"/>
      <w:r>
        <w:t>that, ‘[</w:t>
      </w:r>
      <w:proofErr w:type="gramEnd"/>
      <w:r>
        <w:t>t]</w:t>
      </w:r>
      <w:proofErr w:type="spellStart"/>
      <w:r>
        <w:t>hreats</w:t>
      </w:r>
      <w:proofErr w:type="spellEnd"/>
      <w:r>
        <w:t xml:space="preserve"> or acts of physical violence against the public or other members is strictly prohibited.’ A pre-disciplinary hearing was conducted on March 20, 2024. At the hearing, Hyde, through his representative, raised NOFD’s failure to complete the investigation into the December 17, </w:t>
      </w:r>
      <w:proofErr w:type="gramStart"/>
      <w:r>
        <w:t>2023</w:t>
      </w:r>
      <w:proofErr w:type="gramEnd"/>
      <w:r>
        <w:t xml:space="preserve"> incident within sixty days, as required by the Firefighters Bill of Rights, La. R.S.33:2181 et seq., and requested that the disciplinary matter be ‘thrown out immediately.’ The request was denied.</w:t>
      </w:r>
    </w:p>
    <w:p w14:paraId="09463151" w14:textId="77777777" w:rsidR="00C222A8" w:rsidRDefault="00C222A8" w:rsidP="00C222A8">
      <w:pPr>
        <w:pStyle w:val="NoSpacing"/>
        <w:ind w:left="720"/>
      </w:pPr>
    </w:p>
    <w:p w14:paraId="64DEB80E" w14:textId="77777777" w:rsidR="00C222A8" w:rsidRDefault="00C222A8" w:rsidP="00C222A8">
      <w:pPr>
        <w:pStyle w:val="NoSpacing"/>
        <w:ind w:left="720"/>
      </w:pPr>
      <w:r>
        <w:t>***</w:t>
      </w:r>
    </w:p>
    <w:p w14:paraId="4F47E3CD" w14:textId="77777777" w:rsidR="00C222A8" w:rsidRDefault="00C222A8" w:rsidP="00C222A8">
      <w:pPr>
        <w:pStyle w:val="NoSpacing"/>
        <w:ind w:left="720"/>
      </w:pPr>
      <w:r>
        <w:t xml:space="preserve">On March 25, 2024, Deputy Chief Larry White verbally informed Hyde that NOFD was transferring him to a fire station in the Third District. Hyde objected to the transfer and requested a meeting with the Superintendent of Fire of NOFD, Roman Nelson, to discuss the transfer. Superintendent Nelson and Deputy Superintendent of Operations Armand Bourdais met with Hyde and his representative the following day at fire headquarters. During this meeting, Superintendent Nelson informed Hyde that no disciplinary action would be taken against him for the December 17, </w:t>
      </w:r>
      <w:proofErr w:type="gramStart"/>
      <w:r>
        <w:t>2023</w:t>
      </w:r>
      <w:proofErr w:type="gramEnd"/>
      <w:r>
        <w:t xml:space="preserve"> incident, but that he was being transferred due to safety concerns.</w:t>
      </w:r>
    </w:p>
    <w:p w14:paraId="13FB0CD6" w14:textId="77777777" w:rsidR="00C222A8" w:rsidRDefault="00C222A8" w:rsidP="00C222A8">
      <w:pPr>
        <w:pStyle w:val="NoSpacing"/>
        <w:ind w:left="720"/>
      </w:pPr>
    </w:p>
    <w:p w14:paraId="21282DA9" w14:textId="77777777" w:rsidR="00C222A8" w:rsidRDefault="00C222A8" w:rsidP="00C222A8">
      <w:pPr>
        <w:pStyle w:val="NoSpacing"/>
        <w:ind w:left="720"/>
      </w:pPr>
      <w:r>
        <w:t>***</w:t>
      </w:r>
    </w:p>
    <w:p w14:paraId="1D6C5D8D" w14:textId="77777777" w:rsidR="00C222A8" w:rsidRDefault="00C222A8" w:rsidP="00C222A8">
      <w:pPr>
        <w:pStyle w:val="NoSpacing"/>
      </w:pPr>
    </w:p>
    <w:p w14:paraId="614DA3B1" w14:textId="77777777" w:rsidR="00C222A8" w:rsidRDefault="00C222A8" w:rsidP="00C222A8">
      <w:pPr>
        <w:pStyle w:val="NoSpacing"/>
        <w:ind w:left="720"/>
      </w:pPr>
      <w:r>
        <w:t>Hyde was transferred to the Third District effective March 28, 2024. NOFD issued a letter to Hyde on April 18, 2024, informing him that no action would be taken against him due to the expiration of the 60-day period set forth in the Firefighters Bill of Rights.”</w:t>
      </w:r>
    </w:p>
    <w:p w14:paraId="7A8DA35A" w14:textId="77777777" w:rsidR="00C222A8" w:rsidRDefault="00C222A8" w:rsidP="00C222A8">
      <w:pPr>
        <w:pStyle w:val="NoSpacing"/>
        <w:ind w:left="720"/>
      </w:pPr>
    </w:p>
    <w:p w14:paraId="26C09CAC" w14:textId="77777777" w:rsidR="00C222A8" w:rsidRDefault="00C222A8" w:rsidP="00C222A8">
      <w:pPr>
        <w:pStyle w:val="NoSpacing"/>
        <w:ind w:left="720"/>
      </w:pPr>
    </w:p>
    <w:p w14:paraId="46473864" w14:textId="622D5839" w:rsidR="00C222A8" w:rsidRDefault="00C222A8" w:rsidP="00C222A8">
      <w:pPr>
        <w:pStyle w:val="NoSpacing"/>
        <w:rPr>
          <w:b/>
          <w:bCs/>
        </w:rPr>
      </w:pPr>
      <w:r>
        <w:rPr>
          <w:b/>
        </w:rPr>
        <w:t xml:space="preserve">Legal lesson learned: Transfer to another station is not </w:t>
      </w:r>
      <w:proofErr w:type="gramStart"/>
      <w:r>
        <w:rPr>
          <w:b/>
        </w:rPr>
        <w:t>discipline</w:t>
      </w:r>
      <w:proofErr w:type="gramEnd"/>
      <w:r>
        <w:rPr>
          <w:b/>
        </w:rPr>
        <w:t xml:space="preserve"> in violation of the state’s </w:t>
      </w:r>
      <w:r w:rsidRPr="00A94B6A">
        <w:rPr>
          <w:b/>
        </w:rPr>
        <w:t>Firefighters Bill of Rights</w:t>
      </w:r>
      <w:r w:rsidR="00E73B34">
        <w:rPr>
          <w:b/>
        </w:rPr>
        <w:t xml:space="preserve">. </w:t>
      </w:r>
    </w:p>
    <w:p w14:paraId="354B403A" w14:textId="77777777" w:rsidR="00C222A8" w:rsidRDefault="00C222A8" w:rsidP="00C222A8">
      <w:pPr>
        <w:pStyle w:val="NoSpacing"/>
        <w:rPr>
          <w:b/>
          <w:bCs/>
        </w:rPr>
      </w:pPr>
    </w:p>
    <w:p w14:paraId="23672FA5" w14:textId="77777777" w:rsidR="00D11FFB" w:rsidRDefault="00D11FFB" w:rsidP="002F7727">
      <w:pPr>
        <w:pStyle w:val="NoSpacing"/>
        <w:rPr>
          <w:rFonts w:ascii="Arial Black" w:hAnsi="Arial Black"/>
          <w:b/>
          <w:sz w:val="24"/>
          <w:szCs w:val="24"/>
        </w:rPr>
      </w:pPr>
    </w:p>
    <w:p w14:paraId="4449F8A5" w14:textId="158B7DD6" w:rsidR="002F7727" w:rsidRDefault="00075CD4" w:rsidP="002F7727">
      <w:pPr>
        <w:pStyle w:val="NoSpacing"/>
        <w:rPr>
          <w:rFonts w:ascii="Arial Black" w:hAnsi="Arial Black"/>
          <w:b/>
          <w:sz w:val="24"/>
          <w:szCs w:val="24"/>
        </w:rPr>
      </w:pPr>
      <w:r>
        <w:rPr>
          <w:rFonts w:ascii="Arial Black" w:hAnsi="Arial Black"/>
          <w:b/>
          <w:sz w:val="24"/>
          <w:szCs w:val="24"/>
        </w:rPr>
        <w:t>16-134</w:t>
      </w:r>
    </w:p>
    <w:p w14:paraId="0D8C1A27" w14:textId="77777777" w:rsidR="00140433" w:rsidRDefault="00140433" w:rsidP="002F7727">
      <w:pPr>
        <w:pStyle w:val="NoSpacing"/>
        <w:rPr>
          <w:rFonts w:ascii="Arial Black" w:hAnsi="Arial Black"/>
          <w:b/>
          <w:sz w:val="24"/>
          <w:szCs w:val="24"/>
        </w:rPr>
      </w:pPr>
    </w:p>
    <w:p w14:paraId="3656767C" w14:textId="77777777" w:rsidR="00140433" w:rsidRPr="00A63A50" w:rsidRDefault="00140433" w:rsidP="00140433">
      <w:pPr>
        <w:rPr>
          <w:rFonts w:ascii="Arial Black" w:hAnsi="Arial Black"/>
          <w:sz w:val="28"/>
          <w:szCs w:val="28"/>
        </w:rPr>
      </w:pPr>
      <w:r>
        <w:rPr>
          <w:rFonts w:ascii="Arial Black" w:hAnsi="Arial Black"/>
          <w:sz w:val="28"/>
          <w:szCs w:val="28"/>
        </w:rPr>
        <w:t>AR: FACEBOOK - FIRED – “BALANCING” - CASE TO TRIAL</w:t>
      </w:r>
    </w:p>
    <w:p w14:paraId="4DC2725C" w14:textId="77777777" w:rsidR="00075CD4" w:rsidRDefault="00075CD4" w:rsidP="00075CD4">
      <w:pPr>
        <w:pStyle w:val="NoSpacing"/>
      </w:pPr>
      <w:r>
        <w:t xml:space="preserve">On Aug. 13, 2025, in </w:t>
      </w:r>
      <w:r w:rsidRPr="00642A93">
        <w:rPr>
          <w:u w:val="single"/>
        </w:rPr>
        <w:t>Steven Melton v. City of Forrest City</w:t>
      </w:r>
      <w:r w:rsidRPr="00423BB5">
        <w:t xml:space="preserve">, </w:t>
      </w:r>
      <w:r>
        <w:t>the United States Court of Appeals for the 8</w:t>
      </w:r>
      <w:r w:rsidRPr="00751559">
        <w:rPr>
          <w:vertAlign w:val="superscript"/>
        </w:rPr>
        <w:t>th</w:t>
      </w:r>
      <w:r>
        <w:t xml:space="preserve"> Circuit (St. Louis) held (3 to 0) that the trial court improperly granted summary judgement to the city’ the pro-life firefighter is entitled to a jury trial.  Under the U.S. Supreme Court’s </w:t>
      </w:r>
      <w:r w:rsidRPr="004E09A7">
        <w:rPr>
          <w:i/>
          <w:iCs/>
        </w:rPr>
        <w:t>Pickering</w:t>
      </w:r>
      <w:r>
        <w:t xml:space="preserve"> “balancing” decision, the Facebook posting caused little disruption to the fire department during the two weeks it was posted, but the </w:t>
      </w:r>
      <w:proofErr w:type="gramStart"/>
      <w:r>
        <w:t>Mayor</w:t>
      </w:r>
      <w:proofErr w:type="gramEnd"/>
      <w:r>
        <w:t xml:space="preserve"> feared great community outrage. THE COURT WROTE: “Does a Forrest City fireman who lost his job because he posted a provocative image on his personal Facebook page have a First Amendment retaliation claim that can get to a jury? We conclude that he does…. Steven Melton is a pro-life, evangelical Christian. In June 2020, he reposted a black-and-white image on Facebook [see posting in this decision] that depicted a silhouette of a baby in the womb with a rope around its neck. His intent was to convey that he was ‘anti-abortion.’  … The problem is that there was no showing that Melton’s post had an impact  on the fire department itself. No current firefighter complained or confronted him about it. Nor did any co-worker or supervisor refuse to work with him.” </w:t>
      </w:r>
      <w:hyperlink r:id="rId2522" w:history="1">
        <w:r w:rsidRPr="009C046C">
          <w:rPr>
            <w:rStyle w:val="Hyperlink"/>
          </w:rPr>
          <w:t>https://cases.justia.com/federal/appellate-courts/ca8/23-3398/23-3398-2025-08-13.pdf?ts=1755099027</w:t>
        </w:r>
      </w:hyperlink>
      <w:r>
        <w:t xml:space="preserve"> </w:t>
      </w:r>
    </w:p>
    <w:p w14:paraId="37AA167A" w14:textId="77777777" w:rsidR="00075CD4" w:rsidRDefault="00075CD4" w:rsidP="00075CD4">
      <w:pPr>
        <w:pStyle w:val="NoSpacing"/>
      </w:pPr>
    </w:p>
    <w:p w14:paraId="132D251C" w14:textId="77777777" w:rsidR="00075CD4" w:rsidRDefault="00075CD4" w:rsidP="00075CD4">
      <w:r>
        <w:t>THE COURT HELD:</w:t>
      </w:r>
    </w:p>
    <w:p w14:paraId="45F54E08" w14:textId="77777777" w:rsidR="00075CD4" w:rsidRDefault="00075CD4" w:rsidP="00075CD4">
      <w:pPr>
        <w:pStyle w:val="NoSpacing"/>
        <w:ind w:left="720"/>
      </w:pPr>
      <w:r>
        <w:t xml:space="preserve">“Two weeks after he posted it, a retired fire-department supervisor complained to Melton that he thought it looked like a noose around the neck of a black child. It upset him because the caption of the image, ‘I can’t </w:t>
      </w:r>
      <w:proofErr w:type="gramStart"/>
      <w:r>
        <w:t>breathe!,</w:t>
      </w:r>
      <w:proofErr w:type="gramEnd"/>
      <w:r>
        <w:t>’ was associated with the protests surrounding George Floyd’s death. Melton agreed to delete it immediately.</w:t>
      </w:r>
    </w:p>
    <w:p w14:paraId="6EBF5ED9" w14:textId="77777777" w:rsidR="00075CD4" w:rsidRDefault="00075CD4" w:rsidP="00075CD4">
      <w:pPr>
        <w:pStyle w:val="NoSpacing"/>
      </w:pPr>
    </w:p>
    <w:p w14:paraId="3EA691C9" w14:textId="77777777" w:rsidR="00075CD4" w:rsidRDefault="00075CD4" w:rsidP="00075CD4">
      <w:pPr>
        <w:pStyle w:val="NoSpacing"/>
        <w:ind w:left="720"/>
      </w:pPr>
      <w:r>
        <w:t>Deleting it was not enough for Mayor Cedric Williams, who called him into his office the next day. Although Melton was ‘apologetic,’ the mayor placed him on administrative leave pending an investigation. After a single day reviewing Melton’s Facebook page and discussing the post with the current fire chief, two retired firefighters, several attorneys, and a human-resources officer, the mayor decided to fire Melton over the image’s ‘egregious nature.’</w:t>
      </w:r>
    </w:p>
    <w:p w14:paraId="173395AD" w14:textId="77777777" w:rsidR="00075CD4" w:rsidRDefault="00075CD4" w:rsidP="00075CD4">
      <w:pPr>
        <w:pStyle w:val="NoSpacing"/>
        <w:ind w:left="720"/>
      </w:pPr>
    </w:p>
    <w:p w14:paraId="3101D688" w14:textId="77777777" w:rsidR="00075CD4" w:rsidRDefault="00075CD4" w:rsidP="00075CD4">
      <w:pPr>
        <w:pStyle w:val="NoSpacing"/>
        <w:ind w:left="720"/>
      </w:pPr>
      <w:r>
        <w:t>He was concerned about the ‘huge firestorm’ it had created. Among other things, the fire chief’s phone had been ‘blowing up,’ ‘several’ police officers had become ‘very upset,’ and the ‘phone lines’ were jammed with calls from angry city-council members and citizens. Some said that Melton ‘should not be a part of the . . . fire department responding to calls.’  A few even said that they did not want ‘him coming to their house . . . for a medical call or fire emergency.”’ According to the mayor, these complaints ‘threaten[ed] the City’s ability to administer public services.’</w:t>
      </w:r>
    </w:p>
    <w:p w14:paraId="2E8FDA3A" w14:textId="77777777" w:rsidR="00075CD4" w:rsidRDefault="00075CD4" w:rsidP="00075CD4">
      <w:pPr>
        <w:pStyle w:val="NoSpacing"/>
        <w:ind w:left="720"/>
      </w:pPr>
    </w:p>
    <w:p w14:paraId="5FB3AD19" w14:textId="77777777" w:rsidR="00075CD4" w:rsidRDefault="00075CD4" w:rsidP="00075CD4">
      <w:pPr>
        <w:pStyle w:val="NoSpacing"/>
        <w:ind w:left="720"/>
      </w:pPr>
      <w:r>
        <w:t>Melton found out about the decision to fire him from the local news. In response to a ‘media request,’ Mayor Williams had issued a press release stating that ‘[q]</w:t>
      </w:r>
      <w:proofErr w:type="spellStart"/>
      <w:r>
        <w:t>uestionable</w:t>
      </w:r>
      <w:proofErr w:type="spellEnd"/>
      <w:r>
        <w:t xml:space="preserve"> social[-]media posts’ had led to his termination. It marked the end of his ‘four and a half years’ of ‘unblemished’ service.”</w:t>
      </w:r>
    </w:p>
    <w:p w14:paraId="0B04839C" w14:textId="77777777" w:rsidR="00075CD4" w:rsidRDefault="00075CD4" w:rsidP="00075CD4">
      <w:pPr>
        <w:pStyle w:val="NoSpacing"/>
        <w:ind w:left="720"/>
      </w:pPr>
    </w:p>
    <w:p w14:paraId="47399DE3" w14:textId="77777777" w:rsidR="00075CD4" w:rsidRDefault="00075CD4" w:rsidP="00075CD4">
      <w:pPr>
        <w:pStyle w:val="NoSpacing"/>
        <w:rPr>
          <w:b/>
          <w:bCs/>
        </w:rPr>
      </w:pPr>
      <w:r w:rsidRPr="0057733E">
        <w:rPr>
          <w:b/>
        </w:rPr>
        <w:t xml:space="preserve">Legal lesson learned: </w:t>
      </w:r>
      <w:r>
        <w:rPr>
          <w:b/>
        </w:rPr>
        <w:t>Emergency responders must be extremely careful in their social media posts; we are living in a hyper-sensitive age.</w:t>
      </w:r>
    </w:p>
    <w:p w14:paraId="086AD95F" w14:textId="77777777" w:rsidR="00075CD4" w:rsidRDefault="00075CD4" w:rsidP="00075CD4">
      <w:pPr>
        <w:pStyle w:val="NoSpacing"/>
        <w:rPr>
          <w:b/>
          <w:bCs/>
        </w:rPr>
      </w:pPr>
    </w:p>
    <w:p w14:paraId="0621C511" w14:textId="77777777" w:rsidR="00075CD4" w:rsidRPr="0059407F" w:rsidRDefault="00075CD4" w:rsidP="00075CD4">
      <w:pPr>
        <w:pStyle w:val="NoSpacing"/>
        <w:ind w:left="720"/>
        <w:rPr>
          <w:bCs/>
        </w:rPr>
      </w:pPr>
      <w:r>
        <w:t xml:space="preserve">Note: See Nov. 12, </w:t>
      </w:r>
      <w:proofErr w:type="gramStart"/>
      <w:r>
        <w:t>2025</w:t>
      </w:r>
      <w:proofErr w:type="gramEnd"/>
      <w:r>
        <w:t xml:space="preserve"> article: </w:t>
      </w:r>
      <w:r w:rsidRPr="0059407F">
        <w:t>Toledo fire lieutenant fired after investigation into social media post about Charlie Kirk</w:t>
      </w:r>
      <w:r>
        <w:t xml:space="preserve">. </w:t>
      </w:r>
      <w:hyperlink r:id="rId2523" w:history="1">
        <w:r w:rsidRPr="009C046C">
          <w:rPr>
            <w:rStyle w:val="Hyperlink"/>
          </w:rPr>
          <w:t>https://www.wtol.com/article/news/local/toledo-fire-lieutenant-fired-investigation-social-media-post-about-charlie-kirk/512-599961fb-9233-4ebc-8628-cfa2b96c7722</w:t>
        </w:r>
      </w:hyperlink>
      <w:r>
        <w:t xml:space="preserve"> </w:t>
      </w:r>
    </w:p>
    <w:p w14:paraId="5891CF74" w14:textId="77777777" w:rsidR="00075CD4" w:rsidRPr="0059407F" w:rsidRDefault="00075CD4" w:rsidP="00075CD4">
      <w:pPr>
        <w:pStyle w:val="NoSpacing"/>
        <w:rPr>
          <w:bCs/>
        </w:rPr>
      </w:pPr>
      <w:r w:rsidRPr="0059407F">
        <w:t xml:space="preserve"> </w:t>
      </w:r>
    </w:p>
    <w:p w14:paraId="099BF3AC" w14:textId="77777777" w:rsidR="00075CD4" w:rsidRDefault="00075CD4" w:rsidP="002F7727">
      <w:pPr>
        <w:pStyle w:val="NoSpacing"/>
        <w:rPr>
          <w:rFonts w:ascii="Arial Black" w:hAnsi="Arial Black"/>
          <w:b/>
          <w:sz w:val="24"/>
          <w:szCs w:val="24"/>
        </w:rPr>
      </w:pPr>
    </w:p>
    <w:p w14:paraId="2B58F3C1" w14:textId="77777777" w:rsidR="00075CD4" w:rsidRDefault="00075CD4" w:rsidP="002F7727">
      <w:pPr>
        <w:pStyle w:val="NoSpacing"/>
        <w:rPr>
          <w:rFonts w:ascii="Arial Black" w:hAnsi="Arial Black"/>
          <w:b/>
          <w:sz w:val="24"/>
          <w:szCs w:val="24"/>
        </w:rPr>
      </w:pPr>
    </w:p>
    <w:p w14:paraId="29F44B31" w14:textId="77777777" w:rsidR="00075CD4" w:rsidRDefault="00075CD4" w:rsidP="002F7727">
      <w:pPr>
        <w:pStyle w:val="NoSpacing"/>
        <w:rPr>
          <w:rFonts w:ascii="Arial Black" w:hAnsi="Arial Black"/>
          <w:b/>
          <w:sz w:val="24"/>
          <w:szCs w:val="24"/>
        </w:rPr>
      </w:pPr>
    </w:p>
    <w:p w14:paraId="2DB36602" w14:textId="77777777" w:rsidR="00075CD4" w:rsidRDefault="00075CD4" w:rsidP="002F7727">
      <w:pPr>
        <w:pStyle w:val="NoSpacing"/>
        <w:rPr>
          <w:rFonts w:ascii="Arial Black" w:hAnsi="Arial Black"/>
          <w:b/>
          <w:sz w:val="24"/>
          <w:szCs w:val="24"/>
        </w:rPr>
      </w:pPr>
    </w:p>
    <w:p w14:paraId="4C115D60" w14:textId="77777777" w:rsidR="002F7727" w:rsidRDefault="002F7727" w:rsidP="002F7727">
      <w:pPr>
        <w:pStyle w:val="NoSpacing"/>
        <w:rPr>
          <w:rFonts w:ascii="Arial Black" w:hAnsi="Arial Black"/>
          <w:b/>
          <w:sz w:val="24"/>
          <w:szCs w:val="24"/>
        </w:rPr>
      </w:pPr>
    </w:p>
    <w:p w14:paraId="0932CFD9" w14:textId="64D4A02A" w:rsidR="002F7727" w:rsidRDefault="002F7727" w:rsidP="002F7727">
      <w:pPr>
        <w:pStyle w:val="NoSpacing"/>
        <w:rPr>
          <w:rFonts w:ascii="Arial Black" w:hAnsi="Arial Black"/>
          <w:b/>
          <w:sz w:val="24"/>
          <w:szCs w:val="24"/>
        </w:rPr>
      </w:pPr>
      <w:r>
        <w:rPr>
          <w:rFonts w:ascii="Arial Black" w:hAnsi="Arial Black"/>
          <w:b/>
          <w:sz w:val="24"/>
          <w:szCs w:val="24"/>
        </w:rPr>
        <w:t>16-133</w:t>
      </w:r>
    </w:p>
    <w:p w14:paraId="22EBBA21" w14:textId="77777777" w:rsidR="00C222A8" w:rsidRDefault="00C222A8" w:rsidP="00C222A8">
      <w:pPr>
        <w:pStyle w:val="NoSpacing"/>
      </w:pPr>
    </w:p>
    <w:p w14:paraId="0B7DB272" w14:textId="75F28435" w:rsidR="008C05B9" w:rsidRPr="00966909" w:rsidRDefault="008C05B9" w:rsidP="008C05B9">
      <w:pPr>
        <w:pStyle w:val="NoSpacing"/>
        <w:rPr>
          <w:rFonts w:ascii="Arial Black" w:hAnsi="Arial Black"/>
          <w:sz w:val="28"/>
          <w:szCs w:val="28"/>
        </w:rPr>
      </w:pPr>
      <w:r>
        <w:rPr>
          <w:rFonts w:ascii="Arial Black" w:hAnsi="Arial Black"/>
          <w:sz w:val="28"/>
          <w:szCs w:val="28"/>
        </w:rPr>
        <w:t>VA: FACEBOOK POSTS</w:t>
      </w:r>
      <w:r w:rsidR="006D160C">
        <w:rPr>
          <w:rFonts w:ascii="Arial Black" w:hAnsi="Arial Black"/>
          <w:sz w:val="28"/>
          <w:szCs w:val="28"/>
        </w:rPr>
        <w:t xml:space="preserve"> – ABOUT </w:t>
      </w:r>
      <w:r>
        <w:rPr>
          <w:rFonts w:ascii="Arial Black" w:hAnsi="Arial Black"/>
          <w:sz w:val="28"/>
          <w:szCs w:val="28"/>
        </w:rPr>
        <w:t>TRANSGENDERS – CAPT FIRED</w:t>
      </w:r>
    </w:p>
    <w:p w14:paraId="70336A9C" w14:textId="77777777" w:rsidR="008C05B9" w:rsidRDefault="008C05B9" w:rsidP="008C05B9">
      <w:pPr>
        <w:pStyle w:val="NoSpacing"/>
      </w:pPr>
    </w:p>
    <w:p w14:paraId="7F8DC4C9" w14:textId="543310C7" w:rsidR="008C05B9" w:rsidRDefault="008C05B9" w:rsidP="008C05B9">
      <w:pPr>
        <w:pStyle w:val="NoSpacing"/>
      </w:pPr>
      <w:r>
        <w:t xml:space="preserve">On June 2, 2025, in </w:t>
      </w:r>
      <w:r w:rsidRPr="000A24BF">
        <w:rPr>
          <w:u w:val="single"/>
        </w:rPr>
        <w:t xml:space="preserve">Martin </w:t>
      </w:r>
      <w:proofErr w:type="spellStart"/>
      <w:r w:rsidRPr="000A24BF">
        <w:rPr>
          <w:u w:val="single"/>
        </w:rPr>
        <w:t>Misjuns</w:t>
      </w:r>
      <w:proofErr w:type="spellEnd"/>
      <w:r w:rsidRPr="000A24BF">
        <w:rPr>
          <w:u w:val="single"/>
        </w:rPr>
        <w:t xml:space="preserve"> v. City of Lynchburg</w:t>
      </w:r>
      <w:r>
        <w:t xml:space="preserve">, the United States Court of Appeals for the Fourth Circuit (Richmond, VA) held (3 to 0) that the City properly fired the </w:t>
      </w:r>
      <w:proofErr w:type="gramStart"/>
      <w:r>
        <w:t>Captain</w:t>
      </w:r>
      <w:proofErr w:type="gramEnd"/>
      <w:r>
        <w:t xml:space="preserve"> for the offensive Facebook posts.  The trial court </w:t>
      </w:r>
      <w:proofErr w:type="gramStart"/>
      <w:r>
        <w:t>had granted</w:t>
      </w:r>
      <w:proofErr w:type="gramEnd"/>
      <w:r>
        <w:t xml:space="preserve"> City’s motion to dismiss.  </w:t>
      </w:r>
      <w:r w:rsidR="00AA584B">
        <w:t xml:space="preserve"> </w:t>
      </w:r>
      <w:hyperlink r:id="rId2524" w:history="1">
        <w:r w:rsidR="00AA584B" w:rsidRPr="00586BA9">
          <w:rPr>
            <w:rStyle w:val="Hyperlink"/>
          </w:rPr>
          <w:t>https://cases.justia.com/federal/appellate-courts/ca4/24-1782/24-1782-2025-06-05.pdf?ts=1749150038</w:t>
        </w:r>
      </w:hyperlink>
    </w:p>
    <w:p w14:paraId="7CC36101" w14:textId="77777777" w:rsidR="008C05B9" w:rsidRDefault="008C05B9" w:rsidP="008C05B9">
      <w:pPr>
        <w:pStyle w:val="NoSpacing"/>
      </w:pPr>
    </w:p>
    <w:p w14:paraId="6E6D6BA8" w14:textId="77777777" w:rsidR="008C05B9" w:rsidRDefault="008C05B9" w:rsidP="008C05B9">
      <w:pPr>
        <w:pStyle w:val="NoSpacing"/>
      </w:pPr>
      <w:r w:rsidRPr="00045997">
        <w:rPr>
          <w:b/>
        </w:rPr>
        <w:t xml:space="preserve">THE COURT HELD: </w:t>
      </w:r>
      <w:r>
        <w:rPr>
          <w:b/>
        </w:rPr>
        <w:t xml:space="preserve"> “</w:t>
      </w:r>
      <w:r>
        <w:t xml:space="preserve">On January 26, 2021, </w:t>
      </w:r>
      <w:proofErr w:type="spellStart"/>
      <w:r>
        <w:t>Misjuns</w:t>
      </w:r>
      <w:proofErr w:type="spellEnd"/>
      <w:r>
        <w:t xml:space="preserve"> posted four cartoons on his public figure Facebook page with the caption “#</w:t>
      </w:r>
      <w:proofErr w:type="spellStart"/>
      <w:r>
        <w:t>BidenErasedWomen</w:t>
      </w:r>
      <w:proofErr w:type="spellEnd"/>
      <w:r>
        <w:t xml:space="preserve"> – Coming to your daughters [sic] high school locker room in the near future.” … The cartoons depicted offensive stereotypes</w:t>
      </w:r>
    </w:p>
    <w:p w14:paraId="76C7F574" w14:textId="77777777" w:rsidR="008C05B9" w:rsidRDefault="008C05B9" w:rsidP="008C05B9">
      <w:pPr>
        <w:pStyle w:val="NoSpacing"/>
      </w:pPr>
      <w:r>
        <w:t xml:space="preserve">of transgender women in bathrooms and participating in sports…. </w:t>
      </w:r>
      <w:proofErr w:type="spellStart"/>
      <w:r>
        <w:t>Misjuns</w:t>
      </w:r>
      <w:proofErr w:type="spellEnd"/>
      <w:r>
        <w:t xml:space="preserve"> became aware of the citizen complaints. On February 1, 2021, he posted a meme to his public figure Facebook page with the caption, ‘Let’s set something straight for the attacks I’ve been taking from a local activist group . . ..’  The meme stated:  ‘In the beginning, God created Adam &amp; Eve. Adam could never be a Madam. Eve could never become Steve. Anyone who tells you otherwise defies the one true God. Threatening anyone for believing &amp; saying this is most likely a hate crime.”’ </w:t>
      </w:r>
    </w:p>
    <w:p w14:paraId="702052DB" w14:textId="77777777" w:rsidR="008C05B9" w:rsidRDefault="008C05B9" w:rsidP="008C05B9">
      <w:pPr>
        <w:pStyle w:val="NoSpacing"/>
      </w:pPr>
    </w:p>
    <w:p w14:paraId="2317952B" w14:textId="77777777" w:rsidR="008C05B9" w:rsidRDefault="008C05B9" w:rsidP="008C05B9">
      <w:pPr>
        <w:pStyle w:val="NoSpacing"/>
      </w:pPr>
      <w:r>
        <w:t>***</w:t>
      </w:r>
    </w:p>
    <w:p w14:paraId="5AC264F7" w14:textId="77777777" w:rsidR="008C05B9" w:rsidRDefault="008C05B9" w:rsidP="008C05B9">
      <w:pPr>
        <w:pStyle w:val="NoSpacing"/>
      </w:pPr>
    </w:p>
    <w:p w14:paraId="6EA84978" w14:textId="77777777" w:rsidR="008C05B9" w:rsidRDefault="008C05B9" w:rsidP="008C05B9">
      <w:pPr>
        <w:pStyle w:val="NoSpacing"/>
      </w:pPr>
      <w:r>
        <w:t>The plaintiff has every right to express his views, hateful though they be. But he has</w:t>
      </w:r>
    </w:p>
    <w:p w14:paraId="49177675" w14:textId="77777777" w:rsidR="008C05B9" w:rsidRDefault="008C05B9" w:rsidP="008C05B9">
      <w:pPr>
        <w:pStyle w:val="NoSpacing"/>
      </w:pPr>
      <w:r>
        <w:t>no right to impair the Fire Department’s work and efficiency. His transparently bigoted</w:t>
      </w:r>
    </w:p>
    <w:p w14:paraId="242835B5" w14:textId="77777777" w:rsidR="008C05B9" w:rsidRDefault="008C05B9" w:rsidP="008C05B9">
      <w:pPr>
        <w:pStyle w:val="NoSpacing"/>
      </w:pPr>
      <w:r>
        <w:t>remarks gave rise to a reasonable apprehension on the part of Lynchburg’s citizens that the</w:t>
      </w:r>
    </w:p>
    <w:p w14:paraId="35A11401" w14:textId="77777777" w:rsidR="008C05B9" w:rsidRDefault="008C05B9" w:rsidP="008C05B9">
      <w:pPr>
        <w:pStyle w:val="NoSpacing"/>
      </w:pPr>
      <w:r>
        <w:t xml:space="preserve">Fire Department’s </w:t>
      </w:r>
      <w:proofErr w:type="gramStart"/>
      <w:r>
        <w:t>emergency-response</w:t>
      </w:r>
      <w:proofErr w:type="gramEnd"/>
      <w:r>
        <w:t xml:space="preserve"> tasks would not be carried out in an even-handed</w:t>
      </w:r>
    </w:p>
    <w:p w14:paraId="7F894D7D" w14:textId="77777777" w:rsidR="008C05B9" w:rsidRDefault="008C05B9" w:rsidP="008C05B9">
      <w:pPr>
        <w:pStyle w:val="NoSpacing"/>
      </w:pPr>
      <w:r>
        <w:t>and unbiased way.</w:t>
      </w:r>
    </w:p>
    <w:p w14:paraId="516EC086" w14:textId="77777777" w:rsidR="008C05B9" w:rsidRDefault="008C05B9" w:rsidP="008C05B9">
      <w:pPr>
        <w:pStyle w:val="NoSpacing"/>
      </w:pPr>
    </w:p>
    <w:p w14:paraId="20DCC84C" w14:textId="77777777" w:rsidR="008C05B9" w:rsidRDefault="008C05B9" w:rsidP="008C05B9">
      <w:pPr>
        <w:pStyle w:val="NoSpacing"/>
      </w:pPr>
      <w:r>
        <w:t>The city, in turn, was fully justified in responding to the possible corruption of its</w:t>
      </w:r>
    </w:p>
    <w:p w14:paraId="50FCC980" w14:textId="77777777" w:rsidR="008C05B9" w:rsidRDefault="008C05B9" w:rsidP="008C05B9">
      <w:pPr>
        <w:pStyle w:val="NoSpacing"/>
      </w:pPr>
      <w:r>
        <w:t xml:space="preserve">basic services and to the negative effects on recruitment that the well-known views </w:t>
      </w:r>
      <w:proofErr w:type="gramStart"/>
      <w:r>
        <w:t>of a</w:t>
      </w:r>
      <w:proofErr w:type="gramEnd"/>
    </w:p>
    <w:p w14:paraId="0CCB0EB1" w14:textId="77777777" w:rsidR="008C05B9" w:rsidRDefault="008C05B9" w:rsidP="008C05B9">
      <w:pPr>
        <w:pStyle w:val="NoSpacing"/>
      </w:pPr>
      <w:r>
        <w:t>well-known Captain in the Fire Department would likely have. There was nothing</w:t>
      </w:r>
    </w:p>
    <w:p w14:paraId="64FF51F3" w14:textId="77777777" w:rsidR="008C05B9" w:rsidRDefault="008C05B9" w:rsidP="008C05B9">
      <w:pPr>
        <w:pStyle w:val="NoSpacing"/>
      </w:pPr>
      <w:r>
        <w:t>pretextual in the City’s invocation of the principles of good governance here, and the Supreme Court in Pickering v. Board of Education, 391 U.S. 563 (1968) and its numerous</w:t>
      </w:r>
    </w:p>
    <w:p w14:paraId="31F7B337" w14:textId="77777777" w:rsidR="008C05B9" w:rsidRDefault="008C05B9" w:rsidP="008C05B9">
      <w:pPr>
        <w:pStyle w:val="NoSpacing"/>
      </w:pPr>
      <w:r>
        <w:t>progeny has granted municipalities, in a case such as this, the right to act precisely as the</w:t>
      </w:r>
    </w:p>
    <w:p w14:paraId="06A319F4" w14:textId="77777777" w:rsidR="008C05B9" w:rsidRDefault="008C05B9" w:rsidP="008C05B9">
      <w:pPr>
        <w:pStyle w:val="NoSpacing"/>
      </w:pPr>
      <w:r>
        <w:t xml:space="preserve">City did.” </w:t>
      </w:r>
      <w:hyperlink r:id="rId2525" w:history="1">
        <w:r w:rsidRPr="00586BA9">
          <w:rPr>
            <w:rStyle w:val="Hyperlink"/>
          </w:rPr>
          <w:t>https://cases.justia.com/federal/appellate-courts/ca4/24-1782/24-1782-2025-06-05.pdf?ts=1749150038</w:t>
        </w:r>
      </w:hyperlink>
      <w:r>
        <w:t xml:space="preserve"> </w:t>
      </w:r>
    </w:p>
    <w:p w14:paraId="3A27585E" w14:textId="77777777" w:rsidR="008C05B9" w:rsidRPr="00045997" w:rsidRDefault="008C05B9" w:rsidP="008C05B9">
      <w:pPr>
        <w:pStyle w:val="NoSpacing"/>
        <w:rPr>
          <w:b/>
          <w:bCs/>
        </w:rPr>
      </w:pPr>
    </w:p>
    <w:p w14:paraId="1275E6DE" w14:textId="77777777" w:rsidR="008C05B9" w:rsidRDefault="008C05B9" w:rsidP="008C05B9">
      <w:pPr>
        <w:pStyle w:val="NoSpacing"/>
        <w:rPr>
          <w:b/>
          <w:bCs/>
        </w:rPr>
      </w:pPr>
      <w:r>
        <w:rPr>
          <w:b/>
        </w:rPr>
        <w:t xml:space="preserve">KEY FACTS: </w:t>
      </w:r>
    </w:p>
    <w:p w14:paraId="50268885" w14:textId="77777777" w:rsidR="008C05B9" w:rsidRDefault="008C05B9" w:rsidP="008C05B9">
      <w:pPr>
        <w:pStyle w:val="NoSpacing"/>
        <w:rPr>
          <w:b/>
          <w:bCs/>
        </w:rPr>
      </w:pPr>
    </w:p>
    <w:p w14:paraId="71504728" w14:textId="77777777" w:rsidR="008C05B9" w:rsidRPr="001342C2" w:rsidRDefault="008C05B9" w:rsidP="008C05B9">
      <w:pPr>
        <w:pStyle w:val="NoSpacing"/>
        <w:ind w:firstLine="720"/>
        <w:rPr>
          <w:bCs/>
        </w:rPr>
      </w:pPr>
      <w:r>
        <w:t>“</w:t>
      </w:r>
      <w:r w:rsidRPr="001342C2">
        <w:t xml:space="preserve">Martin </w:t>
      </w:r>
      <w:proofErr w:type="spellStart"/>
      <w:r w:rsidRPr="001342C2">
        <w:t>Misjuns</w:t>
      </w:r>
      <w:proofErr w:type="spellEnd"/>
      <w:r w:rsidRPr="001342C2">
        <w:t xml:space="preserve"> was employed as a Fire Captain and paramedic by the </w:t>
      </w:r>
      <w:proofErr w:type="gramStart"/>
      <w:r w:rsidRPr="001342C2">
        <w:t>City</w:t>
      </w:r>
      <w:proofErr w:type="gramEnd"/>
      <w:r w:rsidRPr="001342C2">
        <w:t xml:space="preserve"> of</w:t>
      </w:r>
    </w:p>
    <w:p w14:paraId="2FC6B880" w14:textId="77777777" w:rsidR="008C05B9" w:rsidRPr="001342C2" w:rsidRDefault="008C05B9" w:rsidP="008C05B9">
      <w:pPr>
        <w:pStyle w:val="NoSpacing"/>
        <w:ind w:firstLine="720"/>
        <w:rPr>
          <w:bCs/>
        </w:rPr>
      </w:pPr>
      <w:r w:rsidRPr="001342C2">
        <w:t>Lynchburg as part of the Lynchburg Fire Department (“LFD”)</w:t>
      </w:r>
      <w:r>
        <w:t xml:space="preserve">…. </w:t>
      </w:r>
      <w:r w:rsidRPr="001342C2">
        <w:t>He was also a</w:t>
      </w:r>
    </w:p>
    <w:p w14:paraId="75A0E0C9" w14:textId="77777777" w:rsidR="008C05B9" w:rsidRPr="001342C2" w:rsidRDefault="008C05B9" w:rsidP="008C05B9">
      <w:pPr>
        <w:pStyle w:val="NoSpacing"/>
        <w:ind w:firstLine="720"/>
        <w:rPr>
          <w:bCs/>
        </w:rPr>
      </w:pPr>
      <w:r w:rsidRPr="001342C2">
        <w:t>union representative with IAFF Local 1146, the Lynchburg division of the International</w:t>
      </w:r>
    </w:p>
    <w:p w14:paraId="37DC7A81" w14:textId="77777777" w:rsidR="008C05B9" w:rsidRPr="001342C2" w:rsidRDefault="008C05B9" w:rsidP="008C05B9">
      <w:pPr>
        <w:pStyle w:val="NoSpacing"/>
        <w:ind w:firstLine="720"/>
        <w:rPr>
          <w:bCs/>
        </w:rPr>
      </w:pPr>
      <w:r w:rsidRPr="001342C2">
        <w:t>Association of Fire Fighters labor union, and Ward I Chair for the Lynchburg Republican</w:t>
      </w:r>
    </w:p>
    <w:p w14:paraId="20546787" w14:textId="77777777" w:rsidR="008C05B9" w:rsidRDefault="008C05B9" w:rsidP="008C05B9">
      <w:pPr>
        <w:pStyle w:val="NoSpacing"/>
        <w:ind w:firstLine="720"/>
        <w:rPr>
          <w:bCs/>
        </w:rPr>
      </w:pPr>
      <w:r w:rsidRPr="001342C2">
        <w:t>City Committee</w:t>
      </w:r>
      <w:r>
        <w:t xml:space="preserve">…. </w:t>
      </w:r>
    </w:p>
    <w:p w14:paraId="61147684" w14:textId="77777777" w:rsidR="008C05B9" w:rsidRPr="001342C2" w:rsidRDefault="008C05B9" w:rsidP="008C05B9">
      <w:pPr>
        <w:pStyle w:val="NoSpacing"/>
        <w:ind w:firstLine="720"/>
        <w:rPr>
          <w:bCs/>
        </w:rPr>
      </w:pPr>
    </w:p>
    <w:p w14:paraId="691382F0" w14:textId="77777777" w:rsidR="008C05B9" w:rsidRPr="001342C2" w:rsidRDefault="008C05B9" w:rsidP="008C05B9">
      <w:pPr>
        <w:pStyle w:val="NoSpacing"/>
        <w:ind w:firstLine="720"/>
        <w:rPr>
          <w:bCs/>
        </w:rPr>
      </w:pPr>
      <w:r w:rsidRPr="001342C2">
        <w:t xml:space="preserve">Before the events that </w:t>
      </w:r>
      <w:proofErr w:type="gramStart"/>
      <w:r w:rsidRPr="001342C2">
        <w:t>serve</w:t>
      </w:r>
      <w:proofErr w:type="gramEnd"/>
      <w:r w:rsidRPr="001342C2">
        <w:t xml:space="preserve"> as the basis of this suit, </w:t>
      </w:r>
      <w:proofErr w:type="gramStart"/>
      <w:r w:rsidRPr="001342C2">
        <w:t>there</w:t>
      </w:r>
      <w:proofErr w:type="gramEnd"/>
      <w:r w:rsidRPr="001342C2">
        <w:t xml:space="preserve"> were already deep-seated</w:t>
      </w:r>
    </w:p>
    <w:p w14:paraId="2C931AFD" w14:textId="77777777" w:rsidR="008C05B9" w:rsidRPr="001342C2" w:rsidRDefault="008C05B9" w:rsidP="008C05B9">
      <w:pPr>
        <w:pStyle w:val="NoSpacing"/>
        <w:ind w:firstLine="720"/>
        <w:rPr>
          <w:bCs/>
        </w:rPr>
      </w:pPr>
      <w:r w:rsidRPr="001342C2">
        <w:t xml:space="preserve">tensions between </w:t>
      </w:r>
      <w:proofErr w:type="spellStart"/>
      <w:r w:rsidRPr="001342C2">
        <w:t>Misjuns</w:t>
      </w:r>
      <w:proofErr w:type="spellEnd"/>
      <w:r w:rsidRPr="001342C2">
        <w:t xml:space="preserve"> and the City. For example, </w:t>
      </w:r>
      <w:proofErr w:type="spellStart"/>
      <w:r w:rsidRPr="001342C2">
        <w:t>Misjuns</w:t>
      </w:r>
      <w:proofErr w:type="spellEnd"/>
      <w:r w:rsidRPr="001342C2">
        <w:t xml:space="preserve"> alleged that LFD engaged</w:t>
      </w:r>
    </w:p>
    <w:p w14:paraId="227F21AC" w14:textId="77777777" w:rsidR="008C05B9" w:rsidRPr="0023213A" w:rsidRDefault="008C05B9" w:rsidP="008C05B9">
      <w:pPr>
        <w:pStyle w:val="NoSpacing"/>
        <w:ind w:left="720"/>
        <w:rPr>
          <w:bCs/>
        </w:rPr>
      </w:pPr>
      <w:r w:rsidRPr="001342C2">
        <w:t xml:space="preserve">in </w:t>
      </w:r>
      <w:r>
        <w:t>‘</w:t>
      </w:r>
      <w:r w:rsidRPr="001342C2">
        <w:t xml:space="preserve">discriminatory training and promotion practices” against him in 2019 and 2020. </w:t>
      </w:r>
      <w:r>
        <w:t xml:space="preserve">… </w:t>
      </w:r>
      <w:r w:rsidRPr="001342C2">
        <w:t xml:space="preserve"> He also alleged </w:t>
      </w:r>
      <w:proofErr w:type="gramStart"/>
      <w:r w:rsidRPr="001342C2">
        <w:t>politically-motivated</w:t>
      </w:r>
      <w:proofErr w:type="gramEnd"/>
      <w:r w:rsidRPr="001342C2">
        <w:t xml:space="preserve"> actions.</w:t>
      </w:r>
      <w:r>
        <w:t xml:space="preserve"> </w:t>
      </w:r>
      <w:r w:rsidRPr="0023213A">
        <w:t>In spring 2020, IAFF Local 1146 and</w:t>
      </w:r>
    </w:p>
    <w:p w14:paraId="023B7B16" w14:textId="77777777" w:rsidR="008C05B9" w:rsidRPr="0023213A" w:rsidRDefault="008C05B9" w:rsidP="008C05B9">
      <w:pPr>
        <w:pStyle w:val="NoSpacing"/>
        <w:ind w:left="720"/>
        <w:rPr>
          <w:bCs/>
        </w:rPr>
      </w:pPr>
      <w:proofErr w:type="spellStart"/>
      <w:r w:rsidRPr="0023213A">
        <w:t>Misjuns</w:t>
      </w:r>
      <w:proofErr w:type="spellEnd"/>
      <w:r w:rsidRPr="0023213A">
        <w:t xml:space="preserve"> supported Republican candidates for Lynchburg City Council who ran against</w:t>
      </w:r>
    </w:p>
    <w:p w14:paraId="3EEDA5ED" w14:textId="77777777" w:rsidR="008C05B9" w:rsidRPr="0023213A" w:rsidRDefault="008C05B9" w:rsidP="008C05B9">
      <w:pPr>
        <w:pStyle w:val="NoSpacing"/>
        <w:ind w:left="720"/>
        <w:rPr>
          <w:bCs/>
        </w:rPr>
      </w:pPr>
      <w:r w:rsidRPr="0023213A">
        <w:t>candidates supported by the Democratic majority on City Council, including Defendants</w:t>
      </w:r>
    </w:p>
    <w:p w14:paraId="3E035203" w14:textId="77777777" w:rsidR="008C05B9" w:rsidRPr="0023213A" w:rsidRDefault="008C05B9" w:rsidP="008C05B9">
      <w:pPr>
        <w:pStyle w:val="NoSpacing"/>
        <w:ind w:left="720"/>
        <w:rPr>
          <w:bCs/>
        </w:rPr>
      </w:pPr>
      <w:r w:rsidRPr="0023213A">
        <w:t>Mayor Mary Dolan and Vice-Mayor Beau Wright</w:t>
      </w:r>
      <w:r>
        <w:t xml:space="preserve">…. </w:t>
      </w:r>
      <w:r w:rsidRPr="0023213A">
        <w:t>One of the Deputy Fire</w:t>
      </w:r>
    </w:p>
    <w:p w14:paraId="206E1090" w14:textId="77777777" w:rsidR="008C05B9" w:rsidRPr="009B4C07" w:rsidRDefault="008C05B9" w:rsidP="008C05B9">
      <w:pPr>
        <w:pStyle w:val="NoSpacing"/>
        <w:ind w:left="720"/>
        <w:rPr>
          <w:bCs/>
        </w:rPr>
      </w:pPr>
      <w:r w:rsidRPr="0023213A">
        <w:t xml:space="preserve">Chiefs allegedly </w:t>
      </w:r>
      <w:r>
        <w:t>‘</w:t>
      </w:r>
      <w:r w:rsidRPr="0023213A">
        <w:t>began a pattern of harassing behavior</w:t>
      </w:r>
      <w:r>
        <w:t>’</w:t>
      </w:r>
      <w:r w:rsidRPr="0023213A">
        <w:t xml:space="preserve"> against </w:t>
      </w:r>
      <w:proofErr w:type="spellStart"/>
      <w:r w:rsidRPr="0023213A">
        <w:t>Misjuns</w:t>
      </w:r>
      <w:proofErr w:type="spellEnd"/>
      <w:r w:rsidRPr="0023213A">
        <w:t>, including</w:t>
      </w:r>
      <w:r>
        <w:t xml:space="preserve"> </w:t>
      </w:r>
      <w:r w:rsidRPr="009B4C07">
        <w:t>sending him a text message that he did not approve of Local 1146’s post supporting the</w:t>
      </w:r>
    </w:p>
    <w:p w14:paraId="397E2520" w14:textId="77777777" w:rsidR="008C05B9" w:rsidRDefault="008C05B9" w:rsidP="008C05B9">
      <w:pPr>
        <w:pStyle w:val="NoSpacing"/>
        <w:ind w:left="720"/>
        <w:rPr>
          <w:bCs/>
        </w:rPr>
      </w:pPr>
      <w:r w:rsidRPr="009B4C07">
        <w:t>Republican candidates.</w:t>
      </w:r>
    </w:p>
    <w:p w14:paraId="37631B09" w14:textId="77777777" w:rsidR="008C05B9" w:rsidRDefault="008C05B9" w:rsidP="008C05B9">
      <w:pPr>
        <w:pStyle w:val="NoSpacing"/>
        <w:ind w:left="720"/>
        <w:rPr>
          <w:bCs/>
        </w:rPr>
      </w:pPr>
    </w:p>
    <w:p w14:paraId="7010FD03" w14:textId="77777777" w:rsidR="008C05B9" w:rsidRDefault="008C05B9" w:rsidP="008C05B9">
      <w:pPr>
        <w:pStyle w:val="NoSpacing"/>
        <w:ind w:left="720"/>
        <w:rPr>
          <w:bCs/>
        </w:rPr>
      </w:pPr>
      <w:r>
        <w:t>***</w:t>
      </w:r>
    </w:p>
    <w:p w14:paraId="56C746A3" w14:textId="77777777" w:rsidR="008C05B9" w:rsidRPr="00831D7E" w:rsidRDefault="008C05B9" w:rsidP="008C05B9">
      <w:pPr>
        <w:pStyle w:val="NoSpacing"/>
        <w:ind w:left="720"/>
        <w:rPr>
          <w:bCs/>
        </w:rPr>
      </w:pPr>
      <w:r w:rsidRPr="00831D7E">
        <w:t xml:space="preserve">On March 25, 2021, </w:t>
      </w:r>
      <w:proofErr w:type="spellStart"/>
      <w:r w:rsidRPr="00831D7E">
        <w:t>Misjuns</w:t>
      </w:r>
      <w:proofErr w:type="spellEnd"/>
      <w:r w:rsidRPr="00831D7E">
        <w:t xml:space="preserve"> received a letter from Fire Chief Wormser, which he</w:t>
      </w:r>
    </w:p>
    <w:p w14:paraId="35EDC072" w14:textId="77777777" w:rsidR="008C05B9" w:rsidRPr="00831D7E" w:rsidRDefault="008C05B9" w:rsidP="008C05B9">
      <w:pPr>
        <w:pStyle w:val="NoSpacing"/>
        <w:ind w:left="720"/>
        <w:rPr>
          <w:bCs/>
        </w:rPr>
      </w:pPr>
      <w:r w:rsidRPr="00831D7E">
        <w:t xml:space="preserve">alleged Wormser sent </w:t>
      </w:r>
      <w:r>
        <w:t>‘</w:t>
      </w:r>
      <w:r w:rsidRPr="00831D7E">
        <w:t>in response to instructions from one or more of Dolan, Wright, and</w:t>
      </w:r>
    </w:p>
    <w:p w14:paraId="7CFC9819" w14:textId="77777777" w:rsidR="008C05B9" w:rsidRPr="00831D7E" w:rsidRDefault="008C05B9" w:rsidP="008C05B9">
      <w:pPr>
        <w:pStyle w:val="NoSpacing"/>
        <w:ind w:left="720"/>
        <w:rPr>
          <w:bCs/>
        </w:rPr>
      </w:pPr>
      <w:r w:rsidRPr="00831D7E">
        <w:t>Wodicka.</w:t>
      </w:r>
      <w:r>
        <w:t xml:space="preserve">’ … </w:t>
      </w:r>
      <w:r w:rsidRPr="00831D7E">
        <w:t xml:space="preserve">The letter ordered </w:t>
      </w:r>
      <w:proofErr w:type="spellStart"/>
      <w:r w:rsidRPr="00831D7E">
        <w:t>Misjuns</w:t>
      </w:r>
      <w:proofErr w:type="spellEnd"/>
      <w:r w:rsidRPr="00831D7E">
        <w:t xml:space="preserve"> to attend an </w:t>
      </w:r>
      <w:r>
        <w:t>‘</w:t>
      </w:r>
      <w:r w:rsidRPr="00831D7E">
        <w:t>interrogation</w:t>
      </w:r>
      <w:r>
        <w:t>’</w:t>
      </w:r>
      <w:r w:rsidRPr="00831D7E">
        <w:t xml:space="preserve"> </w:t>
      </w:r>
      <w:proofErr w:type="gramStart"/>
      <w:r w:rsidRPr="00831D7E">
        <w:t>on</w:t>
      </w:r>
      <w:proofErr w:type="gramEnd"/>
      <w:r w:rsidRPr="00831D7E">
        <w:t xml:space="preserve"> March</w:t>
      </w:r>
    </w:p>
    <w:p w14:paraId="0163EA40" w14:textId="77777777" w:rsidR="008C05B9" w:rsidRPr="00831D7E" w:rsidRDefault="008C05B9" w:rsidP="008C05B9">
      <w:pPr>
        <w:pStyle w:val="NoSpacing"/>
        <w:ind w:left="720"/>
        <w:rPr>
          <w:bCs/>
        </w:rPr>
      </w:pPr>
      <w:r w:rsidRPr="00831D7E">
        <w:t>29 to discuss several citizen complaints regarding the cartoons and meme</w:t>
      </w:r>
      <w:r>
        <w:t xml:space="preserve">…. </w:t>
      </w:r>
      <w:r w:rsidRPr="00831D7E">
        <w:t xml:space="preserve">Wormser also informed </w:t>
      </w:r>
      <w:proofErr w:type="spellStart"/>
      <w:r w:rsidRPr="00831D7E">
        <w:t>Misjuns</w:t>
      </w:r>
      <w:proofErr w:type="spellEnd"/>
      <w:r w:rsidRPr="00831D7E">
        <w:t xml:space="preserve"> that he was under investigation for social media</w:t>
      </w:r>
      <w:r>
        <w:t xml:space="preserve"> </w:t>
      </w:r>
      <w:r w:rsidRPr="00831D7E">
        <w:t>statements making political criticisms of Dolan</w:t>
      </w:r>
      <w:r>
        <w:t xml:space="preserve">…. </w:t>
      </w:r>
      <w:r w:rsidRPr="00831D7E">
        <w:t>The record shows that Wormser</w:t>
      </w:r>
    </w:p>
    <w:p w14:paraId="711E53C4" w14:textId="77777777" w:rsidR="008C05B9" w:rsidRPr="00831D7E" w:rsidRDefault="008C05B9" w:rsidP="008C05B9">
      <w:pPr>
        <w:pStyle w:val="NoSpacing"/>
        <w:ind w:left="720"/>
        <w:rPr>
          <w:bCs/>
        </w:rPr>
      </w:pPr>
      <w:r w:rsidRPr="00831D7E">
        <w:t xml:space="preserve">provided </w:t>
      </w:r>
      <w:proofErr w:type="spellStart"/>
      <w:r w:rsidRPr="00831D7E">
        <w:t>Misjuns</w:t>
      </w:r>
      <w:proofErr w:type="spellEnd"/>
      <w:r w:rsidRPr="00831D7E">
        <w:t xml:space="preserve"> with a notice of the complaints made against him</w:t>
      </w:r>
      <w:r>
        <w:t xml:space="preserve">…. </w:t>
      </w:r>
      <w:r w:rsidRPr="00831D7E">
        <w:t xml:space="preserve"> </w:t>
      </w:r>
      <w:proofErr w:type="gramStart"/>
      <w:r w:rsidRPr="00831D7E">
        <w:t>On</w:t>
      </w:r>
      <w:proofErr w:type="gramEnd"/>
      <w:r w:rsidRPr="00831D7E">
        <w:t xml:space="preserve"> March</w:t>
      </w:r>
    </w:p>
    <w:p w14:paraId="33808116" w14:textId="77777777" w:rsidR="008C05B9" w:rsidRDefault="008C05B9" w:rsidP="008C05B9">
      <w:pPr>
        <w:pStyle w:val="NoSpacing"/>
        <w:ind w:left="720"/>
        <w:rPr>
          <w:bCs/>
        </w:rPr>
      </w:pPr>
      <w:r w:rsidRPr="00831D7E">
        <w:t xml:space="preserve">29, 2021, the initial </w:t>
      </w:r>
      <w:r>
        <w:t>‘</w:t>
      </w:r>
      <w:r w:rsidRPr="00831D7E">
        <w:t>interrogation</w:t>
      </w:r>
      <w:r>
        <w:t>’</w:t>
      </w:r>
      <w:r w:rsidRPr="00831D7E">
        <w:t xml:space="preserve"> occurred</w:t>
      </w:r>
      <w:r>
        <w:t xml:space="preserve">…. </w:t>
      </w:r>
      <w:r w:rsidRPr="00831D7E">
        <w:t xml:space="preserve">Per </w:t>
      </w:r>
      <w:proofErr w:type="spellStart"/>
      <w:r w:rsidRPr="00831D7E">
        <w:t>Misjuns</w:t>
      </w:r>
      <w:proofErr w:type="spellEnd"/>
      <w:r w:rsidRPr="00831D7E">
        <w:t>’ account, Deputy Fire Chief Robert Lipscomb then began collecting</w:t>
      </w:r>
      <w:r>
        <w:t xml:space="preserve"> </w:t>
      </w:r>
      <w:r w:rsidRPr="00831D7E">
        <w:t xml:space="preserve">allegedly false reports accusing </w:t>
      </w:r>
      <w:proofErr w:type="spellStart"/>
      <w:r w:rsidRPr="00831D7E">
        <w:t>Misjuns</w:t>
      </w:r>
      <w:proofErr w:type="spellEnd"/>
      <w:r w:rsidRPr="00831D7E">
        <w:t xml:space="preserve"> of creating a hostile work environment</w:t>
      </w:r>
      <w:r>
        <w:t xml:space="preserve">…. </w:t>
      </w:r>
      <w:r w:rsidRPr="00831D7E">
        <w:t xml:space="preserve">On May 10, 2021, Wormser notified </w:t>
      </w:r>
      <w:proofErr w:type="spellStart"/>
      <w:r w:rsidRPr="00831D7E">
        <w:t>Misjuns</w:t>
      </w:r>
      <w:proofErr w:type="spellEnd"/>
      <w:r w:rsidRPr="00831D7E">
        <w:t xml:space="preserve"> of his decision to suspend </w:t>
      </w:r>
      <w:proofErr w:type="spellStart"/>
      <w:r w:rsidRPr="00831D7E">
        <w:t>Misjuns</w:t>
      </w:r>
      <w:proofErr w:type="spellEnd"/>
      <w:r>
        <w:t xml:space="preserve">…. </w:t>
      </w:r>
      <w:r w:rsidRPr="00831D7E">
        <w:t xml:space="preserve">On June 27, Lipscomb ordered </w:t>
      </w:r>
      <w:proofErr w:type="spellStart"/>
      <w:r w:rsidRPr="00831D7E">
        <w:t>Misjuns</w:t>
      </w:r>
      <w:proofErr w:type="spellEnd"/>
      <w:r w:rsidRPr="00831D7E">
        <w:t xml:space="preserve"> to attend a second </w:t>
      </w:r>
      <w:r>
        <w:t>‘</w:t>
      </w:r>
      <w:r w:rsidRPr="00831D7E">
        <w:t>interrogation,</w:t>
      </w:r>
      <w:r>
        <w:t xml:space="preserve">’ </w:t>
      </w:r>
      <w:r w:rsidRPr="00831D7E">
        <w:t>which</w:t>
      </w:r>
      <w:r>
        <w:t xml:space="preserve"> </w:t>
      </w:r>
      <w:r w:rsidRPr="00831D7E">
        <w:t>occurred on August 2</w:t>
      </w:r>
      <w:r>
        <w:t>….</w:t>
      </w:r>
      <w:r w:rsidRPr="00831D7E">
        <w:t xml:space="preserve">On October 18, 2021, Wormser notified </w:t>
      </w:r>
      <w:proofErr w:type="spellStart"/>
      <w:r w:rsidRPr="00831D7E">
        <w:t>Misjuns</w:t>
      </w:r>
      <w:proofErr w:type="spellEnd"/>
      <w:r w:rsidRPr="00831D7E">
        <w:t xml:space="preserve"> via letter that</w:t>
      </w:r>
      <w:r>
        <w:t xml:space="preserve"> </w:t>
      </w:r>
      <w:r w:rsidRPr="00831D7E">
        <w:t xml:space="preserve">he was terminated from employment. </w:t>
      </w:r>
    </w:p>
    <w:p w14:paraId="63E50A2C" w14:textId="77777777" w:rsidR="008C05B9" w:rsidRDefault="008C05B9" w:rsidP="008C05B9">
      <w:pPr>
        <w:pStyle w:val="NoSpacing"/>
        <w:ind w:left="720"/>
        <w:rPr>
          <w:bCs/>
        </w:rPr>
      </w:pPr>
    </w:p>
    <w:p w14:paraId="64C42A60" w14:textId="77777777" w:rsidR="008C05B9" w:rsidRDefault="008C05B9" w:rsidP="008C05B9">
      <w:pPr>
        <w:pStyle w:val="NoSpacing"/>
        <w:ind w:left="720"/>
        <w:rPr>
          <w:bCs/>
        </w:rPr>
      </w:pPr>
      <w:r>
        <w:t>***</w:t>
      </w:r>
    </w:p>
    <w:p w14:paraId="549A9065" w14:textId="77777777" w:rsidR="008C05B9" w:rsidRPr="00327189" w:rsidRDefault="008C05B9" w:rsidP="008C05B9">
      <w:pPr>
        <w:pStyle w:val="NoSpacing"/>
        <w:ind w:left="720"/>
        <w:rPr>
          <w:bCs/>
        </w:rPr>
      </w:pPr>
      <w:proofErr w:type="spellStart"/>
      <w:r w:rsidRPr="00327189">
        <w:t>Misjuns</w:t>
      </w:r>
      <w:proofErr w:type="spellEnd"/>
      <w:r w:rsidRPr="00327189">
        <w:t xml:space="preserve"> appealed his firing in accordance with the City’s grievance procedures,</w:t>
      </w:r>
    </w:p>
    <w:p w14:paraId="48A265A2" w14:textId="77777777" w:rsidR="008C05B9" w:rsidRPr="00327189" w:rsidRDefault="008C05B9" w:rsidP="008C05B9">
      <w:pPr>
        <w:pStyle w:val="NoSpacing"/>
        <w:ind w:left="720"/>
        <w:rPr>
          <w:bCs/>
        </w:rPr>
      </w:pPr>
      <w:r w:rsidRPr="00327189">
        <w:t>including appealing to the City’s Employee Appeal Board. J.A. 17. In March 2022, the</w:t>
      </w:r>
    </w:p>
    <w:p w14:paraId="1921C3C2" w14:textId="77777777" w:rsidR="008C05B9" w:rsidRDefault="008C05B9" w:rsidP="008C05B9">
      <w:pPr>
        <w:pStyle w:val="NoSpacing"/>
        <w:ind w:left="720"/>
        <w:rPr>
          <w:bCs/>
        </w:rPr>
      </w:pPr>
      <w:r w:rsidRPr="00327189">
        <w:t>Board upheld his firing.</w:t>
      </w:r>
      <w:r>
        <w:t>”</w:t>
      </w:r>
    </w:p>
    <w:p w14:paraId="3F5F9D07" w14:textId="77777777" w:rsidR="008C05B9" w:rsidRDefault="008C05B9" w:rsidP="008C05B9">
      <w:pPr>
        <w:pStyle w:val="NoSpacing"/>
        <w:ind w:left="720"/>
        <w:rPr>
          <w:bCs/>
        </w:rPr>
      </w:pPr>
    </w:p>
    <w:p w14:paraId="5217EE2F" w14:textId="77777777" w:rsidR="008C05B9" w:rsidRPr="00327189" w:rsidRDefault="008C05B9" w:rsidP="008C05B9">
      <w:pPr>
        <w:pStyle w:val="NoSpacing"/>
        <w:rPr>
          <w:b/>
        </w:rPr>
      </w:pPr>
      <w:r>
        <w:rPr>
          <w:b/>
        </w:rPr>
        <w:t>Legal lesson learned: Firefighters and other public employees must exercise extreme care in posting on social media that may offend residents.</w:t>
      </w:r>
    </w:p>
    <w:p w14:paraId="7B195657" w14:textId="77777777" w:rsidR="008C05B9" w:rsidRDefault="008C05B9" w:rsidP="008C05B9">
      <w:pPr>
        <w:pStyle w:val="NoSpacing"/>
      </w:pPr>
    </w:p>
    <w:p w14:paraId="16123C92" w14:textId="77777777" w:rsidR="008C05B9" w:rsidRDefault="008C05B9" w:rsidP="008C05B9">
      <w:pPr>
        <w:pStyle w:val="NoSpacing"/>
      </w:pPr>
    </w:p>
    <w:p w14:paraId="1F9753FC" w14:textId="77777777" w:rsidR="008C05B9" w:rsidRDefault="008C05B9" w:rsidP="00F326E5">
      <w:pPr>
        <w:pStyle w:val="NoSpacing"/>
        <w:rPr>
          <w:rFonts w:ascii="Arial Black" w:hAnsi="Arial Black"/>
          <w:b/>
          <w:sz w:val="24"/>
          <w:szCs w:val="24"/>
        </w:rPr>
      </w:pPr>
    </w:p>
    <w:p w14:paraId="0AE5CBD7" w14:textId="77777777" w:rsidR="009821C1" w:rsidRDefault="009821C1" w:rsidP="00F326E5">
      <w:pPr>
        <w:pStyle w:val="NoSpacing"/>
        <w:rPr>
          <w:rFonts w:ascii="Arial Black" w:hAnsi="Arial Black"/>
          <w:b/>
          <w:sz w:val="24"/>
          <w:szCs w:val="24"/>
        </w:rPr>
      </w:pPr>
    </w:p>
    <w:p w14:paraId="3958DB02" w14:textId="79279C17" w:rsidR="00C466BB" w:rsidRDefault="00C466BB" w:rsidP="00F326E5">
      <w:pPr>
        <w:pStyle w:val="NoSpacing"/>
        <w:rPr>
          <w:rFonts w:ascii="Arial Black" w:hAnsi="Arial Black"/>
          <w:b/>
          <w:sz w:val="24"/>
          <w:szCs w:val="24"/>
        </w:rPr>
      </w:pPr>
      <w:r>
        <w:rPr>
          <w:rFonts w:ascii="Arial Black" w:hAnsi="Arial Black"/>
          <w:b/>
          <w:sz w:val="24"/>
          <w:szCs w:val="24"/>
        </w:rPr>
        <w:t>16-132</w:t>
      </w:r>
    </w:p>
    <w:p w14:paraId="6F21E9E8" w14:textId="77777777" w:rsidR="00C466BB" w:rsidRDefault="00C466BB" w:rsidP="00F326E5">
      <w:pPr>
        <w:pStyle w:val="NoSpacing"/>
        <w:rPr>
          <w:rFonts w:ascii="Arial Black" w:hAnsi="Arial Black"/>
          <w:b/>
          <w:sz w:val="24"/>
          <w:szCs w:val="24"/>
        </w:rPr>
      </w:pPr>
    </w:p>
    <w:p w14:paraId="2DA93EF4" w14:textId="1DE46D19" w:rsidR="00331400" w:rsidRPr="00C34488" w:rsidRDefault="00331400" w:rsidP="00331400">
      <w:pPr>
        <w:pStyle w:val="NoSpacing"/>
        <w:rPr>
          <w:rFonts w:ascii="Arial Black" w:hAnsi="Arial Black"/>
          <w:sz w:val="28"/>
          <w:szCs w:val="28"/>
        </w:rPr>
      </w:pPr>
      <w:r w:rsidRPr="00C34488">
        <w:rPr>
          <w:rFonts w:ascii="Arial Black" w:hAnsi="Arial Black"/>
          <w:sz w:val="28"/>
          <w:szCs w:val="28"/>
        </w:rPr>
        <w:t>OH: FORMER CHIEF’S DEFAMATION CLAIM REINSTATED –</w:t>
      </w:r>
      <w:r w:rsidR="009B1B97">
        <w:rPr>
          <w:rFonts w:ascii="Arial Black" w:hAnsi="Arial Black"/>
          <w:sz w:val="28"/>
          <w:szCs w:val="28"/>
        </w:rPr>
        <w:t xml:space="preserve"> </w:t>
      </w:r>
      <w:r>
        <w:rPr>
          <w:rFonts w:ascii="Arial Black" w:hAnsi="Arial Black"/>
          <w:sz w:val="28"/>
          <w:szCs w:val="28"/>
        </w:rPr>
        <w:t xml:space="preserve">PUBLIC OFFICIALS – MUST PROVE “ACTUAL MALICE” </w:t>
      </w:r>
    </w:p>
    <w:p w14:paraId="50E0F2F4" w14:textId="77777777" w:rsidR="00331400" w:rsidRDefault="00331400" w:rsidP="00331400">
      <w:pPr>
        <w:pStyle w:val="NoSpacing"/>
      </w:pPr>
    </w:p>
    <w:p w14:paraId="60D54C16" w14:textId="77777777" w:rsidR="00331400" w:rsidRPr="009D0025" w:rsidRDefault="00331400" w:rsidP="00331400">
      <w:pPr>
        <w:pStyle w:val="NoSpacing"/>
        <w:rPr>
          <w:rFonts w:ascii="Times New Roman" w:hAnsi="Times New Roman"/>
          <w:sz w:val="24"/>
          <w:szCs w:val="24"/>
        </w:rPr>
      </w:pPr>
      <w:r w:rsidRPr="009D0025">
        <w:rPr>
          <w:rFonts w:ascii="Times New Roman" w:hAnsi="Times New Roman"/>
          <w:sz w:val="24"/>
          <w:szCs w:val="24"/>
        </w:rPr>
        <w:t xml:space="preserve">On Aug. 29, 2025, in </w:t>
      </w:r>
      <w:r w:rsidRPr="009D0025">
        <w:rPr>
          <w:rFonts w:ascii="Times New Roman" w:hAnsi="Times New Roman"/>
          <w:sz w:val="24"/>
          <w:szCs w:val="24"/>
          <w:u w:val="single"/>
        </w:rPr>
        <w:t>Kent D. Johnson v. City of Port Clinton</w:t>
      </w:r>
      <w:r w:rsidRPr="009D0025">
        <w:rPr>
          <w:rFonts w:ascii="Times New Roman" w:hAnsi="Times New Roman"/>
          <w:sz w:val="24"/>
          <w:szCs w:val="24"/>
        </w:rPr>
        <w:t>, the Court of Appeals of Ohio, Sixth District, Ottawa County, held (3 to 0) that trial judge improperly dismissed the defamation claim in his lawsuit; all his other claims were properly dismissed: Violation of Civil Service Statutes; Infliction of Emotional Distress; Violation of Rights under the Ohio Constitution; Wrongful Termination; and Retaliation.</w:t>
      </w:r>
    </w:p>
    <w:p w14:paraId="71D4D2D6" w14:textId="77777777" w:rsidR="00331400" w:rsidRPr="009D0025" w:rsidRDefault="00331400" w:rsidP="00331400">
      <w:pPr>
        <w:pStyle w:val="NoSpacing"/>
        <w:rPr>
          <w:rFonts w:ascii="Times New Roman" w:hAnsi="Times New Roman"/>
          <w:sz w:val="24"/>
          <w:szCs w:val="24"/>
        </w:rPr>
      </w:pPr>
    </w:p>
    <w:p w14:paraId="0CA95CB2"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“In sum, appellant alleged sufficient facts that, if proven, would satisfy all the elements of a claim for defamation. The trial court, therefore, erred when it granted [City’s] motion for judgment on the pleadings as to that claim…. [Trial Court judge’s] judgment dismissing appellant’s third claim for defamation is reversed, and the matter is remanded to the trial court for further proceedings on that claim only.” </w:t>
      </w:r>
      <w:hyperlink r:id="rId2526" w:history="1">
        <w:r w:rsidRPr="009D0025">
          <w:rPr>
            <w:rStyle w:val="Hyperlink"/>
            <w:rFonts w:ascii="Times New Roman" w:hAnsi="Times New Roman"/>
            <w:sz w:val="24"/>
            <w:szCs w:val="24"/>
          </w:rPr>
          <w:t>https://www.supremecourt.ohio.gov/rod/docs/pdf/6/2025/2025-Ohio-3100.pdf</w:t>
        </w:r>
      </w:hyperlink>
      <w:r w:rsidRPr="009D0025">
        <w:rPr>
          <w:rFonts w:ascii="Times New Roman" w:hAnsi="Times New Roman"/>
          <w:sz w:val="24"/>
          <w:szCs w:val="24"/>
        </w:rPr>
        <w:t xml:space="preserve"> </w:t>
      </w:r>
    </w:p>
    <w:p w14:paraId="5855E35E" w14:textId="77777777" w:rsidR="00331400" w:rsidRPr="009D0025" w:rsidRDefault="00331400" w:rsidP="00331400">
      <w:pPr>
        <w:pStyle w:val="NoSpacing"/>
        <w:rPr>
          <w:rFonts w:ascii="Times New Roman" w:hAnsi="Times New Roman"/>
          <w:sz w:val="24"/>
          <w:szCs w:val="24"/>
        </w:rPr>
      </w:pPr>
    </w:p>
    <w:p w14:paraId="72006AA8" w14:textId="77777777" w:rsidR="00331400" w:rsidRPr="009D0025" w:rsidRDefault="00331400" w:rsidP="00331400">
      <w:pPr>
        <w:pStyle w:val="NoSpacing"/>
        <w:rPr>
          <w:rFonts w:ascii="Times New Roman" w:hAnsi="Times New Roman"/>
          <w:sz w:val="24"/>
          <w:szCs w:val="24"/>
        </w:rPr>
      </w:pPr>
      <w:r w:rsidRPr="009D0025">
        <w:rPr>
          <w:rFonts w:ascii="Times New Roman" w:hAnsi="Times New Roman"/>
          <w:sz w:val="24"/>
          <w:szCs w:val="24"/>
        </w:rPr>
        <w:t>THREE KEY SUMMARIES:</w:t>
      </w:r>
    </w:p>
    <w:p w14:paraId="1508A33F" w14:textId="77777777" w:rsidR="00331400" w:rsidRPr="009D0025" w:rsidRDefault="00331400" w:rsidP="00331400">
      <w:pPr>
        <w:pStyle w:val="NoSpacing"/>
        <w:rPr>
          <w:rFonts w:ascii="Times New Roman" w:hAnsi="Times New Roman"/>
          <w:sz w:val="24"/>
          <w:szCs w:val="24"/>
        </w:rPr>
      </w:pPr>
    </w:p>
    <w:p w14:paraId="076B773D" w14:textId="77777777" w:rsidR="00331400" w:rsidRPr="009D0025" w:rsidRDefault="00331400" w:rsidP="00331400">
      <w:pPr>
        <w:pStyle w:val="NoSpacing"/>
        <w:numPr>
          <w:ilvl w:val="0"/>
          <w:numId w:val="29"/>
        </w:numPr>
        <w:rPr>
          <w:rFonts w:ascii="Times New Roman" w:hAnsi="Times New Roman"/>
          <w:sz w:val="24"/>
          <w:szCs w:val="24"/>
        </w:rPr>
      </w:pPr>
      <w:r w:rsidRPr="009D0025">
        <w:rPr>
          <w:rFonts w:ascii="Times New Roman" w:hAnsi="Times New Roman"/>
          <w:sz w:val="24"/>
          <w:szCs w:val="24"/>
        </w:rPr>
        <w:t xml:space="preserve">“On January 17, 2024, [the </w:t>
      </w:r>
      <w:proofErr w:type="gramStart"/>
      <w:r w:rsidRPr="009D0025">
        <w:rPr>
          <w:rFonts w:ascii="Times New Roman" w:hAnsi="Times New Roman"/>
          <w:sz w:val="24"/>
          <w:szCs w:val="24"/>
        </w:rPr>
        <w:t>City</w:t>
      </w:r>
      <w:proofErr w:type="gramEnd"/>
      <w:r w:rsidRPr="009D0025">
        <w:rPr>
          <w:rFonts w:ascii="Times New Roman" w:hAnsi="Times New Roman"/>
          <w:sz w:val="24"/>
          <w:szCs w:val="24"/>
        </w:rPr>
        <w:t xml:space="preserve">] removed him from his position…. Appellant has been employed by the </w:t>
      </w:r>
      <w:proofErr w:type="gramStart"/>
      <w:r w:rsidRPr="009D0025">
        <w:rPr>
          <w:rFonts w:ascii="Times New Roman" w:hAnsi="Times New Roman"/>
          <w:sz w:val="24"/>
          <w:szCs w:val="24"/>
        </w:rPr>
        <w:t>City</w:t>
      </w:r>
      <w:proofErr w:type="gramEnd"/>
      <w:r w:rsidRPr="009D0025">
        <w:rPr>
          <w:rFonts w:ascii="Times New Roman" w:hAnsi="Times New Roman"/>
          <w:sz w:val="24"/>
          <w:szCs w:val="24"/>
        </w:rPr>
        <w:t xml:space="preserve"> as a fire fighter since 1992 and has served as Fire Chief since 2008.   </w:t>
      </w:r>
    </w:p>
    <w:p w14:paraId="40CA2059"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During that time, he has never been reprimanded or disciplined. On June 6, 2023, Dina Shenker, Law Director for the City, received a phone call from the attorney for Port Clinton EMS employee, Rebecca Huskey, alleging that appellant sexually harassed his client. Shenker and Tina Colston, Director of Safety and Service for the City, placed appellant on administrative leave that day, informing him that he was prohibited from being at the Port Clinton Fire Station and from having any contact with Huskey. They also informed him that the </w:t>
      </w:r>
      <w:proofErr w:type="gramStart"/>
      <w:r w:rsidRPr="009D0025">
        <w:rPr>
          <w:rFonts w:ascii="Times New Roman" w:hAnsi="Times New Roman"/>
          <w:sz w:val="24"/>
          <w:szCs w:val="24"/>
        </w:rPr>
        <w:t>City</w:t>
      </w:r>
      <w:proofErr w:type="gramEnd"/>
      <w:r w:rsidRPr="009D0025">
        <w:rPr>
          <w:rFonts w:ascii="Times New Roman" w:hAnsi="Times New Roman"/>
          <w:sz w:val="24"/>
          <w:szCs w:val="24"/>
        </w:rPr>
        <w:t xml:space="preserve"> was referring the matter to Clemans Nelson Associates (‘Clemans’) for an investigation.”</w:t>
      </w:r>
    </w:p>
    <w:p w14:paraId="2547D139" w14:textId="77777777" w:rsidR="00331400" w:rsidRPr="009D0025" w:rsidRDefault="00331400" w:rsidP="00331400">
      <w:pPr>
        <w:pStyle w:val="NoSpacing"/>
        <w:ind w:left="720"/>
        <w:rPr>
          <w:rFonts w:ascii="Times New Roman" w:hAnsi="Times New Roman"/>
          <w:sz w:val="24"/>
          <w:szCs w:val="24"/>
        </w:rPr>
      </w:pPr>
    </w:p>
    <w:p w14:paraId="4F3237D8" w14:textId="77777777" w:rsidR="00331400" w:rsidRPr="009D0025" w:rsidRDefault="00331400" w:rsidP="00331400">
      <w:pPr>
        <w:pStyle w:val="NoSpacing"/>
        <w:ind w:left="720"/>
        <w:rPr>
          <w:rFonts w:ascii="Times New Roman" w:hAnsi="Times New Roman"/>
          <w:sz w:val="24"/>
          <w:szCs w:val="24"/>
        </w:rPr>
      </w:pPr>
    </w:p>
    <w:p w14:paraId="549545E4" w14:textId="77777777" w:rsidR="00331400" w:rsidRPr="009D0025" w:rsidRDefault="00331400" w:rsidP="00331400">
      <w:pPr>
        <w:pStyle w:val="NoSpacing"/>
        <w:numPr>
          <w:ilvl w:val="0"/>
          <w:numId w:val="29"/>
        </w:numPr>
        <w:rPr>
          <w:rFonts w:ascii="Times New Roman" w:hAnsi="Times New Roman"/>
          <w:sz w:val="24"/>
          <w:szCs w:val="24"/>
        </w:rPr>
      </w:pPr>
      <w:r w:rsidRPr="009D0025">
        <w:rPr>
          <w:rFonts w:ascii="Times New Roman" w:hAnsi="Times New Roman"/>
          <w:sz w:val="24"/>
          <w:szCs w:val="24"/>
        </w:rPr>
        <w:t xml:space="preserve">“Clemans submitted its report on December 15, 2023. That same day, Colston and the mayor of the city, Michael Snider, served appellant with a ‘Notice of </w:t>
      </w:r>
      <w:proofErr w:type="spellStart"/>
      <w:r w:rsidRPr="009D0025">
        <w:rPr>
          <w:rFonts w:ascii="Times New Roman" w:hAnsi="Times New Roman"/>
          <w:sz w:val="24"/>
          <w:szCs w:val="24"/>
        </w:rPr>
        <w:t>Predisciplinary</w:t>
      </w:r>
      <w:proofErr w:type="spellEnd"/>
      <w:r w:rsidRPr="009D0025">
        <w:rPr>
          <w:rFonts w:ascii="Times New Roman" w:hAnsi="Times New Roman"/>
          <w:sz w:val="24"/>
          <w:szCs w:val="24"/>
        </w:rPr>
        <w:t xml:space="preserve"> Conference” to be held on December 21, 2023, regarding three charges. Two of the charges pertained to payroll matters concerning Huskey. The third referenced</w:t>
      </w:r>
    </w:p>
    <w:p w14:paraId="7DA70F4B"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Huskey’s sexual harassment claim. Each of the charges was listed as ‘Group III</w:t>
      </w:r>
    </w:p>
    <w:p w14:paraId="0D02BDCA"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Offenses’ and warned that a violation would be subject to ‘discipline for cause up to and</w:t>
      </w:r>
    </w:p>
    <w:p w14:paraId="3D37A681"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including termination of employment.’ The hearing was rescheduled to January 9, 2024,</w:t>
      </w:r>
    </w:p>
    <w:p w14:paraId="1AFB7E94"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upon appellant’s request. *** The </w:t>
      </w:r>
      <w:proofErr w:type="spellStart"/>
      <w:r w:rsidRPr="009D0025">
        <w:rPr>
          <w:rFonts w:ascii="Times New Roman" w:hAnsi="Times New Roman"/>
          <w:sz w:val="24"/>
          <w:szCs w:val="24"/>
        </w:rPr>
        <w:t>predisciplinary</w:t>
      </w:r>
      <w:proofErr w:type="spellEnd"/>
      <w:r w:rsidRPr="009D0025">
        <w:rPr>
          <w:rFonts w:ascii="Times New Roman" w:hAnsi="Times New Roman"/>
          <w:sz w:val="24"/>
          <w:szCs w:val="24"/>
        </w:rPr>
        <w:t xml:space="preserve"> conference occurred as scheduled on January 9, 2024. Colston served as the hearing officer. *** Colston failed to</w:t>
      </w:r>
    </w:p>
    <w:p w14:paraId="3D33B3D4"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prepare a written report with findings of fact and failed to provide it to appellant in a</w:t>
      </w:r>
    </w:p>
    <w:p w14:paraId="0386B179"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timely manner.”</w:t>
      </w:r>
    </w:p>
    <w:p w14:paraId="6153202F" w14:textId="77777777" w:rsidR="00331400" w:rsidRPr="009D0025" w:rsidRDefault="00331400" w:rsidP="00331400">
      <w:pPr>
        <w:pStyle w:val="NoSpacing"/>
        <w:ind w:left="720"/>
        <w:rPr>
          <w:rFonts w:ascii="Times New Roman" w:hAnsi="Times New Roman"/>
          <w:sz w:val="24"/>
          <w:szCs w:val="24"/>
        </w:rPr>
      </w:pPr>
    </w:p>
    <w:p w14:paraId="4D0691E0" w14:textId="77777777" w:rsidR="00331400" w:rsidRPr="009D0025" w:rsidRDefault="00331400" w:rsidP="00331400">
      <w:pPr>
        <w:pStyle w:val="NoSpacing"/>
        <w:numPr>
          <w:ilvl w:val="0"/>
          <w:numId w:val="29"/>
        </w:numPr>
        <w:rPr>
          <w:rFonts w:ascii="Times New Roman" w:hAnsi="Times New Roman"/>
          <w:sz w:val="24"/>
          <w:szCs w:val="24"/>
        </w:rPr>
      </w:pPr>
      <w:r w:rsidRPr="009D0025">
        <w:rPr>
          <w:rFonts w:ascii="Times New Roman" w:hAnsi="Times New Roman"/>
          <w:sz w:val="24"/>
          <w:szCs w:val="24"/>
        </w:rPr>
        <w:t>“Here, appellant argues that the complaint alleges that appellees defamed</w:t>
      </w:r>
    </w:p>
    <w:p w14:paraId="1017204F"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him when it </w:t>
      </w:r>
      <w:proofErr w:type="gramStart"/>
      <w:r w:rsidRPr="009D0025">
        <w:rPr>
          <w:rFonts w:ascii="Times New Roman" w:hAnsi="Times New Roman"/>
          <w:sz w:val="24"/>
          <w:szCs w:val="24"/>
        </w:rPr>
        <w:t>published</w:t>
      </w:r>
      <w:proofErr w:type="gramEnd"/>
      <w:r w:rsidRPr="009D0025">
        <w:rPr>
          <w:rFonts w:ascii="Times New Roman" w:hAnsi="Times New Roman"/>
          <w:sz w:val="24"/>
          <w:szCs w:val="24"/>
        </w:rPr>
        <w:t xml:space="preserve"> to news media, other City employees, and members of the fire</w:t>
      </w:r>
    </w:p>
    <w:p w14:paraId="623F39AF"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department the Order of Removal that charged him with intentionally overpaying</w:t>
      </w:r>
    </w:p>
    <w:p w14:paraId="2E94D740"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Huskey. *** The parties agree that appellant is a public figure, and thus he must prove that </w:t>
      </w:r>
      <w:proofErr w:type="gramStart"/>
      <w:r w:rsidRPr="009D0025">
        <w:rPr>
          <w:rFonts w:ascii="Times New Roman" w:hAnsi="Times New Roman"/>
          <w:sz w:val="24"/>
          <w:szCs w:val="24"/>
        </w:rPr>
        <w:t>appellees</w:t>
      </w:r>
      <w:proofErr w:type="gramEnd"/>
      <w:r w:rsidRPr="009D0025">
        <w:rPr>
          <w:rFonts w:ascii="Times New Roman" w:hAnsi="Times New Roman"/>
          <w:sz w:val="24"/>
          <w:szCs w:val="24"/>
        </w:rPr>
        <w:t xml:space="preserve"> acted with actual malice. Scott v. News-Herald, 25 Ohio St.3d 243, 248 (1986). ‘Actual malice’ means that the statement was published “with knowledge that it was false or with reckless disregard of whether it was false or not.’ Id., quoting New York Times Co. v. Sullivan, 376 U.S. 254, 279-280 (1964). In this case, contrary to </w:t>
      </w:r>
      <w:proofErr w:type="gramStart"/>
      <w:r w:rsidRPr="009D0025">
        <w:rPr>
          <w:rFonts w:ascii="Times New Roman" w:hAnsi="Times New Roman"/>
          <w:sz w:val="24"/>
          <w:szCs w:val="24"/>
        </w:rPr>
        <w:t>appellees’</w:t>
      </w:r>
      <w:proofErr w:type="gramEnd"/>
      <w:r w:rsidRPr="009D0025">
        <w:rPr>
          <w:rFonts w:ascii="Times New Roman" w:hAnsi="Times New Roman"/>
          <w:sz w:val="24"/>
          <w:szCs w:val="24"/>
        </w:rPr>
        <w:t xml:space="preserve"> argument, paragraph 58 of the complaint directly alleges that the claims were made ‘intentionally, recklessly, with actual knowledge of their falsity and with actual malice.’ *** In sum, under the notice pleading standards, the complaint alleges that</w:t>
      </w:r>
    </w:p>
    <w:p w14:paraId="1F128293"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appellees made a false statement that appellant committed a crime of dishonesty or moral</w:t>
      </w:r>
    </w:p>
    <w:p w14:paraId="24281074"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turpitude constituting defamation per se, the statement was published to news media</w:t>
      </w:r>
    </w:p>
    <w:p w14:paraId="300BFDD2"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outlets and City employees, and it was made with actual malice. Therefore, we hold that</w:t>
      </w:r>
    </w:p>
    <w:p w14:paraId="5715264C" w14:textId="77777777" w:rsidR="00331400" w:rsidRPr="009D0025" w:rsidRDefault="00331400" w:rsidP="00331400">
      <w:pPr>
        <w:pStyle w:val="NoSpacing"/>
        <w:ind w:left="720"/>
        <w:rPr>
          <w:rFonts w:ascii="Times New Roman" w:hAnsi="Times New Roman"/>
          <w:sz w:val="24"/>
          <w:szCs w:val="24"/>
        </w:rPr>
      </w:pPr>
      <w:proofErr w:type="gramStart"/>
      <w:r w:rsidRPr="009D0025">
        <w:rPr>
          <w:rFonts w:ascii="Times New Roman" w:hAnsi="Times New Roman"/>
          <w:sz w:val="24"/>
          <w:szCs w:val="24"/>
        </w:rPr>
        <w:t>the</w:t>
      </w:r>
      <w:proofErr w:type="gramEnd"/>
      <w:r w:rsidRPr="009D0025">
        <w:rPr>
          <w:rFonts w:ascii="Times New Roman" w:hAnsi="Times New Roman"/>
          <w:sz w:val="24"/>
          <w:szCs w:val="24"/>
        </w:rPr>
        <w:t xml:space="preserve"> complaint alleges all the elements for a defamation action, and the trial court erred in</w:t>
      </w:r>
    </w:p>
    <w:p w14:paraId="616B169C"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granting appellees’ motion for judgment on the pleadings.”</w:t>
      </w:r>
    </w:p>
    <w:p w14:paraId="644F592E" w14:textId="77777777" w:rsidR="00331400" w:rsidRPr="009D0025" w:rsidRDefault="00331400" w:rsidP="00331400">
      <w:pPr>
        <w:pStyle w:val="NoSpacing"/>
        <w:ind w:left="720"/>
        <w:rPr>
          <w:rFonts w:ascii="Times New Roman" w:hAnsi="Times New Roman"/>
          <w:sz w:val="24"/>
          <w:szCs w:val="24"/>
        </w:rPr>
      </w:pPr>
    </w:p>
    <w:p w14:paraId="531D12E0" w14:textId="77777777" w:rsidR="00331400" w:rsidRPr="009D0025" w:rsidRDefault="00331400" w:rsidP="00331400">
      <w:pPr>
        <w:pStyle w:val="NoSpacing"/>
        <w:rPr>
          <w:rFonts w:ascii="Times New Roman" w:hAnsi="Times New Roman"/>
          <w:color w:val="C00000"/>
          <w:sz w:val="24"/>
          <w:szCs w:val="24"/>
        </w:rPr>
      </w:pPr>
      <w:r w:rsidRPr="009D0025">
        <w:rPr>
          <w:rFonts w:ascii="Times New Roman" w:hAnsi="Times New Roman"/>
          <w:b/>
          <w:sz w:val="24"/>
          <w:szCs w:val="24"/>
        </w:rPr>
        <w:t xml:space="preserve">Legal lesson learned: Former Fire Chief is a public official; he has an uphill task proving “actual malice” under New York Times v. Sullivan. </w:t>
      </w:r>
      <w:hyperlink r:id="rId2527" w:history="1">
        <w:r w:rsidRPr="009D0025">
          <w:rPr>
            <w:rStyle w:val="Hyperlink"/>
            <w:rFonts w:ascii="Times New Roman" w:hAnsi="Times New Roman"/>
            <w:b/>
            <w:sz w:val="24"/>
            <w:szCs w:val="24"/>
          </w:rPr>
          <w:t>https://supreme.justia.com/cases/federal/us/376/254/</w:t>
        </w:r>
      </w:hyperlink>
      <w:r w:rsidRPr="009D0025">
        <w:rPr>
          <w:rFonts w:ascii="Times New Roman" w:hAnsi="Times New Roman"/>
          <w:b/>
          <w:sz w:val="24"/>
          <w:szCs w:val="24"/>
        </w:rPr>
        <w:t xml:space="preserve"> </w:t>
      </w:r>
    </w:p>
    <w:p w14:paraId="1D69FB10" w14:textId="77777777" w:rsidR="00331400" w:rsidRPr="009D0025" w:rsidRDefault="00331400" w:rsidP="00331400">
      <w:pPr>
        <w:pStyle w:val="NoSpacing"/>
        <w:rPr>
          <w:rFonts w:ascii="Times New Roman" w:hAnsi="Times New Roman"/>
          <w:color w:val="C00000"/>
          <w:sz w:val="24"/>
          <w:szCs w:val="24"/>
        </w:rPr>
      </w:pPr>
    </w:p>
    <w:p w14:paraId="05D14692" w14:textId="77777777" w:rsidR="00331400" w:rsidRPr="009D0025" w:rsidRDefault="00331400" w:rsidP="00331400">
      <w:pPr>
        <w:pStyle w:val="NoSpacing"/>
        <w:ind w:left="720"/>
        <w:rPr>
          <w:rFonts w:ascii="Times New Roman" w:hAnsi="Times New Roman"/>
          <w:sz w:val="24"/>
          <w:szCs w:val="24"/>
        </w:rPr>
      </w:pPr>
      <w:r w:rsidRPr="009D0025">
        <w:rPr>
          <w:rFonts w:ascii="Times New Roman" w:hAnsi="Times New Roman"/>
          <w:sz w:val="24"/>
          <w:szCs w:val="24"/>
        </w:rPr>
        <w:t xml:space="preserve">Note: See July 11, </w:t>
      </w:r>
      <w:proofErr w:type="gramStart"/>
      <w:r w:rsidRPr="009D0025">
        <w:rPr>
          <w:rFonts w:ascii="Times New Roman" w:hAnsi="Times New Roman"/>
          <w:sz w:val="24"/>
          <w:szCs w:val="24"/>
        </w:rPr>
        <w:t>2025</w:t>
      </w:r>
      <w:proofErr w:type="gramEnd"/>
      <w:r w:rsidRPr="009D0025">
        <w:rPr>
          <w:rFonts w:ascii="Times New Roman" w:hAnsi="Times New Roman"/>
          <w:sz w:val="24"/>
          <w:szCs w:val="24"/>
        </w:rPr>
        <w:t xml:space="preserve"> article, “Judge sentences former Port Clinton fire chief in sexual harassment case.” </w:t>
      </w:r>
    </w:p>
    <w:p w14:paraId="488CF387" w14:textId="77777777" w:rsidR="00331400" w:rsidRPr="009D0025" w:rsidRDefault="00331400" w:rsidP="00331400">
      <w:pPr>
        <w:pStyle w:val="NoSpacing"/>
        <w:ind w:left="720"/>
        <w:rPr>
          <w:rFonts w:ascii="Times New Roman" w:hAnsi="Times New Roman"/>
          <w:sz w:val="24"/>
          <w:szCs w:val="24"/>
        </w:rPr>
      </w:pPr>
      <w:hyperlink r:id="rId2528" w:history="1">
        <w:r w:rsidRPr="009D0025">
          <w:rPr>
            <w:rStyle w:val="Hyperlink"/>
            <w:rFonts w:ascii="Times New Roman" w:hAnsi="Times New Roman"/>
            <w:sz w:val="24"/>
            <w:szCs w:val="24"/>
          </w:rPr>
          <w:t>https://www.wtol.com/article/news/crime/port-clinton-fire-chief-kent-johnson-sentenced-to-jail-for-sexual-harassment-case/512-0facde5b-63e1-457e-9908-521ed4a422af</w:t>
        </w:r>
      </w:hyperlink>
      <w:r w:rsidRPr="009D0025">
        <w:rPr>
          <w:rFonts w:ascii="Times New Roman" w:hAnsi="Times New Roman"/>
          <w:sz w:val="24"/>
          <w:szCs w:val="24"/>
        </w:rPr>
        <w:t xml:space="preserve"> </w:t>
      </w:r>
    </w:p>
    <w:p w14:paraId="62676D7D" w14:textId="77777777" w:rsidR="00331400" w:rsidRPr="009D0025" w:rsidRDefault="00331400" w:rsidP="00331400">
      <w:pPr>
        <w:pStyle w:val="NoSpacing"/>
        <w:rPr>
          <w:rFonts w:ascii="Times New Roman" w:hAnsi="Times New Roman"/>
          <w:sz w:val="24"/>
          <w:szCs w:val="24"/>
        </w:rPr>
      </w:pPr>
    </w:p>
    <w:p w14:paraId="34E04062" w14:textId="77777777" w:rsidR="00331400" w:rsidRPr="009D0025" w:rsidRDefault="00331400" w:rsidP="00331400">
      <w:pPr>
        <w:pStyle w:val="NoSpacing"/>
        <w:rPr>
          <w:rFonts w:ascii="Times New Roman" w:hAnsi="Times New Roman"/>
          <w:color w:val="C00000"/>
          <w:sz w:val="24"/>
          <w:szCs w:val="24"/>
        </w:rPr>
      </w:pPr>
    </w:p>
    <w:p w14:paraId="1A12BFA1" w14:textId="77777777" w:rsidR="00331400" w:rsidRPr="009D0025" w:rsidRDefault="00331400" w:rsidP="00331400">
      <w:pPr>
        <w:pStyle w:val="NoSpacing"/>
        <w:jc w:val="center"/>
        <w:rPr>
          <w:rFonts w:ascii="Times New Roman" w:hAnsi="Times New Roman"/>
          <w:color w:val="C00000"/>
          <w:sz w:val="24"/>
          <w:szCs w:val="24"/>
        </w:rPr>
      </w:pPr>
    </w:p>
    <w:p w14:paraId="318C70E1" w14:textId="77777777" w:rsidR="00C466BB" w:rsidRPr="009D0025" w:rsidRDefault="00C466BB" w:rsidP="00F326E5">
      <w:pPr>
        <w:pStyle w:val="NoSpacing"/>
        <w:rPr>
          <w:rFonts w:ascii="Times New Roman" w:hAnsi="Times New Roman"/>
          <w:b/>
          <w:sz w:val="24"/>
          <w:szCs w:val="24"/>
        </w:rPr>
      </w:pPr>
    </w:p>
    <w:p w14:paraId="689006E1" w14:textId="77777777" w:rsidR="00C466BB" w:rsidRPr="009D0025" w:rsidRDefault="00C466BB" w:rsidP="00F326E5">
      <w:pPr>
        <w:pStyle w:val="NoSpacing"/>
        <w:rPr>
          <w:rFonts w:ascii="Times New Roman" w:hAnsi="Times New Roman"/>
          <w:b/>
          <w:sz w:val="24"/>
          <w:szCs w:val="24"/>
        </w:rPr>
      </w:pPr>
    </w:p>
    <w:p w14:paraId="4FA2B992" w14:textId="77777777" w:rsidR="00C466BB" w:rsidRPr="009D0025" w:rsidRDefault="00C466BB" w:rsidP="00F326E5">
      <w:pPr>
        <w:pStyle w:val="NoSpacing"/>
        <w:rPr>
          <w:rFonts w:ascii="Times New Roman" w:hAnsi="Times New Roman"/>
          <w:b/>
          <w:sz w:val="24"/>
          <w:szCs w:val="24"/>
        </w:rPr>
      </w:pPr>
    </w:p>
    <w:p w14:paraId="75522B3B" w14:textId="7864D740" w:rsidR="00524648" w:rsidRPr="009D0025" w:rsidRDefault="00524648" w:rsidP="00F326E5">
      <w:pPr>
        <w:pStyle w:val="NoSpacing"/>
        <w:rPr>
          <w:rFonts w:ascii="Times New Roman" w:hAnsi="Times New Roman"/>
          <w:b/>
          <w:sz w:val="24"/>
          <w:szCs w:val="24"/>
        </w:rPr>
      </w:pPr>
      <w:r w:rsidRPr="009D0025">
        <w:rPr>
          <w:rFonts w:ascii="Times New Roman" w:hAnsi="Times New Roman"/>
          <w:b/>
          <w:sz w:val="24"/>
          <w:szCs w:val="24"/>
        </w:rPr>
        <w:t>16-131</w:t>
      </w:r>
    </w:p>
    <w:p w14:paraId="422897A9" w14:textId="77777777" w:rsidR="00524648" w:rsidRDefault="00524648" w:rsidP="00F326E5">
      <w:pPr>
        <w:pStyle w:val="NoSpacing"/>
        <w:rPr>
          <w:rFonts w:ascii="Arial Black" w:hAnsi="Arial Black"/>
          <w:b/>
          <w:sz w:val="24"/>
          <w:szCs w:val="24"/>
        </w:rPr>
      </w:pPr>
    </w:p>
    <w:p w14:paraId="23E72A14" w14:textId="77777777" w:rsidR="00524648" w:rsidRPr="002D352D" w:rsidRDefault="00524648" w:rsidP="00524648">
      <w:pPr>
        <w:pStyle w:val="NoSpacing"/>
        <w:rPr>
          <w:rFonts w:ascii="Arial Black" w:hAnsi="Arial Black"/>
          <w:b/>
          <w:sz w:val="28"/>
          <w:szCs w:val="28"/>
        </w:rPr>
      </w:pPr>
      <w:r w:rsidRPr="00C34488">
        <w:rPr>
          <w:rFonts w:ascii="Arial Black" w:hAnsi="Arial Black"/>
          <w:b/>
          <w:sz w:val="28"/>
          <w:szCs w:val="28"/>
        </w:rPr>
        <w:t xml:space="preserve">OH: FORMER CINCINNATI FIRE </w:t>
      </w:r>
      <w:r w:rsidRPr="00C34488">
        <w:rPr>
          <w:rFonts w:ascii="Arial Black" w:hAnsi="Arial Black"/>
          <w:sz w:val="28"/>
          <w:szCs w:val="28"/>
        </w:rPr>
        <w:t>CHIEF - NO PRIOR NOTICE O</w:t>
      </w:r>
      <w:r w:rsidRPr="00C34488">
        <w:rPr>
          <w:rFonts w:ascii="Arial Black" w:hAnsi="Arial Black"/>
          <w:b/>
          <w:sz w:val="28"/>
          <w:szCs w:val="28"/>
        </w:rPr>
        <w:t>F CHARGES / NO PRE-TERMINATION HEARING</w:t>
      </w:r>
    </w:p>
    <w:p w14:paraId="7645F603" w14:textId="77777777" w:rsidR="00524648" w:rsidRPr="00C34488" w:rsidRDefault="00524648" w:rsidP="00524648">
      <w:pPr>
        <w:pStyle w:val="NoSpacing"/>
        <w:rPr>
          <w:rFonts w:ascii="Arial Black" w:hAnsi="Arial Black"/>
          <w:b/>
        </w:rPr>
      </w:pPr>
    </w:p>
    <w:p w14:paraId="74FBCC7E" w14:textId="77777777" w:rsidR="00524648" w:rsidRPr="00C34488" w:rsidRDefault="00524648" w:rsidP="00524648">
      <w:pPr>
        <w:pStyle w:val="NoSpacing"/>
      </w:pPr>
      <w:r w:rsidRPr="00C34488">
        <w:t xml:space="preserve">On Aug. 26, 2025, in </w:t>
      </w:r>
      <w:r w:rsidRPr="00C34488">
        <w:rPr>
          <w:u w:val="single"/>
        </w:rPr>
        <w:t>Michael J. Washington v. City of Cincinnati, et al</w:t>
      </w:r>
      <w:r w:rsidRPr="00C34488">
        <w:t>.,</w:t>
      </w:r>
      <w:r w:rsidRPr="00C34488">
        <w:rPr>
          <w:b/>
        </w:rPr>
        <w:t xml:space="preserve"> </w:t>
      </w:r>
      <w:r w:rsidRPr="00C34488">
        <w:t>Stephanie K. Bowman, United States Chief Magistrate Judge</w:t>
      </w:r>
      <w:r>
        <w:t xml:space="preserve"> Stephanie K. Bowman</w:t>
      </w:r>
      <w:r w:rsidRPr="00C34488">
        <w:t xml:space="preserve">, United States District Court for Southern District of Ohio, held that his lawsuit may proceed to trial [scheduled for September 29, 2025]. </w:t>
      </w:r>
    </w:p>
    <w:p w14:paraId="7AE10444" w14:textId="77777777" w:rsidR="00524648" w:rsidRDefault="00524648" w:rsidP="00524648">
      <w:pPr>
        <w:pStyle w:val="NoSpacing"/>
      </w:pPr>
    </w:p>
    <w:p w14:paraId="256DA6B5" w14:textId="77777777" w:rsidR="00524648" w:rsidRPr="00C34488" w:rsidRDefault="00524648" w:rsidP="00524648">
      <w:pPr>
        <w:pStyle w:val="NoSpacing"/>
        <w:ind w:left="720"/>
      </w:pPr>
      <w:r w:rsidRPr="00C34488">
        <w:t xml:space="preserve">“Defendants Long [City Manager Sheryl Long] and the </w:t>
      </w:r>
      <w:proofErr w:type="gramStart"/>
      <w:r w:rsidRPr="00C34488">
        <w:t>City</w:t>
      </w:r>
      <w:proofErr w:type="gramEnd"/>
      <w:r w:rsidRPr="00C34488">
        <w:t xml:space="preserve"> failed to provide Washington with adequate pretermination procedural due process when they terminated him on March 24, 2023, in violation of the Due Process Clause of the Fourteenth</w:t>
      </w:r>
    </w:p>
    <w:p w14:paraId="7AA126EC" w14:textId="77777777" w:rsidR="00524648" w:rsidRDefault="00524648" w:rsidP="00524648">
      <w:pPr>
        <w:pStyle w:val="NoSpacing"/>
        <w:ind w:left="720"/>
      </w:pPr>
      <w:r w:rsidRPr="00C34488">
        <w:t xml:space="preserve">Amendment.  *** </w:t>
      </w:r>
      <w:r>
        <w:t>No one disputes that the Charter language gave City Manager Long the authority to fire Plaintiff, albeit ‘only for cause’ given his length of service. But even the Charter language confirms that a pretermination hearing before the City Manager was required. *** Thus, before executing her authority to terminate Washington, Long</w:t>
      </w:r>
    </w:p>
    <w:p w14:paraId="135F1C48" w14:textId="77777777" w:rsidR="00524648" w:rsidRDefault="00524648" w:rsidP="00524648">
      <w:pPr>
        <w:pStyle w:val="NoSpacing"/>
        <w:ind w:left="720"/>
      </w:pPr>
      <w:r>
        <w:t>was required to provide him with advance oral or written notice of the charges against</w:t>
      </w:r>
    </w:p>
    <w:p w14:paraId="42CCA30A" w14:textId="77777777" w:rsidR="00524648" w:rsidRDefault="00524648" w:rsidP="00524648">
      <w:pPr>
        <w:pStyle w:val="NoSpacing"/>
        <w:ind w:left="720"/>
      </w:pPr>
      <w:r>
        <w:t>him, an explanation of her evidence, and a hearing at which Plaintiff had a reasonable</w:t>
      </w:r>
    </w:p>
    <w:p w14:paraId="3F9788E8" w14:textId="77777777" w:rsidR="00524648" w:rsidRDefault="00524648" w:rsidP="00524648">
      <w:pPr>
        <w:pStyle w:val="NoSpacing"/>
        <w:ind w:left="720"/>
      </w:pPr>
      <w:r>
        <w:t xml:space="preserve">opportunity to respond. *** </w:t>
      </w:r>
      <w:r w:rsidRPr="00C34488">
        <w:t>These remaining issues shall proceed to trial: (a) the adequacy of the post-termination process and whether Plaintiff waived his post-termination hearing;</w:t>
      </w:r>
      <w:r>
        <w:t xml:space="preserve"> </w:t>
      </w:r>
      <w:r w:rsidRPr="00C34488">
        <w:t>(b) whether Defendants had cause to terminate Plaintiff; (c) whether Defendant</w:t>
      </w:r>
      <w:r>
        <w:t xml:space="preserve"> </w:t>
      </w:r>
      <w:r w:rsidRPr="00C34488">
        <w:t xml:space="preserve">Long defamed Plaintiff; and (d) what damages, if any, Plaintiff may recover.”  </w:t>
      </w:r>
    </w:p>
    <w:p w14:paraId="336BF0B1" w14:textId="77777777" w:rsidR="00524648" w:rsidRPr="00C34488" w:rsidRDefault="00524648" w:rsidP="00524648">
      <w:pPr>
        <w:pStyle w:val="NoSpacing"/>
        <w:ind w:left="720"/>
      </w:pPr>
      <w:hyperlink r:id="rId2529" w:history="1">
        <w:r w:rsidRPr="00C34488">
          <w:rPr>
            <w:rStyle w:val="Hyperlink"/>
          </w:rPr>
          <w:t>https://cases.justia.com/federal/district-courts/ohio/ohsdce/1:2023cv00230/279336/47/0.pdf?ts=1756299215</w:t>
        </w:r>
      </w:hyperlink>
      <w:r w:rsidRPr="00C34488">
        <w:t xml:space="preserve"> </w:t>
      </w:r>
    </w:p>
    <w:p w14:paraId="4EFD89EC" w14:textId="77777777" w:rsidR="00524648" w:rsidRPr="00C34488" w:rsidRDefault="00524648" w:rsidP="00524648">
      <w:pPr>
        <w:pStyle w:val="NoSpacing"/>
      </w:pPr>
    </w:p>
    <w:p w14:paraId="6FA0F17B" w14:textId="77777777" w:rsidR="00524648" w:rsidRPr="00C34488" w:rsidRDefault="00524648" w:rsidP="00524648">
      <w:pPr>
        <w:pStyle w:val="NoSpacing"/>
        <w:rPr>
          <w:rFonts w:ascii="Arial Black" w:hAnsi="Arial Black"/>
        </w:rPr>
      </w:pPr>
    </w:p>
    <w:p w14:paraId="0C5CF838" w14:textId="77777777" w:rsidR="00524648" w:rsidRPr="00C34488" w:rsidRDefault="00524648" w:rsidP="00524648">
      <w:pPr>
        <w:pStyle w:val="NoSpacing"/>
      </w:pPr>
      <w:r w:rsidRPr="00C34488">
        <w:t xml:space="preserve">THREE KEY </w:t>
      </w:r>
      <w:r>
        <w:t>SUMMARIES:</w:t>
      </w:r>
    </w:p>
    <w:p w14:paraId="65AB2B9F" w14:textId="77777777" w:rsidR="00524648" w:rsidRPr="00C34488" w:rsidRDefault="00524648" w:rsidP="00524648">
      <w:pPr>
        <w:pStyle w:val="NoSpacing"/>
        <w:rPr>
          <w:rFonts w:ascii="Arial Black" w:hAnsi="Arial Black"/>
        </w:rPr>
      </w:pPr>
    </w:p>
    <w:p w14:paraId="72B56433" w14:textId="77777777" w:rsidR="00524648" w:rsidRPr="00C34488" w:rsidRDefault="00524648" w:rsidP="00524648">
      <w:pPr>
        <w:pStyle w:val="NoSpacing"/>
        <w:numPr>
          <w:ilvl w:val="0"/>
          <w:numId w:val="28"/>
        </w:numPr>
      </w:pPr>
      <w:r w:rsidRPr="00C34488">
        <w:t>“Plaintiff’s thirty-year career came to an abrupt close on March 24, 2023, when he</w:t>
      </w:r>
    </w:p>
    <w:p w14:paraId="33D1F8E1" w14:textId="77777777" w:rsidR="00524648" w:rsidRPr="00C34488" w:rsidRDefault="00524648" w:rsidP="00524648">
      <w:pPr>
        <w:pStyle w:val="NoSpacing"/>
        <w:ind w:firstLine="720"/>
      </w:pPr>
      <w:r w:rsidRPr="00C34488">
        <w:t>was summoned to a meeting at City Hall. City Manager Sheryl Long and two Human</w:t>
      </w:r>
    </w:p>
    <w:p w14:paraId="1945AF6D" w14:textId="77777777" w:rsidR="00524648" w:rsidRPr="00C34488" w:rsidRDefault="00524648" w:rsidP="00524648">
      <w:pPr>
        <w:pStyle w:val="NoSpacing"/>
        <w:ind w:firstLine="720"/>
      </w:pPr>
      <w:r w:rsidRPr="00C34488">
        <w:t>Resources representatives attended the meeting. Once Washington arrived, Long told</w:t>
      </w:r>
    </w:p>
    <w:p w14:paraId="21679A5A" w14:textId="77777777" w:rsidR="00524648" w:rsidRPr="00C34488" w:rsidRDefault="00524648" w:rsidP="00524648">
      <w:pPr>
        <w:pStyle w:val="NoSpacing"/>
        <w:ind w:firstLine="720"/>
      </w:pPr>
      <w:r w:rsidRPr="00C34488">
        <w:t>Washington that he was being terminated, effective immediately, and handed him a</w:t>
      </w:r>
    </w:p>
    <w:p w14:paraId="1E99398D" w14:textId="77777777" w:rsidR="00524648" w:rsidRPr="00C34488" w:rsidRDefault="00524648" w:rsidP="00524648">
      <w:pPr>
        <w:pStyle w:val="NoSpacing"/>
        <w:ind w:firstLine="720"/>
      </w:pPr>
      <w:r w:rsidRPr="00C34488">
        <w:t>termination letter. The termination letter accused Plaintiff of various leadership and</w:t>
      </w:r>
    </w:p>
    <w:p w14:paraId="77419B4E" w14:textId="77777777" w:rsidR="00524648" w:rsidRPr="00C34488" w:rsidRDefault="00524648" w:rsidP="00524648">
      <w:pPr>
        <w:pStyle w:val="NoSpacing"/>
        <w:ind w:firstLine="720"/>
      </w:pPr>
      <w:r w:rsidRPr="00C34488">
        <w:t>conduct failures, including: (1) poor workplace culture; (2) absence from a high-rise fire;</w:t>
      </w:r>
    </w:p>
    <w:p w14:paraId="2AEFEB4F" w14:textId="77777777" w:rsidR="00524648" w:rsidRPr="00C34488" w:rsidRDefault="00524648" w:rsidP="00524648">
      <w:pPr>
        <w:pStyle w:val="NoSpacing"/>
        <w:ind w:firstLine="720"/>
      </w:pPr>
      <w:r w:rsidRPr="00C34488">
        <w:t>(3) mishandling of personnel matters regarding a lieutenant charged with assault; (4)</w:t>
      </w:r>
    </w:p>
    <w:p w14:paraId="512305CC" w14:textId="77777777" w:rsidR="00524648" w:rsidRPr="00C34488" w:rsidRDefault="00524648" w:rsidP="00524648">
      <w:pPr>
        <w:pStyle w:val="NoSpacing"/>
        <w:ind w:firstLine="720"/>
      </w:pPr>
      <w:r w:rsidRPr="00C34488">
        <w:t>ineffective management of the acquisition of a training facility; and (5) ineffective</w:t>
      </w:r>
    </w:p>
    <w:p w14:paraId="47A2439E" w14:textId="77777777" w:rsidR="00524648" w:rsidRPr="00C34488" w:rsidRDefault="00524648" w:rsidP="00524648">
      <w:pPr>
        <w:pStyle w:val="NoSpacing"/>
        <w:ind w:left="720"/>
      </w:pPr>
      <w:r w:rsidRPr="00C34488">
        <w:t xml:space="preserve">communication with Long and others…. When she left the meeting, </w:t>
      </w:r>
      <w:proofErr w:type="gramStart"/>
      <w:r w:rsidRPr="00C34488">
        <w:t>Long</w:t>
      </w:r>
      <w:proofErr w:type="gramEnd"/>
      <w:r w:rsidRPr="00C34488">
        <w:t xml:space="preserve"> notified the </w:t>
      </w:r>
      <w:proofErr w:type="gramStart"/>
      <w:r w:rsidRPr="00C34488">
        <w:t>Mayor</w:t>
      </w:r>
      <w:proofErr w:type="gramEnd"/>
      <w:r w:rsidRPr="00C34488">
        <w:t xml:space="preserve"> and members of City Council that Plaintiff had been terminated for cause…. In a Memorandum entitled “For Your Information,” Long listed her reasons for terminating</w:t>
      </w:r>
    </w:p>
    <w:p w14:paraId="3708DC71" w14:textId="77777777" w:rsidR="00524648" w:rsidRPr="00C34488" w:rsidRDefault="00524648" w:rsidP="00524648">
      <w:pPr>
        <w:pStyle w:val="NoSpacing"/>
        <w:ind w:left="720"/>
      </w:pPr>
      <w:r w:rsidRPr="00C34488">
        <w:t xml:space="preserve">Washington, and announced his interim replacement…. The same morning, </w:t>
      </w:r>
      <w:proofErr w:type="gramStart"/>
      <w:r w:rsidRPr="00C34488">
        <w:t>Long</w:t>
      </w:r>
      <w:proofErr w:type="gramEnd"/>
      <w:r w:rsidRPr="00C34488">
        <w:t xml:space="preserve"> notified media outlets of Washington’s termination and replacement, providing a copy of the termination letter and making statements in interviews consistent with the statements in the termination letter and Memorandum. *** A review of the [Memorandum]… reveals specific examples of misconduct (e.g., ‘multiple women have come forward with concerns about the workplace environment,’ Washington ‘never moved forward’ with the climate assessment)</w:t>
      </w:r>
      <w:r>
        <w:t>.”</w:t>
      </w:r>
      <w:r w:rsidRPr="00C34488">
        <w:t xml:space="preserve"> </w:t>
      </w:r>
    </w:p>
    <w:p w14:paraId="69FD9EEF" w14:textId="77777777" w:rsidR="00524648" w:rsidRPr="00C34488" w:rsidRDefault="00524648" w:rsidP="00524648">
      <w:pPr>
        <w:pStyle w:val="NoSpacing"/>
      </w:pPr>
    </w:p>
    <w:p w14:paraId="41C72665" w14:textId="77777777" w:rsidR="00524648" w:rsidRPr="00C34488" w:rsidRDefault="00524648" w:rsidP="00524648">
      <w:pPr>
        <w:pStyle w:val="NoSpacing"/>
        <w:numPr>
          <w:ilvl w:val="0"/>
          <w:numId w:val="28"/>
        </w:numPr>
      </w:pPr>
      <w:r w:rsidRPr="00C34488">
        <w:t>“Plaintiff requested a post-termination hearing before a neutral decisionmaker.</w:t>
      </w:r>
    </w:p>
    <w:p w14:paraId="1018B5EE" w14:textId="77777777" w:rsidR="00524648" w:rsidRPr="00C34488" w:rsidRDefault="00524648" w:rsidP="00524648">
      <w:pPr>
        <w:pStyle w:val="NoSpacing"/>
        <w:ind w:firstLine="720"/>
      </w:pPr>
      <w:r w:rsidRPr="00C34488">
        <w:t xml:space="preserve">Defendants responded by offering a post-termination hearing before Long, citing </w:t>
      </w:r>
      <w:proofErr w:type="gramStart"/>
      <w:r w:rsidRPr="00C34488">
        <w:t>to</w:t>
      </w:r>
      <w:proofErr w:type="gramEnd"/>
      <w:r w:rsidRPr="00C34488">
        <w:t xml:space="preserve"> the</w:t>
      </w:r>
    </w:p>
    <w:p w14:paraId="1F0818A5" w14:textId="77777777" w:rsidR="00524648" w:rsidRPr="00C34488" w:rsidRDefault="00524648" w:rsidP="00524648">
      <w:pPr>
        <w:pStyle w:val="NoSpacing"/>
        <w:ind w:left="720"/>
      </w:pPr>
      <w:r w:rsidRPr="00C34488">
        <w:t>City Charter…. No hearing was ever held.”</w:t>
      </w:r>
    </w:p>
    <w:p w14:paraId="14A639BA" w14:textId="77777777" w:rsidR="00524648" w:rsidRPr="00C34488" w:rsidRDefault="00524648" w:rsidP="00524648">
      <w:pPr>
        <w:pStyle w:val="NoSpacing"/>
      </w:pPr>
    </w:p>
    <w:p w14:paraId="4801487F" w14:textId="77777777" w:rsidR="00524648" w:rsidRPr="00C34488" w:rsidRDefault="00524648" w:rsidP="00524648">
      <w:pPr>
        <w:pStyle w:val="NoSpacing"/>
        <w:ind w:left="720" w:firstLine="720"/>
      </w:pPr>
      <w:r w:rsidRPr="00C34488">
        <w:t xml:space="preserve">City Charter provides: </w:t>
      </w:r>
    </w:p>
    <w:p w14:paraId="74470541" w14:textId="77777777" w:rsidR="00524648" w:rsidRPr="00C34488" w:rsidRDefault="00524648" w:rsidP="00524648">
      <w:pPr>
        <w:pStyle w:val="NoSpacing"/>
      </w:pPr>
    </w:p>
    <w:p w14:paraId="63A175A3" w14:textId="77777777" w:rsidR="00524648" w:rsidRPr="00C34488" w:rsidRDefault="00524648" w:rsidP="00524648">
      <w:pPr>
        <w:pStyle w:val="NoSpacing"/>
        <w:ind w:left="1440"/>
      </w:pPr>
      <w:r w:rsidRPr="00C34488">
        <w:t>“After the fire chief has served six months, he or she shall be subject to removal only for cause including incompetency, inefficiency, dishonesty, insubordination, unsatisfactory performance, any other failure of good behavior, any other acts of misfeasance, malfeasance, or nonfeasance in office, or conviction of any felony. If removed for cause the fire chief may demand written charges and the right to be heard thereon before the city manager. Pending the completion of such hearing the city manager may suspend the fire chief from office.”</w:t>
      </w:r>
    </w:p>
    <w:p w14:paraId="442AE520" w14:textId="77777777" w:rsidR="00524648" w:rsidRPr="00C34488" w:rsidRDefault="00524648" w:rsidP="00524648">
      <w:pPr>
        <w:pStyle w:val="NoSpacing"/>
      </w:pPr>
    </w:p>
    <w:p w14:paraId="3CA4E094" w14:textId="77777777" w:rsidR="00524648" w:rsidRPr="00C34488" w:rsidRDefault="00524648" w:rsidP="00524648">
      <w:pPr>
        <w:pStyle w:val="NoSpacing"/>
        <w:numPr>
          <w:ilvl w:val="0"/>
          <w:numId w:val="28"/>
        </w:numPr>
      </w:pPr>
      <w:r w:rsidRPr="00C34488">
        <w:t xml:space="preserve">“Here, Long's purposeful decision not to investigate or even to permit Washington to respond to the bullet points in the termination letter, combined with making allegedly false representations of verifiable facts within her knowledge, is sufficient to support a finding of actual malice…. No one disputes that the Charter language gave City Manager Long the authority to fire Plaintiff, albeit ‘only for cause’ given his length of service. But even the Charter language confirms that a pretermination hearing before the City Manager was required…. In </w:t>
      </w:r>
      <w:r w:rsidRPr="00C34488">
        <w:rPr>
          <w:u w:val="single"/>
        </w:rPr>
        <w:t>Loudermill</w:t>
      </w:r>
      <w:r w:rsidRPr="00C34488">
        <w:t>, the Supreme Court explained that suspension with pay strikes a balance between a government’s interest in immediate termination and an employee’s constitutional right to a pretermination hearing.”</w:t>
      </w:r>
    </w:p>
    <w:p w14:paraId="1C487372" w14:textId="77777777" w:rsidR="00524648" w:rsidRPr="00C34488" w:rsidRDefault="00524648" w:rsidP="00524648">
      <w:pPr>
        <w:pStyle w:val="NoSpacing"/>
      </w:pPr>
    </w:p>
    <w:p w14:paraId="2281A28D" w14:textId="77777777" w:rsidR="00524648" w:rsidRPr="00C34488" w:rsidRDefault="00524648" w:rsidP="00524648">
      <w:pPr>
        <w:pStyle w:val="NoSpacing"/>
        <w:rPr>
          <w:b/>
        </w:rPr>
      </w:pPr>
      <w:r w:rsidRPr="00C34488">
        <w:rPr>
          <w:b/>
        </w:rPr>
        <w:t xml:space="preserve">Legal lesson learned: A jury will now decide if the </w:t>
      </w:r>
      <w:r>
        <w:rPr>
          <w:b/>
        </w:rPr>
        <w:t xml:space="preserve">former Chief is entitled to damages when the </w:t>
      </w:r>
      <w:r w:rsidRPr="00C34488">
        <w:rPr>
          <w:b/>
        </w:rPr>
        <w:t xml:space="preserve">City Manager </w:t>
      </w:r>
      <w:r>
        <w:rPr>
          <w:b/>
        </w:rPr>
        <w:t xml:space="preserve">did not offer a pre-termination hearing; read the 1985 U.S. Supreme Court decision in </w:t>
      </w:r>
      <w:r w:rsidRPr="00C34488">
        <w:rPr>
          <w:b/>
          <w:u w:val="single"/>
        </w:rPr>
        <w:t>Cleveland Board of Education v. Loudermill</w:t>
      </w:r>
      <w:r w:rsidRPr="00C34488">
        <w:t xml:space="preserve">, </w:t>
      </w:r>
      <w:hyperlink r:id="rId2530" w:history="1">
        <w:r w:rsidRPr="00820086">
          <w:rPr>
            <w:rStyle w:val="Hyperlink"/>
          </w:rPr>
          <w:t>https://supreme.justia.com/cases/federal/us/470/532/</w:t>
        </w:r>
      </w:hyperlink>
      <w:r>
        <w:t xml:space="preserve"> </w:t>
      </w:r>
      <w:r w:rsidRPr="00C34488">
        <w:rPr>
          <w:b/>
        </w:rPr>
        <w:t xml:space="preserve"> </w:t>
      </w:r>
    </w:p>
    <w:p w14:paraId="6245AF4C" w14:textId="77777777" w:rsidR="00524648" w:rsidRPr="00C34488" w:rsidRDefault="00524648" w:rsidP="00524648">
      <w:pPr>
        <w:pStyle w:val="NoSpacing"/>
      </w:pPr>
    </w:p>
    <w:p w14:paraId="2662D9AB" w14:textId="77777777" w:rsidR="00524648" w:rsidRPr="00C34488" w:rsidRDefault="00524648" w:rsidP="00524648">
      <w:pPr>
        <w:pStyle w:val="NoSpacing"/>
        <w:ind w:left="720"/>
      </w:pPr>
      <w:r w:rsidRPr="00C34488">
        <w:t xml:space="preserve">Note: See Aug. 27, </w:t>
      </w:r>
      <w:proofErr w:type="gramStart"/>
      <w:r w:rsidRPr="00C34488">
        <w:t>2025</w:t>
      </w:r>
      <w:proofErr w:type="gramEnd"/>
      <w:r w:rsidRPr="00C34488">
        <w:t xml:space="preserve"> article, “Former Cincinnati fire chief's wrongful termination lawsuit is set for trial.”  </w:t>
      </w:r>
      <w:hyperlink r:id="rId2531" w:history="1">
        <w:r w:rsidRPr="00820086">
          <w:rPr>
            <w:rStyle w:val="Hyperlink"/>
          </w:rPr>
          <w:t>https://www.wvxu.org/politics/2025-08-27/michael-washington-wrongful-termination-lawsuit-trial</w:t>
        </w:r>
      </w:hyperlink>
      <w:r>
        <w:t xml:space="preserve"> </w:t>
      </w:r>
    </w:p>
    <w:p w14:paraId="39452D8B" w14:textId="77777777" w:rsidR="00524648" w:rsidRPr="00C34488" w:rsidRDefault="00524648" w:rsidP="00524648">
      <w:pPr>
        <w:pStyle w:val="NoSpacing"/>
        <w:rPr>
          <w:b/>
        </w:rPr>
      </w:pPr>
    </w:p>
    <w:p w14:paraId="33272C8D" w14:textId="77777777" w:rsidR="00524648" w:rsidRDefault="00524648" w:rsidP="00F326E5">
      <w:pPr>
        <w:pStyle w:val="NoSpacing"/>
        <w:rPr>
          <w:rFonts w:ascii="Arial Black" w:hAnsi="Arial Black"/>
          <w:b/>
          <w:sz w:val="24"/>
          <w:szCs w:val="24"/>
        </w:rPr>
      </w:pPr>
    </w:p>
    <w:p w14:paraId="680433B8" w14:textId="77777777" w:rsidR="00524648" w:rsidRDefault="00524648" w:rsidP="00F326E5">
      <w:pPr>
        <w:pStyle w:val="NoSpacing"/>
        <w:rPr>
          <w:rFonts w:ascii="Arial Black" w:hAnsi="Arial Black"/>
          <w:b/>
          <w:sz w:val="24"/>
          <w:szCs w:val="24"/>
        </w:rPr>
      </w:pPr>
    </w:p>
    <w:p w14:paraId="4E3E1644" w14:textId="77777777" w:rsidR="00524648" w:rsidRDefault="00524648" w:rsidP="00F326E5">
      <w:pPr>
        <w:pStyle w:val="NoSpacing"/>
        <w:rPr>
          <w:rFonts w:ascii="Arial Black" w:hAnsi="Arial Black"/>
          <w:b/>
          <w:sz w:val="24"/>
          <w:szCs w:val="24"/>
        </w:rPr>
      </w:pPr>
    </w:p>
    <w:p w14:paraId="08C6050E" w14:textId="77777777" w:rsidR="00524648" w:rsidRDefault="00524648" w:rsidP="00F326E5">
      <w:pPr>
        <w:pStyle w:val="NoSpacing"/>
        <w:rPr>
          <w:rFonts w:ascii="Arial Black" w:hAnsi="Arial Black"/>
          <w:b/>
          <w:sz w:val="24"/>
          <w:szCs w:val="24"/>
        </w:rPr>
      </w:pPr>
    </w:p>
    <w:p w14:paraId="388BCCFD" w14:textId="6C515F68" w:rsidR="000C4268" w:rsidRPr="000C4268" w:rsidRDefault="000C4268" w:rsidP="00F326E5">
      <w:pPr>
        <w:pStyle w:val="NoSpacing"/>
        <w:rPr>
          <w:rFonts w:ascii="Arial Black" w:hAnsi="Arial Black"/>
          <w:b/>
          <w:sz w:val="24"/>
          <w:szCs w:val="24"/>
        </w:rPr>
      </w:pPr>
      <w:r w:rsidRPr="000C4268">
        <w:rPr>
          <w:rFonts w:ascii="Arial Black" w:hAnsi="Arial Black"/>
          <w:b/>
          <w:sz w:val="24"/>
          <w:szCs w:val="24"/>
        </w:rPr>
        <w:t>16-130</w:t>
      </w:r>
    </w:p>
    <w:p w14:paraId="21E7035D" w14:textId="77777777" w:rsidR="00635D7C" w:rsidRDefault="00635D7C" w:rsidP="00CF19EA">
      <w:pPr>
        <w:pStyle w:val="NoSpacing"/>
        <w:rPr>
          <w:rFonts w:ascii="Arial Black" w:hAnsi="Arial Black"/>
          <w:sz w:val="28"/>
          <w:szCs w:val="28"/>
        </w:rPr>
      </w:pPr>
    </w:p>
    <w:p w14:paraId="042BABBF" w14:textId="77777777" w:rsidR="00DB5954" w:rsidRPr="00DD4F1A" w:rsidRDefault="00DB5954" w:rsidP="00DB5954">
      <w:pPr>
        <w:rPr>
          <w:rFonts w:ascii="Arial Black" w:hAnsi="Arial Black"/>
          <w:b/>
          <w:sz w:val="28"/>
          <w:szCs w:val="28"/>
        </w:rPr>
      </w:pPr>
      <w:r>
        <w:rPr>
          <w:rFonts w:ascii="Arial Black" w:hAnsi="Arial Black"/>
          <w:b/>
          <w:sz w:val="28"/>
          <w:szCs w:val="28"/>
        </w:rPr>
        <w:t>IN: FIRE CHIEF CONV. FRAUD – FD STOP ONLINE SALE PROP.</w:t>
      </w:r>
    </w:p>
    <w:p w14:paraId="1A6864FA" w14:textId="77777777" w:rsidR="00DB5954" w:rsidRPr="004B4757" w:rsidRDefault="00DB5954" w:rsidP="00DB5954">
      <w:pPr>
        <w:rPr>
          <w:rFonts w:ascii="Times New Roman" w:hAnsi="Times New Roman"/>
          <w:sz w:val="24"/>
          <w:szCs w:val="24"/>
        </w:rPr>
      </w:pPr>
      <w:r w:rsidRPr="004B4757">
        <w:rPr>
          <w:rFonts w:ascii="Times New Roman" w:hAnsi="Times New Roman"/>
          <w:sz w:val="24"/>
          <w:szCs w:val="24"/>
        </w:rPr>
        <w:t xml:space="preserve">On July 18, 2025, in </w:t>
      </w:r>
      <w:r w:rsidRPr="004B4757">
        <w:rPr>
          <w:rFonts w:ascii="Times New Roman" w:hAnsi="Times New Roman"/>
          <w:sz w:val="24"/>
          <w:szCs w:val="24"/>
          <w:u w:val="single"/>
        </w:rPr>
        <w:t>Utica Township Volunteer Fire Fighters Association d/b/a New Chapel EMS, and Utica Township Fire Department Incorporated d/b/a New Chapel Fire &amp; EMS v. Board of Trustees, Utica Township Fire Protection District</w:t>
      </w:r>
      <w:r w:rsidRPr="004B4757">
        <w:rPr>
          <w:rFonts w:ascii="Times New Roman" w:hAnsi="Times New Roman"/>
          <w:sz w:val="24"/>
          <w:szCs w:val="24"/>
        </w:rPr>
        <w:t xml:space="preserve">, the </w:t>
      </w:r>
      <w:r w:rsidRPr="004B4757">
        <w:rPr>
          <w:rFonts w:ascii="Times New Roman" w:hAnsi="Times New Roman"/>
          <w:bCs/>
          <w:sz w:val="24"/>
          <w:szCs w:val="24"/>
        </w:rPr>
        <w:t>Court of Appeals of Indiana</w:t>
      </w:r>
      <w:r w:rsidRPr="004B4757">
        <w:rPr>
          <w:rFonts w:ascii="Times New Roman" w:hAnsi="Times New Roman"/>
          <w:sz w:val="24"/>
          <w:szCs w:val="24"/>
        </w:rPr>
        <w:t xml:space="preserve"> held (3 to 0) that trial court properly issued a preliminary injunction on behalf of the Board of Trustees of the Utica Township Fire Protection District, preventing the Association and  the Department from selling various items of Fire District property via online sites.  Jamey Noel was the CEO of both the Association and the Department, and a former Indiana State Trooper; in Oct. 2014 he was sentenced to 15 years in prison under plea agreement.  According to press report: “Additionally included in the plea deal is an agreement for Noel to pay back more than $3.1 million in public funds: $2,870,924 to the Utica Volunteer Firefighters Association; $61,190 to the Clark County Sheriff’s Department; $173,155 to the Indiana Department of Revenue; and $35,245 to the Indiana State Police… Using findings from a long-term Indiana State Police investigation, state prosecutors alleged Noel used millions of taxpayer dollars from the Utica Volunteer Firefighters Association and New Chapel EMS to buy cars, planes, vacations, clothing and other personal luxury purchases. Investigators said public funds were also used to pay for college tuition and child </w:t>
      </w:r>
      <w:proofErr w:type="gramStart"/>
      <w:r w:rsidRPr="004B4757">
        <w:rPr>
          <w:rFonts w:ascii="Times New Roman" w:hAnsi="Times New Roman"/>
          <w:sz w:val="24"/>
          <w:szCs w:val="24"/>
        </w:rPr>
        <w:t>support.”</w:t>
      </w:r>
      <w:proofErr w:type="gramEnd"/>
      <w:r w:rsidRPr="004B4757">
        <w:rPr>
          <w:rFonts w:ascii="Times New Roman" w:hAnsi="Times New Roman"/>
          <w:sz w:val="24"/>
          <w:szCs w:val="24"/>
        </w:rPr>
        <w:t xml:space="preserve"> </w:t>
      </w:r>
      <w:hyperlink r:id="rId2532" w:history="1">
        <w:r w:rsidRPr="004B4757">
          <w:rPr>
            <w:rStyle w:val="Hyperlink"/>
            <w:rFonts w:ascii="Times New Roman" w:hAnsi="Times New Roman"/>
            <w:sz w:val="24"/>
            <w:szCs w:val="24"/>
          </w:rPr>
          <w:t>https://indianacapitalchronicle.com/2024/10/14/former-indiana-sheriff-jamey-noel-sentenced-to-15-years-in-prison-as-part-of-plea-deal/</w:t>
        </w:r>
      </w:hyperlink>
      <w:r w:rsidRPr="004B4757">
        <w:rPr>
          <w:rFonts w:ascii="Times New Roman" w:hAnsi="Times New Roman"/>
          <w:sz w:val="24"/>
          <w:szCs w:val="24"/>
        </w:rPr>
        <w:t xml:space="preserve"> .  THE COURT HELD:  “New Chapel first asserts that the trial court lacked sufficient evidence of the value of the Fire District's property that New Chapel was attempting to misappropriate. But New Chapel is incorrect. The Fire District made it abundantly clear at the hearing that it had expended substantial sums on certain equipment, including nearly $700,000 on three vehicles alone. The record also makes New Chapel's ability to pay reasonable financial damages to the Fire District clear, including New Chapel's own admissions to the court. New Chapel's argument here is not supported by either the record or cogent </w:t>
      </w:r>
      <w:proofErr w:type="gramStart"/>
      <w:r w:rsidRPr="004B4757">
        <w:rPr>
          <w:rFonts w:ascii="Times New Roman" w:hAnsi="Times New Roman"/>
          <w:sz w:val="24"/>
          <w:szCs w:val="24"/>
        </w:rPr>
        <w:t>reasoning.”</w:t>
      </w:r>
      <w:proofErr w:type="gramEnd"/>
      <w:r w:rsidRPr="004B4757">
        <w:rPr>
          <w:rFonts w:ascii="Times New Roman" w:hAnsi="Times New Roman"/>
          <w:sz w:val="24"/>
          <w:szCs w:val="24"/>
        </w:rPr>
        <w:t xml:space="preserve"> </w:t>
      </w:r>
      <w:hyperlink r:id="rId2533" w:history="1">
        <w:r w:rsidRPr="004B4757">
          <w:rPr>
            <w:rStyle w:val="Hyperlink"/>
            <w:rFonts w:ascii="Times New Roman" w:hAnsi="Times New Roman"/>
            <w:sz w:val="24"/>
            <w:szCs w:val="24"/>
          </w:rPr>
          <w:t>https://cases.justia.com/indiana/court-of-appeals/2025-24a-pl-02646.pdf?ts=1752863306</w:t>
        </w:r>
      </w:hyperlink>
      <w:r w:rsidRPr="004B4757">
        <w:rPr>
          <w:rFonts w:ascii="Times New Roman" w:hAnsi="Times New Roman"/>
          <w:sz w:val="24"/>
          <w:szCs w:val="24"/>
        </w:rPr>
        <w:t xml:space="preserve"> </w:t>
      </w:r>
    </w:p>
    <w:p w14:paraId="17AFDDD8" w14:textId="77777777" w:rsidR="004B4757" w:rsidRPr="004B4757" w:rsidRDefault="004B4757" w:rsidP="004B4757">
      <w:pPr>
        <w:rPr>
          <w:rFonts w:ascii="Times New Roman" w:hAnsi="Times New Roman"/>
          <w:b/>
          <w:sz w:val="24"/>
          <w:szCs w:val="24"/>
        </w:rPr>
      </w:pPr>
      <w:r w:rsidRPr="004B4757">
        <w:rPr>
          <w:rFonts w:ascii="Times New Roman" w:hAnsi="Times New Roman"/>
          <w:b/>
          <w:sz w:val="24"/>
          <w:szCs w:val="24"/>
        </w:rPr>
        <w:t xml:space="preserve">Legal lesson learned:  Conduct annual financial audits. </w:t>
      </w:r>
    </w:p>
    <w:p w14:paraId="50DE6270" w14:textId="77777777" w:rsidR="004B4757" w:rsidRPr="004B4757" w:rsidRDefault="004B4757" w:rsidP="004B4757">
      <w:pPr>
        <w:ind w:left="720"/>
        <w:rPr>
          <w:rFonts w:ascii="Times New Roman" w:hAnsi="Times New Roman"/>
          <w:sz w:val="24"/>
          <w:szCs w:val="24"/>
        </w:rPr>
      </w:pPr>
      <w:r w:rsidRPr="004B4757">
        <w:rPr>
          <w:rFonts w:ascii="Times New Roman" w:hAnsi="Times New Roman"/>
          <w:sz w:val="24"/>
          <w:szCs w:val="24"/>
        </w:rPr>
        <w:t xml:space="preserve">Note:  Watch this July 28, 2025 – YouTube: “Utica Fire Department still reeling from Jamey Noel Scandal as debt, distrust remain.” </w:t>
      </w:r>
      <w:hyperlink r:id="rId2534" w:history="1">
        <w:r w:rsidRPr="004B4757">
          <w:rPr>
            <w:rStyle w:val="Hyperlink"/>
            <w:rFonts w:ascii="Times New Roman" w:hAnsi="Times New Roman"/>
            <w:sz w:val="24"/>
            <w:szCs w:val="24"/>
          </w:rPr>
          <w:t>https://www.youtube.com/watch?v=roZMeWZrCG4</w:t>
        </w:r>
      </w:hyperlink>
      <w:r w:rsidRPr="004B4757">
        <w:rPr>
          <w:rFonts w:ascii="Times New Roman" w:hAnsi="Times New Roman"/>
          <w:sz w:val="24"/>
          <w:szCs w:val="24"/>
        </w:rPr>
        <w:t xml:space="preserve">  </w:t>
      </w:r>
    </w:p>
    <w:p w14:paraId="61E33337" w14:textId="77777777" w:rsidR="000C4268" w:rsidRDefault="000C4268" w:rsidP="00075D20">
      <w:pPr>
        <w:pStyle w:val="NoSpacing"/>
        <w:rPr>
          <w:rFonts w:ascii="Arial Black" w:hAnsi="Arial Black"/>
          <w:sz w:val="24"/>
          <w:szCs w:val="24"/>
        </w:rPr>
      </w:pPr>
    </w:p>
    <w:p w14:paraId="081EEA86" w14:textId="254BA41A" w:rsidR="000F4170" w:rsidRDefault="000C4268" w:rsidP="00075D20">
      <w:pPr>
        <w:pStyle w:val="NoSpacing"/>
        <w:rPr>
          <w:rFonts w:ascii="Arial Black" w:hAnsi="Arial Black"/>
          <w:sz w:val="24"/>
          <w:szCs w:val="24"/>
        </w:rPr>
      </w:pPr>
      <w:r>
        <w:rPr>
          <w:rFonts w:ascii="Arial Black" w:hAnsi="Arial Black"/>
          <w:sz w:val="24"/>
          <w:szCs w:val="24"/>
        </w:rPr>
        <w:t>16-129</w:t>
      </w:r>
    </w:p>
    <w:p w14:paraId="123327BD" w14:textId="77777777" w:rsidR="00075D20" w:rsidRDefault="00075D20" w:rsidP="00FB04CF">
      <w:pPr>
        <w:pStyle w:val="NoSpacing"/>
        <w:rPr>
          <w:rFonts w:ascii="Arial Black" w:hAnsi="Arial Black"/>
          <w:sz w:val="24"/>
          <w:szCs w:val="24"/>
        </w:rPr>
      </w:pPr>
    </w:p>
    <w:p w14:paraId="7CEA9B98" w14:textId="77777777" w:rsidR="00680D61" w:rsidRPr="0078246B" w:rsidRDefault="00680D61" w:rsidP="00680D61">
      <w:pPr>
        <w:rPr>
          <w:rFonts w:ascii="Arial Black" w:hAnsi="Arial Black"/>
          <w:b/>
          <w:sz w:val="28"/>
          <w:szCs w:val="28"/>
        </w:rPr>
      </w:pPr>
      <w:r>
        <w:rPr>
          <w:rFonts w:ascii="Arial Black" w:hAnsi="Arial Black"/>
          <w:b/>
          <w:sz w:val="28"/>
          <w:szCs w:val="28"/>
        </w:rPr>
        <w:t>PA: FF / SEX 8</w:t>
      </w:r>
      <w:r w:rsidRPr="00CC082C">
        <w:rPr>
          <w:rFonts w:ascii="Arial Black" w:hAnsi="Arial Black"/>
          <w:b/>
          <w:sz w:val="28"/>
          <w:szCs w:val="28"/>
          <w:vertAlign w:val="superscript"/>
        </w:rPr>
        <w:t>th</w:t>
      </w:r>
      <w:r>
        <w:rPr>
          <w:rFonts w:ascii="Arial Black" w:hAnsi="Arial Black"/>
          <w:b/>
          <w:sz w:val="28"/>
          <w:szCs w:val="28"/>
        </w:rPr>
        <w:t xml:space="preserve"> GRADER - FED. &amp; PA JUDGES – STAY PRISON </w:t>
      </w:r>
    </w:p>
    <w:p w14:paraId="4F601A8B" w14:textId="77777777" w:rsidR="00680D61" w:rsidRPr="000C4268" w:rsidRDefault="00680D61" w:rsidP="00680D61">
      <w:pPr>
        <w:pStyle w:val="NoSpacing"/>
        <w:rPr>
          <w:rFonts w:ascii="Times New Roman" w:hAnsi="Times New Roman"/>
          <w:sz w:val="24"/>
          <w:szCs w:val="24"/>
        </w:rPr>
      </w:pPr>
      <w:r w:rsidRPr="000C4268">
        <w:rPr>
          <w:rFonts w:ascii="Times New Roman" w:hAnsi="Times New Roman"/>
          <w:sz w:val="24"/>
          <w:szCs w:val="24"/>
        </w:rPr>
        <w:t xml:space="preserve">On July 14, 2025, in </w:t>
      </w:r>
      <w:r w:rsidRPr="000C4268">
        <w:rPr>
          <w:rFonts w:ascii="Times New Roman" w:hAnsi="Times New Roman"/>
          <w:sz w:val="24"/>
          <w:szCs w:val="24"/>
          <w:u w:val="single"/>
        </w:rPr>
        <w:t>Christopher Anthony Taylor v. George M. Little</w:t>
      </w:r>
      <w:r w:rsidRPr="000C4268">
        <w:rPr>
          <w:rFonts w:ascii="Times New Roman" w:hAnsi="Times New Roman"/>
          <w:sz w:val="24"/>
          <w:szCs w:val="24"/>
        </w:rPr>
        <w:t xml:space="preserve">, U.S. District Court Judge Robert D. Mariani, United States District Court for Middle District of Pennsylvania, denied Mr. Taylor’s petition for a </w:t>
      </w:r>
      <w:proofErr w:type="spellStart"/>
      <w:r w:rsidRPr="000C4268">
        <w:rPr>
          <w:rFonts w:ascii="Times New Roman" w:hAnsi="Times New Roman"/>
          <w:sz w:val="24"/>
          <w:szCs w:val="24"/>
        </w:rPr>
        <w:t>write</w:t>
      </w:r>
      <w:proofErr w:type="spellEnd"/>
      <w:r w:rsidRPr="000C4268">
        <w:rPr>
          <w:rFonts w:ascii="Times New Roman" w:hAnsi="Times New Roman"/>
          <w:sz w:val="24"/>
          <w:szCs w:val="24"/>
        </w:rPr>
        <w:t xml:space="preserve"> of habeas corpus; he is currently serving an 8 – 16 -year prison sentence in Pennsylvania state prison for having sexual relations with 8</w:t>
      </w:r>
      <w:r w:rsidRPr="000C4268">
        <w:rPr>
          <w:rFonts w:ascii="Times New Roman" w:hAnsi="Times New Roman"/>
          <w:sz w:val="24"/>
          <w:szCs w:val="24"/>
          <w:vertAlign w:val="superscript"/>
        </w:rPr>
        <w:t>th</w:t>
      </w:r>
      <w:r w:rsidRPr="000C4268">
        <w:rPr>
          <w:rFonts w:ascii="Times New Roman" w:hAnsi="Times New Roman"/>
          <w:sz w:val="24"/>
          <w:szCs w:val="24"/>
        </w:rPr>
        <w:t xml:space="preserve"> grade cadet.  On March 6, 2013, following a jury trial, Taylor was convicted of one count each of statutory sexual assault [victim was 8</w:t>
      </w:r>
      <w:r w:rsidRPr="000C4268">
        <w:rPr>
          <w:rFonts w:ascii="Times New Roman" w:hAnsi="Times New Roman"/>
          <w:sz w:val="24"/>
          <w:szCs w:val="24"/>
          <w:vertAlign w:val="superscript"/>
        </w:rPr>
        <w:t>th</w:t>
      </w:r>
      <w:r w:rsidRPr="000C4268">
        <w:rPr>
          <w:rFonts w:ascii="Times New Roman" w:hAnsi="Times New Roman"/>
          <w:sz w:val="24"/>
          <w:szCs w:val="24"/>
        </w:rPr>
        <w:t xml:space="preserve"> grader, fire cadet, when started sexual relations], aggravated indecent assault—less than 16 years of age, indecent assault—less than 16 years of age, unlawful contact with a minor—sexual offenses, involuntary deviate sexual intercourse—less than 16 years of age, and corruption of minors.  A trial court later denied his petition for release, and on Nov. 22, 2021, the Superior Court of Pennsylvania likewise denied his release from prison, and on June 2, 2022, the Pennsylvania Supreme Court denied Taylor's petition for allowance of appeal.  THE COURT HELD:  “Further, under 28 U.S.C. § 2254(e)(1), a federal court is required to presume that a state court's findings of fact are correct. A petitioner may only rebut this presumption with clear and convincing evidence of the state court's error…. The Court will deny the § 2254 petition for writ of habeas corpus.”</w:t>
      </w:r>
    </w:p>
    <w:p w14:paraId="51DF41C2" w14:textId="34E717F2" w:rsidR="00680D61" w:rsidRPr="000C4268" w:rsidRDefault="00680D61" w:rsidP="00680D61">
      <w:pPr>
        <w:pStyle w:val="NoSpacing"/>
        <w:rPr>
          <w:rFonts w:ascii="Times New Roman" w:hAnsi="Times New Roman"/>
          <w:sz w:val="24"/>
          <w:szCs w:val="24"/>
        </w:rPr>
      </w:pPr>
      <w:hyperlink r:id="rId2535" w:history="1">
        <w:r w:rsidRPr="000C4268">
          <w:rPr>
            <w:rStyle w:val="Hyperlink"/>
            <w:rFonts w:ascii="Times New Roman" w:hAnsi="Times New Roman"/>
            <w:sz w:val="24"/>
            <w:szCs w:val="24"/>
          </w:rPr>
          <w:t>https://public.fastcase.com/jaEE2PXzRXmZ99jOLMt1IqmI6%2FwIkVosxkHnLXFS%2Fh3vCPBsdexRYsXhu3dcS77RM93%2Fb%2FlmP%2FEht28r%2FEOUuz%2BdIsVF1KqStdKclsmvBXo%3D?utm_medium=email&amp;_hsenc=p2ANqtz-_Dn6dsk63fb2EPfPT1163Ju7zkOyiRsNHg_eV5kST7JoaZI-2AGCvSnryJrMriUeP5UHxNkfyzrDvNunm7WCvoOt678w&amp;_hsmi=226712652&amp;utm_content=226712652&amp;utm_source=hs_email</w:t>
        </w:r>
      </w:hyperlink>
    </w:p>
    <w:p w14:paraId="5B731448" w14:textId="77777777" w:rsidR="000C4268" w:rsidRDefault="000C4268" w:rsidP="000C4268">
      <w:pPr>
        <w:rPr>
          <w:b/>
        </w:rPr>
      </w:pPr>
      <w:r w:rsidRPr="000C4268">
        <w:rPr>
          <w:rFonts w:ascii="Times New Roman" w:hAnsi="Times New Roman"/>
          <w:b/>
          <w:sz w:val="24"/>
          <w:szCs w:val="24"/>
        </w:rPr>
        <w:t>Legal lesson learned: Sex with a minor led to prison, and judges in PA and U.S. District Court have denied his release</w:t>
      </w:r>
      <w:r>
        <w:rPr>
          <w:b/>
        </w:rPr>
        <w:t xml:space="preserve">. </w:t>
      </w:r>
    </w:p>
    <w:p w14:paraId="3592CBBE" w14:textId="77777777" w:rsidR="00075D20" w:rsidRDefault="00075D20" w:rsidP="00FB04CF">
      <w:pPr>
        <w:pStyle w:val="NoSpacing"/>
        <w:rPr>
          <w:rFonts w:ascii="Arial Black" w:hAnsi="Arial Black"/>
          <w:sz w:val="24"/>
          <w:szCs w:val="24"/>
        </w:rPr>
      </w:pPr>
    </w:p>
    <w:p w14:paraId="7FFBC2C6" w14:textId="77777777" w:rsidR="00075D20" w:rsidRDefault="00075D20" w:rsidP="00FB04CF">
      <w:pPr>
        <w:pStyle w:val="NoSpacing"/>
        <w:rPr>
          <w:rFonts w:ascii="Arial Black" w:hAnsi="Arial Black"/>
          <w:sz w:val="24"/>
          <w:szCs w:val="24"/>
        </w:rPr>
      </w:pPr>
    </w:p>
    <w:p w14:paraId="4B82F522" w14:textId="5B9F0E7D" w:rsidR="00FB04CF" w:rsidRDefault="00FB04CF" w:rsidP="00FB04CF">
      <w:pPr>
        <w:pStyle w:val="NoSpacing"/>
        <w:rPr>
          <w:rFonts w:ascii="Arial Black" w:hAnsi="Arial Black"/>
          <w:sz w:val="24"/>
          <w:szCs w:val="24"/>
        </w:rPr>
      </w:pPr>
      <w:r>
        <w:rPr>
          <w:rFonts w:ascii="Arial Black" w:hAnsi="Arial Black"/>
          <w:sz w:val="24"/>
          <w:szCs w:val="24"/>
        </w:rPr>
        <w:t>16-128</w:t>
      </w:r>
    </w:p>
    <w:p w14:paraId="10CE0ADA" w14:textId="77777777" w:rsidR="00FB04CF" w:rsidRDefault="00FB04CF" w:rsidP="00CF19EA">
      <w:pPr>
        <w:pStyle w:val="NoSpacing"/>
        <w:rPr>
          <w:rFonts w:ascii="Arial Black" w:hAnsi="Arial Black"/>
          <w:sz w:val="28"/>
          <w:szCs w:val="28"/>
        </w:rPr>
      </w:pPr>
    </w:p>
    <w:p w14:paraId="1F241C7E" w14:textId="52BBA427" w:rsidR="00444FB7" w:rsidRPr="005967C5" w:rsidRDefault="00444FB7" w:rsidP="00444FB7">
      <w:pPr>
        <w:pStyle w:val="NoSpacing"/>
        <w:rPr>
          <w:rFonts w:ascii="Arial Black" w:hAnsi="Arial Black"/>
          <w:sz w:val="28"/>
          <w:szCs w:val="28"/>
        </w:rPr>
      </w:pPr>
      <w:r w:rsidRPr="005967C5">
        <w:rPr>
          <w:rFonts w:ascii="Arial Black" w:hAnsi="Arial Black"/>
          <w:sz w:val="28"/>
          <w:szCs w:val="28"/>
        </w:rPr>
        <w:t xml:space="preserve">HI: INVEST OF 2 B/C – PAID SUSP. 6-MO - NOT “DISCIPLINE” </w:t>
      </w:r>
    </w:p>
    <w:p w14:paraId="4765D6C1" w14:textId="77777777" w:rsidR="00444FB7" w:rsidRPr="00393E4D" w:rsidRDefault="00444FB7" w:rsidP="00444FB7">
      <w:pPr>
        <w:pStyle w:val="NoSpacing"/>
        <w:rPr>
          <w:rFonts w:ascii="Times New Roman" w:hAnsi="Times New Roman"/>
          <w:sz w:val="24"/>
          <w:szCs w:val="24"/>
        </w:rPr>
      </w:pPr>
    </w:p>
    <w:p w14:paraId="28EC80CF" w14:textId="77777777" w:rsidR="00444FB7" w:rsidRPr="00393E4D" w:rsidRDefault="00444FB7" w:rsidP="00444FB7">
      <w:pPr>
        <w:pStyle w:val="NoSpacing"/>
        <w:rPr>
          <w:rFonts w:ascii="Times New Roman" w:hAnsi="Times New Roman"/>
          <w:sz w:val="24"/>
          <w:szCs w:val="24"/>
        </w:rPr>
      </w:pPr>
      <w:r w:rsidRPr="00393E4D">
        <w:rPr>
          <w:rFonts w:ascii="Times New Roman" w:hAnsi="Times New Roman"/>
          <w:sz w:val="24"/>
          <w:szCs w:val="24"/>
        </w:rPr>
        <w:t xml:space="preserve">On June 27, 2025, in </w:t>
      </w:r>
      <w:r w:rsidRPr="00393E4D">
        <w:rPr>
          <w:rFonts w:ascii="Times New Roman" w:hAnsi="Times New Roman"/>
          <w:sz w:val="24"/>
          <w:szCs w:val="24"/>
          <w:u w:val="single"/>
        </w:rPr>
        <w:t>Steve F. Loyola and Ty Aaron Madeiros v. County of Hawaii</w:t>
      </w:r>
      <w:r w:rsidRPr="00393E4D">
        <w:rPr>
          <w:rFonts w:ascii="Times New Roman" w:hAnsi="Times New Roman"/>
          <w:sz w:val="24"/>
          <w:szCs w:val="24"/>
        </w:rPr>
        <w:t xml:space="preserve">, the Intermediate Court of Appeals of Hawaii held (3 to 0; unpublished decision) that the trial court judge and the Merit Appeals Board of the County (MAP) properly found that the two Battalion Chiefs were never “disciplined” when they were suspended with pay from November 21, 2014 until June 2015 while retired Police Chief conducted an investigation of their allegations of unsatisfactory management by Fire Chief Darren J. Rosario.  The investigation was conducted by a retired Police Chief after the Battalion Chief made written allegations against the Fire Chief: (1) Medeiros on September 15, 2014 sent a memorandum to the Fire Chief, copying the Mayor and the Fire Commission, requesting the Fire Chief's resignation to protect HFD from ‘further damage’ and to protect the safety of HFD personnel. (2) Loyola on September 23, </w:t>
      </w:r>
      <w:proofErr w:type="gramStart"/>
      <w:r w:rsidRPr="00393E4D">
        <w:rPr>
          <w:rFonts w:ascii="Times New Roman" w:hAnsi="Times New Roman"/>
          <w:sz w:val="24"/>
          <w:szCs w:val="24"/>
        </w:rPr>
        <w:t>2014</w:t>
      </w:r>
      <w:proofErr w:type="gramEnd"/>
      <w:r w:rsidRPr="00393E4D">
        <w:rPr>
          <w:rFonts w:ascii="Times New Roman" w:hAnsi="Times New Roman"/>
          <w:sz w:val="24"/>
          <w:szCs w:val="24"/>
        </w:rPr>
        <w:t xml:space="preserve"> sent a ‘Letter of No Confidence’ in the Fire Chief to the Fire Commission requesting Fire Chief's removal for ‘unsatisfactory management.’  The retired Police Chief interviewed 23 </w:t>
      </w:r>
      <w:proofErr w:type="gramStart"/>
      <w:r w:rsidRPr="00393E4D">
        <w:rPr>
          <w:rFonts w:ascii="Times New Roman" w:hAnsi="Times New Roman"/>
          <w:sz w:val="24"/>
          <w:szCs w:val="24"/>
        </w:rPr>
        <w:t>people, and</w:t>
      </w:r>
      <w:proofErr w:type="gramEnd"/>
      <w:r w:rsidRPr="00393E4D">
        <w:rPr>
          <w:rFonts w:ascii="Times New Roman" w:hAnsi="Times New Roman"/>
          <w:sz w:val="24"/>
          <w:szCs w:val="24"/>
        </w:rPr>
        <w:t xml:space="preserve"> submitted a 106-page final report on June 9, 2015, concluding most of allegations against the Fire Chief were ‘speculative,’ ‘unsubstantiated’ and ‘uncorroborated’ and the two Battalion Chiefs had violated six FD regulations.  THE COURT HELD: “The record supports that the approximately six-months-long duration of Appellants' paid administrative leave, from November 21, 2014 to June 2015, while the investigation was being completed, was reasonable due to the volume of interviews conducted (23 witnesses), the large number of allegations (27 total) raised by Appellants, and the Fire Chief's accusations against the Appellants…. Appellants' ‘indefinite leave with </w:t>
      </w:r>
      <w:proofErr w:type="spellStart"/>
      <w:r w:rsidRPr="00393E4D">
        <w:rPr>
          <w:rFonts w:ascii="Times New Roman" w:hAnsi="Times New Roman"/>
          <w:sz w:val="24"/>
          <w:szCs w:val="24"/>
        </w:rPr>
        <w:t>pay"’challenge</w:t>
      </w:r>
      <w:proofErr w:type="spellEnd"/>
      <w:r w:rsidRPr="00393E4D">
        <w:rPr>
          <w:rFonts w:ascii="Times New Roman" w:hAnsi="Times New Roman"/>
          <w:sz w:val="24"/>
          <w:szCs w:val="24"/>
        </w:rPr>
        <w:t xml:space="preserve"> lacks merit…. We conclude the Circuit Court correctly affirmed the MAB's conclusion resolving the claim of entitlement to overtime while on paid administrative leave…. Appellants' ‘denial of overtime’ challenge lacks merit.” </w:t>
      </w:r>
    </w:p>
    <w:p w14:paraId="14163EBF" w14:textId="77777777" w:rsidR="00444FB7" w:rsidRPr="00393E4D" w:rsidRDefault="00444FB7" w:rsidP="00444FB7">
      <w:pPr>
        <w:pStyle w:val="NoSpacing"/>
        <w:rPr>
          <w:rFonts w:ascii="Times New Roman" w:hAnsi="Times New Roman"/>
          <w:sz w:val="24"/>
          <w:szCs w:val="24"/>
        </w:rPr>
      </w:pPr>
      <w:hyperlink r:id="rId2536" w:history="1">
        <w:r w:rsidRPr="00393E4D">
          <w:rPr>
            <w:rStyle w:val="Hyperlink"/>
            <w:rFonts w:ascii="Times New Roman" w:hAnsi="Times New Roman"/>
            <w:sz w:val="24"/>
            <w:szCs w:val="24"/>
          </w:rPr>
          <w:t>https://www.courts.state.hi.us/wp-content/uploads/2025/06/CAAP-22-0000641sdo.pdf</w:t>
        </w:r>
      </w:hyperlink>
      <w:r w:rsidRPr="00393E4D">
        <w:rPr>
          <w:rFonts w:ascii="Times New Roman" w:hAnsi="Times New Roman"/>
          <w:sz w:val="24"/>
          <w:szCs w:val="24"/>
        </w:rPr>
        <w:t xml:space="preserve"> </w:t>
      </w:r>
    </w:p>
    <w:p w14:paraId="3471EC0C" w14:textId="77777777" w:rsidR="00444FB7" w:rsidRPr="00393E4D" w:rsidRDefault="00444FB7" w:rsidP="00444FB7">
      <w:pPr>
        <w:pStyle w:val="NoSpacing"/>
        <w:rPr>
          <w:rFonts w:ascii="Times New Roman" w:hAnsi="Times New Roman"/>
          <w:sz w:val="24"/>
          <w:szCs w:val="24"/>
        </w:rPr>
      </w:pPr>
    </w:p>
    <w:p w14:paraId="00C50028" w14:textId="77777777" w:rsidR="00393E4D" w:rsidRDefault="00393E4D" w:rsidP="00393E4D">
      <w:pPr>
        <w:pStyle w:val="NoSpacing"/>
        <w:rPr>
          <w:rFonts w:ascii="Times New Roman" w:hAnsi="Times New Roman"/>
          <w:b/>
          <w:sz w:val="24"/>
          <w:szCs w:val="24"/>
        </w:rPr>
      </w:pPr>
      <w:r w:rsidRPr="00393E4D">
        <w:rPr>
          <w:rFonts w:ascii="Times New Roman" w:hAnsi="Times New Roman"/>
          <w:b/>
          <w:sz w:val="24"/>
          <w:szCs w:val="24"/>
        </w:rPr>
        <w:t xml:space="preserve">Legal lesson learned: Suspension without loss of pay is a reasonable management response to investigate serious allegations.  </w:t>
      </w:r>
    </w:p>
    <w:p w14:paraId="3E5B5B44" w14:textId="77777777" w:rsidR="00C305D0" w:rsidRDefault="00C305D0" w:rsidP="00393E4D">
      <w:pPr>
        <w:pStyle w:val="NoSpacing"/>
        <w:rPr>
          <w:rFonts w:ascii="Times New Roman" w:hAnsi="Times New Roman"/>
          <w:b/>
          <w:sz w:val="24"/>
          <w:szCs w:val="24"/>
        </w:rPr>
      </w:pPr>
    </w:p>
    <w:p w14:paraId="2A2803B5" w14:textId="77777777" w:rsidR="00C305D0" w:rsidRDefault="00C305D0" w:rsidP="00393E4D">
      <w:pPr>
        <w:pStyle w:val="NoSpacing"/>
        <w:rPr>
          <w:rFonts w:ascii="Times New Roman" w:hAnsi="Times New Roman"/>
          <w:b/>
          <w:sz w:val="24"/>
          <w:szCs w:val="24"/>
        </w:rPr>
      </w:pPr>
    </w:p>
    <w:p w14:paraId="5E569175" w14:textId="12BB879B" w:rsidR="00FB04CF" w:rsidRDefault="00FB04CF" w:rsidP="00FB04CF">
      <w:pPr>
        <w:pStyle w:val="NoSpacing"/>
        <w:rPr>
          <w:rFonts w:ascii="Arial Black" w:hAnsi="Arial Black"/>
          <w:sz w:val="24"/>
          <w:szCs w:val="24"/>
        </w:rPr>
      </w:pPr>
      <w:r>
        <w:rPr>
          <w:rFonts w:ascii="Arial Black" w:hAnsi="Arial Black"/>
          <w:sz w:val="24"/>
          <w:szCs w:val="24"/>
        </w:rPr>
        <w:t>16-127</w:t>
      </w:r>
    </w:p>
    <w:p w14:paraId="4A1E5FCF" w14:textId="77777777" w:rsidR="00FB04CF" w:rsidRDefault="00FB04CF" w:rsidP="00393E4D">
      <w:pPr>
        <w:pStyle w:val="NoSpacing"/>
        <w:rPr>
          <w:rFonts w:ascii="Times New Roman" w:hAnsi="Times New Roman"/>
          <w:b/>
          <w:sz w:val="24"/>
          <w:szCs w:val="24"/>
        </w:rPr>
      </w:pPr>
    </w:p>
    <w:p w14:paraId="7BCC0E89" w14:textId="77777777" w:rsidR="00FB04CF" w:rsidRDefault="00FB04CF" w:rsidP="00393E4D">
      <w:pPr>
        <w:pStyle w:val="NoSpacing"/>
        <w:rPr>
          <w:rFonts w:ascii="Times New Roman" w:hAnsi="Times New Roman"/>
          <w:b/>
          <w:sz w:val="24"/>
          <w:szCs w:val="24"/>
        </w:rPr>
      </w:pPr>
    </w:p>
    <w:p w14:paraId="18318FD4" w14:textId="77777777" w:rsidR="00C305D0" w:rsidRDefault="00C305D0" w:rsidP="00C305D0">
      <w:pPr>
        <w:rPr>
          <w:rFonts w:ascii="Arial Black" w:hAnsi="Arial Black"/>
          <w:b/>
          <w:sz w:val="28"/>
          <w:szCs w:val="28"/>
        </w:rPr>
      </w:pPr>
      <w:r>
        <w:rPr>
          <w:rFonts w:ascii="Arial Black" w:hAnsi="Arial Black"/>
          <w:b/>
          <w:sz w:val="28"/>
          <w:szCs w:val="28"/>
        </w:rPr>
        <w:t xml:space="preserve">DE: DEP. CHIEF – SEX 15-YR OLD CADET – 35-YRS IN PRISON </w:t>
      </w:r>
    </w:p>
    <w:p w14:paraId="40676EDD" w14:textId="77777777" w:rsidR="00C305D0" w:rsidRPr="00BF3522" w:rsidRDefault="00C305D0" w:rsidP="00C305D0">
      <w:pPr>
        <w:pStyle w:val="NoSpacing"/>
        <w:rPr>
          <w:rFonts w:ascii="Times New Roman" w:hAnsi="Times New Roman"/>
          <w:bCs/>
          <w:sz w:val="24"/>
          <w:szCs w:val="24"/>
        </w:rPr>
      </w:pPr>
      <w:r w:rsidRPr="00BF3522">
        <w:rPr>
          <w:rFonts w:ascii="Times New Roman" w:hAnsi="Times New Roman"/>
          <w:sz w:val="24"/>
          <w:szCs w:val="24"/>
        </w:rPr>
        <w:t xml:space="preserve">On June 24, 2025, in </w:t>
      </w:r>
      <w:r w:rsidRPr="00BF3522">
        <w:rPr>
          <w:rFonts w:ascii="Times New Roman" w:hAnsi="Times New Roman"/>
          <w:sz w:val="24"/>
          <w:szCs w:val="24"/>
          <w:u w:val="single"/>
        </w:rPr>
        <w:t>Dwayne L. Pearson v. State of Delaware</w:t>
      </w:r>
      <w:r w:rsidRPr="00BF3522">
        <w:rPr>
          <w:rFonts w:ascii="Times New Roman" w:hAnsi="Times New Roman"/>
          <w:sz w:val="24"/>
          <w:szCs w:val="24"/>
        </w:rPr>
        <w:t xml:space="preserve">, the Supreme Court of Delaware held (5 to 0) that the former Deputy Fire Chief was properly convicted of for sexual abuse of a child “by a person in a position of trust, authority or supervision.”  In May 2022, fifteen-year-old M.M. was voted in as a Mill Creek junior firefighter.  Dwayne Peasrson was Deputy Fire Chief of neighboring Belvedere Fire Department; the evidence showed he groomed her into having several sexual contacts in August 2022.  He was arrested in January 2023, indicted and then proceeded to trial on January 22, 2024, convicted by a jury and sentenced July 3, </w:t>
      </w:r>
      <w:proofErr w:type="gramStart"/>
      <w:r w:rsidRPr="00BF3522">
        <w:rPr>
          <w:rFonts w:ascii="Times New Roman" w:hAnsi="Times New Roman"/>
          <w:sz w:val="24"/>
          <w:szCs w:val="24"/>
        </w:rPr>
        <w:t>2024</w:t>
      </w:r>
      <w:proofErr w:type="gramEnd"/>
      <w:r w:rsidRPr="00BF3522">
        <w:rPr>
          <w:rFonts w:ascii="Times New Roman" w:hAnsi="Times New Roman"/>
          <w:sz w:val="24"/>
          <w:szCs w:val="24"/>
        </w:rPr>
        <w:t xml:space="preserve"> to 35 years in prison.  THE COURT HELD: “A reasonable jury could find that Pearson stood in a ‘position of trust, authority or supervision’ over M.M. under subsection (e)(2) of the statute.” </w:t>
      </w:r>
    </w:p>
    <w:p w14:paraId="42F3A5EF" w14:textId="5B14ECA0" w:rsidR="00C305D0" w:rsidRPr="00BF3522" w:rsidRDefault="00C305D0" w:rsidP="00C305D0">
      <w:pPr>
        <w:pStyle w:val="NoSpacing"/>
        <w:rPr>
          <w:rFonts w:ascii="Times New Roman" w:hAnsi="Times New Roman"/>
          <w:sz w:val="24"/>
          <w:szCs w:val="24"/>
        </w:rPr>
      </w:pPr>
      <w:hyperlink r:id="rId2537" w:history="1">
        <w:r w:rsidRPr="00BF3522">
          <w:rPr>
            <w:rStyle w:val="Hyperlink"/>
            <w:rFonts w:ascii="Times New Roman" w:hAnsi="Times New Roman"/>
            <w:sz w:val="24"/>
            <w:szCs w:val="24"/>
          </w:rPr>
          <w:t>https://courts.delaware.gov/Opinions/Download.aspx?id=381340</w:t>
        </w:r>
      </w:hyperlink>
      <w:r w:rsidRPr="00BF3522">
        <w:rPr>
          <w:rFonts w:ascii="Times New Roman" w:hAnsi="Times New Roman"/>
          <w:sz w:val="24"/>
          <w:szCs w:val="24"/>
        </w:rPr>
        <w:t xml:space="preserve">  </w:t>
      </w:r>
    </w:p>
    <w:p w14:paraId="1D24BF21" w14:textId="77777777" w:rsidR="00BF3522" w:rsidRPr="00BF3522" w:rsidRDefault="00BF3522" w:rsidP="00C305D0">
      <w:pPr>
        <w:pStyle w:val="NoSpacing"/>
        <w:rPr>
          <w:rFonts w:ascii="Times New Roman" w:hAnsi="Times New Roman"/>
          <w:sz w:val="24"/>
          <w:szCs w:val="24"/>
        </w:rPr>
      </w:pPr>
    </w:p>
    <w:p w14:paraId="4695CDA7" w14:textId="77777777" w:rsidR="00BF3522" w:rsidRPr="00BF3522" w:rsidRDefault="00BF3522" w:rsidP="00BF3522">
      <w:pPr>
        <w:pStyle w:val="NoSpacing"/>
        <w:rPr>
          <w:rFonts w:ascii="Times New Roman" w:hAnsi="Times New Roman"/>
          <w:b/>
          <w:bCs/>
          <w:sz w:val="24"/>
          <w:szCs w:val="24"/>
        </w:rPr>
      </w:pPr>
      <w:r w:rsidRPr="00BF3522">
        <w:rPr>
          <w:rFonts w:ascii="Times New Roman" w:hAnsi="Times New Roman"/>
          <w:b/>
          <w:sz w:val="24"/>
          <w:szCs w:val="24"/>
        </w:rPr>
        <w:t xml:space="preserve">Legal lesson learned: Former Deputy Chief now in prison and has exhausted all his state court appeals. </w:t>
      </w:r>
    </w:p>
    <w:p w14:paraId="7BFF4BDE" w14:textId="77777777" w:rsidR="00BF3522" w:rsidRPr="00BF3522" w:rsidRDefault="00BF3522" w:rsidP="00BF3522">
      <w:pPr>
        <w:pStyle w:val="NoSpacing"/>
        <w:rPr>
          <w:rFonts w:ascii="Times New Roman" w:hAnsi="Times New Roman"/>
          <w:b/>
          <w:bCs/>
          <w:sz w:val="24"/>
          <w:szCs w:val="24"/>
        </w:rPr>
      </w:pPr>
      <w:r w:rsidRPr="00BF3522">
        <w:rPr>
          <w:rFonts w:ascii="Times New Roman" w:hAnsi="Times New Roman"/>
          <w:b/>
          <w:sz w:val="24"/>
          <w:szCs w:val="24"/>
        </w:rPr>
        <w:tab/>
      </w:r>
    </w:p>
    <w:p w14:paraId="0C0E7970" w14:textId="77777777" w:rsidR="00BF3522" w:rsidRPr="00BF3522" w:rsidRDefault="00BF3522" w:rsidP="00BF3522">
      <w:pPr>
        <w:pStyle w:val="NoSpacing"/>
        <w:rPr>
          <w:rFonts w:ascii="Times New Roman" w:hAnsi="Times New Roman"/>
          <w:sz w:val="24"/>
          <w:szCs w:val="24"/>
        </w:rPr>
      </w:pPr>
      <w:r w:rsidRPr="00BF3522">
        <w:rPr>
          <w:rFonts w:ascii="Times New Roman" w:hAnsi="Times New Roman"/>
          <w:b/>
          <w:sz w:val="24"/>
          <w:szCs w:val="24"/>
        </w:rPr>
        <w:tab/>
      </w:r>
      <w:r w:rsidRPr="00BF3522">
        <w:rPr>
          <w:rFonts w:ascii="Times New Roman" w:hAnsi="Times New Roman"/>
          <w:sz w:val="24"/>
          <w:szCs w:val="24"/>
        </w:rPr>
        <w:t xml:space="preserve">Note: See this article, “Former Deputy Fire Chief Arrested for Rape” (Jan. 13, 2023). </w:t>
      </w:r>
    </w:p>
    <w:p w14:paraId="225585D8" w14:textId="77777777" w:rsidR="00BF3522" w:rsidRPr="00BF3522" w:rsidRDefault="00BF3522" w:rsidP="00BF3522">
      <w:pPr>
        <w:ind w:firstLine="720"/>
        <w:rPr>
          <w:rFonts w:ascii="Times New Roman" w:hAnsi="Times New Roman"/>
          <w:b/>
          <w:sz w:val="24"/>
          <w:szCs w:val="24"/>
        </w:rPr>
      </w:pPr>
      <w:hyperlink r:id="rId2538" w:history="1">
        <w:r w:rsidRPr="00BF3522">
          <w:rPr>
            <w:rStyle w:val="Hyperlink"/>
            <w:rFonts w:ascii="Times New Roman" w:hAnsi="Times New Roman"/>
            <w:sz w:val="24"/>
            <w:szCs w:val="24"/>
          </w:rPr>
          <w:t>https://dsp.delaware.gov/2023/01/13/former-deputy-fire-chief-arrested-for-rape/</w:t>
        </w:r>
      </w:hyperlink>
      <w:r w:rsidRPr="00BF3522">
        <w:rPr>
          <w:rFonts w:ascii="Times New Roman" w:hAnsi="Times New Roman"/>
          <w:b/>
          <w:sz w:val="24"/>
          <w:szCs w:val="24"/>
        </w:rPr>
        <w:t xml:space="preserve"> </w:t>
      </w:r>
    </w:p>
    <w:p w14:paraId="45FC863C" w14:textId="77777777" w:rsidR="00BF3522" w:rsidRPr="00BF3522" w:rsidRDefault="00BF3522" w:rsidP="00BF3522">
      <w:pPr>
        <w:ind w:left="720"/>
        <w:rPr>
          <w:rFonts w:ascii="Times New Roman" w:hAnsi="Times New Roman"/>
          <w:b/>
          <w:sz w:val="24"/>
          <w:szCs w:val="24"/>
        </w:rPr>
      </w:pPr>
      <w:r w:rsidRPr="00BF3522">
        <w:rPr>
          <w:rFonts w:ascii="Times New Roman" w:hAnsi="Times New Roman"/>
          <w:sz w:val="24"/>
          <w:szCs w:val="24"/>
        </w:rPr>
        <w:t xml:space="preserve">This is his second appeal (and our second review of this case); on June 10, 2024, his appeal to the Superior Court of Delaware was denied. </w:t>
      </w:r>
      <w:hyperlink r:id="rId2539" w:history="1">
        <w:r w:rsidRPr="00BF3522">
          <w:rPr>
            <w:rStyle w:val="Hyperlink"/>
            <w:rFonts w:ascii="Times New Roman" w:hAnsi="Times New Roman"/>
            <w:sz w:val="24"/>
            <w:szCs w:val="24"/>
          </w:rPr>
          <w:t>https://cases.justia.com/delaware/superior-court/2024-2301003924.pdf?ts=1718040749</w:t>
        </w:r>
      </w:hyperlink>
    </w:p>
    <w:p w14:paraId="176631EB" w14:textId="77777777" w:rsidR="00BF3522" w:rsidRPr="00393E4D" w:rsidRDefault="00BF3522" w:rsidP="00C305D0">
      <w:pPr>
        <w:pStyle w:val="NoSpacing"/>
        <w:rPr>
          <w:rFonts w:ascii="Times New Roman" w:hAnsi="Times New Roman"/>
          <w:b/>
          <w:bCs/>
          <w:sz w:val="24"/>
          <w:szCs w:val="24"/>
        </w:rPr>
      </w:pPr>
    </w:p>
    <w:p w14:paraId="769D8FA5" w14:textId="3FDAA4E1" w:rsidR="00FB04CF" w:rsidRDefault="00FB04CF" w:rsidP="00FB04CF">
      <w:pPr>
        <w:pStyle w:val="NoSpacing"/>
        <w:rPr>
          <w:rFonts w:ascii="Arial Black" w:hAnsi="Arial Black"/>
          <w:sz w:val="24"/>
          <w:szCs w:val="24"/>
        </w:rPr>
      </w:pPr>
      <w:r>
        <w:rPr>
          <w:rFonts w:ascii="Arial Black" w:hAnsi="Arial Black"/>
          <w:sz w:val="24"/>
          <w:szCs w:val="24"/>
        </w:rPr>
        <w:t>16-126</w:t>
      </w:r>
    </w:p>
    <w:p w14:paraId="20A3A9EB" w14:textId="77777777" w:rsidR="00393E4D" w:rsidRDefault="00393E4D" w:rsidP="00393E4D">
      <w:pPr>
        <w:pStyle w:val="NoSpacing"/>
        <w:ind w:left="720"/>
      </w:pPr>
    </w:p>
    <w:p w14:paraId="39CFDEA7" w14:textId="77777777" w:rsidR="00FB04CF" w:rsidRDefault="00FB04CF" w:rsidP="00393E4D">
      <w:pPr>
        <w:pStyle w:val="NoSpacing"/>
        <w:ind w:left="720"/>
      </w:pPr>
    </w:p>
    <w:p w14:paraId="6F25DC5E" w14:textId="77777777" w:rsidR="004160C7" w:rsidRDefault="004160C7" w:rsidP="004160C7">
      <w:pPr>
        <w:rPr>
          <w:rFonts w:ascii="Arial Black" w:hAnsi="Arial Black"/>
          <w:b/>
          <w:sz w:val="28"/>
          <w:szCs w:val="28"/>
        </w:rPr>
      </w:pPr>
      <w:r>
        <w:rPr>
          <w:rFonts w:ascii="Arial Black" w:hAnsi="Arial Black"/>
          <w:b/>
          <w:sz w:val="28"/>
          <w:szCs w:val="28"/>
        </w:rPr>
        <w:t>TX: CHIEF FIRED – DIDN’T TELL CITY / TESTIFYING FF CASE</w:t>
      </w:r>
    </w:p>
    <w:p w14:paraId="1A83FD55" w14:textId="77777777" w:rsidR="004160C7" w:rsidRPr="000174EF" w:rsidRDefault="004160C7" w:rsidP="004160C7">
      <w:pPr>
        <w:pStyle w:val="NoSpacing"/>
        <w:rPr>
          <w:rFonts w:ascii="Times New Roman" w:hAnsi="Times New Roman"/>
          <w:sz w:val="24"/>
          <w:szCs w:val="24"/>
        </w:rPr>
      </w:pPr>
      <w:r w:rsidRPr="000174EF">
        <w:rPr>
          <w:rFonts w:ascii="Times New Roman" w:hAnsi="Times New Roman"/>
          <w:sz w:val="24"/>
          <w:szCs w:val="24"/>
        </w:rPr>
        <w:t xml:space="preserve">On June 16, 2025, in </w:t>
      </w:r>
      <w:r w:rsidRPr="000174EF">
        <w:rPr>
          <w:rFonts w:ascii="Times New Roman" w:hAnsi="Times New Roman"/>
          <w:sz w:val="24"/>
          <w:szCs w:val="24"/>
          <w:u w:val="single"/>
        </w:rPr>
        <w:t>Mark Hamilton v. The City of Wilmer, Texas, et al</w:t>
      </w:r>
      <w:r w:rsidRPr="000174EF">
        <w:rPr>
          <w:rFonts w:ascii="Times New Roman" w:hAnsi="Times New Roman"/>
          <w:sz w:val="24"/>
          <w:szCs w:val="24"/>
        </w:rPr>
        <w:t xml:space="preserve">., the U.S. Court of Appeals for the Fifth Circuit (New Orleans) held (3 to 0) that the trial court properly granted the City’s motion for summary judgment.  Fire Chief did not have First Amendment right to testify in a firefighter’s criminal probation revocation hearing. Failure to get prior permission by City Administrator, or City Attorney, was serious breach of “maintaining proper discipline in public service.” The Chief’s testimony “could have been seen as an endorsement on behalf of the Fire Department rather than merely his personal opinion.”  In 2019 the firefighter was arrested for putting recording equipment in the bathroom of the fire station (he claimed it was to find out who stole items from his locker).  He was eventually returned to duty, and on probation in criminal case.  The Fire Chief received a subpoena on June 22, 2022, for a hearing the next day – but he didn’t tell City Administrator or City Attorney. The firefighter told him it was simply about getting new legal counsel. The June 23, </w:t>
      </w:r>
      <w:proofErr w:type="gramStart"/>
      <w:r w:rsidRPr="000174EF">
        <w:rPr>
          <w:rFonts w:ascii="Times New Roman" w:hAnsi="Times New Roman"/>
          <w:sz w:val="24"/>
          <w:szCs w:val="24"/>
        </w:rPr>
        <w:t>2022</w:t>
      </w:r>
      <w:proofErr w:type="gramEnd"/>
      <w:r w:rsidRPr="000174EF">
        <w:rPr>
          <w:rFonts w:ascii="Times New Roman" w:hAnsi="Times New Roman"/>
          <w:sz w:val="24"/>
          <w:szCs w:val="24"/>
        </w:rPr>
        <w:t xml:space="preserve"> hearing was </w:t>
      </w:r>
      <w:proofErr w:type="gramStart"/>
      <w:r w:rsidRPr="000174EF">
        <w:rPr>
          <w:rFonts w:ascii="Times New Roman" w:hAnsi="Times New Roman"/>
          <w:sz w:val="24"/>
          <w:szCs w:val="24"/>
        </w:rPr>
        <w:t>actually about</w:t>
      </w:r>
      <w:proofErr w:type="gramEnd"/>
      <w:r w:rsidRPr="000174EF">
        <w:rPr>
          <w:rFonts w:ascii="Times New Roman" w:hAnsi="Times New Roman"/>
          <w:sz w:val="24"/>
          <w:szCs w:val="24"/>
        </w:rPr>
        <w:t xml:space="preserve"> County Prosecutor seeking to revoke probation because the firefighter had “visited adult sexually oriented websites on his phone.”  At the conclusion of the hearing the Chief was “shocked” when judge revoked the firefighter’s probation and ordered him into custody to serve three months (270 days) in prison.  The firefighter resigned that day.  The Fire Chief didn’t inform City </w:t>
      </w:r>
      <w:proofErr w:type="gramStart"/>
      <w:r w:rsidRPr="000174EF">
        <w:rPr>
          <w:rFonts w:ascii="Times New Roman" w:hAnsi="Times New Roman"/>
          <w:sz w:val="24"/>
          <w:szCs w:val="24"/>
        </w:rPr>
        <w:t>Administrator</w:t>
      </w:r>
      <w:proofErr w:type="gramEnd"/>
      <w:r w:rsidRPr="000174EF">
        <w:rPr>
          <w:rFonts w:ascii="Times New Roman" w:hAnsi="Times New Roman"/>
          <w:sz w:val="24"/>
          <w:szCs w:val="24"/>
        </w:rPr>
        <w:t xml:space="preserve"> didn’t immediately inform the City Administrator about the hearing results or the resignation; he waited until the following afternoon.  THE COURT HELD: “The issue here is whether Hamilton has stated a claim that he was fired in retaliation for protected First Amendment activity. We find that he has not, so we AFFIRM the decision of the district court.”</w:t>
      </w:r>
    </w:p>
    <w:p w14:paraId="29885B5E" w14:textId="4D927D67" w:rsidR="004160C7" w:rsidRPr="000174EF" w:rsidRDefault="00910AD4" w:rsidP="00A359DC">
      <w:pPr>
        <w:pStyle w:val="NoSpacing"/>
        <w:rPr>
          <w:rFonts w:ascii="Times New Roman" w:hAnsi="Times New Roman"/>
          <w:sz w:val="24"/>
          <w:szCs w:val="24"/>
        </w:rPr>
      </w:pPr>
      <w:hyperlink r:id="rId2540" w:history="1">
        <w:r w:rsidRPr="000174EF">
          <w:rPr>
            <w:rStyle w:val="Hyperlink"/>
            <w:rFonts w:ascii="Times New Roman" w:hAnsi="Times New Roman"/>
            <w:sz w:val="24"/>
            <w:szCs w:val="24"/>
          </w:rPr>
          <w:t>https://www.ca5.uscourts.gov/opinions/pub/23/23-10881-CV0.pdf</w:t>
        </w:r>
      </w:hyperlink>
    </w:p>
    <w:p w14:paraId="514F0559" w14:textId="77777777" w:rsidR="00635D7C" w:rsidRPr="000174EF" w:rsidRDefault="00635D7C" w:rsidP="00CF19EA">
      <w:pPr>
        <w:pStyle w:val="NoSpacing"/>
        <w:rPr>
          <w:rFonts w:ascii="Times New Roman" w:hAnsi="Times New Roman"/>
          <w:sz w:val="24"/>
          <w:szCs w:val="24"/>
        </w:rPr>
      </w:pPr>
    </w:p>
    <w:p w14:paraId="1CDF3564" w14:textId="77777777" w:rsidR="000174EF" w:rsidRPr="000174EF" w:rsidRDefault="000174EF" w:rsidP="000174EF">
      <w:pPr>
        <w:pStyle w:val="NoSpacing"/>
        <w:rPr>
          <w:rFonts w:ascii="Times New Roman" w:hAnsi="Times New Roman"/>
          <w:sz w:val="24"/>
          <w:szCs w:val="24"/>
        </w:rPr>
      </w:pPr>
      <w:r w:rsidRPr="000174EF">
        <w:rPr>
          <w:rFonts w:ascii="Times New Roman" w:hAnsi="Times New Roman"/>
          <w:b/>
          <w:sz w:val="24"/>
          <w:szCs w:val="24"/>
        </w:rPr>
        <w:t xml:space="preserve">Legal lesson learned: If subpoenaed to testify about a firefighter in a criminal </w:t>
      </w:r>
      <w:r w:rsidRPr="000174EF">
        <w:rPr>
          <w:rFonts w:ascii="Times New Roman" w:hAnsi="Times New Roman"/>
          <w:b/>
          <w:bCs/>
          <w:sz w:val="24"/>
          <w:szCs w:val="24"/>
        </w:rPr>
        <w:t xml:space="preserve">or other court </w:t>
      </w:r>
      <w:r w:rsidRPr="000174EF">
        <w:rPr>
          <w:rFonts w:ascii="Times New Roman" w:hAnsi="Times New Roman"/>
          <w:b/>
          <w:sz w:val="24"/>
          <w:szCs w:val="24"/>
        </w:rPr>
        <w:t xml:space="preserve">proceeding, inform </w:t>
      </w:r>
      <w:r w:rsidRPr="000174EF">
        <w:rPr>
          <w:rFonts w:ascii="Times New Roman" w:hAnsi="Times New Roman"/>
          <w:b/>
          <w:bCs/>
          <w:sz w:val="24"/>
          <w:szCs w:val="24"/>
        </w:rPr>
        <w:t xml:space="preserve">Manager and </w:t>
      </w:r>
      <w:r w:rsidRPr="000174EF">
        <w:rPr>
          <w:rFonts w:ascii="Times New Roman" w:hAnsi="Times New Roman"/>
          <w:b/>
          <w:sz w:val="24"/>
          <w:szCs w:val="24"/>
        </w:rPr>
        <w:t xml:space="preserve">Legal Counsel and follow their advice.  </w:t>
      </w:r>
    </w:p>
    <w:p w14:paraId="0DDE1BDA" w14:textId="77777777" w:rsidR="000174EF" w:rsidRPr="000174EF" w:rsidRDefault="000174EF" w:rsidP="00CF19EA">
      <w:pPr>
        <w:pStyle w:val="NoSpacing"/>
        <w:rPr>
          <w:rFonts w:ascii="Times New Roman" w:hAnsi="Times New Roman"/>
          <w:sz w:val="24"/>
          <w:szCs w:val="24"/>
        </w:rPr>
      </w:pPr>
    </w:p>
    <w:p w14:paraId="3E3F347F" w14:textId="77777777" w:rsidR="00635D7C" w:rsidRDefault="00635D7C" w:rsidP="00CF19EA">
      <w:pPr>
        <w:pStyle w:val="NoSpacing"/>
        <w:rPr>
          <w:rFonts w:ascii="Arial Black" w:hAnsi="Arial Black"/>
          <w:sz w:val="28"/>
          <w:szCs w:val="28"/>
        </w:rPr>
      </w:pPr>
    </w:p>
    <w:p w14:paraId="29782655" w14:textId="3B2A3EE3" w:rsidR="00FB04CF" w:rsidRDefault="00FB04CF" w:rsidP="00FB04CF">
      <w:pPr>
        <w:pStyle w:val="NoSpacing"/>
        <w:rPr>
          <w:rFonts w:ascii="Arial Black" w:hAnsi="Arial Black"/>
          <w:sz w:val="24"/>
          <w:szCs w:val="24"/>
        </w:rPr>
      </w:pPr>
      <w:r>
        <w:rPr>
          <w:rFonts w:ascii="Arial Black" w:hAnsi="Arial Black"/>
          <w:sz w:val="24"/>
          <w:szCs w:val="24"/>
        </w:rPr>
        <w:t>16-125</w:t>
      </w:r>
    </w:p>
    <w:p w14:paraId="014AB115" w14:textId="77777777" w:rsidR="00FB04CF" w:rsidRDefault="00FB04CF" w:rsidP="00E631C5">
      <w:pPr>
        <w:pStyle w:val="NoSpacing"/>
        <w:rPr>
          <w:rFonts w:ascii="Arial Black" w:hAnsi="Arial Black"/>
          <w:sz w:val="28"/>
          <w:szCs w:val="28"/>
        </w:rPr>
      </w:pPr>
    </w:p>
    <w:p w14:paraId="2539C951" w14:textId="0F9A3CFE" w:rsidR="00E631C5" w:rsidRDefault="00E631C5" w:rsidP="00E631C5">
      <w:pPr>
        <w:pStyle w:val="NoSpacing"/>
        <w:rPr>
          <w:rFonts w:ascii="Arial Black" w:hAnsi="Arial Black"/>
          <w:sz w:val="28"/>
          <w:szCs w:val="28"/>
        </w:rPr>
      </w:pPr>
      <w:r>
        <w:rPr>
          <w:rFonts w:ascii="Arial Black" w:hAnsi="Arial Black"/>
          <w:sz w:val="28"/>
          <w:szCs w:val="28"/>
        </w:rPr>
        <w:t xml:space="preserve">NJ: EMS CHIEF / OFFICE ROMANCE </w:t>
      </w:r>
      <w:r w:rsidR="009B1B97">
        <w:rPr>
          <w:rFonts w:ascii="Arial Black" w:hAnsi="Arial Black"/>
          <w:sz w:val="28"/>
          <w:szCs w:val="28"/>
        </w:rPr>
        <w:t xml:space="preserve">WITH </w:t>
      </w:r>
      <w:r>
        <w:rPr>
          <w:rFonts w:ascii="Arial Black" w:hAnsi="Arial Black"/>
          <w:sz w:val="28"/>
          <w:szCs w:val="28"/>
        </w:rPr>
        <w:t>SUBORDINATE – FIRED</w:t>
      </w:r>
    </w:p>
    <w:p w14:paraId="447C31A6" w14:textId="77777777" w:rsidR="009B1B97" w:rsidRPr="00FB04CF" w:rsidRDefault="009B1B97" w:rsidP="009B1B97">
      <w:pPr>
        <w:pStyle w:val="NoSpacing"/>
        <w:rPr>
          <w:rFonts w:ascii="Times New Roman" w:hAnsi="Times New Roman"/>
          <w:sz w:val="24"/>
          <w:szCs w:val="24"/>
        </w:rPr>
      </w:pPr>
      <w:hyperlink r:id="rId2541" w:history="1">
        <w:r w:rsidRPr="00FB04CF">
          <w:rPr>
            <w:rStyle w:val="Hyperlink"/>
            <w:rFonts w:ascii="Times New Roman" w:hAnsi="Times New Roman"/>
            <w:sz w:val="24"/>
            <w:szCs w:val="24"/>
          </w:rPr>
          <w:t>https://www.njcourts.gov/system/files/court-opinions/2025/a1587-23.pdf</w:t>
        </w:r>
      </w:hyperlink>
      <w:r w:rsidRPr="00FB04CF">
        <w:rPr>
          <w:rFonts w:ascii="Times New Roman" w:hAnsi="Times New Roman"/>
          <w:sz w:val="24"/>
          <w:szCs w:val="24"/>
        </w:rPr>
        <w:t xml:space="preserve"> </w:t>
      </w:r>
    </w:p>
    <w:p w14:paraId="65FD60EC" w14:textId="77777777" w:rsidR="009B1B97" w:rsidRDefault="009B1B97" w:rsidP="00E631C5">
      <w:pPr>
        <w:pStyle w:val="NoSpacing"/>
        <w:rPr>
          <w:rFonts w:ascii="Arial Black" w:hAnsi="Arial Black"/>
          <w:sz w:val="28"/>
          <w:szCs w:val="28"/>
        </w:rPr>
      </w:pPr>
    </w:p>
    <w:p w14:paraId="34ECEAE3" w14:textId="77777777" w:rsidR="00E631C5" w:rsidRPr="00FB04CF" w:rsidRDefault="00E631C5" w:rsidP="00E631C5">
      <w:pPr>
        <w:pStyle w:val="NoSpacing"/>
        <w:rPr>
          <w:rFonts w:ascii="Times New Roman" w:hAnsi="Times New Roman"/>
          <w:sz w:val="24"/>
          <w:szCs w:val="24"/>
        </w:rPr>
      </w:pPr>
      <w:r w:rsidRPr="00FB04CF">
        <w:rPr>
          <w:rFonts w:ascii="Times New Roman" w:hAnsi="Times New Roman"/>
          <w:sz w:val="24"/>
          <w:szCs w:val="24"/>
        </w:rPr>
        <w:t xml:space="preserve">On May 20, 2025, </w:t>
      </w:r>
      <w:r w:rsidRPr="00FB04CF">
        <w:rPr>
          <w:rFonts w:ascii="Times New Roman" w:hAnsi="Times New Roman"/>
          <w:sz w:val="24"/>
          <w:szCs w:val="24"/>
          <w:u w:val="single"/>
        </w:rPr>
        <w:t xml:space="preserve">In </w:t>
      </w:r>
      <w:proofErr w:type="gramStart"/>
      <w:r w:rsidRPr="00FB04CF">
        <w:rPr>
          <w:rFonts w:ascii="Times New Roman" w:hAnsi="Times New Roman"/>
          <w:sz w:val="24"/>
          <w:szCs w:val="24"/>
          <w:u w:val="single"/>
        </w:rPr>
        <w:t>The</w:t>
      </w:r>
      <w:proofErr w:type="gramEnd"/>
      <w:r w:rsidRPr="00FB04CF">
        <w:rPr>
          <w:rFonts w:ascii="Times New Roman" w:hAnsi="Times New Roman"/>
          <w:sz w:val="24"/>
          <w:szCs w:val="24"/>
          <w:u w:val="single"/>
        </w:rPr>
        <w:t xml:space="preserve"> Matter </w:t>
      </w:r>
      <w:proofErr w:type="gramStart"/>
      <w:r w:rsidRPr="00FB04CF">
        <w:rPr>
          <w:rFonts w:ascii="Times New Roman" w:hAnsi="Times New Roman"/>
          <w:sz w:val="24"/>
          <w:szCs w:val="24"/>
          <w:u w:val="single"/>
        </w:rPr>
        <w:t>Of</w:t>
      </w:r>
      <w:proofErr w:type="gramEnd"/>
      <w:r w:rsidRPr="00FB04CF">
        <w:rPr>
          <w:rFonts w:ascii="Times New Roman" w:hAnsi="Times New Roman"/>
          <w:sz w:val="24"/>
          <w:szCs w:val="24"/>
          <w:u w:val="single"/>
        </w:rPr>
        <w:t xml:space="preserve"> Michelle Sampson. Upper Township, Department of Recreation and Public Health</w:t>
      </w:r>
      <w:r w:rsidRPr="00FB04CF">
        <w:rPr>
          <w:rFonts w:ascii="Times New Roman" w:hAnsi="Times New Roman"/>
          <w:sz w:val="24"/>
          <w:szCs w:val="24"/>
        </w:rPr>
        <w:t xml:space="preserve">, the Superior Court of New Jersey, Appellate Division, held (2 to 0; unpublished decision) that the New Jersey Civil Service Commission on December 20, </w:t>
      </w:r>
      <w:proofErr w:type="gramStart"/>
      <w:r w:rsidRPr="00FB04CF">
        <w:rPr>
          <w:rFonts w:ascii="Times New Roman" w:hAnsi="Times New Roman"/>
          <w:sz w:val="24"/>
          <w:szCs w:val="24"/>
        </w:rPr>
        <w:t>2023</w:t>
      </w:r>
      <w:proofErr w:type="gramEnd"/>
      <w:r w:rsidRPr="00FB04CF">
        <w:rPr>
          <w:rFonts w:ascii="Times New Roman" w:hAnsi="Times New Roman"/>
          <w:sz w:val="24"/>
          <w:szCs w:val="24"/>
        </w:rPr>
        <w:t xml:space="preserve"> properly upheld Township’s firing M. Sampson for repeatedly violating the Dating Policy.  Petitioner and [her boyfriend] J.H. were engaged in a romantic relationship that began and ended in 2007 while both were co-employees. In 2016, petitioner and J.H., both married to others, rekindled their romantic relationship and began an extra-marital affair and never reported this to the Township. THE COURT HELD: “Petitioner should have disclosed the conflict or abstained from taking part in the hiring process once M.H. [wife of J.H.] was a candidate. As such, the Agency's final decision was not arbitrary and capricious.”  </w:t>
      </w:r>
    </w:p>
    <w:p w14:paraId="7FFBE4B9" w14:textId="77777777" w:rsidR="00E631C5" w:rsidRPr="00FB04CF" w:rsidRDefault="00E631C5" w:rsidP="00E631C5">
      <w:pPr>
        <w:pStyle w:val="NoSpacing"/>
        <w:rPr>
          <w:rFonts w:ascii="Times New Roman" w:hAnsi="Times New Roman"/>
          <w:sz w:val="24"/>
          <w:szCs w:val="24"/>
        </w:rPr>
      </w:pPr>
      <w:hyperlink r:id="rId2542" w:history="1">
        <w:r w:rsidRPr="00FB04CF">
          <w:rPr>
            <w:rStyle w:val="Hyperlink"/>
            <w:rFonts w:ascii="Times New Roman" w:hAnsi="Times New Roman"/>
            <w:sz w:val="24"/>
            <w:szCs w:val="24"/>
          </w:rPr>
          <w:t>https://www.njcourts.gov/system/files/court-opinions/2025/a1587-23.pdf</w:t>
        </w:r>
      </w:hyperlink>
      <w:r w:rsidRPr="00FB04CF">
        <w:rPr>
          <w:rFonts w:ascii="Times New Roman" w:hAnsi="Times New Roman"/>
          <w:sz w:val="24"/>
          <w:szCs w:val="24"/>
        </w:rPr>
        <w:t xml:space="preserve"> </w:t>
      </w:r>
    </w:p>
    <w:p w14:paraId="7D827A60" w14:textId="77777777" w:rsidR="00E631C5" w:rsidRPr="00FB04CF" w:rsidRDefault="00E631C5" w:rsidP="00E631C5">
      <w:pPr>
        <w:pStyle w:val="NoSpacing"/>
        <w:rPr>
          <w:rFonts w:ascii="Times New Roman" w:hAnsi="Times New Roman"/>
          <w:sz w:val="24"/>
          <w:szCs w:val="24"/>
        </w:rPr>
      </w:pPr>
    </w:p>
    <w:p w14:paraId="257DBC9E" w14:textId="77777777" w:rsidR="00FB04CF" w:rsidRPr="00FB04CF" w:rsidRDefault="00FB04CF" w:rsidP="00FB04CF">
      <w:pPr>
        <w:pStyle w:val="NoSpacing"/>
        <w:rPr>
          <w:rFonts w:ascii="Times New Roman" w:hAnsi="Times New Roman"/>
          <w:b/>
          <w:bCs/>
          <w:sz w:val="24"/>
          <w:szCs w:val="24"/>
        </w:rPr>
      </w:pPr>
      <w:r w:rsidRPr="00FB04CF">
        <w:rPr>
          <w:rFonts w:ascii="Times New Roman" w:hAnsi="Times New Roman"/>
          <w:b/>
          <w:sz w:val="24"/>
          <w:szCs w:val="24"/>
        </w:rPr>
        <w:t>Legal lesson learned:  A “Dating Policy” requiring supervisors to report dating of subordinates is an excellent management tool.</w:t>
      </w:r>
    </w:p>
    <w:p w14:paraId="63B9D170" w14:textId="77777777" w:rsidR="00FB04CF" w:rsidRPr="00FB04CF" w:rsidRDefault="00FB04CF" w:rsidP="00FB04CF">
      <w:pPr>
        <w:pStyle w:val="NoSpacing"/>
        <w:rPr>
          <w:rFonts w:ascii="Times New Roman" w:hAnsi="Times New Roman"/>
          <w:sz w:val="24"/>
          <w:szCs w:val="24"/>
        </w:rPr>
      </w:pPr>
    </w:p>
    <w:p w14:paraId="45D2239A" w14:textId="77777777" w:rsidR="00E631C5" w:rsidRDefault="00E631C5" w:rsidP="00CF19EA">
      <w:pPr>
        <w:pStyle w:val="NoSpacing"/>
        <w:rPr>
          <w:rFonts w:ascii="Arial Black" w:hAnsi="Arial Black"/>
          <w:sz w:val="28"/>
          <w:szCs w:val="28"/>
        </w:rPr>
      </w:pPr>
    </w:p>
    <w:p w14:paraId="5ACCE129" w14:textId="4DFC0E5F" w:rsidR="00FB04CF" w:rsidRDefault="00FB04CF" w:rsidP="00FB04CF">
      <w:pPr>
        <w:pStyle w:val="NoSpacing"/>
        <w:rPr>
          <w:rFonts w:ascii="Arial Black" w:hAnsi="Arial Black"/>
          <w:sz w:val="24"/>
          <w:szCs w:val="24"/>
        </w:rPr>
      </w:pPr>
      <w:r>
        <w:rPr>
          <w:rFonts w:ascii="Arial Black" w:hAnsi="Arial Black"/>
          <w:sz w:val="24"/>
          <w:szCs w:val="24"/>
        </w:rPr>
        <w:t>16-124</w:t>
      </w:r>
    </w:p>
    <w:p w14:paraId="5FFDFBE5" w14:textId="77777777" w:rsidR="00E631C5" w:rsidRDefault="00E631C5" w:rsidP="00CF19EA">
      <w:pPr>
        <w:pStyle w:val="NoSpacing"/>
        <w:rPr>
          <w:rFonts w:ascii="Arial Black" w:hAnsi="Arial Black"/>
          <w:sz w:val="28"/>
          <w:szCs w:val="28"/>
        </w:rPr>
      </w:pPr>
    </w:p>
    <w:p w14:paraId="1D187F3B" w14:textId="19CDB21F" w:rsidR="00CF19EA" w:rsidRPr="006F2B87" w:rsidRDefault="00CF19EA" w:rsidP="00CF19EA">
      <w:pPr>
        <w:pStyle w:val="NoSpacing"/>
        <w:rPr>
          <w:rFonts w:ascii="Arial Black" w:hAnsi="Arial Black"/>
          <w:sz w:val="28"/>
          <w:szCs w:val="28"/>
        </w:rPr>
      </w:pPr>
      <w:r w:rsidRPr="006F2B87">
        <w:rPr>
          <w:rFonts w:ascii="Arial Black" w:hAnsi="Arial Black"/>
          <w:sz w:val="28"/>
          <w:szCs w:val="28"/>
        </w:rPr>
        <w:t>OR:  FF FIRED – MISUSE SICK LEAVE – GPS TRACKER</w:t>
      </w:r>
      <w:r>
        <w:rPr>
          <w:rFonts w:ascii="Arial Black" w:hAnsi="Arial Black"/>
          <w:sz w:val="28"/>
          <w:szCs w:val="28"/>
        </w:rPr>
        <w:t xml:space="preserve"> / CELL</w:t>
      </w:r>
    </w:p>
    <w:p w14:paraId="4FD5B1F4" w14:textId="77777777" w:rsidR="00CF19EA" w:rsidRPr="006F2B87" w:rsidRDefault="00CF19EA" w:rsidP="00CF19EA">
      <w:pPr>
        <w:pStyle w:val="NoSpacing"/>
      </w:pPr>
    </w:p>
    <w:p w14:paraId="5418CE55" w14:textId="77777777" w:rsidR="00CF19EA" w:rsidRPr="00CF19EA" w:rsidRDefault="00CF19EA" w:rsidP="00CF19EA">
      <w:pPr>
        <w:pStyle w:val="NoSpacing"/>
        <w:rPr>
          <w:rFonts w:ascii="Times New Roman" w:hAnsi="Times New Roman"/>
          <w:sz w:val="24"/>
          <w:szCs w:val="24"/>
        </w:rPr>
      </w:pPr>
      <w:r w:rsidRPr="00CF19EA">
        <w:rPr>
          <w:rFonts w:ascii="Times New Roman" w:hAnsi="Times New Roman"/>
          <w:sz w:val="24"/>
          <w:szCs w:val="24"/>
        </w:rPr>
        <w:t xml:space="preserve">On May 2, 2025, in </w:t>
      </w:r>
      <w:r w:rsidRPr="00CF19EA">
        <w:rPr>
          <w:rFonts w:ascii="Times New Roman" w:hAnsi="Times New Roman"/>
          <w:sz w:val="24"/>
          <w:szCs w:val="24"/>
          <w:u w:val="single"/>
        </w:rPr>
        <w:t>Zachary Taylor v. Sweet Home Fire &amp; Ambulance District; Mark Nicholas Tyler et al</w:t>
      </w:r>
      <w:r w:rsidRPr="00CF19EA">
        <w:rPr>
          <w:rFonts w:ascii="Times New Roman" w:hAnsi="Times New Roman"/>
          <w:sz w:val="24"/>
          <w:szCs w:val="24"/>
        </w:rPr>
        <w:t xml:space="preserve">., U.S. District Court Judge Mustafa T. </w:t>
      </w:r>
      <w:proofErr w:type="spellStart"/>
      <w:r w:rsidRPr="00CF19EA">
        <w:rPr>
          <w:rFonts w:ascii="Times New Roman" w:hAnsi="Times New Roman"/>
          <w:sz w:val="24"/>
          <w:szCs w:val="24"/>
        </w:rPr>
        <w:t>Kasubhai</w:t>
      </w:r>
      <w:proofErr w:type="spellEnd"/>
      <w:r w:rsidRPr="00CF19EA">
        <w:rPr>
          <w:rFonts w:ascii="Times New Roman" w:hAnsi="Times New Roman"/>
          <w:sz w:val="24"/>
          <w:szCs w:val="24"/>
        </w:rPr>
        <w:t>, United States District Court for the District of Oregon, held that the plaintiff, who was fired on March 29, 2023 for misuse of sick time may proceed with claim that Fire Chief tracked his location using GPS on his personal cell phone.  Plaintiff is pro se (no attorney) and six claims were dismissed, but 4</w:t>
      </w:r>
      <w:r w:rsidRPr="00CF19EA">
        <w:rPr>
          <w:rFonts w:ascii="Times New Roman" w:hAnsi="Times New Roman"/>
          <w:sz w:val="24"/>
          <w:szCs w:val="24"/>
          <w:vertAlign w:val="superscript"/>
        </w:rPr>
        <w:t>th</w:t>
      </w:r>
      <w:r w:rsidRPr="00CF19EA">
        <w:rPr>
          <w:rFonts w:ascii="Times New Roman" w:hAnsi="Times New Roman"/>
          <w:sz w:val="24"/>
          <w:szCs w:val="24"/>
        </w:rPr>
        <w:t xml:space="preserve"> Amendment claim and claim he was denied Civil Service hearing may proceed with pre-trial discovery.  </w:t>
      </w:r>
    </w:p>
    <w:p w14:paraId="56B073E9" w14:textId="77777777" w:rsidR="00CF19EA" w:rsidRPr="00CF19EA" w:rsidRDefault="00CF19EA" w:rsidP="00CF19EA">
      <w:pPr>
        <w:pStyle w:val="NoSpacing"/>
        <w:rPr>
          <w:rFonts w:ascii="Times New Roman" w:hAnsi="Times New Roman"/>
          <w:sz w:val="24"/>
          <w:szCs w:val="24"/>
        </w:rPr>
      </w:pPr>
    </w:p>
    <w:p w14:paraId="5A7DDF2B" w14:textId="4A5B941A" w:rsidR="007B4499" w:rsidRPr="00CF19EA" w:rsidRDefault="00CF19EA" w:rsidP="00CF19EA">
      <w:pPr>
        <w:pStyle w:val="NoSpacing"/>
        <w:rPr>
          <w:rFonts w:ascii="Times New Roman" w:hAnsi="Times New Roman"/>
          <w:sz w:val="24"/>
          <w:szCs w:val="24"/>
        </w:rPr>
      </w:pPr>
      <w:r w:rsidRPr="00CF19EA">
        <w:rPr>
          <w:rFonts w:ascii="Times New Roman" w:hAnsi="Times New Roman"/>
          <w:sz w:val="24"/>
          <w:szCs w:val="24"/>
        </w:rPr>
        <w:t xml:space="preserve">The Court wrote: “Third Claim - Unreasonable Search and Seizure. Plaintiff's Third Claim is a § 1983 claim alleging that Barringer violated Plaintiff's Fourth Amendment rights by using a first responder application installed on Plaintiff's phone to track Plaintiff's location for a non-emergency response purpose. FAC [First Amended Complaint] ¶ 175. Plaintiff alleges that on April 18, 2022, he called in sick to work because he was nervous about Barringer being there. FAC ¶ 71-72. Barringer became immediately suspicious that Plaintiff was abusing his use of sick time. FAC ¶ 72. Barringer located Plaintiff using the first responder application installed on Plaintiff's phone and drove twenty-two miles from work to spy on Plaintiff. FAC ¶ 72. Plaintiff was then placed on administrative leave pending a fit for duty evaluation. FAC ¶ 175. *** The remainder of Plaintiff's FAC relates to an investigation that took place from May 2022 to March 2023 regarding Plaintiff's alleged misuse of sick leave. </w:t>
      </w:r>
      <w:r w:rsidRPr="00CF19EA">
        <w:rPr>
          <w:rFonts w:ascii="Times New Roman" w:hAnsi="Times New Roman"/>
          <w:i/>
          <w:iCs/>
          <w:sz w:val="24"/>
          <w:szCs w:val="24"/>
        </w:rPr>
        <w:t>Id</w:t>
      </w:r>
      <w:r w:rsidRPr="00CF19EA">
        <w:rPr>
          <w:rFonts w:ascii="Times New Roman" w:hAnsi="Times New Roman"/>
          <w:sz w:val="24"/>
          <w:szCs w:val="24"/>
        </w:rPr>
        <w:t xml:space="preserve">. ¶¶ 70-133. Plaintiff was placed on administrative leave for eleven </w:t>
      </w:r>
      <w:proofErr w:type="gramStart"/>
      <w:r w:rsidRPr="00CF19EA">
        <w:rPr>
          <w:rFonts w:ascii="Times New Roman" w:hAnsi="Times New Roman"/>
          <w:sz w:val="24"/>
          <w:szCs w:val="24"/>
        </w:rPr>
        <w:t>months, and</w:t>
      </w:r>
      <w:proofErr w:type="gramEnd"/>
      <w:r w:rsidRPr="00CF19EA">
        <w:rPr>
          <w:rFonts w:ascii="Times New Roman" w:hAnsi="Times New Roman"/>
          <w:sz w:val="24"/>
          <w:szCs w:val="24"/>
        </w:rPr>
        <w:t xml:space="preserve"> ultimately terminated from his position on March 29, 2023. </w:t>
      </w:r>
      <w:r w:rsidRPr="00CF19EA">
        <w:rPr>
          <w:rFonts w:ascii="Times New Roman" w:hAnsi="Times New Roman"/>
          <w:i/>
          <w:iCs/>
          <w:sz w:val="24"/>
          <w:szCs w:val="24"/>
        </w:rPr>
        <w:t>Id.</w:t>
      </w:r>
      <w:r w:rsidRPr="00CF19EA">
        <w:rPr>
          <w:rFonts w:ascii="Times New Roman" w:hAnsi="Times New Roman"/>
          <w:sz w:val="24"/>
          <w:szCs w:val="24"/>
        </w:rPr>
        <w:t xml:space="preserve"> ¶¶ 43, 72, 131, 145. *** The underlying conduct giving rise to Plaintiff's Third Claim occurred within the two-year statute of limitations. Defendants did not move to dismiss this claim against Barringer on substantive </w:t>
      </w:r>
      <w:proofErr w:type="gramStart"/>
      <w:r w:rsidRPr="00CF19EA">
        <w:rPr>
          <w:rFonts w:ascii="Times New Roman" w:hAnsi="Times New Roman"/>
          <w:sz w:val="24"/>
          <w:szCs w:val="24"/>
        </w:rPr>
        <w:t>grounds.”</w:t>
      </w:r>
      <w:proofErr w:type="gramEnd"/>
      <w:r w:rsidRPr="00CF19EA">
        <w:rPr>
          <w:rFonts w:ascii="Times New Roman" w:hAnsi="Times New Roman"/>
          <w:sz w:val="24"/>
          <w:szCs w:val="24"/>
        </w:rPr>
        <w:t xml:space="preserve">  </w:t>
      </w:r>
      <w:hyperlink r:id="rId2543" w:history="1">
        <w:r w:rsidRPr="00CF19EA">
          <w:rPr>
            <w:rStyle w:val="Hyperlink"/>
            <w:rFonts w:ascii="Times New Roman" w:hAnsi="Times New Roman"/>
            <w:sz w:val="24"/>
            <w:szCs w:val="24"/>
          </w:rPr>
          <w:t>https://public.fastcase.com/jaEE2PXzRXmZ99jOLMt1Im1keUzBtfiIHvEUrgtpCe4tsCgV6NtJX3IH6wzppmaYdMf24%2B5puOWV6%2FBXnYGObJXUVli9SMl09cYxEMCDiBI%3D?utm_medium=email&amp;_hsenc=p2ANqtz-_d7OiIN91ZAk7Y1LfM1ALZw-U0OSyNxgKb6pVH2Z92AnZk8gKeX6P0Vdjf87FJH4FQPvAXMckV1s5VI4fjARMOTrnriQ&amp;_hsmi=226712652&amp;utm_content=226712652&amp;utm_source=hs_email</w:t>
        </w:r>
      </w:hyperlink>
    </w:p>
    <w:p w14:paraId="47192970" w14:textId="77777777" w:rsidR="009701FE" w:rsidRDefault="009701FE" w:rsidP="00F91F9F">
      <w:pPr>
        <w:pStyle w:val="NoSpacing"/>
        <w:rPr>
          <w:rFonts w:ascii="Arial Black" w:hAnsi="Arial Black"/>
          <w:sz w:val="24"/>
          <w:szCs w:val="24"/>
        </w:rPr>
      </w:pPr>
    </w:p>
    <w:p w14:paraId="2446681C" w14:textId="77777777" w:rsidR="0020461D" w:rsidRPr="001F3D0F" w:rsidRDefault="0020461D" w:rsidP="0020461D">
      <w:pPr>
        <w:pStyle w:val="NoSpacing"/>
        <w:rPr>
          <w:rFonts w:ascii="Times New Roman" w:hAnsi="Times New Roman"/>
          <w:b/>
          <w:bCs/>
          <w:sz w:val="24"/>
          <w:szCs w:val="24"/>
        </w:rPr>
      </w:pPr>
      <w:r w:rsidRPr="001F3D0F">
        <w:rPr>
          <w:rFonts w:ascii="Times New Roman" w:hAnsi="Times New Roman"/>
          <w:b/>
          <w:sz w:val="24"/>
          <w:szCs w:val="24"/>
        </w:rPr>
        <w:t xml:space="preserve">Legal Lesson Learned: Case will now proceed to pre-trial discovery.  If </w:t>
      </w:r>
      <w:r w:rsidRPr="001F3D0F">
        <w:rPr>
          <w:rFonts w:ascii="Times New Roman" w:hAnsi="Times New Roman"/>
          <w:b/>
          <w:bCs/>
          <w:sz w:val="24"/>
          <w:szCs w:val="24"/>
        </w:rPr>
        <w:t>F</w:t>
      </w:r>
      <w:r w:rsidRPr="001F3D0F">
        <w:rPr>
          <w:rFonts w:ascii="Times New Roman" w:hAnsi="Times New Roman"/>
          <w:b/>
          <w:sz w:val="24"/>
          <w:szCs w:val="24"/>
        </w:rPr>
        <w:t xml:space="preserve">ire </w:t>
      </w:r>
      <w:r w:rsidRPr="001F3D0F">
        <w:rPr>
          <w:rFonts w:ascii="Times New Roman" w:hAnsi="Times New Roman"/>
          <w:b/>
          <w:bCs/>
          <w:sz w:val="24"/>
          <w:szCs w:val="24"/>
        </w:rPr>
        <w:t xml:space="preserve">or EMS </w:t>
      </w:r>
      <w:r w:rsidRPr="001F3D0F">
        <w:rPr>
          <w:rFonts w:ascii="Times New Roman" w:hAnsi="Times New Roman"/>
          <w:b/>
          <w:sz w:val="24"/>
          <w:szCs w:val="24"/>
        </w:rPr>
        <w:t xml:space="preserve">department requires personnel to have a GPS locator on their personal cell, consult with legal counsel about laws in your state on requiring personnel to sign a written consent. </w:t>
      </w:r>
    </w:p>
    <w:p w14:paraId="3C14BA89" w14:textId="77777777" w:rsidR="0020461D" w:rsidRPr="001F3D0F" w:rsidRDefault="0020461D" w:rsidP="0020461D">
      <w:pPr>
        <w:pStyle w:val="NoSpacing"/>
        <w:rPr>
          <w:rFonts w:ascii="Times New Roman" w:hAnsi="Times New Roman"/>
          <w:b/>
          <w:bCs/>
          <w:sz w:val="24"/>
          <w:szCs w:val="24"/>
        </w:rPr>
      </w:pPr>
    </w:p>
    <w:p w14:paraId="0244F4BD" w14:textId="77777777" w:rsidR="0020461D" w:rsidRPr="001F3D0F" w:rsidRDefault="0020461D" w:rsidP="0020461D">
      <w:pPr>
        <w:pStyle w:val="NoSpacing"/>
        <w:ind w:left="720"/>
        <w:rPr>
          <w:rFonts w:ascii="Times New Roman" w:hAnsi="Times New Roman"/>
          <w:sz w:val="24"/>
          <w:szCs w:val="24"/>
        </w:rPr>
      </w:pPr>
      <w:r w:rsidRPr="001F3D0F">
        <w:rPr>
          <w:rFonts w:ascii="Times New Roman" w:hAnsi="Times New Roman"/>
          <w:sz w:val="24"/>
          <w:szCs w:val="24"/>
        </w:rPr>
        <w:t xml:space="preserve">Note: See this article: “Stay Compliant: Employee GPS Tracking Laws by State.” </w:t>
      </w:r>
      <w:hyperlink r:id="rId2544" w:history="1">
        <w:r w:rsidRPr="001F3D0F">
          <w:rPr>
            <w:rStyle w:val="Hyperlink"/>
            <w:rFonts w:ascii="Times New Roman" w:hAnsi="Times New Roman"/>
            <w:sz w:val="24"/>
            <w:szCs w:val="24"/>
          </w:rPr>
          <w:t>https://timeero.com/resources-page/employee-gps-tracking-laws</w:t>
        </w:r>
      </w:hyperlink>
      <w:r w:rsidRPr="001F3D0F">
        <w:rPr>
          <w:rFonts w:ascii="Times New Roman" w:hAnsi="Times New Roman"/>
          <w:sz w:val="24"/>
          <w:szCs w:val="24"/>
        </w:rPr>
        <w:t xml:space="preserve"> </w:t>
      </w:r>
    </w:p>
    <w:p w14:paraId="2A6D9768" w14:textId="77777777" w:rsidR="0020461D" w:rsidRPr="001F3D0F" w:rsidRDefault="0020461D" w:rsidP="0020461D">
      <w:pPr>
        <w:pStyle w:val="NoSpacing"/>
        <w:ind w:firstLine="720"/>
        <w:rPr>
          <w:rFonts w:ascii="Times New Roman" w:hAnsi="Times New Roman"/>
          <w:sz w:val="24"/>
          <w:szCs w:val="24"/>
        </w:rPr>
      </w:pPr>
      <w:r w:rsidRPr="001F3D0F">
        <w:rPr>
          <w:rFonts w:ascii="Times New Roman" w:hAnsi="Times New Roman"/>
          <w:sz w:val="24"/>
          <w:szCs w:val="24"/>
        </w:rPr>
        <w:t xml:space="preserve">“Wondering if it’s legal to track your employees’ location with GPS? </w:t>
      </w:r>
    </w:p>
    <w:p w14:paraId="495632B8" w14:textId="77777777" w:rsidR="0020461D" w:rsidRPr="001F3D0F" w:rsidRDefault="0020461D" w:rsidP="0020461D">
      <w:pPr>
        <w:pStyle w:val="NoSpacing"/>
        <w:ind w:left="720"/>
        <w:rPr>
          <w:rFonts w:ascii="Times New Roman" w:hAnsi="Times New Roman"/>
          <w:sz w:val="24"/>
          <w:szCs w:val="24"/>
        </w:rPr>
      </w:pPr>
      <w:r w:rsidRPr="001F3D0F">
        <w:rPr>
          <w:rFonts w:ascii="Times New Roman" w:hAnsi="Times New Roman"/>
          <w:sz w:val="24"/>
          <w:szCs w:val="24"/>
        </w:rPr>
        <w:t>The answer isn't as simple as yes or no. While federal laws offer some guidance, state-specific regulations play a crucial role in determining what's permissible.‍ For example, in California, you must get explicit consent from your employees before tracking their location, even if they’re using company-owned vehicles.  But, in states like Georgia, there are no specific laws regarding GPS tracking.”</w:t>
      </w:r>
    </w:p>
    <w:p w14:paraId="0AE4A7B2" w14:textId="77777777" w:rsidR="0020461D" w:rsidRPr="006F2B87" w:rsidRDefault="0020461D" w:rsidP="0020461D">
      <w:pPr>
        <w:pStyle w:val="NoSpacing"/>
      </w:pPr>
    </w:p>
    <w:p w14:paraId="585E930F" w14:textId="77777777" w:rsidR="009701FE" w:rsidRDefault="009701FE" w:rsidP="00F91F9F">
      <w:pPr>
        <w:pStyle w:val="NoSpacing"/>
        <w:rPr>
          <w:rFonts w:ascii="Arial Black" w:hAnsi="Arial Black"/>
          <w:sz w:val="24"/>
          <w:szCs w:val="24"/>
        </w:rPr>
      </w:pPr>
    </w:p>
    <w:p w14:paraId="0FC4A08A" w14:textId="77777777" w:rsidR="009701FE" w:rsidRDefault="009701FE" w:rsidP="00F91F9F">
      <w:pPr>
        <w:pStyle w:val="NoSpacing"/>
        <w:rPr>
          <w:rFonts w:ascii="Arial Black" w:hAnsi="Arial Black"/>
          <w:sz w:val="24"/>
          <w:szCs w:val="24"/>
        </w:rPr>
      </w:pPr>
    </w:p>
    <w:p w14:paraId="580EF99E" w14:textId="77777777" w:rsidR="009701FE" w:rsidRDefault="009701FE" w:rsidP="00F91F9F">
      <w:pPr>
        <w:pStyle w:val="NoSpacing"/>
        <w:rPr>
          <w:rFonts w:ascii="Arial Black" w:hAnsi="Arial Black"/>
          <w:sz w:val="24"/>
          <w:szCs w:val="24"/>
        </w:rPr>
      </w:pPr>
    </w:p>
    <w:p w14:paraId="5BA545B6" w14:textId="77777777" w:rsidR="009701FE" w:rsidRDefault="009701FE" w:rsidP="00F91F9F">
      <w:pPr>
        <w:pStyle w:val="NoSpacing"/>
        <w:rPr>
          <w:rFonts w:ascii="Arial Black" w:hAnsi="Arial Black"/>
          <w:sz w:val="24"/>
          <w:szCs w:val="24"/>
        </w:rPr>
      </w:pPr>
    </w:p>
    <w:p w14:paraId="2CFB880A" w14:textId="518AF9FD" w:rsidR="007B4499" w:rsidRDefault="007B4499" w:rsidP="00F91F9F">
      <w:pPr>
        <w:pStyle w:val="NoSpacing"/>
        <w:rPr>
          <w:rFonts w:ascii="Arial Black" w:hAnsi="Arial Black"/>
          <w:sz w:val="24"/>
          <w:szCs w:val="24"/>
        </w:rPr>
      </w:pPr>
      <w:r>
        <w:rPr>
          <w:rFonts w:ascii="Arial Black" w:hAnsi="Arial Black"/>
          <w:sz w:val="24"/>
          <w:szCs w:val="24"/>
        </w:rPr>
        <w:t>16-123</w:t>
      </w:r>
    </w:p>
    <w:p w14:paraId="4F5E2AE5" w14:textId="32FE14A6" w:rsidR="00B927E4" w:rsidRDefault="00B927E4" w:rsidP="00B927E4">
      <w:pPr>
        <w:rPr>
          <w:rFonts w:ascii="Arial Black" w:hAnsi="Arial Black"/>
          <w:b/>
          <w:sz w:val="28"/>
          <w:szCs w:val="28"/>
        </w:rPr>
      </w:pPr>
      <w:r>
        <w:rPr>
          <w:rFonts w:ascii="Arial Black" w:hAnsi="Arial Black"/>
          <w:b/>
          <w:sz w:val="28"/>
          <w:szCs w:val="28"/>
        </w:rPr>
        <w:t xml:space="preserve">MI:  FF WHISTLEBLOWER – </w:t>
      </w:r>
      <w:r w:rsidR="000A6C09">
        <w:rPr>
          <w:rFonts w:ascii="Arial Black" w:hAnsi="Arial Black"/>
          <w:b/>
          <w:sz w:val="28"/>
          <w:szCs w:val="28"/>
        </w:rPr>
        <w:t xml:space="preserve">REPORTED </w:t>
      </w:r>
      <w:r>
        <w:rPr>
          <w:rFonts w:ascii="Arial Black" w:hAnsi="Arial Black"/>
          <w:b/>
          <w:sz w:val="28"/>
          <w:szCs w:val="28"/>
        </w:rPr>
        <w:t xml:space="preserve">TIMECARD FRAUD </w:t>
      </w:r>
      <w:r w:rsidR="00DC0946">
        <w:rPr>
          <w:rFonts w:ascii="Arial Black" w:hAnsi="Arial Black"/>
          <w:b/>
          <w:sz w:val="28"/>
          <w:szCs w:val="28"/>
        </w:rPr>
        <w:t>–</w:t>
      </w:r>
      <w:r>
        <w:rPr>
          <w:rFonts w:ascii="Arial Black" w:hAnsi="Arial Black"/>
          <w:b/>
          <w:sz w:val="28"/>
          <w:szCs w:val="28"/>
        </w:rPr>
        <w:t xml:space="preserve"> </w:t>
      </w:r>
      <w:r w:rsidR="00DC0946">
        <w:rPr>
          <w:rFonts w:ascii="Arial Black" w:hAnsi="Arial Black"/>
          <w:b/>
          <w:sz w:val="28"/>
          <w:szCs w:val="28"/>
        </w:rPr>
        <w:t xml:space="preserve">CASE </w:t>
      </w:r>
      <w:r>
        <w:rPr>
          <w:rFonts w:ascii="Arial Black" w:hAnsi="Arial Black"/>
          <w:b/>
          <w:sz w:val="28"/>
          <w:szCs w:val="28"/>
        </w:rPr>
        <w:t>PROCEED</w:t>
      </w:r>
    </w:p>
    <w:p w14:paraId="6AA06D7A" w14:textId="77777777" w:rsidR="00B927E4" w:rsidRPr="00B927E4" w:rsidRDefault="00B927E4" w:rsidP="00B927E4">
      <w:pPr>
        <w:pStyle w:val="NoSpacing"/>
        <w:rPr>
          <w:rFonts w:ascii="Times New Roman" w:hAnsi="Times New Roman"/>
          <w:sz w:val="24"/>
          <w:szCs w:val="24"/>
        </w:rPr>
      </w:pPr>
      <w:r w:rsidRPr="00B927E4">
        <w:rPr>
          <w:rFonts w:ascii="Times New Roman" w:hAnsi="Times New Roman"/>
          <w:sz w:val="24"/>
          <w:szCs w:val="24"/>
        </w:rPr>
        <w:t xml:space="preserve">On April 24, 2025, in </w:t>
      </w:r>
      <w:r w:rsidRPr="00B927E4">
        <w:rPr>
          <w:rFonts w:ascii="Times New Roman" w:hAnsi="Times New Roman"/>
          <w:sz w:val="24"/>
          <w:szCs w:val="24"/>
          <w:u w:val="single"/>
        </w:rPr>
        <w:t>Craig Williamson v. City of Riverview</w:t>
      </w:r>
      <w:r w:rsidRPr="00B927E4">
        <w:rPr>
          <w:rFonts w:ascii="Times New Roman" w:hAnsi="Times New Roman"/>
          <w:sz w:val="24"/>
          <w:szCs w:val="24"/>
        </w:rPr>
        <w:t xml:space="preserve">, the Court of Appeals of Michigan held (3 to 0) that trial court improperly dismissed his current lawsuit for being filed untimely.  Craig Williamson worked as a firefighter and officer for the </w:t>
      </w:r>
      <w:proofErr w:type="gramStart"/>
      <w:r w:rsidRPr="00B927E4">
        <w:rPr>
          <w:rFonts w:ascii="Times New Roman" w:hAnsi="Times New Roman"/>
          <w:sz w:val="24"/>
          <w:szCs w:val="24"/>
        </w:rPr>
        <w:t>City</w:t>
      </w:r>
      <w:proofErr w:type="gramEnd"/>
      <w:r w:rsidRPr="00B927E4">
        <w:rPr>
          <w:rFonts w:ascii="Times New Roman" w:hAnsi="Times New Roman"/>
          <w:sz w:val="24"/>
          <w:szCs w:val="24"/>
        </w:rPr>
        <w:t xml:space="preserve"> for  “several decades” and claims he suffered retaliation for reporting in 2015 “what he believed to be timecard fraud among some of his colleagues.” On May 30, 2018, plaintiff filed his first complaint in the Wayne Circuit Court, alleging the retaliatory actions taken against him in violation of the Whistleblowers’ Protection Act (WPA). In October 2018, the fire department charged plaintiff with violations of staffing policies; after a hearing, the fire department suspended plaintiff for 90 days and demoted him to lieutenant. On November 26, 2018, plaintiff filed a supplemental complaint, alleging additional violations of the WPA related to the staffing issue. Plaintiff alleged that defendant forced him to work alone or with only one other firefighter, had discriminated against him by suspending him on December 23, 2019, because he was asking co-workers to support him in this lawsuit, and had treated him “like a pariah in the workplace” since 2015 and continuing until his recent suspension. Plaintiff alleged that his “work environment has become hostile, intolerable and unsafe for Plaintiff as a result of Defendant’s retaliation.” </w:t>
      </w:r>
    </w:p>
    <w:p w14:paraId="2794DCCE" w14:textId="77777777" w:rsidR="00B927E4" w:rsidRDefault="00B927E4" w:rsidP="00B927E4">
      <w:pPr>
        <w:pStyle w:val="NoSpacing"/>
        <w:rPr>
          <w:rFonts w:ascii="Times New Roman" w:hAnsi="Times New Roman"/>
          <w:sz w:val="24"/>
          <w:szCs w:val="24"/>
        </w:rPr>
      </w:pPr>
      <w:hyperlink r:id="rId2545" w:history="1">
        <w:r w:rsidRPr="00B927E4">
          <w:rPr>
            <w:rStyle w:val="Hyperlink"/>
            <w:rFonts w:ascii="Times New Roman" w:hAnsi="Times New Roman"/>
            <w:sz w:val="24"/>
            <w:szCs w:val="24"/>
          </w:rPr>
          <w:t>https://cases.justia.com/michigan/court-of-appeals-unpublished/2025-368047.pdf?ts=1745586008</w:t>
        </w:r>
      </w:hyperlink>
      <w:r w:rsidRPr="00B927E4">
        <w:rPr>
          <w:rFonts w:ascii="Times New Roman" w:hAnsi="Times New Roman"/>
          <w:sz w:val="24"/>
          <w:szCs w:val="24"/>
        </w:rPr>
        <w:t xml:space="preserve"> </w:t>
      </w:r>
    </w:p>
    <w:p w14:paraId="318F69F5" w14:textId="77777777" w:rsidR="00EB44F4" w:rsidRDefault="00EB44F4" w:rsidP="00B927E4">
      <w:pPr>
        <w:pStyle w:val="NoSpacing"/>
        <w:rPr>
          <w:rFonts w:ascii="Times New Roman" w:hAnsi="Times New Roman"/>
          <w:sz w:val="24"/>
          <w:szCs w:val="24"/>
        </w:rPr>
      </w:pPr>
    </w:p>
    <w:p w14:paraId="6EEE63F8" w14:textId="77777777" w:rsidR="00EB44F4" w:rsidRPr="00EB44F4" w:rsidRDefault="00EB44F4" w:rsidP="00EB44F4">
      <w:pPr>
        <w:pStyle w:val="NoSpacing"/>
        <w:rPr>
          <w:rFonts w:ascii="Times New Roman" w:hAnsi="Times New Roman"/>
          <w:b/>
          <w:sz w:val="24"/>
          <w:szCs w:val="24"/>
        </w:rPr>
      </w:pPr>
      <w:r w:rsidRPr="00EB44F4">
        <w:rPr>
          <w:rFonts w:ascii="Times New Roman" w:hAnsi="Times New Roman"/>
          <w:b/>
          <w:sz w:val="24"/>
          <w:szCs w:val="24"/>
        </w:rPr>
        <w:t xml:space="preserve">Legal Lesson Learned: Courts are reluctant to dismiss whistleblower cases until pre-trial discovery is completed. </w:t>
      </w:r>
    </w:p>
    <w:p w14:paraId="4A7E2066" w14:textId="77777777" w:rsidR="00EB44F4" w:rsidRPr="00EB44F4" w:rsidRDefault="00EB44F4" w:rsidP="00EB44F4">
      <w:pPr>
        <w:pStyle w:val="NoSpacing"/>
        <w:rPr>
          <w:rFonts w:ascii="Times New Roman" w:hAnsi="Times New Roman"/>
          <w:bCs/>
          <w:sz w:val="24"/>
          <w:szCs w:val="24"/>
        </w:rPr>
      </w:pPr>
    </w:p>
    <w:p w14:paraId="63ADB3E8" w14:textId="77777777" w:rsidR="00EB44F4" w:rsidRPr="00EB44F4" w:rsidRDefault="00EB44F4" w:rsidP="00EB44F4">
      <w:pPr>
        <w:pStyle w:val="NoSpacing"/>
        <w:ind w:left="720"/>
        <w:rPr>
          <w:rFonts w:ascii="Times New Roman" w:hAnsi="Times New Roman"/>
          <w:bCs/>
          <w:sz w:val="24"/>
          <w:szCs w:val="24"/>
        </w:rPr>
      </w:pPr>
      <w:r w:rsidRPr="00EB44F4">
        <w:rPr>
          <w:rFonts w:ascii="Times New Roman" w:hAnsi="Times New Roman"/>
          <w:sz w:val="24"/>
          <w:szCs w:val="24"/>
        </w:rPr>
        <w:t>Note:  The Michigan Whistleblower Protect Act prohibits an employer from discharging, threatening, or otherwise discriminating against an employee “regarding the employee’s compensation, terms, conditions, location, or privileges of employment” because the employee reported, or was about to report, a violation or suspected violation of law to a public body, “verbally or in writing.” MCL 15.362</w:t>
      </w:r>
    </w:p>
    <w:p w14:paraId="758AF538" w14:textId="77777777" w:rsidR="00EB44F4" w:rsidRPr="00EB44F4" w:rsidRDefault="00EB44F4" w:rsidP="00B927E4">
      <w:pPr>
        <w:pStyle w:val="NoSpacing"/>
        <w:rPr>
          <w:rFonts w:ascii="Times New Roman" w:hAnsi="Times New Roman"/>
          <w:sz w:val="24"/>
          <w:szCs w:val="24"/>
        </w:rPr>
      </w:pPr>
    </w:p>
    <w:p w14:paraId="14E78B81" w14:textId="77777777" w:rsidR="00B927E4" w:rsidRPr="00B927E4" w:rsidRDefault="00B927E4" w:rsidP="00B927E4">
      <w:pPr>
        <w:pStyle w:val="NoSpacing"/>
        <w:rPr>
          <w:rFonts w:ascii="Times New Roman" w:hAnsi="Times New Roman"/>
          <w:sz w:val="24"/>
          <w:szCs w:val="24"/>
        </w:rPr>
      </w:pPr>
    </w:p>
    <w:p w14:paraId="57F0E3C0" w14:textId="77777777" w:rsidR="00B927E4" w:rsidRDefault="00B927E4" w:rsidP="00F91F9F">
      <w:pPr>
        <w:pStyle w:val="NoSpacing"/>
        <w:rPr>
          <w:rFonts w:ascii="Arial Black" w:hAnsi="Arial Black"/>
          <w:sz w:val="24"/>
          <w:szCs w:val="24"/>
        </w:rPr>
      </w:pPr>
    </w:p>
    <w:p w14:paraId="0B23CB25" w14:textId="77777777" w:rsidR="007B4499" w:rsidRDefault="007B4499" w:rsidP="00F91F9F">
      <w:pPr>
        <w:pStyle w:val="NoSpacing"/>
        <w:rPr>
          <w:rFonts w:ascii="Arial Black" w:hAnsi="Arial Black"/>
          <w:sz w:val="24"/>
          <w:szCs w:val="24"/>
        </w:rPr>
      </w:pPr>
    </w:p>
    <w:p w14:paraId="470C5165" w14:textId="77777777" w:rsidR="007B4499" w:rsidRDefault="007B4499" w:rsidP="00F91F9F">
      <w:pPr>
        <w:pStyle w:val="NoSpacing"/>
        <w:rPr>
          <w:rFonts w:ascii="Arial Black" w:hAnsi="Arial Black"/>
          <w:sz w:val="24"/>
          <w:szCs w:val="24"/>
        </w:rPr>
      </w:pPr>
    </w:p>
    <w:p w14:paraId="50931163" w14:textId="7734FE4A" w:rsidR="008E4442" w:rsidRDefault="008E4442" w:rsidP="00F91F9F">
      <w:pPr>
        <w:pStyle w:val="NoSpacing"/>
        <w:rPr>
          <w:rFonts w:ascii="Arial Black" w:hAnsi="Arial Black"/>
          <w:sz w:val="24"/>
          <w:szCs w:val="24"/>
        </w:rPr>
      </w:pPr>
      <w:r>
        <w:rPr>
          <w:rFonts w:ascii="Arial Black" w:hAnsi="Arial Black"/>
          <w:sz w:val="24"/>
          <w:szCs w:val="24"/>
        </w:rPr>
        <w:t>16-122</w:t>
      </w:r>
    </w:p>
    <w:p w14:paraId="5BBFAE15" w14:textId="77777777" w:rsidR="008E4442" w:rsidRDefault="008E4442" w:rsidP="00F91F9F">
      <w:pPr>
        <w:pStyle w:val="NoSpacing"/>
        <w:rPr>
          <w:rFonts w:ascii="Arial Black" w:hAnsi="Arial Black"/>
          <w:sz w:val="24"/>
          <w:szCs w:val="24"/>
        </w:rPr>
      </w:pPr>
    </w:p>
    <w:p w14:paraId="2C90BC01" w14:textId="77777777" w:rsidR="008E4442" w:rsidRDefault="008E4442" w:rsidP="008E4442">
      <w:pPr>
        <w:pStyle w:val="NoSpacing"/>
        <w:rPr>
          <w:rFonts w:ascii="Arial Black" w:hAnsi="Arial Black"/>
          <w:bCs/>
          <w:sz w:val="28"/>
          <w:szCs w:val="28"/>
        </w:rPr>
      </w:pPr>
      <w:r>
        <w:rPr>
          <w:rFonts w:ascii="Arial Black" w:hAnsi="Arial Black"/>
          <w:sz w:val="28"/>
          <w:szCs w:val="28"/>
        </w:rPr>
        <w:t>CO: CHIEF FIRED BY NEW BOARD – VIDEO / INSUR. LAPSE</w:t>
      </w:r>
    </w:p>
    <w:p w14:paraId="478935F3" w14:textId="77777777" w:rsidR="008E4442" w:rsidRDefault="008E4442" w:rsidP="008E4442">
      <w:pPr>
        <w:pStyle w:val="NoSpacing"/>
        <w:rPr>
          <w:rFonts w:ascii="Arial Black" w:hAnsi="Arial Black"/>
          <w:bCs/>
          <w:sz w:val="28"/>
          <w:szCs w:val="28"/>
        </w:rPr>
      </w:pPr>
    </w:p>
    <w:p w14:paraId="75E77EF8" w14:textId="77777777" w:rsidR="008E4442" w:rsidRPr="00803906" w:rsidRDefault="008E4442" w:rsidP="008E4442">
      <w:pPr>
        <w:pStyle w:val="NoSpacing"/>
        <w:rPr>
          <w:rFonts w:ascii="Times New Roman" w:hAnsi="Times New Roman"/>
          <w:bCs/>
          <w:sz w:val="24"/>
          <w:szCs w:val="24"/>
        </w:rPr>
      </w:pPr>
      <w:r w:rsidRPr="00803906">
        <w:rPr>
          <w:rFonts w:ascii="Times New Roman" w:hAnsi="Times New Roman"/>
          <w:sz w:val="24"/>
          <w:szCs w:val="24"/>
        </w:rPr>
        <w:t xml:space="preserve">On March 28, 2025, in </w:t>
      </w:r>
      <w:r w:rsidRPr="00803906">
        <w:rPr>
          <w:rFonts w:ascii="Times New Roman" w:hAnsi="Times New Roman"/>
          <w:sz w:val="24"/>
          <w:szCs w:val="24"/>
          <w:u w:val="single"/>
        </w:rPr>
        <w:t>Erik Holt v. Florissant Fire Protection District</w:t>
      </w:r>
      <w:r w:rsidRPr="00803906">
        <w:rPr>
          <w:rFonts w:ascii="Times New Roman" w:hAnsi="Times New Roman"/>
          <w:sz w:val="24"/>
          <w:szCs w:val="24"/>
        </w:rPr>
        <w:t xml:space="preserve">, U.S. District Court Judge </w:t>
      </w:r>
    </w:p>
    <w:p w14:paraId="4CFEEC2D" w14:textId="77777777" w:rsidR="008E4442" w:rsidRPr="00803906" w:rsidRDefault="008E4442" w:rsidP="008E4442">
      <w:pPr>
        <w:pStyle w:val="NoSpacing"/>
        <w:rPr>
          <w:rFonts w:ascii="Times New Roman" w:hAnsi="Times New Roman"/>
          <w:bCs/>
          <w:sz w:val="24"/>
          <w:szCs w:val="24"/>
        </w:rPr>
      </w:pPr>
      <w:r w:rsidRPr="00803906">
        <w:rPr>
          <w:rFonts w:ascii="Times New Roman" w:hAnsi="Times New Roman"/>
          <w:sz w:val="24"/>
          <w:szCs w:val="24"/>
        </w:rPr>
        <w:t xml:space="preserve">Nina Y. Wang, U.S. District Court of Colorado, granted the FD’s motion for summary judgment on the former Fire Chiefs sole remaining claim of First Amendment retaliation.  He was the only full-time employee of the Fire District since April 2022.  On May 2, 2023, an election was held at the Fire Station and mail in ballots for the FD Board, which resulted in the election of five non-incumbent candidates (taking office June 10).  The former Board President filed a civil lawsuit </w:t>
      </w:r>
      <w:proofErr w:type="gramStart"/>
      <w:r w:rsidRPr="00803906">
        <w:rPr>
          <w:rFonts w:ascii="Times New Roman" w:hAnsi="Times New Roman"/>
          <w:sz w:val="24"/>
          <w:szCs w:val="24"/>
        </w:rPr>
        <w:t>and also</w:t>
      </w:r>
      <w:proofErr w:type="gramEnd"/>
      <w:r w:rsidRPr="00803906">
        <w:rPr>
          <w:rFonts w:ascii="Times New Roman" w:hAnsi="Times New Roman"/>
          <w:sz w:val="24"/>
          <w:szCs w:val="24"/>
        </w:rPr>
        <w:t xml:space="preserve"> made a complaint to Teller County District Attorney's Office alleging the non-incumbents and their poll watchers violated state law against electioneering at polling places.  Without telling new Board President, on May 19 or 20 the Fire Chief met with DA investigator and turned over fire station security camera video of the May 2 voting at the station.  In early June the FD briefly lost insurance coverage for non-payment; the Fire Chief blamed new Board President, Paul del Toro, for freezing the district’s bank account without authorization. The Board fired Holt on June 22.  On Nov. 7, 2024, U.S. District Court Judge Wang dismissed most of the Chief’s initial lawsuit </w:t>
      </w:r>
      <w:proofErr w:type="gramStart"/>
      <w:r w:rsidRPr="00803906">
        <w:rPr>
          <w:rFonts w:ascii="Times New Roman" w:hAnsi="Times New Roman"/>
          <w:sz w:val="24"/>
          <w:szCs w:val="24"/>
        </w:rPr>
        <w:t>on the basis of</w:t>
      </w:r>
      <w:proofErr w:type="gramEnd"/>
      <w:r w:rsidRPr="00803906">
        <w:rPr>
          <w:rFonts w:ascii="Times New Roman" w:hAnsi="Times New Roman"/>
          <w:sz w:val="24"/>
          <w:szCs w:val="24"/>
        </w:rPr>
        <w:t xml:space="preserve"> governmental immunity – public entities such as FD are not liable under Colorado law for misconduct by its employees, even “willful or wanton misconduct.”  The Court allowed only the First Amendment retaliation claim to proceed – and now Judge Wang has dismissed that claim under </w:t>
      </w:r>
      <w:r w:rsidRPr="00803906">
        <w:rPr>
          <w:rFonts w:ascii="Times New Roman" w:hAnsi="Times New Roman"/>
          <w:i/>
          <w:iCs/>
          <w:sz w:val="24"/>
          <w:szCs w:val="24"/>
        </w:rPr>
        <w:t>Pickering v. Bd. Of Ed.</w:t>
      </w:r>
      <w:r w:rsidRPr="00803906">
        <w:rPr>
          <w:rFonts w:ascii="Times New Roman" w:hAnsi="Times New Roman"/>
          <w:sz w:val="24"/>
          <w:szCs w:val="24"/>
        </w:rPr>
        <w:t xml:space="preserve"> balancing test.  No First Amendment protection against retaliation since Fire Chief was not speaking as a citizen addressing matters of public concern.  </w:t>
      </w:r>
    </w:p>
    <w:p w14:paraId="6AB74C64" w14:textId="77777777" w:rsidR="008E4442" w:rsidRPr="00803906" w:rsidRDefault="008E4442" w:rsidP="008E4442">
      <w:pPr>
        <w:pStyle w:val="NoSpacing"/>
        <w:rPr>
          <w:rFonts w:ascii="Times New Roman" w:hAnsi="Times New Roman"/>
          <w:bCs/>
          <w:sz w:val="24"/>
          <w:szCs w:val="24"/>
        </w:rPr>
      </w:pPr>
      <w:hyperlink r:id="rId2546" w:history="1">
        <w:r w:rsidRPr="00803906">
          <w:rPr>
            <w:rStyle w:val="Hyperlink"/>
            <w:rFonts w:ascii="Times New Roman" w:hAnsi="Times New Roman"/>
            <w:sz w:val="24"/>
            <w:szCs w:val="24"/>
          </w:rPr>
          <w:t>https://public.fastcase.com/jaEE2PXzRXmZ99jOLMt1IhQHA9AMm9CcSN%2BGfYyS2p0Y8T4gWwr35mn7gDgy%2FrLSk1%2BX3TZDVCgonvjR5kmTn9ieZn6lPYykAdycfBPhja8%3D?utm_medium=email&amp;_hsenc=p2ANqtz-96viAoOgtBhpN3k-FXu0IciBKBTpaPEffa5PyEi7FQVITmUz8Kiu79qOEJdxGOe1egzOzFwK07j5P1hSXOAN4VGdmpNA&amp;_hsmi=226712652&amp;utm_content=226712652&amp;utm_source=hs_email</w:t>
        </w:r>
      </w:hyperlink>
      <w:r w:rsidRPr="00803906">
        <w:rPr>
          <w:rFonts w:ascii="Times New Roman" w:hAnsi="Times New Roman"/>
          <w:sz w:val="24"/>
          <w:szCs w:val="24"/>
        </w:rPr>
        <w:t xml:space="preserve">   </w:t>
      </w:r>
    </w:p>
    <w:p w14:paraId="2F92C4B2" w14:textId="77777777" w:rsidR="008E4442" w:rsidRPr="00803906" w:rsidRDefault="008E4442" w:rsidP="00F91F9F">
      <w:pPr>
        <w:pStyle w:val="NoSpacing"/>
        <w:rPr>
          <w:rFonts w:ascii="Times New Roman" w:hAnsi="Times New Roman"/>
          <w:sz w:val="24"/>
          <w:szCs w:val="24"/>
        </w:rPr>
      </w:pPr>
    </w:p>
    <w:p w14:paraId="2FB96EAB" w14:textId="77777777" w:rsidR="00803906" w:rsidRPr="00803906" w:rsidRDefault="00803906" w:rsidP="00803906">
      <w:pPr>
        <w:pStyle w:val="NoSpacing"/>
        <w:rPr>
          <w:rFonts w:ascii="Times New Roman" w:hAnsi="Times New Roman"/>
          <w:b/>
          <w:bCs/>
          <w:sz w:val="24"/>
          <w:szCs w:val="24"/>
        </w:rPr>
      </w:pPr>
      <w:r w:rsidRPr="00803906">
        <w:rPr>
          <w:rFonts w:ascii="Times New Roman" w:hAnsi="Times New Roman"/>
          <w:b/>
          <w:sz w:val="24"/>
          <w:szCs w:val="24"/>
        </w:rPr>
        <w:t xml:space="preserve">Legal Lesson Learned: </w:t>
      </w:r>
      <w:r w:rsidRPr="00803906">
        <w:rPr>
          <w:rFonts w:ascii="Times New Roman" w:hAnsi="Times New Roman"/>
          <w:b/>
          <w:i/>
          <w:iCs/>
          <w:sz w:val="24"/>
          <w:szCs w:val="24"/>
        </w:rPr>
        <w:t>Pickering</w:t>
      </w:r>
      <w:r w:rsidRPr="00803906">
        <w:rPr>
          <w:rFonts w:ascii="Times New Roman" w:hAnsi="Times New Roman"/>
          <w:b/>
          <w:sz w:val="24"/>
          <w:szCs w:val="24"/>
        </w:rPr>
        <w:t xml:space="preserve"> balancing test led to dismissal of this lawsuit – “interests of public employees in commenting on matters of public concern must be balanced with the employer's interests in promoting the efficiency of the public services.”</w:t>
      </w:r>
    </w:p>
    <w:p w14:paraId="77D774E7" w14:textId="77777777" w:rsidR="00803906" w:rsidRPr="00803906" w:rsidRDefault="00803906" w:rsidP="00803906">
      <w:pPr>
        <w:pStyle w:val="NoSpacing"/>
        <w:rPr>
          <w:rFonts w:ascii="Times New Roman" w:hAnsi="Times New Roman"/>
          <w:b/>
          <w:bCs/>
          <w:sz w:val="24"/>
          <w:szCs w:val="24"/>
        </w:rPr>
      </w:pPr>
    </w:p>
    <w:p w14:paraId="1FACB981" w14:textId="77777777" w:rsidR="00803906" w:rsidRPr="00803906" w:rsidRDefault="00803906" w:rsidP="00803906">
      <w:pPr>
        <w:pStyle w:val="NoSpacing"/>
        <w:ind w:left="720"/>
        <w:rPr>
          <w:rFonts w:ascii="Times New Roman" w:hAnsi="Times New Roman"/>
          <w:bCs/>
          <w:sz w:val="24"/>
          <w:szCs w:val="24"/>
        </w:rPr>
      </w:pPr>
      <w:r w:rsidRPr="00803906">
        <w:rPr>
          <w:rFonts w:ascii="Times New Roman" w:hAnsi="Times New Roman"/>
          <w:sz w:val="24"/>
          <w:szCs w:val="24"/>
        </w:rPr>
        <w:t xml:space="preserve">Note: See Nov. 24, </w:t>
      </w:r>
      <w:proofErr w:type="gramStart"/>
      <w:r w:rsidRPr="00803906">
        <w:rPr>
          <w:rFonts w:ascii="Times New Roman" w:hAnsi="Times New Roman"/>
          <w:sz w:val="24"/>
          <w:szCs w:val="24"/>
        </w:rPr>
        <w:t>2023</w:t>
      </w:r>
      <w:proofErr w:type="gramEnd"/>
      <w:r w:rsidRPr="00803906">
        <w:rPr>
          <w:rFonts w:ascii="Times New Roman" w:hAnsi="Times New Roman"/>
          <w:sz w:val="24"/>
          <w:szCs w:val="24"/>
        </w:rPr>
        <w:t xml:space="preserve"> article, “Federal judge partially dismisses ex-Florissant fire chief's wrongful termination claims. Erik Holt is continuing to pursue his First Amendment retaliation claim against his former </w:t>
      </w:r>
      <w:proofErr w:type="gramStart"/>
      <w:r w:rsidRPr="00803906">
        <w:rPr>
          <w:rFonts w:ascii="Times New Roman" w:hAnsi="Times New Roman"/>
          <w:sz w:val="24"/>
          <w:szCs w:val="24"/>
        </w:rPr>
        <w:t>employer.”</w:t>
      </w:r>
      <w:proofErr w:type="gramEnd"/>
      <w:r w:rsidRPr="00803906">
        <w:rPr>
          <w:rFonts w:ascii="Times New Roman" w:hAnsi="Times New Roman"/>
          <w:sz w:val="24"/>
          <w:szCs w:val="24"/>
        </w:rPr>
        <w:t xml:space="preserve"> </w:t>
      </w:r>
      <w:hyperlink r:id="rId2547" w:anchor="google_vignette" w:history="1">
        <w:r w:rsidRPr="00803906">
          <w:rPr>
            <w:rStyle w:val="Hyperlink"/>
            <w:rFonts w:ascii="Times New Roman" w:hAnsi="Times New Roman"/>
            <w:sz w:val="24"/>
            <w:szCs w:val="24"/>
          </w:rPr>
          <w:t>https://www.coloradopolitics.com/courts/federal-judge-partially-dismisses-ex-florissant-fire-chiefs-wrongful-termination-claims/article_7d67c6be-898a-11ee-b97e-7732fa191308.html#google_vignette</w:t>
        </w:r>
      </w:hyperlink>
      <w:r w:rsidRPr="00803906">
        <w:rPr>
          <w:rFonts w:ascii="Times New Roman" w:hAnsi="Times New Roman"/>
          <w:sz w:val="24"/>
          <w:szCs w:val="24"/>
        </w:rPr>
        <w:t xml:space="preserve"> </w:t>
      </w:r>
    </w:p>
    <w:p w14:paraId="40555FCE" w14:textId="77777777" w:rsidR="00803906" w:rsidRPr="00803906" w:rsidRDefault="00803906" w:rsidP="00803906">
      <w:pPr>
        <w:pStyle w:val="NoSpacing"/>
        <w:rPr>
          <w:rFonts w:ascii="Times New Roman" w:hAnsi="Times New Roman"/>
          <w:bCs/>
          <w:sz w:val="24"/>
          <w:szCs w:val="24"/>
        </w:rPr>
      </w:pPr>
    </w:p>
    <w:p w14:paraId="264948CA" w14:textId="77777777" w:rsidR="00803906" w:rsidRDefault="00803906" w:rsidP="00803906">
      <w:pPr>
        <w:pStyle w:val="NoSpacing"/>
        <w:ind w:left="720"/>
        <w:rPr>
          <w:bCs/>
        </w:rPr>
      </w:pPr>
      <w:r w:rsidRPr="00803906">
        <w:rPr>
          <w:rFonts w:ascii="Times New Roman" w:hAnsi="Times New Roman"/>
          <w:sz w:val="24"/>
          <w:szCs w:val="24"/>
        </w:rPr>
        <w:t xml:space="preserve">See Nov. 7, </w:t>
      </w:r>
      <w:proofErr w:type="gramStart"/>
      <w:r w:rsidRPr="00803906">
        <w:rPr>
          <w:rFonts w:ascii="Times New Roman" w:hAnsi="Times New Roman"/>
          <w:sz w:val="24"/>
          <w:szCs w:val="24"/>
        </w:rPr>
        <w:t>2024</w:t>
      </w:r>
      <w:proofErr w:type="gramEnd"/>
      <w:r w:rsidRPr="00803906">
        <w:rPr>
          <w:rFonts w:ascii="Times New Roman" w:hAnsi="Times New Roman"/>
          <w:sz w:val="24"/>
          <w:szCs w:val="24"/>
        </w:rPr>
        <w:t xml:space="preserve"> Court decision: </w:t>
      </w:r>
      <w:hyperlink r:id="rId2548" w:history="1">
        <w:r w:rsidRPr="00803906">
          <w:rPr>
            <w:rStyle w:val="Hyperlink"/>
            <w:rFonts w:ascii="Times New Roman" w:hAnsi="Times New Roman"/>
            <w:sz w:val="24"/>
            <w:szCs w:val="24"/>
          </w:rPr>
          <w:t>https://www.govinfo.gov/content/pkg/USCOURTS-cod-1_23-cv-01798/pdf/USCOURTS-cod-1_23-cv-01798-0.pdf</w:t>
        </w:r>
      </w:hyperlink>
      <w:r>
        <w:t xml:space="preserve"> </w:t>
      </w:r>
    </w:p>
    <w:p w14:paraId="59A52641" w14:textId="77777777" w:rsidR="00803906" w:rsidRDefault="00803906" w:rsidP="00F91F9F">
      <w:pPr>
        <w:pStyle w:val="NoSpacing"/>
        <w:rPr>
          <w:rFonts w:ascii="Arial Black" w:hAnsi="Arial Black"/>
          <w:sz w:val="24"/>
          <w:szCs w:val="24"/>
        </w:rPr>
      </w:pPr>
    </w:p>
    <w:p w14:paraId="180867B0" w14:textId="77777777" w:rsidR="008E4442" w:rsidRDefault="008E4442" w:rsidP="00F91F9F">
      <w:pPr>
        <w:pStyle w:val="NoSpacing"/>
        <w:rPr>
          <w:rFonts w:ascii="Arial Black" w:hAnsi="Arial Black"/>
          <w:sz w:val="24"/>
          <w:szCs w:val="24"/>
        </w:rPr>
      </w:pPr>
    </w:p>
    <w:p w14:paraId="34C0EC45" w14:textId="77777777" w:rsidR="008E4442" w:rsidRDefault="008E4442" w:rsidP="00F91F9F">
      <w:pPr>
        <w:pStyle w:val="NoSpacing"/>
        <w:rPr>
          <w:rFonts w:ascii="Arial Black" w:hAnsi="Arial Black"/>
          <w:sz w:val="24"/>
          <w:szCs w:val="24"/>
        </w:rPr>
      </w:pPr>
    </w:p>
    <w:p w14:paraId="7A27FEF6" w14:textId="157E9904" w:rsidR="00457219" w:rsidRDefault="00FD3A33" w:rsidP="00F91F9F">
      <w:pPr>
        <w:pStyle w:val="NoSpacing"/>
        <w:rPr>
          <w:rFonts w:ascii="Arial Black" w:hAnsi="Arial Black"/>
          <w:sz w:val="24"/>
          <w:szCs w:val="24"/>
        </w:rPr>
      </w:pPr>
      <w:r>
        <w:rPr>
          <w:rFonts w:ascii="Arial Black" w:hAnsi="Arial Black"/>
          <w:sz w:val="24"/>
          <w:szCs w:val="24"/>
        </w:rPr>
        <w:t>16-121</w:t>
      </w:r>
    </w:p>
    <w:p w14:paraId="5099BBA7" w14:textId="77777777" w:rsidR="008E4442" w:rsidRDefault="008E4442" w:rsidP="00FD3A33">
      <w:pPr>
        <w:rPr>
          <w:rFonts w:ascii="Arial Black" w:hAnsi="Arial Black"/>
          <w:b/>
          <w:sz w:val="28"/>
          <w:szCs w:val="28"/>
        </w:rPr>
      </w:pPr>
    </w:p>
    <w:p w14:paraId="7F4E000E" w14:textId="532A9835" w:rsidR="00FD3A33" w:rsidRPr="000B7F2C" w:rsidRDefault="00FD3A33" w:rsidP="00FD3A33">
      <w:pPr>
        <w:rPr>
          <w:rFonts w:ascii="Arial Black" w:hAnsi="Arial Black"/>
          <w:b/>
          <w:sz w:val="28"/>
          <w:szCs w:val="28"/>
        </w:rPr>
      </w:pPr>
      <w:r w:rsidRPr="000B7F2C">
        <w:rPr>
          <w:rFonts w:ascii="Arial Black" w:hAnsi="Arial Black"/>
          <w:b/>
          <w:sz w:val="28"/>
          <w:szCs w:val="28"/>
        </w:rPr>
        <w:t xml:space="preserve">CA: CHIEF FIRED B/C </w:t>
      </w:r>
      <w:r w:rsidR="000D4A64">
        <w:rPr>
          <w:rFonts w:ascii="Arial Black" w:hAnsi="Arial Black"/>
          <w:b/>
          <w:sz w:val="28"/>
          <w:szCs w:val="28"/>
        </w:rPr>
        <w:t>–</w:t>
      </w:r>
      <w:r w:rsidRPr="000B7F2C">
        <w:rPr>
          <w:rFonts w:ascii="Arial Black" w:hAnsi="Arial Black"/>
          <w:b/>
          <w:sz w:val="28"/>
          <w:szCs w:val="28"/>
        </w:rPr>
        <w:t xml:space="preserve"> </w:t>
      </w:r>
      <w:r w:rsidR="000D4A64">
        <w:rPr>
          <w:rFonts w:ascii="Arial Black" w:hAnsi="Arial Black"/>
          <w:b/>
          <w:sz w:val="28"/>
          <w:szCs w:val="28"/>
        </w:rPr>
        <w:t xml:space="preserve">AGAINST </w:t>
      </w:r>
      <w:r w:rsidRPr="000B7F2C">
        <w:rPr>
          <w:rFonts w:ascii="Arial Black" w:hAnsi="Arial Black"/>
          <w:b/>
          <w:sz w:val="28"/>
          <w:szCs w:val="28"/>
        </w:rPr>
        <w:t xml:space="preserve">CITY </w:t>
      </w:r>
      <w:r w:rsidR="000D4A64">
        <w:rPr>
          <w:rFonts w:ascii="Arial Black" w:hAnsi="Arial Black"/>
          <w:b/>
          <w:sz w:val="28"/>
          <w:szCs w:val="28"/>
        </w:rPr>
        <w:t xml:space="preserve">ADVICE </w:t>
      </w:r>
      <w:r w:rsidR="0046766E">
        <w:rPr>
          <w:rFonts w:ascii="Arial Black" w:hAnsi="Arial Black"/>
          <w:b/>
          <w:sz w:val="28"/>
          <w:szCs w:val="28"/>
        </w:rPr>
        <w:t>–</w:t>
      </w:r>
      <w:r w:rsidR="000D4A64">
        <w:rPr>
          <w:rFonts w:ascii="Arial Black" w:hAnsi="Arial Black"/>
          <w:b/>
          <w:sz w:val="28"/>
          <w:szCs w:val="28"/>
        </w:rPr>
        <w:t xml:space="preserve"> </w:t>
      </w:r>
      <w:r w:rsidR="0046766E">
        <w:rPr>
          <w:rFonts w:ascii="Arial Black" w:hAnsi="Arial Black"/>
          <w:b/>
          <w:sz w:val="28"/>
          <w:szCs w:val="28"/>
        </w:rPr>
        <w:t>CASE PROCEED</w:t>
      </w:r>
    </w:p>
    <w:p w14:paraId="6E6506EE" w14:textId="77777777" w:rsidR="00FD3A33" w:rsidRPr="00FD3A33" w:rsidRDefault="00FD3A33" w:rsidP="00FD3A33">
      <w:pPr>
        <w:rPr>
          <w:rFonts w:ascii="Times New Roman" w:hAnsi="Times New Roman"/>
          <w:sz w:val="24"/>
          <w:szCs w:val="24"/>
        </w:rPr>
      </w:pPr>
      <w:r w:rsidRPr="00FD3A33">
        <w:rPr>
          <w:rFonts w:ascii="Times New Roman" w:hAnsi="Times New Roman"/>
          <w:sz w:val="24"/>
          <w:szCs w:val="24"/>
        </w:rPr>
        <w:t xml:space="preserve">On Feb. 21, 2025, in </w:t>
      </w:r>
      <w:r w:rsidRPr="00FD3A33">
        <w:rPr>
          <w:rFonts w:ascii="Times New Roman" w:hAnsi="Times New Roman"/>
          <w:sz w:val="24"/>
          <w:szCs w:val="24"/>
          <w:u w:val="single"/>
        </w:rPr>
        <w:t>Patrick Vargas v. City of Tracy, South San Joaquin County Fire Authority; Randall Bradley, et al</w:t>
      </w:r>
      <w:r w:rsidRPr="00FD3A33">
        <w:rPr>
          <w:rFonts w:ascii="Times New Roman" w:hAnsi="Times New Roman"/>
          <w:sz w:val="24"/>
          <w:szCs w:val="24"/>
        </w:rPr>
        <w:t xml:space="preserve">., United States District Court Judge William B. </w:t>
      </w:r>
      <w:proofErr w:type="spellStart"/>
      <w:r w:rsidRPr="00FD3A33">
        <w:rPr>
          <w:rFonts w:ascii="Times New Roman" w:hAnsi="Times New Roman"/>
          <w:sz w:val="24"/>
          <w:szCs w:val="24"/>
        </w:rPr>
        <w:t>Shubb</w:t>
      </w:r>
      <w:proofErr w:type="spellEnd"/>
      <w:r w:rsidRPr="00FD3A33">
        <w:rPr>
          <w:rFonts w:ascii="Times New Roman" w:hAnsi="Times New Roman"/>
          <w:sz w:val="24"/>
          <w:szCs w:val="24"/>
        </w:rPr>
        <w:t xml:space="preserve">, U.S. District Court for Eastern District of California, denied the defense motion for summary judgment by County Fire Authority and Fire Chief Randall Bradley.  Battalion Chief Vargas’ wife on city council and opposed city fire department becoming county department.  He was suspended during investigation of harassment, but “City officials concluded that the harassment investigation did not provide a basis to terminate plaintiff and directed that plaintiff be removed from administrative leave and return to work, but [Fire Chief] Bradley terminated plaintiff on January 12, 2022.” </w:t>
      </w:r>
      <w:hyperlink r:id="rId2549" w:history="1">
        <w:r w:rsidRPr="00FD3A33">
          <w:rPr>
            <w:rStyle w:val="Hyperlink"/>
            <w:rFonts w:ascii="Times New Roman" w:hAnsi="Times New Roman"/>
            <w:sz w:val="24"/>
            <w:szCs w:val="24"/>
          </w:rPr>
          <w:t>https://public.fastcase.com/jaEE2PXzRXmZ99jOLMt1IvnyNWPww1WM4x9Gu%2FtN0VhNRAtIpNmmlJ0KM%2F7ZbO911LK6og3L2kiKY%2FASa5mScG8uOsEhAwFbnlzs62F6rSE%3D?utm_medium=email&amp;_hsenc=p2ANqtz-8WZqH_E7rdb_OeZm87WsAQDzZautt0uiTp2Bj7gwVxym265a6f7pCBzZ-RPNW5j-Z8_i7kqeL1it9h0mjMyyn0Q0mh5A&amp;_hsmi=226712652&amp;utm_content=226712652&amp;utm_source=hs_email</w:t>
        </w:r>
      </w:hyperlink>
      <w:r w:rsidRPr="00FD3A33">
        <w:rPr>
          <w:rFonts w:ascii="Times New Roman" w:hAnsi="Times New Roman"/>
          <w:sz w:val="24"/>
          <w:szCs w:val="24"/>
        </w:rPr>
        <w:t xml:space="preserve"> </w:t>
      </w:r>
    </w:p>
    <w:p w14:paraId="34C7BD64" w14:textId="77777777" w:rsidR="00FD3A33" w:rsidRPr="00FD3A33" w:rsidRDefault="00FD3A33" w:rsidP="00FD3A33">
      <w:pPr>
        <w:pStyle w:val="NoSpacing"/>
        <w:rPr>
          <w:rFonts w:ascii="Times New Roman" w:hAnsi="Times New Roman"/>
          <w:sz w:val="24"/>
          <w:szCs w:val="24"/>
        </w:rPr>
      </w:pPr>
      <w:r w:rsidRPr="00FD3A33">
        <w:rPr>
          <w:rFonts w:ascii="Times New Roman" w:hAnsi="Times New Roman"/>
          <w:sz w:val="24"/>
          <w:szCs w:val="24"/>
        </w:rPr>
        <w:t>The Court wrote:</w:t>
      </w:r>
    </w:p>
    <w:p w14:paraId="6DB97294" w14:textId="77777777" w:rsidR="00FD3A33" w:rsidRPr="00FD3A33" w:rsidRDefault="00FD3A33" w:rsidP="00FD3A33">
      <w:pPr>
        <w:pStyle w:val="NoSpacing"/>
        <w:rPr>
          <w:rFonts w:ascii="Times New Roman" w:hAnsi="Times New Roman"/>
          <w:sz w:val="24"/>
          <w:szCs w:val="24"/>
        </w:rPr>
      </w:pPr>
    </w:p>
    <w:p w14:paraId="7E6D7C04" w14:textId="77777777" w:rsidR="00FD3A33" w:rsidRPr="00FD3A33" w:rsidRDefault="00FD3A33" w:rsidP="00FD3A33">
      <w:pPr>
        <w:pStyle w:val="NoSpacing"/>
        <w:ind w:left="720"/>
        <w:rPr>
          <w:rFonts w:ascii="Times New Roman" w:hAnsi="Times New Roman"/>
          <w:sz w:val="24"/>
          <w:szCs w:val="24"/>
        </w:rPr>
      </w:pPr>
      <w:r w:rsidRPr="00FD3A33">
        <w:rPr>
          <w:rFonts w:ascii="Times New Roman" w:hAnsi="Times New Roman"/>
          <w:sz w:val="24"/>
          <w:szCs w:val="24"/>
        </w:rPr>
        <w:t>“Bradley brought allegations of timecard fraud to [City] Human Resources Director Kimberly Murdaugh on September 15, 2020 and third-party investigators ultimately found the allegation unsupported on March 23, 2021….On March 31, 2021, Bradley contacted Ms. Murdaugh and implored her to further investigate plaintiff, and harassment allegations against plaintiff surfaced on April 7, 2021, prompting a second investigation during which Bradley placed plaintiff on paid administrative leave. City officials concluded that the harassment investigation did not provide a basis to terminate plaintiff and directed that plaintiff be removed from administrative leave and return to work, but Bradley terminated plaintiff on January 12, 2022.</w:t>
      </w:r>
    </w:p>
    <w:p w14:paraId="493BA727" w14:textId="77777777" w:rsidR="00FD3A33" w:rsidRPr="00FD3A33" w:rsidRDefault="00FD3A33" w:rsidP="00FD3A33">
      <w:pPr>
        <w:pStyle w:val="NoSpacing"/>
        <w:rPr>
          <w:rFonts w:ascii="Times New Roman" w:hAnsi="Times New Roman"/>
          <w:sz w:val="24"/>
          <w:szCs w:val="24"/>
        </w:rPr>
      </w:pPr>
    </w:p>
    <w:p w14:paraId="10886D32" w14:textId="77777777" w:rsidR="00FD3A33" w:rsidRPr="00FD3A33" w:rsidRDefault="00FD3A33" w:rsidP="00FD3A33">
      <w:pPr>
        <w:pStyle w:val="NoSpacing"/>
        <w:ind w:firstLine="720"/>
        <w:rPr>
          <w:rFonts w:ascii="Times New Roman" w:hAnsi="Times New Roman"/>
          <w:sz w:val="24"/>
          <w:szCs w:val="24"/>
        </w:rPr>
      </w:pPr>
      <w:r w:rsidRPr="00FD3A33">
        <w:rPr>
          <w:rFonts w:ascii="Times New Roman" w:hAnsi="Times New Roman"/>
          <w:sz w:val="24"/>
          <w:szCs w:val="24"/>
        </w:rPr>
        <w:t>***</w:t>
      </w:r>
    </w:p>
    <w:p w14:paraId="5CD1CB76" w14:textId="77777777" w:rsidR="00FD3A33" w:rsidRPr="00FD3A33" w:rsidRDefault="00FD3A33" w:rsidP="00FD3A33">
      <w:pPr>
        <w:pStyle w:val="NoSpacing"/>
        <w:ind w:left="720"/>
        <w:rPr>
          <w:rFonts w:ascii="Times New Roman" w:hAnsi="Times New Roman"/>
          <w:sz w:val="24"/>
          <w:szCs w:val="24"/>
        </w:rPr>
      </w:pPr>
      <w:r w:rsidRPr="00FD3A33">
        <w:rPr>
          <w:rFonts w:ascii="Times New Roman" w:hAnsi="Times New Roman"/>
          <w:sz w:val="24"/>
          <w:szCs w:val="24"/>
        </w:rPr>
        <w:t xml:space="preserve">Plaintiff contends that Bradley, on behalf of the Fire Authority, took adverse employment actions against him based on Bradley's perception that plaintiff spoke negatively of the Plan [to replace city fire department with County department] to his wife, Ms. Vargas, who was a city councilor and was involved in the adoption and implementation of the Plan. Regardless of whether plaintiff </w:t>
      </w:r>
      <w:proofErr w:type="gramStart"/>
      <w:r w:rsidRPr="00FD3A33">
        <w:rPr>
          <w:rFonts w:ascii="Times New Roman" w:hAnsi="Times New Roman"/>
          <w:sz w:val="24"/>
          <w:szCs w:val="24"/>
        </w:rPr>
        <w:t>actually spoke</w:t>
      </w:r>
      <w:proofErr w:type="gramEnd"/>
      <w:r w:rsidRPr="00FD3A33">
        <w:rPr>
          <w:rFonts w:ascii="Times New Roman" w:hAnsi="Times New Roman"/>
          <w:sz w:val="24"/>
          <w:szCs w:val="24"/>
        </w:rPr>
        <w:t xml:space="preserve"> to his wife about the Plan, a retaliation claim based on ‘perceived speech’--i.e., speech that the plaintiff was incorrectly thought to have made -- is cognizable under the First Amendment.</w:t>
      </w:r>
    </w:p>
    <w:p w14:paraId="777765D3" w14:textId="77777777" w:rsidR="00FD3A33" w:rsidRPr="00FD3A33" w:rsidRDefault="00FD3A33" w:rsidP="00FD3A33">
      <w:pPr>
        <w:pStyle w:val="NoSpacing"/>
        <w:rPr>
          <w:rFonts w:ascii="Times New Roman" w:hAnsi="Times New Roman"/>
          <w:sz w:val="24"/>
          <w:szCs w:val="24"/>
        </w:rPr>
      </w:pPr>
    </w:p>
    <w:p w14:paraId="3A8A4870" w14:textId="77777777" w:rsidR="00FD3A33" w:rsidRPr="00FD3A33" w:rsidRDefault="00FD3A33" w:rsidP="00FD3A33">
      <w:pPr>
        <w:pStyle w:val="NoSpacing"/>
        <w:ind w:firstLine="720"/>
        <w:rPr>
          <w:rFonts w:ascii="Times New Roman" w:hAnsi="Times New Roman"/>
          <w:sz w:val="24"/>
          <w:szCs w:val="24"/>
        </w:rPr>
      </w:pPr>
      <w:r w:rsidRPr="00FD3A33">
        <w:rPr>
          <w:rFonts w:ascii="Times New Roman" w:hAnsi="Times New Roman"/>
          <w:sz w:val="24"/>
          <w:szCs w:val="24"/>
        </w:rPr>
        <w:t>***</w:t>
      </w:r>
    </w:p>
    <w:p w14:paraId="6609C308" w14:textId="77777777" w:rsidR="00FD3A33" w:rsidRPr="00FD3A33" w:rsidRDefault="00FD3A33" w:rsidP="00FD3A33">
      <w:pPr>
        <w:pStyle w:val="NoSpacing"/>
        <w:ind w:left="720"/>
        <w:rPr>
          <w:rFonts w:ascii="Times New Roman" w:hAnsi="Times New Roman"/>
          <w:sz w:val="24"/>
          <w:szCs w:val="24"/>
        </w:rPr>
      </w:pPr>
      <w:r w:rsidRPr="00FD3A33">
        <w:rPr>
          <w:rFonts w:ascii="Times New Roman" w:hAnsi="Times New Roman"/>
          <w:sz w:val="24"/>
          <w:szCs w:val="24"/>
        </w:rPr>
        <w:t>There is also evidence tending to show that Bradley's proffered reason for plaintiff's termination was pretextual. After an independent investigation found that the harassment investigation into plaintiff was biased by Bradley's involvement, City officials concluded that the harassment investigation's findings did not warrant termination and instructed Bradley to remove plaintiff from administrative leave, but Bradley terminated plaintiff regardless.”</w:t>
      </w:r>
    </w:p>
    <w:p w14:paraId="1F8BFBA6" w14:textId="77777777" w:rsidR="00FD3A33" w:rsidRPr="00FD3A33" w:rsidRDefault="00FD3A33" w:rsidP="00FD3A33">
      <w:pPr>
        <w:pStyle w:val="NoSpacing"/>
        <w:rPr>
          <w:rFonts w:ascii="Times New Roman" w:hAnsi="Times New Roman"/>
          <w:sz w:val="24"/>
          <w:szCs w:val="24"/>
        </w:rPr>
      </w:pPr>
    </w:p>
    <w:p w14:paraId="5841DECD" w14:textId="77777777" w:rsidR="00FD3A33" w:rsidRPr="00FD3A33" w:rsidRDefault="00FD3A33" w:rsidP="00FD3A33">
      <w:pPr>
        <w:pStyle w:val="NoSpacing"/>
        <w:rPr>
          <w:rFonts w:ascii="Times New Roman" w:hAnsi="Times New Roman"/>
          <w:b/>
          <w:bCs/>
          <w:sz w:val="24"/>
          <w:szCs w:val="24"/>
        </w:rPr>
      </w:pPr>
      <w:r w:rsidRPr="00FD3A33">
        <w:rPr>
          <w:rFonts w:ascii="Times New Roman" w:hAnsi="Times New Roman"/>
          <w:b/>
          <w:sz w:val="24"/>
          <w:szCs w:val="24"/>
        </w:rPr>
        <w:t>Legal Lesson Learned: Terminating a Battalion Chief, despite an independent investigation and city recommendation not to fire, raises serious suspicion of retaliation that can now go to a jury trial.</w:t>
      </w:r>
    </w:p>
    <w:p w14:paraId="720D53F5" w14:textId="77777777" w:rsidR="00FD3A33" w:rsidRDefault="00FD3A33" w:rsidP="00FD3A33">
      <w:pPr>
        <w:rPr>
          <w:bCs/>
        </w:rPr>
      </w:pPr>
    </w:p>
    <w:p w14:paraId="4147ECA3" w14:textId="77777777" w:rsidR="00FD3A33" w:rsidRDefault="00FD3A33" w:rsidP="00F91F9F">
      <w:pPr>
        <w:pStyle w:val="NoSpacing"/>
        <w:rPr>
          <w:rFonts w:ascii="Arial Black" w:hAnsi="Arial Black"/>
          <w:sz w:val="24"/>
          <w:szCs w:val="24"/>
        </w:rPr>
      </w:pPr>
    </w:p>
    <w:p w14:paraId="5498AE2F" w14:textId="77777777" w:rsidR="00457219" w:rsidRDefault="00457219" w:rsidP="00F91F9F">
      <w:pPr>
        <w:pStyle w:val="NoSpacing"/>
        <w:rPr>
          <w:rFonts w:ascii="Arial Black" w:hAnsi="Arial Black"/>
          <w:sz w:val="24"/>
          <w:szCs w:val="24"/>
        </w:rPr>
      </w:pPr>
    </w:p>
    <w:p w14:paraId="359452B6" w14:textId="6B6D2105" w:rsidR="008A7077" w:rsidRDefault="008A7077" w:rsidP="00F91F9F">
      <w:pPr>
        <w:pStyle w:val="NoSpacing"/>
        <w:rPr>
          <w:rFonts w:ascii="Arial Black" w:hAnsi="Arial Black"/>
          <w:sz w:val="24"/>
          <w:szCs w:val="24"/>
        </w:rPr>
      </w:pPr>
      <w:r>
        <w:rPr>
          <w:rFonts w:ascii="Arial Black" w:hAnsi="Arial Black"/>
          <w:sz w:val="24"/>
          <w:szCs w:val="24"/>
        </w:rPr>
        <w:t>16-120</w:t>
      </w:r>
    </w:p>
    <w:p w14:paraId="2E0B30AD" w14:textId="77777777" w:rsidR="008A7077" w:rsidRDefault="008A7077" w:rsidP="00F91F9F">
      <w:pPr>
        <w:pStyle w:val="NoSpacing"/>
        <w:rPr>
          <w:rFonts w:ascii="Arial Black" w:hAnsi="Arial Black"/>
          <w:sz w:val="24"/>
          <w:szCs w:val="24"/>
        </w:rPr>
      </w:pPr>
    </w:p>
    <w:p w14:paraId="6ACBAAEA" w14:textId="36061B21" w:rsidR="008A7077" w:rsidRDefault="008A7077" w:rsidP="008A7077">
      <w:pPr>
        <w:rPr>
          <w:rFonts w:ascii="Arial Black" w:hAnsi="Arial Black"/>
          <w:b/>
          <w:sz w:val="28"/>
          <w:szCs w:val="28"/>
        </w:rPr>
      </w:pPr>
      <w:r>
        <w:rPr>
          <w:rFonts w:ascii="Arial Black" w:hAnsi="Arial Black"/>
          <w:b/>
          <w:sz w:val="28"/>
          <w:szCs w:val="28"/>
        </w:rPr>
        <w:t xml:space="preserve">WV: OWNER </w:t>
      </w:r>
      <w:r w:rsidR="0046766E">
        <w:rPr>
          <w:rFonts w:ascii="Arial Black" w:hAnsi="Arial Black"/>
          <w:b/>
          <w:sz w:val="28"/>
          <w:szCs w:val="28"/>
        </w:rPr>
        <w:t>“</w:t>
      </w:r>
      <w:r>
        <w:rPr>
          <w:rFonts w:ascii="Arial Black" w:hAnsi="Arial Black"/>
          <w:b/>
          <w:sz w:val="28"/>
          <w:szCs w:val="28"/>
        </w:rPr>
        <w:t>STAT EMS</w:t>
      </w:r>
      <w:r w:rsidR="0046766E">
        <w:rPr>
          <w:rFonts w:ascii="Arial Black" w:hAnsi="Arial Black"/>
          <w:b/>
          <w:sz w:val="28"/>
          <w:szCs w:val="28"/>
        </w:rPr>
        <w:t>” COMPANY</w:t>
      </w:r>
      <w:r>
        <w:rPr>
          <w:rFonts w:ascii="Arial Black" w:hAnsi="Arial Black"/>
          <w:b/>
          <w:sz w:val="28"/>
          <w:szCs w:val="28"/>
        </w:rPr>
        <w:t xml:space="preserve"> – $3.3M UNPAID TAXES – CONV</w:t>
      </w:r>
      <w:r w:rsidR="0046766E">
        <w:rPr>
          <w:rFonts w:ascii="Arial Black" w:hAnsi="Arial Black"/>
          <w:b/>
          <w:sz w:val="28"/>
          <w:szCs w:val="28"/>
        </w:rPr>
        <w:t>ICTED</w:t>
      </w:r>
    </w:p>
    <w:p w14:paraId="2268C460" w14:textId="77777777" w:rsidR="008A7077" w:rsidRPr="00DF71DE" w:rsidRDefault="008A7077" w:rsidP="008A7077">
      <w:pPr>
        <w:pStyle w:val="NoSpacing"/>
        <w:rPr>
          <w:rFonts w:ascii="Times New Roman" w:hAnsi="Times New Roman"/>
          <w:sz w:val="24"/>
          <w:szCs w:val="24"/>
        </w:rPr>
      </w:pPr>
      <w:r w:rsidRPr="00DF71DE">
        <w:rPr>
          <w:rFonts w:ascii="Times New Roman" w:hAnsi="Times New Roman"/>
          <w:sz w:val="24"/>
          <w:szCs w:val="24"/>
        </w:rPr>
        <w:t xml:space="preserve">On Jan. 2, 2025, in </w:t>
      </w:r>
      <w:r w:rsidRPr="00DF71DE">
        <w:rPr>
          <w:rFonts w:ascii="Times New Roman" w:hAnsi="Times New Roman"/>
          <w:sz w:val="24"/>
          <w:szCs w:val="24"/>
          <w:u w:val="single"/>
        </w:rPr>
        <w:t>United States of America v. Christopher Smyth</w:t>
      </w:r>
      <w:r w:rsidRPr="00DF71DE">
        <w:rPr>
          <w:rFonts w:ascii="Times New Roman" w:hAnsi="Times New Roman"/>
          <w:sz w:val="24"/>
          <w:szCs w:val="24"/>
        </w:rPr>
        <w:t xml:space="preserve">, U.S. District Court Chief Judge Frank W. Volk denied the defendant’s request for a downward departure from the federal sentencing guidelines.  He was convicted by a jury on May 3, </w:t>
      </w:r>
      <w:proofErr w:type="gramStart"/>
      <w:r w:rsidRPr="00DF71DE">
        <w:rPr>
          <w:rFonts w:ascii="Times New Roman" w:hAnsi="Times New Roman"/>
          <w:sz w:val="24"/>
          <w:szCs w:val="24"/>
        </w:rPr>
        <w:t>2024</w:t>
      </w:r>
      <w:proofErr w:type="gramEnd"/>
      <w:r w:rsidRPr="00DF71DE">
        <w:rPr>
          <w:rFonts w:ascii="Times New Roman" w:hAnsi="Times New Roman"/>
          <w:sz w:val="24"/>
          <w:szCs w:val="24"/>
        </w:rPr>
        <w:t xml:space="preserve"> by a federal jury in Beckley, West Virginia, for failing to pay the taxes withheld from employees’ wages at an ambulance service he operated and for obstructing the IRS.   Judge Volk was not impressed by the argument that the defendant was motivated by a desire to protect his community by continuing critical emergency services.  “Simply put, Mr. Smyth could have paid the trust fund taxes he had already collected from STAT EMS employees. He redirected the funds elsewhere.”  Mr. Smith will be sentenced on March 3, 2025. </w:t>
      </w:r>
      <w:hyperlink r:id="rId2550" w:history="1">
        <w:r w:rsidRPr="00DF71DE">
          <w:rPr>
            <w:rStyle w:val="Hyperlink"/>
            <w:rFonts w:ascii="Times New Roman" w:hAnsi="Times New Roman"/>
            <w:sz w:val="24"/>
            <w:szCs w:val="24"/>
          </w:rPr>
          <w:t>https://www.wvsd.uscourts.gov/sites/wvsd/files/opinions/MOO_20250102_5_22-cr-00182.pdf</w:t>
        </w:r>
      </w:hyperlink>
      <w:r w:rsidRPr="00DF71DE">
        <w:rPr>
          <w:rFonts w:ascii="Times New Roman" w:hAnsi="Times New Roman"/>
          <w:sz w:val="24"/>
          <w:szCs w:val="24"/>
        </w:rPr>
        <w:t xml:space="preserve"> </w:t>
      </w:r>
    </w:p>
    <w:p w14:paraId="284269F9" w14:textId="77777777" w:rsidR="008A7077" w:rsidRPr="00DF71DE" w:rsidRDefault="008A7077" w:rsidP="008A7077">
      <w:pPr>
        <w:pStyle w:val="NoSpacing"/>
        <w:rPr>
          <w:rFonts w:ascii="Times New Roman" w:hAnsi="Times New Roman"/>
          <w:sz w:val="24"/>
          <w:szCs w:val="24"/>
        </w:rPr>
      </w:pPr>
    </w:p>
    <w:p w14:paraId="16E839CB" w14:textId="77777777" w:rsidR="008A7077" w:rsidRPr="00DF71DE" w:rsidRDefault="008A7077" w:rsidP="008A7077">
      <w:pPr>
        <w:pStyle w:val="NoSpacing"/>
        <w:rPr>
          <w:rFonts w:ascii="Times New Roman" w:hAnsi="Times New Roman"/>
          <w:sz w:val="24"/>
          <w:szCs w:val="24"/>
        </w:rPr>
      </w:pPr>
      <w:r w:rsidRPr="00DF71DE">
        <w:rPr>
          <w:rFonts w:ascii="Times New Roman" w:hAnsi="Times New Roman"/>
          <w:sz w:val="24"/>
          <w:szCs w:val="24"/>
        </w:rPr>
        <w:t>The Court wrote:</w:t>
      </w:r>
    </w:p>
    <w:p w14:paraId="65FDED65" w14:textId="77777777" w:rsidR="008A7077" w:rsidRPr="00DF71DE" w:rsidRDefault="008A7077" w:rsidP="008A7077">
      <w:pPr>
        <w:pStyle w:val="NoSpacing"/>
        <w:rPr>
          <w:rFonts w:ascii="Times New Roman" w:hAnsi="Times New Roman"/>
          <w:sz w:val="24"/>
          <w:szCs w:val="24"/>
        </w:rPr>
      </w:pPr>
    </w:p>
    <w:p w14:paraId="598934ED" w14:textId="77777777" w:rsidR="008A7077" w:rsidRPr="00DF71DE" w:rsidRDefault="008A7077" w:rsidP="008A7077">
      <w:pPr>
        <w:pStyle w:val="NoSpacing"/>
        <w:ind w:firstLine="720"/>
        <w:rPr>
          <w:rFonts w:ascii="Times New Roman" w:hAnsi="Times New Roman"/>
          <w:sz w:val="24"/>
          <w:szCs w:val="24"/>
        </w:rPr>
      </w:pPr>
      <w:r w:rsidRPr="00DF71DE">
        <w:rPr>
          <w:rFonts w:ascii="Times New Roman" w:hAnsi="Times New Roman"/>
          <w:sz w:val="24"/>
          <w:szCs w:val="24"/>
        </w:rPr>
        <w:t>“Mr. Smyth contends his criminal conduct was motivated by a desire to protect his</w:t>
      </w:r>
    </w:p>
    <w:p w14:paraId="7FC03DE3" w14:textId="77777777" w:rsidR="008A7077" w:rsidRPr="00DF71DE" w:rsidRDefault="008A7077" w:rsidP="008A7077">
      <w:pPr>
        <w:pStyle w:val="NoSpacing"/>
        <w:ind w:left="720"/>
        <w:rPr>
          <w:rFonts w:ascii="Times New Roman" w:hAnsi="Times New Roman"/>
          <w:sz w:val="24"/>
          <w:szCs w:val="24"/>
        </w:rPr>
      </w:pPr>
      <w:r w:rsidRPr="00DF71DE">
        <w:rPr>
          <w:rFonts w:ascii="Times New Roman" w:hAnsi="Times New Roman"/>
          <w:sz w:val="24"/>
          <w:szCs w:val="24"/>
        </w:rPr>
        <w:t xml:space="preserve">community by continuing critical emergency services. [ECF 148 at 4]. He claims STAT EMS lacked sufficient funds to pay the trust fund taxes, </w:t>
      </w:r>
      <w:proofErr w:type="gramStart"/>
      <w:r w:rsidRPr="00DF71DE">
        <w:rPr>
          <w:rFonts w:ascii="Times New Roman" w:hAnsi="Times New Roman"/>
          <w:sz w:val="24"/>
          <w:szCs w:val="24"/>
        </w:rPr>
        <w:t>inasmuch as</w:t>
      </w:r>
      <w:proofErr w:type="gramEnd"/>
      <w:r w:rsidRPr="00DF71DE">
        <w:rPr>
          <w:rFonts w:ascii="Times New Roman" w:hAnsi="Times New Roman"/>
          <w:sz w:val="24"/>
          <w:szCs w:val="24"/>
        </w:rPr>
        <w:t xml:space="preserve"> </w:t>
      </w:r>
      <w:proofErr w:type="gramStart"/>
      <w:r w:rsidRPr="00DF71DE">
        <w:rPr>
          <w:rFonts w:ascii="Times New Roman" w:hAnsi="Times New Roman"/>
          <w:sz w:val="24"/>
          <w:szCs w:val="24"/>
        </w:rPr>
        <w:t>it earlier</w:t>
      </w:r>
      <w:proofErr w:type="gramEnd"/>
      <w:r w:rsidRPr="00DF71DE">
        <w:rPr>
          <w:rFonts w:ascii="Times New Roman" w:hAnsi="Times New Roman"/>
          <w:sz w:val="24"/>
          <w:szCs w:val="24"/>
        </w:rPr>
        <w:t xml:space="preserve"> absorbed two failed ambulance companies. [Id. at 3–4]. He further contends the IRS acknowledged the importance of the services by foregoing levy against STAT EMS or liquidating its assets. [Id. at 4]. For these reasons, he seeks the subject departure and a downward variance.</w:t>
      </w:r>
    </w:p>
    <w:p w14:paraId="0D132CD9" w14:textId="77777777" w:rsidR="008A7077" w:rsidRPr="00DF71DE" w:rsidRDefault="008A7077" w:rsidP="008A7077">
      <w:pPr>
        <w:pStyle w:val="NoSpacing"/>
        <w:rPr>
          <w:rFonts w:ascii="Times New Roman" w:hAnsi="Times New Roman"/>
          <w:sz w:val="24"/>
          <w:szCs w:val="24"/>
        </w:rPr>
      </w:pPr>
    </w:p>
    <w:p w14:paraId="33AC2C37" w14:textId="77777777" w:rsidR="008A7077" w:rsidRPr="00DF71DE" w:rsidRDefault="008A7077" w:rsidP="008A7077">
      <w:pPr>
        <w:pStyle w:val="NoSpacing"/>
        <w:ind w:firstLine="720"/>
        <w:rPr>
          <w:rFonts w:ascii="Times New Roman" w:hAnsi="Times New Roman"/>
          <w:sz w:val="24"/>
          <w:szCs w:val="24"/>
        </w:rPr>
      </w:pPr>
      <w:r w:rsidRPr="00DF71DE">
        <w:rPr>
          <w:rFonts w:ascii="Times New Roman" w:hAnsi="Times New Roman"/>
          <w:sz w:val="24"/>
          <w:szCs w:val="24"/>
        </w:rPr>
        <w:t>***</w:t>
      </w:r>
    </w:p>
    <w:p w14:paraId="6F291A56" w14:textId="77777777" w:rsidR="008A7077" w:rsidRPr="00DF71DE" w:rsidRDefault="008A7077" w:rsidP="008A7077">
      <w:pPr>
        <w:pStyle w:val="NoSpacing"/>
        <w:rPr>
          <w:rFonts w:ascii="Times New Roman" w:hAnsi="Times New Roman"/>
          <w:sz w:val="24"/>
          <w:szCs w:val="24"/>
        </w:rPr>
      </w:pPr>
    </w:p>
    <w:p w14:paraId="16E445B6" w14:textId="77777777" w:rsidR="008A7077" w:rsidRPr="00DF71DE" w:rsidRDefault="008A7077" w:rsidP="008A7077">
      <w:pPr>
        <w:pStyle w:val="NoSpacing"/>
        <w:ind w:left="720"/>
        <w:rPr>
          <w:rFonts w:ascii="Times New Roman" w:hAnsi="Times New Roman"/>
          <w:sz w:val="24"/>
          <w:szCs w:val="24"/>
        </w:rPr>
      </w:pPr>
      <w:r w:rsidRPr="00DF71DE">
        <w:rPr>
          <w:rFonts w:ascii="Times New Roman" w:hAnsi="Times New Roman"/>
          <w:sz w:val="24"/>
          <w:szCs w:val="24"/>
        </w:rPr>
        <w:t>Mr. Smyth’s decades-long dodge of his taxpayer obligations deprived the Sovereign of monies used to fund essential governmental services. It is our elected representatives who hold the privilege and responsibility for funding decisions. Instead of permitting those policy decisions to be made by the ones to whom the power is reserved, however, Mr. Smyth made his own funding allocation. And he seeks a reduction for doing so. The approach is quite distorted.</w:t>
      </w:r>
    </w:p>
    <w:p w14:paraId="4E532352" w14:textId="77777777" w:rsidR="008A7077" w:rsidRPr="00DF71DE" w:rsidRDefault="008A7077" w:rsidP="008A7077">
      <w:pPr>
        <w:pStyle w:val="NoSpacing"/>
        <w:rPr>
          <w:rFonts w:ascii="Times New Roman" w:hAnsi="Times New Roman"/>
          <w:sz w:val="24"/>
          <w:szCs w:val="24"/>
        </w:rPr>
      </w:pPr>
    </w:p>
    <w:p w14:paraId="667ED036" w14:textId="77777777" w:rsidR="008A7077" w:rsidRPr="00DF71DE" w:rsidRDefault="008A7077" w:rsidP="008A7077">
      <w:pPr>
        <w:pStyle w:val="NoSpacing"/>
        <w:ind w:firstLine="720"/>
        <w:rPr>
          <w:rFonts w:ascii="Times New Roman" w:hAnsi="Times New Roman"/>
          <w:sz w:val="24"/>
          <w:szCs w:val="24"/>
        </w:rPr>
      </w:pPr>
      <w:r w:rsidRPr="00DF71DE">
        <w:rPr>
          <w:rFonts w:ascii="Times New Roman" w:hAnsi="Times New Roman"/>
          <w:sz w:val="24"/>
          <w:szCs w:val="24"/>
        </w:rPr>
        <w:t>Mr. Smyth also contends his crimes resulted from insufficient funds after absorbing</w:t>
      </w:r>
    </w:p>
    <w:p w14:paraId="2A069623" w14:textId="77777777" w:rsidR="008A7077" w:rsidRPr="00DF71DE" w:rsidRDefault="008A7077" w:rsidP="008A7077">
      <w:pPr>
        <w:pStyle w:val="NoSpacing"/>
        <w:ind w:left="720"/>
        <w:rPr>
          <w:rFonts w:ascii="Times New Roman" w:hAnsi="Times New Roman"/>
          <w:sz w:val="24"/>
          <w:szCs w:val="24"/>
        </w:rPr>
      </w:pPr>
      <w:r w:rsidRPr="00DF71DE">
        <w:rPr>
          <w:rFonts w:ascii="Times New Roman" w:hAnsi="Times New Roman"/>
          <w:sz w:val="24"/>
          <w:szCs w:val="24"/>
        </w:rPr>
        <w:t xml:space="preserve">two failed ambulance services in 2014. [ECF 148 at 3–4]. That is inaccurate. His tax crimes started long prior. [See PSR at 5]. The trial surfaced not only Mr. Smyth’s failure to pay his trust fund taxes, but also his decision to pay himself, his family, his friends, and the businesses they operated. Mr. Smyth also managed to meet his tax obligations shortly after coming </w:t>
      </w:r>
      <w:proofErr w:type="gramStart"/>
      <w:r w:rsidRPr="00DF71DE">
        <w:rPr>
          <w:rFonts w:ascii="Times New Roman" w:hAnsi="Times New Roman"/>
          <w:sz w:val="24"/>
          <w:szCs w:val="24"/>
        </w:rPr>
        <w:t>under</w:t>
      </w:r>
      <w:proofErr w:type="gramEnd"/>
      <w:r w:rsidRPr="00DF71DE">
        <w:rPr>
          <w:rFonts w:ascii="Times New Roman" w:hAnsi="Times New Roman"/>
          <w:sz w:val="24"/>
          <w:szCs w:val="24"/>
        </w:rPr>
        <w:t xml:space="preserve"> criminal investigation. Simply put, Mr. Smyth could have paid the trust fund taxes he had already collected from STAT EMS employees. He redirected the funds elsewhere.</w:t>
      </w:r>
    </w:p>
    <w:p w14:paraId="59BA937B" w14:textId="77777777" w:rsidR="008A7077" w:rsidRPr="00DF71DE" w:rsidRDefault="008A7077" w:rsidP="008A7077">
      <w:pPr>
        <w:pStyle w:val="NoSpacing"/>
        <w:rPr>
          <w:rFonts w:ascii="Times New Roman" w:hAnsi="Times New Roman"/>
          <w:sz w:val="24"/>
          <w:szCs w:val="24"/>
        </w:rPr>
      </w:pPr>
    </w:p>
    <w:p w14:paraId="65B8BC8F" w14:textId="77777777" w:rsidR="008A7077" w:rsidRPr="00DF71DE" w:rsidRDefault="008A7077" w:rsidP="008A7077">
      <w:pPr>
        <w:pStyle w:val="NoSpacing"/>
        <w:ind w:firstLine="720"/>
        <w:rPr>
          <w:rFonts w:ascii="Times New Roman" w:hAnsi="Times New Roman"/>
          <w:sz w:val="24"/>
          <w:szCs w:val="24"/>
        </w:rPr>
      </w:pPr>
      <w:r w:rsidRPr="00DF71DE">
        <w:rPr>
          <w:rFonts w:ascii="Times New Roman" w:hAnsi="Times New Roman"/>
          <w:sz w:val="24"/>
          <w:szCs w:val="24"/>
        </w:rPr>
        <w:t>In sum, Mr. Smyth shorted the Sovereign and the tax-paying public. Under such</w:t>
      </w:r>
    </w:p>
    <w:p w14:paraId="7B26A2D8" w14:textId="77777777" w:rsidR="008A7077" w:rsidRPr="00DF71DE" w:rsidRDefault="008A7077" w:rsidP="008A7077">
      <w:pPr>
        <w:pStyle w:val="NoSpacing"/>
        <w:ind w:left="720"/>
        <w:rPr>
          <w:rFonts w:ascii="Times New Roman" w:hAnsi="Times New Roman"/>
          <w:sz w:val="24"/>
          <w:szCs w:val="24"/>
        </w:rPr>
      </w:pPr>
      <w:r w:rsidRPr="00DF71DE">
        <w:rPr>
          <w:rFonts w:ascii="Times New Roman" w:hAnsi="Times New Roman"/>
          <w:sz w:val="24"/>
          <w:szCs w:val="24"/>
        </w:rPr>
        <w:t>circumstances, a downward departure is inappropriate. A ruling on the variance request awaits further development by counsel at sentencing.”</w:t>
      </w:r>
    </w:p>
    <w:p w14:paraId="14424410" w14:textId="77777777" w:rsidR="008A7077" w:rsidRPr="00DF71DE" w:rsidRDefault="008A7077" w:rsidP="008A7077">
      <w:pPr>
        <w:pStyle w:val="NoSpacing"/>
        <w:ind w:left="720"/>
        <w:rPr>
          <w:rFonts w:ascii="Times New Roman" w:hAnsi="Times New Roman"/>
          <w:sz w:val="24"/>
          <w:szCs w:val="24"/>
        </w:rPr>
      </w:pPr>
    </w:p>
    <w:p w14:paraId="4D39DC93" w14:textId="77777777" w:rsidR="008A7077" w:rsidRPr="00DF71DE" w:rsidRDefault="008A7077" w:rsidP="008A7077">
      <w:pPr>
        <w:pStyle w:val="NoSpacing"/>
        <w:rPr>
          <w:rFonts w:ascii="Times New Roman" w:hAnsi="Times New Roman"/>
          <w:b/>
          <w:bCs/>
          <w:sz w:val="24"/>
          <w:szCs w:val="24"/>
        </w:rPr>
      </w:pPr>
      <w:r w:rsidRPr="00DF71DE">
        <w:rPr>
          <w:rFonts w:ascii="Times New Roman" w:hAnsi="Times New Roman"/>
          <w:b/>
          <w:sz w:val="24"/>
          <w:szCs w:val="24"/>
        </w:rPr>
        <w:t xml:space="preserve">Legal Lesson Learned:  Failure to pay taxes can result in jail time. </w:t>
      </w:r>
    </w:p>
    <w:p w14:paraId="3FCFC72C" w14:textId="77777777" w:rsidR="008A7077" w:rsidRPr="00DF71DE" w:rsidRDefault="008A7077" w:rsidP="008A7077">
      <w:pPr>
        <w:rPr>
          <w:rFonts w:ascii="Times New Roman" w:hAnsi="Times New Roman"/>
          <w:b/>
          <w:sz w:val="24"/>
          <w:szCs w:val="24"/>
        </w:rPr>
      </w:pPr>
    </w:p>
    <w:p w14:paraId="2118BFAC" w14:textId="77777777" w:rsidR="008A7077" w:rsidRPr="00DF71DE" w:rsidRDefault="008A7077" w:rsidP="008A7077">
      <w:pPr>
        <w:ind w:left="720"/>
        <w:rPr>
          <w:rFonts w:ascii="Times New Roman" w:hAnsi="Times New Roman"/>
          <w:bCs/>
          <w:sz w:val="24"/>
          <w:szCs w:val="24"/>
        </w:rPr>
      </w:pPr>
      <w:r w:rsidRPr="00DF71DE">
        <w:rPr>
          <w:rFonts w:ascii="Times New Roman" w:hAnsi="Times New Roman"/>
          <w:sz w:val="24"/>
          <w:szCs w:val="24"/>
        </w:rPr>
        <w:t>Note: See May 3, 2024, U.S. Department of Justice press release, “West Virginia Ambulance Services Business Owner Convicted of Tax Crimes.”</w:t>
      </w:r>
    </w:p>
    <w:p w14:paraId="4D7DF769" w14:textId="77777777" w:rsidR="008A7077" w:rsidRPr="00DF71DE" w:rsidRDefault="008A7077" w:rsidP="008A7077">
      <w:pPr>
        <w:ind w:left="720"/>
        <w:rPr>
          <w:rFonts w:ascii="Times New Roman" w:hAnsi="Times New Roman"/>
          <w:bCs/>
          <w:sz w:val="24"/>
          <w:szCs w:val="24"/>
        </w:rPr>
      </w:pPr>
      <w:r w:rsidRPr="00DF71DE">
        <w:rPr>
          <w:rFonts w:ascii="Times New Roman" w:hAnsi="Times New Roman"/>
          <w:sz w:val="24"/>
          <w:szCs w:val="24"/>
        </w:rPr>
        <w:t>“A federal jury in Beckley, West Virginia, convicted a man yesterday for failing to pay the taxes withheld from employees’ wages at an ambulance service he operated and for obstructing the IRS.   According to evidence presented at trial, from 2012 through part of 2017, Christopher Jason Smyth operated Stat EMS LLC, an ambulance service located in Pineville, West Virginia. Smyth created Stat EMS after a previous ambulance business Smyth operated accrued millions of dollars of employment tax liabilities and filed for bankruptcy. Smyth caused Stat EMS to be founded in the name of a nominee owner but continued operating the business in the same manner as before.</w:t>
      </w:r>
    </w:p>
    <w:p w14:paraId="74894D62" w14:textId="25178C41" w:rsidR="008A7077" w:rsidRPr="00DF71DE" w:rsidRDefault="008A7077" w:rsidP="008A7077">
      <w:pPr>
        <w:ind w:left="720"/>
        <w:rPr>
          <w:rFonts w:ascii="Times New Roman" w:hAnsi="Times New Roman"/>
          <w:bCs/>
          <w:sz w:val="24"/>
          <w:szCs w:val="24"/>
        </w:rPr>
      </w:pPr>
      <w:r w:rsidRPr="00DF71DE">
        <w:rPr>
          <w:rFonts w:ascii="Times New Roman" w:hAnsi="Times New Roman"/>
          <w:sz w:val="24"/>
          <w:szCs w:val="24"/>
        </w:rPr>
        <w:t xml:space="preserve">At Stat EMS, Smyth was responsible for withholding Social Security, Medicare and income taxes from employees’ wages and paying them to the IRS. For two quarters in 2016, Smyth, however, did not fully pay the taxes to the IRS. Instead, he paid various personal expenses and transferred funds to businesses held by his friends and family. The IRS determined that Stat EMS accrued approximately $3.3 million in unpaid </w:t>
      </w:r>
      <w:proofErr w:type="gramStart"/>
      <w:r w:rsidR="00DF71DE" w:rsidRPr="00DF71DE">
        <w:rPr>
          <w:rFonts w:ascii="Times New Roman" w:hAnsi="Times New Roman"/>
          <w:sz w:val="24"/>
          <w:szCs w:val="24"/>
        </w:rPr>
        <w:t>taxes.</w:t>
      </w:r>
      <w:r w:rsidR="00DF71DE">
        <w:rPr>
          <w:rFonts w:ascii="Times New Roman" w:hAnsi="Times New Roman"/>
          <w:sz w:val="24"/>
          <w:szCs w:val="24"/>
        </w:rPr>
        <w:t>”</w:t>
      </w:r>
      <w:proofErr w:type="gramEnd"/>
    </w:p>
    <w:p w14:paraId="526AAB6D" w14:textId="77777777" w:rsidR="008A7077" w:rsidRDefault="008A7077" w:rsidP="008A7077">
      <w:pPr>
        <w:rPr>
          <w:b/>
        </w:rPr>
      </w:pPr>
    </w:p>
    <w:p w14:paraId="6DF1A81F" w14:textId="77777777" w:rsidR="008A7077" w:rsidRDefault="008A7077" w:rsidP="00F91F9F">
      <w:pPr>
        <w:pStyle w:val="NoSpacing"/>
        <w:rPr>
          <w:rFonts w:ascii="Arial Black" w:hAnsi="Arial Black"/>
          <w:sz w:val="24"/>
          <w:szCs w:val="24"/>
        </w:rPr>
      </w:pPr>
    </w:p>
    <w:p w14:paraId="2DE44799" w14:textId="77777777" w:rsidR="008A7077" w:rsidRDefault="008A7077" w:rsidP="00F91F9F">
      <w:pPr>
        <w:pStyle w:val="NoSpacing"/>
        <w:rPr>
          <w:rFonts w:ascii="Arial Black" w:hAnsi="Arial Black"/>
          <w:sz w:val="24"/>
          <w:szCs w:val="24"/>
        </w:rPr>
      </w:pPr>
    </w:p>
    <w:p w14:paraId="4FF3EEEA" w14:textId="77777777" w:rsidR="008A7077" w:rsidRDefault="008A7077" w:rsidP="00F91F9F">
      <w:pPr>
        <w:pStyle w:val="NoSpacing"/>
        <w:rPr>
          <w:rFonts w:ascii="Arial Black" w:hAnsi="Arial Black"/>
          <w:sz w:val="24"/>
          <w:szCs w:val="24"/>
        </w:rPr>
      </w:pPr>
    </w:p>
    <w:p w14:paraId="1A3E4068" w14:textId="299B901A" w:rsidR="00921B8A" w:rsidRDefault="00921B8A" w:rsidP="00F91F9F">
      <w:pPr>
        <w:pStyle w:val="NoSpacing"/>
        <w:rPr>
          <w:rFonts w:ascii="Arial Black" w:hAnsi="Arial Black"/>
          <w:sz w:val="24"/>
          <w:szCs w:val="24"/>
        </w:rPr>
      </w:pPr>
      <w:r>
        <w:rPr>
          <w:rFonts w:ascii="Arial Black" w:hAnsi="Arial Black"/>
          <w:sz w:val="24"/>
          <w:szCs w:val="24"/>
        </w:rPr>
        <w:t>16-119</w:t>
      </w:r>
    </w:p>
    <w:p w14:paraId="0BBF3020" w14:textId="77777777" w:rsidR="00921B8A" w:rsidRDefault="00921B8A" w:rsidP="00F91F9F">
      <w:pPr>
        <w:pStyle w:val="NoSpacing"/>
        <w:rPr>
          <w:rFonts w:ascii="Arial Black" w:hAnsi="Arial Black"/>
          <w:sz w:val="24"/>
          <w:szCs w:val="24"/>
        </w:rPr>
      </w:pPr>
    </w:p>
    <w:p w14:paraId="3F309FF6" w14:textId="77777777" w:rsidR="0063723E" w:rsidRPr="00913FB8" w:rsidRDefault="0063723E" w:rsidP="0063723E">
      <w:pPr>
        <w:pStyle w:val="NoSpacing"/>
        <w:rPr>
          <w:rFonts w:ascii="Arial Black" w:hAnsi="Arial Black"/>
          <w:sz w:val="28"/>
          <w:szCs w:val="28"/>
        </w:rPr>
      </w:pPr>
      <w:r>
        <w:rPr>
          <w:rFonts w:ascii="Arial Black" w:hAnsi="Arial Black"/>
          <w:sz w:val="28"/>
          <w:szCs w:val="28"/>
        </w:rPr>
        <w:t xml:space="preserve">MI: WHISTLEBLOWER, REPT BAD TIRES – LATER FIRED </w:t>
      </w:r>
    </w:p>
    <w:p w14:paraId="4775763C" w14:textId="77777777" w:rsidR="0063723E" w:rsidRDefault="0063723E" w:rsidP="0063723E">
      <w:pPr>
        <w:pStyle w:val="NoSpacing"/>
      </w:pPr>
    </w:p>
    <w:p w14:paraId="05A387C3" w14:textId="77777777" w:rsidR="00054479" w:rsidRPr="00054479" w:rsidRDefault="00054479" w:rsidP="00054479">
      <w:pPr>
        <w:pStyle w:val="NoSpacing"/>
        <w:rPr>
          <w:rFonts w:ascii="Times New Roman" w:hAnsi="Times New Roman"/>
          <w:sz w:val="24"/>
          <w:szCs w:val="24"/>
        </w:rPr>
      </w:pPr>
      <w:r w:rsidRPr="00054479">
        <w:rPr>
          <w:rFonts w:ascii="Times New Roman" w:hAnsi="Times New Roman"/>
          <w:sz w:val="24"/>
          <w:szCs w:val="24"/>
        </w:rPr>
        <w:t xml:space="preserve">On Dec. 19, 2024, in </w:t>
      </w:r>
      <w:r w:rsidRPr="00054479">
        <w:rPr>
          <w:rFonts w:ascii="Times New Roman" w:hAnsi="Times New Roman"/>
          <w:sz w:val="24"/>
          <w:szCs w:val="24"/>
          <w:u w:val="single"/>
        </w:rPr>
        <w:t>Dale Gorm v. Northern Bay Ambulance &amp; Rescue</w:t>
      </w:r>
      <w:r w:rsidRPr="00054479">
        <w:rPr>
          <w:rFonts w:ascii="Times New Roman" w:hAnsi="Times New Roman"/>
          <w:sz w:val="24"/>
          <w:szCs w:val="24"/>
        </w:rPr>
        <w:t xml:space="preserve">, the Michigan Court of Appeals held (3 to 0; unpublished decision) that the trial court improperly granted summary judgment to the ambulance company.  In 2022, Paramedic Gorm complained twice to Chairman of Board about poor tires on the ambulances </w:t>
      </w:r>
      <w:proofErr w:type="gramStart"/>
      <w:r w:rsidRPr="00054479">
        <w:rPr>
          <w:rFonts w:ascii="Times New Roman" w:hAnsi="Times New Roman"/>
          <w:sz w:val="24"/>
          <w:szCs w:val="24"/>
        </w:rPr>
        <w:t>and also</w:t>
      </w:r>
      <w:proofErr w:type="gramEnd"/>
      <w:r w:rsidRPr="00054479">
        <w:rPr>
          <w:rFonts w:ascii="Times New Roman" w:hAnsi="Times New Roman"/>
          <w:sz w:val="24"/>
          <w:szCs w:val="24"/>
        </w:rPr>
        <w:t xml:space="preserve"> complained that the Operations Manager, Ms. Jones, was doing poor job and should be fired.  The complaint was about two months prior to being fired.  On July 1, 2022, he inadvertently found on the common-use copier a document with EMS salary info and social security numbers, and he showed it two other EMS on duty.  He was fired July 14 for “privacy breach.” </w:t>
      </w:r>
      <w:hyperlink r:id="rId2551" w:history="1">
        <w:r w:rsidRPr="00054479">
          <w:rPr>
            <w:rStyle w:val="Hyperlink"/>
            <w:rFonts w:ascii="Times New Roman" w:hAnsi="Times New Roman"/>
            <w:sz w:val="24"/>
            <w:szCs w:val="24"/>
          </w:rPr>
          <w:t>https://cases.justia.com/michigan/court-of-appeals-unpublished/2024-368783.pdf?ts=1734703212</w:t>
        </w:r>
      </w:hyperlink>
      <w:r w:rsidRPr="00054479">
        <w:rPr>
          <w:rFonts w:ascii="Times New Roman" w:hAnsi="Times New Roman"/>
          <w:sz w:val="24"/>
          <w:szCs w:val="24"/>
        </w:rPr>
        <w:t xml:space="preserve"> </w:t>
      </w:r>
    </w:p>
    <w:p w14:paraId="0B490466" w14:textId="77777777" w:rsidR="00054479" w:rsidRDefault="00054479" w:rsidP="0063723E">
      <w:pPr>
        <w:pStyle w:val="NoSpacing"/>
        <w:rPr>
          <w:rFonts w:ascii="Times New Roman" w:hAnsi="Times New Roman"/>
          <w:sz w:val="24"/>
          <w:szCs w:val="24"/>
        </w:rPr>
      </w:pPr>
    </w:p>
    <w:p w14:paraId="5A8633E4" w14:textId="77777777" w:rsidR="00054479" w:rsidRDefault="00054479" w:rsidP="0063723E">
      <w:pPr>
        <w:pStyle w:val="NoSpacing"/>
        <w:rPr>
          <w:rFonts w:ascii="Times New Roman" w:hAnsi="Times New Roman"/>
          <w:sz w:val="24"/>
          <w:szCs w:val="24"/>
        </w:rPr>
      </w:pPr>
    </w:p>
    <w:p w14:paraId="0E41B549" w14:textId="18EDB9E4" w:rsidR="0063723E" w:rsidRPr="0063723E" w:rsidRDefault="0063723E" w:rsidP="0063723E">
      <w:pPr>
        <w:pStyle w:val="NoSpacing"/>
        <w:rPr>
          <w:rFonts w:ascii="Times New Roman" w:hAnsi="Times New Roman"/>
          <w:sz w:val="24"/>
          <w:szCs w:val="24"/>
        </w:rPr>
      </w:pPr>
      <w:r w:rsidRPr="0063723E">
        <w:rPr>
          <w:rFonts w:ascii="Times New Roman" w:hAnsi="Times New Roman"/>
          <w:sz w:val="24"/>
          <w:szCs w:val="24"/>
        </w:rPr>
        <w:t>The Cour</w:t>
      </w:r>
      <w:r w:rsidR="0080636C">
        <w:rPr>
          <w:rFonts w:ascii="Times New Roman" w:hAnsi="Times New Roman"/>
          <w:sz w:val="24"/>
          <w:szCs w:val="24"/>
        </w:rPr>
        <w:t>t wrote</w:t>
      </w:r>
      <w:r w:rsidRPr="0063723E">
        <w:rPr>
          <w:rFonts w:ascii="Times New Roman" w:hAnsi="Times New Roman"/>
          <w:sz w:val="24"/>
          <w:szCs w:val="24"/>
        </w:rPr>
        <w:t xml:space="preserve">: </w:t>
      </w:r>
    </w:p>
    <w:p w14:paraId="0A9C3108" w14:textId="77777777" w:rsidR="0080636C" w:rsidRDefault="0080636C" w:rsidP="0063723E">
      <w:pPr>
        <w:pStyle w:val="NoSpacing"/>
        <w:ind w:firstLine="720"/>
        <w:rPr>
          <w:rFonts w:ascii="Times New Roman" w:hAnsi="Times New Roman"/>
          <w:sz w:val="24"/>
          <w:szCs w:val="24"/>
        </w:rPr>
      </w:pPr>
    </w:p>
    <w:p w14:paraId="09D46BE5" w14:textId="73010EA8" w:rsidR="0063723E" w:rsidRPr="0063723E" w:rsidRDefault="0063723E" w:rsidP="0063723E">
      <w:pPr>
        <w:pStyle w:val="NoSpacing"/>
        <w:ind w:firstLine="720"/>
        <w:rPr>
          <w:rFonts w:ascii="Times New Roman" w:hAnsi="Times New Roman"/>
          <w:sz w:val="24"/>
          <w:szCs w:val="24"/>
        </w:rPr>
      </w:pPr>
      <w:r w:rsidRPr="0063723E">
        <w:rPr>
          <w:rFonts w:ascii="Times New Roman" w:hAnsi="Times New Roman"/>
          <w:sz w:val="24"/>
          <w:szCs w:val="24"/>
        </w:rPr>
        <w:t>“In sum, plaintiff presented sufficient circumstantial evidence to allow a reasonable fact-</w:t>
      </w:r>
    </w:p>
    <w:p w14:paraId="353BDEC7" w14:textId="2511A5E6" w:rsidR="0063723E" w:rsidRPr="0063723E" w:rsidRDefault="0063723E" w:rsidP="0063723E">
      <w:pPr>
        <w:pStyle w:val="NoSpacing"/>
        <w:ind w:left="720"/>
        <w:rPr>
          <w:rFonts w:ascii="Times New Roman" w:hAnsi="Times New Roman"/>
          <w:sz w:val="24"/>
          <w:szCs w:val="24"/>
        </w:rPr>
      </w:pPr>
      <w:r w:rsidRPr="0063723E">
        <w:rPr>
          <w:rFonts w:ascii="Times New Roman" w:hAnsi="Times New Roman"/>
          <w:sz w:val="24"/>
          <w:szCs w:val="24"/>
        </w:rPr>
        <w:t xml:space="preserve">finder to infer that plaintiff’s protected activity, i.e., reporting Jones’s failures to the Chairman, was a motivating factor in the decision to terminate him. A reasonable </w:t>
      </w:r>
      <w:proofErr w:type="gramStart"/>
      <w:r w:rsidRPr="0063723E">
        <w:rPr>
          <w:rFonts w:ascii="Times New Roman" w:hAnsi="Times New Roman"/>
          <w:sz w:val="24"/>
          <w:szCs w:val="24"/>
        </w:rPr>
        <w:t>fact-finder</w:t>
      </w:r>
      <w:proofErr w:type="gramEnd"/>
      <w:r w:rsidRPr="0063723E">
        <w:rPr>
          <w:rFonts w:ascii="Times New Roman" w:hAnsi="Times New Roman"/>
          <w:sz w:val="24"/>
          <w:szCs w:val="24"/>
        </w:rPr>
        <w:t xml:space="preserve"> could also infer that the proposed legitimate business reason—the privacy breach—was just a pretext. Therefore, there is an issue of fact as to why plaintiff was fired ‘upon which reasonable minds might differ.’ West, 469 Mich at 183.” </w:t>
      </w:r>
    </w:p>
    <w:p w14:paraId="30460BB9" w14:textId="77777777" w:rsidR="00850F47" w:rsidRDefault="00850F47" w:rsidP="002E3928">
      <w:pPr>
        <w:pStyle w:val="NoSpacing"/>
      </w:pPr>
    </w:p>
    <w:p w14:paraId="6110C56C" w14:textId="42FE4912" w:rsidR="002E3928" w:rsidRPr="00850F47" w:rsidRDefault="002E3928" w:rsidP="002E3928">
      <w:pPr>
        <w:pStyle w:val="NoSpacing"/>
        <w:rPr>
          <w:rFonts w:ascii="Times New Roman" w:hAnsi="Times New Roman"/>
          <w:sz w:val="24"/>
          <w:szCs w:val="24"/>
        </w:rPr>
      </w:pPr>
      <w:r w:rsidRPr="00850F47">
        <w:rPr>
          <w:rFonts w:ascii="Times New Roman" w:hAnsi="Times New Roman"/>
          <w:sz w:val="24"/>
          <w:szCs w:val="24"/>
        </w:rPr>
        <w:t>HOLDING:</w:t>
      </w:r>
    </w:p>
    <w:p w14:paraId="5B729953" w14:textId="77777777" w:rsidR="002E3928" w:rsidRPr="00850F47" w:rsidRDefault="002E3928" w:rsidP="002E3928">
      <w:pPr>
        <w:pStyle w:val="NoSpacing"/>
        <w:ind w:left="720"/>
        <w:rPr>
          <w:rFonts w:ascii="Times New Roman" w:hAnsi="Times New Roman"/>
          <w:sz w:val="24"/>
          <w:szCs w:val="24"/>
        </w:rPr>
      </w:pPr>
    </w:p>
    <w:p w14:paraId="5670DDDE" w14:textId="77777777" w:rsidR="002E3928" w:rsidRPr="00850F47" w:rsidRDefault="002E3928" w:rsidP="002E3928">
      <w:pPr>
        <w:pStyle w:val="NoSpacing"/>
        <w:ind w:left="720"/>
        <w:rPr>
          <w:rFonts w:ascii="Times New Roman" w:hAnsi="Times New Roman"/>
          <w:sz w:val="24"/>
          <w:szCs w:val="24"/>
        </w:rPr>
      </w:pPr>
      <w:r w:rsidRPr="00850F47">
        <w:rPr>
          <w:rFonts w:ascii="Times New Roman" w:hAnsi="Times New Roman"/>
          <w:sz w:val="24"/>
          <w:szCs w:val="24"/>
        </w:rPr>
        <w:t>“Plaintiff filed a lawsuit alleging that defendant retaliated against him in violation of the</w:t>
      </w:r>
    </w:p>
    <w:p w14:paraId="42FC69E3" w14:textId="77777777" w:rsidR="002E3928" w:rsidRPr="00850F47" w:rsidRDefault="002E3928" w:rsidP="002E3928">
      <w:pPr>
        <w:pStyle w:val="NoSpacing"/>
        <w:ind w:left="720"/>
        <w:rPr>
          <w:rFonts w:ascii="Times New Roman" w:hAnsi="Times New Roman"/>
          <w:sz w:val="24"/>
          <w:szCs w:val="24"/>
        </w:rPr>
      </w:pPr>
      <w:r w:rsidRPr="00850F47">
        <w:rPr>
          <w:rFonts w:ascii="Times New Roman" w:hAnsi="Times New Roman"/>
          <w:sz w:val="24"/>
          <w:szCs w:val="24"/>
        </w:rPr>
        <w:t>Whistleblowers’ Protection Act (WPA), MCL 15.369 et seq</w:t>
      </w:r>
      <w:proofErr w:type="gramStart"/>
      <w:r w:rsidRPr="00850F47">
        <w:rPr>
          <w:rFonts w:ascii="Times New Roman" w:hAnsi="Times New Roman"/>
          <w:sz w:val="24"/>
          <w:szCs w:val="24"/>
        </w:rPr>
        <w:t>.…</w:t>
      </w:r>
      <w:proofErr w:type="gramEnd"/>
      <w:r w:rsidRPr="00850F47">
        <w:rPr>
          <w:rFonts w:ascii="Times New Roman" w:hAnsi="Times New Roman"/>
          <w:sz w:val="24"/>
          <w:szCs w:val="24"/>
        </w:rPr>
        <w:t xml:space="preserve"> Pursuant to MCL 15.362, the WPA prohibits an employer from taking adverse employment action against an employee who </w:t>
      </w:r>
      <w:proofErr w:type="gramStart"/>
      <w:r w:rsidRPr="00850F47">
        <w:rPr>
          <w:rFonts w:ascii="Times New Roman" w:hAnsi="Times New Roman"/>
          <w:sz w:val="24"/>
          <w:szCs w:val="24"/>
        </w:rPr>
        <w:t>reports, ‘</w:t>
      </w:r>
      <w:proofErr w:type="gramEnd"/>
      <w:r w:rsidRPr="00850F47">
        <w:rPr>
          <w:rFonts w:ascii="Times New Roman" w:hAnsi="Times New Roman"/>
          <w:sz w:val="24"/>
          <w:szCs w:val="24"/>
        </w:rPr>
        <w:t>or is about to report, a violation or suspected violation</w:t>
      </w:r>
    </w:p>
    <w:p w14:paraId="6876F3F1" w14:textId="77777777" w:rsidR="002E3928" w:rsidRPr="00850F47" w:rsidRDefault="002E3928" w:rsidP="002E3928">
      <w:pPr>
        <w:pStyle w:val="NoSpacing"/>
        <w:ind w:left="720"/>
        <w:rPr>
          <w:rFonts w:ascii="Times New Roman" w:hAnsi="Times New Roman"/>
          <w:sz w:val="24"/>
          <w:szCs w:val="24"/>
        </w:rPr>
      </w:pPr>
      <w:r w:rsidRPr="00850F47">
        <w:rPr>
          <w:rFonts w:ascii="Times New Roman" w:hAnsi="Times New Roman"/>
          <w:sz w:val="24"/>
          <w:szCs w:val="24"/>
        </w:rPr>
        <w:t>of law to a public body,’ verbally or in writing.</w:t>
      </w:r>
    </w:p>
    <w:p w14:paraId="36795385" w14:textId="77777777" w:rsidR="002E3928" w:rsidRPr="00850F47" w:rsidRDefault="002E3928" w:rsidP="002E3928">
      <w:pPr>
        <w:pStyle w:val="NoSpacing"/>
        <w:ind w:left="720"/>
        <w:rPr>
          <w:rFonts w:ascii="Times New Roman" w:hAnsi="Times New Roman"/>
          <w:sz w:val="24"/>
          <w:szCs w:val="24"/>
        </w:rPr>
      </w:pPr>
    </w:p>
    <w:p w14:paraId="6785EF87" w14:textId="77777777" w:rsidR="002E3928" w:rsidRPr="00850F47" w:rsidRDefault="002E3928" w:rsidP="002E3928">
      <w:pPr>
        <w:pStyle w:val="NoSpacing"/>
        <w:ind w:left="720"/>
        <w:rPr>
          <w:rFonts w:ascii="Times New Roman" w:hAnsi="Times New Roman"/>
          <w:sz w:val="24"/>
          <w:szCs w:val="24"/>
        </w:rPr>
      </w:pPr>
      <w:r w:rsidRPr="00850F47">
        <w:rPr>
          <w:rFonts w:ascii="Times New Roman" w:hAnsi="Times New Roman"/>
          <w:sz w:val="24"/>
          <w:szCs w:val="24"/>
        </w:rPr>
        <w:t>***</w:t>
      </w:r>
    </w:p>
    <w:p w14:paraId="1843028F" w14:textId="77777777" w:rsidR="002E3928" w:rsidRPr="00850F47" w:rsidRDefault="002E3928" w:rsidP="002E3928">
      <w:pPr>
        <w:pStyle w:val="NoSpacing"/>
        <w:ind w:firstLine="720"/>
        <w:rPr>
          <w:rFonts w:ascii="Times New Roman" w:hAnsi="Times New Roman"/>
          <w:sz w:val="24"/>
          <w:szCs w:val="24"/>
        </w:rPr>
      </w:pPr>
      <w:r w:rsidRPr="00850F47">
        <w:rPr>
          <w:rFonts w:ascii="Times New Roman" w:hAnsi="Times New Roman"/>
          <w:sz w:val="24"/>
          <w:szCs w:val="24"/>
        </w:rPr>
        <w:t>In this case, plaintiff reported twice about poorly maintained tires. It is undisputed that</w:t>
      </w:r>
    </w:p>
    <w:p w14:paraId="5DC5ECBB" w14:textId="77777777" w:rsidR="002E3928" w:rsidRPr="00850F47" w:rsidRDefault="002E3928" w:rsidP="002E3928">
      <w:pPr>
        <w:pStyle w:val="NoSpacing"/>
        <w:ind w:firstLine="720"/>
        <w:rPr>
          <w:rFonts w:ascii="Times New Roman" w:hAnsi="Times New Roman"/>
          <w:sz w:val="24"/>
          <w:szCs w:val="24"/>
        </w:rPr>
      </w:pPr>
      <w:proofErr w:type="gramStart"/>
      <w:r w:rsidRPr="00850F47">
        <w:rPr>
          <w:rFonts w:ascii="Times New Roman" w:hAnsi="Times New Roman"/>
          <w:sz w:val="24"/>
          <w:szCs w:val="24"/>
        </w:rPr>
        <w:t>both</w:t>
      </w:r>
      <w:proofErr w:type="gramEnd"/>
      <w:r w:rsidRPr="00850F47">
        <w:rPr>
          <w:rFonts w:ascii="Times New Roman" w:hAnsi="Times New Roman"/>
          <w:sz w:val="24"/>
          <w:szCs w:val="24"/>
        </w:rPr>
        <w:t xml:space="preserve"> of those reports constitute a protected activity under the WPA.</w:t>
      </w:r>
    </w:p>
    <w:p w14:paraId="0D17B866" w14:textId="77777777" w:rsidR="002E3928" w:rsidRPr="00850F47" w:rsidRDefault="002E3928" w:rsidP="002E3928">
      <w:pPr>
        <w:pStyle w:val="NoSpacing"/>
        <w:ind w:firstLine="720"/>
        <w:rPr>
          <w:rFonts w:ascii="Times New Roman" w:hAnsi="Times New Roman"/>
          <w:sz w:val="24"/>
          <w:szCs w:val="24"/>
        </w:rPr>
      </w:pPr>
    </w:p>
    <w:p w14:paraId="6209DB33" w14:textId="77777777" w:rsidR="002E3928" w:rsidRPr="00850F47" w:rsidRDefault="002E3928" w:rsidP="002E3928">
      <w:pPr>
        <w:pStyle w:val="NoSpacing"/>
        <w:ind w:firstLine="720"/>
        <w:rPr>
          <w:rFonts w:ascii="Times New Roman" w:hAnsi="Times New Roman"/>
          <w:sz w:val="24"/>
          <w:szCs w:val="24"/>
        </w:rPr>
      </w:pPr>
      <w:r w:rsidRPr="00850F47">
        <w:rPr>
          <w:rFonts w:ascii="Times New Roman" w:hAnsi="Times New Roman"/>
          <w:sz w:val="24"/>
          <w:szCs w:val="24"/>
        </w:rPr>
        <w:t>***</w:t>
      </w:r>
    </w:p>
    <w:p w14:paraId="2F2B0B92" w14:textId="77777777" w:rsidR="002E3928" w:rsidRPr="00850F47" w:rsidRDefault="002E3928" w:rsidP="002E3928">
      <w:pPr>
        <w:pStyle w:val="NoSpacing"/>
        <w:ind w:left="720"/>
        <w:rPr>
          <w:rFonts w:ascii="Times New Roman" w:hAnsi="Times New Roman"/>
          <w:sz w:val="24"/>
          <w:szCs w:val="24"/>
        </w:rPr>
      </w:pPr>
      <w:r w:rsidRPr="00850F47">
        <w:rPr>
          <w:rFonts w:ascii="Times New Roman" w:hAnsi="Times New Roman"/>
          <w:sz w:val="24"/>
          <w:szCs w:val="24"/>
        </w:rPr>
        <w:t xml:space="preserve">There is no clear reason why Jones fired plaintiff but did not take any disciplinary actions against Granger, even though Granger </w:t>
      </w:r>
      <w:proofErr w:type="gramStart"/>
      <w:r w:rsidRPr="00850F47">
        <w:rPr>
          <w:rFonts w:ascii="Times New Roman" w:hAnsi="Times New Roman"/>
          <w:sz w:val="24"/>
          <w:szCs w:val="24"/>
        </w:rPr>
        <w:t>actually took</w:t>
      </w:r>
      <w:proofErr w:type="gramEnd"/>
      <w:r w:rsidRPr="00850F47">
        <w:rPr>
          <w:rFonts w:ascii="Times New Roman" w:hAnsi="Times New Roman"/>
          <w:sz w:val="24"/>
          <w:szCs w:val="24"/>
        </w:rPr>
        <w:t xml:space="preserve"> extra steps and indicated her plan to use private and sensitive information against her colleague, albeit jokingly. If a party submits documentary evidence to support his or her position, the jury should decide issues of </w:t>
      </w:r>
      <w:proofErr w:type="gramStart"/>
      <w:r w:rsidRPr="00850F47">
        <w:rPr>
          <w:rFonts w:ascii="Times New Roman" w:hAnsi="Times New Roman"/>
          <w:sz w:val="24"/>
          <w:szCs w:val="24"/>
        </w:rPr>
        <w:t>credibility.”</w:t>
      </w:r>
      <w:proofErr w:type="gramEnd"/>
    </w:p>
    <w:p w14:paraId="2167A3ED" w14:textId="77777777" w:rsidR="002E3928" w:rsidRPr="00850F47" w:rsidRDefault="002E3928" w:rsidP="002E3928">
      <w:pPr>
        <w:pStyle w:val="NoSpacing"/>
        <w:ind w:left="720"/>
        <w:rPr>
          <w:rFonts w:ascii="Times New Roman" w:hAnsi="Times New Roman"/>
          <w:sz w:val="24"/>
          <w:szCs w:val="24"/>
        </w:rPr>
      </w:pPr>
    </w:p>
    <w:p w14:paraId="2008844E" w14:textId="4F1FDF64" w:rsidR="002E3928" w:rsidRPr="00850F47" w:rsidRDefault="002E3928" w:rsidP="002E3928">
      <w:pPr>
        <w:pStyle w:val="NoSpacing"/>
        <w:rPr>
          <w:rFonts w:ascii="Times New Roman" w:hAnsi="Times New Roman"/>
          <w:b/>
          <w:bCs/>
          <w:sz w:val="24"/>
          <w:szCs w:val="24"/>
        </w:rPr>
      </w:pPr>
      <w:r w:rsidRPr="00850F47">
        <w:rPr>
          <w:rFonts w:ascii="Times New Roman" w:hAnsi="Times New Roman"/>
          <w:b/>
          <w:sz w:val="24"/>
          <w:szCs w:val="24"/>
        </w:rPr>
        <w:t>Legal Lesson Learned:  Employees, including “at will” employees</w:t>
      </w:r>
      <w:r w:rsidRPr="00850F47">
        <w:rPr>
          <w:rFonts w:ascii="Times New Roman" w:hAnsi="Times New Roman"/>
          <w:b/>
          <w:bCs/>
          <w:sz w:val="24"/>
          <w:szCs w:val="24"/>
        </w:rPr>
        <w:t>,</w:t>
      </w:r>
      <w:r w:rsidRPr="00850F47">
        <w:rPr>
          <w:rFonts w:ascii="Times New Roman" w:hAnsi="Times New Roman"/>
          <w:b/>
          <w:sz w:val="24"/>
          <w:szCs w:val="24"/>
        </w:rPr>
        <w:t xml:space="preserve"> are</w:t>
      </w:r>
      <w:r w:rsidR="00850F47">
        <w:rPr>
          <w:rFonts w:ascii="Times New Roman" w:hAnsi="Times New Roman"/>
          <w:b/>
          <w:sz w:val="24"/>
          <w:szCs w:val="24"/>
        </w:rPr>
        <w:t xml:space="preserve"> covered</w:t>
      </w:r>
      <w:r w:rsidRPr="00850F47">
        <w:rPr>
          <w:rFonts w:ascii="Times New Roman" w:hAnsi="Times New Roman"/>
          <w:b/>
          <w:sz w:val="24"/>
          <w:szCs w:val="24"/>
        </w:rPr>
        <w:t xml:space="preserve"> under the state’s Whistleblower’s Protection Act</w:t>
      </w:r>
      <w:r w:rsidRPr="00850F47">
        <w:rPr>
          <w:rFonts w:ascii="Times New Roman" w:hAnsi="Times New Roman"/>
          <w:b/>
          <w:bCs/>
          <w:sz w:val="24"/>
          <w:szCs w:val="24"/>
        </w:rPr>
        <w:t>.</w:t>
      </w:r>
    </w:p>
    <w:p w14:paraId="57B112F2" w14:textId="77777777" w:rsidR="0063723E" w:rsidRPr="00850F47" w:rsidRDefault="0063723E" w:rsidP="00F91F9F">
      <w:pPr>
        <w:pStyle w:val="NoSpacing"/>
        <w:rPr>
          <w:rFonts w:ascii="Times New Roman" w:hAnsi="Times New Roman"/>
          <w:sz w:val="24"/>
          <w:szCs w:val="24"/>
        </w:rPr>
      </w:pPr>
    </w:p>
    <w:p w14:paraId="77A11727" w14:textId="77777777" w:rsidR="00921B8A" w:rsidRDefault="00921B8A" w:rsidP="00F91F9F">
      <w:pPr>
        <w:pStyle w:val="NoSpacing"/>
        <w:rPr>
          <w:rFonts w:ascii="Arial Black" w:hAnsi="Arial Black"/>
          <w:sz w:val="24"/>
          <w:szCs w:val="24"/>
        </w:rPr>
      </w:pPr>
    </w:p>
    <w:p w14:paraId="41FAEF5D" w14:textId="77777777" w:rsidR="00921B8A" w:rsidRDefault="00921B8A" w:rsidP="00F91F9F">
      <w:pPr>
        <w:pStyle w:val="NoSpacing"/>
        <w:rPr>
          <w:rFonts w:ascii="Arial Black" w:hAnsi="Arial Black"/>
          <w:sz w:val="24"/>
          <w:szCs w:val="24"/>
        </w:rPr>
      </w:pPr>
    </w:p>
    <w:p w14:paraId="414A2F96" w14:textId="7A0236BD" w:rsidR="00034955" w:rsidRDefault="00034955" w:rsidP="00F91F9F">
      <w:pPr>
        <w:pStyle w:val="NoSpacing"/>
        <w:rPr>
          <w:rFonts w:ascii="Arial Black" w:hAnsi="Arial Black"/>
          <w:sz w:val="24"/>
          <w:szCs w:val="24"/>
        </w:rPr>
      </w:pPr>
      <w:r>
        <w:rPr>
          <w:rFonts w:ascii="Arial Black" w:hAnsi="Arial Black"/>
          <w:sz w:val="24"/>
          <w:szCs w:val="24"/>
        </w:rPr>
        <w:t>16-118</w:t>
      </w:r>
    </w:p>
    <w:p w14:paraId="3EDBF3D1" w14:textId="77777777" w:rsidR="00034955" w:rsidRDefault="00034955" w:rsidP="00F91F9F">
      <w:pPr>
        <w:pStyle w:val="NoSpacing"/>
        <w:rPr>
          <w:rFonts w:ascii="Arial Black" w:hAnsi="Arial Black"/>
          <w:sz w:val="24"/>
          <w:szCs w:val="24"/>
        </w:rPr>
      </w:pPr>
    </w:p>
    <w:p w14:paraId="01F143A2" w14:textId="77777777" w:rsidR="00512D69" w:rsidRPr="00CF26B4" w:rsidRDefault="00512D69" w:rsidP="00512D69">
      <w:pPr>
        <w:rPr>
          <w:rFonts w:ascii="Arial Black" w:hAnsi="Arial Black"/>
          <w:b/>
          <w:sz w:val="28"/>
          <w:szCs w:val="28"/>
        </w:rPr>
      </w:pPr>
      <w:r>
        <w:rPr>
          <w:rFonts w:ascii="Arial Black" w:hAnsi="Arial Black"/>
          <w:b/>
          <w:sz w:val="28"/>
          <w:szCs w:val="28"/>
        </w:rPr>
        <w:t>PA: AIR MEDICAL PILOT FIRED – NO PRE-FLIGHT CHECKLIST – “AT WILL” – VERY LARGE JURY VERDICT SET ASIDE</w:t>
      </w:r>
    </w:p>
    <w:p w14:paraId="1FBC5992" w14:textId="77777777" w:rsidR="00512D69" w:rsidRPr="006F7539" w:rsidRDefault="00512D69" w:rsidP="00512D69">
      <w:pPr>
        <w:pStyle w:val="NoSpacing"/>
        <w:rPr>
          <w:rFonts w:ascii="Times New Roman" w:hAnsi="Times New Roman"/>
          <w:sz w:val="24"/>
          <w:szCs w:val="24"/>
        </w:rPr>
      </w:pPr>
      <w:r w:rsidRPr="006F7539">
        <w:rPr>
          <w:rFonts w:ascii="Times New Roman" w:hAnsi="Times New Roman"/>
          <w:sz w:val="24"/>
          <w:szCs w:val="24"/>
        </w:rPr>
        <w:t xml:space="preserve">On Nov. 18, 2024, in </w:t>
      </w:r>
      <w:r w:rsidRPr="006F7539">
        <w:rPr>
          <w:rFonts w:ascii="Times New Roman" w:hAnsi="Times New Roman"/>
          <w:sz w:val="24"/>
          <w:szCs w:val="24"/>
          <w:u w:val="single"/>
        </w:rPr>
        <w:t>Patrick DeVore v. Metro Aviation, Inc., et al</w:t>
      </w:r>
      <w:r w:rsidRPr="006F7539">
        <w:rPr>
          <w:rFonts w:ascii="Times New Roman" w:hAnsi="Times New Roman"/>
          <w:sz w:val="24"/>
          <w:szCs w:val="24"/>
        </w:rPr>
        <w:t xml:space="preserve">., the Superior Court of Pennsylvania held (3 to 0) that the pilot was properly fired.  The Court wrote: “[T]he trial court erred in allowing DeVore to invoke the public policy exception and pursue a wrongful termination claim under the facts of this case. *** The jury awarded DeVore $1,142,582.00 in economic damages, as well as non-economic damages in the amounts of $500,000.000 for harm to reputation, $300,000.00 for pain and suffering, $300,000.00 for  embarrassment and humiliation, and $257,418.00 for loss of the ability to enjoy the pleasures of </w:t>
      </w:r>
      <w:proofErr w:type="gramStart"/>
      <w:r w:rsidRPr="006F7539">
        <w:rPr>
          <w:rFonts w:ascii="Times New Roman" w:hAnsi="Times New Roman"/>
          <w:sz w:val="24"/>
          <w:szCs w:val="24"/>
        </w:rPr>
        <w:t>life.”</w:t>
      </w:r>
      <w:proofErr w:type="gramEnd"/>
    </w:p>
    <w:p w14:paraId="17C506F7" w14:textId="77777777" w:rsidR="00512D69" w:rsidRPr="006F7539" w:rsidRDefault="00512D69" w:rsidP="00512D69">
      <w:pPr>
        <w:rPr>
          <w:rFonts w:ascii="Times New Roman" w:hAnsi="Times New Roman"/>
          <w:bCs/>
          <w:sz w:val="24"/>
          <w:szCs w:val="24"/>
        </w:rPr>
      </w:pPr>
      <w:hyperlink r:id="rId2552" w:history="1">
        <w:r w:rsidRPr="006F7539">
          <w:rPr>
            <w:rStyle w:val="Hyperlink"/>
            <w:rFonts w:ascii="Times New Roman" w:hAnsi="Times New Roman"/>
            <w:sz w:val="24"/>
            <w:szCs w:val="24"/>
          </w:rPr>
          <w:t>https://www.pacourts.us/assets/opinions/Superior/out/J-A22023-23o%20-%20106151918288524284.pdf?cb=1</w:t>
        </w:r>
      </w:hyperlink>
      <w:r w:rsidRPr="006F7539">
        <w:rPr>
          <w:rFonts w:ascii="Times New Roman" w:hAnsi="Times New Roman"/>
          <w:sz w:val="24"/>
          <w:szCs w:val="24"/>
        </w:rPr>
        <w:t xml:space="preserve"> </w:t>
      </w:r>
    </w:p>
    <w:p w14:paraId="35AF606C" w14:textId="5340E7B7" w:rsidR="006F7539" w:rsidRPr="006F7539" w:rsidRDefault="006F7539" w:rsidP="006F7539">
      <w:pPr>
        <w:pStyle w:val="NoSpacing"/>
        <w:rPr>
          <w:rFonts w:ascii="Times New Roman" w:hAnsi="Times New Roman"/>
          <w:b/>
          <w:bCs/>
          <w:sz w:val="24"/>
          <w:szCs w:val="24"/>
        </w:rPr>
      </w:pPr>
      <w:r w:rsidRPr="006F7539">
        <w:rPr>
          <w:rFonts w:ascii="Times New Roman" w:hAnsi="Times New Roman"/>
          <w:b/>
          <w:sz w:val="24"/>
          <w:szCs w:val="24"/>
        </w:rPr>
        <w:t xml:space="preserve">Legal Lesson Learned:  The pilot was an “at will” employee and was terminated for allegedly failing to perform a pre-flight checklist.   </w:t>
      </w:r>
    </w:p>
    <w:p w14:paraId="4E253BE1" w14:textId="77777777" w:rsidR="00034955" w:rsidRDefault="00034955" w:rsidP="00F91F9F">
      <w:pPr>
        <w:pStyle w:val="NoSpacing"/>
        <w:rPr>
          <w:rFonts w:ascii="Arial Black" w:hAnsi="Arial Black"/>
          <w:sz w:val="24"/>
          <w:szCs w:val="24"/>
        </w:rPr>
      </w:pPr>
    </w:p>
    <w:p w14:paraId="40EB049C" w14:textId="77777777" w:rsidR="00034955" w:rsidRDefault="00034955" w:rsidP="00F91F9F">
      <w:pPr>
        <w:pStyle w:val="NoSpacing"/>
        <w:rPr>
          <w:rFonts w:ascii="Arial Black" w:hAnsi="Arial Black"/>
          <w:sz w:val="24"/>
          <w:szCs w:val="24"/>
        </w:rPr>
      </w:pPr>
    </w:p>
    <w:p w14:paraId="267AB9E4" w14:textId="0576FD96" w:rsidR="001A19F9" w:rsidRDefault="001A19F9" w:rsidP="00F91F9F">
      <w:pPr>
        <w:pStyle w:val="NoSpacing"/>
        <w:rPr>
          <w:rFonts w:ascii="Arial Black" w:hAnsi="Arial Black"/>
          <w:sz w:val="24"/>
          <w:szCs w:val="24"/>
        </w:rPr>
      </w:pPr>
      <w:r>
        <w:rPr>
          <w:rFonts w:ascii="Arial Black" w:hAnsi="Arial Black"/>
          <w:sz w:val="24"/>
          <w:szCs w:val="24"/>
        </w:rPr>
        <w:t>16-117</w:t>
      </w:r>
    </w:p>
    <w:p w14:paraId="1199C76C" w14:textId="77777777" w:rsidR="00034955" w:rsidRDefault="00034955" w:rsidP="001A19F9">
      <w:pPr>
        <w:pStyle w:val="NoSpacing"/>
        <w:rPr>
          <w:rFonts w:ascii="Arial Black" w:hAnsi="Arial Black"/>
          <w:sz w:val="28"/>
          <w:szCs w:val="28"/>
        </w:rPr>
      </w:pPr>
    </w:p>
    <w:p w14:paraId="734D687A" w14:textId="17256B80" w:rsidR="001A19F9" w:rsidRDefault="001A19F9" w:rsidP="001A19F9">
      <w:pPr>
        <w:pStyle w:val="NoSpacing"/>
        <w:rPr>
          <w:rFonts w:ascii="Arial Black" w:hAnsi="Arial Black"/>
          <w:sz w:val="28"/>
          <w:szCs w:val="28"/>
        </w:rPr>
      </w:pPr>
      <w:r>
        <w:rPr>
          <w:rFonts w:ascii="Arial Black" w:hAnsi="Arial Black"/>
          <w:sz w:val="28"/>
          <w:szCs w:val="28"/>
        </w:rPr>
        <w:t>MI: FIREFIGHTER HAD SEX WITH 14-YEAR-OLD GIRL – FIRE CHIEF’S DAUGHTER – TO PRISON – 180 TO 540 MONTHS</w:t>
      </w:r>
    </w:p>
    <w:p w14:paraId="7BADFD1D" w14:textId="77777777" w:rsidR="001A19F9" w:rsidRDefault="001A19F9" w:rsidP="001A19F9">
      <w:pPr>
        <w:pStyle w:val="NoSpacing"/>
      </w:pPr>
    </w:p>
    <w:p w14:paraId="5CD437D8" w14:textId="77777777" w:rsidR="001A19F9" w:rsidRPr="00034955" w:rsidRDefault="001A19F9" w:rsidP="001A19F9">
      <w:pPr>
        <w:pStyle w:val="NoSpacing"/>
        <w:rPr>
          <w:rFonts w:ascii="Times New Roman" w:hAnsi="Times New Roman"/>
          <w:sz w:val="24"/>
          <w:szCs w:val="24"/>
        </w:rPr>
      </w:pPr>
      <w:r w:rsidRPr="00034955">
        <w:rPr>
          <w:rFonts w:ascii="Times New Roman" w:hAnsi="Times New Roman"/>
          <w:sz w:val="24"/>
          <w:szCs w:val="24"/>
        </w:rPr>
        <w:t xml:space="preserve">On Nov. 18, 2024, in </w:t>
      </w:r>
      <w:r w:rsidRPr="00034955">
        <w:rPr>
          <w:rFonts w:ascii="Times New Roman" w:hAnsi="Times New Roman"/>
          <w:sz w:val="24"/>
          <w:szCs w:val="24"/>
          <w:u w:val="single"/>
        </w:rPr>
        <w:t>People of State of Michigan v. Caleb Zechariah-Lee Kimel</w:t>
      </w:r>
      <w:r w:rsidRPr="00034955">
        <w:rPr>
          <w:rFonts w:ascii="Times New Roman" w:hAnsi="Times New Roman"/>
          <w:sz w:val="24"/>
          <w:szCs w:val="24"/>
        </w:rPr>
        <w:t xml:space="preserve">, the Court of Appeals of Michigan held (3 to 0; unpublished decision) that trial court judge properly sentenced the defendant to prison.  The Court wrote: “The trial court stated that it wanted defendant to think about how ‘for just a couple of moments of selfish gratification [he had] caused this child a lifetime of pain,’ she would never forget what defendant had done, and she would ‘need help for the rest of her life.’ … Accordingly, the trial court sentenced defendant, within the guidelines, to 180 to 540 months in prison for the CSC-I [criminal sexual conduct] conviction and 71 to 180 months in prison for the CSC-II convictions.” </w:t>
      </w:r>
      <w:hyperlink r:id="rId2553" w:history="1">
        <w:r w:rsidRPr="00034955">
          <w:rPr>
            <w:rStyle w:val="Hyperlink"/>
            <w:rFonts w:ascii="Times New Roman" w:hAnsi="Times New Roman"/>
            <w:sz w:val="24"/>
            <w:szCs w:val="24"/>
          </w:rPr>
          <w:t>https://cases.justia.com/michigan/court-of-appeals-unpublished/2024-365464.pdf?ts=1732024807</w:t>
        </w:r>
      </w:hyperlink>
      <w:r w:rsidRPr="00034955">
        <w:rPr>
          <w:rFonts w:ascii="Times New Roman" w:hAnsi="Times New Roman"/>
          <w:sz w:val="24"/>
          <w:szCs w:val="24"/>
        </w:rPr>
        <w:t xml:space="preserve"> </w:t>
      </w:r>
    </w:p>
    <w:p w14:paraId="207CEAEE" w14:textId="77777777" w:rsidR="001A19F9" w:rsidRPr="00034955" w:rsidRDefault="001A19F9" w:rsidP="00F91F9F">
      <w:pPr>
        <w:pStyle w:val="NoSpacing"/>
        <w:rPr>
          <w:rFonts w:ascii="Times New Roman" w:hAnsi="Times New Roman"/>
          <w:sz w:val="24"/>
          <w:szCs w:val="24"/>
        </w:rPr>
      </w:pPr>
    </w:p>
    <w:p w14:paraId="0E14CACB" w14:textId="77777777" w:rsidR="00034955" w:rsidRPr="00034955" w:rsidRDefault="00034955" w:rsidP="00034955">
      <w:pPr>
        <w:pStyle w:val="NoSpacing"/>
        <w:rPr>
          <w:rFonts w:ascii="Times New Roman" w:hAnsi="Times New Roman"/>
          <w:b/>
          <w:bCs/>
          <w:sz w:val="24"/>
          <w:szCs w:val="24"/>
        </w:rPr>
      </w:pPr>
      <w:r w:rsidRPr="00034955">
        <w:rPr>
          <w:rFonts w:ascii="Times New Roman" w:hAnsi="Times New Roman"/>
          <w:b/>
          <w:sz w:val="24"/>
          <w:szCs w:val="24"/>
        </w:rPr>
        <w:t xml:space="preserve">Legal Lesson Learned: Firefighter was properly sentenced to prison.  </w:t>
      </w:r>
    </w:p>
    <w:p w14:paraId="33E25CF4" w14:textId="77777777" w:rsidR="00034955" w:rsidRPr="00034955" w:rsidRDefault="00034955" w:rsidP="00F91F9F">
      <w:pPr>
        <w:pStyle w:val="NoSpacing"/>
        <w:rPr>
          <w:rFonts w:ascii="Times New Roman" w:hAnsi="Times New Roman"/>
          <w:sz w:val="24"/>
          <w:szCs w:val="24"/>
        </w:rPr>
      </w:pPr>
    </w:p>
    <w:p w14:paraId="48A461C4" w14:textId="77777777" w:rsidR="001A19F9" w:rsidRDefault="001A19F9" w:rsidP="00F91F9F">
      <w:pPr>
        <w:pStyle w:val="NoSpacing"/>
        <w:rPr>
          <w:rFonts w:ascii="Arial Black" w:hAnsi="Arial Black"/>
          <w:sz w:val="24"/>
          <w:szCs w:val="24"/>
        </w:rPr>
      </w:pPr>
    </w:p>
    <w:p w14:paraId="0160177C" w14:textId="77777777" w:rsidR="001A19F9" w:rsidRDefault="001A19F9" w:rsidP="00F91F9F">
      <w:pPr>
        <w:pStyle w:val="NoSpacing"/>
        <w:rPr>
          <w:rFonts w:ascii="Arial Black" w:hAnsi="Arial Black"/>
          <w:sz w:val="24"/>
          <w:szCs w:val="24"/>
        </w:rPr>
      </w:pPr>
    </w:p>
    <w:p w14:paraId="3A87ED5C" w14:textId="654774FE" w:rsidR="004E152C" w:rsidRDefault="004E152C" w:rsidP="00F91F9F">
      <w:pPr>
        <w:pStyle w:val="NoSpacing"/>
        <w:rPr>
          <w:rFonts w:ascii="Arial Black" w:hAnsi="Arial Black"/>
          <w:sz w:val="24"/>
          <w:szCs w:val="24"/>
        </w:rPr>
      </w:pPr>
      <w:r>
        <w:rPr>
          <w:rFonts w:ascii="Arial Black" w:hAnsi="Arial Black"/>
          <w:sz w:val="24"/>
          <w:szCs w:val="24"/>
        </w:rPr>
        <w:t>16-116</w:t>
      </w:r>
    </w:p>
    <w:p w14:paraId="569AC362" w14:textId="77777777" w:rsidR="004E152C" w:rsidRDefault="004E152C" w:rsidP="00F91F9F">
      <w:pPr>
        <w:pStyle w:val="NoSpacing"/>
        <w:rPr>
          <w:rFonts w:ascii="Arial Black" w:hAnsi="Arial Black"/>
          <w:sz w:val="24"/>
          <w:szCs w:val="24"/>
        </w:rPr>
      </w:pPr>
    </w:p>
    <w:p w14:paraId="2B59CC4E" w14:textId="77777777" w:rsidR="00684C64" w:rsidRPr="00D60720" w:rsidRDefault="00684C64" w:rsidP="00684C64">
      <w:pPr>
        <w:pStyle w:val="NoSpacing"/>
        <w:rPr>
          <w:rFonts w:ascii="Times New Roman" w:hAnsi="Times New Roman"/>
          <w:b/>
          <w:bCs/>
          <w:sz w:val="24"/>
          <w:szCs w:val="24"/>
        </w:rPr>
      </w:pPr>
      <w:r w:rsidRPr="00D60720">
        <w:rPr>
          <w:rFonts w:ascii="Times New Roman" w:hAnsi="Times New Roman"/>
          <w:b/>
          <w:bCs/>
          <w:sz w:val="24"/>
          <w:szCs w:val="24"/>
        </w:rPr>
        <w:t xml:space="preserve">NY: NO DEFAMATION -  REPORTED FF USING TOWING CO. FD BUSINESS - THEFT BUS SEAT / CATALYTIC CONVERTER </w:t>
      </w:r>
    </w:p>
    <w:p w14:paraId="2EFF8D4D" w14:textId="77777777" w:rsidR="00684C64" w:rsidRPr="00D60720" w:rsidRDefault="00684C64" w:rsidP="00684C64">
      <w:pPr>
        <w:pStyle w:val="NoSpacing"/>
        <w:rPr>
          <w:rFonts w:ascii="Times New Roman" w:hAnsi="Times New Roman"/>
          <w:sz w:val="24"/>
          <w:szCs w:val="24"/>
        </w:rPr>
      </w:pPr>
    </w:p>
    <w:p w14:paraId="1CDC88F5" w14:textId="77777777" w:rsidR="00684C64" w:rsidRPr="00D60720" w:rsidRDefault="00684C64" w:rsidP="00684C64">
      <w:pPr>
        <w:pStyle w:val="NoSpacing"/>
        <w:rPr>
          <w:rFonts w:ascii="Times New Roman" w:hAnsi="Times New Roman"/>
          <w:sz w:val="24"/>
          <w:szCs w:val="24"/>
        </w:rPr>
      </w:pPr>
      <w:r w:rsidRPr="00D60720">
        <w:rPr>
          <w:rFonts w:ascii="Times New Roman" w:hAnsi="Times New Roman"/>
          <w:sz w:val="24"/>
          <w:szCs w:val="24"/>
        </w:rPr>
        <w:t xml:space="preserve">On Oct. 17, 2024, in </w:t>
      </w:r>
      <w:r w:rsidRPr="00D60720">
        <w:rPr>
          <w:rFonts w:ascii="Times New Roman" w:hAnsi="Times New Roman"/>
          <w:sz w:val="24"/>
          <w:szCs w:val="24"/>
          <w:u w:val="single"/>
        </w:rPr>
        <w:t>Timothy Halpin v. George M. Banks, et al</w:t>
      </w:r>
      <w:r w:rsidRPr="00D60720">
        <w:rPr>
          <w:rFonts w:ascii="Times New Roman" w:hAnsi="Times New Roman"/>
          <w:sz w:val="24"/>
          <w:szCs w:val="24"/>
        </w:rPr>
        <w:t xml:space="preserve">., the New York Appellate Division, Third Department, held (5 to 0): “Appeal from an order of the Supreme Court (Kevin R. Bryant, J.), entered May 26, </w:t>
      </w:r>
      <w:proofErr w:type="gramStart"/>
      <w:r w:rsidRPr="00D60720">
        <w:rPr>
          <w:rFonts w:ascii="Times New Roman" w:hAnsi="Times New Roman"/>
          <w:sz w:val="24"/>
          <w:szCs w:val="24"/>
        </w:rPr>
        <w:t>2023</w:t>
      </w:r>
      <w:proofErr w:type="gramEnd"/>
      <w:r w:rsidRPr="00D60720">
        <w:rPr>
          <w:rFonts w:ascii="Times New Roman" w:hAnsi="Times New Roman"/>
          <w:sz w:val="24"/>
          <w:szCs w:val="24"/>
        </w:rPr>
        <w:t xml:space="preserve"> in Ulster County, which granted defendants' motion for summary judgment dismissing the complaint. *** Appeal from an order of the Supreme Court (Kevin R. Bryant, J.), entered May 26, </w:t>
      </w:r>
      <w:proofErr w:type="gramStart"/>
      <w:r w:rsidRPr="00D60720">
        <w:rPr>
          <w:rFonts w:ascii="Times New Roman" w:hAnsi="Times New Roman"/>
          <w:sz w:val="24"/>
          <w:szCs w:val="24"/>
        </w:rPr>
        <w:t>2023</w:t>
      </w:r>
      <w:proofErr w:type="gramEnd"/>
      <w:r w:rsidRPr="00D60720">
        <w:rPr>
          <w:rFonts w:ascii="Times New Roman" w:hAnsi="Times New Roman"/>
          <w:sz w:val="24"/>
          <w:szCs w:val="24"/>
        </w:rPr>
        <w:t xml:space="preserve"> in Ulster County, which granted defendants' motion for summary judgment dismissing the complaint. *** Supreme Court also properly dismissed the complaint against PEFD. The Board investigated plaintiff's complaint against Banks and is vested with discretion to determine if disciplinary action should be taken or if the matter should be closed (</w:t>
      </w:r>
      <w:r w:rsidRPr="00D60720">
        <w:rPr>
          <w:rFonts w:ascii="Times New Roman" w:hAnsi="Times New Roman"/>
          <w:i/>
          <w:iCs/>
          <w:sz w:val="24"/>
          <w:szCs w:val="24"/>
        </w:rPr>
        <w:t xml:space="preserve">see </w:t>
      </w:r>
      <w:r w:rsidRPr="00D60720">
        <w:rPr>
          <w:rFonts w:ascii="Times New Roman" w:hAnsi="Times New Roman"/>
          <w:sz w:val="24"/>
          <w:szCs w:val="24"/>
        </w:rPr>
        <w:t>Port Ewen Fire District Personnel Policy § 8).”</w:t>
      </w:r>
    </w:p>
    <w:p w14:paraId="537EEB81" w14:textId="77777777" w:rsidR="00684C64" w:rsidRPr="00D60720" w:rsidRDefault="00684C64" w:rsidP="00684C64">
      <w:pPr>
        <w:pStyle w:val="NoSpacing"/>
        <w:rPr>
          <w:rFonts w:ascii="Times New Roman" w:hAnsi="Times New Roman"/>
          <w:sz w:val="24"/>
          <w:szCs w:val="24"/>
        </w:rPr>
      </w:pPr>
      <w:r w:rsidRPr="00D60720">
        <w:rPr>
          <w:rFonts w:ascii="Times New Roman" w:hAnsi="Times New Roman"/>
          <w:sz w:val="24"/>
          <w:szCs w:val="24"/>
        </w:rPr>
        <w:t xml:space="preserve"> </w:t>
      </w:r>
      <w:hyperlink r:id="rId2554" w:history="1">
        <w:r w:rsidRPr="00D60720">
          <w:rPr>
            <w:rStyle w:val="Hyperlink"/>
            <w:rFonts w:ascii="Times New Roman" w:hAnsi="Times New Roman"/>
            <w:sz w:val="24"/>
            <w:szCs w:val="24"/>
          </w:rPr>
          <w:t>https://law.justia.com/cases/new-york/appellate-division-third-department/2024/cv-23-1185.html</w:t>
        </w:r>
      </w:hyperlink>
      <w:r w:rsidRPr="00D60720">
        <w:rPr>
          <w:rFonts w:ascii="Times New Roman" w:hAnsi="Times New Roman"/>
          <w:sz w:val="24"/>
          <w:szCs w:val="24"/>
        </w:rPr>
        <w:t xml:space="preserve"> </w:t>
      </w:r>
    </w:p>
    <w:p w14:paraId="27CA5DEB" w14:textId="77777777" w:rsidR="000F4991" w:rsidRPr="00D60720" w:rsidRDefault="000F4991" w:rsidP="00684C64">
      <w:pPr>
        <w:pStyle w:val="NoSpacing"/>
        <w:rPr>
          <w:rFonts w:ascii="Times New Roman" w:hAnsi="Times New Roman"/>
          <w:sz w:val="24"/>
          <w:szCs w:val="24"/>
        </w:rPr>
      </w:pPr>
    </w:p>
    <w:p w14:paraId="4315477F" w14:textId="77777777" w:rsidR="000F4991" w:rsidRPr="00D60720" w:rsidRDefault="000F4991" w:rsidP="000F4991">
      <w:pPr>
        <w:pStyle w:val="NoSpacing"/>
        <w:rPr>
          <w:rFonts w:ascii="Times New Roman" w:hAnsi="Times New Roman"/>
          <w:b/>
          <w:bCs/>
          <w:sz w:val="24"/>
          <w:szCs w:val="24"/>
        </w:rPr>
      </w:pPr>
      <w:r w:rsidRPr="00D60720">
        <w:rPr>
          <w:rFonts w:ascii="Times New Roman" w:hAnsi="Times New Roman"/>
          <w:b/>
          <w:sz w:val="24"/>
          <w:szCs w:val="24"/>
        </w:rPr>
        <w:t xml:space="preserve">Legal Lesson Learned:  Qualified privilege when </w:t>
      </w:r>
      <w:r w:rsidRPr="00D60720">
        <w:rPr>
          <w:rFonts w:ascii="Times New Roman" w:hAnsi="Times New Roman"/>
          <w:b/>
          <w:bCs/>
          <w:sz w:val="24"/>
          <w:szCs w:val="24"/>
        </w:rPr>
        <w:t xml:space="preserve">honestly </w:t>
      </w:r>
      <w:r w:rsidRPr="00D60720">
        <w:rPr>
          <w:rFonts w:ascii="Times New Roman" w:hAnsi="Times New Roman"/>
          <w:b/>
          <w:sz w:val="24"/>
          <w:szCs w:val="24"/>
        </w:rPr>
        <w:t xml:space="preserve">reporting possible wrongdoing to Fire Department Board. </w:t>
      </w:r>
    </w:p>
    <w:p w14:paraId="22649F31" w14:textId="77777777" w:rsidR="000F4991" w:rsidRDefault="000F4991" w:rsidP="000F4991">
      <w:pPr>
        <w:pStyle w:val="NoSpacing"/>
        <w:ind w:left="720"/>
      </w:pPr>
    </w:p>
    <w:p w14:paraId="221963C5" w14:textId="77777777" w:rsidR="000F4991" w:rsidRDefault="000F4991" w:rsidP="00684C64">
      <w:pPr>
        <w:pStyle w:val="NoSpacing"/>
      </w:pPr>
    </w:p>
    <w:p w14:paraId="14CB0D18" w14:textId="3DC14767" w:rsidR="004E152C" w:rsidRDefault="004E152C" w:rsidP="00F91F9F">
      <w:pPr>
        <w:pStyle w:val="NoSpacing"/>
        <w:rPr>
          <w:rFonts w:ascii="Arial Black" w:hAnsi="Arial Black"/>
          <w:sz w:val="24"/>
          <w:szCs w:val="24"/>
        </w:rPr>
      </w:pPr>
      <w:r>
        <w:rPr>
          <w:rFonts w:ascii="Arial Black" w:hAnsi="Arial Black"/>
          <w:sz w:val="24"/>
          <w:szCs w:val="24"/>
        </w:rPr>
        <w:t>16-115</w:t>
      </w:r>
    </w:p>
    <w:p w14:paraId="495CABB3" w14:textId="77777777" w:rsidR="004E152C" w:rsidRDefault="004E152C" w:rsidP="00F91F9F">
      <w:pPr>
        <w:pStyle w:val="NoSpacing"/>
        <w:rPr>
          <w:rFonts w:ascii="Arial Black" w:hAnsi="Arial Black"/>
          <w:sz w:val="24"/>
          <w:szCs w:val="24"/>
        </w:rPr>
      </w:pPr>
    </w:p>
    <w:p w14:paraId="4C95D845" w14:textId="3245D586" w:rsidR="0038724B" w:rsidRPr="00182CF1" w:rsidRDefault="0038724B" w:rsidP="0038724B">
      <w:pPr>
        <w:pStyle w:val="NoSpacing"/>
        <w:rPr>
          <w:rFonts w:ascii="Times New Roman" w:hAnsi="Times New Roman"/>
          <w:b/>
          <w:bCs/>
          <w:sz w:val="24"/>
          <w:szCs w:val="24"/>
        </w:rPr>
      </w:pPr>
      <w:r w:rsidRPr="00182CF1">
        <w:rPr>
          <w:rFonts w:ascii="Times New Roman" w:hAnsi="Times New Roman"/>
          <w:b/>
          <w:bCs/>
          <w:sz w:val="24"/>
          <w:szCs w:val="24"/>
        </w:rPr>
        <w:t>UT</w:t>
      </w:r>
      <w:r w:rsidR="00D1140F">
        <w:rPr>
          <w:rFonts w:ascii="Times New Roman" w:hAnsi="Times New Roman"/>
          <w:b/>
          <w:bCs/>
          <w:sz w:val="24"/>
          <w:szCs w:val="24"/>
        </w:rPr>
        <w:t>:</w:t>
      </w:r>
      <w:r w:rsidRPr="00182CF1">
        <w:rPr>
          <w:rFonts w:ascii="Times New Roman" w:hAnsi="Times New Roman"/>
          <w:b/>
          <w:bCs/>
          <w:sz w:val="24"/>
          <w:szCs w:val="24"/>
        </w:rPr>
        <w:t xml:space="preserve"> ASSISTANT FIRE CHIEF – PLED GUITY TO FORCIBLE RAPE OF FEMALE FF – SENTENCED 1-15 YEARS</w:t>
      </w:r>
    </w:p>
    <w:p w14:paraId="2B969AD2" w14:textId="77777777" w:rsidR="0038724B" w:rsidRPr="00182CF1" w:rsidRDefault="0038724B" w:rsidP="0038724B">
      <w:pPr>
        <w:pStyle w:val="NoSpacing"/>
        <w:rPr>
          <w:rFonts w:ascii="Times New Roman" w:hAnsi="Times New Roman"/>
          <w:b/>
          <w:bCs/>
          <w:sz w:val="24"/>
          <w:szCs w:val="24"/>
        </w:rPr>
      </w:pPr>
    </w:p>
    <w:p w14:paraId="4BBE3644" w14:textId="77777777" w:rsidR="0038724B" w:rsidRPr="00182CF1" w:rsidRDefault="0038724B" w:rsidP="0038724B">
      <w:pPr>
        <w:pStyle w:val="NoSpacing"/>
        <w:rPr>
          <w:rFonts w:ascii="Times New Roman" w:hAnsi="Times New Roman"/>
          <w:sz w:val="24"/>
          <w:szCs w:val="24"/>
        </w:rPr>
      </w:pPr>
      <w:r w:rsidRPr="00182CF1">
        <w:rPr>
          <w:rFonts w:ascii="Times New Roman" w:hAnsi="Times New Roman"/>
          <w:sz w:val="24"/>
          <w:szCs w:val="24"/>
        </w:rPr>
        <w:t xml:space="preserve">On Oct. 3, 2024, in  </w:t>
      </w:r>
      <w:r w:rsidRPr="00182CF1">
        <w:rPr>
          <w:rFonts w:ascii="Times New Roman" w:hAnsi="Times New Roman"/>
          <w:sz w:val="24"/>
          <w:szCs w:val="24"/>
          <w:u w:val="single"/>
        </w:rPr>
        <w:t>State of Utah v. Austin James Corry</w:t>
      </w:r>
      <w:r w:rsidRPr="00182CF1">
        <w:rPr>
          <w:rFonts w:ascii="Times New Roman" w:hAnsi="Times New Roman"/>
          <w:sz w:val="24"/>
          <w:szCs w:val="24"/>
        </w:rPr>
        <w:t>. The Utah Court of Appeals held (3 to 0): “Austin James Corry, an assistant fire chief, pled guilty to four counts of forcible sexual abuse of a female firefighter he supervised. In its presentence report, Adult Probation and Parole</w:t>
      </w:r>
    </w:p>
    <w:p w14:paraId="5B34AF96" w14:textId="77777777" w:rsidR="0038724B" w:rsidRPr="00182CF1" w:rsidRDefault="0038724B" w:rsidP="0038724B">
      <w:pPr>
        <w:pStyle w:val="NoSpacing"/>
        <w:rPr>
          <w:rFonts w:ascii="Times New Roman" w:hAnsi="Times New Roman"/>
          <w:sz w:val="24"/>
          <w:szCs w:val="24"/>
        </w:rPr>
      </w:pPr>
      <w:r w:rsidRPr="00182CF1">
        <w:rPr>
          <w:rFonts w:ascii="Times New Roman" w:hAnsi="Times New Roman"/>
          <w:sz w:val="24"/>
          <w:szCs w:val="24"/>
        </w:rPr>
        <w:t>(AP&amp;P) recommended a prison sentence even though the Utah Sentencing Commission’s Adult Sentencing &amp; Release Guidelines recommended that Corry serve up to 210 days in jail and Corry</w:t>
      </w:r>
    </w:p>
    <w:p w14:paraId="0F40E204" w14:textId="77777777" w:rsidR="0038724B" w:rsidRPr="00182CF1" w:rsidRDefault="0038724B" w:rsidP="0038724B">
      <w:pPr>
        <w:pStyle w:val="NoSpacing"/>
        <w:rPr>
          <w:rFonts w:ascii="Times New Roman" w:hAnsi="Times New Roman"/>
          <w:sz w:val="24"/>
          <w:szCs w:val="24"/>
        </w:rPr>
      </w:pPr>
      <w:r w:rsidRPr="00182CF1">
        <w:rPr>
          <w:rFonts w:ascii="Times New Roman" w:hAnsi="Times New Roman"/>
          <w:sz w:val="24"/>
          <w:szCs w:val="24"/>
        </w:rPr>
        <w:t xml:space="preserve">had already served more than 210 days in pretrial detention. *** We discern </w:t>
      </w:r>
      <w:proofErr w:type="gramStart"/>
      <w:r w:rsidRPr="00182CF1">
        <w:rPr>
          <w:rFonts w:ascii="Times New Roman" w:hAnsi="Times New Roman"/>
          <w:sz w:val="24"/>
          <w:szCs w:val="24"/>
        </w:rPr>
        <w:t>either</w:t>
      </w:r>
      <w:proofErr w:type="gramEnd"/>
      <w:r w:rsidRPr="00182CF1">
        <w:rPr>
          <w:rFonts w:ascii="Times New Roman" w:hAnsi="Times New Roman"/>
          <w:sz w:val="24"/>
          <w:szCs w:val="24"/>
        </w:rPr>
        <w:t xml:space="preserve"> no</w:t>
      </w:r>
    </w:p>
    <w:p w14:paraId="472B62BC" w14:textId="77777777" w:rsidR="0038724B" w:rsidRPr="00182CF1" w:rsidRDefault="0038724B" w:rsidP="0038724B">
      <w:pPr>
        <w:pStyle w:val="NoSpacing"/>
        <w:rPr>
          <w:rFonts w:ascii="Times New Roman" w:hAnsi="Times New Roman"/>
          <w:sz w:val="24"/>
          <w:szCs w:val="24"/>
        </w:rPr>
      </w:pPr>
      <w:r w:rsidRPr="00182CF1">
        <w:rPr>
          <w:rFonts w:ascii="Times New Roman" w:hAnsi="Times New Roman"/>
          <w:sz w:val="24"/>
          <w:szCs w:val="24"/>
        </w:rPr>
        <w:t xml:space="preserve">error or no prejudice related to each of these claims and therefore affirm Corry’s sentence.” </w:t>
      </w:r>
    </w:p>
    <w:p w14:paraId="6677915F" w14:textId="77777777" w:rsidR="0038724B" w:rsidRPr="00182CF1" w:rsidRDefault="0038724B" w:rsidP="0038724B">
      <w:pPr>
        <w:pStyle w:val="NoSpacing"/>
        <w:rPr>
          <w:rFonts w:ascii="Times New Roman" w:hAnsi="Times New Roman"/>
          <w:sz w:val="24"/>
          <w:szCs w:val="24"/>
        </w:rPr>
      </w:pPr>
      <w:hyperlink r:id="rId2555" w:history="1">
        <w:r w:rsidRPr="00182CF1">
          <w:rPr>
            <w:rStyle w:val="Hyperlink"/>
            <w:rFonts w:ascii="Times New Roman" w:hAnsi="Times New Roman"/>
            <w:sz w:val="24"/>
            <w:szCs w:val="24"/>
          </w:rPr>
          <w:t>https://cases.justia.com/utah/court-of-appeals-published/2024-20220074-ca.pdf?ts=172806708</w:t>
        </w:r>
      </w:hyperlink>
      <w:r w:rsidRPr="00182CF1">
        <w:rPr>
          <w:rFonts w:ascii="Times New Roman" w:hAnsi="Times New Roman"/>
          <w:sz w:val="24"/>
          <w:szCs w:val="24"/>
        </w:rPr>
        <w:t xml:space="preserve"> </w:t>
      </w:r>
    </w:p>
    <w:p w14:paraId="600A8F14" w14:textId="77777777" w:rsidR="00D60720" w:rsidRPr="00182CF1" w:rsidRDefault="00D60720" w:rsidP="00F91F9F">
      <w:pPr>
        <w:pStyle w:val="NoSpacing"/>
        <w:rPr>
          <w:rFonts w:ascii="Times New Roman" w:hAnsi="Times New Roman"/>
          <w:sz w:val="24"/>
          <w:szCs w:val="24"/>
        </w:rPr>
      </w:pPr>
    </w:p>
    <w:p w14:paraId="1CED42F5" w14:textId="77777777" w:rsidR="00182CF1" w:rsidRPr="00182CF1" w:rsidRDefault="00182CF1" w:rsidP="00182CF1">
      <w:pPr>
        <w:pStyle w:val="NoSpacing"/>
        <w:rPr>
          <w:rFonts w:ascii="Times New Roman" w:hAnsi="Times New Roman"/>
          <w:b/>
          <w:bCs/>
          <w:sz w:val="24"/>
          <w:szCs w:val="24"/>
        </w:rPr>
      </w:pPr>
      <w:r w:rsidRPr="00182CF1">
        <w:rPr>
          <w:rFonts w:ascii="Times New Roman" w:hAnsi="Times New Roman"/>
          <w:b/>
          <w:sz w:val="24"/>
          <w:szCs w:val="24"/>
        </w:rPr>
        <w:t>Legal Lesson Learned: A prison sentence was appropriate for this terrible conduct.</w:t>
      </w:r>
    </w:p>
    <w:p w14:paraId="4170BC1C" w14:textId="77777777" w:rsidR="00182CF1" w:rsidRDefault="00182CF1" w:rsidP="00F91F9F">
      <w:pPr>
        <w:pStyle w:val="NoSpacing"/>
        <w:rPr>
          <w:rFonts w:ascii="Arial Black" w:hAnsi="Arial Black"/>
          <w:sz w:val="24"/>
          <w:szCs w:val="24"/>
        </w:rPr>
      </w:pPr>
    </w:p>
    <w:p w14:paraId="30E88255" w14:textId="77777777" w:rsidR="00D60720" w:rsidRDefault="00D60720" w:rsidP="00F91F9F">
      <w:pPr>
        <w:pStyle w:val="NoSpacing"/>
        <w:rPr>
          <w:rFonts w:ascii="Arial Black" w:hAnsi="Arial Black"/>
          <w:sz w:val="24"/>
          <w:szCs w:val="24"/>
        </w:rPr>
      </w:pPr>
    </w:p>
    <w:p w14:paraId="7EB7C904" w14:textId="101FD985" w:rsidR="004E152C" w:rsidRDefault="004E152C" w:rsidP="00F91F9F">
      <w:pPr>
        <w:pStyle w:val="NoSpacing"/>
        <w:rPr>
          <w:rFonts w:ascii="Arial Black" w:hAnsi="Arial Black"/>
          <w:sz w:val="24"/>
          <w:szCs w:val="24"/>
        </w:rPr>
      </w:pPr>
      <w:r>
        <w:rPr>
          <w:rFonts w:ascii="Arial Black" w:hAnsi="Arial Black"/>
          <w:sz w:val="24"/>
          <w:szCs w:val="24"/>
        </w:rPr>
        <w:t>16-114</w:t>
      </w:r>
    </w:p>
    <w:p w14:paraId="1844E75E" w14:textId="77777777" w:rsidR="004E152C" w:rsidRDefault="004E152C" w:rsidP="00F91F9F">
      <w:pPr>
        <w:pStyle w:val="NoSpacing"/>
        <w:rPr>
          <w:rFonts w:ascii="Arial Black" w:hAnsi="Arial Black"/>
          <w:sz w:val="24"/>
          <w:szCs w:val="24"/>
        </w:rPr>
      </w:pPr>
    </w:p>
    <w:p w14:paraId="34F9FE01" w14:textId="77777777" w:rsidR="00DC3117" w:rsidRPr="00924F58" w:rsidRDefault="00DC3117" w:rsidP="00DC3117">
      <w:pPr>
        <w:pStyle w:val="NoSpacing"/>
        <w:rPr>
          <w:rFonts w:ascii="Times New Roman" w:hAnsi="Times New Roman"/>
          <w:b/>
          <w:bCs/>
          <w:sz w:val="24"/>
          <w:szCs w:val="24"/>
        </w:rPr>
      </w:pPr>
      <w:r w:rsidRPr="00924F58">
        <w:rPr>
          <w:rFonts w:ascii="Times New Roman" w:hAnsi="Times New Roman"/>
          <w:b/>
          <w:bCs/>
          <w:sz w:val="24"/>
          <w:szCs w:val="24"/>
        </w:rPr>
        <w:t>MI: WHISTLEBLOWER PROTECTION ACT – AC FIRED AFTER TOLD FD BOARD - FIRE CHIEF CONDUCT - CASE PROCEED</w:t>
      </w:r>
    </w:p>
    <w:p w14:paraId="75923DBC" w14:textId="77777777" w:rsidR="00DC3117" w:rsidRPr="00924F58" w:rsidRDefault="00DC3117" w:rsidP="00DC3117">
      <w:pPr>
        <w:pStyle w:val="NoSpacing"/>
        <w:rPr>
          <w:rFonts w:ascii="Times New Roman" w:hAnsi="Times New Roman"/>
          <w:b/>
          <w:bCs/>
          <w:sz w:val="24"/>
          <w:szCs w:val="24"/>
        </w:rPr>
      </w:pPr>
    </w:p>
    <w:p w14:paraId="0657392E" w14:textId="77777777" w:rsidR="00DC3117" w:rsidRPr="00924F58" w:rsidRDefault="00DC3117" w:rsidP="00DC3117">
      <w:pPr>
        <w:pStyle w:val="NoSpacing"/>
        <w:rPr>
          <w:rFonts w:ascii="Times New Roman" w:hAnsi="Times New Roman"/>
          <w:sz w:val="24"/>
          <w:szCs w:val="24"/>
        </w:rPr>
      </w:pPr>
      <w:r w:rsidRPr="00924F58">
        <w:rPr>
          <w:rFonts w:ascii="Times New Roman" w:hAnsi="Times New Roman"/>
          <w:sz w:val="24"/>
          <w:szCs w:val="24"/>
        </w:rPr>
        <w:t xml:space="preserve">On Sept. 5, 2024, in </w:t>
      </w:r>
      <w:r w:rsidRPr="00924F58">
        <w:rPr>
          <w:rFonts w:ascii="Times New Roman" w:hAnsi="Times New Roman"/>
          <w:sz w:val="24"/>
          <w:szCs w:val="24"/>
          <w:u w:val="single"/>
        </w:rPr>
        <w:t>Eric Dale v. Marshall Township</w:t>
      </w:r>
      <w:r w:rsidRPr="00924F58">
        <w:rPr>
          <w:rFonts w:ascii="Times New Roman" w:hAnsi="Times New Roman"/>
          <w:sz w:val="24"/>
          <w:szCs w:val="24"/>
        </w:rPr>
        <w:t xml:space="preserve">, the Michigan Court of Appeals held (3 to 0; unpublished opinion): “Because Dale established that he was engaged in a protected activity and that there was a causal connection between his protected activity and his termination, the trial court legally erred by holding that he failed to establish a prima facie case under the WPA [The Whistleblowers’ Protection Act]. Accordingly, we reverse the trial court’s grant of summary disposition to the township.” </w:t>
      </w:r>
    </w:p>
    <w:p w14:paraId="5B395221" w14:textId="77777777" w:rsidR="00DC3117" w:rsidRPr="00924F58" w:rsidRDefault="00DC3117" w:rsidP="00DC3117">
      <w:pPr>
        <w:pStyle w:val="NoSpacing"/>
        <w:rPr>
          <w:rFonts w:ascii="Times New Roman" w:hAnsi="Times New Roman"/>
          <w:sz w:val="24"/>
          <w:szCs w:val="24"/>
        </w:rPr>
      </w:pPr>
      <w:r w:rsidRPr="00924F58">
        <w:rPr>
          <w:rFonts w:ascii="Times New Roman" w:hAnsi="Times New Roman"/>
          <w:sz w:val="24"/>
          <w:szCs w:val="24"/>
        </w:rPr>
        <w:t xml:space="preserve"> </w:t>
      </w:r>
      <w:hyperlink r:id="rId2556" w:history="1">
        <w:r w:rsidRPr="00924F58">
          <w:rPr>
            <w:rStyle w:val="Hyperlink"/>
            <w:rFonts w:ascii="Times New Roman" w:hAnsi="Times New Roman"/>
            <w:sz w:val="24"/>
            <w:szCs w:val="24"/>
          </w:rPr>
          <w:t>https://www.courts.michigan.gov/siteassets/case-documents/uploads/OPINIONS/FINAL/COA/20240905_C364971_42_364971.OPN.PDF</w:t>
        </w:r>
      </w:hyperlink>
      <w:r w:rsidRPr="00924F58">
        <w:rPr>
          <w:rFonts w:ascii="Times New Roman" w:hAnsi="Times New Roman"/>
          <w:sz w:val="24"/>
          <w:szCs w:val="24"/>
        </w:rPr>
        <w:t xml:space="preserve"> </w:t>
      </w:r>
    </w:p>
    <w:p w14:paraId="4110B393" w14:textId="77777777" w:rsidR="00DC3117" w:rsidRPr="00924F58" w:rsidRDefault="00DC3117" w:rsidP="00DC3117">
      <w:pPr>
        <w:pStyle w:val="NoSpacing"/>
        <w:rPr>
          <w:rFonts w:ascii="Times New Roman" w:hAnsi="Times New Roman"/>
          <w:sz w:val="24"/>
          <w:szCs w:val="24"/>
        </w:rPr>
      </w:pPr>
    </w:p>
    <w:p w14:paraId="7A725BF0" w14:textId="77777777" w:rsidR="00924F58" w:rsidRPr="00924F58" w:rsidRDefault="00924F58" w:rsidP="00924F58">
      <w:pPr>
        <w:pStyle w:val="NoSpacing"/>
        <w:rPr>
          <w:rFonts w:ascii="Times New Roman" w:hAnsi="Times New Roman"/>
          <w:b/>
          <w:bCs/>
          <w:sz w:val="24"/>
          <w:szCs w:val="24"/>
        </w:rPr>
      </w:pPr>
      <w:r w:rsidRPr="00924F58">
        <w:rPr>
          <w:rFonts w:ascii="Times New Roman" w:hAnsi="Times New Roman"/>
          <w:b/>
          <w:sz w:val="24"/>
          <w:szCs w:val="24"/>
        </w:rPr>
        <w:t xml:space="preserve">Legal Lesson Learned: The State’s Whistleblower Protection Act is important protection against retaliation. </w:t>
      </w:r>
    </w:p>
    <w:p w14:paraId="103DF4EF" w14:textId="77777777" w:rsidR="00924F58" w:rsidRDefault="00924F58" w:rsidP="00924F58">
      <w:pPr>
        <w:rPr>
          <w:rFonts w:asciiTheme="majorHAnsi" w:hAnsiTheme="majorHAnsi"/>
          <w:b/>
          <w:bCs/>
          <w:sz w:val="28"/>
          <w:szCs w:val="28"/>
        </w:rPr>
      </w:pPr>
    </w:p>
    <w:p w14:paraId="19252D7B" w14:textId="77777777" w:rsidR="00DC3117" w:rsidRDefault="00DC3117" w:rsidP="00F91F9F">
      <w:pPr>
        <w:pStyle w:val="NoSpacing"/>
        <w:rPr>
          <w:rFonts w:ascii="Arial Black" w:hAnsi="Arial Black"/>
          <w:sz w:val="24"/>
          <w:szCs w:val="24"/>
        </w:rPr>
      </w:pPr>
    </w:p>
    <w:p w14:paraId="5B559D58" w14:textId="77777777" w:rsidR="00DC3117" w:rsidRDefault="00DC3117" w:rsidP="00F91F9F">
      <w:pPr>
        <w:pStyle w:val="NoSpacing"/>
        <w:rPr>
          <w:rFonts w:ascii="Arial Black" w:hAnsi="Arial Black"/>
          <w:sz w:val="24"/>
          <w:szCs w:val="24"/>
        </w:rPr>
      </w:pPr>
    </w:p>
    <w:p w14:paraId="626E1A76" w14:textId="77777777" w:rsidR="00DC3117" w:rsidRDefault="00DC3117" w:rsidP="00F91F9F">
      <w:pPr>
        <w:pStyle w:val="NoSpacing"/>
        <w:rPr>
          <w:rFonts w:ascii="Arial Black" w:hAnsi="Arial Black"/>
          <w:sz w:val="24"/>
          <w:szCs w:val="24"/>
        </w:rPr>
      </w:pPr>
    </w:p>
    <w:p w14:paraId="47879A3A" w14:textId="7E82290F" w:rsidR="005F3DA4" w:rsidRDefault="005F3DA4" w:rsidP="00F91F9F">
      <w:pPr>
        <w:pStyle w:val="NoSpacing"/>
        <w:rPr>
          <w:rFonts w:ascii="Arial Black" w:hAnsi="Arial Black"/>
          <w:sz w:val="24"/>
          <w:szCs w:val="24"/>
        </w:rPr>
      </w:pPr>
      <w:r>
        <w:rPr>
          <w:rFonts w:ascii="Arial Black" w:hAnsi="Arial Black"/>
          <w:sz w:val="24"/>
          <w:szCs w:val="24"/>
        </w:rPr>
        <w:t>16-113</w:t>
      </w:r>
      <w:r w:rsidR="004C0E50">
        <w:rPr>
          <w:rFonts w:ascii="Arial Black" w:hAnsi="Arial Black"/>
          <w:sz w:val="24"/>
          <w:szCs w:val="24"/>
        </w:rPr>
        <w:t xml:space="preserve"> </w:t>
      </w:r>
    </w:p>
    <w:p w14:paraId="05A2D13C" w14:textId="77777777" w:rsidR="005F3DA4" w:rsidRDefault="005F3DA4" w:rsidP="00F91F9F">
      <w:pPr>
        <w:pStyle w:val="NoSpacing"/>
        <w:rPr>
          <w:rFonts w:ascii="Arial Black" w:hAnsi="Arial Black"/>
          <w:sz w:val="24"/>
          <w:szCs w:val="24"/>
        </w:rPr>
      </w:pPr>
    </w:p>
    <w:p w14:paraId="67ABDE65" w14:textId="77777777" w:rsidR="00A313D5" w:rsidRPr="00711EF1" w:rsidRDefault="00A313D5" w:rsidP="00A313D5">
      <w:pPr>
        <w:pStyle w:val="NoSpacing"/>
        <w:rPr>
          <w:rFonts w:ascii="Arial Black" w:hAnsi="Arial Black"/>
          <w:sz w:val="28"/>
        </w:rPr>
      </w:pPr>
      <w:r>
        <w:rPr>
          <w:rFonts w:ascii="Arial Black" w:hAnsi="Arial Black"/>
          <w:sz w:val="28"/>
        </w:rPr>
        <w:t>MI: FIRE CHIEF 1</w:t>
      </w:r>
      <w:r w:rsidRPr="00114554">
        <w:rPr>
          <w:rFonts w:ascii="Arial Black" w:hAnsi="Arial Black"/>
          <w:sz w:val="28"/>
          <w:vertAlign w:val="superscript"/>
        </w:rPr>
        <w:t>ST</w:t>
      </w:r>
      <w:r>
        <w:rPr>
          <w:rFonts w:ascii="Arial Black" w:hAnsi="Arial Black"/>
          <w:sz w:val="28"/>
        </w:rPr>
        <w:t xml:space="preserve"> AMEND. RIGHT REFUSE TO CHANGE REPORT / LIE  – DEATH TWO BOYS, POOR FD SEARCH</w:t>
      </w:r>
    </w:p>
    <w:p w14:paraId="477FABE5" w14:textId="77777777" w:rsidR="00A313D5" w:rsidRDefault="00A313D5" w:rsidP="00A313D5">
      <w:pPr>
        <w:pStyle w:val="NoSpacing"/>
        <w:rPr>
          <w:szCs w:val="24"/>
        </w:rPr>
      </w:pPr>
    </w:p>
    <w:p w14:paraId="77E345FC" w14:textId="044BD4C7" w:rsidR="00A313D5" w:rsidRPr="00194CC1" w:rsidRDefault="00A313D5" w:rsidP="00A313D5">
      <w:pPr>
        <w:pStyle w:val="NoSpacing"/>
        <w:rPr>
          <w:rFonts w:ascii="Times New Roman" w:hAnsi="Times New Roman"/>
          <w:sz w:val="24"/>
          <w:szCs w:val="24"/>
        </w:rPr>
      </w:pPr>
      <w:r w:rsidRPr="00194CC1">
        <w:rPr>
          <w:rFonts w:ascii="Times New Roman" w:hAnsi="Times New Roman"/>
          <w:sz w:val="24"/>
          <w:szCs w:val="24"/>
        </w:rPr>
        <w:t xml:space="preserve">On Aug. 22, 2024, in </w:t>
      </w:r>
      <w:r w:rsidRPr="00194CC1">
        <w:rPr>
          <w:rFonts w:ascii="Times New Roman" w:hAnsi="Times New Roman"/>
          <w:sz w:val="24"/>
          <w:szCs w:val="24"/>
          <w:u w:val="single"/>
        </w:rPr>
        <w:t>Raymond C. Barton v. Sheldon Neeley</w:t>
      </w:r>
      <w:r w:rsidRPr="00194CC1">
        <w:rPr>
          <w:rFonts w:ascii="Times New Roman" w:hAnsi="Times New Roman"/>
          <w:sz w:val="24"/>
          <w:szCs w:val="24"/>
        </w:rPr>
        <w:t xml:space="preserve">, the U.S. Court of Appeals for Sixth Circuit (Cincinnati) held (3 to 0) that the Federal District Court Judge in Michigan properly denied the </w:t>
      </w:r>
      <w:proofErr w:type="gramStart"/>
      <w:r w:rsidRPr="00194CC1">
        <w:rPr>
          <w:rFonts w:ascii="Times New Roman" w:hAnsi="Times New Roman"/>
          <w:sz w:val="24"/>
          <w:szCs w:val="24"/>
        </w:rPr>
        <w:t>Mayor’s</w:t>
      </w:r>
      <w:proofErr w:type="gramEnd"/>
      <w:r w:rsidRPr="00194CC1">
        <w:rPr>
          <w:rFonts w:ascii="Times New Roman" w:hAnsi="Times New Roman"/>
          <w:sz w:val="24"/>
          <w:szCs w:val="24"/>
        </w:rPr>
        <w:t xml:space="preserve"> motion to dismiss the case on qualified immunity.  The Court wrote: “Two young African American boys died after two City of Flint firefighters failed to properly sweep a burning house. Then-City Fire Chief, plaintiff Raymond Barton, tried to discharge the firefighters for gross misconduct, but Flint’s Mayor, defendant Sheldon Neeley, intervened and allegedly covered up the firefighters’ malfeasance to advance his support from the firefighters’ union in an upcoming election. When Chief Barton refused Mayor Neeley’s directives to cover up the malfeasance, Neeley fired Barton. *** However, Barton’s speech at the city council meeting is not the only speech at issue in this case. Barton’s relevant speech also included (1) his refusal to change his report on his own, and (2) his refusal to make a public announcement saying that he initiated and agreed with the changed report. Indeed, Barton pleads that these refusals ultimately led to the termination of his employment. It is well established that the First Amendment protects “both the right to speak freely and the right to refrain from speaking at all.” Wooley v. Maynard, 430 U.S. 705, 714 (1977). After reviewing the content and context of this refusal-to-speak conduct, Fox, 605 F.3d at 348, we conclude that Barton sufficiently alleged that his unwillingness to lie in order to further Neeley’s political campaign was not within the scope of his official duties, see Boulton v.</w:t>
      </w:r>
      <w:r w:rsidR="00194CC1">
        <w:rPr>
          <w:rFonts w:ascii="Times New Roman" w:hAnsi="Times New Roman"/>
          <w:sz w:val="24"/>
          <w:szCs w:val="24"/>
        </w:rPr>
        <w:t xml:space="preserve"> </w:t>
      </w:r>
      <w:r w:rsidRPr="00194CC1">
        <w:rPr>
          <w:rFonts w:ascii="Times New Roman" w:hAnsi="Times New Roman"/>
          <w:sz w:val="24"/>
          <w:szCs w:val="24"/>
        </w:rPr>
        <w:t xml:space="preserve">Swanson, 795 F.3d 526, 534 (6th Cir. 2015) (explaining that the ‘exception to First Amendment protection’—speech made pursuant to one’s official duties—'must be read narrowly’). ***[W]e hold that it is clearly established that public employees cannot be compelled to make false statements on matters of public concern in response to threats of retaliation.”  </w:t>
      </w:r>
      <w:hyperlink r:id="rId2557" w:history="1">
        <w:r w:rsidRPr="00194CC1">
          <w:rPr>
            <w:rStyle w:val="Hyperlink"/>
            <w:rFonts w:ascii="Times New Roman" w:hAnsi="Times New Roman"/>
            <w:sz w:val="24"/>
            <w:szCs w:val="24"/>
          </w:rPr>
          <w:t>https://www.opn.ca6.uscourts.gov/opinions.pdf/24a0201p-06.pdf</w:t>
        </w:r>
      </w:hyperlink>
      <w:r w:rsidRPr="00194CC1">
        <w:rPr>
          <w:rFonts w:ascii="Times New Roman" w:hAnsi="Times New Roman"/>
          <w:sz w:val="24"/>
          <w:szCs w:val="24"/>
        </w:rPr>
        <w:t xml:space="preserve"> </w:t>
      </w:r>
    </w:p>
    <w:p w14:paraId="6500D19A" w14:textId="77777777" w:rsidR="00A313D5" w:rsidRPr="00194CC1" w:rsidRDefault="00A313D5" w:rsidP="00A313D5">
      <w:pPr>
        <w:pStyle w:val="NoSpacing"/>
        <w:rPr>
          <w:rFonts w:ascii="Times New Roman" w:hAnsi="Times New Roman"/>
          <w:sz w:val="24"/>
          <w:szCs w:val="24"/>
        </w:rPr>
      </w:pPr>
    </w:p>
    <w:p w14:paraId="6B75E0ED" w14:textId="77777777" w:rsidR="00A313D5" w:rsidRPr="00194CC1" w:rsidRDefault="00A313D5" w:rsidP="00A313D5">
      <w:pPr>
        <w:pStyle w:val="NoSpacing"/>
        <w:rPr>
          <w:rFonts w:ascii="Times New Roman" w:hAnsi="Times New Roman"/>
          <w:sz w:val="24"/>
          <w:szCs w:val="24"/>
        </w:rPr>
      </w:pPr>
    </w:p>
    <w:p w14:paraId="2442D817" w14:textId="77777777" w:rsidR="00A313D5" w:rsidRPr="00194CC1" w:rsidRDefault="00A313D5" w:rsidP="00A313D5">
      <w:pPr>
        <w:pStyle w:val="NoSpacing"/>
        <w:rPr>
          <w:rFonts w:ascii="Times New Roman" w:hAnsi="Times New Roman"/>
          <w:sz w:val="24"/>
          <w:szCs w:val="24"/>
        </w:rPr>
      </w:pPr>
      <w:r w:rsidRPr="00194CC1">
        <w:rPr>
          <w:rFonts w:ascii="Times New Roman" w:hAnsi="Times New Roman"/>
          <w:sz w:val="24"/>
          <w:szCs w:val="24"/>
        </w:rPr>
        <w:t>THE COURT HELD:</w:t>
      </w:r>
    </w:p>
    <w:p w14:paraId="3368A4BA" w14:textId="77777777" w:rsidR="00A313D5" w:rsidRPr="00194CC1" w:rsidRDefault="00A313D5" w:rsidP="00A313D5">
      <w:pPr>
        <w:pStyle w:val="NoSpacing"/>
        <w:rPr>
          <w:rFonts w:ascii="Times New Roman" w:hAnsi="Times New Roman"/>
          <w:sz w:val="24"/>
          <w:szCs w:val="24"/>
        </w:rPr>
      </w:pPr>
    </w:p>
    <w:p w14:paraId="50843A27" w14:textId="77777777" w:rsidR="00A313D5" w:rsidRPr="00194CC1" w:rsidRDefault="00A313D5" w:rsidP="00A313D5">
      <w:pPr>
        <w:pStyle w:val="NoSpacing"/>
        <w:ind w:left="720"/>
        <w:rPr>
          <w:rFonts w:ascii="Times New Roman" w:hAnsi="Times New Roman"/>
          <w:sz w:val="24"/>
          <w:szCs w:val="24"/>
        </w:rPr>
      </w:pPr>
      <w:r w:rsidRPr="00194CC1">
        <w:rPr>
          <w:rFonts w:ascii="Times New Roman" w:hAnsi="Times New Roman"/>
          <w:sz w:val="24"/>
          <w:szCs w:val="24"/>
        </w:rPr>
        <w:t xml:space="preserve">“The “critical question” is whether Barton’s official duties included taking actions that furthered Neeley’s reelection efforts. See id. At most, Barton’s refusals of  Neeley’s threats ‘merely concern[ed]’ his duties as Fire Chief, which is not enough to constitute public speech. See id.; Boulton, 795 F.3d at 534; </w:t>
      </w:r>
      <w:proofErr w:type="spellStart"/>
      <w:r w:rsidRPr="00194CC1">
        <w:rPr>
          <w:rFonts w:ascii="Times New Roman" w:hAnsi="Times New Roman"/>
          <w:sz w:val="24"/>
          <w:szCs w:val="24"/>
        </w:rPr>
        <w:t>Jackler</w:t>
      </w:r>
      <w:proofErr w:type="spellEnd"/>
      <w:r w:rsidRPr="00194CC1">
        <w:rPr>
          <w:rFonts w:ascii="Times New Roman" w:hAnsi="Times New Roman"/>
          <w:sz w:val="24"/>
          <w:szCs w:val="24"/>
        </w:rPr>
        <w:t>, 658 F.3d at 241 (‘In the context of the demands [by a superior] that [a public employee] retract his truthful statements and make statements that were false, we conclude that his refusals to accede to those demands constituted speech activity that was significantly different from the mere filing of his initial [r]</w:t>
      </w:r>
      <w:proofErr w:type="spellStart"/>
      <w:r w:rsidRPr="00194CC1">
        <w:rPr>
          <w:rFonts w:ascii="Times New Roman" w:hAnsi="Times New Roman"/>
          <w:sz w:val="24"/>
          <w:szCs w:val="24"/>
        </w:rPr>
        <w:t>eport</w:t>
      </w:r>
      <w:proofErr w:type="spellEnd"/>
      <w:r w:rsidRPr="00194CC1">
        <w:rPr>
          <w:rFonts w:ascii="Times New Roman" w:hAnsi="Times New Roman"/>
          <w:sz w:val="24"/>
          <w:szCs w:val="24"/>
        </w:rPr>
        <w:t xml:space="preserve">.’). In sum, Barton was (refraining from) speaking in his capacity as a private citizen when he declined to help Neeley win re-election and cover up racism within the fire department, which he alleges caused his termination as Fire Chief. </w:t>
      </w:r>
      <w:proofErr w:type="gramStart"/>
      <w:r w:rsidRPr="00194CC1">
        <w:rPr>
          <w:rFonts w:ascii="Times New Roman" w:hAnsi="Times New Roman"/>
          <w:sz w:val="24"/>
          <w:szCs w:val="24"/>
        </w:rPr>
        <w:t>So</w:t>
      </w:r>
      <w:proofErr w:type="gramEnd"/>
      <w:r w:rsidRPr="00194CC1">
        <w:rPr>
          <w:rFonts w:ascii="Times New Roman" w:hAnsi="Times New Roman"/>
          <w:sz w:val="24"/>
          <w:szCs w:val="24"/>
        </w:rPr>
        <w:t xml:space="preserve"> we affirm the district court’s holding that Barton plausibly alleged a violation of his constitutional </w:t>
      </w:r>
      <w:proofErr w:type="gramStart"/>
      <w:r w:rsidRPr="00194CC1">
        <w:rPr>
          <w:rFonts w:ascii="Times New Roman" w:hAnsi="Times New Roman"/>
          <w:sz w:val="24"/>
          <w:szCs w:val="24"/>
        </w:rPr>
        <w:t>rights.”</w:t>
      </w:r>
      <w:proofErr w:type="gramEnd"/>
    </w:p>
    <w:p w14:paraId="7BB7C80D" w14:textId="77777777" w:rsidR="00A313D5" w:rsidRPr="00194CC1" w:rsidRDefault="00A313D5" w:rsidP="00A313D5">
      <w:pPr>
        <w:pStyle w:val="NoSpacing"/>
        <w:rPr>
          <w:rFonts w:ascii="Times New Roman" w:hAnsi="Times New Roman"/>
          <w:sz w:val="24"/>
          <w:szCs w:val="24"/>
        </w:rPr>
      </w:pPr>
    </w:p>
    <w:p w14:paraId="4537AE55" w14:textId="77777777" w:rsidR="00A313D5" w:rsidRPr="00194CC1" w:rsidRDefault="00A313D5" w:rsidP="00A313D5">
      <w:pPr>
        <w:pStyle w:val="NoSpacing"/>
        <w:ind w:left="720"/>
        <w:rPr>
          <w:rFonts w:ascii="Times New Roman" w:hAnsi="Times New Roman"/>
          <w:sz w:val="24"/>
          <w:szCs w:val="24"/>
        </w:rPr>
      </w:pPr>
    </w:p>
    <w:p w14:paraId="0427CAB3" w14:textId="77777777" w:rsidR="00A313D5" w:rsidRPr="00194CC1" w:rsidRDefault="00A313D5" w:rsidP="00A313D5">
      <w:pPr>
        <w:pStyle w:val="NoSpacing"/>
        <w:rPr>
          <w:rFonts w:ascii="Times New Roman" w:hAnsi="Times New Roman"/>
          <w:b/>
          <w:bCs/>
          <w:sz w:val="24"/>
          <w:szCs w:val="24"/>
        </w:rPr>
      </w:pPr>
      <w:r w:rsidRPr="00194CC1">
        <w:rPr>
          <w:rFonts w:ascii="Times New Roman" w:hAnsi="Times New Roman"/>
          <w:b/>
          <w:bCs/>
          <w:sz w:val="24"/>
          <w:szCs w:val="24"/>
        </w:rPr>
        <w:t>Legal Lesson Learned: Great decision; can be great precedent in future cases.</w:t>
      </w:r>
    </w:p>
    <w:p w14:paraId="393102D0" w14:textId="77777777" w:rsidR="005F3DA4" w:rsidRDefault="005F3DA4" w:rsidP="00F91F9F">
      <w:pPr>
        <w:pStyle w:val="NoSpacing"/>
        <w:rPr>
          <w:rFonts w:ascii="Arial Black" w:hAnsi="Arial Black"/>
          <w:sz w:val="24"/>
          <w:szCs w:val="24"/>
        </w:rPr>
      </w:pPr>
    </w:p>
    <w:p w14:paraId="5091C95A" w14:textId="77777777" w:rsidR="005F3DA4" w:rsidRDefault="005F3DA4" w:rsidP="00F91F9F">
      <w:pPr>
        <w:pStyle w:val="NoSpacing"/>
        <w:rPr>
          <w:rFonts w:ascii="Arial Black" w:hAnsi="Arial Black"/>
          <w:sz w:val="24"/>
          <w:szCs w:val="24"/>
        </w:rPr>
      </w:pPr>
    </w:p>
    <w:p w14:paraId="36723288" w14:textId="77777777" w:rsidR="005F3DA4" w:rsidRDefault="005F3DA4" w:rsidP="00F91F9F">
      <w:pPr>
        <w:pStyle w:val="NoSpacing"/>
        <w:rPr>
          <w:rFonts w:ascii="Arial Black" w:hAnsi="Arial Black"/>
          <w:sz w:val="24"/>
          <w:szCs w:val="24"/>
        </w:rPr>
      </w:pPr>
    </w:p>
    <w:p w14:paraId="703C4748" w14:textId="03E655B2" w:rsidR="00CE27F4" w:rsidRDefault="00CE27F4" w:rsidP="00F91F9F">
      <w:pPr>
        <w:pStyle w:val="NoSpacing"/>
        <w:rPr>
          <w:rFonts w:ascii="Arial Black" w:hAnsi="Arial Black"/>
          <w:sz w:val="24"/>
          <w:szCs w:val="24"/>
        </w:rPr>
      </w:pPr>
      <w:r>
        <w:rPr>
          <w:rFonts w:ascii="Arial Black" w:hAnsi="Arial Black"/>
          <w:sz w:val="24"/>
          <w:szCs w:val="24"/>
        </w:rPr>
        <w:t>16-112</w:t>
      </w:r>
    </w:p>
    <w:p w14:paraId="61F0921F" w14:textId="77777777" w:rsidR="00FE25A3" w:rsidRDefault="00FE25A3" w:rsidP="00F91F9F">
      <w:pPr>
        <w:pStyle w:val="NoSpacing"/>
        <w:rPr>
          <w:rFonts w:ascii="Arial Black" w:hAnsi="Arial Black"/>
          <w:sz w:val="24"/>
          <w:szCs w:val="24"/>
        </w:rPr>
      </w:pPr>
    </w:p>
    <w:p w14:paraId="50F4DCE8" w14:textId="77777777" w:rsidR="00FE25A3" w:rsidRPr="007718BF" w:rsidRDefault="00FE25A3" w:rsidP="00FE25A3">
      <w:pPr>
        <w:rPr>
          <w:rFonts w:ascii="Arial Black" w:hAnsi="Arial Black"/>
          <w:sz w:val="28"/>
          <w:szCs w:val="28"/>
        </w:rPr>
      </w:pPr>
      <w:r>
        <w:rPr>
          <w:rFonts w:ascii="Arial Black" w:hAnsi="Arial Black"/>
          <w:sz w:val="28"/>
          <w:szCs w:val="28"/>
        </w:rPr>
        <w:t>NJ: FF FIRED - “DELIBERATE SHELL GAME” - RETURNED MILITARY LEAVE – BUT ALSO STAYED ON ACTIVE DUTY</w:t>
      </w:r>
    </w:p>
    <w:p w14:paraId="5CCB900A" w14:textId="77777777" w:rsidR="00FE25A3" w:rsidRPr="00DD5D06" w:rsidRDefault="00FE25A3" w:rsidP="00FE25A3">
      <w:pPr>
        <w:rPr>
          <w:rFonts w:ascii="Times New Roman" w:hAnsi="Times New Roman"/>
          <w:sz w:val="24"/>
          <w:szCs w:val="24"/>
        </w:rPr>
      </w:pPr>
      <w:r w:rsidRPr="00DD5D06">
        <w:rPr>
          <w:rFonts w:ascii="Times New Roman" w:hAnsi="Times New Roman"/>
          <w:sz w:val="24"/>
          <w:szCs w:val="24"/>
        </w:rPr>
        <w:t xml:space="preserve">On July 31, 2024, </w:t>
      </w:r>
      <w:r w:rsidRPr="00DD5D06">
        <w:rPr>
          <w:rFonts w:ascii="Times New Roman" w:hAnsi="Times New Roman"/>
          <w:sz w:val="24"/>
          <w:szCs w:val="24"/>
          <w:u w:val="single"/>
        </w:rPr>
        <w:t xml:space="preserve">In </w:t>
      </w:r>
      <w:proofErr w:type="gramStart"/>
      <w:r w:rsidRPr="00DD5D06">
        <w:rPr>
          <w:rFonts w:ascii="Times New Roman" w:hAnsi="Times New Roman"/>
          <w:sz w:val="24"/>
          <w:szCs w:val="24"/>
          <w:u w:val="single"/>
        </w:rPr>
        <w:t>The</w:t>
      </w:r>
      <w:proofErr w:type="gramEnd"/>
      <w:r w:rsidRPr="00DD5D06">
        <w:rPr>
          <w:rFonts w:ascii="Times New Roman" w:hAnsi="Times New Roman"/>
          <w:sz w:val="24"/>
          <w:szCs w:val="24"/>
          <w:u w:val="single"/>
        </w:rPr>
        <w:t xml:space="preserve"> Matter </w:t>
      </w:r>
      <w:proofErr w:type="gramStart"/>
      <w:r w:rsidRPr="00DD5D06">
        <w:rPr>
          <w:rFonts w:ascii="Times New Roman" w:hAnsi="Times New Roman"/>
          <w:sz w:val="24"/>
          <w:szCs w:val="24"/>
          <w:u w:val="single"/>
        </w:rPr>
        <w:t>Of</w:t>
      </w:r>
      <w:proofErr w:type="gramEnd"/>
      <w:r w:rsidRPr="00DD5D06">
        <w:rPr>
          <w:rFonts w:ascii="Times New Roman" w:hAnsi="Times New Roman"/>
          <w:sz w:val="24"/>
          <w:szCs w:val="24"/>
          <w:u w:val="single"/>
        </w:rPr>
        <w:t xml:space="preserve"> John Tayag-Kosky, Town </w:t>
      </w:r>
      <w:proofErr w:type="gramStart"/>
      <w:r w:rsidRPr="00DD5D06">
        <w:rPr>
          <w:rFonts w:ascii="Times New Roman" w:hAnsi="Times New Roman"/>
          <w:sz w:val="24"/>
          <w:szCs w:val="24"/>
          <w:u w:val="single"/>
        </w:rPr>
        <w:t>Of</w:t>
      </w:r>
      <w:proofErr w:type="gramEnd"/>
      <w:r w:rsidRPr="00DD5D06">
        <w:rPr>
          <w:rFonts w:ascii="Times New Roman" w:hAnsi="Times New Roman"/>
          <w:sz w:val="24"/>
          <w:szCs w:val="24"/>
          <w:u w:val="single"/>
        </w:rPr>
        <w:t xml:space="preserve"> Kearny Fire Department</w:t>
      </w:r>
      <w:r w:rsidRPr="00DD5D06">
        <w:rPr>
          <w:rFonts w:ascii="Times New Roman" w:hAnsi="Times New Roman"/>
          <w:sz w:val="24"/>
          <w:szCs w:val="24"/>
        </w:rPr>
        <w:t>, the Superior Court of New Jersey, Appellate Division, held (2 to 0; unpublished opinion), that the Civil Service Commission properly upheld the termination.  In 20</w:t>
      </w:r>
      <w:r>
        <w:rPr>
          <w:rFonts w:ascii="Times New Roman" w:hAnsi="Times New Roman"/>
          <w:sz w:val="24"/>
          <w:szCs w:val="24"/>
        </w:rPr>
        <w:t>1</w:t>
      </w:r>
      <w:r w:rsidRPr="00DD5D06">
        <w:rPr>
          <w:rFonts w:ascii="Times New Roman" w:hAnsi="Times New Roman"/>
          <w:sz w:val="24"/>
          <w:szCs w:val="24"/>
        </w:rPr>
        <w:t xml:space="preserve">4, when he returned from active duty to FD, he worked 24 / </w:t>
      </w:r>
      <w:proofErr w:type="gramStart"/>
      <w:r w:rsidRPr="00DD5D06">
        <w:rPr>
          <w:rFonts w:ascii="Times New Roman" w:hAnsi="Times New Roman"/>
          <w:sz w:val="24"/>
          <w:szCs w:val="24"/>
        </w:rPr>
        <w:t>72 hour</w:t>
      </w:r>
      <w:proofErr w:type="gramEnd"/>
      <w:r w:rsidRPr="00DD5D06">
        <w:rPr>
          <w:rFonts w:ascii="Times New Roman" w:hAnsi="Times New Roman"/>
          <w:sz w:val="24"/>
          <w:szCs w:val="24"/>
        </w:rPr>
        <w:t xml:space="preserve"> shift.  He </w:t>
      </w:r>
      <w:r>
        <w:rPr>
          <w:rFonts w:ascii="Times New Roman" w:hAnsi="Times New Roman"/>
          <w:sz w:val="24"/>
          <w:szCs w:val="24"/>
        </w:rPr>
        <w:t>“</w:t>
      </w:r>
      <w:r w:rsidRPr="00DD5D06">
        <w:rPr>
          <w:rFonts w:ascii="Times New Roman" w:hAnsi="Times New Roman"/>
          <w:sz w:val="24"/>
          <w:szCs w:val="24"/>
        </w:rPr>
        <w:t>actively concealed</w:t>
      </w:r>
      <w:r>
        <w:rPr>
          <w:rFonts w:ascii="Times New Roman" w:hAnsi="Times New Roman"/>
          <w:sz w:val="24"/>
          <w:szCs w:val="24"/>
        </w:rPr>
        <w:t>” from FD</w:t>
      </w:r>
      <w:r w:rsidRPr="00DD5D06">
        <w:rPr>
          <w:rFonts w:ascii="Times New Roman" w:hAnsi="Times New Roman"/>
          <w:sz w:val="24"/>
          <w:szCs w:val="24"/>
        </w:rPr>
        <w:t xml:space="preserve"> </w:t>
      </w:r>
      <w:r>
        <w:rPr>
          <w:rFonts w:ascii="Times New Roman" w:hAnsi="Times New Roman"/>
          <w:sz w:val="24"/>
          <w:szCs w:val="24"/>
        </w:rPr>
        <w:t xml:space="preserve">[2014-2018] </w:t>
      </w:r>
      <w:r w:rsidRPr="00DD5D06">
        <w:rPr>
          <w:rFonts w:ascii="Times New Roman" w:hAnsi="Times New Roman"/>
          <w:sz w:val="24"/>
          <w:szCs w:val="24"/>
        </w:rPr>
        <w:t>that he was still employed as a full-time military recruiter and an active-duty member of the Army National Guard</w:t>
      </w:r>
      <w:r>
        <w:rPr>
          <w:rFonts w:ascii="Times New Roman" w:hAnsi="Times New Roman"/>
          <w:sz w:val="24"/>
          <w:szCs w:val="24"/>
        </w:rPr>
        <w:t>, and concealed from Army he was working as a career FF</w:t>
      </w:r>
      <w:r w:rsidRPr="00DD5D06">
        <w:rPr>
          <w:rFonts w:ascii="Times New Roman" w:hAnsi="Times New Roman"/>
          <w:sz w:val="24"/>
          <w:szCs w:val="24"/>
        </w:rPr>
        <w:t xml:space="preserve">. The Court rejected his argument that under “progressive discipline” the firing was too harsh.  </w:t>
      </w:r>
      <w:hyperlink r:id="rId2558" w:history="1">
        <w:r w:rsidRPr="00DD5D06">
          <w:rPr>
            <w:rStyle w:val="Hyperlink"/>
            <w:rFonts w:ascii="Times New Roman" w:hAnsi="Times New Roman"/>
            <w:sz w:val="24"/>
            <w:szCs w:val="24"/>
          </w:rPr>
          <w:t>https://www.njcourts.gov/system/files/court-opinions/2024/a1537-22.pdf</w:t>
        </w:r>
      </w:hyperlink>
      <w:r w:rsidRPr="00DD5D06">
        <w:rPr>
          <w:rFonts w:ascii="Times New Roman" w:hAnsi="Times New Roman"/>
          <w:sz w:val="24"/>
          <w:szCs w:val="24"/>
        </w:rPr>
        <w:t xml:space="preserve"> </w:t>
      </w:r>
    </w:p>
    <w:p w14:paraId="0861AEB8" w14:textId="77777777" w:rsidR="00FE25A3" w:rsidRPr="007718BF" w:rsidRDefault="00FE25A3" w:rsidP="00FE25A3">
      <w:pPr>
        <w:rPr>
          <w:rFonts w:ascii="Times New Roman" w:hAnsi="Times New Roman"/>
          <w:sz w:val="24"/>
          <w:szCs w:val="24"/>
        </w:rPr>
      </w:pPr>
      <w:r w:rsidRPr="007718BF">
        <w:rPr>
          <w:rFonts w:ascii="Times New Roman" w:hAnsi="Times New Roman"/>
          <w:sz w:val="24"/>
          <w:szCs w:val="24"/>
        </w:rPr>
        <w:t>THE COURT HELD:</w:t>
      </w:r>
    </w:p>
    <w:p w14:paraId="26788F94" w14:textId="77777777" w:rsidR="00FE25A3" w:rsidRDefault="00FE25A3" w:rsidP="00FE25A3">
      <w:pPr>
        <w:ind w:left="720"/>
        <w:rPr>
          <w:rFonts w:ascii="Times New Roman" w:hAnsi="Times New Roman"/>
          <w:sz w:val="24"/>
          <w:szCs w:val="24"/>
        </w:rPr>
      </w:pPr>
      <w:r>
        <w:rPr>
          <w:rFonts w:ascii="Times New Roman" w:hAnsi="Times New Roman"/>
          <w:sz w:val="24"/>
          <w:szCs w:val="24"/>
        </w:rPr>
        <w:t>“</w:t>
      </w:r>
      <w:r w:rsidRPr="007718BF">
        <w:rPr>
          <w:rFonts w:ascii="Times New Roman" w:hAnsi="Times New Roman"/>
          <w:sz w:val="24"/>
          <w:szCs w:val="24"/>
        </w:rPr>
        <w:t>Kosky argues termination was not justified and violated</w:t>
      </w:r>
      <w:r>
        <w:rPr>
          <w:rFonts w:ascii="Times New Roman" w:hAnsi="Times New Roman"/>
          <w:sz w:val="24"/>
          <w:szCs w:val="24"/>
        </w:rPr>
        <w:t xml:space="preserve"> </w:t>
      </w:r>
      <w:r w:rsidRPr="007718BF">
        <w:rPr>
          <w:rFonts w:ascii="Times New Roman" w:hAnsi="Times New Roman"/>
          <w:sz w:val="24"/>
          <w:szCs w:val="24"/>
        </w:rPr>
        <w:t>principles of progressive discipline since he had no prior discipline or</w:t>
      </w:r>
      <w:r>
        <w:rPr>
          <w:rFonts w:ascii="Times New Roman" w:hAnsi="Times New Roman"/>
          <w:sz w:val="24"/>
          <w:szCs w:val="24"/>
        </w:rPr>
        <w:t xml:space="preserve"> </w:t>
      </w:r>
      <w:r w:rsidRPr="007718BF">
        <w:rPr>
          <w:rFonts w:ascii="Times New Roman" w:hAnsi="Times New Roman"/>
          <w:sz w:val="24"/>
          <w:szCs w:val="24"/>
        </w:rPr>
        <w:t>infractions with the Department. In making its determination on this issue, the</w:t>
      </w:r>
      <w:r>
        <w:rPr>
          <w:rFonts w:ascii="Times New Roman" w:hAnsi="Times New Roman"/>
          <w:sz w:val="24"/>
          <w:szCs w:val="24"/>
        </w:rPr>
        <w:t xml:space="preserve"> </w:t>
      </w:r>
      <w:r w:rsidRPr="007718BF">
        <w:rPr>
          <w:rFonts w:ascii="Times New Roman" w:hAnsi="Times New Roman"/>
          <w:sz w:val="24"/>
          <w:szCs w:val="24"/>
        </w:rPr>
        <w:t>Commission reviewed the ALJ's detailed findings and conclusions, including</w:t>
      </w:r>
      <w:r>
        <w:rPr>
          <w:rFonts w:ascii="Times New Roman" w:hAnsi="Times New Roman"/>
          <w:sz w:val="24"/>
          <w:szCs w:val="24"/>
        </w:rPr>
        <w:t xml:space="preserve"> </w:t>
      </w:r>
      <w:r w:rsidRPr="007718BF">
        <w:rPr>
          <w:rFonts w:ascii="Times New Roman" w:hAnsi="Times New Roman"/>
          <w:sz w:val="24"/>
          <w:szCs w:val="24"/>
        </w:rPr>
        <w:t xml:space="preserve">that Kosky's testimony was not </w:t>
      </w:r>
      <w:proofErr w:type="gramStart"/>
      <w:r w:rsidRPr="007718BF">
        <w:rPr>
          <w:rFonts w:ascii="Times New Roman" w:hAnsi="Times New Roman"/>
          <w:sz w:val="24"/>
          <w:szCs w:val="24"/>
        </w:rPr>
        <w:t>credible</w:t>
      </w:r>
      <w:proofErr w:type="gramEnd"/>
      <w:r w:rsidRPr="007718BF">
        <w:rPr>
          <w:rFonts w:ascii="Times New Roman" w:hAnsi="Times New Roman"/>
          <w:sz w:val="24"/>
          <w:szCs w:val="24"/>
        </w:rPr>
        <w:t xml:space="preserve"> and his actions warranted a departure</w:t>
      </w:r>
      <w:r>
        <w:rPr>
          <w:rFonts w:ascii="Times New Roman" w:hAnsi="Times New Roman"/>
          <w:sz w:val="24"/>
          <w:szCs w:val="24"/>
        </w:rPr>
        <w:t xml:space="preserve"> </w:t>
      </w:r>
      <w:r w:rsidRPr="007718BF">
        <w:rPr>
          <w:rFonts w:ascii="Times New Roman" w:hAnsi="Times New Roman"/>
          <w:sz w:val="24"/>
          <w:szCs w:val="24"/>
        </w:rPr>
        <w:t xml:space="preserve">from progressive discipline. Progressive discipline is not </w:t>
      </w:r>
      <w:r>
        <w:rPr>
          <w:rFonts w:ascii="Times New Roman" w:hAnsi="Times New Roman"/>
          <w:sz w:val="24"/>
          <w:szCs w:val="24"/>
        </w:rPr>
        <w:t>‘</w:t>
      </w:r>
      <w:r w:rsidRPr="007718BF">
        <w:rPr>
          <w:rFonts w:ascii="Times New Roman" w:hAnsi="Times New Roman"/>
          <w:sz w:val="24"/>
          <w:szCs w:val="24"/>
        </w:rPr>
        <w:t>a fixed and</w:t>
      </w:r>
      <w:r>
        <w:rPr>
          <w:rFonts w:ascii="Times New Roman" w:hAnsi="Times New Roman"/>
          <w:sz w:val="24"/>
          <w:szCs w:val="24"/>
        </w:rPr>
        <w:t xml:space="preserve"> </w:t>
      </w:r>
      <w:r w:rsidRPr="007718BF">
        <w:rPr>
          <w:rFonts w:ascii="Times New Roman" w:hAnsi="Times New Roman"/>
          <w:sz w:val="24"/>
          <w:szCs w:val="24"/>
        </w:rPr>
        <w:t>immutable rule to be followed without question</w:t>
      </w:r>
      <w:r>
        <w:rPr>
          <w:rFonts w:ascii="Times New Roman" w:hAnsi="Times New Roman"/>
          <w:sz w:val="24"/>
          <w:szCs w:val="24"/>
        </w:rPr>
        <w:t>’</w:t>
      </w:r>
      <w:r w:rsidRPr="007718BF">
        <w:rPr>
          <w:rFonts w:ascii="Times New Roman" w:hAnsi="Times New Roman"/>
          <w:sz w:val="24"/>
          <w:szCs w:val="24"/>
        </w:rPr>
        <w:t xml:space="preserve"> because </w:t>
      </w:r>
      <w:r>
        <w:rPr>
          <w:rFonts w:ascii="Times New Roman" w:hAnsi="Times New Roman"/>
          <w:sz w:val="24"/>
          <w:szCs w:val="24"/>
        </w:rPr>
        <w:t>‘</w:t>
      </w:r>
      <w:r w:rsidRPr="007718BF">
        <w:rPr>
          <w:rFonts w:ascii="Times New Roman" w:hAnsi="Times New Roman"/>
          <w:sz w:val="24"/>
          <w:szCs w:val="24"/>
        </w:rPr>
        <w:t>some disciplinary</w:t>
      </w:r>
      <w:r>
        <w:rPr>
          <w:rFonts w:ascii="Times New Roman" w:hAnsi="Times New Roman"/>
          <w:sz w:val="24"/>
          <w:szCs w:val="24"/>
        </w:rPr>
        <w:t xml:space="preserve"> </w:t>
      </w:r>
      <w:r w:rsidRPr="007718BF">
        <w:rPr>
          <w:rFonts w:ascii="Times New Roman" w:hAnsi="Times New Roman"/>
          <w:sz w:val="24"/>
          <w:szCs w:val="24"/>
        </w:rPr>
        <w:t>infractions are so serious that removal is appropriate notwithstanding a largely</w:t>
      </w:r>
      <w:r>
        <w:rPr>
          <w:rFonts w:ascii="Times New Roman" w:hAnsi="Times New Roman"/>
          <w:sz w:val="24"/>
          <w:szCs w:val="24"/>
        </w:rPr>
        <w:t xml:space="preserve"> </w:t>
      </w:r>
      <w:r w:rsidRPr="007718BF">
        <w:rPr>
          <w:rFonts w:ascii="Times New Roman" w:hAnsi="Times New Roman"/>
          <w:sz w:val="24"/>
          <w:szCs w:val="24"/>
        </w:rPr>
        <w:t>unblemished prior record.</w:t>
      </w:r>
      <w:r>
        <w:rPr>
          <w:rFonts w:ascii="Times New Roman" w:hAnsi="Times New Roman"/>
          <w:sz w:val="24"/>
          <w:szCs w:val="24"/>
        </w:rPr>
        <w:t>’</w:t>
      </w:r>
      <w:r w:rsidRPr="007718BF">
        <w:rPr>
          <w:rFonts w:ascii="Times New Roman" w:hAnsi="Times New Roman"/>
          <w:sz w:val="24"/>
          <w:szCs w:val="24"/>
        </w:rPr>
        <w:t xml:space="preserve"> Stallworth, 208 N.J. at 196 (citing Carter, 191 N.J.</w:t>
      </w:r>
      <w:r>
        <w:rPr>
          <w:rFonts w:ascii="Times New Roman" w:hAnsi="Times New Roman"/>
          <w:sz w:val="24"/>
          <w:szCs w:val="24"/>
        </w:rPr>
        <w:t xml:space="preserve"> </w:t>
      </w:r>
      <w:r w:rsidRPr="007718BF">
        <w:rPr>
          <w:rFonts w:ascii="Times New Roman" w:hAnsi="Times New Roman"/>
          <w:sz w:val="24"/>
          <w:szCs w:val="24"/>
        </w:rPr>
        <w:t>at 484); Herrmann, 192 N.J. at 34-36. The Commission's decision was clearly</w:t>
      </w:r>
      <w:r>
        <w:rPr>
          <w:rFonts w:ascii="Times New Roman" w:hAnsi="Times New Roman"/>
          <w:sz w:val="24"/>
          <w:szCs w:val="24"/>
        </w:rPr>
        <w:t xml:space="preserve"> </w:t>
      </w:r>
      <w:r w:rsidRPr="007718BF">
        <w:rPr>
          <w:rFonts w:ascii="Times New Roman" w:hAnsi="Times New Roman"/>
          <w:sz w:val="24"/>
          <w:szCs w:val="24"/>
        </w:rPr>
        <w:t>supported by the record which showed Kosky deliberately deceived the</w:t>
      </w:r>
      <w:r>
        <w:rPr>
          <w:rFonts w:ascii="Times New Roman" w:hAnsi="Times New Roman"/>
          <w:sz w:val="24"/>
          <w:szCs w:val="24"/>
        </w:rPr>
        <w:t xml:space="preserve"> </w:t>
      </w:r>
      <w:r w:rsidRPr="007718BF">
        <w:rPr>
          <w:rFonts w:ascii="Times New Roman" w:hAnsi="Times New Roman"/>
          <w:sz w:val="24"/>
          <w:szCs w:val="24"/>
        </w:rPr>
        <w:t xml:space="preserve">Department by failing to disclose he was holding two full-time positions </w:t>
      </w:r>
      <w:proofErr w:type="gramStart"/>
      <w:r w:rsidRPr="007718BF">
        <w:rPr>
          <w:rFonts w:ascii="Times New Roman" w:hAnsi="Times New Roman"/>
          <w:sz w:val="24"/>
          <w:szCs w:val="24"/>
        </w:rPr>
        <w:t>in an</w:t>
      </w:r>
      <w:r>
        <w:rPr>
          <w:rFonts w:ascii="Times New Roman" w:hAnsi="Times New Roman"/>
          <w:sz w:val="24"/>
          <w:szCs w:val="24"/>
        </w:rPr>
        <w:t xml:space="preserve"> </w:t>
      </w:r>
      <w:r w:rsidRPr="007718BF">
        <w:rPr>
          <w:rFonts w:ascii="Times New Roman" w:hAnsi="Times New Roman"/>
          <w:sz w:val="24"/>
          <w:szCs w:val="24"/>
        </w:rPr>
        <w:t>effort to</w:t>
      </w:r>
      <w:proofErr w:type="gramEnd"/>
      <w:r w:rsidRPr="007718BF">
        <w:rPr>
          <w:rFonts w:ascii="Times New Roman" w:hAnsi="Times New Roman"/>
          <w:sz w:val="24"/>
          <w:szCs w:val="24"/>
        </w:rPr>
        <w:t xml:space="preserve"> gain personal advantage in the form of additional pension and health</w:t>
      </w:r>
      <w:r>
        <w:rPr>
          <w:rFonts w:ascii="Times New Roman" w:hAnsi="Times New Roman"/>
          <w:sz w:val="24"/>
          <w:szCs w:val="24"/>
        </w:rPr>
        <w:t xml:space="preserve"> </w:t>
      </w:r>
      <w:r w:rsidRPr="007718BF">
        <w:rPr>
          <w:rFonts w:ascii="Times New Roman" w:hAnsi="Times New Roman"/>
          <w:sz w:val="24"/>
          <w:szCs w:val="24"/>
        </w:rPr>
        <w:t>benefits.</w:t>
      </w:r>
      <w:r>
        <w:rPr>
          <w:rFonts w:ascii="Times New Roman" w:hAnsi="Times New Roman"/>
          <w:sz w:val="24"/>
          <w:szCs w:val="24"/>
        </w:rPr>
        <w:t>”</w:t>
      </w:r>
    </w:p>
    <w:p w14:paraId="6F2EE934" w14:textId="77777777" w:rsidR="004C22AB" w:rsidRDefault="004C22AB" w:rsidP="004C22AB">
      <w:pPr>
        <w:rPr>
          <w:rFonts w:ascii="Times New Roman" w:hAnsi="Times New Roman"/>
          <w:b/>
          <w:bCs/>
          <w:sz w:val="24"/>
          <w:szCs w:val="24"/>
        </w:rPr>
      </w:pPr>
      <w:r w:rsidRPr="00346E64">
        <w:rPr>
          <w:rFonts w:ascii="Times New Roman" w:hAnsi="Times New Roman"/>
          <w:b/>
          <w:bCs/>
          <w:sz w:val="24"/>
          <w:szCs w:val="24"/>
        </w:rPr>
        <w:t xml:space="preserve">Legal Lesson Learned: </w:t>
      </w:r>
      <w:r>
        <w:rPr>
          <w:rFonts w:ascii="Times New Roman" w:hAnsi="Times New Roman"/>
          <w:b/>
          <w:bCs/>
          <w:sz w:val="24"/>
          <w:szCs w:val="24"/>
        </w:rPr>
        <w:t xml:space="preserve">Termination was appropriate; progressive discipline not appropriate who someone conducting a “deliberate shell game.” </w:t>
      </w:r>
    </w:p>
    <w:p w14:paraId="75B5586A" w14:textId="77777777" w:rsidR="004C22AB" w:rsidRPr="00270653" w:rsidRDefault="004C22AB" w:rsidP="004C22AB">
      <w:pPr>
        <w:ind w:left="720"/>
        <w:rPr>
          <w:rFonts w:ascii="Times New Roman" w:hAnsi="Times New Roman"/>
          <w:sz w:val="24"/>
          <w:szCs w:val="24"/>
        </w:rPr>
      </w:pPr>
      <w:r w:rsidRPr="00270653">
        <w:rPr>
          <w:rFonts w:ascii="Times New Roman" w:hAnsi="Times New Roman"/>
          <w:sz w:val="24"/>
          <w:szCs w:val="24"/>
        </w:rPr>
        <w:t xml:space="preserve">Note: Read the Civil Service Commission report. </w:t>
      </w:r>
      <w:hyperlink r:id="rId2559" w:history="1">
        <w:r w:rsidRPr="00270653">
          <w:rPr>
            <w:rStyle w:val="Hyperlink"/>
            <w:rFonts w:ascii="Times New Roman" w:hAnsi="Times New Roman"/>
            <w:sz w:val="24"/>
            <w:szCs w:val="24"/>
          </w:rPr>
          <w:t>https://www.nj.gov/csc/about/meetings/decisions/pdf/2023/01-18-23/A005%20TAYAG-KOSKY%20JOHN.pdf</w:t>
        </w:r>
      </w:hyperlink>
      <w:r w:rsidRPr="00270653">
        <w:rPr>
          <w:rFonts w:ascii="Times New Roman" w:hAnsi="Times New Roman"/>
          <w:sz w:val="24"/>
          <w:szCs w:val="24"/>
        </w:rPr>
        <w:t xml:space="preserve"> </w:t>
      </w:r>
    </w:p>
    <w:p w14:paraId="696E8BC4" w14:textId="77777777" w:rsidR="00FE25A3" w:rsidRDefault="00FE25A3" w:rsidP="00F91F9F">
      <w:pPr>
        <w:pStyle w:val="NoSpacing"/>
        <w:rPr>
          <w:rFonts w:ascii="Arial Black" w:hAnsi="Arial Black"/>
          <w:sz w:val="24"/>
          <w:szCs w:val="24"/>
        </w:rPr>
      </w:pPr>
    </w:p>
    <w:p w14:paraId="146E111B" w14:textId="77777777" w:rsidR="00CE27F4" w:rsidRDefault="00CE27F4" w:rsidP="00F91F9F">
      <w:pPr>
        <w:pStyle w:val="NoSpacing"/>
        <w:rPr>
          <w:rFonts w:ascii="Arial Black" w:hAnsi="Arial Black"/>
          <w:sz w:val="24"/>
          <w:szCs w:val="24"/>
        </w:rPr>
      </w:pPr>
    </w:p>
    <w:p w14:paraId="67ADA7A1" w14:textId="77777777" w:rsidR="00CE27F4" w:rsidRDefault="00CE27F4" w:rsidP="00F91F9F">
      <w:pPr>
        <w:pStyle w:val="NoSpacing"/>
        <w:rPr>
          <w:rFonts w:ascii="Arial Black" w:hAnsi="Arial Black"/>
          <w:sz w:val="24"/>
          <w:szCs w:val="24"/>
        </w:rPr>
      </w:pPr>
    </w:p>
    <w:p w14:paraId="58529998" w14:textId="5D92E6D0" w:rsidR="00B55AFC" w:rsidRDefault="00BB3D8E" w:rsidP="00F91F9F">
      <w:pPr>
        <w:pStyle w:val="NoSpacing"/>
        <w:rPr>
          <w:rFonts w:ascii="Arial Black" w:hAnsi="Arial Black"/>
          <w:sz w:val="24"/>
          <w:szCs w:val="24"/>
        </w:rPr>
      </w:pPr>
      <w:r>
        <w:rPr>
          <w:rFonts w:ascii="Arial Black" w:hAnsi="Arial Black"/>
          <w:sz w:val="24"/>
          <w:szCs w:val="24"/>
        </w:rPr>
        <w:t>16-111</w:t>
      </w:r>
    </w:p>
    <w:p w14:paraId="499ED00B" w14:textId="77777777" w:rsidR="00BB3D8E" w:rsidRDefault="00BB3D8E" w:rsidP="00F91F9F">
      <w:pPr>
        <w:pStyle w:val="NoSpacing"/>
        <w:rPr>
          <w:rFonts w:ascii="Arial Black" w:hAnsi="Arial Black"/>
          <w:sz w:val="24"/>
          <w:szCs w:val="24"/>
        </w:rPr>
      </w:pPr>
    </w:p>
    <w:p w14:paraId="43D6E405" w14:textId="77777777" w:rsidR="00B34746" w:rsidRDefault="00B34746" w:rsidP="00B34746">
      <w:pPr>
        <w:pStyle w:val="NoSpacing"/>
        <w:rPr>
          <w:rFonts w:ascii="Arial Black" w:hAnsi="Arial Black"/>
          <w:sz w:val="28"/>
          <w:szCs w:val="28"/>
        </w:rPr>
      </w:pPr>
      <w:r w:rsidRPr="0049649C">
        <w:rPr>
          <w:rFonts w:ascii="Arial Black" w:hAnsi="Arial Black"/>
          <w:sz w:val="28"/>
          <w:szCs w:val="28"/>
        </w:rPr>
        <w:t xml:space="preserve">CA: </w:t>
      </w:r>
      <w:r>
        <w:rPr>
          <w:rFonts w:ascii="Arial Black" w:hAnsi="Arial Black"/>
          <w:sz w:val="28"/>
          <w:szCs w:val="28"/>
        </w:rPr>
        <w:t xml:space="preserve">FIRE </w:t>
      </w:r>
      <w:r w:rsidRPr="0049649C">
        <w:rPr>
          <w:rFonts w:ascii="Arial Black" w:hAnsi="Arial Black"/>
          <w:sz w:val="28"/>
          <w:szCs w:val="28"/>
        </w:rPr>
        <w:t>CHIEF</w:t>
      </w:r>
      <w:r>
        <w:rPr>
          <w:rFonts w:ascii="Arial Black" w:hAnsi="Arial Black"/>
          <w:sz w:val="28"/>
          <w:szCs w:val="28"/>
        </w:rPr>
        <w:t xml:space="preserve"> FIRED – “RELIGIOUS DISCRIMINATION” CASE WAS DISMISSED – 9</w:t>
      </w:r>
      <w:r w:rsidRPr="005322F9">
        <w:rPr>
          <w:rFonts w:ascii="Arial Black" w:hAnsi="Arial Black"/>
          <w:sz w:val="28"/>
          <w:szCs w:val="28"/>
          <w:vertAlign w:val="superscript"/>
        </w:rPr>
        <w:t>th</w:t>
      </w:r>
      <w:r>
        <w:rPr>
          <w:rFonts w:ascii="Arial Black" w:hAnsi="Arial Black"/>
          <w:sz w:val="28"/>
          <w:szCs w:val="28"/>
        </w:rPr>
        <w:t xml:space="preserve"> CIR. NO “EN BANC” REVIEW</w:t>
      </w:r>
    </w:p>
    <w:p w14:paraId="25F66989" w14:textId="77777777" w:rsidR="00B34746" w:rsidRDefault="00B34746" w:rsidP="00B34746">
      <w:pPr>
        <w:pStyle w:val="NoSpacing"/>
      </w:pPr>
    </w:p>
    <w:p w14:paraId="793B7ED0" w14:textId="77777777" w:rsidR="00B34746" w:rsidRDefault="00B34746" w:rsidP="00B34746">
      <w:pPr>
        <w:pStyle w:val="NoSpacing"/>
        <w:rPr>
          <w:rFonts w:ascii="Times New Roman" w:hAnsi="Times New Roman"/>
          <w:sz w:val="24"/>
          <w:szCs w:val="24"/>
        </w:rPr>
      </w:pPr>
      <w:r w:rsidRPr="00675CE0">
        <w:rPr>
          <w:rFonts w:ascii="Times New Roman" w:hAnsi="Times New Roman"/>
          <w:sz w:val="24"/>
          <w:szCs w:val="24"/>
        </w:rPr>
        <w:t xml:space="preserve">On May 17, 2024, in </w:t>
      </w:r>
      <w:r w:rsidRPr="00675CE0">
        <w:rPr>
          <w:rFonts w:ascii="Times New Roman" w:hAnsi="Times New Roman"/>
          <w:sz w:val="24"/>
          <w:szCs w:val="24"/>
          <w:u w:val="single"/>
        </w:rPr>
        <w:t>Ronald Hittle v. City of Stockton, California</w:t>
      </w:r>
      <w:r w:rsidRPr="00675CE0">
        <w:rPr>
          <w:rFonts w:ascii="Times New Roman" w:hAnsi="Times New Roman"/>
          <w:sz w:val="24"/>
          <w:szCs w:val="24"/>
        </w:rPr>
        <w:t xml:space="preserve">, </w:t>
      </w:r>
      <w:r>
        <w:rPr>
          <w:rFonts w:ascii="Times New Roman" w:hAnsi="Times New Roman"/>
          <w:sz w:val="24"/>
          <w:szCs w:val="24"/>
        </w:rPr>
        <w:t>U.S. Court of Appeals for 9</w:t>
      </w:r>
      <w:r w:rsidRPr="00082FD4">
        <w:rPr>
          <w:rFonts w:ascii="Times New Roman" w:hAnsi="Times New Roman"/>
          <w:sz w:val="24"/>
          <w:szCs w:val="24"/>
          <w:vertAlign w:val="superscript"/>
        </w:rPr>
        <w:t>th</w:t>
      </w:r>
      <w:r>
        <w:rPr>
          <w:rFonts w:ascii="Times New Roman" w:hAnsi="Times New Roman"/>
          <w:sz w:val="24"/>
          <w:szCs w:val="24"/>
        </w:rPr>
        <w:t xml:space="preserve"> Circuit (San Francisco) a majority of the 29 Circuit Judges declined to hear his appeal, and </w:t>
      </w:r>
      <w:r w:rsidRPr="00675CE0">
        <w:rPr>
          <w:rFonts w:ascii="Times New Roman" w:hAnsi="Times New Roman"/>
          <w:sz w:val="24"/>
          <w:szCs w:val="24"/>
        </w:rPr>
        <w:t>the 3-</w:t>
      </w:r>
      <w:r>
        <w:rPr>
          <w:rFonts w:ascii="Times New Roman" w:hAnsi="Times New Roman"/>
          <w:sz w:val="24"/>
          <w:szCs w:val="24"/>
        </w:rPr>
        <w:t>J</w:t>
      </w:r>
      <w:r w:rsidRPr="00675CE0">
        <w:rPr>
          <w:rFonts w:ascii="Times New Roman" w:hAnsi="Times New Roman"/>
          <w:sz w:val="24"/>
          <w:szCs w:val="24"/>
        </w:rPr>
        <w:t xml:space="preserve">udge panel </w:t>
      </w:r>
      <w:r>
        <w:rPr>
          <w:rFonts w:ascii="Times New Roman" w:hAnsi="Times New Roman"/>
          <w:sz w:val="24"/>
          <w:szCs w:val="24"/>
        </w:rPr>
        <w:t xml:space="preserve">that originally denied his appeal on Aug. 4, </w:t>
      </w:r>
      <w:proofErr w:type="gramStart"/>
      <w:r>
        <w:rPr>
          <w:rFonts w:ascii="Times New Roman" w:hAnsi="Times New Roman"/>
          <w:sz w:val="24"/>
          <w:szCs w:val="24"/>
        </w:rPr>
        <w:t>2023</w:t>
      </w:r>
      <w:proofErr w:type="gramEnd"/>
      <w:r>
        <w:rPr>
          <w:rFonts w:ascii="Times New Roman" w:hAnsi="Times New Roman"/>
          <w:sz w:val="24"/>
          <w:szCs w:val="24"/>
        </w:rPr>
        <w:t xml:space="preserve"> issued a more detailed second decision.  The City fired Chief Hittle on Sept. 30, 2011 after it retained an outside attorney who wrote 250 page investigative report that included allegations the Chief had formed a “Christian Coalition” in FD, including taking three officers in a FD vehicle to Aug. 5 &amp; 6, 2020 a Christian “</w:t>
      </w:r>
      <w:r w:rsidRPr="005616B7">
        <w:rPr>
          <w:rFonts w:ascii="Times New Roman" w:hAnsi="Times New Roman"/>
          <w:sz w:val="24"/>
          <w:szCs w:val="24"/>
        </w:rPr>
        <w:t>Global Leadership Summit</w:t>
      </w:r>
      <w:r>
        <w:rPr>
          <w:rFonts w:ascii="Times New Roman" w:hAnsi="Times New Roman"/>
          <w:sz w:val="24"/>
          <w:szCs w:val="24"/>
        </w:rPr>
        <w:t xml:space="preserve">” conference at a church in Livermore, on city time.  The 3-Judge panel in its May 17, </w:t>
      </w:r>
      <w:proofErr w:type="gramStart"/>
      <w:r>
        <w:rPr>
          <w:rFonts w:ascii="Times New Roman" w:hAnsi="Times New Roman"/>
          <w:sz w:val="24"/>
          <w:szCs w:val="24"/>
        </w:rPr>
        <w:t>2024</w:t>
      </w:r>
      <w:proofErr w:type="gramEnd"/>
      <w:r>
        <w:rPr>
          <w:rFonts w:ascii="Times New Roman" w:hAnsi="Times New Roman"/>
          <w:sz w:val="24"/>
          <w:szCs w:val="24"/>
        </w:rPr>
        <w:t xml:space="preserve"> decision held:</w:t>
      </w:r>
    </w:p>
    <w:p w14:paraId="7A7CEDCA" w14:textId="77777777" w:rsidR="00B34746" w:rsidRDefault="00B34746" w:rsidP="00B34746">
      <w:pPr>
        <w:pStyle w:val="NoSpacing"/>
        <w:rPr>
          <w:rFonts w:ascii="Times New Roman" w:hAnsi="Times New Roman"/>
          <w:sz w:val="24"/>
          <w:szCs w:val="24"/>
        </w:rPr>
      </w:pPr>
    </w:p>
    <w:p w14:paraId="25BB64E2" w14:textId="77777777" w:rsidR="00B34746" w:rsidRDefault="00B34746" w:rsidP="00B34746">
      <w:pPr>
        <w:pStyle w:val="NoSpacing"/>
        <w:ind w:left="720"/>
        <w:rPr>
          <w:rFonts w:ascii="Times New Roman" w:hAnsi="Times New Roman"/>
          <w:sz w:val="24"/>
          <w:szCs w:val="24"/>
        </w:rPr>
      </w:pPr>
      <w:r>
        <w:rPr>
          <w:rFonts w:ascii="Times New Roman" w:hAnsi="Times New Roman"/>
          <w:sz w:val="24"/>
          <w:szCs w:val="24"/>
        </w:rPr>
        <w:t>“</w:t>
      </w:r>
      <w:r w:rsidRPr="00F62C43">
        <w:rPr>
          <w:rFonts w:ascii="Times New Roman" w:hAnsi="Times New Roman"/>
          <w:sz w:val="24"/>
          <w:szCs w:val="24"/>
        </w:rPr>
        <w:t xml:space="preserve">The </w:t>
      </w:r>
      <w:proofErr w:type="gramStart"/>
      <w:r w:rsidRPr="00F62C43">
        <w:rPr>
          <w:rFonts w:ascii="Times New Roman" w:hAnsi="Times New Roman"/>
          <w:sz w:val="24"/>
          <w:szCs w:val="24"/>
        </w:rPr>
        <w:t>City</w:t>
      </w:r>
      <w:proofErr w:type="gramEnd"/>
      <w:r w:rsidRPr="00F62C43">
        <w:rPr>
          <w:rFonts w:ascii="Times New Roman" w:hAnsi="Times New Roman"/>
          <w:sz w:val="24"/>
          <w:szCs w:val="24"/>
        </w:rPr>
        <w:t xml:space="preserve"> hired an outside independent</w:t>
      </w:r>
      <w:r>
        <w:rPr>
          <w:rFonts w:ascii="Times New Roman" w:hAnsi="Times New Roman"/>
          <w:sz w:val="24"/>
          <w:szCs w:val="24"/>
        </w:rPr>
        <w:t xml:space="preserve"> </w:t>
      </w:r>
      <w:r w:rsidRPr="00F62C43">
        <w:rPr>
          <w:rFonts w:ascii="Times New Roman" w:hAnsi="Times New Roman"/>
          <w:sz w:val="24"/>
          <w:szCs w:val="24"/>
        </w:rPr>
        <w:t>investigator, Trudy Largent (</w:t>
      </w:r>
      <w:r>
        <w:rPr>
          <w:rFonts w:ascii="Times New Roman" w:hAnsi="Times New Roman"/>
          <w:sz w:val="24"/>
          <w:szCs w:val="24"/>
        </w:rPr>
        <w:t>‘</w:t>
      </w:r>
      <w:r w:rsidRPr="00F62C43">
        <w:rPr>
          <w:rFonts w:ascii="Times New Roman" w:hAnsi="Times New Roman"/>
          <w:sz w:val="24"/>
          <w:szCs w:val="24"/>
        </w:rPr>
        <w:t>Largent</w:t>
      </w:r>
      <w:r>
        <w:rPr>
          <w:rFonts w:ascii="Times New Roman" w:hAnsi="Times New Roman"/>
          <w:sz w:val="24"/>
          <w:szCs w:val="24"/>
        </w:rPr>
        <w:t>’</w:t>
      </w:r>
      <w:r w:rsidRPr="00F62C43">
        <w:rPr>
          <w:rFonts w:ascii="Times New Roman" w:hAnsi="Times New Roman"/>
          <w:sz w:val="24"/>
          <w:szCs w:val="24"/>
        </w:rPr>
        <w:t>),</w:t>
      </w:r>
      <w:r>
        <w:rPr>
          <w:rFonts w:ascii="Times New Roman" w:hAnsi="Times New Roman"/>
          <w:sz w:val="24"/>
          <w:szCs w:val="24"/>
        </w:rPr>
        <w:t xml:space="preserve"> [CA attorney] </w:t>
      </w:r>
      <w:r w:rsidRPr="00F62C43">
        <w:rPr>
          <w:rFonts w:ascii="Times New Roman" w:hAnsi="Times New Roman"/>
          <w:sz w:val="24"/>
          <w:szCs w:val="24"/>
        </w:rPr>
        <w:t>to investigate</w:t>
      </w:r>
      <w:r>
        <w:rPr>
          <w:rFonts w:ascii="Times New Roman" w:hAnsi="Times New Roman"/>
          <w:sz w:val="24"/>
          <w:szCs w:val="24"/>
        </w:rPr>
        <w:t xml:space="preserve"> </w:t>
      </w:r>
      <w:r w:rsidRPr="00F62C43">
        <w:rPr>
          <w:rFonts w:ascii="Times New Roman" w:hAnsi="Times New Roman"/>
          <w:sz w:val="24"/>
          <w:szCs w:val="24"/>
        </w:rPr>
        <w:t>various allegations of misconduct. In a 250-page report</w:t>
      </w:r>
      <w:r>
        <w:rPr>
          <w:rFonts w:ascii="Times New Roman" w:hAnsi="Times New Roman"/>
          <w:sz w:val="24"/>
          <w:szCs w:val="24"/>
        </w:rPr>
        <w:t xml:space="preserve">  </w:t>
      </w:r>
      <w:r w:rsidRPr="009A57BD">
        <w:rPr>
          <w:rFonts w:ascii="Times New Roman" w:hAnsi="Times New Roman"/>
          <w:sz w:val="24"/>
          <w:szCs w:val="24"/>
        </w:rPr>
        <w:t xml:space="preserve">referencing over 50 exhibits, Largent sustained almost </w:t>
      </w:r>
      <w:proofErr w:type="gramStart"/>
      <w:r w:rsidRPr="009A57BD">
        <w:rPr>
          <w:rFonts w:ascii="Times New Roman" w:hAnsi="Times New Roman"/>
          <w:sz w:val="24"/>
          <w:szCs w:val="24"/>
        </w:rPr>
        <w:t>all of</w:t>
      </w:r>
      <w:proofErr w:type="gramEnd"/>
      <w:r>
        <w:rPr>
          <w:rFonts w:ascii="Times New Roman" w:hAnsi="Times New Roman"/>
          <w:sz w:val="24"/>
          <w:szCs w:val="24"/>
        </w:rPr>
        <w:t xml:space="preserve"> </w:t>
      </w:r>
      <w:r w:rsidRPr="009A57BD">
        <w:rPr>
          <w:rFonts w:ascii="Times New Roman" w:hAnsi="Times New Roman"/>
          <w:sz w:val="24"/>
          <w:szCs w:val="24"/>
        </w:rPr>
        <w:t>the allegations of misconduct against Hittle.</w:t>
      </w:r>
      <w:r>
        <w:rPr>
          <w:rFonts w:ascii="Times New Roman" w:hAnsi="Times New Roman"/>
          <w:sz w:val="24"/>
          <w:szCs w:val="24"/>
        </w:rPr>
        <w:t xml:space="preserve"> </w:t>
      </w:r>
      <w:r w:rsidRPr="009A57BD">
        <w:rPr>
          <w:rFonts w:ascii="Times New Roman" w:hAnsi="Times New Roman"/>
          <w:sz w:val="24"/>
          <w:szCs w:val="24"/>
        </w:rPr>
        <w:t>Largent’s Report specifically concluded that Hittle:</w:t>
      </w:r>
      <w:r>
        <w:rPr>
          <w:rFonts w:ascii="Times New Roman" w:hAnsi="Times New Roman"/>
          <w:sz w:val="24"/>
          <w:szCs w:val="24"/>
        </w:rPr>
        <w:t xml:space="preserve"> </w:t>
      </w:r>
      <w:r w:rsidRPr="009A57BD">
        <w:rPr>
          <w:rFonts w:ascii="Times New Roman" w:hAnsi="Times New Roman"/>
          <w:sz w:val="24"/>
          <w:szCs w:val="24"/>
        </w:rPr>
        <w:t>(1) lacked effectiveness and judgment in his ongoing</w:t>
      </w:r>
      <w:r>
        <w:rPr>
          <w:rFonts w:ascii="Times New Roman" w:hAnsi="Times New Roman"/>
          <w:sz w:val="24"/>
          <w:szCs w:val="24"/>
        </w:rPr>
        <w:t xml:space="preserve"> </w:t>
      </w:r>
      <w:r w:rsidRPr="009A57BD">
        <w:rPr>
          <w:rFonts w:ascii="Times New Roman" w:hAnsi="Times New Roman"/>
          <w:sz w:val="24"/>
          <w:szCs w:val="24"/>
        </w:rPr>
        <w:t>leadership of the Fire Department; (2) used City time and a</w:t>
      </w:r>
      <w:r>
        <w:rPr>
          <w:rFonts w:ascii="Times New Roman" w:hAnsi="Times New Roman"/>
          <w:sz w:val="24"/>
          <w:szCs w:val="24"/>
        </w:rPr>
        <w:t xml:space="preserve"> </w:t>
      </w:r>
      <w:r w:rsidRPr="009A57BD">
        <w:rPr>
          <w:rFonts w:ascii="Times New Roman" w:hAnsi="Times New Roman"/>
          <w:sz w:val="24"/>
          <w:szCs w:val="24"/>
        </w:rPr>
        <w:t>City vehicle to attend a religious event, and approved on-duty attendance of other Fire Department managers to do the</w:t>
      </w:r>
      <w:r>
        <w:rPr>
          <w:rFonts w:ascii="Times New Roman" w:hAnsi="Times New Roman"/>
          <w:sz w:val="24"/>
          <w:szCs w:val="24"/>
        </w:rPr>
        <w:t xml:space="preserve"> </w:t>
      </w:r>
      <w:r w:rsidRPr="009A57BD">
        <w:rPr>
          <w:rFonts w:ascii="Times New Roman" w:hAnsi="Times New Roman"/>
          <w:sz w:val="24"/>
          <w:szCs w:val="24"/>
        </w:rPr>
        <w:t>same; (3) failed to properly report his time off; (4) engaged</w:t>
      </w:r>
      <w:r>
        <w:rPr>
          <w:rFonts w:ascii="Times New Roman" w:hAnsi="Times New Roman"/>
          <w:sz w:val="24"/>
          <w:szCs w:val="24"/>
        </w:rPr>
        <w:t xml:space="preserve"> </w:t>
      </w:r>
      <w:r w:rsidRPr="009A57BD">
        <w:rPr>
          <w:rFonts w:ascii="Times New Roman" w:hAnsi="Times New Roman"/>
          <w:sz w:val="24"/>
          <w:szCs w:val="24"/>
        </w:rPr>
        <w:t>in potential favoritism of certain Fire Department employees</w:t>
      </w:r>
      <w:r>
        <w:rPr>
          <w:rFonts w:ascii="Times New Roman" w:hAnsi="Times New Roman"/>
          <w:sz w:val="24"/>
          <w:szCs w:val="24"/>
        </w:rPr>
        <w:t xml:space="preserve"> </w:t>
      </w:r>
      <w:r w:rsidRPr="009A57BD">
        <w:rPr>
          <w:rFonts w:ascii="Times New Roman" w:hAnsi="Times New Roman"/>
          <w:sz w:val="24"/>
          <w:szCs w:val="24"/>
        </w:rPr>
        <w:t>based on a financial conflict of interest not disclosed to the</w:t>
      </w:r>
      <w:r>
        <w:rPr>
          <w:rFonts w:ascii="Times New Roman" w:hAnsi="Times New Roman"/>
          <w:sz w:val="24"/>
          <w:szCs w:val="24"/>
        </w:rPr>
        <w:t xml:space="preserve"> </w:t>
      </w:r>
      <w:r w:rsidRPr="009A57BD">
        <w:rPr>
          <w:rFonts w:ascii="Times New Roman" w:hAnsi="Times New Roman"/>
          <w:sz w:val="24"/>
          <w:szCs w:val="24"/>
        </w:rPr>
        <w:t>City; (5) endorsed a private consultant’s business in</w:t>
      </w:r>
      <w:r>
        <w:rPr>
          <w:rFonts w:ascii="Times New Roman" w:hAnsi="Times New Roman"/>
          <w:sz w:val="24"/>
          <w:szCs w:val="24"/>
        </w:rPr>
        <w:t xml:space="preserve"> </w:t>
      </w:r>
      <w:r w:rsidRPr="009A57BD">
        <w:rPr>
          <w:rFonts w:ascii="Times New Roman" w:hAnsi="Times New Roman"/>
          <w:sz w:val="24"/>
          <w:szCs w:val="24"/>
        </w:rPr>
        <w:t>violation of City policy; and (6) had potentially conflicting</w:t>
      </w:r>
      <w:r>
        <w:rPr>
          <w:rFonts w:ascii="Times New Roman" w:hAnsi="Times New Roman"/>
          <w:sz w:val="24"/>
          <w:szCs w:val="24"/>
        </w:rPr>
        <w:t xml:space="preserve"> </w:t>
      </w:r>
      <w:r w:rsidRPr="009A57BD">
        <w:rPr>
          <w:rFonts w:ascii="Times New Roman" w:hAnsi="Times New Roman"/>
          <w:sz w:val="24"/>
          <w:szCs w:val="24"/>
        </w:rPr>
        <w:t>loyalties in his management role and responsibilities,</w:t>
      </w:r>
      <w:r>
        <w:rPr>
          <w:rFonts w:ascii="Times New Roman" w:hAnsi="Times New Roman"/>
          <w:sz w:val="24"/>
          <w:szCs w:val="24"/>
        </w:rPr>
        <w:t xml:space="preserve"> </w:t>
      </w:r>
      <w:r w:rsidRPr="009A57BD">
        <w:rPr>
          <w:rFonts w:ascii="Times New Roman" w:hAnsi="Times New Roman"/>
          <w:sz w:val="24"/>
          <w:szCs w:val="24"/>
        </w:rPr>
        <w:t>including Hittle’s relationship with the head of the local</w:t>
      </w:r>
      <w:r>
        <w:rPr>
          <w:rFonts w:ascii="Times New Roman" w:hAnsi="Times New Roman"/>
          <w:sz w:val="24"/>
          <w:szCs w:val="24"/>
        </w:rPr>
        <w:t xml:space="preserve"> </w:t>
      </w:r>
      <w:r w:rsidRPr="009A57BD">
        <w:rPr>
          <w:rFonts w:ascii="Times New Roman" w:hAnsi="Times New Roman"/>
          <w:sz w:val="24"/>
          <w:szCs w:val="24"/>
        </w:rPr>
        <w:t>firefighters’ union. Based on the independent findings and</w:t>
      </w:r>
      <w:r>
        <w:rPr>
          <w:rFonts w:ascii="Times New Roman" w:hAnsi="Times New Roman"/>
          <w:sz w:val="24"/>
          <w:szCs w:val="24"/>
        </w:rPr>
        <w:t xml:space="preserve"> </w:t>
      </w:r>
      <w:r w:rsidRPr="009A57BD">
        <w:rPr>
          <w:rFonts w:ascii="Times New Roman" w:hAnsi="Times New Roman"/>
          <w:sz w:val="24"/>
          <w:szCs w:val="24"/>
        </w:rPr>
        <w:t xml:space="preserve">conclusions set forth in Largent’s report, the </w:t>
      </w:r>
      <w:proofErr w:type="gramStart"/>
      <w:r w:rsidRPr="009A57BD">
        <w:rPr>
          <w:rFonts w:ascii="Times New Roman" w:hAnsi="Times New Roman"/>
          <w:sz w:val="24"/>
          <w:szCs w:val="24"/>
        </w:rPr>
        <w:t>City</w:t>
      </w:r>
      <w:proofErr w:type="gramEnd"/>
      <w:r w:rsidRPr="009A57BD">
        <w:rPr>
          <w:rFonts w:ascii="Times New Roman" w:hAnsi="Times New Roman"/>
          <w:sz w:val="24"/>
          <w:szCs w:val="24"/>
        </w:rPr>
        <w:t xml:space="preserve"> removed</w:t>
      </w:r>
      <w:r>
        <w:rPr>
          <w:rFonts w:ascii="Times New Roman" w:hAnsi="Times New Roman"/>
          <w:sz w:val="24"/>
          <w:szCs w:val="24"/>
        </w:rPr>
        <w:t xml:space="preserve"> </w:t>
      </w:r>
      <w:r w:rsidRPr="009A57BD">
        <w:rPr>
          <w:rFonts w:ascii="Times New Roman" w:hAnsi="Times New Roman"/>
          <w:sz w:val="24"/>
          <w:szCs w:val="24"/>
        </w:rPr>
        <w:t>Hittle from his position as Fire Chief.</w:t>
      </w:r>
    </w:p>
    <w:p w14:paraId="2119E761" w14:textId="77777777" w:rsidR="00B34746" w:rsidRDefault="00B34746" w:rsidP="00B34746">
      <w:pPr>
        <w:pStyle w:val="NoSpacing"/>
        <w:ind w:left="720"/>
        <w:rPr>
          <w:rFonts w:ascii="Times New Roman" w:hAnsi="Times New Roman"/>
          <w:sz w:val="24"/>
          <w:szCs w:val="24"/>
        </w:rPr>
      </w:pPr>
    </w:p>
    <w:p w14:paraId="79CE2D55" w14:textId="77777777" w:rsidR="00B34746" w:rsidRDefault="00B34746" w:rsidP="00B34746">
      <w:pPr>
        <w:pStyle w:val="NoSpacing"/>
        <w:ind w:left="720"/>
        <w:rPr>
          <w:rFonts w:ascii="Times New Roman" w:hAnsi="Times New Roman"/>
          <w:sz w:val="24"/>
          <w:szCs w:val="24"/>
        </w:rPr>
      </w:pPr>
      <w:r>
        <w:rPr>
          <w:rFonts w:ascii="Times New Roman" w:hAnsi="Times New Roman"/>
          <w:sz w:val="24"/>
          <w:szCs w:val="24"/>
        </w:rPr>
        <w:t>***</w:t>
      </w:r>
    </w:p>
    <w:p w14:paraId="75ADFF73" w14:textId="77777777" w:rsidR="00B34746" w:rsidRDefault="00B34746" w:rsidP="00B34746">
      <w:pPr>
        <w:pStyle w:val="NoSpacing"/>
        <w:ind w:left="720"/>
        <w:rPr>
          <w:rFonts w:ascii="Times New Roman" w:hAnsi="Times New Roman"/>
          <w:sz w:val="24"/>
          <w:szCs w:val="24"/>
        </w:rPr>
      </w:pPr>
    </w:p>
    <w:p w14:paraId="2F2DDC6F" w14:textId="77777777" w:rsidR="00B34746" w:rsidRDefault="00B34746" w:rsidP="00B34746">
      <w:pPr>
        <w:pStyle w:val="NoSpacing"/>
        <w:ind w:left="720"/>
        <w:rPr>
          <w:rFonts w:ascii="Times New Roman" w:hAnsi="Times New Roman"/>
          <w:sz w:val="24"/>
          <w:szCs w:val="24"/>
        </w:rPr>
      </w:pPr>
      <w:r w:rsidRPr="00E2791B">
        <w:rPr>
          <w:rFonts w:ascii="Times New Roman" w:hAnsi="Times New Roman"/>
          <w:sz w:val="24"/>
          <w:szCs w:val="24"/>
        </w:rPr>
        <w:t>To summarize, we hold that, based on the record before</w:t>
      </w:r>
      <w:r>
        <w:rPr>
          <w:rFonts w:ascii="Times New Roman" w:hAnsi="Times New Roman"/>
          <w:sz w:val="24"/>
          <w:szCs w:val="24"/>
        </w:rPr>
        <w:t xml:space="preserve"> </w:t>
      </w:r>
      <w:r w:rsidRPr="00E2791B">
        <w:rPr>
          <w:rFonts w:ascii="Times New Roman" w:hAnsi="Times New Roman"/>
          <w:sz w:val="24"/>
          <w:szCs w:val="24"/>
        </w:rPr>
        <w:t>us, the district court’s granting of summary judgment in</w:t>
      </w:r>
      <w:r>
        <w:rPr>
          <w:rFonts w:ascii="Times New Roman" w:hAnsi="Times New Roman"/>
          <w:sz w:val="24"/>
          <w:szCs w:val="24"/>
        </w:rPr>
        <w:t xml:space="preserve"> </w:t>
      </w:r>
      <w:r w:rsidRPr="00E2791B">
        <w:rPr>
          <w:rFonts w:ascii="Times New Roman" w:hAnsi="Times New Roman"/>
          <w:sz w:val="24"/>
          <w:szCs w:val="24"/>
        </w:rPr>
        <w:t>Defendants’ favor was appropriate where Defendants’</w:t>
      </w:r>
      <w:r>
        <w:rPr>
          <w:rFonts w:ascii="Times New Roman" w:hAnsi="Times New Roman"/>
          <w:sz w:val="24"/>
          <w:szCs w:val="24"/>
        </w:rPr>
        <w:t xml:space="preserve"> l</w:t>
      </w:r>
      <w:r w:rsidRPr="005A0758">
        <w:rPr>
          <w:rFonts w:ascii="Times New Roman" w:hAnsi="Times New Roman"/>
          <w:sz w:val="24"/>
          <w:szCs w:val="24"/>
        </w:rPr>
        <w:t>egitimate, non-discriminatory reasons for firing Hittle were,</w:t>
      </w:r>
      <w:r>
        <w:rPr>
          <w:rFonts w:ascii="Times New Roman" w:hAnsi="Times New Roman"/>
          <w:sz w:val="24"/>
          <w:szCs w:val="24"/>
        </w:rPr>
        <w:t xml:space="preserve"> </w:t>
      </w:r>
      <w:r w:rsidRPr="005A0758">
        <w:rPr>
          <w:rFonts w:ascii="Times New Roman" w:hAnsi="Times New Roman"/>
          <w:sz w:val="24"/>
          <w:szCs w:val="24"/>
        </w:rPr>
        <w:t>in sum, sufficient to rebut Hittle’s evidence of</w:t>
      </w:r>
      <w:r>
        <w:rPr>
          <w:rFonts w:ascii="Times New Roman" w:hAnsi="Times New Roman"/>
          <w:sz w:val="24"/>
          <w:szCs w:val="24"/>
        </w:rPr>
        <w:t xml:space="preserve"> </w:t>
      </w:r>
      <w:r w:rsidRPr="005A0758">
        <w:rPr>
          <w:rFonts w:ascii="Times New Roman" w:hAnsi="Times New Roman"/>
          <w:sz w:val="24"/>
          <w:szCs w:val="24"/>
        </w:rPr>
        <w:t>discrimination, and Hittle has failed to persuasively argue</w:t>
      </w:r>
      <w:r>
        <w:rPr>
          <w:rFonts w:ascii="Times New Roman" w:hAnsi="Times New Roman"/>
          <w:sz w:val="24"/>
          <w:szCs w:val="24"/>
        </w:rPr>
        <w:t xml:space="preserve"> </w:t>
      </w:r>
      <w:r w:rsidRPr="005A0758">
        <w:rPr>
          <w:rFonts w:ascii="Times New Roman" w:hAnsi="Times New Roman"/>
          <w:sz w:val="24"/>
          <w:szCs w:val="24"/>
        </w:rPr>
        <w:t>that these non-discriminatory reasons were pretextual.</w:t>
      </w:r>
      <w:r>
        <w:rPr>
          <w:rFonts w:ascii="Times New Roman" w:hAnsi="Times New Roman"/>
          <w:sz w:val="24"/>
          <w:szCs w:val="24"/>
        </w:rPr>
        <w:t xml:space="preserve"> </w:t>
      </w:r>
      <w:r w:rsidRPr="005A0758">
        <w:rPr>
          <w:rFonts w:ascii="Times New Roman" w:hAnsi="Times New Roman"/>
          <w:sz w:val="24"/>
          <w:szCs w:val="24"/>
        </w:rPr>
        <w:t>When discriminatory remarks are merely quoting third</w:t>
      </w:r>
      <w:r>
        <w:rPr>
          <w:rFonts w:ascii="Times New Roman" w:hAnsi="Times New Roman"/>
          <w:sz w:val="24"/>
          <w:szCs w:val="24"/>
        </w:rPr>
        <w:t xml:space="preserve"> </w:t>
      </w:r>
      <w:r w:rsidRPr="005A0758">
        <w:rPr>
          <w:rFonts w:ascii="Times New Roman" w:hAnsi="Times New Roman"/>
          <w:sz w:val="24"/>
          <w:szCs w:val="24"/>
        </w:rPr>
        <w:t>parties and the real issue is public perception or other forms</w:t>
      </w:r>
      <w:r>
        <w:rPr>
          <w:rFonts w:ascii="Times New Roman" w:hAnsi="Times New Roman"/>
          <w:sz w:val="24"/>
          <w:szCs w:val="24"/>
        </w:rPr>
        <w:t xml:space="preserve"> </w:t>
      </w:r>
      <w:r w:rsidRPr="005A0758">
        <w:rPr>
          <w:rFonts w:ascii="Times New Roman" w:hAnsi="Times New Roman"/>
          <w:sz w:val="24"/>
          <w:szCs w:val="24"/>
        </w:rPr>
        <w:t>of misconduct (such as engaging in an activity that does not</w:t>
      </w:r>
      <w:r>
        <w:rPr>
          <w:rFonts w:ascii="Times New Roman" w:hAnsi="Times New Roman"/>
          <w:sz w:val="24"/>
          <w:szCs w:val="24"/>
        </w:rPr>
        <w:t xml:space="preserve"> </w:t>
      </w:r>
      <w:r w:rsidRPr="005A0758">
        <w:rPr>
          <w:rFonts w:ascii="Times New Roman" w:hAnsi="Times New Roman"/>
          <w:sz w:val="24"/>
          <w:szCs w:val="24"/>
        </w:rPr>
        <w:t>benefit the employer), there is no genuine issue of material</w:t>
      </w:r>
      <w:r>
        <w:rPr>
          <w:rFonts w:ascii="Times New Roman" w:hAnsi="Times New Roman"/>
          <w:sz w:val="24"/>
          <w:szCs w:val="24"/>
        </w:rPr>
        <w:t xml:space="preserve"> </w:t>
      </w:r>
      <w:r w:rsidRPr="005A0758">
        <w:rPr>
          <w:rFonts w:ascii="Times New Roman" w:hAnsi="Times New Roman"/>
          <w:sz w:val="24"/>
          <w:szCs w:val="24"/>
        </w:rPr>
        <w:t>fact that the employer was discriminatory. For the foregoing</w:t>
      </w:r>
      <w:r>
        <w:rPr>
          <w:rFonts w:ascii="Times New Roman" w:hAnsi="Times New Roman"/>
          <w:sz w:val="24"/>
          <w:szCs w:val="24"/>
        </w:rPr>
        <w:t xml:space="preserve"> </w:t>
      </w:r>
      <w:r w:rsidRPr="005A0758">
        <w:rPr>
          <w:rFonts w:ascii="Times New Roman" w:hAnsi="Times New Roman"/>
          <w:sz w:val="24"/>
          <w:szCs w:val="24"/>
        </w:rPr>
        <w:t>reasons, the judgment of the district court is AFFIRMED.</w:t>
      </w:r>
      <w:r>
        <w:rPr>
          <w:rFonts w:ascii="Times New Roman" w:hAnsi="Times New Roman"/>
          <w:sz w:val="24"/>
          <w:szCs w:val="24"/>
        </w:rPr>
        <w:t xml:space="preserve">” </w:t>
      </w:r>
      <w:hyperlink r:id="rId2560" w:history="1">
        <w:r w:rsidRPr="00065774">
          <w:rPr>
            <w:rStyle w:val="Hyperlink"/>
            <w:rFonts w:ascii="Times New Roman" w:hAnsi="Times New Roman"/>
            <w:sz w:val="24"/>
            <w:szCs w:val="24"/>
          </w:rPr>
          <w:t>https://cases.justia.com/federal/appellate-courts/ca9/22-15485/22-15485-2024-05-17.pdf?ts=1715961637</w:t>
        </w:r>
      </w:hyperlink>
      <w:r>
        <w:rPr>
          <w:rFonts w:ascii="Times New Roman" w:hAnsi="Times New Roman"/>
          <w:sz w:val="24"/>
          <w:szCs w:val="24"/>
        </w:rPr>
        <w:t xml:space="preserve"> </w:t>
      </w:r>
    </w:p>
    <w:p w14:paraId="0D6E5955" w14:textId="77777777" w:rsidR="00B34746" w:rsidRDefault="00B34746" w:rsidP="00B34746">
      <w:pPr>
        <w:pStyle w:val="NoSpacing"/>
        <w:rPr>
          <w:rFonts w:ascii="Times New Roman" w:hAnsi="Times New Roman"/>
          <w:sz w:val="24"/>
          <w:szCs w:val="24"/>
        </w:rPr>
      </w:pPr>
    </w:p>
    <w:p w14:paraId="5E34946E" w14:textId="77777777" w:rsidR="006428AD" w:rsidRPr="00D36E4C" w:rsidRDefault="006428AD" w:rsidP="006428AD">
      <w:pPr>
        <w:pStyle w:val="NoSpacing"/>
        <w:rPr>
          <w:rFonts w:ascii="Times New Roman" w:hAnsi="Times New Roman"/>
          <w:b/>
          <w:bCs/>
          <w:sz w:val="24"/>
          <w:szCs w:val="24"/>
        </w:rPr>
      </w:pPr>
      <w:r>
        <w:rPr>
          <w:rFonts w:ascii="Times New Roman" w:hAnsi="Times New Roman"/>
          <w:b/>
          <w:bCs/>
          <w:sz w:val="24"/>
          <w:szCs w:val="24"/>
        </w:rPr>
        <w:t xml:space="preserve">Legal Lesson Learned: Religious discrimination claim is very difficult to prove, particularly after outside investigator submits a 250-page report detailing leadership issues. </w:t>
      </w:r>
    </w:p>
    <w:p w14:paraId="222F1ED3" w14:textId="77777777" w:rsidR="006428AD" w:rsidRDefault="006428AD" w:rsidP="006428AD">
      <w:pPr>
        <w:pStyle w:val="NoSpacing"/>
        <w:rPr>
          <w:rFonts w:ascii="Times New Roman" w:hAnsi="Times New Roman"/>
          <w:sz w:val="24"/>
          <w:szCs w:val="24"/>
        </w:rPr>
      </w:pPr>
    </w:p>
    <w:p w14:paraId="04BE367C" w14:textId="77777777" w:rsidR="006428AD" w:rsidRDefault="006428AD" w:rsidP="006428AD">
      <w:pPr>
        <w:pStyle w:val="NoSpacing"/>
        <w:ind w:left="720"/>
        <w:rPr>
          <w:rFonts w:ascii="Times New Roman" w:hAnsi="Times New Roman"/>
          <w:sz w:val="24"/>
          <w:szCs w:val="24"/>
        </w:rPr>
      </w:pPr>
      <w:r>
        <w:rPr>
          <w:rFonts w:ascii="Times New Roman" w:hAnsi="Times New Roman"/>
          <w:sz w:val="24"/>
          <w:szCs w:val="24"/>
        </w:rPr>
        <w:t xml:space="preserve">Note: Here is the 3-Judge panel’s original Aug. 4, </w:t>
      </w:r>
      <w:proofErr w:type="gramStart"/>
      <w:r>
        <w:rPr>
          <w:rFonts w:ascii="Times New Roman" w:hAnsi="Times New Roman"/>
          <w:sz w:val="24"/>
          <w:szCs w:val="24"/>
        </w:rPr>
        <w:t>2023</w:t>
      </w:r>
      <w:proofErr w:type="gramEnd"/>
      <w:r>
        <w:rPr>
          <w:rFonts w:ascii="Times New Roman" w:hAnsi="Times New Roman"/>
          <w:sz w:val="24"/>
          <w:szCs w:val="24"/>
        </w:rPr>
        <w:t xml:space="preserve"> decision: </w:t>
      </w:r>
      <w:hyperlink r:id="rId2561" w:history="1">
        <w:r w:rsidRPr="00065774">
          <w:rPr>
            <w:rStyle w:val="Hyperlink"/>
            <w:rFonts w:ascii="Times New Roman" w:hAnsi="Times New Roman"/>
            <w:sz w:val="24"/>
            <w:szCs w:val="24"/>
          </w:rPr>
          <w:t>https://cdn.ca9.uscourts.gov/datastore/opinions/2023/08/04/22-15485.pdf</w:t>
        </w:r>
      </w:hyperlink>
      <w:r>
        <w:rPr>
          <w:rFonts w:ascii="Times New Roman" w:hAnsi="Times New Roman"/>
          <w:sz w:val="24"/>
          <w:szCs w:val="24"/>
        </w:rPr>
        <w:t xml:space="preserve"> </w:t>
      </w:r>
    </w:p>
    <w:p w14:paraId="546F6C32" w14:textId="77777777" w:rsidR="00BB3D8E" w:rsidRDefault="00BB3D8E" w:rsidP="00F91F9F">
      <w:pPr>
        <w:pStyle w:val="NoSpacing"/>
        <w:rPr>
          <w:rFonts w:ascii="Arial Black" w:hAnsi="Arial Black"/>
          <w:sz w:val="24"/>
          <w:szCs w:val="24"/>
        </w:rPr>
      </w:pPr>
    </w:p>
    <w:p w14:paraId="714A47CA" w14:textId="77777777" w:rsidR="00BB3D8E" w:rsidRDefault="00BB3D8E" w:rsidP="00F91F9F">
      <w:pPr>
        <w:pStyle w:val="NoSpacing"/>
        <w:rPr>
          <w:rFonts w:ascii="Arial Black" w:hAnsi="Arial Black"/>
          <w:sz w:val="24"/>
          <w:szCs w:val="24"/>
        </w:rPr>
      </w:pPr>
    </w:p>
    <w:p w14:paraId="26DC3301" w14:textId="77777777" w:rsidR="00BB3D8E" w:rsidRDefault="00BB3D8E" w:rsidP="00F91F9F">
      <w:pPr>
        <w:pStyle w:val="NoSpacing"/>
        <w:rPr>
          <w:rFonts w:ascii="Arial Black" w:hAnsi="Arial Black"/>
          <w:sz w:val="24"/>
          <w:szCs w:val="24"/>
        </w:rPr>
      </w:pPr>
    </w:p>
    <w:p w14:paraId="3D67BB98" w14:textId="49B10366" w:rsidR="00B55AFC" w:rsidRDefault="00536594" w:rsidP="00F91F9F">
      <w:pPr>
        <w:pStyle w:val="NoSpacing"/>
        <w:rPr>
          <w:rFonts w:ascii="Arial Black" w:hAnsi="Arial Black"/>
          <w:sz w:val="24"/>
          <w:szCs w:val="24"/>
        </w:rPr>
      </w:pPr>
      <w:r>
        <w:rPr>
          <w:rFonts w:ascii="Arial Black" w:hAnsi="Arial Black"/>
          <w:sz w:val="24"/>
          <w:szCs w:val="24"/>
        </w:rPr>
        <w:t>16-110</w:t>
      </w:r>
    </w:p>
    <w:p w14:paraId="573E9808" w14:textId="77777777" w:rsidR="00536594" w:rsidRDefault="00536594" w:rsidP="00536594">
      <w:pPr>
        <w:pStyle w:val="NormalWeb"/>
        <w:shd w:val="clear" w:color="auto" w:fill="FFFFFF"/>
        <w:spacing w:before="0" w:beforeAutospacing="0"/>
        <w:rPr>
          <w:rFonts w:ascii="Arial Black" w:hAnsi="Arial Black"/>
          <w:sz w:val="28"/>
          <w:szCs w:val="28"/>
        </w:rPr>
      </w:pPr>
      <w:r>
        <w:rPr>
          <w:rFonts w:ascii="Arial Black" w:hAnsi="Arial Black"/>
          <w:sz w:val="28"/>
          <w:szCs w:val="28"/>
        </w:rPr>
        <w:t xml:space="preserve">OR: FIRE CHIEF FIRED – SUES FF / BOARD DEFAMATION -MUST PROVE “MALICE” – STRONG “ANTI-SLAPP” DEFENSE </w:t>
      </w:r>
    </w:p>
    <w:p w14:paraId="175B5B4D" w14:textId="77777777" w:rsidR="00536594" w:rsidRDefault="00536594" w:rsidP="00536594">
      <w:pPr>
        <w:pStyle w:val="NormalWeb"/>
        <w:shd w:val="clear" w:color="auto" w:fill="FFFFFF"/>
        <w:spacing w:before="0" w:beforeAutospacing="0"/>
      </w:pPr>
      <w:r>
        <w:t xml:space="preserve">On May 15, 2024, in </w:t>
      </w:r>
      <w:r w:rsidRPr="00A82D99">
        <w:rPr>
          <w:u w:val="single"/>
        </w:rPr>
        <w:t xml:space="preserve">Joel A. Medina v. Columbia River Fire &amp; Rescue, an Oregon Municipality, </w:t>
      </w:r>
      <w:r w:rsidRPr="00263156">
        <w:rPr>
          <w:u w:val="single"/>
        </w:rPr>
        <w:t>Rhonda Melton</w:t>
      </w:r>
      <w:r>
        <w:t xml:space="preserve">, </w:t>
      </w:r>
      <w:r w:rsidRPr="00A82D99">
        <w:rPr>
          <w:u w:val="single"/>
        </w:rPr>
        <w:t>et al.,</w:t>
      </w:r>
      <w:r>
        <w:t xml:space="preserve"> United States District Court Judge Marco A. Hernandez, U.S. District Court for the District of Oregon, held that lawsuit may proceed and Chief as a public official can only succeed as can prove “malice” by those who spoke to FD Board and posted items on social media.  The judge denied Rhonda Melton’s defense motion to immediately dismiss the case under the Oregon “anti-SLAPP” statute (strategic lawsuit against public participation) which is designed to protect public and reporters when commenting on public officials.   In April 2023, Defendant Rhonda Melton prepared and published statements on social media about Plaintiff.  In </w:t>
      </w:r>
      <w:proofErr w:type="gramStart"/>
      <w:r>
        <w:t>May,</w:t>
      </w:r>
      <w:proofErr w:type="gramEnd"/>
      <w:r>
        <w:t xml:space="preserve"> 2023, three new members were elected to the Board, who sought his termination, and in August the Board terminated him. The Court ordered that the lawsuit proceed with pretrial discovery, noting that the Fire Chief as a public official must prove “malice” to sue others for defamation. The Court held”</w:t>
      </w:r>
    </w:p>
    <w:p w14:paraId="26CA5E22" w14:textId="77777777" w:rsidR="00536594" w:rsidRDefault="00536594" w:rsidP="00536594">
      <w:pPr>
        <w:pStyle w:val="NormalWeb"/>
        <w:ind w:left="720"/>
      </w:pPr>
      <w:r>
        <w:t>“Defendant asserts that her statements, both verbal and written, fall under two of the four categories of protected speech in [Oregon anti-SLAPP statute] O.R.S. 31.150(2). Def. Mot. 7-8. The statute protects “[a]</w:t>
      </w:r>
      <w:proofErr w:type="spellStart"/>
      <w:r>
        <w:t>ny</w:t>
      </w:r>
      <w:proofErr w:type="spellEnd"/>
      <w:r>
        <w:t xml:space="preserve"> oral statement made, or written statement or other document presented, in a place open to the public or a public forum in connection with an issue of public interest” and “[a]</w:t>
      </w:r>
      <w:proofErr w:type="spellStart"/>
      <w:r>
        <w:t>ny</w:t>
      </w:r>
      <w:proofErr w:type="spellEnd"/>
      <w:r>
        <w:t xml:space="preserve"> other conduct in furtherance of the exercise of the constitutional right of petition or the constitutional right of free speech in connection with a public issue or an issue of public interest.” O.R.S. 31.150(2)(c) and (d). </w:t>
      </w:r>
      <w:proofErr w:type="gramStart"/>
      <w:r>
        <w:t>Defendant</w:t>
      </w:r>
      <w:proofErr w:type="gramEnd"/>
      <w:r>
        <w:t xml:space="preserve"> made oral statements at CRFR Board meetings and posted written statements on the Columbia County Transparency &amp; Accountability Facebook page. Melton Decl. ¶¶ 2-7, </w:t>
      </w:r>
      <w:proofErr w:type="spellStart"/>
      <w:r>
        <w:t>Exs</w:t>
      </w:r>
      <w:proofErr w:type="spellEnd"/>
      <w:r>
        <w:t xml:space="preserve">. 1-5; Medina Decl. ¶¶ 5, 6, 8, 11; </w:t>
      </w:r>
      <w:proofErr w:type="spellStart"/>
      <w:r>
        <w:t>Exs</w:t>
      </w:r>
      <w:proofErr w:type="spellEnd"/>
      <w:r>
        <w:t xml:space="preserve">. 2, 3, 5, 8. In these statements, Defendant criticized actions Plaintiff took as CRFR Chief and expressed concerns about CRFR leadership. Plaintiff acknowledges that Defendant has met her initial burden to show that her statements were made in a public forum and in connection with an issue of public interest. Pl. Resp. 3, ECF 42. The Court agrees that Defendant has met her initial burden under the anti-SLAPP statute. </w:t>
      </w:r>
    </w:p>
    <w:p w14:paraId="3C8A0AEE" w14:textId="77777777" w:rsidR="00536594" w:rsidRDefault="00536594" w:rsidP="00536594">
      <w:pPr>
        <w:pStyle w:val="NormalWeb"/>
        <w:ind w:left="720"/>
      </w:pPr>
      <w:r>
        <w:t>***</w:t>
      </w:r>
    </w:p>
    <w:p w14:paraId="16D2185E" w14:textId="77777777" w:rsidR="00536594" w:rsidRDefault="00536594" w:rsidP="00536594">
      <w:pPr>
        <w:pStyle w:val="NormalWeb"/>
        <w:shd w:val="clear" w:color="auto" w:fill="FFFFFF"/>
        <w:spacing w:before="0" w:beforeAutospacing="0"/>
        <w:ind w:left="720"/>
      </w:pPr>
      <w:r>
        <w:t xml:space="preserve">However, factual issues preclude a determination of whether Plaintiff is likely to succeed on his claims. The Court therefore concludes that Plaintiff is entitled to </w:t>
      </w:r>
      <w:proofErr w:type="gramStart"/>
      <w:r>
        <w:t>discovery on</w:t>
      </w:r>
      <w:proofErr w:type="gramEnd"/>
      <w:r>
        <w:t xml:space="preserve"> those factual issues.</w:t>
      </w:r>
    </w:p>
    <w:p w14:paraId="14FD81B4" w14:textId="77777777" w:rsidR="00536594" w:rsidRDefault="00536594" w:rsidP="00536594">
      <w:pPr>
        <w:pStyle w:val="NormalWeb"/>
        <w:shd w:val="clear" w:color="auto" w:fill="FFFFFF"/>
        <w:spacing w:before="0" w:beforeAutospacing="0"/>
        <w:ind w:firstLine="720"/>
      </w:pPr>
      <w:r>
        <w:t>***</w:t>
      </w:r>
    </w:p>
    <w:p w14:paraId="5C6588AB" w14:textId="77777777" w:rsidR="00536594" w:rsidRDefault="00536594" w:rsidP="00536594">
      <w:pPr>
        <w:pStyle w:val="NormalWeb"/>
        <w:shd w:val="clear" w:color="auto" w:fill="FFFFFF"/>
        <w:spacing w:before="0" w:beforeAutospacing="0"/>
        <w:ind w:left="720"/>
      </w:pPr>
      <w:r>
        <w:t>To the extent Defendant's statements are actionable under the First Amendment, Plaintiff must be permitted to engage in discovery to determine whether they are true or false. While the purpose of Oregon's anti-SLAPP statute is to avoid extended proceedings on claims that improperly chill free speech, the Court must balance this against Plaintiff's right to fully litigate his claims.</w:t>
      </w:r>
    </w:p>
    <w:p w14:paraId="3E38DD64" w14:textId="77777777" w:rsidR="00536594" w:rsidRDefault="00536594" w:rsidP="00536594">
      <w:pPr>
        <w:pStyle w:val="NormalWeb"/>
        <w:shd w:val="clear" w:color="auto" w:fill="FFFFFF"/>
        <w:spacing w:before="0" w:beforeAutospacing="0"/>
        <w:ind w:left="720"/>
      </w:pPr>
      <w:r>
        <w:t>***</w:t>
      </w:r>
    </w:p>
    <w:p w14:paraId="269213EE" w14:textId="77777777" w:rsidR="00536594" w:rsidRDefault="00536594" w:rsidP="00536594">
      <w:pPr>
        <w:pStyle w:val="NormalWeb"/>
        <w:shd w:val="clear" w:color="auto" w:fill="FFFFFF"/>
        <w:spacing w:before="0" w:beforeAutospacing="0"/>
        <w:ind w:left="720"/>
      </w:pPr>
      <w:r>
        <w:t xml:space="preserve">Plaintiff also acknowledges that because he was a public official at the time Defendant made the statements and they concerned his actions as chief, he must show that Defendant made them with knowledge that they were false or in reckless disregard of whether they were true or false. Pl. Resp. 6 (citing </w:t>
      </w:r>
      <w:r>
        <w:rPr>
          <w:rStyle w:val="Emphasis"/>
          <w:rFonts w:eastAsiaTheme="majorEastAsia"/>
        </w:rPr>
        <w:t>New York Times Co. v. Sullivan</w:t>
      </w:r>
      <w:r>
        <w:t xml:space="preserve">, 376 U.S. 254, 279-80 (1964)).”  </w:t>
      </w:r>
      <w:hyperlink r:id="rId2562" w:history="1">
        <w:r w:rsidRPr="00DF21B2">
          <w:rPr>
            <w:rStyle w:val="Hyperlink"/>
          </w:rPr>
          <w:t>https://casetext.com/case/medina-v-columbia-river-fire-rescue</w:t>
        </w:r>
      </w:hyperlink>
      <w:r>
        <w:t xml:space="preserve"> </w:t>
      </w:r>
    </w:p>
    <w:p w14:paraId="6A4450C9" w14:textId="77777777" w:rsidR="00BB3D8E" w:rsidRDefault="00BB3D8E" w:rsidP="00BB3D8E">
      <w:pPr>
        <w:pStyle w:val="NormalWeb"/>
        <w:rPr>
          <w:b/>
          <w:bCs/>
        </w:rPr>
      </w:pPr>
      <w:r w:rsidRPr="00354274">
        <w:rPr>
          <w:b/>
          <w:bCs/>
        </w:rPr>
        <w:t xml:space="preserve">Legal Lesson Learned: </w:t>
      </w:r>
      <w:r>
        <w:rPr>
          <w:b/>
          <w:bCs/>
        </w:rPr>
        <w:t>The former Fire Chief has an uphill challenge – he must prove “malice” and FD Board members and others also have the “anti-SLAPP” statute as a defense.</w:t>
      </w:r>
    </w:p>
    <w:p w14:paraId="59DC1585" w14:textId="77777777" w:rsidR="00BB3D8E" w:rsidRPr="007879D8" w:rsidRDefault="00BB3D8E" w:rsidP="00BB3D8E">
      <w:pPr>
        <w:pStyle w:val="NormalWeb"/>
        <w:ind w:left="720"/>
      </w:pPr>
      <w:r w:rsidRPr="007879D8">
        <w:t>Note:</w:t>
      </w:r>
      <w:r>
        <w:t xml:space="preserve"> See “Reporters Committee </w:t>
      </w:r>
      <w:proofErr w:type="gramStart"/>
      <w:r>
        <w:t>For</w:t>
      </w:r>
      <w:proofErr w:type="gramEnd"/>
      <w:r>
        <w:t xml:space="preserve"> Predom of the Press – Anti-SLAPP Legal Guide.” </w:t>
      </w:r>
      <w:hyperlink r:id="rId2563" w:history="1">
        <w:r w:rsidRPr="00DF21B2">
          <w:rPr>
            <w:rStyle w:val="Hyperlink"/>
          </w:rPr>
          <w:t>https://www.rcfp.org/anti-slapp-legal-guide/</w:t>
        </w:r>
      </w:hyperlink>
      <w:r>
        <w:t xml:space="preserve"> </w:t>
      </w:r>
    </w:p>
    <w:p w14:paraId="6B327BBC" w14:textId="77777777" w:rsidR="00BB3D8E" w:rsidRDefault="00BB3D8E" w:rsidP="00BB3D8E">
      <w:pPr>
        <w:pStyle w:val="NormalWeb"/>
        <w:ind w:left="1440"/>
      </w:pPr>
      <w:r>
        <w:t>“Anti-SLAPP laws provide defendants a way to quickly dismiss meritless lawsuits — known as SLAPPs or strategic lawsuits against public participation — filed against them for exercising speech, press, assembly, petition, or association rights. These laws aim to discourage the filing of SLAPP suits and prevent them from imposing significant litigation costs and chilling protected speech. In recent years, several states have adopted or amended their anti-SLAPP laws. As of May 2024, 34 states and the District of Columbia have anti-SLAPP laws, including Arizona, Arkansas, California, Colorado, Connecticut, Delaware, Florida, Georgia, Hawaii, Illinois, Indiana, Kansas, Kentucky, Louisiana, Maine, Maryland, Massachusetts, Minnesota, Missouri, Nebraska, Nevada, New Jersey, New Mexico, New York, Oklahoma, Oregon, Pennsylvania, Rhode Island, Tennessee, Texas, Utah, Vermont, Virginia, and Washington.”</w:t>
      </w:r>
    </w:p>
    <w:p w14:paraId="6A0830A2" w14:textId="77777777" w:rsidR="00536594" w:rsidRDefault="00536594" w:rsidP="00F91F9F">
      <w:pPr>
        <w:pStyle w:val="NoSpacing"/>
        <w:rPr>
          <w:rFonts w:ascii="Arial Black" w:hAnsi="Arial Black"/>
          <w:sz w:val="24"/>
          <w:szCs w:val="24"/>
        </w:rPr>
      </w:pPr>
    </w:p>
    <w:p w14:paraId="10143062" w14:textId="77777777" w:rsidR="00B55AFC" w:rsidRDefault="00B55AFC" w:rsidP="00F91F9F">
      <w:pPr>
        <w:pStyle w:val="NoSpacing"/>
        <w:rPr>
          <w:rFonts w:ascii="Arial Black" w:hAnsi="Arial Black"/>
          <w:sz w:val="24"/>
          <w:szCs w:val="24"/>
        </w:rPr>
      </w:pPr>
    </w:p>
    <w:p w14:paraId="5FCFCBF7" w14:textId="77777777" w:rsidR="00B55AFC" w:rsidRDefault="00B55AFC" w:rsidP="00F91F9F">
      <w:pPr>
        <w:pStyle w:val="NoSpacing"/>
        <w:rPr>
          <w:rFonts w:ascii="Arial Black" w:hAnsi="Arial Black"/>
          <w:sz w:val="24"/>
          <w:szCs w:val="24"/>
        </w:rPr>
      </w:pPr>
    </w:p>
    <w:p w14:paraId="69C00C79" w14:textId="7190EC8D" w:rsidR="00F91F9F" w:rsidRDefault="00F91F9F" w:rsidP="00F91F9F">
      <w:pPr>
        <w:pStyle w:val="NoSpacing"/>
        <w:rPr>
          <w:rFonts w:ascii="Arial Black" w:hAnsi="Arial Black"/>
          <w:sz w:val="24"/>
          <w:szCs w:val="24"/>
        </w:rPr>
      </w:pPr>
      <w:r>
        <w:rPr>
          <w:rFonts w:ascii="Arial Black" w:hAnsi="Arial Black"/>
          <w:sz w:val="24"/>
          <w:szCs w:val="24"/>
        </w:rPr>
        <w:t>16-109</w:t>
      </w:r>
    </w:p>
    <w:p w14:paraId="3FC639D7" w14:textId="77777777" w:rsidR="001D190A" w:rsidRDefault="001D190A" w:rsidP="00F326E5">
      <w:pPr>
        <w:pStyle w:val="NoSpacing"/>
        <w:rPr>
          <w:rFonts w:ascii="Arial Black" w:hAnsi="Arial Black"/>
          <w:sz w:val="24"/>
          <w:szCs w:val="24"/>
        </w:rPr>
      </w:pPr>
    </w:p>
    <w:p w14:paraId="4A3F40C7" w14:textId="77777777" w:rsidR="00F91F9F" w:rsidRPr="00E670DB" w:rsidRDefault="00F91F9F" w:rsidP="00F91F9F">
      <w:pPr>
        <w:pStyle w:val="NormalWeb"/>
        <w:spacing w:before="0" w:beforeAutospacing="0"/>
        <w:rPr>
          <w:rFonts w:ascii="Arial Black" w:hAnsi="Arial Black"/>
          <w:sz w:val="28"/>
          <w:szCs w:val="28"/>
        </w:rPr>
      </w:pPr>
      <w:r>
        <w:rPr>
          <w:rFonts w:ascii="Arial Black" w:hAnsi="Arial Black"/>
          <w:sz w:val="28"/>
          <w:szCs w:val="28"/>
        </w:rPr>
        <w:t>IL: FF PLED GUILTY – SEX 17-YR OLD FD CADET – AFTER RETIRED HIS PENSION WAS REVOKED - 5 YRS LATER</w:t>
      </w:r>
    </w:p>
    <w:p w14:paraId="77A4F6EB" w14:textId="77777777" w:rsidR="00F91F9F" w:rsidRDefault="00F91F9F" w:rsidP="00F91F9F">
      <w:pPr>
        <w:pStyle w:val="NoSpacing"/>
        <w:rPr>
          <w:rFonts w:ascii="Times New Roman" w:hAnsi="Times New Roman"/>
          <w:sz w:val="24"/>
          <w:szCs w:val="24"/>
        </w:rPr>
      </w:pPr>
      <w:r>
        <w:rPr>
          <w:rFonts w:ascii="Times New Roman" w:hAnsi="Times New Roman"/>
          <w:sz w:val="24"/>
          <w:szCs w:val="24"/>
        </w:rPr>
        <w:t xml:space="preserve">On March 20, 2024, in </w:t>
      </w:r>
      <w:r w:rsidRPr="00B524D0">
        <w:rPr>
          <w:rFonts w:ascii="Times New Roman" w:hAnsi="Times New Roman"/>
          <w:sz w:val="24"/>
          <w:szCs w:val="24"/>
          <w:u w:val="single"/>
        </w:rPr>
        <w:t>John Trapp v. City of Burbank Firefighters’ Pension Fund, et al</w:t>
      </w:r>
      <w:r>
        <w:rPr>
          <w:rFonts w:ascii="Times New Roman" w:hAnsi="Times New Roman"/>
          <w:sz w:val="24"/>
          <w:szCs w:val="24"/>
        </w:rPr>
        <w:t xml:space="preserve">., the Appellate Court of Illinois, First Judicial District, held (3 to 0) that the Pension Board and trial court judge properly held that the firefighter, who had sex with a 17 year-old-cadet when he was still employed as a firefighter, can lose his pension five years after he retired. </w:t>
      </w:r>
    </w:p>
    <w:p w14:paraId="3A9FDCBC" w14:textId="77777777" w:rsidR="00744AE5" w:rsidRDefault="00744AE5" w:rsidP="00744AE5">
      <w:pPr>
        <w:pStyle w:val="NoSpacing"/>
        <w:rPr>
          <w:rFonts w:ascii="Times New Roman" w:hAnsi="Times New Roman"/>
          <w:sz w:val="24"/>
          <w:szCs w:val="24"/>
          <w:shd w:val="clear" w:color="auto" w:fill="FFFFFF"/>
        </w:rPr>
      </w:pPr>
    </w:p>
    <w:p w14:paraId="0B8E65DE" w14:textId="6891C0D7" w:rsidR="00744AE5" w:rsidRPr="004C0299" w:rsidRDefault="00744AE5" w:rsidP="00744AE5">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7B19102C" w14:textId="77777777" w:rsidR="00744AE5" w:rsidRDefault="00744AE5" w:rsidP="00F91F9F">
      <w:pPr>
        <w:pStyle w:val="NoSpacing"/>
        <w:rPr>
          <w:rFonts w:ascii="Times New Roman" w:hAnsi="Times New Roman"/>
          <w:sz w:val="24"/>
          <w:szCs w:val="24"/>
        </w:rPr>
      </w:pPr>
    </w:p>
    <w:p w14:paraId="67A09DF9" w14:textId="77777777" w:rsidR="00F91F9F" w:rsidRDefault="00F91F9F" w:rsidP="00F91F9F">
      <w:pPr>
        <w:pStyle w:val="NoSpacing"/>
        <w:ind w:left="720"/>
        <w:rPr>
          <w:rFonts w:ascii="Times New Roman" w:hAnsi="Times New Roman"/>
          <w:sz w:val="24"/>
          <w:szCs w:val="24"/>
        </w:rPr>
      </w:pPr>
      <w:r>
        <w:rPr>
          <w:rFonts w:ascii="Times New Roman" w:hAnsi="Times New Roman"/>
          <w:sz w:val="24"/>
          <w:szCs w:val="24"/>
        </w:rPr>
        <w:t>“</w:t>
      </w:r>
      <w:r w:rsidRPr="000B2A57">
        <w:rPr>
          <w:rFonts w:ascii="Times New Roman" w:hAnsi="Times New Roman"/>
          <w:sz w:val="24"/>
          <w:szCs w:val="24"/>
        </w:rPr>
        <w:t xml:space="preserve">Section 4-138 of the Code provides as follows: </w:t>
      </w:r>
      <w:r>
        <w:rPr>
          <w:rFonts w:ascii="Times New Roman" w:hAnsi="Times New Roman"/>
          <w:sz w:val="24"/>
          <w:szCs w:val="24"/>
        </w:rPr>
        <w:t>‘</w:t>
      </w:r>
      <w:r w:rsidRPr="000B2A57">
        <w:rPr>
          <w:rFonts w:ascii="Times New Roman" w:hAnsi="Times New Roman"/>
          <w:sz w:val="24"/>
          <w:szCs w:val="24"/>
        </w:rPr>
        <w:t>None of the benefits provided under this</w:t>
      </w:r>
      <w:r>
        <w:rPr>
          <w:rFonts w:ascii="Times New Roman" w:hAnsi="Times New Roman"/>
          <w:sz w:val="24"/>
          <w:szCs w:val="24"/>
        </w:rPr>
        <w:t xml:space="preserve"> </w:t>
      </w:r>
      <w:r w:rsidRPr="000B2A57">
        <w:rPr>
          <w:rFonts w:ascii="Times New Roman" w:hAnsi="Times New Roman"/>
          <w:sz w:val="24"/>
          <w:szCs w:val="24"/>
        </w:rPr>
        <w:t>Article shall be paid to any person who is convicted of any felony relating to or arising out of or</w:t>
      </w:r>
      <w:r>
        <w:rPr>
          <w:rFonts w:ascii="Times New Roman" w:hAnsi="Times New Roman"/>
          <w:sz w:val="24"/>
          <w:szCs w:val="24"/>
        </w:rPr>
        <w:t xml:space="preserve"> </w:t>
      </w:r>
      <w:r w:rsidRPr="000B2A57">
        <w:rPr>
          <w:rFonts w:ascii="Times New Roman" w:hAnsi="Times New Roman"/>
          <w:sz w:val="24"/>
          <w:szCs w:val="24"/>
        </w:rPr>
        <w:t>in connection with service as a firefighter.</w:t>
      </w:r>
      <w:r>
        <w:rPr>
          <w:rFonts w:ascii="Times New Roman" w:hAnsi="Times New Roman"/>
          <w:sz w:val="24"/>
          <w:szCs w:val="24"/>
        </w:rPr>
        <w:t>’</w:t>
      </w:r>
      <w:r w:rsidRPr="000B2A57">
        <w:rPr>
          <w:rFonts w:ascii="Times New Roman" w:hAnsi="Times New Roman"/>
          <w:sz w:val="24"/>
          <w:szCs w:val="24"/>
        </w:rPr>
        <w:t xml:space="preserve"> 40 ILCS 5/4-138 (West 2022).</w:t>
      </w:r>
    </w:p>
    <w:p w14:paraId="17D94535" w14:textId="77777777" w:rsidR="00F91F9F" w:rsidRDefault="00F91F9F" w:rsidP="00F91F9F">
      <w:pPr>
        <w:pStyle w:val="NoSpacing"/>
        <w:ind w:left="720"/>
        <w:rPr>
          <w:rFonts w:ascii="Times New Roman" w:hAnsi="Times New Roman"/>
          <w:sz w:val="24"/>
          <w:szCs w:val="24"/>
        </w:rPr>
      </w:pPr>
    </w:p>
    <w:p w14:paraId="0540BD60" w14:textId="77777777" w:rsidR="00F91F9F" w:rsidRDefault="00F91F9F" w:rsidP="00F91F9F">
      <w:pPr>
        <w:pStyle w:val="NoSpacing"/>
        <w:ind w:left="720"/>
        <w:rPr>
          <w:rFonts w:ascii="Times New Roman" w:hAnsi="Times New Roman"/>
          <w:sz w:val="24"/>
          <w:szCs w:val="24"/>
        </w:rPr>
      </w:pPr>
      <w:r>
        <w:rPr>
          <w:rFonts w:ascii="Times New Roman" w:hAnsi="Times New Roman"/>
          <w:sz w:val="24"/>
          <w:szCs w:val="24"/>
        </w:rPr>
        <w:t>***</w:t>
      </w:r>
    </w:p>
    <w:p w14:paraId="1FADCB6B" w14:textId="77777777" w:rsidR="00F91F9F" w:rsidRDefault="00F91F9F" w:rsidP="00F91F9F">
      <w:pPr>
        <w:pStyle w:val="NoSpacing"/>
        <w:rPr>
          <w:rFonts w:ascii="Times New Roman" w:hAnsi="Times New Roman"/>
          <w:sz w:val="24"/>
          <w:szCs w:val="24"/>
        </w:rPr>
      </w:pPr>
      <w:r>
        <w:rPr>
          <w:rFonts w:ascii="Times New Roman" w:hAnsi="Times New Roman"/>
          <w:sz w:val="24"/>
          <w:szCs w:val="24"/>
        </w:rPr>
        <w:tab/>
      </w:r>
    </w:p>
    <w:p w14:paraId="69617C8B" w14:textId="77777777" w:rsidR="00F91F9F" w:rsidRPr="000307C4" w:rsidRDefault="00F91F9F" w:rsidP="00F91F9F">
      <w:pPr>
        <w:pStyle w:val="NoSpacing"/>
        <w:ind w:firstLine="720"/>
        <w:rPr>
          <w:rFonts w:ascii="Times New Roman" w:hAnsi="Times New Roman"/>
          <w:sz w:val="24"/>
          <w:szCs w:val="24"/>
        </w:rPr>
      </w:pPr>
      <w:r w:rsidRPr="000307C4">
        <w:rPr>
          <w:rFonts w:ascii="Times New Roman" w:hAnsi="Times New Roman"/>
          <w:sz w:val="24"/>
          <w:szCs w:val="24"/>
        </w:rPr>
        <w:t>Here, plaintiff was plainly ineligible for a pension benefit under the terms of section</w:t>
      </w:r>
    </w:p>
    <w:p w14:paraId="5BF3D4EF" w14:textId="77777777" w:rsidR="00F91F9F" w:rsidRDefault="00F91F9F" w:rsidP="00F91F9F">
      <w:pPr>
        <w:pStyle w:val="NoSpacing"/>
        <w:ind w:left="720"/>
        <w:rPr>
          <w:rFonts w:ascii="Times New Roman" w:hAnsi="Times New Roman"/>
          <w:sz w:val="24"/>
          <w:szCs w:val="24"/>
        </w:rPr>
      </w:pPr>
      <w:r w:rsidRPr="000307C4">
        <w:rPr>
          <w:rFonts w:ascii="Times New Roman" w:hAnsi="Times New Roman"/>
          <w:sz w:val="24"/>
          <w:szCs w:val="24"/>
        </w:rPr>
        <w:t>4-138. The Board was therefore required by statute to divest plaintiff of his pension award because</w:t>
      </w:r>
      <w:r>
        <w:rPr>
          <w:rFonts w:ascii="Times New Roman" w:hAnsi="Times New Roman"/>
          <w:sz w:val="24"/>
          <w:szCs w:val="24"/>
        </w:rPr>
        <w:t xml:space="preserve"> </w:t>
      </w:r>
      <w:r w:rsidRPr="000307C4">
        <w:rPr>
          <w:rFonts w:ascii="Times New Roman" w:hAnsi="Times New Roman"/>
          <w:sz w:val="24"/>
          <w:szCs w:val="24"/>
        </w:rPr>
        <w:t>it no longer had the power to pay that money pursuant to section 4-138.</w:t>
      </w:r>
    </w:p>
    <w:p w14:paraId="343CB901" w14:textId="77777777" w:rsidR="00F91F9F" w:rsidRDefault="00F91F9F" w:rsidP="00F91F9F">
      <w:pPr>
        <w:pStyle w:val="NoSpacing"/>
        <w:ind w:left="720"/>
        <w:rPr>
          <w:rFonts w:ascii="Times New Roman" w:hAnsi="Times New Roman"/>
          <w:sz w:val="24"/>
          <w:szCs w:val="24"/>
        </w:rPr>
      </w:pPr>
    </w:p>
    <w:p w14:paraId="18922F96" w14:textId="77777777" w:rsidR="00F91F9F" w:rsidRPr="00642077" w:rsidRDefault="00F91F9F" w:rsidP="00F91F9F">
      <w:pPr>
        <w:pStyle w:val="NoSpacing"/>
        <w:ind w:firstLine="720"/>
        <w:rPr>
          <w:rFonts w:ascii="Times New Roman" w:hAnsi="Times New Roman"/>
          <w:sz w:val="24"/>
          <w:szCs w:val="24"/>
        </w:rPr>
      </w:pPr>
      <w:r w:rsidRPr="00642077">
        <w:rPr>
          <w:rFonts w:ascii="Times New Roman" w:hAnsi="Times New Roman"/>
          <w:sz w:val="24"/>
          <w:szCs w:val="24"/>
        </w:rPr>
        <w:t xml:space="preserve">Nonetheless, plaintiff argues </w:t>
      </w:r>
      <w:proofErr w:type="gramStart"/>
      <w:r w:rsidRPr="00642077">
        <w:rPr>
          <w:rFonts w:ascii="Times New Roman" w:hAnsi="Times New Roman"/>
          <w:sz w:val="24"/>
          <w:szCs w:val="24"/>
        </w:rPr>
        <w:t>that,</w:t>
      </w:r>
      <w:proofErr w:type="gramEnd"/>
      <w:r w:rsidRPr="00642077">
        <w:rPr>
          <w:rFonts w:ascii="Times New Roman" w:hAnsi="Times New Roman"/>
          <w:sz w:val="24"/>
          <w:szCs w:val="24"/>
        </w:rPr>
        <w:t xml:space="preserve"> at the time the Board granted his pension benefit</w:t>
      </w:r>
    </w:p>
    <w:p w14:paraId="3B384743" w14:textId="77777777" w:rsidR="00F91F9F" w:rsidRPr="00642077" w:rsidRDefault="00F91F9F" w:rsidP="00F91F9F">
      <w:pPr>
        <w:pStyle w:val="NoSpacing"/>
        <w:ind w:left="720"/>
        <w:rPr>
          <w:rFonts w:ascii="Times New Roman" w:hAnsi="Times New Roman"/>
          <w:sz w:val="24"/>
          <w:szCs w:val="24"/>
        </w:rPr>
      </w:pPr>
      <w:r w:rsidRPr="00642077">
        <w:rPr>
          <w:rFonts w:ascii="Times New Roman" w:hAnsi="Times New Roman"/>
          <w:sz w:val="24"/>
          <w:szCs w:val="24"/>
        </w:rPr>
        <w:t xml:space="preserve">application, it knew of the </w:t>
      </w:r>
      <w:r>
        <w:rPr>
          <w:rFonts w:ascii="Times New Roman" w:hAnsi="Times New Roman"/>
          <w:sz w:val="24"/>
          <w:szCs w:val="24"/>
        </w:rPr>
        <w:t>‘</w:t>
      </w:r>
      <w:r w:rsidRPr="00642077">
        <w:rPr>
          <w:rFonts w:ascii="Times New Roman" w:hAnsi="Times New Roman"/>
          <w:sz w:val="24"/>
          <w:szCs w:val="24"/>
        </w:rPr>
        <w:t>underlying facts of the allegations against [him]</w:t>
      </w:r>
      <w:r>
        <w:rPr>
          <w:rFonts w:ascii="Times New Roman" w:hAnsi="Times New Roman"/>
          <w:sz w:val="24"/>
          <w:szCs w:val="24"/>
        </w:rPr>
        <w:t>’</w:t>
      </w:r>
      <w:r w:rsidRPr="00642077">
        <w:rPr>
          <w:rFonts w:ascii="Times New Roman" w:hAnsi="Times New Roman"/>
          <w:sz w:val="24"/>
          <w:szCs w:val="24"/>
        </w:rPr>
        <w:t xml:space="preserve"> but failed to retain</w:t>
      </w:r>
      <w:r>
        <w:rPr>
          <w:rFonts w:ascii="Times New Roman" w:hAnsi="Times New Roman"/>
          <w:sz w:val="24"/>
          <w:szCs w:val="24"/>
        </w:rPr>
        <w:t xml:space="preserve"> </w:t>
      </w:r>
      <w:r w:rsidRPr="00642077">
        <w:rPr>
          <w:rFonts w:ascii="Times New Roman" w:hAnsi="Times New Roman"/>
          <w:sz w:val="24"/>
          <w:szCs w:val="24"/>
        </w:rPr>
        <w:t>jurisdiction</w:t>
      </w:r>
      <w:r>
        <w:rPr>
          <w:rFonts w:ascii="Times New Roman" w:hAnsi="Times New Roman"/>
          <w:sz w:val="24"/>
          <w:szCs w:val="24"/>
        </w:rPr>
        <w:t>’</w:t>
      </w:r>
      <w:r w:rsidRPr="00642077">
        <w:rPr>
          <w:rFonts w:ascii="Times New Roman" w:hAnsi="Times New Roman"/>
          <w:sz w:val="24"/>
          <w:szCs w:val="24"/>
        </w:rPr>
        <w:t xml:space="preserve"> pending the outcome of the investigation. Plaintiff then concludes that the Board’s</w:t>
      </w:r>
      <w:r>
        <w:rPr>
          <w:rFonts w:ascii="Times New Roman" w:hAnsi="Times New Roman"/>
          <w:sz w:val="24"/>
          <w:szCs w:val="24"/>
        </w:rPr>
        <w:t xml:space="preserve"> </w:t>
      </w:r>
      <w:r w:rsidRPr="00642077">
        <w:rPr>
          <w:rFonts w:ascii="Times New Roman" w:hAnsi="Times New Roman"/>
          <w:sz w:val="24"/>
          <w:szCs w:val="24"/>
        </w:rPr>
        <w:t xml:space="preserve">failure to do so deprived it of jurisdiction to </w:t>
      </w:r>
      <w:r>
        <w:rPr>
          <w:rFonts w:ascii="Times New Roman" w:hAnsi="Times New Roman"/>
          <w:sz w:val="24"/>
          <w:szCs w:val="24"/>
        </w:rPr>
        <w:t>‘</w:t>
      </w:r>
      <w:r w:rsidRPr="00642077">
        <w:rPr>
          <w:rFonts w:ascii="Times New Roman" w:hAnsi="Times New Roman"/>
          <w:sz w:val="24"/>
          <w:szCs w:val="24"/>
        </w:rPr>
        <w:t>review *** and reverse its September 12, 2017,</w:t>
      </w:r>
      <w:r>
        <w:rPr>
          <w:rFonts w:ascii="Times New Roman" w:hAnsi="Times New Roman"/>
          <w:sz w:val="24"/>
          <w:szCs w:val="24"/>
        </w:rPr>
        <w:t xml:space="preserve"> </w:t>
      </w:r>
      <w:r w:rsidRPr="00642077">
        <w:rPr>
          <w:rFonts w:ascii="Times New Roman" w:hAnsi="Times New Roman"/>
          <w:sz w:val="24"/>
          <w:szCs w:val="24"/>
        </w:rPr>
        <w:t>administrative decision.</w:t>
      </w:r>
      <w:r>
        <w:rPr>
          <w:rFonts w:ascii="Times New Roman" w:hAnsi="Times New Roman"/>
          <w:sz w:val="24"/>
          <w:szCs w:val="24"/>
        </w:rPr>
        <w:t>’</w:t>
      </w:r>
      <w:r w:rsidRPr="00642077">
        <w:rPr>
          <w:rFonts w:ascii="Times New Roman" w:hAnsi="Times New Roman"/>
          <w:sz w:val="24"/>
          <w:szCs w:val="24"/>
        </w:rPr>
        <w:t xml:space="preserve"> As noted above, the Board’s September 2022 decision was the result of</w:t>
      </w:r>
      <w:r>
        <w:rPr>
          <w:rFonts w:ascii="Times New Roman" w:hAnsi="Times New Roman"/>
          <w:sz w:val="24"/>
          <w:szCs w:val="24"/>
        </w:rPr>
        <w:t xml:space="preserve"> </w:t>
      </w:r>
      <w:r w:rsidRPr="00642077">
        <w:rPr>
          <w:rFonts w:ascii="Times New Roman" w:hAnsi="Times New Roman"/>
          <w:sz w:val="24"/>
          <w:szCs w:val="24"/>
        </w:rPr>
        <w:t>a new action, not a reversal of its September 2017 decision. Moreover, plaintiff’s suggestion that</w:t>
      </w:r>
      <w:r>
        <w:rPr>
          <w:rFonts w:ascii="Times New Roman" w:hAnsi="Times New Roman"/>
          <w:sz w:val="24"/>
          <w:szCs w:val="24"/>
        </w:rPr>
        <w:t xml:space="preserve"> </w:t>
      </w:r>
      <w:r w:rsidRPr="00642077">
        <w:rPr>
          <w:rFonts w:ascii="Times New Roman" w:hAnsi="Times New Roman"/>
          <w:sz w:val="24"/>
          <w:szCs w:val="24"/>
        </w:rPr>
        <w:t>the Board retain jurisdiction to enable it to divest a member of his award following a duty-related</w:t>
      </w:r>
      <w:r>
        <w:rPr>
          <w:rFonts w:ascii="Times New Roman" w:hAnsi="Times New Roman"/>
          <w:sz w:val="24"/>
          <w:szCs w:val="24"/>
        </w:rPr>
        <w:t xml:space="preserve"> </w:t>
      </w:r>
      <w:r w:rsidRPr="00642077">
        <w:rPr>
          <w:rFonts w:ascii="Times New Roman" w:hAnsi="Times New Roman"/>
          <w:sz w:val="24"/>
          <w:szCs w:val="24"/>
        </w:rPr>
        <w:t>felony conviction would require the Board to retain jurisdiction in every granting of a member’s</w:t>
      </w:r>
      <w:r>
        <w:rPr>
          <w:rFonts w:ascii="Times New Roman" w:hAnsi="Times New Roman"/>
          <w:sz w:val="24"/>
          <w:szCs w:val="24"/>
        </w:rPr>
        <w:t xml:space="preserve"> </w:t>
      </w:r>
      <w:r w:rsidRPr="00642077">
        <w:rPr>
          <w:rFonts w:ascii="Times New Roman" w:hAnsi="Times New Roman"/>
          <w:sz w:val="24"/>
          <w:szCs w:val="24"/>
        </w:rPr>
        <w:t>application for a pension benefit. Plaintiff provides no indication—and we have found none—that</w:t>
      </w:r>
      <w:r>
        <w:rPr>
          <w:rFonts w:ascii="Times New Roman" w:hAnsi="Times New Roman"/>
          <w:sz w:val="24"/>
          <w:szCs w:val="24"/>
        </w:rPr>
        <w:t xml:space="preserve"> </w:t>
      </w:r>
      <w:r w:rsidRPr="00642077">
        <w:rPr>
          <w:rFonts w:ascii="Times New Roman" w:hAnsi="Times New Roman"/>
          <w:sz w:val="24"/>
          <w:szCs w:val="24"/>
        </w:rPr>
        <w:t>the legislature intended such an absurdity.</w:t>
      </w:r>
      <w:r>
        <w:rPr>
          <w:rFonts w:ascii="Times New Roman" w:hAnsi="Times New Roman"/>
          <w:sz w:val="24"/>
          <w:szCs w:val="24"/>
        </w:rPr>
        <w:t xml:space="preserve">”  </w:t>
      </w:r>
      <w:hyperlink r:id="rId2564" w:history="1">
        <w:r w:rsidRPr="0090046C">
          <w:rPr>
            <w:rStyle w:val="Hyperlink"/>
            <w:rFonts w:ascii="Times New Roman" w:hAnsi="Times New Roman"/>
            <w:sz w:val="24"/>
            <w:szCs w:val="24"/>
          </w:rPr>
          <w:t>https://ilcourtsaudio.blob.core.windows.net/antilles-resources/resources/3038c42d-d9bb-4837-b172-ba33498af3cf/Trapp%20v.%20City%20of%20Burbank%20Firefighters'%20Pension%20Fund,%202024%20IL%20App%20(1st)%20231311-U.pdf</w:t>
        </w:r>
      </w:hyperlink>
      <w:r>
        <w:rPr>
          <w:rFonts w:ascii="Times New Roman" w:hAnsi="Times New Roman"/>
          <w:sz w:val="24"/>
          <w:szCs w:val="24"/>
        </w:rPr>
        <w:t xml:space="preserve"> </w:t>
      </w:r>
    </w:p>
    <w:p w14:paraId="7912B0E6" w14:textId="77777777" w:rsidR="00F91F9F" w:rsidRDefault="00F91F9F" w:rsidP="00F91F9F">
      <w:pPr>
        <w:pStyle w:val="NoSpacing"/>
        <w:rPr>
          <w:rFonts w:ascii="Times New Roman" w:hAnsi="Times New Roman"/>
          <w:sz w:val="24"/>
          <w:szCs w:val="24"/>
        </w:rPr>
      </w:pPr>
    </w:p>
    <w:p w14:paraId="4372954F" w14:textId="77777777" w:rsidR="00F91F9F" w:rsidRDefault="00F91F9F" w:rsidP="00F91F9F">
      <w:pPr>
        <w:pStyle w:val="NoSpacing"/>
        <w:ind w:left="720"/>
        <w:rPr>
          <w:rFonts w:ascii="Times New Roman" w:hAnsi="Times New Roman"/>
          <w:sz w:val="24"/>
          <w:szCs w:val="24"/>
        </w:rPr>
      </w:pPr>
    </w:p>
    <w:p w14:paraId="1DD6C195" w14:textId="77777777" w:rsidR="00F91F9F" w:rsidRPr="00A63E2B" w:rsidRDefault="00F91F9F" w:rsidP="00F91F9F">
      <w:pPr>
        <w:pStyle w:val="NoSpacing"/>
        <w:rPr>
          <w:rFonts w:ascii="Times New Roman" w:hAnsi="Times New Roman"/>
          <w:b/>
          <w:bCs/>
          <w:sz w:val="24"/>
          <w:szCs w:val="24"/>
        </w:rPr>
      </w:pPr>
      <w:r>
        <w:rPr>
          <w:rFonts w:ascii="Times New Roman" w:hAnsi="Times New Roman"/>
          <w:b/>
          <w:bCs/>
          <w:sz w:val="24"/>
          <w:szCs w:val="24"/>
        </w:rPr>
        <w:t xml:space="preserve">Legal Lesson Learned: A service-connected felony led to forfeiture of his pension; wonder why it took 5 years.  </w:t>
      </w:r>
    </w:p>
    <w:p w14:paraId="52CD285A" w14:textId="77777777" w:rsidR="00F91F9F" w:rsidRDefault="00F91F9F" w:rsidP="00F91F9F">
      <w:pPr>
        <w:pStyle w:val="NormalWeb"/>
        <w:spacing w:before="0" w:beforeAutospacing="0"/>
        <w:jc w:val="center"/>
      </w:pPr>
    </w:p>
    <w:p w14:paraId="2391D984" w14:textId="77777777" w:rsidR="00F91F9F" w:rsidRDefault="00F91F9F" w:rsidP="00F91F9F">
      <w:pPr>
        <w:pStyle w:val="NormalWeb"/>
        <w:spacing w:before="0" w:beforeAutospacing="0"/>
      </w:pPr>
    </w:p>
    <w:p w14:paraId="70BE8FFD" w14:textId="52177A6A" w:rsidR="00F91F9F" w:rsidRDefault="00F91F9F" w:rsidP="00F91F9F">
      <w:pPr>
        <w:pStyle w:val="NoSpacing"/>
        <w:rPr>
          <w:rFonts w:ascii="Arial Black" w:hAnsi="Arial Black"/>
          <w:sz w:val="24"/>
          <w:szCs w:val="24"/>
        </w:rPr>
      </w:pPr>
      <w:r>
        <w:rPr>
          <w:rFonts w:ascii="Arial Black" w:hAnsi="Arial Black"/>
          <w:sz w:val="24"/>
          <w:szCs w:val="24"/>
        </w:rPr>
        <w:t>16-108</w:t>
      </w:r>
    </w:p>
    <w:p w14:paraId="4D70B4C4" w14:textId="77777777" w:rsidR="00F91F9F" w:rsidRPr="002D1156" w:rsidRDefault="00F91F9F" w:rsidP="00F91F9F">
      <w:pPr>
        <w:pStyle w:val="NoSpacing"/>
        <w:rPr>
          <w:rFonts w:ascii="Times New Roman" w:hAnsi="Times New Roman"/>
          <w:color w:val="454545"/>
          <w:sz w:val="24"/>
          <w:szCs w:val="24"/>
        </w:rPr>
      </w:pPr>
    </w:p>
    <w:p w14:paraId="0C7BBDD4" w14:textId="77777777" w:rsidR="00F91F9F" w:rsidRDefault="00F91F9F" w:rsidP="00F91F9F">
      <w:pPr>
        <w:spacing w:before="100" w:beforeAutospacing="1" w:after="100" w:afterAutospacing="1" w:line="240" w:lineRule="auto"/>
        <w:rPr>
          <w:rFonts w:ascii="Arial Black" w:hAnsi="Arial Black"/>
          <w:sz w:val="28"/>
          <w:szCs w:val="28"/>
        </w:rPr>
      </w:pPr>
      <w:r>
        <w:rPr>
          <w:rFonts w:ascii="Arial Black" w:hAnsi="Arial Black"/>
          <w:sz w:val="28"/>
          <w:szCs w:val="28"/>
        </w:rPr>
        <w:t>WI: VOL. FF FIRED AFTER COMPLAINED ABOUT HOW PD QUESTIONED HIM - “WHISTLEBLOWER” CASE PROCEED</w:t>
      </w:r>
    </w:p>
    <w:p w14:paraId="022E131C" w14:textId="77777777" w:rsidR="00F91F9F" w:rsidRDefault="00F91F9F" w:rsidP="00F91F9F">
      <w:pPr>
        <w:spacing w:before="100" w:beforeAutospacing="1" w:after="100" w:afterAutospacing="1" w:line="240" w:lineRule="auto"/>
        <w:rPr>
          <w:rFonts w:ascii="Times New Roman" w:hAnsi="Times New Roman"/>
          <w:sz w:val="24"/>
          <w:szCs w:val="24"/>
        </w:rPr>
      </w:pPr>
      <w:r w:rsidRPr="0018036B">
        <w:rPr>
          <w:rFonts w:ascii="Times New Roman" w:hAnsi="Times New Roman"/>
          <w:sz w:val="24"/>
          <w:szCs w:val="24"/>
        </w:rPr>
        <w:t xml:space="preserve">On March 22, 2024, in </w:t>
      </w:r>
      <w:r w:rsidRPr="0018036B">
        <w:rPr>
          <w:rFonts w:ascii="Times New Roman" w:hAnsi="Times New Roman"/>
          <w:sz w:val="24"/>
          <w:szCs w:val="24"/>
          <w:u w:val="single"/>
        </w:rPr>
        <w:t xml:space="preserve">Matthew Donahue v. Village of </w:t>
      </w:r>
      <w:proofErr w:type="spellStart"/>
      <w:r w:rsidRPr="0018036B">
        <w:rPr>
          <w:rFonts w:ascii="Times New Roman" w:hAnsi="Times New Roman"/>
          <w:sz w:val="24"/>
          <w:szCs w:val="24"/>
          <w:u w:val="single"/>
        </w:rPr>
        <w:t>Elm</w:t>
      </w:r>
      <w:proofErr w:type="spellEnd"/>
      <w:r w:rsidRPr="0018036B">
        <w:rPr>
          <w:rFonts w:ascii="Times New Roman" w:hAnsi="Times New Roman"/>
          <w:sz w:val="24"/>
          <w:szCs w:val="24"/>
          <w:u w:val="single"/>
        </w:rPr>
        <w:t xml:space="preserve"> Grove, et al</w:t>
      </w:r>
      <w:r w:rsidRPr="0018036B">
        <w:rPr>
          <w:rFonts w:ascii="Times New Roman" w:hAnsi="Times New Roman"/>
          <w:sz w:val="24"/>
          <w:szCs w:val="24"/>
        </w:rPr>
        <w:t xml:space="preserve">., United States District Court Chief Judge Pamela Pepper, U.S. District Court for Eastern District of Wisconsin, held the volunteer’s claim </w:t>
      </w:r>
      <w:r>
        <w:rPr>
          <w:rFonts w:ascii="Times New Roman" w:hAnsi="Times New Roman"/>
          <w:sz w:val="24"/>
          <w:szCs w:val="24"/>
        </w:rPr>
        <w:t xml:space="preserve">of retaliation </w:t>
      </w:r>
      <w:r w:rsidRPr="0018036B">
        <w:rPr>
          <w:rFonts w:ascii="Times New Roman" w:hAnsi="Times New Roman"/>
          <w:sz w:val="24"/>
          <w:szCs w:val="24"/>
        </w:rPr>
        <w:t>may proceed to pre-trial discovery</w:t>
      </w:r>
      <w:r>
        <w:rPr>
          <w:rFonts w:ascii="Times New Roman" w:hAnsi="Times New Roman"/>
          <w:sz w:val="24"/>
          <w:szCs w:val="24"/>
        </w:rPr>
        <w:t xml:space="preserve">, after he files an Amended Complaint with more details. </w:t>
      </w:r>
      <w:r w:rsidRPr="003B51B9">
        <w:rPr>
          <w:rFonts w:ascii="Times New Roman" w:hAnsi="Times New Roman"/>
          <w:sz w:val="24"/>
          <w:szCs w:val="24"/>
        </w:rPr>
        <w:t xml:space="preserve">On March 6, 2019, he was questioned by officers from the </w:t>
      </w:r>
      <w:proofErr w:type="spellStart"/>
      <w:r w:rsidRPr="003B51B9">
        <w:rPr>
          <w:rFonts w:ascii="Times New Roman" w:hAnsi="Times New Roman"/>
          <w:sz w:val="24"/>
          <w:szCs w:val="24"/>
        </w:rPr>
        <w:t>Elm</w:t>
      </w:r>
      <w:proofErr w:type="spellEnd"/>
      <w:r w:rsidRPr="003B51B9">
        <w:rPr>
          <w:rFonts w:ascii="Times New Roman" w:hAnsi="Times New Roman"/>
          <w:sz w:val="24"/>
          <w:szCs w:val="24"/>
        </w:rPr>
        <w:t xml:space="preserve"> Grove and Brookfield Police Departments</w:t>
      </w:r>
      <w:r>
        <w:rPr>
          <w:rFonts w:ascii="Times New Roman" w:hAnsi="Times New Roman"/>
          <w:sz w:val="24"/>
          <w:szCs w:val="24"/>
        </w:rPr>
        <w:t xml:space="preserve"> after the PD received a complaint from Father Peter Berger of St. Mary’s Church. “</w:t>
      </w:r>
      <w:r w:rsidRPr="00D81337">
        <w:rPr>
          <w:rFonts w:ascii="Times New Roman" w:hAnsi="Times New Roman"/>
          <w:sz w:val="24"/>
          <w:szCs w:val="24"/>
        </w:rPr>
        <w:t>The plaintiff was a member of St. Mary's congregation; recently Father Berger had officiated at the plaintiff's marriage and on March 6, 2019, the two had exchanged emails regarding a personal issue ‘between the Church and [the plaintiff].</w:t>
      </w:r>
      <w:r>
        <w:rPr>
          <w:rFonts w:ascii="Times New Roman" w:hAnsi="Times New Roman"/>
          <w:sz w:val="24"/>
          <w:szCs w:val="24"/>
        </w:rPr>
        <w:t>”  The plaintiff filed complaint against PD, and Village Manager directed Fire Chief to investigate, leading to his termination.</w:t>
      </w:r>
    </w:p>
    <w:p w14:paraId="5F80AC92" w14:textId="77777777" w:rsidR="00744AE5" w:rsidRPr="004C0299" w:rsidRDefault="00744AE5" w:rsidP="00744AE5">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3C9FC947" w14:textId="77777777" w:rsidR="00F91F9F" w:rsidRDefault="00F91F9F" w:rsidP="00F91F9F">
      <w:pPr>
        <w:pStyle w:val="NormalWeb"/>
        <w:ind w:left="720"/>
      </w:pPr>
      <w:r>
        <w:t xml:space="preserve">“Construing these allegations in the light most favorable to the plaintiff, the court concludes that the plaintiff has alleged that he engaged in activity protected by the First Amendment-making a complaint through his statement of charges. He has alleged that he suffered a deprivation that likely would deter his First Amendment activity in the future-he was subjected to an investigation, a hearing and removal. And he has alleged that the fact he made complaints caused the fire department to investigate him, which led to the commission's hearing and his removal. He has alleged that [Village Manager David] DeAngelis knew of his First Amendment activity (by alleging that DeAngelis received his statement of charges and advised the village board about them), that DeAngelis basically rejected the plaintiff's complaints by advising the board of trustees not to investigate them and by misrepresenting them and that DeAngelis caused at least one deprivation-the institution of a fire department investigation into the plaintiff-which led to the others. While the allegations against [Village Manager] DeAngelis are sparse, they are sufficient to state a plausible claim at the pleading stage.” </w:t>
      </w:r>
      <w:hyperlink r:id="rId2565" w:history="1">
        <w:r w:rsidRPr="00525B4E">
          <w:rPr>
            <w:rStyle w:val="Hyperlink"/>
          </w:rPr>
          <w:t>https://public.fastcase.com/H1P9uiW3J20SFp%2BGCG%2BxLf0QXfMdGqdqZlQXVQLOVSo%2BRVxC5joRx%2Bn0W0bwooepXLY2KUKQY%2FNa4DzAR11NEG8M8s0LDdmLgDmSoVIjHEI%3D?utm_medium=email&amp;_hsmi=226712652&amp;_hsenc=p2ANqtz--j20uR-GYo6WCSGz4uB5jXz0CJaW80ssMVqf4KPGqbFwk9_LUt6on4Dgf3xdmVustFIoMmyBcwEiGPMrkJq9j9MAGPKA&amp;utm_content=226712652&amp;utm_source=hs_email</w:t>
        </w:r>
      </w:hyperlink>
      <w:r>
        <w:t xml:space="preserve"> </w:t>
      </w:r>
    </w:p>
    <w:p w14:paraId="6FAC588A" w14:textId="77777777" w:rsidR="00F91F9F" w:rsidRPr="004C7B9F" w:rsidRDefault="00F91F9F" w:rsidP="00F91F9F">
      <w:pPr>
        <w:pStyle w:val="NormalWeb"/>
        <w:rPr>
          <w:b/>
          <w:bCs/>
        </w:rPr>
      </w:pPr>
      <w:r w:rsidRPr="004C7B9F">
        <w:rPr>
          <w:b/>
          <w:bCs/>
        </w:rPr>
        <w:t>Legal Lesson Learned:</w:t>
      </w:r>
      <w:r>
        <w:rPr>
          <w:b/>
          <w:bCs/>
        </w:rPr>
        <w:t xml:space="preserve"> Filing a complaint about alleged police misconduct is protected conduct under 1</w:t>
      </w:r>
      <w:r w:rsidRPr="00676A56">
        <w:rPr>
          <w:b/>
          <w:bCs/>
          <w:vertAlign w:val="superscript"/>
        </w:rPr>
        <w:t>st</w:t>
      </w:r>
      <w:r>
        <w:rPr>
          <w:b/>
          <w:bCs/>
        </w:rPr>
        <w:t xml:space="preserve"> Amendment and state whistleblower law.</w:t>
      </w:r>
    </w:p>
    <w:p w14:paraId="41CD8A76" w14:textId="77777777" w:rsidR="00F91F9F" w:rsidRDefault="00F91F9F" w:rsidP="00F91F9F">
      <w:pPr>
        <w:spacing w:before="100" w:beforeAutospacing="1" w:after="100" w:afterAutospacing="1" w:line="240" w:lineRule="auto"/>
        <w:outlineLvl w:val="0"/>
        <w:rPr>
          <w:rFonts w:ascii="Times New Roman" w:hAnsi="Times New Roman"/>
          <w:sz w:val="24"/>
          <w:szCs w:val="24"/>
        </w:rPr>
      </w:pPr>
    </w:p>
    <w:p w14:paraId="4966F504" w14:textId="348C765F" w:rsidR="00F91F9F" w:rsidRDefault="00F91F9F" w:rsidP="00F91F9F">
      <w:pPr>
        <w:pStyle w:val="NoSpacing"/>
        <w:rPr>
          <w:rFonts w:ascii="Arial Black" w:hAnsi="Arial Black"/>
          <w:sz w:val="24"/>
          <w:szCs w:val="24"/>
        </w:rPr>
      </w:pPr>
      <w:r>
        <w:rPr>
          <w:rFonts w:ascii="Arial Black" w:hAnsi="Arial Black"/>
          <w:sz w:val="24"/>
          <w:szCs w:val="24"/>
        </w:rPr>
        <w:t>16-107</w:t>
      </w:r>
    </w:p>
    <w:p w14:paraId="5DF4A4F1" w14:textId="77777777" w:rsidR="00F91F9F" w:rsidRDefault="00F91F9F" w:rsidP="00F91F9F">
      <w:pPr>
        <w:pStyle w:val="NoSpacing"/>
        <w:rPr>
          <w:rFonts w:ascii="Arial Black" w:hAnsi="Arial Black"/>
          <w:sz w:val="28"/>
          <w:szCs w:val="28"/>
        </w:rPr>
      </w:pPr>
    </w:p>
    <w:p w14:paraId="0D6889BF" w14:textId="77777777" w:rsidR="00F91F9F" w:rsidRPr="009140CD" w:rsidRDefault="00F91F9F" w:rsidP="00F91F9F">
      <w:pPr>
        <w:pStyle w:val="NoSpacing"/>
        <w:rPr>
          <w:rFonts w:ascii="Arial Black" w:hAnsi="Arial Black"/>
          <w:sz w:val="28"/>
          <w:szCs w:val="28"/>
        </w:rPr>
      </w:pPr>
      <w:r>
        <w:rPr>
          <w:rFonts w:ascii="Arial Black" w:hAnsi="Arial Black"/>
          <w:sz w:val="28"/>
          <w:szCs w:val="28"/>
        </w:rPr>
        <w:t>NH: POLICE OFFICER RESIGNATION / PD INTERNAL AFFAIRS DOCS OUT PERSONNEL FILE – CT. ORDERS DOCS RELEASED</w:t>
      </w:r>
    </w:p>
    <w:p w14:paraId="7E790FD7" w14:textId="77777777" w:rsidR="00F91F9F" w:rsidRDefault="00F91F9F" w:rsidP="00F91F9F">
      <w:pPr>
        <w:pStyle w:val="NoSpacing"/>
        <w:rPr>
          <w:rFonts w:ascii="Times New Roman" w:hAnsi="Times New Roman"/>
          <w:sz w:val="24"/>
          <w:szCs w:val="24"/>
        </w:rPr>
      </w:pPr>
    </w:p>
    <w:p w14:paraId="0561B8CC" w14:textId="77777777" w:rsidR="00F91F9F" w:rsidRDefault="00F91F9F" w:rsidP="00F91F9F">
      <w:pPr>
        <w:pStyle w:val="NoSpacing"/>
        <w:rPr>
          <w:rFonts w:ascii="Times New Roman" w:hAnsi="Times New Roman"/>
          <w:sz w:val="24"/>
          <w:szCs w:val="24"/>
        </w:rPr>
      </w:pPr>
      <w:r>
        <w:rPr>
          <w:rFonts w:ascii="Times New Roman" w:hAnsi="Times New Roman"/>
          <w:sz w:val="24"/>
          <w:szCs w:val="24"/>
        </w:rPr>
        <w:t xml:space="preserve">On March 20, 2024, in </w:t>
      </w:r>
      <w:r w:rsidRPr="00310885">
        <w:rPr>
          <w:rFonts w:ascii="Times New Roman" w:hAnsi="Times New Roman"/>
          <w:sz w:val="24"/>
          <w:szCs w:val="24"/>
          <w:u w:val="single"/>
        </w:rPr>
        <w:t>Jonathan Stone v. City of Claremont</w:t>
      </w:r>
      <w:r>
        <w:rPr>
          <w:rFonts w:ascii="Times New Roman" w:hAnsi="Times New Roman"/>
          <w:sz w:val="24"/>
          <w:szCs w:val="24"/>
        </w:rPr>
        <w:t xml:space="preserve">, the Supreme Court of New Hampshire, held (5 to 0) that the 2007 resignation agreement with former City police officer and his union, removing from his personnel file the internal affairs investigation and notice of termination, does not protect the requested records from disclosure. </w:t>
      </w:r>
    </w:p>
    <w:p w14:paraId="39169A74" w14:textId="77777777" w:rsidR="004305B6" w:rsidRPr="004C0299" w:rsidRDefault="004305B6" w:rsidP="004305B6">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10FB302C" w14:textId="77777777" w:rsidR="00F91F9F" w:rsidRDefault="00F91F9F" w:rsidP="00F91F9F">
      <w:pPr>
        <w:pStyle w:val="NoSpacing"/>
        <w:rPr>
          <w:rFonts w:ascii="Times New Roman" w:hAnsi="Times New Roman"/>
          <w:sz w:val="24"/>
          <w:szCs w:val="24"/>
        </w:rPr>
      </w:pPr>
    </w:p>
    <w:p w14:paraId="0F73B518" w14:textId="77777777" w:rsidR="00F91F9F" w:rsidRPr="00B3168D" w:rsidRDefault="00F91F9F" w:rsidP="00F91F9F">
      <w:pPr>
        <w:pStyle w:val="NoSpacing"/>
        <w:ind w:left="720"/>
        <w:rPr>
          <w:rFonts w:ascii="Times New Roman" w:hAnsi="Times New Roman"/>
          <w:sz w:val="24"/>
          <w:szCs w:val="24"/>
        </w:rPr>
      </w:pPr>
      <w:r>
        <w:rPr>
          <w:rFonts w:ascii="Times New Roman" w:hAnsi="Times New Roman"/>
          <w:sz w:val="24"/>
          <w:szCs w:val="24"/>
        </w:rPr>
        <w:t>“</w:t>
      </w:r>
      <w:r w:rsidRPr="00B3168D">
        <w:rPr>
          <w:rFonts w:ascii="Times New Roman" w:hAnsi="Times New Roman"/>
          <w:sz w:val="24"/>
          <w:szCs w:val="24"/>
        </w:rPr>
        <w:t xml:space="preserve">The intervenors </w:t>
      </w:r>
      <w:r>
        <w:rPr>
          <w:rFonts w:ascii="Times New Roman" w:hAnsi="Times New Roman"/>
          <w:sz w:val="24"/>
          <w:szCs w:val="24"/>
        </w:rPr>
        <w:t xml:space="preserve">[ACLU and Union Leader Corp., Union Leader Corp] </w:t>
      </w:r>
      <w:r w:rsidRPr="00B3168D">
        <w:rPr>
          <w:rFonts w:ascii="Times New Roman" w:hAnsi="Times New Roman"/>
          <w:sz w:val="24"/>
          <w:szCs w:val="24"/>
        </w:rPr>
        <w:t>contend that the purging provision</w:t>
      </w:r>
      <w:r>
        <w:rPr>
          <w:rFonts w:ascii="Times New Roman" w:hAnsi="Times New Roman"/>
          <w:sz w:val="24"/>
          <w:szCs w:val="24"/>
        </w:rPr>
        <w:t xml:space="preserve"> </w:t>
      </w:r>
      <w:r w:rsidRPr="00B3168D">
        <w:rPr>
          <w:rFonts w:ascii="Times New Roman" w:hAnsi="Times New Roman"/>
          <w:sz w:val="24"/>
          <w:szCs w:val="24"/>
        </w:rPr>
        <w:t>of the Stipulated Award does not state that the relevant records will be</w:t>
      </w:r>
    </w:p>
    <w:p w14:paraId="64F71A88" w14:textId="77777777" w:rsidR="00F91F9F" w:rsidRDefault="00F91F9F" w:rsidP="00F91F9F">
      <w:pPr>
        <w:pStyle w:val="NoSpacing"/>
        <w:ind w:left="720"/>
        <w:rPr>
          <w:rFonts w:ascii="Times New Roman" w:hAnsi="Times New Roman"/>
          <w:sz w:val="24"/>
          <w:szCs w:val="24"/>
        </w:rPr>
      </w:pPr>
      <w:r w:rsidRPr="00B3168D">
        <w:rPr>
          <w:rFonts w:ascii="Times New Roman" w:hAnsi="Times New Roman"/>
          <w:sz w:val="24"/>
          <w:szCs w:val="24"/>
        </w:rPr>
        <w:t>destroyed or that they will cease to exist within the CPD. According to the</w:t>
      </w:r>
      <w:r>
        <w:rPr>
          <w:rFonts w:ascii="Times New Roman" w:hAnsi="Times New Roman"/>
          <w:sz w:val="24"/>
          <w:szCs w:val="24"/>
        </w:rPr>
        <w:t xml:space="preserve"> </w:t>
      </w:r>
      <w:r w:rsidRPr="00B3168D">
        <w:rPr>
          <w:rFonts w:ascii="Times New Roman" w:hAnsi="Times New Roman"/>
          <w:sz w:val="24"/>
          <w:szCs w:val="24"/>
        </w:rPr>
        <w:t>intervenors, the Stipulated Award provides only that the relevant records will</w:t>
      </w:r>
      <w:r>
        <w:rPr>
          <w:rFonts w:ascii="Times New Roman" w:hAnsi="Times New Roman"/>
          <w:sz w:val="24"/>
          <w:szCs w:val="24"/>
        </w:rPr>
        <w:t xml:space="preserve"> </w:t>
      </w:r>
      <w:r w:rsidRPr="00B3168D">
        <w:rPr>
          <w:rFonts w:ascii="Times New Roman" w:hAnsi="Times New Roman"/>
          <w:sz w:val="24"/>
          <w:szCs w:val="24"/>
        </w:rPr>
        <w:t>be purged from the plaintiff’s personnel file but does not state that the records</w:t>
      </w:r>
      <w:r>
        <w:rPr>
          <w:rFonts w:ascii="Times New Roman" w:hAnsi="Times New Roman"/>
          <w:sz w:val="24"/>
          <w:szCs w:val="24"/>
        </w:rPr>
        <w:t xml:space="preserve"> </w:t>
      </w:r>
      <w:r w:rsidRPr="00B3168D">
        <w:rPr>
          <w:rFonts w:ascii="Times New Roman" w:hAnsi="Times New Roman"/>
          <w:sz w:val="24"/>
          <w:szCs w:val="24"/>
        </w:rPr>
        <w:t>will be purged from all other locations. Similarly, the intervenors argue that</w:t>
      </w:r>
      <w:r>
        <w:rPr>
          <w:rFonts w:ascii="Times New Roman" w:hAnsi="Times New Roman"/>
          <w:sz w:val="24"/>
          <w:szCs w:val="24"/>
        </w:rPr>
        <w:t xml:space="preserve"> </w:t>
      </w:r>
      <w:r w:rsidRPr="00B3168D">
        <w:rPr>
          <w:rFonts w:ascii="Times New Roman" w:hAnsi="Times New Roman"/>
          <w:sz w:val="24"/>
          <w:szCs w:val="24"/>
        </w:rPr>
        <w:t xml:space="preserve">the confidentiality provision </w:t>
      </w:r>
      <w:r>
        <w:rPr>
          <w:rFonts w:ascii="Times New Roman" w:hAnsi="Times New Roman"/>
          <w:sz w:val="24"/>
          <w:szCs w:val="24"/>
        </w:rPr>
        <w:t>‘</w:t>
      </w:r>
      <w:r w:rsidRPr="00B3168D">
        <w:rPr>
          <w:rFonts w:ascii="Times New Roman" w:hAnsi="Times New Roman"/>
          <w:sz w:val="24"/>
          <w:szCs w:val="24"/>
        </w:rPr>
        <w:t>does not provide the blanket confidentiality that</w:t>
      </w:r>
      <w:r>
        <w:rPr>
          <w:rFonts w:ascii="Times New Roman" w:hAnsi="Times New Roman"/>
          <w:sz w:val="24"/>
          <w:szCs w:val="24"/>
        </w:rPr>
        <w:t xml:space="preserve"> </w:t>
      </w:r>
      <w:r w:rsidRPr="00B3168D">
        <w:rPr>
          <w:rFonts w:ascii="Times New Roman" w:hAnsi="Times New Roman"/>
          <w:sz w:val="24"/>
          <w:szCs w:val="24"/>
        </w:rPr>
        <w:t>[the plaintiff] asserts.</w:t>
      </w:r>
      <w:r>
        <w:rPr>
          <w:rFonts w:ascii="Times New Roman" w:hAnsi="Times New Roman"/>
          <w:sz w:val="24"/>
          <w:szCs w:val="24"/>
        </w:rPr>
        <w:t>’</w:t>
      </w:r>
      <w:r w:rsidRPr="00B3168D">
        <w:rPr>
          <w:rFonts w:ascii="Times New Roman" w:hAnsi="Times New Roman"/>
          <w:sz w:val="24"/>
          <w:szCs w:val="24"/>
        </w:rPr>
        <w:t xml:space="preserve"> Rather, the Stipulated Award </w:t>
      </w:r>
      <w:r>
        <w:rPr>
          <w:rFonts w:ascii="Times New Roman" w:hAnsi="Times New Roman"/>
          <w:sz w:val="24"/>
          <w:szCs w:val="24"/>
        </w:rPr>
        <w:t>‘</w:t>
      </w:r>
      <w:r w:rsidRPr="00B3168D">
        <w:rPr>
          <w:rFonts w:ascii="Times New Roman" w:hAnsi="Times New Roman"/>
          <w:sz w:val="24"/>
          <w:szCs w:val="24"/>
        </w:rPr>
        <w:t>makes clear that its</w:t>
      </w:r>
      <w:r>
        <w:rPr>
          <w:rFonts w:ascii="Times New Roman" w:hAnsi="Times New Roman"/>
          <w:sz w:val="24"/>
          <w:szCs w:val="24"/>
        </w:rPr>
        <w:t xml:space="preserve"> </w:t>
      </w:r>
      <w:r w:rsidRPr="00B3168D">
        <w:rPr>
          <w:rFonts w:ascii="Times New Roman" w:hAnsi="Times New Roman"/>
          <w:sz w:val="24"/>
          <w:szCs w:val="24"/>
        </w:rPr>
        <w:t>confidentiality provision applies ‘except to the extent required by . . . law,’</w:t>
      </w:r>
      <w:r>
        <w:rPr>
          <w:rFonts w:ascii="Times New Roman" w:hAnsi="Times New Roman"/>
          <w:sz w:val="24"/>
          <w:szCs w:val="24"/>
        </w:rPr>
        <w:t xml:space="preserve"> </w:t>
      </w:r>
      <w:r w:rsidRPr="00B3168D">
        <w:rPr>
          <w:rFonts w:ascii="Times New Roman" w:hAnsi="Times New Roman"/>
          <w:sz w:val="24"/>
          <w:szCs w:val="24"/>
        </w:rPr>
        <w:t xml:space="preserve">which includes the requirements of RSA </w:t>
      </w:r>
      <w:proofErr w:type="spellStart"/>
      <w:r w:rsidRPr="00B3168D">
        <w:rPr>
          <w:rFonts w:ascii="Times New Roman" w:hAnsi="Times New Roman"/>
          <w:sz w:val="24"/>
          <w:szCs w:val="24"/>
        </w:rPr>
        <w:t>ch.</w:t>
      </w:r>
      <w:proofErr w:type="spellEnd"/>
      <w:r w:rsidRPr="00B3168D">
        <w:rPr>
          <w:rFonts w:ascii="Times New Roman" w:hAnsi="Times New Roman"/>
          <w:sz w:val="24"/>
          <w:szCs w:val="24"/>
        </w:rPr>
        <w:t xml:space="preserve"> 91-A.</w:t>
      </w:r>
      <w:r>
        <w:rPr>
          <w:rFonts w:ascii="Times New Roman" w:hAnsi="Times New Roman"/>
          <w:sz w:val="24"/>
          <w:szCs w:val="24"/>
        </w:rPr>
        <w:t>’</w:t>
      </w:r>
      <w:r w:rsidRPr="00B3168D">
        <w:rPr>
          <w:rFonts w:ascii="Times New Roman" w:hAnsi="Times New Roman"/>
          <w:sz w:val="24"/>
          <w:szCs w:val="24"/>
        </w:rPr>
        <w:t xml:space="preserve"> We agree with the</w:t>
      </w:r>
      <w:r>
        <w:rPr>
          <w:rFonts w:ascii="Times New Roman" w:hAnsi="Times New Roman"/>
          <w:sz w:val="24"/>
          <w:szCs w:val="24"/>
        </w:rPr>
        <w:t xml:space="preserve"> </w:t>
      </w:r>
      <w:r w:rsidRPr="00B3168D">
        <w:rPr>
          <w:rFonts w:ascii="Times New Roman" w:hAnsi="Times New Roman"/>
          <w:sz w:val="24"/>
          <w:szCs w:val="24"/>
        </w:rPr>
        <w:t>intervenors.</w:t>
      </w:r>
    </w:p>
    <w:p w14:paraId="76C1B1D0" w14:textId="77777777" w:rsidR="00F91F9F" w:rsidRDefault="00F91F9F" w:rsidP="00F91F9F">
      <w:pPr>
        <w:pStyle w:val="NoSpacing"/>
        <w:ind w:left="720"/>
        <w:rPr>
          <w:rFonts w:ascii="Times New Roman" w:hAnsi="Times New Roman"/>
          <w:sz w:val="24"/>
          <w:szCs w:val="24"/>
        </w:rPr>
      </w:pPr>
    </w:p>
    <w:p w14:paraId="7FCF73AB" w14:textId="77777777" w:rsidR="00F91F9F" w:rsidRDefault="00F91F9F" w:rsidP="00F91F9F">
      <w:pPr>
        <w:pStyle w:val="NoSpacing"/>
        <w:ind w:left="720"/>
        <w:rPr>
          <w:rFonts w:ascii="Times New Roman" w:hAnsi="Times New Roman"/>
          <w:sz w:val="24"/>
          <w:szCs w:val="24"/>
        </w:rPr>
      </w:pPr>
      <w:r>
        <w:rPr>
          <w:rFonts w:ascii="Times New Roman" w:hAnsi="Times New Roman"/>
          <w:sz w:val="24"/>
          <w:szCs w:val="24"/>
        </w:rPr>
        <w:t>***</w:t>
      </w:r>
    </w:p>
    <w:p w14:paraId="549551BE" w14:textId="77777777" w:rsidR="00F91F9F" w:rsidRDefault="00F91F9F" w:rsidP="00F91F9F">
      <w:pPr>
        <w:pStyle w:val="NoSpacing"/>
        <w:rPr>
          <w:rFonts w:ascii="Times New Roman" w:hAnsi="Times New Roman"/>
          <w:sz w:val="24"/>
          <w:szCs w:val="24"/>
        </w:rPr>
      </w:pPr>
    </w:p>
    <w:p w14:paraId="7F6DD224" w14:textId="77777777" w:rsidR="00F91F9F" w:rsidRDefault="00F91F9F" w:rsidP="00F91F9F">
      <w:pPr>
        <w:pStyle w:val="NoSpacing"/>
        <w:ind w:left="720"/>
        <w:rPr>
          <w:rFonts w:ascii="Times New Roman" w:hAnsi="Times New Roman"/>
          <w:sz w:val="24"/>
          <w:szCs w:val="24"/>
        </w:rPr>
      </w:pPr>
      <w:r>
        <w:rPr>
          <w:rFonts w:ascii="Times New Roman" w:hAnsi="Times New Roman"/>
          <w:sz w:val="24"/>
          <w:szCs w:val="24"/>
        </w:rPr>
        <w:t>I</w:t>
      </w:r>
      <w:r w:rsidRPr="00B5597E">
        <w:rPr>
          <w:rFonts w:ascii="Times New Roman" w:hAnsi="Times New Roman"/>
          <w:sz w:val="24"/>
          <w:szCs w:val="24"/>
        </w:rPr>
        <w:t>n summary, we conclude that the 2007 Stipulated Award does not</w:t>
      </w:r>
      <w:r>
        <w:rPr>
          <w:rFonts w:ascii="Times New Roman" w:hAnsi="Times New Roman"/>
          <w:sz w:val="24"/>
          <w:szCs w:val="24"/>
        </w:rPr>
        <w:t xml:space="preserve"> </w:t>
      </w:r>
      <w:r w:rsidRPr="00B5597E">
        <w:rPr>
          <w:rFonts w:ascii="Times New Roman" w:hAnsi="Times New Roman"/>
          <w:sz w:val="24"/>
          <w:szCs w:val="24"/>
        </w:rPr>
        <w:t xml:space="preserve">protect the requested records at issue on appeal from </w:t>
      </w:r>
      <w:proofErr w:type="gramStart"/>
      <w:r w:rsidRPr="00B5597E">
        <w:rPr>
          <w:rFonts w:ascii="Times New Roman" w:hAnsi="Times New Roman"/>
          <w:sz w:val="24"/>
          <w:szCs w:val="24"/>
        </w:rPr>
        <w:t>disclosure.</w:t>
      </w:r>
      <w:r>
        <w:rPr>
          <w:rFonts w:ascii="Times New Roman" w:hAnsi="Times New Roman"/>
          <w:sz w:val="24"/>
          <w:szCs w:val="24"/>
        </w:rPr>
        <w:t>”</w:t>
      </w:r>
      <w:proofErr w:type="gramEnd"/>
      <w:r>
        <w:rPr>
          <w:rFonts w:ascii="Times New Roman" w:hAnsi="Times New Roman"/>
          <w:sz w:val="24"/>
          <w:szCs w:val="24"/>
        </w:rPr>
        <w:t xml:space="preserve"> </w:t>
      </w:r>
      <w:hyperlink r:id="rId2566" w:history="1">
        <w:r w:rsidRPr="0090046C">
          <w:rPr>
            <w:rStyle w:val="Hyperlink"/>
            <w:rFonts w:ascii="Times New Roman" w:hAnsi="Times New Roman"/>
            <w:sz w:val="24"/>
            <w:szCs w:val="24"/>
          </w:rPr>
          <w:t>https://www.courts.nh.gov/sites/g/files/ehbemt471/files/documents/2024-03/20230083stone.pdf</w:t>
        </w:r>
      </w:hyperlink>
      <w:r>
        <w:rPr>
          <w:rFonts w:ascii="Times New Roman" w:hAnsi="Times New Roman"/>
          <w:sz w:val="24"/>
          <w:szCs w:val="24"/>
        </w:rPr>
        <w:t xml:space="preserve"> </w:t>
      </w:r>
    </w:p>
    <w:p w14:paraId="3323B367" w14:textId="77777777" w:rsidR="00F91F9F" w:rsidRDefault="00F91F9F" w:rsidP="00F91F9F">
      <w:pPr>
        <w:pStyle w:val="NoSpacing"/>
        <w:ind w:left="720"/>
        <w:rPr>
          <w:rFonts w:ascii="Times New Roman" w:hAnsi="Times New Roman"/>
          <w:sz w:val="24"/>
          <w:szCs w:val="24"/>
        </w:rPr>
      </w:pPr>
    </w:p>
    <w:p w14:paraId="5EC0FC00" w14:textId="77777777" w:rsidR="00F91F9F" w:rsidRDefault="00F91F9F" w:rsidP="00F91F9F">
      <w:pPr>
        <w:rPr>
          <w:rFonts w:ascii="Times New Roman" w:hAnsi="Times New Roman"/>
          <w:sz w:val="24"/>
          <w:szCs w:val="24"/>
        </w:rPr>
      </w:pPr>
    </w:p>
    <w:p w14:paraId="2C906923" w14:textId="77777777" w:rsidR="00F91F9F" w:rsidRPr="00354746" w:rsidRDefault="00F91F9F" w:rsidP="00F91F9F">
      <w:pPr>
        <w:rPr>
          <w:rFonts w:ascii="Times New Roman" w:hAnsi="Times New Roman"/>
          <w:b/>
          <w:bCs/>
          <w:sz w:val="24"/>
          <w:szCs w:val="24"/>
        </w:rPr>
      </w:pPr>
      <w:r w:rsidRPr="00354746">
        <w:rPr>
          <w:rFonts w:ascii="Times New Roman" w:hAnsi="Times New Roman"/>
          <w:b/>
          <w:bCs/>
          <w:sz w:val="24"/>
          <w:szCs w:val="24"/>
        </w:rPr>
        <w:t xml:space="preserve">Legal Lesson Learned: </w:t>
      </w:r>
      <w:r>
        <w:rPr>
          <w:rFonts w:ascii="Times New Roman" w:hAnsi="Times New Roman"/>
          <w:b/>
          <w:bCs/>
          <w:sz w:val="24"/>
          <w:szCs w:val="24"/>
        </w:rPr>
        <w:t xml:space="preserve">It is common in a resignation agreement to remove investigative documents from a personnel file, but Court may later require disclosure under state public records statute. </w:t>
      </w:r>
    </w:p>
    <w:p w14:paraId="3B1E3516" w14:textId="77777777" w:rsidR="00F91F9F" w:rsidRDefault="00F91F9F" w:rsidP="00F91F9F">
      <w:pPr>
        <w:ind w:left="720"/>
        <w:rPr>
          <w:rFonts w:ascii="Times New Roman" w:hAnsi="Times New Roman"/>
          <w:sz w:val="24"/>
          <w:szCs w:val="24"/>
        </w:rPr>
      </w:pPr>
      <w:r w:rsidRPr="00AB7992">
        <w:rPr>
          <w:rFonts w:ascii="Times New Roman" w:hAnsi="Times New Roman"/>
          <w:sz w:val="24"/>
          <w:szCs w:val="24"/>
        </w:rPr>
        <w:t xml:space="preserve">Note: </w:t>
      </w:r>
      <w:r>
        <w:rPr>
          <w:rFonts w:ascii="Times New Roman" w:hAnsi="Times New Roman"/>
          <w:sz w:val="24"/>
          <w:szCs w:val="24"/>
        </w:rPr>
        <w:t xml:space="preserve">Justice Hantz Marconi concurred </w:t>
      </w:r>
      <w:proofErr w:type="gramStart"/>
      <w:r>
        <w:rPr>
          <w:rFonts w:ascii="Times New Roman" w:hAnsi="Times New Roman"/>
          <w:sz w:val="24"/>
          <w:szCs w:val="24"/>
        </w:rPr>
        <w:t>in</w:t>
      </w:r>
      <w:proofErr w:type="gramEnd"/>
      <w:r>
        <w:rPr>
          <w:rFonts w:ascii="Times New Roman" w:hAnsi="Times New Roman"/>
          <w:sz w:val="24"/>
          <w:szCs w:val="24"/>
        </w:rPr>
        <w:t xml:space="preserve"> the decision, but wrote a Concurring Opinion where he stated:</w:t>
      </w:r>
    </w:p>
    <w:p w14:paraId="10E770E0" w14:textId="77777777" w:rsidR="00F91F9F" w:rsidRPr="00597B2D" w:rsidRDefault="00F91F9F" w:rsidP="00F91F9F">
      <w:pPr>
        <w:pStyle w:val="NoSpacing"/>
        <w:ind w:left="720" w:firstLine="720"/>
        <w:rPr>
          <w:rFonts w:ascii="Times New Roman" w:hAnsi="Times New Roman"/>
          <w:sz w:val="24"/>
          <w:szCs w:val="24"/>
        </w:rPr>
      </w:pPr>
      <w:r>
        <w:rPr>
          <w:rFonts w:ascii="Times New Roman" w:hAnsi="Times New Roman"/>
          <w:sz w:val="24"/>
          <w:szCs w:val="24"/>
        </w:rPr>
        <w:t>“</w:t>
      </w:r>
      <w:r w:rsidRPr="00597B2D">
        <w:rPr>
          <w:rFonts w:ascii="Times New Roman" w:hAnsi="Times New Roman"/>
          <w:sz w:val="24"/>
          <w:szCs w:val="24"/>
        </w:rPr>
        <w:t>I am concerned that the majority’s opinion takes an incremental</w:t>
      </w:r>
    </w:p>
    <w:p w14:paraId="19E1F9B9"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step, under the facts of this case, to preclude the use of confidential</w:t>
      </w:r>
    </w:p>
    <w:p w14:paraId="0D35F877"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settlements by governmental entities. Such agreements can serve an</w:t>
      </w:r>
    </w:p>
    <w:p w14:paraId="6A89A0EE"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important purpose, and our developing RSA 91-A jurisprudence, along with</w:t>
      </w:r>
    </w:p>
    <w:p w14:paraId="3CEFB10A"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other record retention policies, may reduce or eliminate the availability of this</w:t>
      </w:r>
    </w:p>
    <w:p w14:paraId="526799A9"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device. Restrictions on confidential settlement agreements with respect to</w:t>
      </w:r>
    </w:p>
    <w:p w14:paraId="6B7EB7BE" w14:textId="77777777" w:rsidR="00F91F9F" w:rsidRPr="00597B2D" w:rsidRDefault="00F91F9F" w:rsidP="00F91F9F">
      <w:pPr>
        <w:pStyle w:val="NoSpacing"/>
        <w:ind w:left="720" w:firstLine="720"/>
        <w:rPr>
          <w:rFonts w:ascii="Times New Roman" w:hAnsi="Times New Roman"/>
          <w:sz w:val="24"/>
          <w:szCs w:val="24"/>
        </w:rPr>
      </w:pPr>
      <w:r w:rsidRPr="00597B2D">
        <w:rPr>
          <w:rFonts w:ascii="Times New Roman" w:hAnsi="Times New Roman"/>
          <w:sz w:val="24"/>
          <w:szCs w:val="24"/>
        </w:rPr>
        <w:t>public employees, and in particular, law enforcement officers, raise policy</w:t>
      </w:r>
    </w:p>
    <w:p w14:paraId="775BDB92" w14:textId="77777777" w:rsidR="00F91F9F" w:rsidRPr="00597B2D" w:rsidRDefault="00F91F9F" w:rsidP="00F91F9F">
      <w:pPr>
        <w:pStyle w:val="NoSpacing"/>
        <w:ind w:left="1440"/>
        <w:rPr>
          <w:rFonts w:ascii="Times New Roman" w:hAnsi="Times New Roman"/>
          <w:sz w:val="24"/>
          <w:szCs w:val="24"/>
        </w:rPr>
      </w:pPr>
      <w:r w:rsidRPr="00597B2D">
        <w:rPr>
          <w:rFonts w:ascii="Times New Roman" w:hAnsi="Times New Roman"/>
          <w:sz w:val="24"/>
          <w:szCs w:val="24"/>
        </w:rPr>
        <w:t>considerations beyond the outcome of this case.</w:t>
      </w:r>
      <w:r>
        <w:rPr>
          <w:rFonts w:ascii="Times New Roman" w:hAnsi="Times New Roman"/>
          <w:sz w:val="24"/>
          <w:szCs w:val="24"/>
        </w:rPr>
        <w:t xml:space="preserve">” </w:t>
      </w:r>
      <w:hyperlink r:id="rId2567" w:history="1">
        <w:r w:rsidRPr="0090046C">
          <w:rPr>
            <w:rStyle w:val="Hyperlink"/>
            <w:rFonts w:ascii="Times New Roman" w:hAnsi="Times New Roman"/>
            <w:sz w:val="24"/>
            <w:szCs w:val="24"/>
          </w:rPr>
          <w:t>https://www.courts.nh.gov/sites/g/files/ehbemt471/files/documents/2024-03/20230083stone.pdf</w:t>
        </w:r>
      </w:hyperlink>
      <w:r>
        <w:rPr>
          <w:rFonts w:ascii="Times New Roman" w:hAnsi="Times New Roman"/>
          <w:sz w:val="24"/>
          <w:szCs w:val="24"/>
        </w:rPr>
        <w:t xml:space="preserve"> </w:t>
      </w:r>
    </w:p>
    <w:p w14:paraId="1A037171" w14:textId="77777777" w:rsidR="00F91F9F" w:rsidRDefault="00F91F9F" w:rsidP="00F91F9F">
      <w:pPr>
        <w:ind w:left="720"/>
        <w:rPr>
          <w:rFonts w:ascii="Times New Roman" w:hAnsi="Times New Roman"/>
          <w:sz w:val="24"/>
          <w:szCs w:val="24"/>
        </w:rPr>
      </w:pPr>
    </w:p>
    <w:p w14:paraId="1123CA34" w14:textId="77777777" w:rsidR="00F91F9F" w:rsidRPr="00AB7992" w:rsidRDefault="00F91F9F" w:rsidP="00F91F9F">
      <w:pPr>
        <w:ind w:left="1440"/>
        <w:rPr>
          <w:rFonts w:ascii="Times New Roman" w:hAnsi="Times New Roman"/>
          <w:sz w:val="24"/>
          <w:szCs w:val="24"/>
        </w:rPr>
      </w:pPr>
      <w:r w:rsidRPr="00AB7992">
        <w:rPr>
          <w:rFonts w:ascii="Times New Roman" w:hAnsi="Times New Roman"/>
          <w:sz w:val="24"/>
          <w:szCs w:val="24"/>
        </w:rPr>
        <w:t xml:space="preserve">See March 20, </w:t>
      </w:r>
      <w:proofErr w:type="gramStart"/>
      <w:r w:rsidRPr="00AB7992">
        <w:rPr>
          <w:rFonts w:ascii="Times New Roman" w:hAnsi="Times New Roman"/>
          <w:sz w:val="24"/>
          <w:szCs w:val="24"/>
        </w:rPr>
        <w:t>2024</w:t>
      </w:r>
      <w:proofErr w:type="gramEnd"/>
      <w:r w:rsidRPr="00AB7992">
        <w:rPr>
          <w:rFonts w:ascii="Times New Roman" w:hAnsi="Times New Roman"/>
          <w:sz w:val="24"/>
          <w:szCs w:val="24"/>
        </w:rPr>
        <w:t xml:space="preserve"> article, “Court denies ex-officer’s attempt to block records’ release.” </w:t>
      </w:r>
      <w:hyperlink r:id="rId2568" w:history="1">
        <w:r w:rsidRPr="0090046C">
          <w:rPr>
            <w:rStyle w:val="Hyperlink"/>
            <w:rFonts w:ascii="Times New Roman" w:hAnsi="Times New Roman"/>
            <w:sz w:val="24"/>
            <w:szCs w:val="24"/>
          </w:rPr>
          <w:t>https://www.vnews.com/Jonathan-Stone-loses-his-appeal-to-state-supreme-court-to-keep-personnel-records-private-54453646</w:t>
        </w:r>
      </w:hyperlink>
      <w:r>
        <w:rPr>
          <w:rFonts w:ascii="Times New Roman" w:hAnsi="Times New Roman"/>
          <w:sz w:val="24"/>
          <w:szCs w:val="24"/>
        </w:rPr>
        <w:t xml:space="preserve"> </w:t>
      </w:r>
    </w:p>
    <w:p w14:paraId="2510F1AD" w14:textId="77777777" w:rsidR="00F91F9F" w:rsidRDefault="00F91F9F" w:rsidP="00F91F9F">
      <w:pPr>
        <w:pStyle w:val="NormalWeb"/>
        <w:spacing w:before="0" w:beforeAutospacing="0"/>
        <w:ind w:left="1440"/>
      </w:pPr>
      <w:r>
        <w:t>“In a decision that could ripple across the law enforcement community around the state, the New Hampshire Supreme Court has ruled that a former Claremont officer and current state legislator’s disciplinary records relating to his time as a police officer for the city can be released to the public.”</w:t>
      </w:r>
    </w:p>
    <w:p w14:paraId="161449F3" w14:textId="77777777" w:rsidR="00F91F9F" w:rsidRDefault="00F91F9F" w:rsidP="00F91F9F">
      <w:pPr>
        <w:pStyle w:val="Heading1"/>
        <w:ind w:left="1440"/>
        <w:rPr>
          <w:sz w:val="24"/>
          <w:szCs w:val="24"/>
        </w:rPr>
      </w:pPr>
      <w:r w:rsidRPr="00EE2C86">
        <w:rPr>
          <w:sz w:val="24"/>
          <w:szCs w:val="24"/>
        </w:rPr>
        <w:t xml:space="preserve">See also Nov. 14, </w:t>
      </w:r>
      <w:proofErr w:type="gramStart"/>
      <w:r w:rsidRPr="00EE2C86">
        <w:rPr>
          <w:sz w:val="24"/>
          <w:szCs w:val="24"/>
        </w:rPr>
        <w:t>2023</w:t>
      </w:r>
      <w:proofErr w:type="gramEnd"/>
      <w:r w:rsidRPr="00EE2C86">
        <w:rPr>
          <w:sz w:val="24"/>
          <w:szCs w:val="24"/>
        </w:rPr>
        <w:t xml:space="preserve"> article, “Rep. Jon Stone’s Records </w:t>
      </w:r>
      <w:proofErr w:type="gramStart"/>
      <w:r w:rsidRPr="00EE2C86">
        <w:rPr>
          <w:sz w:val="24"/>
          <w:szCs w:val="24"/>
        </w:rPr>
        <w:t>As</w:t>
      </w:r>
      <w:proofErr w:type="gramEnd"/>
      <w:r w:rsidRPr="00EE2C86">
        <w:rPr>
          <w:sz w:val="24"/>
          <w:szCs w:val="24"/>
        </w:rPr>
        <w:t xml:space="preserve"> a Cop Are Humiliating, Lawyer Tells NH Supreme Court.”</w:t>
      </w:r>
      <w:r>
        <w:rPr>
          <w:sz w:val="24"/>
          <w:szCs w:val="24"/>
        </w:rPr>
        <w:t xml:space="preserve"> </w:t>
      </w:r>
      <w:hyperlink r:id="rId2569" w:history="1">
        <w:r w:rsidRPr="0090046C">
          <w:rPr>
            <w:rStyle w:val="Hyperlink"/>
            <w:sz w:val="24"/>
            <w:szCs w:val="24"/>
          </w:rPr>
          <w:t>https://indepthnh.org/2023/11/14/rep-jon-stones-records-as-a-cop-are-humiliating-lawyer-tells-nh-supreme-court/</w:t>
        </w:r>
      </w:hyperlink>
      <w:r>
        <w:rPr>
          <w:sz w:val="24"/>
          <w:szCs w:val="24"/>
        </w:rPr>
        <w:t xml:space="preserve"> </w:t>
      </w:r>
    </w:p>
    <w:p w14:paraId="2365A96C" w14:textId="77777777" w:rsidR="00F91F9F" w:rsidRDefault="00F91F9F" w:rsidP="00F91F9F">
      <w:pPr>
        <w:pStyle w:val="NormalWeb"/>
        <w:ind w:left="1440"/>
      </w:pPr>
      <w:r>
        <w:t>“Whatever is in the Claremont Police Department’s internal affairs records that state Rep. Jon Stone is trying to hide from the public, it’s bad, his lawyer told the New Hampshire Supreme Court on Tuesday.  ‘It will embarrass and humiliate my client, and it will embarrass and humiliate multiple people in the city of Claremont,</w:t>
      </w:r>
      <w:proofErr w:type="gramStart"/>
      <w:r>
        <w:t>’ attorney Peter DeCato said</w:t>
      </w:r>
      <w:proofErr w:type="gramEnd"/>
      <w:r>
        <w:t>. *** After Stone left the department, then Police Chief Alex Scott would subsequently file a Form B with the New Hampshire Police Standards and Training Council informing the council Stone was terminated for reasons of moral turpitude.”</w:t>
      </w:r>
    </w:p>
    <w:p w14:paraId="0E216C47" w14:textId="77777777" w:rsidR="00F91F9F" w:rsidRDefault="00F91F9F" w:rsidP="00F91F9F">
      <w:pPr>
        <w:spacing w:before="100" w:beforeAutospacing="1" w:after="100" w:afterAutospacing="1" w:line="240" w:lineRule="auto"/>
        <w:outlineLvl w:val="0"/>
        <w:rPr>
          <w:rFonts w:ascii="Times New Roman" w:hAnsi="Times New Roman"/>
          <w:sz w:val="24"/>
          <w:szCs w:val="24"/>
        </w:rPr>
      </w:pPr>
    </w:p>
    <w:p w14:paraId="3343A3AE" w14:textId="77777777" w:rsidR="00F91F9F" w:rsidRDefault="00F91F9F" w:rsidP="00F91F9F">
      <w:pPr>
        <w:spacing w:before="100" w:beforeAutospacing="1" w:after="100" w:afterAutospacing="1" w:line="240" w:lineRule="auto"/>
        <w:outlineLvl w:val="0"/>
        <w:rPr>
          <w:rFonts w:ascii="Times New Roman" w:hAnsi="Times New Roman"/>
          <w:sz w:val="24"/>
          <w:szCs w:val="24"/>
        </w:rPr>
      </w:pPr>
    </w:p>
    <w:p w14:paraId="44EB136A" w14:textId="77777777" w:rsidR="00F91F9F" w:rsidRDefault="00F91F9F" w:rsidP="00F91F9F">
      <w:pPr>
        <w:spacing w:before="100" w:beforeAutospacing="1" w:after="100" w:afterAutospacing="1" w:line="240" w:lineRule="auto"/>
        <w:outlineLvl w:val="0"/>
        <w:rPr>
          <w:rFonts w:ascii="Times New Roman" w:hAnsi="Times New Roman"/>
          <w:sz w:val="24"/>
          <w:szCs w:val="24"/>
        </w:rPr>
      </w:pPr>
    </w:p>
    <w:p w14:paraId="38FD1E4C" w14:textId="581332B8" w:rsidR="00F91F9F" w:rsidRDefault="00F91F9F" w:rsidP="00F91F9F">
      <w:pPr>
        <w:pStyle w:val="NoSpacing"/>
        <w:rPr>
          <w:rFonts w:ascii="Arial Black" w:hAnsi="Arial Black"/>
          <w:sz w:val="24"/>
          <w:szCs w:val="24"/>
        </w:rPr>
      </w:pPr>
      <w:r>
        <w:rPr>
          <w:rFonts w:ascii="Arial Black" w:hAnsi="Arial Black"/>
          <w:sz w:val="24"/>
          <w:szCs w:val="24"/>
        </w:rPr>
        <w:t>16-106</w:t>
      </w:r>
    </w:p>
    <w:p w14:paraId="11B4A05B" w14:textId="4FE9DF47" w:rsidR="00F91F9F" w:rsidRPr="004B4468" w:rsidRDefault="00F91F9F" w:rsidP="00F91F9F">
      <w:pPr>
        <w:spacing w:before="100" w:beforeAutospacing="1" w:after="100" w:afterAutospacing="1" w:line="240" w:lineRule="auto"/>
        <w:outlineLvl w:val="0"/>
        <w:rPr>
          <w:rFonts w:ascii="Arial Black" w:hAnsi="Arial Black"/>
          <w:sz w:val="28"/>
          <w:szCs w:val="28"/>
        </w:rPr>
      </w:pPr>
      <w:r>
        <w:rPr>
          <w:rFonts w:ascii="Arial Black" w:hAnsi="Arial Black"/>
          <w:sz w:val="28"/>
          <w:szCs w:val="28"/>
        </w:rPr>
        <w:t xml:space="preserve">WI: CIVIL UNREST – FF ORDERED TO EVACUATE STATION TO ANOTHER STATION – SAYS MIGHT “LAY UP” – FIRED </w:t>
      </w:r>
    </w:p>
    <w:p w14:paraId="59788AD7" w14:textId="77777777" w:rsidR="00F91F9F" w:rsidRDefault="00F91F9F" w:rsidP="00F91F9F">
      <w:pPr>
        <w:spacing w:before="100" w:beforeAutospacing="1" w:after="100" w:afterAutospacing="1" w:line="240" w:lineRule="auto"/>
        <w:outlineLvl w:val="0"/>
        <w:rPr>
          <w:rFonts w:ascii="Times New Roman" w:hAnsi="Times New Roman"/>
          <w:sz w:val="24"/>
          <w:szCs w:val="24"/>
        </w:rPr>
      </w:pPr>
      <w:proofErr w:type="gramStart"/>
      <w:r>
        <w:rPr>
          <w:rFonts w:ascii="Times New Roman" w:hAnsi="Times New Roman"/>
          <w:sz w:val="24"/>
          <w:szCs w:val="24"/>
        </w:rPr>
        <w:t>On March</w:t>
      </w:r>
      <w:proofErr w:type="gramEnd"/>
      <w:r>
        <w:rPr>
          <w:rFonts w:ascii="Times New Roman" w:hAnsi="Times New Roman"/>
          <w:sz w:val="24"/>
          <w:szCs w:val="24"/>
        </w:rPr>
        <w:t xml:space="preserve"> 5, 2024, </w:t>
      </w:r>
      <w:r w:rsidRPr="00577C94">
        <w:rPr>
          <w:rFonts w:ascii="Times New Roman" w:hAnsi="Times New Roman"/>
          <w:sz w:val="24"/>
          <w:szCs w:val="24"/>
          <w:u w:val="single"/>
        </w:rPr>
        <w:t>in Michael. S. Peden v. City of Milwaukee Board of Fire and Police Commissioners</w:t>
      </w:r>
      <w:r>
        <w:rPr>
          <w:rFonts w:ascii="Times New Roman" w:hAnsi="Times New Roman"/>
          <w:sz w:val="24"/>
          <w:szCs w:val="24"/>
        </w:rPr>
        <w:t xml:space="preserve">, the Court of Appeals of Wisconsin, District I, held (3 to 0; unpublished decision) that the Board properly upheld the termination after a fair hearing. </w:t>
      </w:r>
      <w:r w:rsidRPr="006D4804">
        <w:rPr>
          <w:rFonts w:ascii="Times New Roman" w:hAnsi="Times New Roman"/>
          <w:sz w:val="24"/>
          <w:szCs w:val="24"/>
        </w:rPr>
        <w:t>Peden explained that he believed that</w:t>
      </w:r>
      <w:r>
        <w:rPr>
          <w:rFonts w:ascii="Times New Roman" w:hAnsi="Times New Roman"/>
          <w:sz w:val="24"/>
          <w:szCs w:val="24"/>
        </w:rPr>
        <w:t xml:space="preserve"> another firefighter</w:t>
      </w:r>
      <w:r w:rsidRPr="006D4804">
        <w:rPr>
          <w:rFonts w:ascii="Times New Roman" w:hAnsi="Times New Roman"/>
          <w:sz w:val="24"/>
          <w:szCs w:val="24"/>
        </w:rPr>
        <w:t>, who had allegedly framed him in a past sexual assault case, was scheduled to be working at the other station</w:t>
      </w:r>
      <w:r>
        <w:rPr>
          <w:rFonts w:ascii="Times New Roman" w:hAnsi="Times New Roman"/>
          <w:sz w:val="24"/>
          <w:szCs w:val="24"/>
        </w:rPr>
        <w:t xml:space="preserve">; he never claimed he was actual ill. </w:t>
      </w:r>
    </w:p>
    <w:p w14:paraId="23D7E072" w14:textId="77777777" w:rsidR="004305B6" w:rsidRPr="004C0299" w:rsidRDefault="004305B6" w:rsidP="004305B6">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00733466" w14:textId="77777777" w:rsidR="00F91F9F" w:rsidRPr="00792421" w:rsidRDefault="00F91F9F" w:rsidP="00F91F9F">
      <w:pPr>
        <w:spacing w:before="100" w:beforeAutospacing="1" w:after="100" w:afterAutospacing="1" w:line="240" w:lineRule="auto"/>
        <w:ind w:left="720"/>
        <w:outlineLvl w:val="0"/>
        <w:rPr>
          <w:rFonts w:ascii="Times New Roman" w:hAnsi="Times New Roman"/>
          <w:sz w:val="24"/>
          <w:szCs w:val="24"/>
        </w:rPr>
      </w:pPr>
      <w:r>
        <w:t>“</w:t>
      </w:r>
      <w:r w:rsidRPr="00792421">
        <w:rPr>
          <w:rFonts w:ascii="Times New Roman" w:hAnsi="Times New Roman"/>
          <w:sz w:val="24"/>
          <w:szCs w:val="24"/>
        </w:rPr>
        <w:t>The Board heard testimony from multiple witnesses, including Assistant Chief Aaron Lipski, Peden, Rebecca Coffee-Peden's former defense attorney who represented him in the sexual assault case-and psychotherapist Jay Schrinsky, who opined that Peden suffers from posttraumatic stress disorder (PTSD) stemming from the sexual assault case. The Board unanimously concluded that Peden should be terminated.</w:t>
      </w:r>
    </w:p>
    <w:p w14:paraId="5EADDBCF" w14:textId="77777777" w:rsidR="00F91F9F" w:rsidRDefault="00F91F9F" w:rsidP="00F91F9F">
      <w:pPr>
        <w:pStyle w:val="NormalWeb"/>
        <w:ind w:left="720"/>
      </w:pPr>
      <w:r>
        <w:t>***</w:t>
      </w:r>
    </w:p>
    <w:p w14:paraId="4ED67B3A" w14:textId="77777777" w:rsidR="00F91F9F" w:rsidRDefault="00F91F9F" w:rsidP="00F91F9F">
      <w:pPr>
        <w:pStyle w:val="NormalWeb"/>
        <w:ind w:left="720"/>
      </w:pPr>
      <w:r>
        <w:t>In this case, Peden was terminated for his refusal to comply with a direct order to transfer to a different station for the duration of his shift during civil unrest. As the City argued in closing at the administrative hearing, ‘[t]his case boils down to was [Peden] given a direct order? Was he capable of following that direct order? Did he choose not to follow that direct order?’ The circumstances surrounding the sexual assault case against Peden were not relevant.</w:t>
      </w:r>
    </w:p>
    <w:p w14:paraId="15423C03" w14:textId="77777777" w:rsidR="00F91F9F" w:rsidRDefault="00F91F9F" w:rsidP="00F91F9F">
      <w:pPr>
        <w:pStyle w:val="NormalWeb"/>
        <w:ind w:left="720"/>
      </w:pPr>
      <w:r>
        <w:t>***</w:t>
      </w:r>
    </w:p>
    <w:p w14:paraId="2904EDB2" w14:textId="77777777" w:rsidR="00F91F9F" w:rsidRDefault="00F91F9F" w:rsidP="00F91F9F">
      <w:pPr>
        <w:pStyle w:val="NormalWeb"/>
        <w:ind w:left="720"/>
      </w:pPr>
      <w:r w:rsidRPr="00DC5CF1">
        <w:t>Footnote 1:  In 2017, Peden was charged with second-degree sexual assault of another firefighter, Aleah Ellis. Jason Strzelecki, also a firefighter and Ellis's then-boyfriend, was interviewed in the investigation. In 2019, the criminal case was dismissed.</w:t>
      </w:r>
      <w:r>
        <w:t xml:space="preserve">”  </w:t>
      </w:r>
      <w:hyperlink r:id="rId2570" w:history="1">
        <w:r w:rsidRPr="0090149E">
          <w:rPr>
            <w:rStyle w:val="Hyperlink"/>
          </w:rPr>
          <w:t>https://public.fastcase.com/H1P9uiW3J20SFp%2BGCG%2BxLYnumIVIfsGACQtvjphi2XY03JuMe7fj8LYdA6mgqlK3BbmtQ%2FoJ5o3JnUu66xez4U0Yi6wQOqSsnYT7%2FU1%2BNuI%3D?utm_medium=email&amp;_hsmi=226712652&amp;_hsenc=p2ANqtz-_mOZCnm_LbXEmI1zB76drE4EDUF13YglxTvTeEnBHhjbPE-34_IMopnnbUF8mE8HxS5G0Ftb4dM_ZSxt2dhhqJsyxB9A&amp;utm_content=226712652&amp;utm_source=hs_email</w:t>
        </w:r>
      </w:hyperlink>
      <w:r>
        <w:t xml:space="preserve"> </w:t>
      </w:r>
    </w:p>
    <w:p w14:paraId="63E9E340" w14:textId="77777777" w:rsidR="00F91F9F" w:rsidRDefault="00F91F9F" w:rsidP="00F91F9F">
      <w:pPr>
        <w:spacing w:before="100" w:beforeAutospacing="1" w:after="100" w:afterAutospacing="1" w:line="240" w:lineRule="auto"/>
        <w:outlineLvl w:val="0"/>
        <w:rPr>
          <w:rFonts w:ascii="Times New Roman" w:hAnsi="Times New Roman"/>
          <w:b/>
          <w:bCs/>
          <w:sz w:val="24"/>
          <w:szCs w:val="24"/>
        </w:rPr>
      </w:pPr>
      <w:r w:rsidRPr="00122C10">
        <w:rPr>
          <w:rFonts w:ascii="Times New Roman" w:hAnsi="Times New Roman"/>
          <w:b/>
          <w:bCs/>
          <w:sz w:val="24"/>
          <w:szCs w:val="24"/>
        </w:rPr>
        <w:t>Legal Lesson Learned:</w:t>
      </w:r>
      <w:r>
        <w:rPr>
          <w:rFonts w:ascii="Times New Roman" w:hAnsi="Times New Roman"/>
          <w:b/>
          <w:bCs/>
          <w:sz w:val="24"/>
          <w:szCs w:val="24"/>
        </w:rPr>
        <w:t xml:space="preserve"> Violating a direct order can be basis for termination, particularly in a period of civil unrest where fire stations were being evacuated to protect the firefighters. </w:t>
      </w:r>
    </w:p>
    <w:p w14:paraId="0C2612DC" w14:textId="77777777" w:rsidR="00F91F9F" w:rsidRDefault="00F91F9F" w:rsidP="00F326E5">
      <w:pPr>
        <w:pStyle w:val="NoSpacing"/>
        <w:rPr>
          <w:rFonts w:ascii="Arial Black" w:hAnsi="Arial Black"/>
          <w:sz w:val="24"/>
          <w:szCs w:val="24"/>
        </w:rPr>
      </w:pPr>
    </w:p>
    <w:p w14:paraId="530D1534" w14:textId="77777777" w:rsidR="00F91F9F" w:rsidRDefault="00F91F9F" w:rsidP="00F326E5">
      <w:pPr>
        <w:pStyle w:val="NoSpacing"/>
        <w:rPr>
          <w:rFonts w:ascii="Arial Black" w:hAnsi="Arial Black"/>
          <w:sz w:val="24"/>
          <w:szCs w:val="24"/>
        </w:rPr>
      </w:pPr>
    </w:p>
    <w:p w14:paraId="0BA43EA7" w14:textId="77777777" w:rsidR="00F91F9F" w:rsidRDefault="00F91F9F" w:rsidP="00F326E5">
      <w:pPr>
        <w:pStyle w:val="NoSpacing"/>
        <w:rPr>
          <w:rFonts w:ascii="Arial Black" w:hAnsi="Arial Black"/>
          <w:sz w:val="24"/>
          <w:szCs w:val="24"/>
        </w:rPr>
      </w:pPr>
    </w:p>
    <w:p w14:paraId="377CCFDE" w14:textId="77777777" w:rsidR="00F91F9F" w:rsidRDefault="00F91F9F" w:rsidP="00F326E5">
      <w:pPr>
        <w:pStyle w:val="NoSpacing"/>
        <w:rPr>
          <w:rFonts w:ascii="Arial Black" w:hAnsi="Arial Black"/>
          <w:sz w:val="24"/>
          <w:szCs w:val="24"/>
        </w:rPr>
      </w:pPr>
    </w:p>
    <w:p w14:paraId="552C734D" w14:textId="37043548" w:rsidR="00D1090F" w:rsidRDefault="00D1090F" w:rsidP="00F326E5">
      <w:pPr>
        <w:pStyle w:val="NoSpacing"/>
        <w:rPr>
          <w:rFonts w:ascii="Arial Black" w:hAnsi="Arial Black"/>
          <w:sz w:val="24"/>
          <w:szCs w:val="24"/>
        </w:rPr>
      </w:pPr>
      <w:r>
        <w:rPr>
          <w:rFonts w:ascii="Arial Black" w:hAnsi="Arial Black"/>
          <w:sz w:val="24"/>
          <w:szCs w:val="24"/>
        </w:rPr>
        <w:t>16-105</w:t>
      </w:r>
    </w:p>
    <w:p w14:paraId="000C4F3D" w14:textId="77777777" w:rsidR="006E77A8" w:rsidRPr="00D26276" w:rsidRDefault="006E77A8" w:rsidP="006E77A8">
      <w:pPr>
        <w:spacing w:before="100" w:beforeAutospacing="1" w:after="100" w:afterAutospacing="1"/>
        <w:outlineLvl w:val="0"/>
        <w:rPr>
          <w:rFonts w:ascii="Arial Black" w:eastAsia="Times New Roman" w:hAnsi="Arial Black"/>
          <w:b/>
          <w:bCs/>
          <w:kern w:val="36"/>
          <w:sz w:val="28"/>
          <w:szCs w:val="28"/>
        </w:rPr>
      </w:pPr>
      <w:r>
        <w:rPr>
          <w:rFonts w:ascii="Arial Black" w:eastAsia="Times New Roman" w:hAnsi="Arial Black"/>
          <w:b/>
          <w:bCs/>
          <w:kern w:val="36"/>
          <w:sz w:val="28"/>
          <w:szCs w:val="28"/>
        </w:rPr>
        <w:t>OH: CINCINNATI FIRE CHIEF WAS FIRED – NOT “AT WILL” AFTER 6 MO. PROB. - ONLY “FOR CAUSE” – CASE PROCEED</w:t>
      </w:r>
    </w:p>
    <w:p w14:paraId="7348841D" w14:textId="77777777" w:rsidR="006E77A8" w:rsidRDefault="006E77A8" w:rsidP="006E77A8">
      <w:pPr>
        <w:pStyle w:val="NoSpacing"/>
        <w:rPr>
          <w:rFonts w:ascii="Times New Roman" w:hAnsi="Times New Roman"/>
          <w:sz w:val="24"/>
          <w:szCs w:val="24"/>
        </w:rPr>
      </w:pPr>
      <w:r>
        <w:rPr>
          <w:rFonts w:ascii="Times New Roman" w:hAnsi="Times New Roman"/>
          <w:sz w:val="24"/>
          <w:szCs w:val="24"/>
        </w:rPr>
        <w:t xml:space="preserve">On Feb. 7, 2023, in </w:t>
      </w:r>
      <w:r w:rsidRPr="00DC5906">
        <w:rPr>
          <w:rFonts w:ascii="Times New Roman" w:hAnsi="Times New Roman"/>
          <w:sz w:val="24"/>
          <w:szCs w:val="24"/>
          <w:u w:val="single"/>
        </w:rPr>
        <w:t>Michael Washington v. City of Cincinnati and Sheryl Long</w:t>
      </w:r>
      <w:r>
        <w:rPr>
          <w:rFonts w:ascii="Times New Roman" w:hAnsi="Times New Roman"/>
          <w:sz w:val="24"/>
          <w:szCs w:val="24"/>
        </w:rPr>
        <w:t>, U.S. District Court Judge Douglas R. Cole, U.S. District Court for Southern District of Ohio (Western Division) denied Citty’s motion for dismissal; finding that “</w:t>
      </w:r>
      <w:r w:rsidRPr="00945D7C">
        <w:rPr>
          <w:rFonts w:ascii="Times New Roman" w:hAnsi="Times New Roman"/>
          <w:sz w:val="24"/>
          <w:szCs w:val="24"/>
        </w:rPr>
        <w:t>Washington has validly pleaded claims for state and federal due process</w:t>
      </w:r>
      <w:r>
        <w:rPr>
          <w:rFonts w:ascii="Times New Roman" w:hAnsi="Times New Roman"/>
          <w:sz w:val="24"/>
          <w:szCs w:val="24"/>
        </w:rPr>
        <w:t xml:space="preserve"> </w:t>
      </w:r>
      <w:r w:rsidRPr="00945D7C">
        <w:rPr>
          <w:rFonts w:ascii="Times New Roman" w:hAnsi="Times New Roman"/>
          <w:sz w:val="24"/>
          <w:szCs w:val="24"/>
        </w:rPr>
        <w:t>violations, defamation, and entitlement to declaratory relief. Furthermore, based on</w:t>
      </w:r>
      <w:r>
        <w:rPr>
          <w:rFonts w:ascii="Times New Roman" w:hAnsi="Times New Roman"/>
          <w:sz w:val="24"/>
          <w:szCs w:val="24"/>
        </w:rPr>
        <w:t xml:space="preserve"> </w:t>
      </w:r>
      <w:r w:rsidRPr="00945D7C">
        <w:rPr>
          <w:rFonts w:ascii="Times New Roman" w:hAnsi="Times New Roman"/>
          <w:sz w:val="24"/>
          <w:szCs w:val="24"/>
        </w:rPr>
        <w:t xml:space="preserve">the allegations in the Amended Complaint, </w:t>
      </w:r>
      <w:r>
        <w:rPr>
          <w:rFonts w:ascii="Times New Roman" w:hAnsi="Times New Roman"/>
          <w:sz w:val="24"/>
          <w:szCs w:val="24"/>
        </w:rPr>
        <w:t>[City Mgr.]</w:t>
      </w:r>
      <w:r w:rsidRPr="00945D7C">
        <w:rPr>
          <w:rFonts w:ascii="Times New Roman" w:hAnsi="Times New Roman"/>
          <w:sz w:val="24"/>
          <w:szCs w:val="24"/>
        </w:rPr>
        <w:t>Long cannot rely on either qualified or</w:t>
      </w:r>
      <w:r>
        <w:rPr>
          <w:rFonts w:ascii="Times New Roman" w:hAnsi="Times New Roman"/>
          <w:sz w:val="24"/>
          <w:szCs w:val="24"/>
        </w:rPr>
        <w:t xml:space="preserve"> </w:t>
      </w:r>
      <w:r w:rsidRPr="00945D7C">
        <w:rPr>
          <w:rFonts w:ascii="Times New Roman" w:hAnsi="Times New Roman"/>
          <w:sz w:val="24"/>
          <w:szCs w:val="24"/>
        </w:rPr>
        <w:t>state-law immunity to extinguish the individual-capacity claims against her.</w:t>
      </w:r>
      <w:r>
        <w:rPr>
          <w:rFonts w:ascii="Times New Roman" w:hAnsi="Times New Roman"/>
          <w:sz w:val="24"/>
          <w:szCs w:val="24"/>
        </w:rPr>
        <w:t xml:space="preserve">” </w:t>
      </w:r>
    </w:p>
    <w:p w14:paraId="40014C24" w14:textId="77777777" w:rsidR="006E77A8" w:rsidRDefault="006E77A8" w:rsidP="006E77A8">
      <w:pPr>
        <w:pStyle w:val="NoSpacing"/>
        <w:rPr>
          <w:rFonts w:ascii="Times New Roman" w:hAnsi="Times New Roman"/>
          <w:sz w:val="24"/>
          <w:szCs w:val="24"/>
        </w:rPr>
      </w:pPr>
    </w:p>
    <w:p w14:paraId="0CD2CF15" w14:textId="77777777" w:rsidR="006E77A8" w:rsidRDefault="006E77A8" w:rsidP="006E77A8">
      <w:pPr>
        <w:pStyle w:val="NoSpacing"/>
        <w:rPr>
          <w:rFonts w:ascii="Times New Roman" w:hAnsi="Times New Roman"/>
          <w:sz w:val="24"/>
          <w:szCs w:val="24"/>
        </w:rPr>
      </w:pPr>
      <w:r>
        <w:rPr>
          <w:rFonts w:ascii="Times New Roman" w:hAnsi="Times New Roman"/>
          <w:sz w:val="24"/>
          <w:szCs w:val="24"/>
        </w:rPr>
        <w:t>The Court held:</w:t>
      </w:r>
    </w:p>
    <w:p w14:paraId="0E5F0F7B" w14:textId="77777777" w:rsidR="006E77A8" w:rsidRDefault="006E77A8" w:rsidP="006E77A8">
      <w:pPr>
        <w:pStyle w:val="NoSpacing"/>
        <w:ind w:firstLine="720"/>
        <w:rPr>
          <w:rFonts w:ascii="Times New Roman" w:hAnsi="Times New Roman"/>
          <w:sz w:val="24"/>
          <w:szCs w:val="24"/>
        </w:rPr>
      </w:pPr>
    </w:p>
    <w:p w14:paraId="6FE193A8" w14:textId="77777777" w:rsidR="006E77A8" w:rsidRPr="00D26276" w:rsidRDefault="006E77A8" w:rsidP="006E77A8">
      <w:pPr>
        <w:pStyle w:val="NoSpacing"/>
        <w:ind w:firstLine="720"/>
        <w:rPr>
          <w:rFonts w:ascii="Times New Roman" w:hAnsi="Times New Roman"/>
          <w:sz w:val="24"/>
          <w:szCs w:val="24"/>
        </w:rPr>
      </w:pPr>
      <w:r>
        <w:rPr>
          <w:rFonts w:ascii="Times New Roman" w:hAnsi="Times New Roman"/>
          <w:sz w:val="24"/>
          <w:szCs w:val="24"/>
        </w:rPr>
        <w:t>“</w:t>
      </w:r>
      <w:r w:rsidRPr="00D26276">
        <w:rPr>
          <w:rFonts w:ascii="Times New Roman" w:hAnsi="Times New Roman"/>
          <w:sz w:val="24"/>
          <w:szCs w:val="24"/>
        </w:rPr>
        <w:t>As explained further below, the Court concludes dismissal is unwarranted.</w:t>
      </w:r>
    </w:p>
    <w:p w14:paraId="3BEA9A27"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Washington has alleged a cognizable property interest in his employment under the</w:t>
      </w:r>
    </w:p>
    <w:p w14:paraId="3228A967"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City’s charter, which made him removable only “for cause.” Thus, Washington’s due</w:t>
      </w:r>
    </w:p>
    <w:p w14:paraId="5CF7A916"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process claims and attendant demand for declaratory relief premised on the due</w:t>
      </w:r>
    </w:p>
    <w:p w14:paraId="241E9493"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process violations clear the 12(b)(6) hurdle. The Amended Complaint also plausibly</w:t>
      </w:r>
    </w:p>
    <w:p w14:paraId="44368E3D"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states a claim for defamation—but Washington can proceed to the merits of this claim</w:t>
      </w:r>
    </w:p>
    <w:p w14:paraId="7BFB94E5"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 xml:space="preserve">on only two of the allegedly defamatory </w:t>
      </w:r>
      <w:proofErr w:type="gramStart"/>
      <w:r w:rsidRPr="00D26276">
        <w:rPr>
          <w:rFonts w:ascii="Times New Roman" w:hAnsi="Times New Roman"/>
          <w:sz w:val="24"/>
          <w:szCs w:val="24"/>
        </w:rPr>
        <w:t>statements</w:t>
      </w:r>
      <w:proofErr w:type="gramEnd"/>
      <w:r w:rsidRPr="00D26276">
        <w:rPr>
          <w:rFonts w:ascii="Times New Roman" w:hAnsi="Times New Roman"/>
          <w:sz w:val="24"/>
          <w:szCs w:val="24"/>
        </w:rPr>
        <w:t xml:space="preserve"> he identifies in the Amended</w:t>
      </w:r>
    </w:p>
    <w:p w14:paraId="7D8C141E" w14:textId="77777777" w:rsidR="006E77A8" w:rsidRPr="00D26276" w:rsidRDefault="006E77A8" w:rsidP="006E77A8">
      <w:pPr>
        <w:pStyle w:val="NoSpacing"/>
        <w:ind w:firstLine="720"/>
        <w:rPr>
          <w:rFonts w:ascii="Times New Roman" w:hAnsi="Times New Roman"/>
          <w:sz w:val="24"/>
          <w:szCs w:val="24"/>
        </w:rPr>
      </w:pPr>
      <w:r w:rsidRPr="00D26276">
        <w:rPr>
          <w:rFonts w:ascii="Times New Roman" w:hAnsi="Times New Roman"/>
          <w:sz w:val="24"/>
          <w:szCs w:val="24"/>
        </w:rPr>
        <w:t>Complaint. Finally, Long’s claims of immunity from suit in her individual capacity</w:t>
      </w:r>
    </w:p>
    <w:p w14:paraId="01ECB7B7" w14:textId="77777777" w:rsidR="006E77A8" w:rsidRPr="00D26276" w:rsidRDefault="006E77A8" w:rsidP="006E77A8">
      <w:pPr>
        <w:pStyle w:val="NoSpacing"/>
        <w:ind w:left="720"/>
        <w:rPr>
          <w:rFonts w:ascii="Times New Roman" w:hAnsi="Times New Roman"/>
          <w:sz w:val="24"/>
          <w:szCs w:val="24"/>
        </w:rPr>
      </w:pPr>
      <w:r w:rsidRPr="00D26276">
        <w:rPr>
          <w:rFonts w:ascii="Times New Roman" w:hAnsi="Times New Roman"/>
          <w:sz w:val="24"/>
          <w:szCs w:val="24"/>
        </w:rPr>
        <w:t>fall short at this stage of the litigation.</w:t>
      </w:r>
      <w:r>
        <w:rPr>
          <w:rFonts w:ascii="Times New Roman" w:hAnsi="Times New Roman"/>
          <w:sz w:val="24"/>
          <w:szCs w:val="24"/>
        </w:rPr>
        <w:t xml:space="preserve">” </w:t>
      </w:r>
      <w:hyperlink r:id="rId2571" w:history="1">
        <w:r w:rsidRPr="00216BB3">
          <w:rPr>
            <w:rStyle w:val="Hyperlink"/>
            <w:rFonts w:ascii="Times New Roman" w:hAnsi="Times New Roman"/>
            <w:sz w:val="24"/>
            <w:szCs w:val="24"/>
          </w:rPr>
          <w:t>https://cases.justia.com/federal/district-courts/ohio/ohsdce/1:2023cv00230/279336/13/0.pdf?ts=1707452867</w:t>
        </w:r>
      </w:hyperlink>
      <w:r>
        <w:rPr>
          <w:rFonts w:ascii="Times New Roman" w:hAnsi="Times New Roman"/>
          <w:sz w:val="24"/>
          <w:szCs w:val="24"/>
        </w:rPr>
        <w:t xml:space="preserve"> </w:t>
      </w:r>
    </w:p>
    <w:p w14:paraId="763C1CFC" w14:textId="77777777" w:rsidR="006E77A8" w:rsidRDefault="006E77A8" w:rsidP="006E77A8">
      <w:pPr>
        <w:pStyle w:val="NoSpacing"/>
        <w:rPr>
          <w:rFonts w:ascii="Times New Roman" w:hAnsi="Times New Roman"/>
          <w:b/>
          <w:bCs/>
          <w:sz w:val="24"/>
          <w:szCs w:val="24"/>
        </w:rPr>
      </w:pPr>
      <w:r w:rsidRPr="00BB6010">
        <w:rPr>
          <w:rFonts w:ascii="Times New Roman" w:hAnsi="Times New Roman"/>
          <w:b/>
          <w:bCs/>
          <w:sz w:val="24"/>
          <w:szCs w:val="24"/>
        </w:rPr>
        <w:t>Legal Lesson Learned:</w:t>
      </w:r>
      <w:r>
        <w:rPr>
          <w:rFonts w:ascii="Times New Roman" w:hAnsi="Times New Roman"/>
          <w:b/>
          <w:bCs/>
          <w:sz w:val="24"/>
          <w:szCs w:val="24"/>
        </w:rPr>
        <w:t xml:space="preserve"> Provide due process to Fire Chief or other senior officers, even if position is “unclassified” and not covered by civil service protection, including written notice of concerns, and then if concerns not addressed, a pre-disciplinary conference. </w:t>
      </w:r>
    </w:p>
    <w:p w14:paraId="7B30F823" w14:textId="77777777" w:rsidR="006E77A8" w:rsidRDefault="006E77A8" w:rsidP="006E77A8">
      <w:pPr>
        <w:pStyle w:val="NoSpacing"/>
        <w:rPr>
          <w:rFonts w:ascii="Times New Roman" w:hAnsi="Times New Roman"/>
          <w:b/>
          <w:bCs/>
          <w:sz w:val="24"/>
          <w:szCs w:val="24"/>
        </w:rPr>
      </w:pPr>
    </w:p>
    <w:p w14:paraId="20AC5C04" w14:textId="77777777" w:rsidR="006E77A8" w:rsidRPr="00F93B49" w:rsidRDefault="006E77A8" w:rsidP="006E77A8">
      <w:pPr>
        <w:pStyle w:val="NoSpacing"/>
        <w:rPr>
          <w:rFonts w:ascii="Times New Roman" w:hAnsi="Times New Roman"/>
          <w:sz w:val="24"/>
          <w:szCs w:val="24"/>
        </w:rPr>
      </w:pPr>
      <w:r>
        <w:rPr>
          <w:rFonts w:ascii="Times New Roman" w:hAnsi="Times New Roman"/>
          <w:b/>
          <w:bCs/>
          <w:sz w:val="24"/>
          <w:szCs w:val="24"/>
        </w:rPr>
        <w:tab/>
      </w:r>
      <w:r w:rsidRPr="00F93B49">
        <w:rPr>
          <w:rFonts w:ascii="Times New Roman" w:hAnsi="Times New Roman"/>
          <w:sz w:val="24"/>
          <w:szCs w:val="24"/>
        </w:rPr>
        <w:t>Note: The Court wrote: “And Washington alleges that he was given no pre-deprivation</w:t>
      </w:r>
    </w:p>
    <w:p w14:paraId="0F52BE54" w14:textId="77777777" w:rsidR="006E77A8" w:rsidRPr="00F93B49" w:rsidRDefault="006E77A8" w:rsidP="006E77A8">
      <w:pPr>
        <w:pStyle w:val="NoSpacing"/>
        <w:ind w:left="720"/>
        <w:rPr>
          <w:rFonts w:ascii="Times New Roman" w:hAnsi="Times New Roman"/>
          <w:sz w:val="24"/>
          <w:szCs w:val="24"/>
        </w:rPr>
      </w:pPr>
      <w:r w:rsidRPr="00F93B49">
        <w:rPr>
          <w:rFonts w:ascii="Times New Roman" w:hAnsi="Times New Roman"/>
          <w:sz w:val="24"/>
          <w:szCs w:val="24"/>
        </w:rPr>
        <w:t xml:space="preserve">notice or hearing </w:t>
      </w:r>
      <w:r>
        <w:rPr>
          <w:rFonts w:ascii="Times New Roman" w:hAnsi="Times New Roman"/>
          <w:sz w:val="24"/>
          <w:szCs w:val="24"/>
        </w:rPr>
        <w:t xml:space="preserve"> - </w:t>
      </w:r>
      <w:r w:rsidRPr="00F93B49">
        <w:rPr>
          <w:rFonts w:ascii="Times New Roman" w:hAnsi="Times New Roman"/>
          <w:sz w:val="24"/>
          <w:szCs w:val="24"/>
        </w:rPr>
        <w:t>thereby plausibly alleging a lack of adequate pre-deprivation process to challenge Long’s termination decision. Cleveland Bd. of Ed. v.</w:t>
      </w:r>
      <w:r>
        <w:rPr>
          <w:rFonts w:ascii="Times New Roman" w:hAnsi="Times New Roman"/>
          <w:sz w:val="24"/>
          <w:szCs w:val="24"/>
        </w:rPr>
        <w:t xml:space="preserve"> </w:t>
      </w:r>
      <w:r w:rsidRPr="00F93B49">
        <w:rPr>
          <w:rFonts w:ascii="Times New Roman" w:hAnsi="Times New Roman"/>
          <w:sz w:val="24"/>
          <w:szCs w:val="24"/>
        </w:rPr>
        <w:t>Loudermill, 470 U.S. 532, 542 (1985)</w:t>
      </w:r>
      <w:r>
        <w:rPr>
          <w:rFonts w:ascii="Times New Roman" w:hAnsi="Times New Roman"/>
          <w:sz w:val="24"/>
          <w:szCs w:val="24"/>
        </w:rPr>
        <w:t xml:space="preserve">. </w:t>
      </w:r>
    </w:p>
    <w:p w14:paraId="745C4AD2" w14:textId="77777777" w:rsidR="006E77A8" w:rsidRPr="003F6B2A" w:rsidRDefault="006E77A8" w:rsidP="006E77A8">
      <w:pPr>
        <w:spacing w:before="100" w:beforeAutospacing="1" w:after="100" w:afterAutospacing="1"/>
        <w:ind w:left="720"/>
        <w:outlineLvl w:val="0"/>
        <w:rPr>
          <w:rStyle w:val="Hyperlink"/>
          <w:rFonts w:ascii="Times New Roman" w:eastAsia="Times New Roman" w:hAnsi="Times New Roman"/>
          <w:kern w:val="36"/>
          <w:sz w:val="24"/>
          <w:szCs w:val="24"/>
        </w:rPr>
      </w:pPr>
      <w:r w:rsidRPr="003F6B2A">
        <w:rPr>
          <w:rFonts w:ascii="Times New Roman" w:eastAsia="Times New Roman" w:hAnsi="Times New Roman"/>
          <w:kern w:val="36"/>
          <w:sz w:val="24"/>
          <w:szCs w:val="24"/>
        </w:rPr>
        <w:t xml:space="preserve">See Feb. 8, </w:t>
      </w:r>
      <w:proofErr w:type="gramStart"/>
      <w:r w:rsidRPr="003F6B2A">
        <w:rPr>
          <w:rFonts w:ascii="Times New Roman" w:eastAsia="Times New Roman" w:hAnsi="Times New Roman"/>
          <w:kern w:val="36"/>
          <w:sz w:val="24"/>
          <w:szCs w:val="24"/>
        </w:rPr>
        <w:t>2024</w:t>
      </w:r>
      <w:proofErr w:type="gramEnd"/>
      <w:r w:rsidRPr="003F6B2A">
        <w:rPr>
          <w:rFonts w:ascii="Times New Roman" w:eastAsia="Times New Roman" w:hAnsi="Times New Roman"/>
          <w:kern w:val="36"/>
          <w:sz w:val="24"/>
          <w:szCs w:val="24"/>
        </w:rPr>
        <w:t xml:space="preserve"> article, “'First step towards justice': Court says ex-Cincinnati fire chief can sue city over firing.” </w:t>
      </w:r>
      <w:hyperlink r:id="rId2572" w:history="1">
        <w:r w:rsidRPr="003F6B2A">
          <w:rPr>
            <w:rStyle w:val="Hyperlink"/>
            <w:rFonts w:ascii="Times New Roman" w:eastAsia="Times New Roman" w:hAnsi="Times New Roman"/>
            <w:kern w:val="36"/>
            <w:sz w:val="24"/>
            <w:szCs w:val="24"/>
          </w:rPr>
          <w:t>https://www.cincinnati.com/story/news/politics/2024/02/08/court-former-fire-chief-michael-washington-can-sue-city/72523727007/</w:t>
        </w:r>
      </w:hyperlink>
    </w:p>
    <w:p w14:paraId="13AF3DDF" w14:textId="77777777" w:rsidR="006E77A8" w:rsidRDefault="006E77A8" w:rsidP="006E77A8">
      <w:pPr>
        <w:pStyle w:val="NormalWeb"/>
        <w:jc w:val="center"/>
      </w:pPr>
    </w:p>
    <w:p w14:paraId="23333F33" w14:textId="77777777" w:rsidR="006E77A8" w:rsidRDefault="006E77A8" w:rsidP="00F326E5">
      <w:pPr>
        <w:pStyle w:val="NoSpacing"/>
        <w:rPr>
          <w:rFonts w:ascii="Arial Black" w:hAnsi="Arial Black"/>
          <w:sz w:val="24"/>
          <w:szCs w:val="24"/>
        </w:rPr>
      </w:pPr>
    </w:p>
    <w:p w14:paraId="1EF89963" w14:textId="77777777" w:rsidR="00D1090F" w:rsidRDefault="00D1090F" w:rsidP="00F326E5">
      <w:pPr>
        <w:pStyle w:val="NoSpacing"/>
        <w:rPr>
          <w:rFonts w:ascii="Arial Black" w:hAnsi="Arial Black"/>
          <w:sz w:val="24"/>
          <w:szCs w:val="24"/>
        </w:rPr>
      </w:pPr>
    </w:p>
    <w:p w14:paraId="12056DFE" w14:textId="77777777" w:rsidR="00D1090F" w:rsidRDefault="00D1090F" w:rsidP="00F326E5">
      <w:pPr>
        <w:pStyle w:val="NoSpacing"/>
        <w:rPr>
          <w:rFonts w:ascii="Arial Black" w:hAnsi="Arial Black"/>
          <w:sz w:val="24"/>
          <w:szCs w:val="24"/>
        </w:rPr>
      </w:pPr>
    </w:p>
    <w:p w14:paraId="6644EEF6" w14:textId="25503B73" w:rsidR="00004BED" w:rsidRDefault="00004BED" w:rsidP="00F326E5">
      <w:pPr>
        <w:pStyle w:val="NoSpacing"/>
        <w:rPr>
          <w:rFonts w:ascii="Arial Black" w:hAnsi="Arial Black"/>
          <w:sz w:val="24"/>
          <w:szCs w:val="24"/>
        </w:rPr>
      </w:pPr>
      <w:r>
        <w:rPr>
          <w:rFonts w:ascii="Arial Black" w:hAnsi="Arial Black"/>
          <w:sz w:val="24"/>
          <w:szCs w:val="24"/>
        </w:rPr>
        <w:t>16-104</w:t>
      </w:r>
    </w:p>
    <w:p w14:paraId="01D2753C" w14:textId="77777777" w:rsidR="00004BED" w:rsidRPr="001C660F" w:rsidRDefault="00004BED" w:rsidP="00004BED">
      <w:pPr>
        <w:pStyle w:val="Heading1"/>
        <w:rPr>
          <w:rFonts w:ascii="Arial Black" w:hAnsi="Arial Black"/>
          <w:sz w:val="28"/>
          <w:szCs w:val="28"/>
        </w:rPr>
      </w:pPr>
      <w:r>
        <w:rPr>
          <w:rFonts w:ascii="Arial Black" w:hAnsi="Arial Black"/>
          <w:sz w:val="28"/>
          <w:szCs w:val="28"/>
        </w:rPr>
        <w:t>DC: FEMA -  SUSPENDED 13 DAYS – WELL DOCUMENTED REPRIMANDS – CASE DISMISSED, NO RETALIATION</w:t>
      </w:r>
    </w:p>
    <w:p w14:paraId="01E82C0F" w14:textId="77777777" w:rsidR="00004BED" w:rsidRDefault="00004BED" w:rsidP="00004BED">
      <w:pPr>
        <w:pStyle w:val="NoSpacing"/>
        <w:rPr>
          <w:rFonts w:ascii="Times New Roman" w:hAnsi="Times New Roman"/>
          <w:sz w:val="24"/>
          <w:szCs w:val="24"/>
        </w:rPr>
      </w:pPr>
      <w:r>
        <w:rPr>
          <w:rFonts w:ascii="Times New Roman" w:hAnsi="Times New Roman"/>
          <w:sz w:val="24"/>
          <w:szCs w:val="24"/>
        </w:rPr>
        <w:t xml:space="preserve">On Jan. 22, 2024, in </w:t>
      </w:r>
      <w:r w:rsidRPr="00D859E0">
        <w:rPr>
          <w:rFonts w:ascii="Times New Roman" w:hAnsi="Times New Roman"/>
          <w:sz w:val="24"/>
          <w:szCs w:val="24"/>
          <w:u w:val="single"/>
        </w:rPr>
        <w:t>Karl Rabenhorst v. Alejandro Mayorkas, Secretary, U.S. Department of Homeland Security</w:t>
      </w:r>
      <w:r>
        <w:rPr>
          <w:rFonts w:ascii="Times New Roman" w:hAnsi="Times New Roman"/>
          <w:sz w:val="24"/>
          <w:szCs w:val="24"/>
        </w:rPr>
        <w:t xml:space="preserve">, U.S. District Court Judge Manish S. Shah, U.S. District Court for Northern District of Illinois (Eastern Division), granted the Government’s motion for summary judgment.  </w:t>
      </w:r>
    </w:p>
    <w:p w14:paraId="42EEE3D7" w14:textId="77777777" w:rsidR="00004BED" w:rsidRDefault="00004BED" w:rsidP="00004BED">
      <w:pPr>
        <w:pStyle w:val="NoSpacing"/>
        <w:rPr>
          <w:rFonts w:ascii="Times New Roman" w:hAnsi="Times New Roman"/>
          <w:sz w:val="24"/>
          <w:szCs w:val="24"/>
        </w:rPr>
      </w:pPr>
    </w:p>
    <w:p w14:paraId="61A775E8" w14:textId="77777777" w:rsidR="00004BED" w:rsidRDefault="00004BED" w:rsidP="00004BED">
      <w:pPr>
        <w:pStyle w:val="NoSpacing"/>
        <w:ind w:left="720"/>
        <w:rPr>
          <w:rFonts w:ascii="Times New Roman" w:hAnsi="Times New Roman"/>
          <w:sz w:val="24"/>
          <w:szCs w:val="24"/>
        </w:rPr>
      </w:pPr>
      <w:r>
        <w:rPr>
          <w:rFonts w:ascii="Times New Roman" w:hAnsi="Times New Roman"/>
          <w:sz w:val="24"/>
          <w:szCs w:val="24"/>
        </w:rPr>
        <w:t>“</w:t>
      </w:r>
      <w:r w:rsidRPr="00395707">
        <w:rPr>
          <w:rFonts w:ascii="Times New Roman" w:hAnsi="Times New Roman"/>
          <w:sz w:val="24"/>
          <w:szCs w:val="24"/>
        </w:rPr>
        <w:t>Rabenhorst also fails to offer any evidence</w:t>
      </w:r>
      <w:r>
        <w:rPr>
          <w:rFonts w:ascii="Times New Roman" w:hAnsi="Times New Roman"/>
          <w:sz w:val="24"/>
          <w:szCs w:val="24"/>
        </w:rPr>
        <w:t xml:space="preserve"> </w:t>
      </w:r>
      <w:r w:rsidRPr="00395707">
        <w:rPr>
          <w:rFonts w:ascii="Times New Roman" w:hAnsi="Times New Roman"/>
          <w:sz w:val="24"/>
          <w:szCs w:val="24"/>
        </w:rPr>
        <w:t>of ambiguous statements of animus or similarly situated employees who were treated</w:t>
      </w:r>
      <w:r>
        <w:rPr>
          <w:rFonts w:ascii="Times New Roman" w:hAnsi="Times New Roman"/>
          <w:sz w:val="24"/>
          <w:szCs w:val="24"/>
        </w:rPr>
        <w:t xml:space="preserve"> </w:t>
      </w:r>
      <w:r w:rsidRPr="00395707">
        <w:rPr>
          <w:rFonts w:ascii="Times New Roman" w:hAnsi="Times New Roman"/>
          <w:sz w:val="24"/>
          <w:szCs w:val="24"/>
        </w:rPr>
        <w:t>differently. Rabenhorst has not presented any evidence that O’Leary’s reasons for the</w:t>
      </w:r>
      <w:r>
        <w:rPr>
          <w:rFonts w:ascii="Times New Roman" w:hAnsi="Times New Roman"/>
          <w:sz w:val="24"/>
          <w:szCs w:val="24"/>
        </w:rPr>
        <w:t xml:space="preserve"> </w:t>
      </w:r>
      <w:r w:rsidRPr="00395707">
        <w:rPr>
          <w:rFonts w:ascii="Times New Roman" w:hAnsi="Times New Roman"/>
          <w:sz w:val="24"/>
          <w:szCs w:val="24"/>
        </w:rPr>
        <w:t>suspension were pretextual. There is no evidence that would allow a jury to find that</w:t>
      </w:r>
      <w:r>
        <w:rPr>
          <w:rFonts w:ascii="Times New Roman" w:hAnsi="Times New Roman"/>
          <w:sz w:val="24"/>
          <w:szCs w:val="24"/>
        </w:rPr>
        <w:t xml:space="preserve"> </w:t>
      </w:r>
      <w:r w:rsidRPr="00395707">
        <w:rPr>
          <w:rFonts w:ascii="Times New Roman" w:hAnsi="Times New Roman"/>
          <w:sz w:val="24"/>
          <w:szCs w:val="24"/>
        </w:rPr>
        <w:t>O’Leary’s decision to suspend Rabenhorst without pay for 13 days was motivated by</w:t>
      </w:r>
      <w:r>
        <w:rPr>
          <w:rFonts w:ascii="Times New Roman" w:hAnsi="Times New Roman"/>
          <w:sz w:val="24"/>
          <w:szCs w:val="24"/>
        </w:rPr>
        <w:t xml:space="preserve"> </w:t>
      </w:r>
      <w:r w:rsidRPr="00395707">
        <w:rPr>
          <w:rFonts w:ascii="Times New Roman" w:hAnsi="Times New Roman"/>
          <w:sz w:val="24"/>
          <w:szCs w:val="24"/>
        </w:rPr>
        <w:t>anything but Rabenhorst’s misconduct.</w:t>
      </w:r>
      <w:r>
        <w:rPr>
          <w:rFonts w:ascii="Times New Roman" w:hAnsi="Times New Roman"/>
          <w:sz w:val="24"/>
          <w:szCs w:val="24"/>
        </w:rPr>
        <w:t xml:space="preserve">” </w:t>
      </w:r>
    </w:p>
    <w:p w14:paraId="036982FA" w14:textId="7063306D" w:rsidR="00004BED" w:rsidRDefault="00004BED" w:rsidP="00004BED">
      <w:pPr>
        <w:pStyle w:val="NoSpacing"/>
        <w:rPr>
          <w:rFonts w:ascii="Arial Black" w:hAnsi="Arial Black"/>
          <w:sz w:val="24"/>
          <w:szCs w:val="24"/>
        </w:rPr>
      </w:pPr>
      <w:hyperlink r:id="rId2573" w:history="1">
        <w:r w:rsidRPr="00624A20">
          <w:rPr>
            <w:rStyle w:val="Hyperlink"/>
            <w:rFonts w:ascii="Times New Roman" w:hAnsi="Times New Roman"/>
            <w:sz w:val="24"/>
            <w:szCs w:val="24"/>
          </w:rPr>
          <w:t>https://cases.justia.com/federal/district-courts/illinois/ilndce/1:2021cv03620/405182/52/0.pdf?ts=1706027592</w:t>
        </w:r>
      </w:hyperlink>
    </w:p>
    <w:p w14:paraId="2361AB0B" w14:textId="77777777" w:rsidR="00004BED" w:rsidRDefault="00004BED" w:rsidP="00F326E5">
      <w:pPr>
        <w:pStyle w:val="NoSpacing"/>
        <w:rPr>
          <w:rFonts w:ascii="Arial Black" w:hAnsi="Arial Black"/>
          <w:sz w:val="24"/>
          <w:szCs w:val="24"/>
        </w:rPr>
      </w:pPr>
    </w:p>
    <w:p w14:paraId="5805E9E1" w14:textId="77777777" w:rsidR="001B7DE1" w:rsidRDefault="001B7DE1" w:rsidP="001B7DE1">
      <w:pPr>
        <w:pStyle w:val="NoSpacing"/>
        <w:rPr>
          <w:b/>
          <w:bCs/>
        </w:rPr>
      </w:pPr>
      <w:r w:rsidRPr="004041F9">
        <w:rPr>
          <w:rFonts w:ascii="Times New Roman" w:hAnsi="Times New Roman"/>
          <w:b/>
          <w:bCs/>
          <w:sz w:val="24"/>
          <w:szCs w:val="24"/>
        </w:rPr>
        <w:t xml:space="preserve">Legal Lesson Learned: </w:t>
      </w:r>
      <w:r>
        <w:rPr>
          <w:rFonts w:ascii="Times New Roman" w:hAnsi="Times New Roman"/>
          <w:b/>
          <w:bCs/>
          <w:sz w:val="24"/>
          <w:szCs w:val="24"/>
        </w:rPr>
        <w:t xml:space="preserve">Thorough documentation of discipline led to dismissal of this lawsuit.  </w:t>
      </w:r>
    </w:p>
    <w:p w14:paraId="0AACF249" w14:textId="77777777" w:rsidR="00004BED" w:rsidRDefault="00004BED" w:rsidP="00F326E5">
      <w:pPr>
        <w:pStyle w:val="NoSpacing"/>
        <w:rPr>
          <w:rFonts w:ascii="Arial Black" w:hAnsi="Arial Black"/>
          <w:sz w:val="24"/>
          <w:szCs w:val="24"/>
        </w:rPr>
      </w:pPr>
    </w:p>
    <w:p w14:paraId="58796F2F" w14:textId="77777777" w:rsidR="001B7DE1" w:rsidRDefault="001B7DE1" w:rsidP="00F326E5">
      <w:pPr>
        <w:pStyle w:val="NoSpacing"/>
        <w:rPr>
          <w:rFonts w:ascii="Arial Black" w:hAnsi="Arial Black"/>
          <w:sz w:val="24"/>
          <w:szCs w:val="24"/>
        </w:rPr>
      </w:pPr>
    </w:p>
    <w:p w14:paraId="586C9110" w14:textId="77777777" w:rsidR="001B7DE1" w:rsidRDefault="001B7DE1" w:rsidP="00F326E5">
      <w:pPr>
        <w:pStyle w:val="NoSpacing"/>
        <w:rPr>
          <w:rFonts w:ascii="Arial Black" w:hAnsi="Arial Black"/>
          <w:sz w:val="24"/>
          <w:szCs w:val="24"/>
        </w:rPr>
      </w:pPr>
    </w:p>
    <w:p w14:paraId="1D8E9AEC" w14:textId="74EB8728" w:rsidR="001D190A" w:rsidRDefault="001D190A" w:rsidP="00F326E5">
      <w:pPr>
        <w:pStyle w:val="NoSpacing"/>
        <w:rPr>
          <w:rFonts w:ascii="Arial Black" w:hAnsi="Arial Black"/>
          <w:sz w:val="24"/>
          <w:szCs w:val="24"/>
        </w:rPr>
      </w:pPr>
      <w:r>
        <w:rPr>
          <w:rFonts w:ascii="Arial Black" w:hAnsi="Arial Black"/>
          <w:sz w:val="24"/>
          <w:szCs w:val="24"/>
        </w:rPr>
        <w:t>16-103</w:t>
      </w:r>
    </w:p>
    <w:p w14:paraId="312C76B5" w14:textId="77777777" w:rsidR="001D190A" w:rsidRDefault="001D190A" w:rsidP="00F326E5">
      <w:pPr>
        <w:pStyle w:val="NoSpacing"/>
        <w:rPr>
          <w:rFonts w:ascii="Arial Black" w:hAnsi="Arial Black"/>
          <w:sz w:val="24"/>
          <w:szCs w:val="24"/>
        </w:rPr>
      </w:pPr>
    </w:p>
    <w:p w14:paraId="35599DF1" w14:textId="77777777" w:rsidR="001D190A" w:rsidRPr="00A34D02" w:rsidRDefault="001D190A" w:rsidP="001D190A">
      <w:pPr>
        <w:pStyle w:val="NoSpacing"/>
        <w:rPr>
          <w:rFonts w:ascii="Arial Black" w:hAnsi="Arial Black"/>
          <w:sz w:val="28"/>
          <w:szCs w:val="28"/>
        </w:rPr>
      </w:pPr>
      <w:r>
        <w:rPr>
          <w:rFonts w:ascii="Arial Black" w:hAnsi="Arial Black"/>
          <w:sz w:val="28"/>
          <w:szCs w:val="28"/>
        </w:rPr>
        <w:t>WV: FF TERMINATION UPHELD - ARRESTS DOMESTIC VIOL – DISCHARGED FIREARM - CIVIL SERVICE COMM. REVERSED</w:t>
      </w:r>
    </w:p>
    <w:p w14:paraId="4A0CF2D4" w14:textId="77777777" w:rsidR="001D190A" w:rsidRDefault="001D190A" w:rsidP="001D190A">
      <w:pPr>
        <w:pStyle w:val="NoSpacing"/>
        <w:rPr>
          <w:rFonts w:ascii="Times New Roman" w:hAnsi="Times New Roman"/>
          <w:sz w:val="24"/>
          <w:szCs w:val="24"/>
        </w:rPr>
      </w:pPr>
    </w:p>
    <w:p w14:paraId="6DCC8568" w14:textId="77777777" w:rsidR="001D190A" w:rsidRDefault="001D190A" w:rsidP="001D190A">
      <w:pPr>
        <w:pStyle w:val="NoSpacing"/>
        <w:rPr>
          <w:rFonts w:ascii="Times New Roman" w:hAnsi="Times New Roman"/>
          <w:sz w:val="24"/>
          <w:szCs w:val="24"/>
        </w:rPr>
      </w:pPr>
      <w:r>
        <w:rPr>
          <w:rFonts w:ascii="Times New Roman" w:hAnsi="Times New Roman"/>
          <w:sz w:val="24"/>
          <w:szCs w:val="24"/>
        </w:rPr>
        <w:t xml:space="preserve">On Dec. 27, 2023, in </w:t>
      </w:r>
      <w:r w:rsidRPr="00ED4A72">
        <w:rPr>
          <w:rFonts w:ascii="Times New Roman" w:hAnsi="Times New Roman"/>
          <w:sz w:val="24"/>
          <w:szCs w:val="24"/>
          <w:u w:val="single"/>
        </w:rPr>
        <w:t>Nicholas Graley v. City of South Charleston</w:t>
      </w:r>
      <w:r>
        <w:rPr>
          <w:rFonts w:ascii="Times New Roman" w:hAnsi="Times New Roman"/>
          <w:sz w:val="24"/>
          <w:szCs w:val="24"/>
        </w:rPr>
        <w:t xml:space="preserve">, the Intermediate Court of Appeals of West Virginia held (3 to 0) that the firefighters </w:t>
      </w:r>
      <w:proofErr w:type="gramStart"/>
      <w:r>
        <w:rPr>
          <w:rFonts w:ascii="Times New Roman" w:hAnsi="Times New Roman"/>
          <w:sz w:val="24"/>
          <w:szCs w:val="24"/>
        </w:rPr>
        <w:t>was</w:t>
      </w:r>
      <w:proofErr w:type="gramEnd"/>
      <w:r>
        <w:rPr>
          <w:rFonts w:ascii="Times New Roman" w:hAnsi="Times New Roman"/>
          <w:sz w:val="24"/>
          <w:szCs w:val="24"/>
        </w:rPr>
        <w:t xml:space="preserve"> properly terminated, upholding the decision of the Circuit Court judge of </w:t>
      </w:r>
      <w:r w:rsidRPr="00A95B2F">
        <w:rPr>
          <w:rFonts w:ascii="Times New Roman" w:hAnsi="Times New Roman"/>
          <w:sz w:val="24"/>
          <w:szCs w:val="24"/>
        </w:rPr>
        <w:t xml:space="preserve">Kanawha </w:t>
      </w:r>
      <w:r>
        <w:rPr>
          <w:rFonts w:ascii="Times New Roman" w:hAnsi="Times New Roman"/>
          <w:sz w:val="24"/>
          <w:szCs w:val="24"/>
        </w:rPr>
        <w:t>County; the City’s Civil Service Commission decision to only suspend firefighter reversed.  The Court held: “</w:t>
      </w:r>
      <w:r w:rsidRPr="0023429B">
        <w:rPr>
          <w:rFonts w:ascii="Times New Roman" w:hAnsi="Times New Roman"/>
          <w:sz w:val="24"/>
          <w:szCs w:val="24"/>
        </w:rPr>
        <w:t>Further, the final order of the Commission is reversed because the Commission</w:t>
      </w:r>
      <w:r>
        <w:rPr>
          <w:rFonts w:ascii="Times New Roman" w:hAnsi="Times New Roman"/>
          <w:sz w:val="24"/>
          <w:szCs w:val="24"/>
        </w:rPr>
        <w:t xml:space="preserve"> </w:t>
      </w:r>
      <w:r w:rsidRPr="0023429B">
        <w:rPr>
          <w:rFonts w:ascii="Times New Roman" w:hAnsi="Times New Roman"/>
          <w:sz w:val="24"/>
          <w:szCs w:val="24"/>
        </w:rPr>
        <w:t>entirely failed to consider important aspects of the case and offered explanations that ran</w:t>
      </w:r>
      <w:r>
        <w:rPr>
          <w:rFonts w:ascii="Times New Roman" w:hAnsi="Times New Roman"/>
          <w:sz w:val="24"/>
          <w:szCs w:val="24"/>
        </w:rPr>
        <w:t xml:space="preserve"> </w:t>
      </w:r>
      <w:r w:rsidRPr="0023429B">
        <w:rPr>
          <w:rFonts w:ascii="Times New Roman" w:hAnsi="Times New Roman"/>
          <w:sz w:val="24"/>
          <w:szCs w:val="24"/>
        </w:rPr>
        <w:t>counter to the evidence.</w:t>
      </w:r>
      <w:r>
        <w:rPr>
          <w:rFonts w:ascii="Times New Roman" w:hAnsi="Times New Roman"/>
          <w:sz w:val="24"/>
          <w:szCs w:val="24"/>
        </w:rPr>
        <w:t xml:space="preserve"> </w:t>
      </w:r>
      <w:r w:rsidRPr="0023429B">
        <w:rPr>
          <w:rFonts w:ascii="Times New Roman" w:hAnsi="Times New Roman"/>
          <w:sz w:val="24"/>
          <w:szCs w:val="24"/>
        </w:rPr>
        <w:t>For instance, the Commission failed to consider any of the facts related to the May</w:t>
      </w:r>
      <w:r>
        <w:rPr>
          <w:rFonts w:ascii="Times New Roman" w:hAnsi="Times New Roman"/>
          <w:sz w:val="24"/>
          <w:szCs w:val="24"/>
        </w:rPr>
        <w:t xml:space="preserve"> </w:t>
      </w:r>
      <w:r w:rsidRPr="0023429B">
        <w:rPr>
          <w:rFonts w:ascii="Times New Roman" w:hAnsi="Times New Roman"/>
          <w:sz w:val="24"/>
          <w:szCs w:val="24"/>
        </w:rPr>
        <w:t>30, 2019, incident wherein Mr. Graley was involved in an altercation while drinking in</w:t>
      </w:r>
      <w:r>
        <w:rPr>
          <w:rFonts w:ascii="Times New Roman" w:hAnsi="Times New Roman"/>
          <w:sz w:val="24"/>
          <w:szCs w:val="24"/>
        </w:rPr>
        <w:t xml:space="preserve"> </w:t>
      </w:r>
      <w:r w:rsidRPr="0023429B">
        <w:rPr>
          <w:rFonts w:ascii="Times New Roman" w:hAnsi="Times New Roman"/>
          <w:sz w:val="24"/>
          <w:szCs w:val="24"/>
        </w:rPr>
        <w:t>public then followed members of that altercation home after being asked not to, discharged</w:t>
      </w:r>
      <w:r>
        <w:rPr>
          <w:rFonts w:ascii="Times New Roman" w:hAnsi="Times New Roman"/>
          <w:sz w:val="24"/>
          <w:szCs w:val="24"/>
        </w:rPr>
        <w:t xml:space="preserve"> </w:t>
      </w:r>
      <w:r w:rsidRPr="0023429B">
        <w:rPr>
          <w:rFonts w:ascii="Times New Roman" w:hAnsi="Times New Roman"/>
          <w:sz w:val="24"/>
          <w:szCs w:val="24"/>
        </w:rPr>
        <w:t>his firearm from his vehicle, and initially lied to law enforcement about his actions. The</w:t>
      </w:r>
      <w:r>
        <w:rPr>
          <w:rFonts w:ascii="Times New Roman" w:hAnsi="Times New Roman"/>
          <w:sz w:val="24"/>
          <w:szCs w:val="24"/>
        </w:rPr>
        <w:t xml:space="preserve"> </w:t>
      </w:r>
      <w:r w:rsidRPr="0023429B">
        <w:rPr>
          <w:rFonts w:ascii="Times New Roman" w:hAnsi="Times New Roman"/>
          <w:sz w:val="24"/>
          <w:szCs w:val="24"/>
        </w:rPr>
        <w:t>Commission also failed to consider that Mr. Graley lied about, or minimized, his actions</w:t>
      </w:r>
      <w:r>
        <w:rPr>
          <w:rFonts w:ascii="Times New Roman" w:hAnsi="Times New Roman"/>
          <w:sz w:val="24"/>
          <w:szCs w:val="24"/>
        </w:rPr>
        <w:t xml:space="preserve"> </w:t>
      </w:r>
      <w:r w:rsidRPr="0023429B">
        <w:rPr>
          <w:rFonts w:ascii="Times New Roman" w:hAnsi="Times New Roman"/>
          <w:sz w:val="24"/>
          <w:szCs w:val="24"/>
        </w:rPr>
        <w:t xml:space="preserve">concerning this incident to Chief </w:t>
      </w:r>
      <w:proofErr w:type="gramStart"/>
      <w:r w:rsidRPr="0023429B">
        <w:rPr>
          <w:rFonts w:ascii="Times New Roman" w:hAnsi="Times New Roman"/>
          <w:sz w:val="24"/>
          <w:szCs w:val="24"/>
        </w:rPr>
        <w:t>White.</w:t>
      </w:r>
      <w:r>
        <w:rPr>
          <w:rFonts w:ascii="Times New Roman" w:hAnsi="Times New Roman"/>
          <w:sz w:val="24"/>
          <w:szCs w:val="24"/>
        </w:rPr>
        <w:t>”</w:t>
      </w:r>
      <w:proofErr w:type="gramEnd"/>
      <w:r>
        <w:rPr>
          <w:rFonts w:ascii="Times New Roman" w:hAnsi="Times New Roman"/>
          <w:sz w:val="24"/>
          <w:szCs w:val="24"/>
        </w:rPr>
        <w:t xml:space="preserve">  </w:t>
      </w:r>
      <w:hyperlink r:id="rId2574" w:history="1">
        <w:r w:rsidRPr="00911235">
          <w:rPr>
            <w:rStyle w:val="Hyperlink"/>
            <w:rFonts w:ascii="Times New Roman" w:hAnsi="Times New Roman"/>
            <w:sz w:val="24"/>
            <w:szCs w:val="24"/>
          </w:rPr>
          <w:t>https://www.courtswv.gov/sites/default/pubfilesmnt/2023-12/22-ICA-267_MD.pdf</w:t>
        </w:r>
      </w:hyperlink>
      <w:r>
        <w:rPr>
          <w:rFonts w:ascii="Times New Roman" w:hAnsi="Times New Roman"/>
          <w:sz w:val="24"/>
          <w:szCs w:val="24"/>
        </w:rPr>
        <w:t xml:space="preserve"> </w:t>
      </w:r>
    </w:p>
    <w:p w14:paraId="27A990B8" w14:textId="77777777" w:rsidR="004E344B" w:rsidRDefault="004E344B" w:rsidP="004E344B">
      <w:pPr>
        <w:pStyle w:val="NormalWeb"/>
        <w:rPr>
          <w:b/>
          <w:bCs/>
        </w:rPr>
      </w:pPr>
      <w:r>
        <w:rPr>
          <w:b/>
          <w:bCs/>
        </w:rPr>
        <w:t>Legal Lesson Learned: Fire Chief properly terminated, not suspended firefighter; four Judges properly overruled Civil Service Commission.</w:t>
      </w:r>
    </w:p>
    <w:p w14:paraId="5AE1E8B7" w14:textId="77777777" w:rsidR="004E344B" w:rsidRDefault="004E344B" w:rsidP="00F326E5">
      <w:pPr>
        <w:pStyle w:val="NoSpacing"/>
        <w:rPr>
          <w:rFonts w:ascii="Arial Black" w:hAnsi="Arial Black"/>
          <w:sz w:val="24"/>
          <w:szCs w:val="24"/>
        </w:rPr>
      </w:pPr>
    </w:p>
    <w:p w14:paraId="55D05BAB" w14:textId="77777777" w:rsidR="001D190A" w:rsidRDefault="001D190A" w:rsidP="00F326E5">
      <w:pPr>
        <w:pStyle w:val="NoSpacing"/>
        <w:rPr>
          <w:rFonts w:ascii="Arial Black" w:hAnsi="Arial Black"/>
          <w:sz w:val="24"/>
          <w:szCs w:val="24"/>
        </w:rPr>
      </w:pPr>
    </w:p>
    <w:p w14:paraId="05462BEA" w14:textId="77777777" w:rsidR="001D190A" w:rsidRDefault="001D190A" w:rsidP="00F326E5">
      <w:pPr>
        <w:pStyle w:val="NoSpacing"/>
        <w:rPr>
          <w:rFonts w:ascii="Arial Black" w:hAnsi="Arial Black"/>
          <w:sz w:val="24"/>
          <w:szCs w:val="24"/>
        </w:rPr>
      </w:pPr>
    </w:p>
    <w:p w14:paraId="7EEFFA19" w14:textId="02DA218F" w:rsidR="00A01262" w:rsidRDefault="00ED6448" w:rsidP="00F326E5">
      <w:pPr>
        <w:pStyle w:val="NoSpacing"/>
        <w:rPr>
          <w:rFonts w:ascii="Arial Black" w:hAnsi="Arial Black"/>
          <w:sz w:val="24"/>
          <w:szCs w:val="24"/>
        </w:rPr>
      </w:pPr>
      <w:r>
        <w:rPr>
          <w:rFonts w:ascii="Arial Black" w:hAnsi="Arial Black"/>
          <w:sz w:val="24"/>
          <w:szCs w:val="24"/>
        </w:rPr>
        <w:t>16-102</w:t>
      </w:r>
    </w:p>
    <w:p w14:paraId="6B35D75F" w14:textId="77777777" w:rsidR="008B2E73" w:rsidRPr="006268B1" w:rsidRDefault="008B2E73" w:rsidP="008B2E73">
      <w:pPr>
        <w:pStyle w:val="NormalWeb"/>
        <w:rPr>
          <w:rFonts w:ascii="Arial Black" w:hAnsi="Arial Black"/>
          <w:b/>
          <w:bCs/>
          <w:sz w:val="28"/>
          <w:szCs w:val="28"/>
        </w:rPr>
      </w:pPr>
      <w:r>
        <w:rPr>
          <w:rFonts w:ascii="Arial Black" w:hAnsi="Arial Black"/>
          <w:b/>
          <w:bCs/>
          <w:sz w:val="28"/>
          <w:szCs w:val="28"/>
        </w:rPr>
        <w:t>CA: FD OFFICER WRONGFULLY FIRED – “INTENTIONAL”  VIOL. DUE PROCESS BY CHIEF – JURY: $3M DAMAGES</w:t>
      </w:r>
    </w:p>
    <w:p w14:paraId="0B944DE7" w14:textId="77777777" w:rsidR="008B2E73" w:rsidRDefault="008B2E73" w:rsidP="008B2E73">
      <w:pPr>
        <w:pStyle w:val="NoSpacing"/>
      </w:pPr>
      <w:r w:rsidRPr="00271EFB">
        <w:rPr>
          <w:rFonts w:ascii="Times New Roman" w:hAnsi="Times New Roman"/>
          <w:sz w:val="24"/>
          <w:szCs w:val="24"/>
        </w:rPr>
        <w:t xml:space="preserve">On Dec. 19, 2023, in </w:t>
      </w:r>
      <w:r w:rsidRPr="00271EFB">
        <w:rPr>
          <w:rFonts w:ascii="Times New Roman" w:hAnsi="Times New Roman"/>
          <w:sz w:val="24"/>
          <w:szCs w:val="24"/>
          <w:u w:val="single"/>
        </w:rPr>
        <w:t>Timothy O’Hara v. Liberty Rural County Fire Protection District, et al</w:t>
      </w:r>
      <w:r w:rsidRPr="00271EFB">
        <w:rPr>
          <w:rFonts w:ascii="Times New Roman" w:hAnsi="Times New Roman"/>
          <w:sz w:val="24"/>
          <w:szCs w:val="24"/>
        </w:rPr>
        <w:t xml:space="preserve">., the California Court of Appeals, Third District, San Joaquin, held (3 to 0; unpublished decision) that jury properly found the Fire Chief intentionally </w:t>
      </w:r>
      <w:r>
        <w:rPr>
          <w:rFonts w:ascii="Times New Roman" w:hAnsi="Times New Roman"/>
          <w:sz w:val="24"/>
          <w:szCs w:val="24"/>
        </w:rPr>
        <w:t>violated</w:t>
      </w:r>
      <w:r w:rsidRPr="00271EFB">
        <w:rPr>
          <w:rFonts w:ascii="Times New Roman" w:hAnsi="Times New Roman"/>
          <w:sz w:val="24"/>
          <w:szCs w:val="24"/>
        </w:rPr>
        <w:t xml:space="preserve"> the</w:t>
      </w:r>
      <w:r>
        <w:rPr>
          <w:rFonts w:ascii="Times New Roman" w:hAnsi="Times New Roman"/>
          <w:sz w:val="24"/>
          <w:szCs w:val="24"/>
        </w:rPr>
        <w:t xml:space="preserve"> CA </w:t>
      </w:r>
      <w:r w:rsidRPr="00907648">
        <w:rPr>
          <w:rFonts w:ascii="Times New Roman" w:hAnsi="Times New Roman"/>
          <w:sz w:val="24"/>
          <w:szCs w:val="24"/>
        </w:rPr>
        <w:t>Firefighters Procedural Bill of Rights Act</w:t>
      </w:r>
      <w:r w:rsidRPr="00271EFB">
        <w:rPr>
          <w:rFonts w:ascii="Times New Roman" w:hAnsi="Times New Roman"/>
          <w:sz w:val="24"/>
          <w:szCs w:val="24"/>
        </w:rPr>
        <w:t xml:space="preserve"> by denying Shift Supervisor</w:t>
      </w:r>
      <w:r>
        <w:rPr>
          <w:rFonts w:ascii="Times New Roman" w:hAnsi="Times New Roman"/>
          <w:sz w:val="24"/>
          <w:szCs w:val="24"/>
        </w:rPr>
        <w:t xml:space="preserve"> Tim O’Hara </w:t>
      </w:r>
      <w:r w:rsidRPr="00271EFB">
        <w:rPr>
          <w:rFonts w:ascii="Times New Roman" w:hAnsi="Times New Roman"/>
          <w:sz w:val="24"/>
          <w:szCs w:val="24"/>
        </w:rPr>
        <w:t xml:space="preserve">(12 years on FD) due process, and effectively ending his career in fire service at age 51.  The Court </w:t>
      </w:r>
      <w:proofErr w:type="gramStart"/>
      <w:r w:rsidRPr="00271EFB">
        <w:rPr>
          <w:rFonts w:ascii="Times New Roman" w:hAnsi="Times New Roman"/>
          <w:sz w:val="24"/>
          <w:szCs w:val="24"/>
        </w:rPr>
        <w:t xml:space="preserve">held: </w:t>
      </w:r>
      <w:r>
        <w:rPr>
          <w:rFonts w:ascii="Times New Roman" w:hAnsi="Times New Roman"/>
          <w:sz w:val="24"/>
          <w:szCs w:val="24"/>
        </w:rPr>
        <w:t>“</w:t>
      </w:r>
      <w:proofErr w:type="gramEnd"/>
      <w:r>
        <w:rPr>
          <w:rFonts w:ascii="Times New Roman" w:hAnsi="Times New Roman"/>
          <w:sz w:val="24"/>
          <w:szCs w:val="24"/>
        </w:rPr>
        <w:t xml:space="preserve">[Fire Chief] </w:t>
      </w:r>
      <w:r w:rsidRPr="00271EFB">
        <w:rPr>
          <w:rFonts w:ascii="Times New Roman" w:hAnsi="Times New Roman"/>
          <w:sz w:val="24"/>
          <w:szCs w:val="24"/>
        </w:rPr>
        <w:t>Seifert and the District give similarly short shrift to the deliberate</w:t>
      </w:r>
      <w:r>
        <w:rPr>
          <w:rFonts w:ascii="Times New Roman" w:hAnsi="Times New Roman"/>
          <w:sz w:val="24"/>
          <w:szCs w:val="24"/>
        </w:rPr>
        <w:t xml:space="preserve"> </w:t>
      </w:r>
      <w:r w:rsidRPr="00271EFB">
        <w:rPr>
          <w:rFonts w:ascii="Times New Roman" w:hAnsi="Times New Roman"/>
          <w:sz w:val="24"/>
          <w:szCs w:val="24"/>
        </w:rPr>
        <w:t>flouting standard with which the jury was instructed and offer no challenge to the special</w:t>
      </w:r>
      <w:r>
        <w:rPr>
          <w:rFonts w:ascii="Times New Roman" w:hAnsi="Times New Roman"/>
          <w:sz w:val="24"/>
          <w:szCs w:val="24"/>
        </w:rPr>
        <w:t xml:space="preserve"> </w:t>
      </w:r>
      <w:r w:rsidRPr="00271EFB">
        <w:rPr>
          <w:rFonts w:ascii="Times New Roman" w:hAnsi="Times New Roman"/>
          <w:sz w:val="24"/>
          <w:szCs w:val="24"/>
        </w:rPr>
        <w:t>verdict finding that Seifert intentionally trammeled O’Hara’s rights under the FPBOR.</w:t>
      </w:r>
      <w:r>
        <w:rPr>
          <w:rFonts w:ascii="Times New Roman" w:hAnsi="Times New Roman"/>
          <w:sz w:val="24"/>
          <w:szCs w:val="24"/>
        </w:rPr>
        <w:t xml:space="preserve"> </w:t>
      </w:r>
      <w:r w:rsidRPr="00271EFB">
        <w:rPr>
          <w:rFonts w:ascii="Times New Roman" w:hAnsi="Times New Roman"/>
          <w:sz w:val="24"/>
          <w:szCs w:val="24"/>
        </w:rPr>
        <w:t>Under the circumstances, we need not consider whether the evidence compels findings in</w:t>
      </w:r>
      <w:r>
        <w:rPr>
          <w:rFonts w:ascii="Times New Roman" w:hAnsi="Times New Roman"/>
          <w:sz w:val="24"/>
          <w:szCs w:val="24"/>
        </w:rPr>
        <w:t xml:space="preserve"> </w:t>
      </w:r>
      <w:r w:rsidRPr="00271EFB">
        <w:rPr>
          <w:rFonts w:ascii="Times New Roman" w:hAnsi="Times New Roman"/>
          <w:sz w:val="24"/>
          <w:szCs w:val="24"/>
        </w:rPr>
        <w:t>their favor on the theory they violated substantive due process by intentionally and</w:t>
      </w:r>
      <w:r>
        <w:rPr>
          <w:rFonts w:ascii="Times New Roman" w:hAnsi="Times New Roman"/>
          <w:sz w:val="24"/>
          <w:szCs w:val="24"/>
        </w:rPr>
        <w:t xml:space="preserve"> </w:t>
      </w:r>
      <w:r w:rsidRPr="00271EFB">
        <w:rPr>
          <w:rFonts w:ascii="Times New Roman" w:hAnsi="Times New Roman"/>
          <w:sz w:val="24"/>
          <w:szCs w:val="24"/>
        </w:rPr>
        <w:t>deliberately flouting the FPBOR as part of a personal vendetta against O’Hara. We need</w:t>
      </w:r>
      <w:r>
        <w:rPr>
          <w:rFonts w:ascii="Times New Roman" w:hAnsi="Times New Roman"/>
          <w:sz w:val="24"/>
          <w:szCs w:val="24"/>
        </w:rPr>
        <w:t xml:space="preserve"> </w:t>
      </w:r>
      <w:r w:rsidRPr="00271EFB">
        <w:rPr>
          <w:rFonts w:ascii="Times New Roman" w:hAnsi="Times New Roman"/>
          <w:sz w:val="24"/>
          <w:szCs w:val="24"/>
        </w:rPr>
        <w:t>only conclude that Seifert and the District have failed to show the evidence compels</w:t>
      </w:r>
      <w:r>
        <w:rPr>
          <w:rFonts w:ascii="Times New Roman" w:hAnsi="Times New Roman"/>
          <w:sz w:val="24"/>
          <w:szCs w:val="24"/>
        </w:rPr>
        <w:t xml:space="preserve"> </w:t>
      </w:r>
      <w:r w:rsidRPr="00271EFB">
        <w:rPr>
          <w:rFonts w:ascii="Times New Roman" w:hAnsi="Times New Roman"/>
          <w:sz w:val="24"/>
          <w:szCs w:val="24"/>
        </w:rPr>
        <w:t>findings in their favor on substantive due process as a matter of law. They likewise fail</w:t>
      </w:r>
      <w:r>
        <w:rPr>
          <w:rFonts w:ascii="Times New Roman" w:hAnsi="Times New Roman"/>
          <w:sz w:val="24"/>
          <w:szCs w:val="24"/>
        </w:rPr>
        <w:t xml:space="preserve"> </w:t>
      </w:r>
      <w:r w:rsidRPr="00271EFB">
        <w:rPr>
          <w:rFonts w:ascii="Times New Roman" w:hAnsi="Times New Roman"/>
          <w:sz w:val="24"/>
          <w:szCs w:val="24"/>
        </w:rPr>
        <w:t xml:space="preserve">to show the trial court </w:t>
      </w:r>
      <w:proofErr w:type="gramStart"/>
      <w:r w:rsidRPr="00271EFB">
        <w:rPr>
          <w:rFonts w:ascii="Times New Roman" w:hAnsi="Times New Roman"/>
          <w:sz w:val="24"/>
          <w:szCs w:val="24"/>
        </w:rPr>
        <w:t>erred</w:t>
      </w:r>
      <w:proofErr w:type="gramEnd"/>
      <w:r w:rsidRPr="00271EFB">
        <w:rPr>
          <w:rFonts w:ascii="Times New Roman" w:hAnsi="Times New Roman"/>
          <w:sz w:val="24"/>
          <w:szCs w:val="24"/>
        </w:rPr>
        <w:t xml:space="preserve"> in denying the motions for judgment notwithstanding the</w:t>
      </w:r>
      <w:r>
        <w:rPr>
          <w:rFonts w:ascii="Times New Roman" w:hAnsi="Times New Roman"/>
          <w:sz w:val="24"/>
          <w:szCs w:val="24"/>
        </w:rPr>
        <w:t xml:space="preserve"> </w:t>
      </w:r>
      <w:r w:rsidRPr="00271EFB">
        <w:rPr>
          <w:rFonts w:ascii="Times New Roman" w:hAnsi="Times New Roman"/>
          <w:sz w:val="24"/>
          <w:szCs w:val="24"/>
        </w:rPr>
        <w:t xml:space="preserve">verdict so far as the section 1983 cause of action was </w:t>
      </w:r>
      <w:proofErr w:type="gramStart"/>
      <w:r w:rsidRPr="00271EFB">
        <w:rPr>
          <w:rFonts w:ascii="Times New Roman" w:hAnsi="Times New Roman"/>
          <w:sz w:val="24"/>
          <w:szCs w:val="24"/>
        </w:rPr>
        <w:t>concerned.</w:t>
      </w:r>
      <w:r>
        <w:rPr>
          <w:rFonts w:ascii="Times New Roman" w:hAnsi="Times New Roman"/>
          <w:sz w:val="24"/>
          <w:szCs w:val="24"/>
        </w:rPr>
        <w:t>”</w:t>
      </w:r>
      <w:proofErr w:type="gramEnd"/>
      <w:r>
        <w:rPr>
          <w:rFonts w:ascii="Times New Roman" w:hAnsi="Times New Roman"/>
          <w:sz w:val="24"/>
          <w:szCs w:val="24"/>
        </w:rPr>
        <w:t xml:space="preserve"> </w:t>
      </w:r>
      <w:hyperlink r:id="rId2575" w:history="1">
        <w:r w:rsidRPr="0044657D">
          <w:rPr>
            <w:rStyle w:val="Hyperlink"/>
          </w:rPr>
          <w:t>https://www.courts.ca.gov/opinions/nonpub/C096135.PDF</w:t>
        </w:r>
      </w:hyperlink>
      <w:r>
        <w:t xml:space="preserve"> </w:t>
      </w:r>
    </w:p>
    <w:p w14:paraId="7E0B7735" w14:textId="77777777" w:rsidR="00460215" w:rsidRPr="002263B6" w:rsidRDefault="00460215" w:rsidP="00460215">
      <w:pPr>
        <w:pStyle w:val="NormalWeb"/>
        <w:rPr>
          <w:b/>
          <w:bCs/>
        </w:rPr>
      </w:pPr>
      <w:r w:rsidRPr="002263B6">
        <w:rPr>
          <w:b/>
          <w:bCs/>
        </w:rPr>
        <w:t>Legal Lesson Learned:</w:t>
      </w:r>
      <w:r>
        <w:rPr>
          <w:b/>
          <w:bCs/>
        </w:rPr>
        <w:t xml:space="preserve"> Very expensive lesson learned; the Fire Chief should have held a  pre-disciplinary conference, and the Fire Board should have provided a hearing. </w:t>
      </w:r>
    </w:p>
    <w:p w14:paraId="18E931DB" w14:textId="77777777" w:rsidR="00460215" w:rsidRDefault="00460215" w:rsidP="00460215">
      <w:pPr>
        <w:pStyle w:val="NormalWeb"/>
      </w:pPr>
    </w:p>
    <w:p w14:paraId="14F41ECC" w14:textId="6C38F8F9" w:rsidR="00787BFA" w:rsidRDefault="00787BFA" w:rsidP="00F326E5">
      <w:pPr>
        <w:pStyle w:val="NoSpacing"/>
        <w:rPr>
          <w:rFonts w:ascii="Arial Black" w:hAnsi="Arial Black"/>
          <w:sz w:val="24"/>
          <w:szCs w:val="24"/>
        </w:rPr>
      </w:pPr>
      <w:r>
        <w:rPr>
          <w:rFonts w:ascii="Arial Black" w:hAnsi="Arial Black"/>
          <w:sz w:val="24"/>
          <w:szCs w:val="24"/>
        </w:rPr>
        <w:t>16-101</w:t>
      </w:r>
    </w:p>
    <w:p w14:paraId="62B7F616" w14:textId="77777777" w:rsidR="00230D1C" w:rsidRDefault="00230D1C" w:rsidP="00230D1C">
      <w:pPr>
        <w:pStyle w:val="NormalWeb"/>
        <w:rPr>
          <w:rFonts w:ascii="Arial Black" w:hAnsi="Arial Black"/>
          <w:b/>
          <w:bCs/>
          <w:sz w:val="28"/>
          <w:szCs w:val="28"/>
        </w:rPr>
      </w:pPr>
      <w:r>
        <w:rPr>
          <w:rFonts w:ascii="Arial Black" w:hAnsi="Arial Black"/>
          <w:b/>
          <w:bCs/>
          <w:sz w:val="28"/>
          <w:szCs w:val="28"/>
        </w:rPr>
        <w:t>LA: ASSIST. FIRE CHIEF – DEMOTED 6 MO. PROB. PERIOD – TWO REPRIMANDS – CIVIL SERVICE BOARD REVERSED</w:t>
      </w:r>
    </w:p>
    <w:p w14:paraId="4668979D" w14:textId="77777777" w:rsidR="00230D1C" w:rsidRDefault="00230D1C" w:rsidP="00230D1C">
      <w:pPr>
        <w:pStyle w:val="NormalWeb"/>
        <w:rPr>
          <w:b/>
          <w:bCs/>
        </w:rPr>
      </w:pPr>
      <w:r w:rsidRPr="00BF4B35">
        <w:t xml:space="preserve">On Dec. 13, 2023, in </w:t>
      </w:r>
      <w:r w:rsidRPr="007D14BE">
        <w:rPr>
          <w:u w:val="single"/>
        </w:rPr>
        <w:t>E. “Ben” Zahn, III v. Kenner Municipal Fire and Police Civil Service  Board</w:t>
      </w:r>
      <w:r>
        <w:t xml:space="preserve">, the Court of Appeals of Louisiana, Fifth Circuit, held (3 to 0) that the Civil Service Board incorrectly ordered Joseph Sunseri reappointed as Assistant Fire Chief.  The Court wrote:” Mr. Sunseri received written reprimands on January 21, </w:t>
      </w:r>
      <w:proofErr w:type="gramStart"/>
      <w:r>
        <w:t>2019</w:t>
      </w:r>
      <w:proofErr w:type="gramEnd"/>
      <w:r>
        <w:t xml:space="preserve"> and March 29, 2019. The first reprimand was issued because he submitted ‘vague and then inappropriate documentation’ from several of his subordinate firefighters in response to an investigation of property damage that a citizen sustained while the department was responding to a call, in violation of several of the Department's Rules of Conduct. The second reprimand Mr. Sunseri received was for a violation of Rule of Conduct Article 50.2 - Conduct Unbecoming an Officer - after Mr. Sunseri questioned a request to perform welfare checks on Department members out on sick leave due to surgery and stated, ‘This is getting absurd.’ in a February 28, 2019 email addressed to Chief Ryan Bergeron, Chief of Administration Terence Morris, and Chief of Administration Charles Hudson…***The Board's findings do not provide a rational basis for the Board's conclusory finding that Kenner [Fire Department] did not provide Mr. Sunseri a fair opportunity to prove his ability in the position of Assistant Chief. It is not clear from the report what inferences the Board made, or which facts it determined Mr. Sunseri proved in support of his appeal (other than Kenner's failure to timely provide written notice of his rejection pursuant to La. R.S. 33:2495(C)). The lack of evidence to support the Board's decision left the district court no choice but to conclude that the Board's decision was arbitrary and </w:t>
      </w:r>
      <w:proofErr w:type="gramStart"/>
      <w:r>
        <w:t>capricious, and</w:t>
      </w:r>
      <w:proofErr w:type="gramEnd"/>
      <w:r>
        <w:t xml:space="preserve"> not made in good faith and for statutory cause.” </w:t>
      </w:r>
      <w:hyperlink r:id="rId2576" w:history="1">
        <w:r w:rsidRPr="009A4BDE">
          <w:rPr>
            <w:rStyle w:val="Hyperlink"/>
          </w:rPr>
          <w:t>https://casetext.com/case/zahn-v-kenner-mun-fire-police-civil-serv-bd</w:t>
        </w:r>
      </w:hyperlink>
      <w:r>
        <w:t xml:space="preserve"> </w:t>
      </w:r>
    </w:p>
    <w:p w14:paraId="087E81D0" w14:textId="77777777" w:rsidR="00ED6448" w:rsidRDefault="00ED6448" w:rsidP="00ED6448">
      <w:pPr>
        <w:pStyle w:val="NormalWeb"/>
        <w:rPr>
          <w:b/>
          <w:bCs/>
        </w:rPr>
      </w:pPr>
      <w:r>
        <w:rPr>
          <w:b/>
          <w:bCs/>
        </w:rPr>
        <w:t xml:space="preserve">Legal Lesson Learned: The Civil Service Board failed to write detailed “Finding of Fact” to support reinstatement decision. When appealing to the Board, the firefighter should consider videotaping and transcribing the proceedings. </w:t>
      </w:r>
    </w:p>
    <w:p w14:paraId="4A9F777E" w14:textId="77777777" w:rsidR="00230D1C" w:rsidRDefault="00230D1C" w:rsidP="00F326E5">
      <w:pPr>
        <w:pStyle w:val="NoSpacing"/>
        <w:rPr>
          <w:rFonts w:ascii="Arial Black" w:hAnsi="Arial Black"/>
          <w:sz w:val="24"/>
          <w:szCs w:val="24"/>
        </w:rPr>
      </w:pPr>
    </w:p>
    <w:p w14:paraId="7974626C" w14:textId="77777777" w:rsidR="00787BFA" w:rsidRDefault="00787BFA" w:rsidP="00F326E5">
      <w:pPr>
        <w:pStyle w:val="NoSpacing"/>
        <w:rPr>
          <w:rFonts w:ascii="Arial Black" w:hAnsi="Arial Black"/>
          <w:sz w:val="24"/>
          <w:szCs w:val="24"/>
        </w:rPr>
      </w:pPr>
    </w:p>
    <w:p w14:paraId="314CD559" w14:textId="77777777" w:rsidR="00787BFA" w:rsidRDefault="00787BFA" w:rsidP="00F326E5">
      <w:pPr>
        <w:pStyle w:val="NoSpacing"/>
        <w:rPr>
          <w:rFonts w:ascii="Arial Black" w:hAnsi="Arial Black"/>
          <w:sz w:val="24"/>
          <w:szCs w:val="24"/>
        </w:rPr>
      </w:pPr>
    </w:p>
    <w:p w14:paraId="67A876D4" w14:textId="00F0CF49" w:rsidR="009F4E32" w:rsidRDefault="00024992" w:rsidP="00F326E5">
      <w:pPr>
        <w:pStyle w:val="NoSpacing"/>
        <w:rPr>
          <w:rFonts w:ascii="Arial Black" w:hAnsi="Arial Black"/>
          <w:sz w:val="24"/>
          <w:szCs w:val="24"/>
        </w:rPr>
      </w:pPr>
      <w:r>
        <w:rPr>
          <w:rFonts w:ascii="Arial Black" w:hAnsi="Arial Black"/>
          <w:sz w:val="24"/>
          <w:szCs w:val="24"/>
        </w:rPr>
        <w:t>16-100</w:t>
      </w:r>
    </w:p>
    <w:p w14:paraId="7328B403" w14:textId="77777777" w:rsidR="00147626" w:rsidRDefault="00147626" w:rsidP="00147626">
      <w:pPr>
        <w:pStyle w:val="NormalWeb"/>
        <w:rPr>
          <w:rFonts w:ascii="Arial Black" w:hAnsi="Arial Black"/>
          <w:b/>
          <w:bCs/>
          <w:sz w:val="28"/>
          <w:szCs w:val="28"/>
        </w:rPr>
      </w:pPr>
      <w:r>
        <w:rPr>
          <w:rFonts w:ascii="Arial Black" w:hAnsi="Arial Black"/>
          <w:b/>
          <w:bCs/>
          <w:sz w:val="28"/>
          <w:szCs w:val="28"/>
        </w:rPr>
        <w:t>LA: ASSIST. FIRE CHIEF – DEMOTED 6 MO. PROB. PERIOD – TWO REPRIMANDS – CIVIL SERVICE BOARD REVERSED</w:t>
      </w:r>
    </w:p>
    <w:p w14:paraId="7B8ED50A" w14:textId="77777777" w:rsidR="00147626" w:rsidRDefault="00147626" w:rsidP="00147626">
      <w:pPr>
        <w:pStyle w:val="NormalWeb"/>
      </w:pPr>
      <w:r w:rsidRPr="00BF4B35">
        <w:t xml:space="preserve">On Dec. 13, 2023, in </w:t>
      </w:r>
      <w:r w:rsidRPr="007D14BE">
        <w:rPr>
          <w:u w:val="single"/>
        </w:rPr>
        <w:t>E. “Ben” Zahn, III v. Kenner Municipal Fire and Police Civil Service  Board</w:t>
      </w:r>
      <w:r>
        <w:t xml:space="preserve">, the Court of Appeals of Louisiana, Fifth Circuit, held (3 to 0) that the Civil Service Board incorrectly ordered Joseph Sunseri reappointed as Assistant Fire Chief.  The Court wrote:” Mr. Sunseri received written reprimands on January 21, </w:t>
      </w:r>
      <w:proofErr w:type="gramStart"/>
      <w:r>
        <w:t>2019</w:t>
      </w:r>
      <w:proofErr w:type="gramEnd"/>
      <w:r>
        <w:t xml:space="preserve"> and March 29, 2019. The first reprimand was issued because he submitted ‘vague and then inappropriate documentation’ from several of his subordinate firefighters in response to an investigation of property damage that a citizen sustained while the department was responding to a call, in violation of several of the Department's Rules of Conduct. The second reprimand Mr. Sunseri received was for a violation of Rule of Conduct Article 50.2 - Conduct Unbecoming an Officer - after Mr. Sunseri questioned a request to perform welfare checks on Department members out on sick leave due to surgery and stated, ‘This is getting absurd.’ in a February 28, 2019 email addressed to Chief Ryan Bergeron, Chief of Administration Terence Morris, and Chief of Administration Charles Hudson…***The Board's findings do not provide a rational basis for the Board's conclusory finding that Kenner [Fire Department] did not provide Mr. Sunseri a fair opportunity to prove his ability in the position of Assistant Chief. It is not clear from the report what inferences the Board made, or which facts it determined Mr. Sunseri proved in support of his appeal (other than Kenner's failure to timely provide written notice of his rejection pursuant to La. R.S. 33:2495(C)). The lack of evidence to support the Board's decision left the district court no choice but to conclude that the Board's decision was arbitrary and </w:t>
      </w:r>
      <w:proofErr w:type="gramStart"/>
      <w:r>
        <w:t>capricious, and</w:t>
      </w:r>
      <w:proofErr w:type="gramEnd"/>
      <w:r>
        <w:t xml:space="preserve"> not made in good faith and for statutory cause.” </w:t>
      </w:r>
      <w:hyperlink r:id="rId2577" w:history="1">
        <w:r w:rsidRPr="009A4BDE">
          <w:rPr>
            <w:rStyle w:val="Hyperlink"/>
          </w:rPr>
          <w:t>https://casetext.com/case/zahn-v-kenner-mun-fire-police-civil-serv-bd</w:t>
        </w:r>
      </w:hyperlink>
      <w:r>
        <w:t xml:space="preserve"> </w:t>
      </w:r>
    </w:p>
    <w:p w14:paraId="683A9D9D" w14:textId="77777777" w:rsidR="00787BFA" w:rsidRDefault="00787BFA" w:rsidP="00787BFA">
      <w:pPr>
        <w:pStyle w:val="NormalWeb"/>
        <w:rPr>
          <w:b/>
          <w:bCs/>
        </w:rPr>
      </w:pPr>
      <w:r>
        <w:rPr>
          <w:b/>
          <w:bCs/>
        </w:rPr>
        <w:t xml:space="preserve">Legal Lesson Learned: The Civil Service Board failed to write detailed “Finding of Fact” to support reinstatement decision. When appealing to the Board, the firefighter should consider videotaping and transcribing the proceedings. </w:t>
      </w:r>
    </w:p>
    <w:p w14:paraId="5119DCDB" w14:textId="77777777" w:rsidR="00787BFA" w:rsidRDefault="00787BFA" w:rsidP="00147626">
      <w:pPr>
        <w:pStyle w:val="NormalWeb"/>
        <w:rPr>
          <w:b/>
          <w:bCs/>
        </w:rPr>
      </w:pPr>
    </w:p>
    <w:p w14:paraId="796489F0" w14:textId="77777777" w:rsidR="00024992" w:rsidRDefault="00024992" w:rsidP="00F326E5">
      <w:pPr>
        <w:pStyle w:val="NoSpacing"/>
        <w:rPr>
          <w:rFonts w:ascii="Arial Black" w:hAnsi="Arial Black"/>
          <w:sz w:val="24"/>
          <w:szCs w:val="24"/>
        </w:rPr>
      </w:pPr>
    </w:p>
    <w:p w14:paraId="54F1B51B" w14:textId="77777777" w:rsidR="00024992" w:rsidRDefault="00024992" w:rsidP="00F326E5">
      <w:pPr>
        <w:pStyle w:val="NoSpacing"/>
        <w:rPr>
          <w:rFonts w:ascii="Arial Black" w:hAnsi="Arial Black"/>
          <w:sz w:val="24"/>
          <w:szCs w:val="24"/>
        </w:rPr>
      </w:pPr>
    </w:p>
    <w:p w14:paraId="23C5A7ED" w14:textId="77777777" w:rsidR="00024992" w:rsidRDefault="00024992" w:rsidP="00F326E5">
      <w:pPr>
        <w:pStyle w:val="NoSpacing"/>
        <w:rPr>
          <w:rFonts w:ascii="Arial Black" w:hAnsi="Arial Black"/>
          <w:sz w:val="24"/>
          <w:szCs w:val="24"/>
        </w:rPr>
      </w:pPr>
    </w:p>
    <w:p w14:paraId="6708A5EB" w14:textId="57BDB495" w:rsidR="009F4E32" w:rsidRDefault="009F4E32" w:rsidP="00F326E5">
      <w:pPr>
        <w:pStyle w:val="NoSpacing"/>
        <w:rPr>
          <w:rFonts w:ascii="Arial Black" w:hAnsi="Arial Black"/>
          <w:sz w:val="24"/>
          <w:szCs w:val="24"/>
        </w:rPr>
      </w:pPr>
      <w:r>
        <w:rPr>
          <w:rFonts w:ascii="Arial Black" w:hAnsi="Arial Black"/>
          <w:sz w:val="24"/>
          <w:szCs w:val="24"/>
        </w:rPr>
        <w:t>16-99</w:t>
      </w:r>
    </w:p>
    <w:p w14:paraId="02B7F1CC" w14:textId="77777777" w:rsidR="009F4E32" w:rsidRPr="00717F66" w:rsidRDefault="009F4E32" w:rsidP="009F4E32">
      <w:pPr>
        <w:pStyle w:val="NormalWeb"/>
        <w:rPr>
          <w:rFonts w:ascii="Arial Black" w:hAnsi="Arial Black"/>
          <w:b/>
          <w:bCs/>
          <w:sz w:val="28"/>
          <w:szCs w:val="28"/>
        </w:rPr>
      </w:pPr>
      <w:r>
        <w:rPr>
          <w:rFonts w:ascii="Arial Black" w:hAnsi="Arial Black"/>
          <w:b/>
          <w:bCs/>
          <w:sz w:val="28"/>
          <w:szCs w:val="28"/>
        </w:rPr>
        <w:t xml:space="preserve">IN: FF MEDICAL LEAVE – BUT WORKING MEDIC ANOTHER FD – FALSE DISAB. BENEFITS APPLICATION – FIRED  </w:t>
      </w:r>
    </w:p>
    <w:p w14:paraId="65C3D2A8" w14:textId="77777777" w:rsidR="009F4E32" w:rsidRDefault="009F4E32" w:rsidP="009F4E32">
      <w:pPr>
        <w:pStyle w:val="NormalWeb"/>
      </w:pPr>
      <w:r w:rsidRPr="00625E97">
        <w:t xml:space="preserve">On Dec. 8, 2023, in </w:t>
      </w:r>
      <w:r w:rsidRPr="00625E97">
        <w:rPr>
          <w:u w:val="single"/>
        </w:rPr>
        <w:t>Mark A. Goodlett v. Town of Clarksville and Town of Clarksville Fire Department,</w:t>
      </w:r>
      <w:r w:rsidRPr="00625E97">
        <w:t xml:space="preserve"> </w:t>
      </w:r>
      <w:r>
        <w:t xml:space="preserve">the Court of Appeals of Indiana held (3 to 0) that trial court judge properly upheld the termination of the firefighter. Progressive discipline policy is only a “guide.” The Court held:  “The Board [Town of Clarksville Board of Police and Fire Commissioners] properly exercised its authority under </w:t>
      </w:r>
      <w:hyperlink r:id="rId2578" w:history="1">
        <w:r>
          <w:rPr>
            <w:rStyle w:val="Hyperlink"/>
          </w:rPr>
          <w:t>Indiana Code section 36-8-3-4</w:t>
        </w:r>
      </w:hyperlink>
      <w:r>
        <w:t xml:space="preserve"> and the department's General Orders. Accordingly, the Board's decision to terminate Goodlett for neglect of duty, immoral conduct, conduct unbecoming an officer, violations of department rules, and breaches of discipline was not arbitrary and capricious, and it did not otherwise violate Goodlett's due process rights.” </w:t>
      </w:r>
      <w:hyperlink r:id="rId2579" w:history="1">
        <w:r w:rsidRPr="0024537E">
          <w:rPr>
            <w:rStyle w:val="Hyperlink"/>
          </w:rPr>
          <w:t>https://casetext.com/case/goodlett-v-town-of-clarksville</w:t>
        </w:r>
      </w:hyperlink>
      <w:r>
        <w:t xml:space="preserve"> </w:t>
      </w:r>
    </w:p>
    <w:p w14:paraId="508F3DA8" w14:textId="77777777" w:rsidR="00024992" w:rsidRPr="003845F4" w:rsidRDefault="00024992" w:rsidP="00024992">
      <w:pPr>
        <w:pStyle w:val="paragraph"/>
        <w:rPr>
          <w:b/>
          <w:bCs/>
        </w:rPr>
      </w:pPr>
      <w:r w:rsidRPr="003845F4">
        <w:rPr>
          <w:b/>
          <w:bCs/>
        </w:rPr>
        <w:t xml:space="preserve">Legal Lesson Learned:  </w:t>
      </w:r>
      <w:r>
        <w:rPr>
          <w:b/>
          <w:bCs/>
        </w:rPr>
        <w:t xml:space="preserve">Progressive discipline policy stated it is “merely a guide.” </w:t>
      </w:r>
    </w:p>
    <w:p w14:paraId="2FE51734" w14:textId="77777777" w:rsidR="009F4E32" w:rsidRDefault="009F4E32" w:rsidP="00F326E5">
      <w:pPr>
        <w:pStyle w:val="NoSpacing"/>
        <w:rPr>
          <w:rFonts w:ascii="Arial Black" w:hAnsi="Arial Black"/>
          <w:sz w:val="24"/>
          <w:szCs w:val="24"/>
        </w:rPr>
      </w:pPr>
    </w:p>
    <w:p w14:paraId="0221527B" w14:textId="77777777" w:rsidR="009F4E32" w:rsidRDefault="009F4E32" w:rsidP="00F326E5">
      <w:pPr>
        <w:pStyle w:val="NoSpacing"/>
        <w:rPr>
          <w:rFonts w:ascii="Arial Black" w:hAnsi="Arial Black"/>
          <w:sz w:val="24"/>
          <w:szCs w:val="24"/>
        </w:rPr>
      </w:pPr>
    </w:p>
    <w:p w14:paraId="7542A717" w14:textId="77777777" w:rsidR="0042334A" w:rsidRDefault="0042334A" w:rsidP="00F326E5">
      <w:pPr>
        <w:pStyle w:val="NoSpacing"/>
        <w:rPr>
          <w:rFonts w:ascii="Arial Black" w:hAnsi="Arial Black"/>
          <w:sz w:val="24"/>
          <w:szCs w:val="24"/>
        </w:rPr>
      </w:pPr>
    </w:p>
    <w:p w14:paraId="3EC4DE6C" w14:textId="13C88AEF" w:rsidR="0042334A" w:rsidRDefault="0042334A" w:rsidP="00F326E5">
      <w:pPr>
        <w:pStyle w:val="NoSpacing"/>
        <w:rPr>
          <w:rFonts w:ascii="Arial Black" w:hAnsi="Arial Black"/>
          <w:sz w:val="24"/>
          <w:szCs w:val="24"/>
        </w:rPr>
      </w:pPr>
      <w:r>
        <w:rPr>
          <w:rFonts w:ascii="Arial Black" w:hAnsi="Arial Black"/>
          <w:sz w:val="24"/>
          <w:szCs w:val="24"/>
        </w:rPr>
        <w:t>16-98</w:t>
      </w:r>
    </w:p>
    <w:p w14:paraId="3FC87A0E" w14:textId="77777777" w:rsidR="0042334A" w:rsidRDefault="0042334A" w:rsidP="00F326E5">
      <w:pPr>
        <w:pStyle w:val="NoSpacing"/>
        <w:rPr>
          <w:rFonts w:ascii="Arial Black" w:hAnsi="Arial Black"/>
          <w:sz w:val="24"/>
          <w:szCs w:val="24"/>
        </w:rPr>
      </w:pPr>
    </w:p>
    <w:p w14:paraId="4FEA0319" w14:textId="77777777" w:rsidR="00706FEC" w:rsidRDefault="00706FEC" w:rsidP="00706FEC">
      <w:pPr>
        <w:pStyle w:val="NoSpacing"/>
        <w:rPr>
          <w:rFonts w:ascii="Arial Black" w:hAnsi="Arial Black"/>
          <w:b/>
          <w:sz w:val="28"/>
          <w:szCs w:val="28"/>
        </w:rPr>
      </w:pPr>
      <w:r>
        <w:rPr>
          <w:rFonts w:ascii="Arial Black" w:hAnsi="Arial Black"/>
          <w:b/>
          <w:sz w:val="28"/>
          <w:szCs w:val="28"/>
        </w:rPr>
        <w:t>MI: FIRE CHIEF FIRED – MAYOR REFUSED TO FIRE TWO FF AFTER DEATH 2 BOYS – 1</w:t>
      </w:r>
      <w:r w:rsidRPr="002F340D">
        <w:rPr>
          <w:rFonts w:ascii="Arial Black" w:hAnsi="Arial Black"/>
          <w:b/>
          <w:sz w:val="28"/>
          <w:szCs w:val="28"/>
          <w:vertAlign w:val="superscript"/>
        </w:rPr>
        <w:t>st</w:t>
      </w:r>
      <w:r>
        <w:rPr>
          <w:rFonts w:ascii="Arial Black" w:hAnsi="Arial Black"/>
          <w:b/>
          <w:sz w:val="28"/>
          <w:szCs w:val="28"/>
        </w:rPr>
        <w:t xml:space="preserve"> AMEND. RETALIATION PROCEED </w:t>
      </w:r>
    </w:p>
    <w:p w14:paraId="1B2E4E73" w14:textId="77777777" w:rsidR="00706FEC" w:rsidRDefault="00706FEC" w:rsidP="00706FEC">
      <w:pPr>
        <w:pStyle w:val="NoSpacing"/>
        <w:rPr>
          <w:rFonts w:ascii="Times New Roman" w:hAnsi="Times New Roman"/>
          <w:bCs/>
          <w:sz w:val="24"/>
          <w:szCs w:val="24"/>
        </w:rPr>
      </w:pPr>
    </w:p>
    <w:p w14:paraId="28DFC9B5" w14:textId="4FB984F3" w:rsidR="00706FEC" w:rsidRDefault="00706FEC" w:rsidP="00706FEC">
      <w:pPr>
        <w:pStyle w:val="NoSpacing"/>
        <w:rPr>
          <w:rFonts w:ascii="Times New Roman" w:hAnsi="Times New Roman"/>
          <w:bCs/>
          <w:sz w:val="24"/>
          <w:szCs w:val="24"/>
        </w:rPr>
      </w:pPr>
      <w:r w:rsidRPr="00C755A6">
        <w:rPr>
          <w:rFonts w:ascii="Times New Roman" w:hAnsi="Times New Roman"/>
          <w:bCs/>
          <w:sz w:val="24"/>
          <w:szCs w:val="24"/>
        </w:rPr>
        <w:t xml:space="preserve">On Nov. 20, 2023, in </w:t>
      </w:r>
      <w:r w:rsidRPr="00AE5219">
        <w:rPr>
          <w:rFonts w:ascii="Times New Roman" w:hAnsi="Times New Roman"/>
          <w:bCs/>
          <w:sz w:val="24"/>
          <w:szCs w:val="24"/>
          <w:u w:val="single"/>
        </w:rPr>
        <w:t>Raymond C. Barton v. Sheldon Neely and City of Flint, Michigan</w:t>
      </w:r>
      <w:r>
        <w:rPr>
          <w:rFonts w:ascii="Times New Roman" w:hAnsi="Times New Roman"/>
          <w:bCs/>
          <w:sz w:val="24"/>
          <w:szCs w:val="24"/>
        </w:rPr>
        <w:t xml:space="preserve">, U.S. District Court Judge Nancy G. Edmunds held that the former Fire Chiefs claim of First Amendment retaliation may proceed against the Mayor and the City. The Court refused to grant qualified immunity to the </w:t>
      </w:r>
      <w:proofErr w:type="gramStart"/>
      <w:r>
        <w:rPr>
          <w:rFonts w:ascii="Times New Roman" w:hAnsi="Times New Roman"/>
          <w:bCs/>
          <w:sz w:val="24"/>
          <w:szCs w:val="24"/>
        </w:rPr>
        <w:t>Mayor</w:t>
      </w:r>
      <w:proofErr w:type="gramEnd"/>
      <w:r>
        <w:rPr>
          <w:rFonts w:ascii="Times New Roman" w:hAnsi="Times New Roman"/>
          <w:bCs/>
          <w:sz w:val="24"/>
          <w:szCs w:val="24"/>
        </w:rPr>
        <w:t xml:space="preserve"> and ordered pre-trial discovery to proceed.  While the Fire Chief was an “at will” employee, he is protected from retaliation for telling City Council that he recommended termination of two firefighters for failure to find two boys during search second floor of house fire.  </w:t>
      </w:r>
      <w:proofErr w:type="gramStart"/>
      <w:r>
        <w:rPr>
          <w:rFonts w:ascii="Times New Roman" w:hAnsi="Times New Roman"/>
          <w:bCs/>
          <w:sz w:val="24"/>
          <w:szCs w:val="24"/>
        </w:rPr>
        <w:t>Mayor’s</w:t>
      </w:r>
      <w:proofErr w:type="gramEnd"/>
      <w:r>
        <w:rPr>
          <w:rFonts w:ascii="Times New Roman" w:hAnsi="Times New Roman"/>
          <w:bCs/>
          <w:sz w:val="24"/>
          <w:szCs w:val="24"/>
        </w:rPr>
        <w:t xml:space="preserve"> repeatedly told Fire Chief to only suspend the firefighters since Mayor was running for reelection and wanted Union support. </w:t>
      </w:r>
      <w:hyperlink r:id="rId2580" w:history="1">
        <w:r w:rsidRPr="00553FEF">
          <w:rPr>
            <w:rStyle w:val="Hyperlink"/>
            <w:rFonts w:ascii="Times New Roman" w:hAnsi="Times New Roman"/>
            <w:bCs/>
            <w:sz w:val="24"/>
            <w:szCs w:val="24"/>
          </w:rPr>
          <w:t>https://cases.justia.com/federal/district-courts/michigan/miedce/2:2023cv10051/366865/15/0.pdf?ts=1700584910</w:t>
        </w:r>
      </w:hyperlink>
      <w:r>
        <w:rPr>
          <w:rFonts w:ascii="Times New Roman" w:hAnsi="Times New Roman"/>
          <w:bCs/>
          <w:sz w:val="24"/>
          <w:szCs w:val="24"/>
        </w:rPr>
        <w:t xml:space="preserve"> </w:t>
      </w:r>
    </w:p>
    <w:p w14:paraId="055ABC7F" w14:textId="77777777" w:rsidR="00286CE9" w:rsidRDefault="00286CE9" w:rsidP="00706FEC">
      <w:pPr>
        <w:pStyle w:val="NoSpacing"/>
        <w:rPr>
          <w:rFonts w:ascii="Times New Roman" w:hAnsi="Times New Roman"/>
          <w:bCs/>
          <w:sz w:val="24"/>
          <w:szCs w:val="24"/>
        </w:rPr>
      </w:pPr>
    </w:p>
    <w:p w14:paraId="62384D65" w14:textId="77777777" w:rsidR="00286CE9" w:rsidRDefault="00286CE9" w:rsidP="00286CE9">
      <w:pPr>
        <w:pStyle w:val="NoSpacing"/>
        <w:rPr>
          <w:rFonts w:ascii="Times New Roman" w:hAnsi="Times New Roman"/>
          <w:b/>
          <w:sz w:val="24"/>
          <w:szCs w:val="24"/>
        </w:rPr>
      </w:pPr>
      <w:r w:rsidRPr="00B662B4">
        <w:rPr>
          <w:rFonts w:ascii="Times New Roman" w:hAnsi="Times New Roman"/>
          <w:b/>
          <w:sz w:val="24"/>
          <w:szCs w:val="24"/>
        </w:rPr>
        <w:t>Legal Lesson Learned:</w:t>
      </w:r>
      <w:r>
        <w:rPr>
          <w:rFonts w:ascii="Times New Roman" w:hAnsi="Times New Roman"/>
          <w:b/>
          <w:sz w:val="24"/>
          <w:szCs w:val="24"/>
        </w:rPr>
        <w:t xml:space="preserve">  Even “at will” Fire Chiefs are protected from retaliation for his First Amendment comments to City Council as a private citizen. </w:t>
      </w:r>
    </w:p>
    <w:p w14:paraId="24FE1933" w14:textId="77777777" w:rsidR="00286CE9" w:rsidRDefault="00286CE9" w:rsidP="00286CE9">
      <w:pPr>
        <w:pStyle w:val="Heading1"/>
        <w:ind w:left="720"/>
        <w:rPr>
          <w:b w:val="0"/>
          <w:bCs w:val="0"/>
          <w:sz w:val="24"/>
          <w:szCs w:val="24"/>
        </w:rPr>
      </w:pPr>
      <w:r w:rsidRPr="00064C32">
        <w:rPr>
          <w:b w:val="0"/>
          <w:sz w:val="24"/>
          <w:szCs w:val="24"/>
        </w:rPr>
        <w:t>Note: See Nov. 2</w:t>
      </w:r>
      <w:r>
        <w:rPr>
          <w:b w:val="0"/>
          <w:sz w:val="24"/>
          <w:szCs w:val="24"/>
        </w:rPr>
        <w:t>0</w:t>
      </w:r>
      <w:r w:rsidRPr="00064C32">
        <w:rPr>
          <w:b w:val="0"/>
          <w:sz w:val="24"/>
          <w:szCs w:val="24"/>
        </w:rPr>
        <w:t xml:space="preserve">, </w:t>
      </w:r>
      <w:proofErr w:type="gramStart"/>
      <w:r w:rsidRPr="00064C32">
        <w:rPr>
          <w:b w:val="0"/>
          <w:sz w:val="24"/>
          <w:szCs w:val="24"/>
        </w:rPr>
        <w:t>2023</w:t>
      </w:r>
      <w:proofErr w:type="gramEnd"/>
      <w:r w:rsidRPr="00064C32">
        <w:rPr>
          <w:b w:val="0"/>
          <w:sz w:val="24"/>
          <w:szCs w:val="24"/>
        </w:rPr>
        <w:t xml:space="preserve"> article, </w:t>
      </w:r>
      <w:r w:rsidRPr="00A7321C">
        <w:rPr>
          <w:b w:val="0"/>
          <w:bCs w:val="0"/>
          <w:sz w:val="24"/>
          <w:szCs w:val="24"/>
        </w:rPr>
        <w:t xml:space="preserve">“Judge rules lawsuit filed by former fire chief against Flint mayor can continue.” </w:t>
      </w:r>
      <w:hyperlink r:id="rId2581" w:history="1">
        <w:r w:rsidRPr="00A7321C">
          <w:rPr>
            <w:rStyle w:val="Hyperlink"/>
            <w:b w:val="0"/>
            <w:bCs w:val="0"/>
            <w:sz w:val="24"/>
            <w:szCs w:val="24"/>
          </w:rPr>
          <w:t>https://midmichigannow.com/news/local/judge-rules-lawsuit-filed-by-former-fire-chief-against-flint-mayor-can-continue</w:t>
        </w:r>
      </w:hyperlink>
      <w:r w:rsidRPr="00A7321C">
        <w:rPr>
          <w:b w:val="0"/>
          <w:bCs w:val="0"/>
          <w:sz w:val="24"/>
          <w:szCs w:val="24"/>
        </w:rPr>
        <w:t xml:space="preserve"> </w:t>
      </w:r>
    </w:p>
    <w:p w14:paraId="43197685" w14:textId="77777777" w:rsidR="00286CE9" w:rsidRDefault="00286CE9" w:rsidP="00286CE9">
      <w:pPr>
        <w:pStyle w:val="NoSpacing"/>
        <w:ind w:firstLine="720"/>
        <w:rPr>
          <w:rFonts w:ascii="Times New Roman" w:hAnsi="Times New Roman"/>
          <w:bCs/>
          <w:sz w:val="24"/>
          <w:szCs w:val="24"/>
        </w:rPr>
      </w:pPr>
      <w:r>
        <w:rPr>
          <w:rFonts w:ascii="Times New Roman" w:hAnsi="Times New Roman"/>
          <w:bCs/>
          <w:sz w:val="24"/>
          <w:szCs w:val="24"/>
        </w:rPr>
        <w:t xml:space="preserve">The </w:t>
      </w:r>
      <w:r w:rsidRPr="00A05EF8">
        <w:rPr>
          <w:rFonts w:ascii="Times New Roman" w:hAnsi="Times New Roman"/>
          <w:bCs/>
          <w:sz w:val="24"/>
          <w:szCs w:val="24"/>
        </w:rPr>
        <w:t xml:space="preserve">Court </w:t>
      </w:r>
      <w:r>
        <w:rPr>
          <w:rFonts w:ascii="Times New Roman" w:hAnsi="Times New Roman"/>
          <w:bCs/>
          <w:sz w:val="24"/>
          <w:szCs w:val="24"/>
        </w:rPr>
        <w:t>referenced detailed facts from the Fire Chiefs amended complaint:</w:t>
      </w:r>
      <w:r w:rsidRPr="00A05EF8">
        <w:rPr>
          <w:rFonts w:ascii="Times New Roman" w:hAnsi="Times New Roman"/>
          <w:bCs/>
          <w:sz w:val="24"/>
          <w:szCs w:val="24"/>
        </w:rPr>
        <w:t xml:space="preserve"> </w:t>
      </w:r>
    </w:p>
    <w:p w14:paraId="42E4A09C" w14:textId="77777777" w:rsidR="00286CE9" w:rsidRDefault="00286CE9" w:rsidP="00286CE9">
      <w:pPr>
        <w:pStyle w:val="NoSpacing"/>
        <w:rPr>
          <w:rFonts w:ascii="Times New Roman" w:hAnsi="Times New Roman"/>
          <w:bCs/>
          <w:sz w:val="24"/>
          <w:szCs w:val="24"/>
        </w:rPr>
      </w:pPr>
    </w:p>
    <w:p w14:paraId="57F267C6" w14:textId="77777777" w:rsidR="00286CE9" w:rsidRPr="00E90346" w:rsidRDefault="00286CE9" w:rsidP="00286CE9">
      <w:pPr>
        <w:pStyle w:val="NoSpacing"/>
        <w:rPr>
          <w:rFonts w:ascii="Times New Roman" w:hAnsi="Times New Roman"/>
          <w:b/>
          <w:sz w:val="24"/>
          <w:szCs w:val="24"/>
        </w:rPr>
      </w:pPr>
      <w:r>
        <w:rPr>
          <w:rFonts w:ascii="Times New Roman" w:hAnsi="Times New Roman"/>
          <w:bCs/>
          <w:sz w:val="24"/>
          <w:szCs w:val="24"/>
        </w:rPr>
        <w:tab/>
      </w:r>
      <w:r>
        <w:rPr>
          <w:rFonts w:ascii="Times New Roman" w:hAnsi="Times New Roman"/>
          <w:b/>
          <w:sz w:val="24"/>
          <w:szCs w:val="24"/>
        </w:rPr>
        <w:t>“</w:t>
      </w:r>
      <w:r w:rsidRPr="00E90346">
        <w:rPr>
          <w:rFonts w:ascii="Times New Roman" w:hAnsi="Times New Roman"/>
          <w:bCs/>
          <w:sz w:val="24"/>
          <w:szCs w:val="24"/>
        </w:rPr>
        <w:t>This lawsuit arises out of the discharge of Plaintiff from his position as Flint City</w:t>
      </w:r>
    </w:p>
    <w:p w14:paraId="0983EE60" w14:textId="77777777" w:rsidR="00286CE9" w:rsidRDefault="00286CE9" w:rsidP="00286CE9">
      <w:pPr>
        <w:pStyle w:val="NoSpacing"/>
        <w:ind w:left="720"/>
        <w:rPr>
          <w:rFonts w:ascii="Times New Roman" w:hAnsi="Times New Roman"/>
          <w:bCs/>
          <w:sz w:val="24"/>
          <w:szCs w:val="24"/>
        </w:rPr>
      </w:pPr>
      <w:r w:rsidRPr="00E90346">
        <w:rPr>
          <w:rFonts w:ascii="Times New Roman" w:hAnsi="Times New Roman"/>
          <w:bCs/>
          <w:sz w:val="24"/>
          <w:szCs w:val="24"/>
        </w:rPr>
        <w:t xml:space="preserve">Fire Chief by Defendant Neely, Flint City Mayor. On May 28, 2022, a fire broke out at a house on Pulaski Street in Flint, Michigan. (ECF No. 2, PageID.18–19.) Six firefighters arrived at the scene of the fire, where they were told that residents were likely still inside. (Id. at PageID.19.) Two firefighters conducted a search for </w:t>
      </w:r>
      <w:proofErr w:type="gramStart"/>
      <w:r w:rsidRPr="00E90346">
        <w:rPr>
          <w:rFonts w:ascii="Times New Roman" w:hAnsi="Times New Roman"/>
          <w:bCs/>
          <w:sz w:val="24"/>
          <w:szCs w:val="24"/>
        </w:rPr>
        <w:t>persons</w:t>
      </w:r>
      <w:proofErr w:type="gramEnd"/>
      <w:r w:rsidRPr="00E90346">
        <w:rPr>
          <w:rFonts w:ascii="Times New Roman" w:hAnsi="Times New Roman"/>
          <w:bCs/>
          <w:sz w:val="24"/>
          <w:szCs w:val="24"/>
        </w:rPr>
        <w:t xml:space="preserve"> on the second floor of the home. (Id.) Both claimed they thoroughly searched all rooms on the upper level and used infrared equipment and thermal imaging to aid in the search. (Id.) The two firefighters then returned to the first floor and told the other firefighters there was no one else in the home. (Id.) At that point, a second set of firefighters went up to the second floor and immediately found two young boys in a bedroom. (Id. at PageID.20.) Neither boy was covered by any objects or obstructions and were visible to the naked eye. (Id.) The boys were discovered approximately seven minutes after the first two firefighters had asserted that the house was all clear. (Id.) The boys died </w:t>
      </w:r>
      <w:proofErr w:type="gramStart"/>
      <w:r w:rsidRPr="00E90346">
        <w:rPr>
          <w:rFonts w:ascii="Times New Roman" w:hAnsi="Times New Roman"/>
          <w:bCs/>
          <w:sz w:val="24"/>
          <w:szCs w:val="24"/>
        </w:rPr>
        <w:t>as a result of</w:t>
      </w:r>
      <w:proofErr w:type="gramEnd"/>
      <w:r w:rsidRPr="00E90346">
        <w:rPr>
          <w:rFonts w:ascii="Times New Roman" w:hAnsi="Times New Roman"/>
          <w:bCs/>
          <w:sz w:val="24"/>
          <w:szCs w:val="24"/>
        </w:rPr>
        <w:t xml:space="preserve"> the fire. (Id. at PageID.17.)</w:t>
      </w:r>
    </w:p>
    <w:p w14:paraId="255C8B61" w14:textId="77777777" w:rsidR="00286CE9" w:rsidRDefault="00286CE9" w:rsidP="00286CE9">
      <w:pPr>
        <w:pStyle w:val="NoSpacing"/>
        <w:ind w:left="720"/>
        <w:rPr>
          <w:rFonts w:ascii="Times New Roman" w:hAnsi="Times New Roman"/>
          <w:bCs/>
          <w:sz w:val="24"/>
          <w:szCs w:val="24"/>
        </w:rPr>
      </w:pPr>
    </w:p>
    <w:p w14:paraId="6A5BCC0C" w14:textId="77777777" w:rsidR="00286CE9" w:rsidRPr="00E90346" w:rsidRDefault="00286CE9" w:rsidP="00286CE9">
      <w:pPr>
        <w:pStyle w:val="NoSpacing"/>
        <w:ind w:left="720"/>
        <w:rPr>
          <w:rFonts w:ascii="Times New Roman" w:hAnsi="Times New Roman"/>
          <w:bCs/>
          <w:sz w:val="24"/>
          <w:szCs w:val="24"/>
        </w:rPr>
      </w:pPr>
      <w:r>
        <w:rPr>
          <w:rFonts w:ascii="Times New Roman" w:hAnsi="Times New Roman"/>
          <w:bCs/>
          <w:sz w:val="24"/>
          <w:szCs w:val="24"/>
        </w:rPr>
        <w:t>***</w:t>
      </w:r>
    </w:p>
    <w:p w14:paraId="5EAFD0F5" w14:textId="77777777" w:rsidR="00286CE9" w:rsidRPr="00E90346" w:rsidRDefault="00286CE9" w:rsidP="00286CE9">
      <w:pPr>
        <w:pStyle w:val="NoSpacing"/>
        <w:rPr>
          <w:rFonts w:ascii="Times New Roman" w:hAnsi="Times New Roman"/>
          <w:bCs/>
          <w:sz w:val="24"/>
          <w:szCs w:val="24"/>
        </w:rPr>
      </w:pPr>
    </w:p>
    <w:p w14:paraId="19F036BA" w14:textId="77777777" w:rsidR="00286CE9" w:rsidRDefault="00286CE9" w:rsidP="00286CE9">
      <w:pPr>
        <w:pStyle w:val="NoSpacing"/>
        <w:ind w:left="720"/>
        <w:rPr>
          <w:rFonts w:ascii="Times New Roman" w:hAnsi="Times New Roman"/>
          <w:bCs/>
          <w:sz w:val="24"/>
          <w:szCs w:val="24"/>
        </w:rPr>
      </w:pPr>
      <w:r w:rsidRPr="00E90346">
        <w:rPr>
          <w:rFonts w:ascii="Times New Roman" w:hAnsi="Times New Roman"/>
          <w:bCs/>
          <w:sz w:val="24"/>
          <w:szCs w:val="24"/>
        </w:rPr>
        <w:t>According to Plaintiff, the firefighters did not comply with the investigation and were unwilling to correct factual misrepresentations in their official reports on the fire. (Id. at PageID.21.)</w:t>
      </w:r>
    </w:p>
    <w:p w14:paraId="2F702A61" w14:textId="77777777" w:rsidR="00286CE9" w:rsidRDefault="00286CE9" w:rsidP="00286CE9">
      <w:pPr>
        <w:pStyle w:val="NoSpacing"/>
        <w:ind w:left="720"/>
        <w:rPr>
          <w:rFonts w:ascii="Times New Roman" w:hAnsi="Times New Roman"/>
          <w:bCs/>
          <w:sz w:val="24"/>
          <w:szCs w:val="24"/>
        </w:rPr>
      </w:pPr>
    </w:p>
    <w:p w14:paraId="7D16968A" w14:textId="77777777" w:rsidR="00286CE9" w:rsidRPr="00E90346" w:rsidRDefault="00286CE9" w:rsidP="00286CE9">
      <w:pPr>
        <w:pStyle w:val="NoSpacing"/>
        <w:ind w:left="720"/>
        <w:rPr>
          <w:rFonts w:ascii="Times New Roman" w:hAnsi="Times New Roman"/>
          <w:bCs/>
          <w:sz w:val="24"/>
          <w:szCs w:val="24"/>
        </w:rPr>
      </w:pPr>
      <w:r>
        <w:rPr>
          <w:rFonts w:ascii="Times New Roman" w:hAnsi="Times New Roman"/>
          <w:bCs/>
          <w:sz w:val="24"/>
          <w:szCs w:val="24"/>
        </w:rPr>
        <w:t>***</w:t>
      </w:r>
    </w:p>
    <w:p w14:paraId="669A1B06" w14:textId="77777777" w:rsidR="00286CE9" w:rsidRPr="00E90346" w:rsidRDefault="00286CE9" w:rsidP="00286CE9">
      <w:pPr>
        <w:pStyle w:val="NoSpacing"/>
        <w:rPr>
          <w:rFonts w:ascii="Times New Roman" w:hAnsi="Times New Roman"/>
          <w:bCs/>
          <w:sz w:val="24"/>
          <w:szCs w:val="24"/>
        </w:rPr>
      </w:pPr>
    </w:p>
    <w:p w14:paraId="410BAECA"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Plaintiff then recommended that the firefighters be suspended without pay pending</w:t>
      </w:r>
    </w:p>
    <w:p w14:paraId="783D4DA7"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a final investigation and discharged at the conclusion of the investigation. (Id.) When</w:t>
      </w:r>
    </w:p>
    <w:p w14:paraId="62D8EA70"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Plaintiff informed the city council and other city officials of his recommendations,</w:t>
      </w:r>
    </w:p>
    <w:p w14:paraId="36A6C4BF"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Defendant Neely instructed Plaintiff to change his factual findings and recommendations.</w:t>
      </w:r>
    </w:p>
    <w:p w14:paraId="36D6A91B"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(Id.) Plaintiff’s Amended Complaint states that Defendant Neely wanted Plaintiff to</w:t>
      </w:r>
    </w:p>
    <w:p w14:paraId="642242DA" w14:textId="77777777" w:rsidR="00286CE9" w:rsidRPr="00E90346" w:rsidRDefault="00286CE9" w:rsidP="00286CE9">
      <w:pPr>
        <w:pStyle w:val="NoSpacing"/>
        <w:ind w:firstLine="720"/>
        <w:rPr>
          <w:rFonts w:ascii="Times New Roman" w:hAnsi="Times New Roman"/>
          <w:bCs/>
          <w:sz w:val="24"/>
          <w:szCs w:val="24"/>
        </w:rPr>
      </w:pPr>
      <w:r>
        <w:rPr>
          <w:rFonts w:ascii="Times New Roman" w:hAnsi="Times New Roman"/>
          <w:bCs/>
          <w:sz w:val="24"/>
          <w:szCs w:val="24"/>
        </w:rPr>
        <w:t>‘</w:t>
      </w:r>
      <w:proofErr w:type="gramStart"/>
      <w:r w:rsidRPr="00E90346">
        <w:rPr>
          <w:rFonts w:ascii="Times New Roman" w:hAnsi="Times New Roman"/>
          <w:bCs/>
          <w:sz w:val="24"/>
          <w:szCs w:val="24"/>
        </w:rPr>
        <w:t>disguise</w:t>
      </w:r>
      <w:proofErr w:type="gramEnd"/>
      <w:r w:rsidRPr="00E90346">
        <w:rPr>
          <w:rFonts w:ascii="Times New Roman" w:hAnsi="Times New Roman"/>
          <w:bCs/>
          <w:sz w:val="24"/>
          <w:szCs w:val="24"/>
        </w:rPr>
        <w:t xml:space="preserve"> the firefighters’ misconduct, suspend the firefighters with pay, and drop his 3</w:t>
      </w:r>
    </w:p>
    <w:p w14:paraId="116BA16E"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recommendation that they be discharged.</w:t>
      </w:r>
      <w:r>
        <w:rPr>
          <w:rFonts w:ascii="Times New Roman" w:hAnsi="Times New Roman"/>
          <w:bCs/>
          <w:sz w:val="24"/>
          <w:szCs w:val="24"/>
        </w:rPr>
        <w:t>’</w:t>
      </w:r>
      <w:r w:rsidRPr="00E90346">
        <w:rPr>
          <w:rFonts w:ascii="Times New Roman" w:hAnsi="Times New Roman"/>
          <w:bCs/>
          <w:sz w:val="24"/>
          <w:szCs w:val="24"/>
        </w:rPr>
        <w:t xml:space="preserve"> (Id.) Defendant Neely then informed Plaintiff</w:t>
      </w:r>
    </w:p>
    <w:p w14:paraId="691CB294"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that Defendant Neely and his wife were up for election and re-election in their respective</w:t>
      </w:r>
    </w:p>
    <w:p w14:paraId="0CFBCBC2"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positions and needed the support of the firefighters’ union. (Id.) Plaintiff interpreted that</w:t>
      </w:r>
    </w:p>
    <w:p w14:paraId="32C48BD9" w14:textId="77777777" w:rsidR="00286CE9" w:rsidRPr="00E90346" w:rsidRDefault="00286CE9" w:rsidP="00286CE9">
      <w:pPr>
        <w:pStyle w:val="NoSpacing"/>
        <w:ind w:left="720"/>
        <w:rPr>
          <w:rFonts w:ascii="Times New Roman" w:hAnsi="Times New Roman"/>
          <w:bCs/>
          <w:sz w:val="24"/>
          <w:szCs w:val="24"/>
        </w:rPr>
      </w:pPr>
      <w:r w:rsidRPr="00E90346">
        <w:rPr>
          <w:rFonts w:ascii="Times New Roman" w:hAnsi="Times New Roman"/>
          <w:bCs/>
          <w:sz w:val="24"/>
          <w:szCs w:val="24"/>
        </w:rPr>
        <w:t>to mean that Defendant Neely wanted to “cover up [the firefighters’] wrongdoing and fraud for the sole purpose of winning personal political support from the firefighters’ union.” (Id.)</w:t>
      </w:r>
    </w:p>
    <w:p w14:paraId="3935CA6A" w14:textId="77777777" w:rsidR="00286CE9" w:rsidRPr="00E90346" w:rsidRDefault="00286CE9" w:rsidP="00286CE9">
      <w:pPr>
        <w:pStyle w:val="NoSpacing"/>
        <w:rPr>
          <w:rFonts w:ascii="Times New Roman" w:hAnsi="Times New Roman"/>
          <w:bCs/>
          <w:sz w:val="24"/>
          <w:szCs w:val="24"/>
        </w:rPr>
      </w:pPr>
    </w:p>
    <w:p w14:paraId="5FA32264"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Plaintiff refused to change his findings and recommendations or make false</w:t>
      </w:r>
    </w:p>
    <w:p w14:paraId="106B4706"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statements about the incident. (Id. at PageID.22.) Defendant Neely continued to insist</w:t>
      </w:r>
    </w:p>
    <w:p w14:paraId="7E906BD8" w14:textId="77777777" w:rsidR="00286CE9" w:rsidRPr="00E90346" w:rsidRDefault="00286CE9" w:rsidP="00286CE9">
      <w:pPr>
        <w:pStyle w:val="NoSpacing"/>
        <w:ind w:firstLine="720"/>
        <w:rPr>
          <w:rFonts w:ascii="Times New Roman" w:hAnsi="Times New Roman"/>
          <w:bCs/>
          <w:sz w:val="24"/>
          <w:szCs w:val="24"/>
        </w:rPr>
      </w:pPr>
      <w:proofErr w:type="gramStart"/>
      <w:r w:rsidRPr="00E90346">
        <w:rPr>
          <w:rFonts w:ascii="Times New Roman" w:hAnsi="Times New Roman"/>
          <w:bCs/>
          <w:sz w:val="24"/>
          <w:szCs w:val="24"/>
        </w:rPr>
        <w:t>Plaintiff</w:t>
      </w:r>
      <w:proofErr w:type="gramEnd"/>
      <w:r w:rsidRPr="00E90346">
        <w:rPr>
          <w:rFonts w:ascii="Times New Roman" w:hAnsi="Times New Roman"/>
          <w:bCs/>
          <w:sz w:val="24"/>
          <w:szCs w:val="24"/>
        </w:rPr>
        <w:t xml:space="preserve"> </w:t>
      </w:r>
      <w:proofErr w:type="gramStart"/>
      <w:r w:rsidRPr="00E90346">
        <w:rPr>
          <w:rFonts w:ascii="Times New Roman" w:hAnsi="Times New Roman"/>
          <w:bCs/>
          <w:sz w:val="24"/>
          <w:szCs w:val="24"/>
        </w:rPr>
        <w:t>change</w:t>
      </w:r>
      <w:proofErr w:type="gramEnd"/>
      <w:r w:rsidRPr="00E90346">
        <w:rPr>
          <w:rFonts w:ascii="Times New Roman" w:hAnsi="Times New Roman"/>
          <w:bCs/>
          <w:sz w:val="24"/>
          <w:szCs w:val="24"/>
        </w:rPr>
        <w:t xml:space="preserve"> his recommendations. (Id.) Plaintiff continued to refuse. (Id.)</w:t>
      </w:r>
    </w:p>
    <w:p w14:paraId="0586464B" w14:textId="77777777" w:rsidR="00286CE9" w:rsidRPr="00E90346" w:rsidRDefault="00286CE9" w:rsidP="00286CE9">
      <w:pPr>
        <w:pStyle w:val="NoSpacing"/>
        <w:rPr>
          <w:rFonts w:ascii="Times New Roman" w:hAnsi="Times New Roman"/>
          <w:bCs/>
          <w:sz w:val="24"/>
          <w:szCs w:val="24"/>
        </w:rPr>
      </w:pPr>
    </w:p>
    <w:p w14:paraId="0B435270"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 xml:space="preserve">In October 2023, Plaintiff learned that Defendant Neely had </w:t>
      </w:r>
      <w:r>
        <w:rPr>
          <w:rFonts w:ascii="Times New Roman" w:hAnsi="Times New Roman"/>
          <w:bCs/>
          <w:sz w:val="24"/>
          <w:szCs w:val="24"/>
        </w:rPr>
        <w:t>‘</w:t>
      </w:r>
      <w:r w:rsidRPr="00E90346">
        <w:rPr>
          <w:rFonts w:ascii="Times New Roman" w:hAnsi="Times New Roman"/>
          <w:bCs/>
          <w:sz w:val="24"/>
          <w:szCs w:val="24"/>
        </w:rPr>
        <w:t>unilaterally and</w:t>
      </w:r>
    </w:p>
    <w:p w14:paraId="30BE4617"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Surreptitiously</w:t>
      </w:r>
      <w:r>
        <w:rPr>
          <w:rFonts w:ascii="Times New Roman" w:hAnsi="Times New Roman"/>
          <w:bCs/>
          <w:sz w:val="24"/>
          <w:szCs w:val="24"/>
        </w:rPr>
        <w:t xml:space="preserve">’ </w:t>
      </w:r>
      <w:r w:rsidRPr="00E90346">
        <w:rPr>
          <w:rFonts w:ascii="Times New Roman" w:hAnsi="Times New Roman"/>
          <w:bCs/>
          <w:sz w:val="24"/>
          <w:szCs w:val="24"/>
        </w:rPr>
        <w:t>changed Plaintiff’s official recommendation. (Id.) Defendant Neely then</w:t>
      </w:r>
    </w:p>
    <w:p w14:paraId="0E93AB10"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instructed Plaintiff to make a public statement saying Plaintiff initiated the change and</w:t>
      </w:r>
    </w:p>
    <w:p w14:paraId="52163BF5"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agreed with it. (Id. at PageID.23.) Plaintiff refused. (Id.) Defendant Neely continued to</w:t>
      </w:r>
    </w:p>
    <w:p w14:paraId="3A071A38"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insist that Plaintiff make the public statement. (Id.) Plaintiff again refused and told</w:t>
      </w:r>
    </w:p>
    <w:p w14:paraId="3D85A59E"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 xml:space="preserve">Defendant </w:t>
      </w:r>
      <w:proofErr w:type="gramStart"/>
      <w:r w:rsidRPr="00E90346">
        <w:rPr>
          <w:rFonts w:ascii="Times New Roman" w:hAnsi="Times New Roman"/>
          <w:bCs/>
          <w:sz w:val="24"/>
          <w:szCs w:val="24"/>
        </w:rPr>
        <w:t>Neely</w:t>
      </w:r>
      <w:proofErr w:type="gramEnd"/>
      <w:r w:rsidRPr="00E90346">
        <w:rPr>
          <w:rFonts w:ascii="Times New Roman" w:hAnsi="Times New Roman"/>
          <w:bCs/>
          <w:sz w:val="24"/>
          <w:szCs w:val="24"/>
        </w:rPr>
        <w:t xml:space="preserve"> that he would not make false statements regarding his original findings</w:t>
      </w:r>
    </w:p>
    <w:p w14:paraId="4B2F7EFB" w14:textId="77777777" w:rsidR="00286CE9" w:rsidRPr="00E90346" w:rsidRDefault="00286CE9" w:rsidP="00286CE9">
      <w:pPr>
        <w:pStyle w:val="NoSpacing"/>
        <w:ind w:firstLine="720"/>
        <w:rPr>
          <w:rFonts w:ascii="Times New Roman" w:hAnsi="Times New Roman"/>
          <w:bCs/>
          <w:sz w:val="24"/>
          <w:szCs w:val="24"/>
        </w:rPr>
      </w:pPr>
      <w:r w:rsidRPr="00E90346">
        <w:rPr>
          <w:rFonts w:ascii="Times New Roman" w:hAnsi="Times New Roman"/>
          <w:bCs/>
          <w:sz w:val="24"/>
          <w:szCs w:val="24"/>
        </w:rPr>
        <w:t>and recommendations about the incident. (Id.)</w:t>
      </w:r>
    </w:p>
    <w:p w14:paraId="78274231" w14:textId="77777777" w:rsidR="00286CE9" w:rsidRPr="00C755A6" w:rsidRDefault="00286CE9" w:rsidP="00286CE9">
      <w:pPr>
        <w:pStyle w:val="NoSpacing"/>
        <w:ind w:left="720"/>
        <w:rPr>
          <w:rFonts w:ascii="Times New Roman" w:hAnsi="Times New Roman"/>
          <w:bCs/>
          <w:sz w:val="24"/>
          <w:szCs w:val="24"/>
        </w:rPr>
      </w:pPr>
    </w:p>
    <w:p w14:paraId="21CA1FF2" w14:textId="77777777" w:rsidR="00286CE9" w:rsidRDefault="00286CE9" w:rsidP="00706FEC">
      <w:pPr>
        <w:pStyle w:val="NoSpacing"/>
        <w:rPr>
          <w:rFonts w:ascii="Times New Roman" w:hAnsi="Times New Roman"/>
          <w:bCs/>
          <w:sz w:val="24"/>
          <w:szCs w:val="24"/>
        </w:rPr>
      </w:pPr>
    </w:p>
    <w:p w14:paraId="2C49EA4A" w14:textId="77777777" w:rsidR="00706FEC" w:rsidRDefault="00706FEC" w:rsidP="00706FEC">
      <w:pPr>
        <w:pStyle w:val="NoSpacing"/>
        <w:ind w:left="720"/>
        <w:rPr>
          <w:rFonts w:ascii="Times New Roman" w:hAnsi="Times New Roman"/>
          <w:bCs/>
          <w:sz w:val="24"/>
          <w:szCs w:val="24"/>
        </w:rPr>
      </w:pPr>
    </w:p>
    <w:p w14:paraId="626ECE37" w14:textId="21095888" w:rsidR="00706FEC" w:rsidRDefault="00286CE9" w:rsidP="00F326E5">
      <w:pPr>
        <w:pStyle w:val="NoSpacing"/>
        <w:rPr>
          <w:rFonts w:ascii="Arial Black" w:hAnsi="Arial Black"/>
          <w:sz w:val="24"/>
          <w:szCs w:val="24"/>
        </w:rPr>
      </w:pPr>
      <w:r>
        <w:rPr>
          <w:rFonts w:ascii="Arial Black" w:hAnsi="Arial Black"/>
          <w:sz w:val="24"/>
          <w:szCs w:val="24"/>
        </w:rPr>
        <w:t>16-</w:t>
      </w:r>
      <w:r w:rsidR="00E135DF">
        <w:rPr>
          <w:rFonts w:ascii="Arial Black" w:hAnsi="Arial Black"/>
          <w:sz w:val="24"/>
          <w:szCs w:val="24"/>
        </w:rPr>
        <w:t>97</w:t>
      </w:r>
    </w:p>
    <w:p w14:paraId="433690C3" w14:textId="77777777" w:rsidR="00920338" w:rsidRDefault="00920338" w:rsidP="00F326E5">
      <w:pPr>
        <w:pStyle w:val="NoSpacing"/>
        <w:rPr>
          <w:rFonts w:ascii="Arial Black" w:hAnsi="Arial Black"/>
          <w:sz w:val="24"/>
          <w:szCs w:val="24"/>
        </w:rPr>
      </w:pPr>
    </w:p>
    <w:p w14:paraId="23E67678" w14:textId="77777777" w:rsidR="00920338" w:rsidRDefault="00920338" w:rsidP="00920338">
      <w:pPr>
        <w:pStyle w:val="NormalWeb"/>
        <w:rPr>
          <w:rFonts w:ascii="Arial Black" w:hAnsi="Arial Black"/>
          <w:sz w:val="28"/>
          <w:szCs w:val="28"/>
        </w:rPr>
      </w:pPr>
      <w:r>
        <w:rPr>
          <w:rFonts w:ascii="Arial Black" w:hAnsi="Arial Black"/>
          <w:sz w:val="28"/>
          <w:szCs w:val="28"/>
        </w:rPr>
        <w:t>CO: NEW FIRE BOARD ELECTED – FIRED FIRE CHIEF – MAY SUE RETALIATION – HE REPORTED POSS. ELECTION FRAUD</w:t>
      </w:r>
    </w:p>
    <w:p w14:paraId="3836A862" w14:textId="5B5B9C47" w:rsidR="00920338" w:rsidRDefault="00920338" w:rsidP="00920338">
      <w:pPr>
        <w:pStyle w:val="NoSpacing"/>
        <w:rPr>
          <w:rStyle w:val="Hyperlink"/>
          <w:rFonts w:ascii="Times New Roman" w:hAnsi="Times New Roman"/>
          <w:sz w:val="24"/>
          <w:szCs w:val="24"/>
        </w:rPr>
      </w:pPr>
      <w:r w:rsidRPr="001D0A41">
        <w:rPr>
          <w:rFonts w:ascii="Times New Roman" w:hAnsi="Times New Roman"/>
          <w:sz w:val="24"/>
          <w:szCs w:val="24"/>
        </w:rPr>
        <w:t xml:space="preserve">On Nov. 17, 2023, in </w:t>
      </w:r>
      <w:r w:rsidRPr="001D0A41">
        <w:rPr>
          <w:rFonts w:ascii="Times New Roman" w:hAnsi="Times New Roman"/>
          <w:sz w:val="24"/>
          <w:szCs w:val="24"/>
          <w:u w:val="single"/>
        </w:rPr>
        <w:t>Erik Holt v. Florissant Fire Protection District</w:t>
      </w:r>
      <w:r w:rsidRPr="001D0A41">
        <w:rPr>
          <w:rFonts w:ascii="Times New Roman" w:hAnsi="Times New Roman"/>
          <w:sz w:val="24"/>
          <w:szCs w:val="24"/>
        </w:rPr>
        <w:t>, U.S. District Court Judge Nina Y. Wang, U.S. District Court for District of Colorado, held that the plaintiff’s 1</w:t>
      </w:r>
      <w:r w:rsidRPr="001D0A41">
        <w:rPr>
          <w:rFonts w:ascii="Times New Roman" w:hAnsi="Times New Roman"/>
          <w:sz w:val="24"/>
          <w:szCs w:val="24"/>
          <w:vertAlign w:val="superscript"/>
        </w:rPr>
        <w:t>st</w:t>
      </w:r>
      <w:r w:rsidRPr="001D0A41">
        <w:rPr>
          <w:rFonts w:ascii="Times New Roman" w:hAnsi="Times New Roman"/>
          <w:sz w:val="24"/>
          <w:szCs w:val="24"/>
        </w:rPr>
        <w:t xml:space="preserve"> Amendment retaliation claim may proceed to pre-trial discovery, but under Colorado law he cannot sue the Fire District for wrongful termination since it enjoys immunity under the Colorado Governmental Immunity Act (“CGIA”).  The Town held an election at the Fire District for Board </w:t>
      </w:r>
      <w:proofErr w:type="gramStart"/>
      <w:r w:rsidRPr="001D0A41">
        <w:rPr>
          <w:rFonts w:ascii="Times New Roman" w:hAnsi="Times New Roman"/>
          <w:sz w:val="24"/>
          <w:szCs w:val="24"/>
        </w:rPr>
        <w:t>members</w:t>
      </w:r>
      <w:proofErr w:type="gramEnd"/>
      <w:r w:rsidRPr="001D0A41">
        <w:rPr>
          <w:rFonts w:ascii="Times New Roman" w:hAnsi="Times New Roman"/>
          <w:sz w:val="24"/>
          <w:szCs w:val="24"/>
        </w:rPr>
        <w:t xml:space="preserve"> and five new members were elected, but Fire Chief was advised that there </w:t>
      </w:r>
      <w:proofErr w:type="gramStart"/>
      <w:r w:rsidRPr="001D0A41">
        <w:rPr>
          <w:rFonts w:ascii="Times New Roman" w:hAnsi="Times New Roman"/>
          <w:sz w:val="24"/>
          <w:szCs w:val="24"/>
        </w:rPr>
        <w:t>was</w:t>
      </w:r>
      <w:proofErr w:type="gramEnd"/>
      <w:r w:rsidRPr="001D0A41">
        <w:rPr>
          <w:rFonts w:ascii="Times New Roman" w:hAnsi="Times New Roman"/>
          <w:sz w:val="24"/>
          <w:szCs w:val="24"/>
        </w:rPr>
        <w:t xml:space="preserve"> intimidation and harassment of voters at the election and he gathered videotapes which he provided to criminal investigators.  </w:t>
      </w:r>
      <w:hyperlink r:id="rId2582" w:history="1">
        <w:r w:rsidRPr="001D0A41">
          <w:rPr>
            <w:rStyle w:val="Hyperlink"/>
            <w:rFonts w:ascii="Times New Roman" w:hAnsi="Times New Roman"/>
            <w:sz w:val="24"/>
            <w:szCs w:val="24"/>
          </w:rPr>
          <w:t>https://casetext.com/case/holt-v-florissant-fire-prot-dist</w:t>
        </w:r>
      </w:hyperlink>
    </w:p>
    <w:p w14:paraId="693F647D" w14:textId="77777777" w:rsidR="00F33C79" w:rsidRDefault="00F33C79" w:rsidP="00920338">
      <w:pPr>
        <w:pStyle w:val="NoSpacing"/>
        <w:rPr>
          <w:rStyle w:val="Hyperlink"/>
          <w:rFonts w:ascii="Times New Roman" w:hAnsi="Times New Roman"/>
          <w:sz w:val="24"/>
          <w:szCs w:val="24"/>
        </w:rPr>
      </w:pPr>
    </w:p>
    <w:p w14:paraId="3AE390AA" w14:textId="77777777" w:rsidR="00F33C79" w:rsidRDefault="00F33C79" w:rsidP="00F33C79">
      <w:pPr>
        <w:rPr>
          <w:rFonts w:ascii="Times New Roman" w:hAnsi="Times New Roman"/>
          <w:b/>
          <w:bCs/>
          <w:sz w:val="24"/>
          <w:szCs w:val="24"/>
        </w:rPr>
      </w:pPr>
      <w:r w:rsidRPr="00154003">
        <w:rPr>
          <w:rFonts w:ascii="Times New Roman" w:hAnsi="Times New Roman"/>
          <w:b/>
          <w:bCs/>
          <w:sz w:val="24"/>
          <w:szCs w:val="24"/>
        </w:rPr>
        <w:t xml:space="preserve">Legal Lesson Learned: The Fire Chief may now proceed with pre-trial discovery under his First Amendment claim of retaliation. </w:t>
      </w:r>
    </w:p>
    <w:p w14:paraId="3346B6E7" w14:textId="77777777" w:rsidR="00F33C79" w:rsidRDefault="00F33C79" w:rsidP="00920338">
      <w:pPr>
        <w:pStyle w:val="NoSpacing"/>
        <w:rPr>
          <w:rFonts w:ascii="Arial Black" w:hAnsi="Arial Black"/>
          <w:sz w:val="24"/>
          <w:szCs w:val="24"/>
        </w:rPr>
      </w:pPr>
    </w:p>
    <w:p w14:paraId="46D6E15C" w14:textId="77777777" w:rsidR="00F33C79" w:rsidRDefault="00F33C79" w:rsidP="00920338">
      <w:pPr>
        <w:pStyle w:val="NoSpacing"/>
        <w:rPr>
          <w:rFonts w:ascii="Arial Black" w:hAnsi="Arial Black"/>
          <w:sz w:val="24"/>
          <w:szCs w:val="24"/>
        </w:rPr>
      </w:pPr>
    </w:p>
    <w:p w14:paraId="0A0EB8E9" w14:textId="54E3E27F" w:rsidR="00F33C79" w:rsidRDefault="00F33C79" w:rsidP="00920338">
      <w:pPr>
        <w:pStyle w:val="NoSpacing"/>
        <w:rPr>
          <w:rFonts w:ascii="Arial Black" w:hAnsi="Arial Black"/>
          <w:sz w:val="24"/>
          <w:szCs w:val="24"/>
        </w:rPr>
      </w:pPr>
      <w:r>
        <w:rPr>
          <w:rFonts w:ascii="Arial Black" w:hAnsi="Arial Black"/>
          <w:sz w:val="24"/>
          <w:szCs w:val="24"/>
        </w:rPr>
        <w:t>16-96</w:t>
      </w:r>
    </w:p>
    <w:p w14:paraId="767DCC3B" w14:textId="77777777" w:rsidR="0046271A" w:rsidRDefault="0046271A" w:rsidP="0046271A">
      <w:pPr>
        <w:rPr>
          <w:rFonts w:ascii="Arial Black" w:hAnsi="Arial Black"/>
          <w:b/>
          <w:bCs/>
          <w:sz w:val="28"/>
          <w:szCs w:val="28"/>
        </w:rPr>
      </w:pPr>
      <w:r>
        <w:rPr>
          <w:rFonts w:ascii="Arial Black" w:hAnsi="Arial Black"/>
          <w:b/>
          <w:bCs/>
          <w:sz w:val="28"/>
          <w:szCs w:val="28"/>
        </w:rPr>
        <w:t>MA: BOSTON FF – SOCIAL MEDIA POSTS ATTACKING RELIGION, SEXUAL ORIENTATION, RACE - FIRED</w:t>
      </w:r>
    </w:p>
    <w:p w14:paraId="5310F73B" w14:textId="77777777" w:rsidR="0046271A" w:rsidRDefault="0046271A" w:rsidP="0046271A">
      <w:pPr>
        <w:rPr>
          <w:rFonts w:ascii="Times New Roman" w:hAnsi="Times New Roman"/>
          <w:sz w:val="24"/>
          <w:szCs w:val="24"/>
        </w:rPr>
      </w:pPr>
      <w:r w:rsidRPr="00C972D3">
        <w:rPr>
          <w:rFonts w:ascii="Times New Roman" w:hAnsi="Times New Roman"/>
          <w:sz w:val="24"/>
          <w:szCs w:val="24"/>
        </w:rPr>
        <w:t xml:space="preserve">On </w:t>
      </w:r>
      <w:r>
        <w:rPr>
          <w:rFonts w:ascii="Times New Roman" w:hAnsi="Times New Roman"/>
          <w:sz w:val="24"/>
          <w:szCs w:val="24"/>
        </w:rPr>
        <w:t xml:space="preserve">Nov. 6, 2023, in </w:t>
      </w:r>
      <w:r w:rsidRPr="00442665">
        <w:rPr>
          <w:rFonts w:ascii="Times New Roman" w:hAnsi="Times New Roman"/>
          <w:sz w:val="24"/>
          <w:szCs w:val="24"/>
          <w:u w:val="single"/>
        </w:rPr>
        <w:t>Octavius Rowe v. Civil Service Commission</w:t>
      </w:r>
      <w:r>
        <w:rPr>
          <w:rFonts w:ascii="Times New Roman" w:hAnsi="Times New Roman"/>
          <w:sz w:val="24"/>
          <w:szCs w:val="24"/>
        </w:rPr>
        <w:t xml:space="preserve">, the Appeals Court of Massachusetts held (3 to 0) that the Boston Fire Department and the city’s Civil Service Commission properly upheld the termination of the firefighter.  The Black firefighter claimed that white firefighters were treated less harshly, but two firefighters had resigned and a third received a suspension for less serious misconduct.   </w:t>
      </w:r>
      <w:hyperlink r:id="rId2583" w:history="1">
        <w:r w:rsidRPr="00182321">
          <w:rPr>
            <w:rStyle w:val="Hyperlink"/>
            <w:rFonts w:ascii="Times New Roman" w:hAnsi="Times New Roman"/>
            <w:sz w:val="24"/>
            <w:szCs w:val="24"/>
          </w:rPr>
          <w:t>https://caselaw.findlaw.com/court/ma-court-of-appeals/115411600.html</w:t>
        </w:r>
      </w:hyperlink>
      <w:r>
        <w:rPr>
          <w:rFonts w:ascii="Times New Roman" w:hAnsi="Times New Roman"/>
          <w:sz w:val="24"/>
          <w:szCs w:val="24"/>
        </w:rPr>
        <w:t xml:space="preserve"> </w:t>
      </w:r>
    </w:p>
    <w:p w14:paraId="4C47C07C" w14:textId="77777777" w:rsidR="00075DAE" w:rsidRDefault="00075DAE" w:rsidP="00075DAE">
      <w:pPr>
        <w:rPr>
          <w:rFonts w:ascii="Times New Roman" w:hAnsi="Times New Roman"/>
          <w:b/>
          <w:bCs/>
          <w:sz w:val="24"/>
          <w:szCs w:val="24"/>
        </w:rPr>
      </w:pPr>
      <w:r w:rsidRPr="00025468">
        <w:rPr>
          <w:rFonts w:ascii="Times New Roman" w:hAnsi="Times New Roman"/>
          <w:b/>
          <w:bCs/>
          <w:sz w:val="24"/>
          <w:szCs w:val="24"/>
        </w:rPr>
        <w:t>Legal Lesson Learned:</w:t>
      </w:r>
      <w:r>
        <w:rPr>
          <w:rFonts w:ascii="Times New Roman" w:hAnsi="Times New Roman"/>
          <w:b/>
          <w:bCs/>
          <w:sz w:val="24"/>
          <w:szCs w:val="24"/>
        </w:rPr>
        <w:t xml:space="preserve"> Social media posts by fire or EMS can result in discipline, including termination.</w:t>
      </w:r>
    </w:p>
    <w:p w14:paraId="5ED6EE38" w14:textId="77777777" w:rsidR="0046271A" w:rsidRDefault="0046271A" w:rsidP="00920338">
      <w:pPr>
        <w:pStyle w:val="NoSpacing"/>
        <w:rPr>
          <w:rFonts w:ascii="Arial Black" w:hAnsi="Arial Black"/>
          <w:sz w:val="24"/>
          <w:szCs w:val="24"/>
        </w:rPr>
      </w:pPr>
    </w:p>
    <w:p w14:paraId="07A94F39" w14:textId="77777777" w:rsidR="0042334A" w:rsidRDefault="0042334A" w:rsidP="00F326E5">
      <w:pPr>
        <w:pStyle w:val="NoSpacing"/>
        <w:rPr>
          <w:rFonts w:ascii="Arial Black" w:hAnsi="Arial Black"/>
          <w:sz w:val="24"/>
          <w:szCs w:val="24"/>
        </w:rPr>
      </w:pPr>
    </w:p>
    <w:p w14:paraId="0DA0457B" w14:textId="77777777" w:rsidR="0042334A" w:rsidRDefault="0042334A" w:rsidP="00F326E5">
      <w:pPr>
        <w:pStyle w:val="NoSpacing"/>
        <w:rPr>
          <w:rFonts w:ascii="Arial Black" w:hAnsi="Arial Black"/>
          <w:sz w:val="24"/>
          <w:szCs w:val="24"/>
        </w:rPr>
      </w:pPr>
    </w:p>
    <w:p w14:paraId="7CA5F048" w14:textId="0550F3A9" w:rsidR="000518BE" w:rsidRDefault="000518BE" w:rsidP="00F326E5">
      <w:pPr>
        <w:pStyle w:val="NoSpacing"/>
        <w:rPr>
          <w:rFonts w:ascii="Arial Black" w:hAnsi="Arial Black"/>
          <w:sz w:val="24"/>
          <w:szCs w:val="24"/>
        </w:rPr>
      </w:pPr>
      <w:r>
        <w:rPr>
          <w:rFonts w:ascii="Arial Black" w:hAnsi="Arial Black"/>
          <w:sz w:val="24"/>
          <w:szCs w:val="24"/>
        </w:rPr>
        <w:t>16-95</w:t>
      </w:r>
    </w:p>
    <w:p w14:paraId="54B09E71" w14:textId="77777777" w:rsidR="000518BE" w:rsidRDefault="000518BE" w:rsidP="000518BE">
      <w:pPr>
        <w:pStyle w:val="NormalWeb"/>
        <w:rPr>
          <w:rFonts w:ascii="Arial Black" w:hAnsi="Arial Black"/>
          <w:b/>
          <w:bCs/>
          <w:sz w:val="28"/>
          <w:szCs w:val="28"/>
        </w:rPr>
      </w:pPr>
      <w:r>
        <w:rPr>
          <w:rFonts w:ascii="Arial Black" w:hAnsi="Arial Black"/>
          <w:b/>
          <w:bCs/>
          <w:sz w:val="28"/>
          <w:szCs w:val="28"/>
        </w:rPr>
        <w:t>LA: “OFFICE ROMANCE” - WIFE OF ASSISTANT FIRE CHIEF DIVORCES - MARRIES DIST. CHIEF – FIRED – NO CASE</w:t>
      </w:r>
    </w:p>
    <w:p w14:paraId="08523464" w14:textId="16BB4525" w:rsidR="000518BE" w:rsidRPr="000518BE" w:rsidRDefault="000518BE" w:rsidP="000518BE">
      <w:pPr>
        <w:pStyle w:val="NoSpacing"/>
        <w:rPr>
          <w:rFonts w:ascii="Times New Roman" w:hAnsi="Times New Roman"/>
          <w:sz w:val="24"/>
          <w:szCs w:val="24"/>
        </w:rPr>
      </w:pPr>
      <w:r w:rsidRPr="000518BE">
        <w:rPr>
          <w:rFonts w:ascii="Times New Roman" w:hAnsi="Times New Roman"/>
          <w:sz w:val="24"/>
          <w:szCs w:val="24"/>
        </w:rPr>
        <w:t xml:space="preserve">On Oct. 19, 2023, in </w:t>
      </w:r>
      <w:r w:rsidRPr="000518BE">
        <w:rPr>
          <w:rFonts w:ascii="Times New Roman" w:hAnsi="Times New Roman"/>
          <w:sz w:val="24"/>
          <w:szCs w:val="24"/>
          <w:u w:val="single"/>
        </w:rPr>
        <w:t xml:space="preserve">Stacie </w:t>
      </w:r>
      <w:proofErr w:type="spellStart"/>
      <w:r w:rsidRPr="000518BE">
        <w:rPr>
          <w:rFonts w:ascii="Times New Roman" w:hAnsi="Times New Roman"/>
          <w:sz w:val="24"/>
          <w:szCs w:val="24"/>
          <w:u w:val="single"/>
        </w:rPr>
        <w:t>Dellucky</w:t>
      </w:r>
      <w:proofErr w:type="spellEnd"/>
      <w:r w:rsidRPr="000518BE">
        <w:rPr>
          <w:rFonts w:ascii="Times New Roman" w:hAnsi="Times New Roman"/>
          <w:sz w:val="24"/>
          <w:szCs w:val="24"/>
          <w:u w:val="single"/>
        </w:rPr>
        <w:t xml:space="preserve"> &amp; Frank Dellucky v. St. George Fire Protection District, et al.</w:t>
      </w:r>
      <w:r w:rsidRPr="000518BE">
        <w:rPr>
          <w:rFonts w:ascii="Times New Roman" w:hAnsi="Times New Roman"/>
          <w:sz w:val="24"/>
          <w:szCs w:val="24"/>
        </w:rPr>
        <w:t>, U.S. District Court Judge Brian A, Jackson granted defense motion for summary judgment. The Court held: “Specifically, Frank voluntarily resigned to avoid participating in an employee disciplinary investigation, after he sent sordid Facebook messages to the co-worker referenced above. (</w:t>
      </w:r>
      <w:r w:rsidRPr="000518BE">
        <w:rPr>
          <w:rStyle w:val="Emphasis"/>
          <w:rFonts w:ascii="Times New Roman" w:hAnsi="Times New Roman"/>
          <w:sz w:val="24"/>
          <w:szCs w:val="24"/>
        </w:rPr>
        <w:t>Id.</w:t>
      </w:r>
      <w:r w:rsidRPr="000518BE">
        <w:rPr>
          <w:rFonts w:ascii="Times New Roman" w:hAnsi="Times New Roman"/>
          <w:sz w:val="24"/>
          <w:szCs w:val="24"/>
        </w:rPr>
        <w:t xml:space="preserve"> ¶¶ 23-29). In conjunction with his resignation, Frank executed a Settlement Agreement with the </w:t>
      </w:r>
      <w:proofErr w:type="gramStart"/>
      <w:r w:rsidRPr="000518BE">
        <w:rPr>
          <w:rFonts w:ascii="Times New Roman" w:hAnsi="Times New Roman"/>
          <w:sz w:val="24"/>
          <w:szCs w:val="24"/>
        </w:rPr>
        <w:t>District, ‘</w:t>
      </w:r>
      <w:proofErr w:type="gramEnd"/>
      <w:r w:rsidRPr="000518BE">
        <w:rPr>
          <w:rFonts w:ascii="Times New Roman" w:hAnsi="Times New Roman"/>
          <w:sz w:val="24"/>
          <w:szCs w:val="24"/>
        </w:rPr>
        <w:t xml:space="preserve">through its duly authorized Fire Chief and Appointing Authority, Gerard C. Tarleton.’ *** Here, no evidence suggests that </w:t>
      </w:r>
      <w:proofErr w:type="gramStart"/>
      <w:r w:rsidRPr="000518BE">
        <w:rPr>
          <w:rFonts w:ascii="Times New Roman" w:hAnsi="Times New Roman"/>
          <w:sz w:val="24"/>
          <w:szCs w:val="24"/>
        </w:rPr>
        <w:t>Defendants' ‘</w:t>
      </w:r>
      <w:proofErr w:type="gramEnd"/>
      <w:r w:rsidRPr="000518BE">
        <w:rPr>
          <w:rFonts w:ascii="Times New Roman" w:hAnsi="Times New Roman"/>
          <w:sz w:val="24"/>
          <w:szCs w:val="24"/>
        </w:rPr>
        <w:t xml:space="preserve">policy’ against Stacie marrying Frank was aimed </w:t>
      </w:r>
      <w:proofErr w:type="gramStart"/>
      <w:r w:rsidRPr="000518BE">
        <w:rPr>
          <w:rFonts w:ascii="Times New Roman" w:hAnsi="Times New Roman"/>
          <w:sz w:val="24"/>
          <w:szCs w:val="24"/>
        </w:rPr>
        <w:t>to prohibit ‘</w:t>
      </w:r>
      <w:proofErr w:type="gramEnd"/>
      <w:r w:rsidRPr="000518BE">
        <w:rPr>
          <w:rFonts w:ascii="Times New Roman" w:hAnsi="Times New Roman"/>
          <w:sz w:val="24"/>
          <w:szCs w:val="24"/>
        </w:rPr>
        <w:t xml:space="preserve">one class of people from being with another.’ To the contrary, Defendants only prohibited Stacie from marrying Frank to avoid chain-of-command and workplace morale issues that would arise from Stacie being managed by Chad Roberson, the District's Assistant Fire Chief, and Stacie's ex-husband. Stacie disregarded this prohibition, married Frank, and lost her job. But this was merely an ‘incidental’ consequence because Defendants' actions did ‘not prohibit the relationship itself.’” </w:t>
      </w:r>
      <w:hyperlink r:id="rId2584" w:history="1">
        <w:r w:rsidRPr="000518BE">
          <w:rPr>
            <w:rStyle w:val="Hyperlink"/>
            <w:rFonts w:ascii="Times New Roman" w:hAnsi="Times New Roman"/>
            <w:sz w:val="24"/>
            <w:szCs w:val="24"/>
          </w:rPr>
          <w:t>https://cases.justia.com/federal/district-courts/louisiana/lamdce/3:2021cv00287/59089/59/0.pdf?ts=1697816120</w:t>
        </w:r>
      </w:hyperlink>
    </w:p>
    <w:p w14:paraId="684925B8" w14:textId="77777777" w:rsidR="000518BE" w:rsidRDefault="000518BE" w:rsidP="00F326E5">
      <w:pPr>
        <w:pStyle w:val="NoSpacing"/>
        <w:rPr>
          <w:rFonts w:ascii="Arial Black" w:hAnsi="Arial Black"/>
          <w:sz w:val="24"/>
          <w:szCs w:val="24"/>
        </w:rPr>
      </w:pPr>
    </w:p>
    <w:p w14:paraId="1A2A8C3E" w14:textId="77777777" w:rsidR="000518BE" w:rsidRDefault="000518BE" w:rsidP="000518BE">
      <w:pPr>
        <w:spacing w:after="10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Many Fire Departments and political subdivisions have anti-nepotism policies. </w:t>
      </w:r>
    </w:p>
    <w:p w14:paraId="6A548ADF" w14:textId="77777777" w:rsidR="000518BE" w:rsidRDefault="000518BE" w:rsidP="00F326E5">
      <w:pPr>
        <w:pStyle w:val="NoSpacing"/>
        <w:rPr>
          <w:rFonts w:ascii="Arial Black" w:hAnsi="Arial Black"/>
          <w:sz w:val="24"/>
          <w:szCs w:val="24"/>
        </w:rPr>
      </w:pPr>
    </w:p>
    <w:p w14:paraId="39307E82" w14:textId="77777777" w:rsidR="000518BE" w:rsidRDefault="000518BE" w:rsidP="00F326E5">
      <w:pPr>
        <w:pStyle w:val="NoSpacing"/>
        <w:rPr>
          <w:rFonts w:ascii="Arial Black" w:hAnsi="Arial Black"/>
          <w:sz w:val="24"/>
          <w:szCs w:val="24"/>
        </w:rPr>
      </w:pPr>
    </w:p>
    <w:p w14:paraId="7D51B9DA" w14:textId="4860808D" w:rsidR="009B0593" w:rsidRDefault="008F7EBA" w:rsidP="00F326E5">
      <w:pPr>
        <w:pStyle w:val="NoSpacing"/>
        <w:rPr>
          <w:rFonts w:ascii="Arial Black" w:hAnsi="Arial Black"/>
          <w:sz w:val="24"/>
          <w:szCs w:val="24"/>
        </w:rPr>
      </w:pPr>
      <w:r>
        <w:rPr>
          <w:rFonts w:ascii="Arial Black" w:hAnsi="Arial Black"/>
          <w:sz w:val="24"/>
          <w:szCs w:val="24"/>
        </w:rPr>
        <w:t>16-94</w:t>
      </w:r>
    </w:p>
    <w:p w14:paraId="06EF77C1" w14:textId="77777777" w:rsidR="008F7EBA" w:rsidRDefault="008F7EBA" w:rsidP="00F326E5">
      <w:pPr>
        <w:pStyle w:val="NoSpacing"/>
        <w:rPr>
          <w:rFonts w:ascii="Arial Black" w:hAnsi="Arial Black"/>
          <w:sz w:val="24"/>
          <w:szCs w:val="24"/>
        </w:rPr>
      </w:pPr>
    </w:p>
    <w:p w14:paraId="13F8432C" w14:textId="77777777" w:rsidR="008F7EBA" w:rsidRPr="000A219B" w:rsidRDefault="008F7EBA" w:rsidP="008F7EBA">
      <w:pPr>
        <w:pStyle w:val="NoSpacing"/>
        <w:rPr>
          <w:rFonts w:ascii="Arial Black" w:hAnsi="Arial Black"/>
          <w:sz w:val="28"/>
          <w:szCs w:val="28"/>
        </w:rPr>
      </w:pPr>
      <w:r>
        <w:rPr>
          <w:rFonts w:ascii="Arial Black" w:hAnsi="Arial Black"/>
          <w:sz w:val="28"/>
          <w:szCs w:val="28"/>
        </w:rPr>
        <w:t xml:space="preserve">TN: FD CAPT. DEMOTED - FACEBOOK POSTS GEORGE FLOYD RIOTS – CASE PROCEED / “BALACING TEST” </w:t>
      </w:r>
    </w:p>
    <w:p w14:paraId="3635BD6F" w14:textId="77777777" w:rsidR="008F7EBA" w:rsidRDefault="008F7EBA" w:rsidP="008F7EBA">
      <w:pPr>
        <w:pStyle w:val="NoSpacing"/>
        <w:rPr>
          <w:rFonts w:ascii="Times New Roman" w:hAnsi="Times New Roman"/>
          <w:sz w:val="24"/>
          <w:szCs w:val="24"/>
        </w:rPr>
      </w:pPr>
    </w:p>
    <w:p w14:paraId="46B12BFB" w14:textId="77777777" w:rsidR="008F7EBA" w:rsidRDefault="008F7EBA" w:rsidP="008F7EBA">
      <w:pPr>
        <w:pStyle w:val="NoSpacing"/>
        <w:rPr>
          <w:rFonts w:ascii="Times New Roman" w:hAnsi="Times New Roman"/>
          <w:sz w:val="24"/>
          <w:szCs w:val="24"/>
        </w:rPr>
      </w:pPr>
      <w:r>
        <w:rPr>
          <w:rFonts w:ascii="Times New Roman" w:hAnsi="Times New Roman"/>
          <w:sz w:val="24"/>
          <w:szCs w:val="24"/>
        </w:rPr>
        <w:t xml:space="preserve">On Sept. 19, 2023, in </w:t>
      </w:r>
      <w:r w:rsidRPr="003B777F">
        <w:rPr>
          <w:rFonts w:ascii="Times New Roman" w:hAnsi="Times New Roman"/>
          <w:sz w:val="24"/>
          <w:szCs w:val="24"/>
          <w:u w:val="single"/>
        </w:rPr>
        <w:t xml:space="preserve">Tracy R. Turner v. Metropolitan Government of Nashville </w:t>
      </w:r>
      <w:proofErr w:type="gramStart"/>
      <w:r w:rsidRPr="003B777F">
        <w:rPr>
          <w:rFonts w:ascii="Times New Roman" w:hAnsi="Times New Roman"/>
          <w:sz w:val="24"/>
          <w:szCs w:val="24"/>
          <w:u w:val="single"/>
        </w:rPr>
        <w:t>And</w:t>
      </w:r>
      <w:proofErr w:type="gramEnd"/>
      <w:r w:rsidRPr="003B777F">
        <w:rPr>
          <w:rFonts w:ascii="Times New Roman" w:hAnsi="Times New Roman"/>
          <w:sz w:val="24"/>
          <w:szCs w:val="24"/>
          <w:u w:val="single"/>
        </w:rPr>
        <w:t xml:space="preserve"> Davidson County,</w:t>
      </w:r>
      <w:r>
        <w:rPr>
          <w:rFonts w:ascii="Times New Roman" w:hAnsi="Times New Roman"/>
          <w:sz w:val="24"/>
          <w:szCs w:val="24"/>
        </w:rPr>
        <w:t xml:space="preserve"> U.S. District Court Judge Eli Richardson, U.S. District Court for the Middle District of Tennessee, Nashville Division, denied the City’s motion for summary judgment.  The </w:t>
      </w:r>
      <w:proofErr w:type="gramStart"/>
      <w:r>
        <w:rPr>
          <w:rFonts w:ascii="Times New Roman" w:hAnsi="Times New Roman"/>
          <w:sz w:val="24"/>
          <w:szCs w:val="24"/>
        </w:rPr>
        <w:t>Captain</w:t>
      </w:r>
      <w:proofErr w:type="gramEnd"/>
      <w:r>
        <w:rPr>
          <w:rFonts w:ascii="Times New Roman" w:hAnsi="Times New Roman"/>
          <w:sz w:val="24"/>
          <w:szCs w:val="24"/>
        </w:rPr>
        <w:t xml:space="preserve"> was demoted to firefighter, ordered to attend “sensitivity” training and moved to another station. While there were several calls from citizens about the posts, there was little evidence that the </w:t>
      </w:r>
      <w:proofErr w:type="gramStart"/>
      <w:r>
        <w:rPr>
          <w:rFonts w:ascii="Times New Roman" w:hAnsi="Times New Roman"/>
          <w:sz w:val="24"/>
          <w:szCs w:val="24"/>
        </w:rPr>
        <w:t>Captain’s</w:t>
      </w:r>
      <w:proofErr w:type="gramEnd"/>
      <w:r>
        <w:rPr>
          <w:rFonts w:ascii="Times New Roman" w:hAnsi="Times New Roman"/>
          <w:sz w:val="24"/>
          <w:szCs w:val="24"/>
        </w:rPr>
        <w:t xml:space="preserve"> posts had disruptive impact on the Fire Department. </w:t>
      </w:r>
    </w:p>
    <w:p w14:paraId="15F1222A" w14:textId="77777777" w:rsidR="008F7EBA" w:rsidRDefault="008F7EBA" w:rsidP="008F7EBA">
      <w:pPr>
        <w:pStyle w:val="NoSpacing"/>
        <w:rPr>
          <w:rFonts w:ascii="Times New Roman" w:hAnsi="Times New Roman"/>
          <w:sz w:val="24"/>
          <w:szCs w:val="24"/>
        </w:rPr>
      </w:pPr>
    </w:p>
    <w:p w14:paraId="5EB860E6" w14:textId="77777777" w:rsidR="008F7EBA" w:rsidRPr="003B777F" w:rsidRDefault="008F7EBA" w:rsidP="008F7EBA">
      <w:pPr>
        <w:pStyle w:val="NoSpacing"/>
        <w:ind w:left="720"/>
        <w:rPr>
          <w:rFonts w:ascii="Times New Roman" w:hAnsi="Times New Roman"/>
          <w:sz w:val="24"/>
          <w:szCs w:val="24"/>
        </w:rPr>
      </w:pPr>
      <w:r>
        <w:rPr>
          <w:rFonts w:ascii="Times New Roman" w:hAnsi="Times New Roman"/>
          <w:sz w:val="24"/>
          <w:szCs w:val="24"/>
        </w:rPr>
        <w:t>The Court held: “</w:t>
      </w:r>
      <w:r w:rsidRPr="003B777F">
        <w:rPr>
          <w:rFonts w:ascii="Times New Roman" w:hAnsi="Times New Roman"/>
          <w:sz w:val="24"/>
          <w:szCs w:val="24"/>
        </w:rPr>
        <w:t>From May through July 2020, Plaintiff posted on Facebook his opinions on several topics</w:t>
      </w:r>
      <w:r>
        <w:rPr>
          <w:rFonts w:ascii="Times New Roman" w:hAnsi="Times New Roman"/>
          <w:sz w:val="24"/>
          <w:szCs w:val="24"/>
        </w:rPr>
        <w:t xml:space="preserve"> </w:t>
      </w:r>
      <w:r w:rsidRPr="003B777F">
        <w:rPr>
          <w:rFonts w:ascii="Times New Roman" w:hAnsi="Times New Roman"/>
          <w:sz w:val="24"/>
          <w:szCs w:val="24"/>
        </w:rPr>
        <w:t>of national interest. For example, Plaintiff referred to people reacting violently to the death of</w:t>
      </w:r>
      <w:r>
        <w:rPr>
          <w:rFonts w:ascii="Times New Roman" w:hAnsi="Times New Roman"/>
          <w:sz w:val="24"/>
          <w:szCs w:val="24"/>
        </w:rPr>
        <w:t xml:space="preserve"> </w:t>
      </w:r>
      <w:r w:rsidRPr="003B777F">
        <w:rPr>
          <w:rFonts w:ascii="Times New Roman" w:hAnsi="Times New Roman"/>
          <w:sz w:val="24"/>
          <w:szCs w:val="24"/>
        </w:rPr>
        <w:t xml:space="preserve">George Floyd as </w:t>
      </w:r>
      <w:r>
        <w:rPr>
          <w:rFonts w:ascii="Times New Roman" w:hAnsi="Times New Roman"/>
          <w:sz w:val="24"/>
          <w:szCs w:val="24"/>
        </w:rPr>
        <w:t>‘</w:t>
      </w:r>
      <w:r w:rsidRPr="003B777F">
        <w:rPr>
          <w:rFonts w:ascii="Times New Roman" w:hAnsi="Times New Roman"/>
          <w:sz w:val="24"/>
          <w:szCs w:val="24"/>
        </w:rPr>
        <w:t>animals.</w:t>
      </w:r>
      <w:r>
        <w:rPr>
          <w:rFonts w:ascii="Times New Roman" w:hAnsi="Times New Roman"/>
          <w:sz w:val="24"/>
          <w:szCs w:val="24"/>
        </w:rPr>
        <w:t xml:space="preserve">’ </w:t>
      </w:r>
      <w:r w:rsidRPr="003B777F">
        <w:rPr>
          <w:rFonts w:ascii="Times New Roman" w:hAnsi="Times New Roman"/>
          <w:sz w:val="24"/>
          <w:szCs w:val="24"/>
        </w:rPr>
        <w:t xml:space="preserve">He made other posts referring to </w:t>
      </w:r>
      <w:r>
        <w:rPr>
          <w:rFonts w:ascii="Times New Roman" w:hAnsi="Times New Roman"/>
          <w:sz w:val="24"/>
          <w:szCs w:val="24"/>
        </w:rPr>
        <w:t>‘</w:t>
      </w:r>
      <w:r w:rsidRPr="003B777F">
        <w:rPr>
          <w:rFonts w:ascii="Times New Roman" w:hAnsi="Times New Roman"/>
          <w:sz w:val="24"/>
          <w:szCs w:val="24"/>
        </w:rPr>
        <w:t>Anti-Fa and BLM thugs,</w:t>
      </w:r>
      <w:r>
        <w:rPr>
          <w:rFonts w:ascii="Times New Roman" w:hAnsi="Times New Roman"/>
          <w:sz w:val="24"/>
          <w:szCs w:val="24"/>
        </w:rPr>
        <w:t>’</w:t>
      </w:r>
      <w:r w:rsidRPr="003B777F">
        <w:rPr>
          <w:rFonts w:ascii="Times New Roman" w:hAnsi="Times New Roman"/>
          <w:sz w:val="24"/>
          <w:szCs w:val="24"/>
        </w:rPr>
        <w:t xml:space="preserve"> and other</w:t>
      </w:r>
      <w:r>
        <w:rPr>
          <w:rFonts w:ascii="Times New Roman" w:hAnsi="Times New Roman"/>
          <w:sz w:val="24"/>
          <w:szCs w:val="24"/>
        </w:rPr>
        <w:t xml:space="preserve"> </w:t>
      </w:r>
      <w:r w:rsidRPr="003B777F">
        <w:rPr>
          <w:rFonts w:ascii="Times New Roman" w:hAnsi="Times New Roman"/>
          <w:sz w:val="24"/>
          <w:szCs w:val="24"/>
        </w:rPr>
        <w:t xml:space="preserve">generally negative posts about protestors, BLM, and the </w:t>
      </w:r>
      <w:r>
        <w:rPr>
          <w:rFonts w:ascii="Times New Roman" w:hAnsi="Times New Roman"/>
          <w:sz w:val="24"/>
          <w:szCs w:val="24"/>
        </w:rPr>
        <w:t>‘</w:t>
      </w:r>
      <w:r w:rsidRPr="003B777F">
        <w:rPr>
          <w:rFonts w:ascii="Times New Roman" w:hAnsi="Times New Roman"/>
          <w:sz w:val="24"/>
          <w:szCs w:val="24"/>
        </w:rPr>
        <w:t>Left agenda</w:t>
      </w:r>
      <w:r>
        <w:rPr>
          <w:rFonts w:ascii="Times New Roman" w:hAnsi="Times New Roman"/>
          <w:sz w:val="24"/>
          <w:szCs w:val="24"/>
        </w:rPr>
        <w:t xml:space="preserve">.’ </w:t>
      </w:r>
    </w:p>
    <w:p w14:paraId="626A47DF" w14:textId="77777777" w:rsidR="008F7EBA" w:rsidRDefault="008F7EBA" w:rsidP="008F7EBA">
      <w:pPr>
        <w:pStyle w:val="NoSpacing"/>
        <w:ind w:left="720"/>
        <w:rPr>
          <w:rFonts w:ascii="Times New Roman" w:hAnsi="Times New Roman"/>
          <w:sz w:val="24"/>
          <w:szCs w:val="24"/>
        </w:rPr>
      </w:pPr>
    </w:p>
    <w:p w14:paraId="22541A91" w14:textId="77777777" w:rsidR="008F7EBA" w:rsidRDefault="008F7EBA" w:rsidP="008F7EBA">
      <w:pPr>
        <w:pStyle w:val="NoSpacing"/>
        <w:ind w:left="720"/>
        <w:rPr>
          <w:rFonts w:ascii="Times New Roman" w:hAnsi="Times New Roman"/>
          <w:sz w:val="24"/>
          <w:szCs w:val="24"/>
        </w:rPr>
      </w:pPr>
      <w:r>
        <w:rPr>
          <w:rFonts w:ascii="Times New Roman" w:hAnsi="Times New Roman"/>
          <w:sz w:val="24"/>
          <w:szCs w:val="24"/>
        </w:rPr>
        <w:t>***</w:t>
      </w:r>
    </w:p>
    <w:p w14:paraId="0F8BFD60" w14:textId="77777777" w:rsidR="008F7EBA" w:rsidRDefault="008F7EBA" w:rsidP="008F7EBA">
      <w:pPr>
        <w:pStyle w:val="NoSpacing"/>
        <w:ind w:left="720"/>
        <w:rPr>
          <w:rFonts w:ascii="Times New Roman" w:hAnsi="Times New Roman"/>
          <w:sz w:val="24"/>
          <w:szCs w:val="24"/>
        </w:rPr>
      </w:pPr>
    </w:p>
    <w:p w14:paraId="08841768" w14:textId="77777777" w:rsidR="008F7EBA" w:rsidRDefault="008F7EBA" w:rsidP="008F7EBA">
      <w:pPr>
        <w:pStyle w:val="NoSpacing"/>
        <w:ind w:left="720"/>
        <w:rPr>
          <w:rFonts w:ascii="Times New Roman" w:hAnsi="Times New Roman"/>
          <w:sz w:val="24"/>
          <w:szCs w:val="24"/>
        </w:rPr>
      </w:pPr>
      <w:r w:rsidRPr="003B777F">
        <w:rPr>
          <w:rFonts w:ascii="Times New Roman" w:hAnsi="Times New Roman"/>
          <w:sz w:val="24"/>
          <w:szCs w:val="24"/>
        </w:rPr>
        <w:t>Defendant filed its motion for summary judgment and memoranda in support, arguing that</w:t>
      </w:r>
      <w:r>
        <w:rPr>
          <w:rFonts w:ascii="Times New Roman" w:hAnsi="Times New Roman"/>
          <w:sz w:val="24"/>
          <w:szCs w:val="24"/>
        </w:rPr>
        <w:t xml:space="preserve"> </w:t>
      </w:r>
      <w:r w:rsidRPr="003B777F">
        <w:rPr>
          <w:rFonts w:ascii="Times New Roman" w:hAnsi="Times New Roman"/>
          <w:sz w:val="24"/>
          <w:szCs w:val="24"/>
        </w:rPr>
        <w:t>(1) Plaintiff’s speech does not receive the highest level of protection under the First Amendment</w:t>
      </w:r>
      <w:r>
        <w:rPr>
          <w:rFonts w:ascii="Times New Roman" w:hAnsi="Times New Roman"/>
          <w:sz w:val="24"/>
          <w:szCs w:val="24"/>
        </w:rPr>
        <w:t xml:space="preserve"> </w:t>
      </w:r>
      <w:r w:rsidRPr="003B777F">
        <w:rPr>
          <w:rFonts w:ascii="Times New Roman" w:hAnsi="Times New Roman"/>
          <w:sz w:val="24"/>
          <w:szCs w:val="24"/>
        </w:rPr>
        <w:t>and (2) under so-called Pickering balancing (as established in Pickering v. Bd. Of Ed. Of Tup. High</w:t>
      </w:r>
      <w:r>
        <w:rPr>
          <w:rFonts w:ascii="Times New Roman" w:hAnsi="Times New Roman"/>
          <w:sz w:val="24"/>
          <w:szCs w:val="24"/>
        </w:rPr>
        <w:t xml:space="preserve"> </w:t>
      </w:r>
      <w:r w:rsidRPr="003B777F">
        <w:rPr>
          <w:rFonts w:ascii="Times New Roman" w:hAnsi="Times New Roman"/>
          <w:sz w:val="24"/>
          <w:szCs w:val="24"/>
        </w:rPr>
        <w:t>Sch. Dist. 205, Will Cnty., 391 U.S. 563, 568 (1968)</w:t>
      </w:r>
      <w:r>
        <w:rPr>
          <w:rFonts w:ascii="Times New Roman" w:hAnsi="Times New Roman"/>
          <w:sz w:val="24"/>
          <w:szCs w:val="24"/>
        </w:rPr>
        <w:t xml:space="preserve"> </w:t>
      </w:r>
      <w:r w:rsidRPr="003B777F">
        <w:rPr>
          <w:rFonts w:ascii="Times New Roman" w:hAnsi="Times New Roman"/>
          <w:sz w:val="24"/>
          <w:szCs w:val="24"/>
        </w:rPr>
        <w:t>(establishing that the Court must weigh the</w:t>
      </w:r>
      <w:r>
        <w:rPr>
          <w:rFonts w:ascii="Times New Roman" w:hAnsi="Times New Roman"/>
          <w:sz w:val="24"/>
          <w:szCs w:val="24"/>
        </w:rPr>
        <w:t xml:space="preserve"> </w:t>
      </w:r>
      <w:r w:rsidRPr="003B777F">
        <w:rPr>
          <w:rFonts w:ascii="Times New Roman" w:hAnsi="Times New Roman"/>
          <w:sz w:val="24"/>
          <w:szCs w:val="24"/>
        </w:rPr>
        <w:t>interests of the state against those of the public official in commenting on matters of public</w:t>
      </w:r>
      <w:r>
        <w:rPr>
          <w:rFonts w:ascii="Times New Roman" w:hAnsi="Times New Roman"/>
          <w:sz w:val="24"/>
          <w:szCs w:val="24"/>
        </w:rPr>
        <w:t xml:space="preserve"> </w:t>
      </w:r>
      <w:r w:rsidRPr="003B777F">
        <w:rPr>
          <w:rFonts w:ascii="Times New Roman" w:hAnsi="Times New Roman"/>
          <w:sz w:val="24"/>
          <w:szCs w:val="24"/>
        </w:rPr>
        <w:t>concern)), the Fire Department’s interest in public trust and efficiency outweigh Plaintiff’s</w:t>
      </w:r>
      <w:r>
        <w:rPr>
          <w:rFonts w:ascii="Times New Roman" w:hAnsi="Times New Roman"/>
          <w:sz w:val="24"/>
          <w:szCs w:val="24"/>
        </w:rPr>
        <w:t xml:space="preserve"> </w:t>
      </w:r>
      <w:r w:rsidRPr="003B777F">
        <w:rPr>
          <w:rFonts w:ascii="Times New Roman" w:hAnsi="Times New Roman"/>
          <w:sz w:val="24"/>
          <w:szCs w:val="24"/>
        </w:rPr>
        <w:t>countervailing speech interests.</w:t>
      </w:r>
    </w:p>
    <w:p w14:paraId="4E82A7DA" w14:textId="77777777" w:rsidR="008F7EBA" w:rsidRDefault="008F7EBA" w:rsidP="008F7EBA">
      <w:pPr>
        <w:pStyle w:val="NoSpacing"/>
        <w:ind w:left="720"/>
        <w:rPr>
          <w:rFonts w:ascii="Times New Roman" w:hAnsi="Times New Roman"/>
          <w:sz w:val="24"/>
          <w:szCs w:val="24"/>
        </w:rPr>
      </w:pPr>
    </w:p>
    <w:p w14:paraId="056E4372" w14:textId="77777777" w:rsidR="008F7EBA" w:rsidRDefault="008F7EBA" w:rsidP="008F7EBA">
      <w:pPr>
        <w:pStyle w:val="NoSpacing"/>
        <w:ind w:left="720"/>
        <w:rPr>
          <w:rFonts w:ascii="Times New Roman" w:hAnsi="Times New Roman"/>
          <w:sz w:val="24"/>
          <w:szCs w:val="24"/>
        </w:rPr>
      </w:pPr>
      <w:r>
        <w:rPr>
          <w:rFonts w:ascii="Times New Roman" w:hAnsi="Times New Roman"/>
          <w:sz w:val="24"/>
          <w:szCs w:val="24"/>
        </w:rPr>
        <w:t>***</w:t>
      </w:r>
    </w:p>
    <w:p w14:paraId="721E1971" w14:textId="77777777" w:rsidR="008F7EBA" w:rsidRDefault="008F7EBA" w:rsidP="008F7EBA">
      <w:pPr>
        <w:pStyle w:val="NoSpacing"/>
        <w:ind w:left="720"/>
        <w:rPr>
          <w:rFonts w:ascii="Times New Roman" w:hAnsi="Times New Roman"/>
          <w:sz w:val="24"/>
          <w:szCs w:val="24"/>
        </w:rPr>
      </w:pPr>
      <w:r w:rsidRPr="00057C7A">
        <w:rPr>
          <w:rFonts w:ascii="Times New Roman" w:hAnsi="Times New Roman"/>
          <w:sz w:val="24"/>
          <w:szCs w:val="24"/>
        </w:rPr>
        <w:t>And although Defendant relies on the testimony of Mark Young</w:t>
      </w:r>
      <w:r>
        <w:rPr>
          <w:rFonts w:ascii="Times New Roman" w:hAnsi="Times New Roman"/>
          <w:sz w:val="24"/>
          <w:szCs w:val="24"/>
        </w:rPr>
        <w:t xml:space="preserve"> [</w:t>
      </w:r>
      <w:r w:rsidRPr="00057C7A">
        <w:rPr>
          <w:rFonts w:ascii="Times New Roman" w:hAnsi="Times New Roman"/>
          <w:sz w:val="24"/>
          <w:szCs w:val="24"/>
        </w:rPr>
        <w:t>president of the local firefighter union</w:t>
      </w:r>
      <w:r>
        <w:rPr>
          <w:rFonts w:ascii="Times New Roman" w:hAnsi="Times New Roman"/>
          <w:sz w:val="24"/>
          <w:szCs w:val="24"/>
        </w:rPr>
        <w:t xml:space="preserve">] </w:t>
      </w:r>
      <w:r w:rsidRPr="00057C7A">
        <w:rPr>
          <w:rFonts w:ascii="Times New Roman" w:hAnsi="Times New Roman"/>
          <w:sz w:val="24"/>
          <w:szCs w:val="24"/>
        </w:rPr>
        <w:t>and Summers</w:t>
      </w:r>
      <w:r>
        <w:rPr>
          <w:rFonts w:ascii="Times New Roman" w:hAnsi="Times New Roman"/>
          <w:sz w:val="24"/>
          <w:szCs w:val="24"/>
        </w:rPr>
        <w:t xml:space="preserve"> [HR Director]</w:t>
      </w:r>
      <w:r w:rsidRPr="00057C7A">
        <w:rPr>
          <w:rFonts w:ascii="Times New Roman" w:hAnsi="Times New Roman"/>
          <w:sz w:val="24"/>
          <w:szCs w:val="24"/>
        </w:rPr>
        <w:t xml:space="preserve"> to establish</w:t>
      </w:r>
      <w:r>
        <w:rPr>
          <w:rFonts w:ascii="Times New Roman" w:hAnsi="Times New Roman"/>
          <w:sz w:val="24"/>
          <w:szCs w:val="24"/>
        </w:rPr>
        <w:t xml:space="preserve"> </w:t>
      </w:r>
      <w:r w:rsidRPr="00057C7A">
        <w:rPr>
          <w:rFonts w:ascii="Times New Roman" w:hAnsi="Times New Roman"/>
          <w:sz w:val="24"/>
          <w:szCs w:val="24"/>
        </w:rPr>
        <w:t>that NFD received many calls, their testimony fails to support that there was disruption to NFD’s</w:t>
      </w:r>
      <w:r>
        <w:rPr>
          <w:rFonts w:ascii="Times New Roman" w:hAnsi="Times New Roman"/>
          <w:sz w:val="24"/>
          <w:szCs w:val="24"/>
        </w:rPr>
        <w:t xml:space="preserve"> </w:t>
      </w:r>
      <w:r w:rsidRPr="00057C7A">
        <w:rPr>
          <w:rFonts w:ascii="Times New Roman" w:hAnsi="Times New Roman"/>
          <w:sz w:val="24"/>
          <w:szCs w:val="24"/>
        </w:rPr>
        <w:t>operations caused by Plaintiff’s speech. Summers testified that to his understanding, there was no</w:t>
      </w:r>
      <w:r>
        <w:rPr>
          <w:rFonts w:ascii="Times New Roman" w:hAnsi="Times New Roman"/>
          <w:sz w:val="24"/>
          <w:szCs w:val="24"/>
        </w:rPr>
        <w:t xml:space="preserve"> </w:t>
      </w:r>
      <w:r w:rsidRPr="00057C7A">
        <w:rPr>
          <w:rFonts w:ascii="Times New Roman" w:hAnsi="Times New Roman"/>
          <w:sz w:val="24"/>
          <w:szCs w:val="24"/>
        </w:rPr>
        <w:t xml:space="preserve">discernible disruption to NFD’s </w:t>
      </w:r>
      <w:r>
        <w:rPr>
          <w:rFonts w:ascii="Times New Roman" w:hAnsi="Times New Roman"/>
          <w:sz w:val="24"/>
          <w:szCs w:val="24"/>
        </w:rPr>
        <w:t>‘</w:t>
      </w:r>
      <w:r w:rsidRPr="00057C7A">
        <w:rPr>
          <w:rFonts w:ascii="Times New Roman" w:hAnsi="Times New Roman"/>
          <w:sz w:val="24"/>
          <w:szCs w:val="24"/>
        </w:rPr>
        <w:t>workflow</w:t>
      </w:r>
      <w:r>
        <w:rPr>
          <w:rFonts w:ascii="Times New Roman" w:hAnsi="Times New Roman"/>
          <w:sz w:val="24"/>
          <w:szCs w:val="24"/>
        </w:rPr>
        <w:t>’</w:t>
      </w:r>
      <w:r w:rsidRPr="00057C7A">
        <w:rPr>
          <w:rFonts w:ascii="Times New Roman" w:hAnsi="Times New Roman"/>
          <w:sz w:val="24"/>
          <w:szCs w:val="24"/>
        </w:rPr>
        <w:t xml:space="preserve"> </w:t>
      </w:r>
      <w:proofErr w:type="gramStart"/>
      <w:r w:rsidRPr="00057C7A">
        <w:rPr>
          <w:rFonts w:ascii="Times New Roman" w:hAnsi="Times New Roman"/>
          <w:sz w:val="24"/>
          <w:szCs w:val="24"/>
        </w:rPr>
        <w:t>as a result of</w:t>
      </w:r>
      <w:proofErr w:type="gramEnd"/>
      <w:r w:rsidRPr="00057C7A">
        <w:rPr>
          <w:rFonts w:ascii="Times New Roman" w:hAnsi="Times New Roman"/>
          <w:sz w:val="24"/>
          <w:szCs w:val="24"/>
        </w:rPr>
        <w:t xml:space="preserve"> that speech</w:t>
      </w:r>
      <w:r>
        <w:rPr>
          <w:rFonts w:ascii="Times New Roman" w:hAnsi="Times New Roman"/>
          <w:sz w:val="24"/>
          <w:szCs w:val="24"/>
        </w:rPr>
        <w:t xml:space="preserve"> … </w:t>
      </w:r>
      <w:r w:rsidRPr="00057C7A">
        <w:rPr>
          <w:rFonts w:ascii="Times New Roman" w:hAnsi="Times New Roman"/>
          <w:sz w:val="24"/>
          <w:szCs w:val="24"/>
        </w:rPr>
        <w:t xml:space="preserve"> and</w:t>
      </w:r>
      <w:r>
        <w:rPr>
          <w:rFonts w:ascii="Times New Roman" w:hAnsi="Times New Roman"/>
          <w:sz w:val="24"/>
          <w:szCs w:val="24"/>
        </w:rPr>
        <w:t xml:space="preserve"> </w:t>
      </w:r>
      <w:r w:rsidRPr="00057C7A">
        <w:rPr>
          <w:rFonts w:ascii="Times New Roman" w:hAnsi="Times New Roman"/>
          <w:sz w:val="24"/>
          <w:szCs w:val="24"/>
        </w:rPr>
        <w:t>Young testified to having no knowledge of the existence of various circumstances (effect on NFD</w:t>
      </w:r>
      <w:r>
        <w:rPr>
          <w:rFonts w:ascii="Times New Roman" w:hAnsi="Times New Roman"/>
          <w:sz w:val="24"/>
          <w:szCs w:val="24"/>
        </w:rPr>
        <w:t xml:space="preserve"> </w:t>
      </w:r>
      <w:r w:rsidRPr="00057C7A">
        <w:rPr>
          <w:rFonts w:ascii="Times New Roman" w:hAnsi="Times New Roman"/>
          <w:sz w:val="24"/>
          <w:szCs w:val="24"/>
        </w:rPr>
        <w:t>morale or close working relationships, unwillingness of NFD personnel to work with Plaintiff,</w:t>
      </w:r>
      <w:r>
        <w:rPr>
          <w:rFonts w:ascii="Times New Roman" w:hAnsi="Times New Roman"/>
          <w:sz w:val="24"/>
          <w:szCs w:val="24"/>
        </w:rPr>
        <w:t xml:space="preserve"> </w:t>
      </w:r>
      <w:r w:rsidRPr="00057C7A">
        <w:rPr>
          <w:rFonts w:ascii="Times New Roman" w:hAnsi="Times New Roman"/>
          <w:sz w:val="24"/>
          <w:szCs w:val="24"/>
        </w:rPr>
        <w:t>impairment of Plaintiff’s own performance as a firefighter, and undermining of NFD’s mission</w:t>
      </w:r>
      <w:r>
        <w:rPr>
          <w:rFonts w:ascii="Times New Roman" w:hAnsi="Times New Roman"/>
          <w:sz w:val="24"/>
          <w:szCs w:val="24"/>
        </w:rPr>
        <w:t xml:space="preserve">) … </w:t>
      </w:r>
      <w:r w:rsidRPr="00057C7A">
        <w:rPr>
          <w:rFonts w:ascii="Times New Roman" w:hAnsi="Times New Roman"/>
          <w:sz w:val="24"/>
          <w:szCs w:val="24"/>
        </w:rPr>
        <w:t xml:space="preserve"> that would be the kinds of things that would cause disruption; the Court</w:t>
      </w:r>
      <w:r>
        <w:rPr>
          <w:rFonts w:ascii="Times New Roman" w:hAnsi="Times New Roman"/>
          <w:sz w:val="24"/>
          <w:szCs w:val="24"/>
        </w:rPr>
        <w:t xml:space="preserve"> </w:t>
      </w:r>
      <w:r w:rsidRPr="00057C7A">
        <w:rPr>
          <w:rFonts w:ascii="Times New Roman" w:hAnsi="Times New Roman"/>
          <w:sz w:val="24"/>
          <w:szCs w:val="24"/>
        </w:rPr>
        <w:t>does not see where his testimony leaves room for an inference of disruption to NFD operations.</w:t>
      </w:r>
      <w:r>
        <w:rPr>
          <w:rFonts w:ascii="Times New Roman" w:hAnsi="Times New Roman"/>
          <w:sz w:val="24"/>
          <w:szCs w:val="24"/>
        </w:rPr>
        <w:t xml:space="preserve"> </w:t>
      </w:r>
      <w:r w:rsidRPr="00057C7A">
        <w:rPr>
          <w:rFonts w:ascii="Times New Roman" w:hAnsi="Times New Roman"/>
          <w:sz w:val="24"/>
          <w:szCs w:val="24"/>
        </w:rPr>
        <w:t>Thus, Defendant has not met its burden in showing that there is no genuine dispute of material fact</w:t>
      </w:r>
      <w:r>
        <w:rPr>
          <w:rFonts w:ascii="Times New Roman" w:hAnsi="Times New Roman"/>
          <w:sz w:val="24"/>
          <w:szCs w:val="24"/>
        </w:rPr>
        <w:t xml:space="preserve"> </w:t>
      </w:r>
      <w:r w:rsidRPr="00057C7A">
        <w:rPr>
          <w:rFonts w:ascii="Times New Roman" w:hAnsi="Times New Roman"/>
          <w:sz w:val="24"/>
          <w:szCs w:val="24"/>
        </w:rPr>
        <w:t>regarding factor (c), and this factor weighs in favor of Plaintiff</w:t>
      </w:r>
      <w:r>
        <w:rPr>
          <w:rFonts w:ascii="Times New Roman" w:hAnsi="Times New Roman"/>
          <w:sz w:val="24"/>
          <w:szCs w:val="24"/>
        </w:rPr>
        <w:t xml:space="preserve">…. </w:t>
      </w:r>
    </w:p>
    <w:p w14:paraId="07C30AA0" w14:textId="77777777" w:rsidR="008F7EBA" w:rsidRPr="000A219B" w:rsidRDefault="008F7EBA" w:rsidP="008F7EBA">
      <w:pPr>
        <w:pStyle w:val="NoSpacing"/>
        <w:ind w:firstLine="720"/>
        <w:rPr>
          <w:rFonts w:ascii="Times New Roman" w:hAnsi="Times New Roman"/>
          <w:sz w:val="24"/>
          <w:szCs w:val="24"/>
        </w:rPr>
      </w:pPr>
      <w:r w:rsidRPr="000A219B">
        <w:rPr>
          <w:rFonts w:ascii="Times New Roman" w:hAnsi="Times New Roman"/>
          <w:sz w:val="24"/>
          <w:szCs w:val="24"/>
        </w:rPr>
        <w:t>For the reasons discussed herein, the Court will deny Defendant’s motion for summary</w:t>
      </w:r>
    </w:p>
    <w:p w14:paraId="607B584A" w14:textId="77777777" w:rsidR="008F7EBA" w:rsidRDefault="008F7EBA" w:rsidP="008F7EBA">
      <w:pPr>
        <w:pStyle w:val="NoSpacing"/>
        <w:ind w:left="720"/>
        <w:rPr>
          <w:rFonts w:ascii="Times New Roman" w:hAnsi="Times New Roman"/>
          <w:sz w:val="24"/>
          <w:szCs w:val="24"/>
        </w:rPr>
      </w:pPr>
      <w:r w:rsidRPr="000A219B">
        <w:rPr>
          <w:rFonts w:ascii="Times New Roman" w:hAnsi="Times New Roman"/>
          <w:sz w:val="24"/>
          <w:szCs w:val="24"/>
        </w:rPr>
        <w:t>Judgment</w:t>
      </w:r>
      <w:r>
        <w:rPr>
          <w:rFonts w:ascii="Times New Roman" w:hAnsi="Times New Roman"/>
          <w:sz w:val="24"/>
          <w:szCs w:val="24"/>
        </w:rPr>
        <w:t xml:space="preserve">. </w:t>
      </w:r>
      <w:hyperlink r:id="rId2585" w:history="1">
        <w:r w:rsidRPr="00C13311">
          <w:rPr>
            <w:rStyle w:val="Hyperlink"/>
            <w:rFonts w:ascii="Times New Roman" w:hAnsi="Times New Roman"/>
            <w:sz w:val="24"/>
            <w:szCs w:val="24"/>
          </w:rPr>
          <w:t>https://cases.justia.com/federal/district-courts/tennessee/tnmdce/3:2021cv00042/85053/46/0.pdf?ts=1695225093</w:t>
        </w:r>
      </w:hyperlink>
      <w:r>
        <w:rPr>
          <w:rFonts w:ascii="Times New Roman" w:hAnsi="Times New Roman"/>
          <w:sz w:val="24"/>
          <w:szCs w:val="24"/>
        </w:rPr>
        <w:t xml:space="preserve"> </w:t>
      </w:r>
    </w:p>
    <w:p w14:paraId="2DE3B735" w14:textId="77777777" w:rsidR="008F7EBA" w:rsidRDefault="008F7EBA" w:rsidP="00F326E5">
      <w:pPr>
        <w:pStyle w:val="NoSpacing"/>
        <w:rPr>
          <w:rFonts w:ascii="Arial Black" w:hAnsi="Arial Black"/>
          <w:sz w:val="24"/>
          <w:szCs w:val="24"/>
        </w:rPr>
      </w:pPr>
    </w:p>
    <w:p w14:paraId="2319F427" w14:textId="77777777" w:rsidR="008F7EBA" w:rsidRPr="00057C7A" w:rsidRDefault="008F7EBA" w:rsidP="008F7EBA">
      <w:pPr>
        <w:pStyle w:val="NoSpacing"/>
        <w:rPr>
          <w:rFonts w:ascii="Times New Roman" w:hAnsi="Times New Roman"/>
          <w:b/>
          <w:bCs/>
          <w:sz w:val="24"/>
          <w:szCs w:val="24"/>
        </w:rPr>
      </w:pPr>
      <w:r w:rsidRPr="00057C7A">
        <w:rPr>
          <w:rFonts w:ascii="Times New Roman" w:hAnsi="Times New Roman"/>
          <w:b/>
          <w:bCs/>
          <w:sz w:val="24"/>
          <w:szCs w:val="24"/>
        </w:rPr>
        <w:t xml:space="preserve">Legal Lesson Learned: </w:t>
      </w:r>
      <w:r>
        <w:rPr>
          <w:rFonts w:ascii="Times New Roman" w:hAnsi="Times New Roman"/>
          <w:b/>
          <w:bCs/>
          <w:sz w:val="24"/>
          <w:szCs w:val="24"/>
        </w:rPr>
        <w:t xml:space="preserve"> The Pickering “balancing test” requires Court to examine the impact on FD of social media posts.  FD officers must be particularly cautious about posts that might appear racial in nature.</w:t>
      </w:r>
    </w:p>
    <w:p w14:paraId="35B84E4A" w14:textId="77777777" w:rsidR="008F7EBA" w:rsidRDefault="008F7EBA" w:rsidP="008F7EBA">
      <w:pPr>
        <w:pStyle w:val="NoSpacing"/>
        <w:rPr>
          <w:rFonts w:ascii="Times New Roman" w:hAnsi="Times New Roman"/>
          <w:sz w:val="24"/>
          <w:szCs w:val="24"/>
        </w:rPr>
      </w:pPr>
    </w:p>
    <w:p w14:paraId="7AA049B7" w14:textId="77777777" w:rsidR="008F7EBA" w:rsidRDefault="008F7EBA" w:rsidP="008F7EBA">
      <w:pPr>
        <w:pStyle w:val="NoSpacing"/>
        <w:rPr>
          <w:rFonts w:ascii="Times New Roman" w:hAnsi="Times New Roman"/>
          <w:sz w:val="24"/>
          <w:szCs w:val="24"/>
        </w:rPr>
      </w:pPr>
      <w:r>
        <w:rPr>
          <w:rFonts w:ascii="Times New Roman" w:hAnsi="Times New Roman"/>
          <w:sz w:val="24"/>
          <w:szCs w:val="24"/>
        </w:rPr>
        <w:tab/>
        <w:t>Note:  See Footnote 10 of the opinion:</w:t>
      </w:r>
    </w:p>
    <w:p w14:paraId="7238F3B4" w14:textId="77777777" w:rsidR="008F7EBA" w:rsidRDefault="008F7EBA" w:rsidP="008F7EBA">
      <w:pPr>
        <w:pStyle w:val="NoSpacing"/>
        <w:rPr>
          <w:rFonts w:ascii="Times New Roman" w:hAnsi="Times New Roman"/>
          <w:sz w:val="24"/>
          <w:szCs w:val="24"/>
        </w:rPr>
      </w:pPr>
    </w:p>
    <w:p w14:paraId="0DEA34E8" w14:textId="77777777" w:rsidR="008F7EBA" w:rsidRDefault="008F7EBA" w:rsidP="008F7EBA">
      <w:pPr>
        <w:pStyle w:val="NoSpacing"/>
        <w:ind w:left="1440"/>
        <w:rPr>
          <w:rFonts w:ascii="Times New Roman" w:hAnsi="Times New Roman"/>
          <w:sz w:val="24"/>
          <w:szCs w:val="24"/>
        </w:rPr>
      </w:pPr>
      <w:r>
        <w:rPr>
          <w:rFonts w:ascii="Times New Roman" w:hAnsi="Times New Roman"/>
          <w:sz w:val="24"/>
          <w:szCs w:val="24"/>
        </w:rPr>
        <w:t>“</w:t>
      </w:r>
      <w:r w:rsidRPr="00E2462F">
        <w:rPr>
          <w:rFonts w:ascii="Times New Roman" w:hAnsi="Times New Roman"/>
          <w:sz w:val="24"/>
          <w:szCs w:val="24"/>
        </w:rPr>
        <w:t>The Court declines to opine on whether these comments were necessarily racially biased, in the sense of</w:t>
      </w:r>
      <w:r>
        <w:rPr>
          <w:rFonts w:ascii="Times New Roman" w:hAnsi="Times New Roman"/>
          <w:sz w:val="24"/>
          <w:szCs w:val="24"/>
        </w:rPr>
        <w:t xml:space="preserve"> </w:t>
      </w:r>
      <w:r w:rsidRPr="00E2462F">
        <w:rPr>
          <w:rFonts w:ascii="Times New Roman" w:hAnsi="Times New Roman"/>
          <w:sz w:val="24"/>
          <w:szCs w:val="24"/>
        </w:rPr>
        <w:t>reflecting bias against Black members of the community, or whether instead they reflected a bias only</w:t>
      </w:r>
      <w:r>
        <w:rPr>
          <w:rFonts w:ascii="Times New Roman" w:hAnsi="Times New Roman"/>
          <w:sz w:val="24"/>
          <w:szCs w:val="24"/>
        </w:rPr>
        <w:t xml:space="preserve"> </w:t>
      </w:r>
      <w:r w:rsidRPr="00E2462F">
        <w:rPr>
          <w:rFonts w:ascii="Times New Roman" w:hAnsi="Times New Roman"/>
          <w:sz w:val="24"/>
          <w:szCs w:val="24"/>
        </w:rPr>
        <w:t>against two kinds of individuals —rioters, and members and supporters of Black Lives Matter—that, to say</w:t>
      </w:r>
      <w:r>
        <w:rPr>
          <w:rFonts w:ascii="Times New Roman" w:hAnsi="Times New Roman"/>
          <w:sz w:val="24"/>
          <w:szCs w:val="24"/>
        </w:rPr>
        <w:t xml:space="preserve"> </w:t>
      </w:r>
      <w:r w:rsidRPr="00E2462F">
        <w:rPr>
          <w:rFonts w:ascii="Times New Roman" w:hAnsi="Times New Roman"/>
          <w:sz w:val="24"/>
          <w:szCs w:val="24"/>
        </w:rPr>
        <w:t>the very least, obviously include persons who are not Black.</w:t>
      </w:r>
      <w:r>
        <w:rPr>
          <w:rFonts w:ascii="Times New Roman" w:hAnsi="Times New Roman"/>
          <w:sz w:val="24"/>
          <w:szCs w:val="24"/>
        </w:rPr>
        <w:t>”</w:t>
      </w:r>
    </w:p>
    <w:p w14:paraId="19578138" w14:textId="77777777" w:rsidR="008F7EBA" w:rsidRDefault="008F7EBA" w:rsidP="00F326E5">
      <w:pPr>
        <w:pStyle w:val="NoSpacing"/>
        <w:rPr>
          <w:rFonts w:ascii="Arial Black" w:hAnsi="Arial Black"/>
          <w:sz w:val="24"/>
          <w:szCs w:val="24"/>
        </w:rPr>
      </w:pPr>
    </w:p>
    <w:p w14:paraId="08EB4090" w14:textId="67037E16" w:rsidR="008F7EBA" w:rsidRDefault="008F7EBA" w:rsidP="00F326E5">
      <w:pPr>
        <w:pStyle w:val="NoSpacing"/>
        <w:rPr>
          <w:rFonts w:ascii="Arial Black" w:hAnsi="Arial Black"/>
          <w:sz w:val="24"/>
          <w:szCs w:val="24"/>
        </w:rPr>
      </w:pPr>
      <w:r>
        <w:rPr>
          <w:rFonts w:ascii="Arial Black" w:hAnsi="Arial Black"/>
          <w:sz w:val="24"/>
          <w:szCs w:val="24"/>
        </w:rPr>
        <w:t>16-93</w:t>
      </w:r>
    </w:p>
    <w:p w14:paraId="5298DF02" w14:textId="77777777" w:rsidR="008F7EBA" w:rsidRDefault="008F7EBA" w:rsidP="00F326E5">
      <w:pPr>
        <w:pStyle w:val="NoSpacing"/>
        <w:rPr>
          <w:rFonts w:ascii="Arial Black" w:hAnsi="Arial Black"/>
          <w:sz w:val="24"/>
          <w:szCs w:val="24"/>
        </w:rPr>
      </w:pPr>
    </w:p>
    <w:p w14:paraId="042E905A" w14:textId="77777777" w:rsidR="008F7EBA" w:rsidRPr="00E87A47" w:rsidRDefault="008F7EBA" w:rsidP="008F7EBA">
      <w:pPr>
        <w:rPr>
          <w:rFonts w:ascii="Arial Black" w:eastAsia="Times New Roman" w:hAnsi="Arial Black" w:cs="Segoe UI"/>
          <w:sz w:val="28"/>
          <w:szCs w:val="28"/>
        </w:rPr>
      </w:pPr>
      <w:r>
        <w:rPr>
          <w:rFonts w:ascii="Arial Black" w:eastAsia="Times New Roman" w:hAnsi="Arial Black" w:cs="Segoe UI"/>
          <w:sz w:val="28"/>
          <w:szCs w:val="28"/>
        </w:rPr>
        <w:t xml:space="preserve">NC: CHILD SEXUAL ASSAULTED BY FF AT FD – 24-30 YRS PRISON – VICTIM CAN NOW SUE WITHIN  2-YRS FF CONV. </w:t>
      </w:r>
    </w:p>
    <w:p w14:paraId="09647D7A" w14:textId="77777777" w:rsidR="008F7EBA" w:rsidRDefault="008F7EBA" w:rsidP="008F7EBA">
      <w:pPr>
        <w:pStyle w:val="NoSpacing"/>
        <w:rPr>
          <w:rFonts w:ascii="Times New Roman" w:hAnsi="Times New Roman"/>
          <w:sz w:val="24"/>
          <w:szCs w:val="24"/>
        </w:rPr>
      </w:pPr>
      <w:r w:rsidRPr="00040EC5">
        <w:rPr>
          <w:rFonts w:ascii="Times New Roman" w:hAnsi="Times New Roman"/>
          <w:sz w:val="24"/>
          <w:szCs w:val="24"/>
        </w:rPr>
        <w:t xml:space="preserve">On Sept. 12, 2023, in </w:t>
      </w:r>
      <w:r w:rsidRPr="00040EC5">
        <w:rPr>
          <w:rFonts w:ascii="Times New Roman" w:hAnsi="Times New Roman"/>
          <w:sz w:val="24"/>
          <w:szCs w:val="24"/>
          <w:u w:val="single"/>
        </w:rPr>
        <w:t>Michael Taylor v. The Piney Grove Volunteer Fire And Rescue Department, Inc., et al.</w:t>
      </w:r>
      <w:r w:rsidRPr="00040EC5">
        <w:rPr>
          <w:rFonts w:ascii="Times New Roman" w:hAnsi="Times New Roman"/>
          <w:sz w:val="24"/>
          <w:szCs w:val="24"/>
        </w:rPr>
        <w:t xml:space="preserve">, the Court of Appeals of North Carolina held (2 to 1) that the State Legislature can lawfully expand the statute of limitation for juveniles to sue </w:t>
      </w:r>
      <w:r>
        <w:rPr>
          <w:rFonts w:ascii="Times New Roman" w:hAnsi="Times New Roman"/>
          <w:sz w:val="24"/>
          <w:szCs w:val="24"/>
        </w:rPr>
        <w:t xml:space="preserve">when they become adults </w:t>
      </w:r>
      <w:r w:rsidRPr="00040EC5">
        <w:rPr>
          <w:rFonts w:ascii="Times New Roman" w:hAnsi="Times New Roman"/>
          <w:sz w:val="24"/>
          <w:szCs w:val="24"/>
        </w:rPr>
        <w:t xml:space="preserve">for child sexual abuse under the Sexual Assault Fast </w:t>
      </w:r>
      <w:r>
        <w:rPr>
          <w:rFonts w:ascii="Times New Roman" w:hAnsi="Times New Roman"/>
          <w:sz w:val="24"/>
          <w:szCs w:val="24"/>
        </w:rPr>
        <w:t>R</w:t>
      </w:r>
      <w:r w:rsidRPr="00040EC5">
        <w:rPr>
          <w:rFonts w:ascii="Times New Roman" w:hAnsi="Times New Roman"/>
          <w:sz w:val="24"/>
          <w:szCs w:val="24"/>
        </w:rPr>
        <w:t xml:space="preserve">eporting </w:t>
      </w:r>
      <w:r>
        <w:rPr>
          <w:rFonts w:ascii="Times New Roman" w:hAnsi="Times New Roman"/>
          <w:sz w:val="24"/>
          <w:szCs w:val="24"/>
        </w:rPr>
        <w:t>A</w:t>
      </w:r>
      <w:r w:rsidRPr="00040EC5">
        <w:rPr>
          <w:rFonts w:ascii="Times New Roman" w:hAnsi="Times New Roman"/>
          <w:sz w:val="24"/>
          <w:szCs w:val="24"/>
        </w:rPr>
        <w:t>nd Enforcement Act</w:t>
      </w:r>
      <w:r>
        <w:rPr>
          <w:rFonts w:ascii="Times New Roman" w:hAnsi="Times New Roman"/>
          <w:sz w:val="24"/>
          <w:szCs w:val="24"/>
        </w:rPr>
        <w:t xml:space="preserve"> (“</w:t>
      </w:r>
      <w:r w:rsidRPr="00040EC5">
        <w:rPr>
          <w:rFonts w:ascii="Times New Roman" w:hAnsi="Times New Roman"/>
          <w:sz w:val="24"/>
          <w:szCs w:val="24"/>
        </w:rPr>
        <w:t xml:space="preserve">SAFE Child Act”).  </w:t>
      </w:r>
      <w:r>
        <w:rPr>
          <w:rFonts w:ascii="Times New Roman" w:hAnsi="Times New Roman"/>
          <w:sz w:val="24"/>
          <w:szCs w:val="24"/>
        </w:rPr>
        <w:t>The North Carolina legislature amended the law to give child victims the right to sue two years after the conviction of the assailant. Michael Taylor turned 18 in April 2000; under prior law he had three years to sue the assailant (April 2003).  Under new statute, he could sue two years after the conviction of his assailant.  The firefighter pled guilty in 2019 to multiple counts of sexual assault and is now serving 24-to-</w:t>
      </w:r>
      <w:proofErr w:type="gramStart"/>
      <w:r>
        <w:rPr>
          <w:rFonts w:ascii="Times New Roman" w:hAnsi="Times New Roman"/>
          <w:sz w:val="24"/>
          <w:szCs w:val="24"/>
        </w:rPr>
        <w:t>30 year</w:t>
      </w:r>
      <w:proofErr w:type="gramEnd"/>
      <w:r>
        <w:rPr>
          <w:rFonts w:ascii="Times New Roman" w:hAnsi="Times New Roman"/>
          <w:sz w:val="24"/>
          <w:szCs w:val="24"/>
        </w:rPr>
        <w:t xml:space="preserve"> sentence in state prison.  The Court held that this lawsuit was timely filed on March 4, 2020.  </w:t>
      </w:r>
    </w:p>
    <w:p w14:paraId="6F2E6E4F" w14:textId="77777777" w:rsidR="008F7EBA" w:rsidRDefault="008F7EBA" w:rsidP="008F7EBA">
      <w:pPr>
        <w:pStyle w:val="NoSpacing"/>
        <w:rPr>
          <w:rFonts w:ascii="Times New Roman" w:hAnsi="Times New Roman"/>
          <w:sz w:val="24"/>
          <w:szCs w:val="24"/>
        </w:rPr>
      </w:pPr>
    </w:p>
    <w:p w14:paraId="634AC75B" w14:textId="77777777" w:rsidR="008F7EBA" w:rsidRDefault="008F7EBA" w:rsidP="008F7EBA">
      <w:pPr>
        <w:pStyle w:val="NoSpacing"/>
        <w:ind w:left="720" w:firstLine="60"/>
        <w:rPr>
          <w:rFonts w:ascii="Times New Roman" w:hAnsi="Times New Roman"/>
          <w:sz w:val="24"/>
          <w:szCs w:val="24"/>
        </w:rPr>
      </w:pPr>
      <w:r w:rsidRPr="00040EC5">
        <w:rPr>
          <w:rFonts w:ascii="Times New Roman" w:hAnsi="Times New Roman"/>
          <w:sz w:val="24"/>
          <w:szCs w:val="24"/>
        </w:rPr>
        <w:t>“Because we agree with Appellants that the North Carolina Constitution does not prohibit the General Assembly from reviving Plaintiff’s civil claims under the SAFE Child Act as set forth in McKinney, we reverse and remand the trial court’s order for further proceedings not inconsistent with this opinion.</w:t>
      </w:r>
    </w:p>
    <w:p w14:paraId="46CED53C" w14:textId="77777777" w:rsidR="008F7EBA" w:rsidRDefault="008F7EBA" w:rsidP="008F7EBA">
      <w:pPr>
        <w:pStyle w:val="NoSpacing"/>
        <w:ind w:left="720" w:firstLine="60"/>
        <w:rPr>
          <w:rFonts w:ascii="Times New Roman" w:hAnsi="Times New Roman"/>
          <w:sz w:val="24"/>
          <w:szCs w:val="24"/>
        </w:rPr>
      </w:pPr>
    </w:p>
    <w:p w14:paraId="07D73D36" w14:textId="77777777" w:rsidR="008F7EBA" w:rsidRDefault="008F7EBA" w:rsidP="008F7EBA">
      <w:pPr>
        <w:pStyle w:val="NoSpacing"/>
        <w:ind w:left="720" w:firstLine="60"/>
        <w:rPr>
          <w:rFonts w:ascii="Times New Roman" w:hAnsi="Times New Roman"/>
          <w:sz w:val="24"/>
          <w:szCs w:val="24"/>
        </w:rPr>
      </w:pPr>
      <w:r>
        <w:rPr>
          <w:rFonts w:ascii="Times New Roman" w:hAnsi="Times New Roman"/>
          <w:sz w:val="24"/>
          <w:szCs w:val="24"/>
        </w:rPr>
        <w:t>***</w:t>
      </w:r>
    </w:p>
    <w:p w14:paraId="6753EEFF" w14:textId="77777777" w:rsidR="008F7EBA" w:rsidRDefault="008F7EBA" w:rsidP="008F7EBA">
      <w:pPr>
        <w:pStyle w:val="NoSpacing"/>
        <w:ind w:left="720"/>
        <w:rPr>
          <w:rFonts w:ascii="Times New Roman" w:hAnsi="Times New Roman"/>
          <w:sz w:val="24"/>
          <w:szCs w:val="24"/>
        </w:rPr>
      </w:pPr>
      <w:r w:rsidRPr="002A67C8">
        <w:rPr>
          <w:rFonts w:ascii="Times New Roman" w:hAnsi="Times New Roman"/>
          <w:sz w:val="24"/>
          <w:szCs w:val="24"/>
        </w:rPr>
        <w:t>In the 2000s, 2010s, and early 2020s—and largely after Plaintiff’s tort claims</w:t>
      </w:r>
      <w:r>
        <w:rPr>
          <w:rFonts w:ascii="Times New Roman" w:hAnsi="Times New Roman"/>
          <w:sz w:val="24"/>
          <w:szCs w:val="24"/>
        </w:rPr>
        <w:t xml:space="preserve"> </w:t>
      </w:r>
      <w:r w:rsidRPr="002A67C8">
        <w:rPr>
          <w:rFonts w:ascii="Times New Roman" w:hAnsi="Times New Roman"/>
          <w:sz w:val="24"/>
          <w:szCs w:val="24"/>
        </w:rPr>
        <w:t>had expired—scientific research into childhood sexual trauma solidified around two</w:t>
      </w:r>
      <w:r>
        <w:rPr>
          <w:rFonts w:ascii="Times New Roman" w:hAnsi="Times New Roman"/>
          <w:sz w:val="24"/>
          <w:szCs w:val="24"/>
        </w:rPr>
        <w:t xml:space="preserve"> </w:t>
      </w:r>
      <w:r w:rsidRPr="002A67C8">
        <w:rPr>
          <w:rFonts w:ascii="Times New Roman" w:hAnsi="Times New Roman"/>
          <w:sz w:val="24"/>
          <w:szCs w:val="24"/>
        </w:rPr>
        <w:t>key facts: (1) victims of childhood sexual abuse frequently delayed disclosure of their</w:t>
      </w:r>
      <w:r>
        <w:rPr>
          <w:rFonts w:ascii="Times New Roman" w:hAnsi="Times New Roman"/>
          <w:sz w:val="24"/>
          <w:szCs w:val="24"/>
        </w:rPr>
        <w:t xml:space="preserve"> </w:t>
      </w:r>
      <w:r w:rsidRPr="002A67C8">
        <w:rPr>
          <w:rFonts w:ascii="Times New Roman" w:hAnsi="Times New Roman"/>
          <w:sz w:val="24"/>
          <w:szCs w:val="24"/>
        </w:rPr>
        <w:t>trauma well into adulthood; and (2) the abuse frequently resulted in lifelong injury</w:t>
      </w:r>
      <w:r>
        <w:rPr>
          <w:rFonts w:ascii="Times New Roman" w:hAnsi="Times New Roman"/>
          <w:sz w:val="24"/>
          <w:szCs w:val="24"/>
        </w:rPr>
        <w:t xml:space="preserve">…. </w:t>
      </w:r>
      <w:r w:rsidRPr="002A67C8">
        <w:rPr>
          <w:rFonts w:ascii="Times New Roman" w:hAnsi="Times New Roman"/>
          <w:sz w:val="24"/>
          <w:szCs w:val="24"/>
        </w:rPr>
        <w:t>Legislatures across the country responded to these scientific developments</w:t>
      </w:r>
      <w:r>
        <w:rPr>
          <w:rFonts w:ascii="Times New Roman" w:hAnsi="Times New Roman"/>
          <w:sz w:val="24"/>
          <w:szCs w:val="24"/>
        </w:rPr>
        <w:t xml:space="preserve"> </w:t>
      </w:r>
      <w:r w:rsidRPr="002A67C8">
        <w:rPr>
          <w:rFonts w:ascii="Times New Roman" w:hAnsi="Times New Roman"/>
          <w:sz w:val="24"/>
          <w:szCs w:val="24"/>
        </w:rPr>
        <w:t>by, among other actions, enacting statutes reviving stale civil claims for child sexual</w:t>
      </w:r>
      <w:r>
        <w:rPr>
          <w:rFonts w:ascii="Times New Roman" w:hAnsi="Times New Roman"/>
          <w:sz w:val="24"/>
          <w:szCs w:val="24"/>
        </w:rPr>
        <w:t xml:space="preserve"> </w:t>
      </w:r>
      <w:r w:rsidRPr="002A67C8">
        <w:rPr>
          <w:rFonts w:ascii="Times New Roman" w:hAnsi="Times New Roman"/>
          <w:sz w:val="24"/>
          <w:szCs w:val="24"/>
        </w:rPr>
        <w:t>abuse that had previously expired under the applicable statutes of limitation.</w:t>
      </w:r>
      <w:r>
        <w:rPr>
          <w:rFonts w:ascii="Times New Roman" w:hAnsi="Times New Roman"/>
          <w:sz w:val="24"/>
          <w:szCs w:val="24"/>
        </w:rPr>
        <w:t xml:space="preserve">” </w:t>
      </w:r>
    </w:p>
    <w:p w14:paraId="1A049730" w14:textId="77777777" w:rsidR="008F7EBA" w:rsidRPr="00040EC5" w:rsidRDefault="008F7EBA" w:rsidP="008F7EBA">
      <w:pPr>
        <w:pStyle w:val="NoSpacing"/>
        <w:ind w:left="720" w:firstLine="60"/>
        <w:rPr>
          <w:rFonts w:ascii="Times New Roman" w:hAnsi="Times New Roman"/>
          <w:sz w:val="24"/>
          <w:szCs w:val="24"/>
        </w:rPr>
      </w:pPr>
      <w:hyperlink r:id="rId2586" w:history="1">
        <w:r w:rsidRPr="002230B5">
          <w:rPr>
            <w:rStyle w:val="Hyperlink"/>
            <w:rFonts w:ascii="Times New Roman" w:hAnsi="Times New Roman"/>
            <w:sz w:val="24"/>
            <w:szCs w:val="24"/>
          </w:rPr>
          <w:t>https://cases.justia.com/north-carolina/court-of-appeals/2023-22-259.pdf?ts=1694553709</w:t>
        </w:r>
      </w:hyperlink>
      <w:r w:rsidRPr="00040EC5">
        <w:rPr>
          <w:rFonts w:ascii="Times New Roman" w:hAnsi="Times New Roman"/>
          <w:sz w:val="24"/>
          <w:szCs w:val="24"/>
        </w:rPr>
        <w:t xml:space="preserve"> </w:t>
      </w:r>
    </w:p>
    <w:p w14:paraId="52BA10CC" w14:textId="77777777" w:rsidR="008F7EBA" w:rsidRDefault="008F7EBA" w:rsidP="008F7EBA">
      <w:pPr>
        <w:pStyle w:val="NoSpacing"/>
        <w:rPr>
          <w:rFonts w:ascii="Times New Roman" w:hAnsi="Times New Roman"/>
          <w:b/>
          <w:bCs/>
          <w:sz w:val="24"/>
          <w:szCs w:val="24"/>
        </w:rPr>
      </w:pPr>
    </w:p>
    <w:p w14:paraId="7D98C8DC" w14:textId="402B2869" w:rsidR="008F7EBA" w:rsidRPr="002A67C8" w:rsidRDefault="008F7EBA" w:rsidP="008F7EBA">
      <w:pPr>
        <w:pStyle w:val="NoSpacing"/>
        <w:rPr>
          <w:rFonts w:ascii="Times New Roman" w:hAnsi="Times New Roman"/>
          <w:b/>
          <w:bCs/>
          <w:sz w:val="24"/>
          <w:szCs w:val="24"/>
        </w:rPr>
      </w:pPr>
      <w:r w:rsidRPr="002A67C8">
        <w:rPr>
          <w:rFonts w:ascii="Times New Roman" w:hAnsi="Times New Roman"/>
          <w:b/>
          <w:bCs/>
          <w:sz w:val="24"/>
          <w:szCs w:val="24"/>
        </w:rPr>
        <w:t>Legal Lesson Learned:</w:t>
      </w:r>
      <w:r>
        <w:rPr>
          <w:rFonts w:ascii="Times New Roman" w:hAnsi="Times New Roman"/>
          <w:b/>
          <w:bCs/>
          <w:sz w:val="24"/>
          <w:szCs w:val="24"/>
        </w:rPr>
        <w:t xml:space="preserve"> Many state legislatures have likewise expanded the statute of limitations for victims of sexual assault as children. </w:t>
      </w:r>
    </w:p>
    <w:p w14:paraId="695E9F13" w14:textId="77777777" w:rsidR="008F7EBA" w:rsidRDefault="008F7EBA" w:rsidP="008F7EBA">
      <w:pPr>
        <w:pStyle w:val="NoSpacing"/>
        <w:ind w:left="720"/>
        <w:rPr>
          <w:rFonts w:ascii="Times New Roman" w:hAnsi="Times New Roman"/>
          <w:sz w:val="24"/>
          <w:szCs w:val="24"/>
        </w:rPr>
      </w:pPr>
    </w:p>
    <w:p w14:paraId="6E097F2E" w14:textId="77777777" w:rsidR="008F7EBA" w:rsidRPr="00842639" w:rsidRDefault="008F7EBA" w:rsidP="008F7EBA">
      <w:pPr>
        <w:pStyle w:val="NoSpacing"/>
        <w:ind w:left="720"/>
        <w:rPr>
          <w:rFonts w:ascii="Times New Roman" w:hAnsi="Times New Roman"/>
          <w:sz w:val="24"/>
          <w:szCs w:val="24"/>
        </w:rPr>
      </w:pPr>
      <w:r w:rsidRPr="00842639">
        <w:rPr>
          <w:rFonts w:ascii="Times New Roman" w:hAnsi="Times New Roman"/>
          <w:sz w:val="24"/>
          <w:szCs w:val="24"/>
        </w:rPr>
        <w:t xml:space="preserve">Note: See June 26, </w:t>
      </w:r>
      <w:proofErr w:type="gramStart"/>
      <w:r w:rsidRPr="00842639">
        <w:rPr>
          <w:rFonts w:ascii="Times New Roman" w:hAnsi="Times New Roman"/>
          <w:sz w:val="24"/>
          <w:szCs w:val="24"/>
        </w:rPr>
        <w:t>2019</w:t>
      </w:r>
      <w:proofErr w:type="gramEnd"/>
      <w:r w:rsidRPr="00842639">
        <w:rPr>
          <w:rFonts w:ascii="Times New Roman" w:hAnsi="Times New Roman"/>
          <w:sz w:val="24"/>
          <w:szCs w:val="24"/>
        </w:rPr>
        <w:t xml:space="preserve"> article, 'He stole my innocence, my childhood, my virginity:' Former YMCA counselor convicted of child sex abuse.” A search warrant revealed at least eight possible victims, one of them who was 10 years old at the time.  </w:t>
      </w:r>
      <w:hyperlink r:id="rId2587" w:history="1">
        <w:r w:rsidRPr="00842639">
          <w:rPr>
            <w:rStyle w:val="Hyperlink"/>
            <w:rFonts w:ascii="Times New Roman" w:hAnsi="Times New Roman"/>
            <w:sz w:val="24"/>
            <w:szCs w:val="24"/>
          </w:rPr>
          <w:t>https://www.wxii12.com/article/former-ymca-counselor-volunteer-firefighter-pleads-guilty-to-sexually-assaulting-young-boys/28196918</w:t>
        </w:r>
      </w:hyperlink>
      <w:r w:rsidRPr="00842639">
        <w:rPr>
          <w:rFonts w:ascii="Times New Roman" w:hAnsi="Times New Roman"/>
          <w:sz w:val="24"/>
          <w:szCs w:val="24"/>
        </w:rPr>
        <w:t xml:space="preserve"> </w:t>
      </w:r>
    </w:p>
    <w:p w14:paraId="7D60FB66" w14:textId="77777777" w:rsidR="008F7EBA" w:rsidRDefault="008F7EBA" w:rsidP="008F7EBA">
      <w:pPr>
        <w:pStyle w:val="NormalWeb"/>
      </w:pPr>
    </w:p>
    <w:p w14:paraId="7BDB1E76" w14:textId="77777777" w:rsidR="008F7EBA" w:rsidRDefault="008F7EBA" w:rsidP="00F326E5">
      <w:pPr>
        <w:pStyle w:val="NoSpacing"/>
        <w:rPr>
          <w:rFonts w:ascii="Arial Black" w:hAnsi="Arial Black"/>
          <w:sz w:val="24"/>
          <w:szCs w:val="24"/>
        </w:rPr>
      </w:pPr>
    </w:p>
    <w:p w14:paraId="55B7855A" w14:textId="77777777" w:rsidR="008F7EBA" w:rsidRDefault="008F7EBA" w:rsidP="00F326E5">
      <w:pPr>
        <w:pStyle w:val="NoSpacing"/>
        <w:rPr>
          <w:rFonts w:ascii="Arial Black" w:hAnsi="Arial Black"/>
          <w:sz w:val="24"/>
          <w:szCs w:val="24"/>
        </w:rPr>
      </w:pPr>
    </w:p>
    <w:p w14:paraId="3C17A371" w14:textId="4D050C59" w:rsidR="009B0593" w:rsidRDefault="009B0593" w:rsidP="00F326E5">
      <w:pPr>
        <w:pStyle w:val="NoSpacing"/>
        <w:rPr>
          <w:rFonts w:ascii="Arial Black" w:hAnsi="Arial Black"/>
          <w:sz w:val="24"/>
          <w:szCs w:val="24"/>
        </w:rPr>
      </w:pPr>
      <w:r>
        <w:rPr>
          <w:rFonts w:ascii="Arial Black" w:hAnsi="Arial Black"/>
          <w:sz w:val="24"/>
          <w:szCs w:val="24"/>
        </w:rPr>
        <w:t>16-92</w:t>
      </w:r>
    </w:p>
    <w:p w14:paraId="45AECEE9" w14:textId="77777777" w:rsidR="009B0593" w:rsidRDefault="009B0593" w:rsidP="009B0593">
      <w:pPr>
        <w:pStyle w:val="NormalWeb"/>
        <w:rPr>
          <w:rFonts w:ascii="Arial Black" w:hAnsi="Arial Black"/>
          <w:b/>
          <w:bCs/>
          <w:sz w:val="28"/>
          <w:szCs w:val="28"/>
        </w:rPr>
      </w:pPr>
      <w:r>
        <w:rPr>
          <w:rFonts w:ascii="Arial Black" w:hAnsi="Arial Black"/>
          <w:b/>
          <w:bCs/>
          <w:sz w:val="28"/>
          <w:szCs w:val="28"/>
        </w:rPr>
        <w:t>CA: BORDER PATROL SUPERVISOR ARRESTED AT BAR - FALSELY TOLD EMS DIABETIC 1 – FIRED LACK CANDOR</w:t>
      </w:r>
    </w:p>
    <w:p w14:paraId="5E44AA5E" w14:textId="77777777" w:rsidR="009B0593" w:rsidRDefault="009B0593" w:rsidP="009B0593">
      <w:pPr>
        <w:pStyle w:val="NormalWeb"/>
      </w:pPr>
      <w:r>
        <w:t xml:space="preserve">On Aug. 18, 2023, in </w:t>
      </w:r>
      <w:r w:rsidRPr="00425C38">
        <w:rPr>
          <w:u w:val="single"/>
        </w:rPr>
        <w:t>Nick Santos v. Department of Homeland Security</w:t>
      </w:r>
      <w:r>
        <w:t xml:space="preserve">, the United States of America Merit Systems Protection Board (2 to 0) reversed Administrative Law Judge and upheld the termination of the Agent for lack of candor. </w:t>
      </w:r>
    </w:p>
    <w:p w14:paraId="0B48BD4E" w14:textId="77777777" w:rsidR="009B0593" w:rsidRDefault="009B0593" w:rsidP="009B0593">
      <w:pPr>
        <w:pStyle w:val="NormalWeb"/>
      </w:pPr>
      <w:r>
        <w:tab/>
        <w:t>The Board held:</w:t>
      </w:r>
    </w:p>
    <w:p w14:paraId="0093150F" w14:textId="77777777" w:rsidR="009B0593" w:rsidRPr="009B0593" w:rsidRDefault="009B0593" w:rsidP="009B0593">
      <w:pPr>
        <w:pStyle w:val="NormalWeb"/>
        <w:ind w:left="720"/>
      </w:pPr>
      <w:r>
        <w:t xml:space="preserve">“In this case, the agency has provided evidence that the appellant's </w:t>
      </w:r>
      <w:proofErr w:type="gramStart"/>
      <w:r>
        <w:t>off-duty</w:t>
      </w:r>
      <w:proofErr w:type="gramEnd"/>
      <w:r>
        <w:t xml:space="preserve"> conduct adversely affected its trust and confidence in the appellant's ability to serve as a Supervisory Border Patrol Agent. *** We have considered relevant mitigating factors, including the appellant's length of service, his record of performance-based awards, and the rehabilitative potential evidenced by his willingness to admit to conduct unbecoming. However, considering that the sustained charge of lack of candor could potentially result in the appellant's </w:t>
      </w:r>
      <w:r>
        <w:rPr>
          <w:rStyle w:val="Emphasis"/>
        </w:rPr>
        <w:t>Giglio</w:t>
      </w:r>
      <w:r>
        <w:t xml:space="preserve"> impairment [footnote 4] it is doubtful that an alternative sanction, such as a suspension or demotion to a nonsupervisory law enforcement position, would be a viable option in this case. We find that the penalty of </w:t>
      </w:r>
      <w:r w:rsidRPr="009B0593">
        <w:t>removal is within the bounds of reasonableness, and we therefore sustain it.</w:t>
      </w:r>
    </w:p>
    <w:p w14:paraId="6FF92FE1" w14:textId="259B8B03" w:rsidR="009B0593" w:rsidRPr="009B0593" w:rsidRDefault="009B0593" w:rsidP="009B0593">
      <w:pPr>
        <w:pStyle w:val="NoSpacing"/>
        <w:ind w:left="720"/>
        <w:rPr>
          <w:rFonts w:ascii="Times New Roman" w:hAnsi="Times New Roman"/>
          <w:sz w:val="24"/>
          <w:szCs w:val="24"/>
        </w:rPr>
      </w:pPr>
      <w:r w:rsidRPr="009B0593">
        <w:rPr>
          <w:rFonts w:ascii="Times New Roman" w:hAnsi="Times New Roman"/>
          <w:sz w:val="24"/>
          <w:szCs w:val="24"/>
        </w:rPr>
        <w:t xml:space="preserve">Footnote 4: </w:t>
      </w:r>
      <w:r w:rsidRPr="009B0593">
        <w:rPr>
          <w:rFonts w:ascii="Times New Roman" w:eastAsiaTheme="minorHAnsi" w:hAnsi="Times New Roman"/>
          <w:kern w:val="2"/>
          <w:sz w:val="24"/>
          <w:szCs w:val="24"/>
          <w14:ligatures w14:val="standardContextual"/>
        </w:rPr>
        <w:t xml:space="preserve">In </w:t>
      </w:r>
      <w:r w:rsidRPr="009B0593">
        <w:rPr>
          <w:rFonts w:ascii="Times New Roman" w:eastAsiaTheme="minorHAnsi" w:hAnsi="Times New Roman"/>
          <w:i/>
          <w:iCs/>
          <w:kern w:val="2"/>
          <w:sz w:val="24"/>
          <w:szCs w:val="24"/>
          <w14:ligatures w14:val="standardContextual"/>
        </w:rPr>
        <w:t>Giglio v. United States</w:t>
      </w:r>
      <w:r w:rsidRPr="009B0593">
        <w:rPr>
          <w:rFonts w:ascii="Times New Roman" w:eastAsiaTheme="minorHAnsi" w:hAnsi="Times New Roman"/>
          <w:kern w:val="2"/>
          <w:sz w:val="24"/>
          <w:szCs w:val="24"/>
          <w14:ligatures w14:val="standardContextual"/>
        </w:rPr>
        <w:t xml:space="preserve">, 405 U.S. 150, 154 (1972), the Supreme Court held that the Government must disclose evidence affecting the credibility of Government witnesses. Subsequent case law has extended this rule to require Government agencies to review the personnel files of Government witnesses and disclose material that could cast doubt on their credibility or potential for bias. </w:t>
      </w:r>
      <w:r w:rsidRPr="009B0593">
        <w:rPr>
          <w:rFonts w:ascii="Times New Roman" w:eastAsiaTheme="minorHAnsi" w:hAnsi="Times New Roman"/>
          <w:i/>
          <w:iCs/>
          <w:kern w:val="2"/>
          <w:sz w:val="24"/>
          <w:szCs w:val="24"/>
          <w14:ligatures w14:val="standardContextual"/>
        </w:rPr>
        <w:t>See United States v. Henthorn</w:t>
      </w:r>
      <w:r w:rsidRPr="009B0593">
        <w:rPr>
          <w:rFonts w:ascii="Times New Roman" w:eastAsiaTheme="minorHAnsi" w:hAnsi="Times New Roman"/>
          <w:kern w:val="2"/>
          <w:sz w:val="24"/>
          <w:szCs w:val="24"/>
          <w14:ligatures w14:val="standardContextual"/>
        </w:rPr>
        <w:t xml:space="preserve">, 931 F.2d 29, 30-31 (9th Cir. 1991).” </w:t>
      </w:r>
      <w:hyperlink r:id="rId2588" w:history="1">
        <w:r w:rsidRPr="009B0593">
          <w:rPr>
            <w:rStyle w:val="Hyperlink"/>
            <w:rFonts w:ascii="Times New Roman" w:eastAsiaTheme="majorEastAsia" w:hAnsi="Times New Roman"/>
            <w:sz w:val="24"/>
            <w:szCs w:val="24"/>
          </w:rPr>
          <w:t>https://www.mspb.gov/decisions/nonprecedential/SANTOS_NICK_SF_0752_20_0114_I_1_FINAL_ORDER_2060932.pdf</w:t>
        </w:r>
      </w:hyperlink>
    </w:p>
    <w:p w14:paraId="2173CA09" w14:textId="77777777" w:rsidR="009B0593" w:rsidRDefault="009B0593" w:rsidP="00F326E5">
      <w:pPr>
        <w:pStyle w:val="NoSpacing"/>
        <w:rPr>
          <w:rFonts w:ascii="Arial Black" w:hAnsi="Arial Black"/>
          <w:sz w:val="24"/>
          <w:szCs w:val="24"/>
        </w:rPr>
      </w:pPr>
    </w:p>
    <w:p w14:paraId="7AD918E2" w14:textId="77777777" w:rsidR="009B0593" w:rsidRDefault="009B0593" w:rsidP="009B0593">
      <w:pPr>
        <w:rPr>
          <w:rFonts w:ascii="Times New Roman" w:hAnsi="Times New Roman"/>
          <w:b/>
          <w:bCs/>
          <w:sz w:val="24"/>
          <w:szCs w:val="24"/>
        </w:rPr>
      </w:pPr>
      <w:r w:rsidRPr="0060003D">
        <w:rPr>
          <w:rFonts w:ascii="Times New Roman" w:hAnsi="Times New Roman"/>
          <w:b/>
          <w:bCs/>
          <w:sz w:val="24"/>
          <w:szCs w:val="24"/>
        </w:rPr>
        <w:t xml:space="preserve">Legal Lesson Learned: </w:t>
      </w:r>
      <w:r>
        <w:rPr>
          <w:rFonts w:ascii="Times New Roman" w:hAnsi="Times New Roman"/>
          <w:b/>
          <w:bCs/>
          <w:sz w:val="24"/>
          <w:szCs w:val="24"/>
        </w:rPr>
        <w:t xml:space="preserve"> Under the U.S. Supreme Court’s decision in Giglio v. United States. if this Supervisor Agent testifies in a criminal case the Government may need to disclose the “lack of candor” administrative charge.</w:t>
      </w:r>
    </w:p>
    <w:p w14:paraId="243AB25B" w14:textId="759C8F68" w:rsidR="009B0593" w:rsidRDefault="009B0593" w:rsidP="009B0593">
      <w:pPr>
        <w:pStyle w:val="NoSpacing"/>
        <w:ind w:left="720"/>
        <w:rPr>
          <w:rFonts w:ascii="Arial Black" w:hAnsi="Arial Black"/>
          <w:sz w:val="24"/>
          <w:szCs w:val="24"/>
        </w:rPr>
      </w:pPr>
      <w:r>
        <w:rPr>
          <w:rFonts w:ascii="Times New Roman" w:hAnsi="Times New Roman"/>
          <w:sz w:val="24"/>
          <w:szCs w:val="24"/>
        </w:rPr>
        <w:t xml:space="preserve">Note: </w:t>
      </w:r>
      <w:r w:rsidRPr="00B07F0E">
        <w:rPr>
          <w:rFonts w:ascii="Times New Roman" w:hAnsi="Times New Roman"/>
          <w:sz w:val="24"/>
          <w:szCs w:val="24"/>
        </w:rPr>
        <w:t xml:space="preserve">In </w:t>
      </w:r>
      <w:r w:rsidRPr="00B07F0E">
        <w:rPr>
          <w:rStyle w:val="Strong"/>
          <w:rFonts w:ascii="Times New Roman" w:hAnsi="Times New Roman"/>
          <w:sz w:val="24"/>
          <w:szCs w:val="24"/>
          <w:u w:val="single"/>
        </w:rPr>
        <w:t>Giglio v. United States</w:t>
      </w:r>
      <w:r w:rsidRPr="00B07F0E">
        <w:rPr>
          <w:rStyle w:val="Strong"/>
          <w:rFonts w:ascii="Times New Roman" w:hAnsi="Times New Roman"/>
          <w:sz w:val="24"/>
          <w:szCs w:val="24"/>
        </w:rPr>
        <w:t xml:space="preserve">, </w:t>
      </w:r>
      <w:hyperlink r:id="rId2589" w:history="1">
        <w:r w:rsidRPr="00B07F0E">
          <w:rPr>
            <w:rStyle w:val="Hyperlink"/>
            <w:rFonts w:ascii="Times New Roman" w:hAnsi="Times New Roman"/>
            <w:sz w:val="24"/>
            <w:szCs w:val="24"/>
          </w:rPr>
          <w:t>405 U.S. 150</w:t>
        </w:r>
      </w:hyperlink>
      <w:r w:rsidRPr="00B07F0E">
        <w:rPr>
          <w:rStyle w:val="Strong"/>
          <w:rFonts w:ascii="Times New Roman" w:hAnsi="Times New Roman"/>
          <w:sz w:val="24"/>
          <w:szCs w:val="24"/>
        </w:rPr>
        <w:t xml:space="preserve"> (1972), the U.S. Supreme Court </w:t>
      </w:r>
      <w:r>
        <w:rPr>
          <w:rStyle w:val="Strong"/>
          <w:rFonts w:ascii="Times New Roman" w:hAnsi="Times New Roman"/>
          <w:sz w:val="24"/>
          <w:szCs w:val="24"/>
        </w:rPr>
        <w:t xml:space="preserve">reversed the conviction of </w:t>
      </w:r>
      <w:r w:rsidRPr="00B07F0E">
        <w:rPr>
          <w:rFonts w:ascii="Times New Roman" w:eastAsia="Times New Roman" w:hAnsi="Times New Roman"/>
          <w:sz w:val="24"/>
          <w:szCs w:val="24"/>
        </w:rPr>
        <w:t xml:space="preserve">passing forged money </w:t>
      </w:r>
      <w:proofErr w:type="gramStart"/>
      <w:r w:rsidRPr="00B07F0E">
        <w:rPr>
          <w:rFonts w:ascii="Times New Roman" w:eastAsia="Times New Roman" w:hAnsi="Times New Roman"/>
          <w:sz w:val="24"/>
          <w:szCs w:val="24"/>
        </w:rPr>
        <w:t>orders, and</w:t>
      </w:r>
      <w:proofErr w:type="gramEnd"/>
      <w:r w:rsidRPr="00B07F0E">
        <w:rPr>
          <w:rFonts w:ascii="Times New Roman" w:eastAsia="Times New Roman" w:hAnsi="Times New Roman"/>
          <w:sz w:val="24"/>
          <w:szCs w:val="24"/>
        </w:rPr>
        <w:t xml:space="preserve"> </w:t>
      </w:r>
      <w:r>
        <w:rPr>
          <w:rFonts w:ascii="Times New Roman" w:eastAsia="Times New Roman" w:hAnsi="Times New Roman"/>
          <w:sz w:val="24"/>
          <w:szCs w:val="24"/>
        </w:rPr>
        <w:t xml:space="preserve">ordered a new trial.  </w:t>
      </w:r>
      <w:r w:rsidRPr="00B07F0E">
        <w:rPr>
          <w:rFonts w:ascii="Times New Roman" w:eastAsia="Times New Roman" w:hAnsi="Times New Roman"/>
          <w:sz w:val="24"/>
          <w:szCs w:val="24"/>
        </w:rPr>
        <w:t xml:space="preserve">While appeal was pending in the Court of Appeals, defense counsel discovered new evidence indicating that the Government had failed to disclose an alleged promise made to its key witness [bank teller who gave defendant </w:t>
      </w:r>
      <w:r w:rsidRPr="00B07F0E">
        <w:rPr>
          <w:rStyle w:val="headertext"/>
          <w:rFonts w:ascii="Times New Roman" w:hAnsi="Times New Roman"/>
          <w:sz w:val="24"/>
          <w:szCs w:val="24"/>
        </w:rPr>
        <w:t>one of the bank's customer signature cards]</w:t>
      </w:r>
      <w:r w:rsidRPr="00B07F0E">
        <w:rPr>
          <w:rFonts w:ascii="Times New Roman" w:eastAsia="Times New Roman" w:hAnsi="Times New Roman"/>
          <w:sz w:val="24"/>
          <w:szCs w:val="24"/>
        </w:rPr>
        <w:t xml:space="preserve"> that he would not be prosecuted if he testified for the Government.</w:t>
      </w:r>
      <w:r>
        <w:rPr>
          <w:rFonts w:ascii="Times New Roman" w:eastAsia="Times New Roman" w:hAnsi="Times New Roman"/>
          <w:sz w:val="24"/>
          <w:szCs w:val="24"/>
        </w:rPr>
        <w:t xml:space="preserve"> </w:t>
      </w:r>
      <w:hyperlink r:id="rId2590" w:history="1">
        <w:r w:rsidRPr="003B4116">
          <w:rPr>
            <w:rStyle w:val="Hyperlink"/>
            <w:rFonts w:ascii="Times New Roman" w:hAnsi="Times New Roman"/>
            <w:sz w:val="24"/>
            <w:szCs w:val="24"/>
          </w:rPr>
          <w:t>https://supreme.justia.com/cases/federal/us/405/150/</w:t>
        </w:r>
      </w:hyperlink>
    </w:p>
    <w:p w14:paraId="7BFD5CB6" w14:textId="77777777" w:rsidR="009B0593" w:rsidRDefault="009B0593" w:rsidP="00F326E5">
      <w:pPr>
        <w:pStyle w:val="NoSpacing"/>
        <w:rPr>
          <w:rFonts w:ascii="Arial Black" w:hAnsi="Arial Black"/>
          <w:sz w:val="24"/>
          <w:szCs w:val="24"/>
        </w:rPr>
      </w:pPr>
    </w:p>
    <w:p w14:paraId="0FB525D4" w14:textId="77777777" w:rsidR="0055155D" w:rsidRDefault="0055155D" w:rsidP="00F326E5">
      <w:pPr>
        <w:pStyle w:val="NoSpacing"/>
        <w:rPr>
          <w:rFonts w:ascii="Arial Black" w:hAnsi="Arial Black"/>
          <w:sz w:val="24"/>
          <w:szCs w:val="24"/>
        </w:rPr>
      </w:pPr>
    </w:p>
    <w:p w14:paraId="045E7499" w14:textId="43A44342" w:rsidR="009B0593" w:rsidRDefault="009B0593" w:rsidP="00F326E5">
      <w:pPr>
        <w:pStyle w:val="NoSpacing"/>
        <w:rPr>
          <w:rFonts w:ascii="Arial Black" w:hAnsi="Arial Black"/>
          <w:sz w:val="24"/>
          <w:szCs w:val="24"/>
        </w:rPr>
      </w:pPr>
      <w:r>
        <w:rPr>
          <w:rFonts w:ascii="Arial Black" w:hAnsi="Arial Black"/>
          <w:sz w:val="24"/>
          <w:szCs w:val="24"/>
        </w:rPr>
        <w:t>16-91</w:t>
      </w:r>
    </w:p>
    <w:p w14:paraId="40BF1727" w14:textId="77777777" w:rsidR="0055155D" w:rsidRDefault="0055155D" w:rsidP="00F326E5">
      <w:pPr>
        <w:pStyle w:val="NoSpacing"/>
        <w:rPr>
          <w:rFonts w:ascii="Arial Black" w:hAnsi="Arial Black"/>
          <w:sz w:val="24"/>
          <w:szCs w:val="24"/>
        </w:rPr>
      </w:pPr>
    </w:p>
    <w:p w14:paraId="4D050A68" w14:textId="77777777" w:rsidR="0055155D" w:rsidRPr="00C5347C" w:rsidRDefault="0055155D" w:rsidP="0055155D">
      <w:pPr>
        <w:pStyle w:val="NormalWeb"/>
        <w:rPr>
          <w:rFonts w:ascii="Arial Black" w:hAnsi="Arial Black"/>
          <w:b/>
          <w:bCs/>
          <w:sz w:val="28"/>
          <w:szCs w:val="28"/>
        </w:rPr>
      </w:pPr>
      <w:r>
        <w:rPr>
          <w:rFonts w:ascii="Arial Black" w:hAnsi="Arial Black"/>
          <w:b/>
          <w:bCs/>
          <w:sz w:val="28"/>
          <w:szCs w:val="28"/>
        </w:rPr>
        <w:t xml:space="preserve">TX: SIX FFs FIRED – OUTSIDE INVEST. THEY HARRASED CO-WORKERS – NOT RETALIATION UNION REQ. CHANGE SHIFT </w:t>
      </w:r>
    </w:p>
    <w:p w14:paraId="556D0375" w14:textId="77777777" w:rsidR="0055155D" w:rsidRDefault="0055155D" w:rsidP="0055155D">
      <w:pPr>
        <w:pStyle w:val="NormalWeb"/>
      </w:pPr>
      <w:r>
        <w:t xml:space="preserve">On Aug. 15, 2023, in </w:t>
      </w:r>
      <w:r w:rsidRPr="00C5347C">
        <w:rPr>
          <w:u w:val="single"/>
        </w:rPr>
        <w:t>Stan Kozlowsi, et al. v. William Buck, individually and in his official capacity as Fire Chief, et al</w:t>
      </w:r>
      <w:r>
        <w:t>., the U.S. Court of Appeals for 5</w:t>
      </w:r>
      <w:r w:rsidRPr="00C5347C">
        <w:rPr>
          <w:vertAlign w:val="superscript"/>
        </w:rPr>
        <w:t>th</w:t>
      </w:r>
      <w:r>
        <w:t xml:space="preserve"> Circuit (New Orlean), held (3 to 0) that the U.S. District Court judge properly dismissed their lawsuit.  The FD used an outside investigator to investigate allegations of harassment.  There was no proof of retaliation because union officers pushed for a shift change; the discipline was imposed nine months after Fire Chief approved union request for shift change.   </w:t>
      </w:r>
    </w:p>
    <w:p w14:paraId="522A8AE0" w14:textId="77777777" w:rsidR="0055155D" w:rsidRDefault="0055155D" w:rsidP="0055155D">
      <w:pPr>
        <w:pStyle w:val="NormalWeb"/>
        <w:ind w:left="720"/>
      </w:pPr>
      <w:r>
        <w:t>Court of Appeals held: “The firefighters insist they were disciplined because of their union activities. But their claims rest on speculation and hearsay. Because that is not enough to establish a genuine dispute of material fact as to causation, we AFFIRM.”</w:t>
      </w:r>
      <w:r w:rsidRPr="00A6118A">
        <w:t xml:space="preserve"> </w:t>
      </w:r>
      <w:hyperlink r:id="rId2591" w:history="1">
        <w:r w:rsidRPr="00955A98">
          <w:rPr>
            <w:rStyle w:val="Hyperlink"/>
            <w:rFonts w:eastAsiaTheme="majorEastAsia"/>
          </w:rPr>
          <w:t>https://law.justia.com/cases/federal/appellate-courts/ca5/22-40438/22-40438-2023-08-15.html</w:t>
        </w:r>
      </w:hyperlink>
      <w:r>
        <w:t xml:space="preserve"> </w:t>
      </w:r>
    </w:p>
    <w:p w14:paraId="4738EBFC" w14:textId="77777777" w:rsidR="0055155D" w:rsidRDefault="0055155D" w:rsidP="0055155D">
      <w:pPr>
        <w:pStyle w:val="NormalWeb"/>
        <w:rPr>
          <w:b/>
          <w:bCs/>
        </w:rPr>
      </w:pPr>
      <w:r w:rsidRPr="00B64C15">
        <w:rPr>
          <w:b/>
          <w:bCs/>
        </w:rPr>
        <w:t xml:space="preserve">Legal Lesson Learned: FD may retain an outside investigator to review complaints of harassment. </w:t>
      </w:r>
    </w:p>
    <w:p w14:paraId="49C95D17" w14:textId="77777777" w:rsidR="0055155D" w:rsidRDefault="0055155D" w:rsidP="00F326E5">
      <w:pPr>
        <w:pStyle w:val="NoSpacing"/>
        <w:rPr>
          <w:rFonts w:ascii="Arial Black" w:hAnsi="Arial Black"/>
          <w:sz w:val="24"/>
          <w:szCs w:val="24"/>
        </w:rPr>
      </w:pPr>
    </w:p>
    <w:p w14:paraId="76C7C136" w14:textId="77777777" w:rsidR="009B0593" w:rsidRDefault="009B0593" w:rsidP="00F326E5">
      <w:pPr>
        <w:pStyle w:val="NoSpacing"/>
        <w:rPr>
          <w:rFonts w:ascii="Arial Black" w:hAnsi="Arial Black"/>
          <w:sz w:val="24"/>
          <w:szCs w:val="24"/>
        </w:rPr>
      </w:pPr>
    </w:p>
    <w:p w14:paraId="18381D8D" w14:textId="36ABC595" w:rsidR="00F771FA" w:rsidRDefault="00F771FA" w:rsidP="00F326E5">
      <w:pPr>
        <w:pStyle w:val="NoSpacing"/>
        <w:rPr>
          <w:rFonts w:ascii="Arial Black" w:hAnsi="Arial Black"/>
          <w:sz w:val="24"/>
          <w:szCs w:val="24"/>
        </w:rPr>
      </w:pPr>
      <w:r>
        <w:rPr>
          <w:rFonts w:ascii="Arial Black" w:hAnsi="Arial Black"/>
          <w:sz w:val="24"/>
          <w:szCs w:val="24"/>
        </w:rPr>
        <w:t>16-90</w:t>
      </w:r>
    </w:p>
    <w:p w14:paraId="7657200C" w14:textId="77777777" w:rsidR="00F771FA" w:rsidRPr="008F62D2" w:rsidRDefault="00F771FA" w:rsidP="00F771FA">
      <w:pPr>
        <w:pStyle w:val="NormalWeb"/>
        <w:rPr>
          <w:rFonts w:ascii="Arial Black" w:hAnsi="Arial Black"/>
          <w:sz w:val="28"/>
          <w:szCs w:val="28"/>
        </w:rPr>
      </w:pPr>
      <w:r>
        <w:rPr>
          <w:rFonts w:ascii="Arial Black" w:hAnsi="Arial Black"/>
          <w:sz w:val="28"/>
          <w:szCs w:val="28"/>
        </w:rPr>
        <w:t>FL: B/C FIRED – NO WHISTLEBLOWER PROTECTION – REFUSED ORDER TO REPRIMAND FFs COVID VACCINATION</w:t>
      </w:r>
    </w:p>
    <w:p w14:paraId="077573AF" w14:textId="77777777" w:rsidR="00F771FA" w:rsidRPr="00F771FA" w:rsidRDefault="00F771FA" w:rsidP="00F771FA">
      <w:pPr>
        <w:pStyle w:val="NormalWeb"/>
      </w:pPr>
      <w:r w:rsidRPr="00F771FA">
        <w:t xml:space="preserve">On July 25, 2023, in </w:t>
      </w:r>
      <w:r w:rsidRPr="00F771FA">
        <w:rPr>
          <w:u w:val="single"/>
        </w:rPr>
        <w:t>Stephen M. Davis v. Orange County</w:t>
      </w:r>
      <w:r w:rsidRPr="00F771FA">
        <w:t xml:space="preserve">, U.S. District Court Judge Paul G. Byron. for Middle District of Florida, Orlando Division, granted the County’s motion to dismiss, holding that Florida Whistleblower Act only protects officers who refuse to follow an order that would create a “substantial and specific danger to the public's health, safety, or welfare.”  On October 5, 2021, Assistant Chief Kimberly Buffkin gave an order to the Battalion Chiefs to issue written reprimands for those employees on a provided list for failure to comply with the vaccination policy [FF not facing further discipline].  Battalion Chief Davis thought some on his list had complied, and he met with Assistant Chief and when he refused to issue </w:t>
      </w:r>
      <w:proofErr w:type="gramStart"/>
      <w:r w:rsidRPr="00F771FA">
        <w:t>reprimands</w:t>
      </w:r>
      <w:proofErr w:type="gramEnd"/>
      <w:r w:rsidRPr="00F771FA">
        <w:t xml:space="preserve"> he was immediately suspended and later fired on Oct. 13, </w:t>
      </w:r>
      <w:proofErr w:type="gramStart"/>
      <w:r w:rsidRPr="00F771FA">
        <w:t>2021</w:t>
      </w:r>
      <w:proofErr w:type="gramEnd"/>
      <w:r w:rsidRPr="00F771FA">
        <w:t xml:space="preserve"> after a pre-determination hearing. The Battalion Chief had previously joined a lawsuit in State court challenging any discipline of firefighters who refused to get vaccinated.  After his termination he went to arbitration and the arbitrator ruled against him. </w:t>
      </w:r>
    </w:p>
    <w:p w14:paraId="3FE3B5D9" w14:textId="77777777" w:rsidR="00F771FA" w:rsidRPr="00F771FA" w:rsidRDefault="00F771FA" w:rsidP="00F771FA">
      <w:pPr>
        <w:pStyle w:val="NormalWeb"/>
      </w:pPr>
      <w:r w:rsidRPr="00F771FA">
        <w:t xml:space="preserve">The Court held: </w:t>
      </w:r>
    </w:p>
    <w:p w14:paraId="1DC4254B" w14:textId="77777777" w:rsidR="00F771FA" w:rsidRPr="00F771FA" w:rsidRDefault="00F771FA" w:rsidP="00F771FA">
      <w:pPr>
        <w:pStyle w:val="NormalWeb"/>
      </w:pPr>
      <w:r w:rsidRPr="00F771FA">
        <w:t xml:space="preserve">“[N]o reasonable person in Plaintiff's position would have believed that Defendant would not wipe out this discipline from the records of its employees who did, in fact, comply with the policy after its human resource lists were accurately updated as Defendant, through Assistant Chief Buffkin, had reiterated would occur. </w:t>
      </w:r>
    </w:p>
    <w:p w14:paraId="08D77176" w14:textId="77777777" w:rsidR="00F771FA" w:rsidRPr="00F771FA" w:rsidRDefault="00F771FA" w:rsidP="00F771FA">
      <w:pPr>
        <w:pStyle w:val="NormalWeb"/>
      </w:pPr>
      <w:r w:rsidRPr="00F771FA">
        <w:t>***</w:t>
      </w:r>
    </w:p>
    <w:p w14:paraId="76741DB8" w14:textId="4C286CB8" w:rsidR="00F771FA" w:rsidRPr="00F771FA" w:rsidRDefault="00F771FA" w:rsidP="00F771FA">
      <w:pPr>
        <w:pStyle w:val="NoSpacing"/>
        <w:rPr>
          <w:rStyle w:val="Hyperlink"/>
          <w:rFonts w:ascii="Times New Roman" w:eastAsiaTheme="majorEastAsia" w:hAnsi="Times New Roman"/>
          <w:sz w:val="24"/>
          <w:szCs w:val="24"/>
        </w:rPr>
      </w:pPr>
      <w:r w:rsidRPr="00F771FA">
        <w:rPr>
          <w:rFonts w:ascii="Times New Roman" w:hAnsi="Times New Roman"/>
          <w:sz w:val="24"/>
          <w:szCs w:val="24"/>
        </w:rPr>
        <w:t xml:space="preserve">What is more, the insinuation that such a bureaucratic snafu could have plausibly created a ‘substantial and specific danger to the public's health, safety, or welfare’ is not tenable. </w:t>
      </w:r>
      <w:r w:rsidRPr="00F771FA">
        <w:rPr>
          <w:rStyle w:val="Emphasis"/>
          <w:rFonts w:ascii="Times New Roman" w:hAnsi="Times New Roman"/>
          <w:sz w:val="24"/>
          <w:szCs w:val="24"/>
        </w:rPr>
        <w:t>Id.</w:t>
      </w:r>
      <w:r w:rsidRPr="00F771FA">
        <w:rPr>
          <w:rFonts w:ascii="Times New Roman" w:hAnsi="Times New Roman"/>
          <w:sz w:val="24"/>
          <w:szCs w:val="24"/>
        </w:rPr>
        <w:t xml:space="preserve"> Accordingly, Plaintiff fails to plausibly allege he engaged in protected activity under the FWA [Florida Whistleblower Act] and thus fails to state such a claim.” </w:t>
      </w:r>
      <w:hyperlink r:id="rId2592" w:history="1">
        <w:r w:rsidRPr="00F771FA">
          <w:rPr>
            <w:rStyle w:val="Hyperlink"/>
            <w:rFonts w:ascii="Times New Roman" w:eastAsiaTheme="majorEastAsia" w:hAnsi="Times New Roman"/>
            <w:sz w:val="24"/>
            <w:szCs w:val="24"/>
          </w:rPr>
          <w:t>https://public.fastcase.com/ZZhmr5v9wN%2FXOe5IsQ%2FqD51KXiWhfZ5Tknms713VsyNiKeidGSjUYd5fLyeguf86yRHn46LHKSVIqu1aE%2FP%2F4wzm%2Bs9CN3Gxx%2Fta1hJ8xsU%3D?utm_medium=email&amp;_hsmi=226712652&amp;_hsenc=p2ANqtz--6hfqXp_6GwCwKFg5My80cUvTOTZgLDUuB3F-yLygp7svvTJd39SzNL3yXkJv1N0M6expfT3HAdh1FcYblCg0-pEKOfg&amp;utm_content=226712652&amp;utm_source=hs_email</w:t>
        </w:r>
      </w:hyperlink>
    </w:p>
    <w:p w14:paraId="65FEB787" w14:textId="77777777" w:rsidR="00F771FA" w:rsidRDefault="00F771FA" w:rsidP="00F771FA">
      <w:pPr>
        <w:pStyle w:val="NoSpacing"/>
        <w:rPr>
          <w:rStyle w:val="Hyperlink"/>
          <w:rFonts w:eastAsiaTheme="majorEastAsia"/>
        </w:rPr>
      </w:pPr>
    </w:p>
    <w:p w14:paraId="7736A1B1" w14:textId="77777777" w:rsidR="00F771FA" w:rsidRPr="00A95E8C" w:rsidRDefault="00F771FA" w:rsidP="00F771FA">
      <w:pPr>
        <w:pStyle w:val="NormalWeb"/>
        <w:rPr>
          <w:b/>
          <w:bCs/>
        </w:rPr>
      </w:pPr>
      <w:r w:rsidRPr="00A95E8C">
        <w:rPr>
          <w:b/>
          <w:bCs/>
        </w:rPr>
        <w:t>Legal Lesson Learned: The Florida whistleblower act allows refusal of an order only if following the order would have either created a “substantial and specific danger to the public's health, safety, or welfare” or constituted an “act or suspected act of gross mismanagement, malfeasance, misfeasance, gross waste of public funds, . . . or gross neglect of duty.” FLA. STAT. § 112.3187(5).</w:t>
      </w:r>
    </w:p>
    <w:p w14:paraId="0B7734F0" w14:textId="77777777" w:rsidR="00F771FA" w:rsidRDefault="00F771FA" w:rsidP="00F771FA">
      <w:pPr>
        <w:pStyle w:val="NoSpacing"/>
        <w:rPr>
          <w:rFonts w:ascii="Arial Black" w:hAnsi="Arial Black"/>
          <w:sz w:val="24"/>
          <w:szCs w:val="24"/>
        </w:rPr>
      </w:pPr>
    </w:p>
    <w:p w14:paraId="10F4071B" w14:textId="77777777" w:rsidR="00F771FA" w:rsidRDefault="00F771FA" w:rsidP="00F326E5">
      <w:pPr>
        <w:pStyle w:val="NoSpacing"/>
        <w:rPr>
          <w:rFonts w:ascii="Arial Black" w:hAnsi="Arial Black"/>
          <w:sz w:val="24"/>
          <w:szCs w:val="24"/>
        </w:rPr>
      </w:pPr>
    </w:p>
    <w:p w14:paraId="10B8D94A" w14:textId="3BD26185" w:rsidR="00D33F96" w:rsidRDefault="00D33F96" w:rsidP="00F326E5">
      <w:pPr>
        <w:pStyle w:val="NoSpacing"/>
        <w:rPr>
          <w:rFonts w:ascii="Arial Black" w:hAnsi="Arial Black"/>
          <w:sz w:val="24"/>
          <w:szCs w:val="24"/>
        </w:rPr>
      </w:pPr>
      <w:r>
        <w:rPr>
          <w:rFonts w:ascii="Arial Black" w:hAnsi="Arial Black"/>
          <w:sz w:val="24"/>
          <w:szCs w:val="24"/>
        </w:rPr>
        <w:t>16-89</w:t>
      </w:r>
    </w:p>
    <w:p w14:paraId="3001C671" w14:textId="77777777" w:rsidR="00F771FA" w:rsidRDefault="00F771FA" w:rsidP="00F326E5">
      <w:pPr>
        <w:pStyle w:val="NoSpacing"/>
        <w:rPr>
          <w:rFonts w:ascii="Arial Black" w:hAnsi="Arial Black"/>
          <w:sz w:val="24"/>
          <w:szCs w:val="24"/>
        </w:rPr>
      </w:pPr>
    </w:p>
    <w:p w14:paraId="39DE11FC" w14:textId="77777777" w:rsidR="00D33F96" w:rsidRDefault="00D33F96" w:rsidP="00D33F96">
      <w:pPr>
        <w:rPr>
          <w:rFonts w:ascii="Arial Black" w:hAnsi="Arial Black"/>
          <w:sz w:val="28"/>
          <w:szCs w:val="28"/>
        </w:rPr>
      </w:pPr>
      <w:r>
        <w:rPr>
          <w:rFonts w:ascii="Arial Black" w:hAnsi="Arial Black"/>
          <w:sz w:val="28"/>
          <w:szCs w:val="28"/>
        </w:rPr>
        <w:t>NY: STATE PASSES “FF BILL OF RIGHTS” LAW – INDEP.  HEARING OFFICERS FOR DISCIPLINE - CASE REMANDED</w:t>
      </w:r>
    </w:p>
    <w:p w14:paraId="1764CCDD" w14:textId="77777777" w:rsidR="00D33F96" w:rsidRDefault="00D33F96" w:rsidP="00D33F96">
      <w:pPr>
        <w:rPr>
          <w:rFonts w:ascii="Times New Roman" w:hAnsi="Times New Roman"/>
          <w:sz w:val="24"/>
          <w:szCs w:val="24"/>
        </w:rPr>
      </w:pPr>
      <w:r>
        <w:rPr>
          <w:rFonts w:ascii="Times New Roman" w:hAnsi="Times New Roman"/>
          <w:sz w:val="24"/>
          <w:szCs w:val="24"/>
        </w:rPr>
        <w:t xml:space="preserve">On June 22, 2023, </w:t>
      </w:r>
      <w:r w:rsidRPr="00655D75">
        <w:rPr>
          <w:rFonts w:ascii="Times New Roman" w:hAnsi="Times New Roman"/>
          <w:sz w:val="24"/>
          <w:szCs w:val="24"/>
          <w:u w:val="single"/>
        </w:rPr>
        <w:t>In The Matter of Local 32, International Association of Firefighters, AFL-CIO, Utica Professional Firefighters Association v. New York State Public Employment Relations Board</w:t>
      </w:r>
      <w:r>
        <w:rPr>
          <w:rFonts w:ascii="Times New Roman" w:hAnsi="Times New Roman"/>
          <w:sz w:val="24"/>
          <w:szCs w:val="24"/>
        </w:rPr>
        <w:t xml:space="preserve">, the Supreme Court of New York, Third Department, held (5 to 0) that in light of new State law, PERS </w:t>
      </w:r>
      <w:r w:rsidRPr="00FD3278">
        <w:rPr>
          <w:rFonts w:ascii="Times New Roman" w:hAnsi="Times New Roman"/>
          <w:sz w:val="24"/>
          <w:szCs w:val="24"/>
        </w:rPr>
        <w:t>[New York Public Employment Relations Board]</w:t>
      </w:r>
      <w:r>
        <w:rPr>
          <w:rFonts w:ascii="Times New Roman" w:hAnsi="Times New Roman"/>
          <w:sz w:val="24"/>
          <w:szCs w:val="24"/>
        </w:rPr>
        <w:t xml:space="preserve"> must be given new opportunity to decide whether City of Utica must negotiate changes in disciplinary interrogation practices. The new law, “</w:t>
      </w:r>
      <w:r w:rsidRPr="000B64C0">
        <w:rPr>
          <w:rFonts w:ascii="Times New Roman" w:hAnsi="Times New Roman"/>
          <w:sz w:val="24"/>
          <w:szCs w:val="24"/>
        </w:rPr>
        <w:t>New York State firefighter bill of rights act</w:t>
      </w:r>
      <w:r>
        <w:rPr>
          <w:rFonts w:ascii="Times New Roman" w:hAnsi="Times New Roman"/>
          <w:sz w:val="24"/>
          <w:szCs w:val="24"/>
        </w:rPr>
        <w:t>,</w:t>
      </w:r>
      <w:r w:rsidRPr="000B64C0">
        <w:rPr>
          <w:rFonts w:ascii="Times New Roman" w:hAnsi="Times New Roman"/>
          <w:sz w:val="24"/>
          <w:szCs w:val="24"/>
        </w:rPr>
        <w:t>”</w:t>
      </w:r>
      <w:r>
        <w:rPr>
          <w:rFonts w:ascii="Times New Roman" w:hAnsi="Times New Roman"/>
          <w:sz w:val="24"/>
          <w:szCs w:val="24"/>
        </w:rPr>
        <w:t xml:space="preserve"> effective March 1, 2023, provides that paid firefighters in cities less than one million population now have right to independent hearing officer before discipline, including termination, can be imposed.  The legislative history of the new law also addresses “presumption of negotiability” before a city may change its disciplinary practices. </w:t>
      </w:r>
    </w:p>
    <w:p w14:paraId="1113E55F" w14:textId="77777777" w:rsidR="00D33F96" w:rsidRPr="00EA61D4" w:rsidRDefault="00D33F96" w:rsidP="00D33F96">
      <w:pPr>
        <w:rPr>
          <w:rFonts w:ascii="Times New Roman" w:hAnsi="Times New Roman"/>
          <w:sz w:val="24"/>
          <w:szCs w:val="24"/>
        </w:rPr>
      </w:pPr>
      <w:r>
        <w:rPr>
          <w:rFonts w:ascii="Times New Roman" w:hAnsi="Times New Roman"/>
          <w:sz w:val="24"/>
          <w:szCs w:val="24"/>
        </w:rPr>
        <w:t>The Court held: “</w:t>
      </w:r>
      <w:r w:rsidRPr="000B64C0">
        <w:rPr>
          <w:rFonts w:ascii="Times New Roman" w:hAnsi="Times New Roman"/>
          <w:sz w:val="24"/>
          <w:szCs w:val="24"/>
        </w:rPr>
        <w:t xml:space="preserve">During the pendency of this appeal, the Legislature enacted the New York State Firefighter Bill of Rights Act (L 2022, </w:t>
      </w:r>
      <w:proofErr w:type="spellStart"/>
      <w:r w:rsidRPr="000B64C0">
        <w:rPr>
          <w:rFonts w:ascii="Times New Roman" w:hAnsi="Times New Roman"/>
          <w:sz w:val="24"/>
          <w:szCs w:val="24"/>
        </w:rPr>
        <w:t>ch</w:t>
      </w:r>
      <w:proofErr w:type="spellEnd"/>
      <w:r w:rsidRPr="000B64C0">
        <w:rPr>
          <w:rFonts w:ascii="Times New Roman" w:hAnsi="Times New Roman"/>
          <w:sz w:val="24"/>
          <w:szCs w:val="24"/>
        </w:rPr>
        <w:t xml:space="preserve"> 674), which amended both the Taylor Law and Civil Service Law § 75, addressing removal of and other disciplinary action against public employees. The Senate Introducer's memorandum in support of the bill recognized that "court decisions have noted that... several statutes contain[ ] provisions favoring the local control of police and fire discipline that would override the Taylor Law presumption of negotiability," and, against that backdrop, the Legislature saw it necessary to "declare it to be the public policy of the State of New York that[,] for firefighters, disciplinary procedures are terms and conditions of employment subject to mandatory negotiation under the Taylor Law" (Senate Introducer's Mem in Support of 2022 NY Senate Bill S8481, enacted as L 2022, </w:t>
      </w:r>
      <w:proofErr w:type="spellStart"/>
      <w:r w:rsidRPr="000B64C0">
        <w:rPr>
          <w:rFonts w:ascii="Times New Roman" w:hAnsi="Times New Roman"/>
          <w:sz w:val="24"/>
          <w:szCs w:val="24"/>
        </w:rPr>
        <w:t>ch</w:t>
      </w:r>
      <w:proofErr w:type="spellEnd"/>
      <w:r w:rsidRPr="000B64C0">
        <w:rPr>
          <w:rFonts w:ascii="Times New Roman" w:hAnsi="Times New Roman"/>
          <w:sz w:val="24"/>
          <w:szCs w:val="24"/>
        </w:rPr>
        <w:t xml:space="preserve"> 674). The act thus amends the </w:t>
      </w:r>
      <w:proofErr w:type="gramStart"/>
      <w:r w:rsidRPr="00EA61D4">
        <w:rPr>
          <w:rFonts w:ascii="Times New Roman" w:hAnsi="Times New Roman"/>
          <w:sz w:val="24"/>
          <w:szCs w:val="24"/>
        </w:rPr>
        <w:t>aforementioned statutes</w:t>
      </w:r>
      <w:proofErr w:type="gramEnd"/>
      <w:r w:rsidRPr="000B64C0">
        <w:rPr>
          <w:rFonts w:ascii="Times New Roman" w:hAnsi="Times New Roman"/>
          <w:sz w:val="24"/>
          <w:szCs w:val="24"/>
        </w:rPr>
        <w:t xml:space="preserve"> accordingly (</w:t>
      </w:r>
      <w:r w:rsidRPr="000B64C0">
        <w:rPr>
          <w:rStyle w:val="Emphasis"/>
          <w:rFonts w:ascii="Times New Roman" w:hAnsi="Times New Roman"/>
          <w:sz w:val="24"/>
          <w:szCs w:val="24"/>
        </w:rPr>
        <w:t>see</w:t>
      </w:r>
      <w:r w:rsidRPr="000B64C0">
        <w:rPr>
          <w:rFonts w:ascii="Times New Roman" w:hAnsi="Times New Roman"/>
          <w:sz w:val="24"/>
          <w:szCs w:val="24"/>
        </w:rPr>
        <w:t xml:space="preserve"> Civil Service Law §§ 75 [2-a]; 201 [4]; 204-a [4]).</w:t>
      </w:r>
      <w:r>
        <w:rPr>
          <w:rFonts w:ascii="Times New Roman" w:hAnsi="Times New Roman"/>
          <w:sz w:val="24"/>
          <w:szCs w:val="24"/>
        </w:rPr>
        <w:t xml:space="preserve">” </w:t>
      </w:r>
      <w:hyperlink r:id="rId2593" w:history="1">
        <w:r w:rsidRPr="00EA61D4">
          <w:rPr>
            <w:rStyle w:val="Hyperlink"/>
            <w:sz w:val="24"/>
            <w:szCs w:val="24"/>
          </w:rPr>
          <w:t>https://law.justia.com/cases/new-york/appellate-division-third-department/2023/535052.html</w:t>
        </w:r>
      </w:hyperlink>
      <w:r w:rsidRPr="00EA61D4">
        <w:rPr>
          <w:rFonts w:ascii="Times New Roman" w:hAnsi="Times New Roman"/>
          <w:sz w:val="24"/>
          <w:szCs w:val="24"/>
        </w:rPr>
        <w:t xml:space="preserve">   </w:t>
      </w:r>
    </w:p>
    <w:p w14:paraId="138FDCDF" w14:textId="77777777" w:rsidR="00D33F96" w:rsidRPr="00FD3278" w:rsidRDefault="00D33F96" w:rsidP="00D33F96">
      <w:pPr>
        <w:rPr>
          <w:rFonts w:ascii="Times New Roman" w:hAnsi="Times New Roman"/>
          <w:b/>
          <w:bCs/>
          <w:sz w:val="24"/>
          <w:szCs w:val="24"/>
        </w:rPr>
      </w:pPr>
      <w:r w:rsidRPr="00FD3278">
        <w:rPr>
          <w:rFonts w:ascii="Times New Roman" w:hAnsi="Times New Roman"/>
          <w:b/>
          <w:bCs/>
          <w:sz w:val="24"/>
          <w:szCs w:val="24"/>
        </w:rPr>
        <w:t xml:space="preserve">Legal Lesson Learned: </w:t>
      </w:r>
      <w:r>
        <w:rPr>
          <w:rFonts w:ascii="Times New Roman" w:hAnsi="Times New Roman"/>
          <w:b/>
          <w:bCs/>
          <w:sz w:val="24"/>
          <w:szCs w:val="24"/>
        </w:rPr>
        <w:t xml:space="preserve">PERS will now decide if Utica Local’s charge is well founded.  </w:t>
      </w:r>
    </w:p>
    <w:p w14:paraId="1119234B" w14:textId="77777777" w:rsidR="00D33F96" w:rsidRDefault="00D33F96" w:rsidP="00D33F96">
      <w:pPr>
        <w:ind w:left="720"/>
        <w:rPr>
          <w:rFonts w:ascii="Times New Roman" w:hAnsi="Times New Roman"/>
          <w:sz w:val="24"/>
          <w:szCs w:val="24"/>
        </w:rPr>
      </w:pPr>
      <w:r>
        <w:rPr>
          <w:rFonts w:ascii="Times New Roman" w:hAnsi="Times New Roman"/>
          <w:sz w:val="24"/>
          <w:szCs w:val="24"/>
        </w:rPr>
        <w:t xml:space="preserve">Note: Several states have enacted a “Firefighter Bill of Rights” such as California, Florida, New Mexico and Illinois, which broadly address procedural rights in discipline, including written notice of charges.  This new NY law only addresses the right to third-party independent hearing officer.  </w:t>
      </w:r>
      <w:hyperlink r:id="rId2594" w:history="1">
        <w:r w:rsidRPr="00104E3B">
          <w:rPr>
            <w:rStyle w:val="Hyperlink"/>
            <w:sz w:val="24"/>
            <w:szCs w:val="24"/>
          </w:rPr>
          <w:t>https://legislation.nysenate.gov/pdf/bills/2021/S8481</w:t>
        </w:r>
      </w:hyperlink>
      <w:r>
        <w:rPr>
          <w:rFonts w:ascii="Times New Roman" w:hAnsi="Times New Roman"/>
          <w:sz w:val="24"/>
          <w:szCs w:val="24"/>
        </w:rPr>
        <w:t xml:space="preserve"> </w:t>
      </w:r>
    </w:p>
    <w:p w14:paraId="0C6BA447" w14:textId="77777777" w:rsidR="00D33F96" w:rsidRPr="00DD572C" w:rsidRDefault="00D33F96" w:rsidP="00D33F96">
      <w:pPr>
        <w:ind w:left="1440"/>
        <w:rPr>
          <w:rFonts w:ascii="Times New Roman" w:eastAsia="Times New Roman" w:hAnsi="Times New Roman"/>
          <w:sz w:val="24"/>
          <w:szCs w:val="24"/>
        </w:rPr>
      </w:pPr>
      <w:r>
        <w:rPr>
          <w:rFonts w:ascii="Times New Roman" w:hAnsi="Times New Roman"/>
          <w:sz w:val="24"/>
          <w:szCs w:val="24"/>
        </w:rPr>
        <w:t>“S</w:t>
      </w:r>
      <w:r w:rsidRPr="00DD572C">
        <w:rPr>
          <w:rFonts w:ascii="Times New Roman" w:eastAsia="Times New Roman" w:hAnsi="Times New Roman"/>
          <w:sz w:val="24"/>
          <w:szCs w:val="24"/>
        </w:rPr>
        <w:t>ection 75 of the civil service law is amended by adding a new</w:t>
      </w:r>
      <w:r>
        <w:rPr>
          <w:rFonts w:ascii="Times New Roman" w:eastAsia="Times New Roman" w:hAnsi="Times New Roman"/>
          <w:sz w:val="24"/>
          <w:szCs w:val="24"/>
        </w:rPr>
        <w:t xml:space="preserve"> </w:t>
      </w:r>
      <w:r w:rsidRPr="00DD572C">
        <w:rPr>
          <w:rFonts w:ascii="Times New Roman" w:eastAsia="Times New Roman" w:hAnsi="Times New Roman"/>
          <w:sz w:val="24"/>
          <w:szCs w:val="24"/>
        </w:rPr>
        <w:t>subdivision 2-a to read as follows:</w:t>
      </w:r>
    </w:p>
    <w:p w14:paraId="1889FBD5" w14:textId="77777777" w:rsidR="00D33F96" w:rsidRPr="00DD572C" w:rsidRDefault="00D33F96" w:rsidP="00D33F96">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DD572C">
        <w:rPr>
          <w:rFonts w:ascii="Times New Roman" w:eastAsia="Times New Roman" w:hAnsi="Times New Roman"/>
          <w:sz w:val="24"/>
          <w:szCs w:val="24"/>
        </w:rPr>
        <w:t>2-a.</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I</w:t>
      </w:r>
      <w:r w:rsidRPr="00DD572C">
        <w:rPr>
          <w:rFonts w:ascii="Times New Roman" w:eastAsia="Times New Roman" w:hAnsi="Times New Roman"/>
          <w:sz w:val="24"/>
          <w:szCs w:val="24"/>
        </w:rPr>
        <w:t>ndependent</w:t>
      </w:r>
      <w:proofErr w:type="gramEnd"/>
      <w:r w:rsidRPr="00DD572C">
        <w:rPr>
          <w:rFonts w:ascii="Times New Roman" w:eastAsia="Times New Roman" w:hAnsi="Times New Roman"/>
          <w:sz w:val="24"/>
          <w:szCs w:val="24"/>
        </w:rPr>
        <w:t xml:space="preserve"> hearing officer. (a) Notwithstanding any other</w:t>
      </w:r>
      <w:r>
        <w:rPr>
          <w:rFonts w:ascii="Times New Roman" w:eastAsia="Times New Roman" w:hAnsi="Times New Roman"/>
          <w:sz w:val="24"/>
          <w:szCs w:val="24"/>
        </w:rPr>
        <w:t xml:space="preserve"> </w:t>
      </w:r>
      <w:r w:rsidRPr="00DD572C">
        <w:rPr>
          <w:rFonts w:ascii="Times New Roman" w:eastAsia="Times New Roman" w:hAnsi="Times New Roman"/>
          <w:sz w:val="24"/>
          <w:szCs w:val="24"/>
        </w:rPr>
        <w:t>provision of law to the contrary, including but not limited to subdivision four of section seventy-six of this title, any paid officer or</w:t>
      </w:r>
      <w:r>
        <w:rPr>
          <w:rFonts w:ascii="Times New Roman" w:eastAsia="Times New Roman" w:hAnsi="Times New Roman"/>
          <w:sz w:val="24"/>
          <w:szCs w:val="24"/>
        </w:rPr>
        <w:t xml:space="preserve"> </w:t>
      </w:r>
      <w:r w:rsidRPr="00DD572C">
        <w:rPr>
          <w:rFonts w:ascii="Times New Roman" w:eastAsia="Times New Roman" w:hAnsi="Times New Roman"/>
          <w:sz w:val="24"/>
          <w:szCs w:val="24"/>
        </w:rPr>
        <w:t>member of an organized fire company or fire department of a city of less</w:t>
      </w:r>
      <w:r>
        <w:rPr>
          <w:rFonts w:ascii="Times New Roman" w:eastAsia="Times New Roman" w:hAnsi="Times New Roman"/>
          <w:sz w:val="24"/>
          <w:szCs w:val="24"/>
        </w:rPr>
        <w:t xml:space="preserve"> </w:t>
      </w:r>
      <w:r w:rsidRPr="00DD572C">
        <w:rPr>
          <w:rFonts w:ascii="Times New Roman" w:eastAsia="Times New Roman" w:hAnsi="Times New Roman"/>
          <w:sz w:val="24"/>
          <w:szCs w:val="24"/>
        </w:rPr>
        <w:t>than one million population, or town, village or fire district who is</w:t>
      </w:r>
      <w:r>
        <w:rPr>
          <w:rFonts w:ascii="Times New Roman" w:eastAsia="Times New Roman" w:hAnsi="Times New Roman"/>
          <w:sz w:val="24"/>
          <w:szCs w:val="24"/>
        </w:rPr>
        <w:t xml:space="preserve"> </w:t>
      </w:r>
      <w:r w:rsidRPr="00DD572C">
        <w:rPr>
          <w:rFonts w:ascii="Times New Roman" w:eastAsia="Times New Roman" w:hAnsi="Times New Roman"/>
          <w:sz w:val="24"/>
          <w:szCs w:val="24"/>
        </w:rPr>
        <w:t>represented by a certified or recognized employee organization pursuant</w:t>
      </w:r>
      <w:r>
        <w:rPr>
          <w:rFonts w:ascii="Times New Roman" w:eastAsia="Times New Roman" w:hAnsi="Times New Roman"/>
          <w:sz w:val="24"/>
          <w:szCs w:val="24"/>
        </w:rPr>
        <w:t xml:space="preserve"> </w:t>
      </w:r>
      <w:r w:rsidRPr="00DD572C">
        <w:rPr>
          <w:rFonts w:ascii="Times New Roman" w:eastAsia="Times New Roman" w:hAnsi="Times New Roman"/>
          <w:sz w:val="24"/>
          <w:szCs w:val="24"/>
        </w:rPr>
        <w:t>to article fourteen of this chapter shall not be subjected to the pena</w:t>
      </w:r>
      <w:r>
        <w:rPr>
          <w:rFonts w:ascii="Times New Roman" w:eastAsia="Times New Roman" w:hAnsi="Times New Roman"/>
          <w:sz w:val="24"/>
          <w:szCs w:val="24"/>
        </w:rPr>
        <w:t>l</w:t>
      </w:r>
      <w:r w:rsidRPr="00DD572C">
        <w:rPr>
          <w:rFonts w:ascii="Times New Roman" w:eastAsia="Times New Roman" w:hAnsi="Times New Roman"/>
          <w:sz w:val="24"/>
          <w:szCs w:val="24"/>
        </w:rPr>
        <w:t>ty of dismissal from service or any other discipline if the hearing,</w:t>
      </w:r>
      <w:r>
        <w:rPr>
          <w:rFonts w:ascii="Times New Roman" w:eastAsia="Times New Roman" w:hAnsi="Times New Roman"/>
          <w:sz w:val="24"/>
          <w:szCs w:val="24"/>
        </w:rPr>
        <w:t xml:space="preserve"> </w:t>
      </w:r>
      <w:r w:rsidRPr="00DD572C">
        <w:rPr>
          <w:rFonts w:ascii="Times New Roman" w:eastAsia="Times New Roman" w:hAnsi="Times New Roman"/>
          <w:sz w:val="24"/>
          <w:szCs w:val="24"/>
        </w:rPr>
        <w:t>upon such charge, has been conducted by someone other than an</w:t>
      </w:r>
      <w:r>
        <w:rPr>
          <w:rFonts w:ascii="Times New Roman" w:eastAsia="Times New Roman" w:hAnsi="Times New Roman"/>
          <w:sz w:val="24"/>
          <w:szCs w:val="24"/>
        </w:rPr>
        <w:t xml:space="preserve"> </w:t>
      </w:r>
      <w:r w:rsidRPr="00DD572C">
        <w:rPr>
          <w:rFonts w:ascii="Times New Roman" w:eastAsia="Times New Roman" w:hAnsi="Times New Roman"/>
          <w:sz w:val="24"/>
          <w:szCs w:val="24"/>
        </w:rPr>
        <w:t>independent hearing officer to be agreed to by the employer and the person</w:t>
      </w:r>
      <w:r>
        <w:rPr>
          <w:rFonts w:ascii="Times New Roman" w:eastAsia="Times New Roman" w:hAnsi="Times New Roman"/>
          <w:sz w:val="24"/>
          <w:szCs w:val="24"/>
        </w:rPr>
        <w:t xml:space="preserve"> </w:t>
      </w:r>
      <w:r w:rsidRPr="00DD572C">
        <w:rPr>
          <w:rFonts w:ascii="Times New Roman" w:eastAsia="Times New Roman" w:hAnsi="Times New Roman"/>
          <w:sz w:val="24"/>
          <w:szCs w:val="24"/>
        </w:rPr>
        <w:t>against whom disciplinary action is proposed.</w:t>
      </w:r>
      <w:r>
        <w:rPr>
          <w:rFonts w:ascii="Times New Roman" w:eastAsia="Times New Roman" w:hAnsi="Times New Roman"/>
          <w:sz w:val="24"/>
          <w:szCs w:val="24"/>
        </w:rPr>
        <w:t xml:space="preserve">” </w:t>
      </w:r>
    </w:p>
    <w:p w14:paraId="008ECB29" w14:textId="77777777" w:rsidR="00D33F96" w:rsidRDefault="00D33F96" w:rsidP="00D33F96">
      <w:pPr>
        <w:rPr>
          <w:rFonts w:ascii="Arial Black" w:hAnsi="Arial Black"/>
          <w:sz w:val="28"/>
          <w:szCs w:val="28"/>
        </w:rPr>
      </w:pPr>
    </w:p>
    <w:p w14:paraId="492F6261" w14:textId="3122BF31" w:rsidR="00D33F96" w:rsidRDefault="00D33F96" w:rsidP="00F326E5">
      <w:pPr>
        <w:pStyle w:val="NoSpacing"/>
        <w:rPr>
          <w:rFonts w:ascii="Arial Black" w:hAnsi="Arial Black"/>
          <w:sz w:val="24"/>
          <w:szCs w:val="24"/>
        </w:rPr>
      </w:pPr>
      <w:r>
        <w:rPr>
          <w:rFonts w:ascii="Arial Black" w:hAnsi="Arial Black"/>
          <w:sz w:val="24"/>
          <w:szCs w:val="24"/>
        </w:rPr>
        <w:t>16-88</w:t>
      </w:r>
    </w:p>
    <w:p w14:paraId="29D32E5E" w14:textId="77777777" w:rsidR="00D33F96" w:rsidRDefault="00D33F96" w:rsidP="00F326E5">
      <w:pPr>
        <w:pStyle w:val="NoSpacing"/>
        <w:rPr>
          <w:rFonts w:ascii="Arial Black" w:hAnsi="Arial Black"/>
          <w:sz w:val="24"/>
          <w:szCs w:val="24"/>
        </w:rPr>
      </w:pPr>
    </w:p>
    <w:p w14:paraId="5C591DED" w14:textId="77777777" w:rsidR="00D33F96" w:rsidRPr="00687D28" w:rsidRDefault="00D33F96" w:rsidP="00D33F96">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IL: ANGRY LT. PUSHED FEMALE LT. WALL 3 TIMES – SUSP. 24 HRS - NO PROOF FD CONDONED THIS CONDUCT</w:t>
      </w:r>
    </w:p>
    <w:p w14:paraId="61DDFFA9" w14:textId="77777777" w:rsidR="00D33F96" w:rsidRDefault="00D33F96" w:rsidP="00D33F96">
      <w:pPr>
        <w:pStyle w:val="NormalWeb"/>
      </w:pPr>
      <w:r>
        <w:t xml:space="preserve">On June 15, 2023, in </w:t>
      </w:r>
      <w:r w:rsidRPr="0096290C">
        <w:rPr>
          <w:u w:val="single"/>
        </w:rPr>
        <w:t>Michelle Giese v. City of Kankakee, Damon Schuldt and Nathan Boyce</w:t>
      </w:r>
      <w:r>
        <w:t>, the U.S. Court of Appeals for 7</w:t>
      </w:r>
      <w:r w:rsidRPr="0096290C">
        <w:rPr>
          <w:vertAlign w:val="superscript"/>
        </w:rPr>
        <w:t>th</w:t>
      </w:r>
      <w:r>
        <w:t xml:space="preserve"> Circuit (Chicago) held (3 to 0) that U.S. District Court had properly granted summary judgment to all defendants, and there was no proof FD condoning aggressive conduct or a “code of silence.” </w:t>
      </w:r>
    </w:p>
    <w:p w14:paraId="1CA5EC2F" w14:textId="77777777" w:rsidR="00D33F96" w:rsidRPr="0096290C" w:rsidRDefault="00D33F96" w:rsidP="00D33F96">
      <w:pPr>
        <w:pStyle w:val="NormalWeb"/>
      </w:pPr>
      <w:r>
        <w:t>The Court held: “</w:t>
      </w:r>
      <w:r w:rsidRPr="0096290C">
        <w:t>We are sympathetic to Giese, who continues to suffer mental and physical injuries from an attack that should never have occurred. But Giese's remedy, if any, is not in federal court.</w:t>
      </w:r>
      <w:r>
        <w:t xml:space="preserve"> *** </w:t>
      </w:r>
      <w:r w:rsidRPr="0096290C">
        <w:t xml:space="preserve">On the merits, Giese's claim fails because none of her evidence, separately or taken together, creates a genuine dispute regarding whether the defendants had </w:t>
      </w:r>
      <w:proofErr w:type="gramStart"/>
      <w:r w:rsidRPr="0096290C">
        <w:t>a practice</w:t>
      </w:r>
      <w:proofErr w:type="gramEnd"/>
      <w:r w:rsidRPr="0096290C">
        <w:t xml:space="preserve"> of condoning aggressive behavior, resulting in a constitutional injury. Although we have previously recognized that a defendant's </w:t>
      </w:r>
      <w:r>
        <w:t>‘</w:t>
      </w:r>
      <w:r w:rsidRPr="0096290C">
        <w:t>code of silence</w:t>
      </w:r>
      <w:r>
        <w:t>’</w:t>
      </w:r>
      <w:r w:rsidRPr="0096290C">
        <w:t xml:space="preserve"> can give rise to a valid </w:t>
      </w:r>
      <w:r w:rsidRPr="0096290C">
        <w:rPr>
          <w:i/>
          <w:iCs/>
        </w:rPr>
        <w:t>Monell</w:t>
      </w:r>
      <w:r w:rsidRPr="0096290C">
        <w:t xml:space="preserve"> claim, such a claim requires more than evidence of </w:t>
      </w:r>
      <w:r>
        <w:t>‘</w:t>
      </w:r>
      <w:r w:rsidRPr="0096290C">
        <w:t>individual misconduct by ... officers</w:t>
      </w:r>
      <w:r>
        <w:t>’</w:t>
      </w:r>
      <w:r w:rsidRPr="0096290C">
        <w:t xml:space="preserve">; it requires </w:t>
      </w:r>
      <w:r>
        <w:t>‘</w:t>
      </w:r>
      <w:r w:rsidRPr="0096290C">
        <w:t xml:space="preserve">a </w:t>
      </w:r>
      <w:r w:rsidRPr="0096290C">
        <w:rPr>
          <w:i/>
          <w:iCs/>
        </w:rPr>
        <w:t>widespread practice</w:t>
      </w:r>
      <w:r w:rsidRPr="0096290C">
        <w:t xml:space="preserve"> that permeates a critical mass of an institutional body.</w:t>
      </w:r>
      <w:r>
        <w:t>’</w:t>
      </w:r>
      <w:r w:rsidRPr="0096290C">
        <w:t xml:space="preserve"> </w:t>
      </w:r>
      <w:r w:rsidRPr="0096290C">
        <w:rPr>
          <w:i/>
          <w:iCs/>
        </w:rPr>
        <w:t>Rossi v. City of Chicago,</w:t>
      </w:r>
      <w:r w:rsidRPr="0096290C">
        <w:t xml:space="preserve"> 790 F.3d 729, 737 (7th Cir. 2015); </w:t>
      </w:r>
      <w:r w:rsidRPr="0096290C">
        <w:rPr>
          <w:i/>
          <w:iCs/>
        </w:rPr>
        <w:t>see also Sledd v. Lindsay</w:t>
      </w:r>
      <w:r w:rsidRPr="0096290C">
        <w:t>, 102 F.3d 282, 289 (7th Cir. 1996).</w:t>
      </w:r>
      <w:r>
        <w:t xml:space="preserve">” </w:t>
      </w:r>
      <w:hyperlink r:id="rId2595" w:history="1">
        <w:r w:rsidRPr="00812663">
          <w:rPr>
            <w:rStyle w:val="Hyperlink"/>
          </w:rPr>
          <w:t>https://caselaw.findlaw.com/court/us-7th-circuit/2204869.html</w:t>
        </w:r>
      </w:hyperlink>
      <w:r>
        <w:t xml:space="preserve"> </w:t>
      </w:r>
    </w:p>
    <w:p w14:paraId="0E0A2BA2" w14:textId="77777777" w:rsidR="00D33F96" w:rsidRPr="007B4180" w:rsidRDefault="00D33F96" w:rsidP="00D33F96">
      <w:pPr>
        <w:spacing w:before="100" w:beforeAutospacing="1" w:after="100" w:afterAutospacing="1" w:line="240" w:lineRule="auto"/>
        <w:rPr>
          <w:rFonts w:ascii="Times New Roman" w:eastAsia="Times New Roman" w:hAnsi="Times New Roman"/>
          <w:b/>
          <w:bCs/>
          <w:sz w:val="24"/>
          <w:szCs w:val="24"/>
        </w:rPr>
      </w:pPr>
      <w:r w:rsidRPr="007B4180">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Plaintiff did not have evidence to prove alleged violent workplace or “code of silence.”</w:t>
      </w:r>
    </w:p>
    <w:p w14:paraId="042F589D" w14:textId="77777777" w:rsidR="00D33F96" w:rsidRDefault="00D33F96" w:rsidP="00F326E5">
      <w:pPr>
        <w:pStyle w:val="NoSpacing"/>
        <w:rPr>
          <w:rFonts w:ascii="Arial Black" w:hAnsi="Arial Black"/>
          <w:sz w:val="24"/>
          <w:szCs w:val="24"/>
        </w:rPr>
      </w:pPr>
    </w:p>
    <w:p w14:paraId="7B0F7E38" w14:textId="77777777" w:rsidR="00D33F96" w:rsidRDefault="00D33F96" w:rsidP="00F326E5">
      <w:pPr>
        <w:pStyle w:val="NoSpacing"/>
        <w:rPr>
          <w:rFonts w:ascii="Arial Black" w:hAnsi="Arial Black"/>
          <w:sz w:val="24"/>
          <w:szCs w:val="24"/>
        </w:rPr>
      </w:pPr>
    </w:p>
    <w:p w14:paraId="307BE832" w14:textId="77777777" w:rsidR="00D33F96" w:rsidRDefault="00D33F96" w:rsidP="00F326E5">
      <w:pPr>
        <w:pStyle w:val="NoSpacing"/>
        <w:rPr>
          <w:rFonts w:ascii="Arial Black" w:hAnsi="Arial Black"/>
          <w:sz w:val="24"/>
          <w:szCs w:val="24"/>
        </w:rPr>
      </w:pPr>
    </w:p>
    <w:p w14:paraId="4EBBDE3F" w14:textId="1C6A2E38" w:rsidR="00C032D6" w:rsidRDefault="00C032D6" w:rsidP="00F326E5">
      <w:pPr>
        <w:pStyle w:val="NoSpacing"/>
        <w:rPr>
          <w:rFonts w:ascii="Arial Black" w:hAnsi="Arial Black"/>
          <w:sz w:val="24"/>
          <w:szCs w:val="24"/>
        </w:rPr>
      </w:pPr>
      <w:r>
        <w:rPr>
          <w:rFonts w:ascii="Arial Black" w:hAnsi="Arial Black"/>
          <w:sz w:val="24"/>
          <w:szCs w:val="24"/>
        </w:rPr>
        <w:t>16-87</w:t>
      </w:r>
    </w:p>
    <w:p w14:paraId="4B41C1C2" w14:textId="77777777" w:rsidR="00C032D6" w:rsidRDefault="00C032D6" w:rsidP="00C032D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U.S. SUP. CT: FACEBOOK CYBERSTALKING POSTS TO FEMALE SINGER – PROS. PROVE DEF. INTENDED THREAT</w:t>
      </w:r>
    </w:p>
    <w:p w14:paraId="34B31C0C" w14:textId="77777777" w:rsidR="00C032D6" w:rsidRDefault="00C032D6" w:rsidP="00C032D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June 27, 2023, in </w:t>
      </w:r>
      <w:r>
        <w:rPr>
          <w:rFonts w:ascii="Times New Roman" w:eastAsia="Times New Roman" w:hAnsi="Times New Roman"/>
          <w:sz w:val="24"/>
          <w:szCs w:val="24"/>
          <w:u w:val="single"/>
        </w:rPr>
        <w:t>Counterman v. Colorado</w:t>
      </w:r>
      <w:r>
        <w:rPr>
          <w:rFonts w:ascii="Times New Roman" w:eastAsia="Times New Roman" w:hAnsi="Times New Roman"/>
          <w:sz w:val="24"/>
          <w:szCs w:val="24"/>
        </w:rPr>
        <w:t>, the U.S. Supreme Court held (7 to 2) in an opinion by Justice Elena Kagan, that Billy Cunningham, who was convicted by a jury under state stalking statute, and sentenced to 4 ½ years in prison, after sending hundreds of Facebook posts to a local singer / musician. Several of his posts expressed anger at C. W. and envisaged harm befalling her: “Fuck off permanently….” “Staying in cyber life is going to kill you….” “You’re not being good for human relations. Die.”  The Court reversed the conviction since state prosecutors did not introduce any evidence, other than his Facebook posts, of his intentions to harm the singer.  If state decides to try him again, they must include proof that the “defendant had some understanding of his statements’ threatening character.”</w:t>
      </w:r>
      <w:r>
        <w:t xml:space="preserve"> </w:t>
      </w:r>
      <w:hyperlink r:id="rId2596" w:history="1">
        <w:r>
          <w:rPr>
            <w:rStyle w:val="Hyperlink"/>
            <w:sz w:val="24"/>
            <w:szCs w:val="24"/>
          </w:rPr>
          <w:t>https://www.supremecourt.gov/opinions/22pdf/22-138_43j7.pdf</w:t>
        </w:r>
      </w:hyperlink>
      <w:r>
        <w:rPr>
          <w:rFonts w:ascii="Times New Roman" w:eastAsia="Times New Roman" w:hAnsi="Times New Roman"/>
          <w:sz w:val="24"/>
          <w:szCs w:val="24"/>
        </w:rPr>
        <w:t xml:space="preserve"> </w:t>
      </w:r>
    </w:p>
    <w:p w14:paraId="73927333" w14:textId="77777777" w:rsidR="00C032D6" w:rsidRDefault="00C032D6" w:rsidP="00C032D6">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Legal Lesson Learned: Fire &amp; EMS Departments should review employee handbooks and confirm there is a section on threatening conduct, including online posts.</w:t>
      </w:r>
    </w:p>
    <w:p w14:paraId="545A6582" w14:textId="77777777" w:rsidR="00C032D6" w:rsidRDefault="00C032D6" w:rsidP="00C032D6">
      <w:pPr>
        <w:spacing w:before="100" w:beforeAutospacing="1" w:after="100" w:afterAutospacing="1" w:line="240" w:lineRule="auto"/>
        <w:ind w:left="720"/>
        <w:rPr>
          <w:rFonts w:ascii="Times New Roman" w:hAnsi="Times New Roman"/>
          <w:kern w:val="2"/>
          <w:sz w:val="24"/>
          <w:szCs w:val="24"/>
          <w14:ligatures w14:val="standardContextual"/>
        </w:rPr>
      </w:pPr>
      <w:r>
        <w:rPr>
          <w:rFonts w:ascii="Times New Roman" w:eastAsia="Times New Roman" w:hAnsi="Times New Roman"/>
          <w:sz w:val="24"/>
          <w:szCs w:val="24"/>
        </w:rPr>
        <w:t xml:space="preserve">Note: See photo of this stalker, and the victim: </w:t>
      </w:r>
      <w:hyperlink r:id="rId2597" w:history="1">
        <w:r>
          <w:rPr>
            <w:rStyle w:val="Hyperlink"/>
            <w:sz w:val="24"/>
            <w:szCs w:val="24"/>
          </w:rPr>
          <w:t>https://www.dailymail.co.uk/news/article-12240293/Man-accused-stalking-local-Colorado-musician-stalking-conviction-tossed-Supreme-Court.html</w:t>
        </w:r>
      </w:hyperlink>
      <w:r>
        <w:rPr>
          <w:rFonts w:ascii="Times New Roman" w:eastAsia="Times New Roman" w:hAnsi="Times New Roman"/>
          <w:sz w:val="24"/>
          <w:szCs w:val="24"/>
        </w:rPr>
        <w:t xml:space="preserve">. </w:t>
      </w:r>
      <w:r>
        <w:rPr>
          <w:rFonts w:ascii="Times New Roman" w:hAnsi="Times New Roman"/>
          <w:sz w:val="24"/>
          <w:szCs w:val="24"/>
        </w:rPr>
        <w:t>“Counterman had a history of making violent threats to women and was on supervised release from one such federal conviction during the two years he continuously messaged Whalen.”</w:t>
      </w:r>
    </w:p>
    <w:p w14:paraId="2AF52157" w14:textId="77777777" w:rsidR="00C032D6" w:rsidRDefault="00C032D6" w:rsidP="00C032D6">
      <w:pPr>
        <w:spacing w:before="100" w:beforeAutospacing="1" w:after="100" w:afterAutospacing="1" w:line="240" w:lineRule="auto"/>
        <w:ind w:left="720"/>
        <w:rPr>
          <w:rFonts w:ascii="Times New Roman" w:eastAsia="Times New Roman" w:hAnsi="Times New Roman"/>
          <w:sz w:val="24"/>
          <w:szCs w:val="24"/>
        </w:rPr>
      </w:pPr>
      <w:r>
        <w:rPr>
          <w:rFonts w:ascii="Times New Roman" w:hAnsi="Times New Roman"/>
          <w:sz w:val="24"/>
          <w:szCs w:val="24"/>
        </w:rPr>
        <w:t xml:space="preserve">On June 30, 2023, the U.S. Supreme Court has decided another First Amendment case: </w:t>
      </w:r>
      <w:r>
        <w:rPr>
          <w:rFonts w:ascii="Times New Roman" w:hAnsi="Times New Roman"/>
          <w:sz w:val="24"/>
          <w:szCs w:val="24"/>
          <w:u w:val="single"/>
        </w:rPr>
        <w:t>303 Creative LLC et al. v. Elenis, et al</w:t>
      </w:r>
      <w:r>
        <w:rPr>
          <w:rFonts w:ascii="Times New Roman" w:hAnsi="Times New Roman"/>
          <w:sz w:val="24"/>
          <w:szCs w:val="24"/>
        </w:rPr>
        <w:t>., holding (6 to 3) that Colorado Anti-Discrimination Act (CADA) cannot require wedding website owner to design websites for gay couples.  “</w:t>
      </w:r>
      <w:r>
        <w:rPr>
          <w:rFonts w:ascii="Times New Roman" w:eastAsia="Times New Roman" w:hAnsi="Times New Roman"/>
          <w:sz w:val="24"/>
          <w:szCs w:val="24"/>
        </w:rPr>
        <w:t xml:space="preserve">Specifically, she worries that, if she enters the wedding website business, the State will force her to convey messages inconsistent with her belief that marriage should be reserved to unions between one man and one woman. *** The First Amendment envisions the United States as a rich and complex place where all persons are free to think and speak as they wish, not as the government demands. Because Colorado seeks to deny that promise, the judgment is Reversed.” </w:t>
      </w:r>
      <w:hyperlink r:id="rId2598" w:history="1">
        <w:r>
          <w:rPr>
            <w:rStyle w:val="Hyperlink"/>
            <w:sz w:val="24"/>
            <w:szCs w:val="24"/>
          </w:rPr>
          <w:t>https://www.supremecourt.gov/opinions/22pdf/21-476_c185.pdf</w:t>
        </w:r>
      </w:hyperlink>
      <w:r>
        <w:rPr>
          <w:rFonts w:ascii="Times New Roman" w:eastAsia="Times New Roman" w:hAnsi="Times New Roman"/>
          <w:sz w:val="24"/>
          <w:szCs w:val="24"/>
        </w:rPr>
        <w:t xml:space="preserve"> </w:t>
      </w:r>
    </w:p>
    <w:p w14:paraId="190CDCC7" w14:textId="77777777" w:rsidR="00C032D6" w:rsidRDefault="00C032D6" w:rsidP="00C032D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Online threatening conduct can take many forms.  On June 30, 2023, a former Deputy U.S. Marshal was sentenced to 10 years in prison for cyberstalking, perjury and obstruction. </w:t>
      </w:r>
      <w:hyperlink r:id="rId2599" w:history="1">
        <w:r>
          <w:rPr>
            <w:rStyle w:val="Hyperlink"/>
            <w:sz w:val="24"/>
            <w:szCs w:val="24"/>
          </w:rPr>
          <w:t>https://www.justice.gov/opa/pr/former-deputy-us-marshal-sentenced-cyberstalking-perjury-and-obstruction</w:t>
        </w:r>
      </w:hyperlink>
      <w:r>
        <w:rPr>
          <w:rFonts w:ascii="Times New Roman" w:eastAsia="Times New Roman" w:hAnsi="Times New Roman"/>
          <w:sz w:val="24"/>
          <w:szCs w:val="24"/>
        </w:rPr>
        <w:t xml:space="preserve"> </w:t>
      </w:r>
    </w:p>
    <w:p w14:paraId="1D7E6D6D" w14:textId="77777777" w:rsidR="00C032D6" w:rsidRDefault="00C032D6" w:rsidP="00C032D6">
      <w:pPr>
        <w:spacing w:before="100" w:beforeAutospacing="1" w:after="100" w:afterAutospacing="1" w:line="240" w:lineRule="auto"/>
        <w:ind w:left="1440"/>
        <w:rPr>
          <w:rFonts w:ascii="Times New Roman" w:hAnsi="Times New Roman"/>
          <w:kern w:val="2"/>
          <w:sz w:val="24"/>
          <w:szCs w:val="24"/>
          <w14:ligatures w14:val="standardContextual"/>
        </w:rPr>
      </w:pPr>
      <w:r>
        <w:rPr>
          <w:rFonts w:ascii="Times New Roman" w:hAnsi="Times New Roman"/>
          <w:sz w:val="24"/>
          <w:szCs w:val="24"/>
        </w:rPr>
        <w:t xml:space="preserve">“According to court documents and evidence presented at trial, Ian R. Diaz, 45, of Glendora, California, and his then-wife, an unindicted co-conspirator (CC-1), posed as a person with whom Diaz was formerly in a relationship (Jane Doe). In that guise, they sent themselves harassing and threatening electronic communications that contained apparent threats to harm CC-1; solicited and lured men found through Craigslist ‘personal’ advertisements to engage in so-called ‘rape fantasies’ in an attempt to stage a purported sexual assault on CC-1 orchestrated by Jane Doe; and staged one or more hoax sexual assaults and attempted sexual assaults on CC-1. Diaz and CC-1 then reported this conduct to local law enforcement, falsely claiming that Jane Doe posed a genuine and serious threat to Diaz and CC-1. Their actions caused local law enforcement to arrest, charge, and detain Jane Doe in jail for nearly three months for conduct for which Diaz and CC-1 framed </w:t>
      </w:r>
      <w:proofErr w:type="gramStart"/>
      <w:r>
        <w:rPr>
          <w:rFonts w:ascii="Times New Roman" w:hAnsi="Times New Roman"/>
          <w:sz w:val="24"/>
          <w:szCs w:val="24"/>
        </w:rPr>
        <w:t>her.”</w:t>
      </w:r>
      <w:proofErr w:type="gramEnd"/>
    </w:p>
    <w:p w14:paraId="2533B209" w14:textId="77777777" w:rsidR="00C032D6" w:rsidRDefault="00C032D6" w:rsidP="00F326E5">
      <w:pPr>
        <w:pStyle w:val="NoSpacing"/>
        <w:rPr>
          <w:rFonts w:ascii="Arial Black" w:hAnsi="Arial Black"/>
          <w:sz w:val="24"/>
          <w:szCs w:val="24"/>
        </w:rPr>
      </w:pPr>
    </w:p>
    <w:p w14:paraId="65A53843" w14:textId="77777777" w:rsidR="00C032D6" w:rsidRDefault="00C032D6" w:rsidP="00F326E5">
      <w:pPr>
        <w:pStyle w:val="NoSpacing"/>
        <w:rPr>
          <w:rFonts w:ascii="Arial Black" w:hAnsi="Arial Black"/>
          <w:sz w:val="24"/>
          <w:szCs w:val="24"/>
        </w:rPr>
      </w:pPr>
    </w:p>
    <w:p w14:paraId="69EE7B23" w14:textId="77777777" w:rsidR="00C032D6" w:rsidRDefault="00C032D6" w:rsidP="00F326E5">
      <w:pPr>
        <w:pStyle w:val="NoSpacing"/>
        <w:rPr>
          <w:rFonts w:ascii="Arial Black" w:hAnsi="Arial Black"/>
          <w:sz w:val="24"/>
          <w:szCs w:val="24"/>
        </w:rPr>
      </w:pPr>
    </w:p>
    <w:p w14:paraId="46092BEC" w14:textId="0E6C4061" w:rsidR="00A01262" w:rsidRDefault="00A01262" w:rsidP="00F326E5">
      <w:pPr>
        <w:pStyle w:val="NoSpacing"/>
        <w:rPr>
          <w:rFonts w:ascii="Arial Black" w:hAnsi="Arial Black"/>
          <w:sz w:val="24"/>
          <w:szCs w:val="24"/>
        </w:rPr>
      </w:pPr>
      <w:r>
        <w:rPr>
          <w:rFonts w:ascii="Arial Black" w:hAnsi="Arial Black"/>
          <w:sz w:val="24"/>
          <w:szCs w:val="24"/>
        </w:rPr>
        <w:t>16-86</w:t>
      </w:r>
    </w:p>
    <w:p w14:paraId="0B6CEF60" w14:textId="77777777" w:rsidR="00A01262" w:rsidRDefault="00A01262" w:rsidP="00F326E5">
      <w:pPr>
        <w:pStyle w:val="NoSpacing"/>
        <w:rPr>
          <w:rFonts w:ascii="Arial Black" w:hAnsi="Arial Black"/>
          <w:sz w:val="24"/>
          <w:szCs w:val="24"/>
        </w:rPr>
      </w:pPr>
    </w:p>
    <w:p w14:paraId="2E3F3D83" w14:textId="77777777" w:rsidR="00A01262" w:rsidRDefault="00A01262" w:rsidP="00A01262">
      <w:pPr>
        <w:pStyle w:val="NormalWeb"/>
        <w:rPr>
          <w:b/>
          <w:bCs/>
        </w:rPr>
      </w:pPr>
      <w:bookmarkStart w:id="592" w:name="_Hlk136860992"/>
      <w:r>
        <w:rPr>
          <w:rFonts w:ascii="Arial Black" w:hAnsi="Arial Black"/>
          <w:b/>
          <w:bCs/>
          <w:sz w:val="28"/>
          <w:szCs w:val="28"/>
        </w:rPr>
        <w:t>TX: HOUSTON ROCKETS PLAYER DROVE HIGH-WATER VEHICLE / SIREN – D/C SUSP. 3 DAYS NOT REPORTING</w:t>
      </w:r>
    </w:p>
    <w:bookmarkEnd w:id="592"/>
    <w:p w14:paraId="4B2783AF" w14:textId="77777777" w:rsidR="00A01262" w:rsidRDefault="00A01262" w:rsidP="00A01262">
      <w:pPr>
        <w:pStyle w:val="NormalWeb"/>
      </w:pPr>
      <w:r w:rsidRPr="00DB6B29">
        <w:t xml:space="preserve">On May 23, 2023, in </w:t>
      </w:r>
      <w:r w:rsidRPr="00DB6B29">
        <w:rPr>
          <w:u w:val="single"/>
        </w:rPr>
        <w:t>City of Houston v. Steven M. Dunbar</w:t>
      </w:r>
      <w:r>
        <w:t xml:space="preserve">, the Court of Appeals of Texas, Fourteenth District, held (3 to 1) that the 3-day suspension without pay for not submitting formal report of the incident was properly upheld by Civil Service Commission. The Court of Appeals reversed a District Court judge who had held a “trial de novo” and overturned the suspension.  </w:t>
      </w:r>
      <w:hyperlink r:id="rId2600" w:history="1">
        <w:r w:rsidRPr="009A7773">
          <w:rPr>
            <w:rStyle w:val="Hyperlink"/>
            <w:rFonts w:eastAsiaTheme="majorEastAsia"/>
          </w:rPr>
          <w:t>https://public.fastcase.com/ZZhmr5v9wN%2FXOe5IsQ%2FqD%2FO0LT6Pz0KJcARt671qvqgQi3DbocRDtQ4betl84jRGTGzfHSJMEalmGTdX9780fy05zDa4clbi%2BS%2BLkJBZYf4%3D?utm_medium=email&amp;_hsmi=226712652&amp;_hsenc=p2ANqtz-9l-n7ipvtzcORFmZd03PYol8SHQvcVi0Z6evQ7ScfpqYiZ21zByukFjNZtNWzEIrK0lXEwA0RlErFoyPgnUEJbLhoGpw&amp;utm_content=226712652&amp;utm_source=hs_email</w:t>
        </w:r>
      </w:hyperlink>
      <w:r>
        <w:t xml:space="preserve"> </w:t>
      </w:r>
    </w:p>
    <w:p w14:paraId="45F3BA26" w14:textId="77777777" w:rsidR="00A01262" w:rsidRDefault="00A01262" w:rsidP="00A01262">
      <w:pPr>
        <w:pStyle w:val="NormalWeb"/>
        <w:ind w:left="720"/>
      </w:pPr>
      <w:r>
        <w:t xml:space="preserve">“Dunbar nonetheless argues he had no duty to report the conduct he witnessed. Dunbar first argues that he did not have enough information to report any violation ‘by well-sustained charges,’ as prescribed by section 6.06. The evidence, however, shows that Dunbar witnessed a Houston Rockets player driving a high-water vehicle despite his knowledge that such vehicles could only be driven by HFD members with specific credentials, which would appear to be substantial evidence of a violation of the provisions listed above. Dunbar further argues that he could not determine whether a violation had taken place because he was aware of other events at which athletes had ridden on or driven HFD vehicles. Evidence of such incidents, however, does not dispel substantial evidence of a reportable violation in this </w:t>
      </w:r>
      <w:proofErr w:type="gramStart"/>
      <w:r>
        <w:t>instance.”</w:t>
      </w:r>
      <w:proofErr w:type="gramEnd"/>
      <w:r w:rsidRPr="00137F5F">
        <w:t xml:space="preserve"> </w:t>
      </w:r>
    </w:p>
    <w:p w14:paraId="0D09FDE5" w14:textId="77777777" w:rsidR="00A01262" w:rsidRPr="00137F5F" w:rsidRDefault="00A01262" w:rsidP="00A01262">
      <w:pPr>
        <w:pStyle w:val="NormalWeb"/>
        <w:rPr>
          <w:b/>
          <w:bCs/>
        </w:rPr>
      </w:pPr>
      <w:r w:rsidRPr="00137F5F">
        <w:rPr>
          <w:b/>
          <w:bCs/>
        </w:rPr>
        <w:t xml:space="preserve">Legal Lesson Learned:  </w:t>
      </w:r>
      <w:r>
        <w:rPr>
          <w:b/>
          <w:bCs/>
        </w:rPr>
        <w:t xml:space="preserve">Do not allow civilians to drive your apparatus, including professional athletes at a PR event. </w:t>
      </w:r>
    </w:p>
    <w:p w14:paraId="2FB42D6B" w14:textId="77777777" w:rsidR="00A01262" w:rsidRDefault="00A01262" w:rsidP="00F326E5">
      <w:pPr>
        <w:pStyle w:val="NoSpacing"/>
        <w:rPr>
          <w:rFonts w:ascii="Arial Black" w:hAnsi="Arial Black"/>
          <w:sz w:val="24"/>
          <w:szCs w:val="24"/>
        </w:rPr>
      </w:pPr>
    </w:p>
    <w:p w14:paraId="7B49B0FE" w14:textId="77777777" w:rsidR="00A01262" w:rsidRDefault="00A01262" w:rsidP="00F326E5">
      <w:pPr>
        <w:pStyle w:val="NoSpacing"/>
        <w:rPr>
          <w:rFonts w:ascii="Arial Black" w:hAnsi="Arial Black"/>
          <w:sz w:val="24"/>
          <w:szCs w:val="24"/>
        </w:rPr>
      </w:pPr>
    </w:p>
    <w:p w14:paraId="34ADBA42" w14:textId="68E6DA18" w:rsidR="006A02A4" w:rsidRDefault="006A02A4" w:rsidP="00F326E5">
      <w:pPr>
        <w:pStyle w:val="NoSpacing"/>
        <w:rPr>
          <w:rFonts w:ascii="Arial Black" w:hAnsi="Arial Black"/>
          <w:sz w:val="24"/>
          <w:szCs w:val="24"/>
        </w:rPr>
      </w:pPr>
      <w:r>
        <w:rPr>
          <w:rFonts w:ascii="Arial Black" w:hAnsi="Arial Black"/>
          <w:sz w:val="24"/>
          <w:szCs w:val="24"/>
        </w:rPr>
        <w:t>16-85</w:t>
      </w:r>
    </w:p>
    <w:p w14:paraId="260DA05A" w14:textId="77777777" w:rsidR="006A02A4" w:rsidRDefault="006A02A4" w:rsidP="006A02A4">
      <w:pPr>
        <w:pStyle w:val="NoSpacing"/>
        <w:rPr>
          <w:rStyle w:val="Emphasis"/>
          <w:rFonts w:ascii="Arial Black" w:hAnsi="Arial Black"/>
          <w:i w:val="0"/>
          <w:iCs w:val="0"/>
          <w:sz w:val="28"/>
          <w:szCs w:val="28"/>
        </w:rPr>
      </w:pPr>
    </w:p>
    <w:p w14:paraId="0B1723DE" w14:textId="57F67C5B" w:rsidR="006A02A4" w:rsidRPr="006A02A4" w:rsidRDefault="006A02A4" w:rsidP="006A02A4">
      <w:pPr>
        <w:pStyle w:val="NoSpacing"/>
        <w:rPr>
          <w:rStyle w:val="Emphasis"/>
          <w:rFonts w:ascii="Arial Black" w:hAnsi="Arial Black"/>
          <w:i w:val="0"/>
          <w:iCs w:val="0"/>
          <w:sz w:val="28"/>
          <w:szCs w:val="28"/>
        </w:rPr>
      </w:pPr>
      <w:r w:rsidRPr="006A02A4">
        <w:rPr>
          <w:rStyle w:val="Emphasis"/>
          <w:rFonts w:ascii="Arial Black" w:hAnsi="Arial Black"/>
          <w:i w:val="0"/>
          <w:iCs w:val="0"/>
          <w:sz w:val="28"/>
          <w:szCs w:val="28"/>
        </w:rPr>
        <w:t>IL (4/19/2023) – POLICE DISPATCHER FIRED – CONV. RESISTING PD – NO PD ENTRY HOME DISPUTE WITH KIDS</w:t>
      </w:r>
    </w:p>
    <w:p w14:paraId="11C7AB3B" w14:textId="77777777" w:rsidR="006A02A4" w:rsidRPr="006A02A4" w:rsidRDefault="006A02A4" w:rsidP="006A02A4">
      <w:pPr>
        <w:pStyle w:val="NoSpacing"/>
      </w:pPr>
    </w:p>
    <w:p w14:paraId="715CAAF3" w14:textId="77B7AEFE" w:rsidR="006A02A4" w:rsidRDefault="006A02A4" w:rsidP="00F326E5">
      <w:pPr>
        <w:pStyle w:val="NoSpacing"/>
        <w:rPr>
          <w:rFonts w:ascii="Arial Black" w:hAnsi="Arial Black"/>
          <w:sz w:val="24"/>
          <w:szCs w:val="24"/>
        </w:rPr>
      </w:pPr>
      <w:r w:rsidRPr="003C1643">
        <w:rPr>
          <w:rFonts w:ascii="Times New Roman" w:hAnsi="Times New Roman"/>
          <w:sz w:val="24"/>
          <w:szCs w:val="24"/>
          <w:u w:val="single"/>
        </w:rPr>
        <w:t xml:space="preserve">Nancy McDonald v. </w:t>
      </w:r>
      <w:proofErr w:type="spellStart"/>
      <w:r w:rsidRPr="003C1643">
        <w:rPr>
          <w:rFonts w:ascii="Times New Roman" w:hAnsi="Times New Roman"/>
          <w:sz w:val="24"/>
          <w:szCs w:val="24"/>
          <w:u w:val="single"/>
        </w:rPr>
        <w:t>Dupage</w:t>
      </w:r>
      <w:proofErr w:type="spellEnd"/>
      <w:r w:rsidRPr="003C1643">
        <w:rPr>
          <w:rFonts w:ascii="Times New Roman" w:hAnsi="Times New Roman"/>
          <w:sz w:val="24"/>
          <w:szCs w:val="24"/>
          <w:u w:val="single"/>
        </w:rPr>
        <w:t xml:space="preserve"> Public Safety Communications d/b/a Du-Comm</w:t>
      </w:r>
      <w:r w:rsidRPr="003C1643">
        <w:rPr>
          <w:rFonts w:ascii="Times New Roman" w:hAnsi="Times New Roman"/>
          <w:sz w:val="24"/>
          <w:szCs w:val="24"/>
        </w:rPr>
        <w:t xml:space="preserve">, U.S. District Court Judge Charles P. </w:t>
      </w:r>
      <w:proofErr w:type="spellStart"/>
      <w:r w:rsidRPr="003C1643">
        <w:rPr>
          <w:rFonts w:ascii="Times New Roman" w:hAnsi="Times New Roman"/>
          <w:sz w:val="24"/>
          <w:szCs w:val="24"/>
        </w:rPr>
        <w:t>Kocoras</w:t>
      </w:r>
      <w:proofErr w:type="spellEnd"/>
      <w:r w:rsidRPr="003C1643">
        <w:rPr>
          <w:rFonts w:ascii="Times New Roman" w:hAnsi="Times New Roman"/>
          <w:sz w:val="24"/>
          <w:szCs w:val="24"/>
        </w:rPr>
        <w:t xml:space="preserve">, U.S. District Court for Northern District of Illinois, Eastern Division.  </w:t>
      </w:r>
    </w:p>
    <w:p w14:paraId="4D44A7B5" w14:textId="77777777" w:rsidR="006A02A4" w:rsidRPr="003C1643" w:rsidRDefault="006A02A4" w:rsidP="006A02A4">
      <w:pPr>
        <w:pStyle w:val="NoSpacing"/>
        <w:rPr>
          <w:rFonts w:ascii="Times New Roman" w:hAnsi="Times New Roman"/>
          <w:sz w:val="24"/>
          <w:szCs w:val="24"/>
        </w:rPr>
      </w:pPr>
      <w:hyperlink r:id="rId2601" w:history="1">
        <w:r w:rsidRPr="003C1643">
          <w:rPr>
            <w:rStyle w:val="Hyperlink"/>
            <w:rFonts w:ascii="Times New Roman" w:hAnsi="Times New Roman"/>
            <w:sz w:val="24"/>
            <w:szCs w:val="24"/>
          </w:rPr>
          <w:t>https://public.fastcase.com/ZZhmr5v9wN%2FXOe5IsQ%2FqD%2FbRI5yk0CTLrJ1wUlp23a2jtoF9iRGzOsDdRZIWd9GyXFY2izvgsnflzL0%2FFWSL%2FPpsQUa%2FiEphINoTWEFNJVE%3D?utm_medium=email&amp;_hsmi=226712652&amp;_hsenc=p2ANqtz-8tSxN7q872uN51HDKRs8bBT2KkYc5se6Y34IcB-qusszHk_1kcdMtqv3s-tJTiEGYg-zZ48WEGXoPe6gX9Sz_hnuHHnA&amp;utm_content=226712652&amp;utm_source=hs_email</w:t>
        </w:r>
      </w:hyperlink>
      <w:r w:rsidRPr="003C1643">
        <w:rPr>
          <w:rFonts w:ascii="Times New Roman" w:hAnsi="Times New Roman"/>
          <w:sz w:val="24"/>
          <w:szCs w:val="24"/>
        </w:rPr>
        <w:t xml:space="preserve"> </w:t>
      </w:r>
    </w:p>
    <w:p w14:paraId="5DE2AEB5" w14:textId="77777777" w:rsidR="006A02A4" w:rsidRPr="003C1643" w:rsidRDefault="006A02A4" w:rsidP="006A02A4">
      <w:pPr>
        <w:pStyle w:val="NormalWeb"/>
        <w:rPr>
          <w:b/>
          <w:bCs/>
        </w:rPr>
      </w:pPr>
      <w:r w:rsidRPr="003C1643">
        <w:rPr>
          <w:b/>
          <w:bCs/>
        </w:rPr>
        <w:t xml:space="preserve">Legal Lesson Learned: A police dispatcher must avoid conduct leading to arrest for obstructing police. </w:t>
      </w:r>
    </w:p>
    <w:p w14:paraId="37EDCE52" w14:textId="77777777" w:rsidR="006A02A4" w:rsidRDefault="006A02A4" w:rsidP="00F326E5">
      <w:pPr>
        <w:pStyle w:val="NoSpacing"/>
        <w:rPr>
          <w:rFonts w:ascii="Arial Black" w:hAnsi="Arial Black"/>
          <w:sz w:val="24"/>
          <w:szCs w:val="24"/>
        </w:rPr>
      </w:pPr>
    </w:p>
    <w:p w14:paraId="5BEC1FA8" w14:textId="77777777" w:rsidR="006A02A4" w:rsidRDefault="006A02A4" w:rsidP="00F326E5">
      <w:pPr>
        <w:pStyle w:val="NoSpacing"/>
        <w:rPr>
          <w:rFonts w:ascii="Arial Black" w:hAnsi="Arial Black"/>
          <w:sz w:val="24"/>
          <w:szCs w:val="24"/>
        </w:rPr>
      </w:pPr>
    </w:p>
    <w:p w14:paraId="37AA26D6" w14:textId="3910FDFA" w:rsidR="007F5C26" w:rsidRDefault="00D66BAA" w:rsidP="00F326E5">
      <w:pPr>
        <w:pStyle w:val="NoSpacing"/>
        <w:rPr>
          <w:rFonts w:ascii="Arial Black" w:hAnsi="Arial Black"/>
          <w:sz w:val="24"/>
          <w:szCs w:val="24"/>
        </w:rPr>
      </w:pPr>
      <w:r>
        <w:rPr>
          <w:rFonts w:ascii="Arial Black" w:hAnsi="Arial Black"/>
          <w:sz w:val="24"/>
          <w:szCs w:val="24"/>
        </w:rPr>
        <w:t>16-84</w:t>
      </w:r>
    </w:p>
    <w:p w14:paraId="23F3B2E3" w14:textId="77777777" w:rsidR="00D66BAA" w:rsidRDefault="00D66BAA" w:rsidP="00D66BAA">
      <w:pPr>
        <w:pStyle w:val="NormalWeb"/>
        <w:rPr>
          <w:rFonts w:ascii="Arial Black" w:hAnsi="Arial Black" w:cs="Arial"/>
          <w:sz w:val="28"/>
          <w:szCs w:val="28"/>
        </w:rPr>
      </w:pPr>
      <w:r>
        <w:rPr>
          <w:rFonts w:ascii="Arial Black" w:hAnsi="Arial Black" w:cs="Arial"/>
          <w:sz w:val="28"/>
          <w:szCs w:val="28"/>
        </w:rPr>
        <w:t>FL: FIRE CHIEF HAS “ABSOLUTE IMMUNITY” DEFAMATION – 6 FF FIRED DEFACING BLACK LT’s FAMILY PICTURES</w:t>
      </w:r>
    </w:p>
    <w:p w14:paraId="5722628A" w14:textId="77777777" w:rsidR="00D66BAA" w:rsidRDefault="00D66BAA" w:rsidP="00D66BAA">
      <w:pPr>
        <w:pStyle w:val="NormalWeb"/>
      </w:pPr>
      <w:r>
        <w:t xml:space="preserve">On March 24, 2023, the Florida Supreme Court declined to hear the appeal of three firefighters, who were part of a group of six fired on Nov. 1, 2017. </w:t>
      </w:r>
      <w:hyperlink r:id="rId2602" w:history="1">
        <w:r>
          <w:rPr>
            <w:rStyle w:val="Hyperlink"/>
          </w:rPr>
          <w:t>https://public.fastcase.com/ppbqSQpNDaJE%2F8PlIk0b8GrZRoSxZNSyZ1IPMsly8LQqd8zJpEjl6u9Blu91YAS9</w:t>
        </w:r>
      </w:hyperlink>
      <w:r>
        <w:t xml:space="preserve">.  Three firefighters won their jobs back after arbitration and then sued the Fire Chief and City for defamation.  They alleged they were put in a false light when the Fire Chief issued a Press Release with their photos, and held a Press Conference that connected the three firefighters (A-Shift firefighters) not only with drawing of the phallic images on the family photos of a Black Lieutenant (occurred on Sept. 9, 2017, A-Shift), but also falsely connected them with and the placing of a string shaped like a noose over one of the Lt’s family photos (Sept. 10, 2017, B-Shift firefighters). </w:t>
      </w:r>
    </w:p>
    <w:p w14:paraId="5D2B2B30" w14:textId="77777777" w:rsidR="00D66BAA" w:rsidRDefault="00D66BAA" w:rsidP="00D66BAA">
      <w:pPr>
        <w:pStyle w:val="NormalWeb"/>
        <w:ind w:left="720"/>
      </w:pPr>
      <w:r>
        <w:t xml:space="preserve">The State Supreme Court thereby declined to set aside the Florida Third District Court of Appeals decision on Aug. 24, </w:t>
      </w:r>
      <w:proofErr w:type="gramStart"/>
      <w:r>
        <w:t>2022</w:t>
      </w:r>
      <w:proofErr w:type="gramEnd"/>
      <w:r>
        <w:t xml:space="preserve"> which held Fire Chief enjoys “absolute immunity” from defamation lawsuit.  Court of Appeals held (3 to 0), “In Florida, public officials are </w:t>
      </w:r>
      <w:proofErr w:type="gramStart"/>
      <w:r>
        <w:t>absolutely immune</w:t>
      </w:r>
      <w:proofErr w:type="gramEnd"/>
      <w:r>
        <w:t xml:space="preserve"> from suit for defamation </w:t>
      </w:r>
      <w:proofErr w:type="gramStart"/>
      <w:r>
        <w:t>as long as</w:t>
      </w:r>
      <w:proofErr w:type="gramEnd"/>
      <w:r>
        <w:t xml:space="preserve"> their allegedly defamatory statements were made within the scope of their duties….Here, Chief </w:t>
      </w:r>
      <w:proofErr w:type="spellStart"/>
      <w:r>
        <w:t>Zahralban</w:t>
      </w:r>
      <w:proofErr w:type="spellEnd"/>
      <w:r>
        <w:t xml:space="preserve"> is the director of the City’s fire-rescue department…. Therefore, Chief </w:t>
      </w:r>
      <w:proofErr w:type="spellStart"/>
      <w:r>
        <w:t>Zahralban</w:t>
      </w:r>
      <w:proofErr w:type="spellEnd"/>
      <w:r>
        <w:t xml:space="preserve"> and the City are </w:t>
      </w:r>
      <w:proofErr w:type="gramStart"/>
      <w:r>
        <w:t>absolutely immune</w:t>
      </w:r>
      <w:proofErr w:type="gramEnd"/>
      <w:r>
        <w:t xml:space="preserve"> from suit for Chief Zahralban’s written and oral statements relating to the City’s termination of the Respondents as the statements were made within the scope of Chief Zahralban’s duties as the director of the City’s fire-rescue department.” </w:t>
      </w:r>
      <w:hyperlink r:id="rId2603" w:history="1">
        <w:r>
          <w:rPr>
            <w:rStyle w:val="Hyperlink"/>
          </w:rPr>
          <w:t>https://law.justia.com/cases/florida/third-district-court-of-appeal/2022/3d21-2413.html</w:t>
        </w:r>
      </w:hyperlink>
      <w:r>
        <w:t xml:space="preserve"> </w:t>
      </w:r>
    </w:p>
    <w:p w14:paraId="5C24AF38" w14:textId="77777777" w:rsidR="00D66BAA" w:rsidRDefault="00D66BAA" w:rsidP="00D66BAA">
      <w:pPr>
        <w:pStyle w:val="NormalWeb"/>
        <w:ind w:left="720"/>
      </w:pPr>
      <w:r>
        <w:t xml:space="preserve">The Fire Chief issued a written Press Release on Nov. 2, 2017, and held a Press Conference on Nov. 3. The written Press Release stated, in part, as follows: </w:t>
      </w:r>
    </w:p>
    <w:p w14:paraId="0662EEEF" w14:textId="77777777" w:rsidR="00D66BAA" w:rsidRDefault="00D66BAA" w:rsidP="00D66BAA">
      <w:pPr>
        <w:pStyle w:val="NormalWeb"/>
        <w:ind w:left="1440"/>
      </w:pPr>
      <w:r>
        <w:t xml:space="preserve">“On September 9th, 2017, a member with the City of Miami Fire Rescue was a victim of a hideous, distasteful act of hate in one of our fire stations. This </w:t>
      </w:r>
      <w:proofErr w:type="gramStart"/>
      <w:r>
        <w:t>Lieutenant of</w:t>
      </w:r>
      <w:proofErr w:type="gramEnd"/>
      <w:r>
        <w:t xml:space="preserve"> 17 </w:t>
      </w:r>
      <w:proofErr w:type="gramStart"/>
      <w:r>
        <w:t>years with the department</w:t>
      </w:r>
      <w:proofErr w:type="gramEnd"/>
      <w:r>
        <w:t xml:space="preserve">, discovered his family photos were defaced with lewd and sexually explicit renderings and a </w:t>
      </w:r>
      <w:proofErr w:type="gramStart"/>
      <w:r>
        <w:t>noose</w:t>
      </w:r>
      <w:proofErr w:type="gramEnd"/>
      <w:r>
        <w:t xml:space="preserve"> draped over one [of] the photos. This was immediately reported to my staff and as a result, I personally responded to the station. Appalled by my observation, I immediately requested the Miami Police Department investigate the matter and temporarily transferred all personnel assigned to that station, </w:t>
      </w:r>
      <w:proofErr w:type="gramStart"/>
      <w:r>
        <w:t>per</w:t>
      </w:r>
      <w:proofErr w:type="gramEnd"/>
      <w:r>
        <w:t xml:space="preserve"> our department policy. During the investigation, findings determined eleven (11) personnel had some involvement with the incident and they were relieved of duty. Additional evidence discovered identified six (6) of those individuals directly involved and swift administrative action was implemented. Under my authority, a Captain, a Lieutenant and 4 firefighters were terminated for offenses surrounding egregious and hateful conduct.”</w:t>
      </w:r>
    </w:p>
    <w:p w14:paraId="1C74F668" w14:textId="77777777" w:rsidR="00D66BAA" w:rsidRDefault="00D66BAA" w:rsidP="00D66BAA">
      <w:pPr>
        <w:pStyle w:val="NormalWeb"/>
        <w:rPr>
          <w:b/>
          <w:bCs/>
        </w:rPr>
      </w:pPr>
      <w:r>
        <w:rPr>
          <w:b/>
          <w:bCs/>
        </w:rPr>
        <w:t xml:space="preserve">Legal Lesson Learned: Helpful Florida decision about a “hideous, distasteful act of hate.” </w:t>
      </w:r>
    </w:p>
    <w:p w14:paraId="4E1DB45E" w14:textId="77777777" w:rsidR="00D66BAA" w:rsidRDefault="00D66BAA" w:rsidP="00D66BAA">
      <w:pPr>
        <w:pStyle w:val="Heading1"/>
        <w:ind w:left="720"/>
        <w:rPr>
          <w:b w:val="0"/>
          <w:bCs w:val="0"/>
          <w:sz w:val="24"/>
          <w:szCs w:val="24"/>
        </w:rPr>
      </w:pPr>
      <w:r>
        <w:rPr>
          <w:b w:val="0"/>
          <w:bCs w:val="0"/>
          <w:sz w:val="24"/>
          <w:szCs w:val="24"/>
        </w:rPr>
        <w:t xml:space="preserve">Note: See March 27, </w:t>
      </w:r>
      <w:proofErr w:type="gramStart"/>
      <w:r>
        <w:rPr>
          <w:b w:val="0"/>
          <w:bCs w:val="0"/>
          <w:sz w:val="24"/>
          <w:szCs w:val="24"/>
        </w:rPr>
        <w:t>2023</w:t>
      </w:r>
      <w:proofErr w:type="gramEnd"/>
      <w:r>
        <w:rPr>
          <w:b w:val="0"/>
          <w:bCs w:val="0"/>
          <w:sz w:val="24"/>
          <w:szCs w:val="24"/>
        </w:rPr>
        <w:t xml:space="preserve"> Press Coverage: “Florida Supreme Court turns down Miami firefighter defamation case.” </w:t>
      </w:r>
      <w:hyperlink r:id="rId2604" w:history="1">
        <w:r>
          <w:rPr>
            <w:rStyle w:val="Hyperlink"/>
            <w:b w:val="0"/>
            <w:bCs w:val="0"/>
            <w:sz w:val="24"/>
            <w:szCs w:val="24"/>
          </w:rPr>
          <w:t>https://www.cbsnews.com/miami/news/florida-supreme-court-turns-down-miami-firefighter-defamation-case/</w:t>
        </w:r>
      </w:hyperlink>
      <w:r>
        <w:rPr>
          <w:b w:val="0"/>
          <w:bCs w:val="0"/>
          <w:sz w:val="24"/>
          <w:szCs w:val="24"/>
        </w:rPr>
        <w:t xml:space="preserve"> </w:t>
      </w:r>
    </w:p>
    <w:p w14:paraId="649D6A04" w14:textId="77777777" w:rsidR="00D66BAA" w:rsidRDefault="00D66BAA" w:rsidP="00D66BAA">
      <w:pPr>
        <w:pStyle w:val="NormalWeb"/>
      </w:pPr>
    </w:p>
    <w:p w14:paraId="342253C0" w14:textId="33E8A81E" w:rsidR="00D66BAA" w:rsidRDefault="00D66BAA" w:rsidP="00F326E5">
      <w:pPr>
        <w:pStyle w:val="NoSpacing"/>
        <w:rPr>
          <w:rFonts w:ascii="Arial Black" w:hAnsi="Arial Black"/>
          <w:sz w:val="24"/>
          <w:szCs w:val="24"/>
        </w:rPr>
      </w:pPr>
      <w:r>
        <w:rPr>
          <w:rFonts w:ascii="Arial Black" w:hAnsi="Arial Black"/>
          <w:sz w:val="24"/>
          <w:szCs w:val="24"/>
        </w:rPr>
        <w:t>16-83</w:t>
      </w:r>
    </w:p>
    <w:p w14:paraId="7F866694" w14:textId="621A3A3E" w:rsidR="00D66BAA" w:rsidRDefault="00D66BAA" w:rsidP="00F326E5">
      <w:pPr>
        <w:pStyle w:val="NoSpacing"/>
        <w:rPr>
          <w:rFonts w:ascii="Arial Black" w:hAnsi="Arial Black"/>
          <w:sz w:val="24"/>
          <w:szCs w:val="24"/>
        </w:rPr>
      </w:pPr>
    </w:p>
    <w:p w14:paraId="5DC9089D" w14:textId="77777777" w:rsidR="00D66BAA" w:rsidRDefault="00D66BAA" w:rsidP="00D66BAA">
      <w:pPr>
        <w:pStyle w:val="NormalWeb"/>
        <w:rPr>
          <w:rFonts w:ascii="Arial Black" w:hAnsi="Arial Black"/>
          <w:sz w:val="28"/>
          <w:szCs w:val="28"/>
        </w:rPr>
      </w:pPr>
      <w:r>
        <w:rPr>
          <w:rFonts w:ascii="Arial Black" w:hAnsi="Arial Black"/>
          <w:sz w:val="28"/>
          <w:szCs w:val="28"/>
        </w:rPr>
        <w:t>TN:  FF CONV. ASSAULT WITH .38 - FIRED – LIMITED CROSS-EXAM CHIEF OTHER FF DISCIPLINE WAS APPROPRIATE</w:t>
      </w:r>
    </w:p>
    <w:p w14:paraId="045C5504" w14:textId="77777777" w:rsidR="00D66BAA" w:rsidRDefault="00D66BAA" w:rsidP="00D66BAA">
      <w:pPr>
        <w:pStyle w:val="NormalWeb"/>
      </w:pPr>
      <w:r>
        <w:t xml:space="preserve">On March 21, 2023, in </w:t>
      </w:r>
      <w:r>
        <w:rPr>
          <w:u w:val="single"/>
        </w:rPr>
        <w:t>Paul Zachary Moss v. Shelby County Civil Service Merit Board</w:t>
      </w:r>
      <w:r>
        <w:t xml:space="preserve">, the Supreme Court of Tennessee, held (5 to 0) that the Civil Service Board properly limited cross-examination of the Fire Chief after he testified about his “uniform” policy of terminating firefighters convicted of misuse of firearms. The Court noted that at the Board hearing: “During cross-examination, counsel for Mr. Moss attempted to question Chief Benson about whether he had uniformly applied this policy to prior disciplinary incidents, specifically asking about a firefighter who had committed sexual assault. Chief Benson testified that ‘a firefighter who committed sexual </w:t>
      </w:r>
      <w:proofErr w:type="gramStart"/>
      <w:r>
        <w:t>battery</w:t>
      </w:r>
      <w:proofErr w:type="gramEnd"/>
      <w:r>
        <w:t xml:space="preserve"> would likely be terminated.’ When Mr. Moss's attorney asked Chief Benson why he had not terminated that </w:t>
      </w:r>
      <w:proofErr w:type="gramStart"/>
      <w:r>
        <w:t>particular firefighter</w:t>
      </w:r>
      <w:proofErr w:type="gramEnd"/>
      <w:r>
        <w:t xml:space="preserve">, counsel for the Fire Department objected to the line of questioning as irrelevant. The Board sustained the objection and declined to hear evidence relating to the prior discipline.”  The TN Court of Appeals held this violated the firefighters due process rights. </w:t>
      </w:r>
    </w:p>
    <w:p w14:paraId="65363618" w14:textId="77777777" w:rsidR="00D66BAA" w:rsidRDefault="00D66BAA" w:rsidP="00D66BAA">
      <w:pPr>
        <w:pStyle w:val="NormalWeb"/>
        <w:ind w:left="720"/>
      </w:pPr>
      <w:r>
        <w:t xml:space="preserve">The TN Supreme Court ruled overturned the Court of Appeals: “If allowed to stand, the Court of Appeals decision would confine civil service agencies to a level of imposed discipline in line with previous instances. For example, if a civil service agency wants to "crack down" on particularly troubling behavior within the agency, it would be limited to whatever discipline was previously meted out in the past, essentially nullifying any deterrent effect. There is also the issue of pragmatism. If Mr. Moss's argument carries the day, merit boards (and the courts to which their decisions are appealed) will sift through instances of past discipline to determine whether the prior instances are analogous to the cases before them. And, at the very least, Mr. Moss's position does not fit within the "limited scope of review" utilized by this Court in reviewing administrative agency decisions and would undermine the deference we have traditionally given to agencies </w:t>
      </w:r>
      <w:proofErr w:type="gramStart"/>
      <w:r>
        <w:t>with regard to</w:t>
      </w:r>
      <w:proofErr w:type="gramEnd"/>
      <w:r>
        <w:t xml:space="preserve"> personnel matters…. In sum, the Board's decision to exclude Mr. Moss's disparate discipline evidence was not a clear error in judgment…. The Board did not abuse its discretion in determining that the evidence was irrelevant to the issue of whether there was just cause to terminate Mr. Moss's employment.” </w:t>
      </w:r>
      <w:hyperlink r:id="rId2605" w:history="1">
        <w:r>
          <w:rPr>
            <w:rStyle w:val="Hyperlink"/>
          </w:rPr>
          <w:t>https://www.tncourts.gov/sites/default/files/OpinionsPDFVersion/MOSS%20-%20Majority%20Opinion.pdf</w:t>
        </w:r>
      </w:hyperlink>
      <w:r>
        <w:t xml:space="preserve"> </w:t>
      </w:r>
    </w:p>
    <w:p w14:paraId="6BC62709" w14:textId="77777777" w:rsidR="00D66BAA" w:rsidRDefault="00D66BAA" w:rsidP="00D66BAA">
      <w:pPr>
        <w:pStyle w:val="NormalWeb"/>
        <w:ind w:left="720"/>
      </w:pPr>
      <w:r>
        <w:t xml:space="preserve">“On November 1, 2013, several individuals held a political rally on an interstate overpass in Memphis. Rally participants held signs that advocated for the impeachment of then-President Barack Obama, and at least one individual wore a plastic mask depicting President Obama. Passing motorists reacted negatively to the demonstration. Fearful of the possibility of violence, participants called the Memphis Police </w:t>
      </w:r>
      <w:proofErr w:type="gramStart"/>
      <w:r>
        <w:t>Department (‘</w:t>
      </w:r>
      <w:proofErr w:type="gramEnd"/>
      <w:r>
        <w:t xml:space="preserve">MPD’) for assistance. </w:t>
      </w:r>
    </w:p>
    <w:p w14:paraId="2BD468D3" w14:textId="77777777" w:rsidR="00D66BAA" w:rsidRDefault="00D66BAA" w:rsidP="00D66BAA">
      <w:pPr>
        <w:pStyle w:val="NormalWeb"/>
        <w:ind w:left="720" w:firstLine="60"/>
      </w:pPr>
      <w:r>
        <w:t xml:space="preserve">Paul Zachary Moss arrived at the overpass after his wife, a rally attendee, said she </w:t>
      </w:r>
      <w:proofErr w:type="gramStart"/>
      <w:r>
        <w:t>feared for</w:t>
      </w:r>
      <w:proofErr w:type="gramEnd"/>
      <w:r>
        <w:t xml:space="preserve"> her safety. Mr. Moss approached the scene armed with a .38 caliber handgun. Upon learning that an attendee, Thomas Mason Ezzell, Jr., wore the ‘Obama mask,’ Mr. Moss became angry. The situation escalated into a physical altercation between Mr. Moss, Mr. Ezzell, and another rally attendee, Earl Mayfield. Mr. Moss pointed his handgun at both men, threatening to kill them. Mr. Ezzell and Mr. Mayfield relented, and Mr. Moss returned to his truck where he was disarmed and arrested by MPD officers. Mr. Moss informed the Fire Department about the incident. </w:t>
      </w:r>
    </w:p>
    <w:p w14:paraId="0EC63781" w14:textId="77777777" w:rsidR="00D66BAA" w:rsidRDefault="00D66BAA" w:rsidP="00D66BAA">
      <w:pPr>
        <w:pStyle w:val="NormalWeb"/>
        <w:ind w:left="720" w:firstLine="60"/>
      </w:pPr>
      <w:r>
        <w:t>***</w:t>
      </w:r>
    </w:p>
    <w:p w14:paraId="654C02F6" w14:textId="77777777" w:rsidR="00D66BAA" w:rsidRDefault="00D66BAA" w:rsidP="00D66BAA">
      <w:pPr>
        <w:spacing w:after="10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[At the Board hearing] Mr. Moss said he became upset and yelled at Mr. Ezzell because Mr. Moss's wife had been put in a dangerous situation. He admitted saying to Mr. Ezzell, ‘Are you stupid?’ He also acknowledged that he was ‘trying to be heard,’ but denied swinging at, grabbing, or punching Mr. Ezzell. Mr. Moss explained that Mr. Mayfield hit him from behind and put him on the ground in a headlock, and Mr. Ezzell tried to grab his arms. When Mr. Moss freed himself, he </w:t>
      </w:r>
      <w:proofErr w:type="gramStart"/>
      <w:r>
        <w:rPr>
          <w:rFonts w:ascii="Times New Roman" w:eastAsia="Times New Roman" w:hAnsi="Times New Roman"/>
          <w:sz w:val="24"/>
          <w:szCs w:val="24"/>
        </w:rPr>
        <w:t>pulled</w:t>
      </w:r>
      <w:proofErr w:type="gramEnd"/>
      <w:r>
        <w:rPr>
          <w:rFonts w:ascii="Times New Roman" w:eastAsia="Times New Roman" w:hAnsi="Times New Roman"/>
          <w:sz w:val="24"/>
          <w:szCs w:val="24"/>
        </w:rPr>
        <w:t xml:space="preserve"> his gun because he felt he was in imminent danger. The police arrested Mr. Moss and took him to the police station. After his release, Mr. Moss reported his arrest to his battalion chief. </w:t>
      </w:r>
    </w:p>
    <w:p w14:paraId="301A92ED" w14:textId="77777777" w:rsidR="00D66BAA" w:rsidRDefault="00D66BAA" w:rsidP="00D66BAA">
      <w:pPr>
        <w:spacing w:after="100" w:line="240" w:lineRule="auto"/>
        <w:ind w:left="720"/>
      </w:pPr>
      <w:r>
        <w:rPr>
          <w:rFonts w:ascii="Times New Roman" w:eastAsia="Times New Roman" w:hAnsi="Times New Roman"/>
          <w:sz w:val="24"/>
          <w:szCs w:val="24"/>
        </w:rPr>
        <w:t>***</w:t>
      </w:r>
    </w:p>
    <w:p w14:paraId="068355BC" w14:textId="77777777" w:rsidR="00D66BAA" w:rsidRDefault="00D66BAA" w:rsidP="00D66BAA">
      <w:pPr>
        <w:pStyle w:val="NormalWeb"/>
        <w:ind w:left="720" w:firstLine="60"/>
      </w:pPr>
      <w:r>
        <w:t xml:space="preserve">Later, a grand jury indicted Mr. Moss on two counts of aggravated assault. He entered an </w:t>
      </w:r>
      <w:r>
        <w:rPr>
          <w:rStyle w:val="Emphasis"/>
        </w:rPr>
        <w:t>Alford</w:t>
      </w:r>
      <w:r>
        <w:t xml:space="preserve"> plea to one count of aggravated assault. After successfully completing three years of judicial diversion, the diverted charge was </w:t>
      </w:r>
      <w:proofErr w:type="gramStart"/>
      <w:r>
        <w:t>dismissed.”</w:t>
      </w:r>
      <w:proofErr w:type="gramEnd"/>
    </w:p>
    <w:p w14:paraId="777CB348" w14:textId="77777777" w:rsidR="00D66BAA" w:rsidRDefault="00D66BAA" w:rsidP="00D66BAA">
      <w:pPr>
        <w:pStyle w:val="NormalWeb"/>
        <w:rPr>
          <w:rStyle w:val="Emphasis"/>
          <w:b/>
          <w:bCs/>
        </w:rPr>
      </w:pPr>
      <w:r>
        <w:rPr>
          <w:b/>
          <w:bCs/>
        </w:rPr>
        <w:t xml:space="preserve">Legal Lesson Learned: Serious facts involving improper use of </w:t>
      </w:r>
      <w:proofErr w:type="gramStart"/>
      <w:r>
        <w:rPr>
          <w:b/>
          <w:bCs/>
        </w:rPr>
        <w:t>firearm</w:t>
      </w:r>
      <w:proofErr w:type="gramEnd"/>
      <w:r>
        <w:rPr>
          <w:b/>
          <w:bCs/>
        </w:rPr>
        <w:t xml:space="preserve"> has led to termination. </w:t>
      </w:r>
    </w:p>
    <w:p w14:paraId="23394DBE" w14:textId="77777777" w:rsidR="00D66BAA" w:rsidRDefault="00D66BAA" w:rsidP="00F326E5">
      <w:pPr>
        <w:pStyle w:val="NoSpacing"/>
        <w:rPr>
          <w:rFonts w:ascii="Arial Black" w:hAnsi="Arial Black"/>
          <w:sz w:val="24"/>
          <w:szCs w:val="24"/>
        </w:rPr>
      </w:pPr>
    </w:p>
    <w:p w14:paraId="5058242C" w14:textId="77777777" w:rsidR="00D66BAA" w:rsidRDefault="00D66BAA" w:rsidP="00F326E5">
      <w:pPr>
        <w:pStyle w:val="NoSpacing"/>
        <w:rPr>
          <w:rFonts w:ascii="Arial Black" w:hAnsi="Arial Black"/>
          <w:sz w:val="24"/>
          <w:szCs w:val="24"/>
        </w:rPr>
      </w:pPr>
    </w:p>
    <w:p w14:paraId="58773990" w14:textId="77777777" w:rsidR="00D66BAA" w:rsidRDefault="00D66BAA" w:rsidP="00F326E5">
      <w:pPr>
        <w:pStyle w:val="NoSpacing"/>
        <w:rPr>
          <w:rFonts w:ascii="Arial Black" w:hAnsi="Arial Black"/>
          <w:sz w:val="24"/>
          <w:szCs w:val="24"/>
        </w:rPr>
      </w:pPr>
    </w:p>
    <w:p w14:paraId="0550BF23" w14:textId="60708A51" w:rsidR="00F55395" w:rsidRDefault="00F55395" w:rsidP="00F326E5">
      <w:pPr>
        <w:pStyle w:val="NoSpacing"/>
        <w:rPr>
          <w:rFonts w:ascii="Arial Black" w:hAnsi="Arial Black"/>
          <w:sz w:val="24"/>
          <w:szCs w:val="24"/>
        </w:rPr>
      </w:pPr>
      <w:r>
        <w:rPr>
          <w:rFonts w:ascii="Arial Black" w:hAnsi="Arial Black"/>
          <w:sz w:val="24"/>
          <w:szCs w:val="24"/>
        </w:rPr>
        <w:t>16-82</w:t>
      </w:r>
    </w:p>
    <w:p w14:paraId="1DDBF8C0" w14:textId="77777777" w:rsidR="00F55395" w:rsidRDefault="00F55395" w:rsidP="00F55395">
      <w:pPr>
        <w:pStyle w:val="NormalWeb"/>
        <w:rPr>
          <w:rFonts w:ascii="Arial Black" w:hAnsi="Arial Black"/>
          <w:sz w:val="28"/>
          <w:szCs w:val="28"/>
        </w:rPr>
      </w:pPr>
      <w:r>
        <w:rPr>
          <w:rFonts w:ascii="Arial Black" w:hAnsi="Arial Black"/>
          <w:sz w:val="28"/>
          <w:szCs w:val="28"/>
        </w:rPr>
        <w:t>IL: RACIST FACEBOOK POSTINGS – CHICAGO FF FIRED –CASE PROCEED DISCOVERY – “BALANCING” TEST</w:t>
      </w:r>
    </w:p>
    <w:p w14:paraId="1AE290EE" w14:textId="77777777" w:rsidR="00F55395" w:rsidRDefault="00F55395" w:rsidP="00F55395">
      <w:pPr>
        <w:pStyle w:val="NormalWeb"/>
      </w:pPr>
      <w:r>
        <w:t xml:space="preserve">On March 3, 2023, in </w:t>
      </w:r>
      <w:r w:rsidRPr="007543F8">
        <w:rPr>
          <w:u w:val="single"/>
        </w:rPr>
        <w:t>Sam Inendino v. Lori Lightfoot, City of Chicago, et al</w:t>
      </w:r>
      <w:r>
        <w:t xml:space="preserve">., U.S. District Court Judge Thomas M. Durkin, Northern District of Illinois, denied in part the City’s motion to dismiss.  The Judge wrote: “The Seventh Circuit, however, has advised courts that the relative balancing of the state's interests against the employee's interests should not be decided at the pleading stage because it is “preferable to leave to the defendant the burden of raising justification as an affirmative defense.” </w:t>
      </w:r>
      <w:r>
        <w:rPr>
          <w:rStyle w:val="Emphasis"/>
        </w:rPr>
        <w:t>Gustafson v. Jones</w:t>
      </w:r>
      <w:r>
        <w:t xml:space="preserve">, 117 F.3d 1015, 1019 (7th Cir. 1997); </w:t>
      </w:r>
      <w:r>
        <w:rPr>
          <w:rStyle w:val="Emphasis"/>
        </w:rPr>
        <w:t>Glass v. Dachel</w:t>
      </w:r>
      <w:r>
        <w:t xml:space="preserve">, 2 F.3d 733, 744 (7th Cir. 1993) (explaining that the state bears the burden of demonstrating an interest which outweighs the employee's interest in speaking). *** </w:t>
      </w:r>
      <w:r w:rsidRPr="00FB7CED">
        <w:t xml:space="preserve"> </w:t>
      </w:r>
      <w:r>
        <w:t xml:space="preserve">Therefore, and because the </w:t>
      </w:r>
      <w:r>
        <w:rPr>
          <w:rStyle w:val="Emphasis"/>
        </w:rPr>
        <w:t>Pickering</w:t>
      </w:r>
      <w:r>
        <w:t xml:space="preserve"> </w:t>
      </w:r>
      <w:r w:rsidRPr="00FB7CED">
        <w:rPr>
          <w:color w:val="000000" w:themeColor="text1"/>
        </w:rPr>
        <w:t>[</w:t>
      </w:r>
      <w:hyperlink r:id="rId2606" w:tgtFrame="_blank" w:history="1">
        <w:r w:rsidRPr="00FB7CED">
          <w:rPr>
            <w:rStyle w:val="Emphasis"/>
            <w:color w:val="000000" w:themeColor="text1"/>
          </w:rPr>
          <w:t xml:space="preserve">Pickering v. Board of Education, </w:t>
        </w:r>
        <w:r w:rsidRPr="00FB7CED">
          <w:rPr>
            <w:rStyle w:val="Hyperlink"/>
            <w:rFonts w:eastAsiaTheme="majorEastAsia"/>
            <w:color w:val="000000" w:themeColor="text1"/>
          </w:rPr>
          <w:t>391 U.S. 563 (1968)</w:t>
        </w:r>
      </w:hyperlink>
      <w:r w:rsidRPr="00FB7CED">
        <w:rPr>
          <w:rStyle w:val="s1"/>
        </w:rPr>
        <w:t>]</w:t>
      </w:r>
      <w:r>
        <w:rPr>
          <w:rStyle w:val="s1"/>
        </w:rPr>
        <w:t xml:space="preserve"> </w:t>
      </w:r>
      <w:r>
        <w:t>balancing test is highly fact dependent, its application ‘will be possible only after the parties have had an opportunity to conduct some discovery.’”</w:t>
      </w:r>
      <w:r w:rsidRPr="00FB7CED">
        <w:t xml:space="preserve"> </w:t>
      </w:r>
      <w:hyperlink r:id="rId2607" w:history="1">
        <w:r w:rsidRPr="00C863CC">
          <w:rPr>
            <w:rStyle w:val="Hyperlink"/>
            <w:rFonts w:eastAsiaTheme="majorEastAsia"/>
          </w:rPr>
          <w:t>https://public.fastcase.com/J%2FJP6pdidelsXxEE4k%2BLMjaDEWROmrH16cfc6gra3ASxsA6ABb5gmKr7dgTVPZFAyucR%2F24MD4mhTmh6U3JDqNSXBmdIcjdrjArbqC4ueHA%3D?utm_medium=email&amp;_hsmi=226712652&amp;_hsenc=p2ANqtz-8djIG1sQ_3FyKMXC40KW2oDEllslyVj_QIL_DW9IJ-72SY8jUMapn9qVvf0Txy9Aeh2fYzSIF_AEMjkupRX651B5mjNw&amp;utm_content=226712652&amp;utm_source=hs_email</w:t>
        </w:r>
      </w:hyperlink>
      <w:r>
        <w:t xml:space="preserve"> </w:t>
      </w:r>
    </w:p>
    <w:p w14:paraId="00DEB043" w14:textId="77777777" w:rsidR="00F55395" w:rsidRDefault="00F55395" w:rsidP="00F55395">
      <w:pPr>
        <w:pStyle w:val="NormalWeb"/>
        <w:ind w:left="720"/>
      </w:pPr>
      <w:proofErr w:type="spellStart"/>
      <w:r>
        <w:t>Inendino</w:t>
      </w:r>
      <w:proofErr w:type="spellEnd"/>
      <w:r>
        <w:t xml:space="preserve"> was employed as a Chicago firefighter and EMT beginning in May 2005….  He served as a firefighter with Engine 54 and Truck 20 in the Englewood neighborhood of Chicago without incident for sixteen years until he was terminated on June 8, 2021….  </w:t>
      </w:r>
      <w:proofErr w:type="spellStart"/>
      <w:r>
        <w:t>Inendino</w:t>
      </w:r>
      <w:proofErr w:type="spellEnd"/>
      <w:r>
        <w:t xml:space="preserve"> was well-respected within his workplace, acted as the cook in the firehouse, and never had any complaints against him by the public until the incidents at issue. </w:t>
      </w:r>
    </w:p>
    <w:p w14:paraId="7A1CBDD9" w14:textId="77777777" w:rsidR="00F55395" w:rsidRDefault="00F55395" w:rsidP="00F55395">
      <w:pPr>
        <w:pStyle w:val="NormalWeb"/>
        <w:ind w:left="720"/>
      </w:pPr>
      <w:r>
        <w:t>***</w:t>
      </w:r>
    </w:p>
    <w:p w14:paraId="3BAC20EC" w14:textId="77777777" w:rsidR="00F55395" w:rsidRDefault="00F55395" w:rsidP="00F55395">
      <w:pPr>
        <w:pStyle w:val="NormalWeb"/>
        <w:ind w:left="720"/>
      </w:pPr>
      <w:r>
        <w:t xml:space="preserve">In October 2019, </w:t>
      </w:r>
      <w:proofErr w:type="spellStart"/>
      <w:r>
        <w:t>Inendino</w:t>
      </w:r>
      <w:proofErr w:type="spellEnd"/>
      <w:r>
        <w:t xml:space="preserve"> commented on a Hispanic person's post which complained about the poster's brother's treatment by a Chicago Police Department lieutenant….  After some back and forth, </w:t>
      </w:r>
      <w:proofErr w:type="spellStart"/>
      <w:r>
        <w:t>Inendino</w:t>
      </w:r>
      <w:proofErr w:type="spellEnd"/>
      <w:r>
        <w:t xml:space="preserve"> stated, ‘Your comments are all weak... can't talk I have to go to work to pay for all your scumbag kids that </w:t>
      </w:r>
      <w:proofErr w:type="gramStart"/>
      <w:r>
        <w:t>you</w:t>
      </w:r>
      <w:proofErr w:type="gramEnd"/>
      <w:r>
        <w:t xml:space="preserve"> welfare fucks keep having,”’ and ‘[ . . .] that's a good come back. NOT get all HOOD on me YO. take your ass back over the border where </w:t>
      </w:r>
      <w:proofErr w:type="spellStart"/>
      <w:r>
        <w:t>ya</w:t>
      </w:r>
      <w:proofErr w:type="spellEnd"/>
      <w:r>
        <w:t xml:space="preserve"> belong. </w:t>
      </w:r>
      <w:proofErr w:type="spellStart"/>
      <w:proofErr w:type="gramStart"/>
      <w:r>
        <w:t>gotta</w:t>
      </w:r>
      <w:proofErr w:type="spellEnd"/>
      <w:proofErr w:type="gramEnd"/>
      <w:r>
        <w:t xml:space="preserve"> go I have a real job.’</w:t>
      </w:r>
    </w:p>
    <w:p w14:paraId="5577E31D" w14:textId="77777777" w:rsidR="00F55395" w:rsidRDefault="00F55395" w:rsidP="00F55395">
      <w:pPr>
        <w:pStyle w:val="NormalWeb"/>
        <w:ind w:left="720"/>
        <w:rPr>
          <w:rStyle w:val="Emphasis"/>
        </w:rPr>
      </w:pPr>
      <w:r>
        <w:t>***</w:t>
      </w:r>
      <w:r>
        <w:rPr>
          <w:rStyle w:val="Emphasis"/>
        </w:rPr>
        <w:t>.</w:t>
      </w:r>
    </w:p>
    <w:p w14:paraId="7350A028" w14:textId="77777777" w:rsidR="00F55395" w:rsidRDefault="00F55395" w:rsidP="00F55395">
      <w:pPr>
        <w:pStyle w:val="NormalWeb"/>
        <w:ind w:left="720"/>
      </w:pPr>
      <w:proofErr w:type="spellStart"/>
      <w:r>
        <w:t>Inendino's</w:t>
      </w:r>
      <w:proofErr w:type="spellEnd"/>
      <w:r>
        <w:t xml:space="preserve"> other Facebook posts contained in the OIG report contain a mix of fairly inflammatory politically and racially charged memes, including criticisms and personal attacks of [Chicago Mayor Lori] Lightfoot like, ‘you could take one out of the ghetto but can't take the ghetto out of them, what a dirty </w:t>
      </w:r>
      <w:proofErr w:type="spellStart"/>
      <w:r>
        <w:t>hoodrat</w:t>
      </w:r>
      <w:proofErr w:type="spellEnd"/>
      <w:r>
        <w:t xml:space="preserve"> she is,’ ‘hope she chokes on something,’ and ‘fluent in ghetto….’He also posted a petition to recall Lightfoot. </w:t>
      </w:r>
    </w:p>
    <w:p w14:paraId="771D0973" w14:textId="77777777" w:rsidR="00F55395" w:rsidRDefault="00F55395" w:rsidP="00F55395">
      <w:pPr>
        <w:pStyle w:val="NormalWeb"/>
        <w:ind w:left="720"/>
      </w:pPr>
      <w:r>
        <w:t>***</w:t>
      </w:r>
    </w:p>
    <w:p w14:paraId="300088C6" w14:textId="77777777" w:rsidR="00F55395" w:rsidRDefault="00F55395" w:rsidP="00F55395">
      <w:pPr>
        <w:pStyle w:val="NormalWeb"/>
        <w:ind w:left="720"/>
      </w:pPr>
      <w:r w:rsidRPr="007543F8">
        <w:t xml:space="preserve">Other examples contained in the OIG report include an image of pregnant black women, captioned, </w:t>
      </w:r>
      <w:r>
        <w:t>‘</w:t>
      </w:r>
      <w:r w:rsidRPr="007543F8">
        <w:t>the real housewives of public housing</w:t>
      </w:r>
      <w:r>
        <w:t xml:space="preserve">…; </w:t>
      </w:r>
      <w:r w:rsidRPr="007543F8">
        <w:t>various memes about black-on-black crime statistics</w:t>
      </w:r>
      <w:r>
        <w:t>…</w:t>
      </w:r>
      <w:r w:rsidRPr="007543F8">
        <w:t xml:space="preserve">; posts supporting a shooting at a protest in Kenosha, Wisconsin (including captions like, </w:t>
      </w:r>
      <w:r>
        <w:t>‘</w:t>
      </w:r>
      <w:r w:rsidRPr="007543F8">
        <w:t>Good for him should aim for the torso!!!</w:t>
      </w:r>
      <w:r>
        <w:t>’</w:t>
      </w:r>
      <w:r w:rsidRPr="007543F8">
        <w:t>)</w:t>
      </w:r>
      <w:r>
        <w:t>…</w:t>
      </w:r>
      <w:r w:rsidRPr="007543F8">
        <w:t>; comments about wanting to leave Chicago because of crime and protests</w:t>
      </w:r>
      <w:r>
        <w:t xml:space="preserve"> ….</w:t>
      </w:r>
      <w:r w:rsidRPr="007543F8">
        <w:t xml:space="preserve">; comments calling looters </w:t>
      </w:r>
      <w:r>
        <w:t>‘</w:t>
      </w:r>
      <w:r w:rsidRPr="007543F8">
        <w:t>animals</w:t>
      </w:r>
      <w:r>
        <w:t>’</w:t>
      </w:r>
      <w:r w:rsidRPr="007543F8">
        <w:t xml:space="preserve"> and implying they receive government aid</w:t>
      </w:r>
      <w:r>
        <w:t>…</w:t>
      </w:r>
      <w:r w:rsidRPr="007543F8">
        <w:t>; memes discussing why the shooting of Breonna Taylor was justified</w:t>
      </w:r>
      <w:r>
        <w:t xml:space="preserve"> …</w:t>
      </w:r>
      <w:r w:rsidRPr="007543F8">
        <w:t>; a post making fun of an Asian-American White House correspondent's accent</w:t>
      </w:r>
      <w:r>
        <w:t>…</w:t>
      </w:r>
      <w:r w:rsidRPr="007543F8">
        <w:t xml:space="preserve">; and a cartoon image of a truck running over stick figures with the caption, </w:t>
      </w:r>
      <w:r>
        <w:t>‘</w:t>
      </w:r>
      <w:r w:rsidRPr="007543F8">
        <w:t>All Lives Splatter. Nobody Cares About Your Protest. Keep Your Ass Out of the Road</w:t>
      </w:r>
      <w:r>
        <w:t xml:space="preserve">…’” </w:t>
      </w:r>
    </w:p>
    <w:p w14:paraId="1F8BE17C" w14:textId="77777777" w:rsidR="00F55395" w:rsidRPr="00AA1ACA" w:rsidRDefault="00F55395" w:rsidP="00F55395">
      <w:pPr>
        <w:pStyle w:val="NormalWeb"/>
        <w:rPr>
          <w:b/>
          <w:bCs/>
        </w:rPr>
      </w:pPr>
      <w:r w:rsidRPr="00AA1ACA">
        <w:rPr>
          <w:b/>
          <w:bCs/>
        </w:rPr>
        <w:t xml:space="preserve">Legal Lesson Learned: </w:t>
      </w:r>
      <w:r>
        <w:rPr>
          <w:b/>
          <w:bCs/>
        </w:rPr>
        <w:t>U</w:t>
      </w:r>
      <w:r w:rsidRPr="00AA1ACA">
        <w:rPr>
          <w:b/>
          <w:bCs/>
        </w:rPr>
        <w:t xml:space="preserve">nder the </w:t>
      </w:r>
      <w:r w:rsidRPr="00AA1ACA">
        <w:rPr>
          <w:b/>
          <w:bCs/>
          <w:u w:val="single"/>
        </w:rPr>
        <w:t xml:space="preserve">Pickering </w:t>
      </w:r>
      <w:r w:rsidRPr="00AA1ACA">
        <w:rPr>
          <w:b/>
          <w:bCs/>
        </w:rPr>
        <w:t xml:space="preserve">“balancing test” the City </w:t>
      </w:r>
      <w:r>
        <w:rPr>
          <w:b/>
          <w:bCs/>
        </w:rPr>
        <w:t xml:space="preserve">clearly </w:t>
      </w:r>
      <w:r w:rsidRPr="00AA1ACA">
        <w:rPr>
          <w:b/>
          <w:bCs/>
        </w:rPr>
        <w:t xml:space="preserve">has a legitimate interest in limiting </w:t>
      </w:r>
      <w:r>
        <w:rPr>
          <w:b/>
          <w:bCs/>
        </w:rPr>
        <w:t xml:space="preserve">Facebook posts that are </w:t>
      </w:r>
      <w:r w:rsidRPr="00AA1ACA">
        <w:rPr>
          <w:b/>
          <w:bCs/>
        </w:rPr>
        <w:t>highly offensive</w:t>
      </w:r>
      <w:r>
        <w:rPr>
          <w:b/>
          <w:bCs/>
        </w:rPr>
        <w:t xml:space="preserve"> to the public. </w:t>
      </w:r>
    </w:p>
    <w:p w14:paraId="4C02AE0D" w14:textId="77777777" w:rsidR="00F55395" w:rsidRDefault="00F55395" w:rsidP="00F326E5">
      <w:pPr>
        <w:pStyle w:val="NoSpacing"/>
        <w:rPr>
          <w:rFonts w:ascii="Arial Black" w:hAnsi="Arial Black"/>
          <w:sz w:val="24"/>
          <w:szCs w:val="24"/>
        </w:rPr>
      </w:pPr>
    </w:p>
    <w:p w14:paraId="63501D18" w14:textId="77777777" w:rsidR="00F55395" w:rsidRDefault="00F55395" w:rsidP="00F326E5">
      <w:pPr>
        <w:pStyle w:val="NoSpacing"/>
        <w:rPr>
          <w:rFonts w:ascii="Arial Black" w:hAnsi="Arial Black"/>
          <w:sz w:val="24"/>
          <w:szCs w:val="24"/>
        </w:rPr>
      </w:pPr>
    </w:p>
    <w:p w14:paraId="25F8105C" w14:textId="77777777" w:rsidR="00F55395" w:rsidRDefault="00F55395" w:rsidP="00F326E5">
      <w:pPr>
        <w:pStyle w:val="NoSpacing"/>
        <w:rPr>
          <w:rFonts w:ascii="Arial Black" w:hAnsi="Arial Black"/>
          <w:sz w:val="24"/>
          <w:szCs w:val="24"/>
        </w:rPr>
      </w:pPr>
    </w:p>
    <w:p w14:paraId="7229565A" w14:textId="13790D18" w:rsidR="00F31C1B" w:rsidRDefault="008A4533" w:rsidP="00F326E5">
      <w:pPr>
        <w:pStyle w:val="NoSpacing"/>
        <w:rPr>
          <w:rFonts w:ascii="Arial Black" w:hAnsi="Arial Black"/>
          <w:sz w:val="24"/>
          <w:szCs w:val="24"/>
        </w:rPr>
      </w:pPr>
      <w:r>
        <w:rPr>
          <w:rFonts w:ascii="Arial Black" w:hAnsi="Arial Black"/>
          <w:sz w:val="24"/>
          <w:szCs w:val="24"/>
        </w:rPr>
        <w:t>16-81</w:t>
      </w:r>
    </w:p>
    <w:p w14:paraId="09DDE34D" w14:textId="77777777" w:rsidR="008A4533" w:rsidRPr="00E15641" w:rsidRDefault="008A4533" w:rsidP="008A4533">
      <w:pPr>
        <w:pStyle w:val="NormalWeb"/>
        <w:rPr>
          <w:rFonts w:ascii="Arial Black" w:hAnsi="Arial Black"/>
          <w:b/>
          <w:bCs/>
          <w:sz w:val="28"/>
          <w:szCs w:val="28"/>
        </w:rPr>
      </w:pPr>
      <w:r>
        <w:rPr>
          <w:rFonts w:ascii="Arial Black" w:hAnsi="Arial Black"/>
          <w:b/>
          <w:bCs/>
          <w:sz w:val="28"/>
          <w:szCs w:val="28"/>
        </w:rPr>
        <w:t>OH: CLEVELAND EMS CAPTAIN FIRED – FACEBOOK POST – WISHED HE HAD KILLED TAMIR RICE – “BALANCING TEST”</w:t>
      </w:r>
    </w:p>
    <w:p w14:paraId="2065AA8F" w14:textId="77777777" w:rsidR="008A4533" w:rsidRDefault="008A4533" w:rsidP="008A4533">
      <w:pPr>
        <w:pStyle w:val="NormalWeb"/>
      </w:pPr>
      <w:r>
        <w:t xml:space="preserve">On Jan. 25, 2023, in </w:t>
      </w:r>
      <w:r w:rsidRPr="00DD39F8">
        <w:rPr>
          <w:u w:val="single"/>
        </w:rPr>
        <w:t>Jamie Marquardt v. Nicole Carlton, et al</w:t>
      </w:r>
      <w:r>
        <w:t xml:space="preserve">., the U.S. Court of Appeals for the Sixth Circuit (Cincinnati) held (3 to 0; unpublished decision) that U.S. District Court Judge in Cleveland properly granted summary judgment to the City of Cleveland; the City's interest as an employer outweighed Marquardt's free speech interest.  [T]he district court, applying the balancing test announced in </w:t>
      </w:r>
      <w:r>
        <w:rPr>
          <w:rStyle w:val="Emphasis"/>
        </w:rPr>
        <w:t>Pickering v. Board of Education</w:t>
      </w:r>
      <w:r>
        <w:t>, 391 U.S. 563 (1968), held that defendants were nonetheless entitled to summary judgment on Marquardt's First Amendment claim because the City's interest as an employer outweighed Marquardt's free speech interest. The Court of Appeals agreed. “Commissioner Carlton testified that she believed City services would be disrupted if Marquardt was identified as the author of the posts. Her conclusion, she explained, was informed by earlier ‘civil unrest within the City of Cleveland related to the Tamir Rice incident.’ Any visceral reaction to Marquardt's posts, Carlton predicted, would lead to further ‘protest[s],’ ‘disharmony amongst EMS staff,’ and employees ‘</w:t>
      </w:r>
      <w:proofErr w:type="spellStart"/>
      <w:r>
        <w:t>refus</w:t>
      </w:r>
      <w:proofErr w:type="spellEnd"/>
      <w:r>
        <w:t>[</w:t>
      </w:r>
      <w:proofErr w:type="spellStart"/>
      <w:r>
        <w:t>ing</w:t>
      </w:r>
      <w:proofErr w:type="spellEnd"/>
      <w:r>
        <w:t xml:space="preserve">] to work with Mr. Marquardt.’  Her conclusion is well taken. </w:t>
      </w:r>
      <w:hyperlink r:id="rId2608" w:history="1">
        <w:r w:rsidRPr="001F75F8">
          <w:rPr>
            <w:rStyle w:val="Hyperlink"/>
          </w:rPr>
          <w:t>https://law.justia.com/cases/federal/appellate-courts/ca6/21-3832/21-3832-2023-01-25.html</w:t>
        </w:r>
      </w:hyperlink>
      <w:r>
        <w:t xml:space="preserve"> </w:t>
      </w:r>
    </w:p>
    <w:p w14:paraId="774D0284" w14:textId="77777777" w:rsidR="008A4533" w:rsidRDefault="008A4533" w:rsidP="008A4533">
      <w:pPr>
        <w:pStyle w:val="NormalWeb"/>
        <w:ind w:left="720" w:firstLine="60"/>
      </w:pPr>
      <w:r>
        <w:t xml:space="preserve">“Eight years ago, twelve-year-old Tamir Rice was shot and killed by a police officer. What happened that day has been well documented. A 911 caller reported a ‘guy in the park with a pistol’ that was ‘probably fake.’ Dispatchers informed officers that there was a male sitting on a swing pointing a gun at people. Officers responded to the report. Within seconds of arriving at the park, one officer shot Rice. Rice's ‘pistol’ was later determined to be an airsoft gun with the orange toy markings removed. Cleveland EMS responded and transported Rice to the hospital. He died the next day from his injuries. Protestors, decrying the use of lethal force, flooded Cleveland's streets. The controversy over the shooting did not end in its immediate aftermath. Some fourteen months later, the event was once again the focus of national scrutiny when news broke that Cleveland EMS billed Rice's family $500 for his ambulance ride. </w:t>
      </w:r>
      <w:r>
        <w:rPr>
          <w:rStyle w:val="Emphasis"/>
        </w:rPr>
        <w:t>Marquardt v. Carlton</w:t>
      </w:r>
      <w:r>
        <w:t xml:space="preserve">, 971 F.3d 546, 550 (6th Cir. 2020) (citing Christine Hauser, </w:t>
      </w:r>
      <w:r>
        <w:rPr>
          <w:rStyle w:val="Emphasis"/>
        </w:rPr>
        <w:t>Cleveland Drops Attempt to Collect $500 From Tamir Rice Family</w:t>
      </w:r>
      <w:r>
        <w:t xml:space="preserve">, N.Y. Times (Feb. 11, 2016), </w:t>
      </w:r>
      <w:proofErr w:type="gramStart"/>
      <w:r>
        <w:t>https://www.nytimes.com/2016/02/12/us/cleveland-500-bill-tamir-rice-shooting.html</w:t>
      </w:r>
      <w:proofErr w:type="gramEnd"/>
      <w:r>
        <w:t xml:space="preserve"> (last accessed Jan. 23, 2023)).</w:t>
      </w:r>
    </w:p>
    <w:p w14:paraId="60668899" w14:textId="77777777" w:rsidR="008A4533" w:rsidRDefault="008A4533" w:rsidP="008A4533">
      <w:pPr>
        <w:pStyle w:val="NormalWeb"/>
        <w:ind w:left="720" w:firstLine="60"/>
      </w:pPr>
      <w:r>
        <w:t>***</w:t>
      </w:r>
    </w:p>
    <w:p w14:paraId="58933F28" w14:textId="77777777" w:rsidR="008A4533" w:rsidRDefault="008A4533" w:rsidP="008A4533">
      <w:pPr>
        <w:pStyle w:val="NormalWeb"/>
        <w:ind w:left="720" w:firstLine="60"/>
      </w:pPr>
      <w:r>
        <w:t xml:space="preserve">Just days later, two posts referring to the shooting appeared on the private Facebook page of Jamie Marquardt, a Cleveland EMS Captain. One stated, ‘Let me be the first on record to have the balls to say Tamir Rice should have been </w:t>
      </w:r>
      <w:proofErr w:type="gramStart"/>
      <w:r>
        <w:t>shot</w:t>
      </w:r>
      <w:proofErr w:type="gramEnd"/>
      <w:r>
        <w:t xml:space="preserve"> and I am glad he is dead</w:t>
      </w:r>
      <w:proofErr w:type="gramStart"/>
      <w:r>
        <w:t>.</w:t>
      </w:r>
      <w:proofErr w:type="gramEnd"/>
      <w:r>
        <w:t xml:space="preserve"> I wish I was in the park that day as he terrorized innocent patrons by pointing a gun at them walking around acting </w:t>
      </w:r>
      <w:proofErr w:type="gramStart"/>
      <w:r>
        <w:t>bad</w:t>
      </w:r>
      <w:proofErr w:type="gramEnd"/>
      <w:r>
        <w:t xml:space="preserve">. I am upset I did not get the chance to kill the little criminal fucker.’ The other said, ‘How would you feel if you were walking in the park and some ghetto rat pointed a gun </w:t>
      </w:r>
      <w:proofErr w:type="gramStart"/>
      <w:r>
        <w:t>in</w:t>
      </w:r>
      <w:proofErr w:type="gramEnd"/>
      <w:r>
        <w:t xml:space="preserve"> your face</w:t>
      </w:r>
      <w:proofErr w:type="gramStart"/>
      <w:r>
        <w:t>?</w:t>
      </w:r>
      <w:proofErr w:type="gramEnd"/>
      <w:r>
        <w:t xml:space="preserve"> Would you look to him as a hero? Cleveland sees this felony hood rat as a hero.’  Marquardt denied making the posts, deleted them, and created a new post disavowing their content.</w:t>
      </w:r>
    </w:p>
    <w:p w14:paraId="23EAB8C0" w14:textId="77777777" w:rsidR="008A4533" w:rsidRDefault="008A4533" w:rsidP="008A4533">
      <w:pPr>
        <w:pStyle w:val="NormalWeb"/>
        <w:ind w:left="720" w:firstLine="60"/>
      </w:pPr>
      <w:r>
        <w:t>***</w:t>
      </w:r>
    </w:p>
    <w:p w14:paraId="7EBE61B5" w14:textId="77777777" w:rsidR="008A4533" w:rsidRDefault="008A4533" w:rsidP="008A4533">
      <w:pPr>
        <w:pStyle w:val="NormalWeb"/>
        <w:ind w:left="720"/>
      </w:pPr>
      <w:r>
        <w:t xml:space="preserve">Two of Marquardt's co-workers, paramedics, saw the posts the morning they appeared. Both contacted EMS Captain Michael Threat. They expressed worry about Marquardt's wellbeing and the risk of "potential civil unrest" should the posts be seen by the public because there was already "a lot in the media" addressing the Rice incident. </w:t>
      </w:r>
    </w:p>
    <w:p w14:paraId="68B7534A" w14:textId="77777777" w:rsidR="008A4533" w:rsidRDefault="008A4533" w:rsidP="008A4533">
      <w:pPr>
        <w:pStyle w:val="NormalWeb"/>
        <w:ind w:left="720"/>
      </w:pPr>
      <w:r>
        <w:t xml:space="preserve">The reports made their way to EMS Commissioner Nicole Carlton. Carlton requested that the City's Office of Integrity Control investigate. During the investigation, Marquardt remained on the job, denying that he authored the posts. </w:t>
      </w:r>
    </w:p>
    <w:p w14:paraId="5C032582" w14:textId="77777777" w:rsidR="008A4533" w:rsidRDefault="008A4533" w:rsidP="008A4533">
      <w:pPr>
        <w:pStyle w:val="NormalWeb"/>
        <w:ind w:left="720"/>
      </w:pPr>
      <w:r>
        <w:t xml:space="preserve">Within three days of the posts appearing on Marquardt's Facebook page, they caught the eye of the Cleveland NAACP President, who condemned them in an article on Cleveland.com. By then, Marquardt acknowledges, the posts had become a national story. </w:t>
      </w:r>
    </w:p>
    <w:p w14:paraId="7FC2CE14" w14:textId="77777777" w:rsidR="008A4533" w:rsidRDefault="008A4533" w:rsidP="008A4533">
      <w:pPr>
        <w:pStyle w:val="NormalWeb"/>
        <w:ind w:left="720"/>
      </w:pPr>
      <w:r>
        <w:t xml:space="preserve">Roughly a month later, Carlton fired Marquardt, attributing authorship of the posts to him. By making those posts, Carlton concluded, Marquardt violated a host of policies-from EMS's mission statement, pledge to the community, and social media policy to the City's civil service commission rules. Marquardt's termination letter stated that the posts were inflammatory, caused disruption (emphasizing that Marquardt's co-workers ‘expressed concern for their own welfare and </w:t>
      </w:r>
      <w:proofErr w:type="gramStart"/>
      <w:r>
        <w:t>safety’)</w:t>
      </w:r>
      <w:proofErr w:type="gramEnd"/>
      <w:r>
        <w:t>, and cast the EMS division as ‘disrespectful of the tragedy.’</w:t>
      </w:r>
    </w:p>
    <w:p w14:paraId="6F68DE02" w14:textId="77777777" w:rsidR="008A4533" w:rsidRDefault="008A4533" w:rsidP="008A4533">
      <w:pPr>
        <w:pStyle w:val="NormalWeb"/>
        <w:ind w:left="720"/>
      </w:pPr>
      <w:r>
        <w:t>***</w:t>
      </w:r>
    </w:p>
    <w:p w14:paraId="2519DF99" w14:textId="77777777" w:rsidR="008A4533" w:rsidRDefault="008A4533" w:rsidP="008A4533">
      <w:pPr>
        <w:pStyle w:val="NormalWeb"/>
        <w:ind w:left="720"/>
      </w:pPr>
      <w:r>
        <w:t xml:space="preserve">All told, the charged speech at issue and its actual and predicted disruptive effect on the City's services tip the </w:t>
      </w:r>
      <w:r>
        <w:rPr>
          <w:rStyle w:val="Emphasis"/>
        </w:rPr>
        <w:t>Pickering</w:t>
      </w:r>
      <w:r>
        <w:t xml:space="preserve"> balance in its favor.”</w:t>
      </w:r>
    </w:p>
    <w:p w14:paraId="6CA3C792" w14:textId="77777777" w:rsidR="008A4533" w:rsidRPr="001D5000" w:rsidRDefault="008A4533" w:rsidP="008A4533">
      <w:pPr>
        <w:pStyle w:val="NormalWeb"/>
        <w:rPr>
          <w:b/>
          <w:bCs/>
        </w:rPr>
      </w:pPr>
      <w:r w:rsidRPr="001D5000">
        <w:rPr>
          <w:b/>
          <w:bCs/>
        </w:rPr>
        <w:t>Legal Lesson Learned:</w:t>
      </w:r>
      <w:r>
        <w:rPr>
          <w:b/>
          <w:bCs/>
        </w:rPr>
        <w:t xml:space="preserve"> Another career ended by stupid Facebook post. </w:t>
      </w:r>
    </w:p>
    <w:p w14:paraId="19486881" w14:textId="77777777" w:rsidR="008A4533" w:rsidRDefault="008A4533" w:rsidP="00F326E5">
      <w:pPr>
        <w:pStyle w:val="NoSpacing"/>
        <w:rPr>
          <w:rFonts w:ascii="Arial Black" w:hAnsi="Arial Black"/>
          <w:sz w:val="24"/>
          <w:szCs w:val="24"/>
        </w:rPr>
      </w:pPr>
    </w:p>
    <w:p w14:paraId="7A6DBC7D" w14:textId="77777777" w:rsidR="008A4533" w:rsidRDefault="008A4533" w:rsidP="00F326E5">
      <w:pPr>
        <w:pStyle w:val="NoSpacing"/>
        <w:rPr>
          <w:rFonts w:ascii="Arial Black" w:hAnsi="Arial Black"/>
          <w:sz w:val="24"/>
          <w:szCs w:val="24"/>
        </w:rPr>
      </w:pPr>
    </w:p>
    <w:p w14:paraId="5376902B" w14:textId="65FCB3C5" w:rsidR="008A4533" w:rsidRDefault="008A4533" w:rsidP="00F326E5">
      <w:pPr>
        <w:pStyle w:val="NoSpacing"/>
        <w:rPr>
          <w:rFonts w:ascii="Arial Black" w:hAnsi="Arial Black"/>
          <w:sz w:val="24"/>
          <w:szCs w:val="24"/>
        </w:rPr>
      </w:pPr>
      <w:r>
        <w:rPr>
          <w:rFonts w:ascii="Arial Black" w:hAnsi="Arial Black"/>
          <w:sz w:val="24"/>
          <w:szCs w:val="24"/>
        </w:rPr>
        <w:t>16-80</w:t>
      </w:r>
    </w:p>
    <w:p w14:paraId="28F382B1" w14:textId="20E98816" w:rsidR="008A4533" w:rsidRDefault="008A4533" w:rsidP="00F326E5">
      <w:pPr>
        <w:pStyle w:val="NoSpacing"/>
        <w:rPr>
          <w:rFonts w:ascii="Arial Black" w:hAnsi="Arial Black"/>
          <w:sz w:val="24"/>
          <w:szCs w:val="24"/>
        </w:rPr>
      </w:pPr>
    </w:p>
    <w:p w14:paraId="127A89A6" w14:textId="77777777" w:rsidR="008A4533" w:rsidRPr="00CE7EC2" w:rsidRDefault="008A4533" w:rsidP="008A4533">
      <w:pPr>
        <w:pStyle w:val="NormalWeb"/>
        <w:rPr>
          <w:rFonts w:ascii="Arial Black" w:hAnsi="Arial Black"/>
          <w:sz w:val="28"/>
          <w:szCs w:val="28"/>
        </w:rPr>
      </w:pPr>
      <w:r>
        <w:rPr>
          <w:rFonts w:ascii="Arial Black" w:hAnsi="Arial Black"/>
          <w:sz w:val="28"/>
          <w:szCs w:val="28"/>
        </w:rPr>
        <w:t xml:space="preserve">DC: U.S. AIR FORCE FIRE CHIEF – ALLOWED OVERTIME – FIRING REDUCED 14-DAY SUSP – LATE APPEAL BY AGENCY </w:t>
      </w:r>
    </w:p>
    <w:p w14:paraId="01FF5989" w14:textId="77777777" w:rsidR="008A4533" w:rsidRDefault="008A4533" w:rsidP="008A4533">
      <w:pPr>
        <w:pStyle w:val="NormalWeb"/>
      </w:pPr>
      <w:r>
        <w:t xml:space="preserve">On Jan. 18, 2023, in </w:t>
      </w:r>
      <w:r w:rsidRPr="009903F1">
        <w:rPr>
          <w:u w:val="single"/>
        </w:rPr>
        <w:t>Derick Eshelman v. Department of the Air Force</w:t>
      </w:r>
      <w:r>
        <w:t>, the U.S. Merit Systems Protection Board held (3 to 0; but concurring opinion) that they will not overturn the Administrative Judge’s decision since the Air Force missed filing an appeal through the e-Appeal system (only missed deadline by several minutes), without good explanation for the late filing.  The Fire Chief was assigned to a British air base, Royal Air Force (RAF) Croughton.  For three years he and other firefighters worked unauthorized overtime, at a higher rate of pay, at cost of approximately $263,000.  The Fire Chief’s supervisor sought to terminate him for conduct unbecoming an officer. The Chief acknowledged errors:  “</w:t>
      </w:r>
      <w:r w:rsidRPr="00DA4BE2">
        <w:t xml:space="preserve">Although I felt I had good reasons to work the embedded schedule, the extra money earned from the additional time worked was a benefit that was part of the decision. The money aspect made it worth doing all the extra hours and is and was simply the wrong thing to do. I </w:t>
      </w:r>
      <w:proofErr w:type="spellStart"/>
      <w:r w:rsidRPr="00DA4BE2">
        <w:t>tru</w:t>
      </w:r>
      <w:r>
        <w:t>e</w:t>
      </w:r>
      <w:r w:rsidRPr="00DA4BE2">
        <w:t>ly</w:t>
      </w:r>
      <w:proofErr w:type="spellEnd"/>
      <w:r w:rsidRPr="00DA4BE2">
        <w:t xml:space="preserve"> [sic] regret costing the Air Force </w:t>
      </w:r>
      <w:proofErr w:type="gramStart"/>
      <w:r w:rsidRPr="00DA4BE2">
        <w:t>the additional</w:t>
      </w:r>
      <w:proofErr w:type="gramEnd"/>
      <w:r w:rsidRPr="00DA4BE2">
        <w:t xml:space="preserve"> money . . . I should have listened to those around me and those trying to help get me on the right path.</w:t>
      </w:r>
      <w:r>
        <w:t xml:space="preserve">” The Board did not accept excuse for the late filing of the </w:t>
      </w:r>
      <w:proofErr w:type="gramStart"/>
      <w:r>
        <w:t>appeal, and</w:t>
      </w:r>
      <w:proofErr w:type="gramEnd"/>
      <w:r>
        <w:t xml:space="preserve"> held: “Although the agency's petition for review was untimely by mere minutes, we are not persuaded by the explanation provided. The agency's representative is familiar with the e-Appeal system, having used it throughout this appeal…. She is also familiar with the potential consequences of her untimeliness, having been sanctioned for her untimeliness below…. Nevertheless, the Board's e-Appeal logs indicate that she did not log into the system to begin the process of filing the petition for review until 11:38 p.m. on the day it was due…. Moreover, as detailed above, although the agency asserts that there were two failed attempts at filing the petition before the deadline to do so, the Board's e-Appeal logs reflect otherwise…. Accordingly, we dismiss the petition for review as untimely filed.” </w:t>
      </w:r>
      <w:hyperlink r:id="rId2609" w:history="1">
        <w:r w:rsidRPr="00D25822">
          <w:rPr>
            <w:rStyle w:val="Hyperlink"/>
          </w:rPr>
          <w:t>https://public.fastcase.com/J%2FJP6pdidelsXxEE4k%2BLMtME52xOaCaWV6UEDIP7bM8%2BFioZsbaXPEF4Uybj3YzCUfNXrAB4VqpO9mZPyOoJgEUGCgAECduXHqgYvcPti4I%3D?utm_medium=email&amp;_hsmi=226712652&amp;_hsenc=p2ANqtz--o5Z4w0RvL2X6ywspxSAhs9CG2i2QDJ7wcq_MEc7ECUlDYedCzwhXzcOpR3uJdZVvbiJhZF7E92unvtoIdalIehJ_GiA&amp;utm_content=226712652&amp;utm_source=hs_email</w:t>
        </w:r>
      </w:hyperlink>
      <w:r>
        <w:t xml:space="preserve"> </w:t>
      </w:r>
    </w:p>
    <w:p w14:paraId="3C1A8109" w14:textId="77777777" w:rsidR="008A4533" w:rsidRDefault="008A4533" w:rsidP="008A4533">
      <w:pPr>
        <w:pStyle w:val="NormalWeb"/>
      </w:pPr>
      <w:r>
        <w:t xml:space="preserve">Concurring Opinion by Member Tristan L. Leavitt made it clear she disagreed with reduced punishment.  </w:t>
      </w:r>
    </w:p>
    <w:p w14:paraId="5FD50CD0" w14:textId="77777777" w:rsidR="008A4533" w:rsidRDefault="008A4533" w:rsidP="008A4533">
      <w:pPr>
        <w:pStyle w:val="NormalWeb"/>
        <w:ind w:left="720"/>
      </w:pPr>
      <w:r>
        <w:t xml:space="preserve"> “I write separately to express my disagreement with the administrative judge's determination to mitigate the penalty of removal to a 14-day suspension.</w:t>
      </w:r>
    </w:p>
    <w:p w14:paraId="0B59708A" w14:textId="77777777" w:rsidR="008A4533" w:rsidRDefault="008A4533" w:rsidP="008A4533">
      <w:pPr>
        <w:pStyle w:val="NormalWeb"/>
        <w:ind w:left="720"/>
      </w:pPr>
      <w:r>
        <w:t>[The Fire Chief’s supervisor wrote] ‘The offense of working longer hours than authorized is a very serious one…’ He considered the appellant's supervisory role, finding ‘the level of trust required to be a manager and supervisor of other fire fighters has been tarnished significantly’ and that the appellant …cannot continue to service in the leadership role because his trustworthiness is in question.’”</w:t>
      </w:r>
    </w:p>
    <w:p w14:paraId="013F23F8" w14:textId="77777777" w:rsidR="008A4533" w:rsidRPr="008A4533" w:rsidRDefault="008A4533" w:rsidP="008A4533">
      <w:pPr>
        <w:pStyle w:val="NormalWeb"/>
        <w:rPr>
          <w:rStyle w:val="Emphasis"/>
          <w:b/>
          <w:bCs/>
          <w:i w:val="0"/>
          <w:iCs w:val="0"/>
        </w:rPr>
      </w:pPr>
      <w:r w:rsidRPr="008A4533">
        <w:rPr>
          <w:rStyle w:val="Emphasis"/>
          <w:b/>
          <w:bCs/>
          <w:i w:val="0"/>
          <w:iCs w:val="0"/>
        </w:rPr>
        <w:t>Legal Lesson Learned:  Late appeal by the U.S. Air Force representative.</w:t>
      </w:r>
    </w:p>
    <w:p w14:paraId="3A1667EB" w14:textId="089D777E" w:rsidR="008A4533" w:rsidRDefault="008A4533" w:rsidP="00F326E5">
      <w:pPr>
        <w:pStyle w:val="NoSpacing"/>
        <w:rPr>
          <w:rFonts w:ascii="Arial Black" w:hAnsi="Arial Black"/>
          <w:sz w:val="24"/>
          <w:szCs w:val="24"/>
        </w:rPr>
      </w:pPr>
    </w:p>
    <w:p w14:paraId="1BFDDD70" w14:textId="7C863EFF" w:rsidR="008A4533" w:rsidRDefault="008A4533" w:rsidP="00F326E5">
      <w:pPr>
        <w:pStyle w:val="NoSpacing"/>
        <w:rPr>
          <w:rFonts w:ascii="Arial Black" w:hAnsi="Arial Black"/>
          <w:sz w:val="24"/>
          <w:szCs w:val="24"/>
        </w:rPr>
      </w:pPr>
      <w:r>
        <w:rPr>
          <w:rFonts w:ascii="Arial Black" w:hAnsi="Arial Black"/>
          <w:sz w:val="24"/>
          <w:szCs w:val="24"/>
        </w:rPr>
        <w:t>16-79</w:t>
      </w:r>
    </w:p>
    <w:p w14:paraId="3E44D8C2" w14:textId="6ED28FAD" w:rsidR="008A4533" w:rsidRDefault="008A4533" w:rsidP="00F326E5">
      <w:pPr>
        <w:pStyle w:val="NoSpacing"/>
        <w:rPr>
          <w:rFonts w:ascii="Arial Black" w:hAnsi="Arial Black"/>
          <w:sz w:val="24"/>
          <w:szCs w:val="24"/>
        </w:rPr>
      </w:pPr>
    </w:p>
    <w:p w14:paraId="1E62A913" w14:textId="77777777" w:rsidR="008A4533" w:rsidRPr="00261417" w:rsidRDefault="008A4533" w:rsidP="008A4533">
      <w:pPr>
        <w:pStyle w:val="NormalWeb"/>
        <w:rPr>
          <w:rFonts w:ascii="Arial Black" w:hAnsi="Arial Black"/>
          <w:sz w:val="28"/>
          <w:szCs w:val="28"/>
        </w:rPr>
      </w:pPr>
      <w:r>
        <w:rPr>
          <w:rFonts w:ascii="Arial Black" w:hAnsi="Arial Black"/>
          <w:sz w:val="28"/>
          <w:szCs w:val="28"/>
        </w:rPr>
        <w:t>NJ: FF DISPUTE WITH ANOTHER FF – FIRED GUN INTO APARTMENT DOOR –TERMINATION UPHELD, LATE APPEAL</w:t>
      </w:r>
    </w:p>
    <w:p w14:paraId="49FCF174" w14:textId="77777777" w:rsidR="008A4533" w:rsidRDefault="008A4533" w:rsidP="008A4533">
      <w:pPr>
        <w:pStyle w:val="ekqk"/>
      </w:pPr>
      <w:r>
        <w:t xml:space="preserve">On Jan. 9, 2023, </w:t>
      </w:r>
      <w:r w:rsidRPr="00261417">
        <w:rPr>
          <w:u w:val="single"/>
        </w:rPr>
        <w:t xml:space="preserve">In </w:t>
      </w:r>
      <w:proofErr w:type="gramStart"/>
      <w:r w:rsidRPr="00261417">
        <w:rPr>
          <w:u w:val="single"/>
        </w:rPr>
        <w:t>The</w:t>
      </w:r>
      <w:proofErr w:type="gramEnd"/>
      <w:r w:rsidRPr="00261417">
        <w:rPr>
          <w:u w:val="single"/>
        </w:rPr>
        <w:t xml:space="preserve"> Matter </w:t>
      </w:r>
      <w:proofErr w:type="gramStart"/>
      <w:r w:rsidRPr="00261417">
        <w:rPr>
          <w:u w:val="single"/>
        </w:rPr>
        <w:t>Of</w:t>
      </w:r>
      <w:proofErr w:type="gramEnd"/>
      <w:r w:rsidRPr="00261417">
        <w:rPr>
          <w:u w:val="single"/>
        </w:rPr>
        <w:t xml:space="preserve"> </w:t>
      </w:r>
      <w:proofErr w:type="spellStart"/>
      <w:r w:rsidRPr="00261417">
        <w:rPr>
          <w:u w:val="single"/>
        </w:rPr>
        <w:t>Gamill</w:t>
      </w:r>
      <w:proofErr w:type="spellEnd"/>
      <w:r w:rsidRPr="00261417">
        <w:rPr>
          <w:u w:val="single"/>
        </w:rPr>
        <w:t xml:space="preserve"> Haidara, City of Newark, Fire Department</w:t>
      </w:r>
      <w:r>
        <w:t xml:space="preserve">, the Superior Court of New Jersey, Appellate Division, held (2 to 0) that the Civil Service Commission properly refused to hear his request for a hearing – he and his attorney failed to timely file the request.  After his arrest on March 1, </w:t>
      </w:r>
      <w:proofErr w:type="gramStart"/>
      <w:r>
        <w:t>2016</w:t>
      </w:r>
      <w:proofErr w:type="gramEnd"/>
      <w:r>
        <w:t xml:space="preserve"> for firing gun through apartment door of another Newark firefighter [see below article], he was suspended without pay and eventually terminated. He had 21 days (Aug. 13, 2018) to file his request for a hearing with the city’s Civil Service Commission; he retained an attorney and then left the country to help an ailing relative.  Upon return to USA on Sept. 16, 2018, he learned that no request for a hearing was ever filed; he retained another attorney who sought unsuccessfully to negotiate a return-to-work agreement, and didn’t file a request for hearing until May 30, 2019; it was denied by the Commission on July 1, 2019; subsequent request for reconsideration was also denied. The Court of Appeals agreed with the Commission. “On the facts presented here, Haidara's two-year delay in filing for reconsideration prejudiced the </w:t>
      </w:r>
      <w:proofErr w:type="gramStart"/>
      <w:r>
        <w:t>City</w:t>
      </w:r>
      <w:proofErr w:type="gramEnd"/>
      <w:r>
        <w:t xml:space="preserve">, thereby precluding a finding of good cause.” </w:t>
      </w:r>
      <w:hyperlink r:id="rId2610" w:history="1">
        <w:r w:rsidRPr="00346E6A">
          <w:rPr>
            <w:rStyle w:val="Hyperlink"/>
          </w:rPr>
          <w:t>https://www.njcourts.gov/sites/default/files/court-opinions/2023/a3688-20.pdf</w:t>
        </w:r>
      </w:hyperlink>
      <w:r>
        <w:t xml:space="preserve"> </w:t>
      </w:r>
    </w:p>
    <w:p w14:paraId="07C7C7C9" w14:textId="77777777" w:rsidR="008A4533" w:rsidRPr="00373FBE" w:rsidRDefault="008A4533" w:rsidP="008A4533">
      <w:pPr>
        <w:pStyle w:val="ekqk"/>
        <w:ind w:left="720"/>
        <w:rPr>
          <w:sz w:val="20"/>
          <w:szCs w:val="20"/>
        </w:rPr>
      </w:pPr>
      <w:r>
        <w:t xml:space="preserve">See March 2, </w:t>
      </w:r>
      <w:proofErr w:type="gramStart"/>
      <w:r>
        <w:t>2016</w:t>
      </w:r>
      <w:proofErr w:type="gramEnd"/>
      <w:r>
        <w:t xml:space="preserve"> article about his arrest: “</w:t>
      </w:r>
      <w:r w:rsidRPr="00373FBE">
        <w:rPr>
          <w:b/>
          <w:bCs/>
        </w:rPr>
        <w:t>At-home dispute between Newark firefighters end in gunfire, arrest</w:t>
      </w:r>
      <w:r>
        <w:rPr>
          <w:b/>
          <w:bCs/>
        </w:rPr>
        <w:t>.”</w:t>
      </w:r>
      <w:r w:rsidRPr="00373FBE">
        <w:rPr>
          <w:b/>
          <w:bCs/>
        </w:rPr>
        <w:t xml:space="preserve"> </w:t>
      </w:r>
      <w:hyperlink r:id="rId2611" w:history="1">
        <w:r w:rsidRPr="00373FBE">
          <w:rPr>
            <w:rStyle w:val="Hyperlink"/>
          </w:rPr>
          <w:t>https://abc7ny.com/newark-firefighters-firefighter-arrest-gunfire/1228031/</w:t>
        </w:r>
      </w:hyperlink>
      <w:r w:rsidRPr="00373FBE">
        <w:rPr>
          <w:sz w:val="20"/>
          <w:szCs w:val="20"/>
        </w:rPr>
        <w:t xml:space="preserve"> </w:t>
      </w:r>
    </w:p>
    <w:p w14:paraId="164818ED" w14:textId="77777777" w:rsidR="008A4533" w:rsidRDefault="008A4533" w:rsidP="008A4533">
      <w:pPr>
        <w:pStyle w:val="ekqk"/>
        <w:ind w:left="720"/>
      </w:pPr>
      <w:r>
        <w:t>“NEWARK, New Jersey -- Newark authorities say a dispute between two city firefighters at a home where they both live ended with one firing a shot through the other man's apartment door. Gamil Haidara faces several weapons charges. He's been suspended without pay. Authorities say the firefighters live in separate apartments at the Clifton Avenue home. They were arguing late Tuesday night when Haidara allegedly pulled out a gun. The victim ran into his apartment, and authorities say Haidara eventually fired one shot into the door before fleeing the building. Two police officers who happened to be in the area saw Haidara running with a gun in his hand. He was soon arrested. Haidara has been a city firefighter for eight years. Authorities say he was being treated at a hospital for ‘unspecified symptoms,’ but declined further comment. It wasn't known Wednesday if he's retained an attorney.”</w:t>
      </w:r>
    </w:p>
    <w:p w14:paraId="66F10AB2" w14:textId="77777777" w:rsidR="008A4533" w:rsidRPr="00174DB6" w:rsidRDefault="008A4533" w:rsidP="008A4533">
      <w:pPr>
        <w:pStyle w:val="ekqk"/>
        <w:rPr>
          <w:b/>
          <w:bCs/>
        </w:rPr>
      </w:pPr>
      <w:r w:rsidRPr="00174DB6">
        <w:rPr>
          <w:b/>
          <w:bCs/>
        </w:rPr>
        <w:t>Legal Lesson Learned</w:t>
      </w:r>
      <w:r>
        <w:rPr>
          <w:b/>
          <w:bCs/>
        </w:rPr>
        <w:t xml:space="preserve">: Termination for firing </w:t>
      </w:r>
      <w:proofErr w:type="gramStart"/>
      <w:r>
        <w:rPr>
          <w:b/>
          <w:bCs/>
        </w:rPr>
        <w:t>gun</w:t>
      </w:r>
      <w:proofErr w:type="gramEnd"/>
      <w:r>
        <w:rPr>
          <w:b/>
          <w:bCs/>
        </w:rPr>
        <w:t xml:space="preserve"> through apartment door is highly likely going to result in termination. </w:t>
      </w:r>
    </w:p>
    <w:p w14:paraId="5DFCB6D4" w14:textId="77777777" w:rsidR="00D55B6E" w:rsidRDefault="00D55B6E" w:rsidP="00F326E5">
      <w:pPr>
        <w:pStyle w:val="NoSpacing"/>
        <w:rPr>
          <w:rFonts w:ascii="Arial Black" w:hAnsi="Arial Black"/>
          <w:sz w:val="24"/>
          <w:szCs w:val="24"/>
        </w:rPr>
      </w:pPr>
    </w:p>
    <w:p w14:paraId="1EDED03E" w14:textId="0891D749" w:rsidR="008A4533" w:rsidRDefault="008A4533" w:rsidP="00F326E5">
      <w:pPr>
        <w:pStyle w:val="NoSpacing"/>
        <w:rPr>
          <w:rFonts w:ascii="Arial Black" w:hAnsi="Arial Black"/>
          <w:sz w:val="24"/>
          <w:szCs w:val="24"/>
        </w:rPr>
      </w:pPr>
      <w:r>
        <w:rPr>
          <w:rFonts w:ascii="Arial Black" w:hAnsi="Arial Black"/>
          <w:sz w:val="24"/>
          <w:szCs w:val="24"/>
        </w:rPr>
        <w:t>16-78</w:t>
      </w:r>
    </w:p>
    <w:p w14:paraId="65B76E9B" w14:textId="77777777" w:rsidR="008A4533" w:rsidRPr="00265C24" w:rsidRDefault="008A4533" w:rsidP="008A4533">
      <w:pPr>
        <w:pStyle w:val="NormalWeb"/>
        <w:rPr>
          <w:rFonts w:ascii="Arial Black" w:hAnsi="Arial Black"/>
          <w:sz w:val="28"/>
          <w:szCs w:val="28"/>
        </w:rPr>
      </w:pPr>
      <w:r>
        <w:rPr>
          <w:rFonts w:ascii="Arial Black" w:hAnsi="Arial Black"/>
          <w:sz w:val="28"/>
          <w:szCs w:val="28"/>
        </w:rPr>
        <w:t>CT: FF FIRED FIGHT IN STATION - ARRESTED – “HOSTILE WORKPLACE” CLAIM LACKS SPECIFICS – CAN REFILE</w:t>
      </w:r>
    </w:p>
    <w:p w14:paraId="491B2340" w14:textId="77777777" w:rsidR="008A4533" w:rsidRDefault="008A4533" w:rsidP="008A4533">
      <w:pPr>
        <w:pStyle w:val="NormalWeb"/>
      </w:pPr>
      <w:r>
        <w:t xml:space="preserve">On Jan. 6, 2023, in </w:t>
      </w:r>
      <w:r w:rsidRPr="00265C24">
        <w:rPr>
          <w:u w:val="single"/>
        </w:rPr>
        <w:t>Michael Apatow v. Town of Stratford, et al</w:t>
      </w:r>
      <w:r>
        <w:t>., U.S. District Court Judge Janet C. Hall, U.S. District Court for District of Connecticut, granted the defense motion to dismiss.  The firefighter alleges he has PTSD from hostilities from fellow firefighters.  After 13 years on the FD, he was fired on Dec. 20, 2018.  He was arrested and fired for another incident where a firefighter “hid essential components of the plaintiff's fire safety gear…. While tensions were high, another firefighter intervened and cornered Apatow…. This intimidation ‘</w:t>
      </w:r>
      <w:proofErr w:type="spellStart"/>
      <w:r>
        <w:t>forc</w:t>
      </w:r>
      <w:proofErr w:type="spellEnd"/>
      <w:r>
        <w:t xml:space="preserve">[ed Apatow]’ to defend himself.”  Judge held: “However, there are no allegations that the defendants lied to police or made a false report to induce Apatow's arrest. Indeed, Apatow readily admits that he participated in a physical altercation with a colleague…which appears to be the grounds for the call to police, his arrest, and his prosecution… Additionally, if Apatow is alleging that the circumstances of his termination - including the call to police, his arrest, and his subsequent prosecution-were extreme and outrageous, his claim also fails. ‘Connecticut courts have held that a report to the police typically does not constitute the type of ‘extreme and outrageous' conduct necessary to support a claim for intentional infliction of emotional distress.” </w:t>
      </w:r>
      <w:hyperlink r:id="rId2612" w:history="1">
        <w:r w:rsidRPr="00D25822">
          <w:rPr>
            <w:rStyle w:val="Hyperlink"/>
          </w:rPr>
          <w:t>https://public.fastcase.com/J%2FJP6pdidelsXxEE4k%2BLMvAA4wdVAozHclcXP6KMfdj8CYqWYkZ5IhtTDMjNxRFWt37yGVInB8Zz%2FIGBMgeG32vITwI53h9KaHKQGHtOktA%3D?utm_medium=email&amp;_hsmi=226712652&amp;_hsenc=p2ANqtz-_Mw2AEs2jMeK8CMsm-FXL9B_q1HIVWLrxWyxNhgUshAzXtvMAG3R8e40Q3eYuBvp5AUcCDxAlMrpInvyyHAC9DF5hGYw&amp;utm_content=226712652&amp;utm_source=hs_email</w:t>
        </w:r>
      </w:hyperlink>
      <w:r>
        <w:t xml:space="preserve"> </w:t>
      </w:r>
    </w:p>
    <w:p w14:paraId="3124259E" w14:textId="77777777" w:rsidR="008A4533" w:rsidRDefault="008A4533" w:rsidP="008A4533">
      <w:pPr>
        <w:pStyle w:val="NormalWeb"/>
      </w:pPr>
      <w:r>
        <w:t xml:space="preserve">Plaintiff alleges hostile workplace; given 21 days to refile with more details. </w:t>
      </w:r>
    </w:p>
    <w:p w14:paraId="52C3F04B" w14:textId="77777777" w:rsidR="008A4533" w:rsidRDefault="008A4533" w:rsidP="008A4533">
      <w:pPr>
        <w:pStyle w:val="NormalWeb"/>
        <w:ind w:left="720"/>
      </w:pPr>
      <w:r>
        <w:t xml:space="preserve">His “time with the SFD was also marred by epithets from his fellow firefighters in reference to his girlfriend's Black son as well as a working environment that was generally ‘exceedingly hostile and intimidating….’ Heated arguments were a regular occurrence in the firehouse, and these disagreements were known to escalate to violence… On one occasion, a colleague threw a wooden cutting board in a ‘frisbee-like’ manner at the plaintiff.  Apatow attempted to file a written complaint about the incident, but it was refused by the Assistant Chief, who directed him instead to ‘go out back and fight, fight it out….’ The firefighter who flung the cutting board at Apatow faced no disciplinary action, and supervisors at the SFD took ‘no steps’ to ameliorate the hostility among the firefighters…. The state of the work environment induced Post Traumatic Stress </w:t>
      </w:r>
      <w:proofErr w:type="gramStart"/>
      <w:r>
        <w:t>Disorder (‘</w:t>
      </w:r>
      <w:proofErr w:type="gramEnd"/>
      <w:r>
        <w:t xml:space="preserve">PTSD’) and cardiac distress for </w:t>
      </w:r>
      <w:proofErr w:type="gramStart"/>
      <w:r>
        <w:t>Apatow.”</w:t>
      </w:r>
      <w:proofErr w:type="gramEnd"/>
    </w:p>
    <w:p w14:paraId="41E65B8A" w14:textId="77777777" w:rsidR="008A4533" w:rsidRDefault="008A4533" w:rsidP="008A4533">
      <w:pPr>
        <w:pStyle w:val="NormalWeb"/>
        <w:ind w:left="720"/>
      </w:pPr>
      <w:r>
        <w:t>***</w:t>
      </w:r>
    </w:p>
    <w:p w14:paraId="3D52A55C" w14:textId="77777777" w:rsidR="008A4533" w:rsidRDefault="008A4533" w:rsidP="008A4533">
      <w:pPr>
        <w:pStyle w:val="NormalWeb"/>
        <w:ind w:left="720"/>
      </w:pPr>
      <w:r>
        <w:t xml:space="preserve">“The Complaint does not provide detail on the incident that the defendants allege led to Apatow's firing-noting only that the plaintiff was forced to ‘defendant [sic] himself,’ </w:t>
      </w:r>
    </w:p>
    <w:p w14:paraId="269E874D" w14:textId="77777777" w:rsidR="008A4533" w:rsidRDefault="008A4533" w:rsidP="008A4533">
      <w:pPr>
        <w:pStyle w:val="NormalWeb"/>
        <w:ind w:left="720"/>
      </w:pPr>
      <w:r>
        <w:t>***</w:t>
      </w:r>
    </w:p>
    <w:p w14:paraId="2AB95663" w14:textId="77777777" w:rsidR="008A4533" w:rsidRDefault="008A4533" w:rsidP="008A4533">
      <w:pPr>
        <w:pStyle w:val="NormalWeb"/>
        <w:ind w:left="720"/>
      </w:pPr>
      <w:r>
        <w:t>It is unclear from the Complaint and Apatow's Memorandum in Opposition precisely what conduct he alleges is extreme and outrageous. If Apatow intends to assert that it was the discrimination and retaliation he experienced at SFD, his claim fails.</w:t>
      </w:r>
    </w:p>
    <w:p w14:paraId="2333DD66" w14:textId="77777777" w:rsidR="008A4533" w:rsidRDefault="008A4533" w:rsidP="008A4533">
      <w:pPr>
        <w:pStyle w:val="NormalWeb"/>
        <w:ind w:left="720"/>
      </w:pPr>
      <w:r>
        <w:t>***</w:t>
      </w:r>
    </w:p>
    <w:p w14:paraId="17C145D5" w14:textId="77777777" w:rsidR="008A4533" w:rsidRDefault="008A4533" w:rsidP="008A4533">
      <w:pPr>
        <w:pStyle w:val="NormalWeb"/>
        <w:ind w:left="720"/>
      </w:pPr>
      <w:r>
        <w:t xml:space="preserve">Additionally, if Apatow is alleging that the circumstances of his termination- including the call to police, his arrest, and his subsequent prosecution-were extreme and outrageous, his claim also </w:t>
      </w:r>
      <w:proofErr w:type="gramStart"/>
      <w:r>
        <w:t>fails.”</w:t>
      </w:r>
      <w:proofErr w:type="gramEnd"/>
    </w:p>
    <w:p w14:paraId="6CA0C38F" w14:textId="77777777" w:rsidR="008A4533" w:rsidRPr="00EC4449" w:rsidRDefault="008A4533" w:rsidP="008A4533">
      <w:pPr>
        <w:pStyle w:val="NormalWeb"/>
        <w:rPr>
          <w:b/>
          <w:bCs/>
        </w:rPr>
      </w:pPr>
      <w:r w:rsidRPr="00EC4449">
        <w:rPr>
          <w:b/>
          <w:bCs/>
        </w:rPr>
        <w:t xml:space="preserve">Legal Lesson Learned: </w:t>
      </w:r>
      <w:r>
        <w:rPr>
          <w:b/>
          <w:bCs/>
        </w:rPr>
        <w:t>FD may call police for an assault by a firefighter.</w:t>
      </w:r>
    </w:p>
    <w:p w14:paraId="00AF7210" w14:textId="77777777" w:rsidR="008A4533" w:rsidRDefault="008A4533" w:rsidP="00F326E5">
      <w:pPr>
        <w:pStyle w:val="NoSpacing"/>
        <w:rPr>
          <w:rFonts w:ascii="Arial Black" w:hAnsi="Arial Black"/>
          <w:sz w:val="24"/>
          <w:szCs w:val="24"/>
        </w:rPr>
      </w:pPr>
    </w:p>
    <w:p w14:paraId="24E5C927" w14:textId="77777777" w:rsidR="008A4533" w:rsidRDefault="008A4533" w:rsidP="00F326E5">
      <w:pPr>
        <w:pStyle w:val="NoSpacing"/>
        <w:rPr>
          <w:rFonts w:ascii="Arial Black" w:hAnsi="Arial Black"/>
          <w:sz w:val="24"/>
          <w:szCs w:val="24"/>
        </w:rPr>
      </w:pPr>
    </w:p>
    <w:p w14:paraId="0F0729F3" w14:textId="77777777" w:rsidR="008A4533" w:rsidRDefault="008A4533" w:rsidP="00F326E5">
      <w:pPr>
        <w:pStyle w:val="NoSpacing"/>
        <w:rPr>
          <w:rFonts w:ascii="Arial Black" w:hAnsi="Arial Black"/>
          <w:sz w:val="24"/>
          <w:szCs w:val="24"/>
        </w:rPr>
      </w:pPr>
    </w:p>
    <w:p w14:paraId="1CC312D7" w14:textId="723C5148" w:rsidR="00F31C1B" w:rsidRDefault="00F31C1B" w:rsidP="00F326E5">
      <w:pPr>
        <w:pStyle w:val="NoSpacing"/>
        <w:rPr>
          <w:rFonts w:ascii="Arial Black" w:hAnsi="Arial Black"/>
          <w:sz w:val="24"/>
          <w:szCs w:val="24"/>
        </w:rPr>
      </w:pPr>
      <w:r>
        <w:rPr>
          <w:rFonts w:ascii="Arial Black" w:hAnsi="Arial Black"/>
          <w:sz w:val="24"/>
          <w:szCs w:val="24"/>
        </w:rPr>
        <w:t>16-77</w:t>
      </w:r>
    </w:p>
    <w:p w14:paraId="345D3183" w14:textId="044A0562" w:rsidR="00F31C1B" w:rsidRDefault="00F31C1B" w:rsidP="00F31C1B">
      <w:pPr>
        <w:pStyle w:val="NormalWeb"/>
        <w:rPr>
          <w:rFonts w:ascii="Arial Black" w:hAnsi="Arial Black"/>
          <w:b/>
          <w:bCs/>
          <w:sz w:val="28"/>
          <w:szCs w:val="28"/>
        </w:rPr>
      </w:pPr>
      <w:r>
        <w:rPr>
          <w:rFonts w:ascii="Arial Black" w:hAnsi="Arial Black"/>
          <w:b/>
          <w:bCs/>
          <w:sz w:val="28"/>
          <w:szCs w:val="28"/>
        </w:rPr>
        <w:t>NM: LT. DISCIPLINED FOR “PUSHING HIS RELIGION” – WORKPLACE HOSTILITY NOT SEVERE AND PERVASIVE</w:t>
      </w:r>
    </w:p>
    <w:p w14:paraId="7641358B" w14:textId="77777777" w:rsidR="00F31C1B" w:rsidRDefault="00F31C1B" w:rsidP="00F31C1B">
      <w:pPr>
        <w:pStyle w:val="NormalWeb"/>
      </w:pPr>
      <w:r>
        <w:t xml:space="preserve">On Nov. 30, 2022, in </w:t>
      </w:r>
      <w:r w:rsidRPr="00817A36">
        <w:rPr>
          <w:u w:val="single"/>
        </w:rPr>
        <w:t>Ryan S. Lucero v. City of Albuquerque</w:t>
      </w:r>
      <w:r>
        <w:t xml:space="preserve">, the Court of Appeals of New Mexico held (3 to 0) that trial court properly granted summary judgment for the city; the plaintiff was not disciplined for being a “conservative pro-Christian” but instead for his “pushing his politics and religion on people” while at work and his confrontation with his Captain at Station 5.     </w:t>
      </w:r>
    </w:p>
    <w:p w14:paraId="3EB01639" w14:textId="77777777" w:rsidR="00F31C1B" w:rsidRDefault="00F31C1B" w:rsidP="00F31C1B">
      <w:pPr>
        <w:pStyle w:val="NormalWeb"/>
        <w:ind w:left="720"/>
      </w:pPr>
      <w:r>
        <w:t>“Lucero further maintains that in May 2016, after he was promoted to lieutenant and assigned to Station 5, his captain, A.B., ‘made jokes behind [his] back.’ As proof that his treatment at Station 5 was based on religious animus, Lucero cites an incident with A.B. in June 2016. According to his deposition testimony, Lucero went to A.B.'s office to ask why there was friction between them. A.B.'s response was that he did not like how Lucero ‘push[ed] his politics and religion on people.’ After that, according to Lucero's affidavit, A.</w:t>
      </w:r>
      <w:proofErr w:type="gramStart"/>
      <w:r>
        <w:t>B. ‘</w:t>
      </w:r>
      <w:proofErr w:type="gramEnd"/>
      <w:r>
        <w:t>grabbed [him] and threw [him] against the wall.’</w:t>
      </w:r>
    </w:p>
    <w:p w14:paraId="045164F3" w14:textId="77777777" w:rsidR="00F31C1B" w:rsidRDefault="00F31C1B" w:rsidP="00F31C1B">
      <w:pPr>
        <w:pStyle w:val="NormalWeb"/>
        <w:ind w:left="720"/>
      </w:pPr>
      <w:r>
        <w:t xml:space="preserve">*** </w:t>
      </w:r>
    </w:p>
    <w:p w14:paraId="419A6265" w14:textId="77777777" w:rsidR="00F31C1B" w:rsidRDefault="00F31C1B" w:rsidP="00F31C1B">
      <w:pPr>
        <w:pStyle w:val="NormalWeb"/>
        <w:ind w:left="720"/>
      </w:pPr>
      <w:r>
        <w:t xml:space="preserve">In support of his retaliation claims, Lucero maintains that he was subjected to various retaliatory actions by the </w:t>
      </w:r>
      <w:proofErr w:type="gramStart"/>
      <w:r>
        <w:t>City</w:t>
      </w:r>
      <w:proofErr w:type="gramEnd"/>
      <w:r>
        <w:t xml:space="preserve"> following his report of the June incident to his area commander, in which he expressed his belief that he was being treated differently because of his religion. Such actions included being placed in a floating position and being denied opportunities for overtime and a transfer to his desired station.</w:t>
      </w:r>
    </w:p>
    <w:p w14:paraId="5ABD854C" w14:textId="77777777" w:rsidR="00F31C1B" w:rsidRDefault="00F31C1B" w:rsidP="00F31C1B">
      <w:pPr>
        <w:pStyle w:val="NormalWeb"/>
        <w:ind w:left="720"/>
      </w:pPr>
      <w:r>
        <w:t>***</w:t>
      </w:r>
    </w:p>
    <w:p w14:paraId="4351CE1E" w14:textId="33AF8ED3" w:rsidR="00F31C1B" w:rsidRPr="00F31C1B" w:rsidRDefault="00F31C1B" w:rsidP="00F31C1B">
      <w:pPr>
        <w:pStyle w:val="NoSpacing"/>
        <w:ind w:left="720"/>
        <w:rPr>
          <w:rFonts w:ascii="Times New Roman" w:hAnsi="Times New Roman"/>
          <w:sz w:val="24"/>
          <w:szCs w:val="24"/>
        </w:rPr>
      </w:pPr>
      <w:r w:rsidRPr="00F31C1B">
        <w:rPr>
          <w:rFonts w:ascii="Times New Roman" w:hAnsi="Times New Roman"/>
          <w:sz w:val="24"/>
          <w:szCs w:val="24"/>
        </w:rPr>
        <w:t xml:space="preserve">As relevant here, to make out a hostile work environment claim, Lucero must make two basic showings…. </w:t>
      </w:r>
      <w:proofErr w:type="gramStart"/>
      <w:r w:rsidRPr="00F31C1B">
        <w:rPr>
          <w:rFonts w:ascii="Times New Roman" w:hAnsi="Times New Roman"/>
          <w:sz w:val="24"/>
          <w:szCs w:val="24"/>
        </w:rPr>
        <w:t>First, that</w:t>
      </w:r>
      <w:proofErr w:type="gramEnd"/>
      <w:r w:rsidRPr="00F31C1B">
        <w:rPr>
          <w:rFonts w:ascii="Times New Roman" w:hAnsi="Times New Roman"/>
          <w:sz w:val="24"/>
          <w:szCs w:val="24"/>
        </w:rPr>
        <w:t xml:space="preserve"> he was subjected to an objectively and subjectively hostile work environment.... </w:t>
      </w:r>
      <w:r w:rsidRPr="00F31C1B">
        <w:rPr>
          <w:rStyle w:val="Emphasis"/>
          <w:rFonts w:ascii="Times New Roman" w:hAnsi="Times New Roman"/>
          <w:sz w:val="24"/>
          <w:szCs w:val="24"/>
        </w:rPr>
        <w:t>See id.</w:t>
      </w:r>
      <w:r w:rsidRPr="00F31C1B">
        <w:rPr>
          <w:rFonts w:ascii="Times New Roman" w:hAnsi="Times New Roman"/>
          <w:sz w:val="24"/>
          <w:szCs w:val="24"/>
        </w:rPr>
        <w:t xml:space="preserve">; </w:t>
      </w:r>
      <w:r w:rsidRPr="00F31C1B">
        <w:rPr>
          <w:rStyle w:val="Emphasis"/>
          <w:rFonts w:ascii="Times New Roman" w:hAnsi="Times New Roman"/>
          <w:sz w:val="24"/>
          <w:szCs w:val="24"/>
        </w:rPr>
        <w:t>see also Herald v. Bd. of Regents of Univ. of N.M.</w:t>
      </w:r>
      <w:r w:rsidRPr="00F31C1B">
        <w:rPr>
          <w:rFonts w:ascii="Times New Roman" w:hAnsi="Times New Roman"/>
          <w:sz w:val="24"/>
          <w:szCs w:val="24"/>
        </w:rPr>
        <w:t xml:space="preserve">, 2015-NMCA-104, ¶ 53, 357 P.3d 438 (providing that, to make out a hostile work environment claim, the harassing conduct must be ‘so severe and pervasive that the workplace is transformed into a hostile and abusive environment for the employee’….  Second, that the harassing conduct was based on his religion…. We accordingly affirm the district court's grant of summary judgment on Lucero's religious discrimination claim.” </w:t>
      </w:r>
      <w:hyperlink r:id="rId2613" w:history="1">
        <w:r w:rsidRPr="00F31C1B">
          <w:rPr>
            <w:rStyle w:val="Hyperlink"/>
            <w:rFonts w:ascii="Times New Roman" w:eastAsiaTheme="majorEastAsia" w:hAnsi="Times New Roman"/>
            <w:sz w:val="24"/>
            <w:szCs w:val="24"/>
          </w:rPr>
          <w:t>https://public.fastcase.com/J%2FJP6pdidelsXxEE4k%2BLMpGubXoiBI9N5c5PiCjiKje3s5hlj34tgYA4JUqhEnHu5%2B5A2YVGp5a5q0QWGlZ62xJPhOyoXNaYGEvkYwXaoTE%3D?utm_medium=email&amp;_hsmi=226712652&amp;_hsenc=p2ANqtz-8eQQAtjUmF0fegxTEoYBNzAO-SWgh5MKAZ8ooS_Vj6VgR_AfS9P2NoltKqIQKTjr9fMeFfYMtr9y658qMKNZJxq-ULqA&amp;utm_content=226712652&amp;utm_source=hs_email</w:t>
        </w:r>
      </w:hyperlink>
    </w:p>
    <w:p w14:paraId="3008616D" w14:textId="77777777" w:rsidR="00F31C1B" w:rsidRDefault="00F31C1B" w:rsidP="00F326E5">
      <w:pPr>
        <w:pStyle w:val="NoSpacing"/>
        <w:rPr>
          <w:rFonts w:ascii="Arial Black" w:hAnsi="Arial Black"/>
          <w:sz w:val="24"/>
          <w:szCs w:val="24"/>
        </w:rPr>
      </w:pPr>
    </w:p>
    <w:p w14:paraId="2ED991EB" w14:textId="77777777" w:rsidR="00F31C1B" w:rsidRPr="00F46331" w:rsidRDefault="00F31C1B" w:rsidP="00F31C1B">
      <w:pPr>
        <w:pStyle w:val="NormalWeb"/>
        <w:rPr>
          <w:b/>
          <w:bCs/>
        </w:rPr>
      </w:pPr>
      <w:r w:rsidRPr="00F46331">
        <w:rPr>
          <w:b/>
          <w:bCs/>
        </w:rPr>
        <w:t>Legal Lesson Learned:</w:t>
      </w:r>
      <w:r>
        <w:rPr>
          <w:b/>
          <w:bCs/>
        </w:rPr>
        <w:t xml:space="preserve"> Hostile work atmosphere claim requires proof of “severe” workplace environment. </w:t>
      </w:r>
    </w:p>
    <w:p w14:paraId="6BBFC075" w14:textId="77777777" w:rsidR="00F31C1B" w:rsidRDefault="00F31C1B" w:rsidP="00F31C1B">
      <w:pPr>
        <w:pStyle w:val="NormalWeb"/>
      </w:pPr>
      <w:r>
        <w:tab/>
        <w:t>Note: Court in Footnote 2 referenced plaintiff watching Fox News.</w:t>
      </w:r>
    </w:p>
    <w:p w14:paraId="36472B69" w14:textId="77777777" w:rsidR="00F31C1B" w:rsidRPr="00F46331" w:rsidRDefault="00F31C1B" w:rsidP="00F31C1B">
      <w:pPr>
        <w:pStyle w:val="NormalWeb"/>
        <w:ind w:left="720"/>
        <w:rPr>
          <w:b/>
          <w:bCs/>
        </w:rPr>
      </w:pPr>
      <w:r>
        <w:t>“</w:t>
      </w:r>
      <w:r w:rsidRPr="00F46331">
        <w:t xml:space="preserve">Although Lucero additionally asserts, in an affidavit he submitted in his response to the City's motion for summary judgment, that A.B. criticized him for watching a </w:t>
      </w:r>
      <w:r>
        <w:t>‘</w:t>
      </w:r>
      <w:r w:rsidRPr="00F46331">
        <w:t>conservative, pro-Christian news channel,</w:t>
      </w:r>
      <w:r>
        <w:t>’</w:t>
      </w:r>
      <w:r w:rsidRPr="00F46331">
        <w:t xml:space="preserve"> he does not rely on A.B.'s criticism of Lucero's news source as proof of religious animus. Moreover, the news source Lucero cites is apparently Fox News. In his deposition, Lucero agreed that </w:t>
      </w:r>
      <w:r>
        <w:t>‘</w:t>
      </w:r>
      <w:r w:rsidRPr="00F46331">
        <w:t>Fox News is a well-known Republican-affiliated news source</w:t>
      </w:r>
      <w:r>
        <w:t xml:space="preserve">’ </w:t>
      </w:r>
      <w:r w:rsidRPr="00F46331">
        <w:t xml:space="preserve">and testified that A.B.'s disapproval of Lucero watching Fox News was political, not religious. We observe that, although Lucero alleged discrimination based on </w:t>
      </w:r>
      <w:r>
        <w:t>‘</w:t>
      </w:r>
      <w:r w:rsidRPr="00F46331">
        <w:t>political views</w:t>
      </w:r>
      <w:r>
        <w:t>’</w:t>
      </w:r>
      <w:r w:rsidRPr="00F46331">
        <w:t xml:space="preserve"> in his administrative grievance, he did not advance such a claim in his complaint in district court, nor did he raise any claim based on the First Amendment to the United States Constitution. We therefore disregard his assertions concerning the news channel.</w:t>
      </w:r>
      <w:r>
        <w:t>”</w:t>
      </w:r>
    </w:p>
    <w:p w14:paraId="377023A8" w14:textId="77777777" w:rsidR="00F31C1B" w:rsidRDefault="00F31C1B" w:rsidP="00F326E5">
      <w:pPr>
        <w:pStyle w:val="NoSpacing"/>
        <w:rPr>
          <w:rFonts w:ascii="Arial Black" w:hAnsi="Arial Black"/>
          <w:sz w:val="24"/>
          <w:szCs w:val="24"/>
        </w:rPr>
      </w:pPr>
    </w:p>
    <w:p w14:paraId="0B2F40E7" w14:textId="77777777" w:rsidR="00F31C1B" w:rsidRDefault="00F31C1B" w:rsidP="00F326E5">
      <w:pPr>
        <w:pStyle w:val="NoSpacing"/>
        <w:rPr>
          <w:rFonts w:ascii="Arial Black" w:hAnsi="Arial Black"/>
          <w:sz w:val="24"/>
          <w:szCs w:val="24"/>
        </w:rPr>
      </w:pPr>
    </w:p>
    <w:p w14:paraId="4065D204" w14:textId="7376E746" w:rsidR="00F31C1B" w:rsidRDefault="00F31C1B" w:rsidP="00F326E5">
      <w:pPr>
        <w:pStyle w:val="NoSpacing"/>
        <w:rPr>
          <w:rFonts w:ascii="Arial Black" w:hAnsi="Arial Black"/>
          <w:sz w:val="24"/>
          <w:szCs w:val="24"/>
        </w:rPr>
      </w:pPr>
      <w:r>
        <w:rPr>
          <w:rFonts w:ascii="Arial Black" w:hAnsi="Arial Black"/>
          <w:sz w:val="24"/>
          <w:szCs w:val="24"/>
        </w:rPr>
        <w:t>16-76</w:t>
      </w:r>
    </w:p>
    <w:p w14:paraId="33934AE3" w14:textId="34ACB404" w:rsidR="00F31C1B" w:rsidRDefault="00F31C1B" w:rsidP="00F326E5">
      <w:pPr>
        <w:pStyle w:val="NoSpacing"/>
        <w:rPr>
          <w:rFonts w:ascii="Arial Black" w:hAnsi="Arial Black"/>
          <w:sz w:val="24"/>
          <w:szCs w:val="24"/>
        </w:rPr>
      </w:pPr>
    </w:p>
    <w:p w14:paraId="16874A0D" w14:textId="77777777" w:rsidR="00F31C1B" w:rsidRDefault="00F31C1B" w:rsidP="00F31C1B">
      <w:pPr>
        <w:pStyle w:val="NormalWeb"/>
        <w:rPr>
          <w:rFonts w:ascii="Arial Black" w:hAnsi="Arial Black"/>
          <w:sz w:val="28"/>
          <w:szCs w:val="28"/>
        </w:rPr>
      </w:pPr>
      <w:r>
        <w:rPr>
          <w:rFonts w:ascii="Arial Black" w:hAnsi="Arial Black"/>
          <w:sz w:val="28"/>
          <w:szCs w:val="28"/>
        </w:rPr>
        <w:t xml:space="preserve">IN: VOLUNTEER FF – PLED GULTY ARSON - 5 STRUCTURE FIRES, WANTED TO BE “HERO” – 20 YEARS PRISON </w:t>
      </w:r>
    </w:p>
    <w:p w14:paraId="5F308BDE" w14:textId="77777777" w:rsidR="00F31C1B" w:rsidRDefault="00F31C1B" w:rsidP="00F31C1B">
      <w:pPr>
        <w:pStyle w:val="NormalWeb"/>
      </w:pPr>
      <w:r>
        <w:t xml:space="preserve">On Nov. 29, 2022, in </w:t>
      </w:r>
      <w:r w:rsidRPr="00957183">
        <w:rPr>
          <w:u w:val="single"/>
        </w:rPr>
        <w:t>Adam Selbee v. State of Indiana</w:t>
      </w:r>
      <w:r>
        <w:t>, the Court of Appeals of Indiana held (3 to 0) that the defendant knowingly pled guilty after consulting with legal counsel; his claim of ineffective legal counsel is denied. Selbee pled guilty to the arson charges and was sentenced, pursuant to the terms of his plea agreement, to an aggregate term of thirty-two years, with twenty years executed and twelve years suspended to probation.</w:t>
      </w:r>
    </w:p>
    <w:p w14:paraId="6472B7DC" w14:textId="77777777" w:rsidR="00F31C1B" w:rsidRDefault="00F31C1B" w:rsidP="00F31C1B">
      <w:pPr>
        <w:pStyle w:val="NormalWeb"/>
        <w:ind w:left="720"/>
      </w:pPr>
      <w:r>
        <w:t>“Beginning in July of 2016, Selbee, using combustibles or ignitable liquid, set five structure fires and three ;hay bale fires….’ The structure fires included the following types of buildings: a gymnasium, a non-residential structure on a couple's property, and a residence. The fires were set on different days in July, September, and October of 2016. In addition to setting the fires, Selbee-who was a volunteer fire fighter and an EMT-later indicated that ‘he said [he] enjoyed responding to [the fires] and, and kind of being a hero</w:t>
      </w:r>
      <w:proofErr w:type="gramStart"/>
      <w:r>
        <w:t>.…</w:t>
      </w:r>
      <w:proofErr w:type="gramEnd"/>
      <w:r>
        <w:t xml:space="preserve"> He kind of got a pleasure from doing that…. ‘ </w:t>
      </w:r>
    </w:p>
    <w:p w14:paraId="20046890" w14:textId="77777777" w:rsidR="00F31C1B" w:rsidRPr="00376BC8" w:rsidRDefault="00F31C1B" w:rsidP="00F31C1B">
      <w:pPr>
        <w:pStyle w:val="NormalWeb"/>
        <w:ind w:left="720"/>
        <w:rPr>
          <w:rFonts w:ascii="Arial Black" w:hAnsi="Arial Black"/>
          <w:b/>
          <w:bCs/>
          <w:sz w:val="28"/>
          <w:szCs w:val="28"/>
        </w:rPr>
      </w:pPr>
      <w:r>
        <w:t>***</w:t>
      </w:r>
    </w:p>
    <w:p w14:paraId="6082D737" w14:textId="420DDF2E" w:rsidR="00F31C1B" w:rsidRPr="00F31C1B" w:rsidRDefault="00F31C1B" w:rsidP="00F31C1B">
      <w:pPr>
        <w:pStyle w:val="NoSpacing"/>
        <w:ind w:left="720"/>
        <w:rPr>
          <w:rStyle w:val="Hyperlink"/>
          <w:rFonts w:ascii="Times New Roman" w:eastAsiaTheme="majorEastAsia" w:hAnsi="Times New Roman"/>
          <w:sz w:val="24"/>
          <w:szCs w:val="24"/>
        </w:rPr>
      </w:pPr>
      <w:r w:rsidRPr="00F31C1B">
        <w:rPr>
          <w:rFonts w:ascii="Times New Roman" w:hAnsi="Times New Roman"/>
          <w:sz w:val="24"/>
          <w:szCs w:val="24"/>
        </w:rPr>
        <w:t xml:space="preserve">On May 25, 2017, Selbee entered into a plea agreement, under the terms of which Selbee agreed to plead guilty to all four arson counts in exchange for the dismissal of the criminal-mischief counts and a separate criminal case.” </w:t>
      </w:r>
      <w:hyperlink r:id="rId2614" w:history="1">
        <w:r w:rsidRPr="00F31C1B">
          <w:rPr>
            <w:rStyle w:val="Hyperlink"/>
            <w:rFonts w:ascii="Times New Roman" w:eastAsiaTheme="majorEastAsia" w:hAnsi="Times New Roman"/>
            <w:sz w:val="24"/>
            <w:szCs w:val="24"/>
          </w:rPr>
          <w:t>https://public.courts.in.gov/Decisions/api/Document/Opinion?Id=BlYPkLxVHgH9AX_il3izt1lEOiPnwm0plhkYRvgS1Eap1sEgbSi8um2d6l97LpRN0</w:t>
        </w:r>
      </w:hyperlink>
    </w:p>
    <w:p w14:paraId="2937AF1F" w14:textId="5845EFB5" w:rsidR="00F31C1B" w:rsidRDefault="00F31C1B" w:rsidP="00F31C1B">
      <w:pPr>
        <w:pStyle w:val="NoSpacing"/>
        <w:rPr>
          <w:rStyle w:val="Hyperlink"/>
          <w:rFonts w:eastAsiaTheme="majorEastAsia"/>
        </w:rPr>
      </w:pPr>
    </w:p>
    <w:p w14:paraId="2B5C197A" w14:textId="77777777" w:rsidR="00F31C1B" w:rsidRPr="00BF28F1" w:rsidRDefault="00F31C1B" w:rsidP="00F31C1B">
      <w:pPr>
        <w:pStyle w:val="NormalWeb"/>
        <w:rPr>
          <w:b/>
          <w:bCs/>
          <w:vertAlign w:val="superscript"/>
        </w:rPr>
      </w:pPr>
      <w:r w:rsidRPr="00BF28F1">
        <w:rPr>
          <w:b/>
          <w:bCs/>
        </w:rPr>
        <w:t>Legal Lesson Learned:</w:t>
      </w:r>
      <w:r>
        <w:rPr>
          <w:b/>
          <w:bCs/>
        </w:rPr>
        <w:t xml:space="preserve">  Arsons by firefighters seeking to be “heroes” is unfortunately a </w:t>
      </w:r>
      <w:proofErr w:type="spellStart"/>
      <w:proofErr w:type="gramStart"/>
      <w:r>
        <w:rPr>
          <w:b/>
          <w:bCs/>
        </w:rPr>
        <w:t>well known</w:t>
      </w:r>
      <w:proofErr w:type="spellEnd"/>
      <w:proofErr w:type="gramEnd"/>
      <w:r>
        <w:rPr>
          <w:b/>
          <w:bCs/>
        </w:rPr>
        <w:t xml:space="preserve"> issue. </w:t>
      </w:r>
    </w:p>
    <w:p w14:paraId="074A190B" w14:textId="77777777" w:rsidR="00F31C1B" w:rsidRPr="00BF28F1" w:rsidRDefault="00F31C1B" w:rsidP="00F31C1B">
      <w:pPr>
        <w:pStyle w:val="NormalWeb"/>
        <w:ind w:left="720"/>
      </w:pPr>
      <w:r w:rsidRPr="00BF28F1">
        <w:t>Note: See articles on firefighter</w:t>
      </w:r>
      <w:r>
        <w:t xml:space="preserve"> </w:t>
      </w:r>
      <w:r w:rsidRPr="00BF28F1">
        <w:t>arsonists.</w:t>
      </w:r>
    </w:p>
    <w:p w14:paraId="40AF658E" w14:textId="77777777" w:rsidR="00F31C1B" w:rsidRPr="00BF28F1" w:rsidRDefault="00F31C1B" w:rsidP="00F31C1B">
      <w:pPr>
        <w:pStyle w:val="NormalWeb"/>
        <w:ind w:left="720"/>
      </w:pPr>
      <w:hyperlink r:id="rId2615" w:history="1">
        <w:r w:rsidRPr="00BF28F1">
          <w:rPr>
            <w:rStyle w:val="Hyperlink"/>
            <w:rFonts w:eastAsiaTheme="majorEastAsia"/>
          </w:rPr>
          <w:t>https://www.nvfc.org/firefighter-arson/</w:t>
        </w:r>
      </w:hyperlink>
      <w:r w:rsidRPr="00BF28F1">
        <w:t xml:space="preserve"> </w:t>
      </w:r>
    </w:p>
    <w:p w14:paraId="23D7D905" w14:textId="77777777" w:rsidR="00F31C1B" w:rsidRPr="00BF28F1" w:rsidRDefault="00F31C1B" w:rsidP="00F31C1B">
      <w:pPr>
        <w:pStyle w:val="NormalWeb"/>
        <w:ind w:left="720"/>
      </w:pPr>
      <w:hyperlink r:id="rId2616" w:history="1">
        <w:r w:rsidRPr="00BF28F1">
          <w:rPr>
            <w:rStyle w:val="Hyperlink"/>
            <w:rFonts w:eastAsiaTheme="majorEastAsia"/>
          </w:rPr>
          <w:t>https://www.firerescue1.com/arson-investigation/articles/understanding-the-firefighter-arsonist-j06dtElH3OMZMwBS/</w:t>
        </w:r>
      </w:hyperlink>
      <w:r w:rsidRPr="00BF28F1">
        <w:t xml:space="preserve"> </w:t>
      </w:r>
    </w:p>
    <w:p w14:paraId="2AAD65E4" w14:textId="77777777" w:rsidR="00F31C1B" w:rsidRPr="00BF28F1" w:rsidRDefault="00F31C1B" w:rsidP="00F31C1B">
      <w:pPr>
        <w:pStyle w:val="NormalWeb"/>
        <w:ind w:left="720"/>
      </w:pPr>
      <w:hyperlink r:id="rId2617" w:history="1">
        <w:r w:rsidRPr="00BF28F1">
          <w:rPr>
            <w:rStyle w:val="Hyperlink"/>
            <w:rFonts w:eastAsiaTheme="majorEastAsia"/>
          </w:rPr>
          <w:t>https://www.cbc.ca/news/canada/edmonton/fires-set-by-firefighters-a-long-standing-problem-experts-say-1.3563183</w:t>
        </w:r>
      </w:hyperlink>
      <w:r w:rsidRPr="00BF28F1">
        <w:t xml:space="preserve"> </w:t>
      </w:r>
    </w:p>
    <w:p w14:paraId="592AA3D5" w14:textId="77777777" w:rsidR="00F31C1B" w:rsidRPr="00BF28F1" w:rsidRDefault="00F31C1B" w:rsidP="00F31C1B">
      <w:pPr>
        <w:pStyle w:val="NormalWeb"/>
        <w:ind w:left="720"/>
      </w:pPr>
      <w:hyperlink r:id="rId2618" w:history="1">
        <w:r w:rsidRPr="00BF28F1">
          <w:rPr>
            <w:rStyle w:val="Hyperlink"/>
            <w:rFonts w:eastAsiaTheme="majorEastAsia"/>
          </w:rPr>
          <w:t>https://burned.journalism.cuny.edu/the-diverse-minds-of-arsonists/</w:t>
        </w:r>
      </w:hyperlink>
      <w:r w:rsidRPr="00BF28F1">
        <w:t xml:space="preserve"> </w:t>
      </w:r>
    </w:p>
    <w:p w14:paraId="53DC1192" w14:textId="77777777" w:rsidR="00F31C1B" w:rsidRPr="00BF28F1" w:rsidRDefault="00F31C1B" w:rsidP="00F31C1B">
      <w:pPr>
        <w:pStyle w:val="NormalWeb"/>
        <w:ind w:left="720"/>
      </w:pPr>
      <w:hyperlink r:id="rId2619" w:history="1">
        <w:r w:rsidRPr="00BF28F1">
          <w:rPr>
            <w:rStyle w:val="Hyperlink"/>
            <w:rFonts w:eastAsiaTheme="majorEastAsia"/>
          </w:rPr>
          <w:t>https://edmontonjournal.com/news/crime/firefighters-who-start-fires-a-look-at-the-phenomenon-of-firefighter-arson</w:t>
        </w:r>
      </w:hyperlink>
      <w:r w:rsidRPr="00BF28F1">
        <w:t xml:space="preserve">  </w:t>
      </w:r>
    </w:p>
    <w:p w14:paraId="3C9AFD29" w14:textId="77777777" w:rsidR="00F31C1B" w:rsidRDefault="00F31C1B" w:rsidP="00F31C1B">
      <w:pPr>
        <w:pStyle w:val="NoSpacing"/>
        <w:rPr>
          <w:rFonts w:ascii="Times New Roman" w:hAnsi="Times New Roman"/>
          <w:sz w:val="24"/>
          <w:szCs w:val="24"/>
        </w:rPr>
      </w:pPr>
    </w:p>
    <w:p w14:paraId="56C106A9" w14:textId="77777777" w:rsidR="00F31C1B" w:rsidRDefault="00F31C1B" w:rsidP="00F326E5">
      <w:pPr>
        <w:pStyle w:val="NoSpacing"/>
        <w:rPr>
          <w:rFonts w:ascii="Arial Black" w:hAnsi="Arial Black"/>
          <w:sz w:val="24"/>
          <w:szCs w:val="24"/>
        </w:rPr>
      </w:pPr>
    </w:p>
    <w:p w14:paraId="3CF6CEF3" w14:textId="5A6F7CE6" w:rsidR="00F31C1B" w:rsidRDefault="00F31C1B" w:rsidP="00F326E5">
      <w:pPr>
        <w:pStyle w:val="NoSpacing"/>
        <w:rPr>
          <w:rFonts w:ascii="Arial Black" w:hAnsi="Arial Black"/>
          <w:sz w:val="24"/>
          <w:szCs w:val="24"/>
        </w:rPr>
      </w:pPr>
      <w:r>
        <w:rPr>
          <w:rFonts w:ascii="Arial Black" w:hAnsi="Arial Black"/>
          <w:sz w:val="24"/>
          <w:szCs w:val="24"/>
        </w:rPr>
        <w:t>16-75</w:t>
      </w:r>
    </w:p>
    <w:p w14:paraId="127C7C1B" w14:textId="77777777" w:rsidR="00F31C1B" w:rsidRDefault="00F31C1B" w:rsidP="00F326E5">
      <w:pPr>
        <w:pStyle w:val="NoSpacing"/>
        <w:rPr>
          <w:rFonts w:ascii="Arial Black" w:hAnsi="Arial Black"/>
          <w:sz w:val="24"/>
          <w:szCs w:val="24"/>
        </w:rPr>
      </w:pPr>
    </w:p>
    <w:p w14:paraId="73C4446A" w14:textId="77777777" w:rsidR="00F31C1B" w:rsidRDefault="00F31C1B" w:rsidP="00F31C1B">
      <w:pPr>
        <w:pStyle w:val="NormalWeb"/>
        <w:rPr>
          <w:rFonts w:ascii="Arial Black" w:hAnsi="Arial Black"/>
          <w:b/>
          <w:bCs/>
          <w:sz w:val="28"/>
          <w:szCs w:val="28"/>
        </w:rPr>
      </w:pPr>
      <w:r>
        <w:rPr>
          <w:rFonts w:ascii="Arial Black" w:hAnsi="Arial Black"/>
          <w:b/>
          <w:bCs/>
          <w:sz w:val="28"/>
          <w:szCs w:val="28"/>
        </w:rPr>
        <w:t xml:space="preserve">GA: BREACH CHAIN OF COMMAND – FF CALLED COUNTY COMM. AIDE – 5 TRUCKS OOS - DEMOTED, NO 1st. AMEND. </w:t>
      </w:r>
    </w:p>
    <w:p w14:paraId="4B818241" w14:textId="77777777" w:rsidR="00F31C1B" w:rsidRDefault="00F31C1B" w:rsidP="00F31C1B">
      <w:pPr>
        <w:pStyle w:val="NormalWeb"/>
      </w:pPr>
      <w:r w:rsidRPr="003F09C4">
        <w:t xml:space="preserve">On </w:t>
      </w:r>
      <w:r>
        <w:t xml:space="preserve">Nov. 22, 2022, in </w:t>
      </w:r>
      <w:r w:rsidRPr="003F09C4">
        <w:rPr>
          <w:u w:val="single"/>
        </w:rPr>
        <w:t>Scott Millspaugh v. Conn County Fire And Emergency Services</w:t>
      </w:r>
      <w:r>
        <w:t>, the U.S. Court of Appeals for the 11</w:t>
      </w:r>
      <w:r w:rsidRPr="003F09C4">
        <w:rPr>
          <w:vertAlign w:val="superscript"/>
        </w:rPr>
        <w:t>th</w:t>
      </w:r>
      <w:r>
        <w:t xml:space="preserve"> Circuit (Atlanta) held (3 to 0 ) (unpublished decision) that trial court properly granted summary judgment for Cobb County; the firefighter failed to go up chain of command about his concerns about apparatus and staffing before leaving voicemail with Commissioner’s assistant and was properly demoted from FF III to FF II. </w:t>
      </w:r>
    </w:p>
    <w:p w14:paraId="426ED93F" w14:textId="77777777" w:rsidR="00F31C1B" w:rsidRDefault="00F31C1B" w:rsidP="00F31C1B">
      <w:pPr>
        <w:pStyle w:val="NormalWeb"/>
        <w:ind w:left="720"/>
      </w:pPr>
      <w:r>
        <w:t>“[W[e hold that Millspaugh spoke as a public employee when leaving his voicemail and that his voicemail was not protected by the First Amendment. We also hold that the Individual Defendants were entitled to qualified immunity. We, therefore, affirm the district court's order granting summary judgment. ***   But even if Millspaugh's voicemail were protected speech under the First Amendment, the district court correctly determined that the Defendants' interest in promoting the efficiency of fire suppression services outweighed Millspaugh's interest in the speech.”</w:t>
      </w:r>
      <w:r>
        <w:rPr>
          <w:rStyle w:val="Emphasis"/>
        </w:rPr>
        <w:t xml:space="preserve"> </w:t>
      </w:r>
      <w:hyperlink r:id="rId2620" w:history="1">
        <w:r w:rsidRPr="003B3F7F">
          <w:rPr>
            <w:rStyle w:val="Hyperlink"/>
            <w:rFonts w:eastAsiaTheme="majorEastAsia"/>
          </w:rPr>
          <w:t>https://law.justia.com/cases/federal/appellate-courts/ca11/22-10132/22-10132-2022-11-22.html</w:t>
        </w:r>
      </w:hyperlink>
      <w:r>
        <w:t xml:space="preserve"> </w:t>
      </w:r>
    </w:p>
    <w:p w14:paraId="518BB491" w14:textId="77777777" w:rsidR="00F31C1B" w:rsidRPr="00E3663A" w:rsidRDefault="00F31C1B" w:rsidP="00F31C1B">
      <w:pPr>
        <w:pStyle w:val="NormalWeb"/>
        <w:rPr>
          <w:b/>
          <w:bCs/>
        </w:rPr>
      </w:pPr>
      <w:r w:rsidRPr="00E3663A">
        <w:rPr>
          <w:b/>
          <w:bCs/>
        </w:rPr>
        <w:t>Legal Lesson Learned:</w:t>
      </w:r>
      <w:r>
        <w:rPr>
          <w:b/>
          <w:bCs/>
        </w:rPr>
        <w:t xml:space="preserve"> Breaching chain of command can result in discipline.  First Amendment only protects firefighter’s speech when speaking as a citizen on a matter of interest to public. </w:t>
      </w:r>
    </w:p>
    <w:p w14:paraId="77E76750" w14:textId="77777777" w:rsidR="00F31C1B" w:rsidRDefault="00F31C1B" w:rsidP="00F326E5">
      <w:pPr>
        <w:pStyle w:val="NoSpacing"/>
        <w:rPr>
          <w:rFonts w:ascii="Arial Black" w:hAnsi="Arial Black"/>
          <w:sz w:val="24"/>
          <w:szCs w:val="24"/>
        </w:rPr>
      </w:pPr>
    </w:p>
    <w:p w14:paraId="7EFAB8DC" w14:textId="77777777" w:rsidR="00F31C1B" w:rsidRDefault="00F31C1B" w:rsidP="00F326E5">
      <w:pPr>
        <w:pStyle w:val="NoSpacing"/>
        <w:rPr>
          <w:rFonts w:ascii="Arial Black" w:hAnsi="Arial Black"/>
          <w:sz w:val="24"/>
          <w:szCs w:val="24"/>
        </w:rPr>
      </w:pPr>
    </w:p>
    <w:p w14:paraId="5FC06A8B" w14:textId="77777777" w:rsidR="00F31C1B" w:rsidRDefault="00F31C1B" w:rsidP="00F326E5">
      <w:pPr>
        <w:pStyle w:val="NoSpacing"/>
        <w:rPr>
          <w:rFonts w:ascii="Arial Black" w:hAnsi="Arial Black"/>
          <w:sz w:val="24"/>
          <w:szCs w:val="24"/>
        </w:rPr>
      </w:pPr>
    </w:p>
    <w:p w14:paraId="3020BE39" w14:textId="79F6D2A1" w:rsidR="00F31C1B" w:rsidRDefault="00F31C1B" w:rsidP="00F326E5">
      <w:pPr>
        <w:pStyle w:val="NoSpacing"/>
        <w:rPr>
          <w:rFonts w:ascii="Arial Black" w:hAnsi="Arial Black"/>
          <w:sz w:val="24"/>
          <w:szCs w:val="24"/>
        </w:rPr>
      </w:pPr>
      <w:r>
        <w:rPr>
          <w:rFonts w:ascii="Arial Black" w:hAnsi="Arial Black"/>
          <w:sz w:val="24"/>
          <w:szCs w:val="24"/>
        </w:rPr>
        <w:t>16-74</w:t>
      </w:r>
    </w:p>
    <w:p w14:paraId="0CFB752F" w14:textId="25CB537C" w:rsidR="00F31C1B" w:rsidRDefault="00F31C1B" w:rsidP="00F326E5">
      <w:pPr>
        <w:pStyle w:val="NoSpacing"/>
        <w:rPr>
          <w:rFonts w:ascii="Arial Black" w:hAnsi="Arial Black"/>
          <w:sz w:val="24"/>
          <w:szCs w:val="24"/>
        </w:rPr>
      </w:pPr>
    </w:p>
    <w:p w14:paraId="79FBC192" w14:textId="77777777" w:rsidR="009C612E" w:rsidRDefault="009C612E" w:rsidP="009C612E">
      <w:pPr>
        <w:pStyle w:val="NormalWeb"/>
        <w:rPr>
          <w:rFonts w:ascii="Arial Black" w:hAnsi="Arial Black"/>
          <w:b/>
          <w:bCs/>
          <w:sz w:val="28"/>
          <w:szCs w:val="28"/>
        </w:rPr>
      </w:pPr>
      <w:r>
        <w:rPr>
          <w:rFonts w:ascii="Arial Black" w:hAnsi="Arial Black"/>
          <w:b/>
          <w:bCs/>
          <w:sz w:val="28"/>
          <w:szCs w:val="28"/>
        </w:rPr>
        <w:t xml:space="preserve">CA: CAPT. FIRED - ASSUALT BROTHER (FF) AT PARTY – NO “WHISTLEBLOWER” DEFENSE FOR RPT. BROTHER’S FRAUD </w:t>
      </w:r>
    </w:p>
    <w:p w14:paraId="5648DBA7" w14:textId="77777777" w:rsidR="00F31C1B" w:rsidRDefault="00F31C1B" w:rsidP="00F31C1B">
      <w:pPr>
        <w:pStyle w:val="NormalWeb"/>
      </w:pPr>
      <w:r w:rsidRPr="00AC5A14">
        <w:t xml:space="preserve">On </w:t>
      </w:r>
      <w:r>
        <w:t xml:space="preserve">Nov. 14, 2022, in </w:t>
      </w:r>
      <w:r w:rsidRPr="000661F4">
        <w:rPr>
          <w:u w:val="single"/>
        </w:rPr>
        <w:t xml:space="preserve">Sean Olguin v. City of </w:t>
      </w:r>
      <w:proofErr w:type="spellStart"/>
      <w:r w:rsidRPr="000661F4">
        <w:rPr>
          <w:u w:val="single"/>
        </w:rPr>
        <w:t>Hollistter</w:t>
      </w:r>
      <w:proofErr w:type="spellEnd"/>
      <w:r>
        <w:t xml:space="preserve">, the California Court of Appeals, Sixth Circuit, held (3 to 0; unpublished opinion) that Captain was properly fired, after a pre-termination meeting with Fire Chief, and then hearing with City Manager.  During these meetings he claimed his </w:t>
      </w:r>
      <w:proofErr w:type="spellStart"/>
      <w:proofErr w:type="gramStart"/>
      <w:r>
        <w:t>bother</w:t>
      </w:r>
      <w:proofErr w:type="spellEnd"/>
      <w:proofErr w:type="gramEnd"/>
      <w:r>
        <w:t xml:space="preserve"> was committing insurance fraud by faking his injuries; but there is no causal link between plaintiff's disclosure and his termination.</w:t>
      </w:r>
    </w:p>
    <w:p w14:paraId="441F761A" w14:textId="77777777" w:rsidR="00F31C1B" w:rsidRDefault="00F31C1B" w:rsidP="00F31C1B">
      <w:pPr>
        <w:pStyle w:val="NormalWeb"/>
        <w:ind w:left="720"/>
      </w:pPr>
      <w:r>
        <w:t>“The allegations in plaintiff's complaint are based on his disclosure of unlawful conduct (in the form of insurance fraud) by plaintiff's brother, a city firefighter.</w:t>
      </w:r>
    </w:p>
    <w:p w14:paraId="06029486" w14:textId="77777777" w:rsidR="00F31C1B" w:rsidRDefault="00F31C1B" w:rsidP="00F31C1B">
      <w:pPr>
        <w:pStyle w:val="NormalWeb"/>
        <w:ind w:firstLine="720"/>
      </w:pPr>
      <w:r>
        <w:t>***</w:t>
      </w:r>
    </w:p>
    <w:p w14:paraId="044E737F" w14:textId="2C087A53" w:rsidR="00F31C1B" w:rsidRPr="00F31C1B" w:rsidRDefault="00F31C1B" w:rsidP="00F31C1B">
      <w:pPr>
        <w:pStyle w:val="NoSpacing"/>
        <w:ind w:left="720"/>
        <w:rPr>
          <w:rFonts w:ascii="Times New Roman" w:hAnsi="Times New Roman"/>
          <w:sz w:val="24"/>
          <w:szCs w:val="24"/>
        </w:rPr>
      </w:pPr>
      <w:r w:rsidRPr="00F31C1B">
        <w:rPr>
          <w:rFonts w:ascii="Times New Roman" w:hAnsi="Times New Roman"/>
          <w:sz w:val="24"/>
          <w:szCs w:val="24"/>
        </w:rPr>
        <w:t xml:space="preserve">Plaintiff's complaint nonetheless fails as a matter of law because it draws no causal link between plaintiff's disclosure and his termination. </w:t>
      </w:r>
      <w:proofErr w:type="gramStart"/>
      <w:r w:rsidRPr="00F31C1B">
        <w:rPr>
          <w:rFonts w:ascii="Times New Roman" w:hAnsi="Times New Roman"/>
          <w:sz w:val="24"/>
          <w:szCs w:val="24"/>
        </w:rPr>
        <w:t>Plaintiff was</w:t>
      </w:r>
      <w:proofErr w:type="gramEnd"/>
      <w:r w:rsidRPr="00F31C1B">
        <w:rPr>
          <w:rFonts w:ascii="Times New Roman" w:hAnsi="Times New Roman"/>
          <w:sz w:val="24"/>
          <w:szCs w:val="24"/>
        </w:rPr>
        <w:t xml:space="preserve"> issued a notice of intended termination in October 2019, following an extensive internal affairs investigation into the October 2018 altercation. Plaintiff's </w:t>
      </w:r>
      <w:r w:rsidRPr="00F31C1B">
        <w:rPr>
          <w:rStyle w:val="Emphasis"/>
          <w:rFonts w:ascii="Times New Roman" w:hAnsi="Times New Roman"/>
          <w:sz w:val="24"/>
          <w:szCs w:val="24"/>
        </w:rPr>
        <w:t>Skelly</w:t>
      </w:r>
      <w:r w:rsidRPr="00F31C1B">
        <w:rPr>
          <w:rFonts w:ascii="Times New Roman" w:hAnsi="Times New Roman"/>
          <w:sz w:val="24"/>
          <w:szCs w:val="24"/>
        </w:rPr>
        <w:t xml:space="preserve"> hearing-at which he challenged the misconduct charges in part through disclosure about his brother's alleged fraud-occurred after the investigation and notice of intended termination…. If the rules </w:t>
      </w:r>
      <w:proofErr w:type="gramStart"/>
      <w:r w:rsidRPr="00F31C1B">
        <w:rPr>
          <w:rFonts w:ascii="Times New Roman" w:hAnsi="Times New Roman"/>
          <w:sz w:val="24"/>
          <w:szCs w:val="24"/>
        </w:rPr>
        <w:t>were</w:t>
      </w:r>
      <w:proofErr w:type="gramEnd"/>
      <w:r w:rsidRPr="00F31C1B">
        <w:rPr>
          <w:rFonts w:ascii="Times New Roman" w:hAnsi="Times New Roman"/>
          <w:sz w:val="24"/>
          <w:szCs w:val="24"/>
        </w:rPr>
        <w:t xml:space="preserve"> otherwise, a plaintiff could orchestrate a retaliation claim by purporting to reveal an unlawful act of a coworker at any time during a disciplinary </w:t>
      </w:r>
      <w:proofErr w:type="gramStart"/>
      <w:r w:rsidRPr="00F31C1B">
        <w:rPr>
          <w:rFonts w:ascii="Times New Roman" w:hAnsi="Times New Roman"/>
          <w:sz w:val="24"/>
          <w:szCs w:val="24"/>
        </w:rPr>
        <w:t>process.”</w:t>
      </w:r>
      <w:proofErr w:type="gramEnd"/>
      <w:r w:rsidRPr="00F31C1B">
        <w:rPr>
          <w:rFonts w:ascii="Times New Roman" w:hAnsi="Times New Roman"/>
          <w:sz w:val="24"/>
          <w:szCs w:val="24"/>
        </w:rPr>
        <w:t xml:space="preserve"> </w:t>
      </w:r>
      <w:hyperlink r:id="rId2621" w:history="1">
        <w:r w:rsidRPr="00F31C1B">
          <w:rPr>
            <w:rStyle w:val="Hyperlink"/>
            <w:rFonts w:ascii="Times New Roman" w:eastAsiaTheme="majorEastAsia" w:hAnsi="Times New Roman"/>
            <w:sz w:val="24"/>
            <w:szCs w:val="24"/>
          </w:rPr>
          <w:t>https://casetext.com/case/olguin-v-city-of-hollister</w:t>
        </w:r>
      </w:hyperlink>
    </w:p>
    <w:p w14:paraId="474DF74A" w14:textId="39E88EFA" w:rsidR="00F31C1B" w:rsidRDefault="00F31C1B" w:rsidP="00F326E5">
      <w:pPr>
        <w:pStyle w:val="NoSpacing"/>
        <w:rPr>
          <w:rFonts w:ascii="Arial Black" w:hAnsi="Arial Black"/>
          <w:sz w:val="24"/>
          <w:szCs w:val="24"/>
        </w:rPr>
      </w:pPr>
    </w:p>
    <w:p w14:paraId="0F2DADE6" w14:textId="77777777" w:rsidR="00F31C1B" w:rsidRPr="00E56DA1" w:rsidRDefault="00F31C1B" w:rsidP="00F31C1B">
      <w:pPr>
        <w:pStyle w:val="NormalWeb"/>
        <w:rPr>
          <w:b/>
          <w:bCs/>
        </w:rPr>
      </w:pPr>
      <w:r w:rsidRPr="00E56DA1">
        <w:rPr>
          <w:b/>
          <w:bCs/>
        </w:rPr>
        <w:t>Legal Lesson Learned:</w:t>
      </w:r>
      <w:r>
        <w:rPr>
          <w:b/>
          <w:bCs/>
        </w:rPr>
        <w:t xml:space="preserve"> Off duty conduct can lead to termination. </w:t>
      </w:r>
    </w:p>
    <w:p w14:paraId="29C1E9A8" w14:textId="77777777" w:rsidR="00F31C1B" w:rsidRDefault="00F31C1B" w:rsidP="00F326E5">
      <w:pPr>
        <w:pStyle w:val="NoSpacing"/>
        <w:rPr>
          <w:rFonts w:ascii="Arial Black" w:hAnsi="Arial Black"/>
          <w:sz w:val="24"/>
          <w:szCs w:val="24"/>
        </w:rPr>
      </w:pPr>
    </w:p>
    <w:p w14:paraId="51FA653C" w14:textId="77777777" w:rsidR="00F31C1B" w:rsidRDefault="00F31C1B" w:rsidP="00F326E5">
      <w:pPr>
        <w:pStyle w:val="NoSpacing"/>
        <w:rPr>
          <w:rFonts w:ascii="Arial Black" w:hAnsi="Arial Black"/>
          <w:sz w:val="24"/>
          <w:szCs w:val="24"/>
        </w:rPr>
      </w:pPr>
    </w:p>
    <w:p w14:paraId="49FDFF09" w14:textId="732E4AD9" w:rsidR="00755E16" w:rsidRDefault="00755E16" w:rsidP="00F326E5">
      <w:pPr>
        <w:pStyle w:val="NoSpacing"/>
        <w:rPr>
          <w:rFonts w:ascii="Arial Black" w:hAnsi="Arial Black"/>
          <w:sz w:val="24"/>
          <w:szCs w:val="24"/>
        </w:rPr>
      </w:pPr>
      <w:r>
        <w:rPr>
          <w:rFonts w:ascii="Arial Black" w:hAnsi="Arial Black"/>
          <w:sz w:val="24"/>
          <w:szCs w:val="24"/>
        </w:rPr>
        <w:t>16-7</w:t>
      </w:r>
      <w:r w:rsidR="00487B06">
        <w:rPr>
          <w:rFonts w:ascii="Arial Black" w:hAnsi="Arial Black"/>
          <w:sz w:val="24"/>
          <w:szCs w:val="24"/>
        </w:rPr>
        <w:t>3</w:t>
      </w:r>
    </w:p>
    <w:p w14:paraId="57B7AD14" w14:textId="77777777" w:rsidR="00755E16" w:rsidRDefault="00755E16" w:rsidP="00755E16">
      <w:pPr>
        <w:pStyle w:val="NormalWeb"/>
        <w:rPr>
          <w:rFonts w:ascii="Arial Black" w:hAnsi="Arial Black"/>
          <w:b/>
          <w:bCs/>
          <w:sz w:val="28"/>
          <w:szCs w:val="28"/>
        </w:rPr>
      </w:pPr>
      <w:r>
        <w:rPr>
          <w:rFonts w:ascii="Arial Black" w:hAnsi="Arial Black"/>
          <w:b/>
          <w:bCs/>
          <w:sz w:val="28"/>
          <w:szCs w:val="28"/>
        </w:rPr>
        <w:t xml:space="preserve">OH: PRE-DISCIP. CONF. INADEQUATE – MEDIC FIRED UNAUTHORIZED BLOOD DRAW FOR PD – CASE PROCEED  </w:t>
      </w:r>
    </w:p>
    <w:p w14:paraId="3C77AEF5" w14:textId="77777777" w:rsidR="00755E16" w:rsidRDefault="00755E16" w:rsidP="00755E16">
      <w:pPr>
        <w:pStyle w:val="NormalWeb"/>
      </w:pPr>
      <w:r>
        <w:t xml:space="preserve">On Sept. 26, 2022, in </w:t>
      </w:r>
      <w:r>
        <w:rPr>
          <w:u w:val="single"/>
        </w:rPr>
        <w:t>Mitchell Plunk v. Chester Township</w:t>
      </w:r>
      <w:r>
        <w:t>, U.S. District Court Judge James S. Gwin, U.S. District Court for Northern District of Ohio, denied the Township’s motion for summary judgment in the paramedic’s lawsuit, who was fired after 9 years with the Township, who sued for violating his procedural due process rights.  The Medical Director apparently had concluded that the paramedic didn’t complete EMS run report about the blood draw he performed at the Police Station because he wanted the Medical Director at his other FD to confirm this was authorized.</w:t>
      </w:r>
    </w:p>
    <w:p w14:paraId="2B6EE0ED" w14:textId="567FCCE9" w:rsidR="00755E16" w:rsidRPr="00755E16" w:rsidRDefault="00755E16" w:rsidP="00755E16">
      <w:pPr>
        <w:pStyle w:val="NoSpacing"/>
        <w:ind w:left="720"/>
        <w:rPr>
          <w:rFonts w:ascii="Times New Roman" w:hAnsi="Times New Roman"/>
          <w:sz w:val="24"/>
          <w:szCs w:val="24"/>
        </w:rPr>
      </w:pPr>
      <w:r w:rsidRPr="00755E16">
        <w:rPr>
          <w:rFonts w:ascii="Times New Roman" w:hAnsi="Times New Roman"/>
          <w:sz w:val="24"/>
          <w:szCs w:val="24"/>
        </w:rPr>
        <w:t xml:space="preserve">“Before ending Plaintiff's long-held employment, Defendant gave Plunk a hearing. The hearing did not let Plaintiff challenge the medical director's decision…. Because Defendant Chester Township and the medical director acted in concert to remove Plaintiff Plunk without giving Plunk an opportunity to challenge their decision's basis, the Court </w:t>
      </w:r>
      <w:r w:rsidRPr="00755E16">
        <w:rPr>
          <w:rStyle w:val="Strong"/>
          <w:rFonts w:ascii="Times New Roman" w:hAnsi="Times New Roman"/>
          <w:sz w:val="24"/>
          <w:szCs w:val="24"/>
        </w:rPr>
        <w:t>DENIES</w:t>
      </w:r>
      <w:r w:rsidRPr="00755E16">
        <w:rPr>
          <w:rFonts w:ascii="Times New Roman" w:hAnsi="Times New Roman"/>
          <w:sz w:val="24"/>
          <w:szCs w:val="24"/>
        </w:rPr>
        <w:t xml:space="preserve"> Defendant's motion. </w:t>
      </w:r>
      <w:hyperlink r:id="rId2622" w:history="1">
        <w:r w:rsidRPr="00755E16">
          <w:rPr>
            <w:rStyle w:val="Hyperlink"/>
            <w:rFonts w:ascii="Times New Roman" w:hAnsi="Times New Roman"/>
            <w:sz w:val="24"/>
            <w:szCs w:val="24"/>
          </w:rPr>
          <w:t>https://public.fastcase.com/J%2FJP6pdidelsXxEE4k%2BLMjmPooMwsB33SF6fQbdKtm0G0C1GTVTWTSbOoR0BGdHWdmqT3nxx5N34mFb%2FQIY0wnFPK7Gz1IkNE53DDevS6vE%3D?utm_medium=email&amp;_hsmi=226712652&amp;_hsenc=p2ANqtz--MKBV4Y804r56tzWY_uVAuJIZ65L25irdtNU6ZdfUrAAPtscNAIDyxYykxQ2RxJby9_Fy5S6I1PNXJg84F7LwVp6Ejlw&amp;utm_content=226712652&amp;utm_source=hs_email</w:t>
        </w:r>
      </w:hyperlink>
    </w:p>
    <w:p w14:paraId="6C05649D" w14:textId="77777777" w:rsidR="00755E16" w:rsidRDefault="00755E16" w:rsidP="00F326E5">
      <w:pPr>
        <w:pStyle w:val="NoSpacing"/>
        <w:rPr>
          <w:rFonts w:ascii="Arial Black" w:hAnsi="Arial Black"/>
          <w:sz w:val="24"/>
          <w:szCs w:val="24"/>
        </w:rPr>
      </w:pPr>
    </w:p>
    <w:p w14:paraId="48CB180C" w14:textId="77777777" w:rsidR="00755E16" w:rsidRDefault="00755E16" w:rsidP="00F326E5">
      <w:pPr>
        <w:pStyle w:val="NoSpacing"/>
        <w:rPr>
          <w:rFonts w:ascii="Arial Black" w:hAnsi="Arial Black"/>
          <w:sz w:val="24"/>
          <w:szCs w:val="24"/>
        </w:rPr>
      </w:pPr>
    </w:p>
    <w:p w14:paraId="107FF0EA" w14:textId="77628554" w:rsidR="003E45EB" w:rsidRDefault="003E45EB" w:rsidP="00F326E5">
      <w:pPr>
        <w:pStyle w:val="NoSpacing"/>
        <w:rPr>
          <w:rFonts w:ascii="Arial Black" w:hAnsi="Arial Black"/>
          <w:sz w:val="24"/>
          <w:szCs w:val="24"/>
        </w:rPr>
      </w:pPr>
      <w:r>
        <w:rPr>
          <w:rFonts w:ascii="Arial Black" w:hAnsi="Arial Black"/>
          <w:sz w:val="24"/>
          <w:szCs w:val="24"/>
        </w:rPr>
        <w:t>16-7</w:t>
      </w:r>
      <w:r w:rsidR="00487B06">
        <w:rPr>
          <w:rFonts w:ascii="Arial Black" w:hAnsi="Arial Black"/>
          <w:sz w:val="24"/>
          <w:szCs w:val="24"/>
        </w:rPr>
        <w:t>2</w:t>
      </w:r>
    </w:p>
    <w:p w14:paraId="11447361" w14:textId="77777777" w:rsidR="003E45EB" w:rsidRDefault="003E45EB" w:rsidP="003E45EB">
      <w:pPr>
        <w:pStyle w:val="NoSpacing"/>
        <w:rPr>
          <w:rFonts w:ascii="Arial Black" w:hAnsi="Arial Black"/>
          <w:sz w:val="28"/>
          <w:szCs w:val="28"/>
        </w:rPr>
      </w:pPr>
    </w:p>
    <w:p w14:paraId="4DCD5863" w14:textId="2EB5D8A1" w:rsidR="003E45EB" w:rsidRPr="003C0A6A" w:rsidRDefault="003E45EB" w:rsidP="003E45EB">
      <w:pPr>
        <w:pStyle w:val="NoSpacing"/>
      </w:pPr>
      <w:r w:rsidRPr="006032BB">
        <w:rPr>
          <w:rFonts w:ascii="Arial Black" w:hAnsi="Arial Black"/>
          <w:sz w:val="28"/>
          <w:szCs w:val="28"/>
        </w:rPr>
        <w:t>OK: FIRE CHIEF FIRED</w:t>
      </w:r>
      <w:r>
        <w:rPr>
          <w:rFonts w:ascii="Arial Black" w:hAnsi="Arial Black"/>
          <w:sz w:val="28"/>
          <w:szCs w:val="28"/>
        </w:rPr>
        <w:t xml:space="preserve"> – LAWSUIT REINSTATED – MAY NOT BE “AT WILL” EMPLOYEE – LACK OF DUE PROCESS</w:t>
      </w:r>
    </w:p>
    <w:p w14:paraId="59C4B8E3" w14:textId="77777777" w:rsidR="003E45EB" w:rsidRPr="00B361A5" w:rsidRDefault="003E45EB" w:rsidP="003E45EB">
      <w:pPr>
        <w:pStyle w:val="NormalWeb"/>
      </w:pPr>
      <w:r>
        <w:t xml:space="preserve">On Aug. 19, 2022, in </w:t>
      </w:r>
      <w:r w:rsidRPr="006032BB">
        <w:rPr>
          <w:u w:val="single"/>
        </w:rPr>
        <w:t>Stephen Parmenter v. City of Nowata, Oklahoma</w:t>
      </w:r>
      <w:r>
        <w:t>, the U.S. Court of Appeals for Tenth Circuit (Denver) held (3 to 0) that trial court improperly granted summary judgment to the City and remanded the case.  “</w:t>
      </w:r>
      <w:r w:rsidRPr="00B361A5">
        <w:t>The United States District Court for the Northern District of Oklahoma granted the City's motion for summary judgment, holding (1) that Mr. Parmenter did not have a protected interest in his job and therefore was not entitled to procedural due process, and (2) that in any event he was provided adequate process. Mr. Parmenter appealed. We reverse and remand for further proceedings to determine whether Mr. Parmenter had a protected interest in his position, and if so whether he received sufficient process.</w:t>
      </w:r>
      <w:r>
        <w:t xml:space="preserve">” </w:t>
      </w:r>
      <w:hyperlink r:id="rId2623" w:history="1">
        <w:r w:rsidRPr="005E2F1B">
          <w:rPr>
            <w:rStyle w:val="Hyperlink"/>
            <w:rFonts w:eastAsiaTheme="majorEastAsia"/>
          </w:rPr>
          <w:t>https://law.justia.com/cases/federal/appellate-courts/ca10/20-5113/20-5113-2022-08-19.html</w:t>
        </w:r>
      </w:hyperlink>
      <w:r>
        <w:t xml:space="preserve"> </w:t>
      </w:r>
    </w:p>
    <w:p w14:paraId="7197605A" w14:textId="77777777" w:rsidR="003E45EB" w:rsidRPr="00FE6238" w:rsidRDefault="003E45EB" w:rsidP="003E45EB">
      <w:pPr>
        <w:spacing w:before="100" w:beforeAutospacing="1" w:after="100" w:afterAutospacing="1" w:line="240" w:lineRule="auto"/>
        <w:rPr>
          <w:rFonts w:ascii="Times New Roman" w:hAnsi="Times New Roman"/>
          <w:b/>
          <w:bCs/>
          <w:sz w:val="24"/>
          <w:szCs w:val="24"/>
        </w:rPr>
      </w:pPr>
      <w:r w:rsidRPr="00FE6238">
        <w:rPr>
          <w:rFonts w:ascii="Times New Roman" w:hAnsi="Times New Roman"/>
          <w:b/>
          <w:bCs/>
          <w:sz w:val="24"/>
          <w:szCs w:val="24"/>
        </w:rPr>
        <w:t xml:space="preserve">Legal Lesson Learned:  </w:t>
      </w:r>
      <w:r>
        <w:rPr>
          <w:rFonts w:ascii="Times New Roman" w:hAnsi="Times New Roman"/>
          <w:b/>
          <w:bCs/>
          <w:sz w:val="24"/>
          <w:szCs w:val="24"/>
        </w:rPr>
        <w:t xml:space="preserve">Even if employee is “at will” it is best practice to provide employee with written notice of charges and a pre-disciplinary meeting.  </w:t>
      </w:r>
    </w:p>
    <w:p w14:paraId="26BA2294" w14:textId="46336EDD" w:rsidR="003E45EB" w:rsidRDefault="00487B06" w:rsidP="00F326E5">
      <w:pPr>
        <w:pStyle w:val="NoSpacing"/>
        <w:rPr>
          <w:rFonts w:ascii="Arial Black" w:hAnsi="Arial Black"/>
          <w:sz w:val="24"/>
          <w:szCs w:val="24"/>
        </w:rPr>
      </w:pPr>
      <w:r>
        <w:rPr>
          <w:rFonts w:ascii="Arial Black" w:hAnsi="Arial Black"/>
          <w:sz w:val="24"/>
          <w:szCs w:val="24"/>
        </w:rPr>
        <w:t>16-71</w:t>
      </w:r>
    </w:p>
    <w:p w14:paraId="4657ADC9" w14:textId="77777777" w:rsidR="00487B06" w:rsidRPr="00487B06" w:rsidRDefault="00487B06" w:rsidP="00487B06">
      <w:pPr>
        <w:pStyle w:val="NormalWeb"/>
        <w:rPr>
          <w:rFonts w:ascii="Arial Black" w:hAnsi="Arial Black"/>
          <w:b/>
          <w:bCs/>
          <w:sz w:val="28"/>
          <w:szCs w:val="28"/>
        </w:rPr>
      </w:pPr>
      <w:r w:rsidRPr="00487B06">
        <w:rPr>
          <w:rFonts w:ascii="Arial Black" w:hAnsi="Arial Black"/>
          <w:b/>
          <w:bCs/>
          <w:sz w:val="28"/>
          <w:szCs w:val="28"/>
        </w:rPr>
        <w:t>OH: ORANGE TOWNSHIP FF REINSTATED – ARBITRATOR DECISION UPHELD</w:t>
      </w:r>
    </w:p>
    <w:p w14:paraId="2CB2DE4C" w14:textId="77777777" w:rsidR="00487B06" w:rsidRPr="00487B06" w:rsidRDefault="00487B06" w:rsidP="00487B06">
      <w:pPr>
        <w:pStyle w:val="NormalWeb"/>
        <w:rPr>
          <w:rStyle w:val="markedcontent"/>
        </w:rPr>
      </w:pPr>
      <w:r w:rsidRPr="00487B06">
        <w:rPr>
          <w:bCs/>
        </w:rPr>
        <w:t xml:space="preserve">On Aug. 8, 2022, in </w:t>
      </w:r>
      <w:r w:rsidRPr="00487B06">
        <w:rPr>
          <w:rStyle w:val="markedcontent"/>
        </w:rPr>
        <w:t xml:space="preserve">Orange Twp. v. </w:t>
      </w:r>
      <w:proofErr w:type="spellStart"/>
      <w:r w:rsidRPr="00487B06">
        <w:rPr>
          <w:rStyle w:val="markedcontent"/>
        </w:rPr>
        <w:t>Internatl</w:t>
      </w:r>
      <w:proofErr w:type="spellEnd"/>
      <w:r w:rsidRPr="00487B06">
        <w:rPr>
          <w:rStyle w:val="markedcontent"/>
        </w:rPr>
        <w:t xml:space="preserve">. Assn. of Fire Fighters Local 3816, 2022-Ohio-2757, Court of Appeals of Delaware County held (3 to 0) the firefighters to be reinstated. </w:t>
      </w:r>
      <w:hyperlink r:id="rId2624" w:history="1">
        <w:r w:rsidRPr="00487B06">
          <w:rPr>
            <w:rStyle w:val="Hyperlink"/>
          </w:rPr>
          <w:t>https://www.supremecourt.ohio.gov/rod/docs/pdf/5/2022/2022-Ohio-2757.pdf</w:t>
        </w:r>
      </w:hyperlink>
      <w:r w:rsidRPr="00487B06">
        <w:rPr>
          <w:rStyle w:val="markedcontent"/>
        </w:rPr>
        <w:t xml:space="preserve"> </w:t>
      </w:r>
    </w:p>
    <w:p w14:paraId="6506E120" w14:textId="77777777" w:rsidR="00487B06" w:rsidRPr="00487B06" w:rsidRDefault="00487B06" w:rsidP="00487B06">
      <w:pPr>
        <w:pStyle w:val="NormalWeb"/>
        <w:rPr>
          <w:rStyle w:val="markedcontent"/>
        </w:rPr>
      </w:pPr>
      <w:r w:rsidRPr="00487B06">
        <w:rPr>
          <w:rStyle w:val="markedcontent"/>
        </w:rPr>
        <w:t xml:space="preserve">“In October 2016, Marcus Musser started working as a part-time firefighter for appellant and was assigned to 1-Unit at Station 361. The </w:t>
      </w:r>
      <w:proofErr w:type="spellStart"/>
      <w:r w:rsidRPr="00487B06">
        <w:rPr>
          <w:rStyle w:val="markedcontent"/>
        </w:rPr>
        <w:t>grievants</w:t>
      </w:r>
      <w:proofErr w:type="spellEnd"/>
      <w:r w:rsidRPr="00487B06">
        <w:rPr>
          <w:rStyle w:val="markedcontent"/>
        </w:rPr>
        <w:t xml:space="preserve"> herein are fellow firefighter Bradley Belville and appellant's chain of command, Lieutenant David Martin and Captain John Hodges. In September 2019, Musser requested a transfer and was</w:t>
      </w:r>
      <w:r w:rsidRPr="00487B06">
        <w:br/>
      </w:r>
      <w:r w:rsidRPr="00487B06">
        <w:rPr>
          <w:rStyle w:val="markedcontent"/>
        </w:rPr>
        <w:t>subsequently transferred to 2-Unit. Fire Chief Matt Noble interviewed Musser regarding his transfer request.</w:t>
      </w:r>
      <w:r w:rsidRPr="00487B06">
        <w:br/>
      </w:r>
      <w:r w:rsidRPr="00487B06">
        <w:rPr>
          <w:rStyle w:val="markedcontent"/>
        </w:rPr>
        <w:t xml:space="preserve">Thereafter, Chief Noble conducted an investigation, held </w:t>
      </w:r>
      <w:proofErr w:type="spellStart"/>
      <w:r w:rsidRPr="00487B06">
        <w:rPr>
          <w:rStyle w:val="markedcontent"/>
        </w:rPr>
        <w:t>predisciplinary</w:t>
      </w:r>
      <w:proofErr w:type="spellEnd"/>
      <w:r w:rsidRPr="00487B06">
        <w:rPr>
          <w:rStyle w:val="markedcontent"/>
        </w:rPr>
        <w:t xml:space="preserve"> hearings, and in reports dated December 5, 2019, recommended the termination of the </w:t>
      </w:r>
      <w:proofErr w:type="spellStart"/>
      <w:r w:rsidRPr="00487B06">
        <w:rPr>
          <w:rStyle w:val="markedcontent"/>
        </w:rPr>
        <w:t>grievants</w:t>
      </w:r>
      <w:proofErr w:type="spellEnd"/>
      <w:r w:rsidRPr="00487B06">
        <w:rPr>
          <w:rStyle w:val="markedcontent"/>
        </w:rPr>
        <w:t xml:space="preserve"> for violating several sections of the Orange Township policies including threats or acts of physical violence against a coworker, abusive behavior, hazing, harassment of a</w:t>
      </w:r>
      <w:r w:rsidRPr="00487B06">
        <w:br/>
      </w:r>
      <w:r w:rsidRPr="00487B06">
        <w:rPr>
          <w:rStyle w:val="markedcontent"/>
        </w:rPr>
        <w:t xml:space="preserve">coworker, conduct unbecoming, neglect of duty, and failure to meet essential job functions. *** The arbitrator determined the facts did not rise to the level of just cause. Contract interpretation is left to the discretion of the arbitrator </w:t>
      </w:r>
      <w:proofErr w:type="gramStart"/>
      <w:r w:rsidRPr="00487B06">
        <w:rPr>
          <w:rStyle w:val="markedcontent"/>
        </w:rPr>
        <w:t>as long as</w:t>
      </w:r>
      <w:proofErr w:type="gramEnd"/>
      <w:r w:rsidRPr="00487B06">
        <w:rPr>
          <w:rStyle w:val="markedcontent"/>
        </w:rPr>
        <w:t xml:space="preserve"> it does not conflict with an express term in the CBA and/or cannot be rationally derived from the terms of the CBA. We cannot find either to apply in this case.”</w:t>
      </w:r>
    </w:p>
    <w:p w14:paraId="0BC1E463" w14:textId="77777777" w:rsidR="003E45EB" w:rsidRDefault="003E45EB" w:rsidP="00F326E5">
      <w:pPr>
        <w:pStyle w:val="NoSpacing"/>
        <w:rPr>
          <w:rFonts w:ascii="Arial Black" w:hAnsi="Arial Black"/>
          <w:sz w:val="24"/>
          <w:szCs w:val="24"/>
        </w:rPr>
      </w:pPr>
    </w:p>
    <w:p w14:paraId="2038F830" w14:textId="77777777" w:rsidR="00487B06" w:rsidRDefault="00487B06" w:rsidP="00F326E5">
      <w:pPr>
        <w:pStyle w:val="NoSpacing"/>
        <w:rPr>
          <w:rFonts w:ascii="Arial Black" w:hAnsi="Arial Black"/>
          <w:sz w:val="24"/>
          <w:szCs w:val="24"/>
        </w:rPr>
      </w:pPr>
    </w:p>
    <w:p w14:paraId="4A703F08" w14:textId="77777777" w:rsidR="00487B06" w:rsidRDefault="00487B06" w:rsidP="00F326E5">
      <w:pPr>
        <w:pStyle w:val="NoSpacing"/>
        <w:rPr>
          <w:rFonts w:ascii="Arial Black" w:hAnsi="Arial Black"/>
          <w:sz w:val="24"/>
          <w:szCs w:val="24"/>
        </w:rPr>
      </w:pPr>
    </w:p>
    <w:p w14:paraId="56A1E4B4" w14:textId="77777777" w:rsidR="00487B06" w:rsidRDefault="00487B06" w:rsidP="00F326E5">
      <w:pPr>
        <w:pStyle w:val="NoSpacing"/>
        <w:rPr>
          <w:rFonts w:ascii="Arial Black" w:hAnsi="Arial Black"/>
          <w:sz w:val="24"/>
          <w:szCs w:val="24"/>
        </w:rPr>
      </w:pPr>
    </w:p>
    <w:p w14:paraId="0B549152" w14:textId="77777777" w:rsidR="00487B06" w:rsidRDefault="00487B06" w:rsidP="00F326E5">
      <w:pPr>
        <w:pStyle w:val="NoSpacing"/>
        <w:rPr>
          <w:rFonts w:ascii="Arial Black" w:hAnsi="Arial Black"/>
          <w:sz w:val="24"/>
          <w:szCs w:val="24"/>
        </w:rPr>
      </w:pPr>
    </w:p>
    <w:p w14:paraId="12435A16" w14:textId="1BCFBB63" w:rsidR="007051EE" w:rsidRDefault="007051EE" w:rsidP="00F326E5">
      <w:pPr>
        <w:pStyle w:val="NoSpacing"/>
        <w:rPr>
          <w:rFonts w:ascii="Arial Black" w:hAnsi="Arial Black"/>
          <w:sz w:val="24"/>
          <w:szCs w:val="24"/>
        </w:rPr>
      </w:pPr>
      <w:r>
        <w:rPr>
          <w:rFonts w:ascii="Arial Black" w:hAnsi="Arial Black"/>
          <w:sz w:val="24"/>
          <w:szCs w:val="24"/>
        </w:rPr>
        <w:t>16-7</w:t>
      </w:r>
      <w:r w:rsidR="00C24A79">
        <w:rPr>
          <w:rFonts w:ascii="Arial Black" w:hAnsi="Arial Black"/>
          <w:sz w:val="24"/>
          <w:szCs w:val="24"/>
        </w:rPr>
        <w:t>0</w:t>
      </w:r>
    </w:p>
    <w:p w14:paraId="10978E10" w14:textId="77777777" w:rsidR="007051EE" w:rsidRPr="00B873A1" w:rsidRDefault="007051EE" w:rsidP="007051EE">
      <w:pPr>
        <w:spacing w:before="100" w:beforeAutospacing="1" w:after="100" w:afterAutospacing="1" w:line="240" w:lineRule="auto"/>
        <w:rPr>
          <w:rFonts w:ascii="Arial Black" w:eastAsia="Times New Roman" w:hAnsi="Arial Black"/>
          <w:b/>
          <w:bCs/>
          <w:sz w:val="28"/>
          <w:szCs w:val="28"/>
        </w:rPr>
      </w:pPr>
      <w:r w:rsidRPr="00B873A1">
        <w:rPr>
          <w:rFonts w:ascii="Arial Black" w:eastAsia="Times New Roman" w:hAnsi="Arial Black"/>
          <w:b/>
          <w:bCs/>
          <w:sz w:val="28"/>
          <w:szCs w:val="28"/>
        </w:rPr>
        <w:t xml:space="preserve">TX: LT. FIRED, REINSTATED AFTER 4 YRS – HIS INCOME DURING SUSPENSION MORE THAN </w:t>
      </w:r>
      <w:r>
        <w:rPr>
          <w:rFonts w:ascii="Arial Black" w:eastAsia="Times New Roman" w:hAnsi="Arial Black"/>
          <w:b/>
          <w:bCs/>
          <w:sz w:val="28"/>
          <w:szCs w:val="28"/>
        </w:rPr>
        <w:t xml:space="preserve">FF - </w:t>
      </w:r>
      <w:r w:rsidRPr="00B873A1">
        <w:rPr>
          <w:rFonts w:ascii="Arial Black" w:eastAsia="Times New Roman" w:hAnsi="Arial Black"/>
          <w:b/>
          <w:bCs/>
          <w:sz w:val="28"/>
          <w:szCs w:val="28"/>
        </w:rPr>
        <w:t>PARTIAL BACK PAY</w:t>
      </w:r>
    </w:p>
    <w:p w14:paraId="2131C279" w14:textId="77777777" w:rsidR="007051EE" w:rsidRDefault="007051EE" w:rsidP="007051EE">
      <w:pPr>
        <w:rPr>
          <w:rFonts w:ascii="Times New Roman" w:eastAsia="Times New Roman" w:hAnsi="Times New Roman"/>
          <w:sz w:val="24"/>
          <w:szCs w:val="24"/>
        </w:rPr>
      </w:pPr>
      <w:r w:rsidRPr="00293AC3">
        <w:rPr>
          <w:rFonts w:ascii="Times New Roman" w:eastAsia="Times New Roman" w:hAnsi="Times New Roman"/>
          <w:sz w:val="24"/>
          <w:szCs w:val="24"/>
        </w:rPr>
        <w:t xml:space="preserve">On July 28, 2022, in </w:t>
      </w:r>
      <w:r w:rsidRPr="00293AC3">
        <w:rPr>
          <w:rFonts w:ascii="Times New Roman" w:eastAsia="Times New Roman" w:hAnsi="Times New Roman"/>
          <w:sz w:val="24"/>
          <w:szCs w:val="24"/>
          <w:u w:val="single"/>
        </w:rPr>
        <w:t>Fabian Scott Butler v. City of Big Springs, Texas</w:t>
      </w:r>
      <w:r>
        <w:rPr>
          <w:rFonts w:ascii="Times New Roman" w:eastAsia="Times New Roman" w:hAnsi="Times New Roman"/>
          <w:sz w:val="24"/>
          <w:szCs w:val="24"/>
        </w:rPr>
        <w:t xml:space="preserve">, the TX Eleventh Circuit Court of Appeals reversed a trial court </w:t>
      </w:r>
      <w:proofErr w:type="gramStart"/>
      <w:r>
        <w:rPr>
          <w:rFonts w:ascii="Times New Roman" w:eastAsia="Times New Roman" w:hAnsi="Times New Roman"/>
          <w:sz w:val="24"/>
          <w:szCs w:val="24"/>
        </w:rPr>
        <w:t>that which</w:t>
      </w:r>
      <w:proofErr w:type="gramEnd"/>
      <w:r>
        <w:rPr>
          <w:rFonts w:ascii="Times New Roman" w:eastAsia="Times New Roman" w:hAnsi="Times New Roman"/>
          <w:sz w:val="24"/>
          <w:szCs w:val="24"/>
        </w:rPr>
        <w:t xml:space="preserve"> had agreed with City that Lt. Butler was not entitled to any back pay.  Court of Appeals held that Butler is entitled to back pay for any FD pay </w:t>
      </w:r>
      <w:proofErr w:type="gramStart"/>
      <w:r>
        <w:rPr>
          <w:rFonts w:ascii="Times New Roman" w:eastAsia="Times New Roman" w:hAnsi="Times New Roman"/>
          <w:sz w:val="24"/>
          <w:szCs w:val="24"/>
        </w:rPr>
        <w:t>periods</w:t>
      </w:r>
      <w:proofErr w:type="gramEnd"/>
      <w:r>
        <w:rPr>
          <w:rFonts w:ascii="Times New Roman" w:eastAsia="Times New Roman" w:hAnsi="Times New Roman"/>
          <w:sz w:val="24"/>
          <w:szCs w:val="24"/>
        </w:rPr>
        <w:t xml:space="preserve"> where his outside income was less than he would have made on FD.  </w:t>
      </w:r>
      <w:hyperlink r:id="rId2625" w:history="1">
        <w:r w:rsidRPr="00081EF4">
          <w:rPr>
            <w:rStyle w:val="Hyperlink"/>
            <w:rFonts w:ascii="Times New Roman" w:eastAsia="Times New Roman" w:hAnsi="Times New Roman"/>
            <w:sz w:val="24"/>
            <w:szCs w:val="24"/>
          </w:rPr>
          <w:t>https://cases.justia.com/texas/eleventh-court-of-appeals/2022-11-21-00026-cv.pdf?ts=1659010960</w:t>
        </w:r>
      </w:hyperlink>
      <w:r>
        <w:rPr>
          <w:rFonts w:ascii="Times New Roman" w:eastAsia="Times New Roman" w:hAnsi="Times New Roman"/>
          <w:sz w:val="24"/>
          <w:szCs w:val="24"/>
        </w:rPr>
        <w:t xml:space="preserve"> </w:t>
      </w:r>
    </w:p>
    <w:p w14:paraId="2987B6F8" w14:textId="77777777" w:rsidR="007051EE" w:rsidRDefault="007051EE" w:rsidP="007051EE">
      <w:pPr>
        <w:rPr>
          <w:rStyle w:val="markedcontent"/>
          <w:rFonts w:ascii="Times New Roman" w:hAnsi="Times New Roman"/>
          <w:b/>
          <w:bCs/>
          <w:sz w:val="24"/>
          <w:szCs w:val="24"/>
        </w:rPr>
      </w:pPr>
      <w:r w:rsidRPr="00104D9E">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Progressive discipline; the offense needs to be extremely serious to terminate a career firefighter who has never previously been suspended. </w:t>
      </w:r>
    </w:p>
    <w:p w14:paraId="56832288" w14:textId="77777777" w:rsidR="007051EE" w:rsidRPr="00BF0238" w:rsidRDefault="007051EE" w:rsidP="007051EE">
      <w:pPr>
        <w:ind w:left="720"/>
        <w:rPr>
          <w:rStyle w:val="markedcontent"/>
          <w:rFonts w:ascii="Times New Roman" w:hAnsi="Times New Roman"/>
          <w:sz w:val="24"/>
          <w:szCs w:val="24"/>
        </w:rPr>
      </w:pPr>
      <w:r>
        <w:rPr>
          <w:rStyle w:val="markedcontent"/>
          <w:rFonts w:ascii="Times New Roman" w:hAnsi="Times New Roman"/>
          <w:sz w:val="24"/>
          <w:szCs w:val="24"/>
        </w:rPr>
        <w:t xml:space="preserve">Note:  Not clear why the fire department rehired the plaintiff on Sept. 23, 2019.  A search </w:t>
      </w:r>
      <w:proofErr w:type="gramStart"/>
      <w:r>
        <w:rPr>
          <w:rStyle w:val="markedcontent"/>
          <w:rFonts w:ascii="Times New Roman" w:hAnsi="Times New Roman"/>
          <w:sz w:val="24"/>
          <w:szCs w:val="24"/>
        </w:rPr>
        <w:t>of</w:t>
      </w:r>
      <w:proofErr w:type="gramEnd"/>
      <w:r>
        <w:rPr>
          <w:rStyle w:val="markedcontent"/>
          <w:rFonts w:ascii="Times New Roman" w:hAnsi="Times New Roman"/>
          <w:sz w:val="24"/>
          <w:szCs w:val="24"/>
        </w:rPr>
        <w:t xml:space="preserve"> Federal Court records reflects that on Sept. 4. 2015, the Plaintiff filed a lawsuit against the fire department in U.S. District Court, Northern District of Texas (Abilene Division), and on October 17, </w:t>
      </w:r>
      <w:proofErr w:type="gramStart"/>
      <w:r>
        <w:rPr>
          <w:rStyle w:val="markedcontent"/>
          <w:rFonts w:ascii="Times New Roman" w:hAnsi="Times New Roman"/>
          <w:sz w:val="24"/>
          <w:szCs w:val="24"/>
        </w:rPr>
        <w:t>2017</w:t>
      </w:r>
      <w:proofErr w:type="gramEnd"/>
      <w:r>
        <w:rPr>
          <w:rStyle w:val="markedcontent"/>
          <w:rFonts w:ascii="Times New Roman" w:hAnsi="Times New Roman"/>
          <w:sz w:val="24"/>
          <w:szCs w:val="24"/>
        </w:rPr>
        <w:t xml:space="preserve"> a jury held for the fire department. </w:t>
      </w:r>
      <w:hyperlink r:id="rId2626" w:history="1">
        <w:r w:rsidRPr="00BF0238">
          <w:rPr>
            <w:rStyle w:val="Hyperlink"/>
            <w:rFonts w:ascii="Times New Roman" w:hAnsi="Times New Roman"/>
            <w:sz w:val="24"/>
            <w:szCs w:val="24"/>
          </w:rPr>
          <w:t>Case Title Butler v. City of Big Spring.pdf</w:t>
        </w:r>
      </w:hyperlink>
      <w:r w:rsidRPr="00BF0238">
        <w:rPr>
          <w:rFonts w:ascii="Times New Roman" w:hAnsi="Times New Roman"/>
          <w:sz w:val="24"/>
          <w:szCs w:val="24"/>
        </w:rPr>
        <w:t xml:space="preserve">. </w:t>
      </w:r>
      <w:r>
        <w:rPr>
          <w:rFonts w:ascii="Times New Roman" w:hAnsi="Times New Roman"/>
          <w:sz w:val="24"/>
          <w:szCs w:val="24"/>
        </w:rPr>
        <w:t xml:space="preserve"> </w:t>
      </w:r>
    </w:p>
    <w:p w14:paraId="6B575653" w14:textId="77777777" w:rsidR="007051EE" w:rsidRDefault="007051EE" w:rsidP="00F326E5">
      <w:pPr>
        <w:pStyle w:val="NoSpacing"/>
        <w:rPr>
          <w:rFonts w:ascii="Arial Black" w:hAnsi="Arial Black"/>
          <w:sz w:val="24"/>
          <w:szCs w:val="24"/>
        </w:rPr>
      </w:pPr>
    </w:p>
    <w:p w14:paraId="6612A982" w14:textId="77777777" w:rsidR="007051EE" w:rsidRDefault="007051EE" w:rsidP="00F326E5">
      <w:pPr>
        <w:pStyle w:val="NoSpacing"/>
        <w:rPr>
          <w:rFonts w:ascii="Arial Black" w:hAnsi="Arial Black"/>
          <w:sz w:val="24"/>
          <w:szCs w:val="24"/>
        </w:rPr>
      </w:pPr>
    </w:p>
    <w:p w14:paraId="49755AB2" w14:textId="77777777" w:rsidR="007051EE" w:rsidRDefault="007051EE" w:rsidP="00F326E5">
      <w:pPr>
        <w:pStyle w:val="NoSpacing"/>
        <w:rPr>
          <w:rFonts w:ascii="Arial Black" w:hAnsi="Arial Black"/>
          <w:sz w:val="24"/>
          <w:szCs w:val="24"/>
        </w:rPr>
      </w:pPr>
    </w:p>
    <w:p w14:paraId="3F8FAD9F" w14:textId="74FDD8DC" w:rsidR="007051EE" w:rsidRDefault="007051EE" w:rsidP="00F326E5">
      <w:pPr>
        <w:pStyle w:val="NoSpacing"/>
        <w:rPr>
          <w:rFonts w:ascii="Arial Black" w:hAnsi="Arial Black"/>
          <w:sz w:val="24"/>
          <w:szCs w:val="24"/>
        </w:rPr>
      </w:pPr>
      <w:r>
        <w:rPr>
          <w:rFonts w:ascii="Arial Black" w:hAnsi="Arial Black"/>
          <w:sz w:val="24"/>
          <w:szCs w:val="24"/>
        </w:rPr>
        <w:t>16-69</w:t>
      </w:r>
    </w:p>
    <w:p w14:paraId="1C4FE465" w14:textId="77777777" w:rsidR="007051EE" w:rsidRDefault="007051EE" w:rsidP="007051EE">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MA: BACKGROUND CHECK – FD APPLICANT ARREST 7 YRS PRIOR HIT GIRLFRIEND – NO CONV / CAN SUE REPORT CO. </w:t>
      </w:r>
    </w:p>
    <w:p w14:paraId="3FF9BF72" w14:textId="77777777" w:rsidR="007051EE" w:rsidRDefault="007051EE" w:rsidP="007051EE">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July 7, 2022, in </w:t>
      </w:r>
      <w:r w:rsidRPr="0009131B">
        <w:rPr>
          <w:rFonts w:ascii="Times New Roman" w:eastAsia="Times New Roman" w:hAnsi="Times New Roman"/>
          <w:sz w:val="24"/>
          <w:szCs w:val="24"/>
          <w:u w:val="single"/>
        </w:rPr>
        <w:t>Gerald Meuse v. National P.I. Services, LLC et al</w:t>
      </w:r>
      <w:r>
        <w:rPr>
          <w:rFonts w:ascii="Times New Roman" w:eastAsia="Times New Roman" w:hAnsi="Times New Roman"/>
          <w:sz w:val="24"/>
          <w:szCs w:val="24"/>
        </w:rPr>
        <w:t xml:space="preserve">., U.S. District Court judge Allison D. Burroughs, U.S. District Court for the District of Massachusetts, held that the plaintiff may file an amended complaint against the defendant Consumer Reporting Agency (CRA) under the “seven-year lookback” limits in the federal Fair Credit Reporting Act, </w:t>
      </w:r>
      <w:r w:rsidRPr="005F79BA">
        <w:rPr>
          <w:rFonts w:ascii="Times New Roman" w:hAnsi="Times New Roman"/>
          <w:sz w:val="24"/>
          <w:szCs w:val="24"/>
        </w:rPr>
        <w:t>and</w:t>
      </w:r>
      <w:r>
        <w:rPr>
          <w:rFonts w:ascii="Times New Roman" w:hAnsi="Times New Roman"/>
          <w:sz w:val="24"/>
          <w:szCs w:val="24"/>
        </w:rPr>
        <w:t xml:space="preserve"> also prohibitions on use of arrest records under </w:t>
      </w:r>
      <w:r w:rsidRPr="005F79BA">
        <w:rPr>
          <w:rFonts w:ascii="Times New Roman" w:hAnsi="Times New Roman"/>
          <w:sz w:val="24"/>
          <w:szCs w:val="24"/>
        </w:rPr>
        <w:t>Massachusetts</w:t>
      </w:r>
      <w:r>
        <w:rPr>
          <w:rFonts w:ascii="Times New Roman" w:hAnsi="Times New Roman"/>
          <w:sz w:val="24"/>
          <w:szCs w:val="24"/>
        </w:rPr>
        <w:t xml:space="preserve"> laws. </w:t>
      </w:r>
      <w:r w:rsidRPr="005F79BA">
        <w:rPr>
          <w:rFonts w:ascii="Times New Roman" w:hAnsi="Times New Roman"/>
          <w:sz w:val="24"/>
          <w:szCs w:val="24"/>
        </w:rPr>
        <w:t xml:space="preserve"> </w:t>
      </w:r>
      <w:r>
        <w:rPr>
          <w:rFonts w:ascii="Times New Roman" w:hAnsi="Times New Roman"/>
          <w:sz w:val="24"/>
          <w:szCs w:val="24"/>
        </w:rPr>
        <w:t>“</w:t>
      </w:r>
      <w:r w:rsidRPr="0095474C">
        <w:rPr>
          <w:rFonts w:ascii="Times New Roman" w:hAnsi="Times New Roman"/>
          <w:sz w:val="24"/>
          <w:szCs w:val="24"/>
        </w:rPr>
        <w:t xml:space="preserve">Section 1681c(a)(2) provides that CRAs must exclude from consumer reports </w:t>
      </w:r>
      <w:r>
        <w:rPr>
          <w:rFonts w:ascii="Times New Roman" w:hAnsi="Times New Roman"/>
          <w:sz w:val="24"/>
          <w:szCs w:val="24"/>
        </w:rPr>
        <w:t>‘</w:t>
      </w:r>
      <w:r w:rsidRPr="0095474C">
        <w:rPr>
          <w:rFonts w:ascii="Times New Roman" w:hAnsi="Times New Roman"/>
          <w:sz w:val="24"/>
          <w:szCs w:val="24"/>
        </w:rPr>
        <w:t>[c]</w:t>
      </w:r>
      <w:proofErr w:type="spellStart"/>
      <w:r w:rsidRPr="0095474C">
        <w:rPr>
          <w:rFonts w:ascii="Times New Roman" w:hAnsi="Times New Roman"/>
          <w:sz w:val="24"/>
          <w:szCs w:val="24"/>
        </w:rPr>
        <w:t>ivil</w:t>
      </w:r>
      <w:proofErr w:type="spellEnd"/>
      <w:r w:rsidRPr="0095474C">
        <w:rPr>
          <w:rFonts w:ascii="Times New Roman" w:hAnsi="Times New Roman"/>
          <w:sz w:val="24"/>
          <w:szCs w:val="24"/>
        </w:rPr>
        <w:t xml:space="preserve"> suits . . . and records of arrest that, from the date of entry, antedate the report by more than seven years[.]</w:t>
      </w:r>
      <w:r>
        <w:rPr>
          <w:rFonts w:ascii="Times New Roman" w:hAnsi="Times New Roman"/>
          <w:sz w:val="24"/>
          <w:szCs w:val="24"/>
        </w:rPr>
        <w:t>’</w:t>
      </w:r>
      <w:r w:rsidRPr="0095474C">
        <w:rPr>
          <w:rFonts w:ascii="Times New Roman" w:hAnsi="Times New Roman"/>
          <w:sz w:val="24"/>
          <w:szCs w:val="24"/>
        </w:rPr>
        <w:t xml:space="preserve"> The Amended Complaint asserts that Defendant violated § 1681c(a) by </w:t>
      </w:r>
      <w:r>
        <w:rPr>
          <w:rFonts w:ascii="Times New Roman" w:hAnsi="Times New Roman"/>
          <w:sz w:val="24"/>
          <w:szCs w:val="24"/>
        </w:rPr>
        <w:t>‘</w:t>
      </w:r>
      <w:proofErr w:type="spellStart"/>
      <w:r w:rsidRPr="0095474C">
        <w:rPr>
          <w:rFonts w:ascii="Times New Roman" w:hAnsi="Times New Roman"/>
          <w:sz w:val="24"/>
          <w:szCs w:val="24"/>
        </w:rPr>
        <w:t>disclos</w:t>
      </w:r>
      <w:proofErr w:type="spellEnd"/>
      <w:r w:rsidRPr="0095474C">
        <w:rPr>
          <w:rFonts w:ascii="Times New Roman" w:hAnsi="Times New Roman"/>
          <w:sz w:val="24"/>
          <w:szCs w:val="24"/>
        </w:rPr>
        <w:t>[</w:t>
      </w:r>
      <w:proofErr w:type="spellStart"/>
      <w:r w:rsidRPr="0095474C">
        <w:rPr>
          <w:rFonts w:ascii="Times New Roman" w:hAnsi="Times New Roman"/>
          <w:sz w:val="24"/>
          <w:szCs w:val="24"/>
        </w:rPr>
        <w:t>ing</w:t>
      </w:r>
      <w:proofErr w:type="spellEnd"/>
      <w:r w:rsidRPr="0095474C">
        <w:rPr>
          <w:rFonts w:ascii="Times New Roman" w:hAnsi="Times New Roman"/>
          <w:sz w:val="24"/>
          <w:szCs w:val="24"/>
        </w:rPr>
        <w:t>] [in the October 2019 Report] that in 2011 Plaintiff was arrested</w:t>
      </w:r>
      <w:r>
        <w:rPr>
          <w:rFonts w:ascii="Times New Roman" w:hAnsi="Times New Roman"/>
          <w:sz w:val="24"/>
          <w:szCs w:val="24"/>
        </w:rPr>
        <w:t xml:space="preserve">….’ </w:t>
      </w:r>
      <w:r w:rsidRPr="0095474C">
        <w:rPr>
          <w:rFonts w:ascii="Times New Roman" w:hAnsi="Times New Roman"/>
          <w:sz w:val="24"/>
          <w:szCs w:val="24"/>
        </w:rPr>
        <w:t xml:space="preserve"> </w:t>
      </w:r>
      <w:proofErr w:type="gramStart"/>
      <w:r w:rsidRPr="0095474C">
        <w:rPr>
          <w:rFonts w:ascii="Times New Roman" w:hAnsi="Times New Roman"/>
          <w:sz w:val="24"/>
          <w:szCs w:val="24"/>
        </w:rPr>
        <w:t>Thus</w:t>
      </w:r>
      <w:proofErr w:type="gramEnd"/>
      <w:r w:rsidRPr="0095474C">
        <w:rPr>
          <w:rFonts w:ascii="Times New Roman" w:hAnsi="Times New Roman"/>
          <w:sz w:val="24"/>
          <w:szCs w:val="24"/>
        </w:rPr>
        <w:t xml:space="preserve"> it plainly alleges the inclusion of information-his arrest-prohibited by § 1681c(a)(2). Therefore, the Court finds that Plaintiff has plausibly alleged a violation of § 1681c(a)(2).</w:t>
      </w:r>
      <w:r>
        <w:rPr>
          <w:rFonts w:ascii="Times New Roman" w:hAnsi="Times New Roman"/>
          <w:sz w:val="24"/>
          <w:szCs w:val="24"/>
        </w:rPr>
        <w:t xml:space="preserve">”  </w:t>
      </w:r>
      <w:hyperlink r:id="rId2627" w:history="1">
        <w:r w:rsidRPr="00177C22">
          <w:rPr>
            <w:rStyle w:val="Hyperlink"/>
            <w:rFonts w:ascii="Times New Roman" w:hAnsi="Times New Roman"/>
            <w:sz w:val="24"/>
            <w:szCs w:val="24"/>
          </w:rPr>
          <w:t>https://public.fastcase.com/J%2FJP6pdidelsXxEE4k%2BLMrj3s4T1D9o6YeH1P6QHRjfPwtPh7UBJw6%2FlyLsxvHVQo4RL4odtX24b6W6EIP3%2BuhoyWwf2ZSyK36dgjdjOjEg%3D</w:t>
        </w:r>
      </w:hyperlink>
      <w:r>
        <w:rPr>
          <w:rFonts w:ascii="Times New Roman" w:hAnsi="Times New Roman"/>
          <w:sz w:val="24"/>
          <w:szCs w:val="24"/>
        </w:rPr>
        <w:t xml:space="preserve"> </w:t>
      </w:r>
    </w:p>
    <w:p w14:paraId="6C1B621E" w14:textId="77777777" w:rsidR="007051EE" w:rsidRPr="00E633FE" w:rsidRDefault="007051EE" w:rsidP="007051EE">
      <w:pPr>
        <w:spacing w:before="100" w:beforeAutospacing="1" w:after="100" w:afterAutospacing="1" w:line="240" w:lineRule="auto"/>
        <w:rPr>
          <w:rFonts w:ascii="Times New Roman" w:eastAsia="Times New Roman" w:hAnsi="Times New Roman"/>
          <w:b/>
          <w:bCs/>
          <w:sz w:val="24"/>
          <w:szCs w:val="24"/>
        </w:rPr>
      </w:pPr>
      <w:r w:rsidRPr="00E633FE">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Fire &amp; EMS departments may hire consumer reporting agency to conduct a background check on an applicant; the report must comply with federal and state laws about arrests without convictions.  </w:t>
      </w:r>
    </w:p>
    <w:p w14:paraId="7190119B" w14:textId="77777777" w:rsidR="007051EE" w:rsidRDefault="007051EE" w:rsidP="007051EE">
      <w:pPr>
        <w:spacing w:before="100" w:beforeAutospacing="1" w:after="100" w:afterAutospacing="1" w:line="240" w:lineRule="auto"/>
        <w:ind w:left="720"/>
        <w:rPr>
          <w:rFonts w:ascii="Times New Roman" w:eastAsia="Times New Roman" w:hAnsi="Times New Roman"/>
          <w:sz w:val="24"/>
          <w:szCs w:val="24"/>
        </w:rPr>
      </w:pPr>
      <w:r w:rsidRPr="00314821">
        <w:rPr>
          <w:rFonts w:ascii="Times New Roman" w:eastAsia="Times New Roman" w:hAnsi="Times New Roman"/>
          <w:sz w:val="24"/>
          <w:szCs w:val="24"/>
        </w:rPr>
        <w:t xml:space="preserve">Note: </w:t>
      </w:r>
      <w:r>
        <w:rPr>
          <w:rFonts w:ascii="Times New Roman" w:eastAsia="Times New Roman" w:hAnsi="Times New Roman"/>
          <w:sz w:val="24"/>
          <w:szCs w:val="24"/>
        </w:rPr>
        <w:t xml:space="preserve">Some states prohibit prospective employers from asking applicants about arrest records where there was no conviction. The Court reviewed Massachusetts law. </w:t>
      </w:r>
    </w:p>
    <w:p w14:paraId="3F005920" w14:textId="77777777" w:rsidR="007051EE" w:rsidRDefault="007051EE" w:rsidP="007051EE">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r w:rsidRPr="00314821">
        <w:rPr>
          <w:rFonts w:ascii="Times New Roman" w:hAnsi="Times New Roman"/>
          <w:sz w:val="24"/>
          <w:szCs w:val="24"/>
        </w:rPr>
        <w:t xml:space="preserve">Chapter 151B, § 4(9), in part, prohibits </w:t>
      </w:r>
      <w:r>
        <w:rPr>
          <w:rFonts w:ascii="Times New Roman" w:hAnsi="Times New Roman"/>
          <w:sz w:val="24"/>
          <w:szCs w:val="24"/>
        </w:rPr>
        <w:t>‘</w:t>
      </w:r>
      <w:proofErr w:type="spellStart"/>
      <w:r w:rsidRPr="00314821">
        <w:rPr>
          <w:rFonts w:ascii="Times New Roman" w:hAnsi="Times New Roman"/>
          <w:sz w:val="24"/>
          <w:szCs w:val="24"/>
        </w:rPr>
        <w:t>discriminat</w:t>
      </w:r>
      <w:proofErr w:type="spellEnd"/>
      <w:r w:rsidRPr="00314821">
        <w:rPr>
          <w:rFonts w:ascii="Times New Roman" w:hAnsi="Times New Roman"/>
          <w:sz w:val="24"/>
          <w:szCs w:val="24"/>
        </w:rPr>
        <w:t>[ion] against any person by reason of his or her failure to furnish such information through a written application or oral inquiry or otherwise regarding: (</w:t>
      </w:r>
      <w:proofErr w:type="spellStart"/>
      <w:r w:rsidRPr="00314821">
        <w:rPr>
          <w:rFonts w:ascii="Times New Roman" w:hAnsi="Times New Roman"/>
          <w:sz w:val="24"/>
          <w:szCs w:val="24"/>
        </w:rPr>
        <w:t>i</w:t>
      </w:r>
      <w:proofErr w:type="spellEnd"/>
      <w:r w:rsidRPr="00314821">
        <w:rPr>
          <w:rFonts w:ascii="Times New Roman" w:hAnsi="Times New Roman"/>
          <w:sz w:val="24"/>
          <w:szCs w:val="24"/>
        </w:rPr>
        <w:t>) an arrest, detention, or disposition regarding any violation of law in which no conviction resulted.</w:t>
      </w:r>
      <w:r>
        <w:rPr>
          <w:rFonts w:ascii="Times New Roman" w:hAnsi="Times New Roman"/>
          <w:sz w:val="24"/>
          <w:szCs w:val="24"/>
        </w:rPr>
        <w:t>’</w:t>
      </w:r>
      <w:r w:rsidRPr="00314821">
        <w:rPr>
          <w:rFonts w:ascii="Times New Roman" w:hAnsi="Times New Roman"/>
          <w:sz w:val="24"/>
          <w:szCs w:val="24"/>
        </w:rPr>
        <w:t xml:space="preserve"> The statute also prohibits an employer, or their agent, from requesting any information regarding an arrest that did not result in a conviction. </w:t>
      </w:r>
      <w:r w:rsidRPr="00314821">
        <w:rPr>
          <w:rFonts w:ascii="Times New Roman" w:hAnsi="Times New Roman"/>
          <w:i/>
          <w:iCs/>
          <w:sz w:val="24"/>
          <w:szCs w:val="24"/>
        </w:rPr>
        <w:t>Id.</w:t>
      </w:r>
      <w:r w:rsidRPr="00314821">
        <w:rPr>
          <w:rFonts w:ascii="Times New Roman" w:hAnsi="Times New Roman"/>
          <w:sz w:val="24"/>
          <w:szCs w:val="24"/>
        </w:rPr>
        <w:t xml:space="preserve"> The statute does not, however, prohibit employers from obtaining information about criminal charges from another source. Indeed, the Supreme Judicial Court of Massachusetts has held that Chapter 151B, § 4(9) was intended </w:t>
      </w:r>
      <w:r>
        <w:rPr>
          <w:rFonts w:ascii="Times New Roman" w:hAnsi="Times New Roman"/>
          <w:sz w:val="24"/>
          <w:szCs w:val="24"/>
        </w:rPr>
        <w:t>‘</w:t>
      </w:r>
      <w:r w:rsidRPr="00314821">
        <w:rPr>
          <w:rFonts w:ascii="Times New Roman" w:hAnsi="Times New Roman"/>
          <w:sz w:val="24"/>
          <w:szCs w:val="24"/>
        </w:rPr>
        <w:t>to protect employees from such requests from their employers and not to proscribe employers from seeking such information elsewhere.</w:t>
      </w:r>
      <w:r>
        <w:rPr>
          <w:rFonts w:ascii="Times New Roman" w:hAnsi="Times New Roman"/>
          <w:sz w:val="24"/>
          <w:szCs w:val="24"/>
        </w:rPr>
        <w:t>’</w:t>
      </w:r>
      <w:r w:rsidRPr="00314821">
        <w:rPr>
          <w:rFonts w:ascii="Times New Roman" w:hAnsi="Times New Roman"/>
          <w:sz w:val="24"/>
          <w:szCs w:val="24"/>
        </w:rPr>
        <w:t xml:space="preserve"> </w:t>
      </w:r>
      <w:r w:rsidRPr="00314821">
        <w:rPr>
          <w:rFonts w:ascii="Times New Roman" w:hAnsi="Times New Roman"/>
          <w:i/>
          <w:iCs/>
          <w:sz w:val="24"/>
          <w:szCs w:val="24"/>
        </w:rPr>
        <w:t>Bynes v. School Comm. of Boston,</w:t>
      </w:r>
      <w:r w:rsidRPr="00314821">
        <w:rPr>
          <w:rFonts w:ascii="Times New Roman" w:hAnsi="Times New Roman"/>
          <w:sz w:val="24"/>
          <w:szCs w:val="24"/>
        </w:rPr>
        <w:t xml:space="preserve"> 411 Mass. 264, 268 (Mass. 1991).</w:t>
      </w:r>
      <w:r>
        <w:rPr>
          <w:rFonts w:ascii="Times New Roman" w:hAnsi="Times New Roman"/>
          <w:sz w:val="24"/>
          <w:szCs w:val="24"/>
        </w:rPr>
        <w:t xml:space="preserve">” </w:t>
      </w:r>
      <w:hyperlink r:id="rId2628" w:history="1">
        <w:r w:rsidRPr="00177C22">
          <w:rPr>
            <w:rStyle w:val="Hyperlink"/>
            <w:rFonts w:ascii="Times New Roman" w:hAnsi="Times New Roman"/>
            <w:sz w:val="24"/>
            <w:szCs w:val="24"/>
          </w:rPr>
          <w:t>https://public.fastcase.com/J%2FJP6pdidelsXxEE4k%2BLMrj3s4T1D9o6YeH1P6QHRjfPwtPh7UBJw6%2FlyLsxvHVQo4RL4odtX24b6W6EIP3%2BuhoyWwf2ZSyK36dgjdjOjEg%3D</w:t>
        </w:r>
      </w:hyperlink>
      <w:r>
        <w:rPr>
          <w:rFonts w:ascii="Times New Roman" w:hAnsi="Times New Roman"/>
          <w:sz w:val="24"/>
          <w:szCs w:val="24"/>
        </w:rPr>
        <w:t xml:space="preserve"> </w:t>
      </w:r>
    </w:p>
    <w:p w14:paraId="0B67F72C" w14:textId="77777777" w:rsidR="007051EE" w:rsidRDefault="007051EE" w:rsidP="007051E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Under Ohio law:</w:t>
      </w:r>
    </w:p>
    <w:p w14:paraId="2E81FE98" w14:textId="77777777" w:rsidR="007051EE" w:rsidRDefault="007051EE" w:rsidP="007051EE">
      <w:pPr>
        <w:pStyle w:val="NormalWeb"/>
        <w:ind w:left="720"/>
      </w:pPr>
      <w:r>
        <w:t xml:space="preserve">“Ohio employers are required to </w:t>
      </w:r>
      <w:r>
        <w:rPr>
          <w:rStyle w:val="Strong"/>
        </w:rPr>
        <w:t>provide advance, written notice</w:t>
      </w:r>
      <w:r>
        <w:t xml:space="preserve"> of their intent to conduct </w:t>
      </w:r>
      <w:hyperlink r:id="rId2629" w:history="1">
        <w:r>
          <w:rPr>
            <w:rStyle w:val="Hyperlink"/>
            <w:rFonts w:eastAsiaTheme="majorEastAsia"/>
          </w:rPr>
          <w:t>pre-employment background checks</w:t>
        </w:r>
      </w:hyperlink>
      <w:r>
        <w:t xml:space="preserve">. The FCRA also requires employers to secure their applicants’ written consent before conducting employment background checks. If a background check reveals negative information in Ohio, employers must adhere to the two-step </w:t>
      </w:r>
      <w:hyperlink r:id="rId2630" w:history="1">
        <w:r>
          <w:rPr>
            <w:rStyle w:val="Hyperlink"/>
            <w:rFonts w:eastAsiaTheme="majorEastAsia"/>
          </w:rPr>
          <w:t>adverse action process</w:t>
        </w:r>
      </w:hyperlink>
      <w:r>
        <w:t xml:space="preserve"> before a final hiring decision is made.</w:t>
      </w:r>
    </w:p>
    <w:p w14:paraId="4C10DC1E" w14:textId="77777777" w:rsidR="007051EE" w:rsidRDefault="007051EE" w:rsidP="007051EE">
      <w:pPr>
        <w:pStyle w:val="NormalWeb"/>
        <w:ind w:left="720"/>
      </w:pPr>
      <w:r>
        <w:t>***</w:t>
      </w:r>
    </w:p>
    <w:p w14:paraId="3DD94F01" w14:textId="77777777" w:rsidR="007051EE" w:rsidRDefault="007051EE" w:rsidP="007051EE">
      <w:pPr>
        <w:pStyle w:val="NormalWeb"/>
        <w:ind w:left="720"/>
      </w:pPr>
      <w:r>
        <w:t xml:space="preserve">Public employers must follow the </w:t>
      </w:r>
      <w:r>
        <w:rPr>
          <w:rStyle w:val="Strong"/>
        </w:rPr>
        <w:t>state’s ban-the-box law</w:t>
      </w:r>
      <w:r>
        <w:t xml:space="preserve">. The Department of Administrative Services issued </w:t>
      </w:r>
      <w:hyperlink r:id="rId2631" w:history="1">
        <w:r>
          <w:rPr>
            <w:rStyle w:val="Hyperlink"/>
            <w:rFonts w:eastAsiaTheme="majorEastAsia"/>
          </w:rPr>
          <w:t>policy HR-29</w:t>
        </w:r>
      </w:hyperlink>
      <w:r>
        <w:t xml:space="preserve"> in 2015. This law prohibits public-sector employers from asking questions about criminal </w:t>
      </w:r>
      <w:proofErr w:type="gramStart"/>
      <w:r>
        <w:t>history information</w:t>
      </w:r>
      <w:proofErr w:type="gramEnd"/>
      <w:r>
        <w:t xml:space="preserve"> during the early phases of the hiring process.</w:t>
      </w:r>
    </w:p>
    <w:p w14:paraId="54B8A69D" w14:textId="77777777" w:rsidR="007051EE" w:rsidRDefault="007051EE" w:rsidP="007051EE">
      <w:pPr>
        <w:pStyle w:val="NormalWeb"/>
        <w:ind w:left="720"/>
      </w:pPr>
      <w:r>
        <w:t xml:space="preserve">Under </w:t>
      </w:r>
      <w:hyperlink r:id="rId2632" w:history="1">
        <w:r>
          <w:rPr>
            <w:rStyle w:val="Hyperlink"/>
            <w:rFonts w:eastAsiaTheme="majorEastAsia"/>
          </w:rPr>
          <w:t>ORC § 2953.32</w:t>
        </w:r>
      </w:hyperlink>
      <w:r>
        <w:t xml:space="preserve">, eligible offenders may petition the court to have certain criminal records sealed or expunged. Employers </w:t>
      </w:r>
      <w:r>
        <w:rPr>
          <w:rStyle w:val="Strong"/>
        </w:rPr>
        <w:t>are not allowed to ask applicants or employees</w:t>
      </w:r>
      <w:r>
        <w:t xml:space="preserve"> about sealed, expunged, pardoned, or erased records.” </w:t>
      </w:r>
      <w:hyperlink r:id="rId2633" w:history="1">
        <w:r w:rsidRPr="00177C22">
          <w:rPr>
            <w:rStyle w:val="Hyperlink"/>
            <w:rFonts w:eastAsiaTheme="majorEastAsia"/>
          </w:rPr>
          <w:t>https://iprospectcheck.com/ohio-background-check/</w:t>
        </w:r>
      </w:hyperlink>
      <w:r>
        <w:t xml:space="preserve"> </w:t>
      </w:r>
    </w:p>
    <w:p w14:paraId="4ADCB94A" w14:textId="77777777" w:rsidR="007051EE" w:rsidRDefault="007051EE" w:rsidP="007051EE">
      <w:pPr>
        <w:spacing w:before="100" w:beforeAutospacing="1" w:after="100" w:afterAutospacing="1" w:line="240" w:lineRule="auto"/>
        <w:rPr>
          <w:rFonts w:ascii="Times New Roman" w:hAnsi="Times New Roman"/>
          <w:sz w:val="24"/>
          <w:szCs w:val="24"/>
        </w:rPr>
      </w:pPr>
    </w:p>
    <w:p w14:paraId="0D94B0D0" w14:textId="77777777" w:rsidR="007051EE" w:rsidRDefault="007051EE" w:rsidP="00F326E5">
      <w:pPr>
        <w:pStyle w:val="NoSpacing"/>
        <w:rPr>
          <w:rFonts w:ascii="Arial Black" w:hAnsi="Arial Black"/>
          <w:sz w:val="24"/>
          <w:szCs w:val="24"/>
        </w:rPr>
      </w:pPr>
    </w:p>
    <w:p w14:paraId="7595D729" w14:textId="77777777" w:rsidR="007051EE" w:rsidRDefault="007051EE" w:rsidP="00F326E5">
      <w:pPr>
        <w:pStyle w:val="NoSpacing"/>
        <w:rPr>
          <w:rFonts w:ascii="Arial Black" w:hAnsi="Arial Black"/>
          <w:sz w:val="24"/>
          <w:szCs w:val="24"/>
        </w:rPr>
      </w:pPr>
    </w:p>
    <w:p w14:paraId="24E0C573" w14:textId="77777777" w:rsidR="007051EE" w:rsidRDefault="007051EE" w:rsidP="00F326E5">
      <w:pPr>
        <w:pStyle w:val="NoSpacing"/>
        <w:rPr>
          <w:rFonts w:ascii="Arial Black" w:hAnsi="Arial Black"/>
          <w:sz w:val="24"/>
          <w:szCs w:val="24"/>
        </w:rPr>
      </w:pPr>
    </w:p>
    <w:p w14:paraId="16AA628D" w14:textId="106C46B2" w:rsidR="00BA51CC" w:rsidRDefault="00BA51CC" w:rsidP="00F326E5">
      <w:pPr>
        <w:pStyle w:val="NoSpacing"/>
        <w:rPr>
          <w:rFonts w:ascii="Arial Black" w:hAnsi="Arial Black"/>
          <w:sz w:val="24"/>
          <w:szCs w:val="24"/>
        </w:rPr>
      </w:pPr>
      <w:r>
        <w:rPr>
          <w:rFonts w:ascii="Arial Black" w:hAnsi="Arial Black"/>
          <w:sz w:val="24"/>
          <w:szCs w:val="24"/>
        </w:rPr>
        <w:t>16-68</w:t>
      </w:r>
    </w:p>
    <w:p w14:paraId="45C7ACD3" w14:textId="77777777" w:rsidR="00BA51CC" w:rsidRDefault="00BA51CC" w:rsidP="00BA51CC">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TN: NEW WIFE MAY HAVE ALTERED WILL OF DECEASED FF – BATT. CHIEF ONLY SIGNED AS WIT. ORIGINAL - REHIRED</w:t>
      </w:r>
    </w:p>
    <w:p w14:paraId="545B87A3" w14:textId="59E48596" w:rsidR="00BA51CC" w:rsidRDefault="00BA51CC" w:rsidP="00BA51CC">
      <w:pPr>
        <w:pStyle w:val="NoSpacing"/>
        <w:rPr>
          <w:rStyle w:val="Hyperlink"/>
          <w:rFonts w:ascii="Times New Roman" w:hAnsi="Times New Roman"/>
          <w:sz w:val="24"/>
          <w:szCs w:val="24"/>
        </w:rPr>
      </w:pPr>
      <w:r w:rsidRPr="003572C6">
        <w:rPr>
          <w:rFonts w:ascii="Times New Roman" w:eastAsia="Times New Roman" w:hAnsi="Times New Roman"/>
          <w:sz w:val="24"/>
          <w:szCs w:val="24"/>
        </w:rPr>
        <w:t xml:space="preserve">On April 26, 2022, </w:t>
      </w:r>
      <w:r w:rsidRPr="005A463F">
        <w:rPr>
          <w:rFonts w:ascii="Times New Roman" w:eastAsia="Times New Roman" w:hAnsi="Times New Roman"/>
          <w:sz w:val="24"/>
          <w:szCs w:val="24"/>
        </w:rPr>
        <w:t xml:space="preserve">in </w:t>
      </w:r>
      <w:r w:rsidRPr="003572C6">
        <w:rPr>
          <w:rFonts w:ascii="Times New Roman" w:eastAsia="Times New Roman" w:hAnsi="Times New Roman"/>
          <w:sz w:val="24"/>
          <w:szCs w:val="24"/>
          <w:u w:val="single"/>
        </w:rPr>
        <w:t>City of Memphis v. Beverly Prye</w:t>
      </w:r>
      <w:r>
        <w:rPr>
          <w:rFonts w:ascii="Times New Roman" w:eastAsia="Times New Roman" w:hAnsi="Times New Roman"/>
          <w:sz w:val="24"/>
          <w:szCs w:val="24"/>
        </w:rPr>
        <w:t xml:space="preserve">, the Court of Appeals of Tennessee in Jackson held (3 to 0) that the City failed to prove that Battalion Chief Prye, a 21-year member of the Memphis FD, knew that the Will of late </w:t>
      </w:r>
      <w:r w:rsidRPr="003572C6">
        <w:rPr>
          <w:rFonts w:ascii="Times New Roman" w:hAnsi="Times New Roman"/>
          <w:sz w:val="24"/>
          <w:szCs w:val="24"/>
        </w:rPr>
        <w:t>Ulysses Jones, Jr</w:t>
      </w:r>
      <w:r>
        <w:rPr>
          <w:rFonts w:ascii="Times New Roman" w:hAnsi="Times New Roman"/>
          <w:sz w:val="24"/>
          <w:szCs w:val="24"/>
        </w:rPr>
        <w:t xml:space="preserve">. was a forgery.  Mr. Jones was also employed with Memphis FD until his death in </w:t>
      </w:r>
      <w:proofErr w:type="gramStart"/>
      <w:r>
        <w:rPr>
          <w:rFonts w:ascii="Times New Roman" w:hAnsi="Times New Roman"/>
          <w:sz w:val="24"/>
          <w:szCs w:val="24"/>
        </w:rPr>
        <w:t>Nov. 2010, and</w:t>
      </w:r>
      <w:proofErr w:type="gramEnd"/>
      <w:r>
        <w:rPr>
          <w:rFonts w:ascii="Times New Roman" w:hAnsi="Times New Roman"/>
          <w:sz w:val="24"/>
          <w:szCs w:val="24"/>
        </w:rPr>
        <w:t xml:space="preserve"> told Ms. Prye of his intentions to marry his girlfriend, Ms. Sandra Richards. The Court raised the possibility that the Will that was submitted to Probate Court by Ms. Richards, leaving all his estate to her, might not have been the document witnessed by the Battalion Chief. </w:t>
      </w:r>
      <w:hyperlink r:id="rId2634" w:history="1">
        <w:r w:rsidRPr="00C8589E">
          <w:rPr>
            <w:rStyle w:val="Hyperlink"/>
            <w:rFonts w:ascii="Times New Roman" w:hAnsi="Times New Roman"/>
            <w:sz w:val="24"/>
            <w:szCs w:val="24"/>
          </w:rPr>
          <w:t>https://www.tncourts.gov/sites/default/files/pryebeverlyopn.pdf</w:t>
        </w:r>
      </w:hyperlink>
    </w:p>
    <w:p w14:paraId="655F7501" w14:textId="77777777" w:rsidR="00BA51CC" w:rsidRPr="00A302C2" w:rsidRDefault="00BA51CC" w:rsidP="00BA51CC">
      <w:pPr>
        <w:spacing w:before="100" w:beforeAutospacing="1" w:after="100" w:afterAutospacing="1" w:line="240" w:lineRule="auto"/>
        <w:rPr>
          <w:rFonts w:ascii="Times New Roman" w:hAnsi="Times New Roman"/>
          <w:sz w:val="24"/>
          <w:szCs w:val="24"/>
        </w:rPr>
      </w:pPr>
      <w:r w:rsidRPr="00D23681">
        <w:rPr>
          <w:rFonts w:ascii="Times New Roman" w:hAnsi="Times New Roman"/>
          <w:b/>
          <w:bCs/>
          <w:sz w:val="24"/>
          <w:szCs w:val="24"/>
        </w:rPr>
        <w:t>Legal Lesson Learned</w:t>
      </w:r>
      <w:r>
        <w:rPr>
          <w:rFonts w:ascii="Times New Roman" w:hAnsi="Times New Roman"/>
          <w:b/>
          <w:bCs/>
          <w:sz w:val="24"/>
          <w:szCs w:val="24"/>
        </w:rPr>
        <w:t xml:space="preserve">: Employee reinstated with full back pay and benefits. </w:t>
      </w:r>
    </w:p>
    <w:p w14:paraId="04E1CC18" w14:textId="77777777" w:rsidR="00BA51CC" w:rsidRDefault="00BA51CC" w:rsidP="00BA51CC">
      <w:pPr>
        <w:pStyle w:val="NoSpacing"/>
        <w:rPr>
          <w:rFonts w:ascii="Arial Black" w:hAnsi="Arial Black"/>
          <w:sz w:val="24"/>
          <w:szCs w:val="24"/>
        </w:rPr>
      </w:pPr>
    </w:p>
    <w:p w14:paraId="5839D367" w14:textId="77777777" w:rsidR="00BA51CC" w:rsidRDefault="00BA51CC" w:rsidP="00F326E5">
      <w:pPr>
        <w:pStyle w:val="NoSpacing"/>
        <w:rPr>
          <w:rFonts w:ascii="Arial Black" w:hAnsi="Arial Black"/>
          <w:sz w:val="24"/>
          <w:szCs w:val="24"/>
        </w:rPr>
      </w:pPr>
    </w:p>
    <w:p w14:paraId="0D8B812F" w14:textId="77777777" w:rsidR="00BA51CC" w:rsidRDefault="00BA51CC" w:rsidP="00F326E5">
      <w:pPr>
        <w:pStyle w:val="NoSpacing"/>
        <w:rPr>
          <w:rFonts w:ascii="Arial Black" w:hAnsi="Arial Black"/>
          <w:sz w:val="24"/>
          <w:szCs w:val="24"/>
        </w:rPr>
      </w:pPr>
    </w:p>
    <w:p w14:paraId="2FFF2718" w14:textId="3D700563" w:rsidR="00BA51CC" w:rsidRDefault="00BA51CC" w:rsidP="00F326E5">
      <w:pPr>
        <w:pStyle w:val="NoSpacing"/>
        <w:rPr>
          <w:rFonts w:ascii="Arial Black" w:hAnsi="Arial Black"/>
          <w:sz w:val="24"/>
          <w:szCs w:val="24"/>
        </w:rPr>
      </w:pPr>
      <w:r>
        <w:rPr>
          <w:rFonts w:ascii="Arial Black" w:hAnsi="Arial Black"/>
          <w:sz w:val="24"/>
          <w:szCs w:val="24"/>
        </w:rPr>
        <w:t>16-67</w:t>
      </w:r>
    </w:p>
    <w:p w14:paraId="69475352" w14:textId="77777777" w:rsidR="00BA51CC" w:rsidRPr="006A4F17" w:rsidRDefault="00BA51CC" w:rsidP="00BA51CC">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GA: FIRE CHIEF FIRED – AFFAIR – 1</w:t>
      </w:r>
      <w:r w:rsidRPr="00701857">
        <w:rPr>
          <w:rFonts w:ascii="Arial Black" w:eastAsia="Times New Roman" w:hAnsi="Arial Black"/>
          <w:sz w:val="28"/>
          <w:szCs w:val="28"/>
          <w:vertAlign w:val="superscript"/>
        </w:rPr>
        <w:t>st</w:t>
      </w:r>
      <w:r>
        <w:rPr>
          <w:rFonts w:ascii="Arial Black" w:eastAsia="Times New Roman" w:hAnsi="Arial Black"/>
          <w:sz w:val="28"/>
          <w:szCs w:val="28"/>
        </w:rPr>
        <w:t xml:space="preserve"> AMEND. RIGHT TO SPEAK – “SHOP WITH A HERO” SHOULD BE PRIVATE $</w:t>
      </w:r>
    </w:p>
    <w:p w14:paraId="04B5FBD7" w14:textId="01FF2257" w:rsidR="00BA51CC" w:rsidRDefault="00BA51CC" w:rsidP="00BA51CC">
      <w:pPr>
        <w:pStyle w:val="NoSpacing"/>
        <w:rPr>
          <w:rStyle w:val="Hyperlink"/>
          <w:rFonts w:ascii="Times New Roman" w:hAnsi="Times New Roman"/>
          <w:sz w:val="24"/>
          <w:szCs w:val="24"/>
        </w:rPr>
      </w:pPr>
      <w:r>
        <w:rPr>
          <w:rFonts w:ascii="Times New Roman" w:eastAsia="Times New Roman" w:hAnsi="Times New Roman"/>
          <w:sz w:val="24"/>
          <w:szCs w:val="24"/>
        </w:rPr>
        <w:t xml:space="preserve">On April 13, 2022, in </w:t>
      </w:r>
      <w:r w:rsidRPr="000428C8">
        <w:rPr>
          <w:rFonts w:ascii="Times New Roman" w:eastAsia="Times New Roman" w:hAnsi="Times New Roman"/>
          <w:sz w:val="24"/>
          <w:szCs w:val="24"/>
          <w:u w:val="single"/>
        </w:rPr>
        <w:t>William Owens v. Logan Propes, R,V, Watts and the City of Monroe</w:t>
      </w:r>
      <w:r>
        <w:rPr>
          <w:rFonts w:ascii="Times New Roman" w:eastAsia="Times New Roman" w:hAnsi="Times New Roman"/>
          <w:sz w:val="24"/>
          <w:szCs w:val="24"/>
        </w:rPr>
        <w:t>, U.S. District Court Judge Clay D. Land, U.S. District Court for the Middle District of Georgia (Athens Division), held that the former Fire Chief’s claim of breach of his 1</w:t>
      </w:r>
      <w:r w:rsidRPr="00D90B93">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Amendment right of free speech may proceed. </w:t>
      </w:r>
      <w:r>
        <w:rPr>
          <w:rFonts w:ascii="Times New Roman" w:hAnsi="Times New Roman"/>
          <w:sz w:val="24"/>
          <w:szCs w:val="24"/>
        </w:rPr>
        <w:t xml:space="preserve">In May, 2020 (about same time as the public comments), Police Chief R.V. Watts and City Administrator Logan Propes learned that the Fire Chief William Owens was having a relationship with K.I. (her son saw exchanges on her Apple watch), and </w:t>
      </w:r>
      <w:r w:rsidRPr="00190143">
        <w:rPr>
          <w:rFonts w:ascii="Times New Roman" w:hAnsi="Times New Roman"/>
          <w:sz w:val="24"/>
          <w:szCs w:val="24"/>
        </w:rPr>
        <w:t>Propes demanded that Owens resign and threatened that if he did not, Owens would be terminated for “conduct unbecoming” based on his relationship with K.I. Owens advised the City of the actions taken by Watts and Propes with regard to K.I.'s Apple watch. Soon after that, Owens was terminated from his job as fire chief.</w:t>
      </w:r>
      <w:r>
        <w:rPr>
          <w:rFonts w:ascii="Times New Roman" w:hAnsi="Times New Roman"/>
          <w:sz w:val="24"/>
          <w:szCs w:val="24"/>
        </w:rPr>
        <w:t xml:space="preserve"> </w:t>
      </w:r>
      <w:r>
        <w:rPr>
          <w:rFonts w:ascii="Times New Roman" w:eastAsia="Times New Roman" w:hAnsi="Times New Roman"/>
          <w:sz w:val="24"/>
          <w:szCs w:val="24"/>
        </w:rPr>
        <w:t xml:space="preserve">Owens alleges that his comments at a public meeting that the “Shop </w:t>
      </w:r>
      <w:proofErr w:type="gramStart"/>
      <w:r>
        <w:rPr>
          <w:rFonts w:ascii="Times New Roman" w:eastAsia="Times New Roman" w:hAnsi="Times New Roman"/>
          <w:sz w:val="24"/>
          <w:szCs w:val="24"/>
        </w:rPr>
        <w:t>With</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Hero” police and firefighter program should be funded by a private not-for-profit organization.  The program had been proposed by realtors, was administered by the City Administrator, and there were questions from members of the public about missing funds.  The trial judge held that the Fire Chiefs comments may have been a motivating factor in the City’s decision to terminate him.  Under the U.S. Supreme Court’s “balancing test” in Pickering v. Board of Education, 391 U.S. 563 (1968), the Fire Chief was speaking as a private citizen, not a public official.  The judge referenced, </w:t>
      </w:r>
      <w:r w:rsidRPr="00D25C58">
        <w:rPr>
          <w:rStyle w:val="Emphasis"/>
          <w:rFonts w:ascii="Times New Roman" w:hAnsi="Times New Roman"/>
          <w:sz w:val="24"/>
          <w:szCs w:val="24"/>
        </w:rPr>
        <w:t>Garcetti v. Ceballos</w:t>
      </w:r>
      <w:r w:rsidRPr="00D25C58">
        <w:rPr>
          <w:rFonts w:ascii="Times New Roman" w:hAnsi="Times New Roman"/>
          <w:sz w:val="24"/>
          <w:szCs w:val="24"/>
        </w:rPr>
        <w:t>, 547 U.S. 410, 417 (2006)</w:t>
      </w:r>
      <w:r>
        <w:rPr>
          <w:rFonts w:ascii="Times New Roman" w:hAnsi="Times New Roman"/>
          <w:sz w:val="24"/>
          <w:szCs w:val="24"/>
        </w:rPr>
        <w:t xml:space="preserve">, where U.S. Supreme Court held the </w:t>
      </w:r>
      <w:r w:rsidRPr="00D25C58">
        <w:rPr>
          <w:rFonts w:ascii="Times New Roman" w:hAnsi="Times New Roman"/>
          <w:sz w:val="24"/>
          <w:szCs w:val="24"/>
        </w:rPr>
        <w:t xml:space="preserve">First Amendment still provides some protection for a public employee who speaks (1) “as a citizen” (2) “addressing matters of public concern.” </w:t>
      </w:r>
      <w:r w:rsidRPr="00D25C58">
        <w:rPr>
          <w:rStyle w:val="Emphasis"/>
          <w:rFonts w:ascii="Times New Roman" w:hAnsi="Times New Roman"/>
          <w:sz w:val="24"/>
          <w:szCs w:val="24"/>
        </w:rPr>
        <w:t>Id.</w:t>
      </w:r>
      <w:r w:rsidRPr="00D25C58">
        <w:rPr>
          <w:rFonts w:ascii="Times New Roman" w:hAnsi="Times New Roman"/>
          <w:sz w:val="24"/>
          <w:szCs w:val="24"/>
        </w:rPr>
        <w:t xml:space="preserve"> If the employee speaks as a citizen</w:t>
      </w:r>
      <w:r>
        <w:rPr>
          <w:rFonts w:ascii="Times New Roman" w:hAnsi="Times New Roman"/>
          <w:sz w:val="24"/>
          <w:szCs w:val="24"/>
        </w:rPr>
        <w:t xml:space="preserve">.  </w:t>
      </w:r>
      <w:hyperlink r:id="rId2635" w:history="1">
        <w:r w:rsidRPr="00552F99">
          <w:rPr>
            <w:rStyle w:val="Hyperlink"/>
            <w:rFonts w:ascii="Times New Roman" w:hAnsi="Times New Roman"/>
            <w:sz w:val="24"/>
            <w:szCs w:val="24"/>
          </w:rPr>
          <w:t>https://casetext.com/case/owens-v-propes</w:t>
        </w:r>
      </w:hyperlink>
    </w:p>
    <w:p w14:paraId="33D50BFE" w14:textId="0F39E572" w:rsidR="00BA51CC" w:rsidRDefault="00BA51CC" w:rsidP="00BA51CC">
      <w:pPr>
        <w:pStyle w:val="NoSpacing"/>
        <w:rPr>
          <w:rStyle w:val="Hyperlink"/>
          <w:rFonts w:ascii="Times New Roman" w:hAnsi="Times New Roman"/>
          <w:sz w:val="24"/>
          <w:szCs w:val="24"/>
        </w:rPr>
      </w:pPr>
    </w:p>
    <w:p w14:paraId="7102314C" w14:textId="77777777" w:rsidR="00BA51CC" w:rsidRPr="00817FDB" w:rsidRDefault="00BA51CC" w:rsidP="00BA51CC">
      <w:pPr>
        <w:spacing w:before="100" w:beforeAutospacing="1" w:after="100" w:afterAutospacing="1" w:line="240" w:lineRule="auto"/>
        <w:rPr>
          <w:rFonts w:ascii="Times New Roman" w:eastAsia="Times New Roman" w:hAnsi="Times New Roman"/>
          <w:b/>
          <w:bCs/>
          <w:sz w:val="24"/>
          <w:szCs w:val="24"/>
        </w:rPr>
      </w:pPr>
      <w:r w:rsidRPr="00817FDB">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Public officials, including fire chiefs and firefighters have only limited 1</w:t>
      </w:r>
      <w:r w:rsidRPr="00817FDB">
        <w:rPr>
          <w:rFonts w:ascii="Times New Roman" w:eastAsia="Times New Roman" w:hAnsi="Times New Roman"/>
          <w:b/>
          <w:bCs/>
          <w:sz w:val="24"/>
          <w:szCs w:val="24"/>
          <w:vertAlign w:val="superscript"/>
        </w:rPr>
        <w:t>st</w:t>
      </w:r>
      <w:r>
        <w:rPr>
          <w:rFonts w:ascii="Times New Roman" w:eastAsia="Times New Roman" w:hAnsi="Times New Roman"/>
          <w:b/>
          <w:bCs/>
          <w:sz w:val="24"/>
          <w:szCs w:val="24"/>
        </w:rPr>
        <w:t xml:space="preserve"> Amendment rights under the </w:t>
      </w:r>
      <w:r w:rsidRPr="00817EA6">
        <w:rPr>
          <w:rFonts w:ascii="Times New Roman" w:eastAsia="Times New Roman" w:hAnsi="Times New Roman"/>
          <w:b/>
          <w:bCs/>
          <w:i/>
          <w:iCs/>
          <w:sz w:val="24"/>
          <w:szCs w:val="24"/>
        </w:rPr>
        <w:t>Pickering</w:t>
      </w:r>
      <w:r>
        <w:rPr>
          <w:rFonts w:ascii="Times New Roman" w:eastAsia="Times New Roman" w:hAnsi="Times New Roman"/>
          <w:b/>
          <w:bCs/>
          <w:sz w:val="24"/>
          <w:szCs w:val="24"/>
        </w:rPr>
        <w:t xml:space="preserve"> “balancing test” when discussing official activities; here the trial court found that the Fire Chief was speaking as a private citizen. </w:t>
      </w:r>
    </w:p>
    <w:p w14:paraId="3B240C8C" w14:textId="7C2A13A9" w:rsidR="00BA51CC" w:rsidRPr="00BA51CC" w:rsidRDefault="00BA51CC" w:rsidP="00BA51CC">
      <w:pPr>
        <w:pStyle w:val="NoSpacing"/>
        <w:ind w:left="720"/>
        <w:rPr>
          <w:rFonts w:ascii="Times New Roman" w:hAnsi="Times New Roman"/>
          <w:sz w:val="24"/>
          <w:szCs w:val="24"/>
        </w:rPr>
      </w:pPr>
      <w:r w:rsidRPr="00BA51CC">
        <w:rPr>
          <w:rFonts w:ascii="Times New Roman" w:hAnsi="Times New Roman"/>
          <w:sz w:val="24"/>
          <w:szCs w:val="24"/>
        </w:rPr>
        <w:t xml:space="preserve">Note: See article (July 6, 2021): “Owens refused to resign; Fire chief's alleged relationship, financial management lead to firing.” </w:t>
      </w:r>
      <w:hyperlink r:id="rId2636" w:history="1">
        <w:r w:rsidRPr="00BA51CC">
          <w:rPr>
            <w:rStyle w:val="Hyperlink"/>
            <w:rFonts w:ascii="Times New Roman" w:hAnsi="Times New Roman"/>
            <w:sz w:val="24"/>
            <w:szCs w:val="24"/>
          </w:rPr>
          <w:t>https://www.waltontribune.com/article_108b8906-f48f-11ea-baf7-07788894fc4c.html</w:t>
        </w:r>
      </w:hyperlink>
    </w:p>
    <w:p w14:paraId="7F8BF022" w14:textId="77777777" w:rsidR="00BA51CC" w:rsidRDefault="00BA51CC" w:rsidP="00F326E5">
      <w:pPr>
        <w:pStyle w:val="NoSpacing"/>
        <w:rPr>
          <w:rFonts w:ascii="Arial Black" w:hAnsi="Arial Black"/>
          <w:sz w:val="24"/>
          <w:szCs w:val="24"/>
        </w:rPr>
      </w:pPr>
    </w:p>
    <w:p w14:paraId="26CCD078" w14:textId="77777777" w:rsidR="00BA51CC" w:rsidRDefault="00BA51CC" w:rsidP="00F326E5">
      <w:pPr>
        <w:pStyle w:val="NoSpacing"/>
        <w:rPr>
          <w:rFonts w:ascii="Arial Black" w:hAnsi="Arial Black"/>
          <w:sz w:val="24"/>
          <w:szCs w:val="24"/>
        </w:rPr>
      </w:pPr>
    </w:p>
    <w:p w14:paraId="4951670B" w14:textId="3688525F" w:rsidR="00BA51CC" w:rsidRDefault="00BA51CC" w:rsidP="00F326E5">
      <w:pPr>
        <w:pStyle w:val="NoSpacing"/>
        <w:rPr>
          <w:rFonts w:ascii="Arial Black" w:hAnsi="Arial Black"/>
          <w:sz w:val="24"/>
          <w:szCs w:val="24"/>
        </w:rPr>
      </w:pPr>
      <w:r>
        <w:rPr>
          <w:rFonts w:ascii="Arial Black" w:hAnsi="Arial Black"/>
          <w:sz w:val="24"/>
          <w:szCs w:val="24"/>
        </w:rPr>
        <w:t>16-66</w:t>
      </w:r>
    </w:p>
    <w:p w14:paraId="4A0E4F9E" w14:textId="77777777" w:rsidR="00BA51CC" w:rsidRPr="008635F6" w:rsidRDefault="00BA51CC" w:rsidP="00BA51CC">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FL: NAVAL FIRE TRAINING OFFICER FIRED - TOLD UPDATE TRAINING RECORDS – NO WHISTLEBLOWER RETALIATION</w:t>
      </w:r>
    </w:p>
    <w:p w14:paraId="0F6252C7" w14:textId="38A9CB3F" w:rsidR="00BA51CC" w:rsidRDefault="00BA51CC" w:rsidP="00BA51CC">
      <w:pPr>
        <w:pStyle w:val="NoSpacing"/>
        <w:rPr>
          <w:rStyle w:val="Hyperlink"/>
          <w:rFonts w:ascii="Times New Roman" w:hAnsi="Times New Roman"/>
          <w:sz w:val="24"/>
          <w:szCs w:val="24"/>
        </w:rPr>
      </w:pPr>
      <w:r w:rsidRPr="000A2685">
        <w:rPr>
          <w:rFonts w:ascii="Times New Roman" w:eastAsia="Times New Roman" w:hAnsi="Times New Roman"/>
          <w:sz w:val="24"/>
          <w:szCs w:val="24"/>
        </w:rPr>
        <w:t xml:space="preserve">On </w:t>
      </w:r>
      <w:r>
        <w:rPr>
          <w:rFonts w:ascii="Times New Roman" w:eastAsia="Times New Roman" w:hAnsi="Times New Roman"/>
          <w:sz w:val="24"/>
          <w:szCs w:val="24"/>
        </w:rPr>
        <w:t xml:space="preserve">April 1, 2022, in </w:t>
      </w:r>
      <w:r w:rsidRPr="000A2685">
        <w:rPr>
          <w:rFonts w:ascii="Times New Roman" w:eastAsia="Times New Roman" w:hAnsi="Times New Roman"/>
          <w:sz w:val="24"/>
          <w:szCs w:val="24"/>
          <w:u w:val="single"/>
        </w:rPr>
        <w:t>David A, Rickel v. Department of the Navy</w:t>
      </w:r>
      <w:r>
        <w:rPr>
          <w:rFonts w:ascii="Times New Roman" w:eastAsia="Times New Roman" w:hAnsi="Times New Roman"/>
          <w:sz w:val="24"/>
          <w:szCs w:val="24"/>
        </w:rPr>
        <w:t xml:space="preserve">, the U.S. Court of Appeals for Federal Circuit (D.C.) held (3 to 0) that there was substantial evidence to support the decision of </w:t>
      </w:r>
      <w:r w:rsidRPr="00A91835">
        <w:rPr>
          <w:rFonts w:ascii="Times New Roman" w:hAnsi="Times New Roman"/>
          <w:sz w:val="24"/>
          <w:szCs w:val="24"/>
        </w:rPr>
        <w:t>Merit Systems Protection Board</w:t>
      </w:r>
      <w:r>
        <w:rPr>
          <w:rFonts w:ascii="Times New Roman" w:hAnsi="Times New Roman"/>
          <w:sz w:val="24"/>
          <w:szCs w:val="24"/>
        </w:rPr>
        <w:t xml:space="preserve">, which upheld the termination decision by Captain Brian Weiss, Executive Officer of Naval Air Station Jacksonville.  The plaintiff was the only employee in the Fire Service training office. In late 2016, he applied for Deputy Fire </w:t>
      </w:r>
      <w:proofErr w:type="gramStart"/>
      <w:r>
        <w:rPr>
          <w:rFonts w:ascii="Times New Roman" w:hAnsi="Times New Roman"/>
          <w:sz w:val="24"/>
          <w:szCs w:val="24"/>
        </w:rPr>
        <w:t>Chief</w:t>
      </w:r>
      <w:proofErr w:type="gramEnd"/>
      <w:r>
        <w:rPr>
          <w:rFonts w:ascii="Times New Roman" w:hAnsi="Times New Roman"/>
          <w:sz w:val="24"/>
          <w:szCs w:val="24"/>
        </w:rPr>
        <w:t xml:space="preserve">, but </w:t>
      </w:r>
      <w:proofErr w:type="gramStart"/>
      <w:r>
        <w:rPr>
          <w:rFonts w:ascii="Times New Roman" w:hAnsi="Times New Roman"/>
          <w:sz w:val="24"/>
          <w:szCs w:val="24"/>
        </w:rPr>
        <w:t>position went to</w:t>
      </w:r>
      <w:proofErr w:type="gramEnd"/>
      <w:r>
        <w:rPr>
          <w:rFonts w:ascii="Times New Roman" w:hAnsi="Times New Roman"/>
          <w:sz w:val="24"/>
          <w:szCs w:val="24"/>
        </w:rPr>
        <w:t xml:space="preserve"> the </w:t>
      </w:r>
      <w:proofErr w:type="gramStart"/>
      <w:r>
        <w:rPr>
          <w:rFonts w:ascii="Times New Roman" w:hAnsi="Times New Roman"/>
          <w:sz w:val="24"/>
          <w:szCs w:val="24"/>
        </w:rPr>
        <w:t>current</w:t>
      </w:r>
      <w:proofErr w:type="gramEnd"/>
      <w:r>
        <w:rPr>
          <w:rFonts w:ascii="Times New Roman" w:hAnsi="Times New Roman"/>
          <w:sz w:val="24"/>
          <w:szCs w:val="24"/>
        </w:rPr>
        <w:t xml:space="preserve"> Assistant Chief of Operations.  The plaintiff sent an e-mail to Fire Chief, challenging the Assistant Chief’s “candor in his application” and further alleging there have been at least 5 other promotions who lacked credentials and therefore posed a “life safety risk” to the Navy. He was fired June 8, 2019 for repeated failure to update training records, including being ordered to do so on June 15, 2017; Dec. 2018; and in March 2019 the </w:t>
      </w:r>
      <w:r w:rsidRPr="00FB6C77">
        <w:rPr>
          <w:rFonts w:ascii="Times New Roman" w:hAnsi="Times New Roman"/>
          <w:sz w:val="24"/>
          <w:szCs w:val="24"/>
        </w:rPr>
        <w:t>Deputy Chief took between March 5 and March 25 to update the records, noting that it only took about 16.5 hours to "get the folders done and inspection ready</w:t>
      </w:r>
      <w:r>
        <w:rPr>
          <w:rFonts w:ascii="Times New Roman" w:hAnsi="Times New Roman"/>
          <w:sz w:val="24"/>
          <w:szCs w:val="24"/>
        </w:rPr>
        <w:t>.</w:t>
      </w:r>
      <w:r w:rsidRPr="00FB6C77">
        <w:rPr>
          <w:rFonts w:ascii="Times New Roman" w:hAnsi="Times New Roman"/>
          <w:sz w:val="24"/>
          <w:szCs w:val="24"/>
        </w:rPr>
        <w:t xml:space="preserve">" </w:t>
      </w:r>
      <w:r>
        <w:rPr>
          <w:rFonts w:ascii="Times New Roman" w:hAnsi="Times New Roman"/>
          <w:sz w:val="24"/>
          <w:szCs w:val="24"/>
        </w:rPr>
        <w:t xml:space="preserve"> </w:t>
      </w:r>
      <w:hyperlink r:id="rId2637" w:history="1">
        <w:r w:rsidRPr="00D45A3B">
          <w:rPr>
            <w:rStyle w:val="Hyperlink"/>
            <w:rFonts w:ascii="Times New Roman" w:hAnsi="Times New Roman"/>
            <w:sz w:val="24"/>
            <w:szCs w:val="24"/>
          </w:rPr>
          <w:t>https://law.justia.com/cases/federal/appellate-courts/cafc/20-2147/20-2147-2022-04-18.html</w:t>
        </w:r>
      </w:hyperlink>
    </w:p>
    <w:p w14:paraId="64E70D9F" w14:textId="0F026F85" w:rsidR="00BA51CC" w:rsidRDefault="00BA51CC" w:rsidP="00BA51CC">
      <w:pPr>
        <w:pStyle w:val="NoSpacing"/>
        <w:rPr>
          <w:rStyle w:val="Hyperlink"/>
          <w:rFonts w:ascii="Times New Roman" w:hAnsi="Times New Roman"/>
          <w:sz w:val="24"/>
          <w:szCs w:val="24"/>
        </w:rPr>
      </w:pPr>
    </w:p>
    <w:p w14:paraId="361806C7" w14:textId="77777777" w:rsidR="00BA51CC" w:rsidRPr="00C30B2C" w:rsidRDefault="00BA51CC" w:rsidP="00BA51CC">
      <w:pPr>
        <w:pStyle w:val="NormalWeb"/>
        <w:rPr>
          <w:b/>
          <w:bCs/>
        </w:rPr>
      </w:pPr>
      <w:r w:rsidRPr="00C30B2C">
        <w:rPr>
          <w:b/>
          <w:bCs/>
        </w:rPr>
        <w:t>Legal Lesson Learned:</w:t>
      </w:r>
      <w:r>
        <w:rPr>
          <w:b/>
          <w:bCs/>
        </w:rPr>
        <w:t xml:space="preserve"> “Whistleblower” claims can be defeated with detailed records proving refusal to follow orders. </w:t>
      </w:r>
    </w:p>
    <w:p w14:paraId="6B7D043A" w14:textId="77777777" w:rsidR="00BA51CC" w:rsidRDefault="00BA51CC" w:rsidP="00BA51CC">
      <w:pPr>
        <w:pStyle w:val="NoSpacing"/>
        <w:rPr>
          <w:rFonts w:ascii="Arial Black" w:hAnsi="Arial Black"/>
          <w:sz w:val="24"/>
          <w:szCs w:val="24"/>
        </w:rPr>
      </w:pPr>
    </w:p>
    <w:p w14:paraId="1762BAE3" w14:textId="77777777" w:rsidR="00BA51CC" w:rsidRDefault="00BA51CC" w:rsidP="00F326E5">
      <w:pPr>
        <w:pStyle w:val="NoSpacing"/>
        <w:rPr>
          <w:rFonts w:ascii="Arial Black" w:hAnsi="Arial Black"/>
          <w:sz w:val="24"/>
          <w:szCs w:val="24"/>
        </w:rPr>
      </w:pPr>
    </w:p>
    <w:p w14:paraId="52FF0F29" w14:textId="52EADE65" w:rsidR="007F5C26" w:rsidRDefault="007F5C26" w:rsidP="00F326E5">
      <w:pPr>
        <w:pStyle w:val="NoSpacing"/>
        <w:rPr>
          <w:rFonts w:ascii="Arial Black" w:hAnsi="Arial Black"/>
          <w:sz w:val="24"/>
          <w:szCs w:val="24"/>
        </w:rPr>
      </w:pPr>
      <w:r>
        <w:rPr>
          <w:rFonts w:ascii="Arial Black" w:hAnsi="Arial Black"/>
          <w:sz w:val="24"/>
          <w:szCs w:val="24"/>
        </w:rPr>
        <w:t>16-65 [also filed, Chap. 17]</w:t>
      </w:r>
    </w:p>
    <w:p w14:paraId="023E3E9D" w14:textId="77777777" w:rsidR="007F5C26" w:rsidRDefault="007F5C26" w:rsidP="007F5C2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ARBITRATOR MAY REDUCE PENALTY – NEW SHIFT RELIEF - ASSISTANT CHIEF’S LOSS PAY OVERTURNED</w:t>
      </w:r>
    </w:p>
    <w:p w14:paraId="28F4C635" w14:textId="77777777" w:rsidR="007F5C26" w:rsidRPr="00AA2A35" w:rsidRDefault="007F5C26" w:rsidP="007F5C26">
      <w:pPr>
        <w:spacing w:before="100" w:beforeAutospacing="1" w:after="100" w:afterAutospacing="1" w:line="240" w:lineRule="auto"/>
        <w:rPr>
          <w:rFonts w:ascii="Times New Roman" w:eastAsia="Times New Roman" w:hAnsi="Times New Roman"/>
          <w:sz w:val="24"/>
          <w:szCs w:val="24"/>
        </w:rPr>
      </w:pPr>
      <w:r w:rsidRPr="00AA2A35">
        <w:rPr>
          <w:rFonts w:ascii="Times New Roman" w:hAnsi="Times New Roman"/>
          <w:sz w:val="24"/>
          <w:szCs w:val="24"/>
        </w:rPr>
        <w:t xml:space="preserve">On March 17, 2022, in </w:t>
      </w:r>
      <w:r w:rsidRPr="00AA2A35">
        <w:rPr>
          <w:rFonts w:ascii="Times New Roman" w:hAnsi="Times New Roman"/>
          <w:sz w:val="24"/>
          <w:szCs w:val="24"/>
          <w:u w:val="single"/>
        </w:rPr>
        <w:t>Association of Cleveland Fire Fighters, Local 93 v. City of Cleveland</w:t>
      </w:r>
      <w:r w:rsidRPr="00AA2A35">
        <w:rPr>
          <w:rFonts w:ascii="Times New Roman" w:hAnsi="Times New Roman"/>
          <w:sz w:val="24"/>
          <w:szCs w:val="24"/>
        </w:rPr>
        <w:t>, the Court of Appeals of Ohio, 8</w:t>
      </w:r>
      <w:r w:rsidRPr="00AA2A35">
        <w:rPr>
          <w:rFonts w:ascii="Times New Roman" w:hAnsi="Times New Roman"/>
          <w:sz w:val="24"/>
          <w:szCs w:val="24"/>
          <w:vertAlign w:val="superscript"/>
        </w:rPr>
        <w:t>th</w:t>
      </w:r>
      <w:r w:rsidRPr="00AA2A35">
        <w:rPr>
          <w:rFonts w:ascii="Times New Roman" w:hAnsi="Times New Roman"/>
          <w:sz w:val="24"/>
          <w:szCs w:val="24"/>
        </w:rPr>
        <w:t xml:space="preserve"> District (Cuyahoga County), held (3 to 0) that a Common Pleas judge improperly set aside the arbitrator’s award which found the charge of “gross insubordination” by Assistant Fire Chief was not proven, but the facts supported a “conduct unbecoming” charge. The Assistant Fire Chief was charged with 16 charges for trying to get the vacationing Fire Chief to overturn Acting Fire Chiefs order to follow the new shift relief procedure (to save overtime money, when the incoming Assistant Chief called off, he can only be replaced by on duty officer of lesser rank).  The arbitrator had authority to vacate the most serious charge of “gross insubordination” and the 24-hour suspension, and to direct the FD to change in his personnel file with an official reprimand for one of the lesser charges, “conduct unbecoming an employee in the public service,” with no loss of wages. </w:t>
      </w:r>
      <w:hyperlink r:id="rId2638" w:history="1">
        <w:r w:rsidRPr="00AA2A35">
          <w:rPr>
            <w:rStyle w:val="Hyperlink"/>
            <w:rFonts w:ascii="Times New Roman" w:eastAsia="Times New Roman" w:hAnsi="Times New Roman"/>
            <w:sz w:val="24"/>
            <w:szCs w:val="24"/>
          </w:rPr>
          <w:t>https://www.supremecourt.ohio.gov/rod/docs/pdf/8/2022/2022-Ohio-824.pdf</w:t>
        </w:r>
      </w:hyperlink>
      <w:r w:rsidRPr="00AA2A35">
        <w:rPr>
          <w:rFonts w:ascii="Times New Roman" w:eastAsia="Times New Roman" w:hAnsi="Times New Roman"/>
          <w:sz w:val="24"/>
          <w:szCs w:val="24"/>
        </w:rPr>
        <w:t xml:space="preserve"> </w:t>
      </w:r>
    </w:p>
    <w:p w14:paraId="5164A96F" w14:textId="77777777" w:rsidR="007F5C26" w:rsidRPr="00892AD5" w:rsidRDefault="007F5C26" w:rsidP="007F5C2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892AD5">
        <w:rPr>
          <w:rFonts w:ascii="Times New Roman" w:eastAsia="Times New Roman" w:hAnsi="Times New Roman"/>
          <w:sz w:val="24"/>
          <w:szCs w:val="24"/>
        </w:rPr>
        <w:t xml:space="preserve">In focusing solely on the question of gross insubordination, the Union disregards the fact that the parties stipulated to </w:t>
      </w:r>
      <w:r w:rsidRPr="00892AD5">
        <w:rPr>
          <w:rFonts w:ascii="Times New Roman" w:eastAsia="Times New Roman" w:hAnsi="Times New Roman"/>
          <w:i/>
          <w:iCs/>
          <w:sz w:val="24"/>
          <w:szCs w:val="24"/>
        </w:rPr>
        <w:t>two</w:t>
      </w:r>
      <w:r w:rsidRPr="00892AD5">
        <w:rPr>
          <w:rFonts w:ascii="Times New Roman" w:eastAsia="Times New Roman" w:hAnsi="Times New Roman"/>
          <w:sz w:val="24"/>
          <w:szCs w:val="24"/>
        </w:rPr>
        <w:t xml:space="preserve"> questions before submitting the matter to arbitration. The first question was whether the city had just cause to suspend </w:t>
      </w:r>
      <w:proofErr w:type="spellStart"/>
      <w:r w:rsidRPr="00892AD5">
        <w:rPr>
          <w:rFonts w:ascii="Times New Roman" w:eastAsia="Times New Roman" w:hAnsi="Times New Roman"/>
          <w:sz w:val="24"/>
          <w:szCs w:val="24"/>
        </w:rPr>
        <w:t>Viancourt</w:t>
      </w:r>
      <w:proofErr w:type="spellEnd"/>
      <w:r w:rsidRPr="00892AD5">
        <w:rPr>
          <w:rFonts w:ascii="Times New Roman" w:eastAsia="Times New Roman" w:hAnsi="Times New Roman"/>
          <w:sz w:val="24"/>
          <w:szCs w:val="24"/>
        </w:rPr>
        <w:t xml:space="preserve"> for a day and issue him an official reprimand. The question of just cause was not confined to "gross insubordination." Rather, the question concerned whether the city had just </w:t>
      </w:r>
      <w:proofErr w:type="gramStart"/>
      <w:r w:rsidRPr="00892AD5">
        <w:rPr>
          <w:rFonts w:ascii="Times New Roman" w:eastAsia="Times New Roman" w:hAnsi="Times New Roman"/>
          <w:sz w:val="24"/>
          <w:szCs w:val="24"/>
        </w:rPr>
        <w:t>cause</w:t>
      </w:r>
      <w:proofErr w:type="gramEnd"/>
      <w:r w:rsidRPr="00892AD5">
        <w:rPr>
          <w:rFonts w:ascii="Times New Roman" w:eastAsia="Times New Roman" w:hAnsi="Times New Roman"/>
          <w:sz w:val="24"/>
          <w:szCs w:val="24"/>
        </w:rPr>
        <w:t xml:space="preserve"> discipline </w:t>
      </w:r>
      <w:proofErr w:type="spellStart"/>
      <w:r w:rsidRPr="00892AD5">
        <w:rPr>
          <w:rFonts w:ascii="Times New Roman" w:eastAsia="Times New Roman" w:hAnsi="Times New Roman"/>
          <w:sz w:val="24"/>
          <w:szCs w:val="24"/>
        </w:rPr>
        <w:t>Viancourt</w:t>
      </w:r>
      <w:proofErr w:type="spellEnd"/>
      <w:r w:rsidRPr="00892AD5">
        <w:rPr>
          <w:rFonts w:ascii="Times New Roman" w:eastAsia="Times New Roman" w:hAnsi="Times New Roman"/>
          <w:sz w:val="24"/>
          <w:szCs w:val="24"/>
        </w:rPr>
        <w:t xml:space="preserve"> for his conduct. </w:t>
      </w:r>
    </w:p>
    <w:p w14:paraId="1DC4F16D" w14:textId="77777777" w:rsidR="007F5C26" w:rsidRDefault="007F5C26" w:rsidP="007F5C2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p>
    <w:p w14:paraId="15D36C6B" w14:textId="276E9DDE" w:rsidR="007F5C26" w:rsidRDefault="007F5C26" w:rsidP="007F5C26">
      <w:pPr>
        <w:pStyle w:val="NoSpacing"/>
        <w:rPr>
          <w:rFonts w:ascii="Arial Black" w:hAnsi="Arial Black"/>
          <w:sz w:val="24"/>
          <w:szCs w:val="24"/>
        </w:rPr>
      </w:pPr>
      <w:r w:rsidRPr="0091695D">
        <w:rPr>
          <w:rFonts w:ascii="Times New Roman" w:hAnsi="Times New Roman"/>
          <w:sz w:val="24"/>
          <w:szCs w:val="24"/>
        </w:rPr>
        <w:t xml:space="preserve">The Union nevertheless maintains that the arbitrator exceeded his powers by creating a new charge not submitted to arbitration and issuing a penalty based on that charge. The charge of conduct unbecoming was not expressly submitted to arbitration in the parties' stipulated questions, but neither were the charges of gross insubordination or insubordination expressly submitted to arbitration. The questions to which the parties stipulated focused on remedies: the penalties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had received for his conduct and, if these penalties were unjustified, the penalty the arbitrator determined that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should receive for his conduct. The Union's claim that the arbitrator created a new charge by finding that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engaged in conduct unbecoming is not supported by the record.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was charged with 16 violations, which included the charge of conduct unbecoming. The Union's claim that any penalty based on that charge was improper is also not supported by the record because conduct unbecoming is punishable by official reprimand. The arbitrator's leaving this penalty intact is consistent with the discipline </w:t>
      </w:r>
      <w:proofErr w:type="gramStart"/>
      <w:r w:rsidRPr="0091695D">
        <w:rPr>
          <w:rFonts w:ascii="Times New Roman" w:hAnsi="Times New Roman"/>
          <w:sz w:val="24"/>
          <w:szCs w:val="24"/>
        </w:rPr>
        <w:t>guide.</w:t>
      </w:r>
      <w:r>
        <w:rPr>
          <w:rFonts w:ascii="Times New Roman" w:hAnsi="Times New Roman"/>
          <w:sz w:val="24"/>
          <w:szCs w:val="24"/>
        </w:rPr>
        <w:t>”</w:t>
      </w:r>
      <w:proofErr w:type="gramEnd"/>
      <w:r>
        <w:rPr>
          <w:rFonts w:ascii="Times New Roman" w:hAnsi="Times New Roman"/>
          <w:sz w:val="24"/>
          <w:szCs w:val="24"/>
        </w:rPr>
        <w:t xml:space="preserve"> </w:t>
      </w:r>
      <w:hyperlink r:id="rId2639" w:history="1">
        <w:r w:rsidRPr="0083693C">
          <w:rPr>
            <w:rStyle w:val="Hyperlink"/>
            <w:rFonts w:ascii="Times New Roman" w:eastAsia="Times New Roman" w:hAnsi="Times New Roman"/>
            <w:sz w:val="24"/>
            <w:szCs w:val="24"/>
          </w:rPr>
          <w:t>https://www.supremecourt.ohio.gov/rod/docs/pdf/8/2022/2022-Ohio-824.pdf</w:t>
        </w:r>
      </w:hyperlink>
    </w:p>
    <w:p w14:paraId="6DF075C2" w14:textId="77777777" w:rsidR="007F5C26" w:rsidRDefault="007F5C26" w:rsidP="00F326E5">
      <w:pPr>
        <w:pStyle w:val="NoSpacing"/>
        <w:rPr>
          <w:rFonts w:ascii="Arial Black" w:hAnsi="Arial Black"/>
          <w:sz w:val="24"/>
          <w:szCs w:val="24"/>
        </w:rPr>
      </w:pPr>
    </w:p>
    <w:p w14:paraId="4239BE0F" w14:textId="77777777" w:rsidR="007F5C26" w:rsidRPr="00FE655C" w:rsidRDefault="007F5C26" w:rsidP="007F5C26">
      <w:pPr>
        <w:spacing w:before="100" w:beforeAutospacing="1" w:after="100" w:afterAutospacing="1" w:line="240" w:lineRule="auto"/>
        <w:rPr>
          <w:rFonts w:ascii="Times New Roman" w:eastAsia="Times New Roman" w:hAnsi="Times New Roman"/>
          <w:b/>
          <w:bCs/>
          <w:sz w:val="24"/>
          <w:szCs w:val="24"/>
        </w:rPr>
      </w:pPr>
      <w:r w:rsidRPr="00FE655C">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When submitting a disciplinary matter to arbitration, be very careful in the questions being submitted to the arbitrator. </w:t>
      </w:r>
    </w:p>
    <w:p w14:paraId="57AAB599" w14:textId="77777777" w:rsidR="007F5C26" w:rsidRDefault="007F5C26" w:rsidP="00F326E5">
      <w:pPr>
        <w:pStyle w:val="NoSpacing"/>
        <w:rPr>
          <w:rFonts w:ascii="Arial Black" w:hAnsi="Arial Black"/>
          <w:sz w:val="24"/>
          <w:szCs w:val="24"/>
        </w:rPr>
      </w:pPr>
    </w:p>
    <w:p w14:paraId="12BEE6AE" w14:textId="77777777" w:rsidR="007F5C26" w:rsidRDefault="007F5C26" w:rsidP="00F326E5">
      <w:pPr>
        <w:pStyle w:val="NoSpacing"/>
        <w:rPr>
          <w:rFonts w:ascii="Arial Black" w:hAnsi="Arial Black"/>
          <w:sz w:val="24"/>
          <w:szCs w:val="24"/>
        </w:rPr>
      </w:pPr>
    </w:p>
    <w:p w14:paraId="7C7F8807" w14:textId="77777777" w:rsidR="007F5C26" w:rsidRDefault="007F5C26" w:rsidP="00F326E5">
      <w:pPr>
        <w:pStyle w:val="NoSpacing"/>
        <w:rPr>
          <w:rFonts w:ascii="Arial Black" w:hAnsi="Arial Black"/>
          <w:sz w:val="24"/>
          <w:szCs w:val="24"/>
        </w:rPr>
      </w:pPr>
    </w:p>
    <w:p w14:paraId="62E9487A" w14:textId="77777777" w:rsidR="007F5C26" w:rsidRDefault="007F5C26" w:rsidP="00F326E5">
      <w:pPr>
        <w:pStyle w:val="NoSpacing"/>
        <w:rPr>
          <w:rFonts w:ascii="Arial Black" w:hAnsi="Arial Black"/>
          <w:sz w:val="24"/>
          <w:szCs w:val="24"/>
        </w:rPr>
      </w:pPr>
    </w:p>
    <w:p w14:paraId="31CDE0E7" w14:textId="77777777" w:rsidR="007F5C26" w:rsidRDefault="007F5C26" w:rsidP="00F326E5">
      <w:pPr>
        <w:pStyle w:val="NoSpacing"/>
        <w:rPr>
          <w:rFonts w:ascii="Arial Black" w:hAnsi="Arial Black"/>
          <w:sz w:val="24"/>
          <w:szCs w:val="24"/>
        </w:rPr>
      </w:pPr>
    </w:p>
    <w:p w14:paraId="35D884B2" w14:textId="2A8E57DF" w:rsidR="00680939" w:rsidRPr="007F5C26" w:rsidRDefault="00680939" w:rsidP="00F326E5">
      <w:pPr>
        <w:pStyle w:val="NoSpacing"/>
        <w:rPr>
          <w:rFonts w:ascii="Times New Roman" w:hAnsi="Times New Roman"/>
          <w:b/>
          <w:bCs/>
          <w:sz w:val="24"/>
          <w:szCs w:val="24"/>
        </w:rPr>
      </w:pPr>
      <w:r>
        <w:rPr>
          <w:rFonts w:ascii="Arial Black" w:hAnsi="Arial Black"/>
          <w:sz w:val="24"/>
          <w:szCs w:val="24"/>
        </w:rPr>
        <w:t>16-64</w:t>
      </w:r>
      <w:r w:rsidR="00D55139">
        <w:rPr>
          <w:rFonts w:ascii="Arial Black" w:hAnsi="Arial Black"/>
          <w:sz w:val="24"/>
          <w:szCs w:val="24"/>
        </w:rPr>
        <w:t xml:space="preserve"> </w:t>
      </w:r>
      <w:r w:rsidR="00D55139" w:rsidRPr="007F5C26">
        <w:rPr>
          <w:rFonts w:ascii="Times New Roman" w:hAnsi="Times New Roman"/>
          <w:b/>
          <w:bCs/>
          <w:sz w:val="24"/>
          <w:szCs w:val="24"/>
        </w:rPr>
        <w:t>[also filed, Chap. 13]</w:t>
      </w:r>
    </w:p>
    <w:p w14:paraId="467CA0E1" w14:textId="77777777" w:rsidR="00680939" w:rsidRPr="006C2163" w:rsidRDefault="00680939" w:rsidP="0068093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 xml:space="preserve">DE: PARAMEDIC LICENSE SUSPENDED – PLED GUILTY - </w:t>
      </w:r>
      <w:r w:rsidRPr="006C2163">
        <w:rPr>
          <w:rFonts w:ascii="Arial Black" w:eastAsia="Times New Roman" w:hAnsi="Arial Black"/>
          <w:sz w:val="28"/>
          <w:szCs w:val="28"/>
        </w:rPr>
        <w:t>T</w:t>
      </w:r>
      <w:r>
        <w:rPr>
          <w:rFonts w:ascii="Arial Black" w:eastAsia="Times New Roman" w:hAnsi="Arial Black"/>
          <w:sz w:val="28"/>
          <w:szCs w:val="28"/>
        </w:rPr>
        <w:t xml:space="preserve">RESPASS INTENT PEER (PEERING ON SEPERATED WIFE) </w:t>
      </w:r>
    </w:p>
    <w:p w14:paraId="3634B207" w14:textId="77777777" w:rsidR="00680939" w:rsidRDefault="00680939" w:rsidP="00680939">
      <w:pPr>
        <w:spacing w:before="100" w:beforeAutospacing="1" w:after="100" w:afterAutospacing="1" w:line="240" w:lineRule="auto"/>
        <w:rPr>
          <w:rFonts w:ascii="Times New Roman" w:eastAsia="Times New Roman" w:hAnsi="Times New Roman"/>
          <w:sz w:val="24"/>
          <w:szCs w:val="24"/>
        </w:rPr>
      </w:pPr>
      <w:r w:rsidRPr="00280A60">
        <w:rPr>
          <w:rFonts w:ascii="Times New Roman" w:eastAsia="Times New Roman" w:hAnsi="Times New Roman"/>
          <w:sz w:val="24"/>
          <w:szCs w:val="24"/>
        </w:rPr>
        <w:t xml:space="preserve">On </w:t>
      </w:r>
      <w:r>
        <w:rPr>
          <w:rFonts w:ascii="Times New Roman" w:eastAsia="Times New Roman" w:hAnsi="Times New Roman"/>
          <w:sz w:val="24"/>
          <w:szCs w:val="24"/>
        </w:rPr>
        <w:t xml:space="preserve">Jan. 26, 2022, in </w:t>
      </w:r>
      <w:r w:rsidRPr="00280A60">
        <w:rPr>
          <w:rFonts w:ascii="Times New Roman" w:eastAsia="Times New Roman" w:hAnsi="Times New Roman"/>
          <w:sz w:val="24"/>
          <w:szCs w:val="24"/>
          <w:u w:val="single"/>
        </w:rPr>
        <w:t xml:space="preserve">Kevin Imhoff v. Delaware Board of Medical Licensure </w:t>
      </w:r>
      <w:r>
        <w:rPr>
          <w:rFonts w:ascii="Times New Roman" w:eastAsia="Times New Roman" w:hAnsi="Times New Roman"/>
          <w:sz w:val="24"/>
          <w:szCs w:val="24"/>
          <w:u w:val="single"/>
        </w:rPr>
        <w:t>a</w:t>
      </w:r>
      <w:r w:rsidRPr="00280A60">
        <w:rPr>
          <w:rFonts w:ascii="Times New Roman" w:eastAsia="Times New Roman" w:hAnsi="Times New Roman"/>
          <w:sz w:val="24"/>
          <w:szCs w:val="24"/>
          <w:u w:val="single"/>
        </w:rPr>
        <w:t>nd Discipline</w:t>
      </w:r>
      <w:r>
        <w:rPr>
          <w:rFonts w:ascii="Times New Roman" w:eastAsia="Times New Roman" w:hAnsi="Times New Roman"/>
          <w:sz w:val="24"/>
          <w:szCs w:val="24"/>
        </w:rPr>
        <w:t xml:space="preserve">, Judge Noel Primos of the he Superior Court of Delaware upheld the suspension of the paramedic’s license but remanded to case for Board to possibly reduce the 2-year suspension for failure to timely report his plea of guilty. In September 2019 he pled guilty to Criminal Mischief, Violation of Privacy, and Trespass with Intent to Peer or Peep, but didn’t report this within 30 days to the Board (apparently on bad advice of his criminal defense attorney).  In May 2020, when renewing his license, he reported the convictions. </w:t>
      </w:r>
      <w:hyperlink r:id="rId2640" w:history="1">
        <w:r w:rsidRPr="00A83547">
          <w:rPr>
            <w:rStyle w:val="Hyperlink"/>
            <w:rFonts w:ascii="Times New Roman" w:hAnsi="Times New Roman"/>
            <w:sz w:val="24"/>
            <w:szCs w:val="24"/>
          </w:rPr>
          <w:t>https://casetext.com/case/imhof-v-del-bd-of-med-licensure-discipline</w:t>
        </w:r>
      </w:hyperlink>
    </w:p>
    <w:p w14:paraId="1910E0BE" w14:textId="77777777" w:rsidR="00680939" w:rsidRPr="007B6144" w:rsidRDefault="00680939" w:rsidP="00680939">
      <w:pPr>
        <w:spacing w:before="100" w:beforeAutospacing="1" w:after="100" w:afterAutospacing="1" w:line="240" w:lineRule="auto"/>
        <w:jc w:val="both"/>
        <w:rPr>
          <w:rStyle w:val="markedcontent"/>
          <w:rFonts w:ascii="Times New Roman" w:hAnsi="Times New Roman"/>
          <w:b/>
          <w:bCs/>
          <w:sz w:val="24"/>
          <w:szCs w:val="24"/>
        </w:rPr>
      </w:pPr>
      <w:r w:rsidRPr="007B6144">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Criminal misconduct can lead to suspension of EMS license.</w:t>
      </w:r>
    </w:p>
    <w:p w14:paraId="0A6E59ED" w14:textId="77777777" w:rsidR="00680939" w:rsidRDefault="00680939" w:rsidP="00F326E5">
      <w:pPr>
        <w:pStyle w:val="NoSpacing"/>
        <w:rPr>
          <w:rFonts w:ascii="Arial Black" w:hAnsi="Arial Black"/>
          <w:sz w:val="24"/>
          <w:szCs w:val="24"/>
        </w:rPr>
      </w:pPr>
    </w:p>
    <w:p w14:paraId="72A29ABB" w14:textId="77777777" w:rsidR="00680939" w:rsidRDefault="00680939" w:rsidP="00F326E5">
      <w:pPr>
        <w:pStyle w:val="NoSpacing"/>
        <w:rPr>
          <w:rFonts w:ascii="Arial Black" w:hAnsi="Arial Black"/>
          <w:sz w:val="24"/>
          <w:szCs w:val="24"/>
        </w:rPr>
      </w:pPr>
    </w:p>
    <w:p w14:paraId="7EEC580A" w14:textId="4E67793B" w:rsidR="00AC5DED" w:rsidRDefault="00AC5DED" w:rsidP="00F326E5">
      <w:pPr>
        <w:pStyle w:val="NoSpacing"/>
        <w:rPr>
          <w:rFonts w:ascii="Arial Black" w:hAnsi="Arial Black"/>
          <w:sz w:val="24"/>
          <w:szCs w:val="24"/>
        </w:rPr>
      </w:pPr>
      <w:r>
        <w:rPr>
          <w:rFonts w:ascii="Arial Black" w:hAnsi="Arial Black"/>
          <w:sz w:val="24"/>
          <w:szCs w:val="24"/>
        </w:rPr>
        <w:t>16-63</w:t>
      </w:r>
    </w:p>
    <w:p w14:paraId="459B6371" w14:textId="77777777" w:rsidR="00AC5DED" w:rsidRPr="007A29B7" w:rsidRDefault="00AC5DED" w:rsidP="00AC5DED">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IL: RESIDENCY - FF FIRED - 3 YRS RENTED HOUSE IN VILLAGE TO TENANTS – DENIED UNEMPLOYMENT</w:t>
      </w:r>
    </w:p>
    <w:p w14:paraId="7542CC06" w14:textId="77777777" w:rsidR="00AC5DED" w:rsidRDefault="00AC5DED" w:rsidP="00AC5DE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Dec. 23, 2021, in </w:t>
      </w:r>
      <w:r w:rsidRPr="00CD0344">
        <w:rPr>
          <w:rFonts w:ascii="Times New Roman" w:eastAsia="Times New Roman" w:hAnsi="Times New Roman"/>
          <w:sz w:val="24"/>
          <w:szCs w:val="24"/>
          <w:u w:val="single"/>
        </w:rPr>
        <w:t>John Cannici v. The Department of Employment Security Board of Review</w:t>
      </w:r>
      <w:r>
        <w:rPr>
          <w:rFonts w:ascii="Times New Roman" w:eastAsia="Times New Roman" w:hAnsi="Times New Roman"/>
          <w:sz w:val="24"/>
          <w:szCs w:val="24"/>
        </w:rPr>
        <w:t xml:space="preserve">, the Court of Appeals of Illinois, First District, held (3 to 0) that the firefighter was properly denied unemployment benefits since he was fired for failure to reside in the Village. </w:t>
      </w:r>
    </w:p>
    <w:p w14:paraId="5EF3AF5D" w14:textId="1E9A0A8D" w:rsidR="00AC5DED" w:rsidRDefault="00AC5DED" w:rsidP="00AC5DED">
      <w:pPr>
        <w:pStyle w:val="NoSpacing"/>
        <w:ind w:left="720"/>
        <w:rPr>
          <w:rFonts w:ascii="Arial Black" w:hAnsi="Arial Black"/>
          <w:sz w:val="24"/>
          <w:szCs w:val="24"/>
        </w:rPr>
      </w:pPr>
      <w:r>
        <w:rPr>
          <w:rFonts w:ascii="Times New Roman" w:hAnsi="Times New Roman"/>
          <w:sz w:val="24"/>
          <w:szCs w:val="24"/>
        </w:rPr>
        <w:t>“</w:t>
      </w:r>
      <w:r w:rsidRPr="007A29B7">
        <w:rPr>
          <w:rFonts w:ascii="Times New Roman" w:hAnsi="Times New Roman"/>
          <w:sz w:val="24"/>
          <w:szCs w:val="24"/>
        </w:rPr>
        <w:t xml:space="preserve">The Board's finding that Cannici resided in Orland Park was not against the manifest weight of the evidence because the undisputed evidence showed that, from June 2013 to June 2016, he occupied his house in Orland Park with his family as his principal residence and abode. During those three years, he never slept at the village house, which was occupied by tenants. Although Cannici stored some belongings there, paid the taxes and utilities, and continued to use it as his mailing address, there was no evidence that he </w:t>
      </w:r>
      <w:proofErr w:type="gramStart"/>
      <w:r w:rsidRPr="007A29B7">
        <w:rPr>
          <w:rFonts w:ascii="Times New Roman" w:hAnsi="Times New Roman"/>
          <w:sz w:val="24"/>
          <w:szCs w:val="24"/>
        </w:rPr>
        <w:t>actually did</w:t>
      </w:r>
      <w:proofErr w:type="gramEnd"/>
      <w:r w:rsidRPr="007A29B7">
        <w:rPr>
          <w:rFonts w:ascii="Times New Roman" w:hAnsi="Times New Roman"/>
          <w:sz w:val="24"/>
          <w:szCs w:val="24"/>
        </w:rPr>
        <w:t xml:space="preserve"> anything at his village house other than retrieve his mail from his tenants. He was not that house's resident, as defined in the Village's Code. He was its landlord.</w:t>
      </w:r>
      <w:r>
        <w:rPr>
          <w:rFonts w:ascii="Times New Roman" w:hAnsi="Times New Roman"/>
          <w:sz w:val="24"/>
          <w:szCs w:val="24"/>
        </w:rPr>
        <w:t xml:space="preserve">” </w:t>
      </w:r>
      <w:hyperlink r:id="rId2641" w:history="1">
        <w:r w:rsidRPr="00EC5853">
          <w:rPr>
            <w:rStyle w:val="Hyperlink"/>
            <w:rFonts w:ascii="Times New Roman" w:hAnsi="Times New Roman"/>
            <w:sz w:val="24"/>
            <w:szCs w:val="24"/>
          </w:rPr>
          <w:t>https://ilcourtsaudio.blob.core.windows.net/antilles-resources/resources/1d563ea4-a3fa-4fb5-af89-419baa2c8f0f/Cannici%20v.%20Dept%20of%20Employment%20Security%20Board%20of%20Review,%202021%20IL%20App%20(1st)%20181562.pdf</w:t>
        </w:r>
      </w:hyperlink>
    </w:p>
    <w:p w14:paraId="431E30B4" w14:textId="77777777" w:rsidR="00AC5DED" w:rsidRDefault="00AC5DED" w:rsidP="00F326E5">
      <w:pPr>
        <w:pStyle w:val="NoSpacing"/>
        <w:rPr>
          <w:rFonts w:ascii="Arial Black" w:hAnsi="Arial Black"/>
          <w:sz w:val="24"/>
          <w:szCs w:val="24"/>
        </w:rPr>
      </w:pPr>
    </w:p>
    <w:p w14:paraId="08DB5793" w14:textId="77777777" w:rsidR="00AC5DED" w:rsidRDefault="00AC5DED" w:rsidP="00AC5DED">
      <w:pPr>
        <w:spacing w:before="100" w:beforeAutospacing="1" w:after="100" w:afterAutospacing="1" w:line="240" w:lineRule="auto"/>
        <w:rPr>
          <w:rFonts w:ascii="Times New Roman" w:hAnsi="Times New Roman"/>
          <w:b/>
          <w:bCs/>
          <w:sz w:val="24"/>
          <w:szCs w:val="24"/>
        </w:rPr>
      </w:pPr>
      <w:r w:rsidRPr="00E72BFB">
        <w:rPr>
          <w:rFonts w:ascii="Times New Roman" w:hAnsi="Times New Roman"/>
          <w:b/>
          <w:bCs/>
          <w:sz w:val="24"/>
          <w:szCs w:val="24"/>
        </w:rPr>
        <w:t>Legal Lesson Learned:</w:t>
      </w:r>
      <w:r>
        <w:rPr>
          <w:rFonts w:ascii="Times New Roman" w:hAnsi="Times New Roman"/>
          <w:b/>
          <w:bCs/>
          <w:sz w:val="24"/>
          <w:szCs w:val="24"/>
        </w:rPr>
        <w:t xml:space="preserve"> The Village residency requirement was clear. </w:t>
      </w:r>
    </w:p>
    <w:p w14:paraId="61BB4744" w14:textId="77777777" w:rsidR="00AC5DED" w:rsidRPr="002F6E14" w:rsidRDefault="00AC5DED" w:rsidP="00AC5DED">
      <w:pPr>
        <w:spacing w:before="100" w:beforeAutospacing="1" w:after="100" w:afterAutospacing="1" w:line="240" w:lineRule="auto"/>
        <w:ind w:left="720"/>
        <w:rPr>
          <w:b/>
          <w:bCs/>
          <w:sz w:val="24"/>
          <w:szCs w:val="24"/>
        </w:rPr>
      </w:pPr>
      <w:r w:rsidRPr="004E2270">
        <w:rPr>
          <w:rFonts w:ascii="Times New Roman" w:hAnsi="Times New Roman"/>
          <w:sz w:val="24"/>
          <w:szCs w:val="24"/>
        </w:rPr>
        <w:t xml:space="preserve">Note:  </w:t>
      </w:r>
      <w:r>
        <w:rPr>
          <w:sz w:val="24"/>
          <w:szCs w:val="24"/>
        </w:rPr>
        <w:t xml:space="preserve">See another Court decision from </w:t>
      </w:r>
      <w:r w:rsidRPr="002F6E14">
        <w:rPr>
          <w:sz w:val="24"/>
          <w:szCs w:val="24"/>
        </w:rPr>
        <w:t>MA</w:t>
      </w:r>
      <w:r>
        <w:rPr>
          <w:sz w:val="24"/>
          <w:szCs w:val="24"/>
        </w:rPr>
        <w:t>: “</w:t>
      </w:r>
      <w:r w:rsidRPr="002F6E14">
        <w:rPr>
          <w:sz w:val="24"/>
          <w:szCs w:val="24"/>
        </w:rPr>
        <w:t>Judge: MA City Must Enforce Residency Rules</w:t>
      </w:r>
      <w:r>
        <w:rPr>
          <w:sz w:val="24"/>
          <w:szCs w:val="24"/>
        </w:rPr>
        <w:t>” (Dec. 31, 2021).</w:t>
      </w:r>
      <w:r w:rsidRPr="002F6E14">
        <w:rPr>
          <w:sz w:val="24"/>
          <w:szCs w:val="24"/>
        </w:rPr>
        <w:t xml:space="preserve"> </w:t>
      </w:r>
      <w:hyperlink r:id="rId2642" w:history="1">
        <w:r w:rsidRPr="00EC5853">
          <w:rPr>
            <w:rStyle w:val="Hyperlink"/>
            <w:sz w:val="24"/>
            <w:szCs w:val="24"/>
          </w:rPr>
          <w:t>https://www.firehouse.com/careers-education/news/21251649/judge-springfield-ma-city-must-enforce-residency-rules</w:t>
        </w:r>
      </w:hyperlink>
      <w:r>
        <w:rPr>
          <w:sz w:val="24"/>
          <w:szCs w:val="24"/>
        </w:rPr>
        <w:t xml:space="preserve"> </w:t>
      </w:r>
    </w:p>
    <w:p w14:paraId="68A9E3A0" w14:textId="77777777" w:rsidR="00AC5DED" w:rsidRDefault="00AC5DED" w:rsidP="00AC5DE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See also:  </w:t>
      </w:r>
      <w:r w:rsidRPr="004E2270">
        <w:rPr>
          <w:rFonts w:ascii="Times New Roman" w:hAnsi="Times New Roman"/>
          <w:sz w:val="24"/>
          <w:szCs w:val="24"/>
        </w:rPr>
        <w:t>The Ohio Supreme Court, in Lima v State, June 10, 2009, 2009-Ohio-2597, has held 5-2, that a state law prohibiting general residency requirements for public</w:t>
      </w:r>
      <w:r w:rsidRPr="004E2270">
        <w:rPr>
          <w:rFonts w:ascii="Times New Roman" w:hAnsi="Times New Roman"/>
          <w:sz w:val="24"/>
          <w:szCs w:val="24"/>
        </w:rPr>
        <w:br/>
        <w:t xml:space="preserve">employees is valid and supersedes local laws to the contrary. </w:t>
      </w:r>
      <w:hyperlink r:id="rId2643" w:history="1">
        <w:r w:rsidRPr="00EC5853">
          <w:rPr>
            <w:rStyle w:val="Hyperlink"/>
            <w:rFonts w:ascii="Times New Roman" w:hAnsi="Times New Roman"/>
            <w:sz w:val="24"/>
            <w:szCs w:val="24"/>
          </w:rPr>
          <w:t>https://www.supremecourt.ohio.gov/rod/docs/pdf/0/2009/2009-ohio-2597.pdf</w:t>
        </w:r>
      </w:hyperlink>
      <w:r>
        <w:rPr>
          <w:rFonts w:ascii="Times New Roman" w:hAnsi="Times New Roman"/>
          <w:sz w:val="24"/>
          <w:szCs w:val="24"/>
        </w:rPr>
        <w:t xml:space="preserve"> </w:t>
      </w:r>
    </w:p>
    <w:p w14:paraId="588E6EDA" w14:textId="77777777" w:rsidR="00AC5DED" w:rsidRPr="004E2270" w:rsidRDefault="00AC5DED" w:rsidP="00AC5DED">
      <w:pPr>
        <w:pStyle w:val="Heading1"/>
        <w:ind w:left="720"/>
        <w:rPr>
          <w:b w:val="0"/>
          <w:bCs w:val="0"/>
          <w:sz w:val="24"/>
          <w:szCs w:val="24"/>
        </w:rPr>
      </w:pPr>
      <w:r w:rsidRPr="004E2270">
        <w:rPr>
          <w:b w:val="0"/>
          <w:bCs w:val="0"/>
          <w:sz w:val="24"/>
          <w:szCs w:val="24"/>
        </w:rPr>
        <w:t>Ohio Revised Code 9.481, Residency requirements prohibited for certain employees</w:t>
      </w:r>
      <w:r>
        <w:rPr>
          <w:b w:val="0"/>
          <w:bCs w:val="0"/>
          <w:sz w:val="24"/>
          <w:szCs w:val="24"/>
        </w:rPr>
        <w:t xml:space="preserve">, includes following, </w:t>
      </w:r>
      <w:hyperlink r:id="rId2644" w:history="1">
        <w:r w:rsidRPr="00EC5853">
          <w:rPr>
            <w:rStyle w:val="Hyperlink"/>
            <w:b w:val="0"/>
            <w:bCs w:val="0"/>
            <w:sz w:val="24"/>
            <w:szCs w:val="24"/>
          </w:rPr>
          <w:t>https://codes.ohio.gov/ohio-revised-code/section-9.481</w:t>
        </w:r>
      </w:hyperlink>
      <w:r>
        <w:rPr>
          <w:b w:val="0"/>
          <w:bCs w:val="0"/>
          <w:sz w:val="24"/>
          <w:szCs w:val="24"/>
        </w:rPr>
        <w:t xml:space="preserve"> :</w:t>
      </w:r>
    </w:p>
    <w:p w14:paraId="6B3F9974" w14:textId="77777777" w:rsidR="00AC5DED" w:rsidRPr="006A3BFE" w:rsidRDefault="00AC5DED" w:rsidP="00AC5DED">
      <w:pPr>
        <w:spacing w:before="100" w:beforeAutospacing="1" w:after="100" w:afterAutospacing="1" w:line="240" w:lineRule="auto"/>
        <w:ind w:left="1440"/>
        <w:rPr>
          <w:rFonts w:ascii="Times New Roman" w:eastAsia="Times New Roman" w:hAnsi="Times New Roman"/>
          <w:sz w:val="24"/>
          <w:szCs w:val="24"/>
        </w:rPr>
      </w:pPr>
      <w:r>
        <w:rPr>
          <w:rFonts w:ascii="Times New Roman" w:hAnsi="Times New Roman"/>
          <w:sz w:val="24"/>
          <w:szCs w:val="24"/>
        </w:rPr>
        <w:t>(</w:t>
      </w:r>
      <w:r w:rsidRPr="004E2270">
        <w:rPr>
          <w:rFonts w:ascii="Times New Roman" w:hAnsi="Times New Roman"/>
          <w:sz w:val="24"/>
          <w:szCs w:val="24"/>
        </w:rPr>
        <w:t>b) To ensure adequate response times by certain employees of political subdivisions to emergencies or disasters while ensuring that those employees generally are free to reside throughout the state, the electors of any political subdivision may file an initiative petition to submit a local law to the electorate, or the legislative authority of the political subdivision may adopt an ordinance or resolution, that requires any individual employed by that political subdivision, as a condition of employment, to reside either in the county where the political subdivision is located or in any adjacent county in this state.</w:t>
      </w:r>
      <w:r>
        <w:rPr>
          <w:rFonts w:ascii="Times New Roman" w:hAnsi="Times New Roman"/>
          <w:sz w:val="24"/>
          <w:szCs w:val="24"/>
        </w:rPr>
        <w:t>”</w:t>
      </w:r>
    </w:p>
    <w:p w14:paraId="2B4B5F67" w14:textId="77777777" w:rsidR="00AC5DED" w:rsidRDefault="00AC5DED" w:rsidP="00F326E5">
      <w:pPr>
        <w:pStyle w:val="NoSpacing"/>
        <w:rPr>
          <w:rFonts w:ascii="Arial Black" w:hAnsi="Arial Black"/>
          <w:sz w:val="24"/>
          <w:szCs w:val="24"/>
        </w:rPr>
      </w:pPr>
    </w:p>
    <w:p w14:paraId="2B6CD2AF" w14:textId="77777777" w:rsidR="00AC5DED" w:rsidRDefault="00AC5DED" w:rsidP="00F326E5">
      <w:pPr>
        <w:pStyle w:val="NoSpacing"/>
        <w:rPr>
          <w:rFonts w:ascii="Arial Black" w:hAnsi="Arial Black"/>
          <w:sz w:val="24"/>
          <w:szCs w:val="24"/>
        </w:rPr>
      </w:pPr>
    </w:p>
    <w:p w14:paraId="770AB2F3" w14:textId="0597CBA9" w:rsidR="00AC5DED" w:rsidRDefault="00AC5DED" w:rsidP="00F326E5">
      <w:pPr>
        <w:pStyle w:val="NoSpacing"/>
        <w:rPr>
          <w:rFonts w:ascii="Arial Black" w:hAnsi="Arial Black"/>
          <w:sz w:val="24"/>
          <w:szCs w:val="24"/>
        </w:rPr>
      </w:pPr>
      <w:r>
        <w:rPr>
          <w:rFonts w:ascii="Arial Black" w:hAnsi="Arial Black"/>
          <w:sz w:val="24"/>
          <w:szCs w:val="24"/>
        </w:rPr>
        <w:t>16-62</w:t>
      </w:r>
    </w:p>
    <w:p w14:paraId="4C1A8F47" w14:textId="77777777" w:rsidR="00AC5DED" w:rsidRDefault="00AC5DED" w:rsidP="00AC5DED">
      <w:pPr>
        <w:spacing w:before="100" w:beforeAutospacing="1" w:after="100" w:afterAutospacing="1" w:line="240" w:lineRule="auto"/>
        <w:ind w:hanging="90"/>
        <w:rPr>
          <w:rFonts w:ascii="Arial Black" w:hAnsi="Arial Black"/>
          <w:sz w:val="28"/>
          <w:szCs w:val="28"/>
        </w:rPr>
      </w:pPr>
      <w:r>
        <w:rPr>
          <w:rFonts w:ascii="Arial Black" w:hAnsi="Arial Black"/>
          <w:sz w:val="28"/>
          <w:szCs w:val="28"/>
        </w:rPr>
        <w:t xml:space="preserve">VA: BC FIRED – ALSO SALESMAN FOR AMBULANCE CO –HELPED BUY COUNTY BRUSH TRUCK – NO RETALIATION </w:t>
      </w:r>
    </w:p>
    <w:p w14:paraId="31F7658B" w14:textId="77777777" w:rsidR="00AC5DED" w:rsidRPr="00537726" w:rsidRDefault="00AC5DED" w:rsidP="00AC5DE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22, 2021, in </w:t>
      </w:r>
      <w:r w:rsidRPr="00537726">
        <w:rPr>
          <w:rFonts w:ascii="Times New Roman" w:hAnsi="Times New Roman"/>
          <w:sz w:val="24"/>
          <w:szCs w:val="24"/>
          <w:u w:val="single"/>
        </w:rPr>
        <w:t>Clay O’Neal Fitzgerald v. Botetourt County, Virginia</w:t>
      </w:r>
      <w:r>
        <w:rPr>
          <w:rFonts w:ascii="Times New Roman" w:hAnsi="Times New Roman"/>
          <w:sz w:val="24"/>
          <w:szCs w:val="24"/>
        </w:rPr>
        <w:t xml:space="preserve">, United States Magistrate Judge </w:t>
      </w:r>
      <w:r w:rsidRPr="00537726">
        <w:rPr>
          <w:rFonts w:ascii="Times New Roman" w:hAnsi="Times New Roman"/>
          <w:sz w:val="24"/>
          <w:szCs w:val="24"/>
        </w:rPr>
        <w:t>Robert S. Ballou</w:t>
      </w:r>
      <w:r>
        <w:rPr>
          <w:rFonts w:ascii="Times New Roman" w:hAnsi="Times New Roman"/>
          <w:sz w:val="24"/>
          <w:szCs w:val="24"/>
        </w:rPr>
        <w:t xml:space="preserve">, U.S. District Court, Western District of Virginia (Roanoke Division), granted summary judgment to the County, finding that he was fired on May 16, 2018 from the County Fire &amp; EMS Department for his involvement as a salesman for Osage Ambulance and its sale of a bush truck to the County with authority. The plaintiff failed to prove that his firing was in retaliation for submitting an age discrimination grievance in 2014 and another complaint to the County Administrator in July 2017. </w:t>
      </w:r>
    </w:p>
    <w:p w14:paraId="7AFF5BA9" w14:textId="77777777" w:rsidR="00AC5DED" w:rsidRPr="00CF5AE2" w:rsidRDefault="00AC5DED" w:rsidP="00AC5DE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CF5AE2">
        <w:rPr>
          <w:rFonts w:ascii="Times New Roman" w:hAnsi="Times New Roman"/>
          <w:sz w:val="24"/>
          <w:szCs w:val="24"/>
        </w:rPr>
        <w:t>I find that no reasonable jury can conclude that Fitzgerald was authorized to purchase the brush truck and that this was a legitimate non-retaliatory reason for Fitzgerald's termination. The County satisfied its burden by presenting a legitimate non-retaliatory reason for the termination, while Fitzgerald failed to satisfy his burden by providing evidence that the unauthorized purchase was a pretext. The County's purchasing policy makes clear that a violation can result in termination. It is not the responsibility of this Court to evaluate whether an explicit policy violation was a good reason for Fitzgerald's termination. DeJarnette v. Corning, Inc., 133 F.3d 293, 298 (4th Cir. 1998).</w:t>
      </w:r>
      <w:r>
        <w:rPr>
          <w:rFonts w:ascii="Times New Roman" w:hAnsi="Times New Roman"/>
          <w:sz w:val="24"/>
          <w:szCs w:val="24"/>
        </w:rPr>
        <w:t xml:space="preserve">” </w:t>
      </w:r>
      <w:hyperlink r:id="rId2645" w:history="1">
        <w:r w:rsidRPr="00EC5853">
          <w:rPr>
            <w:rStyle w:val="Hyperlink"/>
            <w:rFonts w:ascii="Times New Roman" w:hAnsi="Times New Roman"/>
            <w:sz w:val="24"/>
            <w:szCs w:val="24"/>
          </w:rPr>
          <w:t>https://casetext.com/case/fitzgerald-v-botetourt-cnty</w:t>
        </w:r>
      </w:hyperlink>
      <w:r>
        <w:rPr>
          <w:rFonts w:ascii="Times New Roman" w:hAnsi="Times New Roman"/>
          <w:sz w:val="24"/>
          <w:szCs w:val="24"/>
        </w:rPr>
        <w:t xml:space="preserve"> </w:t>
      </w:r>
    </w:p>
    <w:p w14:paraId="1AB4B323" w14:textId="77777777" w:rsidR="00AC5DED" w:rsidRPr="00213018" w:rsidRDefault="00AC5DED" w:rsidP="00AC5DED">
      <w:pPr>
        <w:rPr>
          <w:rFonts w:ascii="Times New Roman" w:hAnsi="Times New Roman"/>
          <w:b/>
          <w:bCs/>
          <w:sz w:val="24"/>
          <w:szCs w:val="24"/>
        </w:rPr>
      </w:pPr>
      <w:r w:rsidRPr="00213018">
        <w:rPr>
          <w:rFonts w:ascii="Times New Roman" w:hAnsi="Times New Roman"/>
          <w:b/>
          <w:bCs/>
          <w:sz w:val="24"/>
          <w:szCs w:val="24"/>
        </w:rPr>
        <w:t xml:space="preserve">Legal Lesson Learned: Outside employment can lead to a conflict in interest. </w:t>
      </w:r>
    </w:p>
    <w:p w14:paraId="21490D93" w14:textId="77777777" w:rsidR="00AC5DED" w:rsidRPr="00213018" w:rsidRDefault="00AC5DED" w:rsidP="00AC5DED">
      <w:pPr>
        <w:ind w:left="720"/>
        <w:rPr>
          <w:rFonts w:ascii="Times New Roman" w:hAnsi="Times New Roman"/>
          <w:sz w:val="24"/>
          <w:szCs w:val="24"/>
        </w:rPr>
      </w:pPr>
      <w:r w:rsidRPr="00213018">
        <w:rPr>
          <w:rFonts w:ascii="Times New Roman" w:hAnsi="Times New Roman"/>
          <w:sz w:val="24"/>
          <w:szCs w:val="24"/>
        </w:rPr>
        <w:t xml:space="preserve">Note: The article by Matthew Britt, prior to his being hired as Fire Chief, raised some challenging issues regarding older firefighters retiring; not surprised that plaintiff referenced it in </w:t>
      </w:r>
      <w:proofErr w:type="gramStart"/>
      <w:r w:rsidRPr="00213018">
        <w:rPr>
          <w:rFonts w:ascii="Times New Roman" w:hAnsi="Times New Roman"/>
          <w:sz w:val="24"/>
          <w:szCs w:val="24"/>
        </w:rPr>
        <w:t>is</w:t>
      </w:r>
      <w:proofErr w:type="gramEnd"/>
      <w:r w:rsidRPr="00213018">
        <w:rPr>
          <w:rFonts w:ascii="Times New Roman" w:hAnsi="Times New Roman"/>
          <w:sz w:val="24"/>
          <w:szCs w:val="24"/>
        </w:rPr>
        <w:t xml:space="preserve"> age discrimination lawsuit.  </w:t>
      </w:r>
    </w:p>
    <w:p w14:paraId="0A9A7B4D" w14:textId="77777777" w:rsidR="00AC5DED" w:rsidRPr="00213018" w:rsidRDefault="00AC5DED" w:rsidP="00AC5DED">
      <w:pPr>
        <w:pStyle w:val="Heading1"/>
        <w:ind w:left="720"/>
        <w:rPr>
          <w:color w:val="666666"/>
          <w:sz w:val="24"/>
          <w:szCs w:val="24"/>
        </w:rPr>
      </w:pPr>
      <w:r w:rsidRPr="00213018">
        <w:rPr>
          <w:b w:val="0"/>
          <w:bCs w:val="0"/>
          <w:sz w:val="24"/>
          <w:szCs w:val="24"/>
        </w:rPr>
        <w:t xml:space="preserve">“Altruism: How Long Does </w:t>
      </w:r>
      <w:proofErr w:type="gramStart"/>
      <w:r w:rsidRPr="00213018">
        <w:rPr>
          <w:b w:val="0"/>
          <w:bCs w:val="0"/>
          <w:sz w:val="24"/>
          <w:szCs w:val="24"/>
        </w:rPr>
        <w:t>it</w:t>
      </w:r>
      <w:proofErr w:type="gramEnd"/>
      <w:r w:rsidRPr="00213018">
        <w:rPr>
          <w:b w:val="0"/>
          <w:bCs w:val="0"/>
          <w:sz w:val="24"/>
          <w:szCs w:val="24"/>
        </w:rPr>
        <w:t xml:space="preserve"> Last &amp; How Do We Retain It.” Sept. 14, 2016. </w:t>
      </w:r>
      <w:hyperlink r:id="rId2646" w:history="1">
        <w:r w:rsidRPr="00EC5853">
          <w:rPr>
            <w:rStyle w:val="Hyperlink"/>
            <w:b w:val="0"/>
            <w:bCs w:val="0"/>
            <w:sz w:val="24"/>
            <w:szCs w:val="24"/>
          </w:rPr>
          <w:t>https://www.firehouse.com/careers-education/article/12253067/altruism-and-the-fire-service-firefighter-education</w:t>
        </w:r>
      </w:hyperlink>
      <w:r>
        <w:rPr>
          <w:b w:val="0"/>
          <w:bCs w:val="0"/>
          <w:sz w:val="24"/>
          <w:szCs w:val="24"/>
        </w:rPr>
        <w:t xml:space="preserve"> </w:t>
      </w:r>
    </w:p>
    <w:p w14:paraId="6378E39B" w14:textId="77777777" w:rsidR="00AC5DED" w:rsidRPr="00213018" w:rsidRDefault="00AC5DED" w:rsidP="00AC5DED">
      <w:pPr>
        <w:spacing w:before="100" w:beforeAutospacing="1" w:after="100" w:afterAutospacing="1" w:line="240" w:lineRule="auto"/>
        <w:ind w:left="1440"/>
        <w:rPr>
          <w:rFonts w:ascii="Times New Roman" w:eastAsia="Times New Roman" w:hAnsi="Times New Roman"/>
          <w:b/>
          <w:bCs/>
          <w:sz w:val="24"/>
          <w:szCs w:val="24"/>
        </w:rPr>
      </w:pPr>
      <w:r w:rsidRPr="00213018">
        <w:rPr>
          <w:rFonts w:ascii="Times New Roman" w:hAnsi="Times New Roman"/>
          <w:sz w:val="24"/>
          <w:szCs w:val="24"/>
        </w:rPr>
        <w:t>“So, what am I asking? I’m asking the senior members to take your much deserved retirement and create opportunities for the next generation of fire service officers. Take that time and dedicate it to your family or other pursuits, but don’t be a stranger. Use that wealth of knowledge to come back and educate members through formal training and other opportunities. Your fire service family will always be here.”</w:t>
      </w:r>
    </w:p>
    <w:p w14:paraId="4C290E11" w14:textId="5E0D7E30" w:rsidR="00AC5DED" w:rsidRDefault="00AC5DED" w:rsidP="00F326E5">
      <w:pPr>
        <w:pStyle w:val="NoSpacing"/>
        <w:rPr>
          <w:rFonts w:ascii="Arial Black" w:hAnsi="Arial Black"/>
          <w:sz w:val="24"/>
          <w:szCs w:val="24"/>
        </w:rPr>
      </w:pPr>
    </w:p>
    <w:p w14:paraId="46AEEA61" w14:textId="77777777" w:rsidR="00AC5DED" w:rsidRDefault="00AC5DED" w:rsidP="00F326E5">
      <w:pPr>
        <w:pStyle w:val="NoSpacing"/>
        <w:rPr>
          <w:rFonts w:ascii="Arial Black" w:hAnsi="Arial Black"/>
          <w:sz w:val="24"/>
          <w:szCs w:val="24"/>
        </w:rPr>
      </w:pPr>
    </w:p>
    <w:p w14:paraId="798807EB" w14:textId="77777777" w:rsidR="00AC5DED" w:rsidRDefault="00AC5DED" w:rsidP="00F326E5">
      <w:pPr>
        <w:pStyle w:val="NoSpacing"/>
        <w:rPr>
          <w:rFonts w:ascii="Arial Black" w:hAnsi="Arial Black"/>
          <w:sz w:val="24"/>
          <w:szCs w:val="24"/>
        </w:rPr>
      </w:pPr>
    </w:p>
    <w:p w14:paraId="33177230" w14:textId="1997FC00" w:rsidR="00AC5DED" w:rsidRDefault="00AC5DED" w:rsidP="00F326E5">
      <w:pPr>
        <w:pStyle w:val="NoSpacing"/>
        <w:rPr>
          <w:rFonts w:ascii="Arial Black" w:hAnsi="Arial Black"/>
          <w:sz w:val="24"/>
          <w:szCs w:val="24"/>
        </w:rPr>
      </w:pPr>
      <w:r>
        <w:rPr>
          <w:rFonts w:ascii="Arial Black" w:hAnsi="Arial Black"/>
          <w:sz w:val="24"/>
          <w:szCs w:val="24"/>
        </w:rPr>
        <w:t>16-61</w:t>
      </w:r>
    </w:p>
    <w:p w14:paraId="256C5D70" w14:textId="77777777" w:rsidR="00AC5DED" w:rsidRPr="00FC677C" w:rsidRDefault="00AC5DED" w:rsidP="00AC5DED">
      <w:pPr>
        <w:pStyle w:val="Heading1"/>
        <w:rPr>
          <w:rFonts w:ascii="Arial Black" w:hAnsi="Arial Black"/>
          <w:sz w:val="28"/>
          <w:szCs w:val="28"/>
        </w:rPr>
      </w:pPr>
      <w:r>
        <w:rPr>
          <w:rFonts w:ascii="Arial Black" w:hAnsi="Arial Black"/>
          <w:sz w:val="28"/>
          <w:szCs w:val="28"/>
        </w:rPr>
        <w:t>CA: MEDIC EXPOSED BREAST UNCONSCIOUS FEMALE (19) – CONV. FELONY ASSAULT – JAIL - REGISTER SEX OFFENDER</w:t>
      </w:r>
    </w:p>
    <w:p w14:paraId="49496322" w14:textId="77777777" w:rsidR="00AC5DED" w:rsidRDefault="00AC5DED" w:rsidP="00AC5DED">
      <w:pPr>
        <w:pStyle w:val="Heading1"/>
        <w:rPr>
          <w:b w:val="0"/>
          <w:bCs w:val="0"/>
          <w:sz w:val="24"/>
          <w:szCs w:val="24"/>
        </w:rPr>
      </w:pPr>
      <w:r>
        <w:rPr>
          <w:b w:val="0"/>
          <w:bCs w:val="0"/>
          <w:sz w:val="24"/>
          <w:szCs w:val="24"/>
        </w:rPr>
        <w:t xml:space="preserve">On Dec. 8, 2021, in </w:t>
      </w:r>
      <w:r w:rsidRPr="00910334">
        <w:rPr>
          <w:b w:val="0"/>
          <w:bCs w:val="0"/>
          <w:sz w:val="24"/>
          <w:szCs w:val="24"/>
          <w:u w:val="single"/>
        </w:rPr>
        <w:t>The People v. Jared David Evans</w:t>
      </w:r>
      <w:r>
        <w:rPr>
          <w:b w:val="0"/>
          <w:bCs w:val="0"/>
          <w:sz w:val="24"/>
          <w:szCs w:val="24"/>
        </w:rPr>
        <w:t xml:space="preserve">, the California Court of Appeals, Third District (Sacramento), held (3 to 0; unpublished decision) that the jury correctly found the paramedic (age 32) guilty of felony assault, and was sentenced to 180 days in county jail, and to register as a sex offender  </w:t>
      </w:r>
      <w:r w:rsidRPr="001C34F3">
        <w:rPr>
          <w:b w:val="0"/>
          <w:bCs w:val="0"/>
          <w:sz w:val="24"/>
          <w:szCs w:val="24"/>
        </w:rPr>
        <w:t>According to reports, he did it in front of an intern and reportedly said, "Sorry, man, I had to."</w:t>
      </w:r>
      <w:r>
        <w:rPr>
          <w:b w:val="0"/>
          <w:bCs w:val="0"/>
          <w:sz w:val="24"/>
          <w:szCs w:val="24"/>
        </w:rPr>
        <w:t xml:space="preserve"> The Court also upheld the trial judge’s decision to not inform the jury that the </w:t>
      </w:r>
      <w:proofErr w:type="gramStart"/>
      <w:r>
        <w:rPr>
          <w:b w:val="0"/>
          <w:bCs w:val="0"/>
          <w:sz w:val="24"/>
          <w:szCs w:val="24"/>
        </w:rPr>
        <w:t>intern, who</w:t>
      </w:r>
      <w:proofErr w:type="gramEnd"/>
      <w:r>
        <w:rPr>
          <w:b w:val="0"/>
          <w:bCs w:val="0"/>
          <w:sz w:val="24"/>
          <w:szCs w:val="24"/>
        </w:rPr>
        <w:t xml:space="preserve"> testified at trial had shown EMS personnel nude photos of his girlfriend. </w:t>
      </w:r>
    </w:p>
    <w:p w14:paraId="76AB51C1" w14:textId="1F6CFA34" w:rsidR="00AC5DED" w:rsidRDefault="00AC5DED" w:rsidP="00AC5DED">
      <w:pPr>
        <w:pStyle w:val="NoSpacing"/>
        <w:ind w:left="720"/>
        <w:rPr>
          <w:rFonts w:ascii="Arial Black" w:hAnsi="Arial Black"/>
          <w:sz w:val="24"/>
          <w:szCs w:val="24"/>
        </w:rPr>
      </w:pPr>
      <w:r>
        <w:rPr>
          <w:rFonts w:ascii="Times New Roman" w:hAnsi="Times New Roman"/>
          <w:sz w:val="24"/>
          <w:szCs w:val="24"/>
        </w:rPr>
        <w:t>“</w:t>
      </w:r>
      <w:r w:rsidRPr="001C34F3">
        <w:rPr>
          <w:rFonts w:ascii="Times New Roman" w:hAnsi="Times New Roman"/>
          <w:sz w:val="24"/>
          <w:szCs w:val="24"/>
        </w:rPr>
        <w:t xml:space="preserve">Here, defendant brought </w:t>
      </w:r>
      <w:r>
        <w:rPr>
          <w:rFonts w:ascii="Times New Roman" w:hAnsi="Times New Roman"/>
          <w:sz w:val="24"/>
          <w:szCs w:val="24"/>
        </w:rPr>
        <w:t xml:space="preserve">[intern] </w:t>
      </w:r>
      <w:r w:rsidRPr="001C34F3">
        <w:rPr>
          <w:rFonts w:ascii="Times New Roman" w:hAnsi="Times New Roman"/>
          <w:sz w:val="24"/>
          <w:szCs w:val="24"/>
        </w:rPr>
        <w:t xml:space="preserve">Morris's attention to Doe's breasts, reached into her shirt, grabbed her breast, exposed it, and made a lewd comment. This is sufficient evidence that </w:t>
      </w:r>
      <w:proofErr w:type="gramStart"/>
      <w:r w:rsidRPr="001C34F3">
        <w:rPr>
          <w:rFonts w:ascii="Times New Roman" w:hAnsi="Times New Roman"/>
          <w:sz w:val="24"/>
          <w:szCs w:val="24"/>
        </w:rPr>
        <w:t>defendant</w:t>
      </w:r>
      <w:proofErr w:type="gramEnd"/>
      <w:r w:rsidRPr="001C34F3">
        <w:rPr>
          <w:rFonts w:ascii="Times New Roman" w:hAnsi="Times New Roman"/>
          <w:sz w:val="24"/>
          <w:szCs w:val="24"/>
        </w:rPr>
        <w:t xml:space="preserve"> committed the touching for the specific purpose of sexual gratification.</w:t>
      </w:r>
      <w:r>
        <w:rPr>
          <w:rFonts w:ascii="Times New Roman" w:hAnsi="Times New Roman"/>
          <w:sz w:val="24"/>
          <w:szCs w:val="24"/>
        </w:rPr>
        <w:t xml:space="preserve"> *** </w:t>
      </w:r>
      <w:r w:rsidRPr="00185759">
        <w:rPr>
          <w:rFonts w:ascii="Times New Roman" w:hAnsi="Times New Roman"/>
          <w:sz w:val="24"/>
          <w:szCs w:val="24"/>
        </w:rPr>
        <w:t xml:space="preserve">Among other things, defendant argues on appeal that the display of the nude images </w:t>
      </w:r>
      <w:r>
        <w:rPr>
          <w:rFonts w:ascii="Times New Roman" w:hAnsi="Times New Roman"/>
          <w:sz w:val="24"/>
          <w:szCs w:val="24"/>
        </w:rPr>
        <w:t xml:space="preserve">[by intern of his girlfriend to other EMS] </w:t>
      </w:r>
      <w:r w:rsidRPr="00185759">
        <w:rPr>
          <w:rFonts w:ascii="Times New Roman" w:hAnsi="Times New Roman"/>
          <w:sz w:val="24"/>
          <w:szCs w:val="24"/>
        </w:rPr>
        <w:t>went to Morris's intent and attitude toward women. The argument focuses on admissibility based on intent under Evidence Code section 1101, subdivision (b). But defendant did not argue in the trial court that the evidence was relevant to Morris's intent. He only argued Morris was immature about and lacked respect for women and, therefore, his claim to be an outstanding firefighter lacked credibility. Under the circumstances, defendant forfeited consideration on appeal of admissibility based on intent.</w:t>
      </w:r>
      <w:r>
        <w:rPr>
          <w:rFonts w:ascii="Times New Roman" w:hAnsi="Times New Roman"/>
          <w:sz w:val="24"/>
          <w:szCs w:val="24"/>
        </w:rPr>
        <w:t xml:space="preserve"> </w:t>
      </w:r>
      <w:r w:rsidRPr="00734BD0">
        <w:rPr>
          <w:rFonts w:ascii="Times New Roman" w:hAnsi="Times New Roman"/>
          <w:sz w:val="24"/>
          <w:szCs w:val="24"/>
        </w:rPr>
        <w:t>*** Although we nevertheless understand the gist of defendant's arguments regarding the evidence and are not unsympathetic, the trial court did not abuse its discretion in making its evidentiary determination.</w:t>
      </w:r>
      <w:r>
        <w:t xml:space="preserve"> </w:t>
      </w:r>
      <w:hyperlink r:id="rId2647" w:history="1">
        <w:r w:rsidRPr="00EC5853">
          <w:rPr>
            <w:rStyle w:val="Hyperlink"/>
          </w:rPr>
          <w:t>https://public.fastcase.com/9SKwsfNqTc6OieYDhNMyM%2B9QVlF%2Fi0C7FBtpVDfGBEJTuxz2gLXEBOyZ2MTUN6p67t66EUS4%2BwzN2KZQmb95HSCpSxhJK4uvhgP9XZ8nBIo%3D</w:t>
        </w:r>
      </w:hyperlink>
    </w:p>
    <w:p w14:paraId="654EF991" w14:textId="77777777" w:rsidR="00AC5DED" w:rsidRDefault="00AC5DED" w:rsidP="00F326E5">
      <w:pPr>
        <w:pStyle w:val="NoSpacing"/>
        <w:rPr>
          <w:rFonts w:ascii="Arial Black" w:hAnsi="Arial Black"/>
          <w:sz w:val="24"/>
          <w:szCs w:val="24"/>
        </w:rPr>
      </w:pPr>
    </w:p>
    <w:p w14:paraId="5CC44842" w14:textId="77777777" w:rsidR="00AC5DED" w:rsidRPr="00AF6390" w:rsidRDefault="00AC5DED" w:rsidP="00AC5DED">
      <w:pPr>
        <w:spacing w:before="100" w:beforeAutospacing="1" w:after="100" w:afterAutospacing="1" w:line="240" w:lineRule="auto"/>
        <w:rPr>
          <w:rFonts w:ascii="Times New Roman" w:eastAsia="Times New Roman" w:hAnsi="Times New Roman"/>
          <w:sz w:val="24"/>
          <w:szCs w:val="24"/>
        </w:rPr>
      </w:pPr>
      <w:r w:rsidRPr="00734BD0">
        <w:rPr>
          <w:rFonts w:ascii="Times New Roman" w:hAnsi="Times New Roman"/>
          <w:b/>
          <w:bCs/>
          <w:sz w:val="24"/>
          <w:szCs w:val="24"/>
        </w:rPr>
        <w:t>Legal Lesson Learned:</w:t>
      </w:r>
      <w:r>
        <w:rPr>
          <w:rFonts w:ascii="Times New Roman" w:hAnsi="Times New Roman"/>
          <w:b/>
          <w:bCs/>
          <w:sz w:val="24"/>
          <w:szCs w:val="24"/>
        </w:rPr>
        <w:t xml:space="preserve">  Stupid conduct by this paramedic resulted in felony conviction, jail time, reporting as </w:t>
      </w:r>
      <w:proofErr w:type="gramStart"/>
      <w:r>
        <w:rPr>
          <w:rFonts w:ascii="Times New Roman" w:hAnsi="Times New Roman"/>
          <w:b/>
          <w:bCs/>
          <w:sz w:val="24"/>
          <w:szCs w:val="24"/>
        </w:rPr>
        <w:t>a sexual</w:t>
      </w:r>
      <w:proofErr w:type="gramEnd"/>
      <w:r>
        <w:rPr>
          <w:rFonts w:ascii="Times New Roman" w:hAnsi="Times New Roman"/>
          <w:b/>
          <w:bCs/>
          <w:sz w:val="24"/>
          <w:szCs w:val="24"/>
        </w:rPr>
        <w:t xml:space="preserve"> offenders and loss of his chosen profession.</w:t>
      </w:r>
    </w:p>
    <w:p w14:paraId="7114E523" w14:textId="77777777" w:rsidR="00AC5DED" w:rsidRPr="001C34F3" w:rsidRDefault="00AC5DED" w:rsidP="00AC5DED">
      <w:pPr>
        <w:pStyle w:val="Heading1"/>
        <w:ind w:left="720"/>
        <w:rPr>
          <w:b w:val="0"/>
          <w:bCs w:val="0"/>
          <w:sz w:val="24"/>
          <w:szCs w:val="24"/>
        </w:rPr>
      </w:pPr>
      <w:r>
        <w:rPr>
          <w:b w:val="0"/>
          <w:bCs w:val="0"/>
          <w:sz w:val="24"/>
          <w:szCs w:val="24"/>
        </w:rPr>
        <w:t xml:space="preserve">Note: See June 12, </w:t>
      </w:r>
      <w:proofErr w:type="gramStart"/>
      <w:r>
        <w:rPr>
          <w:b w:val="0"/>
          <w:bCs w:val="0"/>
          <w:sz w:val="24"/>
          <w:szCs w:val="24"/>
        </w:rPr>
        <w:t>2017</w:t>
      </w:r>
      <w:proofErr w:type="gramEnd"/>
      <w:r>
        <w:rPr>
          <w:b w:val="0"/>
          <w:bCs w:val="0"/>
          <w:sz w:val="24"/>
          <w:szCs w:val="24"/>
        </w:rPr>
        <w:t xml:space="preserve"> article, “</w:t>
      </w:r>
      <w:r w:rsidRPr="001C34F3">
        <w:rPr>
          <w:b w:val="0"/>
          <w:bCs w:val="0"/>
          <w:sz w:val="24"/>
          <w:szCs w:val="24"/>
        </w:rPr>
        <w:t xml:space="preserve">Paramedic </w:t>
      </w:r>
      <w:proofErr w:type="gramStart"/>
      <w:r w:rsidRPr="001C34F3">
        <w:rPr>
          <w:b w:val="0"/>
          <w:bCs w:val="0"/>
          <w:sz w:val="24"/>
          <w:szCs w:val="24"/>
        </w:rPr>
        <w:t>And</w:t>
      </w:r>
      <w:proofErr w:type="gramEnd"/>
      <w:r w:rsidRPr="001C34F3">
        <w:rPr>
          <w:b w:val="0"/>
          <w:bCs w:val="0"/>
          <w:sz w:val="24"/>
          <w:szCs w:val="24"/>
        </w:rPr>
        <w:t xml:space="preserve"> Firefighter Fondle Teen Having Seizures, Jared David Evans Told Intern, 'I Had To</w:t>
      </w:r>
      <w:r>
        <w:rPr>
          <w:b w:val="0"/>
          <w:bCs w:val="0"/>
          <w:sz w:val="24"/>
          <w:szCs w:val="24"/>
        </w:rPr>
        <w:t>.</w:t>
      </w:r>
      <w:r w:rsidRPr="001C34F3">
        <w:rPr>
          <w:b w:val="0"/>
          <w:bCs w:val="0"/>
          <w:sz w:val="24"/>
          <w:szCs w:val="24"/>
        </w:rPr>
        <w:t>'</w:t>
      </w:r>
      <w:r>
        <w:rPr>
          <w:b w:val="0"/>
          <w:bCs w:val="0"/>
          <w:sz w:val="24"/>
          <w:szCs w:val="24"/>
        </w:rPr>
        <w:t xml:space="preserve">” </w:t>
      </w:r>
      <w:hyperlink r:id="rId2648" w:history="1">
        <w:r w:rsidRPr="00EC5853">
          <w:rPr>
            <w:rStyle w:val="Hyperlink"/>
            <w:b w:val="0"/>
            <w:bCs w:val="0"/>
            <w:sz w:val="24"/>
            <w:szCs w:val="24"/>
          </w:rPr>
          <w:t>https://www.inquisitr.com/4286305/paramedic-and-firefighter-fondle-teen-having-seizures-jared-david-evans-told-intern-i-had-to/</w:t>
        </w:r>
      </w:hyperlink>
      <w:r>
        <w:rPr>
          <w:b w:val="0"/>
          <w:bCs w:val="0"/>
          <w:sz w:val="24"/>
          <w:szCs w:val="24"/>
        </w:rPr>
        <w:t xml:space="preserve"> </w:t>
      </w:r>
    </w:p>
    <w:p w14:paraId="49A775C3" w14:textId="77777777" w:rsidR="00AC5DED" w:rsidRPr="009E51C8" w:rsidRDefault="00AC5DED" w:rsidP="00AC5DED">
      <w:pPr>
        <w:ind w:left="1440"/>
        <w:rPr>
          <w:rFonts w:ascii="Times New Roman" w:hAnsi="Times New Roman"/>
          <w:sz w:val="24"/>
          <w:szCs w:val="24"/>
        </w:rPr>
      </w:pPr>
      <w:r w:rsidRPr="009E51C8">
        <w:rPr>
          <w:rFonts w:ascii="Times New Roman" w:hAnsi="Times New Roman"/>
          <w:sz w:val="24"/>
          <w:szCs w:val="24"/>
        </w:rPr>
        <w:t xml:space="preserve">“According to KCRA Channel 3, </w:t>
      </w:r>
      <w:hyperlink r:id="rId2649" w:tgtFrame="_blank" w:history="1">
        <w:r w:rsidRPr="009E51C8">
          <w:rPr>
            <w:rFonts w:ascii="Times New Roman" w:hAnsi="Times New Roman"/>
            <w:sz w:val="24"/>
            <w:szCs w:val="24"/>
          </w:rPr>
          <w:t>Sacramento Fire Chief</w:t>
        </w:r>
      </w:hyperlink>
      <w:r w:rsidRPr="009E51C8">
        <w:rPr>
          <w:rFonts w:ascii="Times New Roman" w:hAnsi="Times New Roman"/>
          <w:sz w:val="24"/>
          <w:szCs w:val="24"/>
        </w:rPr>
        <w:t xml:space="preserve"> Walt White discussed the allegations against Jared David Evans. ‘When these allegations were brought to the attention of fire administration, we immediately notified the office of public safety and accountability and requested a full law enforcement investigation.’ ‘The Sacramento Fire Department takes all citizen complaints </w:t>
      </w:r>
      <w:proofErr w:type="gramStart"/>
      <w:r w:rsidRPr="009E51C8">
        <w:rPr>
          <w:rFonts w:ascii="Times New Roman" w:hAnsi="Times New Roman"/>
          <w:sz w:val="24"/>
          <w:szCs w:val="24"/>
        </w:rPr>
        <w:t>seriously, and</w:t>
      </w:r>
      <w:proofErr w:type="gramEnd"/>
      <w:r w:rsidRPr="009E51C8">
        <w:rPr>
          <w:rFonts w:ascii="Times New Roman" w:hAnsi="Times New Roman"/>
          <w:sz w:val="24"/>
          <w:szCs w:val="24"/>
        </w:rPr>
        <w:t xml:space="preserve"> works quickly to take appropriate actions to mitigate them. When this complaint was made to Fire Administration, it was immediately forwarded to Law Enforcement </w:t>
      </w:r>
      <w:proofErr w:type="gramStart"/>
      <w:r w:rsidRPr="009E51C8">
        <w:rPr>
          <w:rFonts w:ascii="Times New Roman" w:hAnsi="Times New Roman"/>
          <w:sz w:val="24"/>
          <w:szCs w:val="24"/>
        </w:rPr>
        <w:t>officials</w:t>
      </w:r>
      <w:proofErr w:type="gramEnd"/>
      <w:r w:rsidRPr="009E51C8">
        <w:rPr>
          <w:rFonts w:ascii="Times New Roman" w:hAnsi="Times New Roman"/>
          <w:sz w:val="24"/>
          <w:szCs w:val="24"/>
        </w:rPr>
        <w:t xml:space="preserve"> and a formal investigation was requested. Although the case is ongoing, and all facts are not yet known, the Sacramento Fire Department wants to assure the public that we are fully cooperating with the investigation and working to bring the matter to a successful conclusion.”</w:t>
      </w:r>
    </w:p>
    <w:p w14:paraId="3BC0791F" w14:textId="77777777" w:rsidR="00AC5DED" w:rsidRDefault="00AC5DED" w:rsidP="00F326E5">
      <w:pPr>
        <w:pStyle w:val="NoSpacing"/>
        <w:rPr>
          <w:rFonts w:ascii="Arial Black" w:hAnsi="Arial Black"/>
          <w:sz w:val="24"/>
          <w:szCs w:val="24"/>
        </w:rPr>
      </w:pPr>
    </w:p>
    <w:p w14:paraId="52C865FB" w14:textId="77777777" w:rsidR="00AC5DED" w:rsidRDefault="00AC5DED" w:rsidP="00F326E5">
      <w:pPr>
        <w:pStyle w:val="NoSpacing"/>
        <w:rPr>
          <w:rFonts w:ascii="Arial Black" w:hAnsi="Arial Black"/>
          <w:sz w:val="24"/>
          <w:szCs w:val="24"/>
        </w:rPr>
      </w:pPr>
    </w:p>
    <w:p w14:paraId="67A53459" w14:textId="61F36DCE" w:rsidR="00506EE7" w:rsidRDefault="00506EE7" w:rsidP="00F326E5">
      <w:pPr>
        <w:pStyle w:val="NoSpacing"/>
        <w:rPr>
          <w:rFonts w:ascii="Arial Black" w:hAnsi="Arial Black"/>
          <w:sz w:val="24"/>
          <w:szCs w:val="24"/>
        </w:rPr>
      </w:pPr>
      <w:r>
        <w:rPr>
          <w:rFonts w:ascii="Arial Black" w:hAnsi="Arial Black"/>
          <w:sz w:val="24"/>
          <w:szCs w:val="24"/>
        </w:rPr>
        <w:t>16-</w:t>
      </w:r>
      <w:r w:rsidR="007E3A28">
        <w:rPr>
          <w:rFonts w:ascii="Arial Black" w:hAnsi="Arial Black"/>
          <w:sz w:val="24"/>
          <w:szCs w:val="24"/>
        </w:rPr>
        <w:t>60</w:t>
      </w:r>
    </w:p>
    <w:p w14:paraId="4FBB6967" w14:textId="77777777" w:rsidR="00506EE7" w:rsidRPr="00A71D89" w:rsidRDefault="00506EE7" w:rsidP="00506EE7">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PA: VOL. FF MET 14-YR OLD AT STATION – SEXUAL RELATIONS FOR YEAR – JURY CONV - 8-16 YRS JAIL</w:t>
      </w:r>
    </w:p>
    <w:p w14:paraId="63C770CD" w14:textId="77777777" w:rsidR="00506EE7" w:rsidRDefault="00506EE7" w:rsidP="00506EE7">
      <w:pPr>
        <w:spacing w:after="100" w:line="240" w:lineRule="auto"/>
        <w:rPr>
          <w:rFonts w:ascii="Times New Roman" w:hAnsi="Times New Roman"/>
          <w:sz w:val="24"/>
          <w:szCs w:val="24"/>
        </w:rPr>
      </w:pPr>
      <w:r>
        <w:rPr>
          <w:rFonts w:ascii="Times New Roman" w:eastAsia="Times New Roman" w:hAnsi="Times New Roman"/>
          <w:sz w:val="24"/>
          <w:szCs w:val="24"/>
        </w:rPr>
        <w:t xml:space="preserve">On Nov. 22, 2021, in </w:t>
      </w:r>
      <w:r w:rsidRPr="00A71D89">
        <w:rPr>
          <w:rFonts w:ascii="Times New Roman" w:eastAsia="Times New Roman" w:hAnsi="Times New Roman"/>
          <w:sz w:val="24"/>
          <w:szCs w:val="24"/>
          <w:u w:val="single"/>
        </w:rPr>
        <w:t>Commonwealth of Pennsylvania v. Christopher Anthony Taylor</w:t>
      </w:r>
      <w:r>
        <w:rPr>
          <w:rFonts w:ascii="Times New Roman" w:eastAsia="Times New Roman" w:hAnsi="Times New Roman"/>
          <w:sz w:val="24"/>
          <w:szCs w:val="24"/>
        </w:rPr>
        <w:t xml:space="preserve">, Superior Court of Pennsylvania, held (3 to 0; “non-precedential decisional”) the Court of Appeals agreed with a trial court judge who denied his petition for Post-Conviction Relief.  On appeals he claimed ineffective assistance of counsel, but the trial court properly allowed into evidence the firefighters many e-mails with the minor, leading to his conviction of statutory sexual assault, </w:t>
      </w:r>
      <w:r w:rsidRPr="004979D4">
        <w:rPr>
          <w:rFonts w:ascii="Times New Roman" w:hAnsi="Times New Roman"/>
          <w:sz w:val="24"/>
          <w:szCs w:val="24"/>
        </w:rPr>
        <w:t>aggravated indecent assault-less than 16 years of age, indecent assault-less than 16 years of age, unlawful contact with a minor-sexual offenses, involuntary deviate sexual intercourse-less than 16 years of age, and corruption of minors</w:t>
      </w:r>
      <w:r>
        <w:rPr>
          <w:rFonts w:ascii="Times New Roman" w:hAnsi="Times New Roman"/>
          <w:sz w:val="24"/>
          <w:szCs w:val="24"/>
        </w:rPr>
        <w:t xml:space="preserve">.  </w:t>
      </w:r>
    </w:p>
    <w:p w14:paraId="753F6740" w14:textId="77777777" w:rsidR="00506EE7" w:rsidRDefault="00506EE7" w:rsidP="00506EE7">
      <w:pPr>
        <w:pStyle w:val="NormalWeb"/>
        <w:ind w:left="720"/>
      </w:pPr>
      <w:r>
        <w:t xml:space="preserve">“In his first claim, Taylor argues that his trial counsel rendered ineffective assistance by failing to object to the authenticity of the email communications between himself and the victim. Brief for Appellant at 12-13. Taylor asserts that, at trial, he testified that he did not recognize the emails…. Additionally, Taylor claims that the only authentication of the emails was that the victim had provided them to the police, who performed no examination of the victim's or Taylor's respective computers…. Taylor acknowledges that trial counsel objected to the emails at </w:t>
      </w:r>
      <w:proofErr w:type="gramStart"/>
      <w:r>
        <w:t>trial, but</w:t>
      </w:r>
      <w:proofErr w:type="gramEnd"/>
      <w:r>
        <w:t xml:space="preserve"> contends that the objection was generic and did not specifically challenge the authenticity of the emails…. Accordingly, Taylor has failed to establish his claim of ineffective assistance of counsel.  </w:t>
      </w:r>
      <w:hyperlink r:id="rId2650" w:history="1">
        <w:r w:rsidRPr="0085682C">
          <w:rPr>
            <w:rStyle w:val="Hyperlink"/>
          </w:rPr>
          <w:t>https://public.fastcase.com/9SKwsfNqTc6OieYDhNMyMwLbquMieQJJAkWYEouDi7ix05WUlxmQyjrVFv7KR6XMi0MhNDFBQq54%2Fpuo4ib1qnZU%2F1hDs4fMcaW2pIa9a%2BY%3D</w:t>
        </w:r>
      </w:hyperlink>
      <w:r>
        <w:t xml:space="preserve"> </w:t>
      </w:r>
    </w:p>
    <w:p w14:paraId="325128D9" w14:textId="77777777" w:rsidR="007E3A28" w:rsidRPr="0023548F" w:rsidRDefault="007E3A28" w:rsidP="007E3A28">
      <w:pPr>
        <w:spacing w:after="100" w:line="240" w:lineRule="auto"/>
        <w:rPr>
          <w:rFonts w:ascii="Times New Roman" w:eastAsia="Times New Roman" w:hAnsi="Times New Roman"/>
          <w:b/>
          <w:bCs/>
          <w:sz w:val="24"/>
          <w:szCs w:val="24"/>
        </w:rPr>
      </w:pPr>
      <w:r w:rsidRPr="0023548F">
        <w:rPr>
          <w:rFonts w:ascii="Times New Roman" w:hAnsi="Times New Roman"/>
          <w:b/>
          <w:bCs/>
          <w:sz w:val="24"/>
          <w:szCs w:val="24"/>
        </w:rPr>
        <w:t>Legal Lesson Learned:</w:t>
      </w:r>
      <w:r>
        <w:rPr>
          <w:rFonts w:ascii="Times New Roman" w:hAnsi="Times New Roman"/>
          <w:b/>
          <w:bCs/>
          <w:sz w:val="24"/>
          <w:szCs w:val="24"/>
        </w:rPr>
        <w:t xml:space="preserve">  This former volunteer firefighter now has lots of time in prison to think about his conduct.  </w:t>
      </w:r>
    </w:p>
    <w:p w14:paraId="1EFC4A4F" w14:textId="35A365FC" w:rsidR="00506EE7" w:rsidRDefault="00506EE7" w:rsidP="00F326E5">
      <w:pPr>
        <w:pStyle w:val="NoSpacing"/>
        <w:rPr>
          <w:rFonts w:ascii="Arial Black" w:hAnsi="Arial Black"/>
          <w:sz w:val="24"/>
          <w:szCs w:val="24"/>
        </w:rPr>
      </w:pPr>
    </w:p>
    <w:p w14:paraId="588C380E" w14:textId="050B45D2" w:rsidR="007E3A28" w:rsidRDefault="007E3A28" w:rsidP="00F326E5">
      <w:pPr>
        <w:pStyle w:val="NoSpacing"/>
        <w:rPr>
          <w:rFonts w:ascii="Arial Black" w:hAnsi="Arial Black"/>
          <w:sz w:val="24"/>
          <w:szCs w:val="24"/>
        </w:rPr>
      </w:pPr>
      <w:r>
        <w:rPr>
          <w:rFonts w:ascii="Arial Black" w:hAnsi="Arial Black"/>
          <w:sz w:val="24"/>
          <w:szCs w:val="24"/>
        </w:rPr>
        <w:t>16-59</w:t>
      </w:r>
    </w:p>
    <w:p w14:paraId="1C823D97" w14:textId="15A0A55C" w:rsidR="007E3A28" w:rsidRDefault="007E3A28" w:rsidP="00F326E5">
      <w:pPr>
        <w:pStyle w:val="NoSpacing"/>
        <w:rPr>
          <w:rFonts w:ascii="Arial Black" w:hAnsi="Arial Black"/>
          <w:sz w:val="24"/>
          <w:szCs w:val="24"/>
        </w:rPr>
      </w:pPr>
    </w:p>
    <w:p w14:paraId="13F1EDAB" w14:textId="77777777" w:rsidR="007E3A28" w:rsidRDefault="007E3A28" w:rsidP="007E3A28">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NJ: FF PROPERLY FIRED – PLED GUILTY AGGRAVATED ASSAULT IN BAR - 364 DAYS JAIL – FD LEARNED NO SHOW</w:t>
      </w:r>
    </w:p>
    <w:p w14:paraId="43376913" w14:textId="77777777" w:rsidR="007E3A28" w:rsidRDefault="007E3A28" w:rsidP="007E3A28">
      <w:pPr>
        <w:spacing w:before="100" w:beforeAutospacing="1" w:after="100" w:afterAutospacing="1" w:line="240" w:lineRule="auto"/>
      </w:pPr>
      <w:r w:rsidRPr="00F80533">
        <w:rPr>
          <w:rFonts w:ascii="Times New Roman" w:eastAsia="Times New Roman" w:hAnsi="Times New Roman"/>
          <w:sz w:val="24"/>
          <w:szCs w:val="24"/>
        </w:rPr>
        <w:t xml:space="preserve">On </w:t>
      </w:r>
      <w:r>
        <w:rPr>
          <w:rFonts w:ascii="Times New Roman" w:eastAsia="Times New Roman" w:hAnsi="Times New Roman"/>
          <w:sz w:val="24"/>
          <w:szCs w:val="24"/>
        </w:rPr>
        <w:t>Nov. 16, 2021</w:t>
      </w:r>
      <w:r w:rsidRPr="002A1A7D">
        <w:rPr>
          <w:rFonts w:ascii="Times New Roman" w:eastAsia="Times New Roman" w:hAnsi="Times New Roman"/>
          <w:sz w:val="24"/>
          <w:szCs w:val="24"/>
          <w:u w:val="single"/>
        </w:rPr>
        <w:t>, In The Matter Of Joseph Downar, The City of Newark Fire Department</w:t>
      </w:r>
      <w:r>
        <w:rPr>
          <w:rFonts w:ascii="Times New Roman" w:eastAsia="Times New Roman" w:hAnsi="Times New Roman"/>
          <w:sz w:val="24"/>
          <w:szCs w:val="24"/>
        </w:rPr>
        <w:t xml:space="preserve">, the Superior Court of New Jersey, Appellate Division, held (3 to 0) (unpublished decision) that the Civil Service Commission properly upheld the Fire Department’s decision to terminate the firefighter after a disciplinary hearing on March 15, 2018, for his conviction of third-degree aggravated assault, and failure to notice the Fire Department of his arrest, indictment, conviction and prison sentence.  The FD had no knowledge of the incident until Dec. 12, 2017, the day he began serving his jail term, and </w:t>
      </w:r>
      <w:proofErr w:type="gramStart"/>
      <w:r>
        <w:rPr>
          <w:rFonts w:ascii="Times New Roman" w:eastAsia="Times New Roman" w:hAnsi="Times New Roman"/>
          <w:sz w:val="24"/>
          <w:szCs w:val="24"/>
        </w:rPr>
        <w:t>he</w:t>
      </w:r>
      <w:proofErr w:type="gramEnd"/>
      <w:r>
        <w:rPr>
          <w:rFonts w:ascii="Times New Roman" w:eastAsia="Times New Roman" w:hAnsi="Times New Roman"/>
          <w:sz w:val="24"/>
          <w:szCs w:val="24"/>
        </w:rPr>
        <w:t xml:space="preserve"> union advised the department. </w:t>
      </w:r>
    </w:p>
    <w:p w14:paraId="3FC6E155" w14:textId="77777777" w:rsidR="007E3A28" w:rsidRDefault="007E3A28" w:rsidP="007E3A28">
      <w:pPr>
        <w:spacing w:before="100" w:beforeAutospacing="1" w:after="100" w:afterAutospacing="1" w:line="240" w:lineRule="auto"/>
        <w:ind w:left="720"/>
        <w:rPr>
          <w:rFonts w:ascii="Times New Roman" w:hAnsi="Times New Roman"/>
          <w:sz w:val="24"/>
          <w:szCs w:val="24"/>
        </w:rPr>
      </w:pPr>
      <w:r>
        <w:rPr>
          <w:rFonts w:ascii="Times New Roman" w:eastAsia="Times New Roman" w:hAnsi="Times New Roman"/>
          <w:sz w:val="24"/>
          <w:szCs w:val="24"/>
        </w:rPr>
        <w:t>“</w:t>
      </w:r>
      <w:proofErr w:type="spellStart"/>
      <w:r w:rsidRPr="008E3A70">
        <w:rPr>
          <w:rFonts w:ascii="Times New Roman" w:hAnsi="Times New Roman"/>
          <w:sz w:val="24"/>
          <w:szCs w:val="24"/>
        </w:rPr>
        <w:t>Downar</w:t>
      </w:r>
      <w:proofErr w:type="spellEnd"/>
      <w:r w:rsidRPr="008E3A70">
        <w:rPr>
          <w:rFonts w:ascii="Times New Roman" w:hAnsi="Times New Roman"/>
          <w:sz w:val="24"/>
          <w:szCs w:val="24"/>
        </w:rPr>
        <w:t xml:space="preserve"> was charged with failure to report his arrest, indictment, conviction, and sentence to management. The Department did not have a written policy, rule, or regulation requiring notification in place when the assault occurred. However, on January 4, 2017, the very day that </w:t>
      </w:r>
      <w:proofErr w:type="spellStart"/>
      <w:r w:rsidRPr="008E3A70">
        <w:rPr>
          <w:rFonts w:ascii="Times New Roman" w:hAnsi="Times New Roman"/>
          <w:sz w:val="24"/>
          <w:szCs w:val="24"/>
        </w:rPr>
        <w:t>Downar</w:t>
      </w:r>
      <w:proofErr w:type="spellEnd"/>
      <w:r w:rsidRPr="008E3A70">
        <w:rPr>
          <w:rFonts w:ascii="Times New Roman" w:hAnsi="Times New Roman"/>
          <w:sz w:val="24"/>
          <w:szCs w:val="24"/>
        </w:rPr>
        <w:t xml:space="preserve"> was arrested, the Department promulgated a written policy that became effective immediately, which required firefighters to report </w:t>
      </w:r>
      <w:r>
        <w:rPr>
          <w:rFonts w:ascii="Times New Roman" w:hAnsi="Times New Roman"/>
          <w:sz w:val="24"/>
          <w:szCs w:val="24"/>
        </w:rPr>
        <w:t>‘</w:t>
      </w:r>
      <w:r w:rsidRPr="008E3A70">
        <w:rPr>
          <w:rFonts w:ascii="Times New Roman" w:hAnsi="Times New Roman"/>
          <w:sz w:val="24"/>
          <w:szCs w:val="24"/>
        </w:rPr>
        <w:t>contact with any police agency as a victim, witness, or suspect (criminal or traffic complaints) . . . via an administrative submission . . . to their immediate supervisor upon their first day reporting back to duty.</w:t>
      </w:r>
      <w:r>
        <w:rPr>
          <w:rFonts w:ascii="Times New Roman" w:hAnsi="Times New Roman"/>
          <w:sz w:val="24"/>
          <w:szCs w:val="24"/>
        </w:rPr>
        <w:t>’</w:t>
      </w:r>
      <w:r w:rsidRPr="008E3A70">
        <w:rPr>
          <w:rFonts w:ascii="Times New Roman" w:hAnsi="Times New Roman"/>
          <w:sz w:val="24"/>
          <w:szCs w:val="24"/>
        </w:rPr>
        <w:t xml:space="preserve"> </w:t>
      </w:r>
      <w:proofErr w:type="spellStart"/>
      <w:r w:rsidRPr="008E3A70">
        <w:rPr>
          <w:rFonts w:ascii="Times New Roman" w:hAnsi="Times New Roman"/>
          <w:sz w:val="24"/>
          <w:szCs w:val="24"/>
        </w:rPr>
        <w:t>Downar</w:t>
      </w:r>
      <w:proofErr w:type="spellEnd"/>
      <w:r w:rsidRPr="008E3A70">
        <w:rPr>
          <w:rFonts w:ascii="Times New Roman" w:hAnsi="Times New Roman"/>
          <w:sz w:val="24"/>
          <w:szCs w:val="24"/>
        </w:rPr>
        <w:t xml:space="preserve"> does not dispute that the policy was the subject of roll call training and was conspicuously </w:t>
      </w:r>
      <w:proofErr w:type="gramStart"/>
      <w:r w:rsidRPr="008E3A70">
        <w:rPr>
          <w:rFonts w:ascii="Times New Roman" w:hAnsi="Times New Roman"/>
          <w:sz w:val="24"/>
          <w:szCs w:val="24"/>
        </w:rPr>
        <w:t>posted, and</w:t>
      </w:r>
      <w:proofErr w:type="gramEnd"/>
      <w:r w:rsidRPr="008E3A70">
        <w:rPr>
          <w:rFonts w:ascii="Times New Roman" w:hAnsi="Times New Roman"/>
          <w:sz w:val="24"/>
          <w:szCs w:val="24"/>
        </w:rPr>
        <w:t xml:space="preserve"> yet claims he was unaware he had to report the incident to his superiors. The ALJ found that testimony incredible.</w:t>
      </w:r>
    </w:p>
    <w:p w14:paraId="4BBF5524" w14:textId="77777777" w:rsidR="007E3A28" w:rsidRDefault="007E3A28" w:rsidP="007E3A28">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06322910" w14:textId="77777777" w:rsidR="007E3A28" w:rsidRDefault="007E3A28" w:rsidP="007E3A28">
      <w:pPr>
        <w:spacing w:before="100" w:beforeAutospacing="1" w:after="100" w:afterAutospacing="1" w:line="240" w:lineRule="auto"/>
        <w:ind w:left="720" w:firstLine="60"/>
        <w:rPr>
          <w:rFonts w:ascii="Times New Roman" w:eastAsia="Times New Roman" w:hAnsi="Times New Roman"/>
          <w:sz w:val="24"/>
          <w:szCs w:val="24"/>
        </w:rPr>
      </w:pPr>
      <w:proofErr w:type="spellStart"/>
      <w:r w:rsidRPr="008E3A70">
        <w:rPr>
          <w:rFonts w:ascii="Times New Roman" w:eastAsia="Times New Roman" w:hAnsi="Times New Roman"/>
          <w:sz w:val="24"/>
          <w:szCs w:val="24"/>
        </w:rPr>
        <w:t>Downar</w:t>
      </w:r>
      <w:proofErr w:type="spellEnd"/>
      <w:r w:rsidRPr="008E3A70">
        <w:rPr>
          <w:rFonts w:ascii="Times New Roman" w:eastAsia="Times New Roman" w:hAnsi="Times New Roman"/>
          <w:sz w:val="24"/>
          <w:szCs w:val="24"/>
        </w:rPr>
        <w:t xml:space="preserve"> had no prior disciplinary history and received good performance reviews. He argues that removal was disproportionate to the offense, his first disciplinary infraction, and that the failure to apply progressive discipline was reversible error. We disagree. </w:t>
      </w:r>
    </w:p>
    <w:p w14:paraId="4D5DFC44" w14:textId="77777777" w:rsidR="007E3A28" w:rsidRDefault="007E3A28" w:rsidP="007E3A28">
      <w:pPr>
        <w:spacing w:before="100" w:beforeAutospacing="1" w:after="100" w:afterAutospacing="1" w:line="240" w:lineRule="auto"/>
        <w:ind w:left="720" w:firstLine="60"/>
        <w:rPr>
          <w:rFonts w:ascii="Times New Roman" w:eastAsia="Times New Roman" w:hAnsi="Times New Roman"/>
          <w:sz w:val="24"/>
          <w:szCs w:val="24"/>
        </w:rPr>
      </w:pPr>
      <w:r>
        <w:rPr>
          <w:rFonts w:ascii="Times New Roman" w:eastAsia="Times New Roman" w:hAnsi="Times New Roman"/>
          <w:sz w:val="24"/>
          <w:szCs w:val="24"/>
        </w:rPr>
        <w:t>***</w:t>
      </w:r>
    </w:p>
    <w:p w14:paraId="4EF479D0" w14:textId="1F741210" w:rsidR="007E3A28" w:rsidRDefault="007E3A28" w:rsidP="007E3A28">
      <w:pPr>
        <w:pStyle w:val="NoSpacing"/>
        <w:ind w:left="720"/>
        <w:rPr>
          <w:rStyle w:val="Hyperlink"/>
          <w:rFonts w:ascii="Times New Roman" w:hAnsi="Times New Roman"/>
          <w:sz w:val="24"/>
          <w:szCs w:val="24"/>
        </w:rPr>
      </w:pPr>
      <w:r w:rsidRPr="007E3A28">
        <w:rPr>
          <w:rFonts w:ascii="Times New Roman" w:hAnsi="Times New Roman"/>
          <w:sz w:val="24"/>
          <w:szCs w:val="24"/>
        </w:rPr>
        <w:t xml:space="preserve">Even though committed while </w:t>
      </w:r>
      <w:proofErr w:type="gramStart"/>
      <w:r w:rsidRPr="007E3A28">
        <w:rPr>
          <w:rFonts w:ascii="Times New Roman" w:hAnsi="Times New Roman"/>
          <w:sz w:val="24"/>
          <w:szCs w:val="24"/>
        </w:rPr>
        <w:t>off-duty</w:t>
      </w:r>
      <w:proofErr w:type="gramEnd"/>
      <w:r w:rsidRPr="007E3A28">
        <w:rPr>
          <w:rFonts w:ascii="Times New Roman" w:hAnsi="Times New Roman"/>
          <w:sz w:val="24"/>
          <w:szCs w:val="24"/>
        </w:rPr>
        <w:t xml:space="preserve">, the aggravated assault, coupled with the failure to report the incident, subsequent criminal prosecution, conviction, and sentence, and his resulting inability to perform duties during his jail term, constituted egregious misconduct. Here, the Commission's decision was supported by substantial credible evidence and was not arbitrary, capricious, or unreasonable despite the absence of prior disciplinary infractions. Removal does not shock our sense of fairness. Accordingly, we discern no basis to overturn the Commission's decision.”  </w:t>
      </w:r>
      <w:hyperlink r:id="rId2651" w:history="1">
        <w:r w:rsidRPr="007E3A28">
          <w:rPr>
            <w:rStyle w:val="Hyperlink"/>
            <w:rFonts w:ascii="Times New Roman" w:hAnsi="Times New Roman"/>
            <w:sz w:val="24"/>
            <w:szCs w:val="24"/>
          </w:rPr>
          <w:t>https://public.fastcase.com/9SKwsfNqTc6OieYDhNMyMyDFWJKG68%2FxrxDgF%2ByOzsjPpcL4jvi7QzZ2AR2rzbKPcZbDkGArV5tenVtyFKk%2FX7II2Lot3PKpssqnJQodheI%3</w:t>
        </w:r>
      </w:hyperlink>
    </w:p>
    <w:p w14:paraId="42E5B69F" w14:textId="019BBE31" w:rsidR="007E3A28" w:rsidRDefault="007E3A28" w:rsidP="007E3A28">
      <w:pPr>
        <w:pStyle w:val="NoSpacing"/>
        <w:ind w:left="720"/>
        <w:rPr>
          <w:rStyle w:val="Hyperlink"/>
          <w:rFonts w:ascii="Times New Roman" w:hAnsi="Times New Roman"/>
          <w:sz w:val="24"/>
          <w:szCs w:val="24"/>
        </w:rPr>
      </w:pPr>
    </w:p>
    <w:p w14:paraId="0962CB57" w14:textId="77777777" w:rsidR="007E3A28" w:rsidRPr="001D74E3" w:rsidRDefault="007E3A28" w:rsidP="007E3A28">
      <w:pPr>
        <w:pStyle w:val="NormalWeb"/>
        <w:rPr>
          <w:b/>
          <w:bCs/>
        </w:rPr>
      </w:pPr>
      <w:r w:rsidRPr="001D74E3">
        <w:rPr>
          <w:b/>
          <w:bCs/>
        </w:rPr>
        <w:t>Legal Lesson Learned:</w:t>
      </w:r>
      <w:r>
        <w:rPr>
          <w:b/>
          <w:bCs/>
        </w:rPr>
        <w:t xml:space="preserve"> Fire &amp; EMS Departments should adopt SOG requiring personnel to report arrests, convictions and jail sentences. </w:t>
      </w:r>
    </w:p>
    <w:p w14:paraId="2E1F7171" w14:textId="77777777" w:rsidR="007E3A28" w:rsidRPr="008E3A70" w:rsidRDefault="007E3A28" w:rsidP="007E3A28">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See the Civil Service Commission decision of April 15, 2020: </w:t>
      </w:r>
      <w:hyperlink r:id="rId2652" w:history="1">
        <w:r w:rsidRPr="007C6FB3">
          <w:rPr>
            <w:rStyle w:val="Hyperlink"/>
            <w:rFonts w:ascii="Times New Roman" w:eastAsia="Times New Roman" w:hAnsi="Times New Roman"/>
            <w:sz w:val="24"/>
            <w:szCs w:val="24"/>
          </w:rPr>
          <w:t>https://www.nj.gov/csc/about/meetings/decisions/pdf/2020/4-15-20/A-004%204-15-20.pdf</w:t>
        </w:r>
      </w:hyperlink>
      <w:r>
        <w:rPr>
          <w:rFonts w:ascii="Times New Roman" w:eastAsia="Times New Roman" w:hAnsi="Times New Roman"/>
          <w:sz w:val="24"/>
          <w:szCs w:val="24"/>
        </w:rPr>
        <w:t xml:space="preserve"> </w:t>
      </w:r>
    </w:p>
    <w:p w14:paraId="4EDC1BC4" w14:textId="77777777" w:rsidR="007E3A28" w:rsidRPr="007E3A28" w:rsidRDefault="007E3A28" w:rsidP="007E3A28">
      <w:pPr>
        <w:pStyle w:val="NoSpacing"/>
        <w:ind w:left="720"/>
        <w:rPr>
          <w:rFonts w:ascii="Times New Roman" w:hAnsi="Times New Roman"/>
          <w:sz w:val="24"/>
          <w:szCs w:val="24"/>
        </w:rPr>
      </w:pPr>
    </w:p>
    <w:p w14:paraId="7B6906CC" w14:textId="77777777" w:rsidR="00506EE7" w:rsidRPr="007E3A28" w:rsidRDefault="00506EE7" w:rsidP="00F326E5">
      <w:pPr>
        <w:pStyle w:val="NoSpacing"/>
        <w:rPr>
          <w:rFonts w:ascii="Times New Roman" w:hAnsi="Times New Roman"/>
          <w:sz w:val="24"/>
          <w:szCs w:val="24"/>
        </w:rPr>
      </w:pPr>
    </w:p>
    <w:p w14:paraId="445E2BD0" w14:textId="47D61824" w:rsidR="00774A91" w:rsidRDefault="00774A91" w:rsidP="00F326E5">
      <w:pPr>
        <w:pStyle w:val="NoSpacing"/>
        <w:rPr>
          <w:rFonts w:ascii="Arial Black" w:hAnsi="Arial Black"/>
          <w:sz w:val="24"/>
          <w:szCs w:val="24"/>
        </w:rPr>
      </w:pPr>
      <w:r>
        <w:rPr>
          <w:rFonts w:ascii="Arial Black" w:hAnsi="Arial Black"/>
          <w:sz w:val="24"/>
          <w:szCs w:val="24"/>
        </w:rPr>
        <w:t>16-58</w:t>
      </w:r>
    </w:p>
    <w:p w14:paraId="22D16585" w14:textId="77777777" w:rsidR="00774A91" w:rsidRPr="004C3428" w:rsidRDefault="00774A91" w:rsidP="00774A91">
      <w:pPr>
        <w:spacing w:before="100" w:beforeAutospacing="1" w:after="100" w:afterAutospacing="1" w:line="240" w:lineRule="auto"/>
        <w:rPr>
          <w:rFonts w:ascii="Arial Black" w:eastAsia="Times New Roman" w:hAnsi="Arial Black"/>
          <w:b/>
          <w:bCs/>
          <w:sz w:val="28"/>
          <w:szCs w:val="28"/>
        </w:rPr>
      </w:pPr>
      <w:r w:rsidRPr="004C3428">
        <w:rPr>
          <w:rFonts w:ascii="Arial Black" w:eastAsia="Times New Roman" w:hAnsi="Arial Black"/>
          <w:b/>
          <w:bCs/>
          <w:sz w:val="28"/>
          <w:szCs w:val="28"/>
        </w:rPr>
        <w:t xml:space="preserve">OH: </w:t>
      </w:r>
      <w:r>
        <w:rPr>
          <w:rFonts w:ascii="Arial Black" w:eastAsia="Times New Roman" w:hAnsi="Arial Black"/>
          <w:b/>
          <w:bCs/>
          <w:sz w:val="28"/>
          <w:szCs w:val="28"/>
        </w:rPr>
        <w:t>NEW HAZING LAW – AIMED AT COLLEGE FRATERITIES –BUT ALSO MESSAGE FOR ALL ABOUT RISKS OF HAZING</w:t>
      </w:r>
    </w:p>
    <w:p w14:paraId="56306A52" w14:textId="77777777" w:rsidR="00774A91" w:rsidRDefault="00774A91" w:rsidP="00774A91">
      <w:pPr>
        <w:pStyle w:val="dropcap"/>
      </w:pPr>
      <w:r w:rsidRPr="004C3428">
        <w:t xml:space="preserve">On Oct. 7, 2021, the new “Collin’s Law” came into effect; named after Collin Wiant who died after a hazing incident at Ohio University in 2018. </w:t>
      </w:r>
      <w:r>
        <w:t xml:space="preserve">  On July 6, 2021, Governor Mike DeWine signed into law “The Ohio Anti-Hazing Act’ which is a criminal statute that amends Ohio Revised Code 2903.31. </w:t>
      </w:r>
      <w:hyperlink r:id="rId2653" w:history="1">
        <w:r w:rsidRPr="00386EA0">
          <w:rPr>
            <w:rStyle w:val="Hyperlink"/>
          </w:rPr>
          <w:t>https://codes.ohio.gov/ohio-revised-code/section-2903.31</w:t>
        </w:r>
      </w:hyperlink>
      <w:r>
        <w:t xml:space="preserve"> </w:t>
      </w:r>
    </w:p>
    <w:p w14:paraId="1A6B9ED0" w14:textId="77777777" w:rsidR="00774A91" w:rsidRDefault="00774A91" w:rsidP="00774A91">
      <w:pPr>
        <w:spacing w:before="100" w:beforeAutospacing="1" w:after="100" w:afterAutospacing="1" w:line="240" w:lineRule="auto"/>
        <w:ind w:left="720"/>
        <w:rPr>
          <w:rFonts w:ascii="Times New Roman" w:hAnsi="Times New Roman"/>
          <w:sz w:val="24"/>
          <w:szCs w:val="24"/>
        </w:rPr>
      </w:pPr>
      <w:r w:rsidRPr="008C25CB">
        <w:rPr>
          <w:rFonts w:ascii="Times New Roman" w:hAnsi="Times New Roman"/>
          <w:sz w:val="24"/>
          <w:szCs w:val="24"/>
        </w:rPr>
        <w:t>See article: “Fraternity members waited to call 911 as Collin Wiant was dying.” May 17, 2021. “Collin Wiant took the small canister filled with nitrous oxide, inhaled, and within</w:t>
      </w:r>
      <w:r>
        <w:rPr>
          <w:rFonts w:ascii="Times New Roman" w:hAnsi="Times New Roman"/>
          <w:sz w:val="24"/>
          <w:szCs w:val="24"/>
        </w:rPr>
        <w:t xml:space="preserve"> </w:t>
      </w:r>
      <w:r w:rsidRPr="008C25CB">
        <w:rPr>
          <w:rFonts w:ascii="Times New Roman" w:hAnsi="Times New Roman"/>
          <w:sz w:val="24"/>
          <w:szCs w:val="24"/>
        </w:rPr>
        <w:t xml:space="preserve">seconds fell backward onto a futon. </w:t>
      </w:r>
      <w:r w:rsidRPr="004C3428">
        <w:rPr>
          <w:rFonts w:ascii="Times New Roman" w:eastAsia="Times New Roman" w:hAnsi="Times New Roman"/>
          <w:sz w:val="24"/>
          <w:szCs w:val="24"/>
        </w:rPr>
        <w:t xml:space="preserve">His face drained of </w:t>
      </w:r>
      <w:proofErr w:type="gramStart"/>
      <w:r w:rsidRPr="004C3428">
        <w:rPr>
          <w:rFonts w:ascii="Times New Roman" w:eastAsia="Times New Roman" w:hAnsi="Times New Roman"/>
          <w:sz w:val="24"/>
          <w:szCs w:val="24"/>
        </w:rPr>
        <w:t>color</w:t>
      </w:r>
      <w:proofErr w:type="gramEnd"/>
      <w:r w:rsidRPr="004C3428">
        <w:rPr>
          <w:rFonts w:ascii="Times New Roman" w:eastAsia="Times New Roman" w:hAnsi="Times New Roman"/>
          <w:sz w:val="24"/>
          <w:szCs w:val="24"/>
        </w:rPr>
        <w:t xml:space="preserve"> and he began to make noises that alarmed the three Sigma Pi fraternity brothers nearb</w:t>
      </w:r>
      <w:r w:rsidRPr="008C25CB">
        <w:rPr>
          <w:rFonts w:ascii="Times New Roman" w:hAnsi="Times New Roman"/>
          <w:sz w:val="24"/>
          <w:szCs w:val="24"/>
        </w:rPr>
        <w:t>y. *** Joshua, who bought the “</w:t>
      </w:r>
      <w:proofErr w:type="spellStart"/>
      <w:r w:rsidRPr="008C25CB">
        <w:rPr>
          <w:rFonts w:ascii="Times New Roman" w:hAnsi="Times New Roman"/>
          <w:sz w:val="24"/>
          <w:szCs w:val="24"/>
        </w:rPr>
        <w:t>whippit</w:t>
      </w:r>
      <w:proofErr w:type="spellEnd"/>
      <w:r w:rsidRPr="008C25CB">
        <w:rPr>
          <w:rFonts w:ascii="Times New Roman" w:hAnsi="Times New Roman"/>
          <w:sz w:val="24"/>
          <w:szCs w:val="24"/>
        </w:rPr>
        <w:t xml:space="preserve">” canister from which Collin had inhaled the gas, pressed down on Collin’s chest </w:t>
      </w:r>
      <w:proofErr w:type="gramStart"/>
      <w:r w:rsidRPr="008C25CB">
        <w:rPr>
          <w:rFonts w:ascii="Times New Roman" w:hAnsi="Times New Roman"/>
          <w:sz w:val="24"/>
          <w:szCs w:val="24"/>
        </w:rPr>
        <w:t>over and over</w:t>
      </w:r>
      <w:proofErr w:type="gramEnd"/>
      <w:r w:rsidRPr="008C25CB">
        <w:rPr>
          <w:rFonts w:ascii="Times New Roman" w:hAnsi="Times New Roman"/>
          <w:sz w:val="24"/>
          <w:szCs w:val="24"/>
        </w:rPr>
        <w:t xml:space="preserve">. He was breathing into Collin’s mouth every 20 seconds. </w:t>
      </w:r>
      <w:r w:rsidRPr="004C3428">
        <w:rPr>
          <w:rFonts w:ascii="Times New Roman" w:eastAsia="Times New Roman" w:hAnsi="Times New Roman"/>
          <w:sz w:val="24"/>
          <w:szCs w:val="24"/>
        </w:rPr>
        <w:t>Paramedics arrived within minutes at the unofficial, off-campus home of the Sigma Pi fraternity.</w:t>
      </w:r>
      <w:r w:rsidRPr="008C25CB">
        <w:rPr>
          <w:rFonts w:ascii="Times New Roman" w:hAnsi="Times New Roman"/>
          <w:sz w:val="24"/>
          <w:szCs w:val="24"/>
        </w:rPr>
        <w:t xml:space="preserve"> </w:t>
      </w:r>
      <w:r w:rsidRPr="004C3428">
        <w:rPr>
          <w:rFonts w:ascii="Times New Roman" w:eastAsia="Times New Roman" w:hAnsi="Times New Roman"/>
          <w:sz w:val="24"/>
          <w:szCs w:val="24"/>
        </w:rPr>
        <w:t>But it was too late to save him.</w:t>
      </w:r>
      <w:r w:rsidRPr="008C25CB">
        <w:rPr>
          <w:rFonts w:ascii="Times New Roman" w:hAnsi="Times New Roman"/>
          <w:sz w:val="24"/>
          <w:szCs w:val="24"/>
        </w:rPr>
        <w:t xml:space="preserve"> </w:t>
      </w:r>
      <w:r w:rsidRPr="004C3428">
        <w:rPr>
          <w:rFonts w:ascii="Times New Roman" w:eastAsia="Times New Roman" w:hAnsi="Times New Roman"/>
          <w:sz w:val="24"/>
          <w:szCs w:val="24"/>
        </w:rPr>
        <w:t>Collin died at an Athens hospital shortly after 3 a.m. on Nov. 12, 2018.</w:t>
      </w:r>
      <w:r w:rsidRPr="008C25CB">
        <w:rPr>
          <w:rFonts w:ascii="Times New Roman" w:hAnsi="Times New Roman"/>
          <w:sz w:val="24"/>
          <w:szCs w:val="24"/>
        </w:rPr>
        <w:t xml:space="preserve">   </w:t>
      </w:r>
      <w:hyperlink r:id="rId2654" w:history="1">
        <w:r w:rsidRPr="008C25CB">
          <w:rPr>
            <w:rStyle w:val="Hyperlink"/>
            <w:sz w:val="24"/>
            <w:szCs w:val="24"/>
          </w:rPr>
          <w:t>https://www.dispatch.com/in-depth/news/2021/05/17/broken-pledge-fraternity-hazing-collin-wiant-death-ohio-university/5071265001/</w:t>
        </w:r>
      </w:hyperlink>
    </w:p>
    <w:p w14:paraId="2DB84EEE" w14:textId="77777777" w:rsidR="00774A91" w:rsidRDefault="00774A91" w:rsidP="00774A91">
      <w:pPr>
        <w:pStyle w:val="NormalWeb"/>
        <w:rPr>
          <w:b/>
          <w:bCs/>
        </w:rPr>
      </w:pPr>
      <w:r>
        <w:rPr>
          <w:b/>
          <w:bCs/>
        </w:rPr>
        <w:t xml:space="preserve">Legal Lesson Learned: Fire &amp; EMS departments should conduct training on their state laws on hazing. </w:t>
      </w:r>
    </w:p>
    <w:p w14:paraId="12B8D13D" w14:textId="77777777" w:rsidR="00774A91" w:rsidRDefault="00774A91" w:rsidP="00774A91">
      <w:pPr>
        <w:spacing w:before="100" w:beforeAutospacing="1" w:after="100" w:afterAutospacing="1" w:line="240" w:lineRule="auto"/>
        <w:ind w:left="720"/>
        <w:rPr>
          <w:b/>
          <w:bCs/>
        </w:rPr>
      </w:pPr>
      <w:r>
        <w:rPr>
          <w:rFonts w:ascii="Times New Roman" w:eastAsia="Times New Roman" w:hAnsi="Times New Roman"/>
          <w:sz w:val="24"/>
          <w:szCs w:val="24"/>
        </w:rPr>
        <w:t>Note:  “</w:t>
      </w:r>
      <w:r w:rsidRPr="00853D1E">
        <w:rPr>
          <w:rFonts w:ascii="Times New Roman" w:eastAsia="Times New Roman" w:hAnsi="Times New Roman"/>
          <w:sz w:val="24"/>
          <w:szCs w:val="24"/>
        </w:rPr>
        <w:t xml:space="preserve">Under the new 2903.31, </w:t>
      </w:r>
      <w:r>
        <w:rPr>
          <w:rFonts w:ascii="Times New Roman" w:eastAsia="Times New Roman" w:hAnsi="Times New Roman"/>
          <w:sz w:val="24"/>
          <w:szCs w:val="24"/>
        </w:rPr>
        <w:t>‘</w:t>
      </w:r>
      <w:r w:rsidRPr="00853D1E">
        <w:rPr>
          <w:rFonts w:ascii="Times New Roman" w:eastAsia="Times New Roman" w:hAnsi="Times New Roman"/>
          <w:sz w:val="24"/>
          <w:szCs w:val="24"/>
        </w:rPr>
        <w:t>hazing</w:t>
      </w:r>
      <w:r>
        <w:rPr>
          <w:rFonts w:ascii="Times New Roman" w:eastAsia="Times New Roman" w:hAnsi="Times New Roman"/>
          <w:sz w:val="24"/>
          <w:szCs w:val="24"/>
        </w:rPr>
        <w:t>’</w:t>
      </w:r>
      <w:r w:rsidRPr="00853D1E">
        <w:rPr>
          <w:rFonts w:ascii="Times New Roman" w:eastAsia="Times New Roman" w:hAnsi="Times New Roman"/>
          <w:sz w:val="24"/>
          <w:szCs w:val="24"/>
        </w:rPr>
        <w:t xml:space="preserve"> adds the language in bold:</w:t>
      </w:r>
      <w:r>
        <w:rPr>
          <w:rFonts w:ascii="Times New Roman" w:eastAsia="Times New Roman" w:hAnsi="Times New Roman"/>
          <w:sz w:val="24"/>
          <w:szCs w:val="24"/>
        </w:rPr>
        <w:t xml:space="preserve"> </w:t>
      </w:r>
      <w:r w:rsidRPr="00853D1E">
        <w:rPr>
          <w:rFonts w:ascii="Times New Roman" w:eastAsia="Times New Roman" w:hAnsi="Times New Roman"/>
          <w:sz w:val="24"/>
          <w:szCs w:val="24"/>
        </w:rPr>
        <w:t xml:space="preserve">(1) </w:t>
      </w:r>
      <w:r>
        <w:rPr>
          <w:rFonts w:ascii="Times New Roman" w:eastAsia="Times New Roman" w:hAnsi="Times New Roman"/>
          <w:sz w:val="24"/>
          <w:szCs w:val="24"/>
        </w:rPr>
        <w:t>‘</w:t>
      </w:r>
      <w:r w:rsidRPr="00853D1E">
        <w:rPr>
          <w:rFonts w:ascii="Times New Roman" w:eastAsia="Times New Roman" w:hAnsi="Times New Roman"/>
          <w:sz w:val="24"/>
          <w:szCs w:val="24"/>
        </w:rPr>
        <w:t>Hazing</w:t>
      </w:r>
      <w:r>
        <w:rPr>
          <w:rFonts w:ascii="Times New Roman" w:eastAsia="Times New Roman" w:hAnsi="Times New Roman"/>
          <w:sz w:val="24"/>
          <w:szCs w:val="24"/>
        </w:rPr>
        <w:t>’</w:t>
      </w:r>
      <w:r w:rsidRPr="00853D1E">
        <w:rPr>
          <w:rFonts w:ascii="Times New Roman" w:eastAsia="Times New Roman" w:hAnsi="Times New Roman"/>
          <w:sz w:val="24"/>
          <w:szCs w:val="24"/>
        </w:rPr>
        <w:t xml:space="preserve"> means doing any act or coercing another, including the victim, to do any act of initiation into any student or other organization </w:t>
      </w:r>
      <w:r w:rsidRPr="00853D1E">
        <w:rPr>
          <w:rFonts w:ascii="Times New Roman" w:eastAsia="Times New Roman" w:hAnsi="Times New Roman"/>
          <w:b/>
          <w:bCs/>
          <w:sz w:val="24"/>
          <w:szCs w:val="24"/>
        </w:rPr>
        <w:t>or any act to continue or reinstate membership in or affiliation with any student or other organization</w:t>
      </w:r>
      <w:r w:rsidRPr="00853D1E">
        <w:rPr>
          <w:rFonts w:ascii="Times New Roman" w:eastAsia="Times New Roman" w:hAnsi="Times New Roman"/>
          <w:sz w:val="24"/>
          <w:szCs w:val="24"/>
        </w:rPr>
        <w:t xml:space="preserve"> that causes or creates a substantial risk of causing mental or physical harm to any person, </w:t>
      </w:r>
      <w:r w:rsidRPr="00853D1E">
        <w:rPr>
          <w:rFonts w:ascii="Times New Roman" w:eastAsia="Times New Roman" w:hAnsi="Times New Roman"/>
          <w:b/>
          <w:bCs/>
          <w:sz w:val="24"/>
          <w:szCs w:val="24"/>
        </w:rPr>
        <w:t>including coercing another to consume alcohol or a drug of abuse, as defined in section 3719.011 of the Revised Code.</w:t>
      </w:r>
      <w:r>
        <w:rPr>
          <w:rFonts w:ascii="Times New Roman" w:eastAsia="Times New Roman" w:hAnsi="Times New Roman"/>
          <w:b/>
          <w:bCs/>
          <w:sz w:val="24"/>
          <w:szCs w:val="24"/>
        </w:rPr>
        <w:t xml:space="preserve">” </w:t>
      </w:r>
      <w:hyperlink r:id="rId2655" w:history="1">
        <w:r w:rsidRPr="00386EA0">
          <w:rPr>
            <w:rStyle w:val="Hyperlink"/>
            <w:sz w:val="24"/>
            <w:szCs w:val="24"/>
          </w:rPr>
          <w:t>https://www.rittgers.com/blog/2021/07/what-does-ohios-new-anti-hazing-law-mean/</w:t>
        </w:r>
      </w:hyperlink>
    </w:p>
    <w:p w14:paraId="1B3E152C" w14:textId="77777777" w:rsidR="00774A91" w:rsidRDefault="00774A91" w:rsidP="00F326E5">
      <w:pPr>
        <w:pStyle w:val="NoSpacing"/>
        <w:rPr>
          <w:rFonts w:ascii="Arial Black" w:hAnsi="Arial Black"/>
          <w:sz w:val="24"/>
          <w:szCs w:val="24"/>
        </w:rPr>
      </w:pPr>
    </w:p>
    <w:p w14:paraId="4B22399E" w14:textId="77777777" w:rsidR="00774A91" w:rsidRDefault="00774A91" w:rsidP="00F326E5">
      <w:pPr>
        <w:pStyle w:val="NoSpacing"/>
        <w:rPr>
          <w:rFonts w:ascii="Arial Black" w:hAnsi="Arial Black"/>
          <w:sz w:val="24"/>
          <w:szCs w:val="24"/>
        </w:rPr>
      </w:pPr>
    </w:p>
    <w:p w14:paraId="23E06B06" w14:textId="6BC3A1C7" w:rsidR="00BD1702" w:rsidRDefault="00BD1702" w:rsidP="00F326E5">
      <w:pPr>
        <w:pStyle w:val="NoSpacing"/>
        <w:rPr>
          <w:rFonts w:ascii="Arial Black" w:hAnsi="Arial Black"/>
          <w:sz w:val="24"/>
          <w:szCs w:val="24"/>
        </w:rPr>
      </w:pPr>
      <w:r>
        <w:rPr>
          <w:rFonts w:ascii="Arial Black" w:hAnsi="Arial Black"/>
          <w:sz w:val="24"/>
          <w:szCs w:val="24"/>
        </w:rPr>
        <w:t>16-57</w:t>
      </w:r>
    </w:p>
    <w:p w14:paraId="30FBF292" w14:textId="77777777" w:rsidR="00BD1702" w:rsidRDefault="00BD1702" w:rsidP="00BD1702">
      <w:pPr>
        <w:spacing w:before="100" w:beforeAutospacing="1" w:after="100" w:afterAutospacing="1" w:line="240" w:lineRule="auto"/>
        <w:ind w:left="90"/>
        <w:jc w:val="both"/>
        <w:rPr>
          <w:rFonts w:ascii="Arial Black" w:hAnsi="Arial Black"/>
          <w:sz w:val="28"/>
          <w:szCs w:val="28"/>
        </w:rPr>
      </w:pPr>
      <w:r>
        <w:rPr>
          <w:rFonts w:ascii="Arial Black" w:hAnsi="Arial Black"/>
          <w:sz w:val="28"/>
          <w:szCs w:val="28"/>
        </w:rPr>
        <w:t>VA: FF FIRED AFTER ARREST D.C. – RALLY AGAINST TRUMP – FIRE CHIEF DIDN’T HOLD PRE-TERMINATION HEARING</w:t>
      </w:r>
    </w:p>
    <w:p w14:paraId="4C95A45A" w14:textId="77777777" w:rsidR="00BD1702" w:rsidRDefault="00BD1702" w:rsidP="00BD1702">
      <w:pPr>
        <w:spacing w:before="100" w:beforeAutospacing="1" w:after="100" w:afterAutospacing="1" w:line="240" w:lineRule="auto"/>
        <w:ind w:left="90" w:hanging="90"/>
        <w:rPr>
          <w:rFonts w:ascii="Times New Roman" w:hAnsi="Times New Roman"/>
          <w:sz w:val="24"/>
          <w:szCs w:val="24"/>
        </w:rPr>
      </w:pPr>
      <w:r>
        <w:rPr>
          <w:rFonts w:ascii="Times New Roman" w:hAnsi="Times New Roman"/>
          <w:sz w:val="24"/>
          <w:szCs w:val="24"/>
        </w:rPr>
        <w:t xml:space="preserve">On Sept. 30, 2021, in </w:t>
      </w:r>
      <w:r>
        <w:rPr>
          <w:rFonts w:ascii="Times New Roman" w:hAnsi="Times New Roman"/>
          <w:sz w:val="24"/>
          <w:szCs w:val="24"/>
          <w:u w:val="single"/>
        </w:rPr>
        <w:t xml:space="preserve">Rosa </w:t>
      </w:r>
      <w:proofErr w:type="spellStart"/>
      <w:r>
        <w:rPr>
          <w:rFonts w:ascii="Times New Roman" w:hAnsi="Times New Roman"/>
          <w:sz w:val="24"/>
          <w:szCs w:val="24"/>
          <w:u w:val="single"/>
        </w:rPr>
        <w:t>Roncales</w:t>
      </w:r>
      <w:proofErr w:type="spellEnd"/>
      <w:r>
        <w:rPr>
          <w:rFonts w:ascii="Times New Roman" w:hAnsi="Times New Roman"/>
          <w:sz w:val="24"/>
          <w:szCs w:val="24"/>
          <w:u w:val="single"/>
        </w:rPr>
        <w:t xml:space="preserve"> v. Anthony McDowell, et al</w:t>
      </w:r>
      <w:r>
        <w:rPr>
          <w:rFonts w:ascii="Times New Roman" w:hAnsi="Times New Roman"/>
          <w:sz w:val="24"/>
          <w:szCs w:val="24"/>
        </w:rPr>
        <w:t xml:space="preserve">., United States District Court Judge </w:t>
      </w:r>
      <w:proofErr w:type="spellStart"/>
      <w:r>
        <w:rPr>
          <w:rFonts w:ascii="Times New Roman" w:hAnsi="Times New Roman"/>
          <w:sz w:val="24"/>
          <w:szCs w:val="24"/>
        </w:rPr>
        <w:t>Harnah</w:t>
      </w:r>
      <w:proofErr w:type="spellEnd"/>
      <w:r>
        <w:rPr>
          <w:rFonts w:ascii="Times New Roman" w:hAnsi="Times New Roman"/>
          <w:sz w:val="24"/>
          <w:szCs w:val="24"/>
        </w:rPr>
        <w:t xml:space="preserve"> Lauck, Eastern District of Virginia, denied the Fire Chief’s motion for summary judgment; while he met with her on day of her termination, he didn’t offer her a pre-termination hearing.  After her arrest, she was interviewed by County of Henrico Division of Fire officers on three occasions, who after talking with a D.C. Police detective, asked her whether she had a gas mask in her </w:t>
      </w:r>
      <w:proofErr w:type="gramStart"/>
      <w:r>
        <w:rPr>
          <w:rFonts w:ascii="Times New Roman" w:hAnsi="Times New Roman"/>
          <w:sz w:val="24"/>
          <w:szCs w:val="24"/>
        </w:rPr>
        <w:t>back pack</w:t>
      </w:r>
      <w:proofErr w:type="gramEnd"/>
      <w:r>
        <w:rPr>
          <w:rFonts w:ascii="Times New Roman" w:hAnsi="Times New Roman"/>
          <w:sz w:val="24"/>
          <w:szCs w:val="24"/>
        </w:rPr>
        <w:t xml:space="preserve">, and whether she covered up the </w:t>
      </w:r>
      <w:proofErr w:type="gramStart"/>
      <w:r>
        <w:rPr>
          <w:rFonts w:ascii="Times New Roman" w:hAnsi="Times New Roman"/>
          <w:sz w:val="24"/>
          <w:szCs w:val="24"/>
        </w:rPr>
        <w:t>back pack</w:t>
      </w:r>
      <w:proofErr w:type="gramEnd"/>
      <w:r>
        <w:rPr>
          <w:rFonts w:ascii="Times New Roman" w:hAnsi="Times New Roman"/>
          <w:sz w:val="24"/>
          <w:szCs w:val="24"/>
        </w:rPr>
        <w:t xml:space="preserve"> labels with black tape to avoid identification.  </w:t>
      </w:r>
    </w:p>
    <w:p w14:paraId="23CEFE51" w14:textId="77777777" w:rsidR="00BD1702" w:rsidRDefault="00BD1702" w:rsidP="00BD1702">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“The parties do not contest that Fire Chief McDowell failed to provide </w:t>
      </w:r>
      <w:proofErr w:type="spellStart"/>
      <w:r>
        <w:rPr>
          <w:rFonts w:ascii="Times New Roman" w:hAnsi="Times New Roman"/>
          <w:sz w:val="24"/>
          <w:szCs w:val="24"/>
        </w:rPr>
        <w:t>Roncales</w:t>
      </w:r>
      <w:proofErr w:type="spellEnd"/>
      <w:r>
        <w:rPr>
          <w:rFonts w:ascii="Times New Roman" w:hAnsi="Times New Roman"/>
          <w:sz w:val="24"/>
          <w:szCs w:val="24"/>
        </w:rPr>
        <w:t xml:space="preserve"> with a pre-termination hearing. And because </w:t>
      </w:r>
      <w:proofErr w:type="spellStart"/>
      <w:r>
        <w:rPr>
          <w:rFonts w:ascii="Times New Roman" w:hAnsi="Times New Roman"/>
          <w:sz w:val="24"/>
          <w:szCs w:val="24"/>
        </w:rPr>
        <w:t>Roncales</w:t>
      </w:r>
      <w:proofErr w:type="spellEnd"/>
      <w:r>
        <w:rPr>
          <w:rFonts w:ascii="Times New Roman" w:hAnsi="Times New Roman"/>
          <w:sz w:val="24"/>
          <w:szCs w:val="24"/>
        </w:rPr>
        <w:t xml:space="preserve"> presents evidence sufficient for a jury to reasonably find that Fire Chief McDowell's statements [in termination letter and memo to County Manager about her lack of honesty] deprived her of a liberty interest, any such deprivation therefore occurred ‘without due process of law….’ Because </w:t>
      </w:r>
      <w:proofErr w:type="spellStart"/>
      <w:r>
        <w:rPr>
          <w:rFonts w:ascii="Times New Roman" w:hAnsi="Times New Roman"/>
          <w:sz w:val="24"/>
          <w:szCs w:val="24"/>
        </w:rPr>
        <w:t>Roncales's</w:t>
      </w:r>
      <w:proofErr w:type="spellEnd"/>
      <w:r>
        <w:rPr>
          <w:rFonts w:ascii="Times New Roman" w:hAnsi="Times New Roman"/>
          <w:sz w:val="24"/>
          <w:szCs w:val="24"/>
        </w:rPr>
        <w:t xml:space="preserve"> right to a pre-termination hearing was clearly established at the time of his actions, Fire Chief McDowell is not entitled to qualified immunity on </w:t>
      </w:r>
      <w:proofErr w:type="spellStart"/>
      <w:r>
        <w:rPr>
          <w:rFonts w:ascii="Times New Roman" w:hAnsi="Times New Roman"/>
          <w:sz w:val="24"/>
          <w:szCs w:val="24"/>
        </w:rPr>
        <w:t>Roncales's</w:t>
      </w:r>
      <w:proofErr w:type="spellEnd"/>
      <w:r>
        <w:rPr>
          <w:rFonts w:ascii="Times New Roman" w:hAnsi="Times New Roman"/>
          <w:sz w:val="24"/>
          <w:szCs w:val="24"/>
        </w:rPr>
        <w:t xml:space="preserve"> due process claim.” </w:t>
      </w:r>
      <w:hyperlink r:id="rId2656" w:history="1">
        <w:r>
          <w:rPr>
            <w:rStyle w:val="Hyperlink"/>
            <w:sz w:val="24"/>
            <w:szCs w:val="24"/>
          </w:rPr>
          <w:t>https://www.leagle.com/decision/infdco20211006817</w:t>
        </w:r>
      </w:hyperlink>
      <w:r>
        <w:rPr>
          <w:rFonts w:ascii="Times New Roman" w:hAnsi="Times New Roman"/>
          <w:sz w:val="24"/>
          <w:szCs w:val="24"/>
        </w:rPr>
        <w:t xml:space="preserve">  </w:t>
      </w:r>
    </w:p>
    <w:p w14:paraId="53BAB123" w14:textId="77777777" w:rsidR="00BD1702" w:rsidRDefault="00BD1702" w:rsidP="00BD1702">
      <w:pPr>
        <w:spacing w:before="100" w:beforeAutospacing="1" w:after="100" w:afterAutospacing="1" w:line="240" w:lineRule="auto"/>
        <w:jc w:val="both"/>
        <w:rPr>
          <w:rFonts w:ascii="Times New Roman" w:hAnsi="Times New Roman"/>
          <w:b/>
          <w:bCs/>
          <w:sz w:val="24"/>
          <w:szCs w:val="24"/>
        </w:rPr>
      </w:pPr>
      <w:r>
        <w:rPr>
          <w:rFonts w:ascii="Times New Roman" w:hAnsi="Times New Roman"/>
          <w:b/>
          <w:bCs/>
          <w:sz w:val="24"/>
          <w:szCs w:val="24"/>
        </w:rPr>
        <w:t xml:space="preserve">Legal Lesson Learned:  Provide a pre-termination hearing, record the session so there is recorded evidence of any admissions. </w:t>
      </w:r>
    </w:p>
    <w:p w14:paraId="24C00E08" w14:textId="3C2A6867" w:rsidR="00BD1702" w:rsidRDefault="00BD1702" w:rsidP="00BD1702">
      <w:pPr>
        <w:pStyle w:val="NoSpacing"/>
        <w:rPr>
          <w:rFonts w:ascii="Arial Black" w:hAnsi="Arial Black"/>
          <w:sz w:val="24"/>
          <w:szCs w:val="24"/>
        </w:rPr>
      </w:pPr>
      <w:r>
        <w:rPr>
          <w:rFonts w:ascii="Times New Roman" w:eastAsia="Times New Roman" w:hAnsi="Times New Roman"/>
          <w:sz w:val="24"/>
          <w:szCs w:val="24"/>
        </w:rPr>
        <w:t>Note:  See TV video on two fires that occurred on Jan. 26, 2020. “</w:t>
      </w:r>
      <w:r>
        <w:rPr>
          <w:rFonts w:ascii="Times New Roman" w:hAnsi="Times New Roman"/>
          <w:sz w:val="24"/>
          <w:szCs w:val="24"/>
        </w:rPr>
        <w:t xml:space="preserve">59-year-old woman loses life after house goes up in flames on Cleveland’s West Side, 3 adults and 4 children safely out.” </w:t>
      </w:r>
      <w:hyperlink r:id="rId2657" w:history="1">
        <w:r>
          <w:rPr>
            <w:rStyle w:val="Hyperlink"/>
            <w:sz w:val="24"/>
            <w:szCs w:val="24"/>
          </w:rPr>
          <w:t>https://www.cleveland19.com/2020/01/26/year-old-woman-loses-life-after-house-goes-up-flames-clevelands-west-side-adults-children-safely-out/</w:t>
        </w:r>
      </w:hyperlink>
    </w:p>
    <w:p w14:paraId="3B58B0AB" w14:textId="77777777" w:rsidR="00BD1702" w:rsidRDefault="00BD1702" w:rsidP="00F326E5">
      <w:pPr>
        <w:pStyle w:val="NoSpacing"/>
        <w:rPr>
          <w:rFonts w:ascii="Arial Black" w:hAnsi="Arial Black"/>
          <w:sz w:val="24"/>
          <w:szCs w:val="24"/>
        </w:rPr>
      </w:pPr>
    </w:p>
    <w:p w14:paraId="117FEADC" w14:textId="77777777" w:rsidR="00BD1702" w:rsidRDefault="00BD1702" w:rsidP="00F326E5">
      <w:pPr>
        <w:pStyle w:val="NoSpacing"/>
        <w:rPr>
          <w:rFonts w:ascii="Arial Black" w:hAnsi="Arial Black"/>
          <w:sz w:val="24"/>
          <w:szCs w:val="24"/>
        </w:rPr>
      </w:pPr>
    </w:p>
    <w:p w14:paraId="6D05210E" w14:textId="547E6F47" w:rsidR="002F610D" w:rsidRDefault="002F610D" w:rsidP="00F326E5">
      <w:pPr>
        <w:pStyle w:val="NoSpacing"/>
        <w:rPr>
          <w:rFonts w:ascii="Arial Black" w:hAnsi="Arial Black"/>
          <w:sz w:val="24"/>
          <w:szCs w:val="24"/>
        </w:rPr>
      </w:pPr>
      <w:r>
        <w:rPr>
          <w:rFonts w:ascii="Arial Black" w:hAnsi="Arial Black"/>
          <w:sz w:val="24"/>
          <w:szCs w:val="24"/>
        </w:rPr>
        <w:t>16-56</w:t>
      </w:r>
    </w:p>
    <w:p w14:paraId="660FDC1A" w14:textId="77777777" w:rsidR="002F610D" w:rsidRPr="00C30127" w:rsidRDefault="002F610D" w:rsidP="002F610D">
      <w:pPr>
        <w:pStyle w:val="Heading1"/>
        <w:rPr>
          <w:rFonts w:ascii="Arial Black" w:hAnsi="Arial Black"/>
          <w:b w:val="0"/>
          <w:bCs w:val="0"/>
          <w:sz w:val="28"/>
          <w:szCs w:val="28"/>
        </w:rPr>
      </w:pPr>
      <w:bookmarkStart w:id="593" w:name="_Hlk81842686"/>
      <w:r w:rsidRPr="00C30127">
        <w:rPr>
          <w:rFonts w:ascii="Arial Black" w:hAnsi="Arial Black"/>
          <w:b w:val="0"/>
          <w:bCs w:val="0"/>
          <w:sz w:val="28"/>
          <w:szCs w:val="28"/>
        </w:rPr>
        <w:t xml:space="preserve">TX: </w:t>
      </w:r>
      <w:r>
        <w:rPr>
          <w:rFonts w:ascii="Arial Black" w:hAnsi="Arial Black"/>
          <w:b w:val="0"/>
          <w:bCs w:val="0"/>
          <w:sz w:val="28"/>
          <w:szCs w:val="28"/>
        </w:rPr>
        <w:t>FF LAWSUIT DISMISSED - FIRED FOR NOT DISCLOSING HE WAS FIRED 10-YEARS EARLIER ANOTHER FD - THEFT</w:t>
      </w:r>
    </w:p>
    <w:bookmarkEnd w:id="593"/>
    <w:p w14:paraId="097BCECE" w14:textId="77777777" w:rsidR="002F610D" w:rsidRDefault="002F610D" w:rsidP="002F610D">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Aug. 26, 2021, in </w:t>
      </w:r>
      <w:r w:rsidRPr="00C30127">
        <w:rPr>
          <w:rFonts w:ascii="Times New Roman" w:eastAsia="Times New Roman" w:hAnsi="Times New Roman"/>
          <w:sz w:val="24"/>
          <w:szCs w:val="24"/>
          <w:u w:val="single"/>
        </w:rPr>
        <w:t>Brandon Lewis v. Fire Chief Larry DiCamillo, Stafford Fire Marshal’s Office and City of Stafford</w:t>
      </w:r>
      <w:r>
        <w:rPr>
          <w:rFonts w:ascii="Times New Roman" w:eastAsia="Times New Roman" w:hAnsi="Times New Roman"/>
          <w:sz w:val="24"/>
          <w:szCs w:val="24"/>
        </w:rPr>
        <w:t>, the Court of Appeals of Texas, First District, held (3 to 0) that trial court properly dismissed the lawsuit.</w:t>
      </w:r>
    </w:p>
    <w:p w14:paraId="6DB963E3" w14:textId="77777777" w:rsidR="002F610D" w:rsidRDefault="002F610D" w:rsidP="002F610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796AAC">
        <w:rPr>
          <w:rFonts w:ascii="Times New Roman" w:hAnsi="Times New Roman"/>
          <w:sz w:val="24"/>
          <w:szCs w:val="24"/>
        </w:rPr>
        <w:t xml:space="preserve">On September 4, 2018, Lewis was terminated from his position as an Inspector/Investigator with the Stafford Fire Department. About two weeks before, on August 22nd, Chief Di Camillo received information from Peter E. Alvarado, the Emergency Management Coordinator for the Stafford Fire Marshal's Office, about Lewis's prior employment with the Missouri City Fire Department. Alvarado had been informed by the Missouri City Fire Marshal's Office ("MCFMO") that Lewis was not allowed to conduct business or aid in investigations in Missouri City because Lewis, previously an intern with the MCFMO, was fired from the Missouri City Fire Department after being accused of stealing a book. Alvarado reviewed Lewis's employment files and found that Lewis did not list his previous work for the Missouri City Fire Department on his applications, his personal history statement, or his resume. Alvarado provided this information to Chief </w:t>
      </w:r>
      <w:proofErr w:type="gramStart"/>
      <w:r w:rsidRPr="00796AAC">
        <w:rPr>
          <w:rFonts w:ascii="Times New Roman" w:hAnsi="Times New Roman"/>
          <w:sz w:val="24"/>
          <w:szCs w:val="24"/>
        </w:rPr>
        <w:t>Di</w:t>
      </w:r>
      <w:proofErr w:type="gramEnd"/>
      <w:r w:rsidRPr="00796AAC">
        <w:rPr>
          <w:rFonts w:ascii="Times New Roman" w:hAnsi="Times New Roman"/>
          <w:sz w:val="24"/>
          <w:szCs w:val="24"/>
        </w:rPr>
        <w:t xml:space="preserve"> Camillo in a signed, written memorandum (the </w:t>
      </w:r>
      <w:r>
        <w:rPr>
          <w:rFonts w:ascii="Times New Roman" w:hAnsi="Times New Roman"/>
          <w:sz w:val="24"/>
          <w:szCs w:val="24"/>
        </w:rPr>
        <w:t>‘</w:t>
      </w:r>
      <w:r w:rsidRPr="00796AAC">
        <w:rPr>
          <w:rFonts w:ascii="Times New Roman" w:hAnsi="Times New Roman"/>
          <w:sz w:val="24"/>
          <w:szCs w:val="24"/>
        </w:rPr>
        <w:t>August 22nd Memorandum</w:t>
      </w:r>
      <w:r>
        <w:rPr>
          <w:rFonts w:ascii="Times New Roman" w:hAnsi="Times New Roman"/>
          <w:sz w:val="24"/>
          <w:szCs w:val="24"/>
        </w:rPr>
        <w:t>’</w:t>
      </w:r>
      <w:r w:rsidRPr="00796AAC">
        <w:rPr>
          <w:rFonts w:ascii="Times New Roman" w:hAnsi="Times New Roman"/>
          <w:sz w:val="24"/>
          <w:szCs w:val="24"/>
        </w:rPr>
        <w:t>).</w:t>
      </w:r>
      <w:r>
        <w:rPr>
          <w:rFonts w:ascii="Times New Roman" w:hAnsi="Times New Roman"/>
          <w:sz w:val="24"/>
          <w:szCs w:val="24"/>
        </w:rPr>
        <w:t xml:space="preserve"> </w:t>
      </w:r>
    </w:p>
    <w:p w14:paraId="7C39FE5C" w14:textId="77777777" w:rsidR="002F610D" w:rsidRDefault="002F610D" w:rsidP="002F610D">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57E01C36" w14:textId="77777777" w:rsidR="002F610D" w:rsidRPr="00796AAC" w:rsidRDefault="002F610D" w:rsidP="002F610D">
      <w:pPr>
        <w:spacing w:before="100" w:beforeAutospacing="1" w:after="100" w:afterAutospacing="1" w:line="240" w:lineRule="auto"/>
        <w:ind w:left="720"/>
        <w:rPr>
          <w:rFonts w:ascii="Times New Roman" w:eastAsia="Times New Roman" w:hAnsi="Times New Roman"/>
          <w:sz w:val="24"/>
          <w:szCs w:val="24"/>
        </w:rPr>
      </w:pPr>
      <w:r w:rsidRPr="00796AAC">
        <w:rPr>
          <w:rFonts w:ascii="Times New Roman" w:hAnsi="Times New Roman"/>
          <w:sz w:val="24"/>
          <w:szCs w:val="24"/>
        </w:rPr>
        <w:t xml:space="preserve">The </w:t>
      </w:r>
      <w:r>
        <w:rPr>
          <w:rFonts w:ascii="Times New Roman" w:hAnsi="Times New Roman"/>
          <w:sz w:val="24"/>
          <w:szCs w:val="24"/>
        </w:rPr>
        <w:t>‘</w:t>
      </w:r>
      <w:r w:rsidRPr="00796AAC">
        <w:rPr>
          <w:rFonts w:ascii="Times New Roman" w:hAnsi="Times New Roman"/>
          <w:sz w:val="24"/>
          <w:szCs w:val="24"/>
        </w:rPr>
        <w:t xml:space="preserve">overarching statutory </w:t>
      </w:r>
      <w:proofErr w:type="gramStart"/>
      <w:r w:rsidRPr="00796AAC">
        <w:rPr>
          <w:rFonts w:ascii="Times New Roman" w:hAnsi="Times New Roman"/>
          <w:sz w:val="24"/>
          <w:szCs w:val="24"/>
        </w:rPr>
        <w:t>purposes</w:t>
      </w:r>
      <w:r>
        <w:rPr>
          <w:rFonts w:ascii="Times New Roman" w:hAnsi="Times New Roman"/>
          <w:sz w:val="24"/>
          <w:szCs w:val="24"/>
        </w:rPr>
        <w:t>’</w:t>
      </w:r>
      <w:proofErr w:type="gramEnd"/>
      <w:r>
        <w:rPr>
          <w:rFonts w:ascii="Times New Roman" w:hAnsi="Times New Roman"/>
          <w:sz w:val="24"/>
          <w:szCs w:val="24"/>
        </w:rPr>
        <w:t xml:space="preserve"> </w:t>
      </w:r>
      <w:r w:rsidRPr="00796AAC">
        <w:rPr>
          <w:rFonts w:ascii="Times New Roman" w:hAnsi="Times New Roman"/>
          <w:sz w:val="24"/>
          <w:szCs w:val="24"/>
        </w:rPr>
        <w:t xml:space="preserve">of Chapter 614's </w:t>
      </w:r>
      <w:proofErr w:type="gramStart"/>
      <w:r w:rsidRPr="00796AAC">
        <w:rPr>
          <w:rFonts w:ascii="Times New Roman" w:hAnsi="Times New Roman"/>
          <w:sz w:val="24"/>
          <w:szCs w:val="24"/>
        </w:rPr>
        <w:t xml:space="preserve">requirements </w:t>
      </w:r>
      <w:r>
        <w:rPr>
          <w:rFonts w:ascii="Times New Roman" w:hAnsi="Times New Roman"/>
          <w:sz w:val="24"/>
          <w:szCs w:val="24"/>
        </w:rPr>
        <w:t>[signed complaint]</w:t>
      </w:r>
      <w:proofErr w:type="gramEnd"/>
      <w:r>
        <w:rPr>
          <w:rFonts w:ascii="Times New Roman" w:hAnsi="Times New Roman"/>
          <w:sz w:val="24"/>
          <w:szCs w:val="24"/>
        </w:rPr>
        <w:t xml:space="preserve"> </w:t>
      </w:r>
      <w:r w:rsidRPr="00796AAC">
        <w:rPr>
          <w:rFonts w:ascii="Times New Roman" w:hAnsi="Times New Roman"/>
          <w:sz w:val="24"/>
          <w:szCs w:val="24"/>
        </w:rPr>
        <w:t xml:space="preserve">are to (1) reduce the risk that adverse employment actions will be based on unsubstantiated complaints, and (2) ensure the affected employee receives sufficient information to enable him to defend against the allegations. </w:t>
      </w:r>
      <w:r w:rsidRPr="00796AAC">
        <w:rPr>
          <w:rStyle w:val="Emphasis"/>
          <w:rFonts w:ascii="Times New Roman" w:hAnsi="Times New Roman"/>
          <w:sz w:val="24"/>
          <w:szCs w:val="24"/>
        </w:rPr>
        <w:t>Id.</w:t>
      </w:r>
      <w:r w:rsidRPr="00796AAC">
        <w:rPr>
          <w:rFonts w:ascii="Times New Roman" w:hAnsi="Times New Roman"/>
          <w:sz w:val="24"/>
          <w:szCs w:val="24"/>
        </w:rPr>
        <w:t xml:space="preserve"> Lewis was provided detailed information in both the August 22nd Memorandum and the Complaint Notification to allow him to investigate the allegations against him related to his failure to disclose his prior employment on his City of Stafford applications. He was also afforded ample opportunity to defend himself against these allegations during the appeal process</w:t>
      </w:r>
      <w:r>
        <w:rPr>
          <w:rFonts w:ascii="Times New Roman" w:hAnsi="Times New Roman"/>
          <w:sz w:val="24"/>
          <w:szCs w:val="24"/>
        </w:rPr>
        <w:t>.”</w:t>
      </w:r>
      <w:r w:rsidRPr="00796AAC">
        <w:rPr>
          <w:rFonts w:ascii="Times New Roman" w:eastAsia="Times New Roman" w:hAnsi="Times New Roman"/>
          <w:sz w:val="24"/>
          <w:szCs w:val="24"/>
        </w:rPr>
        <w:t xml:space="preserve"> </w:t>
      </w:r>
      <w:hyperlink r:id="rId2658" w:history="1">
        <w:r w:rsidRPr="007D2E44">
          <w:rPr>
            <w:rStyle w:val="Hyperlink"/>
            <w:sz w:val="24"/>
            <w:szCs w:val="24"/>
          </w:rPr>
          <w:t>https://public.fastcase.com/9SKwsfNqTc6OieYDhNMyM4E5bpqRXbc1vzIOBkY5d575kmIDNjPft14UGJ0ygjci</w:t>
        </w:r>
      </w:hyperlink>
      <w:r>
        <w:rPr>
          <w:rFonts w:ascii="Times New Roman" w:eastAsia="Times New Roman" w:hAnsi="Times New Roman"/>
          <w:sz w:val="24"/>
          <w:szCs w:val="24"/>
        </w:rPr>
        <w:t xml:space="preserve"> </w:t>
      </w:r>
    </w:p>
    <w:p w14:paraId="177A6F05" w14:textId="77777777" w:rsidR="002F610D" w:rsidRPr="006B6F95" w:rsidRDefault="002F610D" w:rsidP="002F610D">
      <w:pPr>
        <w:pStyle w:val="NormalWeb"/>
        <w:rPr>
          <w:b/>
          <w:bCs/>
        </w:rPr>
      </w:pPr>
      <w:r w:rsidRPr="006B6F95">
        <w:rPr>
          <w:b/>
          <w:bCs/>
        </w:rPr>
        <w:t xml:space="preserve">Legal Lesson Learned: </w:t>
      </w:r>
      <w:r>
        <w:rPr>
          <w:b/>
          <w:bCs/>
        </w:rPr>
        <w:t xml:space="preserve"> Fire service applicants must honestly complete application form, including disclosure of prior Fire Department or other employer terminations.  </w:t>
      </w:r>
      <w:proofErr w:type="gramStart"/>
      <w:r>
        <w:rPr>
          <w:b/>
          <w:bCs/>
        </w:rPr>
        <w:t>A best</w:t>
      </w:r>
      <w:proofErr w:type="gramEnd"/>
      <w:r>
        <w:rPr>
          <w:b/>
          <w:bCs/>
        </w:rPr>
        <w:t xml:space="preserve"> practice also includes asking applicants to authorize prior employers in writing to disclose their employment and disciplinary records. </w:t>
      </w:r>
    </w:p>
    <w:p w14:paraId="60EFB79B" w14:textId="77777777" w:rsidR="002F610D" w:rsidRDefault="002F610D" w:rsidP="00F326E5">
      <w:pPr>
        <w:pStyle w:val="NoSpacing"/>
        <w:rPr>
          <w:rFonts w:ascii="Arial Black" w:hAnsi="Arial Black"/>
          <w:sz w:val="24"/>
          <w:szCs w:val="24"/>
        </w:rPr>
      </w:pPr>
    </w:p>
    <w:p w14:paraId="2EF2E387" w14:textId="77777777" w:rsidR="002F610D" w:rsidRDefault="002F610D" w:rsidP="00F326E5">
      <w:pPr>
        <w:pStyle w:val="NoSpacing"/>
        <w:rPr>
          <w:rFonts w:ascii="Arial Black" w:hAnsi="Arial Black"/>
          <w:sz w:val="24"/>
          <w:szCs w:val="24"/>
        </w:rPr>
      </w:pPr>
    </w:p>
    <w:p w14:paraId="1D4608CE" w14:textId="78D21815" w:rsidR="002F610D" w:rsidRDefault="002F610D" w:rsidP="00F326E5">
      <w:pPr>
        <w:pStyle w:val="NoSpacing"/>
        <w:rPr>
          <w:rFonts w:ascii="Arial Black" w:hAnsi="Arial Black"/>
          <w:sz w:val="24"/>
          <w:szCs w:val="24"/>
        </w:rPr>
      </w:pPr>
      <w:r>
        <w:rPr>
          <w:rFonts w:ascii="Arial Black" w:hAnsi="Arial Black"/>
          <w:sz w:val="24"/>
          <w:szCs w:val="24"/>
        </w:rPr>
        <w:t>16-55</w:t>
      </w:r>
    </w:p>
    <w:p w14:paraId="151745A5" w14:textId="38D77EA5" w:rsidR="002F610D" w:rsidRDefault="002F610D" w:rsidP="00F326E5">
      <w:pPr>
        <w:pStyle w:val="NoSpacing"/>
        <w:rPr>
          <w:rFonts w:ascii="Arial Black" w:hAnsi="Arial Black"/>
          <w:sz w:val="24"/>
          <w:szCs w:val="24"/>
        </w:rPr>
      </w:pPr>
    </w:p>
    <w:p w14:paraId="43040B8F" w14:textId="77777777" w:rsidR="002F610D" w:rsidRDefault="002F610D" w:rsidP="002F610D">
      <w:pPr>
        <w:rPr>
          <w:rFonts w:ascii="Arial Black" w:hAnsi="Arial Black"/>
          <w:sz w:val="28"/>
          <w:szCs w:val="28"/>
        </w:rPr>
      </w:pPr>
      <w:bookmarkStart w:id="594" w:name="_Hlk81842740"/>
      <w:r>
        <w:rPr>
          <w:rFonts w:ascii="Arial Black" w:hAnsi="Arial Black"/>
          <w:sz w:val="28"/>
          <w:szCs w:val="28"/>
        </w:rPr>
        <w:t>MA: FIRE CHIEF FINED $10,000 BY STATE ETHICS COMMISSION – HELPED GET HIS SON GET HIRED ON FD</w:t>
      </w:r>
    </w:p>
    <w:bookmarkEnd w:id="594"/>
    <w:p w14:paraId="0D3C3C4D" w14:textId="77777777" w:rsidR="002F610D" w:rsidRDefault="002F610D" w:rsidP="002F610D">
      <w:pPr>
        <w:rPr>
          <w:rFonts w:ascii="Times New Roman" w:hAnsi="Times New Roman"/>
          <w:sz w:val="24"/>
          <w:szCs w:val="24"/>
        </w:rPr>
      </w:pPr>
      <w:r>
        <w:rPr>
          <w:rFonts w:ascii="Times New Roman" w:hAnsi="Times New Roman"/>
          <w:sz w:val="24"/>
          <w:szCs w:val="24"/>
        </w:rPr>
        <w:t>On Aug. 5, 2021, the Massachusetts Ethics Commission issued a Press Release: “</w:t>
      </w:r>
      <w:r w:rsidRPr="001111FF">
        <w:rPr>
          <w:rFonts w:ascii="Times New Roman" w:hAnsi="Times New Roman"/>
          <w:sz w:val="24"/>
          <w:szCs w:val="24"/>
        </w:rPr>
        <w:t xml:space="preserve">Wellesley Fire Chief Richard DeLorie has admitted to violating the </w:t>
      </w:r>
      <w:proofErr w:type="gramStart"/>
      <w:r w:rsidRPr="001111FF">
        <w:rPr>
          <w:rFonts w:ascii="Times New Roman" w:hAnsi="Times New Roman"/>
          <w:sz w:val="24"/>
          <w:szCs w:val="24"/>
        </w:rPr>
        <w:t>conflict of interest</w:t>
      </w:r>
      <w:proofErr w:type="gramEnd"/>
      <w:r w:rsidRPr="001111FF">
        <w:rPr>
          <w:rFonts w:ascii="Times New Roman" w:hAnsi="Times New Roman"/>
          <w:sz w:val="24"/>
          <w:szCs w:val="24"/>
        </w:rPr>
        <w:t xml:space="preserve"> law by participating in the town’s hiring of his son as a firefighter and using his official position to alter the hiring process to favor his son. DeLorie paid a $10,000 civil penalty, signed a disposition agreement approved by the State Ethics Commission, and waived his right to contest the Commission’s findings.</w:t>
      </w:r>
      <w:r>
        <w:rPr>
          <w:rFonts w:ascii="Times New Roman" w:hAnsi="Times New Roman"/>
          <w:sz w:val="24"/>
          <w:szCs w:val="24"/>
        </w:rPr>
        <w:t xml:space="preserve">”  </w:t>
      </w:r>
      <w:hyperlink r:id="rId2659" w:history="1">
        <w:r w:rsidRPr="00C10414">
          <w:rPr>
            <w:rStyle w:val="Hyperlink"/>
            <w:sz w:val="24"/>
            <w:szCs w:val="24"/>
          </w:rPr>
          <w:t>https://www.mass.gov/news/wellesley-fire-chief-richard-delorie-pays-10000-civil-penalty-for-violating-conflict-of-interest-law</w:t>
        </w:r>
      </w:hyperlink>
      <w:r>
        <w:rPr>
          <w:rFonts w:ascii="Times New Roman" w:hAnsi="Times New Roman"/>
          <w:sz w:val="24"/>
          <w:szCs w:val="24"/>
        </w:rPr>
        <w:t xml:space="preserve"> </w:t>
      </w:r>
    </w:p>
    <w:p w14:paraId="61292555" w14:textId="77777777" w:rsidR="002F610D" w:rsidRPr="001111FF" w:rsidRDefault="002F610D" w:rsidP="002F610D">
      <w:pPr>
        <w:spacing w:before="100" w:beforeAutospacing="1" w:after="100" w:afterAutospacing="1" w:line="240" w:lineRule="auto"/>
        <w:rPr>
          <w:rFonts w:ascii="Times New Roman" w:eastAsia="Times New Roman" w:hAnsi="Times New Roman"/>
          <w:b/>
          <w:bCs/>
          <w:sz w:val="24"/>
          <w:szCs w:val="24"/>
        </w:rPr>
      </w:pPr>
      <w:r w:rsidRPr="001111FF">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Recusal means </w:t>
      </w:r>
      <w:proofErr w:type="gramStart"/>
      <w:r>
        <w:rPr>
          <w:rFonts w:ascii="Times New Roman" w:eastAsia="Times New Roman" w:hAnsi="Times New Roman"/>
          <w:b/>
          <w:bCs/>
          <w:sz w:val="24"/>
          <w:szCs w:val="24"/>
        </w:rPr>
        <w:t>stay</w:t>
      </w:r>
      <w:proofErr w:type="gramEnd"/>
      <w:r>
        <w:rPr>
          <w:rFonts w:ascii="Times New Roman" w:eastAsia="Times New Roman" w:hAnsi="Times New Roman"/>
          <w:b/>
          <w:bCs/>
          <w:sz w:val="24"/>
          <w:szCs w:val="24"/>
        </w:rPr>
        <w:t xml:space="preserve"> completely out of the hiring process. </w:t>
      </w:r>
    </w:p>
    <w:p w14:paraId="028A2971" w14:textId="77777777" w:rsidR="002F610D" w:rsidRPr="00A76835" w:rsidRDefault="002F610D" w:rsidP="002F610D">
      <w:pPr>
        <w:pStyle w:val="NoSpacing"/>
        <w:ind w:left="720"/>
        <w:rPr>
          <w:rFonts w:ascii="Times New Roman" w:hAnsi="Times New Roman"/>
          <w:b/>
          <w:bCs/>
          <w:sz w:val="24"/>
          <w:szCs w:val="24"/>
        </w:rPr>
      </w:pPr>
      <w:r w:rsidRPr="005503CE">
        <w:rPr>
          <w:rFonts w:ascii="Times New Roman" w:eastAsia="Times New Roman" w:hAnsi="Times New Roman"/>
          <w:sz w:val="24"/>
          <w:szCs w:val="24"/>
        </w:rPr>
        <w:t xml:space="preserve">Note: See Aug. 5, </w:t>
      </w:r>
      <w:proofErr w:type="gramStart"/>
      <w:r w:rsidRPr="005503CE">
        <w:rPr>
          <w:rFonts w:ascii="Times New Roman" w:eastAsia="Times New Roman" w:hAnsi="Times New Roman"/>
          <w:sz w:val="24"/>
          <w:szCs w:val="24"/>
        </w:rPr>
        <w:t>2021</w:t>
      </w:r>
      <w:proofErr w:type="gramEnd"/>
      <w:r w:rsidRPr="005503CE">
        <w:rPr>
          <w:rFonts w:ascii="Times New Roman" w:eastAsia="Times New Roman" w:hAnsi="Times New Roman"/>
          <w:sz w:val="24"/>
          <w:szCs w:val="24"/>
        </w:rPr>
        <w:t xml:space="preserve"> article, </w:t>
      </w:r>
      <w:r w:rsidRPr="005503CE">
        <w:rPr>
          <w:rFonts w:ascii="Times New Roman" w:hAnsi="Times New Roman"/>
          <w:sz w:val="24"/>
          <w:szCs w:val="24"/>
        </w:rPr>
        <w:t xml:space="preserve">“Wellesley Fire Chief Richard DeLorie Fined $10,000 For Helping Son Get Hired </w:t>
      </w:r>
      <w:proofErr w:type="gramStart"/>
      <w:r w:rsidRPr="005503CE">
        <w:rPr>
          <w:rFonts w:ascii="Times New Roman" w:hAnsi="Times New Roman"/>
          <w:sz w:val="24"/>
          <w:szCs w:val="24"/>
        </w:rPr>
        <w:t>As</w:t>
      </w:r>
      <w:proofErr w:type="gramEnd"/>
      <w:r w:rsidRPr="005503CE">
        <w:rPr>
          <w:rFonts w:ascii="Times New Roman" w:hAnsi="Times New Roman"/>
          <w:sz w:val="24"/>
          <w:szCs w:val="24"/>
        </w:rPr>
        <w:t xml:space="preserve"> Firefighter.” </w:t>
      </w:r>
      <w:hyperlink r:id="rId2660" w:history="1">
        <w:r w:rsidRPr="005503CE">
          <w:rPr>
            <w:rStyle w:val="Hyperlink"/>
            <w:sz w:val="24"/>
            <w:szCs w:val="24"/>
          </w:rPr>
          <w:t>https://boston.cbslocal.com/2021/08/05/wellesley-fire-chief-richard-delorie-conflict-of-interest/</w:t>
        </w:r>
      </w:hyperlink>
      <w:r w:rsidRPr="005503CE">
        <w:rPr>
          <w:rFonts w:ascii="Times New Roman" w:hAnsi="Times New Roman"/>
          <w:sz w:val="24"/>
          <w:szCs w:val="24"/>
        </w:rPr>
        <w:t xml:space="preserve"> </w:t>
      </w:r>
    </w:p>
    <w:p w14:paraId="3E224028" w14:textId="77777777" w:rsidR="002F610D" w:rsidRDefault="002F610D" w:rsidP="00F326E5">
      <w:pPr>
        <w:pStyle w:val="NoSpacing"/>
        <w:rPr>
          <w:rFonts w:ascii="Arial Black" w:hAnsi="Arial Black"/>
          <w:sz w:val="24"/>
          <w:szCs w:val="24"/>
        </w:rPr>
      </w:pPr>
    </w:p>
    <w:p w14:paraId="1C711EB9" w14:textId="77777777" w:rsidR="002F610D" w:rsidRDefault="002F610D" w:rsidP="00F326E5">
      <w:pPr>
        <w:pStyle w:val="NoSpacing"/>
        <w:rPr>
          <w:rFonts w:ascii="Arial Black" w:hAnsi="Arial Black"/>
          <w:sz w:val="24"/>
          <w:szCs w:val="24"/>
        </w:rPr>
      </w:pPr>
    </w:p>
    <w:p w14:paraId="3D69809B" w14:textId="22CC8E05" w:rsidR="008A0333" w:rsidRDefault="008A0333" w:rsidP="00F326E5">
      <w:pPr>
        <w:pStyle w:val="NoSpacing"/>
        <w:rPr>
          <w:rFonts w:ascii="Arial Black" w:hAnsi="Arial Black"/>
          <w:sz w:val="24"/>
          <w:szCs w:val="24"/>
        </w:rPr>
      </w:pPr>
      <w:r>
        <w:rPr>
          <w:rFonts w:ascii="Arial Black" w:hAnsi="Arial Black"/>
          <w:sz w:val="24"/>
          <w:szCs w:val="24"/>
        </w:rPr>
        <w:t>16-54</w:t>
      </w:r>
    </w:p>
    <w:p w14:paraId="0E0D1BF4" w14:textId="27F61D02" w:rsidR="008A0333" w:rsidRDefault="008A0333" w:rsidP="00F326E5">
      <w:pPr>
        <w:pStyle w:val="NoSpacing"/>
        <w:rPr>
          <w:rFonts w:ascii="Arial Black" w:hAnsi="Arial Black"/>
          <w:sz w:val="24"/>
          <w:szCs w:val="24"/>
        </w:rPr>
      </w:pPr>
    </w:p>
    <w:p w14:paraId="17D74F00" w14:textId="77777777" w:rsidR="008A0333" w:rsidRDefault="008A0333" w:rsidP="008A0333">
      <w:pPr>
        <w:pStyle w:val="NoSpacing"/>
        <w:rPr>
          <w:rFonts w:ascii="Arial Black" w:hAnsi="Arial Black"/>
          <w:sz w:val="28"/>
          <w:szCs w:val="28"/>
        </w:rPr>
      </w:pPr>
      <w:r>
        <w:rPr>
          <w:rFonts w:ascii="Arial Black" w:hAnsi="Arial Black"/>
          <w:sz w:val="28"/>
          <w:szCs w:val="28"/>
        </w:rPr>
        <w:t>CA: UNION PRES. MEDICAL LEAVE BAD BACK - RAN 8-MILE RACE - FIRING TOO HARSH, RETALIATION – LIGHT DUTY</w:t>
      </w:r>
    </w:p>
    <w:p w14:paraId="39FE65F4" w14:textId="77777777" w:rsidR="008A0333" w:rsidRDefault="008A0333" w:rsidP="008A0333">
      <w:pPr>
        <w:pStyle w:val="p1"/>
      </w:pPr>
      <w:r>
        <w:t xml:space="preserve">On June 16, 2021, in </w:t>
      </w:r>
      <w:r w:rsidRPr="001A6E48">
        <w:rPr>
          <w:u w:val="single"/>
        </w:rPr>
        <w:t>City of South Pasadena v. Public Employment Relations Board (Owen Cliff Snider</w:t>
      </w:r>
      <w:r>
        <w:t xml:space="preserve">), the California Supreme Court declined to hear the City’s appeal; on Feb. 26, 2021 the Court of Appeals (3 to 0; unpublished decision), held for the firefighter, finding that while some discipline may have been appropriate, the Administrative Law Judge and the Public Employment Relations Board correctly held that firing was too harsh, and punishment appeared to be in retaliation for Union’s filing an unfair labor charge when FD ordered the firefighter back to work on a city light duty policy which was not in Collective Bargaining Agreement. </w:t>
      </w:r>
    </w:p>
    <w:p w14:paraId="6F9A08E5" w14:textId="77777777" w:rsidR="008A0333" w:rsidRDefault="008A0333" w:rsidP="008A0333">
      <w:pPr>
        <w:pStyle w:val="p1"/>
        <w:ind w:left="720" w:firstLine="60"/>
      </w:pPr>
      <w:r>
        <w:t xml:space="preserve">“Although we uphold PERB's finding that the City's decision to </w:t>
      </w:r>
      <w:r>
        <w:rPr>
          <w:i/>
          <w:iCs/>
        </w:rPr>
        <w:t>terminate</w:t>
      </w:r>
      <w:r>
        <w:t xml:space="preserve"> Snider was a form of retaliation for the exercise of his rights to bargain over the light-duty policy, our conclusion does not imply that the City could not have subjected Snider to </w:t>
      </w:r>
      <w:r>
        <w:rPr>
          <w:i/>
          <w:iCs/>
        </w:rPr>
        <w:t>some form</w:t>
      </w:r>
      <w:r>
        <w:t xml:space="preserve"> of discipline without running afoul of the MMBA.”  </w:t>
      </w:r>
      <w:hyperlink r:id="rId2661" w:history="1">
        <w:r w:rsidRPr="0004297D">
          <w:rPr>
            <w:rStyle w:val="Hyperlink"/>
          </w:rPr>
          <w:t>https://appellatecases.courtinfo.ca.gov/search/case/disposition.cfm?dist=0&amp;doc_id=2345572&amp;doc_no=S268086&amp;request_token=NiIwLSEmTkw5W1BRSSItTENJQEg0UDxTJSBeRzJSUCAgCg%3D%3D</w:t>
        </w:r>
      </w:hyperlink>
      <w:r>
        <w:t xml:space="preserve"> .  </w:t>
      </w:r>
    </w:p>
    <w:p w14:paraId="2A2E4C80" w14:textId="77777777" w:rsidR="008A0333" w:rsidRPr="00A03FED" w:rsidRDefault="008A0333" w:rsidP="008A0333">
      <w:pPr>
        <w:pStyle w:val="NoSpacing"/>
        <w:rPr>
          <w:rFonts w:ascii="Times New Roman" w:hAnsi="Times New Roman"/>
          <w:b/>
          <w:bCs/>
          <w:sz w:val="24"/>
          <w:szCs w:val="24"/>
        </w:rPr>
      </w:pPr>
      <w:r w:rsidRPr="00A03FED">
        <w:rPr>
          <w:rFonts w:ascii="Times New Roman" w:hAnsi="Times New Roman"/>
          <w:b/>
          <w:bCs/>
          <w:sz w:val="24"/>
          <w:szCs w:val="24"/>
        </w:rPr>
        <w:t xml:space="preserve">Legal Lesson Learned: </w:t>
      </w:r>
      <w:r>
        <w:rPr>
          <w:rFonts w:ascii="Times New Roman" w:hAnsi="Times New Roman"/>
          <w:b/>
          <w:bCs/>
          <w:sz w:val="24"/>
          <w:szCs w:val="24"/>
        </w:rPr>
        <w:t xml:space="preserve"> Fire Department policy on injury leave should clearly discuss limitations physical exercise and other strenuous activities; a light duty policy is an effective management tool to encourage return to full duty. </w:t>
      </w:r>
    </w:p>
    <w:p w14:paraId="4D39852B" w14:textId="77777777" w:rsidR="008A0333" w:rsidRDefault="008A0333" w:rsidP="008A0333">
      <w:pPr>
        <w:pStyle w:val="p1"/>
        <w:ind w:left="720"/>
      </w:pPr>
      <w:r>
        <w:t xml:space="preserve">Calif. Supreme Court order: </w:t>
      </w:r>
      <w:hyperlink r:id="rId2662" w:history="1">
        <w:r w:rsidRPr="002625ED">
          <w:rPr>
            <w:rStyle w:val="Hyperlink"/>
          </w:rPr>
          <w:t>https://appellatecases.courtinfo.ca.gov/search/case/disposition.cfm?dist=0&amp;doc_id=2345572&amp;doc_no=S268086&amp;request_token=NiIwLSEmTkw5W1BRSSItTENJQEg0UDxTJSBeRzJSUCAgCg%3D%3D</w:t>
        </w:r>
      </w:hyperlink>
      <w:r>
        <w:t xml:space="preserve"> </w:t>
      </w:r>
    </w:p>
    <w:p w14:paraId="32B6A514" w14:textId="77777777" w:rsidR="008A0333" w:rsidRPr="00A03FED" w:rsidRDefault="008A0333" w:rsidP="008A0333">
      <w:pPr>
        <w:pStyle w:val="p1"/>
        <w:ind w:left="720"/>
      </w:pPr>
      <w:r w:rsidRPr="00A03FED">
        <w:t xml:space="preserve">See June 21, </w:t>
      </w:r>
      <w:proofErr w:type="gramStart"/>
      <w:r w:rsidRPr="00A03FED">
        <w:t>2021</w:t>
      </w:r>
      <w:proofErr w:type="gramEnd"/>
      <w:r w:rsidRPr="00A03FED">
        <w:t xml:space="preserve"> article: “The City of South Pasadena illegally dismissed a firefighter | Supreme Court denies review | The South Pasadena; </w:t>
      </w:r>
      <w:hyperlink r:id="rId2663" w:history="1">
        <w:r w:rsidRPr="00A03FED">
          <w:rPr>
            <w:rStyle w:val="Hyperlink"/>
          </w:rPr>
          <w:t>https://laborlawlosangeles.com/the-city-of-south-pasadena-illegally-dismissed-a-firefighter-supreme-court-denies-review-the-south-pasadenan/</w:t>
        </w:r>
      </w:hyperlink>
      <w:r w:rsidRPr="00A03FED">
        <w:t xml:space="preserve"> </w:t>
      </w:r>
    </w:p>
    <w:p w14:paraId="23E7BDAB" w14:textId="77777777" w:rsidR="008A0333" w:rsidRPr="003F349F" w:rsidRDefault="008A0333" w:rsidP="008A0333">
      <w:pPr>
        <w:pStyle w:val="p1"/>
        <w:ind w:left="720"/>
      </w:pPr>
      <w:r>
        <w:t xml:space="preserve">See IAFF: </w:t>
      </w:r>
      <w:r w:rsidRPr="003D5D8C">
        <w:rPr>
          <w:rStyle w:val="Strong"/>
        </w:rPr>
        <w:t>“Owen ‘Cliff’ Snider v. City of South Pasadena, California -</w:t>
      </w:r>
      <w:r>
        <w:rPr>
          <w:rStyle w:val="Strong"/>
        </w:rPr>
        <w:t xml:space="preserve"> </w:t>
      </w:r>
      <w:r w:rsidRPr="00A03FED">
        <w:rPr>
          <w:b/>
          <w:bCs/>
        </w:rPr>
        <w:br/>
      </w:r>
      <w:r>
        <w:t>“</w:t>
      </w:r>
      <w:r w:rsidRPr="00A03FED">
        <w:t xml:space="preserve">In this Guardian Policy case, the City of South Pasadena terminated Local 3657 President Cliff Snider, in retaliation for his union leadership activities. President Snider was enforcing the right to bargain over changes in working conditions, first by requesting to bargain, and later by filing an Unfair Labor Practice (ULP) charge over the City’s refusal to bargain. After an earlier back injury, and while he was on paid sick leave, Snider participated in an 8-mile </w:t>
      </w:r>
      <w:r>
        <w:t>‘</w:t>
      </w:r>
      <w:r w:rsidRPr="00A03FED">
        <w:t>Spartan Race.</w:t>
      </w:r>
      <w:r>
        <w:t>’</w:t>
      </w:r>
      <w:r w:rsidRPr="00A03FED">
        <w:t xml:space="preserve"> Chief Mario Rueda terminated Snider on the asserted grounds of dishonesty, abuse of sick leave, bad faith, and failure to notify a supervisor that he felt well enough to return to duty.</w:t>
      </w:r>
      <w:r>
        <w:t>”</w:t>
      </w:r>
      <w:r w:rsidRPr="00A03FED">
        <w:t xml:space="preserve"> </w:t>
      </w:r>
      <w:hyperlink r:id="rId2664" w:history="1">
        <w:r w:rsidRPr="00A03FED">
          <w:rPr>
            <w:rStyle w:val="Hyperlink"/>
          </w:rPr>
          <w:t>https://convention2018.iaff.org/general-counsels-report/</w:t>
        </w:r>
      </w:hyperlink>
      <w:r w:rsidRPr="00A03FED">
        <w:t xml:space="preserve"> </w:t>
      </w:r>
    </w:p>
    <w:p w14:paraId="27C3A680" w14:textId="77777777" w:rsidR="008A0333" w:rsidRDefault="008A0333" w:rsidP="00F326E5">
      <w:pPr>
        <w:pStyle w:val="NoSpacing"/>
        <w:rPr>
          <w:rFonts w:ascii="Arial Black" w:hAnsi="Arial Black"/>
          <w:sz w:val="24"/>
          <w:szCs w:val="24"/>
        </w:rPr>
      </w:pPr>
    </w:p>
    <w:p w14:paraId="6D530949" w14:textId="77777777" w:rsidR="008A0333" w:rsidRDefault="008A0333" w:rsidP="00F326E5">
      <w:pPr>
        <w:pStyle w:val="NoSpacing"/>
        <w:rPr>
          <w:rFonts w:ascii="Arial Black" w:hAnsi="Arial Black"/>
          <w:sz w:val="24"/>
          <w:szCs w:val="24"/>
        </w:rPr>
      </w:pPr>
    </w:p>
    <w:p w14:paraId="1F020492" w14:textId="1377931A" w:rsidR="00B03268" w:rsidRPr="00B03268" w:rsidRDefault="00B03268" w:rsidP="00F326E5">
      <w:pPr>
        <w:pStyle w:val="NoSpacing"/>
        <w:rPr>
          <w:rFonts w:ascii="Times New Roman" w:hAnsi="Times New Roman"/>
          <w:sz w:val="24"/>
          <w:szCs w:val="24"/>
        </w:rPr>
      </w:pPr>
      <w:r>
        <w:rPr>
          <w:rFonts w:ascii="Arial Black" w:hAnsi="Arial Black"/>
          <w:sz w:val="24"/>
          <w:szCs w:val="24"/>
        </w:rPr>
        <w:t xml:space="preserve">16-53 </w:t>
      </w:r>
      <w:r>
        <w:rPr>
          <w:rFonts w:ascii="Times New Roman" w:hAnsi="Times New Roman"/>
          <w:sz w:val="24"/>
          <w:szCs w:val="24"/>
        </w:rPr>
        <w:t>[also filed, Chap. 11]</w:t>
      </w:r>
    </w:p>
    <w:p w14:paraId="46BA1FC3" w14:textId="6D6145CB" w:rsidR="00B03268" w:rsidRDefault="00B03268" w:rsidP="00F326E5">
      <w:pPr>
        <w:pStyle w:val="NoSpacing"/>
        <w:rPr>
          <w:rFonts w:ascii="Arial Black" w:hAnsi="Arial Black"/>
          <w:sz w:val="24"/>
          <w:szCs w:val="24"/>
        </w:rPr>
      </w:pPr>
    </w:p>
    <w:p w14:paraId="140497D3" w14:textId="77777777" w:rsidR="00B03268" w:rsidRPr="003A1BB2" w:rsidRDefault="00B03268" w:rsidP="00B03268">
      <w:pPr>
        <w:pStyle w:val="NoSpacing"/>
        <w:rPr>
          <w:rFonts w:ascii="Arial Black" w:hAnsi="Arial Black"/>
          <w:sz w:val="28"/>
          <w:szCs w:val="28"/>
        </w:rPr>
      </w:pPr>
      <w:r>
        <w:rPr>
          <w:rFonts w:ascii="Arial Black" w:hAnsi="Arial Black"/>
          <w:sz w:val="28"/>
          <w:szCs w:val="28"/>
        </w:rPr>
        <w:t>NV: AT-WILL HOSPITAL PARAMEDIC - TERMINATED WITHIN 1-YR PROBATIONARY PERIOD – LAWSUIT DISMISSED</w:t>
      </w:r>
    </w:p>
    <w:p w14:paraId="0F412CC2" w14:textId="77777777" w:rsidR="00B03268" w:rsidRDefault="00B03268" w:rsidP="00B03268">
      <w:pPr>
        <w:pStyle w:val="NoSpacing"/>
      </w:pPr>
    </w:p>
    <w:p w14:paraId="525EBD4E" w14:textId="77777777" w:rsidR="00B03268" w:rsidRPr="00D106AE" w:rsidRDefault="00B03268" w:rsidP="00B03268">
      <w:pPr>
        <w:pStyle w:val="NoSpacing"/>
        <w:rPr>
          <w:rFonts w:ascii="Times New Roman" w:hAnsi="Times New Roman"/>
          <w:sz w:val="24"/>
          <w:szCs w:val="24"/>
        </w:rPr>
      </w:pPr>
      <w:r>
        <w:rPr>
          <w:rFonts w:ascii="Times New Roman" w:hAnsi="Times New Roman"/>
          <w:sz w:val="24"/>
          <w:szCs w:val="24"/>
        </w:rPr>
        <w:t xml:space="preserve">On May 13, 2021, in </w:t>
      </w:r>
      <w:r w:rsidRPr="00D106AE">
        <w:rPr>
          <w:rFonts w:ascii="Times New Roman" w:hAnsi="Times New Roman"/>
          <w:sz w:val="24"/>
          <w:szCs w:val="24"/>
          <w:u w:val="single"/>
        </w:rPr>
        <w:t>Todd P. Evans v. Lander County Hospital District, d/b/a Battle Mountain General Hospital</w:t>
      </w:r>
      <w:r w:rsidRPr="00D106AE">
        <w:rPr>
          <w:rFonts w:ascii="Times New Roman" w:hAnsi="Times New Roman"/>
          <w:sz w:val="24"/>
          <w:szCs w:val="24"/>
        </w:rPr>
        <w:t xml:space="preserve">, U.S. District Court Judge Larry R. Hicks, U.S. District Court, District of Nevada, </w:t>
      </w:r>
      <w:r>
        <w:rPr>
          <w:rFonts w:ascii="Times New Roman" w:hAnsi="Times New Roman"/>
          <w:sz w:val="24"/>
          <w:szCs w:val="24"/>
        </w:rPr>
        <w:t>held that the paramedic did not file or otherwise orally make a complaint of FLSA violation, and he was an at-will employee that can be terminated without cause by the hospital.</w:t>
      </w:r>
    </w:p>
    <w:p w14:paraId="17914755" w14:textId="77777777" w:rsidR="00B03268" w:rsidRDefault="00B03268" w:rsidP="00B03268">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sz w:val="24"/>
          <w:szCs w:val="24"/>
        </w:rPr>
        <w:t>“</w:t>
      </w:r>
      <w:r w:rsidRPr="003A1BB2">
        <w:rPr>
          <w:rFonts w:ascii="Times New Roman" w:eastAsia="Times New Roman" w:hAnsi="Times New Roman"/>
          <w:sz w:val="24"/>
          <w:szCs w:val="24"/>
        </w:rPr>
        <w:t>Again, based on Evans' testimony, the Court finds that Evans' statements during the April 2019 meeting do not constitute filling a complaint with the BMGH as contemplated by the FLSA anti-retaliation statute. The content of this meeting was the financial and economic status of the EMS Department and was focused on how Evans' suggested alterations to the department, including transitioning the volunteer EMTs to paid staff, would make the department more fiscally responsible and increase staff. While Evans did address the FLSA and again suggested that the volunteer program may be violating the federal statute, he did not specify an illegality related to the program and did not provide Trustee Roberts with any documentation related to the FLSA. A reasonable employer would have seen Evans' statements as an attempt to recruit a board member to support his budget proposal, not an assertion of the employment rights of the volunteer EMTs in the program. Accordingly, his statements cannot be considered a filed complaint under the FLSA anti-retaliation statute.</w:t>
      </w:r>
    </w:p>
    <w:p w14:paraId="3B6A543B" w14:textId="77777777" w:rsidR="00B03268" w:rsidRDefault="00B03268" w:rsidP="00B03268">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sz w:val="24"/>
          <w:szCs w:val="24"/>
        </w:rPr>
        <w:t>***</w:t>
      </w:r>
    </w:p>
    <w:p w14:paraId="792E38CB" w14:textId="77777777" w:rsidR="00B03268" w:rsidRPr="003A1BB2" w:rsidRDefault="00B03268" w:rsidP="00B03268">
      <w:pPr>
        <w:spacing w:before="100" w:beforeAutospacing="1" w:after="100" w:afterAutospacing="1"/>
        <w:ind w:left="720"/>
        <w:rPr>
          <w:rFonts w:ascii="Times New Roman" w:eastAsia="Times New Roman" w:hAnsi="Times New Roman"/>
          <w:sz w:val="24"/>
          <w:szCs w:val="24"/>
        </w:rPr>
      </w:pPr>
      <w:r w:rsidRPr="00D106AE">
        <w:rPr>
          <w:rFonts w:ascii="Times New Roman" w:hAnsi="Times New Roman"/>
          <w:sz w:val="24"/>
          <w:szCs w:val="24"/>
        </w:rPr>
        <w:t xml:space="preserve">Evans' fourth cause of action alleges Defendant breached its oral employment contract in which BMGH agreed to pay Evans a salary of $115,000.00 per year plus a travel stipend of no more than $500.00 per month. ECF No. 1 ¶¶ 55-58. Defendant argues that it could not have breached an employment contract that did not exist as Evans was an at-will employee. Having reviewed the record, there can be no dispute that Evans was an at-will </w:t>
      </w:r>
      <w:proofErr w:type="gramStart"/>
      <w:r w:rsidRPr="00D106AE">
        <w:rPr>
          <w:rFonts w:ascii="Times New Roman" w:hAnsi="Times New Roman"/>
          <w:sz w:val="24"/>
          <w:szCs w:val="24"/>
        </w:rPr>
        <w:t>employee.</w:t>
      </w:r>
      <w:r>
        <w:rPr>
          <w:rFonts w:ascii="Times New Roman" w:hAnsi="Times New Roman"/>
          <w:sz w:val="24"/>
          <w:szCs w:val="24"/>
        </w:rPr>
        <w:t>”</w:t>
      </w:r>
      <w:proofErr w:type="gramEnd"/>
      <w:r>
        <w:rPr>
          <w:rFonts w:ascii="Times New Roman" w:hAnsi="Times New Roman"/>
          <w:sz w:val="24"/>
          <w:szCs w:val="24"/>
        </w:rPr>
        <w:t xml:space="preserve"> </w:t>
      </w:r>
      <w:hyperlink r:id="rId2665" w:history="1">
        <w:r w:rsidRPr="00C724D5">
          <w:rPr>
            <w:rStyle w:val="Hyperlink"/>
            <w:sz w:val="24"/>
            <w:szCs w:val="24"/>
          </w:rPr>
          <w:t>https://www.leagle.com/decision/infdco20210518900</w:t>
        </w:r>
      </w:hyperlink>
      <w:r>
        <w:rPr>
          <w:rFonts w:ascii="Times New Roman" w:eastAsia="Times New Roman" w:hAnsi="Times New Roman"/>
          <w:sz w:val="24"/>
          <w:szCs w:val="24"/>
        </w:rPr>
        <w:t xml:space="preserve"> </w:t>
      </w:r>
    </w:p>
    <w:p w14:paraId="46248971" w14:textId="77777777" w:rsidR="00B03268" w:rsidRPr="00E7248E" w:rsidRDefault="00B03268" w:rsidP="00B03268">
      <w:pPr>
        <w:pStyle w:val="NormalWeb"/>
        <w:rPr>
          <w:b/>
          <w:bCs/>
        </w:rPr>
      </w:pPr>
      <w:r w:rsidRPr="00E7248E">
        <w:rPr>
          <w:b/>
          <w:bCs/>
        </w:rPr>
        <w:t>Legal Lesson Learned:</w:t>
      </w:r>
      <w:r>
        <w:rPr>
          <w:b/>
          <w:bCs/>
        </w:rPr>
        <w:t xml:space="preserve"> At will employees can be terminated, with or without cause.  </w:t>
      </w:r>
    </w:p>
    <w:p w14:paraId="47BF614D" w14:textId="77777777" w:rsidR="00B03268" w:rsidRDefault="00B03268" w:rsidP="00F326E5">
      <w:pPr>
        <w:pStyle w:val="NoSpacing"/>
        <w:rPr>
          <w:rFonts w:ascii="Arial Black" w:hAnsi="Arial Black"/>
          <w:sz w:val="24"/>
          <w:szCs w:val="24"/>
        </w:rPr>
      </w:pPr>
    </w:p>
    <w:p w14:paraId="6D399EB4" w14:textId="77777777" w:rsidR="00B03268" w:rsidRDefault="00B03268" w:rsidP="00F326E5">
      <w:pPr>
        <w:pStyle w:val="NoSpacing"/>
        <w:rPr>
          <w:rFonts w:ascii="Arial Black" w:hAnsi="Arial Black"/>
          <w:sz w:val="24"/>
          <w:szCs w:val="24"/>
        </w:rPr>
      </w:pPr>
    </w:p>
    <w:p w14:paraId="5A22BC84" w14:textId="2B761CBF" w:rsidR="0066298F" w:rsidRDefault="00EC1BFB" w:rsidP="00F326E5">
      <w:pPr>
        <w:pStyle w:val="NoSpacing"/>
        <w:rPr>
          <w:rFonts w:ascii="Arial Black" w:hAnsi="Arial Black"/>
          <w:sz w:val="24"/>
          <w:szCs w:val="24"/>
        </w:rPr>
      </w:pPr>
      <w:r>
        <w:rPr>
          <w:rFonts w:ascii="Arial Black" w:hAnsi="Arial Black"/>
          <w:sz w:val="24"/>
          <w:szCs w:val="24"/>
        </w:rPr>
        <w:t>16-52</w:t>
      </w:r>
    </w:p>
    <w:p w14:paraId="737DA396" w14:textId="68512AB5" w:rsidR="00EC1BFB" w:rsidRDefault="00EC1BFB" w:rsidP="00F326E5">
      <w:pPr>
        <w:pStyle w:val="NoSpacing"/>
        <w:rPr>
          <w:rFonts w:ascii="Arial Black" w:hAnsi="Arial Black"/>
          <w:sz w:val="24"/>
          <w:szCs w:val="24"/>
        </w:rPr>
      </w:pPr>
    </w:p>
    <w:p w14:paraId="735C93CC" w14:textId="77777777" w:rsidR="00EC1BFB" w:rsidRPr="00207CF4" w:rsidRDefault="00EC1BFB" w:rsidP="00EC1BFB">
      <w:pPr>
        <w:pStyle w:val="NoSpacing"/>
        <w:rPr>
          <w:rFonts w:ascii="Arial Black" w:hAnsi="Arial Black"/>
          <w:sz w:val="28"/>
          <w:szCs w:val="28"/>
        </w:rPr>
      </w:pPr>
      <w:r>
        <w:rPr>
          <w:rFonts w:ascii="Arial Black" w:hAnsi="Arial Black"/>
          <w:sz w:val="28"/>
          <w:szCs w:val="28"/>
        </w:rPr>
        <w:t>OH: ALLEGED TREATENING COMMENTS FIRE CHIEF – CITY LAW NO VIOL - UNION NO RIGHT 3</w:t>
      </w:r>
      <w:r w:rsidRPr="00CF4AA5">
        <w:rPr>
          <w:rFonts w:ascii="Arial Black" w:hAnsi="Arial Black"/>
          <w:sz w:val="28"/>
          <w:szCs w:val="28"/>
          <w:vertAlign w:val="superscript"/>
        </w:rPr>
        <w:t>rd</w:t>
      </w:r>
      <w:r>
        <w:rPr>
          <w:rFonts w:ascii="Arial Black" w:hAnsi="Arial Black"/>
          <w:sz w:val="28"/>
          <w:szCs w:val="28"/>
        </w:rPr>
        <w:t xml:space="preserve"> PARTY INVESTIGATOR </w:t>
      </w:r>
    </w:p>
    <w:p w14:paraId="419EEDEC" w14:textId="77777777" w:rsidR="00EC1BFB" w:rsidRDefault="00EC1BFB" w:rsidP="00EC1BFB">
      <w:pPr>
        <w:pStyle w:val="NoSpacing"/>
      </w:pPr>
    </w:p>
    <w:p w14:paraId="091A5778" w14:textId="77777777" w:rsidR="00EC1BFB" w:rsidRDefault="00EC1BFB" w:rsidP="00EC1BFB">
      <w:pPr>
        <w:pStyle w:val="NoSpacing"/>
        <w:rPr>
          <w:rFonts w:ascii="Times New Roman" w:hAnsi="Times New Roman"/>
          <w:sz w:val="24"/>
          <w:szCs w:val="24"/>
        </w:rPr>
      </w:pPr>
      <w:r>
        <w:rPr>
          <w:rFonts w:ascii="Times New Roman" w:hAnsi="Times New Roman"/>
          <w:sz w:val="24"/>
          <w:szCs w:val="24"/>
        </w:rPr>
        <w:t xml:space="preserve">On Feb. 23, 2021, in </w:t>
      </w:r>
      <w:r w:rsidRPr="00207CF4">
        <w:rPr>
          <w:rFonts w:ascii="Times New Roman" w:hAnsi="Times New Roman"/>
          <w:sz w:val="24"/>
          <w:szCs w:val="24"/>
          <w:u w:val="single"/>
        </w:rPr>
        <w:t>State Ex Rel. Youngstown Professional Firefighters IAFF Local 312, et al. v. City of Youngstown</w:t>
      </w:r>
      <w:r>
        <w:rPr>
          <w:rFonts w:ascii="Times New Roman" w:hAnsi="Times New Roman"/>
          <w:sz w:val="24"/>
          <w:szCs w:val="24"/>
        </w:rPr>
        <w:t xml:space="preserve">, the Court of Appeals of Ohio, Seventh Appellate District (Mahoning County), 2021 Ohio 539, held (3 to 0) that the union has no clear legal right to the appointment of an independent, neutral investigator, and therefore the Court dismissed the union’s original action [did not go to a trial court] seeking a “Writ of Mandamus.”  The Fire Chief at a FD meeting announced the </w:t>
      </w:r>
      <w:proofErr w:type="gramStart"/>
      <w:r>
        <w:rPr>
          <w:rFonts w:ascii="Times New Roman" w:hAnsi="Times New Roman"/>
          <w:sz w:val="24"/>
          <w:szCs w:val="24"/>
        </w:rPr>
        <w:t>City</w:t>
      </w:r>
      <w:proofErr w:type="gramEnd"/>
      <w:r>
        <w:rPr>
          <w:rFonts w:ascii="Times New Roman" w:hAnsi="Times New Roman"/>
          <w:sz w:val="24"/>
          <w:szCs w:val="24"/>
        </w:rPr>
        <w:t xml:space="preserve"> was reducing Battalion Chiefs from six to four, and a firefighter shouted, </w:t>
      </w:r>
      <w:r w:rsidRPr="007327A3">
        <w:rPr>
          <w:rFonts w:ascii="Times New Roman" w:eastAsia="Times New Roman" w:hAnsi="Times New Roman"/>
          <w:sz w:val="24"/>
          <w:szCs w:val="24"/>
        </w:rPr>
        <w:t>"My mom knows every judge and</w:t>
      </w:r>
      <w:r>
        <w:rPr>
          <w:rFonts w:ascii="Times New Roman" w:eastAsia="Times New Roman" w:hAnsi="Times New Roman"/>
          <w:sz w:val="24"/>
          <w:szCs w:val="24"/>
        </w:rPr>
        <w:t xml:space="preserve"> </w:t>
      </w:r>
      <w:r w:rsidRPr="007327A3">
        <w:rPr>
          <w:rFonts w:ascii="Times New Roman" w:eastAsia="Times New Roman" w:hAnsi="Times New Roman"/>
          <w:sz w:val="24"/>
          <w:szCs w:val="24"/>
        </w:rPr>
        <w:t xml:space="preserve">every attorney and if I get </w:t>
      </w:r>
      <w:proofErr w:type="gramStart"/>
      <w:r w:rsidRPr="007327A3">
        <w:rPr>
          <w:rFonts w:ascii="Times New Roman" w:eastAsia="Times New Roman" w:hAnsi="Times New Roman"/>
          <w:sz w:val="24"/>
          <w:szCs w:val="24"/>
        </w:rPr>
        <w:t>hurt</w:t>
      </w:r>
      <w:proofErr w:type="gramEnd"/>
      <w:r w:rsidRPr="007327A3">
        <w:rPr>
          <w:rFonts w:ascii="Times New Roman" w:eastAsia="Times New Roman" w:hAnsi="Times New Roman"/>
          <w:sz w:val="24"/>
          <w:szCs w:val="24"/>
        </w:rPr>
        <w:t xml:space="preserve"> I'm going to own you, the fucking Mayor and the fucking City." </w:t>
      </w:r>
      <w:r>
        <w:rPr>
          <w:rFonts w:ascii="Times New Roman" w:eastAsia="Times New Roman" w:hAnsi="Times New Roman"/>
          <w:sz w:val="24"/>
          <w:szCs w:val="24"/>
        </w:rPr>
        <w:t xml:space="preserve"> The firefighter asked next day to meet with the Chief to apologize.  The Chief </w:t>
      </w:r>
      <w:proofErr w:type="gramStart"/>
      <w:r>
        <w:rPr>
          <w:rFonts w:ascii="Times New Roman" w:eastAsia="Times New Roman" w:hAnsi="Times New Roman"/>
          <w:sz w:val="24"/>
          <w:szCs w:val="24"/>
        </w:rPr>
        <w:t>declined, and</w:t>
      </w:r>
      <w:proofErr w:type="gramEnd"/>
      <w:r>
        <w:rPr>
          <w:rFonts w:ascii="Times New Roman" w:eastAsia="Times New Roman" w:hAnsi="Times New Roman"/>
          <w:sz w:val="24"/>
          <w:szCs w:val="24"/>
        </w:rPr>
        <w:t xml:space="preserve"> later explained at the firefighter’s </w:t>
      </w:r>
      <w:proofErr w:type="spellStart"/>
      <w:r>
        <w:rPr>
          <w:rFonts w:ascii="Times New Roman" w:eastAsia="Times New Roman" w:hAnsi="Times New Roman"/>
          <w:sz w:val="24"/>
          <w:szCs w:val="24"/>
        </w:rPr>
        <w:t>predisciplinary</w:t>
      </w:r>
      <w:proofErr w:type="spellEnd"/>
      <w:r>
        <w:rPr>
          <w:rFonts w:ascii="Times New Roman" w:eastAsia="Times New Roman" w:hAnsi="Times New Roman"/>
          <w:sz w:val="24"/>
          <w:szCs w:val="24"/>
        </w:rPr>
        <w:t xml:space="preserve"> meeting that he declined to meet since he was upset and might </w:t>
      </w:r>
      <w:r w:rsidRPr="003C2A4F">
        <w:rPr>
          <w:rFonts w:ascii="Times New Roman" w:hAnsi="Times New Roman"/>
          <w:sz w:val="24"/>
          <w:szCs w:val="24"/>
        </w:rPr>
        <w:t>"put him through a wall."</w:t>
      </w:r>
    </w:p>
    <w:p w14:paraId="06F5653D" w14:textId="77777777" w:rsidR="00EC1BFB" w:rsidRDefault="00EC1BFB" w:rsidP="00EC1BFB">
      <w:pPr>
        <w:pStyle w:val="NoSpacing"/>
        <w:rPr>
          <w:rFonts w:ascii="Times New Roman" w:hAnsi="Times New Roman"/>
          <w:sz w:val="24"/>
          <w:szCs w:val="24"/>
        </w:rPr>
      </w:pPr>
    </w:p>
    <w:p w14:paraId="0F397921" w14:textId="77777777" w:rsidR="00EC1BFB" w:rsidRPr="003C2A4F" w:rsidRDefault="00EC1BFB" w:rsidP="00EC1BFB">
      <w:pPr>
        <w:pStyle w:val="NoSpacing"/>
        <w:ind w:left="720"/>
        <w:rPr>
          <w:rFonts w:ascii="Times New Roman" w:eastAsia="Times New Roman" w:hAnsi="Times New Roman"/>
          <w:b/>
          <w:bCs/>
          <w:sz w:val="24"/>
          <w:szCs w:val="24"/>
        </w:rPr>
      </w:pPr>
      <w:r>
        <w:rPr>
          <w:rFonts w:ascii="Times New Roman" w:hAnsi="Times New Roman"/>
          <w:sz w:val="24"/>
          <w:szCs w:val="24"/>
        </w:rPr>
        <w:t>“</w:t>
      </w:r>
      <w:r w:rsidRPr="003C2A4F">
        <w:rPr>
          <w:rFonts w:ascii="Times New Roman" w:hAnsi="Times New Roman"/>
          <w:sz w:val="24"/>
          <w:szCs w:val="24"/>
        </w:rPr>
        <w:t>In summary, Relators do not have a clear legal right pursuant to section 163.63 of the Youngstown Codified Ordinances (</w:t>
      </w:r>
      <w:r>
        <w:rPr>
          <w:rFonts w:ascii="Times New Roman" w:hAnsi="Times New Roman"/>
          <w:sz w:val="24"/>
          <w:szCs w:val="24"/>
        </w:rPr>
        <w:t>‘</w:t>
      </w:r>
      <w:r w:rsidRPr="003C2A4F">
        <w:rPr>
          <w:rFonts w:ascii="Times New Roman" w:hAnsi="Times New Roman"/>
          <w:sz w:val="24"/>
          <w:szCs w:val="24"/>
        </w:rPr>
        <w:t>YCO</w:t>
      </w:r>
      <w:r>
        <w:rPr>
          <w:rFonts w:ascii="Times New Roman" w:hAnsi="Times New Roman"/>
          <w:sz w:val="24"/>
          <w:szCs w:val="24"/>
        </w:rPr>
        <w:t>’</w:t>
      </w:r>
      <w:r w:rsidRPr="003C2A4F">
        <w:rPr>
          <w:rFonts w:ascii="Times New Roman" w:hAnsi="Times New Roman"/>
          <w:sz w:val="24"/>
          <w:szCs w:val="24"/>
        </w:rPr>
        <w:t>) to the appointment of an independent, neutral investigator, and the City does not have a clear legal duty pursuant to YCO 163.63 to appoint such an investigator. Accordingly, the writ, to the extent that it is predicated upon the appointment of an independent, neutral investigator, is dismissed.</w:t>
      </w:r>
      <w:r>
        <w:rPr>
          <w:rFonts w:ascii="Times New Roman" w:hAnsi="Times New Roman"/>
          <w:sz w:val="24"/>
          <w:szCs w:val="24"/>
        </w:rPr>
        <w:t xml:space="preserve">” </w:t>
      </w:r>
      <w:hyperlink r:id="rId2666" w:history="1">
        <w:r w:rsidRPr="00D60E44">
          <w:rPr>
            <w:rStyle w:val="Hyperlink"/>
            <w:sz w:val="24"/>
            <w:szCs w:val="24"/>
          </w:rPr>
          <w:t>https://public.fastcase.com/Wl%2B2t%2BeVuI35%2FN70vAMFZry7Wdfw%2FJOcYD0w2Kcl2Q1FxaIYO1NAtHxZOlhNOguL</w:t>
        </w:r>
      </w:hyperlink>
      <w:r>
        <w:rPr>
          <w:rFonts w:ascii="Times New Roman" w:hAnsi="Times New Roman"/>
          <w:sz w:val="24"/>
          <w:szCs w:val="24"/>
        </w:rPr>
        <w:t xml:space="preserve"> </w:t>
      </w:r>
    </w:p>
    <w:p w14:paraId="0CE04CAE" w14:textId="77777777" w:rsidR="00EC1BFB" w:rsidRDefault="00EC1BFB" w:rsidP="00F326E5">
      <w:pPr>
        <w:pStyle w:val="NoSpacing"/>
        <w:rPr>
          <w:rFonts w:ascii="Arial Black" w:hAnsi="Arial Black"/>
          <w:sz w:val="24"/>
          <w:szCs w:val="24"/>
        </w:rPr>
      </w:pPr>
    </w:p>
    <w:p w14:paraId="16BD07C0" w14:textId="77777777" w:rsidR="00EC1BFB" w:rsidRDefault="00EC1BFB" w:rsidP="00EC1BFB">
      <w:pPr>
        <w:spacing w:before="100" w:beforeAutospacing="1" w:after="100" w:afterAutospacing="1" w:line="240" w:lineRule="auto"/>
        <w:rPr>
          <w:rFonts w:ascii="Times New Roman" w:hAnsi="Times New Roman"/>
          <w:b/>
          <w:bCs/>
          <w:sz w:val="24"/>
          <w:szCs w:val="24"/>
        </w:rPr>
      </w:pPr>
      <w:bookmarkStart w:id="595" w:name="_Hlk66950362"/>
      <w:r w:rsidRPr="00DA2B2C">
        <w:rPr>
          <w:rFonts w:ascii="Times New Roman" w:hAnsi="Times New Roman"/>
          <w:b/>
          <w:bCs/>
          <w:sz w:val="24"/>
          <w:szCs w:val="24"/>
        </w:rPr>
        <w:t>Legal Lesson Learned:</w:t>
      </w:r>
      <w:r>
        <w:rPr>
          <w:rFonts w:ascii="Times New Roman" w:hAnsi="Times New Roman"/>
          <w:b/>
          <w:bCs/>
          <w:sz w:val="24"/>
          <w:szCs w:val="24"/>
        </w:rPr>
        <w:t xml:space="preserve"> Chief officers must be careful to avoid using any terms that could be perceived as threatening. </w:t>
      </w:r>
    </w:p>
    <w:p w14:paraId="6CDF1D19" w14:textId="77777777" w:rsidR="00EC1BFB" w:rsidRPr="00DA2B2C" w:rsidRDefault="00EC1BFB" w:rsidP="00EC1BFB">
      <w:pPr>
        <w:pStyle w:val="NoSpacing"/>
        <w:ind w:left="720" w:firstLine="60"/>
        <w:rPr>
          <w:rFonts w:ascii="Times New Roman" w:hAnsi="Times New Roman"/>
          <w:sz w:val="24"/>
          <w:szCs w:val="24"/>
        </w:rPr>
      </w:pPr>
      <w:r w:rsidRPr="00DA2B2C">
        <w:rPr>
          <w:rFonts w:ascii="Times New Roman" w:hAnsi="Times New Roman"/>
          <w:sz w:val="24"/>
          <w:szCs w:val="24"/>
        </w:rPr>
        <w:t xml:space="preserve">Note: See article about this case.  “Appeals court rules in favor of city of Youngstown in firefighters' union dispute.” </w:t>
      </w:r>
      <w:r>
        <w:rPr>
          <w:rFonts w:ascii="Times New Roman" w:hAnsi="Times New Roman"/>
          <w:sz w:val="24"/>
          <w:szCs w:val="24"/>
        </w:rPr>
        <w:t xml:space="preserve">(March 3, 2021) </w:t>
      </w:r>
      <w:hyperlink r:id="rId2667" w:history="1">
        <w:r w:rsidRPr="00D60E44">
          <w:rPr>
            <w:rStyle w:val="Hyperlink"/>
            <w:sz w:val="24"/>
            <w:szCs w:val="24"/>
          </w:rPr>
          <w:t>https://www.wfmj.com/story/41405965/chief-working-under-last-chance-agreement-angers-youngstown-firefighters</w:t>
        </w:r>
      </w:hyperlink>
      <w:r w:rsidRPr="00DA2B2C">
        <w:rPr>
          <w:rFonts w:ascii="Times New Roman" w:hAnsi="Times New Roman"/>
          <w:sz w:val="24"/>
          <w:szCs w:val="24"/>
        </w:rPr>
        <w:t xml:space="preserve"> </w:t>
      </w:r>
    </w:p>
    <w:p w14:paraId="466C4BCE" w14:textId="77777777" w:rsidR="00EC1BFB" w:rsidRPr="0015474E" w:rsidRDefault="00EC1BFB" w:rsidP="00EC1BFB">
      <w:pPr>
        <w:spacing w:before="100" w:beforeAutospacing="1" w:after="100" w:afterAutospacing="1" w:line="240" w:lineRule="auto"/>
        <w:rPr>
          <w:rFonts w:ascii="Times New Roman" w:eastAsia="Times New Roman" w:hAnsi="Times New Roman"/>
          <w:sz w:val="24"/>
          <w:szCs w:val="24"/>
        </w:rPr>
      </w:pPr>
    </w:p>
    <w:p w14:paraId="50512281" w14:textId="77777777" w:rsidR="00EC1BFB" w:rsidRDefault="00EC1BFB" w:rsidP="00F326E5">
      <w:pPr>
        <w:pStyle w:val="NoSpacing"/>
        <w:rPr>
          <w:rFonts w:ascii="Arial Black" w:hAnsi="Arial Black"/>
          <w:sz w:val="24"/>
          <w:szCs w:val="24"/>
        </w:rPr>
      </w:pPr>
    </w:p>
    <w:p w14:paraId="13994F1D" w14:textId="77777777" w:rsidR="00EC1BFB" w:rsidRDefault="00EC1BFB" w:rsidP="00F326E5">
      <w:pPr>
        <w:pStyle w:val="NoSpacing"/>
        <w:rPr>
          <w:rFonts w:ascii="Arial Black" w:hAnsi="Arial Black"/>
          <w:sz w:val="24"/>
          <w:szCs w:val="24"/>
        </w:rPr>
      </w:pPr>
    </w:p>
    <w:p w14:paraId="7C709F7B" w14:textId="77777777" w:rsidR="00EC1BFB" w:rsidRDefault="00EC1BFB" w:rsidP="00F326E5">
      <w:pPr>
        <w:pStyle w:val="NoSpacing"/>
        <w:rPr>
          <w:rFonts w:ascii="Arial Black" w:hAnsi="Arial Black"/>
          <w:sz w:val="24"/>
          <w:szCs w:val="24"/>
        </w:rPr>
      </w:pPr>
    </w:p>
    <w:p w14:paraId="49957FE6" w14:textId="7B7CC3CE" w:rsidR="00EB2493" w:rsidRDefault="00EB2493" w:rsidP="00F326E5">
      <w:pPr>
        <w:pStyle w:val="NoSpacing"/>
        <w:rPr>
          <w:rFonts w:ascii="Arial Black" w:hAnsi="Arial Black"/>
          <w:sz w:val="24"/>
          <w:szCs w:val="24"/>
        </w:rPr>
      </w:pPr>
      <w:r>
        <w:rPr>
          <w:rFonts w:ascii="Arial Black" w:hAnsi="Arial Black"/>
          <w:sz w:val="24"/>
          <w:szCs w:val="24"/>
        </w:rPr>
        <w:t>16-51</w:t>
      </w:r>
    </w:p>
    <w:p w14:paraId="7EA31AA0" w14:textId="77777777" w:rsidR="00EB2493" w:rsidRPr="00EE15C8" w:rsidRDefault="00EB2493" w:rsidP="00EB2493">
      <w:pPr>
        <w:rPr>
          <w:rFonts w:ascii="Arial Black" w:hAnsi="Arial Black"/>
          <w:sz w:val="28"/>
          <w:szCs w:val="28"/>
        </w:rPr>
      </w:pPr>
      <w:r>
        <w:rPr>
          <w:rFonts w:ascii="Arial Black" w:hAnsi="Arial Black"/>
          <w:sz w:val="28"/>
          <w:szCs w:val="28"/>
        </w:rPr>
        <w:t xml:space="preserve">IL: HORSEPLAY – CHICAGO FF GRABBED GENITALS OF MEDIC PROBIE – FF FIRED – MEDIC’S FED. CASE DISMISSED </w:t>
      </w:r>
    </w:p>
    <w:p w14:paraId="52416462" w14:textId="77777777" w:rsidR="00EB2493" w:rsidRDefault="00EB2493" w:rsidP="00EB2493">
      <w:pPr>
        <w:rPr>
          <w:rFonts w:ascii="Times New Roman" w:hAnsi="Times New Roman"/>
          <w:sz w:val="24"/>
          <w:szCs w:val="24"/>
        </w:rPr>
      </w:pPr>
      <w:r w:rsidRPr="004377F8">
        <w:rPr>
          <w:rFonts w:ascii="Times New Roman" w:hAnsi="Times New Roman"/>
          <w:sz w:val="24"/>
          <w:szCs w:val="24"/>
        </w:rPr>
        <w:t xml:space="preserve">On Feb. 23, 2021, in </w:t>
      </w:r>
      <w:r w:rsidRPr="004377F8">
        <w:rPr>
          <w:rFonts w:ascii="Times New Roman" w:hAnsi="Times New Roman"/>
          <w:sz w:val="24"/>
          <w:szCs w:val="24"/>
          <w:u w:val="single"/>
        </w:rPr>
        <w:t>Patrick Blake v, William Regan and The City of Chicago</w:t>
      </w:r>
      <w:r>
        <w:rPr>
          <w:rFonts w:ascii="Times New Roman" w:hAnsi="Times New Roman"/>
          <w:sz w:val="24"/>
          <w:szCs w:val="24"/>
        </w:rPr>
        <w:t xml:space="preserve">, U.S. District Court Judge Manish S. Shan, U.S. District Court for the Northern District of Illinois (Eastern Division), granted the defendants’ motion to dismiss; horseplay conduct was basis of discipline, improper, but facts don’t support a Federal claim of “deprivation of constitutional rights.” </w:t>
      </w:r>
    </w:p>
    <w:bookmarkEnd w:id="595"/>
    <w:p w14:paraId="31B4F1F9" w14:textId="77777777" w:rsidR="00EB2493" w:rsidRDefault="00EB2493" w:rsidP="00EB2493">
      <w:pPr>
        <w:ind w:left="720"/>
        <w:rPr>
          <w:rFonts w:ascii="Times New Roman" w:hAnsi="Times New Roman"/>
          <w:sz w:val="24"/>
          <w:szCs w:val="24"/>
        </w:rPr>
      </w:pPr>
      <w:r>
        <w:rPr>
          <w:rFonts w:ascii="Times New Roman" w:hAnsi="Times New Roman"/>
          <w:sz w:val="24"/>
          <w:szCs w:val="24"/>
        </w:rPr>
        <w:t>“</w:t>
      </w:r>
      <w:r w:rsidRPr="004377F8">
        <w:rPr>
          <w:rFonts w:ascii="Times New Roman" w:hAnsi="Times New Roman"/>
          <w:sz w:val="24"/>
          <w:szCs w:val="24"/>
        </w:rPr>
        <w:t xml:space="preserve">After Chicago firefighter William Regan was found not guilty of battery in state court, former paramedic-trainee Patrick Blake filed this Section 1983 lawsuit against Regan, alleging that Regan seized Blake in violation of the Fourth Amendment when Regan grabbed Blake's genitals. Blake also filed </w:t>
      </w:r>
      <w:r w:rsidRPr="004377F8">
        <w:rPr>
          <w:rFonts w:ascii="Times New Roman" w:hAnsi="Times New Roman"/>
          <w:i/>
          <w:iCs/>
          <w:sz w:val="24"/>
          <w:szCs w:val="24"/>
        </w:rPr>
        <w:t>Monell</w:t>
      </w:r>
      <w:r w:rsidRPr="004377F8">
        <w:rPr>
          <w:rFonts w:ascii="Times New Roman" w:hAnsi="Times New Roman"/>
          <w:sz w:val="24"/>
          <w:szCs w:val="24"/>
        </w:rPr>
        <w:t xml:space="preserve"> and indemnification claims against Regan's employer, the City of Chicago. For the reasons stated below, the defendants' motions to dismiss are granted.</w:t>
      </w:r>
    </w:p>
    <w:p w14:paraId="05B3A64B" w14:textId="77777777" w:rsidR="00EB2493" w:rsidRPr="004377F8" w:rsidRDefault="00EB2493" w:rsidP="00EB2493">
      <w:pPr>
        <w:ind w:left="720"/>
        <w:rPr>
          <w:rFonts w:ascii="Times New Roman" w:hAnsi="Times New Roman"/>
          <w:sz w:val="24"/>
          <w:szCs w:val="24"/>
        </w:rPr>
      </w:pPr>
      <w:r>
        <w:rPr>
          <w:rFonts w:ascii="Times New Roman" w:hAnsi="Times New Roman"/>
          <w:sz w:val="24"/>
          <w:szCs w:val="24"/>
        </w:rPr>
        <w:t>***</w:t>
      </w:r>
    </w:p>
    <w:p w14:paraId="57FF2DA3" w14:textId="77777777" w:rsidR="00EB2493" w:rsidRDefault="00EB2493" w:rsidP="00EB2493">
      <w:pPr>
        <w:ind w:left="720"/>
        <w:rPr>
          <w:rFonts w:ascii="Times New Roman" w:hAnsi="Times New Roman"/>
          <w:sz w:val="24"/>
          <w:szCs w:val="24"/>
        </w:rPr>
      </w:pPr>
      <w:r w:rsidRPr="004377F8">
        <w:rPr>
          <w:rFonts w:ascii="Times New Roman" w:hAnsi="Times New Roman"/>
          <w:sz w:val="24"/>
          <w:szCs w:val="24"/>
        </w:rPr>
        <w:t>Since Blake fails to allege a deprivation of constitutional rights under color of state law, his § 1983 claims against Regan and the City of Chicago fail.</w:t>
      </w:r>
    </w:p>
    <w:p w14:paraId="7386AE5D" w14:textId="77777777" w:rsidR="00EB2493" w:rsidRDefault="00EB2493" w:rsidP="00EB2493">
      <w:pPr>
        <w:ind w:left="720"/>
        <w:rPr>
          <w:rFonts w:ascii="Times New Roman" w:hAnsi="Times New Roman"/>
          <w:sz w:val="24"/>
          <w:szCs w:val="24"/>
        </w:rPr>
      </w:pPr>
      <w:r>
        <w:rPr>
          <w:rFonts w:ascii="Times New Roman" w:hAnsi="Times New Roman"/>
          <w:sz w:val="24"/>
          <w:szCs w:val="24"/>
        </w:rPr>
        <w:t>***</w:t>
      </w:r>
    </w:p>
    <w:p w14:paraId="10DC120F" w14:textId="77777777" w:rsidR="00EB2493" w:rsidRDefault="00EB2493" w:rsidP="00EB2493">
      <w:pPr>
        <w:pStyle w:val="NormalWeb"/>
        <w:ind w:left="720"/>
      </w:pPr>
      <w:r>
        <w:t xml:space="preserve">The allegations of the complaint make it certain that Blake was free to </w:t>
      </w:r>
      <w:proofErr w:type="gramStart"/>
      <w:r>
        <w:t>leave</w:t>
      </w:r>
      <w:proofErr w:type="gramEnd"/>
      <w:r>
        <w:t xml:space="preserve"> and Regan acted out of private authority. Blake's § 1983 claims against Regan and the City are dismissed with </w:t>
      </w:r>
      <w:proofErr w:type="spellStart"/>
      <w:r>
        <w:t>prejudice.</w:t>
      </w:r>
      <w:hyperlink r:id="rId2668" w:anchor="fr7" w:history="1">
        <w:r w:rsidR="00814FB6">
          <w:rPr>
            <w:rStyle w:val="Hyperlink"/>
            <w:rFonts w:ascii="Calibri" w:eastAsia="Calibri" w:hAnsi="Calibri"/>
            <w:sz w:val="22"/>
            <w:szCs w:val="22"/>
          </w:rPr>
          <w:t>https</w:t>
        </w:r>
        <w:proofErr w:type="spellEnd"/>
        <w:r w:rsidR="00814FB6">
          <w:rPr>
            <w:rStyle w:val="Hyperlink"/>
            <w:rFonts w:ascii="Calibri" w:eastAsia="Calibri" w:hAnsi="Calibri"/>
            <w:sz w:val="22"/>
            <w:szCs w:val="22"/>
          </w:rPr>
          <w:t>://public.fastcase.com/ - fr7</w:t>
        </w:r>
      </w:hyperlink>
      <w:r>
        <w:rPr>
          <w:sz w:val="20"/>
          <w:szCs w:val="20"/>
          <w:vertAlign w:val="superscript"/>
        </w:rPr>
        <w:t xml:space="preserve"> </w:t>
      </w:r>
      <w:r>
        <w:t xml:space="preserve"> Blake's state-law indemnification claim is based on the same conduct as his constitutional claim. A tort judgment is a prerequisite to any claim of payment under the Illinois Tort Immunity Act, and Blake cannot obtain one if he fails to allege </w:t>
      </w:r>
      <w:proofErr w:type="gramStart"/>
      <w:r>
        <w:t>a constitutional</w:t>
      </w:r>
      <w:proofErr w:type="gramEnd"/>
      <w:r>
        <w:t xml:space="preserve"> tort. </w:t>
      </w:r>
      <w:r>
        <w:rPr>
          <w:i/>
          <w:iCs/>
        </w:rPr>
        <w:t>See</w:t>
      </w:r>
      <w:r>
        <w:t xml:space="preserve"> 745 ILCS § 10/9-102.</w:t>
      </w:r>
      <w:r>
        <w:rPr>
          <w:sz w:val="20"/>
          <w:szCs w:val="20"/>
          <w:vertAlign w:val="superscript"/>
        </w:rPr>
        <w:t xml:space="preserve"> </w:t>
      </w:r>
      <w:r>
        <w:t xml:space="preserve"> </w:t>
      </w:r>
      <w:bookmarkStart w:id="596" w:name="_Hlk66950392"/>
      <w:r w:rsidR="00F00958">
        <w:fldChar w:fldCharType="begin"/>
      </w:r>
      <w:r w:rsidR="00F00958">
        <w:instrText xml:space="preserve"> HYPERLINK "https://cases.justia.com/federal/district-courts/illinois/ilndce/1:2020cv04065/377664/27/0.pdf" </w:instrText>
      </w:r>
      <w:r w:rsidR="00F00958">
        <w:fldChar w:fldCharType="separate"/>
      </w:r>
      <w:r w:rsidRPr="00800310">
        <w:rPr>
          <w:rStyle w:val="Hyperlink"/>
        </w:rPr>
        <w:t>https://cases.justia.com/federal/district-courts/illinois/ilndce/1:2020cv04065/377664/27/0.pdf</w:t>
      </w:r>
      <w:r w:rsidR="00F00958">
        <w:rPr>
          <w:rStyle w:val="Hyperlink"/>
        </w:rPr>
        <w:fldChar w:fldCharType="end"/>
      </w:r>
      <w:r>
        <w:t xml:space="preserve"> </w:t>
      </w:r>
    </w:p>
    <w:p w14:paraId="0DA4A54D" w14:textId="77777777" w:rsidR="00EB2493" w:rsidRDefault="00EB2493" w:rsidP="00EB2493">
      <w:pPr>
        <w:pStyle w:val="NormalWeb"/>
      </w:pPr>
      <w:r w:rsidRPr="00192F79">
        <w:rPr>
          <w:b/>
          <w:bCs/>
        </w:rPr>
        <w:t>Legal Lesson Learned:</w:t>
      </w:r>
      <w:r>
        <w:rPr>
          <w:b/>
          <w:bCs/>
        </w:rPr>
        <w:t xml:space="preserve"> Horseplay in this case crossed the line; what a terrible example of inappropriate conduct by a training officer. </w:t>
      </w:r>
    </w:p>
    <w:bookmarkEnd w:id="596"/>
    <w:p w14:paraId="5DC2361F" w14:textId="77777777" w:rsidR="00EB2493" w:rsidRDefault="00EB2493" w:rsidP="00F326E5">
      <w:pPr>
        <w:pStyle w:val="NoSpacing"/>
        <w:rPr>
          <w:rFonts w:ascii="Arial Black" w:hAnsi="Arial Black"/>
          <w:sz w:val="24"/>
          <w:szCs w:val="24"/>
        </w:rPr>
      </w:pPr>
    </w:p>
    <w:p w14:paraId="673C9AF3" w14:textId="77777777" w:rsidR="00EB2493" w:rsidRDefault="00EB2493" w:rsidP="00F326E5">
      <w:pPr>
        <w:pStyle w:val="NoSpacing"/>
        <w:rPr>
          <w:rFonts w:ascii="Arial Black" w:hAnsi="Arial Black"/>
          <w:sz w:val="24"/>
          <w:szCs w:val="24"/>
        </w:rPr>
      </w:pPr>
    </w:p>
    <w:p w14:paraId="7F1F2584" w14:textId="77777777" w:rsidR="00EB2493" w:rsidRDefault="00EB2493" w:rsidP="00F326E5">
      <w:pPr>
        <w:pStyle w:val="NoSpacing"/>
        <w:rPr>
          <w:rFonts w:ascii="Arial Black" w:hAnsi="Arial Black"/>
          <w:sz w:val="24"/>
          <w:szCs w:val="24"/>
        </w:rPr>
      </w:pPr>
    </w:p>
    <w:p w14:paraId="37342B32" w14:textId="1B113B5D" w:rsidR="00AD5461" w:rsidRDefault="00AD5461" w:rsidP="00F326E5">
      <w:pPr>
        <w:pStyle w:val="NoSpacing"/>
        <w:rPr>
          <w:rFonts w:ascii="Arial Black" w:hAnsi="Arial Black"/>
          <w:sz w:val="24"/>
          <w:szCs w:val="24"/>
        </w:rPr>
      </w:pPr>
      <w:bookmarkStart w:id="597" w:name="_Hlk66950424"/>
      <w:r>
        <w:rPr>
          <w:rFonts w:ascii="Arial Black" w:hAnsi="Arial Black"/>
          <w:sz w:val="24"/>
          <w:szCs w:val="24"/>
        </w:rPr>
        <w:t>16-50</w:t>
      </w:r>
    </w:p>
    <w:p w14:paraId="76AD4517" w14:textId="77777777" w:rsidR="00AD5461" w:rsidRPr="005B755E" w:rsidRDefault="00AD5461" w:rsidP="00AD5461">
      <w:pPr>
        <w:pStyle w:val="NoSpacing"/>
        <w:rPr>
          <w:rFonts w:ascii="Arial Black" w:hAnsi="Arial Black"/>
          <w:sz w:val="28"/>
          <w:szCs w:val="28"/>
        </w:rPr>
      </w:pPr>
      <w:r>
        <w:rPr>
          <w:rFonts w:ascii="Arial Black" w:hAnsi="Arial Black"/>
          <w:sz w:val="28"/>
          <w:szCs w:val="28"/>
        </w:rPr>
        <w:t>IL: FD CAPTAIN DRUGGED YOUNG MALE FF WITH CIALIS AND KETAMINE – SEX ASSAULT - 36 YEARS IN PRISON</w:t>
      </w:r>
    </w:p>
    <w:p w14:paraId="7040843B" w14:textId="77777777" w:rsidR="00AD5461" w:rsidRDefault="00AD5461" w:rsidP="00AD5461">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Jan. 22, 2021, in </w:t>
      </w:r>
      <w:r w:rsidRPr="005B755E">
        <w:rPr>
          <w:rFonts w:ascii="Times New Roman" w:hAnsi="Times New Roman"/>
          <w:sz w:val="24"/>
          <w:szCs w:val="24"/>
          <w:u w:val="single"/>
        </w:rPr>
        <w:t>The People of The State of Illinois v. David J. Dunn</w:t>
      </w:r>
      <w:r>
        <w:rPr>
          <w:rFonts w:ascii="Times New Roman" w:hAnsi="Times New Roman"/>
          <w:sz w:val="24"/>
          <w:szCs w:val="24"/>
        </w:rPr>
        <w:t xml:space="preserve">, the Illinois Court of Appeals for the Fourth District, </w:t>
      </w:r>
      <w:r w:rsidRPr="00172C02">
        <w:rPr>
          <w:rFonts w:ascii="Times New Roman" w:eastAsia="Times New Roman" w:hAnsi="Times New Roman"/>
          <w:sz w:val="24"/>
          <w:szCs w:val="24"/>
        </w:rPr>
        <w:t>2021 IL App (4th) 180552-U</w:t>
      </w:r>
      <w:r>
        <w:rPr>
          <w:rFonts w:ascii="Times New Roman" w:eastAsia="Times New Roman" w:hAnsi="Times New Roman"/>
          <w:sz w:val="24"/>
          <w:szCs w:val="24"/>
        </w:rPr>
        <w:t xml:space="preserve">, </w:t>
      </w:r>
      <w:r>
        <w:rPr>
          <w:rFonts w:ascii="Times New Roman" w:hAnsi="Times New Roman"/>
          <w:sz w:val="24"/>
          <w:szCs w:val="24"/>
        </w:rPr>
        <w:t xml:space="preserve">held (3 to 0) that jury properly convicted the Captain; at his going away party, before leaving to Alaska to become a Fire Chief, he put Cialis in victim’s beer, and then ketamine, and videotaped his assaulting the victim. </w:t>
      </w:r>
    </w:p>
    <w:bookmarkEnd w:id="597"/>
    <w:p w14:paraId="761DB574" w14:textId="77777777" w:rsidR="00AD5461" w:rsidRPr="005B755E" w:rsidRDefault="00AD5461" w:rsidP="00AD5461">
      <w:pPr>
        <w:spacing w:before="100" w:beforeAutospacing="1" w:after="100" w:afterAutospacing="1" w:line="240" w:lineRule="auto"/>
        <w:ind w:left="720"/>
        <w:rPr>
          <w:rFonts w:ascii="Times New Roman" w:hAnsi="Times New Roman"/>
          <w:sz w:val="24"/>
          <w:szCs w:val="24"/>
        </w:rPr>
      </w:pPr>
      <w:r w:rsidRPr="005B755E">
        <w:rPr>
          <w:rFonts w:ascii="Times New Roman" w:hAnsi="Times New Roman"/>
          <w:sz w:val="24"/>
          <w:szCs w:val="24"/>
        </w:rPr>
        <w:t xml:space="preserve">"Based upon the testimony, the evidence presented at trial, at some point in the evening in question, this defendant, by his own admission, put Cialis in the victim's beer. That was obviously designed for one purpose and one purpose only. The victim became intoxicated, the defendant then introduced ketamine into his system, and when the crowd dispersed, the defendant raped the victim and videotaped it, that reprehensible, deplorable offense. </w:t>
      </w:r>
      <w:proofErr w:type="gramStart"/>
      <w:r w:rsidRPr="005B755E">
        <w:rPr>
          <w:rFonts w:ascii="Times New Roman" w:hAnsi="Times New Roman"/>
          <w:sz w:val="24"/>
          <w:szCs w:val="24"/>
        </w:rPr>
        <w:t>So</w:t>
      </w:r>
      <w:proofErr w:type="gramEnd"/>
      <w:r w:rsidRPr="005B755E">
        <w:rPr>
          <w:rFonts w:ascii="Times New Roman" w:hAnsi="Times New Roman"/>
          <w:sz w:val="24"/>
          <w:szCs w:val="24"/>
        </w:rPr>
        <w:t xml:space="preserve"> the history, character, and condition of the defendant, in looking at the circumstances surrounding the offense, indicates that a sentence in excess of the minimum on counts three and four is appropriate."</w:t>
      </w:r>
      <w:r>
        <w:rPr>
          <w:rFonts w:ascii="Times New Roman" w:hAnsi="Times New Roman"/>
          <w:sz w:val="24"/>
          <w:szCs w:val="24"/>
        </w:rPr>
        <w:t xml:space="preserve"> </w:t>
      </w:r>
      <w:bookmarkStart w:id="598" w:name="_Hlk66950453"/>
      <w:r w:rsidR="00F00958">
        <w:fldChar w:fldCharType="begin"/>
      </w:r>
      <w:r w:rsidR="00F00958">
        <w:instrText xml:space="preserve"> HYPERLINK "https://courts.illinois.gov/R23_Orders/AppellateCourt/2021/4thDistrict/4180552_R23.pdf" </w:instrText>
      </w:r>
      <w:r w:rsidR="00F00958">
        <w:fldChar w:fldCharType="separate"/>
      </w:r>
      <w:r w:rsidRPr="00490C3C">
        <w:rPr>
          <w:rStyle w:val="Hyperlink"/>
          <w:rFonts w:ascii="Times New Roman" w:hAnsi="Times New Roman"/>
          <w:sz w:val="24"/>
          <w:szCs w:val="24"/>
        </w:rPr>
        <w:t>https://courts.illinois.gov/R23_Orders/AppellateCourt/2021/4thDistrict/4180552_R23.pdf</w:t>
      </w:r>
      <w:r w:rsidR="00F00958">
        <w:rPr>
          <w:rStyle w:val="Hyperlink"/>
          <w:rFonts w:ascii="Times New Roman" w:hAnsi="Times New Roman"/>
          <w:sz w:val="24"/>
          <w:szCs w:val="24"/>
        </w:rPr>
        <w:fldChar w:fldCharType="end"/>
      </w:r>
      <w:r>
        <w:rPr>
          <w:rFonts w:ascii="Times New Roman" w:hAnsi="Times New Roman"/>
          <w:sz w:val="24"/>
          <w:szCs w:val="24"/>
        </w:rPr>
        <w:t xml:space="preserve"> </w:t>
      </w:r>
    </w:p>
    <w:p w14:paraId="6112B883" w14:textId="77777777" w:rsidR="00AD5461" w:rsidRDefault="00AD5461" w:rsidP="00AD5461">
      <w:pPr>
        <w:pStyle w:val="NoSpacing"/>
        <w:rPr>
          <w:rFonts w:ascii="Times New Roman" w:hAnsi="Times New Roman"/>
          <w:b/>
          <w:bCs/>
          <w:sz w:val="24"/>
          <w:szCs w:val="24"/>
        </w:rPr>
      </w:pPr>
      <w:r w:rsidRPr="00172C02">
        <w:rPr>
          <w:rFonts w:ascii="Times New Roman" w:hAnsi="Times New Roman"/>
          <w:b/>
          <w:bCs/>
          <w:sz w:val="24"/>
          <w:szCs w:val="24"/>
        </w:rPr>
        <w:t>Legal Lesson Learned:</w:t>
      </w:r>
      <w:r>
        <w:rPr>
          <w:rFonts w:ascii="Times New Roman" w:hAnsi="Times New Roman"/>
          <w:b/>
          <w:bCs/>
          <w:sz w:val="24"/>
          <w:szCs w:val="24"/>
        </w:rPr>
        <w:t xml:space="preserve">  The 36-year sentence reflects the seriousness of the defendant’s conduct. </w:t>
      </w:r>
    </w:p>
    <w:bookmarkEnd w:id="598"/>
    <w:p w14:paraId="3993D05D" w14:textId="77777777" w:rsidR="00AD5461" w:rsidRDefault="00AD5461" w:rsidP="00F326E5">
      <w:pPr>
        <w:pStyle w:val="NoSpacing"/>
        <w:rPr>
          <w:rFonts w:ascii="Arial Black" w:hAnsi="Arial Black"/>
          <w:sz w:val="24"/>
          <w:szCs w:val="24"/>
        </w:rPr>
      </w:pPr>
    </w:p>
    <w:p w14:paraId="63C33ABC" w14:textId="77777777" w:rsidR="00AD5461" w:rsidRDefault="00AD5461" w:rsidP="00F326E5">
      <w:pPr>
        <w:pStyle w:val="NoSpacing"/>
        <w:rPr>
          <w:rFonts w:ascii="Arial Black" w:hAnsi="Arial Black"/>
          <w:sz w:val="24"/>
          <w:szCs w:val="24"/>
        </w:rPr>
      </w:pPr>
    </w:p>
    <w:p w14:paraId="5186A85F" w14:textId="77777777" w:rsidR="00AD5461" w:rsidRDefault="00AD5461" w:rsidP="00F326E5">
      <w:pPr>
        <w:pStyle w:val="NoSpacing"/>
        <w:rPr>
          <w:rFonts w:ascii="Arial Black" w:hAnsi="Arial Black"/>
          <w:sz w:val="24"/>
          <w:szCs w:val="24"/>
        </w:rPr>
      </w:pPr>
    </w:p>
    <w:p w14:paraId="2AECD8FD" w14:textId="53B13D39" w:rsidR="00F20BCE" w:rsidRPr="00AD5461" w:rsidRDefault="00F20BCE" w:rsidP="00F326E5">
      <w:pPr>
        <w:pStyle w:val="NoSpacing"/>
        <w:rPr>
          <w:rFonts w:ascii="Times New Roman" w:hAnsi="Times New Roman"/>
          <w:sz w:val="24"/>
          <w:szCs w:val="24"/>
        </w:rPr>
      </w:pPr>
      <w:r>
        <w:rPr>
          <w:rFonts w:ascii="Arial Black" w:hAnsi="Arial Black"/>
          <w:sz w:val="24"/>
          <w:szCs w:val="24"/>
        </w:rPr>
        <w:t xml:space="preserve">16-49 </w:t>
      </w:r>
      <w:r w:rsidRPr="00AD5461">
        <w:rPr>
          <w:rFonts w:ascii="Times New Roman" w:hAnsi="Times New Roman"/>
          <w:sz w:val="24"/>
          <w:szCs w:val="24"/>
        </w:rPr>
        <w:t>[also filed, Chap. 6]</w:t>
      </w:r>
    </w:p>
    <w:p w14:paraId="6F437A34" w14:textId="77777777" w:rsidR="00F20BCE" w:rsidRDefault="00F20BCE" w:rsidP="00F20BCE">
      <w:pPr>
        <w:spacing w:before="100" w:beforeAutospacing="1" w:after="100" w:afterAutospacing="1" w:line="240" w:lineRule="auto"/>
        <w:rPr>
          <w:rFonts w:ascii="Arial Black" w:hAnsi="Arial Black" w:cstheme="minorBidi"/>
          <w:sz w:val="28"/>
          <w:szCs w:val="28"/>
        </w:rPr>
      </w:pPr>
      <w:r>
        <w:rPr>
          <w:rFonts w:ascii="Arial Black" w:hAnsi="Arial Black"/>
          <w:sz w:val="28"/>
          <w:szCs w:val="28"/>
        </w:rPr>
        <w:t>MA: INTERNAL INVEST. OF TREASURER - EMPLOYEES PROVIDE INFO – PROTECTED FROM DEFAMATION – NO SPITE OR ILL WILL</w:t>
      </w:r>
    </w:p>
    <w:p w14:paraId="0AB3FCF4" w14:textId="77777777" w:rsidR="00F20BCE" w:rsidRDefault="00F20BCE" w:rsidP="00F20BC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10, 2020, in </w:t>
      </w:r>
      <w:r>
        <w:rPr>
          <w:rFonts w:ascii="Times New Roman" w:hAnsi="Times New Roman"/>
          <w:sz w:val="24"/>
          <w:szCs w:val="24"/>
          <w:u w:val="single"/>
        </w:rPr>
        <w:t>Diane Lawless v, Cheryl Estrella</w:t>
      </w:r>
      <w:r>
        <w:rPr>
          <w:rFonts w:ascii="Times New Roman" w:hAnsi="Times New Roman"/>
          <w:sz w:val="24"/>
          <w:szCs w:val="24"/>
        </w:rPr>
        <w:t xml:space="preserve">, the Massachusetts Court of Appeals held (3 to 0) that the trial court properly granted summary judgment and dismissed the lawsuit filed by the former Town Treasurer against a Senior Clerk who provided investigators with a 6-page e-mail documenting misconduct by the Treasurer. </w:t>
      </w:r>
    </w:p>
    <w:p w14:paraId="35FBCB06" w14:textId="77777777" w:rsidR="00F20BCE" w:rsidRDefault="00F20BCE" w:rsidP="00F20BC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“We conclude that an opinion based on disclosed, nondefamatory facts is not defamatory and that many of the allegedly defamatory statements constitute such opinions. </w:t>
      </w:r>
      <w:proofErr w:type="gramStart"/>
      <w:r>
        <w:rPr>
          <w:rFonts w:ascii="Times New Roman" w:hAnsi="Times New Roman"/>
          <w:sz w:val="24"/>
          <w:szCs w:val="24"/>
        </w:rPr>
        <w:t>Further</w:t>
      </w:r>
      <w:proofErr w:type="gramEnd"/>
      <w:r>
        <w:rPr>
          <w:rFonts w:ascii="Times New Roman" w:hAnsi="Times New Roman"/>
          <w:sz w:val="24"/>
          <w:szCs w:val="24"/>
        </w:rPr>
        <w:t xml:space="preserve"> concluding that an employee has a conditional privilege to provide information concerning another employee upon the request of a supervisor and that the plaintiff failed to raise a genuine issue of material fact that would allow a jury to find that this privilege was abused regarding the other statements, we affirm.” </w:t>
      </w:r>
      <w:hyperlink r:id="rId2669" w:history="1">
        <w:r>
          <w:rPr>
            <w:rStyle w:val="Hyperlink"/>
          </w:rPr>
          <w:t>https://www.massmunilaw.org/wp-content/uploads/2020/12/DIANE-LAWLESS-v.-CHERYL-ESTRELLA.pdf</w:t>
        </w:r>
      </w:hyperlink>
      <w:r>
        <w:rPr>
          <w:rFonts w:ascii="Times New Roman" w:hAnsi="Times New Roman"/>
          <w:sz w:val="24"/>
          <w:szCs w:val="24"/>
        </w:rPr>
        <w:t xml:space="preserve"> </w:t>
      </w:r>
    </w:p>
    <w:p w14:paraId="3A575859" w14:textId="77777777" w:rsidR="00F20BCE" w:rsidRDefault="00F20BCE" w:rsidP="00F20BCE">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Legal Lesson Learned: Internal investigations of a public official will often involve co-workers providing statements.  The “conditional privilege” is an important protection of these co-workers.</w:t>
      </w:r>
    </w:p>
    <w:p w14:paraId="43E52121" w14:textId="77777777" w:rsidR="00F20BCE" w:rsidRDefault="00F20BCE" w:rsidP="00F20BC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Note: The Court of Appeals referenced a Fire Department case where a co-worker also enjoyed protection from defamation lawsuit under the “conditional privilege.”  Kevin Barrows v. Wareham Fire District (Mass Court of Appeals; Oct. 12, 2012). </w:t>
      </w:r>
      <w:hyperlink r:id="rId2670" w:history="1">
        <w:r>
          <w:rPr>
            <w:rStyle w:val="Hyperlink"/>
          </w:rPr>
          <w:t>http://masscases.com/cases/app/82/82massappct623.html</w:t>
        </w:r>
      </w:hyperlink>
      <w:r>
        <w:t xml:space="preserve"> </w:t>
      </w:r>
    </w:p>
    <w:p w14:paraId="38E9753D" w14:textId="77777777" w:rsidR="00F20BCE" w:rsidRDefault="00F20BCE" w:rsidP="00F326E5">
      <w:pPr>
        <w:pStyle w:val="NoSpacing"/>
        <w:rPr>
          <w:rFonts w:ascii="Arial Black" w:hAnsi="Arial Black"/>
          <w:sz w:val="24"/>
          <w:szCs w:val="24"/>
        </w:rPr>
      </w:pPr>
    </w:p>
    <w:p w14:paraId="7C1B0B49" w14:textId="654744B4" w:rsidR="00F20BCE" w:rsidRDefault="00F20BCE" w:rsidP="00F326E5">
      <w:pPr>
        <w:pStyle w:val="NoSpacing"/>
        <w:rPr>
          <w:rFonts w:ascii="Arial Black" w:hAnsi="Arial Black"/>
          <w:sz w:val="24"/>
          <w:szCs w:val="24"/>
        </w:rPr>
      </w:pPr>
      <w:r>
        <w:rPr>
          <w:rFonts w:ascii="Arial Black" w:hAnsi="Arial Black"/>
          <w:sz w:val="24"/>
          <w:szCs w:val="24"/>
        </w:rPr>
        <w:t>16-48</w:t>
      </w:r>
    </w:p>
    <w:p w14:paraId="0A5DFC25" w14:textId="77777777" w:rsidR="00F20BCE" w:rsidRDefault="00F20BCE" w:rsidP="00F20BCE">
      <w:pPr>
        <w:spacing w:before="100" w:beforeAutospacing="1" w:after="100" w:afterAutospacing="1" w:line="240" w:lineRule="auto"/>
        <w:rPr>
          <w:rFonts w:ascii="Arial Black" w:eastAsiaTheme="minorHAnsi" w:hAnsi="Arial Black" w:cstheme="minorBidi"/>
          <w:sz w:val="28"/>
          <w:szCs w:val="28"/>
        </w:rPr>
      </w:pPr>
      <w:r>
        <w:rPr>
          <w:rFonts w:ascii="Arial Black" w:hAnsi="Arial Black"/>
          <w:sz w:val="28"/>
          <w:szCs w:val="28"/>
        </w:rPr>
        <w:t>OH: FF FIRED - FACEBOOK POSTS, TURNOUT GEAR, BAD GRANT DATA – TOWNSHIP CAN FIRE WITHOUT FIRE CHIEF RECOMM.</w:t>
      </w:r>
    </w:p>
    <w:p w14:paraId="529EC153" w14:textId="77777777" w:rsidR="00F20BCE" w:rsidRDefault="00F20BCE" w:rsidP="00F20BC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Nov. 25, 2020, in </w:t>
      </w:r>
      <w:r>
        <w:rPr>
          <w:rFonts w:ascii="Times New Roman" w:hAnsi="Times New Roman"/>
          <w:sz w:val="24"/>
          <w:szCs w:val="24"/>
          <w:u w:val="single"/>
        </w:rPr>
        <w:t>Karl D. Gerhart v. Union Township Board of Trustees</w:t>
      </w:r>
      <w:r>
        <w:rPr>
          <w:rFonts w:ascii="Times New Roman" w:hAnsi="Times New Roman"/>
          <w:sz w:val="24"/>
          <w:szCs w:val="24"/>
        </w:rPr>
        <w:t xml:space="preserve">, the Court of Appeals of Ohio, Fourth Appellate District (Ross County), 2020 Ohio 5615, held (3 to 0) that the firefighter was properly fired by the Township under Ohio Revised Code, even if the FD’s manual calls for the Fire Chief to recommend termination. </w:t>
      </w:r>
    </w:p>
    <w:p w14:paraId="2F6B7B99" w14:textId="77777777" w:rsidR="00F20BCE" w:rsidRDefault="00F20BCE" w:rsidP="00F20BC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“[Defendant] thus argues that the disciplinary manual required the chief to recommend to the board of trustees his removal.  </w:t>
      </w:r>
    </w:p>
    <w:p w14:paraId="49716C61" w14:textId="77777777" w:rsidR="00F20BCE" w:rsidRDefault="00F20BCE" w:rsidP="00F20BC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R.C. 505.38 provides for the removal of firefighters in accordance with R.C. 733.35. R.C. 733.35 provides that a firefighter may be removed if he ‘has been guilty, in the performance of his official duty, of bribery, misfeasance, malfeasance, nonfeasance, misconduct in office, gross neglect of duty, gross immorality, or habitual drunkenness.’</w:t>
      </w:r>
    </w:p>
    <w:p w14:paraId="1F57B03D" w14:textId="77777777" w:rsidR="00F20BCE" w:rsidRDefault="00F20BCE" w:rsidP="00F20BCE">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 xml:space="preserve">In the case sub judice, the board of trustees’ cited reasons for terminating appellant tracks the language contained in R.C. 733.35, i.e., misfeasance, malfeasance, and misconduct in office.” </w:t>
      </w:r>
      <w:hyperlink r:id="rId2671" w:history="1">
        <w:r>
          <w:rPr>
            <w:rStyle w:val="Hyperlink"/>
          </w:rPr>
          <w:t>https://www.supremecourt.ohio.gov/rod/docs/pdf/4/2020/2020-Ohio-5615.pdf</w:t>
        </w:r>
      </w:hyperlink>
      <w:r>
        <w:rPr>
          <w:rFonts w:ascii="Times New Roman" w:hAnsi="Times New Roman"/>
          <w:sz w:val="24"/>
          <w:szCs w:val="24"/>
        </w:rPr>
        <w:t xml:space="preserve"> </w:t>
      </w:r>
    </w:p>
    <w:p w14:paraId="63AA2E38" w14:textId="77777777" w:rsidR="00F20BCE" w:rsidRDefault="00F20BCE" w:rsidP="00F20BCE">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 Learned: The evidence presented to the Township Trustees supported his termination. </w:t>
      </w:r>
    </w:p>
    <w:p w14:paraId="13D26AF5" w14:textId="77777777" w:rsidR="00F20BCE" w:rsidRDefault="00F20BCE" w:rsidP="00F326E5">
      <w:pPr>
        <w:pStyle w:val="NoSpacing"/>
        <w:rPr>
          <w:rFonts w:ascii="Arial Black" w:hAnsi="Arial Black"/>
          <w:sz w:val="24"/>
          <w:szCs w:val="24"/>
        </w:rPr>
      </w:pPr>
    </w:p>
    <w:p w14:paraId="1A434715" w14:textId="77777777" w:rsidR="00F20BCE" w:rsidRDefault="00F20BCE" w:rsidP="00F326E5">
      <w:pPr>
        <w:pStyle w:val="NoSpacing"/>
        <w:rPr>
          <w:rFonts w:ascii="Arial Black" w:hAnsi="Arial Black"/>
          <w:sz w:val="24"/>
          <w:szCs w:val="24"/>
        </w:rPr>
      </w:pPr>
    </w:p>
    <w:p w14:paraId="4E93B618" w14:textId="348CD7E5" w:rsidR="00663A6A" w:rsidRDefault="00663A6A" w:rsidP="00F326E5">
      <w:pPr>
        <w:pStyle w:val="NoSpacing"/>
        <w:rPr>
          <w:rFonts w:ascii="Arial Black" w:hAnsi="Arial Black"/>
          <w:sz w:val="24"/>
          <w:szCs w:val="24"/>
        </w:rPr>
      </w:pPr>
      <w:r>
        <w:rPr>
          <w:rFonts w:ascii="Arial Black" w:hAnsi="Arial Black"/>
          <w:sz w:val="24"/>
          <w:szCs w:val="24"/>
        </w:rPr>
        <w:t>16-47</w:t>
      </w:r>
    </w:p>
    <w:p w14:paraId="0547978D" w14:textId="268DBC70" w:rsidR="00663A6A" w:rsidRDefault="00663A6A" w:rsidP="00F326E5">
      <w:pPr>
        <w:pStyle w:val="NoSpacing"/>
        <w:rPr>
          <w:rFonts w:ascii="Arial Black" w:hAnsi="Arial Black"/>
          <w:sz w:val="24"/>
          <w:szCs w:val="24"/>
        </w:rPr>
      </w:pPr>
    </w:p>
    <w:p w14:paraId="19B0A905" w14:textId="77777777" w:rsidR="00663A6A" w:rsidRPr="00A30759" w:rsidRDefault="00663A6A" w:rsidP="00663A6A">
      <w:pPr>
        <w:pStyle w:val="NoSpacing"/>
        <w:rPr>
          <w:rFonts w:ascii="Arial Black" w:hAnsi="Arial Black"/>
          <w:sz w:val="28"/>
          <w:szCs w:val="28"/>
        </w:rPr>
      </w:pPr>
      <w:r>
        <w:rPr>
          <w:rFonts w:ascii="Arial Black" w:hAnsi="Arial Black"/>
          <w:sz w:val="28"/>
          <w:szCs w:val="28"/>
        </w:rPr>
        <w:t>OK: FIRE CHIEF FIRED – WRITTEN WARNING, 1-YR LATER NEVER WORKED FF SHIFT, OTHER ISSUES - FIRED FOR “GOOD CAUSE”</w:t>
      </w:r>
    </w:p>
    <w:p w14:paraId="2950E5A2" w14:textId="77777777" w:rsidR="00663A6A" w:rsidRDefault="00663A6A" w:rsidP="00663A6A">
      <w:pPr>
        <w:tabs>
          <w:tab w:val="left" w:pos="7150"/>
        </w:tabs>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On Nov. 4</w:t>
      </w:r>
      <w:proofErr w:type="gramStart"/>
      <w:r>
        <w:rPr>
          <w:rFonts w:ascii="Times New Roman" w:eastAsia="Times New Roman" w:hAnsi="Times New Roman"/>
          <w:sz w:val="24"/>
          <w:szCs w:val="24"/>
        </w:rPr>
        <w:t xml:space="preserve"> 2020</w:t>
      </w:r>
      <w:proofErr w:type="gramEnd"/>
      <w:r>
        <w:rPr>
          <w:rFonts w:ascii="Times New Roman" w:eastAsia="Times New Roman" w:hAnsi="Times New Roman"/>
          <w:sz w:val="24"/>
          <w:szCs w:val="24"/>
        </w:rPr>
        <w:t xml:space="preserve">, in </w:t>
      </w:r>
      <w:r w:rsidRPr="00A30759">
        <w:rPr>
          <w:rFonts w:ascii="Times New Roman" w:eastAsia="Times New Roman" w:hAnsi="Times New Roman"/>
          <w:sz w:val="24"/>
          <w:szCs w:val="24"/>
          <w:u w:val="single"/>
        </w:rPr>
        <w:t>Stephen Parmenter v. City of Nowata, Oklahoma</w:t>
      </w:r>
      <w:r>
        <w:rPr>
          <w:rFonts w:ascii="Times New Roman" w:eastAsia="Times New Roman" w:hAnsi="Times New Roman"/>
          <w:sz w:val="24"/>
          <w:szCs w:val="24"/>
        </w:rPr>
        <w:t xml:space="preserve">, U.S. District Court Judge Terence C. Kern, U.S. District Court for the Northern District of Oklahoma, granted the City’s motion for summary judgment.  The Fire Chief worked for a Chartered City which empowered the City Manager to terminate heads of department and others “at will.”  In Aug. 2017, the City Manager issued written reprimand documenting numerous personnel issues; the Manager also added a requirement the Chief work one shift per week, which he never did for following year. </w:t>
      </w:r>
    </w:p>
    <w:p w14:paraId="1F862FE6" w14:textId="77777777" w:rsidR="00663A6A" w:rsidRPr="00A30759" w:rsidRDefault="00663A6A" w:rsidP="00663A6A">
      <w:pPr>
        <w:pStyle w:val="NoSpacing"/>
        <w:ind w:left="720"/>
        <w:rPr>
          <w:rFonts w:ascii="Times New Roman" w:hAnsi="Times New Roman"/>
          <w:sz w:val="24"/>
          <w:szCs w:val="24"/>
        </w:rPr>
      </w:pPr>
      <w:r>
        <w:rPr>
          <w:rFonts w:ascii="Times New Roman" w:hAnsi="Times New Roman"/>
          <w:sz w:val="24"/>
          <w:szCs w:val="24"/>
        </w:rPr>
        <w:t>“</w:t>
      </w:r>
      <w:r w:rsidRPr="00A30759">
        <w:rPr>
          <w:rFonts w:ascii="Times New Roman" w:hAnsi="Times New Roman"/>
          <w:sz w:val="24"/>
          <w:szCs w:val="24"/>
        </w:rPr>
        <w:t xml:space="preserve">Moreover, even assuming 11 O.S. §19-104 applies to Parmenter's claim, the undisputed record establishes that he was fired for </w:t>
      </w:r>
      <w:r>
        <w:rPr>
          <w:rFonts w:ascii="Times New Roman" w:hAnsi="Times New Roman"/>
          <w:sz w:val="24"/>
          <w:szCs w:val="24"/>
        </w:rPr>
        <w:t>‘</w:t>
      </w:r>
      <w:r w:rsidRPr="00A30759">
        <w:rPr>
          <w:rFonts w:ascii="Times New Roman" w:hAnsi="Times New Roman"/>
          <w:sz w:val="24"/>
          <w:szCs w:val="24"/>
        </w:rPr>
        <w:t>good and sufficient cause.</w:t>
      </w:r>
      <w:r>
        <w:rPr>
          <w:rFonts w:ascii="Times New Roman" w:hAnsi="Times New Roman"/>
          <w:sz w:val="24"/>
          <w:szCs w:val="24"/>
        </w:rPr>
        <w:t>’</w:t>
      </w:r>
      <w:r w:rsidRPr="00A30759">
        <w:rPr>
          <w:rFonts w:ascii="Times New Roman" w:hAnsi="Times New Roman"/>
          <w:sz w:val="24"/>
          <w:szCs w:val="24"/>
        </w:rPr>
        <w:t xml:space="preserve"> On August 31, 2017, he received a formal, documented reprimand listing numerous issues </w:t>
      </w:r>
      <w:proofErr w:type="gramStart"/>
      <w:r w:rsidRPr="00A30759">
        <w:rPr>
          <w:rFonts w:ascii="Times New Roman" w:hAnsi="Times New Roman"/>
          <w:sz w:val="24"/>
          <w:szCs w:val="24"/>
        </w:rPr>
        <w:t>and also</w:t>
      </w:r>
      <w:proofErr w:type="gramEnd"/>
      <w:r w:rsidRPr="00A30759">
        <w:rPr>
          <w:rFonts w:ascii="Times New Roman" w:hAnsi="Times New Roman"/>
          <w:sz w:val="24"/>
          <w:szCs w:val="24"/>
        </w:rPr>
        <w:t xml:space="preserve"> ordering him to work at least one regular shift per week as a firefighter. Accordingly, he was aware that any further infractions could lead to disciplinary action—including termination—against him. For well over a year after the written reprimand, Carrick continued to address items listed in the written reprimand. During that time, and in contravention of the reprimand, he failed to work a single fire shift. Moreover, after meeting with fire department employees, Carrick learned of other issues—including that department morale was abysmal due to favoritism of one employee over the others, and that employees were trading shifts without documenting the trades, and then directly compensating each other for covered shifts. </w:t>
      </w:r>
    </w:p>
    <w:p w14:paraId="79E85F4C" w14:textId="77777777" w:rsidR="00663A6A" w:rsidRDefault="00663A6A" w:rsidP="00663A6A">
      <w:pPr>
        <w:pStyle w:val="NoSpacing"/>
        <w:rPr>
          <w:rFonts w:ascii="Times New Roman" w:hAnsi="Times New Roman"/>
          <w:sz w:val="24"/>
          <w:szCs w:val="24"/>
        </w:rPr>
      </w:pPr>
    </w:p>
    <w:p w14:paraId="629CD128" w14:textId="77777777" w:rsidR="00663A6A" w:rsidRPr="00A30759" w:rsidRDefault="00663A6A" w:rsidP="00663A6A">
      <w:pPr>
        <w:pStyle w:val="NoSpacing"/>
        <w:ind w:left="720"/>
        <w:rPr>
          <w:rFonts w:ascii="Times New Roman" w:eastAsia="Times New Roman" w:hAnsi="Times New Roman"/>
          <w:sz w:val="24"/>
          <w:szCs w:val="24"/>
        </w:rPr>
      </w:pPr>
      <w:r w:rsidRPr="00A30759">
        <w:rPr>
          <w:rFonts w:ascii="Times New Roman" w:hAnsi="Times New Roman"/>
          <w:sz w:val="24"/>
          <w:szCs w:val="24"/>
        </w:rPr>
        <w:t xml:space="preserve">The undisputed record supports the City's position that Parmenter's termination was for </w:t>
      </w:r>
      <w:r>
        <w:rPr>
          <w:rFonts w:ascii="Times New Roman" w:hAnsi="Times New Roman"/>
          <w:sz w:val="24"/>
          <w:szCs w:val="24"/>
        </w:rPr>
        <w:t>‘</w:t>
      </w:r>
      <w:r w:rsidRPr="00A30759">
        <w:rPr>
          <w:rFonts w:ascii="Times New Roman" w:hAnsi="Times New Roman"/>
          <w:sz w:val="24"/>
          <w:szCs w:val="24"/>
        </w:rPr>
        <w:t>good and sufficient cause.</w:t>
      </w:r>
      <w:r>
        <w:rPr>
          <w:rFonts w:ascii="Times New Roman" w:hAnsi="Times New Roman"/>
          <w:sz w:val="24"/>
          <w:szCs w:val="24"/>
        </w:rPr>
        <w:t xml:space="preserve">’” </w:t>
      </w:r>
      <w:hyperlink r:id="rId2672" w:history="1">
        <w:r w:rsidRPr="00BA14DC">
          <w:rPr>
            <w:rStyle w:val="Hyperlink"/>
            <w:rFonts w:ascii="Times New Roman" w:hAnsi="Times New Roman"/>
            <w:sz w:val="24"/>
            <w:szCs w:val="24"/>
          </w:rPr>
          <w:t>https://casetext.com/case/parmenter-v-city-of-nowata</w:t>
        </w:r>
      </w:hyperlink>
      <w:r>
        <w:rPr>
          <w:rFonts w:ascii="Times New Roman" w:hAnsi="Times New Roman"/>
          <w:sz w:val="24"/>
          <w:szCs w:val="24"/>
        </w:rPr>
        <w:t xml:space="preserve"> </w:t>
      </w:r>
    </w:p>
    <w:p w14:paraId="2682E1B7" w14:textId="53898DAA" w:rsidR="00663A6A" w:rsidRDefault="00663A6A" w:rsidP="00F326E5">
      <w:pPr>
        <w:pStyle w:val="NoSpacing"/>
        <w:rPr>
          <w:rFonts w:ascii="Arial Black" w:hAnsi="Arial Black"/>
          <w:sz w:val="24"/>
          <w:szCs w:val="24"/>
        </w:rPr>
      </w:pPr>
    </w:p>
    <w:p w14:paraId="7F359E5B" w14:textId="77777777" w:rsidR="00663A6A" w:rsidRPr="00B00DFD" w:rsidRDefault="00663A6A" w:rsidP="00663A6A">
      <w:pPr>
        <w:spacing w:before="100" w:beforeAutospacing="1" w:after="100" w:afterAutospacing="1" w:line="240" w:lineRule="auto"/>
        <w:rPr>
          <w:rFonts w:ascii="Times New Roman" w:eastAsia="Times New Roman" w:hAnsi="Times New Roman"/>
          <w:b/>
          <w:bCs/>
          <w:sz w:val="24"/>
          <w:szCs w:val="24"/>
        </w:rPr>
      </w:pPr>
      <w:r w:rsidRPr="00B00DFD">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City Manager thoroughly documented the employment concerns; she also provided “due process” to the “at will” Fire Chief.  </w:t>
      </w:r>
    </w:p>
    <w:p w14:paraId="5F0C8ACC" w14:textId="77777777" w:rsidR="00663A6A" w:rsidRDefault="00663A6A" w:rsidP="00F326E5">
      <w:pPr>
        <w:pStyle w:val="NoSpacing"/>
        <w:rPr>
          <w:rFonts w:ascii="Arial Black" w:hAnsi="Arial Black"/>
          <w:sz w:val="24"/>
          <w:szCs w:val="24"/>
        </w:rPr>
      </w:pPr>
    </w:p>
    <w:p w14:paraId="6B5C843D" w14:textId="77777777" w:rsidR="00663A6A" w:rsidRDefault="00663A6A" w:rsidP="00F326E5">
      <w:pPr>
        <w:pStyle w:val="NoSpacing"/>
        <w:rPr>
          <w:rFonts w:ascii="Arial Black" w:hAnsi="Arial Black"/>
          <w:sz w:val="24"/>
          <w:szCs w:val="24"/>
        </w:rPr>
      </w:pPr>
    </w:p>
    <w:p w14:paraId="0C75D0B9" w14:textId="13BD9728" w:rsidR="00663A6A" w:rsidRDefault="00663A6A" w:rsidP="00F326E5">
      <w:pPr>
        <w:pStyle w:val="NoSpacing"/>
        <w:rPr>
          <w:rFonts w:ascii="Arial Black" w:hAnsi="Arial Black"/>
          <w:sz w:val="24"/>
          <w:szCs w:val="24"/>
        </w:rPr>
      </w:pPr>
      <w:r>
        <w:rPr>
          <w:rFonts w:ascii="Arial Black" w:hAnsi="Arial Black"/>
          <w:sz w:val="24"/>
          <w:szCs w:val="24"/>
        </w:rPr>
        <w:t>16-46</w:t>
      </w:r>
    </w:p>
    <w:p w14:paraId="6B2CFC09" w14:textId="37CDC39B" w:rsidR="00663A6A" w:rsidRDefault="00663A6A" w:rsidP="00F326E5">
      <w:pPr>
        <w:pStyle w:val="NoSpacing"/>
        <w:rPr>
          <w:rFonts w:ascii="Arial Black" w:hAnsi="Arial Black"/>
          <w:sz w:val="24"/>
          <w:szCs w:val="24"/>
        </w:rPr>
      </w:pPr>
    </w:p>
    <w:p w14:paraId="544B97FA" w14:textId="77777777" w:rsidR="00663A6A" w:rsidRPr="000C02CA" w:rsidRDefault="00663A6A" w:rsidP="00663A6A">
      <w:pPr>
        <w:pStyle w:val="NoSpacing"/>
        <w:rPr>
          <w:rFonts w:ascii="Arial Black" w:hAnsi="Arial Black"/>
          <w:sz w:val="28"/>
          <w:szCs w:val="28"/>
        </w:rPr>
      </w:pPr>
      <w:r>
        <w:rPr>
          <w:rFonts w:ascii="Arial Black" w:hAnsi="Arial Black"/>
          <w:sz w:val="28"/>
          <w:szCs w:val="28"/>
        </w:rPr>
        <w:t>NJ: RECUIT FIRED AFTER GRADUATING - CHIEF KNEW HE HAD ALTERED INSURANCE CARD NEW RESIDENCE - REINSTATED</w:t>
      </w:r>
    </w:p>
    <w:p w14:paraId="73124402" w14:textId="77777777" w:rsidR="00663A6A" w:rsidRDefault="00663A6A" w:rsidP="00663A6A">
      <w:pPr>
        <w:pStyle w:val="NoSpacing"/>
      </w:pPr>
    </w:p>
    <w:p w14:paraId="1EC7FA0A" w14:textId="77777777" w:rsidR="00663A6A" w:rsidRDefault="00663A6A" w:rsidP="00663A6A">
      <w:pPr>
        <w:pStyle w:val="NoSpacing"/>
        <w:rPr>
          <w:rFonts w:ascii="Times New Roman" w:hAnsi="Times New Roman"/>
          <w:sz w:val="24"/>
          <w:szCs w:val="24"/>
        </w:rPr>
      </w:pPr>
      <w:r w:rsidRPr="00472D0A">
        <w:rPr>
          <w:rFonts w:ascii="Times New Roman" w:hAnsi="Times New Roman"/>
          <w:sz w:val="24"/>
          <w:szCs w:val="24"/>
        </w:rPr>
        <w:t xml:space="preserve">On Oct. 19, 2020, </w:t>
      </w:r>
      <w:r w:rsidRPr="00472D0A">
        <w:rPr>
          <w:rFonts w:ascii="Times New Roman" w:hAnsi="Times New Roman"/>
          <w:sz w:val="24"/>
          <w:szCs w:val="24"/>
          <w:u w:val="single"/>
        </w:rPr>
        <w:t xml:space="preserve">In </w:t>
      </w:r>
      <w:proofErr w:type="gramStart"/>
      <w:r w:rsidRPr="00472D0A">
        <w:rPr>
          <w:rFonts w:ascii="Times New Roman" w:hAnsi="Times New Roman"/>
          <w:sz w:val="24"/>
          <w:szCs w:val="24"/>
          <w:u w:val="single"/>
        </w:rPr>
        <w:t>The</w:t>
      </w:r>
      <w:proofErr w:type="gramEnd"/>
      <w:r w:rsidRPr="00472D0A">
        <w:rPr>
          <w:rFonts w:ascii="Times New Roman" w:hAnsi="Times New Roman"/>
          <w:sz w:val="24"/>
          <w:szCs w:val="24"/>
          <w:u w:val="single"/>
        </w:rPr>
        <w:t xml:space="preserve"> Matter </w:t>
      </w:r>
      <w:proofErr w:type="gramStart"/>
      <w:r w:rsidRPr="00472D0A">
        <w:rPr>
          <w:rFonts w:ascii="Times New Roman" w:hAnsi="Times New Roman"/>
          <w:sz w:val="24"/>
          <w:szCs w:val="24"/>
          <w:u w:val="single"/>
        </w:rPr>
        <w:t>Of</w:t>
      </w:r>
      <w:proofErr w:type="gramEnd"/>
      <w:r w:rsidRPr="00472D0A">
        <w:rPr>
          <w:rFonts w:ascii="Times New Roman" w:hAnsi="Times New Roman"/>
          <w:sz w:val="24"/>
          <w:szCs w:val="24"/>
          <w:u w:val="single"/>
        </w:rPr>
        <w:t xml:space="preserve"> Christopher D’Amico, City of Plainfield Fire Department</w:t>
      </w:r>
      <w:r w:rsidRPr="00472D0A">
        <w:rPr>
          <w:rFonts w:ascii="Times New Roman" w:hAnsi="Times New Roman"/>
          <w:sz w:val="24"/>
          <w:szCs w:val="24"/>
        </w:rPr>
        <w:t xml:space="preserve">, </w:t>
      </w:r>
      <w:r>
        <w:rPr>
          <w:rFonts w:ascii="Times New Roman" w:hAnsi="Times New Roman"/>
          <w:sz w:val="24"/>
          <w:szCs w:val="24"/>
        </w:rPr>
        <w:t xml:space="preserve">the Superior Court of New Jersey (Appellate Division) held (3 to 0) that the Civil Service Commission properly reinstated the firefighter.  The Fire Chief knew of the altered card and </w:t>
      </w:r>
      <w:proofErr w:type="gramStart"/>
      <w:r>
        <w:rPr>
          <w:rFonts w:ascii="Times New Roman" w:hAnsi="Times New Roman"/>
          <w:sz w:val="24"/>
          <w:szCs w:val="24"/>
        </w:rPr>
        <w:t>has allowed</w:t>
      </w:r>
      <w:proofErr w:type="gramEnd"/>
      <w:r>
        <w:rPr>
          <w:rFonts w:ascii="Times New Roman" w:hAnsi="Times New Roman"/>
          <w:sz w:val="24"/>
          <w:szCs w:val="24"/>
        </w:rPr>
        <w:t xml:space="preserve"> the firefighter to enter recruit school. </w:t>
      </w:r>
    </w:p>
    <w:p w14:paraId="78D0081A" w14:textId="77777777" w:rsidR="00663A6A" w:rsidRPr="00472D0A" w:rsidRDefault="00663A6A" w:rsidP="00663A6A">
      <w:pPr>
        <w:pStyle w:val="NoSpacing"/>
        <w:rPr>
          <w:rFonts w:ascii="Times New Roman" w:hAnsi="Times New Roman"/>
          <w:sz w:val="24"/>
          <w:szCs w:val="24"/>
        </w:rPr>
      </w:pPr>
    </w:p>
    <w:p w14:paraId="5FD3CFAB" w14:textId="77777777" w:rsidR="00663A6A" w:rsidRPr="00472D0A" w:rsidRDefault="00663A6A" w:rsidP="00663A6A">
      <w:pPr>
        <w:pStyle w:val="NoSpacing"/>
        <w:ind w:left="720"/>
        <w:rPr>
          <w:rFonts w:ascii="Times New Roman" w:hAnsi="Times New Roman"/>
          <w:sz w:val="24"/>
          <w:szCs w:val="24"/>
        </w:rPr>
      </w:pPr>
      <w:r>
        <w:rPr>
          <w:rFonts w:ascii="Times New Roman" w:hAnsi="Times New Roman"/>
          <w:sz w:val="24"/>
          <w:szCs w:val="24"/>
        </w:rPr>
        <w:t>“</w:t>
      </w:r>
      <w:r w:rsidRPr="00472D0A">
        <w:rPr>
          <w:rFonts w:ascii="Times New Roman" w:hAnsi="Times New Roman"/>
          <w:sz w:val="24"/>
          <w:szCs w:val="24"/>
        </w:rPr>
        <w:t>After reviewing the City</w:t>
      </w:r>
      <w:r>
        <w:rPr>
          <w:rFonts w:ascii="Times New Roman" w:hAnsi="Times New Roman"/>
          <w:sz w:val="24"/>
          <w:szCs w:val="24"/>
        </w:rPr>
        <w:t>’</w:t>
      </w:r>
      <w:r w:rsidRPr="00472D0A">
        <w:rPr>
          <w:rFonts w:ascii="Times New Roman" w:hAnsi="Times New Roman"/>
          <w:sz w:val="24"/>
          <w:szCs w:val="24"/>
        </w:rPr>
        <w:t>s exceptions, the Commission</w:t>
      </w:r>
      <w:r>
        <w:rPr>
          <w:rFonts w:ascii="Times New Roman" w:hAnsi="Times New Roman"/>
          <w:sz w:val="24"/>
          <w:szCs w:val="24"/>
        </w:rPr>
        <w:t xml:space="preserve"> </w:t>
      </w:r>
      <w:r w:rsidRPr="00472D0A">
        <w:rPr>
          <w:rFonts w:ascii="Times New Roman" w:hAnsi="Times New Roman"/>
          <w:sz w:val="24"/>
          <w:szCs w:val="24"/>
        </w:rPr>
        <w:t>agreed with the ALJ. It held D</w:t>
      </w:r>
      <w:r>
        <w:rPr>
          <w:rFonts w:ascii="Times New Roman" w:hAnsi="Times New Roman"/>
          <w:sz w:val="24"/>
          <w:szCs w:val="24"/>
        </w:rPr>
        <w:t>’</w:t>
      </w:r>
      <w:r w:rsidRPr="00472D0A">
        <w:rPr>
          <w:rFonts w:ascii="Times New Roman" w:hAnsi="Times New Roman"/>
          <w:sz w:val="24"/>
          <w:szCs w:val="24"/>
        </w:rPr>
        <w:t>Amico provided</w:t>
      </w:r>
      <w:r>
        <w:rPr>
          <w:rFonts w:ascii="Times New Roman" w:hAnsi="Times New Roman"/>
          <w:sz w:val="24"/>
          <w:szCs w:val="24"/>
        </w:rPr>
        <w:t xml:space="preserve"> </w:t>
      </w:r>
      <w:r w:rsidRPr="00472D0A">
        <w:rPr>
          <w:rFonts w:ascii="Times New Roman" w:hAnsi="Times New Roman"/>
          <w:sz w:val="24"/>
          <w:szCs w:val="24"/>
        </w:rPr>
        <w:t>his true address on the card and the addition of correct information</w:t>
      </w:r>
      <w:r>
        <w:rPr>
          <w:rFonts w:ascii="Times New Roman" w:hAnsi="Times New Roman"/>
          <w:sz w:val="24"/>
          <w:szCs w:val="24"/>
        </w:rPr>
        <w:t xml:space="preserve"> </w:t>
      </w:r>
      <w:r w:rsidRPr="00472D0A">
        <w:rPr>
          <w:rFonts w:ascii="Times New Roman" w:hAnsi="Times New Roman"/>
          <w:sz w:val="24"/>
          <w:szCs w:val="24"/>
        </w:rPr>
        <w:t xml:space="preserve">on the document did not indicate a lack of character or morals to be a firefighter. Even if it were, the Commission concluded the </w:t>
      </w:r>
      <w:proofErr w:type="gramStart"/>
      <w:r w:rsidRPr="00472D0A">
        <w:rPr>
          <w:rFonts w:ascii="Times New Roman" w:hAnsi="Times New Roman"/>
          <w:sz w:val="24"/>
          <w:szCs w:val="24"/>
        </w:rPr>
        <w:t>City</w:t>
      </w:r>
      <w:proofErr w:type="gramEnd"/>
      <w:r w:rsidRPr="00472D0A">
        <w:rPr>
          <w:rFonts w:ascii="Times New Roman" w:hAnsi="Times New Roman"/>
          <w:sz w:val="24"/>
          <w:szCs w:val="24"/>
        </w:rPr>
        <w:t xml:space="preserve"> was aware of the altered document in May 2017,</w:t>
      </w:r>
      <w:r>
        <w:rPr>
          <w:rFonts w:ascii="Times New Roman" w:hAnsi="Times New Roman"/>
          <w:sz w:val="24"/>
          <w:szCs w:val="24"/>
        </w:rPr>
        <w:t xml:space="preserve"> </w:t>
      </w:r>
      <w:r w:rsidRPr="00472D0A">
        <w:rPr>
          <w:rFonts w:ascii="Times New Roman" w:hAnsi="Times New Roman"/>
          <w:sz w:val="24"/>
          <w:szCs w:val="24"/>
        </w:rPr>
        <w:t>before D</w:t>
      </w:r>
      <w:r>
        <w:rPr>
          <w:rFonts w:ascii="Times New Roman" w:hAnsi="Times New Roman"/>
          <w:sz w:val="24"/>
          <w:szCs w:val="24"/>
        </w:rPr>
        <w:t>’</w:t>
      </w:r>
      <w:r w:rsidRPr="00472D0A">
        <w:rPr>
          <w:rFonts w:ascii="Times New Roman" w:hAnsi="Times New Roman"/>
          <w:sz w:val="24"/>
          <w:szCs w:val="24"/>
        </w:rPr>
        <w:t>Amico was hired and attended the</w:t>
      </w:r>
      <w:r>
        <w:rPr>
          <w:rFonts w:ascii="Times New Roman" w:hAnsi="Times New Roman"/>
          <w:sz w:val="24"/>
          <w:szCs w:val="24"/>
        </w:rPr>
        <w:t xml:space="preserve"> </w:t>
      </w:r>
      <w:r w:rsidRPr="00472D0A">
        <w:rPr>
          <w:rFonts w:ascii="Times New Roman" w:hAnsi="Times New Roman"/>
          <w:sz w:val="24"/>
          <w:szCs w:val="24"/>
        </w:rPr>
        <w:t>fire</w:t>
      </w:r>
      <w:r>
        <w:rPr>
          <w:rFonts w:ascii="Times New Roman" w:hAnsi="Times New Roman"/>
          <w:sz w:val="24"/>
          <w:szCs w:val="24"/>
        </w:rPr>
        <w:t xml:space="preserve"> </w:t>
      </w:r>
      <w:r w:rsidRPr="00472D0A">
        <w:rPr>
          <w:rFonts w:ascii="Times New Roman" w:hAnsi="Times New Roman"/>
          <w:sz w:val="24"/>
          <w:szCs w:val="24"/>
        </w:rPr>
        <w:t>academy. In addition, because D</w:t>
      </w:r>
      <w:r>
        <w:rPr>
          <w:rFonts w:ascii="Times New Roman" w:hAnsi="Times New Roman"/>
          <w:sz w:val="24"/>
          <w:szCs w:val="24"/>
        </w:rPr>
        <w:t>’</w:t>
      </w:r>
      <w:r w:rsidRPr="00472D0A">
        <w:rPr>
          <w:rFonts w:ascii="Times New Roman" w:hAnsi="Times New Roman"/>
          <w:sz w:val="24"/>
          <w:szCs w:val="24"/>
        </w:rPr>
        <w:t xml:space="preserve">Amico was on the job for only three or four hours at the time he was terminated, the Commission concluded the </w:t>
      </w:r>
      <w:proofErr w:type="gramStart"/>
      <w:r w:rsidRPr="00472D0A">
        <w:rPr>
          <w:rFonts w:ascii="Times New Roman" w:hAnsi="Times New Roman"/>
          <w:sz w:val="24"/>
          <w:szCs w:val="24"/>
        </w:rPr>
        <w:t>City</w:t>
      </w:r>
      <w:proofErr w:type="gramEnd"/>
      <w:r w:rsidRPr="00472D0A">
        <w:rPr>
          <w:rFonts w:ascii="Times New Roman" w:hAnsi="Times New Roman"/>
          <w:sz w:val="24"/>
          <w:szCs w:val="24"/>
        </w:rPr>
        <w:t xml:space="preserve"> had the burden of proving D</w:t>
      </w:r>
      <w:r>
        <w:rPr>
          <w:rFonts w:ascii="Times New Roman" w:hAnsi="Times New Roman"/>
          <w:sz w:val="24"/>
          <w:szCs w:val="24"/>
        </w:rPr>
        <w:t>’</w:t>
      </w:r>
      <w:r w:rsidRPr="00472D0A">
        <w:rPr>
          <w:rFonts w:ascii="Times New Roman" w:hAnsi="Times New Roman"/>
          <w:sz w:val="24"/>
          <w:szCs w:val="24"/>
        </w:rPr>
        <w:t>Amico was guilty of the charges. Based on its findings, the Commission reinstated D</w:t>
      </w:r>
      <w:r>
        <w:rPr>
          <w:rFonts w:ascii="Times New Roman" w:hAnsi="Times New Roman"/>
          <w:sz w:val="24"/>
          <w:szCs w:val="24"/>
        </w:rPr>
        <w:t>’</w:t>
      </w:r>
      <w:r w:rsidRPr="00472D0A">
        <w:rPr>
          <w:rFonts w:ascii="Times New Roman" w:hAnsi="Times New Roman"/>
          <w:sz w:val="24"/>
          <w:szCs w:val="24"/>
        </w:rPr>
        <w:t>Amico, and awarded</w:t>
      </w:r>
      <w:r>
        <w:rPr>
          <w:rFonts w:ascii="Times New Roman" w:hAnsi="Times New Roman"/>
          <w:sz w:val="24"/>
          <w:szCs w:val="24"/>
        </w:rPr>
        <w:t xml:space="preserve"> </w:t>
      </w:r>
      <w:r w:rsidRPr="00472D0A">
        <w:rPr>
          <w:rFonts w:ascii="Times New Roman" w:hAnsi="Times New Roman"/>
          <w:sz w:val="24"/>
          <w:szCs w:val="24"/>
        </w:rPr>
        <w:t>him</w:t>
      </w:r>
      <w:r>
        <w:rPr>
          <w:rFonts w:ascii="Times New Roman" w:hAnsi="Times New Roman"/>
          <w:sz w:val="24"/>
          <w:szCs w:val="24"/>
        </w:rPr>
        <w:t xml:space="preserve"> </w:t>
      </w:r>
      <w:r w:rsidRPr="00472D0A">
        <w:rPr>
          <w:rFonts w:ascii="Times New Roman" w:hAnsi="Times New Roman"/>
          <w:sz w:val="24"/>
          <w:szCs w:val="24"/>
        </w:rPr>
        <w:t>back pay, benefits,</w:t>
      </w:r>
      <w:r>
        <w:rPr>
          <w:rFonts w:ascii="Times New Roman" w:hAnsi="Times New Roman"/>
          <w:sz w:val="24"/>
          <w:szCs w:val="24"/>
        </w:rPr>
        <w:t xml:space="preserve"> </w:t>
      </w:r>
      <w:r w:rsidRPr="00472D0A">
        <w:rPr>
          <w:rFonts w:ascii="Times New Roman" w:hAnsi="Times New Roman"/>
          <w:sz w:val="24"/>
          <w:szCs w:val="24"/>
        </w:rPr>
        <w:t>and seniority status.</w:t>
      </w:r>
      <w:r>
        <w:rPr>
          <w:rFonts w:ascii="Times New Roman" w:hAnsi="Times New Roman"/>
          <w:sz w:val="24"/>
          <w:szCs w:val="24"/>
        </w:rPr>
        <w:t xml:space="preserve">” </w:t>
      </w:r>
      <w:hyperlink r:id="rId2673" w:history="1">
        <w:r w:rsidRPr="00AA126E">
          <w:rPr>
            <w:rStyle w:val="Hyperlink"/>
            <w:rFonts w:ascii="Times New Roman" w:hAnsi="Times New Roman"/>
            <w:sz w:val="24"/>
            <w:szCs w:val="24"/>
          </w:rPr>
          <w:t>https://njcourts.gov/attorneys/assets/opinions/appellate/unpublished/a4576-18.pdf?c=len</w:t>
        </w:r>
      </w:hyperlink>
      <w:r>
        <w:rPr>
          <w:rFonts w:ascii="Times New Roman" w:hAnsi="Times New Roman"/>
          <w:sz w:val="24"/>
          <w:szCs w:val="24"/>
        </w:rPr>
        <w:t xml:space="preserve"> </w:t>
      </w:r>
    </w:p>
    <w:p w14:paraId="4D9600FB" w14:textId="77777777" w:rsidR="00663A6A" w:rsidRPr="00213E82" w:rsidRDefault="00663A6A" w:rsidP="00663A6A">
      <w:pPr>
        <w:pStyle w:val="Heading1"/>
        <w:rPr>
          <w:sz w:val="24"/>
          <w:szCs w:val="24"/>
        </w:rPr>
      </w:pPr>
      <w:r w:rsidRPr="00213E82">
        <w:rPr>
          <w:sz w:val="24"/>
          <w:szCs w:val="24"/>
        </w:rPr>
        <w:t xml:space="preserve">Legal Lesson Learned: </w:t>
      </w:r>
      <w:r>
        <w:rPr>
          <w:sz w:val="24"/>
          <w:szCs w:val="24"/>
        </w:rPr>
        <w:t xml:space="preserve">Recruit was fortunate to have a Fire Chief who supported him. If city </w:t>
      </w:r>
      <w:proofErr w:type="gramStart"/>
      <w:r>
        <w:rPr>
          <w:sz w:val="24"/>
          <w:szCs w:val="24"/>
        </w:rPr>
        <w:t>needed</w:t>
      </w:r>
      <w:proofErr w:type="gramEnd"/>
      <w:r>
        <w:rPr>
          <w:sz w:val="24"/>
          <w:szCs w:val="24"/>
        </w:rPr>
        <w:t xml:space="preserve"> more proof of your residency, ask for additional time to prove you moved into the city. </w:t>
      </w:r>
    </w:p>
    <w:p w14:paraId="0EB06B69" w14:textId="77777777" w:rsidR="00663A6A" w:rsidRDefault="00663A6A" w:rsidP="00663A6A">
      <w:pPr>
        <w:pStyle w:val="Heading1"/>
        <w:ind w:left="720"/>
      </w:pPr>
      <w:r>
        <w:rPr>
          <w:b w:val="0"/>
          <w:bCs w:val="0"/>
          <w:sz w:val="24"/>
          <w:szCs w:val="24"/>
        </w:rPr>
        <w:t>Note: This case was featured in trade press. “</w:t>
      </w:r>
      <w:r w:rsidRPr="00213E82">
        <w:rPr>
          <w:b w:val="0"/>
          <w:bCs w:val="0"/>
          <w:sz w:val="24"/>
          <w:szCs w:val="24"/>
        </w:rPr>
        <w:t>NJ Firefighter Fired Three Hours Into First Day Can Stay on Job, Court Rules</w:t>
      </w:r>
      <w:r>
        <w:rPr>
          <w:b w:val="0"/>
          <w:bCs w:val="0"/>
          <w:sz w:val="24"/>
          <w:szCs w:val="24"/>
        </w:rPr>
        <w:t xml:space="preserve">” (Nov. 2, 2020): </w:t>
      </w:r>
      <w:hyperlink r:id="rId2674" w:history="1">
        <w:r w:rsidRPr="00214867">
          <w:rPr>
            <w:rStyle w:val="Hyperlink"/>
            <w:b w:val="0"/>
            <w:bCs w:val="0"/>
            <w:sz w:val="24"/>
            <w:szCs w:val="24"/>
          </w:rPr>
          <w:t>https://www.fireengineering.com/2020/11/02/495783/nj-firefighter-fired-three-hours-into-first-day-can-stay-on-job-court-rules/?utm_medium=email&amp;utm_campaign=2020-11-03&amp;utm_source=fe_daily_newsletter</w:t>
        </w:r>
      </w:hyperlink>
      <w:r w:rsidRPr="00214867">
        <w:rPr>
          <w:b w:val="0"/>
          <w:bCs w:val="0"/>
          <w:sz w:val="24"/>
          <w:szCs w:val="24"/>
        </w:rPr>
        <w:t xml:space="preserve"> </w:t>
      </w:r>
    </w:p>
    <w:p w14:paraId="05273E84" w14:textId="77777777" w:rsidR="00663A6A" w:rsidRDefault="00663A6A" w:rsidP="00F326E5">
      <w:pPr>
        <w:pStyle w:val="NoSpacing"/>
        <w:rPr>
          <w:rFonts w:ascii="Arial Black" w:hAnsi="Arial Black"/>
          <w:sz w:val="24"/>
          <w:szCs w:val="24"/>
        </w:rPr>
      </w:pPr>
    </w:p>
    <w:p w14:paraId="32BD0D5B" w14:textId="77777777" w:rsidR="00663A6A" w:rsidRDefault="00663A6A" w:rsidP="00F326E5">
      <w:pPr>
        <w:pStyle w:val="NoSpacing"/>
        <w:rPr>
          <w:rFonts w:ascii="Arial Black" w:hAnsi="Arial Black"/>
          <w:sz w:val="24"/>
          <w:szCs w:val="24"/>
        </w:rPr>
      </w:pPr>
    </w:p>
    <w:p w14:paraId="6EA637F2" w14:textId="77777777" w:rsidR="00663A6A" w:rsidRDefault="00663A6A" w:rsidP="00F326E5">
      <w:pPr>
        <w:pStyle w:val="NoSpacing"/>
        <w:rPr>
          <w:rFonts w:ascii="Arial Black" w:hAnsi="Arial Black"/>
          <w:sz w:val="24"/>
          <w:szCs w:val="24"/>
        </w:rPr>
      </w:pPr>
    </w:p>
    <w:p w14:paraId="4ED2251A" w14:textId="1ED50ED1" w:rsidR="00102FD0" w:rsidRDefault="00102FD0" w:rsidP="00F326E5">
      <w:pPr>
        <w:pStyle w:val="NoSpacing"/>
        <w:rPr>
          <w:rFonts w:ascii="Arial Black" w:hAnsi="Arial Black"/>
          <w:sz w:val="24"/>
          <w:szCs w:val="24"/>
        </w:rPr>
      </w:pPr>
      <w:r>
        <w:rPr>
          <w:rFonts w:ascii="Arial Black" w:hAnsi="Arial Black"/>
          <w:sz w:val="24"/>
          <w:szCs w:val="24"/>
        </w:rPr>
        <w:t>16-45</w:t>
      </w:r>
    </w:p>
    <w:p w14:paraId="310AF3AA" w14:textId="77777777" w:rsidR="00102FD0" w:rsidRPr="007C11CE" w:rsidRDefault="00102FD0" w:rsidP="00102FD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LA: ASSISTANT CHIEF - LYING TO CHIEF ABOUT LUNCH PRESENTATION – PURGED CELL PHONE TEXTS – TERMINATION UPHELD</w:t>
      </w:r>
    </w:p>
    <w:p w14:paraId="0C328F5C" w14:textId="77777777" w:rsidR="00102FD0" w:rsidRDefault="00102FD0" w:rsidP="00102FD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Oct. 20, 2020, in </w:t>
      </w:r>
      <w:r w:rsidRPr="007C11CE">
        <w:rPr>
          <w:rFonts w:ascii="Times New Roman" w:eastAsia="Times New Roman" w:hAnsi="Times New Roman"/>
          <w:sz w:val="24"/>
          <w:szCs w:val="24"/>
          <w:u w:val="single"/>
        </w:rPr>
        <w:t>Frederick N. Meiners, III v. St. Tammany Parish Fire Protection District No. 4, et al.</w:t>
      </w:r>
      <w:r>
        <w:rPr>
          <w:rFonts w:ascii="Times New Roman" w:eastAsia="Times New Roman" w:hAnsi="Times New Roman"/>
          <w:sz w:val="24"/>
          <w:szCs w:val="24"/>
        </w:rPr>
        <w:t>, the Supreme Court of Louisiana, held (6 to 1) that the District Court judge had no authority to overturn the Civil Service Board’s decision upholding the termination.</w:t>
      </w:r>
    </w:p>
    <w:p w14:paraId="0AB284A8" w14:textId="77777777" w:rsidR="00102FD0" w:rsidRDefault="00102FD0" w:rsidP="00102FD0">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8D33F4">
        <w:rPr>
          <w:rFonts w:ascii="Times New Roman" w:hAnsi="Times New Roman"/>
          <w:sz w:val="24"/>
          <w:szCs w:val="24"/>
        </w:rPr>
        <w:t xml:space="preserve">We acknowledge the district court did not specifically impose a new sanction; rather, the district court's judgment simply </w:t>
      </w:r>
      <w:proofErr w:type="gramStart"/>
      <w:r w:rsidRPr="008D33F4">
        <w:rPr>
          <w:rFonts w:ascii="Times New Roman" w:hAnsi="Times New Roman"/>
          <w:sz w:val="24"/>
          <w:szCs w:val="24"/>
        </w:rPr>
        <w:t>states</w:t>
      </w:r>
      <w:proofErr w:type="gramEnd"/>
      <w:r w:rsidRPr="008D33F4">
        <w:rPr>
          <w:rFonts w:ascii="Times New Roman" w:hAnsi="Times New Roman"/>
          <w:sz w:val="24"/>
          <w:szCs w:val="24"/>
        </w:rPr>
        <w:t xml:space="preserve"> </w:t>
      </w:r>
      <w:r>
        <w:rPr>
          <w:rFonts w:ascii="Times New Roman" w:hAnsi="Times New Roman"/>
          <w:sz w:val="24"/>
          <w:szCs w:val="24"/>
        </w:rPr>
        <w:t>‘</w:t>
      </w:r>
      <w:r w:rsidRPr="008D33F4">
        <w:rPr>
          <w:rFonts w:ascii="Times New Roman" w:hAnsi="Times New Roman"/>
          <w:sz w:val="24"/>
          <w:szCs w:val="24"/>
        </w:rPr>
        <w:t>remanded to the St. Tammany Parish Fire Protection District No. 4 Civil Service Board for further proceedings in accordance with this Judgment and the written reasons issued by the Court on November 14, 2018.</w:t>
      </w:r>
      <w:r>
        <w:rPr>
          <w:rFonts w:ascii="Times New Roman" w:hAnsi="Times New Roman"/>
          <w:sz w:val="24"/>
          <w:szCs w:val="24"/>
        </w:rPr>
        <w:t xml:space="preserve">’ </w:t>
      </w:r>
      <w:r w:rsidRPr="008D33F4">
        <w:rPr>
          <w:rFonts w:ascii="Times New Roman" w:hAnsi="Times New Roman"/>
          <w:sz w:val="24"/>
          <w:szCs w:val="24"/>
        </w:rPr>
        <w:t>Nonetheless, the clear implication of the court's judgment is that termination is excessive, and the Board must therefore revise its decision to impose a lesser sanction. Thus, although the district court did not explicitly dictate the sanction, it defined the parameters of the sanction as being something other than termination. This action clearly goes beyond the authority granted to the district court under La. R.S. 33:2561(E).</w:t>
      </w:r>
      <w:r>
        <w:rPr>
          <w:rFonts w:ascii="Times New Roman" w:hAnsi="Times New Roman"/>
          <w:sz w:val="24"/>
          <w:szCs w:val="24"/>
        </w:rPr>
        <w:t xml:space="preserve">” </w:t>
      </w:r>
      <w:hyperlink r:id="rId2675" w:history="1">
        <w:r w:rsidRPr="000B4E4B">
          <w:rPr>
            <w:rStyle w:val="Hyperlink"/>
            <w:rFonts w:ascii="Times New Roman" w:eastAsia="Times New Roman" w:hAnsi="Times New Roman"/>
            <w:sz w:val="24"/>
            <w:szCs w:val="24"/>
          </w:rPr>
          <w:t>https://www.lasc.org/Opinions/2020/20-0491.CC.OPN.pdf</w:t>
        </w:r>
      </w:hyperlink>
      <w:r>
        <w:rPr>
          <w:rFonts w:ascii="Times New Roman" w:eastAsia="Times New Roman" w:hAnsi="Times New Roman"/>
          <w:sz w:val="24"/>
          <w:szCs w:val="24"/>
        </w:rPr>
        <w:t xml:space="preserve"> </w:t>
      </w:r>
    </w:p>
    <w:p w14:paraId="52D5FC6C" w14:textId="77777777" w:rsidR="00102FD0" w:rsidRPr="001149D1" w:rsidRDefault="00102FD0" w:rsidP="00102FD0">
      <w:pPr>
        <w:spacing w:after="100" w:line="240" w:lineRule="auto"/>
        <w:rPr>
          <w:rFonts w:ascii="Times New Roman" w:eastAsia="Times New Roman" w:hAnsi="Times New Roman"/>
          <w:b/>
          <w:bCs/>
          <w:sz w:val="24"/>
          <w:szCs w:val="24"/>
        </w:rPr>
      </w:pPr>
      <w:r w:rsidRPr="001149D1">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When under investigation for lying to a superior officer, conduct involving destruction of evidence (deleting texts from cell phone) can have very serious consequences.</w:t>
      </w:r>
    </w:p>
    <w:p w14:paraId="623547A8" w14:textId="77777777" w:rsidR="00102FD0" w:rsidRDefault="00102FD0" w:rsidP="00F326E5">
      <w:pPr>
        <w:pStyle w:val="NoSpacing"/>
        <w:rPr>
          <w:rFonts w:ascii="Arial Black" w:hAnsi="Arial Black"/>
          <w:sz w:val="24"/>
          <w:szCs w:val="24"/>
        </w:rPr>
      </w:pPr>
    </w:p>
    <w:p w14:paraId="10B4883D" w14:textId="77777777" w:rsidR="00102FD0" w:rsidRDefault="00102FD0" w:rsidP="00F326E5">
      <w:pPr>
        <w:pStyle w:val="NoSpacing"/>
        <w:rPr>
          <w:rFonts w:ascii="Arial Black" w:hAnsi="Arial Black"/>
          <w:sz w:val="24"/>
          <w:szCs w:val="24"/>
        </w:rPr>
      </w:pPr>
    </w:p>
    <w:p w14:paraId="55EA79D9" w14:textId="6EE6360D" w:rsidR="00B532F6" w:rsidRDefault="00B532F6" w:rsidP="00F326E5">
      <w:pPr>
        <w:pStyle w:val="NoSpacing"/>
        <w:rPr>
          <w:rFonts w:ascii="Arial Black" w:hAnsi="Arial Black"/>
          <w:sz w:val="24"/>
          <w:szCs w:val="24"/>
        </w:rPr>
      </w:pPr>
      <w:r>
        <w:rPr>
          <w:rFonts w:ascii="Arial Black" w:hAnsi="Arial Black"/>
          <w:sz w:val="24"/>
          <w:szCs w:val="24"/>
        </w:rPr>
        <w:t>16-44</w:t>
      </w:r>
    </w:p>
    <w:p w14:paraId="13FF3A83" w14:textId="77777777" w:rsidR="00B532F6" w:rsidRPr="00036F0B" w:rsidRDefault="00B532F6" w:rsidP="00B532F6">
      <w:pPr>
        <w:pStyle w:val="NormalWeb"/>
        <w:rPr>
          <w:rFonts w:ascii="Arial Black" w:hAnsi="Arial Black"/>
          <w:sz w:val="28"/>
          <w:szCs w:val="28"/>
        </w:rPr>
      </w:pPr>
      <w:r w:rsidRPr="00036F0B">
        <w:rPr>
          <w:rFonts w:ascii="Arial Black" w:hAnsi="Arial Black"/>
          <w:sz w:val="28"/>
          <w:szCs w:val="28"/>
        </w:rPr>
        <w:t xml:space="preserve">CA: </w:t>
      </w:r>
      <w:r>
        <w:rPr>
          <w:rFonts w:ascii="Arial Black" w:hAnsi="Arial Black"/>
          <w:sz w:val="28"/>
          <w:szCs w:val="28"/>
        </w:rPr>
        <w:t>CAPTAIN’S EXAM - INTERVIEW QUESTIONS LEAKED TO 3 - DEMOTED, REAPPOINTED, THEN DEMOTED AGAIN – OVERTURNED</w:t>
      </w:r>
    </w:p>
    <w:p w14:paraId="41746CFC" w14:textId="77777777" w:rsidR="00B532F6" w:rsidRDefault="00B532F6" w:rsidP="00B532F6">
      <w:pPr>
        <w:pStyle w:val="NormalWeb"/>
      </w:pPr>
      <w:r>
        <w:t xml:space="preserve">On Sept. 23, 2020, in </w:t>
      </w:r>
      <w:r w:rsidRPr="00CF230F">
        <w:rPr>
          <w:u w:val="single"/>
        </w:rPr>
        <w:t>Justin Chaplain, et al. v. State Personnel Board and Department of Forestry And Fire Protection</w:t>
      </w:r>
      <w:r>
        <w:t xml:space="preserve">, the Court of Appeals of the State of California, First Appellate District (Division One), held (3 to 0) that the State Personnel Board is reversed; CAL FIRE could not reimpose demotion of two Captains, since those firefighters had never appealed from their original demotion.   Third Captain did appeal so Board does have jurisdiction over his case [hopefully CAL FIRE will likewise re-promote him]. </w:t>
      </w:r>
    </w:p>
    <w:p w14:paraId="2A85DEA2" w14:textId="77777777" w:rsidR="00B532F6" w:rsidRDefault="00B532F6" w:rsidP="00B532F6">
      <w:pPr>
        <w:pStyle w:val="NormalWeb"/>
        <w:ind w:left="720"/>
      </w:pPr>
      <w:r>
        <w:t xml:space="preserve">“Here, the firefighters [Justine Chaplain and Justin Michels] have consistently claimed that the Board lacked the legal authority to proceed against them twice for the same behavior. Their specific argument that a substitution of disciplinary charges must occur before an action is concluded is based on principles related to statutory finality, not on those related to limitation periods. </w:t>
      </w:r>
    </w:p>
    <w:p w14:paraId="6CBAB395" w14:textId="77777777" w:rsidR="00B532F6" w:rsidRDefault="00B532F6" w:rsidP="00B532F6">
      <w:pPr>
        <w:pStyle w:val="NormalWeb"/>
        <w:ind w:left="720"/>
      </w:pPr>
      <w:r>
        <w:t xml:space="preserve">On the merits, we agree with the firefighters that once a disciplinary action becomes final, the employer is prohibited from withdrawing it and initiating a new adverse action. </w:t>
      </w:r>
      <w:r w:rsidRPr="00F81757">
        <w:t>The plain language of section 19575 could not be clearer: an appointing</w:t>
      </w:r>
      <w:r>
        <w:t xml:space="preserve"> </w:t>
      </w:r>
      <w:r w:rsidRPr="00F81757">
        <w:t>power's discipline is final where no appeal is taken within 30 calendar day</w:t>
      </w:r>
      <w:r>
        <w:t>s.</w:t>
      </w:r>
    </w:p>
    <w:p w14:paraId="518846F3" w14:textId="77777777" w:rsidR="00B532F6" w:rsidRDefault="00B532F6" w:rsidP="00B532F6">
      <w:pPr>
        <w:pStyle w:val="NormalWeb"/>
        <w:ind w:left="720"/>
      </w:pPr>
      <w:r>
        <w:t>***</w:t>
      </w:r>
    </w:p>
    <w:p w14:paraId="7416C0CD" w14:textId="77777777" w:rsidR="00B532F6" w:rsidRDefault="00B532F6" w:rsidP="00B532F6">
      <w:pPr>
        <w:pStyle w:val="NormalWeb"/>
        <w:ind w:left="720"/>
      </w:pPr>
      <w:r>
        <w:t xml:space="preserve">Our analysis is different, however, for </w:t>
      </w:r>
      <w:proofErr w:type="spellStart"/>
      <w:r>
        <w:t>Schonig</w:t>
      </w:r>
      <w:proofErr w:type="spellEnd"/>
      <w:r>
        <w:t xml:space="preserve">, who appealed the first notice of adverse action to the Board. His discipline thus was not final under section 19575 when CAL FIRE served him with the new notice of adverse action.” </w:t>
      </w:r>
      <w:hyperlink r:id="rId2676" w:history="1">
        <w:r w:rsidRPr="00443DB2">
          <w:rPr>
            <w:rStyle w:val="Hyperlink"/>
          </w:rPr>
          <w:t>https://www.courts.ca.gov/opinions/documents/A155107.PDF</w:t>
        </w:r>
      </w:hyperlink>
      <w:r>
        <w:t xml:space="preserve"> </w:t>
      </w:r>
    </w:p>
    <w:p w14:paraId="7D626152" w14:textId="77777777" w:rsidR="00B532F6" w:rsidRDefault="00B532F6" w:rsidP="00B532F6">
      <w:pPr>
        <w:spacing w:before="100" w:beforeAutospacing="1" w:after="100" w:afterAutospacing="1" w:line="240" w:lineRule="auto"/>
        <w:rPr>
          <w:rFonts w:ascii="Times New Roman" w:eastAsia="Times New Roman" w:hAnsi="Times New Roman"/>
          <w:b/>
          <w:bCs/>
          <w:sz w:val="24"/>
          <w:szCs w:val="24"/>
        </w:rPr>
      </w:pPr>
      <w:r w:rsidRPr="007A07AB">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The FD did not adequately prove that there was new evidence or other good cause to re-impose discipline a second time.  </w:t>
      </w:r>
    </w:p>
    <w:p w14:paraId="423C7A67" w14:textId="77777777" w:rsidR="00B532F6" w:rsidRPr="007A07AB" w:rsidRDefault="00B532F6" w:rsidP="00B532F6">
      <w:pPr>
        <w:pStyle w:val="Heading1"/>
        <w:ind w:left="720"/>
        <w:rPr>
          <w:b w:val="0"/>
          <w:bCs w:val="0"/>
          <w:sz w:val="24"/>
          <w:szCs w:val="24"/>
        </w:rPr>
      </w:pPr>
      <w:r w:rsidRPr="007A07AB">
        <w:rPr>
          <w:b w:val="0"/>
          <w:bCs w:val="0"/>
          <w:sz w:val="24"/>
          <w:szCs w:val="24"/>
        </w:rPr>
        <w:t xml:space="preserve">Note:  </w:t>
      </w:r>
    </w:p>
    <w:p w14:paraId="2530A5C0" w14:textId="77777777" w:rsidR="00B532F6" w:rsidRPr="00D37249" w:rsidRDefault="00B532F6" w:rsidP="00B532F6">
      <w:pPr>
        <w:ind w:left="720"/>
        <w:rPr>
          <w:rFonts w:ascii="Times New Roman" w:hAnsi="Times New Roman"/>
          <w:sz w:val="24"/>
          <w:szCs w:val="24"/>
        </w:rPr>
      </w:pPr>
      <w:r w:rsidRPr="00D37249">
        <w:rPr>
          <w:rFonts w:ascii="Times New Roman" w:eastAsia="Times New Roman" w:hAnsi="Times New Roman"/>
          <w:sz w:val="24"/>
          <w:szCs w:val="24"/>
        </w:rPr>
        <w:t xml:space="preserve">See June 14, </w:t>
      </w:r>
      <w:proofErr w:type="gramStart"/>
      <w:r w:rsidRPr="00D37249">
        <w:rPr>
          <w:rFonts w:ascii="Times New Roman" w:eastAsia="Times New Roman" w:hAnsi="Times New Roman"/>
          <w:sz w:val="24"/>
          <w:szCs w:val="24"/>
        </w:rPr>
        <w:t>2015</w:t>
      </w:r>
      <w:proofErr w:type="gramEnd"/>
      <w:r w:rsidRPr="00D37249">
        <w:rPr>
          <w:rFonts w:ascii="Times New Roman" w:eastAsia="Times New Roman" w:hAnsi="Times New Roman"/>
          <w:sz w:val="24"/>
          <w:szCs w:val="24"/>
        </w:rPr>
        <w:t xml:space="preserve"> article: </w:t>
      </w:r>
      <w:r w:rsidRPr="00D37249">
        <w:rPr>
          <w:rFonts w:ascii="Times New Roman" w:hAnsi="Times New Roman"/>
          <w:sz w:val="24"/>
          <w:szCs w:val="24"/>
        </w:rPr>
        <w:t>“New Cal Fire demotions challenged, reveal more alleged cheating details.” “</w:t>
      </w:r>
      <w:r w:rsidRPr="00D37249">
        <w:rPr>
          <w:rFonts w:ascii="Times New Roman" w:eastAsia="Times New Roman" w:hAnsi="Times New Roman"/>
          <w:sz w:val="24"/>
          <w:szCs w:val="24"/>
        </w:rPr>
        <w:t xml:space="preserve">Michels, </w:t>
      </w:r>
      <w:proofErr w:type="spellStart"/>
      <w:r w:rsidRPr="00D37249">
        <w:rPr>
          <w:rFonts w:ascii="Times New Roman" w:eastAsia="Times New Roman" w:hAnsi="Times New Roman"/>
          <w:sz w:val="24"/>
          <w:szCs w:val="24"/>
        </w:rPr>
        <w:t>Schonig</w:t>
      </w:r>
      <w:proofErr w:type="spellEnd"/>
      <w:r w:rsidRPr="00D37249">
        <w:rPr>
          <w:rFonts w:ascii="Times New Roman" w:eastAsia="Times New Roman" w:hAnsi="Times New Roman"/>
          <w:sz w:val="24"/>
          <w:szCs w:val="24"/>
        </w:rPr>
        <w:t xml:space="preserve"> and Chaplin allegedly received text messages last year from then-Cal Fire Academy instructor Orville Fleming that contained interview questions and answers for temporary fire captain jobs at the Ione training facility. Fleming was on the interview panel that ranked candidates, </w:t>
      </w:r>
      <w:proofErr w:type="gramStart"/>
      <w:r w:rsidRPr="00D37249">
        <w:rPr>
          <w:rFonts w:ascii="Times New Roman" w:eastAsia="Times New Roman" w:hAnsi="Times New Roman"/>
          <w:sz w:val="24"/>
          <w:szCs w:val="24"/>
        </w:rPr>
        <w:t>according</w:t>
      </w:r>
      <w:proofErr w:type="gramEnd"/>
      <w:r w:rsidRPr="00D37249">
        <w:rPr>
          <w:rFonts w:ascii="Times New Roman" w:eastAsia="Times New Roman" w:hAnsi="Times New Roman"/>
          <w:sz w:val="24"/>
          <w:szCs w:val="24"/>
        </w:rPr>
        <w:t xml:space="preserve"> the new batch of state records obtained via Public Records Act </w:t>
      </w:r>
      <w:proofErr w:type="gramStart"/>
      <w:r w:rsidRPr="00D37249">
        <w:rPr>
          <w:rFonts w:ascii="Times New Roman" w:eastAsia="Times New Roman" w:hAnsi="Times New Roman"/>
          <w:sz w:val="24"/>
          <w:szCs w:val="24"/>
        </w:rPr>
        <w:t>request.”</w:t>
      </w:r>
      <w:proofErr w:type="gramEnd"/>
      <w:r>
        <w:rPr>
          <w:rFonts w:ascii="Times New Roman" w:eastAsia="Times New Roman" w:hAnsi="Times New Roman"/>
          <w:sz w:val="24"/>
          <w:szCs w:val="24"/>
        </w:rPr>
        <w:t xml:space="preserve"> </w:t>
      </w:r>
      <w:hyperlink r:id="rId2677" w:history="1">
        <w:r w:rsidRPr="00443DB2">
          <w:rPr>
            <w:rStyle w:val="Hyperlink"/>
            <w:rFonts w:ascii="Times New Roman" w:hAnsi="Times New Roman"/>
            <w:sz w:val="24"/>
            <w:szCs w:val="24"/>
          </w:rPr>
          <w:t>https://www.sacbee.com/news/politics-government/the-state-worker/article23903194.html</w:t>
        </w:r>
      </w:hyperlink>
      <w:r w:rsidRPr="00D37249">
        <w:rPr>
          <w:rFonts w:ascii="Times New Roman" w:hAnsi="Times New Roman"/>
          <w:sz w:val="24"/>
          <w:szCs w:val="24"/>
        </w:rPr>
        <w:t xml:space="preserve"> </w:t>
      </w:r>
    </w:p>
    <w:p w14:paraId="0FE447D9" w14:textId="1AB47CD9" w:rsidR="00B532F6" w:rsidRPr="00B532F6" w:rsidRDefault="00B532F6" w:rsidP="00B532F6">
      <w:pPr>
        <w:pStyle w:val="NoSpacing"/>
        <w:ind w:left="720"/>
        <w:rPr>
          <w:rFonts w:ascii="Times New Roman" w:hAnsi="Times New Roman"/>
          <w:sz w:val="24"/>
          <w:szCs w:val="24"/>
        </w:rPr>
      </w:pPr>
      <w:r w:rsidRPr="00B532F6">
        <w:rPr>
          <w:rFonts w:ascii="Times New Roman" w:hAnsi="Times New Roman"/>
          <w:sz w:val="24"/>
          <w:szCs w:val="24"/>
        </w:rPr>
        <w:t xml:space="preserve">See June 24, </w:t>
      </w:r>
      <w:proofErr w:type="gramStart"/>
      <w:r w:rsidRPr="00B532F6">
        <w:rPr>
          <w:rFonts w:ascii="Times New Roman" w:hAnsi="Times New Roman"/>
          <w:sz w:val="24"/>
          <w:szCs w:val="24"/>
        </w:rPr>
        <w:t>2015</w:t>
      </w:r>
      <w:proofErr w:type="gramEnd"/>
      <w:r w:rsidRPr="00B532F6">
        <w:rPr>
          <w:rFonts w:ascii="Times New Roman" w:hAnsi="Times New Roman"/>
          <w:sz w:val="24"/>
          <w:szCs w:val="24"/>
        </w:rPr>
        <w:t xml:space="preserve"> article, “Ex-Cal Fire battalion chief convicted of stabbing girlfriend to death.”  </w:t>
      </w:r>
      <w:hyperlink r:id="rId2678" w:history="1">
        <w:r w:rsidRPr="001F33D6">
          <w:rPr>
            <w:rStyle w:val="Hyperlink"/>
            <w:rFonts w:ascii="Times New Roman" w:hAnsi="Times New Roman"/>
            <w:sz w:val="24"/>
            <w:szCs w:val="24"/>
          </w:rPr>
          <w:t>https://www.latimes.com/local/lanow/la-me-ln-ex-cal-fire-chief-convicted-stabbing-girlfriend-20150624-story.html</w:t>
        </w:r>
      </w:hyperlink>
    </w:p>
    <w:p w14:paraId="0D06CA8A" w14:textId="77777777" w:rsidR="00B532F6" w:rsidRDefault="00B532F6" w:rsidP="00F326E5">
      <w:pPr>
        <w:pStyle w:val="NoSpacing"/>
        <w:rPr>
          <w:rFonts w:ascii="Arial Black" w:hAnsi="Arial Black"/>
          <w:sz w:val="24"/>
          <w:szCs w:val="24"/>
        </w:rPr>
      </w:pPr>
    </w:p>
    <w:p w14:paraId="146E9F23" w14:textId="1F514D14" w:rsidR="00B532F6" w:rsidRDefault="00B532F6" w:rsidP="00F326E5">
      <w:pPr>
        <w:pStyle w:val="NoSpacing"/>
        <w:rPr>
          <w:rFonts w:ascii="Arial Black" w:hAnsi="Arial Black"/>
          <w:sz w:val="24"/>
          <w:szCs w:val="24"/>
        </w:rPr>
      </w:pPr>
      <w:r>
        <w:rPr>
          <w:rFonts w:ascii="Arial Black" w:hAnsi="Arial Black"/>
          <w:sz w:val="24"/>
          <w:szCs w:val="24"/>
        </w:rPr>
        <w:t>16-43</w:t>
      </w:r>
    </w:p>
    <w:p w14:paraId="6768CAA3" w14:textId="77777777" w:rsidR="00B532F6" w:rsidRPr="00295AB9" w:rsidRDefault="00B532F6" w:rsidP="00B532F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TX: DISTRICT CHIEF POSTED COMMENTS ABOUT TRANSFER OPENING - FF SOCIAL MEDIA GROUP – DISCIPLINE UPHELD, FD POLICY BREACH</w:t>
      </w:r>
    </w:p>
    <w:p w14:paraId="3A32CD0F" w14:textId="77777777" w:rsidR="00B532F6" w:rsidRPr="008850B0" w:rsidRDefault="00B532F6" w:rsidP="00B532F6">
      <w:pPr>
        <w:spacing w:before="100" w:beforeAutospacing="1" w:after="100" w:afterAutospacing="1" w:line="240" w:lineRule="auto"/>
        <w:rPr>
          <w:rFonts w:ascii="Times New Roman" w:eastAsia="Times New Roman" w:hAnsi="Times New Roman"/>
          <w:sz w:val="24"/>
          <w:szCs w:val="24"/>
        </w:rPr>
      </w:pPr>
      <w:r w:rsidRPr="00295AB9">
        <w:rPr>
          <w:rFonts w:ascii="Times New Roman" w:eastAsia="Times New Roman" w:hAnsi="Times New Roman"/>
          <w:sz w:val="24"/>
          <w:szCs w:val="24"/>
        </w:rPr>
        <w:t xml:space="preserve">On Sept. 16, 2020, in </w:t>
      </w:r>
      <w:r w:rsidRPr="00295AB9">
        <w:rPr>
          <w:rFonts w:ascii="Times New Roman" w:eastAsia="Times New Roman" w:hAnsi="Times New Roman"/>
          <w:sz w:val="24"/>
          <w:szCs w:val="24"/>
          <w:u w:val="single"/>
        </w:rPr>
        <w:t>Steven M. Dunbar v. Samuel Pena, Houston Fire Chief and Robert I. Garcia, Houston Assistant Fire Chief</w:t>
      </w:r>
      <w:r>
        <w:rPr>
          <w:rFonts w:ascii="Times New Roman" w:eastAsia="Times New Roman" w:hAnsi="Times New Roman"/>
          <w:sz w:val="24"/>
          <w:szCs w:val="24"/>
        </w:rPr>
        <w:t xml:space="preserve">, the U.S. Court of Appeals for Fifth Circuit (New Orleans) held (3 to 0) that the Houston Fire Department lawfully suspended District Chief Dunbar (3 days, later reduced to one day) and transferred him to an administrative position in another FD district.  The posting concerned a transfer opportunity, which is not a matter of public concern and therefore not protected under First Amendment. The District Chief posted </w:t>
      </w:r>
      <w:r w:rsidRPr="008850B0">
        <w:rPr>
          <w:rFonts w:ascii="Times New Roman" w:eastAsia="Times New Roman" w:hAnsi="Times New Roman"/>
          <w:sz w:val="24"/>
          <w:szCs w:val="24"/>
        </w:rPr>
        <w:t xml:space="preserve">on a </w:t>
      </w:r>
      <w:r w:rsidRPr="008850B0">
        <w:rPr>
          <w:rFonts w:ascii="Times New Roman" w:hAnsi="Times New Roman"/>
          <w:sz w:val="24"/>
          <w:szCs w:val="24"/>
        </w:rPr>
        <w:t>private social media group for HFD firefighters</w:t>
      </w:r>
      <w:r>
        <w:rPr>
          <w:rFonts w:ascii="Times New Roman" w:hAnsi="Times New Roman"/>
          <w:sz w:val="24"/>
          <w:szCs w:val="24"/>
        </w:rPr>
        <w:t xml:space="preserve">: </w:t>
      </w:r>
      <w:r w:rsidRPr="008850B0">
        <w:rPr>
          <w:rFonts w:ascii="Times New Roman" w:hAnsi="Times New Roman"/>
          <w:sz w:val="24"/>
          <w:szCs w:val="24"/>
        </w:rPr>
        <w:t xml:space="preserve">"If you are thinking about putting in for a spot in District 64 on C-shift you better have your </w:t>
      </w:r>
      <w:proofErr w:type="spellStart"/>
      <w:r w:rsidRPr="008850B0">
        <w:rPr>
          <w:rFonts w:ascii="Times New Roman" w:hAnsi="Times New Roman"/>
          <w:sz w:val="24"/>
          <w:szCs w:val="24"/>
        </w:rPr>
        <w:t>sh</w:t>
      </w:r>
      <w:proofErr w:type="spellEnd"/>
      <w:r w:rsidRPr="008850B0">
        <w:rPr>
          <w:rFonts w:ascii="Times New Roman" w:hAnsi="Times New Roman"/>
          <w:sz w:val="24"/>
          <w:szCs w:val="24"/>
        </w:rPr>
        <w:t xml:space="preserve">** together. Wanna play games like </w:t>
      </w:r>
      <w:proofErr w:type="gramStart"/>
      <w:r w:rsidRPr="008850B0">
        <w:rPr>
          <w:rFonts w:ascii="Times New Roman" w:hAnsi="Times New Roman"/>
          <w:sz w:val="24"/>
          <w:szCs w:val="24"/>
        </w:rPr>
        <w:t>previously-assigned</w:t>
      </w:r>
      <w:proofErr w:type="gramEnd"/>
      <w:r w:rsidRPr="008850B0">
        <w:rPr>
          <w:rFonts w:ascii="Times New Roman" w:hAnsi="Times New Roman"/>
          <w:sz w:val="24"/>
          <w:szCs w:val="24"/>
        </w:rPr>
        <w:t xml:space="preserve"> members? You will be miserable...promise."</w:t>
      </w:r>
    </w:p>
    <w:p w14:paraId="49F18194" w14:textId="77777777" w:rsidR="00B532F6" w:rsidRPr="008850B0" w:rsidRDefault="00B532F6" w:rsidP="00B532F6">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8850B0">
        <w:rPr>
          <w:rFonts w:ascii="Times New Roman" w:hAnsi="Times New Roman"/>
          <w:sz w:val="24"/>
          <w:szCs w:val="24"/>
        </w:rPr>
        <w:t xml:space="preserve">Public employees are entitled to circumscribed constitutional protections in connection with their governmental duties, but they </w:t>
      </w:r>
      <w:r>
        <w:rPr>
          <w:rFonts w:ascii="Times New Roman" w:hAnsi="Times New Roman"/>
          <w:sz w:val="24"/>
          <w:szCs w:val="24"/>
        </w:rPr>
        <w:t>‘</w:t>
      </w:r>
      <w:r w:rsidRPr="008850B0">
        <w:rPr>
          <w:rFonts w:ascii="Times New Roman" w:hAnsi="Times New Roman"/>
          <w:sz w:val="24"/>
          <w:szCs w:val="24"/>
        </w:rPr>
        <w:t>do not surrender all their First Amendment rights by reason of their employment. Rather, the First Amendment protects a public employee's right, in certain circumstances, to speak as a citizen addressing matters of public concern.</w:t>
      </w:r>
      <w:r>
        <w:rPr>
          <w:rFonts w:ascii="Times New Roman" w:hAnsi="Times New Roman"/>
          <w:sz w:val="24"/>
          <w:szCs w:val="24"/>
        </w:rPr>
        <w:t>’</w:t>
      </w:r>
      <w:r w:rsidRPr="008850B0">
        <w:rPr>
          <w:rFonts w:ascii="Times New Roman" w:hAnsi="Times New Roman"/>
          <w:sz w:val="24"/>
          <w:szCs w:val="24"/>
        </w:rPr>
        <w:t xml:space="preserve"> </w:t>
      </w:r>
      <w:r w:rsidRPr="008850B0">
        <w:rPr>
          <w:rFonts w:ascii="Times New Roman" w:hAnsi="Times New Roman"/>
          <w:i/>
          <w:iCs/>
          <w:sz w:val="24"/>
          <w:szCs w:val="24"/>
        </w:rPr>
        <w:t>Garcetti v</w:t>
      </w:r>
      <w:r w:rsidRPr="008850B0">
        <w:rPr>
          <w:rFonts w:ascii="Times New Roman" w:hAnsi="Times New Roman"/>
          <w:sz w:val="24"/>
          <w:szCs w:val="24"/>
        </w:rPr>
        <w:t xml:space="preserve">. </w:t>
      </w:r>
      <w:r w:rsidRPr="008850B0">
        <w:rPr>
          <w:rFonts w:ascii="Times New Roman" w:hAnsi="Times New Roman"/>
          <w:i/>
          <w:iCs/>
          <w:sz w:val="24"/>
          <w:szCs w:val="24"/>
        </w:rPr>
        <w:t>Ceballos</w:t>
      </w:r>
      <w:r w:rsidRPr="008850B0">
        <w:rPr>
          <w:rFonts w:ascii="Times New Roman" w:hAnsi="Times New Roman"/>
          <w:sz w:val="24"/>
          <w:szCs w:val="24"/>
        </w:rPr>
        <w:t xml:space="preserve">, 547 U.S. 410, 417 (2006). Therefore, to be protected against adverse employment action in retaliation for speech, a public employee must speak in the employee's </w:t>
      </w:r>
      <w:r>
        <w:rPr>
          <w:rFonts w:ascii="Times New Roman" w:hAnsi="Times New Roman"/>
          <w:sz w:val="24"/>
          <w:szCs w:val="24"/>
        </w:rPr>
        <w:t>‘</w:t>
      </w:r>
      <w:r w:rsidRPr="008850B0">
        <w:rPr>
          <w:rFonts w:ascii="Times New Roman" w:hAnsi="Times New Roman"/>
          <w:sz w:val="24"/>
          <w:szCs w:val="24"/>
        </w:rPr>
        <w:t>capacity as a citizen,</w:t>
      </w:r>
      <w:r>
        <w:rPr>
          <w:rFonts w:ascii="Times New Roman" w:hAnsi="Times New Roman"/>
          <w:sz w:val="24"/>
          <w:szCs w:val="24"/>
        </w:rPr>
        <w:t>’</w:t>
      </w:r>
      <w:r w:rsidRPr="008850B0">
        <w:rPr>
          <w:rFonts w:ascii="Times New Roman" w:hAnsi="Times New Roman"/>
          <w:sz w:val="24"/>
          <w:szCs w:val="24"/>
        </w:rPr>
        <w:t xml:space="preserve"> rather than pursuant to the employee's </w:t>
      </w:r>
      <w:r>
        <w:rPr>
          <w:rFonts w:ascii="Times New Roman" w:hAnsi="Times New Roman"/>
          <w:sz w:val="24"/>
          <w:szCs w:val="24"/>
        </w:rPr>
        <w:t>‘</w:t>
      </w:r>
      <w:r w:rsidRPr="008850B0">
        <w:rPr>
          <w:rFonts w:ascii="Times New Roman" w:hAnsi="Times New Roman"/>
          <w:sz w:val="24"/>
          <w:szCs w:val="24"/>
        </w:rPr>
        <w:t>official duties,</w:t>
      </w:r>
      <w:r>
        <w:rPr>
          <w:rFonts w:ascii="Times New Roman" w:hAnsi="Times New Roman"/>
          <w:sz w:val="24"/>
          <w:szCs w:val="24"/>
        </w:rPr>
        <w:t>’</w:t>
      </w:r>
      <w:r w:rsidRPr="008850B0">
        <w:rPr>
          <w:rFonts w:ascii="Times New Roman" w:hAnsi="Times New Roman"/>
          <w:sz w:val="24"/>
          <w:szCs w:val="24"/>
        </w:rPr>
        <w:t xml:space="preserve"> and the employee must address a matter of public concern. </w:t>
      </w:r>
      <w:r w:rsidRPr="008850B0">
        <w:rPr>
          <w:rFonts w:ascii="Times New Roman" w:hAnsi="Times New Roman"/>
          <w:i/>
          <w:iCs/>
          <w:sz w:val="24"/>
          <w:szCs w:val="24"/>
        </w:rPr>
        <w:t>Id</w:t>
      </w:r>
      <w:r w:rsidRPr="008850B0">
        <w:rPr>
          <w:rFonts w:ascii="Times New Roman" w:hAnsi="Times New Roman"/>
          <w:sz w:val="24"/>
          <w:szCs w:val="24"/>
        </w:rPr>
        <w:t xml:space="preserve">. at 417, 421. </w:t>
      </w:r>
      <w:proofErr w:type="gramStart"/>
      <w:r w:rsidRPr="008850B0">
        <w:rPr>
          <w:rFonts w:ascii="Times New Roman" w:hAnsi="Times New Roman"/>
          <w:sz w:val="24"/>
          <w:szCs w:val="24"/>
        </w:rPr>
        <w:t xml:space="preserve">Otherwise, </w:t>
      </w:r>
      <w:r>
        <w:rPr>
          <w:rFonts w:ascii="Times New Roman" w:hAnsi="Times New Roman"/>
          <w:sz w:val="24"/>
          <w:szCs w:val="24"/>
        </w:rPr>
        <w:t>‘</w:t>
      </w:r>
      <w:proofErr w:type="gramEnd"/>
      <w:r w:rsidRPr="008850B0">
        <w:rPr>
          <w:rFonts w:ascii="Times New Roman" w:hAnsi="Times New Roman"/>
          <w:sz w:val="24"/>
          <w:szCs w:val="24"/>
        </w:rPr>
        <w:t>the employee has no First Amendment cause of action based on his or her employer's reaction to the speech.</w:t>
      </w:r>
      <w:r>
        <w:rPr>
          <w:rFonts w:ascii="Times New Roman" w:hAnsi="Times New Roman"/>
          <w:sz w:val="24"/>
          <w:szCs w:val="24"/>
        </w:rPr>
        <w:t>’</w:t>
      </w:r>
      <w:r w:rsidRPr="008850B0">
        <w:rPr>
          <w:rFonts w:ascii="Times New Roman" w:hAnsi="Times New Roman"/>
          <w:sz w:val="24"/>
          <w:szCs w:val="24"/>
        </w:rPr>
        <w:t xml:space="preserve"> </w:t>
      </w:r>
      <w:r w:rsidRPr="008850B0">
        <w:rPr>
          <w:rFonts w:ascii="Times New Roman" w:hAnsi="Times New Roman"/>
          <w:i/>
          <w:iCs/>
          <w:sz w:val="24"/>
          <w:szCs w:val="24"/>
        </w:rPr>
        <w:t>Id</w:t>
      </w:r>
      <w:r w:rsidRPr="008850B0">
        <w:rPr>
          <w:rFonts w:ascii="Times New Roman" w:hAnsi="Times New Roman"/>
          <w:sz w:val="24"/>
          <w:szCs w:val="24"/>
        </w:rPr>
        <w:t>. at 418.</w:t>
      </w:r>
      <w:r>
        <w:rPr>
          <w:rFonts w:ascii="Times New Roman" w:hAnsi="Times New Roman"/>
          <w:sz w:val="24"/>
          <w:szCs w:val="24"/>
        </w:rPr>
        <w:t xml:space="preserve"> </w:t>
      </w:r>
    </w:p>
    <w:p w14:paraId="333DDD8A" w14:textId="4A2E1669" w:rsidR="00B532F6" w:rsidRDefault="00B532F6" w:rsidP="00B532F6">
      <w:pPr>
        <w:pStyle w:val="NoSpacing"/>
        <w:rPr>
          <w:rStyle w:val="Hyperlink"/>
          <w:rFonts w:ascii="Times New Roman" w:hAnsi="Times New Roman"/>
          <w:sz w:val="24"/>
          <w:szCs w:val="24"/>
        </w:rPr>
      </w:pPr>
      <w:r w:rsidRPr="008850B0">
        <w:rPr>
          <w:rFonts w:ascii="Times New Roman" w:hAnsi="Times New Roman"/>
          <w:sz w:val="24"/>
          <w:szCs w:val="24"/>
        </w:rPr>
        <w:t xml:space="preserve">By contrast, employee-to-employee communications concerning </w:t>
      </w:r>
      <w:proofErr w:type="gramStart"/>
      <w:r w:rsidRPr="008850B0">
        <w:rPr>
          <w:rFonts w:ascii="Times New Roman" w:hAnsi="Times New Roman"/>
          <w:sz w:val="24"/>
          <w:szCs w:val="24"/>
        </w:rPr>
        <w:t>particular transfer</w:t>
      </w:r>
      <w:proofErr w:type="gramEnd"/>
      <w:r w:rsidRPr="008850B0">
        <w:rPr>
          <w:rFonts w:ascii="Times New Roman" w:hAnsi="Times New Roman"/>
          <w:sz w:val="24"/>
          <w:szCs w:val="24"/>
        </w:rPr>
        <w:t xml:space="preserve"> decisions generally do not implicate matters of public concern</w:t>
      </w:r>
      <w:r>
        <w:rPr>
          <w:rFonts w:ascii="Times New Roman" w:hAnsi="Times New Roman"/>
          <w:sz w:val="24"/>
          <w:szCs w:val="24"/>
        </w:rPr>
        <w:t xml:space="preserve">…. </w:t>
      </w:r>
      <w:hyperlink r:id="rId2679" w:history="1">
        <w:r w:rsidRPr="005E64DB">
          <w:rPr>
            <w:rStyle w:val="Hyperlink"/>
            <w:rFonts w:ascii="Times New Roman" w:hAnsi="Times New Roman"/>
            <w:sz w:val="24"/>
            <w:szCs w:val="24"/>
          </w:rPr>
          <w:t>http://www.ca5.uscourts.gov/opinions/unpub/20/20-20087.0.pdf</w:t>
        </w:r>
      </w:hyperlink>
    </w:p>
    <w:p w14:paraId="60FA9DE6" w14:textId="77777777" w:rsidR="00B532F6" w:rsidRPr="00DA4DDB" w:rsidRDefault="00B532F6" w:rsidP="00B532F6">
      <w:pPr>
        <w:spacing w:before="100" w:beforeAutospacing="1" w:after="100" w:afterAutospacing="1" w:line="240" w:lineRule="auto"/>
        <w:rPr>
          <w:rFonts w:ascii="Times New Roman" w:eastAsia="Times New Roman" w:hAnsi="Times New Roman"/>
          <w:b/>
          <w:bCs/>
          <w:sz w:val="24"/>
          <w:szCs w:val="24"/>
        </w:rPr>
      </w:pPr>
      <w:r w:rsidRPr="00DA4DDB">
        <w:rPr>
          <w:rFonts w:ascii="Times New Roman" w:hAnsi="Times New Roman"/>
          <w:b/>
          <w:bCs/>
          <w:sz w:val="24"/>
          <w:szCs w:val="24"/>
        </w:rPr>
        <w:t>Legal Lessons Learned:</w:t>
      </w:r>
      <w:r>
        <w:rPr>
          <w:rFonts w:ascii="Times New Roman" w:hAnsi="Times New Roman"/>
          <w:b/>
          <w:bCs/>
          <w:sz w:val="24"/>
          <w:szCs w:val="24"/>
        </w:rPr>
        <w:t xml:space="preserve"> Social media posts about internal FD matters are not protected under First Amendment.  </w:t>
      </w:r>
    </w:p>
    <w:p w14:paraId="09886929" w14:textId="77777777" w:rsidR="00B532F6" w:rsidRDefault="00B532F6" w:rsidP="00B532F6">
      <w:pPr>
        <w:spacing w:before="100" w:beforeAutospacing="1" w:after="100" w:afterAutospacing="1" w:line="240" w:lineRule="auto"/>
        <w:ind w:left="720"/>
        <w:rPr>
          <w:rFonts w:ascii="Times New Roman" w:hAnsi="Times New Roman"/>
          <w:sz w:val="24"/>
          <w:szCs w:val="24"/>
        </w:rPr>
      </w:pPr>
      <w:r w:rsidRPr="00DA4DDB">
        <w:rPr>
          <w:rFonts w:ascii="Times New Roman" w:eastAsia="Times New Roman" w:hAnsi="Times New Roman"/>
          <w:sz w:val="24"/>
          <w:szCs w:val="24"/>
        </w:rPr>
        <w:t>Note:</w:t>
      </w:r>
      <w:r>
        <w:rPr>
          <w:rFonts w:ascii="Times New Roman" w:eastAsia="Times New Roman" w:hAnsi="Times New Roman"/>
          <w:b/>
          <w:bCs/>
          <w:sz w:val="24"/>
          <w:szCs w:val="24"/>
        </w:rPr>
        <w:t xml:space="preserve"> </w:t>
      </w:r>
      <w:r w:rsidRPr="00DA4DDB">
        <w:rPr>
          <w:rFonts w:ascii="Times New Roman" w:hAnsi="Times New Roman"/>
          <w:sz w:val="24"/>
          <w:szCs w:val="24"/>
        </w:rPr>
        <w:t xml:space="preserve">Under HFD's transfer guidelines, </w:t>
      </w:r>
      <w:r>
        <w:rPr>
          <w:rFonts w:ascii="Times New Roman" w:hAnsi="Times New Roman"/>
          <w:sz w:val="24"/>
          <w:szCs w:val="24"/>
        </w:rPr>
        <w:t>‘</w:t>
      </w:r>
      <w:r w:rsidRPr="00DA4DDB">
        <w:rPr>
          <w:rFonts w:ascii="Times New Roman" w:hAnsi="Times New Roman"/>
          <w:sz w:val="24"/>
          <w:szCs w:val="24"/>
        </w:rPr>
        <w:t>No member will communicate with [a] member requesting [a] transfer, including the incoming officer, to promote or influence the candidacy of a member or to discourage a member from applying for a posted or anticipated vacancy. Any violation of this directive will result in disciplinary action.</w:t>
      </w:r>
      <w:r>
        <w:rPr>
          <w:rFonts w:ascii="Times New Roman" w:hAnsi="Times New Roman"/>
          <w:sz w:val="24"/>
          <w:szCs w:val="24"/>
        </w:rPr>
        <w:t>’</w:t>
      </w:r>
      <w:r w:rsidRPr="00DA4DDB">
        <w:rPr>
          <w:rFonts w:ascii="Times New Roman" w:hAnsi="Times New Roman"/>
          <w:sz w:val="24"/>
          <w:szCs w:val="24"/>
        </w:rPr>
        <w:t xml:space="preserve"> A similar statement was included in the memorandum announcing the transfer opportunity.</w:t>
      </w:r>
    </w:p>
    <w:p w14:paraId="651E9302" w14:textId="77777777" w:rsidR="00B532F6" w:rsidRDefault="00B532F6" w:rsidP="00B532F6">
      <w:pPr>
        <w:pStyle w:val="NoSpacing"/>
        <w:rPr>
          <w:rFonts w:ascii="Arial Black" w:hAnsi="Arial Black"/>
          <w:sz w:val="24"/>
          <w:szCs w:val="24"/>
        </w:rPr>
      </w:pPr>
    </w:p>
    <w:p w14:paraId="70AEF6E3" w14:textId="77777777" w:rsidR="00B532F6" w:rsidRDefault="00B532F6" w:rsidP="00F326E5">
      <w:pPr>
        <w:pStyle w:val="NoSpacing"/>
        <w:rPr>
          <w:rFonts w:ascii="Arial Black" w:hAnsi="Arial Black"/>
          <w:sz w:val="24"/>
          <w:szCs w:val="24"/>
        </w:rPr>
      </w:pPr>
    </w:p>
    <w:p w14:paraId="11A21A4E" w14:textId="72DBADFF" w:rsidR="00CD02AE" w:rsidRDefault="00CD02AE" w:rsidP="00F326E5">
      <w:pPr>
        <w:pStyle w:val="NoSpacing"/>
        <w:rPr>
          <w:rFonts w:ascii="Arial Black" w:hAnsi="Arial Black"/>
          <w:sz w:val="24"/>
          <w:szCs w:val="24"/>
        </w:rPr>
      </w:pPr>
      <w:r>
        <w:rPr>
          <w:rFonts w:ascii="Arial Black" w:hAnsi="Arial Black"/>
          <w:sz w:val="24"/>
          <w:szCs w:val="24"/>
        </w:rPr>
        <w:t>16-42</w:t>
      </w:r>
    </w:p>
    <w:p w14:paraId="2C2D18AC" w14:textId="77777777" w:rsidR="00CD02AE" w:rsidRDefault="00CD02AE" w:rsidP="00CD02AE">
      <w:pPr>
        <w:tabs>
          <w:tab w:val="left" w:pos="6680"/>
        </w:tabs>
        <w:spacing w:before="100" w:beforeAutospacing="1" w:after="100" w:afterAutospacing="1" w:line="240" w:lineRule="auto"/>
        <w:rPr>
          <w:rFonts w:ascii="Arial Black" w:hAnsi="Arial Black"/>
          <w:sz w:val="28"/>
          <w:szCs w:val="28"/>
        </w:rPr>
      </w:pPr>
      <w:r>
        <w:rPr>
          <w:rFonts w:ascii="Arial Black" w:hAnsi="Arial Black"/>
          <w:sz w:val="28"/>
          <w:szCs w:val="28"/>
        </w:rPr>
        <w:t>WA: FIRE CHIEF TERMINATED – CONTRACT REQUIRES “CAUSE” – LAWSUIT MAY PROCEED TO TRIAL</w:t>
      </w:r>
    </w:p>
    <w:p w14:paraId="59183A33" w14:textId="77777777" w:rsidR="00CD02AE" w:rsidRDefault="00CD02AE" w:rsidP="00CD02AE">
      <w:pPr>
        <w:tabs>
          <w:tab w:val="left" w:pos="668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19, 2020, in </w:t>
      </w:r>
      <w:r>
        <w:rPr>
          <w:rFonts w:ascii="Times New Roman" w:hAnsi="Times New Roman"/>
          <w:sz w:val="24"/>
          <w:szCs w:val="24"/>
          <w:u w:val="single"/>
        </w:rPr>
        <w:t>David W. Bathke v. City of Ocean Shores &amp; Crystal Dingler</w:t>
      </w:r>
      <w:r>
        <w:rPr>
          <w:rFonts w:ascii="Times New Roman" w:hAnsi="Times New Roman"/>
          <w:sz w:val="24"/>
          <w:szCs w:val="24"/>
        </w:rPr>
        <w:t>, U.S. District Court Judge Benjamin H. Settle, U.S. District Court, Western District of Washington at Tacoma, held that the City’s motion for summary judgment was denied concerning the “breach of contract” claim.  As to Bathke's other claims, the Court grants Defendants' motion for summary judgment and dismisses Bathke's claims for retaliation, promissory fraud, and negligent misrepresentation.</w:t>
      </w:r>
    </w:p>
    <w:p w14:paraId="117DADD1" w14:textId="77777777" w:rsidR="00CD02AE" w:rsidRDefault="00CD02AE" w:rsidP="00CD02AE">
      <w:pPr>
        <w:spacing w:before="100" w:beforeAutospacing="1" w:after="100" w:afterAutospacing="1" w:line="240" w:lineRule="auto"/>
        <w:ind w:left="540"/>
        <w:rPr>
          <w:rFonts w:ascii="Times New Roman" w:eastAsia="Times New Roman" w:hAnsi="Times New Roman"/>
          <w:sz w:val="24"/>
          <w:szCs w:val="24"/>
        </w:rPr>
      </w:pPr>
      <w:r>
        <w:rPr>
          <w:rFonts w:ascii="Times New Roman" w:eastAsia="Times New Roman" w:hAnsi="Times New Roman"/>
          <w:sz w:val="24"/>
          <w:szCs w:val="24"/>
        </w:rPr>
        <w:t xml:space="preserve">"In a wrongful termination case, whether an employer properly determined it had just cause for termination is a question for the trier of fact." </w:t>
      </w:r>
      <w:r>
        <w:rPr>
          <w:rFonts w:ascii="Times New Roman" w:eastAsia="Times New Roman" w:hAnsi="Times New Roman"/>
          <w:i/>
          <w:iCs/>
          <w:sz w:val="24"/>
          <w:szCs w:val="24"/>
        </w:rPr>
        <w:t>Lund v</w:t>
      </w:r>
      <w:r>
        <w:rPr>
          <w:rFonts w:ascii="Times New Roman" w:eastAsia="Times New Roman" w:hAnsi="Times New Roman"/>
          <w:sz w:val="24"/>
          <w:szCs w:val="24"/>
        </w:rPr>
        <w:t xml:space="preserve">. </w:t>
      </w:r>
      <w:r>
        <w:rPr>
          <w:rFonts w:ascii="Times New Roman" w:eastAsia="Times New Roman" w:hAnsi="Times New Roman"/>
          <w:i/>
          <w:iCs/>
          <w:sz w:val="24"/>
          <w:szCs w:val="24"/>
        </w:rPr>
        <w:t>Grant Cty</w:t>
      </w:r>
      <w:r>
        <w:rPr>
          <w:rFonts w:ascii="Times New Roman" w:eastAsia="Times New Roman" w:hAnsi="Times New Roman"/>
          <w:sz w:val="24"/>
          <w:szCs w:val="24"/>
        </w:rPr>
        <w:t xml:space="preserve">. </w:t>
      </w:r>
      <w:r>
        <w:rPr>
          <w:rFonts w:ascii="Times New Roman" w:eastAsia="Times New Roman" w:hAnsi="Times New Roman"/>
          <w:i/>
          <w:iCs/>
          <w:sz w:val="24"/>
          <w:szCs w:val="24"/>
        </w:rPr>
        <w:t>Pub</w:t>
      </w:r>
      <w:r>
        <w:rPr>
          <w:rFonts w:ascii="Times New Roman" w:eastAsia="Times New Roman" w:hAnsi="Times New Roman"/>
          <w:sz w:val="24"/>
          <w:szCs w:val="24"/>
        </w:rPr>
        <w:t xml:space="preserve">. </w:t>
      </w:r>
      <w:r>
        <w:rPr>
          <w:rFonts w:ascii="Times New Roman" w:eastAsia="Times New Roman" w:hAnsi="Times New Roman"/>
          <w:i/>
          <w:iCs/>
          <w:sz w:val="24"/>
          <w:szCs w:val="24"/>
        </w:rPr>
        <w:t>Hosp</w:t>
      </w:r>
      <w:r>
        <w:rPr>
          <w:rFonts w:ascii="Times New Roman" w:eastAsia="Times New Roman" w:hAnsi="Times New Roman"/>
          <w:sz w:val="24"/>
          <w:szCs w:val="24"/>
        </w:rPr>
        <w:t xml:space="preserve">. </w:t>
      </w:r>
      <w:r>
        <w:rPr>
          <w:rFonts w:ascii="Times New Roman" w:eastAsia="Times New Roman" w:hAnsi="Times New Roman"/>
          <w:i/>
          <w:iCs/>
          <w:sz w:val="24"/>
          <w:szCs w:val="24"/>
        </w:rPr>
        <w:t>Dist</w:t>
      </w:r>
      <w:r>
        <w:rPr>
          <w:rFonts w:ascii="Times New Roman" w:eastAsia="Times New Roman" w:hAnsi="Times New Roman"/>
          <w:sz w:val="24"/>
          <w:szCs w:val="24"/>
        </w:rPr>
        <w:t xml:space="preserve">. </w:t>
      </w:r>
      <w:r>
        <w:rPr>
          <w:rFonts w:ascii="Times New Roman" w:eastAsia="Times New Roman" w:hAnsi="Times New Roman"/>
          <w:i/>
          <w:iCs/>
          <w:sz w:val="24"/>
          <w:szCs w:val="24"/>
        </w:rPr>
        <w:t>No</w:t>
      </w:r>
      <w:r>
        <w:rPr>
          <w:rFonts w:ascii="Times New Roman" w:eastAsia="Times New Roman" w:hAnsi="Times New Roman"/>
          <w:sz w:val="24"/>
          <w:szCs w:val="24"/>
        </w:rPr>
        <w:t xml:space="preserve">. </w:t>
      </w:r>
      <w:r>
        <w:rPr>
          <w:rFonts w:ascii="Times New Roman" w:eastAsia="Times New Roman" w:hAnsi="Times New Roman"/>
          <w:i/>
          <w:iCs/>
          <w:sz w:val="24"/>
          <w:szCs w:val="24"/>
        </w:rPr>
        <w:t>2</w:t>
      </w:r>
      <w:r>
        <w:rPr>
          <w:rFonts w:ascii="Times New Roman" w:eastAsia="Times New Roman" w:hAnsi="Times New Roman"/>
          <w:sz w:val="24"/>
          <w:szCs w:val="24"/>
        </w:rPr>
        <w:t xml:space="preserve">, 85 </w:t>
      </w:r>
      <w:proofErr w:type="spellStart"/>
      <w:r>
        <w:rPr>
          <w:rFonts w:ascii="Times New Roman" w:eastAsia="Times New Roman" w:hAnsi="Times New Roman"/>
          <w:sz w:val="24"/>
          <w:szCs w:val="24"/>
        </w:rPr>
        <w:t>Wn</w:t>
      </w:r>
      <w:proofErr w:type="spellEnd"/>
      <w:r>
        <w:rPr>
          <w:rFonts w:ascii="Times New Roman" w:eastAsia="Times New Roman" w:hAnsi="Times New Roman"/>
          <w:sz w:val="24"/>
          <w:szCs w:val="24"/>
        </w:rPr>
        <w:t xml:space="preserve">. App. 223, 228 (1997). *** “In this case, Bathke's declaration and supporting evidence sufficiently creates a question of fact on the issue of whether the City had just cause to terminate him. In reply, Defendants attempt to undermine the holding in </w:t>
      </w:r>
      <w:r>
        <w:rPr>
          <w:rFonts w:ascii="Times New Roman" w:eastAsia="Times New Roman" w:hAnsi="Times New Roman"/>
          <w:i/>
          <w:iCs/>
          <w:sz w:val="24"/>
          <w:szCs w:val="24"/>
        </w:rPr>
        <w:t>Lund</w:t>
      </w:r>
      <w:r>
        <w:rPr>
          <w:rFonts w:ascii="Times New Roman" w:eastAsia="Times New Roman" w:hAnsi="Times New Roman"/>
          <w:sz w:val="24"/>
          <w:szCs w:val="24"/>
        </w:rPr>
        <w:t xml:space="preserve"> by misquoting employment discrimination cases…. Defendants, however, fail to provide any persuasive authority or reason to take this question of fact away from the </w:t>
      </w:r>
      <w:proofErr w:type="gramStart"/>
      <w:r>
        <w:rPr>
          <w:rFonts w:ascii="Times New Roman" w:eastAsia="Times New Roman" w:hAnsi="Times New Roman"/>
          <w:sz w:val="24"/>
          <w:szCs w:val="24"/>
        </w:rPr>
        <w:t>factfinder</w:t>
      </w:r>
      <w:proofErr w:type="gramEnd"/>
      <w:r>
        <w:rPr>
          <w:rFonts w:ascii="Times New Roman" w:eastAsia="Times New Roman" w:hAnsi="Times New Roman"/>
          <w:sz w:val="24"/>
          <w:szCs w:val="24"/>
        </w:rPr>
        <w:t xml:space="preserve">. Therefore, the Court denies Defendants' motion on Bathke's breach of contract </w:t>
      </w:r>
      <w:proofErr w:type="gramStart"/>
      <w:r>
        <w:rPr>
          <w:rFonts w:ascii="Times New Roman" w:eastAsia="Times New Roman" w:hAnsi="Times New Roman"/>
          <w:sz w:val="24"/>
          <w:szCs w:val="24"/>
        </w:rPr>
        <w:t>claim.”</w:t>
      </w:r>
      <w:proofErr w:type="gramEnd"/>
      <w:r>
        <w:rPr>
          <w:rFonts w:ascii="Times New Roman" w:eastAsia="Times New Roman" w:hAnsi="Times New Roman"/>
          <w:sz w:val="24"/>
          <w:szCs w:val="24"/>
        </w:rPr>
        <w:t xml:space="preserve"> </w:t>
      </w:r>
      <w:hyperlink r:id="rId2680" w:history="1">
        <w:r>
          <w:rPr>
            <w:rStyle w:val="Hyperlink"/>
            <w:sz w:val="24"/>
            <w:szCs w:val="24"/>
          </w:rPr>
          <w:t>https://public.fastcase.com/Wl%2B2t%2BeVuI35%2FN70vAMFZiys29g9i6WW2vOdml2B4dJUoMj0gy8QWoByD0pzloLe</w:t>
        </w:r>
      </w:hyperlink>
      <w:r>
        <w:rPr>
          <w:rFonts w:ascii="Times New Roman" w:eastAsia="Times New Roman" w:hAnsi="Times New Roman"/>
          <w:sz w:val="24"/>
          <w:szCs w:val="24"/>
        </w:rPr>
        <w:t xml:space="preserve"> </w:t>
      </w:r>
    </w:p>
    <w:p w14:paraId="038DCA5E" w14:textId="77777777" w:rsidR="00CD02AE" w:rsidRDefault="00CD02AE" w:rsidP="00CD02AE">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Legal Lessons Learned: Fire Chiefs, when accepting a new position, should include in their agreement that they cannot be fired except for “cause.”</w:t>
      </w:r>
    </w:p>
    <w:p w14:paraId="7ED60B59" w14:textId="77777777" w:rsidR="00CD02AE" w:rsidRDefault="00CD02AE" w:rsidP="00F326E5">
      <w:pPr>
        <w:pStyle w:val="NoSpacing"/>
        <w:rPr>
          <w:rFonts w:ascii="Arial Black" w:hAnsi="Arial Black"/>
          <w:sz w:val="24"/>
          <w:szCs w:val="24"/>
        </w:rPr>
      </w:pPr>
    </w:p>
    <w:p w14:paraId="09E21C5B" w14:textId="77777777" w:rsidR="00CD02AE" w:rsidRDefault="00CD02AE" w:rsidP="00F326E5">
      <w:pPr>
        <w:pStyle w:val="NoSpacing"/>
        <w:rPr>
          <w:rFonts w:ascii="Arial Black" w:hAnsi="Arial Black"/>
          <w:sz w:val="24"/>
          <w:szCs w:val="24"/>
        </w:rPr>
      </w:pPr>
    </w:p>
    <w:p w14:paraId="46958558" w14:textId="2F9F35DD" w:rsidR="00CD02AE" w:rsidRDefault="00CD02AE" w:rsidP="00F326E5">
      <w:pPr>
        <w:pStyle w:val="NoSpacing"/>
        <w:rPr>
          <w:rFonts w:ascii="Arial Black" w:hAnsi="Arial Black"/>
          <w:sz w:val="24"/>
          <w:szCs w:val="24"/>
        </w:rPr>
      </w:pPr>
      <w:r>
        <w:rPr>
          <w:rFonts w:ascii="Arial Black" w:hAnsi="Arial Black"/>
          <w:sz w:val="24"/>
          <w:szCs w:val="24"/>
        </w:rPr>
        <w:t>16-41</w:t>
      </w:r>
    </w:p>
    <w:p w14:paraId="61062D0C" w14:textId="44FB0126" w:rsidR="00CD02AE" w:rsidRDefault="00CD02AE" w:rsidP="00F326E5">
      <w:pPr>
        <w:pStyle w:val="NoSpacing"/>
        <w:rPr>
          <w:rFonts w:ascii="Arial Black" w:hAnsi="Arial Black"/>
          <w:sz w:val="24"/>
          <w:szCs w:val="24"/>
        </w:rPr>
      </w:pPr>
    </w:p>
    <w:p w14:paraId="66835412" w14:textId="77777777" w:rsidR="00CD02AE" w:rsidRDefault="00CD02AE" w:rsidP="00CD02AE">
      <w:pPr>
        <w:rPr>
          <w:rFonts w:ascii="Arial Black" w:hAnsi="Arial Black" w:cstheme="minorBidi"/>
          <w:sz w:val="28"/>
          <w:szCs w:val="28"/>
        </w:rPr>
      </w:pPr>
      <w:r>
        <w:rPr>
          <w:rFonts w:ascii="Arial Black" w:hAnsi="Arial Black"/>
          <w:sz w:val="28"/>
          <w:szCs w:val="28"/>
        </w:rPr>
        <w:t>OH: EMS CAPTAIN FIRED – FACEBOOK POST ABOUT DEATH TAMIR RICE – LAWSUIT REINSTATED, “PUBLIC CONCERN”</w:t>
      </w:r>
    </w:p>
    <w:p w14:paraId="573D34F1" w14:textId="77777777" w:rsidR="00CD02AE" w:rsidRDefault="00CD02AE" w:rsidP="00CD02AE">
      <w:pPr>
        <w:rPr>
          <w:rFonts w:ascii="Times New Roman" w:hAnsi="Times New Roman"/>
          <w:sz w:val="24"/>
          <w:szCs w:val="24"/>
        </w:rPr>
      </w:pPr>
      <w:r>
        <w:rPr>
          <w:rFonts w:ascii="Times New Roman" w:hAnsi="Times New Roman"/>
          <w:sz w:val="24"/>
          <w:szCs w:val="24"/>
        </w:rPr>
        <w:t xml:space="preserve">On Aug. 19, 2020, in </w:t>
      </w:r>
      <w:r>
        <w:rPr>
          <w:rFonts w:ascii="Times New Roman" w:hAnsi="Times New Roman"/>
          <w:sz w:val="24"/>
          <w:szCs w:val="24"/>
          <w:u w:val="single"/>
        </w:rPr>
        <w:t>Jamie Marquardt v. Nicole Carlton &amp; City of Cleveland</w:t>
      </w:r>
      <w:r>
        <w:rPr>
          <w:rFonts w:ascii="Times New Roman" w:hAnsi="Times New Roman"/>
          <w:sz w:val="24"/>
          <w:szCs w:val="24"/>
        </w:rPr>
        <w:t>, the U.S. Court of Appeals for the 6</w:t>
      </w:r>
      <w:r>
        <w:rPr>
          <w:rFonts w:ascii="Times New Roman" w:hAnsi="Times New Roman"/>
          <w:sz w:val="24"/>
          <w:szCs w:val="24"/>
          <w:vertAlign w:val="superscript"/>
        </w:rPr>
        <w:t>th</w:t>
      </w:r>
      <w:r>
        <w:rPr>
          <w:rFonts w:ascii="Times New Roman" w:hAnsi="Times New Roman"/>
          <w:sz w:val="24"/>
          <w:szCs w:val="24"/>
        </w:rPr>
        <w:t xml:space="preserve"> Circuit (Cincinnati) held (3 to 0) that the U.S. District Court judge in Cleveland improperly granted the city’s motion for summary judgment. </w:t>
      </w:r>
    </w:p>
    <w:p w14:paraId="6224EBCC" w14:textId="77777777" w:rsidR="00CD02AE" w:rsidRDefault="00CD02AE" w:rsidP="00CD02AE">
      <w:pPr>
        <w:ind w:left="720"/>
        <w:rPr>
          <w:rFonts w:ascii="Times New Roman" w:hAnsi="Times New Roman"/>
          <w:b/>
          <w:bCs/>
          <w:sz w:val="24"/>
          <w:szCs w:val="24"/>
        </w:rPr>
      </w:pPr>
      <w:r>
        <w:rPr>
          <w:rFonts w:ascii="Times New Roman" w:hAnsi="Times New Roman"/>
          <w:sz w:val="24"/>
          <w:szCs w:val="24"/>
        </w:rPr>
        <w:t xml:space="preserve">“Because Marquardt's social media posts addressed a matter of public concern, the district court erred in granting summary judgment on that basis.”  </w:t>
      </w:r>
      <w:hyperlink r:id="rId2681" w:history="1">
        <w:r>
          <w:rPr>
            <w:rStyle w:val="Hyperlink"/>
            <w:sz w:val="24"/>
            <w:szCs w:val="24"/>
          </w:rPr>
          <w:t>https://www.opn.ca6.uscourts.gov/opinions.pdf/20a0268p-06.pdf</w:t>
        </w:r>
      </w:hyperlink>
      <w:r>
        <w:rPr>
          <w:rFonts w:ascii="Times New Roman" w:hAnsi="Times New Roman"/>
          <w:sz w:val="24"/>
          <w:szCs w:val="24"/>
        </w:rPr>
        <w:t xml:space="preserve"> </w:t>
      </w:r>
    </w:p>
    <w:p w14:paraId="64AF7E75" w14:textId="77777777" w:rsidR="00CD02AE" w:rsidRDefault="00CD02AE" w:rsidP="00CD02AE">
      <w:pPr>
        <w:spacing w:before="100" w:beforeAutospacing="1" w:after="100" w:afterAutospacing="1" w:line="240" w:lineRule="auto"/>
        <w:rPr>
          <w:sz w:val="40"/>
          <w:szCs w:val="40"/>
        </w:rPr>
      </w:pPr>
      <w:r>
        <w:rPr>
          <w:rFonts w:ascii="Times New Roman" w:eastAsia="Times New Roman" w:hAnsi="Times New Roman"/>
          <w:b/>
          <w:bCs/>
          <w:sz w:val="24"/>
          <w:szCs w:val="24"/>
        </w:rPr>
        <w:t>Legal Lessons Learned: Social Media posts are resulting in terminations in the fire service; employers must carefully review whether the matter is of “public concern” before imposing discipline.</w:t>
      </w:r>
    </w:p>
    <w:p w14:paraId="6C67D5D6" w14:textId="77777777" w:rsidR="00CD02AE" w:rsidRDefault="00CD02AE" w:rsidP="00F326E5">
      <w:pPr>
        <w:pStyle w:val="NoSpacing"/>
        <w:rPr>
          <w:rFonts w:ascii="Arial Black" w:hAnsi="Arial Black"/>
          <w:sz w:val="24"/>
          <w:szCs w:val="24"/>
        </w:rPr>
      </w:pPr>
    </w:p>
    <w:p w14:paraId="59E110A1" w14:textId="77777777" w:rsidR="00CD02AE" w:rsidRDefault="00CD02AE" w:rsidP="00F326E5">
      <w:pPr>
        <w:pStyle w:val="NoSpacing"/>
        <w:rPr>
          <w:rFonts w:ascii="Arial Black" w:hAnsi="Arial Black"/>
          <w:sz w:val="24"/>
          <w:szCs w:val="24"/>
        </w:rPr>
      </w:pPr>
    </w:p>
    <w:p w14:paraId="171736AA" w14:textId="7129564F" w:rsidR="001A653A" w:rsidRDefault="001A653A" w:rsidP="00F326E5">
      <w:pPr>
        <w:pStyle w:val="NoSpacing"/>
        <w:rPr>
          <w:rFonts w:ascii="Arial Black" w:hAnsi="Arial Black"/>
          <w:sz w:val="24"/>
          <w:szCs w:val="24"/>
        </w:rPr>
      </w:pPr>
      <w:r>
        <w:rPr>
          <w:rFonts w:ascii="Arial Black" w:hAnsi="Arial Black"/>
          <w:sz w:val="24"/>
          <w:szCs w:val="24"/>
        </w:rPr>
        <w:t>16-40</w:t>
      </w:r>
    </w:p>
    <w:p w14:paraId="3D1B1C35" w14:textId="5415F8AA" w:rsidR="001A653A" w:rsidRDefault="001A653A" w:rsidP="00F326E5">
      <w:pPr>
        <w:pStyle w:val="NoSpacing"/>
        <w:rPr>
          <w:rFonts w:ascii="Arial Black" w:hAnsi="Arial Black"/>
          <w:sz w:val="24"/>
          <w:szCs w:val="24"/>
        </w:rPr>
      </w:pPr>
    </w:p>
    <w:p w14:paraId="712EF66B" w14:textId="77777777" w:rsidR="001A653A" w:rsidRPr="00C7439B" w:rsidRDefault="001A653A" w:rsidP="001A653A">
      <w:pPr>
        <w:pStyle w:val="NoSpacing"/>
        <w:rPr>
          <w:rFonts w:ascii="Arial Black" w:hAnsi="Arial Black"/>
          <w:sz w:val="28"/>
          <w:szCs w:val="28"/>
        </w:rPr>
      </w:pPr>
      <w:r w:rsidRPr="00C7439B">
        <w:rPr>
          <w:rFonts w:ascii="Arial Black" w:hAnsi="Arial Black"/>
          <w:sz w:val="28"/>
          <w:szCs w:val="28"/>
        </w:rPr>
        <w:t xml:space="preserve">NY: </w:t>
      </w:r>
      <w:r>
        <w:rPr>
          <w:rFonts w:ascii="Arial Black" w:hAnsi="Arial Black"/>
          <w:sz w:val="28"/>
          <w:szCs w:val="28"/>
        </w:rPr>
        <w:t>CAREER FF / UNION SECRETARY FIRED FOR PUNCHING VOL. FF IN FACE – COMBINATION FD - LAWSUIT DISMISSED</w:t>
      </w:r>
    </w:p>
    <w:p w14:paraId="31B06354" w14:textId="77777777" w:rsidR="001A653A" w:rsidRDefault="001A653A" w:rsidP="001A653A">
      <w:pPr>
        <w:spacing w:before="100" w:beforeAutospacing="1" w:after="100" w:afterAutospacing="1" w:line="240" w:lineRule="auto"/>
        <w:rPr>
          <w:b/>
          <w:bCs/>
        </w:rPr>
      </w:pPr>
      <w:r w:rsidRPr="00C7439B">
        <w:rPr>
          <w:rFonts w:ascii="Times New Roman" w:hAnsi="Times New Roman"/>
          <w:sz w:val="24"/>
          <w:szCs w:val="24"/>
        </w:rPr>
        <w:t xml:space="preserve">On </w:t>
      </w:r>
      <w:r>
        <w:rPr>
          <w:rFonts w:ascii="Times New Roman" w:hAnsi="Times New Roman"/>
          <w:sz w:val="24"/>
          <w:szCs w:val="24"/>
        </w:rPr>
        <w:t xml:space="preserve">July 10, 2020, in </w:t>
      </w:r>
      <w:r w:rsidRPr="00C7439B">
        <w:rPr>
          <w:rFonts w:ascii="Times New Roman" w:hAnsi="Times New Roman"/>
          <w:sz w:val="24"/>
          <w:szCs w:val="24"/>
          <w:u w:val="single"/>
        </w:rPr>
        <w:t>Brian McNamara v. The City of Long Beach</w:t>
      </w:r>
      <w:r>
        <w:rPr>
          <w:rFonts w:ascii="Times New Roman" w:hAnsi="Times New Roman"/>
          <w:sz w:val="24"/>
          <w:szCs w:val="24"/>
          <w:u w:val="single"/>
        </w:rPr>
        <w:t>,</w:t>
      </w:r>
      <w:r w:rsidRPr="00C7439B">
        <w:rPr>
          <w:rFonts w:ascii="Times New Roman" w:hAnsi="Times New Roman"/>
          <w:sz w:val="24"/>
          <w:szCs w:val="24"/>
          <w:u w:val="single"/>
        </w:rPr>
        <w:t xml:space="preserve"> et al</w:t>
      </w:r>
      <w:r>
        <w:rPr>
          <w:rFonts w:ascii="Times New Roman" w:hAnsi="Times New Roman"/>
          <w:sz w:val="24"/>
          <w:szCs w:val="24"/>
        </w:rPr>
        <w:t xml:space="preserve">., U.S. District Court Senior Judge Denis R. Hurley, Eastern District of New York (Central Islip, NY) granted summary judgment to the </w:t>
      </w:r>
      <w:proofErr w:type="gramStart"/>
      <w:r>
        <w:rPr>
          <w:rFonts w:ascii="Times New Roman" w:hAnsi="Times New Roman"/>
          <w:sz w:val="24"/>
          <w:szCs w:val="24"/>
        </w:rPr>
        <w:t>City</w:t>
      </w:r>
      <w:proofErr w:type="gramEnd"/>
      <w:r>
        <w:rPr>
          <w:rFonts w:ascii="Times New Roman" w:hAnsi="Times New Roman"/>
          <w:sz w:val="24"/>
          <w:szCs w:val="24"/>
        </w:rPr>
        <w:t xml:space="preserve">.   The Judge found that the formal misconduct charges were proved in a three-day hearing before the City Manager, and plaintiff failed to show that his activities as Union secretary, including articles he published, or that he was generally disliked by volunteer firefighters, was reason he was terminated. The Court wrote: </w:t>
      </w:r>
      <w:r w:rsidRPr="00473009">
        <w:rPr>
          <w:rFonts w:ascii="Times New Roman" w:eastAsia="Times New Roman" w:hAnsi="Times New Roman"/>
          <w:sz w:val="24"/>
          <w:szCs w:val="24"/>
        </w:rPr>
        <w:t xml:space="preserve">Plaintiff picked up an audio recorder and went to the firehouse, where further </w:t>
      </w:r>
      <w:proofErr w:type="gramStart"/>
      <w:r w:rsidRPr="00473009">
        <w:rPr>
          <w:rFonts w:ascii="Times New Roman" w:eastAsia="Times New Roman" w:hAnsi="Times New Roman"/>
          <w:sz w:val="24"/>
          <w:szCs w:val="24"/>
        </w:rPr>
        <w:t>altercations</w:t>
      </w:r>
      <w:proofErr w:type="gramEnd"/>
      <w:r w:rsidRPr="00473009">
        <w:rPr>
          <w:rFonts w:ascii="Times New Roman" w:eastAsia="Times New Roman" w:hAnsi="Times New Roman"/>
          <w:sz w:val="24"/>
          <w:szCs w:val="24"/>
        </w:rPr>
        <w:t xml:space="preserve"> ensued, including the previously mentioned incident with Jacobi. Such behavior is unbecoming in any profession, and it is not surprising that Defendants would react adversely to it. Thus, for the foregoing reasons, Plaintiff has failed to show a material issue of fact as to a causal relationship between his allegedly protected speech or union membership and his </w:t>
      </w:r>
      <w:proofErr w:type="gramStart"/>
      <w:r w:rsidRPr="00473009">
        <w:rPr>
          <w:rFonts w:ascii="Times New Roman" w:eastAsia="Times New Roman" w:hAnsi="Times New Roman"/>
          <w:sz w:val="24"/>
          <w:szCs w:val="24"/>
        </w:rPr>
        <w:t>termination.</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hyperlink r:id="rId2682" w:history="1">
        <w:r w:rsidRPr="000603D4">
          <w:rPr>
            <w:rStyle w:val="Hyperlink"/>
            <w:rFonts w:ascii="Times New Roman" w:hAnsi="Times New Roman"/>
            <w:sz w:val="24"/>
            <w:szCs w:val="24"/>
          </w:rPr>
          <w:t>https://public.fastcase.com/Wl%2B2t%2BeVuI35%2FN70vAMFZqQ7Gx1lZ4VLPzvmh59TfRHYGD4c0wvhFgn%2Bs0ncYh62</w:t>
        </w:r>
      </w:hyperlink>
      <w:r>
        <w:rPr>
          <w:rFonts w:ascii="Times New Roman" w:eastAsia="Times New Roman" w:hAnsi="Times New Roman"/>
          <w:sz w:val="24"/>
          <w:szCs w:val="24"/>
        </w:rPr>
        <w:t xml:space="preserve"> </w:t>
      </w:r>
    </w:p>
    <w:p w14:paraId="169359F7" w14:textId="77777777" w:rsidR="001A653A" w:rsidRPr="00A32A53" w:rsidRDefault="001A653A" w:rsidP="001A653A">
      <w:pPr>
        <w:spacing w:before="100" w:beforeAutospacing="1" w:after="100" w:afterAutospacing="1" w:line="240" w:lineRule="auto"/>
        <w:rPr>
          <w:rFonts w:ascii="Times New Roman" w:eastAsia="Times New Roman" w:hAnsi="Times New Roman"/>
          <w:b/>
          <w:bCs/>
          <w:sz w:val="24"/>
          <w:szCs w:val="24"/>
        </w:rPr>
      </w:pPr>
      <w:r w:rsidRPr="00A32A53">
        <w:rPr>
          <w:rFonts w:ascii="Times New Roman" w:eastAsia="Times New Roman" w:hAnsi="Times New Roman"/>
          <w:b/>
          <w:bCs/>
          <w:sz w:val="24"/>
          <w:szCs w:val="24"/>
        </w:rPr>
        <w:t xml:space="preserve">Legal Lessons Learned: </w:t>
      </w:r>
      <w:r>
        <w:rPr>
          <w:rFonts w:ascii="Times New Roman" w:eastAsia="Times New Roman" w:hAnsi="Times New Roman"/>
          <w:b/>
          <w:bCs/>
          <w:sz w:val="24"/>
          <w:szCs w:val="24"/>
        </w:rPr>
        <w:t xml:space="preserve">Violent assault on a fellow firefighter, whether volunteer or career, is completely unacceptable. </w:t>
      </w:r>
    </w:p>
    <w:p w14:paraId="69F182AC" w14:textId="77777777" w:rsidR="001A653A" w:rsidRDefault="001A653A" w:rsidP="00F326E5">
      <w:pPr>
        <w:pStyle w:val="NoSpacing"/>
        <w:rPr>
          <w:rFonts w:ascii="Arial Black" w:hAnsi="Arial Black"/>
          <w:sz w:val="24"/>
          <w:szCs w:val="24"/>
        </w:rPr>
      </w:pPr>
    </w:p>
    <w:p w14:paraId="33575056" w14:textId="77777777" w:rsidR="001A653A" w:rsidRDefault="001A653A" w:rsidP="00F326E5">
      <w:pPr>
        <w:pStyle w:val="NoSpacing"/>
        <w:rPr>
          <w:rFonts w:ascii="Arial Black" w:hAnsi="Arial Black"/>
          <w:sz w:val="24"/>
          <w:szCs w:val="24"/>
        </w:rPr>
      </w:pPr>
    </w:p>
    <w:p w14:paraId="49D50DA7" w14:textId="7098DCB0" w:rsidR="001A653A" w:rsidRPr="001A653A" w:rsidRDefault="001A653A" w:rsidP="00F326E5">
      <w:pPr>
        <w:pStyle w:val="NoSpacing"/>
        <w:rPr>
          <w:rFonts w:ascii="Times New Roman" w:hAnsi="Times New Roman"/>
          <w:sz w:val="24"/>
          <w:szCs w:val="24"/>
        </w:rPr>
      </w:pPr>
      <w:r>
        <w:rPr>
          <w:rFonts w:ascii="Arial Black" w:hAnsi="Arial Black"/>
          <w:sz w:val="24"/>
          <w:szCs w:val="24"/>
        </w:rPr>
        <w:t xml:space="preserve">16-39 </w:t>
      </w:r>
      <w:r w:rsidRPr="001A653A">
        <w:rPr>
          <w:rFonts w:ascii="Times New Roman" w:hAnsi="Times New Roman"/>
          <w:sz w:val="24"/>
          <w:szCs w:val="24"/>
        </w:rPr>
        <w:t xml:space="preserve">[also filed, Chap. 7] </w:t>
      </w:r>
    </w:p>
    <w:p w14:paraId="1B7C3F1D" w14:textId="088DFD1A" w:rsidR="001A653A" w:rsidRDefault="001A653A" w:rsidP="00F326E5">
      <w:pPr>
        <w:pStyle w:val="NoSpacing"/>
        <w:rPr>
          <w:rFonts w:ascii="Arial Black" w:hAnsi="Arial Black"/>
          <w:sz w:val="24"/>
          <w:szCs w:val="24"/>
        </w:rPr>
      </w:pPr>
    </w:p>
    <w:p w14:paraId="34AD30AD" w14:textId="77777777" w:rsidR="001A653A" w:rsidRDefault="001A653A" w:rsidP="001A653A">
      <w:pPr>
        <w:pStyle w:val="NoSpacing"/>
        <w:rPr>
          <w:rFonts w:ascii="Arial Black" w:hAnsi="Arial Black"/>
          <w:sz w:val="28"/>
          <w:szCs w:val="28"/>
        </w:rPr>
      </w:pPr>
      <w:r w:rsidRPr="007B1E77">
        <w:rPr>
          <w:rFonts w:ascii="Arial Black" w:hAnsi="Arial Black"/>
          <w:sz w:val="28"/>
          <w:szCs w:val="28"/>
        </w:rPr>
        <w:t xml:space="preserve">KY: </w:t>
      </w:r>
      <w:r>
        <w:rPr>
          <w:rFonts w:ascii="Arial Black" w:hAnsi="Arial Black"/>
          <w:sz w:val="28"/>
          <w:szCs w:val="28"/>
        </w:rPr>
        <w:t>FF MET 17-YEAR-OLD AT FIRE STATION – CONVICTED HAVING SEX WITH MINOR - TOOK VIDEOS AND PHOTOS</w:t>
      </w:r>
    </w:p>
    <w:p w14:paraId="733124C7" w14:textId="77777777" w:rsidR="001A653A" w:rsidRDefault="001A653A" w:rsidP="001A653A">
      <w:pPr>
        <w:pStyle w:val="NoSpacing"/>
        <w:rPr>
          <w:rFonts w:ascii="Times New Roman" w:hAnsi="Times New Roman"/>
          <w:sz w:val="24"/>
          <w:szCs w:val="24"/>
        </w:rPr>
      </w:pPr>
      <w:r w:rsidRPr="007B1E77">
        <w:rPr>
          <w:rFonts w:ascii="Times New Roman" w:hAnsi="Times New Roman"/>
          <w:sz w:val="24"/>
          <w:szCs w:val="24"/>
        </w:rPr>
        <w:t xml:space="preserve">On July 7, 2020, in </w:t>
      </w:r>
      <w:r w:rsidRPr="007B1E77">
        <w:rPr>
          <w:rFonts w:ascii="Times New Roman" w:hAnsi="Times New Roman"/>
          <w:sz w:val="24"/>
          <w:szCs w:val="24"/>
          <w:u w:val="single"/>
        </w:rPr>
        <w:t>United States of America v. William Michael Fields</w:t>
      </w:r>
      <w:r w:rsidRPr="007B1E77">
        <w:rPr>
          <w:rFonts w:ascii="Times New Roman" w:hAnsi="Times New Roman"/>
          <w:sz w:val="24"/>
          <w:szCs w:val="24"/>
        </w:rPr>
        <w:t xml:space="preserve">, </w:t>
      </w:r>
      <w:r>
        <w:rPr>
          <w:rFonts w:ascii="Times New Roman" w:hAnsi="Times New Roman"/>
          <w:sz w:val="24"/>
          <w:szCs w:val="24"/>
        </w:rPr>
        <w:t xml:space="preserve">U.S. District Court Chief Judge Danny C. Reeves, Eastern District of Kentucky, denied the defendant’s motion for judgment of acquittal, or a new trial. The Court wrote: </w:t>
      </w:r>
      <w:r w:rsidRPr="007B1E77">
        <w:rPr>
          <w:rFonts w:ascii="Times New Roman" w:hAnsi="Times New Roman"/>
          <w:sz w:val="24"/>
          <w:szCs w:val="24"/>
        </w:rPr>
        <w:t xml:space="preserve">“Based on the foregoing, there was ample evidence from which the jury could have concluded that, on March 17 and 23, 2019, Fields employed, used, persuaded, induced, or coerced the minor victim to engage in </w:t>
      </w:r>
    </w:p>
    <w:p w14:paraId="3F5CCE85" w14:textId="77777777" w:rsidR="001A653A" w:rsidRDefault="001A653A" w:rsidP="001A653A">
      <w:pPr>
        <w:pStyle w:val="NoSpacing"/>
        <w:rPr>
          <w:rFonts w:ascii="Times New Roman" w:hAnsi="Times New Roman"/>
          <w:sz w:val="24"/>
          <w:szCs w:val="24"/>
        </w:rPr>
      </w:pPr>
    </w:p>
    <w:p w14:paraId="666B9144" w14:textId="77777777" w:rsidR="001A653A" w:rsidRDefault="001A653A" w:rsidP="001A653A">
      <w:pPr>
        <w:pStyle w:val="NoSpacing"/>
        <w:rPr>
          <w:rFonts w:ascii="Times New Roman" w:hAnsi="Times New Roman"/>
          <w:sz w:val="24"/>
          <w:szCs w:val="24"/>
        </w:rPr>
      </w:pPr>
      <w:r w:rsidRPr="007B1E77">
        <w:rPr>
          <w:rFonts w:ascii="Times New Roman" w:hAnsi="Times New Roman"/>
          <w:sz w:val="24"/>
          <w:szCs w:val="24"/>
        </w:rPr>
        <w:t>sexually explicit conduct for the purpose of producing a visual depiction of that conduct and that the visual depiction was produced or transmitted using materials that were mailed, shipped, or transported in or affecting interstate commerce by any means, including computer.</w:t>
      </w:r>
      <w:r>
        <w:rPr>
          <w:rFonts w:ascii="Times New Roman" w:hAnsi="Times New Roman"/>
          <w:sz w:val="24"/>
          <w:szCs w:val="24"/>
        </w:rPr>
        <w:t xml:space="preserve">” </w:t>
      </w:r>
      <w:hyperlink r:id="rId2683" w:history="1">
        <w:r w:rsidRPr="00FE7BCF">
          <w:rPr>
            <w:rStyle w:val="Hyperlink"/>
            <w:rFonts w:ascii="Times New Roman" w:hAnsi="Times New Roman"/>
            <w:sz w:val="24"/>
            <w:szCs w:val="24"/>
          </w:rPr>
          <w:t>https://casetext.com/case/united-states-v-fields-198</w:t>
        </w:r>
      </w:hyperlink>
      <w:r>
        <w:rPr>
          <w:rFonts w:ascii="Times New Roman" w:hAnsi="Times New Roman"/>
          <w:sz w:val="24"/>
          <w:szCs w:val="24"/>
        </w:rPr>
        <w:t xml:space="preserve"> </w:t>
      </w:r>
    </w:p>
    <w:p w14:paraId="4A337F73" w14:textId="2FC1D1E3" w:rsidR="001A653A" w:rsidRDefault="001A653A" w:rsidP="00F326E5">
      <w:pPr>
        <w:pStyle w:val="NoSpacing"/>
        <w:rPr>
          <w:rFonts w:ascii="Arial Black" w:hAnsi="Arial Black"/>
          <w:sz w:val="24"/>
          <w:szCs w:val="24"/>
        </w:rPr>
      </w:pPr>
    </w:p>
    <w:p w14:paraId="75AFBF74" w14:textId="77777777" w:rsidR="001A653A" w:rsidRDefault="001A653A" w:rsidP="001A653A">
      <w:pPr>
        <w:pStyle w:val="NoSpacing"/>
        <w:tabs>
          <w:tab w:val="left" w:pos="2780"/>
        </w:tabs>
        <w:rPr>
          <w:rFonts w:ascii="Times New Roman" w:hAnsi="Times New Roman"/>
          <w:b/>
          <w:bCs/>
          <w:sz w:val="24"/>
          <w:szCs w:val="24"/>
        </w:rPr>
      </w:pPr>
      <w:r w:rsidRPr="00602C23">
        <w:rPr>
          <w:rFonts w:ascii="Times New Roman" w:hAnsi="Times New Roman"/>
          <w:b/>
          <w:bCs/>
          <w:sz w:val="24"/>
          <w:szCs w:val="24"/>
        </w:rPr>
        <w:t>Legal Lesson Learned</w:t>
      </w:r>
      <w:r>
        <w:rPr>
          <w:rFonts w:ascii="Times New Roman" w:hAnsi="Times New Roman"/>
          <w:b/>
          <w:bCs/>
          <w:sz w:val="24"/>
          <w:szCs w:val="24"/>
        </w:rPr>
        <w:t xml:space="preserve">: A firefighter having sex with a minor can be convicted of a federal offense if a video or photos is posted on Internet. </w:t>
      </w:r>
    </w:p>
    <w:p w14:paraId="399DCC34" w14:textId="77777777" w:rsidR="001A653A" w:rsidRDefault="001A653A" w:rsidP="00F326E5">
      <w:pPr>
        <w:pStyle w:val="NoSpacing"/>
        <w:rPr>
          <w:rFonts w:ascii="Arial Black" w:hAnsi="Arial Black"/>
          <w:sz w:val="24"/>
          <w:szCs w:val="24"/>
        </w:rPr>
      </w:pPr>
    </w:p>
    <w:p w14:paraId="0C5C2967" w14:textId="77777777" w:rsidR="001A653A" w:rsidRDefault="001A653A" w:rsidP="00F326E5">
      <w:pPr>
        <w:pStyle w:val="NoSpacing"/>
        <w:rPr>
          <w:rFonts w:ascii="Arial Black" w:hAnsi="Arial Black"/>
          <w:sz w:val="24"/>
          <w:szCs w:val="24"/>
        </w:rPr>
      </w:pPr>
    </w:p>
    <w:p w14:paraId="62589F10" w14:textId="0D79952A" w:rsidR="001A653A" w:rsidRDefault="001A653A" w:rsidP="00F326E5">
      <w:pPr>
        <w:pStyle w:val="NoSpacing"/>
        <w:rPr>
          <w:rFonts w:ascii="Arial Black" w:hAnsi="Arial Black"/>
          <w:sz w:val="24"/>
          <w:szCs w:val="24"/>
        </w:rPr>
      </w:pPr>
      <w:r>
        <w:rPr>
          <w:rFonts w:ascii="Arial Black" w:hAnsi="Arial Black"/>
          <w:sz w:val="24"/>
          <w:szCs w:val="24"/>
        </w:rPr>
        <w:t>16-38</w:t>
      </w:r>
    </w:p>
    <w:p w14:paraId="0AD151BB" w14:textId="1B391A33" w:rsidR="001A653A" w:rsidRDefault="001A653A" w:rsidP="00F326E5">
      <w:pPr>
        <w:pStyle w:val="NoSpacing"/>
        <w:rPr>
          <w:rFonts w:ascii="Arial Black" w:hAnsi="Arial Black"/>
          <w:sz w:val="24"/>
          <w:szCs w:val="24"/>
        </w:rPr>
      </w:pPr>
    </w:p>
    <w:p w14:paraId="6590CE23" w14:textId="77777777" w:rsidR="001A653A" w:rsidRPr="00901FCB" w:rsidRDefault="001A653A" w:rsidP="001A653A">
      <w:pPr>
        <w:pStyle w:val="NoSpacing"/>
        <w:rPr>
          <w:rFonts w:ascii="Arial Black" w:hAnsi="Arial Black"/>
          <w:sz w:val="28"/>
          <w:szCs w:val="28"/>
        </w:rPr>
      </w:pPr>
      <w:r w:rsidRPr="00901FCB">
        <w:rPr>
          <w:rFonts w:ascii="Arial Black" w:hAnsi="Arial Black"/>
          <w:sz w:val="28"/>
          <w:szCs w:val="28"/>
        </w:rPr>
        <w:t xml:space="preserve">NJ: </w:t>
      </w:r>
      <w:r>
        <w:rPr>
          <w:rFonts w:ascii="Arial Black" w:hAnsi="Arial Black"/>
          <w:sz w:val="28"/>
          <w:szCs w:val="28"/>
        </w:rPr>
        <w:t>PENSION FRAUD – FF SENTENCED 7 YEARS IN PRISON – MARSHAL ARTS INSTRUCTOR – VIDEO OF COMPETITION</w:t>
      </w:r>
    </w:p>
    <w:p w14:paraId="7F40F2BF" w14:textId="77777777" w:rsidR="001A653A" w:rsidRDefault="001A653A" w:rsidP="001A653A">
      <w:pPr>
        <w:pStyle w:val="NoSpacing"/>
        <w:rPr>
          <w:rFonts w:ascii="Times New Roman" w:hAnsi="Times New Roman"/>
          <w:sz w:val="24"/>
          <w:szCs w:val="24"/>
        </w:rPr>
      </w:pPr>
    </w:p>
    <w:p w14:paraId="79AD8803" w14:textId="77777777" w:rsidR="001A653A" w:rsidRDefault="001A653A" w:rsidP="001A653A">
      <w:pPr>
        <w:pStyle w:val="NoSpacing"/>
        <w:tabs>
          <w:tab w:val="left" w:pos="6170"/>
        </w:tabs>
        <w:rPr>
          <w:rFonts w:ascii="Times New Roman" w:hAnsi="Times New Roman"/>
          <w:sz w:val="24"/>
          <w:szCs w:val="24"/>
        </w:rPr>
      </w:pPr>
      <w:r>
        <w:rPr>
          <w:rFonts w:ascii="Times New Roman" w:hAnsi="Times New Roman"/>
          <w:sz w:val="24"/>
          <w:szCs w:val="24"/>
        </w:rPr>
        <w:t xml:space="preserve">On June 30, 2020, in </w:t>
      </w:r>
      <w:r w:rsidRPr="00FE7716">
        <w:rPr>
          <w:rFonts w:ascii="Times New Roman" w:hAnsi="Times New Roman"/>
          <w:sz w:val="24"/>
          <w:szCs w:val="24"/>
          <w:u w:val="single"/>
        </w:rPr>
        <w:t>State of New Jersey v. Shane Streater</w:t>
      </w:r>
      <w:r>
        <w:rPr>
          <w:rFonts w:ascii="Times New Roman" w:hAnsi="Times New Roman"/>
          <w:sz w:val="24"/>
          <w:szCs w:val="24"/>
        </w:rPr>
        <w:t>, the Superior Court of New Jersey, Appellate Division, held (2 to 0) that jury’s conviction of the former Camden, NJ firefighter is affirmed. The prosecution called as witnesses two medical doctors who had submitted letters in support of his disability; they told the jury that after watching the video they were never informed of his martial arts activities.  The Court wrote: “</w:t>
      </w:r>
      <w:r w:rsidRPr="00901FCB">
        <w:rPr>
          <w:rFonts w:ascii="Times New Roman" w:hAnsi="Times New Roman"/>
          <w:sz w:val="24"/>
          <w:szCs w:val="24"/>
        </w:rPr>
        <w:t>Here, the State adduced abundant evidence of defendant's fraud, including the testimony of three doctors who examined him and stated defendant's actions on the videotape of his martial arts competition were inconsistent with defendant's complaints of pain and disability.</w:t>
      </w:r>
      <w:r>
        <w:rPr>
          <w:rFonts w:ascii="Times New Roman" w:hAnsi="Times New Roman"/>
          <w:sz w:val="24"/>
          <w:szCs w:val="24"/>
        </w:rPr>
        <w:t xml:space="preserve">” </w:t>
      </w:r>
      <w:hyperlink r:id="rId2684" w:history="1">
        <w:r w:rsidRPr="00524935">
          <w:rPr>
            <w:rStyle w:val="Hyperlink"/>
            <w:rFonts w:ascii="Times New Roman" w:hAnsi="Times New Roman"/>
            <w:sz w:val="24"/>
            <w:szCs w:val="24"/>
          </w:rPr>
          <w:t>https://njcourts.gov/attorneys/assets/opinions/appellate/unpublished/a1619-18.pdf?c=D1L</w:t>
        </w:r>
      </w:hyperlink>
      <w:r>
        <w:rPr>
          <w:rFonts w:ascii="Times New Roman" w:hAnsi="Times New Roman"/>
          <w:sz w:val="24"/>
          <w:szCs w:val="24"/>
        </w:rPr>
        <w:t xml:space="preserve"> </w:t>
      </w:r>
    </w:p>
    <w:p w14:paraId="78AED0E5" w14:textId="48E8B08F" w:rsidR="001A653A" w:rsidRDefault="001A653A" w:rsidP="00F326E5">
      <w:pPr>
        <w:pStyle w:val="NoSpacing"/>
        <w:rPr>
          <w:rFonts w:ascii="Arial Black" w:hAnsi="Arial Black"/>
          <w:sz w:val="24"/>
          <w:szCs w:val="24"/>
        </w:rPr>
      </w:pPr>
    </w:p>
    <w:p w14:paraId="6601AF98" w14:textId="77777777" w:rsidR="001A653A" w:rsidRDefault="001A653A" w:rsidP="001A653A">
      <w:pPr>
        <w:pStyle w:val="NoSpacing"/>
        <w:rPr>
          <w:rFonts w:ascii="Times New Roman" w:hAnsi="Times New Roman"/>
          <w:b/>
          <w:bCs/>
          <w:sz w:val="24"/>
          <w:szCs w:val="24"/>
        </w:rPr>
      </w:pPr>
      <w:r w:rsidRPr="0046700F">
        <w:rPr>
          <w:rFonts w:ascii="Times New Roman" w:hAnsi="Times New Roman"/>
          <w:b/>
          <w:bCs/>
          <w:sz w:val="24"/>
          <w:szCs w:val="24"/>
        </w:rPr>
        <w:t>Legal Lessons Learned:</w:t>
      </w:r>
      <w:r>
        <w:rPr>
          <w:rFonts w:ascii="Times New Roman" w:hAnsi="Times New Roman"/>
          <w:b/>
          <w:bCs/>
          <w:sz w:val="24"/>
          <w:szCs w:val="24"/>
        </w:rPr>
        <w:t xml:space="preserve"> The 7-year prison sentence certainly “sends a message.”</w:t>
      </w:r>
    </w:p>
    <w:p w14:paraId="69BA5865" w14:textId="77777777" w:rsidR="001A653A" w:rsidRDefault="001A653A" w:rsidP="001A653A">
      <w:pPr>
        <w:pStyle w:val="NoSpacing"/>
        <w:rPr>
          <w:rFonts w:ascii="Times New Roman" w:hAnsi="Times New Roman"/>
          <w:b/>
          <w:bCs/>
          <w:sz w:val="24"/>
          <w:szCs w:val="24"/>
        </w:rPr>
      </w:pPr>
    </w:p>
    <w:p w14:paraId="2CDE1666" w14:textId="77777777" w:rsidR="001A653A" w:rsidRDefault="001A653A" w:rsidP="001A653A">
      <w:pPr>
        <w:pStyle w:val="NoSpacing"/>
        <w:rPr>
          <w:rFonts w:ascii="Times New Roman" w:hAnsi="Times New Roman"/>
          <w:sz w:val="24"/>
          <w:szCs w:val="24"/>
        </w:rPr>
      </w:pPr>
      <w:r>
        <w:rPr>
          <w:rFonts w:ascii="Times New Roman" w:hAnsi="Times New Roman"/>
          <w:b/>
          <w:bCs/>
          <w:sz w:val="24"/>
          <w:szCs w:val="24"/>
        </w:rPr>
        <w:tab/>
      </w:r>
      <w:r w:rsidRPr="00B4050E">
        <w:rPr>
          <w:rFonts w:ascii="Times New Roman" w:hAnsi="Times New Roman"/>
          <w:sz w:val="24"/>
          <w:szCs w:val="24"/>
        </w:rPr>
        <w:t>Note: Trial Court judge also ordered the defendant to pay $82,488.22 in restitution.</w:t>
      </w:r>
    </w:p>
    <w:p w14:paraId="5F0E1C9F" w14:textId="77777777" w:rsidR="001A653A" w:rsidRDefault="001A653A" w:rsidP="001A653A">
      <w:pPr>
        <w:pStyle w:val="NoSpacing"/>
        <w:rPr>
          <w:rFonts w:ascii="Times New Roman" w:hAnsi="Times New Roman"/>
          <w:sz w:val="24"/>
          <w:szCs w:val="24"/>
        </w:rPr>
      </w:pPr>
      <w:r>
        <w:rPr>
          <w:rFonts w:ascii="Times New Roman" w:hAnsi="Times New Roman"/>
          <w:sz w:val="24"/>
          <w:szCs w:val="24"/>
        </w:rPr>
        <w:tab/>
        <w:t xml:space="preserve">See newspaper coverage: </w:t>
      </w:r>
    </w:p>
    <w:p w14:paraId="3B6CEA3C" w14:textId="77777777" w:rsidR="001A653A" w:rsidRDefault="001A653A" w:rsidP="001A653A">
      <w:pPr>
        <w:pStyle w:val="NoSpacing"/>
        <w:ind w:left="720"/>
        <w:rPr>
          <w:rFonts w:ascii="Times New Roman" w:hAnsi="Times New Roman"/>
          <w:sz w:val="24"/>
          <w:szCs w:val="24"/>
        </w:rPr>
      </w:pPr>
      <w:r>
        <w:rPr>
          <w:rFonts w:ascii="Times New Roman" w:hAnsi="Times New Roman"/>
          <w:sz w:val="24"/>
          <w:szCs w:val="24"/>
        </w:rPr>
        <w:t xml:space="preserve">Watch the YouTube video and TV story (March 18, 2015): </w:t>
      </w:r>
      <w:hyperlink r:id="rId2685" w:history="1">
        <w:r w:rsidRPr="00524935">
          <w:rPr>
            <w:rStyle w:val="Hyperlink"/>
            <w:rFonts w:ascii="Times New Roman" w:hAnsi="Times New Roman"/>
            <w:sz w:val="24"/>
            <w:szCs w:val="24"/>
          </w:rPr>
          <w:t>https://www.nbcphiladelphia.com/news/local/firefighter-fraudulently-collected-disability-pension/151491/</w:t>
        </w:r>
      </w:hyperlink>
      <w:r>
        <w:rPr>
          <w:rFonts w:ascii="Times New Roman" w:hAnsi="Times New Roman"/>
          <w:sz w:val="24"/>
          <w:szCs w:val="24"/>
        </w:rPr>
        <w:t xml:space="preserve"> </w:t>
      </w:r>
    </w:p>
    <w:p w14:paraId="5C62DDE8" w14:textId="77777777" w:rsidR="001A653A" w:rsidRPr="00DB11E1" w:rsidRDefault="001A653A" w:rsidP="001A653A">
      <w:pPr>
        <w:pStyle w:val="NoSpacing"/>
        <w:ind w:left="720"/>
        <w:rPr>
          <w:rFonts w:ascii="Times New Roman" w:eastAsia="Times New Roman" w:hAnsi="Times New Roman"/>
          <w:b/>
          <w:bCs/>
          <w:sz w:val="24"/>
          <w:szCs w:val="24"/>
        </w:rPr>
      </w:pPr>
      <w:r>
        <w:rPr>
          <w:rFonts w:ascii="Times New Roman" w:hAnsi="Times New Roman"/>
          <w:sz w:val="24"/>
          <w:szCs w:val="24"/>
        </w:rPr>
        <w:t>“</w:t>
      </w:r>
      <w:r w:rsidRPr="00B4050E">
        <w:rPr>
          <w:rFonts w:ascii="Times New Roman" w:hAnsi="Times New Roman"/>
          <w:sz w:val="24"/>
          <w:szCs w:val="24"/>
        </w:rPr>
        <w:t>Ex-N.J. firefighter convicted of stealing disability pension while earning black belt</w:t>
      </w:r>
      <w:r>
        <w:rPr>
          <w:rFonts w:ascii="Times New Roman" w:hAnsi="Times New Roman"/>
          <w:sz w:val="24"/>
          <w:szCs w:val="24"/>
        </w:rPr>
        <w:t>”</w:t>
      </w:r>
      <w:r w:rsidRPr="00B4050E">
        <w:rPr>
          <w:rFonts w:ascii="Times New Roman" w:hAnsi="Times New Roman"/>
          <w:sz w:val="24"/>
          <w:szCs w:val="24"/>
        </w:rPr>
        <w:t xml:space="preserve"> (April 12, 2016): </w:t>
      </w:r>
      <w:hyperlink r:id="rId2686" w:history="1">
        <w:r w:rsidRPr="00B4050E">
          <w:rPr>
            <w:rStyle w:val="Hyperlink"/>
            <w:rFonts w:ascii="Times New Roman" w:hAnsi="Times New Roman"/>
            <w:sz w:val="24"/>
            <w:szCs w:val="24"/>
          </w:rPr>
          <w:t>https://www.nj.com/news/2016/04/ex-nj_firefighter_convicted_of_stealing_disability.html</w:t>
        </w:r>
      </w:hyperlink>
      <w:r w:rsidRPr="00B4050E">
        <w:rPr>
          <w:rFonts w:ascii="Times New Roman" w:hAnsi="Times New Roman"/>
          <w:sz w:val="24"/>
          <w:szCs w:val="24"/>
        </w:rPr>
        <w:t xml:space="preserve"> </w:t>
      </w:r>
    </w:p>
    <w:p w14:paraId="21CA3937" w14:textId="77777777" w:rsidR="001A653A" w:rsidRDefault="001A653A" w:rsidP="00F326E5">
      <w:pPr>
        <w:pStyle w:val="NoSpacing"/>
        <w:rPr>
          <w:rFonts w:ascii="Arial Black" w:hAnsi="Arial Black"/>
          <w:sz w:val="24"/>
          <w:szCs w:val="24"/>
        </w:rPr>
      </w:pPr>
    </w:p>
    <w:p w14:paraId="7E752396" w14:textId="77777777" w:rsidR="001A653A" w:rsidRDefault="001A653A" w:rsidP="00F326E5">
      <w:pPr>
        <w:pStyle w:val="NoSpacing"/>
        <w:rPr>
          <w:rFonts w:ascii="Arial Black" w:hAnsi="Arial Black"/>
          <w:sz w:val="24"/>
          <w:szCs w:val="24"/>
        </w:rPr>
      </w:pPr>
    </w:p>
    <w:p w14:paraId="1C8ED012" w14:textId="77777777" w:rsidR="001A653A" w:rsidRDefault="001A653A" w:rsidP="00F326E5">
      <w:pPr>
        <w:pStyle w:val="NoSpacing"/>
        <w:rPr>
          <w:rFonts w:ascii="Arial Black" w:hAnsi="Arial Black"/>
          <w:sz w:val="24"/>
          <w:szCs w:val="24"/>
        </w:rPr>
      </w:pPr>
    </w:p>
    <w:p w14:paraId="6ED87FA1" w14:textId="6EE32EFF" w:rsidR="00A950CC" w:rsidRDefault="00A950CC" w:rsidP="00F326E5">
      <w:pPr>
        <w:pStyle w:val="NoSpacing"/>
        <w:rPr>
          <w:rFonts w:ascii="Arial Black" w:hAnsi="Arial Black"/>
          <w:sz w:val="24"/>
          <w:szCs w:val="24"/>
        </w:rPr>
      </w:pPr>
      <w:r>
        <w:rPr>
          <w:rFonts w:ascii="Arial Black" w:hAnsi="Arial Black"/>
          <w:sz w:val="24"/>
          <w:szCs w:val="24"/>
        </w:rPr>
        <w:t>16-37</w:t>
      </w:r>
    </w:p>
    <w:p w14:paraId="05A66B3E" w14:textId="77777777" w:rsidR="00A950CC" w:rsidRPr="00B2496D" w:rsidRDefault="00A950CC" w:rsidP="00A950CC">
      <w:pPr>
        <w:spacing w:before="100" w:beforeAutospacing="1" w:after="100" w:afterAutospacing="1" w:line="240" w:lineRule="auto"/>
        <w:rPr>
          <w:rFonts w:ascii="Arial Black" w:hAnsi="Arial Black" w:cs="Arial"/>
          <w:sz w:val="28"/>
          <w:szCs w:val="28"/>
        </w:rPr>
      </w:pPr>
      <w:r w:rsidRPr="00B2496D">
        <w:rPr>
          <w:rFonts w:ascii="Arial Black" w:hAnsi="Arial Black" w:cs="Arial"/>
          <w:sz w:val="28"/>
          <w:szCs w:val="28"/>
        </w:rPr>
        <w:t xml:space="preserve">TN: </w:t>
      </w:r>
      <w:r>
        <w:rPr>
          <w:rFonts w:ascii="Arial Black" w:hAnsi="Arial Black" w:cs="Arial"/>
          <w:sz w:val="28"/>
          <w:szCs w:val="28"/>
        </w:rPr>
        <w:t>TAPE RECORDER SECRETLY PLACED UNDER TABLE FIRE HALL – TO RECORD “GOSSIP” – VIOLATION OF TN LAW – 5 FF AWARDED $10,000 EACH &amp; ATTORNEY FEES</w:t>
      </w:r>
    </w:p>
    <w:p w14:paraId="5C6CD714" w14:textId="77777777" w:rsidR="00A950CC" w:rsidRPr="00DF718A" w:rsidRDefault="00A950CC" w:rsidP="00A950CC">
      <w:pPr>
        <w:spacing w:before="100" w:beforeAutospacing="1" w:after="100" w:afterAutospacing="1" w:line="240" w:lineRule="auto"/>
        <w:rPr>
          <w:rFonts w:ascii="Times New Roman" w:hAnsi="Times New Roman"/>
          <w:sz w:val="24"/>
          <w:szCs w:val="24"/>
        </w:rPr>
      </w:pPr>
      <w:r w:rsidRPr="00B2496D">
        <w:rPr>
          <w:rFonts w:ascii="Times New Roman" w:hAnsi="Times New Roman"/>
          <w:sz w:val="24"/>
          <w:szCs w:val="24"/>
        </w:rPr>
        <w:t xml:space="preserve">On May 8, 2020, in </w:t>
      </w:r>
      <w:r w:rsidRPr="00DF718A">
        <w:rPr>
          <w:rFonts w:ascii="Times New Roman" w:hAnsi="Times New Roman"/>
          <w:sz w:val="24"/>
          <w:szCs w:val="24"/>
          <w:u w:val="single"/>
        </w:rPr>
        <w:t>Ronald Ledford, et al, v. John Ben Sneed and Ray Wilson, Jr.</w:t>
      </w:r>
      <w:r>
        <w:rPr>
          <w:rFonts w:ascii="Times New Roman" w:hAnsi="Times New Roman"/>
          <w:sz w:val="24"/>
          <w:szCs w:val="24"/>
        </w:rPr>
        <w:t>, the Court of Appeals of Tennessee at Knoxville, held (3 to 0) that “</w:t>
      </w:r>
      <w:r w:rsidRPr="00DF718A">
        <w:rPr>
          <w:rFonts w:ascii="Times New Roman" w:hAnsi="Times New Roman"/>
          <w:sz w:val="24"/>
          <w:szCs w:val="24"/>
        </w:rPr>
        <w:t>Defendants’</w:t>
      </w:r>
      <w:r>
        <w:rPr>
          <w:rFonts w:ascii="Times New Roman" w:hAnsi="Times New Roman"/>
          <w:sz w:val="24"/>
          <w:szCs w:val="24"/>
        </w:rPr>
        <w:t xml:space="preserve"> </w:t>
      </w:r>
      <w:r w:rsidRPr="00DF718A">
        <w:rPr>
          <w:rFonts w:ascii="Times New Roman" w:hAnsi="Times New Roman"/>
          <w:sz w:val="24"/>
          <w:szCs w:val="24"/>
        </w:rPr>
        <w:t>vague assertions that they would be listening were</w:t>
      </w:r>
      <w:r>
        <w:rPr>
          <w:rFonts w:ascii="Times New Roman" w:hAnsi="Times New Roman"/>
          <w:sz w:val="24"/>
          <w:szCs w:val="24"/>
        </w:rPr>
        <w:t xml:space="preserve"> </w:t>
      </w:r>
      <w:r w:rsidRPr="00DF718A">
        <w:rPr>
          <w:rFonts w:ascii="Times New Roman" w:hAnsi="Times New Roman"/>
          <w:sz w:val="24"/>
          <w:szCs w:val="24"/>
        </w:rPr>
        <w:t>also not enough to garner consent from Plaintiffs to record their conversations via a tape recorder</w:t>
      </w:r>
      <w:r>
        <w:rPr>
          <w:rFonts w:ascii="Times New Roman" w:hAnsi="Times New Roman"/>
          <w:sz w:val="24"/>
          <w:szCs w:val="24"/>
        </w:rPr>
        <w:t xml:space="preserve"> </w:t>
      </w:r>
      <w:r w:rsidRPr="00DF718A">
        <w:rPr>
          <w:rFonts w:ascii="Times New Roman" w:hAnsi="Times New Roman"/>
          <w:sz w:val="24"/>
          <w:szCs w:val="24"/>
        </w:rPr>
        <w:t>taped under the table</w:t>
      </w:r>
      <w:r>
        <w:rPr>
          <w:rFonts w:ascii="Times New Roman" w:hAnsi="Times New Roman"/>
          <w:sz w:val="24"/>
          <w:szCs w:val="24"/>
        </w:rPr>
        <w:t xml:space="preserve">.” </w:t>
      </w:r>
      <w:hyperlink r:id="rId2687" w:history="1">
        <w:r w:rsidRPr="008C168C">
          <w:rPr>
            <w:rStyle w:val="Hyperlink"/>
            <w:sz w:val="24"/>
            <w:szCs w:val="24"/>
          </w:rPr>
          <w:t>http://www.tncourts.gov/sites/default/files/ronald_ledford_et_al._v._john_ben_sneed_et_al..pdf</w:t>
        </w:r>
      </w:hyperlink>
      <w:r>
        <w:rPr>
          <w:rFonts w:ascii="Times New Roman" w:hAnsi="Times New Roman"/>
          <w:sz w:val="24"/>
          <w:szCs w:val="24"/>
        </w:rPr>
        <w:t xml:space="preserve"> </w:t>
      </w:r>
    </w:p>
    <w:p w14:paraId="767D458B" w14:textId="77777777" w:rsidR="00A950CC" w:rsidRPr="00E504C8" w:rsidRDefault="00A950CC" w:rsidP="00A950CC">
      <w:pPr>
        <w:spacing w:before="100" w:beforeAutospacing="1" w:after="100" w:afterAutospacing="1" w:line="240" w:lineRule="auto"/>
        <w:rPr>
          <w:rFonts w:ascii="Times New Roman" w:hAnsi="Times New Roman"/>
          <w:b/>
          <w:bCs/>
          <w:sz w:val="24"/>
          <w:szCs w:val="24"/>
        </w:rPr>
      </w:pPr>
      <w:r w:rsidRPr="00E504C8">
        <w:rPr>
          <w:rFonts w:ascii="Times New Roman" w:hAnsi="Times New Roman"/>
          <w:b/>
          <w:bCs/>
          <w:sz w:val="24"/>
          <w:szCs w:val="24"/>
        </w:rPr>
        <w:t>Legal Lessons Learned:</w:t>
      </w:r>
      <w:r>
        <w:rPr>
          <w:rFonts w:ascii="Times New Roman" w:hAnsi="Times New Roman"/>
          <w:b/>
          <w:bCs/>
          <w:sz w:val="24"/>
          <w:szCs w:val="24"/>
        </w:rPr>
        <w:t xml:space="preserve"> Secretly placing tape recorders can lead to both civil, and in some states, criminal liability.  </w:t>
      </w:r>
    </w:p>
    <w:p w14:paraId="174AF1ED" w14:textId="77777777" w:rsidR="00A950CC" w:rsidRDefault="00A950CC" w:rsidP="00F326E5">
      <w:pPr>
        <w:pStyle w:val="NoSpacing"/>
        <w:rPr>
          <w:rFonts w:ascii="Arial Black" w:hAnsi="Arial Black"/>
          <w:sz w:val="24"/>
          <w:szCs w:val="24"/>
        </w:rPr>
      </w:pPr>
    </w:p>
    <w:p w14:paraId="19C3A7CF" w14:textId="77777777" w:rsidR="00A950CC" w:rsidRDefault="00A950CC" w:rsidP="00F326E5">
      <w:pPr>
        <w:pStyle w:val="NoSpacing"/>
        <w:rPr>
          <w:rFonts w:ascii="Arial Black" w:hAnsi="Arial Black"/>
          <w:sz w:val="24"/>
          <w:szCs w:val="24"/>
        </w:rPr>
      </w:pPr>
    </w:p>
    <w:p w14:paraId="29847EC0" w14:textId="02A547E4" w:rsidR="00A950CC" w:rsidRDefault="00A950CC" w:rsidP="00F326E5">
      <w:pPr>
        <w:pStyle w:val="NoSpacing"/>
        <w:rPr>
          <w:rFonts w:ascii="Arial Black" w:hAnsi="Arial Black"/>
          <w:sz w:val="24"/>
          <w:szCs w:val="24"/>
        </w:rPr>
      </w:pPr>
      <w:r>
        <w:rPr>
          <w:rFonts w:ascii="Arial Black" w:hAnsi="Arial Black"/>
          <w:sz w:val="24"/>
          <w:szCs w:val="24"/>
        </w:rPr>
        <w:t>16-36</w:t>
      </w:r>
    </w:p>
    <w:p w14:paraId="07D21FE4" w14:textId="77777777" w:rsidR="00A950CC" w:rsidRPr="00F200DE" w:rsidRDefault="00A950CC" w:rsidP="00A950CC">
      <w:pPr>
        <w:spacing w:before="100" w:beforeAutospacing="1" w:after="100" w:afterAutospacing="1" w:line="240" w:lineRule="auto"/>
        <w:rPr>
          <w:rFonts w:ascii="Arial Black" w:hAnsi="Arial Black" w:cs="Arial"/>
          <w:sz w:val="28"/>
          <w:szCs w:val="28"/>
        </w:rPr>
      </w:pPr>
      <w:r w:rsidRPr="00F200DE">
        <w:rPr>
          <w:rFonts w:ascii="Arial Black" w:hAnsi="Arial Black" w:cs="Arial"/>
          <w:sz w:val="28"/>
          <w:szCs w:val="28"/>
        </w:rPr>
        <w:t xml:space="preserve">CA: </w:t>
      </w:r>
      <w:r>
        <w:rPr>
          <w:rFonts w:ascii="Arial Black" w:hAnsi="Arial Black" w:cs="Arial"/>
          <w:sz w:val="28"/>
          <w:szCs w:val="28"/>
        </w:rPr>
        <w:t xml:space="preserve">FF SEXUAL E-MAILS TO 16-YR-OLD GIRL HE MET AT FIRE STATION TOUR – ALSO CONDUCT TOWARDS FEMALE FF – TERMINATION UPHELD, EMBARASSMENT TO FD </w:t>
      </w:r>
    </w:p>
    <w:p w14:paraId="231E0F8C" w14:textId="77777777" w:rsidR="00A950CC" w:rsidRPr="00381D99" w:rsidRDefault="00A950CC" w:rsidP="00A950CC">
      <w:pPr>
        <w:spacing w:before="100" w:beforeAutospacing="1" w:after="100" w:afterAutospacing="1" w:line="240" w:lineRule="auto"/>
        <w:ind w:left="450"/>
        <w:rPr>
          <w:rFonts w:ascii="Times New Roman" w:eastAsia="Times New Roman" w:hAnsi="Times New Roman"/>
          <w:b/>
          <w:bCs/>
          <w:sz w:val="24"/>
          <w:szCs w:val="24"/>
        </w:rPr>
      </w:pPr>
      <w:r w:rsidRPr="00381D99">
        <w:rPr>
          <w:rFonts w:ascii="Times New Roman" w:hAnsi="Times New Roman"/>
          <w:sz w:val="24"/>
          <w:szCs w:val="24"/>
        </w:rPr>
        <w:t xml:space="preserve">On May 7, 2020, in </w:t>
      </w:r>
      <w:r w:rsidRPr="00381D99">
        <w:rPr>
          <w:rFonts w:ascii="Times New Roman" w:hAnsi="Times New Roman"/>
          <w:sz w:val="24"/>
          <w:szCs w:val="24"/>
          <w:u w:val="single"/>
        </w:rPr>
        <w:t>Grant Seibert v. City of San Jose</w:t>
      </w:r>
      <w:r>
        <w:rPr>
          <w:rFonts w:ascii="Times New Roman" w:hAnsi="Times New Roman"/>
          <w:sz w:val="24"/>
          <w:szCs w:val="24"/>
        </w:rPr>
        <w:t>, the Court of Appeal of State of California, Sixth Appellate District, held (3 to 0) in unreported opinion, “</w:t>
      </w:r>
      <w:r w:rsidRPr="009B52FF">
        <w:rPr>
          <w:rFonts w:ascii="Times New Roman" w:hAnsi="Times New Roman"/>
          <w:sz w:val="24"/>
          <w:szCs w:val="24"/>
        </w:rPr>
        <w:t>Insofar as Seibert sexualized his job, his actions reasonably could be found to be disrespectful to the general public, which is rightly entitled to expect professionalism from its public servants. In addition, insofar as those actions</w:t>
      </w:r>
      <w:r>
        <w:rPr>
          <w:rFonts w:ascii="Times New Roman" w:hAnsi="Times New Roman"/>
          <w:sz w:val="24"/>
          <w:szCs w:val="24"/>
        </w:rPr>
        <w:t xml:space="preserve"> </w:t>
      </w:r>
      <w:r w:rsidRPr="009B52FF">
        <w:rPr>
          <w:rFonts w:ascii="Times New Roman" w:hAnsi="Times New Roman"/>
          <w:sz w:val="24"/>
          <w:szCs w:val="24"/>
        </w:rPr>
        <w:t>tended to</w:t>
      </w:r>
      <w:r>
        <w:rPr>
          <w:rFonts w:ascii="Times New Roman" w:hAnsi="Times New Roman"/>
          <w:sz w:val="24"/>
          <w:szCs w:val="24"/>
        </w:rPr>
        <w:t xml:space="preserve"> </w:t>
      </w:r>
      <w:r w:rsidRPr="009B52FF">
        <w:rPr>
          <w:rFonts w:ascii="Times New Roman" w:hAnsi="Times New Roman"/>
          <w:sz w:val="24"/>
          <w:szCs w:val="24"/>
        </w:rPr>
        <w:t>undercut the public’s</w:t>
      </w:r>
      <w:r>
        <w:rPr>
          <w:rFonts w:ascii="Times New Roman" w:hAnsi="Times New Roman"/>
          <w:sz w:val="24"/>
          <w:szCs w:val="24"/>
        </w:rPr>
        <w:t xml:space="preserve"> </w:t>
      </w:r>
      <w:r w:rsidRPr="009B52FF">
        <w:rPr>
          <w:rFonts w:ascii="Times New Roman" w:hAnsi="Times New Roman"/>
          <w:sz w:val="24"/>
          <w:szCs w:val="24"/>
        </w:rPr>
        <w:t>trust</w:t>
      </w:r>
      <w:r>
        <w:rPr>
          <w:rFonts w:ascii="Times New Roman" w:hAnsi="Times New Roman"/>
          <w:sz w:val="24"/>
          <w:szCs w:val="24"/>
        </w:rPr>
        <w:t xml:space="preserve"> </w:t>
      </w:r>
      <w:r w:rsidRPr="009B52FF">
        <w:rPr>
          <w:rFonts w:ascii="Times New Roman" w:hAnsi="Times New Roman"/>
          <w:sz w:val="24"/>
          <w:szCs w:val="24"/>
        </w:rPr>
        <w:t>of and respect</w:t>
      </w:r>
      <w:r>
        <w:rPr>
          <w:rFonts w:ascii="Times New Roman" w:hAnsi="Times New Roman"/>
          <w:sz w:val="24"/>
          <w:szCs w:val="24"/>
        </w:rPr>
        <w:t xml:space="preserve"> </w:t>
      </w:r>
      <w:r w:rsidRPr="009B52FF">
        <w:rPr>
          <w:rFonts w:ascii="Times New Roman" w:hAnsi="Times New Roman"/>
          <w:sz w:val="24"/>
          <w:szCs w:val="24"/>
        </w:rPr>
        <w:t>for the Department and its members, the trial court could reasonably find that those actions were detrimental to the public service,</w:t>
      </w:r>
      <w:r>
        <w:rPr>
          <w:rFonts w:ascii="Times New Roman" w:hAnsi="Times New Roman"/>
          <w:sz w:val="24"/>
          <w:szCs w:val="24"/>
        </w:rPr>
        <w:t xml:space="preserve"> </w:t>
      </w:r>
      <w:r w:rsidRPr="009B52FF">
        <w:rPr>
          <w:rFonts w:ascii="Times New Roman" w:hAnsi="Times New Roman"/>
          <w:sz w:val="24"/>
          <w:szCs w:val="24"/>
        </w:rPr>
        <w:t>which was</w:t>
      </w:r>
      <w:r>
        <w:rPr>
          <w:rFonts w:ascii="Times New Roman" w:hAnsi="Times New Roman"/>
          <w:sz w:val="24"/>
          <w:szCs w:val="24"/>
        </w:rPr>
        <w:t xml:space="preserve"> </w:t>
      </w:r>
      <w:r w:rsidRPr="009B52FF">
        <w:rPr>
          <w:rFonts w:ascii="Times New Roman" w:hAnsi="Times New Roman"/>
          <w:sz w:val="24"/>
          <w:szCs w:val="24"/>
        </w:rPr>
        <w:t>a cause for discipline</w:t>
      </w:r>
      <w:r>
        <w:rPr>
          <w:rFonts w:ascii="Times New Roman" w:hAnsi="Times New Roman"/>
          <w:sz w:val="24"/>
          <w:szCs w:val="24"/>
        </w:rPr>
        <w:t xml:space="preserve"> </w:t>
      </w:r>
      <w:r w:rsidRPr="009B52FF">
        <w:rPr>
          <w:rFonts w:ascii="Times New Roman" w:hAnsi="Times New Roman"/>
          <w:sz w:val="24"/>
          <w:szCs w:val="24"/>
        </w:rPr>
        <w:t>specified in charge</w:t>
      </w:r>
      <w:r>
        <w:rPr>
          <w:rFonts w:ascii="Times New Roman" w:hAnsi="Times New Roman"/>
          <w:sz w:val="24"/>
          <w:szCs w:val="24"/>
        </w:rPr>
        <w:t xml:space="preserve"> </w:t>
      </w:r>
      <w:r w:rsidRPr="009B52FF">
        <w:rPr>
          <w:rFonts w:ascii="Times New Roman" w:hAnsi="Times New Roman"/>
          <w:sz w:val="24"/>
          <w:szCs w:val="24"/>
        </w:rPr>
        <w:t>No.1</w:t>
      </w:r>
      <w:r>
        <w:rPr>
          <w:rFonts w:ascii="Times New Roman" w:hAnsi="Times New Roman"/>
          <w:sz w:val="24"/>
          <w:szCs w:val="24"/>
        </w:rPr>
        <w:t xml:space="preserve">.” </w:t>
      </w:r>
      <w:hyperlink r:id="rId2688" w:history="1">
        <w:r w:rsidRPr="008C168C">
          <w:rPr>
            <w:rStyle w:val="Hyperlink"/>
            <w:sz w:val="24"/>
            <w:szCs w:val="24"/>
          </w:rPr>
          <w:t>https://www.courts.ca.gov/opinions/nonpub/H046246.PDF</w:t>
        </w:r>
      </w:hyperlink>
      <w:r>
        <w:rPr>
          <w:rFonts w:ascii="Times New Roman" w:hAnsi="Times New Roman"/>
          <w:sz w:val="24"/>
          <w:szCs w:val="24"/>
        </w:rPr>
        <w:t xml:space="preserve">   </w:t>
      </w:r>
    </w:p>
    <w:p w14:paraId="692C7F00" w14:textId="77777777" w:rsidR="00A950CC" w:rsidRPr="001A6E95" w:rsidRDefault="00A950CC" w:rsidP="00A950CC">
      <w:pPr>
        <w:spacing w:before="100" w:beforeAutospacing="1" w:after="100" w:afterAutospacing="1" w:line="240" w:lineRule="auto"/>
        <w:rPr>
          <w:rFonts w:ascii="Times New Roman" w:hAnsi="Times New Roman"/>
          <w:b/>
          <w:bCs/>
          <w:sz w:val="24"/>
          <w:szCs w:val="24"/>
        </w:rPr>
      </w:pPr>
      <w:r w:rsidRPr="001A6E95">
        <w:rPr>
          <w:rFonts w:ascii="Times New Roman" w:hAnsi="Times New Roman"/>
          <w:b/>
          <w:bCs/>
          <w:sz w:val="24"/>
          <w:szCs w:val="24"/>
        </w:rPr>
        <w:t>Legal Lessons Learned:</w:t>
      </w:r>
      <w:r>
        <w:rPr>
          <w:rFonts w:ascii="Times New Roman" w:hAnsi="Times New Roman"/>
          <w:b/>
          <w:bCs/>
          <w:sz w:val="24"/>
          <w:szCs w:val="24"/>
        </w:rPr>
        <w:t xml:space="preserve"> The firefighter’s e-mails clearly can bring embarrassment to the Fire Department. </w:t>
      </w:r>
    </w:p>
    <w:p w14:paraId="2FFA47F8" w14:textId="77777777" w:rsidR="00A950CC" w:rsidRDefault="00A950CC" w:rsidP="00F326E5">
      <w:pPr>
        <w:pStyle w:val="NoSpacing"/>
        <w:rPr>
          <w:rFonts w:ascii="Arial Black" w:hAnsi="Arial Black"/>
          <w:sz w:val="24"/>
          <w:szCs w:val="24"/>
        </w:rPr>
      </w:pPr>
    </w:p>
    <w:p w14:paraId="1111B8BD" w14:textId="77777777" w:rsidR="00A950CC" w:rsidRDefault="00A950CC" w:rsidP="00F326E5">
      <w:pPr>
        <w:pStyle w:val="NoSpacing"/>
        <w:rPr>
          <w:rFonts w:ascii="Arial Black" w:hAnsi="Arial Black"/>
          <w:sz w:val="24"/>
          <w:szCs w:val="24"/>
        </w:rPr>
      </w:pPr>
    </w:p>
    <w:p w14:paraId="5719CE4B" w14:textId="77777777" w:rsidR="00A950CC" w:rsidRDefault="00A950CC" w:rsidP="00F326E5">
      <w:pPr>
        <w:pStyle w:val="NoSpacing"/>
        <w:rPr>
          <w:rFonts w:ascii="Arial Black" w:hAnsi="Arial Black"/>
          <w:sz w:val="24"/>
          <w:szCs w:val="24"/>
        </w:rPr>
      </w:pPr>
    </w:p>
    <w:p w14:paraId="64D327E8" w14:textId="6FE8F55C" w:rsidR="00FA7B26" w:rsidRDefault="00FA7B26" w:rsidP="00F326E5">
      <w:pPr>
        <w:pStyle w:val="NoSpacing"/>
        <w:rPr>
          <w:rFonts w:ascii="Arial Black" w:hAnsi="Arial Black"/>
          <w:sz w:val="24"/>
          <w:szCs w:val="24"/>
        </w:rPr>
      </w:pPr>
      <w:r>
        <w:rPr>
          <w:rFonts w:ascii="Arial Black" w:hAnsi="Arial Black"/>
          <w:sz w:val="24"/>
          <w:szCs w:val="24"/>
        </w:rPr>
        <w:t>16-35</w:t>
      </w:r>
    </w:p>
    <w:p w14:paraId="3D201ADA" w14:textId="13B2DFBC" w:rsidR="00FA7B26" w:rsidRDefault="00FA7B26" w:rsidP="00F326E5">
      <w:pPr>
        <w:pStyle w:val="NoSpacing"/>
        <w:rPr>
          <w:rFonts w:ascii="Arial Black" w:hAnsi="Arial Black"/>
          <w:sz w:val="24"/>
          <w:szCs w:val="24"/>
        </w:rPr>
      </w:pPr>
    </w:p>
    <w:p w14:paraId="0FA37BA9" w14:textId="77777777" w:rsidR="00A950CC" w:rsidRPr="000751CF" w:rsidRDefault="00A950CC" w:rsidP="00A950CC">
      <w:pPr>
        <w:pStyle w:val="Heading1"/>
        <w:rPr>
          <w:rFonts w:ascii="Arial Black" w:hAnsi="Arial Black"/>
          <w:sz w:val="28"/>
          <w:szCs w:val="28"/>
        </w:rPr>
      </w:pPr>
      <w:r w:rsidRPr="000751CF">
        <w:rPr>
          <w:rFonts w:ascii="Arial Black" w:hAnsi="Arial Black"/>
          <w:sz w:val="28"/>
          <w:szCs w:val="28"/>
        </w:rPr>
        <w:t xml:space="preserve">KY: </w:t>
      </w:r>
      <w:r>
        <w:rPr>
          <w:rFonts w:ascii="Arial Black" w:hAnsi="Arial Black"/>
          <w:sz w:val="28"/>
          <w:szCs w:val="28"/>
        </w:rPr>
        <w:t xml:space="preserve"> FD LIEUTENANT – INVEST. EXPOSED HIMSELF TO MINOR - PONOGRAPHY FOUND ON HIS FD COMPUTER – FIRE CHIEF [HIS FATHER] SIGNED CONSENT TO SEARCH</w:t>
      </w:r>
    </w:p>
    <w:p w14:paraId="503DEE29" w14:textId="0DCBABE8" w:rsidR="00FA7B26" w:rsidRPr="00A950CC" w:rsidRDefault="00A950CC" w:rsidP="00A950CC">
      <w:pPr>
        <w:pStyle w:val="NoSpacing"/>
        <w:rPr>
          <w:rFonts w:ascii="Times New Roman" w:hAnsi="Times New Roman"/>
          <w:sz w:val="24"/>
          <w:szCs w:val="24"/>
        </w:rPr>
      </w:pPr>
      <w:r w:rsidRPr="00A950CC">
        <w:rPr>
          <w:rFonts w:ascii="Times New Roman" w:hAnsi="Times New Roman"/>
          <w:sz w:val="24"/>
          <w:szCs w:val="24"/>
        </w:rPr>
        <w:t xml:space="preserve">On May 4, 2020, in </w:t>
      </w:r>
      <w:r w:rsidRPr="00A950CC">
        <w:rPr>
          <w:rFonts w:ascii="Times New Roman" w:hAnsi="Times New Roman"/>
          <w:sz w:val="24"/>
          <w:szCs w:val="24"/>
          <w:u w:val="single"/>
        </w:rPr>
        <w:t>United States of America v. Robert Christopher England</w:t>
      </w:r>
      <w:r w:rsidRPr="00A950CC">
        <w:rPr>
          <w:rFonts w:ascii="Times New Roman" w:hAnsi="Times New Roman"/>
          <w:sz w:val="24"/>
          <w:szCs w:val="24"/>
        </w:rPr>
        <w:t xml:space="preserve">, U.S. District Court Judge Claria Horn Boom, Eastern District of Kentucky / Southern Division (at London) held that the FD computer was properly searched with the written consent of the Fire Chief, in agreement with recommendation of U.S. Magistrate who heard motion to suppress. </w:t>
      </w:r>
      <w:hyperlink r:id="rId2689" w:history="1">
        <w:r w:rsidRPr="00A950CC">
          <w:rPr>
            <w:rStyle w:val="Hyperlink"/>
            <w:rFonts w:ascii="Times New Roman" w:hAnsi="Times New Roman"/>
            <w:sz w:val="24"/>
            <w:szCs w:val="24"/>
          </w:rPr>
          <w:t>https://public.fastcase.com/Wl%2B2t%2BeVuI35%2FN70vAMFZoCDqhYmNsbFLjWVRK8omsgUzbu2OUiVNTenINejQyEj</w:t>
        </w:r>
      </w:hyperlink>
    </w:p>
    <w:p w14:paraId="386B6220" w14:textId="77777777" w:rsidR="00FA7B26" w:rsidRDefault="00FA7B26" w:rsidP="00F326E5">
      <w:pPr>
        <w:pStyle w:val="NoSpacing"/>
        <w:rPr>
          <w:rFonts w:ascii="Arial Black" w:hAnsi="Arial Black"/>
          <w:sz w:val="24"/>
          <w:szCs w:val="24"/>
        </w:rPr>
      </w:pPr>
    </w:p>
    <w:p w14:paraId="538AC333" w14:textId="77777777" w:rsidR="00A950CC" w:rsidRPr="00784956" w:rsidRDefault="00A950CC" w:rsidP="00A950CC">
      <w:pPr>
        <w:pStyle w:val="NormalWeb"/>
        <w:tabs>
          <w:tab w:val="left" w:pos="2940"/>
        </w:tabs>
        <w:rPr>
          <w:b/>
          <w:bCs/>
        </w:rPr>
      </w:pPr>
      <w:r w:rsidRPr="00784956">
        <w:rPr>
          <w:b/>
          <w:bCs/>
        </w:rPr>
        <w:t>Legal Lessons Learned</w:t>
      </w:r>
      <w:r>
        <w:rPr>
          <w:b/>
          <w:bCs/>
        </w:rPr>
        <w:t xml:space="preserve">: FDs should have a computer use policy that allows FD to audit the contents of the computer, and to authorize others (including law enforcement) to access contents. </w:t>
      </w:r>
    </w:p>
    <w:p w14:paraId="0D6F6268" w14:textId="77777777" w:rsidR="00A950CC" w:rsidRPr="00E504C8" w:rsidRDefault="00A950CC" w:rsidP="00A950CC">
      <w:pPr>
        <w:spacing w:before="100" w:beforeAutospacing="1" w:after="100" w:afterAutospacing="1" w:line="240" w:lineRule="auto"/>
        <w:ind w:left="720"/>
        <w:rPr>
          <w:rFonts w:ascii="Times New Roman" w:hAnsi="Times New Roman"/>
          <w:sz w:val="24"/>
          <w:szCs w:val="24"/>
        </w:rPr>
      </w:pPr>
      <w:r w:rsidRPr="00E504C8">
        <w:rPr>
          <w:rFonts w:ascii="Times New Roman" w:hAnsi="Times New Roman"/>
          <w:sz w:val="24"/>
          <w:szCs w:val="24"/>
        </w:rPr>
        <w:t xml:space="preserve">Note: California's wiretapping law is a </w:t>
      </w:r>
      <w:hyperlink r:id="rId2690" w:tooltip="Recording Phone Calls and Conversations" w:history="1">
        <w:r w:rsidRPr="00E504C8">
          <w:rPr>
            <w:rStyle w:val="Hyperlink"/>
            <w:sz w:val="24"/>
            <w:szCs w:val="24"/>
          </w:rPr>
          <w:t>"two-party consent" law</w:t>
        </w:r>
      </w:hyperlink>
      <w:r w:rsidRPr="00E504C8">
        <w:rPr>
          <w:rFonts w:ascii="Times New Roman" w:hAnsi="Times New Roman"/>
          <w:sz w:val="24"/>
          <w:szCs w:val="24"/>
        </w:rPr>
        <w:t xml:space="preserve">. California makes it a crime to record or eavesdrop on any confidential communication, including a private conversation or telephone call, </w:t>
      </w:r>
      <w:r w:rsidRPr="00E504C8">
        <w:rPr>
          <w:rFonts w:ascii="Times New Roman" w:hAnsi="Times New Roman"/>
          <w:b/>
          <w:bCs/>
          <w:sz w:val="24"/>
          <w:szCs w:val="24"/>
        </w:rPr>
        <w:t xml:space="preserve">without the consent of </w:t>
      </w:r>
      <w:r w:rsidRPr="00E504C8">
        <w:rPr>
          <w:rStyle w:val="Strong"/>
          <w:rFonts w:ascii="Times New Roman" w:hAnsi="Times New Roman"/>
          <w:sz w:val="24"/>
          <w:szCs w:val="24"/>
        </w:rPr>
        <w:t>all parties to the conversation</w:t>
      </w:r>
      <w:r w:rsidRPr="00E504C8">
        <w:rPr>
          <w:rFonts w:ascii="Times New Roman" w:hAnsi="Times New Roman"/>
          <w:sz w:val="24"/>
          <w:szCs w:val="24"/>
        </w:rPr>
        <w:t xml:space="preserve">. See </w:t>
      </w:r>
      <w:hyperlink r:id="rId2691" w:tooltip="http://www.leginfo.ca.gov/cgi-bin/displaycode?section=pen&amp;group=00001-01000&amp;file=630-638" w:history="1">
        <w:r w:rsidRPr="00E504C8">
          <w:rPr>
            <w:rStyle w:val="Hyperlink"/>
            <w:sz w:val="24"/>
            <w:szCs w:val="24"/>
          </w:rPr>
          <w:t>Cal. Penal Code § 632</w:t>
        </w:r>
      </w:hyperlink>
      <w:r w:rsidRPr="00E504C8">
        <w:rPr>
          <w:rFonts w:ascii="Times New Roman" w:hAnsi="Times New Roman"/>
          <w:sz w:val="24"/>
          <w:szCs w:val="24"/>
        </w:rPr>
        <w:t xml:space="preserve">. </w:t>
      </w:r>
      <w:hyperlink r:id="rId2692" w:history="1">
        <w:r w:rsidRPr="00E504C8">
          <w:rPr>
            <w:rStyle w:val="Hyperlink"/>
            <w:sz w:val="24"/>
            <w:szCs w:val="24"/>
          </w:rPr>
          <w:t>https://www.dmlp.org/legal-guide/california-recording-law</w:t>
        </w:r>
      </w:hyperlink>
      <w:r w:rsidRPr="00E504C8">
        <w:rPr>
          <w:rFonts w:ascii="Times New Roman" w:hAnsi="Times New Roman"/>
          <w:sz w:val="24"/>
          <w:szCs w:val="24"/>
        </w:rPr>
        <w:t xml:space="preserve"> </w:t>
      </w:r>
    </w:p>
    <w:p w14:paraId="051EF252" w14:textId="77777777" w:rsidR="00A950CC" w:rsidRPr="00E504C8" w:rsidRDefault="00A950CC" w:rsidP="00A950CC">
      <w:pPr>
        <w:spacing w:before="100" w:beforeAutospacing="1" w:after="100" w:afterAutospacing="1" w:line="240" w:lineRule="auto"/>
        <w:ind w:left="720"/>
        <w:rPr>
          <w:rFonts w:ascii="Times New Roman" w:eastAsia="Times New Roman" w:hAnsi="Times New Roman"/>
          <w:b/>
          <w:bCs/>
          <w:sz w:val="24"/>
          <w:szCs w:val="24"/>
        </w:rPr>
      </w:pPr>
      <w:r w:rsidRPr="00E504C8">
        <w:rPr>
          <w:rFonts w:ascii="Times New Roman" w:hAnsi="Times New Roman"/>
          <w:sz w:val="24"/>
          <w:szCs w:val="24"/>
        </w:rPr>
        <w:t xml:space="preserve">Ohio's wiretapping law is a </w:t>
      </w:r>
      <w:hyperlink r:id="rId2693" w:tooltip="Recording Phone Calls and Conversations" w:history="1">
        <w:r w:rsidRPr="00E504C8">
          <w:rPr>
            <w:rStyle w:val="Hyperlink"/>
            <w:sz w:val="24"/>
            <w:szCs w:val="24"/>
          </w:rPr>
          <w:t>"one-party consent" law</w:t>
        </w:r>
      </w:hyperlink>
      <w:r w:rsidRPr="00E504C8">
        <w:rPr>
          <w:rFonts w:ascii="Times New Roman" w:hAnsi="Times New Roman"/>
          <w:sz w:val="24"/>
          <w:szCs w:val="24"/>
        </w:rPr>
        <w:t xml:space="preserve">. Ohio law makes it a crime to intercept or record any "wire, oral, or electronic communication" </w:t>
      </w:r>
      <w:r w:rsidRPr="00E504C8">
        <w:rPr>
          <w:rStyle w:val="Strong"/>
          <w:rFonts w:ascii="Times New Roman" w:hAnsi="Times New Roman"/>
          <w:sz w:val="24"/>
          <w:szCs w:val="24"/>
        </w:rPr>
        <w:t>unless one party to the conversation consents</w:t>
      </w:r>
      <w:r w:rsidRPr="00E504C8">
        <w:rPr>
          <w:rFonts w:ascii="Times New Roman" w:hAnsi="Times New Roman"/>
          <w:sz w:val="24"/>
          <w:szCs w:val="24"/>
        </w:rPr>
        <w:t>.</w:t>
      </w:r>
      <w:r w:rsidRPr="00E504C8">
        <w:rPr>
          <w:rFonts w:ascii="Times New Roman" w:hAnsi="Times New Roman"/>
          <w:b/>
          <w:bCs/>
          <w:sz w:val="24"/>
          <w:szCs w:val="24"/>
        </w:rPr>
        <w:t xml:space="preserve"> </w:t>
      </w:r>
      <w:hyperlink r:id="rId2694" w:tooltip="http://codes.ohio.gov/orc/2933.52" w:history="1">
        <w:r w:rsidRPr="00E504C8">
          <w:rPr>
            <w:rStyle w:val="Hyperlink"/>
            <w:sz w:val="24"/>
            <w:szCs w:val="24"/>
          </w:rPr>
          <w:t>Ohio Rev. Code § 2933.52</w:t>
        </w:r>
      </w:hyperlink>
      <w:r w:rsidRPr="00E504C8">
        <w:rPr>
          <w:rFonts w:ascii="Times New Roman" w:hAnsi="Times New Roman"/>
          <w:sz w:val="24"/>
          <w:szCs w:val="24"/>
        </w:rPr>
        <w:t xml:space="preserve">. Thus, if you operate in Ohio, you may record a conversation or phone call if you </w:t>
      </w:r>
      <w:proofErr w:type="gramStart"/>
      <w:r w:rsidRPr="00E504C8">
        <w:rPr>
          <w:rFonts w:ascii="Times New Roman" w:hAnsi="Times New Roman"/>
          <w:sz w:val="24"/>
          <w:szCs w:val="24"/>
        </w:rPr>
        <w:t>are</w:t>
      </w:r>
      <w:proofErr w:type="gramEnd"/>
      <w:r w:rsidRPr="00E504C8">
        <w:rPr>
          <w:rFonts w:ascii="Times New Roman" w:hAnsi="Times New Roman"/>
          <w:sz w:val="24"/>
          <w:szCs w:val="24"/>
        </w:rPr>
        <w:t xml:space="preserve"> a party to the conversation or </w:t>
      </w:r>
      <w:proofErr w:type="gramStart"/>
      <w:r w:rsidRPr="00E504C8">
        <w:rPr>
          <w:rFonts w:ascii="Times New Roman" w:hAnsi="Times New Roman"/>
          <w:sz w:val="24"/>
          <w:szCs w:val="24"/>
        </w:rPr>
        <w:t>you get</w:t>
      </w:r>
      <w:proofErr w:type="gramEnd"/>
      <w:r w:rsidRPr="00E504C8">
        <w:rPr>
          <w:rFonts w:ascii="Times New Roman" w:hAnsi="Times New Roman"/>
          <w:sz w:val="24"/>
          <w:szCs w:val="24"/>
        </w:rPr>
        <w:t xml:space="preserve"> permission from one party to the conversation in advance. That said, if you intend to record conversations involving people located in more than one state, you should play it safe and get the consent of all parties. </w:t>
      </w:r>
      <w:hyperlink r:id="rId2695" w:history="1">
        <w:r w:rsidRPr="00E504C8">
          <w:rPr>
            <w:rStyle w:val="Hyperlink"/>
            <w:sz w:val="24"/>
            <w:szCs w:val="24"/>
          </w:rPr>
          <w:t>https://www.dmlp.org/legal-guide/ohio/ohio-recording-law</w:t>
        </w:r>
      </w:hyperlink>
      <w:r w:rsidRPr="00E504C8">
        <w:rPr>
          <w:rFonts w:ascii="Times New Roman" w:hAnsi="Times New Roman"/>
          <w:sz w:val="24"/>
          <w:szCs w:val="24"/>
        </w:rPr>
        <w:t xml:space="preserve"> </w:t>
      </w:r>
    </w:p>
    <w:p w14:paraId="40846BD8" w14:textId="77777777" w:rsidR="00FA7B26" w:rsidRDefault="00FA7B26" w:rsidP="00F326E5">
      <w:pPr>
        <w:pStyle w:val="NoSpacing"/>
        <w:rPr>
          <w:rFonts w:ascii="Arial Black" w:hAnsi="Arial Black"/>
          <w:sz w:val="24"/>
          <w:szCs w:val="24"/>
        </w:rPr>
      </w:pPr>
    </w:p>
    <w:p w14:paraId="6E7FBDE1" w14:textId="77777777" w:rsidR="00FA7B26" w:rsidRDefault="00FA7B26" w:rsidP="00F326E5">
      <w:pPr>
        <w:pStyle w:val="NoSpacing"/>
        <w:rPr>
          <w:rFonts w:ascii="Arial Black" w:hAnsi="Arial Black"/>
          <w:sz w:val="24"/>
          <w:szCs w:val="24"/>
        </w:rPr>
      </w:pPr>
    </w:p>
    <w:p w14:paraId="05EE8D37" w14:textId="332A07F3" w:rsidR="00FA7B26" w:rsidRDefault="00FA7B26" w:rsidP="00F326E5">
      <w:pPr>
        <w:pStyle w:val="NoSpacing"/>
        <w:rPr>
          <w:rFonts w:ascii="Arial Black" w:hAnsi="Arial Black"/>
          <w:sz w:val="24"/>
          <w:szCs w:val="24"/>
        </w:rPr>
      </w:pPr>
      <w:r>
        <w:rPr>
          <w:rFonts w:ascii="Arial Black" w:hAnsi="Arial Black"/>
          <w:sz w:val="24"/>
          <w:szCs w:val="24"/>
        </w:rPr>
        <w:t>16-34</w:t>
      </w:r>
    </w:p>
    <w:p w14:paraId="7ED57073" w14:textId="5D47F558" w:rsidR="00FA7B26" w:rsidRDefault="00FA7B26" w:rsidP="00F326E5">
      <w:pPr>
        <w:pStyle w:val="NoSpacing"/>
        <w:rPr>
          <w:rFonts w:ascii="Arial Black" w:hAnsi="Arial Black"/>
          <w:sz w:val="24"/>
          <w:szCs w:val="24"/>
        </w:rPr>
      </w:pPr>
    </w:p>
    <w:p w14:paraId="7C2BD847" w14:textId="77777777" w:rsidR="00FA7B26" w:rsidRPr="004820BE" w:rsidRDefault="00FA7B26" w:rsidP="00FA7B26">
      <w:pPr>
        <w:spacing w:before="100" w:beforeAutospacing="1" w:after="100" w:afterAutospacing="1" w:line="240" w:lineRule="auto"/>
        <w:rPr>
          <w:rFonts w:ascii="Arial Black" w:eastAsia="Times New Roman" w:hAnsi="Arial Black"/>
          <w:sz w:val="28"/>
          <w:szCs w:val="28"/>
        </w:rPr>
      </w:pPr>
      <w:r w:rsidRPr="004820BE">
        <w:rPr>
          <w:rFonts w:ascii="Arial Black" w:eastAsia="Times New Roman" w:hAnsi="Arial Black"/>
          <w:sz w:val="28"/>
          <w:szCs w:val="28"/>
        </w:rPr>
        <w:t xml:space="preserve">MA: </w:t>
      </w:r>
      <w:r>
        <w:rPr>
          <w:rFonts w:ascii="Arial Black" w:eastAsia="Times New Roman" w:hAnsi="Arial Black"/>
          <w:sz w:val="28"/>
          <w:szCs w:val="28"/>
        </w:rPr>
        <w:t>CAPTAIN -– CONV. 5 COUNTS LARCENY – VENDOR GIFTS – JUDGE ALLOWED PROS. TELL JURY OPENING STATEMENT HE ALSO “SWAPPED” RECRUITS CLOTHING</w:t>
      </w:r>
    </w:p>
    <w:p w14:paraId="2C9C1DB1" w14:textId="22A20161" w:rsidR="00FA7B26" w:rsidRDefault="00FA7B26" w:rsidP="00FA7B26">
      <w:pPr>
        <w:pStyle w:val="NoSpacing"/>
        <w:rPr>
          <w:rStyle w:val="Hyperlink"/>
          <w:sz w:val="24"/>
          <w:szCs w:val="24"/>
        </w:rPr>
      </w:pPr>
      <w:r>
        <w:rPr>
          <w:rFonts w:ascii="Times New Roman" w:eastAsia="Times New Roman" w:hAnsi="Times New Roman"/>
          <w:sz w:val="24"/>
          <w:szCs w:val="24"/>
        </w:rPr>
        <w:t xml:space="preserve">On April 27, 2019, in </w:t>
      </w:r>
      <w:r w:rsidRPr="0040733F">
        <w:rPr>
          <w:rFonts w:ascii="Times New Roman" w:eastAsia="Times New Roman" w:hAnsi="Times New Roman"/>
          <w:sz w:val="24"/>
          <w:szCs w:val="24"/>
          <w:u w:val="single"/>
        </w:rPr>
        <w:t>Commonwealth v. Edward A. Scigliano, Fourth</w:t>
      </w:r>
      <w:r>
        <w:rPr>
          <w:rFonts w:ascii="Times New Roman" w:eastAsia="Times New Roman" w:hAnsi="Times New Roman"/>
          <w:sz w:val="24"/>
          <w:szCs w:val="24"/>
        </w:rPr>
        <w:t xml:space="preserve">,  the Commonwealth of Massachusetts Appeals Court, held in a summary decision (3 to 0) that his conviction is affirmed.  </w:t>
      </w:r>
      <w:r w:rsidRPr="0040733F">
        <w:rPr>
          <w:rFonts w:ascii="Times New Roman" w:eastAsia="Times New Roman" w:hAnsi="Times New Roman"/>
          <w:sz w:val="24"/>
          <w:szCs w:val="24"/>
        </w:rPr>
        <w:t>“</w:t>
      </w:r>
      <w:r w:rsidRPr="0040733F">
        <w:rPr>
          <w:rFonts w:ascii="Times New Roman" w:hAnsi="Times New Roman"/>
          <w:sz w:val="24"/>
          <w:szCs w:val="24"/>
        </w:rPr>
        <w:t>The Commonwealth properly introduced evidence that the defendant previously "swapped" goods purchased by the city for other goods from which he derived a personal benefit because it "tended to rebut the defense of innocent intent and make more probable the existence of the requisite illegal intent, that of committing a larceny," during the transactions alleged in the indictments.”</w:t>
      </w:r>
      <w:r>
        <w:rPr>
          <w:rFonts w:ascii="Times New Roman" w:hAnsi="Times New Roman"/>
          <w:sz w:val="24"/>
          <w:szCs w:val="24"/>
        </w:rPr>
        <w:t xml:space="preserve"> </w:t>
      </w:r>
      <w:hyperlink r:id="rId2696" w:history="1">
        <w:r w:rsidRPr="002F2B5F">
          <w:rPr>
            <w:rStyle w:val="Hyperlink"/>
            <w:sz w:val="24"/>
            <w:szCs w:val="24"/>
          </w:rPr>
          <w:t>https://public.fastcase.com/Wl%2B2t%2BeVuI35%2FN70vAMFZiqDSx6E0DPFzBbugd7jDu14ZTk4ABsQUj2F%2Fw3WIuoM</w:t>
        </w:r>
      </w:hyperlink>
    </w:p>
    <w:p w14:paraId="468EC205" w14:textId="77777777" w:rsidR="00FA7B26" w:rsidRDefault="00FA7B26" w:rsidP="00FA7B26">
      <w:pPr>
        <w:spacing w:before="100" w:beforeAutospacing="1" w:after="100" w:afterAutospacing="1" w:line="240" w:lineRule="auto"/>
        <w:rPr>
          <w:rFonts w:ascii="Times New Roman" w:eastAsia="Times New Roman" w:hAnsi="Times New Roman"/>
          <w:b/>
          <w:bCs/>
          <w:sz w:val="24"/>
          <w:szCs w:val="24"/>
        </w:rPr>
      </w:pPr>
      <w:r w:rsidRPr="00BB7625">
        <w:rPr>
          <w:rFonts w:ascii="Times New Roman" w:eastAsia="Times New Roman" w:hAnsi="Times New Roman"/>
          <w:b/>
          <w:bCs/>
          <w:sz w:val="24"/>
          <w:szCs w:val="24"/>
        </w:rPr>
        <w:t>Legal Lessons Learned:</w:t>
      </w:r>
      <w:r>
        <w:rPr>
          <w:rFonts w:ascii="Times New Roman" w:eastAsia="Times New Roman" w:hAnsi="Times New Roman"/>
          <w:b/>
          <w:bCs/>
          <w:sz w:val="24"/>
          <w:szCs w:val="24"/>
        </w:rPr>
        <w:t xml:space="preserve"> The prosecutor properly obtained Trial Judge’s permission to discuss the uncharged act of “swapping” recruit clothes. </w:t>
      </w:r>
    </w:p>
    <w:p w14:paraId="0C698137" w14:textId="77777777" w:rsidR="00FA7B26" w:rsidRDefault="00FA7B26" w:rsidP="00FA7B26">
      <w:pPr>
        <w:pStyle w:val="NoSpacing"/>
        <w:rPr>
          <w:rFonts w:ascii="Arial Black" w:hAnsi="Arial Black"/>
          <w:sz w:val="24"/>
          <w:szCs w:val="24"/>
        </w:rPr>
      </w:pPr>
    </w:p>
    <w:p w14:paraId="06A65F06" w14:textId="77777777" w:rsidR="00FA7B26" w:rsidRDefault="00FA7B26" w:rsidP="00F326E5">
      <w:pPr>
        <w:pStyle w:val="NoSpacing"/>
        <w:rPr>
          <w:rFonts w:ascii="Arial Black" w:hAnsi="Arial Black"/>
          <w:sz w:val="24"/>
          <w:szCs w:val="24"/>
        </w:rPr>
      </w:pPr>
    </w:p>
    <w:p w14:paraId="25867CD2" w14:textId="2BAC28CF" w:rsidR="000F18B0" w:rsidRDefault="000F18B0" w:rsidP="00F326E5">
      <w:pPr>
        <w:pStyle w:val="NoSpacing"/>
        <w:rPr>
          <w:rFonts w:ascii="Arial Black" w:hAnsi="Arial Black"/>
          <w:sz w:val="24"/>
          <w:szCs w:val="24"/>
        </w:rPr>
      </w:pPr>
      <w:r>
        <w:rPr>
          <w:rFonts w:ascii="Arial Black" w:hAnsi="Arial Black"/>
          <w:sz w:val="24"/>
          <w:szCs w:val="24"/>
        </w:rPr>
        <w:t>16-33</w:t>
      </w:r>
    </w:p>
    <w:p w14:paraId="6897EAD8" w14:textId="27195C2D" w:rsidR="000F18B0" w:rsidRDefault="000F18B0" w:rsidP="00F326E5">
      <w:pPr>
        <w:pStyle w:val="NoSpacing"/>
        <w:rPr>
          <w:rFonts w:ascii="Arial Black" w:hAnsi="Arial Black"/>
          <w:sz w:val="24"/>
          <w:szCs w:val="24"/>
        </w:rPr>
      </w:pPr>
    </w:p>
    <w:p w14:paraId="245DE339" w14:textId="77777777" w:rsidR="000F18B0" w:rsidRPr="00BE2E07" w:rsidRDefault="000F18B0" w:rsidP="000F18B0">
      <w:pPr>
        <w:pStyle w:val="NoSpacing"/>
        <w:rPr>
          <w:rFonts w:ascii="Arial Black" w:hAnsi="Arial Black"/>
          <w:b/>
          <w:bCs/>
          <w:sz w:val="28"/>
          <w:szCs w:val="28"/>
        </w:rPr>
      </w:pPr>
      <w:bookmarkStart w:id="599" w:name="_Hlk39772923"/>
      <w:bookmarkStart w:id="600" w:name="_Hlk41155291"/>
      <w:r>
        <w:rPr>
          <w:rFonts w:ascii="Arial Black" w:hAnsi="Arial Black"/>
          <w:bCs/>
          <w:sz w:val="28"/>
          <w:szCs w:val="28"/>
        </w:rPr>
        <w:t xml:space="preserve">CA: PROBATIONARY FF – FIRED DURING 1-YR PROB.  PERIOD – NO RIGHT TO CIVIL SERVICE HEARING </w:t>
      </w:r>
    </w:p>
    <w:p w14:paraId="40E2D9BF" w14:textId="77777777" w:rsidR="000F18B0" w:rsidRDefault="000F18B0" w:rsidP="000F18B0">
      <w:pPr>
        <w:pStyle w:val="NoSpacing"/>
        <w:rPr>
          <w:b/>
          <w:bCs/>
          <w:sz w:val="24"/>
          <w:szCs w:val="24"/>
        </w:rPr>
      </w:pPr>
    </w:p>
    <w:p w14:paraId="59C85EA2"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Cs/>
          <w:sz w:val="24"/>
          <w:szCs w:val="24"/>
        </w:rPr>
        <w:t xml:space="preserve">On April 24, 2020, in </w:t>
      </w:r>
      <w:r w:rsidRPr="00D61723">
        <w:rPr>
          <w:rFonts w:ascii="Times New Roman" w:hAnsi="Times New Roman"/>
          <w:bCs/>
          <w:sz w:val="24"/>
          <w:szCs w:val="24"/>
          <w:u w:val="single"/>
        </w:rPr>
        <w:t>Josh McCauley v. City of San Diego</w:t>
      </w:r>
      <w:r w:rsidRPr="00D61723">
        <w:rPr>
          <w:rFonts w:ascii="Times New Roman" w:hAnsi="Times New Roman"/>
          <w:bCs/>
          <w:sz w:val="24"/>
          <w:szCs w:val="24"/>
        </w:rPr>
        <w:t xml:space="preserve">, the California Court of Appeal (Fourth Appellate District / Division One) held (3 to 0) in unpublished opinion, that the trial court properly granted the City’s motion to dismiss.   Probationary firefighters have no civil service protection, are not covered by the Collective Bargaining Agreement, and Fire Academy Manual is not a contract of employment. Court did not discuss why he was fired, other than: “He met with the Department Chief to discuss the failure to be hired permanently. The City's attorney represented that McCauley had filed an internal grievance during his employment and it was addressed by the </w:t>
      </w:r>
      <w:proofErr w:type="gramStart"/>
      <w:r w:rsidRPr="00D61723">
        <w:rPr>
          <w:rFonts w:ascii="Times New Roman" w:hAnsi="Times New Roman"/>
          <w:bCs/>
          <w:sz w:val="24"/>
          <w:szCs w:val="24"/>
        </w:rPr>
        <w:t>City</w:t>
      </w:r>
      <w:proofErr w:type="gramEnd"/>
      <w:r w:rsidRPr="00D61723">
        <w:rPr>
          <w:rFonts w:ascii="Times New Roman" w:hAnsi="Times New Roman"/>
          <w:bCs/>
          <w:sz w:val="24"/>
          <w:szCs w:val="24"/>
        </w:rPr>
        <w:t>.”</w:t>
      </w:r>
    </w:p>
    <w:p w14:paraId="76E35C6B" w14:textId="77777777" w:rsidR="000F18B0" w:rsidRPr="00D61723" w:rsidRDefault="000F18B0" w:rsidP="000F18B0">
      <w:pPr>
        <w:pStyle w:val="NoSpacing"/>
        <w:rPr>
          <w:rFonts w:ascii="Times New Roman" w:hAnsi="Times New Roman"/>
          <w:b/>
          <w:bCs/>
          <w:sz w:val="24"/>
          <w:szCs w:val="24"/>
        </w:rPr>
      </w:pPr>
    </w:p>
    <w:p w14:paraId="24EB6C53" w14:textId="26608A4A" w:rsidR="000F18B0" w:rsidRPr="00D61723" w:rsidRDefault="000F18B0" w:rsidP="000F18B0">
      <w:pPr>
        <w:pStyle w:val="NoSpacing"/>
        <w:ind w:left="720"/>
        <w:rPr>
          <w:rFonts w:ascii="Times New Roman" w:hAnsi="Times New Roman"/>
          <w:b/>
          <w:bCs/>
          <w:sz w:val="24"/>
          <w:szCs w:val="24"/>
        </w:rPr>
      </w:pPr>
      <w:r w:rsidRPr="00D61723">
        <w:rPr>
          <w:rFonts w:ascii="Times New Roman" w:hAnsi="Times New Roman"/>
          <w:bCs/>
          <w:sz w:val="24"/>
          <w:szCs w:val="24"/>
        </w:rPr>
        <w:t xml:space="preserve">“McCauley acknowledges that he is not a party to any collective bargaining agreement. He claims that the Department's Basic Fire Academy Manual (Manual) constituted "an express written contract ‘with the City that governed the terms of </w:t>
      </w:r>
      <w:proofErr w:type="gramStart"/>
      <w:r w:rsidRPr="00D61723">
        <w:rPr>
          <w:rFonts w:ascii="Times New Roman" w:hAnsi="Times New Roman"/>
          <w:bCs/>
          <w:sz w:val="24"/>
          <w:szCs w:val="24"/>
        </w:rPr>
        <w:t>his</w:t>
      </w:r>
      <w:proofErr w:type="gramEnd"/>
      <w:r w:rsidRPr="00D61723">
        <w:rPr>
          <w:rFonts w:ascii="Times New Roman" w:hAnsi="Times New Roman"/>
          <w:bCs/>
          <w:sz w:val="24"/>
          <w:szCs w:val="24"/>
        </w:rPr>
        <w:t xml:space="preserve"> probationary status. He attaches a copy of the Manual to his complaint, but neither in his complaint nor in his brief on appeal does he identify any portion of that Manual that governs his probationary employment.</w:t>
      </w:r>
      <w:r>
        <w:rPr>
          <w:rFonts w:ascii="Times New Roman" w:hAnsi="Times New Roman"/>
          <w:bCs/>
          <w:sz w:val="24"/>
          <w:szCs w:val="24"/>
        </w:rPr>
        <w:t xml:space="preserve"> *** </w:t>
      </w:r>
      <w:r w:rsidRPr="00D61723">
        <w:rPr>
          <w:rFonts w:ascii="Times New Roman" w:hAnsi="Times New Roman"/>
          <w:bCs/>
          <w:sz w:val="24"/>
          <w:szCs w:val="24"/>
        </w:rPr>
        <w:t xml:space="preserve">Again, the plain, unambiguous words of the Manual refer only to recruits, not to probationary employees. The Manual mentions termination from the Basic Fire Academy, but nothing about probationary employees or the guarantee of a permanent job. The Manual provides neither </w:t>
      </w:r>
      <w:proofErr w:type="gramStart"/>
      <w:r w:rsidRPr="00D61723">
        <w:rPr>
          <w:rFonts w:ascii="Times New Roman" w:hAnsi="Times New Roman"/>
          <w:bCs/>
          <w:sz w:val="24"/>
          <w:szCs w:val="24"/>
        </w:rPr>
        <w:t>conditions</w:t>
      </w:r>
      <w:proofErr w:type="gramEnd"/>
      <w:r w:rsidRPr="00D61723">
        <w:rPr>
          <w:rFonts w:ascii="Times New Roman" w:hAnsi="Times New Roman"/>
          <w:bCs/>
          <w:sz w:val="24"/>
          <w:szCs w:val="24"/>
        </w:rPr>
        <w:t xml:space="preserve"> for permanent employment </w:t>
      </w:r>
      <w:proofErr w:type="gramStart"/>
      <w:r w:rsidRPr="00D61723">
        <w:rPr>
          <w:rFonts w:ascii="Times New Roman" w:hAnsi="Times New Roman"/>
          <w:bCs/>
          <w:sz w:val="24"/>
          <w:szCs w:val="24"/>
        </w:rPr>
        <w:t>not</w:t>
      </w:r>
      <w:proofErr w:type="gramEnd"/>
      <w:r w:rsidRPr="00D61723">
        <w:rPr>
          <w:rFonts w:ascii="Times New Roman" w:hAnsi="Times New Roman"/>
          <w:bCs/>
          <w:sz w:val="24"/>
          <w:szCs w:val="24"/>
        </w:rPr>
        <w:t xml:space="preserve"> entitlement to government employment. McCauley has not identified any regulations of the City or of the Department under which he could state an alternate claim.”</w:t>
      </w:r>
    </w:p>
    <w:p w14:paraId="76A77C9F" w14:textId="77777777" w:rsidR="000F18B0" w:rsidRPr="00D61723" w:rsidRDefault="000F18B0" w:rsidP="000F18B0">
      <w:pPr>
        <w:pStyle w:val="NoSpacing"/>
        <w:ind w:left="720"/>
        <w:rPr>
          <w:rFonts w:ascii="Times New Roman" w:eastAsia="Times New Roman" w:hAnsi="Times New Roman"/>
          <w:b/>
          <w:bCs/>
          <w:sz w:val="24"/>
          <w:szCs w:val="24"/>
        </w:rPr>
      </w:pPr>
      <w:hyperlink r:id="rId2697" w:history="1">
        <w:r w:rsidRPr="00D61723">
          <w:rPr>
            <w:rStyle w:val="Hyperlink"/>
            <w:rFonts w:ascii="Times New Roman" w:hAnsi="Times New Roman"/>
            <w:b/>
            <w:sz w:val="24"/>
            <w:szCs w:val="24"/>
          </w:rPr>
          <w:t>https://www.courts.ca.gov/opinions/nonpub/D074721.PDF</w:t>
        </w:r>
      </w:hyperlink>
      <w:r w:rsidRPr="00D61723">
        <w:rPr>
          <w:rFonts w:ascii="Times New Roman" w:eastAsia="Times New Roman" w:hAnsi="Times New Roman"/>
          <w:bCs/>
          <w:sz w:val="24"/>
          <w:szCs w:val="24"/>
        </w:rPr>
        <w:t xml:space="preserve"> </w:t>
      </w:r>
      <w:bookmarkEnd w:id="599"/>
    </w:p>
    <w:p w14:paraId="12F1FFEB" w14:textId="77777777" w:rsidR="000F18B0" w:rsidRDefault="000F18B0" w:rsidP="00F326E5">
      <w:pPr>
        <w:pStyle w:val="NoSpacing"/>
        <w:rPr>
          <w:rFonts w:ascii="Arial Black" w:hAnsi="Arial Black"/>
          <w:sz w:val="24"/>
          <w:szCs w:val="24"/>
        </w:rPr>
      </w:pPr>
    </w:p>
    <w:p w14:paraId="56DD36D0" w14:textId="3DEFB717" w:rsidR="00407100" w:rsidRPr="00D61723" w:rsidRDefault="00407100" w:rsidP="00407100">
      <w:pPr>
        <w:pStyle w:val="NoSpacing"/>
        <w:rPr>
          <w:rFonts w:ascii="Times New Roman" w:hAnsi="Times New Roman"/>
          <w:b/>
          <w:bCs/>
          <w:sz w:val="24"/>
          <w:szCs w:val="24"/>
        </w:rPr>
      </w:pPr>
      <w:bookmarkStart w:id="601" w:name="_Hlk40516796"/>
      <w:r w:rsidRPr="00D61723">
        <w:rPr>
          <w:rFonts w:ascii="Times New Roman" w:hAnsi="Times New Roman"/>
          <w:b/>
          <w:bCs/>
          <w:sz w:val="24"/>
          <w:szCs w:val="24"/>
        </w:rPr>
        <w:t xml:space="preserve">Legal Lessons Learned: Probationary firefighters are not covered by civil service or </w:t>
      </w:r>
      <w:r w:rsidR="000164B1">
        <w:rPr>
          <w:rFonts w:ascii="Times New Roman" w:hAnsi="Times New Roman"/>
          <w:b/>
          <w:bCs/>
          <w:sz w:val="24"/>
          <w:szCs w:val="24"/>
        </w:rPr>
        <w:t xml:space="preserve">most </w:t>
      </w:r>
      <w:r w:rsidRPr="00D61723">
        <w:rPr>
          <w:rFonts w:ascii="Times New Roman" w:hAnsi="Times New Roman"/>
          <w:b/>
          <w:bCs/>
          <w:sz w:val="24"/>
          <w:szCs w:val="24"/>
        </w:rPr>
        <w:t>CBA</w:t>
      </w:r>
      <w:r w:rsidR="000164B1">
        <w:rPr>
          <w:rFonts w:ascii="Times New Roman" w:hAnsi="Times New Roman"/>
          <w:b/>
          <w:bCs/>
          <w:sz w:val="24"/>
          <w:szCs w:val="24"/>
        </w:rPr>
        <w:t>s</w:t>
      </w:r>
      <w:r w:rsidRPr="00D61723">
        <w:rPr>
          <w:rFonts w:ascii="Times New Roman" w:hAnsi="Times New Roman"/>
          <w:b/>
          <w:bCs/>
          <w:sz w:val="24"/>
          <w:szCs w:val="24"/>
        </w:rPr>
        <w:t xml:space="preserve">. </w:t>
      </w:r>
    </w:p>
    <w:bookmarkEnd w:id="601"/>
    <w:p w14:paraId="7F8C9FE0" w14:textId="77777777" w:rsidR="00407100" w:rsidRDefault="00407100" w:rsidP="00407100">
      <w:pPr>
        <w:pStyle w:val="NoSpacing"/>
        <w:ind w:firstLine="720"/>
        <w:rPr>
          <w:rFonts w:ascii="Times New Roman" w:hAnsi="Times New Roman"/>
          <w:bCs/>
          <w:sz w:val="24"/>
          <w:szCs w:val="24"/>
        </w:rPr>
      </w:pPr>
    </w:p>
    <w:p w14:paraId="50DE5E2B" w14:textId="77777777" w:rsidR="00407100" w:rsidRPr="00D61723" w:rsidRDefault="00407100" w:rsidP="00407100">
      <w:pPr>
        <w:pStyle w:val="NoSpacing"/>
        <w:ind w:firstLine="720"/>
        <w:rPr>
          <w:rFonts w:ascii="Times New Roman" w:hAnsi="Times New Roman"/>
          <w:b/>
          <w:bCs/>
          <w:sz w:val="24"/>
          <w:szCs w:val="24"/>
        </w:rPr>
      </w:pPr>
      <w:r w:rsidRPr="00D61723">
        <w:rPr>
          <w:rFonts w:ascii="Times New Roman" w:hAnsi="Times New Roman"/>
          <w:bCs/>
          <w:sz w:val="24"/>
          <w:szCs w:val="24"/>
        </w:rPr>
        <w:t>Note:    Court described the limited legal remedies of a probationary firefighter.</w:t>
      </w:r>
    </w:p>
    <w:p w14:paraId="7DCF72F5" w14:textId="77777777" w:rsidR="00407100" w:rsidRPr="00D61723" w:rsidRDefault="00407100" w:rsidP="00407100">
      <w:pPr>
        <w:pStyle w:val="NoSpacing"/>
        <w:ind w:left="1440"/>
        <w:rPr>
          <w:rFonts w:ascii="Times New Roman" w:hAnsi="Times New Roman"/>
          <w:b/>
          <w:bCs/>
          <w:sz w:val="24"/>
          <w:szCs w:val="24"/>
        </w:rPr>
      </w:pPr>
      <w:r w:rsidRPr="00D61723">
        <w:rPr>
          <w:rFonts w:ascii="Times New Roman" w:hAnsi="Times New Roman"/>
          <w:bCs/>
          <w:sz w:val="24"/>
          <w:szCs w:val="24"/>
        </w:rPr>
        <w:t xml:space="preserve">“McCauley had other remedies to pursue employment-related wrongs.  ‘A probationary employee may not be rejected for the exercise of a constitutional right [citation] for engaging in an activity protected by labor statutes.’ (Trustees of Cal. State University v. Public Employment Relations Bd. (1992) 6 Cal.App.4th 1107, 1130; Bogacki, supra,5 Cal.3d at p. 778.) He had statutory rights including the right to pursue a discrimination claim under the Fair Employment and Housing Act and the right to workers' compensation in case of </w:t>
      </w:r>
      <w:proofErr w:type="gramStart"/>
      <w:r w:rsidRPr="00D61723">
        <w:rPr>
          <w:rFonts w:ascii="Times New Roman" w:hAnsi="Times New Roman"/>
          <w:bCs/>
          <w:sz w:val="24"/>
          <w:szCs w:val="24"/>
        </w:rPr>
        <w:t>injury.”</w:t>
      </w:r>
      <w:proofErr w:type="gramEnd"/>
    </w:p>
    <w:bookmarkEnd w:id="600"/>
    <w:p w14:paraId="1A7A0AF5" w14:textId="77777777" w:rsidR="00407100" w:rsidRPr="00D61723" w:rsidRDefault="00407100" w:rsidP="00407100">
      <w:pPr>
        <w:pStyle w:val="NoSpacing"/>
        <w:rPr>
          <w:rFonts w:ascii="Times New Roman" w:eastAsia="Times New Roman" w:hAnsi="Times New Roman"/>
          <w:b/>
          <w:bCs/>
          <w:sz w:val="24"/>
          <w:szCs w:val="24"/>
        </w:rPr>
      </w:pPr>
    </w:p>
    <w:p w14:paraId="5703067C" w14:textId="77777777" w:rsidR="00407100" w:rsidRPr="00D61723" w:rsidRDefault="00407100" w:rsidP="00407100">
      <w:pPr>
        <w:pStyle w:val="NoSpacing"/>
        <w:rPr>
          <w:rFonts w:ascii="Times New Roman" w:eastAsia="Times New Roman" w:hAnsi="Times New Roman"/>
          <w:b/>
          <w:bCs/>
          <w:sz w:val="24"/>
          <w:szCs w:val="24"/>
        </w:rPr>
      </w:pPr>
    </w:p>
    <w:p w14:paraId="500E0598" w14:textId="77777777" w:rsidR="000F18B0" w:rsidRDefault="000F18B0" w:rsidP="00F326E5">
      <w:pPr>
        <w:pStyle w:val="NoSpacing"/>
        <w:rPr>
          <w:rFonts w:ascii="Arial Black" w:hAnsi="Arial Black"/>
          <w:sz w:val="24"/>
          <w:szCs w:val="24"/>
        </w:rPr>
      </w:pPr>
    </w:p>
    <w:p w14:paraId="2476742A" w14:textId="336F4DF2" w:rsidR="000F18B0" w:rsidRDefault="000F18B0" w:rsidP="00F326E5">
      <w:pPr>
        <w:pStyle w:val="NoSpacing"/>
        <w:rPr>
          <w:rFonts w:ascii="Arial Black" w:hAnsi="Arial Black"/>
          <w:sz w:val="24"/>
          <w:szCs w:val="24"/>
        </w:rPr>
      </w:pPr>
      <w:r>
        <w:rPr>
          <w:rFonts w:ascii="Arial Black" w:hAnsi="Arial Black"/>
          <w:sz w:val="24"/>
          <w:szCs w:val="24"/>
        </w:rPr>
        <w:t>16-32</w:t>
      </w:r>
    </w:p>
    <w:p w14:paraId="64796BAE" w14:textId="77777777" w:rsidR="000F18B0" w:rsidRDefault="000F18B0" w:rsidP="00F326E5">
      <w:pPr>
        <w:pStyle w:val="NoSpacing"/>
        <w:rPr>
          <w:rFonts w:ascii="Arial Black" w:hAnsi="Arial Black"/>
          <w:sz w:val="24"/>
          <w:szCs w:val="24"/>
        </w:rPr>
      </w:pPr>
    </w:p>
    <w:p w14:paraId="670A788F" w14:textId="77777777" w:rsidR="000F18B0" w:rsidRDefault="000F18B0" w:rsidP="000F18B0">
      <w:pPr>
        <w:pStyle w:val="NoSpacing"/>
        <w:rPr>
          <w:rFonts w:ascii="Arial Black" w:hAnsi="Arial Black"/>
          <w:sz w:val="28"/>
          <w:szCs w:val="28"/>
        </w:rPr>
      </w:pPr>
      <w:r>
        <w:rPr>
          <w:rFonts w:ascii="Arial Black" w:hAnsi="Arial Black"/>
          <w:sz w:val="28"/>
          <w:szCs w:val="28"/>
        </w:rPr>
        <w:t xml:space="preserve">NY: BULLYING – VOL. FF SUSPENDED – FIRED WHEN WALKED OUT AT START OF PRE-DISCIPLINAY HEARING </w:t>
      </w:r>
    </w:p>
    <w:p w14:paraId="17BFEB7B" w14:textId="77777777" w:rsidR="000F18B0" w:rsidRDefault="000F18B0" w:rsidP="000F18B0">
      <w:pPr>
        <w:pStyle w:val="NoSpacing"/>
      </w:pPr>
    </w:p>
    <w:p w14:paraId="4051EB6B" w14:textId="7F4A3EFA" w:rsidR="000F18B0" w:rsidRDefault="000F18B0" w:rsidP="000F18B0">
      <w:pPr>
        <w:pStyle w:val="NoSpacing"/>
        <w:rPr>
          <w:rFonts w:ascii="Times New Roman" w:hAnsi="Times New Roman"/>
          <w:bCs/>
          <w:sz w:val="24"/>
          <w:szCs w:val="24"/>
        </w:rPr>
      </w:pPr>
      <w:r w:rsidRPr="00D61723">
        <w:rPr>
          <w:rFonts w:ascii="Times New Roman" w:hAnsi="Times New Roman"/>
          <w:bCs/>
          <w:sz w:val="24"/>
          <w:szCs w:val="24"/>
        </w:rPr>
        <w:t xml:space="preserve">On April 23, 2020, in </w:t>
      </w:r>
      <w:r w:rsidRPr="00D61723">
        <w:rPr>
          <w:rFonts w:ascii="Times New Roman" w:hAnsi="Times New Roman"/>
          <w:bCs/>
          <w:sz w:val="24"/>
          <w:szCs w:val="24"/>
          <w:u w:val="single"/>
        </w:rPr>
        <w:t>Andrew Lerer v. Raymond Canario, &amp; Village of Spring Valley, &amp; Spring Valley Fire Department</w:t>
      </w:r>
      <w:r w:rsidRPr="00D61723">
        <w:rPr>
          <w:rFonts w:ascii="Times New Roman" w:hAnsi="Times New Roman"/>
          <w:bCs/>
          <w:sz w:val="24"/>
          <w:szCs w:val="24"/>
        </w:rPr>
        <w:t>, U.S. District Court Judge Louis Briccetti, United States District Court for the Southern District of New</w:t>
      </w:r>
    </w:p>
    <w:p w14:paraId="21C14A2E" w14:textId="77777777" w:rsidR="000F18B0" w:rsidRPr="00D61723" w:rsidRDefault="000F18B0" w:rsidP="000F18B0">
      <w:pPr>
        <w:pStyle w:val="NoSpacing"/>
        <w:rPr>
          <w:rFonts w:ascii="Times New Roman" w:hAnsi="Times New Roman"/>
          <w:b/>
          <w:bCs/>
          <w:sz w:val="24"/>
          <w:szCs w:val="24"/>
        </w:rPr>
      </w:pPr>
      <w:proofErr w:type="gramStart"/>
      <w:r w:rsidRPr="00D61723">
        <w:rPr>
          <w:rFonts w:ascii="Times New Roman" w:hAnsi="Times New Roman"/>
          <w:bCs/>
          <w:sz w:val="24"/>
          <w:szCs w:val="24"/>
        </w:rPr>
        <w:t>York,</w:t>
      </w:r>
      <w:proofErr w:type="gramEnd"/>
      <w:r w:rsidRPr="00D61723">
        <w:rPr>
          <w:rFonts w:ascii="Times New Roman" w:hAnsi="Times New Roman"/>
          <w:bCs/>
          <w:sz w:val="24"/>
          <w:szCs w:val="24"/>
        </w:rPr>
        <w:t xml:space="preserve"> granted the defendants’ motion to dismiss.   The volunteer firefighter, who filed this lawsuit </w:t>
      </w:r>
      <w:r w:rsidRPr="00D61723">
        <w:rPr>
          <w:rFonts w:ascii="Times New Roman" w:hAnsi="Times New Roman"/>
          <w:bCs/>
          <w:i/>
          <w:iCs/>
          <w:sz w:val="24"/>
          <w:szCs w:val="24"/>
        </w:rPr>
        <w:t>pro se</w:t>
      </w:r>
      <w:r w:rsidRPr="00D61723">
        <w:rPr>
          <w:rFonts w:ascii="Times New Roman" w:hAnsi="Times New Roman"/>
          <w:bCs/>
          <w:sz w:val="24"/>
          <w:szCs w:val="24"/>
        </w:rPr>
        <w:t xml:space="preserve"> [without an attorney], showed up for his </w:t>
      </w:r>
      <w:proofErr w:type="gramStart"/>
      <w:r w:rsidRPr="00D61723">
        <w:rPr>
          <w:rFonts w:ascii="Times New Roman" w:hAnsi="Times New Roman"/>
          <w:bCs/>
          <w:sz w:val="24"/>
          <w:szCs w:val="24"/>
        </w:rPr>
        <w:t>termination hearing</w:t>
      </w:r>
      <w:proofErr w:type="gramEnd"/>
      <w:r w:rsidRPr="00D61723">
        <w:rPr>
          <w:rFonts w:ascii="Times New Roman" w:hAnsi="Times New Roman"/>
          <w:bCs/>
          <w:sz w:val="24"/>
          <w:szCs w:val="24"/>
        </w:rPr>
        <w:t xml:space="preserve"> at 6:53 pm, but walked out before it started at 7:00 pm.  </w:t>
      </w:r>
    </w:p>
    <w:p w14:paraId="0F47862E" w14:textId="77777777" w:rsidR="000F18B0" w:rsidRPr="00D61723" w:rsidRDefault="000F18B0" w:rsidP="000F18B0">
      <w:pPr>
        <w:pStyle w:val="NoSpacing"/>
        <w:rPr>
          <w:rFonts w:ascii="Times New Roman" w:hAnsi="Times New Roman"/>
          <w:b/>
          <w:bCs/>
          <w:sz w:val="24"/>
          <w:szCs w:val="24"/>
        </w:rPr>
      </w:pPr>
    </w:p>
    <w:p w14:paraId="60413562" w14:textId="45F3406B" w:rsidR="000F18B0" w:rsidRDefault="000F18B0" w:rsidP="000F18B0">
      <w:pPr>
        <w:pStyle w:val="NoSpacing"/>
        <w:ind w:left="720"/>
        <w:rPr>
          <w:rFonts w:ascii="Arial Black" w:hAnsi="Arial Black"/>
          <w:sz w:val="24"/>
          <w:szCs w:val="24"/>
        </w:rPr>
      </w:pPr>
      <w:r w:rsidRPr="00D61723">
        <w:rPr>
          <w:rFonts w:ascii="Times New Roman" w:hAnsi="Times New Roman"/>
          <w:bCs/>
          <w:sz w:val="24"/>
          <w:szCs w:val="24"/>
        </w:rPr>
        <w:t xml:space="preserve">“Once an employer has knowledge of some type of workplace harassment or improper conduct, ‘the law imposes upon the employer a duty to take reasonable steps to eliminate it.’ </w:t>
      </w:r>
      <w:r w:rsidRPr="00D61723">
        <w:rPr>
          <w:rFonts w:ascii="Times New Roman" w:hAnsi="Times New Roman"/>
          <w:bCs/>
          <w:sz w:val="24"/>
          <w:szCs w:val="24"/>
          <w:u w:val="single"/>
        </w:rPr>
        <w:t>Torres v. Pisano</w:t>
      </w:r>
      <w:r w:rsidRPr="00D61723">
        <w:rPr>
          <w:rFonts w:ascii="Times New Roman" w:hAnsi="Times New Roman"/>
          <w:bCs/>
          <w:sz w:val="24"/>
          <w:szCs w:val="24"/>
        </w:rPr>
        <w:t xml:space="preserve">, 116 F.3d 625, 636 (2d Cir. 1997). Under the circumstances, that defendants provisionally denied plaintiff, pending a hearing and determination, access to municipal property and opportunities to respond to fire alarms or otherwise participate in SVFD activities does not plausibly suggest defendants exercised governmental power without a reasonable justification in the service of a legitimate governmental interest. </w:t>
      </w:r>
      <w:hyperlink r:id="rId2698" w:history="1">
        <w:r w:rsidRPr="00D61723">
          <w:rPr>
            <w:rStyle w:val="Hyperlink"/>
            <w:rFonts w:ascii="Times New Roman" w:hAnsi="Times New Roman"/>
            <w:b/>
            <w:sz w:val="24"/>
            <w:szCs w:val="24"/>
          </w:rPr>
          <w:t>https://public.fastcase.com/Wl%2B2t%2BeVuI35%2FN70vAMFZp9w48IhR7rqnPPjn28%2FbaO7JZNoqz%2Fb8m3w7iUI6Fbj</w:t>
        </w:r>
      </w:hyperlink>
      <w:r>
        <w:rPr>
          <w:rFonts w:ascii="Arial Black" w:hAnsi="Arial Black"/>
          <w:sz w:val="24"/>
          <w:szCs w:val="24"/>
        </w:rPr>
        <w:br/>
      </w:r>
    </w:p>
    <w:p w14:paraId="6128CC35"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
          <w:bCs/>
          <w:sz w:val="24"/>
          <w:szCs w:val="24"/>
        </w:rPr>
        <w:t xml:space="preserve">Legal Lessons Learned: Fire Chief acted promptly in suspending the firefighter; when he walks out of his </w:t>
      </w:r>
      <w:r>
        <w:rPr>
          <w:rFonts w:ascii="Times New Roman" w:hAnsi="Times New Roman"/>
          <w:b/>
          <w:bCs/>
          <w:sz w:val="24"/>
          <w:szCs w:val="24"/>
        </w:rPr>
        <w:t>pre-</w:t>
      </w:r>
      <w:r w:rsidRPr="00D61723">
        <w:rPr>
          <w:rFonts w:ascii="Times New Roman" w:hAnsi="Times New Roman"/>
          <w:b/>
          <w:bCs/>
          <w:sz w:val="24"/>
          <w:szCs w:val="24"/>
        </w:rPr>
        <w:t>termination hearing he can hardly complain about lack of due process.</w:t>
      </w:r>
    </w:p>
    <w:p w14:paraId="4F85832B" w14:textId="77777777" w:rsidR="000F18B0" w:rsidRDefault="000F18B0" w:rsidP="00F326E5">
      <w:pPr>
        <w:pStyle w:val="NoSpacing"/>
        <w:rPr>
          <w:rFonts w:ascii="Arial Black" w:hAnsi="Arial Black"/>
          <w:sz w:val="24"/>
          <w:szCs w:val="24"/>
        </w:rPr>
      </w:pPr>
    </w:p>
    <w:p w14:paraId="49948115" w14:textId="77777777" w:rsidR="000F18B0" w:rsidRDefault="000F18B0" w:rsidP="00F326E5">
      <w:pPr>
        <w:pStyle w:val="NoSpacing"/>
        <w:rPr>
          <w:rFonts w:ascii="Arial Black" w:hAnsi="Arial Black"/>
          <w:sz w:val="24"/>
          <w:szCs w:val="24"/>
        </w:rPr>
      </w:pPr>
    </w:p>
    <w:p w14:paraId="1B8F3C10" w14:textId="64FFEF84" w:rsidR="000F18B0" w:rsidRDefault="000F18B0" w:rsidP="00F326E5">
      <w:pPr>
        <w:pStyle w:val="NoSpacing"/>
        <w:rPr>
          <w:rFonts w:ascii="Arial Black" w:hAnsi="Arial Black"/>
          <w:sz w:val="24"/>
          <w:szCs w:val="24"/>
        </w:rPr>
      </w:pPr>
      <w:r>
        <w:rPr>
          <w:rFonts w:ascii="Arial Black" w:hAnsi="Arial Black"/>
          <w:sz w:val="24"/>
          <w:szCs w:val="24"/>
        </w:rPr>
        <w:t>16-31</w:t>
      </w:r>
    </w:p>
    <w:p w14:paraId="2F5857BE" w14:textId="6B2AE6E4" w:rsidR="000F18B0" w:rsidRDefault="000F18B0" w:rsidP="00F326E5">
      <w:pPr>
        <w:pStyle w:val="NoSpacing"/>
        <w:rPr>
          <w:rFonts w:ascii="Arial Black" w:hAnsi="Arial Black"/>
          <w:sz w:val="24"/>
          <w:szCs w:val="24"/>
        </w:rPr>
      </w:pPr>
    </w:p>
    <w:p w14:paraId="1A247882" w14:textId="77777777" w:rsidR="000F18B0" w:rsidRPr="0088009C" w:rsidRDefault="000F18B0" w:rsidP="000F18B0">
      <w:pPr>
        <w:pStyle w:val="NoSpacing"/>
        <w:rPr>
          <w:rFonts w:ascii="Arial Black" w:hAnsi="Arial Black"/>
          <w:sz w:val="28"/>
          <w:szCs w:val="28"/>
        </w:rPr>
      </w:pPr>
      <w:bookmarkStart w:id="602" w:name="_Hlk38953050"/>
      <w:r w:rsidRPr="0088009C">
        <w:rPr>
          <w:rFonts w:ascii="Arial Black" w:hAnsi="Arial Black"/>
          <w:sz w:val="28"/>
          <w:szCs w:val="28"/>
        </w:rPr>
        <w:t xml:space="preserve">UT: </w:t>
      </w:r>
      <w:r>
        <w:rPr>
          <w:rFonts w:ascii="Arial Black" w:hAnsi="Arial Black"/>
          <w:sz w:val="28"/>
          <w:szCs w:val="28"/>
        </w:rPr>
        <w:t xml:space="preserve"> RAPE AT FIRE STATION - ASSISTANT FIRE CHIEF ARRESTED – ALSO ALLEGEDLY RAPED FF -TOWN IMMUNITY</w:t>
      </w:r>
    </w:p>
    <w:p w14:paraId="042FDBD6" w14:textId="77777777" w:rsidR="000F18B0" w:rsidRDefault="000F18B0" w:rsidP="000F18B0">
      <w:pPr>
        <w:pStyle w:val="NormalWeb"/>
      </w:pPr>
      <w:r>
        <w:t xml:space="preserve">On April 22, 2020, in </w:t>
      </w:r>
      <w:r w:rsidRPr="0088009C">
        <w:rPr>
          <w:u w:val="single"/>
        </w:rPr>
        <w:t>Whitney Otteley v. Austin James Corry and Kanosh Town, Utah</w:t>
      </w:r>
      <w:r>
        <w:t xml:space="preserve">, U.S. District Court Judge David Nuffer, U.S. District Court for the District of Utah, granted the Town’s motion to dismiss. Under state law, the Town enjoys governmental immunity, and cannot be sued for “negligent hiring, supervision, or retention.”  The lawsuit against Austin Corry was not dismissed. [See TV Video about new charges - Austin Corry rapes of </w:t>
      </w:r>
      <w:proofErr w:type="gramStart"/>
      <w:r>
        <w:t>an</w:t>
      </w:r>
      <w:proofErr w:type="gramEnd"/>
      <w:r>
        <w:t xml:space="preserve"> duty firefighter:  </w:t>
      </w:r>
      <w:hyperlink r:id="rId2699" w:history="1">
        <w:r w:rsidRPr="00833271">
          <w:rPr>
            <w:rStyle w:val="Hyperlink"/>
          </w:rPr>
          <w:t>https://www.abc4.com/news/justice-files/the-justice-files-a-rape-in-rural-utah/</w:t>
        </w:r>
      </w:hyperlink>
      <w:r>
        <w:t xml:space="preserve"> . Austin Corry’s father, the Fire Chief, was charged and pled guilty to obstruction of justice for not reporting her rape complaint to police.] </w:t>
      </w:r>
    </w:p>
    <w:bookmarkEnd w:id="602"/>
    <w:p w14:paraId="67E8B4FB" w14:textId="4D71827C" w:rsidR="000F18B0" w:rsidRDefault="000F18B0" w:rsidP="000F18B0">
      <w:pPr>
        <w:pStyle w:val="NoSpacing"/>
        <w:rPr>
          <w:rStyle w:val="Hyperlink"/>
        </w:rPr>
      </w:pPr>
      <w:r>
        <w:t xml:space="preserve">“Under the [Governmental Immunity Act of Utah]GIA, as applied in </w:t>
      </w:r>
      <w:r>
        <w:rPr>
          <w:i/>
          <w:iCs/>
        </w:rPr>
        <w:t>Larsen</w:t>
      </w:r>
      <w:r>
        <w:t xml:space="preserve"> [</w:t>
      </w:r>
      <w:r>
        <w:rPr>
          <w:i/>
          <w:iCs/>
        </w:rPr>
        <w:t>v</w:t>
      </w:r>
      <w:r>
        <w:t xml:space="preserve">. </w:t>
      </w:r>
      <w:r>
        <w:rPr>
          <w:i/>
          <w:iCs/>
        </w:rPr>
        <w:t>Davis County School District</w:t>
      </w:r>
      <w:r>
        <w:t xml:space="preserve">, Utah Court of Appeals, Nov. 30, 2017; </w:t>
      </w:r>
      <w:hyperlink r:id="rId2700" w:history="1">
        <w:r w:rsidRPr="00833271">
          <w:rPr>
            <w:rStyle w:val="Hyperlink"/>
          </w:rPr>
          <w:t>https://cases.justia.com/utah/court-of-appeals-published/2017-20160099-ca.pdf?ts=1512166432</w:t>
        </w:r>
      </w:hyperlink>
      <w:r>
        <w:rPr>
          <w:b/>
          <w:bCs/>
        </w:rPr>
        <w:t xml:space="preserve"> </w:t>
      </w:r>
      <w:r>
        <w:rPr>
          <w:i/>
          <w:iCs/>
        </w:rPr>
        <w:t xml:space="preserve"> </w:t>
      </w:r>
      <w:r>
        <w:t>] and explained above, Kanosh is immune from suit because Austin Corry's misconduct (including his assault, battery, false imprisonment, and infliction of mental anguish on Ottley) was a proximate cause of Ottley's claimed injury.</w:t>
      </w:r>
      <w:bookmarkStart w:id="603" w:name="fn42"/>
      <w:r>
        <w:rPr>
          <w:sz w:val="20"/>
          <w:szCs w:val="20"/>
          <w:vertAlign w:val="superscript"/>
        </w:rPr>
        <w:fldChar w:fldCharType="begin"/>
      </w:r>
      <w:r>
        <w:rPr>
          <w:sz w:val="20"/>
          <w:szCs w:val="20"/>
          <w:vertAlign w:val="superscript"/>
        </w:rPr>
        <w:instrText xml:space="preserve"> HYPERLINK "https://public.fastcase.com/" \l "fr42" </w:instrText>
      </w:r>
      <w:r>
        <w:rPr>
          <w:sz w:val="20"/>
          <w:szCs w:val="20"/>
          <w:vertAlign w:val="superscript"/>
        </w:rPr>
      </w:r>
      <w:r>
        <w:rPr>
          <w:sz w:val="20"/>
          <w:szCs w:val="20"/>
          <w:vertAlign w:val="superscript"/>
        </w:rPr>
        <w:fldChar w:fldCharType="separate"/>
      </w:r>
      <w:r>
        <w:rPr>
          <w:rStyle w:val="Hyperlink"/>
          <w:sz w:val="20"/>
          <w:szCs w:val="20"/>
          <w:vertAlign w:val="superscript"/>
        </w:rPr>
        <w:t>42</w:t>
      </w:r>
      <w:r>
        <w:rPr>
          <w:sz w:val="20"/>
          <w:szCs w:val="20"/>
          <w:vertAlign w:val="superscript"/>
        </w:rPr>
        <w:fldChar w:fldCharType="end"/>
      </w:r>
      <w:bookmarkEnd w:id="603"/>
      <w:r>
        <w:rPr>
          <w:sz w:val="20"/>
          <w:szCs w:val="20"/>
          <w:vertAlign w:val="superscript"/>
        </w:rPr>
        <w:t xml:space="preserve"> </w:t>
      </w:r>
      <w:r>
        <w:t xml:space="preserve">Because of this, Ottley fails to state a claim against Kanosh on which relief may be granted as a matter of law.” </w:t>
      </w:r>
      <w:hyperlink r:id="rId2701" w:history="1">
        <w:r w:rsidRPr="00833271">
          <w:rPr>
            <w:rStyle w:val="Hyperlink"/>
          </w:rPr>
          <w:t>https://public.fastcase.com/Wl%2B2t%2BeVuI35%2FN70vAMFZpe9nZQy4%2Fh5OlPwYBiXwZiKHRqMJ6M13sKp4yP4%2F%2BSx</w:t>
        </w:r>
      </w:hyperlink>
    </w:p>
    <w:p w14:paraId="16A7BE9E" w14:textId="3C4878A2" w:rsidR="000F18B0" w:rsidRDefault="000F18B0" w:rsidP="000F18B0">
      <w:pPr>
        <w:pStyle w:val="NoSpacing"/>
        <w:rPr>
          <w:rStyle w:val="Hyperlink"/>
        </w:rPr>
      </w:pPr>
    </w:p>
    <w:p w14:paraId="56F0BAD6" w14:textId="77777777" w:rsidR="000F18B0" w:rsidRPr="00D61723" w:rsidRDefault="000F18B0" w:rsidP="000F18B0">
      <w:pPr>
        <w:rPr>
          <w:rFonts w:ascii="Times New Roman" w:eastAsia="Times New Roman" w:hAnsi="Times New Roman"/>
          <w:sz w:val="24"/>
          <w:szCs w:val="24"/>
        </w:rPr>
      </w:pPr>
      <w:r w:rsidRPr="00D61723">
        <w:rPr>
          <w:rFonts w:ascii="Times New Roman" w:hAnsi="Times New Roman"/>
          <w:b/>
          <w:bCs/>
          <w:sz w:val="24"/>
          <w:szCs w:val="24"/>
        </w:rPr>
        <w:t>Legal Lessons Learned: This is terrible conduct by both the Assistant Chief and his father, the Fire Chief.  [Not found any articles on outcome of former Assistant Chief’s trial.]</w:t>
      </w:r>
    </w:p>
    <w:p w14:paraId="6C3C7E07" w14:textId="77777777" w:rsidR="000F18B0" w:rsidRDefault="000F18B0" w:rsidP="000F18B0">
      <w:pPr>
        <w:pStyle w:val="NoSpacing"/>
        <w:ind w:left="720"/>
        <w:rPr>
          <w:rFonts w:ascii="Times New Roman" w:hAnsi="Times New Roman"/>
          <w:bCs/>
          <w:sz w:val="24"/>
          <w:szCs w:val="24"/>
        </w:rPr>
      </w:pPr>
      <w:r w:rsidRPr="00D61723">
        <w:rPr>
          <w:rFonts w:ascii="Times New Roman" w:hAnsi="Times New Roman"/>
          <w:bCs/>
          <w:sz w:val="24"/>
          <w:szCs w:val="24"/>
        </w:rPr>
        <w:t xml:space="preserve">Note:  See Dec. 3, </w:t>
      </w:r>
      <w:proofErr w:type="gramStart"/>
      <w:r w:rsidRPr="00D61723">
        <w:rPr>
          <w:rFonts w:ascii="Times New Roman" w:hAnsi="Times New Roman"/>
          <w:bCs/>
          <w:sz w:val="24"/>
          <w:szCs w:val="24"/>
        </w:rPr>
        <w:t>2019</w:t>
      </w:r>
      <w:proofErr w:type="gramEnd"/>
      <w:r w:rsidRPr="00D61723">
        <w:rPr>
          <w:rFonts w:ascii="Times New Roman" w:hAnsi="Times New Roman"/>
          <w:bCs/>
          <w:sz w:val="24"/>
          <w:szCs w:val="24"/>
        </w:rPr>
        <w:t xml:space="preserve"> article, “Millard County fire chief charged with raping two women will face trial in Utah County,” </w:t>
      </w:r>
      <w:hyperlink r:id="rId2702" w:history="1">
        <w:r w:rsidRPr="00D61723">
          <w:rPr>
            <w:rStyle w:val="Hyperlink"/>
            <w:rFonts w:ascii="Times New Roman" w:hAnsi="Times New Roman"/>
            <w:b/>
            <w:sz w:val="24"/>
            <w:szCs w:val="24"/>
          </w:rPr>
          <w:t>https://www.heraldextra.com/news/local/crime-and-courts/millard-county-fire-chief-charged-with-raping-two-women-will/article_32fa3eae-85cc-5928-a493-88a75082f506.html</w:t>
        </w:r>
      </w:hyperlink>
      <w:r w:rsidRPr="00D61723">
        <w:rPr>
          <w:rFonts w:ascii="Times New Roman" w:hAnsi="Times New Roman"/>
          <w:bCs/>
          <w:sz w:val="24"/>
          <w:szCs w:val="24"/>
        </w:rPr>
        <w:t xml:space="preserve">.  “The [raped firefighter] also reportedly told Corry’s father, Scott Corry, 62, about the alleged rapes in 2018. However, Scott Corry told investigators he was “trying to protect his son and he never got around to” filing </w:t>
      </w:r>
    </w:p>
    <w:p w14:paraId="67BBCE06" w14:textId="77777777" w:rsidR="000F18B0" w:rsidRDefault="000F18B0" w:rsidP="000F18B0">
      <w:pPr>
        <w:pStyle w:val="NoSpacing"/>
        <w:ind w:left="720"/>
        <w:rPr>
          <w:rFonts w:ascii="Times New Roman" w:hAnsi="Times New Roman"/>
          <w:bCs/>
          <w:sz w:val="24"/>
          <w:szCs w:val="24"/>
        </w:rPr>
      </w:pPr>
    </w:p>
    <w:p w14:paraId="2ADBA335" w14:textId="77777777" w:rsidR="000F18B0" w:rsidRPr="00D61723" w:rsidRDefault="000F18B0" w:rsidP="000F18B0">
      <w:pPr>
        <w:pStyle w:val="NoSpacing"/>
        <w:ind w:left="720"/>
        <w:rPr>
          <w:rFonts w:ascii="Times New Roman" w:hAnsi="Times New Roman"/>
          <w:b/>
          <w:bCs/>
          <w:sz w:val="24"/>
          <w:szCs w:val="24"/>
        </w:rPr>
      </w:pPr>
      <w:r w:rsidRPr="00D61723">
        <w:rPr>
          <w:rFonts w:ascii="Times New Roman" w:hAnsi="Times New Roman"/>
          <w:bCs/>
          <w:sz w:val="24"/>
          <w:szCs w:val="24"/>
        </w:rPr>
        <w:t xml:space="preserve">reports on the claims. </w:t>
      </w:r>
      <w:r w:rsidRPr="00D61723">
        <w:rPr>
          <w:rFonts w:ascii="Times New Roman" w:eastAsia="Times New Roman" w:hAnsi="Times New Roman"/>
          <w:bCs/>
          <w:sz w:val="24"/>
          <w:szCs w:val="24"/>
        </w:rPr>
        <w:t>He was charged in July with obstruction of justice, a second-degree felony, and official misconduct, a class B misdemeanor.</w:t>
      </w:r>
      <w:r w:rsidRPr="00D61723">
        <w:rPr>
          <w:rFonts w:ascii="Times New Roman" w:hAnsi="Times New Roman"/>
          <w:bCs/>
          <w:sz w:val="24"/>
          <w:szCs w:val="24"/>
        </w:rPr>
        <w:t>”</w:t>
      </w:r>
    </w:p>
    <w:p w14:paraId="4348B266" w14:textId="77777777" w:rsidR="000F18B0" w:rsidRDefault="000F18B0" w:rsidP="000F18B0">
      <w:pPr>
        <w:pStyle w:val="NoSpacing"/>
        <w:rPr>
          <w:rFonts w:ascii="Arial Black" w:hAnsi="Arial Black"/>
          <w:sz w:val="24"/>
          <w:szCs w:val="24"/>
        </w:rPr>
      </w:pPr>
    </w:p>
    <w:p w14:paraId="570E76E5" w14:textId="77777777" w:rsidR="000F18B0" w:rsidRDefault="000F18B0" w:rsidP="00F326E5">
      <w:pPr>
        <w:pStyle w:val="NoSpacing"/>
        <w:rPr>
          <w:rFonts w:ascii="Arial Black" w:hAnsi="Arial Black"/>
          <w:sz w:val="24"/>
          <w:szCs w:val="24"/>
        </w:rPr>
      </w:pPr>
    </w:p>
    <w:p w14:paraId="0E307C64" w14:textId="77777777" w:rsidR="000F18B0" w:rsidRDefault="000F18B0" w:rsidP="00F326E5">
      <w:pPr>
        <w:pStyle w:val="NoSpacing"/>
        <w:rPr>
          <w:rFonts w:ascii="Arial Black" w:hAnsi="Arial Black"/>
          <w:sz w:val="24"/>
          <w:szCs w:val="24"/>
        </w:rPr>
      </w:pPr>
    </w:p>
    <w:p w14:paraId="75E8E514" w14:textId="60F410AC" w:rsidR="000F18B0" w:rsidRDefault="000F18B0" w:rsidP="00F326E5">
      <w:pPr>
        <w:pStyle w:val="NoSpacing"/>
        <w:rPr>
          <w:rFonts w:ascii="Arial Black" w:hAnsi="Arial Black"/>
          <w:sz w:val="24"/>
          <w:szCs w:val="24"/>
        </w:rPr>
      </w:pPr>
      <w:r>
        <w:rPr>
          <w:rFonts w:ascii="Arial Black" w:hAnsi="Arial Black"/>
          <w:sz w:val="24"/>
          <w:szCs w:val="24"/>
        </w:rPr>
        <w:t>16-30</w:t>
      </w:r>
    </w:p>
    <w:p w14:paraId="4672FB04" w14:textId="44149C5F" w:rsidR="000F18B0" w:rsidRDefault="000F18B0" w:rsidP="00F326E5">
      <w:pPr>
        <w:pStyle w:val="NoSpacing"/>
        <w:rPr>
          <w:rFonts w:ascii="Arial Black" w:hAnsi="Arial Black"/>
          <w:sz w:val="24"/>
          <w:szCs w:val="24"/>
        </w:rPr>
      </w:pPr>
    </w:p>
    <w:p w14:paraId="0B13AB67" w14:textId="77777777" w:rsidR="000F18B0" w:rsidRDefault="000F18B0" w:rsidP="000F18B0">
      <w:pPr>
        <w:pStyle w:val="NoSpacing"/>
        <w:rPr>
          <w:rFonts w:ascii="Arial Black" w:hAnsi="Arial Black" w:cs="Arial"/>
          <w:sz w:val="28"/>
          <w:szCs w:val="28"/>
        </w:rPr>
      </w:pPr>
      <w:bookmarkStart w:id="604" w:name="_Hlk39772998"/>
      <w:r w:rsidRPr="006B3428">
        <w:rPr>
          <w:rFonts w:ascii="Arial Black" w:hAnsi="Arial Black" w:cs="Arial"/>
          <w:sz w:val="28"/>
          <w:szCs w:val="28"/>
        </w:rPr>
        <w:t xml:space="preserve">CA: </w:t>
      </w:r>
      <w:r>
        <w:rPr>
          <w:rFonts w:ascii="Arial Black" w:hAnsi="Arial Black" w:cs="Arial"/>
          <w:sz w:val="28"/>
          <w:szCs w:val="28"/>
        </w:rPr>
        <w:t xml:space="preserve">THREATENING COMMENTS TO OFFICER – OFF DUTY INCIDENT WITH HIS DOG – 48-HOUR SUSPENSIONS UPHELD </w:t>
      </w:r>
    </w:p>
    <w:p w14:paraId="0CA33F0D" w14:textId="77777777" w:rsidR="000F18B0" w:rsidRDefault="000F18B0" w:rsidP="000F18B0">
      <w:pPr>
        <w:pStyle w:val="NoSpacing"/>
        <w:rPr>
          <w:b/>
          <w:bCs/>
          <w:sz w:val="24"/>
          <w:szCs w:val="24"/>
        </w:rPr>
      </w:pPr>
    </w:p>
    <w:p w14:paraId="6DB684C6"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Cs/>
          <w:sz w:val="24"/>
          <w:szCs w:val="24"/>
        </w:rPr>
        <w:t xml:space="preserve">On April 22, 2020, in </w:t>
      </w:r>
      <w:r w:rsidRPr="00D61723">
        <w:rPr>
          <w:rFonts w:ascii="Times New Roman" w:hAnsi="Times New Roman"/>
          <w:bCs/>
          <w:sz w:val="24"/>
          <w:szCs w:val="24"/>
          <w:u w:val="single"/>
        </w:rPr>
        <w:t>Michael Meoli v. San Diego Civil Service Commission</w:t>
      </w:r>
      <w:r w:rsidRPr="00D61723">
        <w:rPr>
          <w:rFonts w:ascii="Times New Roman" w:hAnsi="Times New Roman"/>
          <w:bCs/>
          <w:sz w:val="24"/>
          <w:szCs w:val="24"/>
        </w:rPr>
        <w:t>, the Court of Appeal (4</w:t>
      </w:r>
      <w:r w:rsidRPr="00D61723">
        <w:rPr>
          <w:rFonts w:ascii="Times New Roman" w:hAnsi="Times New Roman"/>
          <w:bCs/>
          <w:sz w:val="24"/>
          <w:szCs w:val="24"/>
          <w:vertAlign w:val="superscript"/>
        </w:rPr>
        <w:t>th</w:t>
      </w:r>
      <w:r w:rsidRPr="00D61723">
        <w:rPr>
          <w:rFonts w:ascii="Times New Roman" w:hAnsi="Times New Roman"/>
          <w:bCs/>
          <w:sz w:val="24"/>
          <w:szCs w:val="24"/>
        </w:rPr>
        <w:t xml:space="preserve"> Appellate District / Division One) held (3 to 0) in unpublished opinion, that the trial court properly confirmed the decision of the Civil Service Commission, that the two 24-hour suspensions were appropriate.</w:t>
      </w:r>
    </w:p>
    <w:p w14:paraId="0E10A2D5" w14:textId="77777777" w:rsidR="000F18B0" w:rsidRPr="00D61723" w:rsidRDefault="000F18B0" w:rsidP="000F18B0">
      <w:pPr>
        <w:pStyle w:val="NoSpacing"/>
        <w:rPr>
          <w:rFonts w:ascii="Times New Roman" w:hAnsi="Times New Roman"/>
          <w:b/>
          <w:bCs/>
          <w:sz w:val="24"/>
          <w:szCs w:val="24"/>
        </w:rPr>
      </w:pPr>
    </w:p>
    <w:p w14:paraId="2F438572" w14:textId="77777777" w:rsidR="000F18B0" w:rsidRPr="00D61723" w:rsidRDefault="000F18B0" w:rsidP="000F18B0">
      <w:pPr>
        <w:pStyle w:val="NoSpacing"/>
        <w:ind w:left="720"/>
        <w:rPr>
          <w:rFonts w:ascii="Times New Roman" w:hAnsi="Times New Roman"/>
          <w:b/>
          <w:bCs/>
          <w:sz w:val="24"/>
          <w:szCs w:val="24"/>
        </w:rPr>
      </w:pPr>
      <w:r w:rsidRPr="00D61723">
        <w:rPr>
          <w:rFonts w:ascii="Times New Roman" w:hAnsi="Times New Roman"/>
          <w:bCs/>
          <w:sz w:val="24"/>
          <w:szCs w:val="24"/>
        </w:rPr>
        <w:t xml:space="preserve">“[California Firefighter’s Bill of Rights] Government Code section 3253 deals with a firefighter's rights when he or she ‘is under investigation and subjected to interrogation.’ Meoli argues that City violated subdivisions(b), (g), and (h) of section 3253 during the February 2012 incident at the fire station. As we explained ante, the trial court found that the delivery of the Notice communicated to Meoli that an investigation and interrogation would take place in the future. Although Meoli acknowledges this ruling by the trial court, he argues that it was ‘not supported by the law or any reasoned analysis of the applicable statute[].’ However, Meoli does not explain this alleged error, since he fails to discuss the trial court's rulings, the applicable standard, or the evidence to support a violation of the applicable </w:t>
      </w:r>
      <w:proofErr w:type="gramStart"/>
      <w:r w:rsidRPr="00D61723">
        <w:rPr>
          <w:rFonts w:ascii="Times New Roman" w:hAnsi="Times New Roman"/>
          <w:bCs/>
          <w:sz w:val="24"/>
          <w:szCs w:val="24"/>
        </w:rPr>
        <w:t>standard.”</w:t>
      </w:r>
      <w:proofErr w:type="gramEnd"/>
      <w:r w:rsidRPr="00D61723">
        <w:rPr>
          <w:rFonts w:ascii="Times New Roman" w:hAnsi="Times New Roman"/>
          <w:bCs/>
          <w:sz w:val="24"/>
          <w:szCs w:val="24"/>
        </w:rPr>
        <w:t xml:space="preserve"> </w:t>
      </w:r>
      <w:hyperlink r:id="rId2703" w:history="1">
        <w:r w:rsidRPr="00D61723">
          <w:rPr>
            <w:rStyle w:val="Hyperlink"/>
            <w:rFonts w:ascii="Times New Roman" w:hAnsi="Times New Roman"/>
            <w:b/>
            <w:sz w:val="24"/>
            <w:szCs w:val="24"/>
          </w:rPr>
          <w:t>https://www.courts.ca.gov/opinions/nonpub/D074758.PDF</w:t>
        </w:r>
      </w:hyperlink>
      <w:r w:rsidRPr="00D61723">
        <w:rPr>
          <w:rFonts w:ascii="Times New Roman" w:hAnsi="Times New Roman"/>
          <w:bCs/>
          <w:sz w:val="24"/>
          <w:szCs w:val="24"/>
        </w:rPr>
        <w:t xml:space="preserve"> </w:t>
      </w:r>
    </w:p>
    <w:bookmarkEnd w:id="604"/>
    <w:p w14:paraId="2F00DF95" w14:textId="77777777" w:rsidR="000F18B0" w:rsidRDefault="000F18B0" w:rsidP="000F18B0">
      <w:pPr>
        <w:pStyle w:val="NoSpacing"/>
        <w:rPr>
          <w:rFonts w:ascii="Times New Roman" w:hAnsi="Times New Roman"/>
          <w:b/>
          <w:bCs/>
          <w:sz w:val="24"/>
          <w:szCs w:val="24"/>
        </w:rPr>
      </w:pPr>
    </w:p>
    <w:p w14:paraId="037F51F2" w14:textId="6E899408" w:rsidR="000F18B0" w:rsidRPr="00D61723" w:rsidRDefault="000F18B0" w:rsidP="000F18B0">
      <w:pPr>
        <w:pStyle w:val="NoSpacing"/>
        <w:rPr>
          <w:rFonts w:ascii="Times New Roman" w:hAnsi="Times New Roman"/>
          <w:b/>
          <w:bCs/>
          <w:sz w:val="24"/>
          <w:szCs w:val="24"/>
        </w:rPr>
      </w:pPr>
      <w:bookmarkStart w:id="605" w:name="_Hlk40516840"/>
      <w:r w:rsidRPr="00D61723">
        <w:rPr>
          <w:rFonts w:ascii="Times New Roman" w:hAnsi="Times New Roman"/>
          <w:b/>
          <w:bCs/>
          <w:sz w:val="24"/>
          <w:szCs w:val="24"/>
        </w:rPr>
        <w:t xml:space="preserve">Legal Lessons Learned: Threats against a FD officer are not to be tolerated; nor claims off duty that you are a police officer. </w:t>
      </w:r>
    </w:p>
    <w:bookmarkEnd w:id="605"/>
    <w:p w14:paraId="46776C7B" w14:textId="77777777" w:rsidR="000F18B0" w:rsidRPr="00D61723" w:rsidRDefault="000F18B0" w:rsidP="000F18B0">
      <w:pPr>
        <w:pStyle w:val="NoSpacing"/>
        <w:rPr>
          <w:b/>
          <w:bCs/>
          <w:sz w:val="24"/>
          <w:szCs w:val="24"/>
        </w:rPr>
      </w:pPr>
    </w:p>
    <w:p w14:paraId="65BFD322" w14:textId="77777777" w:rsidR="000F18B0" w:rsidRDefault="000F18B0" w:rsidP="00F326E5">
      <w:pPr>
        <w:pStyle w:val="NoSpacing"/>
        <w:rPr>
          <w:rFonts w:ascii="Arial Black" w:hAnsi="Arial Black"/>
          <w:sz w:val="24"/>
          <w:szCs w:val="24"/>
        </w:rPr>
      </w:pPr>
    </w:p>
    <w:p w14:paraId="2F424284" w14:textId="77777777" w:rsidR="000F18B0" w:rsidRDefault="000F18B0" w:rsidP="00F326E5">
      <w:pPr>
        <w:pStyle w:val="NoSpacing"/>
        <w:rPr>
          <w:rFonts w:ascii="Arial Black" w:hAnsi="Arial Black"/>
          <w:sz w:val="24"/>
          <w:szCs w:val="24"/>
        </w:rPr>
      </w:pPr>
    </w:p>
    <w:p w14:paraId="0E9AE6BB" w14:textId="77777777" w:rsidR="000F18B0" w:rsidRDefault="000F18B0" w:rsidP="00F326E5">
      <w:pPr>
        <w:pStyle w:val="NoSpacing"/>
        <w:rPr>
          <w:rFonts w:ascii="Arial Black" w:hAnsi="Arial Black"/>
          <w:sz w:val="24"/>
          <w:szCs w:val="24"/>
        </w:rPr>
      </w:pPr>
    </w:p>
    <w:p w14:paraId="1B663376" w14:textId="1BFE8757" w:rsidR="000F18B0" w:rsidRDefault="000F18B0" w:rsidP="00F326E5">
      <w:pPr>
        <w:pStyle w:val="NoSpacing"/>
        <w:rPr>
          <w:rFonts w:ascii="Arial Black" w:hAnsi="Arial Black"/>
          <w:sz w:val="24"/>
          <w:szCs w:val="24"/>
        </w:rPr>
      </w:pPr>
      <w:r>
        <w:rPr>
          <w:rFonts w:ascii="Arial Black" w:hAnsi="Arial Black"/>
          <w:sz w:val="24"/>
          <w:szCs w:val="24"/>
        </w:rPr>
        <w:t>16-29</w:t>
      </w:r>
    </w:p>
    <w:p w14:paraId="39796E42" w14:textId="0287A8CE" w:rsidR="000F18B0" w:rsidRDefault="000F18B0" w:rsidP="00F326E5">
      <w:pPr>
        <w:pStyle w:val="NoSpacing"/>
        <w:rPr>
          <w:rFonts w:ascii="Arial Black" w:hAnsi="Arial Black"/>
          <w:sz w:val="24"/>
          <w:szCs w:val="24"/>
        </w:rPr>
      </w:pPr>
    </w:p>
    <w:p w14:paraId="099B4ECC" w14:textId="77777777" w:rsidR="000F18B0" w:rsidRPr="00084E23" w:rsidRDefault="000F18B0" w:rsidP="000F18B0">
      <w:pPr>
        <w:pStyle w:val="NoSpacing"/>
        <w:rPr>
          <w:rFonts w:ascii="Arial Black" w:hAnsi="Arial Black"/>
          <w:sz w:val="28"/>
          <w:szCs w:val="28"/>
        </w:rPr>
      </w:pPr>
      <w:bookmarkStart w:id="606" w:name="_Hlk40516939"/>
      <w:r w:rsidRPr="00084E23">
        <w:rPr>
          <w:rFonts w:ascii="Arial Black" w:hAnsi="Arial Black"/>
          <w:sz w:val="28"/>
          <w:szCs w:val="28"/>
        </w:rPr>
        <w:t>VA:</w:t>
      </w:r>
      <w:r>
        <w:rPr>
          <w:rFonts w:ascii="Arial Black" w:hAnsi="Arial Black"/>
          <w:sz w:val="28"/>
          <w:szCs w:val="28"/>
        </w:rPr>
        <w:t xml:space="preserve"> SOCIAL MEDIA - ANTI-TRUMP FACEBOOK - ARRESTED D.C. PROTEST – FIRED NO HEARING – LAWSUIT PROCEED</w:t>
      </w:r>
    </w:p>
    <w:p w14:paraId="262A9F69" w14:textId="77777777" w:rsidR="000F18B0" w:rsidRDefault="000F18B0" w:rsidP="000F18B0">
      <w:pPr>
        <w:pStyle w:val="NoSpacing"/>
        <w:rPr>
          <w:rFonts w:ascii="VAArial Black" w:hAnsi="VAArial Black"/>
          <w:sz w:val="28"/>
          <w:szCs w:val="28"/>
        </w:rPr>
      </w:pPr>
    </w:p>
    <w:p w14:paraId="3D178C12" w14:textId="3F637B1A" w:rsidR="000F18B0" w:rsidRDefault="000F18B0" w:rsidP="000F18B0">
      <w:pPr>
        <w:pStyle w:val="NoSpacing"/>
        <w:rPr>
          <w:rFonts w:ascii="Times New Roman" w:hAnsi="Times New Roman"/>
          <w:bCs/>
          <w:sz w:val="24"/>
          <w:szCs w:val="24"/>
        </w:rPr>
      </w:pPr>
      <w:r w:rsidRPr="00D61723">
        <w:rPr>
          <w:rFonts w:ascii="Times New Roman" w:hAnsi="Times New Roman"/>
          <w:bCs/>
          <w:sz w:val="24"/>
          <w:szCs w:val="24"/>
        </w:rPr>
        <w:t xml:space="preserve">On March 31, 2020, in </w:t>
      </w:r>
      <w:r w:rsidRPr="00D61723">
        <w:rPr>
          <w:rFonts w:ascii="Times New Roman" w:hAnsi="Times New Roman"/>
          <w:bCs/>
          <w:sz w:val="24"/>
          <w:szCs w:val="24"/>
          <w:u w:val="single"/>
        </w:rPr>
        <w:t xml:space="preserve">Rosa </w:t>
      </w:r>
      <w:proofErr w:type="spellStart"/>
      <w:r w:rsidRPr="00D61723">
        <w:rPr>
          <w:rFonts w:ascii="Times New Roman" w:hAnsi="Times New Roman"/>
          <w:bCs/>
          <w:sz w:val="24"/>
          <w:szCs w:val="24"/>
          <w:u w:val="single"/>
        </w:rPr>
        <w:t>Roncales</w:t>
      </w:r>
      <w:proofErr w:type="spellEnd"/>
      <w:r w:rsidRPr="00D61723">
        <w:rPr>
          <w:rFonts w:ascii="Times New Roman" w:hAnsi="Times New Roman"/>
          <w:bCs/>
          <w:sz w:val="24"/>
          <w:szCs w:val="24"/>
          <w:u w:val="single"/>
        </w:rPr>
        <w:t xml:space="preserve"> v. County of Henrico, Anthony McDowell, Alec Oughton, Scotty Roberts and Eugene Gerald</w:t>
      </w:r>
      <w:r w:rsidRPr="00D61723">
        <w:rPr>
          <w:rFonts w:ascii="Times New Roman" w:hAnsi="Times New Roman"/>
          <w:bCs/>
          <w:sz w:val="24"/>
          <w:szCs w:val="24"/>
        </w:rPr>
        <w:t xml:space="preserve">, U.S. District Court Judge M. Hannah Lauck, U.S. District Court for the Eastern District of Virginia (Richmond Division), reviewing the allegations by the firefighter in the Complaint, but without holding a hearing, denied qualified immunity claims of the four supervisors. “At this procedural posture, however, the Court concludes </w:t>
      </w:r>
    </w:p>
    <w:p w14:paraId="4B656FDF"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Cs/>
          <w:sz w:val="24"/>
          <w:szCs w:val="24"/>
        </w:rPr>
        <w:t xml:space="preserve">that qualified immunity does not protect McDowell, Oughton, Roberts, or Gerald from liability. The Court will deny the Motion to Dismiss as to the individual Defendants.”  </w:t>
      </w:r>
      <w:bookmarkEnd w:id="606"/>
      <w:r w:rsidRPr="00D61723">
        <w:rPr>
          <w:rFonts w:ascii="Times New Roman" w:hAnsi="Times New Roman"/>
          <w:bCs/>
          <w:sz w:val="24"/>
          <w:szCs w:val="24"/>
        </w:rPr>
        <w:t xml:space="preserve">The County was </w:t>
      </w:r>
      <w:r>
        <w:rPr>
          <w:rFonts w:ascii="Times New Roman" w:hAnsi="Times New Roman"/>
          <w:bCs/>
          <w:sz w:val="24"/>
          <w:szCs w:val="24"/>
        </w:rPr>
        <w:t xml:space="preserve">dismissed </w:t>
      </w:r>
      <w:r w:rsidRPr="00D61723">
        <w:rPr>
          <w:rFonts w:ascii="Times New Roman" w:hAnsi="Times New Roman"/>
          <w:bCs/>
          <w:sz w:val="24"/>
          <w:szCs w:val="24"/>
        </w:rPr>
        <w:t>from the case.</w:t>
      </w:r>
    </w:p>
    <w:p w14:paraId="0D8195FB" w14:textId="77777777" w:rsidR="000F18B0" w:rsidRPr="00D61723" w:rsidRDefault="000F18B0" w:rsidP="000F18B0">
      <w:pPr>
        <w:pStyle w:val="NormalWeb"/>
        <w:ind w:left="720"/>
      </w:pPr>
      <w:r w:rsidRPr="00D61723">
        <w:t xml:space="preserve">“Here, </w:t>
      </w:r>
      <w:proofErr w:type="spellStart"/>
      <w:r w:rsidRPr="00D61723">
        <w:t>Roncales</w:t>
      </w:r>
      <w:proofErr w:type="spellEnd"/>
      <w:r w:rsidRPr="00D61723">
        <w:t xml:space="preserve"> alleges that she never received a name-clearing hearing or the opportunity to present her case before her employment ended at the Henrico Fire Department. Specifically, </w:t>
      </w:r>
      <w:proofErr w:type="spellStart"/>
      <w:r w:rsidRPr="00D61723">
        <w:t>Roncales</w:t>
      </w:r>
      <w:proofErr w:type="spellEnd"/>
      <w:r w:rsidRPr="00D61723">
        <w:t xml:space="preserve"> claims that Defendants questioned her regarding her participation in a political protest, that she did not have the opportunity to speak to her legal counsel before questioning, that video evidence existed that would have shown she participated in only non-violent protest, that she ‘told her superiors that her legal counsel had possession of a video demonstrating" the veracity of her claims, (</w:t>
      </w:r>
      <w:proofErr w:type="spellStart"/>
      <w:r w:rsidRPr="00D61723">
        <w:t>Compl</w:t>
      </w:r>
      <w:proofErr w:type="spellEnd"/>
      <w:r w:rsidRPr="00D61723">
        <w:t xml:space="preserve">. ¶ 34), and that Defendants used the event as a pretext to terminate her employment from the Henrico Fire Department for her political beliefs. For this claim, </w:t>
      </w:r>
      <w:proofErr w:type="spellStart"/>
      <w:r w:rsidRPr="00D61723">
        <w:t>Roncales</w:t>
      </w:r>
      <w:proofErr w:type="spellEnd"/>
      <w:r w:rsidRPr="00D61723">
        <w:t xml:space="preserve"> maintains that she was ‘deprived of the fair and unbiased opportunity for a hearing, whether name-clearing or otherwise, to rebut the Defendants' representations, and to present her side of the story.’ (</w:t>
      </w:r>
      <w:proofErr w:type="spellStart"/>
      <w:r w:rsidRPr="00D61723">
        <w:t>Compl</w:t>
      </w:r>
      <w:proofErr w:type="spellEnd"/>
      <w:r w:rsidRPr="00D61723">
        <w:t xml:space="preserve">. ¶ 60.) Based on these allegations, </w:t>
      </w:r>
      <w:proofErr w:type="spellStart"/>
      <w:r w:rsidRPr="00D61723">
        <w:t>Roncales</w:t>
      </w:r>
      <w:proofErr w:type="spellEnd"/>
      <w:r w:rsidRPr="00D61723">
        <w:t xml:space="preserve"> sufficiently alleges her Due Process Claim.” </w:t>
      </w:r>
      <w:hyperlink r:id="rId2704" w:history="1">
        <w:r w:rsidRPr="00D61723">
          <w:rPr>
            <w:rStyle w:val="Hyperlink"/>
          </w:rPr>
          <w:t>https://public.fastcase.com/Wl%2B2t%2BeVuI35%2FN70vAMFZp5z3tSAREAgVcTB%2FIqZH8qtvSAHBObLTQiDe9yLc084</w:t>
        </w:r>
      </w:hyperlink>
      <w:r w:rsidRPr="00D61723">
        <w:t xml:space="preserve"> </w:t>
      </w:r>
    </w:p>
    <w:p w14:paraId="7DC4F572" w14:textId="2743DB69" w:rsidR="000F18B0" w:rsidRPr="000164B1" w:rsidRDefault="000F18B0" w:rsidP="000F18B0">
      <w:pPr>
        <w:pStyle w:val="NoSpacing"/>
        <w:rPr>
          <w:rFonts w:ascii="Times New Roman" w:hAnsi="Times New Roman"/>
          <w:sz w:val="24"/>
          <w:szCs w:val="24"/>
        </w:rPr>
      </w:pPr>
      <w:bookmarkStart w:id="607" w:name="_Hlk40517047"/>
      <w:r w:rsidRPr="00D61723">
        <w:rPr>
          <w:rFonts w:ascii="Times New Roman" w:hAnsi="Times New Roman"/>
          <w:b/>
          <w:bCs/>
          <w:sz w:val="24"/>
          <w:szCs w:val="24"/>
        </w:rPr>
        <w:t xml:space="preserve">Legal Lessons Learned: FDs should provide a pre-disciplinary hearing prior to making a termination decision.  </w:t>
      </w:r>
      <w:r w:rsidR="000164B1" w:rsidRPr="000164B1">
        <w:rPr>
          <w:rFonts w:ascii="Times New Roman" w:hAnsi="Times New Roman"/>
          <w:sz w:val="24"/>
          <w:szCs w:val="24"/>
        </w:rPr>
        <w:t xml:space="preserve">Note:  Read the </w:t>
      </w:r>
      <w:r w:rsidRPr="000164B1">
        <w:rPr>
          <w:rFonts w:ascii="Times New Roman" w:hAnsi="Times New Roman"/>
          <w:sz w:val="24"/>
          <w:szCs w:val="24"/>
        </w:rPr>
        <w:t xml:space="preserve">U.S. Supreme Court decision in Cleveland Bd. of Educ. v. Loudermill, 470 U.S. 532 (1985), </w:t>
      </w:r>
      <w:hyperlink r:id="rId2705" w:history="1">
        <w:r w:rsidRPr="000164B1">
          <w:rPr>
            <w:rStyle w:val="Hyperlink"/>
            <w:rFonts w:ascii="Times New Roman" w:hAnsi="Times New Roman"/>
            <w:sz w:val="24"/>
            <w:szCs w:val="24"/>
          </w:rPr>
          <w:t>https://supreme.justia.com/cases/federal/us/470/532/</w:t>
        </w:r>
      </w:hyperlink>
      <w:r w:rsidRPr="000164B1">
        <w:rPr>
          <w:rFonts w:ascii="Times New Roman" w:hAnsi="Times New Roman"/>
          <w:sz w:val="24"/>
          <w:szCs w:val="24"/>
        </w:rPr>
        <w:t xml:space="preserve"> .  </w:t>
      </w:r>
    </w:p>
    <w:bookmarkEnd w:id="607"/>
    <w:p w14:paraId="0809192B" w14:textId="77777777" w:rsidR="000F18B0" w:rsidRPr="00D61723" w:rsidRDefault="000F18B0" w:rsidP="000F18B0">
      <w:pPr>
        <w:pStyle w:val="NoSpacing"/>
        <w:rPr>
          <w:rFonts w:ascii="Times New Roman" w:hAnsi="Times New Roman"/>
          <w:sz w:val="24"/>
          <w:szCs w:val="24"/>
        </w:rPr>
      </w:pPr>
    </w:p>
    <w:p w14:paraId="29639D9C" w14:textId="77777777" w:rsidR="000F18B0" w:rsidRDefault="000F18B0" w:rsidP="00F326E5">
      <w:pPr>
        <w:pStyle w:val="NoSpacing"/>
        <w:rPr>
          <w:rFonts w:ascii="Arial Black" w:hAnsi="Arial Black"/>
          <w:sz w:val="24"/>
          <w:szCs w:val="24"/>
        </w:rPr>
      </w:pPr>
    </w:p>
    <w:p w14:paraId="7FD335C0" w14:textId="77777777" w:rsidR="000F18B0" w:rsidRDefault="000F18B0" w:rsidP="00F326E5">
      <w:pPr>
        <w:pStyle w:val="NoSpacing"/>
        <w:rPr>
          <w:rFonts w:ascii="Arial Black" w:hAnsi="Arial Black"/>
          <w:sz w:val="24"/>
          <w:szCs w:val="24"/>
        </w:rPr>
      </w:pPr>
    </w:p>
    <w:p w14:paraId="7A05F3E4" w14:textId="3AD105AB" w:rsidR="000F18B0" w:rsidRDefault="000F18B0" w:rsidP="00F326E5">
      <w:pPr>
        <w:pStyle w:val="NoSpacing"/>
        <w:rPr>
          <w:rFonts w:ascii="Arial Black" w:hAnsi="Arial Black"/>
          <w:sz w:val="24"/>
          <w:szCs w:val="24"/>
        </w:rPr>
      </w:pPr>
      <w:r>
        <w:rPr>
          <w:rFonts w:ascii="Arial Black" w:hAnsi="Arial Black"/>
          <w:sz w:val="24"/>
          <w:szCs w:val="24"/>
        </w:rPr>
        <w:t>16-28</w:t>
      </w:r>
    </w:p>
    <w:p w14:paraId="6A898452" w14:textId="2EE580D5" w:rsidR="000F18B0" w:rsidRDefault="000F18B0" w:rsidP="00F326E5">
      <w:pPr>
        <w:pStyle w:val="NoSpacing"/>
        <w:rPr>
          <w:rFonts w:ascii="Arial Black" w:hAnsi="Arial Black"/>
          <w:sz w:val="24"/>
          <w:szCs w:val="24"/>
        </w:rPr>
      </w:pPr>
    </w:p>
    <w:p w14:paraId="5EA4C568" w14:textId="77777777" w:rsidR="000F18B0" w:rsidRPr="00EC2027" w:rsidRDefault="000F18B0" w:rsidP="000F18B0">
      <w:pPr>
        <w:pStyle w:val="NoSpacing"/>
        <w:rPr>
          <w:rFonts w:ascii="Arial Black" w:hAnsi="Arial Black"/>
          <w:sz w:val="28"/>
          <w:szCs w:val="28"/>
        </w:rPr>
      </w:pPr>
      <w:bookmarkStart w:id="608" w:name="_Hlk39773080"/>
      <w:r>
        <w:rPr>
          <w:rFonts w:ascii="Arial Black" w:hAnsi="Arial Black"/>
          <w:sz w:val="28"/>
          <w:szCs w:val="28"/>
        </w:rPr>
        <w:t>MI: FIRED FOR MISCHARGING HRS, DOUBLE DIPPING – FF CLAIMS RETALIATION, VERY RELIGIOUS – CASE PROCEED</w:t>
      </w:r>
    </w:p>
    <w:p w14:paraId="72360989" w14:textId="77777777" w:rsidR="000F18B0" w:rsidRDefault="000F18B0" w:rsidP="000F18B0">
      <w:pPr>
        <w:pStyle w:val="NoSpacing"/>
        <w:rPr>
          <w:b/>
          <w:bCs/>
          <w:sz w:val="24"/>
          <w:szCs w:val="24"/>
        </w:rPr>
      </w:pPr>
    </w:p>
    <w:p w14:paraId="1E18B60C"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Cs/>
          <w:sz w:val="24"/>
          <w:szCs w:val="24"/>
        </w:rPr>
        <w:t xml:space="preserve">On Nov. 22, 2019, in </w:t>
      </w:r>
      <w:r w:rsidRPr="00D61723">
        <w:rPr>
          <w:rFonts w:ascii="Times New Roman" w:hAnsi="Times New Roman"/>
          <w:bCs/>
          <w:sz w:val="24"/>
          <w:szCs w:val="24"/>
          <w:u w:val="single"/>
        </w:rPr>
        <w:t>Peter Hudson v. City of Highland Park, Michigan; Derek Hillman; Makini Jackson</w:t>
      </w:r>
      <w:r w:rsidRPr="00D61723">
        <w:rPr>
          <w:rFonts w:ascii="Times New Roman" w:hAnsi="Times New Roman"/>
          <w:bCs/>
          <w:sz w:val="24"/>
          <w:szCs w:val="24"/>
        </w:rPr>
        <w:t>,  the U.S. Court of Appeals for the 6</w:t>
      </w:r>
      <w:r w:rsidRPr="00D61723">
        <w:rPr>
          <w:rFonts w:ascii="Times New Roman" w:hAnsi="Times New Roman"/>
          <w:bCs/>
          <w:sz w:val="24"/>
          <w:szCs w:val="24"/>
          <w:vertAlign w:val="superscript"/>
        </w:rPr>
        <w:t>th</w:t>
      </w:r>
      <w:r w:rsidRPr="00D61723">
        <w:rPr>
          <w:rFonts w:ascii="Times New Roman" w:hAnsi="Times New Roman"/>
          <w:bCs/>
          <w:sz w:val="24"/>
          <w:szCs w:val="24"/>
        </w:rPr>
        <w:t xml:space="preserve"> Circuit, held (2 to 1) that FF may proceed in lawsuit against the Fire Chief for retaliation for exercising his free-speech rights, and after FF filed complaint with OSHA. “At any rate, the point, at least at the pleading stage, is one of inferences—that Hillman fired Hudson for reasons other than violating the fire station’s payroll polices. Not every allegation has to substantiate a plaintiff’s claim directly…. That’s why we have circumstantial evidence.” The majority, however, rejected his “hostile work atmosphere” Title VII claim. </w:t>
      </w:r>
    </w:p>
    <w:p w14:paraId="350CA5C7" w14:textId="77777777" w:rsidR="000F18B0" w:rsidRPr="00D61723" w:rsidRDefault="000F18B0" w:rsidP="000F18B0">
      <w:pPr>
        <w:pStyle w:val="NoSpacing"/>
        <w:rPr>
          <w:rFonts w:ascii="Times New Roman" w:hAnsi="Times New Roman"/>
          <w:b/>
          <w:bCs/>
          <w:sz w:val="24"/>
          <w:szCs w:val="24"/>
        </w:rPr>
      </w:pPr>
    </w:p>
    <w:p w14:paraId="37B6B646" w14:textId="5E2BC3CF" w:rsidR="000F18B0" w:rsidRDefault="000F18B0" w:rsidP="000F18B0">
      <w:pPr>
        <w:pStyle w:val="NoSpacing"/>
        <w:ind w:left="720"/>
        <w:rPr>
          <w:rFonts w:ascii="Times New Roman" w:hAnsi="Times New Roman"/>
          <w:bCs/>
          <w:sz w:val="24"/>
          <w:szCs w:val="24"/>
        </w:rPr>
      </w:pPr>
      <w:r w:rsidRPr="00D61723">
        <w:rPr>
          <w:rFonts w:ascii="Times New Roman" w:hAnsi="Times New Roman"/>
          <w:bCs/>
          <w:sz w:val="24"/>
          <w:szCs w:val="24"/>
        </w:rPr>
        <w:t xml:space="preserve">“For many people of faith, their religion is not an abstraction. It has consequences for how they behave and may require them to be witnesses and examples for their faith. That reality does not permit differential treatment of them because they criticize behavior on moral grounds stemming from religious </w:t>
      </w:r>
      <w:proofErr w:type="gramStart"/>
      <w:r w:rsidRPr="00D61723">
        <w:rPr>
          <w:rFonts w:ascii="Times New Roman" w:hAnsi="Times New Roman"/>
          <w:bCs/>
          <w:sz w:val="24"/>
          <w:szCs w:val="24"/>
        </w:rPr>
        <w:t>convictions</w:t>
      </w:r>
      <w:proofErr w:type="gramEnd"/>
      <w:r w:rsidRPr="00D61723">
        <w:rPr>
          <w:rFonts w:ascii="Times New Roman" w:hAnsi="Times New Roman"/>
          <w:bCs/>
          <w:sz w:val="24"/>
          <w:szCs w:val="24"/>
        </w:rPr>
        <w:t xml:space="preserve"> as </w:t>
      </w:r>
    </w:p>
    <w:p w14:paraId="777B7185" w14:textId="77777777" w:rsidR="000F18B0" w:rsidRPr="00D61723" w:rsidRDefault="000F18B0" w:rsidP="000F18B0">
      <w:pPr>
        <w:pStyle w:val="NoSpacing"/>
        <w:ind w:left="720"/>
        <w:rPr>
          <w:rFonts w:ascii="Times New Roman" w:hAnsi="Times New Roman"/>
          <w:b/>
          <w:bCs/>
          <w:sz w:val="24"/>
          <w:szCs w:val="24"/>
        </w:rPr>
      </w:pPr>
      <w:r w:rsidRPr="00D61723">
        <w:rPr>
          <w:rFonts w:ascii="Times New Roman" w:hAnsi="Times New Roman"/>
          <w:bCs/>
          <w:sz w:val="24"/>
          <w:szCs w:val="24"/>
        </w:rPr>
        <w:t xml:space="preserve">opposed to moral grounds stemming from secular convictions. ‘Let firemen be firemen’ is not a cognizable defense to Title VII claims based on gender discrimination, race discrimination, or faith-based discrimination. Even so, Hudson’s disparate treatment claim fails at a minimum at the last step. He cannot show that the city’s justification for his discharge amounted to a pretextual basis for discriminating against him because of his faith. The fire department put forth a legitimate, non-discriminatory reason for treating Hudson differently. He falsified his </w:t>
      </w:r>
      <w:proofErr w:type="gramStart"/>
      <w:r w:rsidRPr="00D61723">
        <w:rPr>
          <w:rFonts w:ascii="Times New Roman" w:hAnsi="Times New Roman"/>
          <w:bCs/>
          <w:sz w:val="24"/>
          <w:szCs w:val="24"/>
        </w:rPr>
        <w:t>time-sheets</w:t>
      </w:r>
      <w:proofErr w:type="gramEnd"/>
      <w:r w:rsidRPr="00D61723">
        <w:rPr>
          <w:rFonts w:ascii="Times New Roman" w:hAnsi="Times New Roman"/>
          <w:bCs/>
          <w:sz w:val="24"/>
          <w:szCs w:val="24"/>
        </w:rPr>
        <w:t xml:space="preserve"> while other firefighters did not.”</w:t>
      </w:r>
    </w:p>
    <w:p w14:paraId="55BEF034" w14:textId="77777777" w:rsidR="000F18B0" w:rsidRPr="00D61723" w:rsidRDefault="000F18B0" w:rsidP="000F18B0">
      <w:pPr>
        <w:pStyle w:val="NoSpacing"/>
        <w:ind w:left="720"/>
        <w:rPr>
          <w:rFonts w:ascii="Times New Roman" w:hAnsi="Times New Roman"/>
          <w:b/>
          <w:bCs/>
          <w:sz w:val="24"/>
          <w:szCs w:val="24"/>
        </w:rPr>
      </w:pPr>
      <w:hyperlink r:id="rId2706" w:history="1">
        <w:r w:rsidRPr="00D61723">
          <w:rPr>
            <w:rStyle w:val="Hyperlink"/>
            <w:rFonts w:ascii="Times New Roman" w:hAnsi="Times New Roman"/>
            <w:b/>
            <w:sz w:val="24"/>
            <w:szCs w:val="24"/>
          </w:rPr>
          <w:t>https://www.opn.ca6.uscourts.gov/opinions.pdf/19a0286p-06.pdf</w:t>
        </w:r>
      </w:hyperlink>
      <w:r w:rsidRPr="00D61723">
        <w:rPr>
          <w:rFonts w:ascii="Times New Roman" w:hAnsi="Times New Roman"/>
          <w:bCs/>
          <w:sz w:val="24"/>
          <w:szCs w:val="24"/>
        </w:rPr>
        <w:t xml:space="preserve"> </w:t>
      </w:r>
    </w:p>
    <w:p w14:paraId="358C339C" w14:textId="77777777" w:rsidR="000F18B0" w:rsidRDefault="000F18B0" w:rsidP="00F326E5">
      <w:pPr>
        <w:pStyle w:val="NoSpacing"/>
        <w:rPr>
          <w:rFonts w:ascii="Arial Black" w:hAnsi="Arial Black"/>
          <w:sz w:val="24"/>
          <w:szCs w:val="24"/>
        </w:rPr>
      </w:pPr>
    </w:p>
    <w:bookmarkEnd w:id="608"/>
    <w:p w14:paraId="46B150E9" w14:textId="77777777" w:rsidR="000F18B0" w:rsidRPr="00D61723" w:rsidRDefault="000F18B0" w:rsidP="000F18B0">
      <w:pPr>
        <w:pStyle w:val="NoSpacing"/>
        <w:rPr>
          <w:rFonts w:ascii="Times New Roman" w:hAnsi="Times New Roman"/>
          <w:b/>
          <w:bCs/>
          <w:sz w:val="24"/>
          <w:szCs w:val="24"/>
        </w:rPr>
      </w:pPr>
      <w:r w:rsidRPr="00D61723">
        <w:rPr>
          <w:rFonts w:ascii="Times New Roman" w:hAnsi="Times New Roman"/>
          <w:b/>
          <w:bCs/>
          <w:sz w:val="24"/>
          <w:szCs w:val="24"/>
        </w:rPr>
        <w:t>Legal Lessons Learned: If the allegations of on</w:t>
      </w:r>
      <w:r>
        <w:rPr>
          <w:rFonts w:ascii="Times New Roman" w:hAnsi="Times New Roman"/>
          <w:b/>
          <w:bCs/>
          <w:sz w:val="24"/>
          <w:szCs w:val="24"/>
        </w:rPr>
        <w:t xml:space="preserve"> </w:t>
      </w:r>
      <w:r w:rsidRPr="00D61723">
        <w:rPr>
          <w:rFonts w:ascii="Times New Roman" w:hAnsi="Times New Roman"/>
          <w:b/>
          <w:bCs/>
          <w:sz w:val="24"/>
          <w:szCs w:val="24"/>
        </w:rPr>
        <w:t xml:space="preserve">duty sex, pornography, and similar items are true, the FD needs new leadership. </w:t>
      </w:r>
    </w:p>
    <w:p w14:paraId="7D06FED1" w14:textId="3AB32090" w:rsidR="000F18B0" w:rsidRDefault="000F18B0" w:rsidP="00F326E5">
      <w:pPr>
        <w:pStyle w:val="NoSpacing"/>
        <w:rPr>
          <w:rFonts w:ascii="Arial Black" w:hAnsi="Arial Black"/>
          <w:sz w:val="24"/>
          <w:szCs w:val="24"/>
        </w:rPr>
      </w:pPr>
    </w:p>
    <w:p w14:paraId="04F50444" w14:textId="77777777" w:rsidR="000F18B0" w:rsidRDefault="000F18B0" w:rsidP="00F326E5">
      <w:pPr>
        <w:pStyle w:val="NoSpacing"/>
        <w:rPr>
          <w:rFonts w:ascii="Arial Black" w:hAnsi="Arial Black"/>
          <w:sz w:val="24"/>
          <w:szCs w:val="24"/>
        </w:rPr>
      </w:pPr>
    </w:p>
    <w:p w14:paraId="7E367CCF" w14:textId="516A7B3F" w:rsidR="0066298F" w:rsidRDefault="0066298F" w:rsidP="00F326E5">
      <w:pPr>
        <w:pStyle w:val="NoSpacing"/>
        <w:rPr>
          <w:rFonts w:ascii="Arial Black" w:hAnsi="Arial Black"/>
          <w:sz w:val="24"/>
          <w:szCs w:val="24"/>
        </w:rPr>
      </w:pPr>
      <w:r>
        <w:rPr>
          <w:rFonts w:ascii="Arial Black" w:hAnsi="Arial Black"/>
          <w:sz w:val="24"/>
          <w:szCs w:val="24"/>
        </w:rPr>
        <w:t>16-27</w:t>
      </w:r>
    </w:p>
    <w:p w14:paraId="6F23AF0E" w14:textId="46FF9C7A" w:rsidR="0066298F" w:rsidRDefault="0066298F" w:rsidP="00F326E5">
      <w:pPr>
        <w:pStyle w:val="NoSpacing"/>
        <w:rPr>
          <w:rFonts w:ascii="Arial Black" w:hAnsi="Arial Black"/>
          <w:sz w:val="24"/>
          <w:szCs w:val="24"/>
        </w:rPr>
      </w:pPr>
    </w:p>
    <w:p w14:paraId="3774EEE8" w14:textId="77777777" w:rsidR="0066298F" w:rsidRPr="002E0D86" w:rsidRDefault="0066298F" w:rsidP="0066298F">
      <w:pPr>
        <w:pStyle w:val="NoSpacing"/>
        <w:rPr>
          <w:rFonts w:ascii="Arial Black" w:hAnsi="Arial Black"/>
          <w:sz w:val="28"/>
          <w:szCs w:val="28"/>
        </w:rPr>
      </w:pPr>
      <w:r w:rsidRPr="002E0D86">
        <w:rPr>
          <w:rFonts w:ascii="Arial Black" w:hAnsi="Arial Black"/>
          <w:sz w:val="28"/>
          <w:szCs w:val="28"/>
        </w:rPr>
        <w:t xml:space="preserve">TN: </w:t>
      </w:r>
      <w:r>
        <w:rPr>
          <w:rFonts w:ascii="Arial Black" w:hAnsi="Arial Black"/>
          <w:sz w:val="28"/>
          <w:szCs w:val="28"/>
        </w:rPr>
        <w:t xml:space="preserve">FF OFF DUTY, POINTED FIREARM AT TWO MEN AT POLITICAL RALLY – FIRED - GIVEN “LOUDERMILL HEARING” BY FIRE CHIEF </w:t>
      </w:r>
    </w:p>
    <w:p w14:paraId="1BFDFEFE" w14:textId="77777777" w:rsidR="0066298F" w:rsidRDefault="0066298F" w:rsidP="0066298F">
      <w:pPr>
        <w:pStyle w:val="NoSpacing"/>
        <w:rPr>
          <w:b/>
          <w:bCs/>
          <w:sz w:val="24"/>
          <w:szCs w:val="24"/>
        </w:rPr>
      </w:pPr>
    </w:p>
    <w:p w14:paraId="7A2C1F66"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Cs/>
          <w:sz w:val="24"/>
          <w:szCs w:val="24"/>
        </w:rPr>
        <w:t xml:space="preserve">On March 18, 2020, in </w:t>
      </w:r>
      <w:r w:rsidRPr="00665BD0">
        <w:rPr>
          <w:rFonts w:ascii="Times New Roman" w:hAnsi="Times New Roman"/>
          <w:bCs/>
          <w:sz w:val="24"/>
          <w:szCs w:val="24"/>
          <w:u w:val="single"/>
        </w:rPr>
        <w:t>Paul Zachary Moss v. Shelby County Civil Service Merit Board</w:t>
      </w:r>
      <w:r w:rsidRPr="00665BD0">
        <w:rPr>
          <w:rFonts w:ascii="Times New Roman" w:hAnsi="Times New Roman"/>
          <w:bCs/>
          <w:sz w:val="24"/>
          <w:szCs w:val="24"/>
        </w:rPr>
        <w:t xml:space="preserve">, the Supreme Court of Tennessee, at Jackson, held (5 to 0) that the FD provided due process to the firefighter, reversing the decision by the TN Court of Appeals.  In addition to the </w:t>
      </w:r>
      <w:proofErr w:type="gramStart"/>
      <w:r w:rsidRPr="00665BD0">
        <w:rPr>
          <w:rFonts w:ascii="Times New Roman" w:hAnsi="Times New Roman"/>
          <w:bCs/>
          <w:sz w:val="24"/>
          <w:szCs w:val="24"/>
        </w:rPr>
        <w:t>November,</w:t>
      </w:r>
      <w:proofErr w:type="gramEnd"/>
      <w:r w:rsidRPr="00665BD0">
        <w:rPr>
          <w:rFonts w:ascii="Times New Roman" w:hAnsi="Times New Roman"/>
          <w:bCs/>
          <w:sz w:val="24"/>
          <w:szCs w:val="24"/>
        </w:rPr>
        <w:t xml:space="preserve"> 2013 aggravated assault with firearm, the Fire Chief during the pre-termination </w:t>
      </w:r>
      <w:r w:rsidRPr="00665BD0">
        <w:rPr>
          <w:rFonts w:ascii="Times New Roman" w:hAnsi="Times New Roman"/>
          <w:bCs/>
          <w:i/>
          <w:iCs/>
          <w:sz w:val="24"/>
          <w:szCs w:val="24"/>
        </w:rPr>
        <w:t xml:space="preserve">Loudermill </w:t>
      </w:r>
      <w:r w:rsidRPr="00665BD0">
        <w:rPr>
          <w:rFonts w:ascii="Times New Roman" w:hAnsi="Times New Roman"/>
          <w:bCs/>
          <w:sz w:val="24"/>
          <w:szCs w:val="24"/>
        </w:rPr>
        <w:t>hearing also inquired about police records which showed that in March 2011, police arrested Mr. Moss on charges of public intoxication and possession of a firearm while under the influence of alcohol. Police records also showed that in October 2012, a police officer responded to a domestic violence call during which Mrs. Moss stated that Mr. Moss had assaulted her</w:t>
      </w:r>
      <w:r w:rsidRPr="00665BD0">
        <w:rPr>
          <w:rFonts w:ascii="Times New Roman" w:hAnsi="Times New Roman"/>
          <w:sz w:val="24"/>
          <w:szCs w:val="24"/>
        </w:rPr>
        <w:t>.</w:t>
      </w:r>
    </w:p>
    <w:p w14:paraId="09BD970D" w14:textId="77777777" w:rsidR="0066298F" w:rsidRDefault="0066298F" w:rsidP="0066298F">
      <w:pPr>
        <w:pStyle w:val="NoSpacing"/>
        <w:ind w:left="720"/>
        <w:rPr>
          <w:rFonts w:ascii="Times New Roman" w:hAnsi="Times New Roman"/>
          <w:bCs/>
          <w:sz w:val="24"/>
          <w:szCs w:val="24"/>
        </w:rPr>
      </w:pPr>
    </w:p>
    <w:p w14:paraId="49587F1A"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“Based on the pre-termination </w:t>
      </w:r>
      <w:r w:rsidRPr="00665BD0">
        <w:rPr>
          <w:rFonts w:ascii="Times New Roman" w:hAnsi="Times New Roman"/>
          <w:bCs/>
          <w:i/>
          <w:iCs/>
          <w:sz w:val="24"/>
          <w:szCs w:val="24"/>
        </w:rPr>
        <w:t xml:space="preserve">Loudermill </w:t>
      </w:r>
      <w:r w:rsidRPr="00665BD0">
        <w:rPr>
          <w:rFonts w:ascii="Times New Roman" w:hAnsi="Times New Roman"/>
          <w:bCs/>
          <w:sz w:val="24"/>
          <w:szCs w:val="24"/>
        </w:rPr>
        <w:t xml:space="preserve">notice, the questions during the </w:t>
      </w:r>
      <w:r w:rsidRPr="00665BD0">
        <w:rPr>
          <w:rFonts w:ascii="Times New Roman" w:hAnsi="Times New Roman"/>
          <w:bCs/>
          <w:i/>
          <w:iCs/>
          <w:sz w:val="24"/>
          <w:szCs w:val="24"/>
        </w:rPr>
        <w:t xml:space="preserve">Loudermill </w:t>
      </w:r>
      <w:r w:rsidRPr="00665BD0">
        <w:rPr>
          <w:rFonts w:ascii="Times New Roman" w:hAnsi="Times New Roman"/>
          <w:bCs/>
          <w:sz w:val="24"/>
          <w:szCs w:val="24"/>
        </w:rPr>
        <w:t xml:space="preserve">hearing, and the contents of the termination letter, we conclude that Mr. Moss had sufficient notice that his conduct during the November 2013 altercation and his answers about the 2011 and 2012 incidents were reasons for his termination. Mr. Moss received adequate notice of the factual allegations against him and had an opportunity to prepare for his hearing before the Board. His contention that the Fire Department violated his due process rights lacks merit.” </w:t>
      </w:r>
      <w:hyperlink r:id="rId2707" w:history="1">
        <w:r w:rsidRPr="00665BD0">
          <w:rPr>
            <w:rStyle w:val="Hyperlink"/>
            <w:rFonts w:ascii="Times New Roman" w:hAnsi="Times New Roman"/>
            <w:b/>
            <w:sz w:val="24"/>
            <w:szCs w:val="24"/>
          </w:rPr>
          <w:t>http://www.tncourts.gov/sites/default/files/moss.paul_.opn_.pdf</w:t>
        </w:r>
      </w:hyperlink>
      <w:r w:rsidRPr="00665BD0">
        <w:rPr>
          <w:rFonts w:ascii="Times New Roman" w:hAnsi="Times New Roman"/>
          <w:bCs/>
          <w:sz w:val="24"/>
          <w:szCs w:val="24"/>
        </w:rPr>
        <w:t xml:space="preserve"> </w:t>
      </w:r>
    </w:p>
    <w:p w14:paraId="5722DFD7" w14:textId="6BD9C000" w:rsidR="0066298F" w:rsidRDefault="0066298F" w:rsidP="00F326E5">
      <w:pPr>
        <w:pStyle w:val="NoSpacing"/>
        <w:rPr>
          <w:rFonts w:ascii="Arial Black" w:hAnsi="Arial Black"/>
          <w:sz w:val="24"/>
          <w:szCs w:val="24"/>
        </w:rPr>
      </w:pPr>
    </w:p>
    <w:p w14:paraId="0BADF1DA"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
          <w:bCs/>
          <w:sz w:val="24"/>
          <w:szCs w:val="24"/>
        </w:rPr>
        <w:t xml:space="preserve">Legal Lessons Learned: The FD wisely </w:t>
      </w:r>
      <w:r>
        <w:rPr>
          <w:rFonts w:ascii="Times New Roman" w:hAnsi="Times New Roman"/>
          <w:b/>
          <w:bCs/>
          <w:sz w:val="24"/>
          <w:szCs w:val="24"/>
        </w:rPr>
        <w:t xml:space="preserve">issued the firefighter </w:t>
      </w:r>
      <w:r w:rsidRPr="00665BD0">
        <w:rPr>
          <w:rFonts w:ascii="Times New Roman" w:hAnsi="Times New Roman"/>
          <w:b/>
          <w:bCs/>
          <w:sz w:val="24"/>
          <w:szCs w:val="24"/>
        </w:rPr>
        <w:t xml:space="preserve">a written notice of potential violations of FD </w:t>
      </w:r>
      <w:proofErr w:type="gramStart"/>
      <w:r w:rsidRPr="00665BD0">
        <w:rPr>
          <w:rFonts w:ascii="Times New Roman" w:hAnsi="Times New Roman"/>
          <w:b/>
          <w:bCs/>
          <w:sz w:val="24"/>
          <w:szCs w:val="24"/>
        </w:rPr>
        <w:t>policies, and</w:t>
      </w:r>
      <w:proofErr w:type="gramEnd"/>
      <w:r w:rsidRPr="00665BD0">
        <w:rPr>
          <w:rFonts w:ascii="Times New Roman" w:hAnsi="Times New Roman"/>
          <w:b/>
          <w:bCs/>
          <w:sz w:val="24"/>
          <w:szCs w:val="24"/>
        </w:rPr>
        <w:t xml:space="preserve"> </w:t>
      </w:r>
      <w:r>
        <w:rPr>
          <w:rFonts w:ascii="Times New Roman" w:hAnsi="Times New Roman"/>
          <w:b/>
          <w:bCs/>
          <w:sz w:val="24"/>
          <w:szCs w:val="24"/>
        </w:rPr>
        <w:t xml:space="preserve">provided </w:t>
      </w:r>
      <w:r w:rsidRPr="00665BD0">
        <w:rPr>
          <w:rFonts w:ascii="Times New Roman" w:hAnsi="Times New Roman"/>
          <w:b/>
          <w:bCs/>
          <w:sz w:val="24"/>
          <w:szCs w:val="24"/>
        </w:rPr>
        <w:t xml:space="preserve">a </w:t>
      </w:r>
      <w:r w:rsidRPr="00665BD0">
        <w:rPr>
          <w:rFonts w:ascii="Times New Roman" w:hAnsi="Times New Roman"/>
          <w:b/>
          <w:bCs/>
          <w:i/>
          <w:iCs/>
          <w:sz w:val="24"/>
          <w:szCs w:val="24"/>
        </w:rPr>
        <w:t xml:space="preserve">Loudermill </w:t>
      </w:r>
      <w:r w:rsidRPr="00665BD0">
        <w:rPr>
          <w:rFonts w:ascii="Times New Roman" w:hAnsi="Times New Roman"/>
          <w:b/>
          <w:bCs/>
          <w:sz w:val="24"/>
          <w:szCs w:val="24"/>
        </w:rPr>
        <w:t xml:space="preserve">meeting with the Fire Chief and Deputy Chief.  </w:t>
      </w:r>
    </w:p>
    <w:p w14:paraId="2B23E381" w14:textId="77777777" w:rsidR="0066298F" w:rsidRPr="00665BD0" w:rsidRDefault="0066298F" w:rsidP="0066298F">
      <w:pPr>
        <w:pStyle w:val="NoSpacing"/>
        <w:tabs>
          <w:tab w:val="left" w:pos="3270"/>
        </w:tabs>
        <w:rPr>
          <w:rFonts w:ascii="Times New Roman" w:hAnsi="Times New Roman"/>
          <w:b/>
          <w:bCs/>
          <w:sz w:val="24"/>
          <w:szCs w:val="24"/>
        </w:rPr>
      </w:pPr>
    </w:p>
    <w:p w14:paraId="1ADBA541" w14:textId="77777777" w:rsidR="0066298F" w:rsidRPr="006B490F" w:rsidRDefault="0066298F" w:rsidP="0066298F">
      <w:pPr>
        <w:pStyle w:val="NoSpacing"/>
        <w:rPr>
          <w:b/>
          <w:bCs/>
          <w:sz w:val="24"/>
          <w:szCs w:val="24"/>
        </w:rPr>
      </w:pPr>
    </w:p>
    <w:p w14:paraId="6A3B0A77" w14:textId="77777777" w:rsidR="0066298F" w:rsidRDefault="0066298F" w:rsidP="00F326E5">
      <w:pPr>
        <w:pStyle w:val="NoSpacing"/>
        <w:rPr>
          <w:rFonts w:ascii="Arial Black" w:hAnsi="Arial Black"/>
          <w:sz w:val="24"/>
          <w:szCs w:val="24"/>
        </w:rPr>
      </w:pPr>
    </w:p>
    <w:p w14:paraId="3651EEF2" w14:textId="6C4D3D71" w:rsidR="0066298F" w:rsidRDefault="0066298F" w:rsidP="00F326E5">
      <w:pPr>
        <w:pStyle w:val="NoSpacing"/>
        <w:rPr>
          <w:rFonts w:ascii="Arial Black" w:hAnsi="Arial Black"/>
          <w:sz w:val="24"/>
          <w:szCs w:val="24"/>
        </w:rPr>
      </w:pPr>
      <w:r>
        <w:rPr>
          <w:rFonts w:ascii="Arial Black" w:hAnsi="Arial Black"/>
          <w:sz w:val="24"/>
          <w:szCs w:val="24"/>
        </w:rPr>
        <w:t>16-26</w:t>
      </w:r>
    </w:p>
    <w:p w14:paraId="7CEC38C2" w14:textId="0D4A5CD2" w:rsidR="0066298F" w:rsidRDefault="0066298F" w:rsidP="00F326E5">
      <w:pPr>
        <w:pStyle w:val="NoSpacing"/>
        <w:rPr>
          <w:rFonts w:ascii="Arial Black" w:hAnsi="Arial Black"/>
          <w:sz w:val="24"/>
          <w:szCs w:val="24"/>
        </w:rPr>
      </w:pPr>
    </w:p>
    <w:p w14:paraId="04AEEBCE" w14:textId="77777777" w:rsidR="0066298F" w:rsidRPr="00186EE7" w:rsidRDefault="0066298F" w:rsidP="0066298F">
      <w:pPr>
        <w:pStyle w:val="NoSpacing"/>
        <w:rPr>
          <w:rFonts w:ascii="Arial Black" w:hAnsi="Arial Black"/>
          <w:b/>
          <w:bCs/>
          <w:sz w:val="28"/>
          <w:szCs w:val="28"/>
        </w:rPr>
      </w:pPr>
      <w:r>
        <w:rPr>
          <w:rFonts w:ascii="Arial Black" w:hAnsi="Arial Black"/>
          <w:bCs/>
          <w:sz w:val="28"/>
          <w:szCs w:val="28"/>
        </w:rPr>
        <w:t>IN: FF REPEATEDLY LATE FOR WORK &amp; ABSENT WITHOUT LEAVE – PROGRESSIVE DISCIPLINE – TERMINATION UPHELD</w:t>
      </w:r>
    </w:p>
    <w:p w14:paraId="4598FECC" w14:textId="77777777" w:rsidR="0066298F" w:rsidRDefault="0066298F" w:rsidP="0066298F">
      <w:pPr>
        <w:pStyle w:val="NoSpacing"/>
        <w:rPr>
          <w:b/>
          <w:bCs/>
          <w:sz w:val="24"/>
          <w:szCs w:val="24"/>
        </w:rPr>
      </w:pPr>
    </w:p>
    <w:p w14:paraId="1973C475"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Cs/>
          <w:sz w:val="24"/>
          <w:szCs w:val="24"/>
        </w:rPr>
        <w:t xml:space="preserve">On March 6, 2020, in </w:t>
      </w:r>
      <w:r w:rsidRPr="00665BD0">
        <w:rPr>
          <w:rFonts w:ascii="Times New Roman" w:hAnsi="Times New Roman"/>
          <w:bCs/>
          <w:sz w:val="24"/>
          <w:szCs w:val="24"/>
          <w:u w:val="single"/>
        </w:rPr>
        <w:t>Kevin D. Jones v. City of Muncie Fire Merit Commission</w:t>
      </w:r>
      <w:r w:rsidRPr="00665BD0">
        <w:rPr>
          <w:rFonts w:ascii="Times New Roman" w:hAnsi="Times New Roman"/>
          <w:bCs/>
          <w:sz w:val="24"/>
          <w:szCs w:val="24"/>
        </w:rPr>
        <w:t xml:space="preserve">, the Court of Appeals of Indiana, held (3 to 0) that the trial court properly upheld the Commission. </w:t>
      </w:r>
    </w:p>
    <w:p w14:paraId="09448902" w14:textId="77777777" w:rsidR="0066298F" w:rsidRPr="00665BD0" w:rsidRDefault="0066298F" w:rsidP="0066298F">
      <w:pPr>
        <w:pStyle w:val="NoSpacing"/>
        <w:rPr>
          <w:rFonts w:ascii="Times New Roman" w:hAnsi="Times New Roman"/>
          <w:b/>
          <w:bCs/>
          <w:sz w:val="24"/>
          <w:szCs w:val="24"/>
        </w:rPr>
      </w:pPr>
    </w:p>
    <w:p w14:paraId="2548D6AA"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“We, therefore, conclude that there was substantial, relevant evidence presented to support the decision by the Commission to terminate Johanns’s employment. The evidence presented was sufficient to lead a reasonable person to support the conclusion to terminate the employment of Johanns, and the decision was not arbitrary and capricious. The trial court did not err in upholding the Commission’s decision. *** The Commission found that Johanns’s overall performance as a firefighter was poor, that he neglected his duties as a firefighter, disobeyed orders, and was absent without leave and concluded that Johanns’s employment should be terminated.” </w:t>
      </w:r>
      <w:hyperlink r:id="rId2708" w:history="1">
        <w:r w:rsidRPr="00665BD0">
          <w:rPr>
            <w:rStyle w:val="Hyperlink"/>
            <w:rFonts w:ascii="Times New Roman" w:hAnsi="Times New Roman"/>
            <w:b/>
            <w:sz w:val="24"/>
            <w:szCs w:val="24"/>
          </w:rPr>
          <w:t>https://www.in.gov/judiciary/opinions/pdf/03062003jsk.pdf</w:t>
        </w:r>
      </w:hyperlink>
      <w:r w:rsidRPr="00665BD0">
        <w:rPr>
          <w:rFonts w:ascii="Times New Roman" w:hAnsi="Times New Roman"/>
          <w:bCs/>
          <w:sz w:val="24"/>
          <w:szCs w:val="24"/>
        </w:rPr>
        <w:t xml:space="preserve"> </w:t>
      </w:r>
    </w:p>
    <w:p w14:paraId="60A80EB8" w14:textId="77777777" w:rsidR="0066298F" w:rsidRDefault="0066298F" w:rsidP="0066298F">
      <w:pPr>
        <w:pStyle w:val="NoSpacing"/>
        <w:rPr>
          <w:rFonts w:ascii="Times New Roman" w:hAnsi="Times New Roman"/>
          <w:b/>
          <w:bCs/>
          <w:sz w:val="24"/>
          <w:szCs w:val="24"/>
        </w:rPr>
      </w:pPr>
    </w:p>
    <w:p w14:paraId="00FEFEDF" w14:textId="3AC14E23" w:rsidR="0066298F" w:rsidRPr="00665BD0" w:rsidRDefault="0066298F" w:rsidP="0066298F">
      <w:pPr>
        <w:pStyle w:val="NoSpacing"/>
        <w:rPr>
          <w:rFonts w:ascii="Times New Roman" w:hAnsi="Times New Roman"/>
          <w:b/>
          <w:bCs/>
          <w:sz w:val="24"/>
          <w:szCs w:val="24"/>
        </w:rPr>
      </w:pPr>
      <w:r w:rsidRPr="00665BD0">
        <w:rPr>
          <w:rFonts w:ascii="Times New Roman" w:hAnsi="Times New Roman"/>
          <w:b/>
          <w:bCs/>
          <w:sz w:val="24"/>
          <w:szCs w:val="24"/>
        </w:rPr>
        <w:t xml:space="preserve">Legal Lessons Learned: The FD followed progressive </w:t>
      </w:r>
      <w:proofErr w:type="gramStart"/>
      <w:r w:rsidRPr="00665BD0">
        <w:rPr>
          <w:rFonts w:ascii="Times New Roman" w:hAnsi="Times New Roman"/>
          <w:b/>
          <w:bCs/>
          <w:sz w:val="24"/>
          <w:szCs w:val="24"/>
        </w:rPr>
        <w:t>discipline,</w:t>
      </w:r>
      <w:r w:rsidR="00B0089C">
        <w:rPr>
          <w:rFonts w:ascii="Times New Roman" w:hAnsi="Times New Roman"/>
          <w:b/>
          <w:bCs/>
          <w:sz w:val="24"/>
          <w:szCs w:val="24"/>
        </w:rPr>
        <w:t xml:space="preserve">  </w:t>
      </w:r>
      <w:r w:rsidRPr="00665BD0">
        <w:rPr>
          <w:rFonts w:ascii="Times New Roman" w:hAnsi="Times New Roman"/>
          <w:b/>
          <w:bCs/>
          <w:sz w:val="24"/>
          <w:szCs w:val="24"/>
        </w:rPr>
        <w:t>and</w:t>
      </w:r>
      <w:proofErr w:type="gramEnd"/>
      <w:r w:rsidRPr="00665BD0">
        <w:rPr>
          <w:rFonts w:ascii="Times New Roman" w:hAnsi="Times New Roman"/>
          <w:b/>
          <w:bCs/>
          <w:sz w:val="24"/>
          <w:szCs w:val="24"/>
        </w:rPr>
        <w:t xml:space="preserve"> documented </w:t>
      </w:r>
      <w:r>
        <w:rPr>
          <w:rFonts w:ascii="Times New Roman" w:hAnsi="Times New Roman"/>
          <w:b/>
          <w:bCs/>
          <w:sz w:val="24"/>
          <w:szCs w:val="24"/>
        </w:rPr>
        <w:t xml:space="preserve">the </w:t>
      </w:r>
      <w:r w:rsidRPr="00665BD0">
        <w:rPr>
          <w:rFonts w:ascii="Times New Roman" w:hAnsi="Times New Roman"/>
          <w:b/>
          <w:bCs/>
          <w:sz w:val="24"/>
          <w:szCs w:val="24"/>
        </w:rPr>
        <w:t xml:space="preserve">poor performance issues.   </w:t>
      </w:r>
    </w:p>
    <w:p w14:paraId="78D7AA58" w14:textId="77777777" w:rsidR="0066298F" w:rsidRDefault="0066298F" w:rsidP="00F326E5">
      <w:pPr>
        <w:pStyle w:val="NoSpacing"/>
        <w:rPr>
          <w:rFonts w:ascii="Arial Black" w:hAnsi="Arial Black"/>
          <w:sz w:val="24"/>
          <w:szCs w:val="24"/>
        </w:rPr>
      </w:pPr>
    </w:p>
    <w:p w14:paraId="7A92CDB5" w14:textId="5BD66274" w:rsidR="0066298F" w:rsidRDefault="0066298F" w:rsidP="00F326E5">
      <w:pPr>
        <w:pStyle w:val="NoSpacing"/>
        <w:rPr>
          <w:rFonts w:ascii="Arial Black" w:hAnsi="Arial Black"/>
          <w:sz w:val="24"/>
          <w:szCs w:val="24"/>
        </w:rPr>
      </w:pPr>
      <w:r>
        <w:rPr>
          <w:rFonts w:ascii="Arial Black" w:hAnsi="Arial Black"/>
          <w:sz w:val="24"/>
          <w:szCs w:val="24"/>
        </w:rPr>
        <w:t>16-25</w:t>
      </w:r>
    </w:p>
    <w:p w14:paraId="4A8BDF0C" w14:textId="72F8A034" w:rsidR="0066298F" w:rsidRDefault="0066298F" w:rsidP="00F326E5">
      <w:pPr>
        <w:pStyle w:val="NoSpacing"/>
        <w:rPr>
          <w:rFonts w:ascii="Arial Black" w:hAnsi="Arial Black"/>
          <w:sz w:val="24"/>
          <w:szCs w:val="24"/>
        </w:rPr>
      </w:pPr>
    </w:p>
    <w:p w14:paraId="04AE90C4" w14:textId="77777777" w:rsidR="0066298F" w:rsidRPr="005D736B" w:rsidRDefault="0066298F" w:rsidP="0066298F">
      <w:pPr>
        <w:pStyle w:val="NoSpacing"/>
        <w:rPr>
          <w:rFonts w:ascii="Arial Black" w:hAnsi="Arial Black"/>
          <w:sz w:val="28"/>
          <w:szCs w:val="28"/>
        </w:rPr>
      </w:pPr>
      <w:r w:rsidRPr="005D736B">
        <w:rPr>
          <w:rFonts w:ascii="Arial Black" w:hAnsi="Arial Black"/>
          <w:sz w:val="28"/>
          <w:szCs w:val="28"/>
        </w:rPr>
        <w:t xml:space="preserve">AR: </w:t>
      </w:r>
      <w:r>
        <w:rPr>
          <w:rFonts w:ascii="Arial Black" w:hAnsi="Arial Black"/>
          <w:sz w:val="28"/>
          <w:szCs w:val="28"/>
        </w:rPr>
        <w:t xml:space="preserve">PROB. </w:t>
      </w:r>
      <w:r w:rsidRPr="005D736B">
        <w:rPr>
          <w:rFonts w:ascii="Arial Black" w:hAnsi="Arial Black"/>
          <w:sz w:val="28"/>
          <w:szCs w:val="28"/>
        </w:rPr>
        <w:t>FF</w:t>
      </w:r>
      <w:r>
        <w:rPr>
          <w:rFonts w:ascii="Arial Black" w:hAnsi="Arial Black"/>
          <w:sz w:val="28"/>
          <w:szCs w:val="28"/>
        </w:rPr>
        <w:t xml:space="preserve"> – WARNED OF POOR JOB PERFORMANCE – FIRED – VERY WELL DOCUMENTED – </w:t>
      </w:r>
      <w:r w:rsidRPr="005D736B">
        <w:rPr>
          <w:rFonts w:ascii="Arial Black" w:hAnsi="Arial Black"/>
          <w:sz w:val="28"/>
          <w:szCs w:val="28"/>
        </w:rPr>
        <w:t>NO</w:t>
      </w:r>
      <w:r>
        <w:rPr>
          <w:rFonts w:ascii="Arial Black" w:hAnsi="Arial Black"/>
          <w:sz w:val="28"/>
          <w:szCs w:val="28"/>
        </w:rPr>
        <w:t xml:space="preserve"> RETALIATION FOR HIS WORK COMP CLAIM</w:t>
      </w:r>
      <w:r w:rsidRPr="005D736B">
        <w:rPr>
          <w:rFonts w:ascii="Arial Black" w:hAnsi="Arial Black"/>
          <w:sz w:val="28"/>
          <w:szCs w:val="28"/>
        </w:rPr>
        <w:t xml:space="preserve"> </w:t>
      </w:r>
      <w:r>
        <w:rPr>
          <w:rFonts w:ascii="Arial Black" w:hAnsi="Arial Black"/>
          <w:sz w:val="28"/>
          <w:szCs w:val="28"/>
        </w:rPr>
        <w:t xml:space="preserve"> </w:t>
      </w:r>
    </w:p>
    <w:p w14:paraId="37F46574" w14:textId="77777777" w:rsidR="0066298F" w:rsidRDefault="0066298F" w:rsidP="0066298F">
      <w:pPr>
        <w:pStyle w:val="NoSpacing"/>
      </w:pPr>
    </w:p>
    <w:p w14:paraId="35E4DA19" w14:textId="77777777" w:rsidR="0066298F" w:rsidRPr="00665BD0" w:rsidRDefault="0066298F" w:rsidP="0066298F">
      <w:pPr>
        <w:pStyle w:val="NoSpacing"/>
        <w:rPr>
          <w:rFonts w:ascii="Times New Roman" w:hAnsi="Times New Roman"/>
          <w:b/>
          <w:bCs/>
          <w:sz w:val="24"/>
          <w:szCs w:val="24"/>
        </w:rPr>
      </w:pPr>
      <w:r w:rsidRPr="00665BD0">
        <w:rPr>
          <w:rFonts w:ascii="Times New Roman" w:hAnsi="Times New Roman"/>
          <w:bCs/>
          <w:sz w:val="24"/>
          <w:szCs w:val="24"/>
        </w:rPr>
        <w:t xml:space="preserve">On March 5, 2020, in </w:t>
      </w:r>
      <w:r w:rsidRPr="00665BD0">
        <w:rPr>
          <w:rFonts w:ascii="Times New Roman" w:hAnsi="Times New Roman"/>
          <w:bCs/>
          <w:sz w:val="24"/>
          <w:szCs w:val="24"/>
          <w:u w:val="single"/>
        </w:rPr>
        <w:t>Michael Burroughs v. City of Tucson</w:t>
      </w:r>
      <w:r w:rsidRPr="00665BD0">
        <w:rPr>
          <w:rFonts w:ascii="Times New Roman" w:hAnsi="Times New Roman"/>
          <w:bCs/>
          <w:sz w:val="24"/>
          <w:szCs w:val="24"/>
        </w:rPr>
        <w:t xml:space="preserve">, the U.S. Court of Appeals for the Ninth Circuit (San Francisco), held (3 to 0) in an unpublished decision that the trial court properly granted summary judgment to the City.  He was repeated informed of his “Job </w:t>
      </w:r>
      <w:proofErr w:type="gramStart"/>
      <w:r w:rsidRPr="00665BD0">
        <w:rPr>
          <w:rFonts w:ascii="Times New Roman" w:hAnsi="Times New Roman"/>
          <w:bCs/>
          <w:sz w:val="24"/>
          <w:szCs w:val="24"/>
        </w:rPr>
        <w:t>In</w:t>
      </w:r>
      <w:proofErr w:type="gramEnd"/>
      <w:r w:rsidRPr="00665BD0">
        <w:rPr>
          <w:rFonts w:ascii="Times New Roman" w:hAnsi="Times New Roman"/>
          <w:bCs/>
          <w:sz w:val="24"/>
          <w:szCs w:val="24"/>
        </w:rPr>
        <w:t xml:space="preserve"> Jeopardy” status after barely graduating from the Training Academy. For example: “On or about October 19, 2015, Plaintiff was given TFD's Performance Evaluation for Probationary Firefighter. Plaintiff's evaluation indicated that he needed improvement on eight (8) out of seventeen (17) categories for which he was provided feedback.”  He was terminated on November 10, 2015 [don’t know when he filed Workers Comp claim.]</w:t>
      </w:r>
    </w:p>
    <w:p w14:paraId="278FCB73" w14:textId="77777777" w:rsidR="0066298F" w:rsidRPr="00665BD0" w:rsidRDefault="0066298F" w:rsidP="0066298F">
      <w:pPr>
        <w:pStyle w:val="NoSpacing"/>
        <w:rPr>
          <w:rFonts w:ascii="Times New Roman" w:hAnsi="Times New Roman"/>
          <w:b/>
          <w:bCs/>
          <w:sz w:val="24"/>
          <w:szCs w:val="24"/>
        </w:rPr>
      </w:pPr>
    </w:p>
    <w:p w14:paraId="5A1EC3A1" w14:textId="77777777" w:rsidR="0066298F" w:rsidRDefault="0066298F" w:rsidP="0066298F">
      <w:pPr>
        <w:pStyle w:val="NoSpacing"/>
        <w:ind w:left="720"/>
        <w:rPr>
          <w:rFonts w:ascii="Times New Roman" w:hAnsi="Times New Roman"/>
          <w:bCs/>
          <w:sz w:val="24"/>
          <w:szCs w:val="24"/>
        </w:rPr>
      </w:pPr>
      <w:r w:rsidRPr="00665BD0">
        <w:rPr>
          <w:rFonts w:ascii="Times New Roman" w:hAnsi="Times New Roman"/>
          <w:bCs/>
          <w:sz w:val="24"/>
          <w:szCs w:val="24"/>
        </w:rPr>
        <w:t>“Michael Burroughs appeals the adverse summary judgment in favor of the City of Tucson on his claims of disability discrimination in violation of Title I of the Americans with Disabilities Act,42 U.S.C.§§12111–</w:t>
      </w:r>
    </w:p>
    <w:p w14:paraId="6943D0F3"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12117 (“ADA”), and retaliation for exercising his workers’ compensation rights in violation of the Arizona Employment Protection Act, A.R.S.§23-1501(A)(3)(c)(iii). We have jurisdiction under 28 U.S.C.§1291, and we affirm.</w:t>
      </w:r>
    </w:p>
    <w:p w14:paraId="69B3F5D5" w14:textId="77777777" w:rsidR="0066298F" w:rsidRPr="00665BD0" w:rsidRDefault="0066298F" w:rsidP="0066298F">
      <w:pPr>
        <w:pStyle w:val="NoSpacing"/>
        <w:ind w:left="720"/>
        <w:rPr>
          <w:rFonts w:ascii="Times New Roman" w:hAnsi="Times New Roman"/>
          <w:b/>
          <w:bCs/>
          <w:sz w:val="24"/>
          <w:szCs w:val="24"/>
        </w:rPr>
      </w:pPr>
    </w:p>
    <w:p w14:paraId="37EADA60" w14:textId="77777777" w:rsidR="0066298F" w:rsidRPr="00665BD0" w:rsidRDefault="0066298F" w:rsidP="0066298F">
      <w:pPr>
        <w:pStyle w:val="NoSpacing"/>
        <w:ind w:left="720"/>
        <w:rPr>
          <w:rFonts w:ascii="Times New Roman" w:hAnsi="Times New Roman"/>
          <w:b/>
          <w:bCs/>
          <w:sz w:val="24"/>
          <w:szCs w:val="24"/>
        </w:rPr>
      </w:pPr>
      <w:r w:rsidRPr="00665BD0">
        <w:rPr>
          <w:rFonts w:ascii="Times New Roman" w:hAnsi="Times New Roman"/>
          <w:bCs/>
          <w:sz w:val="24"/>
          <w:szCs w:val="24"/>
        </w:rPr>
        <w:t xml:space="preserve">When Burroughs hurt his back at the fire academy, a </w:t>
      </w:r>
      <w:proofErr w:type="gramStart"/>
      <w:r w:rsidRPr="00665BD0">
        <w:rPr>
          <w:rFonts w:ascii="Times New Roman" w:hAnsi="Times New Roman"/>
          <w:bCs/>
          <w:sz w:val="24"/>
          <w:szCs w:val="24"/>
        </w:rPr>
        <w:t>City</w:t>
      </w:r>
      <w:proofErr w:type="gramEnd"/>
      <w:r w:rsidRPr="00665BD0">
        <w:rPr>
          <w:rFonts w:ascii="Times New Roman" w:hAnsi="Times New Roman"/>
          <w:bCs/>
          <w:sz w:val="24"/>
          <w:szCs w:val="24"/>
        </w:rPr>
        <w:t xml:space="preserve"> physician evaluated his injury, diagnosed him with a ‘lumbar strain,’ and released him back to work without restriction. Another City physician reached the same conclusion two days later when Burroughs complained of difficulty sitting. And finally, after yet another medical evaluation deeming him fit for duty, Burroughs graduated from the fire academy and started working at his first station. Faced with these medical opinions based on physical examinations, Burroughs’s only contrary evidence is his own conclusory self-assessment. Not quite a genuine factual dispute.”</w:t>
      </w:r>
    </w:p>
    <w:p w14:paraId="47C8613A" w14:textId="77777777" w:rsidR="0066298F" w:rsidRPr="00665BD0" w:rsidRDefault="0066298F" w:rsidP="0066298F">
      <w:pPr>
        <w:pStyle w:val="NoSpacing"/>
        <w:ind w:left="720"/>
        <w:rPr>
          <w:rFonts w:ascii="Times New Roman" w:hAnsi="Times New Roman"/>
          <w:b/>
          <w:bCs/>
          <w:sz w:val="24"/>
          <w:szCs w:val="24"/>
        </w:rPr>
      </w:pPr>
      <w:hyperlink r:id="rId2709" w:history="1">
        <w:r w:rsidRPr="00665BD0">
          <w:rPr>
            <w:rStyle w:val="Hyperlink"/>
            <w:rFonts w:ascii="Times New Roman" w:hAnsi="Times New Roman"/>
            <w:b/>
            <w:sz w:val="24"/>
            <w:szCs w:val="24"/>
          </w:rPr>
          <w:t>https://cases.justia.com/federal/appellate-courts/ca9/18-16994/18-16994-2020-03-05.pdf?ts=1583442068</w:t>
        </w:r>
      </w:hyperlink>
      <w:r w:rsidRPr="00665BD0">
        <w:rPr>
          <w:rFonts w:ascii="Times New Roman" w:hAnsi="Times New Roman"/>
          <w:bCs/>
          <w:sz w:val="24"/>
          <w:szCs w:val="24"/>
        </w:rPr>
        <w:t xml:space="preserve"> </w:t>
      </w:r>
    </w:p>
    <w:p w14:paraId="4726EAB8" w14:textId="6D46CB6E" w:rsidR="0066298F" w:rsidRDefault="0066298F" w:rsidP="00F326E5">
      <w:pPr>
        <w:pStyle w:val="NoSpacing"/>
        <w:rPr>
          <w:rFonts w:ascii="Arial Black" w:hAnsi="Arial Black"/>
          <w:sz w:val="24"/>
          <w:szCs w:val="24"/>
        </w:rPr>
      </w:pPr>
    </w:p>
    <w:p w14:paraId="10CDC48E" w14:textId="77777777" w:rsidR="0066298F" w:rsidRDefault="0066298F" w:rsidP="0066298F">
      <w:pPr>
        <w:pStyle w:val="NoSpacing"/>
        <w:rPr>
          <w:rFonts w:ascii="Times New Roman" w:eastAsia="Times New Roman" w:hAnsi="Times New Roman"/>
          <w:b/>
          <w:bCs/>
          <w:sz w:val="24"/>
          <w:szCs w:val="24"/>
        </w:rPr>
      </w:pPr>
      <w:r w:rsidRPr="00665BD0">
        <w:rPr>
          <w:rFonts w:ascii="Times New Roman" w:hAnsi="Times New Roman"/>
          <w:b/>
          <w:bCs/>
          <w:sz w:val="24"/>
          <w:szCs w:val="24"/>
        </w:rPr>
        <w:t xml:space="preserve">Legal Lessons Learned: The FD did a great job documenting </w:t>
      </w:r>
      <w:proofErr w:type="gramStart"/>
      <w:r w:rsidRPr="00665BD0">
        <w:rPr>
          <w:rFonts w:ascii="Times New Roman" w:hAnsi="Times New Roman"/>
          <w:b/>
          <w:bCs/>
          <w:sz w:val="24"/>
          <w:szCs w:val="24"/>
        </w:rPr>
        <w:t xml:space="preserve">the </w:t>
      </w:r>
      <w:r>
        <w:rPr>
          <w:rFonts w:ascii="Times New Roman" w:hAnsi="Times New Roman"/>
          <w:b/>
          <w:bCs/>
          <w:sz w:val="24"/>
          <w:szCs w:val="24"/>
        </w:rPr>
        <w:t>poor</w:t>
      </w:r>
      <w:proofErr w:type="gramEnd"/>
      <w:r>
        <w:rPr>
          <w:rFonts w:ascii="Times New Roman" w:hAnsi="Times New Roman"/>
          <w:b/>
          <w:bCs/>
          <w:sz w:val="24"/>
          <w:szCs w:val="24"/>
        </w:rPr>
        <w:t xml:space="preserve"> work performance. </w:t>
      </w:r>
    </w:p>
    <w:p w14:paraId="4FF7213D" w14:textId="77777777" w:rsidR="0066298F" w:rsidRDefault="0066298F" w:rsidP="00F326E5">
      <w:pPr>
        <w:pStyle w:val="NoSpacing"/>
        <w:rPr>
          <w:rFonts w:ascii="Arial Black" w:hAnsi="Arial Black"/>
          <w:sz w:val="24"/>
          <w:szCs w:val="24"/>
        </w:rPr>
      </w:pPr>
    </w:p>
    <w:p w14:paraId="7B8856C3" w14:textId="77777777" w:rsidR="0066298F" w:rsidRDefault="0066298F" w:rsidP="00F326E5">
      <w:pPr>
        <w:pStyle w:val="NoSpacing"/>
        <w:rPr>
          <w:rFonts w:ascii="Arial Black" w:hAnsi="Arial Black"/>
          <w:sz w:val="24"/>
          <w:szCs w:val="24"/>
        </w:rPr>
      </w:pPr>
    </w:p>
    <w:p w14:paraId="6D513E6E" w14:textId="6CEA81F4" w:rsidR="007A1E7A" w:rsidRDefault="007A1E7A" w:rsidP="00F326E5">
      <w:pPr>
        <w:pStyle w:val="NoSpacing"/>
        <w:rPr>
          <w:rFonts w:ascii="Arial Black" w:hAnsi="Arial Black"/>
          <w:sz w:val="24"/>
          <w:szCs w:val="24"/>
        </w:rPr>
      </w:pPr>
      <w:r>
        <w:rPr>
          <w:rFonts w:ascii="Arial Black" w:hAnsi="Arial Black"/>
          <w:sz w:val="24"/>
          <w:szCs w:val="24"/>
        </w:rPr>
        <w:t>16-24</w:t>
      </w:r>
    </w:p>
    <w:p w14:paraId="62B045D2" w14:textId="2D785B8D" w:rsidR="007A1E7A" w:rsidRDefault="007A1E7A" w:rsidP="00F326E5">
      <w:pPr>
        <w:pStyle w:val="NoSpacing"/>
        <w:rPr>
          <w:rFonts w:ascii="Arial Black" w:hAnsi="Arial Black"/>
          <w:sz w:val="24"/>
          <w:szCs w:val="24"/>
        </w:rPr>
      </w:pPr>
    </w:p>
    <w:p w14:paraId="73E22A4B" w14:textId="77777777" w:rsidR="007A1E7A" w:rsidRPr="00C34E57" w:rsidRDefault="007A1E7A" w:rsidP="007A1E7A">
      <w:pPr>
        <w:pStyle w:val="NoSpacing"/>
        <w:rPr>
          <w:rFonts w:ascii="Arial Black" w:hAnsi="Arial Black"/>
          <w:sz w:val="28"/>
          <w:szCs w:val="28"/>
        </w:rPr>
      </w:pPr>
      <w:r w:rsidRPr="00C34E57">
        <w:rPr>
          <w:rFonts w:ascii="Arial Black" w:hAnsi="Arial Black"/>
          <w:sz w:val="28"/>
          <w:szCs w:val="28"/>
        </w:rPr>
        <w:t xml:space="preserve">MI: </w:t>
      </w:r>
      <w:r>
        <w:rPr>
          <w:rFonts w:ascii="Arial Black" w:hAnsi="Arial Black"/>
          <w:sz w:val="28"/>
          <w:szCs w:val="28"/>
        </w:rPr>
        <w:t>POLICE CHIEF FIRED – MERGER TWO 911 SYSTEMS - POSTED TAXPAYERS “GETTING THE SHAFT” –– LAWSUIT TO PROCEED</w:t>
      </w:r>
    </w:p>
    <w:p w14:paraId="467D7DA6" w14:textId="77777777" w:rsidR="007A1E7A" w:rsidRPr="004B30C8" w:rsidRDefault="007A1E7A" w:rsidP="007A1E7A">
      <w:pPr>
        <w:spacing w:before="100" w:beforeAutospacing="1" w:after="100" w:afterAutospacing="1" w:line="240" w:lineRule="auto"/>
        <w:rPr>
          <w:rFonts w:ascii="Times New Roman" w:hAnsi="Times New Roman"/>
          <w:sz w:val="24"/>
          <w:szCs w:val="24"/>
        </w:rPr>
      </w:pPr>
      <w:r w:rsidRPr="004B30C8">
        <w:rPr>
          <w:rFonts w:ascii="Times New Roman" w:eastAsia="Times New Roman" w:hAnsi="Times New Roman"/>
          <w:sz w:val="24"/>
          <w:szCs w:val="24"/>
        </w:rPr>
        <w:t xml:space="preserve">On March 2, 2020, in </w:t>
      </w:r>
      <w:r w:rsidRPr="004B30C8">
        <w:rPr>
          <w:rFonts w:ascii="Times New Roman" w:eastAsia="Times New Roman" w:hAnsi="Times New Roman"/>
          <w:sz w:val="24"/>
          <w:szCs w:val="24"/>
          <w:u w:val="single"/>
        </w:rPr>
        <w:t>Chad Hayse v. City of Melvindale</w:t>
      </w:r>
      <w:r w:rsidRPr="004B30C8">
        <w:rPr>
          <w:rFonts w:ascii="Times New Roman" w:eastAsia="Times New Roman" w:hAnsi="Times New Roman"/>
          <w:sz w:val="24"/>
          <w:szCs w:val="24"/>
        </w:rPr>
        <w:t xml:space="preserve">, U.S. District Court Judge </w:t>
      </w:r>
      <w:r w:rsidRPr="004B30C8">
        <w:rPr>
          <w:rFonts w:ascii="Times New Roman" w:hAnsi="Times New Roman"/>
          <w:sz w:val="24"/>
          <w:szCs w:val="24"/>
        </w:rPr>
        <w:t xml:space="preserve">Linda V. Parker, Eastern District of Michigan (Southern Division) denied the City’s motion for summary judgment. The City fired the Police Chief after he posted comments on Facebook page in opposition to the merger of the City’s 911 dispatch with the City of Dearborn’s dispatch; hot issue on which the City Council of Melvindale was going to soon vote. </w:t>
      </w:r>
    </w:p>
    <w:p w14:paraId="574A33A0" w14:textId="77777777" w:rsidR="007A1E7A" w:rsidRPr="004B30C8" w:rsidRDefault="007A1E7A" w:rsidP="007A1E7A">
      <w:pPr>
        <w:pStyle w:val="NoSpacing"/>
        <w:ind w:left="720"/>
        <w:rPr>
          <w:rFonts w:ascii="Times New Roman" w:eastAsia="Times New Roman" w:hAnsi="Times New Roman"/>
          <w:sz w:val="24"/>
          <w:szCs w:val="24"/>
        </w:rPr>
      </w:pPr>
      <w:r w:rsidRPr="004B30C8">
        <w:rPr>
          <w:rFonts w:ascii="Times New Roman" w:hAnsi="Times New Roman"/>
          <w:bCs/>
          <w:sz w:val="24"/>
          <w:szCs w:val="24"/>
        </w:rPr>
        <w:t xml:space="preserve">“In 2016, City Council readied itself to vote on the proposed merger of Melvindale's and the City of Dearborn's police dispatch systems. Discussions and debates abounded in public meetings, several of which were held over a two-month period. *** </w:t>
      </w:r>
      <w:r w:rsidRPr="004B30C8">
        <w:rPr>
          <w:rFonts w:ascii="Times New Roman" w:eastAsia="Times New Roman" w:hAnsi="Times New Roman"/>
          <w:bCs/>
          <w:sz w:val="24"/>
          <w:szCs w:val="24"/>
        </w:rPr>
        <w:t>Based on the record, the Court is unable to conclude that Defendants reasonably predicted that the ‘shaft’ comment would cause disruption within the police department. One reason is that the "shaft" comment did not contain ‘particularly inflammatory</w:t>
      </w:r>
      <w:proofErr w:type="gramStart"/>
      <w:r w:rsidRPr="004B30C8">
        <w:rPr>
          <w:rFonts w:ascii="Times New Roman" w:eastAsia="Times New Roman" w:hAnsi="Times New Roman"/>
          <w:bCs/>
          <w:sz w:val="24"/>
          <w:szCs w:val="24"/>
        </w:rPr>
        <w:t>,’ ‘</w:t>
      </w:r>
      <w:proofErr w:type="gramEnd"/>
      <w:r w:rsidRPr="004B30C8">
        <w:rPr>
          <w:rFonts w:ascii="Times New Roman" w:eastAsia="Times New Roman" w:hAnsi="Times New Roman"/>
          <w:bCs/>
          <w:sz w:val="24"/>
          <w:szCs w:val="24"/>
        </w:rPr>
        <w:t xml:space="preserve">abusive,’ or ‘exceptionally insulting’ language that could stir controversy among members of the police department. </w:t>
      </w:r>
      <w:r w:rsidRPr="004B30C8">
        <w:rPr>
          <w:rFonts w:ascii="Times New Roman" w:eastAsia="Times New Roman" w:hAnsi="Times New Roman"/>
          <w:bCs/>
          <w:i/>
          <w:iCs/>
          <w:sz w:val="24"/>
          <w:szCs w:val="24"/>
        </w:rPr>
        <w:t>See Rodgers</w:t>
      </w:r>
      <w:r w:rsidRPr="004B30C8">
        <w:rPr>
          <w:rFonts w:ascii="Times New Roman" w:eastAsia="Times New Roman" w:hAnsi="Times New Roman"/>
          <w:bCs/>
          <w:sz w:val="24"/>
          <w:szCs w:val="24"/>
        </w:rPr>
        <w:t xml:space="preserve">, 344 F.3d at 601. Another reason is that the public's reaction to the ‘shaft’ comment, as detailed in Defendants' arguments, provides little insight into what predictions Defendants made about how the comment would disrupt the police department. Accordingly, the Court finds that the balancing test weighs in Plaintiff's favor and the ‘shaft’ comment was constitutionally protected activity.” </w:t>
      </w:r>
      <w:hyperlink r:id="rId2710" w:history="1">
        <w:r w:rsidRPr="004B30C8">
          <w:rPr>
            <w:rStyle w:val="Hyperlink"/>
            <w:rFonts w:ascii="Times New Roman" w:eastAsia="Times New Roman" w:hAnsi="Times New Roman"/>
            <w:bCs/>
            <w:sz w:val="24"/>
            <w:szCs w:val="24"/>
          </w:rPr>
          <w:t>https://public.fastcase.com/Wl%2B2t%2BeVuI35%2FN70vAMFZsbNGaY2qJ5U2CI4LnVCoihkt6wfuyNvOKbs8su8KP1J</w:t>
        </w:r>
      </w:hyperlink>
      <w:r w:rsidRPr="004B30C8">
        <w:rPr>
          <w:rFonts w:ascii="Times New Roman" w:eastAsia="Times New Roman" w:hAnsi="Times New Roman"/>
          <w:sz w:val="24"/>
          <w:szCs w:val="24"/>
        </w:rPr>
        <w:t xml:space="preserve"> </w:t>
      </w:r>
    </w:p>
    <w:p w14:paraId="7D5D0051" w14:textId="511A75DF" w:rsidR="007A1E7A" w:rsidRDefault="007A1E7A" w:rsidP="00F326E5">
      <w:pPr>
        <w:pStyle w:val="NoSpacing"/>
        <w:rPr>
          <w:rFonts w:ascii="Arial Black" w:hAnsi="Arial Black"/>
          <w:sz w:val="24"/>
          <w:szCs w:val="24"/>
        </w:rPr>
      </w:pPr>
    </w:p>
    <w:p w14:paraId="5957F815" w14:textId="77777777" w:rsidR="007A1E7A" w:rsidRPr="004B30C8" w:rsidRDefault="007A1E7A" w:rsidP="007A1E7A">
      <w:pPr>
        <w:pStyle w:val="NoSpacing"/>
        <w:rPr>
          <w:rFonts w:ascii="Times New Roman" w:hAnsi="Times New Roman"/>
          <w:b/>
          <w:bCs/>
          <w:sz w:val="24"/>
          <w:szCs w:val="24"/>
        </w:rPr>
      </w:pPr>
      <w:r w:rsidRPr="004B30C8">
        <w:rPr>
          <w:rFonts w:ascii="Times New Roman" w:hAnsi="Times New Roman"/>
          <w:b/>
          <w:bCs/>
          <w:sz w:val="24"/>
          <w:szCs w:val="24"/>
        </w:rPr>
        <w:t xml:space="preserve">Legal Lessons Learned: Emergency responders, including Fire &amp; EMS, must be very cautious posting comments on any internal FD issues.  In this case, the issue was clearly </w:t>
      </w:r>
      <w:proofErr w:type="gramStart"/>
      <w:r w:rsidRPr="004B30C8">
        <w:rPr>
          <w:rFonts w:ascii="Times New Roman" w:hAnsi="Times New Roman"/>
          <w:b/>
          <w:bCs/>
          <w:sz w:val="24"/>
          <w:szCs w:val="24"/>
        </w:rPr>
        <w:t>an</w:t>
      </w:r>
      <w:proofErr w:type="gramEnd"/>
      <w:r w:rsidRPr="004B30C8">
        <w:rPr>
          <w:rFonts w:ascii="Times New Roman" w:hAnsi="Times New Roman"/>
          <w:b/>
          <w:bCs/>
          <w:sz w:val="24"/>
          <w:szCs w:val="24"/>
        </w:rPr>
        <w:t xml:space="preserve">  public matter, and the Court reviewed the U.S. Supreme Court’s “balancing test” and the fact that the Facebook post “was one of many made on a Facebook page visited by many Melvindale residents.”</w:t>
      </w:r>
    </w:p>
    <w:p w14:paraId="7F28BFEE" w14:textId="77777777" w:rsidR="007A1E7A" w:rsidRDefault="007A1E7A" w:rsidP="00F326E5">
      <w:pPr>
        <w:pStyle w:val="NoSpacing"/>
        <w:rPr>
          <w:rFonts w:ascii="Arial Black" w:hAnsi="Arial Black"/>
          <w:sz w:val="24"/>
          <w:szCs w:val="24"/>
        </w:rPr>
      </w:pPr>
    </w:p>
    <w:p w14:paraId="290216E9" w14:textId="77777777" w:rsidR="007A1E7A" w:rsidRDefault="007A1E7A" w:rsidP="00F326E5">
      <w:pPr>
        <w:pStyle w:val="NoSpacing"/>
        <w:rPr>
          <w:rFonts w:ascii="Arial Black" w:hAnsi="Arial Black"/>
          <w:sz w:val="24"/>
          <w:szCs w:val="24"/>
        </w:rPr>
      </w:pPr>
    </w:p>
    <w:p w14:paraId="68D12EC1" w14:textId="1F73654E" w:rsidR="00021E64" w:rsidRDefault="00021E64" w:rsidP="00F326E5">
      <w:pPr>
        <w:pStyle w:val="NoSpacing"/>
        <w:rPr>
          <w:rFonts w:ascii="Arial Black" w:hAnsi="Arial Black"/>
          <w:sz w:val="24"/>
          <w:szCs w:val="24"/>
        </w:rPr>
      </w:pPr>
      <w:r>
        <w:rPr>
          <w:rFonts w:ascii="Arial Black" w:hAnsi="Arial Black"/>
          <w:sz w:val="24"/>
          <w:szCs w:val="24"/>
        </w:rPr>
        <w:t>16-23</w:t>
      </w:r>
    </w:p>
    <w:p w14:paraId="4E62F865" w14:textId="77777777" w:rsidR="00021E64" w:rsidRDefault="00021E64" w:rsidP="00021E64">
      <w:pPr>
        <w:spacing w:before="100" w:beforeAutospacing="1" w:after="100" w:afterAutospacing="1"/>
        <w:rPr>
          <w:rFonts w:ascii="Arial Black" w:eastAsia="Times New Roman" w:hAnsi="Arial Black"/>
          <w:b/>
          <w:sz w:val="28"/>
          <w:szCs w:val="28"/>
        </w:rPr>
      </w:pPr>
      <w:r w:rsidRPr="002F5F03">
        <w:rPr>
          <w:rFonts w:ascii="Arial Black" w:eastAsia="Times New Roman" w:hAnsi="Arial Black"/>
          <w:sz w:val="28"/>
          <w:szCs w:val="28"/>
        </w:rPr>
        <w:t xml:space="preserve">TX: </w:t>
      </w:r>
      <w:r>
        <w:rPr>
          <w:rFonts w:ascii="Arial Black" w:eastAsia="Times New Roman" w:hAnsi="Arial Black"/>
          <w:sz w:val="28"/>
          <w:szCs w:val="28"/>
        </w:rPr>
        <w:t xml:space="preserve"> OFF-DUTY FF SLAPPED 70+ YEAR OLD, COMPLAINED FF’S KIDS BLOCKING VIEW – HEARING OFFICER REVERSED TERMINATION </w:t>
      </w:r>
    </w:p>
    <w:p w14:paraId="45E01B93" w14:textId="77777777" w:rsidR="00021E64" w:rsidRPr="00614DDC" w:rsidRDefault="00021E64" w:rsidP="00021E64">
      <w:pPr>
        <w:spacing w:before="100" w:beforeAutospacing="1" w:after="100" w:afterAutospacing="1"/>
        <w:rPr>
          <w:rFonts w:ascii="Times New Roman" w:eastAsia="Times New Roman" w:hAnsi="Times New Roman"/>
          <w:b/>
          <w:sz w:val="24"/>
          <w:szCs w:val="24"/>
        </w:rPr>
      </w:pPr>
      <w:r w:rsidRPr="00614DDC">
        <w:rPr>
          <w:rFonts w:ascii="Times New Roman" w:eastAsia="Times New Roman" w:hAnsi="Times New Roman"/>
          <w:sz w:val="24"/>
          <w:szCs w:val="24"/>
        </w:rPr>
        <w:t xml:space="preserve">On Jan. 23, 2020, in </w:t>
      </w:r>
      <w:r w:rsidRPr="00614DDC">
        <w:rPr>
          <w:rFonts w:ascii="Times New Roman" w:eastAsia="Times New Roman" w:hAnsi="Times New Roman"/>
          <w:sz w:val="24"/>
          <w:szCs w:val="24"/>
          <w:u w:val="single"/>
        </w:rPr>
        <w:t>City of Fort Worth v. Shea O’Neill</w:t>
      </w:r>
      <w:r w:rsidRPr="00614DDC">
        <w:rPr>
          <w:rFonts w:ascii="Times New Roman" w:eastAsia="Times New Roman" w:hAnsi="Times New Roman"/>
          <w:sz w:val="24"/>
          <w:szCs w:val="24"/>
        </w:rPr>
        <w:t xml:space="preserve">, Court of Appeals for Second Appellate District of Texas at Fort Worth (vote 3 to 0), rejected the City’s appeal from the Hearing Officer’s finding that firefighters due process rights were violated when FD internal affairs failed to conduct an adequate internal investigation.  Case </w:t>
      </w:r>
      <w:proofErr w:type="gramStart"/>
      <w:r w:rsidRPr="00614DDC">
        <w:rPr>
          <w:rFonts w:ascii="Times New Roman" w:eastAsia="Times New Roman" w:hAnsi="Times New Roman"/>
          <w:sz w:val="24"/>
          <w:szCs w:val="24"/>
        </w:rPr>
        <w:t>remanded</w:t>
      </w:r>
      <w:proofErr w:type="gramEnd"/>
      <w:r w:rsidRPr="00614DDC">
        <w:rPr>
          <w:rFonts w:ascii="Times New Roman" w:eastAsia="Times New Roman" w:hAnsi="Times New Roman"/>
          <w:sz w:val="24"/>
          <w:szCs w:val="24"/>
        </w:rPr>
        <w:t xml:space="preserve"> to trial court, however, on whether Hearing Officer improperly conducted Internet search about medication victim uses [aspirin and Lipitor] that could cause nosebleed.  </w:t>
      </w:r>
    </w:p>
    <w:p w14:paraId="40DBE167" w14:textId="418EAAEC" w:rsidR="00021E64" w:rsidRDefault="00021E64" w:rsidP="00021E64">
      <w:pPr>
        <w:pStyle w:val="NoSpacing"/>
        <w:rPr>
          <w:rFonts w:ascii="Arial Black" w:hAnsi="Arial Black"/>
          <w:sz w:val="24"/>
          <w:szCs w:val="24"/>
        </w:rPr>
      </w:pPr>
      <w:r w:rsidRPr="00614DDC">
        <w:rPr>
          <w:rFonts w:ascii="Times New Roman" w:eastAsia="Times New Roman" w:hAnsi="Times New Roman"/>
          <w:sz w:val="24"/>
          <w:szCs w:val="24"/>
        </w:rPr>
        <w:t xml:space="preserve">“In support of its appellate issue, the City first asserts that the hearing examiner's decision was procured by unlawful means because she relied on evidence not presented at the hearing—specifically, her independent Internet research on the side effects of aspirin and Lipitor, both of which Woods testified to taking daily. According to the hearing examiner's research, both medications can cause ‘unusual bleeding,’ and Lipitor can ‘specifically cause nosebleed.’” </w:t>
      </w:r>
      <w:hyperlink r:id="rId2711" w:history="1">
        <w:r w:rsidRPr="00614DDC">
          <w:rPr>
            <w:rStyle w:val="Hyperlink"/>
            <w:rFonts w:ascii="Times New Roman" w:hAnsi="Times New Roman"/>
            <w:b/>
            <w:sz w:val="24"/>
            <w:szCs w:val="24"/>
          </w:rPr>
          <w:t>https://public.fastcase.com/Wl%2B2t%2BeVuI35%2FN70vAMFZlZAOd3Yf30gW5GUDA4he8qcwsisxdvBFlR%2Bm9b1UDwt</w:t>
        </w:r>
      </w:hyperlink>
    </w:p>
    <w:p w14:paraId="7EAECEF3" w14:textId="77777777" w:rsidR="00021E64" w:rsidRPr="00614DDC" w:rsidRDefault="00021E64" w:rsidP="00021E64">
      <w:pPr>
        <w:pStyle w:val="NormalWeb"/>
        <w:tabs>
          <w:tab w:val="left" w:pos="2930"/>
        </w:tabs>
        <w:rPr>
          <w:b/>
          <w:bCs/>
        </w:rPr>
      </w:pPr>
      <w:r w:rsidRPr="00614DDC">
        <w:rPr>
          <w:b/>
          <w:bCs/>
        </w:rPr>
        <w:t xml:space="preserve">Legal Lessons Learned:  Courts are </w:t>
      </w:r>
      <w:r>
        <w:rPr>
          <w:b/>
          <w:bCs/>
        </w:rPr>
        <w:t xml:space="preserve">very </w:t>
      </w:r>
      <w:r w:rsidRPr="00614DDC">
        <w:rPr>
          <w:b/>
          <w:bCs/>
        </w:rPr>
        <w:t>reluctant to overturn decision</w:t>
      </w:r>
      <w:r>
        <w:rPr>
          <w:b/>
          <w:bCs/>
        </w:rPr>
        <w:t xml:space="preserve"> of a </w:t>
      </w:r>
      <w:r w:rsidRPr="00614DDC">
        <w:rPr>
          <w:b/>
          <w:bCs/>
        </w:rPr>
        <w:t>Civil Service hearing officer</w:t>
      </w:r>
      <w:r>
        <w:rPr>
          <w:b/>
          <w:bCs/>
        </w:rPr>
        <w:t xml:space="preserve">, who has conducted the hearings and personally observe the witnesses. </w:t>
      </w:r>
      <w:r w:rsidRPr="00614DDC">
        <w:rPr>
          <w:b/>
          <w:bCs/>
        </w:rPr>
        <w:t xml:space="preserve"> </w:t>
      </w:r>
    </w:p>
    <w:p w14:paraId="3C86B204" w14:textId="77777777" w:rsidR="00021E64" w:rsidRDefault="00021E64" w:rsidP="00F326E5">
      <w:pPr>
        <w:pStyle w:val="NoSpacing"/>
        <w:rPr>
          <w:rFonts w:ascii="Arial Black" w:hAnsi="Arial Black"/>
          <w:sz w:val="24"/>
          <w:szCs w:val="24"/>
        </w:rPr>
      </w:pPr>
    </w:p>
    <w:p w14:paraId="2EDF681E" w14:textId="77777777" w:rsidR="00021E64" w:rsidRDefault="00021E64" w:rsidP="00F326E5">
      <w:pPr>
        <w:pStyle w:val="NoSpacing"/>
        <w:rPr>
          <w:rFonts w:ascii="Arial Black" w:hAnsi="Arial Black"/>
          <w:sz w:val="24"/>
          <w:szCs w:val="24"/>
        </w:rPr>
      </w:pPr>
    </w:p>
    <w:p w14:paraId="57695355" w14:textId="77777777" w:rsidR="00021E64" w:rsidRDefault="00021E64" w:rsidP="00F326E5">
      <w:pPr>
        <w:pStyle w:val="NoSpacing"/>
        <w:rPr>
          <w:rFonts w:ascii="Arial Black" w:hAnsi="Arial Black"/>
          <w:sz w:val="24"/>
          <w:szCs w:val="24"/>
        </w:rPr>
      </w:pPr>
    </w:p>
    <w:p w14:paraId="36DB57C0" w14:textId="4BAA180C" w:rsidR="00297434" w:rsidRDefault="00420322" w:rsidP="00F326E5">
      <w:pPr>
        <w:pStyle w:val="NoSpacing"/>
        <w:rPr>
          <w:rFonts w:ascii="Arial Black" w:hAnsi="Arial Black"/>
          <w:sz w:val="24"/>
          <w:szCs w:val="24"/>
        </w:rPr>
      </w:pPr>
      <w:r>
        <w:rPr>
          <w:rFonts w:ascii="Arial Black" w:hAnsi="Arial Black"/>
          <w:sz w:val="24"/>
          <w:szCs w:val="24"/>
        </w:rPr>
        <w:t>16-22</w:t>
      </w:r>
    </w:p>
    <w:p w14:paraId="01CF9D83" w14:textId="14DA602B" w:rsidR="00420322" w:rsidRDefault="00420322" w:rsidP="00F326E5">
      <w:pPr>
        <w:pStyle w:val="NoSpacing"/>
        <w:rPr>
          <w:rFonts w:ascii="Arial Black" w:hAnsi="Arial Black"/>
          <w:sz w:val="24"/>
          <w:szCs w:val="24"/>
        </w:rPr>
      </w:pPr>
    </w:p>
    <w:p w14:paraId="77B7DDAB" w14:textId="77777777" w:rsidR="00420322" w:rsidRPr="00A8607B" w:rsidRDefault="00420322" w:rsidP="00420322">
      <w:pPr>
        <w:rPr>
          <w:rFonts w:ascii="Arial Black" w:hAnsi="Arial Black"/>
          <w:sz w:val="28"/>
          <w:szCs w:val="28"/>
        </w:rPr>
      </w:pPr>
      <w:r w:rsidRPr="00A8607B">
        <w:rPr>
          <w:rFonts w:ascii="Arial Black" w:hAnsi="Arial Black"/>
          <w:sz w:val="28"/>
          <w:szCs w:val="28"/>
        </w:rPr>
        <w:t xml:space="preserve">TN: </w:t>
      </w:r>
      <w:r>
        <w:rPr>
          <w:rFonts w:ascii="Arial Black" w:hAnsi="Arial Black"/>
          <w:sz w:val="28"/>
          <w:szCs w:val="28"/>
        </w:rPr>
        <w:t>SOCIAL MEDIA – NASHVILLE PD OFFICER’S FACEBOOK POSTS - PD KILLING DRIVER MN - “GROSSLY UNPROFESSIONAL” - FIRING UPHELD</w:t>
      </w:r>
    </w:p>
    <w:p w14:paraId="63BFD3BE" w14:textId="77777777" w:rsidR="00420322" w:rsidRDefault="00420322" w:rsidP="00420322">
      <w:pPr>
        <w:rPr>
          <w:rFonts w:ascii="Times New Roman" w:hAnsi="Times New Roman"/>
          <w:sz w:val="24"/>
          <w:szCs w:val="24"/>
        </w:rPr>
      </w:pPr>
      <w:r w:rsidRPr="00A8607B">
        <w:rPr>
          <w:rFonts w:ascii="Times New Roman" w:hAnsi="Times New Roman"/>
          <w:sz w:val="24"/>
          <w:szCs w:val="24"/>
        </w:rPr>
        <w:t xml:space="preserve">On </w:t>
      </w:r>
      <w:r>
        <w:rPr>
          <w:rFonts w:ascii="Times New Roman" w:hAnsi="Times New Roman"/>
          <w:sz w:val="24"/>
          <w:szCs w:val="24"/>
        </w:rPr>
        <w:t xml:space="preserve">Dec. 20, 2019, in </w:t>
      </w:r>
      <w:r w:rsidRPr="005F63F4">
        <w:rPr>
          <w:rFonts w:ascii="Times New Roman" w:hAnsi="Times New Roman"/>
          <w:sz w:val="24"/>
          <w:szCs w:val="24"/>
          <w:u w:val="single"/>
        </w:rPr>
        <w:t>Anthony Venable v. Metropolitan Government of Nashville and Davidson County</w:t>
      </w:r>
      <w:r>
        <w:rPr>
          <w:rFonts w:ascii="Times New Roman" w:hAnsi="Times New Roman"/>
          <w:sz w:val="24"/>
          <w:szCs w:val="24"/>
        </w:rPr>
        <w:t>, Chief Judge Waverly D. Crenshaw, Jr.,  U.S. District Court, Middle District of Tennessee (Nashville Division) granted Nashville’s motion for summary judgment and dismissed the lawsuit by the former police officer, finding his Facebook comments “grossly unprofessional.”</w:t>
      </w:r>
    </w:p>
    <w:p w14:paraId="512B0C25" w14:textId="77777777" w:rsidR="00420322" w:rsidRPr="005F63F4" w:rsidRDefault="00420322" w:rsidP="00420322">
      <w:pPr>
        <w:ind w:left="720"/>
        <w:rPr>
          <w:rFonts w:ascii="Times New Roman" w:hAnsi="Times New Roman"/>
          <w:sz w:val="24"/>
          <w:szCs w:val="24"/>
        </w:rPr>
      </w:pPr>
      <w:r>
        <w:rPr>
          <w:rFonts w:ascii="Times New Roman" w:hAnsi="Times New Roman"/>
          <w:sz w:val="24"/>
          <w:szCs w:val="24"/>
        </w:rPr>
        <w:t>“</w:t>
      </w:r>
      <w:r w:rsidRPr="005F63F4">
        <w:rPr>
          <w:rFonts w:ascii="Times New Roman" w:hAnsi="Times New Roman"/>
          <w:sz w:val="24"/>
          <w:szCs w:val="24"/>
        </w:rPr>
        <w:t>In addition to the “not bring</w:t>
      </w:r>
      <w:r>
        <w:rPr>
          <w:rFonts w:ascii="Times New Roman" w:hAnsi="Times New Roman"/>
          <w:sz w:val="24"/>
          <w:szCs w:val="24"/>
        </w:rPr>
        <w:t xml:space="preserve"> </w:t>
      </w:r>
      <w:r w:rsidRPr="005F63F4">
        <w:rPr>
          <w:rFonts w:ascii="Times New Roman" w:hAnsi="Times New Roman"/>
          <w:sz w:val="24"/>
          <w:szCs w:val="24"/>
        </w:rPr>
        <w:t>discredit” language, the MNPD policy</w:t>
      </w:r>
      <w:r>
        <w:rPr>
          <w:rFonts w:ascii="Times New Roman" w:hAnsi="Times New Roman"/>
          <w:sz w:val="24"/>
          <w:szCs w:val="24"/>
        </w:rPr>
        <w:t xml:space="preserve"> </w:t>
      </w:r>
      <w:r w:rsidRPr="005F63F4">
        <w:rPr>
          <w:rFonts w:ascii="Times New Roman" w:hAnsi="Times New Roman"/>
          <w:sz w:val="24"/>
          <w:szCs w:val="24"/>
        </w:rPr>
        <w:t>contains an explanation</w:t>
      </w:r>
      <w:r>
        <w:rPr>
          <w:rFonts w:ascii="Times New Roman" w:hAnsi="Times New Roman"/>
          <w:sz w:val="24"/>
          <w:szCs w:val="24"/>
        </w:rPr>
        <w:t xml:space="preserve"> </w:t>
      </w:r>
      <w:r w:rsidRPr="005F63F4">
        <w:rPr>
          <w:rFonts w:ascii="Times New Roman" w:hAnsi="Times New Roman"/>
          <w:sz w:val="24"/>
          <w:szCs w:val="24"/>
        </w:rPr>
        <w:t>of why</w:t>
      </w:r>
      <w:r>
        <w:rPr>
          <w:rFonts w:ascii="Times New Roman" w:hAnsi="Times New Roman"/>
          <w:sz w:val="24"/>
          <w:szCs w:val="24"/>
        </w:rPr>
        <w:t xml:space="preserve"> </w:t>
      </w:r>
      <w:r w:rsidRPr="005F63F4">
        <w:rPr>
          <w:rFonts w:ascii="Times New Roman" w:hAnsi="Times New Roman"/>
          <w:sz w:val="24"/>
          <w:szCs w:val="24"/>
        </w:rPr>
        <w:t>police officers are held to a higher standard, and why</w:t>
      </w:r>
      <w:r>
        <w:rPr>
          <w:rFonts w:ascii="Times New Roman" w:hAnsi="Times New Roman"/>
          <w:sz w:val="24"/>
          <w:szCs w:val="24"/>
        </w:rPr>
        <w:t xml:space="preserve"> </w:t>
      </w:r>
      <w:r w:rsidRPr="005F63F4">
        <w:rPr>
          <w:rFonts w:ascii="Times New Roman" w:hAnsi="Times New Roman"/>
          <w:sz w:val="24"/>
          <w:szCs w:val="24"/>
        </w:rPr>
        <w:t>inappropriate conduct can be</w:t>
      </w:r>
      <w:r>
        <w:rPr>
          <w:rFonts w:ascii="Times New Roman" w:hAnsi="Times New Roman"/>
          <w:sz w:val="24"/>
          <w:szCs w:val="24"/>
        </w:rPr>
        <w:t xml:space="preserve"> </w:t>
      </w:r>
      <w:r w:rsidRPr="005F63F4">
        <w:rPr>
          <w:rFonts w:ascii="Times New Roman" w:hAnsi="Times New Roman"/>
          <w:sz w:val="24"/>
          <w:szCs w:val="24"/>
        </w:rPr>
        <w:t>detrimental to the department. An ordinary</w:t>
      </w:r>
      <w:r>
        <w:rPr>
          <w:rFonts w:ascii="Times New Roman" w:hAnsi="Times New Roman"/>
          <w:sz w:val="24"/>
          <w:szCs w:val="24"/>
        </w:rPr>
        <w:t xml:space="preserve"> </w:t>
      </w:r>
      <w:r w:rsidRPr="005F63F4">
        <w:rPr>
          <w:rFonts w:ascii="Times New Roman" w:hAnsi="Times New Roman"/>
          <w:sz w:val="24"/>
          <w:szCs w:val="24"/>
        </w:rPr>
        <w:t>person, exercising ordinary</w:t>
      </w:r>
      <w:r>
        <w:rPr>
          <w:rFonts w:ascii="Times New Roman" w:hAnsi="Times New Roman"/>
          <w:sz w:val="24"/>
          <w:szCs w:val="24"/>
        </w:rPr>
        <w:t xml:space="preserve"> </w:t>
      </w:r>
      <w:r w:rsidRPr="005F63F4">
        <w:rPr>
          <w:rFonts w:ascii="Times New Roman" w:hAnsi="Times New Roman"/>
          <w:sz w:val="24"/>
          <w:szCs w:val="24"/>
        </w:rPr>
        <w:t>common sense, could</w:t>
      </w:r>
      <w:r>
        <w:rPr>
          <w:rFonts w:ascii="Times New Roman" w:hAnsi="Times New Roman"/>
          <w:sz w:val="24"/>
          <w:szCs w:val="24"/>
        </w:rPr>
        <w:t xml:space="preserve"> </w:t>
      </w:r>
      <w:r w:rsidRPr="005F63F4">
        <w:rPr>
          <w:rFonts w:ascii="Times New Roman" w:hAnsi="Times New Roman"/>
          <w:sz w:val="24"/>
          <w:szCs w:val="24"/>
        </w:rPr>
        <w:t>understand that Venable’s inflammatory</w:t>
      </w:r>
      <w:r>
        <w:rPr>
          <w:rFonts w:ascii="Times New Roman" w:hAnsi="Times New Roman"/>
          <w:sz w:val="24"/>
          <w:szCs w:val="24"/>
        </w:rPr>
        <w:t xml:space="preserve"> </w:t>
      </w:r>
      <w:r w:rsidRPr="005F63F4">
        <w:rPr>
          <w:rFonts w:ascii="Times New Roman" w:hAnsi="Times New Roman"/>
          <w:sz w:val="24"/>
          <w:szCs w:val="24"/>
        </w:rPr>
        <w:t>Facebook comments, where he drew</w:t>
      </w:r>
      <w:r>
        <w:rPr>
          <w:rFonts w:ascii="Times New Roman" w:hAnsi="Times New Roman"/>
          <w:sz w:val="24"/>
          <w:szCs w:val="24"/>
        </w:rPr>
        <w:t xml:space="preserve"> </w:t>
      </w:r>
      <w:r w:rsidRPr="005F63F4">
        <w:rPr>
          <w:rFonts w:ascii="Times New Roman" w:hAnsi="Times New Roman"/>
          <w:sz w:val="24"/>
          <w:szCs w:val="24"/>
        </w:rPr>
        <w:t>upon his law</w:t>
      </w:r>
      <w:r>
        <w:rPr>
          <w:rFonts w:ascii="Times New Roman" w:hAnsi="Times New Roman"/>
          <w:sz w:val="24"/>
          <w:szCs w:val="24"/>
        </w:rPr>
        <w:t xml:space="preserve"> </w:t>
      </w:r>
      <w:r w:rsidRPr="005F63F4">
        <w:rPr>
          <w:rFonts w:ascii="Times New Roman" w:hAnsi="Times New Roman"/>
          <w:sz w:val="24"/>
          <w:szCs w:val="24"/>
        </w:rPr>
        <w:t>enforcement background, would reflect negatively</w:t>
      </w:r>
      <w:r>
        <w:rPr>
          <w:rFonts w:ascii="Times New Roman" w:hAnsi="Times New Roman"/>
          <w:sz w:val="24"/>
          <w:szCs w:val="24"/>
        </w:rPr>
        <w:t xml:space="preserve"> </w:t>
      </w:r>
      <w:r w:rsidRPr="005F63F4">
        <w:rPr>
          <w:rFonts w:ascii="Times New Roman" w:hAnsi="Times New Roman"/>
          <w:sz w:val="24"/>
          <w:szCs w:val="24"/>
        </w:rPr>
        <w:t>on the MNPD and constitute a</w:t>
      </w:r>
      <w:r>
        <w:rPr>
          <w:rFonts w:ascii="Times New Roman" w:hAnsi="Times New Roman"/>
          <w:sz w:val="24"/>
          <w:szCs w:val="24"/>
        </w:rPr>
        <w:t xml:space="preserve"> </w:t>
      </w:r>
      <w:r w:rsidRPr="005F63F4">
        <w:rPr>
          <w:rFonts w:ascii="Times New Roman" w:hAnsi="Times New Roman"/>
          <w:sz w:val="24"/>
          <w:szCs w:val="24"/>
        </w:rPr>
        <w:t>violation</w:t>
      </w:r>
      <w:r>
        <w:rPr>
          <w:rFonts w:ascii="Times New Roman" w:hAnsi="Times New Roman"/>
          <w:sz w:val="24"/>
          <w:szCs w:val="24"/>
        </w:rPr>
        <w:t xml:space="preserve"> </w:t>
      </w:r>
      <w:r w:rsidRPr="005F63F4">
        <w:rPr>
          <w:rFonts w:ascii="Times New Roman" w:hAnsi="Times New Roman"/>
          <w:sz w:val="24"/>
          <w:szCs w:val="24"/>
        </w:rPr>
        <w:t>of the</w:t>
      </w:r>
      <w:r>
        <w:rPr>
          <w:rFonts w:ascii="Times New Roman" w:hAnsi="Times New Roman"/>
          <w:sz w:val="24"/>
          <w:szCs w:val="24"/>
        </w:rPr>
        <w:t xml:space="preserve"> </w:t>
      </w:r>
      <w:r w:rsidRPr="005F63F4">
        <w:rPr>
          <w:rFonts w:ascii="Times New Roman" w:hAnsi="Times New Roman"/>
          <w:sz w:val="24"/>
          <w:szCs w:val="24"/>
        </w:rPr>
        <w:t>Conduct</w:t>
      </w:r>
      <w:r>
        <w:rPr>
          <w:rFonts w:ascii="Times New Roman" w:hAnsi="Times New Roman"/>
          <w:sz w:val="24"/>
          <w:szCs w:val="24"/>
        </w:rPr>
        <w:t xml:space="preserve"> </w:t>
      </w:r>
      <w:r w:rsidRPr="005F63F4">
        <w:rPr>
          <w:rFonts w:ascii="Times New Roman" w:hAnsi="Times New Roman"/>
          <w:sz w:val="24"/>
          <w:szCs w:val="24"/>
        </w:rPr>
        <w:t>Unbecoming</w:t>
      </w:r>
      <w:r>
        <w:rPr>
          <w:rFonts w:ascii="Times New Roman" w:hAnsi="Times New Roman"/>
          <w:sz w:val="24"/>
          <w:szCs w:val="24"/>
        </w:rPr>
        <w:t xml:space="preserve"> </w:t>
      </w:r>
      <w:r w:rsidRPr="005F63F4">
        <w:rPr>
          <w:rFonts w:ascii="Times New Roman" w:hAnsi="Times New Roman"/>
          <w:sz w:val="24"/>
          <w:szCs w:val="24"/>
        </w:rPr>
        <w:t>policy.</w:t>
      </w:r>
      <w:r>
        <w:rPr>
          <w:rFonts w:ascii="Times New Roman" w:hAnsi="Times New Roman"/>
          <w:sz w:val="24"/>
          <w:szCs w:val="24"/>
        </w:rPr>
        <w:t xml:space="preserve"> </w:t>
      </w:r>
      <w:r w:rsidRPr="005F63F4">
        <w:rPr>
          <w:rFonts w:ascii="Times New Roman" w:hAnsi="Times New Roman"/>
          <w:sz w:val="24"/>
          <w:szCs w:val="24"/>
        </w:rPr>
        <w:t>Any</w:t>
      </w:r>
      <w:r>
        <w:rPr>
          <w:rFonts w:ascii="Times New Roman" w:hAnsi="Times New Roman"/>
          <w:sz w:val="24"/>
          <w:szCs w:val="24"/>
        </w:rPr>
        <w:t xml:space="preserve"> </w:t>
      </w:r>
      <w:r w:rsidRPr="005F63F4">
        <w:rPr>
          <w:rFonts w:ascii="Times New Roman" w:hAnsi="Times New Roman"/>
          <w:sz w:val="24"/>
          <w:szCs w:val="24"/>
        </w:rPr>
        <w:t>doubt about this is eliminated by</w:t>
      </w:r>
      <w:r>
        <w:rPr>
          <w:rFonts w:ascii="Times New Roman" w:hAnsi="Times New Roman"/>
          <w:sz w:val="24"/>
          <w:szCs w:val="24"/>
        </w:rPr>
        <w:t xml:space="preserve"> </w:t>
      </w:r>
      <w:r w:rsidRPr="005F63F4">
        <w:rPr>
          <w:rFonts w:ascii="Times New Roman" w:hAnsi="Times New Roman"/>
          <w:sz w:val="24"/>
          <w:szCs w:val="24"/>
        </w:rPr>
        <w:t>warning</w:t>
      </w:r>
      <w:r>
        <w:rPr>
          <w:rFonts w:ascii="Times New Roman" w:hAnsi="Times New Roman"/>
          <w:sz w:val="24"/>
          <w:szCs w:val="24"/>
        </w:rPr>
        <w:t xml:space="preserve"> </w:t>
      </w:r>
      <w:r w:rsidRPr="005F63F4">
        <w:rPr>
          <w:rFonts w:ascii="Times New Roman" w:hAnsi="Times New Roman"/>
          <w:sz w:val="24"/>
          <w:szCs w:val="24"/>
        </w:rPr>
        <w:t xml:space="preserve">statements </w:t>
      </w:r>
      <w:proofErr w:type="gramStart"/>
      <w:r w:rsidRPr="005F63F4">
        <w:rPr>
          <w:rFonts w:ascii="Times New Roman" w:hAnsi="Times New Roman"/>
          <w:sz w:val="24"/>
          <w:szCs w:val="24"/>
        </w:rPr>
        <w:t>of</w:t>
      </w:r>
      <w:proofErr w:type="gramEnd"/>
      <w:r w:rsidRPr="005F63F4">
        <w:rPr>
          <w:rFonts w:ascii="Times New Roman" w:hAnsi="Times New Roman"/>
          <w:sz w:val="24"/>
          <w:szCs w:val="24"/>
        </w:rPr>
        <w:t xml:space="preserve"> other</w:t>
      </w:r>
      <w:r>
        <w:rPr>
          <w:rFonts w:ascii="Times New Roman" w:hAnsi="Times New Roman"/>
          <w:sz w:val="24"/>
          <w:szCs w:val="24"/>
        </w:rPr>
        <w:t xml:space="preserve"> </w:t>
      </w:r>
      <w:r w:rsidRPr="005F63F4">
        <w:rPr>
          <w:rFonts w:ascii="Times New Roman" w:hAnsi="Times New Roman"/>
          <w:sz w:val="24"/>
          <w:szCs w:val="24"/>
        </w:rPr>
        <w:t xml:space="preserve">participants that his comments were </w:t>
      </w:r>
      <w:r>
        <w:rPr>
          <w:rFonts w:ascii="Times New Roman" w:hAnsi="Times New Roman"/>
          <w:sz w:val="24"/>
          <w:szCs w:val="24"/>
        </w:rPr>
        <w:t>‘</w:t>
      </w:r>
      <w:r w:rsidRPr="005F63F4">
        <w:rPr>
          <w:rFonts w:ascii="Times New Roman" w:hAnsi="Times New Roman"/>
          <w:sz w:val="24"/>
          <w:szCs w:val="24"/>
        </w:rPr>
        <w:t>grossly</w:t>
      </w:r>
      <w:r>
        <w:rPr>
          <w:rFonts w:ascii="Times New Roman" w:hAnsi="Times New Roman"/>
          <w:sz w:val="24"/>
          <w:szCs w:val="24"/>
        </w:rPr>
        <w:t xml:space="preserve"> </w:t>
      </w:r>
      <w:r w:rsidRPr="005F63F4">
        <w:rPr>
          <w:rFonts w:ascii="Times New Roman" w:hAnsi="Times New Roman"/>
          <w:sz w:val="24"/>
          <w:szCs w:val="24"/>
        </w:rPr>
        <w:t>unprofessional,</w:t>
      </w:r>
      <w:r>
        <w:rPr>
          <w:rFonts w:ascii="Times New Roman" w:hAnsi="Times New Roman"/>
          <w:sz w:val="24"/>
          <w:szCs w:val="24"/>
        </w:rPr>
        <w:t>’</w:t>
      </w:r>
      <w:r w:rsidRPr="005F63F4">
        <w:rPr>
          <w:rFonts w:ascii="Times New Roman" w:hAnsi="Times New Roman"/>
          <w:sz w:val="24"/>
          <w:szCs w:val="24"/>
        </w:rPr>
        <w:t xml:space="preserve"> and could get him </w:t>
      </w:r>
      <w:r>
        <w:rPr>
          <w:rFonts w:ascii="Times New Roman" w:hAnsi="Times New Roman"/>
          <w:sz w:val="24"/>
          <w:szCs w:val="24"/>
        </w:rPr>
        <w:t>‘</w:t>
      </w:r>
      <w:r w:rsidRPr="005F63F4">
        <w:rPr>
          <w:rFonts w:ascii="Times New Roman" w:hAnsi="Times New Roman"/>
          <w:sz w:val="24"/>
          <w:szCs w:val="24"/>
        </w:rPr>
        <w:t>in serious</w:t>
      </w:r>
      <w:r>
        <w:rPr>
          <w:rFonts w:ascii="Times New Roman" w:hAnsi="Times New Roman"/>
          <w:sz w:val="24"/>
          <w:szCs w:val="24"/>
        </w:rPr>
        <w:t xml:space="preserve"> </w:t>
      </w:r>
      <w:r w:rsidRPr="005F63F4">
        <w:rPr>
          <w:rFonts w:ascii="Times New Roman" w:hAnsi="Times New Roman"/>
          <w:sz w:val="24"/>
          <w:szCs w:val="24"/>
        </w:rPr>
        <w:t>trouble.</w:t>
      </w:r>
      <w:r>
        <w:rPr>
          <w:rFonts w:ascii="Times New Roman" w:hAnsi="Times New Roman"/>
          <w:sz w:val="24"/>
          <w:szCs w:val="24"/>
        </w:rPr>
        <w:t>’</w:t>
      </w:r>
      <w:r w:rsidRPr="005F63F4">
        <w:t xml:space="preserve"> </w:t>
      </w:r>
      <w:hyperlink r:id="rId2712" w:history="1">
        <w:r w:rsidRPr="00FD1AA3">
          <w:rPr>
            <w:rStyle w:val="Hyperlink"/>
            <w:rFonts w:ascii="Times New Roman" w:hAnsi="Times New Roman"/>
            <w:sz w:val="24"/>
            <w:szCs w:val="24"/>
          </w:rPr>
          <w:t>https://cases.justia.com/federal/district-courts/tennessee/tnmdce/3:2018cv00148/73469/36/0.pdf?ts=1576934308</w:t>
        </w:r>
      </w:hyperlink>
      <w:r>
        <w:rPr>
          <w:rFonts w:ascii="Times New Roman" w:hAnsi="Times New Roman"/>
          <w:sz w:val="24"/>
          <w:szCs w:val="24"/>
        </w:rPr>
        <w:t xml:space="preserve"> </w:t>
      </w:r>
    </w:p>
    <w:p w14:paraId="58FF9F1A" w14:textId="77777777" w:rsidR="00B8368A" w:rsidRDefault="00B8368A" w:rsidP="00B8368A">
      <w:pPr>
        <w:pStyle w:val="NoSpacing"/>
        <w:rPr>
          <w:rFonts w:ascii="Times New Roman" w:hAnsi="Times New Roman"/>
          <w:b/>
          <w:bCs/>
          <w:sz w:val="24"/>
          <w:szCs w:val="24"/>
        </w:rPr>
      </w:pPr>
      <w:r w:rsidRPr="00B8368A">
        <w:rPr>
          <w:rFonts w:ascii="Times New Roman" w:hAnsi="Times New Roman"/>
          <w:b/>
          <w:bCs/>
          <w:sz w:val="24"/>
          <w:szCs w:val="24"/>
        </w:rPr>
        <w:t>Legal Lessons Learned:</w:t>
      </w:r>
      <w:r>
        <w:rPr>
          <w:rFonts w:ascii="Times New Roman" w:hAnsi="Times New Roman"/>
          <w:b/>
          <w:bCs/>
          <w:sz w:val="24"/>
          <w:szCs w:val="24"/>
        </w:rPr>
        <w:t xml:space="preserve"> </w:t>
      </w:r>
      <w:r w:rsidRPr="00B8368A">
        <w:rPr>
          <w:rFonts w:ascii="Times New Roman" w:hAnsi="Times New Roman"/>
          <w:b/>
          <w:bCs/>
          <w:sz w:val="24"/>
          <w:szCs w:val="24"/>
        </w:rPr>
        <w:t>Fire &amp; EMS Departments should have a policy that warns personnel that Social Media posts that adversely reflect on the Department can lead to discipline, including termination.</w:t>
      </w:r>
    </w:p>
    <w:p w14:paraId="738ED37D" w14:textId="502FE8B7" w:rsidR="00B8368A" w:rsidRPr="00B8368A" w:rsidRDefault="00B8368A" w:rsidP="00B8368A">
      <w:pPr>
        <w:pStyle w:val="NoSpacing"/>
        <w:ind w:firstLine="720"/>
        <w:rPr>
          <w:rFonts w:ascii="Times New Roman" w:hAnsi="Times New Roman"/>
          <w:b/>
          <w:bCs/>
          <w:sz w:val="24"/>
          <w:szCs w:val="24"/>
        </w:rPr>
      </w:pPr>
      <w:r w:rsidRPr="00B8368A">
        <w:rPr>
          <w:rFonts w:ascii="Times New Roman" w:hAnsi="Times New Roman"/>
          <w:sz w:val="24"/>
          <w:szCs w:val="24"/>
        </w:rPr>
        <w:t>See Pho</w:t>
      </w:r>
      <w:r>
        <w:rPr>
          <w:rFonts w:ascii="Times New Roman" w:hAnsi="Times New Roman"/>
          <w:sz w:val="24"/>
          <w:szCs w:val="24"/>
        </w:rPr>
        <w:t>e</w:t>
      </w:r>
      <w:r w:rsidRPr="00B8368A">
        <w:rPr>
          <w:rFonts w:ascii="Times New Roman" w:hAnsi="Times New Roman"/>
          <w:sz w:val="24"/>
          <w:szCs w:val="24"/>
        </w:rPr>
        <w:t xml:space="preserve">nix FD’s Social Media policy: </w:t>
      </w:r>
      <w:hyperlink r:id="rId2713" w:history="1">
        <w:r w:rsidRPr="00B8368A">
          <w:rPr>
            <w:rStyle w:val="Hyperlink"/>
            <w:rFonts w:ascii="Times New Roman" w:hAnsi="Times New Roman"/>
            <w:sz w:val="24"/>
            <w:szCs w:val="24"/>
          </w:rPr>
          <w:t>https://www.phoenix.gov/firesite/Documents/fire_mp_10518.pdf</w:t>
        </w:r>
      </w:hyperlink>
      <w:r w:rsidRPr="00B8368A">
        <w:rPr>
          <w:rFonts w:ascii="Times New Roman" w:hAnsi="Times New Roman"/>
          <w:sz w:val="24"/>
          <w:szCs w:val="24"/>
        </w:rPr>
        <w:t xml:space="preserve"> </w:t>
      </w:r>
    </w:p>
    <w:p w14:paraId="44D97879" w14:textId="77777777" w:rsidR="00B8368A" w:rsidRDefault="00B8368A" w:rsidP="00297434">
      <w:pPr>
        <w:spacing w:before="100" w:beforeAutospacing="1" w:after="100" w:afterAutospacing="1" w:line="240" w:lineRule="auto"/>
        <w:rPr>
          <w:rFonts w:ascii="Arial Black" w:hAnsi="Arial Black"/>
          <w:sz w:val="24"/>
          <w:szCs w:val="24"/>
        </w:rPr>
      </w:pPr>
    </w:p>
    <w:p w14:paraId="3C9E15DE" w14:textId="49545F51" w:rsidR="00420322" w:rsidRDefault="00420322" w:rsidP="00297434">
      <w:pPr>
        <w:spacing w:before="100" w:beforeAutospacing="1" w:after="100" w:afterAutospacing="1" w:line="240" w:lineRule="auto"/>
        <w:rPr>
          <w:rFonts w:ascii="Arial Black" w:hAnsi="Arial Black"/>
          <w:sz w:val="24"/>
          <w:szCs w:val="24"/>
        </w:rPr>
      </w:pPr>
      <w:r>
        <w:rPr>
          <w:rFonts w:ascii="Arial Black" w:hAnsi="Arial Black"/>
          <w:sz w:val="24"/>
          <w:szCs w:val="24"/>
        </w:rPr>
        <w:t>16-21</w:t>
      </w:r>
    </w:p>
    <w:p w14:paraId="487853E6" w14:textId="77777777" w:rsidR="00420322" w:rsidRDefault="00420322" w:rsidP="00420322">
      <w:pPr>
        <w:spacing w:before="100" w:beforeAutospacing="1" w:after="100" w:afterAutospacing="1" w:line="240" w:lineRule="auto"/>
        <w:rPr>
          <w:rFonts w:ascii="Times New Roman" w:eastAsia="Times New Roman" w:hAnsi="Times New Roman"/>
          <w:b/>
          <w:bCs/>
          <w:sz w:val="24"/>
          <w:szCs w:val="24"/>
        </w:rPr>
      </w:pPr>
      <w:bookmarkStart w:id="609" w:name="_Hlk29226291"/>
      <w:r w:rsidRPr="0066266D">
        <w:rPr>
          <w:rFonts w:ascii="Arial Black" w:eastAsia="Times New Roman" w:hAnsi="Arial Black"/>
          <w:b/>
          <w:bCs/>
          <w:sz w:val="28"/>
          <w:szCs w:val="28"/>
        </w:rPr>
        <w:t>OH</w:t>
      </w:r>
      <w:r>
        <w:rPr>
          <w:rFonts w:ascii="Arial Black" w:eastAsia="Times New Roman" w:hAnsi="Arial Black"/>
          <w:b/>
          <w:bCs/>
          <w:sz w:val="28"/>
          <w:szCs w:val="28"/>
        </w:rPr>
        <w:t>: LT. DEMOTED / SUSPENDED – UPHELD BUT TOWNSHIP MINUTES ON REASON FOR GOING INTO EXEC. SESSION NEED CLARIFICATION</w:t>
      </w:r>
    </w:p>
    <w:p w14:paraId="4B37777F" w14:textId="77777777" w:rsidR="00420322" w:rsidRDefault="00420322" w:rsidP="00420322">
      <w:pPr>
        <w:spacing w:before="100" w:beforeAutospacing="1" w:after="100" w:afterAutospacing="1" w:line="240" w:lineRule="auto"/>
        <w:rPr>
          <w:rFonts w:ascii="Arial" w:hAnsi="Arial" w:cs="Arial"/>
          <w:sz w:val="30"/>
          <w:szCs w:val="30"/>
        </w:rPr>
      </w:pPr>
      <w:r w:rsidRPr="00B84F37">
        <w:rPr>
          <w:rFonts w:ascii="Times New Roman" w:hAnsi="Times New Roman"/>
          <w:sz w:val="24"/>
          <w:szCs w:val="24"/>
        </w:rPr>
        <w:t xml:space="preserve">On Dec. 9, 2019, in </w:t>
      </w:r>
      <w:r w:rsidRPr="00B84F37">
        <w:rPr>
          <w:rFonts w:ascii="Times New Roman" w:hAnsi="Times New Roman"/>
          <w:sz w:val="24"/>
          <w:szCs w:val="24"/>
          <w:u w:val="single"/>
        </w:rPr>
        <w:t>Douglas Bode v. Concord Township</w:t>
      </w:r>
      <w:r>
        <w:rPr>
          <w:rFonts w:ascii="Times New Roman" w:hAnsi="Times New Roman"/>
          <w:sz w:val="24"/>
          <w:szCs w:val="24"/>
        </w:rPr>
        <w:t>, the Ohio Court of Appeals for the Eleventh District (Lake County) upheld the demotion of part-time Lieutenant to part-time firefighter / paramedic, and his suspension for six months, but found technical violation of Open Meeting Act since minutes of the Township public meeting did not reflect the reason for going into executive session.</w:t>
      </w:r>
    </w:p>
    <w:p w14:paraId="0F4628C8" w14:textId="633427FE" w:rsidR="00420322" w:rsidRPr="00B8368A" w:rsidRDefault="00420322" w:rsidP="00B8368A">
      <w:pPr>
        <w:pStyle w:val="NoSpacing"/>
        <w:ind w:left="720"/>
        <w:rPr>
          <w:rFonts w:ascii="Times New Roman" w:hAnsi="Times New Roman"/>
          <w:sz w:val="24"/>
          <w:szCs w:val="24"/>
        </w:rPr>
      </w:pPr>
      <w:r w:rsidRPr="00B101CE">
        <w:rPr>
          <w:rFonts w:ascii="Times New Roman" w:hAnsi="Times New Roman"/>
          <w:sz w:val="24"/>
          <w:szCs w:val="24"/>
        </w:rPr>
        <w:t xml:space="preserve">“We determine the Board committed a technical violation of Ohio’s Open Meetings Act (the ‘OMA’) so that an injunction ordering the Board to comply with the OMA is appropriate, but we do not invalidate Mr. Bode’s suspension and demotion approved by the Board. *** Here, it is undisputed that the meeting minutes were deficient in identifying the purpose of the executive session </w:t>
      </w:r>
      <w:proofErr w:type="gramStart"/>
      <w:r w:rsidRPr="00B101CE">
        <w:rPr>
          <w:rFonts w:ascii="Times New Roman" w:hAnsi="Times New Roman"/>
          <w:sz w:val="24"/>
          <w:szCs w:val="24"/>
        </w:rPr>
        <w:t>with regard to</w:t>
      </w:r>
      <w:proofErr w:type="gramEnd"/>
      <w:r w:rsidRPr="00B101CE">
        <w:rPr>
          <w:rFonts w:ascii="Times New Roman" w:hAnsi="Times New Roman"/>
          <w:sz w:val="24"/>
          <w:szCs w:val="24"/>
        </w:rPr>
        <w:t xml:space="preserve"> Mr. Bode. No reason for entering executive session was stated; therefore, the Board has failed to comply with R.C. 121.22(G)(1). </w:t>
      </w:r>
      <w:hyperlink r:id="rId2714" w:history="1">
        <w:r w:rsidR="00B8368A" w:rsidRPr="001B5B01">
          <w:rPr>
            <w:rStyle w:val="Hyperlink"/>
            <w:rFonts w:ascii="Times New Roman" w:eastAsia="Times New Roman" w:hAnsi="Times New Roman"/>
            <w:sz w:val="24"/>
            <w:szCs w:val="24"/>
          </w:rPr>
          <w:t>https://www.supremecourt.ohio.gov/rod/docs/pdf/11/2019/2019-Ohio-5062.pdf</w:t>
        </w:r>
      </w:hyperlink>
      <w:bookmarkEnd w:id="609"/>
    </w:p>
    <w:p w14:paraId="4C86A07D" w14:textId="1D69C176" w:rsidR="00420322" w:rsidRDefault="00B8368A" w:rsidP="00297434">
      <w:pPr>
        <w:spacing w:before="100" w:beforeAutospacing="1" w:after="100" w:afterAutospacing="1" w:line="240" w:lineRule="auto"/>
        <w:rPr>
          <w:rFonts w:ascii="Times New Roman" w:hAnsi="Times New Roman"/>
          <w:b/>
          <w:bCs/>
          <w:sz w:val="24"/>
          <w:szCs w:val="24"/>
        </w:rPr>
      </w:pPr>
      <w:r w:rsidRPr="00B8368A">
        <w:rPr>
          <w:rFonts w:ascii="Times New Roman" w:hAnsi="Times New Roman"/>
          <w:b/>
          <w:bCs/>
          <w:sz w:val="24"/>
          <w:szCs w:val="24"/>
        </w:rPr>
        <w:t xml:space="preserve">Legal Lessons Learned: Minutes of public meetings, prior to going into Executive Session, should </w:t>
      </w:r>
      <w:proofErr w:type="gramStart"/>
      <w:r w:rsidRPr="00B8368A">
        <w:rPr>
          <w:rFonts w:ascii="Times New Roman" w:hAnsi="Times New Roman"/>
          <w:b/>
          <w:bCs/>
          <w:sz w:val="24"/>
          <w:szCs w:val="24"/>
        </w:rPr>
        <w:t>careful</w:t>
      </w:r>
      <w:proofErr w:type="gramEnd"/>
      <w:r w:rsidRPr="00B8368A">
        <w:rPr>
          <w:rFonts w:ascii="Times New Roman" w:hAnsi="Times New Roman"/>
          <w:b/>
          <w:bCs/>
          <w:sz w:val="24"/>
          <w:szCs w:val="24"/>
        </w:rPr>
        <w:t xml:space="preserve"> be </w:t>
      </w:r>
      <w:r>
        <w:rPr>
          <w:rFonts w:ascii="Times New Roman" w:hAnsi="Times New Roman"/>
          <w:b/>
          <w:bCs/>
          <w:sz w:val="24"/>
          <w:szCs w:val="24"/>
        </w:rPr>
        <w:t>prepared t</w:t>
      </w:r>
      <w:r w:rsidRPr="00B8368A">
        <w:rPr>
          <w:rFonts w:ascii="Times New Roman" w:hAnsi="Times New Roman"/>
          <w:b/>
          <w:bCs/>
          <w:sz w:val="24"/>
          <w:szCs w:val="24"/>
        </w:rPr>
        <w:t>o avoid costly litigation.</w:t>
      </w:r>
    </w:p>
    <w:p w14:paraId="7D2F863C" w14:textId="233D98BF" w:rsidR="00B8368A" w:rsidRDefault="00B8368A" w:rsidP="00297434">
      <w:pPr>
        <w:spacing w:before="100" w:beforeAutospacing="1" w:after="100" w:afterAutospacing="1" w:line="240" w:lineRule="auto"/>
        <w:rPr>
          <w:rFonts w:ascii="Times New Roman" w:hAnsi="Times New Roman"/>
          <w:b/>
          <w:bCs/>
          <w:sz w:val="24"/>
          <w:szCs w:val="24"/>
        </w:rPr>
      </w:pPr>
    </w:p>
    <w:p w14:paraId="0D198F10" w14:textId="77777777" w:rsidR="00B8368A" w:rsidRPr="00B8368A" w:rsidRDefault="00B8368A" w:rsidP="00297434">
      <w:pPr>
        <w:spacing w:before="100" w:beforeAutospacing="1" w:after="100" w:afterAutospacing="1" w:line="240" w:lineRule="auto"/>
        <w:rPr>
          <w:rFonts w:ascii="Times New Roman" w:hAnsi="Times New Roman"/>
          <w:b/>
          <w:bCs/>
          <w:sz w:val="24"/>
          <w:szCs w:val="24"/>
        </w:rPr>
      </w:pPr>
    </w:p>
    <w:p w14:paraId="78892DE8" w14:textId="17B9C350" w:rsidR="00297434" w:rsidRDefault="00297434" w:rsidP="00297434">
      <w:pPr>
        <w:spacing w:before="100" w:beforeAutospacing="1" w:after="100" w:afterAutospacing="1" w:line="240" w:lineRule="auto"/>
        <w:rPr>
          <w:rFonts w:ascii="Arial Black" w:hAnsi="Arial Black"/>
          <w:sz w:val="28"/>
          <w:szCs w:val="28"/>
        </w:rPr>
      </w:pPr>
      <w:r>
        <w:rPr>
          <w:rFonts w:ascii="Arial Black" w:hAnsi="Arial Black"/>
          <w:sz w:val="24"/>
          <w:szCs w:val="24"/>
        </w:rPr>
        <w:t>16-20</w:t>
      </w:r>
      <w:r>
        <w:rPr>
          <w:rFonts w:ascii="Arial Black" w:hAnsi="Arial Black"/>
          <w:sz w:val="24"/>
          <w:szCs w:val="24"/>
        </w:rPr>
        <w:br/>
      </w:r>
      <w:r>
        <w:rPr>
          <w:rFonts w:ascii="Arial Black" w:hAnsi="Arial Black"/>
          <w:sz w:val="24"/>
          <w:szCs w:val="24"/>
        </w:rPr>
        <w:br/>
      </w:r>
      <w:r>
        <w:rPr>
          <w:rFonts w:ascii="Arial Black" w:hAnsi="Arial Black"/>
          <w:sz w:val="28"/>
          <w:szCs w:val="28"/>
        </w:rPr>
        <w:t>OR:  SHORTLY AFTER UNION FORMED - FD STARTED USING PRIVATE INVESTIGATOR, SUPERVISOR NOTES – UNFAIR LABOR PRACTICE</w:t>
      </w:r>
    </w:p>
    <w:p w14:paraId="1D82CDA4" w14:textId="05B1E746" w:rsidR="00297434" w:rsidRDefault="00297434" w:rsidP="00297434">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Dec. 5, 2019, in </w:t>
      </w:r>
      <w:r>
        <w:rPr>
          <w:rFonts w:ascii="Times New Roman" w:hAnsi="Times New Roman"/>
          <w:sz w:val="24"/>
          <w:szCs w:val="24"/>
          <w:u w:val="single"/>
        </w:rPr>
        <w:t>Crook County Firefighters Association, IAFF Local 5115 v. Crook County Fire &amp; Rescue</w:t>
      </w:r>
      <w:r>
        <w:rPr>
          <w:rFonts w:ascii="Times New Roman" w:hAnsi="Times New Roman"/>
          <w:sz w:val="24"/>
          <w:szCs w:val="24"/>
        </w:rPr>
        <w:t xml:space="preserve">, the Oregon Employment Relations Board found that the Fire Department “committed an unfair labor practice” after the Local was formed in </w:t>
      </w:r>
      <w:proofErr w:type="gramStart"/>
      <w:r>
        <w:rPr>
          <w:rFonts w:ascii="Times New Roman" w:hAnsi="Times New Roman"/>
          <w:sz w:val="24"/>
          <w:szCs w:val="24"/>
        </w:rPr>
        <w:t>September,</w:t>
      </w:r>
      <w:proofErr w:type="gramEnd"/>
      <w:r>
        <w:rPr>
          <w:rFonts w:ascii="Times New Roman" w:hAnsi="Times New Roman"/>
          <w:sz w:val="24"/>
          <w:szCs w:val="24"/>
        </w:rPr>
        <w:t xml:space="preserve"> 2017.</w:t>
      </w:r>
    </w:p>
    <w:p w14:paraId="3E17C30D" w14:textId="77777777" w:rsidR="00297434" w:rsidRDefault="00297434" w:rsidP="00297434">
      <w:pPr>
        <w:pStyle w:val="NoSpacing"/>
        <w:ind w:left="720"/>
        <w:rPr>
          <w:rFonts w:ascii="Times New Roman" w:hAnsi="Times New Roman"/>
          <w:sz w:val="24"/>
          <w:szCs w:val="24"/>
        </w:rPr>
      </w:pPr>
      <w:r>
        <w:rPr>
          <w:rFonts w:ascii="Times New Roman" w:hAnsi="Times New Roman"/>
          <w:sz w:val="24"/>
          <w:szCs w:val="24"/>
        </w:rPr>
        <w:t xml:space="preserve">“To briefly summarize: after the employees organized, the </w:t>
      </w:r>
      <w:proofErr w:type="gramStart"/>
      <w:r>
        <w:rPr>
          <w:rFonts w:ascii="Times New Roman" w:hAnsi="Times New Roman"/>
          <w:sz w:val="24"/>
          <w:szCs w:val="24"/>
        </w:rPr>
        <w:t>District</w:t>
      </w:r>
      <w:proofErr w:type="gramEnd"/>
      <w:r>
        <w:rPr>
          <w:rFonts w:ascii="Times New Roman" w:hAnsi="Times New Roman"/>
          <w:sz w:val="24"/>
          <w:szCs w:val="24"/>
        </w:rPr>
        <w:t xml:space="preserve"> started using a private, third-party investigator to investigate some, but not all, complaints or concerns about employee conduct, and started using supervisory notes to more comprehensively and formally document employee conduct, and coaching and counseling. When employees expressed concerns about the potentially negative employment implications of the </w:t>
      </w:r>
      <w:proofErr w:type="gramStart"/>
      <w:r>
        <w:rPr>
          <w:rFonts w:ascii="Times New Roman" w:hAnsi="Times New Roman"/>
          <w:sz w:val="24"/>
          <w:szCs w:val="24"/>
        </w:rPr>
        <w:t>District's</w:t>
      </w:r>
      <w:proofErr w:type="gramEnd"/>
      <w:r>
        <w:rPr>
          <w:rFonts w:ascii="Times New Roman" w:hAnsi="Times New Roman"/>
          <w:sz w:val="24"/>
          <w:szCs w:val="24"/>
        </w:rPr>
        <w:t xml:space="preserve"> actions, or perceived differences in how Association supporters were being treated, and asked for explanations, the chiefs, on multiple occasions, expressly attributed the employer's actions to ‘the union.’ Given the parties' history, including the fact that the employees had only recently organized, Association-represented employees could reasonably fear that exercising their PECBA-guaranteed rights would result in undesired changes (i.e., increased formality and  documentation),  as well as heightened scrutiny and less favorable judgments from their </w:t>
      </w:r>
      <w:proofErr w:type="gramStart"/>
      <w:r>
        <w:rPr>
          <w:rFonts w:ascii="Times New Roman" w:hAnsi="Times New Roman"/>
          <w:sz w:val="24"/>
          <w:szCs w:val="24"/>
        </w:rPr>
        <w:t>supervisors.”</w:t>
      </w:r>
      <w:proofErr w:type="gramEnd"/>
    </w:p>
    <w:p w14:paraId="30A2A596" w14:textId="31E17E39" w:rsidR="00297434" w:rsidRDefault="00297434" w:rsidP="00297434">
      <w:pPr>
        <w:pStyle w:val="NoSpacing"/>
        <w:ind w:left="720"/>
        <w:rPr>
          <w:rFonts w:ascii="Times New Roman" w:hAnsi="Times New Roman"/>
          <w:sz w:val="24"/>
          <w:szCs w:val="24"/>
        </w:rPr>
      </w:pPr>
      <w:hyperlink r:id="rId2715" w:history="1">
        <w:r>
          <w:rPr>
            <w:rStyle w:val="Hyperlink"/>
            <w:rFonts w:ascii="Times New Roman" w:hAnsi="Times New Roman"/>
            <w:sz w:val="24"/>
            <w:szCs w:val="24"/>
          </w:rPr>
          <w:t>https://apps.fastcase.com/Research/Pages/Document.aspx?LTID=ymjJQ%2bnA3gcD0uwW%2fXT8m74LrRSQo4n%2fvIMvSs06sm8gvhQE4Uja7b0PnhuF%2f4C2xuQogpx6q5d2KkmcmH7G9BxVUizxwq9%2bCSXj%2fVTkPcKayiYbCxXnu3qAsQnurF1%2fEGlhVwGun1DCyEjfhN2WDA%3d%3d</w:t>
        </w:r>
      </w:hyperlink>
      <w:r>
        <w:rPr>
          <w:rFonts w:ascii="Times New Roman" w:hAnsi="Times New Roman"/>
          <w:sz w:val="24"/>
          <w:szCs w:val="24"/>
        </w:rPr>
        <w:t xml:space="preserve"> </w:t>
      </w:r>
    </w:p>
    <w:p w14:paraId="32B42FCB" w14:textId="459A457A" w:rsidR="00297434" w:rsidRDefault="00297434" w:rsidP="00297434">
      <w:pPr>
        <w:pStyle w:val="NoSpacing"/>
        <w:ind w:left="720"/>
        <w:rPr>
          <w:rFonts w:ascii="Times New Roman" w:hAnsi="Times New Roman"/>
          <w:sz w:val="24"/>
          <w:szCs w:val="24"/>
        </w:rPr>
      </w:pPr>
    </w:p>
    <w:p w14:paraId="60847410" w14:textId="77777777" w:rsidR="00297434" w:rsidRDefault="00297434" w:rsidP="00297434">
      <w:pPr>
        <w:pStyle w:val="NoSpacing"/>
        <w:rPr>
          <w:rFonts w:ascii="Times New Roman" w:hAnsi="Times New Roman"/>
          <w:b/>
          <w:bCs/>
          <w:sz w:val="24"/>
          <w:szCs w:val="24"/>
        </w:rPr>
      </w:pPr>
      <w:r>
        <w:rPr>
          <w:rFonts w:ascii="Times New Roman" w:hAnsi="Times New Roman"/>
          <w:b/>
          <w:bCs/>
          <w:sz w:val="24"/>
          <w:szCs w:val="24"/>
        </w:rPr>
        <w:t xml:space="preserve">Legal Lessons Learned: New disciplinary processes implemented shortly after a union has been formed can lead to a “unfair labor practice” complaint.  Under Oregon statutes, it is an unfair labor practice to: </w:t>
      </w:r>
      <w:r>
        <w:rPr>
          <w:rStyle w:val="outlineheading2"/>
          <w:rFonts w:ascii="Times New Roman" w:hAnsi="Times New Roman"/>
          <w:b/>
          <w:bCs/>
          <w:sz w:val="24"/>
          <w:szCs w:val="24"/>
        </w:rPr>
        <w:t xml:space="preserve"> “(a)</w:t>
      </w:r>
      <w:r>
        <w:rPr>
          <w:rFonts w:ascii="Times New Roman" w:hAnsi="Times New Roman"/>
          <w:b/>
          <w:bCs/>
          <w:sz w:val="24"/>
          <w:szCs w:val="24"/>
        </w:rPr>
        <w:t xml:space="preserve"> Interfere with, restrain or coerce any employee in or because of the exercise of any right guaranteed under ORS </w:t>
      </w:r>
      <w:hyperlink r:id="rId2716" w:history="1">
        <w:r>
          <w:rPr>
            <w:rStyle w:val="Hyperlink"/>
            <w:rFonts w:ascii="Times New Roman" w:hAnsi="Times New Roman"/>
            <w:b/>
            <w:bCs/>
            <w:sz w:val="24"/>
            <w:szCs w:val="24"/>
          </w:rPr>
          <w:t xml:space="preserve">243.650 </w:t>
        </w:r>
        <w:r>
          <w:rPr>
            <w:rStyle w:val="annotation"/>
            <w:rFonts w:ascii="Times New Roman" w:hAnsi="Times New Roman"/>
            <w:b/>
            <w:bCs/>
            <w:sz w:val="24"/>
            <w:szCs w:val="24"/>
          </w:rPr>
          <w:t>(Definitions for ORS 243.650 to 243.782)</w:t>
        </w:r>
      </w:hyperlink>
      <w:r>
        <w:rPr>
          <w:rFonts w:ascii="Times New Roman" w:hAnsi="Times New Roman"/>
          <w:b/>
          <w:bCs/>
          <w:sz w:val="24"/>
          <w:szCs w:val="24"/>
        </w:rPr>
        <w:t xml:space="preserve"> to </w:t>
      </w:r>
      <w:hyperlink r:id="rId2717" w:history="1">
        <w:r>
          <w:rPr>
            <w:rStyle w:val="Hyperlink"/>
            <w:rFonts w:ascii="Times New Roman" w:hAnsi="Times New Roman"/>
            <w:b/>
            <w:bCs/>
            <w:sz w:val="24"/>
            <w:szCs w:val="24"/>
          </w:rPr>
          <w:t xml:space="preserve">243.782 </w:t>
        </w:r>
        <w:r>
          <w:rPr>
            <w:rStyle w:val="annotation"/>
            <w:rFonts w:ascii="Times New Roman" w:hAnsi="Times New Roman"/>
            <w:b/>
            <w:bCs/>
            <w:sz w:val="24"/>
            <w:szCs w:val="24"/>
          </w:rPr>
          <w:t>(Representation by counsel authorized)</w:t>
        </w:r>
      </w:hyperlink>
      <w:r>
        <w:rPr>
          <w:rFonts w:ascii="Times New Roman" w:hAnsi="Times New Roman"/>
          <w:b/>
          <w:bCs/>
          <w:sz w:val="24"/>
          <w:szCs w:val="24"/>
        </w:rPr>
        <w:t xml:space="preserve">.”  </w:t>
      </w:r>
      <w:hyperlink r:id="rId2718" w:history="1">
        <w:r>
          <w:rPr>
            <w:rStyle w:val="Hyperlink"/>
            <w:rFonts w:ascii="Times New Roman" w:hAnsi="Times New Roman"/>
            <w:b/>
            <w:bCs/>
            <w:sz w:val="24"/>
            <w:szCs w:val="24"/>
          </w:rPr>
          <w:t>https://www.oregonlaws.org/ors/243.672</w:t>
        </w:r>
      </w:hyperlink>
      <w:r>
        <w:rPr>
          <w:rFonts w:ascii="Times New Roman" w:hAnsi="Times New Roman"/>
          <w:b/>
          <w:bCs/>
          <w:sz w:val="24"/>
          <w:szCs w:val="24"/>
        </w:rPr>
        <w:t xml:space="preserve"> </w:t>
      </w:r>
    </w:p>
    <w:p w14:paraId="54657ABA" w14:textId="77777777" w:rsidR="00297434" w:rsidRDefault="00297434" w:rsidP="00297434">
      <w:pPr>
        <w:pStyle w:val="NoSpacing"/>
        <w:rPr>
          <w:rFonts w:ascii="Times New Roman" w:hAnsi="Times New Roman"/>
          <w:b/>
          <w:bCs/>
          <w:sz w:val="24"/>
          <w:szCs w:val="24"/>
        </w:rPr>
      </w:pPr>
    </w:p>
    <w:p w14:paraId="4A684524" w14:textId="15022546" w:rsidR="00297434" w:rsidRDefault="00297434" w:rsidP="00297434">
      <w:pPr>
        <w:pStyle w:val="NoSpacing"/>
        <w:rPr>
          <w:rFonts w:ascii="Times New Roman" w:hAnsi="Times New Roman"/>
          <w:sz w:val="24"/>
          <w:szCs w:val="24"/>
        </w:rPr>
      </w:pPr>
    </w:p>
    <w:p w14:paraId="68147D2A" w14:textId="6AB7397E" w:rsidR="00297434" w:rsidRDefault="00297434" w:rsidP="00F326E5">
      <w:pPr>
        <w:pStyle w:val="NoSpacing"/>
        <w:rPr>
          <w:rFonts w:ascii="Arial Black" w:hAnsi="Arial Black"/>
          <w:sz w:val="24"/>
          <w:szCs w:val="24"/>
        </w:rPr>
      </w:pPr>
    </w:p>
    <w:p w14:paraId="6732209A" w14:textId="77777777" w:rsidR="00297434" w:rsidRDefault="00297434" w:rsidP="00F326E5">
      <w:pPr>
        <w:pStyle w:val="NoSpacing"/>
        <w:rPr>
          <w:rFonts w:ascii="Arial Black" w:hAnsi="Arial Black"/>
          <w:sz w:val="24"/>
          <w:szCs w:val="24"/>
        </w:rPr>
      </w:pPr>
    </w:p>
    <w:p w14:paraId="25088449" w14:textId="7512A433" w:rsidR="00297434" w:rsidRDefault="00297434" w:rsidP="00F326E5">
      <w:pPr>
        <w:pStyle w:val="NoSpacing"/>
        <w:rPr>
          <w:rFonts w:ascii="Arial Black" w:hAnsi="Arial Black"/>
          <w:sz w:val="24"/>
          <w:szCs w:val="24"/>
        </w:rPr>
      </w:pPr>
      <w:r>
        <w:rPr>
          <w:rFonts w:ascii="Arial Black" w:hAnsi="Arial Black"/>
          <w:sz w:val="24"/>
          <w:szCs w:val="24"/>
        </w:rPr>
        <w:t>16-19</w:t>
      </w:r>
    </w:p>
    <w:p w14:paraId="51ED5777" w14:textId="7C2DC461" w:rsidR="00297434" w:rsidRDefault="00297434" w:rsidP="00F326E5">
      <w:pPr>
        <w:pStyle w:val="NoSpacing"/>
        <w:rPr>
          <w:rFonts w:ascii="Arial Black" w:hAnsi="Arial Black"/>
          <w:sz w:val="24"/>
          <w:szCs w:val="24"/>
        </w:rPr>
      </w:pPr>
    </w:p>
    <w:p w14:paraId="08BCD668" w14:textId="77777777" w:rsidR="00297434" w:rsidRDefault="00297434" w:rsidP="00297434">
      <w:pPr>
        <w:pStyle w:val="NoSpacing"/>
        <w:rPr>
          <w:rFonts w:ascii="Arial Black" w:hAnsi="Arial Black"/>
          <w:sz w:val="28"/>
          <w:szCs w:val="28"/>
        </w:rPr>
      </w:pPr>
      <w:r>
        <w:rPr>
          <w:rFonts w:ascii="Arial Black" w:hAnsi="Arial Black"/>
          <w:sz w:val="28"/>
          <w:szCs w:val="28"/>
        </w:rPr>
        <w:t>LA: FF “BILL OF RIGHTS” VIOLATED – FF INTERVIEWED BY SENIOR FD OFFICER AFTER ARREST FOR ROAD RAGE</w:t>
      </w:r>
    </w:p>
    <w:p w14:paraId="4F79F69F" w14:textId="77777777" w:rsidR="00297434" w:rsidRDefault="00297434" w:rsidP="00297434">
      <w:pPr>
        <w:pStyle w:val="NoSpacing"/>
        <w:rPr>
          <w:rFonts w:ascii="Times New Roman" w:hAnsi="Times New Roman"/>
          <w:sz w:val="24"/>
          <w:szCs w:val="24"/>
        </w:rPr>
      </w:pPr>
    </w:p>
    <w:p w14:paraId="14F71D5D" w14:textId="77777777" w:rsidR="00297434" w:rsidRDefault="00297434" w:rsidP="00297434">
      <w:pPr>
        <w:pStyle w:val="NoSpacing"/>
        <w:rPr>
          <w:rFonts w:ascii="Times New Roman" w:hAnsi="Times New Roman"/>
          <w:sz w:val="24"/>
          <w:szCs w:val="24"/>
        </w:rPr>
      </w:pPr>
      <w:r>
        <w:rPr>
          <w:rFonts w:ascii="Times New Roman" w:hAnsi="Times New Roman"/>
          <w:sz w:val="24"/>
          <w:szCs w:val="24"/>
        </w:rPr>
        <w:t xml:space="preserve">On Dec. 4, 2019, in </w:t>
      </w:r>
      <w:r>
        <w:rPr>
          <w:rFonts w:ascii="Times New Roman" w:hAnsi="Times New Roman"/>
          <w:sz w:val="24"/>
          <w:szCs w:val="24"/>
          <w:u w:val="single"/>
        </w:rPr>
        <w:t>Jonathan Farrelly v. Jefferson Parish East Bank Consolidated Fire District</w:t>
      </w:r>
      <w:r>
        <w:rPr>
          <w:rFonts w:ascii="Times New Roman" w:hAnsi="Times New Roman"/>
          <w:sz w:val="24"/>
          <w:szCs w:val="24"/>
        </w:rPr>
        <w:t>, the Fifth Circuit Court of Appeals held (3 to 0) that FD violated the Firefighter Bill of Rights.</w:t>
      </w:r>
    </w:p>
    <w:p w14:paraId="672E25F7" w14:textId="77777777" w:rsidR="00297434" w:rsidRDefault="00297434" w:rsidP="00297434">
      <w:pPr>
        <w:pStyle w:val="NoSpacing"/>
        <w:rPr>
          <w:rFonts w:ascii="Times New Roman" w:hAnsi="Times New Roman"/>
          <w:sz w:val="24"/>
          <w:szCs w:val="24"/>
        </w:rPr>
      </w:pPr>
    </w:p>
    <w:p w14:paraId="707362DF" w14:textId="77777777" w:rsidR="00297434" w:rsidRDefault="00297434" w:rsidP="00297434">
      <w:pPr>
        <w:pStyle w:val="NoSpacing"/>
        <w:ind w:left="720"/>
        <w:rPr>
          <w:rFonts w:ascii="Times New Roman" w:hAnsi="Times New Roman"/>
          <w:sz w:val="24"/>
          <w:szCs w:val="24"/>
        </w:rPr>
      </w:pPr>
      <w:r>
        <w:rPr>
          <w:rFonts w:ascii="Times New Roman" w:hAnsi="Times New Roman"/>
          <w:sz w:val="24"/>
          <w:szCs w:val="24"/>
        </w:rPr>
        <w:t xml:space="preserve">“Without the presence of counsel, Farrelly was asked to discuss facts relating to a pending criminal prosecution. While the Firefighter Bill of Rights provides that statements made </w:t>
      </w:r>
      <w:proofErr w:type="gramStart"/>
      <w:r>
        <w:rPr>
          <w:rFonts w:ascii="Times New Roman" w:hAnsi="Times New Roman"/>
          <w:sz w:val="24"/>
          <w:szCs w:val="24"/>
        </w:rPr>
        <w:t>during the course of</w:t>
      </w:r>
      <w:proofErr w:type="gramEnd"/>
      <w:r>
        <w:rPr>
          <w:rFonts w:ascii="Times New Roman" w:hAnsi="Times New Roman"/>
          <w:sz w:val="24"/>
          <w:szCs w:val="24"/>
        </w:rPr>
        <w:t xml:space="preserve"> an administrative investigation shall not be admissible in a criminal proceeding, Farrelly was not informed of these rights at the time of the meeting. La. R.S. 33:2181(B)(7). He was not advised whether his disclosures to his employers could adversely affect his impending criminal case. He may have felt that he had to answer the questions of his superiors as Department Rules and Regulation, Article X Section 3:06 </w:t>
      </w:r>
      <w:proofErr w:type="gramStart"/>
      <w:r>
        <w:rPr>
          <w:rFonts w:ascii="Times New Roman" w:hAnsi="Times New Roman"/>
          <w:sz w:val="24"/>
          <w:szCs w:val="24"/>
        </w:rPr>
        <w:t>states ‘[</w:t>
      </w:r>
      <w:proofErr w:type="gramEnd"/>
      <w:r>
        <w:rPr>
          <w:rFonts w:ascii="Times New Roman" w:hAnsi="Times New Roman"/>
          <w:sz w:val="24"/>
          <w:szCs w:val="24"/>
        </w:rPr>
        <w:t>a]</w:t>
      </w:r>
      <w:proofErr w:type="spellStart"/>
      <w:r>
        <w:rPr>
          <w:rFonts w:ascii="Times New Roman" w:hAnsi="Times New Roman"/>
          <w:sz w:val="24"/>
          <w:szCs w:val="24"/>
        </w:rPr>
        <w:t>ny</w:t>
      </w:r>
      <w:proofErr w:type="spellEnd"/>
      <w:r>
        <w:rPr>
          <w:rFonts w:ascii="Times New Roman" w:hAnsi="Times New Roman"/>
          <w:sz w:val="24"/>
          <w:szCs w:val="24"/>
        </w:rPr>
        <w:t xml:space="preserve"> member who, when so directed by authority, refuses to answer questions or render statements, material, etc. relevant to any Department investigation shall be subject to disciplinary action.’ Furthermore, when the Department seeks information regarding conduct that results in an arrest, the details of the conduct can be confirmed through the police report.” </w:t>
      </w:r>
    </w:p>
    <w:p w14:paraId="38B166AD" w14:textId="0957C172" w:rsidR="00297434" w:rsidRDefault="00297434" w:rsidP="00297434">
      <w:pPr>
        <w:pStyle w:val="NoSpacing"/>
        <w:rPr>
          <w:rStyle w:val="Hyperlink"/>
          <w:rFonts w:ascii="Times New Roman" w:hAnsi="Times New Roman"/>
          <w:sz w:val="24"/>
          <w:szCs w:val="24"/>
        </w:rPr>
      </w:pPr>
      <w:hyperlink r:id="rId2719" w:history="1">
        <w:r>
          <w:rPr>
            <w:rStyle w:val="Hyperlink"/>
            <w:rFonts w:ascii="Times New Roman" w:hAnsi="Times New Roman"/>
            <w:sz w:val="24"/>
            <w:szCs w:val="24"/>
          </w:rPr>
          <w:t>http://www.fifthcircuit.org/dmzdocs/OI/PO/2019/D2D01276-0CAB-4C3C-8746-E6A5E19BC45A.pdf</w:t>
        </w:r>
      </w:hyperlink>
    </w:p>
    <w:p w14:paraId="06A4D58F" w14:textId="7CA189B1" w:rsidR="00297434" w:rsidRDefault="00297434" w:rsidP="00297434">
      <w:pPr>
        <w:pStyle w:val="NoSpacing"/>
        <w:rPr>
          <w:rStyle w:val="Hyperlink"/>
          <w:rFonts w:ascii="Times New Roman" w:hAnsi="Times New Roman"/>
          <w:sz w:val="24"/>
          <w:szCs w:val="24"/>
        </w:rPr>
      </w:pPr>
    </w:p>
    <w:p w14:paraId="71024EE5" w14:textId="77777777" w:rsidR="00297434" w:rsidRDefault="00297434" w:rsidP="00297434">
      <w:pPr>
        <w:pStyle w:val="NoSpacing"/>
        <w:ind w:left="-90"/>
        <w:rPr>
          <w:rFonts w:ascii="Times New Roman" w:hAnsi="Times New Roman"/>
          <w:b/>
          <w:bCs/>
          <w:sz w:val="24"/>
          <w:szCs w:val="24"/>
        </w:rPr>
      </w:pPr>
      <w:r>
        <w:rPr>
          <w:rFonts w:ascii="Times New Roman" w:hAnsi="Times New Roman"/>
          <w:b/>
          <w:bCs/>
          <w:sz w:val="24"/>
          <w:szCs w:val="24"/>
        </w:rPr>
        <w:t xml:space="preserve">Legal Lessons Learned: When the FF returned to work, he should have only been interviewed by his immediate supervisors, who in turn could advise the senior officers what they had learned.   See the Louisiana statute: FIRE EMPLOYEE'S RIGHTS: </w:t>
      </w:r>
    </w:p>
    <w:p w14:paraId="0099A3F4" w14:textId="77777777" w:rsidR="00297434" w:rsidRDefault="00297434" w:rsidP="00297434">
      <w:pPr>
        <w:pStyle w:val="NoSpacing"/>
        <w:ind w:left="720"/>
        <w:rPr>
          <w:rFonts w:ascii="Times New Roman" w:hAnsi="Times New Roman"/>
          <w:sz w:val="24"/>
          <w:szCs w:val="24"/>
        </w:rPr>
      </w:pPr>
      <w:r>
        <w:rPr>
          <w:rFonts w:ascii="Times New Roman" w:hAnsi="Times New Roman"/>
          <w:b/>
          <w:bCs/>
          <w:sz w:val="24"/>
          <w:szCs w:val="24"/>
        </w:rPr>
        <w:t>(2)</w:t>
      </w:r>
      <w:r>
        <w:t xml:space="preserve"> </w:t>
      </w:r>
      <w:r>
        <w:rPr>
          <w:rFonts w:ascii="Times New Roman" w:hAnsi="Times New Roman"/>
          <w:b/>
          <w:bCs/>
          <w:sz w:val="24"/>
          <w:szCs w:val="24"/>
        </w:rPr>
        <w:t xml:space="preserve">"Interrogation" includes but is not limited to any formal interview, inquiry, or questioning of any fire employee by the appointing authority or the appointing authority's designee regarding misconduct, allegations of misconduct, or policy violation. An initial inquiry conducted by the fire employee's immediate supervisors </w:t>
      </w:r>
      <w:r w:rsidRPr="00880E83">
        <w:rPr>
          <w:rFonts w:ascii="Times New Roman" w:hAnsi="Times New Roman"/>
          <w:b/>
          <w:bCs/>
          <w:sz w:val="24"/>
          <w:szCs w:val="24"/>
        </w:rPr>
        <w:t>shall not be considered an interrogation.</w:t>
      </w:r>
      <w:r>
        <w:rPr>
          <w:rFonts w:ascii="Times New Roman" w:hAnsi="Times New Roman"/>
          <w:sz w:val="24"/>
          <w:szCs w:val="24"/>
        </w:rPr>
        <w:t xml:space="preserve"> </w:t>
      </w:r>
      <w:hyperlink r:id="rId2720" w:history="1">
        <w:r>
          <w:rPr>
            <w:rStyle w:val="Hyperlink"/>
            <w:rFonts w:ascii="Times New Roman" w:hAnsi="Times New Roman"/>
            <w:sz w:val="24"/>
            <w:szCs w:val="24"/>
          </w:rPr>
          <w:t>https://law.justia.com/codes/louisiana/2012/rs/title33/rs33-2181/</w:t>
        </w:r>
      </w:hyperlink>
      <w:r>
        <w:rPr>
          <w:rFonts w:ascii="Times New Roman" w:hAnsi="Times New Roman"/>
          <w:sz w:val="24"/>
          <w:szCs w:val="24"/>
        </w:rPr>
        <w:t xml:space="preserve"> </w:t>
      </w:r>
    </w:p>
    <w:p w14:paraId="4EFE3344" w14:textId="0901A95F" w:rsidR="00297434" w:rsidRDefault="00297434" w:rsidP="00297434">
      <w:pPr>
        <w:pStyle w:val="NoSpacing"/>
        <w:rPr>
          <w:rStyle w:val="Hyperlink"/>
          <w:rFonts w:ascii="Times New Roman" w:hAnsi="Times New Roman"/>
          <w:sz w:val="24"/>
          <w:szCs w:val="24"/>
        </w:rPr>
      </w:pPr>
    </w:p>
    <w:p w14:paraId="1FCB6A0B" w14:textId="0E5CB4CA" w:rsidR="00297434" w:rsidRPr="00297434" w:rsidRDefault="00297434" w:rsidP="00297434">
      <w:pPr>
        <w:pStyle w:val="NoSpacing"/>
        <w:rPr>
          <w:rFonts w:ascii="Times New Roman" w:hAnsi="Times New Roman"/>
          <w:sz w:val="24"/>
          <w:szCs w:val="24"/>
        </w:rPr>
      </w:pPr>
    </w:p>
    <w:p w14:paraId="62BB590D" w14:textId="77777777" w:rsidR="00297434" w:rsidRDefault="00297434" w:rsidP="00F326E5">
      <w:pPr>
        <w:pStyle w:val="NoSpacing"/>
        <w:rPr>
          <w:rFonts w:ascii="Arial Black" w:hAnsi="Arial Black"/>
          <w:sz w:val="24"/>
          <w:szCs w:val="24"/>
        </w:rPr>
      </w:pPr>
    </w:p>
    <w:p w14:paraId="0E96E3D4" w14:textId="4BC56513" w:rsidR="00297434" w:rsidRDefault="00297434" w:rsidP="00F326E5">
      <w:pPr>
        <w:pStyle w:val="NoSpacing"/>
        <w:rPr>
          <w:rFonts w:ascii="Arial Black" w:hAnsi="Arial Black"/>
          <w:sz w:val="24"/>
          <w:szCs w:val="24"/>
        </w:rPr>
      </w:pPr>
      <w:r>
        <w:rPr>
          <w:rFonts w:ascii="Arial Black" w:hAnsi="Arial Black"/>
          <w:sz w:val="24"/>
          <w:szCs w:val="24"/>
        </w:rPr>
        <w:t>16-18</w:t>
      </w:r>
    </w:p>
    <w:p w14:paraId="6EC374A3" w14:textId="5B5E7492" w:rsidR="00297434" w:rsidRDefault="00297434" w:rsidP="00F326E5">
      <w:pPr>
        <w:pStyle w:val="NoSpacing"/>
        <w:rPr>
          <w:rFonts w:ascii="Arial Black" w:hAnsi="Arial Black"/>
          <w:sz w:val="24"/>
          <w:szCs w:val="24"/>
        </w:rPr>
      </w:pPr>
    </w:p>
    <w:p w14:paraId="13E438D3" w14:textId="77777777" w:rsidR="00297434" w:rsidRDefault="00297434" w:rsidP="00297434">
      <w:pPr>
        <w:pStyle w:val="Heading1"/>
        <w:rPr>
          <w:rFonts w:ascii="Arial Black" w:hAnsi="Arial Black"/>
          <w:sz w:val="28"/>
          <w:szCs w:val="28"/>
        </w:rPr>
      </w:pPr>
      <w:r>
        <w:rPr>
          <w:rFonts w:ascii="Arial Black" w:hAnsi="Arial Black"/>
          <w:sz w:val="28"/>
          <w:szCs w:val="28"/>
        </w:rPr>
        <w:t>MI: FF COMPLAINED PORN, OSHA VIOLATIONS – FIRED FOR MISCHARGING TIME - “RETALIATION” CLAIM REINSTATED</w:t>
      </w:r>
    </w:p>
    <w:p w14:paraId="3564B60B" w14:textId="77777777" w:rsidR="00297434" w:rsidRDefault="00297434" w:rsidP="00297434">
      <w:pPr>
        <w:pStyle w:val="Heading1"/>
        <w:rPr>
          <w:b w:val="0"/>
          <w:bCs w:val="0"/>
          <w:sz w:val="24"/>
          <w:szCs w:val="24"/>
        </w:rPr>
      </w:pPr>
      <w:r>
        <w:rPr>
          <w:b w:val="0"/>
          <w:bCs w:val="0"/>
          <w:sz w:val="24"/>
          <w:szCs w:val="24"/>
        </w:rPr>
        <w:t xml:space="preserve">On Nov. 22, 2019, in </w:t>
      </w:r>
      <w:r>
        <w:rPr>
          <w:b w:val="0"/>
          <w:bCs w:val="0"/>
          <w:sz w:val="24"/>
          <w:szCs w:val="24"/>
          <w:u w:val="single"/>
        </w:rPr>
        <w:t>Peter Hudson v. City of Highland Park, Michigan, Derek Hillman; Makini Jackson</w:t>
      </w:r>
      <w:r>
        <w:rPr>
          <w:b w:val="0"/>
          <w:bCs w:val="0"/>
          <w:sz w:val="24"/>
          <w:szCs w:val="24"/>
        </w:rPr>
        <w:t>, the U.S. Court of Appeals for the 6</w:t>
      </w:r>
      <w:r>
        <w:rPr>
          <w:b w:val="0"/>
          <w:bCs w:val="0"/>
          <w:sz w:val="24"/>
          <w:szCs w:val="24"/>
          <w:vertAlign w:val="superscript"/>
        </w:rPr>
        <w:t>th</w:t>
      </w:r>
      <w:r>
        <w:rPr>
          <w:b w:val="0"/>
          <w:bCs w:val="0"/>
          <w:sz w:val="24"/>
          <w:szCs w:val="24"/>
        </w:rPr>
        <w:t xml:space="preserve"> Circuit (Cincinnati) held (3 to 0) that lawsuit should be reinstated against Fire Chief Dereck Hillman. </w:t>
      </w:r>
    </w:p>
    <w:p w14:paraId="73A89118" w14:textId="77777777" w:rsidR="00297434" w:rsidRDefault="00297434" w:rsidP="00297434">
      <w:pPr>
        <w:pStyle w:val="Heading1"/>
        <w:ind w:left="720"/>
        <w:rPr>
          <w:b w:val="0"/>
          <w:bCs w:val="0"/>
          <w:sz w:val="24"/>
          <w:szCs w:val="24"/>
        </w:rPr>
      </w:pPr>
      <w:r>
        <w:rPr>
          <w:b w:val="0"/>
          <w:bCs w:val="0"/>
          <w:sz w:val="24"/>
          <w:szCs w:val="24"/>
        </w:rPr>
        <w:t xml:space="preserve">“As to [Fire Chief Dereck] Hillman, Hudson’s claim stands on firmer ground. While the question is close, his amended complaint contained enough plausible allegations to move to the discovery stage of the case. For five years, Hudson openly criticized his co-workers’ behavior because he felt it hampered their ability to fight fires. Hillman knew about these comments (some concerned his behavior) and tolerated other firefighters’ dereliction of duty (some of them missed calls to respond to fires). As time passed, Hudson put his complaints into action. A year before his discharge, he filed a complaint with the Occupational Safety and Health Administration, alleging that the firefighters’ cavorting led to deficiencies in the station’s equipment. Hillman, at some point, told another firefighter that he had grown tired of Hudson’s complaints. Hillman eventually found a way to get rid of Hudson: He had falsified his timecard. Hillman fired him on that basis, even though he knew another firefighter had done the same thing. Hudson tells us why: ‘[Hillman] objected to Hudson’s religious convictions and wanted to stop Hudson[’s] outspokenness against the immorality of Hillman and the firemen.’ Id.at 15. Considering these </w:t>
      </w:r>
      <w:proofErr w:type="gramStart"/>
      <w:r>
        <w:rPr>
          <w:b w:val="0"/>
          <w:bCs w:val="0"/>
          <w:sz w:val="24"/>
          <w:szCs w:val="24"/>
        </w:rPr>
        <w:t>allegations as a whole, it’s</w:t>
      </w:r>
      <w:proofErr w:type="gramEnd"/>
      <w:r>
        <w:rPr>
          <w:b w:val="0"/>
          <w:bCs w:val="0"/>
          <w:sz w:val="24"/>
          <w:szCs w:val="24"/>
        </w:rPr>
        <w:t xml:space="preserve"> fair to say that they meet the notice pleading requirements of plausible allegations that Hillman fired Hudson because of his speech.” </w:t>
      </w:r>
      <w:hyperlink r:id="rId2721" w:history="1">
        <w:r>
          <w:rPr>
            <w:rStyle w:val="Hyperlink"/>
            <w:b w:val="0"/>
            <w:bCs w:val="0"/>
            <w:sz w:val="24"/>
            <w:szCs w:val="24"/>
          </w:rPr>
          <w:t>https://www.opn.ca6.uscourts.gov/opinions.pdf/19a0286p-06.pdf</w:t>
        </w:r>
      </w:hyperlink>
      <w:r>
        <w:rPr>
          <w:b w:val="0"/>
          <w:bCs w:val="0"/>
          <w:sz w:val="24"/>
          <w:szCs w:val="24"/>
        </w:rPr>
        <w:t xml:space="preserve"> </w:t>
      </w:r>
    </w:p>
    <w:p w14:paraId="427C3E4F" w14:textId="77777777" w:rsidR="00297434" w:rsidRDefault="00297434" w:rsidP="00297434">
      <w:pPr>
        <w:pStyle w:val="NoSpacing"/>
        <w:rPr>
          <w:rFonts w:ascii="Times New Roman" w:hAnsi="Times New Roman"/>
          <w:b/>
          <w:bCs/>
          <w:sz w:val="24"/>
          <w:szCs w:val="24"/>
        </w:rPr>
      </w:pPr>
      <w:r>
        <w:rPr>
          <w:rFonts w:ascii="Times New Roman" w:hAnsi="Times New Roman"/>
          <w:b/>
          <w:bCs/>
          <w:sz w:val="24"/>
          <w:szCs w:val="24"/>
        </w:rPr>
        <w:t xml:space="preserve">Legal Lessons Learned: Federal courts will carefully review claims of “retaliation” when firefighter is fired after an internal complaint, or OSHA complaint, has been submitted by the firefighter. </w:t>
      </w:r>
    </w:p>
    <w:p w14:paraId="336F3FAE" w14:textId="77777777" w:rsidR="00297434" w:rsidRPr="00297434" w:rsidRDefault="00297434" w:rsidP="00297434">
      <w:pPr>
        <w:pStyle w:val="NoSpacing"/>
        <w:ind w:left="720"/>
        <w:rPr>
          <w:rFonts w:ascii="Times New Roman" w:hAnsi="Times New Roman"/>
          <w:sz w:val="24"/>
          <w:szCs w:val="24"/>
        </w:rPr>
      </w:pPr>
    </w:p>
    <w:p w14:paraId="51AAD97C" w14:textId="1590725E" w:rsidR="00297434" w:rsidRPr="00297434" w:rsidRDefault="00297434" w:rsidP="00F326E5">
      <w:pPr>
        <w:pStyle w:val="NoSpacing"/>
        <w:rPr>
          <w:rFonts w:ascii="Times New Roman" w:hAnsi="Times New Roman"/>
          <w:sz w:val="24"/>
          <w:szCs w:val="24"/>
        </w:rPr>
      </w:pPr>
    </w:p>
    <w:p w14:paraId="4B0F877B" w14:textId="77777777" w:rsidR="00297434" w:rsidRDefault="00297434" w:rsidP="00F326E5">
      <w:pPr>
        <w:pStyle w:val="NoSpacing"/>
        <w:rPr>
          <w:rFonts w:ascii="Arial Black" w:hAnsi="Arial Black"/>
          <w:sz w:val="24"/>
          <w:szCs w:val="24"/>
        </w:rPr>
      </w:pPr>
    </w:p>
    <w:p w14:paraId="0E0E34AC" w14:textId="4DAEEEE4" w:rsidR="00A06387" w:rsidRDefault="00A06387" w:rsidP="00F326E5">
      <w:pPr>
        <w:pStyle w:val="NoSpacing"/>
        <w:rPr>
          <w:rFonts w:ascii="Arial Black" w:hAnsi="Arial Black"/>
          <w:sz w:val="24"/>
          <w:szCs w:val="24"/>
        </w:rPr>
      </w:pPr>
      <w:r>
        <w:rPr>
          <w:rFonts w:ascii="Arial Black" w:hAnsi="Arial Black"/>
          <w:sz w:val="24"/>
          <w:szCs w:val="24"/>
        </w:rPr>
        <w:t>16-17</w:t>
      </w:r>
    </w:p>
    <w:p w14:paraId="40F01D0C" w14:textId="56973B56" w:rsidR="00A06387" w:rsidRDefault="00A06387" w:rsidP="00F326E5">
      <w:pPr>
        <w:pStyle w:val="NoSpacing"/>
        <w:rPr>
          <w:rFonts w:ascii="Arial Black" w:hAnsi="Arial Black"/>
          <w:sz w:val="24"/>
          <w:szCs w:val="24"/>
        </w:rPr>
      </w:pPr>
    </w:p>
    <w:p w14:paraId="6EFD4534" w14:textId="77777777" w:rsidR="00A06387" w:rsidRPr="00AE7062" w:rsidRDefault="00A06387" w:rsidP="00A06387">
      <w:pPr>
        <w:pStyle w:val="NoSpacing"/>
        <w:rPr>
          <w:rFonts w:ascii="Arial Black" w:hAnsi="Arial Black"/>
          <w:sz w:val="28"/>
          <w:szCs w:val="28"/>
        </w:rPr>
      </w:pPr>
      <w:r w:rsidRPr="00AE7062">
        <w:rPr>
          <w:rFonts w:ascii="Arial Black" w:hAnsi="Arial Black"/>
          <w:sz w:val="28"/>
          <w:szCs w:val="28"/>
        </w:rPr>
        <w:t>TX</w:t>
      </w:r>
      <w:r>
        <w:rPr>
          <w:rFonts w:ascii="Arial Black" w:hAnsi="Arial Black"/>
          <w:sz w:val="28"/>
          <w:szCs w:val="28"/>
        </w:rPr>
        <w:t xml:space="preserve">: FF’S </w:t>
      </w:r>
      <w:r w:rsidRPr="00AE7062">
        <w:rPr>
          <w:rFonts w:ascii="Arial Black" w:hAnsi="Arial Black"/>
          <w:sz w:val="28"/>
          <w:szCs w:val="28"/>
        </w:rPr>
        <w:t xml:space="preserve">INTERNAL COMPLAINTS ABOUT FIRE CHIEF - NOT PROTECTED FIRST AMENDMENT – </w:t>
      </w:r>
      <w:r>
        <w:rPr>
          <w:rFonts w:ascii="Arial Black" w:hAnsi="Arial Black"/>
          <w:sz w:val="28"/>
          <w:szCs w:val="28"/>
        </w:rPr>
        <w:t xml:space="preserve">NOT </w:t>
      </w:r>
      <w:r w:rsidRPr="00AE7062">
        <w:rPr>
          <w:rFonts w:ascii="Arial Black" w:hAnsi="Arial Black"/>
          <w:sz w:val="28"/>
          <w:szCs w:val="28"/>
        </w:rPr>
        <w:t>“PUBLIC CONCERN”</w:t>
      </w:r>
    </w:p>
    <w:p w14:paraId="0554C073" w14:textId="77777777" w:rsidR="00A06387" w:rsidRDefault="00A06387" w:rsidP="00A06387">
      <w:pPr>
        <w:pStyle w:val="NoSpacing"/>
        <w:rPr>
          <w:rFonts w:ascii="TXArial Black" w:hAnsi="TXArial Black"/>
          <w:sz w:val="28"/>
          <w:szCs w:val="28"/>
        </w:rPr>
      </w:pPr>
    </w:p>
    <w:p w14:paraId="1F67BD31" w14:textId="77777777" w:rsidR="00A06387" w:rsidRPr="00B8368A" w:rsidRDefault="00A06387" w:rsidP="00A06387">
      <w:pPr>
        <w:pStyle w:val="NoSpacing"/>
        <w:rPr>
          <w:rFonts w:ascii="Times New Roman" w:hAnsi="Times New Roman"/>
          <w:b/>
          <w:bCs/>
          <w:sz w:val="24"/>
          <w:szCs w:val="24"/>
        </w:rPr>
      </w:pPr>
      <w:r w:rsidRPr="00B8368A">
        <w:rPr>
          <w:rFonts w:ascii="Times New Roman" w:hAnsi="Times New Roman"/>
          <w:bCs/>
          <w:sz w:val="24"/>
          <w:szCs w:val="24"/>
        </w:rPr>
        <w:t xml:space="preserve">On Oct. 10, 2019, in </w:t>
      </w:r>
      <w:r w:rsidRPr="00B8368A">
        <w:rPr>
          <w:rFonts w:ascii="Times New Roman" w:hAnsi="Times New Roman"/>
          <w:bCs/>
          <w:sz w:val="24"/>
          <w:szCs w:val="24"/>
          <w:u w:val="single"/>
        </w:rPr>
        <w:t>Billy Fratus v, The City of Baumont</w:t>
      </w:r>
      <w:r w:rsidRPr="00B8368A">
        <w:rPr>
          <w:rFonts w:ascii="Times New Roman" w:hAnsi="Times New Roman"/>
          <w:bCs/>
          <w:sz w:val="24"/>
          <w:szCs w:val="24"/>
        </w:rPr>
        <w:t>, the Court of Appeals, Ninth District of Texas at Beaumont, held (3 to 0) that trial court properly dismissed the firefighter’s lawsuit alleging he was fired [later reinstated] in retaliation for his internal complaints.</w:t>
      </w:r>
    </w:p>
    <w:p w14:paraId="69D1CA3A" w14:textId="77777777" w:rsidR="00A06387" w:rsidRPr="00B8368A" w:rsidRDefault="00A06387" w:rsidP="00A06387">
      <w:pPr>
        <w:pStyle w:val="NoSpacing"/>
        <w:rPr>
          <w:rFonts w:ascii="Times New Roman" w:hAnsi="Times New Roman"/>
          <w:b/>
          <w:bCs/>
          <w:sz w:val="24"/>
          <w:szCs w:val="24"/>
        </w:rPr>
      </w:pPr>
    </w:p>
    <w:p w14:paraId="4E878CC7" w14:textId="775730D5" w:rsidR="00A06387" w:rsidRPr="00B8368A" w:rsidRDefault="00A06387" w:rsidP="00A06387">
      <w:pPr>
        <w:pStyle w:val="NoSpacing"/>
        <w:ind w:left="720"/>
        <w:rPr>
          <w:rFonts w:ascii="Times New Roman" w:hAnsi="Times New Roman"/>
          <w:b/>
          <w:bCs/>
          <w:sz w:val="24"/>
          <w:szCs w:val="24"/>
        </w:rPr>
      </w:pPr>
      <w:r w:rsidRPr="00B8368A">
        <w:rPr>
          <w:rFonts w:ascii="Times New Roman" w:hAnsi="Times New Roman"/>
          <w:bCs/>
          <w:sz w:val="24"/>
          <w:szCs w:val="24"/>
        </w:rPr>
        <w:t>“The speech Fratus claims is protected under the Texas constitution is (1) that he ‘joined the public outcry against Huff when she illegally fired’ a firefighter, (2) he ‘made it quite clear and said that he opposed Huff or any command officer sexually harassing members of the department,’ and (3) he ‘publicly opposed Huff’s public, on duty support’ of a former firefighter in a criminal prosecution. According to the City, Fratus failed to allege how these instances of speech constituted a matter of public concern.</w:t>
      </w:r>
      <w:r w:rsidR="00B8368A">
        <w:rPr>
          <w:rFonts w:ascii="Times New Roman" w:hAnsi="Times New Roman"/>
          <w:bCs/>
          <w:sz w:val="24"/>
          <w:szCs w:val="24"/>
        </w:rPr>
        <w:t xml:space="preserve"> *** </w:t>
      </w:r>
      <w:r w:rsidRPr="00B8368A">
        <w:rPr>
          <w:rFonts w:ascii="Times New Roman" w:hAnsi="Times New Roman"/>
          <w:bCs/>
          <w:sz w:val="24"/>
          <w:szCs w:val="24"/>
        </w:rPr>
        <w:t xml:space="preserve">On this record, we conclude that Fratus has failed to plead a prima facie free speech claim because he failed to meet his burden of showing he engaged in speech primarily as a citizen involving a matter of public </w:t>
      </w:r>
      <w:proofErr w:type="gramStart"/>
      <w:r w:rsidRPr="00B8368A">
        <w:rPr>
          <w:rFonts w:ascii="Times New Roman" w:hAnsi="Times New Roman"/>
          <w:bCs/>
          <w:sz w:val="24"/>
          <w:szCs w:val="24"/>
        </w:rPr>
        <w:t>concern.”</w:t>
      </w:r>
      <w:proofErr w:type="gramEnd"/>
      <w:r w:rsidRPr="00B8368A">
        <w:rPr>
          <w:rFonts w:ascii="Times New Roman" w:hAnsi="Times New Roman"/>
          <w:bCs/>
          <w:sz w:val="24"/>
          <w:szCs w:val="24"/>
        </w:rPr>
        <w:t xml:space="preserve"> </w:t>
      </w:r>
    </w:p>
    <w:p w14:paraId="41309253" w14:textId="77777777" w:rsidR="00A06387" w:rsidRPr="00B8368A" w:rsidRDefault="00A06387" w:rsidP="00A06387">
      <w:pPr>
        <w:pStyle w:val="NoSpacing"/>
        <w:ind w:left="720"/>
        <w:rPr>
          <w:rFonts w:ascii="Times New Roman" w:hAnsi="Times New Roman"/>
          <w:b/>
          <w:bCs/>
          <w:sz w:val="24"/>
          <w:szCs w:val="24"/>
        </w:rPr>
      </w:pPr>
      <w:hyperlink r:id="rId2722" w:history="1">
        <w:r w:rsidRPr="00B8368A">
          <w:rPr>
            <w:rStyle w:val="Hyperlink"/>
            <w:rFonts w:ascii="Times New Roman" w:hAnsi="Times New Roman"/>
            <w:bCs/>
            <w:sz w:val="24"/>
            <w:szCs w:val="24"/>
          </w:rPr>
          <w:t>http://www.search.txcourts.gov/SearchMedia.aspx?MediaVersionID=c3f113f2-1ba2-49ff-a2ab-1b5420c141ac&amp;coa=coa09&amp;DT=Opinion&amp;MediaID=ad82a5f3-c7c6-4b28-8fe8-0de313580d94</w:t>
        </w:r>
      </w:hyperlink>
      <w:r w:rsidRPr="00B8368A">
        <w:rPr>
          <w:rFonts w:ascii="Times New Roman" w:hAnsi="Times New Roman"/>
          <w:bCs/>
          <w:sz w:val="24"/>
          <w:szCs w:val="24"/>
        </w:rPr>
        <w:t xml:space="preserve"> </w:t>
      </w:r>
    </w:p>
    <w:p w14:paraId="0BFF6939" w14:textId="77777777" w:rsidR="00A06387" w:rsidRPr="00B8368A" w:rsidRDefault="00A06387" w:rsidP="00A06387">
      <w:pPr>
        <w:pStyle w:val="NoSpacing"/>
        <w:rPr>
          <w:rFonts w:ascii="Times New Roman" w:hAnsi="Times New Roman"/>
          <w:b/>
          <w:bCs/>
          <w:sz w:val="24"/>
          <w:szCs w:val="24"/>
        </w:rPr>
      </w:pPr>
    </w:p>
    <w:p w14:paraId="04587631" w14:textId="77777777" w:rsidR="00B8368A" w:rsidRDefault="00A06387" w:rsidP="00A06387">
      <w:pPr>
        <w:pStyle w:val="NoSpacing"/>
        <w:rPr>
          <w:rFonts w:ascii="Times New Roman" w:hAnsi="Times New Roman"/>
          <w:sz w:val="24"/>
          <w:szCs w:val="24"/>
        </w:rPr>
      </w:pPr>
      <w:r w:rsidRPr="00B8368A">
        <w:rPr>
          <w:rFonts w:ascii="Times New Roman" w:hAnsi="Times New Roman"/>
          <w:b/>
          <w:bCs/>
          <w:sz w:val="24"/>
          <w:szCs w:val="24"/>
        </w:rPr>
        <w:t>Legal Lessons Learned: Firefighters and other public employees have limited First Amendment rights, unless speech relates to items of “public concern.”</w:t>
      </w:r>
      <w:r w:rsidRPr="00B8368A">
        <w:rPr>
          <w:rFonts w:ascii="Times New Roman" w:hAnsi="Times New Roman"/>
          <w:sz w:val="24"/>
          <w:szCs w:val="24"/>
        </w:rPr>
        <w:t xml:space="preserve">  </w:t>
      </w:r>
    </w:p>
    <w:p w14:paraId="302858C7" w14:textId="50BAE7B4" w:rsidR="00A06387" w:rsidRPr="00B8368A" w:rsidRDefault="00A06387" w:rsidP="00B8368A">
      <w:pPr>
        <w:pStyle w:val="NoSpacing"/>
        <w:ind w:left="720"/>
        <w:rPr>
          <w:rFonts w:ascii="Times New Roman" w:hAnsi="Times New Roman"/>
          <w:b/>
          <w:bCs/>
          <w:sz w:val="24"/>
          <w:szCs w:val="24"/>
        </w:rPr>
      </w:pPr>
      <w:r w:rsidRPr="00B8368A">
        <w:rPr>
          <w:rFonts w:ascii="Times New Roman" w:hAnsi="Times New Roman"/>
          <w:bCs/>
          <w:sz w:val="24"/>
          <w:szCs w:val="24"/>
        </w:rPr>
        <w:t>An example</w:t>
      </w:r>
      <w:r w:rsidRPr="00B8368A">
        <w:rPr>
          <w:rFonts w:ascii="Times New Roman" w:hAnsi="Times New Roman"/>
          <w:sz w:val="24"/>
          <w:szCs w:val="24"/>
        </w:rPr>
        <w:t xml:space="preserve"> </w:t>
      </w:r>
      <w:r w:rsidRPr="00B8368A">
        <w:rPr>
          <w:rFonts w:ascii="Times New Roman" w:hAnsi="Times New Roman"/>
          <w:bCs/>
          <w:sz w:val="24"/>
          <w:szCs w:val="24"/>
        </w:rPr>
        <w:t xml:space="preserve">on an item that would be covered – public comments on proposed tax levy.  See the U.S. Supreme Court’s decision in Pickering v. Board of Education, 391 U.S. 563 (1968) (establishing the so-called “balancing test”), where the Court reversed the termination of a teacher who sent letter to local newspaper about proposed school board tax levy: </w:t>
      </w:r>
      <w:r w:rsidRPr="00B8368A">
        <w:rPr>
          <w:rStyle w:val="headertext"/>
          <w:rFonts w:ascii="Times New Roman" w:hAnsi="Times New Roman"/>
          <w:bCs/>
          <w:sz w:val="24"/>
          <w:szCs w:val="24"/>
        </w:rPr>
        <w:t xml:space="preserve">“Appellant Marvin L. Pickering, a teacher in Township High School District 205, Will County, Illinois, was dismissed from his position by the appellee Board of Education for sending a letter to a local newspaper in connection with a recently proposed tax increase that was critical of the way in which the Board and the district superintendent of schools had handled past proposals to raise new revenue for the schools. *** </w:t>
      </w:r>
      <w:r w:rsidRPr="00B8368A">
        <w:rPr>
          <w:rFonts w:ascii="Times New Roman" w:hAnsi="Times New Roman"/>
          <w:bCs/>
          <w:sz w:val="24"/>
          <w:szCs w:val="24"/>
        </w:rPr>
        <w:t xml:space="preserve">In these circumstances, we conclude that the interest of the school administration in limiting teachers' opportunities to contribute to public debate is not significantly greater than its interest in limiting a similar contribution by any member of the </w:t>
      </w:r>
      <w:proofErr w:type="gramStart"/>
      <w:r w:rsidRPr="00B8368A">
        <w:rPr>
          <w:rFonts w:ascii="Times New Roman" w:hAnsi="Times New Roman"/>
          <w:bCs/>
          <w:sz w:val="24"/>
          <w:szCs w:val="24"/>
        </w:rPr>
        <w:t>general public</w:t>
      </w:r>
      <w:proofErr w:type="gramEnd"/>
      <w:r w:rsidRPr="00B8368A">
        <w:rPr>
          <w:rFonts w:ascii="Times New Roman" w:hAnsi="Times New Roman"/>
          <w:bCs/>
          <w:sz w:val="24"/>
          <w:szCs w:val="24"/>
        </w:rPr>
        <w:t xml:space="preserve">. </w:t>
      </w:r>
      <w:hyperlink r:id="rId2723" w:history="1">
        <w:r w:rsidRPr="00B8368A">
          <w:rPr>
            <w:rStyle w:val="Hyperlink"/>
            <w:rFonts w:ascii="Times New Roman" w:hAnsi="Times New Roman"/>
            <w:bCs/>
            <w:sz w:val="24"/>
            <w:szCs w:val="24"/>
          </w:rPr>
          <w:t>https://supreme.justia.com/cases/federal/us/391/563</w:t>
        </w:r>
      </w:hyperlink>
      <w:r w:rsidRPr="00B8368A">
        <w:rPr>
          <w:rFonts w:ascii="Times New Roman" w:hAnsi="Times New Roman"/>
          <w:bCs/>
          <w:sz w:val="24"/>
          <w:szCs w:val="24"/>
        </w:rPr>
        <w:t xml:space="preserve"> </w:t>
      </w:r>
    </w:p>
    <w:p w14:paraId="4CB0E108" w14:textId="77777777" w:rsidR="001D2278" w:rsidRDefault="001D2278" w:rsidP="00F326E5">
      <w:pPr>
        <w:pStyle w:val="NoSpacing"/>
        <w:rPr>
          <w:rFonts w:ascii="Arial Black" w:hAnsi="Arial Black"/>
          <w:sz w:val="24"/>
          <w:szCs w:val="24"/>
        </w:rPr>
      </w:pPr>
    </w:p>
    <w:p w14:paraId="2F434A7E" w14:textId="77777777" w:rsidR="001D2278" w:rsidRDefault="001D2278" w:rsidP="00F326E5">
      <w:pPr>
        <w:pStyle w:val="NoSpacing"/>
        <w:rPr>
          <w:rFonts w:ascii="Arial Black" w:hAnsi="Arial Black"/>
          <w:sz w:val="24"/>
          <w:szCs w:val="24"/>
        </w:rPr>
      </w:pPr>
    </w:p>
    <w:p w14:paraId="005EB006" w14:textId="38B5BDE8" w:rsidR="00A06387" w:rsidRDefault="00A06387" w:rsidP="00F326E5">
      <w:pPr>
        <w:pStyle w:val="NoSpacing"/>
        <w:rPr>
          <w:rFonts w:ascii="Arial Black" w:hAnsi="Arial Black"/>
          <w:sz w:val="24"/>
          <w:szCs w:val="24"/>
        </w:rPr>
      </w:pPr>
      <w:r>
        <w:rPr>
          <w:rFonts w:ascii="Arial Black" w:hAnsi="Arial Black"/>
          <w:sz w:val="24"/>
          <w:szCs w:val="24"/>
        </w:rPr>
        <w:t>16-16</w:t>
      </w:r>
    </w:p>
    <w:p w14:paraId="5F85AF12" w14:textId="269A1EC8" w:rsidR="00A06387" w:rsidRDefault="00A06387" w:rsidP="00F326E5">
      <w:pPr>
        <w:pStyle w:val="NoSpacing"/>
        <w:rPr>
          <w:rFonts w:ascii="Arial Black" w:hAnsi="Arial Black"/>
          <w:sz w:val="24"/>
          <w:szCs w:val="24"/>
        </w:rPr>
      </w:pPr>
    </w:p>
    <w:p w14:paraId="4A2D7DE9" w14:textId="77777777" w:rsidR="00A06387" w:rsidRPr="006B193B" w:rsidRDefault="00A06387" w:rsidP="00A06387">
      <w:pPr>
        <w:pStyle w:val="NoSpacing"/>
        <w:rPr>
          <w:rFonts w:ascii="Arial Black" w:hAnsi="Arial Black"/>
          <w:sz w:val="28"/>
          <w:szCs w:val="28"/>
        </w:rPr>
      </w:pPr>
      <w:r>
        <w:rPr>
          <w:rFonts w:ascii="Arial Black" w:hAnsi="Arial Black"/>
          <w:sz w:val="28"/>
          <w:szCs w:val="28"/>
        </w:rPr>
        <w:t>TX: “LAST CHANCE AGREEMENT” - BREACHED WITHIN TWO YEARS, SICK LEAVE ABUSE – FIRED – LAWSUIT DISMISSED</w:t>
      </w:r>
    </w:p>
    <w:p w14:paraId="4E441EE0" w14:textId="77777777" w:rsidR="00A06387" w:rsidRDefault="00A06387" w:rsidP="00A06387">
      <w:pPr>
        <w:pStyle w:val="NoSpacing"/>
      </w:pPr>
    </w:p>
    <w:p w14:paraId="26614467" w14:textId="77777777" w:rsidR="00A06387" w:rsidRPr="00B8368A" w:rsidRDefault="00A06387" w:rsidP="00A06387">
      <w:pPr>
        <w:pStyle w:val="NoSpacing"/>
        <w:rPr>
          <w:rFonts w:ascii="Times New Roman" w:hAnsi="Times New Roman"/>
          <w:b/>
          <w:bCs/>
          <w:sz w:val="24"/>
          <w:szCs w:val="24"/>
        </w:rPr>
      </w:pPr>
      <w:r w:rsidRPr="00B8368A">
        <w:rPr>
          <w:rFonts w:ascii="Times New Roman" w:hAnsi="Times New Roman"/>
          <w:bCs/>
          <w:sz w:val="24"/>
          <w:szCs w:val="24"/>
        </w:rPr>
        <w:t xml:space="preserve">On Oct. 3, 2019, in </w:t>
      </w:r>
      <w:r w:rsidRPr="00B8368A">
        <w:rPr>
          <w:rFonts w:ascii="Times New Roman" w:hAnsi="Times New Roman"/>
          <w:bCs/>
          <w:sz w:val="24"/>
          <w:szCs w:val="24"/>
          <w:u w:val="single"/>
        </w:rPr>
        <w:t>Michael Scott Nix v. City of Beaumont, Texas</w:t>
      </w:r>
      <w:r w:rsidRPr="00B8368A">
        <w:rPr>
          <w:rFonts w:ascii="Times New Roman" w:hAnsi="Times New Roman"/>
          <w:bCs/>
          <w:sz w:val="24"/>
          <w:szCs w:val="24"/>
        </w:rPr>
        <w:t xml:space="preserve">, the Court of Appeals, Ninth District of Texas ay Beaumont, the Court held (3 to 0) that trial court properly dismissed his lawsuit seeking a declaration that the City violated his rights when he was “indefinitely suspended” [terminated] on Sept. 13, 2019 for sick leave abuse during the two-year period following the Last Chance Agreement of April 2, 2015 where he served a 90-day suspension for prior disciplinary conduct. </w:t>
      </w:r>
    </w:p>
    <w:p w14:paraId="7C89F2C3" w14:textId="77777777" w:rsidR="00A06387" w:rsidRPr="00B8368A" w:rsidRDefault="00A06387" w:rsidP="00A06387">
      <w:pPr>
        <w:pStyle w:val="NoSpacing"/>
        <w:rPr>
          <w:rFonts w:ascii="Times New Roman" w:hAnsi="Times New Roman"/>
          <w:b/>
          <w:bCs/>
          <w:sz w:val="24"/>
          <w:szCs w:val="24"/>
        </w:rPr>
      </w:pPr>
    </w:p>
    <w:p w14:paraId="533330C1" w14:textId="77777777" w:rsidR="00A06387" w:rsidRPr="00B8368A" w:rsidRDefault="00A06387" w:rsidP="00A06387">
      <w:pPr>
        <w:pStyle w:val="NoSpacing"/>
        <w:ind w:left="720"/>
        <w:rPr>
          <w:rFonts w:ascii="Times New Roman" w:hAnsi="Times New Roman"/>
          <w:b/>
          <w:bCs/>
          <w:sz w:val="24"/>
          <w:szCs w:val="24"/>
        </w:rPr>
      </w:pPr>
      <w:r w:rsidRPr="00B8368A">
        <w:rPr>
          <w:rFonts w:ascii="Times New Roman" w:hAnsi="Times New Roman"/>
          <w:bCs/>
          <w:sz w:val="24"/>
          <w:szCs w:val="24"/>
        </w:rPr>
        <w:t xml:space="preserve">“Importantly, Nix agreed in writing to voluntarily accept his 2015 disciplinary suspension, with no right to appeal the terms and conditions of the Agreement or the Chief’s decision to indefinitely suspend his employment in 2015. See Tex. Loc. Gov’t Code Ann. § 143.052(g). When Nix accepted the Agreement in 2015, he had the opportunity to refuse the Chief’s offer and appeal his suspension to the [Civil Service] Commission; however, Nix agreed to waive his right to appeal, including the right to appeal the Chief’s 2017 decision determining that Nix had violated the Agreement and reinstating his indefinite suspension.” </w:t>
      </w:r>
      <w:hyperlink r:id="rId2724" w:history="1">
        <w:r w:rsidRPr="00B8368A">
          <w:rPr>
            <w:rStyle w:val="Hyperlink"/>
            <w:rFonts w:ascii="Times New Roman" w:hAnsi="Times New Roman"/>
            <w:bCs/>
            <w:sz w:val="24"/>
            <w:szCs w:val="24"/>
          </w:rPr>
          <w:t>https://cases.justia.com/texas/ninth-court-of-appeals/2019-09-18-00407-cv-0.pdf?ts=1570180546</w:t>
        </w:r>
      </w:hyperlink>
      <w:r w:rsidRPr="00B8368A">
        <w:rPr>
          <w:rFonts w:ascii="Times New Roman" w:hAnsi="Times New Roman"/>
          <w:bCs/>
          <w:sz w:val="24"/>
          <w:szCs w:val="24"/>
        </w:rPr>
        <w:t xml:space="preserve"> </w:t>
      </w:r>
    </w:p>
    <w:p w14:paraId="78305F63" w14:textId="77777777" w:rsidR="00B8368A" w:rsidRDefault="00B8368A" w:rsidP="00A06387">
      <w:pPr>
        <w:pStyle w:val="NoSpacing"/>
        <w:rPr>
          <w:rFonts w:ascii="Times New Roman" w:hAnsi="Times New Roman"/>
          <w:b/>
          <w:bCs/>
          <w:sz w:val="24"/>
          <w:szCs w:val="24"/>
        </w:rPr>
      </w:pPr>
    </w:p>
    <w:p w14:paraId="38D1D096" w14:textId="164BE22C" w:rsidR="00A06387" w:rsidRPr="00B8368A" w:rsidRDefault="00A06387" w:rsidP="00A06387">
      <w:pPr>
        <w:pStyle w:val="NoSpacing"/>
        <w:rPr>
          <w:rFonts w:ascii="Times New Roman" w:hAnsi="Times New Roman"/>
          <w:b/>
          <w:bCs/>
          <w:sz w:val="24"/>
          <w:szCs w:val="24"/>
        </w:rPr>
      </w:pPr>
      <w:r w:rsidRPr="00B8368A">
        <w:rPr>
          <w:rFonts w:ascii="Times New Roman" w:hAnsi="Times New Roman"/>
          <w:b/>
          <w:bCs/>
          <w:sz w:val="24"/>
          <w:szCs w:val="24"/>
        </w:rPr>
        <w:t xml:space="preserve">Legal Lessons Learned: Last Chance Agreements are an effective method to give a firefighter “one last chance.”  </w:t>
      </w:r>
    </w:p>
    <w:p w14:paraId="6DE23726" w14:textId="77777777" w:rsidR="00A06387" w:rsidRDefault="00A06387" w:rsidP="00A06387">
      <w:pPr>
        <w:pStyle w:val="NoSpacing"/>
        <w:rPr>
          <w:sz w:val="35"/>
          <w:szCs w:val="35"/>
        </w:rPr>
      </w:pPr>
    </w:p>
    <w:p w14:paraId="79C5C1C0" w14:textId="72C85C03" w:rsidR="0005503D" w:rsidRPr="00A67C57" w:rsidRDefault="0005503D" w:rsidP="0005503D">
      <w:pPr>
        <w:pStyle w:val="NoSpacing"/>
        <w:rPr>
          <w:rFonts w:ascii="Times New Roman" w:hAnsi="Times New Roman"/>
          <w:sz w:val="24"/>
          <w:szCs w:val="24"/>
        </w:rPr>
      </w:pPr>
    </w:p>
    <w:p w14:paraId="019B9EF3" w14:textId="77777777" w:rsidR="00A06387" w:rsidRDefault="00A06387" w:rsidP="00F326E5">
      <w:pPr>
        <w:pStyle w:val="NoSpacing"/>
        <w:rPr>
          <w:rFonts w:ascii="Arial Black" w:hAnsi="Arial Black"/>
          <w:sz w:val="24"/>
          <w:szCs w:val="24"/>
        </w:rPr>
      </w:pPr>
    </w:p>
    <w:p w14:paraId="77F7ADFA" w14:textId="77777777" w:rsidR="00A06387" w:rsidRDefault="00A06387" w:rsidP="00F326E5">
      <w:pPr>
        <w:pStyle w:val="NoSpacing"/>
        <w:rPr>
          <w:rFonts w:ascii="Arial Black" w:hAnsi="Arial Black"/>
          <w:sz w:val="24"/>
          <w:szCs w:val="24"/>
        </w:rPr>
      </w:pPr>
    </w:p>
    <w:p w14:paraId="60CC1237" w14:textId="4B93963E" w:rsidR="00F326E5" w:rsidRDefault="000C4DF5" w:rsidP="00F326E5">
      <w:pPr>
        <w:pStyle w:val="NoSpacing"/>
        <w:rPr>
          <w:b/>
          <w:sz w:val="24"/>
          <w:szCs w:val="24"/>
        </w:rPr>
      </w:pPr>
      <w:r>
        <w:rPr>
          <w:rFonts w:ascii="Arial Black" w:hAnsi="Arial Black"/>
          <w:sz w:val="24"/>
          <w:szCs w:val="24"/>
        </w:rPr>
        <w:t>16-1</w:t>
      </w:r>
      <w:r w:rsidR="00F4486C">
        <w:rPr>
          <w:rFonts w:ascii="Arial Black" w:hAnsi="Arial Black"/>
          <w:sz w:val="24"/>
          <w:szCs w:val="24"/>
        </w:rPr>
        <w:t>5</w:t>
      </w:r>
    </w:p>
    <w:p w14:paraId="7E5A0305" w14:textId="77777777" w:rsidR="00527EDF" w:rsidRDefault="00527EDF" w:rsidP="00D161A5">
      <w:pPr>
        <w:pStyle w:val="NoSpacing"/>
        <w:rPr>
          <w:sz w:val="24"/>
          <w:szCs w:val="24"/>
        </w:rPr>
      </w:pPr>
      <w:bookmarkStart w:id="610" w:name="_Hlk6756675"/>
    </w:p>
    <w:p w14:paraId="07BB351A" w14:textId="14D114D7" w:rsidR="00527EDF" w:rsidRPr="00AD1DCC" w:rsidRDefault="00527EDF" w:rsidP="00527EDF">
      <w:pPr>
        <w:pStyle w:val="NoSpacing"/>
        <w:rPr>
          <w:rFonts w:ascii="Arial Black" w:hAnsi="Arial Black"/>
          <w:sz w:val="28"/>
          <w:szCs w:val="28"/>
        </w:rPr>
      </w:pPr>
      <w:bookmarkStart w:id="611" w:name="_Hlk10127684"/>
      <w:r w:rsidRPr="00AD1DCC">
        <w:rPr>
          <w:rFonts w:ascii="Arial Black" w:hAnsi="Arial Black"/>
          <w:sz w:val="28"/>
          <w:szCs w:val="28"/>
        </w:rPr>
        <w:t>IL</w:t>
      </w:r>
      <w:r>
        <w:rPr>
          <w:rFonts w:ascii="Arial Black" w:hAnsi="Arial Black"/>
          <w:sz w:val="28"/>
          <w:szCs w:val="28"/>
        </w:rPr>
        <w:t xml:space="preserve">:  RESIDENCY – FF FIRED – PAST THREE YEARS DID NOT RESIDE IN VILLAGE – MAIL DROP LOCATION IS NOT RESIDENCY </w:t>
      </w:r>
    </w:p>
    <w:p w14:paraId="33F0E9BB" w14:textId="77777777" w:rsidR="00527EDF" w:rsidRDefault="00527EDF" w:rsidP="00527EDF">
      <w:pPr>
        <w:pStyle w:val="NoSpacing"/>
        <w:rPr>
          <w:sz w:val="30"/>
          <w:szCs w:val="30"/>
        </w:rPr>
      </w:pPr>
    </w:p>
    <w:p w14:paraId="3C43891E" w14:textId="77777777" w:rsidR="00527EDF" w:rsidRDefault="00527EDF" w:rsidP="00527EDF">
      <w:pPr>
        <w:pStyle w:val="NoSpacing"/>
        <w:rPr>
          <w:rFonts w:ascii="Times New Roman" w:hAnsi="Times New Roman"/>
          <w:sz w:val="24"/>
          <w:szCs w:val="24"/>
        </w:rPr>
      </w:pPr>
      <w:r w:rsidRPr="00AD1DCC">
        <w:rPr>
          <w:rFonts w:ascii="Times New Roman" w:hAnsi="Times New Roman"/>
          <w:sz w:val="24"/>
          <w:szCs w:val="24"/>
        </w:rPr>
        <w:t>On</w:t>
      </w:r>
      <w:r>
        <w:rPr>
          <w:rFonts w:ascii="Times New Roman" w:hAnsi="Times New Roman"/>
          <w:sz w:val="24"/>
          <w:szCs w:val="24"/>
        </w:rPr>
        <w:t xml:space="preserve"> May 29, 2019, in </w:t>
      </w:r>
      <w:r w:rsidRPr="00AD1DCC">
        <w:rPr>
          <w:rFonts w:ascii="Times New Roman" w:hAnsi="Times New Roman"/>
          <w:sz w:val="24"/>
          <w:szCs w:val="24"/>
          <w:u w:val="single"/>
        </w:rPr>
        <w:t>John Cannici v. Village of Melrose Park</w:t>
      </w:r>
      <w:r>
        <w:rPr>
          <w:rFonts w:ascii="Times New Roman" w:hAnsi="Times New Roman"/>
          <w:sz w:val="24"/>
          <w:szCs w:val="24"/>
        </w:rPr>
        <w:t xml:space="preserve">, the Appellate Court of Illinois, First District, </w:t>
      </w:r>
      <w:r w:rsidRPr="00AD1DCC">
        <w:rPr>
          <w:rFonts w:ascii="Times New Roman" w:hAnsi="Times New Roman"/>
          <w:sz w:val="24"/>
          <w:szCs w:val="24"/>
        </w:rPr>
        <w:t>2019 IL App (1st) 181422-U</w:t>
      </w:r>
      <w:r>
        <w:rPr>
          <w:rFonts w:ascii="Times New Roman" w:hAnsi="Times New Roman"/>
          <w:sz w:val="24"/>
          <w:szCs w:val="24"/>
        </w:rPr>
        <w:t xml:space="preserve">,  held (3 to 0) that the fire fighter was properly terminated for violating residency ordinance. </w:t>
      </w:r>
    </w:p>
    <w:p w14:paraId="05F02A1B" w14:textId="77777777" w:rsidR="00527EDF" w:rsidRPr="00AD1DCC" w:rsidRDefault="00527EDF" w:rsidP="00527EDF">
      <w:pPr>
        <w:pStyle w:val="NoSpacing"/>
        <w:rPr>
          <w:rFonts w:ascii="Times New Roman" w:hAnsi="Times New Roman"/>
          <w:sz w:val="24"/>
          <w:szCs w:val="24"/>
        </w:rPr>
      </w:pPr>
    </w:p>
    <w:p w14:paraId="698BF7FE" w14:textId="77777777" w:rsidR="00527EDF" w:rsidRDefault="00527EDF" w:rsidP="00527EDF">
      <w:pPr>
        <w:pStyle w:val="NoSpacing"/>
        <w:ind w:left="720"/>
        <w:rPr>
          <w:rFonts w:ascii="Times New Roman" w:hAnsi="Times New Roman"/>
          <w:sz w:val="24"/>
          <w:szCs w:val="24"/>
        </w:rPr>
      </w:pPr>
      <w:r>
        <w:rPr>
          <w:rFonts w:ascii="Times New Roman" w:hAnsi="Times New Roman"/>
          <w:sz w:val="24"/>
          <w:szCs w:val="24"/>
        </w:rPr>
        <w:t>“</w:t>
      </w:r>
      <w:r w:rsidRPr="00AD1DCC">
        <w:rPr>
          <w:rFonts w:ascii="Times New Roman" w:hAnsi="Times New Roman"/>
          <w:sz w:val="24"/>
          <w:szCs w:val="24"/>
        </w:rPr>
        <w:t xml:space="preserve">The Board did not indicate that it found fault with Cannici’s earlier arrangement where he lived in the </w:t>
      </w:r>
      <w:r>
        <w:rPr>
          <w:rFonts w:ascii="Times New Roman" w:hAnsi="Times New Roman"/>
          <w:sz w:val="24"/>
          <w:szCs w:val="24"/>
        </w:rPr>
        <w:t xml:space="preserve">[Melrose Park] </w:t>
      </w:r>
      <w:r w:rsidRPr="00AD1DCC">
        <w:rPr>
          <w:rFonts w:ascii="Times New Roman" w:hAnsi="Times New Roman"/>
          <w:sz w:val="24"/>
          <w:szCs w:val="24"/>
        </w:rPr>
        <w:t xml:space="preserve">Norwood house for a majority of the week and would spend his weekends at the Orland Park house. Although this arrangement included physical absence from the Norwood house for </w:t>
      </w:r>
      <w:r>
        <w:rPr>
          <w:rFonts w:ascii="Times New Roman" w:hAnsi="Times New Roman"/>
          <w:sz w:val="24"/>
          <w:szCs w:val="24"/>
        </w:rPr>
        <w:t>‘</w:t>
      </w:r>
      <w:r w:rsidRPr="00AD1DCC">
        <w:rPr>
          <w:rFonts w:ascii="Times New Roman" w:hAnsi="Times New Roman"/>
          <w:sz w:val="24"/>
          <w:szCs w:val="24"/>
        </w:rPr>
        <w:t>some</w:t>
      </w:r>
      <w:r>
        <w:rPr>
          <w:rFonts w:ascii="Times New Roman" w:hAnsi="Times New Roman"/>
          <w:sz w:val="24"/>
          <w:szCs w:val="24"/>
        </w:rPr>
        <w:t>’</w:t>
      </w:r>
      <w:r w:rsidRPr="00AD1DCC">
        <w:rPr>
          <w:rFonts w:ascii="Times New Roman" w:hAnsi="Times New Roman"/>
          <w:sz w:val="24"/>
          <w:szCs w:val="24"/>
        </w:rPr>
        <w:t xml:space="preserve"> of the time, this was not a violation of the residency ordinance as he still lived in the Norwood house for </w:t>
      </w:r>
      <w:proofErr w:type="gramStart"/>
      <w:r w:rsidRPr="00AD1DCC">
        <w:rPr>
          <w:rFonts w:ascii="Times New Roman" w:hAnsi="Times New Roman"/>
          <w:sz w:val="24"/>
          <w:szCs w:val="24"/>
        </w:rPr>
        <w:t>the majority of</w:t>
      </w:r>
      <w:proofErr w:type="gramEnd"/>
      <w:r w:rsidRPr="00AD1DCC">
        <w:rPr>
          <w:rFonts w:ascii="Times New Roman" w:hAnsi="Times New Roman"/>
          <w:sz w:val="24"/>
          <w:szCs w:val="24"/>
        </w:rPr>
        <w:t xml:space="preserve"> his time and treated it as his primary home or abode. However, when he leased the Norwood house to the </w:t>
      </w:r>
      <w:proofErr w:type="spellStart"/>
      <w:r w:rsidRPr="00AD1DCC">
        <w:rPr>
          <w:rFonts w:ascii="Times New Roman" w:hAnsi="Times New Roman"/>
          <w:sz w:val="24"/>
          <w:szCs w:val="24"/>
        </w:rPr>
        <w:t>Cichons</w:t>
      </w:r>
      <w:proofErr w:type="spellEnd"/>
      <w:r w:rsidRPr="00AD1DCC">
        <w:rPr>
          <w:rFonts w:ascii="Times New Roman" w:hAnsi="Times New Roman"/>
          <w:sz w:val="24"/>
          <w:szCs w:val="24"/>
        </w:rPr>
        <w:t xml:space="preserve">, he no longer used the Norwood house as his primary home and spent practically no time in the </w:t>
      </w:r>
    </w:p>
    <w:p w14:paraId="39B5AF3A" w14:textId="77777777" w:rsidR="00527EDF" w:rsidRDefault="00527EDF" w:rsidP="00527EDF">
      <w:pPr>
        <w:pStyle w:val="NoSpacing"/>
        <w:ind w:left="720"/>
        <w:rPr>
          <w:rFonts w:ascii="Times New Roman" w:hAnsi="Times New Roman"/>
          <w:sz w:val="24"/>
          <w:szCs w:val="24"/>
        </w:rPr>
      </w:pPr>
      <w:r w:rsidRPr="00AD1DCC">
        <w:rPr>
          <w:rFonts w:ascii="Times New Roman" w:hAnsi="Times New Roman"/>
          <w:sz w:val="24"/>
          <w:szCs w:val="24"/>
        </w:rPr>
        <w:t>Norwood house, except the time spent picking up his mail.</w:t>
      </w:r>
      <w:r>
        <w:rPr>
          <w:rFonts w:ascii="Times New Roman" w:hAnsi="Times New Roman"/>
          <w:sz w:val="24"/>
          <w:szCs w:val="24"/>
        </w:rPr>
        <w:t xml:space="preserve">” </w:t>
      </w:r>
      <w:hyperlink r:id="rId2725" w:history="1">
        <w:r w:rsidRPr="00AD1DCC">
          <w:rPr>
            <w:rStyle w:val="Hyperlink"/>
            <w:rFonts w:ascii="Times New Roman" w:hAnsi="Times New Roman"/>
            <w:sz w:val="24"/>
            <w:szCs w:val="24"/>
          </w:rPr>
          <w:t>http://www.illinoiscourts.gov/R23_Orders/AppellateCourt/2019/1stDistrict/1181422_R23.pdf</w:t>
        </w:r>
      </w:hyperlink>
      <w:r w:rsidRPr="00AD1DCC">
        <w:rPr>
          <w:rFonts w:ascii="Times New Roman" w:hAnsi="Times New Roman"/>
          <w:sz w:val="24"/>
          <w:szCs w:val="24"/>
        </w:rPr>
        <w:t xml:space="preserve"> </w:t>
      </w:r>
    </w:p>
    <w:p w14:paraId="0A1029C0" w14:textId="77777777" w:rsidR="00527EDF" w:rsidRDefault="00527EDF" w:rsidP="00527EDF">
      <w:pPr>
        <w:pStyle w:val="NoSpacing"/>
        <w:ind w:left="720"/>
        <w:rPr>
          <w:rFonts w:ascii="Times New Roman" w:hAnsi="Times New Roman"/>
          <w:sz w:val="24"/>
          <w:szCs w:val="24"/>
        </w:rPr>
      </w:pPr>
    </w:p>
    <w:p w14:paraId="55EB236B" w14:textId="77777777" w:rsidR="00527EDF" w:rsidRDefault="00527EDF" w:rsidP="00527EDF">
      <w:pPr>
        <w:pStyle w:val="Heading1"/>
        <w:rPr>
          <w:sz w:val="24"/>
          <w:szCs w:val="24"/>
        </w:rPr>
      </w:pPr>
      <w:bookmarkStart w:id="612" w:name="_Hlk10127722"/>
      <w:bookmarkEnd w:id="611"/>
      <w:r w:rsidRPr="004E23C9">
        <w:rPr>
          <w:sz w:val="24"/>
          <w:szCs w:val="24"/>
        </w:rPr>
        <w:t xml:space="preserve">Legal Lessons Learned:  Some states, such as Ohio, have enacted statutes that have set aside municipal residency requirements. </w:t>
      </w:r>
    </w:p>
    <w:p w14:paraId="38BAA28D" w14:textId="77777777" w:rsidR="00527EDF" w:rsidRDefault="00527EDF" w:rsidP="00527EDF">
      <w:pPr>
        <w:pStyle w:val="Heading1"/>
        <w:ind w:left="720"/>
        <w:rPr>
          <w:b w:val="0"/>
          <w:sz w:val="24"/>
          <w:szCs w:val="24"/>
        </w:rPr>
      </w:pPr>
      <w:r w:rsidRPr="004E23C9">
        <w:rPr>
          <w:b w:val="0"/>
          <w:sz w:val="24"/>
          <w:szCs w:val="24"/>
        </w:rPr>
        <w:t xml:space="preserve">See article, “Ohio Supreme Court rules against city residency requirements,” June 10, 2009, </w:t>
      </w:r>
      <w:hyperlink r:id="rId2726" w:history="1">
        <w:r w:rsidRPr="00D10EF5">
          <w:rPr>
            <w:rStyle w:val="Hyperlink"/>
            <w:b w:val="0"/>
            <w:sz w:val="24"/>
            <w:szCs w:val="24"/>
          </w:rPr>
          <w:t>https://www.cleveland.com/cityhall/2009/06/ohio_supreme_court_deals_a_leg.html</w:t>
        </w:r>
      </w:hyperlink>
      <w:r w:rsidRPr="004E23C9">
        <w:rPr>
          <w:b w:val="0"/>
          <w:sz w:val="24"/>
          <w:szCs w:val="24"/>
        </w:rPr>
        <w:t xml:space="preserve"> </w:t>
      </w:r>
    </w:p>
    <w:p w14:paraId="6AFADD87" w14:textId="77777777" w:rsidR="00527EDF" w:rsidRDefault="00527EDF" w:rsidP="00527EDF">
      <w:pPr>
        <w:pStyle w:val="Heading1"/>
        <w:ind w:firstLine="720"/>
        <w:rPr>
          <w:b w:val="0"/>
          <w:sz w:val="24"/>
          <w:szCs w:val="24"/>
        </w:rPr>
      </w:pPr>
      <w:r>
        <w:rPr>
          <w:b w:val="0"/>
          <w:sz w:val="24"/>
          <w:szCs w:val="24"/>
        </w:rPr>
        <w:t>Ohio Supreme Court o</w:t>
      </w:r>
      <w:r w:rsidRPr="004E23C9">
        <w:rPr>
          <w:b w:val="0"/>
          <w:sz w:val="24"/>
          <w:szCs w:val="24"/>
        </w:rPr>
        <w:t xml:space="preserve">pinion: </w:t>
      </w:r>
      <w:hyperlink r:id="rId2727" w:tgtFrame="_blank" w:tooltip="Link opens new window" w:history="1">
        <w:r w:rsidRPr="004E23C9">
          <w:rPr>
            <w:rStyle w:val="Hyperlink"/>
            <w:b w:val="0"/>
            <w:sz w:val="24"/>
            <w:szCs w:val="24"/>
          </w:rPr>
          <w:t>http://www.supremecourt.ohio.gov/rod/docs/pdf/0/2009/2009-Ohio-2597.pdf</w:t>
        </w:r>
      </w:hyperlink>
      <w:r w:rsidRPr="004E23C9">
        <w:rPr>
          <w:b w:val="0"/>
          <w:sz w:val="24"/>
          <w:szCs w:val="24"/>
        </w:rPr>
        <w:t xml:space="preserve"> </w:t>
      </w:r>
    </w:p>
    <w:p w14:paraId="351169DF" w14:textId="77777777" w:rsidR="00527EDF" w:rsidRDefault="00527EDF" w:rsidP="00527EDF">
      <w:pPr>
        <w:pStyle w:val="Heading1"/>
        <w:ind w:left="1440"/>
        <w:rPr>
          <w:b w:val="0"/>
          <w:sz w:val="24"/>
          <w:szCs w:val="24"/>
        </w:rPr>
      </w:pPr>
      <w:r>
        <w:rPr>
          <w:b w:val="0"/>
          <w:sz w:val="24"/>
          <w:szCs w:val="24"/>
        </w:rPr>
        <w:t>“</w:t>
      </w:r>
      <w:r w:rsidRPr="00C35227">
        <w:rPr>
          <w:b w:val="0"/>
          <w:sz w:val="24"/>
          <w:szCs w:val="24"/>
        </w:rPr>
        <w:t xml:space="preserve">R.C. 9.481(B)(1) states that </w:t>
      </w:r>
      <w:r>
        <w:rPr>
          <w:b w:val="0"/>
          <w:sz w:val="24"/>
          <w:szCs w:val="24"/>
        </w:rPr>
        <w:t>‘</w:t>
      </w:r>
      <w:r w:rsidRPr="00C35227">
        <w:rPr>
          <w:b w:val="0"/>
          <w:sz w:val="24"/>
          <w:szCs w:val="24"/>
        </w:rPr>
        <w:t xml:space="preserve">no political subdivision shall require any of its employees, as a condition of employment, to reside in any specific area of the state.” The issue in this case is whether R.C. 9.481 was enacted pursuant to the authority granted to the General Assembly by Section 34, Article II of the Ohio Constitution. If it </w:t>
      </w:r>
      <w:proofErr w:type="gramStart"/>
      <w:r w:rsidRPr="00C35227">
        <w:rPr>
          <w:b w:val="0"/>
          <w:sz w:val="24"/>
          <w:szCs w:val="24"/>
        </w:rPr>
        <w:t>was so</w:t>
      </w:r>
      <w:proofErr w:type="gramEnd"/>
      <w:r w:rsidRPr="00C35227">
        <w:rPr>
          <w:b w:val="0"/>
          <w:sz w:val="24"/>
          <w:szCs w:val="24"/>
        </w:rPr>
        <w:t xml:space="preserve"> enacted, its provisions override any conflicting law of a political subdivision, including residency requirements imposed by municipalities pursuant to the Home Rule Amendment, Section 3, Article XVIII of the Ohio Constitution. We hold that R.C. 9.481 was enacted pursuant to the authority granted by Section 34 and that the local laws before us in this case therefore cannot stand.”</w:t>
      </w:r>
    </w:p>
    <w:p w14:paraId="78176427" w14:textId="77777777" w:rsidR="00527EDF" w:rsidRPr="004E23C9" w:rsidRDefault="00527EDF" w:rsidP="00527EDF">
      <w:pPr>
        <w:pStyle w:val="Heading1"/>
        <w:ind w:left="720"/>
        <w:rPr>
          <w:b w:val="0"/>
          <w:sz w:val="24"/>
          <w:szCs w:val="24"/>
        </w:rPr>
      </w:pPr>
      <w:r>
        <w:rPr>
          <w:b w:val="0"/>
          <w:sz w:val="24"/>
          <w:szCs w:val="24"/>
        </w:rPr>
        <w:t xml:space="preserve">Ohio communities can adopt ordinance requiring firefighters and police officers to live in the county, or an adjacent county. </w:t>
      </w:r>
    </w:p>
    <w:p w14:paraId="346A2BB2" w14:textId="77777777" w:rsidR="00527EDF" w:rsidRPr="004E23C9" w:rsidRDefault="00527EDF" w:rsidP="00527EDF">
      <w:pPr>
        <w:pStyle w:val="Heading2"/>
        <w:ind w:firstLine="720"/>
        <w:rPr>
          <w:rFonts w:ascii="Times New Roman" w:hAnsi="Times New Roman"/>
          <w:sz w:val="24"/>
          <w:szCs w:val="24"/>
        </w:rPr>
      </w:pPr>
      <w:r w:rsidRPr="004E23C9">
        <w:rPr>
          <w:rFonts w:ascii="Times New Roman" w:hAnsi="Times New Roman"/>
          <w:sz w:val="24"/>
          <w:szCs w:val="24"/>
        </w:rPr>
        <w:t>9.481 Residency requirements prohibited for certain employees.</w:t>
      </w:r>
    </w:p>
    <w:p w14:paraId="681B2B7F" w14:textId="77777777" w:rsidR="00527EDF" w:rsidRDefault="00527EDF" w:rsidP="00527EDF">
      <w:pPr>
        <w:pStyle w:val="NoSpacing"/>
        <w:rPr>
          <w:rFonts w:ascii="Times New Roman" w:hAnsi="Times New Roman"/>
          <w:b/>
          <w:sz w:val="24"/>
          <w:szCs w:val="24"/>
        </w:rPr>
      </w:pPr>
    </w:p>
    <w:p w14:paraId="75608D30" w14:textId="77777777" w:rsidR="00527EDF" w:rsidRDefault="00527EDF" w:rsidP="00527EDF">
      <w:pPr>
        <w:pStyle w:val="NoSpacing"/>
        <w:ind w:left="1440"/>
        <w:rPr>
          <w:rFonts w:ascii="Times New Roman" w:hAnsi="Times New Roman"/>
          <w:sz w:val="24"/>
          <w:szCs w:val="24"/>
        </w:rPr>
      </w:pPr>
      <w:r>
        <w:rPr>
          <w:rFonts w:ascii="Times New Roman" w:hAnsi="Times New Roman"/>
          <w:sz w:val="24"/>
          <w:szCs w:val="24"/>
        </w:rPr>
        <w:t xml:space="preserve">(b) </w:t>
      </w:r>
      <w:r w:rsidRPr="004E23C9">
        <w:rPr>
          <w:rFonts w:ascii="Times New Roman" w:hAnsi="Times New Roman"/>
          <w:sz w:val="24"/>
          <w:szCs w:val="24"/>
        </w:rPr>
        <w:t>To ensure adequate response times by certain employees of political subdivisions to emergencies or disasters while ensuring that those employees generally are free to reside throughout the state, the electors of any political subdivision may file an initiative petition to submit a local law to the electorate, or the legislative authority of the political subdivision may adopt an ordinance or resolution, that requires any individual employed by that political subdivision, as a condition of employment, to reside either in the county where the political subdivision is located or in any adjacent county in this state</w:t>
      </w:r>
      <w:r>
        <w:rPr>
          <w:rFonts w:ascii="Times New Roman" w:hAnsi="Times New Roman"/>
          <w:sz w:val="24"/>
          <w:szCs w:val="24"/>
        </w:rPr>
        <w:t>.</w:t>
      </w:r>
    </w:p>
    <w:p w14:paraId="1415536A" w14:textId="77777777" w:rsidR="00527EDF" w:rsidRPr="00C35227" w:rsidRDefault="00527EDF" w:rsidP="00527EDF">
      <w:pPr>
        <w:pStyle w:val="NoSpacing"/>
        <w:ind w:left="720" w:firstLine="720"/>
        <w:rPr>
          <w:rFonts w:ascii="Times New Roman" w:hAnsi="Times New Roman"/>
          <w:sz w:val="24"/>
          <w:szCs w:val="24"/>
        </w:rPr>
      </w:pPr>
      <w:hyperlink r:id="rId2728" w:history="1">
        <w:r w:rsidRPr="00D10EF5">
          <w:rPr>
            <w:rStyle w:val="Hyperlink"/>
            <w:rFonts w:ascii="Times New Roman" w:hAnsi="Times New Roman"/>
            <w:sz w:val="24"/>
            <w:szCs w:val="24"/>
          </w:rPr>
          <w:t>http://codes.ohio.gov/orc/gp9.481</w:t>
        </w:r>
      </w:hyperlink>
      <w:r w:rsidRPr="00C35227">
        <w:rPr>
          <w:rFonts w:ascii="Times New Roman" w:hAnsi="Times New Roman"/>
          <w:sz w:val="24"/>
          <w:szCs w:val="24"/>
        </w:rPr>
        <w:t xml:space="preserve"> </w:t>
      </w:r>
    </w:p>
    <w:p w14:paraId="112DCF6B" w14:textId="77777777" w:rsidR="00527EDF" w:rsidRPr="004E23C9" w:rsidRDefault="00527EDF" w:rsidP="00527EDF">
      <w:pPr>
        <w:pStyle w:val="NoSpacing"/>
        <w:rPr>
          <w:rFonts w:ascii="Times New Roman" w:hAnsi="Times New Roman"/>
          <w:b/>
          <w:sz w:val="24"/>
          <w:szCs w:val="24"/>
        </w:rPr>
      </w:pPr>
    </w:p>
    <w:p w14:paraId="257B0168" w14:textId="77777777" w:rsidR="00527EDF" w:rsidRPr="004E23C9" w:rsidRDefault="00527EDF" w:rsidP="00527EDF">
      <w:pPr>
        <w:pStyle w:val="Heading2"/>
        <w:ind w:firstLine="720"/>
        <w:rPr>
          <w:rFonts w:ascii="Times New Roman" w:hAnsi="Times New Roman"/>
          <w:sz w:val="24"/>
          <w:szCs w:val="24"/>
        </w:rPr>
      </w:pPr>
      <w:r w:rsidRPr="004E23C9">
        <w:rPr>
          <w:rFonts w:ascii="Times New Roman" w:hAnsi="Times New Roman"/>
          <w:sz w:val="24"/>
          <w:szCs w:val="24"/>
        </w:rPr>
        <w:t>9.61 Residency not required for fire chief.</w:t>
      </w:r>
    </w:p>
    <w:p w14:paraId="7AF1BBD5" w14:textId="77777777" w:rsidR="00527EDF" w:rsidRDefault="00527EDF" w:rsidP="00527EDF">
      <w:pPr>
        <w:pStyle w:val="NormalWeb"/>
        <w:ind w:left="1440"/>
        <w:rPr>
          <w:b/>
        </w:rPr>
      </w:pPr>
      <w:r>
        <w:t xml:space="preserve">(B) Nothing in the Revised Code requires, or shall be construed to require, that the fire chief of a firefighting agency </w:t>
      </w:r>
      <w:proofErr w:type="gramStart"/>
      <w:r>
        <w:t>reside</w:t>
      </w:r>
      <w:proofErr w:type="gramEnd"/>
      <w:r>
        <w:t xml:space="preserve"> in the territory of the firefighting agency. </w:t>
      </w:r>
      <w:hyperlink r:id="rId2729" w:history="1">
        <w:r w:rsidRPr="00180BB5">
          <w:rPr>
            <w:rStyle w:val="Hyperlink"/>
          </w:rPr>
          <w:t>http://codes.ohio.gov/orc/gp9.61</w:t>
        </w:r>
      </w:hyperlink>
      <w:r>
        <w:t xml:space="preserve"> </w:t>
      </w:r>
      <w:bookmarkEnd w:id="612"/>
    </w:p>
    <w:p w14:paraId="5BFA5465" w14:textId="17147AE4" w:rsidR="00527EDF" w:rsidRDefault="00527EDF" w:rsidP="00D161A5">
      <w:pPr>
        <w:pStyle w:val="NoSpacing"/>
        <w:rPr>
          <w:sz w:val="24"/>
          <w:szCs w:val="24"/>
        </w:rPr>
      </w:pPr>
    </w:p>
    <w:p w14:paraId="13F7E4F7" w14:textId="77777777" w:rsidR="0097592D" w:rsidRDefault="0097592D" w:rsidP="00D161A5">
      <w:pPr>
        <w:pStyle w:val="NoSpacing"/>
        <w:rPr>
          <w:rFonts w:ascii="Arial Black" w:hAnsi="Arial Black"/>
          <w:sz w:val="24"/>
          <w:szCs w:val="24"/>
        </w:rPr>
      </w:pPr>
    </w:p>
    <w:p w14:paraId="2C71E8D7" w14:textId="77777777" w:rsidR="0097592D" w:rsidRDefault="0097592D" w:rsidP="00D161A5">
      <w:pPr>
        <w:pStyle w:val="NoSpacing"/>
        <w:rPr>
          <w:rFonts w:ascii="Arial Black" w:hAnsi="Arial Black"/>
          <w:sz w:val="24"/>
          <w:szCs w:val="24"/>
        </w:rPr>
      </w:pPr>
    </w:p>
    <w:p w14:paraId="6F0F0ACF" w14:textId="281799BE" w:rsidR="00F4486C" w:rsidRDefault="00F4486C" w:rsidP="00D161A5">
      <w:pPr>
        <w:pStyle w:val="NoSpacing"/>
        <w:rPr>
          <w:rFonts w:ascii="Arial Black" w:hAnsi="Arial Black"/>
          <w:sz w:val="24"/>
          <w:szCs w:val="24"/>
        </w:rPr>
      </w:pPr>
      <w:r>
        <w:rPr>
          <w:rFonts w:ascii="Arial Black" w:hAnsi="Arial Black"/>
          <w:sz w:val="24"/>
          <w:szCs w:val="24"/>
        </w:rPr>
        <w:t>16-14</w:t>
      </w:r>
    </w:p>
    <w:p w14:paraId="75771D97" w14:textId="75B73166" w:rsidR="00F4486C" w:rsidRDefault="00F4486C" w:rsidP="00D161A5">
      <w:pPr>
        <w:pStyle w:val="NoSpacing"/>
        <w:rPr>
          <w:rFonts w:ascii="Arial Black" w:hAnsi="Arial Black"/>
          <w:sz w:val="24"/>
          <w:szCs w:val="24"/>
        </w:rPr>
      </w:pPr>
    </w:p>
    <w:p w14:paraId="315CCA1E" w14:textId="77777777" w:rsidR="00F4486C" w:rsidRPr="00F4486C" w:rsidRDefault="00F4486C" w:rsidP="00D161A5">
      <w:pPr>
        <w:pStyle w:val="NoSpacing"/>
        <w:rPr>
          <w:rFonts w:ascii="Arial Black" w:hAnsi="Arial Black" w:cs="Arial"/>
          <w:sz w:val="28"/>
          <w:szCs w:val="28"/>
        </w:rPr>
      </w:pPr>
      <w:r w:rsidRPr="00F4486C">
        <w:rPr>
          <w:rFonts w:ascii="Arial Black" w:hAnsi="Arial Black" w:cs="Arial"/>
          <w:sz w:val="28"/>
          <w:szCs w:val="28"/>
        </w:rPr>
        <w:t xml:space="preserve">FL: NARCOTICS OFFICER - $1,300 MISSING – VOLUNTARY STATEMENTS ADMISSIBLE – AFTER TOLD JOB AT RISK, “GARRITY” WARNING REQ. </w:t>
      </w:r>
    </w:p>
    <w:p w14:paraId="7A692E83" w14:textId="77777777" w:rsidR="00F4486C" w:rsidRPr="00F4486C" w:rsidRDefault="00F4486C" w:rsidP="00D161A5">
      <w:pPr>
        <w:pStyle w:val="NoSpacing"/>
        <w:rPr>
          <w:rFonts w:ascii="Arial Black" w:hAnsi="Arial Black" w:cs="Arial"/>
          <w:sz w:val="28"/>
          <w:szCs w:val="28"/>
        </w:rPr>
      </w:pPr>
    </w:p>
    <w:p w14:paraId="0FEF0686" w14:textId="2C907FAA" w:rsidR="00F4486C" w:rsidRPr="0036327D" w:rsidRDefault="00F4486C" w:rsidP="00D161A5">
      <w:pPr>
        <w:pStyle w:val="NoSpacing"/>
        <w:rPr>
          <w:rFonts w:ascii="Times New Roman" w:hAnsi="Times New Roman"/>
          <w:sz w:val="24"/>
          <w:szCs w:val="24"/>
        </w:rPr>
      </w:pPr>
      <w:r w:rsidRPr="0036327D">
        <w:rPr>
          <w:rFonts w:ascii="Times New Roman" w:hAnsi="Times New Roman"/>
          <w:sz w:val="24"/>
          <w:szCs w:val="24"/>
        </w:rPr>
        <w:t xml:space="preserve">On April 10, 2019, in State of Florida v. Armando Socarras, 2019 WL 1548623 (Fla. Dist. Ct. App. 2019), the Third District Court of Appeal, held (3 to 0) that the officer’s first two </w:t>
      </w:r>
      <w:proofErr w:type="gramStart"/>
      <w:r w:rsidRPr="0036327D">
        <w:rPr>
          <w:rFonts w:ascii="Times New Roman" w:hAnsi="Times New Roman"/>
          <w:sz w:val="24"/>
          <w:szCs w:val="24"/>
        </w:rPr>
        <w:t>statement</w:t>
      </w:r>
      <w:proofErr w:type="gramEnd"/>
      <w:r w:rsidRPr="0036327D">
        <w:rPr>
          <w:rFonts w:ascii="Times New Roman" w:hAnsi="Times New Roman"/>
          <w:sz w:val="24"/>
          <w:szCs w:val="24"/>
        </w:rPr>
        <w:t xml:space="preserve"> to Internal Affairs are admissible. “Finally, Socarras did not reference the missing currency in his initial statement, and, unprompted, volunteered an exculpatory explanation in his second statement. As in Murphy, Socarras ‘apparently felt no compunction about adamantly denying’ he engaged in criminal activity, strongly suggesting any subjective belief of employment sanctions ‘did not overwhelm his resistance.’ 465 U.S. at 438, 104 S. Ct. at 1148. </w:t>
      </w:r>
      <w:hyperlink r:id="rId2730" w:history="1">
        <w:r w:rsidRPr="0036327D">
          <w:rPr>
            <w:rStyle w:val="Hyperlink"/>
            <w:rFonts w:ascii="Times New Roman" w:hAnsi="Times New Roman"/>
            <w:sz w:val="24"/>
            <w:szCs w:val="24"/>
          </w:rPr>
          <w:t>https://www.law.com/newyorklawjournal/2019/04/29/new-lactation-room-laws-what-employers-need-to-know/</w:t>
        </w:r>
      </w:hyperlink>
      <w:r w:rsidRPr="0036327D">
        <w:rPr>
          <w:rFonts w:ascii="Times New Roman" w:hAnsi="Times New Roman"/>
          <w:sz w:val="24"/>
          <w:szCs w:val="24"/>
        </w:rPr>
        <w:t xml:space="preserve"> </w:t>
      </w:r>
    </w:p>
    <w:p w14:paraId="3E7E7074" w14:textId="13ACE7DD" w:rsidR="00F4486C" w:rsidRPr="0036327D" w:rsidRDefault="00F4486C" w:rsidP="00D161A5">
      <w:pPr>
        <w:pStyle w:val="NoSpacing"/>
        <w:rPr>
          <w:rFonts w:ascii="Times New Roman" w:hAnsi="Times New Roman"/>
          <w:sz w:val="24"/>
          <w:szCs w:val="24"/>
        </w:rPr>
      </w:pPr>
    </w:p>
    <w:p w14:paraId="6B47B4F7" w14:textId="3AA4288C" w:rsidR="00F4486C" w:rsidRPr="0036327D" w:rsidRDefault="00F4486C" w:rsidP="00D161A5">
      <w:pPr>
        <w:pStyle w:val="NoSpacing"/>
        <w:rPr>
          <w:rFonts w:ascii="Times New Roman" w:hAnsi="Times New Roman"/>
          <w:b/>
          <w:bCs/>
          <w:sz w:val="24"/>
          <w:szCs w:val="24"/>
        </w:rPr>
      </w:pPr>
      <w:r w:rsidRPr="0036327D">
        <w:rPr>
          <w:rFonts w:ascii="Times New Roman" w:hAnsi="Times New Roman"/>
          <w:b/>
          <w:bCs/>
          <w:sz w:val="24"/>
          <w:szCs w:val="24"/>
        </w:rPr>
        <w:t>Legal Lessons Learned: When conducting an internal investigation, advise the “target” of the investigation of both their Miranda rights to remain silent, and their Garrity rights that their statements may lead to disciplinary action.</w:t>
      </w:r>
    </w:p>
    <w:p w14:paraId="44E6994D" w14:textId="0D15F975" w:rsidR="00F4486C" w:rsidRPr="0036327D" w:rsidRDefault="00F4486C" w:rsidP="00D161A5">
      <w:pPr>
        <w:pStyle w:val="NoSpacing"/>
        <w:rPr>
          <w:rFonts w:ascii="Times New Roman" w:hAnsi="Times New Roman"/>
          <w:sz w:val="24"/>
          <w:szCs w:val="24"/>
        </w:rPr>
      </w:pPr>
    </w:p>
    <w:p w14:paraId="07D8471C" w14:textId="07CEC2E9" w:rsidR="00F4486C" w:rsidRPr="0036327D" w:rsidRDefault="00F4486C" w:rsidP="00F4486C">
      <w:pPr>
        <w:pStyle w:val="NoSpacing"/>
        <w:ind w:left="720"/>
        <w:rPr>
          <w:rFonts w:ascii="Times New Roman" w:hAnsi="Times New Roman"/>
          <w:sz w:val="24"/>
          <w:szCs w:val="24"/>
        </w:rPr>
      </w:pPr>
      <w:r w:rsidRPr="0036327D">
        <w:rPr>
          <w:rFonts w:ascii="Times New Roman" w:hAnsi="Times New Roman"/>
          <w:sz w:val="24"/>
          <w:szCs w:val="24"/>
        </w:rPr>
        <w:t xml:space="preserve">See, for example, Lansing Fire Department </w:t>
      </w:r>
      <w:proofErr w:type="gramStart"/>
      <w:r w:rsidRPr="0036327D">
        <w:rPr>
          <w:rFonts w:ascii="Times New Roman" w:hAnsi="Times New Roman"/>
          <w:sz w:val="24"/>
          <w:szCs w:val="24"/>
        </w:rPr>
        <w:t>advise</w:t>
      </w:r>
      <w:proofErr w:type="gramEnd"/>
      <w:r w:rsidRPr="0036327D">
        <w:rPr>
          <w:rFonts w:ascii="Times New Roman" w:hAnsi="Times New Roman"/>
          <w:sz w:val="24"/>
          <w:szCs w:val="24"/>
        </w:rPr>
        <w:t xml:space="preserve"> on Garrity rights: FIFTH AMENDMENT APPLIES TO INTERROGATIONS OF PUBLIC EMPLOYEES (GARRITY RIGHTS)</w:t>
      </w:r>
      <w:r w:rsidR="00B8368A">
        <w:rPr>
          <w:rFonts w:ascii="Times New Roman" w:hAnsi="Times New Roman"/>
          <w:sz w:val="24"/>
          <w:szCs w:val="24"/>
        </w:rPr>
        <w:t xml:space="preserve">: </w:t>
      </w:r>
    </w:p>
    <w:p w14:paraId="1F0FC48A" w14:textId="18477175" w:rsidR="00F4486C" w:rsidRPr="0036327D" w:rsidRDefault="00F4486C" w:rsidP="00F4486C">
      <w:pPr>
        <w:pStyle w:val="NoSpacing"/>
        <w:ind w:left="720"/>
        <w:rPr>
          <w:rFonts w:ascii="Times New Roman" w:hAnsi="Times New Roman"/>
          <w:sz w:val="24"/>
          <w:szCs w:val="24"/>
        </w:rPr>
      </w:pPr>
      <w:r w:rsidRPr="0036327D">
        <w:rPr>
          <w:rFonts w:ascii="Times New Roman" w:hAnsi="Times New Roman"/>
          <w:sz w:val="24"/>
          <w:szCs w:val="24"/>
        </w:rPr>
        <w:t xml:space="preserve">Public employees have certain constitutional rights that apply in their employment that may not apply to private employees. For example, in Garrity v. New Jersey, the Supreme Court held that statements obtained </w:t>
      </w:r>
      <w:proofErr w:type="gramStart"/>
      <w:r w:rsidRPr="0036327D">
        <w:rPr>
          <w:rFonts w:ascii="Times New Roman" w:hAnsi="Times New Roman"/>
          <w:sz w:val="24"/>
          <w:szCs w:val="24"/>
        </w:rPr>
        <w:t>in the course of</w:t>
      </w:r>
      <w:proofErr w:type="gramEnd"/>
      <w:r w:rsidRPr="0036327D">
        <w:rPr>
          <w:rFonts w:ascii="Times New Roman" w:hAnsi="Times New Roman"/>
          <w:sz w:val="24"/>
          <w:szCs w:val="24"/>
        </w:rPr>
        <w:t xml:space="preserve"> an investigatory interview under threat of termination from public employment couldn’t be used as evidence against the employee in subsequent criminal proceedings.  If, however, you refuse to answer questions after you have been assured that your statements cannot be used against you in a subsequent criminal proceeding, the refusal to answer questions </w:t>
      </w:r>
      <w:proofErr w:type="spellStart"/>
      <w:r w:rsidRPr="0036327D">
        <w:rPr>
          <w:rFonts w:ascii="Times New Roman" w:hAnsi="Times New Roman"/>
          <w:sz w:val="24"/>
          <w:szCs w:val="24"/>
        </w:rPr>
        <w:t>thereaftermay</w:t>
      </w:r>
      <w:proofErr w:type="spellEnd"/>
      <w:r w:rsidRPr="0036327D">
        <w:rPr>
          <w:rFonts w:ascii="Times New Roman" w:hAnsi="Times New Roman"/>
          <w:sz w:val="24"/>
          <w:szCs w:val="24"/>
        </w:rPr>
        <w:t xml:space="preserve"> lead to the imposition of discipline for insubordination. Further, while the statements you make may not be used against you in a subsequent criminal proceeding, they can still form the basis for discipline on the underlying work-related </w:t>
      </w:r>
      <w:proofErr w:type="spellStart"/>
      <w:r w:rsidRPr="0036327D">
        <w:rPr>
          <w:rFonts w:ascii="Times New Roman" w:hAnsi="Times New Roman"/>
          <w:sz w:val="24"/>
          <w:szCs w:val="24"/>
        </w:rPr>
        <w:t>charge.To</w:t>
      </w:r>
      <w:proofErr w:type="spellEnd"/>
      <w:r w:rsidRPr="0036327D">
        <w:rPr>
          <w:rFonts w:ascii="Times New Roman" w:hAnsi="Times New Roman"/>
          <w:sz w:val="24"/>
          <w:szCs w:val="24"/>
        </w:rPr>
        <w:t xml:space="preserve"> ensure that your Garrity rights are protected, you should ask the following questions: 1)If I refuse to talk, can I be disciplined for the refusal? 2) Can that discipline include termination from employment? 3) Are my answers for internal and administrative purposes only and are not to be used for criminal prosecution? </w:t>
      </w:r>
      <w:hyperlink r:id="rId2731" w:history="1">
        <w:r w:rsidRPr="0036327D">
          <w:rPr>
            <w:rStyle w:val="Hyperlink"/>
            <w:rFonts w:ascii="Times New Roman" w:hAnsi="Times New Roman"/>
            <w:sz w:val="24"/>
            <w:szCs w:val="24"/>
          </w:rPr>
          <w:t>http://www.iaff421.org/?zone=/unionactive/private_view_page.cfm&amp;page=Know20Your20Rights21</w:t>
        </w:r>
      </w:hyperlink>
      <w:r w:rsidRPr="0036327D">
        <w:rPr>
          <w:rFonts w:ascii="Times New Roman" w:hAnsi="Times New Roman"/>
          <w:sz w:val="24"/>
          <w:szCs w:val="24"/>
        </w:rPr>
        <w:t xml:space="preserve"> </w:t>
      </w:r>
    </w:p>
    <w:p w14:paraId="11E527EB" w14:textId="77777777" w:rsidR="00F4486C" w:rsidRPr="0036327D" w:rsidRDefault="00F4486C" w:rsidP="00D161A5">
      <w:pPr>
        <w:pStyle w:val="NoSpacing"/>
        <w:rPr>
          <w:rFonts w:ascii="Times New Roman" w:hAnsi="Times New Roman"/>
          <w:sz w:val="24"/>
          <w:szCs w:val="24"/>
        </w:rPr>
      </w:pPr>
    </w:p>
    <w:p w14:paraId="0ED7EB70" w14:textId="77777777" w:rsidR="00F4486C" w:rsidRPr="0036327D" w:rsidRDefault="00F4486C" w:rsidP="00D161A5">
      <w:pPr>
        <w:pStyle w:val="NoSpacing"/>
        <w:rPr>
          <w:rFonts w:ascii="Times New Roman" w:hAnsi="Times New Roman"/>
          <w:sz w:val="24"/>
          <w:szCs w:val="24"/>
        </w:rPr>
      </w:pPr>
    </w:p>
    <w:p w14:paraId="50BC4223" w14:textId="41EBD1AF" w:rsidR="00527EDF" w:rsidRDefault="000C4DF5" w:rsidP="00D161A5">
      <w:pPr>
        <w:pStyle w:val="NoSpacing"/>
        <w:rPr>
          <w:sz w:val="24"/>
          <w:szCs w:val="24"/>
        </w:rPr>
      </w:pPr>
      <w:r>
        <w:rPr>
          <w:rFonts w:ascii="Arial Black" w:hAnsi="Arial Black"/>
          <w:sz w:val="24"/>
          <w:szCs w:val="24"/>
        </w:rPr>
        <w:t>16-13</w:t>
      </w:r>
    </w:p>
    <w:p w14:paraId="3E5308D2" w14:textId="77777777" w:rsidR="00527EDF" w:rsidRDefault="00527EDF" w:rsidP="00D161A5">
      <w:pPr>
        <w:pStyle w:val="NoSpacing"/>
        <w:rPr>
          <w:sz w:val="24"/>
          <w:szCs w:val="24"/>
        </w:rPr>
      </w:pPr>
    </w:p>
    <w:p w14:paraId="2CF673B7" w14:textId="7D62DA45" w:rsidR="00D161A5" w:rsidRDefault="00D161A5" w:rsidP="00D161A5">
      <w:pPr>
        <w:pStyle w:val="NoSpacing"/>
        <w:rPr>
          <w:rFonts w:ascii="OnTimes New Roman" w:hAnsi="OnTimes New Roman"/>
          <w:sz w:val="24"/>
          <w:szCs w:val="24"/>
        </w:rPr>
      </w:pPr>
      <w:r w:rsidRPr="004C0054">
        <w:rPr>
          <w:rFonts w:ascii="Arial Black" w:hAnsi="Arial Black" w:cs="Arial"/>
          <w:sz w:val="28"/>
          <w:szCs w:val="28"/>
        </w:rPr>
        <w:t xml:space="preserve">KS:  </w:t>
      </w:r>
      <w:r>
        <w:rPr>
          <w:rFonts w:ascii="Arial Black" w:hAnsi="Arial Black" w:cs="Arial"/>
          <w:sz w:val="28"/>
          <w:szCs w:val="28"/>
        </w:rPr>
        <w:t xml:space="preserve">IAFF ATTORNEY HELPED FF IN GRIEVANCE </w:t>
      </w:r>
      <w:r w:rsidR="00B8368A">
        <w:rPr>
          <w:rFonts w:ascii="Arial Black" w:hAnsi="Arial Black" w:cs="Arial"/>
          <w:sz w:val="28"/>
          <w:szCs w:val="28"/>
        </w:rPr>
        <w:t>–</w:t>
      </w:r>
      <w:r>
        <w:rPr>
          <w:rFonts w:ascii="Arial Black" w:hAnsi="Arial Black" w:cs="Arial"/>
          <w:sz w:val="28"/>
          <w:szCs w:val="28"/>
        </w:rPr>
        <w:t xml:space="preserve"> </w:t>
      </w:r>
      <w:r w:rsidR="00B8368A">
        <w:rPr>
          <w:rFonts w:ascii="Arial Black" w:hAnsi="Arial Black" w:cs="Arial"/>
          <w:sz w:val="28"/>
          <w:szCs w:val="28"/>
        </w:rPr>
        <w:t xml:space="preserve">HE WAS </w:t>
      </w:r>
      <w:r>
        <w:rPr>
          <w:rFonts w:ascii="Arial Black" w:hAnsi="Arial Black" w:cs="Arial"/>
          <w:sz w:val="28"/>
          <w:szCs w:val="28"/>
        </w:rPr>
        <w:t xml:space="preserve">NOT HIS PERSONAL COUNSEL </w:t>
      </w:r>
    </w:p>
    <w:p w14:paraId="2567CDC2" w14:textId="77777777" w:rsidR="00B8368A" w:rsidRDefault="00D161A5" w:rsidP="00D161A5">
      <w:pPr>
        <w:pStyle w:val="NoSpacing"/>
        <w:rPr>
          <w:rFonts w:ascii="Times New Roman" w:hAnsi="Times New Roman"/>
          <w:sz w:val="24"/>
          <w:szCs w:val="24"/>
        </w:rPr>
      </w:pPr>
      <w:r w:rsidRPr="00B8368A">
        <w:rPr>
          <w:rFonts w:ascii="Times New Roman" w:hAnsi="Times New Roman"/>
          <w:sz w:val="24"/>
          <w:szCs w:val="24"/>
        </w:rPr>
        <w:t xml:space="preserve">On March 25, 2019, in </w:t>
      </w:r>
      <w:r w:rsidRPr="00B8368A">
        <w:rPr>
          <w:rFonts w:ascii="Times New Roman" w:hAnsi="Times New Roman"/>
          <w:sz w:val="24"/>
          <w:szCs w:val="24"/>
          <w:u w:val="single"/>
        </w:rPr>
        <w:t>Randall Austin Ester v. Christopher Buell, et al</w:t>
      </w:r>
      <w:r w:rsidRPr="00B8368A">
        <w:rPr>
          <w:rFonts w:ascii="Times New Roman" w:hAnsi="Times New Roman"/>
          <w:sz w:val="24"/>
          <w:szCs w:val="24"/>
        </w:rPr>
        <w:t xml:space="preserve">., U.S. Magistrate Judge Gwynne E. </w:t>
      </w:r>
      <w:proofErr w:type="spellStart"/>
      <w:r w:rsidRPr="00B8368A">
        <w:rPr>
          <w:rFonts w:ascii="Times New Roman" w:hAnsi="Times New Roman"/>
          <w:sz w:val="24"/>
          <w:szCs w:val="24"/>
        </w:rPr>
        <w:t>Birzar</w:t>
      </w:r>
      <w:proofErr w:type="spellEnd"/>
      <w:r w:rsidRPr="00B8368A">
        <w:rPr>
          <w:rFonts w:ascii="Times New Roman" w:hAnsi="Times New Roman"/>
          <w:sz w:val="24"/>
          <w:szCs w:val="24"/>
        </w:rPr>
        <w:t xml:space="preserve">, U.S. District Court for Kansas, denied plaintiff’s motion to have IAFF Local 64 attorney disqualified from representing IAFF in his racial discrimination lawsuit.  The Magistrate held, </w:t>
      </w:r>
    </w:p>
    <w:p w14:paraId="25D8AA3D" w14:textId="77777777" w:rsidR="00B8368A" w:rsidRDefault="00B8368A" w:rsidP="00D161A5">
      <w:pPr>
        <w:pStyle w:val="NoSpacing"/>
        <w:rPr>
          <w:rFonts w:ascii="Times New Roman" w:hAnsi="Times New Roman"/>
          <w:sz w:val="24"/>
          <w:szCs w:val="24"/>
        </w:rPr>
      </w:pPr>
    </w:p>
    <w:p w14:paraId="05C1FBF1" w14:textId="1A4D62EC" w:rsidR="00D161A5" w:rsidRPr="00B8368A" w:rsidRDefault="00D161A5" w:rsidP="00B8368A">
      <w:pPr>
        <w:pStyle w:val="NoSpacing"/>
        <w:ind w:left="720"/>
        <w:rPr>
          <w:rFonts w:ascii="Times New Roman" w:hAnsi="Times New Roman"/>
          <w:sz w:val="24"/>
          <w:szCs w:val="24"/>
        </w:rPr>
      </w:pPr>
      <w:r w:rsidRPr="00B8368A">
        <w:rPr>
          <w:rFonts w:ascii="Times New Roman" w:hAnsi="Times New Roman"/>
          <w:sz w:val="24"/>
          <w:szCs w:val="24"/>
        </w:rPr>
        <w:t xml:space="preserve">“The totality of the evidence, viewed in conjunction with the caselaw, weighs against formation of an attorney-client relationship. Written documents identify Mr. Brown as ‘attorney for the union.’” </w:t>
      </w:r>
      <w:hyperlink r:id="rId2732" w:history="1">
        <w:r w:rsidRPr="00B8368A">
          <w:rPr>
            <w:rStyle w:val="Hyperlink"/>
            <w:rFonts w:ascii="Times New Roman" w:hAnsi="Times New Roman"/>
            <w:sz w:val="24"/>
            <w:szCs w:val="24"/>
          </w:rPr>
          <w:t>https://ecf.ksd.uscourts.gov/cgi-bin/show_public_doc?2018cv2084-60</w:t>
        </w:r>
      </w:hyperlink>
      <w:r w:rsidRPr="00B8368A">
        <w:rPr>
          <w:rFonts w:ascii="Times New Roman" w:hAnsi="Times New Roman"/>
          <w:sz w:val="24"/>
          <w:szCs w:val="24"/>
        </w:rPr>
        <w:t xml:space="preserve"> </w:t>
      </w:r>
    </w:p>
    <w:p w14:paraId="7A7B8B4C" w14:textId="77777777" w:rsidR="00B8368A" w:rsidRDefault="00B8368A" w:rsidP="00D161A5">
      <w:pPr>
        <w:pStyle w:val="NoSpacing"/>
        <w:rPr>
          <w:rFonts w:ascii="Times New Roman" w:hAnsi="Times New Roman"/>
          <w:b/>
          <w:sz w:val="24"/>
          <w:szCs w:val="24"/>
        </w:rPr>
      </w:pPr>
    </w:p>
    <w:p w14:paraId="7DEAF276" w14:textId="545C782F" w:rsidR="00D161A5" w:rsidRPr="00B8368A" w:rsidRDefault="00D161A5" w:rsidP="00D161A5">
      <w:pPr>
        <w:pStyle w:val="NoSpacing"/>
        <w:rPr>
          <w:rFonts w:ascii="Times New Roman" w:hAnsi="Times New Roman"/>
          <w:b/>
          <w:sz w:val="24"/>
          <w:szCs w:val="24"/>
        </w:rPr>
      </w:pPr>
      <w:r w:rsidRPr="00B8368A">
        <w:rPr>
          <w:rFonts w:ascii="Times New Roman" w:hAnsi="Times New Roman"/>
          <w:b/>
          <w:sz w:val="24"/>
          <w:szCs w:val="24"/>
        </w:rPr>
        <w:t xml:space="preserve">Legal Lessons Learned:  IAFF Local’s attorney is not personal attorney for grievant. </w:t>
      </w:r>
    </w:p>
    <w:p w14:paraId="0791BB7C" w14:textId="77777777" w:rsidR="009C7552" w:rsidRDefault="009C7552" w:rsidP="00D161A5">
      <w:pPr>
        <w:pStyle w:val="NoSpacing"/>
        <w:rPr>
          <w:b/>
          <w:sz w:val="24"/>
          <w:szCs w:val="24"/>
        </w:rPr>
      </w:pPr>
    </w:p>
    <w:bookmarkEnd w:id="610"/>
    <w:p w14:paraId="62CCDF3C" w14:textId="77777777" w:rsidR="00D161A5" w:rsidRPr="009C7552" w:rsidRDefault="00D161A5" w:rsidP="00D161A5">
      <w:pPr>
        <w:pStyle w:val="NoSpacing"/>
        <w:rPr>
          <w:bCs/>
          <w:sz w:val="24"/>
          <w:szCs w:val="24"/>
        </w:rPr>
      </w:pPr>
    </w:p>
    <w:p w14:paraId="41C1185A" w14:textId="77777777" w:rsidR="00D161A5" w:rsidRDefault="00D161A5" w:rsidP="00F326E5">
      <w:pPr>
        <w:pStyle w:val="NoSpacing"/>
        <w:rPr>
          <w:sz w:val="24"/>
          <w:szCs w:val="24"/>
        </w:rPr>
      </w:pPr>
    </w:p>
    <w:p w14:paraId="768CCFA3" w14:textId="130692C9" w:rsidR="000C4DF5" w:rsidRDefault="000C4DF5" w:rsidP="000C4DF5">
      <w:pPr>
        <w:pStyle w:val="NoSpacing"/>
        <w:rPr>
          <w:rFonts w:ascii="Arial Black" w:hAnsi="Arial Black"/>
          <w:sz w:val="24"/>
          <w:szCs w:val="24"/>
        </w:rPr>
      </w:pPr>
      <w:r>
        <w:rPr>
          <w:rFonts w:ascii="Arial Black" w:hAnsi="Arial Black"/>
          <w:sz w:val="24"/>
          <w:szCs w:val="24"/>
        </w:rPr>
        <w:t>16-12</w:t>
      </w:r>
    </w:p>
    <w:p w14:paraId="715D8B60" w14:textId="77777777" w:rsidR="00D161A5" w:rsidRDefault="00D161A5" w:rsidP="00F326E5">
      <w:pPr>
        <w:pStyle w:val="NoSpacing"/>
        <w:rPr>
          <w:sz w:val="24"/>
          <w:szCs w:val="24"/>
        </w:rPr>
      </w:pPr>
    </w:p>
    <w:p w14:paraId="471FE08E" w14:textId="77777777" w:rsidR="00D161A5" w:rsidRDefault="00D161A5" w:rsidP="00F326E5">
      <w:pPr>
        <w:pStyle w:val="NoSpacing"/>
        <w:rPr>
          <w:sz w:val="24"/>
          <w:szCs w:val="24"/>
        </w:rPr>
      </w:pPr>
    </w:p>
    <w:p w14:paraId="0FE3A5B8" w14:textId="4493E0B1" w:rsidR="00F326E5" w:rsidRPr="003668D6" w:rsidRDefault="00F326E5" w:rsidP="00F326E5">
      <w:pPr>
        <w:pStyle w:val="NoSpacing"/>
        <w:rPr>
          <w:rFonts w:ascii="Arial Black" w:hAnsi="Arial Black"/>
          <w:b/>
          <w:bCs/>
          <w:sz w:val="28"/>
          <w:szCs w:val="28"/>
        </w:rPr>
      </w:pPr>
      <w:bookmarkStart w:id="613" w:name="_Hlk7348878"/>
      <w:r w:rsidRPr="003668D6">
        <w:rPr>
          <w:rFonts w:ascii="Arial Black" w:hAnsi="Arial Black"/>
          <w:bCs/>
          <w:sz w:val="28"/>
          <w:szCs w:val="28"/>
        </w:rPr>
        <w:t>MA:  NEPOTISM - FIRE CHIEF</w:t>
      </w:r>
      <w:r>
        <w:rPr>
          <w:rFonts w:ascii="Arial Black" w:hAnsi="Arial Black"/>
          <w:bCs/>
          <w:sz w:val="28"/>
          <w:szCs w:val="28"/>
        </w:rPr>
        <w:t xml:space="preserve">’S NIECE AND BROTHER ON FD – </w:t>
      </w:r>
      <w:r w:rsidR="00D161A5">
        <w:rPr>
          <w:rFonts w:ascii="Arial Black" w:hAnsi="Arial Black"/>
          <w:bCs/>
          <w:sz w:val="28"/>
          <w:szCs w:val="28"/>
        </w:rPr>
        <w:t>RESIGNED PENDING AN INVESTGATION</w:t>
      </w:r>
      <w:r>
        <w:rPr>
          <w:rFonts w:ascii="Arial Black" w:hAnsi="Arial Black"/>
          <w:bCs/>
          <w:sz w:val="28"/>
          <w:szCs w:val="28"/>
        </w:rPr>
        <w:t xml:space="preserve"> </w:t>
      </w:r>
    </w:p>
    <w:p w14:paraId="674E8EA9" w14:textId="77777777" w:rsidR="00B8368A" w:rsidRDefault="00F326E5" w:rsidP="00F326E5">
      <w:pPr>
        <w:pStyle w:val="NoSpacing"/>
        <w:rPr>
          <w:rFonts w:ascii="Times New Roman" w:hAnsi="Times New Roman"/>
          <w:sz w:val="24"/>
          <w:szCs w:val="24"/>
        </w:rPr>
      </w:pPr>
      <w:r w:rsidRPr="00B8368A">
        <w:rPr>
          <w:rFonts w:ascii="Times New Roman" w:hAnsi="Times New Roman"/>
          <w:sz w:val="24"/>
          <w:szCs w:val="24"/>
        </w:rPr>
        <w:t xml:space="preserve">On Jan. 19, 2019, in </w:t>
      </w:r>
      <w:r w:rsidRPr="00B8368A">
        <w:rPr>
          <w:rFonts w:ascii="Times New Roman" w:hAnsi="Times New Roman"/>
          <w:sz w:val="24"/>
          <w:szCs w:val="24"/>
          <w:u w:val="single"/>
        </w:rPr>
        <w:t>Kevin Robinson v. Town of Marshfield, et al</w:t>
      </w:r>
      <w:r w:rsidRPr="00B8368A">
        <w:rPr>
          <w:rFonts w:ascii="Times New Roman" w:hAnsi="Times New Roman"/>
          <w:sz w:val="24"/>
          <w:szCs w:val="24"/>
        </w:rPr>
        <w:t xml:space="preserve">, U.S. District Court Judge Nathaniel M. Gorton granted the Town’s motion for summary judgment, and dismissed the former Fire Chief’s lawsuit: </w:t>
      </w:r>
    </w:p>
    <w:p w14:paraId="33B1FD9A" w14:textId="77777777" w:rsidR="00B8368A" w:rsidRDefault="00B8368A" w:rsidP="00F326E5">
      <w:pPr>
        <w:pStyle w:val="NoSpacing"/>
        <w:rPr>
          <w:rFonts w:ascii="Times New Roman" w:hAnsi="Times New Roman"/>
          <w:sz w:val="24"/>
          <w:szCs w:val="24"/>
        </w:rPr>
      </w:pPr>
    </w:p>
    <w:p w14:paraId="2B59403D" w14:textId="4BC3DAE9" w:rsidR="00F326E5" w:rsidRPr="00B8368A" w:rsidRDefault="00F326E5" w:rsidP="00B8368A">
      <w:pPr>
        <w:pStyle w:val="NoSpacing"/>
        <w:ind w:left="720"/>
        <w:rPr>
          <w:rStyle w:val="Hyperlink"/>
          <w:rFonts w:ascii="Times New Roman" w:hAnsi="Times New Roman"/>
          <w:bCs/>
          <w:sz w:val="24"/>
          <w:szCs w:val="24"/>
        </w:rPr>
      </w:pPr>
      <w:r w:rsidRPr="00B8368A">
        <w:rPr>
          <w:rFonts w:ascii="Times New Roman" w:hAnsi="Times New Roman"/>
          <w:sz w:val="24"/>
          <w:szCs w:val="24"/>
        </w:rPr>
        <w:t xml:space="preserve">“The Chief has not met his burden of showing intentional interference. First, defendants’ conduct does not rise to the level of spiteful or malignant purpose because there was a legitimate interest in temporarily removing the Chief during the investigation of his alleged ethical misconduct. Moreover, even if this Court assumes arguendo that the Chief has met his prima facie burden of showing improper motive through age discrimination, the Chief has failed to show that such discrimination was the controlling factor in the alleged interference.” </w:t>
      </w:r>
      <w:hyperlink r:id="rId2733" w:history="1">
        <w:r w:rsidRPr="00B8368A">
          <w:rPr>
            <w:rStyle w:val="Hyperlink"/>
            <w:rFonts w:ascii="Times New Roman" w:hAnsi="Times New Roman"/>
            <w:sz w:val="24"/>
            <w:szCs w:val="24"/>
          </w:rPr>
          <w:t>https://www.courtlistener.com/recap/gov.uscourts.mad.185693/gov.uscourts.mad.185693.65.0.pdf</w:t>
        </w:r>
      </w:hyperlink>
    </w:p>
    <w:p w14:paraId="08E3688B" w14:textId="77777777" w:rsidR="00B8368A" w:rsidRDefault="00B8368A" w:rsidP="00F326E5">
      <w:pPr>
        <w:pStyle w:val="NoSpacing"/>
        <w:rPr>
          <w:rFonts w:ascii="Times New Roman" w:hAnsi="Times New Roman"/>
          <w:b/>
          <w:sz w:val="24"/>
          <w:szCs w:val="24"/>
        </w:rPr>
      </w:pPr>
    </w:p>
    <w:p w14:paraId="1A022713" w14:textId="22E6BCBD" w:rsidR="00F326E5" w:rsidRPr="00B8368A" w:rsidRDefault="00F326E5" w:rsidP="00F326E5">
      <w:pPr>
        <w:pStyle w:val="NoSpacing"/>
        <w:rPr>
          <w:rFonts w:ascii="Times New Roman" w:hAnsi="Times New Roman"/>
          <w:b/>
          <w:sz w:val="24"/>
          <w:szCs w:val="24"/>
        </w:rPr>
      </w:pPr>
      <w:r w:rsidRPr="00B8368A">
        <w:rPr>
          <w:rFonts w:ascii="Times New Roman" w:hAnsi="Times New Roman"/>
          <w:b/>
          <w:sz w:val="24"/>
          <w:szCs w:val="24"/>
        </w:rPr>
        <w:t>Legal Lessons Learned:  Fire Chiefs, in states that do not prohibit close family members on their FD, must be extremely careful to avoid even an “appearance” of conflicts of interest.</w:t>
      </w:r>
    </w:p>
    <w:p w14:paraId="5B32A854" w14:textId="77777777" w:rsidR="00F326E5" w:rsidRPr="00B8368A" w:rsidRDefault="00F326E5" w:rsidP="00F326E5">
      <w:pPr>
        <w:pStyle w:val="NoSpacing"/>
        <w:rPr>
          <w:rFonts w:ascii="Times New Roman" w:hAnsi="Times New Roman"/>
          <w:b/>
          <w:sz w:val="24"/>
          <w:szCs w:val="24"/>
        </w:rPr>
      </w:pPr>
    </w:p>
    <w:p w14:paraId="4170938E" w14:textId="77777777" w:rsidR="00F326E5" w:rsidRPr="00B8368A" w:rsidRDefault="00F326E5" w:rsidP="00F326E5">
      <w:pPr>
        <w:pStyle w:val="NoSpacing"/>
        <w:ind w:left="720"/>
        <w:rPr>
          <w:rFonts w:ascii="Times New Roman" w:hAnsi="Times New Roman"/>
          <w:sz w:val="24"/>
          <w:szCs w:val="24"/>
        </w:rPr>
      </w:pPr>
      <w:r w:rsidRPr="00B8368A">
        <w:rPr>
          <w:rFonts w:ascii="Times New Roman" w:hAnsi="Times New Roman"/>
          <w:sz w:val="24"/>
          <w:szCs w:val="24"/>
        </w:rPr>
        <w:t xml:space="preserve">See list of state statutes on Nepotism: “Some states may take a broader approach by denying any relative of a qualifying official from being hired by the same branch of government. Other states might more narrowly prevent a public official from having direct supervisory or hiring authority over a relative. A legislator even advocating on behalf of a relative before a hiring or appointing authority might be a violation in some states.” </w:t>
      </w:r>
      <w:hyperlink r:id="rId2734" w:history="1">
        <w:r w:rsidRPr="00B8368A">
          <w:rPr>
            <w:rStyle w:val="Hyperlink"/>
            <w:rFonts w:ascii="Times New Roman" w:hAnsi="Times New Roman"/>
            <w:sz w:val="24"/>
            <w:szCs w:val="24"/>
          </w:rPr>
          <w:t>http://www.ncsl.org/research/ethics/50-state-table-nepotism-restrictions.aspx</w:t>
        </w:r>
      </w:hyperlink>
      <w:r w:rsidRPr="00B8368A">
        <w:rPr>
          <w:rFonts w:ascii="Times New Roman" w:hAnsi="Times New Roman"/>
          <w:sz w:val="24"/>
          <w:szCs w:val="24"/>
        </w:rPr>
        <w:t xml:space="preserve"> </w:t>
      </w:r>
    </w:p>
    <w:p w14:paraId="16D97DCA" w14:textId="77777777" w:rsidR="00F326E5" w:rsidRPr="00B8368A" w:rsidRDefault="00F326E5" w:rsidP="00F326E5">
      <w:pPr>
        <w:pStyle w:val="NoSpacing"/>
        <w:ind w:left="720"/>
        <w:rPr>
          <w:rFonts w:ascii="Times New Roman" w:hAnsi="Times New Roman"/>
          <w:sz w:val="24"/>
          <w:szCs w:val="24"/>
        </w:rPr>
      </w:pPr>
      <w:r w:rsidRPr="00B8368A">
        <w:rPr>
          <w:rFonts w:ascii="Times New Roman" w:hAnsi="Times New Roman"/>
          <w:sz w:val="24"/>
          <w:szCs w:val="24"/>
        </w:rPr>
        <w:t xml:space="preserve">See also Ohio Ethics Commission – Information Sheet No. 1, RESTRICTIONS ON NEPOTISM OR HIRING FAMILY MEMBERS: </w:t>
      </w:r>
      <w:hyperlink r:id="rId2735" w:history="1">
        <w:r w:rsidRPr="00B8368A">
          <w:rPr>
            <w:rStyle w:val="Hyperlink"/>
            <w:rFonts w:ascii="Times New Roman" w:hAnsi="Times New Roman"/>
            <w:sz w:val="24"/>
            <w:szCs w:val="24"/>
          </w:rPr>
          <w:t>https://www.ethics.ohio.gov/education/factsheets/InfoSheet1-Nepotism.pdf</w:t>
        </w:r>
      </w:hyperlink>
      <w:r w:rsidRPr="00B8368A">
        <w:rPr>
          <w:rFonts w:ascii="Times New Roman" w:hAnsi="Times New Roman"/>
          <w:sz w:val="24"/>
          <w:szCs w:val="24"/>
        </w:rPr>
        <w:t xml:space="preserve"> </w:t>
      </w:r>
    </w:p>
    <w:p w14:paraId="30BB61A3" w14:textId="24EA80D9" w:rsidR="00F326E5" w:rsidRPr="00B8368A" w:rsidRDefault="00F326E5" w:rsidP="00F326E5">
      <w:pPr>
        <w:pStyle w:val="NoSpacing"/>
        <w:ind w:left="720"/>
        <w:rPr>
          <w:rFonts w:ascii="Times New Roman" w:hAnsi="Times New Roman"/>
          <w:sz w:val="24"/>
          <w:szCs w:val="24"/>
        </w:rPr>
      </w:pPr>
    </w:p>
    <w:bookmarkEnd w:id="613"/>
    <w:p w14:paraId="4C5B09EA" w14:textId="77777777" w:rsidR="00B8368A" w:rsidRDefault="00B8368A" w:rsidP="000C4DF5">
      <w:pPr>
        <w:pStyle w:val="NoSpacing"/>
        <w:rPr>
          <w:rFonts w:ascii="Arial Black" w:hAnsi="Arial Black"/>
          <w:sz w:val="24"/>
          <w:szCs w:val="24"/>
        </w:rPr>
      </w:pPr>
    </w:p>
    <w:p w14:paraId="776AD545" w14:textId="77777777" w:rsidR="00B8368A" w:rsidRDefault="00B8368A" w:rsidP="000C4DF5">
      <w:pPr>
        <w:pStyle w:val="NoSpacing"/>
        <w:rPr>
          <w:rFonts w:ascii="Arial Black" w:hAnsi="Arial Black"/>
          <w:sz w:val="24"/>
          <w:szCs w:val="24"/>
        </w:rPr>
      </w:pPr>
    </w:p>
    <w:p w14:paraId="748490EF" w14:textId="5B982907" w:rsidR="00F326E5" w:rsidRDefault="000C4DF5" w:rsidP="000C4DF5">
      <w:pPr>
        <w:pStyle w:val="NoSpacing"/>
        <w:rPr>
          <w:rFonts w:ascii="Arial Black" w:hAnsi="Arial Black"/>
          <w:sz w:val="24"/>
          <w:szCs w:val="24"/>
        </w:rPr>
      </w:pPr>
      <w:r>
        <w:rPr>
          <w:rFonts w:ascii="Arial Black" w:hAnsi="Arial Black"/>
          <w:sz w:val="24"/>
          <w:szCs w:val="24"/>
        </w:rPr>
        <w:t>16-11</w:t>
      </w:r>
    </w:p>
    <w:p w14:paraId="75AC1771" w14:textId="77777777" w:rsidR="000C4DF5" w:rsidRDefault="000C4DF5" w:rsidP="000C4DF5">
      <w:pPr>
        <w:pStyle w:val="NoSpacing"/>
        <w:rPr>
          <w:rFonts w:ascii="Arial Black" w:hAnsi="Arial Black"/>
          <w:sz w:val="40"/>
          <w:szCs w:val="40"/>
        </w:rPr>
      </w:pPr>
    </w:p>
    <w:p w14:paraId="1CB9144B" w14:textId="781FAE87" w:rsidR="00F326E5" w:rsidRPr="004815FF" w:rsidRDefault="00F326E5" w:rsidP="00F326E5">
      <w:pPr>
        <w:pStyle w:val="NoSpacing"/>
        <w:rPr>
          <w:rFonts w:ascii="Arial Black" w:hAnsi="Arial Black"/>
          <w:b/>
          <w:sz w:val="28"/>
          <w:szCs w:val="28"/>
        </w:rPr>
      </w:pPr>
      <w:bookmarkStart w:id="614" w:name="_Hlk7348937"/>
      <w:r w:rsidRPr="004815FF">
        <w:rPr>
          <w:rFonts w:ascii="Arial Black" w:hAnsi="Arial Black"/>
          <w:b/>
          <w:sz w:val="28"/>
          <w:szCs w:val="28"/>
        </w:rPr>
        <w:t xml:space="preserve">NJ: STATE POLICE LAB OFFICER INDICTED; FALSELY CERTIFIED </w:t>
      </w:r>
      <w:r w:rsidR="00D161A5">
        <w:rPr>
          <w:rFonts w:ascii="Arial Black" w:hAnsi="Arial Black"/>
          <w:b/>
          <w:sz w:val="28"/>
          <w:szCs w:val="28"/>
        </w:rPr>
        <w:t xml:space="preserve">HE </w:t>
      </w:r>
      <w:r w:rsidRPr="004815FF">
        <w:rPr>
          <w:rFonts w:ascii="Arial Black" w:hAnsi="Arial Black"/>
          <w:b/>
          <w:sz w:val="28"/>
          <w:szCs w:val="28"/>
        </w:rPr>
        <w:t>HAD CALIBRATED DUI EQUIPMENT</w:t>
      </w:r>
    </w:p>
    <w:p w14:paraId="034C3147" w14:textId="77777777" w:rsidR="00F326E5" w:rsidRPr="00B8368A" w:rsidRDefault="00F326E5" w:rsidP="00F326E5">
      <w:pPr>
        <w:rPr>
          <w:rFonts w:ascii="Times New Roman" w:eastAsia="Times New Roman" w:hAnsi="Times New Roman"/>
          <w:sz w:val="24"/>
          <w:szCs w:val="24"/>
        </w:rPr>
      </w:pPr>
      <w:r w:rsidRPr="00B8368A">
        <w:rPr>
          <w:rFonts w:ascii="Times New Roman" w:eastAsia="Times New Roman" w:hAnsi="Times New Roman"/>
          <w:sz w:val="24"/>
          <w:szCs w:val="24"/>
        </w:rPr>
        <w:t xml:space="preserve">On Nov. 13, 2018, in </w:t>
      </w:r>
      <w:r w:rsidRPr="00B8368A">
        <w:rPr>
          <w:rFonts w:ascii="Times New Roman" w:eastAsia="Times New Roman" w:hAnsi="Times New Roman"/>
          <w:sz w:val="24"/>
          <w:szCs w:val="24"/>
          <w:u w:val="single"/>
        </w:rPr>
        <w:t>State v. Eileen Cassidy</w:t>
      </w:r>
      <w:r w:rsidRPr="00B8368A">
        <w:rPr>
          <w:rFonts w:ascii="Times New Roman" w:eastAsia="Times New Roman" w:hAnsi="Times New Roman"/>
          <w:sz w:val="24"/>
          <w:szCs w:val="24"/>
        </w:rPr>
        <w:t xml:space="preserve">, the New Jersey Supreme Court held: “The Court considers the admissibility of breath test results produced by Alcotest machines not calibrated using a thermometer that produces temperature measurements traceable to the standards set by the National Institute of Standards and Technology (NIST)…. The Special Master determined that the State had not shown that other states’ practices revealed general  acceptance of the reliability of Alcotest results without the use of a NIST-traceable thermometer. Because the Special Master’s findings are supported by substantial credible evidence in the record, the Court adopts them.” </w:t>
      </w:r>
      <w:hyperlink r:id="rId2736" w:history="1">
        <w:r w:rsidRPr="00B8368A">
          <w:rPr>
            <w:rStyle w:val="Hyperlink"/>
            <w:rFonts w:ascii="Times New Roman" w:hAnsi="Times New Roman"/>
            <w:sz w:val="24"/>
            <w:szCs w:val="24"/>
          </w:rPr>
          <w:t>https://www.njcourts.gov/attorneys/assets/opinions/supreme/a_58_16.pdf</w:t>
        </w:r>
      </w:hyperlink>
      <w:r w:rsidRPr="00B8368A">
        <w:rPr>
          <w:rFonts w:ascii="Times New Roman" w:eastAsia="Times New Roman" w:hAnsi="Times New Roman"/>
          <w:sz w:val="24"/>
          <w:szCs w:val="24"/>
        </w:rPr>
        <w:t xml:space="preserve"> </w:t>
      </w:r>
    </w:p>
    <w:p w14:paraId="1D0B34D5" w14:textId="77777777" w:rsidR="00F326E5" w:rsidRPr="00B8368A" w:rsidRDefault="00F326E5" w:rsidP="00F326E5">
      <w:pPr>
        <w:rPr>
          <w:rFonts w:ascii="Times New Roman" w:eastAsia="Times New Roman" w:hAnsi="Times New Roman"/>
          <w:b/>
          <w:sz w:val="24"/>
          <w:szCs w:val="24"/>
        </w:rPr>
      </w:pPr>
      <w:r w:rsidRPr="00B8368A">
        <w:rPr>
          <w:rFonts w:ascii="Times New Roman" w:eastAsia="Times New Roman" w:hAnsi="Times New Roman"/>
          <w:b/>
          <w:sz w:val="24"/>
          <w:szCs w:val="24"/>
        </w:rPr>
        <w:t xml:space="preserve">Legal Lessons Learned: False certifications can lead to unwarranted convictions, and criminal charges. EMS personnel must likewise follow EMS protocols, or patient injury or death may occur; false EMS run reports can also lead to termination of employment and even criminal charges.  </w:t>
      </w:r>
    </w:p>
    <w:p w14:paraId="18356700" w14:textId="53BD2B4A" w:rsidR="00BD7B94" w:rsidRDefault="00BD7B94" w:rsidP="00F326E5">
      <w:pPr>
        <w:rPr>
          <w:rStyle w:val="Hyperlink"/>
          <w:sz w:val="24"/>
          <w:szCs w:val="24"/>
        </w:rPr>
      </w:pPr>
    </w:p>
    <w:p w14:paraId="01E94A2A" w14:textId="6C502B7F" w:rsidR="000C4DF5" w:rsidRDefault="000C4DF5" w:rsidP="000C4DF5">
      <w:pPr>
        <w:pStyle w:val="NoSpacing"/>
        <w:rPr>
          <w:rFonts w:ascii="Arial Black" w:hAnsi="Arial Black"/>
          <w:sz w:val="24"/>
          <w:szCs w:val="24"/>
        </w:rPr>
      </w:pPr>
      <w:r>
        <w:rPr>
          <w:rFonts w:ascii="Arial Black" w:hAnsi="Arial Black"/>
          <w:sz w:val="24"/>
          <w:szCs w:val="24"/>
        </w:rPr>
        <w:t>16-10</w:t>
      </w:r>
    </w:p>
    <w:p w14:paraId="18ED8E0F" w14:textId="77777777" w:rsidR="00F326E5" w:rsidRDefault="00F326E5" w:rsidP="00F326E5">
      <w:pPr>
        <w:rPr>
          <w:b/>
          <w:sz w:val="24"/>
          <w:szCs w:val="24"/>
        </w:rPr>
      </w:pPr>
    </w:p>
    <w:p w14:paraId="6C6F9702" w14:textId="72777524" w:rsidR="00F326E5" w:rsidRPr="00FA036E" w:rsidRDefault="00F326E5" w:rsidP="00F326E5">
      <w:pPr>
        <w:rPr>
          <w:rFonts w:ascii="Arial Black" w:hAnsi="Arial Black"/>
          <w:sz w:val="28"/>
          <w:szCs w:val="28"/>
        </w:rPr>
      </w:pPr>
      <w:bookmarkStart w:id="615" w:name="_Hlk7348973"/>
      <w:bookmarkEnd w:id="614"/>
      <w:r>
        <w:rPr>
          <w:rFonts w:ascii="Arial Black" w:hAnsi="Arial Black"/>
          <w:sz w:val="28"/>
          <w:szCs w:val="28"/>
        </w:rPr>
        <w:t>TN:  FF REINSTATED - SCUFFLE AT OFF-DUTY RALLY / FIREARM - REINSTATED – CHARGES NOT PROVEN</w:t>
      </w:r>
    </w:p>
    <w:p w14:paraId="3D6D801E" w14:textId="77777777" w:rsidR="00B8368A" w:rsidRDefault="00F326E5" w:rsidP="00F326E5">
      <w:pPr>
        <w:rPr>
          <w:rFonts w:ascii="Times New Roman" w:eastAsia="Times New Roman" w:hAnsi="Times New Roman"/>
          <w:sz w:val="24"/>
          <w:szCs w:val="24"/>
        </w:rPr>
      </w:pPr>
      <w:r w:rsidRPr="00B8368A">
        <w:rPr>
          <w:rFonts w:ascii="Times New Roman" w:eastAsia="Times New Roman" w:hAnsi="Times New Roman"/>
          <w:sz w:val="24"/>
          <w:szCs w:val="24"/>
        </w:rPr>
        <w:t xml:space="preserve">On Oct. 10, 2018, in </w:t>
      </w:r>
      <w:r w:rsidRPr="00B8368A">
        <w:rPr>
          <w:rFonts w:ascii="Times New Roman" w:eastAsia="Times New Roman" w:hAnsi="Times New Roman"/>
          <w:sz w:val="24"/>
          <w:szCs w:val="24"/>
          <w:u w:val="single"/>
        </w:rPr>
        <w:t>Paul Zachary Moss v. Shelby County Civil Service Board</w:t>
      </w:r>
      <w:r w:rsidRPr="00B8368A">
        <w:rPr>
          <w:rFonts w:ascii="Times New Roman" w:eastAsia="Times New Roman" w:hAnsi="Times New Roman"/>
          <w:sz w:val="24"/>
          <w:szCs w:val="24"/>
        </w:rPr>
        <w:t xml:space="preserve">, the Court of Appeals of Tennessee (at Jackson) held (3 to 0) that the Civil Service Board is reversed, and firefighter is reinstated to Shelby County Fire Department.  </w:t>
      </w:r>
    </w:p>
    <w:p w14:paraId="1706CB8E" w14:textId="2CD8CF00" w:rsidR="00F326E5" w:rsidRPr="00B8368A" w:rsidRDefault="00F326E5" w:rsidP="00B8368A">
      <w:pPr>
        <w:ind w:left="720"/>
        <w:rPr>
          <w:rFonts w:ascii="Times New Roman" w:eastAsia="Times New Roman" w:hAnsi="Times New Roman"/>
          <w:sz w:val="24"/>
          <w:szCs w:val="24"/>
        </w:rPr>
      </w:pPr>
      <w:r w:rsidRPr="00B8368A">
        <w:rPr>
          <w:rFonts w:ascii="Times New Roman" w:eastAsia="Times New Roman" w:hAnsi="Times New Roman"/>
          <w:sz w:val="24"/>
          <w:szCs w:val="24"/>
        </w:rPr>
        <w:t xml:space="preserve">“Appellant contends that the decision upholding his termination should be reversed due to a violation of his due process rights. We agree and reverse…. Further, [Mr. Moss on appeal noted] that the ‘two charges asserted in the </w:t>
      </w:r>
      <w:r w:rsidRPr="00B8368A">
        <w:rPr>
          <w:rFonts w:ascii="Times New Roman" w:eastAsia="Times New Roman" w:hAnsi="Times New Roman"/>
          <w:i/>
          <w:sz w:val="24"/>
          <w:szCs w:val="24"/>
        </w:rPr>
        <w:t xml:space="preserve">Loudermill </w:t>
      </w:r>
      <w:r w:rsidRPr="00B8368A">
        <w:rPr>
          <w:rFonts w:ascii="Times New Roman" w:eastAsia="Times New Roman" w:hAnsi="Times New Roman"/>
          <w:sz w:val="24"/>
          <w:szCs w:val="24"/>
        </w:rPr>
        <w:t>notice were proven to be without factual basis as Chief Benson and Chief Burress both acknowledged that Mr. Moss gave notice of being taken to the Memphis Police Department on the night of the events and Mr. Moss had not been convicted of a felony.’”</w:t>
      </w:r>
      <w:hyperlink r:id="rId2737" w:history="1">
        <w:r w:rsidRPr="00B8368A">
          <w:rPr>
            <w:rStyle w:val="Hyperlink"/>
            <w:rFonts w:ascii="Times New Roman" w:hAnsi="Times New Roman"/>
            <w:sz w:val="24"/>
            <w:szCs w:val="24"/>
          </w:rPr>
          <w:t>http://www.tsc.state.tn.us/sites/default/files/mosspaulzacharyopn.pdf</w:t>
        </w:r>
      </w:hyperlink>
      <w:r w:rsidRPr="00B8368A">
        <w:rPr>
          <w:rFonts w:ascii="Times New Roman" w:eastAsia="Times New Roman" w:hAnsi="Times New Roman"/>
          <w:sz w:val="24"/>
          <w:szCs w:val="24"/>
        </w:rPr>
        <w:t xml:space="preserve"> </w:t>
      </w:r>
    </w:p>
    <w:p w14:paraId="7ABBB616" w14:textId="77777777" w:rsidR="00F326E5" w:rsidRPr="00B8368A" w:rsidRDefault="00F326E5" w:rsidP="00F326E5">
      <w:pPr>
        <w:rPr>
          <w:rFonts w:ascii="Times New Roman" w:hAnsi="Times New Roman"/>
          <w:b/>
          <w:sz w:val="24"/>
          <w:szCs w:val="24"/>
        </w:rPr>
      </w:pPr>
      <w:r w:rsidRPr="00B8368A">
        <w:rPr>
          <w:rFonts w:ascii="Times New Roman" w:hAnsi="Times New Roman"/>
          <w:b/>
          <w:sz w:val="24"/>
          <w:szCs w:val="24"/>
        </w:rPr>
        <w:t>Legal Lessons Learned:  Due process requires proof of the specific charges; if the FD had also included a charge of “conduct unbecoming” this case may have had a different result.</w:t>
      </w:r>
    </w:p>
    <w:p w14:paraId="69EB45FF" w14:textId="77777777" w:rsidR="000C4DF5" w:rsidRDefault="000C4DF5" w:rsidP="000C4DF5">
      <w:pPr>
        <w:pStyle w:val="NoSpacing"/>
        <w:rPr>
          <w:rFonts w:ascii="Arial Black" w:hAnsi="Arial Black"/>
          <w:sz w:val="24"/>
          <w:szCs w:val="24"/>
        </w:rPr>
      </w:pPr>
    </w:p>
    <w:p w14:paraId="0A5B7C7C" w14:textId="77777777" w:rsidR="00B8368A" w:rsidRDefault="00B8368A" w:rsidP="000C4DF5">
      <w:pPr>
        <w:pStyle w:val="NoSpacing"/>
        <w:rPr>
          <w:rFonts w:ascii="Arial Black" w:hAnsi="Arial Black"/>
          <w:sz w:val="24"/>
          <w:szCs w:val="24"/>
        </w:rPr>
      </w:pPr>
    </w:p>
    <w:p w14:paraId="0E457058" w14:textId="1489ED26" w:rsidR="00F326E5" w:rsidRDefault="000C4DF5" w:rsidP="000C4DF5">
      <w:pPr>
        <w:pStyle w:val="NoSpacing"/>
        <w:rPr>
          <w:sz w:val="24"/>
          <w:szCs w:val="24"/>
        </w:rPr>
      </w:pPr>
      <w:bookmarkStart w:id="616" w:name="_Hlk80769537"/>
      <w:r>
        <w:rPr>
          <w:rFonts w:ascii="Arial Black" w:hAnsi="Arial Black"/>
          <w:sz w:val="24"/>
          <w:szCs w:val="24"/>
        </w:rPr>
        <w:t>16-9</w:t>
      </w:r>
    </w:p>
    <w:p w14:paraId="18F3874F" w14:textId="6BD5C8E8" w:rsidR="00F326E5" w:rsidRPr="00237787" w:rsidRDefault="00F326E5" w:rsidP="00F326E5">
      <w:pPr>
        <w:pStyle w:val="Heading1"/>
        <w:rPr>
          <w:sz w:val="24"/>
          <w:szCs w:val="24"/>
        </w:rPr>
      </w:pPr>
      <w:bookmarkStart w:id="617" w:name="_Hlk7349033"/>
      <w:bookmarkEnd w:id="615"/>
      <w:r w:rsidRPr="004815FF">
        <w:rPr>
          <w:rFonts w:ascii="Arial Black" w:hAnsi="Arial Black"/>
          <w:sz w:val="28"/>
          <w:szCs w:val="28"/>
        </w:rPr>
        <w:t>TX: FREE SPEECH - PD OFFICER LAWSUIT MAY PROCEED - FIRED ORGANIZING POLICE ASSOCIATION</w:t>
      </w:r>
      <w:r>
        <w:rPr>
          <w:rFonts w:ascii="Arial Black" w:hAnsi="Arial Black"/>
          <w:sz w:val="24"/>
          <w:szCs w:val="24"/>
        </w:rPr>
        <w:t xml:space="preserve"> </w:t>
      </w:r>
      <w:r w:rsidRPr="00237787">
        <w:rPr>
          <w:sz w:val="24"/>
          <w:szCs w:val="24"/>
        </w:rPr>
        <w:t>[also filed, Chap. 1]</w:t>
      </w:r>
    </w:p>
    <w:p w14:paraId="34E73E98" w14:textId="77777777" w:rsidR="00B8368A" w:rsidRDefault="00F326E5" w:rsidP="00F326E5">
      <w:pPr>
        <w:rPr>
          <w:rFonts w:ascii="Times New Roman" w:hAnsi="Times New Roman"/>
          <w:sz w:val="24"/>
          <w:szCs w:val="24"/>
        </w:rPr>
      </w:pPr>
      <w:r w:rsidRPr="00B8368A">
        <w:rPr>
          <w:rFonts w:ascii="Times New Roman" w:hAnsi="Times New Roman"/>
          <w:sz w:val="24"/>
          <w:szCs w:val="24"/>
        </w:rPr>
        <w:t xml:space="preserve">On Aug. 31, 2018, in </w:t>
      </w:r>
      <w:r w:rsidRPr="00B8368A">
        <w:rPr>
          <w:rFonts w:ascii="Times New Roman" w:hAnsi="Times New Roman"/>
          <w:sz w:val="24"/>
          <w:szCs w:val="24"/>
          <w:u w:val="single"/>
        </w:rPr>
        <w:t>Marcus Mote v. Debra Walthall</w:t>
      </w:r>
      <w:r w:rsidRPr="00B8368A">
        <w:rPr>
          <w:rFonts w:ascii="Times New Roman" w:hAnsi="Times New Roman"/>
          <w:sz w:val="24"/>
          <w:szCs w:val="24"/>
        </w:rPr>
        <w:t>, the U.S. Court of Appeals for 5</w:t>
      </w:r>
      <w:r w:rsidRPr="00B8368A">
        <w:rPr>
          <w:rFonts w:ascii="Times New Roman" w:hAnsi="Times New Roman"/>
          <w:sz w:val="24"/>
          <w:szCs w:val="24"/>
          <w:vertAlign w:val="superscript"/>
        </w:rPr>
        <w:t>th</w:t>
      </w:r>
      <w:r w:rsidRPr="00B8368A">
        <w:rPr>
          <w:rFonts w:ascii="Times New Roman" w:hAnsi="Times New Roman"/>
          <w:sz w:val="24"/>
          <w:szCs w:val="24"/>
        </w:rPr>
        <w:t xml:space="preserve"> Circuit held (3 to 0) that Police Chief Debra Walthall is not entitled to qualified immunity, and Officer Mote’s lawsuit against her may proceed.  Officer Mote sought before he was fired to organize police officers with the City of </w:t>
      </w:r>
      <w:proofErr w:type="spellStart"/>
      <w:r w:rsidRPr="00B8368A">
        <w:rPr>
          <w:rFonts w:ascii="Times New Roman" w:hAnsi="Times New Roman"/>
          <w:sz w:val="24"/>
          <w:szCs w:val="24"/>
        </w:rPr>
        <w:t>Corith</w:t>
      </w:r>
      <w:proofErr w:type="spellEnd"/>
      <w:r w:rsidRPr="00B8368A">
        <w:rPr>
          <w:rFonts w:ascii="Times New Roman" w:hAnsi="Times New Roman"/>
          <w:sz w:val="24"/>
          <w:szCs w:val="24"/>
        </w:rPr>
        <w:t>, TX into a “</w:t>
      </w:r>
      <w:proofErr w:type="spellStart"/>
      <w:r w:rsidRPr="00B8368A">
        <w:rPr>
          <w:rFonts w:ascii="Times New Roman" w:hAnsi="Times New Roman"/>
          <w:sz w:val="24"/>
          <w:szCs w:val="24"/>
        </w:rPr>
        <w:t>Corith</w:t>
      </w:r>
      <w:proofErr w:type="spellEnd"/>
      <w:r w:rsidRPr="00B8368A">
        <w:rPr>
          <w:rFonts w:ascii="Times New Roman" w:hAnsi="Times New Roman"/>
          <w:sz w:val="24"/>
          <w:szCs w:val="24"/>
        </w:rPr>
        <w:t xml:space="preserve"> Police Officers Association” [no collective bargaining rights under TX law], affiliated with the Texas Municipal Police Association.  The Court wrote, </w:t>
      </w:r>
    </w:p>
    <w:p w14:paraId="346D7918" w14:textId="096CFB09" w:rsidR="00F326E5" w:rsidRPr="00B8368A" w:rsidRDefault="00F326E5" w:rsidP="00B8368A">
      <w:pPr>
        <w:ind w:left="720"/>
        <w:rPr>
          <w:rFonts w:ascii="Times New Roman" w:eastAsia="Times New Roman" w:hAnsi="Times New Roman"/>
          <w:sz w:val="24"/>
          <w:szCs w:val="24"/>
        </w:rPr>
      </w:pPr>
      <w:r w:rsidRPr="00B8368A">
        <w:rPr>
          <w:rFonts w:ascii="Times New Roman" w:hAnsi="Times New Roman"/>
          <w:sz w:val="24"/>
          <w:szCs w:val="24"/>
        </w:rPr>
        <w:t>“</w:t>
      </w:r>
      <w:r w:rsidRPr="00B8368A">
        <w:rPr>
          <w:rFonts w:ascii="Times New Roman" w:eastAsia="Times New Roman" w:hAnsi="Times New Roman"/>
          <w:sz w:val="24"/>
          <w:szCs w:val="24"/>
        </w:rPr>
        <w:t>The First Amendment protects the right of all persons to associate together in groups to ‘</w:t>
      </w:r>
      <w:proofErr w:type="spellStart"/>
      <w:r w:rsidRPr="00B8368A">
        <w:rPr>
          <w:rFonts w:ascii="Times New Roman" w:eastAsia="Times New Roman" w:hAnsi="Times New Roman"/>
          <w:sz w:val="24"/>
          <w:szCs w:val="24"/>
        </w:rPr>
        <w:t>advanc</w:t>
      </w:r>
      <w:proofErr w:type="spellEnd"/>
      <w:r w:rsidRPr="00B8368A">
        <w:rPr>
          <w:rFonts w:ascii="Times New Roman" w:eastAsia="Times New Roman" w:hAnsi="Times New Roman"/>
          <w:sz w:val="24"/>
          <w:szCs w:val="24"/>
        </w:rPr>
        <w:t>[e] beliefs and ideas.’ Put another way, ‘the [F]</w:t>
      </w:r>
      <w:proofErr w:type="spellStart"/>
      <w:r w:rsidRPr="00B8368A">
        <w:rPr>
          <w:rFonts w:ascii="Times New Roman" w:eastAsia="Times New Roman" w:hAnsi="Times New Roman"/>
          <w:sz w:val="24"/>
          <w:szCs w:val="24"/>
        </w:rPr>
        <w:t>irst</w:t>
      </w:r>
      <w:proofErr w:type="spellEnd"/>
      <w:r w:rsidRPr="00B8368A">
        <w:rPr>
          <w:rFonts w:ascii="Times New Roman" w:eastAsia="Times New Roman" w:hAnsi="Times New Roman"/>
          <w:sz w:val="24"/>
          <w:szCs w:val="24"/>
        </w:rPr>
        <w:t xml:space="preserve"> [A]</w:t>
      </w:r>
      <w:proofErr w:type="spellStart"/>
      <w:r w:rsidRPr="00B8368A">
        <w:rPr>
          <w:rFonts w:ascii="Times New Roman" w:eastAsia="Times New Roman" w:hAnsi="Times New Roman"/>
          <w:sz w:val="24"/>
          <w:szCs w:val="24"/>
        </w:rPr>
        <w:t>mendment</w:t>
      </w:r>
      <w:proofErr w:type="spellEnd"/>
      <w:r w:rsidRPr="00B8368A">
        <w:rPr>
          <w:rFonts w:ascii="Times New Roman" w:eastAsia="Times New Roman" w:hAnsi="Times New Roman"/>
          <w:sz w:val="24"/>
          <w:szCs w:val="24"/>
        </w:rPr>
        <w:t xml:space="preserve"> protects the right of all persons to associate together in groups to further their lawful interests.’ When groups </w:t>
      </w:r>
      <w:proofErr w:type="gramStart"/>
      <w:r w:rsidRPr="00B8368A">
        <w:rPr>
          <w:rFonts w:ascii="Times New Roman" w:eastAsia="Times New Roman" w:hAnsi="Times New Roman"/>
          <w:sz w:val="24"/>
          <w:szCs w:val="24"/>
        </w:rPr>
        <w:t>gather together</w:t>
      </w:r>
      <w:proofErr w:type="gramEnd"/>
      <w:r w:rsidRPr="00B8368A">
        <w:rPr>
          <w:rFonts w:ascii="Times New Roman" w:eastAsia="Times New Roman" w:hAnsi="Times New Roman"/>
          <w:sz w:val="24"/>
          <w:szCs w:val="24"/>
        </w:rPr>
        <w:t xml:space="preserve"> for this </w:t>
      </w:r>
      <w:proofErr w:type="gramStart"/>
      <w:r w:rsidRPr="00B8368A">
        <w:rPr>
          <w:rFonts w:ascii="Times New Roman" w:eastAsia="Times New Roman" w:hAnsi="Times New Roman"/>
          <w:sz w:val="24"/>
          <w:szCs w:val="24"/>
        </w:rPr>
        <w:t>purpose, ‘</w:t>
      </w:r>
      <w:proofErr w:type="gramEnd"/>
      <w:r w:rsidRPr="00B8368A">
        <w:rPr>
          <w:rFonts w:ascii="Times New Roman" w:eastAsia="Times New Roman" w:hAnsi="Times New Roman"/>
          <w:sz w:val="24"/>
          <w:szCs w:val="24"/>
        </w:rPr>
        <w:t xml:space="preserve">it cannot be seriously doubted’ that they comprise associations protected by the First Amendment. *** </w:t>
      </w:r>
      <w:r w:rsidRPr="00B8368A">
        <w:rPr>
          <w:rFonts w:ascii="Times New Roman" w:hAnsi="Times New Roman"/>
          <w:sz w:val="24"/>
          <w:szCs w:val="24"/>
        </w:rPr>
        <w:t xml:space="preserve">We conclude that Mote’s right to speak </w:t>
      </w:r>
      <w:r w:rsidRPr="00B8368A">
        <w:rPr>
          <w:rFonts w:ascii="Times New Roman" w:eastAsia="Times New Roman" w:hAnsi="Times New Roman"/>
          <w:sz w:val="24"/>
          <w:szCs w:val="24"/>
        </w:rPr>
        <w:t xml:space="preserve">in furtherance of forming the CPOA was clearly established as an integral part of his association rights. *** We agree with the district court that Mote’s association and speech rights to engage in the activities he alleged were clearly established. We therefore DISMISS the appeal.” </w:t>
      </w:r>
      <w:hyperlink r:id="rId2738" w:history="1">
        <w:r w:rsidRPr="00B8368A">
          <w:rPr>
            <w:rStyle w:val="Hyperlink"/>
            <w:rFonts w:ascii="Times New Roman" w:hAnsi="Times New Roman"/>
            <w:sz w:val="24"/>
            <w:szCs w:val="24"/>
          </w:rPr>
          <w:t>https://cases.justia.com/federal/appellate-courts/ca5/17-40754/17-40754-2018-08-31.pdf?ts=1535736678</w:t>
        </w:r>
      </w:hyperlink>
      <w:r w:rsidRPr="00B8368A">
        <w:rPr>
          <w:rFonts w:ascii="Times New Roman" w:eastAsia="Times New Roman" w:hAnsi="Times New Roman"/>
          <w:sz w:val="24"/>
          <w:szCs w:val="24"/>
        </w:rPr>
        <w:t xml:space="preserve"> </w:t>
      </w:r>
    </w:p>
    <w:p w14:paraId="66CB6BFA" w14:textId="272BB028" w:rsidR="00F326E5" w:rsidRPr="00B8368A" w:rsidRDefault="00F326E5" w:rsidP="00F326E5">
      <w:pPr>
        <w:rPr>
          <w:rFonts w:ascii="Times New Roman" w:eastAsia="Times New Roman" w:hAnsi="Times New Roman"/>
          <w:b/>
          <w:sz w:val="24"/>
          <w:szCs w:val="24"/>
        </w:rPr>
      </w:pPr>
      <w:r w:rsidRPr="00B8368A">
        <w:rPr>
          <w:rFonts w:ascii="Times New Roman" w:eastAsia="Times New Roman" w:hAnsi="Times New Roman"/>
          <w:b/>
          <w:sz w:val="24"/>
          <w:szCs w:val="24"/>
        </w:rPr>
        <w:t xml:space="preserve">Legal Lessons Learned: Very strong opinion concerning free speech rights of public employees.  Fire &amp; EMS departments should adopt a “Social Media” policy that recognizes free speech </w:t>
      </w:r>
      <w:proofErr w:type="gramStart"/>
      <w:r w:rsidRPr="00B8368A">
        <w:rPr>
          <w:rFonts w:ascii="Times New Roman" w:eastAsia="Times New Roman" w:hAnsi="Times New Roman"/>
          <w:b/>
          <w:sz w:val="24"/>
          <w:szCs w:val="24"/>
        </w:rPr>
        <w:t>rights,</w:t>
      </w:r>
      <w:r w:rsidR="00B8368A">
        <w:rPr>
          <w:rFonts w:ascii="Times New Roman" w:eastAsia="Times New Roman" w:hAnsi="Times New Roman"/>
          <w:b/>
          <w:sz w:val="24"/>
          <w:szCs w:val="24"/>
        </w:rPr>
        <w:t xml:space="preserve"> </w:t>
      </w:r>
      <w:r w:rsidRPr="00B8368A">
        <w:rPr>
          <w:rFonts w:ascii="Times New Roman" w:eastAsia="Times New Roman" w:hAnsi="Times New Roman"/>
          <w:b/>
          <w:sz w:val="24"/>
          <w:szCs w:val="24"/>
        </w:rPr>
        <w:t>but</w:t>
      </w:r>
      <w:proofErr w:type="gramEnd"/>
      <w:r w:rsidRPr="00B8368A">
        <w:rPr>
          <w:rFonts w:ascii="Times New Roman" w:eastAsia="Times New Roman" w:hAnsi="Times New Roman"/>
          <w:b/>
          <w:sz w:val="24"/>
          <w:szCs w:val="24"/>
        </w:rPr>
        <w:t xml:space="preserve"> </w:t>
      </w:r>
      <w:r w:rsidR="00B8368A">
        <w:rPr>
          <w:rFonts w:ascii="Times New Roman" w:eastAsia="Times New Roman" w:hAnsi="Times New Roman"/>
          <w:b/>
          <w:sz w:val="24"/>
          <w:szCs w:val="24"/>
        </w:rPr>
        <w:t xml:space="preserve">also </w:t>
      </w:r>
      <w:r w:rsidRPr="00B8368A">
        <w:rPr>
          <w:rFonts w:ascii="Times New Roman" w:eastAsia="Times New Roman" w:hAnsi="Times New Roman"/>
          <w:b/>
          <w:sz w:val="24"/>
          <w:szCs w:val="24"/>
        </w:rPr>
        <w:t>cautions members to not publicly discuss internal matters</w:t>
      </w:r>
      <w:r w:rsidRPr="00B8368A">
        <w:rPr>
          <w:rFonts w:ascii="Times New Roman" w:eastAsia="Times New Roman" w:hAnsi="Times New Roman"/>
          <w:sz w:val="24"/>
          <w:szCs w:val="24"/>
        </w:rPr>
        <w:t>.</w:t>
      </w:r>
    </w:p>
    <w:bookmarkEnd w:id="616"/>
    <w:bookmarkEnd w:id="617"/>
    <w:p w14:paraId="24FA42FE" w14:textId="77777777" w:rsidR="00F326E5" w:rsidRDefault="00F326E5" w:rsidP="00F326E5">
      <w:pPr>
        <w:pStyle w:val="Heading1"/>
        <w:rPr>
          <w:sz w:val="24"/>
          <w:szCs w:val="24"/>
        </w:rPr>
      </w:pPr>
    </w:p>
    <w:p w14:paraId="2FE8D6B4" w14:textId="199E56F3" w:rsidR="00F326E5" w:rsidRDefault="000C4DF5" w:rsidP="000C4DF5">
      <w:pPr>
        <w:pStyle w:val="NoSpacing"/>
        <w:rPr>
          <w:rFonts w:ascii="Arial Black" w:hAnsi="Arial Black"/>
          <w:sz w:val="24"/>
          <w:szCs w:val="24"/>
        </w:rPr>
      </w:pPr>
      <w:r>
        <w:rPr>
          <w:rFonts w:ascii="Arial Black" w:hAnsi="Arial Black"/>
          <w:sz w:val="24"/>
          <w:szCs w:val="24"/>
        </w:rPr>
        <w:t>16-8</w:t>
      </w:r>
    </w:p>
    <w:p w14:paraId="42F20CEE" w14:textId="77777777" w:rsidR="000C4DF5" w:rsidRDefault="000C4DF5" w:rsidP="000C4DF5">
      <w:pPr>
        <w:pStyle w:val="NoSpacing"/>
        <w:rPr>
          <w:sz w:val="24"/>
          <w:szCs w:val="24"/>
        </w:rPr>
      </w:pPr>
    </w:p>
    <w:p w14:paraId="1281755C" w14:textId="03895C9A" w:rsidR="00F326E5" w:rsidRDefault="00F326E5" w:rsidP="00F326E5">
      <w:pPr>
        <w:pStyle w:val="NoSpacing"/>
        <w:rPr>
          <w:rFonts w:ascii="Arial Black" w:hAnsi="Arial Black"/>
          <w:b/>
          <w:sz w:val="24"/>
          <w:szCs w:val="24"/>
        </w:rPr>
      </w:pPr>
      <w:bookmarkStart w:id="618" w:name="_Hlk7349133"/>
      <w:r w:rsidRPr="0038317F">
        <w:rPr>
          <w:rFonts w:ascii="Arial Black" w:hAnsi="Arial Black"/>
          <w:sz w:val="28"/>
          <w:szCs w:val="28"/>
        </w:rPr>
        <w:t>FL: T</w:t>
      </w:r>
      <w:r>
        <w:rPr>
          <w:rFonts w:ascii="Arial Black" w:hAnsi="Arial Black"/>
          <w:sz w:val="28"/>
          <w:szCs w:val="28"/>
        </w:rPr>
        <w:t>WO DISPATCHERS FIRED – DID NOT ALERT POLICE OF “HIGH HAZARD” PERSON –</w:t>
      </w:r>
      <w:r w:rsidR="00A50C92">
        <w:rPr>
          <w:rFonts w:ascii="Arial Black" w:hAnsi="Arial Black"/>
          <w:sz w:val="28"/>
          <w:szCs w:val="28"/>
        </w:rPr>
        <w:t xml:space="preserve"> POLICE </w:t>
      </w:r>
      <w:r>
        <w:rPr>
          <w:rFonts w:ascii="Arial Black" w:hAnsi="Arial Black"/>
          <w:sz w:val="28"/>
          <w:szCs w:val="28"/>
        </w:rPr>
        <w:t>OFFICER</w:t>
      </w:r>
      <w:r w:rsidRPr="0038317F">
        <w:rPr>
          <w:rFonts w:ascii="Arial Black" w:hAnsi="Arial Black"/>
          <w:sz w:val="28"/>
          <w:szCs w:val="28"/>
        </w:rPr>
        <w:t xml:space="preserve"> </w:t>
      </w:r>
      <w:r w:rsidR="00A50C92">
        <w:rPr>
          <w:rFonts w:ascii="Arial Black" w:hAnsi="Arial Black"/>
          <w:sz w:val="28"/>
          <w:szCs w:val="28"/>
        </w:rPr>
        <w:t>KILLED</w:t>
      </w:r>
    </w:p>
    <w:p w14:paraId="0B800638" w14:textId="77777777" w:rsidR="00F326E5" w:rsidRP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June 13, 2018, in </w:t>
      </w:r>
      <w:r w:rsidRPr="00E600C4">
        <w:rPr>
          <w:rFonts w:ascii="Times New Roman" w:hAnsi="Times New Roman"/>
          <w:sz w:val="24"/>
          <w:szCs w:val="24"/>
          <w:u w:val="single"/>
        </w:rPr>
        <w:t>Darryl Newman, Gwendolyn Forehand v. Consolidated Dispatch Agency</w:t>
      </w:r>
      <w:r w:rsidRPr="00E600C4">
        <w:rPr>
          <w:rFonts w:ascii="Times New Roman" w:hAnsi="Times New Roman"/>
          <w:sz w:val="24"/>
          <w:szCs w:val="24"/>
        </w:rPr>
        <w:t xml:space="preserve">, the U.S. </w:t>
      </w:r>
      <w:proofErr w:type="spellStart"/>
      <w:r w:rsidRPr="00E600C4">
        <w:rPr>
          <w:rFonts w:ascii="Times New Roman" w:hAnsi="Times New Roman"/>
          <w:sz w:val="24"/>
          <w:szCs w:val="24"/>
        </w:rPr>
        <w:t>CourtOf</w:t>
      </w:r>
      <w:proofErr w:type="spellEnd"/>
      <w:r w:rsidRPr="00E600C4">
        <w:rPr>
          <w:rFonts w:ascii="Times New Roman" w:hAnsi="Times New Roman"/>
          <w:sz w:val="24"/>
          <w:szCs w:val="24"/>
        </w:rPr>
        <w:t xml:space="preserve"> Appeals for the 11</w:t>
      </w:r>
      <w:r w:rsidRPr="00E600C4">
        <w:rPr>
          <w:rFonts w:ascii="Times New Roman" w:hAnsi="Times New Roman"/>
          <w:sz w:val="24"/>
          <w:szCs w:val="24"/>
          <w:vertAlign w:val="superscript"/>
        </w:rPr>
        <w:t>th</w:t>
      </w:r>
      <w:r w:rsidRPr="00E600C4">
        <w:rPr>
          <w:rFonts w:ascii="Times New Roman" w:hAnsi="Times New Roman"/>
          <w:sz w:val="24"/>
          <w:szCs w:val="24"/>
        </w:rPr>
        <w:t xml:space="preserve"> District (Atlanta, GA), held (3 to 0) in an unpublished opinion:</w:t>
      </w:r>
    </w:p>
    <w:p w14:paraId="0DE3CDCA" w14:textId="77777777" w:rsidR="00E600C4" w:rsidRDefault="00E600C4" w:rsidP="00F326E5">
      <w:pPr>
        <w:ind w:left="720"/>
        <w:rPr>
          <w:rFonts w:ascii="Times New Roman" w:eastAsia="Times New Roman" w:hAnsi="Times New Roman"/>
          <w:sz w:val="24"/>
          <w:szCs w:val="24"/>
        </w:rPr>
      </w:pPr>
    </w:p>
    <w:p w14:paraId="18E79E53" w14:textId="6621DBD2" w:rsidR="00F326E5" w:rsidRPr="00E600C4" w:rsidRDefault="00F326E5" w:rsidP="00F326E5">
      <w:pPr>
        <w:ind w:left="720"/>
        <w:rPr>
          <w:rFonts w:ascii="Times New Roman" w:eastAsia="Times New Roman" w:hAnsi="Times New Roman"/>
          <w:sz w:val="24"/>
          <w:szCs w:val="24"/>
        </w:rPr>
      </w:pPr>
      <w:r w:rsidRPr="00E600C4">
        <w:rPr>
          <w:rFonts w:ascii="Times New Roman" w:eastAsia="Times New Roman" w:hAnsi="Times New Roman"/>
          <w:sz w:val="24"/>
          <w:szCs w:val="24"/>
        </w:rPr>
        <w:t>“We are unpersuaded by the Appellants’ argument that their termination was arbitrary because there was no CDA [the Agency] protocol requiring them to check the ‘premises hazard’ tab, they were never warned of a requirement to look at ‘premises hazards,’ and no other PSCOs had been fired for failure to access the tab. Even if clicking on the tab was discretionary, the Appellants were nevertheless required to gather and disseminate pertinent information, pertinent information was available to them, and they failed to access it. They were aware of this responsibility based on their two decades of experience, and they knew how to access the ‘premises hazard’ tab.  Moreover, there is no evidence that any other PSCO’s failure to open the tab resulted in the death of a first responder.”</w:t>
      </w:r>
      <w:r w:rsidR="00E600C4">
        <w:rPr>
          <w:rFonts w:ascii="Times New Roman" w:eastAsia="Times New Roman" w:hAnsi="Times New Roman"/>
          <w:sz w:val="24"/>
          <w:szCs w:val="24"/>
        </w:rPr>
        <w:t xml:space="preserve"> </w:t>
      </w:r>
      <w:hyperlink r:id="rId2739" w:history="1">
        <w:r w:rsidRPr="00E600C4">
          <w:rPr>
            <w:rStyle w:val="Hyperlink"/>
            <w:rFonts w:ascii="Times New Roman" w:hAnsi="Times New Roman"/>
            <w:sz w:val="24"/>
            <w:szCs w:val="24"/>
          </w:rPr>
          <w:t>http://media.ca11.uscourts.gov/opinions/unpub/files/201715398.pdf</w:t>
        </w:r>
      </w:hyperlink>
      <w:r w:rsidRPr="00E600C4">
        <w:rPr>
          <w:rFonts w:ascii="Times New Roman" w:eastAsia="Times New Roman" w:hAnsi="Times New Roman"/>
          <w:sz w:val="24"/>
          <w:szCs w:val="24"/>
        </w:rPr>
        <w:t xml:space="preserve"> </w:t>
      </w:r>
    </w:p>
    <w:p w14:paraId="08CF5695" w14:textId="77777777" w:rsidR="00E600C4" w:rsidRDefault="00F326E5" w:rsidP="00E600C4">
      <w:pPr>
        <w:pStyle w:val="Heading1"/>
        <w:rPr>
          <w:sz w:val="24"/>
          <w:szCs w:val="24"/>
        </w:rPr>
      </w:pPr>
      <w:r w:rsidRPr="00E600C4">
        <w:rPr>
          <w:sz w:val="24"/>
          <w:szCs w:val="24"/>
        </w:rPr>
        <w:t xml:space="preserve">Legal Lessons Learned:  Fire, EMS and Police must be warned of high hazard locations.  Please share this case with your 911 Dispatch </w:t>
      </w:r>
      <w:proofErr w:type="gramStart"/>
      <w:r w:rsidRPr="00E600C4">
        <w:rPr>
          <w:sz w:val="24"/>
          <w:szCs w:val="24"/>
        </w:rPr>
        <w:t>agency, and</w:t>
      </w:r>
      <w:proofErr w:type="gramEnd"/>
      <w:r w:rsidRPr="00E600C4">
        <w:rPr>
          <w:sz w:val="24"/>
          <w:szCs w:val="24"/>
        </w:rPr>
        <w:t xml:space="preserve"> confirm they have a protocol in </w:t>
      </w:r>
      <w:proofErr w:type="gramStart"/>
      <w:r w:rsidRPr="00E600C4">
        <w:rPr>
          <w:sz w:val="24"/>
          <w:szCs w:val="24"/>
        </w:rPr>
        <w:t>place</w:t>
      </w:r>
      <w:proofErr w:type="gramEnd"/>
      <w:r w:rsidRPr="00E600C4">
        <w:rPr>
          <w:sz w:val="24"/>
          <w:szCs w:val="24"/>
        </w:rPr>
        <w:t xml:space="preserve"> and it is followed 100% of time.  </w:t>
      </w:r>
      <w:bookmarkEnd w:id="618"/>
    </w:p>
    <w:p w14:paraId="2277836F" w14:textId="26F10EBE" w:rsidR="00F326E5" w:rsidRPr="00E600C4" w:rsidRDefault="00F326E5" w:rsidP="00E600C4">
      <w:pPr>
        <w:pStyle w:val="Heading1"/>
        <w:ind w:left="720"/>
        <w:rPr>
          <w:b w:val="0"/>
          <w:bCs w:val="0"/>
          <w:sz w:val="24"/>
          <w:szCs w:val="24"/>
        </w:rPr>
      </w:pPr>
      <w:r w:rsidRPr="00E600C4">
        <w:rPr>
          <w:b w:val="0"/>
          <w:bCs w:val="0"/>
          <w:sz w:val="24"/>
          <w:szCs w:val="24"/>
        </w:rPr>
        <w:t xml:space="preserve">See news report and TV video of this terrible scene: “Police identify gunman, Florida deputy killed in shootout” - </w:t>
      </w:r>
      <w:hyperlink r:id="rId2740" w:history="1">
        <w:r w:rsidRPr="00E600C4">
          <w:rPr>
            <w:rStyle w:val="Hyperlink"/>
            <w:b w:val="0"/>
            <w:bCs w:val="0"/>
            <w:sz w:val="24"/>
            <w:szCs w:val="24"/>
          </w:rPr>
          <w:t>https://www.usatoday.com/story/news/nation/2014/11/23/florida-deputy-ambush-killed-identified/19446091/</w:t>
        </w:r>
      </w:hyperlink>
    </w:p>
    <w:p w14:paraId="5DF9ED8C" w14:textId="77777777" w:rsidR="00F326E5" w:rsidRPr="00B66B0C" w:rsidRDefault="00F326E5" w:rsidP="00F326E5">
      <w:pPr>
        <w:ind w:left="720"/>
        <w:rPr>
          <w:rFonts w:eastAsia="Times New Roman"/>
          <w:b/>
          <w:sz w:val="24"/>
          <w:szCs w:val="24"/>
        </w:rPr>
      </w:pPr>
    </w:p>
    <w:p w14:paraId="2A331137" w14:textId="13C32D8E" w:rsidR="000C4DF5" w:rsidRDefault="000C4DF5" w:rsidP="000C4DF5">
      <w:pPr>
        <w:pStyle w:val="NoSpacing"/>
        <w:rPr>
          <w:rFonts w:ascii="Arial Black" w:hAnsi="Arial Black"/>
          <w:sz w:val="24"/>
          <w:szCs w:val="24"/>
        </w:rPr>
      </w:pPr>
      <w:bookmarkStart w:id="619" w:name="_Hlk80769557"/>
      <w:r>
        <w:rPr>
          <w:rFonts w:ascii="Arial Black" w:hAnsi="Arial Black"/>
          <w:sz w:val="24"/>
          <w:szCs w:val="24"/>
        </w:rPr>
        <w:t>16-7</w:t>
      </w:r>
    </w:p>
    <w:p w14:paraId="581B04DA" w14:textId="77777777" w:rsidR="00F326E5" w:rsidRDefault="00F326E5" w:rsidP="00F326E5">
      <w:pPr>
        <w:pStyle w:val="NoSpacing"/>
        <w:rPr>
          <w:rFonts w:ascii="Arial Black" w:hAnsi="Arial Black"/>
          <w:b/>
          <w:sz w:val="24"/>
          <w:szCs w:val="24"/>
        </w:rPr>
      </w:pPr>
    </w:p>
    <w:p w14:paraId="1F95F5BD" w14:textId="47B23E36" w:rsidR="00F326E5" w:rsidRPr="00270075" w:rsidRDefault="00F326E5" w:rsidP="00F326E5">
      <w:pPr>
        <w:rPr>
          <w:b/>
          <w:sz w:val="24"/>
          <w:szCs w:val="24"/>
        </w:rPr>
      </w:pPr>
      <w:bookmarkStart w:id="620" w:name="_Hlk7349211"/>
      <w:r w:rsidRPr="00F707DC">
        <w:rPr>
          <w:rFonts w:ascii="Arial Black" w:hAnsi="Arial Black"/>
          <w:sz w:val="28"/>
          <w:szCs w:val="28"/>
        </w:rPr>
        <w:t>PA:  DOT E</w:t>
      </w:r>
      <w:r>
        <w:rPr>
          <w:rFonts w:ascii="Arial Black" w:hAnsi="Arial Black"/>
          <w:sz w:val="28"/>
          <w:szCs w:val="28"/>
        </w:rPr>
        <w:t xml:space="preserve">MPLOYEE FIRED FOR </w:t>
      </w:r>
      <w:r w:rsidRPr="00F707DC">
        <w:rPr>
          <w:rFonts w:ascii="Arial Black" w:hAnsi="Arial Black"/>
          <w:sz w:val="28"/>
          <w:szCs w:val="28"/>
        </w:rPr>
        <w:t>FACEBOOK P</w:t>
      </w:r>
      <w:r>
        <w:rPr>
          <w:rFonts w:ascii="Arial Black" w:hAnsi="Arial Black"/>
          <w:sz w:val="28"/>
          <w:szCs w:val="28"/>
        </w:rPr>
        <w:t xml:space="preserve">OSTS ON BAD SCHOOL BUS DRIVERS – REINSTATED </w:t>
      </w:r>
      <w:r w:rsidRPr="00270075">
        <w:rPr>
          <w:b/>
          <w:sz w:val="24"/>
          <w:szCs w:val="24"/>
        </w:rPr>
        <w:t>[also filed, Chap. 1]</w:t>
      </w:r>
    </w:p>
    <w:p w14:paraId="570125A1" w14:textId="77777777" w:rsidR="00F326E5" w:rsidRP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June 12, 2018, in </w:t>
      </w:r>
      <w:r w:rsidRPr="00E600C4">
        <w:rPr>
          <w:rFonts w:ascii="Times New Roman" w:hAnsi="Times New Roman"/>
          <w:sz w:val="24"/>
          <w:szCs w:val="24"/>
          <w:u w:val="single"/>
        </w:rPr>
        <w:t>Rachel L. Carr v. Commonwealth of Pennsylvania / Department of Transportation and Civil Service Commission</w:t>
      </w:r>
      <w:r w:rsidRPr="00E600C4">
        <w:rPr>
          <w:rFonts w:ascii="Times New Roman" w:hAnsi="Times New Roman"/>
          <w:sz w:val="24"/>
          <w:szCs w:val="24"/>
        </w:rPr>
        <w:t>, the Commonwealth Court of Pennsylvania held (3 to 0) that the employee’s FACEBOOK posts about local school bus drivers were “inappropriate” but were protected since it “touched on a matter of public concern.” The Court wrote: “After a thorough review of the record and a conscientious analysis of the factors articulated by the United States Supreme Court, we conclude that the Department’s generalized interest in the safety of the traveling public does not outweigh Carr’s specific interest in commenting on the safety of a particular bus driver. While Carr’s comments are undoubtedly inappropriate, such comments still receive protection under the First Amendment.”</w:t>
      </w:r>
    </w:p>
    <w:p w14:paraId="620D86C0" w14:textId="77777777" w:rsidR="00F326E5" w:rsidRPr="00E600C4" w:rsidRDefault="00F326E5" w:rsidP="00F326E5">
      <w:pPr>
        <w:pStyle w:val="NoSpacing"/>
        <w:rPr>
          <w:rFonts w:ascii="Times New Roman" w:hAnsi="Times New Roman"/>
          <w:sz w:val="24"/>
          <w:szCs w:val="24"/>
        </w:rPr>
      </w:pPr>
      <w:hyperlink r:id="rId2741" w:history="1">
        <w:r w:rsidRPr="00E600C4">
          <w:rPr>
            <w:rStyle w:val="Hyperlink"/>
            <w:rFonts w:ascii="Times New Roman" w:hAnsi="Times New Roman"/>
            <w:sz w:val="24"/>
            <w:szCs w:val="24"/>
          </w:rPr>
          <w:t>http://www.pacourts.us/assets/opinions/Commonwealth/out/380md17_6-12-18.pdf</w:t>
        </w:r>
      </w:hyperlink>
      <w:r w:rsidRPr="00E600C4">
        <w:rPr>
          <w:rFonts w:ascii="Times New Roman" w:hAnsi="Times New Roman"/>
          <w:sz w:val="24"/>
          <w:szCs w:val="24"/>
        </w:rPr>
        <w:t xml:space="preserve"> </w:t>
      </w:r>
    </w:p>
    <w:p w14:paraId="07115E3B" w14:textId="77777777" w:rsidR="00E600C4" w:rsidRDefault="00E600C4" w:rsidP="00F326E5">
      <w:pPr>
        <w:pStyle w:val="NoSpacing"/>
        <w:rPr>
          <w:rFonts w:ascii="Times New Roman" w:hAnsi="Times New Roman"/>
          <w:b/>
          <w:sz w:val="24"/>
          <w:szCs w:val="24"/>
        </w:rPr>
      </w:pPr>
    </w:p>
    <w:p w14:paraId="3BF757DB" w14:textId="5845C131" w:rsidR="00F326E5" w:rsidRPr="00E600C4" w:rsidRDefault="00F326E5" w:rsidP="00F326E5">
      <w:pPr>
        <w:pStyle w:val="NoSpacing"/>
        <w:rPr>
          <w:rFonts w:ascii="Times New Roman" w:hAnsi="Times New Roman"/>
          <w:b/>
          <w:sz w:val="24"/>
          <w:szCs w:val="24"/>
        </w:rPr>
      </w:pPr>
      <w:r w:rsidRPr="00E600C4">
        <w:rPr>
          <w:rFonts w:ascii="Times New Roman" w:hAnsi="Times New Roman"/>
          <w:b/>
          <w:sz w:val="24"/>
          <w:szCs w:val="24"/>
        </w:rPr>
        <w:t xml:space="preserve">Legal Lessons Learned:  Fire &amp; EMS Departments should have a </w:t>
      </w:r>
      <w:proofErr w:type="gramStart"/>
      <w:r w:rsidRPr="00E600C4">
        <w:rPr>
          <w:rFonts w:ascii="Times New Roman" w:hAnsi="Times New Roman"/>
          <w:b/>
          <w:sz w:val="24"/>
          <w:szCs w:val="24"/>
        </w:rPr>
        <w:t>Social Media Policy</w:t>
      </w:r>
      <w:proofErr w:type="gramEnd"/>
      <w:r w:rsidRPr="00E600C4">
        <w:rPr>
          <w:rFonts w:ascii="Times New Roman" w:hAnsi="Times New Roman"/>
          <w:b/>
          <w:sz w:val="24"/>
          <w:szCs w:val="24"/>
        </w:rPr>
        <w:t xml:space="preserve"> that clearly advises personnel that their “Free Speech rights” are limited when discussing FD internal matters. </w:t>
      </w:r>
    </w:p>
    <w:p w14:paraId="1AF239D0" w14:textId="77777777" w:rsidR="00F326E5" w:rsidRP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 </w:t>
      </w:r>
    </w:p>
    <w:bookmarkEnd w:id="619"/>
    <w:bookmarkEnd w:id="620"/>
    <w:p w14:paraId="6EFE3B3A" w14:textId="77777777" w:rsidR="000C4DF5" w:rsidRDefault="000C4DF5" w:rsidP="000C4DF5">
      <w:pPr>
        <w:pStyle w:val="NoSpacing"/>
        <w:rPr>
          <w:rFonts w:ascii="Arial Black" w:hAnsi="Arial Black"/>
          <w:sz w:val="24"/>
          <w:szCs w:val="24"/>
        </w:rPr>
      </w:pPr>
    </w:p>
    <w:p w14:paraId="4EE43A7D" w14:textId="18E6F2D3" w:rsidR="00A50C92" w:rsidRDefault="000C4DF5" w:rsidP="000C4DF5">
      <w:pPr>
        <w:pStyle w:val="NoSpacing"/>
        <w:rPr>
          <w:sz w:val="24"/>
          <w:szCs w:val="24"/>
          <w:lang w:val="en"/>
        </w:rPr>
      </w:pPr>
      <w:r>
        <w:rPr>
          <w:rFonts w:ascii="Arial Black" w:hAnsi="Arial Black"/>
          <w:sz w:val="24"/>
          <w:szCs w:val="24"/>
        </w:rPr>
        <w:t>16-6</w:t>
      </w:r>
    </w:p>
    <w:p w14:paraId="59A09E74" w14:textId="1C097549" w:rsidR="00F326E5" w:rsidRPr="00F707DC" w:rsidRDefault="00F326E5" w:rsidP="00F326E5">
      <w:pPr>
        <w:spacing w:before="100" w:beforeAutospacing="1" w:after="100" w:afterAutospacing="1"/>
        <w:outlineLvl w:val="0"/>
        <w:rPr>
          <w:sz w:val="28"/>
          <w:szCs w:val="28"/>
        </w:rPr>
      </w:pPr>
      <w:bookmarkStart w:id="621" w:name="_Hlk7349280"/>
      <w:r w:rsidRPr="00F707DC">
        <w:rPr>
          <w:rFonts w:ascii="Arial Black" w:hAnsi="Arial Black"/>
          <w:sz w:val="28"/>
          <w:szCs w:val="28"/>
        </w:rPr>
        <w:t xml:space="preserve">TX: CAPTAIN SUPENDED FOR NOT SUBMITTING DOCTOR’S REPORT </w:t>
      </w:r>
      <w:r w:rsidR="00A50C92">
        <w:rPr>
          <w:rFonts w:ascii="Arial Black" w:hAnsi="Arial Black"/>
          <w:sz w:val="28"/>
          <w:szCs w:val="28"/>
        </w:rPr>
        <w:t>–</w:t>
      </w:r>
      <w:r w:rsidRPr="00F707DC">
        <w:rPr>
          <w:rFonts w:ascii="Arial Black" w:hAnsi="Arial Black"/>
          <w:sz w:val="28"/>
          <w:szCs w:val="28"/>
        </w:rPr>
        <w:t xml:space="preserve"> </w:t>
      </w:r>
      <w:r w:rsidR="00A50C92">
        <w:rPr>
          <w:rFonts w:ascii="Arial Black" w:hAnsi="Arial Black"/>
          <w:sz w:val="28"/>
          <w:szCs w:val="28"/>
        </w:rPr>
        <w:t xml:space="preserve">REVERSED, </w:t>
      </w:r>
      <w:r w:rsidRPr="00F707DC">
        <w:rPr>
          <w:rFonts w:ascii="Arial Black" w:hAnsi="Arial Black"/>
          <w:sz w:val="28"/>
          <w:szCs w:val="28"/>
        </w:rPr>
        <w:t xml:space="preserve">FD FAILED TO DISCIPLINE </w:t>
      </w:r>
      <w:r>
        <w:rPr>
          <w:rFonts w:ascii="Arial Black" w:hAnsi="Arial Black"/>
          <w:sz w:val="28"/>
          <w:szCs w:val="28"/>
        </w:rPr>
        <w:t xml:space="preserve">IN </w:t>
      </w:r>
      <w:r w:rsidRPr="00F707DC">
        <w:rPr>
          <w:rFonts w:ascii="Arial Black" w:hAnsi="Arial Black"/>
          <w:sz w:val="28"/>
          <w:szCs w:val="28"/>
        </w:rPr>
        <w:t>180 DAYS</w:t>
      </w:r>
      <w:r w:rsidRPr="00F707DC">
        <w:rPr>
          <w:sz w:val="28"/>
          <w:szCs w:val="28"/>
        </w:rPr>
        <w:t xml:space="preserve"> </w:t>
      </w:r>
    </w:p>
    <w:p w14:paraId="01EBA355" w14:textId="77777777" w:rsidR="00F326E5" w:rsidRPr="00E600C4" w:rsidRDefault="00F326E5" w:rsidP="00F326E5">
      <w:pPr>
        <w:spacing w:before="100" w:beforeAutospacing="1" w:after="100" w:afterAutospacing="1"/>
        <w:outlineLvl w:val="0"/>
        <w:rPr>
          <w:rFonts w:ascii="Times New Roman" w:eastAsia="Times New Roman" w:hAnsi="Times New Roman"/>
          <w:sz w:val="24"/>
          <w:szCs w:val="24"/>
        </w:rPr>
      </w:pPr>
      <w:r w:rsidRPr="00E600C4">
        <w:rPr>
          <w:rFonts w:ascii="Times New Roman" w:hAnsi="Times New Roman"/>
          <w:sz w:val="24"/>
          <w:szCs w:val="24"/>
        </w:rPr>
        <w:t xml:space="preserve">On April 17, 2018, in </w:t>
      </w:r>
      <w:r w:rsidRPr="00E600C4">
        <w:rPr>
          <w:rFonts w:ascii="Times New Roman" w:hAnsi="Times New Roman"/>
          <w:sz w:val="24"/>
          <w:szCs w:val="24"/>
          <w:u w:val="single"/>
        </w:rPr>
        <w:t>Steven Dunbar v. City of Houston</w:t>
      </w:r>
      <w:r w:rsidRPr="00E600C4">
        <w:rPr>
          <w:rFonts w:ascii="Times New Roman" w:hAnsi="Times New Roman"/>
          <w:sz w:val="24"/>
          <w:szCs w:val="24"/>
        </w:rPr>
        <w:t xml:space="preserve">, the State of Texas in the Fourteenth Court of Appeals, held that the </w:t>
      </w:r>
      <w:proofErr w:type="gramStart"/>
      <w:r w:rsidRPr="00E600C4">
        <w:rPr>
          <w:rFonts w:ascii="Times New Roman" w:hAnsi="Times New Roman"/>
          <w:sz w:val="24"/>
          <w:szCs w:val="24"/>
        </w:rPr>
        <w:t>Captain’s</w:t>
      </w:r>
      <w:proofErr w:type="gramEnd"/>
      <w:r w:rsidRPr="00E600C4">
        <w:rPr>
          <w:rFonts w:ascii="Times New Roman" w:hAnsi="Times New Roman"/>
          <w:sz w:val="24"/>
          <w:szCs w:val="24"/>
        </w:rPr>
        <w:t xml:space="preserve"> 10-day suspension is reversed.  The “</w:t>
      </w:r>
      <w:r w:rsidRPr="00E600C4">
        <w:rPr>
          <w:rFonts w:ascii="Times New Roman" w:eastAsia="Times New Roman" w:hAnsi="Times New Roman"/>
          <w:sz w:val="24"/>
          <w:szCs w:val="24"/>
        </w:rPr>
        <w:t xml:space="preserve">Department was aware of the violation not later than August 2014, and thus, his suspension more than 180 days later is void.” </w:t>
      </w:r>
      <w:hyperlink r:id="rId2742" w:history="1">
        <w:r w:rsidRPr="00E600C4">
          <w:rPr>
            <w:rStyle w:val="Hyperlink"/>
            <w:rFonts w:ascii="Times New Roman" w:hAnsi="Times New Roman"/>
            <w:sz w:val="24"/>
            <w:szCs w:val="24"/>
          </w:rPr>
          <w:t>https://cases.justia.com/texas/fourteenth-court-of-appeals/2018-14-17-00156-cv.pdf?ts=1523970132</w:t>
        </w:r>
      </w:hyperlink>
      <w:r w:rsidRPr="00E600C4">
        <w:rPr>
          <w:rFonts w:ascii="Times New Roman" w:eastAsia="Times New Roman" w:hAnsi="Times New Roman"/>
          <w:sz w:val="24"/>
          <w:szCs w:val="24"/>
        </w:rPr>
        <w:t xml:space="preserve"> </w:t>
      </w:r>
    </w:p>
    <w:p w14:paraId="47E5A987" w14:textId="77777777" w:rsidR="00F326E5" w:rsidRPr="00E600C4" w:rsidRDefault="00F326E5" w:rsidP="00F326E5">
      <w:pPr>
        <w:rPr>
          <w:rFonts w:ascii="Times New Roman" w:eastAsia="Times New Roman" w:hAnsi="Times New Roman"/>
          <w:b/>
          <w:sz w:val="24"/>
          <w:szCs w:val="24"/>
        </w:rPr>
      </w:pPr>
      <w:r w:rsidRPr="00E600C4">
        <w:rPr>
          <w:rFonts w:ascii="Times New Roman" w:eastAsia="Times New Roman" w:hAnsi="Times New Roman"/>
          <w:b/>
          <w:sz w:val="24"/>
          <w:szCs w:val="24"/>
        </w:rPr>
        <w:t>Legal Lessons Learned:  Texas statute requiring discipline within 180 days must be strictly followed; the clock begins to run when the department FIRST becomes aware of the violation.</w:t>
      </w:r>
    </w:p>
    <w:bookmarkEnd w:id="621"/>
    <w:p w14:paraId="50A57BFB" w14:textId="77777777" w:rsidR="00F326E5" w:rsidRPr="00E600C4" w:rsidRDefault="00F326E5" w:rsidP="00F326E5">
      <w:pPr>
        <w:ind w:left="720"/>
        <w:rPr>
          <w:rFonts w:ascii="Times New Roman" w:eastAsia="Times New Roman" w:hAnsi="Times New Roman"/>
          <w:sz w:val="24"/>
          <w:szCs w:val="24"/>
        </w:rPr>
      </w:pPr>
    </w:p>
    <w:p w14:paraId="77923827" w14:textId="77777777" w:rsidR="00F326E5" w:rsidRDefault="00F326E5" w:rsidP="00F326E5">
      <w:pPr>
        <w:ind w:left="720"/>
        <w:rPr>
          <w:rFonts w:eastAsia="Times New Roman"/>
          <w:sz w:val="24"/>
          <w:szCs w:val="24"/>
        </w:rPr>
      </w:pPr>
    </w:p>
    <w:p w14:paraId="496FEAB8" w14:textId="160C5FD0" w:rsidR="000C4DF5" w:rsidRDefault="000C4DF5" w:rsidP="00F326E5">
      <w:pPr>
        <w:pStyle w:val="NoSpacing"/>
        <w:rPr>
          <w:rFonts w:ascii="Arial Black" w:hAnsi="Arial Black"/>
          <w:b/>
          <w:sz w:val="28"/>
          <w:szCs w:val="28"/>
        </w:rPr>
      </w:pPr>
      <w:bookmarkStart w:id="622" w:name="_Hlk7349318"/>
      <w:r>
        <w:rPr>
          <w:rFonts w:ascii="Arial Black" w:hAnsi="Arial Black"/>
          <w:sz w:val="24"/>
          <w:szCs w:val="24"/>
        </w:rPr>
        <w:t>16-5</w:t>
      </w:r>
    </w:p>
    <w:p w14:paraId="5670CD67" w14:textId="77777777" w:rsidR="000C4DF5" w:rsidRDefault="000C4DF5" w:rsidP="00F326E5">
      <w:pPr>
        <w:pStyle w:val="NoSpacing"/>
        <w:rPr>
          <w:rFonts w:ascii="Arial Black" w:hAnsi="Arial Black"/>
          <w:b/>
          <w:sz w:val="28"/>
          <w:szCs w:val="28"/>
        </w:rPr>
      </w:pPr>
    </w:p>
    <w:p w14:paraId="3F81268E" w14:textId="658C67A3" w:rsidR="00F326E5" w:rsidRDefault="00F326E5" w:rsidP="00F326E5">
      <w:pPr>
        <w:pStyle w:val="NoSpacing"/>
        <w:rPr>
          <w:b/>
          <w:sz w:val="24"/>
          <w:szCs w:val="24"/>
        </w:rPr>
      </w:pPr>
      <w:r w:rsidRPr="005E290F">
        <w:rPr>
          <w:rFonts w:ascii="Arial Black" w:hAnsi="Arial Black"/>
          <w:b/>
          <w:sz w:val="28"/>
          <w:szCs w:val="28"/>
        </w:rPr>
        <w:t xml:space="preserve">TN: FIREFIGHTER </w:t>
      </w:r>
      <w:r>
        <w:rPr>
          <w:rFonts w:ascii="Arial Black" w:hAnsi="Arial Black"/>
          <w:b/>
          <w:sz w:val="28"/>
          <w:szCs w:val="28"/>
        </w:rPr>
        <w:t xml:space="preserve">FIRED FOR </w:t>
      </w:r>
      <w:r w:rsidRPr="005E290F">
        <w:rPr>
          <w:rFonts w:ascii="Arial Black" w:hAnsi="Arial Black"/>
          <w:b/>
          <w:sz w:val="28"/>
          <w:szCs w:val="28"/>
        </w:rPr>
        <w:t>MA</w:t>
      </w:r>
      <w:r>
        <w:rPr>
          <w:rFonts w:ascii="Arial Black" w:hAnsi="Arial Black"/>
          <w:b/>
          <w:sz w:val="28"/>
          <w:szCs w:val="28"/>
        </w:rPr>
        <w:t>KING</w:t>
      </w:r>
      <w:r w:rsidRPr="005E290F">
        <w:rPr>
          <w:rFonts w:ascii="Arial Black" w:hAnsi="Arial Black"/>
          <w:b/>
          <w:sz w:val="28"/>
          <w:szCs w:val="28"/>
        </w:rPr>
        <w:t xml:space="preserve"> SEXUALLY HARASSING PHONE CALLS ON DUTY</w:t>
      </w:r>
      <w:r>
        <w:rPr>
          <w:rFonts w:ascii="Arial Black" w:hAnsi="Arial Black"/>
          <w:b/>
          <w:sz w:val="28"/>
          <w:szCs w:val="28"/>
        </w:rPr>
        <w:t xml:space="preserve"> – NO RETALIATION</w:t>
      </w:r>
    </w:p>
    <w:p w14:paraId="014BF7F3" w14:textId="77777777" w:rsid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March 23, 2018, in </w:t>
      </w:r>
      <w:r w:rsidRPr="00E600C4">
        <w:rPr>
          <w:rFonts w:ascii="Times New Roman" w:hAnsi="Times New Roman"/>
          <w:sz w:val="24"/>
          <w:szCs w:val="24"/>
          <w:u w:val="single"/>
        </w:rPr>
        <w:t>Joseph Sweat v. City of McMinnville</w:t>
      </w:r>
      <w:r w:rsidRPr="00E600C4">
        <w:rPr>
          <w:rFonts w:ascii="Times New Roman" w:hAnsi="Times New Roman"/>
          <w:sz w:val="24"/>
          <w:szCs w:val="24"/>
        </w:rPr>
        <w:t xml:space="preserve">, the Court of Appeals of Tennessee </w:t>
      </w:r>
      <w:proofErr w:type="gramStart"/>
      <w:r w:rsidRPr="00E600C4">
        <w:rPr>
          <w:rFonts w:ascii="Times New Roman" w:hAnsi="Times New Roman"/>
          <w:sz w:val="24"/>
          <w:szCs w:val="24"/>
        </w:rPr>
        <w:t>At</w:t>
      </w:r>
      <w:proofErr w:type="gramEnd"/>
      <w:r w:rsidRPr="00E600C4">
        <w:rPr>
          <w:rFonts w:ascii="Times New Roman" w:hAnsi="Times New Roman"/>
          <w:sz w:val="24"/>
          <w:szCs w:val="24"/>
        </w:rPr>
        <w:t xml:space="preserve"> Nashville, held (3 to 0) that the trial court properly dismissed the firefighter’s lawsuit, since he was unable to prove that the City’s proffered reasons for the discharge was pretextual, including: </w:t>
      </w:r>
    </w:p>
    <w:p w14:paraId="28B6DCA4" w14:textId="77777777" w:rsidR="00E600C4" w:rsidRDefault="00E600C4" w:rsidP="00F326E5">
      <w:pPr>
        <w:pStyle w:val="NoSpacing"/>
        <w:rPr>
          <w:rFonts w:ascii="Times New Roman" w:hAnsi="Times New Roman"/>
          <w:sz w:val="24"/>
          <w:szCs w:val="24"/>
        </w:rPr>
      </w:pPr>
    </w:p>
    <w:p w14:paraId="58B0EF20" w14:textId="741DB683" w:rsidR="00F326E5" w:rsidRPr="00E600C4" w:rsidRDefault="00F326E5" w:rsidP="00E600C4">
      <w:pPr>
        <w:pStyle w:val="NoSpacing"/>
        <w:ind w:left="720"/>
        <w:rPr>
          <w:rStyle w:val="Hyperlink"/>
          <w:rFonts w:ascii="Times New Roman" w:hAnsi="Times New Roman"/>
          <w:sz w:val="24"/>
          <w:szCs w:val="24"/>
        </w:rPr>
      </w:pPr>
      <w:r w:rsidRPr="00E600C4">
        <w:rPr>
          <w:rFonts w:ascii="Times New Roman" w:hAnsi="Times New Roman"/>
          <w:sz w:val="24"/>
          <w:szCs w:val="24"/>
        </w:rPr>
        <w:t xml:space="preserve">“Although Plaintiff never acknowledged that he made sexually harassing phone calls, he admitted in his deposition that at one time, firefighters kept a ‘list on the desk of the fire station’ containing the names of single women that they had gotten off the internet, and that he called one of these women ‘to talk.’” </w:t>
      </w:r>
      <w:hyperlink r:id="rId2743" w:history="1">
        <w:r w:rsidRPr="00E600C4">
          <w:rPr>
            <w:rStyle w:val="Hyperlink"/>
            <w:rFonts w:ascii="Times New Roman" w:hAnsi="Times New Roman"/>
            <w:sz w:val="24"/>
            <w:szCs w:val="24"/>
          </w:rPr>
          <w:t>file:///C:/Users/lawre/AppData/Local/Microsoft/Windows/INetCache/IE/7HZ56W7X/sweat.joseph.opn_.pdf</w:t>
        </w:r>
      </w:hyperlink>
    </w:p>
    <w:p w14:paraId="21C570D7" w14:textId="77777777" w:rsidR="00E600C4" w:rsidRDefault="00E600C4" w:rsidP="00F326E5">
      <w:pPr>
        <w:rPr>
          <w:rFonts w:ascii="Times New Roman" w:hAnsi="Times New Roman"/>
          <w:b/>
          <w:sz w:val="24"/>
          <w:szCs w:val="24"/>
        </w:rPr>
      </w:pPr>
    </w:p>
    <w:p w14:paraId="16D27ACA" w14:textId="6EA94C0E" w:rsidR="00F326E5" w:rsidRPr="00E600C4" w:rsidRDefault="00E600C4" w:rsidP="00F326E5">
      <w:pPr>
        <w:rPr>
          <w:rFonts w:ascii="Times New Roman" w:hAnsi="Times New Roman"/>
          <w:b/>
          <w:sz w:val="24"/>
          <w:szCs w:val="24"/>
        </w:rPr>
      </w:pPr>
      <w:r>
        <w:rPr>
          <w:rFonts w:ascii="Times New Roman" w:hAnsi="Times New Roman"/>
          <w:b/>
          <w:sz w:val="24"/>
          <w:szCs w:val="24"/>
        </w:rPr>
        <w:t xml:space="preserve">Legal Lessons Learned: </w:t>
      </w:r>
      <w:r w:rsidR="00F326E5" w:rsidRPr="00E600C4">
        <w:rPr>
          <w:rFonts w:ascii="Times New Roman" w:hAnsi="Times New Roman"/>
          <w:b/>
          <w:sz w:val="24"/>
          <w:szCs w:val="24"/>
        </w:rPr>
        <w:t xml:space="preserve">FD may impose discipline, even if the firefighter is one of the 27 firefighters who signed </w:t>
      </w:r>
      <w:proofErr w:type="gramStart"/>
      <w:r w:rsidR="00F326E5" w:rsidRPr="00E600C4">
        <w:rPr>
          <w:rFonts w:ascii="Times New Roman" w:hAnsi="Times New Roman"/>
          <w:b/>
          <w:sz w:val="24"/>
          <w:szCs w:val="24"/>
        </w:rPr>
        <w:t>memo</w:t>
      </w:r>
      <w:proofErr w:type="gramEnd"/>
      <w:r w:rsidR="00F326E5" w:rsidRPr="00E600C4">
        <w:rPr>
          <w:rFonts w:ascii="Times New Roman" w:hAnsi="Times New Roman"/>
          <w:b/>
          <w:sz w:val="24"/>
          <w:szCs w:val="24"/>
        </w:rPr>
        <w:t xml:space="preserve"> about safety issues.</w:t>
      </w:r>
    </w:p>
    <w:p w14:paraId="23BD5AE5" w14:textId="77777777" w:rsidR="00F326E5" w:rsidRDefault="00F326E5" w:rsidP="00F326E5">
      <w:pPr>
        <w:ind w:left="720"/>
        <w:rPr>
          <w:rFonts w:eastAsia="Times New Roman"/>
          <w:sz w:val="24"/>
          <w:szCs w:val="24"/>
        </w:rPr>
      </w:pPr>
    </w:p>
    <w:p w14:paraId="4138CADE" w14:textId="77777777" w:rsidR="00E600C4" w:rsidRDefault="00E600C4" w:rsidP="000C4DF5">
      <w:pPr>
        <w:pStyle w:val="NoSpacing"/>
        <w:rPr>
          <w:rFonts w:ascii="Arial Black" w:hAnsi="Arial Black"/>
          <w:sz w:val="24"/>
          <w:szCs w:val="24"/>
        </w:rPr>
      </w:pPr>
    </w:p>
    <w:p w14:paraId="2DE477E0" w14:textId="77777777" w:rsidR="00E600C4" w:rsidRDefault="00E600C4" w:rsidP="000C4DF5">
      <w:pPr>
        <w:pStyle w:val="NoSpacing"/>
        <w:rPr>
          <w:rFonts w:ascii="Arial Black" w:hAnsi="Arial Black"/>
          <w:sz w:val="24"/>
          <w:szCs w:val="24"/>
        </w:rPr>
      </w:pPr>
    </w:p>
    <w:p w14:paraId="3254CFEB" w14:textId="3ACB8CC7" w:rsidR="00F326E5" w:rsidRDefault="000C4DF5" w:rsidP="000C4DF5">
      <w:pPr>
        <w:pStyle w:val="NoSpacing"/>
        <w:rPr>
          <w:rFonts w:ascii="Arial Black" w:hAnsi="Arial Black"/>
          <w:sz w:val="24"/>
          <w:szCs w:val="24"/>
        </w:rPr>
      </w:pPr>
      <w:r>
        <w:rPr>
          <w:rFonts w:ascii="Arial Black" w:hAnsi="Arial Black"/>
          <w:sz w:val="24"/>
          <w:szCs w:val="24"/>
        </w:rPr>
        <w:t>16-4</w:t>
      </w:r>
    </w:p>
    <w:p w14:paraId="0A269660" w14:textId="77777777" w:rsidR="000C4DF5" w:rsidRPr="000C4DF5" w:rsidRDefault="000C4DF5" w:rsidP="000C4DF5">
      <w:pPr>
        <w:pStyle w:val="NoSpacing"/>
        <w:rPr>
          <w:rFonts w:ascii="Arial Black" w:hAnsi="Arial Black"/>
          <w:sz w:val="24"/>
          <w:szCs w:val="24"/>
        </w:rPr>
      </w:pPr>
    </w:p>
    <w:p w14:paraId="7AB94435" w14:textId="41C5B9E8" w:rsidR="00F326E5" w:rsidRPr="00A50C92" w:rsidRDefault="00F326E5" w:rsidP="00F326E5">
      <w:pPr>
        <w:pStyle w:val="NoSpacing"/>
        <w:rPr>
          <w:rFonts w:ascii="Times New Roman" w:hAnsi="Times New Roman"/>
          <w:b/>
          <w:sz w:val="24"/>
          <w:szCs w:val="24"/>
        </w:rPr>
      </w:pPr>
      <w:bookmarkStart w:id="623" w:name="_Hlk515214458"/>
      <w:bookmarkStart w:id="624" w:name="_Hlk7349390"/>
      <w:bookmarkStart w:id="625" w:name="_Hlk7185851"/>
      <w:bookmarkEnd w:id="622"/>
      <w:r>
        <w:rPr>
          <w:rFonts w:ascii="Arial Black" w:hAnsi="Arial Black"/>
          <w:sz w:val="28"/>
          <w:szCs w:val="28"/>
        </w:rPr>
        <w:t xml:space="preserve">RI: FF VIDEOTAPED </w:t>
      </w:r>
      <w:proofErr w:type="gramStart"/>
      <w:r>
        <w:rPr>
          <w:rFonts w:ascii="Arial Black" w:hAnsi="Arial Black"/>
          <w:sz w:val="28"/>
          <w:szCs w:val="28"/>
        </w:rPr>
        <w:t>WEIGHT LIFTING</w:t>
      </w:r>
      <w:proofErr w:type="gramEnd"/>
      <w:r>
        <w:rPr>
          <w:rFonts w:ascii="Arial Black" w:hAnsi="Arial Black"/>
          <w:sz w:val="28"/>
          <w:szCs w:val="28"/>
        </w:rPr>
        <w:t xml:space="preserve"> – DISABILITY PENSION BENEFITS TERMINATED </w:t>
      </w:r>
      <w:r w:rsidR="00A50C92" w:rsidRPr="00A50C92">
        <w:rPr>
          <w:rFonts w:ascii="Times New Roman" w:hAnsi="Times New Roman"/>
          <w:sz w:val="24"/>
          <w:szCs w:val="24"/>
        </w:rPr>
        <w:t>[also filed, Chap. 6]</w:t>
      </w:r>
    </w:p>
    <w:p w14:paraId="307A9D4A" w14:textId="5663B4FA" w:rsidR="00F326E5" w:rsidRP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Feb. 21, 2018, in </w:t>
      </w:r>
      <w:r w:rsidRPr="00E600C4">
        <w:rPr>
          <w:rFonts w:ascii="Times New Roman" w:hAnsi="Times New Roman"/>
          <w:sz w:val="24"/>
          <w:szCs w:val="24"/>
          <w:u w:val="single"/>
        </w:rPr>
        <w:t>John Sauro v. James Lombardi</w:t>
      </w:r>
      <w:r w:rsidRPr="00E600C4">
        <w:rPr>
          <w:rFonts w:ascii="Times New Roman" w:hAnsi="Times New Roman"/>
          <w:sz w:val="24"/>
          <w:szCs w:val="24"/>
        </w:rPr>
        <w:t xml:space="preserve">, in his capacity as Treasurer of the City of Providence, et al., the State Supreme Court held, “we conclude that the decision of the trial justice declaring that the plaintiff’s pension benefits should be reinstated and he should be placed on a waiting list to resume active service was erroneous, overlooked material evidence, and was clearly wrong.” </w:t>
      </w:r>
      <w:hyperlink r:id="rId2744" w:history="1">
        <w:r w:rsidRPr="00E600C4">
          <w:rPr>
            <w:rStyle w:val="Hyperlink"/>
            <w:rFonts w:ascii="Times New Roman" w:hAnsi="Times New Roman"/>
            <w:sz w:val="24"/>
            <w:szCs w:val="24"/>
          </w:rPr>
          <w:t>file:///C:/Users/lawre/AppData/Local/Microsoft/Windows/INetCache/IE/7HZ56W7X/16-170.pdf</w:t>
        </w:r>
      </w:hyperlink>
      <w:r w:rsidRPr="00E600C4">
        <w:rPr>
          <w:rFonts w:ascii="Times New Roman" w:hAnsi="Times New Roman"/>
          <w:sz w:val="24"/>
          <w:szCs w:val="24"/>
        </w:rPr>
        <w:t xml:space="preserve"> </w:t>
      </w:r>
    </w:p>
    <w:bookmarkEnd w:id="623"/>
    <w:p w14:paraId="7E4F4870" w14:textId="77777777" w:rsidR="00E600C4" w:rsidRDefault="00E600C4" w:rsidP="00F326E5">
      <w:pPr>
        <w:pStyle w:val="NoSpacing"/>
        <w:rPr>
          <w:rFonts w:ascii="Times New Roman" w:hAnsi="Times New Roman"/>
          <w:b/>
          <w:sz w:val="24"/>
          <w:szCs w:val="24"/>
        </w:rPr>
      </w:pPr>
    </w:p>
    <w:p w14:paraId="6AF0F96B" w14:textId="18C951AE" w:rsidR="00F326E5" w:rsidRPr="00E600C4" w:rsidRDefault="00F326E5" w:rsidP="00F326E5">
      <w:pPr>
        <w:pStyle w:val="NoSpacing"/>
        <w:rPr>
          <w:rFonts w:ascii="Times New Roman" w:hAnsi="Times New Roman"/>
          <w:b/>
          <w:sz w:val="24"/>
          <w:szCs w:val="24"/>
        </w:rPr>
      </w:pPr>
      <w:r w:rsidRPr="00E600C4">
        <w:rPr>
          <w:rFonts w:ascii="Times New Roman" w:hAnsi="Times New Roman"/>
          <w:b/>
          <w:sz w:val="24"/>
          <w:szCs w:val="24"/>
        </w:rPr>
        <w:t xml:space="preserve">Legal Lessons Learned: Accidental disability pension benefits are for those with a continuing work-place injury; cases like this </w:t>
      </w:r>
      <w:proofErr w:type="gramStart"/>
      <w:r w:rsidRPr="00E600C4">
        <w:rPr>
          <w:rFonts w:ascii="Times New Roman" w:hAnsi="Times New Roman"/>
          <w:b/>
          <w:sz w:val="24"/>
          <w:szCs w:val="24"/>
        </w:rPr>
        <w:t>lead</w:t>
      </w:r>
      <w:proofErr w:type="gramEnd"/>
      <w:r w:rsidRPr="00E600C4">
        <w:rPr>
          <w:rFonts w:ascii="Times New Roman" w:hAnsi="Times New Roman"/>
          <w:b/>
          <w:sz w:val="24"/>
          <w:szCs w:val="24"/>
        </w:rPr>
        <w:t xml:space="preserve"> to public perception of pension fraud. </w:t>
      </w:r>
    </w:p>
    <w:p w14:paraId="4DADA5D9" w14:textId="77777777" w:rsidR="00E600C4" w:rsidRDefault="00E600C4" w:rsidP="00F326E5">
      <w:pPr>
        <w:pStyle w:val="NoSpacing"/>
        <w:ind w:left="720"/>
        <w:rPr>
          <w:rFonts w:ascii="Times New Roman" w:hAnsi="Times New Roman"/>
          <w:sz w:val="24"/>
          <w:szCs w:val="24"/>
        </w:rPr>
      </w:pPr>
    </w:p>
    <w:p w14:paraId="399D8066" w14:textId="429AF4C9" w:rsidR="00F326E5" w:rsidRPr="00E600C4" w:rsidRDefault="00F326E5" w:rsidP="00F326E5">
      <w:pPr>
        <w:pStyle w:val="NoSpacing"/>
        <w:ind w:left="720"/>
        <w:rPr>
          <w:rFonts w:ascii="Times New Roman" w:hAnsi="Times New Roman"/>
          <w:sz w:val="24"/>
          <w:szCs w:val="24"/>
        </w:rPr>
      </w:pPr>
      <w:r w:rsidRPr="00E600C4">
        <w:rPr>
          <w:rFonts w:ascii="Times New Roman" w:hAnsi="Times New Roman"/>
          <w:sz w:val="24"/>
          <w:szCs w:val="24"/>
        </w:rPr>
        <w:t xml:space="preserve">See TV story and undercover video of </w:t>
      </w:r>
      <w:proofErr w:type="gramStart"/>
      <w:r w:rsidRPr="00E600C4">
        <w:rPr>
          <w:rFonts w:ascii="Times New Roman" w:hAnsi="Times New Roman"/>
          <w:sz w:val="24"/>
          <w:szCs w:val="24"/>
        </w:rPr>
        <w:t>retiree</w:t>
      </w:r>
      <w:proofErr w:type="gramEnd"/>
      <w:r w:rsidRPr="00E600C4">
        <w:rPr>
          <w:rFonts w:ascii="Times New Roman" w:hAnsi="Times New Roman"/>
          <w:sz w:val="24"/>
          <w:szCs w:val="24"/>
        </w:rPr>
        <w:t xml:space="preserve"> lifting weights: </w:t>
      </w:r>
      <w:hyperlink r:id="rId2745" w:history="1">
        <w:r w:rsidRPr="00E600C4">
          <w:rPr>
            <w:rStyle w:val="Hyperlink"/>
            <w:rFonts w:ascii="Times New Roman" w:hAnsi="Times New Roman"/>
            <w:sz w:val="24"/>
            <w:szCs w:val="24"/>
          </w:rPr>
          <w:t>http://www.wpri.com/news/supreme-court-sides-with-providence-in-dispute-over-weightlifting-firefighters-disability-pension/1082484435</w:t>
        </w:r>
      </w:hyperlink>
      <w:bookmarkEnd w:id="624"/>
      <w:r w:rsidRPr="00E600C4">
        <w:rPr>
          <w:rFonts w:ascii="Times New Roman" w:hAnsi="Times New Roman"/>
          <w:sz w:val="24"/>
          <w:szCs w:val="24"/>
        </w:rPr>
        <w:t xml:space="preserve"> </w:t>
      </w:r>
    </w:p>
    <w:bookmarkEnd w:id="625"/>
    <w:p w14:paraId="6A538CB6" w14:textId="77777777" w:rsidR="00F326E5" w:rsidRPr="00E600C4" w:rsidRDefault="00F326E5" w:rsidP="00F326E5">
      <w:pPr>
        <w:ind w:left="720"/>
        <w:rPr>
          <w:rFonts w:ascii="Times New Roman" w:eastAsia="Times New Roman" w:hAnsi="Times New Roman"/>
          <w:sz w:val="24"/>
          <w:szCs w:val="24"/>
        </w:rPr>
      </w:pPr>
    </w:p>
    <w:p w14:paraId="224A2325" w14:textId="77777777" w:rsidR="00F326E5" w:rsidRDefault="00F326E5" w:rsidP="00F326E5">
      <w:pPr>
        <w:pStyle w:val="NoSpacing"/>
        <w:rPr>
          <w:sz w:val="24"/>
          <w:szCs w:val="24"/>
        </w:rPr>
      </w:pPr>
    </w:p>
    <w:p w14:paraId="7AD5997F" w14:textId="7FBF798F" w:rsidR="000C4DF5" w:rsidRDefault="000C4DF5" w:rsidP="000C4DF5">
      <w:pPr>
        <w:pStyle w:val="NoSpacing"/>
        <w:rPr>
          <w:rFonts w:ascii="Arial Black" w:hAnsi="Arial Black"/>
          <w:sz w:val="24"/>
          <w:szCs w:val="24"/>
        </w:rPr>
      </w:pPr>
      <w:bookmarkStart w:id="626" w:name="_Hlk7349425"/>
      <w:r>
        <w:rPr>
          <w:rFonts w:ascii="Arial Black" w:hAnsi="Arial Black"/>
          <w:sz w:val="24"/>
          <w:szCs w:val="24"/>
        </w:rPr>
        <w:t>16-3</w:t>
      </w:r>
    </w:p>
    <w:p w14:paraId="7DCE9FCE" w14:textId="77777777" w:rsidR="000C4DF5" w:rsidRDefault="000C4DF5" w:rsidP="00F326E5">
      <w:pPr>
        <w:pStyle w:val="NoSpacing"/>
        <w:rPr>
          <w:rFonts w:ascii="Arial Black" w:hAnsi="Arial Black"/>
          <w:b/>
          <w:sz w:val="28"/>
          <w:szCs w:val="28"/>
        </w:rPr>
      </w:pPr>
    </w:p>
    <w:p w14:paraId="1133140B" w14:textId="027FD9AE" w:rsidR="00F326E5" w:rsidRDefault="00F326E5" w:rsidP="00F326E5">
      <w:pPr>
        <w:pStyle w:val="NoSpacing"/>
        <w:rPr>
          <w:rFonts w:ascii="Arial Black" w:hAnsi="Arial Black"/>
          <w:b/>
          <w:sz w:val="28"/>
          <w:szCs w:val="28"/>
        </w:rPr>
      </w:pPr>
      <w:r>
        <w:rPr>
          <w:rFonts w:ascii="Arial Black" w:hAnsi="Arial Black"/>
          <w:b/>
          <w:sz w:val="28"/>
          <w:szCs w:val="28"/>
        </w:rPr>
        <w:t>WA: CAPTAIN FIRED, INTERNAL E-MAILS ON RELIGION – LAWSUIT REISTATED, NO FD POLICY</w:t>
      </w:r>
    </w:p>
    <w:p w14:paraId="3644B859" w14:textId="77777777" w:rsid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Jan. 25, 2018, in </w:t>
      </w:r>
      <w:r w:rsidRPr="00E600C4">
        <w:rPr>
          <w:rFonts w:ascii="Times New Roman" w:hAnsi="Times New Roman"/>
          <w:sz w:val="24"/>
          <w:szCs w:val="24"/>
          <w:u w:val="single"/>
        </w:rPr>
        <w:t>Jonathan J. Sprague v. Spokane Valley Fire Department, et al</w:t>
      </w:r>
      <w:r w:rsidRPr="00E600C4">
        <w:rPr>
          <w:rFonts w:ascii="Times New Roman" w:hAnsi="Times New Roman"/>
          <w:sz w:val="24"/>
          <w:szCs w:val="24"/>
        </w:rPr>
        <w:t xml:space="preserve">., the Supreme Court of the State of Washington, held (5 to 4) that </w:t>
      </w:r>
    </w:p>
    <w:p w14:paraId="75136235" w14:textId="77777777" w:rsidR="00E600C4" w:rsidRDefault="00E600C4" w:rsidP="00F326E5">
      <w:pPr>
        <w:pStyle w:val="NoSpacing"/>
        <w:rPr>
          <w:rFonts w:ascii="Times New Roman" w:hAnsi="Times New Roman"/>
          <w:sz w:val="24"/>
          <w:szCs w:val="24"/>
        </w:rPr>
      </w:pPr>
    </w:p>
    <w:p w14:paraId="6F94960D" w14:textId="49D41CF1" w:rsidR="00F326E5" w:rsidRPr="00E600C4" w:rsidRDefault="00F326E5" w:rsidP="00E600C4">
      <w:pPr>
        <w:pStyle w:val="NoSpacing"/>
        <w:ind w:left="720"/>
        <w:rPr>
          <w:rStyle w:val="Hyperlink"/>
          <w:rFonts w:ascii="Times New Roman" w:hAnsi="Times New Roman"/>
          <w:sz w:val="24"/>
          <w:szCs w:val="24"/>
        </w:rPr>
      </w:pPr>
      <w:r w:rsidRPr="00E600C4">
        <w:rPr>
          <w:rFonts w:ascii="Times New Roman" w:hAnsi="Times New Roman"/>
          <w:sz w:val="24"/>
          <w:szCs w:val="24"/>
        </w:rPr>
        <w:t xml:space="preserve">“Sprague has met his initial burden to show that SVFD's restrictions on his speech violated the First Amendment. On remand, the burden will shift to SVFD to show by a preponderance of the evidence that it would have reached the same decision as to respondent's employment termination even in the absence of the protected conduct.” </w:t>
      </w:r>
      <w:hyperlink r:id="rId2746" w:history="1">
        <w:r w:rsidRPr="00E600C4">
          <w:rPr>
            <w:rStyle w:val="Hyperlink"/>
            <w:rFonts w:ascii="Times New Roman" w:hAnsi="Times New Roman"/>
            <w:sz w:val="24"/>
            <w:szCs w:val="24"/>
          </w:rPr>
          <w:t>file:///C:/Users/lawre/AppData/Local/Microsoft/Windows/INetCache/IE/NZ9VF3P4/Christian-Firefighter.pdf</w:t>
        </w:r>
      </w:hyperlink>
    </w:p>
    <w:p w14:paraId="6590AA94" w14:textId="77777777" w:rsidR="00E600C4" w:rsidRDefault="00E600C4" w:rsidP="00F326E5">
      <w:pPr>
        <w:pStyle w:val="NoSpacing"/>
        <w:rPr>
          <w:rFonts w:ascii="Times New Roman" w:hAnsi="Times New Roman"/>
          <w:b/>
          <w:sz w:val="24"/>
          <w:szCs w:val="24"/>
        </w:rPr>
      </w:pPr>
    </w:p>
    <w:p w14:paraId="324D696F" w14:textId="03AB816B" w:rsidR="00F326E5" w:rsidRPr="00E600C4" w:rsidRDefault="00F326E5" w:rsidP="00F326E5">
      <w:pPr>
        <w:pStyle w:val="NoSpacing"/>
        <w:rPr>
          <w:rFonts w:ascii="Times New Roman" w:hAnsi="Times New Roman"/>
          <w:b/>
          <w:sz w:val="24"/>
          <w:szCs w:val="24"/>
        </w:rPr>
      </w:pPr>
      <w:r w:rsidRPr="00E600C4">
        <w:rPr>
          <w:rFonts w:ascii="Times New Roman" w:hAnsi="Times New Roman"/>
          <w:b/>
          <w:sz w:val="24"/>
          <w:szCs w:val="24"/>
        </w:rPr>
        <w:t xml:space="preserve">Legal Lessons Learned: FDs should have a written electronic communications policy, including prohibition on e-mails that can be disruptive to workplace.   </w:t>
      </w:r>
    </w:p>
    <w:p w14:paraId="4F55B2C2" w14:textId="77777777" w:rsidR="00F326E5" w:rsidRDefault="00F326E5" w:rsidP="00F326E5">
      <w:pPr>
        <w:pStyle w:val="NoSpacing"/>
        <w:rPr>
          <w:sz w:val="24"/>
          <w:szCs w:val="24"/>
        </w:rPr>
      </w:pPr>
      <w:bookmarkStart w:id="627" w:name="_Hlk515214745"/>
      <w:bookmarkEnd w:id="626"/>
    </w:p>
    <w:p w14:paraId="25B7ADD8" w14:textId="77777777" w:rsidR="00F326E5" w:rsidRDefault="00F326E5" w:rsidP="00F326E5">
      <w:pPr>
        <w:pStyle w:val="NoSpacing"/>
        <w:rPr>
          <w:sz w:val="24"/>
          <w:szCs w:val="24"/>
        </w:rPr>
      </w:pPr>
    </w:p>
    <w:p w14:paraId="0837A0FB" w14:textId="0BDEEEE7" w:rsidR="000C4DF5" w:rsidRDefault="000C4DF5" w:rsidP="00F326E5">
      <w:pPr>
        <w:pStyle w:val="NoSpacing"/>
        <w:rPr>
          <w:rFonts w:ascii="Arial Black" w:hAnsi="Arial Black"/>
          <w:b/>
          <w:sz w:val="28"/>
          <w:szCs w:val="28"/>
        </w:rPr>
      </w:pPr>
      <w:bookmarkStart w:id="628" w:name="_Hlk7349456"/>
      <w:r>
        <w:rPr>
          <w:rFonts w:ascii="Arial Black" w:hAnsi="Arial Black"/>
          <w:sz w:val="24"/>
          <w:szCs w:val="24"/>
        </w:rPr>
        <w:t>16-2</w:t>
      </w:r>
    </w:p>
    <w:p w14:paraId="592B144A" w14:textId="77777777" w:rsidR="000C4DF5" w:rsidRDefault="000C4DF5" w:rsidP="00F326E5">
      <w:pPr>
        <w:pStyle w:val="NoSpacing"/>
        <w:rPr>
          <w:rFonts w:ascii="Arial Black" w:hAnsi="Arial Black"/>
          <w:b/>
          <w:sz w:val="28"/>
          <w:szCs w:val="28"/>
        </w:rPr>
      </w:pPr>
    </w:p>
    <w:p w14:paraId="12950A7E" w14:textId="5927711C" w:rsidR="00F326E5" w:rsidRDefault="00F326E5" w:rsidP="00F326E5">
      <w:pPr>
        <w:pStyle w:val="NoSpacing"/>
        <w:rPr>
          <w:b/>
          <w:sz w:val="24"/>
          <w:szCs w:val="24"/>
        </w:rPr>
      </w:pPr>
      <w:r>
        <w:rPr>
          <w:rFonts w:ascii="Arial Black" w:hAnsi="Arial Black"/>
          <w:b/>
          <w:sz w:val="28"/>
          <w:szCs w:val="28"/>
        </w:rPr>
        <w:t xml:space="preserve">IN: STATE BOARD REVOKES DEPUTY CHIEF’S FF CERTIFICATES – CHILD EXPOITATION &amp; PORN CONVICTION </w:t>
      </w:r>
    </w:p>
    <w:bookmarkEnd w:id="627"/>
    <w:p w14:paraId="758B4FAC" w14:textId="77777777" w:rsid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Jan. 17, 2018, in </w:t>
      </w:r>
      <w:r w:rsidRPr="00E600C4">
        <w:rPr>
          <w:rFonts w:ascii="Times New Roman" w:hAnsi="Times New Roman"/>
          <w:sz w:val="24"/>
          <w:szCs w:val="24"/>
          <w:u w:val="single"/>
        </w:rPr>
        <w:t xml:space="preserve">State Of Indiana Board </w:t>
      </w:r>
      <w:proofErr w:type="gramStart"/>
      <w:r w:rsidRPr="00E600C4">
        <w:rPr>
          <w:rFonts w:ascii="Times New Roman" w:hAnsi="Times New Roman"/>
          <w:sz w:val="24"/>
          <w:szCs w:val="24"/>
          <w:u w:val="single"/>
        </w:rPr>
        <w:t>Of</w:t>
      </w:r>
      <w:proofErr w:type="gramEnd"/>
      <w:r w:rsidRPr="00E600C4">
        <w:rPr>
          <w:rFonts w:ascii="Times New Roman" w:hAnsi="Times New Roman"/>
          <w:sz w:val="24"/>
          <w:szCs w:val="24"/>
          <w:u w:val="single"/>
        </w:rPr>
        <w:t xml:space="preserve"> Firefighting </w:t>
      </w:r>
      <w:proofErr w:type="gramStart"/>
      <w:r w:rsidRPr="00E600C4">
        <w:rPr>
          <w:rFonts w:ascii="Times New Roman" w:hAnsi="Times New Roman"/>
          <w:sz w:val="24"/>
          <w:szCs w:val="24"/>
          <w:u w:val="single"/>
        </w:rPr>
        <w:t>And</w:t>
      </w:r>
      <w:proofErr w:type="gramEnd"/>
      <w:r w:rsidRPr="00E600C4">
        <w:rPr>
          <w:rFonts w:ascii="Times New Roman" w:hAnsi="Times New Roman"/>
          <w:sz w:val="24"/>
          <w:szCs w:val="24"/>
          <w:u w:val="single"/>
        </w:rPr>
        <w:t xml:space="preserve"> Personnel Standards v. John T. Cline</w:t>
      </w:r>
      <w:r w:rsidRPr="00E600C4">
        <w:rPr>
          <w:rFonts w:ascii="Times New Roman" w:hAnsi="Times New Roman"/>
          <w:sz w:val="24"/>
          <w:szCs w:val="24"/>
        </w:rPr>
        <w:t xml:space="preserve">, the Court of Appeals of Indiana held that the Board’s decision to revoke his certifications as a Firefighter was affirmed, since he failed to file a timely appeal. </w:t>
      </w:r>
    </w:p>
    <w:p w14:paraId="7AC04123" w14:textId="73DF6FC6" w:rsidR="00F326E5" w:rsidRPr="00E600C4" w:rsidRDefault="00F326E5" w:rsidP="00E600C4">
      <w:pPr>
        <w:pStyle w:val="NoSpacing"/>
        <w:ind w:left="720"/>
        <w:rPr>
          <w:rStyle w:val="Hyperlink"/>
          <w:rFonts w:ascii="Times New Roman" w:hAnsi="Times New Roman"/>
          <w:sz w:val="24"/>
          <w:szCs w:val="24"/>
        </w:rPr>
      </w:pPr>
      <w:r w:rsidRPr="00E600C4">
        <w:rPr>
          <w:rFonts w:ascii="Times New Roman" w:hAnsi="Times New Roman"/>
          <w:sz w:val="24"/>
          <w:szCs w:val="24"/>
        </w:rPr>
        <w:t xml:space="preserve">“To effect statutory compliance, Cline was required to file the agency record or file a motion for an extension of time by May 9, 2016.  He did not do </w:t>
      </w:r>
      <w:proofErr w:type="gramStart"/>
      <w:r w:rsidRPr="00E600C4">
        <w:rPr>
          <w:rFonts w:ascii="Times New Roman" w:hAnsi="Times New Roman"/>
          <w:sz w:val="24"/>
          <w:szCs w:val="24"/>
        </w:rPr>
        <w:t>so</w:t>
      </w:r>
      <w:proofErr w:type="gramEnd"/>
      <w:r w:rsidRPr="00E600C4">
        <w:rPr>
          <w:rFonts w:ascii="Times New Roman" w:hAnsi="Times New Roman"/>
          <w:sz w:val="24"/>
          <w:szCs w:val="24"/>
        </w:rPr>
        <w:t xml:space="preserve"> and the trial court should have dismissed the petition for judicial review.” </w:t>
      </w:r>
      <w:hyperlink r:id="rId2747" w:history="1">
        <w:r w:rsidRPr="00E600C4">
          <w:rPr>
            <w:rStyle w:val="Hyperlink"/>
            <w:rFonts w:ascii="Times New Roman" w:hAnsi="Times New Roman"/>
            <w:sz w:val="24"/>
            <w:szCs w:val="24"/>
          </w:rPr>
          <w:t>file:///C:/Users/lawre/AppData/Local/Microsoft/Windows/INetCache/IE/XO250S7T/01171801lmb.pdf</w:t>
        </w:r>
      </w:hyperlink>
    </w:p>
    <w:p w14:paraId="4ED3A0FE" w14:textId="77777777" w:rsidR="00E600C4" w:rsidRDefault="00E600C4" w:rsidP="00F326E5">
      <w:pPr>
        <w:rPr>
          <w:rFonts w:ascii="Times New Roman" w:hAnsi="Times New Roman"/>
          <w:b/>
          <w:sz w:val="24"/>
          <w:szCs w:val="24"/>
        </w:rPr>
      </w:pPr>
    </w:p>
    <w:p w14:paraId="3C8FD2DA" w14:textId="7C7C7CFB" w:rsidR="00F326E5" w:rsidRPr="00E600C4" w:rsidRDefault="00F326E5" w:rsidP="00F326E5">
      <w:pPr>
        <w:rPr>
          <w:rFonts w:ascii="Times New Roman" w:hAnsi="Times New Roman"/>
          <w:b/>
          <w:sz w:val="24"/>
          <w:szCs w:val="24"/>
        </w:rPr>
      </w:pPr>
      <w:r w:rsidRPr="00E600C4">
        <w:rPr>
          <w:rFonts w:ascii="Times New Roman" w:hAnsi="Times New Roman"/>
          <w:b/>
          <w:sz w:val="24"/>
          <w:szCs w:val="24"/>
        </w:rPr>
        <w:t>Legal Lessons Learned:  In filing an appeal, deadlines must be met unless there are extenuating circumstances.</w:t>
      </w:r>
    </w:p>
    <w:bookmarkEnd w:id="628"/>
    <w:p w14:paraId="7498C7D7" w14:textId="77777777" w:rsidR="00F326E5" w:rsidRPr="00AE5408" w:rsidRDefault="00F326E5" w:rsidP="00F326E5">
      <w:pPr>
        <w:pStyle w:val="NoSpacing"/>
        <w:rPr>
          <w:b/>
          <w:sz w:val="24"/>
          <w:szCs w:val="24"/>
        </w:rPr>
      </w:pPr>
    </w:p>
    <w:p w14:paraId="24376A5C" w14:textId="27D41B33" w:rsidR="00F326E5" w:rsidRDefault="000C4DF5" w:rsidP="000C4DF5">
      <w:pPr>
        <w:pStyle w:val="NoSpacing"/>
        <w:rPr>
          <w:rFonts w:ascii="Arial Black" w:hAnsi="Arial Black"/>
          <w:sz w:val="24"/>
          <w:szCs w:val="24"/>
        </w:rPr>
      </w:pPr>
      <w:bookmarkStart w:id="629" w:name="_Hlk80769585"/>
      <w:r>
        <w:rPr>
          <w:rFonts w:ascii="Arial Black" w:hAnsi="Arial Black"/>
          <w:sz w:val="24"/>
          <w:szCs w:val="24"/>
        </w:rPr>
        <w:t>16-1</w:t>
      </w:r>
    </w:p>
    <w:p w14:paraId="0F242EB9" w14:textId="77777777" w:rsidR="00E600C4" w:rsidRDefault="00E600C4" w:rsidP="000C4DF5">
      <w:pPr>
        <w:pStyle w:val="NoSpacing"/>
        <w:rPr>
          <w:rFonts w:ascii="Arial Black" w:hAnsi="Arial Black"/>
          <w:sz w:val="24"/>
          <w:szCs w:val="24"/>
        </w:rPr>
      </w:pPr>
    </w:p>
    <w:p w14:paraId="7CF80A95" w14:textId="78C9E408" w:rsidR="00F326E5" w:rsidRDefault="00F326E5" w:rsidP="00F326E5">
      <w:pPr>
        <w:pStyle w:val="NoSpacing"/>
        <w:rPr>
          <w:b/>
          <w:sz w:val="24"/>
          <w:szCs w:val="24"/>
        </w:rPr>
      </w:pPr>
      <w:bookmarkStart w:id="630" w:name="_Hlk7349488"/>
      <w:r w:rsidRPr="009213BD">
        <w:rPr>
          <w:rFonts w:ascii="Arial Black" w:hAnsi="Arial Black" w:cs="Arial"/>
          <w:sz w:val="28"/>
          <w:szCs w:val="28"/>
        </w:rPr>
        <w:t xml:space="preserve">IL: SOCIAL MEDIA POSTS - DEPUTY FIRE CHIEF FIRED AFTER “POLITICAL COMMENTARY” ON FACEBOOK </w:t>
      </w:r>
    </w:p>
    <w:p w14:paraId="1C037220" w14:textId="77777777" w:rsidR="00026281" w:rsidRDefault="00026281" w:rsidP="00F326E5">
      <w:pPr>
        <w:pStyle w:val="NoSpacing"/>
        <w:rPr>
          <w:rFonts w:ascii="Times New Roman" w:hAnsi="Times New Roman"/>
          <w:sz w:val="24"/>
          <w:szCs w:val="24"/>
        </w:rPr>
      </w:pPr>
    </w:p>
    <w:p w14:paraId="01BD175A" w14:textId="2DD33E22" w:rsid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Jan. 11, 2018, in </w:t>
      </w:r>
      <w:r w:rsidRPr="00E600C4">
        <w:rPr>
          <w:rFonts w:ascii="Times New Roman" w:hAnsi="Times New Roman"/>
          <w:sz w:val="24"/>
          <w:szCs w:val="24"/>
          <w:u w:val="single"/>
        </w:rPr>
        <w:t>Richard Banske v. City of Calumet City</w:t>
      </w:r>
      <w:r w:rsidRPr="00E600C4">
        <w:rPr>
          <w:rFonts w:ascii="Times New Roman" w:hAnsi="Times New Roman"/>
          <w:sz w:val="24"/>
          <w:szCs w:val="24"/>
        </w:rPr>
        <w:t xml:space="preserve">, U.S. District Court, Northern District of Illinois (Case No. 17C5263), Judge Harry D. </w:t>
      </w:r>
      <w:proofErr w:type="spellStart"/>
      <w:r w:rsidRPr="00E600C4">
        <w:rPr>
          <w:rFonts w:ascii="Times New Roman" w:hAnsi="Times New Roman"/>
          <w:sz w:val="24"/>
          <w:szCs w:val="24"/>
        </w:rPr>
        <w:t>Leinenweber</w:t>
      </w:r>
      <w:proofErr w:type="spellEnd"/>
      <w:r w:rsidRPr="00E600C4">
        <w:rPr>
          <w:rFonts w:ascii="Times New Roman" w:hAnsi="Times New Roman"/>
          <w:sz w:val="24"/>
          <w:szCs w:val="24"/>
        </w:rPr>
        <w:t xml:space="preserve"> granted City’s motion to dismiss. </w:t>
      </w:r>
    </w:p>
    <w:p w14:paraId="78E394BD" w14:textId="77777777" w:rsidR="00E600C4" w:rsidRDefault="00E600C4" w:rsidP="00F326E5">
      <w:pPr>
        <w:pStyle w:val="NoSpacing"/>
        <w:rPr>
          <w:rFonts w:ascii="Times New Roman" w:hAnsi="Times New Roman"/>
          <w:sz w:val="24"/>
          <w:szCs w:val="24"/>
        </w:rPr>
      </w:pPr>
    </w:p>
    <w:p w14:paraId="52BAFB0D" w14:textId="4E3596B6" w:rsidR="00F326E5" w:rsidRPr="00E600C4" w:rsidRDefault="00F326E5" w:rsidP="00E600C4">
      <w:pPr>
        <w:pStyle w:val="NoSpacing"/>
        <w:ind w:left="720"/>
        <w:rPr>
          <w:rFonts w:ascii="Times New Roman" w:hAnsi="Times New Roman"/>
          <w:sz w:val="24"/>
          <w:szCs w:val="24"/>
        </w:rPr>
      </w:pPr>
      <w:r w:rsidRPr="00E600C4">
        <w:rPr>
          <w:rFonts w:ascii="Times New Roman" w:hAnsi="Times New Roman"/>
          <w:sz w:val="24"/>
          <w:szCs w:val="24"/>
        </w:rPr>
        <w:t>“[A] policymaking employee may be discharged ‘when that individual has engaged in speech on a matter of public concern in a manner that is critical of superiors or their stated policies.’</w:t>
      </w:r>
      <w:r w:rsidR="00E600C4">
        <w:rPr>
          <w:rFonts w:ascii="Times New Roman" w:hAnsi="Times New Roman"/>
          <w:sz w:val="24"/>
          <w:szCs w:val="24"/>
        </w:rPr>
        <w:t xml:space="preserve"> </w:t>
      </w:r>
      <w:r w:rsidRPr="00E600C4">
        <w:rPr>
          <w:rFonts w:ascii="Times New Roman" w:hAnsi="Times New Roman"/>
          <w:sz w:val="24"/>
          <w:szCs w:val="24"/>
        </w:rPr>
        <w:t xml:space="preserve">Hagan, 867 F.3d at 826 (quoting Kiddy-Brown v. Blagojevich, 408 F.3d 346, 358 (7th Cir. 2005)). *** Without well pled factual allegations, the Court is left to guess whether </w:t>
      </w:r>
      <w:proofErr w:type="spellStart"/>
      <w:r w:rsidRPr="00E600C4">
        <w:rPr>
          <w:rFonts w:ascii="Times New Roman" w:hAnsi="Times New Roman"/>
          <w:sz w:val="24"/>
          <w:szCs w:val="24"/>
        </w:rPr>
        <w:t>Banske's</w:t>
      </w:r>
      <w:proofErr w:type="spellEnd"/>
      <w:r w:rsidRPr="00E600C4">
        <w:rPr>
          <w:rFonts w:ascii="Times New Roman" w:hAnsi="Times New Roman"/>
          <w:sz w:val="24"/>
          <w:szCs w:val="24"/>
        </w:rPr>
        <w:t xml:space="preserve"> at-issue speech touches upon a subject of public concern. This the Court will not do. The Complaint fails to establish that </w:t>
      </w:r>
      <w:proofErr w:type="spellStart"/>
      <w:r w:rsidRPr="00E600C4">
        <w:rPr>
          <w:rFonts w:ascii="Times New Roman" w:hAnsi="Times New Roman"/>
          <w:sz w:val="24"/>
          <w:szCs w:val="24"/>
        </w:rPr>
        <w:t>Banske</w:t>
      </w:r>
      <w:proofErr w:type="spellEnd"/>
      <w:r w:rsidRPr="00E600C4">
        <w:rPr>
          <w:rFonts w:ascii="Times New Roman" w:hAnsi="Times New Roman"/>
          <w:sz w:val="24"/>
          <w:szCs w:val="24"/>
        </w:rPr>
        <w:t xml:space="preserve"> engaged in constitutionally protected speech, so it fails to state a claim upon which relief may be granted.” </w:t>
      </w:r>
    </w:p>
    <w:p w14:paraId="6A3E048D" w14:textId="7003543D" w:rsidR="00F326E5" w:rsidRPr="00E600C4" w:rsidRDefault="00E600C4" w:rsidP="00E600C4">
      <w:pPr>
        <w:pStyle w:val="NoSpacing"/>
        <w:ind w:firstLine="720"/>
        <w:rPr>
          <w:rFonts w:ascii="Times New Roman" w:hAnsi="Times New Roman"/>
          <w:sz w:val="24"/>
          <w:szCs w:val="24"/>
        </w:rPr>
      </w:pPr>
      <w:hyperlink r:id="rId2748" w:history="1">
        <w:r w:rsidRPr="001B5B01">
          <w:rPr>
            <w:rStyle w:val="Hyperlink"/>
            <w:rFonts w:ascii="Times New Roman" w:hAnsi="Times New Roman"/>
            <w:sz w:val="24"/>
            <w:szCs w:val="24"/>
          </w:rPr>
          <w:t>https://casetext.com/case/banske-v-city-of-calumet-city</w:t>
        </w:r>
      </w:hyperlink>
      <w:r w:rsidR="00F326E5" w:rsidRPr="00E600C4">
        <w:rPr>
          <w:rFonts w:ascii="Times New Roman" w:hAnsi="Times New Roman"/>
          <w:sz w:val="24"/>
          <w:szCs w:val="24"/>
        </w:rPr>
        <w:t xml:space="preserve"> </w:t>
      </w:r>
    </w:p>
    <w:p w14:paraId="6BBC4089" w14:textId="77777777" w:rsidR="00E600C4" w:rsidRDefault="00E600C4" w:rsidP="00F326E5">
      <w:pPr>
        <w:rPr>
          <w:rFonts w:ascii="Times New Roman" w:eastAsia="Times New Roman" w:hAnsi="Times New Roman"/>
          <w:b/>
          <w:sz w:val="24"/>
          <w:szCs w:val="24"/>
        </w:rPr>
      </w:pPr>
    </w:p>
    <w:p w14:paraId="68418577" w14:textId="49E1851B" w:rsidR="00F326E5" w:rsidRPr="00E600C4" w:rsidRDefault="00F326E5" w:rsidP="00F326E5">
      <w:pPr>
        <w:rPr>
          <w:rFonts w:ascii="Times New Roman" w:eastAsia="Times New Roman" w:hAnsi="Times New Roman"/>
          <w:b/>
          <w:sz w:val="24"/>
          <w:szCs w:val="24"/>
        </w:rPr>
      </w:pPr>
      <w:r w:rsidRPr="00E600C4">
        <w:rPr>
          <w:rFonts w:ascii="Times New Roman" w:eastAsia="Times New Roman" w:hAnsi="Times New Roman"/>
          <w:b/>
          <w:sz w:val="24"/>
          <w:szCs w:val="24"/>
        </w:rPr>
        <w:t>Legal Lessons Learned: Fire, EMS, police and other public employees have only limited First Amendment rights under the “balancing test” of U.S. Supreme Court’s decision in Pickering v. Board of Education, 391 U.S. 563 (1968).</w:t>
      </w:r>
    </w:p>
    <w:p w14:paraId="34AA03D1" w14:textId="77777777" w:rsidR="00F326E5" w:rsidRPr="00E600C4" w:rsidRDefault="00F326E5" w:rsidP="00F326E5">
      <w:pPr>
        <w:ind w:left="720"/>
        <w:rPr>
          <w:rFonts w:ascii="Times New Roman" w:hAnsi="Times New Roman"/>
          <w:sz w:val="24"/>
          <w:szCs w:val="24"/>
        </w:rPr>
      </w:pPr>
      <w:r w:rsidRPr="00E600C4">
        <w:rPr>
          <w:rFonts w:ascii="Times New Roman" w:eastAsia="Times New Roman" w:hAnsi="Times New Roman"/>
          <w:sz w:val="24"/>
          <w:szCs w:val="24"/>
        </w:rPr>
        <w:t xml:space="preserve">Pickering decision:  “Appellant Marvin L. Pickering, a teacher in Township High School District 205, Will County, Illinois, was dismissed from his position by the appellee Board of Education for sending a letter to a local newspaper in connection with a recently proposed tax increase that was critical of the way in which the Board and the district superintendent of schools had handled past proposals to raise new revenue for the schools. *** In sum, we hold that, in a case such as this, absent proof of false statements knowingly or recklessly made by him, a teacher's exercise of his right to speak on issues of public importance may not furnish the basis for his dismissal from public employment. *** Footnote 3: It is possible to conceive of some positions in public employment in which the need for confidentiality is so great that even completely correct public statements might furnish a permissible ground for dismissal.” </w:t>
      </w:r>
      <w:hyperlink r:id="rId2749" w:history="1">
        <w:r w:rsidRPr="00E600C4">
          <w:rPr>
            <w:rStyle w:val="Hyperlink"/>
            <w:rFonts w:ascii="Times New Roman" w:hAnsi="Times New Roman"/>
            <w:sz w:val="24"/>
            <w:szCs w:val="24"/>
          </w:rPr>
          <w:t>https://supreme.justia.com/cases/federal/us/391/563/</w:t>
        </w:r>
      </w:hyperlink>
      <w:r w:rsidRPr="00E600C4">
        <w:rPr>
          <w:rFonts w:ascii="Times New Roman" w:eastAsia="Times New Roman" w:hAnsi="Times New Roman"/>
          <w:sz w:val="24"/>
          <w:szCs w:val="24"/>
        </w:rPr>
        <w:t xml:space="preserve"> </w:t>
      </w:r>
    </w:p>
    <w:bookmarkEnd w:id="629"/>
    <w:bookmarkEnd w:id="630"/>
    <w:p w14:paraId="79613DBE" w14:textId="77777777" w:rsidR="00F326E5" w:rsidRPr="00E600C4" w:rsidRDefault="00F326E5" w:rsidP="00F326E5">
      <w:pPr>
        <w:pStyle w:val="NoSpacing"/>
        <w:rPr>
          <w:rFonts w:ascii="Times New Roman" w:hAnsi="Times New Roman"/>
          <w:b/>
          <w:sz w:val="24"/>
          <w:szCs w:val="24"/>
        </w:rPr>
      </w:pPr>
    </w:p>
    <w:p w14:paraId="228A938B" w14:textId="77777777" w:rsidR="00F326E5" w:rsidRDefault="00F326E5" w:rsidP="00F326E5">
      <w:pPr>
        <w:rPr>
          <w:rFonts w:ascii="Arial Black" w:hAnsi="Arial Black"/>
          <w:sz w:val="40"/>
          <w:szCs w:val="40"/>
        </w:rPr>
      </w:pPr>
      <w:r>
        <w:rPr>
          <w:rFonts w:ascii="Arial Black" w:hAnsi="Arial Black"/>
          <w:sz w:val="40"/>
          <w:szCs w:val="40"/>
        </w:rPr>
        <w:br w:type="page"/>
      </w:r>
    </w:p>
    <w:p w14:paraId="394AF62A" w14:textId="77777777" w:rsidR="00F326E5" w:rsidRDefault="00F326E5" w:rsidP="00F326E5">
      <w:pPr>
        <w:rPr>
          <w:rFonts w:ascii="Arial Black" w:hAnsi="Arial Black"/>
          <w:sz w:val="40"/>
          <w:szCs w:val="40"/>
        </w:rPr>
      </w:pPr>
    </w:p>
    <w:p w14:paraId="057E46DD" w14:textId="77777777" w:rsidR="007D737C" w:rsidRDefault="007D737C" w:rsidP="00F326E5">
      <w:pPr>
        <w:pStyle w:val="NoSpacing"/>
        <w:rPr>
          <w:rFonts w:ascii="Arial Black" w:hAnsi="Arial Black"/>
          <w:sz w:val="40"/>
          <w:szCs w:val="40"/>
        </w:rPr>
      </w:pPr>
    </w:p>
    <w:p w14:paraId="0D87F7EB" w14:textId="77777777" w:rsidR="007D737C" w:rsidRDefault="007D737C" w:rsidP="00F326E5">
      <w:pPr>
        <w:pStyle w:val="NoSpacing"/>
        <w:rPr>
          <w:rFonts w:ascii="Arial Black" w:hAnsi="Arial Black"/>
          <w:sz w:val="40"/>
          <w:szCs w:val="40"/>
        </w:rPr>
      </w:pPr>
    </w:p>
    <w:p w14:paraId="62B52445" w14:textId="77777777" w:rsidR="007D737C" w:rsidRDefault="007D737C" w:rsidP="00F326E5">
      <w:pPr>
        <w:pStyle w:val="NoSpacing"/>
        <w:rPr>
          <w:rFonts w:ascii="Arial Black" w:hAnsi="Arial Black"/>
          <w:sz w:val="40"/>
          <w:szCs w:val="40"/>
        </w:rPr>
      </w:pPr>
    </w:p>
    <w:p w14:paraId="7D46D5E7" w14:textId="77777777" w:rsidR="007D737C" w:rsidRDefault="007D737C" w:rsidP="00F326E5">
      <w:pPr>
        <w:pStyle w:val="NoSpacing"/>
        <w:rPr>
          <w:rFonts w:ascii="Arial Black" w:hAnsi="Arial Black"/>
          <w:sz w:val="40"/>
          <w:szCs w:val="40"/>
        </w:rPr>
      </w:pPr>
    </w:p>
    <w:p w14:paraId="21A16390" w14:textId="77777777" w:rsidR="007D737C" w:rsidRDefault="007D737C" w:rsidP="00F326E5">
      <w:pPr>
        <w:pStyle w:val="NoSpacing"/>
        <w:rPr>
          <w:rFonts w:ascii="Arial Black" w:hAnsi="Arial Black"/>
          <w:sz w:val="40"/>
          <w:szCs w:val="40"/>
        </w:rPr>
      </w:pPr>
    </w:p>
    <w:p w14:paraId="7A49A248" w14:textId="77777777" w:rsidR="007D737C" w:rsidRDefault="007D737C" w:rsidP="00F326E5">
      <w:pPr>
        <w:pStyle w:val="NoSpacing"/>
        <w:rPr>
          <w:rFonts w:ascii="Arial Black" w:hAnsi="Arial Black"/>
          <w:sz w:val="40"/>
          <w:szCs w:val="40"/>
        </w:rPr>
      </w:pPr>
    </w:p>
    <w:p w14:paraId="37B81F85" w14:textId="77777777" w:rsidR="007D737C" w:rsidRDefault="007D737C" w:rsidP="00F326E5">
      <w:pPr>
        <w:pStyle w:val="NoSpacing"/>
        <w:rPr>
          <w:rFonts w:ascii="Arial Black" w:hAnsi="Arial Black"/>
          <w:sz w:val="40"/>
          <w:szCs w:val="40"/>
        </w:rPr>
      </w:pPr>
    </w:p>
    <w:p w14:paraId="21026785" w14:textId="77777777" w:rsidR="007D737C" w:rsidRDefault="007D737C" w:rsidP="00F326E5">
      <w:pPr>
        <w:pStyle w:val="NoSpacing"/>
        <w:rPr>
          <w:rFonts w:ascii="Arial Black" w:hAnsi="Arial Black"/>
          <w:sz w:val="40"/>
          <w:szCs w:val="40"/>
        </w:rPr>
      </w:pPr>
    </w:p>
    <w:p w14:paraId="58E7CD43" w14:textId="77777777" w:rsidR="007D737C" w:rsidRDefault="007D737C" w:rsidP="00F326E5">
      <w:pPr>
        <w:pStyle w:val="NoSpacing"/>
        <w:rPr>
          <w:rFonts w:ascii="Arial Black" w:hAnsi="Arial Black"/>
          <w:sz w:val="40"/>
          <w:szCs w:val="40"/>
        </w:rPr>
      </w:pPr>
    </w:p>
    <w:p w14:paraId="3AF486A0" w14:textId="77777777" w:rsidR="007D737C" w:rsidRDefault="007D737C" w:rsidP="00F326E5">
      <w:pPr>
        <w:pStyle w:val="NoSpacing"/>
        <w:rPr>
          <w:rFonts w:ascii="Arial Black" w:hAnsi="Arial Black"/>
          <w:sz w:val="40"/>
          <w:szCs w:val="40"/>
        </w:rPr>
      </w:pPr>
    </w:p>
    <w:p w14:paraId="39D57225" w14:textId="77777777" w:rsidR="007D737C" w:rsidRDefault="007D737C" w:rsidP="00F326E5">
      <w:pPr>
        <w:pStyle w:val="NoSpacing"/>
        <w:rPr>
          <w:rFonts w:ascii="Arial Black" w:hAnsi="Arial Black"/>
          <w:sz w:val="40"/>
          <w:szCs w:val="40"/>
        </w:rPr>
      </w:pPr>
    </w:p>
    <w:p w14:paraId="36375DD5" w14:textId="77777777" w:rsidR="007D737C" w:rsidRDefault="007D737C" w:rsidP="00F326E5">
      <w:pPr>
        <w:pStyle w:val="NoSpacing"/>
        <w:rPr>
          <w:rFonts w:ascii="Arial Black" w:hAnsi="Arial Black"/>
          <w:sz w:val="40"/>
          <w:szCs w:val="40"/>
        </w:rPr>
      </w:pPr>
    </w:p>
    <w:p w14:paraId="708D307C" w14:textId="77777777" w:rsidR="007D737C" w:rsidRDefault="007D737C" w:rsidP="00F326E5">
      <w:pPr>
        <w:pStyle w:val="NoSpacing"/>
        <w:rPr>
          <w:rFonts w:ascii="Arial Black" w:hAnsi="Arial Black"/>
          <w:sz w:val="40"/>
          <w:szCs w:val="40"/>
        </w:rPr>
      </w:pPr>
    </w:p>
    <w:p w14:paraId="0CD66998" w14:textId="77777777" w:rsidR="007D737C" w:rsidRDefault="007D737C" w:rsidP="00F326E5">
      <w:pPr>
        <w:pStyle w:val="NoSpacing"/>
        <w:rPr>
          <w:rFonts w:ascii="Arial Black" w:hAnsi="Arial Black"/>
          <w:sz w:val="40"/>
          <w:szCs w:val="40"/>
        </w:rPr>
      </w:pPr>
    </w:p>
    <w:p w14:paraId="704F54FE" w14:textId="77777777" w:rsidR="007D737C" w:rsidRDefault="007D737C" w:rsidP="00F326E5">
      <w:pPr>
        <w:pStyle w:val="NoSpacing"/>
        <w:rPr>
          <w:rFonts w:ascii="Arial Black" w:hAnsi="Arial Black"/>
          <w:sz w:val="40"/>
          <w:szCs w:val="40"/>
        </w:rPr>
      </w:pPr>
    </w:p>
    <w:p w14:paraId="786ACB54" w14:textId="77777777" w:rsidR="007D737C" w:rsidRDefault="007D737C" w:rsidP="00F326E5">
      <w:pPr>
        <w:pStyle w:val="NoSpacing"/>
        <w:rPr>
          <w:rFonts w:ascii="Arial Black" w:hAnsi="Arial Black"/>
          <w:sz w:val="40"/>
          <w:szCs w:val="40"/>
        </w:rPr>
      </w:pPr>
    </w:p>
    <w:p w14:paraId="171A34E8" w14:textId="77777777" w:rsidR="007D737C" w:rsidRDefault="007D737C" w:rsidP="00F326E5">
      <w:pPr>
        <w:pStyle w:val="NoSpacing"/>
        <w:rPr>
          <w:rFonts w:ascii="Arial Black" w:hAnsi="Arial Black"/>
          <w:sz w:val="40"/>
          <w:szCs w:val="40"/>
        </w:rPr>
      </w:pPr>
    </w:p>
    <w:p w14:paraId="53786010" w14:textId="77777777" w:rsidR="007D737C" w:rsidRDefault="007D737C" w:rsidP="00F326E5">
      <w:pPr>
        <w:pStyle w:val="NoSpacing"/>
        <w:rPr>
          <w:rFonts w:ascii="Arial Black" w:hAnsi="Arial Black"/>
          <w:sz w:val="40"/>
          <w:szCs w:val="40"/>
        </w:rPr>
      </w:pPr>
    </w:p>
    <w:p w14:paraId="3EA0567B" w14:textId="77777777" w:rsidR="007D737C" w:rsidRDefault="007D737C" w:rsidP="00F326E5">
      <w:pPr>
        <w:pStyle w:val="NoSpacing"/>
        <w:rPr>
          <w:rFonts w:ascii="Arial Black" w:hAnsi="Arial Black"/>
          <w:sz w:val="40"/>
          <w:szCs w:val="40"/>
        </w:rPr>
      </w:pPr>
    </w:p>
    <w:p w14:paraId="51B49BA6" w14:textId="77777777" w:rsidR="007D737C" w:rsidRDefault="007D737C" w:rsidP="00F326E5">
      <w:pPr>
        <w:pStyle w:val="NoSpacing"/>
        <w:rPr>
          <w:rFonts w:ascii="Arial Black" w:hAnsi="Arial Black"/>
          <w:sz w:val="40"/>
          <w:szCs w:val="40"/>
        </w:rPr>
      </w:pPr>
    </w:p>
    <w:p w14:paraId="365462F2" w14:textId="77777777" w:rsidR="007D737C" w:rsidRDefault="007D737C" w:rsidP="00F326E5">
      <w:pPr>
        <w:pStyle w:val="NoSpacing"/>
        <w:rPr>
          <w:rFonts w:ascii="Arial Black" w:hAnsi="Arial Black"/>
          <w:sz w:val="40"/>
          <w:szCs w:val="40"/>
        </w:rPr>
      </w:pPr>
    </w:p>
    <w:p w14:paraId="597CD230" w14:textId="77777777" w:rsidR="007D737C" w:rsidRDefault="007D737C" w:rsidP="00F326E5">
      <w:pPr>
        <w:pStyle w:val="NoSpacing"/>
        <w:rPr>
          <w:rFonts w:ascii="Arial Black" w:hAnsi="Arial Black"/>
          <w:sz w:val="40"/>
          <w:szCs w:val="40"/>
        </w:rPr>
      </w:pPr>
    </w:p>
    <w:p w14:paraId="05FA94B7" w14:textId="77777777" w:rsidR="007D737C" w:rsidRDefault="007D737C" w:rsidP="00F326E5">
      <w:pPr>
        <w:pStyle w:val="NoSpacing"/>
        <w:rPr>
          <w:rFonts w:ascii="Arial Black" w:hAnsi="Arial Black"/>
          <w:sz w:val="40"/>
          <w:szCs w:val="40"/>
        </w:rPr>
      </w:pPr>
    </w:p>
    <w:p w14:paraId="0BD28BB8" w14:textId="2FBE1B58" w:rsidR="00F326E5" w:rsidRDefault="00F326E5" w:rsidP="00F326E5">
      <w:pPr>
        <w:pStyle w:val="NoSpacing"/>
        <w:rPr>
          <w:rFonts w:ascii="Arial Black" w:hAnsi="Arial Black"/>
          <w:sz w:val="40"/>
          <w:szCs w:val="40"/>
        </w:rPr>
      </w:pPr>
      <w:r w:rsidRPr="007732FA">
        <w:rPr>
          <w:rFonts w:ascii="Arial Black" w:hAnsi="Arial Black"/>
          <w:sz w:val="40"/>
          <w:szCs w:val="40"/>
        </w:rPr>
        <w:t>Chap. 17</w:t>
      </w:r>
      <w:r w:rsidRPr="007732FA">
        <w:rPr>
          <w:rFonts w:ascii="Arial Black" w:hAnsi="Arial Black"/>
          <w:sz w:val="40"/>
          <w:szCs w:val="40"/>
        </w:rPr>
        <w:tab/>
        <w:t>Arbitration</w:t>
      </w:r>
      <w:r w:rsidR="005E16F7">
        <w:rPr>
          <w:rFonts w:ascii="Arial Black" w:hAnsi="Arial Black"/>
          <w:sz w:val="40"/>
          <w:szCs w:val="40"/>
        </w:rPr>
        <w:t>,</w:t>
      </w:r>
      <w:r w:rsidR="00EF7B5C">
        <w:rPr>
          <w:rFonts w:ascii="Arial Black" w:hAnsi="Arial Black"/>
          <w:sz w:val="40"/>
          <w:szCs w:val="40"/>
        </w:rPr>
        <w:t xml:space="preserve"> </w:t>
      </w:r>
      <w:r w:rsidRPr="007732FA">
        <w:rPr>
          <w:rFonts w:ascii="Arial Black" w:hAnsi="Arial Black"/>
          <w:sz w:val="40"/>
          <w:szCs w:val="40"/>
        </w:rPr>
        <w:t>Mediation</w:t>
      </w:r>
      <w:r w:rsidR="005E16F7">
        <w:rPr>
          <w:rFonts w:ascii="Arial Black" w:hAnsi="Arial Black"/>
          <w:sz w:val="40"/>
          <w:szCs w:val="40"/>
        </w:rPr>
        <w:t>, including Labor Relations</w:t>
      </w:r>
    </w:p>
    <w:p w14:paraId="2746B8E2" w14:textId="77777777" w:rsidR="00F326E5" w:rsidRDefault="00F326E5" w:rsidP="00F326E5">
      <w:pPr>
        <w:pStyle w:val="NoSpacing"/>
        <w:rPr>
          <w:sz w:val="24"/>
          <w:szCs w:val="24"/>
        </w:rPr>
      </w:pPr>
    </w:p>
    <w:p w14:paraId="205EB846" w14:textId="76628E5A" w:rsidR="00171FE4" w:rsidRDefault="00171FE4" w:rsidP="00171FE4">
      <w:pPr>
        <w:pStyle w:val="NoSpacing"/>
        <w:rPr>
          <w:rFonts w:ascii="Arial Black" w:hAnsi="Arial Black"/>
          <w:sz w:val="24"/>
          <w:szCs w:val="24"/>
        </w:rPr>
      </w:pPr>
      <w:r>
        <w:rPr>
          <w:rFonts w:ascii="Arial Black" w:hAnsi="Arial Black"/>
          <w:sz w:val="24"/>
          <w:szCs w:val="24"/>
        </w:rPr>
        <w:t>17-6</w:t>
      </w:r>
      <w:r>
        <w:rPr>
          <w:rFonts w:ascii="Arial Black" w:hAnsi="Arial Black"/>
          <w:sz w:val="24"/>
          <w:szCs w:val="24"/>
        </w:rPr>
        <w:t>3</w:t>
      </w:r>
    </w:p>
    <w:p w14:paraId="1AF76808" w14:textId="77777777" w:rsidR="00171FE4" w:rsidRDefault="00171FE4" w:rsidP="0022286E">
      <w:pPr>
        <w:pStyle w:val="NoSpacing"/>
        <w:rPr>
          <w:rFonts w:ascii="Arial Black" w:hAnsi="Arial Black"/>
          <w:b/>
          <w:sz w:val="28"/>
          <w:szCs w:val="28"/>
        </w:rPr>
      </w:pPr>
    </w:p>
    <w:p w14:paraId="133B99C6" w14:textId="0AE554EB" w:rsidR="0022286E" w:rsidRDefault="0022286E" w:rsidP="0022286E">
      <w:pPr>
        <w:pStyle w:val="NoSpacing"/>
        <w:rPr>
          <w:rFonts w:ascii="Arial Black" w:hAnsi="Arial Black"/>
          <w:b/>
          <w:sz w:val="28"/>
          <w:szCs w:val="28"/>
        </w:rPr>
      </w:pPr>
      <w:r>
        <w:rPr>
          <w:rFonts w:ascii="Arial Black" w:hAnsi="Arial Black"/>
          <w:b/>
          <w:sz w:val="28"/>
          <w:szCs w:val="28"/>
        </w:rPr>
        <w:t xml:space="preserve">CO: FIRE CHIEF – IMMUNITY – FIRED IAFF PRES. PER CBA </w:t>
      </w:r>
    </w:p>
    <w:p w14:paraId="7086F8D3" w14:textId="77777777" w:rsidR="0022286E" w:rsidRDefault="0022286E" w:rsidP="0022286E">
      <w:pPr>
        <w:pStyle w:val="NoSpacing"/>
        <w:rPr>
          <w:rFonts w:ascii="Arial Black" w:hAnsi="Arial Black"/>
          <w:b/>
          <w:sz w:val="28"/>
          <w:szCs w:val="28"/>
        </w:rPr>
      </w:pPr>
    </w:p>
    <w:p w14:paraId="0504A3D4" w14:textId="77777777" w:rsidR="0022286E" w:rsidRDefault="0022286E" w:rsidP="0022286E">
      <w:pPr>
        <w:pStyle w:val="NoSpacing"/>
        <w:rPr>
          <w:bCs/>
        </w:rPr>
      </w:pPr>
      <w:r>
        <w:t xml:space="preserve">On June 22, 2026, in </w:t>
      </w:r>
      <w:r w:rsidRPr="0072211A">
        <w:rPr>
          <w:u w:val="single"/>
        </w:rPr>
        <w:t>Benjamin Carter v. David Beebe</w:t>
      </w:r>
      <w:r>
        <w:t>, the United States Court of Appeals for the Tenth Circuit (Denver) held (3 to 0) that trial court should have dismissed this lawsuit against Fire Chief David Meebe; the Chief followed the collective bargaining agreement, investigated “confrontational” conduct of Union President who was upset that a new recruit (</w:t>
      </w:r>
      <w:r w:rsidRPr="007C2593">
        <w:t>Jehovah’s Witness</w:t>
      </w:r>
      <w:r>
        <w:t xml:space="preserve">) received a uniform without the American flag as a religious accommodation, and fired the firefighter without a hearing. The CBA did not require the FD to provide a </w:t>
      </w:r>
      <w:r w:rsidRPr="001E1D22">
        <w:rPr>
          <w:i/>
          <w:iCs/>
        </w:rPr>
        <w:t xml:space="preserve">Loudermill </w:t>
      </w:r>
      <w:r>
        <w:t>hearing [</w:t>
      </w:r>
      <w:r w:rsidRPr="0043758B">
        <w:rPr>
          <w:u w:val="single"/>
        </w:rPr>
        <w:t>Cleveland Board of Education v. James Loudremill,</w:t>
      </w:r>
      <w:r>
        <w:t xml:space="preserve"> March 19, 1985], and therefore the Fire Chief enjoys qualified immunity. The Court wrote: “And because he has not met his burden of establishing that Chief Beebe violated clearly established constitutional law, Chief Beebe is entitled to qualified immunity on Mr. Carter’s procedural due process claim.”</w:t>
      </w:r>
    </w:p>
    <w:p w14:paraId="1E0DA228" w14:textId="77777777" w:rsidR="0022286E" w:rsidRPr="00A363EA" w:rsidRDefault="0022286E" w:rsidP="0022286E">
      <w:pPr>
        <w:pStyle w:val="NoSpacing"/>
        <w:rPr>
          <w:bCs/>
        </w:rPr>
      </w:pPr>
      <w:hyperlink r:id="rId2750" w:history="1">
        <w:r w:rsidRPr="00014504">
          <w:rPr>
            <w:rStyle w:val="Hyperlink"/>
          </w:rPr>
          <w:t>https://cases.justia.com/federal/appellate-courts/ca10/25-1424/25-1424-2026-06-22.pdf?ts=1782145915</w:t>
        </w:r>
      </w:hyperlink>
      <w:r>
        <w:t xml:space="preserve">  </w:t>
      </w:r>
    </w:p>
    <w:p w14:paraId="0C129D78" w14:textId="77777777" w:rsidR="0022286E" w:rsidRDefault="0022286E" w:rsidP="0022286E">
      <w:pPr>
        <w:pStyle w:val="NoSpacing"/>
        <w:rPr>
          <w:b/>
        </w:rPr>
      </w:pPr>
    </w:p>
    <w:p w14:paraId="412FBC44" w14:textId="77777777" w:rsidR="0022286E" w:rsidRDefault="0022286E" w:rsidP="0022286E">
      <w:pPr>
        <w:pStyle w:val="NoSpacing"/>
        <w:rPr>
          <w:b/>
        </w:rPr>
      </w:pPr>
      <w:r w:rsidRPr="00246EB8">
        <w:rPr>
          <w:b/>
        </w:rPr>
        <w:t xml:space="preserve">FACTS: </w:t>
      </w:r>
    </w:p>
    <w:p w14:paraId="5F5654F8" w14:textId="77777777" w:rsidR="0022286E" w:rsidRDefault="0022286E" w:rsidP="0022286E">
      <w:pPr>
        <w:pStyle w:val="NoSpacing"/>
        <w:rPr>
          <w:b/>
        </w:rPr>
      </w:pPr>
    </w:p>
    <w:p w14:paraId="0E0686E3" w14:textId="77777777" w:rsidR="0022286E" w:rsidRDefault="0022286E" w:rsidP="0022286E">
      <w:pPr>
        <w:pStyle w:val="NoSpacing"/>
      </w:pPr>
      <w:r>
        <w:t>“Mr. Carter began working for MVFPD in 2009….Since then, he has been a member of Mountain View Professional Firefighters, Local 3214, International Association of Firefighters (the ‘Union’)…. He has served on the Union’s executive board since 2012 and was elected Union President on January 1, 2023…. ‘Mr. Carter was the Union’s lead negotiator’ and a signatory ‘on the CBA that governed’ his termination.</w:t>
      </w:r>
    </w:p>
    <w:p w14:paraId="2B716F4F" w14:textId="77777777" w:rsidR="0022286E" w:rsidRDefault="0022286E" w:rsidP="0022286E">
      <w:pPr>
        <w:pStyle w:val="NoSpacing"/>
      </w:pPr>
    </w:p>
    <w:p w14:paraId="39C7F00F" w14:textId="77777777" w:rsidR="0022286E" w:rsidRDefault="0022286E" w:rsidP="0022286E">
      <w:pPr>
        <w:pStyle w:val="NoSpacing"/>
      </w:pPr>
      <w:r>
        <w:t>***</w:t>
      </w:r>
    </w:p>
    <w:p w14:paraId="4651386E" w14:textId="77777777" w:rsidR="0022286E" w:rsidRDefault="0022286E" w:rsidP="0022286E">
      <w:pPr>
        <w:pStyle w:val="NoSpacing"/>
      </w:pPr>
      <w:r>
        <w:t>The CBA provides that Union members may be discharged only for ‘just cause.’ … It outlines the process MVFPD officials must follow to terminate an employee….It ‘does not include a right to a post-termination hearing’ and says that the Fire Chief is the final decisionmaker on all disciplinary matters.</w:t>
      </w:r>
    </w:p>
    <w:p w14:paraId="34EEAAA7" w14:textId="77777777" w:rsidR="0022286E" w:rsidRDefault="0022286E" w:rsidP="0022286E">
      <w:pPr>
        <w:pStyle w:val="NoSpacing"/>
      </w:pPr>
    </w:p>
    <w:p w14:paraId="4315A894" w14:textId="77777777" w:rsidR="0022286E" w:rsidRDefault="0022286E" w:rsidP="0022286E">
      <w:pPr>
        <w:pStyle w:val="NoSpacing"/>
      </w:pPr>
      <w:r>
        <w:t>In January 2023, Mr. Carter was upset to learn that a new MVFPD recruit asked not to have an American flag on his gear…. He expressed frustration to higher-ranking MVFPD employees and Human Resources…. One Human Resources employee described Mr. Carter’s comments as ‘unnecessarily confrontational, dismissive, and belittling.’ … After learning that the recruit’s request was for a religious accommodation, Mr. Carter shared that information with 14 other MVFPD employees and made ‘negative and potentially harassing’ comments.</w:t>
      </w:r>
    </w:p>
    <w:p w14:paraId="30F0FC6D" w14:textId="77777777" w:rsidR="0022286E" w:rsidRDefault="0022286E" w:rsidP="0022286E">
      <w:pPr>
        <w:pStyle w:val="NoSpacing"/>
      </w:pPr>
    </w:p>
    <w:p w14:paraId="2810A017" w14:textId="77777777" w:rsidR="0022286E" w:rsidRDefault="0022286E" w:rsidP="0022286E">
      <w:pPr>
        <w:pStyle w:val="NoSpacing"/>
      </w:pPr>
      <w:r>
        <w:t>In February 2023, Chief Beebe placed Mr. Carter on administrative leave and initiated an investigation into his conduct…. After following the CBA’s disciplinary procedures, Chief Beebe fired Mr. Carter…. He did not give Mr. Carter a post-termination hearing.”</w:t>
      </w:r>
    </w:p>
    <w:p w14:paraId="20DA5891" w14:textId="77777777" w:rsidR="0022286E" w:rsidRDefault="0022286E" w:rsidP="0022286E">
      <w:pPr>
        <w:pStyle w:val="NoSpacing"/>
      </w:pPr>
    </w:p>
    <w:p w14:paraId="73846DB7" w14:textId="77777777" w:rsidR="0022286E" w:rsidRDefault="0022286E" w:rsidP="0022286E">
      <w:pPr>
        <w:pStyle w:val="NoSpacing"/>
      </w:pPr>
      <w:r w:rsidRPr="008268FC">
        <w:rPr>
          <w:b/>
        </w:rPr>
        <w:t>COURT HELD</w:t>
      </w:r>
      <w:r>
        <w:t>:</w:t>
      </w:r>
    </w:p>
    <w:p w14:paraId="3A720AC7" w14:textId="77777777" w:rsidR="0022286E" w:rsidRDefault="0022286E" w:rsidP="0022286E">
      <w:pPr>
        <w:pStyle w:val="NoSpacing"/>
      </w:pPr>
    </w:p>
    <w:p w14:paraId="44145387" w14:textId="77777777" w:rsidR="0022286E" w:rsidRDefault="0022286E" w:rsidP="0022286E">
      <w:pPr>
        <w:pStyle w:val="NoSpacing"/>
      </w:pPr>
      <w:r>
        <w:t>“</w:t>
      </w:r>
      <w:r w:rsidRPr="00793C32">
        <w:t>Fire Chief David Beebe fired Benjamin Carter from his position as a firefighter</w:t>
      </w:r>
      <w:r>
        <w:t xml:space="preserve"> </w:t>
      </w:r>
      <w:r w:rsidRPr="00793C32">
        <w:t>with the Mountain View Fire Protection District (</w:t>
      </w:r>
      <w:r>
        <w:t>‘</w:t>
      </w:r>
      <w:r w:rsidRPr="00793C32">
        <w:t>MVFPD</w:t>
      </w:r>
      <w:r>
        <w:t>’</w:t>
      </w:r>
      <w:r w:rsidRPr="00793C32">
        <w:t>). In doing so, he followed</w:t>
      </w:r>
      <w:r>
        <w:t xml:space="preserve"> </w:t>
      </w:r>
      <w:r w:rsidRPr="00793C32">
        <w:t xml:space="preserve">the disciplinary process in the collective bargaining </w:t>
      </w:r>
      <w:proofErr w:type="gramStart"/>
      <w:r w:rsidRPr="00793C32">
        <w:t>agreement (</w:t>
      </w:r>
      <w:r>
        <w:t>‘</w:t>
      </w:r>
      <w:proofErr w:type="gramEnd"/>
      <w:r w:rsidRPr="00793C32">
        <w:t>CBA</w:t>
      </w:r>
      <w:r>
        <w:t>’</w:t>
      </w:r>
      <w:r w:rsidRPr="00793C32">
        <w:t>) between Mr. Carter’s union and the MVFPD. Mr. Carter sued Chief Beebe under 42 U.S.C.</w:t>
      </w:r>
      <w:r>
        <w:t xml:space="preserve"> </w:t>
      </w:r>
      <w:r w:rsidRPr="00793C32">
        <w:t>§ 1983 for violating his Fourteenth Amendment right to procedural due process. The</w:t>
      </w:r>
      <w:r>
        <w:t xml:space="preserve"> </w:t>
      </w:r>
      <w:r w:rsidRPr="00793C32">
        <w:t>district court denied Chief Beebe qualified immunity and granted Mr. Carter summary</w:t>
      </w:r>
      <w:r>
        <w:t xml:space="preserve"> </w:t>
      </w:r>
      <w:r w:rsidRPr="00793C32">
        <w:t>judgment. Exercising jurisdiction under 28 U.S.C. § 1291, we reverse</w:t>
      </w:r>
      <w:r>
        <w:t>.</w:t>
      </w:r>
    </w:p>
    <w:p w14:paraId="5AD536B6" w14:textId="77777777" w:rsidR="0022286E" w:rsidRDefault="0022286E" w:rsidP="0022286E">
      <w:pPr>
        <w:pStyle w:val="NoSpacing"/>
      </w:pPr>
    </w:p>
    <w:p w14:paraId="40A0C7B2" w14:textId="77777777" w:rsidR="0022286E" w:rsidRDefault="0022286E" w:rsidP="0022286E">
      <w:pPr>
        <w:pStyle w:val="NoSpacing"/>
      </w:pPr>
      <w:r>
        <w:t>***</w:t>
      </w:r>
    </w:p>
    <w:p w14:paraId="7319E0DC" w14:textId="77777777" w:rsidR="0022286E" w:rsidRDefault="0022286E" w:rsidP="0022286E">
      <w:pPr>
        <w:pStyle w:val="NoSpacing"/>
      </w:pPr>
      <w:r>
        <w:t xml:space="preserve">Mr. Carter has not cited a Supreme Court, Tenth Circuit, or other circuit case that has applied </w:t>
      </w:r>
      <w:r w:rsidRPr="008726EA">
        <w:rPr>
          <w:i/>
          <w:iCs/>
        </w:rPr>
        <w:t>Loudermill</w:t>
      </w:r>
      <w:r>
        <w:t xml:space="preserve"> to a CBA. He instead relies on general statements of procedural due process law rather than cases that establish ‘the violative nature of particular conduct’ at issue here. Mullenix, 577 U.S. at 12. A contract between the union and the public employer is not the same as a state statute. Mr. Carter therefore has not shown that ‘every reasonable official would have understood’ that the CBA, a contractually bargained-for disciplinary procedure, violated the Constitution. Redmond v. Crowther,</w:t>
      </w:r>
      <w:r w:rsidRPr="009F6B33">
        <w:t xml:space="preserve"> </w:t>
      </w:r>
      <w:r>
        <w:t>882 F.3d 927, 935 (10th Cir. 2018) (quotations omitted).5 And because he has not met his burden of establishing that Chief Beebe violated clearly established constitutional law, Chief Beebe is entitled to qualified immunity on Mr. Carter’s procedural due process claim.”</w:t>
      </w:r>
    </w:p>
    <w:p w14:paraId="42D45906" w14:textId="77777777" w:rsidR="0022286E" w:rsidRPr="009204D5" w:rsidRDefault="0022286E" w:rsidP="0022286E">
      <w:pPr>
        <w:pStyle w:val="NoSpacing"/>
        <w:rPr>
          <w:b/>
          <w:bCs/>
        </w:rPr>
      </w:pPr>
    </w:p>
    <w:p w14:paraId="676813D1" w14:textId="77777777" w:rsidR="0022286E" w:rsidRPr="00F53AA1" w:rsidRDefault="0022286E" w:rsidP="0022286E">
      <w:pPr>
        <w:pStyle w:val="NoSpacing"/>
        <w:rPr>
          <w:b/>
          <w:bCs/>
        </w:rPr>
      </w:pPr>
      <w:r w:rsidRPr="00F53AA1">
        <w:rPr>
          <w:b/>
        </w:rPr>
        <w:t xml:space="preserve">Legal lesson learned: CBA did not require </w:t>
      </w:r>
      <w:r w:rsidRPr="00F53AA1">
        <w:rPr>
          <w:b/>
          <w:i/>
          <w:iCs/>
        </w:rPr>
        <w:t xml:space="preserve">Loudermill </w:t>
      </w:r>
      <w:r w:rsidRPr="00F53AA1">
        <w:rPr>
          <w:b/>
        </w:rPr>
        <w:t xml:space="preserve">pre-termination or pos-termination hearing. However, providing a “due process” hearing can avoid unnecessary litigation. </w:t>
      </w:r>
    </w:p>
    <w:p w14:paraId="1ECD348F" w14:textId="77777777" w:rsidR="0022286E" w:rsidRPr="00F53AA1" w:rsidRDefault="0022286E" w:rsidP="0022286E">
      <w:pPr>
        <w:pStyle w:val="NoSpacing"/>
        <w:rPr>
          <w:b/>
          <w:bCs/>
          <w:i/>
          <w:iCs/>
        </w:rPr>
      </w:pPr>
    </w:p>
    <w:p w14:paraId="4166208D" w14:textId="77777777" w:rsidR="0022286E" w:rsidRPr="007C2593" w:rsidRDefault="0022286E" w:rsidP="0022286E">
      <w:pPr>
        <w:pStyle w:val="NoSpacing"/>
        <w:ind w:left="720"/>
      </w:pPr>
      <w:r>
        <w:t xml:space="preserve">Note: See this June 22, </w:t>
      </w:r>
      <w:proofErr w:type="gramStart"/>
      <w:r>
        <w:t>2026</w:t>
      </w:r>
      <w:proofErr w:type="gramEnd"/>
      <w:r>
        <w:t xml:space="preserve"> article: “1</w:t>
      </w:r>
      <w:r w:rsidRPr="00C77494">
        <w:t>0th Circuit grants Boulder-Weld district’s fire chief immunity for firing union leader</w:t>
      </w:r>
      <w:r>
        <w:t xml:space="preserve">.” </w:t>
      </w:r>
      <w:r w:rsidRPr="000854AC">
        <w:t>The events that triggered Carter’s termination began on Jan. 30, 2023. At the time, Carter was the newly elected president of the union. Although he was not on duty that day, he went to the station to handle gear for new employees. A supplier was making a delivery and mentioned he received a request to remove the American flag from a specific new hire’s protective equipment.</w:t>
      </w:r>
      <w:r>
        <w:t xml:space="preserve"> </w:t>
      </w:r>
      <w:r w:rsidRPr="007C2593">
        <w:t>While multiple people noted in statements that the gear did not have the American flag on it to begin with, Carter reportedly became upset and raised the issue with a captain. He learned that the new employee had requested a religious accommodation as a Jehovah’s Witness, and that Beebe approved it.</w:t>
      </w:r>
      <w:r>
        <w:t xml:space="preserve"> </w:t>
      </w:r>
      <w:r w:rsidRPr="007C2593">
        <w:t xml:space="preserve">Carter, who was under the impression he could speak with others about the issue, discussed </w:t>
      </w:r>
      <w:proofErr w:type="gramStart"/>
      <w:r w:rsidRPr="007C2593">
        <w:t>the religious</w:t>
      </w:r>
      <w:proofErr w:type="gramEnd"/>
      <w:r w:rsidRPr="007C2593">
        <w:t xml:space="preserve"> accommodation with around 14 other employees.</w:t>
      </w:r>
      <w:r>
        <w:t xml:space="preserve"> </w:t>
      </w:r>
      <w:r w:rsidRPr="00221F17">
        <w:t>Leadership met on Feb. 6 and decided to investigate Carter’s conduct. The district then placed Carter on administrative leave. The deputy chief spent the month of February investigating and concluded that Carter should be charged with insubordination, the dissemination of confidential information and other misconduct.</w:t>
      </w:r>
      <w:r>
        <w:t>”</w:t>
      </w:r>
      <w:r w:rsidRPr="00523D68">
        <w:t xml:space="preserve"> </w:t>
      </w:r>
      <w:hyperlink r:id="rId2751" w:anchor="google_vignette" w:history="1">
        <w:r w:rsidRPr="00494C21">
          <w:rPr>
            <w:rStyle w:val="Hyperlink"/>
          </w:rPr>
          <w:t>https://www.coloradopolitics.com/2026/06/22/10th-circuit-grants-boulder-weld-districts-fire-chief-immunity-for-firing-union-leader/#google_vignette</w:t>
        </w:r>
      </w:hyperlink>
      <w:r>
        <w:t xml:space="preserve"> </w:t>
      </w:r>
    </w:p>
    <w:p w14:paraId="05FB8975" w14:textId="77777777" w:rsidR="0022286E" w:rsidRPr="00C77494" w:rsidRDefault="0022286E" w:rsidP="0022286E">
      <w:pPr>
        <w:pStyle w:val="NoSpacing"/>
        <w:ind w:left="720"/>
        <w:rPr>
          <w:bCs/>
        </w:rPr>
      </w:pPr>
    </w:p>
    <w:p w14:paraId="1DD504E1" w14:textId="77777777" w:rsidR="0022286E" w:rsidRPr="0043758B" w:rsidRDefault="0022286E" w:rsidP="0022286E">
      <w:pPr>
        <w:pStyle w:val="NoSpacing"/>
        <w:rPr>
          <w:bCs/>
        </w:rPr>
      </w:pPr>
    </w:p>
    <w:p w14:paraId="1028E822" w14:textId="77777777" w:rsidR="0022286E" w:rsidRDefault="0022286E" w:rsidP="0022286E">
      <w:pPr>
        <w:pStyle w:val="NoSpacing"/>
        <w:rPr>
          <w:rFonts w:ascii="Arial Black" w:hAnsi="Arial Black"/>
          <w:b/>
          <w:sz w:val="28"/>
          <w:szCs w:val="28"/>
        </w:rPr>
      </w:pPr>
    </w:p>
    <w:p w14:paraId="3CEDDDE9" w14:textId="3A1320FD" w:rsidR="00171FE4" w:rsidRDefault="00171FE4" w:rsidP="00171FE4">
      <w:pPr>
        <w:pStyle w:val="NoSpacing"/>
        <w:rPr>
          <w:rFonts w:ascii="Arial Black" w:hAnsi="Arial Black"/>
          <w:sz w:val="24"/>
          <w:szCs w:val="24"/>
        </w:rPr>
      </w:pPr>
      <w:r>
        <w:rPr>
          <w:rFonts w:ascii="Arial Black" w:hAnsi="Arial Black"/>
          <w:sz w:val="24"/>
          <w:szCs w:val="24"/>
        </w:rPr>
        <w:t>17-6</w:t>
      </w:r>
      <w:r>
        <w:rPr>
          <w:rFonts w:ascii="Arial Black" w:hAnsi="Arial Black"/>
          <w:sz w:val="24"/>
          <w:szCs w:val="24"/>
        </w:rPr>
        <w:t>2</w:t>
      </w:r>
    </w:p>
    <w:p w14:paraId="0F57FAD9" w14:textId="77777777" w:rsidR="00171FE4" w:rsidRDefault="00171FE4" w:rsidP="0022286E">
      <w:pPr>
        <w:rPr>
          <w:rFonts w:ascii="Arial Black" w:hAnsi="Arial Black"/>
          <w:b/>
          <w:sz w:val="28"/>
          <w:szCs w:val="28"/>
        </w:rPr>
      </w:pPr>
    </w:p>
    <w:p w14:paraId="127BA30D" w14:textId="698E336E" w:rsidR="0022286E" w:rsidRPr="00443BC5" w:rsidRDefault="0022286E" w:rsidP="0022286E">
      <w:pPr>
        <w:rPr>
          <w:rFonts w:ascii="Arial Black" w:hAnsi="Arial Black"/>
          <w:b/>
          <w:sz w:val="28"/>
          <w:szCs w:val="28"/>
        </w:rPr>
      </w:pPr>
      <w:r>
        <w:rPr>
          <w:rFonts w:ascii="Arial Black" w:hAnsi="Arial Black"/>
          <w:b/>
          <w:sz w:val="28"/>
          <w:szCs w:val="28"/>
        </w:rPr>
        <w:t>NC: UNION PRES. – RETAL – COUNCIL / PUBLIC CONCERN</w:t>
      </w:r>
    </w:p>
    <w:p w14:paraId="2C2AD7CE" w14:textId="77777777" w:rsidR="0022286E" w:rsidRDefault="0022286E" w:rsidP="0022286E">
      <w:pPr>
        <w:rPr>
          <w:b/>
        </w:rPr>
      </w:pPr>
      <w:r>
        <w:t xml:space="preserve">On June 18, 2026, in </w:t>
      </w:r>
      <w:r w:rsidRPr="000A7833">
        <w:rPr>
          <w:u w:val="single"/>
        </w:rPr>
        <w:t>Robert Tempeton v. City of High Point</w:t>
      </w:r>
      <w:r>
        <w:t xml:space="preserve">, U.S. District Court Judge Thomas D. Schroeder, United States District Court for Middle District of North Carolina, denied the </w:t>
      </w:r>
      <w:r w:rsidRPr="00196D0E">
        <w:t xml:space="preserve">motion for summary judgment </w:t>
      </w:r>
      <w:proofErr w:type="gramStart"/>
      <w:r w:rsidRPr="00196D0E">
        <w:t>on the basis of</w:t>
      </w:r>
      <w:proofErr w:type="gramEnd"/>
      <w:r w:rsidRPr="00196D0E">
        <w:t xml:space="preserve"> qualified immunity</w:t>
      </w:r>
      <w:r>
        <w:t xml:space="preserve"> of two members of City Council: </w:t>
      </w:r>
      <w:r w:rsidRPr="00764B00">
        <w:t>Brian Evans, and Thomas Reid</w:t>
      </w:r>
      <w:r>
        <w:t>. There is evidence of retaliation against the President of IAFF Local</w:t>
      </w:r>
      <w:r w:rsidRPr="003E7DA1">
        <w:t xml:space="preserve"> 673</w:t>
      </w:r>
      <w:r>
        <w:t xml:space="preserve"> for addressing City Council on matters of public concern.  The retaliation includes transferring </w:t>
      </w:r>
      <w:proofErr w:type="spellStart"/>
      <w:r>
        <w:t>Tempeton</w:t>
      </w:r>
      <w:proofErr w:type="spellEnd"/>
      <w:r>
        <w:t>, a 25-year member of the FD to a slower station, and numerous “counseling forms.” The Court wrote: “</w:t>
      </w:r>
      <w:r w:rsidRPr="00861D6D">
        <w:t>For the reasons expressed at the hearing, however, Templeton has offered sufficient evidence to establish a genuine dispute of material fact as to whether HPFD took adverse employment actions against him linked to his First Amendment expression.</w:t>
      </w:r>
      <w:r>
        <w:t xml:space="preserve">”  </w:t>
      </w:r>
      <w:hyperlink r:id="rId2752" w:history="1">
        <w:r w:rsidRPr="004E2277">
          <w:rPr>
            <w:rStyle w:val="Hyperlink"/>
            <w:b/>
          </w:rPr>
          <w:t>https://www.casemine.com/judgement/us/6a367934174bb89f9fdb2ff2</w:t>
        </w:r>
      </w:hyperlink>
      <w:r>
        <w:rPr>
          <w:b/>
        </w:rPr>
        <w:t xml:space="preserve"> </w:t>
      </w:r>
    </w:p>
    <w:p w14:paraId="02A5C884" w14:textId="77777777" w:rsidR="0022286E" w:rsidRDefault="0022286E" w:rsidP="0022286E">
      <w:pPr>
        <w:rPr>
          <w:bCs/>
        </w:rPr>
      </w:pPr>
      <w:r>
        <w:t xml:space="preserve"> </w:t>
      </w:r>
    </w:p>
    <w:p w14:paraId="2D0A18CA" w14:textId="77777777" w:rsidR="0022286E" w:rsidRDefault="0022286E" w:rsidP="0022286E">
      <w:pPr>
        <w:rPr>
          <w:b/>
        </w:rPr>
      </w:pPr>
      <w:r>
        <w:rPr>
          <w:b/>
        </w:rPr>
        <w:t>FACTS:</w:t>
      </w:r>
    </w:p>
    <w:p w14:paraId="7765D6FF" w14:textId="77777777" w:rsidR="0022286E" w:rsidRPr="007F7AB4" w:rsidRDefault="0022286E" w:rsidP="0022286E">
      <w:pPr>
        <w:pStyle w:val="NoSpacing"/>
      </w:pPr>
      <w:r w:rsidRPr="007F7AB4">
        <w:t> </w:t>
      </w:r>
      <w:r>
        <w:t>“</w:t>
      </w:r>
      <w:r w:rsidRPr="007F7AB4">
        <w:t>Plaintiff Robert Templeton began his employment with the High Point Fire Department (</w:t>
      </w:r>
      <w:r>
        <w:t>‘</w:t>
      </w:r>
      <w:r w:rsidRPr="007F7AB4">
        <w:t>HPFD</w:t>
      </w:r>
      <w:r>
        <w:t>’</w:t>
      </w:r>
      <w:r w:rsidRPr="007F7AB4">
        <w:t>) in June 2000</w:t>
      </w:r>
      <w:r>
        <w:t xml:space="preserve">…. </w:t>
      </w:r>
      <w:r w:rsidRPr="007F7AB4">
        <w:t>He currently holds the rank of Fire Captain II</w:t>
      </w:r>
      <w:r>
        <w:t xml:space="preserve">…. </w:t>
      </w:r>
      <w:r w:rsidRPr="007F7AB4">
        <w:t xml:space="preserve">Templeton </w:t>
      </w:r>
    </w:p>
    <w:p w14:paraId="18F5EEC6" w14:textId="77777777" w:rsidR="0022286E" w:rsidRDefault="0022286E" w:rsidP="0022286E">
      <w:pPr>
        <w:pStyle w:val="NoSpacing"/>
      </w:pPr>
      <w:r w:rsidRPr="007F7AB4">
        <w:t>became President of Local 673 of the International Association of Fire Fighters (</w:t>
      </w:r>
      <w:r>
        <w:t>‘</w:t>
      </w:r>
      <w:r w:rsidRPr="007F7AB4">
        <w:t>IAFF</w:t>
      </w:r>
      <w:r>
        <w:t>’</w:t>
      </w:r>
      <w:r w:rsidRPr="007F7AB4">
        <w:t>) in January 2023</w:t>
      </w:r>
      <w:r>
        <w:t xml:space="preserve">…. </w:t>
      </w:r>
      <w:r w:rsidRPr="007F7AB4">
        <w:t>The IAFF is a labor union which represents more than 360,000 firefighters, paramedics, and emergency responders in the United States and Canada</w:t>
      </w:r>
      <w:r>
        <w:t xml:space="preserve">…. </w:t>
      </w:r>
      <w:r w:rsidRPr="007F7AB4">
        <w:t>IAFF Local 673 had fewer than ten members at the beginning of Templeton's tenure as President, despite there being approximately 240 HPFD employees</w:t>
      </w:r>
      <w:r>
        <w:t>….</w:t>
      </w:r>
    </w:p>
    <w:p w14:paraId="2DD5D867" w14:textId="77777777" w:rsidR="0022286E" w:rsidRPr="007F7AB4" w:rsidRDefault="0022286E" w:rsidP="0022286E">
      <w:pPr>
        <w:pStyle w:val="NoSpacing"/>
      </w:pPr>
      <w:r w:rsidRPr="007F7AB4">
        <w:t xml:space="preserve"> </w:t>
      </w:r>
    </w:p>
    <w:p w14:paraId="7FDBC347" w14:textId="77777777" w:rsidR="0022286E" w:rsidRDefault="0022286E" w:rsidP="0022286E">
      <w:pPr>
        <w:pStyle w:val="NoSpacing"/>
      </w:pPr>
      <w:r w:rsidRPr="007F7AB4">
        <w:t xml:space="preserve">Shortly after starting as President, Templeton reached out to the High Point Mayor, High Point City Council, and the High Point City Manager to express his views on what he considered </w:t>
      </w:r>
      <w:r>
        <w:t>‘</w:t>
      </w:r>
      <w:r w:rsidRPr="007F7AB4">
        <w:t>matters of public concern,</w:t>
      </w:r>
      <w:r>
        <w:t>’</w:t>
      </w:r>
      <w:r w:rsidRPr="007F7AB4">
        <w:t xml:space="preserve"> </w:t>
      </w:r>
      <w:r>
        <w:t>‘</w:t>
      </w:r>
      <w:proofErr w:type="spellStart"/>
      <w:r w:rsidRPr="007F7AB4">
        <w:t>includ</w:t>
      </w:r>
      <w:proofErr w:type="spellEnd"/>
      <w:r w:rsidRPr="007F7AB4">
        <w:t>[</w:t>
      </w:r>
      <w:proofErr w:type="spellStart"/>
      <w:r w:rsidRPr="007F7AB4">
        <w:t>ing</w:t>
      </w:r>
      <w:proofErr w:type="spellEnd"/>
      <w:r w:rsidRPr="007F7AB4">
        <w:t>] staffing shortages and pay-related issues.</w:t>
      </w:r>
      <w:r>
        <w:t>’ ….</w:t>
      </w:r>
      <w:r w:rsidRPr="007F7AB4">
        <w:t>On February 6, 2023, he addressed the High Point City Council about such concerns</w:t>
      </w:r>
      <w:r>
        <w:t xml:space="preserve">…. </w:t>
      </w:r>
    </w:p>
    <w:p w14:paraId="2CDF6F28" w14:textId="77777777" w:rsidR="0022286E" w:rsidRDefault="0022286E" w:rsidP="0022286E">
      <w:pPr>
        <w:pStyle w:val="NoSpacing"/>
      </w:pPr>
    </w:p>
    <w:p w14:paraId="12B82ED2" w14:textId="77777777" w:rsidR="0022286E" w:rsidRDefault="0022286E" w:rsidP="0022286E">
      <w:pPr>
        <w:pStyle w:val="NoSpacing"/>
      </w:pPr>
      <w:r w:rsidRPr="007F7AB4">
        <w:t xml:space="preserve">In the fall of that </w:t>
      </w:r>
      <w:proofErr w:type="gramStart"/>
      <w:r w:rsidRPr="007F7AB4">
        <w:t>year</w:t>
      </w:r>
      <w:proofErr w:type="gramEnd"/>
      <w:r w:rsidRPr="007F7AB4">
        <w:t xml:space="preserve"> he met with Cyril Jefferson, then a candidate for Mayor of High Point; news of that meeting spread throughout HPFD, and HPFD leadership, according to Templeton, backed Jefferson's opponent</w:t>
      </w:r>
      <w:r>
        <w:t xml:space="preserve">…. </w:t>
      </w:r>
      <w:r w:rsidRPr="007F7AB4">
        <w:t>Several weeks after this meeting, on October 24, Templeton received the lowest performance review of his career</w:t>
      </w:r>
      <w:r>
        <w:t xml:space="preserve">…. </w:t>
      </w:r>
      <w:r w:rsidRPr="007F7AB4">
        <w:t>Local 673 nevertheless endorsed Jefferson for mayor on October 30. (</w:t>
      </w:r>
      <w:r w:rsidRPr="007F7AB4">
        <w:rPr>
          <w:i/>
          <w:iCs/>
        </w:rPr>
        <w:t>Id.</w:t>
      </w:r>
      <w:r w:rsidRPr="007F7AB4">
        <w:t>) Templeton posted on social media about Local 673's support for Jefferson, both before and after Jefferson won the mayorship in November</w:t>
      </w:r>
      <w:r>
        <w:t>….</w:t>
      </w:r>
    </w:p>
    <w:p w14:paraId="3EE8E73C" w14:textId="77777777" w:rsidR="0022286E" w:rsidRDefault="0022286E" w:rsidP="0022286E">
      <w:pPr>
        <w:pStyle w:val="NoSpacing"/>
      </w:pPr>
    </w:p>
    <w:p w14:paraId="07FBC470" w14:textId="77777777" w:rsidR="0022286E" w:rsidRDefault="0022286E" w:rsidP="0022286E">
      <w:pPr>
        <w:pStyle w:val="NoSpacing"/>
      </w:pPr>
      <w:r>
        <w:t>***</w:t>
      </w:r>
    </w:p>
    <w:p w14:paraId="60ABB5C8" w14:textId="77777777" w:rsidR="0022286E" w:rsidRDefault="0022286E" w:rsidP="0022286E">
      <w:pPr>
        <w:pStyle w:val="NoSpacing"/>
      </w:pPr>
    </w:p>
    <w:p w14:paraId="3669A33B" w14:textId="77777777" w:rsidR="0022286E" w:rsidRDefault="0022286E" w:rsidP="0022286E">
      <w:pPr>
        <w:pStyle w:val="NoSpacing"/>
      </w:pPr>
      <w:r w:rsidRPr="00127CE3">
        <w:t xml:space="preserve">On March 6, </w:t>
      </w:r>
      <w:proofErr w:type="gramStart"/>
      <w:r w:rsidRPr="00127CE3">
        <w:t>2023</w:t>
      </w:r>
      <w:proofErr w:type="gramEnd"/>
      <w:r>
        <w:t xml:space="preserve"> … </w:t>
      </w:r>
      <w:r w:rsidRPr="00127CE3">
        <w:t>Templeton received a counseling form for his decision to execute a “suicide run” - deliberately driving on the left (wrong) side of the road to arrive more quickly at the scene of an emergency</w:t>
      </w:r>
      <w:r>
        <w:t xml:space="preserve">…. </w:t>
      </w:r>
    </w:p>
    <w:p w14:paraId="0DA7E5A7" w14:textId="77777777" w:rsidR="0022286E" w:rsidRDefault="0022286E" w:rsidP="0022286E">
      <w:pPr>
        <w:pStyle w:val="NoSpacing"/>
      </w:pPr>
    </w:p>
    <w:p w14:paraId="7D21FBA0" w14:textId="77777777" w:rsidR="0022286E" w:rsidRDefault="0022286E" w:rsidP="0022286E">
      <w:pPr>
        <w:pStyle w:val="NoSpacing"/>
      </w:pPr>
      <w:r>
        <w:t>***</w:t>
      </w:r>
    </w:p>
    <w:p w14:paraId="1BBF1FAA" w14:textId="77777777" w:rsidR="0022286E" w:rsidRDefault="0022286E" w:rsidP="0022286E">
      <w:pPr>
        <w:pStyle w:val="NoSpacing"/>
      </w:pPr>
      <w:r w:rsidRPr="00F23095">
        <w:t>On September 7, 2023, Templeton received a counseling form for his objection to carrying out a training exercise during high temperatures</w:t>
      </w:r>
      <w:r>
        <w:t xml:space="preserve">…. </w:t>
      </w:r>
      <w:r w:rsidRPr="00A02BF8">
        <w:t>Templeton declares that he has never heard of an HPFD employee being disciplined for deciding to carry out a suicide run or objecting to training exercises during high temperatures.</w:t>
      </w:r>
    </w:p>
    <w:p w14:paraId="0E2E7E06" w14:textId="77777777" w:rsidR="0022286E" w:rsidRDefault="0022286E" w:rsidP="0022286E">
      <w:pPr>
        <w:pStyle w:val="NoSpacing"/>
      </w:pPr>
    </w:p>
    <w:p w14:paraId="28A567AD" w14:textId="77777777" w:rsidR="0022286E" w:rsidRDefault="0022286E" w:rsidP="0022286E">
      <w:pPr>
        <w:pStyle w:val="NoSpacing"/>
      </w:pPr>
      <w:r>
        <w:t>***</w:t>
      </w:r>
    </w:p>
    <w:p w14:paraId="6C8713DD" w14:textId="77777777" w:rsidR="0022286E" w:rsidRDefault="0022286E" w:rsidP="0022286E">
      <w:pPr>
        <w:pStyle w:val="NoSpacing"/>
      </w:pPr>
      <w:r w:rsidRPr="00045AFF">
        <w:t>Templeton was involuntarily transferred to Station 11 from Station 4 on November 27, 2023; he had not requested a transfer</w:t>
      </w:r>
      <w:r>
        <w:t xml:space="preserve">…. </w:t>
      </w:r>
      <w:r w:rsidRPr="00045AFF">
        <w:t xml:space="preserve">Station 11 is a </w:t>
      </w:r>
      <w:r>
        <w:t>‘</w:t>
      </w:r>
      <w:r w:rsidRPr="00045AFF">
        <w:t>punishment station</w:t>
      </w:r>
      <w:r>
        <w:t>’</w:t>
      </w:r>
      <w:r w:rsidRPr="00045AFF">
        <w:t xml:space="preserve"> because, Templeton declares, higher call volume is correlated with higher performance reviews, which in turn corresponds to higher compensation</w:t>
      </w:r>
      <w:r>
        <w:t>….</w:t>
      </w:r>
      <w:r w:rsidRPr="00045AFF">
        <w:t xml:space="preserve"> Station 11 is one of the slowest stations in High Point, while Station 4 is one of the busiest</w:t>
      </w:r>
      <w:r>
        <w:t xml:space="preserve">…. </w:t>
      </w:r>
    </w:p>
    <w:p w14:paraId="1511F215" w14:textId="77777777" w:rsidR="0022286E" w:rsidRDefault="0022286E" w:rsidP="0022286E">
      <w:pPr>
        <w:pStyle w:val="NoSpacing"/>
      </w:pPr>
    </w:p>
    <w:p w14:paraId="6C80DF93" w14:textId="77777777" w:rsidR="0022286E" w:rsidRDefault="0022286E" w:rsidP="0022286E">
      <w:pPr>
        <w:pStyle w:val="NoSpacing"/>
      </w:pPr>
      <w:r>
        <w:t>***</w:t>
      </w:r>
    </w:p>
    <w:p w14:paraId="270E0357" w14:textId="77777777" w:rsidR="0022286E" w:rsidRDefault="0022286E" w:rsidP="0022286E">
      <w:pPr>
        <w:pStyle w:val="NoSpacing"/>
      </w:pPr>
      <w:r w:rsidRPr="0067275E">
        <w:t>On March 29, 2024, Defendant Reid, the fire chief, retired, and Defendant Evans was named interim fire chief</w:t>
      </w:r>
      <w:r>
        <w:t xml:space="preserve">…. </w:t>
      </w:r>
      <w:r w:rsidRPr="0067275E">
        <w:t>In April, Evans met with Templeton about his union speaking and told him that fire department concerns needed to be raised through the chain of command</w:t>
      </w:r>
      <w:r>
        <w:t>….</w:t>
      </w:r>
      <w:r w:rsidRPr="0067275E">
        <w:t>Templeton filed a grievance thereafter</w:t>
      </w:r>
      <w:r>
        <w:t>….</w:t>
      </w:r>
    </w:p>
    <w:p w14:paraId="5FA2DAAC" w14:textId="77777777" w:rsidR="0022286E" w:rsidRDefault="0022286E" w:rsidP="0022286E">
      <w:pPr>
        <w:pStyle w:val="NoSpacing"/>
      </w:pPr>
    </w:p>
    <w:p w14:paraId="05ABEFED" w14:textId="77777777" w:rsidR="0022286E" w:rsidRDefault="0022286E" w:rsidP="0022286E">
      <w:pPr>
        <w:pStyle w:val="NoSpacing"/>
      </w:pPr>
      <w:r>
        <w:t>***</w:t>
      </w:r>
    </w:p>
    <w:p w14:paraId="301FF8BE" w14:textId="77777777" w:rsidR="0022286E" w:rsidRDefault="0022286E" w:rsidP="0022286E">
      <w:pPr>
        <w:pStyle w:val="NoSpacing"/>
      </w:pPr>
      <w:r w:rsidRPr="00C5729B">
        <w:t xml:space="preserve">On April 8, 2024, Templeton received a counseling form signed by Evans, advising him that his </w:t>
      </w:r>
      <w:r>
        <w:t>‘</w:t>
      </w:r>
      <w:r w:rsidRPr="00C5729B">
        <w:t>conversations with members of City Council in reference to Fire Department concerns . . . violate[] departmental policy (chain of command)</w:t>
      </w:r>
      <w:r>
        <w:t xml:space="preserve">…. </w:t>
      </w:r>
    </w:p>
    <w:p w14:paraId="559659DA" w14:textId="77777777" w:rsidR="0022286E" w:rsidRDefault="0022286E" w:rsidP="0022286E">
      <w:pPr>
        <w:pStyle w:val="NoSpacing"/>
      </w:pPr>
    </w:p>
    <w:p w14:paraId="0401EF51" w14:textId="77777777" w:rsidR="0022286E" w:rsidRDefault="0022286E" w:rsidP="0022286E">
      <w:pPr>
        <w:pStyle w:val="NoSpacing"/>
      </w:pPr>
      <w:r>
        <w:t>***</w:t>
      </w:r>
    </w:p>
    <w:p w14:paraId="5946B836" w14:textId="77777777" w:rsidR="0022286E" w:rsidRDefault="0022286E" w:rsidP="0022286E">
      <w:pPr>
        <w:pStyle w:val="NoSpacing"/>
      </w:pPr>
      <w:r w:rsidRPr="00024CDC">
        <w:t>On May 28, Templeton met with High Point officials to discuss his grievance; present at the meeting were High Point Human Resources Director Scherrie Lowery, Angela Kirkwood, and HPFD leadership, including Evans</w:t>
      </w:r>
      <w:r>
        <w:t xml:space="preserve">…. </w:t>
      </w:r>
      <w:r w:rsidRPr="00024CDC">
        <w:t>At this meeting, Kirkwood repeatedly told Templeton that he was not prohibited from speaking as a citizen on matters of public concern. (</w:t>
      </w:r>
      <w:r w:rsidRPr="00024CDC">
        <w:rPr>
          <w:i/>
          <w:iCs/>
        </w:rPr>
        <w:t>See generally</w:t>
      </w:r>
      <w:r w:rsidRPr="00024CDC">
        <w:t xml:space="preserve"> Audio Recording of Plaintiff's May 28, </w:t>
      </w:r>
      <w:proofErr w:type="gramStart"/>
      <w:r w:rsidRPr="00024CDC">
        <w:t>2024</w:t>
      </w:r>
      <w:proofErr w:type="gramEnd"/>
      <w:r w:rsidRPr="00024CDC">
        <w:t xml:space="preserve"> Meeting (Exhibit C to Doc. 26).) But Kirkwood and others repeatedly expressed their view that </w:t>
      </w:r>
      <w:r>
        <w:t>‘</w:t>
      </w:r>
      <w:r w:rsidRPr="00024CDC">
        <w:t>fire department concerns</w:t>
      </w:r>
      <w:r>
        <w:t>’</w:t>
      </w:r>
      <w:r w:rsidRPr="00024CDC">
        <w:t xml:space="preserve"> should be brought up through HPFD's chain of command, rather than directly to members of High Point's governance</w:t>
      </w:r>
      <w:r>
        <w:t xml:space="preserve">…. </w:t>
      </w:r>
      <w:r w:rsidRPr="00024CDC">
        <w:t xml:space="preserve">A member of HPFD leadership, possibly Evans, also expressed a narrow view of what constituted a matter of public concern. He stated as an example that the closure of six fire stations would be a matter of public concern, but that the issues Templeton had been raising were specific to HPFD - and these were </w:t>
      </w:r>
      <w:r>
        <w:t>‘</w:t>
      </w:r>
      <w:r w:rsidRPr="00024CDC">
        <w:t>two different things.</w:t>
      </w:r>
      <w:r>
        <w:t xml:space="preserve">’ </w:t>
      </w:r>
    </w:p>
    <w:p w14:paraId="0915DBE4" w14:textId="77777777" w:rsidR="0022286E" w:rsidRDefault="0022286E" w:rsidP="0022286E">
      <w:pPr>
        <w:pStyle w:val="NoSpacing"/>
      </w:pPr>
    </w:p>
    <w:p w14:paraId="26A17F5D" w14:textId="77777777" w:rsidR="0022286E" w:rsidRDefault="0022286E" w:rsidP="0022286E">
      <w:pPr>
        <w:pStyle w:val="NoSpacing"/>
      </w:pPr>
      <w:r>
        <w:t>***</w:t>
      </w:r>
    </w:p>
    <w:p w14:paraId="1C9FDBD8" w14:textId="77777777" w:rsidR="0022286E" w:rsidRDefault="0022286E" w:rsidP="0022286E">
      <w:pPr>
        <w:pStyle w:val="NoSpacing"/>
      </w:pPr>
      <w:r w:rsidRPr="003D29B6">
        <w:t>Templeton filed this lawsuit on August 9, 2024.</w:t>
      </w:r>
      <w:r>
        <w:t>”</w:t>
      </w:r>
    </w:p>
    <w:p w14:paraId="3BC1A4C4" w14:textId="77777777" w:rsidR="0022286E" w:rsidRDefault="0022286E" w:rsidP="0022286E">
      <w:pPr>
        <w:pStyle w:val="NoSpacing"/>
      </w:pPr>
    </w:p>
    <w:p w14:paraId="0EDACEFE" w14:textId="77777777" w:rsidR="0022286E" w:rsidRDefault="0022286E" w:rsidP="0022286E">
      <w:pPr>
        <w:pStyle w:val="NoSpacing"/>
      </w:pPr>
      <w:r>
        <w:t>***</w:t>
      </w:r>
    </w:p>
    <w:p w14:paraId="7B43AD4D" w14:textId="77777777" w:rsidR="0022286E" w:rsidRDefault="0022286E" w:rsidP="0022286E">
      <w:pPr>
        <w:pStyle w:val="NoSpacing"/>
      </w:pPr>
      <w:r w:rsidRPr="00E57DDD">
        <w:t xml:space="preserve"> On September 6, 2024, Templeton was involved in a </w:t>
      </w:r>
      <w:r>
        <w:t>‘</w:t>
      </w:r>
      <w:r w:rsidRPr="00E57DDD">
        <w:t>verbal altercation</w:t>
      </w:r>
      <w:r>
        <w:t>’</w:t>
      </w:r>
      <w:r w:rsidRPr="00E57DDD">
        <w:t xml:space="preserve"> with a community member while he responded to an emergency call; HPFD ordered him </w:t>
      </w:r>
      <w:r>
        <w:t>‘</w:t>
      </w:r>
      <w:r w:rsidRPr="00E57DDD">
        <w:t xml:space="preserve">to undergo mandatory EAP </w:t>
      </w:r>
      <w:proofErr w:type="gramStart"/>
      <w:r w:rsidRPr="00E57DDD">
        <w:t>sessions</w:t>
      </w:r>
      <w:r>
        <w:t>’</w:t>
      </w:r>
      <w:proofErr w:type="gramEnd"/>
      <w:r w:rsidRPr="00E57DDD">
        <w:t xml:space="preserve"> after the incident. </w:t>
      </w:r>
    </w:p>
    <w:p w14:paraId="6E5C6AAA" w14:textId="77777777" w:rsidR="0022286E" w:rsidRDefault="0022286E" w:rsidP="0022286E">
      <w:pPr>
        <w:pStyle w:val="NoSpacing"/>
      </w:pPr>
    </w:p>
    <w:p w14:paraId="6A74FA29" w14:textId="77777777" w:rsidR="0022286E" w:rsidRDefault="0022286E" w:rsidP="0022286E">
      <w:pPr>
        <w:pStyle w:val="NoSpacing"/>
      </w:pPr>
      <w:r>
        <w:t>***</w:t>
      </w:r>
    </w:p>
    <w:p w14:paraId="24ADE138" w14:textId="77777777" w:rsidR="0022286E" w:rsidRDefault="0022286E" w:rsidP="0022286E">
      <w:pPr>
        <w:pStyle w:val="NoSpacing"/>
      </w:pPr>
      <w:r w:rsidRPr="00E57DDD">
        <w:t>Finally, on December 30, 2024, Templeton was disciplined for failing to timely respond to an emergency call notification.</w:t>
      </w:r>
      <w:r>
        <w:t>”</w:t>
      </w:r>
    </w:p>
    <w:p w14:paraId="3DA5F184" w14:textId="77777777" w:rsidR="0022286E" w:rsidRDefault="0022286E" w:rsidP="0022286E">
      <w:pPr>
        <w:pStyle w:val="NoSpacing"/>
      </w:pPr>
    </w:p>
    <w:p w14:paraId="222F3C6E" w14:textId="77777777" w:rsidR="0022286E" w:rsidRDefault="0022286E" w:rsidP="0022286E">
      <w:pPr>
        <w:pStyle w:val="NoSpacing"/>
        <w:rPr>
          <w:b/>
          <w:bCs/>
        </w:rPr>
      </w:pPr>
      <w:r w:rsidRPr="00E627FC">
        <w:rPr>
          <w:b/>
        </w:rPr>
        <w:t xml:space="preserve">COURT HELD: </w:t>
      </w:r>
    </w:p>
    <w:p w14:paraId="092E1BE2" w14:textId="77777777" w:rsidR="0022286E" w:rsidRDefault="0022286E" w:rsidP="0022286E">
      <w:pPr>
        <w:pStyle w:val="NoSpacing"/>
        <w:rPr>
          <w:b/>
          <w:bCs/>
        </w:rPr>
      </w:pPr>
    </w:p>
    <w:p w14:paraId="48F0715C" w14:textId="77777777" w:rsidR="0022286E" w:rsidRDefault="0022286E" w:rsidP="0022286E">
      <w:pPr>
        <w:pStyle w:val="NoSpacing"/>
      </w:pPr>
      <w:r>
        <w:t>“</w:t>
      </w:r>
      <w:r w:rsidRPr="005C5C80">
        <w:t xml:space="preserve">Templeton has offered evidence that he spoke to mayoral candidates, city council members, fire department employees, and the public at large about </w:t>
      </w:r>
      <w:r>
        <w:t>‘</w:t>
      </w:r>
      <w:r w:rsidRPr="005C5C80">
        <w:t>pay compression issues, recruitment and retention issues, safety-related issues, [and] staffing shortages.</w:t>
      </w:r>
      <w:r>
        <w:t xml:space="preserve">’ … </w:t>
      </w:r>
      <w:r w:rsidRPr="005C5C80">
        <w:t xml:space="preserve">These issues concern the ability of the HPFD to carry out its vital work protecting life and property; indeed, Templeton's concerns go to the safety of the community. Speech on these matters has been clearly established as a matter of public concern within the Fourth Circuit at least as far back as 2002. </w:t>
      </w:r>
      <w:r w:rsidRPr="005C5C80">
        <w:rPr>
          <w:i/>
          <w:iCs/>
        </w:rPr>
        <w:t>See, e.g.</w:t>
      </w:r>
      <w:r w:rsidRPr="005C5C80">
        <w:t xml:space="preserve">, </w:t>
      </w:r>
      <w:r w:rsidRPr="005C5C80">
        <w:rPr>
          <w:i/>
          <w:iCs/>
        </w:rPr>
        <w:t>Lilienthal</w:t>
      </w:r>
      <w:r w:rsidRPr="005C5C80">
        <w:t xml:space="preserve">, 275 F.Supp.2d at 691, 694 (first concluding that </w:t>
      </w:r>
      <w:r>
        <w:t>‘</w:t>
      </w:r>
      <w:r w:rsidRPr="005C5C80">
        <w:t>fire department issues such as safety, equipment, staffing, and response time are subjects in which ‘the public or the community is likely to be truly concerned' and ‘interested,</w:t>
      </w:r>
      <w:r>
        <w:t>’</w:t>
      </w:r>
      <w:r w:rsidRPr="005C5C80">
        <w:t xml:space="preserve"> and then concluding that </w:t>
      </w:r>
      <w:r>
        <w:t>‘</w:t>
      </w:r>
      <w:r w:rsidRPr="005C5C80">
        <w:t>in September 2002, it was clearly established that a fire chief's disagreement with a firefighter's views on fire department safety issues and the firefighter's manner of expressing those views is insufficient to justify conditioning continued employment upon the cessation of the protected expression based on a perceived threat of disruption</w:t>
      </w:r>
      <w:r>
        <w:t>’</w:t>
      </w:r>
      <w:r w:rsidRPr="005C5C80">
        <w:t xml:space="preserve">). </w:t>
      </w:r>
    </w:p>
    <w:p w14:paraId="4B39C278" w14:textId="77777777" w:rsidR="0022286E" w:rsidRDefault="0022286E" w:rsidP="0022286E">
      <w:pPr>
        <w:pStyle w:val="NoSpacing"/>
      </w:pPr>
    </w:p>
    <w:p w14:paraId="01E64C97" w14:textId="77777777" w:rsidR="0022286E" w:rsidRDefault="0022286E" w:rsidP="0022286E">
      <w:pPr>
        <w:pStyle w:val="NoSpacing"/>
      </w:pPr>
      <w:r>
        <w:t>***</w:t>
      </w:r>
    </w:p>
    <w:p w14:paraId="7B14EBE8" w14:textId="77777777" w:rsidR="0022286E" w:rsidRDefault="0022286E" w:rsidP="0022286E">
      <w:pPr>
        <w:pStyle w:val="NoSpacing"/>
      </w:pPr>
      <w:r w:rsidRPr="001661DB">
        <w:t>Because Templeton has shown that his right to speak about the ability of HPFD to carry out its mission was clearly established as a matter of public concern, any retaliation by reducing the speaker's income would constitute a clearly established violation of that right.</w:t>
      </w:r>
      <w:r>
        <w:t>”</w:t>
      </w:r>
    </w:p>
    <w:p w14:paraId="6CAB262E" w14:textId="77777777" w:rsidR="0022286E" w:rsidRDefault="0022286E" w:rsidP="0022286E">
      <w:pPr>
        <w:pStyle w:val="NoSpacing"/>
      </w:pPr>
    </w:p>
    <w:p w14:paraId="7CE4B010" w14:textId="77777777" w:rsidR="0022286E" w:rsidRPr="00DF4879" w:rsidRDefault="0022286E" w:rsidP="0022286E">
      <w:pPr>
        <w:pStyle w:val="NoSpacing"/>
        <w:rPr>
          <w:b/>
          <w:bCs/>
        </w:rPr>
      </w:pPr>
      <w:r>
        <w:rPr>
          <w:b/>
        </w:rPr>
        <w:t>Legal lesson learned: Union President has 1</w:t>
      </w:r>
      <w:r w:rsidRPr="00DF4879">
        <w:rPr>
          <w:b/>
          <w:vertAlign w:val="superscript"/>
        </w:rPr>
        <w:t>st</w:t>
      </w:r>
      <w:r>
        <w:rPr>
          <w:b/>
        </w:rPr>
        <w:t xml:space="preserve"> Amendment right to address City Council on matters of public concern; case will now proceed. </w:t>
      </w:r>
    </w:p>
    <w:p w14:paraId="045311E2" w14:textId="77777777" w:rsidR="001333DA" w:rsidRDefault="001333DA" w:rsidP="00744D51">
      <w:pPr>
        <w:pStyle w:val="NoSpacing"/>
        <w:rPr>
          <w:rFonts w:ascii="Arial Black" w:hAnsi="Arial Black"/>
          <w:sz w:val="24"/>
          <w:szCs w:val="24"/>
        </w:rPr>
      </w:pPr>
    </w:p>
    <w:p w14:paraId="4E197143" w14:textId="77777777" w:rsidR="001333DA" w:rsidRDefault="001333DA" w:rsidP="00744D51">
      <w:pPr>
        <w:pStyle w:val="NoSpacing"/>
        <w:rPr>
          <w:rFonts w:ascii="Arial Black" w:hAnsi="Arial Black"/>
          <w:sz w:val="24"/>
          <w:szCs w:val="24"/>
        </w:rPr>
      </w:pPr>
    </w:p>
    <w:p w14:paraId="42F68B20" w14:textId="77777777" w:rsidR="001333DA" w:rsidRDefault="001333DA" w:rsidP="00744D51">
      <w:pPr>
        <w:pStyle w:val="NoSpacing"/>
        <w:rPr>
          <w:rFonts w:ascii="Arial Black" w:hAnsi="Arial Black"/>
          <w:sz w:val="24"/>
          <w:szCs w:val="24"/>
        </w:rPr>
      </w:pPr>
    </w:p>
    <w:p w14:paraId="56C0C780" w14:textId="411AFA06" w:rsidR="009A2956" w:rsidRDefault="00AB7553" w:rsidP="00744D51">
      <w:pPr>
        <w:pStyle w:val="NoSpacing"/>
        <w:rPr>
          <w:rFonts w:ascii="Arial Black" w:hAnsi="Arial Black"/>
          <w:sz w:val="24"/>
          <w:szCs w:val="24"/>
        </w:rPr>
      </w:pPr>
      <w:r>
        <w:rPr>
          <w:rFonts w:ascii="Arial Black" w:hAnsi="Arial Black"/>
          <w:sz w:val="24"/>
          <w:szCs w:val="24"/>
        </w:rPr>
        <w:t>17-61</w:t>
      </w:r>
    </w:p>
    <w:p w14:paraId="661A31FA" w14:textId="77777777" w:rsidR="00AB7553" w:rsidRDefault="00AB7553" w:rsidP="00744D51">
      <w:pPr>
        <w:pStyle w:val="NoSpacing"/>
        <w:rPr>
          <w:rFonts w:ascii="Arial Black" w:hAnsi="Arial Black"/>
          <w:sz w:val="24"/>
          <w:szCs w:val="24"/>
        </w:rPr>
      </w:pPr>
    </w:p>
    <w:p w14:paraId="29F0D0FD" w14:textId="77777777" w:rsidR="00AB7553" w:rsidRDefault="00AB7553" w:rsidP="00AB7553">
      <w:pPr>
        <w:rPr>
          <w:rFonts w:ascii="Arial Black" w:hAnsi="Arial Black"/>
          <w:sz w:val="28"/>
          <w:szCs w:val="28"/>
        </w:rPr>
      </w:pPr>
      <w:r>
        <w:rPr>
          <w:rFonts w:ascii="Arial Black" w:hAnsi="Arial Black"/>
          <w:sz w:val="28"/>
          <w:szCs w:val="28"/>
        </w:rPr>
        <w:t>LA: IAFF SEC. – CHIEF’S NEW CAR – FIRED / CASE PROCEED</w:t>
      </w:r>
    </w:p>
    <w:p w14:paraId="168E4E48" w14:textId="77777777" w:rsidR="00AB7553" w:rsidRDefault="00AB7553" w:rsidP="00AB7553">
      <w:r>
        <w:t xml:space="preserve">On May 22. 2026, in </w:t>
      </w:r>
      <w:r w:rsidRPr="007E0CBE">
        <w:rPr>
          <w:u w:val="single"/>
        </w:rPr>
        <w:t>Jonathan Gramm v. Desoto Parish Fire District 9, et al</w:t>
      </w:r>
      <w:r>
        <w:t>. , U.S. District Court Judge S. Maurice Hicks, Jr., United States District Court for Western District of Louisiana, Shreveport Division, denied the FD’s motion for summary judgment.  THE COURT WROTE: “</w:t>
      </w:r>
      <w:r w:rsidRPr="002D6022">
        <w:t>Accordingly, viewing the evidence in the light most favorable to Gramm, the Court finds that genuine disputes of material fact remain as to whether Gramm spoke as a citizen on a matter of public concern. The record contains evidence from which a reasonable factfinder could conclude that Gramm contacted Commissioners as a citizen and union representative to address a public budget matter, not pursuant to his ordinary duties as a Fire Captain.</w:t>
      </w:r>
      <w:r>
        <w:t xml:space="preserve">”  </w:t>
      </w:r>
      <w:hyperlink r:id="rId2753" w:history="1">
        <w:r w:rsidRPr="00126634">
          <w:rPr>
            <w:rStyle w:val="Hyperlink"/>
          </w:rPr>
          <w:t>https://public.fastcase.com/Jhe1Qn%2BmJndQYQU6z%2FeNm%2FDGnkNPmF%2FGN9ENyHmXzZguwABevXHo%2FJOs4DZQ3ccvXn%2B8i7GPeSKXZ%2FJuUaa2eSmBPBV%2FroWj%2BWUiix8FppM%3D?utm_medium=email&amp;_hsenc=p2ANqtz-9ln45T61k1McKPYzdFhYaqHVpy9H3-ipNGhojNaHNF5Osr6BUzI4NGniJzh20R42JdVxn_jn5CFBBvjphJmsP_Zy8_gA&amp;_hsmi=226712652&amp;utm_content=226712652&amp;utm_source=hs_email</w:t>
        </w:r>
      </w:hyperlink>
      <w:r>
        <w:t xml:space="preserve">      </w:t>
      </w:r>
    </w:p>
    <w:p w14:paraId="6C5DE7DC" w14:textId="77777777" w:rsidR="00AB7553" w:rsidRDefault="00AB7553" w:rsidP="00AB7553">
      <w:r>
        <w:t>THE COUR HELD:</w:t>
      </w:r>
    </w:p>
    <w:p w14:paraId="6994DC9A" w14:textId="77777777" w:rsidR="00AB7553" w:rsidRDefault="00AB7553" w:rsidP="00AB7553">
      <w:pPr>
        <w:ind w:left="720"/>
      </w:pPr>
      <w:r>
        <w:t>“</w:t>
      </w:r>
      <w:r w:rsidRPr="00AC65CE">
        <w:t xml:space="preserve">Gramm was employed by DFD9 as a Fire Captain </w:t>
      </w:r>
      <w:proofErr w:type="gramStart"/>
      <w:r w:rsidRPr="00AC65CE">
        <w:t>and also</w:t>
      </w:r>
      <w:proofErr w:type="gramEnd"/>
      <w:r w:rsidRPr="00AC65CE">
        <w:t xml:space="preserve"> served as secretary</w:t>
      </w:r>
      <w:r>
        <w:t xml:space="preserve"> / </w:t>
      </w:r>
      <w:r w:rsidRPr="00AC65CE">
        <w:t xml:space="preserve">treasurer for Local 5138 (the </w:t>
      </w:r>
      <w:r>
        <w:t>‘</w:t>
      </w:r>
      <w:r w:rsidRPr="00AC65CE">
        <w:t>union</w:t>
      </w:r>
      <w:r>
        <w:t>’</w:t>
      </w:r>
      <w:r w:rsidRPr="00AC65CE">
        <w:t>)</w:t>
      </w:r>
      <w:r>
        <w:t xml:space="preserve">…. </w:t>
      </w:r>
      <w:r w:rsidRPr="00AC65CE">
        <w:t>In September 2023, an agenda for an upcoming Board of Commissioners meeting was posted at the fire station and included an item concerning the proposed purchase of a vehicle for Chief King. Thereafter, firefighters discussed the proposed purchase during working hours at the station and expressed concerns regarding the allocation of district funds. Gramm contends that the firefighters believed available funds would be better spent on firefighting equipment and improvements to station conditions</w:t>
      </w:r>
      <w:r>
        <w:t xml:space="preserve">…. </w:t>
      </w:r>
      <w:r w:rsidRPr="00AC65CE">
        <w:t xml:space="preserve"> Because the firefighters were unable to attend the Board of Commissioner's meeting, they allegedly elected Gramm to contact the Commissioners directly because he was the union secretary</w:t>
      </w:r>
      <w:r>
        <w:t xml:space="preserve"> </w:t>
      </w:r>
      <w:r w:rsidRPr="00AC65CE">
        <w:t xml:space="preserve">treasurer. </w:t>
      </w:r>
    </w:p>
    <w:p w14:paraId="0EDFFF8D" w14:textId="77777777" w:rsidR="00AB7553" w:rsidRDefault="00AB7553" w:rsidP="00AB7553">
      <w:pPr>
        <w:ind w:left="720"/>
      </w:pPr>
      <w:r>
        <w:t>***</w:t>
      </w:r>
    </w:p>
    <w:p w14:paraId="425B8483" w14:textId="77777777" w:rsidR="00AB7553" w:rsidRDefault="00AB7553" w:rsidP="00AB7553">
      <w:pPr>
        <w:ind w:left="720"/>
      </w:pPr>
      <w:r w:rsidRPr="00555B08">
        <w:t>On September 18, 2023, while off duty, Gramm telephoned Commissioners Ross Tilbury and Bobby Ettredge regarding the concerns</w:t>
      </w:r>
      <w:r>
        <w:t xml:space="preserve">…. </w:t>
      </w:r>
      <w:r w:rsidRPr="00555B08">
        <w:t xml:space="preserve"> It is undisputed that Gramm contacted the Commissioners without first discussing the matter with Chief King. It is likewise undisputed that Memorandum 18001 prohibited DFD9 personnel from contacting Board members regarding official district business without first conferring with their immediate supervisor</w:t>
      </w:r>
      <w:r>
        <w:t xml:space="preserve">…. </w:t>
      </w:r>
      <w:r w:rsidRPr="00555B08">
        <w:t xml:space="preserve"> Gramm acknowledges that he reviewed Memorandum 18001 when it was issued and understood that if he failed to comply with its directives, it would be considered insubordination. </w:t>
      </w:r>
    </w:p>
    <w:p w14:paraId="4BF76996" w14:textId="77777777" w:rsidR="00AB7553" w:rsidRDefault="00AB7553" w:rsidP="00AB7553">
      <w:pPr>
        <w:ind w:left="720"/>
      </w:pPr>
      <w:r>
        <w:t>***</w:t>
      </w:r>
    </w:p>
    <w:p w14:paraId="6D9A6AB8" w14:textId="77777777" w:rsidR="00AB7553" w:rsidRDefault="00AB7553" w:rsidP="00AB7553">
      <w:pPr>
        <w:ind w:left="720"/>
      </w:pPr>
      <w:r w:rsidRPr="008F7E43">
        <w:t>However, the speech at issue involved public funds and public safety. Gramm's interest in speaking to government officials about whether taxpayer funds should be spent on a new chief's vehicle or on firefighting equipment is substantial. Moreover, the present record contains little to no evidence that Gramm's speech caused any actual disruption except for his termination and this lawsuit</w:t>
      </w:r>
      <w:r>
        <w:t xml:space="preserve">…. </w:t>
      </w:r>
      <w:r w:rsidRPr="008F7E43">
        <w:t xml:space="preserve">Additionally, Defendants' own position </w:t>
      </w:r>
      <w:proofErr w:type="gramStart"/>
      <w:r w:rsidRPr="008F7E43">
        <w:t>that</w:t>
      </w:r>
      <w:proofErr w:type="gramEnd"/>
      <w:r w:rsidRPr="008F7E43">
        <w:t xml:space="preserve"> Gramm could have raised the same concerns at a Board </w:t>
      </w:r>
      <w:proofErr w:type="gramStart"/>
      <w:r w:rsidRPr="008F7E43">
        <w:t>meeting</w:t>
      </w:r>
      <w:proofErr w:type="gramEnd"/>
      <w:r w:rsidRPr="008F7E43">
        <w:t xml:space="preserve"> weakens the argument that the substance of the speech itself was inherently disruptive. Defendants primarily contend that the manner of communication-calling Commissioners before the meeting rather than appearing publicly at the meeting or first speaking with Chief King-created the discipline problem. That may be a legitimate consideration, but it does not conclusively outweigh Gramm's First Amendment interests at this stage.</w:t>
      </w:r>
      <w:r>
        <w:t>”</w:t>
      </w:r>
    </w:p>
    <w:p w14:paraId="57FCFCC5" w14:textId="77777777" w:rsidR="00AB7553" w:rsidRPr="00655A6F" w:rsidRDefault="00AB7553" w:rsidP="00AB7553">
      <w:pPr>
        <w:rPr>
          <w:b/>
          <w:bCs/>
        </w:rPr>
      </w:pPr>
      <w:r>
        <w:rPr>
          <w:b/>
        </w:rPr>
        <w:t xml:space="preserve">Legal lesson learned: </w:t>
      </w:r>
      <w:r w:rsidRPr="00655A6F">
        <w:rPr>
          <w:b/>
        </w:rPr>
        <w:t>Union Secretary protected</w:t>
      </w:r>
      <w:r>
        <w:rPr>
          <w:b/>
        </w:rPr>
        <w:t xml:space="preserve"> from retaliation under First </w:t>
      </w:r>
      <w:r w:rsidRPr="00655A6F">
        <w:rPr>
          <w:b/>
        </w:rPr>
        <w:t>Amendment if court finds he communicated to Commissioners as a citizen on a matter of public concern.</w:t>
      </w:r>
    </w:p>
    <w:p w14:paraId="08D336FA" w14:textId="77777777" w:rsidR="00AB7553" w:rsidRDefault="00AB7553" w:rsidP="00744D51">
      <w:pPr>
        <w:pStyle w:val="NoSpacing"/>
        <w:rPr>
          <w:rFonts w:ascii="Arial Black" w:hAnsi="Arial Black"/>
          <w:sz w:val="24"/>
          <w:szCs w:val="24"/>
        </w:rPr>
      </w:pPr>
    </w:p>
    <w:p w14:paraId="22870782" w14:textId="77777777" w:rsidR="009A2956" w:rsidRDefault="009A2956" w:rsidP="00744D51">
      <w:pPr>
        <w:pStyle w:val="NoSpacing"/>
        <w:rPr>
          <w:rFonts w:ascii="Arial Black" w:hAnsi="Arial Black"/>
          <w:sz w:val="24"/>
          <w:szCs w:val="24"/>
        </w:rPr>
      </w:pPr>
    </w:p>
    <w:p w14:paraId="462EAE46" w14:textId="77777777" w:rsidR="009A2956" w:rsidRDefault="009A2956" w:rsidP="00744D51">
      <w:pPr>
        <w:pStyle w:val="NoSpacing"/>
        <w:rPr>
          <w:rFonts w:ascii="Arial Black" w:hAnsi="Arial Black"/>
          <w:sz w:val="24"/>
          <w:szCs w:val="24"/>
        </w:rPr>
      </w:pPr>
    </w:p>
    <w:p w14:paraId="606063A9" w14:textId="3137D68D" w:rsidR="00744D51" w:rsidRDefault="00744D51" w:rsidP="00744D51">
      <w:pPr>
        <w:pStyle w:val="NoSpacing"/>
        <w:rPr>
          <w:rFonts w:ascii="Arial Black" w:hAnsi="Arial Black"/>
          <w:sz w:val="24"/>
          <w:szCs w:val="24"/>
        </w:rPr>
      </w:pPr>
      <w:r>
        <w:rPr>
          <w:rFonts w:ascii="Arial Black" w:hAnsi="Arial Black"/>
          <w:sz w:val="24"/>
          <w:szCs w:val="24"/>
        </w:rPr>
        <w:t>17-60</w:t>
      </w:r>
    </w:p>
    <w:p w14:paraId="521A3F22" w14:textId="77777777" w:rsidR="002718E8" w:rsidRDefault="002718E8" w:rsidP="002718E8">
      <w:pPr>
        <w:pStyle w:val="NoSpacing"/>
        <w:rPr>
          <w:rFonts w:ascii="Arial Black" w:hAnsi="Arial Black"/>
          <w:b/>
          <w:sz w:val="28"/>
          <w:szCs w:val="28"/>
        </w:rPr>
      </w:pPr>
    </w:p>
    <w:p w14:paraId="3775D24C" w14:textId="6DC8F98B" w:rsidR="002718E8" w:rsidRPr="00C51375" w:rsidRDefault="002718E8" w:rsidP="002718E8">
      <w:pPr>
        <w:pStyle w:val="NoSpacing"/>
        <w:rPr>
          <w:rFonts w:ascii="Arial Black" w:hAnsi="Arial Black"/>
          <w:b/>
          <w:sz w:val="28"/>
          <w:szCs w:val="28"/>
        </w:rPr>
      </w:pPr>
      <w:r>
        <w:rPr>
          <w:rFonts w:ascii="Arial Black" w:hAnsi="Arial Black"/>
          <w:b/>
          <w:sz w:val="28"/>
          <w:szCs w:val="28"/>
        </w:rPr>
        <w:t>NC: PD UNION – PIO “NASTINESS” – NOT DEFAMATION</w:t>
      </w:r>
    </w:p>
    <w:p w14:paraId="3E1182CE" w14:textId="77777777" w:rsidR="002718E8" w:rsidRDefault="002718E8" w:rsidP="002718E8">
      <w:pPr>
        <w:pStyle w:val="NoSpacing"/>
        <w:rPr>
          <w:b/>
        </w:rPr>
      </w:pPr>
    </w:p>
    <w:p w14:paraId="40D3E078" w14:textId="77777777" w:rsidR="002718E8" w:rsidRDefault="002718E8" w:rsidP="002718E8">
      <w:pPr>
        <w:pStyle w:val="NoSpacing"/>
      </w:pPr>
      <w:r>
        <w:t xml:space="preserve">On March 4, 2026, in </w:t>
      </w:r>
      <w:r w:rsidRPr="00020CF6">
        <w:rPr>
          <w:u w:val="single"/>
        </w:rPr>
        <w:t xml:space="preserve">Sanda </w:t>
      </w:r>
      <w:proofErr w:type="spellStart"/>
      <w:r w:rsidRPr="00020CF6">
        <w:rPr>
          <w:u w:val="single"/>
        </w:rPr>
        <w:t>D’Elosua</w:t>
      </w:r>
      <w:proofErr w:type="spellEnd"/>
      <w:r w:rsidRPr="00020CF6">
        <w:rPr>
          <w:u w:val="single"/>
        </w:rPr>
        <w:t xml:space="preserve"> Vastola v. Charlotte Mecklenburg Lodge 9, Fraternal Order of Police, Inc. and Daniel Redfocd, President</w:t>
      </w:r>
      <w:r w:rsidRPr="005A7818">
        <w:t>, the Court of Appeals of North Carolina</w:t>
      </w:r>
      <w:r>
        <w:t xml:space="preserve"> held (3 to 0) that trial court properly dismissed slander / libel lawsuit by the PD Director of Public Affairs; the Union’s “purely subjective opinion” about PIO is not defamation.  Four police officers were killed on April 29, 2024, and she </w:t>
      </w:r>
      <w:r w:rsidRPr="0073205F">
        <w:t xml:space="preserve">declined to </w:t>
      </w:r>
      <w:r>
        <w:t xml:space="preserve">refute or otherwise </w:t>
      </w:r>
      <w:r w:rsidRPr="0073205F">
        <w:t>respond to many of the</w:t>
      </w:r>
      <w:r>
        <w:t xml:space="preserve"> </w:t>
      </w:r>
      <w:r w:rsidRPr="0073205F">
        <w:t>questions</w:t>
      </w:r>
      <w:r>
        <w:t xml:space="preserve"> by local press that allegedly </w:t>
      </w:r>
      <w:r w:rsidRPr="0072685F">
        <w:t>certain officers of the department “who logged off and did</w:t>
      </w:r>
      <w:r>
        <w:t xml:space="preserve"> </w:t>
      </w:r>
      <w:r w:rsidRPr="0072685F">
        <w:t>not show up during the incident.”</w:t>
      </w:r>
      <w:r>
        <w:t xml:space="preserve">  The Union in </w:t>
      </w:r>
      <w:proofErr w:type="gramStart"/>
      <w:r>
        <w:t>a number of</w:t>
      </w:r>
      <w:proofErr w:type="gramEnd"/>
      <w:r>
        <w:t xml:space="preserve"> FACEBOOK posts and press interviews referenced her “nattiness” and questioner </w:t>
      </w:r>
      <w:r w:rsidRPr="008A2F1A">
        <w:t>her</w:t>
      </w:r>
      <w:r>
        <w:t xml:space="preserve"> </w:t>
      </w:r>
      <w:r w:rsidRPr="008A2F1A">
        <w:t>professionalism</w:t>
      </w:r>
      <w:r>
        <w:t xml:space="preserve"> in responding to a serious press inquiry.  </w:t>
      </w:r>
    </w:p>
    <w:p w14:paraId="1B5727F3" w14:textId="77777777" w:rsidR="002718E8" w:rsidRDefault="002718E8" w:rsidP="002718E8">
      <w:pPr>
        <w:pStyle w:val="NoSpacing"/>
        <w:rPr>
          <w:bCs/>
        </w:rPr>
      </w:pPr>
      <w:hyperlink r:id="rId2754" w:history="1">
        <w:r w:rsidRPr="000855F8">
          <w:rPr>
            <w:rStyle w:val="Hyperlink"/>
          </w:rPr>
          <w:t>https://cases.justia.com/north-carolina/court-of-appeals/2026-25-761.pdf?ts=1772641555</w:t>
        </w:r>
      </w:hyperlink>
    </w:p>
    <w:p w14:paraId="79A44C46" w14:textId="77777777" w:rsidR="002718E8" w:rsidRDefault="002718E8" w:rsidP="002718E8">
      <w:pPr>
        <w:pStyle w:val="NoSpacing"/>
        <w:rPr>
          <w:bCs/>
        </w:rPr>
      </w:pPr>
    </w:p>
    <w:p w14:paraId="2F0EFFB5" w14:textId="77777777" w:rsidR="002718E8" w:rsidRDefault="002718E8" w:rsidP="002718E8">
      <w:pPr>
        <w:pStyle w:val="NoSpacing"/>
      </w:pPr>
      <w:r>
        <w:t xml:space="preserve">THE COURT WROTE: </w:t>
      </w:r>
    </w:p>
    <w:p w14:paraId="6D749A58" w14:textId="77777777" w:rsidR="002718E8" w:rsidRDefault="002718E8" w:rsidP="002718E8">
      <w:pPr>
        <w:pStyle w:val="NoSpacing"/>
      </w:pPr>
    </w:p>
    <w:p w14:paraId="2D5208C6" w14:textId="77777777" w:rsidR="002718E8" w:rsidRDefault="002718E8" w:rsidP="002718E8">
      <w:pPr>
        <w:pStyle w:val="NoSpacing"/>
        <w:ind w:left="720"/>
        <w:rPr>
          <w:bCs/>
        </w:rPr>
      </w:pPr>
      <w:r>
        <w:t>“</w:t>
      </w:r>
      <w:r w:rsidRPr="00604DB5">
        <w:t>A statement expressing a purely subjective opinion about a person—regardless</w:t>
      </w:r>
      <w:r>
        <w:t xml:space="preserve"> </w:t>
      </w:r>
      <w:r w:rsidRPr="00604DB5">
        <w:t xml:space="preserve">of whether that person is </w:t>
      </w:r>
      <w:proofErr w:type="gramStart"/>
      <w:r w:rsidRPr="00604DB5">
        <w:t>a public figure,</w:t>
      </w:r>
      <w:proofErr w:type="gramEnd"/>
      <w:r w:rsidRPr="00604DB5">
        <w:t xml:space="preserve"> whether the statement was made publicly,</w:t>
      </w:r>
      <w:r>
        <w:t xml:space="preserve"> </w:t>
      </w:r>
      <w:r w:rsidRPr="00604DB5">
        <w:t>or whether the statement caused harm—is not defamatory. As the statements here</w:t>
      </w:r>
      <w:r>
        <w:t xml:space="preserve"> </w:t>
      </w:r>
      <w:r w:rsidRPr="00604DB5">
        <w:t>expressed purely subjective opinions, the trial court correctly dismissed Plaintiff’s</w:t>
      </w:r>
      <w:r>
        <w:t xml:space="preserve"> </w:t>
      </w:r>
      <w:r w:rsidRPr="00604DB5">
        <w:t>slander and libel claims.</w:t>
      </w:r>
    </w:p>
    <w:p w14:paraId="3F274F80" w14:textId="77777777" w:rsidR="002718E8" w:rsidRDefault="002718E8" w:rsidP="002718E8">
      <w:pPr>
        <w:pStyle w:val="NoSpacing"/>
        <w:ind w:left="720"/>
        <w:rPr>
          <w:bCs/>
        </w:rPr>
      </w:pPr>
    </w:p>
    <w:p w14:paraId="6221A47C" w14:textId="77777777" w:rsidR="002718E8" w:rsidRDefault="002718E8" w:rsidP="002718E8">
      <w:pPr>
        <w:pStyle w:val="NoSpacing"/>
        <w:ind w:left="720"/>
      </w:pPr>
      <w:r>
        <w:t>***</w:t>
      </w:r>
    </w:p>
    <w:p w14:paraId="3FB011B9" w14:textId="77777777" w:rsidR="002718E8" w:rsidRDefault="002718E8" w:rsidP="002718E8">
      <w:pPr>
        <w:pStyle w:val="NoSpacing"/>
        <w:ind w:left="720"/>
      </w:pPr>
      <w:r>
        <w:t>Plaintiff declined to respond to many of the questions based on the belief that they constituted private personnel records under N.C.G.S. § 160A-</w:t>
      </w:r>
      <w:proofErr w:type="gramStart"/>
      <w:r>
        <w:t>168, and</w:t>
      </w:r>
      <w:proofErr w:type="gramEnd"/>
      <w:r>
        <w:t xml:space="preserve"> described the story as ‘a slam job that would damage the very men and women who are still recovering from this heinous incident.’ When the story was run, it characterized the Charlotte-Mecklenburg Police Department as lacking in transparency.</w:t>
      </w:r>
    </w:p>
    <w:p w14:paraId="60A4B687" w14:textId="77777777" w:rsidR="002718E8" w:rsidRDefault="002718E8" w:rsidP="002718E8">
      <w:pPr>
        <w:pStyle w:val="NoSpacing"/>
        <w:ind w:left="720"/>
      </w:pPr>
    </w:p>
    <w:p w14:paraId="29FB4E75" w14:textId="77777777" w:rsidR="002718E8" w:rsidRDefault="002718E8" w:rsidP="002718E8">
      <w:pPr>
        <w:pStyle w:val="NoSpacing"/>
        <w:ind w:left="720"/>
      </w:pPr>
      <w:r>
        <w:t>***</w:t>
      </w:r>
    </w:p>
    <w:p w14:paraId="28FDAA2F" w14:textId="77777777" w:rsidR="002718E8" w:rsidRDefault="002718E8" w:rsidP="002718E8">
      <w:pPr>
        <w:pStyle w:val="NoSpacing"/>
        <w:ind w:left="720"/>
      </w:pPr>
      <w:r>
        <w:t>Here, none of the statements that Plaintiff identifies in her complaint can be</w:t>
      </w:r>
    </w:p>
    <w:p w14:paraId="26769216" w14:textId="77777777" w:rsidR="002718E8" w:rsidRDefault="002718E8" w:rsidP="002718E8">
      <w:pPr>
        <w:pStyle w:val="NoSpacing"/>
        <w:ind w:left="720"/>
      </w:pPr>
      <w:r>
        <w:t>seriously understood as containing factual content. While perhaps deeply</w:t>
      </w:r>
    </w:p>
    <w:p w14:paraId="2DCF14A2" w14:textId="77777777" w:rsidR="002718E8" w:rsidRDefault="002718E8" w:rsidP="002718E8">
      <w:pPr>
        <w:pStyle w:val="NoSpacing"/>
        <w:ind w:left="720"/>
      </w:pPr>
      <w:r>
        <w:t>unflattering, accusing Plaintiff of ‘nastiness,’ opining that her actions constitute</w:t>
      </w:r>
    </w:p>
    <w:p w14:paraId="7C575EFE" w14:textId="77777777" w:rsidR="002718E8" w:rsidRDefault="002718E8" w:rsidP="002718E8">
      <w:pPr>
        <w:pStyle w:val="NoSpacing"/>
        <w:ind w:left="720"/>
      </w:pPr>
      <w:r>
        <w:t>‘</w:t>
      </w:r>
      <w:proofErr w:type="gramStart"/>
      <w:r>
        <w:t>failures</w:t>
      </w:r>
      <w:proofErr w:type="gramEnd"/>
      <w:r>
        <w:t xml:space="preserve"> as a person with power[,]’ characterizing her statements as ‘dismissive’ or</w:t>
      </w:r>
    </w:p>
    <w:p w14:paraId="3EE435CD" w14:textId="77777777" w:rsidR="002718E8" w:rsidRDefault="002718E8" w:rsidP="002718E8">
      <w:pPr>
        <w:pStyle w:val="NoSpacing"/>
        <w:ind w:left="720"/>
      </w:pPr>
      <w:r>
        <w:t xml:space="preserve">‘snap[ping] back with insults[,]’ or expressing that she made ‘poor </w:t>
      </w:r>
      <w:proofErr w:type="gramStart"/>
      <w:r>
        <w:t>decisions’</w:t>
      </w:r>
      <w:proofErr w:type="gramEnd"/>
      <w:r>
        <w:t xml:space="preserve"> or a</w:t>
      </w:r>
    </w:p>
    <w:p w14:paraId="53F0D94E" w14:textId="77777777" w:rsidR="002718E8" w:rsidRDefault="002718E8" w:rsidP="002718E8">
      <w:pPr>
        <w:pStyle w:val="NoSpacing"/>
        <w:ind w:left="720"/>
      </w:pPr>
      <w:r>
        <w:t>‘[g]</w:t>
      </w:r>
      <w:proofErr w:type="spellStart"/>
      <w:r>
        <w:t>arbage</w:t>
      </w:r>
      <w:proofErr w:type="spellEnd"/>
      <w:r>
        <w:t xml:space="preserve"> response’ are all decidedly subjective opinions offered to characterize her</w:t>
      </w:r>
    </w:p>
    <w:p w14:paraId="59CD6B63" w14:textId="77777777" w:rsidR="002718E8" w:rsidRDefault="002718E8" w:rsidP="002718E8">
      <w:pPr>
        <w:pStyle w:val="NoSpacing"/>
        <w:ind w:left="720"/>
      </w:pPr>
      <w:r>
        <w:t>behavior, not factual claims regarding the contents of her behavior.</w:t>
      </w:r>
    </w:p>
    <w:p w14:paraId="389D9DF1" w14:textId="77777777" w:rsidR="002718E8" w:rsidRDefault="002718E8" w:rsidP="002718E8">
      <w:pPr>
        <w:pStyle w:val="NoSpacing"/>
        <w:ind w:left="720"/>
      </w:pPr>
    </w:p>
    <w:p w14:paraId="11C0EC63" w14:textId="77777777" w:rsidR="002718E8" w:rsidRDefault="002718E8" w:rsidP="002718E8">
      <w:pPr>
        <w:pStyle w:val="NoSpacing"/>
        <w:ind w:left="720"/>
      </w:pPr>
      <w:r>
        <w:t>***</w:t>
      </w:r>
    </w:p>
    <w:p w14:paraId="31395088" w14:textId="77777777" w:rsidR="002718E8" w:rsidRDefault="002718E8" w:rsidP="002718E8">
      <w:pPr>
        <w:pStyle w:val="NoSpacing"/>
        <w:ind w:left="720"/>
      </w:pPr>
      <w:r>
        <w:t>The United States Supreme Court has said that ‘debate on public issues should</w:t>
      </w:r>
    </w:p>
    <w:p w14:paraId="7ED33E94" w14:textId="77777777" w:rsidR="002718E8" w:rsidRDefault="002718E8" w:rsidP="002718E8">
      <w:pPr>
        <w:pStyle w:val="NoSpacing"/>
        <w:ind w:left="720"/>
      </w:pPr>
      <w:r>
        <w:t>be uninhibited, robust, and wide-open, and . . . may well include vehement, caustic,</w:t>
      </w:r>
    </w:p>
    <w:p w14:paraId="0914B76B" w14:textId="77777777" w:rsidR="002718E8" w:rsidRDefault="002718E8" w:rsidP="002718E8">
      <w:pPr>
        <w:pStyle w:val="NoSpacing"/>
        <w:ind w:left="720"/>
      </w:pPr>
      <w:r>
        <w:t>and sometimes unpleasantly sharp attacks on government and public</w:t>
      </w:r>
    </w:p>
    <w:p w14:paraId="7ACD3CE3" w14:textId="77777777" w:rsidR="002718E8" w:rsidRDefault="002718E8" w:rsidP="002718E8">
      <w:pPr>
        <w:pStyle w:val="NoSpacing"/>
        <w:ind w:left="720"/>
      </w:pPr>
      <w:r>
        <w:t>officials[,]’ New York Times Co. v. Sullivan, 376 U.S. 254, 270 (1964); accordingly,</w:t>
      </w:r>
    </w:p>
    <w:p w14:paraId="2EA5D96F" w14:textId="77777777" w:rsidR="002718E8" w:rsidRDefault="002718E8" w:rsidP="002718E8">
      <w:pPr>
        <w:pStyle w:val="NoSpacing"/>
        <w:ind w:left="720"/>
      </w:pPr>
      <w:r>
        <w:t>‘</w:t>
      </w:r>
      <w:proofErr w:type="gramStart"/>
      <w:r>
        <w:t>public</w:t>
      </w:r>
      <w:proofErr w:type="gramEnd"/>
      <w:r>
        <w:t xml:space="preserve"> figures bear the burden of proving that alleged defamatory statements</w:t>
      </w:r>
    </w:p>
    <w:p w14:paraId="2B9352AA" w14:textId="77777777" w:rsidR="002718E8" w:rsidRDefault="002718E8" w:rsidP="002718E8">
      <w:pPr>
        <w:pStyle w:val="NoSpacing"/>
        <w:ind w:left="720"/>
      </w:pPr>
      <w:r>
        <w:t xml:space="preserve">against them were published with actual malice </w:t>
      </w:r>
      <w:proofErr w:type="gramStart"/>
      <w:r>
        <w:t>in order to</w:t>
      </w:r>
      <w:proofErr w:type="gramEnd"/>
      <w:r>
        <w:t xml:space="preserve"> recover damages.’</w:t>
      </w:r>
    </w:p>
    <w:p w14:paraId="4DD70758" w14:textId="77777777" w:rsidR="002718E8" w:rsidRDefault="002718E8" w:rsidP="002718E8">
      <w:pPr>
        <w:pStyle w:val="NoSpacing"/>
        <w:ind w:left="720"/>
      </w:pPr>
    </w:p>
    <w:p w14:paraId="4D418EAA" w14:textId="77777777" w:rsidR="002718E8" w:rsidRDefault="002718E8" w:rsidP="002718E8">
      <w:pPr>
        <w:pStyle w:val="NoSpacing"/>
        <w:ind w:left="720"/>
      </w:pPr>
      <w:r>
        <w:t>***</w:t>
      </w:r>
    </w:p>
    <w:p w14:paraId="670AE579" w14:textId="77777777" w:rsidR="002718E8" w:rsidRDefault="002718E8" w:rsidP="002718E8">
      <w:pPr>
        <w:pStyle w:val="NoSpacing"/>
        <w:ind w:left="720"/>
      </w:pPr>
      <w:r>
        <w:t>Thus, even assuming arguendo that Plaintiff is not a public figure and that these statements publicly disparaged her to her material harm, they contain no factual content and therefore cannot, as a matter of law, be understood as defamatory.”</w:t>
      </w:r>
    </w:p>
    <w:p w14:paraId="28124B5E" w14:textId="77777777" w:rsidR="002718E8" w:rsidRDefault="002718E8" w:rsidP="002718E8">
      <w:pPr>
        <w:pStyle w:val="NoSpacing"/>
        <w:ind w:left="720"/>
      </w:pPr>
    </w:p>
    <w:p w14:paraId="60E22B04" w14:textId="77777777" w:rsidR="002718E8" w:rsidRPr="002A2731" w:rsidRDefault="002718E8" w:rsidP="002718E8">
      <w:pPr>
        <w:pStyle w:val="NoSpacing"/>
        <w:rPr>
          <w:b/>
          <w:bCs/>
        </w:rPr>
      </w:pPr>
      <w:r>
        <w:rPr>
          <w:b/>
        </w:rPr>
        <w:t xml:space="preserve">Legal lesson learned: Pure expression of opinion about person’s lack of professionalism is not defamation; if plaintiff was a “public figure” that she would also have to prove “malice.” </w:t>
      </w:r>
    </w:p>
    <w:p w14:paraId="5F99186F" w14:textId="77777777" w:rsidR="002718E8" w:rsidRDefault="002718E8" w:rsidP="002718E8">
      <w:pPr>
        <w:pStyle w:val="NoSpacing"/>
      </w:pPr>
    </w:p>
    <w:p w14:paraId="0F4B4E51" w14:textId="77777777" w:rsidR="002718E8" w:rsidRDefault="002718E8" w:rsidP="002718E8">
      <w:pPr>
        <w:pStyle w:val="NoSpacing"/>
        <w:ind w:left="720"/>
        <w:rPr>
          <w:b/>
        </w:rPr>
      </w:pPr>
      <w:r>
        <w:t xml:space="preserve">Note: See this </w:t>
      </w:r>
      <w:r w:rsidRPr="00AE38CC">
        <w:t xml:space="preserve">April 8, </w:t>
      </w:r>
      <w:proofErr w:type="gramStart"/>
      <w:r w:rsidRPr="00AE38CC">
        <w:t>2026</w:t>
      </w:r>
      <w:proofErr w:type="gramEnd"/>
      <w:r>
        <w:t xml:space="preserve"> article</w:t>
      </w:r>
      <w:r w:rsidRPr="00AE38CC">
        <w:t>: Court sides with Char-Meck FOP in CMPD employee defamation case.</w:t>
      </w:r>
      <w:r>
        <w:rPr>
          <w:b/>
        </w:rPr>
        <w:t xml:space="preserve"> </w:t>
      </w:r>
      <w:hyperlink r:id="rId2755" w:history="1">
        <w:r w:rsidRPr="007C46E6">
          <w:rPr>
            <w:rStyle w:val="Hyperlink"/>
            <w:b/>
          </w:rPr>
          <w:t>https://www.qcnews.com/charlotte/court-sides-with-char-meck-fop-in-cmpd-employee-defamation-case/</w:t>
        </w:r>
      </w:hyperlink>
      <w:r>
        <w:rPr>
          <w:b/>
        </w:rPr>
        <w:t xml:space="preserve"> </w:t>
      </w:r>
    </w:p>
    <w:p w14:paraId="570833CB" w14:textId="77777777" w:rsidR="002718E8" w:rsidRDefault="002718E8" w:rsidP="002718E8">
      <w:pPr>
        <w:pStyle w:val="NoSpacing"/>
        <w:ind w:left="720"/>
        <w:rPr>
          <w:b/>
        </w:rPr>
      </w:pPr>
    </w:p>
    <w:p w14:paraId="70B7DFB0" w14:textId="77777777" w:rsidR="002718E8" w:rsidRDefault="002718E8" w:rsidP="002718E8">
      <w:pPr>
        <w:pStyle w:val="NoSpacing"/>
        <w:ind w:left="720"/>
        <w:rPr>
          <w:b/>
        </w:rPr>
      </w:pPr>
    </w:p>
    <w:p w14:paraId="590D672F" w14:textId="77777777" w:rsidR="002718E8" w:rsidRDefault="002718E8" w:rsidP="002718E8">
      <w:pPr>
        <w:pStyle w:val="NoSpacing"/>
        <w:ind w:left="720"/>
        <w:rPr>
          <w:bCs/>
        </w:rPr>
      </w:pPr>
      <w:r w:rsidRPr="00885714">
        <w:t>April 29, 2025: One year later: A timeline of the tragic April 29th shootout that shook Charlotte</w:t>
      </w:r>
      <w:r>
        <w:t xml:space="preserve">. </w:t>
      </w:r>
      <w:hyperlink r:id="rId2756" w:history="1">
        <w:r w:rsidRPr="0041562E">
          <w:rPr>
            <w:rStyle w:val="Hyperlink"/>
          </w:rPr>
          <w:t>https://www.qcnews.com/shannon-park-shooting/one-year-later-a-timeline-of-the-tragic-april-29th-shootout-that-shook-charlotte/</w:t>
        </w:r>
      </w:hyperlink>
      <w:r>
        <w:t xml:space="preserve"> </w:t>
      </w:r>
    </w:p>
    <w:p w14:paraId="723C66D7" w14:textId="77777777" w:rsidR="002718E8" w:rsidRDefault="002718E8" w:rsidP="002718E8">
      <w:pPr>
        <w:pStyle w:val="NoSpacing"/>
        <w:ind w:left="720"/>
      </w:pPr>
      <w:r w:rsidRPr="000F59E3">
        <w:t>“1:30 p.m. – Attempted warrant service turns deadly</w:t>
      </w:r>
      <w:r w:rsidRPr="00F1715E">
        <w:br/>
        <w:t>The U.S. Marshals Fugitive Task Force arrived at a home on Galway Drive to serve a warrant to 39-year-old Terry Hughes, wanted for felony gun possession out of Lincoln County. As officers approached the residence, Hughes opened fire without warning.</w:t>
      </w:r>
    </w:p>
    <w:p w14:paraId="12422E1C" w14:textId="77777777" w:rsidR="002718E8" w:rsidRPr="007907B2" w:rsidRDefault="002718E8" w:rsidP="002718E8">
      <w:pPr>
        <w:pStyle w:val="NoSpacing"/>
        <w:ind w:left="720"/>
        <w:rPr>
          <w:bCs/>
        </w:rPr>
      </w:pPr>
      <w:r w:rsidRPr="000F59E3">
        <w:t>Within minutes – officers down</w:t>
      </w:r>
      <w:r w:rsidRPr="007907B2">
        <w:br/>
        <w:t xml:space="preserve">Law enforcement scrambled as bullets tore through the quiet east Charlotte neighborhood. “Shots fired, shots fired!” rang out over police radios. </w:t>
      </w:r>
    </w:p>
    <w:p w14:paraId="0FEFA026" w14:textId="77777777" w:rsidR="002718E8" w:rsidRDefault="002718E8" w:rsidP="002718E8">
      <w:pPr>
        <w:pStyle w:val="NoSpacing"/>
        <w:ind w:left="720"/>
        <w:rPr>
          <w:bCs/>
        </w:rPr>
      </w:pPr>
      <w:r w:rsidRPr="007907B2">
        <w:t>Officers reported being pinned down as Hughes fired from a second-story window using a semi-automatic AR-15 and a 40-caliber handgun.</w:t>
      </w:r>
    </w:p>
    <w:p w14:paraId="76DF7937" w14:textId="77777777" w:rsidR="002718E8" w:rsidRPr="005B3ECE" w:rsidRDefault="002718E8" w:rsidP="002718E8">
      <w:pPr>
        <w:pStyle w:val="NoSpacing"/>
        <w:ind w:left="720"/>
        <w:rPr>
          <w:bCs/>
        </w:rPr>
      </w:pPr>
      <w:r w:rsidRPr="005B3ECE">
        <w:t xml:space="preserve">“I got shots fired. </w:t>
      </w:r>
      <w:proofErr w:type="gramStart"/>
      <w:r w:rsidRPr="005B3ECE">
        <w:t>He’s</w:t>
      </w:r>
      <w:proofErr w:type="gramEnd"/>
      <w:r w:rsidRPr="005B3ECE">
        <w:t xml:space="preserve"> top window barricaded himself. Several officers are pinned,” one responder radioed in.</w:t>
      </w:r>
    </w:p>
    <w:p w14:paraId="763A21A6" w14:textId="77777777" w:rsidR="002718E8" w:rsidRPr="005B3ECE" w:rsidRDefault="002718E8" w:rsidP="002718E8">
      <w:pPr>
        <w:pStyle w:val="NoSpacing"/>
        <w:ind w:left="720"/>
        <w:rPr>
          <w:bCs/>
        </w:rPr>
      </w:pPr>
      <w:r w:rsidRPr="000F59E3">
        <w:t>More than three hours – a barrage of gunfire</w:t>
      </w:r>
      <w:r w:rsidRPr="005B3ECE">
        <w:br/>
        <w:t xml:space="preserve">For over three hours, Hughes exchanged fire with law enforcement, reportedly discharging over 100 rounds. Dozens of police units and SWAT officers swarmed the area </w:t>
      </w:r>
      <w:proofErr w:type="gramStart"/>
      <w:r w:rsidRPr="005B3ECE">
        <w:t>as</w:t>
      </w:r>
      <w:proofErr w:type="gramEnd"/>
      <w:r w:rsidRPr="005B3ECE">
        <w:t xml:space="preserve"> efforts to extract the wounded intensified.</w:t>
      </w:r>
    </w:p>
    <w:p w14:paraId="2F29C216" w14:textId="77777777" w:rsidR="002718E8" w:rsidRPr="005B3ECE" w:rsidRDefault="002718E8" w:rsidP="002718E8">
      <w:pPr>
        <w:pStyle w:val="NoSpacing"/>
        <w:ind w:left="720"/>
        <w:rPr>
          <w:bCs/>
        </w:rPr>
      </w:pPr>
      <w:r w:rsidRPr="000F59E3">
        <w:t>Shortly after 4:30 p.m. – standoff ends</w:t>
      </w:r>
      <w:r w:rsidRPr="005B3ECE">
        <w:br/>
        <w:t>Hughes was eventually shot and killed when he emerged from the second-story window. But the damage had already been done.</w:t>
      </w:r>
    </w:p>
    <w:p w14:paraId="7007854E" w14:textId="77777777" w:rsidR="002718E8" w:rsidRPr="005B3ECE" w:rsidRDefault="002718E8" w:rsidP="002718E8">
      <w:pPr>
        <w:pStyle w:val="NoSpacing"/>
        <w:ind w:left="720"/>
        <w:rPr>
          <w:bCs/>
        </w:rPr>
      </w:pPr>
      <w:r w:rsidRPr="000F59E3">
        <w:t>That evening – officers confirmed dead</w:t>
      </w:r>
      <w:r w:rsidRPr="000F59E3">
        <w:br/>
      </w:r>
      <w:r w:rsidRPr="005B3ECE">
        <w:t>Three members of the Task Force — North Carolina Department of Adult Correction Investigators Sam Poloche and William Elliot, and Deputy U.S. Marshal Thomas Weeks — were pronounced dead at the hospital. CMPD Officer Joshua Eyer, a six-year veteran, was critically injured and passed away later that evening.</w:t>
      </w:r>
      <w:r>
        <w:t>”</w:t>
      </w:r>
    </w:p>
    <w:p w14:paraId="3E1AB0D1" w14:textId="77777777" w:rsidR="00920DD8" w:rsidRDefault="00920DD8" w:rsidP="00F326E5">
      <w:pPr>
        <w:pStyle w:val="NoSpacing"/>
        <w:rPr>
          <w:rFonts w:ascii="Arial Black" w:hAnsi="Arial Black"/>
          <w:sz w:val="24"/>
          <w:szCs w:val="24"/>
        </w:rPr>
      </w:pPr>
    </w:p>
    <w:p w14:paraId="58BF32B5" w14:textId="77777777" w:rsidR="00A70464" w:rsidRDefault="00A70464" w:rsidP="00F326E5">
      <w:pPr>
        <w:pStyle w:val="NoSpacing"/>
        <w:rPr>
          <w:rFonts w:ascii="Arial Black" w:hAnsi="Arial Black"/>
          <w:sz w:val="24"/>
          <w:szCs w:val="24"/>
        </w:rPr>
      </w:pPr>
    </w:p>
    <w:p w14:paraId="0B17965C" w14:textId="77777777" w:rsidR="00A70464" w:rsidRDefault="00A70464" w:rsidP="00F326E5">
      <w:pPr>
        <w:pStyle w:val="NoSpacing"/>
        <w:rPr>
          <w:rFonts w:ascii="Arial Black" w:hAnsi="Arial Black"/>
          <w:sz w:val="24"/>
          <w:szCs w:val="24"/>
        </w:rPr>
      </w:pPr>
    </w:p>
    <w:p w14:paraId="5025983E" w14:textId="3A091FD9" w:rsidR="00920DD8" w:rsidRDefault="00920DD8" w:rsidP="00F326E5">
      <w:pPr>
        <w:pStyle w:val="NoSpacing"/>
        <w:rPr>
          <w:rFonts w:ascii="Arial Black" w:hAnsi="Arial Black"/>
          <w:sz w:val="24"/>
          <w:szCs w:val="24"/>
        </w:rPr>
      </w:pPr>
      <w:r>
        <w:rPr>
          <w:rFonts w:ascii="Arial Black" w:hAnsi="Arial Black"/>
          <w:sz w:val="24"/>
          <w:szCs w:val="24"/>
        </w:rPr>
        <w:t>17-59</w:t>
      </w:r>
    </w:p>
    <w:p w14:paraId="3A6D3D97" w14:textId="77777777" w:rsidR="00920DD8" w:rsidRDefault="00920DD8" w:rsidP="00F326E5">
      <w:pPr>
        <w:pStyle w:val="NoSpacing"/>
        <w:rPr>
          <w:rFonts w:ascii="Arial Black" w:hAnsi="Arial Black"/>
          <w:sz w:val="24"/>
          <w:szCs w:val="24"/>
        </w:rPr>
      </w:pPr>
    </w:p>
    <w:p w14:paraId="10318CC9" w14:textId="77777777" w:rsidR="00920DD8" w:rsidRPr="00694417" w:rsidRDefault="00920DD8" w:rsidP="00920DD8">
      <w:pPr>
        <w:pStyle w:val="NoSpacing"/>
        <w:rPr>
          <w:rFonts w:ascii="Arial Black" w:hAnsi="Arial Black"/>
          <w:sz w:val="28"/>
          <w:szCs w:val="28"/>
        </w:rPr>
      </w:pPr>
      <w:r>
        <w:rPr>
          <w:rFonts w:ascii="Arial Black" w:hAnsi="Arial Black"/>
          <w:sz w:val="28"/>
          <w:szCs w:val="28"/>
        </w:rPr>
        <w:t xml:space="preserve">IL: PREG LEAVE – 112 DAYS - SENIORITY RECORD FIXED </w:t>
      </w:r>
    </w:p>
    <w:p w14:paraId="57F2B8E9" w14:textId="77777777" w:rsidR="00920DD8" w:rsidRDefault="00920DD8" w:rsidP="00920DD8">
      <w:pPr>
        <w:pStyle w:val="NoSpacing"/>
      </w:pPr>
    </w:p>
    <w:p w14:paraId="15AC9DD6" w14:textId="77777777" w:rsidR="00920DD8" w:rsidRDefault="00920DD8" w:rsidP="00920DD8">
      <w:pPr>
        <w:pStyle w:val="NoSpacing"/>
      </w:pPr>
      <w:r>
        <w:t xml:space="preserve">On March 10, 2026, in </w:t>
      </w:r>
      <w:r w:rsidRPr="00D3705A">
        <w:rPr>
          <w:u w:val="single"/>
        </w:rPr>
        <w:t>Sarah Schmidt v. City of Naperville</w:t>
      </w:r>
      <w:r>
        <w:t xml:space="preserve">, U.S. District Court Judge </w:t>
      </w:r>
      <w:r w:rsidRPr="00B729AD">
        <w:t>Steven C. Seeger</w:t>
      </w:r>
      <w:r>
        <w:t xml:space="preserve">. United States District Court for the Northern District of Illinois, Eastern Division, granted the City’s motion for summary judgment.  Plaintiff took maternity leave for first child starting in November 2012, and second child in June 2014, but the Fire Department mistakenly didn’t reduce 112 days of unpaid leave until the 2020 seniority list.  </w:t>
      </w:r>
      <w:r w:rsidRPr="00B36ADD">
        <w:t xml:space="preserve">In September 2022, </w:t>
      </w:r>
      <w:r>
        <w:t xml:space="preserve">it also </w:t>
      </w:r>
      <w:r w:rsidRPr="00B36ADD">
        <w:t>expressly flagged that correction</w:t>
      </w:r>
      <w:r>
        <w:t>, but it never told the firefighter or her union</w:t>
      </w:r>
      <w:r w:rsidRPr="00B36ADD">
        <w:t>.</w:t>
      </w:r>
      <w:r>
        <w:t xml:space="preserve">  She learned about the correction in June 2023 and filed EEOC charge.  EEOC charges must be filed within 300 days – way after the change was flagged, and the Court stated: “</w:t>
      </w:r>
      <w:r w:rsidRPr="00694417">
        <w:t>The bottom line is that Schmidt slept on her rights.</w:t>
      </w:r>
      <w:r>
        <w:t>”</w:t>
      </w:r>
    </w:p>
    <w:p w14:paraId="1A2FD065" w14:textId="77777777" w:rsidR="00920DD8" w:rsidRDefault="00920DD8" w:rsidP="00920DD8">
      <w:pPr>
        <w:pStyle w:val="NoSpacing"/>
      </w:pPr>
      <w:hyperlink r:id="rId2757" w:history="1">
        <w:r w:rsidRPr="00502BCE">
          <w:rPr>
            <w:rStyle w:val="Hyperlink"/>
          </w:rPr>
          <w:t>https://cases.justia.com/federal/district-courts/illinois/ilndce/1:2024cv01517/455667/32/0.pdf?ts=1773244215</w:t>
        </w:r>
      </w:hyperlink>
      <w:r>
        <w:t xml:space="preserve"> </w:t>
      </w:r>
    </w:p>
    <w:p w14:paraId="375A6844" w14:textId="77777777" w:rsidR="00920DD8" w:rsidRDefault="00920DD8" w:rsidP="00920DD8">
      <w:pPr>
        <w:pStyle w:val="NoSpacing"/>
      </w:pPr>
    </w:p>
    <w:p w14:paraId="225ECDAD" w14:textId="77777777" w:rsidR="00920DD8" w:rsidRPr="0020661A" w:rsidRDefault="00920DD8" w:rsidP="00920DD8">
      <w:pPr>
        <w:pStyle w:val="NoSpacing"/>
      </w:pPr>
      <w:r>
        <w:t>THE COURT HELD:  “</w:t>
      </w:r>
      <w:r w:rsidRPr="0020661A">
        <w:t xml:space="preserve">On September 22, 2022, </w:t>
      </w:r>
      <w:r w:rsidRPr="00FB6E6E">
        <w:t> Division Chief Daniel</w:t>
      </w:r>
      <w:r>
        <w:t>]</w:t>
      </w:r>
      <w:r w:rsidRPr="00FB6E6E">
        <w:t xml:space="preserve"> Smith</w:t>
      </w:r>
      <w:r w:rsidRPr="0020661A">
        <w:t xml:space="preserve"> published the 2023 seniority list. For the first time, Smith added a notation that called attention to the reduction in Schmidt's seniority. </w:t>
      </w:r>
    </w:p>
    <w:p w14:paraId="2A051893" w14:textId="77777777" w:rsidR="00920DD8" w:rsidRDefault="00920DD8" w:rsidP="00920DD8">
      <w:pPr>
        <w:pStyle w:val="NoSpacing"/>
        <w:ind w:left="540"/>
      </w:pPr>
    </w:p>
    <w:p w14:paraId="208C981F" w14:textId="77777777" w:rsidR="00920DD8" w:rsidRDefault="00920DD8" w:rsidP="00920DD8">
      <w:pPr>
        <w:pStyle w:val="NoSpacing"/>
        <w:ind w:left="540"/>
      </w:pPr>
      <w:r w:rsidRPr="0020661A">
        <w:t xml:space="preserve">“Schmidt </w:t>
      </w:r>
      <w:proofErr w:type="spellStart"/>
      <w:r w:rsidRPr="0020661A">
        <w:t>seniorty</w:t>
      </w:r>
      <w:proofErr w:type="spellEnd"/>
      <w:r w:rsidRPr="0020661A">
        <w:t xml:space="preserve"> [sic] reduced by 112 days. 2 [leave of absences] 11/12 &amp; 6/14.” </w:t>
      </w:r>
    </w:p>
    <w:p w14:paraId="4CB49322" w14:textId="77777777" w:rsidR="00920DD8" w:rsidRDefault="00920DD8" w:rsidP="00920DD8">
      <w:pPr>
        <w:pStyle w:val="NoSpacing"/>
        <w:ind w:left="540"/>
      </w:pPr>
    </w:p>
    <w:p w14:paraId="467D7032" w14:textId="77777777" w:rsidR="00920DD8" w:rsidRDefault="00920DD8" w:rsidP="00920DD8">
      <w:pPr>
        <w:pStyle w:val="NoSpacing"/>
      </w:pPr>
      <w:r w:rsidRPr="0020661A">
        <w:t xml:space="preserve">The numbers at the end reflected the months and years when Schmidt took leave, meaning November 2012 and June 2014. </w:t>
      </w:r>
    </w:p>
    <w:p w14:paraId="5545F6C5" w14:textId="77777777" w:rsidR="00920DD8" w:rsidRDefault="00920DD8" w:rsidP="00920DD8">
      <w:pPr>
        <w:pStyle w:val="NoSpacing"/>
      </w:pPr>
    </w:p>
    <w:p w14:paraId="7818BDC7" w14:textId="77777777" w:rsidR="00920DD8" w:rsidRDefault="00920DD8" w:rsidP="00920DD8">
      <w:pPr>
        <w:pStyle w:val="NoSpacing"/>
      </w:pPr>
      <w:r>
        <w:t>***</w:t>
      </w:r>
    </w:p>
    <w:p w14:paraId="68356FCE" w14:textId="77777777" w:rsidR="00920DD8" w:rsidRPr="0020661A" w:rsidRDefault="00920DD8" w:rsidP="00920DD8">
      <w:pPr>
        <w:pStyle w:val="NoSpacing"/>
      </w:pPr>
    </w:p>
    <w:p w14:paraId="650F1D0E" w14:textId="77777777" w:rsidR="00920DD8" w:rsidRDefault="00920DD8" w:rsidP="00920DD8">
      <w:pPr>
        <w:pStyle w:val="NoSpacing"/>
      </w:pPr>
      <w:r w:rsidRPr="001D3766">
        <w:t>The list is available to the employees, but the fire department does not send the list directly to the employees, either. Employees do not receive an email or other notification when Smith publishes the seniority list</w:t>
      </w:r>
      <w:r>
        <w:t xml:space="preserve">…. </w:t>
      </w:r>
      <w:r w:rsidRPr="0076125A">
        <w:t> Even so, the publication of the list does take place at the same time as the sweepstakes for vacation time. Every year, the fire department sends an official notice that bidding on the upcoming year's vacation days has begun.</w:t>
      </w:r>
      <w:r>
        <w:t>”</w:t>
      </w:r>
    </w:p>
    <w:p w14:paraId="0FDA9F85" w14:textId="77777777" w:rsidR="00920DD8" w:rsidRDefault="00920DD8" w:rsidP="00920DD8">
      <w:pPr>
        <w:pStyle w:val="NoSpacing"/>
      </w:pPr>
    </w:p>
    <w:p w14:paraId="51266757" w14:textId="77777777" w:rsidR="00920DD8" w:rsidRDefault="00920DD8" w:rsidP="00920DD8">
      <w:pPr>
        <w:pStyle w:val="NoSpacing"/>
        <w:rPr>
          <w:b/>
          <w:bCs/>
        </w:rPr>
      </w:pPr>
      <w:r>
        <w:rPr>
          <w:b/>
        </w:rPr>
        <w:t>***</w:t>
      </w:r>
    </w:p>
    <w:p w14:paraId="49574D05" w14:textId="77777777" w:rsidR="00920DD8" w:rsidRDefault="00920DD8" w:rsidP="00920DD8">
      <w:pPr>
        <w:pStyle w:val="NoSpacing"/>
      </w:pPr>
    </w:p>
    <w:p w14:paraId="35329F8B" w14:textId="77777777" w:rsidR="00920DD8" w:rsidRDefault="00920DD8" w:rsidP="00920DD8">
      <w:pPr>
        <w:pStyle w:val="NoSpacing"/>
      </w:pPr>
      <w:r w:rsidRPr="00EC7E1B">
        <w:t>During her tenure, Schmidt took two pregnancy-related periods of unpaid leave lasting longer than 30 days. In 2012, Schmidt was pregnant and took unpaid leave from November 30, 2012, to January 13, 2013</w:t>
      </w:r>
      <w:r>
        <w:t xml:space="preserve">…. </w:t>
      </w:r>
      <w:r w:rsidRPr="00EC7E1B">
        <w:t>In 2014, Schmidt had another child, taking unpaid leave from June 8 to August 24, 2014</w:t>
      </w:r>
      <w:r>
        <w:t xml:space="preserve">…. </w:t>
      </w:r>
      <w:r w:rsidRPr="00590CEE">
        <w:t xml:space="preserve">So, Schmidt took unpaid leave twice, and each absence lasted longer than 30 consecutive days. She took unpaid leave for a total of 112 days. Under the CBA, Schmidt was not entitled to seniority credit for that </w:t>
      </w:r>
      <w:proofErr w:type="gramStart"/>
      <w:r w:rsidRPr="00590CEE">
        <w:t>period of time</w:t>
      </w:r>
      <w:proofErr w:type="gramEnd"/>
      <w:r w:rsidRPr="00590CEE">
        <w:t xml:space="preserve">. </w:t>
      </w:r>
      <w:r w:rsidRPr="00590CEE">
        <w:rPr>
          <w:i/>
          <w:iCs/>
        </w:rPr>
        <w:t>See</w:t>
      </w:r>
      <w:r w:rsidRPr="00590CEE">
        <w:t xml:space="preserve"> CBA, at § 8.1 (</w:t>
      </w:r>
      <w:proofErr w:type="spellStart"/>
      <w:r w:rsidRPr="00590CEE">
        <w:t>Dckt</w:t>
      </w:r>
      <w:proofErr w:type="spellEnd"/>
      <w:r w:rsidRPr="00590CEE">
        <w:t>. No. 26-2).</w:t>
      </w:r>
      <w:r>
        <w:t>”</w:t>
      </w:r>
    </w:p>
    <w:p w14:paraId="721F7275" w14:textId="77777777" w:rsidR="00920DD8" w:rsidRDefault="00920DD8" w:rsidP="00920DD8">
      <w:pPr>
        <w:pStyle w:val="NoSpacing"/>
      </w:pPr>
    </w:p>
    <w:p w14:paraId="3B76DFFA" w14:textId="77777777" w:rsidR="00920DD8" w:rsidRPr="007E1C7E" w:rsidRDefault="00920DD8" w:rsidP="00920DD8">
      <w:pPr>
        <w:pStyle w:val="NoSpacing"/>
        <w:rPr>
          <w:b/>
          <w:bCs/>
        </w:rPr>
      </w:pPr>
      <w:r w:rsidRPr="007E1C7E">
        <w:rPr>
          <w:b/>
        </w:rPr>
        <w:t>Legal lesson learned:</w:t>
      </w:r>
      <w:r>
        <w:rPr>
          <w:b/>
        </w:rPr>
        <w:t xml:space="preserve"> The Fire Department, when it learned of its mistake in not reducing the seniority, “flagged” the correction on the 2023 seniority list; perhaps they could have avoided the EEOC charge and this litigation if they had simply advised her (and her union) of the correction. </w:t>
      </w:r>
    </w:p>
    <w:p w14:paraId="5A7B3BD5" w14:textId="77777777" w:rsidR="00920DD8" w:rsidRDefault="00920DD8" w:rsidP="00920DD8">
      <w:pPr>
        <w:pStyle w:val="NoSpacing"/>
      </w:pPr>
    </w:p>
    <w:p w14:paraId="44B33531" w14:textId="77777777" w:rsidR="00920DD8" w:rsidRPr="00EF7DF1" w:rsidRDefault="00920DD8" w:rsidP="00920DD8">
      <w:pPr>
        <w:pStyle w:val="NoSpacing"/>
        <w:ind w:left="720"/>
      </w:pPr>
      <w:r>
        <w:t>Note: The Court stated: “</w:t>
      </w:r>
      <w:r w:rsidRPr="00EF7DF1">
        <w:t xml:space="preserve">For whatever reason, no one from the fire department reached out to Schmidt directly and drew her attention to the correction. And for whatever reason, Schmidt did not notice the correction in the 2020 seniority list, or the 2021 seniority list, or the 2022 seniority list. Schmidt didn't realize that the fire department had reduced her seniority until June </w:t>
      </w:r>
      <w:proofErr w:type="gramStart"/>
      <w:r w:rsidRPr="00EF7DF1">
        <w:t>2023.</w:t>
      </w:r>
      <w:r>
        <w:t>”</w:t>
      </w:r>
      <w:proofErr w:type="gramEnd"/>
    </w:p>
    <w:p w14:paraId="2A0C7856" w14:textId="77777777" w:rsidR="00920DD8" w:rsidRDefault="00920DD8" w:rsidP="00920DD8">
      <w:pPr>
        <w:pStyle w:val="NoSpacing"/>
        <w:ind w:left="720"/>
      </w:pPr>
    </w:p>
    <w:p w14:paraId="3B71456C" w14:textId="77777777" w:rsidR="00920DD8" w:rsidRDefault="00920DD8" w:rsidP="00920DD8">
      <w:pPr>
        <w:pStyle w:val="NoSpacing"/>
        <w:ind w:left="720"/>
      </w:pPr>
    </w:p>
    <w:p w14:paraId="03811355" w14:textId="77777777" w:rsidR="00920DD8" w:rsidRDefault="00920DD8" w:rsidP="00920DD8">
      <w:pPr>
        <w:pStyle w:val="NoSpacing"/>
        <w:rPr>
          <w:b/>
        </w:rPr>
      </w:pPr>
    </w:p>
    <w:p w14:paraId="09CF6838" w14:textId="77777777" w:rsidR="00920DD8" w:rsidRDefault="00920DD8" w:rsidP="00920DD8">
      <w:pPr>
        <w:pStyle w:val="NoSpacing"/>
      </w:pPr>
    </w:p>
    <w:p w14:paraId="74DDD2A1" w14:textId="77777777" w:rsidR="00920DD8" w:rsidRDefault="00920DD8" w:rsidP="00920DD8">
      <w:pPr>
        <w:pStyle w:val="NoSpacing"/>
        <w:rPr>
          <w:bCs/>
        </w:rPr>
      </w:pPr>
    </w:p>
    <w:p w14:paraId="440BB528" w14:textId="77777777" w:rsidR="00920DD8" w:rsidRDefault="00920DD8" w:rsidP="00F326E5">
      <w:pPr>
        <w:pStyle w:val="NoSpacing"/>
        <w:rPr>
          <w:rFonts w:ascii="Arial Black" w:hAnsi="Arial Black"/>
          <w:sz w:val="24"/>
          <w:szCs w:val="24"/>
        </w:rPr>
      </w:pPr>
    </w:p>
    <w:p w14:paraId="55F76264" w14:textId="77777777" w:rsidR="00920DD8" w:rsidRDefault="00920DD8" w:rsidP="00F326E5">
      <w:pPr>
        <w:pStyle w:val="NoSpacing"/>
        <w:rPr>
          <w:rFonts w:ascii="Arial Black" w:hAnsi="Arial Black"/>
          <w:sz w:val="24"/>
          <w:szCs w:val="24"/>
        </w:rPr>
      </w:pPr>
    </w:p>
    <w:p w14:paraId="115F9665" w14:textId="4D4E7550" w:rsidR="0022047A" w:rsidRDefault="0022047A" w:rsidP="00F326E5">
      <w:pPr>
        <w:pStyle w:val="NoSpacing"/>
        <w:rPr>
          <w:rFonts w:ascii="Arial Black" w:hAnsi="Arial Black"/>
          <w:sz w:val="24"/>
          <w:szCs w:val="24"/>
        </w:rPr>
      </w:pPr>
      <w:r>
        <w:rPr>
          <w:rFonts w:ascii="Arial Black" w:hAnsi="Arial Black"/>
          <w:sz w:val="24"/>
          <w:szCs w:val="24"/>
        </w:rPr>
        <w:t>17-</w:t>
      </w:r>
      <w:r w:rsidR="00420A23">
        <w:rPr>
          <w:rFonts w:ascii="Arial Black" w:hAnsi="Arial Black"/>
          <w:sz w:val="24"/>
          <w:szCs w:val="24"/>
        </w:rPr>
        <w:t>58</w:t>
      </w:r>
    </w:p>
    <w:p w14:paraId="387E7D68" w14:textId="77777777" w:rsidR="00420A23" w:rsidRPr="00B177C5" w:rsidRDefault="00420A23" w:rsidP="00420A23">
      <w:pPr>
        <w:pStyle w:val="NoSpacing"/>
        <w:rPr>
          <w:rFonts w:ascii="Arial Black" w:hAnsi="Arial Black"/>
          <w:sz w:val="28"/>
          <w:szCs w:val="28"/>
        </w:rPr>
      </w:pPr>
      <w:r>
        <w:rPr>
          <w:rFonts w:ascii="Arial Black" w:hAnsi="Arial Black"/>
          <w:sz w:val="28"/>
          <w:szCs w:val="28"/>
        </w:rPr>
        <w:t>SC: UNION PRES. FIRED – CASE PROCEED – 1</w:t>
      </w:r>
      <w:r w:rsidRPr="005C3937">
        <w:rPr>
          <w:rFonts w:ascii="Arial Black" w:hAnsi="Arial Black"/>
          <w:sz w:val="28"/>
          <w:szCs w:val="28"/>
          <w:vertAlign w:val="superscript"/>
        </w:rPr>
        <w:t>st</w:t>
      </w:r>
      <w:r>
        <w:rPr>
          <w:rFonts w:ascii="Arial Black" w:hAnsi="Arial Black"/>
          <w:sz w:val="28"/>
          <w:szCs w:val="28"/>
        </w:rPr>
        <w:t xml:space="preserve"> AMEND.  </w:t>
      </w:r>
    </w:p>
    <w:p w14:paraId="679DDE63" w14:textId="77777777" w:rsidR="00420A23" w:rsidRDefault="00420A23" w:rsidP="00420A23">
      <w:pPr>
        <w:pStyle w:val="NoSpacing"/>
      </w:pPr>
    </w:p>
    <w:p w14:paraId="2E69737A" w14:textId="77777777" w:rsidR="00420A23" w:rsidRDefault="00420A23" w:rsidP="00420A23">
      <w:r>
        <w:t xml:space="preserve">On February 3, 2026, in </w:t>
      </w:r>
      <w:r w:rsidRPr="004A13ED">
        <w:rPr>
          <w:u w:val="single"/>
        </w:rPr>
        <w:t>Gregory Cargill v. The City of Greenville, et al</w:t>
      </w:r>
      <w:r>
        <w:t>., U.S. District Court Judge Jacquelyn D. Austin</w:t>
      </w:r>
      <w:r w:rsidRPr="002764C6">
        <w:t>, United States District Court for the District of South Carolina, Greenville Division</w:t>
      </w:r>
      <w:r>
        <w:t>. Denied the City’s motion to dismiss. Firefighter Cargill was President of IAFF Local 2261 and requested a meeting with the Fire Chief; o</w:t>
      </w:r>
      <w:r w:rsidRPr="00A04EFF">
        <w:t xml:space="preserve">n August 28, 2024, Chief Horton responded by email stating the City would not engage in collective bargaining with Local 2261 but that he would meet with Plaintiff “Chief to firefighter,” and he directed Plaintiff to go through the chain of command to set up the meeting or for any other communications. </w:t>
      </w:r>
      <w:r>
        <w:t xml:space="preserve">Cargill attended City Council meeting on September 9, 2024, spoke with member of the Council, on October 12, 2024 he sent letter on Union Letterhead to City Manager about poor morale, and then was fired by the Fire Chief on October 20, 2024. </w:t>
      </w:r>
      <w:hyperlink r:id="rId2758" w:history="1">
        <w:r w:rsidRPr="00734647">
          <w:rPr>
            <w:rStyle w:val="Hyperlink"/>
          </w:rPr>
          <w:t>https://public.fastcase.com/Jhe1Qn%2BmJndQYQU6z%2FeNmxCPiZizVlc11JYA3odTB4IhzrCNgoXQd5cis%2BDwnvItMWVDGFMSfq0NQT9Gs0Nt1TNd1VW0h9sJNC6uT%2FjNAHc%3D?utm_medium=email&amp;_hsenc=p2ANqtz-8-aEXaYfaNma4DTW9HUN_1FUQQoclWpkG9e_9BTRsreHlU-cWJ1LgKYyHosOTXLG__w-panONGFSrnN_jSAOz_10UwNA&amp;_hsmi=226712652&amp;utm_content=226712652&amp;utm_source=hs_email</w:t>
        </w:r>
      </w:hyperlink>
      <w:r>
        <w:t xml:space="preserve"> </w:t>
      </w:r>
    </w:p>
    <w:p w14:paraId="1E7FDE4C" w14:textId="77777777" w:rsidR="00420A23" w:rsidRDefault="00420A23" w:rsidP="00420A23">
      <w:pPr>
        <w:pStyle w:val="NoSpacing"/>
      </w:pPr>
      <w:r>
        <w:t>THE COURT HELD: “</w:t>
      </w:r>
      <w:r w:rsidRPr="007B7961">
        <w:t xml:space="preserve">In particular, under the balancing test developed by the Supreme Court in </w:t>
      </w:r>
      <w:r w:rsidRPr="007B7961">
        <w:rPr>
          <w:i/>
          <w:iCs/>
        </w:rPr>
        <w:t>Pickering</w:t>
      </w:r>
      <w:r w:rsidRPr="007B7961">
        <w:t xml:space="preserve"> and </w:t>
      </w:r>
      <w:r w:rsidRPr="007B7961">
        <w:rPr>
          <w:i/>
          <w:iCs/>
        </w:rPr>
        <w:t>Connick</w:t>
      </w:r>
      <w:r w:rsidRPr="007B7961">
        <w:t xml:space="preserve">, “the First Amendment does not protect public employees when their speech interests are outweighed by the government's interest in providing efficient and effective services to the public.” </w:t>
      </w:r>
      <w:r w:rsidRPr="007B7961">
        <w:rPr>
          <w:i/>
          <w:iCs/>
        </w:rPr>
        <w:t xml:space="preserve">Lawson v. Union </w:t>
      </w:r>
      <w:proofErr w:type="spellStart"/>
      <w:r w:rsidRPr="007B7961">
        <w:rPr>
          <w:i/>
          <w:iCs/>
        </w:rPr>
        <w:t>Cty</w:t>
      </w:r>
      <w:proofErr w:type="spellEnd"/>
      <w:r w:rsidRPr="007B7961">
        <w:rPr>
          <w:i/>
          <w:iCs/>
        </w:rPr>
        <w:t>. Clerk of Court</w:t>
      </w:r>
      <w:r w:rsidRPr="007B7961">
        <w:t>, 828 F.3d 239, 247 (4th Cir. 2016).</w:t>
      </w:r>
      <w:r>
        <w:t xml:space="preserve"> </w:t>
      </w:r>
    </w:p>
    <w:p w14:paraId="2A7FCE52" w14:textId="77777777" w:rsidR="00420A23" w:rsidRDefault="00420A23" w:rsidP="00420A23">
      <w:pPr>
        <w:pStyle w:val="NoSpacing"/>
      </w:pPr>
      <w:r w:rsidRPr="00870424">
        <w:t xml:space="preserve">Accordingly, the Court concludes that Plaintiff has adequately pled that his speech was as a private citizen on a matter of public concern. </w:t>
      </w:r>
      <w:r w:rsidRPr="00870424">
        <w:rPr>
          <w:i/>
          <w:iCs/>
        </w:rPr>
        <w:t>See Liverman</w:t>
      </w:r>
      <w:r w:rsidRPr="00870424">
        <w:t xml:space="preserve">, 844 F.3d at 410 (holding speech was on a matter of public concern when the matter </w:t>
      </w:r>
      <w:r>
        <w:t>‘</w:t>
      </w:r>
      <w:r w:rsidRPr="00870424">
        <w:t>addressed was of more than personal import</w:t>
      </w:r>
      <w:r>
        <w:t>’</w:t>
      </w:r>
      <w:r w:rsidRPr="00870424">
        <w:t>).</w:t>
      </w:r>
      <w:r>
        <w:t>”</w:t>
      </w:r>
    </w:p>
    <w:p w14:paraId="041AE8EC" w14:textId="77777777" w:rsidR="00420A23" w:rsidRPr="003F10C2" w:rsidRDefault="00420A23" w:rsidP="00420A23">
      <w:pPr>
        <w:pStyle w:val="NoSpacing"/>
        <w:rPr>
          <w:b/>
          <w:bCs/>
        </w:rPr>
      </w:pPr>
    </w:p>
    <w:p w14:paraId="17666401" w14:textId="77777777" w:rsidR="00420A23" w:rsidRPr="00C45C5D" w:rsidRDefault="00420A23" w:rsidP="00420A23">
      <w:pPr>
        <w:pStyle w:val="NoSpacing"/>
        <w:rPr>
          <w:b/>
          <w:bCs/>
        </w:rPr>
      </w:pPr>
      <w:r w:rsidRPr="003F10C2">
        <w:rPr>
          <w:b/>
        </w:rPr>
        <w:t xml:space="preserve">Legal lesson learned: </w:t>
      </w:r>
      <w:r>
        <w:rPr>
          <w:b/>
        </w:rPr>
        <w:t xml:space="preserve">The Union President was communicating on matters of a public concern. </w:t>
      </w:r>
    </w:p>
    <w:p w14:paraId="4E172BAA" w14:textId="77777777" w:rsidR="00420A23" w:rsidRPr="003F10C2" w:rsidRDefault="00420A23" w:rsidP="00420A23">
      <w:pPr>
        <w:rPr>
          <w:b/>
          <w:bCs/>
        </w:rPr>
      </w:pPr>
    </w:p>
    <w:p w14:paraId="69F30687" w14:textId="77777777" w:rsidR="00420A23" w:rsidRPr="002764C6" w:rsidRDefault="00420A23" w:rsidP="00420A23"/>
    <w:p w14:paraId="19DFC468" w14:textId="77777777" w:rsidR="00420A23" w:rsidRDefault="00420A23" w:rsidP="00F326E5">
      <w:pPr>
        <w:pStyle w:val="NoSpacing"/>
        <w:rPr>
          <w:rFonts w:ascii="Arial Black" w:hAnsi="Arial Black"/>
          <w:sz w:val="24"/>
          <w:szCs w:val="24"/>
        </w:rPr>
      </w:pPr>
    </w:p>
    <w:p w14:paraId="35712AC9" w14:textId="77777777" w:rsidR="0022047A" w:rsidRDefault="0022047A" w:rsidP="00F326E5">
      <w:pPr>
        <w:pStyle w:val="NoSpacing"/>
        <w:rPr>
          <w:rFonts w:ascii="Arial Black" w:hAnsi="Arial Black"/>
          <w:sz w:val="24"/>
          <w:szCs w:val="24"/>
        </w:rPr>
      </w:pPr>
    </w:p>
    <w:p w14:paraId="31D202F7" w14:textId="77777777" w:rsidR="0022047A" w:rsidRDefault="0022047A" w:rsidP="00F326E5">
      <w:pPr>
        <w:pStyle w:val="NoSpacing"/>
        <w:rPr>
          <w:rFonts w:ascii="Arial Black" w:hAnsi="Arial Black"/>
          <w:sz w:val="24"/>
          <w:szCs w:val="24"/>
        </w:rPr>
      </w:pPr>
    </w:p>
    <w:p w14:paraId="0B0F6658" w14:textId="77777777" w:rsidR="0022047A" w:rsidRDefault="0022047A" w:rsidP="00F326E5">
      <w:pPr>
        <w:pStyle w:val="NoSpacing"/>
        <w:rPr>
          <w:rFonts w:ascii="Arial Black" w:hAnsi="Arial Black"/>
          <w:sz w:val="24"/>
          <w:szCs w:val="24"/>
        </w:rPr>
      </w:pPr>
    </w:p>
    <w:p w14:paraId="1EA97DAA" w14:textId="60C89BD7" w:rsidR="00D92FBD" w:rsidRDefault="00D92FBD" w:rsidP="00F326E5">
      <w:pPr>
        <w:pStyle w:val="NoSpacing"/>
        <w:rPr>
          <w:rFonts w:ascii="Arial Black" w:hAnsi="Arial Black"/>
          <w:sz w:val="24"/>
          <w:szCs w:val="24"/>
        </w:rPr>
      </w:pPr>
      <w:r>
        <w:rPr>
          <w:rFonts w:ascii="Arial Black" w:hAnsi="Arial Black"/>
          <w:sz w:val="24"/>
          <w:szCs w:val="24"/>
        </w:rPr>
        <w:t>17-57</w:t>
      </w:r>
    </w:p>
    <w:p w14:paraId="3EC77202" w14:textId="77777777" w:rsidR="00EA62D5" w:rsidRDefault="00EA62D5" w:rsidP="00F326E5">
      <w:pPr>
        <w:pStyle w:val="NoSpacing"/>
        <w:rPr>
          <w:rFonts w:ascii="Arial Black" w:hAnsi="Arial Black"/>
          <w:sz w:val="24"/>
          <w:szCs w:val="24"/>
        </w:rPr>
      </w:pPr>
    </w:p>
    <w:p w14:paraId="1C7453A6" w14:textId="10B1C6B5" w:rsidR="00EA62D5" w:rsidRPr="00753591" w:rsidRDefault="00EA62D5" w:rsidP="00EA62D5">
      <w:pPr>
        <w:pStyle w:val="NoSpacing"/>
        <w:rPr>
          <w:rFonts w:ascii="Arial Black" w:hAnsi="Arial Black"/>
          <w:sz w:val="28"/>
          <w:szCs w:val="28"/>
        </w:rPr>
      </w:pPr>
      <w:r>
        <w:rPr>
          <w:rFonts w:ascii="Arial Black" w:hAnsi="Arial Black"/>
          <w:sz w:val="28"/>
          <w:szCs w:val="28"/>
        </w:rPr>
        <w:t xml:space="preserve">CA: UNION PRES – </w:t>
      </w:r>
      <w:r w:rsidR="00645B9B">
        <w:rPr>
          <w:rFonts w:ascii="Arial Black" w:hAnsi="Arial Black"/>
          <w:sz w:val="28"/>
          <w:szCs w:val="28"/>
        </w:rPr>
        <w:t>STESS –</w:t>
      </w:r>
      <w:r w:rsidR="001276F8">
        <w:rPr>
          <w:rFonts w:ascii="Arial Black" w:hAnsi="Arial Black"/>
          <w:sz w:val="28"/>
          <w:szCs w:val="28"/>
        </w:rPr>
        <w:t xml:space="preserve"> </w:t>
      </w:r>
      <w:r>
        <w:rPr>
          <w:rFonts w:ascii="Arial Black" w:hAnsi="Arial Black"/>
          <w:sz w:val="28"/>
          <w:szCs w:val="28"/>
        </w:rPr>
        <w:t>ORDERED TAKE PSYCH EXAM</w:t>
      </w:r>
    </w:p>
    <w:p w14:paraId="35B9DB4D" w14:textId="77777777" w:rsidR="00EA62D5" w:rsidRDefault="00EA62D5" w:rsidP="00EA62D5">
      <w:pPr>
        <w:pStyle w:val="NoSpacing"/>
      </w:pPr>
    </w:p>
    <w:p w14:paraId="361EE434" w14:textId="77777777" w:rsidR="00EA62D5" w:rsidRDefault="00EA62D5" w:rsidP="00EA62D5">
      <w:pPr>
        <w:pStyle w:val="NoSpacing"/>
      </w:pPr>
      <w:r>
        <w:t xml:space="preserve">On Oct. 13, 2025, in </w:t>
      </w:r>
      <w:r w:rsidRPr="007B5174">
        <w:rPr>
          <w:u w:val="single"/>
        </w:rPr>
        <w:t>Ryan Mack v. City of Guadalupe, et al</w:t>
      </w:r>
      <w:r>
        <w:t xml:space="preserve">., </w:t>
      </w:r>
      <w:r w:rsidRPr="008C0CEB">
        <w:t>California Court of Appeal, Second District</w:t>
      </w:r>
      <w:r>
        <w:t xml:space="preserve"> held (3 to 0, unpublished decision) that trial court properly granted summary judgment to the defendants.  The firefighter was a Captain and a vocal Union President; on March 8, 2022, he took sick leave.  The Fire Chief called him to about his level of stress. and he replied,</w:t>
      </w:r>
      <w:r w:rsidRPr="007C4EF8">
        <w:t xml:space="preserve"> “I do not feel 100 percent, and</w:t>
      </w:r>
      <w:r>
        <w:t xml:space="preserve"> </w:t>
      </w:r>
      <w:r w:rsidRPr="007C4EF8">
        <w:t>I don’t feel capable of doing the job right now.”</w:t>
      </w:r>
      <w:r>
        <w:t xml:space="preserve"> On March 10, 2022, Human Resources manager advised him he was being ordered to take psychological and physical exam; he passed both and returned to work in April.  He continued work for next year and resigned on June 5, 2025. </w:t>
      </w:r>
      <w:hyperlink r:id="rId2759" w:history="1">
        <w:r w:rsidRPr="0024236A">
          <w:rPr>
            <w:rStyle w:val="Hyperlink"/>
          </w:rPr>
          <w:t>https://www4.courts.ca.gov/opinions/nonpub/B342205.PDF</w:t>
        </w:r>
      </w:hyperlink>
      <w:r>
        <w:t xml:space="preserve"> </w:t>
      </w:r>
    </w:p>
    <w:p w14:paraId="5A256074" w14:textId="77777777" w:rsidR="00EA62D5" w:rsidRDefault="00EA62D5" w:rsidP="00EA62D5">
      <w:pPr>
        <w:pStyle w:val="NoSpacing"/>
      </w:pPr>
    </w:p>
    <w:p w14:paraId="66F21981" w14:textId="77777777" w:rsidR="00EA62D5" w:rsidRDefault="00EA62D5" w:rsidP="00EA62D5">
      <w:pPr>
        <w:pStyle w:val="NoSpacing"/>
      </w:pPr>
      <w:r>
        <w:t xml:space="preserve">THE COURT HELD:  </w:t>
      </w:r>
    </w:p>
    <w:p w14:paraId="70C9621F" w14:textId="77777777" w:rsidR="00EA62D5" w:rsidRDefault="00EA62D5" w:rsidP="00EA62D5">
      <w:pPr>
        <w:pStyle w:val="NoSpacing"/>
      </w:pPr>
    </w:p>
    <w:p w14:paraId="78C62D8E" w14:textId="77777777" w:rsidR="00EA62D5" w:rsidRDefault="00EA62D5" w:rsidP="00EA62D5">
      <w:pPr>
        <w:pStyle w:val="NoSpacing"/>
        <w:ind w:left="720"/>
      </w:pPr>
      <w:r>
        <w:t>“We conclude appellant did not suffer an adverse employment action as a matter of law. Thus, summary adjudication was proper as to his discrimination and retaliation claims.</w:t>
      </w:r>
    </w:p>
    <w:p w14:paraId="65CE88CF" w14:textId="77777777" w:rsidR="00EA62D5" w:rsidRDefault="00EA62D5" w:rsidP="00EA62D5">
      <w:pPr>
        <w:pStyle w:val="NoSpacing"/>
        <w:ind w:left="720"/>
      </w:pPr>
    </w:p>
    <w:p w14:paraId="3F636084" w14:textId="77777777" w:rsidR="00EA62D5" w:rsidRDefault="00EA62D5" w:rsidP="00EA62D5">
      <w:pPr>
        <w:pStyle w:val="NoSpacing"/>
        <w:ind w:left="720"/>
      </w:pPr>
      <w:r>
        <w:t>***</w:t>
      </w:r>
    </w:p>
    <w:p w14:paraId="627A7055" w14:textId="77777777" w:rsidR="00EA62D5" w:rsidRDefault="00EA62D5" w:rsidP="00EA62D5">
      <w:pPr>
        <w:pStyle w:val="NoSpacing"/>
        <w:ind w:left="720"/>
      </w:pPr>
      <w:proofErr w:type="spellStart"/>
      <w:r>
        <w:t>Areasonable</w:t>
      </w:r>
      <w:proofErr w:type="spellEnd"/>
      <w:r>
        <w:t xml:space="preserve"> trier of fact could not find that the fitness for duty order was an adverse employment action. The City’s policy manual expressly authorized fitness for duty examinations. The City’s personnel policy does not list fitness for duty examinations in its discipline tiers, and Chief Cash declared he ‘did not mean it as discipline.’ Appellant was paid while on leave pending the two examinations. After passing the examinations, he was </w:t>
      </w:r>
      <w:proofErr w:type="gramStart"/>
      <w:r>
        <w:t>cleared</w:t>
      </w:r>
      <w:proofErr w:type="gramEnd"/>
      <w:r>
        <w:t xml:space="preserve"> to return to full duty in April, the month after the fitness for duty order issued. That order did not cause appellant professional harm, and such harm cannot reasonably be inferred from appellant’s resignation over a year later.”</w:t>
      </w:r>
    </w:p>
    <w:p w14:paraId="0E34588E" w14:textId="77777777" w:rsidR="00EA62D5" w:rsidRDefault="00EA62D5" w:rsidP="00EA62D5">
      <w:pPr>
        <w:pStyle w:val="NoSpacing"/>
        <w:ind w:left="720"/>
      </w:pPr>
    </w:p>
    <w:p w14:paraId="0935F3BD" w14:textId="0208A6D1" w:rsidR="00EA62D5" w:rsidRPr="009A4666" w:rsidRDefault="00EA62D5" w:rsidP="00EA62D5">
      <w:pPr>
        <w:pStyle w:val="NoSpacing"/>
        <w:rPr>
          <w:b/>
          <w:bCs/>
        </w:rPr>
      </w:pPr>
      <w:r>
        <w:rPr>
          <w:b/>
        </w:rPr>
        <w:t xml:space="preserve">Lesson learned: Psychological exam is not an adverse employment action. </w:t>
      </w:r>
    </w:p>
    <w:p w14:paraId="75D45D51" w14:textId="77777777" w:rsidR="00EA62D5" w:rsidRDefault="00EA62D5" w:rsidP="00EA62D5">
      <w:pPr>
        <w:pStyle w:val="NoSpacing"/>
        <w:rPr>
          <w:b/>
        </w:rPr>
      </w:pPr>
    </w:p>
    <w:p w14:paraId="7708821C" w14:textId="77777777" w:rsidR="00EA62D5" w:rsidRDefault="00EA62D5" w:rsidP="00F326E5">
      <w:pPr>
        <w:pStyle w:val="NoSpacing"/>
        <w:rPr>
          <w:rFonts w:ascii="Arial Black" w:hAnsi="Arial Black"/>
          <w:sz w:val="24"/>
          <w:szCs w:val="24"/>
        </w:rPr>
      </w:pPr>
    </w:p>
    <w:p w14:paraId="1DA1A392" w14:textId="77777777" w:rsidR="00D92FBD" w:rsidRDefault="00D92FBD" w:rsidP="00F326E5">
      <w:pPr>
        <w:pStyle w:val="NoSpacing"/>
        <w:rPr>
          <w:rFonts w:ascii="Arial Black" w:hAnsi="Arial Black"/>
          <w:sz w:val="24"/>
          <w:szCs w:val="24"/>
        </w:rPr>
      </w:pPr>
    </w:p>
    <w:p w14:paraId="4FF68C78" w14:textId="77777777" w:rsidR="00D92FBD" w:rsidRDefault="00D92FBD" w:rsidP="00F326E5">
      <w:pPr>
        <w:pStyle w:val="NoSpacing"/>
        <w:rPr>
          <w:rFonts w:ascii="Arial Black" w:hAnsi="Arial Black"/>
          <w:sz w:val="24"/>
          <w:szCs w:val="24"/>
        </w:rPr>
      </w:pPr>
    </w:p>
    <w:p w14:paraId="4A3DC83D" w14:textId="77777777" w:rsidR="00D92FBD" w:rsidRDefault="00D92FBD" w:rsidP="00F326E5">
      <w:pPr>
        <w:pStyle w:val="NoSpacing"/>
        <w:rPr>
          <w:rFonts w:ascii="Arial Black" w:hAnsi="Arial Black"/>
          <w:sz w:val="24"/>
          <w:szCs w:val="24"/>
        </w:rPr>
      </w:pPr>
    </w:p>
    <w:p w14:paraId="483BD300" w14:textId="4077AD3D" w:rsidR="007D54CE" w:rsidRDefault="00AD0728" w:rsidP="00F326E5">
      <w:pPr>
        <w:pStyle w:val="NoSpacing"/>
        <w:rPr>
          <w:rFonts w:ascii="Arial Black" w:hAnsi="Arial Black"/>
          <w:sz w:val="24"/>
          <w:szCs w:val="24"/>
        </w:rPr>
      </w:pPr>
      <w:r>
        <w:rPr>
          <w:rFonts w:ascii="Arial Black" w:hAnsi="Arial Black"/>
          <w:sz w:val="24"/>
          <w:szCs w:val="24"/>
        </w:rPr>
        <w:t>17-</w:t>
      </w:r>
      <w:r w:rsidR="002E26A8">
        <w:rPr>
          <w:rFonts w:ascii="Arial Black" w:hAnsi="Arial Black"/>
          <w:sz w:val="24"/>
          <w:szCs w:val="24"/>
        </w:rPr>
        <w:t>56</w:t>
      </w:r>
    </w:p>
    <w:p w14:paraId="2C14FDE4" w14:textId="77777777" w:rsidR="0079784D" w:rsidRDefault="0079784D" w:rsidP="002E26A8">
      <w:pPr>
        <w:rPr>
          <w:rFonts w:ascii="Arial Black" w:hAnsi="Arial Black"/>
          <w:sz w:val="28"/>
          <w:szCs w:val="28"/>
        </w:rPr>
      </w:pPr>
    </w:p>
    <w:p w14:paraId="0B19B00D" w14:textId="4C81D6A9" w:rsidR="002E26A8" w:rsidRDefault="002E26A8" w:rsidP="002E26A8">
      <w:pPr>
        <w:rPr>
          <w:rFonts w:ascii="Arial Black" w:hAnsi="Arial Black"/>
          <w:sz w:val="28"/>
          <w:szCs w:val="28"/>
        </w:rPr>
      </w:pPr>
      <w:r>
        <w:rPr>
          <w:rFonts w:ascii="Arial Black" w:hAnsi="Arial Black"/>
          <w:sz w:val="28"/>
          <w:szCs w:val="28"/>
        </w:rPr>
        <w:t>GA: FD WENT PART-TIME - NO BENEFITS – EVEN WK 40 HRS</w:t>
      </w:r>
    </w:p>
    <w:p w14:paraId="7383AABA" w14:textId="77777777" w:rsidR="002E26A8" w:rsidRDefault="002E26A8" w:rsidP="002E26A8">
      <w:pPr>
        <w:pStyle w:val="NoSpacing"/>
        <w:rPr>
          <w:bCs/>
        </w:rPr>
      </w:pPr>
      <w:r>
        <w:t xml:space="preserve">On September 8, 2025, in </w:t>
      </w:r>
      <w:r w:rsidRPr="00387901">
        <w:rPr>
          <w:u w:val="single"/>
        </w:rPr>
        <w:t>David Bibble</w:t>
      </w:r>
      <w:r>
        <w:rPr>
          <w:u w:val="single"/>
        </w:rPr>
        <w:t>, et al</w:t>
      </w:r>
      <w:r w:rsidRPr="00387901">
        <w:rPr>
          <w:u w:val="single"/>
        </w:rPr>
        <w:t xml:space="preserve"> v. City of Roswell</w:t>
      </w:r>
      <w:r>
        <w:t xml:space="preserve">, the </w:t>
      </w:r>
      <w:r w:rsidRPr="00C866E2">
        <w:t>Court of Appeals of Georgia, Third Division</w:t>
      </w:r>
      <w:r>
        <w:t xml:space="preserve"> held (3 to 0) that part-time firefighters, who may voluntarily work over 40 hours, are not entitled to retirement or other benefits of full-time city employees, including retirement. In 2000, FD transitioned from mostly career to part-time.</w:t>
      </w:r>
    </w:p>
    <w:p w14:paraId="1D3990C4" w14:textId="77777777" w:rsidR="002E26A8" w:rsidRDefault="002E26A8" w:rsidP="002E26A8">
      <w:pPr>
        <w:pStyle w:val="NoSpacing"/>
        <w:rPr>
          <w:bCs/>
        </w:rPr>
      </w:pPr>
    </w:p>
    <w:p w14:paraId="447377F5" w14:textId="77777777" w:rsidR="002E26A8" w:rsidRDefault="002E26A8" w:rsidP="002E26A8">
      <w:pPr>
        <w:pStyle w:val="NoSpacing"/>
        <w:rPr>
          <w:bCs/>
        </w:rPr>
      </w:pPr>
      <w:r w:rsidRPr="006D5938">
        <w:rPr>
          <w:b/>
        </w:rPr>
        <w:t>THE COURT HELD:</w:t>
      </w:r>
      <w:r>
        <w:t xml:space="preserve"> “[T]</w:t>
      </w:r>
      <w:r w:rsidRPr="00222A64">
        <w:t>he City did not require part-time firefighters to work a full-time</w:t>
      </w:r>
      <w:r>
        <w:t xml:space="preserve"> </w:t>
      </w:r>
      <w:r w:rsidRPr="00222A64">
        <w:t xml:space="preserve">firefighter schedule of 24 hours on/48 hours off, nor </w:t>
      </w:r>
      <w:proofErr w:type="gramStart"/>
      <w:r w:rsidRPr="00222A64">
        <w:t>were</w:t>
      </w:r>
      <w:proofErr w:type="gramEnd"/>
      <w:r w:rsidRPr="00222A64">
        <w:t xml:space="preserve"> they were required to work</w:t>
      </w:r>
      <w:r>
        <w:t xml:space="preserve"> </w:t>
      </w:r>
      <w:r w:rsidRPr="00222A64">
        <w:t>40 hours per week. Rather, part-time firefighters were required to work one twelve-hour weekday shift per week and one twelve-hour weekend shift per week. They were</w:t>
      </w:r>
      <w:r>
        <w:t xml:space="preserve"> </w:t>
      </w:r>
      <w:r w:rsidRPr="00222A64">
        <w:t xml:space="preserve">not required to be </w:t>
      </w:r>
      <w:proofErr w:type="gramStart"/>
      <w:r w:rsidRPr="00222A64">
        <w:t>on-call</w:t>
      </w:r>
      <w:proofErr w:type="gramEnd"/>
      <w:r w:rsidRPr="00222A64">
        <w:t>, they were not subject to being held over, and they were not</w:t>
      </w:r>
      <w:r>
        <w:t xml:space="preserve"> </w:t>
      </w:r>
      <w:r w:rsidRPr="00222A64">
        <w:t>required to work if they were unavailable. And they indicated when they were available</w:t>
      </w:r>
      <w:r>
        <w:t xml:space="preserve"> </w:t>
      </w:r>
      <w:r w:rsidRPr="00222A64">
        <w:t>to work. If any part-time firefighter chose to work more than the minimum</w:t>
      </w:r>
      <w:r>
        <w:t xml:space="preserve"> </w:t>
      </w:r>
      <w:r w:rsidRPr="00222A64">
        <w:t>requirement, they did so voluntarily</w:t>
      </w:r>
      <w:r>
        <w:t xml:space="preserve">….  Although many firefighters in part-time positions often worked more than 40 hours per week, the undisputed facts show that the plaintiffs were employed in part-time positions and worked extra hours voluntarily…. Even if the City’s scheduling of part-time firefighters to work additional hours without extending to them the benefits of full-time employment was unfair in some broad sense, ‘we are not at liberty to ignore the specific terms of the parties’ written agreement and rewrite or revise a contract under the guise of construing it.” Copeland v. Home Grown Music, Inc., 358 Ga. App. 743, 750 (1) (856 SE2d 325) (2021) (punctuation and footnote omitted).” </w:t>
      </w:r>
      <w:hyperlink r:id="rId2760" w:history="1">
        <w:r w:rsidRPr="008C7245">
          <w:rPr>
            <w:rStyle w:val="Hyperlink"/>
          </w:rPr>
          <w:t>https://cases.justia.com/georgia/court-of-appeals/2025-a25a0947.pdf?ts=1757355224</w:t>
        </w:r>
      </w:hyperlink>
    </w:p>
    <w:p w14:paraId="1CCDDA28" w14:textId="77777777" w:rsidR="002E26A8" w:rsidRDefault="002E26A8" w:rsidP="002E26A8">
      <w:pPr>
        <w:rPr>
          <w:bCs/>
        </w:rPr>
      </w:pPr>
    </w:p>
    <w:p w14:paraId="2036F671" w14:textId="77777777" w:rsidR="002E26A8" w:rsidRPr="00EF6273" w:rsidRDefault="002E26A8" w:rsidP="002E26A8">
      <w:pPr>
        <w:rPr>
          <w:b/>
        </w:rPr>
      </w:pPr>
      <w:r w:rsidRPr="00EF6273">
        <w:rPr>
          <w:b/>
        </w:rPr>
        <w:t>KEY FACTS:</w:t>
      </w:r>
    </w:p>
    <w:p w14:paraId="77991295" w14:textId="77777777" w:rsidR="002E26A8" w:rsidRPr="007E2916" w:rsidRDefault="002E26A8" w:rsidP="002E26A8">
      <w:pPr>
        <w:pStyle w:val="NoSpacing"/>
        <w:ind w:left="720"/>
        <w:rPr>
          <w:bCs/>
        </w:rPr>
      </w:pPr>
      <w:r>
        <w:t>“</w:t>
      </w:r>
      <w:r w:rsidRPr="007E2916">
        <w:t>As relevant to these appeals,</w:t>
      </w:r>
      <w:r>
        <w:t xml:space="preserve"> ‘</w:t>
      </w:r>
      <w:r w:rsidRPr="007E2916">
        <w:t>[</w:t>
      </w:r>
      <w:proofErr w:type="spellStart"/>
      <w:r w:rsidRPr="007E2916">
        <w:t>i</w:t>
      </w:r>
      <w:proofErr w:type="spellEnd"/>
      <w:r w:rsidRPr="007E2916">
        <w:t>]n 2000, the City converted from a system of employing mostly full-time</w:t>
      </w:r>
      <w:r>
        <w:t xml:space="preserve">  </w:t>
      </w:r>
      <w:r w:rsidRPr="007E2916">
        <w:t>firefighters – with some reliance on volunteer firefighters – to a system of employing</w:t>
      </w:r>
      <w:r>
        <w:t xml:space="preserve"> </w:t>
      </w:r>
      <w:r w:rsidRPr="007E2916">
        <w:t>a significant number of ‘part-time’ firefighters who are not entitled to the same</w:t>
      </w:r>
      <w:r>
        <w:t xml:space="preserve"> </w:t>
      </w:r>
      <w:r w:rsidRPr="007E2916">
        <w:t>benefits as full-time City employees.</w:t>
      </w:r>
      <w:r>
        <w:t>’</w:t>
      </w:r>
      <w:r w:rsidRPr="007E2916">
        <w:t xml:space="preserve"> Id. at 828. David Bible and Brian Rogers</w:t>
      </w:r>
    </w:p>
    <w:p w14:paraId="466ACD8C" w14:textId="77777777" w:rsidR="002E26A8" w:rsidRPr="007E2916" w:rsidRDefault="002E26A8" w:rsidP="002E26A8">
      <w:pPr>
        <w:pStyle w:val="NoSpacing"/>
        <w:ind w:firstLine="720"/>
        <w:rPr>
          <w:bCs/>
        </w:rPr>
      </w:pPr>
      <w:r w:rsidRPr="007E2916">
        <w:t>worked for the City’s Fire Department from 1992 until 2017, and from 2006 to 2018,</w:t>
      </w:r>
    </w:p>
    <w:p w14:paraId="0A5C5199" w14:textId="77777777" w:rsidR="002E26A8" w:rsidRPr="007E2916" w:rsidRDefault="002E26A8" w:rsidP="002E26A8">
      <w:pPr>
        <w:pStyle w:val="NoSpacing"/>
        <w:ind w:firstLine="720"/>
        <w:rPr>
          <w:bCs/>
        </w:rPr>
      </w:pPr>
      <w:r w:rsidRPr="007E2916">
        <w:t xml:space="preserve">respectively. Id. at 828. In August 2017, Bible and Rogers filed suit against the </w:t>
      </w:r>
      <w:proofErr w:type="gramStart"/>
      <w:r w:rsidRPr="007E2916">
        <w:t>City</w:t>
      </w:r>
      <w:proofErr w:type="gramEnd"/>
    </w:p>
    <w:p w14:paraId="12B316FA" w14:textId="77777777" w:rsidR="002E26A8" w:rsidRPr="007E2916" w:rsidRDefault="002E26A8" w:rsidP="002E26A8">
      <w:pPr>
        <w:pStyle w:val="NoSpacing"/>
        <w:ind w:firstLine="720"/>
        <w:rPr>
          <w:bCs/>
        </w:rPr>
      </w:pPr>
      <w:r w:rsidRPr="007E2916">
        <w:t xml:space="preserve">seeking to represent a class of </w:t>
      </w:r>
      <w:proofErr w:type="gramStart"/>
      <w:r w:rsidRPr="007E2916">
        <w:t>similarly-situated</w:t>
      </w:r>
      <w:proofErr w:type="gramEnd"/>
      <w:r w:rsidRPr="007E2916">
        <w:t xml:space="preserve"> firefighters, claiming that although</w:t>
      </w:r>
    </w:p>
    <w:p w14:paraId="7B8537BA" w14:textId="77777777" w:rsidR="002E26A8" w:rsidRPr="007E2916" w:rsidRDefault="002E26A8" w:rsidP="002E26A8">
      <w:pPr>
        <w:pStyle w:val="NoSpacing"/>
        <w:ind w:firstLine="720"/>
        <w:rPr>
          <w:bCs/>
        </w:rPr>
      </w:pPr>
      <w:proofErr w:type="gramStart"/>
      <w:r w:rsidRPr="007E2916">
        <w:t>they</w:t>
      </w:r>
      <w:proofErr w:type="gramEnd"/>
      <w:r w:rsidRPr="007E2916">
        <w:t xml:space="preserve"> worked at least 40 hours per week, they were improperly classified as part-time,</w:t>
      </w:r>
    </w:p>
    <w:p w14:paraId="40B7E2A4" w14:textId="77777777" w:rsidR="002E26A8" w:rsidRDefault="002E26A8" w:rsidP="002E26A8">
      <w:pPr>
        <w:pStyle w:val="NoSpacing"/>
        <w:ind w:left="720"/>
        <w:rPr>
          <w:bCs/>
        </w:rPr>
      </w:pPr>
      <w:r w:rsidRPr="007E2916">
        <w:t>which deprived them of full-time employee benefits under the City’s Human</w:t>
      </w:r>
      <w:r>
        <w:t xml:space="preserve"> </w:t>
      </w:r>
      <w:r w:rsidRPr="007E2916">
        <w:t xml:space="preserve">Resources Policies and Procedures </w:t>
      </w:r>
      <w:proofErr w:type="gramStart"/>
      <w:r w:rsidRPr="007E2916">
        <w:t>Manual (</w:t>
      </w:r>
      <w:r>
        <w:t>‘</w:t>
      </w:r>
      <w:proofErr w:type="gramEnd"/>
      <w:r w:rsidRPr="007E2916">
        <w:t>Policy Manual</w:t>
      </w:r>
      <w:r>
        <w:t>’</w:t>
      </w:r>
      <w:r w:rsidRPr="007E2916">
        <w:t>)</w:t>
      </w:r>
      <w:r>
        <w:t xml:space="preserve"> </w:t>
      </w:r>
      <w:r w:rsidRPr="009C4E57">
        <w:t>Specifically, they</w:t>
      </w:r>
      <w:r>
        <w:t xml:space="preserve"> </w:t>
      </w:r>
      <w:r w:rsidRPr="009C4E57">
        <w:t>sought retirement benefits under the City’s Defined Benefit Pension Plan, which</w:t>
      </w:r>
      <w:r>
        <w:t xml:space="preserve"> </w:t>
      </w:r>
      <w:r w:rsidRPr="009C4E57">
        <w:t>covered employees prior to March 1, 2011, and the City’s Defined Contribution Plan,</w:t>
      </w:r>
      <w:r>
        <w:t xml:space="preserve"> </w:t>
      </w:r>
      <w:r w:rsidRPr="009C4E57">
        <w:t>which covered employees hired on or after March 1, 2011</w:t>
      </w:r>
      <w:r>
        <w:t>.</w:t>
      </w:r>
    </w:p>
    <w:p w14:paraId="697E8205" w14:textId="77777777" w:rsidR="002E26A8" w:rsidRDefault="002E26A8" w:rsidP="002E26A8">
      <w:pPr>
        <w:pStyle w:val="NoSpacing"/>
        <w:ind w:left="720"/>
        <w:rPr>
          <w:bCs/>
        </w:rPr>
      </w:pPr>
    </w:p>
    <w:p w14:paraId="354EEEDB" w14:textId="77777777" w:rsidR="002E26A8" w:rsidRDefault="002E26A8" w:rsidP="002E26A8">
      <w:pPr>
        <w:pStyle w:val="NoSpacing"/>
        <w:ind w:left="720"/>
        <w:rPr>
          <w:bCs/>
        </w:rPr>
      </w:pPr>
      <w:r>
        <w:t>***</w:t>
      </w:r>
    </w:p>
    <w:p w14:paraId="302E16C2" w14:textId="77777777" w:rsidR="002E26A8" w:rsidRDefault="002E26A8" w:rsidP="002E26A8">
      <w:pPr>
        <w:pStyle w:val="NoSpacing"/>
        <w:ind w:left="720"/>
        <w:rPr>
          <w:bCs/>
        </w:rPr>
      </w:pPr>
      <w:r>
        <w:t>S</w:t>
      </w:r>
      <w:r w:rsidRPr="001E7C14">
        <w:t>ince 1983, the Policy Manual, as well as the</w:t>
      </w:r>
      <w:r>
        <w:t xml:space="preserve"> </w:t>
      </w:r>
      <w:r w:rsidRPr="001E7C14">
        <w:t>resolutions implementing it, stated that it could be amended by the City Council at</w:t>
      </w:r>
      <w:r>
        <w:t xml:space="preserve"> </w:t>
      </w:r>
      <w:r w:rsidRPr="001E7C14">
        <w:t xml:space="preserve">any time. The July 2002 version stated that the </w:t>
      </w:r>
      <w:r>
        <w:t>‘</w:t>
      </w:r>
      <w:r w:rsidRPr="001E7C14">
        <w:t>City reserves the right to amend,</w:t>
      </w:r>
      <w:r>
        <w:t xml:space="preserve"> </w:t>
      </w:r>
      <w:r w:rsidRPr="001E7C14">
        <w:t>modify, change, replace, suspend, or cancel any of its policies and procedures,</w:t>
      </w:r>
      <w:r>
        <w:t xml:space="preserve"> </w:t>
      </w:r>
      <w:r w:rsidRPr="001E7C14">
        <w:t>including this Manual, at any time, with or without notice, for any reason or no</w:t>
      </w:r>
      <w:r>
        <w:t xml:space="preserve"> </w:t>
      </w:r>
      <w:r w:rsidRPr="001E7C14">
        <w:t>reason[.]</w:t>
      </w:r>
      <w:r>
        <w:t>’</w:t>
      </w:r>
      <w:r w:rsidRPr="001E7C14">
        <w:t xml:space="preserve"> Once again, both named plaintiffs acknowledged receiving letters from the</w:t>
      </w:r>
      <w:r>
        <w:t xml:space="preserve"> </w:t>
      </w:r>
      <w:r w:rsidRPr="001E7C14">
        <w:t>City which accompanied the Policy Manual and stated that the Policy Manual was</w:t>
      </w:r>
      <w:r>
        <w:t xml:space="preserve"> </w:t>
      </w:r>
      <w:r w:rsidRPr="001E7C14">
        <w:t>subject to review and change by the City at any time. See OCGA § 13-1-1 (</w:t>
      </w:r>
      <w:r>
        <w:t>‘</w:t>
      </w:r>
      <w:r w:rsidRPr="001E7C14">
        <w:t>A contract</w:t>
      </w:r>
      <w:r>
        <w:t xml:space="preserve"> </w:t>
      </w:r>
      <w:r w:rsidRPr="001E7C14">
        <w:t>is an agreement between two or more parties for the doing or not doing of some</w:t>
      </w:r>
      <w:r>
        <w:t xml:space="preserve"> </w:t>
      </w:r>
      <w:r w:rsidRPr="001E7C14">
        <w:t>specified thing.</w:t>
      </w:r>
      <w:r>
        <w:t>’</w:t>
      </w:r>
      <w:r w:rsidRPr="001E7C14">
        <w:t>).</w:t>
      </w:r>
      <w:r>
        <w:t>”</w:t>
      </w:r>
    </w:p>
    <w:p w14:paraId="732BEA17" w14:textId="77777777" w:rsidR="002E26A8" w:rsidRDefault="002E26A8" w:rsidP="002E26A8">
      <w:pPr>
        <w:pStyle w:val="NoSpacing"/>
        <w:ind w:left="720"/>
      </w:pPr>
    </w:p>
    <w:p w14:paraId="76C0577C" w14:textId="77777777" w:rsidR="002E26A8" w:rsidRDefault="002E26A8" w:rsidP="002E26A8">
      <w:pPr>
        <w:pStyle w:val="NoSpacing"/>
        <w:rPr>
          <w:b/>
          <w:bCs/>
        </w:rPr>
      </w:pPr>
      <w:r>
        <w:rPr>
          <w:b/>
        </w:rPr>
        <w:t xml:space="preserve">Legal lesson learned: Part-time personnel who voluntarily offer to work over 40 hours in a work week do not therefore become </w:t>
      </w:r>
      <w:proofErr w:type="gramStart"/>
      <w:r>
        <w:rPr>
          <w:b/>
        </w:rPr>
        <w:t>full time</w:t>
      </w:r>
      <w:proofErr w:type="gramEnd"/>
      <w:r>
        <w:rPr>
          <w:b/>
        </w:rPr>
        <w:t xml:space="preserve"> employees entitled to full-time benefits. </w:t>
      </w:r>
    </w:p>
    <w:p w14:paraId="60893741" w14:textId="77777777" w:rsidR="002E26A8" w:rsidRDefault="002E26A8" w:rsidP="00F326E5">
      <w:pPr>
        <w:pStyle w:val="NoSpacing"/>
        <w:rPr>
          <w:rFonts w:ascii="Arial Black" w:hAnsi="Arial Black"/>
          <w:sz w:val="24"/>
          <w:szCs w:val="24"/>
        </w:rPr>
      </w:pPr>
    </w:p>
    <w:p w14:paraId="2C7A8C2E" w14:textId="77777777" w:rsidR="00AD0728" w:rsidRDefault="00AD0728" w:rsidP="00FD6F7D">
      <w:pPr>
        <w:pStyle w:val="NoSpacing"/>
        <w:rPr>
          <w:rFonts w:ascii="Arial Black" w:hAnsi="Arial Black"/>
          <w:sz w:val="24"/>
          <w:szCs w:val="24"/>
        </w:rPr>
      </w:pPr>
    </w:p>
    <w:p w14:paraId="3586ADE4" w14:textId="77777777" w:rsidR="00AD0728" w:rsidRDefault="00AD0728" w:rsidP="00FD6F7D">
      <w:pPr>
        <w:pStyle w:val="NoSpacing"/>
        <w:rPr>
          <w:rFonts w:ascii="Arial Black" w:hAnsi="Arial Black"/>
          <w:sz w:val="24"/>
          <w:szCs w:val="24"/>
        </w:rPr>
      </w:pPr>
    </w:p>
    <w:p w14:paraId="7D88F7F2" w14:textId="77777777" w:rsidR="00AD0728" w:rsidRDefault="00AD0728" w:rsidP="00FD6F7D">
      <w:pPr>
        <w:pStyle w:val="NoSpacing"/>
        <w:rPr>
          <w:rFonts w:ascii="Arial Black" w:hAnsi="Arial Black"/>
          <w:sz w:val="24"/>
          <w:szCs w:val="24"/>
        </w:rPr>
      </w:pPr>
    </w:p>
    <w:p w14:paraId="35B6232D" w14:textId="0AC9DF52" w:rsidR="00834E72" w:rsidRDefault="00834E72" w:rsidP="00FD6F7D">
      <w:pPr>
        <w:pStyle w:val="NoSpacing"/>
        <w:rPr>
          <w:rFonts w:ascii="Arial Black" w:hAnsi="Arial Black"/>
          <w:sz w:val="24"/>
          <w:szCs w:val="24"/>
        </w:rPr>
      </w:pPr>
      <w:r>
        <w:rPr>
          <w:rFonts w:ascii="Arial Black" w:hAnsi="Arial Black"/>
          <w:sz w:val="24"/>
          <w:szCs w:val="24"/>
        </w:rPr>
        <w:t>17-55</w:t>
      </w:r>
    </w:p>
    <w:p w14:paraId="0A0DAA3F" w14:textId="77777777" w:rsidR="003D1961" w:rsidRDefault="003D1961" w:rsidP="00834E72">
      <w:pPr>
        <w:rPr>
          <w:rFonts w:ascii="Arial Black" w:hAnsi="Arial Black"/>
          <w:b/>
          <w:sz w:val="28"/>
          <w:szCs w:val="28"/>
        </w:rPr>
      </w:pPr>
    </w:p>
    <w:p w14:paraId="79909903" w14:textId="5928B752" w:rsidR="00834E72" w:rsidRDefault="00834E72" w:rsidP="00834E72">
      <w:pPr>
        <w:rPr>
          <w:rFonts w:ascii="Arial Black" w:hAnsi="Arial Black"/>
          <w:b/>
          <w:sz w:val="28"/>
          <w:szCs w:val="28"/>
        </w:rPr>
      </w:pPr>
      <w:r>
        <w:rPr>
          <w:rFonts w:ascii="Arial Black" w:hAnsi="Arial Black"/>
          <w:b/>
          <w:sz w:val="28"/>
          <w:szCs w:val="28"/>
        </w:rPr>
        <w:t>TX: HOUSTON - $650M BACK PAY – A/Cs SUE BE INCLUDED</w:t>
      </w:r>
    </w:p>
    <w:p w14:paraId="3B4B024C" w14:textId="77777777" w:rsidR="00834E72" w:rsidRPr="008E3387" w:rsidRDefault="00834E72" w:rsidP="00834E72">
      <w:pPr>
        <w:pStyle w:val="NoSpacing"/>
        <w:rPr>
          <w:rFonts w:ascii="Times New Roman" w:hAnsi="Times New Roman"/>
          <w:bCs/>
          <w:sz w:val="24"/>
          <w:szCs w:val="24"/>
        </w:rPr>
      </w:pPr>
      <w:r w:rsidRPr="008E3387">
        <w:rPr>
          <w:rFonts w:ascii="Times New Roman" w:hAnsi="Times New Roman"/>
          <w:sz w:val="24"/>
          <w:szCs w:val="24"/>
        </w:rPr>
        <w:t xml:space="preserve">On July 15, 2025, in </w:t>
      </w:r>
      <w:r w:rsidRPr="008E3387">
        <w:rPr>
          <w:rFonts w:ascii="Times New Roman" w:hAnsi="Times New Roman"/>
          <w:sz w:val="24"/>
          <w:szCs w:val="24"/>
          <w:u w:val="single"/>
        </w:rPr>
        <w:t>City of Houston, Texas v. Alfredo Martinez, et al</w:t>
      </w:r>
      <w:r w:rsidRPr="008E3387">
        <w:rPr>
          <w:rFonts w:ascii="Times New Roman" w:hAnsi="Times New Roman"/>
          <w:sz w:val="24"/>
          <w:szCs w:val="24"/>
        </w:rPr>
        <w:t xml:space="preserve">., the Texas Fourteenth Court of Appeals held (3 to 0) that 13 Assistant Fire Chiefs may intervene in case that has been pending for eight years and may sue the Houston Professional Fire Fighters’ Association, Local 341, for breach of the duty of fair representation.  Court also held that City has immunity.  In March 2024, the Association and City negotiated $650 million back pay settlement; the Assistant Fire Chiefs were “shocked” when the Association told them they were not included in the settlement, and they seek declaratory and compensatory relief.  The Association originally acted as the fire fighters’ exclusive bargaining agent and asserted claims on behalf of </w:t>
      </w:r>
      <w:proofErr w:type="gramStart"/>
      <w:r w:rsidRPr="008E3387">
        <w:rPr>
          <w:rFonts w:ascii="Times New Roman" w:hAnsi="Times New Roman"/>
          <w:sz w:val="24"/>
          <w:szCs w:val="24"/>
        </w:rPr>
        <w:t>all of</w:t>
      </w:r>
      <w:proofErr w:type="gramEnd"/>
      <w:r w:rsidRPr="008E3387">
        <w:rPr>
          <w:rFonts w:ascii="Times New Roman" w:hAnsi="Times New Roman"/>
          <w:sz w:val="24"/>
          <w:szCs w:val="24"/>
        </w:rPr>
        <w:t xml:space="preserve"> the City’s “fire fighters.” But then the </w:t>
      </w:r>
      <w:proofErr w:type="gramStart"/>
      <w:r w:rsidRPr="008E3387">
        <w:rPr>
          <w:rFonts w:ascii="Times New Roman" w:hAnsi="Times New Roman"/>
          <w:sz w:val="24"/>
          <w:szCs w:val="24"/>
        </w:rPr>
        <w:t>City</w:t>
      </w:r>
      <w:proofErr w:type="gramEnd"/>
      <w:r w:rsidRPr="008E3387">
        <w:rPr>
          <w:rFonts w:ascii="Times New Roman" w:hAnsi="Times New Roman"/>
          <w:sz w:val="24"/>
          <w:szCs w:val="24"/>
        </w:rPr>
        <w:t xml:space="preserve"> and the Association agreed that the Association would not act as the Assistant Chiefs’ bargaining agent and characterized the back pay as “overtime.” THE COURT HELD: “The gravamen of their complaint against the Association is that the Association, as the fire fighters’ exclusive bargaining agent, owed them the duty to bargain on their behalf for compensation comparable to the prevailing compensation for similar work in the private sector, and that the Association breached that duty by failing to act as their bargaining agent at all or by otherwise preventing them from benefiting from the settlement agreement. Their claims against the Association can properly be characterized as requests for the trial court to enforce the Association’s statutory duty to act as the Intervenors’ [Assistant Fire Chiefs] bargaining agent and to collectively bargain on their behalf. The trial court has jurisdiction to address such claims under section 174.251 of the FPERA [Texas Fire and Police Employee Relations Act] as well as under its general jurisdiction. *** We conclude that the Association has failed to show its entitlement to mandamus relief.” </w:t>
      </w:r>
      <w:hyperlink r:id="rId2761" w:history="1">
        <w:r w:rsidRPr="008E3387">
          <w:rPr>
            <w:rStyle w:val="Hyperlink"/>
            <w:rFonts w:ascii="Times New Roman" w:hAnsi="Times New Roman"/>
            <w:sz w:val="24"/>
            <w:szCs w:val="24"/>
          </w:rPr>
          <w:t>https://cases.justia.com/texas/fourteenth-court-of-appeals/2025-14-24-00613-cv.pdf?ts=1752594731</w:t>
        </w:r>
      </w:hyperlink>
      <w:r w:rsidRPr="008E3387">
        <w:rPr>
          <w:rFonts w:ascii="Times New Roman" w:hAnsi="Times New Roman"/>
          <w:sz w:val="24"/>
          <w:szCs w:val="24"/>
        </w:rPr>
        <w:t xml:space="preserve"> </w:t>
      </w:r>
    </w:p>
    <w:p w14:paraId="496D1A23" w14:textId="77777777" w:rsidR="00834E72" w:rsidRPr="008E3387" w:rsidRDefault="00834E72" w:rsidP="00FD6F7D">
      <w:pPr>
        <w:pStyle w:val="NoSpacing"/>
        <w:rPr>
          <w:rFonts w:ascii="Times New Roman" w:hAnsi="Times New Roman"/>
          <w:sz w:val="24"/>
          <w:szCs w:val="24"/>
        </w:rPr>
      </w:pPr>
    </w:p>
    <w:p w14:paraId="7696809A" w14:textId="77777777" w:rsidR="008E3387" w:rsidRPr="008E3387" w:rsidRDefault="008E3387" w:rsidP="008E3387">
      <w:pPr>
        <w:pStyle w:val="NoSpacing"/>
        <w:rPr>
          <w:rFonts w:ascii="Times New Roman" w:hAnsi="Times New Roman"/>
          <w:b/>
          <w:sz w:val="24"/>
          <w:szCs w:val="24"/>
        </w:rPr>
      </w:pPr>
      <w:r w:rsidRPr="008E3387">
        <w:rPr>
          <w:rFonts w:ascii="Times New Roman" w:hAnsi="Times New Roman"/>
          <w:b/>
          <w:sz w:val="24"/>
          <w:szCs w:val="24"/>
        </w:rPr>
        <w:t xml:space="preserve">Legal lesson learned: Unions have a duty of fair representation of all its members; this case will now proceed to pre-trial discovery. </w:t>
      </w:r>
    </w:p>
    <w:p w14:paraId="06D0956D" w14:textId="77777777" w:rsidR="008E3387" w:rsidRPr="008E3387" w:rsidRDefault="008E3387" w:rsidP="008E3387">
      <w:pPr>
        <w:pStyle w:val="NoSpacing"/>
        <w:rPr>
          <w:rFonts w:ascii="Times New Roman" w:hAnsi="Times New Roman"/>
          <w:bCs/>
          <w:sz w:val="24"/>
          <w:szCs w:val="24"/>
        </w:rPr>
      </w:pPr>
    </w:p>
    <w:p w14:paraId="0B012548" w14:textId="77777777" w:rsidR="008E3387" w:rsidRPr="008E3387" w:rsidRDefault="008E3387" w:rsidP="008E3387">
      <w:pPr>
        <w:pStyle w:val="NoSpacing"/>
        <w:ind w:left="720"/>
        <w:rPr>
          <w:rFonts w:ascii="Times New Roman" w:hAnsi="Times New Roman"/>
          <w:bCs/>
          <w:sz w:val="24"/>
          <w:szCs w:val="24"/>
        </w:rPr>
      </w:pPr>
      <w:r w:rsidRPr="008E3387">
        <w:rPr>
          <w:rFonts w:ascii="Times New Roman" w:hAnsi="Times New Roman"/>
          <w:sz w:val="24"/>
          <w:szCs w:val="24"/>
        </w:rPr>
        <w:t xml:space="preserve">Note: The Court also held that City has immunity in this lawsuit. “The City contends that the FPERA does not waive immunity from the Intervenors’ claims for proceeds from the settlement agreement or for a declaration of their rights under it. In this, the </w:t>
      </w:r>
      <w:proofErr w:type="gramStart"/>
      <w:r w:rsidRPr="008E3387">
        <w:rPr>
          <w:rFonts w:ascii="Times New Roman" w:hAnsi="Times New Roman"/>
          <w:sz w:val="24"/>
          <w:szCs w:val="24"/>
        </w:rPr>
        <w:t>City</w:t>
      </w:r>
      <w:proofErr w:type="gramEnd"/>
      <w:r w:rsidRPr="008E3387">
        <w:rPr>
          <w:rFonts w:ascii="Times New Roman" w:hAnsi="Times New Roman"/>
          <w:sz w:val="24"/>
          <w:szCs w:val="24"/>
        </w:rPr>
        <w:t xml:space="preserve"> is correct…. But we agree with the </w:t>
      </w:r>
      <w:proofErr w:type="gramStart"/>
      <w:r w:rsidRPr="008E3387">
        <w:rPr>
          <w:rFonts w:ascii="Times New Roman" w:hAnsi="Times New Roman"/>
          <w:sz w:val="24"/>
          <w:szCs w:val="24"/>
        </w:rPr>
        <w:t>City</w:t>
      </w:r>
      <w:proofErr w:type="gramEnd"/>
      <w:r w:rsidRPr="008E3387">
        <w:rPr>
          <w:rFonts w:ascii="Times New Roman" w:hAnsi="Times New Roman"/>
          <w:sz w:val="24"/>
          <w:szCs w:val="24"/>
        </w:rPr>
        <w:t xml:space="preserve"> that it is immune from suit on the Intervenors’ foregoing requests for declaratory relief and on their claims for proceeds from the settlement agreement. Because those are not claims to enforce the FPERA, the </w:t>
      </w:r>
      <w:proofErr w:type="gramStart"/>
      <w:r w:rsidRPr="008E3387">
        <w:rPr>
          <w:rFonts w:ascii="Times New Roman" w:hAnsi="Times New Roman"/>
          <w:sz w:val="24"/>
          <w:szCs w:val="24"/>
        </w:rPr>
        <w:t>City</w:t>
      </w:r>
      <w:proofErr w:type="gramEnd"/>
      <w:r w:rsidRPr="008E3387">
        <w:rPr>
          <w:rFonts w:ascii="Times New Roman" w:hAnsi="Times New Roman"/>
          <w:sz w:val="24"/>
          <w:szCs w:val="24"/>
        </w:rPr>
        <w:t xml:space="preserve"> retains immunity as to those claims.</w:t>
      </w:r>
    </w:p>
    <w:p w14:paraId="5C9C6333" w14:textId="77777777" w:rsidR="008E3387" w:rsidRPr="008E3387" w:rsidRDefault="008E3387" w:rsidP="00FD6F7D">
      <w:pPr>
        <w:pStyle w:val="NoSpacing"/>
        <w:rPr>
          <w:rFonts w:ascii="Times New Roman" w:hAnsi="Times New Roman"/>
          <w:sz w:val="24"/>
          <w:szCs w:val="24"/>
        </w:rPr>
      </w:pPr>
    </w:p>
    <w:p w14:paraId="1BBA292E" w14:textId="77777777" w:rsidR="00834E72" w:rsidRDefault="00834E72" w:rsidP="00FD6F7D">
      <w:pPr>
        <w:pStyle w:val="NoSpacing"/>
        <w:rPr>
          <w:rFonts w:ascii="Arial Black" w:hAnsi="Arial Black"/>
          <w:sz w:val="24"/>
          <w:szCs w:val="24"/>
        </w:rPr>
      </w:pPr>
    </w:p>
    <w:p w14:paraId="279B9BD1" w14:textId="77777777" w:rsidR="00834E72" w:rsidRDefault="00834E72" w:rsidP="00FD6F7D">
      <w:pPr>
        <w:pStyle w:val="NoSpacing"/>
        <w:rPr>
          <w:rFonts w:ascii="Arial Black" w:hAnsi="Arial Black"/>
          <w:sz w:val="24"/>
          <w:szCs w:val="24"/>
        </w:rPr>
      </w:pPr>
    </w:p>
    <w:p w14:paraId="0176BBC6" w14:textId="4FCA86A1" w:rsidR="00FD6F7D" w:rsidRDefault="00FD6F7D" w:rsidP="00FD6F7D">
      <w:pPr>
        <w:pStyle w:val="NoSpacing"/>
        <w:rPr>
          <w:rFonts w:ascii="Arial Black" w:hAnsi="Arial Black"/>
          <w:sz w:val="24"/>
          <w:szCs w:val="24"/>
        </w:rPr>
      </w:pPr>
      <w:r>
        <w:rPr>
          <w:rFonts w:ascii="Arial Black" w:hAnsi="Arial Black"/>
          <w:sz w:val="24"/>
          <w:szCs w:val="24"/>
        </w:rPr>
        <w:t>17-54</w:t>
      </w:r>
    </w:p>
    <w:p w14:paraId="4643DA90" w14:textId="7A5A9E45" w:rsidR="00FD6F7D" w:rsidRDefault="00FD6F7D" w:rsidP="00F326E5">
      <w:pPr>
        <w:pStyle w:val="NoSpacing"/>
        <w:rPr>
          <w:rFonts w:ascii="Arial Black" w:hAnsi="Arial Black"/>
          <w:sz w:val="24"/>
          <w:szCs w:val="24"/>
        </w:rPr>
      </w:pPr>
    </w:p>
    <w:p w14:paraId="0102EE78" w14:textId="77777777" w:rsidR="00316D92" w:rsidRPr="005F2110" w:rsidRDefault="00316D92" w:rsidP="00316D92">
      <w:pPr>
        <w:rPr>
          <w:rFonts w:ascii="Arial Black" w:hAnsi="Arial Black"/>
          <w:b/>
          <w:sz w:val="28"/>
          <w:szCs w:val="28"/>
        </w:rPr>
      </w:pPr>
      <w:r>
        <w:rPr>
          <w:rFonts w:ascii="Arial Black" w:hAnsi="Arial Black"/>
          <w:b/>
          <w:sz w:val="28"/>
          <w:szCs w:val="28"/>
        </w:rPr>
        <w:t xml:space="preserve">LA: IAFF OFFICER / CAPT. FIRED – CALLED BOARD MEMBERS </w:t>
      </w:r>
    </w:p>
    <w:p w14:paraId="0A1922EA" w14:textId="1030CAB9" w:rsidR="007D737C" w:rsidRPr="000F7D4E" w:rsidRDefault="00A57516" w:rsidP="00520903">
      <w:pPr>
        <w:pStyle w:val="NoSpacing"/>
        <w:rPr>
          <w:rFonts w:ascii="Times New Roman" w:hAnsi="Times New Roman"/>
          <w:sz w:val="24"/>
          <w:szCs w:val="24"/>
        </w:rPr>
      </w:pPr>
      <w:r w:rsidRPr="000F7D4E">
        <w:rPr>
          <w:rFonts w:ascii="Times New Roman" w:hAnsi="Times New Roman"/>
          <w:sz w:val="24"/>
          <w:szCs w:val="24"/>
        </w:rPr>
        <w:t xml:space="preserve">On June 12, 2025, in </w:t>
      </w:r>
      <w:r w:rsidRPr="000F7D4E">
        <w:rPr>
          <w:rFonts w:ascii="Times New Roman" w:hAnsi="Times New Roman"/>
          <w:sz w:val="24"/>
          <w:szCs w:val="24"/>
          <w:u w:val="single"/>
        </w:rPr>
        <w:t>Jonathan Gramm v. Fire District 9, Desoto Parish, et al</w:t>
      </w:r>
      <w:r w:rsidRPr="000F7D4E">
        <w:rPr>
          <w:rFonts w:ascii="Times New Roman" w:hAnsi="Times New Roman"/>
          <w:sz w:val="24"/>
          <w:szCs w:val="24"/>
        </w:rPr>
        <w:t xml:space="preserve">., U.S. District Court Judge S. Maurice Hicks, Jr., United States District Court for Western District of Louisiana, Shreveport Division, denied the Desoto Parish motion to dismiss the case; Jonathan Gramm has a First Amendment claim that will proceed to pre-trial discovery.  He was hired in 2014, is a Captain, and in July 2017 helped organize IAFF Local 5138, and elected its Secretary-Treasurer. On September 18, </w:t>
      </w:r>
      <w:proofErr w:type="gramStart"/>
      <w:r w:rsidRPr="000F7D4E">
        <w:rPr>
          <w:rFonts w:ascii="Times New Roman" w:hAnsi="Times New Roman"/>
          <w:sz w:val="24"/>
          <w:szCs w:val="24"/>
        </w:rPr>
        <w:t>2023</w:t>
      </w:r>
      <w:proofErr w:type="gramEnd"/>
      <w:r w:rsidRPr="000F7D4E">
        <w:rPr>
          <w:rFonts w:ascii="Times New Roman" w:hAnsi="Times New Roman"/>
          <w:sz w:val="24"/>
          <w:szCs w:val="24"/>
        </w:rPr>
        <w:t xml:space="preserve"> learned that an upcoming meeting of the Fire Board was going to vote on new </w:t>
      </w:r>
      <w:proofErr w:type="gramStart"/>
      <w:r w:rsidRPr="000F7D4E">
        <w:rPr>
          <w:rFonts w:ascii="Times New Roman" w:hAnsi="Times New Roman"/>
          <w:sz w:val="24"/>
          <w:szCs w:val="24"/>
        </w:rPr>
        <w:t>vehicle</w:t>
      </w:r>
      <w:proofErr w:type="gramEnd"/>
      <w:r w:rsidRPr="000F7D4E">
        <w:rPr>
          <w:rFonts w:ascii="Times New Roman" w:hAnsi="Times New Roman"/>
          <w:sz w:val="24"/>
          <w:szCs w:val="24"/>
        </w:rPr>
        <w:t xml:space="preserve"> for the Fire Chief.  At the union’s request, </w:t>
      </w:r>
      <w:proofErr w:type="gramStart"/>
      <w:r w:rsidRPr="000F7D4E">
        <w:rPr>
          <w:rFonts w:ascii="Times New Roman" w:hAnsi="Times New Roman"/>
          <w:sz w:val="24"/>
          <w:szCs w:val="24"/>
        </w:rPr>
        <w:t>Gramm</w:t>
      </w:r>
      <w:proofErr w:type="gramEnd"/>
      <w:r w:rsidRPr="000F7D4E">
        <w:rPr>
          <w:rFonts w:ascii="Times New Roman" w:hAnsi="Times New Roman"/>
          <w:sz w:val="24"/>
          <w:szCs w:val="24"/>
        </w:rPr>
        <w:t xml:space="preserve"> while off </w:t>
      </w:r>
      <w:proofErr w:type="gramStart"/>
      <w:r w:rsidRPr="000F7D4E">
        <w:rPr>
          <w:rFonts w:ascii="Times New Roman" w:hAnsi="Times New Roman"/>
          <w:sz w:val="24"/>
          <w:szCs w:val="24"/>
        </w:rPr>
        <w:t>duty</w:t>
      </w:r>
      <w:proofErr w:type="gramEnd"/>
      <w:r w:rsidRPr="000F7D4E">
        <w:rPr>
          <w:rFonts w:ascii="Times New Roman" w:hAnsi="Times New Roman"/>
          <w:sz w:val="24"/>
          <w:szCs w:val="24"/>
        </w:rPr>
        <w:t xml:space="preserve"> called two Commissioners on their cell phones to express opposition to new vehicle purchase.  The following morning the Fire Chief King put him on administrative leave; he was fired on Nov. 27, 2023.  THE COURT HELD: “[T]he Court finds that Gramm has sufficiently pled a plausible claim for relief as to Counts I and III. He alleges that he engaged in </w:t>
      </w:r>
      <w:proofErr w:type="gramStart"/>
      <w:r w:rsidRPr="000F7D4E">
        <w:rPr>
          <w:rFonts w:ascii="Times New Roman" w:hAnsi="Times New Roman"/>
          <w:sz w:val="24"/>
          <w:szCs w:val="24"/>
        </w:rPr>
        <w:t>an</w:t>
      </w:r>
      <w:r w:rsidR="00FD6F7D">
        <w:rPr>
          <w:rFonts w:ascii="Times New Roman" w:hAnsi="Times New Roman"/>
          <w:sz w:val="24"/>
          <w:szCs w:val="24"/>
        </w:rPr>
        <w:t xml:space="preserve"> </w:t>
      </w:r>
      <w:r w:rsidRPr="000F7D4E">
        <w:rPr>
          <w:rFonts w:ascii="Times New Roman" w:hAnsi="Times New Roman"/>
          <w:sz w:val="24"/>
          <w:szCs w:val="24"/>
        </w:rPr>
        <w:t>external</w:t>
      </w:r>
      <w:proofErr w:type="gramEnd"/>
      <w:r w:rsidRPr="000F7D4E">
        <w:rPr>
          <w:rFonts w:ascii="Times New Roman" w:hAnsi="Times New Roman"/>
          <w:sz w:val="24"/>
          <w:szCs w:val="24"/>
        </w:rPr>
        <w:t xml:space="preserve"> communication when he complained to the Commissioners over the phone regarding the distribution of public funds. This communication can support a claim for free speech retaliation, as it was made outside of Gramm's duty as a firefighter captain and addressed an issue that could qualify as a matter for public concern. Therefore, Defendants' Motion with respect to Counts I and III is DENIED. Gramm's claims under § 1983 for a violation of his rights to free speech and to petition pursuant to the First and Fourteenth Amendments remain.” </w:t>
      </w:r>
      <w:hyperlink r:id="rId2762" w:history="1">
        <w:r w:rsidRPr="000F7D4E">
          <w:rPr>
            <w:rStyle w:val="Hyperlink"/>
            <w:rFonts w:ascii="Times New Roman" w:hAnsi="Times New Roman"/>
            <w:sz w:val="24"/>
            <w:szCs w:val="24"/>
          </w:rPr>
          <w:t>https://public.fastcase.com/jaEE2PXzRXmZ99jOLMt1Ir%2Bgd4DeQSRcdUE7IJV4ZHQFjK4R6%2FaVKxoGJags6yJ8?utm_medium=email&amp;_hsenc=p2ANqtz-9_dtoT8MCHWol7MkpFQEKniJ3EcCAHTOONesHADifFFZppYBhmnp0t7X96SaR0z0JseLLFRZzCLhs4WSwU0MvvvFbR6g&amp;_hsmi=226712652&amp;utm_content=226712652&amp;utm_source=hs_email</w:t>
        </w:r>
      </w:hyperlink>
    </w:p>
    <w:p w14:paraId="6A8A222F" w14:textId="77777777" w:rsidR="007D737C" w:rsidRPr="000F7D4E" w:rsidRDefault="007D737C" w:rsidP="00520903">
      <w:pPr>
        <w:pStyle w:val="NoSpacing"/>
        <w:rPr>
          <w:rFonts w:ascii="Times New Roman" w:hAnsi="Times New Roman"/>
          <w:sz w:val="24"/>
          <w:szCs w:val="24"/>
        </w:rPr>
      </w:pPr>
    </w:p>
    <w:p w14:paraId="59CFFFA7" w14:textId="090BD99B" w:rsidR="000F7D4E" w:rsidRPr="000F7D4E" w:rsidRDefault="000F7D4E" w:rsidP="000F7D4E">
      <w:pPr>
        <w:rPr>
          <w:rFonts w:ascii="Times New Roman" w:hAnsi="Times New Roman"/>
          <w:b/>
          <w:sz w:val="24"/>
          <w:szCs w:val="24"/>
        </w:rPr>
      </w:pPr>
      <w:r w:rsidRPr="000F7D4E">
        <w:rPr>
          <w:rFonts w:ascii="Times New Roman" w:hAnsi="Times New Roman"/>
          <w:b/>
          <w:sz w:val="24"/>
          <w:szCs w:val="24"/>
        </w:rPr>
        <w:t xml:space="preserve">Legal lesson learned:  </w:t>
      </w:r>
      <w:r w:rsidRPr="000F7D4E">
        <w:rPr>
          <w:rFonts w:ascii="Times New Roman" w:hAnsi="Times New Roman"/>
          <w:b/>
          <w:bCs/>
          <w:sz w:val="24"/>
          <w:szCs w:val="24"/>
        </w:rPr>
        <w:t xml:space="preserve">When union is going to present to Board, union </w:t>
      </w:r>
      <w:r w:rsidRPr="000F7D4E">
        <w:rPr>
          <w:rFonts w:ascii="Times New Roman" w:hAnsi="Times New Roman"/>
          <w:b/>
          <w:sz w:val="24"/>
          <w:szCs w:val="24"/>
        </w:rPr>
        <w:t xml:space="preserve">President should </w:t>
      </w:r>
      <w:r w:rsidRPr="000F7D4E">
        <w:rPr>
          <w:rFonts w:ascii="Times New Roman" w:hAnsi="Times New Roman"/>
          <w:b/>
          <w:bCs/>
          <w:sz w:val="24"/>
          <w:szCs w:val="24"/>
        </w:rPr>
        <w:t xml:space="preserve">first </w:t>
      </w:r>
      <w:r w:rsidRPr="000F7D4E">
        <w:rPr>
          <w:rFonts w:ascii="Times New Roman" w:hAnsi="Times New Roman"/>
          <w:b/>
          <w:sz w:val="24"/>
          <w:szCs w:val="24"/>
        </w:rPr>
        <w:t>inform Fire Chief</w:t>
      </w:r>
      <w:r w:rsidR="008051F6">
        <w:rPr>
          <w:rFonts w:ascii="Times New Roman" w:hAnsi="Times New Roman"/>
          <w:b/>
          <w:sz w:val="24"/>
          <w:szCs w:val="24"/>
        </w:rPr>
        <w:t xml:space="preserve"> prior to presentation. </w:t>
      </w:r>
      <w:r w:rsidRPr="000F7D4E">
        <w:rPr>
          <w:rFonts w:ascii="Times New Roman" w:hAnsi="Times New Roman"/>
          <w:b/>
          <w:bCs/>
          <w:sz w:val="24"/>
          <w:szCs w:val="24"/>
        </w:rPr>
        <w:t xml:space="preserve"> </w:t>
      </w:r>
    </w:p>
    <w:p w14:paraId="44C1CC86" w14:textId="77777777" w:rsidR="000F7D4E" w:rsidRDefault="000F7D4E" w:rsidP="00520903">
      <w:pPr>
        <w:pStyle w:val="NoSpacing"/>
        <w:rPr>
          <w:rFonts w:ascii="Arial Black" w:hAnsi="Arial Black"/>
          <w:sz w:val="28"/>
          <w:szCs w:val="28"/>
        </w:rPr>
      </w:pPr>
    </w:p>
    <w:p w14:paraId="34DD16E3" w14:textId="2AEF4FCD" w:rsidR="00FD6F7D" w:rsidRDefault="00FD6F7D" w:rsidP="00FD6F7D">
      <w:pPr>
        <w:pStyle w:val="NoSpacing"/>
        <w:rPr>
          <w:rFonts w:ascii="Arial Black" w:hAnsi="Arial Black"/>
          <w:sz w:val="24"/>
          <w:szCs w:val="24"/>
        </w:rPr>
      </w:pPr>
      <w:r>
        <w:rPr>
          <w:rFonts w:ascii="Arial Black" w:hAnsi="Arial Black"/>
          <w:sz w:val="24"/>
          <w:szCs w:val="24"/>
        </w:rPr>
        <w:t>17-53</w:t>
      </w:r>
    </w:p>
    <w:p w14:paraId="6987BDD3" w14:textId="77777777" w:rsidR="007D737C" w:rsidRDefault="007D737C" w:rsidP="00520903">
      <w:pPr>
        <w:pStyle w:val="NoSpacing"/>
        <w:rPr>
          <w:rFonts w:ascii="Arial Black" w:hAnsi="Arial Black"/>
          <w:sz w:val="28"/>
          <w:szCs w:val="28"/>
        </w:rPr>
      </w:pPr>
    </w:p>
    <w:p w14:paraId="30539A88" w14:textId="504E5E62" w:rsidR="00520903" w:rsidRPr="006F2B87" w:rsidRDefault="00520903" w:rsidP="00520903">
      <w:pPr>
        <w:pStyle w:val="NoSpacing"/>
        <w:rPr>
          <w:rFonts w:ascii="Arial Black" w:hAnsi="Arial Black"/>
          <w:sz w:val="28"/>
          <w:szCs w:val="28"/>
        </w:rPr>
      </w:pPr>
      <w:r w:rsidRPr="006F2B87">
        <w:rPr>
          <w:rFonts w:ascii="Arial Black" w:hAnsi="Arial Black"/>
          <w:sz w:val="28"/>
          <w:szCs w:val="28"/>
        </w:rPr>
        <w:t xml:space="preserve">CA:  TWO CAPTAINS </w:t>
      </w:r>
      <w:r w:rsidR="007E3F8D">
        <w:rPr>
          <w:rFonts w:ascii="Arial Black" w:hAnsi="Arial Black"/>
          <w:sz w:val="28"/>
          <w:szCs w:val="28"/>
        </w:rPr>
        <w:t xml:space="preserve">– POOR INTERVIEWS - </w:t>
      </w:r>
      <w:r w:rsidRPr="006F2B87">
        <w:rPr>
          <w:rFonts w:ascii="Arial Black" w:hAnsi="Arial Black"/>
          <w:sz w:val="28"/>
          <w:szCs w:val="28"/>
        </w:rPr>
        <w:t>NO</w:t>
      </w:r>
      <w:r>
        <w:rPr>
          <w:rFonts w:ascii="Arial Black" w:hAnsi="Arial Black"/>
          <w:sz w:val="28"/>
          <w:szCs w:val="28"/>
        </w:rPr>
        <w:t xml:space="preserve">T </w:t>
      </w:r>
      <w:r w:rsidRPr="006F2B87">
        <w:rPr>
          <w:rFonts w:ascii="Arial Black" w:hAnsi="Arial Black"/>
          <w:sz w:val="28"/>
          <w:szCs w:val="28"/>
        </w:rPr>
        <w:t xml:space="preserve">RETALIATION </w:t>
      </w:r>
    </w:p>
    <w:p w14:paraId="125C2708" w14:textId="77777777" w:rsidR="00520903" w:rsidRPr="006F2B87" w:rsidRDefault="00520903" w:rsidP="00520903">
      <w:pPr>
        <w:pStyle w:val="NoSpacing"/>
      </w:pPr>
    </w:p>
    <w:p w14:paraId="7452064A" w14:textId="77777777" w:rsidR="00520903" w:rsidRPr="00520903" w:rsidRDefault="00520903" w:rsidP="00520903">
      <w:pPr>
        <w:pStyle w:val="NoSpacing"/>
        <w:rPr>
          <w:rFonts w:ascii="Times New Roman" w:hAnsi="Times New Roman"/>
          <w:sz w:val="24"/>
          <w:szCs w:val="24"/>
        </w:rPr>
      </w:pPr>
      <w:r w:rsidRPr="00520903">
        <w:rPr>
          <w:rFonts w:ascii="Times New Roman" w:hAnsi="Times New Roman"/>
          <w:sz w:val="24"/>
          <w:szCs w:val="24"/>
        </w:rPr>
        <w:t xml:space="preserve">On May 16, 2025, in </w:t>
      </w:r>
      <w:r w:rsidRPr="00520903">
        <w:rPr>
          <w:rFonts w:ascii="Times New Roman" w:hAnsi="Times New Roman"/>
          <w:sz w:val="24"/>
          <w:szCs w:val="24"/>
          <w:u w:val="single"/>
        </w:rPr>
        <w:t>David Shenbaum and Timothy O'Brien v. City of Manhattan Beach</w:t>
      </w:r>
      <w:r w:rsidRPr="00520903">
        <w:rPr>
          <w:rFonts w:ascii="Times New Roman" w:hAnsi="Times New Roman"/>
          <w:sz w:val="24"/>
          <w:szCs w:val="24"/>
        </w:rPr>
        <w:t xml:space="preserve">, Chief U.S. Magistrate Judge Katen L. Stevenson. </w:t>
      </w:r>
      <w:proofErr w:type="gramStart"/>
      <w:r w:rsidRPr="00520903">
        <w:rPr>
          <w:rFonts w:ascii="Times New Roman" w:hAnsi="Times New Roman"/>
          <w:sz w:val="24"/>
          <w:szCs w:val="24"/>
        </w:rPr>
        <w:t>United States District Court for Central District of California,</w:t>
      </w:r>
      <w:proofErr w:type="gramEnd"/>
      <w:r w:rsidRPr="00520903">
        <w:rPr>
          <w:rFonts w:ascii="Times New Roman" w:hAnsi="Times New Roman"/>
          <w:sz w:val="24"/>
          <w:szCs w:val="24"/>
        </w:rPr>
        <w:t xml:space="preserve"> granted the </w:t>
      </w:r>
      <w:proofErr w:type="gramStart"/>
      <w:r w:rsidRPr="00520903">
        <w:rPr>
          <w:rFonts w:ascii="Times New Roman" w:hAnsi="Times New Roman"/>
          <w:sz w:val="24"/>
          <w:szCs w:val="24"/>
        </w:rPr>
        <w:t>City</w:t>
      </w:r>
      <w:proofErr w:type="gramEnd"/>
      <w:r w:rsidRPr="00520903">
        <w:rPr>
          <w:rFonts w:ascii="Times New Roman" w:hAnsi="Times New Roman"/>
          <w:sz w:val="24"/>
          <w:szCs w:val="24"/>
        </w:rPr>
        <w:t xml:space="preserve"> summary judgment, finding there was no proof of retaliation.  The two Captains claimed they were not promoted in retaliation for (1) their union voting in 2018 “No Confidence” in the fire chief and three battalion chiefs, and (2) union lawsuit on Nov. 3, </w:t>
      </w:r>
      <w:proofErr w:type="gramStart"/>
      <w:r w:rsidRPr="00520903">
        <w:rPr>
          <w:rFonts w:ascii="Times New Roman" w:hAnsi="Times New Roman"/>
          <w:sz w:val="24"/>
          <w:szCs w:val="24"/>
        </w:rPr>
        <w:t>2022</w:t>
      </w:r>
      <w:proofErr w:type="gramEnd"/>
      <w:r w:rsidRPr="00520903">
        <w:rPr>
          <w:rFonts w:ascii="Times New Roman" w:hAnsi="Times New Roman"/>
          <w:sz w:val="24"/>
          <w:szCs w:val="24"/>
        </w:rPr>
        <w:t xml:space="preserve"> challenging city reducing the pay of Battalion Chiefs.  </w:t>
      </w:r>
    </w:p>
    <w:p w14:paraId="09C8416B" w14:textId="77777777" w:rsidR="00520903" w:rsidRPr="00520903" w:rsidRDefault="00520903" w:rsidP="00520903">
      <w:pPr>
        <w:pStyle w:val="NoSpacing"/>
        <w:rPr>
          <w:rFonts w:ascii="Times New Roman" w:hAnsi="Times New Roman"/>
          <w:sz w:val="24"/>
          <w:szCs w:val="24"/>
        </w:rPr>
      </w:pPr>
    </w:p>
    <w:p w14:paraId="62825526" w14:textId="57AE9D86" w:rsidR="00520903" w:rsidRPr="00520903" w:rsidRDefault="00520903" w:rsidP="00520903">
      <w:pPr>
        <w:pStyle w:val="NoSpacing"/>
        <w:rPr>
          <w:rFonts w:ascii="Times New Roman" w:hAnsi="Times New Roman"/>
          <w:sz w:val="24"/>
          <w:szCs w:val="24"/>
        </w:rPr>
      </w:pPr>
      <w:r w:rsidRPr="00520903">
        <w:rPr>
          <w:rFonts w:ascii="Times New Roman" w:hAnsi="Times New Roman"/>
          <w:sz w:val="24"/>
          <w:szCs w:val="24"/>
        </w:rPr>
        <w:t xml:space="preserve">The Court wrote:   “In December 2022, Fire Chief Michael Lang and the City replaced the Battalion Chief position with the Division Chief position and opened the position to internal candidates only… Five internal candidates applied for the Division Chief position, including Plaintiffs…. Chief Lang subsequently announced that the traditional examination and interview process would be replaced with an interview-only process…. Chief Lang selected an external panel of fire chiefs to conduct the Division Chief interviews, which included Monrovia Fire Chief Jeremy Sanchez, Arcadia Fire Chief Chen Suen, and La Verne Fire Chief Chris Nigg (collectively ‘Fire Chief Panelists’)…. On January 17, 2023, the Fire Chief Panelists conducted interviews for all Division Chief candidates, including Plaintiffs…. The Fire Chief Panelists concurred that both </w:t>
      </w:r>
      <w:proofErr w:type="spellStart"/>
      <w:r w:rsidRPr="00520903">
        <w:rPr>
          <w:rFonts w:ascii="Times New Roman" w:hAnsi="Times New Roman"/>
          <w:sz w:val="24"/>
          <w:szCs w:val="24"/>
        </w:rPr>
        <w:t>Shenbaum</w:t>
      </w:r>
      <w:proofErr w:type="spellEnd"/>
      <w:r w:rsidRPr="00520903">
        <w:rPr>
          <w:rFonts w:ascii="Times New Roman" w:hAnsi="Times New Roman"/>
          <w:sz w:val="24"/>
          <w:szCs w:val="24"/>
        </w:rPr>
        <w:t xml:space="preserve"> and O'Brien should receive failing scores based on their responses and conduct during their interviews…. Specifically, the Fire Chief Panelists gave </w:t>
      </w:r>
      <w:proofErr w:type="spellStart"/>
      <w:r w:rsidRPr="00520903">
        <w:rPr>
          <w:rFonts w:ascii="Times New Roman" w:hAnsi="Times New Roman"/>
          <w:sz w:val="24"/>
          <w:szCs w:val="24"/>
        </w:rPr>
        <w:t>Shenbaum</w:t>
      </w:r>
      <w:proofErr w:type="spellEnd"/>
      <w:r w:rsidRPr="00520903">
        <w:rPr>
          <w:rFonts w:ascii="Times New Roman" w:hAnsi="Times New Roman"/>
          <w:sz w:val="24"/>
          <w:szCs w:val="24"/>
        </w:rPr>
        <w:t xml:space="preserve"> a failing score in the ‘Judgment and Decision Making’ category and commented that he used profanity in his interview…. </w:t>
      </w:r>
    </w:p>
    <w:p w14:paraId="62C8C72B" w14:textId="3D09843F" w:rsidR="001F3D0F" w:rsidRDefault="00520903" w:rsidP="00520903">
      <w:pPr>
        <w:pStyle w:val="NoSpacing"/>
        <w:rPr>
          <w:rFonts w:ascii="Times New Roman" w:hAnsi="Times New Roman"/>
          <w:sz w:val="24"/>
          <w:szCs w:val="24"/>
        </w:rPr>
      </w:pPr>
      <w:hyperlink r:id="rId2763" w:history="1">
        <w:r w:rsidRPr="00520903">
          <w:rPr>
            <w:rStyle w:val="Hyperlink"/>
            <w:rFonts w:ascii="Times New Roman" w:hAnsi="Times New Roman"/>
            <w:sz w:val="24"/>
            <w:szCs w:val="24"/>
          </w:rPr>
          <w:t>https://public.fastcase.com/jaEE2PXzRXmZ99jOLMt1IhwREi1fEuXa5IBCMUROo3DApdLLsb4vyoe8B%2BNXnfOO?utm_medium=email&amp;_hsenc=p2ANqtz-8ABWS4rvuUksFiiSiWwUxDOv17WyJKZy-5as8oPUYz_An6byDKPPy12elR6z5qE4TfB84ipL9se-rQu7mIzXpACN0LEw&amp;_hsmi=226712652&amp;utm_content=226712652&amp;utm_source=hs_email</w:t>
        </w:r>
      </w:hyperlink>
    </w:p>
    <w:p w14:paraId="404205E9" w14:textId="77777777" w:rsidR="00FE6DEF" w:rsidRDefault="00FE6DEF" w:rsidP="00520903">
      <w:pPr>
        <w:pStyle w:val="NoSpacing"/>
        <w:rPr>
          <w:rFonts w:ascii="Times New Roman" w:hAnsi="Times New Roman"/>
          <w:sz w:val="24"/>
          <w:szCs w:val="24"/>
        </w:rPr>
      </w:pPr>
    </w:p>
    <w:p w14:paraId="7C190A3F" w14:textId="0C38BC4C" w:rsidR="00FE6DEF" w:rsidRDefault="00FE6DEF" w:rsidP="00520903">
      <w:pPr>
        <w:pStyle w:val="NoSpacing"/>
        <w:rPr>
          <w:rFonts w:ascii="Times New Roman" w:hAnsi="Times New Roman"/>
          <w:sz w:val="24"/>
          <w:szCs w:val="24"/>
        </w:rPr>
      </w:pPr>
      <w:r>
        <w:rPr>
          <w:rFonts w:ascii="Times New Roman" w:hAnsi="Times New Roman"/>
          <w:sz w:val="24"/>
          <w:szCs w:val="24"/>
        </w:rPr>
        <w:t>The Court held:</w:t>
      </w:r>
    </w:p>
    <w:p w14:paraId="4763BFB7" w14:textId="77777777" w:rsidR="00FE6DEF" w:rsidRDefault="00FE6DEF" w:rsidP="00520903">
      <w:pPr>
        <w:pStyle w:val="NoSpacing"/>
        <w:rPr>
          <w:rFonts w:ascii="Times New Roman" w:hAnsi="Times New Roman"/>
          <w:sz w:val="24"/>
          <w:szCs w:val="24"/>
        </w:rPr>
      </w:pPr>
    </w:p>
    <w:p w14:paraId="6267576F" w14:textId="19D92B83" w:rsidR="00FE6DEF" w:rsidRPr="00520903" w:rsidRDefault="00FE6DEF" w:rsidP="00FE6DEF">
      <w:pPr>
        <w:pStyle w:val="NoSpacing"/>
        <w:ind w:left="720"/>
        <w:rPr>
          <w:rFonts w:ascii="Times New Roman" w:hAnsi="Times New Roman"/>
          <w:sz w:val="24"/>
          <w:szCs w:val="24"/>
        </w:rPr>
      </w:pPr>
      <w:r>
        <w:rPr>
          <w:rFonts w:ascii="Times New Roman" w:hAnsi="Times New Roman"/>
          <w:sz w:val="24"/>
          <w:szCs w:val="24"/>
        </w:rPr>
        <w:t>“</w:t>
      </w:r>
      <w:r w:rsidRPr="00520903">
        <w:rPr>
          <w:rFonts w:ascii="Times New Roman" w:hAnsi="Times New Roman"/>
          <w:sz w:val="24"/>
          <w:szCs w:val="24"/>
        </w:rPr>
        <w:t xml:space="preserve">The Fire Chief Panelists gave O'Brien failing scores for ‘Leadership and Management’ and ‘Innovation and Strategic Thinking.’ *** Yet, here, Plaintiffs only speculate that the Fire Panelists had any knowledge of the lawsuit. In fact, all three members of the Fire Chief Panelists attested that they were not aware of or notified of any pending lawsuit by Plaintiffs against the </w:t>
      </w:r>
      <w:proofErr w:type="gramStart"/>
      <w:r w:rsidRPr="00520903">
        <w:rPr>
          <w:rFonts w:ascii="Times New Roman" w:hAnsi="Times New Roman"/>
          <w:sz w:val="24"/>
          <w:szCs w:val="24"/>
        </w:rPr>
        <w:t>City.”</w:t>
      </w:r>
      <w:proofErr w:type="gramEnd"/>
    </w:p>
    <w:p w14:paraId="23111BE1" w14:textId="77777777" w:rsidR="00FE6DEF" w:rsidRDefault="00FE6DEF" w:rsidP="00520903">
      <w:pPr>
        <w:pStyle w:val="NoSpacing"/>
        <w:rPr>
          <w:rFonts w:ascii="Arial Black" w:hAnsi="Arial Black"/>
          <w:sz w:val="24"/>
          <w:szCs w:val="24"/>
        </w:rPr>
      </w:pPr>
    </w:p>
    <w:p w14:paraId="6D30922C" w14:textId="77777777" w:rsidR="00C01A1F" w:rsidRDefault="00C01A1F" w:rsidP="00C01A1F">
      <w:pPr>
        <w:pStyle w:val="NoSpacing"/>
        <w:rPr>
          <w:rFonts w:ascii="Times New Roman" w:hAnsi="Times New Roman"/>
          <w:b/>
          <w:sz w:val="24"/>
          <w:szCs w:val="24"/>
        </w:rPr>
      </w:pPr>
      <w:r w:rsidRPr="00C01A1F">
        <w:rPr>
          <w:rFonts w:ascii="Times New Roman" w:hAnsi="Times New Roman"/>
          <w:b/>
          <w:sz w:val="24"/>
          <w:szCs w:val="24"/>
        </w:rPr>
        <w:t xml:space="preserve">Legal Lesson Learned: No proof that No Confidence vote by union. or recent lawsuit, caused three outside Fire Chiefs to rate two Captains as “failed.” </w:t>
      </w:r>
    </w:p>
    <w:p w14:paraId="4A72D866" w14:textId="77777777" w:rsidR="00A50A87" w:rsidRDefault="00A50A87" w:rsidP="00C01A1F">
      <w:pPr>
        <w:pStyle w:val="NoSpacing"/>
        <w:rPr>
          <w:rFonts w:ascii="Times New Roman" w:hAnsi="Times New Roman"/>
          <w:b/>
          <w:sz w:val="24"/>
          <w:szCs w:val="24"/>
        </w:rPr>
      </w:pPr>
    </w:p>
    <w:p w14:paraId="4C7A1C0E" w14:textId="77777777" w:rsidR="00C2714E" w:rsidRDefault="00C2714E" w:rsidP="00A50A87">
      <w:pPr>
        <w:pStyle w:val="NoSpacing"/>
        <w:rPr>
          <w:rFonts w:ascii="Arial Black" w:hAnsi="Arial Black"/>
          <w:sz w:val="28"/>
          <w:szCs w:val="28"/>
        </w:rPr>
      </w:pPr>
    </w:p>
    <w:p w14:paraId="635D5792" w14:textId="77777777" w:rsidR="00FD6F7D" w:rsidRDefault="00FD6F7D" w:rsidP="00A50A87">
      <w:pPr>
        <w:pStyle w:val="NoSpacing"/>
        <w:rPr>
          <w:rFonts w:ascii="Arial Black" w:hAnsi="Arial Black"/>
          <w:sz w:val="28"/>
          <w:szCs w:val="28"/>
        </w:rPr>
      </w:pPr>
    </w:p>
    <w:p w14:paraId="3A0B53FB" w14:textId="2D1FB7DB" w:rsidR="00FD6F7D" w:rsidRDefault="00FD6F7D" w:rsidP="00FD6F7D">
      <w:pPr>
        <w:pStyle w:val="NoSpacing"/>
        <w:rPr>
          <w:rFonts w:ascii="Arial Black" w:hAnsi="Arial Black"/>
          <w:sz w:val="24"/>
          <w:szCs w:val="24"/>
        </w:rPr>
      </w:pPr>
      <w:r>
        <w:rPr>
          <w:rFonts w:ascii="Arial Black" w:hAnsi="Arial Black"/>
          <w:sz w:val="24"/>
          <w:szCs w:val="24"/>
        </w:rPr>
        <w:t>17-52</w:t>
      </w:r>
    </w:p>
    <w:p w14:paraId="77C0C9D1" w14:textId="77777777" w:rsidR="00FD6F7D" w:rsidRDefault="00FD6F7D" w:rsidP="00A50A87">
      <w:pPr>
        <w:pStyle w:val="NoSpacing"/>
        <w:rPr>
          <w:rFonts w:ascii="Arial Black" w:hAnsi="Arial Black"/>
          <w:sz w:val="28"/>
          <w:szCs w:val="28"/>
        </w:rPr>
      </w:pPr>
    </w:p>
    <w:p w14:paraId="1B2AE45B" w14:textId="0EF568C3" w:rsidR="00A50A87" w:rsidRDefault="00A50A87" w:rsidP="00A50A87">
      <w:pPr>
        <w:pStyle w:val="NoSpacing"/>
        <w:rPr>
          <w:rFonts w:ascii="Arial Black" w:hAnsi="Arial Black"/>
          <w:sz w:val="28"/>
          <w:szCs w:val="28"/>
        </w:rPr>
      </w:pPr>
      <w:r w:rsidRPr="006F2B87">
        <w:rPr>
          <w:rFonts w:ascii="Arial Black" w:hAnsi="Arial Black"/>
          <w:sz w:val="28"/>
          <w:szCs w:val="28"/>
        </w:rPr>
        <w:t xml:space="preserve">CT: </w:t>
      </w:r>
      <w:r w:rsidRPr="004617B4">
        <w:rPr>
          <w:rFonts w:ascii="Arial Black" w:hAnsi="Arial Black"/>
          <w:sz w:val="28"/>
          <w:szCs w:val="28"/>
        </w:rPr>
        <w:t>RETALIATION - LT. JOB - 6 DAYS AFTER GRIEVANCE</w:t>
      </w:r>
    </w:p>
    <w:p w14:paraId="5787419C" w14:textId="77777777" w:rsidR="00A50A87" w:rsidRPr="006F2B87" w:rsidRDefault="00A50A87" w:rsidP="00A50A87">
      <w:pPr>
        <w:pStyle w:val="NoSpacing"/>
        <w:rPr>
          <w:b/>
          <w:bCs/>
        </w:rPr>
      </w:pPr>
    </w:p>
    <w:p w14:paraId="7AECF39B" w14:textId="77777777" w:rsidR="00A50A87" w:rsidRPr="00C2714E" w:rsidRDefault="00A50A87" w:rsidP="00A50A87">
      <w:pPr>
        <w:pStyle w:val="NoSpacing"/>
        <w:rPr>
          <w:rFonts w:ascii="Times New Roman" w:hAnsi="Times New Roman"/>
          <w:bCs/>
          <w:sz w:val="24"/>
          <w:szCs w:val="24"/>
        </w:rPr>
      </w:pPr>
      <w:r w:rsidRPr="00C2714E">
        <w:rPr>
          <w:rFonts w:ascii="Times New Roman" w:hAnsi="Times New Roman"/>
          <w:sz w:val="24"/>
          <w:szCs w:val="24"/>
        </w:rPr>
        <w:t xml:space="preserve">On May 12, 2025, in </w:t>
      </w:r>
      <w:r w:rsidRPr="00C2714E">
        <w:rPr>
          <w:rFonts w:ascii="Times New Roman" w:hAnsi="Times New Roman"/>
          <w:sz w:val="24"/>
          <w:szCs w:val="24"/>
          <w:u w:val="single"/>
        </w:rPr>
        <w:t>Town of Suffield v. State Board of Labor Relations and Suffield Firefighters Assoc. Local 3565, IAFF</w:t>
      </w:r>
      <w:r w:rsidRPr="00C2714E">
        <w:rPr>
          <w:rFonts w:ascii="Times New Roman" w:hAnsi="Times New Roman"/>
          <w:sz w:val="24"/>
          <w:szCs w:val="24"/>
        </w:rPr>
        <w:t xml:space="preserve">, the Superior Court of Connecticut (Judicial District of New Britain) held (Judge Matthew J. Budzik; unpublished decision) that Town’s appeal was denied.  </w:t>
      </w:r>
    </w:p>
    <w:p w14:paraId="6F4A7DC3" w14:textId="77777777" w:rsidR="00A50A87" w:rsidRPr="00C2714E" w:rsidRDefault="00A50A87" w:rsidP="00A50A87">
      <w:pPr>
        <w:pStyle w:val="NoSpacing"/>
        <w:rPr>
          <w:rFonts w:ascii="Times New Roman" w:hAnsi="Times New Roman"/>
          <w:bCs/>
          <w:sz w:val="24"/>
          <w:szCs w:val="24"/>
        </w:rPr>
      </w:pPr>
    </w:p>
    <w:p w14:paraId="09479BA6" w14:textId="17C796CE" w:rsidR="00A50A87" w:rsidRPr="00C2714E" w:rsidRDefault="00A50A87" w:rsidP="00A50A87">
      <w:pPr>
        <w:pStyle w:val="NoSpacing"/>
        <w:rPr>
          <w:rFonts w:ascii="Times New Roman" w:hAnsi="Times New Roman"/>
          <w:b/>
          <w:bCs/>
          <w:sz w:val="24"/>
          <w:szCs w:val="24"/>
        </w:rPr>
      </w:pPr>
      <w:r w:rsidRPr="00C2714E">
        <w:rPr>
          <w:rFonts w:ascii="Times New Roman" w:hAnsi="Times New Roman"/>
          <w:sz w:val="24"/>
          <w:szCs w:val="24"/>
        </w:rPr>
        <w:t xml:space="preserve">The Court wrote: [The State Board] “may make the reasonable factual inference, based on very close temporal proximity, that the board’s [Town’s Board of Selectman] March 15, </w:t>
      </w:r>
      <w:proofErr w:type="gramStart"/>
      <w:r w:rsidRPr="00C2714E">
        <w:rPr>
          <w:rFonts w:ascii="Times New Roman" w:hAnsi="Times New Roman"/>
          <w:sz w:val="24"/>
          <w:szCs w:val="24"/>
        </w:rPr>
        <w:t>2023</w:t>
      </w:r>
      <w:proofErr w:type="gramEnd"/>
      <w:r w:rsidRPr="00C2714E">
        <w:rPr>
          <w:rFonts w:ascii="Times New Roman" w:hAnsi="Times New Roman"/>
          <w:sz w:val="24"/>
          <w:szCs w:val="24"/>
        </w:rPr>
        <w:t xml:space="preserve"> vote to defund the lieutenant position was in retaliation for the [union’s] filing of the March 9, </w:t>
      </w:r>
      <w:proofErr w:type="gramStart"/>
      <w:r w:rsidRPr="00C2714E">
        <w:rPr>
          <w:rFonts w:ascii="Times New Roman" w:hAnsi="Times New Roman"/>
          <w:sz w:val="24"/>
          <w:szCs w:val="24"/>
        </w:rPr>
        <w:t>2023</w:t>
      </w:r>
      <w:proofErr w:type="gramEnd"/>
      <w:r w:rsidRPr="00C2714E">
        <w:rPr>
          <w:rFonts w:ascii="Times New Roman" w:hAnsi="Times New Roman"/>
          <w:sz w:val="24"/>
          <w:szCs w:val="24"/>
        </w:rPr>
        <w:t xml:space="preserve"> grievance.”  </w:t>
      </w:r>
      <w:hyperlink r:id="rId2764" w:history="1">
        <w:r w:rsidRPr="00C2714E">
          <w:rPr>
            <w:rStyle w:val="Hyperlink"/>
            <w:rFonts w:ascii="Times New Roman" w:hAnsi="Times New Roman"/>
            <w:sz w:val="24"/>
            <w:szCs w:val="24"/>
          </w:rPr>
          <w:t>https://civilinquiry.jud.ct.gov/DocumentInquiry/DocumentInquiry.aspx?DocumentNo=29998787</w:t>
        </w:r>
      </w:hyperlink>
    </w:p>
    <w:p w14:paraId="7B649D2A" w14:textId="77777777" w:rsidR="00C01A1F" w:rsidRPr="00C2714E" w:rsidRDefault="00C01A1F" w:rsidP="00C01A1F">
      <w:pPr>
        <w:pStyle w:val="NoSpacing"/>
        <w:rPr>
          <w:rFonts w:ascii="Times New Roman" w:hAnsi="Times New Roman"/>
          <w:b/>
          <w:bCs/>
          <w:sz w:val="24"/>
          <w:szCs w:val="24"/>
        </w:rPr>
      </w:pPr>
    </w:p>
    <w:p w14:paraId="7ED72127" w14:textId="77777777" w:rsidR="00842AFE" w:rsidRPr="00BB45E5" w:rsidRDefault="00842AFE" w:rsidP="00842AFE">
      <w:pPr>
        <w:pStyle w:val="NoSpacing"/>
        <w:rPr>
          <w:rFonts w:ascii="Times New Roman" w:hAnsi="Times New Roman"/>
          <w:b/>
          <w:bCs/>
          <w:sz w:val="24"/>
          <w:szCs w:val="24"/>
        </w:rPr>
      </w:pPr>
      <w:r w:rsidRPr="00BB45E5">
        <w:rPr>
          <w:rFonts w:ascii="Times New Roman" w:hAnsi="Times New Roman"/>
          <w:b/>
          <w:sz w:val="24"/>
          <w:szCs w:val="24"/>
        </w:rPr>
        <w:t xml:space="preserve">Legal Lesson Learned: To avoid a retaliation charge, </w:t>
      </w:r>
      <w:r w:rsidRPr="00BB45E5">
        <w:rPr>
          <w:rFonts w:ascii="Times New Roman" w:hAnsi="Times New Roman"/>
          <w:b/>
          <w:bCs/>
          <w:sz w:val="24"/>
          <w:szCs w:val="24"/>
        </w:rPr>
        <w:t xml:space="preserve">document in </w:t>
      </w:r>
      <w:r w:rsidRPr="00BB45E5">
        <w:rPr>
          <w:rFonts w:ascii="Times New Roman" w:hAnsi="Times New Roman"/>
          <w:b/>
          <w:sz w:val="24"/>
          <w:szCs w:val="24"/>
        </w:rPr>
        <w:t xml:space="preserve">detail the business reasons for eliminating the Lieutenant position and the formal vote of the Board.  </w:t>
      </w:r>
    </w:p>
    <w:p w14:paraId="1E1FD8AB" w14:textId="77777777" w:rsidR="00842AFE" w:rsidRPr="00BB45E5" w:rsidRDefault="00842AFE" w:rsidP="00842AFE">
      <w:pPr>
        <w:pStyle w:val="NoSpacing"/>
        <w:rPr>
          <w:rFonts w:ascii="Times New Roman" w:hAnsi="Times New Roman"/>
          <w:b/>
          <w:bCs/>
          <w:sz w:val="24"/>
          <w:szCs w:val="24"/>
        </w:rPr>
      </w:pPr>
    </w:p>
    <w:p w14:paraId="46C7E991" w14:textId="77777777" w:rsidR="00842AFE" w:rsidRPr="006F2B87" w:rsidRDefault="00842AFE" w:rsidP="00842AFE">
      <w:pPr>
        <w:pStyle w:val="NoSpacing"/>
        <w:ind w:left="720"/>
        <w:rPr>
          <w:b/>
          <w:bCs/>
        </w:rPr>
      </w:pPr>
      <w:r w:rsidRPr="00BB45E5">
        <w:rPr>
          <w:rFonts w:ascii="Times New Roman" w:hAnsi="Times New Roman"/>
          <w:sz w:val="24"/>
          <w:szCs w:val="24"/>
        </w:rPr>
        <w:t xml:space="preserve">Note: See May 21, </w:t>
      </w:r>
      <w:proofErr w:type="gramStart"/>
      <w:r w:rsidRPr="00BB45E5">
        <w:rPr>
          <w:rFonts w:ascii="Times New Roman" w:hAnsi="Times New Roman"/>
          <w:sz w:val="24"/>
          <w:szCs w:val="24"/>
        </w:rPr>
        <w:t>2025</w:t>
      </w:r>
      <w:proofErr w:type="gramEnd"/>
      <w:r w:rsidRPr="00BB45E5">
        <w:rPr>
          <w:rFonts w:ascii="Times New Roman" w:hAnsi="Times New Roman"/>
          <w:sz w:val="24"/>
          <w:szCs w:val="24"/>
        </w:rPr>
        <w:t xml:space="preserve"> article on this decision.  “Court upholds finding of retaliation against Suffield firefighter.” </w:t>
      </w:r>
      <w:hyperlink r:id="rId2765" w:history="1">
        <w:r w:rsidRPr="00BB45E5">
          <w:rPr>
            <w:rStyle w:val="Hyperlink"/>
            <w:rFonts w:ascii="Times New Roman" w:hAnsi="Times New Roman"/>
            <w:sz w:val="24"/>
            <w:szCs w:val="24"/>
          </w:rPr>
          <w:t>https://insideinvestigator.org/court-upholds-finding-of-retaliation-against-suffield-firefighter/</w:t>
        </w:r>
      </w:hyperlink>
      <w:r w:rsidRPr="006F2B87">
        <w:rPr>
          <w:b/>
        </w:rPr>
        <w:t xml:space="preserve"> </w:t>
      </w:r>
    </w:p>
    <w:p w14:paraId="64F57AB0" w14:textId="77777777" w:rsidR="001F3D0F" w:rsidRDefault="001F3D0F" w:rsidP="00F326E5">
      <w:pPr>
        <w:pStyle w:val="NoSpacing"/>
        <w:rPr>
          <w:rFonts w:ascii="Arial Black" w:hAnsi="Arial Black"/>
          <w:sz w:val="24"/>
          <w:szCs w:val="24"/>
        </w:rPr>
      </w:pPr>
    </w:p>
    <w:p w14:paraId="49EDC6DF" w14:textId="77777777" w:rsidR="00C01A1F" w:rsidRDefault="00C01A1F" w:rsidP="00F326E5">
      <w:pPr>
        <w:pStyle w:val="NoSpacing"/>
        <w:rPr>
          <w:rFonts w:ascii="Arial Black" w:hAnsi="Arial Black"/>
          <w:sz w:val="24"/>
          <w:szCs w:val="24"/>
        </w:rPr>
      </w:pPr>
    </w:p>
    <w:p w14:paraId="2A37A3C4" w14:textId="77777777" w:rsidR="00C01A1F" w:rsidRDefault="00C01A1F" w:rsidP="00F326E5">
      <w:pPr>
        <w:pStyle w:val="NoSpacing"/>
        <w:rPr>
          <w:rFonts w:ascii="Arial Black" w:hAnsi="Arial Black"/>
          <w:sz w:val="24"/>
          <w:szCs w:val="24"/>
        </w:rPr>
      </w:pPr>
    </w:p>
    <w:p w14:paraId="107D0EBA" w14:textId="77777777" w:rsidR="00C01A1F" w:rsidRDefault="00C01A1F" w:rsidP="00F326E5">
      <w:pPr>
        <w:pStyle w:val="NoSpacing"/>
        <w:rPr>
          <w:rFonts w:ascii="Arial Black" w:hAnsi="Arial Black"/>
          <w:sz w:val="24"/>
          <w:szCs w:val="24"/>
        </w:rPr>
      </w:pPr>
    </w:p>
    <w:p w14:paraId="51BD56CF" w14:textId="77777777" w:rsidR="001F3D0F" w:rsidRDefault="001F3D0F" w:rsidP="00F326E5">
      <w:pPr>
        <w:pStyle w:val="NoSpacing"/>
        <w:rPr>
          <w:rFonts w:ascii="Arial Black" w:hAnsi="Arial Black"/>
          <w:sz w:val="24"/>
          <w:szCs w:val="24"/>
        </w:rPr>
      </w:pPr>
    </w:p>
    <w:p w14:paraId="250A1293" w14:textId="387092D2" w:rsidR="007D54CE" w:rsidRDefault="007D54CE" w:rsidP="00F326E5">
      <w:pPr>
        <w:pStyle w:val="NoSpacing"/>
        <w:rPr>
          <w:rFonts w:ascii="Arial Black" w:hAnsi="Arial Black"/>
          <w:sz w:val="24"/>
          <w:szCs w:val="24"/>
        </w:rPr>
      </w:pPr>
      <w:r>
        <w:rPr>
          <w:rFonts w:ascii="Arial Black" w:hAnsi="Arial Black"/>
          <w:sz w:val="24"/>
          <w:szCs w:val="24"/>
        </w:rPr>
        <w:t>17-51</w:t>
      </w:r>
    </w:p>
    <w:p w14:paraId="2FBC0744" w14:textId="77777777" w:rsidR="001F3D0F" w:rsidRDefault="001F3D0F" w:rsidP="007D54CE">
      <w:pPr>
        <w:rPr>
          <w:rFonts w:ascii="Arial Black" w:hAnsi="Arial Black"/>
          <w:sz w:val="28"/>
          <w:szCs w:val="28"/>
        </w:rPr>
      </w:pPr>
    </w:p>
    <w:p w14:paraId="45E13185" w14:textId="7C324633" w:rsidR="007D54CE" w:rsidRPr="00226994" w:rsidRDefault="007D54CE" w:rsidP="007D54CE">
      <w:pPr>
        <w:rPr>
          <w:rFonts w:ascii="Arial Black" w:hAnsi="Arial Black"/>
          <w:sz w:val="28"/>
          <w:szCs w:val="28"/>
        </w:rPr>
      </w:pPr>
      <w:r>
        <w:rPr>
          <w:rFonts w:ascii="Arial Black" w:hAnsi="Arial Black"/>
          <w:sz w:val="28"/>
          <w:szCs w:val="28"/>
        </w:rPr>
        <w:t>MA: FF – SUSP. 4 TOURS – UNION E-MAIL FIX SIDEWALK</w:t>
      </w:r>
    </w:p>
    <w:p w14:paraId="4C71D40F" w14:textId="6B358EA2" w:rsidR="007D54CE" w:rsidRPr="00C7167A" w:rsidRDefault="007D54CE" w:rsidP="007D54CE">
      <w:pPr>
        <w:pStyle w:val="NoSpacing"/>
        <w:rPr>
          <w:rFonts w:ascii="Times New Roman" w:hAnsi="Times New Roman"/>
          <w:sz w:val="24"/>
          <w:szCs w:val="24"/>
        </w:rPr>
      </w:pPr>
      <w:r w:rsidRPr="00C7167A">
        <w:rPr>
          <w:rFonts w:ascii="Times New Roman" w:hAnsi="Times New Roman"/>
          <w:sz w:val="24"/>
          <w:szCs w:val="24"/>
        </w:rPr>
        <w:t xml:space="preserve">On April 18, 2025, in </w:t>
      </w:r>
      <w:r w:rsidRPr="00C7167A">
        <w:rPr>
          <w:rFonts w:ascii="Times New Roman" w:hAnsi="Times New Roman"/>
          <w:sz w:val="24"/>
          <w:szCs w:val="24"/>
          <w:u w:val="single"/>
        </w:rPr>
        <w:t>James P. Riley and Boston Fire Firefighters International Association of Firefighters, Local 718 v. City of Boston, et al.</w:t>
      </w:r>
      <w:r w:rsidRPr="00C7167A">
        <w:rPr>
          <w:rFonts w:ascii="Times New Roman" w:hAnsi="Times New Roman"/>
          <w:sz w:val="24"/>
          <w:szCs w:val="24"/>
        </w:rPr>
        <w:t xml:space="preserve">, U.S. District Court Judge Allison D. Burroughs, United States District Court for the District of Massachusetts, denied the City’s motion to dismiss.  Firefighter Riley, a 16-year member of the FD, sent an e-mail on September 26, </w:t>
      </w:r>
      <w:proofErr w:type="gramStart"/>
      <w:r w:rsidRPr="00C7167A">
        <w:rPr>
          <w:rFonts w:ascii="Times New Roman" w:hAnsi="Times New Roman"/>
          <w:sz w:val="24"/>
          <w:szCs w:val="24"/>
        </w:rPr>
        <w:t>2023</w:t>
      </w:r>
      <w:proofErr w:type="gramEnd"/>
      <w:r w:rsidRPr="00C7167A">
        <w:rPr>
          <w:rFonts w:ascii="Times New Roman" w:hAnsi="Times New Roman"/>
          <w:sz w:val="24"/>
          <w:szCs w:val="24"/>
        </w:rPr>
        <w:t xml:space="preserve"> on his Union e-mail as an Executive Board Member of the Union (with permission of Union President) to city’s Chief of Streets Department to repair a sidewalk handicap ramp in front of his Fire Station.  His Captain had previously sent five e-mail requests to the FD’s Facilities Division (April 21, 2021; February 11, 2022; March 20, 2022; June 16, 2022; April 20, 2023).  On Oct. 11, 2023, the FD’s Deputy Chief of Personnel suspended Riley for four shifts, claiming he “used his Local 718 Union title in an attempt to intimidate the City of Boston official into action.” </w:t>
      </w:r>
      <w:hyperlink r:id="rId2766" w:history="1">
        <w:r w:rsidRPr="00C7167A">
          <w:rPr>
            <w:rStyle w:val="Hyperlink"/>
            <w:rFonts w:ascii="Times New Roman" w:hAnsi="Times New Roman"/>
            <w:sz w:val="24"/>
            <w:szCs w:val="24"/>
          </w:rPr>
          <w:t>https://public.fastcase.com/jaEE2PXzRXmZ99jOLMt1IpPvzvvllZ7Rrt4VKwyGVntYyQb9IRuNiNqVshy4%2Bl2z%2BsY6VEZuB3eEVHjKlzOdk%2FP8W50g7Bl84BsJ%2BT14tOs%3D?utm_medium=email&amp;_hsenc=p2ANqtz-8_cjXUjI5LfLOi5ALG6MFLDFJJrn3rZsNciOMXnsNsHK54iflcoWeqPuq6ELEpSWLnjpVW4QqFeFKVqziKDzXrD-fT4Q&amp;_hsmi=226712652&amp;utm_content=226712652&amp;utm_source=hs_email</w:t>
        </w:r>
      </w:hyperlink>
    </w:p>
    <w:p w14:paraId="12496A04" w14:textId="77777777" w:rsidR="007D54CE" w:rsidRDefault="007D54CE" w:rsidP="00F326E5">
      <w:pPr>
        <w:pStyle w:val="NoSpacing"/>
        <w:rPr>
          <w:rFonts w:ascii="Arial Black" w:hAnsi="Arial Black"/>
          <w:sz w:val="24"/>
          <w:szCs w:val="24"/>
        </w:rPr>
      </w:pPr>
    </w:p>
    <w:p w14:paraId="78079659" w14:textId="77777777" w:rsidR="00D364BB" w:rsidRPr="00B82297" w:rsidRDefault="00D364BB" w:rsidP="00D364BB">
      <w:pPr>
        <w:pStyle w:val="NoSpacing"/>
        <w:rPr>
          <w:rFonts w:ascii="Times New Roman" w:hAnsi="Times New Roman"/>
          <w:b/>
          <w:bCs/>
          <w:sz w:val="24"/>
          <w:szCs w:val="24"/>
        </w:rPr>
      </w:pPr>
      <w:r w:rsidRPr="00B82297">
        <w:rPr>
          <w:rFonts w:ascii="Times New Roman" w:hAnsi="Times New Roman"/>
          <w:b/>
          <w:sz w:val="24"/>
          <w:szCs w:val="24"/>
        </w:rPr>
        <w:t>Legal Lesson Learned: Firefighters have 1</w:t>
      </w:r>
      <w:r w:rsidRPr="00B82297">
        <w:rPr>
          <w:rFonts w:ascii="Times New Roman" w:hAnsi="Times New Roman"/>
          <w:b/>
          <w:sz w:val="24"/>
          <w:szCs w:val="24"/>
          <w:vertAlign w:val="superscript"/>
        </w:rPr>
        <w:t>st</w:t>
      </w:r>
      <w:r w:rsidRPr="00B82297">
        <w:rPr>
          <w:rFonts w:ascii="Times New Roman" w:hAnsi="Times New Roman"/>
          <w:b/>
          <w:sz w:val="24"/>
          <w:szCs w:val="24"/>
        </w:rPr>
        <w:t xml:space="preserve"> Amendment right to engage in protected speech not disruptive to the fire department.  </w:t>
      </w:r>
    </w:p>
    <w:p w14:paraId="561FCBD7" w14:textId="77777777" w:rsidR="00D364BB" w:rsidRPr="00B82297" w:rsidRDefault="00D364BB" w:rsidP="00D364BB">
      <w:pPr>
        <w:pStyle w:val="NoSpacing"/>
        <w:rPr>
          <w:rFonts w:ascii="Times New Roman" w:hAnsi="Times New Roman"/>
          <w:b/>
          <w:sz w:val="24"/>
          <w:szCs w:val="24"/>
        </w:rPr>
      </w:pPr>
    </w:p>
    <w:p w14:paraId="1CDBEC85" w14:textId="77777777" w:rsidR="00D364BB" w:rsidRPr="00B82297" w:rsidRDefault="00D364BB" w:rsidP="00D364BB">
      <w:pPr>
        <w:ind w:left="720"/>
        <w:rPr>
          <w:rFonts w:ascii="Times New Roman" w:hAnsi="Times New Roman"/>
          <w:bCs/>
          <w:sz w:val="24"/>
          <w:szCs w:val="24"/>
        </w:rPr>
      </w:pPr>
      <w:r w:rsidRPr="00B82297">
        <w:rPr>
          <w:rFonts w:ascii="Times New Roman" w:hAnsi="Times New Roman"/>
          <w:sz w:val="24"/>
          <w:szCs w:val="24"/>
        </w:rPr>
        <w:t xml:space="preserve">Note: Read the lawsuit Complaint. </w:t>
      </w:r>
      <w:hyperlink r:id="rId2767" w:history="1">
        <w:r w:rsidRPr="00B82297">
          <w:rPr>
            <w:rStyle w:val="Hyperlink"/>
            <w:rFonts w:ascii="Times New Roman" w:hAnsi="Times New Roman"/>
            <w:sz w:val="24"/>
            <w:szCs w:val="24"/>
          </w:rPr>
          <w:t>https://www.universalhub.com/files/jpfirefighter-complaint.pdf</w:t>
        </w:r>
      </w:hyperlink>
    </w:p>
    <w:p w14:paraId="0C7B5A6A" w14:textId="77777777" w:rsidR="007D54CE" w:rsidRDefault="007D54CE" w:rsidP="00F326E5">
      <w:pPr>
        <w:pStyle w:val="NoSpacing"/>
        <w:rPr>
          <w:rFonts w:ascii="Arial Black" w:hAnsi="Arial Black"/>
          <w:sz w:val="24"/>
          <w:szCs w:val="24"/>
        </w:rPr>
      </w:pPr>
    </w:p>
    <w:p w14:paraId="36352946" w14:textId="77777777" w:rsidR="007D54CE" w:rsidRDefault="007D54CE" w:rsidP="00F326E5">
      <w:pPr>
        <w:pStyle w:val="NoSpacing"/>
        <w:rPr>
          <w:rFonts w:ascii="Arial Black" w:hAnsi="Arial Black"/>
          <w:sz w:val="24"/>
          <w:szCs w:val="24"/>
        </w:rPr>
      </w:pPr>
    </w:p>
    <w:p w14:paraId="4897F819" w14:textId="734842BC" w:rsidR="00766306" w:rsidRDefault="00F367A4" w:rsidP="00F326E5">
      <w:pPr>
        <w:pStyle w:val="NoSpacing"/>
        <w:rPr>
          <w:rFonts w:ascii="Arial Black" w:hAnsi="Arial Black"/>
          <w:sz w:val="24"/>
          <w:szCs w:val="24"/>
        </w:rPr>
      </w:pPr>
      <w:r>
        <w:rPr>
          <w:rFonts w:ascii="Arial Black" w:hAnsi="Arial Black"/>
          <w:sz w:val="24"/>
          <w:szCs w:val="24"/>
        </w:rPr>
        <w:t>17-50</w:t>
      </w:r>
    </w:p>
    <w:p w14:paraId="7E9429B4" w14:textId="77777777" w:rsidR="00F367A4" w:rsidRDefault="00F367A4" w:rsidP="00F326E5">
      <w:pPr>
        <w:pStyle w:val="NoSpacing"/>
        <w:rPr>
          <w:rFonts w:ascii="Arial Black" w:hAnsi="Arial Black"/>
          <w:sz w:val="24"/>
          <w:szCs w:val="24"/>
        </w:rPr>
      </w:pPr>
    </w:p>
    <w:p w14:paraId="687F640E" w14:textId="77777777" w:rsidR="006958A3" w:rsidRPr="00620D8B" w:rsidRDefault="006958A3" w:rsidP="006958A3">
      <w:pPr>
        <w:pStyle w:val="NoSpacing"/>
        <w:rPr>
          <w:rFonts w:ascii="Arial Black" w:hAnsi="Arial Black"/>
          <w:bCs/>
          <w:sz w:val="28"/>
          <w:szCs w:val="28"/>
        </w:rPr>
      </w:pPr>
      <w:r>
        <w:rPr>
          <w:rFonts w:ascii="Arial Black" w:hAnsi="Arial Black"/>
          <w:sz w:val="28"/>
          <w:szCs w:val="28"/>
        </w:rPr>
        <w:t>NH: POLICE &amp; FIRE – CAN’T BE IN SAME UNION IN TOWN</w:t>
      </w:r>
    </w:p>
    <w:p w14:paraId="7A2E6199" w14:textId="77777777" w:rsidR="006958A3" w:rsidRDefault="006958A3" w:rsidP="006958A3">
      <w:pPr>
        <w:pStyle w:val="NoSpacing"/>
        <w:rPr>
          <w:bCs/>
        </w:rPr>
      </w:pPr>
    </w:p>
    <w:p w14:paraId="606315BA" w14:textId="77777777" w:rsidR="006958A3" w:rsidRPr="008A2AE6" w:rsidRDefault="006958A3" w:rsidP="006958A3">
      <w:pPr>
        <w:pStyle w:val="NoSpacing"/>
        <w:rPr>
          <w:rFonts w:ascii="Times New Roman" w:hAnsi="Times New Roman"/>
          <w:bCs/>
          <w:sz w:val="24"/>
          <w:szCs w:val="24"/>
        </w:rPr>
      </w:pPr>
      <w:r w:rsidRPr="008A2AE6">
        <w:rPr>
          <w:rFonts w:ascii="Times New Roman" w:hAnsi="Times New Roman"/>
          <w:sz w:val="24"/>
          <w:szCs w:val="24"/>
        </w:rPr>
        <w:t xml:space="preserve">On March 26, 2025, in </w:t>
      </w:r>
      <w:r w:rsidRPr="008A2AE6">
        <w:rPr>
          <w:rFonts w:ascii="Times New Roman" w:hAnsi="Times New Roman"/>
          <w:sz w:val="24"/>
          <w:szCs w:val="24"/>
          <w:u w:val="single"/>
        </w:rPr>
        <w:t xml:space="preserve">Appeal </w:t>
      </w:r>
      <w:proofErr w:type="gramStart"/>
      <w:r w:rsidRPr="008A2AE6">
        <w:rPr>
          <w:rFonts w:ascii="Times New Roman" w:hAnsi="Times New Roman"/>
          <w:sz w:val="24"/>
          <w:szCs w:val="24"/>
          <w:u w:val="single"/>
        </w:rPr>
        <w:t>Of</w:t>
      </w:r>
      <w:proofErr w:type="gramEnd"/>
      <w:r w:rsidRPr="008A2AE6">
        <w:rPr>
          <w:rFonts w:ascii="Times New Roman" w:hAnsi="Times New Roman"/>
          <w:sz w:val="24"/>
          <w:szCs w:val="24"/>
          <w:u w:val="single"/>
        </w:rPr>
        <w:t xml:space="preserve"> Town </w:t>
      </w:r>
      <w:proofErr w:type="gramStart"/>
      <w:r w:rsidRPr="008A2AE6">
        <w:rPr>
          <w:rFonts w:ascii="Times New Roman" w:hAnsi="Times New Roman"/>
          <w:sz w:val="24"/>
          <w:szCs w:val="24"/>
          <w:u w:val="single"/>
        </w:rPr>
        <w:t>Of</w:t>
      </w:r>
      <w:proofErr w:type="gramEnd"/>
      <w:r w:rsidRPr="008A2AE6">
        <w:rPr>
          <w:rFonts w:ascii="Times New Roman" w:hAnsi="Times New Roman"/>
          <w:sz w:val="24"/>
          <w:szCs w:val="24"/>
          <w:u w:val="single"/>
        </w:rPr>
        <w:t xml:space="preserve"> Barnstead, (New Hampshire Public Employee Labor Relations Board)</w:t>
      </w:r>
      <w:r w:rsidRPr="008A2AE6">
        <w:rPr>
          <w:rFonts w:ascii="Times New Roman" w:hAnsi="Times New Roman"/>
          <w:sz w:val="24"/>
          <w:szCs w:val="24"/>
        </w:rPr>
        <w:t xml:space="preserve"> the New Hampshire Supreme Court held (4 to 0) that the New Hampshire Public Employee Labor Relations Board (PELRB) improperly certified a bargaining unit comprised of employees from the Town’s police and fire departments. “Notwithstanding the PELRB’s findings, which derive primarily from the fact that police and fire department employees all work for the Town, we conclude that the record does not support the conclusion that there exists a community of interest in working conditions such that it is reasonable for the employees to negotiate jointly.” </w:t>
      </w:r>
      <w:hyperlink r:id="rId2768" w:history="1">
        <w:r w:rsidRPr="008A2AE6">
          <w:rPr>
            <w:rStyle w:val="Hyperlink"/>
            <w:rFonts w:ascii="Times New Roman" w:hAnsi="Times New Roman"/>
            <w:sz w:val="24"/>
            <w:szCs w:val="24"/>
          </w:rPr>
          <w:t>https://cases.justia.com/new-hampshire/supreme-court/2025-2024-0097.pdf?ts=1742996506</w:t>
        </w:r>
      </w:hyperlink>
      <w:r w:rsidRPr="008A2AE6">
        <w:rPr>
          <w:rFonts w:ascii="Times New Roman" w:hAnsi="Times New Roman"/>
          <w:sz w:val="24"/>
          <w:szCs w:val="24"/>
        </w:rPr>
        <w:t xml:space="preserve"> </w:t>
      </w:r>
    </w:p>
    <w:p w14:paraId="4329DFB0" w14:textId="77777777" w:rsidR="00F367A4" w:rsidRPr="008A2AE6" w:rsidRDefault="00F367A4" w:rsidP="00F326E5">
      <w:pPr>
        <w:pStyle w:val="NoSpacing"/>
        <w:rPr>
          <w:rFonts w:ascii="Times New Roman" w:hAnsi="Times New Roman"/>
          <w:sz w:val="24"/>
          <w:szCs w:val="24"/>
        </w:rPr>
      </w:pPr>
    </w:p>
    <w:p w14:paraId="47C071E1" w14:textId="77777777" w:rsidR="008A2AE6" w:rsidRPr="008A2AE6" w:rsidRDefault="008A2AE6" w:rsidP="008A2AE6">
      <w:pPr>
        <w:pStyle w:val="NoSpacing"/>
        <w:rPr>
          <w:rFonts w:ascii="Times New Roman" w:hAnsi="Times New Roman"/>
          <w:b/>
          <w:sz w:val="24"/>
          <w:szCs w:val="24"/>
        </w:rPr>
      </w:pPr>
      <w:r w:rsidRPr="008A2AE6">
        <w:rPr>
          <w:rFonts w:ascii="Times New Roman" w:hAnsi="Times New Roman"/>
          <w:b/>
          <w:sz w:val="24"/>
          <w:szCs w:val="24"/>
        </w:rPr>
        <w:t xml:space="preserve">Legal Lesson Learned: Police and fire have different duties and under NH law should not be in the same collective bargaining unit. </w:t>
      </w:r>
    </w:p>
    <w:p w14:paraId="3CDDA6D2" w14:textId="77777777" w:rsidR="008A2AE6" w:rsidRPr="008A2AE6" w:rsidRDefault="008A2AE6" w:rsidP="008A2AE6">
      <w:pPr>
        <w:rPr>
          <w:rFonts w:ascii="Times New Roman" w:hAnsi="Times New Roman"/>
          <w:sz w:val="24"/>
          <w:szCs w:val="24"/>
        </w:rPr>
      </w:pPr>
    </w:p>
    <w:p w14:paraId="45CC4002" w14:textId="77777777" w:rsidR="008A2AE6" w:rsidRDefault="008A2AE6" w:rsidP="00F326E5">
      <w:pPr>
        <w:pStyle w:val="NoSpacing"/>
        <w:rPr>
          <w:rFonts w:ascii="Arial Black" w:hAnsi="Arial Black"/>
          <w:sz w:val="24"/>
          <w:szCs w:val="24"/>
        </w:rPr>
      </w:pPr>
    </w:p>
    <w:p w14:paraId="30B3392F" w14:textId="77777777" w:rsidR="00F367A4" w:rsidRDefault="00F367A4" w:rsidP="00F326E5">
      <w:pPr>
        <w:pStyle w:val="NoSpacing"/>
        <w:rPr>
          <w:rFonts w:ascii="Arial Black" w:hAnsi="Arial Black"/>
          <w:sz w:val="24"/>
          <w:szCs w:val="24"/>
        </w:rPr>
      </w:pPr>
    </w:p>
    <w:p w14:paraId="78E0A541" w14:textId="77777777" w:rsidR="00F367A4" w:rsidRDefault="00F367A4" w:rsidP="00F326E5">
      <w:pPr>
        <w:pStyle w:val="NoSpacing"/>
        <w:rPr>
          <w:rFonts w:ascii="Arial Black" w:hAnsi="Arial Black"/>
          <w:sz w:val="24"/>
          <w:szCs w:val="24"/>
        </w:rPr>
      </w:pPr>
    </w:p>
    <w:p w14:paraId="23057ED1" w14:textId="66A5920B" w:rsidR="00766306" w:rsidRDefault="00766306" w:rsidP="00F326E5">
      <w:pPr>
        <w:pStyle w:val="NoSpacing"/>
        <w:rPr>
          <w:rFonts w:ascii="Arial Black" w:hAnsi="Arial Black"/>
          <w:sz w:val="24"/>
          <w:szCs w:val="24"/>
        </w:rPr>
      </w:pPr>
      <w:r>
        <w:rPr>
          <w:rFonts w:ascii="Arial Black" w:hAnsi="Arial Black"/>
          <w:sz w:val="24"/>
          <w:szCs w:val="24"/>
        </w:rPr>
        <w:t>17-49</w:t>
      </w:r>
    </w:p>
    <w:p w14:paraId="11690BCB" w14:textId="77777777" w:rsidR="00766306" w:rsidRDefault="00766306" w:rsidP="00F326E5">
      <w:pPr>
        <w:pStyle w:val="NoSpacing"/>
        <w:rPr>
          <w:rFonts w:ascii="Arial Black" w:hAnsi="Arial Black"/>
          <w:sz w:val="24"/>
          <w:szCs w:val="24"/>
        </w:rPr>
      </w:pPr>
    </w:p>
    <w:p w14:paraId="03376A93" w14:textId="77777777" w:rsidR="00766306" w:rsidRPr="00447084" w:rsidRDefault="00766306" w:rsidP="00766306">
      <w:pPr>
        <w:pStyle w:val="NoSpacing"/>
        <w:rPr>
          <w:rFonts w:ascii="Arial Black" w:hAnsi="Arial Black"/>
          <w:bCs/>
          <w:sz w:val="28"/>
          <w:szCs w:val="28"/>
        </w:rPr>
      </w:pPr>
      <w:r>
        <w:rPr>
          <w:rFonts w:ascii="Arial Black" w:hAnsi="Arial Black"/>
          <w:sz w:val="28"/>
          <w:szCs w:val="28"/>
        </w:rPr>
        <w:t>NY: FDNY - COVID - LEAVE W/O PAY – NO ARBITRABLE</w:t>
      </w:r>
    </w:p>
    <w:p w14:paraId="00002D5F" w14:textId="77777777" w:rsidR="00766306" w:rsidRDefault="00766306" w:rsidP="00766306">
      <w:pPr>
        <w:pStyle w:val="NoSpacing"/>
        <w:rPr>
          <w:bCs/>
        </w:rPr>
      </w:pPr>
    </w:p>
    <w:p w14:paraId="21D9502F" w14:textId="77777777" w:rsidR="00766306" w:rsidRPr="00F367A4" w:rsidRDefault="00766306" w:rsidP="00766306">
      <w:pPr>
        <w:pStyle w:val="NoSpacing"/>
        <w:rPr>
          <w:rFonts w:ascii="Times New Roman" w:hAnsi="Times New Roman"/>
          <w:sz w:val="24"/>
          <w:szCs w:val="24"/>
        </w:rPr>
      </w:pPr>
      <w:r w:rsidRPr="00F367A4">
        <w:rPr>
          <w:rFonts w:ascii="Times New Roman" w:hAnsi="Times New Roman"/>
          <w:sz w:val="24"/>
          <w:szCs w:val="24"/>
        </w:rPr>
        <w:t xml:space="preserve">On March 18, 2025, in </w:t>
      </w:r>
      <w:r w:rsidRPr="00F367A4">
        <w:rPr>
          <w:rFonts w:ascii="Times New Roman" w:hAnsi="Times New Roman"/>
          <w:sz w:val="24"/>
          <w:szCs w:val="24"/>
          <w:u w:val="single"/>
        </w:rPr>
        <w:t xml:space="preserve">In </w:t>
      </w:r>
      <w:proofErr w:type="gramStart"/>
      <w:r w:rsidRPr="00F367A4">
        <w:rPr>
          <w:rFonts w:ascii="Times New Roman" w:hAnsi="Times New Roman"/>
          <w:sz w:val="24"/>
          <w:szCs w:val="24"/>
          <w:u w:val="single"/>
        </w:rPr>
        <w:t>The</w:t>
      </w:r>
      <w:proofErr w:type="gramEnd"/>
      <w:r w:rsidRPr="00F367A4">
        <w:rPr>
          <w:rFonts w:ascii="Times New Roman" w:hAnsi="Times New Roman"/>
          <w:sz w:val="24"/>
          <w:szCs w:val="24"/>
          <w:u w:val="single"/>
        </w:rPr>
        <w:t xml:space="preserve"> Matter of Uniformed Firefighters Association of Greater New York, Local 94, IAFF, AFL-CIO v. The City of New York</w:t>
      </w:r>
      <w:r w:rsidRPr="00F367A4">
        <w:rPr>
          <w:rFonts w:ascii="Times New Roman" w:hAnsi="Times New Roman"/>
          <w:sz w:val="24"/>
          <w:szCs w:val="24"/>
        </w:rPr>
        <w:t xml:space="preserve">, the NY Supreme Court, Appellate Division, First Department, held (5 to 0) that the trial court judge properly upheld the decision of New York City Board of Collective Bargaining (BCB) that the union’s grievance regarding placing firefighters on leave without pay (LWOP) was not arbitrable.  “The Board rationally found … that there was no ‘reasonable relationship between the subject matter of the dispute and the general subject matter of the CBA.’” </w:t>
      </w:r>
      <w:hyperlink r:id="rId2769" w:history="1">
        <w:r w:rsidRPr="00F367A4">
          <w:rPr>
            <w:rStyle w:val="Hyperlink"/>
            <w:rFonts w:ascii="Times New Roman" w:hAnsi="Times New Roman"/>
            <w:sz w:val="24"/>
            <w:szCs w:val="24"/>
          </w:rPr>
          <w:t>https://caselaw.findlaw.com/court/ny-supreme-court-appellate-division/117059772.html</w:t>
        </w:r>
      </w:hyperlink>
      <w:r w:rsidRPr="00F367A4">
        <w:rPr>
          <w:rFonts w:ascii="Times New Roman" w:hAnsi="Times New Roman"/>
          <w:sz w:val="24"/>
          <w:szCs w:val="24"/>
        </w:rPr>
        <w:t xml:space="preserve"> </w:t>
      </w:r>
    </w:p>
    <w:p w14:paraId="28E5EE2A" w14:textId="77777777" w:rsidR="00766306" w:rsidRPr="00F367A4" w:rsidRDefault="00766306" w:rsidP="00766306">
      <w:pPr>
        <w:pStyle w:val="NoSpacing"/>
        <w:rPr>
          <w:rFonts w:ascii="Times New Roman" w:hAnsi="Times New Roman"/>
          <w:sz w:val="24"/>
          <w:szCs w:val="24"/>
        </w:rPr>
      </w:pPr>
    </w:p>
    <w:p w14:paraId="1CC02AD5" w14:textId="77777777" w:rsidR="00F367A4" w:rsidRPr="00F367A4" w:rsidRDefault="00F367A4" w:rsidP="00F367A4">
      <w:pPr>
        <w:pStyle w:val="NoSpacing"/>
        <w:rPr>
          <w:rFonts w:ascii="Times New Roman" w:hAnsi="Times New Roman"/>
          <w:b/>
          <w:bCs/>
          <w:sz w:val="24"/>
          <w:szCs w:val="24"/>
        </w:rPr>
      </w:pPr>
      <w:r w:rsidRPr="00F367A4">
        <w:rPr>
          <w:rFonts w:ascii="Times New Roman" w:hAnsi="Times New Roman"/>
          <w:b/>
          <w:sz w:val="24"/>
          <w:szCs w:val="24"/>
        </w:rPr>
        <w:t>Legal Lesson Learned:  The CBA does not restrict the FD from placing fire department from putting firefighters on leave without pay “when these members fail to satisfy a condition of employment.”</w:t>
      </w:r>
    </w:p>
    <w:p w14:paraId="4EFAB67B" w14:textId="77777777" w:rsidR="00766306" w:rsidRPr="00F367A4" w:rsidRDefault="00766306" w:rsidP="00F326E5">
      <w:pPr>
        <w:pStyle w:val="NoSpacing"/>
        <w:rPr>
          <w:rFonts w:ascii="Times New Roman" w:hAnsi="Times New Roman"/>
          <w:sz w:val="24"/>
          <w:szCs w:val="24"/>
        </w:rPr>
      </w:pPr>
    </w:p>
    <w:p w14:paraId="1775034F" w14:textId="77777777" w:rsidR="00766306" w:rsidRDefault="00766306" w:rsidP="00F326E5">
      <w:pPr>
        <w:pStyle w:val="NoSpacing"/>
        <w:rPr>
          <w:rFonts w:ascii="Arial Black" w:hAnsi="Arial Black"/>
          <w:sz w:val="24"/>
          <w:szCs w:val="24"/>
        </w:rPr>
      </w:pPr>
    </w:p>
    <w:p w14:paraId="269EB134" w14:textId="24DEEE9F" w:rsidR="00673952" w:rsidRDefault="00673952" w:rsidP="00F326E5">
      <w:pPr>
        <w:pStyle w:val="NoSpacing"/>
        <w:rPr>
          <w:rFonts w:ascii="Arial Black" w:hAnsi="Arial Black"/>
          <w:sz w:val="24"/>
          <w:szCs w:val="24"/>
        </w:rPr>
      </w:pPr>
      <w:r>
        <w:rPr>
          <w:rFonts w:ascii="Arial Black" w:hAnsi="Arial Black"/>
          <w:sz w:val="24"/>
          <w:szCs w:val="24"/>
        </w:rPr>
        <w:t>17-48</w:t>
      </w:r>
    </w:p>
    <w:p w14:paraId="43691976" w14:textId="77777777" w:rsidR="00673952" w:rsidRDefault="00673952" w:rsidP="00F326E5">
      <w:pPr>
        <w:pStyle w:val="NoSpacing"/>
        <w:rPr>
          <w:rFonts w:ascii="Arial Black" w:hAnsi="Arial Black"/>
          <w:sz w:val="24"/>
          <w:szCs w:val="24"/>
        </w:rPr>
      </w:pPr>
    </w:p>
    <w:p w14:paraId="7475A88C" w14:textId="77777777" w:rsidR="00673952" w:rsidRPr="00041DFC" w:rsidRDefault="00673952" w:rsidP="00673952">
      <w:pPr>
        <w:pStyle w:val="NoSpacing"/>
        <w:rPr>
          <w:rFonts w:ascii="Arial Black" w:hAnsi="Arial Black"/>
          <w:sz w:val="28"/>
          <w:szCs w:val="28"/>
        </w:rPr>
      </w:pPr>
      <w:r>
        <w:rPr>
          <w:rFonts w:ascii="Arial Black" w:hAnsi="Arial Black"/>
          <w:sz w:val="28"/>
          <w:szCs w:val="28"/>
        </w:rPr>
        <w:t>IL: CBA - INJURED FF – WORK COMP AT PART-TIME RATE</w:t>
      </w:r>
    </w:p>
    <w:p w14:paraId="60CFF8F2" w14:textId="77777777" w:rsidR="00673952" w:rsidRPr="00673952" w:rsidRDefault="00673952" w:rsidP="00673952">
      <w:pPr>
        <w:pStyle w:val="NoSpacing"/>
        <w:rPr>
          <w:rFonts w:ascii="Times New Roman" w:hAnsi="Times New Roman"/>
          <w:sz w:val="24"/>
          <w:szCs w:val="24"/>
        </w:rPr>
      </w:pPr>
    </w:p>
    <w:p w14:paraId="258E3FF2" w14:textId="77777777" w:rsidR="00673952" w:rsidRPr="00673952" w:rsidRDefault="00673952" w:rsidP="00673952">
      <w:pPr>
        <w:pStyle w:val="NoSpacing"/>
        <w:rPr>
          <w:rFonts w:ascii="Times New Roman" w:hAnsi="Times New Roman"/>
          <w:sz w:val="24"/>
          <w:szCs w:val="24"/>
        </w:rPr>
      </w:pPr>
      <w:r w:rsidRPr="00673952">
        <w:rPr>
          <w:rFonts w:ascii="Times New Roman" w:hAnsi="Times New Roman"/>
          <w:sz w:val="24"/>
          <w:szCs w:val="24"/>
        </w:rPr>
        <w:t xml:space="preserve">On Jan. 17, 2025, in </w:t>
      </w:r>
      <w:r w:rsidRPr="00673952">
        <w:rPr>
          <w:rFonts w:ascii="Times New Roman" w:hAnsi="Times New Roman"/>
          <w:sz w:val="24"/>
          <w:szCs w:val="24"/>
          <w:u w:val="single"/>
        </w:rPr>
        <w:t>Village of Roselle v. The Illinois Worker’s Compensation Commission, et al. (Glen Thomas, Appellee)</w:t>
      </w:r>
      <w:r w:rsidRPr="00673952">
        <w:rPr>
          <w:rFonts w:ascii="Times New Roman" w:hAnsi="Times New Roman"/>
          <w:sz w:val="24"/>
          <w:szCs w:val="24"/>
        </w:rPr>
        <w:t xml:space="preserve">, the Court of Appeals of Illinois, Third District held (5 to 0) reversed an Arbitrator and the Commission on the calculation of the “wage-differential” award to Village part-time firefighter Glen Thomas.  He suffered a permanent partial disability (shoulder injury at fire on Feb. 17, 2015) but was able to return to work full time as a public service employee with the Village until </w:t>
      </w:r>
      <w:proofErr w:type="gramStart"/>
      <w:r w:rsidRPr="00673952">
        <w:rPr>
          <w:rFonts w:ascii="Times New Roman" w:hAnsi="Times New Roman"/>
          <w:sz w:val="24"/>
          <w:szCs w:val="24"/>
        </w:rPr>
        <w:t>retiring</w:t>
      </w:r>
      <w:proofErr w:type="gramEnd"/>
      <w:r w:rsidRPr="00673952">
        <w:rPr>
          <w:rFonts w:ascii="Times New Roman" w:hAnsi="Times New Roman"/>
          <w:sz w:val="24"/>
          <w:szCs w:val="24"/>
        </w:rPr>
        <w:t xml:space="preserve"> on April 29, 2022.  He is entitled under state law to a “wage-differential award</w:t>
      </w:r>
      <w:proofErr w:type="gramStart"/>
      <w:r w:rsidRPr="00673952">
        <w:rPr>
          <w:rFonts w:ascii="Times New Roman" w:hAnsi="Times New Roman"/>
          <w:sz w:val="24"/>
          <w:szCs w:val="24"/>
        </w:rPr>
        <w:t>”</w:t>
      </w:r>
      <w:proofErr w:type="gramEnd"/>
      <w:r w:rsidRPr="00673952">
        <w:rPr>
          <w:rFonts w:ascii="Times New Roman" w:hAnsi="Times New Roman"/>
          <w:sz w:val="24"/>
          <w:szCs w:val="24"/>
        </w:rPr>
        <w:t xml:space="preserve"> but the Court held it is to be calculated only based on normal firefighter pay of $19.15 per hour, not the CBA rate of 1.5 times his public works pay rate ($32.55, using 1.5 multiplier times $21.70). He will therefore receive $374.19 per week </w:t>
      </w:r>
      <w:proofErr w:type="gramStart"/>
      <w:r w:rsidRPr="00673952">
        <w:rPr>
          <w:rFonts w:ascii="Times New Roman" w:hAnsi="Times New Roman"/>
          <w:sz w:val="24"/>
          <w:szCs w:val="24"/>
        </w:rPr>
        <w:t>until</w:t>
      </w:r>
      <w:proofErr w:type="gramEnd"/>
      <w:r w:rsidRPr="00673952">
        <w:rPr>
          <w:rFonts w:ascii="Times New Roman" w:hAnsi="Times New Roman"/>
          <w:sz w:val="24"/>
          <w:szCs w:val="24"/>
        </w:rPr>
        <w:t xml:space="preserve"> social security and not $636.03 per week that the Arbitrator and Commission awarded him. </w:t>
      </w:r>
      <w:hyperlink r:id="rId2770" w:history="1">
        <w:r w:rsidRPr="00673952">
          <w:rPr>
            <w:rStyle w:val="Hyperlink"/>
            <w:rFonts w:ascii="Times New Roman" w:hAnsi="Times New Roman"/>
            <w:sz w:val="24"/>
            <w:szCs w:val="24"/>
          </w:rPr>
          <w:t>https://ilcourtsaudio.blob.core.windows.net/antilles-resources/resources/7509d61b-3a3a-4986-bb3a-7cce5964f936/Village%20of%20Roselle%20v.%20Illinois%20Workers'%20Compensation%20Comm'n,%202025%20IL%20App%20(3rd)%20240306WC-U.pdf</w:t>
        </w:r>
      </w:hyperlink>
      <w:r w:rsidRPr="00673952">
        <w:rPr>
          <w:rFonts w:ascii="Times New Roman" w:hAnsi="Times New Roman"/>
          <w:sz w:val="24"/>
          <w:szCs w:val="24"/>
        </w:rPr>
        <w:t xml:space="preserve"> </w:t>
      </w:r>
    </w:p>
    <w:p w14:paraId="5D37ED32" w14:textId="77777777" w:rsidR="00673952" w:rsidRPr="00673952" w:rsidRDefault="00673952" w:rsidP="00673952">
      <w:pPr>
        <w:pStyle w:val="NoSpacing"/>
        <w:rPr>
          <w:rFonts w:ascii="Times New Roman" w:hAnsi="Times New Roman"/>
          <w:sz w:val="24"/>
          <w:szCs w:val="24"/>
        </w:rPr>
      </w:pPr>
    </w:p>
    <w:p w14:paraId="45937F8A" w14:textId="77777777" w:rsidR="00673952" w:rsidRPr="00673952" w:rsidRDefault="00673952" w:rsidP="00673952">
      <w:pPr>
        <w:rPr>
          <w:rFonts w:ascii="Times New Roman" w:hAnsi="Times New Roman"/>
          <w:sz w:val="24"/>
          <w:szCs w:val="24"/>
        </w:rPr>
      </w:pPr>
      <w:r w:rsidRPr="00673952">
        <w:rPr>
          <w:rFonts w:ascii="Times New Roman" w:hAnsi="Times New Roman"/>
          <w:sz w:val="24"/>
          <w:szCs w:val="24"/>
        </w:rPr>
        <w:t>The Court held:</w:t>
      </w:r>
    </w:p>
    <w:p w14:paraId="4690ABF2" w14:textId="77777777" w:rsidR="00673952" w:rsidRPr="00673952" w:rsidRDefault="00673952" w:rsidP="00673952">
      <w:pPr>
        <w:pStyle w:val="NoSpacing"/>
        <w:ind w:left="720"/>
        <w:rPr>
          <w:rFonts w:ascii="Times New Roman" w:hAnsi="Times New Roman"/>
          <w:sz w:val="24"/>
          <w:szCs w:val="24"/>
        </w:rPr>
      </w:pPr>
      <w:r w:rsidRPr="00673952">
        <w:rPr>
          <w:rFonts w:ascii="Times New Roman" w:hAnsi="Times New Roman"/>
          <w:sz w:val="24"/>
          <w:szCs w:val="24"/>
        </w:rPr>
        <w:t xml:space="preserve">“On February 17, 2015, he was 48 years old and had been working for the Village for 15 years as a full-time public works employee and as a part-time firefighter paramedic. On that date, claimant was injured while fighting a fire. Although he was unable to ever resume work as a firefighter after the accident, he returned to his full-time duties as a public works employee on September 22, 2016. On September 28, 2021, claimant was involved in a non-work-related motorcycle accident. He was completely off work, using medical leave and </w:t>
      </w:r>
      <w:proofErr w:type="gramStart"/>
      <w:r w:rsidRPr="00673952">
        <w:rPr>
          <w:rFonts w:ascii="Times New Roman" w:hAnsi="Times New Roman"/>
          <w:sz w:val="24"/>
          <w:szCs w:val="24"/>
        </w:rPr>
        <w:t>all of</w:t>
      </w:r>
      <w:proofErr w:type="gramEnd"/>
      <w:r w:rsidRPr="00673952">
        <w:rPr>
          <w:rFonts w:ascii="Times New Roman" w:hAnsi="Times New Roman"/>
          <w:sz w:val="24"/>
          <w:szCs w:val="24"/>
        </w:rPr>
        <w:t xml:space="preserve"> his accrued vacation and sick time, until he retired from the Village on April 29, 2022.</w:t>
      </w:r>
    </w:p>
    <w:p w14:paraId="37214273" w14:textId="77777777" w:rsidR="00673952" w:rsidRPr="00673952" w:rsidRDefault="00673952" w:rsidP="00673952">
      <w:pPr>
        <w:pStyle w:val="NoSpacing"/>
        <w:ind w:left="720"/>
        <w:rPr>
          <w:rFonts w:ascii="Times New Roman" w:hAnsi="Times New Roman"/>
          <w:sz w:val="24"/>
          <w:szCs w:val="24"/>
        </w:rPr>
      </w:pPr>
    </w:p>
    <w:p w14:paraId="11FEFFF6" w14:textId="77777777" w:rsidR="00673952" w:rsidRPr="00673952" w:rsidRDefault="00673952" w:rsidP="00673952">
      <w:pPr>
        <w:pStyle w:val="NoSpacing"/>
        <w:ind w:left="720"/>
        <w:rPr>
          <w:rFonts w:ascii="Times New Roman" w:hAnsi="Times New Roman"/>
          <w:sz w:val="24"/>
          <w:szCs w:val="24"/>
        </w:rPr>
      </w:pPr>
      <w:r w:rsidRPr="00673952">
        <w:rPr>
          <w:rFonts w:ascii="Times New Roman" w:hAnsi="Times New Roman"/>
          <w:sz w:val="24"/>
          <w:szCs w:val="24"/>
        </w:rPr>
        <w:t>***</w:t>
      </w:r>
    </w:p>
    <w:p w14:paraId="7EAE2D19" w14:textId="77777777" w:rsidR="00673952" w:rsidRPr="00673952" w:rsidRDefault="00673952" w:rsidP="00673952">
      <w:pPr>
        <w:ind w:left="720"/>
        <w:rPr>
          <w:rFonts w:ascii="Times New Roman" w:hAnsi="Times New Roman"/>
          <w:sz w:val="24"/>
          <w:szCs w:val="24"/>
        </w:rPr>
      </w:pPr>
      <w:r w:rsidRPr="00673952">
        <w:rPr>
          <w:rFonts w:ascii="Times New Roman" w:hAnsi="Times New Roman"/>
          <w:sz w:val="24"/>
          <w:szCs w:val="24"/>
        </w:rPr>
        <w:t xml:space="preserve">The calculation of wage-differential benefits should be based on claimant’s hourly rate as a part-time firefighter/paramedic. It is claimant’s earning capacity as a firefighter that was affected due to the accident. Applying </w:t>
      </w:r>
      <w:proofErr w:type="gramStart"/>
      <w:r w:rsidRPr="00673952">
        <w:rPr>
          <w:rFonts w:ascii="Times New Roman" w:hAnsi="Times New Roman"/>
          <w:sz w:val="24"/>
          <w:szCs w:val="24"/>
        </w:rPr>
        <w:t>claimant’s</w:t>
      </w:r>
      <w:proofErr w:type="gramEnd"/>
      <w:r w:rsidRPr="00673952">
        <w:rPr>
          <w:rFonts w:ascii="Times New Roman" w:hAnsi="Times New Roman"/>
          <w:sz w:val="24"/>
          <w:szCs w:val="24"/>
        </w:rPr>
        <w:t xml:space="preserve"> public works employee hourly rate and the 1.5 multiplier to a wage-differential calculation would not accurately reflect the reduced earning capacity of a retired full-time village employee who was prevented from ever working as a firefighter due to his work-related injury. In other words, after retiring, claimant is not missing out on his public works full-time position pay due to the accident. Instead, he is missing out on his hourly rate as a firefighter only.</w:t>
      </w:r>
    </w:p>
    <w:p w14:paraId="7B0502C7" w14:textId="77777777" w:rsidR="00673952" w:rsidRPr="00673952" w:rsidRDefault="00673952" w:rsidP="00673952">
      <w:pPr>
        <w:ind w:left="720"/>
        <w:rPr>
          <w:rFonts w:ascii="Times New Roman" w:hAnsi="Times New Roman"/>
          <w:sz w:val="24"/>
          <w:szCs w:val="24"/>
        </w:rPr>
      </w:pPr>
      <w:r w:rsidRPr="00673952">
        <w:rPr>
          <w:rFonts w:ascii="Times New Roman" w:hAnsi="Times New Roman"/>
          <w:sz w:val="24"/>
          <w:szCs w:val="24"/>
        </w:rPr>
        <w:t>***</w:t>
      </w:r>
    </w:p>
    <w:p w14:paraId="0A487F50" w14:textId="77777777" w:rsidR="00673952" w:rsidRPr="00673952" w:rsidRDefault="00673952" w:rsidP="00673952">
      <w:pPr>
        <w:ind w:left="720"/>
        <w:rPr>
          <w:rFonts w:ascii="Times New Roman" w:hAnsi="Times New Roman"/>
          <w:sz w:val="24"/>
          <w:szCs w:val="24"/>
        </w:rPr>
      </w:pPr>
      <w:r w:rsidRPr="00673952">
        <w:rPr>
          <w:rFonts w:ascii="Times New Roman" w:hAnsi="Times New Roman"/>
          <w:sz w:val="24"/>
          <w:szCs w:val="24"/>
        </w:rPr>
        <w:t>The Village is correct that the multiplier does not apply upon claimant’s retirement. However, the Village is incorrect that the calculation of benefits should be based on claimant’s public works employee hourly rate. The calculation of wage-differential benefits should be based on claimant’s hourly rate as a part-time firefighter/paramedic.”</w:t>
      </w:r>
    </w:p>
    <w:p w14:paraId="1A48CCA6" w14:textId="77777777" w:rsidR="00673952" w:rsidRPr="00673952" w:rsidRDefault="00673952" w:rsidP="00673952">
      <w:pPr>
        <w:rPr>
          <w:rFonts w:ascii="Times New Roman" w:hAnsi="Times New Roman"/>
          <w:b/>
          <w:bCs/>
          <w:sz w:val="24"/>
          <w:szCs w:val="24"/>
        </w:rPr>
      </w:pPr>
      <w:r w:rsidRPr="00673952">
        <w:rPr>
          <w:rFonts w:ascii="Times New Roman" w:hAnsi="Times New Roman"/>
          <w:b/>
          <w:sz w:val="24"/>
          <w:szCs w:val="24"/>
        </w:rPr>
        <w:t xml:space="preserve">Legal Lesson Learned:  When drafting CBA for part-time firefighters who are also full time Village </w:t>
      </w:r>
      <w:proofErr w:type="gramStart"/>
      <w:r w:rsidRPr="00673952">
        <w:rPr>
          <w:rFonts w:ascii="Times New Roman" w:hAnsi="Times New Roman"/>
          <w:b/>
          <w:sz w:val="24"/>
          <w:szCs w:val="24"/>
        </w:rPr>
        <w:t>employee</w:t>
      </w:r>
      <w:proofErr w:type="gramEnd"/>
      <w:r w:rsidRPr="00673952">
        <w:rPr>
          <w:rFonts w:ascii="Times New Roman" w:hAnsi="Times New Roman"/>
          <w:b/>
          <w:sz w:val="24"/>
          <w:szCs w:val="24"/>
        </w:rPr>
        <w:t xml:space="preserve">, include a provision on calculation of a wage-differential award. </w:t>
      </w:r>
    </w:p>
    <w:p w14:paraId="297479E9" w14:textId="77777777" w:rsidR="00673952" w:rsidRDefault="00673952" w:rsidP="00F326E5">
      <w:pPr>
        <w:pStyle w:val="NoSpacing"/>
        <w:rPr>
          <w:rFonts w:ascii="Arial Black" w:hAnsi="Arial Black"/>
          <w:sz w:val="24"/>
          <w:szCs w:val="24"/>
        </w:rPr>
      </w:pPr>
    </w:p>
    <w:p w14:paraId="0A4F5B3E" w14:textId="77777777" w:rsidR="00673952" w:rsidRDefault="00673952" w:rsidP="00F326E5">
      <w:pPr>
        <w:pStyle w:val="NoSpacing"/>
        <w:rPr>
          <w:rFonts w:ascii="Arial Black" w:hAnsi="Arial Black"/>
          <w:sz w:val="24"/>
          <w:szCs w:val="24"/>
        </w:rPr>
      </w:pPr>
    </w:p>
    <w:p w14:paraId="480238C5" w14:textId="77777777" w:rsidR="00673952" w:rsidRDefault="00673952" w:rsidP="00F326E5">
      <w:pPr>
        <w:pStyle w:val="NoSpacing"/>
        <w:rPr>
          <w:rFonts w:ascii="Arial Black" w:hAnsi="Arial Black"/>
          <w:sz w:val="24"/>
          <w:szCs w:val="24"/>
        </w:rPr>
      </w:pPr>
    </w:p>
    <w:p w14:paraId="7EFD7357" w14:textId="216C04D6" w:rsidR="004B129E" w:rsidRDefault="009F5629" w:rsidP="00F326E5">
      <w:pPr>
        <w:pStyle w:val="NoSpacing"/>
        <w:rPr>
          <w:rFonts w:ascii="Arial Black" w:hAnsi="Arial Black"/>
          <w:sz w:val="24"/>
          <w:szCs w:val="24"/>
        </w:rPr>
      </w:pPr>
      <w:r>
        <w:rPr>
          <w:rFonts w:ascii="Arial Black" w:hAnsi="Arial Black"/>
          <w:sz w:val="24"/>
          <w:szCs w:val="24"/>
        </w:rPr>
        <w:t>17-47</w:t>
      </w:r>
    </w:p>
    <w:p w14:paraId="7A33D2B3" w14:textId="77777777" w:rsidR="009F5629" w:rsidRDefault="009F5629" w:rsidP="00F326E5">
      <w:pPr>
        <w:pStyle w:val="NoSpacing"/>
        <w:rPr>
          <w:rFonts w:ascii="Arial Black" w:hAnsi="Arial Black"/>
          <w:sz w:val="24"/>
          <w:szCs w:val="24"/>
        </w:rPr>
      </w:pPr>
    </w:p>
    <w:p w14:paraId="176F88BF" w14:textId="77777777" w:rsidR="009F5629" w:rsidRPr="00530558" w:rsidRDefault="009F5629" w:rsidP="009F5629">
      <w:pPr>
        <w:pStyle w:val="NoSpacing"/>
        <w:rPr>
          <w:rFonts w:ascii="Arial Black" w:hAnsi="Arial Black"/>
          <w:b/>
          <w:sz w:val="28"/>
          <w:szCs w:val="28"/>
        </w:rPr>
      </w:pPr>
      <w:r>
        <w:rPr>
          <w:rFonts w:ascii="Arial Black" w:hAnsi="Arial Black"/>
          <w:b/>
          <w:sz w:val="28"/>
          <w:szCs w:val="28"/>
        </w:rPr>
        <w:t>OH: FIRE ENGINE MFG – DELAY – ARBITRATION</w:t>
      </w:r>
    </w:p>
    <w:p w14:paraId="2CDDD131" w14:textId="77777777" w:rsidR="009F5629" w:rsidRDefault="009F5629" w:rsidP="009F5629">
      <w:pPr>
        <w:pStyle w:val="NoSpacing"/>
        <w:rPr>
          <w:b/>
        </w:rPr>
      </w:pPr>
    </w:p>
    <w:p w14:paraId="7DCEE8FC" w14:textId="77777777" w:rsidR="00942EF0" w:rsidRPr="00546738" w:rsidRDefault="00942EF0" w:rsidP="00546738">
      <w:pPr>
        <w:pStyle w:val="NoSpacing"/>
        <w:rPr>
          <w:rFonts w:ascii="Times New Roman" w:hAnsi="Times New Roman"/>
          <w:bCs/>
          <w:sz w:val="24"/>
          <w:szCs w:val="24"/>
        </w:rPr>
      </w:pPr>
      <w:r w:rsidRPr="00546738">
        <w:rPr>
          <w:rFonts w:ascii="Times New Roman" w:hAnsi="Times New Roman"/>
          <w:sz w:val="24"/>
          <w:szCs w:val="24"/>
        </w:rPr>
        <w:t xml:space="preserve">On Dec. 23, 2024, in </w:t>
      </w:r>
      <w:r w:rsidRPr="00546738">
        <w:rPr>
          <w:rFonts w:ascii="Times New Roman" w:hAnsi="Times New Roman"/>
          <w:sz w:val="24"/>
          <w:szCs w:val="24"/>
          <w:u w:val="single"/>
        </w:rPr>
        <w:t>Dorset Township Board of Trustees v. T-Line EV, LLC</w:t>
      </w:r>
      <w:r w:rsidRPr="00546738">
        <w:rPr>
          <w:rFonts w:ascii="Times New Roman" w:hAnsi="Times New Roman"/>
          <w:sz w:val="24"/>
          <w:szCs w:val="24"/>
        </w:rPr>
        <w:t>, the Ohio Court of Appeals for 11</w:t>
      </w:r>
      <w:r w:rsidRPr="00546738">
        <w:rPr>
          <w:rFonts w:ascii="Times New Roman" w:hAnsi="Times New Roman"/>
          <w:sz w:val="24"/>
          <w:szCs w:val="24"/>
          <w:vertAlign w:val="superscript"/>
        </w:rPr>
        <w:t>th</w:t>
      </w:r>
      <w:r w:rsidRPr="00546738">
        <w:rPr>
          <w:rFonts w:ascii="Times New Roman" w:hAnsi="Times New Roman"/>
          <w:sz w:val="24"/>
          <w:szCs w:val="24"/>
        </w:rPr>
        <w:t xml:space="preserve"> Appellate District (Ashtabula County), held (3 to 0) that trial court improperly set aside the arbitrator’s decision that found in favor of the Township.  The arbitrator awarded a “Delay Penalty” under the contract 0.5% per week (80 weeks; $7,500 based on $150,000 contract) and ordered T-Line to return their down payment ($75,000), pay for the 2007 Ferrar chassis supplied by the Township ($35000), and reimburse the Township $1,925 filing fee for the American Arbitration Association.  </w:t>
      </w:r>
      <w:hyperlink r:id="rId2771" w:history="1">
        <w:r w:rsidRPr="00546738">
          <w:rPr>
            <w:rStyle w:val="Hyperlink"/>
            <w:rFonts w:ascii="Times New Roman" w:hAnsi="Times New Roman"/>
            <w:sz w:val="24"/>
            <w:szCs w:val="24"/>
          </w:rPr>
          <w:t>https://www.supremecourt.ohio.gov/rod/docs/pdf/11/2024/2024-Ohio-6002.pdf</w:t>
        </w:r>
      </w:hyperlink>
      <w:r w:rsidRPr="00546738">
        <w:rPr>
          <w:rFonts w:ascii="Times New Roman" w:hAnsi="Times New Roman"/>
          <w:sz w:val="24"/>
          <w:szCs w:val="24"/>
        </w:rPr>
        <w:t xml:space="preserve"> </w:t>
      </w:r>
    </w:p>
    <w:p w14:paraId="05CD1771" w14:textId="77777777" w:rsidR="00942EF0" w:rsidRPr="00546738" w:rsidRDefault="00942EF0" w:rsidP="00942EF0">
      <w:pPr>
        <w:pStyle w:val="NoSpacing"/>
        <w:rPr>
          <w:rFonts w:ascii="Times New Roman" w:hAnsi="Times New Roman"/>
          <w:bCs/>
          <w:sz w:val="24"/>
          <w:szCs w:val="24"/>
        </w:rPr>
      </w:pPr>
    </w:p>
    <w:p w14:paraId="54AF1B6B" w14:textId="4F53A7BD" w:rsidR="009F5629" w:rsidRPr="00525719" w:rsidRDefault="009F5629" w:rsidP="009F5629">
      <w:pPr>
        <w:pStyle w:val="NoSpacing"/>
        <w:rPr>
          <w:rFonts w:ascii="Times New Roman" w:hAnsi="Times New Roman"/>
          <w:bCs/>
          <w:sz w:val="24"/>
          <w:szCs w:val="24"/>
        </w:rPr>
      </w:pPr>
      <w:r w:rsidRPr="00525719">
        <w:rPr>
          <w:rFonts w:ascii="Times New Roman" w:hAnsi="Times New Roman"/>
          <w:sz w:val="24"/>
          <w:szCs w:val="24"/>
        </w:rPr>
        <w:t>The Court of Appeals wrote:</w:t>
      </w:r>
    </w:p>
    <w:p w14:paraId="5CBBB0CF" w14:textId="77777777" w:rsidR="009F5629" w:rsidRPr="00525719" w:rsidRDefault="009F5629" w:rsidP="009F5629">
      <w:pPr>
        <w:pStyle w:val="NoSpacing"/>
        <w:rPr>
          <w:rFonts w:ascii="Times New Roman" w:hAnsi="Times New Roman"/>
          <w:bCs/>
          <w:sz w:val="24"/>
          <w:szCs w:val="24"/>
        </w:rPr>
      </w:pPr>
    </w:p>
    <w:p w14:paraId="277AE658"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“T-Line argued that the arbitration award should be vacated because Dorset Township was in possession of the Pumper with the improvements and that it would be inequitable to allow Dorset Township to both have the Pumper and the arbitration award.</w:t>
      </w:r>
    </w:p>
    <w:p w14:paraId="30E37C16" w14:textId="77777777" w:rsidR="009F5629" w:rsidRPr="00525719" w:rsidRDefault="009F5629" w:rsidP="009F5629">
      <w:pPr>
        <w:pStyle w:val="NoSpacing"/>
        <w:ind w:left="720"/>
        <w:rPr>
          <w:rFonts w:ascii="Times New Roman" w:hAnsi="Times New Roman"/>
          <w:bCs/>
          <w:sz w:val="24"/>
          <w:szCs w:val="24"/>
        </w:rPr>
      </w:pPr>
    </w:p>
    <w:p w14:paraId="221C21B9"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w:t>
      </w:r>
    </w:p>
    <w:p w14:paraId="2C4685DB"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The arbitration award was issued on November 22, 2022. Dorset Township filed its complaint seeking confirmation of the award on March 15, 2023. Pursuant to this</w:t>
      </w:r>
    </w:p>
    <w:p w14:paraId="2889FF9F"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provision, R.C. 2711.09, Dorset Township’s application for confirmation of the award was timely filed.</w:t>
      </w:r>
    </w:p>
    <w:p w14:paraId="5120412A" w14:textId="77777777" w:rsidR="009F5629" w:rsidRPr="00525719" w:rsidRDefault="009F5629" w:rsidP="009F5629">
      <w:pPr>
        <w:pStyle w:val="NoSpacing"/>
        <w:ind w:left="720"/>
        <w:rPr>
          <w:rFonts w:ascii="Times New Roman" w:hAnsi="Times New Roman"/>
          <w:bCs/>
          <w:sz w:val="24"/>
          <w:szCs w:val="24"/>
        </w:rPr>
      </w:pPr>
    </w:p>
    <w:p w14:paraId="5D70D042"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w:t>
      </w:r>
    </w:p>
    <w:p w14:paraId="4BF25250"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Ohio case law interpreting R.C. 2711.13 confirms the plain language of the</w:t>
      </w:r>
    </w:p>
    <w:p w14:paraId="2A4C94D7"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statute. ‘A party seeking to modify or vacate an arbitration award has up to three months</w:t>
      </w:r>
    </w:p>
    <w:p w14:paraId="56F6C469"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from the date of the award to file its motion.’ … Here, T-Line’s application to vacate the arbitration award was filed on June 27, 2023, while the arbitration award was issued on November 21, 2022. It is apparent that T-Line’s motion was out of rule.</w:t>
      </w:r>
    </w:p>
    <w:p w14:paraId="53D9D4D9" w14:textId="77777777" w:rsidR="009F5629" w:rsidRPr="00525719" w:rsidRDefault="009F5629" w:rsidP="009F5629">
      <w:pPr>
        <w:pStyle w:val="NoSpacing"/>
        <w:ind w:left="720"/>
        <w:rPr>
          <w:rFonts w:ascii="Times New Roman" w:hAnsi="Times New Roman"/>
          <w:bCs/>
          <w:sz w:val="24"/>
          <w:szCs w:val="24"/>
        </w:rPr>
      </w:pPr>
    </w:p>
    <w:p w14:paraId="66C76777"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w:t>
      </w:r>
    </w:p>
    <w:p w14:paraId="0AD929E2" w14:textId="77777777" w:rsidR="009F5629" w:rsidRPr="00525719" w:rsidRDefault="009F5629" w:rsidP="009F5629">
      <w:pPr>
        <w:pStyle w:val="NoSpacing"/>
        <w:ind w:left="720"/>
        <w:rPr>
          <w:rFonts w:ascii="Times New Roman" w:hAnsi="Times New Roman"/>
          <w:bCs/>
          <w:sz w:val="24"/>
          <w:szCs w:val="24"/>
        </w:rPr>
      </w:pPr>
      <w:r w:rsidRPr="00525719">
        <w:rPr>
          <w:rFonts w:ascii="Times New Roman" w:hAnsi="Times New Roman"/>
          <w:sz w:val="24"/>
          <w:szCs w:val="24"/>
        </w:rPr>
        <w:t xml:space="preserve">Proceeding </w:t>
      </w:r>
      <w:proofErr w:type="gramStart"/>
      <w:r w:rsidRPr="00525719">
        <w:rPr>
          <w:rFonts w:ascii="Times New Roman" w:hAnsi="Times New Roman"/>
          <w:sz w:val="24"/>
          <w:szCs w:val="24"/>
        </w:rPr>
        <w:t>on</w:t>
      </w:r>
      <w:proofErr w:type="gramEnd"/>
      <w:r w:rsidRPr="00525719">
        <w:rPr>
          <w:rFonts w:ascii="Times New Roman" w:hAnsi="Times New Roman"/>
          <w:sz w:val="24"/>
          <w:szCs w:val="24"/>
        </w:rPr>
        <w:t xml:space="preserve"> the timely application of Dorset Township to confirm the award, the trial court was required to confirm the award as no timely application to modify or vacate was made. The record shows that the trial court exceeded its authority in not doing so.”</w:t>
      </w:r>
    </w:p>
    <w:p w14:paraId="4123DA03" w14:textId="3A14797E" w:rsidR="009F5629" w:rsidRPr="00525719" w:rsidRDefault="009F5629" w:rsidP="00525719">
      <w:pPr>
        <w:pStyle w:val="NoSpacing"/>
        <w:ind w:firstLine="720"/>
        <w:rPr>
          <w:rFonts w:ascii="Times New Roman" w:hAnsi="Times New Roman"/>
          <w:sz w:val="24"/>
          <w:szCs w:val="24"/>
        </w:rPr>
      </w:pPr>
      <w:r w:rsidRPr="00525719">
        <w:rPr>
          <w:rFonts w:ascii="Times New Roman" w:hAnsi="Times New Roman"/>
          <w:sz w:val="24"/>
          <w:szCs w:val="24"/>
        </w:rPr>
        <w:t xml:space="preserve"> </w:t>
      </w:r>
    </w:p>
    <w:p w14:paraId="64BFC785" w14:textId="77777777" w:rsidR="009F5629" w:rsidRPr="00525719" w:rsidRDefault="009F5629" w:rsidP="00F326E5">
      <w:pPr>
        <w:pStyle w:val="NoSpacing"/>
        <w:rPr>
          <w:rFonts w:ascii="Times New Roman" w:hAnsi="Times New Roman"/>
          <w:sz w:val="24"/>
          <w:szCs w:val="24"/>
        </w:rPr>
      </w:pPr>
    </w:p>
    <w:p w14:paraId="5B07D855" w14:textId="77777777" w:rsidR="009E2025" w:rsidRPr="009E2025" w:rsidRDefault="009E2025" w:rsidP="009E2025">
      <w:pPr>
        <w:pStyle w:val="NoSpacing"/>
        <w:rPr>
          <w:rFonts w:ascii="Times New Roman" w:hAnsi="Times New Roman"/>
          <w:bCs/>
          <w:sz w:val="24"/>
          <w:szCs w:val="24"/>
        </w:rPr>
      </w:pPr>
      <w:r w:rsidRPr="009E2025">
        <w:rPr>
          <w:rFonts w:ascii="Times New Roman" w:hAnsi="Times New Roman"/>
          <w:sz w:val="24"/>
          <w:szCs w:val="24"/>
        </w:rPr>
        <w:t>HOLDING:</w:t>
      </w:r>
    </w:p>
    <w:p w14:paraId="570310D1" w14:textId="77777777" w:rsidR="009E2025" w:rsidRPr="009E2025" w:rsidRDefault="009E2025" w:rsidP="009E2025">
      <w:pPr>
        <w:pStyle w:val="NoSpacing"/>
        <w:rPr>
          <w:rFonts w:ascii="Times New Roman" w:hAnsi="Times New Roman"/>
          <w:bCs/>
          <w:sz w:val="24"/>
          <w:szCs w:val="24"/>
        </w:rPr>
      </w:pPr>
    </w:p>
    <w:p w14:paraId="2BA8F6E5" w14:textId="77777777" w:rsidR="009E2025" w:rsidRPr="009E2025" w:rsidRDefault="009E2025" w:rsidP="009E2025">
      <w:pPr>
        <w:pStyle w:val="NoSpacing"/>
        <w:ind w:left="720"/>
        <w:rPr>
          <w:rFonts w:ascii="Times New Roman" w:hAnsi="Times New Roman"/>
          <w:bCs/>
          <w:sz w:val="24"/>
          <w:szCs w:val="24"/>
        </w:rPr>
      </w:pPr>
      <w:r w:rsidRPr="009E2025">
        <w:rPr>
          <w:rFonts w:ascii="Times New Roman" w:hAnsi="Times New Roman"/>
          <w:sz w:val="24"/>
          <w:szCs w:val="24"/>
        </w:rPr>
        <w:t>“Accordingly, the decision of the Ashtabula County Court of Common Pleas is reversed and remanded for a decision consistent with this Court’s opinion. As the applicable law and facts do not provide a basis for the trial court to do anything other than confirm the arbitrator’s award, the trial court is expressly directed to do so.”</w:t>
      </w:r>
    </w:p>
    <w:p w14:paraId="0C148849" w14:textId="77777777" w:rsidR="009E2025" w:rsidRPr="009E2025" w:rsidRDefault="009E2025" w:rsidP="009E2025">
      <w:pPr>
        <w:pStyle w:val="NoSpacing"/>
        <w:ind w:left="720"/>
        <w:rPr>
          <w:rFonts w:ascii="Times New Roman" w:hAnsi="Times New Roman"/>
          <w:bCs/>
          <w:sz w:val="24"/>
          <w:szCs w:val="24"/>
        </w:rPr>
      </w:pPr>
    </w:p>
    <w:p w14:paraId="0ABD0AE0" w14:textId="31B5AA31" w:rsidR="009E2025" w:rsidRPr="009E2025" w:rsidRDefault="009E2025" w:rsidP="009E2025">
      <w:pPr>
        <w:pStyle w:val="NoSpacing"/>
        <w:rPr>
          <w:rFonts w:ascii="Times New Roman" w:hAnsi="Times New Roman"/>
          <w:b/>
          <w:sz w:val="24"/>
          <w:szCs w:val="24"/>
        </w:rPr>
      </w:pPr>
      <w:r w:rsidRPr="009E2025">
        <w:rPr>
          <w:rFonts w:ascii="Times New Roman" w:hAnsi="Times New Roman"/>
          <w:b/>
          <w:sz w:val="24"/>
          <w:szCs w:val="24"/>
        </w:rPr>
        <w:t xml:space="preserve">Legal Lesson Learned:  An arbitration provision in a contract to purchase or refurbish an engine is an effective way to resolve </w:t>
      </w:r>
      <w:r>
        <w:rPr>
          <w:rFonts w:ascii="Times New Roman" w:hAnsi="Times New Roman"/>
          <w:b/>
          <w:sz w:val="24"/>
          <w:szCs w:val="24"/>
        </w:rPr>
        <w:t xml:space="preserve">a </w:t>
      </w:r>
      <w:r w:rsidRPr="009E2025">
        <w:rPr>
          <w:rFonts w:ascii="Times New Roman" w:hAnsi="Times New Roman"/>
          <w:b/>
          <w:sz w:val="24"/>
          <w:szCs w:val="24"/>
        </w:rPr>
        <w:t>dispute</w:t>
      </w:r>
      <w:r>
        <w:rPr>
          <w:rFonts w:ascii="Times New Roman" w:hAnsi="Times New Roman"/>
          <w:b/>
          <w:sz w:val="24"/>
          <w:szCs w:val="24"/>
        </w:rPr>
        <w:t xml:space="preserve">.  </w:t>
      </w:r>
      <w:r w:rsidRPr="009E2025">
        <w:rPr>
          <w:rFonts w:ascii="Times New Roman" w:hAnsi="Times New Roman"/>
          <w:b/>
          <w:sz w:val="24"/>
          <w:szCs w:val="24"/>
        </w:rPr>
        <w:t xml:space="preserve"> </w:t>
      </w:r>
    </w:p>
    <w:p w14:paraId="1156E940" w14:textId="77777777" w:rsidR="009E2025" w:rsidRPr="009E2025" w:rsidRDefault="009E2025" w:rsidP="009E2025">
      <w:pPr>
        <w:pStyle w:val="NoSpacing"/>
        <w:rPr>
          <w:rFonts w:ascii="Times New Roman" w:hAnsi="Times New Roman"/>
          <w:bCs/>
          <w:sz w:val="24"/>
          <w:szCs w:val="24"/>
        </w:rPr>
      </w:pPr>
    </w:p>
    <w:p w14:paraId="00FDEB1B" w14:textId="77777777" w:rsidR="009F5629" w:rsidRDefault="009F5629" w:rsidP="00F326E5">
      <w:pPr>
        <w:pStyle w:val="NoSpacing"/>
        <w:rPr>
          <w:rFonts w:ascii="Arial Black" w:hAnsi="Arial Black"/>
          <w:sz w:val="24"/>
          <w:szCs w:val="24"/>
        </w:rPr>
      </w:pPr>
    </w:p>
    <w:p w14:paraId="10DCC2F9" w14:textId="77777777" w:rsidR="009E2025" w:rsidRDefault="009E2025" w:rsidP="00F326E5">
      <w:pPr>
        <w:pStyle w:val="NoSpacing"/>
        <w:rPr>
          <w:rFonts w:ascii="Arial Black" w:hAnsi="Arial Black"/>
          <w:sz w:val="24"/>
          <w:szCs w:val="24"/>
        </w:rPr>
      </w:pPr>
    </w:p>
    <w:p w14:paraId="61A3913E" w14:textId="77777777" w:rsidR="009E2025" w:rsidRDefault="009E2025" w:rsidP="00F326E5">
      <w:pPr>
        <w:pStyle w:val="NoSpacing"/>
        <w:rPr>
          <w:rFonts w:ascii="Arial Black" w:hAnsi="Arial Black"/>
          <w:sz w:val="24"/>
          <w:szCs w:val="24"/>
        </w:rPr>
      </w:pPr>
    </w:p>
    <w:p w14:paraId="455974B2" w14:textId="2C562CB5" w:rsidR="004B129E" w:rsidRDefault="004B129E" w:rsidP="00F326E5">
      <w:pPr>
        <w:pStyle w:val="NoSpacing"/>
        <w:rPr>
          <w:rFonts w:ascii="Arial Black" w:hAnsi="Arial Black"/>
          <w:sz w:val="24"/>
          <w:szCs w:val="24"/>
        </w:rPr>
      </w:pPr>
      <w:r>
        <w:rPr>
          <w:rFonts w:ascii="Arial Black" w:hAnsi="Arial Black"/>
          <w:sz w:val="24"/>
          <w:szCs w:val="24"/>
        </w:rPr>
        <w:t>17-46</w:t>
      </w:r>
    </w:p>
    <w:p w14:paraId="2504D6D1" w14:textId="77777777" w:rsidR="004B129E" w:rsidRDefault="004B129E" w:rsidP="00F326E5">
      <w:pPr>
        <w:pStyle w:val="NoSpacing"/>
        <w:rPr>
          <w:rFonts w:ascii="Arial Black" w:hAnsi="Arial Black"/>
          <w:sz w:val="24"/>
          <w:szCs w:val="24"/>
        </w:rPr>
      </w:pPr>
    </w:p>
    <w:p w14:paraId="02C54256" w14:textId="77777777" w:rsidR="00884D9E" w:rsidRPr="00FB08AF" w:rsidRDefault="00884D9E" w:rsidP="00884D9E">
      <w:pPr>
        <w:rPr>
          <w:rFonts w:ascii="Times New Roman" w:hAnsi="Times New Roman"/>
          <w:b/>
          <w:sz w:val="24"/>
          <w:szCs w:val="24"/>
        </w:rPr>
      </w:pPr>
      <w:r w:rsidRPr="00FB08AF">
        <w:rPr>
          <w:rFonts w:ascii="Times New Roman" w:hAnsi="Times New Roman"/>
          <w:b/>
          <w:sz w:val="24"/>
          <w:szCs w:val="24"/>
        </w:rPr>
        <w:t>OH: FIRE CHIEF – LT. APPOINTED INTERIM – CIVIL SERVICE EXAM - REPLACED BY A/C WHO SCORED HIGHEST</w:t>
      </w:r>
    </w:p>
    <w:p w14:paraId="648E98CF" w14:textId="77777777" w:rsidR="00884D9E" w:rsidRPr="00FB08AF" w:rsidRDefault="00884D9E" w:rsidP="00884D9E">
      <w:pPr>
        <w:pStyle w:val="NoSpacing"/>
        <w:rPr>
          <w:rFonts w:ascii="Times New Roman" w:hAnsi="Times New Roman"/>
          <w:sz w:val="24"/>
          <w:szCs w:val="24"/>
        </w:rPr>
      </w:pPr>
      <w:r w:rsidRPr="00FB08AF">
        <w:rPr>
          <w:rFonts w:ascii="Times New Roman" w:hAnsi="Times New Roman"/>
          <w:sz w:val="24"/>
          <w:szCs w:val="24"/>
        </w:rPr>
        <w:t xml:space="preserve">On Oct. 31, 2024, in </w:t>
      </w:r>
      <w:r w:rsidRPr="00FB08AF">
        <w:rPr>
          <w:rFonts w:ascii="Times New Roman" w:hAnsi="Times New Roman"/>
          <w:sz w:val="24"/>
          <w:szCs w:val="24"/>
          <w:u w:val="single"/>
        </w:rPr>
        <w:t>The State ex rel. Patrick Johnson v. Mark Higgins</w:t>
      </w:r>
      <w:r w:rsidRPr="00FB08AF">
        <w:rPr>
          <w:rFonts w:ascii="Times New Roman" w:hAnsi="Times New Roman"/>
          <w:sz w:val="24"/>
          <w:szCs w:val="24"/>
        </w:rPr>
        <w:t xml:space="preserve">, the Supreme Court of Ohio held (7 to 0): “Higgins is currently serving as chief of the fire department of the City of Brook Park, a position to which Johnson claims legal entitlement. Johnson seeks a writ ousting Higgins from the position and declaring that Johnson is entitled to the position. We deny the writ.” </w:t>
      </w:r>
      <w:hyperlink r:id="rId2772" w:history="1">
        <w:r w:rsidRPr="00FB08AF">
          <w:rPr>
            <w:rStyle w:val="Hyperlink"/>
            <w:rFonts w:ascii="Times New Roman" w:hAnsi="Times New Roman"/>
            <w:b/>
            <w:sz w:val="24"/>
            <w:szCs w:val="24"/>
          </w:rPr>
          <w:t>https://www.supremecourt.ohio.gov/rod/docs/pdf/0/2024/2024-Ohio-5174.pdf</w:t>
        </w:r>
      </w:hyperlink>
    </w:p>
    <w:p w14:paraId="4D89268D" w14:textId="77777777" w:rsidR="00884D9E" w:rsidRPr="00FB08AF" w:rsidRDefault="00884D9E" w:rsidP="00884D9E">
      <w:pPr>
        <w:pStyle w:val="NoSpacing"/>
        <w:rPr>
          <w:rFonts w:ascii="Times New Roman" w:hAnsi="Times New Roman"/>
          <w:sz w:val="24"/>
          <w:szCs w:val="24"/>
        </w:rPr>
      </w:pPr>
    </w:p>
    <w:p w14:paraId="5FFAC62F" w14:textId="77777777" w:rsidR="00F76365" w:rsidRPr="00FB08AF" w:rsidRDefault="00F76365" w:rsidP="00F76365">
      <w:pPr>
        <w:pStyle w:val="NoSpacing"/>
        <w:rPr>
          <w:rFonts w:ascii="Times New Roman" w:hAnsi="Times New Roman"/>
          <w:b/>
          <w:bCs/>
          <w:sz w:val="24"/>
          <w:szCs w:val="24"/>
        </w:rPr>
      </w:pPr>
      <w:r w:rsidRPr="00FB08AF">
        <w:rPr>
          <w:rFonts w:ascii="Times New Roman" w:hAnsi="Times New Roman"/>
          <w:b/>
          <w:sz w:val="24"/>
          <w:szCs w:val="24"/>
        </w:rPr>
        <w:t>Legal Lesson Learned: Civil Service process was followed</w:t>
      </w:r>
      <w:r w:rsidRPr="00FB08AF">
        <w:rPr>
          <w:rFonts w:ascii="Times New Roman" w:hAnsi="Times New Roman"/>
          <w:b/>
          <w:bCs/>
          <w:sz w:val="24"/>
          <w:szCs w:val="24"/>
        </w:rPr>
        <w:t>.</w:t>
      </w:r>
      <w:r w:rsidRPr="00FB08AF">
        <w:rPr>
          <w:rFonts w:ascii="Times New Roman" w:hAnsi="Times New Roman"/>
          <w:b/>
          <w:sz w:val="24"/>
          <w:szCs w:val="24"/>
        </w:rPr>
        <w:t xml:space="preserve"> </w:t>
      </w:r>
    </w:p>
    <w:p w14:paraId="3291D370" w14:textId="77777777" w:rsidR="00F76365" w:rsidRPr="00FB08AF" w:rsidRDefault="00F76365" w:rsidP="00F76365">
      <w:pPr>
        <w:rPr>
          <w:rFonts w:ascii="Times New Roman" w:hAnsi="Times New Roman"/>
          <w:sz w:val="24"/>
          <w:szCs w:val="24"/>
        </w:rPr>
      </w:pPr>
    </w:p>
    <w:p w14:paraId="02362F25" w14:textId="13DEB49F" w:rsidR="004B129E" w:rsidRDefault="004B129E" w:rsidP="00F326E5">
      <w:pPr>
        <w:pStyle w:val="NoSpacing"/>
        <w:rPr>
          <w:rFonts w:ascii="Arial Black" w:hAnsi="Arial Black"/>
          <w:sz w:val="24"/>
          <w:szCs w:val="24"/>
        </w:rPr>
      </w:pPr>
      <w:r>
        <w:rPr>
          <w:rFonts w:ascii="Arial Black" w:hAnsi="Arial Black"/>
          <w:sz w:val="24"/>
          <w:szCs w:val="24"/>
        </w:rPr>
        <w:t>17-45</w:t>
      </w:r>
    </w:p>
    <w:p w14:paraId="762B200F" w14:textId="77777777" w:rsidR="004B129E" w:rsidRDefault="004B129E" w:rsidP="00F326E5">
      <w:pPr>
        <w:pStyle w:val="NoSpacing"/>
        <w:rPr>
          <w:rFonts w:ascii="Arial Black" w:hAnsi="Arial Black"/>
          <w:sz w:val="24"/>
          <w:szCs w:val="24"/>
        </w:rPr>
      </w:pPr>
    </w:p>
    <w:p w14:paraId="1773B998" w14:textId="77777777" w:rsidR="00FE74F8" w:rsidRPr="009376A9" w:rsidRDefault="00FE74F8" w:rsidP="00FE74F8">
      <w:pPr>
        <w:pStyle w:val="NoSpacing"/>
        <w:rPr>
          <w:rFonts w:ascii="Times New Roman" w:hAnsi="Times New Roman"/>
          <w:b/>
          <w:bCs/>
          <w:sz w:val="24"/>
          <w:szCs w:val="24"/>
        </w:rPr>
      </w:pPr>
      <w:r w:rsidRPr="009376A9">
        <w:rPr>
          <w:rFonts w:ascii="Times New Roman" w:hAnsi="Times New Roman"/>
          <w:b/>
          <w:bCs/>
          <w:sz w:val="24"/>
          <w:szCs w:val="24"/>
        </w:rPr>
        <w:t xml:space="preserve">IL: SHIFT TRADES FOR LT.  – FIRE CHIEF CHANGED 25-YR POLICY – ONLY FF ON PROMOTION LIST - MUST BARGAIN </w:t>
      </w:r>
    </w:p>
    <w:p w14:paraId="26CA52F5" w14:textId="77777777" w:rsidR="009376A9" w:rsidRDefault="009376A9" w:rsidP="00452883">
      <w:pPr>
        <w:pStyle w:val="NoSpacing"/>
        <w:rPr>
          <w:rFonts w:ascii="Times New Roman" w:hAnsi="Times New Roman"/>
          <w:sz w:val="24"/>
          <w:szCs w:val="24"/>
        </w:rPr>
      </w:pPr>
    </w:p>
    <w:p w14:paraId="477FCE96" w14:textId="2C85DF0A" w:rsidR="00452883" w:rsidRPr="009376A9" w:rsidRDefault="00452883" w:rsidP="00452883">
      <w:pPr>
        <w:pStyle w:val="NoSpacing"/>
        <w:rPr>
          <w:rFonts w:ascii="Times New Roman" w:hAnsi="Times New Roman"/>
          <w:bCs/>
          <w:sz w:val="24"/>
          <w:szCs w:val="24"/>
        </w:rPr>
      </w:pPr>
      <w:r w:rsidRPr="009376A9">
        <w:rPr>
          <w:rFonts w:ascii="Times New Roman" w:hAnsi="Times New Roman"/>
          <w:sz w:val="24"/>
          <w:szCs w:val="24"/>
        </w:rPr>
        <w:t xml:space="preserve">On Oct. 28, 2024, in </w:t>
      </w:r>
      <w:r w:rsidRPr="009376A9">
        <w:rPr>
          <w:rFonts w:ascii="Times New Roman" w:hAnsi="Times New Roman"/>
          <w:sz w:val="24"/>
          <w:szCs w:val="24"/>
          <w:u w:val="single"/>
        </w:rPr>
        <w:t>City of Park Ridge v. Illinois Labor Relations Board</w:t>
      </w:r>
      <w:r w:rsidRPr="009376A9">
        <w:rPr>
          <w:rFonts w:ascii="Times New Roman" w:hAnsi="Times New Roman"/>
          <w:sz w:val="24"/>
          <w:szCs w:val="24"/>
        </w:rPr>
        <w:t xml:space="preserve">, the Illinois Appellate Court, First Judicial District, held (3 to 0): “(1) the shift trade qualification policy was a mandatory subject of bargaining; (2) the Union did not waive its right to bargain over the qualifications for shift trades; and (3) the City’s unilateral change of the shift trade qualification policy without giving notice and opportunity to bargain the change violated sections 10(a)(1), 10(a)(4), and 14(l) of the Illinois Public Labor Relations Act since the change occurred during interest arbitration.” </w:t>
      </w:r>
    </w:p>
    <w:p w14:paraId="625F27E4" w14:textId="0D2538F2" w:rsidR="00FB08AF" w:rsidRPr="009376A9" w:rsidRDefault="00452883" w:rsidP="00452883">
      <w:pPr>
        <w:pStyle w:val="NoSpacing"/>
        <w:rPr>
          <w:rStyle w:val="Hyperlink"/>
          <w:rFonts w:ascii="Times New Roman" w:hAnsi="Times New Roman"/>
          <w:sz w:val="24"/>
          <w:szCs w:val="24"/>
        </w:rPr>
      </w:pPr>
      <w:hyperlink r:id="rId2773" w:history="1">
        <w:r w:rsidRPr="009376A9">
          <w:rPr>
            <w:rStyle w:val="Hyperlink"/>
            <w:rFonts w:ascii="Times New Roman" w:hAnsi="Times New Roman"/>
            <w:sz w:val="24"/>
            <w:szCs w:val="24"/>
          </w:rPr>
          <w:t>https://ilcourtsaudio.blob.core.windows.net/antilles-resources/resources/a7e1e4b9-d57b-4bd7-9b5d-a27198847cd7/City%20of%20Park%20Ridge%20v.%20IL%20Labor%20Relations%20Bd%202024%20IL%20App%20(1st)%20221924-U.pdf</w:t>
        </w:r>
      </w:hyperlink>
    </w:p>
    <w:p w14:paraId="2F0AE996" w14:textId="77777777" w:rsidR="009376A9" w:rsidRPr="009376A9" w:rsidRDefault="009376A9" w:rsidP="009376A9">
      <w:pPr>
        <w:pStyle w:val="NoSpacing"/>
        <w:rPr>
          <w:rFonts w:ascii="Times New Roman" w:hAnsi="Times New Roman"/>
          <w:b/>
          <w:sz w:val="24"/>
          <w:szCs w:val="24"/>
        </w:rPr>
      </w:pPr>
    </w:p>
    <w:p w14:paraId="22301176" w14:textId="458DC8F1" w:rsidR="009376A9" w:rsidRPr="009376A9" w:rsidRDefault="009376A9" w:rsidP="009376A9">
      <w:pPr>
        <w:pStyle w:val="NoSpacing"/>
        <w:rPr>
          <w:rFonts w:ascii="Times New Roman" w:hAnsi="Times New Roman"/>
          <w:b/>
          <w:sz w:val="24"/>
          <w:szCs w:val="24"/>
        </w:rPr>
      </w:pPr>
      <w:r w:rsidRPr="009376A9">
        <w:rPr>
          <w:rFonts w:ascii="Times New Roman" w:hAnsi="Times New Roman"/>
          <w:b/>
          <w:sz w:val="24"/>
          <w:szCs w:val="24"/>
        </w:rPr>
        <w:t xml:space="preserve">Legal Lesson Learned: Court held that change in shift trade policy is subject of collective bargaining. </w:t>
      </w:r>
    </w:p>
    <w:p w14:paraId="291A9D95" w14:textId="77777777" w:rsidR="009376A9" w:rsidRDefault="009376A9" w:rsidP="009376A9">
      <w:pPr>
        <w:pStyle w:val="NoSpacing"/>
        <w:ind w:left="720"/>
        <w:rPr>
          <w:bCs/>
        </w:rPr>
      </w:pPr>
    </w:p>
    <w:p w14:paraId="69920754" w14:textId="77777777" w:rsidR="009376A9" w:rsidRDefault="009376A9" w:rsidP="00452883">
      <w:pPr>
        <w:pStyle w:val="NoSpacing"/>
        <w:rPr>
          <w:rFonts w:ascii="Arial Black" w:hAnsi="Arial Black"/>
          <w:sz w:val="24"/>
          <w:szCs w:val="24"/>
        </w:rPr>
      </w:pPr>
    </w:p>
    <w:p w14:paraId="556F09C8" w14:textId="73BB5EA7" w:rsidR="004B129E" w:rsidRDefault="004B129E" w:rsidP="00F326E5">
      <w:pPr>
        <w:pStyle w:val="NoSpacing"/>
        <w:rPr>
          <w:rFonts w:ascii="Arial Black" w:hAnsi="Arial Black"/>
          <w:sz w:val="24"/>
          <w:szCs w:val="24"/>
        </w:rPr>
      </w:pPr>
      <w:r>
        <w:rPr>
          <w:rFonts w:ascii="Arial Black" w:hAnsi="Arial Black"/>
          <w:sz w:val="24"/>
          <w:szCs w:val="24"/>
        </w:rPr>
        <w:t>17-44</w:t>
      </w:r>
    </w:p>
    <w:p w14:paraId="1D92A7EF" w14:textId="77777777" w:rsidR="004B129E" w:rsidRDefault="004B129E" w:rsidP="00F326E5">
      <w:pPr>
        <w:pStyle w:val="NoSpacing"/>
        <w:rPr>
          <w:rFonts w:ascii="Arial Black" w:hAnsi="Arial Black"/>
          <w:sz w:val="24"/>
          <w:szCs w:val="24"/>
        </w:rPr>
      </w:pPr>
    </w:p>
    <w:p w14:paraId="752AC39F" w14:textId="77777777" w:rsidR="00B35974" w:rsidRPr="002F0AF8" w:rsidRDefault="00B35974" w:rsidP="00B35974">
      <w:pPr>
        <w:rPr>
          <w:rFonts w:ascii="Times New Roman" w:hAnsi="Times New Roman"/>
          <w:b/>
          <w:bCs/>
          <w:sz w:val="24"/>
          <w:szCs w:val="24"/>
        </w:rPr>
      </w:pPr>
      <w:r w:rsidRPr="002F0AF8">
        <w:rPr>
          <w:rFonts w:ascii="Times New Roman" w:hAnsi="Times New Roman"/>
          <w:b/>
          <w:bCs/>
          <w:sz w:val="24"/>
          <w:szCs w:val="24"/>
        </w:rPr>
        <w:t>NY: ARBITRATOR HELD FOR 2 UTICA FF - CALLED IN FAMILY EMERGENCIES DAY BEFORE SHIFT – NOT COMP TIME</w:t>
      </w:r>
    </w:p>
    <w:p w14:paraId="139A460E" w14:textId="77777777" w:rsidR="004D3039" w:rsidRPr="002F0AF8" w:rsidRDefault="004D3039" w:rsidP="004D3039">
      <w:pPr>
        <w:pStyle w:val="NoSpacing"/>
        <w:rPr>
          <w:rFonts w:ascii="Times New Roman" w:hAnsi="Times New Roman"/>
          <w:sz w:val="24"/>
          <w:szCs w:val="24"/>
        </w:rPr>
      </w:pPr>
      <w:r w:rsidRPr="002F0AF8">
        <w:rPr>
          <w:rFonts w:ascii="Times New Roman" w:hAnsi="Times New Roman"/>
          <w:sz w:val="24"/>
          <w:szCs w:val="24"/>
        </w:rPr>
        <w:t xml:space="preserve">On Oct. 4, 2024, in </w:t>
      </w:r>
      <w:r w:rsidRPr="002F0AF8">
        <w:rPr>
          <w:rFonts w:ascii="Times New Roman" w:hAnsi="Times New Roman"/>
          <w:sz w:val="24"/>
          <w:szCs w:val="24"/>
          <w:u w:val="single"/>
        </w:rPr>
        <w:t>Matter of Local 32, Intl. Assn. of Fire Fighters, A.F.L.-C.I.O.-C.L.C. (City of Utica</w:t>
      </w:r>
      <w:r w:rsidRPr="002F0AF8">
        <w:rPr>
          <w:rFonts w:ascii="Times New Roman" w:hAnsi="Times New Roman"/>
          <w:sz w:val="24"/>
          <w:szCs w:val="24"/>
        </w:rPr>
        <w:t xml:space="preserve">), the New York Appellate Division, Fourth Department, held (5 to 0): “It is hereby ORDERED that the order insofar as appealed from is unanimously reversed on the law without costs, the petition is granted in its entirety and the arbitration award is confirmed in its entirety. *** The arbitrator determined, inter alia, that the firefighters were entitled to paid emergency leave for the time in question and directed respondent to restore the charged compensatory time.” </w:t>
      </w:r>
      <w:hyperlink r:id="rId2774" w:history="1">
        <w:r w:rsidRPr="002F0AF8">
          <w:rPr>
            <w:rStyle w:val="Hyperlink"/>
            <w:rFonts w:ascii="Times New Roman" w:hAnsi="Times New Roman"/>
            <w:sz w:val="24"/>
            <w:szCs w:val="24"/>
          </w:rPr>
          <w:t>https://law.justia.com/cases/new-york/appellate-division-fourth-department/2024/647-ca-23-01601.html</w:t>
        </w:r>
      </w:hyperlink>
      <w:r w:rsidRPr="002F0AF8">
        <w:rPr>
          <w:rFonts w:ascii="Times New Roman" w:hAnsi="Times New Roman"/>
          <w:sz w:val="24"/>
          <w:szCs w:val="24"/>
        </w:rPr>
        <w:t xml:space="preserve"> </w:t>
      </w:r>
    </w:p>
    <w:p w14:paraId="207E4355" w14:textId="77777777" w:rsidR="004D3039" w:rsidRPr="002F0AF8" w:rsidRDefault="004D3039" w:rsidP="004D3039">
      <w:pPr>
        <w:pStyle w:val="NoSpacing"/>
        <w:rPr>
          <w:rFonts w:ascii="Times New Roman" w:hAnsi="Times New Roman"/>
          <w:bCs/>
          <w:sz w:val="24"/>
          <w:szCs w:val="24"/>
        </w:rPr>
      </w:pPr>
    </w:p>
    <w:p w14:paraId="5D0DEAA3" w14:textId="77777777" w:rsidR="002F0AF8" w:rsidRPr="002F0AF8" w:rsidRDefault="002F0AF8" w:rsidP="002F0AF8">
      <w:pPr>
        <w:pStyle w:val="NoSpacing"/>
        <w:rPr>
          <w:rFonts w:ascii="Times New Roman" w:hAnsi="Times New Roman"/>
          <w:b/>
          <w:bCs/>
          <w:sz w:val="24"/>
          <w:szCs w:val="24"/>
        </w:rPr>
      </w:pPr>
      <w:r w:rsidRPr="002F0AF8">
        <w:rPr>
          <w:rFonts w:ascii="Times New Roman" w:hAnsi="Times New Roman"/>
          <w:b/>
          <w:sz w:val="24"/>
          <w:szCs w:val="24"/>
        </w:rPr>
        <w:t xml:space="preserve">Legal Lesson Learned: Arbitrator decision upheld. </w:t>
      </w:r>
    </w:p>
    <w:p w14:paraId="09469E12" w14:textId="77777777" w:rsidR="00B35974" w:rsidRDefault="00B35974" w:rsidP="00F326E5">
      <w:pPr>
        <w:pStyle w:val="NoSpacing"/>
        <w:rPr>
          <w:rFonts w:ascii="Arial Black" w:hAnsi="Arial Black"/>
          <w:sz w:val="24"/>
          <w:szCs w:val="24"/>
        </w:rPr>
      </w:pPr>
    </w:p>
    <w:p w14:paraId="253BE4C1" w14:textId="77777777" w:rsidR="00B35974" w:rsidRDefault="00B35974" w:rsidP="00F326E5">
      <w:pPr>
        <w:pStyle w:val="NoSpacing"/>
        <w:rPr>
          <w:rFonts w:ascii="Arial Black" w:hAnsi="Arial Black"/>
          <w:sz w:val="24"/>
          <w:szCs w:val="24"/>
        </w:rPr>
      </w:pPr>
    </w:p>
    <w:p w14:paraId="00E7EB28" w14:textId="3AF6B2F3" w:rsidR="004B129E" w:rsidRDefault="004B129E" w:rsidP="00F326E5">
      <w:pPr>
        <w:pStyle w:val="NoSpacing"/>
        <w:rPr>
          <w:rFonts w:ascii="Arial Black" w:hAnsi="Arial Black"/>
          <w:sz w:val="24"/>
          <w:szCs w:val="24"/>
        </w:rPr>
      </w:pPr>
      <w:r>
        <w:rPr>
          <w:rFonts w:ascii="Arial Black" w:hAnsi="Arial Black"/>
          <w:sz w:val="24"/>
          <w:szCs w:val="24"/>
        </w:rPr>
        <w:t>17-43</w:t>
      </w:r>
    </w:p>
    <w:p w14:paraId="77C6AED5" w14:textId="77777777" w:rsidR="004B129E" w:rsidRDefault="004B129E" w:rsidP="00F326E5">
      <w:pPr>
        <w:pStyle w:val="NoSpacing"/>
        <w:rPr>
          <w:rFonts w:ascii="Arial Black" w:hAnsi="Arial Black"/>
          <w:sz w:val="24"/>
          <w:szCs w:val="24"/>
        </w:rPr>
      </w:pPr>
    </w:p>
    <w:p w14:paraId="58C17DCD" w14:textId="77777777" w:rsidR="00925AD0" w:rsidRPr="001668D8" w:rsidRDefault="00925AD0" w:rsidP="00925AD0">
      <w:pPr>
        <w:pStyle w:val="NoSpacing"/>
        <w:rPr>
          <w:rFonts w:ascii="Times New Roman" w:hAnsi="Times New Roman"/>
          <w:b/>
          <w:bCs/>
          <w:sz w:val="24"/>
          <w:szCs w:val="24"/>
        </w:rPr>
      </w:pPr>
      <w:r w:rsidRPr="001668D8">
        <w:rPr>
          <w:rFonts w:ascii="Times New Roman" w:hAnsi="Times New Roman"/>
          <w:b/>
          <w:bCs/>
          <w:sz w:val="24"/>
          <w:szCs w:val="24"/>
        </w:rPr>
        <w:t xml:space="preserve">OH: CLEVELAND FD – PLAN TO PUT CAMERAS ON AMBULANCES – CANCELLED -  MUST BE BARGAINING </w:t>
      </w:r>
    </w:p>
    <w:p w14:paraId="5D623BF5" w14:textId="23F76BA4" w:rsidR="002F0AF8" w:rsidRPr="001668D8" w:rsidRDefault="002F0AF8" w:rsidP="00F326E5">
      <w:pPr>
        <w:pStyle w:val="NoSpacing"/>
        <w:rPr>
          <w:rFonts w:ascii="Times New Roman" w:hAnsi="Times New Roman"/>
          <w:sz w:val="24"/>
          <w:szCs w:val="24"/>
        </w:rPr>
      </w:pPr>
    </w:p>
    <w:p w14:paraId="0326CD13" w14:textId="77777777" w:rsidR="00AF72C9" w:rsidRPr="001668D8" w:rsidRDefault="00AF72C9" w:rsidP="00AF72C9">
      <w:pPr>
        <w:pStyle w:val="NoSpacing"/>
        <w:rPr>
          <w:rFonts w:ascii="Times New Roman" w:hAnsi="Times New Roman"/>
          <w:sz w:val="24"/>
          <w:szCs w:val="24"/>
        </w:rPr>
      </w:pPr>
      <w:r w:rsidRPr="001668D8">
        <w:rPr>
          <w:rFonts w:ascii="Times New Roman" w:hAnsi="Times New Roman"/>
          <w:sz w:val="24"/>
          <w:szCs w:val="24"/>
        </w:rPr>
        <w:t xml:space="preserve">On Oct. 3, 2024, in </w:t>
      </w:r>
      <w:r w:rsidRPr="001668D8">
        <w:rPr>
          <w:rFonts w:ascii="Times New Roman" w:hAnsi="Times New Roman"/>
          <w:sz w:val="24"/>
          <w:szCs w:val="24"/>
          <w:u w:val="single"/>
        </w:rPr>
        <w:t>City of Cleveland v. State Employment Relations Board, et al</w:t>
      </w:r>
      <w:r w:rsidRPr="001668D8">
        <w:rPr>
          <w:rFonts w:ascii="Times New Roman" w:hAnsi="Times New Roman"/>
          <w:sz w:val="24"/>
          <w:szCs w:val="24"/>
        </w:rPr>
        <w:t>., the Court of Appeals of Ohio, Eight Appellate District (Cuyahoga County), held (3 to 0): “Plaintiff-appellant City of Cleveland (the ‘City’) appeals the trial court’s judgment affirming the decision of defendant-appellee State Employment Relations Board (the ‘SERB’) in favor of defendant-appellee union Cleveland Association of Rescue Employees (the ‘Union’ or ‘CARE’). The court upheld SERB’s finding that the City violated R.C. 4117.11(A)(5) by refusing to bargain</w:t>
      </w:r>
    </w:p>
    <w:p w14:paraId="029600A9" w14:textId="77777777" w:rsidR="00AF72C9" w:rsidRPr="001668D8" w:rsidRDefault="00AF72C9" w:rsidP="00AF72C9">
      <w:pPr>
        <w:pStyle w:val="NoSpacing"/>
        <w:rPr>
          <w:rFonts w:ascii="Times New Roman" w:hAnsi="Times New Roman"/>
          <w:sz w:val="24"/>
          <w:szCs w:val="24"/>
        </w:rPr>
      </w:pPr>
      <w:r w:rsidRPr="001668D8">
        <w:rPr>
          <w:rFonts w:ascii="Times New Roman" w:hAnsi="Times New Roman"/>
          <w:sz w:val="24"/>
          <w:szCs w:val="24"/>
        </w:rPr>
        <w:t xml:space="preserve">collectively with the Union over the effects of the installation of dashboard audio/visual cameras in the City’s emergency medical </w:t>
      </w:r>
      <w:proofErr w:type="gramStart"/>
      <w:r w:rsidRPr="001668D8">
        <w:rPr>
          <w:rFonts w:ascii="Times New Roman" w:hAnsi="Times New Roman"/>
          <w:sz w:val="24"/>
          <w:szCs w:val="24"/>
        </w:rPr>
        <w:t>service (‘</w:t>
      </w:r>
      <w:proofErr w:type="gramEnd"/>
      <w:r w:rsidRPr="001668D8">
        <w:rPr>
          <w:rFonts w:ascii="Times New Roman" w:hAnsi="Times New Roman"/>
          <w:sz w:val="24"/>
          <w:szCs w:val="24"/>
        </w:rPr>
        <w:t xml:space="preserve">EMS’) </w:t>
      </w:r>
      <w:proofErr w:type="gramStart"/>
      <w:r w:rsidRPr="001668D8">
        <w:rPr>
          <w:rFonts w:ascii="Times New Roman" w:hAnsi="Times New Roman"/>
          <w:sz w:val="24"/>
          <w:szCs w:val="24"/>
        </w:rPr>
        <w:t>vehicles (‘</w:t>
      </w:r>
      <w:proofErr w:type="gramEnd"/>
      <w:r w:rsidRPr="001668D8">
        <w:rPr>
          <w:rFonts w:ascii="Times New Roman" w:hAnsi="Times New Roman"/>
          <w:sz w:val="24"/>
          <w:szCs w:val="24"/>
        </w:rPr>
        <w:t xml:space="preserve">ambulances’). *** For the following reasons, we affirm the trial court’s judgment.”  </w:t>
      </w:r>
    </w:p>
    <w:p w14:paraId="4FA4140F" w14:textId="77777777" w:rsidR="00AF72C9" w:rsidRPr="001668D8" w:rsidRDefault="00AF72C9" w:rsidP="00AF72C9">
      <w:pPr>
        <w:pStyle w:val="NoSpacing"/>
        <w:rPr>
          <w:rFonts w:ascii="Times New Roman" w:hAnsi="Times New Roman"/>
          <w:sz w:val="24"/>
          <w:szCs w:val="24"/>
        </w:rPr>
      </w:pPr>
      <w:hyperlink r:id="rId2775" w:history="1">
        <w:r w:rsidRPr="001668D8">
          <w:rPr>
            <w:rStyle w:val="Hyperlink"/>
            <w:rFonts w:ascii="Times New Roman" w:hAnsi="Times New Roman"/>
            <w:sz w:val="24"/>
            <w:szCs w:val="24"/>
          </w:rPr>
          <w:t>https://www.supremecourt.ohio.gov/rod/docs/pdf/8/2024/2024-Ohio-4787.pdf</w:t>
        </w:r>
      </w:hyperlink>
      <w:r w:rsidRPr="001668D8">
        <w:rPr>
          <w:rFonts w:ascii="Times New Roman" w:hAnsi="Times New Roman"/>
          <w:sz w:val="24"/>
          <w:szCs w:val="24"/>
        </w:rPr>
        <w:t xml:space="preserve"> </w:t>
      </w:r>
    </w:p>
    <w:p w14:paraId="41340168" w14:textId="77777777" w:rsidR="00AF72C9" w:rsidRPr="001668D8" w:rsidRDefault="00AF72C9" w:rsidP="00F326E5">
      <w:pPr>
        <w:pStyle w:val="NoSpacing"/>
        <w:rPr>
          <w:rFonts w:ascii="Times New Roman" w:hAnsi="Times New Roman"/>
          <w:sz w:val="24"/>
          <w:szCs w:val="24"/>
        </w:rPr>
      </w:pPr>
    </w:p>
    <w:p w14:paraId="4C90C5C2" w14:textId="77777777" w:rsidR="00D27807" w:rsidRPr="001668D8" w:rsidRDefault="00D27807" w:rsidP="00D27807">
      <w:pPr>
        <w:pStyle w:val="NoSpacing"/>
        <w:rPr>
          <w:rFonts w:ascii="Times New Roman" w:hAnsi="Times New Roman"/>
          <w:b/>
          <w:bCs/>
          <w:sz w:val="24"/>
          <w:szCs w:val="24"/>
        </w:rPr>
      </w:pPr>
      <w:r w:rsidRPr="001668D8">
        <w:rPr>
          <w:rFonts w:ascii="Times New Roman" w:hAnsi="Times New Roman"/>
          <w:b/>
          <w:sz w:val="24"/>
          <w:szCs w:val="24"/>
        </w:rPr>
        <w:t xml:space="preserve">Legal Lesson Learned: </w:t>
      </w:r>
      <w:r w:rsidRPr="001668D8">
        <w:rPr>
          <w:rFonts w:ascii="Times New Roman" w:hAnsi="Times New Roman"/>
          <w:b/>
          <w:bCs/>
          <w:sz w:val="24"/>
          <w:szCs w:val="24"/>
        </w:rPr>
        <w:t xml:space="preserve">Court held that putting </w:t>
      </w:r>
      <w:r w:rsidRPr="001668D8">
        <w:rPr>
          <w:rFonts w:ascii="Times New Roman" w:hAnsi="Times New Roman"/>
          <w:b/>
          <w:sz w:val="24"/>
          <w:szCs w:val="24"/>
        </w:rPr>
        <w:t>video camera</w:t>
      </w:r>
      <w:r w:rsidRPr="001668D8">
        <w:rPr>
          <w:rFonts w:ascii="Times New Roman" w:hAnsi="Times New Roman"/>
          <w:b/>
          <w:bCs/>
          <w:sz w:val="24"/>
          <w:szCs w:val="24"/>
        </w:rPr>
        <w:t>s</w:t>
      </w:r>
      <w:r w:rsidRPr="001668D8">
        <w:rPr>
          <w:rFonts w:ascii="Times New Roman" w:hAnsi="Times New Roman"/>
          <w:b/>
          <w:sz w:val="24"/>
          <w:szCs w:val="24"/>
        </w:rPr>
        <w:t xml:space="preserve"> in ambulances must be collectively bargained. </w:t>
      </w:r>
    </w:p>
    <w:p w14:paraId="06F6FE91" w14:textId="77777777" w:rsidR="00D27807" w:rsidRPr="001668D8" w:rsidRDefault="00D27807" w:rsidP="00F326E5">
      <w:pPr>
        <w:pStyle w:val="NoSpacing"/>
        <w:rPr>
          <w:rFonts w:ascii="Times New Roman" w:hAnsi="Times New Roman"/>
          <w:sz w:val="24"/>
          <w:szCs w:val="24"/>
        </w:rPr>
      </w:pPr>
    </w:p>
    <w:p w14:paraId="39317A1C" w14:textId="77777777" w:rsidR="002F0AF8" w:rsidRDefault="002F0AF8" w:rsidP="00F326E5">
      <w:pPr>
        <w:pStyle w:val="NoSpacing"/>
        <w:rPr>
          <w:rFonts w:ascii="Arial Black" w:hAnsi="Arial Black"/>
          <w:sz w:val="24"/>
          <w:szCs w:val="24"/>
        </w:rPr>
      </w:pPr>
    </w:p>
    <w:p w14:paraId="7175C004" w14:textId="1CA320E4" w:rsidR="004B129E" w:rsidRDefault="004B129E" w:rsidP="00F326E5">
      <w:pPr>
        <w:pStyle w:val="NoSpacing"/>
        <w:rPr>
          <w:rFonts w:ascii="Arial Black" w:hAnsi="Arial Black"/>
          <w:sz w:val="24"/>
          <w:szCs w:val="24"/>
        </w:rPr>
      </w:pPr>
      <w:r>
        <w:rPr>
          <w:rFonts w:ascii="Arial Black" w:hAnsi="Arial Black"/>
          <w:sz w:val="24"/>
          <w:szCs w:val="24"/>
        </w:rPr>
        <w:t>17-42</w:t>
      </w:r>
    </w:p>
    <w:p w14:paraId="5C6D292F" w14:textId="77777777" w:rsidR="001668D8" w:rsidRDefault="001668D8" w:rsidP="00F326E5">
      <w:pPr>
        <w:pStyle w:val="NoSpacing"/>
        <w:rPr>
          <w:rFonts w:ascii="Arial Black" w:hAnsi="Arial Black"/>
          <w:sz w:val="24"/>
          <w:szCs w:val="24"/>
        </w:rPr>
      </w:pPr>
    </w:p>
    <w:p w14:paraId="61968CB6" w14:textId="5F3677FD" w:rsidR="00D125A2" w:rsidRPr="007B3AE9" w:rsidRDefault="00D125A2" w:rsidP="00D125A2">
      <w:pPr>
        <w:rPr>
          <w:rFonts w:ascii="Times New Roman" w:hAnsi="Times New Roman"/>
          <w:b/>
          <w:bCs/>
          <w:sz w:val="24"/>
          <w:szCs w:val="24"/>
        </w:rPr>
      </w:pPr>
      <w:r w:rsidRPr="007B3AE9">
        <w:rPr>
          <w:rFonts w:ascii="Times New Roman" w:hAnsi="Times New Roman"/>
          <w:b/>
          <w:bCs/>
          <w:sz w:val="24"/>
          <w:szCs w:val="24"/>
        </w:rPr>
        <w:t>IA:  PSO PROGRAM (POLICE &amp; FIRE) - 8 CAREER FF LAYOFF –</w:t>
      </w:r>
      <w:r w:rsidR="007B3AE9" w:rsidRPr="007B3AE9">
        <w:rPr>
          <w:rFonts w:ascii="Times New Roman" w:hAnsi="Times New Roman"/>
          <w:b/>
          <w:bCs/>
          <w:sz w:val="24"/>
          <w:szCs w:val="24"/>
        </w:rPr>
        <w:t xml:space="preserve"> </w:t>
      </w:r>
      <w:r w:rsidRPr="007B3AE9">
        <w:rPr>
          <w:rFonts w:ascii="Times New Roman" w:hAnsi="Times New Roman"/>
          <w:b/>
          <w:bCs/>
          <w:sz w:val="24"/>
          <w:szCs w:val="24"/>
        </w:rPr>
        <w:t xml:space="preserve">UNION ANIMUS – </w:t>
      </w:r>
      <w:r w:rsidR="009073FB" w:rsidRPr="007B3AE9">
        <w:rPr>
          <w:rFonts w:ascii="Times New Roman" w:hAnsi="Times New Roman"/>
          <w:b/>
          <w:bCs/>
          <w:sz w:val="24"/>
          <w:szCs w:val="24"/>
        </w:rPr>
        <w:t xml:space="preserve">CASE REMANDED FOR </w:t>
      </w:r>
      <w:r w:rsidR="00951563" w:rsidRPr="007B3AE9">
        <w:rPr>
          <w:rFonts w:ascii="Times New Roman" w:hAnsi="Times New Roman"/>
          <w:b/>
          <w:bCs/>
          <w:sz w:val="24"/>
          <w:szCs w:val="24"/>
        </w:rPr>
        <w:t>UNION</w:t>
      </w:r>
      <w:r w:rsidR="007B3AE9" w:rsidRPr="007B3AE9">
        <w:rPr>
          <w:rFonts w:ascii="Times New Roman" w:hAnsi="Times New Roman"/>
          <w:b/>
          <w:bCs/>
          <w:sz w:val="24"/>
          <w:szCs w:val="24"/>
        </w:rPr>
        <w:t xml:space="preserve"> REMEDY</w:t>
      </w:r>
    </w:p>
    <w:p w14:paraId="2974B70E" w14:textId="67A11C9F" w:rsidR="001668D8" w:rsidRPr="00951563" w:rsidRDefault="00D125A2" w:rsidP="00D125A2">
      <w:pPr>
        <w:pStyle w:val="NoSpacing"/>
        <w:rPr>
          <w:rStyle w:val="Hyperlink"/>
          <w:rFonts w:ascii="Times New Roman" w:hAnsi="Times New Roman"/>
          <w:sz w:val="24"/>
          <w:szCs w:val="24"/>
        </w:rPr>
      </w:pPr>
      <w:r w:rsidRPr="00951563">
        <w:rPr>
          <w:rFonts w:ascii="Times New Roman" w:hAnsi="Times New Roman"/>
          <w:sz w:val="24"/>
          <w:szCs w:val="24"/>
        </w:rPr>
        <w:t xml:space="preserve">In Oct. 2, 2024, in </w:t>
      </w:r>
      <w:r w:rsidRPr="00951563">
        <w:rPr>
          <w:rFonts w:ascii="Times New Roman" w:hAnsi="Times New Roman"/>
          <w:sz w:val="24"/>
          <w:szCs w:val="24"/>
          <w:u w:val="single"/>
        </w:rPr>
        <w:t>International Association of Fire Fighters, Local 1366 v. City of Cedar Falls</w:t>
      </w:r>
      <w:r w:rsidRPr="00951563">
        <w:rPr>
          <w:rFonts w:ascii="Times New Roman" w:hAnsi="Times New Roman"/>
          <w:sz w:val="24"/>
          <w:szCs w:val="24"/>
        </w:rPr>
        <w:t xml:space="preserve">  </w:t>
      </w:r>
      <w:r w:rsidRPr="00951563">
        <w:rPr>
          <w:rFonts w:ascii="Times New Roman" w:hAnsi="Times New Roman"/>
          <w:sz w:val="24"/>
          <w:szCs w:val="24"/>
          <w:u w:val="single"/>
        </w:rPr>
        <w:t>and the Iowa Public Employment Relations Board</w:t>
      </w:r>
      <w:r w:rsidRPr="00951563">
        <w:rPr>
          <w:rFonts w:ascii="Times New Roman" w:hAnsi="Times New Roman"/>
          <w:sz w:val="24"/>
          <w:szCs w:val="24"/>
        </w:rPr>
        <w:t xml:space="preserve">, where the Court of Appeals of Iowa held: “The International Association of Firefighters, Local 1366 (the Union) filed a prohibited practice complaint against the City of Cedar Falls (the City) after its city council passed a resolution to fully transition to a public safety officer (PSO) program to provide traditional police officer and firefighter services. The passage of the resolution led to eight traditional firefighters represented by the Union being placed on administrative leave pending layoff. *** The agency found ‘overwhelming’ evidence of union animus by the </w:t>
      </w:r>
      <w:proofErr w:type="gramStart"/>
      <w:r w:rsidRPr="00951563">
        <w:rPr>
          <w:rFonts w:ascii="Times New Roman" w:hAnsi="Times New Roman"/>
          <w:sz w:val="24"/>
          <w:szCs w:val="24"/>
        </w:rPr>
        <w:t>City</w:t>
      </w:r>
      <w:proofErr w:type="gramEnd"/>
      <w:r w:rsidRPr="00951563">
        <w:rPr>
          <w:rFonts w:ascii="Times New Roman" w:hAnsi="Times New Roman"/>
          <w:sz w:val="24"/>
          <w:szCs w:val="24"/>
        </w:rPr>
        <w:t xml:space="preserve"> that led to its decision to ‘place the firefighters on administrative leave pending </w:t>
      </w:r>
      <w:proofErr w:type="gramStart"/>
      <w:r w:rsidRPr="00951563">
        <w:rPr>
          <w:rFonts w:ascii="Times New Roman" w:hAnsi="Times New Roman"/>
          <w:sz w:val="24"/>
          <w:szCs w:val="24"/>
        </w:rPr>
        <w:t>layoff’</w:t>
      </w:r>
      <w:proofErr w:type="gramEnd"/>
      <w:r w:rsidRPr="00951563">
        <w:rPr>
          <w:rFonts w:ascii="Times New Roman" w:hAnsi="Times New Roman"/>
          <w:sz w:val="24"/>
          <w:szCs w:val="24"/>
        </w:rPr>
        <w:t xml:space="preserve"> rendering it a prohibited practice. Yet the agency determined the City's decision to lay off the firefighters was not </w:t>
      </w:r>
      <w:proofErr w:type="gramStart"/>
      <w:r w:rsidRPr="00951563">
        <w:rPr>
          <w:rFonts w:ascii="Times New Roman" w:hAnsi="Times New Roman"/>
          <w:sz w:val="24"/>
          <w:szCs w:val="24"/>
        </w:rPr>
        <w:t>a prohibited</w:t>
      </w:r>
      <w:proofErr w:type="gramEnd"/>
      <w:r w:rsidRPr="00951563">
        <w:rPr>
          <w:rFonts w:ascii="Times New Roman" w:hAnsi="Times New Roman"/>
          <w:sz w:val="24"/>
          <w:szCs w:val="24"/>
        </w:rPr>
        <w:t xml:space="preserve"> practice. *** For the reasons set forth above, we hold the agency's decision in its remedy order to deny the Union firefighters' request for damages resulting from the layoff violated </w:t>
      </w:r>
      <w:hyperlink r:id="rId2776" w:history="1">
        <w:r w:rsidRPr="00951563">
          <w:rPr>
            <w:rStyle w:val="Hyperlink"/>
            <w:rFonts w:ascii="Times New Roman" w:hAnsi="Times New Roman"/>
            <w:sz w:val="24"/>
            <w:szCs w:val="24"/>
          </w:rPr>
          <w:t>Iowa Code section 17A.19(10)(i)</w:t>
        </w:r>
      </w:hyperlink>
      <w:r w:rsidRPr="00951563">
        <w:rPr>
          <w:rFonts w:ascii="Times New Roman" w:hAnsi="Times New Roman"/>
          <w:sz w:val="24"/>
          <w:szCs w:val="24"/>
        </w:rPr>
        <w:t xml:space="preserve">. Accordingly, we believe the district court correctly reversed the agency's decision in its remedy order.” </w:t>
      </w:r>
      <w:hyperlink r:id="rId2777" w:history="1">
        <w:r w:rsidRPr="00951563">
          <w:rPr>
            <w:rStyle w:val="Hyperlink"/>
            <w:rFonts w:ascii="Times New Roman" w:hAnsi="Times New Roman"/>
            <w:sz w:val="24"/>
            <w:szCs w:val="24"/>
          </w:rPr>
          <w:t>https://casetext.com/case/intl-assn-of-fire-fighters-local-1366-v-city-of-cedar-falls</w:t>
        </w:r>
      </w:hyperlink>
    </w:p>
    <w:p w14:paraId="56599B81" w14:textId="77777777" w:rsidR="00C115E0" w:rsidRPr="00951563" w:rsidRDefault="00C115E0" w:rsidP="00D125A2">
      <w:pPr>
        <w:pStyle w:val="NoSpacing"/>
        <w:rPr>
          <w:rStyle w:val="Hyperlink"/>
          <w:rFonts w:ascii="Times New Roman" w:hAnsi="Times New Roman"/>
          <w:sz w:val="24"/>
          <w:szCs w:val="24"/>
        </w:rPr>
      </w:pPr>
    </w:p>
    <w:p w14:paraId="62303956" w14:textId="77777777" w:rsidR="00C115E0" w:rsidRPr="00951563" w:rsidRDefault="00C115E0" w:rsidP="00C115E0">
      <w:pPr>
        <w:rPr>
          <w:rFonts w:ascii="Times New Roman" w:hAnsi="Times New Roman"/>
          <w:b/>
          <w:bCs/>
          <w:sz w:val="24"/>
          <w:szCs w:val="24"/>
        </w:rPr>
      </w:pPr>
      <w:r w:rsidRPr="00951563">
        <w:rPr>
          <w:rFonts w:ascii="Times New Roman" w:hAnsi="Times New Roman"/>
          <w:b/>
          <w:sz w:val="24"/>
          <w:szCs w:val="24"/>
        </w:rPr>
        <w:t xml:space="preserve">Legal Lesson Learned: The PERB must now consider an appropriate remedy for the union. </w:t>
      </w:r>
    </w:p>
    <w:p w14:paraId="5437226B" w14:textId="77777777" w:rsidR="00C115E0" w:rsidRDefault="00C115E0" w:rsidP="00D125A2">
      <w:pPr>
        <w:pStyle w:val="NoSpacing"/>
        <w:rPr>
          <w:rFonts w:ascii="Arial Black" w:hAnsi="Arial Black"/>
          <w:sz w:val="24"/>
          <w:szCs w:val="24"/>
        </w:rPr>
      </w:pPr>
    </w:p>
    <w:p w14:paraId="33F2A28A" w14:textId="77777777" w:rsidR="004B129E" w:rsidRDefault="004B129E" w:rsidP="00F326E5">
      <w:pPr>
        <w:pStyle w:val="NoSpacing"/>
        <w:rPr>
          <w:rFonts w:ascii="Arial Black" w:hAnsi="Arial Black"/>
          <w:sz w:val="24"/>
          <w:szCs w:val="24"/>
        </w:rPr>
      </w:pPr>
    </w:p>
    <w:p w14:paraId="5C2ADEC0" w14:textId="4D543E9B" w:rsidR="00F91F9F" w:rsidRDefault="00F51CB3" w:rsidP="00F326E5">
      <w:pPr>
        <w:pStyle w:val="NoSpacing"/>
        <w:rPr>
          <w:rFonts w:ascii="Arial Black" w:hAnsi="Arial Black"/>
          <w:sz w:val="24"/>
          <w:szCs w:val="24"/>
        </w:rPr>
      </w:pPr>
      <w:r>
        <w:rPr>
          <w:rFonts w:ascii="Arial Black" w:hAnsi="Arial Black"/>
          <w:sz w:val="24"/>
          <w:szCs w:val="24"/>
        </w:rPr>
        <w:t>17-41</w:t>
      </w:r>
    </w:p>
    <w:p w14:paraId="338A406B" w14:textId="77777777" w:rsidR="00F51CB3" w:rsidRPr="00FF5CD2" w:rsidRDefault="00F51CB3" w:rsidP="00F51CB3">
      <w:pPr>
        <w:pStyle w:val="NoSpacing"/>
        <w:rPr>
          <w:rFonts w:ascii="Arial Black" w:hAnsi="Arial Black"/>
          <w:b/>
          <w:bCs/>
          <w:sz w:val="28"/>
        </w:rPr>
      </w:pPr>
      <w:r>
        <w:rPr>
          <w:rFonts w:ascii="Arial Black" w:hAnsi="Arial Black"/>
          <w:b/>
          <w:bCs/>
          <w:sz w:val="28"/>
        </w:rPr>
        <w:t xml:space="preserve">OH: CLEVELAND MUST BARGAIN WITH UNION TO HIRE 20 PART-TIME MEDICS – NOT A MANAGEMENT RIGHT </w:t>
      </w:r>
    </w:p>
    <w:p w14:paraId="59D61FF0" w14:textId="77777777" w:rsidR="00F51CB3" w:rsidRDefault="00F51CB3" w:rsidP="00F51CB3">
      <w:pPr>
        <w:pStyle w:val="NoSpacing"/>
        <w:rPr>
          <w:b/>
          <w:bCs/>
          <w:szCs w:val="24"/>
        </w:rPr>
      </w:pPr>
    </w:p>
    <w:p w14:paraId="06941694" w14:textId="77777777" w:rsidR="00F51CB3" w:rsidRPr="00F51CB3" w:rsidRDefault="00F51CB3" w:rsidP="00F51CB3">
      <w:pPr>
        <w:rPr>
          <w:rFonts w:ascii="Times New Roman" w:hAnsi="Times New Roman"/>
          <w:b/>
          <w:bCs/>
          <w:sz w:val="24"/>
          <w:szCs w:val="24"/>
        </w:rPr>
      </w:pPr>
      <w:r w:rsidRPr="00F51CB3">
        <w:rPr>
          <w:rFonts w:ascii="Times New Roman" w:hAnsi="Times New Roman"/>
          <w:sz w:val="24"/>
          <w:szCs w:val="24"/>
        </w:rPr>
        <w:t xml:space="preserve">On August 8, 2024, in </w:t>
      </w:r>
      <w:r w:rsidRPr="00F51CB3">
        <w:rPr>
          <w:rFonts w:ascii="Times New Roman" w:hAnsi="Times New Roman"/>
          <w:sz w:val="24"/>
          <w:szCs w:val="24"/>
          <w:u w:val="single"/>
        </w:rPr>
        <w:t>City of Cleveland v. State Employment Relations Board, et al.</w:t>
      </w:r>
      <w:r w:rsidRPr="00F51CB3">
        <w:rPr>
          <w:rFonts w:ascii="Times New Roman" w:hAnsi="Times New Roman"/>
          <w:sz w:val="24"/>
          <w:szCs w:val="24"/>
        </w:rPr>
        <w:t xml:space="preserve">, the Court of Appeals of Ohio, Eight District (Cuyahoga County) held (3 to 0) that the city has no management right to hire part-time paramedics without bargaining with the Cleveland Association of Rescue Employees, I.L.A, Local 1975 ("CARE").  The city lost before SERB, lost before trial court, and lost on this appeal. The Court wrote: “The issue of whether an employer may reassign bargaining unit work to non-bargaining unit employees has long been held to require negotiation. Because of this, we cannot say the trial court abused its discretion by finding the City's refusal to bargain was not good-faith bargaining. Finally, we cannot say the trial court abused its discretion by finding that the City's actions in approving part-time paramedic positions, posting those positions, accepting applications, and not rescinding its plan made the issue ripe for review by SERB.” </w:t>
      </w:r>
      <w:hyperlink r:id="rId2778" w:history="1">
        <w:r w:rsidRPr="00F51CB3">
          <w:rPr>
            <w:rStyle w:val="Hyperlink"/>
            <w:rFonts w:ascii="Times New Roman" w:hAnsi="Times New Roman"/>
            <w:sz w:val="24"/>
            <w:szCs w:val="24"/>
          </w:rPr>
          <w:t>https://www.supremecourt.ohio.gov/rod/docs/pdf/8/2024/2024-Ohio-3018.pdf</w:t>
        </w:r>
      </w:hyperlink>
      <w:r w:rsidRPr="00F51CB3">
        <w:rPr>
          <w:rFonts w:ascii="Times New Roman" w:hAnsi="Times New Roman"/>
          <w:b/>
          <w:bCs/>
          <w:sz w:val="24"/>
          <w:szCs w:val="24"/>
        </w:rPr>
        <w:t xml:space="preserve"> </w:t>
      </w:r>
    </w:p>
    <w:p w14:paraId="7A32DDD1" w14:textId="77777777" w:rsidR="00F51CB3" w:rsidRPr="00F51CB3" w:rsidRDefault="00F51CB3" w:rsidP="00F51CB3">
      <w:pPr>
        <w:pStyle w:val="NoSpacing"/>
        <w:rPr>
          <w:rFonts w:ascii="Times New Roman" w:hAnsi="Times New Roman"/>
          <w:sz w:val="24"/>
          <w:szCs w:val="24"/>
        </w:rPr>
      </w:pPr>
      <w:r w:rsidRPr="00F51CB3">
        <w:rPr>
          <w:rFonts w:ascii="Times New Roman" w:hAnsi="Times New Roman"/>
          <w:sz w:val="24"/>
          <w:szCs w:val="24"/>
        </w:rPr>
        <w:t xml:space="preserve">THE COURT HELD: </w:t>
      </w:r>
    </w:p>
    <w:p w14:paraId="0C7481A8" w14:textId="77777777" w:rsidR="00F51CB3" w:rsidRPr="00F51CB3" w:rsidRDefault="00F51CB3" w:rsidP="00F51CB3">
      <w:pPr>
        <w:pStyle w:val="NoSpacing"/>
        <w:rPr>
          <w:rFonts w:ascii="Times New Roman" w:hAnsi="Times New Roman"/>
          <w:sz w:val="24"/>
          <w:szCs w:val="24"/>
        </w:rPr>
      </w:pPr>
    </w:p>
    <w:p w14:paraId="6C9EBEB4" w14:textId="77777777" w:rsidR="00F51CB3" w:rsidRPr="00F51CB3" w:rsidRDefault="00F51CB3" w:rsidP="00F51CB3">
      <w:pPr>
        <w:pStyle w:val="NoSpacing"/>
        <w:ind w:left="720"/>
        <w:rPr>
          <w:rFonts w:ascii="Times New Roman" w:hAnsi="Times New Roman"/>
          <w:sz w:val="24"/>
          <w:szCs w:val="24"/>
        </w:rPr>
      </w:pPr>
      <w:r w:rsidRPr="00F51CB3">
        <w:rPr>
          <w:rFonts w:ascii="Times New Roman" w:hAnsi="Times New Roman"/>
          <w:sz w:val="24"/>
          <w:szCs w:val="24"/>
        </w:rPr>
        <w:t>“In order for the City to have the ability to reassign work to non-bargaining unit members</w:t>
      </w:r>
      <w:r w:rsidRPr="00F51CB3">
        <w:rPr>
          <w:rFonts w:ascii="Times New Roman" w:hAnsi="Times New Roman"/>
          <w:b/>
          <w:bCs/>
          <w:sz w:val="24"/>
          <w:szCs w:val="24"/>
        </w:rPr>
        <w:t xml:space="preserve"> without</w:t>
      </w:r>
      <w:r w:rsidRPr="00F51CB3">
        <w:rPr>
          <w:rFonts w:ascii="Times New Roman" w:hAnsi="Times New Roman"/>
          <w:sz w:val="24"/>
          <w:szCs w:val="24"/>
        </w:rPr>
        <w:t xml:space="preserve"> negotiating with CARE, there must be a reservation of that right in the CBA or a specific waiver of such right in the CBA. *** </w:t>
      </w:r>
      <w:proofErr w:type="gramStart"/>
      <w:r w:rsidRPr="00F51CB3">
        <w:rPr>
          <w:rFonts w:ascii="Times New Roman" w:hAnsi="Times New Roman"/>
          <w:sz w:val="24"/>
          <w:szCs w:val="24"/>
        </w:rPr>
        <w:t>In order to</w:t>
      </w:r>
      <w:proofErr w:type="gramEnd"/>
      <w:r w:rsidRPr="00F51CB3">
        <w:rPr>
          <w:rFonts w:ascii="Times New Roman" w:hAnsi="Times New Roman"/>
          <w:sz w:val="24"/>
          <w:szCs w:val="24"/>
        </w:rPr>
        <w:t xml:space="preserve"> unilaterally reassign bargaining unit work, the </w:t>
      </w:r>
      <w:proofErr w:type="gramStart"/>
      <w:r w:rsidRPr="00F51CB3">
        <w:rPr>
          <w:rFonts w:ascii="Times New Roman" w:hAnsi="Times New Roman"/>
          <w:sz w:val="24"/>
          <w:szCs w:val="24"/>
        </w:rPr>
        <w:t>City</w:t>
      </w:r>
      <w:proofErr w:type="gramEnd"/>
      <w:r w:rsidRPr="00F51CB3">
        <w:rPr>
          <w:rFonts w:ascii="Times New Roman" w:hAnsi="Times New Roman"/>
          <w:sz w:val="24"/>
          <w:szCs w:val="24"/>
        </w:rPr>
        <w:t xml:space="preserve"> would have to point to a specific waiver by CARE in the CBA. The CBA does provide a waiver on CARE's part as to ‘the exercise of any rights reserved to and retained by it pursuant to either Section 4117.08(C) of the Revised Code or pursuant to this Article of this Agreement.’ The ability to reassign work does not appear in the list of reserved rights under Article 3(</w:t>
      </w:r>
      <w:proofErr w:type="gramStart"/>
      <w:r w:rsidRPr="00F51CB3">
        <w:rPr>
          <w:rFonts w:ascii="Times New Roman" w:hAnsi="Times New Roman"/>
          <w:sz w:val="24"/>
          <w:szCs w:val="24"/>
        </w:rPr>
        <w:t>A)-</w:t>
      </w:r>
      <w:proofErr w:type="gramEnd"/>
      <w:r w:rsidRPr="00F51CB3">
        <w:rPr>
          <w:rFonts w:ascii="Times New Roman" w:hAnsi="Times New Roman"/>
          <w:sz w:val="24"/>
          <w:szCs w:val="24"/>
        </w:rPr>
        <w:t xml:space="preserve">(K), nor does such appear in R.C. 4117.08(C). Further, R.C. 4117.08(C) specifically requires that a public employer negotiate issues that ‘affect wages, hours, terms and conditions of employment, and the continuation, modification, or deletion of an existing provision of a collective bargaining </w:t>
      </w:r>
      <w:proofErr w:type="gramStart"/>
      <w:r w:rsidRPr="00F51CB3">
        <w:rPr>
          <w:rFonts w:ascii="Times New Roman" w:hAnsi="Times New Roman"/>
          <w:sz w:val="24"/>
          <w:szCs w:val="24"/>
        </w:rPr>
        <w:t>agreement..</w:t>
      </w:r>
      <w:proofErr w:type="gramEnd"/>
      <w:r w:rsidRPr="00F51CB3">
        <w:rPr>
          <w:rFonts w:ascii="Times New Roman" w:hAnsi="Times New Roman"/>
          <w:sz w:val="24"/>
          <w:szCs w:val="24"/>
        </w:rPr>
        <w:t>’”</w:t>
      </w:r>
    </w:p>
    <w:p w14:paraId="2106F3D5" w14:textId="77777777" w:rsidR="00F51CB3" w:rsidRPr="00F51CB3" w:rsidRDefault="00F51CB3" w:rsidP="00F51CB3">
      <w:pPr>
        <w:pStyle w:val="NoSpacing"/>
        <w:rPr>
          <w:rFonts w:ascii="Times New Roman" w:hAnsi="Times New Roman"/>
          <w:sz w:val="24"/>
          <w:szCs w:val="24"/>
        </w:rPr>
      </w:pPr>
    </w:p>
    <w:p w14:paraId="064D23AE" w14:textId="77777777" w:rsidR="00F51CB3" w:rsidRDefault="00F51CB3" w:rsidP="00F51CB3">
      <w:pPr>
        <w:jc w:val="center"/>
        <w:rPr>
          <w:b/>
          <w:bCs/>
          <w:szCs w:val="24"/>
        </w:rPr>
      </w:pPr>
    </w:p>
    <w:p w14:paraId="3970B2DB" w14:textId="77777777" w:rsidR="00F51CB3" w:rsidRDefault="00F51CB3" w:rsidP="00F326E5">
      <w:pPr>
        <w:pStyle w:val="NoSpacing"/>
        <w:rPr>
          <w:rFonts w:ascii="Arial Black" w:hAnsi="Arial Black"/>
          <w:sz w:val="24"/>
          <w:szCs w:val="24"/>
        </w:rPr>
      </w:pPr>
    </w:p>
    <w:p w14:paraId="3416F17B" w14:textId="77777777" w:rsidR="00F51CB3" w:rsidRDefault="00F51CB3" w:rsidP="00F326E5">
      <w:pPr>
        <w:pStyle w:val="NoSpacing"/>
        <w:rPr>
          <w:rFonts w:ascii="Arial Black" w:hAnsi="Arial Black"/>
          <w:sz w:val="24"/>
          <w:szCs w:val="24"/>
        </w:rPr>
      </w:pPr>
    </w:p>
    <w:p w14:paraId="3F29C6D6" w14:textId="77777777" w:rsidR="00F51CB3" w:rsidRDefault="00F51CB3" w:rsidP="00F326E5">
      <w:pPr>
        <w:pStyle w:val="NoSpacing"/>
        <w:rPr>
          <w:rFonts w:ascii="Arial Black" w:hAnsi="Arial Black"/>
          <w:sz w:val="24"/>
          <w:szCs w:val="24"/>
        </w:rPr>
      </w:pPr>
    </w:p>
    <w:p w14:paraId="51FEF0FA" w14:textId="6F3AD5D2" w:rsidR="006428AD" w:rsidRDefault="006428AD" w:rsidP="00F326E5">
      <w:pPr>
        <w:pStyle w:val="NoSpacing"/>
        <w:rPr>
          <w:rFonts w:ascii="Arial Black" w:hAnsi="Arial Black"/>
          <w:sz w:val="24"/>
          <w:szCs w:val="24"/>
        </w:rPr>
      </w:pPr>
      <w:r>
        <w:rPr>
          <w:rFonts w:ascii="Arial Black" w:hAnsi="Arial Black"/>
          <w:sz w:val="24"/>
          <w:szCs w:val="24"/>
        </w:rPr>
        <w:t>17-40</w:t>
      </w:r>
    </w:p>
    <w:p w14:paraId="17F89F76" w14:textId="77777777" w:rsidR="006068BE" w:rsidRDefault="006068BE" w:rsidP="006068BE">
      <w:pPr>
        <w:pStyle w:val="NormalWeb"/>
        <w:rPr>
          <w:rFonts w:ascii="Arial Black" w:hAnsi="Arial Black"/>
          <w:sz w:val="28"/>
          <w:szCs w:val="28"/>
        </w:rPr>
      </w:pPr>
      <w:r>
        <w:rPr>
          <w:rFonts w:ascii="Arial Black" w:hAnsi="Arial Black"/>
          <w:sz w:val="28"/>
          <w:szCs w:val="28"/>
        </w:rPr>
        <w:t>TX: IAFF UNION PRES. FIRED – FOR NOT DISCLOSING PRIOR AUSTIN FD JOB – “BALANCING TEST” – CASE PROCEED</w:t>
      </w:r>
    </w:p>
    <w:p w14:paraId="380A1F59" w14:textId="77777777" w:rsidR="006068BE" w:rsidRDefault="006068BE" w:rsidP="006068BE">
      <w:pPr>
        <w:pStyle w:val="NormalWeb"/>
      </w:pPr>
      <w:r>
        <w:t xml:space="preserve">On May 3, 2024, in </w:t>
      </w:r>
      <w:r w:rsidRPr="009F2444">
        <w:rPr>
          <w:u w:val="single"/>
        </w:rPr>
        <w:t>Michael Teague v. Travis County Emergency Services District 8 and Troy Wenzel</w:t>
      </w:r>
      <w:r>
        <w:t xml:space="preserve">, United State Magistrate Judge Susan Hightower issued a Report and Recommendation the U.S. District Court deny the defendants’ motion to dismiss.  Teague was hired as firefighter in Oct. 2020, and elected President of Local 4820 in Oct. 2022, and served as President until fired in </w:t>
      </w:r>
      <w:proofErr w:type="gramStart"/>
      <w:r>
        <w:t>March,</w:t>
      </w:r>
      <w:proofErr w:type="gramEnd"/>
      <w:r>
        <w:t xml:space="preserve"> 2023. Teague alleges ESD 8 stated in a March 20, </w:t>
      </w:r>
      <w:proofErr w:type="gramStart"/>
      <w:r>
        <w:t>2023</w:t>
      </w:r>
      <w:proofErr w:type="gramEnd"/>
      <w:r>
        <w:t xml:space="preserve"> letter that his employment was terminated because he “falsified” his job application by failing to list his employment with the Austin Fire Department. The Magistrate Judge wrote:  </w:t>
      </w:r>
    </w:p>
    <w:p w14:paraId="77617CFC" w14:textId="77777777" w:rsidR="006068BE" w:rsidRDefault="006068BE" w:rsidP="006068BE">
      <w:pPr>
        <w:pStyle w:val="NormalWeb"/>
        <w:ind w:left="720"/>
      </w:pPr>
      <w:r>
        <w:t xml:space="preserve">“Teague alleges that in his role as Local 4820 President, he repeatedly spoke up about matters of public concern affecting ESD 8 fire fighters in public settings from October 2022 through March 2023. </w:t>
      </w:r>
      <w:proofErr w:type="spellStart"/>
      <w:r>
        <w:t>Dkt</w:t>
      </w:r>
      <w:proofErr w:type="spellEnd"/>
      <w:r>
        <w:t xml:space="preserve">. 10 ¶ 26. He that Defendants were aware of his association with the union and his speech activities. </w:t>
      </w:r>
      <w:r>
        <w:rPr>
          <w:rStyle w:val="Emphasis"/>
          <w:rFonts w:eastAsiaTheme="majorEastAsia"/>
        </w:rPr>
        <w:t>Id.</w:t>
      </w:r>
      <w:r>
        <w:t xml:space="preserve"> ¶ 58. Teague also alleges that he was retaliated against and ultimately terminated for engaging in such speech. </w:t>
      </w:r>
      <w:r>
        <w:rPr>
          <w:rStyle w:val="Emphasis"/>
          <w:rFonts w:eastAsiaTheme="majorEastAsia"/>
        </w:rPr>
        <w:t>Id.</w:t>
      </w:r>
      <w:r>
        <w:t xml:space="preserve"> ¶¶ 34, 36. The Court finds that Teague's allegations and the close timing between his speech activities and his termination are sufficient to show a causal connection at this stage of the proceedings. </w:t>
      </w:r>
      <w:r>
        <w:rPr>
          <w:rStyle w:val="Emphasis"/>
          <w:rFonts w:eastAsiaTheme="majorEastAsia"/>
        </w:rPr>
        <w:t>See Benfield v. Magee</w:t>
      </w:r>
      <w:r>
        <w:t xml:space="preserve">, 945 F.3d 333, 337 (5th Cir. 2019) (‘Close timing between an employee's protected activity and an adverse action against him may provide the causal connection required to make out a prima facie retaliation case.’); </w:t>
      </w:r>
      <w:r>
        <w:rPr>
          <w:rStyle w:val="Emphasis"/>
          <w:rFonts w:eastAsiaTheme="majorEastAsia"/>
        </w:rPr>
        <w:t>Burnside,</w:t>
      </w:r>
      <w:r>
        <w:t xml:space="preserve"> 773 F.3d at 628 (allegations that employee was transferred three weeks after engaging in speech activities were sufficient to allow a plausible inference of a causal connection); </w:t>
      </w:r>
      <w:r>
        <w:rPr>
          <w:rStyle w:val="Emphasis"/>
          <w:rFonts w:eastAsiaTheme="majorEastAsia"/>
        </w:rPr>
        <w:t>Evans v. City of Houston</w:t>
      </w:r>
      <w:r>
        <w:t xml:space="preserve">, 246 F.3d 344, 354 (5th Cir. 2001) (noting that ‘a time lapse of up to four months has been found sufficient to satisfy the causal connection). </w:t>
      </w:r>
    </w:p>
    <w:p w14:paraId="7204BFB6" w14:textId="77777777" w:rsidR="006068BE" w:rsidRDefault="006068BE" w:rsidP="006068BE">
      <w:pPr>
        <w:pStyle w:val="NormalWeb"/>
        <w:ind w:left="720"/>
      </w:pPr>
      <w:r>
        <w:t xml:space="preserve">The Court finds that Teague has alleged sufficient facts to state a plausible </w:t>
      </w:r>
      <w:r>
        <w:rPr>
          <w:rStyle w:val="Emphasis"/>
          <w:rFonts w:eastAsiaTheme="majorEastAsia"/>
        </w:rPr>
        <w:t>prima facie</w:t>
      </w:r>
      <w:r>
        <w:t xml:space="preserve"> case of First Amendment free speech/petition retaliation.” </w:t>
      </w:r>
      <w:hyperlink r:id="rId2779" w:history="1">
        <w:r w:rsidRPr="00FA0156">
          <w:rPr>
            <w:rStyle w:val="Hyperlink"/>
          </w:rPr>
          <w:t>https://casetext.com/case/teague-v-travis-cnty-emergency-servs-dist</w:t>
        </w:r>
      </w:hyperlink>
      <w:r>
        <w:t xml:space="preserve"> </w:t>
      </w:r>
    </w:p>
    <w:p w14:paraId="2582AEDA" w14:textId="77777777" w:rsidR="0085092C" w:rsidRPr="000743CA" w:rsidRDefault="0085092C" w:rsidP="0085092C">
      <w:pPr>
        <w:pStyle w:val="NormalWeb"/>
        <w:rPr>
          <w:b/>
          <w:bCs/>
        </w:rPr>
      </w:pPr>
      <w:r>
        <w:rPr>
          <w:b/>
          <w:bCs/>
        </w:rPr>
        <w:t xml:space="preserve">Legal Lesson Learned:  The lawsuit will now proceed with pre-trial discovery/ </w:t>
      </w:r>
    </w:p>
    <w:p w14:paraId="217AAC93" w14:textId="77777777" w:rsidR="0085092C" w:rsidRDefault="0085092C" w:rsidP="0085092C">
      <w:pPr>
        <w:pStyle w:val="NormalWeb"/>
        <w:spacing w:before="0" w:beforeAutospacing="0"/>
        <w:ind w:left="720"/>
        <w:rPr>
          <w:b/>
          <w:bCs/>
          <w:color w:val="454545"/>
          <w:shd w:val="clear" w:color="auto" w:fill="FFFFFF"/>
        </w:rPr>
      </w:pPr>
      <w:r w:rsidRPr="00E43324">
        <w:rPr>
          <w:color w:val="454545"/>
          <w:shd w:val="clear" w:color="auto" w:fill="FFFFFF"/>
        </w:rPr>
        <w:t>Note:</w:t>
      </w:r>
      <w:r>
        <w:rPr>
          <w:b/>
          <w:bCs/>
          <w:color w:val="454545"/>
          <w:shd w:val="clear" w:color="auto" w:fill="FFFFFF"/>
        </w:rPr>
        <w:t xml:space="preserve"> </w:t>
      </w:r>
      <w:r w:rsidRPr="00E43324">
        <w:rPr>
          <w:color w:val="454545"/>
          <w:shd w:val="clear" w:color="auto" w:fill="FFFFFF"/>
        </w:rPr>
        <w:t>The Magistrate discussed the “balancing test.</w:t>
      </w:r>
      <w:r>
        <w:rPr>
          <w:color w:val="454545"/>
          <w:shd w:val="clear" w:color="auto" w:fill="FFFFFF"/>
        </w:rPr>
        <w:t>”</w:t>
      </w:r>
      <w:r>
        <w:rPr>
          <w:b/>
          <w:bCs/>
          <w:color w:val="454545"/>
          <w:shd w:val="clear" w:color="auto" w:fill="FFFFFF"/>
        </w:rPr>
        <w:t xml:space="preserve">  </w:t>
      </w:r>
    </w:p>
    <w:p w14:paraId="7A3B52E6" w14:textId="77777777" w:rsidR="0085092C" w:rsidRDefault="0085092C" w:rsidP="0085092C">
      <w:pPr>
        <w:pStyle w:val="NormalWeb"/>
        <w:spacing w:before="0" w:beforeAutospacing="0"/>
        <w:ind w:left="1440"/>
      </w:pPr>
      <w:r>
        <w:t xml:space="preserve">“In </w:t>
      </w:r>
      <w:r>
        <w:rPr>
          <w:rStyle w:val="Emphasis"/>
          <w:rFonts w:eastAsiaTheme="majorEastAsia"/>
        </w:rPr>
        <w:t>Pickering v. Bd. of Ed. of Twp. High Sch. Dist. 205, Will Cnty.</w:t>
      </w:r>
      <w:r>
        <w:t xml:space="preserve">, 391 U.S. 563 (1968), the Court laid the framework for analyzing ‘whether the employee's interest or the government's interest should prevail in cases where the government seeks to curtail the speech of its employees.’ </w:t>
      </w:r>
      <w:r>
        <w:rPr>
          <w:rStyle w:val="Emphasis"/>
          <w:rFonts w:eastAsiaTheme="majorEastAsia"/>
        </w:rPr>
        <w:t>Lane</w:t>
      </w:r>
      <w:r>
        <w:t>, 573 U.S. at 236. This balancing test requires’“</w:t>
      </w:r>
      <w:proofErr w:type="spellStart"/>
      <w:r>
        <w:t>balanc</w:t>
      </w:r>
      <w:proofErr w:type="spellEnd"/>
      <w:r>
        <w:t>[</w:t>
      </w:r>
      <w:proofErr w:type="spellStart"/>
      <w:r>
        <w:t>ing</w:t>
      </w:r>
      <w:proofErr w:type="spellEnd"/>
      <w:r>
        <w:t xml:space="preserve">] . . . the interests of the [public employee], as a citizen, in commenting upon matters of public concern and the interest of the State, as an employer, in promoting the efficiency of the public services it performs through its employees.’ </w:t>
      </w:r>
      <w:r>
        <w:rPr>
          <w:rStyle w:val="Emphasis"/>
          <w:rFonts w:eastAsiaTheme="majorEastAsia"/>
        </w:rPr>
        <w:t>Pickering</w:t>
      </w:r>
      <w:r>
        <w:t>, 391 U.S. at 568. This is known as the “</w:t>
      </w:r>
      <w:r>
        <w:rPr>
          <w:rStyle w:val="Emphasis"/>
          <w:rFonts w:eastAsiaTheme="majorEastAsia"/>
        </w:rPr>
        <w:t>Pickering</w:t>
      </w:r>
      <w:r>
        <w:t xml:space="preserve"> balancing test.” </w:t>
      </w:r>
      <w:r>
        <w:rPr>
          <w:rStyle w:val="Emphasis"/>
          <w:rFonts w:eastAsiaTheme="majorEastAsia"/>
        </w:rPr>
        <w:t xml:space="preserve">Bd. of </w:t>
      </w:r>
      <w:proofErr w:type="spellStart"/>
      <w:r>
        <w:rPr>
          <w:rStyle w:val="Emphasis"/>
          <w:rFonts w:eastAsiaTheme="majorEastAsia"/>
        </w:rPr>
        <w:t>Cnty</w:t>
      </w:r>
      <w:proofErr w:type="spellEnd"/>
      <w:r>
        <w:rPr>
          <w:rStyle w:val="Emphasis"/>
          <w:rFonts w:eastAsiaTheme="majorEastAsia"/>
        </w:rPr>
        <w:t xml:space="preserve">. Comm'rs, Wabaunsee </w:t>
      </w:r>
      <w:proofErr w:type="spellStart"/>
      <w:r>
        <w:rPr>
          <w:rStyle w:val="Emphasis"/>
          <w:rFonts w:eastAsiaTheme="majorEastAsia"/>
        </w:rPr>
        <w:t>Cnty</w:t>
      </w:r>
      <w:proofErr w:type="spellEnd"/>
      <w:r>
        <w:rPr>
          <w:rStyle w:val="Emphasis"/>
          <w:rFonts w:eastAsiaTheme="majorEastAsia"/>
        </w:rPr>
        <w:t>., Kan. v. Umbehr</w:t>
      </w:r>
      <w:r>
        <w:t xml:space="preserve">, 518 U.S. 668, 668 (1996). In </w:t>
      </w:r>
      <w:r>
        <w:rPr>
          <w:rStyle w:val="Emphasis"/>
          <w:rFonts w:eastAsiaTheme="majorEastAsia"/>
        </w:rPr>
        <w:t>Pickering</w:t>
      </w:r>
      <w:r>
        <w:t xml:space="preserve">, the Court struck the balance in favor of the public employee, extending First Amendment protection to a teacher who was fired after writing a letter to the editor of a local newspaper criticizing the school board that employed him. </w:t>
      </w:r>
      <w:r>
        <w:rPr>
          <w:rStyle w:val="Emphasis"/>
          <w:rFonts w:eastAsiaTheme="majorEastAsia"/>
        </w:rPr>
        <w:t>Id.</w:t>
      </w:r>
      <w:r>
        <w:t xml:space="preserve"> at 573.”</w:t>
      </w:r>
    </w:p>
    <w:p w14:paraId="1163C8BE" w14:textId="77777777" w:rsidR="006428AD" w:rsidRDefault="006428AD" w:rsidP="00F326E5">
      <w:pPr>
        <w:pStyle w:val="NoSpacing"/>
        <w:rPr>
          <w:rFonts w:ascii="Arial Black" w:hAnsi="Arial Black"/>
          <w:sz w:val="24"/>
          <w:szCs w:val="24"/>
        </w:rPr>
      </w:pPr>
    </w:p>
    <w:p w14:paraId="1D45BDF5" w14:textId="77777777" w:rsidR="006428AD" w:rsidRDefault="006428AD" w:rsidP="00F326E5">
      <w:pPr>
        <w:pStyle w:val="NoSpacing"/>
        <w:rPr>
          <w:rFonts w:ascii="Arial Black" w:hAnsi="Arial Black"/>
          <w:sz w:val="24"/>
          <w:szCs w:val="24"/>
        </w:rPr>
      </w:pPr>
    </w:p>
    <w:p w14:paraId="4C5F040B" w14:textId="3C6F84C8" w:rsidR="00F91F9F" w:rsidRDefault="00026281" w:rsidP="00F326E5">
      <w:pPr>
        <w:pStyle w:val="NoSpacing"/>
        <w:rPr>
          <w:rFonts w:ascii="Arial Black" w:hAnsi="Arial Black"/>
          <w:sz w:val="24"/>
          <w:szCs w:val="24"/>
        </w:rPr>
      </w:pPr>
      <w:r>
        <w:rPr>
          <w:rFonts w:ascii="Arial Black" w:hAnsi="Arial Black"/>
          <w:sz w:val="24"/>
          <w:szCs w:val="24"/>
        </w:rPr>
        <w:t>17-39</w:t>
      </w:r>
    </w:p>
    <w:p w14:paraId="3D0A1195" w14:textId="77777777" w:rsidR="00026281" w:rsidRDefault="00026281" w:rsidP="00F326E5">
      <w:pPr>
        <w:pStyle w:val="NoSpacing"/>
        <w:rPr>
          <w:rFonts w:ascii="Arial Black" w:hAnsi="Arial Black"/>
          <w:sz w:val="24"/>
          <w:szCs w:val="24"/>
        </w:rPr>
      </w:pPr>
    </w:p>
    <w:p w14:paraId="552A4CFA" w14:textId="77777777" w:rsidR="00026281" w:rsidRDefault="00026281" w:rsidP="00026281">
      <w:pPr>
        <w:pStyle w:val="NormalWeb"/>
        <w:spacing w:before="0" w:beforeAutospacing="0"/>
        <w:rPr>
          <w:rFonts w:ascii="Arial Black" w:hAnsi="Arial Black"/>
          <w:sz w:val="28"/>
          <w:szCs w:val="28"/>
        </w:rPr>
      </w:pPr>
      <w:r>
        <w:rPr>
          <w:rFonts w:ascii="Arial Black" w:hAnsi="Arial Black"/>
          <w:sz w:val="28"/>
          <w:szCs w:val="28"/>
        </w:rPr>
        <w:t>OH: CITY ELIMINATED 3 BC – ORDERED TO REINSTATE - GRIEVANCE DELAY – ARBITRATOR DECIDE IF FILED TIMELY</w:t>
      </w:r>
    </w:p>
    <w:p w14:paraId="52D7F234" w14:textId="77777777" w:rsidR="00026281" w:rsidRDefault="00026281" w:rsidP="00026281">
      <w:pPr>
        <w:pStyle w:val="NormalWeb"/>
        <w:spacing w:before="0" w:beforeAutospacing="0"/>
      </w:pPr>
      <w:r>
        <w:t xml:space="preserve">On March 13, 2024, in </w:t>
      </w:r>
      <w:r w:rsidRPr="00BC4EF0">
        <w:rPr>
          <w:u w:val="single"/>
        </w:rPr>
        <w:t>Youngstown Professional Firefighters, IAFF Local 312 v. City of Youngstown</w:t>
      </w:r>
      <w:r>
        <w:t xml:space="preserve">, the Ohio Court of Appeals for Seventh District held (3 to 0) that City cannot refuse to arbitrate because they believe the Grievance was not filed within 14-days; the union says it is a continuing violation of CBA, and the arbitrator can decide this procedural issue.  The parties have been in litigation for five years over Battalion Chief positions.  In September 2019 the City decided to eliminate three Battalion Chief positions through attrition, and union filed charges with State Employment Relations Board that this was in retaliation for union pushing city to upgrade their radios.  The Board ordered City to reinstate those three positions, and in Dec. 2021, the Court of Appeals for the Seventh District agreed with the union and the Board. Two Captains have since been promoted to Battalion Chief (March 2022 and February 2023), but third Battalion Chief position has never been filed since 2021 retirement of Chief Caggiano.  </w:t>
      </w:r>
    </w:p>
    <w:p w14:paraId="60637A20" w14:textId="77777777" w:rsidR="004305B6" w:rsidRPr="004C0299" w:rsidRDefault="004305B6" w:rsidP="004305B6">
      <w:pPr>
        <w:pStyle w:val="NoSpacing"/>
        <w:rPr>
          <w:rFonts w:ascii="Times New Roman" w:hAnsi="Times New Roman"/>
          <w:sz w:val="24"/>
          <w:szCs w:val="24"/>
        </w:rPr>
      </w:pPr>
      <w:r>
        <w:rPr>
          <w:rFonts w:ascii="Times New Roman" w:hAnsi="Times New Roman"/>
          <w:sz w:val="24"/>
          <w:szCs w:val="24"/>
          <w:shd w:val="clear" w:color="auto" w:fill="FFFFFF"/>
        </w:rPr>
        <w:t>THE COURT HELD:</w:t>
      </w:r>
    </w:p>
    <w:p w14:paraId="36D0B057" w14:textId="77777777" w:rsidR="004D2264" w:rsidRDefault="004D2264" w:rsidP="00026281">
      <w:pPr>
        <w:pStyle w:val="NormalWeb"/>
        <w:spacing w:before="0" w:beforeAutospacing="0"/>
        <w:ind w:left="720"/>
      </w:pPr>
    </w:p>
    <w:p w14:paraId="4173977F" w14:textId="030A2240" w:rsidR="00026281" w:rsidRDefault="00026281" w:rsidP="00026281">
      <w:pPr>
        <w:pStyle w:val="NormalWeb"/>
        <w:spacing w:before="0" w:beforeAutospacing="0"/>
        <w:ind w:left="720"/>
      </w:pPr>
      <w:r>
        <w:t>“The grievance at issue in this appeal, Grievance 22-007, asserts ‘the City's refusal to reinstate Battalion Chief positions, violating a [State Employment Relations Board Unfair Labor Practice] decision and other court rulings, has resulted in violations of the CBA, safety concerns and compensation denied to our members since December 2019. (Grievance 22-007, p. 1.) The grievance further asserts the City has ‘yet to acknowledge another vacancy in the rank of Battalion Chief created on 6/5/2021 by the retirement of [Battalion Chief] Sil Caggiano.’</w:t>
      </w:r>
    </w:p>
    <w:p w14:paraId="0A87BE7A" w14:textId="77777777" w:rsidR="00026281" w:rsidRDefault="00026281" w:rsidP="00026281">
      <w:pPr>
        <w:pStyle w:val="NormalWeb"/>
        <w:spacing w:before="0" w:beforeAutospacing="0"/>
        <w:ind w:left="720"/>
      </w:pPr>
      <w:r>
        <w:t>***</w:t>
      </w:r>
    </w:p>
    <w:p w14:paraId="14A311E9" w14:textId="77777777" w:rsidR="00026281" w:rsidRDefault="00026281" w:rsidP="00026281">
      <w:pPr>
        <w:pStyle w:val="NormalWeb"/>
        <w:spacing w:before="0" w:beforeAutospacing="0"/>
        <w:ind w:left="720"/>
      </w:pPr>
      <w:r>
        <w:t xml:space="preserve">For the foregoing reasons, we find the timeliness of </w:t>
      </w:r>
      <w:proofErr w:type="gramStart"/>
      <w:r>
        <w:t>the grievance</w:t>
      </w:r>
      <w:proofErr w:type="gramEnd"/>
      <w:r>
        <w:t xml:space="preserve"> is a procedural issue, which requires an interpretation of the CBA, and must be determined by the arbitrator. </w:t>
      </w:r>
      <w:proofErr w:type="gramStart"/>
      <w:r>
        <w:t>As a consequence</w:t>
      </w:r>
      <w:proofErr w:type="gramEnd"/>
      <w:r>
        <w:t xml:space="preserve">, the City's assignments of error have no merit and the judgment entry of the trial court sustaining the complaint to compel arbitration is affirmed.” </w:t>
      </w:r>
      <w:hyperlink r:id="rId2780" w:history="1">
        <w:r w:rsidRPr="00AA5DF9">
          <w:rPr>
            <w:rStyle w:val="Hyperlink"/>
          </w:rPr>
          <w:t>https://casetext.com/case/youngstown-profl-firefighters-iaff-local-312-v-city-of-youngstown</w:t>
        </w:r>
      </w:hyperlink>
      <w:r>
        <w:t xml:space="preserve"> </w:t>
      </w:r>
    </w:p>
    <w:p w14:paraId="7E9D565F" w14:textId="77777777" w:rsidR="00026281" w:rsidRDefault="00026281" w:rsidP="00026281">
      <w:pPr>
        <w:spacing w:after="100" w:line="240" w:lineRule="auto"/>
        <w:ind w:left="720"/>
        <w:rPr>
          <w:rFonts w:ascii="Times New Roman" w:hAnsi="Times New Roman"/>
          <w:sz w:val="24"/>
          <w:szCs w:val="24"/>
        </w:rPr>
      </w:pPr>
    </w:p>
    <w:p w14:paraId="7507819B" w14:textId="77777777" w:rsidR="00026281" w:rsidRPr="006015DE" w:rsidRDefault="00026281" w:rsidP="00026281">
      <w:pPr>
        <w:spacing w:after="100" w:line="240" w:lineRule="auto"/>
        <w:rPr>
          <w:rFonts w:ascii="Times New Roman" w:eastAsia="Times New Roman" w:hAnsi="Times New Roman"/>
          <w:b/>
          <w:bCs/>
          <w:sz w:val="24"/>
          <w:szCs w:val="24"/>
        </w:rPr>
      </w:pPr>
      <w:r w:rsidRPr="007B7A20">
        <w:rPr>
          <w:rFonts w:ascii="Times New Roman" w:hAnsi="Times New Roman"/>
          <w:b/>
          <w:bCs/>
          <w:sz w:val="24"/>
          <w:szCs w:val="24"/>
        </w:rPr>
        <w:t>Legal Lesson Learned:</w:t>
      </w:r>
      <w:r>
        <w:rPr>
          <w:rFonts w:ascii="Times New Roman" w:hAnsi="Times New Roman"/>
          <w:b/>
          <w:bCs/>
          <w:sz w:val="24"/>
          <w:szCs w:val="24"/>
        </w:rPr>
        <w:t xml:space="preserve"> Arbitrators can decide the timeliness of a grievance. </w:t>
      </w:r>
    </w:p>
    <w:p w14:paraId="3C0412B7" w14:textId="77777777" w:rsidR="00026281" w:rsidRPr="007B7A20" w:rsidRDefault="00026281" w:rsidP="00026281">
      <w:pPr>
        <w:pStyle w:val="NoSpacing"/>
        <w:rPr>
          <w:rFonts w:ascii="Times New Roman" w:hAnsi="Times New Roman"/>
          <w:b/>
          <w:bCs/>
          <w:sz w:val="24"/>
          <w:szCs w:val="24"/>
        </w:rPr>
      </w:pPr>
    </w:p>
    <w:p w14:paraId="034ED69E" w14:textId="77777777" w:rsidR="00026281" w:rsidRPr="004A34D8" w:rsidRDefault="00026281" w:rsidP="00026281">
      <w:pPr>
        <w:pStyle w:val="NoSpacing"/>
        <w:ind w:left="720"/>
        <w:rPr>
          <w:rFonts w:ascii="Times New Roman" w:hAnsi="Times New Roman"/>
          <w:sz w:val="24"/>
          <w:szCs w:val="24"/>
        </w:rPr>
      </w:pPr>
      <w:r>
        <w:rPr>
          <w:rFonts w:ascii="Times New Roman" w:hAnsi="Times New Roman"/>
          <w:sz w:val="24"/>
          <w:szCs w:val="24"/>
        </w:rPr>
        <w:t>Note: See M</w:t>
      </w:r>
      <w:r w:rsidRPr="004A34D8">
        <w:rPr>
          <w:rFonts w:ascii="Times New Roman" w:hAnsi="Times New Roman"/>
          <w:sz w:val="24"/>
          <w:szCs w:val="24"/>
        </w:rPr>
        <w:t xml:space="preserve">arch 16, </w:t>
      </w:r>
      <w:proofErr w:type="gramStart"/>
      <w:r w:rsidRPr="004A34D8">
        <w:rPr>
          <w:rFonts w:ascii="Times New Roman" w:hAnsi="Times New Roman"/>
          <w:sz w:val="24"/>
          <w:szCs w:val="24"/>
        </w:rPr>
        <w:t>2024</w:t>
      </w:r>
      <w:proofErr w:type="gramEnd"/>
      <w:r w:rsidRPr="004A34D8">
        <w:rPr>
          <w:rFonts w:ascii="Times New Roman" w:hAnsi="Times New Roman"/>
          <w:sz w:val="24"/>
          <w:szCs w:val="24"/>
        </w:rPr>
        <w:t xml:space="preserve"> article, “City’s request to dismiss fire union case falters.” </w:t>
      </w:r>
      <w:hyperlink r:id="rId2781" w:history="1">
        <w:r w:rsidRPr="00AA5DF9">
          <w:rPr>
            <w:rStyle w:val="Hyperlink"/>
            <w:rFonts w:ascii="Times New Roman" w:hAnsi="Times New Roman"/>
            <w:sz w:val="24"/>
            <w:szCs w:val="24"/>
          </w:rPr>
          <w:t>https://www.vindy.com/news/local-news/2024/03/citys-request-to-dismiss-fire-union-case-falters/</w:t>
        </w:r>
      </w:hyperlink>
      <w:r w:rsidRPr="004A34D8">
        <w:rPr>
          <w:rFonts w:ascii="Times New Roman" w:hAnsi="Times New Roman"/>
          <w:sz w:val="24"/>
          <w:szCs w:val="24"/>
        </w:rPr>
        <w:t xml:space="preserve"> </w:t>
      </w:r>
    </w:p>
    <w:p w14:paraId="028C209A" w14:textId="77777777" w:rsidR="00026281" w:rsidRDefault="00026281" w:rsidP="00026281">
      <w:pPr>
        <w:pStyle w:val="NormalWeb"/>
        <w:ind w:left="720"/>
      </w:pPr>
      <w:r>
        <w:t>“This issue was the latest in a series of arguments between the two sides on battalion chief positions with the union continuously winning court cases.”</w:t>
      </w:r>
    </w:p>
    <w:p w14:paraId="3852A254" w14:textId="77777777" w:rsidR="00026281" w:rsidRDefault="00026281" w:rsidP="00F326E5">
      <w:pPr>
        <w:pStyle w:val="NoSpacing"/>
        <w:rPr>
          <w:rFonts w:ascii="Arial Black" w:hAnsi="Arial Black"/>
          <w:sz w:val="24"/>
          <w:szCs w:val="24"/>
        </w:rPr>
      </w:pPr>
    </w:p>
    <w:p w14:paraId="31460E7B" w14:textId="77777777" w:rsidR="00F91F9F" w:rsidRDefault="00F91F9F" w:rsidP="00F326E5">
      <w:pPr>
        <w:pStyle w:val="NoSpacing"/>
        <w:rPr>
          <w:rFonts w:ascii="Arial Black" w:hAnsi="Arial Black"/>
          <w:sz w:val="24"/>
          <w:szCs w:val="24"/>
        </w:rPr>
      </w:pPr>
    </w:p>
    <w:p w14:paraId="58C60AEE" w14:textId="742B0404" w:rsidR="004E344B" w:rsidRDefault="007D66BE" w:rsidP="00F326E5">
      <w:pPr>
        <w:pStyle w:val="NoSpacing"/>
        <w:rPr>
          <w:rFonts w:ascii="Arial Black" w:hAnsi="Arial Black"/>
          <w:sz w:val="24"/>
          <w:szCs w:val="24"/>
        </w:rPr>
      </w:pPr>
      <w:r>
        <w:rPr>
          <w:rFonts w:ascii="Arial Black" w:hAnsi="Arial Black"/>
          <w:sz w:val="24"/>
          <w:szCs w:val="24"/>
        </w:rPr>
        <w:t>17-38</w:t>
      </w:r>
    </w:p>
    <w:p w14:paraId="5B581454" w14:textId="77777777" w:rsidR="006D0326" w:rsidRDefault="006D0326" w:rsidP="006D0326">
      <w:pPr>
        <w:pStyle w:val="NormalWeb"/>
      </w:pPr>
      <w:r>
        <w:rPr>
          <w:rFonts w:ascii="Arial Black" w:hAnsi="Arial Black"/>
          <w:sz w:val="28"/>
          <w:szCs w:val="28"/>
        </w:rPr>
        <w:t xml:space="preserve">CT: AMR – CUT SHIFTS DURING COVID – UNION REQ. CALL DATA – CASE BACK TO NLRB – CBA HAS “DISASTER” PROV. </w:t>
      </w:r>
    </w:p>
    <w:p w14:paraId="5D10C357" w14:textId="77777777" w:rsidR="006D0326" w:rsidRPr="00213A36" w:rsidRDefault="006D0326" w:rsidP="006D0326">
      <w:pPr>
        <w:pStyle w:val="NormalWeb"/>
      </w:pPr>
      <w:r>
        <w:t xml:space="preserve">On Feb. 16, 2024, in </w:t>
      </w:r>
      <w:r w:rsidRPr="00213A36">
        <w:rPr>
          <w:u w:val="single"/>
        </w:rPr>
        <w:t>American Response of Connecticut, Inc. v. National Labor Relations Board</w:t>
      </w:r>
      <w:r>
        <w:t xml:space="preserve">, the U.S. Court of Appeals for the District of Columbia, held (3 to 0) that the NLRB must rehear AMR’s defense that the “Local Disaster” provision in collective bargaining agreement excused company from providing call data and other information to union. </w:t>
      </w:r>
    </w:p>
    <w:p w14:paraId="6722BEDD" w14:textId="77777777" w:rsidR="006D0326" w:rsidRDefault="006D0326" w:rsidP="006D0326">
      <w:pPr>
        <w:pStyle w:val="NormalWeb"/>
      </w:pPr>
      <w:r>
        <w:t>The Court held:</w:t>
      </w:r>
    </w:p>
    <w:p w14:paraId="3B011175" w14:textId="77777777" w:rsidR="006D0326" w:rsidRDefault="006D0326" w:rsidP="006D0326">
      <w:pPr>
        <w:pStyle w:val="NoSpacing"/>
        <w:ind w:left="720"/>
        <w:rPr>
          <w:rFonts w:ascii="Times New Roman" w:hAnsi="Times New Roman"/>
          <w:sz w:val="24"/>
          <w:szCs w:val="24"/>
        </w:rPr>
      </w:pPr>
      <w:r>
        <w:rPr>
          <w:rFonts w:ascii="Times New Roman" w:hAnsi="Times New Roman"/>
          <w:sz w:val="24"/>
          <w:szCs w:val="24"/>
        </w:rPr>
        <w:t>“</w:t>
      </w:r>
      <w:r w:rsidRPr="003B7CA1">
        <w:rPr>
          <w:rFonts w:ascii="Times New Roman" w:hAnsi="Times New Roman"/>
          <w:sz w:val="24"/>
          <w:szCs w:val="24"/>
        </w:rPr>
        <w:t>We do not</w:t>
      </w:r>
      <w:r>
        <w:rPr>
          <w:rFonts w:ascii="Times New Roman" w:hAnsi="Times New Roman"/>
          <w:sz w:val="24"/>
          <w:szCs w:val="24"/>
        </w:rPr>
        <w:t xml:space="preserve"> </w:t>
      </w:r>
      <w:r w:rsidRPr="003B7CA1">
        <w:rPr>
          <w:rFonts w:ascii="Times New Roman" w:hAnsi="Times New Roman"/>
          <w:sz w:val="24"/>
          <w:szCs w:val="24"/>
        </w:rPr>
        <w:t>decide whether § 23.03 excused AMR, either directly or</w:t>
      </w:r>
      <w:r>
        <w:rPr>
          <w:rFonts w:ascii="Times New Roman" w:hAnsi="Times New Roman"/>
          <w:sz w:val="24"/>
          <w:szCs w:val="24"/>
        </w:rPr>
        <w:t xml:space="preserve"> </w:t>
      </w:r>
      <w:r w:rsidRPr="003B7CA1">
        <w:rPr>
          <w:rFonts w:ascii="Times New Roman" w:hAnsi="Times New Roman"/>
          <w:sz w:val="24"/>
          <w:szCs w:val="24"/>
        </w:rPr>
        <w:t>indirectly, from the obligation to respond to these information</w:t>
      </w:r>
      <w:r>
        <w:rPr>
          <w:rFonts w:ascii="Times New Roman" w:hAnsi="Times New Roman"/>
          <w:sz w:val="24"/>
          <w:szCs w:val="24"/>
        </w:rPr>
        <w:t xml:space="preserve"> </w:t>
      </w:r>
      <w:r w:rsidRPr="003B7CA1">
        <w:rPr>
          <w:rFonts w:ascii="Times New Roman" w:hAnsi="Times New Roman"/>
          <w:sz w:val="24"/>
          <w:szCs w:val="24"/>
        </w:rPr>
        <w:t>requests. Because these interpretive issues were not fully</w:t>
      </w:r>
      <w:r>
        <w:rPr>
          <w:rFonts w:ascii="Times New Roman" w:hAnsi="Times New Roman"/>
          <w:sz w:val="24"/>
          <w:szCs w:val="24"/>
        </w:rPr>
        <w:t xml:space="preserve"> </w:t>
      </w:r>
      <w:r w:rsidRPr="003B7CA1">
        <w:rPr>
          <w:rFonts w:ascii="Times New Roman" w:hAnsi="Times New Roman"/>
          <w:sz w:val="24"/>
          <w:szCs w:val="24"/>
        </w:rPr>
        <w:t xml:space="preserve">briefed, we vacate the order and </w:t>
      </w:r>
      <w:proofErr w:type="gramStart"/>
      <w:r w:rsidRPr="003B7CA1">
        <w:rPr>
          <w:rFonts w:ascii="Times New Roman" w:hAnsi="Times New Roman"/>
          <w:sz w:val="24"/>
          <w:szCs w:val="24"/>
        </w:rPr>
        <w:t>remand</w:t>
      </w:r>
      <w:proofErr w:type="gramEnd"/>
      <w:r w:rsidRPr="003B7CA1">
        <w:rPr>
          <w:rFonts w:ascii="Times New Roman" w:hAnsi="Times New Roman"/>
          <w:sz w:val="24"/>
          <w:szCs w:val="24"/>
        </w:rPr>
        <w:t xml:space="preserve"> for the Board to</w:t>
      </w:r>
      <w:r>
        <w:rPr>
          <w:rFonts w:ascii="Times New Roman" w:hAnsi="Times New Roman"/>
          <w:sz w:val="24"/>
          <w:szCs w:val="24"/>
        </w:rPr>
        <w:t xml:space="preserve"> </w:t>
      </w:r>
      <w:r w:rsidRPr="003B7CA1">
        <w:rPr>
          <w:rFonts w:ascii="Times New Roman" w:hAnsi="Times New Roman"/>
          <w:sz w:val="24"/>
          <w:szCs w:val="24"/>
        </w:rPr>
        <w:t>consider these issues in the first instance. The Board should</w:t>
      </w:r>
      <w:r>
        <w:rPr>
          <w:rFonts w:ascii="Times New Roman" w:hAnsi="Times New Roman"/>
          <w:sz w:val="24"/>
          <w:szCs w:val="24"/>
        </w:rPr>
        <w:t xml:space="preserve"> </w:t>
      </w:r>
      <w:r w:rsidRPr="003B7CA1">
        <w:rPr>
          <w:rFonts w:ascii="Times New Roman" w:hAnsi="Times New Roman"/>
          <w:sz w:val="24"/>
          <w:szCs w:val="24"/>
        </w:rPr>
        <w:t>also consider whether AMR forfeited or failed to exhaust this</w:t>
      </w:r>
      <w:r>
        <w:rPr>
          <w:rFonts w:ascii="Times New Roman" w:hAnsi="Times New Roman"/>
          <w:sz w:val="24"/>
          <w:szCs w:val="24"/>
        </w:rPr>
        <w:t xml:space="preserve"> </w:t>
      </w:r>
      <w:r w:rsidRPr="003B7CA1">
        <w:rPr>
          <w:rFonts w:ascii="Times New Roman" w:hAnsi="Times New Roman"/>
          <w:sz w:val="24"/>
          <w:szCs w:val="24"/>
        </w:rPr>
        <w:t>defense with respect to any of the information requests. As</w:t>
      </w:r>
      <w:r>
        <w:rPr>
          <w:rFonts w:ascii="Times New Roman" w:hAnsi="Times New Roman"/>
          <w:sz w:val="24"/>
          <w:szCs w:val="24"/>
        </w:rPr>
        <w:t xml:space="preserve"> </w:t>
      </w:r>
      <w:r w:rsidRPr="003B7CA1">
        <w:rPr>
          <w:rFonts w:ascii="Times New Roman" w:hAnsi="Times New Roman"/>
          <w:sz w:val="24"/>
          <w:szCs w:val="24"/>
        </w:rPr>
        <w:t xml:space="preserve">resolution of this threshold contractual issue may </w:t>
      </w:r>
      <w:proofErr w:type="gramStart"/>
      <w:r w:rsidRPr="003B7CA1">
        <w:rPr>
          <w:rFonts w:ascii="Times New Roman" w:hAnsi="Times New Roman"/>
          <w:sz w:val="24"/>
          <w:szCs w:val="24"/>
        </w:rPr>
        <w:t>impact</w:t>
      </w:r>
      <w:proofErr w:type="gramEnd"/>
      <w:r w:rsidRPr="003B7CA1">
        <w:rPr>
          <w:rFonts w:ascii="Times New Roman" w:hAnsi="Times New Roman"/>
          <w:sz w:val="24"/>
          <w:szCs w:val="24"/>
        </w:rPr>
        <w:t xml:space="preserve"> the</w:t>
      </w:r>
      <w:r>
        <w:rPr>
          <w:rFonts w:ascii="Times New Roman" w:hAnsi="Times New Roman"/>
          <w:sz w:val="24"/>
          <w:szCs w:val="24"/>
        </w:rPr>
        <w:t xml:space="preserve"> </w:t>
      </w:r>
      <w:r w:rsidRPr="003B7CA1">
        <w:rPr>
          <w:rFonts w:ascii="Times New Roman" w:hAnsi="Times New Roman"/>
          <w:sz w:val="24"/>
          <w:szCs w:val="24"/>
        </w:rPr>
        <w:t>other issues presented, we do not consider them here.</w:t>
      </w:r>
      <w:r>
        <w:rPr>
          <w:rFonts w:ascii="Times New Roman" w:hAnsi="Times New Roman"/>
          <w:sz w:val="24"/>
          <w:szCs w:val="24"/>
        </w:rPr>
        <w:t xml:space="preserve"> </w:t>
      </w:r>
      <w:r w:rsidRPr="003F32C1">
        <w:rPr>
          <w:rFonts w:ascii="Times New Roman" w:hAnsi="Times New Roman"/>
          <w:sz w:val="24"/>
          <w:szCs w:val="24"/>
        </w:rPr>
        <w:t>We address only</w:t>
      </w:r>
      <w:r>
        <w:rPr>
          <w:rFonts w:ascii="Times New Roman" w:hAnsi="Times New Roman"/>
          <w:sz w:val="24"/>
          <w:szCs w:val="24"/>
        </w:rPr>
        <w:t xml:space="preserve"> </w:t>
      </w:r>
      <w:r w:rsidRPr="003F32C1">
        <w:rPr>
          <w:rFonts w:ascii="Times New Roman" w:hAnsi="Times New Roman"/>
          <w:sz w:val="24"/>
          <w:szCs w:val="24"/>
        </w:rPr>
        <w:t>one of those defenses, namely that the Union, through the</w:t>
      </w:r>
      <w:r>
        <w:rPr>
          <w:rFonts w:ascii="Times New Roman" w:hAnsi="Times New Roman"/>
          <w:sz w:val="24"/>
          <w:szCs w:val="24"/>
        </w:rPr>
        <w:t xml:space="preserve"> </w:t>
      </w:r>
      <w:r w:rsidRPr="003F32C1">
        <w:rPr>
          <w:rFonts w:ascii="Times New Roman" w:hAnsi="Times New Roman"/>
          <w:sz w:val="24"/>
          <w:szCs w:val="24"/>
        </w:rPr>
        <w:t xml:space="preserve">collective bargaining </w:t>
      </w:r>
      <w:proofErr w:type="gramStart"/>
      <w:r w:rsidRPr="003F32C1">
        <w:rPr>
          <w:rFonts w:ascii="Times New Roman" w:hAnsi="Times New Roman"/>
          <w:sz w:val="24"/>
          <w:szCs w:val="24"/>
        </w:rPr>
        <w:t xml:space="preserve">agreement, </w:t>
      </w:r>
      <w:r>
        <w:rPr>
          <w:rFonts w:ascii="Times New Roman" w:hAnsi="Times New Roman"/>
          <w:sz w:val="24"/>
          <w:szCs w:val="24"/>
        </w:rPr>
        <w:t>‘</w:t>
      </w:r>
      <w:proofErr w:type="gramEnd"/>
      <w:r w:rsidRPr="003F32C1">
        <w:rPr>
          <w:rFonts w:ascii="Times New Roman" w:hAnsi="Times New Roman"/>
          <w:sz w:val="24"/>
          <w:szCs w:val="24"/>
        </w:rPr>
        <w:t>waived any rights to the</w:t>
      </w:r>
      <w:r>
        <w:rPr>
          <w:rFonts w:ascii="Times New Roman" w:hAnsi="Times New Roman"/>
          <w:sz w:val="24"/>
          <w:szCs w:val="24"/>
        </w:rPr>
        <w:t xml:space="preserve"> </w:t>
      </w:r>
      <w:r w:rsidRPr="003F32C1">
        <w:rPr>
          <w:rFonts w:ascii="Times New Roman" w:hAnsi="Times New Roman"/>
          <w:sz w:val="24"/>
          <w:szCs w:val="24"/>
        </w:rPr>
        <w:t>requested information.</w:t>
      </w:r>
      <w:r>
        <w:rPr>
          <w:rFonts w:ascii="Times New Roman" w:hAnsi="Times New Roman"/>
          <w:sz w:val="24"/>
          <w:szCs w:val="24"/>
        </w:rPr>
        <w:t>’</w:t>
      </w:r>
    </w:p>
    <w:p w14:paraId="330781EF" w14:textId="77777777" w:rsidR="006D0326" w:rsidRDefault="006D0326" w:rsidP="006D0326">
      <w:pPr>
        <w:pStyle w:val="NoSpacing"/>
        <w:ind w:left="720"/>
        <w:rPr>
          <w:rFonts w:ascii="Times New Roman" w:hAnsi="Times New Roman"/>
          <w:sz w:val="24"/>
          <w:szCs w:val="24"/>
        </w:rPr>
      </w:pPr>
    </w:p>
    <w:p w14:paraId="42106BCA" w14:textId="77777777" w:rsidR="006D0326" w:rsidRDefault="006D0326" w:rsidP="006D0326">
      <w:pPr>
        <w:pStyle w:val="NoSpacing"/>
        <w:ind w:left="720"/>
        <w:rPr>
          <w:rFonts w:ascii="Times New Roman" w:hAnsi="Times New Roman"/>
          <w:sz w:val="24"/>
          <w:szCs w:val="24"/>
        </w:rPr>
      </w:pPr>
      <w:r>
        <w:rPr>
          <w:rFonts w:ascii="Times New Roman" w:hAnsi="Times New Roman"/>
          <w:sz w:val="24"/>
          <w:szCs w:val="24"/>
        </w:rPr>
        <w:t>***</w:t>
      </w:r>
    </w:p>
    <w:p w14:paraId="0B04068B" w14:textId="77777777" w:rsidR="006D0326" w:rsidRPr="001242C8" w:rsidRDefault="006D0326" w:rsidP="006D0326">
      <w:pPr>
        <w:pStyle w:val="NoSpacing"/>
        <w:ind w:left="720"/>
        <w:rPr>
          <w:rFonts w:ascii="Times New Roman" w:hAnsi="Times New Roman"/>
          <w:sz w:val="24"/>
          <w:szCs w:val="24"/>
        </w:rPr>
      </w:pPr>
      <w:r w:rsidRPr="001242C8">
        <w:rPr>
          <w:rFonts w:ascii="Times New Roman" w:hAnsi="Times New Roman"/>
          <w:sz w:val="24"/>
          <w:szCs w:val="24"/>
        </w:rPr>
        <w:t>The Board here concluded that it was unnecessary to</w:t>
      </w:r>
      <w:r>
        <w:rPr>
          <w:rFonts w:ascii="Times New Roman" w:hAnsi="Times New Roman"/>
          <w:sz w:val="24"/>
          <w:szCs w:val="24"/>
        </w:rPr>
        <w:t xml:space="preserve"> </w:t>
      </w:r>
      <w:r w:rsidRPr="001242C8">
        <w:rPr>
          <w:rFonts w:ascii="Times New Roman" w:hAnsi="Times New Roman"/>
          <w:sz w:val="24"/>
          <w:szCs w:val="24"/>
        </w:rPr>
        <w:t>consider AMR’s contractual defense before determining that</w:t>
      </w:r>
      <w:r>
        <w:rPr>
          <w:rFonts w:ascii="Times New Roman" w:hAnsi="Times New Roman"/>
          <w:sz w:val="24"/>
          <w:szCs w:val="24"/>
        </w:rPr>
        <w:t xml:space="preserve"> </w:t>
      </w:r>
      <w:r w:rsidRPr="001242C8">
        <w:rPr>
          <w:rFonts w:ascii="Times New Roman" w:hAnsi="Times New Roman"/>
          <w:sz w:val="24"/>
          <w:szCs w:val="24"/>
        </w:rPr>
        <w:t>AMR’s refusal to provide information constituted a statutory</w:t>
      </w:r>
    </w:p>
    <w:p w14:paraId="347BB406" w14:textId="77777777" w:rsidR="006D0326" w:rsidRDefault="006D0326" w:rsidP="006D0326">
      <w:pPr>
        <w:pStyle w:val="NoSpacing"/>
        <w:ind w:left="720"/>
        <w:rPr>
          <w:rFonts w:ascii="Times New Roman" w:hAnsi="Times New Roman"/>
          <w:sz w:val="24"/>
          <w:szCs w:val="24"/>
        </w:rPr>
      </w:pPr>
      <w:r w:rsidRPr="001242C8">
        <w:rPr>
          <w:rFonts w:ascii="Times New Roman" w:hAnsi="Times New Roman"/>
          <w:sz w:val="24"/>
          <w:szCs w:val="24"/>
        </w:rPr>
        <w:t>failure to bargain. In addition to violating the NLRA’s</w:t>
      </w:r>
      <w:r>
        <w:rPr>
          <w:rFonts w:ascii="Times New Roman" w:hAnsi="Times New Roman"/>
          <w:sz w:val="24"/>
          <w:szCs w:val="24"/>
        </w:rPr>
        <w:t xml:space="preserve"> </w:t>
      </w:r>
      <w:r w:rsidRPr="001242C8">
        <w:rPr>
          <w:rFonts w:ascii="Times New Roman" w:hAnsi="Times New Roman"/>
          <w:sz w:val="24"/>
          <w:szCs w:val="24"/>
        </w:rPr>
        <w:t xml:space="preserve">requirement that the Board enforce </w:t>
      </w:r>
      <w:proofErr w:type="gramStart"/>
      <w:r w:rsidRPr="001242C8">
        <w:rPr>
          <w:rFonts w:ascii="Times New Roman" w:hAnsi="Times New Roman"/>
          <w:sz w:val="24"/>
          <w:szCs w:val="24"/>
        </w:rPr>
        <w:t>contracts,</w:t>
      </w:r>
      <w:proofErr w:type="gramEnd"/>
      <w:r w:rsidRPr="001242C8">
        <w:rPr>
          <w:rFonts w:ascii="Times New Roman" w:hAnsi="Times New Roman"/>
          <w:sz w:val="24"/>
          <w:szCs w:val="24"/>
        </w:rPr>
        <w:t xml:space="preserve"> this approach</w:t>
      </w:r>
      <w:r>
        <w:rPr>
          <w:rFonts w:ascii="Times New Roman" w:hAnsi="Times New Roman"/>
          <w:sz w:val="24"/>
          <w:szCs w:val="24"/>
        </w:rPr>
        <w:t xml:space="preserve"> </w:t>
      </w:r>
      <w:r w:rsidRPr="001242C8">
        <w:rPr>
          <w:rFonts w:ascii="Times New Roman" w:hAnsi="Times New Roman"/>
          <w:sz w:val="24"/>
          <w:szCs w:val="24"/>
        </w:rPr>
        <w:t xml:space="preserve">breaks with longstanding Board </w:t>
      </w:r>
      <w:proofErr w:type="gramStart"/>
      <w:r w:rsidRPr="001242C8">
        <w:rPr>
          <w:rFonts w:ascii="Times New Roman" w:hAnsi="Times New Roman"/>
          <w:sz w:val="24"/>
          <w:szCs w:val="24"/>
        </w:rPr>
        <w:t>precedent.</w:t>
      </w:r>
      <w:r>
        <w:rPr>
          <w:rFonts w:ascii="Times New Roman" w:hAnsi="Times New Roman"/>
          <w:sz w:val="24"/>
          <w:szCs w:val="24"/>
        </w:rPr>
        <w:t>”</w:t>
      </w:r>
      <w:proofErr w:type="gramEnd"/>
    </w:p>
    <w:p w14:paraId="08B6267F" w14:textId="77777777" w:rsidR="006D0326" w:rsidRDefault="006D0326" w:rsidP="006D0326">
      <w:pPr>
        <w:pStyle w:val="NoSpacing"/>
        <w:ind w:left="720"/>
        <w:rPr>
          <w:rFonts w:ascii="Times New Roman" w:hAnsi="Times New Roman"/>
          <w:sz w:val="24"/>
          <w:szCs w:val="24"/>
        </w:rPr>
      </w:pPr>
      <w:hyperlink r:id="rId2782" w:history="1">
        <w:r w:rsidRPr="00E007C4">
          <w:rPr>
            <w:rStyle w:val="Hyperlink"/>
            <w:rFonts w:ascii="Times New Roman" w:hAnsi="Times New Roman"/>
            <w:sz w:val="24"/>
            <w:szCs w:val="24"/>
          </w:rPr>
          <w:t>https://www.cadc.uscourts.gov/internet/opinions.nsf/AF29B804749163DE85258AC500547458/$file/22-1261-2040755.pdf</w:t>
        </w:r>
      </w:hyperlink>
      <w:r>
        <w:rPr>
          <w:rFonts w:ascii="Times New Roman" w:hAnsi="Times New Roman"/>
          <w:sz w:val="24"/>
          <w:szCs w:val="24"/>
        </w:rPr>
        <w:t xml:space="preserve"> </w:t>
      </w:r>
    </w:p>
    <w:p w14:paraId="4EEF8138" w14:textId="77777777" w:rsidR="006D0326" w:rsidRDefault="006D0326" w:rsidP="006D0326">
      <w:pPr>
        <w:pStyle w:val="NoSpacing"/>
        <w:ind w:left="720"/>
        <w:rPr>
          <w:rFonts w:ascii="Times New Roman" w:hAnsi="Times New Roman"/>
          <w:sz w:val="24"/>
          <w:szCs w:val="24"/>
        </w:rPr>
      </w:pPr>
    </w:p>
    <w:p w14:paraId="5E70B0CC" w14:textId="3344CE3B" w:rsidR="006D0326" w:rsidRPr="00815DDD" w:rsidRDefault="006D0326" w:rsidP="006D0326">
      <w:pPr>
        <w:pStyle w:val="NoSpacing"/>
        <w:ind w:left="720"/>
        <w:rPr>
          <w:rFonts w:ascii="Times New Roman" w:hAnsi="Times New Roman"/>
          <w:sz w:val="24"/>
          <w:szCs w:val="24"/>
        </w:rPr>
      </w:pPr>
      <w:r w:rsidRPr="00815DDD">
        <w:rPr>
          <w:rFonts w:ascii="Times New Roman" w:hAnsi="Times New Roman"/>
          <w:sz w:val="24"/>
          <w:szCs w:val="24"/>
        </w:rPr>
        <w:t>.</w:t>
      </w:r>
      <w:r>
        <w:rPr>
          <w:rFonts w:ascii="Times New Roman" w:hAnsi="Times New Roman"/>
          <w:sz w:val="24"/>
          <w:szCs w:val="24"/>
        </w:rPr>
        <w:t>”</w:t>
      </w:r>
    </w:p>
    <w:p w14:paraId="243B76A0" w14:textId="77777777" w:rsidR="006D0326" w:rsidRDefault="006D0326" w:rsidP="006D0326">
      <w:pPr>
        <w:pStyle w:val="NoSpacing"/>
        <w:rPr>
          <w:rFonts w:ascii="Times New Roman" w:hAnsi="Times New Roman"/>
          <w:sz w:val="24"/>
          <w:szCs w:val="24"/>
        </w:rPr>
      </w:pPr>
    </w:p>
    <w:p w14:paraId="18429CE9" w14:textId="77777777" w:rsidR="006D0326" w:rsidRPr="004C10F3" w:rsidRDefault="006D0326" w:rsidP="006D0326">
      <w:pPr>
        <w:pStyle w:val="NoSpacing"/>
        <w:rPr>
          <w:rFonts w:ascii="Times New Roman" w:hAnsi="Times New Roman"/>
          <w:b/>
          <w:bCs/>
          <w:sz w:val="24"/>
          <w:szCs w:val="24"/>
        </w:rPr>
      </w:pPr>
      <w:r w:rsidRPr="004C10F3">
        <w:rPr>
          <w:rFonts w:ascii="Times New Roman" w:hAnsi="Times New Roman"/>
          <w:b/>
          <w:bCs/>
          <w:sz w:val="24"/>
          <w:szCs w:val="24"/>
        </w:rPr>
        <w:t xml:space="preserve">Legal Lesson Learned: </w:t>
      </w:r>
      <w:r>
        <w:rPr>
          <w:rFonts w:ascii="Times New Roman" w:hAnsi="Times New Roman"/>
          <w:b/>
          <w:bCs/>
          <w:sz w:val="24"/>
          <w:szCs w:val="24"/>
        </w:rPr>
        <w:t>Employers and unions are bound by the terms of their CBA, and NLRB must recognize those provisions.</w:t>
      </w:r>
    </w:p>
    <w:p w14:paraId="4E8A66BE" w14:textId="77777777" w:rsidR="006D0326" w:rsidRDefault="006D0326" w:rsidP="006D0326">
      <w:pPr>
        <w:pStyle w:val="NoSpacing"/>
        <w:rPr>
          <w:rFonts w:ascii="Times New Roman" w:hAnsi="Times New Roman"/>
          <w:sz w:val="24"/>
          <w:szCs w:val="24"/>
        </w:rPr>
      </w:pPr>
    </w:p>
    <w:p w14:paraId="2E946788" w14:textId="77777777" w:rsidR="006D0326" w:rsidRDefault="006D0326" w:rsidP="006D0326">
      <w:pPr>
        <w:pStyle w:val="NoSpacing"/>
        <w:rPr>
          <w:rFonts w:ascii="Times New Roman" w:hAnsi="Times New Roman"/>
          <w:sz w:val="24"/>
          <w:szCs w:val="24"/>
        </w:rPr>
      </w:pPr>
    </w:p>
    <w:p w14:paraId="5AF85EDE" w14:textId="77777777" w:rsidR="007D66BE" w:rsidRDefault="007D66BE" w:rsidP="00F326E5">
      <w:pPr>
        <w:pStyle w:val="NoSpacing"/>
        <w:rPr>
          <w:rFonts w:ascii="Arial Black" w:hAnsi="Arial Black"/>
          <w:sz w:val="24"/>
          <w:szCs w:val="24"/>
        </w:rPr>
      </w:pPr>
    </w:p>
    <w:p w14:paraId="073BE876" w14:textId="77777777" w:rsidR="007D66BE" w:rsidRDefault="007D66BE" w:rsidP="00F326E5">
      <w:pPr>
        <w:pStyle w:val="NoSpacing"/>
        <w:rPr>
          <w:rFonts w:ascii="Arial Black" w:hAnsi="Arial Black"/>
          <w:sz w:val="24"/>
          <w:szCs w:val="24"/>
        </w:rPr>
      </w:pPr>
    </w:p>
    <w:p w14:paraId="75ECFB90" w14:textId="77777777" w:rsidR="007D66BE" w:rsidRDefault="007D66BE" w:rsidP="00F326E5">
      <w:pPr>
        <w:pStyle w:val="NoSpacing"/>
        <w:rPr>
          <w:rFonts w:ascii="Arial Black" w:hAnsi="Arial Black"/>
          <w:sz w:val="24"/>
          <w:szCs w:val="24"/>
        </w:rPr>
      </w:pPr>
    </w:p>
    <w:p w14:paraId="113846BB" w14:textId="20519C7C" w:rsidR="004E344B" w:rsidRDefault="004E344B" w:rsidP="00F326E5">
      <w:pPr>
        <w:pStyle w:val="NoSpacing"/>
        <w:rPr>
          <w:rFonts w:ascii="Arial Black" w:hAnsi="Arial Black"/>
          <w:sz w:val="24"/>
          <w:szCs w:val="24"/>
        </w:rPr>
      </w:pPr>
      <w:r>
        <w:rPr>
          <w:rFonts w:ascii="Arial Black" w:hAnsi="Arial Black"/>
          <w:sz w:val="24"/>
          <w:szCs w:val="24"/>
        </w:rPr>
        <w:t>17-37</w:t>
      </w:r>
    </w:p>
    <w:p w14:paraId="6E55B954" w14:textId="77777777" w:rsidR="00C0427B" w:rsidRPr="001150A5" w:rsidRDefault="00C0427B" w:rsidP="00C0427B">
      <w:pPr>
        <w:pStyle w:val="NormalWeb"/>
        <w:rPr>
          <w:rFonts w:ascii="Arial Black" w:hAnsi="Arial Black"/>
          <w:sz w:val="28"/>
          <w:szCs w:val="28"/>
        </w:rPr>
      </w:pPr>
      <w:r>
        <w:rPr>
          <w:rFonts w:ascii="Arial Black" w:hAnsi="Arial Black"/>
          <w:sz w:val="28"/>
          <w:szCs w:val="28"/>
        </w:rPr>
        <w:t xml:space="preserve">OH: ARBITRATION - “RULE OF 3” FOR PROMOTION TO LT. - CITY DIDN’T HAVE SELECT HIGHEST SCORING CANDIDATE </w:t>
      </w:r>
    </w:p>
    <w:p w14:paraId="2E4849DF" w14:textId="16D11A97" w:rsidR="00C0427B" w:rsidRPr="00D01745" w:rsidRDefault="00C0427B" w:rsidP="00C0427B">
      <w:pPr>
        <w:pStyle w:val="NoSpacing"/>
        <w:rPr>
          <w:rFonts w:ascii="Times New Roman" w:hAnsi="Times New Roman"/>
          <w:sz w:val="24"/>
          <w:szCs w:val="24"/>
        </w:rPr>
      </w:pPr>
      <w:r w:rsidRPr="00D01745">
        <w:rPr>
          <w:rFonts w:ascii="Times New Roman" w:hAnsi="Times New Roman"/>
          <w:sz w:val="24"/>
          <w:szCs w:val="24"/>
        </w:rPr>
        <w:t xml:space="preserve">On Dec. 19, 2023, in </w:t>
      </w:r>
      <w:r w:rsidRPr="00D01745">
        <w:rPr>
          <w:rFonts w:ascii="Times New Roman" w:hAnsi="Times New Roman"/>
          <w:sz w:val="24"/>
          <w:szCs w:val="24"/>
          <w:u w:val="single"/>
        </w:rPr>
        <w:t>International Association of Fire Fighters, Local 67 [Brandon Lauck] v. City of Columbus</w:t>
      </w:r>
      <w:r w:rsidRPr="00D01745">
        <w:rPr>
          <w:rFonts w:ascii="Times New Roman" w:hAnsi="Times New Roman"/>
          <w:sz w:val="24"/>
          <w:szCs w:val="24"/>
        </w:rPr>
        <w:t xml:space="preserve">, the Court of Appeals of Ohio, Tenth District held (3 to 0) that Judge on Franklin County Court of Common Pleas incorrectly overturned arbitrator; City did not have to promote firefighter Brandon Lauck to Lieutenant even if he was highest scoring candidate.  The Court wrote: </w:t>
      </w:r>
      <w:r>
        <w:rPr>
          <w:rFonts w:ascii="Times New Roman" w:hAnsi="Times New Roman"/>
          <w:sz w:val="24"/>
          <w:szCs w:val="24"/>
        </w:rPr>
        <w:t>“</w:t>
      </w:r>
      <w:r w:rsidRPr="00D01745">
        <w:rPr>
          <w:rFonts w:ascii="Times New Roman" w:hAnsi="Times New Roman"/>
          <w:sz w:val="24"/>
          <w:szCs w:val="24"/>
        </w:rPr>
        <w:t>Before the arbitrator, the Union argued the promotion decision was improper</w:t>
      </w:r>
      <w:r w:rsidR="00BC649D">
        <w:rPr>
          <w:rFonts w:ascii="Times New Roman" w:hAnsi="Times New Roman"/>
          <w:sz w:val="24"/>
          <w:szCs w:val="24"/>
        </w:rPr>
        <w:t xml:space="preserve"> </w:t>
      </w:r>
      <w:r w:rsidRPr="00D01745">
        <w:rPr>
          <w:rFonts w:ascii="Times New Roman" w:hAnsi="Times New Roman"/>
          <w:sz w:val="24"/>
          <w:szCs w:val="24"/>
        </w:rPr>
        <w:t>and violated CBA Section 10.1 because it was inconsistent with the City’s past practice of</w:t>
      </w:r>
    </w:p>
    <w:p w14:paraId="02E78268" w14:textId="7CB94B83" w:rsidR="00C0427B" w:rsidRPr="00EC48F0" w:rsidRDefault="00C0427B" w:rsidP="00C0427B">
      <w:pPr>
        <w:pStyle w:val="NoSpacing"/>
        <w:rPr>
          <w:rFonts w:ascii="Times New Roman" w:hAnsi="Times New Roman"/>
          <w:sz w:val="24"/>
          <w:szCs w:val="24"/>
        </w:rPr>
      </w:pPr>
      <w:r w:rsidRPr="00D01745">
        <w:rPr>
          <w:rFonts w:ascii="Times New Roman" w:hAnsi="Times New Roman"/>
          <w:sz w:val="24"/>
          <w:szCs w:val="24"/>
        </w:rPr>
        <w:t>selecting the eligible candidate with the highest examination score for promotion, because</w:t>
      </w:r>
      <w:r w:rsidR="00BC649D">
        <w:rPr>
          <w:rFonts w:ascii="Times New Roman" w:hAnsi="Times New Roman"/>
          <w:sz w:val="24"/>
          <w:szCs w:val="24"/>
        </w:rPr>
        <w:t xml:space="preserve"> </w:t>
      </w:r>
      <w:r w:rsidRPr="00D01745">
        <w:rPr>
          <w:rFonts w:ascii="Times New Roman" w:hAnsi="Times New Roman"/>
          <w:sz w:val="24"/>
          <w:szCs w:val="24"/>
        </w:rPr>
        <w:t>Firefighter Lauck was not provided any reason for why he was not promoted, and because</w:t>
      </w:r>
      <w:r w:rsidR="00BC649D">
        <w:rPr>
          <w:rFonts w:ascii="Times New Roman" w:hAnsi="Times New Roman"/>
          <w:sz w:val="24"/>
          <w:szCs w:val="24"/>
        </w:rPr>
        <w:t xml:space="preserve"> </w:t>
      </w:r>
      <w:r w:rsidRPr="00D01745">
        <w:rPr>
          <w:rFonts w:ascii="Times New Roman" w:hAnsi="Times New Roman"/>
          <w:sz w:val="24"/>
          <w:szCs w:val="24"/>
        </w:rPr>
        <w:t>his involvement in a traffic accident years ago may have been considered as a factor against</w:t>
      </w:r>
      <w:r w:rsidR="00BC649D">
        <w:rPr>
          <w:rFonts w:ascii="Times New Roman" w:hAnsi="Times New Roman"/>
          <w:sz w:val="24"/>
          <w:szCs w:val="24"/>
        </w:rPr>
        <w:t xml:space="preserve"> </w:t>
      </w:r>
      <w:r w:rsidRPr="00D01745">
        <w:rPr>
          <w:rFonts w:ascii="Times New Roman" w:hAnsi="Times New Roman"/>
          <w:sz w:val="24"/>
          <w:szCs w:val="24"/>
        </w:rPr>
        <w:t>his promotion.</w:t>
      </w:r>
      <w:r>
        <w:rPr>
          <w:rFonts w:ascii="Times New Roman" w:hAnsi="Times New Roman"/>
          <w:sz w:val="24"/>
          <w:szCs w:val="24"/>
        </w:rPr>
        <w:t xml:space="preserve"> *** I</w:t>
      </w:r>
      <w:r w:rsidRPr="00EC48F0">
        <w:rPr>
          <w:rFonts w:ascii="Times New Roman" w:hAnsi="Times New Roman"/>
          <w:sz w:val="24"/>
          <w:szCs w:val="24"/>
        </w:rPr>
        <w:t>n denying the Union’s grievance, the arbitrator expressly considered and</w:t>
      </w:r>
      <w:r w:rsidR="00BC649D">
        <w:rPr>
          <w:rFonts w:ascii="Times New Roman" w:hAnsi="Times New Roman"/>
          <w:sz w:val="24"/>
          <w:szCs w:val="24"/>
        </w:rPr>
        <w:t xml:space="preserve"> </w:t>
      </w:r>
      <w:r w:rsidRPr="00EC48F0">
        <w:rPr>
          <w:rFonts w:ascii="Times New Roman" w:hAnsi="Times New Roman"/>
          <w:sz w:val="24"/>
          <w:szCs w:val="24"/>
        </w:rPr>
        <w:t>rejected the Union’s contention that Firefighter Lauck was not treated in a reasonable, fair,</w:t>
      </w:r>
    </w:p>
    <w:p w14:paraId="569F1BE9" w14:textId="1797B230" w:rsidR="00C0427B" w:rsidRDefault="00C0427B" w:rsidP="00C0427B">
      <w:pPr>
        <w:pStyle w:val="NoSpacing"/>
      </w:pPr>
      <w:r w:rsidRPr="00EC48F0">
        <w:rPr>
          <w:rFonts w:ascii="Times New Roman" w:hAnsi="Times New Roman"/>
          <w:sz w:val="24"/>
          <w:szCs w:val="24"/>
        </w:rPr>
        <w:t xml:space="preserve">and non-discriminatory </w:t>
      </w:r>
      <w:proofErr w:type="gramStart"/>
      <w:r w:rsidRPr="00EC48F0">
        <w:rPr>
          <w:rFonts w:ascii="Times New Roman" w:hAnsi="Times New Roman"/>
          <w:sz w:val="24"/>
          <w:szCs w:val="24"/>
        </w:rPr>
        <w:t>manner</w:t>
      </w:r>
      <w:proofErr w:type="gramEnd"/>
      <w:r w:rsidRPr="00EC48F0">
        <w:rPr>
          <w:rFonts w:ascii="Times New Roman" w:hAnsi="Times New Roman"/>
          <w:sz w:val="24"/>
          <w:szCs w:val="24"/>
        </w:rPr>
        <w:t xml:space="preserve"> as required by CBA Section 10.1. Thus, the Union’s</w:t>
      </w:r>
      <w:r w:rsidR="00BC649D">
        <w:rPr>
          <w:rFonts w:ascii="Times New Roman" w:hAnsi="Times New Roman"/>
          <w:sz w:val="24"/>
          <w:szCs w:val="24"/>
        </w:rPr>
        <w:t xml:space="preserve"> </w:t>
      </w:r>
      <w:r w:rsidRPr="00EC48F0">
        <w:rPr>
          <w:rFonts w:ascii="Times New Roman" w:hAnsi="Times New Roman"/>
          <w:sz w:val="24"/>
          <w:szCs w:val="24"/>
        </w:rPr>
        <w:t>evidence and related arguments did not persuade the arbitrator</w:t>
      </w:r>
      <w:r>
        <w:rPr>
          <w:rFonts w:ascii="Times New Roman" w:hAnsi="Times New Roman"/>
          <w:sz w:val="24"/>
          <w:szCs w:val="24"/>
        </w:rPr>
        <w:t xml:space="preserve">. *** </w:t>
      </w:r>
      <w:r w:rsidRPr="00890952">
        <w:rPr>
          <w:rFonts w:ascii="Times New Roman" w:hAnsi="Times New Roman"/>
          <w:sz w:val="24"/>
          <w:szCs w:val="24"/>
        </w:rPr>
        <w:t xml:space="preserve">Therefore, we conclude the trial court </w:t>
      </w:r>
      <w:proofErr w:type="gramStart"/>
      <w:r w:rsidRPr="00890952">
        <w:rPr>
          <w:rFonts w:ascii="Times New Roman" w:hAnsi="Times New Roman"/>
          <w:sz w:val="24"/>
          <w:szCs w:val="24"/>
        </w:rPr>
        <w:t>erred</w:t>
      </w:r>
      <w:proofErr w:type="gramEnd"/>
      <w:r w:rsidRPr="00890952">
        <w:rPr>
          <w:rFonts w:ascii="Times New Roman" w:hAnsi="Times New Roman"/>
          <w:sz w:val="24"/>
          <w:szCs w:val="24"/>
        </w:rPr>
        <w:t xml:space="preserve"> in finding the arbitrator failed to</w:t>
      </w:r>
      <w:r>
        <w:rPr>
          <w:rFonts w:ascii="Times New Roman" w:hAnsi="Times New Roman"/>
          <w:sz w:val="24"/>
          <w:szCs w:val="24"/>
        </w:rPr>
        <w:t xml:space="preserve"> </w:t>
      </w:r>
      <w:r w:rsidRPr="00890952">
        <w:rPr>
          <w:rFonts w:ascii="Times New Roman" w:hAnsi="Times New Roman"/>
          <w:sz w:val="24"/>
          <w:szCs w:val="24"/>
        </w:rPr>
        <w:t xml:space="preserve">determine whether the </w:t>
      </w:r>
      <w:proofErr w:type="gramStart"/>
      <w:r w:rsidRPr="00890952">
        <w:rPr>
          <w:rFonts w:ascii="Times New Roman" w:hAnsi="Times New Roman"/>
          <w:sz w:val="24"/>
          <w:szCs w:val="24"/>
        </w:rPr>
        <w:t>City</w:t>
      </w:r>
      <w:proofErr w:type="gramEnd"/>
      <w:r w:rsidRPr="00890952">
        <w:rPr>
          <w:rFonts w:ascii="Times New Roman" w:hAnsi="Times New Roman"/>
          <w:sz w:val="24"/>
          <w:szCs w:val="24"/>
        </w:rPr>
        <w:t xml:space="preserve"> violated CBA Section 10.1’s requirements when it did not</w:t>
      </w:r>
      <w:r>
        <w:rPr>
          <w:rFonts w:ascii="Times New Roman" w:hAnsi="Times New Roman"/>
          <w:sz w:val="24"/>
          <w:szCs w:val="24"/>
        </w:rPr>
        <w:t xml:space="preserve"> </w:t>
      </w:r>
      <w:r w:rsidRPr="0081501B">
        <w:rPr>
          <w:rFonts w:ascii="Times New Roman" w:hAnsi="Times New Roman"/>
          <w:sz w:val="24"/>
          <w:szCs w:val="24"/>
        </w:rPr>
        <w:t>promote Firefighter Lauck to Fire Lieutenant, and the trial court erred in vacating the</w:t>
      </w:r>
      <w:r>
        <w:rPr>
          <w:rFonts w:ascii="Times New Roman" w:hAnsi="Times New Roman"/>
          <w:sz w:val="24"/>
          <w:szCs w:val="24"/>
        </w:rPr>
        <w:t xml:space="preserve"> </w:t>
      </w:r>
      <w:r w:rsidRPr="0081501B">
        <w:rPr>
          <w:rFonts w:ascii="Times New Roman" w:hAnsi="Times New Roman"/>
          <w:sz w:val="24"/>
          <w:szCs w:val="24"/>
        </w:rPr>
        <w:t>arbitrator’s award based on this incorrect finding. On these bases, we sustain the City’s first</w:t>
      </w:r>
      <w:r>
        <w:rPr>
          <w:rFonts w:ascii="Times New Roman" w:hAnsi="Times New Roman"/>
          <w:sz w:val="24"/>
          <w:szCs w:val="24"/>
        </w:rPr>
        <w:t xml:space="preserve"> </w:t>
      </w:r>
      <w:r w:rsidRPr="0081501B">
        <w:rPr>
          <w:rFonts w:ascii="Times New Roman" w:hAnsi="Times New Roman"/>
          <w:sz w:val="24"/>
          <w:szCs w:val="24"/>
        </w:rPr>
        <w:t>and second assignments of error.</w:t>
      </w:r>
      <w:r>
        <w:rPr>
          <w:rFonts w:ascii="Times New Roman" w:hAnsi="Times New Roman"/>
          <w:sz w:val="24"/>
          <w:szCs w:val="24"/>
        </w:rPr>
        <w:t xml:space="preserve">” </w:t>
      </w:r>
      <w:hyperlink r:id="rId2783" w:history="1">
        <w:r w:rsidRPr="0044657D">
          <w:rPr>
            <w:rStyle w:val="Hyperlink"/>
          </w:rPr>
          <w:t>https://cases.justia.com/ohio/tenth-district-court-of-appeals/2023-23ap-37.pdf?ts=1703012831</w:t>
        </w:r>
      </w:hyperlink>
      <w:r>
        <w:t xml:space="preserve"> </w:t>
      </w:r>
    </w:p>
    <w:p w14:paraId="35C8AB05" w14:textId="77777777" w:rsidR="00C0427B" w:rsidRDefault="00C0427B" w:rsidP="00F326E5">
      <w:pPr>
        <w:pStyle w:val="NoSpacing"/>
        <w:rPr>
          <w:rFonts w:ascii="Arial Black" w:hAnsi="Arial Black"/>
          <w:sz w:val="24"/>
          <w:szCs w:val="24"/>
        </w:rPr>
      </w:pPr>
    </w:p>
    <w:p w14:paraId="3C0CA1E6" w14:textId="77777777" w:rsidR="00B15008" w:rsidRPr="008E05C8" w:rsidRDefault="00B15008" w:rsidP="00B15008">
      <w:pPr>
        <w:pStyle w:val="NoSpacing"/>
        <w:rPr>
          <w:rFonts w:ascii="Times New Roman" w:hAnsi="Times New Roman"/>
          <w:b/>
          <w:bCs/>
          <w:sz w:val="24"/>
          <w:szCs w:val="24"/>
        </w:rPr>
      </w:pPr>
      <w:r w:rsidRPr="008E05C8">
        <w:rPr>
          <w:rFonts w:ascii="Times New Roman" w:hAnsi="Times New Roman"/>
          <w:b/>
          <w:bCs/>
          <w:sz w:val="24"/>
          <w:szCs w:val="24"/>
        </w:rPr>
        <w:t>Legal Lesson Learned:</w:t>
      </w:r>
      <w:r>
        <w:rPr>
          <w:rFonts w:ascii="Times New Roman" w:hAnsi="Times New Roman"/>
          <w:b/>
          <w:bCs/>
          <w:sz w:val="24"/>
          <w:szCs w:val="24"/>
        </w:rPr>
        <w:t xml:space="preserve"> “Rule of Three” was followed; City did not need to select the candidate with highest score even that was a common past practice.</w:t>
      </w:r>
    </w:p>
    <w:p w14:paraId="4BABBBE3" w14:textId="77777777" w:rsidR="00B15008" w:rsidRPr="00020C6B" w:rsidRDefault="00B15008" w:rsidP="00B15008">
      <w:pPr>
        <w:pStyle w:val="NormalWeb"/>
        <w:ind w:left="720"/>
      </w:pPr>
      <w:r w:rsidRPr="00020C6B">
        <w:t xml:space="preserve">Note: Union referenced a lawsuit against firefighter Brandon Lauck. See this Complaint filed against Brandon G. Lauck after July 16, </w:t>
      </w:r>
      <w:proofErr w:type="gramStart"/>
      <w:r w:rsidRPr="00020C6B">
        <w:t>2018</w:t>
      </w:r>
      <w:proofErr w:type="gramEnd"/>
      <w:r w:rsidRPr="00020C6B">
        <w:t xml:space="preserve"> rear end accident on I-270. </w:t>
      </w:r>
      <w:hyperlink r:id="rId2784" w:history="1">
        <w:r w:rsidRPr="00020C6B">
          <w:rPr>
            <w:rStyle w:val="Hyperlink"/>
          </w:rPr>
          <w:t>https://trellis.law/doc/60559021/complaint-filed</w:t>
        </w:r>
      </w:hyperlink>
      <w:r w:rsidRPr="00020C6B">
        <w:t xml:space="preserve"> </w:t>
      </w:r>
    </w:p>
    <w:p w14:paraId="22128889" w14:textId="77777777" w:rsidR="00B15008" w:rsidRDefault="00B15008" w:rsidP="00F326E5">
      <w:pPr>
        <w:pStyle w:val="NoSpacing"/>
        <w:rPr>
          <w:rFonts w:ascii="Arial Black" w:hAnsi="Arial Black"/>
          <w:sz w:val="24"/>
          <w:szCs w:val="24"/>
        </w:rPr>
      </w:pPr>
    </w:p>
    <w:p w14:paraId="4F23B9DA" w14:textId="77777777" w:rsidR="004E344B" w:rsidRDefault="004E344B" w:rsidP="00F326E5">
      <w:pPr>
        <w:pStyle w:val="NoSpacing"/>
        <w:rPr>
          <w:rFonts w:ascii="Arial Black" w:hAnsi="Arial Black"/>
          <w:sz w:val="24"/>
          <w:szCs w:val="24"/>
        </w:rPr>
      </w:pPr>
    </w:p>
    <w:p w14:paraId="45168707" w14:textId="77777777" w:rsidR="004E344B" w:rsidRDefault="004E344B" w:rsidP="00F326E5">
      <w:pPr>
        <w:pStyle w:val="NoSpacing"/>
        <w:rPr>
          <w:rFonts w:ascii="Arial Black" w:hAnsi="Arial Black"/>
          <w:sz w:val="24"/>
          <w:szCs w:val="24"/>
        </w:rPr>
      </w:pPr>
    </w:p>
    <w:p w14:paraId="1AC375F6" w14:textId="77777777" w:rsidR="004E344B" w:rsidRDefault="004E344B" w:rsidP="00F326E5">
      <w:pPr>
        <w:pStyle w:val="NoSpacing"/>
        <w:rPr>
          <w:rFonts w:ascii="Arial Black" w:hAnsi="Arial Black"/>
          <w:sz w:val="24"/>
          <w:szCs w:val="24"/>
        </w:rPr>
      </w:pPr>
    </w:p>
    <w:p w14:paraId="645D2355" w14:textId="0C46FF79" w:rsidR="00075DAE" w:rsidRDefault="00075DAE" w:rsidP="00F326E5">
      <w:pPr>
        <w:pStyle w:val="NoSpacing"/>
        <w:rPr>
          <w:rFonts w:ascii="Arial Black" w:hAnsi="Arial Black"/>
          <w:sz w:val="24"/>
          <w:szCs w:val="24"/>
        </w:rPr>
      </w:pPr>
      <w:r>
        <w:rPr>
          <w:rFonts w:ascii="Arial Black" w:hAnsi="Arial Black"/>
          <w:sz w:val="24"/>
          <w:szCs w:val="24"/>
        </w:rPr>
        <w:t>17-36</w:t>
      </w:r>
    </w:p>
    <w:p w14:paraId="1985E476" w14:textId="77777777" w:rsidR="00075DAE" w:rsidRDefault="00075DAE" w:rsidP="00F326E5">
      <w:pPr>
        <w:pStyle w:val="NoSpacing"/>
        <w:rPr>
          <w:rFonts w:ascii="Arial Black" w:hAnsi="Arial Black"/>
          <w:sz w:val="24"/>
          <w:szCs w:val="24"/>
        </w:rPr>
      </w:pPr>
    </w:p>
    <w:p w14:paraId="325CE8B7" w14:textId="77777777" w:rsidR="00B94F72" w:rsidRDefault="00B94F72" w:rsidP="00B94F72">
      <w:pPr>
        <w:pStyle w:val="NoSpacing"/>
        <w:rPr>
          <w:rFonts w:ascii="Arial Black" w:hAnsi="Arial Black"/>
          <w:b/>
          <w:sz w:val="28"/>
          <w:szCs w:val="28"/>
        </w:rPr>
      </w:pPr>
      <w:r>
        <w:rPr>
          <w:rFonts w:ascii="Arial Black" w:hAnsi="Arial Black"/>
          <w:b/>
          <w:sz w:val="28"/>
          <w:szCs w:val="28"/>
        </w:rPr>
        <w:t>CT: ARBITRATOR UPHOLDS DISCIPLINE - COVID19, NO MASK, TEMP CHECK, ARGUMENT - 15 DAYS VACATION</w:t>
      </w:r>
    </w:p>
    <w:p w14:paraId="31589451" w14:textId="77777777" w:rsidR="00B94F72" w:rsidRDefault="00B94F72" w:rsidP="00B94F72">
      <w:pPr>
        <w:pStyle w:val="NoSpacing"/>
        <w:rPr>
          <w:rFonts w:ascii="Arial Black" w:hAnsi="Arial Black"/>
          <w:b/>
          <w:sz w:val="28"/>
          <w:szCs w:val="28"/>
        </w:rPr>
      </w:pPr>
    </w:p>
    <w:p w14:paraId="2E3EA71E" w14:textId="77777777" w:rsidR="00B94F72" w:rsidRPr="009338B7" w:rsidRDefault="00B94F72" w:rsidP="00B94F72">
      <w:pPr>
        <w:pStyle w:val="NoSpacing"/>
        <w:rPr>
          <w:rFonts w:ascii="Times New Roman" w:hAnsi="Times New Roman"/>
          <w:bCs/>
          <w:sz w:val="24"/>
          <w:szCs w:val="24"/>
        </w:rPr>
      </w:pPr>
      <w:r w:rsidRPr="00737152">
        <w:rPr>
          <w:rFonts w:ascii="Times New Roman" w:hAnsi="Times New Roman"/>
          <w:bCs/>
          <w:sz w:val="24"/>
          <w:szCs w:val="24"/>
        </w:rPr>
        <w:t xml:space="preserve">On </w:t>
      </w:r>
      <w:r>
        <w:rPr>
          <w:rFonts w:ascii="Times New Roman" w:hAnsi="Times New Roman"/>
          <w:bCs/>
          <w:sz w:val="24"/>
          <w:szCs w:val="24"/>
        </w:rPr>
        <w:t xml:space="preserve">Nov. 6, 2023, in </w:t>
      </w:r>
      <w:r w:rsidRPr="00555FCC">
        <w:rPr>
          <w:rFonts w:ascii="Times New Roman" w:hAnsi="Times New Roman"/>
          <w:bCs/>
          <w:sz w:val="24"/>
          <w:szCs w:val="24"/>
          <w:u w:val="single"/>
        </w:rPr>
        <w:t>Nicola Tamburo v. City of Stamford</w:t>
      </w:r>
      <w:r>
        <w:rPr>
          <w:rFonts w:ascii="Times New Roman" w:hAnsi="Times New Roman"/>
          <w:bCs/>
          <w:sz w:val="24"/>
          <w:szCs w:val="24"/>
        </w:rPr>
        <w:t xml:space="preserve">, Judge Edward T. Krumeich, judge trial referee of Stamford / Norwalk Judicial District, in unpublished opinion, held that arbitrator properly upheld the discipline of FF / EMT Tamburo, finding there was evidence of “just cause” for the discipline. </w:t>
      </w:r>
      <w:hyperlink r:id="rId2785" w:history="1">
        <w:r w:rsidRPr="00A417BB">
          <w:rPr>
            <w:rStyle w:val="Hyperlink"/>
            <w:rFonts w:ascii="Times New Roman" w:hAnsi="Times New Roman"/>
            <w:bCs/>
            <w:sz w:val="24"/>
            <w:szCs w:val="24"/>
          </w:rPr>
          <w:t>https://jud.ct.gov/Superiorcourt/MOD/DocumentPreview.aspx?RandomKey=6CFC6C5D-9DDA-4D98-859D-8C6104A0B311</w:t>
        </w:r>
      </w:hyperlink>
      <w:r w:rsidRPr="009338B7">
        <w:rPr>
          <w:rFonts w:ascii="Times New Roman" w:hAnsi="Times New Roman"/>
          <w:bCs/>
          <w:sz w:val="24"/>
          <w:szCs w:val="24"/>
        </w:rPr>
        <w:t xml:space="preserve"> </w:t>
      </w:r>
    </w:p>
    <w:p w14:paraId="7699A5D8" w14:textId="77777777" w:rsidR="00075DAE" w:rsidRDefault="00075DAE" w:rsidP="00F326E5">
      <w:pPr>
        <w:pStyle w:val="NoSpacing"/>
        <w:rPr>
          <w:rFonts w:ascii="Arial Black" w:hAnsi="Arial Black"/>
          <w:sz w:val="24"/>
          <w:szCs w:val="24"/>
        </w:rPr>
      </w:pPr>
    </w:p>
    <w:p w14:paraId="31BD6933" w14:textId="77777777" w:rsidR="00D92F5B" w:rsidRDefault="00D92F5B" w:rsidP="00D92F5B">
      <w:pPr>
        <w:pStyle w:val="NoSpacing"/>
        <w:rPr>
          <w:rFonts w:ascii="Times New Roman" w:hAnsi="Times New Roman"/>
          <w:b/>
          <w:sz w:val="24"/>
          <w:szCs w:val="24"/>
        </w:rPr>
      </w:pPr>
      <w:r>
        <w:rPr>
          <w:rFonts w:ascii="Times New Roman" w:hAnsi="Times New Roman"/>
          <w:b/>
          <w:sz w:val="24"/>
          <w:szCs w:val="24"/>
        </w:rPr>
        <w:t xml:space="preserve">Legal Lesson Learned: Just cause for the discipline was proven. </w:t>
      </w:r>
    </w:p>
    <w:p w14:paraId="4A799F3F" w14:textId="77777777" w:rsidR="00D92F5B" w:rsidRDefault="00D92F5B" w:rsidP="00D92F5B">
      <w:pPr>
        <w:rPr>
          <w:rFonts w:ascii="Times New Roman" w:hAnsi="Times New Roman"/>
          <w:sz w:val="24"/>
          <w:szCs w:val="24"/>
        </w:rPr>
      </w:pPr>
    </w:p>
    <w:p w14:paraId="61707174" w14:textId="77777777" w:rsidR="00D92F5B" w:rsidRDefault="00D92F5B" w:rsidP="00F326E5">
      <w:pPr>
        <w:pStyle w:val="NoSpacing"/>
        <w:rPr>
          <w:rFonts w:ascii="Arial Black" w:hAnsi="Arial Black"/>
          <w:sz w:val="24"/>
          <w:szCs w:val="24"/>
        </w:rPr>
      </w:pPr>
    </w:p>
    <w:p w14:paraId="6E9247C9" w14:textId="77777777" w:rsidR="00075DAE" w:rsidRDefault="00075DAE" w:rsidP="00F326E5">
      <w:pPr>
        <w:pStyle w:val="NoSpacing"/>
        <w:rPr>
          <w:rFonts w:ascii="Arial Black" w:hAnsi="Arial Black"/>
          <w:sz w:val="24"/>
          <w:szCs w:val="24"/>
        </w:rPr>
      </w:pPr>
    </w:p>
    <w:p w14:paraId="71A873EF" w14:textId="64215A4E" w:rsidR="002F7B74" w:rsidRDefault="000518BE" w:rsidP="00F326E5">
      <w:pPr>
        <w:pStyle w:val="NoSpacing"/>
        <w:rPr>
          <w:rFonts w:ascii="Arial Black" w:hAnsi="Arial Black"/>
          <w:sz w:val="24"/>
          <w:szCs w:val="24"/>
        </w:rPr>
      </w:pPr>
      <w:r>
        <w:rPr>
          <w:rFonts w:ascii="Arial Black" w:hAnsi="Arial Black"/>
          <w:sz w:val="24"/>
          <w:szCs w:val="24"/>
        </w:rPr>
        <w:t>17-35</w:t>
      </w:r>
    </w:p>
    <w:p w14:paraId="6DF2BBAE" w14:textId="77777777" w:rsidR="000518BE" w:rsidRDefault="000518BE" w:rsidP="000518BE">
      <w:pPr>
        <w:pStyle w:val="NormalWeb"/>
        <w:rPr>
          <w:rFonts w:ascii="Arial Black" w:hAnsi="Arial Black"/>
          <w:b/>
          <w:bCs/>
          <w:sz w:val="28"/>
          <w:szCs w:val="28"/>
        </w:rPr>
      </w:pPr>
      <w:r>
        <w:rPr>
          <w:rFonts w:ascii="Arial Black" w:hAnsi="Arial Black"/>
          <w:b/>
          <w:bCs/>
          <w:sz w:val="28"/>
          <w:szCs w:val="28"/>
        </w:rPr>
        <w:t>AR: UNION VP TOLD CITY IAFF PLANS LAWSUIT – VP FIRED FOR ALLEGED “LYING” JOB APPLICATION - CASE PROCEED</w:t>
      </w:r>
    </w:p>
    <w:p w14:paraId="783A4194" w14:textId="1416F83A" w:rsidR="000518BE" w:rsidRDefault="000518BE" w:rsidP="000518BE">
      <w:pPr>
        <w:pStyle w:val="NoSpacing"/>
        <w:rPr>
          <w:rStyle w:val="Hyperlink"/>
          <w:rFonts w:ascii="Times New Roman" w:hAnsi="Times New Roman"/>
          <w:sz w:val="24"/>
          <w:szCs w:val="24"/>
        </w:rPr>
      </w:pPr>
      <w:r w:rsidRPr="000518BE">
        <w:rPr>
          <w:rFonts w:ascii="Times New Roman" w:hAnsi="Times New Roman"/>
          <w:sz w:val="24"/>
          <w:szCs w:val="24"/>
        </w:rPr>
        <w:t xml:space="preserve">On Oct. 13, 2023, in </w:t>
      </w:r>
      <w:r w:rsidRPr="000518BE">
        <w:rPr>
          <w:rFonts w:ascii="Times New Roman" w:hAnsi="Times New Roman"/>
          <w:sz w:val="24"/>
          <w:szCs w:val="24"/>
          <w:u w:val="single"/>
        </w:rPr>
        <w:t>Shannon Glynn v. City of El Mirage</w:t>
      </w:r>
      <w:r w:rsidRPr="000518BE">
        <w:rPr>
          <w:rFonts w:ascii="Times New Roman" w:hAnsi="Times New Roman"/>
          <w:sz w:val="24"/>
          <w:szCs w:val="24"/>
        </w:rPr>
        <w:t xml:space="preserve">, U.S. District Court Judge Michael T. Liburdi, U.S. District Court for District of Arizona, denied the defense motion for summary judgment on some of the firefighter’s claims.  He had worked at Buckeye FD for 26 years, and in his application to El Mirage FD he disclosed that he resigned in lieu of termination after a citizen complaint. In </w:t>
      </w:r>
      <w:proofErr w:type="gramStart"/>
      <w:r w:rsidRPr="000518BE">
        <w:rPr>
          <w:rFonts w:ascii="Times New Roman" w:hAnsi="Times New Roman"/>
          <w:sz w:val="24"/>
          <w:szCs w:val="24"/>
        </w:rPr>
        <w:t>March,</w:t>
      </w:r>
      <w:proofErr w:type="gramEnd"/>
      <w:r w:rsidRPr="000518BE">
        <w:rPr>
          <w:rFonts w:ascii="Times New Roman" w:hAnsi="Times New Roman"/>
          <w:sz w:val="24"/>
          <w:szCs w:val="24"/>
        </w:rPr>
        <w:t xml:space="preserve"> 2021, he interviewed with the City Hiring Board where he explained that his Buckeye Fire Department resignation related to an incident involving a former girlfriend and her ex-husband (the ‘Buckeye Incident’). He was hired – one-year probationary period - and then promoted in Oct. 2021 as a fire engineer – another one-year probation – and he again disclosed the Buckeye Incident. The Court held: “Drawing all reasonable inferences in Mr. Glynn's favor, and as further explained below, the Court finds that Mr. Glynn pleads sufficient factual allegations to support ‘a series of acts’ that could establish a ‘causal connection’ between Defendants' wrongful conduct and the constitutional violations.” </w:t>
      </w:r>
      <w:hyperlink r:id="rId2786" w:history="1">
        <w:r w:rsidRPr="000518BE">
          <w:rPr>
            <w:rStyle w:val="Hyperlink"/>
            <w:rFonts w:ascii="Times New Roman" w:hAnsi="Times New Roman"/>
            <w:sz w:val="24"/>
            <w:szCs w:val="24"/>
          </w:rPr>
          <w:t>https://cases.justia.com/federal/district-courts/arizona/azdce/2:2023cv00612/1330978/17/0.pdf?ts=1697297155</w:t>
        </w:r>
      </w:hyperlink>
    </w:p>
    <w:p w14:paraId="578145D5" w14:textId="77777777" w:rsidR="000518BE" w:rsidRDefault="000518BE" w:rsidP="000518BE">
      <w:pPr>
        <w:pStyle w:val="NormalWeb"/>
        <w:rPr>
          <w:b/>
          <w:bCs/>
        </w:rPr>
      </w:pPr>
      <w:r>
        <w:rPr>
          <w:b/>
          <w:bCs/>
        </w:rPr>
        <w:t xml:space="preserve">Legal Lesson Learned: Facts alleged by VP certainly raises possible constitutional violations.  </w:t>
      </w:r>
    </w:p>
    <w:p w14:paraId="1254BA71" w14:textId="77777777" w:rsidR="000518BE" w:rsidRDefault="000518BE" w:rsidP="000518BE">
      <w:pPr>
        <w:pStyle w:val="NoSpacing"/>
        <w:rPr>
          <w:rFonts w:ascii="Times New Roman" w:hAnsi="Times New Roman"/>
          <w:sz w:val="24"/>
          <w:szCs w:val="24"/>
        </w:rPr>
      </w:pPr>
    </w:p>
    <w:p w14:paraId="6B3F5CDA" w14:textId="0A97961A" w:rsidR="000518BE" w:rsidRDefault="000518BE" w:rsidP="00F326E5">
      <w:pPr>
        <w:pStyle w:val="NoSpacing"/>
        <w:rPr>
          <w:rFonts w:ascii="Arial Black" w:hAnsi="Arial Black"/>
          <w:sz w:val="24"/>
          <w:szCs w:val="24"/>
        </w:rPr>
      </w:pPr>
      <w:r>
        <w:rPr>
          <w:rFonts w:ascii="Arial Black" w:hAnsi="Arial Black"/>
          <w:sz w:val="24"/>
          <w:szCs w:val="24"/>
        </w:rPr>
        <w:t>17-34</w:t>
      </w:r>
    </w:p>
    <w:p w14:paraId="09FD7F42" w14:textId="77777777" w:rsidR="000518BE" w:rsidRDefault="000518BE" w:rsidP="00F326E5">
      <w:pPr>
        <w:pStyle w:val="NoSpacing"/>
        <w:rPr>
          <w:rFonts w:ascii="Arial Black" w:hAnsi="Arial Black"/>
          <w:sz w:val="24"/>
          <w:szCs w:val="24"/>
        </w:rPr>
      </w:pPr>
    </w:p>
    <w:p w14:paraId="4E2EF1D7" w14:textId="77777777" w:rsidR="000518BE" w:rsidRDefault="000518BE" w:rsidP="000518BE">
      <w:pPr>
        <w:pStyle w:val="NormalWeb"/>
        <w:rPr>
          <w:rFonts w:ascii="Arial Black" w:hAnsi="Arial Black"/>
          <w:sz w:val="28"/>
          <w:szCs w:val="28"/>
        </w:rPr>
      </w:pPr>
      <w:r>
        <w:rPr>
          <w:rFonts w:ascii="Arial Black" w:hAnsi="Arial Black"/>
          <w:sz w:val="28"/>
          <w:szCs w:val="28"/>
        </w:rPr>
        <w:t xml:space="preserve">NJ: ARBITRATION AWARD TO TOWNSHIP SET ASIDE – TWP ADMIN. MUST TESTIFY PLAN TO STOP EMS RESPONSE  </w:t>
      </w:r>
    </w:p>
    <w:p w14:paraId="0B74D23B" w14:textId="7A0091FB" w:rsidR="000518BE" w:rsidRPr="000518BE" w:rsidRDefault="000518BE" w:rsidP="000518BE">
      <w:pPr>
        <w:pStyle w:val="NoSpacing"/>
        <w:rPr>
          <w:rFonts w:ascii="Times New Roman" w:hAnsi="Times New Roman"/>
          <w:sz w:val="24"/>
          <w:szCs w:val="24"/>
        </w:rPr>
      </w:pPr>
      <w:r w:rsidRPr="000518BE">
        <w:rPr>
          <w:rFonts w:ascii="Times New Roman" w:hAnsi="Times New Roman"/>
          <w:sz w:val="24"/>
          <w:szCs w:val="24"/>
        </w:rPr>
        <w:t xml:space="preserve">On Oct. 10, 2023, in </w:t>
      </w:r>
      <w:r w:rsidRPr="000518BE">
        <w:rPr>
          <w:rFonts w:ascii="Times New Roman" w:hAnsi="Times New Roman"/>
          <w:sz w:val="24"/>
          <w:szCs w:val="24"/>
          <w:u w:val="single"/>
        </w:rPr>
        <w:t>International Association of Fire Fighters, Local 1197 v. Township of Edison</w:t>
      </w:r>
      <w:r w:rsidRPr="000518BE">
        <w:rPr>
          <w:rFonts w:ascii="Times New Roman" w:hAnsi="Times New Roman"/>
          <w:sz w:val="24"/>
          <w:szCs w:val="24"/>
        </w:rPr>
        <w:t xml:space="preserve">, the Superior Court of New Jersey, Appellate Division, held (2 to 0) that arbitrator’s decision denying Local’s grievance which trial court affirmed, is reversed.  The Court held: “During oral argument [before trial court], petitioner's counsel asserted that ‘in support of a final offer,’ the Township business administrator on March 13, 2018, had stated ‘in front of everybody’ that ‘the Fire Department was no longer needed for EMS response due to the Police Department responding to all 9-1-1 calls.’ He argued the testimony about the Township business administrator's statement was admissible because it was made ‘in support of a final offer, not a mediator settlement.’*** Because the court erred in failing to find the arbitrator had erroneously excluded the testimony about the Township's business administrator's statement, we reverse the denial of the petition to vacate the arbitration award and remand for proceeding consistent with the opinion.” </w:t>
      </w:r>
      <w:hyperlink r:id="rId2787" w:history="1">
        <w:r w:rsidRPr="000518BE">
          <w:rPr>
            <w:rStyle w:val="Hyperlink"/>
            <w:rFonts w:ascii="Times New Roman" w:hAnsi="Times New Roman"/>
            <w:sz w:val="24"/>
            <w:szCs w:val="24"/>
          </w:rPr>
          <w:t>https://cases.justia.com/new-jersey/appellate-division-unpublished/2023-a-1747-21.pdf?ts=1696950933</w:t>
        </w:r>
      </w:hyperlink>
    </w:p>
    <w:p w14:paraId="11FC6C67" w14:textId="77777777" w:rsidR="000518BE" w:rsidRDefault="000518BE" w:rsidP="00F326E5">
      <w:pPr>
        <w:pStyle w:val="NoSpacing"/>
        <w:rPr>
          <w:rFonts w:ascii="Arial Black" w:hAnsi="Arial Black"/>
          <w:sz w:val="24"/>
          <w:szCs w:val="24"/>
        </w:rPr>
      </w:pPr>
    </w:p>
    <w:p w14:paraId="5BBCEE3F" w14:textId="77777777" w:rsidR="000518BE" w:rsidRDefault="000518BE" w:rsidP="000518BE">
      <w:pPr>
        <w:spacing w:after="100" w:line="240" w:lineRule="auto"/>
        <w:rPr>
          <w:rFonts w:ascii="Times New Roman" w:hAnsi="Times New Roman"/>
          <w:b/>
          <w:bCs/>
          <w:sz w:val="24"/>
          <w:szCs w:val="24"/>
        </w:rPr>
      </w:pPr>
      <w:r>
        <w:rPr>
          <w:rFonts w:ascii="Times New Roman" w:hAnsi="Times New Roman"/>
          <w:b/>
          <w:bCs/>
          <w:sz w:val="24"/>
          <w:szCs w:val="24"/>
        </w:rPr>
        <w:t xml:space="preserve">Legal Lesson Learned: The arbitration award is now vacated; grievance to be proceed back to arbitration. </w:t>
      </w:r>
    </w:p>
    <w:p w14:paraId="7A0CDAB9" w14:textId="77777777" w:rsidR="000518BE" w:rsidRDefault="000518BE" w:rsidP="000518BE">
      <w:pPr>
        <w:spacing w:after="100" w:line="240" w:lineRule="auto"/>
        <w:rPr>
          <w:rFonts w:ascii="Times New Roman" w:hAnsi="Times New Roman"/>
          <w:b/>
          <w:bCs/>
          <w:sz w:val="24"/>
          <w:szCs w:val="24"/>
        </w:rPr>
      </w:pPr>
    </w:p>
    <w:p w14:paraId="343E7936" w14:textId="77777777" w:rsidR="000518BE" w:rsidRDefault="000518BE" w:rsidP="00F326E5">
      <w:pPr>
        <w:pStyle w:val="NoSpacing"/>
        <w:rPr>
          <w:rFonts w:ascii="Arial Black" w:hAnsi="Arial Black"/>
          <w:sz w:val="24"/>
          <w:szCs w:val="24"/>
        </w:rPr>
      </w:pPr>
    </w:p>
    <w:p w14:paraId="222FB3E9" w14:textId="00F251F9" w:rsidR="002F7B74" w:rsidRDefault="002F7B74" w:rsidP="00F326E5">
      <w:pPr>
        <w:pStyle w:val="NoSpacing"/>
        <w:rPr>
          <w:rFonts w:ascii="Arial Black" w:hAnsi="Arial Black"/>
          <w:sz w:val="24"/>
          <w:szCs w:val="24"/>
        </w:rPr>
      </w:pPr>
      <w:r>
        <w:rPr>
          <w:rFonts w:ascii="Arial Black" w:hAnsi="Arial Black"/>
          <w:sz w:val="24"/>
          <w:szCs w:val="24"/>
        </w:rPr>
        <w:t>17-33</w:t>
      </w:r>
    </w:p>
    <w:p w14:paraId="73D01EE4" w14:textId="77777777" w:rsidR="002F7B74" w:rsidRPr="00F2484F" w:rsidRDefault="002F7B74" w:rsidP="002F7B74">
      <w:pPr>
        <w:pStyle w:val="NormalWeb"/>
        <w:rPr>
          <w:rFonts w:ascii="Arial Black" w:hAnsi="Arial Black"/>
          <w:b/>
          <w:bCs/>
          <w:sz w:val="28"/>
          <w:szCs w:val="28"/>
        </w:rPr>
      </w:pPr>
      <w:r>
        <w:rPr>
          <w:rFonts w:ascii="Arial Black" w:hAnsi="Arial Black"/>
          <w:b/>
          <w:bCs/>
          <w:sz w:val="28"/>
          <w:szCs w:val="28"/>
        </w:rPr>
        <w:t xml:space="preserve">OH: FIRE CHIEF “RETIRE / REHIRE” IMPROPER – CITY CIVIL SERVICE COMM. TO HOLD COMPETITVE PROMOTION EXAM </w:t>
      </w:r>
    </w:p>
    <w:p w14:paraId="123DF862" w14:textId="77777777" w:rsidR="002F7B74" w:rsidRDefault="002F7B74" w:rsidP="002F7B74">
      <w:pPr>
        <w:pStyle w:val="NormalWeb"/>
      </w:pPr>
      <w:r>
        <w:t xml:space="preserve">On Aug. 29, 2023, </w:t>
      </w:r>
      <w:r w:rsidRPr="00F2484F">
        <w:t xml:space="preserve">in </w:t>
      </w:r>
      <w:r w:rsidRPr="00C14243">
        <w:rPr>
          <w:u w:val="single"/>
        </w:rPr>
        <w:t xml:space="preserve">State ex rel. </w:t>
      </w:r>
      <w:proofErr w:type="spellStart"/>
      <w:r w:rsidRPr="00C14243">
        <w:rPr>
          <w:u w:val="single"/>
        </w:rPr>
        <w:t>Internatl</w:t>
      </w:r>
      <w:proofErr w:type="spellEnd"/>
      <w:r w:rsidRPr="00C14243">
        <w:rPr>
          <w:u w:val="single"/>
        </w:rPr>
        <w:t xml:space="preserve">. Assn. of Fire Fighters, Local 1536, AFL-CIO v. </w:t>
      </w:r>
      <w:proofErr w:type="spellStart"/>
      <w:r w:rsidRPr="00C14243">
        <w:rPr>
          <w:u w:val="single"/>
        </w:rPr>
        <w:t>Sakacs</w:t>
      </w:r>
      <w:proofErr w:type="spellEnd"/>
      <w:r w:rsidRPr="00C14243">
        <w:rPr>
          <w:u w:val="single"/>
        </w:rPr>
        <w:t>,</w:t>
      </w:r>
      <w:r>
        <w:rPr>
          <w:u w:val="single"/>
        </w:rPr>
        <w:t xml:space="preserve"> </w:t>
      </w:r>
      <w:r w:rsidRPr="00F2484F">
        <w:t>the Ohio Supreme Court</w:t>
      </w:r>
      <w:r>
        <w:rPr>
          <w:u w:val="single"/>
        </w:rPr>
        <w:t xml:space="preserve"> </w:t>
      </w:r>
      <w:r w:rsidRPr="00F2484F">
        <w:t xml:space="preserve">held (7 to 0) </w:t>
      </w:r>
      <w:r>
        <w:t xml:space="preserve">that City of Wickliffe violated Ohio Rev. Code Section 124.48, Fire Department Vacancies, when it allowed Fire Chief James Powers to retire on January 6, 2020, and then rehired him the next day so he could collect both a pension and his salary (a practice known as “double dipping”).  Court held that a “vacancy” occurred when the Fire Chief retired. </w:t>
      </w:r>
    </w:p>
    <w:p w14:paraId="6E6E7C46" w14:textId="77777777" w:rsidR="002F7B74" w:rsidRDefault="002F7B74" w:rsidP="002F7B74">
      <w:pPr>
        <w:pStyle w:val="NormalWeb"/>
        <w:ind w:left="720"/>
      </w:pPr>
      <w:r>
        <w:t>The Court held: “</w:t>
      </w:r>
      <w:r w:rsidRPr="00F2484F">
        <w:t>We conclude that under the plain language of R.C. 124.48, a vacancy occurs when the incumbent in a promoted-rank position in a fire department retires and therefore the position must be filled through the process set forth in R.C. 124.48.</w:t>
      </w:r>
      <w:r>
        <w:t>”</w:t>
      </w:r>
      <w:r w:rsidRPr="005244BC">
        <w:t xml:space="preserve"> </w:t>
      </w:r>
      <w:hyperlink r:id="rId2788" w:history="1">
        <w:r w:rsidRPr="00934E1E">
          <w:rPr>
            <w:rStyle w:val="Hyperlink"/>
            <w:rFonts w:eastAsiaTheme="majorEastAsia"/>
          </w:rPr>
          <w:t>https://www.supremecourt.ohio.gov/rod/docs/pdf/0/2023/2023-Ohio-2976.pdf</w:t>
        </w:r>
      </w:hyperlink>
      <w:r>
        <w:t xml:space="preserve"> </w:t>
      </w:r>
    </w:p>
    <w:p w14:paraId="1FA27DDF" w14:textId="77777777" w:rsidR="002F7B74" w:rsidRDefault="002F7B74" w:rsidP="002F7B74">
      <w:pPr>
        <w:pStyle w:val="NormalWeb"/>
        <w:ind w:left="720" w:firstLine="720"/>
      </w:pPr>
      <w:r>
        <w:t xml:space="preserve">Section 124.48 provides:  </w:t>
      </w:r>
      <w:hyperlink r:id="rId2789" w:history="1">
        <w:r w:rsidRPr="00934E1E">
          <w:rPr>
            <w:rStyle w:val="Hyperlink"/>
            <w:rFonts w:eastAsiaTheme="majorEastAsia"/>
          </w:rPr>
          <w:t>https://codes.ohio.gov/ohio-revised-code/section-124.48</w:t>
        </w:r>
      </w:hyperlink>
      <w:r>
        <w:t xml:space="preserve"> </w:t>
      </w:r>
    </w:p>
    <w:p w14:paraId="37C391FA" w14:textId="77777777" w:rsidR="002F7B74" w:rsidRDefault="002F7B74" w:rsidP="002F7B74">
      <w:pPr>
        <w:pStyle w:val="NormalWeb"/>
        <w:ind w:left="1440"/>
      </w:pPr>
      <w:r>
        <w:t xml:space="preserve">“Whenever a vacancy occurs in a promoted rank in a fire department and no eligible list for that rank exists, the appointing authority shall certify the fact to the civil service commission. The civil service commission, within sixty days of the vacancy, shall conduct a competitive promotional examination. After the examination has been held, an eligible list shall be established, and the civil service commission shall certify to the appointing authority the name of the person on the list receiving the highest grade. Upon the certification, the appointing authority shall appoint the person so certified within ten days. </w:t>
      </w:r>
    </w:p>
    <w:p w14:paraId="64C405F9" w14:textId="77777777" w:rsidR="002F7B74" w:rsidRDefault="002F7B74" w:rsidP="002F7B74">
      <w:pPr>
        <w:pStyle w:val="NormalWeb"/>
        <w:ind w:left="1440"/>
      </w:pPr>
      <w:r>
        <w:t>When an eligible list exists and a vacancy occurs in a position for which the list was established, the appointing authority shall certify the fact to the civil service commission. The person standing highest on the list shall be certified to the appointing authority, and that person shall be appointed within ten days.”</w:t>
      </w:r>
    </w:p>
    <w:p w14:paraId="4BEAB88E" w14:textId="77777777" w:rsidR="002F7B74" w:rsidRPr="004168A4" w:rsidRDefault="002F7B74" w:rsidP="002F7B74">
      <w:pPr>
        <w:pStyle w:val="NoSpacing"/>
        <w:rPr>
          <w:rFonts w:ascii="Times New Roman" w:hAnsi="Times New Roman"/>
          <w:b/>
          <w:bCs/>
          <w:sz w:val="24"/>
          <w:szCs w:val="24"/>
        </w:rPr>
      </w:pPr>
      <w:r w:rsidRPr="004168A4">
        <w:rPr>
          <w:rFonts w:ascii="Times New Roman" w:hAnsi="Times New Roman"/>
          <w:b/>
          <w:bCs/>
          <w:sz w:val="24"/>
          <w:szCs w:val="24"/>
        </w:rPr>
        <w:t>Legal Lesson Learned:</w:t>
      </w:r>
      <w:r>
        <w:rPr>
          <w:rFonts w:ascii="Times New Roman" w:hAnsi="Times New Roman"/>
          <w:b/>
          <w:bCs/>
          <w:sz w:val="24"/>
          <w:szCs w:val="24"/>
        </w:rPr>
        <w:t xml:space="preserve">  This decision impacts all Ohio cities and other political subdivisions with fire officials in a classified civil service position. </w:t>
      </w:r>
    </w:p>
    <w:p w14:paraId="06B70139" w14:textId="77777777" w:rsidR="002F7B74" w:rsidRDefault="002F7B74" w:rsidP="002F7B74">
      <w:pPr>
        <w:pStyle w:val="Heading2"/>
      </w:pPr>
      <w:r>
        <w:tab/>
      </w:r>
    </w:p>
    <w:p w14:paraId="35B68ED2" w14:textId="77777777" w:rsidR="002F7B74" w:rsidRPr="002F7B74" w:rsidRDefault="002F7B74" w:rsidP="002F7B74">
      <w:pPr>
        <w:pStyle w:val="Heading2"/>
        <w:ind w:left="720"/>
        <w:rPr>
          <w:rFonts w:ascii="Times New Roman" w:hAnsi="Times New Roman"/>
          <w:b w:val="0"/>
          <w:bCs w:val="0"/>
          <w:i w:val="0"/>
          <w:iCs w:val="0"/>
          <w:sz w:val="24"/>
          <w:szCs w:val="24"/>
        </w:rPr>
      </w:pPr>
      <w:r w:rsidRPr="002F7B74">
        <w:rPr>
          <w:rFonts w:ascii="Times New Roman" w:hAnsi="Times New Roman"/>
          <w:b w:val="0"/>
          <w:bCs w:val="0"/>
          <w:i w:val="0"/>
          <w:iCs w:val="0"/>
          <w:sz w:val="24"/>
          <w:szCs w:val="24"/>
        </w:rPr>
        <w:t xml:space="preserve">Note:  See Aug. 29, </w:t>
      </w:r>
      <w:proofErr w:type="gramStart"/>
      <w:r w:rsidRPr="002F7B74">
        <w:rPr>
          <w:rFonts w:ascii="Times New Roman" w:hAnsi="Times New Roman"/>
          <w:b w:val="0"/>
          <w:bCs w:val="0"/>
          <w:i w:val="0"/>
          <w:iCs w:val="0"/>
          <w:sz w:val="24"/>
          <w:szCs w:val="24"/>
        </w:rPr>
        <w:t>2023</w:t>
      </w:r>
      <w:proofErr w:type="gramEnd"/>
      <w:r w:rsidRPr="002F7B74">
        <w:rPr>
          <w:rFonts w:ascii="Times New Roman" w:hAnsi="Times New Roman"/>
          <w:b w:val="0"/>
          <w:bCs w:val="0"/>
          <w:i w:val="0"/>
          <w:iCs w:val="0"/>
          <w:sz w:val="24"/>
          <w:szCs w:val="24"/>
        </w:rPr>
        <w:t xml:space="preserve"> article, ‘Retire/Rehire’ Plan Violated Civil Service Law.” </w:t>
      </w:r>
      <w:hyperlink r:id="rId2790" w:history="1">
        <w:r w:rsidRPr="002F7B74">
          <w:rPr>
            <w:rStyle w:val="Hyperlink"/>
            <w:rFonts w:ascii="Times New Roman" w:hAnsi="Times New Roman"/>
            <w:b w:val="0"/>
            <w:bCs w:val="0"/>
            <w:i w:val="0"/>
            <w:iCs w:val="0"/>
            <w:sz w:val="24"/>
            <w:szCs w:val="24"/>
          </w:rPr>
          <w:t>https://www.courtnewsohio.gov/cases/2023/SCO/0829/220988.asp</w:t>
        </w:r>
      </w:hyperlink>
      <w:r w:rsidRPr="002F7B74">
        <w:rPr>
          <w:rFonts w:ascii="Times New Roman" w:hAnsi="Times New Roman"/>
          <w:b w:val="0"/>
          <w:bCs w:val="0"/>
          <w:i w:val="0"/>
          <w:iCs w:val="0"/>
          <w:sz w:val="24"/>
          <w:szCs w:val="24"/>
        </w:rPr>
        <w:t xml:space="preserve"> </w:t>
      </w:r>
    </w:p>
    <w:p w14:paraId="3791E116" w14:textId="77777777" w:rsidR="002F7B74" w:rsidRPr="002F7B74" w:rsidRDefault="002F7B74" w:rsidP="002F7B74">
      <w:pPr>
        <w:spacing w:before="100" w:beforeAutospacing="1" w:after="100" w:afterAutospacing="1" w:line="240" w:lineRule="auto"/>
        <w:jc w:val="center"/>
        <w:rPr>
          <w:rFonts w:ascii="Times New Roman" w:eastAsia="Times New Roman" w:hAnsi="Times New Roman"/>
          <w:b/>
          <w:bCs/>
          <w:sz w:val="24"/>
          <w:szCs w:val="24"/>
        </w:rPr>
      </w:pPr>
    </w:p>
    <w:p w14:paraId="08C11F08" w14:textId="77777777" w:rsidR="002F7B74" w:rsidRDefault="002F7B74" w:rsidP="00F326E5">
      <w:pPr>
        <w:pStyle w:val="NoSpacing"/>
        <w:rPr>
          <w:rFonts w:ascii="Arial Black" w:hAnsi="Arial Black"/>
          <w:sz w:val="24"/>
          <w:szCs w:val="24"/>
        </w:rPr>
      </w:pPr>
    </w:p>
    <w:p w14:paraId="5F8C7D72" w14:textId="77777777" w:rsidR="002F7B74" w:rsidRDefault="002F7B74" w:rsidP="00F326E5">
      <w:pPr>
        <w:pStyle w:val="NoSpacing"/>
        <w:rPr>
          <w:rFonts w:ascii="Arial Black" w:hAnsi="Arial Black"/>
          <w:sz w:val="24"/>
          <w:szCs w:val="24"/>
        </w:rPr>
      </w:pPr>
    </w:p>
    <w:p w14:paraId="5D714CF9" w14:textId="5F97D9D4" w:rsidR="00D33F96" w:rsidRDefault="0055155D" w:rsidP="00F326E5">
      <w:pPr>
        <w:pStyle w:val="NoSpacing"/>
        <w:rPr>
          <w:rFonts w:ascii="Arial Black" w:hAnsi="Arial Black"/>
          <w:sz w:val="24"/>
          <w:szCs w:val="24"/>
        </w:rPr>
      </w:pPr>
      <w:r>
        <w:rPr>
          <w:rFonts w:ascii="Arial Black" w:hAnsi="Arial Black"/>
          <w:sz w:val="24"/>
          <w:szCs w:val="24"/>
        </w:rPr>
        <w:t>17-32</w:t>
      </w:r>
    </w:p>
    <w:p w14:paraId="1A2B75FF" w14:textId="77777777" w:rsidR="0055155D" w:rsidRDefault="0055155D" w:rsidP="00F326E5">
      <w:pPr>
        <w:pStyle w:val="NoSpacing"/>
        <w:rPr>
          <w:rFonts w:ascii="Arial Black" w:hAnsi="Arial Black"/>
          <w:sz w:val="24"/>
          <w:szCs w:val="24"/>
        </w:rPr>
      </w:pPr>
    </w:p>
    <w:p w14:paraId="20022481" w14:textId="77777777" w:rsidR="0055155D" w:rsidRDefault="0055155D" w:rsidP="0055155D">
      <w:pPr>
        <w:spacing w:after="100" w:line="240" w:lineRule="auto"/>
      </w:pPr>
      <w:r>
        <w:rPr>
          <w:rFonts w:ascii="Arial Black" w:hAnsi="Arial Black"/>
          <w:sz w:val="28"/>
          <w:szCs w:val="28"/>
        </w:rPr>
        <w:t>RI:  UNDER CBA - TOWN / UNION SELECTED NEUTRAL 3</w:t>
      </w:r>
      <w:r w:rsidRPr="0024198A">
        <w:rPr>
          <w:rFonts w:ascii="Arial Black" w:hAnsi="Arial Black"/>
          <w:sz w:val="28"/>
          <w:szCs w:val="28"/>
          <w:vertAlign w:val="superscript"/>
        </w:rPr>
        <w:t>rd</w:t>
      </w:r>
      <w:r>
        <w:rPr>
          <w:rFonts w:ascii="Arial Black" w:hAnsi="Arial Black"/>
          <w:sz w:val="28"/>
          <w:szCs w:val="28"/>
        </w:rPr>
        <w:t xml:space="preserve"> PARTY PHYSICIAN - CHEST PAINS NOT JOB RELATED</w:t>
      </w:r>
    </w:p>
    <w:p w14:paraId="0D3F23D6" w14:textId="77777777" w:rsidR="0055155D" w:rsidRDefault="0055155D" w:rsidP="0055155D">
      <w:pPr>
        <w:spacing w:after="100" w:line="240" w:lineRule="auto"/>
        <w:rPr>
          <w:rFonts w:ascii="Times New Roman" w:hAnsi="Times New Roman"/>
          <w:sz w:val="24"/>
          <w:szCs w:val="24"/>
        </w:rPr>
      </w:pPr>
      <w:r>
        <w:rPr>
          <w:rFonts w:ascii="Times New Roman" w:hAnsi="Times New Roman"/>
          <w:sz w:val="24"/>
          <w:szCs w:val="24"/>
        </w:rPr>
        <w:t xml:space="preserve">On Aug. 21, 2023, in </w:t>
      </w:r>
      <w:r w:rsidRPr="004B5612">
        <w:rPr>
          <w:rFonts w:ascii="Times New Roman" w:hAnsi="Times New Roman"/>
          <w:sz w:val="24"/>
          <w:szCs w:val="24"/>
          <w:u w:val="single"/>
        </w:rPr>
        <w:t>Fred Melnyk v, Town of Little Compton</w:t>
      </w:r>
      <w:r>
        <w:rPr>
          <w:rFonts w:ascii="Times New Roman" w:hAnsi="Times New Roman"/>
          <w:sz w:val="24"/>
          <w:szCs w:val="24"/>
        </w:rPr>
        <w:t xml:space="preserve">, the U.S. Court of Appeals for First District (Boston) held (3 to 0; unpublished decision) that trial court judge granted Town’s motion for summary judgment.  The FF was put on Administrative Leave for chest pains from April 13, </w:t>
      </w:r>
      <w:proofErr w:type="gramStart"/>
      <w:r>
        <w:rPr>
          <w:rFonts w:ascii="Times New Roman" w:hAnsi="Times New Roman"/>
          <w:sz w:val="24"/>
          <w:szCs w:val="24"/>
        </w:rPr>
        <w:t>2028</w:t>
      </w:r>
      <w:proofErr w:type="gramEnd"/>
      <w:r>
        <w:rPr>
          <w:rFonts w:ascii="Times New Roman" w:hAnsi="Times New Roman"/>
          <w:sz w:val="24"/>
          <w:szCs w:val="24"/>
        </w:rPr>
        <w:t xml:space="preserve"> until termination in </w:t>
      </w:r>
      <w:proofErr w:type="gramStart"/>
      <w:r>
        <w:rPr>
          <w:rFonts w:ascii="Times New Roman" w:hAnsi="Times New Roman"/>
          <w:sz w:val="24"/>
          <w:szCs w:val="24"/>
        </w:rPr>
        <w:t>March,</w:t>
      </w:r>
      <w:proofErr w:type="gramEnd"/>
      <w:r>
        <w:rPr>
          <w:rFonts w:ascii="Times New Roman" w:hAnsi="Times New Roman"/>
          <w:sz w:val="24"/>
          <w:szCs w:val="24"/>
        </w:rPr>
        <w:t xml:space="preserve"> 2019. There was no breach of the Collective Bargaining Agreement since the CBA provides that when FF’s physician, and Town’s physician disagree on cause of a firefighter’s medical issue, the Town and the Union shall select a neutral 3</w:t>
      </w:r>
      <w:r w:rsidRPr="00B40900">
        <w:rPr>
          <w:rFonts w:ascii="Times New Roman" w:hAnsi="Times New Roman"/>
          <w:sz w:val="24"/>
          <w:szCs w:val="24"/>
          <w:vertAlign w:val="superscript"/>
        </w:rPr>
        <w:t>rd</w:t>
      </w:r>
      <w:r>
        <w:rPr>
          <w:rFonts w:ascii="Times New Roman" w:hAnsi="Times New Roman"/>
          <w:sz w:val="24"/>
          <w:szCs w:val="24"/>
        </w:rPr>
        <w:t xml:space="preserve"> physician whose decision is binding.  That 3</w:t>
      </w:r>
      <w:r w:rsidRPr="001E2B05">
        <w:rPr>
          <w:rFonts w:ascii="Times New Roman" w:hAnsi="Times New Roman"/>
          <w:sz w:val="24"/>
          <w:szCs w:val="24"/>
          <w:vertAlign w:val="superscript"/>
        </w:rPr>
        <w:t>rd</w:t>
      </w:r>
      <w:r>
        <w:rPr>
          <w:rFonts w:ascii="Times New Roman" w:hAnsi="Times New Roman"/>
          <w:sz w:val="24"/>
          <w:szCs w:val="24"/>
        </w:rPr>
        <w:t xml:space="preserve"> physician concluded chest pain </w:t>
      </w:r>
      <w:proofErr w:type="gramStart"/>
      <w:r>
        <w:rPr>
          <w:rFonts w:ascii="Times New Roman" w:hAnsi="Times New Roman"/>
          <w:sz w:val="24"/>
          <w:szCs w:val="24"/>
        </w:rPr>
        <w:t>not</w:t>
      </w:r>
      <w:proofErr w:type="gramEnd"/>
      <w:r>
        <w:rPr>
          <w:rFonts w:ascii="Times New Roman" w:hAnsi="Times New Roman"/>
          <w:sz w:val="24"/>
          <w:szCs w:val="24"/>
        </w:rPr>
        <w:t xml:space="preserve"> caused by the job. </w:t>
      </w:r>
    </w:p>
    <w:p w14:paraId="4A4E7A58" w14:textId="77777777" w:rsidR="0055155D" w:rsidRDefault="0055155D" w:rsidP="0055155D">
      <w:pPr>
        <w:spacing w:after="100" w:line="240" w:lineRule="auto"/>
        <w:rPr>
          <w:rFonts w:ascii="Times New Roman" w:hAnsi="Times New Roman"/>
          <w:sz w:val="24"/>
          <w:szCs w:val="24"/>
        </w:rPr>
      </w:pPr>
      <w:r>
        <w:rPr>
          <w:rFonts w:ascii="Times New Roman" w:hAnsi="Times New Roman"/>
          <w:sz w:val="24"/>
          <w:szCs w:val="24"/>
        </w:rPr>
        <w:tab/>
        <w:t>The Court held:</w:t>
      </w:r>
    </w:p>
    <w:p w14:paraId="3FB86540" w14:textId="77777777" w:rsidR="0055155D" w:rsidRDefault="0055155D" w:rsidP="0055155D">
      <w:pPr>
        <w:spacing w:after="100" w:line="240" w:lineRule="auto"/>
        <w:ind w:left="720"/>
        <w:rPr>
          <w:rFonts w:ascii="Times New Roman" w:hAnsi="Times New Roman"/>
          <w:sz w:val="24"/>
          <w:szCs w:val="24"/>
        </w:rPr>
      </w:pPr>
      <w:r>
        <w:rPr>
          <w:rFonts w:ascii="Times New Roman" w:hAnsi="Times New Roman"/>
          <w:sz w:val="24"/>
          <w:szCs w:val="24"/>
        </w:rPr>
        <w:t>“</w:t>
      </w:r>
      <w:r w:rsidRPr="00B40900">
        <w:rPr>
          <w:rFonts w:ascii="Times New Roman" w:hAnsi="Times New Roman"/>
          <w:sz w:val="24"/>
          <w:szCs w:val="24"/>
        </w:rPr>
        <w:t xml:space="preserve">Melnyk appears to take issue with the form of the opinion rendered by the Town's physician, highlighting how the physician's treatment notes from Melnyk's exam say nothing about whether Melnyk's ailment was job-related. The MOA, however, does not dictate the form of the physician's opinion or prohibit the Town's physician from rendering his opinion after, rather than contemporaneously with, Melnyk's office visit. Moreover, both the Town and the Union agreed that the note from the Town's physician was satisfactory and triggered the need for a third opinion. At bottom, Melnyk has not put forth any evidence to show that the note from the Town's physician did not mean what it said -- his </w:t>
      </w:r>
      <w:r>
        <w:rPr>
          <w:rFonts w:ascii="Times New Roman" w:hAnsi="Times New Roman"/>
          <w:sz w:val="24"/>
          <w:szCs w:val="24"/>
        </w:rPr>
        <w:t>‘</w:t>
      </w:r>
      <w:r w:rsidRPr="00B40900">
        <w:rPr>
          <w:rFonts w:ascii="Times New Roman" w:hAnsi="Times New Roman"/>
          <w:sz w:val="24"/>
          <w:szCs w:val="24"/>
        </w:rPr>
        <w:t>opinion is that [Melnyk's injury] [was] not job-related.</w:t>
      </w:r>
      <w:r>
        <w:rPr>
          <w:rFonts w:ascii="Times New Roman" w:hAnsi="Times New Roman"/>
          <w:sz w:val="24"/>
          <w:szCs w:val="24"/>
        </w:rPr>
        <w:t>’</w:t>
      </w:r>
      <w:r w:rsidRPr="00B40900">
        <w:rPr>
          <w:rFonts w:ascii="Times New Roman" w:hAnsi="Times New Roman"/>
          <w:sz w:val="24"/>
          <w:szCs w:val="24"/>
        </w:rPr>
        <w:t xml:space="preserve"> As such, there is no genuine issue of material fact as to whether the defendants breached the MOA by not obtaining an opinion from the Town's physician.</w:t>
      </w:r>
    </w:p>
    <w:p w14:paraId="20111594" w14:textId="77777777" w:rsidR="0055155D" w:rsidRDefault="0055155D" w:rsidP="0055155D">
      <w:pPr>
        <w:spacing w:after="100" w:line="240" w:lineRule="auto"/>
        <w:ind w:left="720"/>
        <w:rPr>
          <w:rFonts w:ascii="Times New Roman" w:hAnsi="Times New Roman"/>
          <w:sz w:val="24"/>
          <w:szCs w:val="24"/>
        </w:rPr>
      </w:pPr>
      <w:r>
        <w:rPr>
          <w:rFonts w:ascii="Times New Roman" w:hAnsi="Times New Roman"/>
          <w:sz w:val="24"/>
          <w:szCs w:val="24"/>
        </w:rPr>
        <w:t>***</w:t>
      </w:r>
    </w:p>
    <w:p w14:paraId="4A7593A0" w14:textId="77777777" w:rsidR="0055155D" w:rsidRPr="00B40900" w:rsidRDefault="0055155D" w:rsidP="0055155D">
      <w:pPr>
        <w:spacing w:after="100" w:line="240" w:lineRule="auto"/>
        <w:ind w:left="720"/>
        <w:rPr>
          <w:rFonts w:ascii="Times New Roman" w:hAnsi="Times New Roman"/>
          <w:sz w:val="24"/>
          <w:szCs w:val="24"/>
        </w:rPr>
      </w:pPr>
      <w:r w:rsidRPr="00B40900">
        <w:rPr>
          <w:rFonts w:ascii="Times New Roman" w:hAnsi="Times New Roman"/>
          <w:sz w:val="24"/>
          <w:szCs w:val="24"/>
        </w:rPr>
        <w:t>A third physician was selected by the Town and the Union, and he opined that Melnyk's condition was not job-related. Consequently, Melnyk was assessed sick time for time missed. In March 2019, having exhausted his remaining leave time and being unable to return to his duties, Melnyk was terminated.</w:t>
      </w:r>
      <w:r>
        <w:rPr>
          <w:rFonts w:ascii="Times New Roman" w:hAnsi="Times New Roman"/>
          <w:sz w:val="24"/>
          <w:szCs w:val="24"/>
        </w:rPr>
        <w:t xml:space="preserve">” </w:t>
      </w:r>
      <w:hyperlink r:id="rId2791" w:history="1">
        <w:r w:rsidRPr="00CD12AF">
          <w:rPr>
            <w:rStyle w:val="Hyperlink"/>
            <w:rFonts w:ascii="Times New Roman" w:hAnsi="Times New Roman"/>
            <w:sz w:val="24"/>
            <w:szCs w:val="24"/>
          </w:rPr>
          <w:t>http://media.ca1.uscourts.gov/pdf.opinions/22-1320U-01A.pdf</w:t>
        </w:r>
      </w:hyperlink>
      <w:r>
        <w:rPr>
          <w:rFonts w:ascii="Times New Roman" w:hAnsi="Times New Roman"/>
          <w:sz w:val="24"/>
          <w:szCs w:val="24"/>
        </w:rPr>
        <w:t xml:space="preserve"> </w:t>
      </w:r>
    </w:p>
    <w:p w14:paraId="1BAD3832" w14:textId="77777777" w:rsidR="0055155D" w:rsidRDefault="0055155D" w:rsidP="0055155D">
      <w:pPr>
        <w:spacing w:after="100" w:line="240" w:lineRule="auto"/>
        <w:rPr>
          <w:rFonts w:ascii="Times New Roman" w:hAnsi="Times New Roman"/>
          <w:sz w:val="24"/>
          <w:szCs w:val="24"/>
        </w:rPr>
      </w:pPr>
    </w:p>
    <w:p w14:paraId="2E9C301D" w14:textId="77777777" w:rsidR="0055155D" w:rsidRDefault="0055155D" w:rsidP="0055155D">
      <w:pPr>
        <w:pStyle w:val="NormalWeb"/>
      </w:pPr>
      <w:r w:rsidRPr="001E2B05">
        <w:rPr>
          <w:b/>
          <w:bCs/>
        </w:rPr>
        <w:t xml:space="preserve">Legal Lesson Learned: </w:t>
      </w:r>
      <w:r>
        <w:rPr>
          <w:b/>
          <w:bCs/>
        </w:rPr>
        <w:t>Selection by Town and Union of a neutral third physician was consistent with CBA.</w:t>
      </w:r>
    </w:p>
    <w:p w14:paraId="7BD11AE8" w14:textId="77777777" w:rsidR="0055155D" w:rsidRDefault="0055155D" w:rsidP="00F326E5">
      <w:pPr>
        <w:pStyle w:val="NoSpacing"/>
        <w:rPr>
          <w:rFonts w:ascii="Arial Black" w:hAnsi="Arial Black"/>
          <w:sz w:val="24"/>
          <w:szCs w:val="24"/>
        </w:rPr>
      </w:pPr>
    </w:p>
    <w:p w14:paraId="255C0642" w14:textId="77777777" w:rsidR="00D33F96" w:rsidRDefault="00D33F96" w:rsidP="00F326E5">
      <w:pPr>
        <w:pStyle w:val="NoSpacing"/>
        <w:rPr>
          <w:rFonts w:ascii="Arial Black" w:hAnsi="Arial Black"/>
          <w:sz w:val="24"/>
          <w:szCs w:val="24"/>
        </w:rPr>
      </w:pPr>
    </w:p>
    <w:p w14:paraId="0F0F466D" w14:textId="3B23C4DE" w:rsidR="00D33F96" w:rsidRDefault="00D33F96" w:rsidP="00F326E5">
      <w:pPr>
        <w:pStyle w:val="NoSpacing"/>
        <w:rPr>
          <w:rFonts w:ascii="Arial Black" w:hAnsi="Arial Black"/>
          <w:sz w:val="24"/>
          <w:szCs w:val="24"/>
        </w:rPr>
      </w:pPr>
      <w:r>
        <w:rPr>
          <w:rFonts w:ascii="Arial Black" w:hAnsi="Arial Black"/>
          <w:sz w:val="24"/>
          <w:szCs w:val="24"/>
        </w:rPr>
        <w:t>17-31</w:t>
      </w:r>
    </w:p>
    <w:p w14:paraId="5588F274" w14:textId="77777777" w:rsidR="00D33F96" w:rsidRDefault="00D33F96" w:rsidP="00D33F96">
      <w:pPr>
        <w:spacing w:before="100" w:beforeAutospacing="1" w:after="100" w:afterAutospacing="1" w:line="240" w:lineRule="auto"/>
        <w:rPr>
          <w:rFonts w:ascii="Arial Black" w:hAnsi="Arial Black"/>
          <w:sz w:val="28"/>
          <w:szCs w:val="28"/>
        </w:rPr>
      </w:pPr>
      <w:r>
        <w:rPr>
          <w:rFonts w:ascii="Arial Black" w:hAnsi="Arial Black"/>
          <w:sz w:val="28"/>
          <w:szCs w:val="28"/>
        </w:rPr>
        <w:t>OH: YOUNGSTOWN CAPT. – DENIED PROMOTION – UNDER CBA ARBITRATION ONLY REMEDY – EVEN DELAYED UNION</w:t>
      </w:r>
    </w:p>
    <w:p w14:paraId="01CA3F3C" w14:textId="77777777" w:rsidR="00D33F96" w:rsidRDefault="00D33F96" w:rsidP="00D33F9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July 6, 2023, in </w:t>
      </w:r>
      <w:r w:rsidRPr="001F7141">
        <w:rPr>
          <w:rFonts w:ascii="Times New Roman" w:hAnsi="Times New Roman"/>
          <w:sz w:val="24"/>
          <w:szCs w:val="24"/>
          <w:u w:val="single"/>
        </w:rPr>
        <w:t>The State ex rel. Casey et al. v. Brown, Mayor, et al</w:t>
      </w:r>
      <w:r>
        <w:rPr>
          <w:rFonts w:ascii="Times New Roman" w:hAnsi="Times New Roman"/>
          <w:sz w:val="24"/>
          <w:szCs w:val="24"/>
        </w:rPr>
        <w:t xml:space="preserve">., the Supreme Court of Ohio held (7 to 0), in a per curium decision [not authored by a single judge; appeal was also decided without need for oral argument], that the Ohio Court of Appeals for the Seventh District correctly held that the Captain has an adequate remedy through arbitration under the collection bargaining agreement, even if the arbitration has been delayed because Local 312 President is waiting for an arbitration decision by another Captain. He and others took a promotion exam in Oct. 2021 when a battalion chief retired; if he ultimately wins in arbitration, then he gets back pay with interest. </w:t>
      </w:r>
    </w:p>
    <w:p w14:paraId="6611D799" w14:textId="46E89446" w:rsidR="00D33F96" w:rsidRDefault="00D33F96" w:rsidP="00D33F96">
      <w:pPr>
        <w:pStyle w:val="NoSpacing"/>
        <w:rPr>
          <w:rStyle w:val="Hyperlink"/>
          <w:sz w:val="24"/>
          <w:szCs w:val="24"/>
        </w:rPr>
      </w:pPr>
      <w:r>
        <w:rPr>
          <w:rFonts w:ascii="Times New Roman" w:hAnsi="Times New Roman"/>
          <w:sz w:val="24"/>
          <w:szCs w:val="24"/>
        </w:rPr>
        <w:t xml:space="preserve">The Court held: </w:t>
      </w:r>
      <w:r w:rsidRPr="006B2F09">
        <w:rPr>
          <w:rFonts w:ascii="Times New Roman" w:hAnsi="Times New Roman"/>
          <w:sz w:val="24"/>
          <w:szCs w:val="24"/>
        </w:rPr>
        <w:t xml:space="preserve">“In summary, Casey had an adequate remedy in the ordinary course of the law to advance his grievance by way of the CBA because his claim was </w:t>
      </w:r>
      <w:proofErr w:type="spellStart"/>
      <w:r w:rsidRPr="006B2F09">
        <w:rPr>
          <w:rFonts w:ascii="Times New Roman" w:hAnsi="Times New Roman"/>
          <w:sz w:val="24"/>
          <w:szCs w:val="24"/>
        </w:rPr>
        <w:t>grievable</w:t>
      </w:r>
      <w:proofErr w:type="spellEnd"/>
      <w:r w:rsidRPr="006B2F09">
        <w:rPr>
          <w:rFonts w:ascii="Times New Roman" w:hAnsi="Times New Roman"/>
          <w:sz w:val="24"/>
          <w:szCs w:val="24"/>
        </w:rPr>
        <w:t xml:space="preserve">. *** </w:t>
      </w:r>
      <w:r w:rsidRPr="00D1130B">
        <w:rPr>
          <w:rFonts w:ascii="Times New Roman" w:hAnsi="Times New Roman"/>
          <w:sz w:val="24"/>
          <w:szCs w:val="24"/>
        </w:rPr>
        <w:t>Casey's argument is internally inconsistent. On the one hand, he concedes that so long as he was able to seek relief through the CBA's grievance procedure, his remedy under the CBA was adequate. But, the argument runs, once he received an unfavorable decision by way of the union president's decision to decline to advance his grievance to arbitration, the remedy became inadequate, clearing the way for this action. It follows that if his remedy was at one time adequate-as he concedes that it was-then that is enough.</w:t>
      </w:r>
      <w:r>
        <w:rPr>
          <w:rFonts w:ascii="Times New Roman" w:hAnsi="Times New Roman"/>
          <w:sz w:val="24"/>
          <w:szCs w:val="24"/>
        </w:rPr>
        <w:t>”</w:t>
      </w:r>
      <w:r w:rsidRPr="00D1130B">
        <w:rPr>
          <w:rFonts w:ascii="Times New Roman" w:hAnsi="Times New Roman"/>
          <w:sz w:val="24"/>
          <w:szCs w:val="24"/>
        </w:rPr>
        <w:t xml:space="preserve">  </w:t>
      </w:r>
      <w:hyperlink r:id="rId2792" w:history="1">
        <w:r w:rsidRPr="00812663">
          <w:rPr>
            <w:rStyle w:val="Hyperlink"/>
            <w:sz w:val="24"/>
            <w:szCs w:val="24"/>
          </w:rPr>
          <w:t>https://www.supremecourt.ohio.gov/rod/docs/pdf/0/2023/2023-Ohio-2264.pdf</w:t>
        </w:r>
      </w:hyperlink>
    </w:p>
    <w:p w14:paraId="589B922B" w14:textId="77777777" w:rsidR="005F448F" w:rsidRDefault="005F448F" w:rsidP="00D33F96">
      <w:pPr>
        <w:pStyle w:val="NoSpacing"/>
        <w:rPr>
          <w:rStyle w:val="Hyperlink"/>
          <w:sz w:val="24"/>
          <w:szCs w:val="24"/>
        </w:rPr>
      </w:pPr>
    </w:p>
    <w:p w14:paraId="2812EE79" w14:textId="77777777" w:rsidR="005F448F" w:rsidRDefault="005F448F" w:rsidP="00D33F96">
      <w:pPr>
        <w:pStyle w:val="NoSpacing"/>
        <w:rPr>
          <w:rStyle w:val="Hyperlink"/>
          <w:sz w:val="24"/>
          <w:szCs w:val="24"/>
        </w:rPr>
      </w:pPr>
    </w:p>
    <w:p w14:paraId="273E2FCD" w14:textId="77777777" w:rsidR="005F448F" w:rsidRPr="00742D8E" w:rsidRDefault="005F448F" w:rsidP="005F448F">
      <w:pPr>
        <w:spacing w:before="100" w:beforeAutospacing="1" w:after="100" w:afterAutospacing="1" w:line="240" w:lineRule="auto"/>
        <w:rPr>
          <w:rFonts w:ascii="Times New Roman" w:hAnsi="Times New Roman"/>
          <w:b/>
          <w:bCs/>
          <w:sz w:val="24"/>
          <w:szCs w:val="24"/>
        </w:rPr>
      </w:pPr>
      <w:r w:rsidRPr="00742D8E">
        <w:rPr>
          <w:rFonts w:ascii="Times New Roman" w:hAnsi="Times New Roman"/>
          <w:b/>
          <w:bCs/>
          <w:sz w:val="24"/>
          <w:szCs w:val="24"/>
        </w:rPr>
        <w:t xml:space="preserve">Legal Lesson Learned: </w:t>
      </w:r>
      <w:r>
        <w:rPr>
          <w:rFonts w:ascii="Times New Roman" w:hAnsi="Times New Roman"/>
          <w:b/>
          <w:bCs/>
          <w:sz w:val="24"/>
          <w:szCs w:val="24"/>
        </w:rPr>
        <w:t xml:space="preserve">The </w:t>
      </w:r>
      <w:proofErr w:type="gramStart"/>
      <w:r>
        <w:rPr>
          <w:rFonts w:ascii="Times New Roman" w:hAnsi="Times New Roman"/>
          <w:b/>
          <w:bCs/>
          <w:sz w:val="24"/>
          <w:szCs w:val="24"/>
        </w:rPr>
        <w:t>Captain’s</w:t>
      </w:r>
      <w:proofErr w:type="gramEnd"/>
      <w:r>
        <w:rPr>
          <w:rFonts w:ascii="Times New Roman" w:hAnsi="Times New Roman"/>
          <w:b/>
          <w:bCs/>
          <w:sz w:val="24"/>
          <w:szCs w:val="24"/>
        </w:rPr>
        <w:t xml:space="preserve"> sole remedy is to seek arbitration under CBA. </w:t>
      </w:r>
    </w:p>
    <w:p w14:paraId="17BC8984" w14:textId="77777777" w:rsidR="005F448F" w:rsidRPr="00D67B2F" w:rsidRDefault="005F448F" w:rsidP="005F448F">
      <w:pPr>
        <w:spacing w:before="100" w:beforeAutospacing="1" w:after="100" w:afterAutospacing="1" w:line="240" w:lineRule="auto"/>
        <w:ind w:left="720" w:firstLine="50"/>
        <w:rPr>
          <w:rFonts w:ascii="Times New Roman" w:hAnsi="Times New Roman"/>
          <w:sz w:val="24"/>
          <w:szCs w:val="24"/>
        </w:rPr>
      </w:pPr>
      <w:r>
        <w:rPr>
          <w:rFonts w:ascii="Times New Roman" w:hAnsi="Times New Roman"/>
          <w:sz w:val="24"/>
          <w:szCs w:val="24"/>
        </w:rPr>
        <w:t xml:space="preserve">Note: See decision in </w:t>
      </w:r>
      <w:r w:rsidRPr="00D67B2F">
        <w:rPr>
          <w:rFonts w:ascii="Times New Roman" w:hAnsi="Times New Roman"/>
          <w:i/>
          <w:iCs/>
          <w:sz w:val="24"/>
          <w:szCs w:val="24"/>
        </w:rPr>
        <w:t>Youngstown II</w:t>
      </w:r>
      <w:r>
        <w:rPr>
          <w:rFonts w:ascii="Times New Roman" w:hAnsi="Times New Roman"/>
          <w:sz w:val="24"/>
          <w:szCs w:val="24"/>
        </w:rPr>
        <w:t xml:space="preserve">; Dec. 13, 2021; </w:t>
      </w:r>
      <w:hyperlink r:id="rId2793" w:history="1">
        <w:r w:rsidRPr="00E97EE7">
          <w:rPr>
            <w:rStyle w:val="Hyperlink"/>
            <w:sz w:val="24"/>
            <w:szCs w:val="24"/>
          </w:rPr>
          <w:t>https://casetext.com/case/state-v-state-empt-relations-bd-2</w:t>
        </w:r>
      </w:hyperlink>
      <w:r>
        <w:rPr>
          <w:rFonts w:ascii="Times New Roman" w:hAnsi="Times New Roman"/>
          <w:sz w:val="24"/>
          <w:szCs w:val="24"/>
        </w:rPr>
        <w:t xml:space="preserve"> </w:t>
      </w:r>
    </w:p>
    <w:p w14:paraId="36F44FB7" w14:textId="77777777" w:rsidR="005F448F" w:rsidRDefault="005F448F" w:rsidP="005F448F">
      <w:pPr>
        <w:spacing w:before="100" w:beforeAutospacing="1" w:after="100" w:afterAutospacing="1" w:line="240" w:lineRule="auto"/>
        <w:ind w:left="1440" w:firstLine="60"/>
      </w:pPr>
      <w:r>
        <w:rPr>
          <w:rFonts w:ascii="Times New Roman" w:hAnsi="Times New Roman"/>
          <w:sz w:val="24"/>
          <w:szCs w:val="24"/>
        </w:rPr>
        <w:t>“</w:t>
      </w:r>
      <w:r w:rsidRPr="00D67B2F">
        <w:rPr>
          <w:rFonts w:ascii="Times New Roman" w:hAnsi="Times New Roman"/>
          <w:sz w:val="24"/>
          <w:szCs w:val="24"/>
        </w:rPr>
        <w:t>On November 12, 2019, Union learned that City planned to pass legislation to eliminate the three Battalion Chief positions</w:t>
      </w:r>
      <w:r>
        <w:rPr>
          <w:rFonts w:ascii="Times New Roman" w:hAnsi="Times New Roman"/>
          <w:sz w:val="24"/>
          <w:szCs w:val="24"/>
        </w:rPr>
        <w:t xml:space="preserve"> [apparently to pay for $285,000 radio upgrade demanded by Union]. </w:t>
      </w:r>
      <w:r w:rsidRPr="00D67B2F">
        <w:rPr>
          <w:rFonts w:ascii="Times New Roman" w:hAnsi="Times New Roman"/>
          <w:sz w:val="24"/>
          <w:szCs w:val="24"/>
        </w:rPr>
        <w:t>The next day, City Council passed Ordinance No. 19-336 to amend Section 1 of Ordinance 19-47, to abolish three Battalion Chief positions by attrition. That Ordinance was later determined to be an unlawful retaliation against Union.</w:t>
      </w:r>
      <w:r>
        <w:rPr>
          <w:rFonts w:ascii="Times New Roman" w:hAnsi="Times New Roman"/>
          <w:sz w:val="24"/>
          <w:szCs w:val="24"/>
        </w:rPr>
        <w:t xml:space="preserve">” </w:t>
      </w:r>
    </w:p>
    <w:p w14:paraId="55A2F340" w14:textId="77777777" w:rsidR="005F448F" w:rsidRDefault="005F448F" w:rsidP="005F448F"/>
    <w:p w14:paraId="0FB4C2A2" w14:textId="77777777" w:rsidR="005F448F" w:rsidRDefault="005F448F" w:rsidP="00D33F96">
      <w:pPr>
        <w:pStyle w:val="NoSpacing"/>
        <w:rPr>
          <w:rStyle w:val="Hyperlink"/>
          <w:sz w:val="24"/>
          <w:szCs w:val="24"/>
        </w:rPr>
      </w:pPr>
    </w:p>
    <w:p w14:paraId="79B69899" w14:textId="77777777" w:rsidR="005F448F" w:rsidRDefault="005F448F" w:rsidP="00D33F96">
      <w:pPr>
        <w:pStyle w:val="NoSpacing"/>
        <w:rPr>
          <w:rFonts w:ascii="Arial Black" w:hAnsi="Arial Black"/>
          <w:sz w:val="24"/>
          <w:szCs w:val="24"/>
        </w:rPr>
      </w:pPr>
    </w:p>
    <w:p w14:paraId="16255685" w14:textId="77777777" w:rsidR="00D33F96" w:rsidRDefault="00D33F96" w:rsidP="00F326E5">
      <w:pPr>
        <w:pStyle w:val="NoSpacing"/>
        <w:rPr>
          <w:rFonts w:ascii="Arial Black" w:hAnsi="Arial Black"/>
          <w:sz w:val="24"/>
          <w:szCs w:val="24"/>
        </w:rPr>
      </w:pPr>
    </w:p>
    <w:p w14:paraId="7DABB8AD" w14:textId="580D6D42" w:rsidR="00D66BAA" w:rsidRDefault="006A02A4" w:rsidP="00F326E5">
      <w:pPr>
        <w:pStyle w:val="NoSpacing"/>
        <w:rPr>
          <w:rFonts w:ascii="Arial Black" w:hAnsi="Arial Black"/>
          <w:sz w:val="24"/>
          <w:szCs w:val="24"/>
        </w:rPr>
      </w:pPr>
      <w:r>
        <w:rPr>
          <w:rFonts w:ascii="Arial Black" w:hAnsi="Arial Black"/>
          <w:sz w:val="24"/>
          <w:szCs w:val="24"/>
        </w:rPr>
        <w:t>17-30</w:t>
      </w:r>
    </w:p>
    <w:p w14:paraId="58F27F57" w14:textId="77777777" w:rsidR="006A02A4" w:rsidRDefault="006A02A4" w:rsidP="006A02A4">
      <w:pPr>
        <w:pStyle w:val="NoSpacing"/>
        <w:rPr>
          <w:rFonts w:ascii="Arial Black" w:hAnsi="Arial Black"/>
          <w:sz w:val="28"/>
          <w:szCs w:val="28"/>
        </w:rPr>
      </w:pPr>
    </w:p>
    <w:p w14:paraId="42AF42DD" w14:textId="784061BD" w:rsidR="006A02A4" w:rsidRPr="003036A7" w:rsidRDefault="006A02A4" w:rsidP="006A02A4">
      <w:pPr>
        <w:pStyle w:val="NoSpacing"/>
        <w:rPr>
          <w:rFonts w:ascii="Arial Black" w:hAnsi="Arial Black"/>
          <w:sz w:val="28"/>
          <w:szCs w:val="28"/>
        </w:rPr>
      </w:pPr>
      <w:r w:rsidRPr="003036A7">
        <w:rPr>
          <w:rFonts w:ascii="Arial Black" w:hAnsi="Arial Black"/>
          <w:sz w:val="28"/>
          <w:szCs w:val="28"/>
        </w:rPr>
        <w:t>VA (4/20/2023): FIRE CAPT / IAFF OFFICIAL - BACKED MAYOR</w:t>
      </w:r>
      <w:r>
        <w:rPr>
          <w:rFonts w:ascii="Arial Black" w:hAnsi="Arial Black"/>
          <w:sz w:val="28"/>
          <w:szCs w:val="28"/>
        </w:rPr>
        <w:t>’S</w:t>
      </w:r>
      <w:r w:rsidRPr="003036A7">
        <w:rPr>
          <w:rFonts w:ascii="Arial Black" w:hAnsi="Arial Black"/>
          <w:sz w:val="28"/>
          <w:szCs w:val="28"/>
        </w:rPr>
        <w:t xml:space="preserve"> OPPONENT – FACEBOOK - FIRED - CASE PROCEED</w:t>
      </w:r>
    </w:p>
    <w:p w14:paraId="58A4FB6A" w14:textId="77777777" w:rsidR="006A02A4" w:rsidRDefault="006A02A4" w:rsidP="006A02A4">
      <w:pPr>
        <w:pStyle w:val="NoSpacing"/>
      </w:pPr>
    </w:p>
    <w:p w14:paraId="648AFA40" w14:textId="4C4DF743" w:rsidR="006A02A4" w:rsidRDefault="006A02A4" w:rsidP="006A02A4">
      <w:pPr>
        <w:pStyle w:val="NoSpacing"/>
        <w:rPr>
          <w:rStyle w:val="Hyperlink"/>
          <w:rFonts w:ascii="Times New Roman" w:hAnsi="Times New Roman"/>
          <w:sz w:val="24"/>
          <w:szCs w:val="24"/>
        </w:rPr>
      </w:pPr>
      <w:r w:rsidRPr="003C1643">
        <w:rPr>
          <w:rFonts w:ascii="Times New Roman" w:hAnsi="Times New Roman"/>
          <w:sz w:val="24"/>
          <w:szCs w:val="24"/>
          <w:u w:val="single"/>
        </w:rPr>
        <w:t xml:space="preserve">Martin J. </w:t>
      </w:r>
      <w:proofErr w:type="spellStart"/>
      <w:r w:rsidRPr="003C1643">
        <w:rPr>
          <w:rFonts w:ascii="Times New Roman" w:hAnsi="Times New Roman"/>
          <w:sz w:val="24"/>
          <w:szCs w:val="24"/>
          <w:u w:val="single"/>
        </w:rPr>
        <w:t>Misjuns</w:t>
      </w:r>
      <w:proofErr w:type="spellEnd"/>
      <w:r w:rsidRPr="003C1643">
        <w:rPr>
          <w:rFonts w:ascii="Times New Roman" w:hAnsi="Times New Roman"/>
          <w:sz w:val="24"/>
          <w:szCs w:val="24"/>
          <w:u w:val="single"/>
        </w:rPr>
        <w:t xml:space="preserve"> v. Lynchburg Fire Department</w:t>
      </w:r>
      <w:r w:rsidRPr="003C1643">
        <w:rPr>
          <w:rFonts w:ascii="Times New Roman" w:hAnsi="Times New Roman"/>
          <w:sz w:val="24"/>
          <w:szCs w:val="24"/>
        </w:rPr>
        <w:t xml:space="preserve">, U.S. District Court Judge Norman K. Moon, U.S. District Court for Western District of Virginia, Lynchburg District. </w:t>
      </w:r>
      <w:hyperlink r:id="rId2794" w:history="1">
        <w:r w:rsidRPr="003C1643">
          <w:rPr>
            <w:rStyle w:val="Hyperlink"/>
            <w:rFonts w:ascii="Times New Roman" w:hAnsi="Times New Roman"/>
            <w:sz w:val="24"/>
            <w:szCs w:val="24"/>
          </w:rPr>
          <w:t>https://law.justia.com/cases/federal/district-courts/virginia/vawdce/6:2021cv00025/122367/36/</w:t>
        </w:r>
      </w:hyperlink>
    </w:p>
    <w:p w14:paraId="6AA6F2A7" w14:textId="77777777" w:rsidR="006A02A4" w:rsidRPr="003C1643" w:rsidRDefault="006A02A4" w:rsidP="006A02A4">
      <w:pPr>
        <w:pStyle w:val="NormalWeb"/>
        <w:rPr>
          <w:b/>
          <w:bCs/>
        </w:rPr>
      </w:pPr>
      <w:r w:rsidRPr="003C1643">
        <w:rPr>
          <w:b/>
          <w:bCs/>
        </w:rPr>
        <w:t xml:space="preserve">Legal Lesson Learned:  Firefighters enjoy First Amendment rights on matters of public concern. </w:t>
      </w:r>
    </w:p>
    <w:p w14:paraId="07C6A4A5" w14:textId="77777777" w:rsidR="006A02A4" w:rsidRDefault="006A02A4" w:rsidP="006A02A4">
      <w:pPr>
        <w:pStyle w:val="NoSpacing"/>
        <w:rPr>
          <w:rFonts w:ascii="Arial Black" w:hAnsi="Arial Black"/>
          <w:sz w:val="24"/>
          <w:szCs w:val="24"/>
        </w:rPr>
      </w:pPr>
    </w:p>
    <w:p w14:paraId="1C4E9D27" w14:textId="77777777" w:rsidR="006A02A4" w:rsidRDefault="006A02A4" w:rsidP="00F326E5">
      <w:pPr>
        <w:pStyle w:val="NoSpacing"/>
        <w:rPr>
          <w:rFonts w:ascii="Arial Black" w:hAnsi="Arial Black"/>
          <w:sz w:val="24"/>
          <w:szCs w:val="24"/>
        </w:rPr>
      </w:pPr>
    </w:p>
    <w:p w14:paraId="19E3F293" w14:textId="77777777" w:rsidR="006A02A4" w:rsidRDefault="006A02A4" w:rsidP="00F326E5">
      <w:pPr>
        <w:pStyle w:val="NoSpacing"/>
        <w:rPr>
          <w:rFonts w:ascii="Arial Black" w:hAnsi="Arial Black"/>
          <w:sz w:val="24"/>
          <w:szCs w:val="24"/>
        </w:rPr>
      </w:pPr>
    </w:p>
    <w:p w14:paraId="774C153A" w14:textId="0EEFA043" w:rsidR="00D66BAA" w:rsidRDefault="00D66BAA" w:rsidP="00F326E5">
      <w:pPr>
        <w:pStyle w:val="NoSpacing"/>
        <w:rPr>
          <w:rFonts w:ascii="Arial Black" w:hAnsi="Arial Black"/>
          <w:sz w:val="24"/>
          <w:szCs w:val="24"/>
        </w:rPr>
      </w:pPr>
      <w:r>
        <w:rPr>
          <w:rFonts w:ascii="Arial Black" w:hAnsi="Arial Black"/>
          <w:sz w:val="24"/>
          <w:szCs w:val="24"/>
        </w:rPr>
        <w:t>17-29</w:t>
      </w:r>
    </w:p>
    <w:p w14:paraId="594A5E35" w14:textId="77777777" w:rsidR="00D66BAA" w:rsidRDefault="00D66BAA" w:rsidP="00D66BAA">
      <w:pPr>
        <w:pStyle w:val="NormalWeb"/>
        <w:rPr>
          <w:rFonts w:ascii="Arial Black" w:hAnsi="Arial Black"/>
          <w:sz w:val="28"/>
          <w:szCs w:val="28"/>
        </w:rPr>
      </w:pPr>
      <w:r>
        <w:rPr>
          <w:rFonts w:ascii="Arial Black" w:hAnsi="Arial Black"/>
          <w:sz w:val="28"/>
          <w:szCs w:val="28"/>
        </w:rPr>
        <w:t>TX: STATE SUP. CT. STRIKES DOWN CITY OF HOUSTON FIRE / POLICE “PAY PARITY” – VOTED BY RESIDENTS 2018</w:t>
      </w:r>
    </w:p>
    <w:p w14:paraId="150D0DA5" w14:textId="77777777" w:rsidR="00D66BAA" w:rsidRDefault="00D66BAA" w:rsidP="00D66BAA">
      <w:pPr>
        <w:pStyle w:val="NormalWeb"/>
        <w:rPr>
          <w:vertAlign w:val="superscript"/>
        </w:rPr>
      </w:pPr>
      <w:r>
        <w:t xml:space="preserve">On March 31, 2023, </w:t>
      </w:r>
      <w:r>
        <w:rPr>
          <w:u w:val="single"/>
        </w:rPr>
        <w:t>in City of Houston v. Houston Professional Fire Fighters’ Association, Local 341</w:t>
      </w:r>
      <w:r>
        <w:t xml:space="preserve">, consolidated with </w:t>
      </w:r>
      <w:r>
        <w:rPr>
          <w:u w:val="single"/>
        </w:rPr>
        <w:t>Houston Police Officer’s Union v. Houston</w:t>
      </w:r>
      <w:r>
        <w:t xml:space="preserve"> </w:t>
      </w:r>
      <w:r>
        <w:rPr>
          <w:u w:val="single"/>
        </w:rPr>
        <w:t>Professional Fire Fighters’ Association, Local 341</w:t>
      </w:r>
      <w:r>
        <w:t>, the Texas Supreme Court held that the 2018 “Pay-Parity” change to City Charter [known as Proposition B], requiring firefighters be paid same as police officers, violates State law.  The State law is known as “The Fire and Police Employee Relations Act in Local Government Code Chapter 174.” Chapter 174 is a comprehensive framework that governs collective bargaining for those municipal employers whose voters have adopted it [adopted by Houston voters in 2003], and under that State law since Local 341 has reached an impasse with the City [last CBA was 2011-2017], they are entitled to Court intervention to reach  pay agreement that is "substantially equal" to those in comparable private-sector employment.</w:t>
      </w:r>
    </w:p>
    <w:p w14:paraId="30D1261E" w14:textId="77777777" w:rsidR="00D66BAA" w:rsidRDefault="00D66BAA" w:rsidP="00D66BAA">
      <w:pPr>
        <w:pStyle w:val="NormalWeb"/>
      </w:pPr>
      <w:r>
        <w:t>The Texas Supreme Court held:</w:t>
      </w:r>
    </w:p>
    <w:p w14:paraId="62B0290F" w14:textId="77777777" w:rsidR="00D66BAA" w:rsidRDefault="00D66BAA" w:rsidP="00D66BAA">
      <w:pPr>
        <w:pStyle w:val="NormalWeb"/>
        <w:ind w:left="720"/>
      </w:pPr>
      <w:r>
        <w:t xml:space="preserve">“We hold that Chapter 174 establishes reasonable standards for judicial enforcement such that it does not violate the constitutional separation of powers. Accordingly, we reject the City's constitutional challenge to judicial enforcement of the statute's compensation standard. We further hold that the Fire Fighters met all prerequisites for seeking Chapter 174 enforcement, and thus the statute waives the City's immunity from the Fire Fighters' lawsuit for Chapter 174 compensation. Finally, we hold that Chapter 174 preempts the pay-parity amendment. Local law may not supplant Chapter 174's rule of decision by requiring an inconsistent compensation measurement. Because the court of appeals held differently, we </w:t>
      </w:r>
      <w:proofErr w:type="gramStart"/>
      <w:r>
        <w:t>reverse</w:t>
      </w:r>
      <w:proofErr w:type="gramEnd"/>
      <w:r>
        <w:t xml:space="preserve"> its judgment in the second suit. We affirm its judgment in the initial suit and remand the case to the trial court for further proceedings to establish whether the City has complied with Chapter 174's compensation standards and, if not, to set appropriate firefighter compensation.” </w:t>
      </w:r>
      <w:hyperlink r:id="rId2795" w:history="1">
        <w:r>
          <w:rPr>
            <w:rStyle w:val="Hyperlink"/>
          </w:rPr>
          <w:t>https://search.txcourts.gov/SearchMedia.aspx?MediaVersionID=b6a5eb11-d9ee-4713-9079-a7fc018a0d0c&amp;coa=cossup&amp;DT=OPINION&amp;MediaID=180a364b-e3a9-4c3b-bb68-7b88944c20ad</w:t>
        </w:r>
      </w:hyperlink>
      <w:r>
        <w:t xml:space="preserve"> </w:t>
      </w:r>
    </w:p>
    <w:p w14:paraId="1B240E53" w14:textId="77777777" w:rsidR="00D66BAA" w:rsidRDefault="00D66BAA" w:rsidP="00D66BAA">
      <w:pPr>
        <w:pStyle w:val="NormalWeb"/>
        <w:ind w:left="720"/>
      </w:pPr>
      <w:r>
        <w:t xml:space="preserve">“Local regulations are preempted when they prescribe a governing rule that is inconsistent with a state statute's standards, even if enforcement of the local law might hypothetically result in the same outcome as enforcement of the statute. A court enforcing Chapter 174 may happen to reach a result consistent with the pay-parity amendment. In such cases, no inconsistency exists. The pay-parity amendment, however, never functions as the governing rule of decision in such an instance because it can never force a result different from that which Chapter 174 compels. Local regulations are not ‘ancillary </w:t>
      </w:r>
      <w:proofErr w:type="gramStart"/>
      <w:r>
        <w:t>to</w:t>
      </w:r>
      <w:proofErr w:type="gramEnd"/>
      <w:r>
        <w:t xml:space="preserve"> and in harmony with’ state statutes when they prescribe a different rule of decision that coincidentally converges with the statutory </w:t>
      </w:r>
      <w:proofErr w:type="gramStart"/>
      <w:r>
        <w:t>rule.”</w:t>
      </w:r>
      <w:proofErr w:type="gramEnd"/>
    </w:p>
    <w:p w14:paraId="514652E1" w14:textId="77777777" w:rsidR="00D66BAA" w:rsidRDefault="00D66BAA" w:rsidP="00D66BAA">
      <w:pPr>
        <w:pStyle w:val="NormalWeb"/>
        <w:rPr>
          <w:b/>
          <w:bCs/>
        </w:rPr>
      </w:pPr>
      <w:r>
        <w:rPr>
          <w:b/>
          <w:bCs/>
        </w:rPr>
        <w:t xml:space="preserve">Legal Lesson Learned:  The City of Houston and Police Union have won their challenge to Prob B; but the City must now go to collective bargaining with Local 341. </w:t>
      </w:r>
    </w:p>
    <w:p w14:paraId="11E65B95" w14:textId="77777777" w:rsidR="00D66BAA" w:rsidRDefault="00D66BAA" w:rsidP="00D66BAA">
      <w:pPr>
        <w:pStyle w:val="ekqk"/>
        <w:ind w:left="720"/>
        <w:rPr>
          <w:b/>
          <w:bCs/>
        </w:rPr>
      </w:pPr>
      <w:r>
        <w:t xml:space="preserve">Note: See March 31, </w:t>
      </w:r>
      <w:proofErr w:type="gramStart"/>
      <w:r>
        <w:t>2023</w:t>
      </w:r>
      <w:proofErr w:type="gramEnd"/>
      <w:r>
        <w:t xml:space="preserve"> article, “Texas Supreme Court strikes down 'Prop B' years after Houston voted for firefighter pay parity.” Both Houston city officials and the </w:t>
      </w:r>
      <w:proofErr w:type="gramStart"/>
      <w:r>
        <w:t>firefighters</w:t>
      </w:r>
      <w:proofErr w:type="gramEnd"/>
      <w:r>
        <w:t xml:space="preserve"> union took home a win in the ruling, and both are claiming victory… However, Thursday's decision wasn't just a win for those opposed to Prop B. The court also ruled in favor of the firefighter's union in another case about a state law that handles firefighter pay. The law, which the Supreme Court ruled is constitutional, says firefighters </w:t>
      </w:r>
      <w:proofErr w:type="gramStart"/>
      <w:r>
        <w:t>have to</w:t>
      </w:r>
      <w:proofErr w:type="gramEnd"/>
      <w:r>
        <w:t xml:space="preserve"> be paid substantially equal to similar jobs in the private sector, and that the two sides should use collective bargaining to reach a </w:t>
      </w:r>
      <w:proofErr w:type="gramStart"/>
      <w:r>
        <w:t>deal.”</w:t>
      </w:r>
      <w:proofErr w:type="gramEnd"/>
      <w:r>
        <w:t xml:space="preserve"> </w:t>
      </w:r>
      <w:hyperlink r:id="rId2796" w:history="1">
        <w:r>
          <w:rPr>
            <w:rStyle w:val="Hyperlink"/>
          </w:rPr>
          <w:t>https://abc13.com/prop-b-update-houston-firefighter-pay-parity-texas-supreme-court-proposition-struck-down/13057363/</w:t>
        </w:r>
      </w:hyperlink>
      <w:r>
        <w:rPr>
          <w:b/>
          <w:bCs/>
        </w:rPr>
        <w:t xml:space="preserve"> </w:t>
      </w:r>
    </w:p>
    <w:p w14:paraId="4D540E70" w14:textId="77777777" w:rsidR="00D66BAA" w:rsidRDefault="00D66BAA" w:rsidP="00D66BAA">
      <w:pPr>
        <w:pStyle w:val="NormalWeb"/>
      </w:pPr>
    </w:p>
    <w:p w14:paraId="4B09FD61" w14:textId="0ABF6B9E" w:rsidR="00D66BAA" w:rsidRDefault="00D66BAA" w:rsidP="00F326E5">
      <w:pPr>
        <w:pStyle w:val="NoSpacing"/>
        <w:rPr>
          <w:rFonts w:ascii="Arial Black" w:hAnsi="Arial Black"/>
          <w:sz w:val="24"/>
          <w:szCs w:val="24"/>
        </w:rPr>
      </w:pPr>
      <w:r>
        <w:rPr>
          <w:rFonts w:ascii="Arial Black" w:hAnsi="Arial Black"/>
          <w:sz w:val="24"/>
          <w:szCs w:val="24"/>
        </w:rPr>
        <w:t>17-28</w:t>
      </w:r>
    </w:p>
    <w:p w14:paraId="290A746F" w14:textId="77777777" w:rsidR="00D66BAA" w:rsidRDefault="00D66BAA" w:rsidP="00D66BAA">
      <w:pPr>
        <w:pStyle w:val="NormalWeb"/>
        <w:rPr>
          <w:rFonts w:ascii="Arial Black" w:hAnsi="Arial Black"/>
          <w:sz w:val="28"/>
          <w:szCs w:val="28"/>
        </w:rPr>
      </w:pPr>
      <w:r>
        <w:rPr>
          <w:rFonts w:ascii="Arial Black" w:hAnsi="Arial Black"/>
          <w:sz w:val="28"/>
          <w:szCs w:val="28"/>
        </w:rPr>
        <w:t>CT: CBA UNCLEAR ON SICK PAY – TWO FF RESIGNED, NOW  GETTING PENSION - CITY WINS NEW TRIAL ON SICK PAY</w:t>
      </w:r>
    </w:p>
    <w:p w14:paraId="11217EAC" w14:textId="77777777" w:rsidR="00D66BAA" w:rsidRDefault="00D66BAA" w:rsidP="00D66BAA">
      <w:pPr>
        <w:pStyle w:val="NormalWeb"/>
      </w:pPr>
      <w:r>
        <w:t xml:space="preserve">On March 28, 2023, in </w:t>
      </w:r>
      <w:r>
        <w:rPr>
          <w:u w:val="single"/>
        </w:rPr>
        <w:t>Dickie K. Murchison, Jr. and John J. Bigham v. City of Waterbury</w:t>
      </w:r>
      <w:r>
        <w:t xml:space="preserve">, the Court of Appeals of Connecticut held that the trial court’s award of sick pay of $28,307.98 to Murchison, and $33,451.55 to Bigham is reversed. Each firefighter resigned after 20 years, but prior to 25 years to be eligible for retirement.  Now each firefighter is eligible for deferred vested pension benefits after the twenty-fifth anniversary of their respective hire dates, and they also now want unused sick pay.  The CBA does not explicitly address whether they are now entitled to unused sick pay. On appeal the City first claims that the trial court erred in awarding the plaintiffs terminal leave </w:t>
      </w:r>
      <w:proofErr w:type="gramStart"/>
      <w:r>
        <w:t>pay</w:t>
      </w:r>
      <w:proofErr w:type="gramEnd"/>
      <w:r>
        <w:t xml:space="preserve">, arguing that the plaintiffs only </w:t>
      </w:r>
      <w:r>
        <w:rPr>
          <w:rStyle w:val="Emphasis"/>
        </w:rPr>
        <w:t>resigned</w:t>
      </w:r>
      <w:r>
        <w:t xml:space="preserve"> from employment with the defendant, and did not "retire," for purposes of the terminal leave pay provision.  </w:t>
      </w:r>
    </w:p>
    <w:p w14:paraId="4D0556BD" w14:textId="77777777" w:rsidR="00D66BAA" w:rsidRDefault="00D66BAA" w:rsidP="00D66BAA">
      <w:pPr>
        <w:pStyle w:val="NormalWeb"/>
        <w:ind w:left="720"/>
      </w:pPr>
      <w:r>
        <w:t xml:space="preserve">The Court of Appeals agreed. “The [City] claims that, because there was no evidence in the record that it drafted the agreement, the trial court erred in construing any ambiguity in the terminal leave pay provision against it. The plaintiffs counter that, regardless of any ambiguity in the provision, the evidence established that the term ‘retirement’ refers to the date that they became eligible to collect, and/or began collecting, their pension benefits. We agree with the defendant.” </w:t>
      </w:r>
      <w:hyperlink r:id="rId2797" w:history="1">
        <w:r>
          <w:rPr>
            <w:rStyle w:val="Hyperlink"/>
          </w:rPr>
          <w:t>https://www.jud.ct.gov/external/supapp/Cases/AROap/AP218/218AP115.pdf</w:t>
        </w:r>
      </w:hyperlink>
      <w:r>
        <w:t xml:space="preserve"> </w:t>
      </w:r>
    </w:p>
    <w:p w14:paraId="60DD6AB9" w14:textId="77777777" w:rsidR="00D66BAA" w:rsidRDefault="00D66BAA" w:rsidP="00D66BAA">
      <w:pPr>
        <w:pStyle w:val="NormalWeb"/>
        <w:ind w:left="720"/>
      </w:pPr>
      <w:r>
        <w:t xml:space="preserve">“The language at issue in the present case is found in the terminal leave pay provision of the agreement, the relevant text of which previously has been set forth in full in this opinion. That provision details that firefighter employees become eligible for terminal leave </w:t>
      </w:r>
      <w:proofErr w:type="gramStart"/>
      <w:r>
        <w:t>pay ‘[</w:t>
      </w:r>
      <w:proofErr w:type="gramEnd"/>
      <w:r>
        <w:t>u]</w:t>
      </w:r>
      <w:proofErr w:type="spellStart"/>
      <w:r>
        <w:t>pon</w:t>
      </w:r>
      <w:proofErr w:type="spellEnd"/>
      <w:r>
        <w:t xml:space="preserve"> . . . retirement,’ where the first of four installments is due, as is relevant here, on the ‘date of retirement.’ The term ‘retirement’ is not defined in the terminal leave pay provision or anywhere else in the agreement. In the absence of such a definition and </w:t>
      </w:r>
      <w:proofErr w:type="gramStart"/>
      <w:r>
        <w:t>in order to</w:t>
      </w:r>
      <w:proofErr w:type="gramEnd"/>
      <w:r>
        <w:t xml:space="preserve"> interpret the use of that term in the terminal leave pay provision, the parties have turned to the various uses and definitions of the term "retirement" in the ordinance, the relevant text of which also has been set forth previously in this opinion.</w:t>
      </w:r>
    </w:p>
    <w:p w14:paraId="295421C9" w14:textId="77777777" w:rsidR="00D66BAA" w:rsidRDefault="00D66BAA" w:rsidP="00D66BAA">
      <w:pPr>
        <w:pStyle w:val="NormalWeb"/>
        <w:ind w:left="720"/>
      </w:pPr>
      <w:r>
        <w:t>***</w:t>
      </w:r>
    </w:p>
    <w:p w14:paraId="1BA0E90C" w14:textId="77777777" w:rsidR="00D66BAA" w:rsidRDefault="00D66BAA" w:rsidP="00D66BAA">
      <w:pPr>
        <w:pStyle w:val="NormalWeb"/>
        <w:ind w:left="720"/>
      </w:pPr>
      <w:r>
        <w:t>In sum, we conclude that the term ‘retirement’ as used in the terminal leave pay provision is ambiguous because it is susceptible to more than one reasonable interpretation. Because the [trial] court failed to resolve that ambiguity, it could not have properly found that the plaintiffs were entitled to terminal leave pay.</w:t>
      </w:r>
    </w:p>
    <w:p w14:paraId="071940B6" w14:textId="77777777" w:rsidR="00D66BAA" w:rsidRDefault="00D66BAA" w:rsidP="00D66BAA">
      <w:pPr>
        <w:pStyle w:val="NormalWeb"/>
        <w:ind w:left="720"/>
      </w:pPr>
      <w:r>
        <w:t>***</w:t>
      </w:r>
    </w:p>
    <w:p w14:paraId="6ED4474D" w14:textId="77777777" w:rsidR="00D66BAA" w:rsidRDefault="00D66BAA" w:rsidP="00D66BAA">
      <w:pPr>
        <w:pStyle w:val="NormalWeb"/>
        <w:ind w:left="720"/>
      </w:pPr>
      <w:r>
        <w:t xml:space="preserve">The judgment is reversed and the case is remanded for a new </w:t>
      </w:r>
      <w:proofErr w:type="gramStart"/>
      <w:r>
        <w:t>trial.”</w:t>
      </w:r>
      <w:proofErr w:type="gramEnd"/>
    </w:p>
    <w:p w14:paraId="60C05639" w14:textId="77777777" w:rsidR="00D66BAA" w:rsidRDefault="00D66BAA" w:rsidP="00D66BAA">
      <w:pPr>
        <w:pStyle w:val="NormalWeb"/>
        <w:rPr>
          <w:b/>
          <w:bCs/>
        </w:rPr>
      </w:pPr>
      <w:r>
        <w:rPr>
          <w:b/>
          <w:bCs/>
        </w:rPr>
        <w:t xml:space="preserve">Legal Lesson Learned: When a CBA is unclear about when firefighters are eligible for unused sick pay, the ambiguity cannot be used against the City without proof the City drafted the CBA provision. </w:t>
      </w:r>
    </w:p>
    <w:p w14:paraId="4DB8AF49" w14:textId="77777777" w:rsidR="00D66BAA" w:rsidRDefault="00D66BAA" w:rsidP="00D66BAA">
      <w:pPr>
        <w:pStyle w:val="NormalWeb"/>
        <w:ind w:left="720"/>
      </w:pPr>
      <w:r>
        <w:t xml:space="preserve">Note: On </w:t>
      </w:r>
      <w:proofErr w:type="gramStart"/>
      <w:r>
        <w:t>Aug,</w:t>
      </w:r>
      <w:proofErr w:type="gramEnd"/>
      <w:r>
        <w:t xml:space="preserve"> 14, 2018, Judge Brazzel-Massaro denied summary judgment for either side, and ordered the case be tried. “In sum, the bargaining agreement and ordinance are susceptible to more than one reasonable interpretation and are therefore ambiguous.” See unpublished decision. </w:t>
      </w:r>
      <w:hyperlink r:id="rId2798" w:history="1">
        <w:r>
          <w:rPr>
            <w:rStyle w:val="Hyperlink"/>
          </w:rPr>
          <w:t>https://casetext.com/case/murchison-v-city-of-waterbury</w:t>
        </w:r>
      </w:hyperlink>
      <w:r>
        <w:t xml:space="preserve"> </w:t>
      </w:r>
    </w:p>
    <w:p w14:paraId="4129508C" w14:textId="77777777" w:rsidR="00D66BAA" w:rsidRDefault="00D66BAA" w:rsidP="00D66BAA">
      <w:pPr>
        <w:pStyle w:val="NormalWeb"/>
        <w:ind w:left="720"/>
      </w:pPr>
      <w:r>
        <w:t xml:space="preserve">On Nov. 7, 2019, the case went to trial before a different Judge – bench trial (no jury) before Judge Gordon.  On October 1, 2021, the trial court judge issued a memorandum of decision rendering judgment in favor of the plaintiffs, awarding terminal leave pay in the amounts of $28,307.98 to Murchison and $33,451.55 to Bigham. This appeal followed. </w:t>
      </w:r>
    </w:p>
    <w:p w14:paraId="6903DA35" w14:textId="77777777" w:rsidR="00D66BAA" w:rsidRDefault="00D66BAA" w:rsidP="00D66BAA">
      <w:pPr>
        <w:pStyle w:val="NormalWeb"/>
        <w:jc w:val="center"/>
        <w:rPr>
          <w:b/>
          <w:bCs/>
        </w:rPr>
      </w:pPr>
    </w:p>
    <w:p w14:paraId="74023875" w14:textId="143CE01C" w:rsidR="00D66BAA" w:rsidRDefault="00D66BAA" w:rsidP="00F326E5">
      <w:pPr>
        <w:pStyle w:val="NoSpacing"/>
        <w:rPr>
          <w:rFonts w:ascii="Arial Black" w:hAnsi="Arial Black"/>
          <w:sz w:val="24"/>
          <w:szCs w:val="24"/>
        </w:rPr>
      </w:pPr>
    </w:p>
    <w:p w14:paraId="4FFDEF8E" w14:textId="77777777" w:rsidR="00D66BAA" w:rsidRDefault="00D66BAA" w:rsidP="00F326E5">
      <w:pPr>
        <w:pStyle w:val="NoSpacing"/>
        <w:rPr>
          <w:rFonts w:ascii="Arial Black" w:hAnsi="Arial Black"/>
          <w:sz w:val="24"/>
          <w:szCs w:val="24"/>
        </w:rPr>
      </w:pPr>
    </w:p>
    <w:p w14:paraId="29964F1C" w14:textId="77777777" w:rsidR="00D66BAA" w:rsidRDefault="00D66BAA" w:rsidP="00F326E5">
      <w:pPr>
        <w:pStyle w:val="NoSpacing"/>
        <w:rPr>
          <w:rFonts w:ascii="Arial Black" w:hAnsi="Arial Black"/>
          <w:sz w:val="24"/>
          <w:szCs w:val="24"/>
        </w:rPr>
      </w:pPr>
    </w:p>
    <w:p w14:paraId="576D8954" w14:textId="3CD7459C" w:rsidR="00465DC0" w:rsidRDefault="00465DC0" w:rsidP="00F326E5">
      <w:pPr>
        <w:pStyle w:val="NoSpacing"/>
        <w:rPr>
          <w:rFonts w:ascii="Arial Black" w:hAnsi="Arial Black"/>
          <w:sz w:val="24"/>
          <w:szCs w:val="24"/>
        </w:rPr>
      </w:pPr>
      <w:r>
        <w:rPr>
          <w:rFonts w:ascii="Arial Black" w:hAnsi="Arial Black"/>
          <w:sz w:val="24"/>
          <w:szCs w:val="24"/>
        </w:rPr>
        <w:t>17-27</w:t>
      </w:r>
    </w:p>
    <w:p w14:paraId="34A39FA0" w14:textId="77777777" w:rsidR="00465DC0" w:rsidRPr="00F3276E" w:rsidRDefault="00465DC0" w:rsidP="00465DC0">
      <w:pPr>
        <w:pStyle w:val="NormalWeb"/>
        <w:rPr>
          <w:rFonts w:ascii="Arial Black" w:hAnsi="Arial Black"/>
          <w:sz w:val="28"/>
          <w:szCs w:val="28"/>
        </w:rPr>
      </w:pPr>
      <w:r w:rsidRPr="00F3276E">
        <w:rPr>
          <w:rFonts w:ascii="Arial Black" w:hAnsi="Arial Black"/>
          <w:sz w:val="28"/>
          <w:szCs w:val="28"/>
        </w:rPr>
        <w:t xml:space="preserve">NLRB – REVERSES TWO PRIOR RULINGS - SEVERANCE AGREEMENTS </w:t>
      </w:r>
      <w:r>
        <w:rPr>
          <w:rFonts w:ascii="Arial Black" w:hAnsi="Arial Black"/>
          <w:sz w:val="28"/>
          <w:szCs w:val="28"/>
        </w:rPr>
        <w:t xml:space="preserve">– NO </w:t>
      </w:r>
      <w:r w:rsidRPr="00F3276E">
        <w:rPr>
          <w:rFonts w:ascii="Arial Black" w:hAnsi="Arial Black"/>
          <w:sz w:val="28"/>
          <w:szCs w:val="28"/>
        </w:rPr>
        <w:t xml:space="preserve">DISCLOSURE </w:t>
      </w:r>
      <w:r>
        <w:rPr>
          <w:rFonts w:ascii="Arial Black" w:hAnsi="Arial Black"/>
          <w:sz w:val="28"/>
          <w:szCs w:val="28"/>
        </w:rPr>
        <w:t xml:space="preserve">/ NO </w:t>
      </w:r>
      <w:r w:rsidRPr="00F3276E">
        <w:rPr>
          <w:rFonts w:ascii="Arial Black" w:hAnsi="Arial Black"/>
          <w:sz w:val="28"/>
          <w:szCs w:val="28"/>
        </w:rPr>
        <w:t xml:space="preserve">“DISPARAGE” </w:t>
      </w:r>
    </w:p>
    <w:p w14:paraId="042F7E8B" w14:textId="77777777" w:rsidR="00465DC0" w:rsidRDefault="00465DC0" w:rsidP="00465DC0">
      <w:pPr>
        <w:pStyle w:val="Heading1"/>
        <w:rPr>
          <w:rStyle w:val="field"/>
          <w:b w:val="0"/>
          <w:bCs w:val="0"/>
          <w:sz w:val="24"/>
          <w:szCs w:val="24"/>
        </w:rPr>
      </w:pPr>
      <w:r w:rsidRPr="00216DC5">
        <w:rPr>
          <w:rStyle w:val="field"/>
          <w:b w:val="0"/>
          <w:bCs w:val="0"/>
          <w:sz w:val="24"/>
          <w:szCs w:val="24"/>
        </w:rPr>
        <w:t xml:space="preserve">On Feb. 21, 2023, </w:t>
      </w:r>
      <w:r>
        <w:rPr>
          <w:rStyle w:val="field"/>
          <w:b w:val="0"/>
          <w:bCs w:val="0"/>
          <w:sz w:val="24"/>
          <w:szCs w:val="24"/>
        </w:rPr>
        <w:t xml:space="preserve">in </w:t>
      </w:r>
      <w:r w:rsidRPr="00216DC5">
        <w:rPr>
          <w:b w:val="0"/>
          <w:bCs w:val="0"/>
          <w:sz w:val="24"/>
          <w:szCs w:val="24"/>
          <w:u w:val="single"/>
        </w:rPr>
        <w:t>McLaren Macomb and Local 40 RN Staff Council, Office and Professional Employees, International Union (OPEIU), AFL–CIO</w:t>
      </w:r>
      <w:r>
        <w:rPr>
          <w:b w:val="0"/>
          <w:bCs w:val="0"/>
          <w:sz w:val="24"/>
          <w:szCs w:val="24"/>
        </w:rPr>
        <w:t>, the National Labor Relations Board departed from two prior decisions in 2020, and held (3 to 1) that a hospital in Mt. Clemens, Michigan, with 2,300 employees, during the COVID period in June 2020 permanently furloughed 11 service employees who were members of this Local. Each employee signed a Severance Agreement that not only released the hospital from any claims arising from their employment, but further prohibited then from disparaging the hospital, and required confidentiality about the terms of the agreement, except to spouse or tax preparer or attorney. The NLRB General Counsel filed a complaint against the hospital, since breach of these provisions could lead to loss of severance benefits.  The NLRB agreed: “</w:t>
      </w:r>
      <w:r w:rsidRPr="006F2BFB">
        <w:rPr>
          <w:b w:val="0"/>
          <w:bCs w:val="0"/>
          <w:sz w:val="24"/>
          <w:szCs w:val="24"/>
        </w:rPr>
        <w:t>Examining the language of the severance agreement</w:t>
      </w:r>
      <w:r>
        <w:rPr>
          <w:b w:val="0"/>
          <w:bCs w:val="0"/>
          <w:sz w:val="24"/>
          <w:szCs w:val="24"/>
        </w:rPr>
        <w:t xml:space="preserve"> </w:t>
      </w:r>
      <w:r w:rsidRPr="006F2BFB">
        <w:rPr>
          <w:b w:val="0"/>
          <w:bCs w:val="0"/>
          <w:sz w:val="24"/>
          <w:szCs w:val="24"/>
        </w:rPr>
        <w:t>here, we conclude that the non</w:t>
      </w:r>
      <w:r>
        <w:rPr>
          <w:b w:val="0"/>
          <w:bCs w:val="0"/>
          <w:sz w:val="24"/>
          <w:szCs w:val="24"/>
        </w:rPr>
        <w:t>-</w:t>
      </w:r>
      <w:r w:rsidRPr="006F2BFB">
        <w:rPr>
          <w:b w:val="0"/>
          <w:bCs w:val="0"/>
          <w:sz w:val="24"/>
          <w:szCs w:val="24"/>
        </w:rPr>
        <w:t>disparagement and confidentiality provisions interfere with, restrain, or coerce</w:t>
      </w:r>
      <w:r>
        <w:rPr>
          <w:b w:val="0"/>
          <w:bCs w:val="0"/>
          <w:sz w:val="24"/>
          <w:szCs w:val="24"/>
        </w:rPr>
        <w:t xml:space="preserve"> </w:t>
      </w:r>
      <w:r w:rsidRPr="006F2BFB">
        <w:rPr>
          <w:b w:val="0"/>
          <w:bCs w:val="0"/>
          <w:sz w:val="24"/>
          <w:szCs w:val="24"/>
        </w:rPr>
        <w:t>employees’ exercise of Section 7 rights.</w:t>
      </w:r>
      <w:r>
        <w:rPr>
          <w:b w:val="0"/>
          <w:bCs w:val="0"/>
          <w:sz w:val="24"/>
          <w:szCs w:val="24"/>
        </w:rPr>
        <w:t xml:space="preserve">” </w:t>
      </w:r>
      <w:hyperlink r:id="rId2799" w:history="1">
        <w:r w:rsidRPr="003F256B">
          <w:rPr>
            <w:rStyle w:val="Hyperlink"/>
            <w:rFonts w:eastAsiaTheme="majorEastAsia"/>
            <w:b w:val="0"/>
            <w:bCs w:val="0"/>
            <w:sz w:val="24"/>
            <w:szCs w:val="24"/>
          </w:rPr>
          <w:t>file:///C:/Users/lawre/Downloads/Board%20Decision.pdf</w:t>
        </w:r>
      </w:hyperlink>
      <w:r>
        <w:rPr>
          <w:rStyle w:val="field"/>
          <w:b w:val="0"/>
          <w:bCs w:val="0"/>
          <w:sz w:val="24"/>
          <w:szCs w:val="24"/>
        </w:rPr>
        <w:t xml:space="preserve"> </w:t>
      </w:r>
    </w:p>
    <w:p w14:paraId="2D163D90" w14:textId="77777777" w:rsidR="00465DC0" w:rsidRDefault="00465DC0" w:rsidP="00465DC0">
      <w:pPr>
        <w:pStyle w:val="Heading1"/>
        <w:rPr>
          <w:rStyle w:val="field"/>
          <w:b w:val="0"/>
          <w:bCs w:val="0"/>
          <w:sz w:val="24"/>
          <w:szCs w:val="24"/>
        </w:rPr>
      </w:pPr>
      <w:r>
        <w:rPr>
          <w:rStyle w:val="field"/>
          <w:b w:val="0"/>
          <w:bCs w:val="0"/>
          <w:sz w:val="24"/>
          <w:szCs w:val="24"/>
        </w:rPr>
        <w:tab/>
        <w:t xml:space="preserve">The NLRB issued a Press Release about this significant decision. </w:t>
      </w:r>
    </w:p>
    <w:p w14:paraId="49449773" w14:textId="77777777" w:rsidR="00465DC0" w:rsidRPr="00216DC5" w:rsidRDefault="00465DC0" w:rsidP="00465DC0">
      <w:pPr>
        <w:pStyle w:val="Heading1"/>
        <w:ind w:left="720"/>
        <w:rPr>
          <w:sz w:val="24"/>
          <w:szCs w:val="24"/>
        </w:rPr>
      </w:pPr>
      <w:r>
        <w:rPr>
          <w:rStyle w:val="field"/>
          <w:sz w:val="24"/>
          <w:szCs w:val="24"/>
        </w:rPr>
        <w:t>“</w:t>
      </w:r>
      <w:r w:rsidRPr="00216DC5">
        <w:rPr>
          <w:rStyle w:val="field"/>
          <w:sz w:val="24"/>
          <w:szCs w:val="24"/>
        </w:rPr>
        <w:t xml:space="preserve">Board Rules that Employers May Not Offer Severance Agreements Requiring Employees to Broadly Waive Labor Law Rights </w:t>
      </w:r>
    </w:p>
    <w:p w14:paraId="67730452" w14:textId="77777777" w:rsidR="00465DC0" w:rsidRDefault="00465DC0" w:rsidP="00465DC0">
      <w:pPr>
        <w:pStyle w:val="NormalWeb"/>
        <w:ind w:left="720"/>
      </w:pPr>
      <w:r>
        <w:t xml:space="preserve">Today, the Board </w:t>
      </w:r>
      <w:hyperlink r:id="rId2800" w:history="1">
        <w:r>
          <w:rPr>
            <w:rStyle w:val="Hyperlink"/>
            <w:rFonts w:eastAsiaTheme="majorEastAsia"/>
          </w:rPr>
          <w:t xml:space="preserve">issued a decision in </w:t>
        </w:r>
        <w:r>
          <w:rPr>
            <w:rStyle w:val="Emphasis"/>
            <w:color w:val="0000FF"/>
            <w:u w:val="single"/>
          </w:rPr>
          <w:t>McLaren Macomb</w:t>
        </w:r>
      </w:hyperlink>
      <w:r>
        <w:rPr>
          <w:rStyle w:val="Emphasis"/>
        </w:rPr>
        <w:t xml:space="preserve">, </w:t>
      </w:r>
      <w:r>
        <w:t>returning to longstanding precedent holding that employers may not offer employees severance agreements that require employees to broadly waive their rights under the National Labor Relations Act. The decision involved severance agreements offered to furloughed employees that prohibited them from making statements that could disparage the employer and from disclosing the terms of the agreement itself.  </w:t>
      </w:r>
    </w:p>
    <w:p w14:paraId="4279AD0F" w14:textId="77777777" w:rsidR="00465DC0" w:rsidRDefault="00465DC0" w:rsidP="00465DC0">
      <w:pPr>
        <w:pStyle w:val="NormalWeb"/>
        <w:ind w:left="720"/>
      </w:pPr>
      <w:r>
        <w:t xml:space="preserve">The decision reverses the previous Board’s decisions in </w:t>
      </w:r>
      <w:r>
        <w:rPr>
          <w:rStyle w:val="Emphasis"/>
        </w:rPr>
        <w:t>Baylor University Medical Center</w:t>
      </w:r>
      <w:r>
        <w:t xml:space="preserve"> and </w:t>
      </w:r>
      <w:r>
        <w:rPr>
          <w:rStyle w:val="Emphasis"/>
        </w:rPr>
        <w:t xml:space="preserve">IGT d/b/a International Game Technology, </w:t>
      </w:r>
      <w:r>
        <w:t>issued in 2020</w:t>
      </w:r>
      <w:r>
        <w:rPr>
          <w:rStyle w:val="Emphasis"/>
        </w:rPr>
        <w:t>,</w:t>
      </w:r>
      <w:r>
        <w:t xml:space="preserve"> which abandoned prior precedent in finding that offering similar severance agreements to employees was not unlawful, by itself.  </w:t>
      </w:r>
    </w:p>
    <w:p w14:paraId="50F0E82C" w14:textId="77777777" w:rsidR="00465DC0" w:rsidRDefault="00465DC0" w:rsidP="00465DC0">
      <w:pPr>
        <w:pStyle w:val="NormalWeb"/>
        <w:ind w:left="720"/>
      </w:pPr>
      <w:r>
        <w:t xml:space="preserve">Today’s decision, in contrast, explains that simply offering employees a severance agreement that requires them to broadly give up their rights under Section 7 of the Act violates Section 8(a)(1) of the Act. The Board observed that the employer’s offer </w:t>
      </w:r>
      <w:proofErr w:type="gramStart"/>
      <w:r>
        <w:t>is itself</w:t>
      </w:r>
      <w:proofErr w:type="gramEnd"/>
      <w:r>
        <w:t xml:space="preserve"> an attempt to deter employees from exercising their statutory rights, at a time when employees may feel they must give up their rights </w:t>
      </w:r>
      <w:proofErr w:type="gramStart"/>
      <w:r>
        <w:t>in order to</w:t>
      </w:r>
      <w:proofErr w:type="gramEnd"/>
      <w:r>
        <w:t xml:space="preserve"> get the benefits provided in the agreement.      </w:t>
      </w:r>
    </w:p>
    <w:p w14:paraId="4507C403" w14:textId="77777777" w:rsidR="00465DC0" w:rsidRDefault="00465DC0" w:rsidP="00465DC0">
      <w:pPr>
        <w:pStyle w:val="NormalWeb"/>
        <w:ind w:left="720"/>
      </w:pPr>
      <w:r>
        <w:t>‘It’s long been understood by the Board and the courts that employers cannot ask individual employees to choose between receiving benefits and exercising their rights under the National Labor Relations Act.  Today’s decision upholds this important principle and restores longstanding precedent,’ said Chairman Lauren McFerran.   </w:t>
      </w:r>
    </w:p>
    <w:p w14:paraId="55F793BC" w14:textId="77777777" w:rsidR="00465DC0" w:rsidRDefault="00465DC0" w:rsidP="00465DC0">
      <w:pPr>
        <w:pStyle w:val="NormalWeb"/>
        <w:ind w:left="720"/>
      </w:pPr>
      <w:r>
        <w:t xml:space="preserve">Members Wilcox and Prouty joined Chairman McFerran in issuing the decision. Member Kaplan dissented.” </w:t>
      </w:r>
      <w:hyperlink r:id="rId2801" w:history="1">
        <w:r w:rsidRPr="003F256B">
          <w:rPr>
            <w:rStyle w:val="Hyperlink"/>
            <w:rFonts w:eastAsiaTheme="majorEastAsia"/>
          </w:rPr>
          <w:t>https://www.nlrb.gov/news-outreach/news-story/board-rules-that-employers-may-not-offer-severance-agreements-requiring</w:t>
        </w:r>
      </w:hyperlink>
      <w:r>
        <w:t xml:space="preserve"> </w:t>
      </w:r>
    </w:p>
    <w:p w14:paraId="15EB7BAD" w14:textId="77777777" w:rsidR="00465DC0" w:rsidRPr="006F2BFB" w:rsidRDefault="00465DC0" w:rsidP="00465DC0">
      <w:pPr>
        <w:pStyle w:val="Heading1"/>
        <w:rPr>
          <w:rStyle w:val="field"/>
          <w:sz w:val="24"/>
          <w:szCs w:val="24"/>
        </w:rPr>
      </w:pPr>
      <w:r w:rsidRPr="006F2BFB">
        <w:rPr>
          <w:rStyle w:val="field"/>
          <w:sz w:val="24"/>
          <w:szCs w:val="24"/>
        </w:rPr>
        <w:t xml:space="preserve">Legal Lesson Learned: </w:t>
      </w:r>
      <w:r>
        <w:rPr>
          <w:rStyle w:val="field"/>
          <w:sz w:val="24"/>
          <w:szCs w:val="24"/>
        </w:rPr>
        <w:t xml:space="preserve">Fire &amp; EMS Departments should consult Legal Counsel about this significant change by NLRB. See two prior decisions, and dissenting opinion by NLRB Member Marvin Kaplan. </w:t>
      </w:r>
    </w:p>
    <w:p w14:paraId="05F4504D" w14:textId="77777777" w:rsidR="00465DC0" w:rsidRDefault="00465DC0" w:rsidP="00465DC0">
      <w:pPr>
        <w:pStyle w:val="Heading1"/>
        <w:ind w:left="720"/>
        <w:rPr>
          <w:rStyle w:val="field"/>
          <w:b w:val="0"/>
          <w:bCs w:val="0"/>
          <w:sz w:val="24"/>
          <w:szCs w:val="24"/>
        </w:rPr>
      </w:pPr>
      <w:r>
        <w:rPr>
          <w:rStyle w:val="field"/>
          <w:b w:val="0"/>
          <w:bCs w:val="0"/>
          <w:sz w:val="24"/>
          <w:szCs w:val="24"/>
        </w:rPr>
        <w:t xml:space="preserve">Note: See two decisions in 2020 now being rejected. </w:t>
      </w:r>
    </w:p>
    <w:p w14:paraId="08B95326" w14:textId="77777777" w:rsidR="00465DC0" w:rsidRPr="009F5DB1" w:rsidRDefault="00465DC0" w:rsidP="00465DC0">
      <w:pPr>
        <w:pStyle w:val="Heading1"/>
        <w:ind w:left="1440"/>
        <w:rPr>
          <w:rStyle w:val="field"/>
          <w:b w:val="0"/>
          <w:bCs w:val="0"/>
          <w:sz w:val="24"/>
          <w:szCs w:val="24"/>
        </w:rPr>
      </w:pPr>
      <w:r w:rsidRPr="00A00396">
        <w:rPr>
          <w:b w:val="0"/>
          <w:bCs w:val="0"/>
          <w:sz w:val="24"/>
          <w:szCs w:val="24"/>
          <w:u w:val="single"/>
        </w:rPr>
        <w:t>Baylor University Medical Center and Dora S. Camacho</w:t>
      </w:r>
      <w:r w:rsidRPr="00CB15E1">
        <w:rPr>
          <w:b w:val="0"/>
          <w:bCs w:val="0"/>
          <w:sz w:val="24"/>
          <w:szCs w:val="24"/>
        </w:rPr>
        <w:t>. Case 16–CA–195335</w:t>
      </w:r>
      <w:r w:rsidRPr="00CB15E1">
        <w:rPr>
          <w:b w:val="0"/>
          <w:bCs w:val="0"/>
          <w:sz w:val="24"/>
          <w:szCs w:val="24"/>
        </w:rPr>
        <w:br/>
        <w:t>March 16, 2020</w:t>
      </w:r>
      <w:r>
        <w:rPr>
          <w:b w:val="0"/>
          <w:bCs w:val="0"/>
          <w:sz w:val="24"/>
          <w:szCs w:val="24"/>
        </w:rPr>
        <w:t xml:space="preserve">.  </w:t>
      </w:r>
      <w:hyperlink r:id="rId2802" w:history="1">
        <w:r w:rsidRPr="003F256B">
          <w:rPr>
            <w:rStyle w:val="Hyperlink"/>
            <w:rFonts w:eastAsiaTheme="majorEastAsia"/>
            <w:b w:val="0"/>
            <w:bCs w:val="0"/>
            <w:sz w:val="24"/>
            <w:szCs w:val="24"/>
          </w:rPr>
          <w:t>http://www.lanermuchin.com/assets/htmldocuments/Board%20Decision-%20Baylor.pdf</w:t>
        </w:r>
      </w:hyperlink>
      <w:r>
        <w:rPr>
          <w:b w:val="0"/>
          <w:bCs w:val="0"/>
          <w:sz w:val="24"/>
          <w:szCs w:val="24"/>
        </w:rPr>
        <w:t xml:space="preserve"> </w:t>
      </w:r>
      <w:r w:rsidRPr="00CB15E1">
        <w:rPr>
          <w:b w:val="0"/>
          <w:bCs w:val="0"/>
          <w:sz w:val="24"/>
          <w:szCs w:val="24"/>
        </w:rPr>
        <w:br/>
      </w:r>
      <w:r>
        <w:rPr>
          <w:b w:val="0"/>
          <w:bCs w:val="0"/>
          <w:sz w:val="24"/>
          <w:szCs w:val="24"/>
        </w:rPr>
        <w:t>“</w:t>
      </w:r>
      <w:r w:rsidRPr="00CB15E1">
        <w:rPr>
          <w:b w:val="0"/>
          <w:bCs w:val="0"/>
          <w:sz w:val="24"/>
          <w:szCs w:val="24"/>
        </w:rPr>
        <w:t>Baylor fired Camacho on September 30, 2016.</w:t>
      </w:r>
      <w:r>
        <w:rPr>
          <w:b w:val="0"/>
          <w:bCs w:val="0"/>
          <w:sz w:val="24"/>
          <w:szCs w:val="24"/>
        </w:rPr>
        <w:t xml:space="preserve"> </w:t>
      </w:r>
      <w:r w:rsidRPr="00CB15E1">
        <w:rPr>
          <w:b w:val="0"/>
          <w:bCs w:val="0"/>
          <w:sz w:val="24"/>
          <w:szCs w:val="24"/>
        </w:rPr>
        <w:t>On October</w:t>
      </w:r>
      <w:r>
        <w:rPr>
          <w:b w:val="0"/>
          <w:bCs w:val="0"/>
          <w:sz w:val="24"/>
          <w:szCs w:val="24"/>
        </w:rPr>
        <w:t xml:space="preserve"> </w:t>
      </w:r>
      <w:r w:rsidRPr="00CB15E1">
        <w:rPr>
          <w:b w:val="0"/>
          <w:bCs w:val="0"/>
          <w:sz w:val="24"/>
          <w:szCs w:val="24"/>
        </w:rPr>
        <w:t xml:space="preserve">4, it offered her over $10,000 in exchange for signing a </w:t>
      </w:r>
      <w:r>
        <w:rPr>
          <w:b w:val="0"/>
          <w:bCs w:val="0"/>
          <w:sz w:val="24"/>
          <w:szCs w:val="24"/>
        </w:rPr>
        <w:t xml:space="preserve">… </w:t>
      </w:r>
      <w:r w:rsidRPr="00CB15E1">
        <w:rPr>
          <w:b w:val="0"/>
          <w:bCs w:val="0"/>
          <w:sz w:val="24"/>
          <w:szCs w:val="24"/>
        </w:rPr>
        <w:t>Separation Agreement</w:t>
      </w:r>
      <w:r>
        <w:rPr>
          <w:b w:val="0"/>
          <w:bCs w:val="0"/>
          <w:sz w:val="24"/>
          <w:szCs w:val="24"/>
        </w:rPr>
        <w:t xml:space="preserve"> [that contained waiver of future claims; non-disparagement; non-disclosure.]</w:t>
      </w:r>
      <w:r w:rsidRPr="00CB15E1">
        <w:rPr>
          <w:b w:val="0"/>
          <w:bCs w:val="0"/>
          <w:sz w:val="24"/>
          <w:szCs w:val="24"/>
        </w:rPr>
        <w:t xml:space="preserve"> She refused to sign the Separation Agreement</w:t>
      </w:r>
      <w:r>
        <w:rPr>
          <w:b w:val="0"/>
          <w:bCs w:val="0"/>
          <w:sz w:val="24"/>
          <w:szCs w:val="24"/>
        </w:rPr>
        <w:t xml:space="preserve"> </w:t>
      </w:r>
      <w:r w:rsidRPr="00CB15E1">
        <w:rPr>
          <w:b w:val="0"/>
          <w:bCs w:val="0"/>
          <w:sz w:val="24"/>
          <w:szCs w:val="24"/>
        </w:rPr>
        <w:t>and, instead, brought the instant charge challenging the legality</w:t>
      </w:r>
      <w:r>
        <w:rPr>
          <w:b w:val="0"/>
          <w:bCs w:val="0"/>
          <w:sz w:val="24"/>
          <w:szCs w:val="24"/>
        </w:rPr>
        <w:t xml:space="preserve"> </w:t>
      </w:r>
      <w:r w:rsidRPr="00CB15E1">
        <w:rPr>
          <w:b w:val="0"/>
          <w:bCs w:val="0"/>
          <w:sz w:val="24"/>
          <w:szCs w:val="24"/>
        </w:rPr>
        <w:t>of the agreement.</w:t>
      </w:r>
      <w:r>
        <w:rPr>
          <w:b w:val="0"/>
          <w:bCs w:val="0"/>
          <w:sz w:val="24"/>
          <w:szCs w:val="24"/>
        </w:rPr>
        <w:t xml:space="preserve"> *** </w:t>
      </w:r>
      <w:r w:rsidRPr="009F5DB1">
        <w:rPr>
          <w:b w:val="0"/>
          <w:bCs w:val="0"/>
          <w:sz w:val="24"/>
          <w:szCs w:val="24"/>
        </w:rPr>
        <w:t>In these circumstances, we find that the mere proffer of</w:t>
      </w:r>
      <w:r>
        <w:rPr>
          <w:b w:val="0"/>
          <w:bCs w:val="0"/>
          <w:sz w:val="24"/>
          <w:szCs w:val="24"/>
        </w:rPr>
        <w:t xml:space="preserve"> </w:t>
      </w:r>
      <w:r w:rsidRPr="009F5DB1">
        <w:rPr>
          <w:b w:val="0"/>
          <w:bCs w:val="0"/>
          <w:sz w:val="24"/>
          <w:szCs w:val="24"/>
        </w:rPr>
        <w:t>severance agreements containing the three challenged provisions did not reasonably tend to interfere with, restrain,</w:t>
      </w:r>
      <w:r>
        <w:rPr>
          <w:b w:val="0"/>
          <w:bCs w:val="0"/>
          <w:sz w:val="24"/>
          <w:szCs w:val="24"/>
        </w:rPr>
        <w:t xml:space="preserve"> </w:t>
      </w:r>
      <w:r w:rsidRPr="009F5DB1">
        <w:rPr>
          <w:b w:val="0"/>
          <w:bCs w:val="0"/>
          <w:sz w:val="24"/>
          <w:szCs w:val="24"/>
        </w:rPr>
        <w:t>or coerce employees in the exercise of rights under the</w:t>
      </w:r>
      <w:r>
        <w:rPr>
          <w:b w:val="0"/>
          <w:bCs w:val="0"/>
          <w:sz w:val="24"/>
          <w:szCs w:val="24"/>
        </w:rPr>
        <w:t xml:space="preserve"> </w:t>
      </w:r>
      <w:r w:rsidRPr="009F5DB1">
        <w:rPr>
          <w:b w:val="0"/>
          <w:bCs w:val="0"/>
          <w:sz w:val="24"/>
          <w:szCs w:val="24"/>
        </w:rPr>
        <w:t>Act.7 Accordingly, we reverse the judge in part and dismiss the complaint.</w:t>
      </w:r>
    </w:p>
    <w:p w14:paraId="48B77C9F" w14:textId="77777777" w:rsidR="00465DC0" w:rsidRPr="00A00396" w:rsidRDefault="00465DC0" w:rsidP="00465DC0">
      <w:pPr>
        <w:pStyle w:val="Heading1"/>
        <w:ind w:left="1440"/>
        <w:rPr>
          <w:rStyle w:val="field"/>
          <w:b w:val="0"/>
          <w:bCs w:val="0"/>
          <w:sz w:val="24"/>
          <w:szCs w:val="24"/>
        </w:rPr>
      </w:pPr>
      <w:r w:rsidRPr="00A00396">
        <w:rPr>
          <w:b w:val="0"/>
          <w:bCs w:val="0"/>
          <w:sz w:val="24"/>
          <w:szCs w:val="24"/>
          <w:u w:val="single"/>
        </w:rPr>
        <w:t>GT d/b/a International Game Technology and International Union of Operating Engineers Local Union 501, AFL-CIO</w:t>
      </w:r>
      <w:r w:rsidRPr="009F5DB1">
        <w:rPr>
          <w:b w:val="0"/>
          <w:bCs w:val="0"/>
          <w:sz w:val="24"/>
          <w:szCs w:val="24"/>
        </w:rPr>
        <w:t>. November 24, 2020</w:t>
      </w:r>
      <w:r>
        <w:rPr>
          <w:b w:val="0"/>
          <w:bCs w:val="0"/>
          <w:sz w:val="24"/>
          <w:szCs w:val="24"/>
        </w:rPr>
        <w:t xml:space="preserve">. </w:t>
      </w:r>
      <w:hyperlink r:id="rId2803" w:history="1">
        <w:r w:rsidRPr="003F256B">
          <w:rPr>
            <w:rStyle w:val="Hyperlink"/>
            <w:rFonts w:eastAsiaTheme="majorEastAsia"/>
            <w:b w:val="0"/>
            <w:bCs w:val="0"/>
            <w:sz w:val="24"/>
            <w:szCs w:val="24"/>
          </w:rPr>
          <w:t>https://www.jacksonlewis.com/sites/default/files/docs/IGTBoardDecision.pdf</w:t>
        </w:r>
      </w:hyperlink>
      <w:r>
        <w:rPr>
          <w:b w:val="0"/>
          <w:bCs w:val="0"/>
          <w:sz w:val="24"/>
          <w:szCs w:val="24"/>
        </w:rPr>
        <w:t xml:space="preserve">  “</w:t>
      </w:r>
      <w:r w:rsidRPr="009F5DB1">
        <w:rPr>
          <w:b w:val="0"/>
          <w:bCs w:val="0"/>
          <w:sz w:val="24"/>
          <w:szCs w:val="24"/>
        </w:rPr>
        <w:t>The Respondent is a multinational company that assembles, installs, removes, services, and repairs gaming machines. It has a practice of offering the Agreement to employees terminated as a result of the elimination of their</w:t>
      </w:r>
      <w:r>
        <w:rPr>
          <w:b w:val="0"/>
          <w:bCs w:val="0"/>
          <w:sz w:val="24"/>
          <w:szCs w:val="24"/>
        </w:rPr>
        <w:t xml:space="preserve"> </w:t>
      </w:r>
      <w:r w:rsidRPr="009F5DB1">
        <w:rPr>
          <w:b w:val="0"/>
          <w:bCs w:val="0"/>
          <w:sz w:val="24"/>
          <w:szCs w:val="24"/>
        </w:rPr>
        <w:t>positions</w:t>
      </w:r>
      <w:r>
        <w:rPr>
          <w:b w:val="0"/>
          <w:bCs w:val="0"/>
          <w:sz w:val="24"/>
          <w:szCs w:val="24"/>
        </w:rPr>
        <w:t xml:space="preserve"> [with two weeks of pay]….I</w:t>
      </w:r>
      <w:r w:rsidRPr="00A00396">
        <w:rPr>
          <w:b w:val="0"/>
          <w:bCs w:val="0"/>
          <w:sz w:val="24"/>
          <w:szCs w:val="24"/>
        </w:rPr>
        <w:t>n conclusion, because the Agreement is entirely voluntary, does not affect pay or benefits that were established</w:t>
      </w:r>
      <w:r>
        <w:rPr>
          <w:b w:val="0"/>
          <w:bCs w:val="0"/>
          <w:sz w:val="24"/>
          <w:szCs w:val="24"/>
        </w:rPr>
        <w:t xml:space="preserve"> </w:t>
      </w:r>
      <w:r w:rsidRPr="00A00396">
        <w:rPr>
          <w:b w:val="0"/>
          <w:bCs w:val="0"/>
          <w:sz w:val="24"/>
          <w:szCs w:val="24"/>
        </w:rPr>
        <w:t xml:space="preserve">as terms of employment, and has not been proffered coercively, we find that the </w:t>
      </w:r>
      <w:proofErr w:type="spellStart"/>
      <w:r w:rsidRPr="00A00396">
        <w:rPr>
          <w:b w:val="0"/>
          <w:bCs w:val="0"/>
          <w:sz w:val="24"/>
          <w:szCs w:val="24"/>
        </w:rPr>
        <w:t>nondisparagement</w:t>
      </w:r>
      <w:proofErr w:type="spellEnd"/>
      <w:r w:rsidRPr="00A00396">
        <w:rPr>
          <w:b w:val="0"/>
          <w:bCs w:val="0"/>
          <w:sz w:val="24"/>
          <w:szCs w:val="24"/>
        </w:rPr>
        <w:t xml:space="preserve"> provision</w:t>
      </w:r>
      <w:r>
        <w:rPr>
          <w:b w:val="0"/>
          <w:bCs w:val="0"/>
          <w:sz w:val="24"/>
          <w:szCs w:val="24"/>
        </w:rPr>
        <w:t xml:space="preserve"> </w:t>
      </w:r>
      <w:r w:rsidRPr="00A00396">
        <w:rPr>
          <w:b w:val="0"/>
          <w:bCs w:val="0"/>
          <w:sz w:val="24"/>
          <w:szCs w:val="24"/>
        </w:rPr>
        <w:t>would not tend to interfere with, restrain, or coerce employees in the exercise of their rights under the Act.</w:t>
      </w:r>
      <w:r>
        <w:rPr>
          <w:b w:val="0"/>
          <w:bCs w:val="0"/>
          <w:sz w:val="24"/>
          <w:szCs w:val="24"/>
        </w:rPr>
        <w:t>”</w:t>
      </w:r>
    </w:p>
    <w:p w14:paraId="4234B2DB" w14:textId="77777777" w:rsidR="00465DC0" w:rsidRDefault="00465DC0" w:rsidP="00465DC0">
      <w:pPr>
        <w:pStyle w:val="Heading1"/>
        <w:ind w:left="720"/>
        <w:rPr>
          <w:rStyle w:val="field"/>
          <w:b w:val="0"/>
          <w:bCs w:val="0"/>
          <w:sz w:val="24"/>
          <w:szCs w:val="24"/>
        </w:rPr>
      </w:pPr>
      <w:r>
        <w:rPr>
          <w:rStyle w:val="field"/>
          <w:b w:val="0"/>
          <w:bCs w:val="0"/>
          <w:sz w:val="24"/>
          <w:szCs w:val="24"/>
        </w:rPr>
        <w:t xml:space="preserve">See dissent </w:t>
      </w:r>
      <w:proofErr w:type="gramStart"/>
      <w:r>
        <w:rPr>
          <w:rStyle w:val="field"/>
          <w:b w:val="0"/>
          <w:bCs w:val="0"/>
          <w:sz w:val="24"/>
          <w:szCs w:val="24"/>
        </w:rPr>
        <w:t>by</w:t>
      </w:r>
      <w:proofErr w:type="gramEnd"/>
      <w:r>
        <w:rPr>
          <w:rStyle w:val="field"/>
          <w:b w:val="0"/>
          <w:bCs w:val="0"/>
          <w:sz w:val="24"/>
          <w:szCs w:val="24"/>
        </w:rPr>
        <w:t xml:space="preserve"> NLRB member Marvin E. Kaplan: </w:t>
      </w:r>
    </w:p>
    <w:p w14:paraId="7ABE6641" w14:textId="77777777" w:rsidR="00465DC0" w:rsidRPr="00CB15E1" w:rsidRDefault="00465DC0" w:rsidP="00465DC0">
      <w:pPr>
        <w:pStyle w:val="Heading1"/>
        <w:ind w:left="1440"/>
        <w:rPr>
          <w:rStyle w:val="field"/>
          <w:b w:val="0"/>
          <w:bCs w:val="0"/>
          <w:sz w:val="24"/>
          <w:szCs w:val="24"/>
        </w:rPr>
      </w:pPr>
      <w:r>
        <w:rPr>
          <w:b w:val="0"/>
          <w:bCs w:val="0"/>
          <w:sz w:val="24"/>
          <w:szCs w:val="24"/>
        </w:rPr>
        <w:t>“</w:t>
      </w:r>
      <w:r w:rsidRPr="00CB15E1">
        <w:rPr>
          <w:b w:val="0"/>
          <w:bCs w:val="0"/>
          <w:sz w:val="24"/>
          <w:szCs w:val="24"/>
        </w:rPr>
        <w:t>Baylor and IGT were sound, pragmatic decisions fully</w:t>
      </w:r>
      <w:r>
        <w:rPr>
          <w:b w:val="0"/>
          <w:bCs w:val="0"/>
          <w:sz w:val="24"/>
          <w:szCs w:val="24"/>
        </w:rPr>
        <w:t xml:space="preserve"> </w:t>
      </w:r>
      <w:r w:rsidRPr="00CB15E1">
        <w:rPr>
          <w:b w:val="0"/>
          <w:bCs w:val="0"/>
          <w:sz w:val="24"/>
          <w:szCs w:val="24"/>
        </w:rPr>
        <w:t>consistent with the Act, and my colleagues have failed to</w:t>
      </w:r>
      <w:r>
        <w:rPr>
          <w:b w:val="0"/>
          <w:bCs w:val="0"/>
          <w:sz w:val="24"/>
          <w:szCs w:val="24"/>
        </w:rPr>
        <w:t xml:space="preserve"> </w:t>
      </w:r>
      <w:r w:rsidRPr="00CB15E1">
        <w:rPr>
          <w:b w:val="0"/>
          <w:bCs w:val="0"/>
          <w:sz w:val="24"/>
          <w:szCs w:val="24"/>
        </w:rPr>
        <w:t xml:space="preserve">establish sufficient grounds for overturning those decisions. Contrary to my colleagues’ assertions, the holdings in Baylor and IGT did not conflict with </w:t>
      </w:r>
      <w:r>
        <w:rPr>
          <w:b w:val="0"/>
          <w:bCs w:val="0"/>
          <w:sz w:val="24"/>
          <w:szCs w:val="24"/>
        </w:rPr>
        <w:t>‘</w:t>
      </w:r>
      <w:r w:rsidRPr="00CB15E1">
        <w:rPr>
          <w:b w:val="0"/>
          <w:bCs w:val="0"/>
          <w:sz w:val="24"/>
          <w:szCs w:val="24"/>
        </w:rPr>
        <w:t>long-standing precedent.</w:t>
      </w:r>
      <w:r>
        <w:rPr>
          <w:b w:val="0"/>
          <w:bCs w:val="0"/>
          <w:sz w:val="24"/>
          <w:szCs w:val="24"/>
        </w:rPr>
        <w:t>’</w:t>
      </w:r>
      <w:r w:rsidRPr="00CB15E1">
        <w:rPr>
          <w:b w:val="0"/>
          <w:bCs w:val="0"/>
          <w:sz w:val="24"/>
          <w:szCs w:val="24"/>
        </w:rPr>
        <w:t xml:space="preserve"> None of the cases cited by my colleagues found that an employer, never having suggested</w:t>
      </w:r>
      <w:r>
        <w:rPr>
          <w:b w:val="0"/>
          <w:bCs w:val="0"/>
          <w:sz w:val="24"/>
          <w:szCs w:val="24"/>
        </w:rPr>
        <w:t xml:space="preserve"> </w:t>
      </w:r>
      <w:r w:rsidRPr="00CB15E1">
        <w:rPr>
          <w:b w:val="0"/>
          <w:bCs w:val="0"/>
          <w:sz w:val="24"/>
          <w:szCs w:val="24"/>
        </w:rPr>
        <w:t xml:space="preserve">any proclivity to </w:t>
      </w:r>
      <w:proofErr w:type="gramStart"/>
      <w:r w:rsidRPr="00CB15E1">
        <w:rPr>
          <w:b w:val="0"/>
          <w:bCs w:val="0"/>
          <w:sz w:val="24"/>
          <w:szCs w:val="24"/>
        </w:rPr>
        <w:t>violate</w:t>
      </w:r>
      <w:proofErr w:type="gramEnd"/>
      <w:r w:rsidRPr="00CB15E1">
        <w:rPr>
          <w:b w:val="0"/>
          <w:bCs w:val="0"/>
          <w:sz w:val="24"/>
          <w:szCs w:val="24"/>
        </w:rPr>
        <w:t xml:space="preserve"> the Act, violated the Act by</w:t>
      </w:r>
      <w:r>
        <w:rPr>
          <w:b w:val="0"/>
          <w:bCs w:val="0"/>
          <w:sz w:val="24"/>
          <w:szCs w:val="24"/>
        </w:rPr>
        <w:t xml:space="preserve"> </w:t>
      </w:r>
      <w:r w:rsidRPr="00CB15E1">
        <w:rPr>
          <w:b w:val="0"/>
          <w:bCs w:val="0"/>
          <w:sz w:val="24"/>
          <w:szCs w:val="24"/>
        </w:rPr>
        <w:t>proffering a severance agreement that could possibly be</w:t>
      </w:r>
      <w:r>
        <w:rPr>
          <w:b w:val="0"/>
          <w:bCs w:val="0"/>
          <w:sz w:val="24"/>
          <w:szCs w:val="24"/>
        </w:rPr>
        <w:t xml:space="preserve"> </w:t>
      </w:r>
      <w:r w:rsidRPr="00CB15E1">
        <w:rPr>
          <w:b w:val="0"/>
          <w:bCs w:val="0"/>
          <w:sz w:val="24"/>
          <w:szCs w:val="24"/>
        </w:rPr>
        <w:t>interpreted as limiting Section 7 rights. Indeed, the instant case does not present those circumstances. Nevertheless, my colleagues have used this case to overrule</w:t>
      </w:r>
      <w:r>
        <w:rPr>
          <w:b w:val="0"/>
          <w:bCs w:val="0"/>
          <w:sz w:val="24"/>
          <w:szCs w:val="24"/>
        </w:rPr>
        <w:t xml:space="preserve"> </w:t>
      </w:r>
      <w:r w:rsidRPr="00CB15E1">
        <w:rPr>
          <w:b w:val="0"/>
          <w:bCs w:val="0"/>
          <w:sz w:val="24"/>
          <w:szCs w:val="24"/>
        </w:rPr>
        <w:t xml:space="preserve">extant </w:t>
      </w:r>
      <w:proofErr w:type="gramStart"/>
      <w:r w:rsidRPr="00CB15E1">
        <w:rPr>
          <w:b w:val="0"/>
          <w:bCs w:val="0"/>
          <w:sz w:val="24"/>
          <w:szCs w:val="24"/>
        </w:rPr>
        <w:t>law</w:t>
      </w:r>
      <w:proofErr w:type="gramEnd"/>
      <w:r w:rsidRPr="00CB15E1">
        <w:rPr>
          <w:b w:val="0"/>
          <w:bCs w:val="0"/>
          <w:sz w:val="24"/>
          <w:szCs w:val="24"/>
        </w:rPr>
        <w:t xml:space="preserve"> that </w:t>
      </w:r>
      <w:proofErr w:type="gramStart"/>
      <w:r w:rsidRPr="00CB15E1">
        <w:rPr>
          <w:b w:val="0"/>
          <w:bCs w:val="0"/>
          <w:sz w:val="24"/>
          <w:szCs w:val="24"/>
        </w:rPr>
        <w:t>was</w:t>
      </w:r>
      <w:proofErr w:type="gramEnd"/>
      <w:r w:rsidRPr="00CB15E1">
        <w:rPr>
          <w:b w:val="0"/>
          <w:bCs w:val="0"/>
          <w:sz w:val="24"/>
          <w:szCs w:val="24"/>
        </w:rPr>
        <w:t xml:space="preserve"> consistent with finding the violation</w:t>
      </w:r>
      <w:r>
        <w:rPr>
          <w:b w:val="0"/>
          <w:bCs w:val="0"/>
          <w:sz w:val="24"/>
          <w:szCs w:val="24"/>
        </w:rPr>
        <w:t xml:space="preserve"> </w:t>
      </w:r>
      <w:r w:rsidRPr="00CB15E1">
        <w:rPr>
          <w:b w:val="0"/>
          <w:bCs w:val="0"/>
          <w:sz w:val="24"/>
          <w:szCs w:val="24"/>
        </w:rPr>
        <w:t xml:space="preserve">in this case </w:t>
      </w:r>
      <w:proofErr w:type="gramStart"/>
      <w:r w:rsidRPr="00CB15E1">
        <w:rPr>
          <w:b w:val="0"/>
          <w:bCs w:val="0"/>
          <w:sz w:val="24"/>
          <w:szCs w:val="24"/>
        </w:rPr>
        <w:t>in order to</w:t>
      </w:r>
      <w:proofErr w:type="gramEnd"/>
      <w:r w:rsidRPr="00CB15E1">
        <w:rPr>
          <w:b w:val="0"/>
          <w:bCs w:val="0"/>
          <w:sz w:val="24"/>
          <w:szCs w:val="24"/>
        </w:rPr>
        <w:t xml:space="preserve"> change the law, in effect, for cases</w:t>
      </w:r>
      <w:r>
        <w:rPr>
          <w:b w:val="0"/>
          <w:bCs w:val="0"/>
          <w:sz w:val="24"/>
          <w:szCs w:val="24"/>
        </w:rPr>
        <w:t xml:space="preserve"> </w:t>
      </w:r>
      <w:r w:rsidRPr="00CB15E1">
        <w:rPr>
          <w:b w:val="0"/>
          <w:bCs w:val="0"/>
          <w:sz w:val="24"/>
          <w:szCs w:val="24"/>
        </w:rPr>
        <w:t>not involving the facts presented in this case. Not only</w:t>
      </w:r>
      <w:r>
        <w:rPr>
          <w:b w:val="0"/>
          <w:bCs w:val="0"/>
          <w:sz w:val="24"/>
          <w:szCs w:val="24"/>
        </w:rPr>
        <w:t xml:space="preserve"> </w:t>
      </w:r>
      <w:r w:rsidRPr="00CB15E1">
        <w:rPr>
          <w:b w:val="0"/>
          <w:bCs w:val="0"/>
          <w:sz w:val="24"/>
          <w:szCs w:val="24"/>
        </w:rPr>
        <w:t>does this new standard go beyond what is necessary to</w:t>
      </w:r>
      <w:r w:rsidRPr="00CB15E1">
        <w:rPr>
          <w:b w:val="0"/>
          <w:bCs w:val="0"/>
          <w:sz w:val="24"/>
          <w:szCs w:val="24"/>
        </w:rPr>
        <w:br/>
        <w:t>decide this case but, for the reasons I have discussed, my</w:t>
      </w:r>
      <w:r>
        <w:rPr>
          <w:b w:val="0"/>
          <w:bCs w:val="0"/>
          <w:sz w:val="24"/>
          <w:szCs w:val="24"/>
        </w:rPr>
        <w:t xml:space="preserve"> </w:t>
      </w:r>
      <w:r w:rsidRPr="00CB15E1">
        <w:rPr>
          <w:b w:val="0"/>
          <w:bCs w:val="0"/>
          <w:sz w:val="24"/>
          <w:szCs w:val="24"/>
        </w:rPr>
        <w:t>colleagues’ finding of a threat violation under this new</w:t>
      </w:r>
      <w:r>
        <w:rPr>
          <w:b w:val="0"/>
          <w:bCs w:val="0"/>
          <w:sz w:val="24"/>
          <w:szCs w:val="24"/>
        </w:rPr>
        <w:t xml:space="preserve"> </w:t>
      </w:r>
      <w:r w:rsidRPr="00CB15E1">
        <w:rPr>
          <w:b w:val="0"/>
          <w:bCs w:val="0"/>
          <w:sz w:val="24"/>
          <w:szCs w:val="24"/>
        </w:rPr>
        <w:t>standard is neither correct under Board law nor consistent with the General Counsel’s complaint and litigation of this matter. Accordingly, I must respectfully dissent from this aspect of my colleagues’ decision.</w:t>
      </w:r>
      <w:r>
        <w:rPr>
          <w:b w:val="0"/>
          <w:bCs w:val="0"/>
          <w:sz w:val="24"/>
          <w:szCs w:val="24"/>
        </w:rPr>
        <w:t>”</w:t>
      </w:r>
    </w:p>
    <w:p w14:paraId="540B75CB" w14:textId="6CC4D6F8" w:rsidR="00D478CB" w:rsidRDefault="0055155D" w:rsidP="00F326E5">
      <w:pPr>
        <w:pStyle w:val="NoSpacing"/>
        <w:rPr>
          <w:rFonts w:ascii="Arial Black" w:hAnsi="Arial Black"/>
          <w:sz w:val="24"/>
          <w:szCs w:val="24"/>
        </w:rPr>
      </w:pPr>
      <w:r>
        <w:rPr>
          <w:rFonts w:ascii="Arial Black" w:hAnsi="Arial Black"/>
          <w:sz w:val="24"/>
          <w:szCs w:val="24"/>
        </w:rPr>
        <w:t>17-26</w:t>
      </w:r>
    </w:p>
    <w:p w14:paraId="6D9866CD" w14:textId="77777777" w:rsidR="000C3B06" w:rsidRDefault="000C3B06" w:rsidP="000C3B06">
      <w:pPr>
        <w:pStyle w:val="Heading1"/>
        <w:rPr>
          <w:rStyle w:val="markedcontent"/>
          <w:rFonts w:ascii="Arial Black" w:hAnsi="Arial Black"/>
          <w:sz w:val="28"/>
          <w:szCs w:val="28"/>
        </w:rPr>
      </w:pPr>
      <w:r>
        <w:rPr>
          <w:rStyle w:val="markedcontent"/>
          <w:rFonts w:ascii="Arial Black" w:hAnsi="Arial Black"/>
          <w:sz w:val="28"/>
          <w:szCs w:val="28"/>
        </w:rPr>
        <w:t>IN: MAYOR RETALIATED AGAINST UNION– CHANGED SCHEDULE 24/48 TO 8/24 -  INJUNCTION AGAINST CHANGE</w:t>
      </w:r>
    </w:p>
    <w:p w14:paraId="0AACB7FE" w14:textId="77777777" w:rsidR="000C3B06" w:rsidRDefault="000C3B06" w:rsidP="000C3B06">
      <w:pPr>
        <w:pStyle w:val="Heading1"/>
        <w:rPr>
          <w:rStyle w:val="markedcontent"/>
          <w:b w:val="0"/>
          <w:bCs w:val="0"/>
          <w:sz w:val="24"/>
          <w:szCs w:val="24"/>
        </w:rPr>
      </w:pPr>
      <w:r w:rsidRPr="00C605B3">
        <w:rPr>
          <w:rStyle w:val="markedcontent"/>
          <w:b w:val="0"/>
          <w:bCs w:val="0"/>
          <w:sz w:val="24"/>
          <w:szCs w:val="24"/>
        </w:rPr>
        <w:t xml:space="preserve">On Dec. 21, 2022, in </w:t>
      </w:r>
      <w:r w:rsidRPr="00C605B3">
        <w:rPr>
          <w:rStyle w:val="markedcontent"/>
          <w:b w:val="0"/>
          <w:bCs w:val="0"/>
          <w:sz w:val="24"/>
          <w:szCs w:val="24"/>
          <w:u w:val="single"/>
        </w:rPr>
        <w:t>International Association of Firefighters, Local 365, et al. v. City of East Chicago and Anthony Copeland</w:t>
      </w:r>
      <w:r>
        <w:rPr>
          <w:rStyle w:val="markedcontent"/>
          <w:b w:val="0"/>
          <w:bCs w:val="0"/>
          <w:sz w:val="24"/>
          <w:szCs w:val="24"/>
        </w:rPr>
        <w:t xml:space="preserve">, the U.S. Court of Appeals for Seventh Circuit (Chicago), held (3 to 0) that the change in work schedule from 24/48 to 8/24 was in retaliation for union’s First Amendment activities, including support of the Mayor Anthony Copeland’s opponent in 2019, firefighters’ protest at his inauguration, their endorsement and election of six members of city’s Common Council,  their successful lobbying for increase in firefighter pay ordinance [which Mayor vetoed], and union rejection on Dec. 2, 2019 of proposed agreement to return to 24/48 schedule if union agreed to stop all lobbying.  </w:t>
      </w:r>
      <w:r w:rsidRPr="00545D9F">
        <w:rPr>
          <w:rStyle w:val="markedcontent"/>
          <w:b w:val="0"/>
          <w:bCs w:val="0"/>
          <w:sz w:val="24"/>
          <w:szCs w:val="24"/>
        </w:rPr>
        <w:t>On December 23, 2019, the Common</w:t>
      </w:r>
      <w:r>
        <w:rPr>
          <w:rStyle w:val="markedcontent"/>
          <w:b w:val="0"/>
          <w:bCs w:val="0"/>
          <w:sz w:val="24"/>
          <w:szCs w:val="24"/>
        </w:rPr>
        <w:t xml:space="preserve"> </w:t>
      </w:r>
      <w:r w:rsidRPr="00545D9F">
        <w:rPr>
          <w:rStyle w:val="markedcontent"/>
          <w:b w:val="0"/>
          <w:bCs w:val="0"/>
          <w:sz w:val="24"/>
          <w:szCs w:val="24"/>
        </w:rPr>
        <w:t>Council passed Ordinance 19-0029, which set the firefighters’</w:t>
      </w:r>
      <w:r>
        <w:rPr>
          <w:rStyle w:val="markedcontent"/>
          <w:b w:val="0"/>
          <w:bCs w:val="0"/>
          <w:sz w:val="24"/>
          <w:szCs w:val="24"/>
        </w:rPr>
        <w:t xml:space="preserve"> </w:t>
      </w:r>
      <w:r w:rsidRPr="00545D9F">
        <w:rPr>
          <w:rStyle w:val="markedcontent"/>
          <w:b w:val="0"/>
          <w:bCs w:val="0"/>
          <w:sz w:val="24"/>
          <w:szCs w:val="24"/>
        </w:rPr>
        <w:t>work schedule back to the 24/48 schedule. Copeland vetoed</w:t>
      </w:r>
      <w:r>
        <w:rPr>
          <w:rStyle w:val="markedcontent"/>
          <w:b w:val="0"/>
          <w:bCs w:val="0"/>
          <w:sz w:val="24"/>
          <w:szCs w:val="24"/>
        </w:rPr>
        <w:t xml:space="preserve"> </w:t>
      </w:r>
      <w:r w:rsidRPr="00545D9F">
        <w:rPr>
          <w:rStyle w:val="markedcontent"/>
          <w:b w:val="0"/>
          <w:bCs w:val="0"/>
          <w:sz w:val="24"/>
          <w:szCs w:val="24"/>
        </w:rPr>
        <w:t>the ordinance, but the Council passed the ordinance over the</w:t>
      </w:r>
      <w:r>
        <w:rPr>
          <w:rStyle w:val="markedcontent"/>
          <w:b w:val="0"/>
          <w:bCs w:val="0"/>
          <w:sz w:val="24"/>
          <w:szCs w:val="24"/>
        </w:rPr>
        <w:t xml:space="preserve"> </w:t>
      </w:r>
      <w:r w:rsidRPr="00545D9F">
        <w:rPr>
          <w:rStyle w:val="markedcontent"/>
          <w:b w:val="0"/>
          <w:bCs w:val="0"/>
          <w:sz w:val="24"/>
          <w:szCs w:val="24"/>
        </w:rPr>
        <w:t>veto.</w:t>
      </w:r>
      <w:r>
        <w:rPr>
          <w:rStyle w:val="markedcontent"/>
          <w:b w:val="0"/>
          <w:bCs w:val="0"/>
          <w:sz w:val="24"/>
          <w:szCs w:val="24"/>
        </w:rPr>
        <w:t xml:space="preserve"> </w:t>
      </w:r>
      <w:r w:rsidRPr="00545D9F">
        <w:rPr>
          <w:rStyle w:val="markedcontent"/>
          <w:b w:val="0"/>
          <w:bCs w:val="0"/>
          <w:sz w:val="24"/>
          <w:szCs w:val="24"/>
        </w:rPr>
        <w:t>On March 4, 2021, the Lake County Superior Court issued a decision agreeing with Copeland and</w:t>
      </w:r>
      <w:r>
        <w:rPr>
          <w:rStyle w:val="markedcontent"/>
          <w:b w:val="0"/>
          <w:bCs w:val="0"/>
          <w:sz w:val="24"/>
          <w:szCs w:val="24"/>
        </w:rPr>
        <w:t xml:space="preserve"> </w:t>
      </w:r>
      <w:r w:rsidRPr="00545D9F">
        <w:rPr>
          <w:rStyle w:val="markedcontent"/>
          <w:b w:val="0"/>
          <w:bCs w:val="0"/>
          <w:sz w:val="24"/>
          <w:szCs w:val="24"/>
        </w:rPr>
        <w:t>struck down the ordinance—leaving the 8/24 schedule in effect.</w:t>
      </w:r>
      <w:r>
        <w:rPr>
          <w:rStyle w:val="markedcontent"/>
          <w:b w:val="0"/>
          <w:bCs w:val="0"/>
          <w:sz w:val="24"/>
          <w:szCs w:val="24"/>
        </w:rPr>
        <w:t xml:space="preserve"> The union then sought a preliminary injunction in Federal court.  U.S. District Court Judge Phillip P. Simon (Northern District of Indiana) concluded after a two-day preliminary injunction hearing that the </w:t>
      </w:r>
      <w:proofErr w:type="gramStart"/>
      <w:r>
        <w:rPr>
          <w:rStyle w:val="markedcontent"/>
          <w:b w:val="0"/>
          <w:bCs w:val="0"/>
          <w:sz w:val="24"/>
          <w:szCs w:val="24"/>
        </w:rPr>
        <w:t>Mayor’s</w:t>
      </w:r>
      <w:proofErr w:type="gramEnd"/>
      <w:r>
        <w:rPr>
          <w:rStyle w:val="markedcontent"/>
          <w:b w:val="0"/>
          <w:bCs w:val="0"/>
          <w:sz w:val="24"/>
          <w:szCs w:val="24"/>
        </w:rPr>
        <w:t xml:space="preserve"> actions were motivated by the Local 365 First Amendment activities and on March 28, </w:t>
      </w:r>
      <w:proofErr w:type="gramStart"/>
      <w:r>
        <w:rPr>
          <w:rStyle w:val="markedcontent"/>
          <w:b w:val="0"/>
          <w:bCs w:val="0"/>
          <w:sz w:val="24"/>
          <w:szCs w:val="24"/>
        </w:rPr>
        <w:t>2021</w:t>
      </w:r>
      <w:proofErr w:type="gramEnd"/>
      <w:r>
        <w:rPr>
          <w:rStyle w:val="markedcontent"/>
          <w:b w:val="0"/>
          <w:bCs w:val="0"/>
          <w:sz w:val="24"/>
          <w:szCs w:val="24"/>
        </w:rPr>
        <w:t xml:space="preserve"> ordered City to return to 24/48 schedule.   </w:t>
      </w:r>
    </w:p>
    <w:p w14:paraId="1F1B45F2" w14:textId="77777777" w:rsidR="000C3B06" w:rsidRDefault="000C3B06" w:rsidP="000C3B06">
      <w:pPr>
        <w:pStyle w:val="Heading1"/>
        <w:ind w:left="720"/>
        <w:rPr>
          <w:rStyle w:val="markedcontent"/>
          <w:b w:val="0"/>
          <w:bCs w:val="0"/>
          <w:sz w:val="24"/>
          <w:szCs w:val="24"/>
        </w:rPr>
      </w:pPr>
      <w:proofErr w:type="gramStart"/>
      <w:r>
        <w:rPr>
          <w:rStyle w:val="markedcontent"/>
          <w:b w:val="0"/>
          <w:bCs w:val="0"/>
          <w:sz w:val="24"/>
          <w:szCs w:val="24"/>
        </w:rPr>
        <w:t>“[W]e f</w:t>
      </w:r>
      <w:r w:rsidRPr="00036C7B">
        <w:rPr>
          <w:rStyle w:val="markedcontent"/>
          <w:b w:val="0"/>
          <w:bCs w:val="0"/>
          <w:sz w:val="24"/>
          <w:szCs w:val="24"/>
        </w:rPr>
        <w:t>ind</w:t>
      </w:r>
      <w:proofErr w:type="gramEnd"/>
      <w:r w:rsidRPr="00036C7B">
        <w:rPr>
          <w:rStyle w:val="markedcontent"/>
          <w:b w:val="0"/>
          <w:bCs w:val="0"/>
          <w:sz w:val="24"/>
          <w:szCs w:val="24"/>
        </w:rPr>
        <w:t xml:space="preserve"> that the district court did</w:t>
      </w:r>
      <w:r>
        <w:rPr>
          <w:rStyle w:val="markedcontent"/>
          <w:b w:val="0"/>
          <w:bCs w:val="0"/>
          <w:sz w:val="24"/>
          <w:szCs w:val="24"/>
        </w:rPr>
        <w:t xml:space="preserve"> </w:t>
      </w:r>
      <w:r w:rsidRPr="00036C7B">
        <w:rPr>
          <w:rStyle w:val="markedcontent"/>
          <w:b w:val="0"/>
          <w:bCs w:val="0"/>
          <w:sz w:val="24"/>
          <w:szCs w:val="24"/>
        </w:rPr>
        <w:t>not err in determining that the defendants’ actions were motivated by the Fire Fighters’ First Amendment activity; that</w:t>
      </w:r>
      <w:r>
        <w:rPr>
          <w:rStyle w:val="markedcontent"/>
          <w:b w:val="0"/>
          <w:bCs w:val="0"/>
          <w:sz w:val="24"/>
          <w:szCs w:val="24"/>
        </w:rPr>
        <w:t xml:space="preserve"> </w:t>
      </w:r>
      <w:r w:rsidRPr="00036C7B">
        <w:rPr>
          <w:rStyle w:val="markedcontent"/>
          <w:b w:val="0"/>
          <w:bCs w:val="0"/>
          <w:sz w:val="24"/>
          <w:szCs w:val="24"/>
        </w:rPr>
        <w:t>there was no evidence that the 8/24 schedule was expected to</w:t>
      </w:r>
      <w:r>
        <w:rPr>
          <w:rStyle w:val="markedcontent"/>
          <w:b w:val="0"/>
          <w:bCs w:val="0"/>
          <w:sz w:val="24"/>
          <w:szCs w:val="24"/>
        </w:rPr>
        <w:t xml:space="preserve"> </w:t>
      </w:r>
      <w:r w:rsidRPr="00036C7B">
        <w:rPr>
          <w:rStyle w:val="markedcontent"/>
          <w:b w:val="0"/>
          <w:bCs w:val="0"/>
          <w:sz w:val="24"/>
          <w:szCs w:val="24"/>
        </w:rPr>
        <w:t>result in cost-savings for the City; and that the Fire Fighters</w:t>
      </w:r>
      <w:r>
        <w:rPr>
          <w:rStyle w:val="markedcontent"/>
          <w:b w:val="0"/>
          <w:bCs w:val="0"/>
          <w:sz w:val="24"/>
          <w:szCs w:val="24"/>
        </w:rPr>
        <w:t xml:space="preserve"> </w:t>
      </w:r>
      <w:r w:rsidRPr="00036C7B">
        <w:rPr>
          <w:rStyle w:val="markedcontent"/>
          <w:b w:val="0"/>
          <w:bCs w:val="0"/>
          <w:sz w:val="24"/>
          <w:szCs w:val="24"/>
        </w:rPr>
        <w:t xml:space="preserve">would suffer irreparable harms without an injunction. We </w:t>
      </w:r>
      <w:r>
        <w:rPr>
          <w:rStyle w:val="markedcontent"/>
          <w:b w:val="0"/>
          <w:bCs w:val="0"/>
          <w:sz w:val="24"/>
          <w:szCs w:val="24"/>
        </w:rPr>
        <w:t xml:space="preserve"> </w:t>
      </w:r>
      <w:r w:rsidRPr="00036C7B">
        <w:rPr>
          <w:rStyle w:val="markedcontent"/>
          <w:b w:val="0"/>
          <w:bCs w:val="0"/>
          <w:sz w:val="24"/>
          <w:szCs w:val="24"/>
        </w:rPr>
        <w:t>additionally find that the district court did not abuse its discretion in balancing the equities in this case, considering the severity of the harms the Fire Fighters have experienced and the</w:t>
      </w:r>
      <w:r>
        <w:rPr>
          <w:rStyle w:val="markedcontent"/>
          <w:b w:val="0"/>
          <w:bCs w:val="0"/>
          <w:sz w:val="24"/>
          <w:szCs w:val="24"/>
        </w:rPr>
        <w:t xml:space="preserve"> </w:t>
      </w:r>
      <w:r w:rsidRPr="00036C7B">
        <w:rPr>
          <w:rStyle w:val="markedcontent"/>
          <w:b w:val="0"/>
          <w:bCs w:val="0"/>
          <w:sz w:val="24"/>
          <w:szCs w:val="24"/>
        </w:rPr>
        <w:t>lack of evidence supporting the defendants’ alleged harms.</w:t>
      </w:r>
      <w:r w:rsidRPr="00036C7B">
        <w:rPr>
          <w:b w:val="0"/>
          <w:bCs w:val="0"/>
          <w:sz w:val="24"/>
          <w:szCs w:val="24"/>
        </w:rPr>
        <w:br/>
      </w:r>
      <w:r w:rsidRPr="00036C7B">
        <w:rPr>
          <w:rStyle w:val="markedcontent"/>
          <w:b w:val="0"/>
          <w:bCs w:val="0"/>
          <w:sz w:val="24"/>
          <w:szCs w:val="24"/>
        </w:rPr>
        <w:t>The decision of the district court is therefore AFFIRMED.</w:t>
      </w:r>
      <w:r>
        <w:rPr>
          <w:rStyle w:val="markedcontent"/>
          <w:b w:val="0"/>
          <w:bCs w:val="0"/>
          <w:sz w:val="24"/>
          <w:szCs w:val="24"/>
        </w:rPr>
        <w:t xml:space="preserve">” </w:t>
      </w:r>
      <w:hyperlink r:id="rId2804" w:history="1">
        <w:r w:rsidRPr="00BA5840">
          <w:rPr>
            <w:rStyle w:val="Hyperlink"/>
            <w:rFonts w:eastAsiaTheme="majorEastAsia"/>
            <w:b w:val="0"/>
            <w:bCs w:val="0"/>
            <w:sz w:val="24"/>
            <w:szCs w:val="24"/>
          </w:rPr>
          <w:t>https://caselaw.findlaw.com/us-7th-circuit/2104809.html</w:t>
        </w:r>
      </w:hyperlink>
      <w:r>
        <w:rPr>
          <w:rStyle w:val="markedcontent"/>
          <w:b w:val="0"/>
          <w:bCs w:val="0"/>
          <w:sz w:val="24"/>
          <w:szCs w:val="24"/>
        </w:rPr>
        <w:t xml:space="preserve"> </w:t>
      </w:r>
    </w:p>
    <w:p w14:paraId="74571101" w14:textId="77777777" w:rsidR="000C3B06" w:rsidRPr="00112028" w:rsidRDefault="000C3B06" w:rsidP="000C3B06">
      <w:pPr>
        <w:pStyle w:val="Heading1"/>
        <w:rPr>
          <w:rStyle w:val="markedcontent"/>
          <w:sz w:val="24"/>
          <w:szCs w:val="24"/>
        </w:rPr>
      </w:pPr>
      <w:r w:rsidRPr="00112028">
        <w:rPr>
          <w:rStyle w:val="markedcontent"/>
          <w:sz w:val="24"/>
          <w:szCs w:val="24"/>
        </w:rPr>
        <w:t xml:space="preserve">Legal Lesson Learned: Union’s First Amendment rights were protected from retaliation by the </w:t>
      </w:r>
      <w:proofErr w:type="gramStart"/>
      <w:r w:rsidRPr="00112028">
        <w:rPr>
          <w:rStyle w:val="markedcontent"/>
          <w:sz w:val="24"/>
          <w:szCs w:val="24"/>
        </w:rPr>
        <w:t>Mayor</w:t>
      </w:r>
      <w:proofErr w:type="gramEnd"/>
      <w:r w:rsidRPr="00112028">
        <w:rPr>
          <w:rStyle w:val="markedcontent"/>
          <w:sz w:val="24"/>
          <w:szCs w:val="24"/>
        </w:rPr>
        <w:t>. Interesting fact: Mayor Anthony Copeland</w:t>
      </w:r>
      <w:r>
        <w:rPr>
          <w:rStyle w:val="markedcontent"/>
          <w:sz w:val="24"/>
          <w:szCs w:val="24"/>
        </w:rPr>
        <w:t xml:space="preserve"> was </w:t>
      </w:r>
      <w:r w:rsidRPr="00112028">
        <w:rPr>
          <w:rStyle w:val="markedcontent"/>
          <w:sz w:val="24"/>
          <w:szCs w:val="24"/>
        </w:rPr>
        <w:t xml:space="preserve">a former firefighter of twenty-six years. </w:t>
      </w:r>
      <w:r w:rsidRPr="00112028">
        <w:rPr>
          <w:sz w:val="24"/>
          <w:szCs w:val="24"/>
        </w:rPr>
        <w:br/>
      </w:r>
    </w:p>
    <w:p w14:paraId="7F15422B" w14:textId="77777777" w:rsidR="000C3B06" w:rsidRDefault="000C3B06" w:rsidP="00F326E5">
      <w:pPr>
        <w:pStyle w:val="NoSpacing"/>
        <w:rPr>
          <w:rFonts w:ascii="Arial Black" w:hAnsi="Arial Black"/>
          <w:sz w:val="24"/>
          <w:szCs w:val="24"/>
        </w:rPr>
      </w:pPr>
    </w:p>
    <w:p w14:paraId="4B83653C" w14:textId="77777777" w:rsidR="000C3B06" w:rsidRDefault="000C3B06" w:rsidP="00F326E5">
      <w:pPr>
        <w:pStyle w:val="NoSpacing"/>
        <w:rPr>
          <w:rFonts w:ascii="Arial Black" w:hAnsi="Arial Black"/>
          <w:sz w:val="24"/>
          <w:szCs w:val="24"/>
        </w:rPr>
      </w:pPr>
    </w:p>
    <w:p w14:paraId="56E1E513" w14:textId="77777777" w:rsidR="000C3B06" w:rsidRDefault="000C3B06" w:rsidP="00F326E5">
      <w:pPr>
        <w:pStyle w:val="NoSpacing"/>
        <w:rPr>
          <w:rFonts w:ascii="Arial Black" w:hAnsi="Arial Black"/>
          <w:sz w:val="24"/>
          <w:szCs w:val="24"/>
        </w:rPr>
      </w:pPr>
    </w:p>
    <w:p w14:paraId="161B1174" w14:textId="0ACF89B0" w:rsidR="000C3B06" w:rsidRDefault="000C3B06" w:rsidP="00F326E5">
      <w:pPr>
        <w:pStyle w:val="NoSpacing"/>
        <w:rPr>
          <w:rFonts w:ascii="Arial Black" w:hAnsi="Arial Black"/>
          <w:sz w:val="24"/>
          <w:szCs w:val="24"/>
        </w:rPr>
      </w:pPr>
      <w:r>
        <w:rPr>
          <w:rFonts w:ascii="Arial Black" w:hAnsi="Arial Black"/>
          <w:sz w:val="24"/>
          <w:szCs w:val="24"/>
        </w:rPr>
        <w:t>17-25</w:t>
      </w:r>
    </w:p>
    <w:p w14:paraId="3ADFD6BE" w14:textId="77777777" w:rsidR="000C3B06" w:rsidRPr="002631BE" w:rsidRDefault="000C3B06" w:rsidP="000C3B06">
      <w:pPr>
        <w:pStyle w:val="NormalWeb"/>
        <w:rPr>
          <w:rFonts w:ascii="Arial Black" w:hAnsi="Arial Black"/>
          <w:sz w:val="28"/>
          <w:szCs w:val="28"/>
        </w:rPr>
      </w:pPr>
      <w:r>
        <w:rPr>
          <w:rFonts w:ascii="Arial Black" w:hAnsi="Arial Black"/>
          <w:sz w:val="28"/>
          <w:szCs w:val="28"/>
        </w:rPr>
        <w:t xml:space="preserve">NY: YONKERS MUST CONTINUE TO PAY DISABELED FFs UNDER AGE 65 – HOLIDAY, CHECK-IN, BUT NOT NIGHT PAY </w:t>
      </w:r>
    </w:p>
    <w:p w14:paraId="383DF849" w14:textId="77777777" w:rsidR="000C3B06" w:rsidRDefault="000C3B06" w:rsidP="000C3B06">
      <w:pPr>
        <w:pStyle w:val="NormalWeb"/>
      </w:pPr>
      <w:r>
        <w:t xml:space="preserve">On Dec. 15, 2022, in </w:t>
      </w:r>
      <w:r w:rsidRPr="00126012">
        <w:rPr>
          <w:u w:val="single"/>
        </w:rPr>
        <w:t>In The Matter Of John Borelli, et al. v. City of Younkers</w:t>
      </w:r>
      <w:r>
        <w:t>, the New York Court of Appeals held (4 to 2) that 39 disabled firefighters, who are under age 65 and therefore by State law receive supplemental payments to equal the pay of current firefighters at same pay grade, are entitled to Holiday Pay and Check-In Pay (required to report for duty 12 minutes early) since all current firefighters receive, but they are not entitled to Night Differential since only firefighters work nights get that pay.  The State of New York has had statutes since 1938 protecting firefighters disabled in the line of duty, and in 1977 enacted General Municipal Law § 207-a (2) which provides that until a disabled firefighter reaches the mandatory retirement age of 65, their municipal employer must make up the difference between the state's disability pension benefits and the firefighters' "regular salary or wages."</w:t>
      </w:r>
    </w:p>
    <w:p w14:paraId="3C6AEA60" w14:textId="77777777" w:rsidR="000C3B06" w:rsidRPr="00C9121A" w:rsidRDefault="000C3B06" w:rsidP="000C3B06">
      <w:pPr>
        <w:pStyle w:val="NormalWeb"/>
        <w:ind w:left="1440"/>
      </w:pPr>
      <w:r>
        <w:t xml:space="preserve">“It is clear from the CBAs that all firefighters are entitled to receive holiday pay and check-in pay based solely on the performance of regular job duties. The provisions of the CBAs governing check-in pay require that firefighters be present for duty 12 minutes prior to the commencement of their tours of duty to receive instruction, equipment, and for other miscellaneous duties. They specify, without qualification, that each employee "shall receive an additional [5½] days [of pay]" per year. The provisions governing holiday pay provide that firefighters shall be paid for 12 holidays," </w:t>
      </w:r>
      <w:r>
        <w:rPr>
          <w:rStyle w:val="Emphasis"/>
        </w:rPr>
        <w:t>whether worked or not</w:t>
      </w:r>
      <w:r>
        <w:t xml:space="preserve">" (emphasis added). Hence, all active-duty firefighters performing their regular job duties are contractually entitled to receive both check-in pay and holiday pay. “ </w:t>
      </w:r>
      <w:hyperlink r:id="rId2805" w:history="1">
        <w:r w:rsidRPr="00237809">
          <w:rPr>
            <w:rStyle w:val="Hyperlink"/>
            <w:rFonts w:eastAsiaTheme="majorEastAsia"/>
          </w:rPr>
          <w:t>https://law.justia.com/cases/new-york/court-of-appeals/2022/95.html</w:t>
        </w:r>
      </w:hyperlink>
      <w:r>
        <w:t xml:space="preserve"> </w:t>
      </w:r>
    </w:p>
    <w:p w14:paraId="6CAE4741" w14:textId="77777777" w:rsidR="000C3B06" w:rsidRPr="00D15F79" w:rsidRDefault="000C3B06" w:rsidP="000C3B06">
      <w:pPr>
        <w:pStyle w:val="NormalWeb"/>
        <w:rPr>
          <w:b/>
          <w:bCs/>
        </w:rPr>
      </w:pPr>
      <w:r w:rsidRPr="00D15F79">
        <w:rPr>
          <w:b/>
          <w:bCs/>
        </w:rPr>
        <w:t>Legal Lesson Learned:</w:t>
      </w:r>
      <w:r>
        <w:rPr>
          <w:b/>
          <w:bCs/>
        </w:rPr>
        <w:t xml:space="preserve"> For decades Yonkers has made these “special pays</w:t>
      </w:r>
      <w:proofErr w:type="gramStart"/>
      <w:r>
        <w:rPr>
          <w:b/>
          <w:bCs/>
        </w:rPr>
        <w:t>”</w:t>
      </w:r>
      <w:proofErr w:type="gramEnd"/>
      <w:r>
        <w:rPr>
          <w:b/>
          <w:bCs/>
        </w:rPr>
        <w:t xml:space="preserve"> and the NY’s Highest court will require they continue this practice. </w:t>
      </w:r>
    </w:p>
    <w:p w14:paraId="74F07568" w14:textId="77777777" w:rsidR="000C3B06" w:rsidRPr="002476FF" w:rsidRDefault="000C3B06" w:rsidP="000C3B06">
      <w:pPr>
        <w:pStyle w:val="NormalWeb"/>
        <w:ind w:left="720"/>
      </w:pPr>
      <w:r w:rsidRPr="002476FF">
        <w:t>Note: Two dissenting Justices</w:t>
      </w:r>
      <w:r>
        <w:t xml:space="preserve"> noted </w:t>
      </w:r>
      <w:r w:rsidRPr="002476FF">
        <w:t>“A proper interpretation of this statutory term is critical; any unwarranted expansion of the definition undermines the goals of the legislation, forcing municipalities to spend more on disability payments and less on active fire protection.”</w:t>
      </w:r>
      <w:r>
        <w:t xml:space="preserve"> The Justices noted that City of Yonkers has faced a financial difficulty, including $7.4 million gap in their Public School District budget. </w:t>
      </w:r>
      <w:hyperlink r:id="rId2806" w:history="1">
        <w:r w:rsidRPr="002C395C">
          <w:rPr>
            <w:rStyle w:val="Hyperlink"/>
          </w:rPr>
          <w:t>https://law.justia.com/cases/new-york/court-of-appeals/2022/95.html</w:t>
        </w:r>
      </w:hyperlink>
      <w:r>
        <w:t xml:space="preserve"> </w:t>
      </w:r>
    </w:p>
    <w:p w14:paraId="47D50D18" w14:textId="77777777" w:rsidR="000C3B06" w:rsidRDefault="000C3B06" w:rsidP="000C3B06">
      <w:pPr>
        <w:pStyle w:val="NormalWeb"/>
        <w:ind w:left="720"/>
      </w:pPr>
      <w:r w:rsidRPr="003C6E0D">
        <w:t xml:space="preserve">Note: </w:t>
      </w:r>
      <w:r>
        <w:t xml:space="preserve">See this companion case.  On Dec. 15, 2022, in </w:t>
      </w:r>
      <w:r w:rsidRPr="001D3F7D">
        <w:rPr>
          <w:u w:val="single"/>
        </w:rPr>
        <w:t>In The Matter Of City of Yonkers v. Yonkers Fire Fighters, Local 628</w:t>
      </w:r>
      <w:r>
        <w:t xml:space="preserve">, the New York Court of Appeals held (6 to 0) that the City must arbitrate with Local 628 over their plan to discontinue their practice since at least 1995 to pay “special pay” (including holiday pay, check-in pay for reporting to duty 12 minutes early, and night differential) not only to active duty firefighters, but also to disabled firefighters who have not yet reached age 65. </w:t>
      </w:r>
      <w:hyperlink r:id="rId2807" w:history="1">
        <w:r w:rsidRPr="00237809">
          <w:rPr>
            <w:rStyle w:val="Hyperlink"/>
            <w:rFonts w:eastAsiaTheme="majorEastAsia"/>
          </w:rPr>
          <w:t>https://www.nycourts.gov/ctapps/Decisions/2022/Dec22/96opn22-Decision.pdf \</w:t>
        </w:r>
      </w:hyperlink>
    </w:p>
    <w:p w14:paraId="306557A3" w14:textId="77777777" w:rsidR="000C3B06" w:rsidRDefault="000C3B06" w:rsidP="00F326E5">
      <w:pPr>
        <w:pStyle w:val="NoSpacing"/>
        <w:rPr>
          <w:rFonts w:ascii="Arial Black" w:hAnsi="Arial Black"/>
          <w:sz w:val="24"/>
          <w:szCs w:val="24"/>
        </w:rPr>
      </w:pPr>
    </w:p>
    <w:p w14:paraId="74BDB962" w14:textId="77777777" w:rsidR="000C3B06" w:rsidRDefault="000C3B06" w:rsidP="00F326E5">
      <w:pPr>
        <w:pStyle w:val="NoSpacing"/>
        <w:rPr>
          <w:rFonts w:ascii="Arial Black" w:hAnsi="Arial Black"/>
          <w:sz w:val="24"/>
          <w:szCs w:val="24"/>
        </w:rPr>
      </w:pPr>
    </w:p>
    <w:p w14:paraId="6289588B" w14:textId="277954FA" w:rsidR="009C612E" w:rsidRDefault="009C612E" w:rsidP="00F326E5">
      <w:pPr>
        <w:pStyle w:val="NoSpacing"/>
        <w:rPr>
          <w:rFonts w:ascii="Arial Black" w:hAnsi="Arial Black"/>
          <w:sz w:val="24"/>
          <w:szCs w:val="24"/>
        </w:rPr>
      </w:pPr>
      <w:r>
        <w:rPr>
          <w:rFonts w:ascii="Arial Black" w:hAnsi="Arial Black"/>
          <w:sz w:val="24"/>
          <w:szCs w:val="24"/>
        </w:rPr>
        <w:t>17-24</w:t>
      </w:r>
    </w:p>
    <w:p w14:paraId="76FAC3CB" w14:textId="77777777" w:rsidR="009C612E" w:rsidRDefault="009C612E" w:rsidP="009C612E">
      <w:pPr>
        <w:pStyle w:val="NormalWeb"/>
        <w:rPr>
          <w:rFonts w:ascii="Arial Black" w:hAnsi="Arial Black"/>
          <w:sz w:val="28"/>
          <w:szCs w:val="28"/>
        </w:rPr>
      </w:pPr>
      <w:r>
        <w:rPr>
          <w:rFonts w:ascii="Arial Black" w:hAnsi="Arial Black"/>
          <w:sz w:val="28"/>
          <w:szCs w:val="28"/>
        </w:rPr>
        <w:t>TX: AUSTIN - CBA 5,600 HOURS FOR UNION OFFICERS IS LAWFUL – TAXPAYERS LAWSUIT FRIVOLOUS, PENALTY</w:t>
      </w:r>
    </w:p>
    <w:p w14:paraId="0D363C49" w14:textId="77777777" w:rsidR="009C612E" w:rsidRDefault="009C612E" w:rsidP="009C612E">
      <w:pPr>
        <w:pStyle w:val="NormalWeb"/>
      </w:pPr>
      <w:r>
        <w:t xml:space="preserve">On Nov. 22, 2022, in </w:t>
      </w:r>
      <w:r w:rsidRPr="00825D12">
        <w:rPr>
          <w:u w:val="single"/>
        </w:rPr>
        <w:t>Roger Borgelt</w:t>
      </w:r>
      <w:r>
        <w:rPr>
          <w:u w:val="single"/>
        </w:rPr>
        <w:t xml:space="preserve">, Mark Pulliam, Jay Wiley, </w:t>
      </w:r>
      <w:r w:rsidRPr="00825D12">
        <w:rPr>
          <w:u w:val="single"/>
        </w:rPr>
        <w:t>et al. v. Austin Firefighters Association, IAFF Local 975, et al</w:t>
      </w:r>
      <w:r>
        <w:t xml:space="preserve">., the Court of Appeals of Texas, Third District (Austin) held (3 to 0) that trial court properly dismissed lawsuit by two taxpayers who claimed the granting of paid time to Association President violated the Texas Constitution's "Gift Clauses." Trial court also imposed $75,000 </w:t>
      </w:r>
      <w:proofErr w:type="gramStart"/>
      <w:r>
        <w:t>sanction</w:t>
      </w:r>
      <w:proofErr w:type="gramEnd"/>
      <w:r>
        <w:t xml:space="preserve"> and attorney fees against Pulliam and Wiley for filing a frivolous lawsuit. </w:t>
      </w:r>
    </w:p>
    <w:p w14:paraId="74B3619B" w14:textId="77777777" w:rsidR="009C612E" w:rsidRDefault="009C612E" w:rsidP="009C612E">
      <w:pPr>
        <w:pStyle w:val="NormalWeb"/>
        <w:ind w:left="720"/>
      </w:pPr>
      <w:r>
        <w:t>“Borgelt and the State's argument fails because Borgelt and the State ignore the fact that, as the trial court found, the Association's mission-facilitating good labor relations between the AFD and its public-servant employees, furthering professional standards for firefighters, and promoting firefighter and public safety-overlaps with the mission of the AFD, and the two organizations' missions are not mutually exclusive. Thus, work done on behalf of the Association by firefighters who are using Association Leave not only furthers the mission of the Association but also furthers AFD's mission and public purpose of providing safe and efficient fire safety and emergency services.</w:t>
      </w:r>
    </w:p>
    <w:p w14:paraId="20B47424" w14:textId="77777777" w:rsidR="009C612E" w:rsidRDefault="009C612E" w:rsidP="009C612E">
      <w:pPr>
        <w:pStyle w:val="NormalWeb"/>
        <w:ind w:left="720"/>
      </w:pPr>
      <w:r>
        <w:t>***</w:t>
      </w:r>
    </w:p>
    <w:p w14:paraId="45D8543B" w14:textId="77777777" w:rsidR="009C612E" w:rsidRDefault="009C612E" w:rsidP="009C612E">
      <w:pPr>
        <w:pStyle w:val="NormalWeb"/>
        <w:ind w:left="720"/>
      </w:pPr>
      <w:r>
        <w:t xml:space="preserve">We conclude that the trial court did not abuse its discretion by determining that a $75,000 sanction was required to deter further similar actions by Pulliam or Wiley…. Wiley admitted to using the lawsuit as publicity to support his political platform as a ’fiscal conservative’ seeking ‘union reform’ and ‘right-to-work laws’ in Texas. In 2016, when this suit was initially filed, and again in 2018, Wiley ran in the Republican primaries for seats in the Texas House of Representatives.”  </w:t>
      </w:r>
      <w:hyperlink r:id="rId2808" w:history="1">
        <w:r w:rsidRPr="00386BA5">
          <w:rPr>
            <w:rStyle w:val="Hyperlink"/>
            <w:rFonts w:eastAsiaTheme="majorEastAsia"/>
          </w:rPr>
          <w:t>https://law.justia.com/cases/texas/third-court-of-appeals/2022/03-21-00227-cv.html</w:t>
        </w:r>
      </w:hyperlink>
      <w:r>
        <w:rPr>
          <w:rStyle w:val="Hyperlink"/>
          <w:rFonts w:eastAsiaTheme="majorEastAsia"/>
        </w:rPr>
        <w:t xml:space="preserve"> </w:t>
      </w:r>
    </w:p>
    <w:p w14:paraId="2829A5C7" w14:textId="77777777" w:rsidR="009C612E" w:rsidRPr="00BF256B" w:rsidRDefault="009C612E" w:rsidP="009C612E">
      <w:pPr>
        <w:pStyle w:val="NormalWeb"/>
        <w:rPr>
          <w:b/>
          <w:bCs/>
        </w:rPr>
      </w:pPr>
      <w:r w:rsidRPr="00BF256B">
        <w:rPr>
          <w:b/>
          <w:bCs/>
        </w:rPr>
        <w:t>Legal Lesson Learned:</w:t>
      </w:r>
      <w:r>
        <w:rPr>
          <w:b/>
          <w:bCs/>
        </w:rPr>
        <w:t xml:space="preserve"> CBA provision for paid time for union officers is lawful. </w:t>
      </w:r>
    </w:p>
    <w:p w14:paraId="65AF781B" w14:textId="77777777" w:rsidR="009C612E" w:rsidRDefault="009C612E" w:rsidP="00F326E5">
      <w:pPr>
        <w:pStyle w:val="NoSpacing"/>
        <w:rPr>
          <w:rFonts w:ascii="Arial Black" w:hAnsi="Arial Black"/>
          <w:sz w:val="24"/>
          <w:szCs w:val="24"/>
        </w:rPr>
      </w:pPr>
    </w:p>
    <w:p w14:paraId="5F1F5E65" w14:textId="77777777" w:rsidR="009C612E" w:rsidRDefault="009C612E" w:rsidP="00F326E5">
      <w:pPr>
        <w:pStyle w:val="NoSpacing"/>
        <w:rPr>
          <w:rFonts w:ascii="Arial Black" w:hAnsi="Arial Black"/>
          <w:sz w:val="24"/>
          <w:szCs w:val="24"/>
        </w:rPr>
      </w:pPr>
    </w:p>
    <w:p w14:paraId="000CCD96" w14:textId="7B42FC91" w:rsidR="009C612E" w:rsidRDefault="009C612E" w:rsidP="00F326E5">
      <w:pPr>
        <w:pStyle w:val="NoSpacing"/>
        <w:rPr>
          <w:rFonts w:ascii="Arial Black" w:hAnsi="Arial Black"/>
          <w:sz w:val="24"/>
          <w:szCs w:val="24"/>
        </w:rPr>
      </w:pPr>
      <w:r>
        <w:rPr>
          <w:rFonts w:ascii="Arial Black" w:hAnsi="Arial Black"/>
          <w:sz w:val="24"/>
          <w:szCs w:val="24"/>
        </w:rPr>
        <w:t>17-23</w:t>
      </w:r>
    </w:p>
    <w:p w14:paraId="53E040CF" w14:textId="5D232209" w:rsidR="009C612E" w:rsidRDefault="009C612E" w:rsidP="00F326E5">
      <w:pPr>
        <w:pStyle w:val="NoSpacing"/>
        <w:rPr>
          <w:rFonts w:ascii="Arial Black" w:hAnsi="Arial Black"/>
          <w:sz w:val="24"/>
          <w:szCs w:val="24"/>
        </w:rPr>
      </w:pPr>
    </w:p>
    <w:p w14:paraId="79C8D959" w14:textId="77777777" w:rsidR="009C612E" w:rsidRPr="00483F12" w:rsidRDefault="009C612E" w:rsidP="009C612E">
      <w:pPr>
        <w:pStyle w:val="NormalWeb"/>
        <w:rPr>
          <w:rFonts w:ascii="Arial Black" w:hAnsi="Arial Black"/>
          <w:b/>
          <w:bCs/>
          <w:sz w:val="28"/>
          <w:szCs w:val="28"/>
        </w:rPr>
      </w:pPr>
      <w:r w:rsidRPr="00483F12">
        <w:rPr>
          <w:rFonts w:ascii="Arial Black" w:hAnsi="Arial Black"/>
          <w:b/>
          <w:bCs/>
          <w:sz w:val="28"/>
          <w:szCs w:val="28"/>
        </w:rPr>
        <w:t xml:space="preserve">PA: </w:t>
      </w:r>
      <w:r>
        <w:rPr>
          <w:rFonts w:ascii="Arial Black" w:hAnsi="Arial Black"/>
          <w:b/>
          <w:bCs/>
          <w:sz w:val="28"/>
          <w:szCs w:val="28"/>
        </w:rPr>
        <w:t xml:space="preserve"> CBA - FF PENSION 75% - ARBITRATOR UPHELD - CITY ORDINANCE CAN’T REDUCE WIDOWS PENSION TO 50%</w:t>
      </w:r>
    </w:p>
    <w:p w14:paraId="29472EE8" w14:textId="77777777" w:rsidR="009C612E" w:rsidRDefault="009C612E" w:rsidP="009C612E">
      <w:pPr>
        <w:pStyle w:val="NormalWeb"/>
      </w:pPr>
      <w:r w:rsidRPr="00B936FB">
        <w:t xml:space="preserve">On </w:t>
      </w:r>
      <w:r>
        <w:t xml:space="preserve">Nov. 22, 2022, in </w:t>
      </w:r>
      <w:r w:rsidRPr="00B936FB">
        <w:rPr>
          <w:u w:val="single"/>
        </w:rPr>
        <w:t>City of New Castle v. International Association of Firefighters, Local 160</w:t>
      </w:r>
      <w:r>
        <w:t xml:space="preserve">, the Commonwealth Court of Pennsylvania held (3 to 0) that the arbitrator’s decision will be enforced; firefighter’s widow is entitled to the same 75% of final average compensation he was receiving per CBA.  The </w:t>
      </w:r>
      <w:proofErr w:type="gramStart"/>
      <w:r>
        <w:t>City</w:t>
      </w:r>
      <w:proofErr w:type="gramEnd"/>
      <w:r>
        <w:t xml:space="preserve"> cannot pass an ordinance that violates the CBA and </w:t>
      </w:r>
      <w:proofErr w:type="gramStart"/>
      <w:r>
        <w:t>pay</w:t>
      </w:r>
      <w:proofErr w:type="gramEnd"/>
      <w:r>
        <w:t xml:space="preserve"> the widow only 50%. </w:t>
      </w:r>
    </w:p>
    <w:p w14:paraId="2ADF52A0" w14:textId="77777777" w:rsidR="009C612E" w:rsidRDefault="009C612E" w:rsidP="009C612E">
      <w:pPr>
        <w:pStyle w:val="NormalWeb"/>
        <w:ind w:left="720"/>
      </w:pPr>
      <w:r>
        <w:rPr>
          <w:rStyle w:val="markedcontent"/>
        </w:rPr>
        <w:t>“</w:t>
      </w:r>
      <w:r w:rsidRPr="006B2B41">
        <w:rPr>
          <w:rStyle w:val="markedcontent"/>
        </w:rPr>
        <w:t>The arbitrator found that the parties did not agree to change the survivor</w:t>
      </w:r>
      <w:r>
        <w:rPr>
          <w:rStyle w:val="markedcontent"/>
        </w:rPr>
        <w:t xml:space="preserve"> </w:t>
      </w:r>
      <w:r w:rsidRPr="006B2B41">
        <w:rPr>
          <w:rStyle w:val="markedcontent"/>
        </w:rPr>
        <w:t>benefit in the 1998 CBA from what it had been in 1997; the Union was not aware</w:t>
      </w:r>
      <w:r>
        <w:rPr>
          <w:rStyle w:val="markedcontent"/>
        </w:rPr>
        <w:t xml:space="preserve"> </w:t>
      </w:r>
      <w:r w:rsidRPr="006B2B41">
        <w:rPr>
          <w:rStyle w:val="markedcontent"/>
        </w:rPr>
        <w:t>that Ordinance 7343 had been enacted in December of 1997; and the Union never</w:t>
      </w:r>
      <w:r>
        <w:rPr>
          <w:rStyle w:val="markedcontent"/>
        </w:rPr>
        <w:t xml:space="preserve"> </w:t>
      </w:r>
      <w:r w:rsidRPr="006B2B41">
        <w:rPr>
          <w:rStyle w:val="markedcontent"/>
        </w:rPr>
        <w:t>agreed to reduce the survivor benefit to 50% as provided in Ordinance 7343</w:t>
      </w:r>
      <w:r>
        <w:rPr>
          <w:rStyle w:val="markedcontent"/>
        </w:rPr>
        <w:t xml:space="preserve">…. </w:t>
      </w:r>
      <w:r w:rsidRPr="006B2B41">
        <w:rPr>
          <w:rStyle w:val="markedcontent"/>
        </w:rPr>
        <w:t>The arbitrator arrived at a reasoned interpretation of the 1998 CBA,</w:t>
      </w:r>
      <w:r>
        <w:rPr>
          <w:rStyle w:val="markedcontent"/>
        </w:rPr>
        <w:t xml:space="preserve"> </w:t>
      </w:r>
      <w:r w:rsidRPr="006B2B41">
        <w:rPr>
          <w:rStyle w:val="markedcontent"/>
        </w:rPr>
        <w:t>concluding that the City violated the parties’ agreement by paying Stone’s surviving</w:t>
      </w:r>
      <w:r>
        <w:rPr>
          <w:rStyle w:val="markedcontent"/>
        </w:rPr>
        <w:t xml:space="preserve"> </w:t>
      </w:r>
      <w:r w:rsidRPr="006B2B41">
        <w:rPr>
          <w:rStyle w:val="markedcontent"/>
        </w:rPr>
        <w:t xml:space="preserve">spouse a pension lower than what Stone had received in his </w:t>
      </w:r>
      <w:proofErr w:type="gramStart"/>
      <w:r w:rsidRPr="006B2B41">
        <w:rPr>
          <w:rStyle w:val="markedcontent"/>
        </w:rPr>
        <w:t>lifetime.</w:t>
      </w:r>
      <w:r>
        <w:rPr>
          <w:rStyle w:val="markedcontent"/>
        </w:rPr>
        <w:t>”</w:t>
      </w:r>
      <w:proofErr w:type="gramEnd"/>
      <w:r>
        <w:rPr>
          <w:rStyle w:val="markedcontent"/>
        </w:rPr>
        <w:t xml:space="preserve">  </w:t>
      </w:r>
      <w:hyperlink r:id="rId2809" w:history="1">
        <w:r w:rsidRPr="00236501">
          <w:rPr>
            <w:rStyle w:val="Hyperlink"/>
            <w:rFonts w:eastAsiaTheme="majorEastAsia"/>
          </w:rPr>
          <w:t>https://law.justia.com/cases/pennsylvania/commonwealth-court/2022/242-c-d-2022.html</w:t>
        </w:r>
      </w:hyperlink>
    </w:p>
    <w:p w14:paraId="2EB7A9E8" w14:textId="77777777" w:rsidR="009C612E" w:rsidRPr="00514515" w:rsidRDefault="009C612E" w:rsidP="009C612E">
      <w:pPr>
        <w:spacing w:before="100" w:beforeAutospacing="1" w:after="100" w:afterAutospacing="1" w:line="240" w:lineRule="auto"/>
        <w:rPr>
          <w:rFonts w:ascii="Times New Roman" w:eastAsia="Times New Roman" w:hAnsi="Times New Roman"/>
          <w:b/>
          <w:bCs/>
          <w:sz w:val="24"/>
          <w:szCs w:val="24"/>
        </w:rPr>
      </w:pPr>
      <w:r w:rsidRPr="00483F12">
        <w:rPr>
          <w:rFonts w:ascii="Times New Roman" w:hAnsi="Times New Roman"/>
          <w:b/>
          <w:bCs/>
          <w:sz w:val="24"/>
          <w:szCs w:val="24"/>
        </w:rPr>
        <w:t>Legal Lesson Learned:</w:t>
      </w:r>
      <w:r>
        <w:rPr>
          <w:rFonts w:ascii="Times New Roman" w:hAnsi="Times New Roman"/>
          <w:b/>
          <w:bCs/>
          <w:sz w:val="24"/>
          <w:szCs w:val="24"/>
        </w:rPr>
        <w:t xml:space="preserve">  The collectively bargained CBA controls; not a unilaterally enacted ordinance. </w:t>
      </w:r>
    </w:p>
    <w:p w14:paraId="27DD8F22" w14:textId="77777777" w:rsidR="009C612E" w:rsidRDefault="009C612E" w:rsidP="00F326E5">
      <w:pPr>
        <w:pStyle w:val="NoSpacing"/>
        <w:rPr>
          <w:rFonts w:ascii="Arial Black" w:hAnsi="Arial Black"/>
          <w:sz w:val="24"/>
          <w:szCs w:val="24"/>
        </w:rPr>
      </w:pPr>
    </w:p>
    <w:p w14:paraId="1DC8A3E5" w14:textId="77777777" w:rsidR="009C612E" w:rsidRDefault="009C612E" w:rsidP="00F326E5">
      <w:pPr>
        <w:pStyle w:val="NoSpacing"/>
        <w:rPr>
          <w:rFonts w:ascii="Arial Black" w:hAnsi="Arial Black"/>
          <w:sz w:val="24"/>
          <w:szCs w:val="24"/>
        </w:rPr>
      </w:pPr>
    </w:p>
    <w:p w14:paraId="112AA814" w14:textId="063797D6" w:rsidR="00804F3A" w:rsidRDefault="00804F3A" w:rsidP="00F326E5">
      <w:pPr>
        <w:pStyle w:val="NoSpacing"/>
        <w:rPr>
          <w:rFonts w:ascii="Arial Black" w:hAnsi="Arial Black"/>
          <w:sz w:val="24"/>
          <w:szCs w:val="24"/>
        </w:rPr>
      </w:pPr>
      <w:r>
        <w:rPr>
          <w:rFonts w:ascii="Arial Black" w:hAnsi="Arial Black"/>
          <w:sz w:val="24"/>
          <w:szCs w:val="24"/>
        </w:rPr>
        <w:t>17-22</w:t>
      </w:r>
    </w:p>
    <w:p w14:paraId="75467A12" w14:textId="77777777" w:rsidR="00804F3A" w:rsidRPr="00F17782" w:rsidRDefault="00804F3A" w:rsidP="00804F3A">
      <w:pPr>
        <w:pStyle w:val="NormalWeb"/>
        <w:rPr>
          <w:rFonts w:ascii="Arial Black" w:hAnsi="Arial Black"/>
          <w:b/>
          <w:bCs/>
          <w:sz w:val="28"/>
          <w:szCs w:val="28"/>
        </w:rPr>
      </w:pPr>
      <w:r>
        <w:rPr>
          <w:rFonts w:ascii="Arial Black" w:hAnsi="Arial Black"/>
          <w:b/>
          <w:bCs/>
          <w:sz w:val="28"/>
          <w:szCs w:val="28"/>
        </w:rPr>
        <w:t xml:space="preserve">OH: MINIMUM MANNING 10 FF – CITY IN 2016 BELOW FOR THREE YEARS – OWES BACKPAY / INTEREST $1,188.219 </w:t>
      </w:r>
    </w:p>
    <w:p w14:paraId="2BC5F4C9" w14:textId="77777777" w:rsidR="00804F3A" w:rsidRDefault="00804F3A" w:rsidP="00804F3A">
      <w:pPr>
        <w:pStyle w:val="NormalWeb"/>
      </w:pPr>
      <w:r w:rsidRPr="00F17782">
        <w:t xml:space="preserve">On </w:t>
      </w:r>
      <w:r>
        <w:t xml:space="preserve">Oct. 13, 2022, in </w:t>
      </w:r>
      <w:r w:rsidRPr="00F17782">
        <w:rPr>
          <w:u w:val="single"/>
        </w:rPr>
        <w:t>East Cleveland IAFF 500, et al. v. City of East Cleveland, et al</w:t>
      </w:r>
      <w:r>
        <w:t xml:space="preserve">.,  the Court of appeals of Ohio, Eight District (Cuyahoga County) held (3 to 0) that the March 2017 arbitration award for the union is enforceable. The arbitrator found that the City breached the CBA starting April 12, </w:t>
      </w:r>
      <w:proofErr w:type="gramStart"/>
      <w:r>
        <w:t>2016</w:t>
      </w:r>
      <w:proofErr w:type="gramEnd"/>
      <w:r>
        <w:t xml:space="preserve"> and required the City to immediately restoring staffing to ten (10) firefighters per shift and restore back pay to all affected firefighters who would have been entitled to overtime on the call-out list after April 12, 2016. </w:t>
      </w:r>
    </w:p>
    <w:p w14:paraId="182C4457" w14:textId="398908A2" w:rsidR="00804F3A" w:rsidRDefault="00804F3A" w:rsidP="00804F3A">
      <w:pPr>
        <w:pStyle w:val="NoSpacing"/>
        <w:rPr>
          <w:rStyle w:val="Hyperlink"/>
          <w:rFonts w:eastAsiaTheme="majorEastAsia"/>
        </w:rPr>
      </w:pPr>
      <w:r>
        <w:t xml:space="preserve">“We find that the trial court's award of damages in the amount of $1,188,219.36 is consistent with the March 12, </w:t>
      </w:r>
      <w:proofErr w:type="gramStart"/>
      <w:r>
        <w:t>2017</w:t>
      </w:r>
      <w:proofErr w:type="gramEnd"/>
      <w:r>
        <w:t xml:space="preserve"> Arbitration Award. The trial court heard testimony that through 2018, 2019, and 2020 the City had not restored staffing to ten firefighters per shift for every shift as required by the Arbitration Award and determined, consistent with the evidence presented, that certain affected firefighters were owed a total aggregated amount of $1,188,219.36 in backpay.” </w:t>
      </w:r>
      <w:hyperlink r:id="rId2810" w:history="1">
        <w:r w:rsidRPr="007662E8">
          <w:rPr>
            <w:rStyle w:val="Hyperlink"/>
            <w:rFonts w:eastAsiaTheme="majorEastAsia"/>
          </w:rPr>
          <w:t>https://public.fastcase.com/J%2FJP6pdidelsXxEE4k%2BLMtVWis%2BjrVT91gBFG4uyJWEPcpNLWXxLmz%2FQC7BVJHEFVVKmRnSKx2JFHo6ASClx4LYOJwrUPHRSA%2B3C21y5uNo%3D?utm_medium=email&amp;_hsmi=226712652&amp;_hsenc=p2ANqtz-_Z7uUMGtz89TwJ8h7fDGtfvV3sIYognKNnX4gprWQ41uEM6WKF6eTc5YmYCWiY12JCxBXlLKEbrm5nDUGgSrncCZSdVg&amp;utm_content=226712652&amp;utm_source=hs_email</w:t>
        </w:r>
      </w:hyperlink>
    </w:p>
    <w:p w14:paraId="591D1308" w14:textId="4B6FEE20" w:rsidR="00804F3A" w:rsidRDefault="00804F3A" w:rsidP="00804F3A">
      <w:pPr>
        <w:pStyle w:val="NoSpacing"/>
        <w:rPr>
          <w:rStyle w:val="Hyperlink"/>
          <w:rFonts w:eastAsiaTheme="majorEastAsia"/>
        </w:rPr>
      </w:pPr>
    </w:p>
    <w:p w14:paraId="7F8EEB09" w14:textId="77777777" w:rsidR="00804F3A" w:rsidRPr="008B1952" w:rsidRDefault="00804F3A" w:rsidP="00804F3A">
      <w:pPr>
        <w:pStyle w:val="NormalWeb"/>
        <w:rPr>
          <w:b/>
          <w:bCs/>
        </w:rPr>
      </w:pPr>
      <w:r w:rsidRPr="008B1952">
        <w:rPr>
          <w:b/>
          <w:bCs/>
        </w:rPr>
        <w:t>Legal Lesson Learned:</w:t>
      </w:r>
      <w:r>
        <w:rPr>
          <w:b/>
          <w:bCs/>
        </w:rPr>
        <w:t xml:space="preserve"> The arbitration award has been upheld. </w:t>
      </w:r>
    </w:p>
    <w:p w14:paraId="200F21C3" w14:textId="77777777" w:rsidR="00804F3A" w:rsidRDefault="00804F3A" w:rsidP="00804F3A">
      <w:pPr>
        <w:pStyle w:val="NoSpacing"/>
        <w:rPr>
          <w:rFonts w:ascii="Arial Black" w:hAnsi="Arial Black"/>
          <w:sz w:val="24"/>
          <w:szCs w:val="24"/>
        </w:rPr>
      </w:pPr>
    </w:p>
    <w:p w14:paraId="1513D998" w14:textId="77777777" w:rsidR="00804F3A" w:rsidRDefault="00804F3A" w:rsidP="00F326E5">
      <w:pPr>
        <w:pStyle w:val="NoSpacing"/>
        <w:rPr>
          <w:rFonts w:ascii="Arial Black" w:hAnsi="Arial Black"/>
          <w:sz w:val="24"/>
          <w:szCs w:val="24"/>
        </w:rPr>
      </w:pPr>
    </w:p>
    <w:p w14:paraId="584CD62D" w14:textId="77777777" w:rsidR="00804F3A" w:rsidRDefault="00804F3A" w:rsidP="00F326E5">
      <w:pPr>
        <w:pStyle w:val="NoSpacing"/>
        <w:rPr>
          <w:rFonts w:ascii="Arial Black" w:hAnsi="Arial Black"/>
          <w:sz w:val="24"/>
          <w:szCs w:val="24"/>
        </w:rPr>
      </w:pPr>
    </w:p>
    <w:p w14:paraId="0330FA48" w14:textId="358F5F6E" w:rsidR="00755E16" w:rsidRDefault="00755E16" w:rsidP="00F326E5">
      <w:pPr>
        <w:pStyle w:val="NoSpacing"/>
        <w:rPr>
          <w:rFonts w:ascii="Arial Black" w:hAnsi="Arial Black"/>
          <w:sz w:val="24"/>
          <w:szCs w:val="24"/>
        </w:rPr>
      </w:pPr>
      <w:r>
        <w:rPr>
          <w:rFonts w:ascii="Arial Black" w:hAnsi="Arial Black"/>
          <w:sz w:val="24"/>
          <w:szCs w:val="24"/>
        </w:rPr>
        <w:t>17-21</w:t>
      </w:r>
    </w:p>
    <w:p w14:paraId="60FD7AB3" w14:textId="775913C5" w:rsidR="00755E16" w:rsidRDefault="00755E16" w:rsidP="00F326E5">
      <w:pPr>
        <w:pStyle w:val="NoSpacing"/>
        <w:rPr>
          <w:rFonts w:ascii="Arial Black" w:hAnsi="Arial Black"/>
          <w:sz w:val="24"/>
          <w:szCs w:val="24"/>
        </w:rPr>
      </w:pPr>
    </w:p>
    <w:p w14:paraId="1E2C8E64" w14:textId="77777777" w:rsidR="00755E16" w:rsidRDefault="00755E16" w:rsidP="00755E16">
      <w:pPr>
        <w:pStyle w:val="NormalWeb"/>
        <w:rPr>
          <w:rFonts w:ascii="Arial Black" w:hAnsi="Arial Black"/>
          <w:b/>
          <w:bCs/>
          <w:sz w:val="28"/>
          <w:szCs w:val="28"/>
        </w:rPr>
      </w:pPr>
      <w:r>
        <w:rPr>
          <w:rFonts w:ascii="Arial Black" w:hAnsi="Arial Black"/>
          <w:b/>
          <w:bCs/>
          <w:sz w:val="28"/>
          <w:szCs w:val="28"/>
        </w:rPr>
        <w:t>FL: FF INJURIES OVER 11 YRS – SHORT TERM DISABILITY BENEFITS BUT USED SICK LEAVE – WINS BACK SICK LEAVE</w:t>
      </w:r>
    </w:p>
    <w:p w14:paraId="2E5F5012" w14:textId="77777777" w:rsidR="00755E16" w:rsidRDefault="00755E16" w:rsidP="00755E16">
      <w:pPr>
        <w:pStyle w:val="NormalWeb"/>
      </w:pPr>
      <w:r>
        <w:t xml:space="preserve">On Sept. 30, 2022, in </w:t>
      </w:r>
      <w:r>
        <w:rPr>
          <w:u w:val="single"/>
        </w:rPr>
        <w:t>Metro Dade Firefighters, IAFF Local 1403 v. Miami-Dade County</w:t>
      </w:r>
      <w:r>
        <w:t xml:space="preserve">, the Florida Court of Appeals, Third District, held (3 to 0) that the arbitrator did not exceed his authority when awarding the restoration of sick leave to a firefighter for an eleven-year period [Oct. 2006 until Nov. 2017] preceding an award of long-term disability benefits.  Per CBA and City Code, “an employee who suffers a service-connected disability shall not use or be charged sick leave if he is granted disability leave or disability payments.” </w:t>
      </w:r>
    </w:p>
    <w:p w14:paraId="198F8FCB" w14:textId="77777777" w:rsidR="00755E16" w:rsidRDefault="00755E16" w:rsidP="00755E16">
      <w:pPr>
        <w:pStyle w:val="NormalWeb"/>
        <w:ind w:left="720"/>
      </w:pPr>
      <w:r>
        <w:t xml:space="preserve">:Because we find that the arbitrator did not exceed his powers, we are constrained to reverse the circuit court's order vacating the arbitration award. *** The arbitrator decided only the issue submitted to arbitration. He interpreted and applied Section 2-56.26, finding that the provision required the County to restore all of Mr. Calvo's leave time for the period of time from his first on-the-job injury through his retirement after a finding of long-term disability because all of this time was taken as a result of Mr. Calvo's various compensable injuries and the lingering effects of these injuries.”  </w:t>
      </w:r>
      <w:hyperlink r:id="rId2811" w:history="1">
        <w:r>
          <w:rPr>
            <w:rStyle w:val="Hyperlink"/>
          </w:rPr>
          <w:t>https://public.fastcase.com/J%2FJP6pdidelsXxEE4k%2BLMpuDgtfUlpNK4l%2BfqZzcsS95ieNoHEqDlI1ajn81HayMXO5%2FuX2%2ByvyKSn9EyfaN7KpFENL2lTAAz2wo8HtdPeY%3D?utm_medium=email&amp;_hsmi=226712652&amp;_hsenc=p2ANqtz-9t2-miGpzcz6HjEKBpKrn-zhw54ySyRz_VGgy44f1dByScW7c1n8avO_4RXLWc5afGZGbJubbxw9DhHyQbca8WHl796A&amp;utm_content=226712652&amp;utm_source=hs_email</w:t>
        </w:r>
      </w:hyperlink>
      <w:r>
        <w:t xml:space="preserve"> </w:t>
      </w:r>
    </w:p>
    <w:p w14:paraId="4AB91874" w14:textId="77777777" w:rsidR="00755E16" w:rsidRDefault="00755E16" w:rsidP="00755E16">
      <w:pPr>
        <w:pStyle w:val="NormalWeb"/>
        <w:rPr>
          <w:b/>
          <w:bCs/>
        </w:rPr>
      </w:pPr>
      <w:r>
        <w:rPr>
          <w:rFonts w:eastAsiaTheme="minorHAnsi"/>
          <w:b/>
          <w:bCs/>
        </w:rPr>
        <w:t xml:space="preserve">Legal Lesson Learned: Grievances and arbitrations can be avoided if CBA is explicit about whether sick leave can be charged for an employee who suffers a service-connected disability. </w:t>
      </w:r>
    </w:p>
    <w:p w14:paraId="2D44FD60" w14:textId="77777777" w:rsidR="00755E16" w:rsidRDefault="00755E16" w:rsidP="00F326E5">
      <w:pPr>
        <w:pStyle w:val="NoSpacing"/>
        <w:rPr>
          <w:rFonts w:ascii="Arial Black" w:hAnsi="Arial Black"/>
          <w:sz w:val="24"/>
          <w:szCs w:val="24"/>
        </w:rPr>
      </w:pPr>
    </w:p>
    <w:p w14:paraId="1E44D6E9" w14:textId="77777777" w:rsidR="00755E16" w:rsidRDefault="00755E16" w:rsidP="00F326E5">
      <w:pPr>
        <w:pStyle w:val="NoSpacing"/>
        <w:rPr>
          <w:rFonts w:ascii="Arial Black" w:hAnsi="Arial Black"/>
          <w:sz w:val="24"/>
          <w:szCs w:val="24"/>
        </w:rPr>
      </w:pPr>
    </w:p>
    <w:p w14:paraId="4D17E43E" w14:textId="77777777" w:rsidR="00755E16" w:rsidRDefault="00755E16" w:rsidP="00F326E5">
      <w:pPr>
        <w:pStyle w:val="NoSpacing"/>
        <w:rPr>
          <w:rFonts w:ascii="Arial Black" w:hAnsi="Arial Black"/>
          <w:sz w:val="24"/>
          <w:szCs w:val="24"/>
        </w:rPr>
      </w:pPr>
    </w:p>
    <w:p w14:paraId="799D704E" w14:textId="51F55DAF" w:rsidR="00D478CB" w:rsidRDefault="00D478CB" w:rsidP="00F326E5">
      <w:pPr>
        <w:pStyle w:val="NoSpacing"/>
        <w:rPr>
          <w:rFonts w:ascii="Arial Black" w:hAnsi="Arial Black"/>
          <w:sz w:val="24"/>
          <w:szCs w:val="24"/>
        </w:rPr>
      </w:pPr>
      <w:r>
        <w:rPr>
          <w:rFonts w:ascii="Arial Black" w:hAnsi="Arial Black"/>
          <w:sz w:val="24"/>
          <w:szCs w:val="24"/>
        </w:rPr>
        <w:t>17-20</w:t>
      </w:r>
    </w:p>
    <w:p w14:paraId="5C74311E" w14:textId="27D276D3" w:rsidR="00D478CB" w:rsidRDefault="00D478CB" w:rsidP="00F326E5">
      <w:pPr>
        <w:pStyle w:val="NoSpacing"/>
        <w:rPr>
          <w:rFonts w:ascii="Arial Black" w:hAnsi="Arial Black"/>
          <w:sz w:val="24"/>
          <w:szCs w:val="24"/>
        </w:rPr>
      </w:pPr>
    </w:p>
    <w:p w14:paraId="62E44961" w14:textId="77777777" w:rsidR="00311ABE" w:rsidRPr="00182E4B" w:rsidRDefault="00311ABE" w:rsidP="00311ABE">
      <w:pPr>
        <w:spacing w:before="100" w:beforeAutospacing="1" w:after="100" w:afterAutospacing="1" w:line="240" w:lineRule="auto"/>
        <w:rPr>
          <w:rFonts w:ascii="Arial Black" w:eastAsia="Times New Roman" w:hAnsi="Arial Black"/>
          <w:sz w:val="28"/>
          <w:szCs w:val="28"/>
        </w:rPr>
      </w:pPr>
      <w:bookmarkStart w:id="631" w:name="_Hlk112724937"/>
      <w:r>
        <w:rPr>
          <w:rFonts w:ascii="Arial Black" w:eastAsia="Times New Roman" w:hAnsi="Arial Black"/>
          <w:sz w:val="28"/>
          <w:szCs w:val="28"/>
        </w:rPr>
        <w:t>AK: FORMER UNION PRESIDENT – PASSED OVER PROMOTION B/C – CHIEF LEARNED “BELITTLING” CREWS</w:t>
      </w:r>
    </w:p>
    <w:p w14:paraId="6AE007D8" w14:textId="77777777" w:rsidR="00311ABE" w:rsidRDefault="00311ABE" w:rsidP="00311ABE">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Aug. 24, 2022, in </w:t>
      </w:r>
      <w:r w:rsidRPr="00182E4B">
        <w:rPr>
          <w:rFonts w:ascii="Times New Roman" w:hAnsi="Times New Roman"/>
          <w:sz w:val="24"/>
          <w:szCs w:val="24"/>
          <w:u w:val="single"/>
        </w:rPr>
        <w:t>Damon Reed v. City of Conway, Arkansas, et al.</w:t>
      </w:r>
      <w:r>
        <w:rPr>
          <w:rFonts w:ascii="Times New Roman" w:hAnsi="Times New Roman"/>
          <w:sz w:val="24"/>
          <w:szCs w:val="24"/>
        </w:rPr>
        <w:t xml:space="preserve">,  U.S. District Court Judge Lee , P. Rudofssky, U.S. District Court for Eastern District of Arkansas (Central Division) granted summary judgment for the City and Fire Chief Michael Winter on Captain Reed’s complaint alleging First Amendment retaliation.  </w:t>
      </w:r>
      <w:r w:rsidRPr="00C300FC">
        <w:rPr>
          <w:rFonts w:ascii="Times New Roman" w:hAnsi="Times New Roman"/>
          <w:sz w:val="24"/>
          <w:szCs w:val="24"/>
        </w:rPr>
        <w:t xml:space="preserve">“First, Mr. Reed points to the fact that he was the unanimous vote of the Chiefs panel for the May 2018 promotion. He says that this </w:t>
      </w:r>
      <w:r>
        <w:rPr>
          <w:rFonts w:ascii="Times New Roman" w:hAnsi="Times New Roman"/>
          <w:sz w:val="24"/>
          <w:szCs w:val="24"/>
        </w:rPr>
        <w:t>‘</w:t>
      </w:r>
      <w:r w:rsidRPr="00C300FC">
        <w:rPr>
          <w:rFonts w:ascii="Times New Roman" w:hAnsi="Times New Roman"/>
          <w:sz w:val="24"/>
          <w:szCs w:val="24"/>
        </w:rPr>
        <w:t>favorable review</w:t>
      </w:r>
      <w:r>
        <w:rPr>
          <w:rFonts w:ascii="Times New Roman" w:hAnsi="Times New Roman"/>
          <w:sz w:val="24"/>
          <w:szCs w:val="24"/>
        </w:rPr>
        <w:t>’</w:t>
      </w:r>
      <w:r w:rsidRPr="00C300FC">
        <w:rPr>
          <w:rFonts w:ascii="Times New Roman" w:hAnsi="Times New Roman"/>
          <w:sz w:val="24"/>
          <w:szCs w:val="24"/>
        </w:rPr>
        <w:t xml:space="preserve"> is evidence of pretext. The fatal flaw with this argument is timing. Recall that the Chiefs panel voted for Mr. Reed in January of 2018. Chief Winter did not receive the complaints about Mr. Reed until months after the vote, when word got out that Mr. Reed would be getting promoted. </w:t>
      </w:r>
      <w:proofErr w:type="gramStart"/>
      <w:r w:rsidRPr="00C300FC">
        <w:rPr>
          <w:rFonts w:ascii="Times New Roman" w:hAnsi="Times New Roman"/>
          <w:sz w:val="24"/>
          <w:szCs w:val="24"/>
        </w:rPr>
        <w:t>So</w:t>
      </w:r>
      <w:proofErr w:type="gramEnd"/>
      <w:r w:rsidRPr="00C300FC">
        <w:rPr>
          <w:rFonts w:ascii="Times New Roman" w:hAnsi="Times New Roman"/>
          <w:sz w:val="24"/>
          <w:szCs w:val="24"/>
        </w:rPr>
        <w:t xml:space="preserve"> neither Chief Winter nor the Chiefs panel knew, at the time of this so-called favorable review, that Mr. Reed was belittling subordinates.</w:t>
      </w:r>
      <w:r>
        <w:rPr>
          <w:rFonts w:ascii="Times New Roman" w:hAnsi="Times New Roman"/>
          <w:sz w:val="24"/>
          <w:szCs w:val="24"/>
        </w:rPr>
        <w:t xml:space="preserve">” </w:t>
      </w:r>
      <w:hyperlink r:id="rId2812" w:history="1">
        <w:r w:rsidRPr="005B4B72">
          <w:rPr>
            <w:rStyle w:val="Hyperlink"/>
            <w:rFonts w:ascii="Times New Roman" w:hAnsi="Times New Roman"/>
          </w:rPr>
          <w:t>https://casetext.com/case/reed-v-city-of-conway</w:t>
        </w:r>
      </w:hyperlink>
      <w:r>
        <w:rPr>
          <w:rFonts w:ascii="Times New Roman" w:hAnsi="Times New Roman"/>
          <w:sz w:val="24"/>
          <w:szCs w:val="24"/>
        </w:rPr>
        <w:t xml:space="preserve"> </w:t>
      </w:r>
    </w:p>
    <w:bookmarkEnd w:id="631"/>
    <w:p w14:paraId="50254F13" w14:textId="77777777" w:rsidR="00311ABE" w:rsidRDefault="00311ABE" w:rsidP="00F326E5">
      <w:pPr>
        <w:pStyle w:val="NoSpacing"/>
        <w:rPr>
          <w:rFonts w:ascii="Arial Black" w:hAnsi="Arial Black"/>
          <w:sz w:val="24"/>
          <w:szCs w:val="24"/>
        </w:rPr>
      </w:pPr>
    </w:p>
    <w:p w14:paraId="6494EABE" w14:textId="77777777" w:rsidR="00D478CB" w:rsidRDefault="00D478CB" w:rsidP="00F326E5">
      <w:pPr>
        <w:pStyle w:val="NoSpacing"/>
        <w:rPr>
          <w:rFonts w:ascii="Arial Black" w:hAnsi="Arial Black"/>
          <w:sz w:val="24"/>
          <w:szCs w:val="24"/>
        </w:rPr>
      </w:pPr>
    </w:p>
    <w:p w14:paraId="22E980A2" w14:textId="27EA5A3F" w:rsidR="00D478CB" w:rsidRDefault="00D478CB" w:rsidP="00F326E5">
      <w:pPr>
        <w:pStyle w:val="NoSpacing"/>
        <w:rPr>
          <w:rFonts w:ascii="Arial Black" w:hAnsi="Arial Black"/>
          <w:sz w:val="24"/>
          <w:szCs w:val="24"/>
        </w:rPr>
      </w:pPr>
      <w:r>
        <w:rPr>
          <w:rFonts w:ascii="Arial Black" w:hAnsi="Arial Black"/>
          <w:sz w:val="24"/>
          <w:szCs w:val="24"/>
        </w:rPr>
        <w:t>17-19</w:t>
      </w:r>
    </w:p>
    <w:p w14:paraId="143388E6" w14:textId="77777777" w:rsidR="00D478CB" w:rsidRPr="0066767F" w:rsidRDefault="00D478CB" w:rsidP="00D478CB">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OH: CAPTAIN NO. 1 LIST B/C – CITY DOESN’T WANT TO FILL JOB - UNION WON’T ARBITRATE – LAWSUIT DISMISSED </w:t>
      </w:r>
    </w:p>
    <w:p w14:paraId="6C2CF803" w14:textId="18179222" w:rsidR="00D478CB" w:rsidRDefault="00D478CB" w:rsidP="00D478CB">
      <w:pPr>
        <w:pStyle w:val="NoSpacing"/>
        <w:rPr>
          <w:rFonts w:ascii="Arial Black" w:hAnsi="Arial Black"/>
          <w:sz w:val="24"/>
          <w:szCs w:val="24"/>
        </w:rPr>
      </w:pPr>
      <w:r>
        <w:rPr>
          <w:rFonts w:ascii="Times New Roman" w:hAnsi="Times New Roman"/>
          <w:sz w:val="24"/>
          <w:szCs w:val="24"/>
        </w:rPr>
        <w:t xml:space="preserve">On Aug. 11, 2022, in </w:t>
      </w:r>
      <w:r w:rsidRPr="00636166">
        <w:rPr>
          <w:rFonts w:ascii="Times New Roman" w:hAnsi="Times New Roman"/>
          <w:sz w:val="24"/>
          <w:szCs w:val="24"/>
          <w:u w:val="single"/>
        </w:rPr>
        <w:t>The State Of Ohio, Ex Re. John M. Casey, et al. v. Jamael Tito Brown, et al</w:t>
      </w:r>
      <w:r>
        <w:rPr>
          <w:rFonts w:ascii="Times New Roman" w:hAnsi="Times New Roman"/>
          <w:sz w:val="24"/>
          <w:szCs w:val="24"/>
        </w:rPr>
        <w:t xml:space="preserve">., the Court of Appeals of Ohio, Seventh District (Mahoning County), </w:t>
      </w:r>
      <w:r w:rsidRPr="00636166">
        <w:rPr>
          <w:rFonts w:ascii="Times New Roman" w:eastAsia="Times New Roman" w:hAnsi="Times New Roman"/>
          <w:sz w:val="24"/>
          <w:szCs w:val="24"/>
        </w:rPr>
        <w:t>2022-Ohio-2843</w:t>
      </w:r>
      <w:r>
        <w:rPr>
          <w:rFonts w:ascii="Times New Roman" w:eastAsia="Times New Roman" w:hAnsi="Times New Roman"/>
          <w:sz w:val="24"/>
          <w:szCs w:val="24"/>
        </w:rPr>
        <w:t xml:space="preserve">, </w:t>
      </w:r>
      <w:r>
        <w:rPr>
          <w:rFonts w:ascii="Times New Roman" w:hAnsi="Times New Roman"/>
          <w:sz w:val="24"/>
          <w:szCs w:val="24"/>
        </w:rPr>
        <w:t xml:space="preserve">held (3 to 0) that the </w:t>
      </w:r>
      <w:proofErr w:type="gramStart"/>
      <w:r>
        <w:rPr>
          <w:rFonts w:ascii="Times New Roman" w:hAnsi="Times New Roman"/>
          <w:sz w:val="24"/>
          <w:szCs w:val="24"/>
        </w:rPr>
        <w:t>Captain’s</w:t>
      </w:r>
      <w:proofErr w:type="gramEnd"/>
      <w:r>
        <w:rPr>
          <w:rFonts w:ascii="Times New Roman" w:hAnsi="Times New Roman"/>
          <w:sz w:val="24"/>
          <w:szCs w:val="24"/>
        </w:rPr>
        <w:t xml:space="preserve"> taxpayer lawsuit against the City is dismissed.   Plaintiff as a </w:t>
      </w:r>
      <w:r w:rsidRPr="00E20815">
        <w:rPr>
          <w:rFonts w:ascii="Times New Roman" w:hAnsi="Times New Roman"/>
          <w:sz w:val="24"/>
          <w:szCs w:val="24"/>
        </w:rPr>
        <w:t>member of the Youngstown Professional Firefighters, IAFF, Local 312</w:t>
      </w:r>
      <w:r>
        <w:rPr>
          <w:rFonts w:ascii="Times New Roman" w:hAnsi="Times New Roman"/>
          <w:sz w:val="24"/>
          <w:szCs w:val="24"/>
        </w:rPr>
        <w:t xml:space="preserve">; Union President under CBA decides when to pursue arbitration.    Plaintiff’s so option is to file unfair labor </w:t>
      </w:r>
      <w:proofErr w:type="gramStart"/>
      <w:r>
        <w:rPr>
          <w:rFonts w:ascii="Times New Roman" w:hAnsi="Times New Roman"/>
          <w:sz w:val="24"/>
          <w:szCs w:val="24"/>
        </w:rPr>
        <w:t>charge</w:t>
      </w:r>
      <w:proofErr w:type="gramEnd"/>
      <w:r>
        <w:rPr>
          <w:rFonts w:ascii="Times New Roman" w:hAnsi="Times New Roman"/>
          <w:sz w:val="24"/>
          <w:szCs w:val="24"/>
        </w:rPr>
        <w:t xml:space="preserve"> against the union. </w:t>
      </w:r>
      <w:hyperlink r:id="rId2813" w:history="1">
        <w:r w:rsidRPr="00696C47">
          <w:rPr>
            <w:rStyle w:val="Hyperlink"/>
            <w:rFonts w:ascii="Times New Roman" w:hAnsi="Times New Roman"/>
          </w:rPr>
          <w:t>https://public.fastcase.com/J%2FJP6pdidelsXxEE4k%2BLMgRuGoPztfGYl4rgyWIW4hR9R3ye4G%2Brlx4oNbvfkD7bo5Sl3SUFyCNYsXscEScOvl5B7KBk99Bt%2FA1OCEhfyl0%3D</w:t>
        </w:r>
      </w:hyperlink>
    </w:p>
    <w:p w14:paraId="5616EA70" w14:textId="77777777" w:rsidR="00D478CB" w:rsidRPr="00E94E96" w:rsidRDefault="00D478CB" w:rsidP="00D478CB">
      <w:pPr>
        <w:spacing w:before="100" w:beforeAutospacing="1" w:after="100" w:afterAutospacing="1" w:line="240" w:lineRule="auto"/>
        <w:rPr>
          <w:rFonts w:ascii="Times New Roman" w:hAnsi="Times New Roman"/>
          <w:b/>
          <w:bCs/>
          <w:sz w:val="24"/>
          <w:szCs w:val="24"/>
        </w:rPr>
      </w:pPr>
      <w:r w:rsidRPr="00E94E96">
        <w:rPr>
          <w:rFonts w:ascii="Times New Roman" w:hAnsi="Times New Roman"/>
          <w:b/>
          <w:bCs/>
          <w:sz w:val="24"/>
          <w:szCs w:val="24"/>
        </w:rPr>
        <w:t xml:space="preserve">Legal Lesson Learned: </w:t>
      </w:r>
      <w:r>
        <w:rPr>
          <w:rFonts w:ascii="Times New Roman" w:hAnsi="Times New Roman"/>
          <w:b/>
          <w:bCs/>
          <w:sz w:val="24"/>
          <w:szCs w:val="24"/>
        </w:rPr>
        <w:t>The Union under the CBA has sole discretion on when to pursue an arbitration.</w:t>
      </w:r>
    </w:p>
    <w:p w14:paraId="5B60A40A" w14:textId="77777777" w:rsidR="00D478CB" w:rsidRDefault="00D478CB" w:rsidP="00F326E5">
      <w:pPr>
        <w:pStyle w:val="NoSpacing"/>
        <w:rPr>
          <w:rFonts w:ascii="Arial Black" w:hAnsi="Arial Black"/>
          <w:sz w:val="24"/>
          <w:szCs w:val="24"/>
        </w:rPr>
      </w:pPr>
    </w:p>
    <w:p w14:paraId="06B0936A" w14:textId="77777777" w:rsidR="00D478CB" w:rsidRDefault="00D478CB" w:rsidP="00F326E5">
      <w:pPr>
        <w:pStyle w:val="NoSpacing"/>
        <w:rPr>
          <w:rFonts w:ascii="Arial Black" w:hAnsi="Arial Black"/>
          <w:sz w:val="24"/>
          <w:szCs w:val="24"/>
        </w:rPr>
      </w:pPr>
    </w:p>
    <w:p w14:paraId="2932F533" w14:textId="2581FC16" w:rsidR="00C24A79" w:rsidRDefault="00C24A79" w:rsidP="00F326E5">
      <w:pPr>
        <w:pStyle w:val="NoSpacing"/>
        <w:rPr>
          <w:rFonts w:ascii="Arial Black" w:hAnsi="Arial Black"/>
          <w:sz w:val="24"/>
          <w:szCs w:val="24"/>
        </w:rPr>
      </w:pPr>
      <w:r>
        <w:rPr>
          <w:rFonts w:ascii="Arial Black" w:hAnsi="Arial Black"/>
          <w:sz w:val="24"/>
          <w:szCs w:val="24"/>
        </w:rPr>
        <w:t>17-18</w:t>
      </w:r>
    </w:p>
    <w:p w14:paraId="0877C9C5" w14:textId="77777777" w:rsidR="00C24A79" w:rsidRPr="007B00F4" w:rsidRDefault="00C24A79" w:rsidP="00C24A79">
      <w:pPr>
        <w:spacing w:before="100" w:beforeAutospacing="1" w:after="100" w:afterAutospacing="1" w:line="240" w:lineRule="auto"/>
        <w:rPr>
          <w:rFonts w:ascii="Arial Black" w:hAnsi="Arial Black"/>
          <w:sz w:val="28"/>
          <w:szCs w:val="28"/>
        </w:rPr>
      </w:pPr>
      <w:r>
        <w:rPr>
          <w:rFonts w:ascii="Arial Black" w:hAnsi="Arial Black"/>
          <w:sz w:val="28"/>
          <w:szCs w:val="28"/>
        </w:rPr>
        <w:t xml:space="preserve">OH: CBA IMPASSE – FACT-FINDING, ARBITRATION, COURT -16 EMS CAPTAINS WIN 2% PAY INCREASE BACK TO 2016 </w:t>
      </w:r>
    </w:p>
    <w:p w14:paraId="76844455" w14:textId="77777777" w:rsidR="00C24A79" w:rsidRPr="0039678C" w:rsidRDefault="00C24A79" w:rsidP="00C24A79">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July 21, 2022, in </w:t>
      </w:r>
      <w:r w:rsidRPr="007B00F4">
        <w:rPr>
          <w:rFonts w:ascii="Times New Roman" w:hAnsi="Times New Roman"/>
          <w:sz w:val="24"/>
          <w:szCs w:val="24"/>
          <w:u w:val="single"/>
        </w:rPr>
        <w:t>City of Cleveland v. Communication Workers Of America, Local 4340</w:t>
      </w:r>
      <w:r>
        <w:rPr>
          <w:rFonts w:ascii="Times New Roman" w:hAnsi="Times New Roman"/>
          <w:sz w:val="24"/>
          <w:szCs w:val="24"/>
        </w:rPr>
        <w:t xml:space="preserve">, the </w:t>
      </w:r>
      <w:r w:rsidRPr="007B00F4">
        <w:rPr>
          <w:rFonts w:ascii="Times New Roman" w:eastAsia="Times New Roman" w:hAnsi="Times New Roman"/>
          <w:sz w:val="24"/>
          <w:szCs w:val="24"/>
        </w:rPr>
        <w:t>Court of Appeals of Ohio, Eighth District</w:t>
      </w:r>
      <w:r>
        <w:rPr>
          <w:rFonts w:ascii="Times New Roman" w:eastAsia="Times New Roman" w:hAnsi="Times New Roman"/>
          <w:sz w:val="24"/>
          <w:szCs w:val="24"/>
        </w:rPr>
        <w:t xml:space="preserve"> (</w:t>
      </w:r>
      <w:r w:rsidRPr="007B00F4">
        <w:rPr>
          <w:rFonts w:ascii="Times New Roman" w:eastAsia="Times New Roman" w:hAnsi="Times New Roman"/>
          <w:sz w:val="24"/>
          <w:szCs w:val="24"/>
        </w:rPr>
        <w:t>Cuyahoga</w:t>
      </w:r>
      <w:r>
        <w:rPr>
          <w:rFonts w:ascii="Times New Roman" w:eastAsia="Times New Roman" w:hAnsi="Times New Roman"/>
          <w:sz w:val="24"/>
          <w:szCs w:val="24"/>
        </w:rPr>
        <w:t xml:space="preserve"> County), </w:t>
      </w:r>
      <w:r w:rsidRPr="00633DB2">
        <w:rPr>
          <w:rFonts w:ascii="Times New Roman" w:eastAsia="Times New Roman" w:hAnsi="Times New Roman"/>
          <w:sz w:val="24"/>
          <w:szCs w:val="24"/>
        </w:rPr>
        <w:t xml:space="preserve">2022-Ohio-2498, </w:t>
      </w:r>
      <w:r>
        <w:rPr>
          <w:rFonts w:ascii="Times New Roman" w:eastAsia="Times New Roman" w:hAnsi="Times New Roman"/>
          <w:sz w:val="24"/>
          <w:szCs w:val="24"/>
        </w:rPr>
        <w:t xml:space="preserve">held 3 to 0 that trial court properly upheld the arbitrator’s decision; 12 EMS Captains entitled to 2% pay increase for 2016-2019 period based on fact-finders’ Final Report.  </w:t>
      </w:r>
      <w:hyperlink r:id="rId2814" w:history="1">
        <w:r w:rsidRPr="00355029">
          <w:rPr>
            <w:rStyle w:val="Hyperlink"/>
            <w:rFonts w:ascii="Times New Roman" w:eastAsia="Times New Roman" w:hAnsi="Times New Roman"/>
            <w:sz w:val="24"/>
            <w:szCs w:val="24"/>
          </w:rPr>
          <w:t>https://www.supremecourt.ohio.gov/rod/docs/pdf/8/2022/2022-Ohio-2498.pdf</w:t>
        </w:r>
      </w:hyperlink>
      <w:r>
        <w:rPr>
          <w:rFonts w:ascii="Times New Roman" w:eastAsia="Times New Roman" w:hAnsi="Times New Roman"/>
          <w:sz w:val="24"/>
          <w:szCs w:val="24"/>
        </w:rPr>
        <w:t xml:space="preserve"> </w:t>
      </w:r>
    </w:p>
    <w:p w14:paraId="2C5FBD17" w14:textId="77777777" w:rsidR="00C24A79" w:rsidRPr="00633DB2" w:rsidRDefault="00C24A79" w:rsidP="00C24A79">
      <w:pPr>
        <w:spacing w:before="100" w:beforeAutospacing="1" w:after="100" w:afterAutospacing="1" w:line="240" w:lineRule="auto"/>
        <w:rPr>
          <w:rFonts w:ascii="Times New Roman" w:eastAsia="Times New Roman" w:hAnsi="Times New Roman"/>
          <w:b/>
          <w:bCs/>
          <w:sz w:val="24"/>
          <w:szCs w:val="24"/>
        </w:rPr>
      </w:pPr>
      <w:r w:rsidRPr="006450B8">
        <w:rPr>
          <w:rFonts w:ascii="Times New Roman" w:hAnsi="Times New Roman"/>
          <w:b/>
          <w:bCs/>
          <w:sz w:val="24"/>
          <w:szCs w:val="24"/>
        </w:rPr>
        <w:t>Legal Lesson Learned: The Ohio Revised Code provides for fact-finding for resolution of bargaining impasse</w:t>
      </w:r>
      <w:r>
        <w:rPr>
          <w:rFonts w:ascii="Times New Roman" w:hAnsi="Times New Roman"/>
          <w:b/>
          <w:bCs/>
          <w:sz w:val="24"/>
          <w:szCs w:val="24"/>
        </w:rPr>
        <w:t xml:space="preserve">; the Courts will generally uphold. </w:t>
      </w:r>
    </w:p>
    <w:p w14:paraId="4162DAFC" w14:textId="77777777" w:rsidR="00C24A79" w:rsidRDefault="00C24A79" w:rsidP="00F326E5">
      <w:pPr>
        <w:pStyle w:val="NoSpacing"/>
        <w:rPr>
          <w:rFonts w:ascii="Arial Black" w:hAnsi="Arial Black"/>
          <w:sz w:val="24"/>
          <w:szCs w:val="24"/>
        </w:rPr>
      </w:pPr>
    </w:p>
    <w:p w14:paraId="3EC24F38" w14:textId="77777777" w:rsidR="00C24A79" w:rsidRDefault="00C24A79" w:rsidP="00F326E5">
      <w:pPr>
        <w:pStyle w:val="NoSpacing"/>
        <w:rPr>
          <w:rFonts w:ascii="Arial Black" w:hAnsi="Arial Black"/>
          <w:sz w:val="24"/>
          <w:szCs w:val="24"/>
        </w:rPr>
      </w:pPr>
    </w:p>
    <w:p w14:paraId="42D1818B" w14:textId="77777777" w:rsidR="00C24A79" w:rsidRDefault="00C24A79" w:rsidP="00F326E5">
      <w:pPr>
        <w:pStyle w:val="NoSpacing"/>
        <w:rPr>
          <w:rFonts w:ascii="Arial Black" w:hAnsi="Arial Black"/>
          <w:sz w:val="24"/>
          <w:szCs w:val="24"/>
        </w:rPr>
      </w:pPr>
    </w:p>
    <w:p w14:paraId="5A7642EF" w14:textId="3F65E365" w:rsidR="00156E5D" w:rsidRDefault="00156E5D" w:rsidP="00F326E5">
      <w:pPr>
        <w:pStyle w:val="NoSpacing"/>
        <w:rPr>
          <w:rFonts w:ascii="Arial Black" w:hAnsi="Arial Black"/>
          <w:sz w:val="24"/>
          <w:szCs w:val="24"/>
        </w:rPr>
      </w:pPr>
      <w:r>
        <w:rPr>
          <w:rFonts w:ascii="Arial Black" w:hAnsi="Arial Black"/>
          <w:sz w:val="24"/>
          <w:szCs w:val="24"/>
        </w:rPr>
        <w:t>17-17</w:t>
      </w:r>
    </w:p>
    <w:p w14:paraId="29FEA5E1" w14:textId="292E7C36" w:rsidR="00156E5D" w:rsidRDefault="00156E5D" w:rsidP="00F326E5">
      <w:pPr>
        <w:pStyle w:val="NoSpacing"/>
        <w:rPr>
          <w:rFonts w:ascii="Arial Black" w:hAnsi="Arial Black"/>
          <w:sz w:val="24"/>
          <w:szCs w:val="24"/>
        </w:rPr>
      </w:pPr>
    </w:p>
    <w:p w14:paraId="34CB2E5F" w14:textId="37851BF4" w:rsidR="00156E5D" w:rsidRDefault="00156E5D" w:rsidP="00156E5D">
      <w:pPr>
        <w:rPr>
          <w:rFonts w:ascii="Arial Black" w:hAnsi="Arial Black"/>
          <w:b/>
          <w:sz w:val="24"/>
          <w:szCs w:val="24"/>
        </w:rPr>
      </w:pPr>
      <w:r>
        <w:rPr>
          <w:rFonts w:ascii="Arial Black" w:hAnsi="Arial Black"/>
          <w:b/>
          <w:sz w:val="24"/>
          <w:szCs w:val="24"/>
        </w:rPr>
        <w:t>6-92 [also filed, Chap. 6]</w:t>
      </w:r>
    </w:p>
    <w:p w14:paraId="71BEC741" w14:textId="77777777" w:rsidR="00156E5D" w:rsidRDefault="00156E5D" w:rsidP="00156E5D">
      <w:pPr>
        <w:spacing w:before="100" w:beforeAutospacing="1" w:after="100" w:afterAutospacing="1" w:line="240" w:lineRule="auto"/>
        <w:rPr>
          <w:rFonts w:ascii="Arial Black" w:eastAsia="Times New Roman" w:hAnsi="Arial Black"/>
          <w:sz w:val="28"/>
          <w:szCs w:val="28"/>
        </w:rPr>
      </w:pPr>
      <w:r>
        <w:rPr>
          <w:rFonts w:ascii="Arial Black" w:eastAsia="Times New Roman" w:hAnsi="Arial Black"/>
          <w:sz w:val="28"/>
          <w:szCs w:val="28"/>
        </w:rPr>
        <w:t xml:space="preserve">OH: FIRE CHIEF “RETIRE / REHIRE” NEXT DAY IS LAWFUL – CIVIL SERVICE POSTING JOB ONLY WHEN A “VACANCY” </w:t>
      </w:r>
    </w:p>
    <w:p w14:paraId="3EEEF329" w14:textId="77777777" w:rsidR="00156E5D" w:rsidRDefault="00156E5D" w:rsidP="00156E5D">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June 27, 2022, in </w:t>
      </w:r>
      <w:r>
        <w:rPr>
          <w:rFonts w:ascii="Times New Roman" w:hAnsi="Times New Roman"/>
          <w:sz w:val="24"/>
          <w:szCs w:val="24"/>
          <w:u w:val="single"/>
        </w:rPr>
        <w:t xml:space="preserve">State of Ohio ex re. The International Association of Fire Fighters, Local 1536, AFL-CIO v. John Barbush, In His Official Capacity </w:t>
      </w:r>
      <w:proofErr w:type="gramStart"/>
      <w:r>
        <w:rPr>
          <w:rFonts w:ascii="Times New Roman" w:hAnsi="Times New Roman"/>
          <w:sz w:val="24"/>
          <w:szCs w:val="24"/>
          <w:u w:val="single"/>
        </w:rPr>
        <w:t>As</w:t>
      </w:r>
      <w:proofErr w:type="gramEnd"/>
      <w:r>
        <w:rPr>
          <w:rFonts w:ascii="Times New Roman" w:hAnsi="Times New Roman"/>
          <w:sz w:val="24"/>
          <w:szCs w:val="24"/>
          <w:u w:val="single"/>
        </w:rPr>
        <w:t xml:space="preserve"> Maor </w:t>
      </w:r>
      <w:proofErr w:type="gramStart"/>
      <w:r>
        <w:rPr>
          <w:rFonts w:ascii="Times New Roman" w:hAnsi="Times New Roman"/>
          <w:sz w:val="24"/>
          <w:szCs w:val="24"/>
          <w:u w:val="single"/>
        </w:rPr>
        <w:t>And</w:t>
      </w:r>
      <w:proofErr w:type="gramEnd"/>
      <w:r>
        <w:rPr>
          <w:rFonts w:ascii="Times New Roman" w:hAnsi="Times New Roman"/>
          <w:sz w:val="24"/>
          <w:szCs w:val="24"/>
          <w:u w:val="single"/>
        </w:rPr>
        <w:t xml:space="preserve"> Director </w:t>
      </w:r>
      <w:proofErr w:type="gramStart"/>
      <w:r>
        <w:rPr>
          <w:rFonts w:ascii="Times New Roman" w:hAnsi="Times New Roman"/>
          <w:sz w:val="24"/>
          <w:szCs w:val="24"/>
          <w:u w:val="single"/>
        </w:rPr>
        <w:t>Of</w:t>
      </w:r>
      <w:proofErr w:type="gramEnd"/>
      <w:r>
        <w:rPr>
          <w:rFonts w:ascii="Times New Roman" w:hAnsi="Times New Roman"/>
          <w:sz w:val="24"/>
          <w:szCs w:val="24"/>
          <w:u w:val="single"/>
        </w:rPr>
        <w:t xml:space="preserve"> Public Safety, et. al., and James G. Powers</w:t>
      </w:r>
      <w:r>
        <w:rPr>
          <w:rFonts w:ascii="Times New Roman" w:hAnsi="Times New Roman"/>
          <w:sz w:val="24"/>
          <w:szCs w:val="24"/>
        </w:rPr>
        <w:t xml:space="preserve">, the Court of Appeals of Ohio, Eleventh District (Lake County), held (2 to 1) that trial court properly held that there was no “vacancy” in the Fire Chiefs position since he retired on Jan. 6, 2020, and was rehired the next day. Local 1536 argued [and the Dissenting Judge agreed] that the position should have been </w:t>
      </w:r>
      <w:proofErr w:type="gramStart"/>
      <w:r>
        <w:rPr>
          <w:rFonts w:ascii="Times New Roman" w:hAnsi="Times New Roman"/>
          <w:sz w:val="24"/>
          <w:szCs w:val="24"/>
        </w:rPr>
        <w:t>submitted</w:t>
      </w:r>
      <w:proofErr w:type="gramEnd"/>
      <w:r>
        <w:rPr>
          <w:rFonts w:ascii="Times New Roman" w:hAnsi="Times New Roman"/>
          <w:sz w:val="24"/>
          <w:szCs w:val="24"/>
        </w:rPr>
        <w:t xml:space="preserve"> the City’s Civil Service Commission, and the position filled through a competitive promotional examination process where four Captains were eligible to apply. </w:t>
      </w:r>
      <w:hyperlink r:id="rId2815" w:history="1">
        <w:r>
          <w:rPr>
            <w:rStyle w:val="Hyperlink"/>
            <w:sz w:val="24"/>
            <w:szCs w:val="24"/>
          </w:rPr>
          <w:t>https://www.leagle.com/decision/inohco20220627386</w:t>
        </w:r>
      </w:hyperlink>
      <w:r>
        <w:rPr>
          <w:rFonts w:ascii="Times New Roman" w:hAnsi="Times New Roman"/>
          <w:sz w:val="24"/>
          <w:szCs w:val="24"/>
        </w:rPr>
        <w:t xml:space="preserve"> </w:t>
      </w:r>
    </w:p>
    <w:p w14:paraId="6FF3511F" w14:textId="77777777" w:rsidR="00156E5D" w:rsidRDefault="00156E5D" w:rsidP="00156E5D">
      <w:pPr>
        <w:spacing w:before="100" w:beforeAutospacing="1" w:after="100" w:afterAutospacing="1" w:line="240" w:lineRule="auto"/>
        <w:rPr>
          <w:rFonts w:ascii="Times New Roman" w:eastAsia="Times New Roman" w:hAnsi="Times New Roman"/>
          <w:b/>
          <w:bCs/>
          <w:sz w:val="24"/>
          <w:szCs w:val="24"/>
        </w:rPr>
      </w:pPr>
      <w:r>
        <w:rPr>
          <w:rFonts w:ascii="Times New Roman" w:hAnsi="Times New Roman"/>
          <w:b/>
          <w:bCs/>
          <w:sz w:val="24"/>
          <w:szCs w:val="24"/>
        </w:rPr>
        <w:t xml:space="preserve">Legal Lesson Learned: In Ohio, other fire chiefs have also done “retire / rehire.” </w:t>
      </w:r>
    </w:p>
    <w:p w14:paraId="647BFB4F" w14:textId="77777777" w:rsidR="00156E5D" w:rsidRPr="00102BDF" w:rsidRDefault="00156E5D" w:rsidP="00156E5D">
      <w:pPr>
        <w:pStyle w:val="Heading1"/>
        <w:ind w:left="720"/>
        <w:rPr>
          <w:b w:val="0"/>
          <w:bCs w:val="0"/>
          <w:sz w:val="24"/>
          <w:szCs w:val="24"/>
        </w:rPr>
      </w:pPr>
      <w:r w:rsidRPr="00102BDF">
        <w:rPr>
          <w:b w:val="0"/>
          <w:bCs w:val="0"/>
          <w:sz w:val="24"/>
          <w:szCs w:val="24"/>
        </w:rPr>
        <w:t xml:space="preserve">For example, see: “Fairfield able to rehire retired fire chief” (March 15, 2011): </w:t>
      </w:r>
      <w:hyperlink r:id="rId2816" w:history="1">
        <w:r w:rsidRPr="00102BDF">
          <w:rPr>
            <w:rStyle w:val="Hyperlink"/>
            <w:b w:val="0"/>
            <w:bCs w:val="0"/>
            <w:sz w:val="24"/>
            <w:szCs w:val="24"/>
          </w:rPr>
          <w:t>https://www.journal-news.com/news/local/fairfield-able-rehire-retired-fire-chief/JMPkJQCqJ2eIDqbu2eI8RK/</w:t>
        </w:r>
      </w:hyperlink>
      <w:r w:rsidRPr="00102BDF">
        <w:rPr>
          <w:b w:val="0"/>
          <w:bCs w:val="0"/>
          <w:sz w:val="24"/>
          <w:szCs w:val="24"/>
        </w:rPr>
        <w:t xml:space="preserve"> </w:t>
      </w:r>
    </w:p>
    <w:p w14:paraId="0364F905" w14:textId="77777777" w:rsidR="00156E5D" w:rsidRPr="00102BDF" w:rsidRDefault="00156E5D" w:rsidP="00156E5D">
      <w:pPr>
        <w:pStyle w:val="Heading1"/>
        <w:ind w:left="720"/>
        <w:rPr>
          <w:b w:val="0"/>
          <w:bCs w:val="0"/>
          <w:sz w:val="24"/>
          <w:szCs w:val="24"/>
        </w:rPr>
      </w:pPr>
      <w:r w:rsidRPr="00102BDF">
        <w:rPr>
          <w:b w:val="0"/>
          <w:bCs w:val="0"/>
          <w:sz w:val="24"/>
          <w:szCs w:val="24"/>
        </w:rPr>
        <w:t xml:space="preserve">“West Carrollton to rehire fire chief after Valentine’s week retirement” (Feb. 13, 2019): </w:t>
      </w:r>
      <w:hyperlink r:id="rId2817" w:history="1">
        <w:r w:rsidRPr="00102BDF">
          <w:rPr>
            <w:rStyle w:val="Hyperlink"/>
            <w:b w:val="0"/>
            <w:bCs w:val="0"/>
            <w:sz w:val="24"/>
            <w:szCs w:val="24"/>
          </w:rPr>
          <w:t>https://www.daytondailynews.com/news/west-carrollton-rehire-fire-chief-after-valentine-week-retirement/XSsYoJpSmxdkIIZtoGUpzJ/</w:t>
        </w:r>
      </w:hyperlink>
      <w:r w:rsidRPr="00102BDF">
        <w:rPr>
          <w:b w:val="0"/>
          <w:bCs w:val="0"/>
          <w:sz w:val="24"/>
          <w:szCs w:val="24"/>
        </w:rPr>
        <w:t xml:space="preserve"> </w:t>
      </w:r>
    </w:p>
    <w:p w14:paraId="53B1D6D5" w14:textId="77777777" w:rsidR="00156E5D" w:rsidRDefault="00156E5D" w:rsidP="00156E5D">
      <w:pPr>
        <w:rPr>
          <w:rFonts w:ascii="Arial Black" w:hAnsi="Arial Black"/>
          <w:b/>
          <w:sz w:val="24"/>
          <w:szCs w:val="24"/>
        </w:rPr>
      </w:pPr>
    </w:p>
    <w:p w14:paraId="688B950C" w14:textId="77777777" w:rsidR="00156E5D" w:rsidRDefault="00156E5D" w:rsidP="00156E5D">
      <w:pPr>
        <w:rPr>
          <w:rFonts w:ascii="Arial Black" w:hAnsi="Arial Black"/>
          <w:b/>
          <w:sz w:val="24"/>
          <w:szCs w:val="24"/>
        </w:rPr>
      </w:pPr>
    </w:p>
    <w:p w14:paraId="775FE46D" w14:textId="77777777" w:rsidR="00156E5D" w:rsidRDefault="00156E5D" w:rsidP="00F326E5">
      <w:pPr>
        <w:pStyle w:val="NoSpacing"/>
        <w:rPr>
          <w:rFonts w:ascii="Arial Black" w:hAnsi="Arial Black"/>
          <w:sz w:val="24"/>
          <w:szCs w:val="24"/>
        </w:rPr>
      </w:pPr>
    </w:p>
    <w:p w14:paraId="4C0DB81D" w14:textId="77777777" w:rsidR="00156E5D" w:rsidRDefault="00156E5D" w:rsidP="00F326E5">
      <w:pPr>
        <w:pStyle w:val="NoSpacing"/>
        <w:rPr>
          <w:rFonts w:ascii="Arial Black" w:hAnsi="Arial Black"/>
          <w:sz w:val="24"/>
          <w:szCs w:val="24"/>
        </w:rPr>
      </w:pPr>
    </w:p>
    <w:p w14:paraId="2060F756" w14:textId="05F2BB72" w:rsidR="009579EB" w:rsidRDefault="009579EB" w:rsidP="00F326E5">
      <w:pPr>
        <w:pStyle w:val="NoSpacing"/>
        <w:rPr>
          <w:rFonts w:ascii="Arial Black" w:hAnsi="Arial Black"/>
          <w:sz w:val="24"/>
          <w:szCs w:val="24"/>
        </w:rPr>
      </w:pPr>
      <w:r>
        <w:rPr>
          <w:rFonts w:ascii="Arial Black" w:hAnsi="Arial Black"/>
          <w:sz w:val="24"/>
          <w:szCs w:val="24"/>
        </w:rPr>
        <w:t>17-16</w:t>
      </w:r>
    </w:p>
    <w:p w14:paraId="70E76EA8" w14:textId="77777777" w:rsidR="009579EB" w:rsidRPr="003E559C" w:rsidRDefault="009579EB" w:rsidP="009579EB">
      <w:pPr>
        <w:spacing w:before="100" w:beforeAutospacing="1" w:after="100" w:afterAutospacing="1" w:line="240" w:lineRule="auto"/>
        <w:rPr>
          <w:rFonts w:ascii="Arial Black" w:hAnsi="Arial Black"/>
          <w:sz w:val="28"/>
          <w:szCs w:val="28"/>
        </w:rPr>
      </w:pPr>
      <w:r>
        <w:rPr>
          <w:rFonts w:ascii="Arial Black" w:hAnsi="Arial Black"/>
          <w:sz w:val="28"/>
          <w:szCs w:val="28"/>
        </w:rPr>
        <w:t>NY: NEW SICK LEAVE POLICY – FD MUST BARGAIN - DOCTOR’S NOTE AFTER 2 WORKDAYS SICK, WAS 3 DAYS</w:t>
      </w:r>
    </w:p>
    <w:p w14:paraId="798D245B" w14:textId="77777777" w:rsidR="009579EB" w:rsidRPr="003E559C" w:rsidRDefault="009579EB" w:rsidP="009579EB">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On May 25, 2022, in </w:t>
      </w:r>
      <w:r w:rsidRPr="003E559C">
        <w:rPr>
          <w:rFonts w:ascii="Times New Roman" w:eastAsia="Times New Roman" w:hAnsi="Times New Roman"/>
          <w:sz w:val="24"/>
          <w:szCs w:val="24"/>
        </w:rPr>
        <w:t xml:space="preserve">the </w:t>
      </w:r>
      <w:r w:rsidRPr="003E559C">
        <w:rPr>
          <w:rFonts w:ascii="Times New Roman" w:eastAsia="Times New Roman" w:hAnsi="Times New Roman"/>
          <w:sz w:val="24"/>
          <w:szCs w:val="24"/>
          <w:u w:val="single"/>
        </w:rPr>
        <w:t>Matter of Village of Scarsdale v. New York State Public Employment Relations Board, et al</w:t>
      </w:r>
      <w:r w:rsidRPr="003E559C">
        <w:rPr>
          <w:rFonts w:ascii="Times New Roman" w:eastAsia="Times New Roman" w:hAnsi="Times New Roman"/>
          <w:sz w:val="24"/>
          <w:szCs w:val="24"/>
        </w:rPr>
        <w:t>.</w:t>
      </w:r>
      <w:r>
        <w:rPr>
          <w:rFonts w:ascii="Times New Roman" w:eastAsia="Times New Roman" w:hAnsi="Times New Roman"/>
          <w:b/>
          <w:bCs/>
          <w:sz w:val="24"/>
          <w:szCs w:val="24"/>
        </w:rPr>
        <w:t xml:space="preserve">, </w:t>
      </w:r>
      <w:r w:rsidRPr="009155CF">
        <w:rPr>
          <w:rFonts w:ascii="Times New Roman" w:eastAsia="Times New Roman" w:hAnsi="Times New Roman"/>
          <w:sz w:val="24"/>
          <w:szCs w:val="24"/>
        </w:rPr>
        <w:t>2022 NY Slip Op 03392,</w:t>
      </w:r>
      <w:r>
        <w:rPr>
          <w:rFonts w:ascii="Times New Roman" w:eastAsia="Times New Roman" w:hAnsi="Times New Roman"/>
          <w:b/>
          <w:bCs/>
          <w:sz w:val="24"/>
          <w:szCs w:val="24"/>
        </w:rPr>
        <w:t xml:space="preserve"> </w:t>
      </w:r>
      <w:r w:rsidRPr="003E559C">
        <w:rPr>
          <w:rFonts w:ascii="Times New Roman" w:eastAsia="Times New Roman" w:hAnsi="Times New Roman"/>
          <w:sz w:val="24"/>
          <w:szCs w:val="24"/>
        </w:rPr>
        <w:t>the</w:t>
      </w:r>
      <w:r>
        <w:rPr>
          <w:rFonts w:ascii="Times New Roman" w:eastAsia="Times New Roman" w:hAnsi="Times New Roman"/>
          <w:b/>
          <w:bCs/>
          <w:sz w:val="24"/>
          <w:szCs w:val="24"/>
        </w:rPr>
        <w:t xml:space="preserve"> </w:t>
      </w:r>
      <w:r w:rsidRPr="003E559C">
        <w:rPr>
          <w:rFonts w:ascii="Times New Roman" w:eastAsia="Times New Roman" w:hAnsi="Times New Roman"/>
          <w:sz w:val="24"/>
          <w:szCs w:val="24"/>
        </w:rPr>
        <w:t>Supreme Court of New York, Second Department, held</w:t>
      </w:r>
      <w:r>
        <w:rPr>
          <w:rFonts w:ascii="Times New Roman" w:eastAsia="Times New Roman" w:hAnsi="Times New Roman"/>
          <w:b/>
          <w:bCs/>
          <w:sz w:val="24"/>
          <w:szCs w:val="24"/>
        </w:rPr>
        <w:t xml:space="preserve"> </w:t>
      </w:r>
      <w:r w:rsidRPr="009155CF">
        <w:rPr>
          <w:rFonts w:ascii="Times New Roman" w:eastAsia="Times New Roman" w:hAnsi="Times New Roman"/>
          <w:sz w:val="24"/>
          <w:szCs w:val="24"/>
        </w:rPr>
        <w:t>(4 to 0)</w:t>
      </w:r>
      <w:r>
        <w:rPr>
          <w:rFonts w:ascii="Times New Roman" w:eastAsia="Times New Roman" w:hAnsi="Times New Roman"/>
          <w:b/>
          <w:bCs/>
          <w:sz w:val="24"/>
          <w:szCs w:val="24"/>
        </w:rPr>
        <w:t xml:space="preserve"> </w:t>
      </w:r>
      <w:r>
        <w:rPr>
          <w:rFonts w:ascii="Times New Roman" w:eastAsia="Times New Roman" w:hAnsi="Times New Roman"/>
          <w:sz w:val="24"/>
          <w:szCs w:val="24"/>
        </w:rPr>
        <w:t xml:space="preserve">that the Board properly held that the new “Sick Leave Management Program” (SLMP) was a change in work conditions that must be bargained, including (a) doctor’s note after 2 missed work days, rather than three work days; (b) new rules on off-duty employment on sick leave; (c) eligibility for voluntary overtime; (d) quarterly and annual counseling for excessive sick leave. </w:t>
      </w:r>
      <w:hyperlink r:id="rId2818" w:history="1">
        <w:r w:rsidRPr="00682519">
          <w:rPr>
            <w:rStyle w:val="Hyperlink"/>
            <w:rFonts w:ascii="Times New Roman" w:eastAsia="Times New Roman" w:hAnsi="Times New Roman"/>
            <w:sz w:val="24"/>
            <w:szCs w:val="24"/>
          </w:rPr>
          <w:t>https://public.fastcase.com/waZtJvSA54UAurM2rmIZzyOaN7WzTWghSlgppuqvnsAjPkds9FfvjtUo5GbcF9G%2FNhiGhSGO5JepPmFj8bD%2B4C9gVbj%2FhO0NJpef3auh%2BAw%3D</w:t>
        </w:r>
      </w:hyperlink>
      <w:r>
        <w:rPr>
          <w:rFonts w:ascii="Times New Roman" w:eastAsia="Times New Roman" w:hAnsi="Times New Roman"/>
          <w:sz w:val="24"/>
          <w:szCs w:val="24"/>
        </w:rPr>
        <w:t xml:space="preserve"> </w:t>
      </w:r>
    </w:p>
    <w:p w14:paraId="128AB0A9" w14:textId="77777777" w:rsidR="009579EB" w:rsidRPr="00514E42" w:rsidRDefault="009579EB" w:rsidP="009579EB">
      <w:pPr>
        <w:spacing w:before="100" w:beforeAutospacing="1" w:after="100" w:afterAutospacing="1" w:line="240" w:lineRule="auto"/>
        <w:rPr>
          <w:rFonts w:ascii="Times New Roman" w:hAnsi="Times New Roman"/>
          <w:b/>
          <w:bCs/>
          <w:sz w:val="24"/>
          <w:szCs w:val="24"/>
        </w:rPr>
      </w:pPr>
      <w:r w:rsidRPr="00514E42">
        <w:rPr>
          <w:rFonts w:ascii="Times New Roman" w:hAnsi="Times New Roman"/>
          <w:b/>
          <w:bCs/>
          <w:sz w:val="24"/>
          <w:szCs w:val="24"/>
        </w:rPr>
        <w:t xml:space="preserve">Legal Lesson Learned: </w:t>
      </w:r>
      <w:r>
        <w:rPr>
          <w:rFonts w:ascii="Times New Roman" w:hAnsi="Times New Roman"/>
          <w:b/>
          <w:bCs/>
          <w:sz w:val="24"/>
          <w:szCs w:val="24"/>
        </w:rPr>
        <w:t xml:space="preserve">Under New York law, these substantial changes in sick leave policy had to be collectively bargained. </w:t>
      </w:r>
    </w:p>
    <w:p w14:paraId="00F2596B" w14:textId="77777777" w:rsidR="009579EB" w:rsidRDefault="009579EB" w:rsidP="00F326E5">
      <w:pPr>
        <w:pStyle w:val="NoSpacing"/>
        <w:rPr>
          <w:rFonts w:ascii="Arial Black" w:hAnsi="Arial Black"/>
          <w:sz w:val="24"/>
          <w:szCs w:val="24"/>
        </w:rPr>
      </w:pPr>
    </w:p>
    <w:p w14:paraId="35FD0ED8" w14:textId="77777777" w:rsidR="009579EB" w:rsidRDefault="009579EB" w:rsidP="00F326E5">
      <w:pPr>
        <w:pStyle w:val="NoSpacing"/>
        <w:rPr>
          <w:rFonts w:ascii="Arial Black" w:hAnsi="Arial Black"/>
          <w:sz w:val="24"/>
          <w:szCs w:val="24"/>
        </w:rPr>
      </w:pPr>
    </w:p>
    <w:p w14:paraId="5AA53551" w14:textId="31BB9909" w:rsidR="009579EB" w:rsidRDefault="009579EB" w:rsidP="00F326E5">
      <w:pPr>
        <w:pStyle w:val="NoSpacing"/>
        <w:rPr>
          <w:rFonts w:ascii="Arial Black" w:hAnsi="Arial Black"/>
          <w:sz w:val="24"/>
          <w:szCs w:val="24"/>
        </w:rPr>
      </w:pPr>
      <w:r>
        <w:rPr>
          <w:rFonts w:ascii="Arial Black" w:hAnsi="Arial Black"/>
          <w:sz w:val="24"/>
          <w:szCs w:val="24"/>
        </w:rPr>
        <w:t>17-15</w:t>
      </w:r>
    </w:p>
    <w:p w14:paraId="5A426956" w14:textId="77777777" w:rsidR="009579EB" w:rsidRDefault="009579EB" w:rsidP="00F326E5">
      <w:pPr>
        <w:pStyle w:val="NoSpacing"/>
        <w:rPr>
          <w:rFonts w:ascii="Arial Black" w:hAnsi="Arial Black"/>
          <w:sz w:val="24"/>
          <w:szCs w:val="24"/>
        </w:rPr>
      </w:pPr>
    </w:p>
    <w:p w14:paraId="1E0818D0" w14:textId="77777777" w:rsidR="00E13917" w:rsidRDefault="00E13917" w:rsidP="00E13917">
      <w:pPr>
        <w:spacing w:before="100" w:beforeAutospacing="1" w:after="100" w:afterAutospacing="1" w:line="240" w:lineRule="auto"/>
        <w:rPr>
          <w:rStyle w:val="markedcontent"/>
          <w:rFonts w:ascii="Arial Black" w:hAnsi="Arial Black" w:cs="Arial"/>
          <w:sz w:val="28"/>
          <w:szCs w:val="28"/>
        </w:rPr>
      </w:pPr>
      <w:r>
        <w:rPr>
          <w:rStyle w:val="markedcontent"/>
          <w:rFonts w:ascii="Arial Black" w:hAnsi="Arial Black" w:cs="Arial"/>
          <w:sz w:val="28"/>
          <w:szCs w:val="28"/>
        </w:rPr>
        <w:t>FL: IAFF PRESIDENT, 2 LTs – RETALIATION - AFTER UNFAIR LABOR CHARGE - ANNUAL PHYSICALS OMITTED KEY TESTS</w:t>
      </w:r>
    </w:p>
    <w:p w14:paraId="37ACB2B0" w14:textId="77777777" w:rsidR="00E13917" w:rsidRPr="00AA23CE" w:rsidRDefault="00E13917" w:rsidP="00E13917">
      <w:pPr>
        <w:spacing w:before="100" w:beforeAutospacing="1" w:after="100" w:afterAutospacing="1" w:line="240" w:lineRule="auto"/>
        <w:rPr>
          <w:rStyle w:val="markedcontent"/>
          <w:rFonts w:ascii="Times New Roman" w:hAnsi="Times New Roman"/>
          <w:sz w:val="24"/>
          <w:szCs w:val="24"/>
        </w:rPr>
      </w:pPr>
      <w:r>
        <w:rPr>
          <w:rStyle w:val="markedcontent"/>
          <w:rFonts w:ascii="Times New Roman" w:hAnsi="Times New Roman"/>
          <w:sz w:val="24"/>
          <w:szCs w:val="24"/>
        </w:rPr>
        <w:t xml:space="preserve">On May 19, 2022, in </w:t>
      </w:r>
      <w:r w:rsidRPr="007529E0">
        <w:rPr>
          <w:rStyle w:val="markedcontent"/>
          <w:rFonts w:ascii="Times New Roman" w:hAnsi="Times New Roman"/>
          <w:sz w:val="24"/>
          <w:szCs w:val="24"/>
          <w:u w:val="single"/>
        </w:rPr>
        <w:t>Lakeland Profession Firefighters Local 4173 v. City of Lakeland</w:t>
      </w:r>
      <w:r>
        <w:rPr>
          <w:rStyle w:val="markedcontent"/>
          <w:rFonts w:ascii="Times New Roman" w:hAnsi="Times New Roman"/>
          <w:sz w:val="24"/>
          <w:szCs w:val="24"/>
        </w:rPr>
        <w:t xml:space="preserve">, Hearing Officer Robert W. Hanson with the State of Florida Public Employees Relations Commission, after a hearing, issued a Recommended Order that the FD: (a) immediately rescind the written reprimand issued against Union President Shannon Turbeville; (b) expunge all personnel files concerning the reprimand; (c) immediately return two Lieutenants, Matthew Burns and Michael Gilman, to their original stations; (d) pay the Union’s attorney fees.  The Union President was reprimanded after he asked to bargain over why Life Span company, that provided annual physicals were omitting testing required under CBA and NFPA 1582.  </w:t>
      </w:r>
      <w:r w:rsidRPr="00AA23CE">
        <w:rPr>
          <w:rStyle w:val="markedcontent"/>
          <w:rFonts w:ascii="Times New Roman" w:hAnsi="Times New Roman"/>
          <w:sz w:val="24"/>
          <w:szCs w:val="24"/>
        </w:rPr>
        <w:t xml:space="preserve">“The omitted tests and screenings included a chest x-ray, various cancer screenings, a tuberculosis skin test, a pulmonary function test, and infectious disease screenings.” </w:t>
      </w:r>
      <w:hyperlink r:id="rId2819" w:history="1">
        <w:r w:rsidRPr="00682519">
          <w:rPr>
            <w:rStyle w:val="Hyperlink"/>
            <w:rFonts w:ascii="Times New Roman" w:hAnsi="Times New Roman"/>
            <w:sz w:val="24"/>
            <w:szCs w:val="24"/>
          </w:rPr>
          <w:t>http://perc.myflorida.com/download.aspx/Prefix=CA/CaseYr=21/CaseNo=012/File=CA21012_Ord10_05192022_163540.pdf</w:t>
        </w:r>
      </w:hyperlink>
      <w:r>
        <w:rPr>
          <w:rStyle w:val="markedcontent"/>
          <w:rFonts w:ascii="Times New Roman" w:hAnsi="Times New Roman"/>
          <w:sz w:val="24"/>
          <w:szCs w:val="24"/>
        </w:rPr>
        <w:t xml:space="preserve"> </w:t>
      </w:r>
    </w:p>
    <w:p w14:paraId="17627867" w14:textId="77777777" w:rsidR="00E13917" w:rsidRPr="00370437" w:rsidRDefault="00E13917" w:rsidP="00E13917">
      <w:pPr>
        <w:spacing w:before="100" w:beforeAutospacing="1" w:after="100" w:afterAutospacing="1" w:line="240" w:lineRule="auto"/>
        <w:rPr>
          <w:rStyle w:val="markedcontent"/>
          <w:rFonts w:ascii="Times New Roman" w:hAnsi="Times New Roman"/>
          <w:b/>
          <w:bCs/>
          <w:sz w:val="24"/>
          <w:szCs w:val="24"/>
        </w:rPr>
      </w:pPr>
      <w:r w:rsidRPr="00370437">
        <w:rPr>
          <w:rStyle w:val="markedcontent"/>
          <w:rFonts w:ascii="Times New Roman" w:hAnsi="Times New Roman"/>
          <w:b/>
          <w:bCs/>
          <w:sz w:val="24"/>
          <w:szCs w:val="24"/>
        </w:rPr>
        <w:t xml:space="preserve">Legal Lesson Learned: </w:t>
      </w:r>
      <w:r>
        <w:rPr>
          <w:rStyle w:val="markedcontent"/>
          <w:rFonts w:ascii="Times New Roman" w:hAnsi="Times New Roman"/>
          <w:b/>
          <w:bCs/>
          <w:sz w:val="24"/>
          <w:szCs w:val="24"/>
        </w:rPr>
        <w:t xml:space="preserve">Retaliation for lawful Union activities is a serious charge; transferring a Lt. 18 days after he submitted a sworn statement in support of Union President’s unfair labor charge is very questionable management decision. The City may decide to appeal to the full Commission. </w:t>
      </w:r>
    </w:p>
    <w:p w14:paraId="31CDAF41" w14:textId="37B1D711" w:rsidR="00E13917" w:rsidRDefault="00E13917" w:rsidP="00E13917">
      <w:pPr>
        <w:pStyle w:val="NoSpacing"/>
        <w:rPr>
          <w:rFonts w:ascii="Arial Black" w:hAnsi="Arial Black"/>
          <w:sz w:val="24"/>
          <w:szCs w:val="24"/>
        </w:rPr>
      </w:pPr>
      <w:r w:rsidRPr="00882956">
        <w:rPr>
          <w:rStyle w:val="markedcontent"/>
          <w:sz w:val="24"/>
          <w:szCs w:val="24"/>
        </w:rPr>
        <w:t xml:space="preserve">Note: See May 20, </w:t>
      </w:r>
      <w:proofErr w:type="gramStart"/>
      <w:r w:rsidRPr="00882956">
        <w:rPr>
          <w:rStyle w:val="markedcontent"/>
          <w:sz w:val="24"/>
          <w:szCs w:val="24"/>
        </w:rPr>
        <w:t>2022</w:t>
      </w:r>
      <w:proofErr w:type="gramEnd"/>
      <w:r w:rsidRPr="00882956">
        <w:rPr>
          <w:rStyle w:val="markedcontent"/>
          <w:sz w:val="24"/>
          <w:szCs w:val="24"/>
        </w:rPr>
        <w:t xml:space="preserve"> article, “</w:t>
      </w:r>
      <w:r w:rsidRPr="00882956">
        <w:rPr>
          <w:sz w:val="24"/>
          <w:szCs w:val="24"/>
        </w:rPr>
        <w:t>Lakeland cited for unfair labor practices in retaliation against fire department employees.”</w:t>
      </w:r>
      <w:r>
        <w:t xml:space="preserve"> </w:t>
      </w:r>
      <w:hyperlink r:id="rId2820" w:history="1">
        <w:r w:rsidRPr="00882956">
          <w:rPr>
            <w:rStyle w:val="Hyperlink"/>
            <w:sz w:val="24"/>
            <w:szCs w:val="24"/>
          </w:rPr>
          <w:t>https://www.theledger.com/story/news/local/2022/05/20/lakeland-fire-department-leaders-retaliated-against-union-members-commission-says/9852984002/?mc_cid=a677467851&amp;mc_eid=3f2d24c371</w:t>
        </w:r>
      </w:hyperlink>
    </w:p>
    <w:p w14:paraId="5132440A" w14:textId="77777777" w:rsidR="00E13917" w:rsidRDefault="00E13917" w:rsidP="00F326E5">
      <w:pPr>
        <w:pStyle w:val="NoSpacing"/>
        <w:rPr>
          <w:rFonts w:ascii="Arial Black" w:hAnsi="Arial Black"/>
          <w:sz w:val="24"/>
          <w:szCs w:val="24"/>
        </w:rPr>
      </w:pPr>
    </w:p>
    <w:p w14:paraId="28173990" w14:textId="77777777" w:rsidR="00E13917" w:rsidRDefault="00E13917" w:rsidP="00F326E5">
      <w:pPr>
        <w:pStyle w:val="NoSpacing"/>
        <w:rPr>
          <w:rFonts w:ascii="Arial Black" w:hAnsi="Arial Black"/>
          <w:sz w:val="24"/>
          <w:szCs w:val="24"/>
        </w:rPr>
      </w:pPr>
    </w:p>
    <w:p w14:paraId="27B723B1" w14:textId="106905FB" w:rsidR="007F5C26" w:rsidRDefault="007F5C26" w:rsidP="00F326E5">
      <w:pPr>
        <w:pStyle w:val="NoSpacing"/>
        <w:rPr>
          <w:rFonts w:ascii="Arial Black" w:hAnsi="Arial Black"/>
          <w:sz w:val="24"/>
          <w:szCs w:val="24"/>
        </w:rPr>
      </w:pPr>
      <w:r>
        <w:rPr>
          <w:rFonts w:ascii="Arial Black" w:hAnsi="Arial Black"/>
          <w:sz w:val="24"/>
          <w:szCs w:val="24"/>
        </w:rPr>
        <w:t>17-14</w:t>
      </w:r>
    </w:p>
    <w:p w14:paraId="497D7230" w14:textId="77777777" w:rsidR="007F5C26" w:rsidRPr="00BB59F3" w:rsidRDefault="007F5C26" w:rsidP="007F5C26">
      <w:pPr>
        <w:spacing w:before="100" w:beforeAutospacing="1" w:after="100" w:afterAutospacing="1" w:line="240" w:lineRule="auto"/>
        <w:rPr>
          <w:rFonts w:ascii="Arial Black" w:eastAsia="Times New Roman" w:hAnsi="Arial Black"/>
          <w:b/>
          <w:bCs/>
          <w:sz w:val="28"/>
          <w:szCs w:val="28"/>
        </w:rPr>
      </w:pPr>
      <w:bookmarkStart w:id="632" w:name="_Hlk99462812"/>
      <w:r w:rsidRPr="00BB59F3">
        <w:rPr>
          <w:rFonts w:ascii="Arial Black" w:eastAsia="Times New Roman" w:hAnsi="Arial Black"/>
          <w:b/>
          <w:bCs/>
          <w:sz w:val="28"/>
          <w:szCs w:val="28"/>
        </w:rPr>
        <w:t xml:space="preserve">IN: IAFF </w:t>
      </w:r>
      <w:r>
        <w:rPr>
          <w:rFonts w:ascii="Arial Black" w:eastAsia="Times New Roman" w:hAnsi="Arial Black"/>
          <w:b/>
          <w:bCs/>
          <w:sz w:val="28"/>
          <w:szCs w:val="28"/>
        </w:rPr>
        <w:t xml:space="preserve">LOCAL </w:t>
      </w:r>
      <w:r w:rsidRPr="00BB59F3">
        <w:rPr>
          <w:rFonts w:ascii="Arial Black" w:eastAsia="Times New Roman" w:hAnsi="Arial Black"/>
          <w:b/>
          <w:bCs/>
          <w:sz w:val="28"/>
          <w:szCs w:val="28"/>
        </w:rPr>
        <w:t>GETS INJUNCTION – SHIFTS</w:t>
      </w:r>
      <w:r>
        <w:rPr>
          <w:rFonts w:ascii="Arial Black" w:eastAsia="Times New Roman" w:hAnsi="Arial Black"/>
          <w:b/>
          <w:bCs/>
          <w:sz w:val="28"/>
          <w:szCs w:val="28"/>
        </w:rPr>
        <w:t xml:space="preserve"> CHANGED 8/24 - </w:t>
      </w:r>
      <w:r w:rsidRPr="00BB59F3">
        <w:rPr>
          <w:rFonts w:ascii="Arial Black" w:eastAsia="Times New Roman" w:hAnsi="Arial Black"/>
          <w:b/>
          <w:bCs/>
          <w:sz w:val="28"/>
          <w:szCs w:val="28"/>
        </w:rPr>
        <w:t xml:space="preserve">RETALIATION </w:t>
      </w:r>
      <w:r>
        <w:rPr>
          <w:rFonts w:ascii="Arial Black" w:eastAsia="Times New Roman" w:hAnsi="Arial Black"/>
          <w:b/>
          <w:bCs/>
          <w:sz w:val="28"/>
          <w:szCs w:val="28"/>
        </w:rPr>
        <w:t xml:space="preserve">BY </w:t>
      </w:r>
      <w:r w:rsidRPr="00BB59F3">
        <w:rPr>
          <w:rFonts w:ascii="Arial Black" w:eastAsia="Times New Roman" w:hAnsi="Arial Black"/>
          <w:b/>
          <w:bCs/>
          <w:sz w:val="28"/>
          <w:szCs w:val="28"/>
        </w:rPr>
        <w:t xml:space="preserve">MAYOR </w:t>
      </w:r>
      <w:r>
        <w:rPr>
          <w:rFonts w:ascii="Arial Black" w:eastAsia="Times New Roman" w:hAnsi="Arial Black"/>
          <w:b/>
          <w:bCs/>
          <w:sz w:val="28"/>
          <w:szCs w:val="28"/>
        </w:rPr>
        <w:t xml:space="preserve">– UNION </w:t>
      </w:r>
      <w:r w:rsidRPr="00BB59F3">
        <w:rPr>
          <w:rFonts w:ascii="Arial Black" w:eastAsia="Times New Roman" w:hAnsi="Arial Black"/>
          <w:b/>
          <w:bCs/>
          <w:sz w:val="28"/>
          <w:szCs w:val="28"/>
        </w:rPr>
        <w:t>SUPPORTED OPPONENT</w:t>
      </w:r>
    </w:p>
    <w:p w14:paraId="6C92871B" w14:textId="77777777" w:rsidR="007F5C26" w:rsidRPr="00D96F1A" w:rsidRDefault="007F5C26" w:rsidP="007F5C26">
      <w:pPr>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On March 24, 2022, in </w:t>
      </w:r>
      <w:r w:rsidRPr="00527093">
        <w:rPr>
          <w:rFonts w:ascii="Times New Roman" w:hAnsi="Times New Roman"/>
          <w:sz w:val="24"/>
          <w:szCs w:val="24"/>
          <w:u w:val="single"/>
        </w:rPr>
        <w:t>IAFF Local 365, et al. v. City of East Chicago</w:t>
      </w:r>
      <w:r>
        <w:rPr>
          <w:rFonts w:ascii="Times New Roman" w:hAnsi="Times New Roman"/>
          <w:sz w:val="24"/>
          <w:szCs w:val="24"/>
        </w:rPr>
        <w:t xml:space="preserve">, U.S. District Court Judge Philip P. Simon, U.S. District Court for Northern District of Indiana (Hammond Division) issued a preliminary injunction against the City, finding the Mayor (a retired firefighter) changed the 24 / 48 shift in retaliation for the Local (which does not have a CBA) supporting an opponent in 2019.  The judge held a hearing in Oct. 2021, and held the city offered little financial proof the </w:t>
      </w:r>
      <w:proofErr w:type="gramStart"/>
      <w:r>
        <w:rPr>
          <w:rFonts w:ascii="Times New Roman" w:hAnsi="Times New Roman"/>
          <w:sz w:val="24"/>
          <w:szCs w:val="24"/>
        </w:rPr>
        <w:t>Mayor’s</w:t>
      </w:r>
      <w:proofErr w:type="gramEnd"/>
      <w:r>
        <w:rPr>
          <w:rFonts w:ascii="Times New Roman" w:hAnsi="Times New Roman"/>
          <w:sz w:val="24"/>
          <w:szCs w:val="24"/>
        </w:rPr>
        <w:t xml:space="preserve"> swing shift saves money. In his Preliminary Injunction, the judge ordered the </w:t>
      </w:r>
      <w:proofErr w:type="gramStart"/>
      <w:r>
        <w:rPr>
          <w:rFonts w:ascii="Times New Roman" w:hAnsi="Times New Roman"/>
          <w:sz w:val="24"/>
          <w:szCs w:val="24"/>
        </w:rPr>
        <w:t>City</w:t>
      </w:r>
      <w:proofErr w:type="gramEnd"/>
      <w:r>
        <w:rPr>
          <w:rFonts w:ascii="Times New Roman" w:hAnsi="Times New Roman"/>
          <w:sz w:val="24"/>
          <w:szCs w:val="24"/>
        </w:rPr>
        <w:t xml:space="preserve"> to “</w:t>
      </w:r>
      <w:r w:rsidRPr="00527093">
        <w:rPr>
          <w:rFonts w:ascii="Times New Roman" w:hAnsi="Times New Roman"/>
          <w:sz w:val="24"/>
          <w:szCs w:val="24"/>
        </w:rPr>
        <w:t>immediately begin the process of reinstating the 24/48 schedule for its firefighters. Because it may take a few weeks to fully implement the new schedule, East Chicago will have until April 18, 2022, to have the schedule in place.</w:t>
      </w:r>
      <w:r>
        <w:rPr>
          <w:rFonts w:ascii="Times New Roman" w:hAnsi="Times New Roman"/>
          <w:sz w:val="24"/>
          <w:szCs w:val="24"/>
        </w:rPr>
        <w:t xml:space="preserve">” </w:t>
      </w:r>
      <w:hyperlink r:id="rId2821" w:history="1">
        <w:r w:rsidRPr="00CA2C0A">
          <w:rPr>
            <w:rStyle w:val="Hyperlink"/>
            <w:rFonts w:ascii="Times New Roman" w:eastAsia="Times New Roman" w:hAnsi="Times New Roman"/>
            <w:sz w:val="24"/>
            <w:szCs w:val="24"/>
          </w:rPr>
          <w:t>https://law.justia.com/cases/federal/district-courts/indiana/inndce/2:2021cv00154/106960/76/</w:t>
        </w:r>
      </w:hyperlink>
      <w:r>
        <w:rPr>
          <w:rFonts w:ascii="Times New Roman" w:eastAsia="Times New Roman" w:hAnsi="Times New Roman"/>
          <w:sz w:val="24"/>
          <w:szCs w:val="24"/>
        </w:rPr>
        <w:t xml:space="preserve"> </w:t>
      </w:r>
    </w:p>
    <w:p w14:paraId="4C5617AF" w14:textId="77777777" w:rsidR="007F5C26" w:rsidRPr="00D96F1A" w:rsidRDefault="007F5C26" w:rsidP="007F5C2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D96F1A">
        <w:rPr>
          <w:rFonts w:ascii="Times New Roman" w:eastAsia="Times New Roman" w:hAnsi="Times New Roman"/>
          <w:sz w:val="24"/>
          <w:szCs w:val="24"/>
        </w:rPr>
        <w:t xml:space="preserve">Firefighters across the nation generally work a 24/48-hour shift, that is, they are on duty for 24 hours and then off for 48 hours. Most fire departments in the country adhere to this schedule. The City of East Chicago does not. Instead, East Chicago requires its firefighters to work 8 hours on, then 24 hours off. This leads to a perpetually rotating schedule which can wreak havoc on the lives of firefighters. It </w:t>
      </w:r>
      <w:proofErr w:type="gramStart"/>
      <w:r w:rsidRPr="00D96F1A">
        <w:rPr>
          <w:rFonts w:ascii="Times New Roman" w:eastAsia="Times New Roman" w:hAnsi="Times New Roman"/>
          <w:sz w:val="24"/>
          <w:szCs w:val="24"/>
        </w:rPr>
        <w:t>effects</w:t>
      </w:r>
      <w:proofErr w:type="gramEnd"/>
      <w:r w:rsidRPr="00D96F1A">
        <w:rPr>
          <w:rFonts w:ascii="Times New Roman" w:eastAsia="Times New Roman" w:hAnsi="Times New Roman"/>
          <w:sz w:val="24"/>
          <w:szCs w:val="24"/>
        </w:rPr>
        <w:t xml:space="preserve"> their personal lives and health, prevents a consistent sleep schedule, and makes it difficult to obtain reliable childcare. No. other department in the country imposes this schedule. </w:t>
      </w:r>
    </w:p>
    <w:p w14:paraId="1DD77E9A" w14:textId="77777777" w:rsidR="007F5C26" w:rsidRPr="00D96F1A" w:rsidRDefault="007F5C26" w:rsidP="007F5C26">
      <w:pPr>
        <w:spacing w:before="100" w:beforeAutospacing="1" w:after="100" w:afterAutospacing="1" w:line="240" w:lineRule="auto"/>
        <w:ind w:left="720"/>
        <w:rPr>
          <w:rFonts w:ascii="Times New Roman" w:eastAsia="Times New Roman" w:hAnsi="Times New Roman"/>
          <w:sz w:val="24"/>
          <w:szCs w:val="24"/>
        </w:rPr>
      </w:pPr>
      <w:r w:rsidRPr="00D96F1A">
        <w:rPr>
          <w:rFonts w:ascii="Times New Roman" w:eastAsia="Times New Roman" w:hAnsi="Times New Roman"/>
          <w:sz w:val="24"/>
          <w:szCs w:val="24"/>
        </w:rPr>
        <w:t xml:space="preserve">Why is East Chicago an outlier? The firefighters say it is retaliation from Mayor Anthony Copeland because they exercised their First Amendment rights in their backing of a rival mayoral candidate and in their lobbying efforts with East Chicago's legislative body, the Common Council. The firefighters seek a preliminary injunction ordering the </w:t>
      </w:r>
      <w:proofErr w:type="gramStart"/>
      <w:r w:rsidRPr="00D96F1A">
        <w:rPr>
          <w:rFonts w:ascii="Times New Roman" w:eastAsia="Times New Roman" w:hAnsi="Times New Roman"/>
          <w:sz w:val="24"/>
          <w:szCs w:val="24"/>
        </w:rPr>
        <w:t>City</w:t>
      </w:r>
      <w:proofErr w:type="gramEnd"/>
      <w:r w:rsidRPr="00D96F1A">
        <w:rPr>
          <w:rFonts w:ascii="Times New Roman" w:eastAsia="Times New Roman" w:hAnsi="Times New Roman"/>
          <w:sz w:val="24"/>
          <w:szCs w:val="24"/>
        </w:rPr>
        <w:t xml:space="preserve"> to </w:t>
      </w:r>
      <w:proofErr w:type="gramStart"/>
      <w:r w:rsidRPr="00D96F1A">
        <w:rPr>
          <w:rFonts w:ascii="Times New Roman" w:eastAsia="Times New Roman" w:hAnsi="Times New Roman"/>
          <w:sz w:val="24"/>
          <w:szCs w:val="24"/>
        </w:rPr>
        <w:t>revert back</w:t>
      </w:r>
      <w:proofErr w:type="gramEnd"/>
      <w:r w:rsidRPr="00D96F1A">
        <w:rPr>
          <w:rFonts w:ascii="Times New Roman" w:eastAsia="Times New Roman" w:hAnsi="Times New Roman"/>
          <w:sz w:val="24"/>
          <w:szCs w:val="24"/>
        </w:rPr>
        <w:t xml:space="preserve"> to the 24/48 schedule. East Chicago says it is a cost saving measure. I held a two-day hearing to get to the bottom of the issue. Because the firefighters have established a likelihood of succeeding on their First Amendment political retaliation claim, and they will suffer irreparable harm if the schedule remains intact, a preliminary injunction will be issued.</w:t>
      </w:r>
      <w:r>
        <w:rPr>
          <w:rFonts w:ascii="Times New Roman" w:eastAsia="Times New Roman" w:hAnsi="Times New Roman"/>
          <w:sz w:val="24"/>
          <w:szCs w:val="24"/>
        </w:rPr>
        <w:t xml:space="preserve">” </w:t>
      </w:r>
      <w:hyperlink r:id="rId2822" w:history="1">
        <w:r w:rsidRPr="00CA2C0A">
          <w:rPr>
            <w:rStyle w:val="Hyperlink"/>
            <w:rFonts w:ascii="Times New Roman" w:eastAsia="Times New Roman" w:hAnsi="Times New Roman"/>
            <w:sz w:val="24"/>
            <w:szCs w:val="24"/>
          </w:rPr>
          <w:t>https://law.justia.com/cases/federal/district-courts/indiana/inndce/2:2021cv00154/106960/76/</w:t>
        </w:r>
      </w:hyperlink>
      <w:r>
        <w:rPr>
          <w:rFonts w:ascii="Times New Roman" w:eastAsia="Times New Roman" w:hAnsi="Times New Roman"/>
          <w:sz w:val="24"/>
          <w:szCs w:val="24"/>
        </w:rPr>
        <w:t xml:space="preserve"> </w:t>
      </w:r>
    </w:p>
    <w:bookmarkEnd w:id="632"/>
    <w:p w14:paraId="5871E0ED" w14:textId="77777777" w:rsidR="007F5C26" w:rsidRPr="005D7300" w:rsidRDefault="007F5C26" w:rsidP="007F5C26">
      <w:pPr>
        <w:pStyle w:val="NormalWeb"/>
        <w:rPr>
          <w:b/>
          <w:bCs/>
        </w:rPr>
      </w:pPr>
      <w:r w:rsidRPr="005D7300">
        <w:rPr>
          <w:b/>
          <w:bCs/>
        </w:rPr>
        <w:t xml:space="preserve">Legal Lesson Learned: </w:t>
      </w:r>
      <w:r>
        <w:rPr>
          <w:b/>
          <w:bCs/>
        </w:rPr>
        <w:t xml:space="preserve"> An IAFF Local’s support of a </w:t>
      </w:r>
      <w:proofErr w:type="gramStart"/>
      <w:r>
        <w:rPr>
          <w:b/>
          <w:bCs/>
        </w:rPr>
        <w:t>Mayor’s</w:t>
      </w:r>
      <w:proofErr w:type="gramEnd"/>
      <w:r>
        <w:rPr>
          <w:b/>
          <w:bCs/>
        </w:rPr>
        <w:t xml:space="preserve"> opponent in an election is protected under the First Amendment.  The city will likely appeal this Preliminary Injunction.</w:t>
      </w:r>
    </w:p>
    <w:p w14:paraId="6D2F452B" w14:textId="23CEBB17" w:rsidR="007F5C26" w:rsidRDefault="007F5C26" w:rsidP="007F5C26">
      <w:pPr>
        <w:pStyle w:val="NoSpacing"/>
        <w:rPr>
          <w:rFonts w:ascii="Arial Black" w:hAnsi="Arial Black"/>
          <w:sz w:val="24"/>
          <w:szCs w:val="24"/>
        </w:rPr>
      </w:pPr>
      <w:r w:rsidRPr="000C5C0C">
        <w:rPr>
          <w:sz w:val="24"/>
          <w:szCs w:val="24"/>
        </w:rPr>
        <w:t xml:space="preserve">Note: See March 29, </w:t>
      </w:r>
      <w:proofErr w:type="gramStart"/>
      <w:r w:rsidRPr="000C5C0C">
        <w:rPr>
          <w:sz w:val="24"/>
          <w:szCs w:val="24"/>
        </w:rPr>
        <w:t>2022</w:t>
      </w:r>
      <w:proofErr w:type="gramEnd"/>
      <w:r w:rsidRPr="000C5C0C">
        <w:rPr>
          <w:sz w:val="24"/>
          <w:szCs w:val="24"/>
        </w:rPr>
        <w:t xml:space="preserve"> article about the case: “Judge orders East Chicago to give firefighters back their old work shifts.” </w:t>
      </w:r>
      <w:hyperlink r:id="rId2823" w:history="1">
        <w:r w:rsidRPr="008956D3">
          <w:rPr>
            <w:rStyle w:val="Hyperlink"/>
            <w:rFonts w:eastAsiaTheme="majorEastAsia"/>
            <w:sz w:val="24"/>
            <w:szCs w:val="24"/>
          </w:rPr>
          <w:t>https://www.nwitimes.com/news/local/lake/east-chicago/judge-orders-east-chicago-to-give-firefighters-back-their-old-work-shifts/article_0a0ebd36-f823-513f-a2fc-d1d6d95613d7.html</w:t>
        </w:r>
      </w:hyperlink>
    </w:p>
    <w:p w14:paraId="4D817CF2" w14:textId="77777777" w:rsidR="007F5C26" w:rsidRDefault="007F5C26" w:rsidP="00F326E5">
      <w:pPr>
        <w:pStyle w:val="NoSpacing"/>
        <w:rPr>
          <w:rFonts w:ascii="Arial Black" w:hAnsi="Arial Black"/>
          <w:sz w:val="24"/>
          <w:szCs w:val="24"/>
        </w:rPr>
      </w:pPr>
    </w:p>
    <w:p w14:paraId="3CC22B94" w14:textId="77777777" w:rsidR="007F5C26" w:rsidRDefault="007F5C26" w:rsidP="00F326E5">
      <w:pPr>
        <w:pStyle w:val="NoSpacing"/>
        <w:rPr>
          <w:rFonts w:ascii="Arial Black" w:hAnsi="Arial Black"/>
          <w:sz w:val="24"/>
          <w:szCs w:val="24"/>
        </w:rPr>
      </w:pPr>
    </w:p>
    <w:p w14:paraId="7941ED4E" w14:textId="7BA324A8" w:rsidR="007F5C26" w:rsidRDefault="007F5C26" w:rsidP="00F326E5">
      <w:pPr>
        <w:pStyle w:val="NoSpacing"/>
        <w:rPr>
          <w:rFonts w:ascii="Arial Black" w:hAnsi="Arial Black"/>
          <w:sz w:val="24"/>
          <w:szCs w:val="24"/>
        </w:rPr>
      </w:pPr>
      <w:r>
        <w:rPr>
          <w:rFonts w:ascii="Arial Black" w:hAnsi="Arial Black"/>
          <w:sz w:val="24"/>
          <w:szCs w:val="24"/>
        </w:rPr>
        <w:t>17-13 [also filed, Chap. 16]</w:t>
      </w:r>
    </w:p>
    <w:p w14:paraId="25F468D7" w14:textId="2C66D6CD" w:rsidR="007F5C26" w:rsidRDefault="007F5C26" w:rsidP="00F326E5">
      <w:pPr>
        <w:pStyle w:val="NoSpacing"/>
        <w:rPr>
          <w:rFonts w:ascii="Arial Black" w:hAnsi="Arial Black"/>
          <w:sz w:val="24"/>
          <w:szCs w:val="24"/>
        </w:rPr>
      </w:pPr>
    </w:p>
    <w:p w14:paraId="12D95429" w14:textId="77777777" w:rsidR="007F5C26" w:rsidRDefault="007F5C26" w:rsidP="007F5C26">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ARBITRATOR MAY REDUCE PENALTY – NEW SHIFT RELIEF - ASSISTANT CHIEF’S LOSS PAY OVERTURNED</w:t>
      </w:r>
    </w:p>
    <w:p w14:paraId="367E5F38" w14:textId="77777777" w:rsidR="007F5C26" w:rsidRPr="00AA2A35" w:rsidRDefault="007F5C26" w:rsidP="007F5C26">
      <w:pPr>
        <w:spacing w:before="100" w:beforeAutospacing="1" w:after="100" w:afterAutospacing="1" w:line="240" w:lineRule="auto"/>
        <w:rPr>
          <w:rFonts w:ascii="Times New Roman" w:eastAsia="Times New Roman" w:hAnsi="Times New Roman"/>
          <w:sz w:val="24"/>
          <w:szCs w:val="24"/>
        </w:rPr>
      </w:pPr>
      <w:r w:rsidRPr="00AA2A35">
        <w:rPr>
          <w:rFonts w:ascii="Times New Roman" w:hAnsi="Times New Roman"/>
          <w:sz w:val="24"/>
          <w:szCs w:val="24"/>
        </w:rPr>
        <w:t xml:space="preserve">On March 17, 2022, in </w:t>
      </w:r>
      <w:r w:rsidRPr="00AA2A35">
        <w:rPr>
          <w:rFonts w:ascii="Times New Roman" w:hAnsi="Times New Roman"/>
          <w:sz w:val="24"/>
          <w:szCs w:val="24"/>
          <w:u w:val="single"/>
        </w:rPr>
        <w:t>Association of Cleveland Fire Fighters, Local 93 v. City of Cleveland</w:t>
      </w:r>
      <w:r w:rsidRPr="00AA2A35">
        <w:rPr>
          <w:rFonts w:ascii="Times New Roman" w:hAnsi="Times New Roman"/>
          <w:sz w:val="24"/>
          <w:szCs w:val="24"/>
        </w:rPr>
        <w:t>, the Court of Appeals of Ohio, 8</w:t>
      </w:r>
      <w:r w:rsidRPr="00AA2A35">
        <w:rPr>
          <w:rFonts w:ascii="Times New Roman" w:hAnsi="Times New Roman"/>
          <w:sz w:val="24"/>
          <w:szCs w:val="24"/>
          <w:vertAlign w:val="superscript"/>
        </w:rPr>
        <w:t>th</w:t>
      </w:r>
      <w:r w:rsidRPr="00AA2A35">
        <w:rPr>
          <w:rFonts w:ascii="Times New Roman" w:hAnsi="Times New Roman"/>
          <w:sz w:val="24"/>
          <w:szCs w:val="24"/>
        </w:rPr>
        <w:t xml:space="preserve"> District (Cuyahoga County), held (3 to 0) that a Common Pleas judge improperly set aside the arbitrator’s award which found the charge of “gross insubordination” by Assistant Fire Chief was not proven, but the facts supported a “conduct unbecoming” charge. The Assistant Fire Chief was charged with 16 charges for trying to get the vacationing Fire Chief to overturn Acting Fire Chiefs order to follow the new shift relief procedure (to save overtime money, when the incoming Assistant Chief called off, he can only be replaced by on duty officer of lesser rank).  The arbitrator had authority to vacate the most serious charge of “gross insubordination” and the 24-hour suspension, and to direct the FD to change in his personnel file with an official reprimand for one of the lesser charges, “conduct unbecoming an employee in the public service,” with no loss of wages. </w:t>
      </w:r>
      <w:hyperlink r:id="rId2824" w:history="1">
        <w:r w:rsidRPr="00AA2A35">
          <w:rPr>
            <w:rStyle w:val="Hyperlink"/>
            <w:rFonts w:ascii="Times New Roman" w:eastAsia="Times New Roman" w:hAnsi="Times New Roman"/>
            <w:sz w:val="24"/>
            <w:szCs w:val="24"/>
          </w:rPr>
          <w:t>https://www.supremecourt.ohio.gov/rod/docs/pdf/8/2022/2022-Ohio-824.pdf</w:t>
        </w:r>
      </w:hyperlink>
      <w:r w:rsidRPr="00AA2A35">
        <w:rPr>
          <w:rFonts w:ascii="Times New Roman" w:eastAsia="Times New Roman" w:hAnsi="Times New Roman"/>
          <w:sz w:val="24"/>
          <w:szCs w:val="24"/>
        </w:rPr>
        <w:t xml:space="preserve"> </w:t>
      </w:r>
    </w:p>
    <w:p w14:paraId="2917B545" w14:textId="77777777" w:rsidR="007F5C26" w:rsidRPr="00892AD5" w:rsidRDefault="007F5C26" w:rsidP="007F5C2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sidRPr="00892AD5">
        <w:rPr>
          <w:rFonts w:ascii="Times New Roman" w:eastAsia="Times New Roman" w:hAnsi="Times New Roman"/>
          <w:sz w:val="24"/>
          <w:szCs w:val="24"/>
        </w:rPr>
        <w:t xml:space="preserve">In focusing solely on the question of gross insubordination, the Union disregards the fact that the parties stipulated to </w:t>
      </w:r>
      <w:r w:rsidRPr="00892AD5">
        <w:rPr>
          <w:rFonts w:ascii="Times New Roman" w:eastAsia="Times New Roman" w:hAnsi="Times New Roman"/>
          <w:i/>
          <w:iCs/>
          <w:sz w:val="24"/>
          <w:szCs w:val="24"/>
        </w:rPr>
        <w:t>two</w:t>
      </w:r>
      <w:r w:rsidRPr="00892AD5">
        <w:rPr>
          <w:rFonts w:ascii="Times New Roman" w:eastAsia="Times New Roman" w:hAnsi="Times New Roman"/>
          <w:sz w:val="24"/>
          <w:szCs w:val="24"/>
        </w:rPr>
        <w:t xml:space="preserve"> questions before submitting the matter to arbitration. The first question was whether the city had just cause to suspend </w:t>
      </w:r>
      <w:proofErr w:type="spellStart"/>
      <w:r w:rsidRPr="00892AD5">
        <w:rPr>
          <w:rFonts w:ascii="Times New Roman" w:eastAsia="Times New Roman" w:hAnsi="Times New Roman"/>
          <w:sz w:val="24"/>
          <w:szCs w:val="24"/>
        </w:rPr>
        <w:t>Viancourt</w:t>
      </w:r>
      <w:proofErr w:type="spellEnd"/>
      <w:r w:rsidRPr="00892AD5">
        <w:rPr>
          <w:rFonts w:ascii="Times New Roman" w:eastAsia="Times New Roman" w:hAnsi="Times New Roman"/>
          <w:sz w:val="24"/>
          <w:szCs w:val="24"/>
        </w:rPr>
        <w:t xml:space="preserve"> for a day and issue him an official reprimand. The question of just cause was not confined to "gross insubordination." Rather, the question concerned whether the city had just </w:t>
      </w:r>
      <w:proofErr w:type="gramStart"/>
      <w:r w:rsidRPr="00892AD5">
        <w:rPr>
          <w:rFonts w:ascii="Times New Roman" w:eastAsia="Times New Roman" w:hAnsi="Times New Roman"/>
          <w:sz w:val="24"/>
          <w:szCs w:val="24"/>
        </w:rPr>
        <w:t>cause</w:t>
      </w:r>
      <w:proofErr w:type="gramEnd"/>
      <w:r w:rsidRPr="00892AD5">
        <w:rPr>
          <w:rFonts w:ascii="Times New Roman" w:eastAsia="Times New Roman" w:hAnsi="Times New Roman"/>
          <w:sz w:val="24"/>
          <w:szCs w:val="24"/>
        </w:rPr>
        <w:t xml:space="preserve"> discipline </w:t>
      </w:r>
      <w:proofErr w:type="spellStart"/>
      <w:r w:rsidRPr="00892AD5">
        <w:rPr>
          <w:rFonts w:ascii="Times New Roman" w:eastAsia="Times New Roman" w:hAnsi="Times New Roman"/>
          <w:sz w:val="24"/>
          <w:szCs w:val="24"/>
        </w:rPr>
        <w:t>Viancourt</w:t>
      </w:r>
      <w:proofErr w:type="spellEnd"/>
      <w:r w:rsidRPr="00892AD5">
        <w:rPr>
          <w:rFonts w:ascii="Times New Roman" w:eastAsia="Times New Roman" w:hAnsi="Times New Roman"/>
          <w:sz w:val="24"/>
          <w:szCs w:val="24"/>
        </w:rPr>
        <w:t xml:space="preserve"> for his conduct. </w:t>
      </w:r>
    </w:p>
    <w:p w14:paraId="0D91EE50" w14:textId="77777777" w:rsidR="007F5C26" w:rsidRDefault="007F5C26" w:rsidP="007F5C26">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p>
    <w:p w14:paraId="32702929" w14:textId="77777777" w:rsidR="007F5C26" w:rsidRDefault="007F5C26" w:rsidP="007F5C26">
      <w:pPr>
        <w:pStyle w:val="NoSpacing"/>
        <w:rPr>
          <w:rFonts w:ascii="Arial Black" w:hAnsi="Arial Black"/>
          <w:sz w:val="24"/>
          <w:szCs w:val="24"/>
        </w:rPr>
      </w:pPr>
      <w:r w:rsidRPr="0091695D">
        <w:rPr>
          <w:rFonts w:ascii="Times New Roman" w:hAnsi="Times New Roman"/>
          <w:sz w:val="24"/>
          <w:szCs w:val="24"/>
        </w:rPr>
        <w:t xml:space="preserve">The Union nevertheless maintains that the arbitrator exceeded his powers by creating a new charge not submitted to arbitration and issuing a penalty based on that charge. The charge of conduct unbecoming was not expressly submitted to arbitration in the parties' stipulated questions, but neither were the charges of gross insubordination or insubordination expressly submitted to arbitration. The questions to which the parties stipulated focused on remedies: the penalties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had received for his conduct and, if these penalties were unjustified, the penalty the arbitrator determined that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should receive for his conduct. The Union's claim that the arbitrator created a new charge by finding that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engaged in conduct unbecoming is not supported by the record. </w:t>
      </w:r>
      <w:proofErr w:type="spellStart"/>
      <w:r w:rsidRPr="0091695D">
        <w:rPr>
          <w:rFonts w:ascii="Times New Roman" w:hAnsi="Times New Roman"/>
          <w:sz w:val="24"/>
          <w:szCs w:val="24"/>
        </w:rPr>
        <w:t>Viancourt</w:t>
      </w:r>
      <w:proofErr w:type="spellEnd"/>
      <w:r w:rsidRPr="0091695D">
        <w:rPr>
          <w:rFonts w:ascii="Times New Roman" w:hAnsi="Times New Roman"/>
          <w:sz w:val="24"/>
          <w:szCs w:val="24"/>
        </w:rPr>
        <w:t xml:space="preserve"> was charged with 16 violations, which included the charge of conduct unbecoming. The Union's claim that any penalty based on that charge was improper is also not supported by the record because conduct unbecoming is punishable by official reprimand. The arbitrator's leaving this penalty intact is consistent with the discipline </w:t>
      </w:r>
      <w:proofErr w:type="gramStart"/>
      <w:r w:rsidRPr="0091695D">
        <w:rPr>
          <w:rFonts w:ascii="Times New Roman" w:hAnsi="Times New Roman"/>
          <w:sz w:val="24"/>
          <w:szCs w:val="24"/>
        </w:rPr>
        <w:t>guide.</w:t>
      </w:r>
      <w:r>
        <w:rPr>
          <w:rFonts w:ascii="Times New Roman" w:hAnsi="Times New Roman"/>
          <w:sz w:val="24"/>
          <w:szCs w:val="24"/>
        </w:rPr>
        <w:t>”</w:t>
      </w:r>
      <w:proofErr w:type="gramEnd"/>
      <w:r>
        <w:rPr>
          <w:rFonts w:ascii="Times New Roman" w:hAnsi="Times New Roman"/>
          <w:sz w:val="24"/>
          <w:szCs w:val="24"/>
        </w:rPr>
        <w:t xml:space="preserve"> </w:t>
      </w:r>
      <w:hyperlink r:id="rId2825" w:history="1">
        <w:r w:rsidRPr="0083693C">
          <w:rPr>
            <w:rStyle w:val="Hyperlink"/>
            <w:rFonts w:ascii="Times New Roman" w:eastAsia="Times New Roman" w:hAnsi="Times New Roman"/>
            <w:sz w:val="24"/>
            <w:szCs w:val="24"/>
          </w:rPr>
          <w:t>https://www.supremecourt.ohio.gov/rod/docs/pdf/8/2022/2022-Ohio-824.pdf</w:t>
        </w:r>
      </w:hyperlink>
    </w:p>
    <w:p w14:paraId="13E7E948" w14:textId="77777777" w:rsidR="007F5C26" w:rsidRDefault="007F5C26" w:rsidP="007F5C26">
      <w:pPr>
        <w:pStyle w:val="NoSpacing"/>
        <w:rPr>
          <w:rFonts w:ascii="Arial Black" w:hAnsi="Arial Black"/>
          <w:sz w:val="24"/>
          <w:szCs w:val="24"/>
        </w:rPr>
      </w:pPr>
    </w:p>
    <w:p w14:paraId="42ED2B66" w14:textId="77777777" w:rsidR="007F5C26" w:rsidRPr="00FE655C" w:rsidRDefault="007F5C26" w:rsidP="007F5C26">
      <w:pPr>
        <w:spacing w:before="100" w:beforeAutospacing="1" w:after="100" w:afterAutospacing="1" w:line="240" w:lineRule="auto"/>
        <w:rPr>
          <w:rFonts w:ascii="Times New Roman" w:eastAsia="Times New Roman" w:hAnsi="Times New Roman"/>
          <w:b/>
          <w:bCs/>
          <w:sz w:val="24"/>
          <w:szCs w:val="24"/>
        </w:rPr>
      </w:pPr>
      <w:r w:rsidRPr="00FE655C">
        <w:rPr>
          <w:rFonts w:ascii="Times New Roman" w:eastAsia="Times New Roman" w:hAnsi="Times New Roman"/>
          <w:b/>
          <w:bCs/>
          <w:sz w:val="24"/>
          <w:szCs w:val="24"/>
        </w:rPr>
        <w:t xml:space="preserve">Legal Lesson Learned: </w:t>
      </w:r>
      <w:r>
        <w:rPr>
          <w:rFonts w:ascii="Times New Roman" w:eastAsia="Times New Roman" w:hAnsi="Times New Roman"/>
          <w:b/>
          <w:bCs/>
          <w:sz w:val="24"/>
          <w:szCs w:val="24"/>
        </w:rPr>
        <w:t xml:space="preserve">When submitting a disciplinary matter to arbitration, be very careful in the questions being submitted to the arbitrator. </w:t>
      </w:r>
    </w:p>
    <w:p w14:paraId="004B3006" w14:textId="77777777" w:rsidR="007F5C26" w:rsidRDefault="007F5C26" w:rsidP="00F326E5">
      <w:pPr>
        <w:pStyle w:val="NoSpacing"/>
        <w:rPr>
          <w:rFonts w:ascii="Arial Black" w:hAnsi="Arial Black"/>
          <w:sz w:val="24"/>
          <w:szCs w:val="24"/>
        </w:rPr>
      </w:pPr>
    </w:p>
    <w:p w14:paraId="51F27980" w14:textId="77777777" w:rsidR="007F5C26" w:rsidRDefault="007F5C26" w:rsidP="00F326E5">
      <w:pPr>
        <w:pStyle w:val="NoSpacing"/>
        <w:rPr>
          <w:rFonts w:ascii="Arial Black" w:hAnsi="Arial Black"/>
          <w:sz w:val="24"/>
          <w:szCs w:val="24"/>
        </w:rPr>
      </w:pPr>
    </w:p>
    <w:p w14:paraId="5704D6E6" w14:textId="77777777" w:rsidR="007F5C26" w:rsidRDefault="007F5C26" w:rsidP="00F326E5">
      <w:pPr>
        <w:pStyle w:val="NoSpacing"/>
        <w:rPr>
          <w:rFonts w:ascii="Arial Black" w:hAnsi="Arial Black"/>
          <w:sz w:val="24"/>
          <w:szCs w:val="24"/>
        </w:rPr>
      </w:pPr>
    </w:p>
    <w:p w14:paraId="0C49F57D" w14:textId="5E2BF28C" w:rsidR="00680939" w:rsidRDefault="00680939" w:rsidP="00F326E5">
      <w:pPr>
        <w:pStyle w:val="NoSpacing"/>
        <w:rPr>
          <w:rFonts w:ascii="Arial Black" w:hAnsi="Arial Black"/>
          <w:sz w:val="24"/>
          <w:szCs w:val="24"/>
        </w:rPr>
      </w:pPr>
      <w:r>
        <w:rPr>
          <w:rFonts w:ascii="Arial Black" w:hAnsi="Arial Black"/>
          <w:sz w:val="24"/>
          <w:szCs w:val="24"/>
        </w:rPr>
        <w:t>17-12 [also filed, Chap. 2]</w:t>
      </w:r>
    </w:p>
    <w:p w14:paraId="6E775F67" w14:textId="77777777" w:rsidR="00680939" w:rsidRPr="000007E3" w:rsidRDefault="00680939" w:rsidP="00680939">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NY: CBA – 5 FF MINIMUM MANNING – CHIEF CANNOT UNILATERALLY CHANGE – ARBITRATION TO PROCEED</w:t>
      </w:r>
    </w:p>
    <w:p w14:paraId="7493E907" w14:textId="77777777" w:rsidR="00680939" w:rsidRDefault="00680939" w:rsidP="00680939">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Jan. 13, 2022, </w:t>
      </w:r>
      <w:r w:rsidRPr="00DA4E6C">
        <w:rPr>
          <w:rFonts w:ascii="Times New Roman" w:eastAsia="Times New Roman" w:hAnsi="Times New Roman"/>
          <w:sz w:val="24"/>
          <w:szCs w:val="24"/>
          <w:u w:val="single"/>
        </w:rPr>
        <w:t xml:space="preserve">In the Matter of the Arbitration Between </w:t>
      </w:r>
      <w:proofErr w:type="gramStart"/>
      <w:r w:rsidRPr="00DA4E6C">
        <w:rPr>
          <w:rFonts w:ascii="Times New Roman" w:eastAsia="Times New Roman" w:hAnsi="Times New Roman"/>
          <w:sz w:val="24"/>
          <w:szCs w:val="24"/>
          <w:u w:val="single"/>
        </w:rPr>
        <w:t>The</w:t>
      </w:r>
      <w:proofErr w:type="gramEnd"/>
      <w:r w:rsidRPr="00DA4E6C">
        <w:rPr>
          <w:rFonts w:ascii="Times New Roman" w:eastAsia="Times New Roman" w:hAnsi="Times New Roman"/>
          <w:sz w:val="24"/>
          <w:szCs w:val="24"/>
          <w:u w:val="single"/>
        </w:rPr>
        <w:t xml:space="preserve"> City of Ogdensburg and IAFF Local 1792</w:t>
      </w:r>
      <w:r>
        <w:rPr>
          <w:rFonts w:ascii="Times New Roman" w:eastAsia="Times New Roman" w:hAnsi="Times New Roman"/>
          <w:sz w:val="24"/>
          <w:szCs w:val="24"/>
        </w:rPr>
        <w:t xml:space="preserve">, the Superior Court of New York (Third Department), held (5 to 0) that the trial court improperly granted the City’s </w:t>
      </w:r>
      <w:proofErr w:type="gramStart"/>
      <w:r>
        <w:rPr>
          <w:rFonts w:ascii="Times New Roman" w:eastAsia="Times New Roman" w:hAnsi="Times New Roman"/>
          <w:sz w:val="24"/>
          <w:szCs w:val="24"/>
        </w:rPr>
        <w:t>motion to</w:t>
      </w:r>
      <w:proofErr w:type="gramEnd"/>
      <w:r>
        <w:rPr>
          <w:rFonts w:ascii="Times New Roman" w:eastAsia="Times New Roman" w:hAnsi="Times New Roman"/>
          <w:sz w:val="24"/>
          <w:szCs w:val="24"/>
        </w:rPr>
        <w:t xml:space="preserve"> </w:t>
      </w:r>
      <w:r w:rsidRPr="00DA4E6C">
        <w:rPr>
          <w:rFonts w:ascii="Times New Roman" w:hAnsi="Times New Roman"/>
          <w:sz w:val="24"/>
          <w:szCs w:val="24"/>
        </w:rPr>
        <w:t>permanently stay arbitration between the parties.</w:t>
      </w:r>
      <w:r>
        <w:rPr>
          <w:rFonts w:ascii="Times New Roman" w:hAnsi="Times New Roman"/>
          <w:sz w:val="24"/>
          <w:szCs w:val="24"/>
        </w:rPr>
        <w:t xml:space="preserve">  The CBA provides for arbitration, and “</w:t>
      </w:r>
      <w:r w:rsidRPr="00BA6C00">
        <w:rPr>
          <w:rFonts w:ascii="Times New Roman" w:hAnsi="Times New Roman"/>
          <w:sz w:val="24"/>
          <w:szCs w:val="24"/>
        </w:rPr>
        <w:t>having adequate personnel on hand would be essential to ensure firefighter safety as well as success in fighting the fires.</w:t>
      </w:r>
      <w:r>
        <w:rPr>
          <w:rFonts w:ascii="Times New Roman" w:hAnsi="Times New Roman"/>
          <w:sz w:val="24"/>
          <w:szCs w:val="24"/>
        </w:rPr>
        <w:t xml:space="preserve">” </w:t>
      </w:r>
      <w:hyperlink r:id="rId2826" w:history="1">
        <w:r w:rsidRPr="00A83547">
          <w:rPr>
            <w:rStyle w:val="Hyperlink"/>
            <w:rFonts w:ascii="Times New Roman" w:hAnsi="Times New Roman"/>
            <w:sz w:val="24"/>
            <w:szCs w:val="24"/>
          </w:rPr>
          <w:t>https://casetext.com/case/in-re-arbitration-between-city-of-ogdensburg</w:t>
        </w:r>
      </w:hyperlink>
      <w:r>
        <w:rPr>
          <w:rFonts w:ascii="Times New Roman" w:hAnsi="Times New Roman"/>
          <w:sz w:val="24"/>
          <w:szCs w:val="24"/>
        </w:rPr>
        <w:t xml:space="preserve"> </w:t>
      </w:r>
    </w:p>
    <w:p w14:paraId="0042665F" w14:textId="77777777" w:rsidR="00680939" w:rsidRDefault="00680939" w:rsidP="00680939">
      <w:pPr>
        <w:spacing w:before="100" w:beforeAutospacing="1" w:after="100" w:afterAutospacing="1" w:line="240" w:lineRule="auto"/>
      </w:pPr>
      <w:r>
        <w:rPr>
          <w:rFonts w:ascii="Times New Roman" w:eastAsia="Times New Roman" w:hAnsi="Times New Roman"/>
          <w:b/>
          <w:bCs/>
          <w:sz w:val="24"/>
          <w:szCs w:val="24"/>
        </w:rPr>
        <w:t xml:space="preserve">Legal Lesson Learned:  If CBA includes provision on minimum manning per shift, it cannot be unilaterally changed. </w:t>
      </w:r>
    </w:p>
    <w:p w14:paraId="726A2E19" w14:textId="77777777" w:rsidR="00680939" w:rsidRDefault="00680939" w:rsidP="00F326E5">
      <w:pPr>
        <w:pStyle w:val="NoSpacing"/>
        <w:rPr>
          <w:rFonts w:ascii="Arial Black" w:hAnsi="Arial Black"/>
          <w:sz w:val="24"/>
          <w:szCs w:val="24"/>
        </w:rPr>
      </w:pPr>
    </w:p>
    <w:p w14:paraId="28C3C174" w14:textId="77777777" w:rsidR="00680939" w:rsidRDefault="00680939" w:rsidP="00F326E5">
      <w:pPr>
        <w:pStyle w:val="NoSpacing"/>
        <w:rPr>
          <w:rFonts w:ascii="Arial Black" w:hAnsi="Arial Black"/>
          <w:sz w:val="24"/>
          <w:szCs w:val="24"/>
        </w:rPr>
      </w:pPr>
    </w:p>
    <w:p w14:paraId="115DD7F8" w14:textId="0C5B61CE" w:rsidR="00644810" w:rsidRDefault="00644810" w:rsidP="00F326E5">
      <w:pPr>
        <w:pStyle w:val="NoSpacing"/>
        <w:rPr>
          <w:rFonts w:ascii="Arial Black" w:hAnsi="Arial Black"/>
          <w:sz w:val="24"/>
          <w:szCs w:val="24"/>
        </w:rPr>
      </w:pPr>
      <w:r>
        <w:rPr>
          <w:rFonts w:ascii="Arial Black" w:hAnsi="Arial Black"/>
          <w:sz w:val="24"/>
          <w:szCs w:val="24"/>
        </w:rPr>
        <w:t>17-11</w:t>
      </w:r>
    </w:p>
    <w:p w14:paraId="33389946" w14:textId="77777777" w:rsidR="00644810" w:rsidRDefault="00644810" w:rsidP="00644810">
      <w:pPr>
        <w:spacing w:before="100" w:beforeAutospacing="1" w:after="100" w:afterAutospacing="1" w:line="240" w:lineRule="auto"/>
        <w:rPr>
          <w:rFonts w:ascii="Arial Black" w:eastAsia="Times New Roman" w:hAnsi="Arial Black"/>
          <w:b/>
          <w:bCs/>
          <w:sz w:val="28"/>
          <w:szCs w:val="28"/>
        </w:rPr>
      </w:pPr>
      <w:r>
        <w:rPr>
          <w:rFonts w:ascii="Arial Black" w:eastAsia="Times New Roman" w:hAnsi="Arial Black"/>
          <w:b/>
          <w:bCs/>
          <w:sz w:val="28"/>
          <w:szCs w:val="28"/>
        </w:rPr>
        <w:t>OH: UNFAIR LABOR PRACTICE – UNION’S GRIEVANCE FIX RADIOS – RETALIATION – CITY ORDINANCE BCs 6 TO 3</w:t>
      </w:r>
    </w:p>
    <w:p w14:paraId="1D5CE514" w14:textId="77777777" w:rsidR="00644810" w:rsidRPr="00C95A92" w:rsidRDefault="00644810" w:rsidP="00644810">
      <w:pPr>
        <w:spacing w:before="100" w:beforeAutospacing="1" w:after="100" w:afterAutospacing="1" w:line="240" w:lineRule="auto"/>
        <w:rPr>
          <w:rFonts w:ascii="Times New Roman" w:eastAsia="Times New Roman" w:hAnsi="Times New Roman"/>
          <w:sz w:val="24"/>
          <w:szCs w:val="24"/>
        </w:rPr>
      </w:pPr>
      <w:r w:rsidRPr="0004196A">
        <w:rPr>
          <w:rFonts w:ascii="Times New Roman" w:eastAsia="Times New Roman" w:hAnsi="Times New Roman"/>
          <w:sz w:val="24"/>
          <w:szCs w:val="24"/>
        </w:rPr>
        <w:t xml:space="preserve">On </w:t>
      </w:r>
      <w:r>
        <w:rPr>
          <w:rFonts w:ascii="Times New Roman" w:eastAsia="Times New Roman" w:hAnsi="Times New Roman"/>
          <w:sz w:val="24"/>
          <w:szCs w:val="24"/>
        </w:rPr>
        <w:t xml:space="preserve">Dec. 13, 2021, in </w:t>
      </w:r>
      <w:r w:rsidRPr="0004196A">
        <w:rPr>
          <w:rFonts w:ascii="Times New Roman" w:eastAsia="Times New Roman" w:hAnsi="Times New Roman"/>
          <w:sz w:val="24"/>
          <w:szCs w:val="24"/>
          <w:u w:val="single"/>
        </w:rPr>
        <w:t>State of Ohio, City of Youngstown v. State Employment Relations Board</w:t>
      </w:r>
      <w:r>
        <w:rPr>
          <w:rFonts w:ascii="Times New Roman" w:eastAsia="Times New Roman" w:hAnsi="Times New Roman"/>
          <w:sz w:val="24"/>
          <w:szCs w:val="24"/>
        </w:rPr>
        <w:t xml:space="preserve">, the Ohio Court of Appeals, Seventh District (Mahoning County) held (3 to 0) that trial court, and SERB properly found that the City’s ordinance </w:t>
      </w:r>
      <w:r w:rsidRPr="00975F2E">
        <w:rPr>
          <w:rFonts w:ascii="Times New Roman" w:eastAsia="Times New Roman" w:hAnsi="Times New Roman"/>
          <w:sz w:val="24"/>
          <w:szCs w:val="24"/>
        </w:rPr>
        <w:t>eliminati</w:t>
      </w:r>
      <w:r>
        <w:rPr>
          <w:rFonts w:ascii="Times New Roman" w:eastAsia="Times New Roman" w:hAnsi="Times New Roman"/>
          <w:sz w:val="24"/>
          <w:szCs w:val="24"/>
        </w:rPr>
        <w:t xml:space="preserve">ng three </w:t>
      </w:r>
      <w:r w:rsidRPr="00975F2E">
        <w:rPr>
          <w:rFonts w:ascii="Times New Roman" w:eastAsia="Times New Roman" w:hAnsi="Times New Roman"/>
          <w:sz w:val="24"/>
          <w:szCs w:val="24"/>
        </w:rPr>
        <w:t>Battalion Chief positions was in retaliation for [Union's] pursuing the radio equipment grievance</w:t>
      </w:r>
      <w:r>
        <w:rPr>
          <w:rFonts w:ascii="Times New Roman" w:eastAsia="Times New Roman" w:hAnsi="Times New Roman"/>
          <w:sz w:val="24"/>
          <w:szCs w:val="24"/>
        </w:rPr>
        <w:t xml:space="preserve"> (2017 new portage radio system; needed fixes at cost of about </w:t>
      </w:r>
      <w:r w:rsidRPr="00347FD8">
        <w:rPr>
          <w:rFonts w:ascii="Times New Roman" w:eastAsia="Times New Roman" w:hAnsi="Times New Roman"/>
          <w:sz w:val="24"/>
          <w:szCs w:val="24"/>
        </w:rPr>
        <w:t>$285,000</w:t>
      </w:r>
      <w:r>
        <w:rPr>
          <w:rFonts w:ascii="Times New Roman" w:eastAsia="Times New Roman" w:hAnsi="Times New Roman"/>
          <w:sz w:val="24"/>
          <w:szCs w:val="24"/>
        </w:rPr>
        <w:t xml:space="preserve">). </w:t>
      </w:r>
      <w:r w:rsidRPr="00347FD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95A92">
        <w:rPr>
          <w:rFonts w:ascii="Times New Roman" w:hAnsi="Times New Roman"/>
          <w:sz w:val="24"/>
          <w:szCs w:val="24"/>
        </w:rPr>
        <w:t>Each battalion chief reduction saves about $130,000 annually.</w:t>
      </w:r>
    </w:p>
    <w:p w14:paraId="0FCCF128" w14:textId="77777777" w:rsidR="00644810" w:rsidRPr="00614F11" w:rsidRDefault="00644810" w:rsidP="00644810">
      <w:pPr>
        <w:spacing w:after="100" w:line="240" w:lineRule="auto"/>
        <w:ind w:left="720"/>
        <w:rPr>
          <w:rFonts w:ascii="Times New Roman" w:eastAsia="Times New Roman" w:hAnsi="Times New Roman"/>
          <w:sz w:val="24"/>
          <w:szCs w:val="24"/>
        </w:rPr>
      </w:pPr>
      <w:r>
        <w:rPr>
          <w:rFonts w:ascii="Times New Roman" w:hAnsi="Times New Roman"/>
          <w:sz w:val="24"/>
          <w:szCs w:val="24"/>
        </w:rPr>
        <w:t>“</w:t>
      </w:r>
      <w:r w:rsidRPr="00975F2E">
        <w:rPr>
          <w:rFonts w:ascii="Times New Roman" w:hAnsi="Times New Roman"/>
          <w:sz w:val="24"/>
          <w:szCs w:val="24"/>
        </w:rPr>
        <w:t xml:space="preserve">City's alleged inability to pay </w:t>
      </w:r>
      <w:r>
        <w:rPr>
          <w:rFonts w:ascii="Times New Roman" w:hAnsi="Times New Roman"/>
          <w:sz w:val="24"/>
          <w:szCs w:val="24"/>
        </w:rPr>
        <w:t>[</w:t>
      </w:r>
      <w:r w:rsidRPr="00347FD8">
        <w:rPr>
          <w:rFonts w:ascii="Times New Roman" w:eastAsia="Times New Roman" w:hAnsi="Times New Roman"/>
          <w:sz w:val="24"/>
          <w:szCs w:val="24"/>
        </w:rPr>
        <w:t xml:space="preserve">$285, 000 </w:t>
      </w:r>
      <w:r>
        <w:rPr>
          <w:rFonts w:ascii="Times New Roman" w:eastAsia="Times New Roman" w:hAnsi="Times New Roman"/>
          <w:sz w:val="24"/>
          <w:szCs w:val="24"/>
        </w:rPr>
        <w:t xml:space="preserve">to fix the radio problem] </w:t>
      </w:r>
      <w:r w:rsidRPr="00975F2E">
        <w:rPr>
          <w:rFonts w:ascii="Times New Roman" w:hAnsi="Times New Roman"/>
          <w:sz w:val="24"/>
          <w:szCs w:val="24"/>
        </w:rPr>
        <w:t xml:space="preserve">did not constitute a managerial business reason for eliminating the positions. The record supports SERB's determination that City's claim that its elimination of bargaining unit positions was a part of City's restructuring or reorganizing plan for the Fire Department was baseless and not a legitimate reason to eliminate the three positions. In fact, City failed to provide details or supporting information for its </w:t>
      </w:r>
      <w:r>
        <w:rPr>
          <w:rFonts w:ascii="Times New Roman" w:hAnsi="Times New Roman"/>
          <w:sz w:val="24"/>
          <w:szCs w:val="24"/>
        </w:rPr>
        <w:t>‘</w:t>
      </w:r>
      <w:r w:rsidRPr="00975F2E">
        <w:rPr>
          <w:rFonts w:ascii="Times New Roman" w:hAnsi="Times New Roman"/>
          <w:sz w:val="24"/>
          <w:szCs w:val="24"/>
        </w:rPr>
        <w:t>restructuring</w:t>
      </w:r>
      <w:r>
        <w:rPr>
          <w:rFonts w:ascii="Times New Roman" w:hAnsi="Times New Roman"/>
          <w:sz w:val="24"/>
          <w:szCs w:val="24"/>
        </w:rPr>
        <w:t>’</w:t>
      </w:r>
      <w:r w:rsidRPr="00975F2E">
        <w:rPr>
          <w:rFonts w:ascii="Times New Roman" w:hAnsi="Times New Roman"/>
          <w:sz w:val="24"/>
          <w:szCs w:val="24"/>
        </w:rPr>
        <w:t xml:space="preserve"> plan. Also, the total 2019 call data illustrates that fire calls </w:t>
      </w:r>
      <w:proofErr w:type="gramStart"/>
      <w:r w:rsidRPr="00975F2E">
        <w:rPr>
          <w:rFonts w:ascii="Times New Roman" w:hAnsi="Times New Roman"/>
          <w:sz w:val="24"/>
          <w:szCs w:val="24"/>
        </w:rPr>
        <w:t>were not decreasing</w:t>
      </w:r>
      <w:proofErr w:type="gramEnd"/>
      <w:r w:rsidRPr="00975F2E">
        <w:rPr>
          <w:rFonts w:ascii="Times New Roman" w:hAnsi="Times New Roman"/>
          <w:sz w:val="24"/>
          <w:szCs w:val="24"/>
        </w:rPr>
        <w:t xml:space="preserve"> over the past six years. SERB clearly determined City's proffered reasons for eliminating the positions were pretextual and thus, Ordinance 19-336, i.e., the </w:t>
      </w:r>
      <w:r>
        <w:rPr>
          <w:rFonts w:ascii="Times New Roman" w:hAnsi="Times New Roman"/>
          <w:sz w:val="24"/>
          <w:szCs w:val="24"/>
        </w:rPr>
        <w:t>‘</w:t>
      </w:r>
      <w:r w:rsidRPr="00975F2E">
        <w:rPr>
          <w:rFonts w:ascii="Times New Roman" w:hAnsi="Times New Roman"/>
          <w:sz w:val="24"/>
          <w:szCs w:val="24"/>
        </w:rPr>
        <w:t>attrition</w:t>
      </w:r>
      <w:r>
        <w:rPr>
          <w:rFonts w:ascii="Times New Roman" w:hAnsi="Times New Roman"/>
          <w:sz w:val="24"/>
          <w:szCs w:val="24"/>
        </w:rPr>
        <w:t>’</w:t>
      </w:r>
      <w:r w:rsidRPr="00975F2E">
        <w:rPr>
          <w:rFonts w:ascii="Times New Roman" w:hAnsi="Times New Roman"/>
          <w:sz w:val="24"/>
          <w:szCs w:val="24"/>
        </w:rPr>
        <w:t xml:space="preserve"> Ordinance, was an unlawful retaliation against Union for advancing a grievance to arbitration.</w:t>
      </w:r>
      <w:r>
        <w:rPr>
          <w:rFonts w:ascii="Times New Roman" w:hAnsi="Times New Roman"/>
          <w:sz w:val="24"/>
          <w:szCs w:val="24"/>
          <w:vertAlign w:val="superscript"/>
        </w:rPr>
        <w:t>”</w:t>
      </w:r>
      <w:r w:rsidRPr="00614F11">
        <w:rPr>
          <w:rFonts w:ascii="Times New Roman" w:eastAsia="Times New Roman" w:hAnsi="Times New Roman"/>
          <w:sz w:val="24"/>
          <w:szCs w:val="24"/>
        </w:rPr>
        <w:t xml:space="preserve"> </w:t>
      </w:r>
      <w:r>
        <w:rPr>
          <w:rFonts w:ascii="Times New Roman" w:eastAsia="Times New Roman" w:hAnsi="Times New Roman"/>
          <w:sz w:val="24"/>
          <w:szCs w:val="24"/>
        </w:rPr>
        <w:t xml:space="preserve"> </w:t>
      </w:r>
      <w:hyperlink r:id="rId2827" w:history="1">
        <w:r w:rsidRPr="00E6191A">
          <w:rPr>
            <w:rStyle w:val="Hyperlink"/>
            <w:rFonts w:ascii="Times New Roman" w:eastAsia="Times New Roman" w:hAnsi="Times New Roman"/>
            <w:sz w:val="24"/>
            <w:szCs w:val="24"/>
          </w:rPr>
          <w:t>https://www.supremecourt.ohio.gov/rod/docs/pdf/7/2021/2021-Ohio-4552.pdf</w:t>
        </w:r>
      </w:hyperlink>
      <w:r>
        <w:rPr>
          <w:rFonts w:ascii="Times New Roman" w:eastAsia="Times New Roman" w:hAnsi="Times New Roman"/>
          <w:sz w:val="24"/>
          <w:szCs w:val="24"/>
        </w:rPr>
        <w:t xml:space="preserve"> </w:t>
      </w:r>
    </w:p>
    <w:p w14:paraId="28FC673B" w14:textId="77777777" w:rsidR="00644810" w:rsidRPr="00213018" w:rsidRDefault="00644810" w:rsidP="00644810">
      <w:pPr>
        <w:pStyle w:val="Heading1"/>
        <w:ind w:left="720"/>
        <w:rPr>
          <w:b w:val="0"/>
          <w:bCs w:val="0"/>
          <w:sz w:val="24"/>
          <w:szCs w:val="24"/>
        </w:rPr>
      </w:pPr>
      <w:r w:rsidRPr="009241CF">
        <w:rPr>
          <w:b w:val="0"/>
          <w:bCs w:val="0"/>
          <w:sz w:val="24"/>
          <w:szCs w:val="24"/>
        </w:rPr>
        <w:t xml:space="preserve">Note:  The City of Youngstown has had serious financial issues </w:t>
      </w:r>
      <w:proofErr w:type="gramStart"/>
      <w:r w:rsidRPr="009241CF">
        <w:rPr>
          <w:b w:val="0"/>
          <w:bCs w:val="0"/>
          <w:sz w:val="24"/>
          <w:szCs w:val="24"/>
        </w:rPr>
        <w:t>impacting</w:t>
      </w:r>
      <w:proofErr w:type="gramEnd"/>
      <w:r w:rsidRPr="009241CF">
        <w:rPr>
          <w:b w:val="0"/>
          <w:bCs w:val="0"/>
          <w:sz w:val="24"/>
          <w:szCs w:val="24"/>
        </w:rPr>
        <w:t xml:space="preserve"> the fire department. See Feb. 28, </w:t>
      </w:r>
      <w:proofErr w:type="gramStart"/>
      <w:r w:rsidRPr="009241CF">
        <w:rPr>
          <w:b w:val="0"/>
          <w:bCs w:val="0"/>
          <w:sz w:val="24"/>
          <w:szCs w:val="24"/>
        </w:rPr>
        <w:t>2021</w:t>
      </w:r>
      <w:proofErr w:type="gramEnd"/>
      <w:r w:rsidRPr="009241CF">
        <w:rPr>
          <w:b w:val="0"/>
          <w:bCs w:val="0"/>
          <w:sz w:val="24"/>
          <w:szCs w:val="24"/>
        </w:rPr>
        <w:t xml:space="preserve"> article, “Judge rules city treated fire union unfairly.”</w:t>
      </w:r>
      <w:r w:rsidRPr="009241CF">
        <w:t xml:space="preserve"> </w:t>
      </w:r>
      <w:hyperlink r:id="rId2828" w:history="1">
        <w:r w:rsidRPr="00213018">
          <w:rPr>
            <w:rStyle w:val="Hyperlink"/>
            <w:b w:val="0"/>
            <w:bCs w:val="0"/>
            <w:sz w:val="24"/>
            <w:szCs w:val="24"/>
          </w:rPr>
          <w:t>https://www.vindy.com/news/local-news/2021/02/judge-rules-city-treated-fire-union-unfairly/</w:t>
        </w:r>
      </w:hyperlink>
      <w:r w:rsidRPr="00213018">
        <w:rPr>
          <w:b w:val="0"/>
          <w:bCs w:val="0"/>
          <w:sz w:val="24"/>
          <w:szCs w:val="24"/>
        </w:rPr>
        <w:t xml:space="preserve"> </w:t>
      </w:r>
    </w:p>
    <w:p w14:paraId="7610FCCD" w14:textId="77777777" w:rsidR="00644810" w:rsidRPr="009241CF" w:rsidRDefault="00644810" w:rsidP="00644810">
      <w:pPr>
        <w:spacing w:before="100" w:beforeAutospacing="1" w:after="100" w:afterAutospacing="1" w:line="240" w:lineRule="auto"/>
        <w:ind w:left="1440"/>
        <w:rPr>
          <w:rFonts w:ascii="Times New Roman" w:eastAsia="Times New Roman" w:hAnsi="Times New Roman"/>
          <w:sz w:val="24"/>
          <w:szCs w:val="24"/>
        </w:rPr>
      </w:pPr>
      <w:r>
        <w:rPr>
          <w:rFonts w:ascii="Times New Roman" w:eastAsia="Times New Roman" w:hAnsi="Times New Roman"/>
          <w:sz w:val="24"/>
          <w:szCs w:val="24"/>
        </w:rPr>
        <w:t>“</w:t>
      </w:r>
      <w:r w:rsidRPr="009241CF">
        <w:rPr>
          <w:rFonts w:ascii="Times New Roman" w:eastAsia="Times New Roman" w:hAnsi="Times New Roman"/>
          <w:sz w:val="24"/>
          <w:szCs w:val="24"/>
        </w:rPr>
        <w:t>The administration closed fire stations last June on a rotating basis because the fire department exceeded its yearly overtime budget in the first five months of the year. The union objected, saying the decision was dangerous and the city not filling positions caused the overtime issue.</w:t>
      </w:r>
    </w:p>
    <w:p w14:paraId="04BF316C" w14:textId="77777777" w:rsidR="00644810" w:rsidRPr="009241CF" w:rsidRDefault="00644810" w:rsidP="00644810">
      <w:pPr>
        <w:spacing w:before="100" w:beforeAutospacing="1" w:after="100" w:afterAutospacing="1" w:line="240" w:lineRule="auto"/>
        <w:ind w:left="1440"/>
        <w:rPr>
          <w:rFonts w:ascii="Times New Roman" w:eastAsia="Times New Roman" w:hAnsi="Times New Roman"/>
          <w:sz w:val="24"/>
          <w:szCs w:val="24"/>
        </w:rPr>
      </w:pPr>
      <w:r w:rsidRPr="009241CF">
        <w:rPr>
          <w:rFonts w:ascii="Times New Roman" w:eastAsia="Times New Roman" w:hAnsi="Times New Roman"/>
          <w:sz w:val="24"/>
          <w:szCs w:val="24"/>
        </w:rPr>
        <w:t>The city closed stations on a rotating basis for about three months in 2018 because of overtime costs.</w:t>
      </w:r>
    </w:p>
    <w:p w14:paraId="35D7B3E8" w14:textId="77777777" w:rsidR="00644810" w:rsidRPr="009241CF" w:rsidRDefault="00644810" w:rsidP="00644810">
      <w:pPr>
        <w:spacing w:before="100" w:beforeAutospacing="1" w:after="100" w:afterAutospacing="1" w:line="240" w:lineRule="auto"/>
        <w:ind w:left="1440"/>
        <w:rPr>
          <w:rFonts w:ascii="Times New Roman" w:eastAsia="Times New Roman" w:hAnsi="Times New Roman"/>
          <w:sz w:val="24"/>
          <w:szCs w:val="24"/>
        </w:rPr>
      </w:pPr>
      <w:r w:rsidRPr="009241CF">
        <w:rPr>
          <w:rFonts w:ascii="Times New Roman" w:eastAsia="Times New Roman" w:hAnsi="Times New Roman"/>
          <w:sz w:val="24"/>
          <w:szCs w:val="24"/>
        </w:rPr>
        <w:t xml:space="preserve">The union issued a no-confidence vote against </w:t>
      </w:r>
      <w:r>
        <w:rPr>
          <w:rFonts w:ascii="Times New Roman" w:eastAsia="Times New Roman" w:hAnsi="Times New Roman"/>
          <w:sz w:val="24"/>
          <w:szCs w:val="24"/>
        </w:rPr>
        <w:t xml:space="preserve">[Fire Chief Barry] </w:t>
      </w:r>
      <w:r w:rsidRPr="009241CF">
        <w:rPr>
          <w:rFonts w:ascii="Times New Roman" w:eastAsia="Times New Roman" w:hAnsi="Times New Roman"/>
          <w:sz w:val="24"/>
          <w:szCs w:val="24"/>
        </w:rPr>
        <w:t xml:space="preserve">Finley in December 2019 after expressing concern about his leadership, and the city closed Fire Station No. 7 on the North Side that same month over the objections of the </w:t>
      </w:r>
      <w:proofErr w:type="gramStart"/>
      <w:r w:rsidRPr="009241CF">
        <w:rPr>
          <w:rFonts w:ascii="Times New Roman" w:eastAsia="Times New Roman" w:hAnsi="Times New Roman"/>
          <w:sz w:val="24"/>
          <w:szCs w:val="24"/>
        </w:rPr>
        <w:t>union.</w:t>
      </w:r>
      <w:r>
        <w:rPr>
          <w:rFonts w:ascii="Times New Roman" w:eastAsia="Times New Roman" w:hAnsi="Times New Roman"/>
          <w:sz w:val="24"/>
          <w:szCs w:val="24"/>
        </w:rPr>
        <w:t>”</w:t>
      </w:r>
      <w:proofErr w:type="gramEnd"/>
    </w:p>
    <w:p w14:paraId="6CD1445D" w14:textId="77777777" w:rsidR="00644810" w:rsidRDefault="00644810" w:rsidP="00F326E5">
      <w:pPr>
        <w:pStyle w:val="NoSpacing"/>
        <w:rPr>
          <w:rFonts w:ascii="Arial Black" w:hAnsi="Arial Black"/>
          <w:sz w:val="24"/>
          <w:szCs w:val="24"/>
        </w:rPr>
      </w:pPr>
    </w:p>
    <w:p w14:paraId="3984A789" w14:textId="77777777" w:rsidR="00644810" w:rsidRDefault="00644810" w:rsidP="00F326E5">
      <w:pPr>
        <w:pStyle w:val="NoSpacing"/>
        <w:rPr>
          <w:rFonts w:ascii="Arial Black" w:hAnsi="Arial Black"/>
          <w:sz w:val="24"/>
          <w:szCs w:val="24"/>
        </w:rPr>
      </w:pPr>
    </w:p>
    <w:p w14:paraId="1AC95D9B" w14:textId="77777777" w:rsidR="00644810" w:rsidRDefault="00644810" w:rsidP="00F326E5">
      <w:pPr>
        <w:pStyle w:val="NoSpacing"/>
        <w:rPr>
          <w:rFonts w:ascii="Arial Black" w:hAnsi="Arial Black"/>
          <w:sz w:val="24"/>
          <w:szCs w:val="24"/>
        </w:rPr>
      </w:pPr>
    </w:p>
    <w:p w14:paraId="64FA62B8" w14:textId="77777777" w:rsidR="00644810" w:rsidRDefault="00644810" w:rsidP="00F326E5">
      <w:pPr>
        <w:pStyle w:val="NoSpacing"/>
        <w:rPr>
          <w:rFonts w:ascii="Arial Black" w:hAnsi="Arial Black"/>
          <w:sz w:val="24"/>
          <w:szCs w:val="24"/>
        </w:rPr>
      </w:pPr>
    </w:p>
    <w:p w14:paraId="06EFD7A5" w14:textId="3A18D043" w:rsidR="007E3A28" w:rsidRDefault="007E3A28" w:rsidP="00F326E5">
      <w:pPr>
        <w:pStyle w:val="NoSpacing"/>
        <w:rPr>
          <w:rFonts w:ascii="Arial Black" w:hAnsi="Arial Black"/>
          <w:sz w:val="24"/>
          <w:szCs w:val="24"/>
        </w:rPr>
      </w:pPr>
      <w:r>
        <w:rPr>
          <w:rFonts w:ascii="Arial Black" w:hAnsi="Arial Black"/>
          <w:sz w:val="24"/>
          <w:szCs w:val="24"/>
        </w:rPr>
        <w:t>17-10</w:t>
      </w:r>
    </w:p>
    <w:p w14:paraId="24DCD890" w14:textId="77777777" w:rsidR="007E3A28" w:rsidRDefault="007E3A28" w:rsidP="007E3A28">
      <w:pPr>
        <w:spacing w:before="100" w:beforeAutospacing="1" w:after="100" w:afterAutospacing="1" w:line="240" w:lineRule="auto"/>
      </w:pPr>
      <w:r>
        <w:rPr>
          <w:rFonts w:ascii="Arial Black" w:hAnsi="Arial Black"/>
          <w:sz w:val="28"/>
          <w:szCs w:val="28"/>
        </w:rPr>
        <w:t>NJ: “RULE OF THREE” – NO. 1 ON LIST BYPASSED – NO. 2 PROMOTED DEPUTY CHIEF – NO PROOF FIRE CHIEF / CITY WAS ANTI-UNION</w:t>
      </w:r>
    </w:p>
    <w:p w14:paraId="476CD3DE" w14:textId="77777777" w:rsidR="007E3A28" w:rsidRDefault="007E3A28" w:rsidP="007E3A28">
      <w:pPr>
        <w:spacing w:before="100" w:beforeAutospacing="1" w:after="100" w:afterAutospacing="1" w:line="240" w:lineRule="auto"/>
        <w:rPr>
          <w:rFonts w:ascii="Times New Roman" w:hAnsi="Times New Roman"/>
          <w:sz w:val="24"/>
          <w:szCs w:val="24"/>
        </w:rPr>
      </w:pPr>
      <w:r w:rsidRPr="00394F8F">
        <w:rPr>
          <w:rFonts w:ascii="Times New Roman" w:hAnsi="Times New Roman"/>
          <w:sz w:val="24"/>
          <w:szCs w:val="24"/>
        </w:rPr>
        <w:t xml:space="preserve">On </w:t>
      </w:r>
      <w:r>
        <w:rPr>
          <w:rFonts w:ascii="Times New Roman" w:hAnsi="Times New Roman"/>
          <w:sz w:val="24"/>
          <w:szCs w:val="24"/>
        </w:rPr>
        <w:t xml:space="preserve">Nov. 3, 2021, </w:t>
      </w:r>
      <w:r w:rsidRPr="00325E3C">
        <w:rPr>
          <w:rFonts w:ascii="Times New Roman" w:hAnsi="Times New Roman"/>
          <w:sz w:val="24"/>
          <w:szCs w:val="24"/>
          <w:u w:val="single"/>
        </w:rPr>
        <w:t>In</w:t>
      </w:r>
      <w:r>
        <w:rPr>
          <w:rFonts w:ascii="Times New Roman" w:hAnsi="Times New Roman"/>
          <w:sz w:val="24"/>
          <w:szCs w:val="24"/>
          <w:u w:val="single"/>
        </w:rPr>
        <w:t xml:space="preserve"> </w:t>
      </w:r>
      <w:r w:rsidRPr="00325E3C">
        <w:rPr>
          <w:rFonts w:ascii="Times New Roman" w:hAnsi="Times New Roman"/>
          <w:sz w:val="24"/>
          <w:szCs w:val="24"/>
          <w:u w:val="single"/>
        </w:rPr>
        <w:t>The Matter Of Jason Ryan, Hamilton Township Fire District Number 2</w:t>
      </w:r>
      <w:r>
        <w:rPr>
          <w:rFonts w:ascii="Times New Roman" w:hAnsi="Times New Roman"/>
          <w:sz w:val="24"/>
          <w:szCs w:val="24"/>
        </w:rPr>
        <w:t xml:space="preserve">, the Superior Court of New Jersey, Appellate Division, held (2 to 0; unpublished decision) that Jason Ryan, while having the highest promotion exam score, failed to present evidence that the Board of Fire Commissioners and the Fire Chief bypassed him because he was a union steward and Vice President for the New Jersey Firefighters’ Mutual Benevolent Association (Local No. 284).  The Board has previously promoted union officers, and in 2008 Ryan was promoted to Captain, bypassing a candidate ahead of him on the eligibility list. The Board sent him a detailed “Statement of Reasons” letter that reviewed the reasons for selecting Sullivan, as required under the New Jersey “Rule of Three” statute. </w:t>
      </w:r>
    </w:p>
    <w:p w14:paraId="3508D765" w14:textId="77777777" w:rsidR="007E3A28" w:rsidRDefault="007E3A28" w:rsidP="007E3A28">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1C412B">
        <w:rPr>
          <w:rFonts w:ascii="Times New Roman" w:hAnsi="Times New Roman"/>
          <w:sz w:val="24"/>
          <w:szCs w:val="24"/>
        </w:rPr>
        <w:t>Petitioner did not meet his initial burden because he failed to present any evidence that he was bypassed because of his union involvement. Indeed, the only evidence petitioner offered was his characterization of several incidents and resulting discipline. These incidents, however, are insufficient to demonstrate the Board or the Commission was motivated by anti-union animus.</w:t>
      </w:r>
    </w:p>
    <w:p w14:paraId="2F3C1F2D" w14:textId="77777777" w:rsidR="007E3A28" w:rsidRPr="00394F8F" w:rsidRDefault="007E3A28" w:rsidP="007E3A28">
      <w:pPr>
        <w:spacing w:before="100" w:beforeAutospacing="1" w:after="100" w:afterAutospacing="1" w:line="240" w:lineRule="auto"/>
        <w:ind w:left="720"/>
        <w:rPr>
          <w:rFonts w:ascii="Times New Roman" w:eastAsia="Times New Roman" w:hAnsi="Times New Roman"/>
          <w:sz w:val="24"/>
          <w:szCs w:val="24"/>
        </w:rPr>
      </w:pPr>
      <w:r w:rsidRPr="00394F8F">
        <w:rPr>
          <w:rFonts w:ascii="Times New Roman" w:eastAsia="Times New Roman" w:hAnsi="Times New Roman"/>
          <w:sz w:val="24"/>
          <w:szCs w:val="24"/>
        </w:rPr>
        <w:t xml:space="preserve">And, as the Commission noted, the Board had recently promoted two union-affiliated firefighters. </w:t>
      </w:r>
    </w:p>
    <w:p w14:paraId="3084C0E3" w14:textId="77777777" w:rsidR="007E3A28" w:rsidRPr="00394F8F" w:rsidRDefault="007E3A28" w:rsidP="007E3A28">
      <w:pPr>
        <w:spacing w:before="100" w:beforeAutospacing="1" w:after="100" w:afterAutospacing="1" w:line="240" w:lineRule="auto"/>
        <w:ind w:left="720"/>
        <w:rPr>
          <w:rFonts w:ascii="Times New Roman" w:eastAsia="Times New Roman" w:hAnsi="Times New Roman"/>
          <w:sz w:val="24"/>
          <w:szCs w:val="24"/>
        </w:rPr>
      </w:pPr>
      <w:r w:rsidRPr="00394F8F">
        <w:rPr>
          <w:rFonts w:ascii="Times New Roman" w:eastAsia="Times New Roman" w:hAnsi="Times New Roman"/>
          <w:sz w:val="24"/>
          <w:szCs w:val="24"/>
        </w:rPr>
        <w:t xml:space="preserve">Moreover, the Commission correctly concluded the Board had provided legitimate, non-discriminatory reasons for bypassing petitioner. Although </w:t>
      </w:r>
      <w:r>
        <w:rPr>
          <w:rFonts w:ascii="Times New Roman" w:eastAsia="Times New Roman" w:hAnsi="Times New Roman"/>
          <w:sz w:val="24"/>
          <w:szCs w:val="24"/>
        </w:rPr>
        <w:t xml:space="preserve">[Blair] </w:t>
      </w:r>
      <w:r w:rsidRPr="00394F8F">
        <w:rPr>
          <w:rFonts w:ascii="Times New Roman" w:eastAsia="Times New Roman" w:hAnsi="Times New Roman"/>
          <w:sz w:val="24"/>
          <w:szCs w:val="24"/>
        </w:rPr>
        <w:t xml:space="preserve">Sullivan had a slightly lower test score, the Commission explained why he was the </w:t>
      </w:r>
      <w:r>
        <w:rPr>
          <w:rFonts w:ascii="Times New Roman" w:eastAsia="Times New Roman" w:hAnsi="Times New Roman"/>
          <w:sz w:val="24"/>
          <w:szCs w:val="24"/>
        </w:rPr>
        <w:t>‘</w:t>
      </w:r>
      <w:r w:rsidRPr="00394F8F">
        <w:rPr>
          <w:rFonts w:ascii="Times New Roman" w:eastAsia="Times New Roman" w:hAnsi="Times New Roman"/>
          <w:sz w:val="24"/>
          <w:szCs w:val="24"/>
        </w:rPr>
        <w:t xml:space="preserve">best candidate for the position based on his fitness, merit, experience, service to the </w:t>
      </w:r>
      <w:proofErr w:type="gramStart"/>
      <w:r w:rsidRPr="00394F8F">
        <w:rPr>
          <w:rFonts w:ascii="Times New Roman" w:eastAsia="Times New Roman" w:hAnsi="Times New Roman"/>
          <w:sz w:val="24"/>
          <w:szCs w:val="24"/>
        </w:rPr>
        <w:t>District</w:t>
      </w:r>
      <w:proofErr w:type="gramEnd"/>
      <w:r w:rsidRPr="00394F8F">
        <w:rPr>
          <w:rFonts w:ascii="Times New Roman" w:eastAsia="Times New Roman" w:hAnsi="Times New Roman"/>
          <w:sz w:val="24"/>
          <w:szCs w:val="24"/>
        </w:rPr>
        <w:t>, and passion for the Deputy Fire Chief Position.</w:t>
      </w:r>
      <w:r>
        <w:rPr>
          <w:rFonts w:ascii="Times New Roman" w:eastAsia="Times New Roman" w:hAnsi="Times New Roman"/>
          <w:sz w:val="24"/>
          <w:szCs w:val="24"/>
        </w:rPr>
        <w:t xml:space="preserve">’” </w:t>
      </w:r>
      <w:hyperlink r:id="rId2829" w:history="1">
        <w:r w:rsidRPr="00316766">
          <w:rPr>
            <w:rStyle w:val="Hyperlink"/>
            <w:rFonts w:ascii="Times New Roman" w:eastAsia="Times New Roman" w:hAnsi="Times New Roman"/>
            <w:sz w:val="24"/>
            <w:szCs w:val="24"/>
          </w:rPr>
          <w:t>https://casetext.com/case/in-re-ryan-542034</w:t>
        </w:r>
      </w:hyperlink>
      <w:r>
        <w:rPr>
          <w:rFonts w:ascii="Times New Roman" w:eastAsia="Times New Roman" w:hAnsi="Times New Roman"/>
          <w:sz w:val="24"/>
          <w:szCs w:val="24"/>
        </w:rPr>
        <w:t xml:space="preserve"> </w:t>
      </w:r>
    </w:p>
    <w:p w14:paraId="187A061D" w14:textId="77777777" w:rsidR="007E3A28" w:rsidRPr="00D9180B" w:rsidRDefault="007E3A28" w:rsidP="007E3A28">
      <w:pPr>
        <w:spacing w:before="100" w:beforeAutospacing="1" w:after="100" w:afterAutospacing="1" w:line="240" w:lineRule="auto"/>
        <w:rPr>
          <w:rFonts w:ascii="Times New Roman" w:eastAsia="Times New Roman" w:hAnsi="Times New Roman"/>
          <w:b/>
          <w:bCs/>
          <w:sz w:val="24"/>
          <w:szCs w:val="24"/>
        </w:rPr>
      </w:pPr>
      <w:r w:rsidRPr="00107160">
        <w:rPr>
          <w:rFonts w:ascii="Times New Roman" w:eastAsia="Times New Roman" w:hAnsi="Times New Roman"/>
          <w:b/>
          <w:bCs/>
          <w:sz w:val="24"/>
          <w:szCs w:val="24"/>
        </w:rPr>
        <w:t>Legal Lesson Learned:</w:t>
      </w:r>
      <w:r>
        <w:rPr>
          <w:rFonts w:ascii="Times New Roman" w:eastAsia="Times New Roman" w:hAnsi="Times New Roman"/>
          <w:b/>
          <w:bCs/>
          <w:sz w:val="24"/>
          <w:szCs w:val="24"/>
        </w:rPr>
        <w:t xml:space="preserve"> The Board wisely prepared a detailed “Statement of Reasons” for selecting No. 2 person as the Deputy Fire Chief. </w:t>
      </w:r>
    </w:p>
    <w:p w14:paraId="436F6E07" w14:textId="77777777" w:rsidR="007E3A28" w:rsidRDefault="007E3A28" w:rsidP="00F326E5">
      <w:pPr>
        <w:pStyle w:val="NoSpacing"/>
        <w:rPr>
          <w:rFonts w:ascii="Arial Black" w:hAnsi="Arial Black"/>
          <w:sz w:val="24"/>
          <w:szCs w:val="24"/>
        </w:rPr>
      </w:pPr>
    </w:p>
    <w:p w14:paraId="718412D6" w14:textId="77777777" w:rsidR="007E3A28" w:rsidRDefault="007E3A28" w:rsidP="00F326E5">
      <w:pPr>
        <w:pStyle w:val="NoSpacing"/>
        <w:rPr>
          <w:rFonts w:ascii="Arial Black" w:hAnsi="Arial Black"/>
          <w:sz w:val="24"/>
          <w:szCs w:val="24"/>
        </w:rPr>
      </w:pPr>
    </w:p>
    <w:p w14:paraId="5D72F480" w14:textId="3A307EFA" w:rsidR="005217D5" w:rsidRDefault="002F610D" w:rsidP="00F326E5">
      <w:pPr>
        <w:pStyle w:val="NoSpacing"/>
        <w:rPr>
          <w:rFonts w:ascii="Arial Black" w:hAnsi="Arial Black"/>
          <w:sz w:val="24"/>
          <w:szCs w:val="24"/>
        </w:rPr>
      </w:pPr>
      <w:r>
        <w:rPr>
          <w:rFonts w:ascii="Arial Black" w:hAnsi="Arial Black"/>
          <w:sz w:val="24"/>
          <w:szCs w:val="24"/>
        </w:rPr>
        <w:t>17-9</w:t>
      </w:r>
    </w:p>
    <w:p w14:paraId="7DE7FC92" w14:textId="77777777" w:rsidR="002F610D" w:rsidRPr="008952B2" w:rsidRDefault="002F610D" w:rsidP="002F610D">
      <w:pPr>
        <w:pStyle w:val="NormalWeb"/>
        <w:rPr>
          <w:rStyle w:val="markedcontent"/>
          <w:rFonts w:ascii="Arial Black" w:hAnsi="Arial Black"/>
          <w:sz w:val="28"/>
          <w:szCs w:val="28"/>
        </w:rPr>
      </w:pPr>
      <w:bookmarkStart w:id="633" w:name="_Hlk81842929"/>
      <w:r>
        <w:rPr>
          <w:rStyle w:val="markedcontent"/>
          <w:rFonts w:ascii="Arial Black" w:hAnsi="Arial Black"/>
          <w:sz w:val="28"/>
          <w:szCs w:val="28"/>
        </w:rPr>
        <w:t xml:space="preserve">NB: UNION PRES. FIRED - ASSAULT IN BAR, “WHITE POWER” – ARBITRATOR REVERSES, 5 SHIFT SUSPENSION </w:t>
      </w:r>
    </w:p>
    <w:bookmarkEnd w:id="633"/>
    <w:p w14:paraId="47D16F0A" w14:textId="77777777" w:rsidR="002F610D" w:rsidRPr="00BC5562" w:rsidRDefault="002F610D" w:rsidP="002F610D">
      <w:pPr>
        <w:pStyle w:val="NormalWeb"/>
        <w:rPr>
          <w:rStyle w:val="markedcontent"/>
        </w:rPr>
      </w:pPr>
      <w:r w:rsidRPr="00BC5562">
        <w:rPr>
          <w:rStyle w:val="markedcontent"/>
        </w:rPr>
        <w:t xml:space="preserve">On Aug. 6, 2021, in </w:t>
      </w:r>
      <w:r w:rsidRPr="00BC5562">
        <w:rPr>
          <w:rStyle w:val="markedcontent"/>
          <w:u w:val="single"/>
        </w:rPr>
        <w:t xml:space="preserve">City of Omaha v. Professional Firefighters Association of Omaha, </w:t>
      </w:r>
      <w:r w:rsidRPr="00BC5562">
        <w:rPr>
          <w:u w:val="single"/>
        </w:rPr>
        <w:br/>
      </w:r>
      <w:r w:rsidRPr="00BC5562">
        <w:rPr>
          <w:rStyle w:val="markedcontent"/>
          <w:u w:val="single"/>
        </w:rPr>
        <w:t>Local 385, AFL-CIO</w:t>
      </w:r>
      <w:r w:rsidRPr="00BC5562">
        <w:rPr>
          <w:rStyle w:val="markedcontent"/>
        </w:rPr>
        <w:t xml:space="preserve">, the Nebraska Supreme Court held (6 to 0) that the arbitrator’s decision reinstating Union President Steve LeClair must be enforced; the city failed to prove that the arbitration award because the arbitrator exceeded her powers. The City appealed to state District Court, which dismissed the City’s appeal and ordered the City to reimburse union for $16,000 in attorney fees for filing a “frivolous” appeal.  The Nebraska Supreme Court agreed that termination was too </w:t>
      </w:r>
      <w:proofErr w:type="gramStart"/>
      <w:r w:rsidRPr="00BC5562">
        <w:rPr>
          <w:rStyle w:val="markedcontent"/>
        </w:rPr>
        <w:t>harsh, but</w:t>
      </w:r>
      <w:proofErr w:type="gramEnd"/>
      <w:r w:rsidRPr="00BC5562">
        <w:rPr>
          <w:rStyle w:val="markedcontent"/>
        </w:rPr>
        <w:t xml:space="preserve"> set aside the attorney fees award. </w:t>
      </w:r>
    </w:p>
    <w:p w14:paraId="10B766E2" w14:textId="489DB22B" w:rsidR="002F610D" w:rsidRDefault="002F610D" w:rsidP="002F610D">
      <w:pPr>
        <w:pStyle w:val="NoSpacing"/>
        <w:rPr>
          <w:rFonts w:ascii="Arial Black" w:hAnsi="Arial Black"/>
          <w:sz w:val="24"/>
          <w:szCs w:val="24"/>
        </w:rPr>
      </w:pPr>
      <w:r w:rsidRPr="002F610D">
        <w:rPr>
          <w:rStyle w:val="markedcontent"/>
          <w:rFonts w:ascii="Times New Roman" w:hAnsi="Times New Roman"/>
          <w:sz w:val="24"/>
          <w:szCs w:val="24"/>
        </w:rPr>
        <w:t>“Equally quick work can be made of the City’s claim that the arbitrator exceeded her powers by ‘</w:t>
      </w:r>
      <w:proofErr w:type="spellStart"/>
      <w:r w:rsidRPr="002F610D">
        <w:rPr>
          <w:rStyle w:val="markedcontent"/>
          <w:rFonts w:ascii="Times New Roman" w:hAnsi="Times New Roman"/>
          <w:sz w:val="24"/>
          <w:szCs w:val="24"/>
        </w:rPr>
        <w:t>substitut</w:t>
      </w:r>
      <w:proofErr w:type="spellEnd"/>
      <w:r w:rsidRPr="002F610D">
        <w:rPr>
          <w:rStyle w:val="markedcontent"/>
          <w:rFonts w:ascii="Times New Roman" w:hAnsi="Times New Roman"/>
          <w:sz w:val="24"/>
          <w:szCs w:val="24"/>
        </w:rPr>
        <w:t>[</w:t>
      </w:r>
      <w:proofErr w:type="spellStart"/>
      <w:r w:rsidRPr="002F610D">
        <w:rPr>
          <w:rStyle w:val="markedcontent"/>
          <w:rFonts w:ascii="Times New Roman" w:hAnsi="Times New Roman"/>
          <w:sz w:val="24"/>
          <w:szCs w:val="24"/>
        </w:rPr>
        <w:t>ing</w:t>
      </w:r>
      <w:proofErr w:type="spellEnd"/>
      <w:r w:rsidRPr="002F610D">
        <w:rPr>
          <w:rStyle w:val="markedcontent"/>
          <w:rFonts w:ascii="Times New Roman" w:hAnsi="Times New Roman"/>
          <w:sz w:val="24"/>
          <w:szCs w:val="24"/>
        </w:rPr>
        <w:t xml:space="preserve">] her own discipline.’ Brief for appellant at 31. This objection is aimed at the arbitrator’s order that LeClair should lose five shifts of backpay for his actions. The </w:t>
      </w:r>
      <w:proofErr w:type="gramStart"/>
      <w:r w:rsidRPr="002F610D">
        <w:rPr>
          <w:rStyle w:val="markedcontent"/>
          <w:rFonts w:ascii="Times New Roman" w:hAnsi="Times New Roman"/>
          <w:sz w:val="24"/>
          <w:szCs w:val="24"/>
        </w:rPr>
        <w:t>City</w:t>
      </w:r>
      <w:proofErr w:type="gramEnd"/>
      <w:r w:rsidRPr="002F610D">
        <w:rPr>
          <w:rStyle w:val="markedcontent"/>
          <w:rFonts w:ascii="Times New Roman" w:hAnsi="Times New Roman"/>
          <w:sz w:val="24"/>
          <w:szCs w:val="24"/>
        </w:rPr>
        <w:t xml:space="preserve"> claims the arbitrator did not have the power to craft her own discipline for LeClair’s actions. The City, however, has not directed us to authority that supports its argument.”</w:t>
      </w:r>
      <w:r w:rsidRPr="007365A2">
        <w:t xml:space="preserve"> </w:t>
      </w:r>
      <w:hyperlink r:id="rId2830" w:history="1">
        <w:r w:rsidRPr="007365A2">
          <w:rPr>
            <w:rStyle w:val="Hyperlink"/>
          </w:rPr>
          <w:t>file:///C:/Users/lawre/AppData/Local/Temp/N00008009PUB.pdf</w:t>
        </w:r>
      </w:hyperlink>
    </w:p>
    <w:p w14:paraId="13FD71FE" w14:textId="21FEC079" w:rsidR="002F610D" w:rsidRDefault="002F610D" w:rsidP="00F326E5">
      <w:pPr>
        <w:pStyle w:val="NoSpacing"/>
        <w:rPr>
          <w:rFonts w:ascii="Arial Black" w:hAnsi="Arial Black"/>
          <w:sz w:val="24"/>
          <w:szCs w:val="24"/>
        </w:rPr>
      </w:pPr>
    </w:p>
    <w:p w14:paraId="1128ED2B" w14:textId="77777777" w:rsidR="002F610D" w:rsidRPr="006D4E82" w:rsidRDefault="002F610D" w:rsidP="002F610D">
      <w:pPr>
        <w:pStyle w:val="NormalWeb"/>
        <w:tabs>
          <w:tab w:val="left" w:pos="3330"/>
        </w:tabs>
        <w:rPr>
          <w:b/>
          <w:bCs/>
        </w:rPr>
      </w:pPr>
      <w:r w:rsidRPr="006D4E82">
        <w:rPr>
          <w:rStyle w:val="markedcontent"/>
          <w:b/>
          <w:bCs/>
        </w:rPr>
        <w:t>Legal Lesson Learned:</w:t>
      </w:r>
      <w:r>
        <w:rPr>
          <w:rStyle w:val="markedcontent"/>
          <w:b/>
          <w:bCs/>
        </w:rPr>
        <w:t xml:space="preserve"> Courts generally enforce arbitrator decisions.  </w:t>
      </w:r>
      <w:r>
        <w:rPr>
          <w:rStyle w:val="markedcontent"/>
          <w:b/>
          <w:bCs/>
        </w:rPr>
        <w:tab/>
        <w:t xml:space="preserve"> </w:t>
      </w:r>
    </w:p>
    <w:p w14:paraId="452AAC83" w14:textId="6A1F3A59" w:rsidR="002F610D" w:rsidRDefault="002F610D" w:rsidP="002F610D">
      <w:pPr>
        <w:pStyle w:val="NoSpacing"/>
        <w:rPr>
          <w:rFonts w:ascii="Arial Black" w:hAnsi="Arial Black"/>
          <w:sz w:val="24"/>
          <w:szCs w:val="24"/>
        </w:rPr>
      </w:pPr>
      <w:r>
        <w:t xml:space="preserve">Note: See Aug. 11, </w:t>
      </w:r>
      <w:proofErr w:type="gramStart"/>
      <w:r>
        <w:t>2021</w:t>
      </w:r>
      <w:proofErr w:type="gramEnd"/>
      <w:r>
        <w:t xml:space="preserve"> article, “</w:t>
      </w:r>
      <w:r w:rsidRPr="00826CE9">
        <w:t xml:space="preserve">Nebraska Supreme Court Sides </w:t>
      </w:r>
      <w:proofErr w:type="gramStart"/>
      <w:r w:rsidRPr="00826CE9">
        <w:t>With</w:t>
      </w:r>
      <w:proofErr w:type="gramEnd"/>
      <w:r w:rsidRPr="00826CE9">
        <w:t xml:space="preserve"> Omaha Fire Union Chief </w:t>
      </w:r>
      <w:proofErr w:type="gramStart"/>
      <w:r w:rsidRPr="00826CE9">
        <w:t>In</w:t>
      </w:r>
      <w:proofErr w:type="gramEnd"/>
      <w:r w:rsidRPr="00826CE9">
        <w:t xml:space="preserve"> Dispute </w:t>
      </w:r>
      <w:proofErr w:type="gramStart"/>
      <w:r w:rsidRPr="00826CE9">
        <w:t>With</w:t>
      </w:r>
      <w:proofErr w:type="gramEnd"/>
      <w:r w:rsidRPr="00826CE9">
        <w:t xml:space="preserve"> City.   </w:t>
      </w:r>
      <w:r w:rsidRPr="00492A28">
        <w:t>appeal the discipline to an independent arbitrator.</w:t>
      </w:r>
      <w:r>
        <w:t xml:space="preserve">” </w:t>
      </w:r>
      <w:hyperlink r:id="rId2831" w:history="1">
        <w:r w:rsidRPr="00472D9E">
          <w:rPr>
            <w:rStyle w:val="Hyperlink"/>
          </w:rPr>
          <w:t>https://www.ketv.com/article/nebraska-supreme-court-sides-with-omaha-fire-union-chief-in-dispute-with-city/37244601#</w:t>
        </w:r>
      </w:hyperlink>
    </w:p>
    <w:p w14:paraId="254FEC65" w14:textId="77777777" w:rsidR="002F610D" w:rsidRDefault="002F610D" w:rsidP="00F326E5">
      <w:pPr>
        <w:pStyle w:val="NoSpacing"/>
        <w:rPr>
          <w:rFonts w:ascii="Arial Black" w:hAnsi="Arial Black"/>
          <w:sz w:val="24"/>
          <w:szCs w:val="24"/>
        </w:rPr>
      </w:pPr>
    </w:p>
    <w:p w14:paraId="0157EB83" w14:textId="7D0AE068" w:rsidR="005217D5" w:rsidRDefault="005217D5" w:rsidP="00F326E5">
      <w:pPr>
        <w:pStyle w:val="NoSpacing"/>
        <w:rPr>
          <w:rFonts w:ascii="Arial Black" w:hAnsi="Arial Black"/>
          <w:sz w:val="24"/>
          <w:szCs w:val="24"/>
        </w:rPr>
      </w:pPr>
      <w:r>
        <w:rPr>
          <w:rFonts w:ascii="Arial Black" w:hAnsi="Arial Black"/>
          <w:sz w:val="24"/>
          <w:szCs w:val="24"/>
        </w:rPr>
        <w:t>17-8</w:t>
      </w:r>
    </w:p>
    <w:p w14:paraId="30C4BB9D" w14:textId="065E42B1" w:rsidR="005217D5" w:rsidRDefault="005217D5" w:rsidP="00F326E5">
      <w:pPr>
        <w:pStyle w:val="NoSpacing"/>
        <w:rPr>
          <w:rFonts w:ascii="Arial Black" w:hAnsi="Arial Black"/>
          <w:sz w:val="24"/>
          <w:szCs w:val="24"/>
        </w:rPr>
      </w:pPr>
    </w:p>
    <w:p w14:paraId="1E90D6FF" w14:textId="77777777" w:rsidR="005217D5" w:rsidRPr="001F43B5" w:rsidRDefault="005217D5" w:rsidP="005217D5">
      <w:pPr>
        <w:rPr>
          <w:rStyle w:val="markedcontent"/>
          <w:rFonts w:ascii="Arial Black" w:hAnsi="Arial Black"/>
          <w:sz w:val="28"/>
          <w:szCs w:val="28"/>
        </w:rPr>
      </w:pPr>
      <w:r w:rsidRPr="001F43B5">
        <w:rPr>
          <w:rStyle w:val="markedcontent"/>
          <w:rFonts w:ascii="Arial Black" w:hAnsi="Arial Black"/>
          <w:sz w:val="28"/>
          <w:szCs w:val="28"/>
        </w:rPr>
        <w:t xml:space="preserve">DE: </w:t>
      </w:r>
      <w:r>
        <w:rPr>
          <w:rStyle w:val="markedcontent"/>
          <w:rFonts w:ascii="Arial Black" w:hAnsi="Arial Black"/>
          <w:sz w:val="28"/>
          <w:szCs w:val="28"/>
        </w:rPr>
        <w:t>STATION BROWNOUTS - FIRE CHIEF SCHEDULE CHANGE 24/72 TO 24/48 – NEW CBA MUST BE SPECIFIC</w:t>
      </w:r>
    </w:p>
    <w:p w14:paraId="3594A74A" w14:textId="77777777" w:rsidR="005217D5" w:rsidRDefault="005217D5" w:rsidP="005217D5">
      <w:pPr>
        <w:rPr>
          <w:rStyle w:val="markedcontent"/>
          <w:rFonts w:ascii="Times New Roman" w:hAnsi="Times New Roman"/>
          <w:sz w:val="24"/>
          <w:szCs w:val="24"/>
        </w:rPr>
      </w:pPr>
      <w:r>
        <w:rPr>
          <w:rStyle w:val="markedcontent"/>
          <w:rFonts w:ascii="Times New Roman" w:hAnsi="Times New Roman"/>
          <w:sz w:val="24"/>
          <w:szCs w:val="24"/>
        </w:rPr>
        <w:t xml:space="preserve">On June 28, 2021, in </w:t>
      </w:r>
      <w:r w:rsidRPr="001F43B5">
        <w:rPr>
          <w:rStyle w:val="markedcontent"/>
          <w:rFonts w:ascii="Times New Roman" w:hAnsi="Times New Roman"/>
          <w:sz w:val="24"/>
          <w:szCs w:val="24"/>
          <w:u w:val="single"/>
        </w:rPr>
        <w:t>International Association of Firefighters, Local 1590 v. City of Wilmington</w:t>
      </w:r>
      <w:r>
        <w:rPr>
          <w:rStyle w:val="markedcontent"/>
          <w:rFonts w:ascii="Times New Roman" w:hAnsi="Times New Roman"/>
          <w:sz w:val="24"/>
          <w:szCs w:val="24"/>
        </w:rPr>
        <w:t xml:space="preserve">, the Court of Chancery of the State of Delaware (Vice Chancellor </w:t>
      </w:r>
      <w:r w:rsidRPr="001F43B5">
        <w:rPr>
          <w:rStyle w:val="markedcontent"/>
          <w:rFonts w:ascii="Times New Roman" w:hAnsi="Times New Roman"/>
          <w:sz w:val="24"/>
          <w:szCs w:val="24"/>
        </w:rPr>
        <w:t>Paul A. Fioravanti, Jr.</w:t>
      </w:r>
      <w:r>
        <w:rPr>
          <w:rStyle w:val="markedcontent"/>
          <w:rFonts w:ascii="Times New Roman" w:hAnsi="Times New Roman"/>
          <w:sz w:val="24"/>
          <w:szCs w:val="24"/>
        </w:rPr>
        <w:t xml:space="preserve">) ordered the case back to the Public Employee Relations Board because the city’s final offer only described the new schedule (24/48 schedule with 17 Kelly Days) “as an example” in the Collective Bargaining Agreement. Judge agreed with IAFF that this gave the  Fire Chief inappropriate discretion to change the schedule in future without collective bargaining. </w:t>
      </w:r>
    </w:p>
    <w:p w14:paraId="22E293A2" w14:textId="77777777" w:rsidR="005217D5" w:rsidRDefault="005217D5" w:rsidP="005217D5">
      <w:pPr>
        <w:ind w:left="720"/>
        <w:rPr>
          <w:rStyle w:val="markedcontent"/>
          <w:rFonts w:ascii="Times New Roman" w:hAnsi="Times New Roman"/>
          <w:sz w:val="24"/>
          <w:szCs w:val="24"/>
        </w:rPr>
      </w:pPr>
      <w:r>
        <w:rPr>
          <w:rStyle w:val="markedcontent"/>
          <w:rFonts w:ascii="Times New Roman" w:hAnsi="Times New Roman"/>
          <w:sz w:val="24"/>
          <w:szCs w:val="24"/>
        </w:rPr>
        <w:t>“</w:t>
      </w:r>
      <w:r w:rsidRPr="00C4258E">
        <w:rPr>
          <w:rStyle w:val="markedcontent"/>
          <w:rFonts w:ascii="Times New Roman" w:hAnsi="Times New Roman"/>
          <w:sz w:val="24"/>
          <w:szCs w:val="24"/>
        </w:rPr>
        <w:t xml:space="preserve">The City’s LBFO, however, did not establish a 24/48 schedule. Although the BIA Decision states that the City’s proposal </w:t>
      </w:r>
      <w:r>
        <w:rPr>
          <w:rStyle w:val="markedcontent"/>
          <w:rFonts w:ascii="Times New Roman" w:hAnsi="Times New Roman"/>
          <w:sz w:val="24"/>
          <w:szCs w:val="24"/>
        </w:rPr>
        <w:t>‘</w:t>
      </w:r>
      <w:r w:rsidRPr="00C4258E">
        <w:rPr>
          <w:rStyle w:val="markedcontent"/>
          <w:rFonts w:ascii="Times New Roman" w:hAnsi="Times New Roman"/>
          <w:sz w:val="24"/>
          <w:szCs w:val="24"/>
        </w:rPr>
        <w:t>specifically</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 called for a 24/48 schedule to replace the 24/72 schedule, the plain language of the City’s LBFO does not support that construction. The City’s LBFO struck the language from the 2016 CBA that outlined a 24/72 </w:t>
      </w:r>
      <w:proofErr w:type="gramStart"/>
      <w:r w:rsidRPr="00C4258E">
        <w:rPr>
          <w:rStyle w:val="markedcontent"/>
          <w:rFonts w:ascii="Times New Roman" w:hAnsi="Times New Roman"/>
          <w:sz w:val="24"/>
          <w:szCs w:val="24"/>
        </w:rPr>
        <w:t>schedule</w:t>
      </w:r>
      <w:r>
        <w:rPr>
          <w:rStyle w:val="markedcontent"/>
          <w:rFonts w:ascii="Times New Roman" w:hAnsi="Times New Roman"/>
          <w:sz w:val="24"/>
          <w:szCs w:val="24"/>
        </w:rPr>
        <w:t xml:space="preserve">, </w:t>
      </w:r>
      <w:r w:rsidRPr="00C4258E">
        <w:rPr>
          <w:rStyle w:val="markedcontent"/>
          <w:rFonts w:ascii="Times New Roman" w:hAnsi="Times New Roman"/>
          <w:sz w:val="24"/>
          <w:szCs w:val="24"/>
        </w:rPr>
        <w:t>but</w:t>
      </w:r>
      <w:proofErr w:type="gramEnd"/>
      <w:r w:rsidRPr="00C4258E">
        <w:rPr>
          <w:rStyle w:val="markedcontent"/>
          <w:rFonts w:ascii="Times New Roman" w:hAnsi="Times New Roman"/>
          <w:sz w:val="24"/>
          <w:szCs w:val="24"/>
        </w:rPr>
        <w:t xml:space="preserve"> did not replace it with analogous language providing a 24/48 schedule. Tab 4 at 1, 10. Instead, the City’s LBFO </w:t>
      </w:r>
      <w:proofErr w:type="gramStart"/>
      <w:r w:rsidRPr="00C4258E">
        <w:rPr>
          <w:rStyle w:val="markedcontent"/>
          <w:rFonts w:ascii="Times New Roman" w:hAnsi="Times New Roman"/>
          <w:sz w:val="24"/>
          <w:szCs w:val="24"/>
        </w:rPr>
        <w:t>provided that</w:t>
      </w:r>
      <w:proofErr w:type="gramEnd"/>
      <w:r w:rsidRPr="00C4258E">
        <w:rPr>
          <w:rStyle w:val="markedcontent"/>
          <w:rFonts w:ascii="Times New Roman" w:hAnsi="Times New Roman"/>
          <w:sz w:val="24"/>
          <w:szCs w:val="24"/>
        </w:rPr>
        <w:t xml:space="preserve"> firefighters would work a shift of an unspecified length </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as determined off </w:t>
      </w:r>
      <w:r>
        <w:rPr>
          <w:rStyle w:val="markedcontent"/>
          <w:rFonts w:ascii="Times New Roman" w:hAnsi="Times New Roman"/>
          <w:sz w:val="24"/>
          <w:szCs w:val="24"/>
        </w:rPr>
        <w:t>‘</w:t>
      </w:r>
      <w:r w:rsidRPr="00C4258E">
        <w:rPr>
          <w:rStyle w:val="markedcontent"/>
          <w:rFonts w:ascii="Times New Roman" w:hAnsi="Times New Roman"/>
          <w:sz w:val="24"/>
          <w:szCs w:val="24"/>
        </w:rPr>
        <w:t>under a work schedule as established by the Chief of Fire.</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 Id. To be sure, the City’s LBFO stated, </w:t>
      </w:r>
      <w:r>
        <w:rPr>
          <w:rStyle w:val="markedcontent"/>
          <w:rFonts w:ascii="Times New Roman" w:hAnsi="Times New Roman"/>
          <w:sz w:val="24"/>
          <w:szCs w:val="24"/>
        </w:rPr>
        <w:t>‘</w:t>
      </w:r>
      <w:r w:rsidRPr="00C4258E">
        <w:rPr>
          <w:rStyle w:val="markedcontent"/>
          <w:rFonts w:ascii="Times New Roman" w:hAnsi="Times New Roman"/>
          <w:sz w:val="24"/>
          <w:szCs w:val="24"/>
        </w:rPr>
        <w:t>[a]s an example,</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 that the Chief of Fire could </w:t>
      </w:r>
      <w:r>
        <w:rPr>
          <w:rStyle w:val="markedcontent"/>
          <w:rFonts w:ascii="Times New Roman" w:hAnsi="Times New Roman"/>
          <w:sz w:val="24"/>
          <w:szCs w:val="24"/>
        </w:rPr>
        <w:t>‘</w:t>
      </w:r>
      <w:r w:rsidRPr="00C4258E">
        <w:rPr>
          <w:rStyle w:val="markedcontent"/>
          <w:rFonts w:ascii="Times New Roman" w:hAnsi="Times New Roman"/>
          <w:sz w:val="24"/>
          <w:szCs w:val="24"/>
        </w:rPr>
        <w:t>implement a three[-]platoon system with a Complete Tour of Duty of [24] hours on, followed by [48] hours off.</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 Id. at 10. But that schedule is expressly identified only as </w:t>
      </w:r>
      <w:r>
        <w:rPr>
          <w:rStyle w:val="markedcontent"/>
          <w:rFonts w:ascii="Times New Roman" w:hAnsi="Times New Roman"/>
          <w:sz w:val="24"/>
          <w:szCs w:val="24"/>
        </w:rPr>
        <w:t>‘</w:t>
      </w:r>
      <w:r w:rsidRPr="00C4258E">
        <w:rPr>
          <w:rStyle w:val="markedcontent"/>
          <w:rFonts w:ascii="Times New Roman" w:hAnsi="Times New Roman"/>
          <w:sz w:val="24"/>
          <w:szCs w:val="24"/>
        </w:rPr>
        <w:t>an example,</w:t>
      </w:r>
      <w:r>
        <w:rPr>
          <w:rStyle w:val="markedcontent"/>
          <w:rFonts w:ascii="Times New Roman" w:hAnsi="Times New Roman"/>
          <w:sz w:val="24"/>
          <w:szCs w:val="24"/>
        </w:rPr>
        <w:t>’</w:t>
      </w:r>
      <w:r w:rsidRPr="00C4258E">
        <w:rPr>
          <w:rStyle w:val="markedcontent"/>
          <w:rFonts w:ascii="Times New Roman" w:hAnsi="Times New Roman"/>
          <w:sz w:val="24"/>
          <w:szCs w:val="24"/>
        </w:rPr>
        <w:t xml:space="preserve"> and the City’s LBFO does not bind the Chief of Fire to any </w:t>
      </w:r>
      <w:proofErr w:type="gramStart"/>
      <w:r w:rsidRPr="00C4258E">
        <w:rPr>
          <w:rStyle w:val="markedcontent"/>
          <w:rFonts w:ascii="Times New Roman" w:hAnsi="Times New Roman"/>
          <w:sz w:val="24"/>
          <w:szCs w:val="24"/>
        </w:rPr>
        <w:t>particular work</w:t>
      </w:r>
      <w:proofErr w:type="gramEnd"/>
      <w:r w:rsidRPr="00C4258E">
        <w:rPr>
          <w:rStyle w:val="markedcontent"/>
          <w:rFonts w:ascii="Times New Roman" w:hAnsi="Times New Roman"/>
          <w:sz w:val="24"/>
          <w:szCs w:val="24"/>
        </w:rPr>
        <w:t xml:space="preserve"> schedule, even from the outset of the new system’s implementation.</w:t>
      </w:r>
      <w:r w:rsidRPr="00C4258E">
        <w:rPr>
          <w:rFonts w:ascii="Times New Roman" w:hAnsi="Times New Roman"/>
          <w:sz w:val="24"/>
          <w:szCs w:val="24"/>
        </w:rPr>
        <w:br/>
      </w:r>
    </w:p>
    <w:p w14:paraId="694667D8" w14:textId="77777777" w:rsidR="005217D5" w:rsidRPr="00C4258E" w:rsidRDefault="005217D5" w:rsidP="005217D5">
      <w:pPr>
        <w:ind w:left="720"/>
        <w:rPr>
          <w:rStyle w:val="markedcontent"/>
          <w:rFonts w:ascii="Times New Roman" w:hAnsi="Times New Roman"/>
          <w:sz w:val="24"/>
          <w:szCs w:val="24"/>
        </w:rPr>
      </w:pPr>
      <w:r>
        <w:rPr>
          <w:rStyle w:val="markedcontent"/>
          <w:rFonts w:ascii="Times New Roman" w:hAnsi="Times New Roman"/>
          <w:sz w:val="24"/>
          <w:szCs w:val="24"/>
        </w:rPr>
        <w:t>***</w:t>
      </w:r>
    </w:p>
    <w:p w14:paraId="69312CCE" w14:textId="4F32F2BD" w:rsidR="005217D5" w:rsidRDefault="005217D5" w:rsidP="005217D5">
      <w:pPr>
        <w:pStyle w:val="NoSpacing"/>
        <w:ind w:left="720"/>
        <w:rPr>
          <w:rStyle w:val="Hyperlink"/>
          <w:sz w:val="24"/>
          <w:szCs w:val="24"/>
        </w:rPr>
      </w:pPr>
      <w:r>
        <w:rPr>
          <w:rStyle w:val="markedcontent"/>
          <w:rFonts w:ascii="Times New Roman" w:hAnsi="Times New Roman"/>
          <w:sz w:val="24"/>
          <w:szCs w:val="24"/>
        </w:rPr>
        <w:t>“</w:t>
      </w:r>
      <w:r w:rsidRPr="001F43B5">
        <w:rPr>
          <w:rStyle w:val="markedcontent"/>
          <w:rFonts w:ascii="Times New Roman" w:hAnsi="Times New Roman"/>
          <w:sz w:val="24"/>
          <w:szCs w:val="24"/>
        </w:rPr>
        <w:t xml:space="preserve">The Executive Director </w:t>
      </w:r>
      <w:r>
        <w:rPr>
          <w:rStyle w:val="markedcontent"/>
          <w:rFonts w:ascii="Times New Roman" w:hAnsi="Times New Roman"/>
          <w:sz w:val="24"/>
          <w:szCs w:val="24"/>
        </w:rPr>
        <w:t xml:space="preserve">[of the PERB] </w:t>
      </w:r>
      <w:r w:rsidRPr="001F43B5">
        <w:rPr>
          <w:rStyle w:val="markedcontent"/>
          <w:rFonts w:ascii="Times New Roman" w:hAnsi="Times New Roman"/>
          <w:sz w:val="24"/>
          <w:szCs w:val="24"/>
        </w:rPr>
        <w:t>erred by performing her statutory analysis only</w:t>
      </w:r>
      <w:r>
        <w:rPr>
          <w:rStyle w:val="markedcontent"/>
          <w:rFonts w:ascii="Times New Roman" w:hAnsi="Times New Roman"/>
          <w:sz w:val="24"/>
          <w:szCs w:val="24"/>
        </w:rPr>
        <w:t xml:space="preserve"> </w:t>
      </w:r>
      <w:r w:rsidRPr="001F43B5">
        <w:rPr>
          <w:rStyle w:val="markedcontent"/>
          <w:rFonts w:ascii="Times New Roman" w:hAnsi="Times New Roman"/>
          <w:sz w:val="24"/>
          <w:szCs w:val="24"/>
        </w:rPr>
        <w:t xml:space="preserve">on the unwritten </w:t>
      </w:r>
      <w:r>
        <w:rPr>
          <w:rStyle w:val="markedcontent"/>
          <w:rFonts w:ascii="Times New Roman" w:hAnsi="Times New Roman"/>
          <w:sz w:val="24"/>
          <w:szCs w:val="24"/>
        </w:rPr>
        <w:t>‘</w:t>
      </w:r>
      <w:r w:rsidRPr="001F43B5">
        <w:rPr>
          <w:rStyle w:val="markedcontent"/>
          <w:rFonts w:ascii="Times New Roman" w:hAnsi="Times New Roman"/>
          <w:sz w:val="24"/>
          <w:szCs w:val="24"/>
        </w:rPr>
        <w:t>essence</w:t>
      </w:r>
      <w:r>
        <w:rPr>
          <w:rStyle w:val="markedcontent"/>
          <w:rFonts w:ascii="Times New Roman" w:hAnsi="Times New Roman"/>
          <w:sz w:val="24"/>
          <w:szCs w:val="24"/>
        </w:rPr>
        <w:t xml:space="preserve">’ </w:t>
      </w:r>
      <w:r w:rsidRPr="001F43B5">
        <w:rPr>
          <w:rStyle w:val="markedcontent"/>
          <w:rFonts w:ascii="Times New Roman" w:hAnsi="Times New Roman"/>
          <w:sz w:val="24"/>
          <w:szCs w:val="24"/>
        </w:rPr>
        <w:t>of the City’s LBFO</w:t>
      </w:r>
      <w:r>
        <w:rPr>
          <w:rStyle w:val="markedcontent"/>
          <w:rFonts w:ascii="Times New Roman" w:hAnsi="Times New Roman"/>
          <w:sz w:val="24"/>
          <w:szCs w:val="24"/>
        </w:rPr>
        <w:t xml:space="preserve"> [Last Best Final Offer]….</w:t>
      </w:r>
      <w:r w:rsidRPr="001F43B5">
        <w:rPr>
          <w:rStyle w:val="markedcontent"/>
          <w:rFonts w:ascii="Times New Roman" w:hAnsi="Times New Roman"/>
          <w:sz w:val="24"/>
          <w:szCs w:val="24"/>
        </w:rPr>
        <w:t>The PERB’s affirmance of the BIA Decision therefore constituted an error as a matter of law. For the foregoing reasons, the PERB’s decision affirming the BIA Decision is hereby reversed. The parties’ dispute is remanded to the PERB for further proceedings consistent with this Order.</w:t>
      </w:r>
      <w:r>
        <w:rPr>
          <w:rStyle w:val="markedcontent"/>
          <w:rFonts w:ascii="Times New Roman" w:hAnsi="Times New Roman"/>
          <w:sz w:val="24"/>
          <w:szCs w:val="24"/>
        </w:rPr>
        <w:t xml:space="preserve">” </w:t>
      </w:r>
      <w:hyperlink r:id="rId2832" w:history="1">
        <w:r w:rsidRPr="002F4BDF">
          <w:rPr>
            <w:rStyle w:val="Hyperlink"/>
            <w:sz w:val="24"/>
            <w:szCs w:val="24"/>
          </w:rPr>
          <w:t>https://perb.delaware.gov/wp-content/uploads/sites/127/2021/07/2020-0765-Order-of-reversal-and-remand-6-28-21-website.pdf</w:t>
        </w:r>
      </w:hyperlink>
    </w:p>
    <w:p w14:paraId="709717EC" w14:textId="6F7D9BB6" w:rsidR="005217D5" w:rsidRDefault="005217D5" w:rsidP="005217D5">
      <w:pPr>
        <w:pStyle w:val="NoSpacing"/>
        <w:ind w:left="720"/>
        <w:rPr>
          <w:rStyle w:val="Hyperlink"/>
          <w:sz w:val="24"/>
          <w:szCs w:val="24"/>
        </w:rPr>
      </w:pPr>
    </w:p>
    <w:p w14:paraId="5CE17FE6" w14:textId="77777777" w:rsidR="005217D5" w:rsidRPr="00C4258E" w:rsidRDefault="005217D5" w:rsidP="005217D5">
      <w:pPr>
        <w:rPr>
          <w:rStyle w:val="markedcontent"/>
          <w:rFonts w:ascii="Times New Roman" w:hAnsi="Times New Roman"/>
          <w:b/>
          <w:bCs/>
          <w:sz w:val="24"/>
          <w:szCs w:val="24"/>
        </w:rPr>
      </w:pPr>
      <w:r w:rsidRPr="00C4258E">
        <w:rPr>
          <w:rStyle w:val="markedcontent"/>
          <w:rFonts w:ascii="Times New Roman" w:hAnsi="Times New Roman"/>
          <w:b/>
          <w:bCs/>
          <w:sz w:val="24"/>
          <w:szCs w:val="24"/>
        </w:rPr>
        <w:t>Legal Lesson Learned:</w:t>
      </w:r>
      <w:r>
        <w:rPr>
          <w:rStyle w:val="markedcontent"/>
          <w:rFonts w:ascii="Times New Roman" w:hAnsi="Times New Roman"/>
          <w:b/>
          <w:bCs/>
          <w:sz w:val="24"/>
          <w:szCs w:val="24"/>
        </w:rPr>
        <w:t xml:space="preserve"> Collective Bargaining Agreements should contain clear and precise language on work schedule, Kelly Days, and minimum manning.</w:t>
      </w:r>
    </w:p>
    <w:p w14:paraId="51F472F8" w14:textId="77777777" w:rsidR="005217D5" w:rsidRPr="00C4258E" w:rsidRDefault="005217D5" w:rsidP="005217D5">
      <w:pPr>
        <w:pStyle w:val="Heading1"/>
        <w:ind w:left="720"/>
        <w:rPr>
          <w:b w:val="0"/>
          <w:bCs w:val="0"/>
          <w:sz w:val="24"/>
          <w:szCs w:val="24"/>
        </w:rPr>
      </w:pPr>
      <w:r w:rsidRPr="00EA0A4B">
        <w:rPr>
          <w:rStyle w:val="markedcontent"/>
          <w:b w:val="0"/>
          <w:bCs w:val="0"/>
          <w:sz w:val="24"/>
          <w:szCs w:val="24"/>
        </w:rPr>
        <w:t xml:space="preserve">Note: See June 30, </w:t>
      </w:r>
      <w:proofErr w:type="gramStart"/>
      <w:r w:rsidRPr="00EA0A4B">
        <w:rPr>
          <w:rStyle w:val="markedcontent"/>
          <w:b w:val="0"/>
          <w:bCs w:val="0"/>
          <w:sz w:val="24"/>
          <w:szCs w:val="24"/>
        </w:rPr>
        <w:t>2021</w:t>
      </w:r>
      <w:proofErr w:type="gramEnd"/>
      <w:r w:rsidRPr="00EA0A4B">
        <w:rPr>
          <w:rStyle w:val="markedcontent"/>
          <w:b w:val="0"/>
          <w:bCs w:val="0"/>
          <w:sz w:val="24"/>
          <w:szCs w:val="24"/>
        </w:rPr>
        <w:t xml:space="preserve"> article:</w:t>
      </w:r>
      <w:r>
        <w:rPr>
          <w:rStyle w:val="markedcontent"/>
          <w:sz w:val="24"/>
          <w:szCs w:val="24"/>
        </w:rPr>
        <w:t xml:space="preserve"> “</w:t>
      </w:r>
      <w:r w:rsidRPr="00C4258E">
        <w:rPr>
          <w:b w:val="0"/>
          <w:bCs w:val="0"/>
          <w:sz w:val="24"/>
          <w:szCs w:val="24"/>
        </w:rPr>
        <w:t>Wilmington firefighters union wins Chancery Court appeal in battle over shift change</w:t>
      </w:r>
      <w:r>
        <w:rPr>
          <w:b w:val="0"/>
          <w:bCs w:val="0"/>
          <w:sz w:val="24"/>
          <w:szCs w:val="24"/>
        </w:rPr>
        <w:t xml:space="preserve">.” </w:t>
      </w:r>
      <w:hyperlink r:id="rId2833" w:history="1">
        <w:r w:rsidRPr="00DB7C29">
          <w:rPr>
            <w:rStyle w:val="Hyperlink"/>
            <w:sz w:val="24"/>
            <w:szCs w:val="24"/>
          </w:rPr>
          <w:t>https://www.wdel.com/news/wilmington-firefighters-union-wins-chancery-court-appeal-in-battle-over-shift-change/article_9402edda-d9b1-11eb-909c-07bcb0bff090.html</w:t>
        </w:r>
      </w:hyperlink>
      <w:r w:rsidRPr="00DB7C29">
        <w:rPr>
          <w:b w:val="0"/>
          <w:bCs w:val="0"/>
          <w:sz w:val="24"/>
          <w:szCs w:val="24"/>
        </w:rPr>
        <w:t xml:space="preserve">  </w:t>
      </w:r>
    </w:p>
    <w:p w14:paraId="29EB7AD2" w14:textId="77777777" w:rsidR="005217D5" w:rsidRPr="005217D5" w:rsidRDefault="005217D5" w:rsidP="005217D5">
      <w:pPr>
        <w:pStyle w:val="Heading2"/>
        <w:ind w:left="720"/>
        <w:rPr>
          <w:rFonts w:ascii="Times New Roman" w:hAnsi="Times New Roman"/>
          <w:b w:val="0"/>
          <w:bCs w:val="0"/>
          <w:i w:val="0"/>
          <w:iCs w:val="0"/>
          <w:sz w:val="24"/>
          <w:szCs w:val="24"/>
        </w:rPr>
      </w:pPr>
      <w:r w:rsidRPr="005217D5">
        <w:rPr>
          <w:rStyle w:val="markedcontent"/>
          <w:rFonts w:ascii="Times New Roman" w:hAnsi="Times New Roman"/>
          <w:b w:val="0"/>
          <w:bCs w:val="0"/>
          <w:i w:val="0"/>
          <w:iCs w:val="0"/>
          <w:sz w:val="24"/>
          <w:szCs w:val="24"/>
        </w:rPr>
        <w:t xml:space="preserve">July 2, </w:t>
      </w:r>
      <w:proofErr w:type="gramStart"/>
      <w:r w:rsidRPr="005217D5">
        <w:rPr>
          <w:rStyle w:val="markedcontent"/>
          <w:rFonts w:ascii="Times New Roman" w:hAnsi="Times New Roman"/>
          <w:b w:val="0"/>
          <w:bCs w:val="0"/>
          <w:i w:val="0"/>
          <w:iCs w:val="0"/>
          <w:sz w:val="24"/>
          <w:szCs w:val="24"/>
        </w:rPr>
        <w:t>2021</w:t>
      </w:r>
      <w:proofErr w:type="gramEnd"/>
      <w:r w:rsidRPr="005217D5">
        <w:rPr>
          <w:rStyle w:val="markedcontent"/>
          <w:rFonts w:ascii="Times New Roman" w:hAnsi="Times New Roman"/>
          <w:b w:val="0"/>
          <w:bCs w:val="0"/>
          <w:i w:val="0"/>
          <w:iCs w:val="0"/>
          <w:sz w:val="24"/>
          <w:szCs w:val="24"/>
        </w:rPr>
        <w:t xml:space="preserve"> article: “</w:t>
      </w:r>
      <w:r w:rsidRPr="005217D5">
        <w:rPr>
          <w:rFonts w:ascii="Times New Roman" w:hAnsi="Times New Roman"/>
          <w:b w:val="0"/>
          <w:bCs w:val="0"/>
          <w:i w:val="0"/>
          <w:iCs w:val="0"/>
          <w:sz w:val="24"/>
          <w:szCs w:val="24"/>
        </w:rPr>
        <w:t xml:space="preserve">Wilmington firefighters union wins Chancery Court appeal in battle over shift change.” </w:t>
      </w:r>
      <w:hyperlink r:id="rId2834" w:history="1">
        <w:r w:rsidRPr="005217D5">
          <w:rPr>
            <w:rStyle w:val="Hyperlink"/>
            <w:rFonts w:ascii="Times New Roman" w:hAnsi="Times New Roman"/>
            <w:b w:val="0"/>
            <w:bCs w:val="0"/>
            <w:i w:val="0"/>
            <w:iCs w:val="0"/>
            <w:sz w:val="24"/>
            <w:szCs w:val="24"/>
          </w:rPr>
          <w:t>https://www.dailydispatch.com/StateNews/DE/2021/July/02/Wilmington.firefighters.union.wins.Chancery.Court.appeal.in.battle.over.shift.change.aspx</w:t>
        </w:r>
      </w:hyperlink>
      <w:r w:rsidRPr="005217D5">
        <w:rPr>
          <w:rFonts w:ascii="Times New Roman" w:hAnsi="Times New Roman"/>
          <w:b w:val="0"/>
          <w:bCs w:val="0"/>
          <w:i w:val="0"/>
          <w:iCs w:val="0"/>
          <w:sz w:val="24"/>
          <w:szCs w:val="24"/>
        </w:rPr>
        <w:t xml:space="preserve"> </w:t>
      </w:r>
    </w:p>
    <w:p w14:paraId="40CB935F" w14:textId="77777777" w:rsidR="005217D5" w:rsidRPr="005217D5" w:rsidRDefault="005217D5" w:rsidP="005217D5">
      <w:pPr>
        <w:pStyle w:val="NoSpacing"/>
        <w:ind w:left="720"/>
        <w:rPr>
          <w:rFonts w:ascii="Times New Roman" w:hAnsi="Times New Roman"/>
          <w:sz w:val="24"/>
          <w:szCs w:val="24"/>
        </w:rPr>
      </w:pPr>
    </w:p>
    <w:p w14:paraId="0F2C13C1" w14:textId="77777777" w:rsidR="005217D5" w:rsidRPr="005217D5" w:rsidRDefault="005217D5" w:rsidP="00F326E5">
      <w:pPr>
        <w:pStyle w:val="NoSpacing"/>
        <w:rPr>
          <w:rFonts w:ascii="Times New Roman" w:hAnsi="Times New Roman"/>
          <w:sz w:val="24"/>
          <w:szCs w:val="24"/>
        </w:rPr>
      </w:pPr>
    </w:p>
    <w:p w14:paraId="28341132" w14:textId="24F2BC3C" w:rsidR="00407100" w:rsidRDefault="007B49E7" w:rsidP="00F326E5">
      <w:pPr>
        <w:pStyle w:val="NoSpacing"/>
        <w:rPr>
          <w:rFonts w:ascii="Arial Black" w:hAnsi="Arial Black"/>
          <w:sz w:val="24"/>
          <w:szCs w:val="24"/>
        </w:rPr>
      </w:pPr>
      <w:r>
        <w:rPr>
          <w:rFonts w:ascii="Arial Black" w:hAnsi="Arial Black"/>
          <w:sz w:val="24"/>
          <w:szCs w:val="24"/>
        </w:rPr>
        <w:t>17-7</w:t>
      </w:r>
    </w:p>
    <w:p w14:paraId="162A1E60" w14:textId="68DC14DA" w:rsidR="007B49E7" w:rsidRDefault="007B49E7" w:rsidP="00F326E5">
      <w:pPr>
        <w:pStyle w:val="NoSpacing"/>
        <w:rPr>
          <w:rFonts w:ascii="Arial Black" w:hAnsi="Arial Black"/>
          <w:sz w:val="24"/>
          <w:szCs w:val="24"/>
        </w:rPr>
      </w:pPr>
    </w:p>
    <w:p w14:paraId="78F363C8" w14:textId="119764C9" w:rsidR="007B49E7" w:rsidRDefault="007B49E7" w:rsidP="007B49E7">
      <w:pPr>
        <w:rPr>
          <w:rFonts w:ascii="Arial Black" w:hAnsi="Arial Black"/>
          <w:sz w:val="28"/>
          <w:szCs w:val="28"/>
        </w:rPr>
      </w:pPr>
      <w:r>
        <w:rPr>
          <w:rFonts w:ascii="Arial Black" w:hAnsi="Arial Black"/>
          <w:sz w:val="28"/>
          <w:szCs w:val="28"/>
        </w:rPr>
        <w:t>IL: MASTERBATING FF - PUBLIC AREA OUTSIDE FIRE STATION – ARBITRATOR REVERSED - TERMINATION UPHELD</w:t>
      </w:r>
    </w:p>
    <w:p w14:paraId="2C47EBAA" w14:textId="77777777" w:rsidR="007B49E7" w:rsidRDefault="007B49E7" w:rsidP="007B49E7">
      <w:pPr>
        <w:rPr>
          <w:rFonts w:ascii="Times New Roman" w:hAnsi="Times New Roman"/>
          <w:sz w:val="24"/>
          <w:szCs w:val="24"/>
        </w:rPr>
      </w:pPr>
      <w:r>
        <w:rPr>
          <w:rFonts w:ascii="Times New Roman" w:hAnsi="Times New Roman"/>
          <w:sz w:val="24"/>
          <w:szCs w:val="24"/>
        </w:rPr>
        <w:t xml:space="preserve">On Oct. 2, 2020, in </w:t>
      </w:r>
      <w:r w:rsidRPr="00E3069C">
        <w:rPr>
          <w:rFonts w:ascii="Times New Roman" w:hAnsi="Times New Roman"/>
          <w:sz w:val="24"/>
          <w:szCs w:val="24"/>
          <w:u w:val="single"/>
        </w:rPr>
        <w:t>City of Chicago v. Chicago Fire Fighters Union, Local No. 2, and James Gray</w:t>
      </w:r>
      <w:r>
        <w:rPr>
          <w:rFonts w:ascii="Times New Roman" w:hAnsi="Times New Roman"/>
          <w:sz w:val="24"/>
          <w:szCs w:val="24"/>
        </w:rPr>
        <w:t xml:space="preserve">, Judge Celia Gamrath, Circuit Court of Cook County, Illinois (Chancery Division), granted the City’s motion to vacate the Arbitrator’s decision to reinstate the firefighter.  </w:t>
      </w:r>
    </w:p>
    <w:p w14:paraId="5E28A3E9" w14:textId="77777777" w:rsidR="007B49E7" w:rsidRDefault="007B49E7" w:rsidP="007B49E7">
      <w:pPr>
        <w:ind w:left="720"/>
        <w:rPr>
          <w:bCs/>
        </w:rPr>
      </w:pPr>
      <w:r>
        <w:rPr>
          <w:rFonts w:ascii="Times New Roman" w:hAnsi="Times New Roman"/>
          <w:sz w:val="24"/>
          <w:szCs w:val="24"/>
        </w:rPr>
        <w:t>“</w:t>
      </w:r>
      <w:r w:rsidRPr="00E3069C">
        <w:rPr>
          <w:rFonts w:ascii="Times New Roman" w:hAnsi="Times New Roman"/>
          <w:sz w:val="24"/>
          <w:szCs w:val="24"/>
        </w:rPr>
        <w:t xml:space="preserve">Ultimately, this Court is charged with determining whether (1) there is a public policy against sexual harassment in the workplace, and (2) whether </w:t>
      </w:r>
      <w:r>
        <w:rPr>
          <w:rFonts w:ascii="Times New Roman" w:hAnsi="Times New Roman"/>
          <w:sz w:val="24"/>
          <w:szCs w:val="24"/>
        </w:rPr>
        <w:t xml:space="preserve">[Arbitrator] </w:t>
      </w:r>
      <w:proofErr w:type="spellStart"/>
      <w:r w:rsidRPr="00E3069C">
        <w:rPr>
          <w:rFonts w:ascii="Times New Roman" w:hAnsi="Times New Roman"/>
          <w:sz w:val="24"/>
          <w:szCs w:val="24"/>
        </w:rPr>
        <w:t>Roumell's</w:t>
      </w:r>
      <w:proofErr w:type="spellEnd"/>
      <w:r w:rsidRPr="00E3069C">
        <w:rPr>
          <w:rFonts w:ascii="Times New Roman" w:hAnsi="Times New Roman"/>
          <w:sz w:val="24"/>
          <w:szCs w:val="24"/>
        </w:rPr>
        <w:t xml:space="preserve"> Award and Supplemental Award violated said public policy by mandating the reinstatement of an employee who, by the arbitrator's o\ m findings, engaged in viewing pornography, exposed himself, and masturbated while at work, capable of being seen by passersby.</w:t>
      </w:r>
      <w:r>
        <w:rPr>
          <w:rFonts w:ascii="Times New Roman" w:hAnsi="Times New Roman"/>
          <w:sz w:val="24"/>
          <w:szCs w:val="24"/>
        </w:rPr>
        <w:t xml:space="preserve"> </w:t>
      </w:r>
      <w:r w:rsidRPr="00E3069C">
        <w:rPr>
          <w:rFonts w:ascii="Times New Roman" w:hAnsi="Times New Roman"/>
          <w:sz w:val="24"/>
          <w:szCs w:val="24"/>
        </w:rPr>
        <w:t xml:space="preserve">Despite </w:t>
      </w:r>
      <w:proofErr w:type="spellStart"/>
      <w:r w:rsidRPr="00E3069C">
        <w:rPr>
          <w:rFonts w:ascii="Times New Roman" w:hAnsi="Times New Roman"/>
          <w:sz w:val="24"/>
          <w:szCs w:val="24"/>
        </w:rPr>
        <w:t>Roumell's</w:t>
      </w:r>
      <w:proofErr w:type="spellEnd"/>
      <w:r w:rsidRPr="00E3069C">
        <w:rPr>
          <w:rFonts w:ascii="Times New Roman" w:hAnsi="Times New Roman"/>
          <w:sz w:val="24"/>
          <w:szCs w:val="24"/>
        </w:rPr>
        <w:t xml:space="preserve"> reliance on the Dr. O'Grady letter as demonstrative of the unlikelihood that Gray would repeat this behavior again, the fact of the matter is that Gray's actions, spanning years, were acts of sexual harassment that alienated his coworkers and created a hostile work environment. The arbitrator's decision to essentially impose no discipline and to reinstate Gray with full seniority is incongruous with the dominant public policy against sexual harassment in the workp</w:t>
      </w:r>
      <w:r>
        <w:rPr>
          <w:rFonts w:ascii="Times New Roman" w:hAnsi="Times New Roman"/>
          <w:sz w:val="24"/>
          <w:szCs w:val="24"/>
        </w:rPr>
        <w:t>l</w:t>
      </w:r>
      <w:r w:rsidRPr="00E3069C">
        <w:rPr>
          <w:rFonts w:ascii="Times New Roman" w:hAnsi="Times New Roman"/>
          <w:sz w:val="24"/>
          <w:szCs w:val="24"/>
        </w:rPr>
        <w:t>ace. It also has the impermissible effect of eviscerating the City's ability to take appropriate actions to enforce this clear and dominant public policy and prevent and discourage future acts of harassment.</w:t>
      </w:r>
      <w:r>
        <w:rPr>
          <w:rFonts w:ascii="Times New Roman" w:hAnsi="Times New Roman"/>
          <w:sz w:val="24"/>
          <w:szCs w:val="24"/>
        </w:rPr>
        <w:t xml:space="preserve">” </w:t>
      </w:r>
    </w:p>
    <w:p w14:paraId="5825029A" w14:textId="77777777" w:rsidR="007B49E7" w:rsidRPr="004267A1" w:rsidRDefault="007B49E7" w:rsidP="007B49E7">
      <w:pPr>
        <w:pStyle w:val="NormalWeb"/>
        <w:jc w:val="center"/>
        <w:rPr>
          <w:bCs/>
        </w:rPr>
      </w:pPr>
      <w:hyperlink r:id="rId2835" w:history="1">
        <w:r w:rsidRPr="00E10E69">
          <w:rPr>
            <w:rStyle w:val="Hyperlink"/>
            <w:bCs/>
          </w:rPr>
          <w:t>file:///C:/Users/lawre/AppData/Local/Temp/%7BC42BFBAC-7840-4BDD-BFF7-18D383BA9C81%7D/19%20CH%2012662%20City%20of%20Chicago%20v.%20Chicago%20Fire%20Fighters%20Union%20Final%20Order%20(12.2.20).pdf</w:t>
        </w:r>
      </w:hyperlink>
      <w:r w:rsidRPr="004267A1">
        <w:rPr>
          <w:bCs/>
        </w:rPr>
        <w:t xml:space="preserve"> </w:t>
      </w:r>
    </w:p>
    <w:p w14:paraId="1EE1A96F" w14:textId="77777777" w:rsidR="007B49E7" w:rsidRPr="00FA5981" w:rsidRDefault="007B49E7" w:rsidP="007B49E7">
      <w:pPr>
        <w:pStyle w:val="NormalWeb"/>
        <w:rPr>
          <w:b/>
        </w:rPr>
      </w:pPr>
      <w:r w:rsidRPr="00FA5981">
        <w:rPr>
          <w:b/>
        </w:rPr>
        <w:t>Legal Lesson Learned:</w:t>
      </w:r>
      <w:r>
        <w:rPr>
          <w:b/>
        </w:rPr>
        <w:t xml:space="preserve"> Report this type of conduct immediately; urge FF to seek help through EAP or other psychological care. </w:t>
      </w:r>
    </w:p>
    <w:p w14:paraId="5E18D013" w14:textId="77777777" w:rsidR="007B49E7" w:rsidRDefault="007B49E7" w:rsidP="00F326E5">
      <w:pPr>
        <w:pStyle w:val="NoSpacing"/>
        <w:rPr>
          <w:rFonts w:ascii="Arial Black" w:hAnsi="Arial Black"/>
          <w:sz w:val="24"/>
          <w:szCs w:val="24"/>
        </w:rPr>
      </w:pPr>
    </w:p>
    <w:p w14:paraId="2A4EA7CF" w14:textId="77777777" w:rsidR="007B49E7" w:rsidRDefault="007B49E7" w:rsidP="00F326E5">
      <w:pPr>
        <w:pStyle w:val="NoSpacing"/>
        <w:rPr>
          <w:rFonts w:ascii="Arial Black" w:hAnsi="Arial Black"/>
          <w:sz w:val="24"/>
          <w:szCs w:val="24"/>
        </w:rPr>
      </w:pPr>
    </w:p>
    <w:p w14:paraId="5E1EDF12" w14:textId="77777777" w:rsidR="007B49E7" w:rsidRDefault="007B49E7" w:rsidP="00F326E5">
      <w:pPr>
        <w:pStyle w:val="NoSpacing"/>
        <w:rPr>
          <w:rFonts w:ascii="Arial Black" w:hAnsi="Arial Black"/>
          <w:sz w:val="24"/>
          <w:szCs w:val="24"/>
        </w:rPr>
      </w:pPr>
    </w:p>
    <w:p w14:paraId="70AF7EB3" w14:textId="26888339" w:rsidR="00B532F6" w:rsidRDefault="00B532F6" w:rsidP="00F326E5">
      <w:pPr>
        <w:pStyle w:val="NoSpacing"/>
        <w:rPr>
          <w:rFonts w:ascii="Arial Black" w:hAnsi="Arial Black"/>
          <w:sz w:val="24"/>
          <w:szCs w:val="24"/>
        </w:rPr>
      </w:pPr>
      <w:r>
        <w:rPr>
          <w:rFonts w:ascii="Arial Black" w:hAnsi="Arial Black"/>
          <w:sz w:val="24"/>
          <w:szCs w:val="24"/>
        </w:rPr>
        <w:t>17-6</w:t>
      </w:r>
    </w:p>
    <w:p w14:paraId="5E639729" w14:textId="2DAAEE6A" w:rsidR="00B532F6" w:rsidRDefault="00B532F6" w:rsidP="00F326E5">
      <w:pPr>
        <w:pStyle w:val="NoSpacing"/>
        <w:rPr>
          <w:rFonts w:ascii="Arial Black" w:hAnsi="Arial Black"/>
          <w:sz w:val="24"/>
          <w:szCs w:val="24"/>
        </w:rPr>
      </w:pPr>
    </w:p>
    <w:p w14:paraId="56E7774E" w14:textId="77777777" w:rsidR="00B532F6" w:rsidRPr="006E50D9" w:rsidRDefault="00B532F6" w:rsidP="00B532F6">
      <w:pPr>
        <w:rPr>
          <w:rFonts w:ascii="Arial Black" w:hAnsi="Arial Black"/>
          <w:sz w:val="28"/>
          <w:szCs w:val="28"/>
        </w:rPr>
      </w:pPr>
      <w:r w:rsidRPr="006E50D9">
        <w:rPr>
          <w:rFonts w:ascii="Arial Black" w:hAnsi="Arial Black"/>
          <w:sz w:val="28"/>
          <w:szCs w:val="28"/>
        </w:rPr>
        <w:t>OR: $25M BUDGET SHORTFALL – UNION PRES. AGREED TO STAFFING, CHANGES - 26 FF JOBS SAVED – UNFAIR LABOR CHARGE DISMISSED</w:t>
      </w:r>
    </w:p>
    <w:p w14:paraId="08D8D43D" w14:textId="77777777" w:rsidR="00B532F6" w:rsidRPr="000B00E6" w:rsidRDefault="00B532F6" w:rsidP="00B532F6">
      <w:pPr>
        <w:pStyle w:val="NoSpacing"/>
        <w:rPr>
          <w:rFonts w:ascii="Times New Roman" w:hAnsi="Times New Roman"/>
          <w:sz w:val="24"/>
          <w:szCs w:val="24"/>
        </w:rPr>
      </w:pPr>
      <w:r>
        <w:rPr>
          <w:rFonts w:ascii="Times New Roman" w:hAnsi="Times New Roman"/>
          <w:sz w:val="24"/>
          <w:szCs w:val="24"/>
        </w:rPr>
        <w:t xml:space="preserve">On Sept. 24, 2020, in </w:t>
      </w:r>
      <w:r w:rsidRPr="00323A71">
        <w:rPr>
          <w:rFonts w:ascii="Times New Roman" w:hAnsi="Times New Roman"/>
          <w:sz w:val="24"/>
          <w:szCs w:val="24"/>
          <w:u w:val="single"/>
        </w:rPr>
        <w:t>Portland Fire Firefighters’ Association, IAFF Local 43 v. City of Portland</w:t>
      </w:r>
      <w:r>
        <w:rPr>
          <w:rFonts w:ascii="Times New Roman" w:hAnsi="Times New Roman"/>
          <w:sz w:val="24"/>
          <w:szCs w:val="24"/>
        </w:rPr>
        <w:t xml:space="preserve">, the Employment Relations Board of the State of Oregon, held that union is bound by its agreement not to file contest to budget cuts and eliminating Dive Team, transferring Safety Chief and Chief Investigator to management positions, and other management changes. </w:t>
      </w:r>
      <w:r w:rsidRPr="000B00E6">
        <w:rPr>
          <w:rFonts w:ascii="Times New Roman" w:hAnsi="Times New Roman"/>
          <w:sz w:val="24"/>
          <w:szCs w:val="24"/>
        </w:rPr>
        <w:t xml:space="preserve">The </w:t>
      </w:r>
      <w:r>
        <w:rPr>
          <w:rFonts w:ascii="Times New Roman" w:hAnsi="Times New Roman"/>
          <w:sz w:val="24"/>
          <w:szCs w:val="24"/>
        </w:rPr>
        <w:t xml:space="preserve">FD </w:t>
      </w:r>
      <w:r w:rsidRPr="000B00E6">
        <w:rPr>
          <w:rFonts w:ascii="Times New Roman" w:hAnsi="Times New Roman"/>
          <w:sz w:val="24"/>
          <w:szCs w:val="24"/>
        </w:rPr>
        <w:t xml:space="preserve">developed its proposed budget through a budgetary advisory committee (BAC). The Union's president, </w:t>
      </w:r>
      <w:r>
        <w:rPr>
          <w:rFonts w:ascii="Times New Roman" w:hAnsi="Times New Roman"/>
          <w:sz w:val="24"/>
          <w:szCs w:val="24"/>
        </w:rPr>
        <w:t xml:space="preserve">Alan </w:t>
      </w:r>
      <w:r w:rsidRPr="000B00E6">
        <w:rPr>
          <w:rFonts w:ascii="Times New Roman" w:hAnsi="Times New Roman"/>
          <w:sz w:val="24"/>
          <w:szCs w:val="24"/>
        </w:rPr>
        <w:t>Ferschweiler, served on the BAC.</w:t>
      </w:r>
      <w:r>
        <w:rPr>
          <w:rFonts w:ascii="Times New Roman" w:hAnsi="Times New Roman"/>
          <w:sz w:val="24"/>
          <w:szCs w:val="24"/>
        </w:rPr>
        <w:t xml:space="preserve"> </w:t>
      </w:r>
      <w:r w:rsidRPr="000B00E6">
        <w:rPr>
          <w:rFonts w:ascii="Times New Roman" w:hAnsi="Times New Roman"/>
          <w:sz w:val="24"/>
          <w:szCs w:val="24"/>
        </w:rPr>
        <w:t xml:space="preserve">Between May 9 and approximately May 23, </w:t>
      </w:r>
      <w:proofErr w:type="gramStart"/>
      <w:r>
        <w:rPr>
          <w:rFonts w:ascii="Times New Roman" w:hAnsi="Times New Roman"/>
          <w:sz w:val="24"/>
          <w:szCs w:val="24"/>
        </w:rPr>
        <w:t>2013</w:t>
      </w:r>
      <w:proofErr w:type="gramEnd"/>
      <w:r>
        <w:rPr>
          <w:rFonts w:ascii="Times New Roman" w:hAnsi="Times New Roman"/>
          <w:sz w:val="24"/>
          <w:szCs w:val="24"/>
        </w:rPr>
        <w:t xml:space="preserve"> </w:t>
      </w:r>
      <w:r w:rsidRPr="000B00E6">
        <w:rPr>
          <w:rFonts w:ascii="Times New Roman" w:hAnsi="Times New Roman"/>
          <w:sz w:val="24"/>
          <w:szCs w:val="24"/>
        </w:rPr>
        <w:t>Ferschweiler met three times with Siegel, the mayor's budget liaison, to discuss and negotiate how the Bureau would implement the budget cuts, including consideration of the availability of a federal grant (the SAFER grant) that might fill budget gaps. Fire Chief Janssens attended one of those meetings.</w:t>
      </w:r>
    </w:p>
    <w:p w14:paraId="0152E707" w14:textId="77777777" w:rsidR="00B532F6" w:rsidRDefault="00B532F6" w:rsidP="00B532F6">
      <w:pPr>
        <w:pStyle w:val="NoSpacing"/>
        <w:rPr>
          <w:rFonts w:ascii="Times New Roman" w:hAnsi="Times New Roman"/>
          <w:sz w:val="24"/>
          <w:szCs w:val="24"/>
        </w:rPr>
      </w:pPr>
    </w:p>
    <w:p w14:paraId="6475BA3A" w14:textId="77777777" w:rsidR="00B532F6" w:rsidRDefault="00B532F6" w:rsidP="00B532F6">
      <w:pPr>
        <w:pStyle w:val="NoSpacing"/>
        <w:ind w:left="720"/>
        <w:rPr>
          <w:rFonts w:ascii="Times New Roman" w:hAnsi="Times New Roman"/>
          <w:sz w:val="24"/>
          <w:szCs w:val="24"/>
        </w:rPr>
      </w:pPr>
      <w:r>
        <w:rPr>
          <w:rFonts w:ascii="Times New Roman" w:hAnsi="Times New Roman"/>
          <w:sz w:val="24"/>
          <w:szCs w:val="24"/>
        </w:rPr>
        <w:t>“</w:t>
      </w:r>
      <w:r w:rsidRPr="006B1711">
        <w:rPr>
          <w:rFonts w:ascii="Times New Roman" w:hAnsi="Times New Roman"/>
          <w:sz w:val="24"/>
          <w:szCs w:val="24"/>
        </w:rPr>
        <w:t xml:space="preserve">Thus, the City and the Union agreed to the following terms: (1) two double companies would be consolidated into single companies with each station's truck and engine being replaced with a quint; (2) two additional RRVs </w:t>
      </w:r>
      <w:r>
        <w:rPr>
          <w:rFonts w:ascii="Times New Roman" w:hAnsi="Times New Roman"/>
          <w:sz w:val="24"/>
          <w:szCs w:val="24"/>
        </w:rPr>
        <w:t xml:space="preserve">[Rapid Response Vehicles] </w:t>
      </w:r>
      <w:r w:rsidRPr="006B1711">
        <w:rPr>
          <w:rFonts w:ascii="Times New Roman" w:hAnsi="Times New Roman"/>
          <w:sz w:val="24"/>
          <w:szCs w:val="24"/>
        </w:rPr>
        <w:t>would be added (for a total of four); (3) the Union would not oppose or contest these changes; (4) the bargaining unit members would retain their COLA; (5) all stations would be kept open; and (6) the City would apply for the SAFER grant, notwithstanding the mayor's earlier concern that a short-term funding mechanism was merely a "band-aid," with the understanding that receiving the grant would prevent 26 bargaining unit members from being laid off.</w:t>
      </w:r>
    </w:p>
    <w:p w14:paraId="1376363D" w14:textId="77777777" w:rsidR="00B532F6" w:rsidRDefault="00B532F6" w:rsidP="00B532F6">
      <w:pPr>
        <w:pStyle w:val="NoSpacing"/>
        <w:ind w:left="720"/>
        <w:rPr>
          <w:rFonts w:ascii="Times New Roman" w:hAnsi="Times New Roman"/>
          <w:sz w:val="24"/>
          <w:szCs w:val="24"/>
        </w:rPr>
      </w:pPr>
    </w:p>
    <w:p w14:paraId="390B8812" w14:textId="77777777" w:rsidR="00B532F6" w:rsidRDefault="00B532F6" w:rsidP="00B532F6">
      <w:pPr>
        <w:pStyle w:val="NoSpacing"/>
        <w:ind w:left="720"/>
        <w:rPr>
          <w:rFonts w:ascii="Times New Roman" w:hAnsi="Times New Roman"/>
          <w:sz w:val="24"/>
          <w:szCs w:val="24"/>
        </w:rPr>
      </w:pPr>
      <w:r>
        <w:rPr>
          <w:rFonts w:ascii="Times New Roman" w:hAnsi="Times New Roman"/>
          <w:sz w:val="24"/>
          <w:szCs w:val="24"/>
        </w:rPr>
        <w:t>***</w:t>
      </w:r>
    </w:p>
    <w:p w14:paraId="0A6FE013" w14:textId="77777777" w:rsidR="00B532F6" w:rsidRDefault="00B532F6" w:rsidP="00B532F6">
      <w:pPr>
        <w:pStyle w:val="NoSpacing"/>
        <w:ind w:left="720"/>
        <w:rPr>
          <w:rFonts w:ascii="Times New Roman" w:hAnsi="Times New Roman"/>
          <w:sz w:val="24"/>
          <w:szCs w:val="24"/>
        </w:rPr>
      </w:pPr>
    </w:p>
    <w:p w14:paraId="00F401F6" w14:textId="77777777" w:rsidR="00B532F6" w:rsidRDefault="00B532F6" w:rsidP="00B532F6">
      <w:pPr>
        <w:pStyle w:val="NoSpacing"/>
        <w:ind w:left="720"/>
        <w:rPr>
          <w:rFonts w:ascii="Times New Roman" w:hAnsi="Times New Roman"/>
          <w:sz w:val="24"/>
          <w:szCs w:val="24"/>
        </w:rPr>
      </w:pPr>
      <w:r w:rsidRPr="006B1711">
        <w:rPr>
          <w:rFonts w:ascii="Times New Roman" w:hAnsi="Times New Roman"/>
          <w:sz w:val="24"/>
          <w:szCs w:val="24"/>
        </w:rPr>
        <w:t>The Union never requested to bargain about any of the operational changes agreed to above, which are also the subject of this unfair labor practice complaint.</w:t>
      </w:r>
    </w:p>
    <w:p w14:paraId="2BFBF1AA" w14:textId="77777777" w:rsidR="00B532F6" w:rsidRDefault="00B532F6" w:rsidP="00B532F6">
      <w:pPr>
        <w:pStyle w:val="NoSpacing"/>
        <w:ind w:left="720"/>
        <w:rPr>
          <w:rFonts w:ascii="Times New Roman" w:hAnsi="Times New Roman"/>
          <w:sz w:val="24"/>
          <w:szCs w:val="24"/>
        </w:rPr>
      </w:pPr>
    </w:p>
    <w:p w14:paraId="7B72E28B" w14:textId="77777777" w:rsidR="00B532F6" w:rsidRDefault="00B532F6" w:rsidP="00B532F6">
      <w:pPr>
        <w:pStyle w:val="NoSpacing"/>
        <w:ind w:left="720"/>
        <w:rPr>
          <w:rFonts w:ascii="Times New Roman" w:hAnsi="Times New Roman"/>
          <w:sz w:val="24"/>
          <w:szCs w:val="24"/>
        </w:rPr>
      </w:pPr>
      <w:r>
        <w:rPr>
          <w:rFonts w:ascii="Times New Roman" w:hAnsi="Times New Roman"/>
          <w:sz w:val="24"/>
          <w:szCs w:val="24"/>
        </w:rPr>
        <w:t>***</w:t>
      </w:r>
    </w:p>
    <w:p w14:paraId="0169E766" w14:textId="77777777" w:rsidR="00B532F6" w:rsidRDefault="00B532F6" w:rsidP="00B532F6">
      <w:pPr>
        <w:pStyle w:val="NoSpacing"/>
        <w:ind w:left="720"/>
        <w:rPr>
          <w:rFonts w:ascii="Times New Roman" w:hAnsi="Times New Roman"/>
          <w:sz w:val="24"/>
          <w:szCs w:val="24"/>
        </w:rPr>
      </w:pPr>
      <w:r w:rsidRPr="006B1711">
        <w:rPr>
          <w:rFonts w:ascii="Times New Roman" w:hAnsi="Times New Roman"/>
          <w:sz w:val="24"/>
          <w:szCs w:val="24"/>
        </w:rPr>
        <w:t xml:space="preserve">Finally, we disagree with any contention that the Union should prevail on a (1)(e) unilateral change claim where the Union agreed not to contest those unilateral changes. Rather, as set forth above, we conclude that such an express action precludes the filing of </w:t>
      </w:r>
      <w:proofErr w:type="gramStart"/>
      <w:r w:rsidRPr="006B1711">
        <w:rPr>
          <w:rFonts w:ascii="Times New Roman" w:hAnsi="Times New Roman"/>
          <w:sz w:val="24"/>
          <w:szCs w:val="24"/>
        </w:rPr>
        <w:t>a (1)(e)</w:t>
      </w:r>
      <w:proofErr w:type="gramEnd"/>
      <w:r w:rsidRPr="006B1711">
        <w:rPr>
          <w:rFonts w:ascii="Times New Roman" w:hAnsi="Times New Roman"/>
          <w:sz w:val="24"/>
          <w:szCs w:val="24"/>
        </w:rPr>
        <w:t xml:space="preserve"> unilateral change claim. In reaching this conclusion, we reiterate that, unlike other budget discussions, the agreement here included a Union agreement not to contest the specific operational changes that are now the bases for the (1)(e) claim.</w:t>
      </w:r>
      <w:r>
        <w:rPr>
          <w:rFonts w:ascii="Times New Roman" w:hAnsi="Times New Roman"/>
          <w:sz w:val="24"/>
          <w:szCs w:val="24"/>
        </w:rPr>
        <w:t>”</w:t>
      </w:r>
    </w:p>
    <w:p w14:paraId="56DED758" w14:textId="77777777" w:rsidR="00B532F6" w:rsidRPr="00C7458A" w:rsidRDefault="00B532F6" w:rsidP="00B532F6">
      <w:pPr>
        <w:ind w:left="720"/>
        <w:rPr>
          <w:rFonts w:ascii="Times New Roman" w:eastAsia="Times New Roman" w:hAnsi="Times New Roman"/>
          <w:sz w:val="24"/>
          <w:szCs w:val="24"/>
        </w:rPr>
      </w:pPr>
      <w:hyperlink r:id="rId2836" w:history="1">
        <w:r w:rsidRPr="00C7458A">
          <w:rPr>
            <w:rStyle w:val="Hyperlink"/>
            <w:rFonts w:ascii="Times New Roman" w:eastAsia="Times New Roman" w:hAnsi="Times New Roman"/>
            <w:sz w:val="24"/>
            <w:szCs w:val="24"/>
          </w:rPr>
          <w:t>https://public.fastcase.com/Wl%2B2t%2BeVuI35%2FN70vAMFZl7A1gE73iKGMMI%2FPLrMqXgHwn%2FVp9h90PlANd5CkjNU</w:t>
        </w:r>
      </w:hyperlink>
      <w:r w:rsidRPr="00C7458A">
        <w:rPr>
          <w:rFonts w:ascii="Times New Roman" w:eastAsia="Times New Roman" w:hAnsi="Times New Roman"/>
          <w:sz w:val="24"/>
          <w:szCs w:val="24"/>
        </w:rPr>
        <w:t xml:space="preserve"> </w:t>
      </w:r>
    </w:p>
    <w:p w14:paraId="21F2E384" w14:textId="77777777" w:rsidR="00B532F6" w:rsidRPr="006B1711" w:rsidRDefault="00B532F6" w:rsidP="00B532F6">
      <w:pPr>
        <w:rPr>
          <w:rFonts w:ascii="Times New Roman" w:hAnsi="Times New Roman"/>
          <w:b/>
          <w:bCs/>
          <w:sz w:val="24"/>
          <w:szCs w:val="24"/>
        </w:rPr>
      </w:pPr>
      <w:r w:rsidRPr="006B1711">
        <w:rPr>
          <w:rFonts w:ascii="Times New Roman" w:hAnsi="Times New Roman"/>
          <w:b/>
          <w:bCs/>
          <w:sz w:val="24"/>
          <w:szCs w:val="24"/>
        </w:rPr>
        <w:t xml:space="preserve">Legal Lessons Learned: </w:t>
      </w:r>
      <w:r>
        <w:rPr>
          <w:rFonts w:ascii="Times New Roman" w:hAnsi="Times New Roman"/>
          <w:b/>
          <w:bCs/>
          <w:sz w:val="24"/>
          <w:szCs w:val="24"/>
        </w:rPr>
        <w:t xml:space="preserve"> Unfair Labor Practice complaint properly dismissed; Union President was active participant in budget process. </w:t>
      </w:r>
    </w:p>
    <w:p w14:paraId="11892F47" w14:textId="77777777" w:rsidR="00B532F6" w:rsidRDefault="00B532F6" w:rsidP="00F326E5">
      <w:pPr>
        <w:pStyle w:val="NoSpacing"/>
        <w:rPr>
          <w:rFonts w:ascii="Arial Black" w:hAnsi="Arial Black"/>
          <w:sz w:val="24"/>
          <w:szCs w:val="24"/>
        </w:rPr>
      </w:pPr>
    </w:p>
    <w:p w14:paraId="6DC91CF0" w14:textId="77777777" w:rsidR="00B532F6" w:rsidRDefault="00B532F6" w:rsidP="00F326E5">
      <w:pPr>
        <w:pStyle w:val="NoSpacing"/>
        <w:rPr>
          <w:rFonts w:ascii="Arial Black" w:hAnsi="Arial Black"/>
          <w:sz w:val="24"/>
          <w:szCs w:val="24"/>
        </w:rPr>
      </w:pPr>
    </w:p>
    <w:p w14:paraId="692E6A21" w14:textId="179C99E8" w:rsidR="0003275C" w:rsidRDefault="0003275C" w:rsidP="00F326E5">
      <w:pPr>
        <w:pStyle w:val="NoSpacing"/>
        <w:rPr>
          <w:rFonts w:ascii="Arial Black" w:hAnsi="Arial Black"/>
          <w:sz w:val="24"/>
          <w:szCs w:val="24"/>
        </w:rPr>
      </w:pPr>
      <w:r>
        <w:rPr>
          <w:rFonts w:ascii="Arial Black" w:hAnsi="Arial Black"/>
          <w:sz w:val="24"/>
          <w:szCs w:val="24"/>
        </w:rPr>
        <w:t>17-5</w:t>
      </w:r>
    </w:p>
    <w:p w14:paraId="196596E2" w14:textId="695A1246" w:rsidR="0003275C" w:rsidRDefault="0003275C" w:rsidP="00F326E5">
      <w:pPr>
        <w:pStyle w:val="NoSpacing"/>
        <w:rPr>
          <w:rFonts w:ascii="Arial Black" w:hAnsi="Arial Black"/>
          <w:sz w:val="24"/>
          <w:szCs w:val="24"/>
        </w:rPr>
      </w:pPr>
    </w:p>
    <w:p w14:paraId="105DF025" w14:textId="77777777" w:rsidR="0003275C" w:rsidRDefault="0003275C" w:rsidP="0003275C">
      <w:pPr>
        <w:pStyle w:val="NoSpacing"/>
        <w:rPr>
          <w:rFonts w:ascii="Arial Black" w:hAnsi="Arial Black"/>
          <w:sz w:val="28"/>
          <w:szCs w:val="28"/>
        </w:rPr>
      </w:pPr>
      <w:bookmarkStart w:id="634" w:name="_Hlk66950562"/>
      <w:r>
        <w:rPr>
          <w:rFonts w:ascii="Arial Black" w:hAnsi="Arial Black"/>
          <w:sz w:val="28"/>
          <w:szCs w:val="28"/>
        </w:rPr>
        <w:t>NJ</w:t>
      </w:r>
      <w:r w:rsidRPr="002E3EF7">
        <w:rPr>
          <w:rFonts w:ascii="Arial Black" w:hAnsi="Arial Black"/>
          <w:sz w:val="28"/>
          <w:szCs w:val="28"/>
        </w:rPr>
        <w:t xml:space="preserve">: </w:t>
      </w:r>
      <w:r>
        <w:rPr>
          <w:rFonts w:ascii="Arial Black" w:hAnsi="Arial Black"/>
          <w:sz w:val="28"/>
          <w:szCs w:val="28"/>
        </w:rPr>
        <w:t>FD REORGANIZED - 4 NEW LT. POSITIONS – REVERSED ARBITRATOR – NOT ENTITLED TO “ACTING CAPTAIN” PAY</w:t>
      </w:r>
    </w:p>
    <w:p w14:paraId="7ED270C9" w14:textId="77777777" w:rsidR="0003275C" w:rsidRDefault="0003275C" w:rsidP="0003275C">
      <w:pPr>
        <w:pStyle w:val="NoSpacing"/>
        <w:rPr>
          <w:rFonts w:ascii="Times New Roman" w:hAnsi="Times New Roman"/>
          <w:sz w:val="24"/>
          <w:szCs w:val="24"/>
        </w:rPr>
      </w:pPr>
    </w:p>
    <w:p w14:paraId="622679BA" w14:textId="7840484B" w:rsidR="0003275C" w:rsidRDefault="0003275C" w:rsidP="0003275C">
      <w:pPr>
        <w:pStyle w:val="NoSpacing"/>
        <w:rPr>
          <w:rFonts w:ascii="Times New Roman" w:hAnsi="Times New Roman"/>
          <w:sz w:val="24"/>
          <w:szCs w:val="24"/>
        </w:rPr>
      </w:pPr>
      <w:r w:rsidRPr="00002A3F">
        <w:rPr>
          <w:rFonts w:ascii="Times New Roman" w:hAnsi="Times New Roman"/>
          <w:sz w:val="24"/>
          <w:szCs w:val="24"/>
        </w:rPr>
        <w:t xml:space="preserve">On </w:t>
      </w:r>
      <w:r>
        <w:rPr>
          <w:rFonts w:ascii="Times New Roman" w:hAnsi="Times New Roman"/>
          <w:sz w:val="24"/>
          <w:szCs w:val="24"/>
        </w:rPr>
        <w:t xml:space="preserve">June 25, 2020, in </w:t>
      </w:r>
      <w:r w:rsidRPr="00002A3F">
        <w:rPr>
          <w:rFonts w:ascii="Times New Roman" w:hAnsi="Times New Roman"/>
          <w:sz w:val="24"/>
          <w:szCs w:val="24"/>
          <w:u w:val="single"/>
        </w:rPr>
        <w:t>Borough of Carteret v. Firefighters Mutual Benefit Association, Local 67</w:t>
      </w:r>
      <w:r>
        <w:rPr>
          <w:rFonts w:ascii="Times New Roman" w:hAnsi="Times New Roman"/>
          <w:sz w:val="24"/>
          <w:szCs w:val="24"/>
        </w:rPr>
        <w:t xml:space="preserve">,  the Superior Court of New Jersey, Appellate Division held (2 to 0; unpublished decision) that the trial judge improperly upheld the Arbitrator’s award of “acting Captain” back pay to the four Lieutenants.  Under the Collective Bargaining Agreement in effect when the Lieutenants were hired, senior firefighters who filled in for Captains were paid the </w:t>
      </w:r>
      <w:proofErr w:type="gramStart"/>
      <w:r>
        <w:rPr>
          <w:rFonts w:ascii="Times New Roman" w:hAnsi="Times New Roman"/>
          <w:sz w:val="24"/>
          <w:szCs w:val="24"/>
        </w:rPr>
        <w:t>Captains</w:t>
      </w:r>
      <w:proofErr w:type="gramEnd"/>
      <w:r>
        <w:rPr>
          <w:rFonts w:ascii="Times New Roman" w:hAnsi="Times New Roman"/>
          <w:sz w:val="24"/>
          <w:szCs w:val="24"/>
        </w:rPr>
        <w:t xml:space="preserve"> hourly rate.  When the Union filed the Grievance, the four new Lieutenants have been working for the past four years on the Lieutenant’s pay ($1,500 per year above FF pay) and never requested “Acting Captain” pay when fulfilling a Captain’s shift duties. The Court held, “</w:t>
      </w:r>
      <w:r w:rsidRPr="00A362F1">
        <w:rPr>
          <w:rFonts w:ascii="Times New Roman" w:hAnsi="Times New Roman"/>
          <w:sz w:val="24"/>
          <w:szCs w:val="24"/>
        </w:rPr>
        <w:t xml:space="preserve">It is not insignificant the arbitrator rejected the Borough's </w:t>
      </w:r>
      <w:r>
        <w:rPr>
          <w:rFonts w:ascii="Times New Roman" w:hAnsi="Times New Roman"/>
          <w:sz w:val="24"/>
          <w:szCs w:val="24"/>
        </w:rPr>
        <w:t>‘</w:t>
      </w:r>
      <w:r w:rsidRPr="00A362F1">
        <w:rPr>
          <w:rFonts w:ascii="Times New Roman" w:hAnsi="Times New Roman"/>
          <w:sz w:val="24"/>
          <w:szCs w:val="24"/>
        </w:rPr>
        <w:t>past practice</w:t>
      </w:r>
      <w:r>
        <w:rPr>
          <w:rFonts w:ascii="Times New Roman" w:hAnsi="Times New Roman"/>
          <w:sz w:val="24"/>
          <w:szCs w:val="24"/>
        </w:rPr>
        <w:t>’</w:t>
      </w:r>
      <w:r w:rsidRPr="00A362F1">
        <w:rPr>
          <w:rFonts w:ascii="Times New Roman" w:hAnsi="Times New Roman"/>
          <w:sz w:val="24"/>
          <w:szCs w:val="24"/>
        </w:rPr>
        <w:t xml:space="preserve"> argument and gave virtually no consideration to the lieutenants performing their job duties, including acting in the place of a fire captain in his or her absence, for four years without a request for any pay beyond that to </w:t>
      </w:r>
    </w:p>
    <w:p w14:paraId="7918B320" w14:textId="77777777" w:rsidR="0003275C" w:rsidRDefault="0003275C" w:rsidP="0003275C">
      <w:pPr>
        <w:pStyle w:val="NoSpacing"/>
        <w:rPr>
          <w:rFonts w:ascii="Times New Roman" w:eastAsia="Times New Roman" w:hAnsi="Times New Roman"/>
          <w:b/>
          <w:bCs/>
          <w:sz w:val="24"/>
          <w:szCs w:val="24"/>
        </w:rPr>
      </w:pPr>
      <w:r w:rsidRPr="00A362F1">
        <w:rPr>
          <w:rFonts w:ascii="Times New Roman" w:hAnsi="Times New Roman"/>
          <w:sz w:val="24"/>
          <w:szCs w:val="24"/>
        </w:rPr>
        <w:t>which they were entitled</w:t>
      </w:r>
      <w:r>
        <w:rPr>
          <w:rFonts w:ascii="Times New Roman" w:hAnsi="Times New Roman"/>
          <w:sz w:val="24"/>
          <w:szCs w:val="24"/>
        </w:rPr>
        <w:t xml:space="preserve"> </w:t>
      </w:r>
      <w:r w:rsidRPr="00A362F1">
        <w:rPr>
          <w:rFonts w:ascii="Times New Roman" w:hAnsi="Times New Roman"/>
          <w:sz w:val="24"/>
          <w:szCs w:val="24"/>
        </w:rPr>
        <w:t>under</w:t>
      </w:r>
      <w:r>
        <w:rPr>
          <w:rFonts w:ascii="Times New Roman" w:hAnsi="Times New Roman"/>
          <w:sz w:val="24"/>
          <w:szCs w:val="24"/>
        </w:rPr>
        <w:t xml:space="preserve"> </w:t>
      </w:r>
      <w:r w:rsidRPr="00A362F1">
        <w:rPr>
          <w:rFonts w:ascii="Times New Roman" w:hAnsi="Times New Roman"/>
          <w:sz w:val="24"/>
          <w:szCs w:val="24"/>
        </w:rPr>
        <w:t>the Borough's salary ordinance.</w:t>
      </w:r>
      <w:r>
        <w:rPr>
          <w:rFonts w:ascii="Times New Roman" w:hAnsi="Times New Roman"/>
          <w:sz w:val="24"/>
          <w:szCs w:val="24"/>
        </w:rPr>
        <w:t xml:space="preserve">” </w:t>
      </w:r>
      <w:hyperlink r:id="rId2837" w:history="1">
        <w:r w:rsidRPr="006B0F65">
          <w:rPr>
            <w:rStyle w:val="Hyperlink"/>
            <w:rFonts w:ascii="Times New Roman" w:hAnsi="Times New Roman"/>
            <w:sz w:val="24"/>
            <w:szCs w:val="24"/>
          </w:rPr>
          <w:t>https://njcourts.gov/attorneys/assets/opinions/appellate/unpublished/a2277-18.pdf</w:t>
        </w:r>
      </w:hyperlink>
      <w:r>
        <w:rPr>
          <w:rFonts w:ascii="Times New Roman" w:hAnsi="Times New Roman"/>
          <w:sz w:val="24"/>
          <w:szCs w:val="24"/>
        </w:rPr>
        <w:t xml:space="preserve"> </w:t>
      </w:r>
    </w:p>
    <w:p w14:paraId="3F7BEDC8" w14:textId="77777777" w:rsidR="0003275C" w:rsidRDefault="0003275C" w:rsidP="00F326E5">
      <w:pPr>
        <w:pStyle w:val="NoSpacing"/>
        <w:rPr>
          <w:rFonts w:ascii="Arial Black" w:hAnsi="Arial Black"/>
          <w:sz w:val="24"/>
          <w:szCs w:val="24"/>
        </w:rPr>
      </w:pPr>
    </w:p>
    <w:p w14:paraId="49C4AC30" w14:textId="77777777" w:rsidR="0003275C" w:rsidRPr="00BF19C3" w:rsidRDefault="0003275C" w:rsidP="0003275C">
      <w:pPr>
        <w:pStyle w:val="NoSpacing"/>
        <w:tabs>
          <w:tab w:val="left" w:pos="2800"/>
        </w:tabs>
        <w:rPr>
          <w:rFonts w:ascii="Times New Roman" w:hAnsi="Times New Roman"/>
          <w:b/>
          <w:bCs/>
        </w:rPr>
      </w:pPr>
      <w:r w:rsidRPr="00BF19C3">
        <w:rPr>
          <w:rFonts w:ascii="Times New Roman" w:hAnsi="Times New Roman"/>
          <w:b/>
          <w:bCs/>
        </w:rPr>
        <w:t>Legal Lessons Learned</w:t>
      </w:r>
      <w:r>
        <w:rPr>
          <w:rFonts w:ascii="Times New Roman" w:hAnsi="Times New Roman"/>
          <w:b/>
          <w:bCs/>
        </w:rPr>
        <w:t xml:space="preserve">: If FD is reorganizing with new Lieutenant positions, negotiate an amended Collective Bargaining Agreement so that the City, the Union and all personal have a clear agreement on the pay and duties of the new Lieutenants, and whether they are eligible for “Acting Captain” pay. </w:t>
      </w:r>
    </w:p>
    <w:bookmarkEnd w:id="634"/>
    <w:p w14:paraId="06F0F33D" w14:textId="221F4F99" w:rsidR="0003275C" w:rsidRDefault="0003275C" w:rsidP="00F326E5">
      <w:pPr>
        <w:pStyle w:val="NoSpacing"/>
        <w:rPr>
          <w:rFonts w:ascii="Arial Black" w:hAnsi="Arial Black"/>
          <w:sz w:val="24"/>
          <w:szCs w:val="24"/>
        </w:rPr>
      </w:pPr>
    </w:p>
    <w:p w14:paraId="263D6179" w14:textId="1BD11DF9" w:rsidR="0003275C" w:rsidRDefault="0003275C" w:rsidP="00F326E5">
      <w:pPr>
        <w:pStyle w:val="NoSpacing"/>
        <w:rPr>
          <w:rFonts w:ascii="Arial Black" w:hAnsi="Arial Black"/>
          <w:sz w:val="24"/>
          <w:szCs w:val="24"/>
        </w:rPr>
      </w:pPr>
    </w:p>
    <w:p w14:paraId="4077AA15" w14:textId="77777777" w:rsidR="0003275C" w:rsidRDefault="0003275C" w:rsidP="00F326E5">
      <w:pPr>
        <w:pStyle w:val="NoSpacing"/>
        <w:rPr>
          <w:rFonts w:ascii="Arial Black" w:hAnsi="Arial Black"/>
          <w:sz w:val="24"/>
          <w:szCs w:val="24"/>
        </w:rPr>
      </w:pPr>
    </w:p>
    <w:p w14:paraId="43BB32A5" w14:textId="34AA5E50" w:rsidR="00407100" w:rsidRDefault="00407100" w:rsidP="00F326E5">
      <w:pPr>
        <w:pStyle w:val="NoSpacing"/>
        <w:rPr>
          <w:rFonts w:ascii="Arial Black" w:hAnsi="Arial Black"/>
          <w:sz w:val="24"/>
          <w:szCs w:val="24"/>
        </w:rPr>
      </w:pPr>
      <w:bookmarkStart w:id="635" w:name="_Hlk66950624"/>
      <w:r>
        <w:rPr>
          <w:rFonts w:ascii="Arial Black" w:hAnsi="Arial Black"/>
          <w:sz w:val="24"/>
          <w:szCs w:val="24"/>
        </w:rPr>
        <w:t>17-4</w:t>
      </w:r>
    </w:p>
    <w:p w14:paraId="5171C576" w14:textId="77777777" w:rsidR="00407100" w:rsidRPr="00714787" w:rsidRDefault="00407100" w:rsidP="00407100">
      <w:pPr>
        <w:pStyle w:val="NormalWeb"/>
        <w:rPr>
          <w:rFonts w:ascii="Arial Black" w:hAnsi="Arial Black" w:cs="Arial"/>
          <w:sz w:val="28"/>
          <w:szCs w:val="28"/>
        </w:rPr>
      </w:pPr>
      <w:bookmarkStart w:id="636" w:name="_Hlk39773193"/>
      <w:r w:rsidRPr="00714787">
        <w:rPr>
          <w:rFonts w:ascii="Arial Black" w:hAnsi="Arial Black" w:cs="Arial"/>
          <w:sz w:val="28"/>
          <w:szCs w:val="28"/>
        </w:rPr>
        <w:t xml:space="preserve">TX: </w:t>
      </w:r>
      <w:r>
        <w:rPr>
          <w:rFonts w:ascii="Arial Black" w:hAnsi="Arial Black" w:cs="Arial"/>
          <w:sz w:val="28"/>
          <w:szCs w:val="28"/>
        </w:rPr>
        <w:t xml:space="preserve">HOUSTON FD – 3 FFs FAILED PARAMEDIC SCHOOL – FIRED, NO ADMIN APPEAL - ARBITRATOR ORDERS RE-HIRED </w:t>
      </w:r>
    </w:p>
    <w:p w14:paraId="67D89F3B" w14:textId="7CD72420" w:rsidR="00407100" w:rsidRDefault="00407100" w:rsidP="00407100">
      <w:pPr>
        <w:pStyle w:val="NormalWeb"/>
      </w:pPr>
      <w:r w:rsidRPr="007D12E1">
        <w:t xml:space="preserve">On </w:t>
      </w:r>
      <w:bookmarkStart w:id="637" w:name="_Hlk39860160"/>
      <w:r>
        <w:t xml:space="preserve">March 31, 2020, in </w:t>
      </w:r>
      <w:r w:rsidRPr="007D12E1">
        <w:rPr>
          <w:u w:val="single"/>
        </w:rPr>
        <w:t>City of Houston v. Houston Professional Fire Fighters’ Association, Local 341</w:t>
      </w:r>
      <w:bookmarkEnd w:id="637"/>
      <w:r>
        <w:t>, the Texas Fourteenth Court of Appeals held (3 to 0) that the trial court properly upheld the Arbitrator’s decision.  The grievance was filed after the FD in 2014 for the first time fired three permanent, non-probationary firefighters without an administrative appeal “f</w:t>
      </w:r>
      <w:r w:rsidRPr="007D12E1">
        <w:t>or failure to achieve paramedic certification.</w:t>
      </w:r>
      <w:r>
        <w:t xml:space="preserve">”  The arbitrator held that the grievance was filed timely, that the FD changed </w:t>
      </w:r>
      <w:proofErr w:type="gramStart"/>
      <w:r>
        <w:t>a working condition</w:t>
      </w:r>
      <w:proofErr w:type="gramEnd"/>
      <w:r>
        <w:t xml:space="preserve"> in breach of the CBA, and the appropriate remedy was reinstatement </w:t>
      </w:r>
      <w:proofErr w:type="gramStart"/>
      <w:r>
        <w:t>of</w:t>
      </w:r>
      <w:proofErr w:type="gramEnd"/>
      <w:r>
        <w:t xml:space="preserve"> three firefighters. </w:t>
      </w:r>
    </w:p>
    <w:bookmarkEnd w:id="635"/>
    <w:p w14:paraId="352B192E" w14:textId="5BC830B3" w:rsidR="00407100" w:rsidRDefault="00407100" w:rsidP="00407100">
      <w:pPr>
        <w:pStyle w:val="NoSpacing"/>
        <w:ind w:left="720"/>
        <w:rPr>
          <w:rStyle w:val="Hyperlink"/>
          <w:rFonts w:ascii="Times New Roman" w:hAnsi="Times New Roman"/>
          <w:sz w:val="24"/>
          <w:szCs w:val="24"/>
        </w:rPr>
      </w:pPr>
      <w:r w:rsidRPr="00407100">
        <w:rPr>
          <w:rFonts w:ascii="Times New Roman" w:hAnsi="Times New Roman"/>
          <w:sz w:val="24"/>
          <w:szCs w:val="24"/>
        </w:rPr>
        <w:t xml:space="preserve">“The City asserts the arbitrator had no jurisdiction to order reinstatement of the terminated employees because the CBA did not specifically grant the arbitrator the authority to reinstate…. Texas courts likewise have reached the conclusion that ‘an arbitrator has broad discretion in fashioning an appropriate remedy.’ Forest Oil Corp. v. El </w:t>
      </w:r>
      <w:proofErr w:type="spellStart"/>
      <w:r w:rsidRPr="00407100">
        <w:rPr>
          <w:rFonts w:ascii="Times New Roman" w:hAnsi="Times New Roman"/>
          <w:sz w:val="24"/>
          <w:szCs w:val="24"/>
        </w:rPr>
        <w:t>Rucio</w:t>
      </w:r>
      <w:proofErr w:type="spellEnd"/>
      <w:r w:rsidRPr="00407100">
        <w:rPr>
          <w:rFonts w:ascii="Times New Roman" w:hAnsi="Times New Roman"/>
          <w:sz w:val="24"/>
          <w:szCs w:val="24"/>
        </w:rPr>
        <w:t xml:space="preserve"> Land &amp; Cattle Co., Inc., 446 S.W.3d 58, 82 (Tex. App.—Houston [1st Dist.] 2014), aff’d,518 S.W.3d 422 (Tex. 2017); see </w:t>
      </w:r>
      <w:proofErr w:type="spellStart"/>
      <w:r w:rsidRPr="00407100">
        <w:rPr>
          <w:rFonts w:ascii="Times New Roman" w:hAnsi="Times New Roman"/>
          <w:sz w:val="24"/>
          <w:szCs w:val="24"/>
        </w:rPr>
        <w:t>Daniewicz</w:t>
      </w:r>
      <w:proofErr w:type="spellEnd"/>
      <w:r w:rsidRPr="00407100">
        <w:rPr>
          <w:rFonts w:ascii="Times New Roman" w:hAnsi="Times New Roman"/>
          <w:sz w:val="24"/>
          <w:szCs w:val="24"/>
        </w:rPr>
        <w:t xml:space="preserve"> v. </w:t>
      </w:r>
      <w:proofErr w:type="spellStart"/>
      <w:r w:rsidRPr="00407100">
        <w:rPr>
          <w:rFonts w:ascii="Times New Roman" w:hAnsi="Times New Roman"/>
          <w:sz w:val="24"/>
          <w:szCs w:val="24"/>
        </w:rPr>
        <w:t>Thermo</w:t>
      </w:r>
      <w:proofErr w:type="spellEnd"/>
      <w:r w:rsidRPr="00407100">
        <w:rPr>
          <w:rFonts w:ascii="Times New Roman" w:hAnsi="Times New Roman"/>
          <w:sz w:val="24"/>
          <w:szCs w:val="24"/>
        </w:rPr>
        <w:t xml:space="preserve"> Instrument Sys., Inc., 992 S.W.2d 713, 718 (Tex. App.—Austin 1999, pet. denied</w:t>
      </w:r>
      <w:proofErr w:type="gramStart"/>
      <w:r w:rsidRPr="00407100">
        <w:rPr>
          <w:rFonts w:ascii="Times New Roman" w:hAnsi="Times New Roman"/>
          <w:sz w:val="24"/>
          <w:szCs w:val="24"/>
        </w:rPr>
        <w:t>)(‘</w:t>
      </w:r>
      <w:proofErr w:type="gramEnd"/>
      <w:r w:rsidRPr="00407100">
        <w:rPr>
          <w:rFonts w:ascii="Times New Roman" w:hAnsi="Times New Roman"/>
          <w:sz w:val="24"/>
          <w:szCs w:val="24"/>
        </w:rPr>
        <w:t>[A]</w:t>
      </w:r>
      <w:proofErr w:type="spellStart"/>
      <w:r w:rsidRPr="00407100">
        <w:rPr>
          <w:rFonts w:ascii="Times New Roman" w:hAnsi="Times New Roman"/>
          <w:sz w:val="24"/>
          <w:szCs w:val="24"/>
        </w:rPr>
        <w:t>rbitrators</w:t>
      </w:r>
      <w:proofErr w:type="spellEnd"/>
      <w:r w:rsidRPr="00407100">
        <w:rPr>
          <w:rFonts w:ascii="Times New Roman" w:hAnsi="Times New Roman"/>
          <w:sz w:val="24"/>
          <w:szCs w:val="24"/>
        </w:rPr>
        <w:t xml:space="preserve"> have traditionally enjoyed broad leeway to fashion remedies.’). In the CBA, the parties do not prohibit reinstatement as a remedy. The common-law grounds for vacating an arbitration award are exceedingly narrow and do not include an arbitrator’s error in applying the law. See Jefferson </w:t>
      </w:r>
      <w:proofErr w:type="spellStart"/>
      <w:r w:rsidRPr="00407100">
        <w:rPr>
          <w:rFonts w:ascii="Times New Roman" w:hAnsi="Times New Roman"/>
          <w:sz w:val="24"/>
          <w:szCs w:val="24"/>
        </w:rPr>
        <w:t>Cty</w:t>
      </w:r>
      <w:proofErr w:type="spellEnd"/>
      <w:r w:rsidRPr="00407100">
        <w:rPr>
          <w:rFonts w:ascii="Times New Roman" w:hAnsi="Times New Roman"/>
          <w:sz w:val="24"/>
          <w:szCs w:val="24"/>
        </w:rPr>
        <w:t xml:space="preserve">., 546 S.W.3d at 674.We conclude that the arbitrator did not exceed her authority in ordering reinstatement of the terminated employees.” </w:t>
      </w:r>
      <w:bookmarkStart w:id="638" w:name="_Hlk39860179"/>
      <w:bookmarkStart w:id="639" w:name="_Hlk66950656"/>
      <w:r w:rsidR="00B0089C">
        <w:fldChar w:fldCharType="begin"/>
      </w:r>
      <w:r w:rsidR="00B0089C">
        <w:instrText xml:space="preserve"> HYPERLINK "http://www.search.txcourts.gov/SearchMedia.aspx?MediaVersionID=626f97ca-ee1f-49a9-84b9-cd95d90130e2&amp;MediaID=cb138ca2-8cd7-449e-b059-6b73f43cbe76&amp;coa=%22%20+%20this.CurrentWebState.CurrentCourt%20+%20@%22&amp;DT=Opinion" </w:instrText>
      </w:r>
      <w:r w:rsidR="00B0089C">
        <w:fldChar w:fldCharType="separate"/>
      </w:r>
      <w:r w:rsidRPr="00407100">
        <w:rPr>
          <w:rStyle w:val="Hyperlink"/>
          <w:rFonts w:ascii="Times New Roman" w:hAnsi="Times New Roman"/>
          <w:sz w:val="24"/>
          <w:szCs w:val="24"/>
        </w:rPr>
        <w:t>http://www.search.txcourts.gov/SearchMedia.aspx?MediaVersionID=626f97ca-ee1f-49a9-84b9-cd95d90130e2&amp;MediaID=cb138ca2-8cd7-449e-b059-6b73f43cbe76&amp;coa=%22%20+%20this.CurrentWebState.CurrentCourt%20+%20@%22&amp;DT=Opinion</w:t>
      </w:r>
      <w:r w:rsidR="00B0089C">
        <w:rPr>
          <w:rStyle w:val="Hyperlink"/>
          <w:rFonts w:ascii="Times New Roman" w:hAnsi="Times New Roman"/>
          <w:sz w:val="24"/>
          <w:szCs w:val="24"/>
        </w:rPr>
        <w:fldChar w:fldCharType="end"/>
      </w:r>
    </w:p>
    <w:bookmarkEnd w:id="636"/>
    <w:p w14:paraId="2A013931" w14:textId="0BFBD170" w:rsidR="00407100" w:rsidRDefault="00407100" w:rsidP="00407100">
      <w:pPr>
        <w:pStyle w:val="NoSpacing"/>
        <w:ind w:left="720"/>
        <w:rPr>
          <w:rStyle w:val="Hyperlink"/>
          <w:rFonts w:ascii="Times New Roman" w:hAnsi="Times New Roman"/>
          <w:sz w:val="24"/>
          <w:szCs w:val="24"/>
        </w:rPr>
      </w:pPr>
    </w:p>
    <w:p w14:paraId="1868A896" w14:textId="77777777" w:rsidR="00407100" w:rsidRPr="00EE7DDA" w:rsidRDefault="00407100" w:rsidP="00407100">
      <w:pPr>
        <w:pStyle w:val="NoSpacing"/>
        <w:rPr>
          <w:rFonts w:ascii="Times New Roman" w:hAnsi="Times New Roman"/>
          <w:b/>
          <w:bCs/>
          <w:sz w:val="24"/>
          <w:szCs w:val="24"/>
        </w:rPr>
      </w:pPr>
      <w:bookmarkStart w:id="640" w:name="_Hlk40517172"/>
      <w:bookmarkEnd w:id="638"/>
      <w:r w:rsidRPr="00EE7DDA">
        <w:rPr>
          <w:rFonts w:ascii="Times New Roman" w:hAnsi="Times New Roman"/>
          <w:b/>
          <w:bCs/>
          <w:sz w:val="24"/>
          <w:szCs w:val="24"/>
        </w:rPr>
        <w:t xml:space="preserve">Legal Lessons Learned: Arbitrators have broad authority to determine timeliness of </w:t>
      </w:r>
      <w:proofErr w:type="gramStart"/>
      <w:r w:rsidRPr="00EE7DDA">
        <w:rPr>
          <w:rFonts w:ascii="Times New Roman" w:hAnsi="Times New Roman"/>
          <w:b/>
          <w:bCs/>
          <w:sz w:val="24"/>
          <w:szCs w:val="24"/>
        </w:rPr>
        <w:t>a grievance</w:t>
      </w:r>
      <w:proofErr w:type="gramEnd"/>
      <w:r w:rsidRPr="00EE7DDA">
        <w:rPr>
          <w:rFonts w:ascii="Times New Roman" w:hAnsi="Times New Roman"/>
          <w:b/>
          <w:bCs/>
          <w:sz w:val="24"/>
          <w:szCs w:val="24"/>
        </w:rPr>
        <w:t xml:space="preserve">, and appropriate remedy for breach of CBA. </w:t>
      </w:r>
    </w:p>
    <w:bookmarkEnd w:id="639"/>
    <w:bookmarkEnd w:id="640"/>
    <w:p w14:paraId="569E77D9" w14:textId="77777777" w:rsidR="00407100" w:rsidRPr="00407100" w:rsidRDefault="00407100" w:rsidP="00407100">
      <w:pPr>
        <w:pStyle w:val="NoSpacing"/>
        <w:ind w:left="720"/>
        <w:rPr>
          <w:rFonts w:ascii="Times New Roman" w:hAnsi="Times New Roman"/>
          <w:sz w:val="24"/>
          <w:szCs w:val="24"/>
        </w:rPr>
      </w:pPr>
    </w:p>
    <w:p w14:paraId="2EB103C6" w14:textId="77777777" w:rsidR="00407100" w:rsidRDefault="00407100" w:rsidP="00F326E5">
      <w:pPr>
        <w:pStyle w:val="NoSpacing"/>
        <w:rPr>
          <w:rFonts w:ascii="Arial Black" w:hAnsi="Arial Black"/>
          <w:sz w:val="24"/>
          <w:szCs w:val="24"/>
        </w:rPr>
      </w:pPr>
    </w:p>
    <w:p w14:paraId="72AF88B5" w14:textId="3EFDEE70" w:rsidR="007A1E7A" w:rsidRDefault="007A1E7A" w:rsidP="00F326E5">
      <w:pPr>
        <w:pStyle w:val="NoSpacing"/>
        <w:rPr>
          <w:rFonts w:ascii="Arial Black" w:hAnsi="Arial Black"/>
          <w:sz w:val="24"/>
          <w:szCs w:val="24"/>
        </w:rPr>
      </w:pPr>
      <w:r>
        <w:rPr>
          <w:rFonts w:ascii="Arial Black" w:hAnsi="Arial Black"/>
          <w:sz w:val="24"/>
          <w:szCs w:val="24"/>
        </w:rPr>
        <w:t>17-3</w:t>
      </w:r>
    </w:p>
    <w:p w14:paraId="44BC6CD3" w14:textId="5660370E" w:rsidR="007A1E7A" w:rsidRDefault="007A1E7A" w:rsidP="007A1E7A">
      <w:pPr>
        <w:spacing w:before="100" w:beforeAutospacing="1" w:after="100" w:afterAutospacing="1" w:line="240" w:lineRule="auto"/>
        <w:rPr>
          <w:rFonts w:ascii="Arial Black" w:hAnsi="Arial Black"/>
          <w:sz w:val="28"/>
          <w:szCs w:val="28"/>
        </w:rPr>
      </w:pPr>
      <w:bookmarkStart w:id="641" w:name="_Hlk39773254"/>
      <w:r>
        <w:rPr>
          <w:rFonts w:ascii="Arial Black" w:hAnsi="Arial Black"/>
          <w:sz w:val="28"/>
          <w:szCs w:val="28"/>
        </w:rPr>
        <w:t xml:space="preserve">OH: COLUMBUS FD SOUGHT TO CONVERT NUMEROUS FD JOBS </w:t>
      </w:r>
      <w:r w:rsidR="00407100">
        <w:rPr>
          <w:rFonts w:ascii="Arial Black" w:hAnsi="Arial Black"/>
          <w:sz w:val="28"/>
          <w:szCs w:val="28"/>
        </w:rPr>
        <w:t xml:space="preserve">TO </w:t>
      </w:r>
      <w:r>
        <w:rPr>
          <w:rFonts w:ascii="Arial Black" w:hAnsi="Arial Black"/>
          <w:sz w:val="28"/>
          <w:szCs w:val="28"/>
        </w:rPr>
        <w:t xml:space="preserve">“CIVIL” POSITIONS - LOCAL 67 </w:t>
      </w:r>
      <w:proofErr w:type="gramStart"/>
      <w:r>
        <w:rPr>
          <w:rFonts w:ascii="Arial Black" w:hAnsi="Arial Black"/>
          <w:sz w:val="28"/>
          <w:szCs w:val="28"/>
        </w:rPr>
        <w:t>GRIEVANCE</w:t>
      </w:r>
      <w:proofErr w:type="gramEnd"/>
      <w:r>
        <w:rPr>
          <w:rFonts w:ascii="Arial Black" w:hAnsi="Arial Black"/>
          <w:sz w:val="28"/>
          <w:szCs w:val="28"/>
        </w:rPr>
        <w:t xml:space="preserve"> UPHELD</w:t>
      </w:r>
    </w:p>
    <w:p w14:paraId="0BA7AF1A" w14:textId="77777777" w:rsidR="007A1E7A" w:rsidRPr="004B30C8" w:rsidRDefault="007A1E7A" w:rsidP="007A1E7A">
      <w:pPr>
        <w:spacing w:before="100" w:beforeAutospacing="1" w:after="100" w:afterAutospacing="1" w:line="240" w:lineRule="auto"/>
        <w:rPr>
          <w:rFonts w:ascii="Times New Roman" w:hAnsi="Times New Roman"/>
          <w:sz w:val="24"/>
          <w:szCs w:val="24"/>
        </w:rPr>
      </w:pPr>
      <w:r w:rsidRPr="004B30C8">
        <w:rPr>
          <w:rFonts w:ascii="Times New Roman" w:hAnsi="Times New Roman"/>
          <w:sz w:val="24"/>
          <w:szCs w:val="24"/>
        </w:rPr>
        <w:t xml:space="preserve">On </w:t>
      </w:r>
      <w:bookmarkStart w:id="642" w:name="_Hlk39860957"/>
      <w:r w:rsidRPr="004B30C8">
        <w:rPr>
          <w:rFonts w:ascii="Times New Roman" w:hAnsi="Times New Roman"/>
          <w:sz w:val="24"/>
          <w:szCs w:val="24"/>
        </w:rPr>
        <w:t xml:space="preserve">Feb. 4, 2020, in </w:t>
      </w:r>
      <w:r w:rsidRPr="004B30C8">
        <w:rPr>
          <w:rFonts w:ascii="Times New Roman" w:hAnsi="Times New Roman"/>
          <w:sz w:val="24"/>
          <w:szCs w:val="24"/>
          <w:u w:val="single"/>
        </w:rPr>
        <w:t>City of Columbus v. IAFF Local 67</w:t>
      </w:r>
      <w:bookmarkEnd w:id="642"/>
      <w:r w:rsidRPr="004B30C8">
        <w:rPr>
          <w:rFonts w:ascii="Times New Roman" w:hAnsi="Times New Roman"/>
          <w:sz w:val="24"/>
          <w:szCs w:val="24"/>
        </w:rPr>
        <w:t xml:space="preserve">, the Ohio Court of Appeals </w:t>
      </w:r>
      <w:proofErr w:type="gramStart"/>
      <w:r w:rsidRPr="004B30C8">
        <w:rPr>
          <w:rFonts w:ascii="Times New Roman" w:hAnsi="Times New Roman"/>
          <w:sz w:val="24"/>
          <w:szCs w:val="24"/>
        </w:rPr>
        <w:t>For</w:t>
      </w:r>
      <w:proofErr w:type="gramEnd"/>
      <w:r w:rsidRPr="004B30C8">
        <w:rPr>
          <w:rFonts w:ascii="Times New Roman" w:hAnsi="Times New Roman"/>
          <w:sz w:val="24"/>
          <w:szCs w:val="24"/>
        </w:rPr>
        <w:t xml:space="preserve"> Tenth District, held (3 to 0) </w:t>
      </w:r>
      <w:proofErr w:type="gramStart"/>
      <w:r w:rsidRPr="004B30C8">
        <w:rPr>
          <w:rFonts w:ascii="Times New Roman" w:hAnsi="Times New Roman"/>
          <w:sz w:val="24"/>
          <w:szCs w:val="24"/>
        </w:rPr>
        <w:t>affirmed</w:t>
      </w:r>
      <w:proofErr w:type="gramEnd"/>
      <w:r w:rsidRPr="004B30C8">
        <w:rPr>
          <w:rFonts w:ascii="Times New Roman" w:hAnsi="Times New Roman"/>
          <w:sz w:val="24"/>
          <w:szCs w:val="24"/>
        </w:rPr>
        <w:t xml:space="preserve"> the decision of the Franklin County Court of Common Pleas judge  upholding the arbitrator’s decision in favor of Local 67. </w:t>
      </w:r>
      <w:r w:rsidRPr="004B30C8">
        <w:rPr>
          <w:rFonts w:ascii="Times New Roman" w:hAnsi="Times New Roman"/>
          <w:sz w:val="24"/>
          <w:szCs w:val="24"/>
        </w:rPr>
        <w:tab/>
      </w:r>
    </w:p>
    <w:p w14:paraId="3AF520C2" w14:textId="7B81FA57" w:rsidR="007A1E7A" w:rsidRPr="004B30C8" w:rsidRDefault="007A1E7A" w:rsidP="007A1E7A">
      <w:pPr>
        <w:pStyle w:val="NoSpacing"/>
        <w:ind w:left="720"/>
        <w:rPr>
          <w:rFonts w:ascii="Times New Roman" w:hAnsi="Times New Roman"/>
          <w:b/>
          <w:bCs/>
          <w:sz w:val="24"/>
          <w:szCs w:val="24"/>
        </w:rPr>
      </w:pPr>
      <w:r w:rsidRPr="004B30C8">
        <w:rPr>
          <w:rFonts w:ascii="Times New Roman" w:hAnsi="Times New Roman"/>
          <w:bCs/>
          <w:sz w:val="24"/>
          <w:szCs w:val="24"/>
        </w:rPr>
        <w:t>“On October 19, 2015, a battalion chief representing the Office of the Fire Chief for the City of Columbus Division of Fire (</w:t>
      </w:r>
      <w:r w:rsidR="000209F5">
        <w:rPr>
          <w:rFonts w:ascii="Times New Roman" w:hAnsi="Times New Roman"/>
          <w:bCs/>
          <w:sz w:val="24"/>
          <w:szCs w:val="24"/>
        </w:rPr>
        <w:t>‘</w:t>
      </w:r>
      <w:r w:rsidRPr="004B30C8">
        <w:rPr>
          <w:rFonts w:ascii="Times New Roman" w:hAnsi="Times New Roman"/>
          <w:bCs/>
          <w:sz w:val="24"/>
          <w:szCs w:val="24"/>
        </w:rPr>
        <w:t>Division</w:t>
      </w:r>
      <w:r w:rsidR="000209F5">
        <w:rPr>
          <w:rFonts w:ascii="Times New Roman" w:hAnsi="Times New Roman"/>
          <w:bCs/>
          <w:sz w:val="24"/>
          <w:szCs w:val="24"/>
        </w:rPr>
        <w:t>’</w:t>
      </w:r>
      <w:r w:rsidRPr="004B30C8">
        <w:rPr>
          <w:rFonts w:ascii="Times New Roman" w:hAnsi="Times New Roman"/>
          <w:bCs/>
          <w:sz w:val="24"/>
          <w:szCs w:val="24"/>
        </w:rPr>
        <w:t xml:space="preserve">), sent an e-mail to the President of Local 67. (Ex. JT2 at 4, exhibit to July 27, </w:t>
      </w:r>
      <w:proofErr w:type="gramStart"/>
      <w:r w:rsidRPr="004B30C8">
        <w:rPr>
          <w:rFonts w:ascii="Times New Roman" w:hAnsi="Times New Roman"/>
          <w:bCs/>
          <w:sz w:val="24"/>
          <w:szCs w:val="24"/>
        </w:rPr>
        <w:t>2017</w:t>
      </w:r>
      <w:proofErr w:type="gramEnd"/>
      <w:r w:rsidRPr="004B30C8">
        <w:rPr>
          <w:rFonts w:ascii="Times New Roman" w:hAnsi="Times New Roman"/>
          <w:bCs/>
          <w:sz w:val="24"/>
          <w:szCs w:val="24"/>
        </w:rPr>
        <w:t xml:space="preserve"> Local 67 Application to Confirm.) The e-mail indicated that the </w:t>
      </w:r>
      <w:r w:rsidR="000209F5">
        <w:rPr>
          <w:rFonts w:ascii="Times New Roman" w:hAnsi="Times New Roman"/>
          <w:bCs/>
          <w:sz w:val="24"/>
          <w:szCs w:val="24"/>
        </w:rPr>
        <w:t>‘</w:t>
      </w:r>
      <w:r w:rsidRPr="004B30C8">
        <w:rPr>
          <w:rFonts w:ascii="Times New Roman" w:hAnsi="Times New Roman"/>
          <w:bCs/>
          <w:sz w:val="24"/>
          <w:szCs w:val="24"/>
        </w:rPr>
        <w:t>directors office decided</w:t>
      </w:r>
      <w:r w:rsidR="000209F5">
        <w:rPr>
          <w:rFonts w:ascii="Times New Roman" w:hAnsi="Times New Roman"/>
          <w:bCs/>
          <w:sz w:val="24"/>
          <w:szCs w:val="24"/>
        </w:rPr>
        <w:t>’</w:t>
      </w:r>
      <w:r w:rsidRPr="004B30C8">
        <w:rPr>
          <w:rFonts w:ascii="Times New Roman" w:hAnsi="Times New Roman"/>
          <w:bCs/>
          <w:sz w:val="24"/>
          <w:szCs w:val="24"/>
        </w:rPr>
        <w:t xml:space="preserve"> to </w:t>
      </w:r>
      <w:proofErr w:type="gramStart"/>
      <w:r w:rsidRPr="004B30C8">
        <w:rPr>
          <w:rFonts w:ascii="Times New Roman" w:hAnsi="Times New Roman"/>
          <w:bCs/>
          <w:sz w:val="24"/>
          <w:szCs w:val="24"/>
        </w:rPr>
        <w:t>civilianize</w:t>
      </w:r>
      <w:proofErr w:type="gramEnd"/>
      <w:r w:rsidRPr="004B30C8">
        <w:rPr>
          <w:rFonts w:ascii="Times New Roman" w:hAnsi="Times New Roman"/>
          <w:bCs/>
          <w:sz w:val="24"/>
          <w:szCs w:val="24"/>
        </w:rPr>
        <w:t xml:space="preserve"> certain special assignments then filled by uniformed firefighters. Id. Attached to the e-mail was a document listing 17 positions that the City intended to civilianize: ‘RMS,’ ‘Fitness Coordinator,’ ‘Special Events Coord,’ ‘EMS Supply Tech,’ ‘ES-1 Liaison,’ ‘Training Video,’ ‘FAO Radio Specialist,’ ‘Public CPR Trainer,’ ‘R&amp;D Specialist,’ ‘R&amp;D Specialist,’ ‘R&amp;D Specification,’ ‘I.T. Coordinator,’ ‘Apprenticeship Asst.,’ ‘FAO Trainer,’ ‘Community Relations,’ ‘In Service Training, and ‘ES-1 Office Aid. ***  The CBA nowhere asserts, affirms, or implies a broad right of the City to </w:t>
      </w:r>
      <w:proofErr w:type="gramStart"/>
      <w:r w:rsidRPr="004B30C8">
        <w:rPr>
          <w:rFonts w:ascii="Times New Roman" w:hAnsi="Times New Roman"/>
          <w:bCs/>
          <w:sz w:val="24"/>
          <w:szCs w:val="24"/>
        </w:rPr>
        <w:t>civilianize</w:t>
      </w:r>
      <w:proofErr w:type="gramEnd"/>
      <w:r w:rsidRPr="004B30C8">
        <w:rPr>
          <w:rFonts w:ascii="Times New Roman" w:hAnsi="Times New Roman"/>
          <w:bCs/>
          <w:sz w:val="24"/>
          <w:szCs w:val="24"/>
        </w:rPr>
        <w:t xml:space="preserve"> bargaining unit positions. The CBA provides no general right to </w:t>
      </w:r>
      <w:proofErr w:type="gramStart"/>
      <w:r w:rsidRPr="004B30C8">
        <w:rPr>
          <w:rFonts w:ascii="Times New Roman" w:hAnsi="Times New Roman"/>
          <w:bCs/>
          <w:sz w:val="24"/>
          <w:szCs w:val="24"/>
        </w:rPr>
        <w:t>civilianize</w:t>
      </w:r>
      <w:proofErr w:type="gramEnd"/>
      <w:r w:rsidRPr="004B30C8">
        <w:rPr>
          <w:rFonts w:ascii="Times New Roman" w:hAnsi="Times New Roman"/>
          <w:bCs/>
          <w:sz w:val="24"/>
          <w:szCs w:val="24"/>
        </w:rPr>
        <w:t xml:space="preserve"> the City. Nor do the terms of the CBA, taken as a whole, suggest that Section 7.2 should be read as a narrow exception to a general right to </w:t>
      </w:r>
      <w:proofErr w:type="gramStart"/>
      <w:r w:rsidRPr="004B30C8">
        <w:rPr>
          <w:rFonts w:ascii="Times New Roman" w:hAnsi="Times New Roman"/>
          <w:bCs/>
          <w:sz w:val="24"/>
          <w:szCs w:val="24"/>
        </w:rPr>
        <w:t>civilianize</w:t>
      </w:r>
      <w:proofErr w:type="gramEnd"/>
      <w:r w:rsidRPr="004B30C8">
        <w:rPr>
          <w:rFonts w:ascii="Times New Roman" w:hAnsi="Times New Roman"/>
          <w:bCs/>
          <w:sz w:val="24"/>
          <w:szCs w:val="24"/>
        </w:rPr>
        <w:t xml:space="preserve">. Rather the CBA contains, and the arbitrator found, a broad prohibition on civilianizing positions within the Division.  </w:t>
      </w:r>
      <w:bookmarkStart w:id="643" w:name="_Hlk39860985"/>
      <w:r w:rsidR="00B0089C">
        <w:fldChar w:fldCharType="begin"/>
      </w:r>
      <w:r w:rsidR="00B0089C">
        <w:instrText xml:space="preserve"> HYPERLINK "https://www.supremecourt.ohio.gov/rod/docs/pdf/10/2020/2020-Ohio-356.pdf" </w:instrText>
      </w:r>
      <w:r w:rsidR="00B0089C">
        <w:fldChar w:fldCharType="separate"/>
      </w:r>
      <w:r w:rsidRPr="004B30C8">
        <w:rPr>
          <w:rStyle w:val="Hyperlink"/>
          <w:rFonts w:ascii="Times New Roman" w:hAnsi="Times New Roman"/>
          <w:bCs/>
          <w:sz w:val="24"/>
          <w:szCs w:val="24"/>
        </w:rPr>
        <w:t>https://www.supremecourt.ohio.gov/rod/docs/pdf/10/2020/2020-Ohio-356.pdf</w:t>
      </w:r>
      <w:r w:rsidR="00B0089C">
        <w:rPr>
          <w:rStyle w:val="Hyperlink"/>
          <w:rFonts w:ascii="Times New Roman" w:hAnsi="Times New Roman"/>
          <w:bCs/>
          <w:sz w:val="24"/>
          <w:szCs w:val="24"/>
        </w:rPr>
        <w:fldChar w:fldCharType="end"/>
      </w:r>
      <w:r w:rsidRPr="004B30C8">
        <w:rPr>
          <w:rFonts w:ascii="Times New Roman" w:hAnsi="Times New Roman"/>
          <w:bCs/>
          <w:sz w:val="24"/>
          <w:szCs w:val="24"/>
        </w:rPr>
        <w:t xml:space="preserve"> </w:t>
      </w:r>
      <w:bookmarkEnd w:id="643"/>
    </w:p>
    <w:bookmarkEnd w:id="641"/>
    <w:p w14:paraId="488F1F8B" w14:textId="53D9A376" w:rsidR="007A1E7A" w:rsidRDefault="007A1E7A" w:rsidP="00F326E5">
      <w:pPr>
        <w:pStyle w:val="NoSpacing"/>
        <w:rPr>
          <w:rFonts w:ascii="Arial Black" w:hAnsi="Arial Black"/>
          <w:sz w:val="24"/>
          <w:szCs w:val="24"/>
        </w:rPr>
      </w:pPr>
    </w:p>
    <w:p w14:paraId="1F0BC464" w14:textId="40814CBB" w:rsidR="007A1E7A" w:rsidRPr="004B30C8" w:rsidRDefault="007A1E7A" w:rsidP="007A1E7A">
      <w:pPr>
        <w:pStyle w:val="NoSpacing"/>
        <w:rPr>
          <w:rFonts w:ascii="Times New Roman" w:hAnsi="Times New Roman"/>
          <w:b/>
          <w:bCs/>
          <w:sz w:val="24"/>
          <w:szCs w:val="24"/>
        </w:rPr>
      </w:pPr>
      <w:bookmarkStart w:id="644" w:name="_Hlk40517239"/>
      <w:r w:rsidRPr="004B30C8">
        <w:rPr>
          <w:rFonts w:ascii="Times New Roman" w:hAnsi="Times New Roman"/>
          <w:b/>
          <w:bCs/>
          <w:sz w:val="24"/>
          <w:szCs w:val="24"/>
        </w:rPr>
        <w:t>Legal Lessons Learned: The arbitrator, and the Courts, relied heavily on the City’s prior cooperation with Local 67</w:t>
      </w:r>
      <w:r w:rsidR="00A76634">
        <w:rPr>
          <w:rFonts w:ascii="Times New Roman" w:hAnsi="Times New Roman"/>
          <w:b/>
          <w:bCs/>
          <w:sz w:val="24"/>
          <w:szCs w:val="24"/>
        </w:rPr>
        <w:t>.</w:t>
      </w:r>
    </w:p>
    <w:bookmarkEnd w:id="644"/>
    <w:p w14:paraId="5F60C8FF" w14:textId="77777777" w:rsidR="007A1E7A" w:rsidRDefault="007A1E7A" w:rsidP="00F326E5">
      <w:pPr>
        <w:pStyle w:val="NoSpacing"/>
        <w:rPr>
          <w:rFonts w:ascii="Arial Black" w:hAnsi="Arial Black"/>
          <w:sz w:val="24"/>
          <w:szCs w:val="24"/>
        </w:rPr>
      </w:pPr>
    </w:p>
    <w:p w14:paraId="0750E27F" w14:textId="77777777" w:rsidR="007A1E7A" w:rsidRDefault="007A1E7A" w:rsidP="00F326E5">
      <w:pPr>
        <w:pStyle w:val="NoSpacing"/>
        <w:rPr>
          <w:rFonts w:ascii="Arial Black" w:hAnsi="Arial Black"/>
          <w:sz w:val="24"/>
          <w:szCs w:val="24"/>
        </w:rPr>
      </w:pPr>
    </w:p>
    <w:p w14:paraId="412CFE29" w14:textId="77777777" w:rsidR="007A1E7A" w:rsidRDefault="007A1E7A" w:rsidP="00F326E5">
      <w:pPr>
        <w:pStyle w:val="NoSpacing"/>
        <w:rPr>
          <w:rFonts w:ascii="Arial Black" w:hAnsi="Arial Black"/>
          <w:sz w:val="24"/>
          <w:szCs w:val="24"/>
        </w:rPr>
      </w:pPr>
    </w:p>
    <w:p w14:paraId="293ACADC" w14:textId="77777777" w:rsidR="007A1E7A" w:rsidRDefault="007A1E7A" w:rsidP="00F326E5">
      <w:pPr>
        <w:pStyle w:val="NoSpacing"/>
        <w:rPr>
          <w:rFonts w:ascii="Arial Black" w:hAnsi="Arial Black"/>
          <w:sz w:val="24"/>
          <w:szCs w:val="24"/>
        </w:rPr>
      </w:pPr>
    </w:p>
    <w:p w14:paraId="7DEB1699" w14:textId="761F48DA" w:rsidR="00A06387" w:rsidRPr="00A06387" w:rsidRDefault="00A06387" w:rsidP="00F326E5">
      <w:pPr>
        <w:pStyle w:val="NoSpacing"/>
        <w:rPr>
          <w:rFonts w:ascii="Arial Black" w:hAnsi="Arial Black"/>
          <w:sz w:val="24"/>
          <w:szCs w:val="24"/>
        </w:rPr>
      </w:pPr>
      <w:r w:rsidRPr="00A06387">
        <w:rPr>
          <w:rFonts w:ascii="Arial Black" w:hAnsi="Arial Black"/>
          <w:sz w:val="24"/>
          <w:szCs w:val="24"/>
        </w:rPr>
        <w:t xml:space="preserve">17-2  </w:t>
      </w:r>
    </w:p>
    <w:p w14:paraId="20866ECF" w14:textId="77777777" w:rsidR="00A06387" w:rsidRDefault="00A06387" w:rsidP="00F326E5">
      <w:pPr>
        <w:pStyle w:val="NoSpacing"/>
        <w:rPr>
          <w:rFonts w:ascii="Arial Black" w:hAnsi="Arial Black"/>
          <w:sz w:val="28"/>
          <w:szCs w:val="28"/>
        </w:rPr>
      </w:pPr>
    </w:p>
    <w:p w14:paraId="5F2F81ED" w14:textId="6A73F7E8" w:rsidR="00F326E5" w:rsidRPr="00A06387" w:rsidRDefault="00A06387" w:rsidP="00F326E5">
      <w:pPr>
        <w:pStyle w:val="NoSpacing"/>
        <w:rPr>
          <w:rFonts w:ascii="Arial Black" w:hAnsi="Arial Black"/>
          <w:sz w:val="28"/>
          <w:szCs w:val="28"/>
        </w:rPr>
      </w:pPr>
      <w:bookmarkStart w:id="645" w:name="_Hlk23516868"/>
      <w:bookmarkStart w:id="646" w:name="_Hlk39773361"/>
      <w:r>
        <w:rPr>
          <w:rFonts w:ascii="Arial Black" w:hAnsi="Arial Black"/>
          <w:sz w:val="28"/>
          <w:szCs w:val="28"/>
        </w:rPr>
        <w:t xml:space="preserve">NY: </w:t>
      </w:r>
      <w:r w:rsidRPr="00A06387">
        <w:rPr>
          <w:rFonts w:ascii="Arial Black" w:hAnsi="Arial Black"/>
          <w:sz w:val="28"/>
          <w:szCs w:val="28"/>
        </w:rPr>
        <w:t>NEW FD PARAMEDIC TRAINING – UNION ALLEGES BREACH OF CBA – GRIEVANCE CAN GO TO ARBITRATION</w:t>
      </w:r>
    </w:p>
    <w:bookmarkEnd w:id="645"/>
    <w:p w14:paraId="458EE45A" w14:textId="77777777" w:rsidR="00A06387" w:rsidRDefault="00A06387" w:rsidP="00A06387">
      <w:pPr>
        <w:pStyle w:val="NoSpacing"/>
        <w:rPr>
          <w:rFonts w:ascii="On Times New Roman" w:hAnsi="On Times New Roman"/>
          <w:bCs/>
          <w:sz w:val="24"/>
          <w:szCs w:val="24"/>
        </w:rPr>
      </w:pPr>
    </w:p>
    <w:p w14:paraId="4971F7D4" w14:textId="122FB023" w:rsidR="00A06387" w:rsidRPr="00E600C4" w:rsidRDefault="00A06387" w:rsidP="00A06387">
      <w:pPr>
        <w:pStyle w:val="NoSpacing"/>
        <w:rPr>
          <w:rFonts w:ascii="Times New Roman" w:hAnsi="Times New Roman"/>
          <w:b/>
          <w:bCs/>
          <w:sz w:val="24"/>
          <w:szCs w:val="24"/>
        </w:rPr>
      </w:pPr>
      <w:r w:rsidRPr="00E600C4">
        <w:rPr>
          <w:rFonts w:ascii="Times New Roman" w:hAnsi="Times New Roman"/>
          <w:bCs/>
          <w:sz w:val="24"/>
          <w:szCs w:val="24"/>
        </w:rPr>
        <w:t xml:space="preserve">On Oct. 30, 2019, in </w:t>
      </w:r>
      <w:r w:rsidRPr="00E600C4">
        <w:rPr>
          <w:rFonts w:ascii="Times New Roman" w:hAnsi="Times New Roman"/>
          <w:bCs/>
          <w:sz w:val="24"/>
          <w:szCs w:val="24"/>
          <w:u w:val="single"/>
        </w:rPr>
        <w:t xml:space="preserve">Matter </w:t>
      </w:r>
      <w:proofErr w:type="gramStart"/>
      <w:r w:rsidRPr="00E600C4">
        <w:rPr>
          <w:rFonts w:ascii="Times New Roman" w:hAnsi="Times New Roman"/>
          <w:bCs/>
          <w:sz w:val="24"/>
          <w:szCs w:val="24"/>
          <w:u w:val="single"/>
        </w:rPr>
        <w:t>Of</w:t>
      </w:r>
      <w:proofErr w:type="gramEnd"/>
      <w:r w:rsidRPr="00E600C4">
        <w:rPr>
          <w:rFonts w:ascii="Times New Roman" w:hAnsi="Times New Roman"/>
          <w:bCs/>
          <w:sz w:val="24"/>
          <w:szCs w:val="24"/>
          <w:u w:val="single"/>
        </w:rPr>
        <w:t xml:space="preserve"> City of Yonkers v. Yonkers Fire Fighters, Local 628,</w:t>
      </w:r>
      <w:r w:rsidRPr="00E600C4">
        <w:rPr>
          <w:rFonts w:ascii="Times New Roman" w:hAnsi="Times New Roman"/>
          <w:bCs/>
          <w:sz w:val="24"/>
          <w:szCs w:val="24"/>
        </w:rPr>
        <w:t xml:space="preserve"> the Supreme Court of New York,  Appellate Division (Second Judicial District), held 5 to 0 that a Judge in Westchester County (dated September 20, 2016) improperly granted the City’s petition to permanently stay arbitration.   </w:t>
      </w:r>
    </w:p>
    <w:p w14:paraId="343D676B" w14:textId="77777777" w:rsidR="00A06387" w:rsidRPr="00E600C4" w:rsidRDefault="00A06387" w:rsidP="00A06387">
      <w:pPr>
        <w:pStyle w:val="NoSpacing"/>
        <w:rPr>
          <w:rFonts w:ascii="Times New Roman" w:hAnsi="Times New Roman"/>
          <w:b/>
          <w:bCs/>
          <w:sz w:val="24"/>
          <w:szCs w:val="24"/>
        </w:rPr>
      </w:pPr>
    </w:p>
    <w:p w14:paraId="7208C993" w14:textId="77C54431" w:rsidR="00A06387" w:rsidRPr="00E600C4" w:rsidRDefault="00A06387" w:rsidP="00A06387">
      <w:pPr>
        <w:pStyle w:val="NoSpacing"/>
        <w:ind w:left="720"/>
        <w:rPr>
          <w:rFonts w:ascii="Times New Roman" w:hAnsi="Times New Roman"/>
          <w:b/>
          <w:bCs/>
          <w:sz w:val="24"/>
          <w:szCs w:val="24"/>
        </w:rPr>
      </w:pPr>
      <w:r w:rsidRPr="00E600C4">
        <w:rPr>
          <w:rFonts w:ascii="Times New Roman" w:hAnsi="Times New Roman"/>
          <w:bCs/>
          <w:sz w:val="24"/>
          <w:szCs w:val="24"/>
        </w:rPr>
        <w:t>“According to Local 628, the City, by offering a paramedic training course to its firefighters, violated article 33 of the CBA, which contains various provisions concerning the EMS Program, including a provision stating that the ‘EMS Program shall mean the level of services provided as of the date of this Agreement.’ Contrary to the City's contention, a reasonable relationship exists between Local 628's grievance and the general subject matter of the CBA.</w:t>
      </w:r>
      <w:r w:rsidR="005B7BBD">
        <w:rPr>
          <w:rFonts w:ascii="Times New Roman" w:hAnsi="Times New Roman"/>
          <w:bCs/>
          <w:sz w:val="24"/>
          <w:szCs w:val="24"/>
        </w:rPr>
        <w:t xml:space="preserve"> </w:t>
      </w:r>
      <w:r w:rsidRPr="00E600C4">
        <w:rPr>
          <w:rFonts w:ascii="Times New Roman" w:hAnsi="Times New Roman"/>
          <w:bCs/>
          <w:sz w:val="24"/>
          <w:szCs w:val="24"/>
        </w:rPr>
        <w:t>***</w:t>
      </w:r>
      <w:r w:rsidR="005B7BBD">
        <w:rPr>
          <w:rFonts w:ascii="Times New Roman" w:hAnsi="Times New Roman"/>
          <w:bCs/>
          <w:sz w:val="24"/>
          <w:szCs w:val="24"/>
        </w:rPr>
        <w:t xml:space="preserve"> </w:t>
      </w:r>
      <w:r w:rsidRPr="00E600C4">
        <w:rPr>
          <w:rFonts w:ascii="Times New Roman" w:hAnsi="Times New Roman"/>
          <w:bCs/>
          <w:sz w:val="24"/>
          <w:szCs w:val="24"/>
        </w:rPr>
        <w:t>Where, as here, the relevant arbitration provision of the CBA is broad, providing for arbitration of any grievance ‘involving the interpretation or application of any provision of this Agreement,’ a court ‘should merely determine whether there is a reasonable relationship between the subject matter of the dispute and the general subject matter of the CBA.’”</w:t>
      </w:r>
    </w:p>
    <w:p w14:paraId="562A0D5A" w14:textId="77777777" w:rsidR="00A06387" w:rsidRPr="00E600C4" w:rsidRDefault="00A06387" w:rsidP="00A06387">
      <w:pPr>
        <w:pStyle w:val="NoSpacing"/>
        <w:ind w:left="720"/>
        <w:rPr>
          <w:rFonts w:ascii="Times New Roman" w:hAnsi="Times New Roman"/>
          <w:b/>
          <w:bCs/>
          <w:sz w:val="24"/>
          <w:szCs w:val="24"/>
        </w:rPr>
      </w:pPr>
      <w:hyperlink r:id="rId2838" w:history="1">
        <w:r w:rsidRPr="00E600C4">
          <w:rPr>
            <w:rStyle w:val="Hyperlink"/>
            <w:rFonts w:ascii="Times New Roman" w:hAnsi="Times New Roman"/>
            <w:bCs/>
            <w:sz w:val="24"/>
            <w:szCs w:val="24"/>
          </w:rPr>
          <w:t>https://law.justia.com/cases/new-york/appellate-division-second-department/2019/2016-10658.html</w:t>
        </w:r>
      </w:hyperlink>
      <w:r w:rsidRPr="00E600C4">
        <w:rPr>
          <w:rFonts w:ascii="Times New Roman" w:hAnsi="Times New Roman"/>
          <w:bCs/>
          <w:sz w:val="24"/>
          <w:szCs w:val="24"/>
        </w:rPr>
        <w:t xml:space="preserve"> </w:t>
      </w:r>
    </w:p>
    <w:bookmarkEnd w:id="646"/>
    <w:p w14:paraId="683B8002" w14:textId="77777777" w:rsidR="00A06387" w:rsidRPr="00E600C4" w:rsidRDefault="00A06387" w:rsidP="00A06387">
      <w:pPr>
        <w:pStyle w:val="NoSpacing"/>
        <w:rPr>
          <w:rFonts w:ascii="Times New Roman" w:hAnsi="Times New Roman"/>
          <w:b/>
          <w:bCs/>
          <w:sz w:val="24"/>
          <w:szCs w:val="24"/>
        </w:rPr>
      </w:pPr>
    </w:p>
    <w:p w14:paraId="4B6129AF" w14:textId="609832D4" w:rsidR="00A06387" w:rsidRPr="00E600C4" w:rsidRDefault="00A06387" w:rsidP="00F326E5">
      <w:pPr>
        <w:pStyle w:val="NoSpacing"/>
        <w:rPr>
          <w:rFonts w:ascii="Times New Roman" w:hAnsi="Times New Roman"/>
          <w:sz w:val="24"/>
          <w:szCs w:val="24"/>
        </w:rPr>
      </w:pPr>
      <w:bookmarkStart w:id="647" w:name="_Hlk40517276"/>
      <w:r w:rsidRPr="00E600C4">
        <w:rPr>
          <w:rFonts w:ascii="Times New Roman" w:hAnsi="Times New Roman"/>
          <w:b/>
          <w:bCs/>
          <w:sz w:val="24"/>
          <w:szCs w:val="24"/>
        </w:rPr>
        <w:t>Legal Lessons Learned: Courts favor arbitration to resolve labor disputes</w:t>
      </w:r>
      <w:r w:rsidRPr="00E600C4">
        <w:rPr>
          <w:rFonts w:ascii="Times New Roman" w:hAnsi="Times New Roman"/>
          <w:sz w:val="24"/>
          <w:szCs w:val="24"/>
        </w:rPr>
        <w:t xml:space="preserve">.  </w:t>
      </w:r>
    </w:p>
    <w:p w14:paraId="57848C94" w14:textId="32A6D4F1" w:rsidR="00A06387" w:rsidRDefault="00A06387" w:rsidP="000C4DF5">
      <w:pPr>
        <w:pStyle w:val="NoSpacing"/>
        <w:rPr>
          <w:rFonts w:ascii="Arial Black" w:hAnsi="Arial Black"/>
          <w:sz w:val="24"/>
          <w:szCs w:val="24"/>
        </w:rPr>
      </w:pPr>
      <w:bookmarkStart w:id="648" w:name="_Hlk6757078"/>
      <w:bookmarkEnd w:id="647"/>
    </w:p>
    <w:p w14:paraId="311BDA0F" w14:textId="77777777" w:rsidR="00A06387" w:rsidRDefault="00A06387" w:rsidP="000C4DF5">
      <w:pPr>
        <w:pStyle w:val="NoSpacing"/>
        <w:rPr>
          <w:rFonts w:ascii="Arial Black" w:hAnsi="Arial Black"/>
          <w:sz w:val="24"/>
          <w:szCs w:val="24"/>
        </w:rPr>
      </w:pPr>
    </w:p>
    <w:p w14:paraId="0205C73B" w14:textId="1311E8C7" w:rsidR="000C4DF5" w:rsidRDefault="000C4DF5" w:rsidP="000C4DF5">
      <w:pPr>
        <w:pStyle w:val="NoSpacing"/>
        <w:rPr>
          <w:rFonts w:ascii="Arial Black" w:hAnsi="Arial Black"/>
          <w:sz w:val="24"/>
          <w:szCs w:val="24"/>
        </w:rPr>
      </w:pPr>
      <w:r>
        <w:rPr>
          <w:rFonts w:ascii="Arial Black" w:hAnsi="Arial Black"/>
          <w:sz w:val="24"/>
          <w:szCs w:val="24"/>
        </w:rPr>
        <w:t>17-1</w:t>
      </w:r>
    </w:p>
    <w:p w14:paraId="790B5E4D" w14:textId="6B832E97" w:rsidR="002B1283" w:rsidRPr="00EE07D9" w:rsidRDefault="002B1283" w:rsidP="002B1283">
      <w:pPr>
        <w:rPr>
          <w:rFonts w:ascii="Arial Black" w:hAnsi="Arial Black"/>
          <w:sz w:val="28"/>
          <w:szCs w:val="28"/>
        </w:rPr>
      </w:pPr>
      <w:r>
        <w:rPr>
          <w:rFonts w:ascii="Arial Black" w:hAnsi="Arial Black"/>
          <w:sz w:val="28"/>
          <w:szCs w:val="28"/>
        </w:rPr>
        <w:t xml:space="preserve">IL:  CT OVERTURNS ARBITRATOR – PURGING POLICE DISCIPLINE RECORDS IS VIOLATION OF STATE’S PUBLIC POLICY </w:t>
      </w:r>
    </w:p>
    <w:p w14:paraId="442DA037" w14:textId="77777777" w:rsidR="002B1283" w:rsidRDefault="002B1283" w:rsidP="002B1283">
      <w:pPr>
        <w:pStyle w:val="NoSpacing"/>
        <w:rPr>
          <w:rFonts w:ascii="Times New Roman" w:hAnsi="Times New Roman"/>
          <w:sz w:val="24"/>
          <w:szCs w:val="24"/>
        </w:rPr>
      </w:pPr>
      <w:r w:rsidRPr="009F6E0A">
        <w:rPr>
          <w:rFonts w:ascii="Times New Roman" w:hAnsi="Times New Roman"/>
          <w:sz w:val="24"/>
          <w:szCs w:val="24"/>
        </w:rPr>
        <w:t xml:space="preserve">On March 29, 2019, in </w:t>
      </w:r>
      <w:r w:rsidRPr="009F6E0A">
        <w:rPr>
          <w:rFonts w:ascii="Times New Roman" w:hAnsi="Times New Roman"/>
          <w:sz w:val="24"/>
          <w:szCs w:val="24"/>
          <w:u w:val="single"/>
        </w:rPr>
        <w:t>City of Chicago v. Fraternal Order of Police, Chicago Lodge No. 7</w:t>
      </w:r>
      <w:r w:rsidRPr="009F6E0A">
        <w:rPr>
          <w:rFonts w:ascii="Times New Roman" w:hAnsi="Times New Roman"/>
          <w:sz w:val="24"/>
          <w:szCs w:val="24"/>
        </w:rPr>
        <w:t>, the Illinois Appellate Court (1</w:t>
      </w:r>
      <w:r w:rsidRPr="009F6E0A">
        <w:rPr>
          <w:rFonts w:ascii="Times New Roman" w:hAnsi="Times New Roman"/>
          <w:sz w:val="24"/>
          <w:szCs w:val="24"/>
          <w:vertAlign w:val="superscript"/>
        </w:rPr>
        <w:t>st</w:t>
      </w:r>
      <w:r w:rsidRPr="009F6E0A">
        <w:rPr>
          <w:rFonts w:ascii="Times New Roman" w:hAnsi="Times New Roman"/>
          <w:sz w:val="24"/>
          <w:szCs w:val="24"/>
        </w:rPr>
        <w:t xml:space="preserve"> District) held (3 to</w:t>
      </w:r>
      <w:r>
        <w:rPr>
          <w:rFonts w:ascii="Times New Roman" w:hAnsi="Times New Roman"/>
          <w:sz w:val="24"/>
          <w:szCs w:val="24"/>
        </w:rPr>
        <w:t xml:space="preserve"> 0</w:t>
      </w:r>
      <w:r w:rsidRPr="009F6E0A">
        <w:rPr>
          <w:rFonts w:ascii="Times New Roman" w:hAnsi="Times New Roman"/>
          <w:sz w:val="24"/>
          <w:szCs w:val="24"/>
        </w:rPr>
        <w:t>) that an arbitrator’s decision upholding FOP’s grievance must be set aside</w:t>
      </w:r>
      <w:r>
        <w:rPr>
          <w:rFonts w:ascii="Times New Roman" w:hAnsi="Times New Roman"/>
          <w:sz w:val="24"/>
          <w:szCs w:val="24"/>
        </w:rPr>
        <w:t xml:space="preserve">. </w:t>
      </w:r>
    </w:p>
    <w:p w14:paraId="4BD9ED12" w14:textId="77777777" w:rsidR="002B1283" w:rsidRDefault="002B1283" w:rsidP="002B1283">
      <w:pPr>
        <w:pStyle w:val="NoSpacing"/>
        <w:ind w:left="720"/>
        <w:rPr>
          <w:rFonts w:ascii="Times New Roman" w:hAnsi="Times New Roman"/>
          <w:sz w:val="24"/>
          <w:szCs w:val="24"/>
        </w:rPr>
      </w:pPr>
    </w:p>
    <w:p w14:paraId="0268AD40" w14:textId="77777777" w:rsidR="002B1283" w:rsidRDefault="002B1283" w:rsidP="002B1283">
      <w:pPr>
        <w:pStyle w:val="NoSpacing"/>
        <w:ind w:left="720"/>
        <w:rPr>
          <w:rFonts w:ascii="Times New Roman" w:hAnsi="Times New Roman"/>
          <w:sz w:val="24"/>
          <w:szCs w:val="24"/>
        </w:rPr>
      </w:pPr>
      <w:r>
        <w:rPr>
          <w:rFonts w:ascii="Times New Roman" w:hAnsi="Times New Roman"/>
          <w:sz w:val="24"/>
          <w:szCs w:val="24"/>
        </w:rPr>
        <w:t>“</w:t>
      </w:r>
      <w:r w:rsidRPr="009F6E0A">
        <w:rPr>
          <w:rFonts w:ascii="Times New Roman" w:hAnsi="Times New Roman"/>
          <w:sz w:val="24"/>
          <w:szCs w:val="24"/>
        </w:rPr>
        <w:t>The arbitration award requiring destruction of the records pursuant to section 8.4 of the CBA clearly violated well-defined Illinois public policy requiring the proper retention of important public records.</w:t>
      </w:r>
      <w:r>
        <w:rPr>
          <w:rFonts w:ascii="Times New Roman" w:hAnsi="Times New Roman"/>
          <w:sz w:val="24"/>
          <w:szCs w:val="24"/>
        </w:rPr>
        <w:t>”</w:t>
      </w:r>
    </w:p>
    <w:p w14:paraId="04CB1E56" w14:textId="77777777" w:rsidR="002B1283" w:rsidRDefault="002B1283" w:rsidP="002B1283">
      <w:pPr>
        <w:pStyle w:val="NoSpacing"/>
        <w:ind w:firstLine="720"/>
      </w:pPr>
      <w:r>
        <w:rPr>
          <w:rFonts w:ascii="Times New Roman" w:hAnsi="Times New Roman"/>
          <w:sz w:val="24"/>
          <w:szCs w:val="24"/>
        </w:rPr>
        <w:t xml:space="preserve"> </w:t>
      </w:r>
      <w:hyperlink r:id="rId2839" w:history="1">
        <w:r w:rsidRPr="00EA4578">
          <w:rPr>
            <w:rStyle w:val="Hyperlink"/>
          </w:rPr>
          <w:t>http://www.illinoiscourts.gov/Opinions/AppellateCourt/2019/1stDistrict/1172907.pdf</w:t>
        </w:r>
      </w:hyperlink>
      <w:r>
        <w:t xml:space="preserve"> </w:t>
      </w:r>
    </w:p>
    <w:p w14:paraId="7F57718D" w14:textId="77777777" w:rsidR="002B1283" w:rsidRDefault="002B1283" w:rsidP="002B1283">
      <w:pPr>
        <w:pStyle w:val="NoSpacing"/>
        <w:ind w:left="720"/>
        <w:rPr>
          <w:rFonts w:ascii="Times New Roman" w:hAnsi="Times New Roman"/>
          <w:sz w:val="24"/>
          <w:szCs w:val="24"/>
        </w:rPr>
      </w:pPr>
    </w:p>
    <w:p w14:paraId="44F61CE6" w14:textId="77777777" w:rsidR="002B1283" w:rsidRDefault="002B1283" w:rsidP="002B1283">
      <w:pPr>
        <w:pStyle w:val="NoSpacing"/>
        <w:rPr>
          <w:rFonts w:ascii="Times New Roman" w:hAnsi="Times New Roman"/>
          <w:b/>
          <w:bCs/>
          <w:sz w:val="24"/>
          <w:szCs w:val="24"/>
        </w:rPr>
      </w:pPr>
      <w:r w:rsidRPr="00FE69A5">
        <w:rPr>
          <w:rFonts w:ascii="Times New Roman" w:hAnsi="Times New Roman"/>
          <w:b/>
          <w:bCs/>
          <w:sz w:val="24"/>
          <w:szCs w:val="24"/>
        </w:rPr>
        <w:t xml:space="preserve">Legal Lessons Learned: </w:t>
      </w:r>
      <w:r>
        <w:rPr>
          <w:rFonts w:ascii="Times New Roman" w:hAnsi="Times New Roman"/>
          <w:b/>
          <w:bCs/>
          <w:sz w:val="24"/>
          <w:szCs w:val="24"/>
        </w:rPr>
        <w:t xml:space="preserve"> Purging of disciplinary records, even if authorized under a CBA,  can result in public records litigation.  </w:t>
      </w:r>
    </w:p>
    <w:p w14:paraId="30BF6D83" w14:textId="77777777" w:rsidR="002B1283" w:rsidRDefault="002B1283" w:rsidP="002B1283">
      <w:pPr>
        <w:pStyle w:val="NoSpacing"/>
        <w:rPr>
          <w:rFonts w:ascii="Times New Roman" w:hAnsi="Times New Roman"/>
          <w:b/>
          <w:bCs/>
          <w:sz w:val="24"/>
          <w:szCs w:val="24"/>
        </w:rPr>
      </w:pPr>
    </w:p>
    <w:p w14:paraId="3AD8F8C8" w14:textId="77777777" w:rsidR="002B1283" w:rsidRPr="00224971" w:rsidRDefault="002B1283" w:rsidP="002B1283">
      <w:pPr>
        <w:pStyle w:val="NoSpacing"/>
        <w:ind w:left="720"/>
        <w:rPr>
          <w:rFonts w:ascii="Times New Roman" w:hAnsi="Times New Roman"/>
          <w:sz w:val="24"/>
          <w:szCs w:val="24"/>
        </w:rPr>
      </w:pPr>
      <w:r>
        <w:rPr>
          <w:rFonts w:ascii="Times New Roman" w:hAnsi="Times New Roman"/>
          <w:sz w:val="24"/>
          <w:szCs w:val="24"/>
        </w:rPr>
        <w:t xml:space="preserve">The Court referenced a Chicago FD case where an arbitrator was overturned based on public policy.  </w:t>
      </w:r>
      <w:r w:rsidRPr="005E3D73">
        <w:rPr>
          <w:rFonts w:ascii="Times New Roman" w:hAnsi="Times New Roman"/>
          <w:sz w:val="24"/>
          <w:szCs w:val="24"/>
          <w:u w:val="single"/>
        </w:rPr>
        <w:t>Chicago Fire Fighters Union Local No. 2 v. City of Chicago</w:t>
      </w:r>
      <w:r w:rsidRPr="00224971">
        <w:rPr>
          <w:rFonts w:ascii="Times New Roman" w:hAnsi="Times New Roman"/>
          <w:sz w:val="24"/>
          <w:szCs w:val="24"/>
        </w:rPr>
        <w:t>, 323 Ill. App. 3d 168, 176-77 (2001)</w:t>
      </w:r>
      <w:r>
        <w:rPr>
          <w:rFonts w:ascii="Times New Roman" w:hAnsi="Times New Roman"/>
          <w:sz w:val="24"/>
          <w:szCs w:val="24"/>
        </w:rPr>
        <w:t>:</w:t>
      </w:r>
      <w:r w:rsidRPr="00224971">
        <w:rPr>
          <w:rFonts w:ascii="Times New Roman" w:hAnsi="Times New Roman"/>
          <w:sz w:val="24"/>
          <w:szCs w:val="24"/>
        </w:rPr>
        <w:t xml:space="preserve">  </w:t>
      </w:r>
      <w:hyperlink r:id="rId2840" w:history="1">
        <w:r w:rsidRPr="00823390">
          <w:rPr>
            <w:rStyle w:val="Hyperlink"/>
            <w:rFonts w:ascii="Times New Roman" w:hAnsi="Times New Roman"/>
            <w:sz w:val="24"/>
            <w:szCs w:val="24"/>
          </w:rPr>
          <w:t>https://law.justia.com/cases/illinois/court-of-appeals-first-appellate-district/2000/1992647.html</w:t>
        </w:r>
      </w:hyperlink>
      <w:r w:rsidRPr="00224971">
        <w:rPr>
          <w:rFonts w:ascii="Times New Roman" w:hAnsi="Times New Roman"/>
          <w:sz w:val="24"/>
          <w:szCs w:val="24"/>
        </w:rPr>
        <w:t xml:space="preserve"> </w:t>
      </w:r>
    </w:p>
    <w:p w14:paraId="30CCE15B" w14:textId="77777777" w:rsidR="002B1283" w:rsidRDefault="002B1283" w:rsidP="002B1283">
      <w:pPr>
        <w:pStyle w:val="NoSpacing"/>
        <w:ind w:left="1440"/>
        <w:rPr>
          <w:rFonts w:ascii="Times New Roman" w:hAnsi="Times New Roman"/>
          <w:sz w:val="24"/>
          <w:szCs w:val="24"/>
        </w:rPr>
      </w:pPr>
    </w:p>
    <w:p w14:paraId="3EEE2B96" w14:textId="77777777" w:rsidR="002B1283" w:rsidRPr="005E3D73" w:rsidRDefault="002B1283" w:rsidP="002B1283">
      <w:pPr>
        <w:pStyle w:val="NoSpacing"/>
        <w:ind w:left="1440"/>
        <w:rPr>
          <w:rFonts w:ascii="Times New Roman" w:hAnsi="Times New Roman"/>
          <w:sz w:val="24"/>
          <w:szCs w:val="24"/>
        </w:rPr>
      </w:pPr>
      <w:r w:rsidRPr="005E3D73">
        <w:rPr>
          <w:rFonts w:ascii="Times New Roman" w:hAnsi="Times New Roman"/>
          <w:sz w:val="24"/>
          <w:szCs w:val="24"/>
        </w:rPr>
        <w:t xml:space="preserve">“In May 1997, CFD Internal Affairs Division (‘IAD’) Executive Assistant Mark Edinburg learned of the existence of a videotape of an unauthorized retirement party held on April 12, 1990, at the CFD firehouse known as Engine 100. The videotape depicted firefighters drinking alcoholic beverages inside the firehouse; leaving the firehouse in fire trucks to respond to fire calls; some participants making offensive racial, gender and ethnic slurs; and some engaging in other conduct such as exposing their bare buttocks and genitals. Edinburg viewed the videotape on May 9, 1997. *** This matter calls upon the court to address a serious matter of public policy affecting the health, safety and welfare of the citizens of the city of Chicago.  *** The conduct at issue in the present case was recorded on </w:t>
      </w:r>
      <w:proofErr w:type="gramStart"/>
      <w:r w:rsidRPr="005E3D73">
        <w:rPr>
          <w:rFonts w:ascii="Times New Roman" w:hAnsi="Times New Roman"/>
          <w:sz w:val="24"/>
          <w:szCs w:val="24"/>
        </w:rPr>
        <w:t>video-tape</w:t>
      </w:r>
      <w:proofErr w:type="gramEnd"/>
      <w:r w:rsidRPr="005E3D73">
        <w:rPr>
          <w:rFonts w:ascii="Times New Roman" w:hAnsi="Times New Roman"/>
          <w:sz w:val="24"/>
          <w:szCs w:val="24"/>
        </w:rPr>
        <w:t xml:space="preserve"> and reveals public safety workers in an on-going state of intoxication, some participants setting about to perform their duties by way of responding to an alarm for a fire. Nevertheless, the arbitrator ordered reinstatement and barred all discipline and sanctions without considering the merits of the case. Firefighters have </w:t>
      </w:r>
      <w:proofErr w:type="gramStart"/>
      <w:r w:rsidRPr="005E3D73">
        <w:rPr>
          <w:rFonts w:ascii="Times New Roman" w:hAnsi="Times New Roman"/>
          <w:sz w:val="24"/>
          <w:szCs w:val="24"/>
        </w:rPr>
        <w:t>the</w:t>
      </w:r>
      <w:proofErr w:type="gramEnd"/>
      <w:r w:rsidRPr="005E3D73">
        <w:rPr>
          <w:rFonts w:ascii="Times New Roman" w:hAnsi="Times New Roman"/>
          <w:sz w:val="24"/>
          <w:szCs w:val="24"/>
        </w:rPr>
        <w:t xml:space="preserve"> extraordinary responsibility for carrying out the well-stated public policy of safe and effective fire prevention. Firefighters must be prepared to respond immediately to emergency conditions at all times, and in all weather conditions, whenever the alarm bell in the firehouse sounds. For these reasons, and for </w:t>
      </w:r>
      <w:proofErr w:type="gramStart"/>
      <w:r w:rsidRPr="005E3D73">
        <w:rPr>
          <w:rFonts w:ascii="Times New Roman" w:hAnsi="Times New Roman"/>
          <w:sz w:val="24"/>
          <w:szCs w:val="24"/>
        </w:rPr>
        <w:t>all of</w:t>
      </w:r>
      <w:proofErr w:type="gramEnd"/>
      <w:r w:rsidRPr="005E3D73">
        <w:rPr>
          <w:rFonts w:ascii="Times New Roman" w:hAnsi="Times New Roman"/>
          <w:sz w:val="24"/>
          <w:szCs w:val="24"/>
        </w:rPr>
        <w:t xml:space="preserve"> the reasons cited by our supreme court in AFCSME II, 173 Ill. 2d 299 et seq., we adhere to our original opinion as set forth above.”]</w:t>
      </w:r>
    </w:p>
    <w:p w14:paraId="520AF6ED" w14:textId="77777777" w:rsidR="002B1283" w:rsidRPr="005E3D73" w:rsidRDefault="002B1283" w:rsidP="002B1283">
      <w:pPr>
        <w:pStyle w:val="NoSpacing"/>
        <w:rPr>
          <w:rFonts w:ascii="Times New Roman" w:hAnsi="Times New Roman"/>
          <w:sz w:val="24"/>
          <w:szCs w:val="24"/>
        </w:rPr>
      </w:pPr>
    </w:p>
    <w:p w14:paraId="53FBA1B8" w14:textId="77777777" w:rsidR="00AE0ACC" w:rsidRDefault="00AE0ACC" w:rsidP="00AE0ACC">
      <w:pPr>
        <w:pStyle w:val="NoSpacing"/>
        <w:rPr>
          <w:sz w:val="24"/>
          <w:szCs w:val="24"/>
        </w:rPr>
      </w:pPr>
    </w:p>
    <w:p w14:paraId="02C9FCFD" w14:textId="77777777" w:rsidR="000C4DF5" w:rsidRDefault="000C4DF5" w:rsidP="00F326E5">
      <w:pPr>
        <w:rPr>
          <w:rFonts w:ascii="Arial Black" w:hAnsi="Arial Black"/>
          <w:sz w:val="28"/>
          <w:szCs w:val="28"/>
        </w:rPr>
      </w:pPr>
    </w:p>
    <w:p w14:paraId="71D7A959" w14:textId="0DDFC4E6" w:rsidR="000C4DF5" w:rsidRDefault="000C4DF5" w:rsidP="000C4DF5">
      <w:pPr>
        <w:pStyle w:val="NoSpacing"/>
        <w:rPr>
          <w:rFonts w:ascii="Arial Black" w:hAnsi="Arial Black"/>
          <w:sz w:val="24"/>
          <w:szCs w:val="24"/>
        </w:rPr>
      </w:pPr>
      <w:r>
        <w:rPr>
          <w:rFonts w:ascii="Arial Black" w:hAnsi="Arial Black"/>
          <w:sz w:val="24"/>
          <w:szCs w:val="24"/>
        </w:rPr>
        <w:t>17-2</w:t>
      </w:r>
    </w:p>
    <w:p w14:paraId="51D19F43" w14:textId="77777777" w:rsidR="000C4DF5" w:rsidRDefault="000C4DF5" w:rsidP="00F326E5">
      <w:pPr>
        <w:rPr>
          <w:rFonts w:ascii="Arial Black" w:hAnsi="Arial Black"/>
          <w:sz w:val="28"/>
          <w:szCs w:val="28"/>
        </w:rPr>
      </w:pPr>
    </w:p>
    <w:p w14:paraId="3C985A68" w14:textId="19FB1E99" w:rsidR="00F326E5" w:rsidRDefault="00F326E5" w:rsidP="00F326E5">
      <w:pPr>
        <w:rPr>
          <w:rFonts w:ascii="Arial Black" w:hAnsi="Arial Black"/>
          <w:sz w:val="28"/>
          <w:szCs w:val="28"/>
        </w:rPr>
      </w:pPr>
      <w:r w:rsidRPr="00252C5C">
        <w:rPr>
          <w:rFonts w:ascii="Arial Black" w:hAnsi="Arial Black"/>
          <w:sz w:val="28"/>
          <w:szCs w:val="28"/>
        </w:rPr>
        <w:t>NY: MIN</w:t>
      </w:r>
      <w:r>
        <w:rPr>
          <w:rFonts w:ascii="Arial Black" w:hAnsi="Arial Black"/>
          <w:sz w:val="28"/>
          <w:szCs w:val="28"/>
        </w:rPr>
        <w:t xml:space="preserve">IMUM </w:t>
      </w:r>
      <w:r w:rsidRPr="00252C5C">
        <w:rPr>
          <w:rFonts w:ascii="Arial Black" w:hAnsi="Arial Black"/>
          <w:sz w:val="28"/>
          <w:szCs w:val="28"/>
        </w:rPr>
        <w:t>MANNING</w:t>
      </w:r>
      <w:r>
        <w:rPr>
          <w:rFonts w:ascii="Arial Black" w:hAnsi="Arial Black"/>
          <w:sz w:val="28"/>
          <w:szCs w:val="28"/>
        </w:rPr>
        <w:t xml:space="preserve"> PER SHIFT - ARBITRATION - 15 FF / SHIFT – 8 CAPTAINS DEMOTED IN 2015 </w:t>
      </w:r>
    </w:p>
    <w:p w14:paraId="3BD1248B" w14:textId="77777777" w:rsidR="00F326E5" w:rsidRPr="00E600C4" w:rsidRDefault="00F326E5" w:rsidP="00F326E5">
      <w:pPr>
        <w:rPr>
          <w:rFonts w:ascii="Times New Roman" w:hAnsi="Times New Roman"/>
          <w:sz w:val="24"/>
          <w:szCs w:val="24"/>
        </w:rPr>
      </w:pPr>
      <w:r w:rsidRPr="00E600C4">
        <w:rPr>
          <w:rFonts w:ascii="Times New Roman" w:hAnsi="Times New Roman"/>
          <w:sz w:val="24"/>
          <w:szCs w:val="24"/>
        </w:rPr>
        <w:t xml:space="preserve">On </w:t>
      </w:r>
      <w:bookmarkStart w:id="649" w:name="_Hlk39861135"/>
      <w:r w:rsidRPr="00E600C4">
        <w:rPr>
          <w:rFonts w:ascii="Times New Roman" w:hAnsi="Times New Roman"/>
          <w:sz w:val="24"/>
          <w:szCs w:val="24"/>
        </w:rPr>
        <w:t xml:space="preserve">Feb. 1, 2019, </w:t>
      </w:r>
      <w:r w:rsidRPr="00E600C4">
        <w:rPr>
          <w:rFonts w:ascii="Times New Roman" w:hAnsi="Times New Roman"/>
          <w:sz w:val="24"/>
          <w:szCs w:val="24"/>
          <w:u w:val="single"/>
        </w:rPr>
        <w:t>City of Watertown v. Watertown Professional Firefighters Association, Local 191</w:t>
      </w:r>
      <w:bookmarkEnd w:id="649"/>
      <w:r w:rsidRPr="00E600C4">
        <w:rPr>
          <w:rFonts w:ascii="Times New Roman" w:hAnsi="Times New Roman"/>
          <w:sz w:val="24"/>
          <w:szCs w:val="24"/>
          <w:u w:val="single"/>
        </w:rPr>
        <w:t>,</w:t>
      </w:r>
      <w:r w:rsidRPr="00E600C4">
        <w:rPr>
          <w:rFonts w:ascii="Times New Roman" w:hAnsi="Times New Roman"/>
          <w:sz w:val="24"/>
          <w:szCs w:val="24"/>
        </w:rPr>
        <w:t xml:space="preserve"> </w:t>
      </w:r>
      <w:r w:rsidRPr="00E600C4">
        <w:rPr>
          <w:rFonts w:ascii="Times New Roman" w:hAnsi="Times New Roman"/>
          <w:bCs/>
          <w:sz w:val="24"/>
          <w:szCs w:val="24"/>
        </w:rPr>
        <w:t xml:space="preserve">2019 NY Slip Op 00753, </w:t>
      </w:r>
      <w:r w:rsidRPr="00E600C4">
        <w:rPr>
          <w:rFonts w:ascii="Times New Roman" w:hAnsi="Times New Roman"/>
          <w:sz w:val="24"/>
          <w:szCs w:val="24"/>
        </w:rPr>
        <w:t xml:space="preserve">the New York Supreme Court, Appellant Division, overturned a lower court’s decision and held (5 to 0) that any changes in minimum manning shall go to arbitration under the collective bargaining agreement. “Contrary to the City's contention, the staffing provisions do not operate to mandate a total number of firefighters that must be employed; rather, they relate solely to the minimum number of firefighters required to be present during shifts and regular operations….”  </w:t>
      </w:r>
      <w:bookmarkStart w:id="650" w:name="_Hlk39861149"/>
      <w:r w:rsidR="00B0089C">
        <w:fldChar w:fldCharType="begin"/>
      </w:r>
      <w:r w:rsidR="00B0089C">
        <w:instrText xml:space="preserve"> HYPERLINK "https://law.justia.com/cases/new-york/appellate-division-fourth-department/2019/1134-ca-18-00961.html" </w:instrText>
      </w:r>
      <w:r w:rsidR="00B0089C">
        <w:fldChar w:fldCharType="separate"/>
      </w:r>
      <w:r w:rsidRPr="00E600C4">
        <w:rPr>
          <w:rStyle w:val="Hyperlink"/>
          <w:rFonts w:ascii="Times New Roman" w:hAnsi="Times New Roman"/>
          <w:sz w:val="24"/>
          <w:szCs w:val="24"/>
        </w:rPr>
        <w:t>https://law.justia.com/cases/new-york/appellate-division-fourth-department/2019/1134-ca-18-00961.html</w:t>
      </w:r>
      <w:r w:rsidR="00B0089C">
        <w:rPr>
          <w:rStyle w:val="Hyperlink"/>
          <w:rFonts w:ascii="Times New Roman" w:hAnsi="Times New Roman"/>
          <w:sz w:val="24"/>
          <w:szCs w:val="24"/>
        </w:rPr>
        <w:fldChar w:fldCharType="end"/>
      </w:r>
      <w:r w:rsidRPr="00E600C4">
        <w:rPr>
          <w:rFonts w:ascii="Times New Roman" w:hAnsi="Times New Roman"/>
          <w:sz w:val="24"/>
          <w:szCs w:val="24"/>
        </w:rPr>
        <w:t xml:space="preserve"> </w:t>
      </w:r>
    </w:p>
    <w:bookmarkEnd w:id="650"/>
    <w:p w14:paraId="6173BD63" w14:textId="77777777" w:rsidR="00F326E5" w:rsidRPr="00E600C4" w:rsidRDefault="00F326E5" w:rsidP="00F326E5">
      <w:pPr>
        <w:pStyle w:val="NormalWeb"/>
        <w:rPr>
          <w:b/>
        </w:rPr>
      </w:pPr>
      <w:r w:rsidRPr="00E600C4">
        <w:rPr>
          <w:b/>
        </w:rPr>
        <w:t xml:space="preserve">Legal Lessons Learned:  Courts favor arbitration regarding CBA disputes, unless it </w:t>
      </w:r>
      <w:proofErr w:type="gramStart"/>
      <w:r w:rsidRPr="00E600C4">
        <w:rPr>
          <w:b/>
        </w:rPr>
        <w:t>involved</w:t>
      </w:r>
      <w:proofErr w:type="gramEnd"/>
      <w:r w:rsidRPr="00E600C4">
        <w:rPr>
          <w:b/>
        </w:rPr>
        <w:t xml:space="preserve"> items that are clearly management right (such as </w:t>
      </w:r>
      <w:proofErr w:type="gramStart"/>
      <w:r w:rsidRPr="00E600C4">
        <w:rPr>
          <w:b/>
        </w:rPr>
        <w:t>lay-offs</w:t>
      </w:r>
      <w:proofErr w:type="gramEnd"/>
      <w:r w:rsidRPr="00E600C4">
        <w:rPr>
          <w:b/>
        </w:rPr>
        <w:t xml:space="preserve">). </w:t>
      </w:r>
    </w:p>
    <w:p w14:paraId="0E34539E" w14:textId="77777777" w:rsidR="00F326E5" w:rsidRPr="00E600C4" w:rsidRDefault="00F326E5" w:rsidP="00F326E5">
      <w:pPr>
        <w:pStyle w:val="NormalWeb"/>
        <w:ind w:left="720"/>
      </w:pPr>
      <w:r w:rsidRPr="00E600C4">
        <w:t xml:space="preserve">Note: The City has reportedly decided to ask New York’s highest court [Court of Appeals – 7 Justices] to hear their appeal.  See Feb. 5, </w:t>
      </w:r>
      <w:proofErr w:type="gramStart"/>
      <w:r w:rsidRPr="00E600C4">
        <w:t>2019</w:t>
      </w:r>
      <w:proofErr w:type="gramEnd"/>
      <w:r w:rsidRPr="00E600C4">
        <w:t xml:space="preserve"> article: “</w:t>
      </w:r>
      <w:r w:rsidRPr="00E600C4">
        <w:rPr>
          <w:color w:val="000000"/>
        </w:rPr>
        <w:t xml:space="preserve">City to Take Firefighters Union to NY Supreme Court.”  </w:t>
      </w:r>
      <w:r w:rsidRPr="00E600C4">
        <w:t xml:space="preserve">“WATERTOWN — Three days after losing a lower court’s ruling, the city is taking steps to take an arbitration case against the city’s firefighters’ union to the state’s highest court. *** Coming out of a lengthy executive session, Mayor Joseph M. Butler Jr. said on Monday night the City Council agreed to file the appeal with the Court of Appeals, the state’s highest court…. With the highest court granting just a few of those requests, the city must petition the Court of Appeals and convince the seven-judge panel to take the case because the lower court’s decision was unanimous. ‘It’s a long shot,’ the mayor </w:t>
      </w:r>
      <w:proofErr w:type="gramStart"/>
      <w:r w:rsidRPr="00E600C4">
        <w:t>said.”</w:t>
      </w:r>
      <w:proofErr w:type="gramEnd"/>
      <w:r w:rsidRPr="00E600C4">
        <w:t xml:space="preserve">  </w:t>
      </w:r>
      <w:hyperlink r:id="rId2841" w:history="1">
        <w:r w:rsidRPr="00E600C4">
          <w:rPr>
            <w:rStyle w:val="Hyperlink"/>
          </w:rPr>
          <w:t>https://www.firehouse.com/careers-education/news/21056124/watertownofficials-wants-to-take-firefighters-union-to-new-york-supreme-court</w:t>
        </w:r>
      </w:hyperlink>
      <w:r w:rsidRPr="00E600C4">
        <w:t xml:space="preserve"> </w:t>
      </w:r>
    </w:p>
    <w:p w14:paraId="087889E7" w14:textId="77777777" w:rsidR="00F326E5" w:rsidRPr="00E600C4" w:rsidRDefault="00F326E5" w:rsidP="00F326E5">
      <w:pPr>
        <w:pStyle w:val="NormalWeb"/>
        <w:ind w:left="720"/>
      </w:pPr>
      <w:r w:rsidRPr="00E600C4">
        <w:t xml:space="preserve">See also Feb. 7, </w:t>
      </w:r>
      <w:proofErr w:type="gramStart"/>
      <w:r w:rsidRPr="00E600C4">
        <w:t>2019</w:t>
      </w:r>
      <w:proofErr w:type="gramEnd"/>
      <w:r w:rsidRPr="00E600C4">
        <w:t xml:space="preserve"> article: “Lawyer Fees </w:t>
      </w:r>
      <w:proofErr w:type="gramStart"/>
      <w:r w:rsidRPr="00E600C4">
        <w:t>For</w:t>
      </w:r>
      <w:proofErr w:type="gramEnd"/>
      <w:r w:rsidRPr="00E600C4">
        <w:t xml:space="preserve"> Watertown Fire Department Dispute Nearing $800,000.” </w:t>
      </w:r>
      <w:hyperlink r:id="rId2842" w:history="1">
        <w:r w:rsidRPr="00E600C4">
          <w:rPr>
            <w:rStyle w:val="Hyperlink"/>
          </w:rPr>
          <w:t>https://www.watertowndailytimes.com/news03/lawyer-fees-for-watertown-fire-department-dispute-nearing-800000-20190207</w:t>
        </w:r>
      </w:hyperlink>
      <w:r w:rsidRPr="00E600C4">
        <w:t xml:space="preserve"> </w:t>
      </w:r>
    </w:p>
    <w:p w14:paraId="5A54C6CC" w14:textId="2D23F488" w:rsidR="00F326E5" w:rsidRPr="00E600C4" w:rsidRDefault="00F326E5" w:rsidP="00E600C4">
      <w:pPr>
        <w:pStyle w:val="NormalWeb"/>
        <w:ind w:left="720"/>
      </w:pPr>
      <w:bookmarkStart w:id="651" w:name="_Hlk39861081"/>
      <w:r w:rsidRPr="00E600C4">
        <w:t xml:space="preserve">Feb. 1, 2019: NY - Watertown Firefighters Win Legal </w:t>
      </w:r>
      <w:r w:rsidR="00E600C4">
        <w:t xml:space="preserve">Victory: </w:t>
      </w:r>
      <w:hyperlink r:id="rId2843" w:history="1">
        <w:r w:rsidRPr="00E600C4">
          <w:rPr>
            <w:rStyle w:val="Hyperlink"/>
          </w:rPr>
          <w:t>https://www.wwnytv.com/story/39893183/watertown-firefighters-win-legal-victory</w:t>
        </w:r>
      </w:hyperlink>
      <w:bookmarkEnd w:id="651"/>
      <w:r w:rsidRPr="00E600C4">
        <w:t xml:space="preserve"> </w:t>
      </w:r>
    </w:p>
    <w:p w14:paraId="348ED6E4" w14:textId="77777777" w:rsidR="00CA57F1" w:rsidRDefault="00CA57F1" w:rsidP="00F326E5">
      <w:pPr>
        <w:rPr>
          <w:sz w:val="24"/>
          <w:szCs w:val="24"/>
        </w:rPr>
      </w:pPr>
      <w:bookmarkStart w:id="652" w:name="_Hlk7349662"/>
      <w:bookmarkEnd w:id="648"/>
    </w:p>
    <w:p w14:paraId="54D21001" w14:textId="77777777" w:rsidR="00CA57F1" w:rsidRDefault="00CA57F1" w:rsidP="00F326E5">
      <w:pPr>
        <w:rPr>
          <w:sz w:val="24"/>
          <w:szCs w:val="24"/>
        </w:rPr>
      </w:pPr>
    </w:p>
    <w:p w14:paraId="7BEDE829" w14:textId="77777777" w:rsidR="00CA57F1" w:rsidRDefault="00CA57F1" w:rsidP="00F326E5">
      <w:pPr>
        <w:rPr>
          <w:sz w:val="24"/>
          <w:szCs w:val="24"/>
        </w:rPr>
      </w:pPr>
    </w:p>
    <w:p w14:paraId="795075B7" w14:textId="77777777" w:rsidR="000C4DF5" w:rsidRDefault="000C4DF5" w:rsidP="00F326E5">
      <w:pPr>
        <w:rPr>
          <w:rFonts w:ascii="Arial Black" w:hAnsi="Arial Black"/>
          <w:b/>
          <w:sz w:val="28"/>
          <w:szCs w:val="28"/>
        </w:rPr>
      </w:pPr>
    </w:p>
    <w:p w14:paraId="2D825C6D" w14:textId="6514FF16" w:rsidR="000C4DF5" w:rsidRDefault="000C4DF5" w:rsidP="000C4DF5">
      <w:pPr>
        <w:pStyle w:val="NoSpacing"/>
        <w:rPr>
          <w:rFonts w:ascii="Arial Black" w:hAnsi="Arial Black"/>
          <w:sz w:val="24"/>
          <w:szCs w:val="24"/>
        </w:rPr>
      </w:pPr>
      <w:r>
        <w:rPr>
          <w:rFonts w:ascii="Arial Black" w:hAnsi="Arial Black"/>
          <w:sz w:val="24"/>
          <w:szCs w:val="24"/>
        </w:rPr>
        <w:t>17-1</w:t>
      </w:r>
    </w:p>
    <w:p w14:paraId="695CF07A" w14:textId="77777777" w:rsidR="000C4DF5" w:rsidRDefault="000C4DF5" w:rsidP="00F326E5">
      <w:pPr>
        <w:rPr>
          <w:rFonts w:ascii="Arial Black" w:hAnsi="Arial Black"/>
          <w:b/>
          <w:sz w:val="28"/>
          <w:szCs w:val="28"/>
        </w:rPr>
      </w:pPr>
    </w:p>
    <w:p w14:paraId="285D138A" w14:textId="1EC0E6A4" w:rsidR="00F326E5" w:rsidRPr="005157CA" w:rsidRDefault="00F326E5" w:rsidP="00F326E5">
      <w:pPr>
        <w:rPr>
          <w:b/>
          <w:sz w:val="24"/>
          <w:szCs w:val="24"/>
        </w:rPr>
      </w:pPr>
      <w:r w:rsidRPr="00512C93">
        <w:rPr>
          <w:rFonts w:ascii="Arial Black" w:hAnsi="Arial Black"/>
          <w:b/>
          <w:sz w:val="28"/>
          <w:szCs w:val="28"/>
        </w:rPr>
        <w:t xml:space="preserve">U.S. </w:t>
      </w:r>
      <w:r>
        <w:rPr>
          <w:rFonts w:ascii="Arial Black" w:hAnsi="Arial Black"/>
          <w:b/>
          <w:sz w:val="28"/>
          <w:szCs w:val="28"/>
        </w:rPr>
        <w:t xml:space="preserve">SUPREME COURT: ARBITRATION BINDING ON ACCOUNTANT – EMPLOYEE THEREFORE CAN’T SUE </w:t>
      </w:r>
    </w:p>
    <w:p w14:paraId="15C34DDC" w14:textId="77777777" w:rsidR="00F326E5" w:rsidRPr="00E600C4" w:rsidRDefault="00F326E5" w:rsidP="00F326E5">
      <w:pPr>
        <w:pStyle w:val="NoSpacing"/>
        <w:rPr>
          <w:rFonts w:ascii="Times New Roman" w:hAnsi="Times New Roman"/>
          <w:sz w:val="24"/>
          <w:szCs w:val="24"/>
        </w:rPr>
      </w:pPr>
      <w:r w:rsidRPr="00E600C4">
        <w:rPr>
          <w:rFonts w:ascii="Times New Roman" w:hAnsi="Times New Roman"/>
          <w:sz w:val="24"/>
          <w:szCs w:val="24"/>
        </w:rPr>
        <w:t xml:space="preserve">On May 21, 2018, in </w:t>
      </w:r>
      <w:r w:rsidRPr="00E600C4">
        <w:rPr>
          <w:rFonts w:ascii="Times New Roman" w:hAnsi="Times New Roman"/>
          <w:sz w:val="24"/>
          <w:szCs w:val="24"/>
          <w:u w:val="single"/>
        </w:rPr>
        <w:t>Epic Systems Corp. v. Lewis</w:t>
      </w:r>
      <w:r w:rsidRPr="00E600C4">
        <w:rPr>
          <w:rFonts w:ascii="Times New Roman" w:hAnsi="Times New Roman"/>
          <w:sz w:val="24"/>
          <w:szCs w:val="24"/>
        </w:rPr>
        <w:t>, the U.S. Supreme Court (5 to 4), 584 U.S. ___ (2018), in a decision written by newly appointed Justice Gorsuch, held:</w:t>
      </w:r>
    </w:p>
    <w:p w14:paraId="54B05E62" w14:textId="77777777" w:rsidR="00E600C4" w:rsidRDefault="00E600C4" w:rsidP="00F326E5">
      <w:pPr>
        <w:pStyle w:val="NoSpacing"/>
        <w:ind w:left="720"/>
        <w:rPr>
          <w:rFonts w:ascii="Times New Roman" w:eastAsia="Times New Roman" w:hAnsi="Times New Roman"/>
          <w:sz w:val="24"/>
          <w:szCs w:val="24"/>
        </w:rPr>
      </w:pPr>
    </w:p>
    <w:p w14:paraId="008E9CCC" w14:textId="57F45D69" w:rsidR="00F326E5" w:rsidRPr="00E600C4" w:rsidRDefault="00F326E5" w:rsidP="00F326E5">
      <w:pPr>
        <w:pStyle w:val="NoSpacing"/>
        <w:ind w:left="720"/>
        <w:rPr>
          <w:rFonts w:ascii="Times New Roman" w:hAnsi="Times New Roman"/>
          <w:sz w:val="24"/>
          <w:szCs w:val="24"/>
        </w:rPr>
      </w:pPr>
      <w:r w:rsidRPr="00E600C4">
        <w:rPr>
          <w:rFonts w:ascii="Times New Roman" w:eastAsia="Times New Roman" w:hAnsi="Times New Roman"/>
          <w:sz w:val="24"/>
          <w:szCs w:val="24"/>
        </w:rPr>
        <w:t xml:space="preserve">“Should employees and employers be allowed to agree that any disputes between them will be resolved through one-on-one arbitration? Or should employees always be permitted to bring their claims in class or collective actions, no matter what they agreed with their employers?  As a matter of policy these questions are surely debatable. But as a matter of law the answer is clear. In the Federal Arbitration Act, Congress has instructed federal courts to enforce arbitration agreements according to their terms—including terms providing for individualized proceedings.” </w:t>
      </w:r>
      <w:hyperlink r:id="rId2844" w:history="1">
        <w:r w:rsidRPr="00E600C4">
          <w:rPr>
            <w:rStyle w:val="Hyperlink"/>
            <w:rFonts w:ascii="Times New Roman" w:hAnsi="Times New Roman"/>
            <w:sz w:val="24"/>
            <w:szCs w:val="24"/>
          </w:rPr>
          <w:t>https://www.supremecourt.gov/opinions/17pdf/16-285_q8l1.pdf</w:t>
        </w:r>
      </w:hyperlink>
    </w:p>
    <w:p w14:paraId="7A21EBDA" w14:textId="36776981" w:rsidR="00F326E5" w:rsidRPr="00E600C4" w:rsidRDefault="00F326E5" w:rsidP="00F326E5">
      <w:pPr>
        <w:pStyle w:val="statutory-body-3em"/>
        <w:rPr>
          <w:b/>
        </w:rPr>
      </w:pPr>
      <w:r w:rsidRPr="00E600C4">
        <w:rPr>
          <w:b/>
        </w:rPr>
        <w:t xml:space="preserve">Legal Lessons Learned:  Many employers, including private ambulance companies, will now be encouraged to have new hires sign an arbitration document.  </w:t>
      </w:r>
      <w:r w:rsidR="000C4DF5" w:rsidRPr="00E600C4">
        <w:rPr>
          <w:b/>
        </w:rPr>
        <w:t xml:space="preserve">  </w:t>
      </w:r>
    </w:p>
    <w:p w14:paraId="0261F310" w14:textId="77777777" w:rsidR="00F326E5" w:rsidRPr="00E600C4" w:rsidRDefault="00F326E5" w:rsidP="00F326E5">
      <w:pPr>
        <w:pStyle w:val="statutory-body-3em"/>
        <w:ind w:left="720"/>
      </w:pPr>
      <w:r w:rsidRPr="00E600C4">
        <w:t xml:space="preserve">AFL-CIO President Richard Trauma was quoted, “Five justices on the Supreme Court decided that it is acceptable for working people to have their legal rights taken away by corporations in order to keep their jobs.” </w:t>
      </w:r>
      <w:hyperlink r:id="rId2845" w:history="1">
        <w:r w:rsidRPr="00E600C4">
          <w:rPr>
            <w:rStyle w:val="Hyperlink"/>
          </w:rPr>
          <w:t>https://www.sfgate.com/news/article/Supreme-Court-rules-that-companies-can-require-12931130.php</w:t>
        </w:r>
      </w:hyperlink>
      <w:r w:rsidRPr="00E600C4">
        <w:t xml:space="preserve"> </w:t>
      </w:r>
    </w:p>
    <w:p w14:paraId="02B66098" w14:textId="67A86A1F" w:rsidR="00F326E5" w:rsidRPr="00E600C4" w:rsidRDefault="00F326E5" w:rsidP="00F326E5">
      <w:pPr>
        <w:pStyle w:val="NormalWeb"/>
        <w:ind w:left="720"/>
      </w:pPr>
      <w:r w:rsidRPr="00E600C4">
        <w:t xml:space="preserve">Note:  </w:t>
      </w:r>
      <w:r w:rsidR="0003275C">
        <w:t>S</w:t>
      </w:r>
      <w:r w:rsidRPr="00E600C4">
        <w:t xml:space="preserve">ee Jan. 15, 2019 U.S. Supreme Court decision in New Prime, Inc. v. Oliveira, </w:t>
      </w:r>
      <w:r w:rsidRPr="00E600C4">
        <w:rPr>
          <w:rStyle w:val="Strong"/>
        </w:rPr>
        <w:t>Holding</w:t>
      </w:r>
      <w:r w:rsidRPr="00E600C4">
        <w:rPr>
          <w:b/>
        </w:rPr>
        <w:t>:</w:t>
      </w:r>
      <w:r w:rsidRPr="00E600C4">
        <w:t xml:space="preserve"> A court should determine whether the Federal Arbitration Act’s Section 1 exclusion for disputes involving the “contracts of employment” of certain transportation workers applies before ordering arbitration; here, truck driver Dominic Oliveira’s independent contractor operating agreement with New Prime Inc. falls within that exception. </w:t>
      </w:r>
      <w:r w:rsidRPr="00E600C4">
        <w:rPr>
          <w:rStyle w:val="Strong"/>
        </w:rPr>
        <w:t>Judgment</w:t>
      </w:r>
      <w:r w:rsidRPr="00E600C4">
        <w:rPr>
          <w:b/>
        </w:rPr>
        <w:t xml:space="preserve">: </w:t>
      </w:r>
      <w:hyperlink r:id="rId2846" w:tgtFrame="_blank" w:history="1">
        <w:r w:rsidRPr="00E600C4">
          <w:rPr>
            <w:rStyle w:val="Hyperlink"/>
          </w:rPr>
          <w:t>Affirmed</w:t>
        </w:r>
      </w:hyperlink>
      <w:r w:rsidRPr="00E600C4">
        <w:t xml:space="preserve">, 8-0, in an opinion by Justice Gorsuch on January 15, 2019. Justice Ginsburg filed a concurring opinion. Justice Kavanaugh took no part in the consideration or decision of the case. </w:t>
      </w:r>
      <w:hyperlink r:id="rId2847" w:history="1">
        <w:r w:rsidRPr="00E600C4">
          <w:rPr>
            <w:rStyle w:val="Hyperlink"/>
          </w:rPr>
          <w:t>https://www.scotusblog.com/case-files/cases/new-prime-inc-v-oliveira/</w:t>
        </w:r>
      </w:hyperlink>
      <w:r w:rsidRPr="00E600C4">
        <w:t xml:space="preserve"> </w:t>
      </w:r>
    </w:p>
    <w:p w14:paraId="29A4480B" w14:textId="77777777" w:rsidR="00F326E5" w:rsidRPr="0038317F" w:rsidRDefault="00F326E5" w:rsidP="00F326E5">
      <w:pPr>
        <w:pStyle w:val="NoSpacing"/>
        <w:rPr>
          <w:rFonts w:ascii="Arial Black" w:hAnsi="Arial Black"/>
          <w:sz w:val="40"/>
          <w:szCs w:val="40"/>
        </w:rPr>
      </w:pPr>
    </w:p>
    <w:p w14:paraId="1E6C878A" w14:textId="77777777" w:rsidR="00F326E5" w:rsidRDefault="00F326E5" w:rsidP="00F326E5">
      <w:pPr>
        <w:pStyle w:val="NoSpacing"/>
        <w:rPr>
          <w:rFonts w:ascii="Arial Black" w:hAnsi="Arial Black"/>
          <w:sz w:val="40"/>
          <w:szCs w:val="40"/>
        </w:rPr>
      </w:pPr>
    </w:p>
    <w:bookmarkEnd w:id="652"/>
    <w:p w14:paraId="44987826" w14:textId="77777777" w:rsidR="00F326E5" w:rsidRDefault="00F326E5" w:rsidP="00F326E5">
      <w:pPr>
        <w:rPr>
          <w:rFonts w:ascii="Arial Black" w:hAnsi="Arial Black"/>
          <w:sz w:val="40"/>
          <w:szCs w:val="40"/>
        </w:rPr>
      </w:pPr>
      <w:r>
        <w:rPr>
          <w:rFonts w:ascii="Arial Black" w:hAnsi="Arial Black"/>
          <w:sz w:val="40"/>
          <w:szCs w:val="40"/>
        </w:rPr>
        <w:br w:type="page"/>
      </w:r>
    </w:p>
    <w:p w14:paraId="0D227104" w14:textId="6F47691A" w:rsidR="00DF36E6" w:rsidRDefault="00DF36E6">
      <w:pPr>
        <w:spacing w:after="0" w:line="240" w:lineRule="auto"/>
        <w:rPr>
          <w:rFonts w:ascii="Arial Black" w:hAnsi="Arial Black"/>
          <w:sz w:val="40"/>
          <w:szCs w:val="40"/>
        </w:rPr>
      </w:pPr>
      <w:r>
        <w:rPr>
          <w:rFonts w:ascii="Arial Black" w:hAnsi="Arial Black"/>
          <w:sz w:val="40"/>
          <w:szCs w:val="40"/>
        </w:rPr>
        <w:br w:type="page"/>
      </w:r>
    </w:p>
    <w:p w14:paraId="28461A6E" w14:textId="6E7A6496" w:rsidR="00F326E5" w:rsidRPr="007732FA" w:rsidRDefault="00F326E5" w:rsidP="00F326E5">
      <w:pPr>
        <w:pStyle w:val="NoSpacing"/>
        <w:rPr>
          <w:rFonts w:ascii="Arial Black" w:hAnsi="Arial Black"/>
          <w:sz w:val="40"/>
          <w:szCs w:val="40"/>
        </w:rPr>
      </w:pPr>
      <w:r w:rsidRPr="007732FA">
        <w:rPr>
          <w:rFonts w:ascii="Arial Black" w:hAnsi="Arial Black"/>
          <w:sz w:val="40"/>
          <w:szCs w:val="40"/>
        </w:rPr>
        <w:t xml:space="preserve">Chap. 18 </w:t>
      </w:r>
      <w:r w:rsidRPr="007732FA">
        <w:rPr>
          <w:rFonts w:ascii="Arial Black" w:hAnsi="Arial Black"/>
          <w:sz w:val="40"/>
          <w:szCs w:val="40"/>
        </w:rPr>
        <w:tab/>
      </w:r>
      <w:r w:rsidRPr="007732FA">
        <w:rPr>
          <w:rFonts w:ascii="Arial Black" w:hAnsi="Arial Black"/>
          <w:sz w:val="40"/>
          <w:szCs w:val="40"/>
        </w:rPr>
        <w:tab/>
        <w:t>Legislation</w:t>
      </w:r>
      <w:r w:rsidR="00B15008">
        <w:rPr>
          <w:rFonts w:ascii="Arial Black" w:hAnsi="Arial Black"/>
          <w:sz w:val="40"/>
          <w:szCs w:val="40"/>
        </w:rPr>
        <w:t>, incl. Public Records</w:t>
      </w:r>
      <w:r w:rsidRPr="007732FA">
        <w:rPr>
          <w:rFonts w:ascii="Arial Black" w:hAnsi="Arial Black"/>
          <w:sz w:val="40"/>
          <w:szCs w:val="40"/>
        </w:rPr>
        <w:tab/>
      </w:r>
    </w:p>
    <w:p w14:paraId="2470B286" w14:textId="77777777" w:rsidR="00F326E5" w:rsidRDefault="00F326E5" w:rsidP="00F326E5">
      <w:pPr>
        <w:pStyle w:val="NoSpacing"/>
        <w:rPr>
          <w:rFonts w:ascii="Arial Black" w:hAnsi="Arial Black"/>
          <w:sz w:val="28"/>
          <w:szCs w:val="28"/>
        </w:rPr>
      </w:pPr>
    </w:p>
    <w:p w14:paraId="07083131" w14:textId="7918240F" w:rsidR="00A4294E" w:rsidRDefault="00A4294E" w:rsidP="00237A65">
      <w:pPr>
        <w:pStyle w:val="NoSpacing"/>
        <w:rPr>
          <w:rFonts w:ascii="Arial Black" w:hAnsi="Arial Black"/>
          <w:sz w:val="28"/>
          <w:szCs w:val="28"/>
        </w:rPr>
      </w:pPr>
      <w:bookmarkStart w:id="653" w:name="_Hlk66950840"/>
      <w:bookmarkStart w:id="654" w:name="_Hlk7349738"/>
      <w:r>
        <w:rPr>
          <w:rFonts w:ascii="Arial Black" w:hAnsi="Arial Black"/>
          <w:sz w:val="24"/>
          <w:szCs w:val="24"/>
        </w:rPr>
        <w:t>18-3</w:t>
      </w:r>
      <w:r>
        <w:rPr>
          <w:rFonts w:ascii="Arial Black" w:hAnsi="Arial Black"/>
          <w:sz w:val="24"/>
          <w:szCs w:val="24"/>
        </w:rPr>
        <w:t>4 [also filed Chap.13]</w:t>
      </w:r>
    </w:p>
    <w:p w14:paraId="0A01DFF6" w14:textId="77777777" w:rsidR="00A4294E" w:rsidRDefault="00A4294E" w:rsidP="00237A65">
      <w:pPr>
        <w:pStyle w:val="NoSpacing"/>
        <w:rPr>
          <w:rFonts w:ascii="Arial Black" w:hAnsi="Arial Black"/>
          <w:sz w:val="28"/>
          <w:szCs w:val="28"/>
        </w:rPr>
      </w:pPr>
    </w:p>
    <w:p w14:paraId="5A62591E" w14:textId="6053CD8F" w:rsidR="00237A65" w:rsidRPr="00554749" w:rsidRDefault="00237A65" w:rsidP="00237A65">
      <w:pPr>
        <w:pStyle w:val="NoSpacing"/>
        <w:rPr>
          <w:rFonts w:ascii="Arial Black" w:hAnsi="Arial Black"/>
          <w:sz w:val="28"/>
          <w:szCs w:val="28"/>
        </w:rPr>
      </w:pPr>
      <w:r>
        <w:rPr>
          <w:rFonts w:ascii="Arial Black" w:hAnsi="Arial Black"/>
          <w:sz w:val="28"/>
          <w:szCs w:val="28"/>
        </w:rPr>
        <w:t>CO: BABY “SAFE HAVEN LAW” – MOM STAYS “ANONYMOUS”</w:t>
      </w:r>
    </w:p>
    <w:p w14:paraId="0A01C139" w14:textId="77777777" w:rsidR="00237A65" w:rsidRDefault="00237A65" w:rsidP="00237A65">
      <w:pPr>
        <w:pStyle w:val="NoSpacing"/>
      </w:pPr>
    </w:p>
    <w:p w14:paraId="005E5BB6" w14:textId="77777777" w:rsidR="00237A65" w:rsidRDefault="00237A65" w:rsidP="00237A65">
      <w:r>
        <w:t xml:space="preserve">On June 8, 2026, </w:t>
      </w:r>
      <w:r w:rsidRPr="0018279B">
        <w:rPr>
          <w:u w:val="single"/>
        </w:rPr>
        <w:t>In Re The People of the State of Colorado, In The Interest of Minor Child:</w:t>
      </w:r>
      <w:r>
        <w:rPr>
          <w:u w:val="single"/>
        </w:rPr>
        <w:t xml:space="preserve"> </w:t>
      </w:r>
      <w:r w:rsidRPr="0018279B">
        <w:rPr>
          <w:u w:val="single"/>
        </w:rPr>
        <w:t>G.D.M. v. Morgan County Department of Human Services</w:t>
      </w:r>
      <w:r>
        <w:t xml:space="preserve">, </w:t>
      </w:r>
      <w:r w:rsidRPr="0018279B">
        <w:t>the Supreme Court of Colorado, En Banc</w:t>
      </w:r>
      <w:r>
        <w:t xml:space="preserve"> (6 to 1) held that with baby born in ambulance in hospital parking lot, and mother told EMS she wanted to give the baby up for adoption, the County Department of Human Services had no right to know mother’s or father’s identity. The Court wrote: “</w:t>
      </w:r>
      <w:r w:rsidRPr="00B548EE">
        <w:t>Together, these tools of construction speak in a quiet but unmistakable voice, leading us to infer that parents who avail themselves of this law are entitled to anonymity and confidentiality.</w:t>
      </w:r>
      <w:r>
        <w:t xml:space="preserve">” </w:t>
      </w:r>
      <w:hyperlink r:id="rId2848" w:history="1">
        <w:r w:rsidRPr="003E6F82">
          <w:rPr>
            <w:rStyle w:val="Hyperlink"/>
          </w:rPr>
          <w:t>https://caselaw.findlaw.com/court/co-supreme-court/111256.html</w:t>
        </w:r>
      </w:hyperlink>
      <w:r>
        <w:t xml:space="preserve"> </w:t>
      </w:r>
    </w:p>
    <w:p w14:paraId="3EF10AD7" w14:textId="77777777" w:rsidR="00237A65" w:rsidRDefault="00237A65" w:rsidP="00237A65">
      <w:pPr>
        <w:rPr>
          <w:b/>
        </w:rPr>
      </w:pPr>
    </w:p>
    <w:p w14:paraId="4039BD03" w14:textId="77777777" w:rsidR="00237A65" w:rsidRDefault="00237A65" w:rsidP="00237A65">
      <w:pPr>
        <w:rPr>
          <w:b/>
        </w:rPr>
      </w:pPr>
      <w:r>
        <w:rPr>
          <w:b/>
        </w:rPr>
        <w:t>FACTS:</w:t>
      </w:r>
    </w:p>
    <w:p w14:paraId="0214FB54" w14:textId="77777777" w:rsidR="00237A65" w:rsidRPr="00CA4A65" w:rsidRDefault="00237A65" w:rsidP="00237A65">
      <w:pPr>
        <w:pStyle w:val="NoSpacing"/>
      </w:pPr>
      <w:r>
        <w:t>“</w:t>
      </w:r>
      <w:r w:rsidRPr="00CA4A65">
        <w:t>In this case, M.O.M. (</w:t>
      </w:r>
      <w:r>
        <w:t>‘</w:t>
      </w:r>
      <w:r w:rsidRPr="00CA4A65">
        <w:t>Birth Mother</w:t>
      </w:r>
      <w:r>
        <w:t>’</w:t>
      </w:r>
      <w:r w:rsidRPr="00CA4A65">
        <w:t xml:space="preserve">) gave birth to G.D.M. in the back of an ambulance in the parking lot of a hospital. She immediately told medical staff that she neither wanted nor had the means to care for G.D.M. She added that the baby's father was not in the picture, so she wanted to give the baby up for adoption. </w:t>
      </w:r>
    </w:p>
    <w:p w14:paraId="79FA73D1" w14:textId="77777777" w:rsidR="00237A65" w:rsidRDefault="00237A65" w:rsidP="00237A65">
      <w:pPr>
        <w:pStyle w:val="NoSpacing"/>
      </w:pPr>
      <w:r w:rsidRPr="00CA4A65">
        <w:t>       </w:t>
      </w:r>
    </w:p>
    <w:p w14:paraId="183A22E0" w14:textId="77777777" w:rsidR="00237A65" w:rsidRDefault="00237A65" w:rsidP="00237A65">
      <w:pPr>
        <w:pStyle w:val="NoSpacing"/>
      </w:pPr>
      <w:r w:rsidRPr="00CA4A65">
        <w:t xml:space="preserve">The Morgan County Department of Human </w:t>
      </w:r>
      <w:proofErr w:type="gramStart"/>
      <w:r w:rsidRPr="00CA4A65">
        <w:t>Services (</w:t>
      </w:r>
      <w:r>
        <w:t>‘</w:t>
      </w:r>
      <w:r w:rsidRPr="00CA4A65">
        <w:t>MCDHS</w:t>
      </w:r>
      <w:r>
        <w:t>’</w:t>
      </w:r>
      <w:r w:rsidRPr="00CA4A65">
        <w:t>)</w:t>
      </w:r>
      <w:proofErr w:type="gramEnd"/>
      <w:r w:rsidRPr="00CA4A65">
        <w:t xml:space="preserve"> promptly initiated this dependency or </w:t>
      </w:r>
      <w:proofErr w:type="gramStart"/>
      <w:r w:rsidRPr="00CA4A65">
        <w:t>neglect</w:t>
      </w:r>
      <w:proofErr w:type="gramEnd"/>
      <w:r w:rsidRPr="00CA4A65">
        <w:t xml:space="preserve"> proceeding. Treating this case like any other abandonment matter, MCDHS </w:t>
      </w:r>
      <w:proofErr w:type="gramStart"/>
      <w:r w:rsidRPr="00CA4A65">
        <w:t>conducted an investigation</w:t>
      </w:r>
      <w:proofErr w:type="gramEnd"/>
      <w:r w:rsidRPr="00CA4A65">
        <w:t xml:space="preserve"> and, after discovering Birth Mother's identity, undertook </w:t>
      </w:r>
      <w:r>
        <w:t>‘</w:t>
      </w:r>
      <w:r w:rsidRPr="00CA4A65">
        <w:t xml:space="preserve">due </w:t>
      </w:r>
      <w:proofErr w:type="gramStart"/>
      <w:r w:rsidRPr="00CA4A65">
        <w:t>diligence</w:t>
      </w:r>
      <w:r>
        <w:t>’</w:t>
      </w:r>
      <w:proofErr w:type="gramEnd"/>
      <w:r>
        <w:t xml:space="preserve"> </w:t>
      </w:r>
      <w:r w:rsidRPr="00CA4A65">
        <w:t xml:space="preserve">efforts by contacting her family members in search of appropriate placement options. When the juvenile court realized what was occurring, it intervened to </w:t>
      </w:r>
      <w:proofErr w:type="gramStart"/>
      <w:r w:rsidRPr="00CA4A65">
        <w:t>course correct</w:t>
      </w:r>
      <w:proofErr w:type="gramEnd"/>
      <w:r w:rsidRPr="00CA4A65">
        <w:t xml:space="preserve"> by written order. The </w:t>
      </w:r>
      <w:r>
        <w:t xml:space="preserve"> </w:t>
      </w:r>
      <w:r w:rsidRPr="00CA4A65">
        <w:t>court halted MCDHS's efforts, concluding that Birth Mother had a right to anonymity and confidentiality under the Safe Haven Law.</w:t>
      </w:r>
    </w:p>
    <w:p w14:paraId="09589EDB" w14:textId="77777777" w:rsidR="00237A65" w:rsidRDefault="00237A65" w:rsidP="00237A65">
      <w:pPr>
        <w:pStyle w:val="NoSpacing"/>
      </w:pPr>
    </w:p>
    <w:p w14:paraId="27D2E2DE" w14:textId="77777777" w:rsidR="00237A65" w:rsidRDefault="00237A65" w:rsidP="00237A65">
      <w:pPr>
        <w:pStyle w:val="NoSpacing"/>
      </w:pPr>
      <w:r w:rsidRPr="00DC2200">
        <w:t>MCDHS disagreed. It filed a C.A.R. 21 petition asking us to shed light on the question, and we issued an order to show cause. MCDHS contends that the juvenile court went astray in determining that Birth Mother is entitled to anonymity and confidentiality under the Safe Haven Law. As a result, MCDHS asserts, the court improperly blocked its efforts to identify appropriate placement options for G.D.M. among Birth Mother's family members</w:t>
      </w:r>
      <w:r>
        <w:t xml:space="preserve">.” </w:t>
      </w:r>
    </w:p>
    <w:p w14:paraId="60563809" w14:textId="77777777" w:rsidR="00237A65" w:rsidRDefault="00237A65" w:rsidP="00237A65">
      <w:pPr>
        <w:pStyle w:val="NoSpacing"/>
      </w:pPr>
    </w:p>
    <w:p w14:paraId="66B0A5DB" w14:textId="77777777" w:rsidR="00237A65" w:rsidRDefault="00237A65" w:rsidP="00237A65">
      <w:pPr>
        <w:pStyle w:val="NoSpacing"/>
        <w:rPr>
          <w:b/>
          <w:bCs/>
        </w:rPr>
      </w:pPr>
      <w:r w:rsidRPr="001F38F4">
        <w:rPr>
          <w:b/>
        </w:rPr>
        <w:t xml:space="preserve">COURT HELD: </w:t>
      </w:r>
    </w:p>
    <w:p w14:paraId="21D7B4AD" w14:textId="77777777" w:rsidR="00237A65" w:rsidRDefault="00237A65" w:rsidP="00237A65">
      <w:pPr>
        <w:pStyle w:val="NoSpacing"/>
        <w:rPr>
          <w:b/>
          <w:bCs/>
        </w:rPr>
      </w:pPr>
    </w:p>
    <w:p w14:paraId="6B3B1CD3" w14:textId="77777777" w:rsidR="00237A65" w:rsidRDefault="00237A65" w:rsidP="00237A65">
      <w:pPr>
        <w:pStyle w:val="NoSpacing"/>
      </w:pPr>
      <w:r>
        <w:t>“</w:t>
      </w:r>
      <w:r w:rsidRPr="0090196A">
        <w:t xml:space="preserve">Colorado's Safe Haven Law, section 19-3-304.5(1)(b), C.R.S. (2025), affords parents of newborns a vital refuge: It allows them to voluntarily relinquish a child who is seventy-two hours old or younger into the protective hands of either a firefighter (when the firefighter is at a fire station) or certain hospital or clinic staff members (when they are at a hospital or community clinic emergency center), as long as the parent does </w:t>
      </w:r>
      <w:r>
        <w:t>‘</w:t>
      </w:r>
      <w:r w:rsidRPr="0090196A">
        <w:t>not express an intent to return for the child.</w:t>
      </w:r>
      <w:r>
        <w:t>’</w:t>
      </w:r>
      <w:r w:rsidRPr="0090196A">
        <w:t xml:space="preserve"> In extending this lifeline, the legislature also provided an assurance: Any parent who takes advantage of the Safe Haven Law</w:t>
      </w:r>
      <w:r>
        <w:t xml:space="preserve">’ </w:t>
      </w:r>
      <w:r w:rsidRPr="0090196A">
        <w:t>shall not, for that reason alone, be found to be responsible in a confirmed report of abuse or neglect.</w:t>
      </w:r>
      <w:r>
        <w:t>’</w:t>
      </w:r>
      <w:r w:rsidRPr="0090196A">
        <w:t xml:space="preserve"> § 19-3-304.5(8). </w:t>
      </w:r>
    </w:p>
    <w:p w14:paraId="55CDAB89" w14:textId="77777777" w:rsidR="00237A65" w:rsidRDefault="00237A65" w:rsidP="00237A65">
      <w:pPr>
        <w:pStyle w:val="NoSpacing"/>
      </w:pPr>
    </w:p>
    <w:p w14:paraId="4E3A7B5D" w14:textId="77777777" w:rsidR="00237A65" w:rsidRDefault="00237A65" w:rsidP="00237A65">
      <w:pPr>
        <w:pStyle w:val="NoSpacing"/>
      </w:pPr>
      <w:r>
        <w:t>***</w:t>
      </w:r>
    </w:p>
    <w:p w14:paraId="349B7B66" w14:textId="77777777" w:rsidR="00237A65" w:rsidRDefault="00237A65" w:rsidP="00237A65">
      <w:pPr>
        <w:pStyle w:val="NoSpacing"/>
      </w:pPr>
      <w:r w:rsidRPr="0082533A">
        <w:t>In short, the statute's broader provisions and the architecture they blueprint signal that the legislature meant to bestow a parent who properly invokes the Safe Haven Law with anonymity and confidentiality.</w:t>
      </w:r>
      <w:r>
        <w:t>”</w:t>
      </w:r>
    </w:p>
    <w:p w14:paraId="4BD9BF03" w14:textId="77777777" w:rsidR="00237A65" w:rsidRDefault="00237A65" w:rsidP="00237A65">
      <w:pPr>
        <w:pStyle w:val="NoSpacing"/>
      </w:pPr>
    </w:p>
    <w:p w14:paraId="7B81B073" w14:textId="77777777" w:rsidR="00237A65" w:rsidRDefault="00237A65" w:rsidP="00237A65">
      <w:pPr>
        <w:pStyle w:val="NoSpacing"/>
        <w:rPr>
          <w:b/>
          <w:bCs/>
        </w:rPr>
      </w:pPr>
      <w:r w:rsidRPr="0082533A">
        <w:rPr>
          <w:b/>
        </w:rPr>
        <w:t xml:space="preserve">Legal lesson learned: </w:t>
      </w:r>
      <w:r>
        <w:rPr>
          <w:b/>
        </w:rPr>
        <w:t xml:space="preserve">Excellent decision; helpful if statutes are explicit that mother can remain anonymous. </w:t>
      </w:r>
    </w:p>
    <w:p w14:paraId="4F5FE8AE" w14:textId="77777777" w:rsidR="00237A65" w:rsidRDefault="00237A65" w:rsidP="000C4DF5">
      <w:pPr>
        <w:pStyle w:val="NoSpacing"/>
        <w:rPr>
          <w:rFonts w:ascii="Arial Black" w:hAnsi="Arial Black"/>
          <w:sz w:val="24"/>
          <w:szCs w:val="24"/>
        </w:rPr>
      </w:pPr>
    </w:p>
    <w:p w14:paraId="7B9C3B5C" w14:textId="77777777" w:rsidR="00237A65" w:rsidRDefault="00237A65" w:rsidP="000C4DF5">
      <w:pPr>
        <w:pStyle w:val="NoSpacing"/>
        <w:rPr>
          <w:rFonts w:ascii="Arial Black" w:hAnsi="Arial Black"/>
          <w:sz w:val="24"/>
          <w:szCs w:val="24"/>
        </w:rPr>
      </w:pPr>
    </w:p>
    <w:p w14:paraId="585F3EE7" w14:textId="77777777" w:rsidR="00237A65" w:rsidRDefault="00237A65" w:rsidP="000C4DF5">
      <w:pPr>
        <w:pStyle w:val="NoSpacing"/>
        <w:rPr>
          <w:rFonts w:ascii="Arial Black" w:hAnsi="Arial Black"/>
          <w:sz w:val="24"/>
          <w:szCs w:val="24"/>
        </w:rPr>
      </w:pPr>
    </w:p>
    <w:p w14:paraId="7D8E6269" w14:textId="77777777" w:rsidR="00237A65" w:rsidRDefault="00237A65" w:rsidP="000C4DF5">
      <w:pPr>
        <w:pStyle w:val="NoSpacing"/>
        <w:rPr>
          <w:rFonts w:ascii="Arial Black" w:hAnsi="Arial Black"/>
          <w:sz w:val="24"/>
          <w:szCs w:val="24"/>
        </w:rPr>
      </w:pPr>
    </w:p>
    <w:p w14:paraId="301CBB46" w14:textId="58FD03FA" w:rsidR="006F24F3" w:rsidRDefault="006F24F3" w:rsidP="000C4DF5">
      <w:pPr>
        <w:pStyle w:val="NoSpacing"/>
        <w:rPr>
          <w:rFonts w:ascii="Arial Black" w:hAnsi="Arial Black"/>
          <w:sz w:val="24"/>
          <w:szCs w:val="24"/>
        </w:rPr>
      </w:pPr>
      <w:r>
        <w:rPr>
          <w:rFonts w:ascii="Arial Black" w:hAnsi="Arial Black"/>
          <w:sz w:val="24"/>
          <w:szCs w:val="24"/>
        </w:rPr>
        <w:t>18-3</w:t>
      </w:r>
      <w:r w:rsidR="00191CD7">
        <w:rPr>
          <w:rFonts w:ascii="Arial Black" w:hAnsi="Arial Black"/>
          <w:sz w:val="24"/>
          <w:szCs w:val="24"/>
        </w:rPr>
        <w:t>3</w:t>
      </w:r>
    </w:p>
    <w:p w14:paraId="480B3161" w14:textId="77777777" w:rsidR="00191CD7" w:rsidRDefault="00191CD7" w:rsidP="000C4DF5">
      <w:pPr>
        <w:pStyle w:val="NoSpacing"/>
        <w:rPr>
          <w:rFonts w:ascii="Arial Black" w:hAnsi="Arial Black"/>
          <w:sz w:val="24"/>
          <w:szCs w:val="24"/>
        </w:rPr>
      </w:pPr>
    </w:p>
    <w:p w14:paraId="58D0AEEC" w14:textId="188D256F" w:rsidR="00191CD7" w:rsidRPr="00191CD7" w:rsidRDefault="00191CD7" w:rsidP="00191CD7">
      <w:pPr>
        <w:pStyle w:val="NoSpacing"/>
        <w:rPr>
          <w:rFonts w:ascii="Times New Roman" w:hAnsi="Times New Roman"/>
          <w:b/>
          <w:sz w:val="24"/>
          <w:szCs w:val="24"/>
        </w:rPr>
      </w:pPr>
      <w:r>
        <w:rPr>
          <w:rFonts w:ascii="Arial Black" w:hAnsi="Arial Black"/>
          <w:b/>
          <w:sz w:val="28"/>
          <w:szCs w:val="28"/>
        </w:rPr>
        <w:t xml:space="preserve">CT: NEW DROP LAW – NOT FF UNDER 55 – CASE PROCEED  </w:t>
      </w:r>
      <w:r w:rsidRPr="00191CD7">
        <w:rPr>
          <w:rFonts w:ascii="Times New Roman" w:hAnsi="Times New Roman"/>
          <w:b/>
          <w:sz w:val="24"/>
          <w:szCs w:val="24"/>
        </w:rPr>
        <w:t xml:space="preserve">[also filed, Chap. </w:t>
      </w:r>
      <w:r w:rsidR="00D95AF9">
        <w:rPr>
          <w:rFonts w:ascii="Times New Roman" w:hAnsi="Times New Roman"/>
          <w:b/>
          <w:sz w:val="24"/>
          <w:szCs w:val="24"/>
        </w:rPr>
        <w:t>6</w:t>
      </w:r>
      <w:r w:rsidRPr="00191CD7">
        <w:rPr>
          <w:rFonts w:ascii="Times New Roman" w:hAnsi="Times New Roman"/>
          <w:b/>
          <w:sz w:val="24"/>
          <w:szCs w:val="24"/>
        </w:rPr>
        <w:t>]</w:t>
      </w:r>
    </w:p>
    <w:p w14:paraId="58D37B95" w14:textId="77777777" w:rsidR="00191CD7" w:rsidRDefault="00191CD7" w:rsidP="00191CD7">
      <w:pPr>
        <w:pStyle w:val="NoSpacing"/>
      </w:pPr>
    </w:p>
    <w:p w14:paraId="4438F9E4" w14:textId="77777777" w:rsidR="00191CD7" w:rsidRDefault="00191CD7" w:rsidP="00191CD7">
      <w:pPr>
        <w:pStyle w:val="NoSpacing"/>
      </w:pPr>
      <w:r>
        <w:t xml:space="preserve">On February 4, 2026, in </w:t>
      </w:r>
      <w:r w:rsidRPr="004C7896">
        <w:rPr>
          <w:u w:val="single"/>
        </w:rPr>
        <w:t>David Dobbs, IAFF Local 834</w:t>
      </w:r>
      <w:r>
        <w:rPr>
          <w:u w:val="single"/>
        </w:rPr>
        <w:t xml:space="preserve">, et al. </w:t>
      </w:r>
      <w:r w:rsidRPr="004C7896">
        <w:rPr>
          <w:u w:val="single"/>
        </w:rPr>
        <w:t xml:space="preserve"> v. Brian Vahey, Chair of the State of Connecticut Municipal Employees Retirement Commission, et al</w:t>
      </w:r>
      <w:r w:rsidRPr="004C7896">
        <w:t>., U.S.</w:t>
      </w:r>
      <w:r>
        <w:rPr>
          <w:u w:val="single"/>
        </w:rPr>
        <w:t xml:space="preserve"> </w:t>
      </w:r>
      <w:r>
        <w:t xml:space="preserve">District Court Judge </w:t>
      </w:r>
    </w:p>
    <w:p w14:paraId="58D775D8" w14:textId="77777777" w:rsidR="00191CD7" w:rsidRDefault="00191CD7" w:rsidP="00191CD7">
      <w:pPr>
        <w:pStyle w:val="NoSpacing"/>
      </w:pPr>
      <w:r w:rsidRPr="004F64AC">
        <w:t xml:space="preserve">Sarala V. </w:t>
      </w:r>
      <w:proofErr w:type="spellStart"/>
      <w:r w:rsidRPr="004F64AC">
        <w:t>Nagala</w:t>
      </w:r>
      <w:proofErr w:type="spellEnd"/>
      <w:r w:rsidRPr="00357297">
        <w:t>, United States United States District Court for the District of Connecticut</w:t>
      </w:r>
      <w:r>
        <w:t>, denied the Commission’s motion to dismiss (</w:t>
      </w:r>
      <w:proofErr w:type="gramStart"/>
      <w:r>
        <w:t>and also</w:t>
      </w:r>
      <w:proofErr w:type="gramEnd"/>
      <w:r>
        <w:t xml:space="preserve"> Bridgeport firefighters and Union’s motion for preliminary injunction); case will now proceed with pre-trial discovery.  The Bridgeport firefighters and Local 834 argue that it is age discrimination under the new DROP program to allow some public safety employees (including Plaintiffs) to be eligible to retire—for instance, if they have completed twenty-five years of service—but ineligible to enter the DROP, because they are not yet age 55 and have not completed thirty years of service.  </w:t>
      </w:r>
      <w:hyperlink r:id="rId2849" w:history="1">
        <w:r w:rsidRPr="00FF19A6">
          <w:rPr>
            <w:rStyle w:val="Hyperlink"/>
          </w:rPr>
          <w:t>https://ecf.ctd.uscourts.gov/cgi-bin/show_public_doc?2025cv0824-74</w:t>
        </w:r>
      </w:hyperlink>
      <w:r>
        <w:t xml:space="preserve"> </w:t>
      </w:r>
    </w:p>
    <w:p w14:paraId="5CD0CD63" w14:textId="77777777" w:rsidR="00191CD7" w:rsidRDefault="00191CD7" w:rsidP="00191CD7">
      <w:pPr>
        <w:pStyle w:val="NoSpacing"/>
      </w:pPr>
    </w:p>
    <w:p w14:paraId="51643AB6" w14:textId="77777777" w:rsidR="00191CD7" w:rsidRDefault="00191CD7" w:rsidP="00191CD7">
      <w:pPr>
        <w:pStyle w:val="NoSpacing"/>
      </w:pPr>
      <w:r>
        <w:t xml:space="preserve">THE COURT HELD: “Effective July 1, 2025, certain members of the Connecticut Municipal Employees’ Retirement System who are otherwise eligible to retire can elect to defer their retirement allowance, while continuing their employment for up to five years, under a Deferred Retirement Option Plan (‘DROP’)…. </w:t>
      </w:r>
      <w:r w:rsidRPr="00D22380">
        <w:t>Under the statute adopted by the Connecticut legislature, the Connecticut State Employees</w:t>
      </w:r>
      <w:r>
        <w:t xml:space="preserve"> </w:t>
      </w:r>
      <w:r w:rsidRPr="00D22380">
        <w:t xml:space="preserve">Retirement Commission </w:t>
      </w:r>
      <w:r>
        <w:t>‘</w:t>
      </w:r>
      <w:r w:rsidRPr="00D22380">
        <w:t>may create</w:t>
      </w:r>
      <w:r>
        <w:t>’</w:t>
      </w:r>
      <w:r w:rsidRPr="00D22380">
        <w:t xml:space="preserve"> a DROP, which </w:t>
      </w:r>
      <w:r>
        <w:t>‘</w:t>
      </w:r>
      <w:r w:rsidRPr="00D22380">
        <w:t>shall include a fixed period of time for</w:t>
      </w:r>
      <w:r>
        <w:t xml:space="preserve"> </w:t>
      </w:r>
      <w:r w:rsidRPr="00D22380">
        <w:t>member participation, not to exceed five years, and a specified rate of interest credit for member</w:t>
      </w:r>
      <w:r>
        <w:t xml:space="preserve"> </w:t>
      </w:r>
      <w:r w:rsidRPr="00D22380">
        <w:t>accounts.” Conn. Gen. Stat. § 7-459b(b)</w:t>
      </w:r>
      <w:r>
        <w:t xml:space="preserve">…. As relevant here, retirement-eligible firefighters may join the DROP at age 57 with five years of continuous service, at age 55 with 25 years of aggregate service, or with 30 years of aggregate service regardless of age. The Individual Plaintiffs, firefighters with the Bridgeport Fire Department,1 are eligible for retirement allowances by virtue of their tenure with the Fire Department, but are all under age 55, and therefore ineligible to join the DROP. *** First, the Court notes that Defendants’ argument about the rationality of the age classification—that it incentivizes skilled employees to delay their retirement beyond the date they are first eligible to collect pension benefits, thereby extending the period during which the employees contribute to the plan and delaying the time at which they begin to receive payments— are not in fact arguments about the rationality of the challenged age classification at all: they are simply arguments about the rationality of adopting a DROP as a whole….  </w:t>
      </w:r>
      <w:proofErr w:type="gramStart"/>
      <w:r>
        <w:t>(‘[</w:t>
      </w:r>
      <w:proofErr w:type="gramEnd"/>
      <w:r>
        <w:t>The DROP] is also intended to encourage . . . skilled employees to stick around and delay their retirement’). Defendants do not meaningfully explain why this reasoning would apply differently to retirement-eligible firefighters who are under age 55 than to those who are age 55 or older. The desire to keep skilled employees working for a longer period and to delay paying benefits applies to all employees, regardless of age, and therefore does not squarely address the age-55 requirement Plaintiffs challenge here.”</w:t>
      </w:r>
    </w:p>
    <w:p w14:paraId="0D2D399A" w14:textId="77777777" w:rsidR="00191CD7" w:rsidRDefault="00191CD7" w:rsidP="00191CD7">
      <w:pPr>
        <w:pStyle w:val="NoSpacing"/>
      </w:pPr>
    </w:p>
    <w:p w14:paraId="1B07887D" w14:textId="77777777" w:rsidR="00191CD7" w:rsidRDefault="00191CD7" w:rsidP="00191CD7">
      <w:pPr>
        <w:pStyle w:val="NoSpacing"/>
        <w:rPr>
          <w:b/>
          <w:bCs/>
        </w:rPr>
      </w:pPr>
      <w:r w:rsidRPr="007A4F40">
        <w:rPr>
          <w:b/>
        </w:rPr>
        <w:t xml:space="preserve">Legal lesson learned: </w:t>
      </w:r>
      <w:r>
        <w:rPr>
          <w:b/>
        </w:rPr>
        <w:t xml:space="preserve">The case will now proceed with pre-trial discovery; the Commission will then likely file a motion for summary judgment that addresses the cost reasons for keeping eligibility at age 55 or older. </w:t>
      </w:r>
    </w:p>
    <w:p w14:paraId="0B0BD817" w14:textId="77777777" w:rsidR="00191CD7" w:rsidRDefault="00191CD7" w:rsidP="00191CD7">
      <w:pPr>
        <w:pStyle w:val="NoSpacing"/>
        <w:rPr>
          <w:b/>
          <w:bCs/>
        </w:rPr>
      </w:pPr>
    </w:p>
    <w:p w14:paraId="606D9211" w14:textId="77777777" w:rsidR="00191CD7" w:rsidRDefault="00191CD7" w:rsidP="00191CD7">
      <w:pPr>
        <w:pStyle w:val="NoSpacing"/>
      </w:pPr>
      <w:r>
        <w:tab/>
        <w:t xml:space="preserve">Note: See Ohio DROP. </w:t>
      </w:r>
      <w:hyperlink r:id="rId2850" w:history="1">
        <w:r w:rsidRPr="00FF19A6">
          <w:rPr>
            <w:rStyle w:val="Hyperlink"/>
          </w:rPr>
          <w:t>https://www.op-f.org/files/mgdrop.pdf</w:t>
        </w:r>
      </w:hyperlink>
      <w:r>
        <w:t xml:space="preserve"> </w:t>
      </w:r>
    </w:p>
    <w:p w14:paraId="66897A5A" w14:textId="77777777" w:rsidR="00191CD7" w:rsidRDefault="00191CD7" w:rsidP="00191CD7">
      <w:pPr>
        <w:pStyle w:val="NoSpacing"/>
        <w:ind w:left="720"/>
      </w:pPr>
      <w:r>
        <w:t>“If you are eligible for a normal service retirement you can enter the DROP</w:t>
      </w:r>
    </w:p>
    <w:p w14:paraId="4327C947" w14:textId="77777777" w:rsidR="00191CD7" w:rsidRDefault="00191CD7" w:rsidP="00191CD7">
      <w:pPr>
        <w:pStyle w:val="NoSpacing"/>
        <w:ind w:firstLine="720"/>
      </w:pPr>
      <w:r>
        <w:t>program by delaying retirement and continuing to work as a police officer or</w:t>
      </w:r>
    </w:p>
    <w:p w14:paraId="686188EC" w14:textId="77777777" w:rsidR="00191CD7" w:rsidRDefault="00191CD7" w:rsidP="00191CD7">
      <w:pPr>
        <w:pStyle w:val="NoSpacing"/>
        <w:ind w:firstLine="720"/>
      </w:pPr>
      <w:r>
        <w:t>firefighter. For those who were OP&amp;F members on or before July 1, 2013,</w:t>
      </w:r>
    </w:p>
    <w:p w14:paraId="00CEC7AA" w14:textId="77777777" w:rsidR="00191CD7" w:rsidRDefault="00191CD7" w:rsidP="00191CD7">
      <w:pPr>
        <w:pStyle w:val="NoSpacing"/>
        <w:ind w:firstLine="720"/>
      </w:pPr>
      <w:proofErr w:type="gramStart"/>
      <w:r>
        <w:t>normal</w:t>
      </w:r>
      <w:proofErr w:type="gramEnd"/>
      <w:r>
        <w:t xml:space="preserve"> service retirement eligibility is at least 48 years of age with at least 25 years</w:t>
      </w:r>
    </w:p>
    <w:p w14:paraId="17CE76E3" w14:textId="77777777" w:rsidR="00191CD7" w:rsidRDefault="00191CD7" w:rsidP="00191CD7">
      <w:pPr>
        <w:pStyle w:val="NoSpacing"/>
        <w:ind w:firstLine="720"/>
      </w:pPr>
      <w:r>
        <w:t>of service. For members hired into an OP&amp;F-covered position after July 1, 2013,</w:t>
      </w:r>
    </w:p>
    <w:p w14:paraId="66B3A9CC" w14:textId="77777777" w:rsidR="00191CD7" w:rsidRPr="004749CB" w:rsidRDefault="00191CD7" w:rsidP="00191CD7">
      <w:pPr>
        <w:pStyle w:val="NoSpacing"/>
        <w:ind w:firstLine="720"/>
      </w:pPr>
      <w:r>
        <w:t>normal service retirement is age 52 with at least 25 years of service.”</w:t>
      </w:r>
    </w:p>
    <w:p w14:paraId="1585D975" w14:textId="77777777" w:rsidR="00191CD7" w:rsidRDefault="00191CD7" w:rsidP="00191CD7">
      <w:pPr>
        <w:pStyle w:val="NoSpacing"/>
      </w:pPr>
    </w:p>
    <w:p w14:paraId="4AF40D4F" w14:textId="77777777" w:rsidR="00191CD7" w:rsidRDefault="00191CD7" w:rsidP="00191CD7">
      <w:pPr>
        <w:pStyle w:val="NoSpacing"/>
      </w:pPr>
    </w:p>
    <w:p w14:paraId="6A51A26A" w14:textId="77777777" w:rsidR="00191CD7" w:rsidRDefault="00191CD7" w:rsidP="000C4DF5">
      <w:pPr>
        <w:pStyle w:val="NoSpacing"/>
        <w:rPr>
          <w:rFonts w:ascii="Arial Black" w:hAnsi="Arial Black"/>
          <w:sz w:val="24"/>
          <w:szCs w:val="24"/>
        </w:rPr>
      </w:pPr>
    </w:p>
    <w:p w14:paraId="6B8C9190" w14:textId="77777777" w:rsidR="006F24F3" w:rsidRDefault="006F24F3" w:rsidP="000C4DF5">
      <w:pPr>
        <w:pStyle w:val="NoSpacing"/>
        <w:rPr>
          <w:rFonts w:ascii="Arial Black" w:hAnsi="Arial Black"/>
          <w:sz w:val="24"/>
          <w:szCs w:val="24"/>
        </w:rPr>
      </w:pPr>
    </w:p>
    <w:p w14:paraId="7E4D0B21" w14:textId="33AF242C" w:rsidR="006F24F3" w:rsidRDefault="00D95AF9" w:rsidP="000C4DF5">
      <w:pPr>
        <w:pStyle w:val="NoSpacing"/>
        <w:rPr>
          <w:rFonts w:ascii="Arial Black" w:hAnsi="Arial Black"/>
          <w:sz w:val="24"/>
          <w:szCs w:val="24"/>
        </w:rPr>
      </w:pPr>
      <w:r>
        <w:rPr>
          <w:rFonts w:ascii="Arial Black" w:hAnsi="Arial Black"/>
          <w:sz w:val="24"/>
          <w:szCs w:val="24"/>
        </w:rPr>
        <w:t>18-32</w:t>
      </w:r>
    </w:p>
    <w:p w14:paraId="5FF7FDD2" w14:textId="77777777" w:rsidR="00740EF2" w:rsidRDefault="00740EF2" w:rsidP="000C4DF5">
      <w:pPr>
        <w:pStyle w:val="NoSpacing"/>
        <w:rPr>
          <w:rFonts w:ascii="Arial Black" w:hAnsi="Arial Black"/>
          <w:sz w:val="24"/>
          <w:szCs w:val="24"/>
        </w:rPr>
      </w:pPr>
    </w:p>
    <w:p w14:paraId="19BC6712" w14:textId="37DFFE8F" w:rsidR="00740EF2" w:rsidRPr="00956699" w:rsidRDefault="00740EF2" w:rsidP="00740EF2">
      <w:pPr>
        <w:pStyle w:val="NoSpacing"/>
        <w:rPr>
          <w:rFonts w:ascii="Times New Roman" w:hAnsi="Times New Roman"/>
          <w:b/>
          <w:bCs/>
          <w:sz w:val="24"/>
          <w:szCs w:val="24"/>
        </w:rPr>
      </w:pPr>
      <w:r>
        <w:rPr>
          <w:rFonts w:ascii="Arial Black" w:hAnsi="Arial Black"/>
          <w:sz w:val="28"/>
          <w:szCs w:val="28"/>
        </w:rPr>
        <w:t>FL: “HALO LAW”  – 25 FEET NO APPROACH ZONE</w:t>
      </w:r>
      <w:r>
        <w:t xml:space="preserve">  </w:t>
      </w:r>
      <w:r w:rsidRPr="00E96FEA">
        <w:rPr>
          <w:rFonts w:ascii="Arial Black" w:hAnsi="Arial Black"/>
          <w:sz w:val="28"/>
          <w:szCs w:val="28"/>
        </w:rPr>
        <w:t xml:space="preserve">- </w:t>
      </w:r>
      <w:r>
        <w:rPr>
          <w:rFonts w:ascii="Arial Black" w:hAnsi="Arial Black"/>
          <w:sz w:val="28"/>
          <w:szCs w:val="28"/>
        </w:rPr>
        <w:t xml:space="preserve">Eff. </w:t>
      </w:r>
      <w:r w:rsidRPr="00E96FEA">
        <w:rPr>
          <w:rFonts w:ascii="Arial Black" w:hAnsi="Arial Black"/>
          <w:sz w:val="28"/>
          <w:szCs w:val="28"/>
        </w:rPr>
        <w:t>1/1/2025</w:t>
      </w:r>
      <w:r>
        <w:rPr>
          <w:rFonts w:ascii="Arial Black" w:hAnsi="Arial Black"/>
          <w:sz w:val="28"/>
          <w:szCs w:val="28"/>
        </w:rPr>
        <w:t xml:space="preserve">  </w:t>
      </w:r>
      <w:r w:rsidRPr="00956699">
        <w:rPr>
          <w:rFonts w:ascii="Times New Roman" w:hAnsi="Times New Roman"/>
          <w:b/>
          <w:bCs/>
          <w:sz w:val="24"/>
          <w:szCs w:val="24"/>
        </w:rPr>
        <w:t>[als</w:t>
      </w:r>
      <w:r w:rsidR="00956699" w:rsidRPr="00956699">
        <w:rPr>
          <w:rFonts w:ascii="Times New Roman" w:hAnsi="Times New Roman"/>
          <w:b/>
          <w:bCs/>
          <w:sz w:val="24"/>
          <w:szCs w:val="24"/>
        </w:rPr>
        <w:t>o filed, Chap. 2]</w:t>
      </w:r>
    </w:p>
    <w:p w14:paraId="6BCAD223" w14:textId="77777777" w:rsidR="00740EF2" w:rsidRDefault="00740EF2" w:rsidP="00740EF2">
      <w:pPr>
        <w:pStyle w:val="NoSpacing"/>
      </w:pPr>
    </w:p>
    <w:p w14:paraId="5EEC762F" w14:textId="77777777" w:rsidR="00740EF2" w:rsidRPr="009564B9" w:rsidRDefault="00740EF2" w:rsidP="00740EF2">
      <w:pPr>
        <w:pStyle w:val="NoSpacing"/>
        <w:rPr>
          <w:b/>
        </w:rPr>
      </w:pPr>
      <w:r>
        <w:t xml:space="preserve">On January 1, 2025, the new “Halo Law” became effective. On April 12, 2024, Governor Ron DeSantis </w:t>
      </w:r>
      <w:proofErr w:type="gramStart"/>
      <w:r>
        <w:t>signed into law</w:t>
      </w:r>
      <w:proofErr w:type="gramEnd"/>
      <w:r>
        <w:t xml:space="preserve"> the Halo Law, passed under House Bill 184, </w:t>
      </w:r>
      <w:r w:rsidRPr="009564B9">
        <w:t>Impeding, Threatening, or Harassing First Responders</w:t>
      </w:r>
      <w:r>
        <w:t xml:space="preserve">. </w:t>
      </w:r>
      <w:hyperlink r:id="rId2851" w:history="1">
        <w:r w:rsidRPr="00734647">
          <w:rPr>
            <w:rStyle w:val="Hyperlink"/>
          </w:rPr>
          <w:t>https://www.flhouse.gov/Sections/Bills/billsdetail.aspx?BillId=78745</w:t>
        </w:r>
      </w:hyperlink>
      <w:r>
        <w:t xml:space="preserve"> </w:t>
      </w:r>
    </w:p>
    <w:p w14:paraId="307ED173" w14:textId="77777777" w:rsidR="00740EF2" w:rsidRDefault="00740EF2" w:rsidP="00740EF2">
      <w:pPr>
        <w:pStyle w:val="NoSpacing"/>
      </w:pPr>
    </w:p>
    <w:p w14:paraId="0C360398" w14:textId="77777777" w:rsidR="00740EF2" w:rsidRDefault="00740EF2" w:rsidP="00740EF2">
      <w:pPr>
        <w:pStyle w:val="NoSpacing"/>
      </w:pPr>
      <w:r>
        <w:t xml:space="preserve">Read the statute: </w:t>
      </w:r>
      <w:hyperlink r:id="rId2852" w:history="1">
        <w:r w:rsidRPr="00734647">
          <w:rPr>
            <w:rStyle w:val="Hyperlink"/>
          </w:rPr>
          <w:t>https://www.flhouse.gov/Sections/Documents/loaddoc.aspx?FileName=_s0184er.DOCX&amp;DocumentType=Bill&amp;BillNumber=184&amp;Session=2024</w:t>
        </w:r>
      </w:hyperlink>
      <w:r>
        <w:t xml:space="preserve"> </w:t>
      </w:r>
    </w:p>
    <w:p w14:paraId="0F349764" w14:textId="77777777" w:rsidR="00740EF2" w:rsidRDefault="00740EF2" w:rsidP="00740EF2">
      <w:pPr>
        <w:pStyle w:val="NoSpacing"/>
      </w:pPr>
      <w:r>
        <w:t>Section 1</w:t>
      </w:r>
    </w:p>
    <w:p w14:paraId="6FA0A181" w14:textId="77777777" w:rsidR="00740EF2" w:rsidRDefault="00740EF2" w:rsidP="00740EF2">
      <w:pPr>
        <w:pStyle w:val="NoSpacing"/>
      </w:pPr>
      <w:r>
        <w:t>Approaching a first responder with specified intent after a warning</w:t>
      </w:r>
    </w:p>
    <w:p w14:paraId="0060CB54" w14:textId="77777777" w:rsidR="00740EF2" w:rsidRDefault="00740EF2" w:rsidP="00740EF2">
      <w:pPr>
        <w:pStyle w:val="NoSpacing"/>
      </w:pPr>
      <w:r>
        <w:t>(1) As used in this section, the term:</w:t>
      </w:r>
    </w:p>
    <w:p w14:paraId="1C64F390" w14:textId="77777777" w:rsidR="00740EF2" w:rsidRDefault="00740EF2" w:rsidP="00740EF2">
      <w:pPr>
        <w:pStyle w:val="NoSpacing"/>
      </w:pPr>
      <w:r>
        <w:t>(a) “First responder” includes a law enforcement officer as defined in s. 943.10(1), a correctional probation officer as defined in s. 943.10(3), a firefighter as defined in s784.07(1), and an emergency medical care provider as defined in s. 784.07(1)</w:t>
      </w:r>
    </w:p>
    <w:p w14:paraId="67E0AEEF" w14:textId="77777777" w:rsidR="00740EF2" w:rsidRDefault="00740EF2" w:rsidP="00740EF2">
      <w:pPr>
        <w:pStyle w:val="NoSpacing"/>
      </w:pPr>
      <w:r>
        <w:t>(b) “Harass” means to willfully engage in a course of conduct directed at a first responder which intentionally causes substantial emotional distress in that first responder and serves no legitimate purpose.</w:t>
      </w:r>
    </w:p>
    <w:p w14:paraId="31A3E3F6" w14:textId="77777777" w:rsidR="00740EF2" w:rsidRDefault="00740EF2" w:rsidP="00740EF2">
      <w:pPr>
        <w:pStyle w:val="NoSpacing"/>
      </w:pPr>
      <w:r>
        <w:t>(2)(a) It is unlawful for a person, after receiving a verbal warning not to approach from a person he or she knows or reasonably should know is a first responder, who is engaged in the lawful performance of a legal duty, to knowingly and willfully violate such warning and approach or remain within 25 feet of the first responder with the intent to:</w:t>
      </w:r>
    </w:p>
    <w:p w14:paraId="776D25BC" w14:textId="77777777" w:rsidR="00740EF2" w:rsidRDefault="00740EF2" w:rsidP="00740EF2">
      <w:pPr>
        <w:pStyle w:val="NoSpacing"/>
      </w:pPr>
      <w:r>
        <w:t>1. Impede or interfere with the first responder’s ability to perform such duty;</w:t>
      </w:r>
    </w:p>
    <w:p w14:paraId="314DA78A" w14:textId="77777777" w:rsidR="00740EF2" w:rsidRDefault="00740EF2" w:rsidP="00740EF2">
      <w:pPr>
        <w:pStyle w:val="NoSpacing"/>
      </w:pPr>
      <w:r>
        <w:t>2. Threaten the first responder with physical harm; or</w:t>
      </w:r>
    </w:p>
    <w:p w14:paraId="0B2137EC" w14:textId="77777777" w:rsidR="00740EF2" w:rsidRDefault="00740EF2" w:rsidP="00740EF2">
      <w:pPr>
        <w:pStyle w:val="NoSpacing"/>
      </w:pPr>
      <w:r>
        <w:t>3. Harass the first responder.</w:t>
      </w:r>
    </w:p>
    <w:p w14:paraId="146B0399" w14:textId="77777777" w:rsidR="00740EF2" w:rsidRDefault="00740EF2" w:rsidP="00740EF2">
      <w:pPr>
        <w:pStyle w:val="NoSpacing"/>
      </w:pPr>
      <w:r>
        <w:t>(b) A person who violates this subsection commits a misdemeanor of the second degree, punishable as provided in s. 775.082 or s. 775.083.40</w:t>
      </w:r>
    </w:p>
    <w:p w14:paraId="6875B429" w14:textId="77777777" w:rsidR="00740EF2" w:rsidRDefault="00740EF2" w:rsidP="00740EF2">
      <w:pPr>
        <w:pStyle w:val="NoSpacing"/>
      </w:pPr>
      <w:r>
        <w:t>Section 2. This act shall take effect January 1, 2025.</w:t>
      </w:r>
    </w:p>
    <w:p w14:paraId="068D6FDA" w14:textId="77777777" w:rsidR="00740EF2" w:rsidRDefault="00740EF2" w:rsidP="00740EF2">
      <w:pPr>
        <w:pStyle w:val="NoSpacing"/>
      </w:pPr>
    </w:p>
    <w:p w14:paraId="7B08A155" w14:textId="77777777" w:rsidR="00740EF2" w:rsidRPr="00313F24" w:rsidRDefault="00740EF2" w:rsidP="00740EF2">
      <w:pPr>
        <w:pStyle w:val="NoSpacing"/>
        <w:rPr>
          <w:b/>
          <w:bCs/>
        </w:rPr>
      </w:pPr>
      <w:r>
        <w:rPr>
          <w:b/>
        </w:rPr>
        <w:t xml:space="preserve">Legal lesson learned: An excellent statute; hopefully similar laws will be enacted in many other </w:t>
      </w:r>
      <w:proofErr w:type="gramStart"/>
      <w:r>
        <w:rPr>
          <w:b/>
        </w:rPr>
        <w:t>state</w:t>
      </w:r>
      <w:proofErr w:type="gramEnd"/>
      <w:r>
        <w:rPr>
          <w:b/>
        </w:rPr>
        <w:t xml:space="preserve">. </w:t>
      </w:r>
    </w:p>
    <w:p w14:paraId="1522415A" w14:textId="77777777" w:rsidR="00740EF2" w:rsidRDefault="00740EF2" w:rsidP="00740EF2">
      <w:pPr>
        <w:pStyle w:val="NoSpacing"/>
      </w:pPr>
    </w:p>
    <w:p w14:paraId="5E31DCC1" w14:textId="77777777" w:rsidR="00740EF2" w:rsidRPr="00F642E3" w:rsidRDefault="00740EF2" w:rsidP="00740EF2">
      <w:pPr>
        <w:pStyle w:val="NoSpacing"/>
        <w:ind w:left="720"/>
        <w:rPr>
          <w:b/>
        </w:rPr>
      </w:pPr>
      <w:r>
        <w:t xml:space="preserve">Note: Jan. 28, 2026:  </w:t>
      </w:r>
      <w:r w:rsidRPr="00F642E3">
        <w:rPr>
          <w:b/>
        </w:rPr>
        <w:t>Man arrested under Florida's Halo Law</w:t>
      </w:r>
      <w:r>
        <w:rPr>
          <w:b/>
        </w:rPr>
        <w:t xml:space="preserve">. </w:t>
      </w:r>
      <w:hyperlink r:id="rId2853" w:history="1">
        <w:r w:rsidRPr="00734647">
          <w:rPr>
            <w:rStyle w:val="Hyperlink"/>
            <w:b/>
          </w:rPr>
          <w:t>https://www.youtube.com/watch?v=US5dFGLzqQo</w:t>
        </w:r>
      </w:hyperlink>
      <w:r>
        <w:rPr>
          <w:b/>
        </w:rPr>
        <w:t xml:space="preserve"> </w:t>
      </w:r>
    </w:p>
    <w:p w14:paraId="39EEC7C2" w14:textId="77777777" w:rsidR="00740EF2" w:rsidRPr="00210AB7" w:rsidRDefault="00740EF2" w:rsidP="00740EF2">
      <w:pPr>
        <w:pStyle w:val="NoSpacing"/>
        <w:ind w:firstLine="720"/>
        <w:rPr>
          <w:b/>
        </w:rPr>
      </w:pPr>
      <w:r w:rsidRPr="00210AB7">
        <w:rPr>
          <w:b/>
        </w:rPr>
        <w:t>What Is the Halo Law?</w:t>
      </w:r>
    </w:p>
    <w:p w14:paraId="187229AE" w14:textId="77777777" w:rsidR="00740EF2" w:rsidRPr="00210AB7" w:rsidRDefault="00740EF2" w:rsidP="00740EF2">
      <w:pPr>
        <w:pStyle w:val="NoSpacing"/>
        <w:ind w:left="720"/>
      </w:pPr>
      <w:r w:rsidRPr="00210AB7">
        <w:t xml:space="preserve">The Halo Law, passed under </w:t>
      </w:r>
      <w:r w:rsidRPr="00210AB7">
        <w:rPr>
          <w:b/>
        </w:rPr>
        <w:t>House Bill 184</w:t>
      </w:r>
      <w:r w:rsidRPr="00210AB7">
        <w:t xml:space="preserve">, was signed into law by Governor Ron DeSantis in April 2024. It establishes a </w:t>
      </w:r>
      <w:r w:rsidRPr="00210AB7">
        <w:rPr>
          <w:b/>
        </w:rPr>
        <w:t>25-foot no-approach zone</w:t>
      </w:r>
      <w:r w:rsidRPr="00210AB7">
        <w:t xml:space="preserve"> around first responders engaged in their official duties. If someone is verbally warned to stay back and continues to approach within this zone, they could face penalties, including fines and potential jail time.</w:t>
      </w:r>
    </w:p>
    <w:p w14:paraId="6EB5C7A2" w14:textId="77777777" w:rsidR="00740EF2" w:rsidRPr="00210AB7" w:rsidRDefault="00740EF2" w:rsidP="00740EF2">
      <w:pPr>
        <w:pStyle w:val="NoSpacing"/>
        <w:ind w:left="720"/>
      </w:pPr>
      <w:r w:rsidRPr="00210AB7">
        <w:t>Sheriff Grady Judd of Polk County has been a vocal advocate for the law, emphasizing that it does not restrict the public’s right to record first responders but aims to prevent interference or harassment while they work.</w:t>
      </w:r>
      <w:r>
        <w:t xml:space="preserve"> </w:t>
      </w:r>
      <w:hyperlink r:id="rId2854" w:history="1">
        <w:r w:rsidRPr="00FF51FB">
          <w:rPr>
            <w:rStyle w:val="Hyperlink"/>
          </w:rPr>
          <w:t>https://www.muscalaw.com/blog/understanding-floridas-new-halo-law-and-its-impact-first-amendment-rights</w:t>
        </w:r>
      </w:hyperlink>
      <w:r>
        <w:t xml:space="preserve"> </w:t>
      </w:r>
    </w:p>
    <w:p w14:paraId="4EB8805F" w14:textId="77777777" w:rsidR="00740EF2" w:rsidRDefault="00740EF2" w:rsidP="00740EF2">
      <w:pPr>
        <w:pStyle w:val="NoSpacing"/>
      </w:pPr>
    </w:p>
    <w:p w14:paraId="1721935B" w14:textId="77777777" w:rsidR="00740EF2" w:rsidRDefault="00740EF2" w:rsidP="00740EF2">
      <w:pPr>
        <w:pStyle w:val="NoSpacing"/>
      </w:pPr>
    </w:p>
    <w:p w14:paraId="7E1ED189" w14:textId="77777777" w:rsidR="00740EF2" w:rsidRDefault="00740EF2" w:rsidP="00740EF2">
      <w:pPr>
        <w:pStyle w:val="NoSpacing"/>
        <w:ind w:left="720"/>
        <w:rPr>
          <w:b/>
        </w:rPr>
      </w:pPr>
      <w:r>
        <w:t xml:space="preserve">See also: ACLU of Florida: </w:t>
      </w:r>
      <w:r w:rsidRPr="00F41534">
        <w:t>HB 75/SB 184 - Criminalizing Bystanders for Exercising First Amendment Rights</w:t>
      </w:r>
      <w:r>
        <w:t xml:space="preserve">. </w:t>
      </w:r>
      <w:r w:rsidRPr="00910752">
        <w:rPr>
          <w:b/>
        </w:rPr>
        <w:t xml:space="preserve"> </w:t>
      </w:r>
      <w:hyperlink r:id="rId2855" w:history="1">
        <w:r w:rsidRPr="00FF51FB">
          <w:rPr>
            <w:rStyle w:val="Hyperlink"/>
            <w:b/>
          </w:rPr>
          <w:t>https://www.aclufl.org/legislation/hb-75sb-184-criminalizing-bystanders-exercising-first-amendment-rights/</w:t>
        </w:r>
      </w:hyperlink>
      <w:r>
        <w:rPr>
          <w:b/>
        </w:rPr>
        <w:t xml:space="preserve"> </w:t>
      </w:r>
    </w:p>
    <w:p w14:paraId="7F597FE8" w14:textId="77777777" w:rsidR="00740EF2" w:rsidRDefault="00740EF2" w:rsidP="00740EF2">
      <w:pPr>
        <w:pStyle w:val="NoSpacing"/>
        <w:rPr>
          <w:b/>
        </w:rPr>
      </w:pPr>
    </w:p>
    <w:p w14:paraId="278CF353" w14:textId="77777777" w:rsidR="00740EF2" w:rsidRDefault="00740EF2" w:rsidP="00740EF2">
      <w:pPr>
        <w:pStyle w:val="NoSpacing"/>
      </w:pPr>
    </w:p>
    <w:p w14:paraId="4137EE43" w14:textId="77777777" w:rsidR="00740EF2" w:rsidRDefault="00740EF2" w:rsidP="000C4DF5">
      <w:pPr>
        <w:pStyle w:val="NoSpacing"/>
        <w:rPr>
          <w:rFonts w:ascii="Arial Black" w:hAnsi="Arial Black"/>
          <w:sz w:val="24"/>
          <w:szCs w:val="24"/>
        </w:rPr>
      </w:pPr>
    </w:p>
    <w:p w14:paraId="5BF38D08" w14:textId="77777777" w:rsidR="006F24F3" w:rsidRDefault="006F24F3" w:rsidP="000C4DF5">
      <w:pPr>
        <w:pStyle w:val="NoSpacing"/>
        <w:rPr>
          <w:rFonts w:ascii="Arial Black" w:hAnsi="Arial Black"/>
          <w:sz w:val="24"/>
          <w:szCs w:val="24"/>
        </w:rPr>
      </w:pPr>
    </w:p>
    <w:p w14:paraId="1B5D8C12" w14:textId="6CB0F6A8" w:rsidR="008A2AE6" w:rsidRDefault="002E26A8" w:rsidP="000C4DF5">
      <w:pPr>
        <w:pStyle w:val="NoSpacing"/>
        <w:rPr>
          <w:rFonts w:ascii="Arial Black" w:hAnsi="Arial Black"/>
          <w:sz w:val="24"/>
          <w:szCs w:val="24"/>
        </w:rPr>
      </w:pPr>
      <w:r>
        <w:rPr>
          <w:rFonts w:ascii="Arial Black" w:hAnsi="Arial Black"/>
          <w:sz w:val="24"/>
          <w:szCs w:val="24"/>
        </w:rPr>
        <w:t>18-31</w:t>
      </w:r>
    </w:p>
    <w:p w14:paraId="7B1625E2" w14:textId="77777777" w:rsidR="002E26A8" w:rsidRDefault="002E26A8" w:rsidP="000C4DF5">
      <w:pPr>
        <w:pStyle w:val="NoSpacing"/>
        <w:rPr>
          <w:rFonts w:ascii="Arial Black" w:hAnsi="Arial Black"/>
          <w:sz w:val="24"/>
          <w:szCs w:val="24"/>
        </w:rPr>
      </w:pPr>
    </w:p>
    <w:p w14:paraId="024D8734" w14:textId="4702676D" w:rsidR="00841783" w:rsidRPr="001225D3" w:rsidRDefault="00841783" w:rsidP="00841783">
      <w:pPr>
        <w:pStyle w:val="NoSpacing"/>
        <w:rPr>
          <w:rFonts w:ascii="Arial Black" w:hAnsi="Arial Black"/>
          <w:sz w:val="28"/>
          <w:szCs w:val="28"/>
        </w:rPr>
      </w:pPr>
      <w:r>
        <w:rPr>
          <w:rFonts w:ascii="Arial Black" w:hAnsi="Arial Black"/>
          <w:sz w:val="28"/>
          <w:szCs w:val="28"/>
        </w:rPr>
        <w:t xml:space="preserve">OH: ETHICS COMMISSION – </w:t>
      </w:r>
      <w:r w:rsidR="000C567D">
        <w:rPr>
          <w:rFonts w:ascii="Arial Black" w:hAnsi="Arial Black"/>
          <w:sz w:val="28"/>
          <w:szCs w:val="28"/>
        </w:rPr>
        <w:t xml:space="preserve">CAN </w:t>
      </w:r>
      <w:r>
        <w:rPr>
          <w:rFonts w:ascii="Arial Black" w:hAnsi="Arial Black"/>
          <w:sz w:val="28"/>
          <w:szCs w:val="28"/>
        </w:rPr>
        <w:t>KEEP FREQUENT FLYER MILES</w:t>
      </w:r>
    </w:p>
    <w:p w14:paraId="734892CE" w14:textId="77777777" w:rsidR="00841783" w:rsidRDefault="00841783" w:rsidP="00841783">
      <w:pPr>
        <w:pStyle w:val="NoSpacing"/>
      </w:pPr>
    </w:p>
    <w:p w14:paraId="4234DC87" w14:textId="77777777" w:rsidR="00841783" w:rsidRDefault="00841783" w:rsidP="00841783">
      <w:pPr>
        <w:pStyle w:val="NoSpacing"/>
      </w:pPr>
      <w:r>
        <w:t xml:space="preserve">On August 4, 2025, the Ohio Ethics Commission approved an Advisory Opinion allowing public officials to keep airline frequent flyer miles earned on official travel. </w:t>
      </w:r>
    </w:p>
    <w:p w14:paraId="00FD02FC" w14:textId="77777777" w:rsidR="00841783" w:rsidRDefault="00841783" w:rsidP="00841783">
      <w:pPr>
        <w:pStyle w:val="NoSpacing"/>
      </w:pPr>
    </w:p>
    <w:p w14:paraId="05682C28" w14:textId="77777777" w:rsidR="00841783" w:rsidRDefault="00841783" w:rsidP="00841783">
      <w:pPr>
        <w:pStyle w:val="NoSpacing"/>
      </w:pPr>
      <w:r w:rsidRPr="00BF2E3F">
        <w:t>INFORMATION SHEET: ADVISORY OPINION NO. 2025-02 FREQUENT FLYER MILES AND REWARDS POINTS</w:t>
      </w:r>
    </w:p>
    <w:p w14:paraId="0872AD43" w14:textId="77777777" w:rsidR="00841783" w:rsidRDefault="00841783" w:rsidP="00841783">
      <w:pPr>
        <w:pStyle w:val="NoSpacing"/>
      </w:pPr>
      <w:hyperlink r:id="rId2856" w:history="1">
        <w:r w:rsidRPr="00B2179F">
          <w:rPr>
            <w:rStyle w:val="Hyperlink"/>
          </w:rPr>
          <w:t>https://ethics.ohio.gov/advice/opinions/2025-02.pdf</w:t>
        </w:r>
      </w:hyperlink>
      <w:r>
        <w:t xml:space="preserve"> </w:t>
      </w:r>
    </w:p>
    <w:p w14:paraId="326DA131" w14:textId="77777777" w:rsidR="00841783" w:rsidRDefault="00841783" w:rsidP="00841783">
      <w:pPr>
        <w:pStyle w:val="NoSpacing"/>
      </w:pPr>
    </w:p>
    <w:p w14:paraId="32CD91B3" w14:textId="77777777" w:rsidR="00841783" w:rsidRDefault="00841783" w:rsidP="00841783">
      <w:pPr>
        <w:pStyle w:val="NoSpacing"/>
        <w:ind w:firstLine="720"/>
      </w:pPr>
      <w:r w:rsidRPr="00605C01">
        <w:t>Frequent Flyer Miles &amp; Reward Points Advisory Opinion</w:t>
      </w:r>
    </w:p>
    <w:p w14:paraId="135B5539" w14:textId="77777777" w:rsidR="00841783" w:rsidRDefault="00841783" w:rsidP="00841783">
      <w:pPr>
        <w:pStyle w:val="NoSpacing"/>
        <w:ind w:firstLine="720"/>
      </w:pPr>
      <w:hyperlink r:id="rId2857" w:history="1">
        <w:r w:rsidRPr="00CD4E54">
          <w:rPr>
            <w:rStyle w:val="Hyperlink"/>
          </w:rPr>
          <w:t>https://ethics.ohio.gov/education/newsletters/VOE_25Q3.pdf</w:t>
        </w:r>
      </w:hyperlink>
      <w:r>
        <w:t xml:space="preserve"> </w:t>
      </w:r>
    </w:p>
    <w:p w14:paraId="31E13357" w14:textId="77777777" w:rsidR="00841783" w:rsidRDefault="00841783" w:rsidP="00841783">
      <w:pPr>
        <w:pStyle w:val="NoSpacing"/>
        <w:ind w:left="720"/>
      </w:pPr>
      <w:r>
        <w:t>“</w:t>
      </w:r>
      <w:r w:rsidRPr="00605C01">
        <w:t>At its meeting on August 4, 2025, the Ohio Ethics Commission approved Formal Advisory Opinion 2025 – 02 which allows public officials or employees to use frequent flyer miles that were earned during official travel for personal travel. Although the Commission had previously restricted the use of frequent flyer miles accrued during official travel for personal use, this advisory opinion states that public officials and employees may use frequent flyer miles that were earned during official travel for personal travel if they earn the miles under the same conditions as the public and at no additional cost to their public agencies. While this Advisory Opinion primarily references frequent flyer miles, the analysis also applies to other reward points programs.</w:t>
      </w:r>
    </w:p>
    <w:p w14:paraId="277B5CF6" w14:textId="77777777" w:rsidR="00841783" w:rsidRDefault="00841783" w:rsidP="00841783">
      <w:pPr>
        <w:ind w:left="720"/>
      </w:pPr>
      <w:r>
        <w:t>***</w:t>
      </w:r>
    </w:p>
    <w:p w14:paraId="42AA005D" w14:textId="77777777" w:rsidR="00841783" w:rsidRDefault="00841783" w:rsidP="00841783">
      <w:pPr>
        <w:ind w:left="720"/>
        <w:rPr>
          <w:bCs/>
        </w:rPr>
      </w:pPr>
      <w:r w:rsidRPr="00FC71C9">
        <w:t>The opinion notes that public official</w:t>
      </w:r>
      <w:r>
        <w:t>s</w:t>
      </w:r>
      <w:r w:rsidRPr="00FC71C9">
        <w:t xml:space="preserve"> and employees are prohibited from choosing an airline, vendor, or service based solely on whether it provides frequent flyer miles or other rewards points. Additionally, a planner who books a group trip for multiple travelers and could therefore earn a substantial number of frequent flyer miles or reward points from one event is prohibited from personally using rewards earned in connection to booking the group travel.</w:t>
      </w:r>
      <w:r>
        <w:t>”</w:t>
      </w:r>
    </w:p>
    <w:p w14:paraId="0EDCD611" w14:textId="77777777" w:rsidR="00841783" w:rsidRPr="00211784" w:rsidRDefault="00841783" w:rsidP="00841783">
      <w:pPr>
        <w:pStyle w:val="NoSpacing"/>
        <w:rPr>
          <w:b/>
          <w:bCs/>
        </w:rPr>
      </w:pPr>
      <w:r>
        <w:rPr>
          <w:b/>
        </w:rPr>
        <w:t xml:space="preserve">Legal lesson learned: Fire &amp; EMS departments should consider adopting a policy that formally recognizes this Advisory Opinion. </w:t>
      </w:r>
    </w:p>
    <w:p w14:paraId="490CFB54" w14:textId="77777777" w:rsidR="00841783" w:rsidRDefault="00841783" w:rsidP="00841783">
      <w:pPr>
        <w:pStyle w:val="NoSpacing"/>
        <w:rPr>
          <w:b/>
          <w:bCs/>
        </w:rPr>
      </w:pPr>
    </w:p>
    <w:p w14:paraId="1212A55A" w14:textId="77777777" w:rsidR="00841783" w:rsidRDefault="00841783" w:rsidP="00841783">
      <w:pPr>
        <w:pStyle w:val="NoSpacing"/>
        <w:rPr>
          <w:rFonts w:ascii="Arial Black" w:hAnsi="Arial Black"/>
          <w:b/>
          <w:sz w:val="28"/>
          <w:szCs w:val="28"/>
        </w:rPr>
      </w:pPr>
    </w:p>
    <w:p w14:paraId="705E2D62" w14:textId="77777777" w:rsidR="00841783" w:rsidRDefault="00841783" w:rsidP="00841783">
      <w:pPr>
        <w:pStyle w:val="NoSpacing"/>
        <w:rPr>
          <w:rFonts w:ascii="Arial Black" w:hAnsi="Arial Black"/>
          <w:b/>
          <w:sz w:val="28"/>
          <w:szCs w:val="28"/>
        </w:rPr>
      </w:pPr>
    </w:p>
    <w:p w14:paraId="05B0B894" w14:textId="77777777" w:rsidR="002E26A8" w:rsidRDefault="002E26A8" w:rsidP="000C4DF5">
      <w:pPr>
        <w:pStyle w:val="NoSpacing"/>
        <w:rPr>
          <w:rFonts w:ascii="Arial Black" w:hAnsi="Arial Black"/>
          <w:sz w:val="24"/>
          <w:szCs w:val="24"/>
        </w:rPr>
      </w:pPr>
    </w:p>
    <w:p w14:paraId="05697DD4" w14:textId="77777777" w:rsidR="002E26A8" w:rsidRDefault="002E26A8" w:rsidP="000C4DF5">
      <w:pPr>
        <w:pStyle w:val="NoSpacing"/>
        <w:rPr>
          <w:rFonts w:ascii="Arial Black" w:hAnsi="Arial Black"/>
          <w:sz w:val="24"/>
          <w:szCs w:val="24"/>
        </w:rPr>
      </w:pPr>
    </w:p>
    <w:p w14:paraId="7A781651" w14:textId="77777777" w:rsidR="002E26A8" w:rsidRDefault="002E26A8" w:rsidP="000C4DF5">
      <w:pPr>
        <w:pStyle w:val="NoSpacing"/>
        <w:rPr>
          <w:rFonts w:ascii="Arial Black" w:hAnsi="Arial Black"/>
          <w:sz w:val="24"/>
          <w:szCs w:val="24"/>
        </w:rPr>
      </w:pPr>
    </w:p>
    <w:p w14:paraId="5F3B45B7" w14:textId="3B0CF0A1" w:rsidR="00072607" w:rsidRDefault="00072607" w:rsidP="000C4DF5">
      <w:pPr>
        <w:pStyle w:val="NoSpacing"/>
        <w:rPr>
          <w:rFonts w:ascii="Arial Black" w:hAnsi="Arial Black"/>
          <w:sz w:val="24"/>
          <w:szCs w:val="24"/>
        </w:rPr>
      </w:pPr>
      <w:r>
        <w:rPr>
          <w:rFonts w:ascii="Arial Black" w:hAnsi="Arial Black"/>
          <w:sz w:val="24"/>
          <w:szCs w:val="24"/>
        </w:rPr>
        <w:t>18-30</w:t>
      </w:r>
    </w:p>
    <w:p w14:paraId="27CC2933" w14:textId="77777777" w:rsidR="00072607" w:rsidRDefault="00072607" w:rsidP="000C4DF5">
      <w:pPr>
        <w:pStyle w:val="NoSpacing"/>
        <w:rPr>
          <w:rFonts w:ascii="Arial Black" w:hAnsi="Arial Black"/>
          <w:sz w:val="24"/>
          <w:szCs w:val="24"/>
        </w:rPr>
      </w:pPr>
    </w:p>
    <w:p w14:paraId="7CF15988" w14:textId="657D1F8B" w:rsidR="00072607" w:rsidRPr="006F2B87" w:rsidRDefault="00072607" w:rsidP="00072607">
      <w:pPr>
        <w:pStyle w:val="NoSpacing"/>
        <w:rPr>
          <w:rFonts w:ascii="Arial Black" w:hAnsi="Arial Black"/>
          <w:b/>
          <w:bCs/>
          <w:sz w:val="28"/>
          <w:szCs w:val="28"/>
        </w:rPr>
      </w:pPr>
      <w:r w:rsidRPr="006F2B87">
        <w:rPr>
          <w:rFonts w:ascii="Arial Black" w:hAnsi="Arial Black"/>
          <w:b/>
          <w:sz w:val="28"/>
          <w:szCs w:val="28"/>
        </w:rPr>
        <w:t xml:space="preserve">CT: “NO SURPRISE ACT” – </w:t>
      </w:r>
      <w:r>
        <w:rPr>
          <w:rFonts w:ascii="Arial Black" w:hAnsi="Arial Black"/>
          <w:b/>
          <w:sz w:val="28"/>
          <w:szCs w:val="28"/>
        </w:rPr>
        <w:t>AIR MED CAN SUE INSURANCE</w:t>
      </w:r>
      <w:r w:rsidR="000C6C88">
        <w:rPr>
          <w:rFonts w:ascii="Arial Black" w:hAnsi="Arial Black"/>
          <w:b/>
          <w:sz w:val="28"/>
          <w:szCs w:val="28"/>
        </w:rPr>
        <w:t xml:space="preserve"> CO.</w:t>
      </w:r>
    </w:p>
    <w:p w14:paraId="5204BFF9" w14:textId="77777777" w:rsidR="00072607" w:rsidRDefault="00072607" w:rsidP="00072607">
      <w:pPr>
        <w:pStyle w:val="NoSpacing"/>
        <w:rPr>
          <w:bCs/>
        </w:rPr>
      </w:pPr>
    </w:p>
    <w:p w14:paraId="1B45A02E" w14:textId="77777777" w:rsidR="00072607" w:rsidRPr="00B44918" w:rsidRDefault="00072607" w:rsidP="00072607">
      <w:pPr>
        <w:pStyle w:val="NoSpacing"/>
        <w:rPr>
          <w:rFonts w:ascii="Times New Roman" w:hAnsi="Times New Roman"/>
          <w:bCs/>
          <w:sz w:val="24"/>
          <w:szCs w:val="24"/>
        </w:rPr>
      </w:pPr>
      <w:r w:rsidRPr="00B44918">
        <w:rPr>
          <w:rFonts w:ascii="Times New Roman" w:hAnsi="Times New Roman"/>
          <w:sz w:val="24"/>
          <w:szCs w:val="24"/>
        </w:rPr>
        <w:t xml:space="preserve">On May 14, 2025, in </w:t>
      </w:r>
      <w:r w:rsidRPr="00B44918">
        <w:rPr>
          <w:rFonts w:ascii="Times New Roman" w:hAnsi="Times New Roman"/>
          <w:sz w:val="24"/>
          <w:szCs w:val="24"/>
          <w:u w:val="single"/>
        </w:rPr>
        <w:t xml:space="preserve">Guarding Flight LLC, Reach Air Medical Services LLC, </w:t>
      </w:r>
      <w:proofErr w:type="spellStart"/>
      <w:r w:rsidRPr="00B44918">
        <w:rPr>
          <w:rFonts w:ascii="Times New Roman" w:hAnsi="Times New Roman"/>
          <w:sz w:val="24"/>
          <w:szCs w:val="24"/>
          <w:u w:val="single"/>
        </w:rPr>
        <w:t>Calstar</w:t>
      </w:r>
      <w:proofErr w:type="spellEnd"/>
      <w:r w:rsidRPr="00B44918">
        <w:rPr>
          <w:rFonts w:ascii="Times New Roman" w:hAnsi="Times New Roman"/>
          <w:sz w:val="24"/>
          <w:szCs w:val="24"/>
          <w:u w:val="single"/>
        </w:rPr>
        <w:t xml:space="preserve"> Air Medical Services LLC, Med-Trans Corporation, and Air Evac EMS, Inc. v. Aetna Life Insurance Company, Aetna Health, Inc., Aetna Health and Life Insurance Company, and Cigna Health and Life Insurance Company</w:t>
      </w:r>
      <w:r w:rsidRPr="00B44918">
        <w:rPr>
          <w:rFonts w:ascii="Times New Roman" w:hAnsi="Times New Roman"/>
          <w:sz w:val="24"/>
          <w:szCs w:val="24"/>
        </w:rPr>
        <w:t>, U.S. District Court Judge Michael P. Shea, United States District Court for the District of Connecticut, denied the insurance companies motion to dismiss;  the Air Medical companies allege a “low pay, late pay or no pay” scheme has become a widespread business practice.</w:t>
      </w:r>
    </w:p>
    <w:p w14:paraId="591ECDB1" w14:textId="77777777" w:rsidR="00072607" w:rsidRPr="00B44918" w:rsidRDefault="00072607" w:rsidP="00072607">
      <w:pPr>
        <w:pStyle w:val="NoSpacing"/>
        <w:rPr>
          <w:rFonts w:ascii="Times New Roman" w:hAnsi="Times New Roman"/>
          <w:bCs/>
          <w:sz w:val="24"/>
          <w:szCs w:val="24"/>
        </w:rPr>
      </w:pPr>
      <w:r w:rsidRPr="00B44918">
        <w:rPr>
          <w:rFonts w:ascii="Times New Roman" w:hAnsi="Times New Roman"/>
          <w:sz w:val="24"/>
          <w:szCs w:val="24"/>
        </w:rPr>
        <w:t xml:space="preserve">   </w:t>
      </w:r>
    </w:p>
    <w:p w14:paraId="55CA3EBB" w14:textId="6DA85870" w:rsidR="00072607" w:rsidRPr="00B44918" w:rsidRDefault="00072607" w:rsidP="00072607">
      <w:pPr>
        <w:pStyle w:val="NoSpacing"/>
        <w:rPr>
          <w:rFonts w:ascii="Times New Roman" w:hAnsi="Times New Roman"/>
          <w:bCs/>
          <w:sz w:val="24"/>
          <w:szCs w:val="24"/>
        </w:rPr>
      </w:pPr>
      <w:r w:rsidRPr="00B44918">
        <w:rPr>
          <w:rFonts w:ascii="Times New Roman" w:hAnsi="Times New Roman"/>
          <w:sz w:val="24"/>
          <w:szCs w:val="24"/>
        </w:rPr>
        <w:t>The Court wrote:  “Though Defendants received the benefit of Plaintiffs’ services, they made unreasonably low initial payments for these transports…. Defendants have failed to comply with these IDR [Independent Dispute Resolution] determinations [under the 2021 No Surprise Act]…. In some cases, they made late payments and did not include interest to account for their payment delays….  In other instances, they have made only partial payments or have not made any payments whatsoever. Id.  At the time Plaintiffs’ complaint was filed, several of these</w:t>
      </w:r>
      <w:r w:rsidR="00B44918">
        <w:rPr>
          <w:rFonts w:ascii="Times New Roman" w:hAnsi="Times New Roman"/>
          <w:sz w:val="24"/>
          <w:szCs w:val="24"/>
        </w:rPr>
        <w:t xml:space="preserve"> </w:t>
      </w:r>
      <w:r w:rsidRPr="00B44918">
        <w:rPr>
          <w:rFonts w:ascii="Times New Roman" w:hAnsi="Times New Roman"/>
          <w:sz w:val="24"/>
          <w:szCs w:val="24"/>
        </w:rPr>
        <w:t xml:space="preserve">awards were more than 500 days past due and Defendants had </w:t>
      </w:r>
      <w:proofErr w:type="gramStart"/>
      <w:r w:rsidRPr="00B44918">
        <w:rPr>
          <w:rFonts w:ascii="Times New Roman" w:hAnsi="Times New Roman"/>
          <w:sz w:val="24"/>
          <w:szCs w:val="24"/>
        </w:rPr>
        <w:t>late-paid</w:t>
      </w:r>
      <w:proofErr w:type="gramEnd"/>
      <w:r w:rsidRPr="00B44918">
        <w:rPr>
          <w:rFonts w:ascii="Times New Roman" w:hAnsi="Times New Roman"/>
          <w:sz w:val="24"/>
          <w:szCs w:val="24"/>
        </w:rPr>
        <w:t xml:space="preserve"> or not paid over $20</w:t>
      </w:r>
      <w:r w:rsidR="00B44918">
        <w:rPr>
          <w:rFonts w:ascii="Times New Roman" w:hAnsi="Times New Roman"/>
          <w:sz w:val="24"/>
          <w:szCs w:val="24"/>
        </w:rPr>
        <w:t xml:space="preserve"> </w:t>
      </w:r>
      <w:r w:rsidRPr="00B44918">
        <w:rPr>
          <w:rFonts w:ascii="Times New Roman" w:hAnsi="Times New Roman"/>
          <w:sz w:val="24"/>
          <w:szCs w:val="24"/>
        </w:rPr>
        <w:t xml:space="preserve">million in IDR awards. *** Defendants’ alleged failure to timely pay these awards is sufficiently frequent to constitute a general business practice. Plaintiffs have thus plausibly alleged that Defendants engaged in ‘unfair methods of competition and unfair and deceptive acts or practices in the business of insurance’ in violation of CUIPA [Connecticut Unfair Trade Practices Act] and so have stated a plausible CUTPA claim. See Conn. Gen. Stat. § 38a-816(6)(F).”  </w:t>
      </w:r>
      <w:hyperlink r:id="rId2858" w:history="1">
        <w:r w:rsidRPr="00B44918">
          <w:rPr>
            <w:rStyle w:val="Hyperlink"/>
            <w:rFonts w:ascii="Times New Roman" w:hAnsi="Times New Roman"/>
            <w:sz w:val="24"/>
            <w:szCs w:val="24"/>
          </w:rPr>
          <w:t>https://cases.justia.com/federal/district-courts/connecticut/ctdce/3:2024cv00680/159059/264/0.pdf?ts=1747297635</w:t>
        </w:r>
      </w:hyperlink>
      <w:r w:rsidRPr="00B44918">
        <w:rPr>
          <w:rFonts w:ascii="Times New Roman" w:hAnsi="Times New Roman"/>
          <w:sz w:val="24"/>
          <w:szCs w:val="24"/>
        </w:rPr>
        <w:t xml:space="preserve"> </w:t>
      </w:r>
    </w:p>
    <w:p w14:paraId="4AD570DD" w14:textId="77777777" w:rsidR="00072607" w:rsidRDefault="00072607" w:rsidP="00072607">
      <w:pPr>
        <w:pStyle w:val="NoSpacing"/>
        <w:rPr>
          <w:rFonts w:ascii="Times New Roman" w:hAnsi="Times New Roman"/>
          <w:sz w:val="24"/>
          <w:szCs w:val="24"/>
        </w:rPr>
      </w:pPr>
    </w:p>
    <w:p w14:paraId="1C504A85" w14:textId="77777777" w:rsidR="00C47507" w:rsidRPr="001D5E22" w:rsidRDefault="00C47507" w:rsidP="00C47507">
      <w:pPr>
        <w:pStyle w:val="NoSpacing"/>
        <w:rPr>
          <w:rFonts w:ascii="Times New Roman" w:hAnsi="Times New Roman"/>
          <w:b/>
          <w:bCs/>
          <w:sz w:val="24"/>
          <w:szCs w:val="24"/>
        </w:rPr>
      </w:pPr>
      <w:r w:rsidRPr="001D5E22">
        <w:rPr>
          <w:rFonts w:ascii="Times New Roman" w:hAnsi="Times New Roman"/>
          <w:b/>
          <w:sz w:val="24"/>
          <w:szCs w:val="24"/>
        </w:rPr>
        <w:t>Legal Lesson Learned: This is a significant win for Air Medical industry; hopefully patient insurance companies will “get the message” that they are facing liability for low pay, late pay or no pay’ scheme.</w:t>
      </w:r>
    </w:p>
    <w:p w14:paraId="4F47854A" w14:textId="77777777" w:rsidR="00C47507" w:rsidRPr="006F2B87" w:rsidRDefault="00C47507" w:rsidP="00C47507">
      <w:pPr>
        <w:pStyle w:val="NoSpacing"/>
        <w:rPr>
          <w:b/>
          <w:bCs/>
        </w:rPr>
      </w:pPr>
    </w:p>
    <w:p w14:paraId="7EABB51E" w14:textId="77777777" w:rsidR="00C47507" w:rsidRPr="00B44918" w:rsidRDefault="00C47507" w:rsidP="00072607">
      <w:pPr>
        <w:pStyle w:val="NoSpacing"/>
        <w:rPr>
          <w:rFonts w:ascii="Times New Roman" w:hAnsi="Times New Roman"/>
          <w:sz w:val="24"/>
          <w:szCs w:val="24"/>
        </w:rPr>
      </w:pPr>
    </w:p>
    <w:p w14:paraId="07B319CC" w14:textId="77777777" w:rsidR="00072607" w:rsidRDefault="00072607" w:rsidP="000C4DF5">
      <w:pPr>
        <w:pStyle w:val="NoSpacing"/>
        <w:rPr>
          <w:rFonts w:ascii="Arial Black" w:hAnsi="Arial Black"/>
          <w:sz w:val="24"/>
          <w:szCs w:val="24"/>
        </w:rPr>
      </w:pPr>
    </w:p>
    <w:p w14:paraId="799AE84A" w14:textId="77777777" w:rsidR="00072607" w:rsidRDefault="00072607" w:rsidP="000C4DF5">
      <w:pPr>
        <w:pStyle w:val="NoSpacing"/>
        <w:rPr>
          <w:rFonts w:ascii="Arial Black" w:hAnsi="Arial Black"/>
          <w:sz w:val="24"/>
          <w:szCs w:val="24"/>
        </w:rPr>
      </w:pPr>
    </w:p>
    <w:p w14:paraId="7411B888" w14:textId="77777777" w:rsidR="00072607" w:rsidRDefault="00072607" w:rsidP="000C4DF5">
      <w:pPr>
        <w:pStyle w:val="NoSpacing"/>
        <w:rPr>
          <w:rFonts w:ascii="Arial Black" w:hAnsi="Arial Black"/>
          <w:sz w:val="24"/>
          <w:szCs w:val="24"/>
        </w:rPr>
      </w:pPr>
    </w:p>
    <w:p w14:paraId="39958541" w14:textId="46CE514C" w:rsidR="008A2AE6" w:rsidRDefault="008A2AE6" w:rsidP="000C4DF5">
      <w:pPr>
        <w:pStyle w:val="NoSpacing"/>
        <w:rPr>
          <w:rFonts w:ascii="Arial Black" w:hAnsi="Arial Black"/>
          <w:sz w:val="24"/>
          <w:szCs w:val="24"/>
        </w:rPr>
      </w:pPr>
      <w:r>
        <w:rPr>
          <w:rFonts w:ascii="Arial Black" w:hAnsi="Arial Black"/>
          <w:sz w:val="24"/>
          <w:szCs w:val="24"/>
        </w:rPr>
        <w:t>18-29</w:t>
      </w:r>
    </w:p>
    <w:p w14:paraId="78BD20B8" w14:textId="77777777" w:rsidR="008A2AE6" w:rsidRDefault="008A2AE6" w:rsidP="000C4DF5">
      <w:pPr>
        <w:pStyle w:val="NoSpacing"/>
        <w:rPr>
          <w:rFonts w:ascii="Arial Black" w:hAnsi="Arial Black"/>
          <w:sz w:val="24"/>
          <w:szCs w:val="24"/>
        </w:rPr>
      </w:pPr>
    </w:p>
    <w:p w14:paraId="6F21B8A7" w14:textId="6DA565B9" w:rsidR="00727EFE" w:rsidRPr="0072111B" w:rsidRDefault="00727EFE" w:rsidP="00C47507">
      <w:pPr>
        <w:pStyle w:val="NoSpacing"/>
        <w:rPr>
          <w:rFonts w:ascii="Arial Black" w:hAnsi="Arial Black"/>
          <w:b/>
          <w:sz w:val="28"/>
          <w:szCs w:val="28"/>
        </w:rPr>
      </w:pPr>
      <w:r>
        <w:rPr>
          <w:rFonts w:ascii="Arial Black" w:hAnsi="Arial Black"/>
          <w:b/>
          <w:sz w:val="28"/>
          <w:szCs w:val="28"/>
        </w:rPr>
        <w:t xml:space="preserve">ID: GOOD SAMARITAN LAW -  CAN ARREST </w:t>
      </w:r>
      <w:r w:rsidR="000C567D">
        <w:rPr>
          <w:rFonts w:ascii="Arial Black" w:hAnsi="Arial Black"/>
          <w:b/>
          <w:sz w:val="28"/>
          <w:szCs w:val="28"/>
        </w:rPr>
        <w:t xml:space="preserve">PT / </w:t>
      </w:r>
      <w:r w:rsidR="00C47507">
        <w:rPr>
          <w:rFonts w:ascii="Arial Black" w:hAnsi="Arial Black"/>
          <w:b/>
          <w:sz w:val="28"/>
          <w:szCs w:val="28"/>
        </w:rPr>
        <w:t xml:space="preserve">WANTED </w:t>
      </w:r>
      <w:r>
        <w:rPr>
          <w:rFonts w:ascii="Arial Black" w:hAnsi="Arial Black"/>
          <w:b/>
          <w:sz w:val="28"/>
          <w:szCs w:val="28"/>
        </w:rPr>
        <w:t>WARRANT</w:t>
      </w:r>
    </w:p>
    <w:p w14:paraId="7BB5D8DF" w14:textId="77777777" w:rsidR="00727EFE" w:rsidRDefault="00727EFE" w:rsidP="00727EFE">
      <w:pPr>
        <w:pStyle w:val="NoSpacing"/>
        <w:rPr>
          <w:b/>
        </w:rPr>
      </w:pPr>
    </w:p>
    <w:p w14:paraId="0A4DED1C" w14:textId="77777777" w:rsidR="00727EFE" w:rsidRPr="00004EEC" w:rsidRDefault="00727EFE" w:rsidP="00727EFE">
      <w:pPr>
        <w:pStyle w:val="NoSpacing"/>
        <w:rPr>
          <w:rFonts w:ascii="Times New Roman" w:hAnsi="Times New Roman"/>
          <w:sz w:val="24"/>
          <w:szCs w:val="24"/>
        </w:rPr>
      </w:pPr>
      <w:r w:rsidRPr="00004EEC">
        <w:rPr>
          <w:rFonts w:ascii="Times New Roman" w:hAnsi="Times New Roman"/>
          <w:sz w:val="24"/>
          <w:szCs w:val="24"/>
        </w:rPr>
        <w:t xml:space="preserve">On March 19, 2025, in </w:t>
      </w:r>
      <w:r w:rsidRPr="00004EEC">
        <w:rPr>
          <w:rFonts w:ascii="Times New Roman" w:hAnsi="Times New Roman"/>
          <w:sz w:val="24"/>
          <w:szCs w:val="24"/>
          <w:u w:val="single"/>
        </w:rPr>
        <w:t xml:space="preserve">State of Idaho v. </w:t>
      </w:r>
      <w:proofErr w:type="spellStart"/>
      <w:r w:rsidRPr="00004EEC">
        <w:rPr>
          <w:rFonts w:ascii="Times New Roman" w:hAnsi="Times New Roman"/>
          <w:sz w:val="24"/>
          <w:szCs w:val="24"/>
          <w:u w:val="single"/>
        </w:rPr>
        <w:t>Ismiel</w:t>
      </w:r>
      <w:proofErr w:type="spellEnd"/>
      <w:r w:rsidRPr="00004EEC">
        <w:rPr>
          <w:rFonts w:ascii="Times New Roman" w:hAnsi="Times New Roman"/>
          <w:sz w:val="24"/>
          <w:szCs w:val="24"/>
          <w:u w:val="single"/>
        </w:rPr>
        <w:t xml:space="preserve"> Emannuel </w:t>
      </w:r>
      <w:proofErr w:type="spellStart"/>
      <w:r w:rsidRPr="00004EEC">
        <w:rPr>
          <w:rFonts w:ascii="Times New Roman" w:hAnsi="Times New Roman"/>
          <w:sz w:val="24"/>
          <w:szCs w:val="24"/>
          <w:u w:val="single"/>
        </w:rPr>
        <w:t>Meeds</w:t>
      </w:r>
      <w:proofErr w:type="spellEnd"/>
      <w:r w:rsidRPr="00004EEC">
        <w:rPr>
          <w:rFonts w:ascii="Times New Roman" w:hAnsi="Times New Roman"/>
          <w:sz w:val="24"/>
          <w:szCs w:val="24"/>
        </w:rPr>
        <w:t xml:space="preserve">, the Court of Appeals of Idaho held (3 to 0; unpublished decision) that the states’ Good Samaritan law does not protect a person helping an overdose patient from arrest for an outstanding warrant, and the statute also doesn’t protect from being charged with bringing drugs into jail after their arrest.  The trial court </w:t>
      </w:r>
      <w:proofErr w:type="gramStart"/>
      <w:r w:rsidRPr="00004EEC">
        <w:rPr>
          <w:rFonts w:ascii="Times New Roman" w:hAnsi="Times New Roman"/>
          <w:sz w:val="24"/>
          <w:szCs w:val="24"/>
        </w:rPr>
        <w:t>judge did drop</w:t>
      </w:r>
      <w:proofErr w:type="gramEnd"/>
      <w:r w:rsidRPr="00004EEC">
        <w:rPr>
          <w:rFonts w:ascii="Times New Roman" w:hAnsi="Times New Roman"/>
          <w:sz w:val="24"/>
          <w:szCs w:val="24"/>
        </w:rPr>
        <w:t xml:space="preserve"> charges of possession  since this is covered by </w:t>
      </w:r>
      <w:proofErr w:type="gramStart"/>
      <w:r w:rsidRPr="00004EEC">
        <w:rPr>
          <w:rFonts w:ascii="Times New Roman" w:hAnsi="Times New Roman"/>
          <w:sz w:val="24"/>
          <w:szCs w:val="24"/>
        </w:rPr>
        <w:t>the Good</w:t>
      </w:r>
      <w:proofErr w:type="gramEnd"/>
      <w:r w:rsidRPr="00004EEC">
        <w:rPr>
          <w:rFonts w:ascii="Times New Roman" w:hAnsi="Times New Roman"/>
          <w:sz w:val="24"/>
          <w:szCs w:val="24"/>
        </w:rPr>
        <w:t xml:space="preserve"> Samaritan law.  “During the booking process, an intake search was conducted and officers found methamphetamine and marijuana concealed in his anal cavity. </w:t>
      </w:r>
      <w:proofErr w:type="spellStart"/>
      <w:r w:rsidRPr="00004EEC">
        <w:rPr>
          <w:rFonts w:ascii="Times New Roman" w:hAnsi="Times New Roman"/>
          <w:sz w:val="24"/>
          <w:szCs w:val="24"/>
        </w:rPr>
        <w:t>Meeds</w:t>
      </w:r>
      <w:proofErr w:type="spellEnd"/>
      <w:r w:rsidRPr="00004EEC">
        <w:rPr>
          <w:rFonts w:ascii="Times New Roman" w:hAnsi="Times New Roman"/>
          <w:sz w:val="24"/>
          <w:szCs w:val="24"/>
        </w:rPr>
        <w:t xml:space="preserve"> was charged with possession, introduction, or removal of certain articles into or from a correctional facility…. Whether prosecution for additional crimes or arrests on outstanding warrants should be prohibited by I.C. § 37-2739C is a matter for the legislature, not this Court.” </w:t>
      </w:r>
      <w:hyperlink r:id="rId2859" w:history="1">
        <w:r w:rsidRPr="00004EEC">
          <w:rPr>
            <w:rStyle w:val="Hyperlink"/>
            <w:rFonts w:ascii="Times New Roman" w:hAnsi="Times New Roman"/>
            <w:sz w:val="24"/>
            <w:szCs w:val="24"/>
          </w:rPr>
          <w:t>https://isc.idaho.gov/opinions/51312.pdf</w:t>
        </w:r>
      </w:hyperlink>
    </w:p>
    <w:p w14:paraId="10C4F618" w14:textId="77777777" w:rsidR="00727EFE" w:rsidRPr="00004EEC" w:rsidRDefault="00727EFE" w:rsidP="000C4DF5">
      <w:pPr>
        <w:pStyle w:val="NoSpacing"/>
        <w:rPr>
          <w:rFonts w:ascii="Times New Roman" w:hAnsi="Times New Roman"/>
          <w:sz w:val="24"/>
          <w:szCs w:val="24"/>
        </w:rPr>
      </w:pPr>
    </w:p>
    <w:p w14:paraId="6D2E862E" w14:textId="77777777" w:rsidR="00004EEC" w:rsidRPr="00004EEC" w:rsidRDefault="00004EEC" w:rsidP="00004EEC">
      <w:pPr>
        <w:pStyle w:val="NoSpacing"/>
        <w:rPr>
          <w:rFonts w:ascii="Times New Roman" w:hAnsi="Times New Roman"/>
          <w:b/>
          <w:bCs/>
          <w:sz w:val="24"/>
          <w:szCs w:val="24"/>
        </w:rPr>
      </w:pPr>
      <w:r w:rsidRPr="00004EEC">
        <w:rPr>
          <w:rFonts w:ascii="Times New Roman" w:hAnsi="Times New Roman"/>
          <w:b/>
          <w:sz w:val="24"/>
          <w:szCs w:val="24"/>
        </w:rPr>
        <w:t>Legal Lesson Learned: Court enforces statute that is “plain and unambiguous.”</w:t>
      </w:r>
    </w:p>
    <w:p w14:paraId="2CDE7F49" w14:textId="77777777" w:rsidR="00004EEC" w:rsidRPr="00004EEC" w:rsidRDefault="00004EEC" w:rsidP="00004EEC">
      <w:pPr>
        <w:pStyle w:val="NoSpacing"/>
        <w:ind w:left="720"/>
        <w:rPr>
          <w:rFonts w:ascii="Times New Roman" w:hAnsi="Times New Roman"/>
          <w:sz w:val="24"/>
          <w:szCs w:val="24"/>
        </w:rPr>
      </w:pPr>
    </w:p>
    <w:p w14:paraId="2948E965" w14:textId="77777777" w:rsidR="00004EEC" w:rsidRPr="00004EEC" w:rsidRDefault="00004EEC" w:rsidP="000C4DF5">
      <w:pPr>
        <w:pStyle w:val="NoSpacing"/>
        <w:rPr>
          <w:rFonts w:ascii="Times New Roman" w:hAnsi="Times New Roman"/>
          <w:sz w:val="24"/>
          <w:szCs w:val="24"/>
        </w:rPr>
      </w:pPr>
    </w:p>
    <w:p w14:paraId="21E33559" w14:textId="77777777" w:rsidR="008A2AE6" w:rsidRDefault="008A2AE6" w:rsidP="000C4DF5">
      <w:pPr>
        <w:pStyle w:val="NoSpacing"/>
        <w:rPr>
          <w:rFonts w:ascii="Arial Black" w:hAnsi="Arial Black"/>
          <w:sz w:val="24"/>
          <w:szCs w:val="24"/>
        </w:rPr>
      </w:pPr>
    </w:p>
    <w:p w14:paraId="39091001" w14:textId="77777777" w:rsidR="008A2AE6" w:rsidRDefault="008A2AE6" w:rsidP="000C4DF5">
      <w:pPr>
        <w:pStyle w:val="NoSpacing"/>
        <w:rPr>
          <w:rFonts w:ascii="Arial Black" w:hAnsi="Arial Black"/>
          <w:sz w:val="24"/>
          <w:szCs w:val="24"/>
        </w:rPr>
      </w:pPr>
    </w:p>
    <w:p w14:paraId="5B09835D" w14:textId="2482627D" w:rsidR="00FD3A33" w:rsidRPr="00C23DCB" w:rsidRDefault="00C568F9" w:rsidP="000C4DF5">
      <w:pPr>
        <w:pStyle w:val="NoSpacing"/>
        <w:rPr>
          <w:rFonts w:ascii="Arial Black" w:hAnsi="Arial Black"/>
          <w:sz w:val="28"/>
          <w:szCs w:val="28"/>
        </w:rPr>
      </w:pPr>
      <w:r w:rsidRPr="00C23DCB">
        <w:rPr>
          <w:rFonts w:ascii="Arial Black" w:hAnsi="Arial Black"/>
          <w:sz w:val="28"/>
          <w:szCs w:val="28"/>
        </w:rPr>
        <w:t>18-28</w:t>
      </w:r>
    </w:p>
    <w:p w14:paraId="0694B8D7" w14:textId="77777777" w:rsidR="00C568F9" w:rsidRDefault="00C568F9" w:rsidP="000C4DF5">
      <w:pPr>
        <w:pStyle w:val="NoSpacing"/>
        <w:rPr>
          <w:rFonts w:ascii="Arial Black" w:hAnsi="Arial Black"/>
          <w:sz w:val="24"/>
          <w:szCs w:val="24"/>
        </w:rPr>
      </w:pPr>
    </w:p>
    <w:p w14:paraId="78B5D844" w14:textId="77777777" w:rsidR="00B23BDB" w:rsidRPr="000B7F2C" w:rsidRDefault="00B23BDB" w:rsidP="00B23BDB">
      <w:pPr>
        <w:rPr>
          <w:rFonts w:ascii="Arial Black" w:hAnsi="Arial Black"/>
          <w:sz w:val="28"/>
          <w:szCs w:val="28"/>
        </w:rPr>
      </w:pPr>
      <w:r w:rsidRPr="000B7F2C">
        <w:rPr>
          <w:rFonts w:ascii="Arial Black" w:hAnsi="Arial Black"/>
          <w:sz w:val="28"/>
          <w:szCs w:val="28"/>
        </w:rPr>
        <w:t xml:space="preserve">MD: HUD “GOOD NEIGHBOR” HOMES </w:t>
      </w:r>
      <w:r>
        <w:rPr>
          <w:rFonts w:ascii="Arial Black" w:hAnsi="Arial Black"/>
          <w:sz w:val="28"/>
          <w:szCs w:val="28"/>
        </w:rPr>
        <w:t xml:space="preserve">– POLICE / FIRE </w:t>
      </w:r>
    </w:p>
    <w:p w14:paraId="73369532" w14:textId="77777777" w:rsidR="00B23BDB" w:rsidRPr="00B23BDB" w:rsidRDefault="00B23BDB" w:rsidP="00B23BDB">
      <w:pPr>
        <w:rPr>
          <w:rFonts w:ascii="Times New Roman" w:hAnsi="Times New Roman"/>
          <w:sz w:val="24"/>
          <w:szCs w:val="24"/>
        </w:rPr>
      </w:pPr>
      <w:r w:rsidRPr="00B23BDB">
        <w:rPr>
          <w:rFonts w:ascii="Times New Roman" w:hAnsi="Times New Roman"/>
          <w:sz w:val="24"/>
          <w:szCs w:val="24"/>
        </w:rPr>
        <w:t xml:space="preserve">On Feb. 24, 2025, in </w:t>
      </w:r>
      <w:r w:rsidRPr="00B23BDB">
        <w:rPr>
          <w:rFonts w:ascii="Times New Roman" w:hAnsi="Times New Roman"/>
          <w:sz w:val="24"/>
          <w:szCs w:val="24"/>
          <w:u w:val="single"/>
        </w:rPr>
        <w:t xml:space="preserve">Robert D. Kaetzel v. The Secretary of Housing </w:t>
      </w:r>
      <w:proofErr w:type="gramStart"/>
      <w:r w:rsidRPr="00B23BDB">
        <w:rPr>
          <w:rFonts w:ascii="Times New Roman" w:hAnsi="Times New Roman"/>
          <w:sz w:val="24"/>
          <w:szCs w:val="24"/>
          <w:u w:val="single"/>
        </w:rPr>
        <w:t>And</w:t>
      </w:r>
      <w:proofErr w:type="gramEnd"/>
      <w:r w:rsidRPr="00B23BDB">
        <w:rPr>
          <w:rFonts w:ascii="Times New Roman" w:hAnsi="Times New Roman"/>
          <w:sz w:val="24"/>
          <w:szCs w:val="24"/>
          <w:u w:val="single"/>
        </w:rPr>
        <w:t xml:space="preserve"> Urban Development</w:t>
      </w:r>
      <w:r w:rsidRPr="00B23BDB">
        <w:rPr>
          <w:rFonts w:ascii="Times New Roman" w:hAnsi="Times New Roman"/>
          <w:sz w:val="24"/>
          <w:szCs w:val="24"/>
        </w:rPr>
        <w:t>, United State District Judge Brendan A. Hurson granted HUD motion to dismiss because the plaintiff real estate agent (pro se; acting without an attorney) does not have standing because he did not include his two firefighter clients in the case.  The two firefighters sought to buy homes with 50% discount from list price under the HUD “Good Neighbor Next Door”</w:t>
      </w:r>
      <w:r w:rsidRPr="00B23BDB">
        <w:rPr>
          <w:rFonts w:ascii="Times New Roman" w:hAnsi="Times New Roman"/>
          <w:b/>
          <w:sz w:val="24"/>
          <w:szCs w:val="24"/>
        </w:rPr>
        <w:t xml:space="preserve"> </w:t>
      </w:r>
      <w:r w:rsidRPr="00B23BDB">
        <w:rPr>
          <w:rFonts w:ascii="Times New Roman" w:hAnsi="Times New Roman"/>
          <w:sz w:val="24"/>
          <w:szCs w:val="24"/>
        </w:rPr>
        <w:t xml:space="preserve">program in </w:t>
      </w:r>
      <w:hyperlink r:id="rId2860" w:history="1">
        <w:r w:rsidRPr="00B23BDB">
          <w:rPr>
            <w:rStyle w:val="Hyperlink"/>
            <w:rFonts w:ascii="Times New Roman" w:hAnsi="Times New Roman"/>
            <w:sz w:val="24"/>
            <w:szCs w:val="24"/>
          </w:rPr>
          <w:t>revitalization areas</w:t>
        </w:r>
      </w:hyperlink>
      <w:r w:rsidRPr="00B23BDB">
        <w:rPr>
          <w:rFonts w:ascii="Times New Roman" w:hAnsi="Times New Roman"/>
          <w:sz w:val="24"/>
          <w:szCs w:val="24"/>
        </w:rPr>
        <w:t xml:space="preserve">.  Firefighter Kendra L. Slydell, a career firefighter with Princes George County fire department was denied HUD reduced price home in Capitol Heights, a town in PG County; firefighter Kenneth Hudson, a career firefighter with  Baltimore City fire department was denied a home in Baltimore City.  The real estate agent alleged HUD determined “that the individual purchaser[s'] regular work locations are not within the same ‘neighborhood or community' as the property, [and] therefore [the purchasers] do not qualify.”   </w:t>
      </w:r>
      <w:hyperlink r:id="rId2861" w:history="1">
        <w:r w:rsidRPr="00B23BDB">
          <w:rPr>
            <w:rStyle w:val="Hyperlink"/>
            <w:rFonts w:ascii="Times New Roman" w:hAnsi="Times New Roman"/>
            <w:sz w:val="24"/>
            <w:szCs w:val="24"/>
          </w:rPr>
          <w:t>https://public.fastcase.com/jaEE2PXzRXmZ99jOLMt1InNcYbqVaI0RKJVNmSUWwC4uBfhrqEaMCXW4t6jftSIgD4%2FHoHLdH48y39slr7kZWrEMnvLTwJnn0bFKh%2B9XZVQ%3D?utm_medium=email&amp;_hsenc=p2ANqtz-9jIRW7ECQxdsfZzinN3lzy-N6WwmOPS0xWaDDWCvHvPAgLyigDSOvaGk0u5IT3PeW4EZ19aOxVZon74RIrJmMQwWSuhw&amp;_hsmi=226712652&amp;utm_content=226712652&amp;utm_source=hs_email</w:t>
        </w:r>
      </w:hyperlink>
      <w:r w:rsidRPr="00B23BDB">
        <w:rPr>
          <w:rFonts w:ascii="Times New Roman" w:hAnsi="Times New Roman"/>
          <w:sz w:val="24"/>
          <w:szCs w:val="24"/>
        </w:rPr>
        <w:t xml:space="preserve"> </w:t>
      </w:r>
    </w:p>
    <w:p w14:paraId="10069FF8" w14:textId="77777777" w:rsidR="00B23BDB" w:rsidRPr="00B23BDB" w:rsidRDefault="00B23BDB" w:rsidP="00B23BDB">
      <w:pPr>
        <w:pStyle w:val="NoSpacing"/>
        <w:rPr>
          <w:rFonts w:ascii="Times New Roman" w:hAnsi="Times New Roman"/>
          <w:sz w:val="24"/>
          <w:szCs w:val="24"/>
        </w:rPr>
      </w:pPr>
      <w:r w:rsidRPr="00B23BDB">
        <w:rPr>
          <w:rFonts w:ascii="Times New Roman" w:hAnsi="Times New Roman"/>
          <w:sz w:val="24"/>
          <w:szCs w:val="24"/>
        </w:rPr>
        <w:t>The Court wrote:</w:t>
      </w:r>
    </w:p>
    <w:p w14:paraId="6933A9DC" w14:textId="77777777" w:rsidR="00B23BDB" w:rsidRPr="00B23BDB" w:rsidRDefault="00B23BDB" w:rsidP="00B23BDB">
      <w:pPr>
        <w:pStyle w:val="NoSpacing"/>
        <w:rPr>
          <w:rFonts w:ascii="Times New Roman" w:hAnsi="Times New Roman"/>
          <w:sz w:val="24"/>
          <w:szCs w:val="24"/>
        </w:rPr>
      </w:pPr>
    </w:p>
    <w:p w14:paraId="7E0842AC"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 xml:space="preserve">“Plaintiff Robert D. Kaetzel …proceeding pro se, </w:t>
      </w:r>
      <w:proofErr w:type="gramStart"/>
      <w:r w:rsidRPr="00B23BDB">
        <w:rPr>
          <w:rFonts w:ascii="Times New Roman" w:hAnsi="Times New Roman"/>
          <w:sz w:val="24"/>
          <w:szCs w:val="24"/>
        </w:rPr>
        <w:t>brought suit against</w:t>
      </w:r>
      <w:proofErr w:type="gramEnd"/>
      <w:r w:rsidRPr="00B23BDB">
        <w:rPr>
          <w:rFonts w:ascii="Times New Roman" w:hAnsi="Times New Roman"/>
          <w:sz w:val="24"/>
          <w:szCs w:val="24"/>
        </w:rPr>
        <w:t xml:space="preserve"> the Secretary of Housing and Urban Development  … challenging HUD's implementation of its Good Neighbor Next Door (“GNND”) Program…. </w:t>
      </w:r>
    </w:p>
    <w:p w14:paraId="1DF2B3F4" w14:textId="77777777" w:rsidR="00B23BDB" w:rsidRPr="00B23BDB" w:rsidRDefault="00B23BDB" w:rsidP="00B23BDB">
      <w:pPr>
        <w:pStyle w:val="NoSpacing"/>
        <w:rPr>
          <w:rFonts w:ascii="Times New Roman" w:hAnsi="Times New Roman"/>
          <w:sz w:val="24"/>
          <w:szCs w:val="24"/>
        </w:rPr>
      </w:pPr>
    </w:p>
    <w:p w14:paraId="02EE47AC" w14:textId="77777777" w:rsidR="00B23BDB" w:rsidRPr="00B23BDB" w:rsidRDefault="00B23BDB" w:rsidP="00B23BDB">
      <w:pPr>
        <w:pStyle w:val="NoSpacing"/>
        <w:ind w:firstLine="720"/>
        <w:rPr>
          <w:rFonts w:ascii="Times New Roman" w:hAnsi="Times New Roman"/>
          <w:sz w:val="24"/>
          <w:szCs w:val="24"/>
        </w:rPr>
      </w:pPr>
      <w:r w:rsidRPr="00B23BDB">
        <w:rPr>
          <w:rFonts w:ascii="Times New Roman" w:hAnsi="Times New Roman"/>
          <w:sz w:val="24"/>
          <w:szCs w:val="24"/>
        </w:rPr>
        <w:t>***</w:t>
      </w:r>
    </w:p>
    <w:p w14:paraId="0A405586" w14:textId="77777777" w:rsidR="00B23BDB" w:rsidRPr="00B23BDB" w:rsidRDefault="00B23BDB" w:rsidP="00B23BDB">
      <w:pPr>
        <w:pStyle w:val="NoSpacing"/>
        <w:rPr>
          <w:rFonts w:ascii="Times New Roman" w:hAnsi="Times New Roman"/>
          <w:sz w:val="24"/>
          <w:szCs w:val="24"/>
        </w:rPr>
      </w:pPr>
    </w:p>
    <w:p w14:paraId="611DA675"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HUD created the GNND Program ‘to improve the quality of life in distressed urban communities ... by encouraging law enforcement officers, teachers, and firefighters/emergency medical technicians to purchase and live in homes that are located in the same communities where they perform their daily responsibilities and duties.’ 24 C.F.R. § 291.500. The Program allows eligible purchasers to ‘purchase a specifically designated HUD-acquired home located in a HUD-designated revitalization area’ ‘[a]t a 50 percent discount from the list price’ and ‘[w]</w:t>
      </w:r>
      <w:proofErr w:type="spellStart"/>
      <w:r w:rsidRPr="00B23BDB">
        <w:rPr>
          <w:rFonts w:ascii="Times New Roman" w:hAnsi="Times New Roman"/>
          <w:sz w:val="24"/>
          <w:szCs w:val="24"/>
        </w:rPr>
        <w:t>ith</w:t>
      </w:r>
      <w:proofErr w:type="spellEnd"/>
      <w:r w:rsidRPr="00B23BDB">
        <w:rPr>
          <w:rFonts w:ascii="Times New Roman" w:hAnsi="Times New Roman"/>
          <w:sz w:val="24"/>
          <w:szCs w:val="24"/>
        </w:rPr>
        <w:t xml:space="preserve"> a downpayment of $100, but only if the [eligible purchaser] finances the home through a Federal Housing Administration (FHA) insured mortgage.’ § 291.510(a)(1)-(2). </w:t>
      </w:r>
    </w:p>
    <w:p w14:paraId="4987D0DA" w14:textId="77777777" w:rsidR="00B23BDB" w:rsidRPr="00B23BDB" w:rsidRDefault="00B23BDB" w:rsidP="00B23BDB">
      <w:pPr>
        <w:pStyle w:val="NoSpacing"/>
        <w:rPr>
          <w:rFonts w:ascii="Times New Roman" w:hAnsi="Times New Roman"/>
          <w:sz w:val="24"/>
          <w:szCs w:val="24"/>
        </w:rPr>
      </w:pPr>
    </w:p>
    <w:p w14:paraId="7A641D7F" w14:textId="77777777" w:rsidR="00B23BDB" w:rsidRPr="00B23BDB" w:rsidRDefault="00B23BDB" w:rsidP="00B23BDB">
      <w:pPr>
        <w:pStyle w:val="NoSpacing"/>
        <w:ind w:firstLine="720"/>
        <w:rPr>
          <w:rFonts w:ascii="Times New Roman" w:hAnsi="Times New Roman"/>
          <w:sz w:val="24"/>
          <w:szCs w:val="24"/>
        </w:rPr>
      </w:pPr>
      <w:r w:rsidRPr="00B23BDB">
        <w:rPr>
          <w:rFonts w:ascii="Times New Roman" w:hAnsi="Times New Roman"/>
          <w:sz w:val="24"/>
          <w:szCs w:val="24"/>
        </w:rPr>
        <w:t>***</w:t>
      </w:r>
    </w:p>
    <w:p w14:paraId="6DCC9D53" w14:textId="77777777" w:rsidR="00B23BDB" w:rsidRPr="00B23BDB" w:rsidRDefault="00B23BDB" w:rsidP="00B23BDB">
      <w:pPr>
        <w:pStyle w:val="NoSpacing"/>
        <w:rPr>
          <w:rFonts w:ascii="Times New Roman" w:hAnsi="Times New Roman"/>
          <w:sz w:val="24"/>
          <w:szCs w:val="24"/>
        </w:rPr>
      </w:pPr>
    </w:p>
    <w:p w14:paraId="5DBC73A9"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 xml:space="preserve">Here, </w:t>
      </w:r>
      <w:proofErr w:type="gramStart"/>
      <w:r w:rsidRPr="00B23BDB">
        <w:rPr>
          <w:rFonts w:ascii="Times New Roman" w:hAnsi="Times New Roman"/>
          <w:sz w:val="24"/>
          <w:szCs w:val="24"/>
        </w:rPr>
        <w:t>Plaintiffs</w:t>
      </w:r>
      <w:proofErr w:type="gramEnd"/>
      <w:r w:rsidRPr="00B23BDB">
        <w:rPr>
          <w:rFonts w:ascii="Times New Roman" w:hAnsi="Times New Roman"/>
          <w:sz w:val="24"/>
          <w:szCs w:val="24"/>
        </w:rPr>
        <w:t xml:space="preserve"> claims are entirely derivative of those of his clients, who are not parties </w:t>
      </w:r>
      <w:proofErr w:type="gramStart"/>
      <w:r w:rsidRPr="00B23BDB">
        <w:rPr>
          <w:rFonts w:ascii="Times New Roman" w:hAnsi="Times New Roman"/>
          <w:sz w:val="24"/>
          <w:szCs w:val="24"/>
        </w:rPr>
        <w:t>in</w:t>
      </w:r>
      <w:proofErr w:type="gramEnd"/>
      <w:r w:rsidRPr="00B23BDB">
        <w:rPr>
          <w:rFonts w:ascii="Times New Roman" w:hAnsi="Times New Roman"/>
          <w:sz w:val="24"/>
          <w:szCs w:val="24"/>
        </w:rPr>
        <w:t xml:space="preserve"> this suit. Even assuming Plaintiff has met the first two criteria, there is nothing before the Court to suggest that Plaintiffs clients are unable to bring suit on their own behalf challenging HUD's application of its own GNND Program regulations. Plaintiff therefore cannot establish third-party standing.”</w:t>
      </w:r>
    </w:p>
    <w:p w14:paraId="21ADF3A3" w14:textId="77777777" w:rsidR="00B23BDB" w:rsidRPr="00B23BDB" w:rsidRDefault="00B23BDB" w:rsidP="00B23BDB">
      <w:pPr>
        <w:pStyle w:val="NoSpacing"/>
        <w:rPr>
          <w:rFonts w:ascii="Times New Roman" w:hAnsi="Times New Roman"/>
          <w:sz w:val="24"/>
          <w:szCs w:val="24"/>
        </w:rPr>
      </w:pPr>
    </w:p>
    <w:p w14:paraId="29687481" w14:textId="77777777" w:rsidR="00B23BDB" w:rsidRPr="00B23BDB" w:rsidRDefault="00B23BDB" w:rsidP="00B23BDB">
      <w:pPr>
        <w:pStyle w:val="NoSpacing"/>
        <w:rPr>
          <w:rFonts w:ascii="Times New Roman" w:hAnsi="Times New Roman"/>
          <w:b/>
          <w:bCs/>
          <w:sz w:val="24"/>
          <w:szCs w:val="24"/>
        </w:rPr>
      </w:pPr>
      <w:r w:rsidRPr="00B23BDB">
        <w:rPr>
          <w:rFonts w:ascii="Times New Roman" w:hAnsi="Times New Roman"/>
          <w:b/>
          <w:sz w:val="24"/>
          <w:szCs w:val="24"/>
        </w:rPr>
        <w:t xml:space="preserve">Legal Lesson Learned:  The two firefighters who were denied HUD approval of “Good Neighbor Next Door” purchases may bring a lawsuit. </w:t>
      </w:r>
    </w:p>
    <w:p w14:paraId="274A4CDC" w14:textId="77777777" w:rsidR="00B23BDB" w:rsidRPr="00B23BDB" w:rsidRDefault="00B23BDB" w:rsidP="00B23BDB">
      <w:pPr>
        <w:rPr>
          <w:rFonts w:ascii="Times New Roman" w:hAnsi="Times New Roman"/>
          <w:b/>
          <w:bCs/>
          <w:sz w:val="24"/>
          <w:szCs w:val="24"/>
        </w:rPr>
      </w:pPr>
    </w:p>
    <w:p w14:paraId="68735F26" w14:textId="77777777" w:rsidR="00B23BDB" w:rsidRPr="00B23BDB" w:rsidRDefault="00B23BDB" w:rsidP="00B23BDB">
      <w:pPr>
        <w:ind w:left="720"/>
        <w:rPr>
          <w:rFonts w:ascii="Times New Roman" w:hAnsi="Times New Roman"/>
          <w:sz w:val="24"/>
          <w:szCs w:val="24"/>
        </w:rPr>
      </w:pPr>
      <w:r w:rsidRPr="00B23BDB">
        <w:rPr>
          <w:rFonts w:ascii="Times New Roman" w:hAnsi="Times New Roman"/>
          <w:sz w:val="24"/>
          <w:szCs w:val="24"/>
        </w:rPr>
        <w:t xml:space="preserve">Note: See HUD Good Neighbor Next Door program: </w:t>
      </w:r>
      <w:hyperlink r:id="rId2862" w:history="1">
        <w:r w:rsidRPr="00B23BDB">
          <w:rPr>
            <w:rStyle w:val="Hyperlink"/>
            <w:rFonts w:ascii="Times New Roman" w:hAnsi="Times New Roman"/>
            <w:sz w:val="24"/>
            <w:szCs w:val="24"/>
          </w:rPr>
          <w:t>https://www.hud.gov/program_offices/housing/sfh/reo/goodn/gnndabot</w:t>
        </w:r>
      </w:hyperlink>
      <w:r w:rsidRPr="00B23BDB">
        <w:rPr>
          <w:rFonts w:ascii="Times New Roman" w:hAnsi="Times New Roman"/>
          <w:sz w:val="24"/>
          <w:szCs w:val="24"/>
        </w:rPr>
        <w:t xml:space="preserve"> </w:t>
      </w:r>
    </w:p>
    <w:p w14:paraId="2D161CBB" w14:textId="77777777" w:rsidR="00B23BDB" w:rsidRPr="00B23BDB" w:rsidRDefault="00B23BDB" w:rsidP="00B23BDB">
      <w:pPr>
        <w:pStyle w:val="NoSpacing"/>
        <w:ind w:firstLine="720"/>
        <w:rPr>
          <w:rFonts w:ascii="Times New Roman" w:hAnsi="Times New Roman"/>
          <w:sz w:val="24"/>
          <w:szCs w:val="24"/>
        </w:rPr>
      </w:pPr>
      <w:r w:rsidRPr="00B23BDB">
        <w:rPr>
          <w:rFonts w:ascii="Times New Roman" w:hAnsi="Times New Roman"/>
          <w:sz w:val="24"/>
          <w:szCs w:val="24"/>
        </w:rPr>
        <w:t xml:space="preserve">See Regulation: </w:t>
      </w:r>
    </w:p>
    <w:p w14:paraId="4459094D" w14:textId="77777777" w:rsidR="00B23BDB" w:rsidRPr="00B23BDB" w:rsidRDefault="00B23BDB" w:rsidP="00B23BDB">
      <w:pPr>
        <w:pStyle w:val="NoSpacing"/>
        <w:rPr>
          <w:rFonts w:ascii="Times New Roman" w:hAnsi="Times New Roman"/>
          <w:sz w:val="24"/>
          <w:szCs w:val="24"/>
        </w:rPr>
      </w:pPr>
      <w:r w:rsidRPr="00B23BDB">
        <w:rPr>
          <w:rFonts w:ascii="Times New Roman" w:hAnsi="Times New Roman"/>
          <w:sz w:val="24"/>
          <w:szCs w:val="24"/>
        </w:rPr>
        <w:t>      </w:t>
      </w:r>
    </w:p>
    <w:p w14:paraId="26C6A0DF"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 xml:space="preserve">“§ 291.530 Eligible firefighter/emergency medical technicians. A person qualifies as a firefighter/emergency medical technician for the purposes of the GNND Sales Program if the person is: </w:t>
      </w:r>
    </w:p>
    <w:p w14:paraId="2D1652F2"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 xml:space="preserve">(a) Employed full-time as a firefighter or emergency medical technician by a fire department or emergency medical services responder unit of the Federal Government, a </w:t>
      </w:r>
      <w:hyperlink r:id="rId2863" w:history="1">
        <w:r w:rsidRPr="00B23BDB">
          <w:rPr>
            <w:rStyle w:val="Hyperlink"/>
            <w:rFonts w:ascii="Times New Roman" w:hAnsi="Times New Roman"/>
            <w:sz w:val="24"/>
            <w:szCs w:val="24"/>
          </w:rPr>
          <w:t>State</w:t>
        </w:r>
      </w:hyperlink>
      <w:r w:rsidRPr="00B23BDB">
        <w:rPr>
          <w:rFonts w:ascii="Times New Roman" w:hAnsi="Times New Roman"/>
          <w:sz w:val="24"/>
          <w:szCs w:val="24"/>
        </w:rPr>
        <w:t xml:space="preserve">, </w:t>
      </w:r>
      <w:hyperlink r:id="rId2864" w:history="1">
        <w:r w:rsidRPr="00B23BDB">
          <w:rPr>
            <w:rStyle w:val="Hyperlink"/>
            <w:rFonts w:ascii="Times New Roman" w:hAnsi="Times New Roman"/>
            <w:sz w:val="24"/>
            <w:szCs w:val="24"/>
          </w:rPr>
          <w:t>unit of general local government</w:t>
        </w:r>
      </w:hyperlink>
      <w:r w:rsidRPr="00B23BDB">
        <w:rPr>
          <w:rFonts w:ascii="Times New Roman" w:hAnsi="Times New Roman"/>
          <w:sz w:val="24"/>
          <w:szCs w:val="24"/>
        </w:rPr>
        <w:t xml:space="preserve">, or an Indian tribal government; and </w:t>
      </w:r>
    </w:p>
    <w:p w14:paraId="4C78CFC7" w14:textId="77777777" w:rsidR="00B23BDB" w:rsidRPr="00B23BDB" w:rsidRDefault="00B23BDB" w:rsidP="00B23BDB">
      <w:pPr>
        <w:pStyle w:val="NoSpacing"/>
        <w:ind w:left="720"/>
        <w:rPr>
          <w:rFonts w:ascii="Times New Roman" w:hAnsi="Times New Roman"/>
          <w:sz w:val="24"/>
          <w:szCs w:val="24"/>
        </w:rPr>
      </w:pPr>
      <w:r w:rsidRPr="00B23BDB">
        <w:rPr>
          <w:rFonts w:ascii="Times New Roman" w:hAnsi="Times New Roman"/>
          <w:sz w:val="24"/>
          <w:szCs w:val="24"/>
        </w:rPr>
        <w:t xml:space="preserve">(b) The full-time employment in </w:t>
      </w:r>
      <w:hyperlink r:id="rId2865" w:anchor="a" w:history="1">
        <w:r w:rsidRPr="00B23BDB">
          <w:rPr>
            <w:rStyle w:val="Hyperlink"/>
            <w:rFonts w:ascii="Times New Roman" w:hAnsi="Times New Roman"/>
            <w:sz w:val="24"/>
            <w:szCs w:val="24"/>
          </w:rPr>
          <w:t>paragraph (a)</w:t>
        </w:r>
      </w:hyperlink>
      <w:r w:rsidRPr="00B23BDB">
        <w:rPr>
          <w:rFonts w:ascii="Times New Roman" w:hAnsi="Times New Roman"/>
          <w:sz w:val="24"/>
          <w:szCs w:val="24"/>
        </w:rPr>
        <w:t xml:space="preserve"> of this section must, in the normal course of business, directly serve the </w:t>
      </w:r>
      <w:hyperlink r:id="rId2866" w:history="1">
        <w:r w:rsidRPr="00B23BDB">
          <w:rPr>
            <w:rStyle w:val="Hyperlink"/>
            <w:rFonts w:ascii="Times New Roman" w:hAnsi="Times New Roman"/>
            <w:sz w:val="24"/>
            <w:szCs w:val="24"/>
          </w:rPr>
          <w:t>locality</w:t>
        </w:r>
      </w:hyperlink>
      <w:r w:rsidRPr="00B23BDB">
        <w:rPr>
          <w:rFonts w:ascii="Times New Roman" w:hAnsi="Times New Roman"/>
          <w:sz w:val="24"/>
          <w:szCs w:val="24"/>
        </w:rPr>
        <w:t xml:space="preserve"> where the home is located. </w:t>
      </w:r>
    </w:p>
    <w:p w14:paraId="63606365" w14:textId="51C7D22B" w:rsidR="00C568F9" w:rsidRPr="00B23BDB" w:rsidRDefault="00B23BDB" w:rsidP="00B23BDB">
      <w:pPr>
        <w:pStyle w:val="NoSpacing"/>
        <w:ind w:firstLine="720"/>
        <w:rPr>
          <w:rFonts w:ascii="Times New Roman" w:hAnsi="Times New Roman"/>
          <w:sz w:val="24"/>
          <w:szCs w:val="24"/>
        </w:rPr>
      </w:pPr>
      <w:r w:rsidRPr="00B23BDB">
        <w:rPr>
          <w:rFonts w:ascii="Times New Roman" w:hAnsi="Times New Roman"/>
          <w:sz w:val="24"/>
          <w:szCs w:val="24"/>
        </w:rPr>
        <w:t>[</w:t>
      </w:r>
      <w:hyperlink r:id="rId2867" w:history="1">
        <w:r w:rsidRPr="00B23BDB">
          <w:rPr>
            <w:rStyle w:val="Hyperlink"/>
            <w:rFonts w:ascii="Times New Roman" w:hAnsi="Times New Roman"/>
            <w:sz w:val="24"/>
            <w:szCs w:val="24"/>
          </w:rPr>
          <w:t>81 FR 53003</w:t>
        </w:r>
      </w:hyperlink>
      <w:r w:rsidRPr="00B23BDB">
        <w:rPr>
          <w:rFonts w:ascii="Times New Roman" w:hAnsi="Times New Roman"/>
          <w:sz w:val="24"/>
          <w:szCs w:val="24"/>
        </w:rPr>
        <w:t xml:space="preserve">, Aug. 11, 2016] </w:t>
      </w:r>
      <w:hyperlink r:id="rId2868" w:history="1">
        <w:r w:rsidRPr="00B23BDB">
          <w:rPr>
            <w:rStyle w:val="Hyperlink"/>
            <w:rFonts w:ascii="Times New Roman" w:hAnsi="Times New Roman"/>
            <w:sz w:val="24"/>
            <w:szCs w:val="24"/>
          </w:rPr>
          <w:t>https://www.law.cornell.edu/cfr/text/24/291.530</w:t>
        </w:r>
      </w:hyperlink>
    </w:p>
    <w:p w14:paraId="2B277B2C" w14:textId="77777777" w:rsidR="00C568F9" w:rsidRPr="00B23BDB" w:rsidRDefault="00C568F9" w:rsidP="000C4DF5">
      <w:pPr>
        <w:pStyle w:val="NoSpacing"/>
        <w:rPr>
          <w:rFonts w:ascii="Times New Roman" w:hAnsi="Times New Roman"/>
          <w:sz w:val="24"/>
          <w:szCs w:val="24"/>
        </w:rPr>
      </w:pPr>
    </w:p>
    <w:p w14:paraId="6AB413C5" w14:textId="77777777" w:rsidR="00B23BDB" w:rsidRDefault="00B23BDB" w:rsidP="000C4DF5">
      <w:pPr>
        <w:pStyle w:val="NoSpacing"/>
        <w:rPr>
          <w:rFonts w:ascii="Arial Black" w:hAnsi="Arial Black"/>
          <w:sz w:val="28"/>
          <w:szCs w:val="28"/>
        </w:rPr>
      </w:pPr>
    </w:p>
    <w:p w14:paraId="5941033D" w14:textId="7A6AB524" w:rsidR="002100FE" w:rsidRPr="00B23BDB" w:rsidRDefault="002100FE" w:rsidP="000C4DF5">
      <w:pPr>
        <w:pStyle w:val="NoSpacing"/>
        <w:rPr>
          <w:rFonts w:ascii="Arial Black" w:hAnsi="Arial Black"/>
          <w:sz w:val="28"/>
          <w:szCs w:val="28"/>
        </w:rPr>
      </w:pPr>
      <w:r w:rsidRPr="00B23BDB">
        <w:rPr>
          <w:rFonts w:ascii="Arial Black" w:hAnsi="Arial Black"/>
          <w:sz w:val="28"/>
          <w:szCs w:val="28"/>
        </w:rPr>
        <w:t>18-27</w:t>
      </w:r>
    </w:p>
    <w:p w14:paraId="59610DE8" w14:textId="77777777" w:rsidR="002100FE" w:rsidRDefault="002100FE" w:rsidP="000C4DF5">
      <w:pPr>
        <w:pStyle w:val="NoSpacing"/>
        <w:rPr>
          <w:rFonts w:ascii="Arial Black" w:hAnsi="Arial Black"/>
          <w:sz w:val="24"/>
          <w:szCs w:val="24"/>
        </w:rPr>
      </w:pPr>
    </w:p>
    <w:p w14:paraId="0E908DF7" w14:textId="2B15EBC0" w:rsidR="002100FE" w:rsidRPr="00EA5F06" w:rsidRDefault="002100FE" w:rsidP="002100FE">
      <w:pPr>
        <w:pStyle w:val="NoSpacing"/>
        <w:rPr>
          <w:rFonts w:ascii="Arial Black" w:hAnsi="Arial Black"/>
          <w:bCs/>
          <w:sz w:val="28"/>
          <w:szCs w:val="28"/>
        </w:rPr>
      </w:pPr>
      <w:r>
        <w:rPr>
          <w:rFonts w:ascii="Arial Black" w:hAnsi="Arial Black"/>
          <w:sz w:val="28"/>
          <w:szCs w:val="28"/>
        </w:rPr>
        <w:t>NM: FOREST FIRE ACT</w:t>
      </w:r>
      <w:r>
        <w:rPr>
          <w:rFonts w:ascii="Arial Black" w:hAnsi="Arial Black"/>
          <w:bCs/>
          <w:sz w:val="28"/>
          <w:szCs w:val="28"/>
        </w:rPr>
        <w:t xml:space="preserve"> </w:t>
      </w:r>
      <w:r>
        <w:rPr>
          <w:rFonts w:ascii="Arial Black" w:hAnsi="Arial Black"/>
          <w:sz w:val="28"/>
          <w:szCs w:val="28"/>
        </w:rPr>
        <w:t>– PROP. &amp; EMOTIONAL D</w:t>
      </w:r>
      <w:r>
        <w:rPr>
          <w:rFonts w:ascii="Arial Black" w:hAnsi="Arial Black"/>
          <w:bCs/>
          <w:sz w:val="28"/>
          <w:szCs w:val="28"/>
        </w:rPr>
        <w:t>AM</w:t>
      </w:r>
      <w:r w:rsidR="00861268">
        <w:rPr>
          <w:rFonts w:ascii="Arial Black" w:hAnsi="Arial Black"/>
          <w:bCs/>
          <w:sz w:val="28"/>
          <w:szCs w:val="28"/>
        </w:rPr>
        <w:t>AGES</w:t>
      </w:r>
      <w:r>
        <w:rPr>
          <w:rFonts w:ascii="Arial Black" w:hAnsi="Arial Black"/>
          <w:sz w:val="28"/>
          <w:szCs w:val="28"/>
        </w:rPr>
        <w:t xml:space="preserve"> </w:t>
      </w:r>
    </w:p>
    <w:p w14:paraId="5AA304A9" w14:textId="77777777" w:rsidR="002100FE" w:rsidRDefault="002100FE" w:rsidP="002100FE">
      <w:pPr>
        <w:pStyle w:val="NoSpacing"/>
        <w:rPr>
          <w:bCs/>
        </w:rPr>
      </w:pPr>
    </w:p>
    <w:p w14:paraId="5D2946C7" w14:textId="77777777" w:rsidR="006D6BE3" w:rsidRPr="006D6BE3" w:rsidRDefault="006D6BE3" w:rsidP="006D6BE3">
      <w:pPr>
        <w:pStyle w:val="NoSpacing"/>
        <w:rPr>
          <w:rFonts w:ascii="Times New Roman" w:hAnsi="Times New Roman"/>
          <w:sz w:val="24"/>
          <w:szCs w:val="24"/>
        </w:rPr>
      </w:pPr>
      <w:r w:rsidRPr="006D6BE3">
        <w:rPr>
          <w:rFonts w:ascii="Times New Roman" w:hAnsi="Times New Roman"/>
          <w:sz w:val="24"/>
          <w:szCs w:val="24"/>
        </w:rPr>
        <w:t xml:space="preserve">On Dec. 17, 2024, in </w:t>
      </w:r>
      <w:r w:rsidRPr="006D6BE3">
        <w:rPr>
          <w:rFonts w:ascii="Times New Roman" w:hAnsi="Times New Roman"/>
          <w:sz w:val="24"/>
          <w:szCs w:val="24"/>
          <w:u w:val="single"/>
        </w:rPr>
        <w:t>Tobin Dolan, et al. v. FEMA</w:t>
      </w:r>
      <w:r w:rsidRPr="006D6BE3">
        <w:rPr>
          <w:rFonts w:ascii="Times New Roman" w:hAnsi="Times New Roman"/>
          <w:sz w:val="24"/>
          <w:szCs w:val="24"/>
        </w:rPr>
        <w:t xml:space="preserve">, United States District Court Judge James O. Browning, U.S. District Court for District of New Mexico, held that when Congress in 2022 passed the Hermit's Peak Fire Assistance Act, and directed FEMA to disburse $3.95 billion in compensation for property owners damaged by the Hermit’s Peak/Calf Canyon Fire, that compensation can include noneconomic damages, including damages for emotional distress.  </w:t>
      </w:r>
      <w:hyperlink r:id="rId2869" w:history="1">
        <w:r w:rsidRPr="006D6BE3">
          <w:rPr>
            <w:rStyle w:val="Hyperlink"/>
            <w:rFonts w:ascii="Times New Roman" w:hAnsi="Times New Roman"/>
            <w:sz w:val="24"/>
            <w:szCs w:val="24"/>
          </w:rPr>
          <w:t>https://casetext.com/case/dolan-v-fed-emergency-mgmt-agency</w:t>
        </w:r>
      </w:hyperlink>
      <w:r w:rsidRPr="006D6BE3">
        <w:rPr>
          <w:rFonts w:ascii="Times New Roman" w:hAnsi="Times New Roman"/>
          <w:sz w:val="24"/>
          <w:szCs w:val="24"/>
        </w:rPr>
        <w:t xml:space="preserve"> </w:t>
      </w:r>
    </w:p>
    <w:p w14:paraId="258AE72E" w14:textId="77777777" w:rsidR="006D6BE3" w:rsidRDefault="006D6BE3" w:rsidP="002100FE">
      <w:pPr>
        <w:pStyle w:val="NoSpacing"/>
        <w:rPr>
          <w:rFonts w:ascii="Times New Roman" w:hAnsi="Times New Roman"/>
          <w:sz w:val="24"/>
          <w:szCs w:val="24"/>
        </w:rPr>
      </w:pPr>
    </w:p>
    <w:p w14:paraId="3AF6AF9F" w14:textId="2BB3A342" w:rsidR="002100FE" w:rsidRPr="00B14B92" w:rsidRDefault="002100FE" w:rsidP="002100FE">
      <w:pPr>
        <w:pStyle w:val="NoSpacing"/>
        <w:rPr>
          <w:rFonts w:ascii="Times New Roman" w:hAnsi="Times New Roman"/>
          <w:bCs/>
          <w:sz w:val="24"/>
          <w:szCs w:val="24"/>
        </w:rPr>
      </w:pPr>
      <w:r w:rsidRPr="00B14B92">
        <w:rPr>
          <w:rFonts w:ascii="Times New Roman" w:hAnsi="Times New Roman"/>
          <w:sz w:val="24"/>
          <w:szCs w:val="24"/>
        </w:rPr>
        <w:t>The Court wrote:</w:t>
      </w:r>
    </w:p>
    <w:p w14:paraId="24BC33A4" w14:textId="77777777" w:rsidR="002100FE" w:rsidRPr="00B14B92" w:rsidRDefault="002100FE" w:rsidP="002100FE">
      <w:pPr>
        <w:pStyle w:val="NoSpacing"/>
        <w:rPr>
          <w:rFonts w:ascii="Times New Roman" w:hAnsi="Times New Roman"/>
          <w:bCs/>
          <w:sz w:val="24"/>
          <w:szCs w:val="24"/>
        </w:rPr>
      </w:pPr>
    </w:p>
    <w:p w14:paraId="145EA946" w14:textId="35E38C62" w:rsidR="002100FE" w:rsidRDefault="002100FE" w:rsidP="00077FB4">
      <w:pPr>
        <w:pStyle w:val="NoSpacing"/>
        <w:ind w:left="720"/>
        <w:rPr>
          <w:rFonts w:ascii="Times New Roman" w:hAnsi="Times New Roman"/>
          <w:sz w:val="24"/>
          <w:szCs w:val="24"/>
        </w:rPr>
      </w:pPr>
      <w:r w:rsidRPr="00B14B92">
        <w:rPr>
          <w:rFonts w:ascii="Times New Roman" w:hAnsi="Times New Roman"/>
          <w:sz w:val="24"/>
          <w:szCs w:val="24"/>
        </w:rPr>
        <w:t>“The Court held a hearing on October 15, 2024…. The primary issues are: (</w:t>
      </w:r>
      <w:proofErr w:type="spellStart"/>
      <w:r w:rsidRPr="00B14B92">
        <w:rPr>
          <w:rFonts w:ascii="Times New Roman" w:hAnsi="Times New Roman"/>
          <w:sz w:val="24"/>
          <w:szCs w:val="24"/>
        </w:rPr>
        <w:t>i</w:t>
      </w:r>
      <w:proofErr w:type="spellEnd"/>
      <w:r w:rsidRPr="00B14B92">
        <w:rPr>
          <w:rFonts w:ascii="Times New Roman" w:hAnsi="Times New Roman"/>
          <w:sz w:val="24"/>
          <w:szCs w:val="24"/>
        </w:rPr>
        <w:t xml:space="preserve">) whether the Hermit's Peak Fire Assistance Act, Pub. L. No. 117-180, § 104, 136 Stat. 2114, 2168 (2022)(‘Hermit's Peak Act’) allows victims of the Hermit's Peak/Calf Canyon Fire to recover noneconomic damages for discomfort, annoyance, inconvenience, and emotional distress under New Mexico State law; and (ii) whether the Defendant Federal Emergency Management Agency's (‘FEMA's’) refusal to compensate noneconomic damages under the Hermit's Peak Act is arbitrary or capricious in violation of the Administrative Procedure Act, </w:t>
      </w:r>
      <w:hyperlink r:id="rId2870" w:history="1">
        <w:r w:rsidRPr="00B14B92">
          <w:rPr>
            <w:rStyle w:val="Hyperlink"/>
            <w:rFonts w:ascii="Times New Roman" w:hAnsi="Times New Roman"/>
            <w:sz w:val="24"/>
            <w:szCs w:val="24"/>
          </w:rPr>
          <w:t>5 U.S.C. § 706(2)(A)</w:t>
        </w:r>
      </w:hyperlink>
      <w:r w:rsidRPr="00B14B92">
        <w:rPr>
          <w:rFonts w:ascii="Times New Roman" w:hAnsi="Times New Roman"/>
          <w:sz w:val="24"/>
          <w:szCs w:val="24"/>
        </w:rPr>
        <w:t>. The Court concludes that: (</w:t>
      </w:r>
      <w:proofErr w:type="spellStart"/>
      <w:r w:rsidRPr="00B14B92">
        <w:rPr>
          <w:rFonts w:ascii="Times New Roman" w:hAnsi="Times New Roman"/>
          <w:sz w:val="24"/>
          <w:szCs w:val="24"/>
        </w:rPr>
        <w:t>i</w:t>
      </w:r>
      <w:proofErr w:type="spellEnd"/>
      <w:r w:rsidRPr="00B14B92">
        <w:rPr>
          <w:rFonts w:ascii="Times New Roman" w:hAnsi="Times New Roman"/>
          <w:sz w:val="24"/>
          <w:szCs w:val="24"/>
        </w:rPr>
        <w:t xml:space="preserve">) the Hermit's Peak Act waives FEMA's sovereign immunity for claims pursuing damages resulting from the Hermit's Peak/Calf Canyon Fire that are available under New Mexico State law; (ii) New Mexico State law allows victims of the Hermit's Peak/Calf Canyon Fire to recover noneconomic damages for nuisance, trespass, and personal injury, such as damages for emotional distress, discomfort, annoyance, and inconvenience; (iii) the correct interpretation of the ‘actual compensatory damages’ recoverable in the Hermit's Peak Act's includes noneconomic damages; and (iv) FEMA's refusal to award noneconomic  c damages under the Hermit's Peak Act is arbitrary and capricious in violation of the APA; and (v) the Court compels FEMA to award noneconomic damages under the APA.” </w:t>
      </w:r>
    </w:p>
    <w:p w14:paraId="4C8C59EF" w14:textId="77777777" w:rsidR="00077FB4" w:rsidRDefault="00077FB4" w:rsidP="00077FB4">
      <w:pPr>
        <w:pStyle w:val="NoSpacing"/>
        <w:ind w:left="720"/>
        <w:rPr>
          <w:rFonts w:ascii="Times New Roman" w:hAnsi="Times New Roman"/>
          <w:sz w:val="24"/>
          <w:szCs w:val="24"/>
        </w:rPr>
      </w:pPr>
    </w:p>
    <w:p w14:paraId="3D543666" w14:textId="77777777" w:rsidR="000A72DE" w:rsidRPr="00FA140F" w:rsidRDefault="000A72DE" w:rsidP="000A72DE">
      <w:pPr>
        <w:pStyle w:val="NoSpacing"/>
        <w:rPr>
          <w:rFonts w:ascii="Times New Roman" w:hAnsi="Times New Roman"/>
          <w:bCs/>
          <w:sz w:val="24"/>
          <w:szCs w:val="24"/>
        </w:rPr>
      </w:pPr>
      <w:r w:rsidRPr="00FA140F">
        <w:rPr>
          <w:rFonts w:ascii="Times New Roman" w:hAnsi="Times New Roman"/>
          <w:sz w:val="24"/>
          <w:szCs w:val="24"/>
        </w:rPr>
        <w:t xml:space="preserve">HOLDING: </w:t>
      </w:r>
    </w:p>
    <w:p w14:paraId="62B7C78F" w14:textId="77777777" w:rsidR="000A72DE" w:rsidRPr="00FA140F" w:rsidRDefault="000A72DE" w:rsidP="000A72DE">
      <w:pPr>
        <w:pStyle w:val="NoSpacing"/>
        <w:ind w:left="720"/>
        <w:rPr>
          <w:rFonts w:ascii="Times New Roman" w:hAnsi="Times New Roman"/>
          <w:bCs/>
          <w:sz w:val="24"/>
          <w:szCs w:val="24"/>
        </w:rPr>
      </w:pPr>
    </w:p>
    <w:p w14:paraId="3F6FB75B" w14:textId="77777777" w:rsidR="000A72DE" w:rsidRPr="00FA140F" w:rsidRDefault="000A72DE" w:rsidP="000A72DE">
      <w:pPr>
        <w:pStyle w:val="NoSpacing"/>
        <w:ind w:left="720"/>
        <w:rPr>
          <w:rFonts w:ascii="Times New Roman" w:hAnsi="Times New Roman"/>
          <w:sz w:val="24"/>
          <w:szCs w:val="24"/>
        </w:rPr>
      </w:pPr>
      <w:r w:rsidRPr="00FA140F">
        <w:rPr>
          <w:rFonts w:ascii="Times New Roman" w:hAnsi="Times New Roman"/>
          <w:sz w:val="24"/>
          <w:szCs w:val="24"/>
        </w:rPr>
        <w:t xml:space="preserve">“In </w:t>
      </w:r>
      <w:r w:rsidRPr="00FA140F">
        <w:rPr>
          <w:rFonts w:ascii="Times New Roman" w:hAnsi="Times New Roman"/>
          <w:i/>
          <w:iCs/>
          <w:sz w:val="24"/>
          <w:szCs w:val="24"/>
        </w:rPr>
        <w:t>Loper Bright</w:t>
      </w:r>
      <w:r w:rsidRPr="00FA140F">
        <w:rPr>
          <w:rFonts w:ascii="Times New Roman" w:hAnsi="Times New Roman"/>
          <w:sz w:val="24"/>
          <w:szCs w:val="24"/>
        </w:rPr>
        <w:t xml:space="preserve">, [June 28, 2024; </w:t>
      </w:r>
      <w:hyperlink r:id="rId2871" w:history="1">
        <w:r w:rsidRPr="00FA140F">
          <w:rPr>
            <w:rStyle w:val="Hyperlink"/>
            <w:rFonts w:ascii="Times New Roman" w:hAnsi="Times New Roman"/>
            <w:sz w:val="24"/>
            <w:szCs w:val="24"/>
          </w:rPr>
          <w:t>https://www.supremecourt.gov/opinions/23pdf/22-451_7m58.pdf</w:t>
        </w:r>
      </w:hyperlink>
      <w:r w:rsidRPr="00FA140F">
        <w:rPr>
          <w:rFonts w:ascii="Times New Roman" w:hAnsi="Times New Roman"/>
          <w:sz w:val="24"/>
          <w:szCs w:val="24"/>
        </w:rPr>
        <w:t xml:space="preserve"> ]  in an opinion that the Honorable John Roberts, Chief Justice of the United States Supreme Court, authors, the Supreme Court reviews the traditional understandings of the judicial function, quoting Alexander Hamilton for the proposition that ‘[t]he Framers . . . envisioned that the final ‘interpretation of the laws' would be ‘the proper and peculiar province of the courts,’ </w:t>
      </w:r>
      <w:r w:rsidRPr="00FA140F">
        <w:rPr>
          <w:rFonts w:ascii="Times New Roman" w:hAnsi="Times New Roman"/>
          <w:i/>
          <w:iCs/>
          <w:sz w:val="24"/>
          <w:szCs w:val="24"/>
        </w:rPr>
        <w:t>Loper Bright</w:t>
      </w:r>
      <w:r w:rsidRPr="00FA140F">
        <w:rPr>
          <w:rFonts w:ascii="Times New Roman" w:hAnsi="Times New Roman"/>
          <w:sz w:val="24"/>
          <w:szCs w:val="24"/>
        </w:rPr>
        <w:t xml:space="preserve">, 144 </w:t>
      </w:r>
      <w:proofErr w:type="spellStart"/>
      <w:r w:rsidRPr="00FA140F">
        <w:rPr>
          <w:rFonts w:ascii="Times New Roman" w:hAnsi="Times New Roman"/>
          <w:sz w:val="24"/>
          <w:szCs w:val="24"/>
        </w:rPr>
        <w:t>S.Ct</w:t>
      </w:r>
      <w:proofErr w:type="spellEnd"/>
      <w:r w:rsidRPr="00FA140F">
        <w:rPr>
          <w:rFonts w:ascii="Times New Roman" w:hAnsi="Times New Roman"/>
          <w:sz w:val="24"/>
          <w:szCs w:val="24"/>
        </w:rPr>
        <w:t xml:space="preserve">. at 2257 (quoting </w:t>
      </w:r>
      <w:r w:rsidRPr="00FA140F">
        <w:rPr>
          <w:rFonts w:ascii="Times New Roman" w:hAnsi="Times New Roman"/>
          <w:i/>
          <w:iCs/>
          <w:sz w:val="24"/>
          <w:szCs w:val="24"/>
        </w:rPr>
        <w:t>The Federalist no. 78</w:t>
      </w:r>
      <w:r w:rsidRPr="00FA140F">
        <w:rPr>
          <w:rFonts w:ascii="Times New Roman" w:hAnsi="Times New Roman"/>
          <w:sz w:val="24"/>
          <w:szCs w:val="24"/>
        </w:rPr>
        <w:t xml:space="preserve"> (Hamilton)), and the Honorable John Marshall, former Chief Justice of the United States, for the oft-cited principle that ‘[</w:t>
      </w:r>
      <w:proofErr w:type="spellStart"/>
      <w:r w:rsidRPr="00FA140F">
        <w:rPr>
          <w:rFonts w:ascii="Times New Roman" w:hAnsi="Times New Roman"/>
          <w:sz w:val="24"/>
          <w:szCs w:val="24"/>
        </w:rPr>
        <w:t>i</w:t>
      </w:r>
      <w:proofErr w:type="spellEnd"/>
      <w:r w:rsidRPr="00FA140F">
        <w:rPr>
          <w:rFonts w:ascii="Times New Roman" w:hAnsi="Times New Roman"/>
          <w:sz w:val="24"/>
          <w:szCs w:val="24"/>
        </w:rPr>
        <w:t xml:space="preserve">]t is emphatically the province and duty of the judicial department to say what the law is,'’ </w:t>
      </w:r>
      <w:r w:rsidRPr="00FA140F">
        <w:rPr>
          <w:rFonts w:ascii="Times New Roman" w:hAnsi="Times New Roman"/>
          <w:i/>
          <w:iCs/>
          <w:sz w:val="24"/>
          <w:szCs w:val="24"/>
        </w:rPr>
        <w:t>Loper Bright</w:t>
      </w:r>
      <w:r w:rsidRPr="00FA140F">
        <w:rPr>
          <w:rFonts w:ascii="Times New Roman" w:hAnsi="Times New Roman"/>
          <w:sz w:val="24"/>
          <w:szCs w:val="24"/>
        </w:rPr>
        <w:t xml:space="preserve">, 144 </w:t>
      </w:r>
      <w:proofErr w:type="spellStart"/>
      <w:r w:rsidRPr="00FA140F">
        <w:rPr>
          <w:rFonts w:ascii="Times New Roman" w:hAnsi="Times New Roman"/>
          <w:sz w:val="24"/>
          <w:szCs w:val="24"/>
        </w:rPr>
        <w:t>S.Ct</w:t>
      </w:r>
      <w:proofErr w:type="spellEnd"/>
      <w:r w:rsidRPr="00FA140F">
        <w:rPr>
          <w:rFonts w:ascii="Times New Roman" w:hAnsi="Times New Roman"/>
          <w:sz w:val="24"/>
          <w:szCs w:val="24"/>
        </w:rPr>
        <w:t xml:space="preserve">. at 2257 (quoting </w:t>
      </w:r>
      <w:r w:rsidRPr="00FA140F">
        <w:rPr>
          <w:rFonts w:ascii="Times New Roman" w:hAnsi="Times New Roman"/>
          <w:i/>
          <w:iCs/>
          <w:sz w:val="24"/>
          <w:szCs w:val="24"/>
        </w:rPr>
        <w:t>Marbury v. Madison</w:t>
      </w:r>
      <w:r w:rsidRPr="00FA140F">
        <w:rPr>
          <w:rFonts w:ascii="Times New Roman" w:hAnsi="Times New Roman"/>
          <w:sz w:val="24"/>
          <w:szCs w:val="24"/>
        </w:rPr>
        <w:t xml:space="preserve">, 1 </w:t>
      </w:r>
      <w:proofErr w:type="spellStart"/>
      <w:r w:rsidRPr="00FA140F">
        <w:rPr>
          <w:rFonts w:ascii="Times New Roman" w:hAnsi="Times New Roman"/>
          <w:sz w:val="24"/>
          <w:szCs w:val="24"/>
        </w:rPr>
        <w:t>Cranch</w:t>
      </w:r>
      <w:proofErr w:type="spellEnd"/>
      <w:r w:rsidRPr="00FA140F">
        <w:rPr>
          <w:rFonts w:ascii="Times New Roman" w:hAnsi="Times New Roman"/>
          <w:sz w:val="24"/>
          <w:szCs w:val="24"/>
        </w:rPr>
        <w:t xml:space="preserve"> 137, 177 (1803)). </w:t>
      </w:r>
    </w:p>
    <w:p w14:paraId="3BD9E1F2" w14:textId="77777777" w:rsidR="000A72DE" w:rsidRPr="00FA140F" w:rsidRDefault="000A72DE" w:rsidP="000A72DE">
      <w:pPr>
        <w:pStyle w:val="NoSpacing"/>
        <w:ind w:left="720"/>
        <w:rPr>
          <w:rFonts w:ascii="Times New Roman" w:hAnsi="Times New Roman"/>
          <w:sz w:val="24"/>
          <w:szCs w:val="24"/>
        </w:rPr>
      </w:pPr>
    </w:p>
    <w:p w14:paraId="30BDCA1F" w14:textId="77777777" w:rsidR="000A72DE" w:rsidRPr="00FA140F" w:rsidRDefault="000A72DE" w:rsidP="000A72DE">
      <w:pPr>
        <w:pStyle w:val="NoSpacing"/>
        <w:ind w:left="720"/>
        <w:rPr>
          <w:rFonts w:ascii="Times New Roman" w:hAnsi="Times New Roman"/>
          <w:sz w:val="24"/>
          <w:szCs w:val="24"/>
        </w:rPr>
      </w:pPr>
      <w:r w:rsidRPr="00FA140F">
        <w:rPr>
          <w:rFonts w:ascii="Times New Roman" w:hAnsi="Times New Roman"/>
          <w:sz w:val="24"/>
          <w:szCs w:val="24"/>
        </w:rPr>
        <w:t>***</w:t>
      </w:r>
    </w:p>
    <w:p w14:paraId="7BFFCC7E" w14:textId="77777777" w:rsidR="000A72DE" w:rsidRPr="00FA140F" w:rsidRDefault="000A72DE" w:rsidP="000A72DE">
      <w:pPr>
        <w:pStyle w:val="NoSpacing"/>
        <w:ind w:left="720"/>
        <w:rPr>
          <w:rFonts w:ascii="Times New Roman" w:hAnsi="Times New Roman"/>
          <w:sz w:val="24"/>
          <w:szCs w:val="24"/>
        </w:rPr>
      </w:pPr>
      <w:r w:rsidRPr="00FA140F">
        <w:rPr>
          <w:rFonts w:ascii="Times New Roman" w:hAnsi="Times New Roman"/>
          <w:sz w:val="24"/>
          <w:szCs w:val="24"/>
        </w:rPr>
        <w:t xml:space="preserve">The Supreme Court then explains that ‘[t]he deference that </w:t>
      </w:r>
      <w:r w:rsidRPr="00FA140F">
        <w:rPr>
          <w:rFonts w:ascii="Times New Roman" w:hAnsi="Times New Roman"/>
          <w:i/>
          <w:iCs/>
          <w:sz w:val="24"/>
          <w:szCs w:val="24"/>
        </w:rPr>
        <w:t>Chevron</w:t>
      </w:r>
      <w:r w:rsidRPr="00FA140F">
        <w:rPr>
          <w:rFonts w:ascii="Times New Roman" w:hAnsi="Times New Roman"/>
          <w:sz w:val="24"/>
          <w:szCs w:val="24"/>
        </w:rPr>
        <w:t xml:space="preserve"> requires of courts reviewing agency action cannot be squared with the APA,’ </w:t>
      </w:r>
      <w:r w:rsidRPr="00FA140F">
        <w:rPr>
          <w:rFonts w:ascii="Times New Roman" w:hAnsi="Times New Roman"/>
          <w:i/>
          <w:iCs/>
          <w:sz w:val="24"/>
          <w:szCs w:val="24"/>
        </w:rPr>
        <w:t>Loper Bright</w:t>
      </w:r>
      <w:r w:rsidRPr="00FA140F">
        <w:rPr>
          <w:rFonts w:ascii="Times New Roman" w:hAnsi="Times New Roman"/>
          <w:sz w:val="24"/>
          <w:szCs w:val="24"/>
        </w:rPr>
        <w:t xml:space="preserve">, 144 </w:t>
      </w:r>
      <w:proofErr w:type="spellStart"/>
      <w:r w:rsidRPr="00FA140F">
        <w:rPr>
          <w:rFonts w:ascii="Times New Roman" w:hAnsi="Times New Roman"/>
          <w:sz w:val="24"/>
          <w:szCs w:val="24"/>
        </w:rPr>
        <w:t>S.Ct</w:t>
      </w:r>
      <w:proofErr w:type="spellEnd"/>
      <w:r w:rsidRPr="00FA140F">
        <w:rPr>
          <w:rFonts w:ascii="Times New Roman" w:hAnsi="Times New Roman"/>
          <w:sz w:val="24"/>
          <w:szCs w:val="24"/>
        </w:rPr>
        <w:t xml:space="preserve">. at 2263, largely because ‘[t]he ‘law of deference' . . . built on the foundation laid in </w:t>
      </w:r>
      <w:r w:rsidRPr="00FA140F">
        <w:rPr>
          <w:rFonts w:ascii="Times New Roman" w:hAnsi="Times New Roman"/>
          <w:i/>
          <w:iCs/>
          <w:sz w:val="24"/>
          <w:szCs w:val="24"/>
        </w:rPr>
        <w:t>Chevron</w:t>
      </w:r>
      <w:r w:rsidRPr="00FA140F">
        <w:rPr>
          <w:rFonts w:ascii="Times New Roman" w:hAnsi="Times New Roman"/>
          <w:sz w:val="24"/>
          <w:szCs w:val="24"/>
        </w:rPr>
        <w:t xml:space="preserve"> [is] ‘[h]</w:t>
      </w:r>
      <w:proofErr w:type="spellStart"/>
      <w:r w:rsidRPr="00FA140F">
        <w:rPr>
          <w:rFonts w:ascii="Times New Roman" w:hAnsi="Times New Roman"/>
          <w:sz w:val="24"/>
          <w:szCs w:val="24"/>
        </w:rPr>
        <w:t>eedless</w:t>
      </w:r>
      <w:proofErr w:type="spellEnd"/>
      <w:r w:rsidRPr="00FA140F">
        <w:rPr>
          <w:rFonts w:ascii="Times New Roman" w:hAnsi="Times New Roman"/>
          <w:sz w:val="24"/>
          <w:szCs w:val="24"/>
        </w:rPr>
        <w:t xml:space="preserve"> of the original design' of the APA,’ </w:t>
      </w:r>
      <w:r w:rsidRPr="00FA140F">
        <w:rPr>
          <w:rFonts w:ascii="Times New Roman" w:hAnsi="Times New Roman"/>
          <w:i/>
          <w:iCs/>
          <w:sz w:val="24"/>
          <w:szCs w:val="24"/>
        </w:rPr>
        <w:t>Loper Bright</w:t>
      </w:r>
      <w:r w:rsidRPr="00FA140F">
        <w:rPr>
          <w:rFonts w:ascii="Times New Roman" w:hAnsi="Times New Roman"/>
          <w:sz w:val="24"/>
          <w:szCs w:val="24"/>
        </w:rPr>
        <w:t xml:space="preserve">, 144 </w:t>
      </w:r>
      <w:proofErr w:type="spellStart"/>
      <w:r w:rsidRPr="00FA140F">
        <w:rPr>
          <w:rFonts w:ascii="Times New Roman" w:hAnsi="Times New Roman"/>
          <w:sz w:val="24"/>
          <w:szCs w:val="24"/>
        </w:rPr>
        <w:t>S.Ct</w:t>
      </w:r>
      <w:proofErr w:type="spellEnd"/>
      <w:r w:rsidRPr="00FA140F">
        <w:rPr>
          <w:rFonts w:ascii="Times New Roman" w:hAnsi="Times New Roman"/>
          <w:sz w:val="24"/>
          <w:szCs w:val="24"/>
        </w:rPr>
        <w:t xml:space="preserve">. at 2265 (quoting </w:t>
      </w:r>
      <w:r w:rsidRPr="00FA140F">
        <w:rPr>
          <w:rFonts w:ascii="Times New Roman" w:hAnsi="Times New Roman"/>
          <w:i/>
          <w:iCs/>
          <w:sz w:val="24"/>
          <w:szCs w:val="24"/>
        </w:rPr>
        <w:t xml:space="preserve">Perez v. Mortg. Bankers </w:t>
      </w:r>
      <w:proofErr w:type="spellStart"/>
      <w:r w:rsidRPr="00FA140F">
        <w:rPr>
          <w:rFonts w:ascii="Times New Roman" w:hAnsi="Times New Roman"/>
          <w:i/>
          <w:iCs/>
          <w:sz w:val="24"/>
          <w:szCs w:val="24"/>
        </w:rPr>
        <w:t>Ass'n</w:t>
      </w:r>
      <w:proofErr w:type="spellEnd"/>
      <w:r w:rsidRPr="00FA140F">
        <w:rPr>
          <w:rFonts w:ascii="Times New Roman" w:hAnsi="Times New Roman"/>
          <w:sz w:val="24"/>
          <w:szCs w:val="24"/>
        </w:rPr>
        <w:t xml:space="preserve">, </w:t>
      </w:r>
      <w:hyperlink r:id="rId2872" w:anchor="p109" w:history="1">
        <w:r w:rsidRPr="00FA140F">
          <w:rPr>
            <w:rStyle w:val="Hyperlink"/>
            <w:rFonts w:ascii="Times New Roman" w:hAnsi="Times New Roman"/>
            <w:sz w:val="24"/>
            <w:szCs w:val="24"/>
          </w:rPr>
          <w:t>575 U.S. 92, 109</w:t>
        </w:r>
      </w:hyperlink>
      <w:r w:rsidRPr="00FA140F">
        <w:rPr>
          <w:rFonts w:ascii="Times New Roman" w:hAnsi="Times New Roman"/>
          <w:sz w:val="24"/>
          <w:szCs w:val="24"/>
        </w:rPr>
        <w:t xml:space="preserve"> (2015)(Scalia, J., concurring in the judgment)).</w:t>
      </w:r>
    </w:p>
    <w:p w14:paraId="1F54F7AF" w14:textId="77777777" w:rsidR="000A72DE" w:rsidRPr="00FA140F" w:rsidRDefault="000A72DE" w:rsidP="000A72DE">
      <w:pPr>
        <w:pStyle w:val="NoSpacing"/>
        <w:ind w:left="720"/>
        <w:rPr>
          <w:rFonts w:ascii="Times New Roman" w:hAnsi="Times New Roman"/>
          <w:sz w:val="24"/>
          <w:szCs w:val="24"/>
        </w:rPr>
      </w:pPr>
    </w:p>
    <w:p w14:paraId="19AEBC6F" w14:textId="77777777" w:rsidR="000A72DE" w:rsidRPr="00FA140F" w:rsidRDefault="000A72DE" w:rsidP="000A72DE">
      <w:pPr>
        <w:pStyle w:val="NoSpacing"/>
        <w:ind w:left="720"/>
        <w:rPr>
          <w:rFonts w:ascii="Times New Roman" w:hAnsi="Times New Roman"/>
          <w:sz w:val="24"/>
          <w:szCs w:val="24"/>
        </w:rPr>
      </w:pPr>
      <w:r w:rsidRPr="00FA140F">
        <w:rPr>
          <w:rFonts w:ascii="Times New Roman" w:hAnsi="Times New Roman"/>
          <w:sz w:val="24"/>
          <w:szCs w:val="24"/>
        </w:rPr>
        <w:t>***</w:t>
      </w:r>
    </w:p>
    <w:p w14:paraId="5F7FA937" w14:textId="77777777" w:rsidR="000A72DE" w:rsidRPr="00FA140F" w:rsidRDefault="000A72DE" w:rsidP="000A72DE">
      <w:pPr>
        <w:pStyle w:val="NoSpacing"/>
        <w:ind w:left="720"/>
        <w:rPr>
          <w:rFonts w:ascii="Times New Roman" w:hAnsi="Times New Roman"/>
          <w:sz w:val="24"/>
          <w:szCs w:val="24"/>
        </w:rPr>
      </w:pPr>
      <w:r w:rsidRPr="00FA140F">
        <w:rPr>
          <w:rFonts w:ascii="Times New Roman" w:hAnsi="Times New Roman"/>
          <w:sz w:val="24"/>
          <w:szCs w:val="24"/>
        </w:rPr>
        <w:t xml:space="preserve">The Court concludes that the Hermit's Peak Act waives FEMA's sovereign immunity for the Plaintiffs' claims seeking noneconomic damages in three ways. First, the NM State law provision § 104(c)(2), allows the Plaintiffs to recover damages that are available under New Mexico State law, which includes noneconomic damages for nuisance, and which the Court predicts also includes noneconomic damages for trespass. Second, the Extent of Damages provision § 104(c)(3)'s use of ‘actual compensatory damages’ includes noneconomic damages, because the only explicit exclusions are punitive damages and pre-judgment interest. Third, the Allowable Damages provision § 104(d)(4)'s list of property, business, and financial loss is not exhaustive of the types of allowable damages; these categories, therefore, are recoverable in addition to ‘actual compensatory damages’ such as noneconomic damages. The Court concludes, therefore, that FEMA's Hermit's Peak Regulation that precludes recovery of noneconomic damages is arbitrary and capricious in violation of the APA, 5. U.S.C. </w:t>
      </w:r>
      <w:hyperlink r:id="rId2873" w:history="1">
        <w:r w:rsidRPr="00FA140F">
          <w:rPr>
            <w:rStyle w:val="Hyperlink"/>
            <w:rFonts w:ascii="Times New Roman" w:hAnsi="Times New Roman"/>
            <w:sz w:val="24"/>
            <w:szCs w:val="24"/>
          </w:rPr>
          <w:t>§ 706(2)(A)</w:t>
        </w:r>
      </w:hyperlink>
      <w:r w:rsidRPr="00FA140F">
        <w:rPr>
          <w:rFonts w:ascii="Times New Roman" w:hAnsi="Times New Roman"/>
          <w:sz w:val="24"/>
          <w:szCs w:val="24"/>
        </w:rPr>
        <w:t xml:space="preserve">, and compels FEMA to award noneconomic damages under the Hermit's Peak Act under the APA, 5. U.S.C. </w:t>
      </w:r>
      <w:hyperlink r:id="rId2874" w:history="1">
        <w:r w:rsidRPr="00FA140F">
          <w:rPr>
            <w:rStyle w:val="Hyperlink"/>
            <w:rFonts w:ascii="Times New Roman" w:hAnsi="Times New Roman"/>
            <w:sz w:val="24"/>
            <w:szCs w:val="24"/>
          </w:rPr>
          <w:t>§ 706(1)</w:t>
        </w:r>
      </w:hyperlink>
      <w:r w:rsidRPr="00FA140F">
        <w:rPr>
          <w:rFonts w:ascii="Times New Roman" w:hAnsi="Times New Roman"/>
          <w:sz w:val="24"/>
          <w:szCs w:val="24"/>
        </w:rPr>
        <w:t>.”</w:t>
      </w:r>
    </w:p>
    <w:p w14:paraId="3F8B9A57" w14:textId="77777777" w:rsidR="000A72DE" w:rsidRPr="00FA140F" w:rsidRDefault="000A72DE" w:rsidP="000A72DE">
      <w:pPr>
        <w:pStyle w:val="NoSpacing"/>
        <w:ind w:left="720"/>
        <w:rPr>
          <w:rFonts w:ascii="Times New Roman" w:hAnsi="Times New Roman"/>
          <w:sz w:val="24"/>
          <w:szCs w:val="24"/>
        </w:rPr>
      </w:pPr>
    </w:p>
    <w:p w14:paraId="69ACE301" w14:textId="77777777" w:rsidR="000A72DE" w:rsidRPr="00FA140F" w:rsidRDefault="000A72DE" w:rsidP="000A72DE">
      <w:pPr>
        <w:pStyle w:val="NoSpacing"/>
        <w:rPr>
          <w:rFonts w:ascii="Times New Roman" w:hAnsi="Times New Roman"/>
          <w:b/>
          <w:bCs/>
          <w:sz w:val="24"/>
          <w:szCs w:val="24"/>
        </w:rPr>
      </w:pPr>
      <w:r w:rsidRPr="00FA140F">
        <w:rPr>
          <w:rFonts w:ascii="Times New Roman" w:hAnsi="Times New Roman"/>
          <w:b/>
          <w:sz w:val="24"/>
          <w:szCs w:val="24"/>
        </w:rPr>
        <w:t xml:space="preserve">Legal Lesson Learned:  Another example where courts, per U.S. Supreme Court’s June 28, </w:t>
      </w:r>
      <w:proofErr w:type="gramStart"/>
      <w:r w:rsidRPr="00FA140F">
        <w:rPr>
          <w:rFonts w:ascii="Times New Roman" w:hAnsi="Times New Roman"/>
          <w:b/>
          <w:sz w:val="24"/>
          <w:szCs w:val="24"/>
        </w:rPr>
        <w:t>2024</w:t>
      </w:r>
      <w:proofErr w:type="gramEnd"/>
      <w:r w:rsidRPr="00FA140F">
        <w:rPr>
          <w:rFonts w:ascii="Times New Roman" w:hAnsi="Times New Roman"/>
          <w:b/>
          <w:sz w:val="24"/>
          <w:szCs w:val="24"/>
        </w:rPr>
        <w:t xml:space="preserve"> decision in </w:t>
      </w:r>
      <w:r w:rsidRPr="00FA140F">
        <w:rPr>
          <w:rFonts w:ascii="Times New Roman" w:hAnsi="Times New Roman"/>
          <w:b/>
          <w:i/>
          <w:iCs/>
          <w:sz w:val="24"/>
          <w:szCs w:val="24"/>
        </w:rPr>
        <w:t>Loper Bright</w:t>
      </w:r>
      <w:r w:rsidRPr="00FA140F">
        <w:rPr>
          <w:rFonts w:ascii="Times New Roman" w:hAnsi="Times New Roman"/>
          <w:b/>
          <w:sz w:val="24"/>
          <w:szCs w:val="24"/>
        </w:rPr>
        <w:t xml:space="preserve">, are no longer routinely following federal regulations under the  former “Chevron doctrine.” </w:t>
      </w:r>
    </w:p>
    <w:p w14:paraId="288D90AE" w14:textId="77777777" w:rsidR="000A72DE" w:rsidRPr="00FA140F" w:rsidRDefault="000A72DE" w:rsidP="000A72DE">
      <w:pPr>
        <w:pStyle w:val="NoSpacing"/>
        <w:ind w:left="720"/>
        <w:rPr>
          <w:rFonts w:ascii="Times New Roman" w:hAnsi="Times New Roman"/>
          <w:sz w:val="24"/>
          <w:szCs w:val="24"/>
        </w:rPr>
      </w:pPr>
    </w:p>
    <w:p w14:paraId="59F42B97" w14:textId="77777777" w:rsidR="000A72DE" w:rsidRPr="00FA140F" w:rsidRDefault="000A72DE" w:rsidP="000A72DE">
      <w:pPr>
        <w:pStyle w:val="NoSpacing"/>
        <w:ind w:left="720"/>
        <w:rPr>
          <w:rFonts w:ascii="Times New Roman" w:hAnsi="Times New Roman"/>
          <w:bCs/>
          <w:sz w:val="24"/>
          <w:szCs w:val="24"/>
        </w:rPr>
      </w:pPr>
      <w:r w:rsidRPr="00FA140F">
        <w:rPr>
          <w:rFonts w:ascii="Times New Roman" w:hAnsi="Times New Roman"/>
          <w:sz w:val="24"/>
          <w:szCs w:val="24"/>
        </w:rPr>
        <w:t xml:space="preserve">Note: If Congress had not enacted this statute, the property owners could not sue the Forest Service for “discretionary” decisions under the Federal Tort Claims Act.  See, for example, </w:t>
      </w:r>
      <w:r w:rsidRPr="00FA140F">
        <w:rPr>
          <w:rFonts w:ascii="Times New Roman" w:hAnsi="Times New Roman"/>
          <w:i/>
          <w:iCs/>
          <w:sz w:val="24"/>
          <w:szCs w:val="24"/>
        </w:rPr>
        <w:t>Freres Timber, Inc. v. The United States</w:t>
      </w:r>
      <w:r w:rsidRPr="00FA140F">
        <w:rPr>
          <w:rFonts w:ascii="Times New Roman" w:hAnsi="Times New Roman"/>
          <w:sz w:val="24"/>
          <w:szCs w:val="24"/>
        </w:rPr>
        <w:t xml:space="preserve">, </w:t>
      </w:r>
      <w:r w:rsidRPr="00FA140F">
        <w:rPr>
          <w:rFonts w:ascii="Times New Roman" w:hAnsi="Times New Roman"/>
          <w:bCs/>
          <w:sz w:val="24"/>
          <w:szCs w:val="24"/>
        </w:rPr>
        <w:t xml:space="preserve">Oregon; </w:t>
      </w:r>
      <w:r w:rsidRPr="00FA140F">
        <w:rPr>
          <w:rFonts w:ascii="Times New Roman" w:hAnsi="Times New Roman"/>
          <w:sz w:val="24"/>
          <w:szCs w:val="24"/>
        </w:rPr>
        <w:t>Dec. 6, 2024</w:t>
      </w:r>
      <w:r w:rsidRPr="00FA140F">
        <w:rPr>
          <w:rFonts w:ascii="Times New Roman" w:hAnsi="Times New Roman"/>
          <w:bCs/>
          <w:sz w:val="24"/>
          <w:szCs w:val="24"/>
        </w:rPr>
        <w:t>.</w:t>
      </w:r>
      <w:r w:rsidRPr="00FA140F">
        <w:rPr>
          <w:rFonts w:ascii="Times New Roman" w:hAnsi="Times New Roman"/>
          <w:sz w:val="24"/>
          <w:szCs w:val="24"/>
        </w:rPr>
        <w:t xml:space="preserve"> “Plaintiffs Freres Timber and Freres Lumber, sister lumber companies, filed this action against the United States Forest Service, seeking over $30 million in damages under the Federal Tort Claims Act (‘FTCA’) for lumber and profits lost in the Beachie Creek fire. *** Because the challenged decisions [by Incident Commanders] fall within the discretionary function exception, this Court lacks jurisdiction, and Plaintiffs' FTCA claims must be dismissed.” </w:t>
      </w:r>
      <w:hyperlink r:id="rId2875" w:history="1">
        <w:r w:rsidRPr="00FA140F">
          <w:rPr>
            <w:rStyle w:val="Hyperlink"/>
            <w:rFonts w:ascii="Times New Roman" w:hAnsi="Times New Roman"/>
            <w:sz w:val="24"/>
            <w:szCs w:val="24"/>
          </w:rPr>
          <w:t>https://casetext.com/case/freres-timber-inc-v-the-united-states</w:t>
        </w:r>
      </w:hyperlink>
      <w:r w:rsidRPr="00FA140F">
        <w:rPr>
          <w:rFonts w:ascii="Times New Roman" w:hAnsi="Times New Roman"/>
          <w:sz w:val="24"/>
          <w:szCs w:val="24"/>
        </w:rPr>
        <w:t xml:space="preserve"> </w:t>
      </w:r>
    </w:p>
    <w:p w14:paraId="07392B88" w14:textId="77777777" w:rsidR="000A72DE" w:rsidRPr="00FA140F" w:rsidRDefault="000A72DE" w:rsidP="000A72DE">
      <w:pPr>
        <w:pStyle w:val="NoSpacing"/>
        <w:rPr>
          <w:rFonts w:ascii="Times New Roman" w:hAnsi="Times New Roman"/>
          <w:b/>
          <w:sz w:val="24"/>
          <w:szCs w:val="24"/>
        </w:rPr>
      </w:pPr>
    </w:p>
    <w:p w14:paraId="525260B1" w14:textId="77777777" w:rsidR="000A72DE" w:rsidRPr="00FA140F" w:rsidRDefault="000A72DE" w:rsidP="000C4DF5">
      <w:pPr>
        <w:pStyle w:val="NoSpacing"/>
        <w:rPr>
          <w:rFonts w:ascii="Times New Roman" w:hAnsi="Times New Roman"/>
          <w:sz w:val="24"/>
          <w:szCs w:val="24"/>
        </w:rPr>
      </w:pPr>
    </w:p>
    <w:p w14:paraId="091CAEDA" w14:textId="77777777" w:rsidR="002100FE" w:rsidRDefault="002100FE" w:rsidP="000C4DF5">
      <w:pPr>
        <w:pStyle w:val="NoSpacing"/>
        <w:rPr>
          <w:rFonts w:ascii="Arial Black" w:hAnsi="Arial Black"/>
          <w:sz w:val="24"/>
          <w:szCs w:val="24"/>
        </w:rPr>
      </w:pPr>
    </w:p>
    <w:p w14:paraId="5DE66CC4" w14:textId="77777777" w:rsidR="002100FE" w:rsidRDefault="002100FE" w:rsidP="000C4DF5">
      <w:pPr>
        <w:pStyle w:val="NoSpacing"/>
        <w:rPr>
          <w:rFonts w:ascii="Arial Black" w:hAnsi="Arial Black"/>
          <w:sz w:val="24"/>
          <w:szCs w:val="24"/>
        </w:rPr>
      </w:pPr>
    </w:p>
    <w:p w14:paraId="0F7A7C46" w14:textId="2C6C9D97" w:rsidR="00B15008" w:rsidRDefault="001B23B7" w:rsidP="000C4DF5">
      <w:pPr>
        <w:pStyle w:val="NoSpacing"/>
        <w:rPr>
          <w:rFonts w:ascii="Arial Black" w:hAnsi="Arial Black"/>
          <w:sz w:val="24"/>
          <w:szCs w:val="24"/>
        </w:rPr>
      </w:pPr>
      <w:r>
        <w:rPr>
          <w:rFonts w:ascii="Arial Black" w:hAnsi="Arial Black"/>
          <w:sz w:val="24"/>
          <w:szCs w:val="24"/>
        </w:rPr>
        <w:t>18-26</w:t>
      </w:r>
    </w:p>
    <w:p w14:paraId="6AC7EFF6" w14:textId="77777777" w:rsidR="008575D7" w:rsidRDefault="008575D7" w:rsidP="000C4DF5">
      <w:pPr>
        <w:pStyle w:val="NoSpacing"/>
        <w:rPr>
          <w:rFonts w:ascii="Arial Black" w:hAnsi="Arial Black"/>
          <w:sz w:val="24"/>
          <w:szCs w:val="24"/>
        </w:rPr>
      </w:pPr>
    </w:p>
    <w:p w14:paraId="7A1FC21F" w14:textId="77777777" w:rsidR="008575D7" w:rsidRPr="00DC665F" w:rsidRDefault="008575D7" w:rsidP="008575D7">
      <w:pPr>
        <w:rPr>
          <w:rFonts w:ascii="Arial Black" w:hAnsi="Arial Black"/>
          <w:b/>
          <w:bCs/>
          <w:sz w:val="28"/>
        </w:rPr>
      </w:pPr>
      <w:r>
        <w:rPr>
          <w:rFonts w:ascii="Arial Black" w:hAnsi="Arial Black"/>
          <w:b/>
          <w:bCs/>
          <w:sz w:val="28"/>
        </w:rPr>
        <w:t xml:space="preserve">MI: FIREWORKS – CITY CAN’T REQ. SAFETY FLYERS - MI SUP. CT. CHIEF JUSTICE / STATE LAW SHOULD REQUIRE </w:t>
      </w:r>
    </w:p>
    <w:p w14:paraId="2F67181F" w14:textId="77777777" w:rsidR="008575D7" w:rsidRPr="0019067C" w:rsidRDefault="008575D7" w:rsidP="008575D7">
      <w:pPr>
        <w:pStyle w:val="NoSpacing"/>
        <w:rPr>
          <w:rFonts w:ascii="Times New Roman" w:hAnsi="Times New Roman"/>
          <w:sz w:val="24"/>
          <w:szCs w:val="24"/>
        </w:rPr>
      </w:pPr>
      <w:r w:rsidRPr="0019067C">
        <w:rPr>
          <w:rFonts w:ascii="Times New Roman" w:hAnsi="Times New Roman"/>
          <w:sz w:val="24"/>
          <w:szCs w:val="24"/>
        </w:rPr>
        <w:t xml:space="preserve">On September 27, 2024, in </w:t>
      </w:r>
      <w:r w:rsidRPr="0019067C">
        <w:rPr>
          <w:rFonts w:ascii="Times New Roman" w:hAnsi="Times New Roman"/>
          <w:sz w:val="24"/>
          <w:szCs w:val="24"/>
          <w:u w:val="single"/>
        </w:rPr>
        <w:t>People of the City of Sterling Heights v. Robert Bahnke</w:t>
      </w:r>
      <w:r w:rsidRPr="0019067C">
        <w:rPr>
          <w:rFonts w:ascii="Times New Roman" w:hAnsi="Times New Roman"/>
          <w:sz w:val="24"/>
          <w:szCs w:val="24"/>
        </w:rPr>
        <w:t xml:space="preserve">, the Michigan Supreme Court declined to hear the City’s appeal which sought to fine the manager of the fireworks store $150 for not handing out safety flyer required by City code; the Court of Appeals struck down the ordinance since it conflicted with state’s fireworks statute. Chief Justice Elizabeth Clement of the Michigan Supreme Court wrote in her concurring opinion:  “The city ordinance here is a relatively small burden on fireworks vendors and provides useful information to purchasers regarding relevant laws.” </w:t>
      </w:r>
      <w:hyperlink r:id="rId2876" w:history="1">
        <w:r w:rsidRPr="0019067C">
          <w:rPr>
            <w:rStyle w:val="Hyperlink"/>
            <w:rFonts w:ascii="Times New Roman" w:hAnsi="Times New Roman"/>
            <w:sz w:val="24"/>
            <w:szCs w:val="24"/>
          </w:rPr>
          <w:t>https://www.courts.michigan.gov/4a7b7c/siteassets/case-documents/uploads/sct/public/orders/166885_47_01.pdf</w:t>
        </w:r>
      </w:hyperlink>
      <w:r w:rsidRPr="0019067C">
        <w:rPr>
          <w:rFonts w:ascii="Times New Roman" w:hAnsi="Times New Roman"/>
          <w:sz w:val="24"/>
          <w:szCs w:val="24"/>
        </w:rPr>
        <w:t xml:space="preserve"> </w:t>
      </w:r>
    </w:p>
    <w:p w14:paraId="211536A7" w14:textId="77777777" w:rsidR="008575D7" w:rsidRPr="0019067C" w:rsidRDefault="008575D7" w:rsidP="008575D7">
      <w:pPr>
        <w:rPr>
          <w:rFonts w:ascii="Times New Roman" w:hAnsi="Times New Roman"/>
          <w:sz w:val="24"/>
          <w:szCs w:val="24"/>
        </w:rPr>
      </w:pPr>
      <w:r w:rsidRPr="0019067C">
        <w:rPr>
          <w:rFonts w:ascii="Times New Roman" w:hAnsi="Times New Roman"/>
          <w:sz w:val="24"/>
          <w:szCs w:val="24"/>
        </w:rPr>
        <w:t xml:space="preserve"> </w:t>
      </w:r>
    </w:p>
    <w:p w14:paraId="45DE72E5" w14:textId="77777777" w:rsidR="008575D7" w:rsidRPr="0019067C" w:rsidRDefault="008575D7" w:rsidP="008575D7">
      <w:pPr>
        <w:rPr>
          <w:rFonts w:ascii="Times New Roman" w:hAnsi="Times New Roman"/>
          <w:sz w:val="24"/>
          <w:szCs w:val="24"/>
        </w:rPr>
      </w:pPr>
      <w:r w:rsidRPr="0019067C">
        <w:rPr>
          <w:rFonts w:ascii="Times New Roman" w:hAnsi="Times New Roman"/>
          <w:sz w:val="24"/>
          <w:szCs w:val="24"/>
        </w:rPr>
        <w:t xml:space="preserve">THE CHIEF JUSTICE’S CONCURRING OPINION: </w:t>
      </w:r>
    </w:p>
    <w:p w14:paraId="01EA86F3" w14:textId="77777777" w:rsidR="008575D7" w:rsidRPr="0019067C" w:rsidRDefault="008575D7" w:rsidP="008575D7">
      <w:pPr>
        <w:ind w:left="720"/>
        <w:rPr>
          <w:rFonts w:ascii="Times New Roman" w:hAnsi="Times New Roman"/>
          <w:sz w:val="24"/>
          <w:szCs w:val="24"/>
        </w:rPr>
      </w:pPr>
      <w:r w:rsidRPr="0019067C">
        <w:rPr>
          <w:rFonts w:ascii="Times New Roman" w:hAnsi="Times New Roman"/>
          <w:sz w:val="24"/>
          <w:szCs w:val="24"/>
        </w:rPr>
        <w:t xml:space="preserve">“In this case, defendant, Robert Bahnke, was ticketed for violating the city code because he had not handed out the required flyers when he sold fireworks. The district court and the circuit court affirmed the $150 fine that the magistrate had ordered. But the Court of Appeals reversed in a published opinion, holding that Sterling Heights Code, § 20-115(I) was preempted by MCL 28.457. </w:t>
      </w:r>
    </w:p>
    <w:p w14:paraId="1D47BDE5" w14:textId="77777777" w:rsidR="008575D7" w:rsidRPr="0019067C" w:rsidRDefault="008575D7" w:rsidP="008575D7">
      <w:pPr>
        <w:ind w:left="720"/>
        <w:rPr>
          <w:rFonts w:ascii="Times New Roman" w:hAnsi="Times New Roman"/>
          <w:sz w:val="24"/>
          <w:szCs w:val="24"/>
        </w:rPr>
      </w:pPr>
      <w:r w:rsidRPr="0019067C">
        <w:rPr>
          <w:rFonts w:ascii="Times New Roman" w:hAnsi="Times New Roman"/>
          <w:sz w:val="24"/>
          <w:szCs w:val="24"/>
        </w:rPr>
        <w:t>***</w:t>
      </w:r>
    </w:p>
    <w:p w14:paraId="644CB4B6"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 xml:space="preserve">But I question whether invalidating city ordinances such as the one at issue here </w:t>
      </w:r>
      <w:proofErr w:type="gramStart"/>
      <w:r w:rsidRPr="0019067C">
        <w:rPr>
          <w:rFonts w:ascii="Times New Roman" w:hAnsi="Times New Roman"/>
          <w:sz w:val="24"/>
          <w:szCs w:val="24"/>
        </w:rPr>
        <w:t>is</w:t>
      </w:r>
      <w:proofErr w:type="gramEnd"/>
    </w:p>
    <w:p w14:paraId="6DBD95A3"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truly what the Legislature intended when it passed MCL 28.457. While I understand that</w:t>
      </w:r>
    </w:p>
    <w:p w14:paraId="1D228128"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the Legislature may have reasonably sought to prohibit local units of government from</w:t>
      </w:r>
    </w:p>
    <w:p w14:paraId="4FC1A795"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passing more substantive regulations of the sale of fireworks, it is difficult for me to</w:t>
      </w:r>
    </w:p>
    <w:p w14:paraId="5346E6FB"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imagine that the Legislature intended to prohibit cities from ensuring that fireworks</w:t>
      </w:r>
    </w:p>
    <w:p w14:paraId="6217FB94" w14:textId="77777777" w:rsidR="008575D7" w:rsidRPr="0019067C" w:rsidRDefault="008575D7" w:rsidP="008575D7">
      <w:pPr>
        <w:pStyle w:val="NoSpacing"/>
        <w:ind w:firstLine="720"/>
        <w:rPr>
          <w:rFonts w:ascii="Times New Roman" w:hAnsi="Times New Roman"/>
          <w:sz w:val="24"/>
          <w:szCs w:val="24"/>
        </w:rPr>
      </w:pPr>
      <w:r w:rsidRPr="0019067C">
        <w:rPr>
          <w:rFonts w:ascii="Times New Roman" w:hAnsi="Times New Roman"/>
          <w:sz w:val="24"/>
          <w:szCs w:val="24"/>
        </w:rPr>
        <w:t>purchasers are adequately advised of applicable laws. The city ordinance here is a</w:t>
      </w:r>
    </w:p>
    <w:p w14:paraId="4D1B5925" w14:textId="77777777" w:rsidR="008575D7" w:rsidRPr="0019067C" w:rsidRDefault="008575D7" w:rsidP="008575D7">
      <w:pPr>
        <w:pStyle w:val="NoSpacing"/>
        <w:ind w:left="720"/>
        <w:rPr>
          <w:rFonts w:ascii="Times New Roman" w:hAnsi="Times New Roman"/>
          <w:sz w:val="24"/>
          <w:szCs w:val="24"/>
        </w:rPr>
      </w:pPr>
      <w:r w:rsidRPr="0019067C">
        <w:rPr>
          <w:rFonts w:ascii="Times New Roman" w:hAnsi="Times New Roman"/>
          <w:sz w:val="24"/>
          <w:szCs w:val="24"/>
        </w:rPr>
        <w:t xml:space="preserve">relatively small burden on fireworks vendors and provides useful information to purchasers regarding relevant laws. For these reasons, I question whether the text of MCL 28.457 is achieving the result the Legislature intended, and I encourage the Legislature to review the statutory </w:t>
      </w:r>
      <w:proofErr w:type="gramStart"/>
      <w:r w:rsidRPr="0019067C">
        <w:rPr>
          <w:rFonts w:ascii="Times New Roman" w:hAnsi="Times New Roman"/>
          <w:sz w:val="24"/>
          <w:szCs w:val="24"/>
        </w:rPr>
        <w:t>language.”</w:t>
      </w:r>
      <w:proofErr w:type="gramEnd"/>
    </w:p>
    <w:p w14:paraId="2D37CE5D" w14:textId="77777777" w:rsidR="008575D7" w:rsidRPr="0019067C" w:rsidRDefault="008575D7" w:rsidP="008575D7">
      <w:pPr>
        <w:rPr>
          <w:rFonts w:ascii="Times New Roman" w:hAnsi="Times New Roman"/>
          <w:sz w:val="24"/>
          <w:szCs w:val="24"/>
        </w:rPr>
      </w:pPr>
    </w:p>
    <w:p w14:paraId="5F8C3D86" w14:textId="77777777" w:rsidR="008575D7" w:rsidRPr="0019067C" w:rsidRDefault="008575D7" w:rsidP="008575D7">
      <w:pPr>
        <w:pStyle w:val="NoSpacing"/>
        <w:rPr>
          <w:rFonts w:ascii="Times New Roman" w:hAnsi="Times New Roman"/>
          <w:b/>
          <w:bCs/>
          <w:sz w:val="24"/>
          <w:szCs w:val="24"/>
        </w:rPr>
      </w:pPr>
      <w:r w:rsidRPr="0019067C">
        <w:rPr>
          <w:rFonts w:ascii="Times New Roman" w:hAnsi="Times New Roman"/>
          <w:b/>
          <w:bCs/>
          <w:sz w:val="24"/>
          <w:szCs w:val="24"/>
        </w:rPr>
        <w:t xml:space="preserve">Legal Lesson Learned:  Hopefully the state Legislature will amend its fireworks statute to include a safety flyer requirement. </w:t>
      </w:r>
    </w:p>
    <w:p w14:paraId="2595AD22" w14:textId="77777777" w:rsidR="008575D7" w:rsidRDefault="008575D7" w:rsidP="000C4DF5">
      <w:pPr>
        <w:pStyle w:val="NoSpacing"/>
        <w:rPr>
          <w:rFonts w:ascii="Arial Black" w:hAnsi="Arial Black"/>
          <w:sz w:val="24"/>
          <w:szCs w:val="24"/>
        </w:rPr>
      </w:pPr>
    </w:p>
    <w:p w14:paraId="4B805961" w14:textId="77777777" w:rsidR="001B23B7" w:rsidRDefault="001B23B7" w:rsidP="000C4DF5">
      <w:pPr>
        <w:pStyle w:val="NoSpacing"/>
        <w:rPr>
          <w:rFonts w:ascii="Arial Black" w:hAnsi="Arial Black"/>
          <w:sz w:val="24"/>
          <w:szCs w:val="24"/>
        </w:rPr>
      </w:pPr>
    </w:p>
    <w:p w14:paraId="742A14B4" w14:textId="77777777" w:rsidR="001B23B7" w:rsidRDefault="001B23B7" w:rsidP="000C4DF5">
      <w:pPr>
        <w:pStyle w:val="NoSpacing"/>
        <w:rPr>
          <w:rFonts w:ascii="Arial Black" w:hAnsi="Arial Black"/>
          <w:sz w:val="24"/>
          <w:szCs w:val="24"/>
        </w:rPr>
      </w:pPr>
    </w:p>
    <w:p w14:paraId="7ED4C688" w14:textId="15F1B143" w:rsidR="00B15008" w:rsidRDefault="002B2323" w:rsidP="000C4DF5">
      <w:pPr>
        <w:pStyle w:val="NoSpacing"/>
        <w:rPr>
          <w:rFonts w:ascii="Arial Black" w:hAnsi="Arial Black"/>
          <w:sz w:val="24"/>
          <w:szCs w:val="24"/>
        </w:rPr>
      </w:pPr>
      <w:r>
        <w:rPr>
          <w:rFonts w:ascii="Arial Black" w:hAnsi="Arial Black"/>
          <w:sz w:val="24"/>
          <w:szCs w:val="24"/>
        </w:rPr>
        <w:t>18-25</w:t>
      </w:r>
    </w:p>
    <w:p w14:paraId="07B706EE" w14:textId="77777777" w:rsidR="002B2323" w:rsidRDefault="002B2323" w:rsidP="000C4DF5">
      <w:pPr>
        <w:pStyle w:val="NoSpacing"/>
        <w:rPr>
          <w:rFonts w:ascii="Arial Black" w:hAnsi="Arial Black"/>
          <w:sz w:val="24"/>
          <w:szCs w:val="24"/>
        </w:rPr>
      </w:pPr>
    </w:p>
    <w:p w14:paraId="58B324F0" w14:textId="77777777" w:rsidR="00C30293" w:rsidRDefault="00C30293" w:rsidP="00C30293">
      <w:pPr>
        <w:pStyle w:val="NoSpacing"/>
        <w:rPr>
          <w:rFonts w:ascii="Arial Black" w:hAnsi="Arial Black"/>
          <w:sz w:val="28"/>
          <w:szCs w:val="28"/>
        </w:rPr>
      </w:pPr>
      <w:r>
        <w:rPr>
          <w:rFonts w:ascii="Arial Black" w:hAnsi="Arial Black"/>
          <w:sz w:val="28"/>
          <w:szCs w:val="28"/>
        </w:rPr>
        <w:t xml:space="preserve">OH: PUBLIC RECORDS - INJURY “TOP THRILL DRAGSTER” AT PARK – PARK PD “FUNCTIONAL EQUIVALENT” PUBLIC PD </w:t>
      </w:r>
    </w:p>
    <w:p w14:paraId="6B9CFB34" w14:textId="77777777" w:rsidR="00C30293" w:rsidRDefault="00C30293" w:rsidP="00C30293">
      <w:pPr>
        <w:pStyle w:val="NoSpacing"/>
        <w:rPr>
          <w:rFonts w:ascii="Times New Roman" w:hAnsi="Times New Roman"/>
          <w:sz w:val="24"/>
          <w:szCs w:val="24"/>
        </w:rPr>
      </w:pPr>
    </w:p>
    <w:p w14:paraId="36AB68F8" w14:textId="77777777" w:rsidR="004D2264" w:rsidRDefault="00C30293" w:rsidP="00C30293">
      <w:pPr>
        <w:pStyle w:val="NoSpacing"/>
        <w:rPr>
          <w:rFonts w:ascii="Times New Roman" w:hAnsi="Times New Roman"/>
          <w:sz w:val="24"/>
          <w:szCs w:val="24"/>
        </w:rPr>
      </w:pPr>
      <w:r w:rsidRPr="007919C0">
        <w:rPr>
          <w:rFonts w:ascii="Times New Roman" w:hAnsi="Times New Roman"/>
          <w:sz w:val="24"/>
          <w:szCs w:val="24"/>
        </w:rPr>
        <w:t xml:space="preserve">On Dec. 20, 2023, in </w:t>
      </w:r>
      <w:r w:rsidRPr="007919C0">
        <w:rPr>
          <w:rFonts w:ascii="Times New Roman" w:hAnsi="Times New Roman"/>
          <w:sz w:val="24"/>
          <w:szCs w:val="24"/>
          <w:u w:val="single"/>
        </w:rPr>
        <w:t>The State Ex Rel. WTOP Television, L.L.C., WKYC, L.L.C. , and WBNS-TV, Inc. v. Cedar Fair, L.P., dba Cedar Fair Entertainment Company, et al.</w:t>
      </w:r>
      <w:r w:rsidRPr="007919C0">
        <w:rPr>
          <w:rFonts w:ascii="Times New Roman" w:hAnsi="Times New Roman"/>
          <w:sz w:val="24"/>
          <w:szCs w:val="24"/>
        </w:rPr>
        <w:t xml:space="preserve">, the Ohio Supreme Court held (7 to 0) that </w:t>
      </w:r>
      <w:r>
        <w:rPr>
          <w:rFonts w:ascii="Times New Roman" w:hAnsi="Times New Roman"/>
          <w:sz w:val="24"/>
          <w:szCs w:val="24"/>
        </w:rPr>
        <w:t xml:space="preserve">the Park’s police department is “functional equivalent” of police department, and therefore must respond to Ohio Public Records requests, including </w:t>
      </w:r>
      <w:r w:rsidRPr="007919C0">
        <w:rPr>
          <w:rFonts w:ascii="Times New Roman" w:hAnsi="Times New Roman"/>
          <w:sz w:val="24"/>
          <w:szCs w:val="24"/>
        </w:rPr>
        <w:t xml:space="preserve">Aug. 15, 2021 injury of female guest near the Top Thrill Dragster ride, and records concerning </w:t>
      </w:r>
      <w:r>
        <w:rPr>
          <w:rFonts w:ascii="Times New Roman" w:hAnsi="Times New Roman"/>
          <w:sz w:val="24"/>
          <w:szCs w:val="24"/>
        </w:rPr>
        <w:t xml:space="preserve">TV station’s investigation into </w:t>
      </w:r>
      <w:r w:rsidRPr="007919C0">
        <w:rPr>
          <w:rFonts w:ascii="Times New Roman" w:hAnsi="Times New Roman"/>
          <w:sz w:val="24"/>
          <w:szCs w:val="24"/>
        </w:rPr>
        <w:t>sexual assaults at Park’s employee housing.  The Court also awarded TV stations court costs</w:t>
      </w:r>
      <w:r>
        <w:rPr>
          <w:rFonts w:ascii="Times New Roman" w:hAnsi="Times New Roman"/>
          <w:sz w:val="24"/>
          <w:szCs w:val="24"/>
        </w:rPr>
        <w:t xml:space="preserve">; </w:t>
      </w:r>
      <w:r w:rsidRPr="007919C0">
        <w:rPr>
          <w:rFonts w:ascii="Times New Roman" w:hAnsi="Times New Roman"/>
          <w:sz w:val="24"/>
          <w:szCs w:val="24"/>
        </w:rPr>
        <w:t>but declined to award statutory damages ($100 / day; max $1,000) or attorney fees to each TV station because this was unsettled law in Ohio (two Justices dissenting and would award attorney fees)</w:t>
      </w:r>
      <w:r>
        <w:rPr>
          <w:rFonts w:ascii="Times New Roman" w:hAnsi="Times New Roman"/>
          <w:sz w:val="24"/>
          <w:szCs w:val="24"/>
        </w:rPr>
        <w:t xml:space="preserve">. </w:t>
      </w:r>
    </w:p>
    <w:p w14:paraId="7907E30B" w14:textId="77777777" w:rsidR="004D2264" w:rsidRDefault="004D2264" w:rsidP="00C30293">
      <w:pPr>
        <w:pStyle w:val="NoSpacing"/>
        <w:rPr>
          <w:rFonts w:ascii="Times New Roman" w:hAnsi="Times New Roman"/>
          <w:sz w:val="24"/>
          <w:szCs w:val="24"/>
        </w:rPr>
      </w:pPr>
    </w:p>
    <w:p w14:paraId="005DE8F0" w14:textId="68E6CB08" w:rsidR="00C30293" w:rsidRDefault="00C30293" w:rsidP="00C30293">
      <w:pPr>
        <w:pStyle w:val="NoSpacing"/>
        <w:rPr>
          <w:rFonts w:ascii="Times New Roman" w:hAnsi="Times New Roman"/>
          <w:sz w:val="24"/>
          <w:szCs w:val="24"/>
        </w:rPr>
      </w:pPr>
      <w:r w:rsidRPr="007919C0">
        <w:rPr>
          <w:rFonts w:ascii="Times New Roman" w:hAnsi="Times New Roman"/>
          <w:sz w:val="24"/>
          <w:szCs w:val="24"/>
        </w:rPr>
        <w:t xml:space="preserve">The Court held: </w:t>
      </w:r>
      <w:r>
        <w:rPr>
          <w:rFonts w:ascii="Times New Roman" w:hAnsi="Times New Roman"/>
          <w:sz w:val="24"/>
          <w:szCs w:val="24"/>
        </w:rPr>
        <w:t>“</w:t>
      </w:r>
      <w:r w:rsidRPr="007919C0">
        <w:rPr>
          <w:rFonts w:ascii="Times New Roman" w:hAnsi="Times New Roman"/>
          <w:sz w:val="24"/>
          <w:szCs w:val="24"/>
        </w:rPr>
        <w:t xml:space="preserve">Here, Cedar Fair and </w:t>
      </w:r>
      <w:r>
        <w:rPr>
          <w:rFonts w:ascii="Times New Roman" w:hAnsi="Times New Roman"/>
          <w:sz w:val="24"/>
          <w:szCs w:val="24"/>
        </w:rPr>
        <w:t xml:space="preserve">[Police Chief Ronald E.} </w:t>
      </w:r>
      <w:r w:rsidRPr="007919C0">
        <w:rPr>
          <w:rFonts w:ascii="Times New Roman" w:hAnsi="Times New Roman"/>
          <w:sz w:val="24"/>
          <w:szCs w:val="24"/>
        </w:rPr>
        <w:t>Gilson asserted as affirmative defenses that</w:t>
      </w:r>
      <w:r>
        <w:rPr>
          <w:rFonts w:ascii="Times New Roman" w:hAnsi="Times New Roman"/>
          <w:sz w:val="24"/>
          <w:szCs w:val="24"/>
        </w:rPr>
        <w:t xml:space="preserve"> </w:t>
      </w:r>
      <w:r w:rsidRPr="007919C0">
        <w:rPr>
          <w:rFonts w:ascii="Times New Roman" w:hAnsi="Times New Roman"/>
          <w:sz w:val="24"/>
          <w:szCs w:val="24"/>
        </w:rPr>
        <w:t>they are not required to release privileged records or confidential law-enforcement</w:t>
      </w:r>
      <w:r>
        <w:rPr>
          <w:rFonts w:ascii="Times New Roman" w:hAnsi="Times New Roman"/>
          <w:sz w:val="24"/>
          <w:szCs w:val="24"/>
        </w:rPr>
        <w:t xml:space="preserve"> </w:t>
      </w:r>
      <w:r w:rsidRPr="007919C0">
        <w:rPr>
          <w:rFonts w:ascii="Times New Roman" w:hAnsi="Times New Roman"/>
          <w:sz w:val="24"/>
          <w:szCs w:val="24"/>
        </w:rPr>
        <w:t>investigatory records. But they have not offered any argument explaining how any</w:t>
      </w:r>
      <w:r>
        <w:rPr>
          <w:rFonts w:ascii="Times New Roman" w:hAnsi="Times New Roman"/>
          <w:sz w:val="24"/>
          <w:szCs w:val="24"/>
        </w:rPr>
        <w:t xml:space="preserve"> </w:t>
      </w:r>
      <w:r w:rsidRPr="007919C0">
        <w:rPr>
          <w:rFonts w:ascii="Times New Roman" w:hAnsi="Times New Roman"/>
          <w:sz w:val="24"/>
          <w:szCs w:val="24"/>
        </w:rPr>
        <w:t>record requested by relators meets the requirements for either of these exceptions</w:t>
      </w:r>
      <w:r>
        <w:rPr>
          <w:rFonts w:ascii="Times New Roman" w:hAnsi="Times New Roman"/>
          <w:sz w:val="24"/>
          <w:szCs w:val="24"/>
        </w:rPr>
        <w:t xml:space="preserve"> </w:t>
      </w:r>
      <w:r w:rsidRPr="007919C0">
        <w:rPr>
          <w:rFonts w:ascii="Times New Roman" w:hAnsi="Times New Roman"/>
          <w:sz w:val="24"/>
          <w:szCs w:val="24"/>
        </w:rPr>
        <w:t xml:space="preserve">to apply. Nor have they submitted any documents </w:t>
      </w:r>
      <w:proofErr w:type="gramStart"/>
      <w:r w:rsidRPr="007919C0">
        <w:rPr>
          <w:rFonts w:ascii="Times New Roman" w:hAnsi="Times New Roman"/>
          <w:sz w:val="24"/>
          <w:szCs w:val="24"/>
        </w:rPr>
        <w:t>for in</w:t>
      </w:r>
      <w:proofErr w:type="gramEnd"/>
      <w:r w:rsidRPr="007919C0">
        <w:rPr>
          <w:rFonts w:ascii="Times New Roman" w:hAnsi="Times New Roman"/>
          <w:sz w:val="24"/>
          <w:szCs w:val="24"/>
        </w:rPr>
        <w:t xml:space="preserve"> camera inspection. Thus,</w:t>
      </w:r>
      <w:r>
        <w:rPr>
          <w:rFonts w:ascii="Times New Roman" w:hAnsi="Times New Roman"/>
          <w:sz w:val="24"/>
          <w:szCs w:val="24"/>
        </w:rPr>
        <w:t xml:space="preserve"> </w:t>
      </w:r>
      <w:r w:rsidRPr="007919C0">
        <w:rPr>
          <w:rFonts w:ascii="Times New Roman" w:hAnsi="Times New Roman"/>
          <w:sz w:val="24"/>
          <w:szCs w:val="24"/>
        </w:rPr>
        <w:t>Cedar Fair and Gilson have not met their burden to show that these documents, to</w:t>
      </w:r>
      <w:r>
        <w:rPr>
          <w:rFonts w:ascii="Times New Roman" w:hAnsi="Times New Roman"/>
          <w:sz w:val="24"/>
          <w:szCs w:val="24"/>
        </w:rPr>
        <w:t xml:space="preserve"> </w:t>
      </w:r>
      <w:r w:rsidRPr="007919C0">
        <w:rPr>
          <w:rFonts w:ascii="Times New Roman" w:hAnsi="Times New Roman"/>
          <w:sz w:val="24"/>
          <w:szCs w:val="24"/>
        </w:rPr>
        <w:t>the extent that they exist, are exempt from disclosure.</w:t>
      </w:r>
      <w:r>
        <w:rPr>
          <w:rFonts w:ascii="Times New Roman" w:hAnsi="Times New Roman"/>
          <w:sz w:val="24"/>
          <w:szCs w:val="24"/>
        </w:rPr>
        <w:t xml:space="preserve"> *** </w:t>
      </w:r>
      <w:r w:rsidRPr="0031579C">
        <w:rPr>
          <w:rFonts w:ascii="Times New Roman" w:hAnsi="Times New Roman"/>
          <w:sz w:val="24"/>
          <w:szCs w:val="24"/>
        </w:rPr>
        <w:t>However, we do not order the production of incident or investigative</w:t>
      </w:r>
      <w:r>
        <w:rPr>
          <w:rFonts w:ascii="Times New Roman" w:hAnsi="Times New Roman"/>
          <w:sz w:val="24"/>
          <w:szCs w:val="24"/>
        </w:rPr>
        <w:t xml:space="preserve"> </w:t>
      </w:r>
      <w:r w:rsidRPr="0031579C">
        <w:rPr>
          <w:rFonts w:ascii="Times New Roman" w:hAnsi="Times New Roman"/>
          <w:sz w:val="24"/>
          <w:szCs w:val="24"/>
        </w:rPr>
        <w:t>reports created by emergency-medical-</w:t>
      </w:r>
      <w:proofErr w:type="gramStart"/>
      <w:r w:rsidRPr="0031579C">
        <w:rPr>
          <w:rFonts w:ascii="Times New Roman" w:hAnsi="Times New Roman"/>
          <w:sz w:val="24"/>
          <w:szCs w:val="24"/>
        </w:rPr>
        <w:t>services (</w:t>
      </w:r>
      <w:r>
        <w:rPr>
          <w:rFonts w:ascii="Times New Roman" w:hAnsi="Times New Roman"/>
          <w:sz w:val="24"/>
          <w:szCs w:val="24"/>
        </w:rPr>
        <w:t>‘</w:t>
      </w:r>
      <w:proofErr w:type="gramEnd"/>
      <w:r w:rsidRPr="0031579C">
        <w:rPr>
          <w:rFonts w:ascii="Times New Roman" w:hAnsi="Times New Roman"/>
          <w:sz w:val="24"/>
          <w:szCs w:val="24"/>
        </w:rPr>
        <w:t>EMS</w:t>
      </w:r>
      <w:r>
        <w:rPr>
          <w:rFonts w:ascii="Times New Roman" w:hAnsi="Times New Roman"/>
          <w:sz w:val="24"/>
          <w:szCs w:val="24"/>
        </w:rPr>
        <w:t>’</w:t>
      </w:r>
      <w:r w:rsidRPr="0031579C">
        <w:rPr>
          <w:rFonts w:ascii="Times New Roman" w:hAnsi="Times New Roman"/>
          <w:sz w:val="24"/>
          <w:szCs w:val="24"/>
        </w:rPr>
        <w:t>) personnel or related to</w:t>
      </w:r>
      <w:r>
        <w:rPr>
          <w:rFonts w:ascii="Times New Roman" w:hAnsi="Times New Roman"/>
          <w:sz w:val="24"/>
          <w:szCs w:val="24"/>
        </w:rPr>
        <w:t xml:space="preserve"> </w:t>
      </w:r>
      <w:r w:rsidRPr="0031579C">
        <w:rPr>
          <w:rFonts w:ascii="Times New Roman" w:hAnsi="Times New Roman"/>
          <w:sz w:val="24"/>
          <w:szCs w:val="24"/>
        </w:rPr>
        <w:t>EMS services. WKYC requested, among other things, incident reports and relate</w:t>
      </w:r>
      <w:r>
        <w:rPr>
          <w:rFonts w:ascii="Times New Roman" w:hAnsi="Times New Roman"/>
          <w:sz w:val="24"/>
          <w:szCs w:val="24"/>
        </w:rPr>
        <w:t>d r</w:t>
      </w:r>
      <w:r w:rsidRPr="00791E9A">
        <w:rPr>
          <w:rFonts w:ascii="Times New Roman" w:hAnsi="Times New Roman"/>
          <w:sz w:val="24"/>
          <w:szCs w:val="24"/>
        </w:rPr>
        <w:t>ecords created by EMS personnel during the alleged Top Thrill Dragster incident.</w:t>
      </w:r>
      <w:r>
        <w:rPr>
          <w:rFonts w:ascii="Times New Roman" w:hAnsi="Times New Roman"/>
          <w:sz w:val="24"/>
          <w:szCs w:val="24"/>
        </w:rPr>
        <w:t xml:space="preserve"> </w:t>
      </w:r>
      <w:r w:rsidRPr="00791E9A">
        <w:rPr>
          <w:rFonts w:ascii="Times New Roman" w:hAnsi="Times New Roman"/>
          <w:sz w:val="24"/>
          <w:szCs w:val="24"/>
        </w:rPr>
        <w:t>EMS services are not police services, and there is no evidence in the record</w:t>
      </w:r>
      <w:r>
        <w:rPr>
          <w:rFonts w:ascii="Times New Roman" w:hAnsi="Times New Roman"/>
          <w:sz w:val="24"/>
          <w:szCs w:val="24"/>
        </w:rPr>
        <w:t xml:space="preserve"> </w:t>
      </w:r>
      <w:r w:rsidRPr="00791E9A">
        <w:rPr>
          <w:rFonts w:ascii="Times New Roman" w:hAnsi="Times New Roman"/>
          <w:sz w:val="24"/>
          <w:szCs w:val="24"/>
        </w:rPr>
        <w:t>indicating that the CPPD provides EMS services or employs EMS personnel. To</w:t>
      </w:r>
      <w:r>
        <w:rPr>
          <w:rFonts w:ascii="Times New Roman" w:hAnsi="Times New Roman"/>
          <w:sz w:val="24"/>
          <w:szCs w:val="24"/>
        </w:rPr>
        <w:t xml:space="preserve"> </w:t>
      </w:r>
      <w:r w:rsidRPr="00791E9A">
        <w:rPr>
          <w:rFonts w:ascii="Times New Roman" w:hAnsi="Times New Roman"/>
          <w:sz w:val="24"/>
          <w:szCs w:val="24"/>
        </w:rPr>
        <w:t>the extent that Cedar Fair provided EMS services related to the alleged Top Thrill</w:t>
      </w:r>
      <w:r>
        <w:rPr>
          <w:rFonts w:ascii="Times New Roman" w:hAnsi="Times New Roman"/>
          <w:sz w:val="24"/>
          <w:szCs w:val="24"/>
        </w:rPr>
        <w:t xml:space="preserve"> </w:t>
      </w:r>
      <w:r w:rsidRPr="00791E9A">
        <w:rPr>
          <w:rFonts w:ascii="Times New Roman" w:hAnsi="Times New Roman"/>
          <w:sz w:val="24"/>
          <w:szCs w:val="24"/>
        </w:rPr>
        <w:t>Dragster incident, relators have produced no evidence showing that these services</w:t>
      </w:r>
      <w:r>
        <w:rPr>
          <w:rFonts w:ascii="Times New Roman" w:hAnsi="Times New Roman"/>
          <w:sz w:val="24"/>
          <w:szCs w:val="24"/>
        </w:rPr>
        <w:t xml:space="preserve"> </w:t>
      </w:r>
      <w:r w:rsidRPr="00791E9A">
        <w:rPr>
          <w:rFonts w:ascii="Times New Roman" w:hAnsi="Times New Roman"/>
          <w:sz w:val="24"/>
          <w:szCs w:val="24"/>
        </w:rPr>
        <w:t xml:space="preserve">were provided through the </w:t>
      </w:r>
      <w:proofErr w:type="gramStart"/>
      <w:r w:rsidRPr="00791E9A">
        <w:rPr>
          <w:rFonts w:ascii="Times New Roman" w:hAnsi="Times New Roman"/>
          <w:sz w:val="24"/>
          <w:szCs w:val="24"/>
        </w:rPr>
        <w:t>CPPD</w:t>
      </w:r>
      <w:r>
        <w:rPr>
          <w:rFonts w:ascii="Times New Roman" w:hAnsi="Times New Roman"/>
          <w:sz w:val="24"/>
          <w:szCs w:val="24"/>
        </w:rPr>
        <w:t>.”</w:t>
      </w:r>
      <w:proofErr w:type="gramEnd"/>
      <w:r>
        <w:rPr>
          <w:rFonts w:ascii="Times New Roman" w:hAnsi="Times New Roman"/>
          <w:sz w:val="24"/>
          <w:szCs w:val="24"/>
        </w:rPr>
        <w:t xml:space="preserve"> </w:t>
      </w:r>
    </w:p>
    <w:p w14:paraId="2DBDFA28" w14:textId="77777777" w:rsidR="00C30293" w:rsidRDefault="00C30293" w:rsidP="00C30293">
      <w:pPr>
        <w:pStyle w:val="NoSpacing"/>
        <w:rPr>
          <w:rFonts w:ascii="Times New Roman" w:hAnsi="Times New Roman"/>
          <w:sz w:val="24"/>
          <w:szCs w:val="24"/>
        </w:rPr>
      </w:pPr>
      <w:hyperlink r:id="rId2877" w:history="1">
        <w:r w:rsidRPr="0044657D">
          <w:rPr>
            <w:rStyle w:val="Hyperlink"/>
            <w:rFonts w:ascii="Times New Roman" w:hAnsi="Times New Roman"/>
            <w:sz w:val="24"/>
            <w:szCs w:val="24"/>
          </w:rPr>
          <w:t>https://www.supremecourt.ohio.gov/rod/docs/pdf/0/2023/2023-Ohio-4593.pdf</w:t>
        </w:r>
      </w:hyperlink>
      <w:r>
        <w:rPr>
          <w:rFonts w:ascii="Times New Roman" w:hAnsi="Times New Roman"/>
          <w:sz w:val="24"/>
          <w:szCs w:val="24"/>
        </w:rPr>
        <w:t xml:space="preserve"> </w:t>
      </w:r>
    </w:p>
    <w:p w14:paraId="6C32A87F" w14:textId="77777777" w:rsidR="00C30293" w:rsidRDefault="00C30293" w:rsidP="00C30293">
      <w:pPr>
        <w:pStyle w:val="NoSpacing"/>
        <w:rPr>
          <w:rFonts w:ascii="Times New Roman" w:hAnsi="Times New Roman"/>
          <w:sz w:val="24"/>
          <w:szCs w:val="24"/>
        </w:rPr>
      </w:pPr>
    </w:p>
    <w:p w14:paraId="0F2A3B67" w14:textId="77777777" w:rsidR="00FB70BC" w:rsidRPr="001D76FE" w:rsidRDefault="00FB70BC" w:rsidP="00FB70BC">
      <w:pPr>
        <w:pStyle w:val="NoSpacing"/>
        <w:rPr>
          <w:rFonts w:ascii="Times New Roman" w:hAnsi="Times New Roman"/>
          <w:b/>
          <w:bCs/>
          <w:sz w:val="24"/>
          <w:szCs w:val="24"/>
        </w:rPr>
      </w:pPr>
      <w:r w:rsidRPr="001D76FE">
        <w:rPr>
          <w:rFonts w:ascii="Times New Roman" w:hAnsi="Times New Roman"/>
          <w:b/>
          <w:bCs/>
          <w:sz w:val="24"/>
          <w:szCs w:val="24"/>
        </w:rPr>
        <w:t>Legal Lesson Learned:</w:t>
      </w:r>
      <w:r>
        <w:rPr>
          <w:rFonts w:ascii="Times New Roman" w:hAnsi="Times New Roman"/>
          <w:b/>
          <w:bCs/>
          <w:sz w:val="24"/>
          <w:szCs w:val="24"/>
        </w:rPr>
        <w:t xml:space="preserve"> The Park should have submitted records for “in camera” review by trial court, so they could then assert investigative exemption. </w:t>
      </w:r>
      <w:r w:rsidRPr="001D76FE">
        <w:rPr>
          <w:rFonts w:ascii="Times New Roman" w:hAnsi="Times New Roman"/>
          <w:b/>
          <w:bCs/>
          <w:sz w:val="24"/>
          <w:szCs w:val="24"/>
        </w:rPr>
        <w:t xml:space="preserve"> </w:t>
      </w:r>
      <w:r>
        <w:rPr>
          <w:rFonts w:ascii="Times New Roman" w:hAnsi="Times New Roman"/>
          <w:b/>
          <w:bCs/>
          <w:sz w:val="24"/>
          <w:szCs w:val="24"/>
        </w:rPr>
        <w:t xml:space="preserve">Private EMS companies providing 911 public service would likewise be subject to Ohio Public Records Act. </w:t>
      </w:r>
    </w:p>
    <w:p w14:paraId="62358D9F" w14:textId="77777777" w:rsidR="00FB70BC" w:rsidRDefault="00FB70BC" w:rsidP="00FB70BC">
      <w:pPr>
        <w:pStyle w:val="NoSpacing"/>
        <w:ind w:left="720"/>
        <w:rPr>
          <w:rFonts w:ascii="Times New Roman" w:hAnsi="Times New Roman"/>
          <w:sz w:val="24"/>
          <w:szCs w:val="24"/>
        </w:rPr>
      </w:pPr>
    </w:p>
    <w:p w14:paraId="3B86F73C" w14:textId="77777777" w:rsidR="00FB70BC" w:rsidRDefault="00FB70BC" w:rsidP="00FB70BC">
      <w:pPr>
        <w:pStyle w:val="NoSpacing"/>
        <w:ind w:left="720"/>
        <w:rPr>
          <w:rFonts w:ascii="Times New Roman" w:hAnsi="Times New Roman"/>
          <w:sz w:val="24"/>
          <w:szCs w:val="24"/>
        </w:rPr>
      </w:pPr>
      <w:r>
        <w:rPr>
          <w:rFonts w:ascii="Times New Roman" w:hAnsi="Times New Roman"/>
          <w:sz w:val="24"/>
          <w:szCs w:val="24"/>
        </w:rPr>
        <w:t>Note: DISSENT BY CHIEF JUSTICE SHARON L. KENNEDY – TV STATIONS SHOULD BE AWARDED STATUTORY DAMAGES AND ATTORNEY FEES</w:t>
      </w:r>
    </w:p>
    <w:p w14:paraId="43C796E8" w14:textId="77777777" w:rsidR="00FB70BC" w:rsidRDefault="00FB70BC" w:rsidP="00FB70BC">
      <w:pPr>
        <w:pStyle w:val="NoSpacing"/>
        <w:ind w:left="720"/>
        <w:rPr>
          <w:rFonts w:ascii="Times New Roman" w:hAnsi="Times New Roman"/>
          <w:sz w:val="24"/>
          <w:szCs w:val="24"/>
        </w:rPr>
      </w:pPr>
    </w:p>
    <w:p w14:paraId="5AF52184" w14:textId="77777777" w:rsidR="00FB70BC" w:rsidRDefault="00FB70BC" w:rsidP="00FB70BC">
      <w:pPr>
        <w:pStyle w:val="NoSpacing"/>
        <w:ind w:left="720"/>
        <w:rPr>
          <w:rFonts w:ascii="Times New Roman" w:hAnsi="Times New Roman"/>
          <w:sz w:val="24"/>
          <w:szCs w:val="24"/>
        </w:rPr>
      </w:pPr>
      <w:r>
        <w:rPr>
          <w:rFonts w:ascii="Times New Roman" w:hAnsi="Times New Roman"/>
          <w:sz w:val="24"/>
          <w:szCs w:val="24"/>
        </w:rPr>
        <w:t xml:space="preserve"> “</w:t>
      </w:r>
      <w:r w:rsidRPr="00356695">
        <w:rPr>
          <w:rFonts w:ascii="Times New Roman" w:hAnsi="Times New Roman"/>
          <w:sz w:val="24"/>
          <w:szCs w:val="24"/>
        </w:rPr>
        <w:t>I part ways with the majority, however, in its denial of awards of</w:t>
      </w:r>
      <w:r>
        <w:rPr>
          <w:rFonts w:ascii="Times New Roman" w:hAnsi="Times New Roman"/>
          <w:sz w:val="24"/>
          <w:szCs w:val="24"/>
        </w:rPr>
        <w:t xml:space="preserve"> </w:t>
      </w:r>
      <w:r w:rsidRPr="00356695">
        <w:rPr>
          <w:rFonts w:ascii="Times New Roman" w:hAnsi="Times New Roman"/>
          <w:sz w:val="24"/>
          <w:szCs w:val="24"/>
        </w:rPr>
        <w:t xml:space="preserve">statutory damages and attorney fees to relators. Based on the </w:t>
      </w:r>
      <w:proofErr w:type="gramStart"/>
      <w:r w:rsidRPr="00356695">
        <w:rPr>
          <w:rFonts w:ascii="Times New Roman" w:hAnsi="Times New Roman"/>
          <w:sz w:val="24"/>
          <w:szCs w:val="24"/>
        </w:rPr>
        <w:t>law existing</w:t>
      </w:r>
      <w:proofErr w:type="gramEnd"/>
      <w:r w:rsidRPr="00356695">
        <w:rPr>
          <w:rFonts w:ascii="Times New Roman" w:hAnsi="Times New Roman"/>
          <w:sz w:val="24"/>
          <w:szCs w:val="24"/>
        </w:rPr>
        <w:t xml:space="preserve"> at the</w:t>
      </w:r>
      <w:r>
        <w:rPr>
          <w:rFonts w:ascii="Times New Roman" w:hAnsi="Times New Roman"/>
          <w:sz w:val="24"/>
          <w:szCs w:val="24"/>
        </w:rPr>
        <w:t xml:space="preserve"> </w:t>
      </w:r>
      <w:r w:rsidRPr="00356695">
        <w:rPr>
          <w:rFonts w:ascii="Times New Roman" w:hAnsi="Times New Roman"/>
          <w:sz w:val="24"/>
          <w:szCs w:val="24"/>
        </w:rPr>
        <w:t>time of relators’ requests, a well-informed person responsible for the requested</w:t>
      </w:r>
      <w:r>
        <w:rPr>
          <w:rFonts w:ascii="Times New Roman" w:hAnsi="Times New Roman"/>
          <w:sz w:val="24"/>
          <w:szCs w:val="24"/>
        </w:rPr>
        <w:t xml:space="preserve"> </w:t>
      </w:r>
      <w:r w:rsidRPr="00356695">
        <w:rPr>
          <w:rFonts w:ascii="Times New Roman" w:hAnsi="Times New Roman"/>
          <w:sz w:val="24"/>
          <w:szCs w:val="24"/>
        </w:rPr>
        <w:t>public records would have reasonably believed that respondents had an obligation</w:t>
      </w:r>
      <w:r>
        <w:rPr>
          <w:rFonts w:ascii="Times New Roman" w:hAnsi="Times New Roman"/>
          <w:sz w:val="24"/>
          <w:szCs w:val="24"/>
        </w:rPr>
        <w:t xml:space="preserve"> </w:t>
      </w:r>
      <w:r w:rsidRPr="00356695">
        <w:rPr>
          <w:rFonts w:ascii="Times New Roman" w:hAnsi="Times New Roman"/>
          <w:sz w:val="24"/>
          <w:szCs w:val="24"/>
        </w:rPr>
        <w:t>under the Public Records Act to produce the requested records. Therefore, relators</w:t>
      </w:r>
      <w:r>
        <w:rPr>
          <w:rFonts w:ascii="Times New Roman" w:hAnsi="Times New Roman"/>
          <w:sz w:val="24"/>
          <w:szCs w:val="24"/>
        </w:rPr>
        <w:t xml:space="preserve"> </w:t>
      </w:r>
      <w:r w:rsidRPr="00356695">
        <w:rPr>
          <w:rFonts w:ascii="Times New Roman" w:hAnsi="Times New Roman"/>
          <w:sz w:val="24"/>
          <w:szCs w:val="24"/>
        </w:rPr>
        <w:t xml:space="preserve">are entitled to statutory </w:t>
      </w:r>
      <w:proofErr w:type="gramStart"/>
      <w:r w:rsidRPr="00356695">
        <w:rPr>
          <w:rFonts w:ascii="Times New Roman" w:hAnsi="Times New Roman"/>
          <w:sz w:val="24"/>
          <w:szCs w:val="24"/>
        </w:rPr>
        <w:t>damages</w:t>
      </w:r>
      <w:proofErr w:type="gramEnd"/>
      <w:r w:rsidRPr="00356695">
        <w:rPr>
          <w:rFonts w:ascii="Times New Roman" w:hAnsi="Times New Roman"/>
          <w:sz w:val="24"/>
          <w:szCs w:val="24"/>
        </w:rPr>
        <w:t xml:space="preserve"> and this court should award attorney fees.</w:t>
      </w:r>
    </w:p>
    <w:p w14:paraId="091399A0" w14:textId="77777777" w:rsidR="00FB70BC" w:rsidRDefault="00FB70BC" w:rsidP="00FB70BC">
      <w:pPr>
        <w:pStyle w:val="NoSpacing"/>
        <w:ind w:left="720"/>
        <w:rPr>
          <w:rFonts w:ascii="Times New Roman" w:hAnsi="Times New Roman"/>
          <w:sz w:val="24"/>
          <w:szCs w:val="24"/>
        </w:rPr>
      </w:pPr>
    </w:p>
    <w:p w14:paraId="4FF94C57" w14:textId="77777777" w:rsidR="00FB70BC" w:rsidRDefault="00FB70BC" w:rsidP="00FB70BC">
      <w:pPr>
        <w:pStyle w:val="NoSpacing"/>
        <w:ind w:left="720"/>
        <w:rPr>
          <w:rFonts w:ascii="Times New Roman" w:hAnsi="Times New Roman"/>
          <w:sz w:val="24"/>
          <w:szCs w:val="24"/>
        </w:rPr>
      </w:pPr>
      <w:r>
        <w:rPr>
          <w:rFonts w:ascii="Times New Roman" w:hAnsi="Times New Roman"/>
          <w:sz w:val="24"/>
          <w:szCs w:val="24"/>
        </w:rPr>
        <w:t>***</w:t>
      </w:r>
    </w:p>
    <w:p w14:paraId="29F28ECE" w14:textId="77777777" w:rsidR="00FB70BC" w:rsidRDefault="00FB70BC" w:rsidP="00FB70BC">
      <w:pPr>
        <w:pStyle w:val="NoSpacing"/>
        <w:ind w:left="720"/>
        <w:rPr>
          <w:rFonts w:ascii="Times New Roman" w:hAnsi="Times New Roman"/>
          <w:sz w:val="24"/>
          <w:szCs w:val="24"/>
        </w:rPr>
      </w:pPr>
    </w:p>
    <w:p w14:paraId="595D4F93" w14:textId="77777777" w:rsidR="00FB70BC" w:rsidRPr="00A9125A" w:rsidRDefault="00FB70BC" w:rsidP="00FB70BC">
      <w:pPr>
        <w:pStyle w:val="NoSpacing"/>
        <w:ind w:left="720"/>
        <w:rPr>
          <w:rFonts w:ascii="Times New Roman" w:hAnsi="Times New Roman"/>
          <w:sz w:val="24"/>
          <w:szCs w:val="24"/>
        </w:rPr>
      </w:pPr>
      <w:r w:rsidRPr="00FD2DAA">
        <w:rPr>
          <w:rFonts w:ascii="Times New Roman" w:hAnsi="Times New Roman"/>
          <w:sz w:val="24"/>
          <w:szCs w:val="24"/>
        </w:rPr>
        <w:t>The Sandusky City Manager, a government official, appoints and</w:t>
      </w:r>
      <w:r>
        <w:rPr>
          <w:rFonts w:ascii="Times New Roman" w:hAnsi="Times New Roman"/>
          <w:sz w:val="24"/>
          <w:szCs w:val="24"/>
        </w:rPr>
        <w:t xml:space="preserve"> </w:t>
      </w:r>
      <w:r w:rsidRPr="00FD2DAA">
        <w:rPr>
          <w:rFonts w:ascii="Times New Roman" w:hAnsi="Times New Roman"/>
          <w:sz w:val="24"/>
          <w:szCs w:val="24"/>
        </w:rPr>
        <w:t xml:space="preserve">maintains the Department’s police officers. These officers contractually </w:t>
      </w:r>
      <w:proofErr w:type="gramStart"/>
      <w:r w:rsidRPr="00FD2DAA">
        <w:rPr>
          <w:rFonts w:ascii="Times New Roman" w:hAnsi="Times New Roman"/>
          <w:sz w:val="24"/>
          <w:szCs w:val="24"/>
        </w:rPr>
        <w:t>serve at</w:t>
      </w:r>
      <w:proofErr w:type="gramEnd"/>
      <w:r>
        <w:rPr>
          <w:rFonts w:ascii="Times New Roman" w:hAnsi="Times New Roman"/>
          <w:sz w:val="24"/>
          <w:szCs w:val="24"/>
        </w:rPr>
        <w:t xml:space="preserve"> </w:t>
      </w:r>
      <w:r w:rsidRPr="00FD2DAA">
        <w:rPr>
          <w:rFonts w:ascii="Times New Roman" w:hAnsi="Times New Roman"/>
          <w:sz w:val="24"/>
          <w:szCs w:val="24"/>
        </w:rPr>
        <w:t>the pleasure of the city manager. These officers also must be qualified to serve as</w:t>
      </w:r>
      <w:r>
        <w:rPr>
          <w:rFonts w:ascii="Times New Roman" w:hAnsi="Times New Roman"/>
          <w:sz w:val="24"/>
          <w:szCs w:val="24"/>
        </w:rPr>
        <w:t xml:space="preserve"> </w:t>
      </w:r>
      <w:r w:rsidRPr="00FD2DAA">
        <w:rPr>
          <w:rFonts w:ascii="Times New Roman" w:hAnsi="Times New Roman"/>
          <w:sz w:val="24"/>
          <w:szCs w:val="24"/>
        </w:rPr>
        <w:t>law-enforcement officers in Ohio, pursuant to both a Sandusky ordinance and the</w:t>
      </w:r>
      <w:r>
        <w:rPr>
          <w:rFonts w:ascii="Times New Roman" w:hAnsi="Times New Roman"/>
          <w:sz w:val="24"/>
          <w:szCs w:val="24"/>
        </w:rPr>
        <w:t xml:space="preserve"> </w:t>
      </w:r>
      <w:r w:rsidRPr="00FD2DAA">
        <w:rPr>
          <w:rFonts w:ascii="Times New Roman" w:hAnsi="Times New Roman"/>
          <w:sz w:val="24"/>
          <w:szCs w:val="24"/>
        </w:rPr>
        <w:t>agreement between Sandusky and Cedar Fair, and they swear an oath before the</w:t>
      </w:r>
      <w:r>
        <w:rPr>
          <w:rFonts w:ascii="Times New Roman" w:hAnsi="Times New Roman"/>
          <w:sz w:val="24"/>
          <w:szCs w:val="24"/>
        </w:rPr>
        <w:t xml:space="preserve"> </w:t>
      </w:r>
      <w:r w:rsidRPr="00FD2DAA">
        <w:rPr>
          <w:rFonts w:ascii="Times New Roman" w:hAnsi="Times New Roman"/>
          <w:sz w:val="24"/>
          <w:szCs w:val="24"/>
        </w:rPr>
        <w:t>city manager to uphold the laws of Sandusky, the state of Ohio, and the United</w:t>
      </w:r>
      <w:r>
        <w:rPr>
          <w:rFonts w:ascii="Times New Roman" w:hAnsi="Times New Roman"/>
          <w:sz w:val="24"/>
          <w:szCs w:val="24"/>
        </w:rPr>
        <w:t xml:space="preserve"> </w:t>
      </w:r>
      <w:r w:rsidRPr="00FD2DAA">
        <w:rPr>
          <w:rFonts w:ascii="Times New Roman" w:hAnsi="Times New Roman"/>
          <w:sz w:val="24"/>
          <w:szCs w:val="24"/>
        </w:rPr>
        <w:t xml:space="preserve">States. Further, the Ohio Peace Officer Training Commission lists </w:t>
      </w:r>
      <w:r>
        <w:rPr>
          <w:rFonts w:ascii="Times New Roman" w:hAnsi="Times New Roman"/>
          <w:sz w:val="24"/>
          <w:szCs w:val="24"/>
        </w:rPr>
        <w:t>‘</w:t>
      </w:r>
      <w:r w:rsidRPr="00FD2DAA">
        <w:rPr>
          <w:rFonts w:ascii="Times New Roman" w:hAnsi="Times New Roman"/>
          <w:sz w:val="24"/>
          <w:szCs w:val="24"/>
        </w:rPr>
        <w:t>Sandusky</w:t>
      </w:r>
      <w:r>
        <w:rPr>
          <w:rFonts w:ascii="Times New Roman" w:hAnsi="Times New Roman"/>
          <w:sz w:val="24"/>
          <w:szCs w:val="24"/>
        </w:rPr>
        <w:t xml:space="preserve"> </w:t>
      </w:r>
      <w:r w:rsidRPr="00FD2DAA">
        <w:rPr>
          <w:rFonts w:ascii="Times New Roman" w:hAnsi="Times New Roman"/>
          <w:sz w:val="24"/>
          <w:szCs w:val="24"/>
        </w:rPr>
        <w:t>Police/Cedar Point Division</w:t>
      </w:r>
      <w:r>
        <w:rPr>
          <w:rFonts w:ascii="Times New Roman" w:hAnsi="Times New Roman"/>
          <w:sz w:val="24"/>
          <w:szCs w:val="24"/>
        </w:rPr>
        <w:t>’</w:t>
      </w:r>
      <w:r w:rsidRPr="00FD2DAA">
        <w:rPr>
          <w:rFonts w:ascii="Times New Roman" w:hAnsi="Times New Roman"/>
          <w:sz w:val="24"/>
          <w:szCs w:val="24"/>
        </w:rPr>
        <w:t xml:space="preserve"> as a police agency.</w:t>
      </w:r>
      <w:r>
        <w:rPr>
          <w:rFonts w:ascii="Times New Roman" w:hAnsi="Times New Roman"/>
          <w:sz w:val="24"/>
          <w:szCs w:val="24"/>
        </w:rPr>
        <w:t>”</w:t>
      </w:r>
    </w:p>
    <w:p w14:paraId="6BC292F7" w14:textId="77777777" w:rsidR="00FB70BC" w:rsidRDefault="00FB70BC" w:rsidP="00FB70BC">
      <w:pPr>
        <w:pStyle w:val="NormalWeb"/>
        <w:jc w:val="center"/>
      </w:pPr>
    </w:p>
    <w:p w14:paraId="51FD047F" w14:textId="77777777" w:rsidR="002B2323" w:rsidRDefault="002B2323" w:rsidP="000C4DF5">
      <w:pPr>
        <w:pStyle w:val="NoSpacing"/>
        <w:rPr>
          <w:rFonts w:ascii="Arial Black" w:hAnsi="Arial Black"/>
          <w:sz w:val="24"/>
          <w:szCs w:val="24"/>
        </w:rPr>
      </w:pPr>
    </w:p>
    <w:p w14:paraId="61357726" w14:textId="77777777" w:rsidR="002B2323" w:rsidRDefault="002B2323" w:rsidP="000C4DF5">
      <w:pPr>
        <w:pStyle w:val="NoSpacing"/>
        <w:rPr>
          <w:rFonts w:ascii="Arial Black" w:hAnsi="Arial Black"/>
          <w:sz w:val="24"/>
          <w:szCs w:val="24"/>
        </w:rPr>
      </w:pPr>
    </w:p>
    <w:p w14:paraId="4AC326CA" w14:textId="77777777" w:rsidR="002B2323" w:rsidRDefault="002B2323" w:rsidP="000C4DF5">
      <w:pPr>
        <w:pStyle w:val="NoSpacing"/>
        <w:rPr>
          <w:rFonts w:ascii="Arial Black" w:hAnsi="Arial Black"/>
          <w:sz w:val="24"/>
          <w:szCs w:val="24"/>
        </w:rPr>
      </w:pPr>
    </w:p>
    <w:p w14:paraId="7F502482" w14:textId="77777777" w:rsidR="002B2323" w:rsidRDefault="002B2323" w:rsidP="000C4DF5">
      <w:pPr>
        <w:pStyle w:val="NoSpacing"/>
        <w:rPr>
          <w:rFonts w:ascii="Arial Black" w:hAnsi="Arial Black"/>
          <w:sz w:val="24"/>
          <w:szCs w:val="24"/>
        </w:rPr>
      </w:pPr>
    </w:p>
    <w:p w14:paraId="51241731" w14:textId="3BB3E475" w:rsidR="00B15008" w:rsidRDefault="00B15008" w:rsidP="000C4DF5">
      <w:pPr>
        <w:pStyle w:val="NoSpacing"/>
        <w:rPr>
          <w:rFonts w:ascii="Arial Black" w:hAnsi="Arial Black"/>
          <w:sz w:val="24"/>
          <w:szCs w:val="24"/>
        </w:rPr>
      </w:pPr>
      <w:r>
        <w:rPr>
          <w:rFonts w:ascii="Arial Black" w:hAnsi="Arial Black"/>
          <w:sz w:val="24"/>
          <w:szCs w:val="24"/>
        </w:rPr>
        <w:t>18-24</w:t>
      </w:r>
    </w:p>
    <w:p w14:paraId="6AB8CB58" w14:textId="77777777" w:rsidR="00B15008" w:rsidRDefault="00B15008" w:rsidP="000C4DF5">
      <w:pPr>
        <w:pStyle w:val="NoSpacing"/>
        <w:rPr>
          <w:rFonts w:ascii="Arial Black" w:hAnsi="Arial Black"/>
          <w:sz w:val="24"/>
          <w:szCs w:val="24"/>
        </w:rPr>
      </w:pPr>
    </w:p>
    <w:p w14:paraId="111AA394" w14:textId="77777777" w:rsidR="00FD530A" w:rsidRPr="008F56DF" w:rsidRDefault="00FD530A" w:rsidP="00FD530A">
      <w:pPr>
        <w:pStyle w:val="NoSpacing"/>
        <w:rPr>
          <w:rFonts w:ascii="Arial Black" w:hAnsi="Arial Black"/>
          <w:sz w:val="28"/>
          <w:szCs w:val="28"/>
        </w:rPr>
      </w:pPr>
      <w:r>
        <w:rPr>
          <w:rFonts w:ascii="Arial Black" w:hAnsi="Arial Black"/>
          <w:sz w:val="28"/>
          <w:szCs w:val="28"/>
        </w:rPr>
        <w:t xml:space="preserve">FL: PUBLIC RECORDS - MARSY’S LAW VICTIMS RIGHTS – TWO PD WHO KILLED TWO ASSAILANTS – NAMES PUBLIC </w:t>
      </w:r>
    </w:p>
    <w:p w14:paraId="46020E33" w14:textId="77777777" w:rsidR="00FD530A" w:rsidRDefault="00FD530A" w:rsidP="00FD530A">
      <w:pPr>
        <w:pStyle w:val="NoSpacing"/>
        <w:rPr>
          <w:rFonts w:ascii="Times New Roman" w:hAnsi="Times New Roman"/>
          <w:sz w:val="24"/>
          <w:szCs w:val="24"/>
        </w:rPr>
      </w:pPr>
    </w:p>
    <w:p w14:paraId="0448A130" w14:textId="57E7A586" w:rsidR="00B15008" w:rsidRDefault="00FD530A" w:rsidP="00FD530A">
      <w:pPr>
        <w:pStyle w:val="NoSpacing"/>
        <w:rPr>
          <w:rStyle w:val="Hyperlink"/>
          <w:rFonts w:ascii="Times New Roman" w:hAnsi="Times New Roman"/>
          <w:sz w:val="24"/>
          <w:szCs w:val="24"/>
        </w:rPr>
      </w:pPr>
      <w:r>
        <w:rPr>
          <w:rFonts w:ascii="Times New Roman" w:hAnsi="Times New Roman"/>
          <w:sz w:val="24"/>
          <w:szCs w:val="24"/>
        </w:rPr>
        <w:t xml:space="preserve">On Nov. 30, 2023, in </w:t>
      </w:r>
      <w:r w:rsidRPr="00B478B5">
        <w:rPr>
          <w:rFonts w:ascii="Times New Roman" w:hAnsi="Times New Roman"/>
          <w:sz w:val="24"/>
          <w:szCs w:val="24"/>
          <w:u w:val="single"/>
        </w:rPr>
        <w:t>City of Tallahassee, Florida v. Florida Police Benevolent Association, Inc., et al.</w:t>
      </w:r>
      <w:r>
        <w:rPr>
          <w:rFonts w:ascii="Times New Roman" w:hAnsi="Times New Roman"/>
          <w:sz w:val="24"/>
          <w:szCs w:val="24"/>
        </w:rPr>
        <w:t>, the Supreme Court of Florida, the Court held (5 to 0) that two policers had no right to prevent their names being released to reporters.   Each officer, in separate incidents, killed assailants in self-defense and were cleared by a grand jury, and now claimed their names were protected as “victims” under Marsy’s Law.   Florida residents in 2018 voted to amend the state Constitution so that victim’s location information would not be made public, and victims would be kept informed on status of a defendant’s case.  The Court held: “</w:t>
      </w:r>
      <w:r w:rsidRPr="006573E3">
        <w:rPr>
          <w:rFonts w:ascii="Times New Roman" w:hAnsi="Times New Roman"/>
          <w:sz w:val="24"/>
          <w:szCs w:val="24"/>
        </w:rPr>
        <w:t>Marsy’s Law</w:t>
      </w:r>
      <w:r>
        <w:rPr>
          <w:rFonts w:ascii="Times New Roman" w:hAnsi="Times New Roman"/>
          <w:sz w:val="24"/>
          <w:szCs w:val="24"/>
        </w:rPr>
        <w:t xml:space="preserve"> </w:t>
      </w:r>
      <w:r w:rsidRPr="006573E3">
        <w:rPr>
          <w:rFonts w:ascii="Times New Roman" w:hAnsi="Times New Roman"/>
          <w:sz w:val="24"/>
          <w:szCs w:val="24"/>
        </w:rPr>
        <w:t>does not preclude the City from releasing the</w:t>
      </w:r>
      <w:r>
        <w:rPr>
          <w:rFonts w:ascii="Times New Roman" w:hAnsi="Times New Roman"/>
          <w:sz w:val="24"/>
          <w:szCs w:val="24"/>
        </w:rPr>
        <w:t xml:space="preserve"> </w:t>
      </w:r>
      <w:r w:rsidRPr="006573E3">
        <w:rPr>
          <w:rFonts w:ascii="Times New Roman" w:hAnsi="Times New Roman"/>
          <w:sz w:val="24"/>
          <w:szCs w:val="24"/>
        </w:rPr>
        <w:t>names of the two police officers whose conduct is at issue in this</w:t>
      </w:r>
      <w:r>
        <w:rPr>
          <w:rFonts w:ascii="Times New Roman" w:hAnsi="Times New Roman"/>
          <w:sz w:val="24"/>
          <w:szCs w:val="24"/>
        </w:rPr>
        <w:t xml:space="preserve"> </w:t>
      </w:r>
      <w:r w:rsidRPr="006573E3">
        <w:rPr>
          <w:rFonts w:ascii="Times New Roman" w:hAnsi="Times New Roman"/>
          <w:sz w:val="24"/>
          <w:szCs w:val="24"/>
        </w:rPr>
        <w:t>case.</w:t>
      </w:r>
      <w:r>
        <w:rPr>
          <w:rFonts w:ascii="Times New Roman" w:hAnsi="Times New Roman"/>
          <w:sz w:val="24"/>
          <w:szCs w:val="24"/>
        </w:rPr>
        <w:t xml:space="preserve"> *** </w:t>
      </w:r>
      <w:r w:rsidRPr="00DF01CF">
        <w:rPr>
          <w:rFonts w:ascii="Times New Roman" w:hAnsi="Times New Roman"/>
          <w:sz w:val="24"/>
          <w:szCs w:val="24"/>
        </w:rPr>
        <w:t>Applying these interpretive principles to this case, we conclude</w:t>
      </w:r>
      <w:r>
        <w:rPr>
          <w:rFonts w:ascii="Times New Roman" w:hAnsi="Times New Roman"/>
          <w:sz w:val="24"/>
          <w:szCs w:val="24"/>
        </w:rPr>
        <w:t xml:space="preserve"> </w:t>
      </w:r>
      <w:r w:rsidRPr="00DF01CF">
        <w:rPr>
          <w:rFonts w:ascii="Times New Roman" w:hAnsi="Times New Roman"/>
          <w:sz w:val="24"/>
          <w:szCs w:val="24"/>
        </w:rPr>
        <w:t xml:space="preserve">that Marsy’s Law does not </w:t>
      </w:r>
      <w:proofErr w:type="gramStart"/>
      <w:r w:rsidRPr="00DF01CF">
        <w:rPr>
          <w:rFonts w:ascii="Times New Roman" w:hAnsi="Times New Roman"/>
          <w:sz w:val="24"/>
          <w:szCs w:val="24"/>
        </w:rPr>
        <w:t>guarantee to</w:t>
      </w:r>
      <w:proofErr w:type="gramEnd"/>
      <w:r w:rsidRPr="00DF01CF">
        <w:rPr>
          <w:rFonts w:ascii="Times New Roman" w:hAnsi="Times New Roman"/>
          <w:sz w:val="24"/>
          <w:szCs w:val="24"/>
        </w:rPr>
        <w:t xml:space="preserve"> a victim the categorical</w:t>
      </w:r>
      <w:r>
        <w:rPr>
          <w:rFonts w:ascii="Times New Roman" w:hAnsi="Times New Roman"/>
          <w:sz w:val="24"/>
          <w:szCs w:val="24"/>
        </w:rPr>
        <w:t xml:space="preserve"> </w:t>
      </w:r>
      <w:r w:rsidRPr="00DF01CF">
        <w:rPr>
          <w:rFonts w:ascii="Times New Roman" w:hAnsi="Times New Roman"/>
          <w:sz w:val="24"/>
          <w:szCs w:val="24"/>
        </w:rPr>
        <w:t>right to withhold his or her name from disclosure. In their ordinary</w:t>
      </w:r>
      <w:r>
        <w:rPr>
          <w:rFonts w:ascii="Times New Roman" w:hAnsi="Times New Roman"/>
          <w:sz w:val="24"/>
          <w:szCs w:val="24"/>
        </w:rPr>
        <w:t xml:space="preserve"> </w:t>
      </w:r>
      <w:r w:rsidRPr="00DF01CF">
        <w:rPr>
          <w:rFonts w:ascii="Times New Roman" w:hAnsi="Times New Roman"/>
          <w:sz w:val="24"/>
          <w:szCs w:val="24"/>
        </w:rPr>
        <w:t>and plain usage, the relevant words of our Constitution</w:t>
      </w:r>
      <w:r>
        <w:rPr>
          <w:rFonts w:ascii="Times New Roman" w:hAnsi="Times New Roman"/>
          <w:sz w:val="24"/>
          <w:szCs w:val="24"/>
        </w:rPr>
        <w:t xml:space="preserve"> [amended to include Marsy’s Law</w:t>
      </w:r>
      <w:proofErr w:type="gramStart"/>
      <w:r>
        <w:rPr>
          <w:rFonts w:ascii="Times New Roman" w:hAnsi="Times New Roman"/>
          <w:sz w:val="24"/>
          <w:szCs w:val="24"/>
        </w:rPr>
        <w:t>]</w:t>
      </w:r>
      <w:r w:rsidRPr="00DF01CF">
        <w:rPr>
          <w:rFonts w:ascii="Times New Roman" w:hAnsi="Times New Roman"/>
          <w:sz w:val="24"/>
          <w:szCs w:val="24"/>
        </w:rPr>
        <w:t>,</w:t>
      </w:r>
      <w:r>
        <w:rPr>
          <w:rFonts w:ascii="Times New Roman" w:hAnsi="Times New Roman"/>
          <w:sz w:val="24"/>
          <w:szCs w:val="24"/>
        </w:rPr>
        <w:t xml:space="preserve"> ‘</w:t>
      </w:r>
      <w:proofErr w:type="gramEnd"/>
      <w:r w:rsidRPr="00DF01CF">
        <w:rPr>
          <w:rFonts w:ascii="Times New Roman" w:hAnsi="Times New Roman"/>
          <w:sz w:val="24"/>
          <w:szCs w:val="24"/>
        </w:rPr>
        <w:t>information or records that could be used to locate or harass the</w:t>
      </w:r>
      <w:r>
        <w:rPr>
          <w:rFonts w:ascii="Times New Roman" w:hAnsi="Times New Roman"/>
          <w:sz w:val="24"/>
          <w:szCs w:val="24"/>
        </w:rPr>
        <w:t xml:space="preserve"> </w:t>
      </w:r>
      <w:r w:rsidRPr="00DF01CF">
        <w:rPr>
          <w:rFonts w:ascii="Times New Roman" w:hAnsi="Times New Roman"/>
          <w:sz w:val="24"/>
          <w:szCs w:val="24"/>
        </w:rPr>
        <w:t>victim or the victim’s family, or which could disclose confidential or</w:t>
      </w:r>
      <w:r>
        <w:rPr>
          <w:rFonts w:ascii="Times New Roman" w:hAnsi="Times New Roman"/>
          <w:sz w:val="24"/>
          <w:szCs w:val="24"/>
        </w:rPr>
        <w:t xml:space="preserve"> </w:t>
      </w:r>
      <w:r w:rsidRPr="00DF01CF">
        <w:rPr>
          <w:rFonts w:ascii="Times New Roman" w:hAnsi="Times New Roman"/>
          <w:sz w:val="24"/>
          <w:szCs w:val="24"/>
        </w:rPr>
        <w:t xml:space="preserve">privileged information of the </w:t>
      </w:r>
      <w:proofErr w:type="gramStart"/>
      <w:r w:rsidRPr="00DF01CF">
        <w:rPr>
          <w:rFonts w:ascii="Times New Roman" w:hAnsi="Times New Roman"/>
          <w:sz w:val="24"/>
          <w:szCs w:val="24"/>
        </w:rPr>
        <w:t>victim,</w:t>
      </w:r>
      <w:r>
        <w:rPr>
          <w:rFonts w:ascii="Times New Roman" w:hAnsi="Times New Roman"/>
          <w:sz w:val="24"/>
          <w:szCs w:val="24"/>
        </w:rPr>
        <w:t>’</w:t>
      </w:r>
      <w:proofErr w:type="gramEnd"/>
      <w:r w:rsidRPr="00DF01CF">
        <w:rPr>
          <w:rFonts w:ascii="Times New Roman" w:hAnsi="Times New Roman"/>
          <w:sz w:val="24"/>
          <w:szCs w:val="24"/>
        </w:rPr>
        <w:t xml:space="preserve"> art. I, § 16(b)(5), Fla. Const.,</w:t>
      </w:r>
      <w:r>
        <w:rPr>
          <w:rFonts w:ascii="Times New Roman" w:hAnsi="Times New Roman"/>
          <w:sz w:val="24"/>
          <w:szCs w:val="24"/>
        </w:rPr>
        <w:t xml:space="preserve"> </w:t>
      </w:r>
      <w:r w:rsidRPr="00DF01CF">
        <w:rPr>
          <w:rFonts w:ascii="Times New Roman" w:hAnsi="Times New Roman"/>
          <w:sz w:val="24"/>
          <w:szCs w:val="24"/>
        </w:rPr>
        <w:t>do not encompass the victim’s identity.</w:t>
      </w:r>
      <w:r>
        <w:rPr>
          <w:rFonts w:ascii="Times New Roman" w:hAnsi="Times New Roman"/>
          <w:sz w:val="24"/>
          <w:szCs w:val="24"/>
        </w:rPr>
        <w:t xml:space="preserve">” </w:t>
      </w:r>
      <w:hyperlink r:id="rId2878" w:history="1">
        <w:r w:rsidRPr="00E359E2">
          <w:rPr>
            <w:rStyle w:val="Hyperlink"/>
            <w:rFonts w:ascii="Times New Roman" w:hAnsi="Times New Roman"/>
            <w:sz w:val="24"/>
            <w:szCs w:val="24"/>
          </w:rPr>
          <w:t>https://supremecourt.flcourts.gov/content/download/1172655/opinion/Opinion_SC2021-0651.pdf</w:t>
        </w:r>
      </w:hyperlink>
    </w:p>
    <w:p w14:paraId="023BE753" w14:textId="77777777" w:rsidR="002B2323" w:rsidRDefault="002B2323" w:rsidP="00FD530A">
      <w:pPr>
        <w:pStyle w:val="NoSpacing"/>
        <w:rPr>
          <w:rStyle w:val="Hyperlink"/>
          <w:rFonts w:ascii="Times New Roman" w:hAnsi="Times New Roman"/>
          <w:sz w:val="24"/>
          <w:szCs w:val="24"/>
        </w:rPr>
      </w:pPr>
    </w:p>
    <w:p w14:paraId="5BBBA4D9" w14:textId="77777777" w:rsidR="002B2323" w:rsidRDefault="002B2323" w:rsidP="002B2323">
      <w:pPr>
        <w:pStyle w:val="NoSpacing"/>
        <w:rPr>
          <w:rFonts w:ascii="Times New Roman" w:hAnsi="Times New Roman"/>
          <w:b/>
          <w:bCs/>
          <w:sz w:val="24"/>
          <w:szCs w:val="24"/>
        </w:rPr>
      </w:pPr>
      <w:r w:rsidRPr="00A048D2">
        <w:rPr>
          <w:rFonts w:ascii="Times New Roman" w:hAnsi="Times New Roman"/>
          <w:b/>
          <w:bCs/>
          <w:sz w:val="24"/>
          <w:szCs w:val="24"/>
        </w:rPr>
        <w:t>Legal Lesson Learned:</w:t>
      </w:r>
      <w:r>
        <w:rPr>
          <w:rFonts w:ascii="Times New Roman" w:hAnsi="Times New Roman"/>
          <w:b/>
          <w:bCs/>
          <w:sz w:val="24"/>
          <w:szCs w:val="24"/>
        </w:rPr>
        <w:t xml:space="preserve">  Many states have enacted laws protecting from </w:t>
      </w:r>
      <w:proofErr w:type="gramStart"/>
      <w:r>
        <w:rPr>
          <w:rFonts w:ascii="Times New Roman" w:hAnsi="Times New Roman"/>
          <w:b/>
          <w:bCs/>
          <w:sz w:val="24"/>
          <w:szCs w:val="24"/>
        </w:rPr>
        <w:t>disclosure</w:t>
      </w:r>
      <w:proofErr w:type="gramEnd"/>
      <w:r>
        <w:rPr>
          <w:rFonts w:ascii="Times New Roman" w:hAnsi="Times New Roman"/>
          <w:b/>
          <w:bCs/>
          <w:sz w:val="24"/>
          <w:szCs w:val="24"/>
        </w:rPr>
        <w:t xml:space="preserve"> the home addresses of police, fire, EMS and other public officials. </w:t>
      </w:r>
    </w:p>
    <w:p w14:paraId="48B005DB" w14:textId="77777777" w:rsidR="002B2323" w:rsidRPr="007F1753" w:rsidRDefault="002B2323" w:rsidP="002B2323">
      <w:pPr>
        <w:pStyle w:val="NoSpacing"/>
        <w:rPr>
          <w:rFonts w:ascii="Times New Roman" w:hAnsi="Times New Roman"/>
          <w:sz w:val="24"/>
          <w:szCs w:val="24"/>
        </w:rPr>
      </w:pPr>
    </w:p>
    <w:p w14:paraId="23DD780E" w14:textId="77777777" w:rsidR="002B2323" w:rsidRDefault="002B2323" w:rsidP="002B2323">
      <w:pPr>
        <w:pStyle w:val="NoSpacing"/>
        <w:ind w:left="720"/>
        <w:rPr>
          <w:rFonts w:ascii="Times New Roman" w:hAnsi="Times New Roman"/>
          <w:sz w:val="24"/>
          <w:szCs w:val="24"/>
        </w:rPr>
      </w:pPr>
      <w:r w:rsidRPr="007F1753">
        <w:rPr>
          <w:rFonts w:ascii="Times New Roman" w:hAnsi="Times New Roman"/>
          <w:sz w:val="24"/>
          <w:szCs w:val="24"/>
        </w:rPr>
        <w:t xml:space="preserve">Note: </w:t>
      </w:r>
    </w:p>
    <w:p w14:paraId="02536E3B" w14:textId="77777777" w:rsidR="002B2323" w:rsidRPr="007B075D" w:rsidRDefault="002B2323" w:rsidP="002B2323">
      <w:pPr>
        <w:pStyle w:val="Heading1"/>
        <w:ind w:left="720"/>
        <w:rPr>
          <w:b w:val="0"/>
          <w:bCs w:val="0"/>
          <w:sz w:val="24"/>
          <w:szCs w:val="24"/>
        </w:rPr>
      </w:pPr>
      <w:r w:rsidRPr="007B075D">
        <w:rPr>
          <w:b w:val="0"/>
          <w:bCs w:val="0"/>
          <w:sz w:val="24"/>
          <w:szCs w:val="24"/>
        </w:rPr>
        <w:t xml:space="preserve">See article, “Florida court rules Marsy's Law doesn't apply to police; similar case pending in Ohio.” Nov. 30, 2023. </w:t>
      </w:r>
      <w:hyperlink r:id="rId2879" w:history="1">
        <w:r w:rsidRPr="007B075D">
          <w:rPr>
            <w:rStyle w:val="Hyperlink"/>
            <w:b w:val="0"/>
            <w:bCs w:val="0"/>
            <w:sz w:val="24"/>
            <w:szCs w:val="24"/>
          </w:rPr>
          <w:t>https://www.dispatch.com/story/news/courts/2023/11/30/florida-supreme-court-rules-that-marsys-law-privacy-doesnt-apply-to-police-officers/71758347007/?utm_source=columbusdispatch-dailybriefing-strada&amp;utm_medium=email&amp;utm_campaign=dailybriefing-headline-stack&amp;utm_term=Content%20List%20-%20Stacking%20-%20optimized&amp;utm_content=ncod-columbus-nletter65</w:t>
        </w:r>
      </w:hyperlink>
      <w:r w:rsidRPr="007B075D">
        <w:rPr>
          <w:b w:val="0"/>
          <w:bCs w:val="0"/>
          <w:sz w:val="24"/>
          <w:szCs w:val="24"/>
        </w:rPr>
        <w:t xml:space="preserve"> </w:t>
      </w:r>
    </w:p>
    <w:p w14:paraId="021787A6" w14:textId="77777777" w:rsidR="002B2323" w:rsidRDefault="002B2323" w:rsidP="00FD530A">
      <w:pPr>
        <w:pStyle w:val="NoSpacing"/>
        <w:rPr>
          <w:rFonts w:ascii="Arial Black" w:hAnsi="Arial Black"/>
          <w:sz w:val="24"/>
          <w:szCs w:val="24"/>
        </w:rPr>
      </w:pPr>
    </w:p>
    <w:p w14:paraId="761A89D7" w14:textId="77777777" w:rsidR="00B15008" w:rsidRDefault="00B15008" w:rsidP="000C4DF5">
      <w:pPr>
        <w:pStyle w:val="NoSpacing"/>
        <w:rPr>
          <w:rFonts w:ascii="Arial Black" w:hAnsi="Arial Black"/>
          <w:sz w:val="24"/>
          <w:szCs w:val="24"/>
        </w:rPr>
      </w:pPr>
    </w:p>
    <w:p w14:paraId="386DFF38" w14:textId="709A9A33" w:rsidR="00804F3A" w:rsidRDefault="006A02A4" w:rsidP="000C4DF5">
      <w:pPr>
        <w:pStyle w:val="NoSpacing"/>
        <w:rPr>
          <w:rFonts w:ascii="Arial Black" w:hAnsi="Arial Black"/>
          <w:sz w:val="24"/>
          <w:szCs w:val="24"/>
        </w:rPr>
      </w:pPr>
      <w:r>
        <w:rPr>
          <w:rFonts w:ascii="Arial Black" w:hAnsi="Arial Black"/>
          <w:sz w:val="24"/>
          <w:szCs w:val="24"/>
        </w:rPr>
        <w:t>18-23</w:t>
      </w:r>
    </w:p>
    <w:p w14:paraId="0DC5D690" w14:textId="77777777" w:rsidR="006A02A4" w:rsidRDefault="006A02A4" w:rsidP="000C4DF5">
      <w:pPr>
        <w:pStyle w:val="NoSpacing"/>
        <w:rPr>
          <w:rFonts w:ascii="Arial Black" w:hAnsi="Arial Black"/>
          <w:sz w:val="24"/>
          <w:szCs w:val="24"/>
        </w:rPr>
      </w:pPr>
    </w:p>
    <w:p w14:paraId="3C7A0AE0" w14:textId="77777777" w:rsidR="006A02A4" w:rsidRPr="003D49D7" w:rsidRDefault="006A02A4" w:rsidP="006A02A4">
      <w:pPr>
        <w:pStyle w:val="NoSpacing"/>
        <w:rPr>
          <w:rFonts w:ascii="Arial Black" w:hAnsi="Arial Black"/>
          <w:sz w:val="28"/>
          <w:szCs w:val="28"/>
        </w:rPr>
      </w:pPr>
      <w:r w:rsidRPr="003D49D7">
        <w:rPr>
          <w:rFonts w:ascii="Arial Black" w:hAnsi="Arial Black"/>
          <w:sz w:val="28"/>
          <w:szCs w:val="28"/>
        </w:rPr>
        <w:t xml:space="preserve">CA (4/17/2023) – NATURAL GAS PIPING – CITY OF BERKLEY </w:t>
      </w:r>
      <w:r>
        <w:rPr>
          <w:rFonts w:ascii="Arial Black" w:hAnsi="Arial Black"/>
          <w:sz w:val="28"/>
          <w:szCs w:val="28"/>
        </w:rPr>
        <w:t xml:space="preserve">ORD. </w:t>
      </w:r>
      <w:r w:rsidRPr="003D49D7">
        <w:rPr>
          <w:rFonts w:ascii="Arial Black" w:hAnsi="Arial Black"/>
          <w:sz w:val="28"/>
          <w:szCs w:val="28"/>
        </w:rPr>
        <w:t xml:space="preserve">NEW BUILDINGS STOP </w:t>
      </w:r>
      <w:r>
        <w:rPr>
          <w:rFonts w:ascii="Arial Black" w:hAnsi="Arial Black"/>
          <w:sz w:val="28"/>
          <w:szCs w:val="28"/>
        </w:rPr>
        <w:t>NATURAL GAS VIOL. FED LAW</w:t>
      </w:r>
    </w:p>
    <w:p w14:paraId="30FFFDDB" w14:textId="77777777" w:rsidR="006A02A4" w:rsidRDefault="006A02A4" w:rsidP="006A02A4">
      <w:pPr>
        <w:pStyle w:val="NoSpacing"/>
      </w:pPr>
    </w:p>
    <w:p w14:paraId="67BA8329" w14:textId="77777777" w:rsidR="006A02A4" w:rsidRPr="003C1643" w:rsidRDefault="006A02A4" w:rsidP="006A02A4">
      <w:pPr>
        <w:pStyle w:val="NoSpacing"/>
        <w:rPr>
          <w:rFonts w:ascii="Times New Roman" w:hAnsi="Times New Roman"/>
          <w:sz w:val="24"/>
          <w:szCs w:val="24"/>
        </w:rPr>
      </w:pPr>
      <w:r w:rsidRPr="003C1643">
        <w:rPr>
          <w:rFonts w:ascii="Times New Roman" w:hAnsi="Times New Roman"/>
          <w:sz w:val="24"/>
          <w:szCs w:val="24"/>
          <w:u w:val="single"/>
        </w:rPr>
        <w:t>California Restaurant Association v. City of Berkeley</w:t>
      </w:r>
      <w:r w:rsidRPr="003C1643">
        <w:rPr>
          <w:rFonts w:ascii="Times New Roman" w:hAnsi="Times New Roman"/>
          <w:sz w:val="24"/>
          <w:szCs w:val="24"/>
        </w:rPr>
        <w:t>, U.S. Court of Appeals for 9</w:t>
      </w:r>
      <w:r w:rsidRPr="003C1643">
        <w:rPr>
          <w:rFonts w:ascii="Times New Roman" w:hAnsi="Times New Roman"/>
          <w:sz w:val="24"/>
          <w:szCs w:val="24"/>
          <w:vertAlign w:val="superscript"/>
        </w:rPr>
        <w:t>th</w:t>
      </w:r>
      <w:r w:rsidRPr="003C1643">
        <w:rPr>
          <w:rFonts w:ascii="Times New Roman" w:hAnsi="Times New Roman"/>
          <w:sz w:val="24"/>
          <w:szCs w:val="24"/>
        </w:rPr>
        <w:t xml:space="preserve"> Circuit. </w:t>
      </w:r>
      <w:hyperlink r:id="rId2880" w:history="1">
        <w:r w:rsidRPr="003C1643">
          <w:rPr>
            <w:rStyle w:val="Hyperlink"/>
            <w:rFonts w:ascii="Times New Roman" w:hAnsi="Times New Roman"/>
            <w:sz w:val="24"/>
            <w:szCs w:val="24"/>
          </w:rPr>
          <w:t>https://cdn.ca9.uscourts.gov/datastore/opinions/2023/04/17/21-16278.pdf</w:t>
        </w:r>
      </w:hyperlink>
      <w:r w:rsidRPr="003C1643">
        <w:rPr>
          <w:rFonts w:ascii="Times New Roman" w:hAnsi="Times New Roman"/>
          <w:sz w:val="24"/>
          <w:szCs w:val="24"/>
        </w:rPr>
        <w:t xml:space="preserve"> </w:t>
      </w:r>
    </w:p>
    <w:p w14:paraId="15035900" w14:textId="77777777" w:rsidR="006A02A4" w:rsidRDefault="006A02A4" w:rsidP="000C4DF5">
      <w:pPr>
        <w:pStyle w:val="NoSpacing"/>
        <w:rPr>
          <w:rFonts w:ascii="Arial Black" w:hAnsi="Arial Black"/>
          <w:sz w:val="24"/>
          <w:szCs w:val="24"/>
        </w:rPr>
      </w:pPr>
    </w:p>
    <w:p w14:paraId="3084C9F6" w14:textId="7144B190" w:rsidR="0012739E" w:rsidRDefault="0012739E" w:rsidP="000C4DF5">
      <w:pPr>
        <w:pStyle w:val="NoSpacing"/>
        <w:rPr>
          <w:rFonts w:ascii="Times New Roman" w:hAnsi="Times New Roman"/>
          <w:b/>
          <w:bCs/>
          <w:sz w:val="24"/>
          <w:szCs w:val="24"/>
        </w:rPr>
      </w:pPr>
      <w:r w:rsidRPr="003C1643">
        <w:rPr>
          <w:rFonts w:ascii="Times New Roman" w:hAnsi="Times New Roman"/>
          <w:b/>
          <w:bCs/>
          <w:sz w:val="24"/>
          <w:szCs w:val="24"/>
        </w:rPr>
        <w:t>Legal Lesson Learned: Federal statute pre</w:t>
      </w:r>
      <w:r>
        <w:rPr>
          <w:rFonts w:ascii="Times New Roman" w:hAnsi="Times New Roman"/>
          <w:b/>
          <w:bCs/>
          <w:sz w:val="24"/>
          <w:szCs w:val="24"/>
        </w:rPr>
        <w:t>emption of</w:t>
      </w:r>
      <w:r w:rsidRPr="003C1643">
        <w:rPr>
          <w:rFonts w:ascii="Times New Roman" w:hAnsi="Times New Roman"/>
          <w:b/>
          <w:bCs/>
          <w:sz w:val="24"/>
          <w:szCs w:val="24"/>
        </w:rPr>
        <w:t xml:space="preserve"> City of Berkeley </w:t>
      </w:r>
      <w:r>
        <w:rPr>
          <w:rFonts w:ascii="Times New Roman" w:hAnsi="Times New Roman"/>
          <w:b/>
          <w:bCs/>
          <w:sz w:val="24"/>
          <w:szCs w:val="24"/>
        </w:rPr>
        <w:t>ordinance.</w:t>
      </w:r>
    </w:p>
    <w:p w14:paraId="217BD654" w14:textId="77777777" w:rsidR="0012739E" w:rsidRDefault="0012739E" w:rsidP="000C4DF5">
      <w:pPr>
        <w:pStyle w:val="NoSpacing"/>
        <w:rPr>
          <w:rFonts w:ascii="Times New Roman" w:hAnsi="Times New Roman"/>
          <w:b/>
          <w:bCs/>
          <w:sz w:val="24"/>
          <w:szCs w:val="24"/>
        </w:rPr>
      </w:pPr>
    </w:p>
    <w:p w14:paraId="161B0551" w14:textId="77777777" w:rsidR="0012739E" w:rsidRDefault="0012739E" w:rsidP="000C4DF5">
      <w:pPr>
        <w:pStyle w:val="NoSpacing"/>
        <w:rPr>
          <w:rFonts w:ascii="Times New Roman" w:hAnsi="Times New Roman"/>
          <w:b/>
          <w:bCs/>
          <w:sz w:val="24"/>
          <w:szCs w:val="24"/>
        </w:rPr>
      </w:pPr>
    </w:p>
    <w:p w14:paraId="2F9E4F87" w14:textId="7A9F113C" w:rsidR="0012739E" w:rsidRPr="0012739E" w:rsidRDefault="0012739E" w:rsidP="000C4DF5">
      <w:pPr>
        <w:pStyle w:val="NoSpacing"/>
        <w:rPr>
          <w:rFonts w:ascii="Arial Black" w:hAnsi="Arial Black"/>
          <w:b/>
          <w:bCs/>
          <w:sz w:val="24"/>
          <w:szCs w:val="24"/>
        </w:rPr>
      </w:pPr>
      <w:r w:rsidRPr="0012739E">
        <w:rPr>
          <w:rFonts w:ascii="Arial Black" w:hAnsi="Arial Black"/>
          <w:b/>
          <w:bCs/>
          <w:sz w:val="24"/>
          <w:szCs w:val="24"/>
        </w:rPr>
        <w:t>18-22</w:t>
      </w:r>
    </w:p>
    <w:p w14:paraId="1B4C2F75" w14:textId="77777777" w:rsidR="0012739E" w:rsidRDefault="0012739E" w:rsidP="000C4DF5">
      <w:pPr>
        <w:pStyle w:val="NoSpacing"/>
        <w:rPr>
          <w:rFonts w:ascii="Times New Roman" w:hAnsi="Times New Roman"/>
          <w:b/>
          <w:bCs/>
          <w:sz w:val="24"/>
          <w:szCs w:val="24"/>
        </w:rPr>
      </w:pPr>
    </w:p>
    <w:p w14:paraId="04F629B2" w14:textId="77777777" w:rsidR="0012739E" w:rsidRPr="0097436D" w:rsidRDefault="0012739E" w:rsidP="0012739E">
      <w:pPr>
        <w:pStyle w:val="NoSpacing"/>
        <w:rPr>
          <w:rFonts w:ascii="Arial Black" w:hAnsi="Arial Black"/>
          <w:sz w:val="28"/>
          <w:szCs w:val="28"/>
        </w:rPr>
      </w:pPr>
      <w:r w:rsidRPr="0097436D">
        <w:rPr>
          <w:rFonts w:ascii="Arial Black" w:hAnsi="Arial Black"/>
          <w:sz w:val="28"/>
          <w:szCs w:val="28"/>
        </w:rPr>
        <w:t>OH (4/6/2023) – VICTIM RIGHTS</w:t>
      </w:r>
      <w:r>
        <w:rPr>
          <w:rFonts w:ascii="Arial Black" w:hAnsi="Arial Black"/>
          <w:sz w:val="28"/>
          <w:szCs w:val="28"/>
        </w:rPr>
        <w:t xml:space="preserve"> </w:t>
      </w:r>
      <w:r w:rsidRPr="0097436D">
        <w:rPr>
          <w:rFonts w:ascii="Arial Black" w:hAnsi="Arial Black"/>
          <w:sz w:val="28"/>
          <w:szCs w:val="28"/>
        </w:rPr>
        <w:t>- HOUSE BILL 343 – NAMES / ADDRESSES NOT PUBLIC – NEW FORM FOR PD</w:t>
      </w:r>
      <w:r>
        <w:rPr>
          <w:rFonts w:ascii="Arial Black" w:hAnsi="Arial Black"/>
          <w:sz w:val="28"/>
          <w:szCs w:val="28"/>
        </w:rPr>
        <w:t xml:space="preserve"> TO USE</w:t>
      </w:r>
    </w:p>
    <w:p w14:paraId="72AA3447" w14:textId="77777777" w:rsidR="0012739E" w:rsidRPr="003C1643" w:rsidRDefault="0012739E" w:rsidP="0012739E">
      <w:pPr>
        <w:pStyle w:val="NoSpacing"/>
        <w:rPr>
          <w:rStyle w:val="markedcontent"/>
          <w:rFonts w:ascii="Times New Roman" w:hAnsi="Times New Roman"/>
          <w:sz w:val="24"/>
          <w:szCs w:val="24"/>
        </w:rPr>
      </w:pPr>
      <w:r w:rsidRPr="003C1643">
        <w:rPr>
          <w:rStyle w:val="markedcontent"/>
          <w:rFonts w:ascii="Times New Roman" w:hAnsi="Times New Roman"/>
          <w:sz w:val="24"/>
          <w:szCs w:val="24"/>
        </w:rPr>
        <w:t>“Entitles a victim and victim’s representative to be present during any public proceeding,</w:t>
      </w:r>
      <w:r w:rsidRPr="003C1643">
        <w:rPr>
          <w:rFonts w:ascii="Times New Roman" w:hAnsi="Times New Roman"/>
          <w:sz w:val="24"/>
          <w:szCs w:val="24"/>
        </w:rPr>
        <w:br/>
      </w:r>
      <w:r w:rsidRPr="003C1643">
        <w:rPr>
          <w:rStyle w:val="markedcontent"/>
          <w:rFonts w:ascii="Times New Roman" w:hAnsi="Times New Roman"/>
          <w:sz w:val="24"/>
          <w:szCs w:val="24"/>
        </w:rPr>
        <w:t>other than a grand jury proceeding, and grants the victim, victim’s representative, and</w:t>
      </w:r>
      <w:r w:rsidRPr="003C1643">
        <w:rPr>
          <w:rFonts w:ascii="Times New Roman" w:hAnsi="Times New Roman"/>
          <w:sz w:val="24"/>
          <w:szCs w:val="24"/>
        </w:rPr>
        <w:br/>
      </w:r>
      <w:r w:rsidRPr="003C1643">
        <w:rPr>
          <w:rStyle w:val="markedcontent"/>
          <w:rFonts w:ascii="Times New Roman" w:hAnsi="Times New Roman"/>
          <w:sz w:val="24"/>
          <w:szCs w:val="24"/>
        </w:rPr>
        <w:t>victim’s attorney the right to be heard by the court at any proceeding in which any right</w:t>
      </w:r>
      <w:r w:rsidRPr="003C1643">
        <w:rPr>
          <w:rFonts w:ascii="Times New Roman" w:hAnsi="Times New Roman"/>
          <w:sz w:val="24"/>
          <w:szCs w:val="24"/>
        </w:rPr>
        <w:br/>
      </w:r>
      <w:r w:rsidRPr="003C1643">
        <w:rPr>
          <w:rStyle w:val="markedcontent"/>
          <w:rFonts w:ascii="Times New Roman" w:hAnsi="Times New Roman"/>
          <w:sz w:val="24"/>
          <w:szCs w:val="24"/>
        </w:rPr>
        <w:t xml:space="preserve">of the victim is implicated. *** Requires that a victim’s name and identifying information be documented on a separate page in law enforcement records and court filings, which is not a public record. ***Requires the Supreme Court to create the victim’s rights request form. </w:t>
      </w:r>
      <w:hyperlink r:id="rId2881" w:history="1">
        <w:r w:rsidRPr="003C1643">
          <w:rPr>
            <w:rStyle w:val="Hyperlink"/>
            <w:rFonts w:ascii="Times New Roman" w:hAnsi="Times New Roman"/>
            <w:sz w:val="24"/>
            <w:szCs w:val="24"/>
          </w:rPr>
          <w:t>https://www.legislature.ohio.gov/download?key=20348&amp;format=pdf</w:t>
        </w:r>
      </w:hyperlink>
      <w:r w:rsidRPr="003C1643">
        <w:rPr>
          <w:rStyle w:val="markedcontent"/>
          <w:rFonts w:ascii="Times New Roman" w:hAnsi="Times New Roman"/>
          <w:sz w:val="24"/>
          <w:szCs w:val="24"/>
        </w:rPr>
        <w:t>.</w:t>
      </w:r>
    </w:p>
    <w:p w14:paraId="06A484DA" w14:textId="77777777" w:rsidR="0012739E" w:rsidRPr="003C1643" w:rsidRDefault="0012739E" w:rsidP="0012739E">
      <w:pPr>
        <w:pStyle w:val="NoSpacing"/>
        <w:rPr>
          <w:rStyle w:val="markedcontent"/>
          <w:rFonts w:ascii="Times New Roman" w:hAnsi="Times New Roman"/>
          <w:sz w:val="24"/>
          <w:szCs w:val="24"/>
        </w:rPr>
      </w:pPr>
    </w:p>
    <w:p w14:paraId="708958D0" w14:textId="77777777" w:rsidR="0012739E" w:rsidRPr="003C1643" w:rsidRDefault="0012739E" w:rsidP="0012739E">
      <w:pPr>
        <w:pStyle w:val="NoSpacing"/>
        <w:rPr>
          <w:rStyle w:val="markedcontent"/>
          <w:rFonts w:ascii="Times New Roman" w:hAnsi="Times New Roman"/>
          <w:b/>
          <w:bCs/>
          <w:sz w:val="24"/>
          <w:szCs w:val="24"/>
        </w:rPr>
      </w:pPr>
      <w:r w:rsidRPr="003C1643">
        <w:rPr>
          <w:rStyle w:val="markedcontent"/>
          <w:rFonts w:ascii="Times New Roman" w:hAnsi="Times New Roman"/>
          <w:b/>
          <w:bCs/>
          <w:sz w:val="24"/>
          <w:szCs w:val="24"/>
        </w:rPr>
        <w:t xml:space="preserve">Legal Lesson Learned: Ohio </w:t>
      </w:r>
      <w:proofErr w:type="gramStart"/>
      <w:r w:rsidRPr="003C1643">
        <w:rPr>
          <w:rStyle w:val="markedcontent"/>
          <w:rFonts w:ascii="Times New Roman" w:hAnsi="Times New Roman"/>
          <w:b/>
          <w:bCs/>
          <w:sz w:val="24"/>
          <w:szCs w:val="24"/>
        </w:rPr>
        <w:t>fire</w:t>
      </w:r>
      <w:proofErr w:type="gramEnd"/>
      <w:r w:rsidRPr="003C1643">
        <w:rPr>
          <w:rStyle w:val="markedcontent"/>
          <w:rFonts w:ascii="Times New Roman" w:hAnsi="Times New Roman"/>
          <w:b/>
          <w:bCs/>
          <w:sz w:val="24"/>
          <w:szCs w:val="24"/>
        </w:rPr>
        <w:t xml:space="preserve"> and EMS will deal with crime victims; </w:t>
      </w:r>
      <w:proofErr w:type="gramStart"/>
      <w:r w:rsidRPr="003C1643">
        <w:rPr>
          <w:rStyle w:val="markedcontent"/>
          <w:rFonts w:ascii="Times New Roman" w:hAnsi="Times New Roman"/>
          <w:b/>
          <w:bCs/>
          <w:sz w:val="24"/>
          <w:szCs w:val="24"/>
        </w:rPr>
        <w:t>important</w:t>
      </w:r>
      <w:proofErr w:type="gramEnd"/>
      <w:r w:rsidRPr="003C1643">
        <w:rPr>
          <w:rStyle w:val="markedcontent"/>
          <w:rFonts w:ascii="Times New Roman" w:hAnsi="Times New Roman"/>
          <w:b/>
          <w:bCs/>
          <w:sz w:val="24"/>
          <w:szCs w:val="24"/>
        </w:rPr>
        <w:t xml:space="preserve"> that they understand rights of the victims in the criminal system. </w:t>
      </w:r>
    </w:p>
    <w:p w14:paraId="6021178D" w14:textId="77777777" w:rsidR="0012739E" w:rsidRPr="003C1643" w:rsidRDefault="0012739E" w:rsidP="0012739E">
      <w:pPr>
        <w:pStyle w:val="NoSpacing"/>
        <w:rPr>
          <w:rStyle w:val="markedcontent"/>
          <w:rFonts w:ascii="Times New Roman" w:hAnsi="Times New Roman"/>
          <w:sz w:val="24"/>
          <w:szCs w:val="24"/>
        </w:rPr>
      </w:pPr>
    </w:p>
    <w:p w14:paraId="70915CF4" w14:textId="77777777" w:rsidR="0012739E" w:rsidRPr="003C1643" w:rsidRDefault="0012739E" w:rsidP="0012739E">
      <w:pPr>
        <w:pStyle w:val="NoSpacing"/>
        <w:ind w:left="720"/>
        <w:rPr>
          <w:rStyle w:val="markedcontent"/>
          <w:rFonts w:ascii="Times New Roman" w:hAnsi="Times New Roman"/>
          <w:sz w:val="24"/>
          <w:szCs w:val="24"/>
        </w:rPr>
      </w:pPr>
      <w:r w:rsidRPr="003C1643">
        <w:rPr>
          <w:rStyle w:val="markedcontent"/>
          <w:rFonts w:ascii="Times New Roman" w:hAnsi="Times New Roman"/>
          <w:sz w:val="24"/>
          <w:szCs w:val="24"/>
        </w:rPr>
        <w:t xml:space="preserve">Note:  See the new form to be used by PD: </w:t>
      </w:r>
      <w:hyperlink r:id="rId2882" w:history="1">
        <w:r w:rsidRPr="003C1643">
          <w:rPr>
            <w:rStyle w:val="Hyperlink"/>
            <w:rFonts w:ascii="Times New Roman" w:hAnsi="Times New Roman"/>
            <w:sz w:val="24"/>
            <w:szCs w:val="24"/>
          </w:rPr>
          <w:t>https://www.supremecourt.ohio.gov/marsy-s-law-and-crime-victim-rights/</w:t>
        </w:r>
      </w:hyperlink>
      <w:r w:rsidRPr="003C1643">
        <w:rPr>
          <w:rStyle w:val="markedcontent"/>
          <w:rFonts w:ascii="Times New Roman" w:hAnsi="Times New Roman"/>
          <w:sz w:val="24"/>
          <w:szCs w:val="24"/>
        </w:rPr>
        <w:t xml:space="preserve"> . </w:t>
      </w:r>
    </w:p>
    <w:p w14:paraId="13A7E997" w14:textId="77777777" w:rsidR="0012739E" w:rsidRPr="003C1643" w:rsidRDefault="0012739E" w:rsidP="0012739E">
      <w:pPr>
        <w:pStyle w:val="NoSpacing"/>
        <w:ind w:left="720"/>
        <w:rPr>
          <w:rStyle w:val="markedcontent"/>
          <w:rFonts w:ascii="Times New Roman" w:hAnsi="Times New Roman"/>
          <w:sz w:val="24"/>
          <w:szCs w:val="24"/>
        </w:rPr>
      </w:pPr>
    </w:p>
    <w:p w14:paraId="31009E85" w14:textId="77777777" w:rsidR="0012739E" w:rsidRDefault="0012739E" w:rsidP="000C4DF5">
      <w:pPr>
        <w:pStyle w:val="NoSpacing"/>
        <w:rPr>
          <w:rFonts w:ascii="Arial Black" w:hAnsi="Arial Black"/>
          <w:sz w:val="24"/>
          <w:szCs w:val="24"/>
        </w:rPr>
      </w:pPr>
    </w:p>
    <w:p w14:paraId="60092C3A" w14:textId="77777777" w:rsidR="006A02A4" w:rsidRDefault="006A02A4" w:rsidP="000C4DF5">
      <w:pPr>
        <w:pStyle w:val="NoSpacing"/>
        <w:rPr>
          <w:rFonts w:ascii="Arial Black" w:hAnsi="Arial Black"/>
          <w:sz w:val="24"/>
          <w:szCs w:val="24"/>
        </w:rPr>
      </w:pPr>
    </w:p>
    <w:p w14:paraId="251D368F" w14:textId="77777777" w:rsidR="006A02A4" w:rsidRDefault="006A02A4" w:rsidP="000C4DF5">
      <w:pPr>
        <w:pStyle w:val="NoSpacing"/>
        <w:rPr>
          <w:rFonts w:ascii="Arial Black" w:hAnsi="Arial Black"/>
          <w:sz w:val="24"/>
          <w:szCs w:val="24"/>
        </w:rPr>
      </w:pPr>
    </w:p>
    <w:p w14:paraId="5CEA81E4" w14:textId="5AF28676" w:rsidR="00804F3A" w:rsidRDefault="00804F3A" w:rsidP="000C4DF5">
      <w:pPr>
        <w:pStyle w:val="NoSpacing"/>
        <w:rPr>
          <w:rFonts w:ascii="Arial Black" w:hAnsi="Arial Black"/>
          <w:sz w:val="24"/>
          <w:szCs w:val="24"/>
        </w:rPr>
      </w:pPr>
      <w:r>
        <w:rPr>
          <w:rFonts w:ascii="Arial Black" w:hAnsi="Arial Black"/>
          <w:sz w:val="24"/>
          <w:szCs w:val="24"/>
        </w:rPr>
        <w:t>18-2</w:t>
      </w:r>
      <w:r w:rsidR="00465DC0">
        <w:rPr>
          <w:rFonts w:ascii="Arial Black" w:hAnsi="Arial Black"/>
          <w:sz w:val="24"/>
          <w:szCs w:val="24"/>
        </w:rPr>
        <w:t>1</w:t>
      </w:r>
    </w:p>
    <w:p w14:paraId="666748B9" w14:textId="77777777" w:rsidR="00804F3A" w:rsidRDefault="00804F3A" w:rsidP="00804F3A">
      <w:pPr>
        <w:pStyle w:val="NormalWeb"/>
        <w:rPr>
          <w:rStyle w:val="markedcontent"/>
          <w:rFonts w:ascii="Arial Black" w:hAnsi="Arial Black"/>
          <w:sz w:val="28"/>
          <w:szCs w:val="28"/>
        </w:rPr>
      </w:pPr>
      <w:r>
        <w:rPr>
          <w:rStyle w:val="markedcontent"/>
          <w:rFonts w:ascii="Arial Black" w:hAnsi="Arial Black"/>
          <w:sz w:val="28"/>
          <w:szCs w:val="28"/>
        </w:rPr>
        <w:t>FL: OVARIAN CANCER IN 2017 - FIVE YEARS AFTER HER RETIREMENT – NEW CANCER LAW 2019 NOT RETROACTIVE</w:t>
      </w:r>
    </w:p>
    <w:p w14:paraId="235DBC52" w14:textId="77777777" w:rsidR="00804F3A" w:rsidRDefault="00804F3A" w:rsidP="00804F3A">
      <w:pPr>
        <w:pStyle w:val="NormalWeb"/>
        <w:rPr>
          <w:rStyle w:val="markedcontent"/>
        </w:rPr>
      </w:pPr>
      <w:r>
        <w:rPr>
          <w:rStyle w:val="markedcontent"/>
        </w:rPr>
        <w:t xml:space="preserve">On Oct. 21, 2022, in </w:t>
      </w:r>
      <w:r w:rsidRPr="00AC460C">
        <w:rPr>
          <w:rStyle w:val="markedcontent"/>
        </w:rPr>
        <w:t>Kathleen Weaver v. Volusia County, Florida</w:t>
      </w:r>
      <w:r>
        <w:rPr>
          <w:rStyle w:val="markedcontent"/>
        </w:rPr>
        <w:t xml:space="preserve">, the Florida Court of Appeals, Fifth District, held (3 to 0) that the trial court properly held (3 to 0) that the new statute is not retroactive.  When she learned of her cancer in 2017 her only remedy was a workers’ comp claim, which would have required her to prove the cancer was caused by her job.  She didn’t file such a claim and cannot now benefit from the new law creating a presumption that it was caused by the job.  </w:t>
      </w:r>
    </w:p>
    <w:p w14:paraId="018EC7F8" w14:textId="2B4F83A7" w:rsidR="00804F3A" w:rsidRDefault="00804F3A" w:rsidP="00FD581A">
      <w:pPr>
        <w:pStyle w:val="NoSpacing"/>
        <w:ind w:left="720"/>
        <w:rPr>
          <w:rStyle w:val="Hyperlink"/>
          <w:rFonts w:eastAsiaTheme="majorEastAsia"/>
        </w:rPr>
      </w:pPr>
      <w:r w:rsidRPr="00FD581A">
        <w:rPr>
          <w:rStyle w:val="markedcontent"/>
          <w:rFonts w:ascii="Times New Roman" w:hAnsi="Times New Roman"/>
          <w:sz w:val="24"/>
          <w:szCs w:val="24"/>
        </w:rPr>
        <w:t xml:space="preserve">“As a substantive law, section 112.1816 is presumed to apply prospectively unless the text ‘provides for retroactive application,’ and ‘such application is constitutionally permissible.’… For these reasons, we find that section 112.1816 is not retroactive and, thus, </w:t>
      </w:r>
      <w:proofErr w:type="gramStart"/>
      <w:r w:rsidRPr="00FD581A">
        <w:rPr>
          <w:rStyle w:val="markedcontent"/>
          <w:rFonts w:ascii="Times New Roman" w:hAnsi="Times New Roman"/>
          <w:sz w:val="24"/>
          <w:szCs w:val="24"/>
        </w:rPr>
        <w:t>affirm</w:t>
      </w:r>
      <w:proofErr w:type="gramEnd"/>
      <w:r w:rsidRPr="00FD581A">
        <w:rPr>
          <w:rStyle w:val="markedcontent"/>
          <w:rFonts w:ascii="Times New Roman" w:hAnsi="Times New Roman"/>
          <w:sz w:val="24"/>
          <w:szCs w:val="24"/>
        </w:rPr>
        <w:t xml:space="preserve"> </w:t>
      </w:r>
      <w:proofErr w:type="gramStart"/>
      <w:r w:rsidRPr="00FD581A">
        <w:rPr>
          <w:rStyle w:val="markedcontent"/>
          <w:rFonts w:ascii="Times New Roman" w:hAnsi="Times New Roman"/>
          <w:sz w:val="24"/>
          <w:szCs w:val="24"/>
        </w:rPr>
        <w:t>the trial</w:t>
      </w:r>
      <w:proofErr w:type="gramEnd"/>
      <w:r w:rsidRPr="00FD581A">
        <w:rPr>
          <w:rStyle w:val="markedcontent"/>
          <w:rFonts w:ascii="Times New Roman" w:hAnsi="Times New Roman"/>
          <w:sz w:val="24"/>
          <w:szCs w:val="24"/>
        </w:rPr>
        <w:t xml:space="preserve"> court’s order granting the County summary </w:t>
      </w:r>
      <w:proofErr w:type="gramStart"/>
      <w:r w:rsidRPr="00FD581A">
        <w:rPr>
          <w:rStyle w:val="markedcontent"/>
          <w:rFonts w:ascii="Times New Roman" w:hAnsi="Times New Roman"/>
          <w:sz w:val="24"/>
          <w:szCs w:val="24"/>
        </w:rPr>
        <w:t>judgment.”</w:t>
      </w:r>
      <w:proofErr w:type="gramEnd"/>
      <w:r>
        <w:rPr>
          <w:rStyle w:val="markedcontent"/>
        </w:rPr>
        <w:t xml:space="preserve"> </w:t>
      </w:r>
      <w:hyperlink r:id="rId2883" w:history="1">
        <w:r w:rsidRPr="007662E8">
          <w:rPr>
            <w:rStyle w:val="Hyperlink"/>
            <w:rFonts w:eastAsiaTheme="majorEastAsia"/>
          </w:rPr>
          <w:t>https://cases.justia.com/florida/fifth-district-court-of-appeal/2022-5d21-1620.pdf?ts=1666365198</w:t>
        </w:r>
      </w:hyperlink>
    </w:p>
    <w:p w14:paraId="247A75C9" w14:textId="09056AE0" w:rsidR="00804F3A" w:rsidRDefault="00804F3A" w:rsidP="00804F3A">
      <w:pPr>
        <w:pStyle w:val="NoSpacing"/>
        <w:rPr>
          <w:rStyle w:val="Hyperlink"/>
          <w:rFonts w:eastAsiaTheme="majorEastAsia"/>
        </w:rPr>
      </w:pPr>
    </w:p>
    <w:p w14:paraId="0639EC7B" w14:textId="77777777" w:rsidR="00804F3A" w:rsidRDefault="00804F3A" w:rsidP="00804F3A">
      <w:pPr>
        <w:pStyle w:val="NormalWeb"/>
        <w:rPr>
          <w:rStyle w:val="markedcontent"/>
          <w:b/>
          <w:bCs/>
        </w:rPr>
      </w:pPr>
      <w:r w:rsidRPr="00AC460C">
        <w:rPr>
          <w:rStyle w:val="markedcontent"/>
          <w:b/>
          <w:bCs/>
        </w:rPr>
        <w:t>Legal Lesson Learned:</w:t>
      </w:r>
      <w:r>
        <w:rPr>
          <w:rStyle w:val="markedcontent"/>
          <w:b/>
          <w:bCs/>
        </w:rPr>
        <w:t xml:space="preserve"> Firefighter cancer law very helpful; but State legislature did not make it retroactive. </w:t>
      </w:r>
    </w:p>
    <w:p w14:paraId="7C36102D" w14:textId="40741EDF" w:rsidR="00804F3A" w:rsidRDefault="00465DC0" w:rsidP="000C4DF5">
      <w:pPr>
        <w:pStyle w:val="NoSpacing"/>
        <w:rPr>
          <w:rFonts w:ascii="Arial Black" w:hAnsi="Arial Black"/>
          <w:sz w:val="24"/>
          <w:szCs w:val="24"/>
        </w:rPr>
      </w:pPr>
      <w:r>
        <w:rPr>
          <w:rFonts w:ascii="Arial Black" w:hAnsi="Arial Black"/>
          <w:sz w:val="24"/>
          <w:szCs w:val="24"/>
        </w:rPr>
        <w:t>18-20</w:t>
      </w:r>
    </w:p>
    <w:p w14:paraId="115FD39E" w14:textId="77777777" w:rsidR="00465DC0" w:rsidRPr="00BE4A62" w:rsidRDefault="00465DC0" w:rsidP="00465DC0">
      <w:pPr>
        <w:rPr>
          <w:rStyle w:val="markedcontent"/>
          <w:rFonts w:ascii="Arial Black" w:hAnsi="Arial Black"/>
          <w:b/>
          <w:bCs/>
          <w:sz w:val="28"/>
          <w:szCs w:val="28"/>
        </w:rPr>
      </w:pPr>
      <w:bookmarkStart w:id="655" w:name="_Hlk127705813"/>
      <w:r>
        <w:rPr>
          <w:rStyle w:val="markedcontent"/>
          <w:rFonts w:ascii="Arial Black" w:hAnsi="Arial Black"/>
          <w:b/>
          <w:bCs/>
          <w:sz w:val="28"/>
          <w:szCs w:val="28"/>
        </w:rPr>
        <w:t xml:space="preserve">OH: OHIO PUBLIC RECORDS ACT - DISPATCHER RESIDENCE / FAMILY INFO EXEMPTED FROM DISCLOSURE </w:t>
      </w:r>
    </w:p>
    <w:p w14:paraId="24462087" w14:textId="77777777" w:rsidR="00465DC0" w:rsidRPr="007C0020" w:rsidRDefault="00465DC0" w:rsidP="00465DC0">
      <w:pPr>
        <w:rPr>
          <w:rFonts w:ascii="Times New Roman" w:hAnsi="Times New Roman"/>
          <w:sz w:val="24"/>
          <w:szCs w:val="24"/>
        </w:rPr>
      </w:pPr>
      <w:r w:rsidRPr="007818B5">
        <w:rPr>
          <w:rFonts w:ascii="Times New Roman" w:hAnsi="Times New Roman"/>
          <w:sz w:val="24"/>
          <w:szCs w:val="24"/>
        </w:rPr>
        <w:t>On June 13, 2022, Governor Mike DeWine signed House Bill 99</w:t>
      </w:r>
      <w:r>
        <w:rPr>
          <w:rFonts w:ascii="Times New Roman" w:hAnsi="Times New Roman"/>
          <w:sz w:val="24"/>
          <w:szCs w:val="24"/>
        </w:rPr>
        <w:t xml:space="preserve">, allowing teachers to carry firearms.  In addition, the </w:t>
      </w:r>
      <w:r>
        <w:rPr>
          <w:rStyle w:val="markedcontent"/>
          <w:rFonts w:ascii="Times New Roman" w:hAnsi="Times New Roman"/>
          <w:sz w:val="24"/>
          <w:szCs w:val="24"/>
        </w:rPr>
        <w:t xml:space="preserve">Bill also expanded the list </w:t>
      </w:r>
      <w:r w:rsidRPr="00DF5D1F">
        <w:rPr>
          <w:rFonts w:ascii="Times New Roman" w:hAnsi="Times New Roman"/>
          <w:sz w:val="24"/>
          <w:szCs w:val="24"/>
        </w:rPr>
        <w:t>“public service workers</w:t>
      </w:r>
      <w:r>
        <w:rPr>
          <w:rFonts w:ascii="Times New Roman" w:hAnsi="Times New Roman"/>
          <w:sz w:val="24"/>
          <w:szCs w:val="24"/>
        </w:rPr>
        <w:t>” whose home addresses and other family information is exempt from release under Ohio Public Records law, including “t</w:t>
      </w:r>
      <w:r w:rsidRPr="007C0020">
        <w:rPr>
          <w:rFonts w:ascii="Times New Roman" w:hAnsi="Times New Roman"/>
          <w:sz w:val="24"/>
          <w:szCs w:val="24"/>
        </w:rPr>
        <w:t>he name, the residential address, the name of the employer, the address of the employer, the social security number, the residential telephone number, any bank account, debit card, charge card, or credit card number, or the emergency telephone number of the spouse, a former spouse, or any child of a designated public service worker</w:t>
      </w:r>
      <w:r>
        <w:rPr>
          <w:rFonts w:ascii="Times New Roman" w:hAnsi="Times New Roman"/>
          <w:sz w:val="24"/>
          <w:szCs w:val="24"/>
        </w:rPr>
        <w:t>.  Ohio Revised Code 149.43(A)(8)(f).</w:t>
      </w:r>
    </w:p>
    <w:p w14:paraId="315AA380" w14:textId="77777777" w:rsidR="00465DC0" w:rsidRDefault="00465DC0" w:rsidP="00465DC0">
      <w:pPr>
        <w:ind w:left="720"/>
        <w:rPr>
          <w:rFonts w:ascii="Times New Roman" w:hAnsi="Times New Roman"/>
          <w:sz w:val="24"/>
          <w:szCs w:val="24"/>
        </w:rPr>
      </w:pPr>
      <w:r w:rsidRPr="00DF5D1F">
        <w:rPr>
          <w:rFonts w:ascii="Times New Roman" w:hAnsi="Times New Roman"/>
          <w:sz w:val="24"/>
          <w:szCs w:val="24"/>
        </w:rPr>
        <w:t>The exemption now includes dispatchers (“emergency service telecommunicators”) and Ohio National Guard members, protective services workers, forensic mental health providers, mental health evaluation providers, and regional psychiatric hospital employees.</w:t>
      </w:r>
      <w:r>
        <w:rPr>
          <w:rFonts w:ascii="Times New Roman" w:hAnsi="Times New Roman"/>
          <w:sz w:val="24"/>
          <w:szCs w:val="24"/>
        </w:rPr>
        <w:t xml:space="preserve"> See Ohio Revised Code 149.43(A)(7):  </w:t>
      </w:r>
    </w:p>
    <w:p w14:paraId="7D3F31C6" w14:textId="77777777" w:rsidR="00465DC0" w:rsidRDefault="00465DC0" w:rsidP="00465DC0">
      <w:pPr>
        <w:ind w:left="1440"/>
        <w:rPr>
          <w:rFonts w:ascii="Times New Roman" w:hAnsi="Times New Roman"/>
          <w:sz w:val="24"/>
          <w:szCs w:val="24"/>
        </w:rPr>
      </w:pPr>
      <w:r w:rsidRPr="007C0020">
        <w:rPr>
          <w:rFonts w:ascii="Times New Roman" w:hAnsi="Times New Roman"/>
          <w:sz w:val="24"/>
          <w:szCs w:val="24"/>
        </w:rPr>
        <w:t>(7) "Designated public service worker" means a peace officer, parole officer, probation officer, bailiff, prosecuting attorney, assistant prosecuting attorney, correctional employee, county or multicounty corrections officer, community-based correctional facility employee, designated Ohio national guard member, protective services worker, youth services employee, firefighter, EMT, medical director or member of a cooperating physician advisory board of an emergency medical service organization, state board of pharmacy employee, investigator of the bureau of criminal identification and investigation, emergency service telecommunicator, forensic mental health provider, mental health evaluation provider, regional psychiatric hospital employee, judge, magistrate, or federal law enforcement officer.</w:t>
      </w:r>
      <w:r>
        <w:rPr>
          <w:rFonts w:ascii="Times New Roman" w:hAnsi="Times New Roman"/>
          <w:sz w:val="24"/>
          <w:szCs w:val="24"/>
        </w:rPr>
        <w:t xml:space="preserve"> </w:t>
      </w:r>
      <w:hyperlink r:id="rId2884" w:history="1">
        <w:r w:rsidRPr="006169C4">
          <w:rPr>
            <w:rStyle w:val="Hyperlink"/>
            <w:rFonts w:ascii="Times New Roman" w:hAnsi="Times New Roman"/>
            <w:sz w:val="24"/>
            <w:szCs w:val="24"/>
          </w:rPr>
          <w:t>https://codes.ohio.gov/ohio-revised-code/section-149.43</w:t>
        </w:r>
      </w:hyperlink>
      <w:r>
        <w:rPr>
          <w:rFonts w:ascii="Times New Roman" w:hAnsi="Times New Roman"/>
          <w:sz w:val="24"/>
          <w:szCs w:val="24"/>
        </w:rPr>
        <w:t xml:space="preserve"> </w:t>
      </w:r>
    </w:p>
    <w:p w14:paraId="7C6575AF" w14:textId="77777777" w:rsidR="00465DC0" w:rsidRPr="00E17E11" w:rsidRDefault="00465DC0" w:rsidP="00465DC0">
      <w:pPr>
        <w:rPr>
          <w:rFonts w:ascii="Times New Roman" w:hAnsi="Times New Roman"/>
          <w:b/>
          <w:bCs/>
          <w:sz w:val="24"/>
          <w:szCs w:val="24"/>
        </w:rPr>
      </w:pPr>
      <w:r w:rsidRPr="00E17E11">
        <w:rPr>
          <w:rFonts w:ascii="Times New Roman" w:hAnsi="Times New Roman"/>
          <w:b/>
          <w:bCs/>
          <w:sz w:val="24"/>
          <w:szCs w:val="24"/>
        </w:rPr>
        <w:t xml:space="preserve">Legal Lesson Learned: </w:t>
      </w:r>
      <w:r>
        <w:rPr>
          <w:rFonts w:ascii="Times New Roman" w:hAnsi="Times New Roman"/>
          <w:b/>
          <w:bCs/>
          <w:sz w:val="24"/>
          <w:szCs w:val="24"/>
        </w:rPr>
        <w:t xml:space="preserve">Ohio 911 Communication Centers should educate their staff on this new law. </w:t>
      </w:r>
    </w:p>
    <w:p w14:paraId="5B60A50C" w14:textId="77777777" w:rsidR="00465DC0" w:rsidRPr="00DF5D1F" w:rsidRDefault="00465DC0" w:rsidP="00465DC0">
      <w:pPr>
        <w:ind w:left="720"/>
        <w:rPr>
          <w:b/>
          <w:bCs/>
          <w:sz w:val="24"/>
          <w:szCs w:val="24"/>
        </w:rPr>
      </w:pPr>
      <w:r>
        <w:rPr>
          <w:rFonts w:ascii="Times New Roman" w:hAnsi="Times New Roman"/>
          <w:sz w:val="24"/>
          <w:szCs w:val="24"/>
        </w:rPr>
        <w:t xml:space="preserve">Note: See this article on the Bill. </w:t>
      </w:r>
      <w:hyperlink r:id="rId2885" w:history="1">
        <w:r w:rsidRPr="00B71FA0">
          <w:rPr>
            <w:rStyle w:val="Hyperlink"/>
            <w:rFonts w:ascii="Times New Roman" w:hAnsi="Times New Roman"/>
            <w:sz w:val="24"/>
            <w:szCs w:val="24"/>
          </w:rPr>
          <w:t>https://fisheldowney.com/new-changes-ohios-public-records-law-new-changes-ohios-public-records-law/</w:t>
        </w:r>
      </w:hyperlink>
      <w:r w:rsidRPr="00DF5D1F">
        <w:rPr>
          <w:rFonts w:ascii="Times New Roman" w:hAnsi="Times New Roman"/>
          <w:sz w:val="24"/>
          <w:szCs w:val="24"/>
        </w:rPr>
        <w:t xml:space="preserve"> </w:t>
      </w:r>
    </w:p>
    <w:p w14:paraId="25A89B8C" w14:textId="77777777" w:rsidR="00465DC0" w:rsidRDefault="00465DC0" w:rsidP="00465DC0">
      <w:pPr>
        <w:pStyle w:val="NormalWeb"/>
        <w:rPr>
          <w:b/>
          <w:bCs/>
        </w:rPr>
      </w:pPr>
    </w:p>
    <w:bookmarkEnd w:id="655"/>
    <w:p w14:paraId="41D1315F" w14:textId="77777777" w:rsidR="00465DC0" w:rsidRDefault="00465DC0" w:rsidP="000C4DF5">
      <w:pPr>
        <w:pStyle w:val="NoSpacing"/>
        <w:rPr>
          <w:rFonts w:ascii="Arial Black" w:hAnsi="Arial Black"/>
          <w:sz w:val="24"/>
          <w:szCs w:val="24"/>
        </w:rPr>
      </w:pPr>
    </w:p>
    <w:p w14:paraId="4E8A7C9D" w14:textId="77777777" w:rsidR="00804F3A" w:rsidRDefault="00804F3A" w:rsidP="000C4DF5">
      <w:pPr>
        <w:pStyle w:val="NoSpacing"/>
        <w:rPr>
          <w:rFonts w:ascii="Arial Black" w:hAnsi="Arial Black"/>
          <w:sz w:val="24"/>
          <w:szCs w:val="24"/>
        </w:rPr>
      </w:pPr>
    </w:p>
    <w:p w14:paraId="320C18F3" w14:textId="2B85FEBE" w:rsidR="00644810" w:rsidRDefault="00B73B03" w:rsidP="000C4DF5">
      <w:pPr>
        <w:pStyle w:val="NoSpacing"/>
        <w:rPr>
          <w:rFonts w:ascii="Arial Black" w:hAnsi="Arial Black"/>
          <w:sz w:val="24"/>
          <w:szCs w:val="24"/>
        </w:rPr>
      </w:pPr>
      <w:r>
        <w:rPr>
          <w:rFonts w:ascii="Arial Black" w:hAnsi="Arial Black"/>
          <w:sz w:val="24"/>
          <w:szCs w:val="24"/>
        </w:rPr>
        <w:t>18-19 [also filed, Chap. 7]</w:t>
      </w:r>
    </w:p>
    <w:p w14:paraId="421E4C14" w14:textId="77777777" w:rsidR="00B73B03" w:rsidRPr="00D61E07" w:rsidRDefault="00B73B03" w:rsidP="00B73B03">
      <w:pPr>
        <w:pStyle w:val="Heading1"/>
        <w:rPr>
          <w:rFonts w:ascii="Arial Black" w:hAnsi="Arial Black"/>
          <w:sz w:val="28"/>
          <w:szCs w:val="28"/>
        </w:rPr>
      </w:pPr>
      <w:r>
        <w:rPr>
          <w:rFonts w:ascii="Arial Black" w:hAnsi="Arial Black"/>
          <w:sz w:val="28"/>
          <w:szCs w:val="28"/>
        </w:rPr>
        <w:t>DC: SEXUAL HARASSMENT OR ASSAULT – NEW FEDERAL LAW - INVALID EMPLOYEE MANDATORY ARBITRATIONS</w:t>
      </w:r>
    </w:p>
    <w:p w14:paraId="1F597914" w14:textId="77777777" w:rsidR="00B73B03" w:rsidRPr="00D61E07" w:rsidRDefault="00B73B03" w:rsidP="00B73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On March 3, 2022, President Biden signed into law the “</w:t>
      </w:r>
      <w:r w:rsidRPr="00D61E07">
        <w:rPr>
          <w:rFonts w:ascii="Times New Roman" w:hAnsi="Times New Roman"/>
          <w:sz w:val="24"/>
          <w:szCs w:val="24"/>
        </w:rPr>
        <w:t>Ending Forced Arbitration of Sexual Assault and Sexual Harassment Act</w:t>
      </w:r>
      <w:r>
        <w:rPr>
          <w:rFonts w:ascii="Times New Roman" w:hAnsi="Times New Roman"/>
          <w:sz w:val="24"/>
          <w:szCs w:val="24"/>
        </w:rPr>
        <w:t xml:space="preserve">.”  The law amends the Federal Arbitration Act to prohibit mandatory arbitration of sexual harassment and sexual assault claims in arbitration agreements. </w:t>
      </w:r>
      <w:hyperlink r:id="rId2886" w:history="1">
        <w:r w:rsidRPr="005A2A16">
          <w:rPr>
            <w:rStyle w:val="Hyperlink"/>
            <w:rFonts w:ascii="Times New Roman" w:eastAsia="Times New Roman" w:hAnsi="Times New Roman"/>
            <w:sz w:val="24"/>
            <w:szCs w:val="24"/>
          </w:rPr>
          <w:t>https://www.congress.gov/bill/117th-congress/house-bill/4445/text</w:t>
        </w:r>
      </w:hyperlink>
    </w:p>
    <w:p w14:paraId="4686B7A0" w14:textId="77777777" w:rsidR="00B73B03" w:rsidRPr="00AD3667" w:rsidRDefault="00B73B03" w:rsidP="00B73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sz w:val="24"/>
          <w:szCs w:val="24"/>
        </w:rPr>
      </w:pPr>
    </w:p>
    <w:p w14:paraId="393F5A47" w14:textId="77777777" w:rsidR="00B73B03" w:rsidRPr="00BC5C71" w:rsidRDefault="00B73B03" w:rsidP="00B73B03">
      <w:pPr>
        <w:pStyle w:val="ListParagraph"/>
        <w:numPr>
          <w:ilvl w:val="0"/>
          <w:numId w:val="15"/>
        </w:numPr>
        <w:tabs>
          <w:tab w:val="left" w:pos="916"/>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C5C71">
        <w:rPr>
          <w:rFonts w:ascii="Times New Roman" w:eastAsia="Times New Roman" w:hAnsi="Times New Roman" w:cs="Times New Roman"/>
          <w:sz w:val="24"/>
          <w:szCs w:val="24"/>
        </w:rPr>
        <w:t xml:space="preserve">In General - Notwithstanding any other provision of this title, at the election of the person alleging conduct constituting a sexual harassment dispute or sexual assault dispute, or the named representative of a class or in a collective action alleging such conduct, no </w:t>
      </w:r>
      <w:proofErr w:type="spellStart"/>
      <w:r w:rsidRPr="00BC5C71">
        <w:rPr>
          <w:rFonts w:ascii="Times New Roman" w:eastAsia="Times New Roman" w:hAnsi="Times New Roman" w:cs="Times New Roman"/>
          <w:sz w:val="24"/>
          <w:szCs w:val="24"/>
        </w:rPr>
        <w:t>predispute</w:t>
      </w:r>
      <w:proofErr w:type="spellEnd"/>
      <w:r w:rsidRPr="00BC5C71">
        <w:rPr>
          <w:rFonts w:ascii="Times New Roman" w:eastAsia="Times New Roman" w:hAnsi="Times New Roman" w:cs="Times New Roman"/>
          <w:sz w:val="24"/>
          <w:szCs w:val="24"/>
        </w:rPr>
        <w:t xml:space="preserve"> arbitration agreement or </w:t>
      </w:r>
      <w:proofErr w:type="spellStart"/>
      <w:r w:rsidRPr="00BC5C71">
        <w:rPr>
          <w:rFonts w:ascii="Times New Roman" w:eastAsia="Times New Roman" w:hAnsi="Times New Roman" w:cs="Times New Roman"/>
          <w:sz w:val="24"/>
          <w:szCs w:val="24"/>
        </w:rPr>
        <w:t>predispute</w:t>
      </w:r>
      <w:proofErr w:type="spellEnd"/>
      <w:r w:rsidRPr="00BC5C71">
        <w:rPr>
          <w:rFonts w:ascii="Times New Roman" w:eastAsia="Times New Roman" w:hAnsi="Times New Roman" w:cs="Times New Roman"/>
          <w:sz w:val="24"/>
          <w:szCs w:val="24"/>
        </w:rPr>
        <w:t xml:space="preserve"> joint-action waiver shall be valid or enforceable with respect to a case which is filed under Federal, Tribal, or State law and relates to the sexual assault dispute or the sexual harassment dispute.</w:t>
      </w:r>
    </w:p>
    <w:p w14:paraId="4E7737E0" w14:textId="77777777" w:rsidR="00B73B03" w:rsidRDefault="00B73B03" w:rsidP="00B73B03">
      <w:pPr>
        <w:pStyle w:val="HTMLPreformatted"/>
        <w:jc w:val="both"/>
        <w:rPr>
          <w:rFonts w:ascii="Times New Roman" w:hAnsi="Times New Roman" w:cs="Times New Roman"/>
          <w:sz w:val="24"/>
          <w:szCs w:val="24"/>
        </w:rPr>
      </w:pPr>
    </w:p>
    <w:p w14:paraId="4EA75D4C" w14:textId="77777777" w:rsidR="00B73B03" w:rsidRPr="002D6970" w:rsidRDefault="00B73B03" w:rsidP="00B73B03">
      <w:pPr>
        <w:pStyle w:val="HTMLPreformatted"/>
        <w:numPr>
          <w:ilvl w:val="0"/>
          <w:numId w:val="15"/>
        </w:numPr>
        <w:jc w:val="both"/>
        <w:rPr>
          <w:rFonts w:ascii="Times New Roman" w:hAnsi="Times New Roman" w:cs="Times New Roman"/>
          <w:sz w:val="24"/>
          <w:szCs w:val="24"/>
        </w:rPr>
      </w:pPr>
      <w:r w:rsidRPr="002D6970">
        <w:rPr>
          <w:rFonts w:ascii="Times New Roman" w:hAnsi="Times New Roman" w:cs="Times New Roman"/>
          <w:sz w:val="24"/>
          <w:szCs w:val="24"/>
        </w:rPr>
        <w:t>Determination of Applicability. An issue as to whether this chapter applies with respect to a dispute shall be determined under Federal law. The applicability of this chapter to an agreement to arbitrate and the validity and enforceability of an agreement to which this chapter applies shall be determined by a court, rather than an arbitrator, irrespective of whether the party resisting arbitration challenges the arbitration agreement specifically or in conjunction with other terms of the contract containing such agreement, and irrespective of whether the agreement purports to delegate such determinations to an arbitrator.''</w:t>
      </w:r>
    </w:p>
    <w:p w14:paraId="05B30D0C" w14:textId="77777777" w:rsidR="00B73B03" w:rsidRPr="00D61E07" w:rsidRDefault="00B73B03" w:rsidP="00B73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sz w:val="24"/>
          <w:szCs w:val="24"/>
        </w:rPr>
      </w:pPr>
      <w:hyperlink r:id="rId2887" w:history="1">
        <w:r w:rsidRPr="005A2A16">
          <w:rPr>
            <w:rStyle w:val="Hyperlink"/>
            <w:rFonts w:ascii="Times New Roman" w:eastAsia="Times New Roman" w:hAnsi="Times New Roman"/>
            <w:sz w:val="24"/>
            <w:szCs w:val="24"/>
          </w:rPr>
          <w:t>https://www.congress.gov/bill/117th-congress/house-bill/4445/text</w:t>
        </w:r>
      </w:hyperlink>
    </w:p>
    <w:p w14:paraId="41083012" w14:textId="77777777" w:rsidR="00B73B03" w:rsidRDefault="00B73B03" w:rsidP="00B73B03">
      <w:pPr>
        <w:pStyle w:val="Heading1"/>
        <w:rPr>
          <w:sz w:val="24"/>
          <w:szCs w:val="24"/>
        </w:rPr>
      </w:pPr>
      <w:r w:rsidRPr="002D6970">
        <w:rPr>
          <w:sz w:val="24"/>
          <w:szCs w:val="24"/>
        </w:rPr>
        <w:t xml:space="preserve">Legal Lesson Learned: </w:t>
      </w:r>
      <w:r>
        <w:rPr>
          <w:sz w:val="24"/>
          <w:szCs w:val="24"/>
        </w:rPr>
        <w:t xml:space="preserve">Fire &amp; EMS departments should review their Employee Handbooks and other documents and remove any provision requiring arbitration for claims of sexual harassment or sexual assault. </w:t>
      </w:r>
    </w:p>
    <w:p w14:paraId="663EE00E" w14:textId="2493E0DD" w:rsidR="00B73B03" w:rsidRPr="00B73B03" w:rsidRDefault="00B73B03" w:rsidP="00465DC0">
      <w:pPr>
        <w:pStyle w:val="Heading1"/>
        <w:ind w:left="720"/>
        <w:rPr>
          <w:b w:val="0"/>
          <w:bCs w:val="0"/>
          <w:i/>
          <w:iCs/>
          <w:sz w:val="24"/>
          <w:szCs w:val="24"/>
        </w:rPr>
      </w:pPr>
      <w:r>
        <w:rPr>
          <w:b w:val="0"/>
          <w:bCs w:val="0"/>
          <w:sz w:val="24"/>
          <w:szCs w:val="24"/>
        </w:rPr>
        <w:t xml:space="preserve">Note:  </w:t>
      </w:r>
      <w:r w:rsidRPr="00B73B03">
        <w:rPr>
          <w:b w:val="0"/>
          <w:bCs w:val="0"/>
          <w:sz w:val="24"/>
          <w:szCs w:val="24"/>
        </w:rPr>
        <w:t xml:space="preserve">March 28, 2022: “Moving Away from Mandatory Arbitration Over Sexual Assault and Harassment Claims.” </w:t>
      </w:r>
      <w:hyperlink r:id="rId2888" w:history="1">
        <w:r w:rsidRPr="00B73B03">
          <w:rPr>
            <w:rStyle w:val="Hyperlink"/>
            <w:b w:val="0"/>
            <w:bCs w:val="0"/>
            <w:sz w:val="24"/>
            <w:szCs w:val="24"/>
          </w:rPr>
          <w:t>https://fisheldowney.com/moving-away-mandatory-arbitration-sexual-assault-harassment-claims/</w:t>
        </w:r>
      </w:hyperlink>
      <w:r w:rsidRPr="00B73B03">
        <w:rPr>
          <w:b w:val="0"/>
          <w:bCs w:val="0"/>
          <w:sz w:val="24"/>
          <w:szCs w:val="24"/>
        </w:rPr>
        <w:t xml:space="preserve"> </w:t>
      </w:r>
    </w:p>
    <w:p w14:paraId="1526613D" w14:textId="77777777" w:rsidR="00B73B03" w:rsidRPr="00AD3667" w:rsidRDefault="00B73B03" w:rsidP="00B73B03">
      <w:pPr>
        <w:pStyle w:val="Heading1"/>
        <w:ind w:left="1440"/>
        <w:rPr>
          <w:b w:val="0"/>
          <w:bCs w:val="0"/>
          <w:sz w:val="24"/>
          <w:szCs w:val="24"/>
        </w:rPr>
      </w:pPr>
      <w:r>
        <w:rPr>
          <w:b w:val="0"/>
          <w:bCs w:val="0"/>
          <w:sz w:val="24"/>
          <w:szCs w:val="24"/>
        </w:rPr>
        <w:t>“</w:t>
      </w:r>
      <w:r w:rsidRPr="00AD3667">
        <w:rPr>
          <w:b w:val="0"/>
          <w:bCs w:val="0"/>
          <w:sz w:val="24"/>
          <w:szCs w:val="24"/>
        </w:rPr>
        <w:t xml:space="preserve">Given these changes to the FAA, it is critical for employers to review their arbitration agreements and remove any language indicating sexual assault or harassment claims must be arbitrated. The existence of such provisions could invalidate the agreement </w:t>
      </w:r>
      <w:proofErr w:type="gramStart"/>
      <w:r w:rsidRPr="00AD3667">
        <w:rPr>
          <w:b w:val="0"/>
          <w:bCs w:val="0"/>
          <w:sz w:val="24"/>
          <w:szCs w:val="24"/>
        </w:rPr>
        <w:t>in whole</w:t>
      </w:r>
      <w:proofErr w:type="gramEnd"/>
      <w:r w:rsidRPr="00AD3667">
        <w:rPr>
          <w:b w:val="0"/>
          <w:bCs w:val="0"/>
          <w:sz w:val="24"/>
          <w:szCs w:val="24"/>
        </w:rPr>
        <w:t xml:space="preserve"> or in part. In addition to revising the arbitration agreement provisions in the employee handbook or collective bargaining agreement, employers should also tighten their procedures and requirements for investigating and reporting sexual harassment and assault to avoid liability. In terms of reporting procedures, employers should have clearly defined persons of contact for reporting.</w:t>
      </w:r>
      <w:r>
        <w:rPr>
          <w:b w:val="0"/>
          <w:bCs w:val="0"/>
          <w:sz w:val="24"/>
          <w:szCs w:val="24"/>
        </w:rPr>
        <w:t>”</w:t>
      </w:r>
    </w:p>
    <w:p w14:paraId="7C6D2711" w14:textId="77777777" w:rsidR="00B73B03" w:rsidRDefault="00B73B03" w:rsidP="00B73B03">
      <w:pPr>
        <w:pStyle w:val="Heading1"/>
        <w:ind w:left="720"/>
        <w:rPr>
          <w:b w:val="0"/>
          <w:bCs w:val="0"/>
          <w:sz w:val="24"/>
          <w:szCs w:val="24"/>
        </w:rPr>
      </w:pPr>
      <w:r w:rsidRPr="002D6970">
        <w:rPr>
          <w:b w:val="0"/>
          <w:bCs w:val="0"/>
          <w:sz w:val="24"/>
          <w:szCs w:val="24"/>
        </w:rPr>
        <w:t xml:space="preserve">March 3, 2022: “Biden signs bill to end forced arbitration in sexual harassment, assault cases.” </w:t>
      </w:r>
      <w:hyperlink r:id="rId2889" w:history="1">
        <w:r w:rsidRPr="005A2A16">
          <w:rPr>
            <w:rStyle w:val="Hyperlink"/>
            <w:rFonts w:eastAsiaTheme="majorEastAsia"/>
            <w:b w:val="0"/>
            <w:bCs w:val="0"/>
            <w:sz w:val="24"/>
            <w:szCs w:val="24"/>
          </w:rPr>
          <w:t>https://www.kktv.com/2022/03/03/biden-sign-bill-ending-forced-arbitration-sexual-harassment-assault-cases/</w:t>
        </w:r>
      </w:hyperlink>
    </w:p>
    <w:p w14:paraId="0280A314" w14:textId="77777777" w:rsidR="00B73B03" w:rsidRPr="002D6970" w:rsidRDefault="00B73B03" w:rsidP="00B73B03">
      <w:pPr>
        <w:pStyle w:val="Heading1"/>
        <w:ind w:left="1440"/>
        <w:rPr>
          <w:b w:val="0"/>
          <w:bCs w:val="0"/>
          <w:sz w:val="24"/>
          <w:szCs w:val="24"/>
        </w:rPr>
      </w:pPr>
      <w:r w:rsidRPr="00E42A32">
        <w:rPr>
          <w:b w:val="0"/>
          <w:bCs w:val="0"/>
          <w:sz w:val="24"/>
          <w:szCs w:val="24"/>
        </w:rPr>
        <w:t xml:space="preserve">The law is retroactive, freeing individuals who have been bound by </w:t>
      </w:r>
      <w:proofErr w:type="gramStart"/>
      <w:r w:rsidRPr="00E42A32">
        <w:rPr>
          <w:b w:val="0"/>
          <w:bCs w:val="0"/>
          <w:sz w:val="24"/>
          <w:szCs w:val="24"/>
        </w:rPr>
        <w:t>arbitration language</w:t>
      </w:r>
      <w:proofErr w:type="gramEnd"/>
      <w:r w:rsidRPr="00E42A32">
        <w:rPr>
          <w:b w:val="0"/>
          <w:bCs w:val="0"/>
          <w:sz w:val="24"/>
          <w:szCs w:val="24"/>
        </w:rPr>
        <w:t xml:space="preserve"> to pursue legal action against their harassers.</w:t>
      </w:r>
      <w:r>
        <w:rPr>
          <w:b w:val="0"/>
          <w:bCs w:val="0"/>
          <w:sz w:val="24"/>
          <w:szCs w:val="24"/>
        </w:rPr>
        <w:t xml:space="preserve"> </w:t>
      </w:r>
    </w:p>
    <w:p w14:paraId="4F3940D1" w14:textId="1BFCD8F6" w:rsidR="00B73B03" w:rsidRDefault="00B73B03" w:rsidP="00B73B03">
      <w:pPr>
        <w:pStyle w:val="NoSpacing"/>
        <w:rPr>
          <w:rFonts w:ascii="Arial Black" w:hAnsi="Arial Black"/>
          <w:sz w:val="24"/>
          <w:szCs w:val="24"/>
        </w:rPr>
      </w:pPr>
      <w:r>
        <w:rPr>
          <w:sz w:val="24"/>
          <w:szCs w:val="24"/>
        </w:rPr>
        <w:t>March 1, 2022: “</w:t>
      </w:r>
      <w:r w:rsidRPr="00E42A32">
        <w:rPr>
          <w:sz w:val="24"/>
          <w:szCs w:val="24"/>
        </w:rPr>
        <w:t xml:space="preserve">Congress Votes </w:t>
      </w:r>
      <w:proofErr w:type="gramStart"/>
      <w:r w:rsidRPr="00E42A32">
        <w:rPr>
          <w:sz w:val="24"/>
          <w:szCs w:val="24"/>
        </w:rPr>
        <w:t>To</w:t>
      </w:r>
      <w:proofErr w:type="gramEnd"/>
      <w:r w:rsidRPr="00E42A32">
        <w:rPr>
          <w:sz w:val="24"/>
          <w:szCs w:val="24"/>
        </w:rPr>
        <w:t xml:space="preserve"> End Mandatory Arbitration </w:t>
      </w:r>
      <w:proofErr w:type="gramStart"/>
      <w:r w:rsidRPr="00E42A32">
        <w:rPr>
          <w:sz w:val="24"/>
          <w:szCs w:val="24"/>
        </w:rPr>
        <w:t>Of</w:t>
      </w:r>
      <w:proofErr w:type="gramEnd"/>
      <w:r w:rsidRPr="00E42A32">
        <w:rPr>
          <w:sz w:val="24"/>
          <w:szCs w:val="24"/>
        </w:rPr>
        <w:t xml:space="preserve"> Sexual Assault </w:t>
      </w:r>
      <w:proofErr w:type="gramStart"/>
      <w:r w:rsidRPr="00E42A32">
        <w:rPr>
          <w:sz w:val="24"/>
          <w:szCs w:val="24"/>
        </w:rPr>
        <w:t>And</w:t>
      </w:r>
      <w:proofErr w:type="gramEnd"/>
      <w:r w:rsidRPr="00E42A32">
        <w:rPr>
          <w:sz w:val="24"/>
          <w:szCs w:val="24"/>
        </w:rPr>
        <w:t xml:space="preserve"> Sexual Harassment Claims</w:t>
      </w:r>
      <w:r>
        <w:rPr>
          <w:sz w:val="24"/>
          <w:szCs w:val="24"/>
        </w:rPr>
        <w:t xml:space="preserve">.: </w:t>
      </w:r>
      <w:hyperlink r:id="rId2890" w:history="1">
        <w:r w:rsidRPr="005A2A16">
          <w:rPr>
            <w:rStyle w:val="Hyperlink"/>
            <w:rFonts w:eastAsiaTheme="majorEastAsia"/>
            <w:sz w:val="24"/>
            <w:szCs w:val="24"/>
          </w:rPr>
          <w:t>https://www.natlawreview.com/article/congress-votes-to-end-mandatory-arbitration-sexual-assault-and-sexual-harassment</w:t>
        </w:r>
      </w:hyperlink>
    </w:p>
    <w:p w14:paraId="3FC99BC0" w14:textId="77777777" w:rsidR="00B73B03" w:rsidRDefault="00B73B03" w:rsidP="000C4DF5">
      <w:pPr>
        <w:pStyle w:val="NoSpacing"/>
        <w:rPr>
          <w:rFonts w:ascii="Arial Black" w:hAnsi="Arial Black"/>
          <w:sz w:val="24"/>
          <w:szCs w:val="24"/>
        </w:rPr>
      </w:pPr>
    </w:p>
    <w:p w14:paraId="37511724" w14:textId="77777777" w:rsidR="00B73B03" w:rsidRDefault="00B73B03" w:rsidP="000C4DF5">
      <w:pPr>
        <w:pStyle w:val="NoSpacing"/>
        <w:rPr>
          <w:rFonts w:ascii="Arial Black" w:hAnsi="Arial Black"/>
          <w:sz w:val="24"/>
          <w:szCs w:val="24"/>
        </w:rPr>
      </w:pPr>
    </w:p>
    <w:p w14:paraId="6AC1F989" w14:textId="3468E620" w:rsidR="00644810" w:rsidRDefault="00644810" w:rsidP="000C4DF5">
      <w:pPr>
        <w:pStyle w:val="NoSpacing"/>
        <w:rPr>
          <w:rFonts w:ascii="Arial Black" w:hAnsi="Arial Black"/>
          <w:sz w:val="24"/>
          <w:szCs w:val="24"/>
        </w:rPr>
      </w:pPr>
      <w:r>
        <w:rPr>
          <w:rFonts w:ascii="Arial Black" w:hAnsi="Arial Black"/>
          <w:sz w:val="24"/>
          <w:szCs w:val="24"/>
        </w:rPr>
        <w:t>18-18</w:t>
      </w:r>
    </w:p>
    <w:p w14:paraId="25DEB51C" w14:textId="1F357431" w:rsidR="00644810" w:rsidRDefault="00644810" w:rsidP="000C4DF5">
      <w:pPr>
        <w:pStyle w:val="NoSpacing"/>
        <w:rPr>
          <w:rFonts w:ascii="Arial Black" w:hAnsi="Arial Black"/>
          <w:sz w:val="24"/>
          <w:szCs w:val="24"/>
        </w:rPr>
      </w:pPr>
    </w:p>
    <w:p w14:paraId="6FD9BA3D" w14:textId="77777777" w:rsidR="00644810" w:rsidRPr="00F95E1F" w:rsidRDefault="00644810" w:rsidP="00644810">
      <w:pPr>
        <w:rPr>
          <w:rFonts w:ascii="Arial Black" w:hAnsi="Arial Black"/>
          <w:sz w:val="28"/>
          <w:szCs w:val="28"/>
        </w:rPr>
      </w:pPr>
      <w:r>
        <w:rPr>
          <w:rFonts w:ascii="Arial Black" w:hAnsi="Arial Black"/>
          <w:sz w:val="28"/>
          <w:szCs w:val="28"/>
        </w:rPr>
        <w:t xml:space="preserve">DC: NEW FED. LAW - DISABLED EMER. RESP. CAN GET PUB. SAFETY OFFICER BENEFITS WHILE PAID SIMPLE TASKS </w:t>
      </w:r>
    </w:p>
    <w:p w14:paraId="0ECA9699" w14:textId="77777777" w:rsidR="00644810" w:rsidRPr="00213018" w:rsidRDefault="00644810" w:rsidP="00644810">
      <w:pPr>
        <w:spacing w:after="225"/>
        <w:rPr>
          <w:rFonts w:ascii="Times New Roman" w:hAnsi="Times New Roman"/>
          <w:b/>
          <w:bCs/>
          <w:sz w:val="24"/>
          <w:szCs w:val="24"/>
        </w:rPr>
      </w:pPr>
      <w:r>
        <w:t xml:space="preserve"> </w:t>
      </w:r>
      <w:r w:rsidRPr="00213018">
        <w:rPr>
          <w:rFonts w:ascii="Times New Roman" w:hAnsi="Times New Roman"/>
          <w:sz w:val="24"/>
          <w:szCs w:val="24"/>
        </w:rPr>
        <w:t>On Dec. 4, 2021, President Biden signed into law the “P</w:t>
      </w:r>
      <w:r w:rsidRPr="00213018">
        <w:rPr>
          <w:rFonts w:ascii="Times New Roman" w:hAnsi="Times New Roman"/>
          <w:color w:val="000000"/>
          <w:sz w:val="24"/>
          <w:szCs w:val="24"/>
          <w:bdr w:val="none" w:sz="0" w:space="0" w:color="auto" w:frame="1"/>
        </w:rPr>
        <w:t xml:space="preserve">rotecting America’s First Responders Act of 2021” which assures that first responders and law enforcement have prompt access to federal benefits even if able to perform compensated work that is </w:t>
      </w:r>
      <w:r w:rsidRPr="00213018">
        <w:rPr>
          <w:rFonts w:ascii="Times New Roman" w:hAnsi="Times New Roman"/>
          <w:sz w:val="24"/>
          <w:szCs w:val="24"/>
        </w:rPr>
        <w:t xml:space="preserve">de minimis, nominal, honorary, or mere reimbursement of incidental expenses.  The two sponsors, Congressman Bill Pascrell, Jr. (D-NJ), and Senator Charles Grassley (R-IA), described the statute. </w:t>
      </w:r>
    </w:p>
    <w:p w14:paraId="60B73784" w14:textId="0D00165F" w:rsidR="00644810" w:rsidRDefault="00644810" w:rsidP="00644810">
      <w:pPr>
        <w:pStyle w:val="NoSpacing"/>
        <w:ind w:left="720"/>
        <w:rPr>
          <w:rFonts w:ascii="Arial Black" w:hAnsi="Arial Black"/>
          <w:sz w:val="24"/>
          <w:szCs w:val="24"/>
        </w:rPr>
      </w:pPr>
      <w:r w:rsidRPr="00213018">
        <w:rPr>
          <w:rFonts w:ascii="Times New Roman" w:hAnsi="Times New Roman"/>
          <w:sz w:val="24"/>
          <w:szCs w:val="24"/>
        </w:rPr>
        <w:t xml:space="preserve">“Currently, first responders permanently disabled in the line of duty are only eligible for Public Safety Officer Benefits (PSOB) if they can never again perform any compensated work. This high bar leaves behind far too many public safety officers. PAFRA corrects this by ensuring disabled first responders whose work is for therapeutic purposes, involves simple tasks, or provides special accommodations can still receive benefits. The bill also provides for retroactive disability benefits to public safety officers who responded to the September 11, </w:t>
      </w:r>
      <w:proofErr w:type="gramStart"/>
      <w:r w:rsidRPr="00213018">
        <w:rPr>
          <w:rFonts w:ascii="Times New Roman" w:hAnsi="Times New Roman"/>
          <w:sz w:val="24"/>
          <w:szCs w:val="24"/>
        </w:rPr>
        <w:t>2001</w:t>
      </w:r>
      <w:proofErr w:type="gramEnd"/>
      <w:r w:rsidRPr="00213018">
        <w:rPr>
          <w:rFonts w:ascii="Times New Roman" w:hAnsi="Times New Roman"/>
          <w:sz w:val="24"/>
          <w:szCs w:val="24"/>
        </w:rPr>
        <w:t xml:space="preserve"> terrorist attacks, allowing those first responders who became permanently disabled from their heroic work at Ground Zero to re-apply for disability benefits.” </w:t>
      </w:r>
      <w:hyperlink r:id="rId2891" w:history="1">
        <w:r w:rsidRPr="00EC5853">
          <w:rPr>
            <w:rStyle w:val="Hyperlink"/>
            <w:rFonts w:ascii="Times New Roman" w:hAnsi="Times New Roman"/>
            <w:sz w:val="24"/>
            <w:szCs w:val="24"/>
          </w:rPr>
          <w:t>https://pascrell.house.gov/news/documentsingle.aspx?DocumentID=4933</w:t>
        </w:r>
      </w:hyperlink>
    </w:p>
    <w:p w14:paraId="3ED66AC4" w14:textId="77777777" w:rsidR="00644810" w:rsidRDefault="00644810" w:rsidP="000C4DF5">
      <w:pPr>
        <w:pStyle w:val="NoSpacing"/>
        <w:rPr>
          <w:rFonts w:ascii="Arial Black" w:hAnsi="Arial Black"/>
          <w:sz w:val="24"/>
          <w:szCs w:val="24"/>
        </w:rPr>
      </w:pPr>
    </w:p>
    <w:p w14:paraId="59F964DE" w14:textId="77777777" w:rsidR="00644810" w:rsidRPr="00213018" w:rsidRDefault="00644810" w:rsidP="00644810">
      <w:pPr>
        <w:rPr>
          <w:rFonts w:ascii="Times New Roman" w:hAnsi="Times New Roman"/>
          <w:b/>
          <w:bCs/>
          <w:sz w:val="24"/>
          <w:szCs w:val="24"/>
        </w:rPr>
      </w:pPr>
      <w:r w:rsidRPr="00213018">
        <w:rPr>
          <w:rFonts w:ascii="Times New Roman" w:hAnsi="Times New Roman"/>
          <w:b/>
          <w:bCs/>
          <w:sz w:val="24"/>
          <w:szCs w:val="24"/>
        </w:rPr>
        <w:t>Legal Lesson Learned: Helpful statute.</w:t>
      </w:r>
    </w:p>
    <w:p w14:paraId="4F9F8DE9" w14:textId="77777777" w:rsidR="00644810" w:rsidRPr="00213018" w:rsidRDefault="00644810" w:rsidP="00644810">
      <w:pPr>
        <w:spacing w:after="225"/>
        <w:ind w:left="720"/>
        <w:rPr>
          <w:rFonts w:ascii="Times New Roman" w:hAnsi="Times New Roman"/>
          <w:b/>
          <w:bCs/>
          <w:sz w:val="24"/>
          <w:szCs w:val="24"/>
        </w:rPr>
      </w:pPr>
      <w:r w:rsidRPr="00213018">
        <w:rPr>
          <w:rFonts w:ascii="Times New Roman" w:hAnsi="Times New Roman"/>
          <w:sz w:val="24"/>
          <w:szCs w:val="24"/>
        </w:rPr>
        <w:t xml:space="preserve">Note: The two sponsors, Congressman Bill Pascrell, Jr. (D-NJ), and Senator Charles Grassley (R-IA), also described the increased   federal benefits.  </w:t>
      </w:r>
    </w:p>
    <w:p w14:paraId="7795D9BB" w14:textId="371407C0" w:rsidR="00644810" w:rsidRDefault="00644810" w:rsidP="00644810">
      <w:pPr>
        <w:pStyle w:val="NoSpacing"/>
        <w:ind w:left="1440"/>
        <w:rPr>
          <w:rFonts w:ascii="Arial Black" w:hAnsi="Arial Black"/>
          <w:sz w:val="24"/>
          <w:szCs w:val="24"/>
        </w:rPr>
      </w:pPr>
      <w:r w:rsidRPr="00213018">
        <w:rPr>
          <w:rFonts w:ascii="Times New Roman" w:hAnsi="Times New Roman"/>
          <w:sz w:val="24"/>
          <w:szCs w:val="24"/>
        </w:rPr>
        <w:t>“This bipartisan legislation was sponsored in the House (</w:t>
      </w:r>
      <w:hyperlink r:id="rId2892" w:history="1">
        <w:r w:rsidRPr="00213018">
          <w:rPr>
            <w:rFonts w:ascii="Times New Roman" w:hAnsi="Times New Roman"/>
            <w:sz w:val="24"/>
            <w:szCs w:val="24"/>
          </w:rPr>
          <w:t>H.R. 2936</w:t>
        </w:r>
      </w:hyperlink>
      <w:r w:rsidRPr="00213018">
        <w:rPr>
          <w:rFonts w:ascii="Times New Roman" w:hAnsi="Times New Roman"/>
          <w:sz w:val="24"/>
          <w:szCs w:val="24"/>
        </w:rPr>
        <w:t>) by Rep. Pascrell and in the Senate (</w:t>
      </w:r>
      <w:hyperlink r:id="rId2893" w:history="1">
        <w:r w:rsidRPr="00213018">
          <w:rPr>
            <w:rFonts w:ascii="Times New Roman" w:hAnsi="Times New Roman"/>
            <w:sz w:val="24"/>
            <w:szCs w:val="24"/>
          </w:rPr>
          <w:t>S. 1511</w:t>
        </w:r>
      </w:hyperlink>
      <w:r w:rsidRPr="00213018">
        <w:rPr>
          <w:rFonts w:ascii="Times New Roman" w:hAnsi="Times New Roman"/>
          <w:sz w:val="24"/>
          <w:szCs w:val="24"/>
        </w:rPr>
        <w:t xml:space="preserve">) by Sen. Grassley. PAFRA makes significant improvements to the Department of Justice’s (DOJ) Public Safety Officer Benefits (PSOB) program, which provides first responders who die or are permanently disabled in the line of duty with a federal benefit of $370,000 and education assistance of $1,200 a month to their children or spouse.” </w:t>
      </w:r>
      <w:hyperlink r:id="rId2894" w:history="1">
        <w:r w:rsidRPr="00EC5853">
          <w:rPr>
            <w:rStyle w:val="Hyperlink"/>
            <w:rFonts w:ascii="Times New Roman" w:hAnsi="Times New Roman"/>
            <w:sz w:val="24"/>
            <w:szCs w:val="24"/>
          </w:rPr>
          <w:t>https://pascrell.house.gov/news/documentsingle.aspx?DocumentID=4933</w:t>
        </w:r>
      </w:hyperlink>
    </w:p>
    <w:p w14:paraId="4BBE2483" w14:textId="588B9738" w:rsidR="00644810" w:rsidRDefault="00644810" w:rsidP="000C4DF5">
      <w:pPr>
        <w:pStyle w:val="NoSpacing"/>
        <w:rPr>
          <w:rFonts w:ascii="Arial Black" w:hAnsi="Arial Black"/>
          <w:sz w:val="24"/>
          <w:szCs w:val="24"/>
        </w:rPr>
      </w:pPr>
    </w:p>
    <w:p w14:paraId="7E35332E" w14:textId="77777777" w:rsidR="00644810" w:rsidRDefault="00644810" w:rsidP="000C4DF5">
      <w:pPr>
        <w:pStyle w:val="NoSpacing"/>
        <w:rPr>
          <w:rFonts w:ascii="Arial Black" w:hAnsi="Arial Black"/>
          <w:sz w:val="24"/>
          <w:szCs w:val="24"/>
        </w:rPr>
      </w:pPr>
    </w:p>
    <w:p w14:paraId="7BE0B5F2" w14:textId="42CAC289" w:rsidR="004B6144" w:rsidRDefault="004B6144" w:rsidP="000C4DF5">
      <w:pPr>
        <w:pStyle w:val="NoSpacing"/>
        <w:rPr>
          <w:rFonts w:ascii="Arial Black" w:hAnsi="Arial Black"/>
          <w:sz w:val="24"/>
          <w:szCs w:val="24"/>
        </w:rPr>
      </w:pPr>
      <w:r>
        <w:rPr>
          <w:rFonts w:ascii="Arial Black" w:hAnsi="Arial Black"/>
          <w:sz w:val="24"/>
          <w:szCs w:val="24"/>
        </w:rPr>
        <w:t>18-7</w:t>
      </w:r>
    </w:p>
    <w:p w14:paraId="7EDAD68E" w14:textId="77777777" w:rsidR="004B6144" w:rsidRPr="001E6223" w:rsidRDefault="004B6144" w:rsidP="004B6144">
      <w:pPr>
        <w:spacing w:before="100" w:beforeAutospacing="1" w:after="100" w:afterAutospacing="1" w:line="240" w:lineRule="auto"/>
        <w:rPr>
          <w:rFonts w:ascii="Arial Black" w:eastAsia="Times New Roman" w:hAnsi="Arial Black"/>
          <w:sz w:val="28"/>
          <w:szCs w:val="28"/>
        </w:rPr>
      </w:pPr>
      <w:r w:rsidRPr="001E6223">
        <w:rPr>
          <w:rFonts w:ascii="Arial Black" w:eastAsia="Times New Roman" w:hAnsi="Arial Black"/>
          <w:sz w:val="28"/>
          <w:szCs w:val="28"/>
        </w:rPr>
        <w:t>NY</w:t>
      </w:r>
      <w:r>
        <w:rPr>
          <w:rFonts w:ascii="Arial Black" w:eastAsia="Times New Roman" w:hAnsi="Arial Black"/>
          <w:sz w:val="28"/>
          <w:szCs w:val="28"/>
        </w:rPr>
        <w:t xml:space="preserve">: PUBLIC RECORDS – CITIZEN COMPLAINTS - NY LEGISLATURE REPEALED STATUTE – PROTECTED POLICE &amp; FIRE PERFORM. RECORDS </w:t>
      </w:r>
    </w:p>
    <w:p w14:paraId="2C65FF32" w14:textId="77777777" w:rsidR="004B6144" w:rsidRDefault="004B6144" w:rsidP="004B6144">
      <w:p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rPr>
        <w:t xml:space="preserve">On Oct. 9, 2020, in </w:t>
      </w:r>
      <w:r w:rsidRPr="007A5C5E">
        <w:rPr>
          <w:rFonts w:ascii="Times New Roman" w:eastAsia="Times New Roman" w:hAnsi="Times New Roman"/>
          <w:sz w:val="24"/>
          <w:szCs w:val="24"/>
          <w:u w:val="single"/>
        </w:rPr>
        <w:t>Buffalo Police Benevolent Association, Inc. and Buffalo Professional Firefighters Association, Inc. v. Byron W. Brown, Mayor of City of Buffalo</w:t>
      </w:r>
      <w:r>
        <w:rPr>
          <w:rFonts w:ascii="Times New Roman" w:eastAsia="Times New Roman" w:hAnsi="Times New Roman"/>
          <w:sz w:val="24"/>
          <w:szCs w:val="24"/>
        </w:rPr>
        <w:t xml:space="preserve">, Judge Frank A. Sedita III, Superior Court, Erie County, </w:t>
      </w:r>
      <w:r w:rsidRPr="007A5C5E">
        <w:rPr>
          <w:rFonts w:ascii="Times New Roman" w:hAnsi="Times New Roman"/>
          <w:sz w:val="24"/>
          <w:szCs w:val="24"/>
        </w:rPr>
        <w:t>2020 NY Slip Op 20257</w:t>
      </w:r>
      <w:r>
        <w:rPr>
          <w:rFonts w:ascii="Times New Roman" w:hAnsi="Times New Roman"/>
          <w:sz w:val="24"/>
          <w:szCs w:val="24"/>
        </w:rPr>
        <w:t>, while recognizing that many other professionals (including judges and attorneys) are protected from public disclosure of unfounded complaints, declined to declare the New York repeal a violation of State or U.S. Constitution.</w:t>
      </w:r>
    </w:p>
    <w:bookmarkEnd w:id="653"/>
    <w:p w14:paraId="5FFBF382" w14:textId="77777777" w:rsidR="004B6144" w:rsidRDefault="004B6144" w:rsidP="004B6144">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r w:rsidRPr="00B42C1C">
        <w:rPr>
          <w:rFonts w:ascii="Times New Roman" w:hAnsi="Times New Roman"/>
          <w:sz w:val="24"/>
          <w:szCs w:val="24"/>
        </w:rPr>
        <w:t>§50-a of the NY Civil Rights Law (50-a) was repealed on June 12, 2020. Enacted in 1976, 50-a provided, in relevant part, that personnel records used to evaluate the performance of police officers and firefighters could not be publicly disclosed unless the officer/firefighter consented to it or a court ordered it.</w:t>
      </w:r>
    </w:p>
    <w:p w14:paraId="5FB9B3F7" w14:textId="77777777" w:rsidR="004B6144" w:rsidRDefault="004B6144" w:rsidP="004B6144">
      <w:p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w:t>
      </w:r>
    </w:p>
    <w:p w14:paraId="723A0097" w14:textId="77777777" w:rsidR="004B6144" w:rsidRDefault="004B6144" w:rsidP="004B6144">
      <w:pPr>
        <w:spacing w:before="100" w:beforeAutospacing="1" w:after="100" w:afterAutospacing="1" w:line="240" w:lineRule="auto"/>
        <w:ind w:left="720"/>
        <w:rPr>
          <w:rFonts w:ascii="Times New Roman" w:eastAsia="Times New Roman" w:hAnsi="Times New Roman"/>
          <w:sz w:val="24"/>
          <w:szCs w:val="24"/>
        </w:rPr>
      </w:pPr>
      <w:r w:rsidRPr="00B42C1C">
        <w:rPr>
          <w:rFonts w:ascii="Times New Roman" w:eastAsia="Times New Roman" w:hAnsi="Times New Roman"/>
          <w:sz w:val="24"/>
          <w:szCs w:val="24"/>
        </w:rPr>
        <w:t>At the core of this case, is Petitioners' dismay that FOIL</w:t>
      </w:r>
      <w:r>
        <w:rPr>
          <w:rFonts w:ascii="Times New Roman" w:eastAsia="Times New Roman" w:hAnsi="Times New Roman"/>
          <w:sz w:val="24"/>
          <w:szCs w:val="24"/>
        </w:rPr>
        <w:t xml:space="preserve"> [Freedom of Information]</w:t>
      </w:r>
      <w:r w:rsidRPr="00B42C1C">
        <w:rPr>
          <w:rFonts w:ascii="Times New Roman" w:eastAsia="Times New Roman" w:hAnsi="Times New Roman"/>
          <w:sz w:val="24"/>
          <w:szCs w:val="24"/>
        </w:rPr>
        <w:t xml:space="preserve"> officers will release unfiltered information that serves not to inform but to defame, especially when revealed to those </w:t>
      </w:r>
      <w:proofErr w:type="gramStart"/>
      <w:r w:rsidRPr="00B42C1C">
        <w:rPr>
          <w:rFonts w:ascii="Times New Roman" w:eastAsia="Times New Roman" w:hAnsi="Times New Roman"/>
          <w:sz w:val="24"/>
          <w:szCs w:val="24"/>
        </w:rPr>
        <w:t>whom</w:t>
      </w:r>
      <w:proofErr w:type="gramEnd"/>
      <w:r w:rsidRPr="00B42C1C">
        <w:rPr>
          <w:rFonts w:ascii="Times New Roman" w:eastAsia="Times New Roman" w:hAnsi="Times New Roman"/>
          <w:sz w:val="24"/>
          <w:szCs w:val="24"/>
        </w:rPr>
        <w:t xml:space="preserve"> already view police officers with disdain. The prospect of such irreparable harm is viewed as especially inequitable given the fact that members of so many other occupations and professions — including lawyers and judges — are protected by statutes that prevent the disclosure of misconduct allegations made against them, unless and until they are </w:t>
      </w:r>
      <w:proofErr w:type="gramStart"/>
      <w:r w:rsidRPr="00B42C1C">
        <w:rPr>
          <w:rFonts w:ascii="Times New Roman" w:eastAsia="Times New Roman" w:hAnsi="Times New Roman"/>
          <w:sz w:val="24"/>
          <w:szCs w:val="24"/>
        </w:rPr>
        <w:t>actually proven</w:t>
      </w:r>
      <w:proofErr w:type="gramEnd"/>
      <w:r w:rsidRPr="00B42C1C">
        <w:rPr>
          <w:rFonts w:ascii="Times New Roman" w:eastAsia="Times New Roman" w:hAnsi="Times New Roman"/>
          <w:sz w:val="24"/>
          <w:szCs w:val="24"/>
        </w:rPr>
        <w:t xml:space="preserve"> to be true.</w:t>
      </w:r>
    </w:p>
    <w:p w14:paraId="36359658" w14:textId="77777777" w:rsidR="004B6144" w:rsidRPr="00B42C1C" w:rsidRDefault="004B6144" w:rsidP="004B6144">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w:t>
      </w:r>
    </w:p>
    <w:p w14:paraId="7F7677B2" w14:textId="040CA905" w:rsidR="004B6144" w:rsidRDefault="004B6144" w:rsidP="004B6144">
      <w:pPr>
        <w:pStyle w:val="NoSpacing"/>
        <w:rPr>
          <w:rStyle w:val="Hyperlink"/>
          <w:rFonts w:ascii="Times New Roman" w:eastAsia="Times New Roman" w:hAnsi="Times New Roman"/>
          <w:sz w:val="24"/>
          <w:szCs w:val="24"/>
        </w:rPr>
      </w:pPr>
      <w:r>
        <w:rPr>
          <w:rFonts w:ascii="Times New Roman" w:eastAsia="Times New Roman" w:hAnsi="Times New Roman"/>
          <w:sz w:val="24"/>
          <w:szCs w:val="24"/>
        </w:rPr>
        <w:t>“</w:t>
      </w:r>
      <w:r w:rsidRPr="001E6223">
        <w:rPr>
          <w:rFonts w:ascii="Times New Roman" w:eastAsia="Times New Roman" w:hAnsi="Times New Roman"/>
          <w:sz w:val="24"/>
          <w:szCs w:val="24"/>
        </w:rPr>
        <w:t xml:space="preserve">What Petitioners essentially seek — a pre-emptive strike that will serve as a blanket prohibition on the release of </w:t>
      </w:r>
      <w:proofErr w:type="gramStart"/>
      <w:r w:rsidRPr="001E6223">
        <w:rPr>
          <w:rFonts w:ascii="Times New Roman" w:eastAsia="Times New Roman" w:hAnsi="Times New Roman"/>
          <w:sz w:val="24"/>
          <w:szCs w:val="24"/>
        </w:rPr>
        <w:t>any and all</w:t>
      </w:r>
      <w:proofErr w:type="gramEnd"/>
      <w:r w:rsidRPr="001E6223">
        <w:rPr>
          <w:rFonts w:ascii="Times New Roman" w:eastAsia="Times New Roman" w:hAnsi="Times New Roman"/>
          <w:sz w:val="24"/>
          <w:szCs w:val="24"/>
        </w:rPr>
        <w:t xml:space="preserve"> information regarding any complaint deemed </w:t>
      </w:r>
      <w:r>
        <w:rPr>
          <w:rFonts w:ascii="Times New Roman" w:eastAsia="Times New Roman" w:hAnsi="Times New Roman"/>
          <w:sz w:val="24"/>
          <w:szCs w:val="24"/>
        </w:rPr>
        <w:t>‘</w:t>
      </w:r>
      <w:r w:rsidRPr="001E6223">
        <w:rPr>
          <w:rFonts w:ascii="Times New Roman" w:eastAsia="Times New Roman" w:hAnsi="Times New Roman"/>
          <w:sz w:val="24"/>
          <w:szCs w:val="24"/>
        </w:rPr>
        <w:t>unsubstantiated</w:t>
      </w:r>
      <w:r>
        <w:rPr>
          <w:rFonts w:ascii="Times New Roman" w:eastAsia="Times New Roman" w:hAnsi="Times New Roman"/>
          <w:sz w:val="24"/>
          <w:szCs w:val="24"/>
        </w:rPr>
        <w:t>’</w:t>
      </w:r>
      <w:r w:rsidRPr="001E6223">
        <w:rPr>
          <w:rFonts w:ascii="Times New Roman" w:eastAsia="Times New Roman" w:hAnsi="Times New Roman"/>
          <w:sz w:val="24"/>
          <w:szCs w:val="24"/>
        </w:rPr>
        <w:t xml:space="preserve"> — is not merely drastic remedy, it is an inappropriate one. Petitioners advance no persuasive arguments as to why the controlling statutes violate due process, equal protection or any other provision of the Federal and State Constitutions.</w:t>
      </w:r>
      <w:r>
        <w:rPr>
          <w:rFonts w:ascii="Times New Roman" w:eastAsia="Times New Roman" w:hAnsi="Times New Roman"/>
          <w:sz w:val="24"/>
          <w:szCs w:val="24"/>
        </w:rPr>
        <w:t xml:space="preserve">” </w:t>
      </w:r>
      <w:hyperlink r:id="rId2895" w:history="1">
        <w:r w:rsidRPr="00C93B62">
          <w:rPr>
            <w:rStyle w:val="Hyperlink"/>
            <w:rFonts w:ascii="Times New Roman" w:eastAsia="Times New Roman" w:hAnsi="Times New Roman"/>
            <w:sz w:val="24"/>
            <w:szCs w:val="24"/>
          </w:rPr>
          <w:t>https://public.fastcase.com/Wl%2B2t%2BeVuI35%2FN70vAMFZlFt1LsN7FOv8IeLOLQpT2HmGMXcCWoYq2MigYjsxegu</w:t>
        </w:r>
      </w:hyperlink>
    </w:p>
    <w:p w14:paraId="74BCDF2F" w14:textId="0CCAFB06" w:rsidR="004B6144" w:rsidRDefault="004B6144" w:rsidP="004B6144">
      <w:pPr>
        <w:pStyle w:val="NoSpacing"/>
        <w:rPr>
          <w:rStyle w:val="Hyperlink"/>
          <w:rFonts w:ascii="Times New Roman" w:eastAsia="Times New Roman" w:hAnsi="Times New Roman"/>
          <w:sz w:val="24"/>
          <w:szCs w:val="24"/>
        </w:rPr>
      </w:pPr>
    </w:p>
    <w:p w14:paraId="201B9F77" w14:textId="77777777" w:rsidR="004B6144" w:rsidRDefault="004B6144" w:rsidP="004B6144">
      <w:pPr>
        <w:spacing w:before="100" w:beforeAutospacing="1" w:after="100" w:afterAutospacing="1" w:line="240" w:lineRule="auto"/>
        <w:rPr>
          <w:rFonts w:ascii="Times New Roman" w:hAnsi="Times New Roman"/>
          <w:b/>
          <w:bCs/>
          <w:sz w:val="24"/>
          <w:szCs w:val="24"/>
        </w:rPr>
      </w:pPr>
      <w:r w:rsidRPr="00C97C76">
        <w:rPr>
          <w:rFonts w:ascii="Times New Roman" w:hAnsi="Times New Roman"/>
          <w:b/>
          <w:bCs/>
          <w:sz w:val="24"/>
          <w:szCs w:val="24"/>
        </w:rPr>
        <w:t>Legal Lesson</w:t>
      </w:r>
      <w:r>
        <w:rPr>
          <w:rFonts w:ascii="Times New Roman" w:hAnsi="Times New Roman"/>
          <w:b/>
          <w:bCs/>
          <w:sz w:val="24"/>
          <w:szCs w:val="24"/>
        </w:rPr>
        <w:t xml:space="preserve"> </w:t>
      </w:r>
      <w:r w:rsidRPr="00C97C76">
        <w:rPr>
          <w:rFonts w:ascii="Times New Roman" w:hAnsi="Times New Roman"/>
          <w:b/>
          <w:bCs/>
          <w:sz w:val="24"/>
          <w:szCs w:val="24"/>
        </w:rPr>
        <w:t>Learned:</w:t>
      </w:r>
      <w:r>
        <w:rPr>
          <w:rFonts w:ascii="Times New Roman" w:hAnsi="Times New Roman"/>
          <w:b/>
          <w:bCs/>
          <w:sz w:val="24"/>
          <w:szCs w:val="24"/>
        </w:rPr>
        <w:t xml:space="preserve">  It is unfortunate to make mere complaints of misconduct “public records. </w:t>
      </w:r>
    </w:p>
    <w:p w14:paraId="5EC14AA8" w14:textId="77777777" w:rsidR="004B6144" w:rsidRDefault="004B6144" w:rsidP="004B6144">
      <w:pPr>
        <w:pStyle w:val="NormalWeb"/>
        <w:ind w:left="720"/>
      </w:pPr>
      <w:r w:rsidRPr="009C5E9D">
        <w:t xml:space="preserve">Note: </w:t>
      </w:r>
    </w:p>
    <w:p w14:paraId="3859F23D" w14:textId="77777777" w:rsidR="004B6144" w:rsidRPr="009C5E9D" w:rsidRDefault="004B6144" w:rsidP="004B6144">
      <w:pPr>
        <w:pStyle w:val="Heading1"/>
        <w:ind w:left="720"/>
        <w:rPr>
          <w:b w:val="0"/>
          <w:bCs w:val="0"/>
          <w:sz w:val="24"/>
          <w:szCs w:val="24"/>
        </w:rPr>
      </w:pPr>
      <w:r>
        <w:rPr>
          <w:b w:val="0"/>
          <w:bCs w:val="0"/>
          <w:sz w:val="24"/>
          <w:szCs w:val="24"/>
        </w:rPr>
        <w:t xml:space="preserve">See </w:t>
      </w:r>
      <w:r w:rsidRPr="009C5E9D">
        <w:rPr>
          <w:b w:val="0"/>
          <w:bCs w:val="0"/>
          <w:sz w:val="24"/>
          <w:szCs w:val="24"/>
        </w:rPr>
        <w:t xml:space="preserve">Aug. 20, </w:t>
      </w:r>
      <w:proofErr w:type="gramStart"/>
      <w:r w:rsidRPr="009C5E9D">
        <w:rPr>
          <w:b w:val="0"/>
          <w:bCs w:val="0"/>
          <w:sz w:val="24"/>
          <w:szCs w:val="24"/>
        </w:rPr>
        <w:t>2020</w:t>
      </w:r>
      <w:proofErr w:type="gramEnd"/>
      <w:r>
        <w:rPr>
          <w:b w:val="0"/>
          <w:bCs w:val="0"/>
          <w:sz w:val="24"/>
          <w:szCs w:val="24"/>
        </w:rPr>
        <w:t xml:space="preserve"> article: “</w:t>
      </w:r>
      <w:r w:rsidRPr="009C5E9D">
        <w:rPr>
          <w:b w:val="0"/>
          <w:bCs w:val="0"/>
          <w:sz w:val="24"/>
          <w:szCs w:val="24"/>
        </w:rPr>
        <w:t>323,911 Accusations of N.Y.P.D. Misconduct Are Released Online</w:t>
      </w:r>
      <w:r>
        <w:rPr>
          <w:b w:val="0"/>
          <w:bCs w:val="0"/>
          <w:sz w:val="24"/>
          <w:szCs w:val="24"/>
        </w:rPr>
        <w:t xml:space="preserve">.” </w:t>
      </w:r>
      <w:r w:rsidRPr="009C5E9D">
        <w:rPr>
          <w:b w:val="0"/>
          <w:bCs w:val="0"/>
          <w:sz w:val="24"/>
          <w:szCs w:val="24"/>
        </w:rPr>
        <w:t xml:space="preserve">The records had been sealed for decades, but last month, New York repealed a law keeping them secret after national </w:t>
      </w:r>
      <w:proofErr w:type="gramStart"/>
      <w:r w:rsidRPr="009C5E9D">
        <w:rPr>
          <w:b w:val="0"/>
          <w:bCs w:val="0"/>
          <w:sz w:val="24"/>
          <w:szCs w:val="24"/>
        </w:rPr>
        <w:t>protests against</w:t>
      </w:r>
      <w:proofErr w:type="gramEnd"/>
      <w:r w:rsidRPr="009C5E9D">
        <w:rPr>
          <w:b w:val="0"/>
          <w:bCs w:val="0"/>
          <w:sz w:val="24"/>
          <w:szCs w:val="24"/>
        </w:rPr>
        <w:t xml:space="preserve"> police brutality. </w:t>
      </w:r>
      <w:r>
        <w:rPr>
          <w:b w:val="0"/>
          <w:bCs w:val="0"/>
          <w:sz w:val="24"/>
          <w:szCs w:val="24"/>
        </w:rPr>
        <w:t xml:space="preserve">*** </w:t>
      </w:r>
      <w:r w:rsidRPr="009C5E9D">
        <w:rPr>
          <w:b w:val="0"/>
          <w:bCs w:val="0"/>
          <w:sz w:val="24"/>
          <w:szCs w:val="24"/>
        </w:rPr>
        <w:t xml:space="preserve">The complaints were published in an online database by the New York Civil Liberties Union, which obtained the records from the review board after state lawmakers </w:t>
      </w:r>
      <w:hyperlink r:id="rId2896" w:history="1">
        <w:r w:rsidRPr="009C5E9D">
          <w:rPr>
            <w:rStyle w:val="Hyperlink"/>
            <w:rFonts w:eastAsiaTheme="majorEastAsia"/>
            <w:b w:val="0"/>
            <w:bCs w:val="0"/>
            <w:sz w:val="24"/>
            <w:szCs w:val="24"/>
          </w:rPr>
          <w:t>repealed a law</w:t>
        </w:r>
      </w:hyperlink>
      <w:r w:rsidRPr="009C5E9D">
        <w:rPr>
          <w:b w:val="0"/>
          <w:bCs w:val="0"/>
          <w:sz w:val="24"/>
          <w:szCs w:val="24"/>
        </w:rPr>
        <w:t xml:space="preserve"> that had kept them secret.</w:t>
      </w:r>
      <w:bookmarkStart w:id="656" w:name="_Hlk66950954"/>
      <w:r w:rsidR="00F00958">
        <w:fldChar w:fldCharType="begin"/>
      </w:r>
      <w:r w:rsidR="00F00958">
        <w:instrText xml:space="preserve"> HYPERLINK "https://www.nytimes.com/2020/08/20/nyregion/nypd-ccrb-records-published.html" </w:instrText>
      </w:r>
      <w:r w:rsidR="00F00958">
        <w:fldChar w:fldCharType="separate"/>
      </w:r>
      <w:r w:rsidRPr="009C5E9D">
        <w:rPr>
          <w:rStyle w:val="Hyperlink"/>
          <w:b w:val="0"/>
          <w:bCs w:val="0"/>
          <w:sz w:val="24"/>
          <w:szCs w:val="24"/>
        </w:rPr>
        <w:t>https://www.nytimes.com/2020/08/20/nyregion/nypd-ccrb-records-published.html</w:t>
      </w:r>
      <w:r w:rsidR="00F00958">
        <w:rPr>
          <w:rStyle w:val="Hyperlink"/>
          <w:b w:val="0"/>
          <w:bCs w:val="0"/>
          <w:sz w:val="24"/>
          <w:szCs w:val="24"/>
        </w:rPr>
        <w:fldChar w:fldCharType="end"/>
      </w:r>
      <w:r w:rsidRPr="009C5E9D">
        <w:rPr>
          <w:b w:val="0"/>
          <w:bCs w:val="0"/>
          <w:sz w:val="24"/>
          <w:szCs w:val="24"/>
        </w:rPr>
        <w:t xml:space="preserve"> </w:t>
      </w:r>
    </w:p>
    <w:bookmarkEnd w:id="656"/>
    <w:p w14:paraId="6DAED484" w14:textId="77777777" w:rsidR="004B6144" w:rsidRPr="00C97C76" w:rsidRDefault="004B6144" w:rsidP="004B6144">
      <w:pPr>
        <w:pStyle w:val="NormalWeb"/>
        <w:ind w:left="720"/>
      </w:pPr>
      <w:r>
        <w:t xml:space="preserve">See review of state statutes on police disciplinary records.  </w:t>
      </w:r>
      <w:r w:rsidRPr="009C5E9D">
        <w:t xml:space="preserve">In </w:t>
      </w:r>
      <w:r>
        <w:t xml:space="preserve">12 </w:t>
      </w:r>
      <w:r w:rsidRPr="009C5E9D">
        <w:t>states where</w:t>
      </w:r>
      <w:r>
        <w:rPr>
          <w:b/>
          <w:bCs/>
        </w:rPr>
        <w:t xml:space="preserve"> “</w:t>
      </w:r>
      <w:r w:rsidRPr="00C97C76">
        <w:t>police disciplinary records are generally available to the public.</w:t>
      </w:r>
      <w:r>
        <w:t xml:space="preserve"> </w:t>
      </w:r>
      <w:r w:rsidRPr="00C97C76">
        <w:t>Many of these states still make records of unsubstantiated complaints or active investigations confidential.</w:t>
      </w:r>
      <w:r>
        <w:t xml:space="preserve">”  </w:t>
      </w:r>
      <w:hyperlink r:id="rId2897" w:history="1">
        <w:r w:rsidRPr="00C93B62">
          <w:rPr>
            <w:rStyle w:val="Hyperlink"/>
          </w:rPr>
          <w:t>https://project.wnyc.org/disciplinary-records/</w:t>
        </w:r>
      </w:hyperlink>
      <w:r>
        <w:t xml:space="preserve"> </w:t>
      </w:r>
    </w:p>
    <w:p w14:paraId="620CCCDA" w14:textId="77777777" w:rsidR="004B6144" w:rsidRDefault="004B6144" w:rsidP="004B6144">
      <w:pPr>
        <w:pStyle w:val="NoSpacing"/>
        <w:rPr>
          <w:rFonts w:ascii="Arial Black" w:hAnsi="Arial Black"/>
          <w:sz w:val="24"/>
          <w:szCs w:val="24"/>
        </w:rPr>
      </w:pPr>
    </w:p>
    <w:p w14:paraId="7D6C40AE" w14:textId="77777777" w:rsidR="004B6144" w:rsidRDefault="004B6144" w:rsidP="000C4DF5">
      <w:pPr>
        <w:pStyle w:val="NoSpacing"/>
        <w:rPr>
          <w:rFonts w:ascii="Arial Black" w:hAnsi="Arial Black"/>
          <w:sz w:val="24"/>
          <w:szCs w:val="24"/>
        </w:rPr>
      </w:pPr>
    </w:p>
    <w:p w14:paraId="4224944C" w14:textId="76B0F321" w:rsidR="00B532F6" w:rsidRDefault="00B532F6" w:rsidP="000C4DF5">
      <w:pPr>
        <w:pStyle w:val="NoSpacing"/>
        <w:rPr>
          <w:rFonts w:ascii="Arial Black" w:hAnsi="Arial Black"/>
          <w:sz w:val="24"/>
          <w:szCs w:val="24"/>
        </w:rPr>
      </w:pPr>
      <w:r>
        <w:rPr>
          <w:rFonts w:ascii="Arial Black" w:hAnsi="Arial Black"/>
          <w:sz w:val="24"/>
          <w:szCs w:val="24"/>
        </w:rPr>
        <w:t xml:space="preserve">18-6 </w:t>
      </w:r>
      <w:r w:rsidRPr="00695AE8">
        <w:rPr>
          <w:rFonts w:ascii="Times New Roman" w:hAnsi="Times New Roman"/>
          <w:sz w:val="24"/>
          <w:szCs w:val="24"/>
        </w:rPr>
        <w:t>[also filed, Chap. 13]</w:t>
      </w:r>
    </w:p>
    <w:p w14:paraId="58DC4A87" w14:textId="77777777" w:rsidR="00B532F6" w:rsidRDefault="00B532F6" w:rsidP="000C4DF5">
      <w:pPr>
        <w:pStyle w:val="NoSpacing"/>
        <w:rPr>
          <w:rFonts w:ascii="Arial Black" w:hAnsi="Arial Black"/>
          <w:sz w:val="24"/>
          <w:szCs w:val="24"/>
        </w:rPr>
      </w:pPr>
    </w:p>
    <w:p w14:paraId="4A05D0B4" w14:textId="77777777" w:rsidR="00B532F6" w:rsidRPr="004D5BFC" w:rsidRDefault="00B532F6" w:rsidP="00B532F6">
      <w:pPr>
        <w:rPr>
          <w:rFonts w:ascii="Arial Black" w:hAnsi="Arial Black"/>
          <w:sz w:val="28"/>
          <w:szCs w:val="28"/>
        </w:rPr>
      </w:pPr>
      <w:r>
        <w:rPr>
          <w:rFonts w:ascii="Arial Black" w:hAnsi="Arial Black"/>
          <w:sz w:val="28"/>
          <w:szCs w:val="28"/>
        </w:rPr>
        <w:t xml:space="preserve">OH:  TEMPORARY IMMUNITY DURING COVID-19 PANDEMIC – EMERGENCY RESPONDERS, SCHOOLS PROTECTED TORT LIABILITY  </w:t>
      </w:r>
    </w:p>
    <w:p w14:paraId="5C246806" w14:textId="77777777" w:rsidR="00B532F6" w:rsidRPr="00820E9C" w:rsidRDefault="00B532F6" w:rsidP="00B532F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On Sept. 14, 2020, Ohio Governor Mike DeWine signed House Bill 606 into law.  </w:t>
      </w:r>
      <w:r w:rsidRPr="00820E9C">
        <w:rPr>
          <w:rFonts w:ascii="Times New Roman" w:hAnsi="Times New Roman"/>
          <w:sz w:val="24"/>
          <w:szCs w:val="24"/>
        </w:rPr>
        <w:t xml:space="preserve">“The bill ensures civil immunity to individuals, schools, health care providers, businesses and other entities from lawsuits arising from exposure, transmission or contraction of COVID-19, or any mutation of the virus, </w:t>
      </w:r>
      <w:proofErr w:type="gramStart"/>
      <w:r w:rsidRPr="00820E9C">
        <w:rPr>
          <w:rFonts w:ascii="Times New Roman" w:hAnsi="Times New Roman"/>
          <w:sz w:val="24"/>
          <w:szCs w:val="24"/>
        </w:rPr>
        <w:t>as long as</w:t>
      </w:r>
      <w:proofErr w:type="gramEnd"/>
      <w:r w:rsidRPr="00820E9C">
        <w:rPr>
          <w:rFonts w:ascii="Times New Roman" w:hAnsi="Times New Roman"/>
          <w:sz w:val="24"/>
          <w:szCs w:val="24"/>
        </w:rPr>
        <w:t xml:space="preserve"> they were not showing reckless, intentional or willful misconduct. It also shields health care providers from liability in tort actions regarding the care and services they provide during this pandemic unless they were acting recklessly or displaying intentional </w:t>
      </w:r>
      <w:proofErr w:type="gramStart"/>
      <w:r w:rsidRPr="00820E9C">
        <w:rPr>
          <w:rFonts w:ascii="Times New Roman" w:hAnsi="Times New Roman"/>
          <w:sz w:val="24"/>
          <w:szCs w:val="24"/>
        </w:rPr>
        <w:t>misconduct.</w:t>
      </w:r>
      <w:r>
        <w:rPr>
          <w:rFonts w:ascii="Times New Roman" w:hAnsi="Times New Roman"/>
          <w:sz w:val="24"/>
          <w:szCs w:val="24"/>
        </w:rPr>
        <w:t>”</w:t>
      </w:r>
      <w:proofErr w:type="gramEnd"/>
      <w:r w:rsidRPr="00820E9C">
        <w:rPr>
          <w:rFonts w:ascii="Times New Roman" w:hAnsi="Times New Roman"/>
          <w:sz w:val="24"/>
          <w:szCs w:val="24"/>
        </w:rPr>
        <w:t xml:space="preserve"> </w:t>
      </w:r>
      <w:hyperlink r:id="rId2898" w:history="1">
        <w:r w:rsidRPr="00EA25E1">
          <w:rPr>
            <w:rStyle w:val="Hyperlink"/>
            <w:rFonts w:ascii="Times New Roman" w:hAnsi="Times New Roman"/>
            <w:sz w:val="24"/>
            <w:szCs w:val="24"/>
          </w:rPr>
          <w:t>https://www.wkbn.com/news/coronavirus/dewine-signs-law-giving-covid-19-lawsuit-immunity/</w:t>
        </w:r>
      </w:hyperlink>
      <w:r>
        <w:rPr>
          <w:rFonts w:ascii="Times New Roman" w:hAnsi="Times New Roman"/>
          <w:sz w:val="24"/>
          <w:szCs w:val="24"/>
        </w:rPr>
        <w:t xml:space="preserve">  This will be particularly helpful to FDs that host paramedic and EMS students needing “ride time” for their certifications. See the statute: </w:t>
      </w:r>
      <w:hyperlink r:id="rId2899" w:history="1">
        <w:r w:rsidRPr="00EA25E1">
          <w:rPr>
            <w:rStyle w:val="Hyperlink"/>
            <w:rFonts w:ascii="Times New Roman" w:hAnsi="Times New Roman"/>
            <w:sz w:val="24"/>
            <w:szCs w:val="24"/>
          </w:rPr>
          <w:t>https://www.hannah.com/ShowDocument.aspx?BTextID=219206</w:t>
        </w:r>
      </w:hyperlink>
      <w:r>
        <w:rPr>
          <w:rFonts w:ascii="Times New Roman" w:hAnsi="Times New Roman"/>
          <w:sz w:val="24"/>
          <w:szCs w:val="24"/>
        </w:rPr>
        <w:t xml:space="preserve"> </w:t>
      </w:r>
    </w:p>
    <w:p w14:paraId="7BB797D3" w14:textId="77777777" w:rsidR="00B532F6" w:rsidRDefault="00B532F6" w:rsidP="00B532F6">
      <w:pPr>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Legal Lessons Learned: The statute is an excellent example of legislation providing immunity from tort liability during the pandemic for those serving others, including emergency responders.  </w:t>
      </w:r>
    </w:p>
    <w:p w14:paraId="4D487E33" w14:textId="77777777" w:rsidR="00B532F6" w:rsidRPr="00E85202" w:rsidRDefault="00B532F6" w:rsidP="00B532F6">
      <w:pPr>
        <w:spacing w:before="100" w:beforeAutospacing="1" w:after="100" w:afterAutospacing="1" w:line="240" w:lineRule="auto"/>
        <w:ind w:left="720"/>
        <w:rPr>
          <w:rFonts w:ascii="Times New Roman" w:eastAsia="Times New Roman" w:hAnsi="Times New Roman"/>
          <w:sz w:val="24"/>
          <w:szCs w:val="24"/>
        </w:rPr>
      </w:pPr>
      <w:r w:rsidRPr="00E85202">
        <w:rPr>
          <w:rFonts w:ascii="Times New Roman" w:eastAsia="Times New Roman" w:hAnsi="Times New Roman"/>
          <w:sz w:val="24"/>
          <w:szCs w:val="24"/>
        </w:rPr>
        <w:t xml:space="preserve">Note: See legislative history: </w:t>
      </w:r>
      <w:hyperlink r:id="rId2900" w:history="1">
        <w:r w:rsidRPr="00EA25E1">
          <w:rPr>
            <w:rStyle w:val="Hyperlink"/>
            <w:rFonts w:ascii="Times New Roman" w:eastAsia="Times New Roman" w:hAnsi="Times New Roman"/>
            <w:sz w:val="24"/>
            <w:szCs w:val="24"/>
          </w:rPr>
          <w:t>https://www.legislature.ohio.gov/legislation/legislation-documents?id=GA133-HB-606</w:t>
        </w:r>
      </w:hyperlink>
      <w:r w:rsidRPr="00E85202">
        <w:rPr>
          <w:rFonts w:ascii="Times New Roman" w:eastAsia="Times New Roman" w:hAnsi="Times New Roman"/>
          <w:sz w:val="24"/>
          <w:szCs w:val="24"/>
        </w:rPr>
        <w:t xml:space="preserve"> </w:t>
      </w:r>
    </w:p>
    <w:p w14:paraId="711E50CD" w14:textId="77777777" w:rsidR="00B532F6" w:rsidRDefault="00B532F6" w:rsidP="00B532F6">
      <w:pPr>
        <w:rPr>
          <w:rFonts w:ascii="Arial Black" w:hAnsi="Arial Black"/>
          <w:b/>
          <w:bCs/>
          <w:sz w:val="28"/>
          <w:szCs w:val="28"/>
        </w:rPr>
      </w:pPr>
    </w:p>
    <w:p w14:paraId="43F5DC00" w14:textId="77777777" w:rsidR="00B532F6" w:rsidRDefault="00B532F6" w:rsidP="000C4DF5">
      <w:pPr>
        <w:pStyle w:val="NoSpacing"/>
        <w:rPr>
          <w:rFonts w:ascii="Arial Black" w:hAnsi="Arial Black"/>
          <w:sz w:val="24"/>
          <w:szCs w:val="24"/>
        </w:rPr>
      </w:pPr>
    </w:p>
    <w:p w14:paraId="66279F45" w14:textId="77777777" w:rsidR="00B532F6" w:rsidRDefault="00B532F6" w:rsidP="000C4DF5">
      <w:pPr>
        <w:pStyle w:val="NoSpacing"/>
        <w:rPr>
          <w:rFonts w:ascii="Arial Black" w:hAnsi="Arial Black"/>
          <w:sz w:val="24"/>
          <w:szCs w:val="24"/>
        </w:rPr>
      </w:pPr>
    </w:p>
    <w:p w14:paraId="545E9CDF" w14:textId="1059F563" w:rsidR="0003275C" w:rsidRPr="0003275C" w:rsidRDefault="0003275C" w:rsidP="000C4DF5">
      <w:pPr>
        <w:pStyle w:val="NoSpacing"/>
        <w:rPr>
          <w:rFonts w:ascii="Times New Roman" w:hAnsi="Times New Roman"/>
          <w:sz w:val="24"/>
          <w:szCs w:val="24"/>
        </w:rPr>
      </w:pPr>
      <w:r>
        <w:rPr>
          <w:rFonts w:ascii="Arial Black" w:hAnsi="Arial Black"/>
          <w:sz w:val="24"/>
          <w:szCs w:val="24"/>
        </w:rPr>
        <w:t xml:space="preserve">18-5 </w:t>
      </w:r>
    </w:p>
    <w:p w14:paraId="4BBD5A37" w14:textId="3A3AC2ED" w:rsidR="0003275C" w:rsidRDefault="0003275C" w:rsidP="000C4DF5">
      <w:pPr>
        <w:pStyle w:val="NoSpacing"/>
        <w:rPr>
          <w:rFonts w:ascii="Arial Black" w:hAnsi="Arial Black"/>
          <w:sz w:val="24"/>
          <w:szCs w:val="24"/>
        </w:rPr>
      </w:pPr>
    </w:p>
    <w:p w14:paraId="451E8559" w14:textId="77777777" w:rsidR="0003275C" w:rsidRPr="001D76B8" w:rsidRDefault="0003275C" w:rsidP="0003275C">
      <w:pPr>
        <w:pStyle w:val="NoSpacing"/>
        <w:rPr>
          <w:rFonts w:ascii="Arial Black" w:hAnsi="Arial Black"/>
          <w:sz w:val="28"/>
          <w:szCs w:val="28"/>
        </w:rPr>
      </w:pPr>
      <w:r w:rsidRPr="00DE7C27">
        <w:rPr>
          <w:rFonts w:ascii="Arial Black" w:hAnsi="Arial Black"/>
          <w:sz w:val="28"/>
          <w:szCs w:val="28"/>
        </w:rPr>
        <w:t>TX</w:t>
      </w:r>
      <w:r>
        <w:rPr>
          <w:rFonts w:ascii="Arial Black" w:hAnsi="Arial Black"/>
          <w:sz w:val="28"/>
          <w:szCs w:val="28"/>
        </w:rPr>
        <w:t>: AIR AMBULANCE – WORKERS COMP – FED. AIRLINE DEREGULATION ACT NOT REQUIRE PAY FULL CHARGES</w:t>
      </w:r>
    </w:p>
    <w:p w14:paraId="3EEE7E06" w14:textId="77777777" w:rsidR="0003275C" w:rsidRPr="00AA3FDF" w:rsidRDefault="0003275C" w:rsidP="0003275C">
      <w:pPr>
        <w:pStyle w:val="NoSpacing"/>
        <w:rPr>
          <w:rFonts w:ascii="Times New Roman" w:hAnsi="Times New Roman"/>
          <w:sz w:val="24"/>
          <w:szCs w:val="24"/>
        </w:rPr>
      </w:pPr>
    </w:p>
    <w:p w14:paraId="7B54DADB" w14:textId="6DE68114" w:rsidR="0003275C" w:rsidRDefault="0003275C" w:rsidP="0003275C">
      <w:pPr>
        <w:pStyle w:val="NoSpacing"/>
        <w:rPr>
          <w:rStyle w:val="Hyperlink"/>
          <w:rFonts w:ascii="Times New Roman" w:hAnsi="Times New Roman"/>
          <w:sz w:val="24"/>
          <w:szCs w:val="24"/>
        </w:rPr>
      </w:pPr>
      <w:r w:rsidRPr="00AA3FDF">
        <w:rPr>
          <w:rFonts w:ascii="Times New Roman" w:hAnsi="Times New Roman"/>
          <w:sz w:val="24"/>
          <w:szCs w:val="24"/>
        </w:rPr>
        <w:t xml:space="preserve">On </w:t>
      </w:r>
      <w:r>
        <w:rPr>
          <w:rFonts w:ascii="Times New Roman" w:hAnsi="Times New Roman"/>
          <w:sz w:val="24"/>
          <w:szCs w:val="24"/>
        </w:rPr>
        <w:t xml:space="preserve">June 26, 2020, in </w:t>
      </w:r>
      <w:r w:rsidRPr="00AA3FDF">
        <w:rPr>
          <w:rFonts w:ascii="Times New Roman" w:hAnsi="Times New Roman"/>
          <w:sz w:val="24"/>
          <w:szCs w:val="24"/>
          <w:u w:val="single"/>
        </w:rPr>
        <w:t>Texas Mutual Insurance Company, et al. v. PHI Air Medical, LLC</w:t>
      </w:r>
      <w:r>
        <w:rPr>
          <w:rFonts w:ascii="Times New Roman" w:hAnsi="Times New Roman"/>
          <w:sz w:val="24"/>
          <w:szCs w:val="24"/>
        </w:rPr>
        <w:t xml:space="preserve">, the Texas Supreme Court held (7 to 2) that workers comp insurance companies in Texas are only required to pay using the Texas “general reimbursement standards” and the federal Airline Deregulation Act does not provide require Texas to change their reimbursement standards. </w:t>
      </w:r>
      <w:r w:rsidRPr="00AA3FDF">
        <w:rPr>
          <w:rFonts w:ascii="Times New Roman" w:hAnsi="Times New Roman"/>
          <w:sz w:val="24"/>
          <w:szCs w:val="24"/>
        </w:rPr>
        <w:t xml:space="preserve">“This is a case about federalism. When joining our Union, each State retained fundamental aspects of its sovereignty. This sovereignty includes the </w:t>
      </w:r>
      <w:proofErr w:type="gramStart"/>
      <w:r w:rsidRPr="00AA3FDF">
        <w:rPr>
          <w:rFonts w:ascii="Times New Roman" w:hAnsi="Times New Roman"/>
          <w:sz w:val="24"/>
          <w:szCs w:val="24"/>
        </w:rPr>
        <w:t>police</w:t>
      </w:r>
      <w:proofErr w:type="gramEnd"/>
      <w:r w:rsidRPr="00AA3FDF">
        <w:rPr>
          <w:rFonts w:ascii="Times New Roman" w:hAnsi="Times New Roman"/>
          <w:sz w:val="24"/>
          <w:szCs w:val="24"/>
        </w:rPr>
        <w:t xml:space="preserve"> power to provide a compensation system for injured workers. Although the Federal Government can preempt a </w:t>
      </w:r>
      <w:proofErr w:type="gramStart"/>
      <w:r w:rsidRPr="00AA3FDF">
        <w:rPr>
          <w:rFonts w:ascii="Times New Roman" w:hAnsi="Times New Roman"/>
          <w:sz w:val="24"/>
          <w:szCs w:val="24"/>
        </w:rPr>
        <w:t>State's</w:t>
      </w:r>
      <w:proofErr w:type="gramEnd"/>
      <w:r w:rsidRPr="00AA3FDF">
        <w:rPr>
          <w:rFonts w:ascii="Times New Roman" w:hAnsi="Times New Roman"/>
          <w:sz w:val="24"/>
          <w:szCs w:val="24"/>
        </w:rPr>
        <w:t xml:space="preserve"> exercise of sovereignty by enacting an inconsistent federal law on a subject within its constitutionally enumerated powers, it has no power to order that State to regulate the subject in a particular way.”</w:t>
      </w:r>
      <w:r>
        <w:rPr>
          <w:rFonts w:ascii="Times New Roman" w:hAnsi="Times New Roman"/>
          <w:sz w:val="24"/>
          <w:szCs w:val="24"/>
        </w:rPr>
        <w:t xml:space="preserve"> </w:t>
      </w:r>
      <w:hyperlink r:id="rId2901" w:history="1">
        <w:r w:rsidRPr="007062AF">
          <w:rPr>
            <w:rStyle w:val="Hyperlink"/>
            <w:rFonts w:ascii="Times New Roman" w:hAnsi="Times New Roman"/>
            <w:sz w:val="24"/>
            <w:szCs w:val="24"/>
          </w:rPr>
          <w:t>https://public.fastcase.com/Wl%2B2t%2BeVuI35%2FN70vAMFZk1fYI9cwrY3IkIgZcFpE1Hk%2FIolkI7JdZ%2BewTVypbzK</w:t>
        </w:r>
      </w:hyperlink>
    </w:p>
    <w:p w14:paraId="3EF2CFCE" w14:textId="041AEF47" w:rsidR="0003275C" w:rsidRDefault="0003275C" w:rsidP="0003275C">
      <w:pPr>
        <w:pStyle w:val="NoSpacing"/>
        <w:rPr>
          <w:rStyle w:val="Hyperlink"/>
          <w:rFonts w:ascii="Times New Roman" w:hAnsi="Times New Roman"/>
          <w:sz w:val="24"/>
          <w:szCs w:val="24"/>
        </w:rPr>
      </w:pPr>
    </w:p>
    <w:p w14:paraId="533D2B75" w14:textId="77777777" w:rsidR="0003275C" w:rsidRDefault="0003275C" w:rsidP="0003275C">
      <w:pPr>
        <w:pStyle w:val="NoSpacing"/>
        <w:rPr>
          <w:rFonts w:ascii="Times New Roman" w:eastAsia="Times New Roman" w:hAnsi="Times New Roman"/>
          <w:b/>
          <w:bCs/>
          <w:sz w:val="24"/>
          <w:szCs w:val="24"/>
        </w:rPr>
      </w:pPr>
      <w:r>
        <w:rPr>
          <w:rFonts w:ascii="Times New Roman" w:eastAsia="Times New Roman" w:hAnsi="Times New Roman"/>
          <w:b/>
          <w:bCs/>
          <w:sz w:val="24"/>
          <w:szCs w:val="24"/>
        </w:rPr>
        <w:t>Legal Lessons Learned: The federal Airline Deregulation Act contains no reimbursement requirement for air ambulances.</w:t>
      </w:r>
    </w:p>
    <w:p w14:paraId="6CB907B6" w14:textId="77777777" w:rsidR="0003275C" w:rsidRPr="00D54047" w:rsidRDefault="0003275C" w:rsidP="0003275C">
      <w:pPr>
        <w:spacing w:before="100" w:beforeAutospacing="1" w:after="100" w:afterAutospacing="1"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Note:  The two dissenting </w:t>
      </w:r>
      <w:proofErr w:type="gramStart"/>
      <w:r>
        <w:rPr>
          <w:rFonts w:ascii="Times New Roman" w:eastAsia="Times New Roman" w:hAnsi="Times New Roman"/>
          <w:sz w:val="24"/>
          <w:szCs w:val="24"/>
        </w:rPr>
        <w:t>Justices</w:t>
      </w:r>
      <w:proofErr w:type="gramEnd"/>
      <w:r>
        <w:rPr>
          <w:rFonts w:ascii="Times New Roman" w:eastAsia="Times New Roman" w:hAnsi="Times New Roman"/>
          <w:sz w:val="24"/>
          <w:szCs w:val="24"/>
        </w:rPr>
        <w:t xml:space="preserve"> opinion:</w:t>
      </w:r>
    </w:p>
    <w:p w14:paraId="1169B3A7" w14:textId="77777777" w:rsidR="0003275C" w:rsidRDefault="0003275C" w:rsidP="0003275C">
      <w:pPr>
        <w:pStyle w:val="NoSpacing"/>
        <w:ind w:left="720"/>
        <w:rPr>
          <w:rFonts w:ascii="Times New Roman" w:hAnsi="Times New Roman"/>
          <w:sz w:val="24"/>
          <w:szCs w:val="24"/>
        </w:rPr>
      </w:pPr>
      <w:r>
        <w:rPr>
          <w:rFonts w:ascii="Times New Roman" w:eastAsia="Times New Roman" w:hAnsi="Times New Roman"/>
          <w:b/>
          <w:bCs/>
          <w:sz w:val="24"/>
          <w:szCs w:val="24"/>
        </w:rPr>
        <w:t>“</w:t>
      </w:r>
      <w:r w:rsidRPr="00D54047">
        <w:rPr>
          <w:rFonts w:ascii="Times New Roman" w:hAnsi="Times New Roman"/>
          <w:sz w:val="24"/>
          <w:szCs w:val="24"/>
        </w:rPr>
        <w:t>And Congress, when it decided to deregulate air carrier prices</w:t>
      </w:r>
      <w:r>
        <w:rPr>
          <w:rFonts w:ascii="Times New Roman" w:hAnsi="Times New Roman"/>
          <w:sz w:val="24"/>
          <w:szCs w:val="24"/>
        </w:rPr>
        <w:t xml:space="preserve"> [1978 Airline Deregulation Act]</w:t>
      </w:r>
      <w:r w:rsidRPr="00D54047">
        <w:rPr>
          <w:rFonts w:ascii="Times New Roman" w:hAnsi="Times New Roman"/>
          <w:sz w:val="24"/>
          <w:szCs w:val="24"/>
        </w:rPr>
        <w:t>, did so with the understanding that its deregulation would allow air carriers to set their own prices—not the state or those who pay air carriers consistent with state guidelines.</w:t>
      </w:r>
      <w:r>
        <w:rPr>
          <w:rFonts w:ascii="Times New Roman" w:hAnsi="Times New Roman"/>
          <w:sz w:val="24"/>
          <w:szCs w:val="24"/>
        </w:rPr>
        <w:t xml:space="preserve"> *** </w:t>
      </w:r>
      <w:r w:rsidRPr="00D54047">
        <w:rPr>
          <w:rFonts w:ascii="Times New Roman" w:hAnsi="Times New Roman"/>
          <w:sz w:val="24"/>
          <w:szCs w:val="24"/>
        </w:rPr>
        <w:t xml:space="preserve">After the insurers paid PHI based on the reimbursement scheme, PHI sought a medical fee dispute resolution before the Division, which ultimately concluded that reimbursement should be </w:t>
      </w:r>
      <w:r>
        <w:rPr>
          <w:rFonts w:ascii="Times New Roman" w:hAnsi="Times New Roman"/>
          <w:sz w:val="24"/>
          <w:szCs w:val="24"/>
        </w:rPr>
        <w:t>‘</w:t>
      </w:r>
      <w:r w:rsidRPr="00D54047">
        <w:rPr>
          <w:rFonts w:ascii="Times New Roman" w:hAnsi="Times New Roman"/>
          <w:sz w:val="24"/>
          <w:szCs w:val="24"/>
        </w:rPr>
        <w:t>fair and reasonable,</w:t>
      </w:r>
      <w:r>
        <w:rPr>
          <w:rFonts w:ascii="Times New Roman" w:hAnsi="Times New Roman"/>
          <w:sz w:val="24"/>
          <w:szCs w:val="24"/>
        </w:rPr>
        <w:t>’</w:t>
      </w:r>
      <w:r w:rsidRPr="00D54047">
        <w:rPr>
          <w:rFonts w:ascii="Times New Roman" w:hAnsi="Times New Roman"/>
          <w:sz w:val="24"/>
          <w:szCs w:val="24"/>
        </w:rPr>
        <w:t xml:space="preserve"> amounting to 125 percent of Medicare service rates. The administrative law judge determined</w:t>
      </w:r>
      <w:r>
        <w:rPr>
          <w:rFonts w:ascii="Times New Roman" w:hAnsi="Times New Roman"/>
          <w:sz w:val="24"/>
          <w:szCs w:val="24"/>
        </w:rPr>
        <w:t xml:space="preserve"> </w:t>
      </w:r>
      <w:r w:rsidRPr="00D54047">
        <w:rPr>
          <w:rFonts w:ascii="Times New Roman" w:hAnsi="Times New Roman"/>
          <w:sz w:val="24"/>
          <w:szCs w:val="24"/>
        </w:rPr>
        <w:t>on appeal</w:t>
      </w:r>
      <w:r>
        <w:rPr>
          <w:rFonts w:ascii="Times New Roman" w:hAnsi="Times New Roman"/>
          <w:sz w:val="24"/>
          <w:szCs w:val="24"/>
        </w:rPr>
        <w:t xml:space="preserve"> </w:t>
      </w:r>
      <w:r w:rsidRPr="00D54047">
        <w:rPr>
          <w:rFonts w:ascii="Times New Roman" w:hAnsi="Times New Roman"/>
          <w:sz w:val="24"/>
          <w:szCs w:val="24"/>
        </w:rPr>
        <w:t>that the “fair and reasonable” rate was 149 percent of Medicare service rates.</w:t>
      </w:r>
      <w:r>
        <w:rPr>
          <w:rFonts w:ascii="Times New Roman" w:hAnsi="Times New Roman"/>
          <w:sz w:val="24"/>
          <w:szCs w:val="24"/>
        </w:rPr>
        <w:t xml:space="preserve"> </w:t>
      </w:r>
      <w:r w:rsidRPr="00D54047">
        <w:rPr>
          <w:rFonts w:ascii="Times New Roman" w:hAnsi="Times New Roman"/>
          <w:sz w:val="24"/>
          <w:szCs w:val="24"/>
        </w:rPr>
        <w:t xml:space="preserve">The administrative law judge then ordered the insurers to pay an amount consistent with this newly determined “fair and reasonable” amount. Under both approaches—125 or 149 percent—the amount owed was less than the amount PHI charged. After the adjustment, the requisite payment </w:t>
      </w:r>
      <w:proofErr w:type="gramStart"/>
      <w:r w:rsidRPr="00D54047">
        <w:rPr>
          <w:rFonts w:ascii="Times New Roman" w:hAnsi="Times New Roman"/>
          <w:sz w:val="24"/>
          <w:szCs w:val="24"/>
        </w:rPr>
        <w:t>foreach</w:t>
      </w:r>
      <w:proofErr w:type="gramEnd"/>
      <w:r w:rsidRPr="00D54047">
        <w:rPr>
          <w:rFonts w:ascii="Times New Roman" w:hAnsi="Times New Roman"/>
          <w:sz w:val="24"/>
          <w:szCs w:val="24"/>
        </w:rPr>
        <w:t xml:space="preserve"> transport would be between $9,989 and</w:t>
      </w:r>
      <w:r>
        <w:rPr>
          <w:rFonts w:ascii="Times New Roman" w:hAnsi="Times New Roman"/>
          <w:sz w:val="24"/>
          <w:szCs w:val="24"/>
        </w:rPr>
        <w:t xml:space="preserve"> </w:t>
      </w:r>
      <w:r w:rsidRPr="00D54047">
        <w:rPr>
          <w:rFonts w:ascii="Times New Roman" w:hAnsi="Times New Roman"/>
          <w:sz w:val="24"/>
          <w:szCs w:val="24"/>
        </w:rPr>
        <w:t xml:space="preserve">$28,000 </w:t>
      </w:r>
    </w:p>
    <w:p w14:paraId="1F1DBBC0" w14:textId="77777777" w:rsidR="0003275C" w:rsidRDefault="0003275C" w:rsidP="0003275C">
      <w:pPr>
        <w:pStyle w:val="NoSpacing"/>
        <w:ind w:left="720"/>
        <w:rPr>
          <w:rFonts w:ascii="Times New Roman" w:hAnsi="Times New Roman"/>
          <w:sz w:val="24"/>
          <w:szCs w:val="24"/>
        </w:rPr>
      </w:pPr>
      <w:hyperlink r:id="rId2902" w:history="1">
        <w:r w:rsidRPr="007062AF">
          <w:rPr>
            <w:rStyle w:val="Hyperlink"/>
            <w:rFonts w:ascii="Times New Roman" w:hAnsi="Times New Roman"/>
            <w:sz w:val="24"/>
            <w:szCs w:val="24"/>
          </w:rPr>
          <w:t>https://cases.justia.com/texas/supreme-court/2020-18-0216-1.pdf?ts=1593180294</w:t>
        </w:r>
      </w:hyperlink>
      <w:r>
        <w:rPr>
          <w:rFonts w:ascii="Times New Roman" w:hAnsi="Times New Roman"/>
          <w:sz w:val="24"/>
          <w:szCs w:val="24"/>
        </w:rPr>
        <w:t xml:space="preserve"> </w:t>
      </w:r>
      <w:r w:rsidRPr="00537A08">
        <w:rPr>
          <w:rFonts w:ascii="Times New Roman" w:hAnsi="Times New Roman"/>
          <w:sz w:val="24"/>
          <w:szCs w:val="24"/>
        </w:rPr>
        <w:t xml:space="preserve"> </w:t>
      </w:r>
    </w:p>
    <w:p w14:paraId="185A1751" w14:textId="77777777" w:rsidR="0003275C" w:rsidRDefault="0003275C" w:rsidP="0003275C">
      <w:pPr>
        <w:pStyle w:val="NoSpacing"/>
        <w:rPr>
          <w:rFonts w:ascii="Arial Black" w:hAnsi="Arial Black"/>
          <w:sz w:val="24"/>
          <w:szCs w:val="24"/>
        </w:rPr>
      </w:pPr>
    </w:p>
    <w:p w14:paraId="559120F8" w14:textId="77777777" w:rsidR="0003275C" w:rsidRDefault="0003275C" w:rsidP="000C4DF5">
      <w:pPr>
        <w:pStyle w:val="NoSpacing"/>
        <w:rPr>
          <w:rFonts w:ascii="Arial Black" w:hAnsi="Arial Black"/>
          <w:sz w:val="24"/>
          <w:szCs w:val="24"/>
        </w:rPr>
      </w:pPr>
    </w:p>
    <w:p w14:paraId="1D60BCAE" w14:textId="4CB4F7BE" w:rsidR="00420322" w:rsidRDefault="00420322" w:rsidP="000C4DF5">
      <w:pPr>
        <w:pStyle w:val="NoSpacing"/>
        <w:rPr>
          <w:rFonts w:ascii="Arial Black" w:hAnsi="Arial Black"/>
          <w:sz w:val="24"/>
          <w:szCs w:val="24"/>
        </w:rPr>
      </w:pPr>
      <w:bookmarkStart w:id="657" w:name="_Hlk66951044"/>
      <w:r>
        <w:rPr>
          <w:rFonts w:ascii="Arial Black" w:hAnsi="Arial Black"/>
          <w:sz w:val="24"/>
          <w:szCs w:val="24"/>
        </w:rPr>
        <w:t>18-4</w:t>
      </w:r>
    </w:p>
    <w:p w14:paraId="49E99C21" w14:textId="22177DD3" w:rsidR="00420322" w:rsidRDefault="00420322" w:rsidP="000C4DF5">
      <w:pPr>
        <w:pStyle w:val="NoSpacing"/>
        <w:rPr>
          <w:rFonts w:ascii="Arial Black" w:hAnsi="Arial Black"/>
          <w:sz w:val="24"/>
          <w:szCs w:val="24"/>
        </w:rPr>
      </w:pPr>
    </w:p>
    <w:p w14:paraId="2AACC266" w14:textId="77777777" w:rsidR="00420322" w:rsidRPr="00B01F90" w:rsidRDefault="00420322" w:rsidP="00420322">
      <w:pPr>
        <w:rPr>
          <w:rFonts w:ascii="Arial Black" w:hAnsi="Arial Black"/>
          <w:sz w:val="28"/>
          <w:szCs w:val="28"/>
        </w:rPr>
      </w:pPr>
      <w:bookmarkStart w:id="658" w:name="_Hlk39773435"/>
      <w:r w:rsidRPr="00B01F90">
        <w:rPr>
          <w:rFonts w:ascii="Arial Black" w:hAnsi="Arial Black"/>
          <w:sz w:val="28"/>
          <w:szCs w:val="28"/>
        </w:rPr>
        <w:t>PA</w:t>
      </w:r>
      <w:r>
        <w:rPr>
          <w:rFonts w:ascii="Arial Black" w:hAnsi="Arial Black"/>
          <w:sz w:val="28"/>
          <w:szCs w:val="28"/>
        </w:rPr>
        <w:t xml:space="preserve">: </w:t>
      </w:r>
      <w:r w:rsidRPr="00B01F90">
        <w:rPr>
          <w:rFonts w:ascii="Arial Black" w:hAnsi="Arial Black"/>
          <w:sz w:val="28"/>
          <w:szCs w:val="28"/>
        </w:rPr>
        <w:t>PHIL</w:t>
      </w:r>
      <w:r>
        <w:rPr>
          <w:rFonts w:ascii="Arial Black" w:hAnsi="Arial Black"/>
          <w:sz w:val="28"/>
          <w:szCs w:val="28"/>
        </w:rPr>
        <w:t xml:space="preserve">ADEPHIA </w:t>
      </w:r>
      <w:r w:rsidRPr="00B01F90">
        <w:rPr>
          <w:rFonts w:ascii="Arial Black" w:hAnsi="Arial Black"/>
          <w:sz w:val="28"/>
          <w:szCs w:val="28"/>
        </w:rPr>
        <w:t xml:space="preserve">FF WITH LUNG CANCER – SMOKER </w:t>
      </w:r>
      <w:r>
        <w:rPr>
          <w:rFonts w:ascii="Arial Black" w:hAnsi="Arial Black"/>
          <w:sz w:val="28"/>
          <w:szCs w:val="28"/>
        </w:rPr>
        <w:t>–</w:t>
      </w:r>
      <w:r w:rsidRPr="00B01F90">
        <w:rPr>
          <w:rFonts w:ascii="Arial Black" w:hAnsi="Arial Black"/>
          <w:sz w:val="28"/>
          <w:szCs w:val="28"/>
        </w:rPr>
        <w:t xml:space="preserve"> </w:t>
      </w:r>
      <w:r>
        <w:rPr>
          <w:rFonts w:ascii="Arial Black" w:hAnsi="Arial Black"/>
          <w:sz w:val="28"/>
          <w:szCs w:val="28"/>
        </w:rPr>
        <w:t xml:space="preserve">WILL RECEIVE WORKERS COMP BENEFITS – 2011 </w:t>
      </w:r>
      <w:r w:rsidRPr="00B01F90">
        <w:rPr>
          <w:rFonts w:ascii="Arial Black" w:hAnsi="Arial Black"/>
          <w:sz w:val="28"/>
          <w:szCs w:val="28"/>
        </w:rPr>
        <w:t>STATUTORY PRESUMPTION</w:t>
      </w:r>
      <w:r>
        <w:rPr>
          <w:rFonts w:ascii="Arial Black" w:hAnsi="Arial Black"/>
          <w:sz w:val="28"/>
          <w:szCs w:val="28"/>
        </w:rPr>
        <w:t xml:space="preserve"> LAW</w:t>
      </w:r>
    </w:p>
    <w:p w14:paraId="40AA9F4B" w14:textId="77777777" w:rsidR="00420322" w:rsidRDefault="00420322" w:rsidP="00420322">
      <w:pPr>
        <w:rPr>
          <w:rFonts w:ascii="Times New Roman" w:hAnsi="Times New Roman"/>
          <w:sz w:val="24"/>
          <w:szCs w:val="24"/>
        </w:rPr>
      </w:pPr>
      <w:r w:rsidRPr="00B01F90">
        <w:rPr>
          <w:rFonts w:ascii="Times New Roman" w:hAnsi="Times New Roman"/>
          <w:sz w:val="24"/>
          <w:szCs w:val="24"/>
        </w:rPr>
        <w:t xml:space="preserve">On </w:t>
      </w:r>
      <w:bookmarkStart w:id="659" w:name="_Hlk39861439"/>
      <w:r w:rsidRPr="00B01F90">
        <w:rPr>
          <w:rFonts w:ascii="Times New Roman" w:hAnsi="Times New Roman"/>
          <w:sz w:val="24"/>
          <w:szCs w:val="24"/>
        </w:rPr>
        <w:t xml:space="preserve">Jan. 3, 2020, in </w:t>
      </w:r>
      <w:r w:rsidRPr="00B01F90">
        <w:rPr>
          <w:rFonts w:ascii="Times New Roman" w:hAnsi="Times New Roman"/>
          <w:sz w:val="24"/>
          <w:szCs w:val="24"/>
          <w:u w:val="single"/>
        </w:rPr>
        <w:t>Wayne Deloatch v. Workers’ Compensation Appeal Board (City of Philadelphia)</w:t>
      </w:r>
      <w:r>
        <w:rPr>
          <w:rFonts w:ascii="Times New Roman" w:hAnsi="Times New Roman"/>
          <w:sz w:val="24"/>
          <w:szCs w:val="24"/>
        </w:rPr>
        <w:t xml:space="preserve">, </w:t>
      </w:r>
      <w:bookmarkEnd w:id="659"/>
      <w:r>
        <w:rPr>
          <w:rFonts w:ascii="Times New Roman" w:hAnsi="Times New Roman"/>
          <w:sz w:val="24"/>
          <w:szCs w:val="24"/>
        </w:rPr>
        <w:t xml:space="preserve">the Commonwealth Court of Pennsylvania held (3 to 0) that the firefighter is entitled to benefits.  </w:t>
      </w:r>
    </w:p>
    <w:bookmarkEnd w:id="657"/>
    <w:p w14:paraId="6CADCAB9" w14:textId="77777777" w:rsidR="00420322" w:rsidRPr="00F56F6D" w:rsidRDefault="00420322" w:rsidP="00420322">
      <w:pPr>
        <w:spacing w:before="100" w:beforeAutospacing="1" w:after="100" w:afterAutospacing="1" w:line="240" w:lineRule="auto"/>
        <w:ind w:left="720"/>
        <w:rPr>
          <w:rFonts w:ascii="Times New Roman" w:eastAsia="Times New Roman" w:hAnsi="Times New Roman"/>
          <w:sz w:val="24"/>
          <w:szCs w:val="24"/>
        </w:rPr>
      </w:pPr>
      <w:r w:rsidRPr="00B01F90">
        <w:rPr>
          <w:rFonts w:ascii="Times New Roman" w:eastAsia="Times New Roman" w:hAnsi="Times New Roman"/>
          <w:sz w:val="24"/>
          <w:szCs w:val="24"/>
        </w:rPr>
        <w:t>“</w:t>
      </w:r>
      <w:r w:rsidRPr="00B01F90">
        <w:rPr>
          <w:rFonts w:ascii="Times New Roman" w:hAnsi="Times New Roman"/>
          <w:sz w:val="24"/>
          <w:szCs w:val="24"/>
        </w:rPr>
        <w:t>During Claimant's firefighting career (20 years), he fought approximately 200-300 fires, including building, house, car, dumpster, trash, grass, and field fires, which exposed him to smoke.</w:t>
      </w:r>
      <w:r>
        <w:rPr>
          <w:rFonts w:ascii="Times New Roman" w:hAnsi="Times New Roman"/>
          <w:sz w:val="24"/>
          <w:szCs w:val="24"/>
        </w:rPr>
        <w:t xml:space="preserve"> *** </w:t>
      </w:r>
      <w:r w:rsidRPr="00B01F90">
        <w:rPr>
          <w:rFonts w:ascii="Times New Roman" w:eastAsia="Times New Roman" w:hAnsi="Times New Roman"/>
          <w:sz w:val="24"/>
          <w:szCs w:val="24"/>
        </w:rPr>
        <w:t>Claimant did not use the SCBA during exterior firefighting—</w:t>
      </w:r>
      <w:r w:rsidRPr="00B01F90">
        <w:rPr>
          <w:rFonts w:ascii="Times New Roman" w:eastAsia="Times New Roman" w:hAnsi="Times New Roman"/>
          <w:i/>
          <w:iCs/>
          <w:sz w:val="24"/>
          <w:szCs w:val="24"/>
        </w:rPr>
        <w:t>i</w:t>
      </w:r>
      <w:r w:rsidRPr="00B01F90">
        <w:rPr>
          <w:rFonts w:ascii="Times New Roman" w:eastAsia="Times New Roman" w:hAnsi="Times New Roman"/>
          <w:sz w:val="24"/>
          <w:szCs w:val="24"/>
        </w:rPr>
        <w:t>.</w:t>
      </w:r>
      <w:r w:rsidRPr="00B01F90">
        <w:rPr>
          <w:rFonts w:ascii="Times New Roman" w:eastAsia="Times New Roman" w:hAnsi="Times New Roman"/>
          <w:i/>
          <w:iCs/>
          <w:sz w:val="24"/>
          <w:szCs w:val="24"/>
        </w:rPr>
        <w:t>e</w:t>
      </w:r>
      <w:r w:rsidRPr="00B01F90">
        <w:rPr>
          <w:rFonts w:ascii="Times New Roman" w:eastAsia="Times New Roman" w:hAnsi="Times New Roman"/>
          <w:sz w:val="24"/>
          <w:szCs w:val="24"/>
        </w:rPr>
        <w:t xml:space="preserve">., outdoor firefighting—or overhaul, which entailed </w:t>
      </w:r>
      <w:r>
        <w:rPr>
          <w:rFonts w:ascii="Times New Roman" w:eastAsia="Times New Roman" w:hAnsi="Times New Roman"/>
          <w:sz w:val="24"/>
          <w:szCs w:val="24"/>
        </w:rPr>
        <w:t>‘</w:t>
      </w:r>
      <w:r w:rsidRPr="00B01F90">
        <w:rPr>
          <w:rFonts w:ascii="Times New Roman" w:eastAsia="Times New Roman" w:hAnsi="Times New Roman"/>
          <w:sz w:val="24"/>
          <w:szCs w:val="24"/>
        </w:rPr>
        <w:t>ripping of walls, ceilings, searching for any hidden fire and extinguishing that if it's visible.</w:t>
      </w:r>
      <w:r>
        <w:rPr>
          <w:rFonts w:ascii="Times New Roman" w:eastAsia="Times New Roman" w:hAnsi="Times New Roman"/>
          <w:sz w:val="24"/>
          <w:szCs w:val="24"/>
        </w:rPr>
        <w:t xml:space="preserve">’… </w:t>
      </w:r>
      <w:r w:rsidRPr="00B01F90">
        <w:rPr>
          <w:rFonts w:ascii="Times New Roman" w:eastAsia="Times New Roman" w:hAnsi="Times New Roman"/>
          <w:sz w:val="24"/>
          <w:szCs w:val="24"/>
        </w:rPr>
        <w:t>After exposure to each fire incident, Claimant's body would be coated in soot, and Claimant would often find soot in his nasal secretions up to a week after exposure</w:t>
      </w:r>
      <w:r>
        <w:rPr>
          <w:rFonts w:ascii="Times New Roman" w:eastAsia="Times New Roman" w:hAnsi="Times New Roman"/>
          <w:sz w:val="24"/>
          <w:szCs w:val="24"/>
        </w:rPr>
        <w:t xml:space="preserve">…. </w:t>
      </w:r>
      <w:r w:rsidRPr="00B01F90">
        <w:rPr>
          <w:rFonts w:ascii="Times New Roman" w:eastAsia="Times New Roman" w:hAnsi="Times New Roman"/>
          <w:sz w:val="24"/>
          <w:szCs w:val="24"/>
        </w:rPr>
        <w:t>Claimant further testified that he stopped smoking cigarettes in 2011, but had a 30 to 35-year-long smoking history</w:t>
      </w:r>
      <w:r>
        <w:rPr>
          <w:rFonts w:ascii="Times New Roman" w:eastAsia="Times New Roman" w:hAnsi="Times New Roman"/>
          <w:sz w:val="24"/>
          <w:szCs w:val="24"/>
        </w:rPr>
        <w:t xml:space="preserve">… </w:t>
      </w:r>
      <w:r w:rsidRPr="00B01F90">
        <w:rPr>
          <w:rFonts w:ascii="Times New Roman" w:eastAsia="Times New Roman" w:hAnsi="Times New Roman"/>
          <w:sz w:val="24"/>
          <w:szCs w:val="24"/>
        </w:rPr>
        <w:t>During that period, Claimant recalled smoking only one pack of cigarettes per week</w:t>
      </w:r>
      <w:r>
        <w:rPr>
          <w:rFonts w:ascii="Times New Roman" w:eastAsia="Times New Roman" w:hAnsi="Times New Roman"/>
          <w:sz w:val="24"/>
          <w:szCs w:val="24"/>
        </w:rPr>
        <w:t xml:space="preserve">…. </w:t>
      </w:r>
      <w:r w:rsidRPr="00B01F90">
        <w:rPr>
          <w:rFonts w:ascii="Times New Roman" w:eastAsia="Times New Roman" w:hAnsi="Times New Roman"/>
          <w:sz w:val="24"/>
          <w:szCs w:val="24"/>
        </w:rPr>
        <w:t xml:space="preserve">Firefighters were permitted to smoke in the fire stations, and Claimant worked with smokers during his career as a firefighter. </w:t>
      </w:r>
      <w:r>
        <w:rPr>
          <w:rFonts w:ascii="Times New Roman" w:eastAsia="Times New Roman" w:hAnsi="Times New Roman"/>
          <w:sz w:val="24"/>
          <w:szCs w:val="24"/>
        </w:rPr>
        <w:t xml:space="preserve">*** </w:t>
      </w:r>
      <w:r w:rsidRPr="00F56F6D">
        <w:rPr>
          <w:rFonts w:ascii="Times New Roman" w:eastAsia="Times New Roman" w:hAnsi="Times New Roman"/>
          <w:sz w:val="24"/>
          <w:szCs w:val="24"/>
        </w:rPr>
        <w:t>For the reasons set forth above, Claimant established that he was entitled to the statutory presumption under Section 301(f) of the Act, being that his lung cancer was caused by the occupation of firefighting. Employer failed to rebut the statutory presumption with substantial competent evidence that Claimant's</w:t>
      </w:r>
      <w:r>
        <w:rPr>
          <w:rFonts w:ascii="Times New Roman" w:eastAsia="Times New Roman" w:hAnsi="Times New Roman"/>
          <w:sz w:val="24"/>
          <w:szCs w:val="24"/>
        </w:rPr>
        <w:t xml:space="preserve"> </w:t>
      </w:r>
      <w:r w:rsidRPr="00F56F6D">
        <w:rPr>
          <w:rFonts w:ascii="Times New Roman" w:eastAsia="Times New Roman" w:hAnsi="Times New Roman"/>
          <w:sz w:val="24"/>
          <w:szCs w:val="24"/>
        </w:rPr>
        <w:t xml:space="preserve">cancer was caused by something other than his workplace exposure to IARC Group 1 carcinogens linked to lung cancer. </w:t>
      </w:r>
      <w:bookmarkStart w:id="660" w:name="_Hlk39861416"/>
      <w:bookmarkStart w:id="661" w:name="_Hlk66951065"/>
      <w:r w:rsidR="00B0089C">
        <w:fldChar w:fldCharType="begin"/>
      </w:r>
      <w:r w:rsidR="00B0089C">
        <w:instrText xml:space="preserve"> HYPERLINK "https://public.fastcase.com/Wl%2B2t%2BeVuI35%2FN70vAMFZi2NtCwkTvdiKyrWKXTmtjwARSxGp50rXf7QoqUpwr%2BO" </w:instrText>
      </w:r>
      <w:r w:rsidR="00B0089C">
        <w:fldChar w:fldCharType="separate"/>
      </w:r>
      <w:r w:rsidRPr="00B01F90">
        <w:rPr>
          <w:rStyle w:val="Hyperlink"/>
          <w:rFonts w:ascii="Times New Roman" w:eastAsia="Times New Roman" w:hAnsi="Times New Roman"/>
          <w:sz w:val="24"/>
          <w:szCs w:val="24"/>
        </w:rPr>
        <w:t>https://public.fastcase.com/Wl%2B2t%2BeVuI35%2FN70vAMFZi2NtCwkTvdiKyrWKXTmtjwARSxGp50rXf7QoqUpwr%2BO</w:t>
      </w:r>
      <w:r w:rsidR="00B0089C">
        <w:rPr>
          <w:rStyle w:val="Hyperlink"/>
          <w:rFonts w:ascii="Times New Roman" w:eastAsia="Times New Roman" w:hAnsi="Times New Roman"/>
          <w:sz w:val="24"/>
          <w:szCs w:val="24"/>
        </w:rPr>
        <w:fldChar w:fldCharType="end"/>
      </w:r>
      <w:r w:rsidRPr="00B01F90">
        <w:rPr>
          <w:rFonts w:ascii="Times New Roman" w:eastAsia="Times New Roman" w:hAnsi="Times New Roman"/>
          <w:sz w:val="24"/>
          <w:szCs w:val="24"/>
        </w:rPr>
        <w:t xml:space="preserve"> </w:t>
      </w:r>
    </w:p>
    <w:p w14:paraId="7A42C757" w14:textId="159DF03F" w:rsidR="00420322" w:rsidRPr="00E600C4" w:rsidRDefault="00E600C4" w:rsidP="000C4DF5">
      <w:pPr>
        <w:pStyle w:val="NoSpacing"/>
        <w:rPr>
          <w:rFonts w:ascii="Times New Roman" w:hAnsi="Times New Roman"/>
          <w:b/>
          <w:bCs/>
          <w:sz w:val="24"/>
          <w:szCs w:val="24"/>
        </w:rPr>
      </w:pPr>
      <w:bookmarkStart w:id="662" w:name="_Hlk40517361"/>
      <w:bookmarkEnd w:id="658"/>
      <w:bookmarkEnd w:id="660"/>
      <w:r w:rsidRPr="00E600C4">
        <w:rPr>
          <w:rFonts w:ascii="Times New Roman" w:hAnsi="Times New Roman"/>
          <w:b/>
          <w:bCs/>
          <w:sz w:val="24"/>
          <w:szCs w:val="24"/>
        </w:rPr>
        <w:t xml:space="preserve">Legal Lessons Learned:  Statutory presumption laws are being enacted throughout our Nation. </w:t>
      </w:r>
    </w:p>
    <w:bookmarkEnd w:id="661"/>
    <w:bookmarkEnd w:id="662"/>
    <w:p w14:paraId="7D34EF81" w14:textId="77777777" w:rsidR="00420322" w:rsidRPr="00E600C4" w:rsidRDefault="00420322" w:rsidP="000C4DF5">
      <w:pPr>
        <w:pStyle w:val="NoSpacing"/>
        <w:rPr>
          <w:rFonts w:ascii="Times New Roman" w:hAnsi="Times New Roman"/>
          <w:sz w:val="24"/>
          <w:szCs w:val="24"/>
        </w:rPr>
      </w:pPr>
    </w:p>
    <w:p w14:paraId="787CEE54" w14:textId="77777777" w:rsidR="00420322" w:rsidRDefault="00420322" w:rsidP="000C4DF5">
      <w:pPr>
        <w:pStyle w:val="NoSpacing"/>
        <w:rPr>
          <w:rFonts w:ascii="Arial Black" w:hAnsi="Arial Black"/>
          <w:sz w:val="24"/>
          <w:szCs w:val="24"/>
        </w:rPr>
      </w:pPr>
    </w:p>
    <w:p w14:paraId="25C454C4" w14:textId="77777777" w:rsidR="00420322" w:rsidRDefault="00420322" w:rsidP="000C4DF5">
      <w:pPr>
        <w:pStyle w:val="NoSpacing"/>
        <w:rPr>
          <w:rFonts w:ascii="Arial Black" w:hAnsi="Arial Black"/>
          <w:sz w:val="24"/>
          <w:szCs w:val="24"/>
        </w:rPr>
      </w:pPr>
    </w:p>
    <w:p w14:paraId="230AD1B8" w14:textId="6BD00107" w:rsidR="00420322" w:rsidRDefault="00420322" w:rsidP="000C4DF5">
      <w:pPr>
        <w:pStyle w:val="NoSpacing"/>
        <w:rPr>
          <w:rFonts w:ascii="Arial Black" w:hAnsi="Arial Black"/>
          <w:sz w:val="24"/>
          <w:szCs w:val="24"/>
        </w:rPr>
      </w:pPr>
      <w:r>
        <w:rPr>
          <w:rFonts w:ascii="Arial Black" w:hAnsi="Arial Black"/>
          <w:sz w:val="24"/>
          <w:szCs w:val="24"/>
        </w:rPr>
        <w:t>18-3</w:t>
      </w:r>
    </w:p>
    <w:p w14:paraId="0E3E2593" w14:textId="013427E9" w:rsidR="00420322" w:rsidRDefault="00420322" w:rsidP="000C4DF5">
      <w:pPr>
        <w:pStyle w:val="NoSpacing"/>
        <w:rPr>
          <w:rFonts w:ascii="Arial Black" w:hAnsi="Arial Black"/>
          <w:sz w:val="24"/>
          <w:szCs w:val="24"/>
        </w:rPr>
      </w:pPr>
    </w:p>
    <w:p w14:paraId="29B93F8A" w14:textId="5E8ED5B8" w:rsidR="00420322" w:rsidRDefault="00420322" w:rsidP="00420322">
      <w:pPr>
        <w:rPr>
          <w:rFonts w:ascii="Arial Black" w:hAnsi="Arial Black"/>
          <w:sz w:val="28"/>
          <w:szCs w:val="28"/>
        </w:rPr>
      </w:pPr>
      <w:bookmarkStart w:id="663" w:name="_Hlk39773484"/>
      <w:bookmarkStart w:id="664" w:name="_Hlk41314621"/>
      <w:r w:rsidRPr="00407E0E">
        <w:rPr>
          <w:rFonts w:ascii="Arial Black" w:hAnsi="Arial Black"/>
          <w:sz w:val="28"/>
          <w:szCs w:val="28"/>
        </w:rPr>
        <w:t>RI:</w:t>
      </w:r>
      <w:r>
        <w:rPr>
          <w:rFonts w:ascii="Arial Black" w:hAnsi="Arial Black"/>
          <w:sz w:val="28"/>
          <w:szCs w:val="28"/>
        </w:rPr>
        <w:t xml:space="preserve"> CRANSTON FF – 20 YRS ON FD - DIED COLON CANCER 2017 – RI SUPREME COURT DENIES WIDOW ACCIDENTAL DISABILITY PENSION </w:t>
      </w:r>
    </w:p>
    <w:p w14:paraId="42C7480E" w14:textId="77777777" w:rsidR="00420322" w:rsidRDefault="00420322" w:rsidP="00420322">
      <w:pPr>
        <w:rPr>
          <w:b/>
          <w:bCs/>
        </w:rPr>
      </w:pPr>
      <w:r w:rsidRPr="00212873">
        <w:rPr>
          <w:rFonts w:ascii="Times New Roman" w:hAnsi="Times New Roman"/>
          <w:sz w:val="24"/>
          <w:szCs w:val="24"/>
        </w:rPr>
        <w:t xml:space="preserve">On </w:t>
      </w:r>
      <w:bookmarkStart w:id="665" w:name="_Hlk39861640"/>
      <w:r w:rsidRPr="00212873">
        <w:rPr>
          <w:rFonts w:ascii="Times New Roman" w:hAnsi="Times New Roman"/>
          <w:sz w:val="24"/>
          <w:szCs w:val="24"/>
        </w:rPr>
        <w:t xml:space="preserve">Dec. 18, </w:t>
      </w:r>
      <w:proofErr w:type="gramStart"/>
      <w:r w:rsidRPr="00212873">
        <w:rPr>
          <w:rFonts w:ascii="Times New Roman" w:hAnsi="Times New Roman"/>
          <w:sz w:val="24"/>
          <w:szCs w:val="24"/>
        </w:rPr>
        <w:t>2019</w:t>
      </w:r>
      <w:proofErr w:type="gramEnd"/>
      <w:r w:rsidRPr="00212873">
        <w:rPr>
          <w:rFonts w:ascii="Times New Roman" w:hAnsi="Times New Roman"/>
          <w:sz w:val="24"/>
          <w:szCs w:val="24"/>
        </w:rPr>
        <w:t xml:space="preserve"> in </w:t>
      </w:r>
      <w:r w:rsidRPr="00212873">
        <w:rPr>
          <w:rFonts w:ascii="Times New Roman" w:hAnsi="Times New Roman"/>
          <w:sz w:val="24"/>
          <w:szCs w:val="24"/>
          <w:u w:val="single"/>
        </w:rPr>
        <w:t>Corrine A. Lang as Executrix of Estate of Kevin Land v. Municipal Employees’ Retirement System of Rhode Island</w:t>
      </w:r>
      <w:bookmarkEnd w:id="665"/>
      <w:r w:rsidRPr="00212873">
        <w:rPr>
          <w:rFonts w:ascii="Times New Roman" w:hAnsi="Times New Roman"/>
          <w:sz w:val="24"/>
          <w:szCs w:val="24"/>
        </w:rPr>
        <w:t xml:space="preserve">, the Supreme Court of Rode Island </w:t>
      </w:r>
      <w:r>
        <w:rPr>
          <w:rFonts w:ascii="Times New Roman" w:hAnsi="Times New Roman"/>
          <w:sz w:val="24"/>
          <w:szCs w:val="24"/>
        </w:rPr>
        <w:t xml:space="preserve">ruled </w:t>
      </w:r>
      <w:r w:rsidRPr="00212873">
        <w:rPr>
          <w:rFonts w:ascii="Times New Roman" w:hAnsi="Times New Roman"/>
          <w:sz w:val="24"/>
          <w:szCs w:val="24"/>
        </w:rPr>
        <w:t>(4 to 1)</w:t>
      </w:r>
      <w:r>
        <w:rPr>
          <w:rFonts w:ascii="Times New Roman" w:hAnsi="Times New Roman"/>
          <w:sz w:val="24"/>
          <w:szCs w:val="24"/>
        </w:rPr>
        <w:t xml:space="preserve"> that the widow was not entitled to an award of accidental disability benefits, reversing the </w:t>
      </w:r>
      <w:r w:rsidRPr="00212873">
        <w:rPr>
          <w:rFonts w:ascii="Times New Roman" w:hAnsi="Times New Roman"/>
          <w:sz w:val="24"/>
          <w:szCs w:val="24"/>
        </w:rPr>
        <w:t>Appellate Division of the Workers’ Compensation Court</w:t>
      </w:r>
      <w:r>
        <w:rPr>
          <w:rFonts w:ascii="Times New Roman" w:hAnsi="Times New Roman"/>
          <w:sz w:val="24"/>
          <w:szCs w:val="24"/>
        </w:rPr>
        <w:t>.</w:t>
      </w:r>
    </w:p>
    <w:p w14:paraId="72242064" w14:textId="77777777" w:rsidR="00420322" w:rsidRDefault="00420322" w:rsidP="00420322">
      <w:pPr>
        <w:pStyle w:val="NoSpacing"/>
        <w:ind w:left="720"/>
        <w:rPr>
          <w:rFonts w:ascii="Times New Roman" w:hAnsi="Times New Roman"/>
          <w:sz w:val="24"/>
          <w:szCs w:val="24"/>
        </w:rPr>
      </w:pPr>
      <w:r>
        <w:rPr>
          <w:rFonts w:ascii="Times New Roman" w:hAnsi="Times New Roman"/>
          <w:sz w:val="24"/>
          <w:szCs w:val="24"/>
        </w:rPr>
        <w:t>“</w:t>
      </w:r>
      <w:r w:rsidRPr="00212873">
        <w:rPr>
          <w:rFonts w:ascii="Times New Roman" w:hAnsi="Times New Roman"/>
          <w:sz w:val="24"/>
          <w:szCs w:val="24"/>
        </w:rPr>
        <w:t>To conclude that the language in § 45-19.1-1 creates a conclusive presumption would not only render the statutory definition of occupational cancer in § 45-19.1-2(d) meaningless</w:t>
      </w:r>
      <w:r>
        <w:rPr>
          <w:rFonts w:ascii="Times New Roman" w:hAnsi="Times New Roman"/>
          <w:sz w:val="24"/>
          <w:szCs w:val="24"/>
        </w:rPr>
        <w:t xml:space="preserve"> </w:t>
      </w:r>
      <w:r w:rsidRPr="00212873">
        <w:rPr>
          <w:rFonts w:ascii="Times New Roman" w:hAnsi="Times New Roman"/>
          <w:sz w:val="24"/>
          <w:szCs w:val="24"/>
        </w:rPr>
        <w:t xml:space="preserve">and create a right not found within the </w:t>
      </w:r>
      <w:proofErr w:type="gramStart"/>
      <w:r w:rsidRPr="00212873">
        <w:rPr>
          <w:rFonts w:ascii="Times New Roman" w:hAnsi="Times New Roman"/>
          <w:sz w:val="24"/>
          <w:szCs w:val="24"/>
        </w:rPr>
        <w:t>statute,</w:t>
      </w:r>
      <w:r>
        <w:rPr>
          <w:rFonts w:ascii="Times New Roman" w:hAnsi="Times New Roman"/>
          <w:sz w:val="24"/>
          <w:szCs w:val="24"/>
        </w:rPr>
        <w:t xml:space="preserve"> </w:t>
      </w:r>
      <w:r w:rsidRPr="00212873">
        <w:rPr>
          <w:rFonts w:ascii="Times New Roman" w:hAnsi="Times New Roman"/>
          <w:sz w:val="24"/>
          <w:szCs w:val="24"/>
        </w:rPr>
        <w:t>but</w:t>
      </w:r>
      <w:proofErr w:type="gramEnd"/>
      <w:r w:rsidRPr="00212873">
        <w:rPr>
          <w:rFonts w:ascii="Times New Roman" w:hAnsi="Times New Roman"/>
          <w:sz w:val="24"/>
          <w:szCs w:val="24"/>
        </w:rPr>
        <w:t xml:space="preserve"> would also construe the statute to reach an absurd result. For example, a conclusive presumption that all cancers in firefighters are occupational cancers would mean that a firefighter who</w:t>
      </w:r>
      <w:r>
        <w:rPr>
          <w:rFonts w:ascii="Times New Roman" w:hAnsi="Times New Roman"/>
          <w:sz w:val="24"/>
          <w:szCs w:val="24"/>
        </w:rPr>
        <w:t xml:space="preserve"> </w:t>
      </w:r>
      <w:r w:rsidRPr="00212873">
        <w:rPr>
          <w:rFonts w:ascii="Times New Roman" w:hAnsi="Times New Roman"/>
          <w:sz w:val="24"/>
          <w:szCs w:val="24"/>
        </w:rPr>
        <w:t>smoked four packs</w:t>
      </w:r>
      <w:r>
        <w:rPr>
          <w:rFonts w:ascii="Times New Roman" w:hAnsi="Times New Roman"/>
          <w:sz w:val="24"/>
          <w:szCs w:val="24"/>
        </w:rPr>
        <w:t xml:space="preserve"> </w:t>
      </w:r>
      <w:r w:rsidRPr="00212873">
        <w:rPr>
          <w:rFonts w:ascii="Times New Roman" w:hAnsi="Times New Roman"/>
          <w:sz w:val="24"/>
          <w:szCs w:val="24"/>
        </w:rPr>
        <w:t>of cigarettes a day</w:t>
      </w:r>
      <w:r>
        <w:rPr>
          <w:rFonts w:ascii="Times New Roman" w:hAnsi="Times New Roman"/>
          <w:sz w:val="24"/>
          <w:szCs w:val="24"/>
        </w:rPr>
        <w:t xml:space="preserve"> </w:t>
      </w:r>
      <w:r w:rsidRPr="00212873">
        <w:rPr>
          <w:rFonts w:ascii="Times New Roman" w:hAnsi="Times New Roman"/>
          <w:sz w:val="24"/>
          <w:szCs w:val="24"/>
        </w:rPr>
        <w:t>for decades</w:t>
      </w:r>
      <w:r>
        <w:rPr>
          <w:rFonts w:ascii="Times New Roman" w:hAnsi="Times New Roman"/>
          <w:sz w:val="24"/>
          <w:szCs w:val="24"/>
        </w:rPr>
        <w:t xml:space="preserve"> </w:t>
      </w:r>
      <w:r w:rsidRPr="00212873">
        <w:rPr>
          <w:rFonts w:ascii="Times New Roman" w:hAnsi="Times New Roman"/>
          <w:sz w:val="24"/>
          <w:szCs w:val="24"/>
        </w:rPr>
        <w:t>would receive an occupational cancer disability benefit despite not having proved</w:t>
      </w:r>
      <w:r>
        <w:rPr>
          <w:rFonts w:ascii="Times New Roman" w:hAnsi="Times New Roman"/>
          <w:sz w:val="24"/>
          <w:szCs w:val="24"/>
        </w:rPr>
        <w:t xml:space="preserve"> </w:t>
      </w:r>
      <w:r w:rsidRPr="00212873">
        <w:rPr>
          <w:rFonts w:ascii="Times New Roman" w:hAnsi="Times New Roman"/>
          <w:sz w:val="24"/>
          <w:szCs w:val="24"/>
        </w:rPr>
        <w:t>that his cancer was related</w:t>
      </w:r>
      <w:r>
        <w:rPr>
          <w:rFonts w:ascii="Times New Roman" w:hAnsi="Times New Roman"/>
          <w:sz w:val="24"/>
          <w:szCs w:val="24"/>
        </w:rPr>
        <w:t xml:space="preserve"> </w:t>
      </w:r>
      <w:r w:rsidRPr="00212873">
        <w:rPr>
          <w:rFonts w:ascii="Times New Roman" w:hAnsi="Times New Roman"/>
          <w:sz w:val="24"/>
          <w:szCs w:val="24"/>
        </w:rPr>
        <w:t>to exposure on the job.</w:t>
      </w:r>
      <w:r>
        <w:rPr>
          <w:rFonts w:ascii="Times New Roman" w:hAnsi="Times New Roman"/>
          <w:sz w:val="24"/>
          <w:szCs w:val="24"/>
        </w:rPr>
        <w:t xml:space="preserve"> </w:t>
      </w:r>
      <w:r w:rsidRPr="00212873">
        <w:rPr>
          <w:rFonts w:ascii="Times New Roman" w:hAnsi="Times New Roman"/>
          <w:sz w:val="24"/>
          <w:szCs w:val="24"/>
        </w:rPr>
        <w:t xml:space="preserve">Similarly, a conclusive presumption would provide occupational cancer benefits to a firefighter who contracted cancer </w:t>
      </w:r>
      <w:proofErr w:type="gramStart"/>
      <w:r w:rsidRPr="00212873">
        <w:rPr>
          <w:rFonts w:ascii="Times New Roman" w:hAnsi="Times New Roman"/>
          <w:sz w:val="24"/>
          <w:szCs w:val="24"/>
        </w:rPr>
        <w:t>as a result of</w:t>
      </w:r>
      <w:proofErr w:type="gramEnd"/>
      <w:r w:rsidRPr="00212873">
        <w:rPr>
          <w:rFonts w:ascii="Times New Roman" w:hAnsi="Times New Roman"/>
          <w:sz w:val="24"/>
          <w:szCs w:val="24"/>
        </w:rPr>
        <w:t xml:space="preserve"> exposure to</w:t>
      </w:r>
      <w:r>
        <w:rPr>
          <w:rFonts w:ascii="Times New Roman" w:hAnsi="Times New Roman"/>
          <w:sz w:val="24"/>
          <w:szCs w:val="24"/>
        </w:rPr>
        <w:t xml:space="preserve"> </w:t>
      </w:r>
      <w:r w:rsidRPr="00212873">
        <w:rPr>
          <w:rFonts w:ascii="Times New Roman" w:hAnsi="Times New Roman"/>
          <w:sz w:val="24"/>
          <w:szCs w:val="24"/>
        </w:rPr>
        <w:t>pesticides while landscaping in his</w:t>
      </w:r>
      <w:r>
        <w:rPr>
          <w:rFonts w:ascii="Times New Roman" w:hAnsi="Times New Roman"/>
          <w:sz w:val="24"/>
          <w:szCs w:val="24"/>
        </w:rPr>
        <w:t xml:space="preserve"> </w:t>
      </w:r>
      <w:r w:rsidRPr="00212873">
        <w:rPr>
          <w:rFonts w:ascii="Times New Roman" w:hAnsi="Times New Roman"/>
          <w:sz w:val="24"/>
          <w:szCs w:val="24"/>
        </w:rPr>
        <w:t>or her</w:t>
      </w:r>
      <w:r>
        <w:rPr>
          <w:rFonts w:ascii="Times New Roman" w:hAnsi="Times New Roman"/>
          <w:sz w:val="24"/>
          <w:szCs w:val="24"/>
        </w:rPr>
        <w:t xml:space="preserve"> </w:t>
      </w:r>
      <w:r w:rsidRPr="00212873">
        <w:rPr>
          <w:rFonts w:ascii="Times New Roman" w:hAnsi="Times New Roman"/>
          <w:sz w:val="24"/>
          <w:szCs w:val="24"/>
        </w:rPr>
        <w:t>yard.</w:t>
      </w:r>
      <w:r>
        <w:rPr>
          <w:rFonts w:ascii="Times New Roman" w:hAnsi="Times New Roman"/>
          <w:sz w:val="24"/>
          <w:szCs w:val="24"/>
        </w:rPr>
        <w:t xml:space="preserve"> </w:t>
      </w:r>
      <w:r w:rsidRPr="00212873">
        <w:rPr>
          <w:rFonts w:ascii="Times New Roman" w:hAnsi="Times New Roman"/>
          <w:sz w:val="24"/>
          <w:szCs w:val="24"/>
        </w:rPr>
        <w:t>We do not believe the General Assembly would have extended such broad</w:t>
      </w:r>
      <w:r>
        <w:rPr>
          <w:rFonts w:ascii="Times New Roman" w:hAnsi="Times New Roman"/>
          <w:sz w:val="24"/>
          <w:szCs w:val="24"/>
        </w:rPr>
        <w:t xml:space="preserve"> </w:t>
      </w:r>
      <w:r w:rsidRPr="00212873">
        <w:rPr>
          <w:rFonts w:ascii="Times New Roman" w:hAnsi="Times New Roman"/>
          <w:sz w:val="24"/>
          <w:szCs w:val="24"/>
        </w:rPr>
        <w:t>benefits to all firefighters without expressly providing for</w:t>
      </w:r>
      <w:r>
        <w:rPr>
          <w:rFonts w:ascii="Times New Roman" w:hAnsi="Times New Roman"/>
          <w:sz w:val="24"/>
          <w:szCs w:val="24"/>
        </w:rPr>
        <w:t xml:space="preserve"> </w:t>
      </w:r>
      <w:r w:rsidRPr="00212873">
        <w:rPr>
          <w:rFonts w:ascii="Times New Roman" w:hAnsi="Times New Roman"/>
          <w:sz w:val="24"/>
          <w:szCs w:val="24"/>
        </w:rPr>
        <w:t>such</w:t>
      </w:r>
      <w:r>
        <w:rPr>
          <w:rFonts w:ascii="Times New Roman" w:hAnsi="Times New Roman"/>
          <w:sz w:val="24"/>
          <w:szCs w:val="24"/>
        </w:rPr>
        <w:t xml:space="preserve"> </w:t>
      </w:r>
      <w:r w:rsidRPr="00212873">
        <w:rPr>
          <w:rFonts w:ascii="Times New Roman" w:hAnsi="Times New Roman"/>
          <w:sz w:val="24"/>
          <w:szCs w:val="24"/>
        </w:rPr>
        <w:t>in clear and unambiguous language.</w:t>
      </w:r>
      <w:r>
        <w:rPr>
          <w:rFonts w:ascii="Times New Roman" w:hAnsi="Times New Roman"/>
          <w:sz w:val="24"/>
          <w:szCs w:val="24"/>
        </w:rPr>
        <w:t xml:space="preserve">” </w:t>
      </w:r>
      <w:bookmarkStart w:id="666" w:name="_Hlk39861655"/>
      <w:r w:rsidR="00B0089C">
        <w:fldChar w:fldCharType="begin"/>
      </w:r>
      <w:r w:rsidR="00B0089C">
        <w:instrText xml:space="preserve"> HYPERLINK "https://www.courts.ri.gov/Courts/SupremeCourt/SupremeOpinions/17-295.pdf" </w:instrText>
      </w:r>
      <w:r w:rsidR="00B0089C">
        <w:fldChar w:fldCharType="separate"/>
      </w:r>
      <w:r w:rsidRPr="005F7F38">
        <w:rPr>
          <w:rStyle w:val="Hyperlink"/>
          <w:rFonts w:ascii="Times New Roman" w:hAnsi="Times New Roman"/>
          <w:sz w:val="24"/>
          <w:szCs w:val="24"/>
        </w:rPr>
        <w:t>https://www.courts.ri.gov/Courts/SupremeCourt/SupremeOpinions/17-295.pdf</w:t>
      </w:r>
      <w:r w:rsidR="00B0089C">
        <w:rPr>
          <w:rStyle w:val="Hyperlink"/>
          <w:rFonts w:ascii="Times New Roman" w:hAnsi="Times New Roman"/>
          <w:sz w:val="24"/>
          <w:szCs w:val="24"/>
        </w:rPr>
        <w:fldChar w:fldCharType="end"/>
      </w:r>
      <w:bookmarkEnd w:id="666"/>
      <w:r>
        <w:rPr>
          <w:rFonts w:ascii="Times New Roman" w:hAnsi="Times New Roman"/>
          <w:sz w:val="24"/>
          <w:szCs w:val="24"/>
        </w:rPr>
        <w:t xml:space="preserve"> </w:t>
      </w:r>
    </w:p>
    <w:bookmarkEnd w:id="663"/>
    <w:p w14:paraId="48EBCF44" w14:textId="77777777" w:rsidR="00420322" w:rsidRDefault="00420322" w:rsidP="000C4DF5">
      <w:pPr>
        <w:pStyle w:val="NoSpacing"/>
        <w:rPr>
          <w:rFonts w:ascii="Arial Black" w:hAnsi="Arial Black"/>
          <w:sz w:val="24"/>
          <w:szCs w:val="24"/>
        </w:rPr>
      </w:pPr>
    </w:p>
    <w:p w14:paraId="62625D07" w14:textId="418B9D40" w:rsidR="00420322" w:rsidRPr="00E600C4" w:rsidRDefault="00E600C4" w:rsidP="000C4DF5">
      <w:pPr>
        <w:pStyle w:val="NoSpacing"/>
        <w:rPr>
          <w:rFonts w:ascii="Times New Roman" w:hAnsi="Times New Roman"/>
          <w:b/>
          <w:bCs/>
          <w:sz w:val="24"/>
          <w:szCs w:val="24"/>
        </w:rPr>
      </w:pPr>
      <w:bookmarkStart w:id="667" w:name="_Hlk40517720"/>
      <w:r w:rsidRPr="00E600C4">
        <w:rPr>
          <w:rFonts w:ascii="Times New Roman" w:hAnsi="Times New Roman"/>
          <w:b/>
          <w:bCs/>
          <w:sz w:val="24"/>
          <w:szCs w:val="24"/>
        </w:rPr>
        <w:t xml:space="preserve">Legal Lessons Learned:  </w:t>
      </w:r>
      <w:r w:rsidR="00A76634">
        <w:rPr>
          <w:rFonts w:ascii="Times New Roman" w:hAnsi="Times New Roman"/>
          <w:b/>
          <w:bCs/>
          <w:sz w:val="24"/>
          <w:szCs w:val="24"/>
        </w:rPr>
        <w:t>Firefighter statutory presumption s</w:t>
      </w:r>
      <w:r w:rsidRPr="00E600C4">
        <w:rPr>
          <w:rFonts w:ascii="Times New Roman" w:hAnsi="Times New Roman"/>
          <w:b/>
          <w:bCs/>
          <w:sz w:val="24"/>
          <w:szCs w:val="24"/>
        </w:rPr>
        <w:t>tatut</w:t>
      </w:r>
      <w:r>
        <w:rPr>
          <w:rFonts w:ascii="Times New Roman" w:hAnsi="Times New Roman"/>
          <w:b/>
          <w:bCs/>
          <w:sz w:val="24"/>
          <w:szCs w:val="24"/>
        </w:rPr>
        <w:t>es</w:t>
      </w:r>
      <w:r w:rsidR="00A76634">
        <w:rPr>
          <w:rFonts w:ascii="Times New Roman" w:hAnsi="Times New Roman"/>
          <w:b/>
          <w:bCs/>
          <w:sz w:val="24"/>
          <w:szCs w:val="24"/>
        </w:rPr>
        <w:t xml:space="preserve">  should</w:t>
      </w:r>
      <w:r w:rsidRPr="00E600C4">
        <w:rPr>
          <w:rFonts w:ascii="Times New Roman" w:hAnsi="Times New Roman"/>
          <w:b/>
          <w:bCs/>
          <w:sz w:val="24"/>
          <w:szCs w:val="24"/>
        </w:rPr>
        <w:t xml:space="preserve"> have </w:t>
      </w:r>
      <w:r>
        <w:rPr>
          <w:rFonts w:ascii="Times New Roman" w:hAnsi="Times New Roman"/>
          <w:b/>
          <w:bCs/>
          <w:sz w:val="24"/>
          <w:szCs w:val="24"/>
        </w:rPr>
        <w:t>“</w:t>
      </w:r>
      <w:r w:rsidRPr="00E600C4">
        <w:rPr>
          <w:rFonts w:ascii="Times New Roman" w:hAnsi="Times New Roman"/>
          <w:b/>
          <w:bCs/>
          <w:sz w:val="24"/>
          <w:szCs w:val="24"/>
        </w:rPr>
        <w:t>clear</w:t>
      </w:r>
      <w:r>
        <w:rPr>
          <w:rFonts w:ascii="Times New Roman" w:hAnsi="Times New Roman"/>
          <w:b/>
          <w:bCs/>
          <w:sz w:val="24"/>
          <w:szCs w:val="24"/>
        </w:rPr>
        <w:t xml:space="preserve"> and </w:t>
      </w:r>
      <w:r w:rsidRPr="00E600C4">
        <w:rPr>
          <w:rFonts w:ascii="Times New Roman" w:hAnsi="Times New Roman"/>
          <w:b/>
          <w:bCs/>
          <w:sz w:val="24"/>
          <w:szCs w:val="24"/>
        </w:rPr>
        <w:t>unambiguous</w:t>
      </w:r>
      <w:r>
        <w:rPr>
          <w:rFonts w:ascii="Times New Roman" w:hAnsi="Times New Roman"/>
          <w:b/>
          <w:bCs/>
          <w:sz w:val="24"/>
          <w:szCs w:val="24"/>
        </w:rPr>
        <w:t>”</w:t>
      </w:r>
      <w:r w:rsidRPr="00E600C4">
        <w:rPr>
          <w:rFonts w:ascii="Times New Roman" w:hAnsi="Times New Roman"/>
          <w:b/>
          <w:bCs/>
          <w:sz w:val="24"/>
          <w:szCs w:val="24"/>
        </w:rPr>
        <w:t xml:space="preserve"> language. </w:t>
      </w:r>
    </w:p>
    <w:bookmarkEnd w:id="667"/>
    <w:p w14:paraId="42ED74B8" w14:textId="77777777" w:rsidR="00420322" w:rsidRDefault="00420322" w:rsidP="000C4DF5">
      <w:pPr>
        <w:pStyle w:val="NoSpacing"/>
        <w:rPr>
          <w:rFonts w:ascii="Arial Black" w:hAnsi="Arial Black"/>
          <w:sz w:val="24"/>
          <w:szCs w:val="24"/>
        </w:rPr>
      </w:pPr>
    </w:p>
    <w:bookmarkEnd w:id="664"/>
    <w:p w14:paraId="473A7B9F" w14:textId="7297C1A9" w:rsidR="000C4DF5" w:rsidRDefault="000C4DF5" w:rsidP="000C4DF5">
      <w:pPr>
        <w:pStyle w:val="NoSpacing"/>
        <w:rPr>
          <w:rFonts w:ascii="Arial Black" w:hAnsi="Arial Black"/>
          <w:sz w:val="24"/>
          <w:szCs w:val="24"/>
        </w:rPr>
      </w:pPr>
      <w:r>
        <w:rPr>
          <w:rFonts w:ascii="Arial Black" w:hAnsi="Arial Black"/>
          <w:sz w:val="24"/>
          <w:szCs w:val="24"/>
        </w:rPr>
        <w:t>18-2</w:t>
      </w:r>
    </w:p>
    <w:p w14:paraId="1069D5C4" w14:textId="77777777" w:rsidR="000C4DF5" w:rsidRDefault="000C4DF5" w:rsidP="00F326E5">
      <w:pPr>
        <w:pStyle w:val="NoSpacing"/>
        <w:rPr>
          <w:rFonts w:ascii="Arial Black" w:hAnsi="Arial Black"/>
          <w:b/>
          <w:sz w:val="28"/>
          <w:szCs w:val="28"/>
        </w:rPr>
      </w:pPr>
    </w:p>
    <w:p w14:paraId="127D79E0" w14:textId="0E1D2D91" w:rsidR="00F326E5" w:rsidRPr="0047741D" w:rsidRDefault="00F326E5" w:rsidP="00F326E5">
      <w:pPr>
        <w:pStyle w:val="NoSpacing"/>
        <w:rPr>
          <w:rFonts w:ascii="Times New Roman" w:hAnsi="Times New Roman"/>
          <w:sz w:val="24"/>
          <w:szCs w:val="24"/>
        </w:rPr>
      </w:pPr>
      <w:bookmarkStart w:id="668" w:name="_Hlk39773638"/>
      <w:r w:rsidRPr="0047741D">
        <w:rPr>
          <w:rFonts w:ascii="Arial Black" w:hAnsi="Arial Black"/>
          <w:b/>
          <w:sz w:val="28"/>
          <w:szCs w:val="28"/>
        </w:rPr>
        <w:t xml:space="preserve">WY:  STATE STATUTE, VOLUNTEER FF WHO GETS PAID PER RUN ENTITLED TO BE IN THE UNION </w:t>
      </w:r>
      <w:r w:rsidRPr="0047741D">
        <w:rPr>
          <w:rFonts w:ascii="Times New Roman" w:hAnsi="Times New Roman"/>
          <w:sz w:val="24"/>
          <w:szCs w:val="24"/>
        </w:rPr>
        <w:t>[also filed, Chap. 6]</w:t>
      </w:r>
    </w:p>
    <w:p w14:paraId="72B94CE1" w14:textId="77777777" w:rsidR="00F326E5" w:rsidRPr="00E600C4" w:rsidRDefault="00F326E5" w:rsidP="00F326E5">
      <w:pPr>
        <w:pStyle w:val="NormalWeb"/>
        <w:rPr>
          <w:bCs/>
        </w:rPr>
      </w:pPr>
      <w:r w:rsidRPr="00E600C4">
        <w:rPr>
          <w:bCs/>
        </w:rPr>
        <w:t xml:space="preserve">On July 6, 2018, in </w:t>
      </w:r>
      <w:r w:rsidRPr="00E600C4">
        <w:rPr>
          <w:bCs/>
          <w:u w:val="single"/>
        </w:rPr>
        <w:t>IAFF Local 5058 v. Gillette / Wright / Campbell County Fire Protection Joint Powers Board, and IAFF Local 5067 v. Teton County and Town of Jackson</w:t>
      </w:r>
      <w:r w:rsidRPr="00E600C4">
        <w:rPr>
          <w:bCs/>
        </w:rPr>
        <w:t xml:space="preserve">, the Wyoming Supreme Court held (5 to 0) that the two new unions were not properly elected, and the Fire Districts did not need to negotiate collective bargaining agreements, because the “volunteer” and “pool” firefighters all receive pay for making runs.  </w:t>
      </w:r>
    </w:p>
    <w:p w14:paraId="49C75105"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“The district courts in both cases held that the Wyoming Collective </w:t>
      </w:r>
    </w:p>
    <w:p w14:paraId="7E7BFB43"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Bargaining for Fire Fighters Act’s definition of ‘fire fighters’ </w:t>
      </w:r>
    </w:p>
    <w:p w14:paraId="7563405C"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includes volunteers because they are ‘paid members of . . . regularly </w:t>
      </w:r>
    </w:p>
    <w:p w14:paraId="7BA8EF8C"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constituted fire department[s].’ Consequently, the district courts concluded </w:t>
      </w:r>
    </w:p>
    <w:p w14:paraId="1AFABDE1"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that IAFF Local 5058 and IAFF Local 5067, which were formed by and </w:t>
      </w:r>
    </w:p>
    <w:p w14:paraId="2053297F"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consist of only full-time, career fire fighters, were not properly constituted </w:t>
      </w:r>
    </w:p>
    <w:p w14:paraId="316BAEED" w14:textId="77777777" w:rsidR="00F326E5" w:rsidRPr="00E600C4" w:rsidRDefault="00F326E5" w:rsidP="00F326E5">
      <w:pPr>
        <w:pStyle w:val="NoSpacing"/>
        <w:ind w:firstLine="720"/>
        <w:rPr>
          <w:rFonts w:ascii="Times New Roman" w:hAnsi="Times New Roman"/>
          <w:bCs/>
          <w:sz w:val="24"/>
          <w:szCs w:val="24"/>
        </w:rPr>
      </w:pPr>
      <w:r w:rsidRPr="00E600C4">
        <w:rPr>
          <w:rFonts w:ascii="Times New Roman" w:hAnsi="Times New Roman"/>
          <w:sz w:val="24"/>
          <w:szCs w:val="24"/>
        </w:rPr>
        <w:t>bargaining units under the Act. We affirm.”</w:t>
      </w:r>
    </w:p>
    <w:p w14:paraId="0B228002" w14:textId="77777777" w:rsidR="00F326E5" w:rsidRPr="00E600C4" w:rsidRDefault="00F326E5" w:rsidP="00F326E5">
      <w:pPr>
        <w:ind w:firstLine="720"/>
        <w:rPr>
          <w:rFonts w:ascii="Times New Roman" w:hAnsi="Times New Roman"/>
          <w:b/>
          <w:bCs/>
          <w:sz w:val="24"/>
          <w:szCs w:val="24"/>
        </w:rPr>
      </w:pPr>
      <w:hyperlink r:id="rId2903" w:history="1">
        <w:r w:rsidRPr="00E600C4">
          <w:rPr>
            <w:rStyle w:val="Hyperlink"/>
            <w:rFonts w:ascii="Times New Roman" w:hAnsi="Times New Roman"/>
            <w:sz w:val="24"/>
            <w:szCs w:val="24"/>
          </w:rPr>
          <w:t>https://services.courts.state.wy.us/Documents/Opinions/2018WY75.pdf</w:t>
        </w:r>
      </w:hyperlink>
      <w:r w:rsidRPr="00E600C4">
        <w:rPr>
          <w:rFonts w:ascii="Times New Roman" w:hAnsi="Times New Roman"/>
          <w:b/>
          <w:bCs/>
          <w:sz w:val="24"/>
          <w:szCs w:val="24"/>
        </w:rPr>
        <w:t xml:space="preserve"> </w:t>
      </w:r>
    </w:p>
    <w:bookmarkEnd w:id="668"/>
    <w:p w14:paraId="45959243" w14:textId="54706AE9" w:rsidR="00F326E5" w:rsidRPr="00E600C4" w:rsidRDefault="00F326E5" w:rsidP="00F326E5">
      <w:pPr>
        <w:pStyle w:val="NoSpacing"/>
        <w:rPr>
          <w:rFonts w:ascii="Times New Roman" w:hAnsi="Times New Roman"/>
          <w:b/>
          <w:sz w:val="24"/>
          <w:szCs w:val="24"/>
        </w:rPr>
      </w:pPr>
      <w:r w:rsidRPr="00E600C4">
        <w:rPr>
          <w:rFonts w:ascii="Times New Roman" w:hAnsi="Times New Roman"/>
          <w:b/>
          <w:sz w:val="24"/>
          <w:szCs w:val="24"/>
        </w:rPr>
        <w:t xml:space="preserve">Legal Lessons Learned:  </w:t>
      </w:r>
      <w:r w:rsidR="00000960">
        <w:rPr>
          <w:rFonts w:ascii="Times New Roman" w:hAnsi="Times New Roman"/>
          <w:b/>
          <w:sz w:val="24"/>
          <w:szCs w:val="24"/>
        </w:rPr>
        <w:t>When d</w:t>
      </w:r>
      <w:r w:rsidRPr="00E600C4">
        <w:rPr>
          <w:rFonts w:ascii="Times New Roman" w:hAnsi="Times New Roman"/>
          <w:b/>
          <w:sz w:val="24"/>
          <w:szCs w:val="24"/>
        </w:rPr>
        <w:t>rafting legislative</w:t>
      </w:r>
      <w:r w:rsidR="00000960">
        <w:rPr>
          <w:rFonts w:ascii="Times New Roman" w:hAnsi="Times New Roman"/>
          <w:b/>
          <w:sz w:val="24"/>
          <w:szCs w:val="24"/>
        </w:rPr>
        <w:t xml:space="preserve">, using clear </w:t>
      </w:r>
      <w:r w:rsidRPr="00E600C4">
        <w:rPr>
          <w:rFonts w:ascii="Times New Roman" w:hAnsi="Times New Roman"/>
          <w:b/>
          <w:sz w:val="24"/>
          <w:szCs w:val="24"/>
        </w:rPr>
        <w:t>language is very important, along with creating a “legislative history” to avoid any question about whether volunteer and part-time firefighters can be covered in a collective bargaining agreement.</w:t>
      </w:r>
    </w:p>
    <w:p w14:paraId="1618DD66" w14:textId="77777777" w:rsidR="00F326E5" w:rsidRPr="0047741D" w:rsidRDefault="00F326E5" w:rsidP="00F326E5">
      <w:pPr>
        <w:rPr>
          <w:b/>
          <w:bCs/>
          <w:sz w:val="24"/>
          <w:szCs w:val="24"/>
        </w:rPr>
      </w:pPr>
    </w:p>
    <w:bookmarkEnd w:id="654"/>
    <w:p w14:paraId="5E0F6751" w14:textId="3ED55C98" w:rsidR="000C4DF5" w:rsidRDefault="000C4DF5" w:rsidP="000C4DF5">
      <w:pPr>
        <w:pStyle w:val="NoSpacing"/>
        <w:rPr>
          <w:rFonts w:ascii="Arial Black" w:hAnsi="Arial Black"/>
          <w:sz w:val="24"/>
          <w:szCs w:val="24"/>
        </w:rPr>
      </w:pPr>
      <w:r>
        <w:rPr>
          <w:rFonts w:ascii="Arial Black" w:hAnsi="Arial Black"/>
          <w:sz w:val="24"/>
          <w:szCs w:val="24"/>
        </w:rPr>
        <w:t>18-1</w:t>
      </w:r>
    </w:p>
    <w:p w14:paraId="3F1E4CB5" w14:textId="77777777" w:rsidR="000C4DF5" w:rsidRDefault="000C4DF5" w:rsidP="00F326E5">
      <w:pPr>
        <w:rPr>
          <w:rFonts w:ascii="Arial Black" w:hAnsi="Arial Black"/>
          <w:sz w:val="28"/>
          <w:szCs w:val="28"/>
        </w:rPr>
      </w:pPr>
      <w:bookmarkStart w:id="669" w:name="_Hlk7349781"/>
      <w:bookmarkStart w:id="670" w:name="_Hlk7349854"/>
    </w:p>
    <w:p w14:paraId="33F4DD7C" w14:textId="42E11262" w:rsidR="00F326E5" w:rsidRPr="00012487" w:rsidRDefault="00F326E5" w:rsidP="00F326E5">
      <w:pPr>
        <w:rPr>
          <w:rFonts w:ascii="Arial Black" w:hAnsi="Arial Black"/>
          <w:sz w:val="24"/>
          <w:szCs w:val="24"/>
        </w:rPr>
      </w:pPr>
      <w:bookmarkStart w:id="671" w:name="_Hlk40517902"/>
      <w:r w:rsidRPr="00BF01EE">
        <w:rPr>
          <w:rFonts w:ascii="Arial Black" w:hAnsi="Arial Black"/>
          <w:sz w:val="28"/>
          <w:szCs w:val="28"/>
        </w:rPr>
        <w:t xml:space="preserve">OH: </w:t>
      </w:r>
      <w:r>
        <w:rPr>
          <w:rFonts w:ascii="Arial Black" w:hAnsi="Arial Black"/>
          <w:sz w:val="28"/>
          <w:szCs w:val="28"/>
        </w:rPr>
        <w:t>911 “GOOD SAMARITAN LAW”</w:t>
      </w:r>
      <w:r w:rsidR="00CA57F1">
        <w:rPr>
          <w:rFonts w:ascii="Arial Black" w:hAnsi="Arial Black"/>
          <w:sz w:val="28"/>
          <w:szCs w:val="28"/>
        </w:rPr>
        <w:t xml:space="preserve"> </w:t>
      </w:r>
      <w:r>
        <w:rPr>
          <w:rFonts w:ascii="Arial Black" w:hAnsi="Arial Black"/>
          <w:sz w:val="28"/>
          <w:szCs w:val="28"/>
        </w:rPr>
        <w:t xml:space="preserve">– </w:t>
      </w:r>
      <w:r w:rsidR="00E600C4">
        <w:rPr>
          <w:rFonts w:ascii="Arial Black" w:hAnsi="Arial Black"/>
          <w:sz w:val="28"/>
          <w:szCs w:val="28"/>
        </w:rPr>
        <w:t xml:space="preserve">DRUG USERS - </w:t>
      </w:r>
      <w:r>
        <w:rPr>
          <w:rFonts w:ascii="Arial Black" w:hAnsi="Arial Black"/>
          <w:sz w:val="28"/>
          <w:szCs w:val="28"/>
        </w:rPr>
        <w:t xml:space="preserve">AVOID PROSECUTION IF CALL 911 - TREATMENT IN 30 DAYS </w:t>
      </w:r>
      <w:r w:rsidRPr="003D6884">
        <w:rPr>
          <w:b/>
          <w:sz w:val="24"/>
          <w:szCs w:val="24"/>
        </w:rPr>
        <w:t>[also filed, Chap. 1</w:t>
      </w:r>
      <w:r>
        <w:rPr>
          <w:b/>
          <w:sz w:val="24"/>
          <w:szCs w:val="24"/>
        </w:rPr>
        <w:t>3</w:t>
      </w:r>
      <w:r w:rsidRPr="003D6884">
        <w:rPr>
          <w:b/>
          <w:sz w:val="24"/>
          <w:szCs w:val="24"/>
        </w:rPr>
        <w:t>]</w:t>
      </w:r>
    </w:p>
    <w:p w14:paraId="53E1A514" w14:textId="77777777" w:rsidR="00F326E5" w:rsidRPr="00E600C4" w:rsidRDefault="00F326E5" w:rsidP="00F326E5">
      <w:pPr>
        <w:rPr>
          <w:rStyle w:val="Hyperlink"/>
          <w:rFonts w:ascii="Times New Roman" w:hAnsi="Times New Roman"/>
          <w:sz w:val="24"/>
          <w:szCs w:val="24"/>
        </w:rPr>
      </w:pPr>
      <w:r w:rsidRPr="00E600C4">
        <w:rPr>
          <w:rFonts w:ascii="Times New Roman" w:eastAsia="Times New Roman" w:hAnsi="Times New Roman"/>
          <w:sz w:val="24"/>
          <w:szCs w:val="24"/>
        </w:rPr>
        <w:t xml:space="preserve">On May 18, 2018, in </w:t>
      </w:r>
      <w:r w:rsidRPr="00E600C4">
        <w:rPr>
          <w:rFonts w:ascii="Times New Roman" w:eastAsia="Times New Roman" w:hAnsi="Times New Roman"/>
          <w:sz w:val="24"/>
          <w:szCs w:val="24"/>
          <w:u w:val="single"/>
        </w:rPr>
        <w:t>State of Ohio v. Andrew Melms</w:t>
      </w:r>
      <w:r w:rsidRPr="00E600C4">
        <w:rPr>
          <w:rFonts w:ascii="Times New Roman" w:eastAsia="Times New Roman" w:hAnsi="Times New Roman"/>
          <w:sz w:val="24"/>
          <w:szCs w:val="24"/>
        </w:rPr>
        <w:t xml:space="preserve">, the Court of Appeals For Second District (Montgomery County), held (3 to 0) that an overdose victim, arrested with </w:t>
      </w:r>
      <w:r w:rsidRPr="00E600C4">
        <w:rPr>
          <w:rFonts w:ascii="Times New Roman" w:hAnsi="Times New Roman"/>
          <w:sz w:val="24"/>
          <w:szCs w:val="24"/>
        </w:rPr>
        <w:t>six gel caps of fentanyl, was not eligible for immunity; he was in jail and did not enroll in treatment within the 30-day limit set under the new Ohio statute enacted in 2016.  The Court urged the Ohio General Assembly to modify the law: “</w:t>
      </w:r>
      <w:r w:rsidRPr="00E600C4">
        <w:rPr>
          <w:rFonts w:ascii="Times New Roman" w:eastAsia="Times New Roman" w:hAnsi="Times New Roman"/>
          <w:sz w:val="24"/>
          <w:szCs w:val="24"/>
        </w:rPr>
        <w:t xml:space="preserve">Granted Melms seemingly was an ideal candidate for immunity, but for the clear and unambiguous 30-day window set forth by the legislature. </w:t>
      </w:r>
      <w:bookmarkEnd w:id="671"/>
      <w:r w:rsidRPr="00E600C4">
        <w:rPr>
          <w:rFonts w:ascii="Times New Roman" w:eastAsia="Times New Roman" w:hAnsi="Times New Roman"/>
          <w:sz w:val="24"/>
          <w:szCs w:val="24"/>
        </w:rPr>
        <w:t xml:space="preserve">The remedy lies with the </w:t>
      </w:r>
      <w:proofErr w:type="gramStart"/>
      <w:r w:rsidRPr="00E600C4">
        <w:rPr>
          <w:rFonts w:ascii="Times New Roman" w:eastAsia="Times New Roman" w:hAnsi="Times New Roman"/>
          <w:sz w:val="24"/>
          <w:szCs w:val="24"/>
        </w:rPr>
        <w:t>legislature to</w:t>
      </w:r>
      <w:proofErr w:type="gramEnd"/>
      <w:r w:rsidRPr="00E600C4">
        <w:rPr>
          <w:rFonts w:ascii="Times New Roman" w:eastAsia="Times New Roman" w:hAnsi="Times New Roman"/>
          <w:sz w:val="24"/>
          <w:szCs w:val="24"/>
        </w:rPr>
        <w:t xml:space="preserve"> either eliminate the 30-day restriction or </w:t>
      </w:r>
      <w:proofErr w:type="gramStart"/>
      <w:r w:rsidRPr="00E600C4">
        <w:rPr>
          <w:rFonts w:ascii="Times New Roman" w:eastAsia="Times New Roman" w:hAnsi="Times New Roman"/>
          <w:sz w:val="24"/>
          <w:szCs w:val="24"/>
        </w:rPr>
        <w:t>to provide</w:t>
      </w:r>
      <w:proofErr w:type="gramEnd"/>
      <w:r w:rsidRPr="00E600C4">
        <w:rPr>
          <w:rFonts w:ascii="Times New Roman" w:eastAsia="Times New Roman" w:hAnsi="Times New Roman"/>
          <w:sz w:val="24"/>
          <w:szCs w:val="24"/>
        </w:rPr>
        <w:t xml:space="preserve"> for the exercise of judicial discretion, particularly in those cases of the most vulnerable, often indigent, incarcerated individuals who are unaware of the time limit until after counsel is appointed on the drug offense. In our view, an immediate legislative fix is warranted so that this legislation achieves its laudable </w:t>
      </w:r>
      <w:proofErr w:type="gramStart"/>
      <w:r w:rsidRPr="00E600C4">
        <w:rPr>
          <w:rFonts w:ascii="Times New Roman" w:eastAsia="Times New Roman" w:hAnsi="Times New Roman"/>
          <w:sz w:val="24"/>
          <w:szCs w:val="24"/>
        </w:rPr>
        <w:t>goals.”</w:t>
      </w:r>
      <w:proofErr w:type="gramEnd"/>
      <w:r w:rsidRPr="00E600C4">
        <w:rPr>
          <w:rFonts w:ascii="Times New Roman" w:eastAsia="Times New Roman" w:hAnsi="Times New Roman"/>
          <w:sz w:val="24"/>
          <w:szCs w:val="24"/>
        </w:rPr>
        <w:t xml:space="preserve"> </w:t>
      </w:r>
      <w:bookmarkStart w:id="672" w:name="_Hlk40517955"/>
      <w:r w:rsidR="009B50E8">
        <w:fldChar w:fldCharType="begin"/>
      </w:r>
      <w:r w:rsidR="009B50E8">
        <w:instrText xml:space="preserve"> HYPERLINK "https://cases.justia.com/ohio/second-district-court-of-appeals/2018-27685.pdf?ts=1526679598" </w:instrText>
      </w:r>
      <w:r w:rsidR="009B50E8">
        <w:fldChar w:fldCharType="separate"/>
      </w:r>
      <w:r w:rsidRPr="00E600C4">
        <w:rPr>
          <w:rStyle w:val="Hyperlink"/>
          <w:rFonts w:ascii="Times New Roman" w:hAnsi="Times New Roman"/>
          <w:sz w:val="24"/>
          <w:szCs w:val="24"/>
        </w:rPr>
        <w:t>https://cases.justia.com/ohio/second-district-court-of-appeals/2018-27685.pdf?ts=1526679598</w:t>
      </w:r>
      <w:r w:rsidR="009B50E8">
        <w:rPr>
          <w:rStyle w:val="Hyperlink"/>
          <w:rFonts w:ascii="Times New Roman" w:hAnsi="Times New Roman"/>
          <w:sz w:val="24"/>
          <w:szCs w:val="24"/>
        </w:rPr>
        <w:fldChar w:fldCharType="end"/>
      </w:r>
    </w:p>
    <w:p w14:paraId="1286D19A" w14:textId="77777777" w:rsidR="00F326E5" w:rsidRPr="00E600C4" w:rsidRDefault="00F326E5" w:rsidP="00F326E5">
      <w:pPr>
        <w:rPr>
          <w:rFonts w:ascii="Times New Roman" w:eastAsia="Times New Roman" w:hAnsi="Times New Roman"/>
          <w:b/>
          <w:sz w:val="24"/>
          <w:szCs w:val="24"/>
        </w:rPr>
      </w:pPr>
      <w:r w:rsidRPr="00E600C4">
        <w:rPr>
          <w:rFonts w:ascii="Times New Roman" w:eastAsia="Times New Roman" w:hAnsi="Times New Roman"/>
          <w:b/>
          <w:sz w:val="24"/>
          <w:szCs w:val="24"/>
        </w:rPr>
        <w:t xml:space="preserve">Legal Lessons Learned:  The “911 Good Samaritan” immunity statute is to encourage drug users and their associates to call 911 for an overdose, and to promptly seek treatment (can receive immunity only twice). </w:t>
      </w:r>
    </w:p>
    <w:bookmarkEnd w:id="669"/>
    <w:p w14:paraId="5923B28C" w14:textId="77777777" w:rsidR="00F326E5" w:rsidRPr="00E600C4" w:rsidRDefault="00F326E5" w:rsidP="00F326E5">
      <w:pPr>
        <w:ind w:firstLine="720"/>
        <w:rPr>
          <w:rFonts w:ascii="Times New Roman" w:hAnsi="Times New Roman"/>
          <w:sz w:val="24"/>
          <w:szCs w:val="24"/>
        </w:rPr>
      </w:pPr>
      <w:r w:rsidRPr="00E600C4">
        <w:rPr>
          <w:rFonts w:ascii="Times New Roman" w:eastAsia="Times New Roman" w:hAnsi="Times New Roman"/>
          <w:sz w:val="24"/>
          <w:szCs w:val="24"/>
        </w:rPr>
        <w:t>Note: 911 Dispatchers ae required to inform overdose patients about the new law:</w:t>
      </w:r>
    </w:p>
    <w:p w14:paraId="49858824"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R.C. 128.04 provides as follows: </w:t>
      </w:r>
    </w:p>
    <w:p w14:paraId="22C49A68"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(A) Public safety answering point personnel who are certified as emergency service </w:t>
      </w:r>
    </w:p>
    <w:p w14:paraId="6B644CA3"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telecommunicators under section 4742.03 of the Revised Code shall receive training in </w:t>
      </w:r>
    </w:p>
    <w:p w14:paraId="01DD06A6" w14:textId="77777777" w:rsidR="00F326E5" w:rsidRPr="00E600C4" w:rsidRDefault="00F326E5" w:rsidP="00F326E5">
      <w:pPr>
        <w:pStyle w:val="NoSpacing"/>
        <w:ind w:left="720"/>
        <w:rPr>
          <w:rFonts w:ascii="Times New Roman" w:hAnsi="Times New Roman"/>
          <w:sz w:val="24"/>
          <w:szCs w:val="24"/>
        </w:rPr>
      </w:pPr>
      <w:proofErr w:type="gramStart"/>
      <w:r w:rsidRPr="00E600C4">
        <w:rPr>
          <w:rFonts w:ascii="Times New Roman" w:hAnsi="Times New Roman"/>
          <w:sz w:val="24"/>
          <w:szCs w:val="24"/>
        </w:rPr>
        <w:t>informing</w:t>
      </w:r>
      <w:proofErr w:type="gramEnd"/>
      <w:r w:rsidRPr="00E600C4">
        <w:rPr>
          <w:rFonts w:ascii="Times New Roman" w:hAnsi="Times New Roman"/>
          <w:sz w:val="24"/>
          <w:szCs w:val="24"/>
        </w:rPr>
        <w:t xml:space="preserve"> individuals who call about an apparent drug overdose about the immunity from prosecution for a minor drug possession offense created by section 2925.11 of the Revised Code. </w:t>
      </w:r>
    </w:p>
    <w:p w14:paraId="1754C47B"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(B) Public safety answering point personnel who receive a call about an apparent drug </w:t>
      </w:r>
    </w:p>
    <w:p w14:paraId="2A0262AD"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overdose shall make reasonable efforts, upon the caller's inquiry, to inform the caller </w:t>
      </w:r>
    </w:p>
    <w:p w14:paraId="389055F9"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about the immunity from prosecution for a minor drug possession offense created </w:t>
      </w:r>
    </w:p>
    <w:p w14:paraId="143F041B" w14:textId="77777777" w:rsidR="00F326E5" w:rsidRPr="00E600C4" w:rsidRDefault="00F326E5" w:rsidP="00F326E5">
      <w:pPr>
        <w:pStyle w:val="NoSpacing"/>
        <w:ind w:firstLine="720"/>
        <w:rPr>
          <w:rFonts w:ascii="Times New Roman" w:hAnsi="Times New Roman"/>
          <w:sz w:val="24"/>
          <w:szCs w:val="24"/>
        </w:rPr>
      </w:pPr>
      <w:r w:rsidRPr="00E600C4">
        <w:rPr>
          <w:rFonts w:ascii="Times New Roman" w:hAnsi="Times New Roman"/>
          <w:sz w:val="24"/>
          <w:szCs w:val="24"/>
        </w:rPr>
        <w:t xml:space="preserve">by section 2925.11 of the Revised Code. </w:t>
      </w:r>
    </w:p>
    <w:bookmarkEnd w:id="672"/>
    <w:p w14:paraId="508D40B2" w14:textId="77777777" w:rsidR="00F326E5" w:rsidRPr="00E600C4" w:rsidRDefault="00F326E5" w:rsidP="00F326E5">
      <w:pPr>
        <w:rPr>
          <w:rFonts w:ascii="Times New Roman" w:eastAsia="Times New Roman" w:hAnsi="Times New Roman"/>
          <w:sz w:val="24"/>
          <w:szCs w:val="24"/>
        </w:rPr>
      </w:pPr>
    </w:p>
    <w:p w14:paraId="55F7D20B" w14:textId="77777777" w:rsidR="00F326E5" w:rsidRDefault="00F326E5" w:rsidP="00F326E5">
      <w:pPr>
        <w:rPr>
          <w:rFonts w:eastAsia="Times New Roman"/>
          <w:sz w:val="24"/>
          <w:szCs w:val="24"/>
        </w:rPr>
      </w:pPr>
    </w:p>
    <w:bookmarkEnd w:id="670"/>
    <w:p w14:paraId="1F41C09F" w14:textId="77777777" w:rsidR="00F326E5" w:rsidRPr="007732FA" w:rsidRDefault="00F326E5" w:rsidP="00F326E5">
      <w:pPr>
        <w:spacing w:before="100" w:beforeAutospacing="1" w:after="100" w:afterAutospacing="1" w:line="240" w:lineRule="auto"/>
        <w:rPr>
          <w:rFonts w:ascii="Arial Black" w:hAnsi="Arial Black"/>
          <w:sz w:val="40"/>
          <w:szCs w:val="40"/>
        </w:rPr>
      </w:pPr>
    </w:p>
    <w:p w14:paraId="38875852" w14:textId="77777777" w:rsidR="00F326E5" w:rsidRPr="007732FA" w:rsidRDefault="00F326E5" w:rsidP="00F326E5">
      <w:pPr>
        <w:spacing w:before="100" w:beforeAutospacing="1" w:after="100" w:afterAutospacing="1" w:line="240" w:lineRule="auto"/>
        <w:rPr>
          <w:rFonts w:ascii="Arial Black" w:hAnsi="Arial Black"/>
          <w:sz w:val="40"/>
          <w:szCs w:val="40"/>
        </w:rPr>
      </w:pPr>
    </w:p>
    <w:p w14:paraId="3B542359" w14:textId="77777777" w:rsidR="00F326E5" w:rsidRDefault="00F326E5" w:rsidP="00F326E5">
      <w:pPr>
        <w:spacing w:before="100" w:beforeAutospacing="1" w:after="100" w:afterAutospacing="1" w:line="240" w:lineRule="auto"/>
        <w:rPr>
          <w:rFonts w:ascii="Times New Roman" w:hAnsi="Times New Roman"/>
          <w:sz w:val="24"/>
          <w:szCs w:val="24"/>
        </w:rPr>
      </w:pPr>
    </w:p>
    <w:p w14:paraId="25DCD3D7" w14:textId="77777777" w:rsidR="00F326E5" w:rsidRPr="00A50673" w:rsidRDefault="00F326E5" w:rsidP="00F326E5">
      <w:pPr>
        <w:pStyle w:val="NoSpacing"/>
        <w:rPr>
          <w:b/>
          <w:sz w:val="24"/>
          <w:szCs w:val="24"/>
        </w:rPr>
      </w:pPr>
      <w:r>
        <w:rPr>
          <w:b/>
          <w:sz w:val="24"/>
          <w:szCs w:val="24"/>
        </w:rPr>
        <w:t xml:space="preserve"> </w:t>
      </w:r>
    </w:p>
    <w:p w14:paraId="23B7B606" w14:textId="77777777" w:rsidR="00F326E5" w:rsidRDefault="00F326E5" w:rsidP="00F326E5">
      <w:pPr>
        <w:spacing w:before="100" w:beforeAutospacing="1" w:after="100" w:afterAutospacing="1" w:line="240" w:lineRule="auto"/>
        <w:rPr>
          <w:rFonts w:ascii="Times New Roman" w:hAnsi="Times New Roman"/>
          <w:sz w:val="24"/>
          <w:szCs w:val="24"/>
        </w:rPr>
      </w:pPr>
    </w:p>
    <w:p w14:paraId="59CED2A1" w14:textId="77777777" w:rsidR="00F326E5" w:rsidRPr="00AA42D4" w:rsidRDefault="00F326E5" w:rsidP="00F326E5">
      <w:pPr>
        <w:spacing w:before="100" w:beforeAutospacing="1" w:after="100" w:afterAutospacing="1" w:line="240" w:lineRule="auto"/>
        <w:rPr>
          <w:rFonts w:ascii="Times New Roman" w:hAnsi="Times New Roman"/>
          <w:sz w:val="24"/>
          <w:szCs w:val="24"/>
        </w:rPr>
      </w:pPr>
    </w:p>
    <w:p w14:paraId="6E734B25" w14:textId="77777777" w:rsidR="00F326E5" w:rsidRPr="00C80872" w:rsidRDefault="00F326E5" w:rsidP="00F326E5">
      <w:pPr>
        <w:rPr>
          <w:rFonts w:ascii="Times New Roman" w:eastAsiaTheme="majorEastAsia" w:hAnsi="Times New Roman"/>
          <w:sz w:val="28"/>
          <w:szCs w:val="28"/>
        </w:rPr>
      </w:pPr>
    </w:p>
    <w:bookmarkEnd w:id="0"/>
    <w:p w14:paraId="37E7CFA5" w14:textId="77777777" w:rsidR="00F326E5" w:rsidRDefault="00F326E5" w:rsidP="007C45CA">
      <w:pPr>
        <w:pStyle w:val="NoSpacing"/>
        <w:jc w:val="center"/>
      </w:pPr>
    </w:p>
    <w:sectPr w:rsidR="00F326E5" w:rsidSect="00BC70F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77E3F" w14:textId="77777777" w:rsidR="00957E3A" w:rsidRDefault="00957E3A" w:rsidP="00E265AB">
      <w:pPr>
        <w:spacing w:after="0" w:line="240" w:lineRule="auto"/>
      </w:pPr>
      <w:r>
        <w:separator/>
      </w:r>
    </w:p>
  </w:endnote>
  <w:endnote w:type="continuationSeparator" w:id="0">
    <w:p w14:paraId="1FF9DC67" w14:textId="77777777" w:rsidR="00957E3A" w:rsidRDefault="00957E3A" w:rsidP="00E26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n Times New Roman">
    <w:altName w:val="Cambria"/>
    <w:panose1 w:val="00000000000000000000"/>
    <w:charset w:val="00"/>
    <w:family w:val="roman"/>
    <w:notTrueType/>
    <w:pitch w:val="default"/>
  </w:font>
  <w:font w:name="PArial Black">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OnTimes New Roman">
    <w:altName w:val="Cambria"/>
    <w:panose1 w:val="00000000000000000000"/>
    <w:charset w:val="00"/>
    <w:family w:val="roman"/>
    <w:notTrueType/>
    <w:pitch w:val="default"/>
  </w:font>
  <w:font w:name="MIArial Black">
    <w:altName w:val="Cambria"/>
    <w:panose1 w:val="00000000000000000000"/>
    <w:charset w:val="00"/>
    <w:family w:val="roman"/>
    <w:notTrueType/>
    <w:pitch w:val="default"/>
  </w:font>
  <w:font w:name="AATimes New Roman">
    <w:altName w:val="Cambria"/>
    <w:panose1 w:val="00000000000000000000"/>
    <w:charset w:val="00"/>
    <w:family w:val="roman"/>
    <w:notTrueType/>
    <w:pitch w:val="default"/>
  </w:font>
  <w:font w:name="[">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quot;Times New Roman">
    <w:altName w:val="Cambria"/>
    <w:panose1 w:val="00000000000000000000"/>
    <w:charset w:val="00"/>
    <w:family w:val="roman"/>
    <w:notTrueType/>
    <w:pitch w:val="default"/>
  </w:font>
  <w:font w:name="NYArial Black">
    <w:altName w:val="Cambria"/>
    <w:panose1 w:val="00000000000000000000"/>
    <w:charset w:val="00"/>
    <w:family w:val="roman"/>
    <w:notTrueType/>
    <w:pitch w:val="default"/>
  </w:font>
  <w:font w:name="SeeTimes New Roman">
    <w:altName w:val="Cambria"/>
    <w:panose1 w:val="00000000000000000000"/>
    <w:charset w:val="00"/>
    <w:family w:val="roman"/>
    <w:notTrueType/>
    <w:pitch w:val="default"/>
  </w:font>
  <w:font w:name="Aptos Black">
    <w:charset w:val="00"/>
    <w:family w:val="swiss"/>
    <w:pitch w:val="variable"/>
    <w:sig w:usb0="20000287" w:usb1="00000003" w:usb2="00000000" w:usb3="00000000" w:csb0="0000019F" w:csb1="00000000"/>
  </w:font>
  <w:font w:name="EArial Black">
    <w:altName w:val="Cambria"/>
    <w:panose1 w:val="00000000000000000000"/>
    <w:charset w:val="00"/>
    <w:family w:val="roman"/>
    <w:notTrueType/>
    <w:pitch w:val="default"/>
  </w:font>
  <w:font w:name="On On">
    <w:altName w:val="Cambria"/>
    <w:panose1 w:val="00000000000000000000"/>
    <w:charset w:val="00"/>
    <w:family w:val="roman"/>
    <w:notTrueType/>
    <w:pitch w:val="default"/>
  </w:font>
  <w:font w:name="DArial Black">
    <w:altName w:val="Cambria"/>
    <w:panose1 w:val="00000000000000000000"/>
    <w:charset w:val="00"/>
    <w:family w:val="roman"/>
    <w:notTrueType/>
    <w:pitch w:val="default"/>
  </w:font>
  <w:font w:name="KYArial Black">
    <w:altName w:val="Cambria"/>
    <w:panose1 w:val="00000000000000000000"/>
    <w:charset w:val="00"/>
    <w:family w:val="roman"/>
    <w:notTrueType/>
    <w:pitch w:val="default"/>
  </w:font>
  <w:font w:name="acumin-pro">
    <w:altName w:val="Cambria"/>
    <w:panose1 w:val="00000000000000000000"/>
    <w:charset w:val="00"/>
    <w:family w:val="roman"/>
    <w:notTrueType/>
    <w:pitch w:val="default"/>
  </w:font>
  <w:font w:name="In">
    <w:altName w:val="Cambria"/>
    <w:panose1 w:val="00000000000000000000"/>
    <w:charset w:val="00"/>
    <w:family w:val="roman"/>
    <w:notTrueType/>
    <w:pitch w:val="default"/>
  </w:font>
  <w:font w:name="[Times New Roman">
    <w:altName w:val="Cambria"/>
    <w:panose1 w:val="00000000000000000000"/>
    <w:charset w:val="00"/>
    <w:family w:val="roman"/>
    <w:notTrueType/>
    <w:pitch w:val="default"/>
  </w:font>
  <w:font w:name="FeTimes New Roma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AArial Black">
    <w:altName w:val="Cambria"/>
    <w:panose1 w:val="00000000000000000000"/>
    <w:charset w:val="00"/>
    <w:family w:val="roman"/>
    <w:notTrueType/>
    <w:pitch w:val="default"/>
  </w:font>
  <w:font w:name="TXArial Black">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EBC55" w14:textId="77777777" w:rsidR="00957E3A" w:rsidRDefault="00957E3A" w:rsidP="00E265AB">
      <w:pPr>
        <w:spacing w:after="0" w:line="240" w:lineRule="auto"/>
      </w:pPr>
      <w:r>
        <w:separator/>
      </w:r>
    </w:p>
  </w:footnote>
  <w:footnote w:type="continuationSeparator" w:id="0">
    <w:p w14:paraId="420A4580" w14:textId="77777777" w:rsidR="00957E3A" w:rsidRDefault="00957E3A" w:rsidP="00E265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29D6"/>
    <w:multiLevelType w:val="multilevel"/>
    <w:tmpl w:val="69DE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F6780"/>
    <w:multiLevelType w:val="hybridMultilevel"/>
    <w:tmpl w:val="C13A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6580E"/>
    <w:multiLevelType w:val="multilevel"/>
    <w:tmpl w:val="99EA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40A36"/>
    <w:multiLevelType w:val="hybridMultilevel"/>
    <w:tmpl w:val="3BAC7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AE47DC2"/>
    <w:multiLevelType w:val="multilevel"/>
    <w:tmpl w:val="946C585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15:restartNumberingAfterBreak="0">
    <w:nsid w:val="0B0D1414"/>
    <w:multiLevelType w:val="hybridMultilevel"/>
    <w:tmpl w:val="CB0ACB1A"/>
    <w:lvl w:ilvl="0" w:tplc="0592F9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5315D2"/>
    <w:multiLevelType w:val="hybridMultilevel"/>
    <w:tmpl w:val="CB0ACB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7909D9"/>
    <w:multiLevelType w:val="multilevel"/>
    <w:tmpl w:val="D91237B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83276D1"/>
    <w:multiLevelType w:val="hybridMultilevel"/>
    <w:tmpl w:val="18D29058"/>
    <w:lvl w:ilvl="0" w:tplc="C06430D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E2A7B27"/>
    <w:multiLevelType w:val="hybridMultilevel"/>
    <w:tmpl w:val="99583C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FB645D5"/>
    <w:multiLevelType w:val="multilevel"/>
    <w:tmpl w:val="6BB68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251A5"/>
    <w:multiLevelType w:val="multilevel"/>
    <w:tmpl w:val="BB7AE42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51C5A5A"/>
    <w:multiLevelType w:val="multilevel"/>
    <w:tmpl w:val="11986E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5D6363F"/>
    <w:multiLevelType w:val="hybridMultilevel"/>
    <w:tmpl w:val="44D89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99229E"/>
    <w:multiLevelType w:val="hybridMultilevel"/>
    <w:tmpl w:val="EA568B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F5166"/>
    <w:multiLevelType w:val="hybridMultilevel"/>
    <w:tmpl w:val="A740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71366"/>
    <w:multiLevelType w:val="hybridMultilevel"/>
    <w:tmpl w:val="2DDCC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39F115E"/>
    <w:multiLevelType w:val="hybridMultilevel"/>
    <w:tmpl w:val="7294F5F2"/>
    <w:lvl w:ilvl="0" w:tplc="61103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D82B2E"/>
    <w:multiLevelType w:val="hybridMultilevel"/>
    <w:tmpl w:val="628AE4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377E2D57"/>
    <w:multiLevelType w:val="hybridMultilevel"/>
    <w:tmpl w:val="1B36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77E54"/>
    <w:multiLevelType w:val="multilevel"/>
    <w:tmpl w:val="A3B4B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0605E"/>
    <w:multiLevelType w:val="multilevel"/>
    <w:tmpl w:val="7EE0E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2020C5"/>
    <w:multiLevelType w:val="multilevel"/>
    <w:tmpl w:val="94FCF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AD65C70"/>
    <w:multiLevelType w:val="multilevel"/>
    <w:tmpl w:val="1D2204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1D411D8"/>
    <w:multiLevelType w:val="hybridMultilevel"/>
    <w:tmpl w:val="3DE037E4"/>
    <w:lvl w:ilvl="0" w:tplc="77F44B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38D371D"/>
    <w:multiLevelType w:val="hybridMultilevel"/>
    <w:tmpl w:val="F88E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118CC"/>
    <w:multiLevelType w:val="hybridMultilevel"/>
    <w:tmpl w:val="1A26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0D43BA"/>
    <w:multiLevelType w:val="multilevel"/>
    <w:tmpl w:val="A3B4B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CE25F8"/>
    <w:multiLevelType w:val="hybridMultilevel"/>
    <w:tmpl w:val="06123D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0804BF"/>
    <w:multiLevelType w:val="hybridMultilevel"/>
    <w:tmpl w:val="E0DE5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961722"/>
    <w:multiLevelType w:val="multilevel"/>
    <w:tmpl w:val="4988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89703F"/>
    <w:multiLevelType w:val="multilevel"/>
    <w:tmpl w:val="E226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D84A5D"/>
    <w:multiLevelType w:val="hybridMultilevel"/>
    <w:tmpl w:val="581E0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A2A1B5D"/>
    <w:multiLevelType w:val="multilevel"/>
    <w:tmpl w:val="FF98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7D1B3C"/>
    <w:multiLevelType w:val="hybridMultilevel"/>
    <w:tmpl w:val="FFCC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038AE"/>
    <w:multiLevelType w:val="multilevel"/>
    <w:tmpl w:val="3756555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6" w15:restartNumberingAfterBreak="0">
    <w:nsid w:val="70293092"/>
    <w:multiLevelType w:val="hybridMultilevel"/>
    <w:tmpl w:val="D262727A"/>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37" w15:restartNumberingAfterBreak="0">
    <w:nsid w:val="7617299D"/>
    <w:multiLevelType w:val="multilevel"/>
    <w:tmpl w:val="6DCA602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7B2D493A"/>
    <w:multiLevelType w:val="hybridMultilevel"/>
    <w:tmpl w:val="591AD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41771545">
    <w:abstractNumId w:val="0"/>
  </w:num>
  <w:num w:numId="2" w16cid:durableId="1323004026">
    <w:abstractNumId w:val="33"/>
  </w:num>
  <w:num w:numId="3" w16cid:durableId="1504397155">
    <w:abstractNumId w:val="37"/>
  </w:num>
  <w:num w:numId="4" w16cid:durableId="329334035">
    <w:abstractNumId w:val="16"/>
  </w:num>
  <w:num w:numId="5" w16cid:durableId="1976131357">
    <w:abstractNumId w:val="8"/>
  </w:num>
  <w:num w:numId="6" w16cid:durableId="293995344">
    <w:abstractNumId w:val="2"/>
  </w:num>
  <w:num w:numId="7" w16cid:durableId="18937296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3145372">
    <w:abstractNumId w:val="20"/>
  </w:num>
  <w:num w:numId="9" w16cid:durableId="917523769">
    <w:abstractNumId w:val="27"/>
  </w:num>
  <w:num w:numId="10" w16cid:durableId="155726141">
    <w:abstractNumId w:val="30"/>
  </w:num>
  <w:num w:numId="11" w16cid:durableId="2028216650">
    <w:abstractNumId w:val="25"/>
  </w:num>
  <w:num w:numId="12" w16cid:durableId="125704761">
    <w:abstractNumId w:val="36"/>
  </w:num>
  <w:num w:numId="13" w16cid:durableId="2071608991">
    <w:abstractNumId w:val="15"/>
  </w:num>
  <w:num w:numId="14" w16cid:durableId="975991674">
    <w:abstractNumId w:val="5"/>
  </w:num>
  <w:num w:numId="15" w16cid:durableId="1137726237">
    <w:abstractNumId w:val="6"/>
  </w:num>
  <w:num w:numId="16" w16cid:durableId="1155293072">
    <w:abstractNumId w:val="35"/>
  </w:num>
  <w:num w:numId="17" w16cid:durableId="119425451">
    <w:abstractNumId w:val="29"/>
  </w:num>
  <w:num w:numId="18" w16cid:durableId="1509637965">
    <w:abstractNumId w:val="19"/>
  </w:num>
  <w:num w:numId="19" w16cid:durableId="1660570764">
    <w:abstractNumId w:val="21"/>
  </w:num>
  <w:num w:numId="20" w16cid:durableId="970284595">
    <w:abstractNumId w:val="13"/>
  </w:num>
  <w:num w:numId="21" w16cid:durableId="689259317">
    <w:abstractNumId w:val="7"/>
  </w:num>
  <w:num w:numId="22" w16cid:durableId="1587378363">
    <w:abstractNumId w:val="38"/>
  </w:num>
  <w:num w:numId="23" w16cid:durableId="1214854445">
    <w:abstractNumId w:val="4"/>
  </w:num>
  <w:num w:numId="24" w16cid:durableId="1662079317">
    <w:abstractNumId w:val="10"/>
  </w:num>
  <w:num w:numId="25" w16cid:durableId="1301181501">
    <w:abstractNumId w:val="1"/>
  </w:num>
  <w:num w:numId="26" w16cid:durableId="1725252877">
    <w:abstractNumId w:val="24"/>
  </w:num>
  <w:num w:numId="27" w16cid:durableId="6715960">
    <w:abstractNumId w:val="11"/>
  </w:num>
  <w:num w:numId="28" w16cid:durableId="19056021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10073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6856519">
    <w:abstractNumId w:val="3"/>
  </w:num>
  <w:num w:numId="31" w16cid:durableId="1786608873">
    <w:abstractNumId w:val="26"/>
  </w:num>
  <w:num w:numId="32" w16cid:durableId="1494488361">
    <w:abstractNumId w:val="34"/>
  </w:num>
  <w:num w:numId="33" w16cid:durableId="1226573208">
    <w:abstractNumId w:val="18"/>
  </w:num>
  <w:num w:numId="34" w16cid:durableId="1136726821">
    <w:abstractNumId w:val="14"/>
  </w:num>
  <w:num w:numId="35" w16cid:durableId="1784306685">
    <w:abstractNumId w:val="28"/>
  </w:num>
  <w:num w:numId="36" w16cid:durableId="524556718">
    <w:abstractNumId w:val="32"/>
  </w:num>
  <w:num w:numId="37" w16cid:durableId="384643277">
    <w:abstractNumId w:val="31"/>
  </w:num>
  <w:num w:numId="38" w16cid:durableId="202255307">
    <w:abstractNumId w:val="12"/>
  </w:num>
  <w:num w:numId="39" w16cid:durableId="388194121">
    <w:abstractNumId w:val="14"/>
  </w:num>
  <w:num w:numId="40" w16cid:durableId="639724427">
    <w:abstractNumId w:val="36"/>
  </w:num>
  <w:num w:numId="41" w16cid:durableId="1542325366">
    <w:abstractNumId w:val="23"/>
  </w:num>
  <w:num w:numId="42" w16cid:durableId="57409879">
    <w:abstractNumId w:val="36"/>
  </w:num>
  <w:num w:numId="43" w16cid:durableId="667513454">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357"/>
    <w:rsid w:val="00000960"/>
    <w:rsid w:val="000010F2"/>
    <w:rsid w:val="00001707"/>
    <w:rsid w:val="0000182B"/>
    <w:rsid w:val="00001A04"/>
    <w:rsid w:val="00001D9A"/>
    <w:rsid w:val="00004498"/>
    <w:rsid w:val="00004638"/>
    <w:rsid w:val="00004BED"/>
    <w:rsid w:val="00004EEC"/>
    <w:rsid w:val="0000697E"/>
    <w:rsid w:val="00006AE3"/>
    <w:rsid w:val="00006B8D"/>
    <w:rsid w:val="00010BB9"/>
    <w:rsid w:val="00012426"/>
    <w:rsid w:val="00012C74"/>
    <w:rsid w:val="00013141"/>
    <w:rsid w:val="00014738"/>
    <w:rsid w:val="00014898"/>
    <w:rsid w:val="00015208"/>
    <w:rsid w:val="00015CB5"/>
    <w:rsid w:val="000160B4"/>
    <w:rsid w:val="00016469"/>
    <w:rsid w:val="000164B1"/>
    <w:rsid w:val="0001738E"/>
    <w:rsid w:val="000174EF"/>
    <w:rsid w:val="00020106"/>
    <w:rsid w:val="000209F5"/>
    <w:rsid w:val="0002141E"/>
    <w:rsid w:val="00021A20"/>
    <w:rsid w:val="00021E64"/>
    <w:rsid w:val="00022BE4"/>
    <w:rsid w:val="00022E5C"/>
    <w:rsid w:val="00024992"/>
    <w:rsid w:val="00024A0D"/>
    <w:rsid w:val="00025B22"/>
    <w:rsid w:val="00026281"/>
    <w:rsid w:val="0002742E"/>
    <w:rsid w:val="00027641"/>
    <w:rsid w:val="000301F2"/>
    <w:rsid w:val="000306C7"/>
    <w:rsid w:val="00031316"/>
    <w:rsid w:val="000318C6"/>
    <w:rsid w:val="00032074"/>
    <w:rsid w:val="0003275C"/>
    <w:rsid w:val="00032BF1"/>
    <w:rsid w:val="000338D1"/>
    <w:rsid w:val="00034955"/>
    <w:rsid w:val="00034C75"/>
    <w:rsid w:val="00035385"/>
    <w:rsid w:val="00037999"/>
    <w:rsid w:val="00037CB8"/>
    <w:rsid w:val="00040383"/>
    <w:rsid w:val="0004072E"/>
    <w:rsid w:val="000408CA"/>
    <w:rsid w:val="00041342"/>
    <w:rsid w:val="00042223"/>
    <w:rsid w:val="00042C6A"/>
    <w:rsid w:val="000438D5"/>
    <w:rsid w:val="00043E2B"/>
    <w:rsid w:val="000449B4"/>
    <w:rsid w:val="00044FB1"/>
    <w:rsid w:val="00045450"/>
    <w:rsid w:val="0004575D"/>
    <w:rsid w:val="00045E64"/>
    <w:rsid w:val="000462DC"/>
    <w:rsid w:val="000509A0"/>
    <w:rsid w:val="000516E6"/>
    <w:rsid w:val="000518BE"/>
    <w:rsid w:val="00051A4A"/>
    <w:rsid w:val="00054335"/>
    <w:rsid w:val="00054479"/>
    <w:rsid w:val="0005503D"/>
    <w:rsid w:val="00056D43"/>
    <w:rsid w:val="000617DD"/>
    <w:rsid w:val="00061BDB"/>
    <w:rsid w:val="000624FD"/>
    <w:rsid w:val="00062DA4"/>
    <w:rsid w:val="000630E9"/>
    <w:rsid w:val="000636AB"/>
    <w:rsid w:val="000637E4"/>
    <w:rsid w:val="00063A86"/>
    <w:rsid w:val="00063E80"/>
    <w:rsid w:val="000644B6"/>
    <w:rsid w:val="00064669"/>
    <w:rsid w:val="00064875"/>
    <w:rsid w:val="00066EA4"/>
    <w:rsid w:val="00066F05"/>
    <w:rsid w:val="000672CE"/>
    <w:rsid w:val="00067499"/>
    <w:rsid w:val="000676A0"/>
    <w:rsid w:val="00072607"/>
    <w:rsid w:val="00072F19"/>
    <w:rsid w:val="00073292"/>
    <w:rsid w:val="00073CC7"/>
    <w:rsid w:val="0007510D"/>
    <w:rsid w:val="00075181"/>
    <w:rsid w:val="00075B1D"/>
    <w:rsid w:val="00075CD4"/>
    <w:rsid w:val="00075D20"/>
    <w:rsid w:val="00075DAE"/>
    <w:rsid w:val="00076F13"/>
    <w:rsid w:val="00077FB4"/>
    <w:rsid w:val="00080178"/>
    <w:rsid w:val="00080FC6"/>
    <w:rsid w:val="000816F9"/>
    <w:rsid w:val="00081AD1"/>
    <w:rsid w:val="000839D4"/>
    <w:rsid w:val="00084D68"/>
    <w:rsid w:val="00084E0A"/>
    <w:rsid w:val="00084E13"/>
    <w:rsid w:val="00085E85"/>
    <w:rsid w:val="00085FE6"/>
    <w:rsid w:val="00086D22"/>
    <w:rsid w:val="00087209"/>
    <w:rsid w:val="000915C1"/>
    <w:rsid w:val="00092D5A"/>
    <w:rsid w:val="00092DAC"/>
    <w:rsid w:val="00094264"/>
    <w:rsid w:val="0009438D"/>
    <w:rsid w:val="000946BC"/>
    <w:rsid w:val="0009744A"/>
    <w:rsid w:val="00097703"/>
    <w:rsid w:val="00097DD5"/>
    <w:rsid w:val="000A0CD1"/>
    <w:rsid w:val="000A15E4"/>
    <w:rsid w:val="000A1F4E"/>
    <w:rsid w:val="000A21C0"/>
    <w:rsid w:val="000A2B47"/>
    <w:rsid w:val="000A35E0"/>
    <w:rsid w:val="000A4BD5"/>
    <w:rsid w:val="000A5A6C"/>
    <w:rsid w:val="000A5D63"/>
    <w:rsid w:val="000A5F54"/>
    <w:rsid w:val="000A6C09"/>
    <w:rsid w:val="000A72DE"/>
    <w:rsid w:val="000A7B66"/>
    <w:rsid w:val="000B1261"/>
    <w:rsid w:val="000B18F3"/>
    <w:rsid w:val="000B228A"/>
    <w:rsid w:val="000B2F15"/>
    <w:rsid w:val="000B3321"/>
    <w:rsid w:val="000B35FC"/>
    <w:rsid w:val="000B47B1"/>
    <w:rsid w:val="000B4D9F"/>
    <w:rsid w:val="000B584F"/>
    <w:rsid w:val="000B5EEC"/>
    <w:rsid w:val="000B6343"/>
    <w:rsid w:val="000B6881"/>
    <w:rsid w:val="000B78DC"/>
    <w:rsid w:val="000C0691"/>
    <w:rsid w:val="000C0B7B"/>
    <w:rsid w:val="000C1D8F"/>
    <w:rsid w:val="000C3B06"/>
    <w:rsid w:val="000C4268"/>
    <w:rsid w:val="000C4DF5"/>
    <w:rsid w:val="000C567D"/>
    <w:rsid w:val="000C584B"/>
    <w:rsid w:val="000C62A1"/>
    <w:rsid w:val="000C6C88"/>
    <w:rsid w:val="000C6DB9"/>
    <w:rsid w:val="000C756B"/>
    <w:rsid w:val="000D0769"/>
    <w:rsid w:val="000D0A3D"/>
    <w:rsid w:val="000D0D5F"/>
    <w:rsid w:val="000D1C4B"/>
    <w:rsid w:val="000D1CC1"/>
    <w:rsid w:val="000D2571"/>
    <w:rsid w:val="000D47A7"/>
    <w:rsid w:val="000D4A64"/>
    <w:rsid w:val="000D5056"/>
    <w:rsid w:val="000E1441"/>
    <w:rsid w:val="000E2F42"/>
    <w:rsid w:val="000E47F1"/>
    <w:rsid w:val="000E50DE"/>
    <w:rsid w:val="000F0163"/>
    <w:rsid w:val="000F03D9"/>
    <w:rsid w:val="000F060C"/>
    <w:rsid w:val="000F0910"/>
    <w:rsid w:val="000F18B0"/>
    <w:rsid w:val="000F1A96"/>
    <w:rsid w:val="000F2630"/>
    <w:rsid w:val="000F3890"/>
    <w:rsid w:val="000F4170"/>
    <w:rsid w:val="000F483A"/>
    <w:rsid w:val="000F4991"/>
    <w:rsid w:val="000F7C85"/>
    <w:rsid w:val="000F7D4E"/>
    <w:rsid w:val="00100878"/>
    <w:rsid w:val="00100B4F"/>
    <w:rsid w:val="00102FD0"/>
    <w:rsid w:val="001031C3"/>
    <w:rsid w:val="00103226"/>
    <w:rsid w:val="001033A4"/>
    <w:rsid w:val="00104A4C"/>
    <w:rsid w:val="00105EF2"/>
    <w:rsid w:val="0010642B"/>
    <w:rsid w:val="00107D14"/>
    <w:rsid w:val="0011091B"/>
    <w:rsid w:val="00110AE2"/>
    <w:rsid w:val="00110BB4"/>
    <w:rsid w:val="001112CF"/>
    <w:rsid w:val="00111714"/>
    <w:rsid w:val="0011264F"/>
    <w:rsid w:val="00113436"/>
    <w:rsid w:val="00113A3A"/>
    <w:rsid w:val="00113D38"/>
    <w:rsid w:val="00114A81"/>
    <w:rsid w:val="001150EA"/>
    <w:rsid w:val="00116265"/>
    <w:rsid w:val="00120DAE"/>
    <w:rsid w:val="00120F10"/>
    <w:rsid w:val="0012290C"/>
    <w:rsid w:val="00122CBC"/>
    <w:rsid w:val="00123C3F"/>
    <w:rsid w:val="00123E5E"/>
    <w:rsid w:val="00124FAD"/>
    <w:rsid w:val="00125039"/>
    <w:rsid w:val="0012517E"/>
    <w:rsid w:val="001257CC"/>
    <w:rsid w:val="00127024"/>
    <w:rsid w:val="0012739E"/>
    <w:rsid w:val="001276F8"/>
    <w:rsid w:val="00127BB3"/>
    <w:rsid w:val="00127BCE"/>
    <w:rsid w:val="00130523"/>
    <w:rsid w:val="00131912"/>
    <w:rsid w:val="001333DA"/>
    <w:rsid w:val="00133884"/>
    <w:rsid w:val="0013686B"/>
    <w:rsid w:val="00140433"/>
    <w:rsid w:val="0014047F"/>
    <w:rsid w:val="00140B2A"/>
    <w:rsid w:val="00141CEC"/>
    <w:rsid w:val="00142FA2"/>
    <w:rsid w:val="00144037"/>
    <w:rsid w:val="001447DC"/>
    <w:rsid w:val="001463F4"/>
    <w:rsid w:val="00146709"/>
    <w:rsid w:val="00146711"/>
    <w:rsid w:val="00147626"/>
    <w:rsid w:val="0015021B"/>
    <w:rsid w:val="00150E5B"/>
    <w:rsid w:val="00151EBE"/>
    <w:rsid w:val="0015207E"/>
    <w:rsid w:val="00153742"/>
    <w:rsid w:val="0015512D"/>
    <w:rsid w:val="00155A2B"/>
    <w:rsid w:val="001567BB"/>
    <w:rsid w:val="0015698F"/>
    <w:rsid w:val="00156E5D"/>
    <w:rsid w:val="001603B7"/>
    <w:rsid w:val="0016102B"/>
    <w:rsid w:val="0016116D"/>
    <w:rsid w:val="00161ED7"/>
    <w:rsid w:val="00162E4F"/>
    <w:rsid w:val="001631DA"/>
    <w:rsid w:val="001647FF"/>
    <w:rsid w:val="0016497A"/>
    <w:rsid w:val="00165526"/>
    <w:rsid w:val="00165A41"/>
    <w:rsid w:val="001668D8"/>
    <w:rsid w:val="001678CD"/>
    <w:rsid w:val="001713FB"/>
    <w:rsid w:val="00171FE4"/>
    <w:rsid w:val="00174109"/>
    <w:rsid w:val="0017434A"/>
    <w:rsid w:val="00174D48"/>
    <w:rsid w:val="00175401"/>
    <w:rsid w:val="00177094"/>
    <w:rsid w:val="00177852"/>
    <w:rsid w:val="00177D4A"/>
    <w:rsid w:val="0018059E"/>
    <w:rsid w:val="001806CE"/>
    <w:rsid w:val="00180F76"/>
    <w:rsid w:val="00181AD0"/>
    <w:rsid w:val="00182433"/>
    <w:rsid w:val="00182CF1"/>
    <w:rsid w:val="0018621C"/>
    <w:rsid w:val="00186708"/>
    <w:rsid w:val="0019067C"/>
    <w:rsid w:val="0019082A"/>
    <w:rsid w:val="00190EAB"/>
    <w:rsid w:val="00191CD7"/>
    <w:rsid w:val="00194050"/>
    <w:rsid w:val="00194CC1"/>
    <w:rsid w:val="00195FD1"/>
    <w:rsid w:val="001968CD"/>
    <w:rsid w:val="001A08FA"/>
    <w:rsid w:val="001A19F9"/>
    <w:rsid w:val="001A2F0B"/>
    <w:rsid w:val="001A3D7F"/>
    <w:rsid w:val="001A434A"/>
    <w:rsid w:val="001A4CAA"/>
    <w:rsid w:val="001A5080"/>
    <w:rsid w:val="001A57F9"/>
    <w:rsid w:val="001A5908"/>
    <w:rsid w:val="001A5AE3"/>
    <w:rsid w:val="001A609B"/>
    <w:rsid w:val="001A653A"/>
    <w:rsid w:val="001A6C67"/>
    <w:rsid w:val="001B16D0"/>
    <w:rsid w:val="001B1970"/>
    <w:rsid w:val="001B219E"/>
    <w:rsid w:val="001B23B7"/>
    <w:rsid w:val="001B28A9"/>
    <w:rsid w:val="001B35B2"/>
    <w:rsid w:val="001B367D"/>
    <w:rsid w:val="001B383B"/>
    <w:rsid w:val="001B3B5F"/>
    <w:rsid w:val="001B4518"/>
    <w:rsid w:val="001B50E9"/>
    <w:rsid w:val="001B6C81"/>
    <w:rsid w:val="001B7551"/>
    <w:rsid w:val="001B7DE1"/>
    <w:rsid w:val="001C06FF"/>
    <w:rsid w:val="001C1380"/>
    <w:rsid w:val="001C15DD"/>
    <w:rsid w:val="001C18B0"/>
    <w:rsid w:val="001C1BE8"/>
    <w:rsid w:val="001C1C3A"/>
    <w:rsid w:val="001C1F8D"/>
    <w:rsid w:val="001C2A03"/>
    <w:rsid w:val="001C2F88"/>
    <w:rsid w:val="001C33D3"/>
    <w:rsid w:val="001C563D"/>
    <w:rsid w:val="001C5665"/>
    <w:rsid w:val="001C5889"/>
    <w:rsid w:val="001C59E5"/>
    <w:rsid w:val="001C617A"/>
    <w:rsid w:val="001C6208"/>
    <w:rsid w:val="001C7270"/>
    <w:rsid w:val="001D002A"/>
    <w:rsid w:val="001D1462"/>
    <w:rsid w:val="001D1878"/>
    <w:rsid w:val="001D190A"/>
    <w:rsid w:val="001D1D6D"/>
    <w:rsid w:val="001D2278"/>
    <w:rsid w:val="001D26BA"/>
    <w:rsid w:val="001D2E7B"/>
    <w:rsid w:val="001D4188"/>
    <w:rsid w:val="001D520E"/>
    <w:rsid w:val="001D5809"/>
    <w:rsid w:val="001D5E22"/>
    <w:rsid w:val="001D6E51"/>
    <w:rsid w:val="001E0B30"/>
    <w:rsid w:val="001E264B"/>
    <w:rsid w:val="001E28A4"/>
    <w:rsid w:val="001E2F50"/>
    <w:rsid w:val="001E56C7"/>
    <w:rsid w:val="001E5BE7"/>
    <w:rsid w:val="001E7A60"/>
    <w:rsid w:val="001F0359"/>
    <w:rsid w:val="001F0C4C"/>
    <w:rsid w:val="001F1BB0"/>
    <w:rsid w:val="001F2A28"/>
    <w:rsid w:val="001F3C9E"/>
    <w:rsid w:val="001F3D0F"/>
    <w:rsid w:val="001F4349"/>
    <w:rsid w:val="001F4CDF"/>
    <w:rsid w:val="001F4DA2"/>
    <w:rsid w:val="001F52D2"/>
    <w:rsid w:val="001F5522"/>
    <w:rsid w:val="001F58ED"/>
    <w:rsid w:val="001F5D19"/>
    <w:rsid w:val="001F6C95"/>
    <w:rsid w:val="001F6D9E"/>
    <w:rsid w:val="001F6F71"/>
    <w:rsid w:val="00200222"/>
    <w:rsid w:val="00204511"/>
    <w:rsid w:val="0020461D"/>
    <w:rsid w:val="00206727"/>
    <w:rsid w:val="0020758F"/>
    <w:rsid w:val="002077DA"/>
    <w:rsid w:val="002100FE"/>
    <w:rsid w:val="0021158A"/>
    <w:rsid w:val="002119A9"/>
    <w:rsid w:val="00213946"/>
    <w:rsid w:val="002147DA"/>
    <w:rsid w:val="00215578"/>
    <w:rsid w:val="00215605"/>
    <w:rsid w:val="002202B5"/>
    <w:rsid w:val="0022047A"/>
    <w:rsid w:val="0022097E"/>
    <w:rsid w:val="00221640"/>
    <w:rsid w:val="00221DD4"/>
    <w:rsid w:val="002225D0"/>
    <w:rsid w:val="0022286E"/>
    <w:rsid w:val="0022427B"/>
    <w:rsid w:val="002249FF"/>
    <w:rsid w:val="0022600D"/>
    <w:rsid w:val="002270FF"/>
    <w:rsid w:val="00227BDE"/>
    <w:rsid w:val="00230904"/>
    <w:rsid w:val="00230D1C"/>
    <w:rsid w:val="00231839"/>
    <w:rsid w:val="00231A5A"/>
    <w:rsid w:val="00233326"/>
    <w:rsid w:val="002333BA"/>
    <w:rsid w:val="00233F5D"/>
    <w:rsid w:val="00235836"/>
    <w:rsid w:val="00237599"/>
    <w:rsid w:val="00237A65"/>
    <w:rsid w:val="00240A53"/>
    <w:rsid w:val="00240D3F"/>
    <w:rsid w:val="002410DA"/>
    <w:rsid w:val="002422E0"/>
    <w:rsid w:val="002429BA"/>
    <w:rsid w:val="00243663"/>
    <w:rsid w:val="00243A7F"/>
    <w:rsid w:val="002450F2"/>
    <w:rsid w:val="00245274"/>
    <w:rsid w:val="002457B1"/>
    <w:rsid w:val="002470FD"/>
    <w:rsid w:val="00247719"/>
    <w:rsid w:val="0025018F"/>
    <w:rsid w:val="0025049B"/>
    <w:rsid w:val="002506B2"/>
    <w:rsid w:val="00250987"/>
    <w:rsid w:val="002511FF"/>
    <w:rsid w:val="00251B6F"/>
    <w:rsid w:val="0025382C"/>
    <w:rsid w:val="00253954"/>
    <w:rsid w:val="00254EDF"/>
    <w:rsid w:val="00255984"/>
    <w:rsid w:val="00255E41"/>
    <w:rsid w:val="00257457"/>
    <w:rsid w:val="00257D9A"/>
    <w:rsid w:val="0026092A"/>
    <w:rsid w:val="002616A6"/>
    <w:rsid w:val="00261BA4"/>
    <w:rsid w:val="002628DB"/>
    <w:rsid w:val="0026368F"/>
    <w:rsid w:val="00264893"/>
    <w:rsid w:val="00264998"/>
    <w:rsid w:val="0026657A"/>
    <w:rsid w:val="002665B4"/>
    <w:rsid w:val="00267A43"/>
    <w:rsid w:val="00267F30"/>
    <w:rsid w:val="002714EB"/>
    <w:rsid w:val="002718E8"/>
    <w:rsid w:val="00271F23"/>
    <w:rsid w:val="0027209B"/>
    <w:rsid w:val="002720DE"/>
    <w:rsid w:val="002729C0"/>
    <w:rsid w:val="002744EE"/>
    <w:rsid w:val="00274525"/>
    <w:rsid w:val="00274E82"/>
    <w:rsid w:val="00274FB2"/>
    <w:rsid w:val="00275738"/>
    <w:rsid w:val="002762A7"/>
    <w:rsid w:val="00277909"/>
    <w:rsid w:val="00277A51"/>
    <w:rsid w:val="002824DF"/>
    <w:rsid w:val="00282976"/>
    <w:rsid w:val="00282AF3"/>
    <w:rsid w:val="00283EDF"/>
    <w:rsid w:val="00284724"/>
    <w:rsid w:val="0028642A"/>
    <w:rsid w:val="00286CE9"/>
    <w:rsid w:val="00286F24"/>
    <w:rsid w:val="0029038E"/>
    <w:rsid w:val="00290B7D"/>
    <w:rsid w:val="00290C93"/>
    <w:rsid w:val="00291569"/>
    <w:rsid w:val="002917C5"/>
    <w:rsid w:val="00292532"/>
    <w:rsid w:val="00292E1C"/>
    <w:rsid w:val="00293570"/>
    <w:rsid w:val="0029560A"/>
    <w:rsid w:val="00295D7B"/>
    <w:rsid w:val="002972FF"/>
    <w:rsid w:val="00297434"/>
    <w:rsid w:val="00297B95"/>
    <w:rsid w:val="002A0697"/>
    <w:rsid w:val="002A2715"/>
    <w:rsid w:val="002A313D"/>
    <w:rsid w:val="002A4D86"/>
    <w:rsid w:val="002A66F2"/>
    <w:rsid w:val="002A6AA8"/>
    <w:rsid w:val="002B0414"/>
    <w:rsid w:val="002B1283"/>
    <w:rsid w:val="002B1FAF"/>
    <w:rsid w:val="002B2323"/>
    <w:rsid w:val="002B2465"/>
    <w:rsid w:val="002B5A76"/>
    <w:rsid w:val="002B7386"/>
    <w:rsid w:val="002C09AE"/>
    <w:rsid w:val="002C0B2A"/>
    <w:rsid w:val="002C0E67"/>
    <w:rsid w:val="002C10A9"/>
    <w:rsid w:val="002C1FF2"/>
    <w:rsid w:val="002C25D5"/>
    <w:rsid w:val="002C34C9"/>
    <w:rsid w:val="002C381D"/>
    <w:rsid w:val="002C54F5"/>
    <w:rsid w:val="002C6181"/>
    <w:rsid w:val="002C6862"/>
    <w:rsid w:val="002C6A29"/>
    <w:rsid w:val="002C7131"/>
    <w:rsid w:val="002D00F5"/>
    <w:rsid w:val="002D13B2"/>
    <w:rsid w:val="002D1C2B"/>
    <w:rsid w:val="002D2F90"/>
    <w:rsid w:val="002D4402"/>
    <w:rsid w:val="002D45B5"/>
    <w:rsid w:val="002D5487"/>
    <w:rsid w:val="002D64A4"/>
    <w:rsid w:val="002D6690"/>
    <w:rsid w:val="002D7291"/>
    <w:rsid w:val="002E00D9"/>
    <w:rsid w:val="002E04CE"/>
    <w:rsid w:val="002E0D85"/>
    <w:rsid w:val="002E1260"/>
    <w:rsid w:val="002E2246"/>
    <w:rsid w:val="002E2535"/>
    <w:rsid w:val="002E26A8"/>
    <w:rsid w:val="002E29BE"/>
    <w:rsid w:val="002E2CF4"/>
    <w:rsid w:val="002E3928"/>
    <w:rsid w:val="002E60CA"/>
    <w:rsid w:val="002E6C71"/>
    <w:rsid w:val="002F06DE"/>
    <w:rsid w:val="002F079A"/>
    <w:rsid w:val="002F0AF8"/>
    <w:rsid w:val="002F1349"/>
    <w:rsid w:val="002F205D"/>
    <w:rsid w:val="002F270A"/>
    <w:rsid w:val="002F409C"/>
    <w:rsid w:val="002F4ACE"/>
    <w:rsid w:val="002F5070"/>
    <w:rsid w:val="002F610D"/>
    <w:rsid w:val="002F63E3"/>
    <w:rsid w:val="002F6591"/>
    <w:rsid w:val="002F7727"/>
    <w:rsid w:val="002F7A23"/>
    <w:rsid w:val="002F7B74"/>
    <w:rsid w:val="002F7FB0"/>
    <w:rsid w:val="00300506"/>
    <w:rsid w:val="00300DA5"/>
    <w:rsid w:val="003016F0"/>
    <w:rsid w:val="00301D50"/>
    <w:rsid w:val="00301E8E"/>
    <w:rsid w:val="00303E7B"/>
    <w:rsid w:val="0030405E"/>
    <w:rsid w:val="003054C5"/>
    <w:rsid w:val="00306E28"/>
    <w:rsid w:val="00307899"/>
    <w:rsid w:val="003101E1"/>
    <w:rsid w:val="00310992"/>
    <w:rsid w:val="00310D6B"/>
    <w:rsid w:val="00311014"/>
    <w:rsid w:val="0031119E"/>
    <w:rsid w:val="003114A6"/>
    <w:rsid w:val="00311857"/>
    <w:rsid w:val="00311ABE"/>
    <w:rsid w:val="00311BBE"/>
    <w:rsid w:val="00311CE7"/>
    <w:rsid w:val="003122E5"/>
    <w:rsid w:val="00312498"/>
    <w:rsid w:val="003135AB"/>
    <w:rsid w:val="00316842"/>
    <w:rsid w:val="00316D92"/>
    <w:rsid w:val="0031703F"/>
    <w:rsid w:val="00320105"/>
    <w:rsid w:val="0032029E"/>
    <w:rsid w:val="003204A1"/>
    <w:rsid w:val="003209F9"/>
    <w:rsid w:val="00321766"/>
    <w:rsid w:val="00324C50"/>
    <w:rsid w:val="00325688"/>
    <w:rsid w:val="00325997"/>
    <w:rsid w:val="003271B2"/>
    <w:rsid w:val="003271B7"/>
    <w:rsid w:val="003275FF"/>
    <w:rsid w:val="00327B64"/>
    <w:rsid w:val="0033057F"/>
    <w:rsid w:val="003306E6"/>
    <w:rsid w:val="003312BD"/>
    <w:rsid w:val="00331400"/>
    <w:rsid w:val="00334308"/>
    <w:rsid w:val="00334940"/>
    <w:rsid w:val="003358D9"/>
    <w:rsid w:val="00336514"/>
    <w:rsid w:val="00336B00"/>
    <w:rsid w:val="00336CB5"/>
    <w:rsid w:val="003373B6"/>
    <w:rsid w:val="003376BE"/>
    <w:rsid w:val="003378B6"/>
    <w:rsid w:val="00340F0D"/>
    <w:rsid w:val="0034221B"/>
    <w:rsid w:val="00344E40"/>
    <w:rsid w:val="00345B75"/>
    <w:rsid w:val="00345C8F"/>
    <w:rsid w:val="003464C5"/>
    <w:rsid w:val="00347723"/>
    <w:rsid w:val="003502A8"/>
    <w:rsid w:val="00351E0A"/>
    <w:rsid w:val="0035274D"/>
    <w:rsid w:val="00352DD8"/>
    <w:rsid w:val="00354767"/>
    <w:rsid w:val="003568B1"/>
    <w:rsid w:val="00357AB9"/>
    <w:rsid w:val="00357F5D"/>
    <w:rsid w:val="00362EB6"/>
    <w:rsid w:val="0036327D"/>
    <w:rsid w:val="00363F33"/>
    <w:rsid w:val="0036420D"/>
    <w:rsid w:val="00364F21"/>
    <w:rsid w:val="00365F63"/>
    <w:rsid w:val="00366097"/>
    <w:rsid w:val="00366CDD"/>
    <w:rsid w:val="00367465"/>
    <w:rsid w:val="003701BD"/>
    <w:rsid w:val="00372379"/>
    <w:rsid w:val="0037332F"/>
    <w:rsid w:val="0037347A"/>
    <w:rsid w:val="003741FE"/>
    <w:rsid w:val="00374417"/>
    <w:rsid w:val="00374747"/>
    <w:rsid w:val="003748CB"/>
    <w:rsid w:val="00374C8E"/>
    <w:rsid w:val="00375900"/>
    <w:rsid w:val="00375DDB"/>
    <w:rsid w:val="00376E23"/>
    <w:rsid w:val="0038005B"/>
    <w:rsid w:val="003814D0"/>
    <w:rsid w:val="003814D7"/>
    <w:rsid w:val="00382F02"/>
    <w:rsid w:val="00383E22"/>
    <w:rsid w:val="00383EFC"/>
    <w:rsid w:val="0038442B"/>
    <w:rsid w:val="00384B2F"/>
    <w:rsid w:val="0038653D"/>
    <w:rsid w:val="00386A58"/>
    <w:rsid w:val="0038724B"/>
    <w:rsid w:val="003872BF"/>
    <w:rsid w:val="00387756"/>
    <w:rsid w:val="00387D84"/>
    <w:rsid w:val="00387E6C"/>
    <w:rsid w:val="0039158C"/>
    <w:rsid w:val="0039177C"/>
    <w:rsid w:val="003923C6"/>
    <w:rsid w:val="00392405"/>
    <w:rsid w:val="00392A85"/>
    <w:rsid w:val="00393C3E"/>
    <w:rsid w:val="00393C99"/>
    <w:rsid w:val="00393E4D"/>
    <w:rsid w:val="00394037"/>
    <w:rsid w:val="0039559E"/>
    <w:rsid w:val="003956F7"/>
    <w:rsid w:val="00395BD1"/>
    <w:rsid w:val="00395EA8"/>
    <w:rsid w:val="003A0275"/>
    <w:rsid w:val="003A037C"/>
    <w:rsid w:val="003A1362"/>
    <w:rsid w:val="003A1658"/>
    <w:rsid w:val="003A2816"/>
    <w:rsid w:val="003A29BE"/>
    <w:rsid w:val="003A305F"/>
    <w:rsid w:val="003A3C89"/>
    <w:rsid w:val="003A45A2"/>
    <w:rsid w:val="003A64EA"/>
    <w:rsid w:val="003A6D31"/>
    <w:rsid w:val="003B0476"/>
    <w:rsid w:val="003B2850"/>
    <w:rsid w:val="003B3DED"/>
    <w:rsid w:val="003B4DA5"/>
    <w:rsid w:val="003B725F"/>
    <w:rsid w:val="003B7F1C"/>
    <w:rsid w:val="003C0545"/>
    <w:rsid w:val="003C080C"/>
    <w:rsid w:val="003C08FD"/>
    <w:rsid w:val="003C1133"/>
    <w:rsid w:val="003C2A76"/>
    <w:rsid w:val="003C3E2B"/>
    <w:rsid w:val="003C4AE2"/>
    <w:rsid w:val="003C62F5"/>
    <w:rsid w:val="003C65E7"/>
    <w:rsid w:val="003C742B"/>
    <w:rsid w:val="003D057D"/>
    <w:rsid w:val="003D0C4C"/>
    <w:rsid w:val="003D134E"/>
    <w:rsid w:val="003D1961"/>
    <w:rsid w:val="003D1F16"/>
    <w:rsid w:val="003D20B2"/>
    <w:rsid w:val="003D2AAD"/>
    <w:rsid w:val="003D367F"/>
    <w:rsid w:val="003D47D0"/>
    <w:rsid w:val="003D5ECA"/>
    <w:rsid w:val="003D66C7"/>
    <w:rsid w:val="003D707F"/>
    <w:rsid w:val="003E0062"/>
    <w:rsid w:val="003E03D6"/>
    <w:rsid w:val="003E054D"/>
    <w:rsid w:val="003E0872"/>
    <w:rsid w:val="003E0A22"/>
    <w:rsid w:val="003E1AD0"/>
    <w:rsid w:val="003E33B5"/>
    <w:rsid w:val="003E3554"/>
    <w:rsid w:val="003E35D8"/>
    <w:rsid w:val="003E41BB"/>
    <w:rsid w:val="003E45EB"/>
    <w:rsid w:val="003E7DB8"/>
    <w:rsid w:val="003E7FA5"/>
    <w:rsid w:val="003F1038"/>
    <w:rsid w:val="003F134A"/>
    <w:rsid w:val="003F14B8"/>
    <w:rsid w:val="003F1E51"/>
    <w:rsid w:val="003F2037"/>
    <w:rsid w:val="003F2075"/>
    <w:rsid w:val="003F3074"/>
    <w:rsid w:val="003F325A"/>
    <w:rsid w:val="003F3B30"/>
    <w:rsid w:val="003F4271"/>
    <w:rsid w:val="003F4AA0"/>
    <w:rsid w:val="003F4E70"/>
    <w:rsid w:val="003F5F35"/>
    <w:rsid w:val="003F660F"/>
    <w:rsid w:val="003F6691"/>
    <w:rsid w:val="003F788B"/>
    <w:rsid w:val="003F7B1A"/>
    <w:rsid w:val="00400A81"/>
    <w:rsid w:val="00400EC5"/>
    <w:rsid w:val="00400F67"/>
    <w:rsid w:val="00400FF9"/>
    <w:rsid w:val="00403244"/>
    <w:rsid w:val="004035C1"/>
    <w:rsid w:val="00404C02"/>
    <w:rsid w:val="004059E0"/>
    <w:rsid w:val="00407100"/>
    <w:rsid w:val="00411936"/>
    <w:rsid w:val="00411E0E"/>
    <w:rsid w:val="00411F2A"/>
    <w:rsid w:val="00411FDF"/>
    <w:rsid w:val="0041296B"/>
    <w:rsid w:val="00416001"/>
    <w:rsid w:val="004160C7"/>
    <w:rsid w:val="00416BB6"/>
    <w:rsid w:val="004170CE"/>
    <w:rsid w:val="0042014B"/>
    <w:rsid w:val="00420162"/>
    <w:rsid w:val="00420322"/>
    <w:rsid w:val="00420A23"/>
    <w:rsid w:val="00421B7C"/>
    <w:rsid w:val="00421D18"/>
    <w:rsid w:val="0042214E"/>
    <w:rsid w:val="0042334A"/>
    <w:rsid w:val="0042436E"/>
    <w:rsid w:val="004246F0"/>
    <w:rsid w:val="00424793"/>
    <w:rsid w:val="00424D1C"/>
    <w:rsid w:val="00425E76"/>
    <w:rsid w:val="00426520"/>
    <w:rsid w:val="004305B6"/>
    <w:rsid w:val="00433119"/>
    <w:rsid w:val="00433EE5"/>
    <w:rsid w:val="00434296"/>
    <w:rsid w:val="004348E5"/>
    <w:rsid w:val="00437034"/>
    <w:rsid w:val="004378B8"/>
    <w:rsid w:val="00440081"/>
    <w:rsid w:val="004406A8"/>
    <w:rsid w:val="00440B47"/>
    <w:rsid w:val="0044195B"/>
    <w:rsid w:val="00441AB2"/>
    <w:rsid w:val="00441F95"/>
    <w:rsid w:val="004432C8"/>
    <w:rsid w:val="004433DA"/>
    <w:rsid w:val="004441B2"/>
    <w:rsid w:val="00444FB7"/>
    <w:rsid w:val="00447518"/>
    <w:rsid w:val="00447612"/>
    <w:rsid w:val="004504A6"/>
    <w:rsid w:val="0045092A"/>
    <w:rsid w:val="00451608"/>
    <w:rsid w:val="00452883"/>
    <w:rsid w:val="004529D8"/>
    <w:rsid w:val="00452CAA"/>
    <w:rsid w:val="00452CAC"/>
    <w:rsid w:val="004538AA"/>
    <w:rsid w:val="0045392E"/>
    <w:rsid w:val="00453E02"/>
    <w:rsid w:val="00455B5B"/>
    <w:rsid w:val="00456C91"/>
    <w:rsid w:val="00456DFA"/>
    <w:rsid w:val="00457219"/>
    <w:rsid w:val="00457441"/>
    <w:rsid w:val="004578CE"/>
    <w:rsid w:val="00460215"/>
    <w:rsid w:val="00460471"/>
    <w:rsid w:val="00460C0D"/>
    <w:rsid w:val="004612E3"/>
    <w:rsid w:val="00461E13"/>
    <w:rsid w:val="00462481"/>
    <w:rsid w:val="0046271A"/>
    <w:rsid w:val="004647F6"/>
    <w:rsid w:val="00465650"/>
    <w:rsid w:val="00465DC0"/>
    <w:rsid w:val="004668C7"/>
    <w:rsid w:val="0046766E"/>
    <w:rsid w:val="00467FCE"/>
    <w:rsid w:val="004704EF"/>
    <w:rsid w:val="004705C6"/>
    <w:rsid w:val="004729CB"/>
    <w:rsid w:val="0047376F"/>
    <w:rsid w:val="00473C4B"/>
    <w:rsid w:val="00474B94"/>
    <w:rsid w:val="00474F4B"/>
    <w:rsid w:val="00475136"/>
    <w:rsid w:val="00477016"/>
    <w:rsid w:val="00480C34"/>
    <w:rsid w:val="00480F72"/>
    <w:rsid w:val="00483671"/>
    <w:rsid w:val="0048537E"/>
    <w:rsid w:val="004854DD"/>
    <w:rsid w:val="00485FED"/>
    <w:rsid w:val="004864A1"/>
    <w:rsid w:val="00487B06"/>
    <w:rsid w:val="00487B33"/>
    <w:rsid w:val="0049084F"/>
    <w:rsid w:val="00491371"/>
    <w:rsid w:val="00491756"/>
    <w:rsid w:val="004926AF"/>
    <w:rsid w:val="00493015"/>
    <w:rsid w:val="00493A6B"/>
    <w:rsid w:val="0049457B"/>
    <w:rsid w:val="0049781A"/>
    <w:rsid w:val="004A0A63"/>
    <w:rsid w:val="004A1004"/>
    <w:rsid w:val="004A35B3"/>
    <w:rsid w:val="004A436F"/>
    <w:rsid w:val="004A5514"/>
    <w:rsid w:val="004A59EC"/>
    <w:rsid w:val="004A5E38"/>
    <w:rsid w:val="004B09B1"/>
    <w:rsid w:val="004B0DC2"/>
    <w:rsid w:val="004B129E"/>
    <w:rsid w:val="004B21EA"/>
    <w:rsid w:val="004B2E70"/>
    <w:rsid w:val="004B3399"/>
    <w:rsid w:val="004B4757"/>
    <w:rsid w:val="004B4BE8"/>
    <w:rsid w:val="004B4DF6"/>
    <w:rsid w:val="004B5399"/>
    <w:rsid w:val="004B6144"/>
    <w:rsid w:val="004B6753"/>
    <w:rsid w:val="004B7284"/>
    <w:rsid w:val="004B7CDA"/>
    <w:rsid w:val="004C0E50"/>
    <w:rsid w:val="004C1440"/>
    <w:rsid w:val="004C2189"/>
    <w:rsid w:val="004C22AB"/>
    <w:rsid w:val="004C28EA"/>
    <w:rsid w:val="004C2EC5"/>
    <w:rsid w:val="004C5670"/>
    <w:rsid w:val="004C62A0"/>
    <w:rsid w:val="004C756A"/>
    <w:rsid w:val="004D0741"/>
    <w:rsid w:val="004D1A91"/>
    <w:rsid w:val="004D2264"/>
    <w:rsid w:val="004D3039"/>
    <w:rsid w:val="004D3972"/>
    <w:rsid w:val="004D6D56"/>
    <w:rsid w:val="004D6FB2"/>
    <w:rsid w:val="004D70DC"/>
    <w:rsid w:val="004D713D"/>
    <w:rsid w:val="004D78BC"/>
    <w:rsid w:val="004E152C"/>
    <w:rsid w:val="004E22A2"/>
    <w:rsid w:val="004E22C3"/>
    <w:rsid w:val="004E2ADB"/>
    <w:rsid w:val="004E2C6A"/>
    <w:rsid w:val="004E33CF"/>
    <w:rsid w:val="004E344B"/>
    <w:rsid w:val="004E3CA7"/>
    <w:rsid w:val="004E4468"/>
    <w:rsid w:val="004E46C8"/>
    <w:rsid w:val="004E4AEF"/>
    <w:rsid w:val="004E4DCF"/>
    <w:rsid w:val="004E5E7F"/>
    <w:rsid w:val="004E6CA7"/>
    <w:rsid w:val="004E7570"/>
    <w:rsid w:val="004F158D"/>
    <w:rsid w:val="004F15A5"/>
    <w:rsid w:val="004F240F"/>
    <w:rsid w:val="004F2D19"/>
    <w:rsid w:val="004F2EB6"/>
    <w:rsid w:val="004F4D0F"/>
    <w:rsid w:val="004F5159"/>
    <w:rsid w:val="004F68B4"/>
    <w:rsid w:val="004F69EA"/>
    <w:rsid w:val="004F7489"/>
    <w:rsid w:val="005001AC"/>
    <w:rsid w:val="00500351"/>
    <w:rsid w:val="005017C5"/>
    <w:rsid w:val="00501BDD"/>
    <w:rsid w:val="00502261"/>
    <w:rsid w:val="00502E07"/>
    <w:rsid w:val="005035FF"/>
    <w:rsid w:val="00503691"/>
    <w:rsid w:val="005039BC"/>
    <w:rsid w:val="0050538A"/>
    <w:rsid w:val="00506EE7"/>
    <w:rsid w:val="00507580"/>
    <w:rsid w:val="00510098"/>
    <w:rsid w:val="0051041F"/>
    <w:rsid w:val="005105E7"/>
    <w:rsid w:val="00510F3A"/>
    <w:rsid w:val="00511258"/>
    <w:rsid w:val="00511F99"/>
    <w:rsid w:val="0051265E"/>
    <w:rsid w:val="005127F9"/>
    <w:rsid w:val="00512B13"/>
    <w:rsid w:val="00512D69"/>
    <w:rsid w:val="005142F0"/>
    <w:rsid w:val="00515316"/>
    <w:rsid w:val="00515C56"/>
    <w:rsid w:val="00516078"/>
    <w:rsid w:val="0051616C"/>
    <w:rsid w:val="00516941"/>
    <w:rsid w:val="005178A4"/>
    <w:rsid w:val="00520903"/>
    <w:rsid w:val="00520B72"/>
    <w:rsid w:val="005217D5"/>
    <w:rsid w:val="005235E2"/>
    <w:rsid w:val="00523A11"/>
    <w:rsid w:val="0052426F"/>
    <w:rsid w:val="00524647"/>
    <w:rsid w:val="00524648"/>
    <w:rsid w:val="005251B2"/>
    <w:rsid w:val="00525719"/>
    <w:rsid w:val="00525E67"/>
    <w:rsid w:val="005262E1"/>
    <w:rsid w:val="005263F1"/>
    <w:rsid w:val="0052665B"/>
    <w:rsid w:val="0052716C"/>
    <w:rsid w:val="00527AEF"/>
    <w:rsid w:val="00527EDF"/>
    <w:rsid w:val="00530943"/>
    <w:rsid w:val="00532D2D"/>
    <w:rsid w:val="00533809"/>
    <w:rsid w:val="00534272"/>
    <w:rsid w:val="005353F2"/>
    <w:rsid w:val="005356DD"/>
    <w:rsid w:val="00535EBD"/>
    <w:rsid w:val="00536545"/>
    <w:rsid w:val="00536594"/>
    <w:rsid w:val="00537DF9"/>
    <w:rsid w:val="00540451"/>
    <w:rsid w:val="0054197D"/>
    <w:rsid w:val="00541D60"/>
    <w:rsid w:val="00542190"/>
    <w:rsid w:val="00542851"/>
    <w:rsid w:val="00542F1E"/>
    <w:rsid w:val="0054339C"/>
    <w:rsid w:val="00543983"/>
    <w:rsid w:val="005441DE"/>
    <w:rsid w:val="00545323"/>
    <w:rsid w:val="00546738"/>
    <w:rsid w:val="005467E9"/>
    <w:rsid w:val="00546A79"/>
    <w:rsid w:val="005471EA"/>
    <w:rsid w:val="00547BA3"/>
    <w:rsid w:val="00550025"/>
    <w:rsid w:val="0055155D"/>
    <w:rsid w:val="0055225B"/>
    <w:rsid w:val="00552D25"/>
    <w:rsid w:val="00554741"/>
    <w:rsid w:val="00554962"/>
    <w:rsid w:val="00554AAF"/>
    <w:rsid w:val="00555E2A"/>
    <w:rsid w:val="00557000"/>
    <w:rsid w:val="00557CA2"/>
    <w:rsid w:val="0056123D"/>
    <w:rsid w:val="00562A25"/>
    <w:rsid w:val="00562ACD"/>
    <w:rsid w:val="00563700"/>
    <w:rsid w:val="00563D38"/>
    <w:rsid w:val="00563EC5"/>
    <w:rsid w:val="005644A4"/>
    <w:rsid w:val="005646A1"/>
    <w:rsid w:val="005677A6"/>
    <w:rsid w:val="0057078B"/>
    <w:rsid w:val="00571037"/>
    <w:rsid w:val="00571DF6"/>
    <w:rsid w:val="00572A91"/>
    <w:rsid w:val="00572FDA"/>
    <w:rsid w:val="00573D08"/>
    <w:rsid w:val="005745F5"/>
    <w:rsid w:val="00574CD1"/>
    <w:rsid w:val="005758F6"/>
    <w:rsid w:val="00575946"/>
    <w:rsid w:val="0057595C"/>
    <w:rsid w:val="00576439"/>
    <w:rsid w:val="00576DAC"/>
    <w:rsid w:val="005779CA"/>
    <w:rsid w:val="00582E9B"/>
    <w:rsid w:val="00583923"/>
    <w:rsid w:val="00583C7D"/>
    <w:rsid w:val="00584728"/>
    <w:rsid w:val="0058488D"/>
    <w:rsid w:val="00584F66"/>
    <w:rsid w:val="00587311"/>
    <w:rsid w:val="005904B5"/>
    <w:rsid w:val="00592673"/>
    <w:rsid w:val="00592CB5"/>
    <w:rsid w:val="005939B8"/>
    <w:rsid w:val="00594C0D"/>
    <w:rsid w:val="00594E74"/>
    <w:rsid w:val="00595A8A"/>
    <w:rsid w:val="0059612C"/>
    <w:rsid w:val="005967C5"/>
    <w:rsid w:val="00597590"/>
    <w:rsid w:val="00597923"/>
    <w:rsid w:val="005A0082"/>
    <w:rsid w:val="005A04E2"/>
    <w:rsid w:val="005A0ABF"/>
    <w:rsid w:val="005A220C"/>
    <w:rsid w:val="005A289A"/>
    <w:rsid w:val="005A324A"/>
    <w:rsid w:val="005A38AE"/>
    <w:rsid w:val="005A395B"/>
    <w:rsid w:val="005A4098"/>
    <w:rsid w:val="005A414F"/>
    <w:rsid w:val="005A4D75"/>
    <w:rsid w:val="005A5089"/>
    <w:rsid w:val="005A7ED2"/>
    <w:rsid w:val="005B065B"/>
    <w:rsid w:val="005B0774"/>
    <w:rsid w:val="005B18E4"/>
    <w:rsid w:val="005B2CD1"/>
    <w:rsid w:val="005B3758"/>
    <w:rsid w:val="005B3FFE"/>
    <w:rsid w:val="005B4276"/>
    <w:rsid w:val="005B675E"/>
    <w:rsid w:val="005B72EF"/>
    <w:rsid w:val="005B7BBD"/>
    <w:rsid w:val="005C09B0"/>
    <w:rsid w:val="005C1E4D"/>
    <w:rsid w:val="005C30A4"/>
    <w:rsid w:val="005C3A2A"/>
    <w:rsid w:val="005C3F7B"/>
    <w:rsid w:val="005C4739"/>
    <w:rsid w:val="005C48CA"/>
    <w:rsid w:val="005C499C"/>
    <w:rsid w:val="005C5C79"/>
    <w:rsid w:val="005C606F"/>
    <w:rsid w:val="005C6596"/>
    <w:rsid w:val="005C69EF"/>
    <w:rsid w:val="005C77FB"/>
    <w:rsid w:val="005D2B81"/>
    <w:rsid w:val="005D334E"/>
    <w:rsid w:val="005D3D7E"/>
    <w:rsid w:val="005D4218"/>
    <w:rsid w:val="005D4D24"/>
    <w:rsid w:val="005D56E5"/>
    <w:rsid w:val="005D5A0C"/>
    <w:rsid w:val="005D5BAD"/>
    <w:rsid w:val="005D6817"/>
    <w:rsid w:val="005D6C9F"/>
    <w:rsid w:val="005D74B5"/>
    <w:rsid w:val="005E132A"/>
    <w:rsid w:val="005E16F7"/>
    <w:rsid w:val="005E2E1A"/>
    <w:rsid w:val="005E33B5"/>
    <w:rsid w:val="005E497B"/>
    <w:rsid w:val="005E5044"/>
    <w:rsid w:val="005E544B"/>
    <w:rsid w:val="005E60AF"/>
    <w:rsid w:val="005E6D64"/>
    <w:rsid w:val="005E79E8"/>
    <w:rsid w:val="005F0E6D"/>
    <w:rsid w:val="005F2DAC"/>
    <w:rsid w:val="005F2FF6"/>
    <w:rsid w:val="005F3DA4"/>
    <w:rsid w:val="005F448F"/>
    <w:rsid w:val="005F4889"/>
    <w:rsid w:val="005F4A66"/>
    <w:rsid w:val="005F526D"/>
    <w:rsid w:val="005F5492"/>
    <w:rsid w:val="005F6638"/>
    <w:rsid w:val="005F7130"/>
    <w:rsid w:val="005F75CC"/>
    <w:rsid w:val="005F76D4"/>
    <w:rsid w:val="005F7D6B"/>
    <w:rsid w:val="0060031B"/>
    <w:rsid w:val="006004D6"/>
    <w:rsid w:val="00601540"/>
    <w:rsid w:val="0060197A"/>
    <w:rsid w:val="0060201F"/>
    <w:rsid w:val="0060205D"/>
    <w:rsid w:val="0060296F"/>
    <w:rsid w:val="00603DEB"/>
    <w:rsid w:val="006043BC"/>
    <w:rsid w:val="00605129"/>
    <w:rsid w:val="006063CB"/>
    <w:rsid w:val="0060682A"/>
    <w:rsid w:val="006068BE"/>
    <w:rsid w:val="0060697B"/>
    <w:rsid w:val="00607129"/>
    <w:rsid w:val="00607FA6"/>
    <w:rsid w:val="0061065C"/>
    <w:rsid w:val="00610D0A"/>
    <w:rsid w:val="006114FF"/>
    <w:rsid w:val="0061348F"/>
    <w:rsid w:val="00614665"/>
    <w:rsid w:val="0061488E"/>
    <w:rsid w:val="00615F4E"/>
    <w:rsid w:val="006164CF"/>
    <w:rsid w:val="00616603"/>
    <w:rsid w:val="0061722F"/>
    <w:rsid w:val="006216EF"/>
    <w:rsid w:val="006222A0"/>
    <w:rsid w:val="00622D53"/>
    <w:rsid w:val="00623CB0"/>
    <w:rsid w:val="00623D71"/>
    <w:rsid w:val="00625F79"/>
    <w:rsid w:val="0062739C"/>
    <w:rsid w:val="00627649"/>
    <w:rsid w:val="0062764C"/>
    <w:rsid w:val="00627EB5"/>
    <w:rsid w:val="006309AC"/>
    <w:rsid w:val="006323EA"/>
    <w:rsid w:val="006325EF"/>
    <w:rsid w:val="00635D7C"/>
    <w:rsid w:val="006361FE"/>
    <w:rsid w:val="00636395"/>
    <w:rsid w:val="0063723E"/>
    <w:rsid w:val="00637A12"/>
    <w:rsid w:val="00637EBA"/>
    <w:rsid w:val="00641A78"/>
    <w:rsid w:val="006428AD"/>
    <w:rsid w:val="00642CE9"/>
    <w:rsid w:val="00643222"/>
    <w:rsid w:val="00644344"/>
    <w:rsid w:val="00644810"/>
    <w:rsid w:val="00644E1A"/>
    <w:rsid w:val="00645350"/>
    <w:rsid w:val="0064577F"/>
    <w:rsid w:val="00645B9B"/>
    <w:rsid w:val="0064695D"/>
    <w:rsid w:val="00646EE3"/>
    <w:rsid w:val="00647EAC"/>
    <w:rsid w:val="00650507"/>
    <w:rsid w:val="006508FC"/>
    <w:rsid w:val="00650B85"/>
    <w:rsid w:val="006515AC"/>
    <w:rsid w:val="00651625"/>
    <w:rsid w:val="006528FB"/>
    <w:rsid w:val="00652BF0"/>
    <w:rsid w:val="006547A0"/>
    <w:rsid w:val="00656F1D"/>
    <w:rsid w:val="00656FDD"/>
    <w:rsid w:val="00660046"/>
    <w:rsid w:val="0066298F"/>
    <w:rsid w:val="00662E1A"/>
    <w:rsid w:val="00663160"/>
    <w:rsid w:val="006634F6"/>
    <w:rsid w:val="00663A6A"/>
    <w:rsid w:val="00664013"/>
    <w:rsid w:val="00664482"/>
    <w:rsid w:val="006645D5"/>
    <w:rsid w:val="006648D0"/>
    <w:rsid w:val="00664ABE"/>
    <w:rsid w:val="0066724F"/>
    <w:rsid w:val="006672D1"/>
    <w:rsid w:val="00671182"/>
    <w:rsid w:val="00671D64"/>
    <w:rsid w:val="006728B9"/>
    <w:rsid w:val="00673952"/>
    <w:rsid w:val="00674346"/>
    <w:rsid w:val="006744D3"/>
    <w:rsid w:val="00674AAB"/>
    <w:rsid w:val="00675DAD"/>
    <w:rsid w:val="006764DB"/>
    <w:rsid w:val="006774B3"/>
    <w:rsid w:val="006801BF"/>
    <w:rsid w:val="00680234"/>
    <w:rsid w:val="00680939"/>
    <w:rsid w:val="00680CC3"/>
    <w:rsid w:val="00680D61"/>
    <w:rsid w:val="0068177A"/>
    <w:rsid w:val="00683095"/>
    <w:rsid w:val="00683497"/>
    <w:rsid w:val="00683602"/>
    <w:rsid w:val="00683F2A"/>
    <w:rsid w:val="00684499"/>
    <w:rsid w:val="0068464C"/>
    <w:rsid w:val="00684A51"/>
    <w:rsid w:val="00684B8D"/>
    <w:rsid w:val="00684C64"/>
    <w:rsid w:val="006858CE"/>
    <w:rsid w:val="00685A30"/>
    <w:rsid w:val="00687306"/>
    <w:rsid w:val="006875F3"/>
    <w:rsid w:val="006878FB"/>
    <w:rsid w:val="00687C24"/>
    <w:rsid w:val="0069023D"/>
    <w:rsid w:val="006905F6"/>
    <w:rsid w:val="0069094F"/>
    <w:rsid w:val="00691181"/>
    <w:rsid w:val="00691DA8"/>
    <w:rsid w:val="00693009"/>
    <w:rsid w:val="00693E53"/>
    <w:rsid w:val="00694217"/>
    <w:rsid w:val="00694503"/>
    <w:rsid w:val="006958A3"/>
    <w:rsid w:val="0069598C"/>
    <w:rsid w:val="006959F8"/>
    <w:rsid w:val="00695AE8"/>
    <w:rsid w:val="006967A6"/>
    <w:rsid w:val="006970E1"/>
    <w:rsid w:val="006974E0"/>
    <w:rsid w:val="006A02A4"/>
    <w:rsid w:val="006A0C24"/>
    <w:rsid w:val="006A13EA"/>
    <w:rsid w:val="006A5294"/>
    <w:rsid w:val="006A5EFE"/>
    <w:rsid w:val="006A662D"/>
    <w:rsid w:val="006A67C1"/>
    <w:rsid w:val="006A6D1D"/>
    <w:rsid w:val="006A6DD1"/>
    <w:rsid w:val="006A6ED6"/>
    <w:rsid w:val="006B067A"/>
    <w:rsid w:val="006B2083"/>
    <w:rsid w:val="006B4271"/>
    <w:rsid w:val="006B7287"/>
    <w:rsid w:val="006B7C41"/>
    <w:rsid w:val="006C0951"/>
    <w:rsid w:val="006C0A0C"/>
    <w:rsid w:val="006C14C0"/>
    <w:rsid w:val="006C4753"/>
    <w:rsid w:val="006C4AD8"/>
    <w:rsid w:val="006C4BDE"/>
    <w:rsid w:val="006C6601"/>
    <w:rsid w:val="006C79BE"/>
    <w:rsid w:val="006C7F17"/>
    <w:rsid w:val="006D0326"/>
    <w:rsid w:val="006D14CC"/>
    <w:rsid w:val="006D160C"/>
    <w:rsid w:val="006D1B8F"/>
    <w:rsid w:val="006D1F52"/>
    <w:rsid w:val="006D28A9"/>
    <w:rsid w:val="006D28DE"/>
    <w:rsid w:val="006D2C51"/>
    <w:rsid w:val="006D2D4A"/>
    <w:rsid w:val="006D2F6D"/>
    <w:rsid w:val="006D3018"/>
    <w:rsid w:val="006D37B6"/>
    <w:rsid w:val="006D488D"/>
    <w:rsid w:val="006D52C4"/>
    <w:rsid w:val="006D545F"/>
    <w:rsid w:val="006D5E9F"/>
    <w:rsid w:val="006D63F9"/>
    <w:rsid w:val="006D679A"/>
    <w:rsid w:val="006D6BE3"/>
    <w:rsid w:val="006D6CFA"/>
    <w:rsid w:val="006D72C5"/>
    <w:rsid w:val="006E00CC"/>
    <w:rsid w:val="006E0471"/>
    <w:rsid w:val="006E0FA5"/>
    <w:rsid w:val="006E2D44"/>
    <w:rsid w:val="006E2F85"/>
    <w:rsid w:val="006E3103"/>
    <w:rsid w:val="006E4B4F"/>
    <w:rsid w:val="006E4F09"/>
    <w:rsid w:val="006E50D9"/>
    <w:rsid w:val="006E51B1"/>
    <w:rsid w:val="006E56A8"/>
    <w:rsid w:val="006E58D7"/>
    <w:rsid w:val="006E6416"/>
    <w:rsid w:val="006E70F8"/>
    <w:rsid w:val="006E75ED"/>
    <w:rsid w:val="006E77A8"/>
    <w:rsid w:val="006E7CA0"/>
    <w:rsid w:val="006F0C54"/>
    <w:rsid w:val="006F0C6A"/>
    <w:rsid w:val="006F1059"/>
    <w:rsid w:val="006F24F3"/>
    <w:rsid w:val="006F4352"/>
    <w:rsid w:val="006F4E6C"/>
    <w:rsid w:val="006F6E5A"/>
    <w:rsid w:val="006F7539"/>
    <w:rsid w:val="006F79CC"/>
    <w:rsid w:val="006F79FB"/>
    <w:rsid w:val="006F7F26"/>
    <w:rsid w:val="00702774"/>
    <w:rsid w:val="00702E90"/>
    <w:rsid w:val="007035CA"/>
    <w:rsid w:val="007051EE"/>
    <w:rsid w:val="00705D47"/>
    <w:rsid w:val="00706FEC"/>
    <w:rsid w:val="00707821"/>
    <w:rsid w:val="007100AC"/>
    <w:rsid w:val="00710575"/>
    <w:rsid w:val="007105B3"/>
    <w:rsid w:val="00710CC9"/>
    <w:rsid w:val="00713785"/>
    <w:rsid w:val="00713EF6"/>
    <w:rsid w:val="00715650"/>
    <w:rsid w:val="00715CF2"/>
    <w:rsid w:val="007179A1"/>
    <w:rsid w:val="007209A9"/>
    <w:rsid w:val="0072252E"/>
    <w:rsid w:val="00723036"/>
    <w:rsid w:val="00725A91"/>
    <w:rsid w:val="007265BA"/>
    <w:rsid w:val="00727472"/>
    <w:rsid w:val="007276B8"/>
    <w:rsid w:val="0072781E"/>
    <w:rsid w:val="00727951"/>
    <w:rsid w:val="00727EFE"/>
    <w:rsid w:val="007302FF"/>
    <w:rsid w:val="00730526"/>
    <w:rsid w:val="007328CD"/>
    <w:rsid w:val="00733BB2"/>
    <w:rsid w:val="007348C2"/>
    <w:rsid w:val="007353DC"/>
    <w:rsid w:val="0073564D"/>
    <w:rsid w:val="00735F6B"/>
    <w:rsid w:val="00736741"/>
    <w:rsid w:val="007369A1"/>
    <w:rsid w:val="00737963"/>
    <w:rsid w:val="00737B49"/>
    <w:rsid w:val="00740EF2"/>
    <w:rsid w:val="007411E2"/>
    <w:rsid w:val="00741889"/>
    <w:rsid w:val="00741F62"/>
    <w:rsid w:val="007426EF"/>
    <w:rsid w:val="0074280C"/>
    <w:rsid w:val="00742E47"/>
    <w:rsid w:val="00742EC0"/>
    <w:rsid w:val="00742F52"/>
    <w:rsid w:val="0074334C"/>
    <w:rsid w:val="007438A3"/>
    <w:rsid w:val="00743B05"/>
    <w:rsid w:val="00744788"/>
    <w:rsid w:val="007448D6"/>
    <w:rsid w:val="00744AE5"/>
    <w:rsid w:val="00744D51"/>
    <w:rsid w:val="00745B4B"/>
    <w:rsid w:val="0074687D"/>
    <w:rsid w:val="00746DF3"/>
    <w:rsid w:val="007470EA"/>
    <w:rsid w:val="007471AF"/>
    <w:rsid w:val="007506C7"/>
    <w:rsid w:val="00751196"/>
    <w:rsid w:val="00751EBA"/>
    <w:rsid w:val="00752286"/>
    <w:rsid w:val="00752531"/>
    <w:rsid w:val="007528C7"/>
    <w:rsid w:val="0075297C"/>
    <w:rsid w:val="00752D61"/>
    <w:rsid w:val="00752E25"/>
    <w:rsid w:val="0075332D"/>
    <w:rsid w:val="007540BD"/>
    <w:rsid w:val="00754784"/>
    <w:rsid w:val="00755E16"/>
    <w:rsid w:val="00756ACB"/>
    <w:rsid w:val="00761812"/>
    <w:rsid w:val="007620E2"/>
    <w:rsid w:val="0076241C"/>
    <w:rsid w:val="007637B0"/>
    <w:rsid w:val="00763EF6"/>
    <w:rsid w:val="00765ABF"/>
    <w:rsid w:val="00766306"/>
    <w:rsid w:val="00766805"/>
    <w:rsid w:val="00767686"/>
    <w:rsid w:val="00767EBD"/>
    <w:rsid w:val="007700C7"/>
    <w:rsid w:val="00771197"/>
    <w:rsid w:val="0077176C"/>
    <w:rsid w:val="0077274E"/>
    <w:rsid w:val="00772D62"/>
    <w:rsid w:val="00774A91"/>
    <w:rsid w:val="00776614"/>
    <w:rsid w:val="007774D2"/>
    <w:rsid w:val="00780354"/>
    <w:rsid w:val="007807F7"/>
    <w:rsid w:val="00780B64"/>
    <w:rsid w:val="007811A4"/>
    <w:rsid w:val="00781D35"/>
    <w:rsid w:val="00782139"/>
    <w:rsid w:val="00783ED0"/>
    <w:rsid w:val="00784419"/>
    <w:rsid w:val="00784981"/>
    <w:rsid w:val="00785987"/>
    <w:rsid w:val="00785AA7"/>
    <w:rsid w:val="00785DBA"/>
    <w:rsid w:val="007867D4"/>
    <w:rsid w:val="00787369"/>
    <w:rsid w:val="00787BFA"/>
    <w:rsid w:val="00787F0B"/>
    <w:rsid w:val="0079037C"/>
    <w:rsid w:val="00790D60"/>
    <w:rsid w:val="00791CA3"/>
    <w:rsid w:val="007921BC"/>
    <w:rsid w:val="007945EC"/>
    <w:rsid w:val="0079584F"/>
    <w:rsid w:val="007959C9"/>
    <w:rsid w:val="007959FD"/>
    <w:rsid w:val="00795A89"/>
    <w:rsid w:val="00795A9B"/>
    <w:rsid w:val="007963B6"/>
    <w:rsid w:val="0079730A"/>
    <w:rsid w:val="0079784D"/>
    <w:rsid w:val="007A053D"/>
    <w:rsid w:val="007A07DD"/>
    <w:rsid w:val="007A0B60"/>
    <w:rsid w:val="007A0E71"/>
    <w:rsid w:val="007A1954"/>
    <w:rsid w:val="007A1E7A"/>
    <w:rsid w:val="007A2A30"/>
    <w:rsid w:val="007A2E32"/>
    <w:rsid w:val="007A3239"/>
    <w:rsid w:val="007A4CFB"/>
    <w:rsid w:val="007A4EAE"/>
    <w:rsid w:val="007A51E6"/>
    <w:rsid w:val="007A57EC"/>
    <w:rsid w:val="007A5DCD"/>
    <w:rsid w:val="007A61C9"/>
    <w:rsid w:val="007A6AA5"/>
    <w:rsid w:val="007B08FB"/>
    <w:rsid w:val="007B0FFF"/>
    <w:rsid w:val="007B3AE4"/>
    <w:rsid w:val="007B3AE9"/>
    <w:rsid w:val="007B4499"/>
    <w:rsid w:val="007B49E7"/>
    <w:rsid w:val="007B5945"/>
    <w:rsid w:val="007B5BD2"/>
    <w:rsid w:val="007B6232"/>
    <w:rsid w:val="007B6899"/>
    <w:rsid w:val="007B72B3"/>
    <w:rsid w:val="007B7FD8"/>
    <w:rsid w:val="007C073D"/>
    <w:rsid w:val="007C0834"/>
    <w:rsid w:val="007C0C5D"/>
    <w:rsid w:val="007C2154"/>
    <w:rsid w:val="007C22F6"/>
    <w:rsid w:val="007C3144"/>
    <w:rsid w:val="007C45CA"/>
    <w:rsid w:val="007C4755"/>
    <w:rsid w:val="007C4C98"/>
    <w:rsid w:val="007C5017"/>
    <w:rsid w:val="007C55A4"/>
    <w:rsid w:val="007C5936"/>
    <w:rsid w:val="007C6D1E"/>
    <w:rsid w:val="007C6FEF"/>
    <w:rsid w:val="007C7655"/>
    <w:rsid w:val="007D0001"/>
    <w:rsid w:val="007D178F"/>
    <w:rsid w:val="007D294B"/>
    <w:rsid w:val="007D33D8"/>
    <w:rsid w:val="007D512D"/>
    <w:rsid w:val="007D54CE"/>
    <w:rsid w:val="007D62C3"/>
    <w:rsid w:val="007D66BE"/>
    <w:rsid w:val="007D66F8"/>
    <w:rsid w:val="007D737C"/>
    <w:rsid w:val="007E0BE0"/>
    <w:rsid w:val="007E1E51"/>
    <w:rsid w:val="007E2431"/>
    <w:rsid w:val="007E2EC4"/>
    <w:rsid w:val="007E3560"/>
    <w:rsid w:val="007E3A28"/>
    <w:rsid w:val="007E3F0F"/>
    <w:rsid w:val="007E3F8D"/>
    <w:rsid w:val="007E43E4"/>
    <w:rsid w:val="007E6FE3"/>
    <w:rsid w:val="007E74FE"/>
    <w:rsid w:val="007E7FBC"/>
    <w:rsid w:val="007F03DE"/>
    <w:rsid w:val="007F1354"/>
    <w:rsid w:val="007F398B"/>
    <w:rsid w:val="007F3C7D"/>
    <w:rsid w:val="007F3F5A"/>
    <w:rsid w:val="007F4958"/>
    <w:rsid w:val="007F56D6"/>
    <w:rsid w:val="007F5C26"/>
    <w:rsid w:val="007F5FF3"/>
    <w:rsid w:val="007F6B94"/>
    <w:rsid w:val="007F7423"/>
    <w:rsid w:val="00800ACD"/>
    <w:rsid w:val="008019DB"/>
    <w:rsid w:val="00801D3A"/>
    <w:rsid w:val="00802D6B"/>
    <w:rsid w:val="008032EA"/>
    <w:rsid w:val="0080370D"/>
    <w:rsid w:val="00803906"/>
    <w:rsid w:val="008041EF"/>
    <w:rsid w:val="00804F3A"/>
    <w:rsid w:val="008051F6"/>
    <w:rsid w:val="0080529A"/>
    <w:rsid w:val="008060F0"/>
    <w:rsid w:val="0080636C"/>
    <w:rsid w:val="0080750A"/>
    <w:rsid w:val="008110A3"/>
    <w:rsid w:val="00811255"/>
    <w:rsid w:val="00812C71"/>
    <w:rsid w:val="00814FB6"/>
    <w:rsid w:val="00815641"/>
    <w:rsid w:val="00815DD8"/>
    <w:rsid w:val="00816740"/>
    <w:rsid w:val="00816870"/>
    <w:rsid w:val="00816951"/>
    <w:rsid w:val="00816988"/>
    <w:rsid w:val="00817397"/>
    <w:rsid w:val="008201B3"/>
    <w:rsid w:val="0082055F"/>
    <w:rsid w:val="00820998"/>
    <w:rsid w:val="008213D0"/>
    <w:rsid w:val="00821AC9"/>
    <w:rsid w:val="00821DD1"/>
    <w:rsid w:val="0082202A"/>
    <w:rsid w:val="00822052"/>
    <w:rsid w:val="008226AC"/>
    <w:rsid w:val="008229A3"/>
    <w:rsid w:val="00823634"/>
    <w:rsid w:val="00823BBB"/>
    <w:rsid w:val="0082472B"/>
    <w:rsid w:val="00824C08"/>
    <w:rsid w:val="00824D3D"/>
    <w:rsid w:val="00824E5F"/>
    <w:rsid w:val="00826327"/>
    <w:rsid w:val="00826432"/>
    <w:rsid w:val="00830C38"/>
    <w:rsid w:val="00830D9F"/>
    <w:rsid w:val="0083128E"/>
    <w:rsid w:val="00831847"/>
    <w:rsid w:val="008326CD"/>
    <w:rsid w:val="00832745"/>
    <w:rsid w:val="00833C81"/>
    <w:rsid w:val="008343E2"/>
    <w:rsid w:val="00834490"/>
    <w:rsid w:val="00834E72"/>
    <w:rsid w:val="00840283"/>
    <w:rsid w:val="008409F5"/>
    <w:rsid w:val="008410AA"/>
    <w:rsid w:val="00841783"/>
    <w:rsid w:val="00841FB9"/>
    <w:rsid w:val="00842503"/>
    <w:rsid w:val="00842AFE"/>
    <w:rsid w:val="0084504D"/>
    <w:rsid w:val="00846216"/>
    <w:rsid w:val="008477BA"/>
    <w:rsid w:val="0085092C"/>
    <w:rsid w:val="00850F47"/>
    <w:rsid w:val="008519D7"/>
    <w:rsid w:val="00851CFA"/>
    <w:rsid w:val="00853142"/>
    <w:rsid w:val="008545A2"/>
    <w:rsid w:val="00854C1C"/>
    <w:rsid w:val="00854EFF"/>
    <w:rsid w:val="00855C01"/>
    <w:rsid w:val="008575D7"/>
    <w:rsid w:val="008578DE"/>
    <w:rsid w:val="00860C00"/>
    <w:rsid w:val="00861268"/>
    <w:rsid w:val="008619DE"/>
    <w:rsid w:val="00861EE9"/>
    <w:rsid w:val="0086215E"/>
    <w:rsid w:val="008626B6"/>
    <w:rsid w:val="00863F9E"/>
    <w:rsid w:val="0086464C"/>
    <w:rsid w:val="008653A5"/>
    <w:rsid w:val="00866413"/>
    <w:rsid w:val="00867718"/>
    <w:rsid w:val="00867B9D"/>
    <w:rsid w:val="008712E6"/>
    <w:rsid w:val="008724A1"/>
    <w:rsid w:val="008749CD"/>
    <w:rsid w:val="00874DB0"/>
    <w:rsid w:val="008750D9"/>
    <w:rsid w:val="0087511D"/>
    <w:rsid w:val="0087684E"/>
    <w:rsid w:val="00876E96"/>
    <w:rsid w:val="00877589"/>
    <w:rsid w:val="0087760A"/>
    <w:rsid w:val="00880B66"/>
    <w:rsid w:val="00881475"/>
    <w:rsid w:val="00881693"/>
    <w:rsid w:val="00882D61"/>
    <w:rsid w:val="00883B5F"/>
    <w:rsid w:val="00883BD6"/>
    <w:rsid w:val="00883F9B"/>
    <w:rsid w:val="008843BB"/>
    <w:rsid w:val="00884D9E"/>
    <w:rsid w:val="008850A4"/>
    <w:rsid w:val="00885321"/>
    <w:rsid w:val="0089006F"/>
    <w:rsid w:val="00891811"/>
    <w:rsid w:val="0089183C"/>
    <w:rsid w:val="00891E1D"/>
    <w:rsid w:val="0089221B"/>
    <w:rsid w:val="00893575"/>
    <w:rsid w:val="00893FEB"/>
    <w:rsid w:val="0089400B"/>
    <w:rsid w:val="0089488E"/>
    <w:rsid w:val="008954B6"/>
    <w:rsid w:val="00895720"/>
    <w:rsid w:val="00895C05"/>
    <w:rsid w:val="00896019"/>
    <w:rsid w:val="008963C8"/>
    <w:rsid w:val="00896888"/>
    <w:rsid w:val="00896D75"/>
    <w:rsid w:val="0089737B"/>
    <w:rsid w:val="0089742A"/>
    <w:rsid w:val="008A0333"/>
    <w:rsid w:val="008A0A0B"/>
    <w:rsid w:val="008A1352"/>
    <w:rsid w:val="008A1F84"/>
    <w:rsid w:val="008A2A7D"/>
    <w:rsid w:val="008A2AE6"/>
    <w:rsid w:val="008A379A"/>
    <w:rsid w:val="008A4127"/>
    <w:rsid w:val="008A4533"/>
    <w:rsid w:val="008A4A9B"/>
    <w:rsid w:val="008A4FC3"/>
    <w:rsid w:val="008A552F"/>
    <w:rsid w:val="008A677D"/>
    <w:rsid w:val="008A7077"/>
    <w:rsid w:val="008A71A3"/>
    <w:rsid w:val="008A731F"/>
    <w:rsid w:val="008A774F"/>
    <w:rsid w:val="008B065C"/>
    <w:rsid w:val="008B0978"/>
    <w:rsid w:val="008B1BD1"/>
    <w:rsid w:val="008B1F33"/>
    <w:rsid w:val="008B2721"/>
    <w:rsid w:val="008B2E73"/>
    <w:rsid w:val="008B5C50"/>
    <w:rsid w:val="008B64DA"/>
    <w:rsid w:val="008B7206"/>
    <w:rsid w:val="008C05B9"/>
    <w:rsid w:val="008C116F"/>
    <w:rsid w:val="008C18A2"/>
    <w:rsid w:val="008C3834"/>
    <w:rsid w:val="008C538A"/>
    <w:rsid w:val="008C5EE7"/>
    <w:rsid w:val="008C66A0"/>
    <w:rsid w:val="008C6EC1"/>
    <w:rsid w:val="008C7243"/>
    <w:rsid w:val="008C7F06"/>
    <w:rsid w:val="008D07C2"/>
    <w:rsid w:val="008D0D25"/>
    <w:rsid w:val="008D0D51"/>
    <w:rsid w:val="008D170A"/>
    <w:rsid w:val="008D1A90"/>
    <w:rsid w:val="008D250F"/>
    <w:rsid w:val="008D258F"/>
    <w:rsid w:val="008D3A9B"/>
    <w:rsid w:val="008D4459"/>
    <w:rsid w:val="008D4905"/>
    <w:rsid w:val="008D499E"/>
    <w:rsid w:val="008D618F"/>
    <w:rsid w:val="008D7007"/>
    <w:rsid w:val="008D7892"/>
    <w:rsid w:val="008D7CEA"/>
    <w:rsid w:val="008E0903"/>
    <w:rsid w:val="008E0AE9"/>
    <w:rsid w:val="008E12BA"/>
    <w:rsid w:val="008E16D8"/>
    <w:rsid w:val="008E1A23"/>
    <w:rsid w:val="008E1AE0"/>
    <w:rsid w:val="008E1D82"/>
    <w:rsid w:val="008E2491"/>
    <w:rsid w:val="008E25B6"/>
    <w:rsid w:val="008E3387"/>
    <w:rsid w:val="008E3395"/>
    <w:rsid w:val="008E38FF"/>
    <w:rsid w:val="008E4442"/>
    <w:rsid w:val="008E5BB2"/>
    <w:rsid w:val="008E743B"/>
    <w:rsid w:val="008E7464"/>
    <w:rsid w:val="008F02C3"/>
    <w:rsid w:val="008F05D1"/>
    <w:rsid w:val="008F109A"/>
    <w:rsid w:val="008F1833"/>
    <w:rsid w:val="008F1BBB"/>
    <w:rsid w:val="008F20A6"/>
    <w:rsid w:val="008F24E3"/>
    <w:rsid w:val="008F287B"/>
    <w:rsid w:val="008F4842"/>
    <w:rsid w:val="008F4B50"/>
    <w:rsid w:val="008F5629"/>
    <w:rsid w:val="008F60B6"/>
    <w:rsid w:val="008F6632"/>
    <w:rsid w:val="008F7EBA"/>
    <w:rsid w:val="009002CD"/>
    <w:rsid w:val="009005FF"/>
    <w:rsid w:val="00902336"/>
    <w:rsid w:val="00902B18"/>
    <w:rsid w:val="00903FC7"/>
    <w:rsid w:val="0090461E"/>
    <w:rsid w:val="009048F3"/>
    <w:rsid w:val="00905074"/>
    <w:rsid w:val="00906E10"/>
    <w:rsid w:val="009073FB"/>
    <w:rsid w:val="00907B6A"/>
    <w:rsid w:val="00907CBF"/>
    <w:rsid w:val="00910090"/>
    <w:rsid w:val="00910AD4"/>
    <w:rsid w:val="00911EB2"/>
    <w:rsid w:val="00912048"/>
    <w:rsid w:val="0091209E"/>
    <w:rsid w:val="009135A7"/>
    <w:rsid w:val="0091463E"/>
    <w:rsid w:val="00915BCF"/>
    <w:rsid w:val="00916D00"/>
    <w:rsid w:val="0091755D"/>
    <w:rsid w:val="00920338"/>
    <w:rsid w:val="00920DD8"/>
    <w:rsid w:val="00921B8A"/>
    <w:rsid w:val="0092209D"/>
    <w:rsid w:val="00922A0A"/>
    <w:rsid w:val="00924257"/>
    <w:rsid w:val="0092471F"/>
    <w:rsid w:val="00924F58"/>
    <w:rsid w:val="009256C3"/>
    <w:rsid w:val="00925AD0"/>
    <w:rsid w:val="00926A91"/>
    <w:rsid w:val="009303C6"/>
    <w:rsid w:val="009312DC"/>
    <w:rsid w:val="00931DA8"/>
    <w:rsid w:val="00932110"/>
    <w:rsid w:val="00932D3A"/>
    <w:rsid w:val="00932FB7"/>
    <w:rsid w:val="009330C5"/>
    <w:rsid w:val="009334CD"/>
    <w:rsid w:val="009344F3"/>
    <w:rsid w:val="009352C7"/>
    <w:rsid w:val="009353BA"/>
    <w:rsid w:val="00935817"/>
    <w:rsid w:val="009358C6"/>
    <w:rsid w:val="009361DE"/>
    <w:rsid w:val="00936792"/>
    <w:rsid w:val="009371E7"/>
    <w:rsid w:val="009376A9"/>
    <w:rsid w:val="00937BBC"/>
    <w:rsid w:val="00940FEF"/>
    <w:rsid w:val="009414DC"/>
    <w:rsid w:val="00942EF0"/>
    <w:rsid w:val="0094336F"/>
    <w:rsid w:val="009438F6"/>
    <w:rsid w:val="00943FAF"/>
    <w:rsid w:val="00944B7E"/>
    <w:rsid w:val="009453FA"/>
    <w:rsid w:val="0094602E"/>
    <w:rsid w:val="00946518"/>
    <w:rsid w:val="0094704B"/>
    <w:rsid w:val="009477EB"/>
    <w:rsid w:val="009504C8"/>
    <w:rsid w:val="009506CE"/>
    <w:rsid w:val="00951563"/>
    <w:rsid w:val="00951721"/>
    <w:rsid w:val="009525F2"/>
    <w:rsid w:val="00954D68"/>
    <w:rsid w:val="00954F48"/>
    <w:rsid w:val="00954F76"/>
    <w:rsid w:val="00955FF9"/>
    <w:rsid w:val="00956215"/>
    <w:rsid w:val="00956699"/>
    <w:rsid w:val="00956FD5"/>
    <w:rsid w:val="00957259"/>
    <w:rsid w:val="009579EB"/>
    <w:rsid w:val="00957E3A"/>
    <w:rsid w:val="009601CD"/>
    <w:rsid w:val="0096096B"/>
    <w:rsid w:val="00961DF4"/>
    <w:rsid w:val="009622FF"/>
    <w:rsid w:val="00963FA9"/>
    <w:rsid w:val="00964D1B"/>
    <w:rsid w:val="009652EC"/>
    <w:rsid w:val="00965872"/>
    <w:rsid w:val="00965945"/>
    <w:rsid w:val="00966476"/>
    <w:rsid w:val="009665CE"/>
    <w:rsid w:val="009701FE"/>
    <w:rsid w:val="0097062D"/>
    <w:rsid w:val="00971DDF"/>
    <w:rsid w:val="00972D0B"/>
    <w:rsid w:val="0097333B"/>
    <w:rsid w:val="009733C6"/>
    <w:rsid w:val="00973D14"/>
    <w:rsid w:val="0097592D"/>
    <w:rsid w:val="00977A84"/>
    <w:rsid w:val="00977F30"/>
    <w:rsid w:val="009800D6"/>
    <w:rsid w:val="00980EAD"/>
    <w:rsid w:val="00980FEF"/>
    <w:rsid w:val="00981C5A"/>
    <w:rsid w:val="009821C1"/>
    <w:rsid w:val="009851F6"/>
    <w:rsid w:val="00985434"/>
    <w:rsid w:val="00985578"/>
    <w:rsid w:val="00985FB3"/>
    <w:rsid w:val="0098663B"/>
    <w:rsid w:val="00986728"/>
    <w:rsid w:val="00986B93"/>
    <w:rsid w:val="009903C4"/>
    <w:rsid w:val="00990FB6"/>
    <w:rsid w:val="00991260"/>
    <w:rsid w:val="00991BC0"/>
    <w:rsid w:val="0099399D"/>
    <w:rsid w:val="00994EBB"/>
    <w:rsid w:val="00997329"/>
    <w:rsid w:val="00997E2F"/>
    <w:rsid w:val="00997F6F"/>
    <w:rsid w:val="009A03D1"/>
    <w:rsid w:val="009A0402"/>
    <w:rsid w:val="009A1732"/>
    <w:rsid w:val="009A27F2"/>
    <w:rsid w:val="009A2956"/>
    <w:rsid w:val="009A3152"/>
    <w:rsid w:val="009A36C9"/>
    <w:rsid w:val="009A3D9F"/>
    <w:rsid w:val="009A460A"/>
    <w:rsid w:val="009A6126"/>
    <w:rsid w:val="009A7014"/>
    <w:rsid w:val="009A7300"/>
    <w:rsid w:val="009B0593"/>
    <w:rsid w:val="009B0B5B"/>
    <w:rsid w:val="009B1B97"/>
    <w:rsid w:val="009B2200"/>
    <w:rsid w:val="009B2323"/>
    <w:rsid w:val="009B2566"/>
    <w:rsid w:val="009B2B57"/>
    <w:rsid w:val="009B2B83"/>
    <w:rsid w:val="009B3709"/>
    <w:rsid w:val="009B38FF"/>
    <w:rsid w:val="009B3A7B"/>
    <w:rsid w:val="009B50E8"/>
    <w:rsid w:val="009B5296"/>
    <w:rsid w:val="009B668A"/>
    <w:rsid w:val="009B6783"/>
    <w:rsid w:val="009B6BFE"/>
    <w:rsid w:val="009B6C6E"/>
    <w:rsid w:val="009B6C7F"/>
    <w:rsid w:val="009B7871"/>
    <w:rsid w:val="009C0CA8"/>
    <w:rsid w:val="009C17D7"/>
    <w:rsid w:val="009C19A1"/>
    <w:rsid w:val="009C21FE"/>
    <w:rsid w:val="009C2555"/>
    <w:rsid w:val="009C2906"/>
    <w:rsid w:val="009C4318"/>
    <w:rsid w:val="009C4A80"/>
    <w:rsid w:val="009C5942"/>
    <w:rsid w:val="009C594C"/>
    <w:rsid w:val="009C612E"/>
    <w:rsid w:val="009C6350"/>
    <w:rsid w:val="009C6DC9"/>
    <w:rsid w:val="009C6F45"/>
    <w:rsid w:val="009C6FAC"/>
    <w:rsid w:val="009C7451"/>
    <w:rsid w:val="009C7552"/>
    <w:rsid w:val="009C7749"/>
    <w:rsid w:val="009D0025"/>
    <w:rsid w:val="009D06F9"/>
    <w:rsid w:val="009D283D"/>
    <w:rsid w:val="009D30FC"/>
    <w:rsid w:val="009D37DC"/>
    <w:rsid w:val="009D4DCE"/>
    <w:rsid w:val="009D5C36"/>
    <w:rsid w:val="009D6B1D"/>
    <w:rsid w:val="009D7C4A"/>
    <w:rsid w:val="009E033B"/>
    <w:rsid w:val="009E093C"/>
    <w:rsid w:val="009E11A0"/>
    <w:rsid w:val="009E13D3"/>
    <w:rsid w:val="009E2025"/>
    <w:rsid w:val="009E27B4"/>
    <w:rsid w:val="009E2FA4"/>
    <w:rsid w:val="009E4718"/>
    <w:rsid w:val="009E4790"/>
    <w:rsid w:val="009E4854"/>
    <w:rsid w:val="009E48AB"/>
    <w:rsid w:val="009E49BD"/>
    <w:rsid w:val="009E4F52"/>
    <w:rsid w:val="009E6A3C"/>
    <w:rsid w:val="009E754F"/>
    <w:rsid w:val="009E7672"/>
    <w:rsid w:val="009F02E2"/>
    <w:rsid w:val="009F0F05"/>
    <w:rsid w:val="009F0FF3"/>
    <w:rsid w:val="009F1660"/>
    <w:rsid w:val="009F16C8"/>
    <w:rsid w:val="009F1927"/>
    <w:rsid w:val="009F1D79"/>
    <w:rsid w:val="009F234F"/>
    <w:rsid w:val="009F41E7"/>
    <w:rsid w:val="009F439F"/>
    <w:rsid w:val="009F4BF5"/>
    <w:rsid w:val="009F4E32"/>
    <w:rsid w:val="009F546C"/>
    <w:rsid w:val="009F5629"/>
    <w:rsid w:val="009F6174"/>
    <w:rsid w:val="009F6EA5"/>
    <w:rsid w:val="009F725F"/>
    <w:rsid w:val="00A0064F"/>
    <w:rsid w:val="00A00FF7"/>
    <w:rsid w:val="00A01262"/>
    <w:rsid w:val="00A0129E"/>
    <w:rsid w:val="00A01ACA"/>
    <w:rsid w:val="00A0378C"/>
    <w:rsid w:val="00A05722"/>
    <w:rsid w:val="00A0601A"/>
    <w:rsid w:val="00A06387"/>
    <w:rsid w:val="00A0752D"/>
    <w:rsid w:val="00A10031"/>
    <w:rsid w:val="00A10C14"/>
    <w:rsid w:val="00A110F1"/>
    <w:rsid w:val="00A126EB"/>
    <w:rsid w:val="00A132BA"/>
    <w:rsid w:val="00A13485"/>
    <w:rsid w:val="00A15AF9"/>
    <w:rsid w:val="00A16B10"/>
    <w:rsid w:val="00A17EA1"/>
    <w:rsid w:val="00A2043F"/>
    <w:rsid w:val="00A20997"/>
    <w:rsid w:val="00A20CA7"/>
    <w:rsid w:val="00A21A2D"/>
    <w:rsid w:val="00A221FA"/>
    <w:rsid w:val="00A23B88"/>
    <w:rsid w:val="00A2473C"/>
    <w:rsid w:val="00A247E4"/>
    <w:rsid w:val="00A24839"/>
    <w:rsid w:val="00A25359"/>
    <w:rsid w:val="00A25870"/>
    <w:rsid w:val="00A25CDF"/>
    <w:rsid w:val="00A26558"/>
    <w:rsid w:val="00A27AC6"/>
    <w:rsid w:val="00A304E4"/>
    <w:rsid w:val="00A307BA"/>
    <w:rsid w:val="00A313D5"/>
    <w:rsid w:val="00A318FA"/>
    <w:rsid w:val="00A3367E"/>
    <w:rsid w:val="00A33C55"/>
    <w:rsid w:val="00A34572"/>
    <w:rsid w:val="00A34683"/>
    <w:rsid w:val="00A35301"/>
    <w:rsid w:val="00A35726"/>
    <w:rsid w:val="00A359DC"/>
    <w:rsid w:val="00A36FDB"/>
    <w:rsid w:val="00A37EAD"/>
    <w:rsid w:val="00A40065"/>
    <w:rsid w:val="00A420E9"/>
    <w:rsid w:val="00A4294E"/>
    <w:rsid w:val="00A445BE"/>
    <w:rsid w:val="00A44AF2"/>
    <w:rsid w:val="00A45D5D"/>
    <w:rsid w:val="00A4617E"/>
    <w:rsid w:val="00A47FDE"/>
    <w:rsid w:val="00A50A87"/>
    <w:rsid w:val="00A50C92"/>
    <w:rsid w:val="00A51E2D"/>
    <w:rsid w:val="00A52188"/>
    <w:rsid w:val="00A52325"/>
    <w:rsid w:val="00A5402C"/>
    <w:rsid w:val="00A54901"/>
    <w:rsid w:val="00A56D2D"/>
    <w:rsid w:val="00A56D83"/>
    <w:rsid w:val="00A56F69"/>
    <w:rsid w:val="00A57516"/>
    <w:rsid w:val="00A615C7"/>
    <w:rsid w:val="00A61CD2"/>
    <w:rsid w:val="00A62433"/>
    <w:rsid w:val="00A6573F"/>
    <w:rsid w:val="00A65FD8"/>
    <w:rsid w:val="00A66020"/>
    <w:rsid w:val="00A662A1"/>
    <w:rsid w:val="00A66F20"/>
    <w:rsid w:val="00A672EE"/>
    <w:rsid w:val="00A67672"/>
    <w:rsid w:val="00A676A4"/>
    <w:rsid w:val="00A67C57"/>
    <w:rsid w:val="00A67DBF"/>
    <w:rsid w:val="00A70464"/>
    <w:rsid w:val="00A707E2"/>
    <w:rsid w:val="00A70E45"/>
    <w:rsid w:val="00A72DC8"/>
    <w:rsid w:val="00A755CA"/>
    <w:rsid w:val="00A763AF"/>
    <w:rsid w:val="00A76634"/>
    <w:rsid w:val="00A76898"/>
    <w:rsid w:val="00A76F8F"/>
    <w:rsid w:val="00A77ADF"/>
    <w:rsid w:val="00A77EB9"/>
    <w:rsid w:val="00A81133"/>
    <w:rsid w:val="00A819D5"/>
    <w:rsid w:val="00A81A81"/>
    <w:rsid w:val="00A82016"/>
    <w:rsid w:val="00A82898"/>
    <w:rsid w:val="00A84216"/>
    <w:rsid w:val="00A84727"/>
    <w:rsid w:val="00A84B8B"/>
    <w:rsid w:val="00A84C9A"/>
    <w:rsid w:val="00A84F86"/>
    <w:rsid w:val="00A85CFB"/>
    <w:rsid w:val="00A905C2"/>
    <w:rsid w:val="00A91BAB"/>
    <w:rsid w:val="00A931FC"/>
    <w:rsid w:val="00A935F8"/>
    <w:rsid w:val="00A93BF7"/>
    <w:rsid w:val="00A93EB6"/>
    <w:rsid w:val="00A94598"/>
    <w:rsid w:val="00A950CC"/>
    <w:rsid w:val="00A95D36"/>
    <w:rsid w:val="00A96BBF"/>
    <w:rsid w:val="00AA11C3"/>
    <w:rsid w:val="00AA344E"/>
    <w:rsid w:val="00AA4BA6"/>
    <w:rsid w:val="00AA539D"/>
    <w:rsid w:val="00AA584B"/>
    <w:rsid w:val="00AA589C"/>
    <w:rsid w:val="00AA6324"/>
    <w:rsid w:val="00AA73EC"/>
    <w:rsid w:val="00AB0436"/>
    <w:rsid w:val="00AB0466"/>
    <w:rsid w:val="00AB14AC"/>
    <w:rsid w:val="00AB14CC"/>
    <w:rsid w:val="00AB1F1C"/>
    <w:rsid w:val="00AB3777"/>
    <w:rsid w:val="00AB3819"/>
    <w:rsid w:val="00AB5980"/>
    <w:rsid w:val="00AB637D"/>
    <w:rsid w:val="00AB65C3"/>
    <w:rsid w:val="00AB6735"/>
    <w:rsid w:val="00AB682E"/>
    <w:rsid w:val="00AB6ADC"/>
    <w:rsid w:val="00AB754A"/>
    <w:rsid w:val="00AB7553"/>
    <w:rsid w:val="00AB7754"/>
    <w:rsid w:val="00AC1E3A"/>
    <w:rsid w:val="00AC1F80"/>
    <w:rsid w:val="00AC2AA9"/>
    <w:rsid w:val="00AC37DC"/>
    <w:rsid w:val="00AC3CB5"/>
    <w:rsid w:val="00AC3E10"/>
    <w:rsid w:val="00AC44B8"/>
    <w:rsid w:val="00AC4CDD"/>
    <w:rsid w:val="00AC58C5"/>
    <w:rsid w:val="00AC5A3A"/>
    <w:rsid w:val="00AC5D29"/>
    <w:rsid w:val="00AC5D33"/>
    <w:rsid w:val="00AC5DED"/>
    <w:rsid w:val="00AC5FED"/>
    <w:rsid w:val="00AD0728"/>
    <w:rsid w:val="00AD1701"/>
    <w:rsid w:val="00AD53DF"/>
    <w:rsid w:val="00AD5461"/>
    <w:rsid w:val="00AD550E"/>
    <w:rsid w:val="00AD5EF8"/>
    <w:rsid w:val="00AD6C0A"/>
    <w:rsid w:val="00AD6C17"/>
    <w:rsid w:val="00AD7949"/>
    <w:rsid w:val="00AD7E21"/>
    <w:rsid w:val="00AD7ECA"/>
    <w:rsid w:val="00AE05CE"/>
    <w:rsid w:val="00AE0ACC"/>
    <w:rsid w:val="00AE0E95"/>
    <w:rsid w:val="00AE1943"/>
    <w:rsid w:val="00AE2AF4"/>
    <w:rsid w:val="00AE2F67"/>
    <w:rsid w:val="00AE3176"/>
    <w:rsid w:val="00AE32D3"/>
    <w:rsid w:val="00AE3DBB"/>
    <w:rsid w:val="00AE4A33"/>
    <w:rsid w:val="00AE4AE1"/>
    <w:rsid w:val="00AE5515"/>
    <w:rsid w:val="00AE6599"/>
    <w:rsid w:val="00AE6CF5"/>
    <w:rsid w:val="00AE7F1F"/>
    <w:rsid w:val="00AF0D0A"/>
    <w:rsid w:val="00AF2973"/>
    <w:rsid w:val="00AF2FA3"/>
    <w:rsid w:val="00AF46AA"/>
    <w:rsid w:val="00AF49D1"/>
    <w:rsid w:val="00AF60A4"/>
    <w:rsid w:val="00AF713A"/>
    <w:rsid w:val="00AF72C9"/>
    <w:rsid w:val="00AF7EA6"/>
    <w:rsid w:val="00B0089C"/>
    <w:rsid w:val="00B00E74"/>
    <w:rsid w:val="00B03268"/>
    <w:rsid w:val="00B03969"/>
    <w:rsid w:val="00B05E78"/>
    <w:rsid w:val="00B068BE"/>
    <w:rsid w:val="00B06C3F"/>
    <w:rsid w:val="00B07EC1"/>
    <w:rsid w:val="00B12A0F"/>
    <w:rsid w:val="00B13773"/>
    <w:rsid w:val="00B13D59"/>
    <w:rsid w:val="00B14B92"/>
    <w:rsid w:val="00B15008"/>
    <w:rsid w:val="00B1569B"/>
    <w:rsid w:val="00B15D17"/>
    <w:rsid w:val="00B15FBB"/>
    <w:rsid w:val="00B170D7"/>
    <w:rsid w:val="00B17210"/>
    <w:rsid w:val="00B20474"/>
    <w:rsid w:val="00B22623"/>
    <w:rsid w:val="00B22CD4"/>
    <w:rsid w:val="00B2318F"/>
    <w:rsid w:val="00B232CB"/>
    <w:rsid w:val="00B23332"/>
    <w:rsid w:val="00B23BDB"/>
    <w:rsid w:val="00B242F8"/>
    <w:rsid w:val="00B276FE"/>
    <w:rsid w:val="00B32E9A"/>
    <w:rsid w:val="00B33F53"/>
    <w:rsid w:val="00B34746"/>
    <w:rsid w:val="00B34767"/>
    <w:rsid w:val="00B34A49"/>
    <w:rsid w:val="00B35478"/>
    <w:rsid w:val="00B35974"/>
    <w:rsid w:val="00B3611E"/>
    <w:rsid w:val="00B36C3F"/>
    <w:rsid w:val="00B404C3"/>
    <w:rsid w:val="00B40D58"/>
    <w:rsid w:val="00B44918"/>
    <w:rsid w:val="00B46C83"/>
    <w:rsid w:val="00B52921"/>
    <w:rsid w:val="00B5296F"/>
    <w:rsid w:val="00B532F6"/>
    <w:rsid w:val="00B53CC8"/>
    <w:rsid w:val="00B540BC"/>
    <w:rsid w:val="00B54163"/>
    <w:rsid w:val="00B54A72"/>
    <w:rsid w:val="00B55AFC"/>
    <w:rsid w:val="00B571BC"/>
    <w:rsid w:val="00B571D6"/>
    <w:rsid w:val="00B5724A"/>
    <w:rsid w:val="00B572BA"/>
    <w:rsid w:val="00B5776F"/>
    <w:rsid w:val="00B61790"/>
    <w:rsid w:val="00B63DAD"/>
    <w:rsid w:val="00B64E48"/>
    <w:rsid w:val="00B65738"/>
    <w:rsid w:val="00B67614"/>
    <w:rsid w:val="00B70B06"/>
    <w:rsid w:val="00B71A6D"/>
    <w:rsid w:val="00B73017"/>
    <w:rsid w:val="00B73B03"/>
    <w:rsid w:val="00B743EC"/>
    <w:rsid w:val="00B75613"/>
    <w:rsid w:val="00B75685"/>
    <w:rsid w:val="00B7693D"/>
    <w:rsid w:val="00B77073"/>
    <w:rsid w:val="00B77E9E"/>
    <w:rsid w:val="00B80B7F"/>
    <w:rsid w:val="00B81EBD"/>
    <w:rsid w:val="00B82297"/>
    <w:rsid w:val="00B82986"/>
    <w:rsid w:val="00B82AF0"/>
    <w:rsid w:val="00B8368A"/>
    <w:rsid w:val="00B83C64"/>
    <w:rsid w:val="00B83DEF"/>
    <w:rsid w:val="00B8457C"/>
    <w:rsid w:val="00B85B57"/>
    <w:rsid w:val="00B85F14"/>
    <w:rsid w:val="00B86628"/>
    <w:rsid w:val="00B877B2"/>
    <w:rsid w:val="00B87D79"/>
    <w:rsid w:val="00B9006C"/>
    <w:rsid w:val="00B90800"/>
    <w:rsid w:val="00B9138D"/>
    <w:rsid w:val="00B921CF"/>
    <w:rsid w:val="00B927E4"/>
    <w:rsid w:val="00B92F73"/>
    <w:rsid w:val="00B94F72"/>
    <w:rsid w:val="00B9560C"/>
    <w:rsid w:val="00B95B05"/>
    <w:rsid w:val="00B96918"/>
    <w:rsid w:val="00B96B6D"/>
    <w:rsid w:val="00B973D2"/>
    <w:rsid w:val="00B97A1B"/>
    <w:rsid w:val="00B97A5F"/>
    <w:rsid w:val="00BA2BFB"/>
    <w:rsid w:val="00BA2C39"/>
    <w:rsid w:val="00BA3C9D"/>
    <w:rsid w:val="00BA3CDE"/>
    <w:rsid w:val="00BA46B9"/>
    <w:rsid w:val="00BA51CC"/>
    <w:rsid w:val="00BA592A"/>
    <w:rsid w:val="00BA59D3"/>
    <w:rsid w:val="00BA6717"/>
    <w:rsid w:val="00BA6D04"/>
    <w:rsid w:val="00BA7C2E"/>
    <w:rsid w:val="00BB04B0"/>
    <w:rsid w:val="00BB145E"/>
    <w:rsid w:val="00BB3D8E"/>
    <w:rsid w:val="00BB43DD"/>
    <w:rsid w:val="00BB45E5"/>
    <w:rsid w:val="00BB49C5"/>
    <w:rsid w:val="00BB73D4"/>
    <w:rsid w:val="00BC0732"/>
    <w:rsid w:val="00BC0D37"/>
    <w:rsid w:val="00BC17B3"/>
    <w:rsid w:val="00BC204B"/>
    <w:rsid w:val="00BC2A27"/>
    <w:rsid w:val="00BC38B6"/>
    <w:rsid w:val="00BC4628"/>
    <w:rsid w:val="00BC4752"/>
    <w:rsid w:val="00BC4C9B"/>
    <w:rsid w:val="00BC5936"/>
    <w:rsid w:val="00BC5DCB"/>
    <w:rsid w:val="00BC649D"/>
    <w:rsid w:val="00BC64C2"/>
    <w:rsid w:val="00BC70A3"/>
    <w:rsid w:val="00BC70F8"/>
    <w:rsid w:val="00BC7264"/>
    <w:rsid w:val="00BD1702"/>
    <w:rsid w:val="00BD2431"/>
    <w:rsid w:val="00BD263B"/>
    <w:rsid w:val="00BD31D3"/>
    <w:rsid w:val="00BD3AC0"/>
    <w:rsid w:val="00BD3C3D"/>
    <w:rsid w:val="00BD3FE4"/>
    <w:rsid w:val="00BD4978"/>
    <w:rsid w:val="00BD4E9A"/>
    <w:rsid w:val="00BD564D"/>
    <w:rsid w:val="00BD70DD"/>
    <w:rsid w:val="00BD7394"/>
    <w:rsid w:val="00BD7B94"/>
    <w:rsid w:val="00BD7C29"/>
    <w:rsid w:val="00BE0BB3"/>
    <w:rsid w:val="00BE2264"/>
    <w:rsid w:val="00BE2EF9"/>
    <w:rsid w:val="00BE44CB"/>
    <w:rsid w:val="00BE4CD4"/>
    <w:rsid w:val="00BE5492"/>
    <w:rsid w:val="00BE5B68"/>
    <w:rsid w:val="00BE6877"/>
    <w:rsid w:val="00BE6A72"/>
    <w:rsid w:val="00BE6E82"/>
    <w:rsid w:val="00BE7AC1"/>
    <w:rsid w:val="00BF131C"/>
    <w:rsid w:val="00BF13E7"/>
    <w:rsid w:val="00BF1D89"/>
    <w:rsid w:val="00BF3437"/>
    <w:rsid w:val="00BF3522"/>
    <w:rsid w:val="00BF4219"/>
    <w:rsid w:val="00BF4DDE"/>
    <w:rsid w:val="00BF588C"/>
    <w:rsid w:val="00BF6110"/>
    <w:rsid w:val="00BF6824"/>
    <w:rsid w:val="00BF6F6C"/>
    <w:rsid w:val="00BF78AE"/>
    <w:rsid w:val="00C0038F"/>
    <w:rsid w:val="00C00A2F"/>
    <w:rsid w:val="00C01200"/>
    <w:rsid w:val="00C01718"/>
    <w:rsid w:val="00C01A1F"/>
    <w:rsid w:val="00C02A64"/>
    <w:rsid w:val="00C02BB1"/>
    <w:rsid w:val="00C03046"/>
    <w:rsid w:val="00C032D6"/>
    <w:rsid w:val="00C0412C"/>
    <w:rsid w:val="00C0427B"/>
    <w:rsid w:val="00C063AC"/>
    <w:rsid w:val="00C0703E"/>
    <w:rsid w:val="00C07DAE"/>
    <w:rsid w:val="00C07F42"/>
    <w:rsid w:val="00C113D5"/>
    <w:rsid w:val="00C1151D"/>
    <w:rsid w:val="00C115E0"/>
    <w:rsid w:val="00C11ACF"/>
    <w:rsid w:val="00C12BB0"/>
    <w:rsid w:val="00C134B7"/>
    <w:rsid w:val="00C137EF"/>
    <w:rsid w:val="00C143F8"/>
    <w:rsid w:val="00C14B11"/>
    <w:rsid w:val="00C16AA1"/>
    <w:rsid w:val="00C16DC8"/>
    <w:rsid w:val="00C16DE2"/>
    <w:rsid w:val="00C17A9D"/>
    <w:rsid w:val="00C20E41"/>
    <w:rsid w:val="00C2103A"/>
    <w:rsid w:val="00C2217B"/>
    <w:rsid w:val="00C222A8"/>
    <w:rsid w:val="00C222F4"/>
    <w:rsid w:val="00C2230E"/>
    <w:rsid w:val="00C22EBB"/>
    <w:rsid w:val="00C235E8"/>
    <w:rsid w:val="00C23DCB"/>
    <w:rsid w:val="00C23EAA"/>
    <w:rsid w:val="00C24A79"/>
    <w:rsid w:val="00C24BBC"/>
    <w:rsid w:val="00C2714E"/>
    <w:rsid w:val="00C27853"/>
    <w:rsid w:val="00C279AC"/>
    <w:rsid w:val="00C27E37"/>
    <w:rsid w:val="00C30293"/>
    <w:rsid w:val="00C305D0"/>
    <w:rsid w:val="00C30ADD"/>
    <w:rsid w:val="00C32834"/>
    <w:rsid w:val="00C32C23"/>
    <w:rsid w:val="00C337ED"/>
    <w:rsid w:val="00C34177"/>
    <w:rsid w:val="00C342C1"/>
    <w:rsid w:val="00C35503"/>
    <w:rsid w:val="00C35636"/>
    <w:rsid w:val="00C36635"/>
    <w:rsid w:val="00C37677"/>
    <w:rsid w:val="00C37775"/>
    <w:rsid w:val="00C42282"/>
    <w:rsid w:val="00C4249D"/>
    <w:rsid w:val="00C437E2"/>
    <w:rsid w:val="00C4400E"/>
    <w:rsid w:val="00C443C1"/>
    <w:rsid w:val="00C466BB"/>
    <w:rsid w:val="00C4674F"/>
    <w:rsid w:val="00C47166"/>
    <w:rsid w:val="00C471D1"/>
    <w:rsid w:val="00C47507"/>
    <w:rsid w:val="00C47C1F"/>
    <w:rsid w:val="00C5039F"/>
    <w:rsid w:val="00C50CC7"/>
    <w:rsid w:val="00C510D7"/>
    <w:rsid w:val="00C519F1"/>
    <w:rsid w:val="00C52D60"/>
    <w:rsid w:val="00C53301"/>
    <w:rsid w:val="00C5485C"/>
    <w:rsid w:val="00C54866"/>
    <w:rsid w:val="00C568F9"/>
    <w:rsid w:val="00C56FC8"/>
    <w:rsid w:val="00C60483"/>
    <w:rsid w:val="00C60EC1"/>
    <w:rsid w:val="00C61041"/>
    <w:rsid w:val="00C6187D"/>
    <w:rsid w:val="00C61FBA"/>
    <w:rsid w:val="00C62457"/>
    <w:rsid w:val="00C62C35"/>
    <w:rsid w:val="00C630E7"/>
    <w:rsid w:val="00C63CEB"/>
    <w:rsid w:val="00C6504D"/>
    <w:rsid w:val="00C6586C"/>
    <w:rsid w:val="00C67090"/>
    <w:rsid w:val="00C67A78"/>
    <w:rsid w:val="00C67B2A"/>
    <w:rsid w:val="00C70FC1"/>
    <w:rsid w:val="00C710A9"/>
    <w:rsid w:val="00C7167A"/>
    <w:rsid w:val="00C7232B"/>
    <w:rsid w:val="00C72475"/>
    <w:rsid w:val="00C72905"/>
    <w:rsid w:val="00C7342A"/>
    <w:rsid w:val="00C74618"/>
    <w:rsid w:val="00C760FE"/>
    <w:rsid w:val="00C7649B"/>
    <w:rsid w:val="00C76965"/>
    <w:rsid w:val="00C76A59"/>
    <w:rsid w:val="00C76B17"/>
    <w:rsid w:val="00C8032B"/>
    <w:rsid w:val="00C80464"/>
    <w:rsid w:val="00C812C2"/>
    <w:rsid w:val="00C81642"/>
    <w:rsid w:val="00C81D01"/>
    <w:rsid w:val="00C825BD"/>
    <w:rsid w:val="00C82A49"/>
    <w:rsid w:val="00C833FD"/>
    <w:rsid w:val="00C85F4E"/>
    <w:rsid w:val="00C9355B"/>
    <w:rsid w:val="00C93B37"/>
    <w:rsid w:val="00C94191"/>
    <w:rsid w:val="00C9473D"/>
    <w:rsid w:val="00C95AF6"/>
    <w:rsid w:val="00C96532"/>
    <w:rsid w:val="00C97A49"/>
    <w:rsid w:val="00CA0115"/>
    <w:rsid w:val="00CA01BF"/>
    <w:rsid w:val="00CA1367"/>
    <w:rsid w:val="00CA14CD"/>
    <w:rsid w:val="00CA2B3F"/>
    <w:rsid w:val="00CA2F82"/>
    <w:rsid w:val="00CA3B7B"/>
    <w:rsid w:val="00CA4477"/>
    <w:rsid w:val="00CA4898"/>
    <w:rsid w:val="00CA57F1"/>
    <w:rsid w:val="00CA73AA"/>
    <w:rsid w:val="00CA7C2F"/>
    <w:rsid w:val="00CB0898"/>
    <w:rsid w:val="00CB0BF3"/>
    <w:rsid w:val="00CB0F04"/>
    <w:rsid w:val="00CB194C"/>
    <w:rsid w:val="00CB4012"/>
    <w:rsid w:val="00CB49A1"/>
    <w:rsid w:val="00CB542E"/>
    <w:rsid w:val="00CB5E21"/>
    <w:rsid w:val="00CB79E4"/>
    <w:rsid w:val="00CC049C"/>
    <w:rsid w:val="00CC165D"/>
    <w:rsid w:val="00CC212B"/>
    <w:rsid w:val="00CC2139"/>
    <w:rsid w:val="00CC2362"/>
    <w:rsid w:val="00CC347E"/>
    <w:rsid w:val="00CC37FA"/>
    <w:rsid w:val="00CC3C11"/>
    <w:rsid w:val="00CC56F9"/>
    <w:rsid w:val="00CC770C"/>
    <w:rsid w:val="00CC7E4B"/>
    <w:rsid w:val="00CD02AE"/>
    <w:rsid w:val="00CD1570"/>
    <w:rsid w:val="00CD1833"/>
    <w:rsid w:val="00CD190D"/>
    <w:rsid w:val="00CD1F10"/>
    <w:rsid w:val="00CD2ECE"/>
    <w:rsid w:val="00CD461F"/>
    <w:rsid w:val="00CD4C27"/>
    <w:rsid w:val="00CD4F1A"/>
    <w:rsid w:val="00CD5950"/>
    <w:rsid w:val="00CD6C01"/>
    <w:rsid w:val="00CE10E8"/>
    <w:rsid w:val="00CE14C4"/>
    <w:rsid w:val="00CE27F4"/>
    <w:rsid w:val="00CE4A70"/>
    <w:rsid w:val="00CE5242"/>
    <w:rsid w:val="00CE6795"/>
    <w:rsid w:val="00CE6BF6"/>
    <w:rsid w:val="00CF133C"/>
    <w:rsid w:val="00CF1572"/>
    <w:rsid w:val="00CF19EA"/>
    <w:rsid w:val="00CF4DE5"/>
    <w:rsid w:val="00CF5424"/>
    <w:rsid w:val="00CF5761"/>
    <w:rsid w:val="00CF5DF6"/>
    <w:rsid w:val="00CF5F2B"/>
    <w:rsid w:val="00CF6299"/>
    <w:rsid w:val="00CF6AB5"/>
    <w:rsid w:val="00CF7974"/>
    <w:rsid w:val="00D022EF"/>
    <w:rsid w:val="00D03249"/>
    <w:rsid w:val="00D035D9"/>
    <w:rsid w:val="00D0461C"/>
    <w:rsid w:val="00D07E6E"/>
    <w:rsid w:val="00D104F2"/>
    <w:rsid w:val="00D1090F"/>
    <w:rsid w:val="00D10F07"/>
    <w:rsid w:val="00D1140F"/>
    <w:rsid w:val="00D11443"/>
    <w:rsid w:val="00D116D3"/>
    <w:rsid w:val="00D11FBB"/>
    <w:rsid w:val="00D11FFB"/>
    <w:rsid w:val="00D125A2"/>
    <w:rsid w:val="00D161A5"/>
    <w:rsid w:val="00D168B5"/>
    <w:rsid w:val="00D17755"/>
    <w:rsid w:val="00D178B8"/>
    <w:rsid w:val="00D20D16"/>
    <w:rsid w:val="00D22AE9"/>
    <w:rsid w:val="00D25072"/>
    <w:rsid w:val="00D262D0"/>
    <w:rsid w:val="00D27807"/>
    <w:rsid w:val="00D3078F"/>
    <w:rsid w:val="00D3167A"/>
    <w:rsid w:val="00D32102"/>
    <w:rsid w:val="00D33471"/>
    <w:rsid w:val="00D33F96"/>
    <w:rsid w:val="00D364BB"/>
    <w:rsid w:val="00D37834"/>
    <w:rsid w:val="00D43015"/>
    <w:rsid w:val="00D430E2"/>
    <w:rsid w:val="00D4353F"/>
    <w:rsid w:val="00D44294"/>
    <w:rsid w:val="00D443B4"/>
    <w:rsid w:val="00D44956"/>
    <w:rsid w:val="00D45282"/>
    <w:rsid w:val="00D4542A"/>
    <w:rsid w:val="00D46618"/>
    <w:rsid w:val="00D46D41"/>
    <w:rsid w:val="00D46F1E"/>
    <w:rsid w:val="00D476F8"/>
    <w:rsid w:val="00D4774D"/>
    <w:rsid w:val="00D478CB"/>
    <w:rsid w:val="00D47B53"/>
    <w:rsid w:val="00D503B4"/>
    <w:rsid w:val="00D507CB"/>
    <w:rsid w:val="00D50A15"/>
    <w:rsid w:val="00D5141D"/>
    <w:rsid w:val="00D515CA"/>
    <w:rsid w:val="00D517D0"/>
    <w:rsid w:val="00D52961"/>
    <w:rsid w:val="00D5354A"/>
    <w:rsid w:val="00D53A66"/>
    <w:rsid w:val="00D54FD5"/>
    <w:rsid w:val="00D55139"/>
    <w:rsid w:val="00D553CE"/>
    <w:rsid w:val="00D55B6E"/>
    <w:rsid w:val="00D55E63"/>
    <w:rsid w:val="00D57238"/>
    <w:rsid w:val="00D5755F"/>
    <w:rsid w:val="00D57FD2"/>
    <w:rsid w:val="00D60720"/>
    <w:rsid w:val="00D60A72"/>
    <w:rsid w:val="00D610F1"/>
    <w:rsid w:val="00D61A6B"/>
    <w:rsid w:val="00D6205D"/>
    <w:rsid w:val="00D63907"/>
    <w:rsid w:val="00D66285"/>
    <w:rsid w:val="00D666EE"/>
    <w:rsid w:val="00D66BAA"/>
    <w:rsid w:val="00D6731C"/>
    <w:rsid w:val="00D704A4"/>
    <w:rsid w:val="00D71F38"/>
    <w:rsid w:val="00D7210B"/>
    <w:rsid w:val="00D72CFF"/>
    <w:rsid w:val="00D72EC2"/>
    <w:rsid w:val="00D735D6"/>
    <w:rsid w:val="00D73F92"/>
    <w:rsid w:val="00D753A8"/>
    <w:rsid w:val="00D757ED"/>
    <w:rsid w:val="00D75C81"/>
    <w:rsid w:val="00D7606A"/>
    <w:rsid w:val="00D773BE"/>
    <w:rsid w:val="00D77B56"/>
    <w:rsid w:val="00D77D85"/>
    <w:rsid w:val="00D802B6"/>
    <w:rsid w:val="00D8032C"/>
    <w:rsid w:val="00D81107"/>
    <w:rsid w:val="00D811D3"/>
    <w:rsid w:val="00D81CE6"/>
    <w:rsid w:val="00D83012"/>
    <w:rsid w:val="00D839F8"/>
    <w:rsid w:val="00D8433A"/>
    <w:rsid w:val="00D84F3A"/>
    <w:rsid w:val="00D85226"/>
    <w:rsid w:val="00D85969"/>
    <w:rsid w:val="00D86881"/>
    <w:rsid w:val="00D87B7D"/>
    <w:rsid w:val="00D90293"/>
    <w:rsid w:val="00D90945"/>
    <w:rsid w:val="00D91CD7"/>
    <w:rsid w:val="00D92A75"/>
    <w:rsid w:val="00D92F5B"/>
    <w:rsid w:val="00D92FBD"/>
    <w:rsid w:val="00D93C20"/>
    <w:rsid w:val="00D94DC4"/>
    <w:rsid w:val="00D95AF9"/>
    <w:rsid w:val="00D95F2C"/>
    <w:rsid w:val="00D96E5D"/>
    <w:rsid w:val="00D973CE"/>
    <w:rsid w:val="00D97A78"/>
    <w:rsid w:val="00DA1200"/>
    <w:rsid w:val="00DA1A0E"/>
    <w:rsid w:val="00DA1DFC"/>
    <w:rsid w:val="00DA23FE"/>
    <w:rsid w:val="00DA3352"/>
    <w:rsid w:val="00DA39AB"/>
    <w:rsid w:val="00DA3CAA"/>
    <w:rsid w:val="00DA4990"/>
    <w:rsid w:val="00DA55B0"/>
    <w:rsid w:val="00DA5AD6"/>
    <w:rsid w:val="00DA5BB7"/>
    <w:rsid w:val="00DA5EE8"/>
    <w:rsid w:val="00DA71F5"/>
    <w:rsid w:val="00DB0696"/>
    <w:rsid w:val="00DB0A44"/>
    <w:rsid w:val="00DB152D"/>
    <w:rsid w:val="00DB1A8A"/>
    <w:rsid w:val="00DB1FBE"/>
    <w:rsid w:val="00DB3D9D"/>
    <w:rsid w:val="00DB482B"/>
    <w:rsid w:val="00DB4BC6"/>
    <w:rsid w:val="00DB5557"/>
    <w:rsid w:val="00DB5954"/>
    <w:rsid w:val="00DB6D5F"/>
    <w:rsid w:val="00DB72C4"/>
    <w:rsid w:val="00DB7722"/>
    <w:rsid w:val="00DB7CAF"/>
    <w:rsid w:val="00DC020F"/>
    <w:rsid w:val="00DC0660"/>
    <w:rsid w:val="00DC0946"/>
    <w:rsid w:val="00DC17BF"/>
    <w:rsid w:val="00DC2632"/>
    <w:rsid w:val="00DC3117"/>
    <w:rsid w:val="00DC3D8E"/>
    <w:rsid w:val="00DC4A38"/>
    <w:rsid w:val="00DC4D94"/>
    <w:rsid w:val="00DC51D4"/>
    <w:rsid w:val="00DC68EE"/>
    <w:rsid w:val="00DC77F7"/>
    <w:rsid w:val="00DC786E"/>
    <w:rsid w:val="00DC7E22"/>
    <w:rsid w:val="00DD0039"/>
    <w:rsid w:val="00DD03E3"/>
    <w:rsid w:val="00DD1605"/>
    <w:rsid w:val="00DD2FCE"/>
    <w:rsid w:val="00DD3267"/>
    <w:rsid w:val="00DD3D7A"/>
    <w:rsid w:val="00DD4DF6"/>
    <w:rsid w:val="00DD6FAF"/>
    <w:rsid w:val="00DE0F03"/>
    <w:rsid w:val="00DE14B4"/>
    <w:rsid w:val="00DE19F9"/>
    <w:rsid w:val="00DE2376"/>
    <w:rsid w:val="00DE2D7C"/>
    <w:rsid w:val="00DE3247"/>
    <w:rsid w:val="00DE37CD"/>
    <w:rsid w:val="00DE42DC"/>
    <w:rsid w:val="00DE4B6F"/>
    <w:rsid w:val="00DE4DCA"/>
    <w:rsid w:val="00DE6B12"/>
    <w:rsid w:val="00DE6BEF"/>
    <w:rsid w:val="00DE7312"/>
    <w:rsid w:val="00DE7A31"/>
    <w:rsid w:val="00DF0083"/>
    <w:rsid w:val="00DF3214"/>
    <w:rsid w:val="00DF36E6"/>
    <w:rsid w:val="00DF71DE"/>
    <w:rsid w:val="00DF7446"/>
    <w:rsid w:val="00E00C23"/>
    <w:rsid w:val="00E017A6"/>
    <w:rsid w:val="00E018F9"/>
    <w:rsid w:val="00E0229F"/>
    <w:rsid w:val="00E0233D"/>
    <w:rsid w:val="00E024F9"/>
    <w:rsid w:val="00E02F60"/>
    <w:rsid w:val="00E03026"/>
    <w:rsid w:val="00E0376C"/>
    <w:rsid w:val="00E04403"/>
    <w:rsid w:val="00E04891"/>
    <w:rsid w:val="00E04C78"/>
    <w:rsid w:val="00E052A6"/>
    <w:rsid w:val="00E077F6"/>
    <w:rsid w:val="00E078DD"/>
    <w:rsid w:val="00E10630"/>
    <w:rsid w:val="00E11253"/>
    <w:rsid w:val="00E118E6"/>
    <w:rsid w:val="00E13167"/>
    <w:rsid w:val="00E135DF"/>
    <w:rsid w:val="00E13917"/>
    <w:rsid w:val="00E13EDA"/>
    <w:rsid w:val="00E147E0"/>
    <w:rsid w:val="00E14BE6"/>
    <w:rsid w:val="00E155C9"/>
    <w:rsid w:val="00E16202"/>
    <w:rsid w:val="00E16493"/>
    <w:rsid w:val="00E1676B"/>
    <w:rsid w:val="00E16EA7"/>
    <w:rsid w:val="00E16F2F"/>
    <w:rsid w:val="00E17B10"/>
    <w:rsid w:val="00E17B16"/>
    <w:rsid w:val="00E206FF"/>
    <w:rsid w:val="00E209BC"/>
    <w:rsid w:val="00E20FDE"/>
    <w:rsid w:val="00E22376"/>
    <w:rsid w:val="00E237FA"/>
    <w:rsid w:val="00E24913"/>
    <w:rsid w:val="00E2555A"/>
    <w:rsid w:val="00E265AB"/>
    <w:rsid w:val="00E26D58"/>
    <w:rsid w:val="00E26EA8"/>
    <w:rsid w:val="00E27D7C"/>
    <w:rsid w:val="00E306E9"/>
    <w:rsid w:val="00E33095"/>
    <w:rsid w:val="00E33450"/>
    <w:rsid w:val="00E3473F"/>
    <w:rsid w:val="00E3505D"/>
    <w:rsid w:val="00E36204"/>
    <w:rsid w:val="00E37B00"/>
    <w:rsid w:val="00E40E39"/>
    <w:rsid w:val="00E41166"/>
    <w:rsid w:val="00E42133"/>
    <w:rsid w:val="00E43890"/>
    <w:rsid w:val="00E45687"/>
    <w:rsid w:val="00E47A1F"/>
    <w:rsid w:val="00E50F47"/>
    <w:rsid w:val="00E51408"/>
    <w:rsid w:val="00E5256D"/>
    <w:rsid w:val="00E53544"/>
    <w:rsid w:val="00E5379E"/>
    <w:rsid w:val="00E5401A"/>
    <w:rsid w:val="00E55966"/>
    <w:rsid w:val="00E55A98"/>
    <w:rsid w:val="00E55C9D"/>
    <w:rsid w:val="00E56ACD"/>
    <w:rsid w:val="00E575E6"/>
    <w:rsid w:val="00E5760A"/>
    <w:rsid w:val="00E57AE8"/>
    <w:rsid w:val="00E600C4"/>
    <w:rsid w:val="00E6034E"/>
    <w:rsid w:val="00E60B67"/>
    <w:rsid w:val="00E631C5"/>
    <w:rsid w:val="00E63984"/>
    <w:rsid w:val="00E63B44"/>
    <w:rsid w:val="00E63D2F"/>
    <w:rsid w:val="00E64573"/>
    <w:rsid w:val="00E64DE3"/>
    <w:rsid w:val="00E65362"/>
    <w:rsid w:val="00E658E1"/>
    <w:rsid w:val="00E66493"/>
    <w:rsid w:val="00E66578"/>
    <w:rsid w:val="00E6658C"/>
    <w:rsid w:val="00E66D91"/>
    <w:rsid w:val="00E67B28"/>
    <w:rsid w:val="00E67D3C"/>
    <w:rsid w:val="00E67DEA"/>
    <w:rsid w:val="00E71BA9"/>
    <w:rsid w:val="00E73444"/>
    <w:rsid w:val="00E73B34"/>
    <w:rsid w:val="00E75F2A"/>
    <w:rsid w:val="00E75F94"/>
    <w:rsid w:val="00E761A8"/>
    <w:rsid w:val="00E7637D"/>
    <w:rsid w:val="00E775DC"/>
    <w:rsid w:val="00E77EA7"/>
    <w:rsid w:val="00E8117B"/>
    <w:rsid w:val="00E81C05"/>
    <w:rsid w:val="00E81DD1"/>
    <w:rsid w:val="00E82675"/>
    <w:rsid w:val="00E84210"/>
    <w:rsid w:val="00E844E5"/>
    <w:rsid w:val="00E8499A"/>
    <w:rsid w:val="00E851B0"/>
    <w:rsid w:val="00E858DE"/>
    <w:rsid w:val="00E85FA5"/>
    <w:rsid w:val="00E869C9"/>
    <w:rsid w:val="00E869E6"/>
    <w:rsid w:val="00E86D59"/>
    <w:rsid w:val="00E90661"/>
    <w:rsid w:val="00E91357"/>
    <w:rsid w:val="00E9297E"/>
    <w:rsid w:val="00E9307E"/>
    <w:rsid w:val="00E930D2"/>
    <w:rsid w:val="00E9566D"/>
    <w:rsid w:val="00E97069"/>
    <w:rsid w:val="00E97D63"/>
    <w:rsid w:val="00EA21DB"/>
    <w:rsid w:val="00EA2F62"/>
    <w:rsid w:val="00EA4EB5"/>
    <w:rsid w:val="00EA62D5"/>
    <w:rsid w:val="00EA6854"/>
    <w:rsid w:val="00EA6BBC"/>
    <w:rsid w:val="00EA7C42"/>
    <w:rsid w:val="00EB0265"/>
    <w:rsid w:val="00EB050B"/>
    <w:rsid w:val="00EB07EC"/>
    <w:rsid w:val="00EB2493"/>
    <w:rsid w:val="00EB291F"/>
    <w:rsid w:val="00EB2F97"/>
    <w:rsid w:val="00EB30E7"/>
    <w:rsid w:val="00EB376E"/>
    <w:rsid w:val="00EB44F4"/>
    <w:rsid w:val="00EB490D"/>
    <w:rsid w:val="00EB5A84"/>
    <w:rsid w:val="00EB63ED"/>
    <w:rsid w:val="00EB6EC6"/>
    <w:rsid w:val="00EB725C"/>
    <w:rsid w:val="00EC0328"/>
    <w:rsid w:val="00EC0331"/>
    <w:rsid w:val="00EC0577"/>
    <w:rsid w:val="00EC1348"/>
    <w:rsid w:val="00EC1BFB"/>
    <w:rsid w:val="00EC252C"/>
    <w:rsid w:val="00EC2796"/>
    <w:rsid w:val="00EC35DF"/>
    <w:rsid w:val="00EC3DBD"/>
    <w:rsid w:val="00EC4F07"/>
    <w:rsid w:val="00EC50D5"/>
    <w:rsid w:val="00EC5A2A"/>
    <w:rsid w:val="00EC5C38"/>
    <w:rsid w:val="00EC5D4A"/>
    <w:rsid w:val="00EC5DAB"/>
    <w:rsid w:val="00EC68FC"/>
    <w:rsid w:val="00EC7374"/>
    <w:rsid w:val="00EC7466"/>
    <w:rsid w:val="00ED1FF6"/>
    <w:rsid w:val="00ED4EAF"/>
    <w:rsid w:val="00ED5101"/>
    <w:rsid w:val="00ED63B1"/>
    <w:rsid w:val="00ED6448"/>
    <w:rsid w:val="00ED64DA"/>
    <w:rsid w:val="00ED66A0"/>
    <w:rsid w:val="00ED6D00"/>
    <w:rsid w:val="00ED7660"/>
    <w:rsid w:val="00ED7AC5"/>
    <w:rsid w:val="00EE0562"/>
    <w:rsid w:val="00EE2DFE"/>
    <w:rsid w:val="00EE4546"/>
    <w:rsid w:val="00EE45D8"/>
    <w:rsid w:val="00EE4CA4"/>
    <w:rsid w:val="00EE5426"/>
    <w:rsid w:val="00EE5744"/>
    <w:rsid w:val="00EE6BDE"/>
    <w:rsid w:val="00EE763C"/>
    <w:rsid w:val="00EF0450"/>
    <w:rsid w:val="00EF0BEC"/>
    <w:rsid w:val="00EF1133"/>
    <w:rsid w:val="00EF27C0"/>
    <w:rsid w:val="00EF2CE3"/>
    <w:rsid w:val="00EF4D50"/>
    <w:rsid w:val="00EF4D70"/>
    <w:rsid w:val="00EF5695"/>
    <w:rsid w:val="00EF7B5C"/>
    <w:rsid w:val="00F00958"/>
    <w:rsid w:val="00F02AD2"/>
    <w:rsid w:val="00F039A1"/>
    <w:rsid w:val="00F039D1"/>
    <w:rsid w:val="00F04117"/>
    <w:rsid w:val="00F04A7D"/>
    <w:rsid w:val="00F065F7"/>
    <w:rsid w:val="00F0728A"/>
    <w:rsid w:val="00F07B2D"/>
    <w:rsid w:val="00F12213"/>
    <w:rsid w:val="00F12753"/>
    <w:rsid w:val="00F1458A"/>
    <w:rsid w:val="00F14AA0"/>
    <w:rsid w:val="00F15183"/>
    <w:rsid w:val="00F17F7A"/>
    <w:rsid w:val="00F20BC1"/>
    <w:rsid w:val="00F20BCE"/>
    <w:rsid w:val="00F22A0D"/>
    <w:rsid w:val="00F23ECF"/>
    <w:rsid w:val="00F260DB"/>
    <w:rsid w:val="00F2621E"/>
    <w:rsid w:val="00F27467"/>
    <w:rsid w:val="00F27CD5"/>
    <w:rsid w:val="00F30E91"/>
    <w:rsid w:val="00F31C1B"/>
    <w:rsid w:val="00F32141"/>
    <w:rsid w:val="00F326E5"/>
    <w:rsid w:val="00F33C79"/>
    <w:rsid w:val="00F33E0E"/>
    <w:rsid w:val="00F34917"/>
    <w:rsid w:val="00F34D2E"/>
    <w:rsid w:val="00F35C26"/>
    <w:rsid w:val="00F366B5"/>
    <w:rsid w:val="00F367A4"/>
    <w:rsid w:val="00F37A4B"/>
    <w:rsid w:val="00F37D60"/>
    <w:rsid w:val="00F37F48"/>
    <w:rsid w:val="00F40B03"/>
    <w:rsid w:val="00F41FAA"/>
    <w:rsid w:val="00F423F1"/>
    <w:rsid w:val="00F42915"/>
    <w:rsid w:val="00F429B5"/>
    <w:rsid w:val="00F42C64"/>
    <w:rsid w:val="00F42EBB"/>
    <w:rsid w:val="00F42EFD"/>
    <w:rsid w:val="00F44623"/>
    <w:rsid w:val="00F4486C"/>
    <w:rsid w:val="00F448F2"/>
    <w:rsid w:val="00F44CEC"/>
    <w:rsid w:val="00F46BC0"/>
    <w:rsid w:val="00F47375"/>
    <w:rsid w:val="00F50283"/>
    <w:rsid w:val="00F515BD"/>
    <w:rsid w:val="00F515EB"/>
    <w:rsid w:val="00F51CB3"/>
    <w:rsid w:val="00F52698"/>
    <w:rsid w:val="00F52DB6"/>
    <w:rsid w:val="00F53F21"/>
    <w:rsid w:val="00F54DBD"/>
    <w:rsid w:val="00F55395"/>
    <w:rsid w:val="00F55498"/>
    <w:rsid w:val="00F55DAF"/>
    <w:rsid w:val="00F55EA2"/>
    <w:rsid w:val="00F56294"/>
    <w:rsid w:val="00F567E0"/>
    <w:rsid w:val="00F5681B"/>
    <w:rsid w:val="00F60056"/>
    <w:rsid w:val="00F607C4"/>
    <w:rsid w:val="00F609DB"/>
    <w:rsid w:val="00F60B85"/>
    <w:rsid w:val="00F616CC"/>
    <w:rsid w:val="00F62795"/>
    <w:rsid w:val="00F64036"/>
    <w:rsid w:val="00F641A8"/>
    <w:rsid w:val="00F642D1"/>
    <w:rsid w:val="00F64499"/>
    <w:rsid w:val="00F6759E"/>
    <w:rsid w:val="00F70392"/>
    <w:rsid w:val="00F7048C"/>
    <w:rsid w:val="00F72BA0"/>
    <w:rsid w:val="00F73364"/>
    <w:rsid w:val="00F733DE"/>
    <w:rsid w:val="00F74343"/>
    <w:rsid w:val="00F755DB"/>
    <w:rsid w:val="00F76365"/>
    <w:rsid w:val="00F76593"/>
    <w:rsid w:val="00F771FA"/>
    <w:rsid w:val="00F779AB"/>
    <w:rsid w:val="00F80F71"/>
    <w:rsid w:val="00F81147"/>
    <w:rsid w:val="00F824FE"/>
    <w:rsid w:val="00F82922"/>
    <w:rsid w:val="00F838A9"/>
    <w:rsid w:val="00F841C3"/>
    <w:rsid w:val="00F84DC5"/>
    <w:rsid w:val="00F85109"/>
    <w:rsid w:val="00F8544A"/>
    <w:rsid w:val="00F86334"/>
    <w:rsid w:val="00F90EE5"/>
    <w:rsid w:val="00F91919"/>
    <w:rsid w:val="00F91F9F"/>
    <w:rsid w:val="00F92E13"/>
    <w:rsid w:val="00F93AE8"/>
    <w:rsid w:val="00F94D94"/>
    <w:rsid w:val="00F95C6C"/>
    <w:rsid w:val="00F969E7"/>
    <w:rsid w:val="00F97332"/>
    <w:rsid w:val="00FA140F"/>
    <w:rsid w:val="00FA16E6"/>
    <w:rsid w:val="00FA1A86"/>
    <w:rsid w:val="00FA1C06"/>
    <w:rsid w:val="00FA2662"/>
    <w:rsid w:val="00FA2E76"/>
    <w:rsid w:val="00FA466B"/>
    <w:rsid w:val="00FA5992"/>
    <w:rsid w:val="00FA7170"/>
    <w:rsid w:val="00FA7543"/>
    <w:rsid w:val="00FA7646"/>
    <w:rsid w:val="00FA7B26"/>
    <w:rsid w:val="00FB04CF"/>
    <w:rsid w:val="00FB08AF"/>
    <w:rsid w:val="00FB1248"/>
    <w:rsid w:val="00FB133E"/>
    <w:rsid w:val="00FB156D"/>
    <w:rsid w:val="00FB15FE"/>
    <w:rsid w:val="00FB5A0A"/>
    <w:rsid w:val="00FB70BC"/>
    <w:rsid w:val="00FB71EA"/>
    <w:rsid w:val="00FB73E3"/>
    <w:rsid w:val="00FB79CF"/>
    <w:rsid w:val="00FB7D37"/>
    <w:rsid w:val="00FC09B8"/>
    <w:rsid w:val="00FC2C67"/>
    <w:rsid w:val="00FC33D2"/>
    <w:rsid w:val="00FC4335"/>
    <w:rsid w:val="00FC5BB1"/>
    <w:rsid w:val="00FC62FF"/>
    <w:rsid w:val="00FC6682"/>
    <w:rsid w:val="00FC6D48"/>
    <w:rsid w:val="00FC6DB5"/>
    <w:rsid w:val="00FC75DD"/>
    <w:rsid w:val="00FC76E4"/>
    <w:rsid w:val="00FC77F5"/>
    <w:rsid w:val="00FD0F15"/>
    <w:rsid w:val="00FD1C9E"/>
    <w:rsid w:val="00FD3A33"/>
    <w:rsid w:val="00FD4027"/>
    <w:rsid w:val="00FD4B7F"/>
    <w:rsid w:val="00FD5150"/>
    <w:rsid w:val="00FD530A"/>
    <w:rsid w:val="00FD581A"/>
    <w:rsid w:val="00FD6F5E"/>
    <w:rsid w:val="00FD6F7D"/>
    <w:rsid w:val="00FE0B61"/>
    <w:rsid w:val="00FE1489"/>
    <w:rsid w:val="00FE158F"/>
    <w:rsid w:val="00FE25A3"/>
    <w:rsid w:val="00FE343A"/>
    <w:rsid w:val="00FE3665"/>
    <w:rsid w:val="00FE372C"/>
    <w:rsid w:val="00FE4FB4"/>
    <w:rsid w:val="00FE60DA"/>
    <w:rsid w:val="00FE650A"/>
    <w:rsid w:val="00FE6DEF"/>
    <w:rsid w:val="00FE74F8"/>
    <w:rsid w:val="00FF0339"/>
    <w:rsid w:val="00FF1DBD"/>
    <w:rsid w:val="00FF5264"/>
    <w:rsid w:val="00FF5FCF"/>
    <w:rsid w:val="00FF7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3383"/>
  <w15:docId w15:val="{3A756325-12FA-4880-B0E1-E14157A19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BB3"/>
    <w:pPr>
      <w:spacing w:after="200" w:line="276" w:lineRule="auto"/>
    </w:pPr>
    <w:rPr>
      <w:sz w:val="22"/>
      <w:szCs w:val="22"/>
    </w:rPr>
  </w:style>
  <w:style w:type="paragraph" w:styleId="Heading1">
    <w:name w:val="heading 1"/>
    <w:basedOn w:val="Normal"/>
    <w:link w:val="Heading1Char"/>
    <w:uiPriority w:val="9"/>
    <w:qFormat/>
    <w:rsid w:val="00E67D3C"/>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E67D3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0D0769"/>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326E5"/>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326E5"/>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4F15A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6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6A0"/>
    <w:rPr>
      <w:rFonts w:ascii="Tahoma" w:hAnsi="Tahoma" w:cs="Tahoma"/>
      <w:sz w:val="16"/>
      <w:szCs w:val="16"/>
    </w:rPr>
  </w:style>
  <w:style w:type="paragraph" w:styleId="NoSpacing">
    <w:name w:val="No Spacing"/>
    <w:aliases w:val="Basic Info"/>
    <w:uiPriority w:val="1"/>
    <w:qFormat/>
    <w:rsid w:val="008C66A0"/>
    <w:rPr>
      <w:sz w:val="22"/>
      <w:szCs w:val="22"/>
    </w:rPr>
  </w:style>
  <w:style w:type="character" w:styleId="Hyperlink">
    <w:name w:val="Hyperlink"/>
    <w:basedOn w:val="DefaultParagraphFont"/>
    <w:uiPriority w:val="99"/>
    <w:unhideWhenUsed/>
    <w:rsid w:val="001968CD"/>
    <w:rPr>
      <w:color w:val="0563C1" w:themeColor="hyperlink"/>
      <w:u w:val="single"/>
    </w:rPr>
  </w:style>
  <w:style w:type="character" w:customStyle="1" w:styleId="Heading1Char">
    <w:name w:val="Heading 1 Char"/>
    <w:basedOn w:val="DefaultParagraphFont"/>
    <w:link w:val="Heading1"/>
    <w:uiPriority w:val="9"/>
    <w:rsid w:val="00E67D3C"/>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E67D3C"/>
    <w:rPr>
      <w:rFonts w:ascii="Cambria" w:eastAsia="Times New Roman" w:hAnsi="Cambria"/>
      <w:b/>
      <w:bCs/>
      <w:i/>
      <w:iCs/>
      <w:sz w:val="28"/>
      <w:szCs w:val="28"/>
    </w:rPr>
  </w:style>
  <w:style w:type="paragraph" w:styleId="NormalWeb">
    <w:name w:val="Normal (Web)"/>
    <w:basedOn w:val="Normal"/>
    <w:uiPriority w:val="99"/>
    <w:unhideWhenUsed/>
    <w:rsid w:val="00E67D3C"/>
    <w:pPr>
      <w:spacing w:before="100" w:beforeAutospacing="1" w:after="100" w:afterAutospacing="1" w:line="240" w:lineRule="auto"/>
    </w:pPr>
    <w:rPr>
      <w:rFonts w:ascii="Times New Roman" w:eastAsia="Times New Roman" w:hAnsi="Times New Roman"/>
      <w:sz w:val="24"/>
      <w:szCs w:val="24"/>
    </w:rPr>
  </w:style>
  <w:style w:type="paragraph" w:customStyle="1" w:styleId="speakable-p-1">
    <w:name w:val="speakable-p-1"/>
    <w:basedOn w:val="Normal"/>
    <w:rsid w:val="00E67D3C"/>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E67D3C"/>
    <w:rPr>
      <w:i/>
      <w:iCs/>
    </w:rPr>
  </w:style>
  <w:style w:type="character" w:styleId="FollowedHyperlink">
    <w:name w:val="FollowedHyperlink"/>
    <w:basedOn w:val="DefaultParagraphFont"/>
    <w:uiPriority w:val="99"/>
    <w:semiHidden/>
    <w:unhideWhenUsed/>
    <w:rsid w:val="0001738E"/>
    <w:rPr>
      <w:color w:val="954F72" w:themeColor="followedHyperlink"/>
      <w:u w:val="single"/>
    </w:rPr>
  </w:style>
  <w:style w:type="character" w:styleId="UnresolvedMention">
    <w:name w:val="Unresolved Mention"/>
    <w:basedOn w:val="DefaultParagraphFont"/>
    <w:uiPriority w:val="99"/>
    <w:semiHidden/>
    <w:unhideWhenUsed/>
    <w:rsid w:val="00310D6B"/>
    <w:rPr>
      <w:color w:val="808080"/>
      <w:shd w:val="clear" w:color="auto" w:fill="E6E6E6"/>
    </w:rPr>
  </w:style>
  <w:style w:type="character" w:customStyle="1" w:styleId="unlinked-ref">
    <w:name w:val="unlinked-ref"/>
    <w:rsid w:val="007C45CA"/>
  </w:style>
  <w:style w:type="character" w:customStyle="1" w:styleId="headertext">
    <w:name w:val="headertext"/>
    <w:rsid w:val="007C45CA"/>
  </w:style>
  <w:style w:type="paragraph" w:customStyle="1" w:styleId="Default">
    <w:name w:val="Default"/>
    <w:rsid w:val="007C45CA"/>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C67090"/>
    <w:pPr>
      <w:spacing w:after="160" w:line="259" w:lineRule="auto"/>
      <w:ind w:left="720"/>
      <w:contextualSpacing/>
    </w:pPr>
    <w:rPr>
      <w:rFonts w:asciiTheme="minorHAnsi" w:eastAsiaTheme="minorHAnsi" w:hAnsiTheme="minorHAnsi" w:cstheme="minorBidi"/>
    </w:rPr>
  </w:style>
  <w:style w:type="paragraph" w:customStyle="1" w:styleId="fp">
    <w:name w:val="fp"/>
    <w:basedOn w:val="Normal"/>
    <w:rsid w:val="00C67090"/>
    <w:pPr>
      <w:spacing w:before="200"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0D0769"/>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unhideWhenUsed/>
    <w:rsid w:val="00AD5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D53DF"/>
    <w:rPr>
      <w:rFonts w:ascii="Courier New" w:eastAsia="Times New Roman" w:hAnsi="Courier New" w:cs="Courier New"/>
    </w:rPr>
  </w:style>
  <w:style w:type="paragraph" w:customStyle="1" w:styleId="statutory-body-2em">
    <w:name w:val="statutory-body-2em"/>
    <w:basedOn w:val="Normal"/>
    <w:rsid w:val="00AD53DF"/>
    <w:pPr>
      <w:spacing w:before="100" w:beforeAutospacing="1" w:after="100" w:afterAutospacing="1" w:line="240" w:lineRule="auto"/>
    </w:pPr>
    <w:rPr>
      <w:rFonts w:ascii="Times New Roman" w:eastAsia="Times New Roman" w:hAnsi="Times New Roman"/>
      <w:sz w:val="24"/>
      <w:szCs w:val="24"/>
    </w:rPr>
  </w:style>
  <w:style w:type="paragraph" w:customStyle="1" w:styleId="statutory-body-3em">
    <w:name w:val="statutory-body-3em"/>
    <w:basedOn w:val="Normal"/>
    <w:rsid w:val="00AD53DF"/>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18621C"/>
    <w:rPr>
      <w:color w:val="605E5C"/>
      <w:shd w:val="clear" w:color="auto" w:fill="E1DFDD"/>
    </w:rPr>
  </w:style>
  <w:style w:type="paragraph" w:customStyle="1" w:styleId="active">
    <w:name w:val="active"/>
    <w:basedOn w:val="Normal"/>
    <w:rsid w:val="00CC2139"/>
    <w:pPr>
      <w:spacing w:before="100" w:beforeAutospacing="1" w:after="100" w:afterAutospacing="1" w:line="240" w:lineRule="auto"/>
    </w:pPr>
    <w:rPr>
      <w:rFonts w:ascii="Times New Roman" w:eastAsia="Times New Roman" w:hAnsi="Times New Roman"/>
      <w:sz w:val="24"/>
      <w:szCs w:val="24"/>
    </w:rPr>
  </w:style>
  <w:style w:type="paragraph" w:customStyle="1" w:styleId="decision-tab">
    <w:name w:val="decision-tab"/>
    <w:basedOn w:val="Normal"/>
    <w:rsid w:val="000306C7"/>
    <w:pPr>
      <w:spacing w:before="100" w:beforeAutospacing="1" w:after="100" w:afterAutospacing="1" w:line="240" w:lineRule="auto"/>
    </w:pPr>
    <w:rPr>
      <w:rFonts w:ascii="Times New Roman" w:eastAsia="Times New Roman" w:hAnsi="Times New Roman"/>
      <w:sz w:val="24"/>
      <w:szCs w:val="24"/>
    </w:rPr>
  </w:style>
  <w:style w:type="character" w:customStyle="1" w:styleId="highlight">
    <w:name w:val="highlight"/>
    <w:basedOn w:val="DefaultParagraphFont"/>
    <w:rsid w:val="000306C7"/>
  </w:style>
  <w:style w:type="character" w:customStyle="1" w:styleId="nanospell-typo">
    <w:name w:val="nanospell-typo"/>
    <w:basedOn w:val="DefaultParagraphFont"/>
    <w:rsid w:val="000D47A7"/>
  </w:style>
  <w:style w:type="character" w:styleId="Strong">
    <w:name w:val="Strong"/>
    <w:basedOn w:val="DefaultParagraphFont"/>
    <w:uiPriority w:val="22"/>
    <w:qFormat/>
    <w:rsid w:val="000D47A7"/>
    <w:rPr>
      <w:b/>
      <w:bCs/>
    </w:rPr>
  </w:style>
  <w:style w:type="character" w:customStyle="1" w:styleId="posted-time">
    <w:name w:val="posted-time"/>
    <w:basedOn w:val="DefaultParagraphFont"/>
    <w:rsid w:val="000D47A7"/>
  </w:style>
  <w:style w:type="character" w:customStyle="1" w:styleId="updated-time">
    <w:name w:val="updated-time"/>
    <w:basedOn w:val="DefaultParagraphFont"/>
    <w:rsid w:val="000D47A7"/>
  </w:style>
  <w:style w:type="paragraph" w:customStyle="1" w:styleId="speakable-p-2">
    <w:name w:val="speakable-p-2"/>
    <w:basedOn w:val="Normal"/>
    <w:rsid w:val="000D47A7"/>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0D47A7"/>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0D47A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0D47A7"/>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0D47A7"/>
    <w:rPr>
      <w:rFonts w:asciiTheme="minorHAnsi" w:eastAsiaTheme="minorHAnsi" w:hAnsiTheme="minorHAnsi" w:cstheme="minorBidi"/>
      <w:sz w:val="22"/>
      <w:szCs w:val="22"/>
    </w:rPr>
  </w:style>
  <w:style w:type="character" w:customStyle="1" w:styleId="value">
    <w:name w:val="value"/>
    <w:basedOn w:val="DefaultParagraphFont"/>
    <w:rsid w:val="00084E0A"/>
  </w:style>
  <w:style w:type="character" w:customStyle="1" w:styleId="access">
    <w:name w:val="access"/>
    <w:basedOn w:val="DefaultParagraphFont"/>
    <w:rsid w:val="00084E0A"/>
  </w:style>
  <w:style w:type="paragraph" w:styleId="PlainText">
    <w:name w:val="Plain Text"/>
    <w:basedOn w:val="Normal"/>
    <w:link w:val="PlainTextChar"/>
    <w:uiPriority w:val="99"/>
    <w:unhideWhenUsed/>
    <w:rsid w:val="00D95F2C"/>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D95F2C"/>
    <w:rPr>
      <w:rFonts w:eastAsiaTheme="minorHAnsi" w:cstheme="minorBidi"/>
      <w:sz w:val="22"/>
      <w:szCs w:val="21"/>
    </w:rPr>
  </w:style>
  <w:style w:type="character" w:customStyle="1" w:styleId="share-txt">
    <w:name w:val="share-txt"/>
    <w:basedOn w:val="DefaultParagraphFont"/>
    <w:rsid w:val="00AA344E"/>
  </w:style>
  <w:style w:type="paragraph" w:customStyle="1" w:styleId="textbody">
    <w:name w:val="text_body"/>
    <w:basedOn w:val="Normal"/>
    <w:rsid w:val="00AA344E"/>
    <w:pPr>
      <w:spacing w:before="100" w:beforeAutospacing="1" w:after="100" w:afterAutospacing="1" w:line="240" w:lineRule="auto"/>
    </w:pPr>
    <w:rPr>
      <w:rFonts w:ascii="Times New Roman" w:eastAsia="Times New Roman" w:hAnsi="Times New Roman"/>
      <w:sz w:val="24"/>
      <w:szCs w:val="24"/>
    </w:rPr>
  </w:style>
  <w:style w:type="paragraph" w:customStyle="1" w:styleId="textendnote">
    <w:name w:val="text_endnote"/>
    <w:basedOn w:val="Normal"/>
    <w:rsid w:val="00AA344E"/>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F326E5"/>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rsid w:val="00F326E5"/>
    <w:rPr>
      <w:rFonts w:asciiTheme="majorHAnsi" w:eastAsiaTheme="majorEastAsia" w:hAnsiTheme="majorHAnsi" w:cstheme="majorBidi"/>
      <w:color w:val="2E74B5" w:themeColor="accent1" w:themeShade="BF"/>
      <w:sz w:val="22"/>
      <w:szCs w:val="22"/>
    </w:rPr>
  </w:style>
  <w:style w:type="character" w:customStyle="1" w:styleId="ilfuvd">
    <w:name w:val="ilfuvd"/>
    <w:basedOn w:val="DefaultParagraphFont"/>
    <w:rsid w:val="00F326E5"/>
  </w:style>
  <w:style w:type="character" w:customStyle="1" w:styleId="mw-headline">
    <w:name w:val="mw-headline"/>
    <w:basedOn w:val="DefaultParagraphFont"/>
    <w:rsid w:val="00F326E5"/>
  </w:style>
  <w:style w:type="character" w:customStyle="1" w:styleId="lrzxr">
    <w:name w:val="lrzxr"/>
    <w:basedOn w:val="DefaultParagraphFont"/>
    <w:rsid w:val="00F326E5"/>
  </w:style>
  <w:style w:type="paragraph" w:customStyle="1" w:styleId="trt0xe">
    <w:name w:val="trt0xe"/>
    <w:basedOn w:val="Normal"/>
    <w:rsid w:val="00F326E5"/>
    <w:pPr>
      <w:spacing w:before="100" w:beforeAutospacing="1" w:after="100" w:afterAutospacing="1" w:line="240" w:lineRule="auto"/>
    </w:pPr>
    <w:rPr>
      <w:rFonts w:ascii="Times New Roman" w:eastAsia="Times New Roman" w:hAnsi="Times New Roman"/>
      <w:sz w:val="24"/>
      <w:szCs w:val="24"/>
    </w:rPr>
  </w:style>
  <w:style w:type="paragraph" w:customStyle="1" w:styleId="copy">
    <w:name w:val="copy"/>
    <w:basedOn w:val="Normal"/>
    <w:rsid w:val="00F326E5"/>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DefaultParagraphFont"/>
    <w:rsid w:val="00F326E5"/>
  </w:style>
  <w:style w:type="paragraph" w:customStyle="1" w:styleId="subtext">
    <w:name w:val="subtext"/>
    <w:basedOn w:val="Normal"/>
    <w:rsid w:val="00F326E5"/>
    <w:pPr>
      <w:spacing w:before="100" w:beforeAutospacing="1" w:after="100" w:afterAutospacing="1" w:line="240" w:lineRule="auto"/>
    </w:pPr>
    <w:rPr>
      <w:rFonts w:ascii="Times New Roman" w:eastAsia="Times New Roman" w:hAnsi="Times New Roman"/>
      <w:sz w:val="24"/>
      <w:szCs w:val="24"/>
    </w:rPr>
  </w:style>
  <w:style w:type="character" w:customStyle="1" w:styleId="w8qarf">
    <w:name w:val="w8qarf"/>
    <w:basedOn w:val="DefaultParagraphFont"/>
    <w:rsid w:val="00F326E5"/>
  </w:style>
  <w:style w:type="character" w:customStyle="1" w:styleId="Date1">
    <w:name w:val="Date1"/>
    <w:basedOn w:val="DefaultParagraphFont"/>
    <w:rsid w:val="00F326E5"/>
  </w:style>
  <w:style w:type="character" w:customStyle="1" w:styleId="date-display-single">
    <w:name w:val="date-display-single"/>
    <w:basedOn w:val="DefaultParagraphFont"/>
    <w:rsid w:val="00F326E5"/>
  </w:style>
  <w:style w:type="character" w:customStyle="1" w:styleId="partyletter">
    <w:name w:val="partyletter"/>
    <w:basedOn w:val="DefaultParagraphFont"/>
    <w:rsid w:val="00F326E5"/>
  </w:style>
  <w:style w:type="paragraph" w:customStyle="1" w:styleId="p-text">
    <w:name w:val="p-text"/>
    <w:basedOn w:val="Normal"/>
    <w:rsid w:val="00F326E5"/>
    <w:pPr>
      <w:spacing w:before="100" w:beforeAutospacing="1" w:after="100" w:afterAutospacing="1" w:line="240" w:lineRule="auto"/>
    </w:pPr>
    <w:rPr>
      <w:rFonts w:ascii="Times New Roman" w:eastAsia="Times New Roman" w:hAnsi="Times New Roman"/>
      <w:sz w:val="24"/>
      <w:szCs w:val="24"/>
    </w:rPr>
  </w:style>
  <w:style w:type="character" w:styleId="HTMLAcronym">
    <w:name w:val="HTML Acronym"/>
    <w:basedOn w:val="DefaultParagraphFont"/>
    <w:uiPriority w:val="99"/>
    <w:semiHidden/>
    <w:unhideWhenUsed/>
    <w:rsid w:val="00F326E5"/>
  </w:style>
  <w:style w:type="character" w:customStyle="1" w:styleId="l-leftover">
    <w:name w:val="l-leftover"/>
    <w:basedOn w:val="DefaultParagraphFont"/>
    <w:rsid w:val="00F326E5"/>
  </w:style>
  <w:style w:type="character" w:customStyle="1" w:styleId="accent">
    <w:name w:val="accent"/>
    <w:basedOn w:val="DefaultParagraphFont"/>
    <w:rsid w:val="00F326E5"/>
  </w:style>
  <w:style w:type="character" w:customStyle="1" w:styleId="Title1">
    <w:name w:val="Title1"/>
    <w:basedOn w:val="DefaultParagraphFont"/>
    <w:rsid w:val="00F326E5"/>
  </w:style>
  <w:style w:type="character" w:customStyle="1" w:styleId="Subtitle1">
    <w:name w:val="Subtitle1"/>
    <w:basedOn w:val="DefaultParagraphFont"/>
    <w:rsid w:val="00F326E5"/>
  </w:style>
  <w:style w:type="character" w:customStyle="1" w:styleId="nowrap">
    <w:name w:val="nowrap"/>
    <w:basedOn w:val="DefaultParagraphFont"/>
    <w:rsid w:val="00F326E5"/>
  </w:style>
  <w:style w:type="character" w:customStyle="1" w:styleId="heading">
    <w:name w:val="heading"/>
    <w:basedOn w:val="DefaultParagraphFont"/>
    <w:rsid w:val="00F326E5"/>
  </w:style>
  <w:style w:type="character" w:customStyle="1" w:styleId="gltxt">
    <w:name w:val="gltxt"/>
    <w:basedOn w:val="DefaultParagraphFont"/>
    <w:rsid w:val="00F326E5"/>
  </w:style>
  <w:style w:type="paragraph" w:styleId="z-TopofForm">
    <w:name w:val="HTML Top of Form"/>
    <w:basedOn w:val="Normal"/>
    <w:next w:val="Normal"/>
    <w:link w:val="z-TopofFormChar"/>
    <w:hidden/>
    <w:uiPriority w:val="99"/>
    <w:semiHidden/>
    <w:unhideWhenUsed/>
    <w:rsid w:val="00F326E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326E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326E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326E5"/>
    <w:rPr>
      <w:rFonts w:ascii="Arial" w:eastAsia="Times New Roman" w:hAnsi="Arial" w:cs="Arial"/>
      <w:vanish/>
      <w:sz w:val="16"/>
      <w:szCs w:val="16"/>
    </w:rPr>
  </w:style>
  <w:style w:type="paragraph" w:customStyle="1" w:styleId="menu-item">
    <w:name w:val="menu-item"/>
    <w:basedOn w:val="Normal"/>
    <w:rsid w:val="00F326E5"/>
    <w:pPr>
      <w:spacing w:before="100" w:beforeAutospacing="1" w:after="100" w:afterAutospacing="1" w:line="240" w:lineRule="auto"/>
    </w:pPr>
    <w:rPr>
      <w:rFonts w:ascii="Times New Roman" w:eastAsia="Times New Roman" w:hAnsi="Times New Roman"/>
      <w:sz w:val="24"/>
      <w:szCs w:val="24"/>
    </w:rPr>
  </w:style>
  <w:style w:type="character" w:styleId="FootnoteReference">
    <w:name w:val="footnote reference"/>
    <w:basedOn w:val="DefaultParagraphFont"/>
    <w:uiPriority w:val="99"/>
    <w:semiHidden/>
    <w:unhideWhenUsed/>
    <w:rsid w:val="00F326E5"/>
  </w:style>
  <w:style w:type="character" w:customStyle="1" w:styleId="dfm-title">
    <w:name w:val="dfm-title"/>
    <w:rsid w:val="00F326E5"/>
  </w:style>
  <w:style w:type="character" w:customStyle="1" w:styleId="field">
    <w:name w:val="field"/>
    <w:basedOn w:val="DefaultParagraphFont"/>
    <w:rsid w:val="00527EDF"/>
  </w:style>
  <w:style w:type="character" w:customStyle="1" w:styleId="grame">
    <w:name w:val="grame"/>
    <w:basedOn w:val="DefaultParagraphFont"/>
    <w:rsid w:val="002B1283"/>
  </w:style>
  <w:style w:type="character" w:customStyle="1" w:styleId="outlineheading2">
    <w:name w:val="outline_heading_2"/>
    <w:basedOn w:val="DefaultParagraphFont"/>
    <w:rsid w:val="00297434"/>
  </w:style>
  <w:style w:type="character" w:customStyle="1" w:styleId="annotation">
    <w:name w:val="annotation"/>
    <w:basedOn w:val="DefaultParagraphFont"/>
    <w:rsid w:val="00297434"/>
  </w:style>
  <w:style w:type="character" w:customStyle="1" w:styleId="balancedheadline">
    <w:name w:val="balancedheadline"/>
    <w:basedOn w:val="DefaultParagraphFont"/>
    <w:rsid w:val="00A247E4"/>
  </w:style>
  <w:style w:type="character" w:customStyle="1" w:styleId="num">
    <w:name w:val="num"/>
    <w:basedOn w:val="DefaultParagraphFont"/>
    <w:rsid w:val="0066298F"/>
  </w:style>
  <w:style w:type="character" w:customStyle="1" w:styleId="chapeau">
    <w:name w:val="chapeau"/>
    <w:basedOn w:val="DefaultParagraphFont"/>
    <w:rsid w:val="0066298F"/>
  </w:style>
  <w:style w:type="character" w:customStyle="1" w:styleId="citation">
    <w:name w:val="citation"/>
    <w:basedOn w:val="DefaultParagraphFont"/>
    <w:rsid w:val="00A01ACA"/>
  </w:style>
  <w:style w:type="paragraph" w:customStyle="1" w:styleId="gdp">
    <w:name w:val="gd_p"/>
    <w:basedOn w:val="Normal"/>
    <w:uiPriority w:val="99"/>
    <w:semiHidden/>
    <w:rsid w:val="0020758F"/>
    <w:pPr>
      <w:spacing w:before="100" w:beforeAutospacing="1" w:after="100" w:afterAutospacing="1" w:line="240" w:lineRule="auto"/>
    </w:pPr>
    <w:rPr>
      <w:rFonts w:eastAsiaTheme="minorHAnsi" w:cs="Calibri"/>
    </w:rPr>
  </w:style>
  <w:style w:type="character" w:customStyle="1" w:styleId="timestamp">
    <w:name w:val="timestamp"/>
    <w:basedOn w:val="DefaultParagraphFont"/>
    <w:rsid w:val="006B2083"/>
  </w:style>
  <w:style w:type="paragraph" w:customStyle="1" w:styleId="text">
    <w:name w:val="text"/>
    <w:basedOn w:val="Normal"/>
    <w:rsid w:val="00B532F6"/>
    <w:pPr>
      <w:spacing w:before="100" w:beforeAutospacing="1" w:after="100" w:afterAutospacing="1" w:line="240" w:lineRule="auto"/>
    </w:pPr>
    <w:rPr>
      <w:rFonts w:ascii="Times New Roman" w:eastAsia="Times New Roman" w:hAnsi="Times New Roman"/>
      <w:sz w:val="24"/>
      <w:szCs w:val="24"/>
    </w:rPr>
  </w:style>
  <w:style w:type="character" w:customStyle="1" w:styleId="font-weight-bold">
    <w:name w:val="font-weight-bold"/>
    <w:basedOn w:val="DefaultParagraphFont"/>
    <w:rsid w:val="00DD03E3"/>
  </w:style>
  <w:style w:type="paragraph" w:customStyle="1" w:styleId="xxxxmsonormal">
    <w:name w:val="x_x_x_xmsonormal"/>
    <w:basedOn w:val="Normal"/>
    <w:uiPriority w:val="99"/>
    <w:rsid w:val="005E132A"/>
    <w:pPr>
      <w:spacing w:before="100" w:beforeAutospacing="1" w:after="100" w:afterAutospacing="1" w:line="240" w:lineRule="auto"/>
    </w:pPr>
    <w:rPr>
      <w:rFonts w:eastAsiaTheme="minorHAnsi" w:cs="Calibri"/>
    </w:rPr>
  </w:style>
  <w:style w:type="paragraph" w:customStyle="1" w:styleId="xxxxxmsonormal">
    <w:name w:val="x_x_x_xxmsonormal"/>
    <w:basedOn w:val="Normal"/>
    <w:uiPriority w:val="99"/>
    <w:rsid w:val="005E132A"/>
    <w:pPr>
      <w:spacing w:after="0" w:line="240" w:lineRule="auto"/>
    </w:pPr>
    <w:rPr>
      <w:rFonts w:eastAsiaTheme="minorHAnsi" w:cs="Calibri"/>
    </w:rPr>
  </w:style>
  <w:style w:type="paragraph" w:customStyle="1" w:styleId="paragraph">
    <w:name w:val="paragraph"/>
    <w:basedOn w:val="Normal"/>
    <w:rsid w:val="007F3C7D"/>
    <w:pPr>
      <w:spacing w:before="100" w:beforeAutospacing="1" w:after="100" w:afterAutospacing="1" w:line="240" w:lineRule="auto"/>
    </w:pPr>
    <w:rPr>
      <w:rFonts w:ascii="Times New Roman" w:eastAsia="Times New Roman" w:hAnsi="Times New Roman"/>
      <w:sz w:val="24"/>
      <w:szCs w:val="24"/>
    </w:rPr>
  </w:style>
  <w:style w:type="paragraph" w:customStyle="1" w:styleId="statutory-body">
    <w:name w:val="statutory-body"/>
    <w:basedOn w:val="Normal"/>
    <w:rsid w:val="000915C1"/>
    <w:pPr>
      <w:spacing w:before="100" w:beforeAutospacing="1" w:after="100" w:afterAutospacing="1" w:line="240" w:lineRule="auto"/>
    </w:pPr>
    <w:rPr>
      <w:rFonts w:ascii="Times New Roman" w:eastAsia="Times New Roman" w:hAnsi="Times New Roman"/>
      <w:sz w:val="24"/>
      <w:szCs w:val="24"/>
    </w:rPr>
  </w:style>
  <w:style w:type="paragraph" w:customStyle="1" w:styleId="source-credit">
    <w:name w:val="source-credit"/>
    <w:basedOn w:val="Normal"/>
    <w:rsid w:val="000915C1"/>
    <w:pPr>
      <w:spacing w:before="100" w:beforeAutospacing="1" w:after="100" w:afterAutospacing="1" w:line="240" w:lineRule="auto"/>
    </w:pPr>
    <w:rPr>
      <w:rFonts w:ascii="Times New Roman" w:eastAsia="Times New Roman" w:hAnsi="Times New Roman"/>
      <w:sz w:val="24"/>
      <w:szCs w:val="24"/>
    </w:rPr>
  </w:style>
  <w:style w:type="paragraph" w:customStyle="1" w:styleId="gntarbp">
    <w:name w:val="gnt_ar_b_p"/>
    <w:basedOn w:val="Normal"/>
    <w:rsid w:val="0077274E"/>
    <w:pPr>
      <w:spacing w:before="100" w:beforeAutospacing="1" w:after="100" w:afterAutospacing="1" w:line="240" w:lineRule="auto"/>
    </w:pPr>
    <w:rPr>
      <w:rFonts w:ascii="Times New Roman" w:eastAsia="Times New Roman" w:hAnsi="Times New Roman"/>
      <w:sz w:val="24"/>
      <w:szCs w:val="24"/>
    </w:rPr>
  </w:style>
  <w:style w:type="character" w:customStyle="1" w:styleId="codes-separator">
    <w:name w:val="codes-separator"/>
    <w:basedOn w:val="DefaultParagraphFont"/>
    <w:rsid w:val="00F27CD5"/>
  </w:style>
  <w:style w:type="character" w:customStyle="1" w:styleId="markedcontent">
    <w:name w:val="markedcontent"/>
    <w:basedOn w:val="DefaultParagraphFont"/>
    <w:rsid w:val="00A82898"/>
  </w:style>
  <w:style w:type="paragraph" w:customStyle="1" w:styleId="p1">
    <w:name w:val="p1"/>
    <w:basedOn w:val="Normal"/>
    <w:rsid w:val="008A0333"/>
    <w:pPr>
      <w:spacing w:before="100" w:beforeAutospacing="1" w:after="100" w:afterAutospacing="1" w:line="240" w:lineRule="auto"/>
    </w:pPr>
    <w:rPr>
      <w:rFonts w:ascii="Times New Roman" w:eastAsia="Times New Roman" w:hAnsi="Times New Roman"/>
      <w:sz w:val="24"/>
      <w:szCs w:val="24"/>
    </w:rPr>
  </w:style>
  <w:style w:type="character" w:customStyle="1" w:styleId="gold">
    <w:name w:val="gold"/>
    <w:basedOn w:val="DefaultParagraphFont"/>
    <w:rsid w:val="005217D5"/>
  </w:style>
  <w:style w:type="paragraph" w:customStyle="1" w:styleId="articleparagraph">
    <w:name w:val="article__paragraph"/>
    <w:basedOn w:val="Normal"/>
    <w:rsid w:val="00382F02"/>
    <w:pPr>
      <w:spacing w:before="100" w:beforeAutospacing="1" w:after="100" w:afterAutospacing="1" w:line="240" w:lineRule="auto"/>
    </w:pPr>
    <w:rPr>
      <w:rFonts w:ascii="Times New Roman" w:eastAsia="Times New Roman" w:hAnsi="Times New Roman"/>
      <w:sz w:val="24"/>
      <w:szCs w:val="24"/>
    </w:rPr>
  </w:style>
  <w:style w:type="character" w:customStyle="1" w:styleId="screenreader-only">
    <w:name w:val="screenreader-only"/>
    <w:basedOn w:val="DefaultParagraphFont"/>
    <w:rsid w:val="00BD263B"/>
  </w:style>
  <w:style w:type="character" w:customStyle="1" w:styleId="style-scope">
    <w:name w:val="style-scope"/>
    <w:basedOn w:val="DefaultParagraphFont"/>
    <w:rsid w:val="002F610D"/>
  </w:style>
  <w:style w:type="paragraph" w:customStyle="1" w:styleId="docdate">
    <w:name w:val="docdate"/>
    <w:basedOn w:val="Normal"/>
    <w:uiPriority w:val="99"/>
    <w:rsid w:val="00BD1702"/>
    <w:pPr>
      <w:spacing w:before="100" w:beforeAutospacing="1" w:after="100" w:afterAutospacing="1" w:line="240" w:lineRule="auto"/>
    </w:pPr>
    <w:rPr>
      <w:rFonts w:ascii="Times New Roman" w:eastAsia="Times New Roman" w:hAnsi="Times New Roman"/>
      <w:sz w:val="24"/>
      <w:szCs w:val="24"/>
    </w:rPr>
  </w:style>
  <w:style w:type="character" w:customStyle="1" w:styleId="Date2">
    <w:name w:val="Date2"/>
    <w:basedOn w:val="DefaultParagraphFont"/>
    <w:rsid w:val="00C67B2A"/>
  </w:style>
  <w:style w:type="paragraph" w:customStyle="1" w:styleId="dropcap">
    <w:name w:val="dropcap"/>
    <w:basedOn w:val="Normal"/>
    <w:rsid w:val="00774A91"/>
    <w:pPr>
      <w:spacing w:before="100" w:beforeAutospacing="1" w:after="100" w:afterAutospacing="1" w:line="240" w:lineRule="auto"/>
    </w:pPr>
    <w:rPr>
      <w:rFonts w:ascii="Times New Roman" w:eastAsia="Times New Roman" w:hAnsi="Times New Roman"/>
      <w:sz w:val="24"/>
      <w:szCs w:val="24"/>
    </w:rPr>
  </w:style>
  <w:style w:type="character" w:customStyle="1" w:styleId="post-title">
    <w:name w:val="post-title"/>
    <w:basedOn w:val="DefaultParagraphFont"/>
    <w:rsid w:val="00365F63"/>
  </w:style>
  <w:style w:type="character" w:styleId="HTMLCode">
    <w:name w:val="HTML Code"/>
    <w:basedOn w:val="DefaultParagraphFont"/>
    <w:uiPriority w:val="99"/>
    <w:semiHidden/>
    <w:unhideWhenUsed/>
    <w:rsid w:val="00E8117B"/>
    <w:rPr>
      <w:rFonts w:ascii="Courier New" w:eastAsia="Times New Roman" w:hAnsi="Courier New" w:cs="Courier New" w:hint="default"/>
      <w:sz w:val="20"/>
      <w:szCs w:val="20"/>
    </w:rPr>
  </w:style>
  <w:style w:type="character" w:customStyle="1" w:styleId="normaltextrun">
    <w:name w:val="normaltextrun"/>
    <w:basedOn w:val="DefaultParagraphFont"/>
    <w:rsid w:val="006C79BE"/>
  </w:style>
  <w:style w:type="paragraph" w:customStyle="1" w:styleId="ekqk">
    <w:name w:val="ekqk"/>
    <w:basedOn w:val="Normal"/>
    <w:uiPriority w:val="99"/>
    <w:rsid w:val="008A4533"/>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F55395"/>
  </w:style>
  <w:style w:type="character" w:customStyle="1" w:styleId="field-formatter--string">
    <w:name w:val="field-formatter--string"/>
    <w:basedOn w:val="DefaultParagraphFont"/>
    <w:rsid w:val="007A0E71"/>
  </w:style>
  <w:style w:type="character" w:customStyle="1" w:styleId="hgkelc">
    <w:name w:val="hgkelc"/>
    <w:basedOn w:val="DefaultParagraphFont"/>
    <w:rsid w:val="00237599"/>
  </w:style>
  <w:style w:type="paragraph" w:customStyle="1" w:styleId="css-1n0orw4">
    <w:name w:val="css-1n0orw4"/>
    <w:basedOn w:val="Normal"/>
    <w:rsid w:val="00237599"/>
    <w:pPr>
      <w:spacing w:before="100" w:beforeAutospacing="1" w:after="100" w:afterAutospacing="1" w:line="240" w:lineRule="auto"/>
    </w:pPr>
    <w:rPr>
      <w:rFonts w:ascii="Times New Roman" w:eastAsia="Times New Roman" w:hAnsi="Times New Roman"/>
      <w:sz w:val="24"/>
      <w:szCs w:val="24"/>
    </w:rPr>
  </w:style>
  <w:style w:type="paragraph" w:customStyle="1" w:styleId="css-at9mc1">
    <w:name w:val="css-at9mc1"/>
    <w:basedOn w:val="Normal"/>
    <w:rsid w:val="00FE60DA"/>
    <w:pPr>
      <w:spacing w:before="100" w:beforeAutospacing="1" w:after="100" w:afterAutospacing="1" w:line="240" w:lineRule="auto"/>
    </w:pPr>
    <w:rPr>
      <w:rFonts w:ascii="Times New Roman" w:eastAsia="Times New Roman" w:hAnsi="Times New Roman"/>
      <w:sz w:val="24"/>
      <w:szCs w:val="24"/>
    </w:rPr>
  </w:style>
  <w:style w:type="paragraph" w:customStyle="1" w:styleId="first-paragraph">
    <w:name w:val="first-paragraph"/>
    <w:basedOn w:val="Normal"/>
    <w:rsid w:val="00FE60DA"/>
    <w:pPr>
      <w:spacing w:before="100" w:beforeAutospacing="1" w:after="100" w:afterAutospacing="1" w:line="240" w:lineRule="auto"/>
    </w:pPr>
    <w:rPr>
      <w:rFonts w:ascii="Times New Roman" w:eastAsia="Times New Roman" w:hAnsi="Times New Roman"/>
      <w:sz w:val="24"/>
      <w:szCs w:val="24"/>
    </w:rPr>
  </w:style>
  <w:style w:type="paragraph" w:customStyle="1" w:styleId="defaultstyledtext-tl066j-0">
    <w:name w:val="default__styledtext-tl066j-0"/>
    <w:basedOn w:val="Normal"/>
    <w:rsid w:val="00A65FD8"/>
    <w:pPr>
      <w:spacing w:before="100" w:beforeAutospacing="1" w:after="100" w:afterAutospacing="1" w:line="240" w:lineRule="auto"/>
    </w:pPr>
    <w:rPr>
      <w:rFonts w:ascii="Times New Roman" w:eastAsia="Times New Roman" w:hAnsi="Times New Roman"/>
      <w:sz w:val="24"/>
      <w:szCs w:val="24"/>
    </w:rPr>
  </w:style>
  <w:style w:type="paragraph" w:customStyle="1" w:styleId="p0">
    <w:name w:val="p0"/>
    <w:basedOn w:val="Normal"/>
    <w:next w:val="Normal"/>
    <w:qFormat/>
    <w:rsid w:val="00C22EBB"/>
    <w:pPr>
      <w:spacing w:after="120" w:line="240" w:lineRule="auto"/>
      <w:ind w:firstLine="432"/>
      <w:jc w:val="both"/>
    </w:pPr>
    <w:rPr>
      <w:rFonts w:ascii="Arial" w:eastAsia="Arial" w:hAnsi="Arial" w:cs="Arial"/>
      <w:sz w:val="20"/>
    </w:rPr>
  </w:style>
  <w:style w:type="paragraph" w:customStyle="1" w:styleId="byline">
    <w:name w:val="byline"/>
    <w:basedOn w:val="Normal"/>
    <w:rsid w:val="00267A43"/>
    <w:pPr>
      <w:spacing w:before="100" w:beforeAutospacing="1" w:after="100" w:afterAutospacing="1" w:line="240" w:lineRule="auto"/>
    </w:pPr>
    <w:rPr>
      <w:rFonts w:ascii="Times New Roman" w:eastAsia="Times New Roman" w:hAnsi="Times New Roman"/>
      <w:sz w:val="24"/>
      <w:szCs w:val="24"/>
    </w:rPr>
  </w:style>
  <w:style w:type="paragraph" w:customStyle="1" w:styleId="indent-1">
    <w:name w:val="indent-1"/>
    <w:basedOn w:val="Normal"/>
    <w:rsid w:val="009371E7"/>
    <w:pPr>
      <w:spacing w:before="100" w:beforeAutospacing="1" w:after="100" w:afterAutospacing="1" w:line="240" w:lineRule="auto"/>
    </w:pPr>
    <w:rPr>
      <w:rFonts w:ascii="Times New Roman" w:eastAsia="Times New Roman" w:hAnsi="Times New Roman"/>
      <w:sz w:val="24"/>
      <w:szCs w:val="24"/>
    </w:rPr>
  </w:style>
  <w:style w:type="character" w:customStyle="1" w:styleId="paragraph-hierarchy">
    <w:name w:val="paragraph-hierarchy"/>
    <w:basedOn w:val="DefaultParagraphFont"/>
    <w:rsid w:val="009371E7"/>
  </w:style>
  <w:style w:type="character" w:customStyle="1" w:styleId="paren">
    <w:name w:val="paren"/>
    <w:basedOn w:val="DefaultParagraphFont"/>
    <w:rsid w:val="009371E7"/>
  </w:style>
  <w:style w:type="character" w:customStyle="1" w:styleId="title-main">
    <w:name w:val="title-main"/>
    <w:basedOn w:val="DefaultParagraphFont"/>
    <w:rsid w:val="001C2F88"/>
  </w:style>
  <w:style w:type="character" w:customStyle="1" w:styleId="Heading7Char">
    <w:name w:val="Heading 7 Char"/>
    <w:basedOn w:val="DefaultParagraphFont"/>
    <w:link w:val="Heading7"/>
    <w:uiPriority w:val="9"/>
    <w:semiHidden/>
    <w:rsid w:val="004F15A5"/>
    <w:rPr>
      <w:rFonts w:asciiTheme="majorHAnsi" w:eastAsiaTheme="majorEastAsia" w:hAnsiTheme="majorHAnsi" w:cstheme="majorBidi"/>
      <w:i/>
      <w:iCs/>
      <w:color w:val="1F4D78"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2852">
      <w:bodyDiv w:val="1"/>
      <w:marLeft w:val="0"/>
      <w:marRight w:val="0"/>
      <w:marTop w:val="0"/>
      <w:marBottom w:val="0"/>
      <w:divBdr>
        <w:top w:val="none" w:sz="0" w:space="0" w:color="auto"/>
        <w:left w:val="none" w:sz="0" w:space="0" w:color="auto"/>
        <w:bottom w:val="none" w:sz="0" w:space="0" w:color="auto"/>
        <w:right w:val="none" w:sz="0" w:space="0" w:color="auto"/>
      </w:divBdr>
      <w:divsChild>
        <w:div w:id="599264552">
          <w:marLeft w:val="0"/>
          <w:marRight w:val="0"/>
          <w:marTop w:val="0"/>
          <w:marBottom w:val="0"/>
          <w:divBdr>
            <w:top w:val="none" w:sz="0" w:space="0" w:color="auto"/>
            <w:left w:val="none" w:sz="0" w:space="0" w:color="auto"/>
            <w:bottom w:val="none" w:sz="0" w:space="0" w:color="auto"/>
            <w:right w:val="none" w:sz="0" w:space="0" w:color="auto"/>
          </w:divBdr>
        </w:div>
        <w:div w:id="876237426">
          <w:marLeft w:val="0"/>
          <w:marRight w:val="0"/>
          <w:marTop w:val="0"/>
          <w:marBottom w:val="0"/>
          <w:divBdr>
            <w:top w:val="none" w:sz="0" w:space="0" w:color="auto"/>
            <w:left w:val="none" w:sz="0" w:space="0" w:color="auto"/>
            <w:bottom w:val="none" w:sz="0" w:space="0" w:color="auto"/>
            <w:right w:val="none" w:sz="0" w:space="0" w:color="auto"/>
          </w:divBdr>
        </w:div>
        <w:div w:id="5716198">
          <w:marLeft w:val="0"/>
          <w:marRight w:val="0"/>
          <w:marTop w:val="0"/>
          <w:marBottom w:val="0"/>
          <w:divBdr>
            <w:top w:val="none" w:sz="0" w:space="0" w:color="auto"/>
            <w:left w:val="none" w:sz="0" w:space="0" w:color="auto"/>
            <w:bottom w:val="none" w:sz="0" w:space="0" w:color="auto"/>
            <w:right w:val="none" w:sz="0" w:space="0" w:color="auto"/>
          </w:divBdr>
        </w:div>
        <w:div w:id="1743596477">
          <w:marLeft w:val="0"/>
          <w:marRight w:val="0"/>
          <w:marTop w:val="0"/>
          <w:marBottom w:val="0"/>
          <w:divBdr>
            <w:top w:val="none" w:sz="0" w:space="0" w:color="auto"/>
            <w:left w:val="none" w:sz="0" w:space="0" w:color="auto"/>
            <w:bottom w:val="none" w:sz="0" w:space="0" w:color="auto"/>
            <w:right w:val="none" w:sz="0" w:space="0" w:color="auto"/>
          </w:divBdr>
        </w:div>
        <w:div w:id="255482026">
          <w:marLeft w:val="0"/>
          <w:marRight w:val="0"/>
          <w:marTop w:val="0"/>
          <w:marBottom w:val="0"/>
          <w:divBdr>
            <w:top w:val="none" w:sz="0" w:space="0" w:color="auto"/>
            <w:left w:val="none" w:sz="0" w:space="0" w:color="auto"/>
            <w:bottom w:val="none" w:sz="0" w:space="0" w:color="auto"/>
            <w:right w:val="none" w:sz="0" w:space="0" w:color="auto"/>
          </w:divBdr>
        </w:div>
        <w:div w:id="567308065">
          <w:marLeft w:val="0"/>
          <w:marRight w:val="0"/>
          <w:marTop w:val="0"/>
          <w:marBottom w:val="0"/>
          <w:divBdr>
            <w:top w:val="none" w:sz="0" w:space="0" w:color="auto"/>
            <w:left w:val="none" w:sz="0" w:space="0" w:color="auto"/>
            <w:bottom w:val="none" w:sz="0" w:space="0" w:color="auto"/>
            <w:right w:val="none" w:sz="0" w:space="0" w:color="auto"/>
          </w:divBdr>
        </w:div>
        <w:div w:id="1838567849">
          <w:marLeft w:val="0"/>
          <w:marRight w:val="0"/>
          <w:marTop w:val="0"/>
          <w:marBottom w:val="0"/>
          <w:divBdr>
            <w:top w:val="none" w:sz="0" w:space="0" w:color="auto"/>
            <w:left w:val="none" w:sz="0" w:space="0" w:color="auto"/>
            <w:bottom w:val="none" w:sz="0" w:space="0" w:color="auto"/>
            <w:right w:val="none" w:sz="0" w:space="0" w:color="auto"/>
          </w:divBdr>
        </w:div>
        <w:div w:id="1795903128">
          <w:marLeft w:val="0"/>
          <w:marRight w:val="0"/>
          <w:marTop w:val="0"/>
          <w:marBottom w:val="0"/>
          <w:divBdr>
            <w:top w:val="none" w:sz="0" w:space="0" w:color="auto"/>
            <w:left w:val="none" w:sz="0" w:space="0" w:color="auto"/>
            <w:bottom w:val="none" w:sz="0" w:space="0" w:color="auto"/>
            <w:right w:val="none" w:sz="0" w:space="0" w:color="auto"/>
          </w:divBdr>
        </w:div>
        <w:div w:id="1020854742">
          <w:marLeft w:val="0"/>
          <w:marRight w:val="0"/>
          <w:marTop w:val="0"/>
          <w:marBottom w:val="0"/>
          <w:divBdr>
            <w:top w:val="none" w:sz="0" w:space="0" w:color="auto"/>
            <w:left w:val="none" w:sz="0" w:space="0" w:color="auto"/>
            <w:bottom w:val="none" w:sz="0" w:space="0" w:color="auto"/>
            <w:right w:val="none" w:sz="0" w:space="0" w:color="auto"/>
          </w:divBdr>
        </w:div>
      </w:divsChild>
    </w:div>
    <w:div w:id="20981496">
      <w:bodyDiv w:val="1"/>
      <w:marLeft w:val="0"/>
      <w:marRight w:val="0"/>
      <w:marTop w:val="0"/>
      <w:marBottom w:val="0"/>
      <w:divBdr>
        <w:top w:val="none" w:sz="0" w:space="0" w:color="auto"/>
        <w:left w:val="none" w:sz="0" w:space="0" w:color="auto"/>
        <w:bottom w:val="none" w:sz="0" w:space="0" w:color="auto"/>
        <w:right w:val="none" w:sz="0" w:space="0" w:color="auto"/>
      </w:divBdr>
      <w:divsChild>
        <w:div w:id="226234525">
          <w:marLeft w:val="0"/>
          <w:marRight w:val="0"/>
          <w:marTop w:val="0"/>
          <w:marBottom w:val="0"/>
          <w:divBdr>
            <w:top w:val="none" w:sz="0" w:space="0" w:color="auto"/>
            <w:left w:val="none" w:sz="0" w:space="0" w:color="auto"/>
            <w:bottom w:val="none" w:sz="0" w:space="0" w:color="auto"/>
            <w:right w:val="none" w:sz="0" w:space="0" w:color="auto"/>
          </w:divBdr>
        </w:div>
        <w:div w:id="1705905997">
          <w:marLeft w:val="0"/>
          <w:marRight w:val="0"/>
          <w:marTop w:val="0"/>
          <w:marBottom w:val="0"/>
          <w:divBdr>
            <w:top w:val="none" w:sz="0" w:space="0" w:color="auto"/>
            <w:left w:val="none" w:sz="0" w:space="0" w:color="auto"/>
            <w:bottom w:val="none" w:sz="0" w:space="0" w:color="auto"/>
            <w:right w:val="none" w:sz="0" w:space="0" w:color="auto"/>
          </w:divBdr>
        </w:div>
        <w:div w:id="459425429">
          <w:marLeft w:val="0"/>
          <w:marRight w:val="0"/>
          <w:marTop w:val="0"/>
          <w:marBottom w:val="0"/>
          <w:divBdr>
            <w:top w:val="none" w:sz="0" w:space="0" w:color="auto"/>
            <w:left w:val="none" w:sz="0" w:space="0" w:color="auto"/>
            <w:bottom w:val="none" w:sz="0" w:space="0" w:color="auto"/>
            <w:right w:val="none" w:sz="0" w:space="0" w:color="auto"/>
          </w:divBdr>
        </w:div>
        <w:div w:id="1473446644">
          <w:marLeft w:val="0"/>
          <w:marRight w:val="0"/>
          <w:marTop w:val="0"/>
          <w:marBottom w:val="0"/>
          <w:divBdr>
            <w:top w:val="none" w:sz="0" w:space="0" w:color="auto"/>
            <w:left w:val="none" w:sz="0" w:space="0" w:color="auto"/>
            <w:bottom w:val="none" w:sz="0" w:space="0" w:color="auto"/>
            <w:right w:val="none" w:sz="0" w:space="0" w:color="auto"/>
          </w:divBdr>
        </w:div>
        <w:div w:id="1221281512">
          <w:marLeft w:val="0"/>
          <w:marRight w:val="0"/>
          <w:marTop w:val="0"/>
          <w:marBottom w:val="0"/>
          <w:divBdr>
            <w:top w:val="none" w:sz="0" w:space="0" w:color="auto"/>
            <w:left w:val="none" w:sz="0" w:space="0" w:color="auto"/>
            <w:bottom w:val="none" w:sz="0" w:space="0" w:color="auto"/>
            <w:right w:val="none" w:sz="0" w:space="0" w:color="auto"/>
          </w:divBdr>
        </w:div>
        <w:div w:id="1018429785">
          <w:marLeft w:val="0"/>
          <w:marRight w:val="0"/>
          <w:marTop w:val="0"/>
          <w:marBottom w:val="0"/>
          <w:divBdr>
            <w:top w:val="none" w:sz="0" w:space="0" w:color="auto"/>
            <w:left w:val="none" w:sz="0" w:space="0" w:color="auto"/>
            <w:bottom w:val="none" w:sz="0" w:space="0" w:color="auto"/>
            <w:right w:val="none" w:sz="0" w:space="0" w:color="auto"/>
          </w:divBdr>
        </w:div>
        <w:div w:id="796610630">
          <w:marLeft w:val="0"/>
          <w:marRight w:val="0"/>
          <w:marTop w:val="0"/>
          <w:marBottom w:val="0"/>
          <w:divBdr>
            <w:top w:val="none" w:sz="0" w:space="0" w:color="auto"/>
            <w:left w:val="none" w:sz="0" w:space="0" w:color="auto"/>
            <w:bottom w:val="none" w:sz="0" w:space="0" w:color="auto"/>
            <w:right w:val="none" w:sz="0" w:space="0" w:color="auto"/>
          </w:divBdr>
        </w:div>
        <w:div w:id="610285005">
          <w:marLeft w:val="0"/>
          <w:marRight w:val="0"/>
          <w:marTop w:val="0"/>
          <w:marBottom w:val="0"/>
          <w:divBdr>
            <w:top w:val="none" w:sz="0" w:space="0" w:color="auto"/>
            <w:left w:val="none" w:sz="0" w:space="0" w:color="auto"/>
            <w:bottom w:val="none" w:sz="0" w:space="0" w:color="auto"/>
            <w:right w:val="none" w:sz="0" w:space="0" w:color="auto"/>
          </w:divBdr>
        </w:div>
        <w:div w:id="558322622">
          <w:marLeft w:val="0"/>
          <w:marRight w:val="0"/>
          <w:marTop w:val="0"/>
          <w:marBottom w:val="0"/>
          <w:divBdr>
            <w:top w:val="none" w:sz="0" w:space="0" w:color="auto"/>
            <w:left w:val="none" w:sz="0" w:space="0" w:color="auto"/>
            <w:bottom w:val="none" w:sz="0" w:space="0" w:color="auto"/>
            <w:right w:val="none" w:sz="0" w:space="0" w:color="auto"/>
          </w:divBdr>
        </w:div>
        <w:div w:id="1256788806">
          <w:marLeft w:val="0"/>
          <w:marRight w:val="0"/>
          <w:marTop w:val="0"/>
          <w:marBottom w:val="0"/>
          <w:divBdr>
            <w:top w:val="none" w:sz="0" w:space="0" w:color="auto"/>
            <w:left w:val="none" w:sz="0" w:space="0" w:color="auto"/>
            <w:bottom w:val="none" w:sz="0" w:space="0" w:color="auto"/>
            <w:right w:val="none" w:sz="0" w:space="0" w:color="auto"/>
          </w:divBdr>
        </w:div>
        <w:div w:id="1795900576">
          <w:marLeft w:val="0"/>
          <w:marRight w:val="0"/>
          <w:marTop w:val="0"/>
          <w:marBottom w:val="0"/>
          <w:divBdr>
            <w:top w:val="none" w:sz="0" w:space="0" w:color="auto"/>
            <w:left w:val="none" w:sz="0" w:space="0" w:color="auto"/>
            <w:bottom w:val="none" w:sz="0" w:space="0" w:color="auto"/>
            <w:right w:val="none" w:sz="0" w:space="0" w:color="auto"/>
          </w:divBdr>
        </w:div>
        <w:div w:id="1307861056">
          <w:marLeft w:val="0"/>
          <w:marRight w:val="0"/>
          <w:marTop w:val="0"/>
          <w:marBottom w:val="0"/>
          <w:divBdr>
            <w:top w:val="none" w:sz="0" w:space="0" w:color="auto"/>
            <w:left w:val="none" w:sz="0" w:space="0" w:color="auto"/>
            <w:bottom w:val="none" w:sz="0" w:space="0" w:color="auto"/>
            <w:right w:val="none" w:sz="0" w:space="0" w:color="auto"/>
          </w:divBdr>
        </w:div>
        <w:div w:id="655183363">
          <w:marLeft w:val="0"/>
          <w:marRight w:val="0"/>
          <w:marTop w:val="0"/>
          <w:marBottom w:val="0"/>
          <w:divBdr>
            <w:top w:val="none" w:sz="0" w:space="0" w:color="auto"/>
            <w:left w:val="none" w:sz="0" w:space="0" w:color="auto"/>
            <w:bottom w:val="none" w:sz="0" w:space="0" w:color="auto"/>
            <w:right w:val="none" w:sz="0" w:space="0" w:color="auto"/>
          </w:divBdr>
        </w:div>
        <w:div w:id="1950431030">
          <w:marLeft w:val="0"/>
          <w:marRight w:val="0"/>
          <w:marTop w:val="0"/>
          <w:marBottom w:val="0"/>
          <w:divBdr>
            <w:top w:val="none" w:sz="0" w:space="0" w:color="auto"/>
            <w:left w:val="none" w:sz="0" w:space="0" w:color="auto"/>
            <w:bottom w:val="none" w:sz="0" w:space="0" w:color="auto"/>
            <w:right w:val="none" w:sz="0" w:space="0" w:color="auto"/>
          </w:divBdr>
        </w:div>
        <w:div w:id="925841371">
          <w:marLeft w:val="0"/>
          <w:marRight w:val="0"/>
          <w:marTop w:val="0"/>
          <w:marBottom w:val="0"/>
          <w:divBdr>
            <w:top w:val="none" w:sz="0" w:space="0" w:color="auto"/>
            <w:left w:val="none" w:sz="0" w:space="0" w:color="auto"/>
            <w:bottom w:val="none" w:sz="0" w:space="0" w:color="auto"/>
            <w:right w:val="none" w:sz="0" w:space="0" w:color="auto"/>
          </w:divBdr>
        </w:div>
        <w:div w:id="1458716745">
          <w:marLeft w:val="0"/>
          <w:marRight w:val="0"/>
          <w:marTop w:val="0"/>
          <w:marBottom w:val="0"/>
          <w:divBdr>
            <w:top w:val="none" w:sz="0" w:space="0" w:color="auto"/>
            <w:left w:val="none" w:sz="0" w:space="0" w:color="auto"/>
            <w:bottom w:val="none" w:sz="0" w:space="0" w:color="auto"/>
            <w:right w:val="none" w:sz="0" w:space="0" w:color="auto"/>
          </w:divBdr>
        </w:div>
        <w:div w:id="1505782658">
          <w:marLeft w:val="0"/>
          <w:marRight w:val="0"/>
          <w:marTop w:val="0"/>
          <w:marBottom w:val="0"/>
          <w:divBdr>
            <w:top w:val="none" w:sz="0" w:space="0" w:color="auto"/>
            <w:left w:val="none" w:sz="0" w:space="0" w:color="auto"/>
            <w:bottom w:val="none" w:sz="0" w:space="0" w:color="auto"/>
            <w:right w:val="none" w:sz="0" w:space="0" w:color="auto"/>
          </w:divBdr>
        </w:div>
        <w:div w:id="356472511">
          <w:marLeft w:val="0"/>
          <w:marRight w:val="0"/>
          <w:marTop w:val="0"/>
          <w:marBottom w:val="0"/>
          <w:divBdr>
            <w:top w:val="none" w:sz="0" w:space="0" w:color="auto"/>
            <w:left w:val="none" w:sz="0" w:space="0" w:color="auto"/>
            <w:bottom w:val="none" w:sz="0" w:space="0" w:color="auto"/>
            <w:right w:val="none" w:sz="0" w:space="0" w:color="auto"/>
          </w:divBdr>
        </w:div>
        <w:div w:id="1979650504">
          <w:marLeft w:val="0"/>
          <w:marRight w:val="0"/>
          <w:marTop w:val="0"/>
          <w:marBottom w:val="0"/>
          <w:divBdr>
            <w:top w:val="none" w:sz="0" w:space="0" w:color="auto"/>
            <w:left w:val="none" w:sz="0" w:space="0" w:color="auto"/>
            <w:bottom w:val="none" w:sz="0" w:space="0" w:color="auto"/>
            <w:right w:val="none" w:sz="0" w:space="0" w:color="auto"/>
          </w:divBdr>
        </w:div>
        <w:div w:id="697118668">
          <w:marLeft w:val="0"/>
          <w:marRight w:val="0"/>
          <w:marTop w:val="0"/>
          <w:marBottom w:val="0"/>
          <w:divBdr>
            <w:top w:val="none" w:sz="0" w:space="0" w:color="auto"/>
            <w:left w:val="none" w:sz="0" w:space="0" w:color="auto"/>
            <w:bottom w:val="none" w:sz="0" w:space="0" w:color="auto"/>
            <w:right w:val="none" w:sz="0" w:space="0" w:color="auto"/>
          </w:divBdr>
        </w:div>
        <w:div w:id="1179124146">
          <w:marLeft w:val="0"/>
          <w:marRight w:val="0"/>
          <w:marTop w:val="0"/>
          <w:marBottom w:val="0"/>
          <w:divBdr>
            <w:top w:val="none" w:sz="0" w:space="0" w:color="auto"/>
            <w:left w:val="none" w:sz="0" w:space="0" w:color="auto"/>
            <w:bottom w:val="none" w:sz="0" w:space="0" w:color="auto"/>
            <w:right w:val="none" w:sz="0" w:space="0" w:color="auto"/>
          </w:divBdr>
        </w:div>
        <w:div w:id="60375666">
          <w:marLeft w:val="0"/>
          <w:marRight w:val="0"/>
          <w:marTop w:val="0"/>
          <w:marBottom w:val="0"/>
          <w:divBdr>
            <w:top w:val="none" w:sz="0" w:space="0" w:color="auto"/>
            <w:left w:val="none" w:sz="0" w:space="0" w:color="auto"/>
            <w:bottom w:val="none" w:sz="0" w:space="0" w:color="auto"/>
            <w:right w:val="none" w:sz="0" w:space="0" w:color="auto"/>
          </w:divBdr>
        </w:div>
        <w:div w:id="734863476">
          <w:marLeft w:val="0"/>
          <w:marRight w:val="0"/>
          <w:marTop w:val="0"/>
          <w:marBottom w:val="0"/>
          <w:divBdr>
            <w:top w:val="none" w:sz="0" w:space="0" w:color="auto"/>
            <w:left w:val="none" w:sz="0" w:space="0" w:color="auto"/>
            <w:bottom w:val="none" w:sz="0" w:space="0" w:color="auto"/>
            <w:right w:val="none" w:sz="0" w:space="0" w:color="auto"/>
          </w:divBdr>
        </w:div>
      </w:divsChild>
    </w:div>
    <w:div w:id="33625055">
      <w:bodyDiv w:val="1"/>
      <w:marLeft w:val="0"/>
      <w:marRight w:val="0"/>
      <w:marTop w:val="0"/>
      <w:marBottom w:val="0"/>
      <w:divBdr>
        <w:top w:val="none" w:sz="0" w:space="0" w:color="auto"/>
        <w:left w:val="none" w:sz="0" w:space="0" w:color="auto"/>
        <w:bottom w:val="none" w:sz="0" w:space="0" w:color="auto"/>
        <w:right w:val="none" w:sz="0" w:space="0" w:color="auto"/>
      </w:divBdr>
    </w:div>
    <w:div w:id="36241436">
      <w:bodyDiv w:val="1"/>
      <w:marLeft w:val="0"/>
      <w:marRight w:val="0"/>
      <w:marTop w:val="0"/>
      <w:marBottom w:val="0"/>
      <w:divBdr>
        <w:top w:val="none" w:sz="0" w:space="0" w:color="auto"/>
        <w:left w:val="none" w:sz="0" w:space="0" w:color="auto"/>
        <w:bottom w:val="none" w:sz="0" w:space="0" w:color="auto"/>
        <w:right w:val="none" w:sz="0" w:space="0" w:color="auto"/>
      </w:divBdr>
      <w:divsChild>
        <w:div w:id="1684671190">
          <w:marLeft w:val="0"/>
          <w:marRight w:val="0"/>
          <w:marTop w:val="0"/>
          <w:marBottom w:val="0"/>
          <w:divBdr>
            <w:top w:val="none" w:sz="0" w:space="0" w:color="auto"/>
            <w:left w:val="none" w:sz="0" w:space="0" w:color="auto"/>
            <w:bottom w:val="none" w:sz="0" w:space="0" w:color="auto"/>
            <w:right w:val="none" w:sz="0" w:space="0" w:color="auto"/>
          </w:divBdr>
        </w:div>
        <w:div w:id="735015124">
          <w:marLeft w:val="0"/>
          <w:marRight w:val="0"/>
          <w:marTop w:val="0"/>
          <w:marBottom w:val="0"/>
          <w:divBdr>
            <w:top w:val="none" w:sz="0" w:space="0" w:color="auto"/>
            <w:left w:val="none" w:sz="0" w:space="0" w:color="auto"/>
            <w:bottom w:val="none" w:sz="0" w:space="0" w:color="auto"/>
            <w:right w:val="none" w:sz="0" w:space="0" w:color="auto"/>
          </w:divBdr>
        </w:div>
        <w:div w:id="202866640">
          <w:marLeft w:val="0"/>
          <w:marRight w:val="0"/>
          <w:marTop w:val="0"/>
          <w:marBottom w:val="0"/>
          <w:divBdr>
            <w:top w:val="none" w:sz="0" w:space="0" w:color="auto"/>
            <w:left w:val="none" w:sz="0" w:space="0" w:color="auto"/>
            <w:bottom w:val="none" w:sz="0" w:space="0" w:color="auto"/>
            <w:right w:val="none" w:sz="0" w:space="0" w:color="auto"/>
          </w:divBdr>
        </w:div>
        <w:div w:id="215358153">
          <w:marLeft w:val="0"/>
          <w:marRight w:val="0"/>
          <w:marTop w:val="0"/>
          <w:marBottom w:val="0"/>
          <w:divBdr>
            <w:top w:val="none" w:sz="0" w:space="0" w:color="auto"/>
            <w:left w:val="none" w:sz="0" w:space="0" w:color="auto"/>
            <w:bottom w:val="none" w:sz="0" w:space="0" w:color="auto"/>
            <w:right w:val="none" w:sz="0" w:space="0" w:color="auto"/>
          </w:divBdr>
        </w:div>
        <w:div w:id="661272433">
          <w:marLeft w:val="0"/>
          <w:marRight w:val="0"/>
          <w:marTop w:val="0"/>
          <w:marBottom w:val="0"/>
          <w:divBdr>
            <w:top w:val="none" w:sz="0" w:space="0" w:color="auto"/>
            <w:left w:val="none" w:sz="0" w:space="0" w:color="auto"/>
            <w:bottom w:val="none" w:sz="0" w:space="0" w:color="auto"/>
            <w:right w:val="none" w:sz="0" w:space="0" w:color="auto"/>
          </w:divBdr>
        </w:div>
        <w:div w:id="1882092376">
          <w:marLeft w:val="0"/>
          <w:marRight w:val="0"/>
          <w:marTop w:val="0"/>
          <w:marBottom w:val="0"/>
          <w:divBdr>
            <w:top w:val="none" w:sz="0" w:space="0" w:color="auto"/>
            <w:left w:val="none" w:sz="0" w:space="0" w:color="auto"/>
            <w:bottom w:val="none" w:sz="0" w:space="0" w:color="auto"/>
            <w:right w:val="none" w:sz="0" w:space="0" w:color="auto"/>
          </w:divBdr>
        </w:div>
        <w:div w:id="867447931">
          <w:marLeft w:val="0"/>
          <w:marRight w:val="0"/>
          <w:marTop w:val="0"/>
          <w:marBottom w:val="0"/>
          <w:divBdr>
            <w:top w:val="none" w:sz="0" w:space="0" w:color="auto"/>
            <w:left w:val="none" w:sz="0" w:space="0" w:color="auto"/>
            <w:bottom w:val="none" w:sz="0" w:space="0" w:color="auto"/>
            <w:right w:val="none" w:sz="0" w:space="0" w:color="auto"/>
          </w:divBdr>
        </w:div>
        <w:div w:id="1666591984">
          <w:marLeft w:val="0"/>
          <w:marRight w:val="0"/>
          <w:marTop w:val="0"/>
          <w:marBottom w:val="0"/>
          <w:divBdr>
            <w:top w:val="none" w:sz="0" w:space="0" w:color="auto"/>
            <w:left w:val="none" w:sz="0" w:space="0" w:color="auto"/>
            <w:bottom w:val="none" w:sz="0" w:space="0" w:color="auto"/>
            <w:right w:val="none" w:sz="0" w:space="0" w:color="auto"/>
          </w:divBdr>
        </w:div>
        <w:div w:id="453719494">
          <w:marLeft w:val="0"/>
          <w:marRight w:val="0"/>
          <w:marTop w:val="0"/>
          <w:marBottom w:val="0"/>
          <w:divBdr>
            <w:top w:val="none" w:sz="0" w:space="0" w:color="auto"/>
            <w:left w:val="none" w:sz="0" w:space="0" w:color="auto"/>
            <w:bottom w:val="none" w:sz="0" w:space="0" w:color="auto"/>
            <w:right w:val="none" w:sz="0" w:space="0" w:color="auto"/>
          </w:divBdr>
        </w:div>
        <w:div w:id="1945305130">
          <w:marLeft w:val="0"/>
          <w:marRight w:val="0"/>
          <w:marTop w:val="0"/>
          <w:marBottom w:val="0"/>
          <w:divBdr>
            <w:top w:val="none" w:sz="0" w:space="0" w:color="auto"/>
            <w:left w:val="none" w:sz="0" w:space="0" w:color="auto"/>
            <w:bottom w:val="none" w:sz="0" w:space="0" w:color="auto"/>
            <w:right w:val="none" w:sz="0" w:space="0" w:color="auto"/>
          </w:divBdr>
        </w:div>
        <w:div w:id="1272203554">
          <w:marLeft w:val="0"/>
          <w:marRight w:val="0"/>
          <w:marTop w:val="0"/>
          <w:marBottom w:val="0"/>
          <w:divBdr>
            <w:top w:val="none" w:sz="0" w:space="0" w:color="auto"/>
            <w:left w:val="none" w:sz="0" w:space="0" w:color="auto"/>
            <w:bottom w:val="none" w:sz="0" w:space="0" w:color="auto"/>
            <w:right w:val="none" w:sz="0" w:space="0" w:color="auto"/>
          </w:divBdr>
        </w:div>
        <w:div w:id="941451978">
          <w:marLeft w:val="0"/>
          <w:marRight w:val="0"/>
          <w:marTop w:val="0"/>
          <w:marBottom w:val="0"/>
          <w:divBdr>
            <w:top w:val="none" w:sz="0" w:space="0" w:color="auto"/>
            <w:left w:val="none" w:sz="0" w:space="0" w:color="auto"/>
            <w:bottom w:val="none" w:sz="0" w:space="0" w:color="auto"/>
            <w:right w:val="none" w:sz="0" w:space="0" w:color="auto"/>
          </w:divBdr>
        </w:div>
        <w:div w:id="1929775874">
          <w:marLeft w:val="0"/>
          <w:marRight w:val="0"/>
          <w:marTop w:val="0"/>
          <w:marBottom w:val="0"/>
          <w:divBdr>
            <w:top w:val="none" w:sz="0" w:space="0" w:color="auto"/>
            <w:left w:val="none" w:sz="0" w:space="0" w:color="auto"/>
            <w:bottom w:val="none" w:sz="0" w:space="0" w:color="auto"/>
            <w:right w:val="none" w:sz="0" w:space="0" w:color="auto"/>
          </w:divBdr>
        </w:div>
        <w:div w:id="1438986527">
          <w:marLeft w:val="0"/>
          <w:marRight w:val="0"/>
          <w:marTop w:val="0"/>
          <w:marBottom w:val="0"/>
          <w:divBdr>
            <w:top w:val="none" w:sz="0" w:space="0" w:color="auto"/>
            <w:left w:val="none" w:sz="0" w:space="0" w:color="auto"/>
            <w:bottom w:val="none" w:sz="0" w:space="0" w:color="auto"/>
            <w:right w:val="none" w:sz="0" w:space="0" w:color="auto"/>
          </w:divBdr>
        </w:div>
      </w:divsChild>
    </w:div>
    <w:div w:id="118955063">
      <w:bodyDiv w:val="1"/>
      <w:marLeft w:val="0"/>
      <w:marRight w:val="0"/>
      <w:marTop w:val="0"/>
      <w:marBottom w:val="0"/>
      <w:divBdr>
        <w:top w:val="none" w:sz="0" w:space="0" w:color="auto"/>
        <w:left w:val="none" w:sz="0" w:space="0" w:color="auto"/>
        <w:bottom w:val="none" w:sz="0" w:space="0" w:color="auto"/>
        <w:right w:val="none" w:sz="0" w:space="0" w:color="auto"/>
      </w:divBdr>
      <w:divsChild>
        <w:div w:id="2027361260">
          <w:marLeft w:val="0"/>
          <w:marRight w:val="0"/>
          <w:marTop w:val="0"/>
          <w:marBottom w:val="0"/>
          <w:divBdr>
            <w:top w:val="none" w:sz="0" w:space="0" w:color="auto"/>
            <w:left w:val="none" w:sz="0" w:space="0" w:color="auto"/>
            <w:bottom w:val="none" w:sz="0" w:space="0" w:color="auto"/>
            <w:right w:val="none" w:sz="0" w:space="0" w:color="auto"/>
          </w:divBdr>
        </w:div>
        <w:div w:id="1654136271">
          <w:marLeft w:val="0"/>
          <w:marRight w:val="0"/>
          <w:marTop w:val="0"/>
          <w:marBottom w:val="0"/>
          <w:divBdr>
            <w:top w:val="none" w:sz="0" w:space="0" w:color="auto"/>
            <w:left w:val="none" w:sz="0" w:space="0" w:color="auto"/>
            <w:bottom w:val="none" w:sz="0" w:space="0" w:color="auto"/>
            <w:right w:val="none" w:sz="0" w:space="0" w:color="auto"/>
          </w:divBdr>
        </w:div>
        <w:div w:id="764957715">
          <w:marLeft w:val="0"/>
          <w:marRight w:val="0"/>
          <w:marTop w:val="0"/>
          <w:marBottom w:val="0"/>
          <w:divBdr>
            <w:top w:val="none" w:sz="0" w:space="0" w:color="auto"/>
            <w:left w:val="none" w:sz="0" w:space="0" w:color="auto"/>
            <w:bottom w:val="none" w:sz="0" w:space="0" w:color="auto"/>
            <w:right w:val="none" w:sz="0" w:space="0" w:color="auto"/>
          </w:divBdr>
        </w:div>
        <w:div w:id="1973897699">
          <w:marLeft w:val="0"/>
          <w:marRight w:val="0"/>
          <w:marTop w:val="0"/>
          <w:marBottom w:val="0"/>
          <w:divBdr>
            <w:top w:val="none" w:sz="0" w:space="0" w:color="auto"/>
            <w:left w:val="none" w:sz="0" w:space="0" w:color="auto"/>
            <w:bottom w:val="none" w:sz="0" w:space="0" w:color="auto"/>
            <w:right w:val="none" w:sz="0" w:space="0" w:color="auto"/>
          </w:divBdr>
        </w:div>
        <w:div w:id="588084401">
          <w:marLeft w:val="0"/>
          <w:marRight w:val="0"/>
          <w:marTop w:val="0"/>
          <w:marBottom w:val="0"/>
          <w:divBdr>
            <w:top w:val="none" w:sz="0" w:space="0" w:color="auto"/>
            <w:left w:val="none" w:sz="0" w:space="0" w:color="auto"/>
            <w:bottom w:val="none" w:sz="0" w:space="0" w:color="auto"/>
            <w:right w:val="none" w:sz="0" w:space="0" w:color="auto"/>
          </w:divBdr>
        </w:div>
        <w:div w:id="1617326984">
          <w:marLeft w:val="0"/>
          <w:marRight w:val="0"/>
          <w:marTop w:val="0"/>
          <w:marBottom w:val="0"/>
          <w:divBdr>
            <w:top w:val="none" w:sz="0" w:space="0" w:color="auto"/>
            <w:left w:val="none" w:sz="0" w:space="0" w:color="auto"/>
            <w:bottom w:val="none" w:sz="0" w:space="0" w:color="auto"/>
            <w:right w:val="none" w:sz="0" w:space="0" w:color="auto"/>
          </w:divBdr>
        </w:div>
        <w:div w:id="1413502187">
          <w:marLeft w:val="0"/>
          <w:marRight w:val="0"/>
          <w:marTop w:val="0"/>
          <w:marBottom w:val="0"/>
          <w:divBdr>
            <w:top w:val="none" w:sz="0" w:space="0" w:color="auto"/>
            <w:left w:val="none" w:sz="0" w:space="0" w:color="auto"/>
            <w:bottom w:val="none" w:sz="0" w:space="0" w:color="auto"/>
            <w:right w:val="none" w:sz="0" w:space="0" w:color="auto"/>
          </w:divBdr>
        </w:div>
        <w:div w:id="1486240307">
          <w:marLeft w:val="0"/>
          <w:marRight w:val="0"/>
          <w:marTop w:val="0"/>
          <w:marBottom w:val="0"/>
          <w:divBdr>
            <w:top w:val="none" w:sz="0" w:space="0" w:color="auto"/>
            <w:left w:val="none" w:sz="0" w:space="0" w:color="auto"/>
            <w:bottom w:val="none" w:sz="0" w:space="0" w:color="auto"/>
            <w:right w:val="none" w:sz="0" w:space="0" w:color="auto"/>
          </w:divBdr>
        </w:div>
        <w:div w:id="1386249077">
          <w:marLeft w:val="0"/>
          <w:marRight w:val="0"/>
          <w:marTop w:val="0"/>
          <w:marBottom w:val="0"/>
          <w:divBdr>
            <w:top w:val="none" w:sz="0" w:space="0" w:color="auto"/>
            <w:left w:val="none" w:sz="0" w:space="0" w:color="auto"/>
            <w:bottom w:val="none" w:sz="0" w:space="0" w:color="auto"/>
            <w:right w:val="none" w:sz="0" w:space="0" w:color="auto"/>
          </w:divBdr>
        </w:div>
        <w:div w:id="1480658936">
          <w:marLeft w:val="0"/>
          <w:marRight w:val="0"/>
          <w:marTop w:val="0"/>
          <w:marBottom w:val="0"/>
          <w:divBdr>
            <w:top w:val="none" w:sz="0" w:space="0" w:color="auto"/>
            <w:left w:val="none" w:sz="0" w:space="0" w:color="auto"/>
            <w:bottom w:val="none" w:sz="0" w:space="0" w:color="auto"/>
            <w:right w:val="none" w:sz="0" w:space="0" w:color="auto"/>
          </w:divBdr>
        </w:div>
        <w:div w:id="725180454">
          <w:marLeft w:val="0"/>
          <w:marRight w:val="0"/>
          <w:marTop w:val="0"/>
          <w:marBottom w:val="0"/>
          <w:divBdr>
            <w:top w:val="none" w:sz="0" w:space="0" w:color="auto"/>
            <w:left w:val="none" w:sz="0" w:space="0" w:color="auto"/>
            <w:bottom w:val="none" w:sz="0" w:space="0" w:color="auto"/>
            <w:right w:val="none" w:sz="0" w:space="0" w:color="auto"/>
          </w:divBdr>
        </w:div>
        <w:div w:id="1137407691">
          <w:marLeft w:val="0"/>
          <w:marRight w:val="0"/>
          <w:marTop w:val="0"/>
          <w:marBottom w:val="0"/>
          <w:divBdr>
            <w:top w:val="none" w:sz="0" w:space="0" w:color="auto"/>
            <w:left w:val="none" w:sz="0" w:space="0" w:color="auto"/>
            <w:bottom w:val="none" w:sz="0" w:space="0" w:color="auto"/>
            <w:right w:val="none" w:sz="0" w:space="0" w:color="auto"/>
          </w:divBdr>
        </w:div>
        <w:div w:id="70540309">
          <w:marLeft w:val="0"/>
          <w:marRight w:val="0"/>
          <w:marTop w:val="0"/>
          <w:marBottom w:val="0"/>
          <w:divBdr>
            <w:top w:val="none" w:sz="0" w:space="0" w:color="auto"/>
            <w:left w:val="none" w:sz="0" w:space="0" w:color="auto"/>
            <w:bottom w:val="none" w:sz="0" w:space="0" w:color="auto"/>
            <w:right w:val="none" w:sz="0" w:space="0" w:color="auto"/>
          </w:divBdr>
        </w:div>
        <w:div w:id="1161308632">
          <w:marLeft w:val="0"/>
          <w:marRight w:val="0"/>
          <w:marTop w:val="0"/>
          <w:marBottom w:val="0"/>
          <w:divBdr>
            <w:top w:val="none" w:sz="0" w:space="0" w:color="auto"/>
            <w:left w:val="none" w:sz="0" w:space="0" w:color="auto"/>
            <w:bottom w:val="none" w:sz="0" w:space="0" w:color="auto"/>
            <w:right w:val="none" w:sz="0" w:space="0" w:color="auto"/>
          </w:divBdr>
        </w:div>
        <w:div w:id="1193350071">
          <w:marLeft w:val="0"/>
          <w:marRight w:val="0"/>
          <w:marTop w:val="0"/>
          <w:marBottom w:val="0"/>
          <w:divBdr>
            <w:top w:val="none" w:sz="0" w:space="0" w:color="auto"/>
            <w:left w:val="none" w:sz="0" w:space="0" w:color="auto"/>
            <w:bottom w:val="none" w:sz="0" w:space="0" w:color="auto"/>
            <w:right w:val="none" w:sz="0" w:space="0" w:color="auto"/>
          </w:divBdr>
        </w:div>
        <w:div w:id="1573151577">
          <w:marLeft w:val="0"/>
          <w:marRight w:val="0"/>
          <w:marTop w:val="0"/>
          <w:marBottom w:val="0"/>
          <w:divBdr>
            <w:top w:val="none" w:sz="0" w:space="0" w:color="auto"/>
            <w:left w:val="none" w:sz="0" w:space="0" w:color="auto"/>
            <w:bottom w:val="none" w:sz="0" w:space="0" w:color="auto"/>
            <w:right w:val="none" w:sz="0" w:space="0" w:color="auto"/>
          </w:divBdr>
        </w:div>
        <w:div w:id="1922255578">
          <w:marLeft w:val="0"/>
          <w:marRight w:val="0"/>
          <w:marTop w:val="0"/>
          <w:marBottom w:val="0"/>
          <w:divBdr>
            <w:top w:val="none" w:sz="0" w:space="0" w:color="auto"/>
            <w:left w:val="none" w:sz="0" w:space="0" w:color="auto"/>
            <w:bottom w:val="none" w:sz="0" w:space="0" w:color="auto"/>
            <w:right w:val="none" w:sz="0" w:space="0" w:color="auto"/>
          </w:divBdr>
        </w:div>
        <w:div w:id="1034766312">
          <w:marLeft w:val="0"/>
          <w:marRight w:val="0"/>
          <w:marTop w:val="0"/>
          <w:marBottom w:val="0"/>
          <w:divBdr>
            <w:top w:val="none" w:sz="0" w:space="0" w:color="auto"/>
            <w:left w:val="none" w:sz="0" w:space="0" w:color="auto"/>
            <w:bottom w:val="none" w:sz="0" w:space="0" w:color="auto"/>
            <w:right w:val="none" w:sz="0" w:space="0" w:color="auto"/>
          </w:divBdr>
        </w:div>
        <w:div w:id="882255410">
          <w:marLeft w:val="0"/>
          <w:marRight w:val="0"/>
          <w:marTop w:val="0"/>
          <w:marBottom w:val="0"/>
          <w:divBdr>
            <w:top w:val="none" w:sz="0" w:space="0" w:color="auto"/>
            <w:left w:val="none" w:sz="0" w:space="0" w:color="auto"/>
            <w:bottom w:val="none" w:sz="0" w:space="0" w:color="auto"/>
            <w:right w:val="none" w:sz="0" w:space="0" w:color="auto"/>
          </w:divBdr>
        </w:div>
        <w:div w:id="1806389559">
          <w:marLeft w:val="0"/>
          <w:marRight w:val="0"/>
          <w:marTop w:val="0"/>
          <w:marBottom w:val="0"/>
          <w:divBdr>
            <w:top w:val="none" w:sz="0" w:space="0" w:color="auto"/>
            <w:left w:val="none" w:sz="0" w:space="0" w:color="auto"/>
            <w:bottom w:val="none" w:sz="0" w:space="0" w:color="auto"/>
            <w:right w:val="none" w:sz="0" w:space="0" w:color="auto"/>
          </w:divBdr>
        </w:div>
        <w:div w:id="1497768483">
          <w:marLeft w:val="0"/>
          <w:marRight w:val="0"/>
          <w:marTop w:val="0"/>
          <w:marBottom w:val="0"/>
          <w:divBdr>
            <w:top w:val="none" w:sz="0" w:space="0" w:color="auto"/>
            <w:left w:val="none" w:sz="0" w:space="0" w:color="auto"/>
            <w:bottom w:val="none" w:sz="0" w:space="0" w:color="auto"/>
            <w:right w:val="none" w:sz="0" w:space="0" w:color="auto"/>
          </w:divBdr>
        </w:div>
        <w:div w:id="540829405">
          <w:marLeft w:val="0"/>
          <w:marRight w:val="0"/>
          <w:marTop w:val="0"/>
          <w:marBottom w:val="0"/>
          <w:divBdr>
            <w:top w:val="none" w:sz="0" w:space="0" w:color="auto"/>
            <w:left w:val="none" w:sz="0" w:space="0" w:color="auto"/>
            <w:bottom w:val="none" w:sz="0" w:space="0" w:color="auto"/>
            <w:right w:val="none" w:sz="0" w:space="0" w:color="auto"/>
          </w:divBdr>
        </w:div>
        <w:div w:id="1691755696">
          <w:marLeft w:val="0"/>
          <w:marRight w:val="0"/>
          <w:marTop w:val="0"/>
          <w:marBottom w:val="0"/>
          <w:divBdr>
            <w:top w:val="none" w:sz="0" w:space="0" w:color="auto"/>
            <w:left w:val="none" w:sz="0" w:space="0" w:color="auto"/>
            <w:bottom w:val="none" w:sz="0" w:space="0" w:color="auto"/>
            <w:right w:val="none" w:sz="0" w:space="0" w:color="auto"/>
          </w:divBdr>
        </w:div>
        <w:div w:id="432478374">
          <w:marLeft w:val="0"/>
          <w:marRight w:val="0"/>
          <w:marTop w:val="0"/>
          <w:marBottom w:val="0"/>
          <w:divBdr>
            <w:top w:val="none" w:sz="0" w:space="0" w:color="auto"/>
            <w:left w:val="none" w:sz="0" w:space="0" w:color="auto"/>
            <w:bottom w:val="none" w:sz="0" w:space="0" w:color="auto"/>
            <w:right w:val="none" w:sz="0" w:space="0" w:color="auto"/>
          </w:divBdr>
        </w:div>
        <w:div w:id="964702100">
          <w:marLeft w:val="0"/>
          <w:marRight w:val="0"/>
          <w:marTop w:val="0"/>
          <w:marBottom w:val="0"/>
          <w:divBdr>
            <w:top w:val="none" w:sz="0" w:space="0" w:color="auto"/>
            <w:left w:val="none" w:sz="0" w:space="0" w:color="auto"/>
            <w:bottom w:val="none" w:sz="0" w:space="0" w:color="auto"/>
            <w:right w:val="none" w:sz="0" w:space="0" w:color="auto"/>
          </w:divBdr>
        </w:div>
        <w:div w:id="1486624466">
          <w:marLeft w:val="0"/>
          <w:marRight w:val="0"/>
          <w:marTop w:val="0"/>
          <w:marBottom w:val="0"/>
          <w:divBdr>
            <w:top w:val="none" w:sz="0" w:space="0" w:color="auto"/>
            <w:left w:val="none" w:sz="0" w:space="0" w:color="auto"/>
            <w:bottom w:val="none" w:sz="0" w:space="0" w:color="auto"/>
            <w:right w:val="none" w:sz="0" w:space="0" w:color="auto"/>
          </w:divBdr>
        </w:div>
        <w:div w:id="2004550008">
          <w:marLeft w:val="0"/>
          <w:marRight w:val="0"/>
          <w:marTop w:val="0"/>
          <w:marBottom w:val="0"/>
          <w:divBdr>
            <w:top w:val="none" w:sz="0" w:space="0" w:color="auto"/>
            <w:left w:val="none" w:sz="0" w:space="0" w:color="auto"/>
            <w:bottom w:val="none" w:sz="0" w:space="0" w:color="auto"/>
            <w:right w:val="none" w:sz="0" w:space="0" w:color="auto"/>
          </w:divBdr>
        </w:div>
        <w:div w:id="1920406642">
          <w:marLeft w:val="0"/>
          <w:marRight w:val="0"/>
          <w:marTop w:val="0"/>
          <w:marBottom w:val="0"/>
          <w:divBdr>
            <w:top w:val="none" w:sz="0" w:space="0" w:color="auto"/>
            <w:left w:val="none" w:sz="0" w:space="0" w:color="auto"/>
            <w:bottom w:val="none" w:sz="0" w:space="0" w:color="auto"/>
            <w:right w:val="none" w:sz="0" w:space="0" w:color="auto"/>
          </w:divBdr>
        </w:div>
        <w:div w:id="1790853681">
          <w:marLeft w:val="0"/>
          <w:marRight w:val="0"/>
          <w:marTop w:val="0"/>
          <w:marBottom w:val="0"/>
          <w:divBdr>
            <w:top w:val="none" w:sz="0" w:space="0" w:color="auto"/>
            <w:left w:val="none" w:sz="0" w:space="0" w:color="auto"/>
            <w:bottom w:val="none" w:sz="0" w:space="0" w:color="auto"/>
            <w:right w:val="none" w:sz="0" w:space="0" w:color="auto"/>
          </w:divBdr>
        </w:div>
        <w:div w:id="1588271649">
          <w:marLeft w:val="0"/>
          <w:marRight w:val="0"/>
          <w:marTop w:val="0"/>
          <w:marBottom w:val="0"/>
          <w:divBdr>
            <w:top w:val="none" w:sz="0" w:space="0" w:color="auto"/>
            <w:left w:val="none" w:sz="0" w:space="0" w:color="auto"/>
            <w:bottom w:val="none" w:sz="0" w:space="0" w:color="auto"/>
            <w:right w:val="none" w:sz="0" w:space="0" w:color="auto"/>
          </w:divBdr>
        </w:div>
        <w:div w:id="2060085688">
          <w:marLeft w:val="0"/>
          <w:marRight w:val="0"/>
          <w:marTop w:val="0"/>
          <w:marBottom w:val="0"/>
          <w:divBdr>
            <w:top w:val="none" w:sz="0" w:space="0" w:color="auto"/>
            <w:left w:val="none" w:sz="0" w:space="0" w:color="auto"/>
            <w:bottom w:val="none" w:sz="0" w:space="0" w:color="auto"/>
            <w:right w:val="none" w:sz="0" w:space="0" w:color="auto"/>
          </w:divBdr>
        </w:div>
        <w:div w:id="1717922899">
          <w:marLeft w:val="0"/>
          <w:marRight w:val="0"/>
          <w:marTop w:val="0"/>
          <w:marBottom w:val="0"/>
          <w:divBdr>
            <w:top w:val="none" w:sz="0" w:space="0" w:color="auto"/>
            <w:left w:val="none" w:sz="0" w:space="0" w:color="auto"/>
            <w:bottom w:val="none" w:sz="0" w:space="0" w:color="auto"/>
            <w:right w:val="none" w:sz="0" w:space="0" w:color="auto"/>
          </w:divBdr>
        </w:div>
        <w:div w:id="1180656196">
          <w:marLeft w:val="0"/>
          <w:marRight w:val="0"/>
          <w:marTop w:val="0"/>
          <w:marBottom w:val="0"/>
          <w:divBdr>
            <w:top w:val="none" w:sz="0" w:space="0" w:color="auto"/>
            <w:left w:val="none" w:sz="0" w:space="0" w:color="auto"/>
            <w:bottom w:val="none" w:sz="0" w:space="0" w:color="auto"/>
            <w:right w:val="none" w:sz="0" w:space="0" w:color="auto"/>
          </w:divBdr>
        </w:div>
        <w:div w:id="15808923">
          <w:marLeft w:val="0"/>
          <w:marRight w:val="0"/>
          <w:marTop w:val="0"/>
          <w:marBottom w:val="0"/>
          <w:divBdr>
            <w:top w:val="none" w:sz="0" w:space="0" w:color="auto"/>
            <w:left w:val="none" w:sz="0" w:space="0" w:color="auto"/>
            <w:bottom w:val="none" w:sz="0" w:space="0" w:color="auto"/>
            <w:right w:val="none" w:sz="0" w:space="0" w:color="auto"/>
          </w:divBdr>
        </w:div>
        <w:div w:id="2009290386">
          <w:marLeft w:val="0"/>
          <w:marRight w:val="0"/>
          <w:marTop w:val="0"/>
          <w:marBottom w:val="0"/>
          <w:divBdr>
            <w:top w:val="none" w:sz="0" w:space="0" w:color="auto"/>
            <w:left w:val="none" w:sz="0" w:space="0" w:color="auto"/>
            <w:bottom w:val="none" w:sz="0" w:space="0" w:color="auto"/>
            <w:right w:val="none" w:sz="0" w:space="0" w:color="auto"/>
          </w:divBdr>
        </w:div>
        <w:div w:id="1310093275">
          <w:marLeft w:val="0"/>
          <w:marRight w:val="0"/>
          <w:marTop w:val="0"/>
          <w:marBottom w:val="0"/>
          <w:divBdr>
            <w:top w:val="none" w:sz="0" w:space="0" w:color="auto"/>
            <w:left w:val="none" w:sz="0" w:space="0" w:color="auto"/>
            <w:bottom w:val="none" w:sz="0" w:space="0" w:color="auto"/>
            <w:right w:val="none" w:sz="0" w:space="0" w:color="auto"/>
          </w:divBdr>
        </w:div>
        <w:div w:id="1361052112">
          <w:marLeft w:val="0"/>
          <w:marRight w:val="0"/>
          <w:marTop w:val="0"/>
          <w:marBottom w:val="0"/>
          <w:divBdr>
            <w:top w:val="none" w:sz="0" w:space="0" w:color="auto"/>
            <w:left w:val="none" w:sz="0" w:space="0" w:color="auto"/>
            <w:bottom w:val="none" w:sz="0" w:space="0" w:color="auto"/>
            <w:right w:val="none" w:sz="0" w:space="0" w:color="auto"/>
          </w:divBdr>
        </w:div>
        <w:div w:id="227111888">
          <w:marLeft w:val="0"/>
          <w:marRight w:val="0"/>
          <w:marTop w:val="0"/>
          <w:marBottom w:val="0"/>
          <w:divBdr>
            <w:top w:val="none" w:sz="0" w:space="0" w:color="auto"/>
            <w:left w:val="none" w:sz="0" w:space="0" w:color="auto"/>
            <w:bottom w:val="none" w:sz="0" w:space="0" w:color="auto"/>
            <w:right w:val="none" w:sz="0" w:space="0" w:color="auto"/>
          </w:divBdr>
        </w:div>
        <w:div w:id="378941381">
          <w:marLeft w:val="0"/>
          <w:marRight w:val="0"/>
          <w:marTop w:val="0"/>
          <w:marBottom w:val="0"/>
          <w:divBdr>
            <w:top w:val="none" w:sz="0" w:space="0" w:color="auto"/>
            <w:left w:val="none" w:sz="0" w:space="0" w:color="auto"/>
            <w:bottom w:val="none" w:sz="0" w:space="0" w:color="auto"/>
            <w:right w:val="none" w:sz="0" w:space="0" w:color="auto"/>
          </w:divBdr>
        </w:div>
        <w:div w:id="532617435">
          <w:marLeft w:val="0"/>
          <w:marRight w:val="0"/>
          <w:marTop w:val="0"/>
          <w:marBottom w:val="0"/>
          <w:divBdr>
            <w:top w:val="none" w:sz="0" w:space="0" w:color="auto"/>
            <w:left w:val="none" w:sz="0" w:space="0" w:color="auto"/>
            <w:bottom w:val="none" w:sz="0" w:space="0" w:color="auto"/>
            <w:right w:val="none" w:sz="0" w:space="0" w:color="auto"/>
          </w:divBdr>
        </w:div>
        <w:div w:id="223225579">
          <w:marLeft w:val="0"/>
          <w:marRight w:val="0"/>
          <w:marTop w:val="0"/>
          <w:marBottom w:val="0"/>
          <w:divBdr>
            <w:top w:val="none" w:sz="0" w:space="0" w:color="auto"/>
            <w:left w:val="none" w:sz="0" w:space="0" w:color="auto"/>
            <w:bottom w:val="none" w:sz="0" w:space="0" w:color="auto"/>
            <w:right w:val="none" w:sz="0" w:space="0" w:color="auto"/>
          </w:divBdr>
        </w:div>
        <w:div w:id="526139123">
          <w:marLeft w:val="0"/>
          <w:marRight w:val="0"/>
          <w:marTop w:val="0"/>
          <w:marBottom w:val="0"/>
          <w:divBdr>
            <w:top w:val="none" w:sz="0" w:space="0" w:color="auto"/>
            <w:left w:val="none" w:sz="0" w:space="0" w:color="auto"/>
            <w:bottom w:val="none" w:sz="0" w:space="0" w:color="auto"/>
            <w:right w:val="none" w:sz="0" w:space="0" w:color="auto"/>
          </w:divBdr>
        </w:div>
        <w:div w:id="448941325">
          <w:marLeft w:val="0"/>
          <w:marRight w:val="0"/>
          <w:marTop w:val="0"/>
          <w:marBottom w:val="0"/>
          <w:divBdr>
            <w:top w:val="none" w:sz="0" w:space="0" w:color="auto"/>
            <w:left w:val="none" w:sz="0" w:space="0" w:color="auto"/>
            <w:bottom w:val="none" w:sz="0" w:space="0" w:color="auto"/>
            <w:right w:val="none" w:sz="0" w:space="0" w:color="auto"/>
          </w:divBdr>
        </w:div>
      </w:divsChild>
    </w:div>
    <w:div w:id="133372235">
      <w:bodyDiv w:val="1"/>
      <w:marLeft w:val="0"/>
      <w:marRight w:val="0"/>
      <w:marTop w:val="0"/>
      <w:marBottom w:val="0"/>
      <w:divBdr>
        <w:top w:val="none" w:sz="0" w:space="0" w:color="auto"/>
        <w:left w:val="none" w:sz="0" w:space="0" w:color="auto"/>
        <w:bottom w:val="none" w:sz="0" w:space="0" w:color="auto"/>
        <w:right w:val="none" w:sz="0" w:space="0" w:color="auto"/>
      </w:divBdr>
    </w:div>
    <w:div w:id="161748562">
      <w:bodyDiv w:val="1"/>
      <w:marLeft w:val="0"/>
      <w:marRight w:val="0"/>
      <w:marTop w:val="0"/>
      <w:marBottom w:val="0"/>
      <w:divBdr>
        <w:top w:val="none" w:sz="0" w:space="0" w:color="auto"/>
        <w:left w:val="none" w:sz="0" w:space="0" w:color="auto"/>
        <w:bottom w:val="none" w:sz="0" w:space="0" w:color="auto"/>
        <w:right w:val="none" w:sz="0" w:space="0" w:color="auto"/>
      </w:divBdr>
      <w:divsChild>
        <w:div w:id="1835876148">
          <w:marLeft w:val="0"/>
          <w:marRight w:val="0"/>
          <w:marTop w:val="0"/>
          <w:marBottom w:val="0"/>
          <w:divBdr>
            <w:top w:val="none" w:sz="0" w:space="0" w:color="auto"/>
            <w:left w:val="none" w:sz="0" w:space="0" w:color="auto"/>
            <w:bottom w:val="none" w:sz="0" w:space="0" w:color="auto"/>
            <w:right w:val="none" w:sz="0" w:space="0" w:color="auto"/>
          </w:divBdr>
        </w:div>
        <w:div w:id="1117606117">
          <w:marLeft w:val="0"/>
          <w:marRight w:val="0"/>
          <w:marTop w:val="0"/>
          <w:marBottom w:val="0"/>
          <w:divBdr>
            <w:top w:val="none" w:sz="0" w:space="0" w:color="auto"/>
            <w:left w:val="none" w:sz="0" w:space="0" w:color="auto"/>
            <w:bottom w:val="none" w:sz="0" w:space="0" w:color="auto"/>
            <w:right w:val="none" w:sz="0" w:space="0" w:color="auto"/>
          </w:divBdr>
        </w:div>
      </w:divsChild>
    </w:div>
    <w:div w:id="170724313">
      <w:bodyDiv w:val="1"/>
      <w:marLeft w:val="0"/>
      <w:marRight w:val="0"/>
      <w:marTop w:val="0"/>
      <w:marBottom w:val="0"/>
      <w:divBdr>
        <w:top w:val="none" w:sz="0" w:space="0" w:color="auto"/>
        <w:left w:val="none" w:sz="0" w:space="0" w:color="auto"/>
        <w:bottom w:val="none" w:sz="0" w:space="0" w:color="auto"/>
        <w:right w:val="none" w:sz="0" w:space="0" w:color="auto"/>
      </w:divBdr>
      <w:divsChild>
        <w:div w:id="1054811596">
          <w:marLeft w:val="0"/>
          <w:marRight w:val="0"/>
          <w:marTop w:val="0"/>
          <w:marBottom w:val="0"/>
          <w:divBdr>
            <w:top w:val="none" w:sz="0" w:space="0" w:color="auto"/>
            <w:left w:val="none" w:sz="0" w:space="0" w:color="auto"/>
            <w:bottom w:val="none" w:sz="0" w:space="0" w:color="auto"/>
            <w:right w:val="none" w:sz="0" w:space="0" w:color="auto"/>
          </w:divBdr>
        </w:div>
        <w:div w:id="287201506">
          <w:marLeft w:val="0"/>
          <w:marRight w:val="0"/>
          <w:marTop w:val="0"/>
          <w:marBottom w:val="0"/>
          <w:divBdr>
            <w:top w:val="none" w:sz="0" w:space="0" w:color="auto"/>
            <w:left w:val="none" w:sz="0" w:space="0" w:color="auto"/>
            <w:bottom w:val="none" w:sz="0" w:space="0" w:color="auto"/>
            <w:right w:val="none" w:sz="0" w:space="0" w:color="auto"/>
          </w:divBdr>
        </w:div>
        <w:div w:id="1997682110">
          <w:marLeft w:val="0"/>
          <w:marRight w:val="0"/>
          <w:marTop w:val="0"/>
          <w:marBottom w:val="0"/>
          <w:divBdr>
            <w:top w:val="none" w:sz="0" w:space="0" w:color="auto"/>
            <w:left w:val="none" w:sz="0" w:space="0" w:color="auto"/>
            <w:bottom w:val="none" w:sz="0" w:space="0" w:color="auto"/>
            <w:right w:val="none" w:sz="0" w:space="0" w:color="auto"/>
          </w:divBdr>
        </w:div>
        <w:div w:id="1233273044">
          <w:marLeft w:val="0"/>
          <w:marRight w:val="0"/>
          <w:marTop w:val="0"/>
          <w:marBottom w:val="0"/>
          <w:divBdr>
            <w:top w:val="none" w:sz="0" w:space="0" w:color="auto"/>
            <w:left w:val="none" w:sz="0" w:space="0" w:color="auto"/>
            <w:bottom w:val="none" w:sz="0" w:space="0" w:color="auto"/>
            <w:right w:val="none" w:sz="0" w:space="0" w:color="auto"/>
          </w:divBdr>
        </w:div>
        <w:div w:id="599486012">
          <w:marLeft w:val="0"/>
          <w:marRight w:val="0"/>
          <w:marTop w:val="0"/>
          <w:marBottom w:val="0"/>
          <w:divBdr>
            <w:top w:val="none" w:sz="0" w:space="0" w:color="auto"/>
            <w:left w:val="none" w:sz="0" w:space="0" w:color="auto"/>
            <w:bottom w:val="none" w:sz="0" w:space="0" w:color="auto"/>
            <w:right w:val="none" w:sz="0" w:space="0" w:color="auto"/>
          </w:divBdr>
        </w:div>
      </w:divsChild>
    </w:div>
    <w:div w:id="182986507">
      <w:bodyDiv w:val="1"/>
      <w:marLeft w:val="0"/>
      <w:marRight w:val="0"/>
      <w:marTop w:val="0"/>
      <w:marBottom w:val="0"/>
      <w:divBdr>
        <w:top w:val="none" w:sz="0" w:space="0" w:color="auto"/>
        <w:left w:val="none" w:sz="0" w:space="0" w:color="auto"/>
        <w:bottom w:val="none" w:sz="0" w:space="0" w:color="auto"/>
        <w:right w:val="none" w:sz="0" w:space="0" w:color="auto"/>
      </w:divBdr>
      <w:divsChild>
        <w:div w:id="1275139752">
          <w:marLeft w:val="0"/>
          <w:marRight w:val="0"/>
          <w:marTop w:val="0"/>
          <w:marBottom w:val="0"/>
          <w:divBdr>
            <w:top w:val="none" w:sz="0" w:space="0" w:color="auto"/>
            <w:left w:val="none" w:sz="0" w:space="0" w:color="auto"/>
            <w:bottom w:val="none" w:sz="0" w:space="0" w:color="auto"/>
            <w:right w:val="none" w:sz="0" w:space="0" w:color="auto"/>
          </w:divBdr>
        </w:div>
        <w:div w:id="693727256">
          <w:marLeft w:val="0"/>
          <w:marRight w:val="0"/>
          <w:marTop w:val="0"/>
          <w:marBottom w:val="0"/>
          <w:divBdr>
            <w:top w:val="none" w:sz="0" w:space="0" w:color="auto"/>
            <w:left w:val="none" w:sz="0" w:space="0" w:color="auto"/>
            <w:bottom w:val="none" w:sz="0" w:space="0" w:color="auto"/>
            <w:right w:val="none" w:sz="0" w:space="0" w:color="auto"/>
          </w:divBdr>
        </w:div>
        <w:div w:id="1675496131">
          <w:marLeft w:val="0"/>
          <w:marRight w:val="0"/>
          <w:marTop w:val="0"/>
          <w:marBottom w:val="0"/>
          <w:divBdr>
            <w:top w:val="none" w:sz="0" w:space="0" w:color="auto"/>
            <w:left w:val="none" w:sz="0" w:space="0" w:color="auto"/>
            <w:bottom w:val="none" w:sz="0" w:space="0" w:color="auto"/>
            <w:right w:val="none" w:sz="0" w:space="0" w:color="auto"/>
          </w:divBdr>
        </w:div>
        <w:div w:id="1975020170">
          <w:marLeft w:val="0"/>
          <w:marRight w:val="0"/>
          <w:marTop w:val="0"/>
          <w:marBottom w:val="0"/>
          <w:divBdr>
            <w:top w:val="none" w:sz="0" w:space="0" w:color="auto"/>
            <w:left w:val="none" w:sz="0" w:space="0" w:color="auto"/>
            <w:bottom w:val="none" w:sz="0" w:space="0" w:color="auto"/>
            <w:right w:val="none" w:sz="0" w:space="0" w:color="auto"/>
          </w:divBdr>
        </w:div>
        <w:div w:id="1581910291">
          <w:marLeft w:val="0"/>
          <w:marRight w:val="0"/>
          <w:marTop w:val="0"/>
          <w:marBottom w:val="0"/>
          <w:divBdr>
            <w:top w:val="none" w:sz="0" w:space="0" w:color="auto"/>
            <w:left w:val="none" w:sz="0" w:space="0" w:color="auto"/>
            <w:bottom w:val="none" w:sz="0" w:space="0" w:color="auto"/>
            <w:right w:val="none" w:sz="0" w:space="0" w:color="auto"/>
          </w:divBdr>
        </w:div>
        <w:div w:id="832526943">
          <w:marLeft w:val="0"/>
          <w:marRight w:val="0"/>
          <w:marTop w:val="0"/>
          <w:marBottom w:val="0"/>
          <w:divBdr>
            <w:top w:val="none" w:sz="0" w:space="0" w:color="auto"/>
            <w:left w:val="none" w:sz="0" w:space="0" w:color="auto"/>
            <w:bottom w:val="none" w:sz="0" w:space="0" w:color="auto"/>
            <w:right w:val="none" w:sz="0" w:space="0" w:color="auto"/>
          </w:divBdr>
        </w:div>
        <w:div w:id="116148513">
          <w:marLeft w:val="0"/>
          <w:marRight w:val="0"/>
          <w:marTop w:val="0"/>
          <w:marBottom w:val="0"/>
          <w:divBdr>
            <w:top w:val="none" w:sz="0" w:space="0" w:color="auto"/>
            <w:left w:val="none" w:sz="0" w:space="0" w:color="auto"/>
            <w:bottom w:val="none" w:sz="0" w:space="0" w:color="auto"/>
            <w:right w:val="none" w:sz="0" w:space="0" w:color="auto"/>
          </w:divBdr>
        </w:div>
        <w:div w:id="39136885">
          <w:marLeft w:val="0"/>
          <w:marRight w:val="0"/>
          <w:marTop w:val="0"/>
          <w:marBottom w:val="0"/>
          <w:divBdr>
            <w:top w:val="none" w:sz="0" w:space="0" w:color="auto"/>
            <w:left w:val="none" w:sz="0" w:space="0" w:color="auto"/>
            <w:bottom w:val="none" w:sz="0" w:space="0" w:color="auto"/>
            <w:right w:val="none" w:sz="0" w:space="0" w:color="auto"/>
          </w:divBdr>
        </w:div>
        <w:div w:id="1538817529">
          <w:marLeft w:val="0"/>
          <w:marRight w:val="0"/>
          <w:marTop w:val="0"/>
          <w:marBottom w:val="0"/>
          <w:divBdr>
            <w:top w:val="none" w:sz="0" w:space="0" w:color="auto"/>
            <w:left w:val="none" w:sz="0" w:space="0" w:color="auto"/>
            <w:bottom w:val="none" w:sz="0" w:space="0" w:color="auto"/>
            <w:right w:val="none" w:sz="0" w:space="0" w:color="auto"/>
          </w:divBdr>
        </w:div>
        <w:div w:id="1947617486">
          <w:marLeft w:val="0"/>
          <w:marRight w:val="0"/>
          <w:marTop w:val="0"/>
          <w:marBottom w:val="0"/>
          <w:divBdr>
            <w:top w:val="none" w:sz="0" w:space="0" w:color="auto"/>
            <w:left w:val="none" w:sz="0" w:space="0" w:color="auto"/>
            <w:bottom w:val="none" w:sz="0" w:space="0" w:color="auto"/>
            <w:right w:val="none" w:sz="0" w:space="0" w:color="auto"/>
          </w:divBdr>
        </w:div>
        <w:div w:id="577252481">
          <w:marLeft w:val="0"/>
          <w:marRight w:val="0"/>
          <w:marTop w:val="0"/>
          <w:marBottom w:val="0"/>
          <w:divBdr>
            <w:top w:val="none" w:sz="0" w:space="0" w:color="auto"/>
            <w:left w:val="none" w:sz="0" w:space="0" w:color="auto"/>
            <w:bottom w:val="none" w:sz="0" w:space="0" w:color="auto"/>
            <w:right w:val="none" w:sz="0" w:space="0" w:color="auto"/>
          </w:divBdr>
        </w:div>
        <w:div w:id="1836533302">
          <w:marLeft w:val="0"/>
          <w:marRight w:val="0"/>
          <w:marTop w:val="0"/>
          <w:marBottom w:val="0"/>
          <w:divBdr>
            <w:top w:val="none" w:sz="0" w:space="0" w:color="auto"/>
            <w:left w:val="none" w:sz="0" w:space="0" w:color="auto"/>
            <w:bottom w:val="none" w:sz="0" w:space="0" w:color="auto"/>
            <w:right w:val="none" w:sz="0" w:space="0" w:color="auto"/>
          </w:divBdr>
        </w:div>
        <w:div w:id="484663777">
          <w:marLeft w:val="0"/>
          <w:marRight w:val="0"/>
          <w:marTop w:val="0"/>
          <w:marBottom w:val="0"/>
          <w:divBdr>
            <w:top w:val="none" w:sz="0" w:space="0" w:color="auto"/>
            <w:left w:val="none" w:sz="0" w:space="0" w:color="auto"/>
            <w:bottom w:val="none" w:sz="0" w:space="0" w:color="auto"/>
            <w:right w:val="none" w:sz="0" w:space="0" w:color="auto"/>
          </w:divBdr>
        </w:div>
        <w:div w:id="503126155">
          <w:marLeft w:val="0"/>
          <w:marRight w:val="0"/>
          <w:marTop w:val="0"/>
          <w:marBottom w:val="0"/>
          <w:divBdr>
            <w:top w:val="none" w:sz="0" w:space="0" w:color="auto"/>
            <w:left w:val="none" w:sz="0" w:space="0" w:color="auto"/>
            <w:bottom w:val="none" w:sz="0" w:space="0" w:color="auto"/>
            <w:right w:val="none" w:sz="0" w:space="0" w:color="auto"/>
          </w:divBdr>
        </w:div>
        <w:div w:id="595133764">
          <w:marLeft w:val="0"/>
          <w:marRight w:val="0"/>
          <w:marTop w:val="0"/>
          <w:marBottom w:val="0"/>
          <w:divBdr>
            <w:top w:val="none" w:sz="0" w:space="0" w:color="auto"/>
            <w:left w:val="none" w:sz="0" w:space="0" w:color="auto"/>
            <w:bottom w:val="none" w:sz="0" w:space="0" w:color="auto"/>
            <w:right w:val="none" w:sz="0" w:space="0" w:color="auto"/>
          </w:divBdr>
        </w:div>
        <w:div w:id="192505082">
          <w:marLeft w:val="0"/>
          <w:marRight w:val="0"/>
          <w:marTop w:val="0"/>
          <w:marBottom w:val="0"/>
          <w:divBdr>
            <w:top w:val="none" w:sz="0" w:space="0" w:color="auto"/>
            <w:left w:val="none" w:sz="0" w:space="0" w:color="auto"/>
            <w:bottom w:val="none" w:sz="0" w:space="0" w:color="auto"/>
            <w:right w:val="none" w:sz="0" w:space="0" w:color="auto"/>
          </w:divBdr>
        </w:div>
        <w:div w:id="1595093655">
          <w:marLeft w:val="0"/>
          <w:marRight w:val="0"/>
          <w:marTop w:val="0"/>
          <w:marBottom w:val="0"/>
          <w:divBdr>
            <w:top w:val="none" w:sz="0" w:space="0" w:color="auto"/>
            <w:left w:val="none" w:sz="0" w:space="0" w:color="auto"/>
            <w:bottom w:val="none" w:sz="0" w:space="0" w:color="auto"/>
            <w:right w:val="none" w:sz="0" w:space="0" w:color="auto"/>
          </w:divBdr>
        </w:div>
        <w:div w:id="1813670423">
          <w:marLeft w:val="0"/>
          <w:marRight w:val="0"/>
          <w:marTop w:val="0"/>
          <w:marBottom w:val="0"/>
          <w:divBdr>
            <w:top w:val="none" w:sz="0" w:space="0" w:color="auto"/>
            <w:left w:val="none" w:sz="0" w:space="0" w:color="auto"/>
            <w:bottom w:val="none" w:sz="0" w:space="0" w:color="auto"/>
            <w:right w:val="none" w:sz="0" w:space="0" w:color="auto"/>
          </w:divBdr>
        </w:div>
        <w:div w:id="183173814">
          <w:marLeft w:val="0"/>
          <w:marRight w:val="0"/>
          <w:marTop w:val="0"/>
          <w:marBottom w:val="0"/>
          <w:divBdr>
            <w:top w:val="none" w:sz="0" w:space="0" w:color="auto"/>
            <w:left w:val="none" w:sz="0" w:space="0" w:color="auto"/>
            <w:bottom w:val="none" w:sz="0" w:space="0" w:color="auto"/>
            <w:right w:val="none" w:sz="0" w:space="0" w:color="auto"/>
          </w:divBdr>
        </w:div>
        <w:div w:id="223223326">
          <w:marLeft w:val="0"/>
          <w:marRight w:val="0"/>
          <w:marTop w:val="0"/>
          <w:marBottom w:val="0"/>
          <w:divBdr>
            <w:top w:val="none" w:sz="0" w:space="0" w:color="auto"/>
            <w:left w:val="none" w:sz="0" w:space="0" w:color="auto"/>
            <w:bottom w:val="none" w:sz="0" w:space="0" w:color="auto"/>
            <w:right w:val="none" w:sz="0" w:space="0" w:color="auto"/>
          </w:divBdr>
        </w:div>
        <w:div w:id="1672030053">
          <w:marLeft w:val="0"/>
          <w:marRight w:val="0"/>
          <w:marTop w:val="0"/>
          <w:marBottom w:val="0"/>
          <w:divBdr>
            <w:top w:val="none" w:sz="0" w:space="0" w:color="auto"/>
            <w:left w:val="none" w:sz="0" w:space="0" w:color="auto"/>
            <w:bottom w:val="none" w:sz="0" w:space="0" w:color="auto"/>
            <w:right w:val="none" w:sz="0" w:space="0" w:color="auto"/>
          </w:divBdr>
        </w:div>
        <w:div w:id="1480223986">
          <w:marLeft w:val="0"/>
          <w:marRight w:val="0"/>
          <w:marTop w:val="0"/>
          <w:marBottom w:val="0"/>
          <w:divBdr>
            <w:top w:val="none" w:sz="0" w:space="0" w:color="auto"/>
            <w:left w:val="none" w:sz="0" w:space="0" w:color="auto"/>
            <w:bottom w:val="none" w:sz="0" w:space="0" w:color="auto"/>
            <w:right w:val="none" w:sz="0" w:space="0" w:color="auto"/>
          </w:divBdr>
        </w:div>
        <w:div w:id="715814069">
          <w:marLeft w:val="0"/>
          <w:marRight w:val="0"/>
          <w:marTop w:val="0"/>
          <w:marBottom w:val="0"/>
          <w:divBdr>
            <w:top w:val="none" w:sz="0" w:space="0" w:color="auto"/>
            <w:left w:val="none" w:sz="0" w:space="0" w:color="auto"/>
            <w:bottom w:val="none" w:sz="0" w:space="0" w:color="auto"/>
            <w:right w:val="none" w:sz="0" w:space="0" w:color="auto"/>
          </w:divBdr>
        </w:div>
        <w:div w:id="1827044618">
          <w:marLeft w:val="0"/>
          <w:marRight w:val="0"/>
          <w:marTop w:val="0"/>
          <w:marBottom w:val="0"/>
          <w:divBdr>
            <w:top w:val="none" w:sz="0" w:space="0" w:color="auto"/>
            <w:left w:val="none" w:sz="0" w:space="0" w:color="auto"/>
            <w:bottom w:val="none" w:sz="0" w:space="0" w:color="auto"/>
            <w:right w:val="none" w:sz="0" w:space="0" w:color="auto"/>
          </w:divBdr>
        </w:div>
        <w:div w:id="549731511">
          <w:marLeft w:val="0"/>
          <w:marRight w:val="0"/>
          <w:marTop w:val="0"/>
          <w:marBottom w:val="0"/>
          <w:divBdr>
            <w:top w:val="none" w:sz="0" w:space="0" w:color="auto"/>
            <w:left w:val="none" w:sz="0" w:space="0" w:color="auto"/>
            <w:bottom w:val="none" w:sz="0" w:space="0" w:color="auto"/>
            <w:right w:val="none" w:sz="0" w:space="0" w:color="auto"/>
          </w:divBdr>
        </w:div>
        <w:div w:id="1419136189">
          <w:marLeft w:val="0"/>
          <w:marRight w:val="0"/>
          <w:marTop w:val="0"/>
          <w:marBottom w:val="0"/>
          <w:divBdr>
            <w:top w:val="none" w:sz="0" w:space="0" w:color="auto"/>
            <w:left w:val="none" w:sz="0" w:space="0" w:color="auto"/>
            <w:bottom w:val="none" w:sz="0" w:space="0" w:color="auto"/>
            <w:right w:val="none" w:sz="0" w:space="0" w:color="auto"/>
          </w:divBdr>
        </w:div>
        <w:div w:id="430509328">
          <w:marLeft w:val="0"/>
          <w:marRight w:val="0"/>
          <w:marTop w:val="0"/>
          <w:marBottom w:val="0"/>
          <w:divBdr>
            <w:top w:val="none" w:sz="0" w:space="0" w:color="auto"/>
            <w:left w:val="none" w:sz="0" w:space="0" w:color="auto"/>
            <w:bottom w:val="none" w:sz="0" w:space="0" w:color="auto"/>
            <w:right w:val="none" w:sz="0" w:space="0" w:color="auto"/>
          </w:divBdr>
        </w:div>
        <w:div w:id="852568905">
          <w:marLeft w:val="0"/>
          <w:marRight w:val="0"/>
          <w:marTop w:val="0"/>
          <w:marBottom w:val="0"/>
          <w:divBdr>
            <w:top w:val="none" w:sz="0" w:space="0" w:color="auto"/>
            <w:left w:val="none" w:sz="0" w:space="0" w:color="auto"/>
            <w:bottom w:val="none" w:sz="0" w:space="0" w:color="auto"/>
            <w:right w:val="none" w:sz="0" w:space="0" w:color="auto"/>
          </w:divBdr>
        </w:div>
        <w:div w:id="726879214">
          <w:marLeft w:val="0"/>
          <w:marRight w:val="0"/>
          <w:marTop w:val="0"/>
          <w:marBottom w:val="0"/>
          <w:divBdr>
            <w:top w:val="none" w:sz="0" w:space="0" w:color="auto"/>
            <w:left w:val="none" w:sz="0" w:space="0" w:color="auto"/>
            <w:bottom w:val="none" w:sz="0" w:space="0" w:color="auto"/>
            <w:right w:val="none" w:sz="0" w:space="0" w:color="auto"/>
          </w:divBdr>
        </w:div>
        <w:div w:id="303119150">
          <w:marLeft w:val="0"/>
          <w:marRight w:val="0"/>
          <w:marTop w:val="0"/>
          <w:marBottom w:val="0"/>
          <w:divBdr>
            <w:top w:val="none" w:sz="0" w:space="0" w:color="auto"/>
            <w:left w:val="none" w:sz="0" w:space="0" w:color="auto"/>
            <w:bottom w:val="none" w:sz="0" w:space="0" w:color="auto"/>
            <w:right w:val="none" w:sz="0" w:space="0" w:color="auto"/>
          </w:divBdr>
        </w:div>
        <w:div w:id="1913739588">
          <w:marLeft w:val="0"/>
          <w:marRight w:val="0"/>
          <w:marTop w:val="0"/>
          <w:marBottom w:val="0"/>
          <w:divBdr>
            <w:top w:val="none" w:sz="0" w:space="0" w:color="auto"/>
            <w:left w:val="none" w:sz="0" w:space="0" w:color="auto"/>
            <w:bottom w:val="none" w:sz="0" w:space="0" w:color="auto"/>
            <w:right w:val="none" w:sz="0" w:space="0" w:color="auto"/>
          </w:divBdr>
        </w:div>
        <w:div w:id="584727450">
          <w:marLeft w:val="0"/>
          <w:marRight w:val="0"/>
          <w:marTop w:val="0"/>
          <w:marBottom w:val="0"/>
          <w:divBdr>
            <w:top w:val="none" w:sz="0" w:space="0" w:color="auto"/>
            <w:left w:val="none" w:sz="0" w:space="0" w:color="auto"/>
            <w:bottom w:val="none" w:sz="0" w:space="0" w:color="auto"/>
            <w:right w:val="none" w:sz="0" w:space="0" w:color="auto"/>
          </w:divBdr>
        </w:div>
        <w:div w:id="517813395">
          <w:marLeft w:val="0"/>
          <w:marRight w:val="0"/>
          <w:marTop w:val="0"/>
          <w:marBottom w:val="0"/>
          <w:divBdr>
            <w:top w:val="none" w:sz="0" w:space="0" w:color="auto"/>
            <w:left w:val="none" w:sz="0" w:space="0" w:color="auto"/>
            <w:bottom w:val="none" w:sz="0" w:space="0" w:color="auto"/>
            <w:right w:val="none" w:sz="0" w:space="0" w:color="auto"/>
          </w:divBdr>
        </w:div>
        <w:div w:id="2086030272">
          <w:marLeft w:val="0"/>
          <w:marRight w:val="0"/>
          <w:marTop w:val="0"/>
          <w:marBottom w:val="0"/>
          <w:divBdr>
            <w:top w:val="none" w:sz="0" w:space="0" w:color="auto"/>
            <w:left w:val="none" w:sz="0" w:space="0" w:color="auto"/>
            <w:bottom w:val="none" w:sz="0" w:space="0" w:color="auto"/>
            <w:right w:val="none" w:sz="0" w:space="0" w:color="auto"/>
          </w:divBdr>
        </w:div>
        <w:div w:id="530802621">
          <w:marLeft w:val="0"/>
          <w:marRight w:val="0"/>
          <w:marTop w:val="0"/>
          <w:marBottom w:val="0"/>
          <w:divBdr>
            <w:top w:val="none" w:sz="0" w:space="0" w:color="auto"/>
            <w:left w:val="none" w:sz="0" w:space="0" w:color="auto"/>
            <w:bottom w:val="none" w:sz="0" w:space="0" w:color="auto"/>
            <w:right w:val="none" w:sz="0" w:space="0" w:color="auto"/>
          </w:divBdr>
        </w:div>
        <w:div w:id="1696540416">
          <w:marLeft w:val="0"/>
          <w:marRight w:val="0"/>
          <w:marTop w:val="0"/>
          <w:marBottom w:val="0"/>
          <w:divBdr>
            <w:top w:val="none" w:sz="0" w:space="0" w:color="auto"/>
            <w:left w:val="none" w:sz="0" w:space="0" w:color="auto"/>
            <w:bottom w:val="none" w:sz="0" w:space="0" w:color="auto"/>
            <w:right w:val="none" w:sz="0" w:space="0" w:color="auto"/>
          </w:divBdr>
        </w:div>
        <w:div w:id="1149639778">
          <w:marLeft w:val="0"/>
          <w:marRight w:val="0"/>
          <w:marTop w:val="0"/>
          <w:marBottom w:val="0"/>
          <w:divBdr>
            <w:top w:val="none" w:sz="0" w:space="0" w:color="auto"/>
            <w:left w:val="none" w:sz="0" w:space="0" w:color="auto"/>
            <w:bottom w:val="none" w:sz="0" w:space="0" w:color="auto"/>
            <w:right w:val="none" w:sz="0" w:space="0" w:color="auto"/>
          </w:divBdr>
        </w:div>
        <w:div w:id="1944412994">
          <w:marLeft w:val="0"/>
          <w:marRight w:val="0"/>
          <w:marTop w:val="0"/>
          <w:marBottom w:val="0"/>
          <w:divBdr>
            <w:top w:val="none" w:sz="0" w:space="0" w:color="auto"/>
            <w:left w:val="none" w:sz="0" w:space="0" w:color="auto"/>
            <w:bottom w:val="none" w:sz="0" w:space="0" w:color="auto"/>
            <w:right w:val="none" w:sz="0" w:space="0" w:color="auto"/>
          </w:divBdr>
        </w:div>
        <w:div w:id="318732405">
          <w:marLeft w:val="0"/>
          <w:marRight w:val="0"/>
          <w:marTop w:val="0"/>
          <w:marBottom w:val="0"/>
          <w:divBdr>
            <w:top w:val="none" w:sz="0" w:space="0" w:color="auto"/>
            <w:left w:val="none" w:sz="0" w:space="0" w:color="auto"/>
            <w:bottom w:val="none" w:sz="0" w:space="0" w:color="auto"/>
            <w:right w:val="none" w:sz="0" w:space="0" w:color="auto"/>
          </w:divBdr>
        </w:div>
        <w:div w:id="1537890079">
          <w:marLeft w:val="0"/>
          <w:marRight w:val="0"/>
          <w:marTop w:val="0"/>
          <w:marBottom w:val="0"/>
          <w:divBdr>
            <w:top w:val="none" w:sz="0" w:space="0" w:color="auto"/>
            <w:left w:val="none" w:sz="0" w:space="0" w:color="auto"/>
            <w:bottom w:val="none" w:sz="0" w:space="0" w:color="auto"/>
            <w:right w:val="none" w:sz="0" w:space="0" w:color="auto"/>
          </w:divBdr>
        </w:div>
        <w:div w:id="1450273513">
          <w:marLeft w:val="0"/>
          <w:marRight w:val="0"/>
          <w:marTop w:val="0"/>
          <w:marBottom w:val="0"/>
          <w:divBdr>
            <w:top w:val="none" w:sz="0" w:space="0" w:color="auto"/>
            <w:left w:val="none" w:sz="0" w:space="0" w:color="auto"/>
            <w:bottom w:val="none" w:sz="0" w:space="0" w:color="auto"/>
            <w:right w:val="none" w:sz="0" w:space="0" w:color="auto"/>
          </w:divBdr>
        </w:div>
        <w:div w:id="603996683">
          <w:marLeft w:val="0"/>
          <w:marRight w:val="0"/>
          <w:marTop w:val="0"/>
          <w:marBottom w:val="0"/>
          <w:divBdr>
            <w:top w:val="none" w:sz="0" w:space="0" w:color="auto"/>
            <w:left w:val="none" w:sz="0" w:space="0" w:color="auto"/>
            <w:bottom w:val="none" w:sz="0" w:space="0" w:color="auto"/>
            <w:right w:val="none" w:sz="0" w:space="0" w:color="auto"/>
          </w:divBdr>
        </w:div>
        <w:div w:id="1197740807">
          <w:marLeft w:val="0"/>
          <w:marRight w:val="0"/>
          <w:marTop w:val="0"/>
          <w:marBottom w:val="0"/>
          <w:divBdr>
            <w:top w:val="none" w:sz="0" w:space="0" w:color="auto"/>
            <w:left w:val="none" w:sz="0" w:space="0" w:color="auto"/>
            <w:bottom w:val="none" w:sz="0" w:space="0" w:color="auto"/>
            <w:right w:val="none" w:sz="0" w:space="0" w:color="auto"/>
          </w:divBdr>
        </w:div>
      </w:divsChild>
    </w:div>
    <w:div w:id="208420178">
      <w:bodyDiv w:val="1"/>
      <w:marLeft w:val="0"/>
      <w:marRight w:val="0"/>
      <w:marTop w:val="0"/>
      <w:marBottom w:val="0"/>
      <w:divBdr>
        <w:top w:val="none" w:sz="0" w:space="0" w:color="auto"/>
        <w:left w:val="none" w:sz="0" w:space="0" w:color="auto"/>
        <w:bottom w:val="none" w:sz="0" w:space="0" w:color="auto"/>
        <w:right w:val="none" w:sz="0" w:space="0" w:color="auto"/>
      </w:divBdr>
      <w:divsChild>
        <w:div w:id="1031955792">
          <w:marLeft w:val="0"/>
          <w:marRight w:val="0"/>
          <w:marTop w:val="0"/>
          <w:marBottom w:val="0"/>
          <w:divBdr>
            <w:top w:val="none" w:sz="0" w:space="0" w:color="auto"/>
            <w:left w:val="none" w:sz="0" w:space="0" w:color="auto"/>
            <w:bottom w:val="none" w:sz="0" w:space="0" w:color="auto"/>
            <w:right w:val="none" w:sz="0" w:space="0" w:color="auto"/>
          </w:divBdr>
        </w:div>
        <w:div w:id="1437946289">
          <w:marLeft w:val="0"/>
          <w:marRight w:val="0"/>
          <w:marTop w:val="0"/>
          <w:marBottom w:val="0"/>
          <w:divBdr>
            <w:top w:val="none" w:sz="0" w:space="0" w:color="auto"/>
            <w:left w:val="none" w:sz="0" w:space="0" w:color="auto"/>
            <w:bottom w:val="none" w:sz="0" w:space="0" w:color="auto"/>
            <w:right w:val="none" w:sz="0" w:space="0" w:color="auto"/>
          </w:divBdr>
        </w:div>
        <w:div w:id="291981943">
          <w:marLeft w:val="0"/>
          <w:marRight w:val="0"/>
          <w:marTop w:val="0"/>
          <w:marBottom w:val="0"/>
          <w:divBdr>
            <w:top w:val="none" w:sz="0" w:space="0" w:color="auto"/>
            <w:left w:val="none" w:sz="0" w:space="0" w:color="auto"/>
            <w:bottom w:val="none" w:sz="0" w:space="0" w:color="auto"/>
            <w:right w:val="none" w:sz="0" w:space="0" w:color="auto"/>
          </w:divBdr>
        </w:div>
        <w:div w:id="1384210134">
          <w:marLeft w:val="0"/>
          <w:marRight w:val="0"/>
          <w:marTop w:val="0"/>
          <w:marBottom w:val="0"/>
          <w:divBdr>
            <w:top w:val="none" w:sz="0" w:space="0" w:color="auto"/>
            <w:left w:val="none" w:sz="0" w:space="0" w:color="auto"/>
            <w:bottom w:val="none" w:sz="0" w:space="0" w:color="auto"/>
            <w:right w:val="none" w:sz="0" w:space="0" w:color="auto"/>
          </w:divBdr>
        </w:div>
        <w:div w:id="1755780532">
          <w:marLeft w:val="0"/>
          <w:marRight w:val="0"/>
          <w:marTop w:val="0"/>
          <w:marBottom w:val="0"/>
          <w:divBdr>
            <w:top w:val="none" w:sz="0" w:space="0" w:color="auto"/>
            <w:left w:val="none" w:sz="0" w:space="0" w:color="auto"/>
            <w:bottom w:val="none" w:sz="0" w:space="0" w:color="auto"/>
            <w:right w:val="none" w:sz="0" w:space="0" w:color="auto"/>
          </w:divBdr>
        </w:div>
        <w:div w:id="712655631">
          <w:marLeft w:val="0"/>
          <w:marRight w:val="0"/>
          <w:marTop w:val="0"/>
          <w:marBottom w:val="0"/>
          <w:divBdr>
            <w:top w:val="none" w:sz="0" w:space="0" w:color="auto"/>
            <w:left w:val="none" w:sz="0" w:space="0" w:color="auto"/>
            <w:bottom w:val="none" w:sz="0" w:space="0" w:color="auto"/>
            <w:right w:val="none" w:sz="0" w:space="0" w:color="auto"/>
          </w:divBdr>
        </w:div>
        <w:div w:id="602688991">
          <w:marLeft w:val="0"/>
          <w:marRight w:val="0"/>
          <w:marTop w:val="0"/>
          <w:marBottom w:val="0"/>
          <w:divBdr>
            <w:top w:val="none" w:sz="0" w:space="0" w:color="auto"/>
            <w:left w:val="none" w:sz="0" w:space="0" w:color="auto"/>
            <w:bottom w:val="none" w:sz="0" w:space="0" w:color="auto"/>
            <w:right w:val="none" w:sz="0" w:space="0" w:color="auto"/>
          </w:divBdr>
        </w:div>
        <w:div w:id="28652720">
          <w:marLeft w:val="0"/>
          <w:marRight w:val="0"/>
          <w:marTop w:val="0"/>
          <w:marBottom w:val="0"/>
          <w:divBdr>
            <w:top w:val="none" w:sz="0" w:space="0" w:color="auto"/>
            <w:left w:val="none" w:sz="0" w:space="0" w:color="auto"/>
            <w:bottom w:val="none" w:sz="0" w:space="0" w:color="auto"/>
            <w:right w:val="none" w:sz="0" w:space="0" w:color="auto"/>
          </w:divBdr>
        </w:div>
        <w:div w:id="1474255991">
          <w:marLeft w:val="0"/>
          <w:marRight w:val="0"/>
          <w:marTop w:val="0"/>
          <w:marBottom w:val="0"/>
          <w:divBdr>
            <w:top w:val="none" w:sz="0" w:space="0" w:color="auto"/>
            <w:left w:val="none" w:sz="0" w:space="0" w:color="auto"/>
            <w:bottom w:val="none" w:sz="0" w:space="0" w:color="auto"/>
            <w:right w:val="none" w:sz="0" w:space="0" w:color="auto"/>
          </w:divBdr>
        </w:div>
        <w:div w:id="1898009139">
          <w:marLeft w:val="0"/>
          <w:marRight w:val="0"/>
          <w:marTop w:val="0"/>
          <w:marBottom w:val="0"/>
          <w:divBdr>
            <w:top w:val="none" w:sz="0" w:space="0" w:color="auto"/>
            <w:left w:val="none" w:sz="0" w:space="0" w:color="auto"/>
            <w:bottom w:val="none" w:sz="0" w:space="0" w:color="auto"/>
            <w:right w:val="none" w:sz="0" w:space="0" w:color="auto"/>
          </w:divBdr>
        </w:div>
      </w:divsChild>
    </w:div>
    <w:div w:id="214051611">
      <w:bodyDiv w:val="1"/>
      <w:marLeft w:val="0"/>
      <w:marRight w:val="0"/>
      <w:marTop w:val="0"/>
      <w:marBottom w:val="0"/>
      <w:divBdr>
        <w:top w:val="none" w:sz="0" w:space="0" w:color="auto"/>
        <w:left w:val="none" w:sz="0" w:space="0" w:color="auto"/>
        <w:bottom w:val="none" w:sz="0" w:space="0" w:color="auto"/>
        <w:right w:val="none" w:sz="0" w:space="0" w:color="auto"/>
      </w:divBdr>
      <w:divsChild>
        <w:div w:id="979724542">
          <w:marLeft w:val="0"/>
          <w:marRight w:val="0"/>
          <w:marTop w:val="0"/>
          <w:marBottom w:val="0"/>
          <w:divBdr>
            <w:top w:val="none" w:sz="0" w:space="0" w:color="auto"/>
            <w:left w:val="none" w:sz="0" w:space="0" w:color="auto"/>
            <w:bottom w:val="none" w:sz="0" w:space="0" w:color="auto"/>
            <w:right w:val="none" w:sz="0" w:space="0" w:color="auto"/>
          </w:divBdr>
        </w:div>
        <w:div w:id="1941141676">
          <w:marLeft w:val="0"/>
          <w:marRight w:val="0"/>
          <w:marTop w:val="0"/>
          <w:marBottom w:val="0"/>
          <w:divBdr>
            <w:top w:val="none" w:sz="0" w:space="0" w:color="auto"/>
            <w:left w:val="none" w:sz="0" w:space="0" w:color="auto"/>
            <w:bottom w:val="none" w:sz="0" w:space="0" w:color="auto"/>
            <w:right w:val="none" w:sz="0" w:space="0" w:color="auto"/>
          </w:divBdr>
        </w:div>
      </w:divsChild>
    </w:div>
    <w:div w:id="216817526">
      <w:bodyDiv w:val="1"/>
      <w:marLeft w:val="0"/>
      <w:marRight w:val="0"/>
      <w:marTop w:val="0"/>
      <w:marBottom w:val="0"/>
      <w:divBdr>
        <w:top w:val="none" w:sz="0" w:space="0" w:color="auto"/>
        <w:left w:val="none" w:sz="0" w:space="0" w:color="auto"/>
        <w:bottom w:val="none" w:sz="0" w:space="0" w:color="auto"/>
        <w:right w:val="none" w:sz="0" w:space="0" w:color="auto"/>
      </w:divBdr>
      <w:divsChild>
        <w:div w:id="297106562">
          <w:marLeft w:val="0"/>
          <w:marRight w:val="0"/>
          <w:marTop w:val="0"/>
          <w:marBottom w:val="0"/>
          <w:divBdr>
            <w:top w:val="none" w:sz="0" w:space="0" w:color="auto"/>
            <w:left w:val="none" w:sz="0" w:space="0" w:color="auto"/>
            <w:bottom w:val="none" w:sz="0" w:space="0" w:color="auto"/>
            <w:right w:val="none" w:sz="0" w:space="0" w:color="auto"/>
          </w:divBdr>
        </w:div>
        <w:div w:id="904072897">
          <w:marLeft w:val="0"/>
          <w:marRight w:val="0"/>
          <w:marTop w:val="0"/>
          <w:marBottom w:val="0"/>
          <w:divBdr>
            <w:top w:val="none" w:sz="0" w:space="0" w:color="auto"/>
            <w:left w:val="none" w:sz="0" w:space="0" w:color="auto"/>
            <w:bottom w:val="none" w:sz="0" w:space="0" w:color="auto"/>
            <w:right w:val="none" w:sz="0" w:space="0" w:color="auto"/>
          </w:divBdr>
        </w:div>
        <w:div w:id="432022091">
          <w:marLeft w:val="0"/>
          <w:marRight w:val="0"/>
          <w:marTop w:val="0"/>
          <w:marBottom w:val="0"/>
          <w:divBdr>
            <w:top w:val="none" w:sz="0" w:space="0" w:color="auto"/>
            <w:left w:val="none" w:sz="0" w:space="0" w:color="auto"/>
            <w:bottom w:val="none" w:sz="0" w:space="0" w:color="auto"/>
            <w:right w:val="none" w:sz="0" w:space="0" w:color="auto"/>
          </w:divBdr>
        </w:div>
        <w:div w:id="686830844">
          <w:marLeft w:val="0"/>
          <w:marRight w:val="0"/>
          <w:marTop w:val="0"/>
          <w:marBottom w:val="0"/>
          <w:divBdr>
            <w:top w:val="none" w:sz="0" w:space="0" w:color="auto"/>
            <w:left w:val="none" w:sz="0" w:space="0" w:color="auto"/>
            <w:bottom w:val="none" w:sz="0" w:space="0" w:color="auto"/>
            <w:right w:val="none" w:sz="0" w:space="0" w:color="auto"/>
          </w:divBdr>
        </w:div>
        <w:div w:id="1290623036">
          <w:marLeft w:val="0"/>
          <w:marRight w:val="0"/>
          <w:marTop w:val="0"/>
          <w:marBottom w:val="0"/>
          <w:divBdr>
            <w:top w:val="none" w:sz="0" w:space="0" w:color="auto"/>
            <w:left w:val="none" w:sz="0" w:space="0" w:color="auto"/>
            <w:bottom w:val="none" w:sz="0" w:space="0" w:color="auto"/>
            <w:right w:val="none" w:sz="0" w:space="0" w:color="auto"/>
          </w:divBdr>
        </w:div>
      </w:divsChild>
    </w:div>
    <w:div w:id="241650086">
      <w:bodyDiv w:val="1"/>
      <w:marLeft w:val="0"/>
      <w:marRight w:val="0"/>
      <w:marTop w:val="0"/>
      <w:marBottom w:val="0"/>
      <w:divBdr>
        <w:top w:val="none" w:sz="0" w:space="0" w:color="auto"/>
        <w:left w:val="none" w:sz="0" w:space="0" w:color="auto"/>
        <w:bottom w:val="none" w:sz="0" w:space="0" w:color="auto"/>
        <w:right w:val="none" w:sz="0" w:space="0" w:color="auto"/>
      </w:divBdr>
      <w:divsChild>
        <w:div w:id="306208762">
          <w:marLeft w:val="0"/>
          <w:marRight w:val="0"/>
          <w:marTop w:val="0"/>
          <w:marBottom w:val="0"/>
          <w:divBdr>
            <w:top w:val="none" w:sz="0" w:space="0" w:color="auto"/>
            <w:left w:val="none" w:sz="0" w:space="0" w:color="auto"/>
            <w:bottom w:val="none" w:sz="0" w:space="0" w:color="auto"/>
            <w:right w:val="none" w:sz="0" w:space="0" w:color="auto"/>
          </w:divBdr>
        </w:div>
        <w:div w:id="633022613">
          <w:marLeft w:val="0"/>
          <w:marRight w:val="0"/>
          <w:marTop w:val="0"/>
          <w:marBottom w:val="0"/>
          <w:divBdr>
            <w:top w:val="none" w:sz="0" w:space="0" w:color="auto"/>
            <w:left w:val="none" w:sz="0" w:space="0" w:color="auto"/>
            <w:bottom w:val="none" w:sz="0" w:space="0" w:color="auto"/>
            <w:right w:val="none" w:sz="0" w:space="0" w:color="auto"/>
          </w:divBdr>
        </w:div>
        <w:div w:id="2047948442">
          <w:marLeft w:val="0"/>
          <w:marRight w:val="0"/>
          <w:marTop w:val="0"/>
          <w:marBottom w:val="0"/>
          <w:divBdr>
            <w:top w:val="none" w:sz="0" w:space="0" w:color="auto"/>
            <w:left w:val="none" w:sz="0" w:space="0" w:color="auto"/>
            <w:bottom w:val="none" w:sz="0" w:space="0" w:color="auto"/>
            <w:right w:val="none" w:sz="0" w:space="0" w:color="auto"/>
          </w:divBdr>
        </w:div>
        <w:div w:id="1269855931">
          <w:marLeft w:val="0"/>
          <w:marRight w:val="0"/>
          <w:marTop w:val="0"/>
          <w:marBottom w:val="0"/>
          <w:divBdr>
            <w:top w:val="none" w:sz="0" w:space="0" w:color="auto"/>
            <w:left w:val="none" w:sz="0" w:space="0" w:color="auto"/>
            <w:bottom w:val="none" w:sz="0" w:space="0" w:color="auto"/>
            <w:right w:val="none" w:sz="0" w:space="0" w:color="auto"/>
          </w:divBdr>
        </w:div>
        <w:div w:id="200751037">
          <w:marLeft w:val="0"/>
          <w:marRight w:val="0"/>
          <w:marTop w:val="0"/>
          <w:marBottom w:val="0"/>
          <w:divBdr>
            <w:top w:val="none" w:sz="0" w:space="0" w:color="auto"/>
            <w:left w:val="none" w:sz="0" w:space="0" w:color="auto"/>
            <w:bottom w:val="none" w:sz="0" w:space="0" w:color="auto"/>
            <w:right w:val="none" w:sz="0" w:space="0" w:color="auto"/>
          </w:divBdr>
        </w:div>
        <w:div w:id="1732844174">
          <w:marLeft w:val="0"/>
          <w:marRight w:val="0"/>
          <w:marTop w:val="0"/>
          <w:marBottom w:val="0"/>
          <w:divBdr>
            <w:top w:val="none" w:sz="0" w:space="0" w:color="auto"/>
            <w:left w:val="none" w:sz="0" w:space="0" w:color="auto"/>
            <w:bottom w:val="none" w:sz="0" w:space="0" w:color="auto"/>
            <w:right w:val="none" w:sz="0" w:space="0" w:color="auto"/>
          </w:divBdr>
        </w:div>
        <w:div w:id="1488933241">
          <w:marLeft w:val="0"/>
          <w:marRight w:val="0"/>
          <w:marTop w:val="0"/>
          <w:marBottom w:val="0"/>
          <w:divBdr>
            <w:top w:val="none" w:sz="0" w:space="0" w:color="auto"/>
            <w:left w:val="none" w:sz="0" w:space="0" w:color="auto"/>
            <w:bottom w:val="none" w:sz="0" w:space="0" w:color="auto"/>
            <w:right w:val="none" w:sz="0" w:space="0" w:color="auto"/>
          </w:divBdr>
        </w:div>
        <w:div w:id="926425140">
          <w:marLeft w:val="0"/>
          <w:marRight w:val="0"/>
          <w:marTop w:val="0"/>
          <w:marBottom w:val="0"/>
          <w:divBdr>
            <w:top w:val="none" w:sz="0" w:space="0" w:color="auto"/>
            <w:left w:val="none" w:sz="0" w:space="0" w:color="auto"/>
            <w:bottom w:val="none" w:sz="0" w:space="0" w:color="auto"/>
            <w:right w:val="none" w:sz="0" w:space="0" w:color="auto"/>
          </w:divBdr>
        </w:div>
      </w:divsChild>
    </w:div>
    <w:div w:id="257370830">
      <w:bodyDiv w:val="1"/>
      <w:marLeft w:val="0"/>
      <w:marRight w:val="0"/>
      <w:marTop w:val="0"/>
      <w:marBottom w:val="0"/>
      <w:divBdr>
        <w:top w:val="none" w:sz="0" w:space="0" w:color="auto"/>
        <w:left w:val="none" w:sz="0" w:space="0" w:color="auto"/>
        <w:bottom w:val="none" w:sz="0" w:space="0" w:color="auto"/>
        <w:right w:val="none" w:sz="0" w:space="0" w:color="auto"/>
      </w:divBdr>
      <w:divsChild>
        <w:div w:id="1385251686">
          <w:marLeft w:val="0"/>
          <w:marRight w:val="0"/>
          <w:marTop w:val="0"/>
          <w:marBottom w:val="0"/>
          <w:divBdr>
            <w:top w:val="none" w:sz="0" w:space="0" w:color="auto"/>
            <w:left w:val="none" w:sz="0" w:space="0" w:color="auto"/>
            <w:bottom w:val="none" w:sz="0" w:space="0" w:color="auto"/>
            <w:right w:val="none" w:sz="0" w:space="0" w:color="auto"/>
          </w:divBdr>
        </w:div>
        <w:div w:id="1227490770">
          <w:marLeft w:val="0"/>
          <w:marRight w:val="0"/>
          <w:marTop w:val="0"/>
          <w:marBottom w:val="0"/>
          <w:divBdr>
            <w:top w:val="none" w:sz="0" w:space="0" w:color="auto"/>
            <w:left w:val="none" w:sz="0" w:space="0" w:color="auto"/>
            <w:bottom w:val="none" w:sz="0" w:space="0" w:color="auto"/>
            <w:right w:val="none" w:sz="0" w:space="0" w:color="auto"/>
          </w:divBdr>
        </w:div>
        <w:div w:id="1482576459">
          <w:marLeft w:val="0"/>
          <w:marRight w:val="0"/>
          <w:marTop w:val="0"/>
          <w:marBottom w:val="0"/>
          <w:divBdr>
            <w:top w:val="none" w:sz="0" w:space="0" w:color="auto"/>
            <w:left w:val="none" w:sz="0" w:space="0" w:color="auto"/>
            <w:bottom w:val="none" w:sz="0" w:space="0" w:color="auto"/>
            <w:right w:val="none" w:sz="0" w:space="0" w:color="auto"/>
          </w:divBdr>
        </w:div>
        <w:div w:id="456142134">
          <w:marLeft w:val="0"/>
          <w:marRight w:val="0"/>
          <w:marTop w:val="0"/>
          <w:marBottom w:val="0"/>
          <w:divBdr>
            <w:top w:val="none" w:sz="0" w:space="0" w:color="auto"/>
            <w:left w:val="none" w:sz="0" w:space="0" w:color="auto"/>
            <w:bottom w:val="none" w:sz="0" w:space="0" w:color="auto"/>
            <w:right w:val="none" w:sz="0" w:space="0" w:color="auto"/>
          </w:divBdr>
        </w:div>
        <w:div w:id="36131243">
          <w:marLeft w:val="0"/>
          <w:marRight w:val="0"/>
          <w:marTop w:val="0"/>
          <w:marBottom w:val="0"/>
          <w:divBdr>
            <w:top w:val="none" w:sz="0" w:space="0" w:color="auto"/>
            <w:left w:val="none" w:sz="0" w:space="0" w:color="auto"/>
            <w:bottom w:val="none" w:sz="0" w:space="0" w:color="auto"/>
            <w:right w:val="none" w:sz="0" w:space="0" w:color="auto"/>
          </w:divBdr>
        </w:div>
        <w:div w:id="591938886">
          <w:marLeft w:val="0"/>
          <w:marRight w:val="0"/>
          <w:marTop w:val="0"/>
          <w:marBottom w:val="0"/>
          <w:divBdr>
            <w:top w:val="none" w:sz="0" w:space="0" w:color="auto"/>
            <w:left w:val="none" w:sz="0" w:space="0" w:color="auto"/>
            <w:bottom w:val="none" w:sz="0" w:space="0" w:color="auto"/>
            <w:right w:val="none" w:sz="0" w:space="0" w:color="auto"/>
          </w:divBdr>
        </w:div>
        <w:div w:id="648444006">
          <w:marLeft w:val="0"/>
          <w:marRight w:val="0"/>
          <w:marTop w:val="0"/>
          <w:marBottom w:val="0"/>
          <w:divBdr>
            <w:top w:val="none" w:sz="0" w:space="0" w:color="auto"/>
            <w:left w:val="none" w:sz="0" w:space="0" w:color="auto"/>
            <w:bottom w:val="none" w:sz="0" w:space="0" w:color="auto"/>
            <w:right w:val="none" w:sz="0" w:space="0" w:color="auto"/>
          </w:divBdr>
        </w:div>
        <w:div w:id="477112213">
          <w:marLeft w:val="0"/>
          <w:marRight w:val="0"/>
          <w:marTop w:val="0"/>
          <w:marBottom w:val="0"/>
          <w:divBdr>
            <w:top w:val="none" w:sz="0" w:space="0" w:color="auto"/>
            <w:left w:val="none" w:sz="0" w:space="0" w:color="auto"/>
            <w:bottom w:val="none" w:sz="0" w:space="0" w:color="auto"/>
            <w:right w:val="none" w:sz="0" w:space="0" w:color="auto"/>
          </w:divBdr>
        </w:div>
        <w:div w:id="585385489">
          <w:marLeft w:val="0"/>
          <w:marRight w:val="0"/>
          <w:marTop w:val="0"/>
          <w:marBottom w:val="0"/>
          <w:divBdr>
            <w:top w:val="none" w:sz="0" w:space="0" w:color="auto"/>
            <w:left w:val="none" w:sz="0" w:space="0" w:color="auto"/>
            <w:bottom w:val="none" w:sz="0" w:space="0" w:color="auto"/>
            <w:right w:val="none" w:sz="0" w:space="0" w:color="auto"/>
          </w:divBdr>
        </w:div>
        <w:div w:id="227541103">
          <w:marLeft w:val="0"/>
          <w:marRight w:val="0"/>
          <w:marTop w:val="0"/>
          <w:marBottom w:val="0"/>
          <w:divBdr>
            <w:top w:val="none" w:sz="0" w:space="0" w:color="auto"/>
            <w:left w:val="none" w:sz="0" w:space="0" w:color="auto"/>
            <w:bottom w:val="none" w:sz="0" w:space="0" w:color="auto"/>
            <w:right w:val="none" w:sz="0" w:space="0" w:color="auto"/>
          </w:divBdr>
        </w:div>
        <w:div w:id="745105414">
          <w:marLeft w:val="0"/>
          <w:marRight w:val="0"/>
          <w:marTop w:val="0"/>
          <w:marBottom w:val="0"/>
          <w:divBdr>
            <w:top w:val="none" w:sz="0" w:space="0" w:color="auto"/>
            <w:left w:val="none" w:sz="0" w:space="0" w:color="auto"/>
            <w:bottom w:val="none" w:sz="0" w:space="0" w:color="auto"/>
            <w:right w:val="none" w:sz="0" w:space="0" w:color="auto"/>
          </w:divBdr>
        </w:div>
        <w:div w:id="1259753211">
          <w:marLeft w:val="0"/>
          <w:marRight w:val="0"/>
          <w:marTop w:val="0"/>
          <w:marBottom w:val="0"/>
          <w:divBdr>
            <w:top w:val="none" w:sz="0" w:space="0" w:color="auto"/>
            <w:left w:val="none" w:sz="0" w:space="0" w:color="auto"/>
            <w:bottom w:val="none" w:sz="0" w:space="0" w:color="auto"/>
            <w:right w:val="none" w:sz="0" w:space="0" w:color="auto"/>
          </w:divBdr>
        </w:div>
        <w:div w:id="470901734">
          <w:marLeft w:val="0"/>
          <w:marRight w:val="0"/>
          <w:marTop w:val="0"/>
          <w:marBottom w:val="0"/>
          <w:divBdr>
            <w:top w:val="none" w:sz="0" w:space="0" w:color="auto"/>
            <w:left w:val="none" w:sz="0" w:space="0" w:color="auto"/>
            <w:bottom w:val="none" w:sz="0" w:space="0" w:color="auto"/>
            <w:right w:val="none" w:sz="0" w:space="0" w:color="auto"/>
          </w:divBdr>
        </w:div>
        <w:div w:id="234125222">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709142022">
          <w:marLeft w:val="0"/>
          <w:marRight w:val="0"/>
          <w:marTop w:val="0"/>
          <w:marBottom w:val="0"/>
          <w:divBdr>
            <w:top w:val="none" w:sz="0" w:space="0" w:color="auto"/>
            <w:left w:val="none" w:sz="0" w:space="0" w:color="auto"/>
            <w:bottom w:val="none" w:sz="0" w:space="0" w:color="auto"/>
            <w:right w:val="none" w:sz="0" w:space="0" w:color="auto"/>
          </w:divBdr>
        </w:div>
        <w:div w:id="986124636">
          <w:marLeft w:val="0"/>
          <w:marRight w:val="0"/>
          <w:marTop w:val="0"/>
          <w:marBottom w:val="0"/>
          <w:divBdr>
            <w:top w:val="none" w:sz="0" w:space="0" w:color="auto"/>
            <w:left w:val="none" w:sz="0" w:space="0" w:color="auto"/>
            <w:bottom w:val="none" w:sz="0" w:space="0" w:color="auto"/>
            <w:right w:val="none" w:sz="0" w:space="0" w:color="auto"/>
          </w:divBdr>
        </w:div>
        <w:div w:id="193268693">
          <w:marLeft w:val="0"/>
          <w:marRight w:val="0"/>
          <w:marTop w:val="0"/>
          <w:marBottom w:val="0"/>
          <w:divBdr>
            <w:top w:val="none" w:sz="0" w:space="0" w:color="auto"/>
            <w:left w:val="none" w:sz="0" w:space="0" w:color="auto"/>
            <w:bottom w:val="none" w:sz="0" w:space="0" w:color="auto"/>
            <w:right w:val="none" w:sz="0" w:space="0" w:color="auto"/>
          </w:divBdr>
        </w:div>
        <w:div w:id="90324595">
          <w:marLeft w:val="0"/>
          <w:marRight w:val="0"/>
          <w:marTop w:val="0"/>
          <w:marBottom w:val="0"/>
          <w:divBdr>
            <w:top w:val="none" w:sz="0" w:space="0" w:color="auto"/>
            <w:left w:val="none" w:sz="0" w:space="0" w:color="auto"/>
            <w:bottom w:val="none" w:sz="0" w:space="0" w:color="auto"/>
            <w:right w:val="none" w:sz="0" w:space="0" w:color="auto"/>
          </w:divBdr>
        </w:div>
        <w:div w:id="1322003585">
          <w:marLeft w:val="0"/>
          <w:marRight w:val="0"/>
          <w:marTop w:val="0"/>
          <w:marBottom w:val="0"/>
          <w:divBdr>
            <w:top w:val="none" w:sz="0" w:space="0" w:color="auto"/>
            <w:left w:val="none" w:sz="0" w:space="0" w:color="auto"/>
            <w:bottom w:val="none" w:sz="0" w:space="0" w:color="auto"/>
            <w:right w:val="none" w:sz="0" w:space="0" w:color="auto"/>
          </w:divBdr>
        </w:div>
        <w:div w:id="1908877060">
          <w:marLeft w:val="0"/>
          <w:marRight w:val="0"/>
          <w:marTop w:val="0"/>
          <w:marBottom w:val="0"/>
          <w:divBdr>
            <w:top w:val="none" w:sz="0" w:space="0" w:color="auto"/>
            <w:left w:val="none" w:sz="0" w:space="0" w:color="auto"/>
            <w:bottom w:val="none" w:sz="0" w:space="0" w:color="auto"/>
            <w:right w:val="none" w:sz="0" w:space="0" w:color="auto"/>
          </w:divBdr>
        </w:div>
        <w:div w:id="1768961573">
          <w:marLeft w:val="0"/>
          <w:marRight w:val="0"/>
          <w:marTop w:val="0"/>
          <w:marBottom w:val="0"/>
          <w:divBdr>
            <w:top w:val="none" w:sz="0" w:space="0" w:color="auto"/>
            <w:left w:val="none" w:sz="0" w:space="0" w:color="auto"/>
            <w:bottom w:val="none" w:sz="0" w:space="0" w:color="auto"/>
            <w:right w:val="none" w:sz="0" w:space="0" w:color="auto"/>
          </w:divBdr>
        </w:div>
        <w:div w:id="1383217508">
          <w:marLeft w:val="0"/>
          <w:marRight w:val="0"/>
          <w:marTop w:val="0"/>
          <w:marBottom w:val="0"/>
          <w:divBdr>
            <w:top w:val="none" w:sz="0" w:space="0" w:color="auto"/>
            <w:left w:val="none" w:sz="0" w:space="0" w:color="auto"/>
            <w:bottom w:val="none" w:sz="0" w:space="0" w:color="auto"/>
            <w:right w:val="none" w:sz="0" w:space="0" w:color="auto"/>
          </w:divBdr>
        </w:div>
        <w:div w:id="1459301873">
          <w:marLeft w:val="0"/>
          <w:marRight w:val="0"/>
          <w:marTop w:val="0"/>
          <w:marBottom w:val="0"/>
          <w:divBdr>
            <w:top w:val="none" w:sz="0" w:space="0" w:color="auto"/>
            <w:left w:val="none" w:sz="0" w:space="0" w:color="auto"/>
            <w:bottom w:val="none" w:sz="0" w:space="0" w:color="auto"/>
            <w:right w:val="none" w:sz="0" w:space="0" w:color="auto"/>
          </w:divBdr>
        </w:div>
        <w:div w:id="459540497">
          <w:marLeft w:val="0"/>
          <w:marRight w:val="0"/>
          <w:marTop w:val="0"/>
          <w:marBottom w:val="0"/>
          <w:divBdr>
            <w:top w:val="none" w:sz="0" w:space="0" w:color="auto"/>
            <w:left w:val="none" w:sz="0" w:space="0" w:color="auto"/>
            <w:bottom w:val="none" w:sz="0" w:space="0" w:color="auto"/>
            <w:right w:val="none" w:sz="0" w:space="0" w:color="auto"/>
          </w:divBdr>
        </w:div>
      </w:divsChild>
    </w:div>
    <w:div w:id="274793302">
      <w:bodyDiv w:val="1"/>
      <w:marLeft w:val="0"/>
      <w:marRight w:val="0"/>
      <w:marTop w:val="0"/>
      <w:marBottom w:val="0"/>
      <w:divBdr>
        <w:top w:val="none" w:sz="0" w:space="0" w:color="auto"/>
        <w:left w:val="none" w:sz="0" w:space="0" w:color="auto"/>
        <w:bottom w:val="none" w:sz="0" w:space="0" w:color="auto"/>
        <w:right w:val="none" w:sz="0" w:space="0" w:color="auto"/>
      </w:divBdr>
      <w:divsChild>
        <w:div w:id="820540939">
          <w:marLeft w:val="0"/>
          <w:marRight w:val="0"/>
          <w:marTop w:val="0"/>
          <w:marBottom w:val="0"/>
          <w:divBdr>
            <w:top w:val="none" w:sz="0" w:space="0" w:color="auto"/>
            <w:left w:val="none" w:sz="0" w:space="0" w:color="auto"/>
            <w:bottom w:val="none" w:sz="0" w:space="0" w:color="auto"/>
            <w:right w:val="none" w:sz="0" w:space="0" w:color="auto"/>
          </w:divBdr>
        </w:div>
        <w:div w:id="870531291">
          <w:marLeft w:val="0"/>
          <w:marRight w:val="0"/>
          <w:marTop w:val="0"/>
          <w:marBottom w:val="0"/>
          <w:divBdr>
            <w:top w:val="none" w:sz="0" w:space="0" w:color="auto"/>
            <w:left w:val="none" w:sz="0" w:space="0" w:color="auto"/>
            <w:bottom w:val="none" w:sz="0" w:space="0" w:color="auto"/>
            <w:right w:val="none" w:sz="0" w:space="0" w:color="auto"/>
          </w:divBdr>
        </w:div>
        <w:div w:id="743987649">
          <w:marLeft w:val="0"/>
          <w:marRight w:val="0"/>
          <w:marTop w:val="0"/>
          <w:marBottom w:val="0"/>
          <w:divBdr>
            <w:top w:val="none" w:sz="0" w:space="0" w:color="auto"/>
            <w:left w:val="none" w:sz="0" w:space="0" w:color="auto"/>
            <w:bottom w:val="none" w:sz="0" w:space="0" w:color="auto"/>
            <w:right w:val="none" w:sz="0" w:space="0" w:color="auto"/>
          </w:divBdr>
        </w:div>
        <w:div w:id="1554318049">
          <w:marLeft w:val="0"/>
          <w:marRight w:val="0"/>
          <w:marTop w:val="0"/>
          <w:marBottom w:val="0"/>
          <w:divBdr>
            <w:top w:val="none" w:sz="0" w:space="0" w:color="auto"/>
            <w:left w:val="none" w:sz="0" w:space="0" w:color="auto"/>
            <w:bottom w:val="none" w:sz="0" w:space="0" w:color="auto"/>
            <w:right w:val="none" w:sz="0" w:space="0" w:color="auto"/>
          </w:divBdr>
        </w:div>
        <w:div w:id="199175424">
          <w:marLeft w:val="0"/>
          <w:marRight w:val="0"/>
          <w:marTop w:val="0"/>
          <w:marBottom w:val="0"/>
          <w:divBdr>
            <w:top w:val="none" w:sz="0" w:space="0" w:color="auto"/>
            <w:left w:val="none" w:sz="0" w:space="0" w:color="auto"/>
            <w:bottom w:val="none" w:sz="0" w:space="0" w:color="auto"/>
            <w:right w:val="none" w:sz="0" w:space="0" w:color="auto"/>
          </w:divBdr>
        </w:div>
        <w:div w:id="1818255157">
          <w:marLeft w:val="0"/>
          <w:marRight w:val="0"/>
          <w:marTop w:val="0"/>
          <w:marBottom w:val="0"/>
          <w:divBdr>
            <w:top w:val="none" w:sz="0" w:space="0" w:color="auto"/>
            <w:left w:val="none" w:sz="0" w:space="0" w:color="auto"/>
            <w:bottom w:val="none" w:sz="0" w:space="0" w:color="auto"/>
            <w:right w:val="none" w:sz="0" w:space="0" w:color="auto"/>
          </w:divBdr>
        </w:div>
        <w:div w:id="196965346">
          <w:marLeft w:val="0"/>
          <w:marRight w:val="0"/>
          <w:marTop w:val="0"/>
          <w:marBottom w:val="0"/>
          <w:divBdr>
            <w:top w:val="none" w:sz="0" w:space="0" w:color="auto"/>
            <w:left w:val="none" w:sz="0" w:space="0" w:color="auto"/>
            <w:bottom w:val="none" w:sz="0" w:space="0" w:color="auto"/>
            <w:right w:val="none" w:sz="0" w:space="0" w:color="auto"/>
          </w:divBdr>
        </w:div>
        <w:div w:id="1155995402">
          <w:marLeft w:val="0"/>
          <w:marRight w:val="0"/>
          <w:marTop w:val="0"/>
          <w:marBottom w:val="0"/>
          <w:divBdr>
            <w:top w:val="none" w:sz="0" w:space="0" w:color="auto"/>
            <w:left w:val="none" w:sz="0" w:space="0" w:color="auto"/>
            <w:bottom w:val="none" w:sz="0" w:space="0" w:color="auto"/>
            <w:right w:val="none" w:sz="0" w:space="0" w:color="auto"/>
          </w:divBdr>
        </w:div>
        <w:div w:id="1755590503">
          <w:marLeft w:val="0"/>
          <w:marRight w:val="0"/>
          <w:marTop w:val="0"/>
          <w:marBottom w:val="0"/>
          <w:divBdr>
            <w:top w:val="none" w:sz="0" w:space="0" w:color="auto"/>
            <w:left w:val="none" w:sz="0" w:space="0" w:color="auto"/>
            <w:bottom w:val="none" w:sz="0" w:space="0" w:color="auto"/>
            <w:right w:val="none" w:sz="0" w:space="0" w:color="auto"/>
          </w:divBdr>
        </w:div>
        <w:div w:id="514927484">
          <w:marLeft w:val="0"/>
          <w:marRight w:val="0"/>
          <w:marTop w:val="0"/>
          <w:marBottom w:val="0"/>
          <w:divBdr>
            <w:top w:val="none" w:sz="0" w:space="0" w:color="auto"/>
            <w:left w:val="none" w:sz="0" w:space="0" w:color="auto"/>
            <w:bottom w:val="none" w:sz="0" w:space="0" w:color="auto"/>
            <w:right w:val="none" w:sz="0" w:space="0" w:color="auto"/>
          </w:divBdr>
        </w:div>
        <w:div w:id="925265302">
          <w:marLeft w:val="0"/>
          <w:marRight w:val="0"/>
          <w:marTop w:val="0"/>
          <w:marBottom w:val="0"/>
          <w:divBdr>
            <w:top w:val="none" w:sz="0" w:space="0" w:color="auto"/>
            <w:left w:val="none" w:sz="0" w:space="0" w:color="auto"/>
            <w:bottom w:val="none" w:sz="0" w:space="0" w:color="auto"/>
            <w:right w:val="none" w:sz="0" w:space="0" w:color="auto"/>
          </w:divBdr>
        </w:div>
        <w:div w:id="1017390191">
          <w:marLeft w:val="0"/>
          <w:marRight w:val="0"/>
          <w:marTop w:val="0"/>
          <w:marBottom w:val="0"/>
          <w:divBdr>
            <w:top w:val="none" w:sz="0" w:space="0" w:color="auto"/>
            <w:left w:val="none" w:sz="0" w:space="0" w:color="auto"/>
            <w:bottom w:val="none" w:sz="0" w:space="0" w:color="auto"/>
            <w:right w:val="none" w:sz="0" w:space="0" w:color="auto"/>
          </w:divBdr>
        </w:div>
        <w:div w:id="1198204642">
          <w:marLeft w:val="0"/>
          <w:marRight w:val="0"/>
          <w:marTop w:val="0"/>
          <w:marBottom w:val="0"/>
          <w:divBdr>
            <w:top w:val="none" w:sz="0" w:space="0" w:color="auto"/>
            <w:left w:val="none" w:sz="0" w:space="0" w:color="auto"/>
            <w:bottom w:val="none" w:sz="0" w:space="0" w:color="auto"/>
            <w:right w:val="none" w:sz="0" w:space="0" w:color="auto"/>
          </w:divBdr>
        </w:div>
        <w:div w:id="1375275293">
          <w:marLeft w:val="0"/>
          <w:marRight w:val="0"/>
          <w:marTop w:val="0"/>
          <w:marBottom w:val="0"/>
          <w:divBdr>
            <w:top w:val="none" w:sz="0" w:space="0" w:color="auto"/>
            <w:left w:val="none" w:sz="0" w:space="0" w:color="auto"/>
            <w:bottom w:val="none" w:sz="0" w:space="0" w:color="auto"/>
            <w:right w:val="none" w:sz="0" w:space="0" w:color="auto"/>
          </w:divBdr>
        </w:div>
        <w:div w:id="816801659">
          <w:marLeft w:val="0"/>
          <w:marRight w:val="0"/>
          <w:marTop w:val="0"/>
          <w:marBottom w:val="0"/>
          <w:divBdr>
            <w:top w:val="none" w:sz="0" w:space="0" w:color="auto"/>
            <w:left w:val="none" w:sz="0" w:space="0" w:color="auto"/>
            <w:bottom w:val="none" w:sz="0" w:space="0" w:color="auto"/>
            <w:right w:val="none" w:sz="0" w:space="0" w:color="auto"/>
          </w:divBdr>
        </w:div>
        <w:div w:id="1867207585">
          <w:marLeft w:val="0"/>
          <w:marRight w:val="0"/>
          <w:marTop w:val="0"/>
          <w:marBottom w:val="0"/>
          <w:divBdr>
            <w:top w:val="none" w:sz="0" w:space="0" w:color="auto"/>
            <w:left w:val="none" w:sz="0" w:space="0" w:color="auto"/>
            <w:bottom w:val="none" w:sz="0" w:space="0" w:color="auto"/>
            <w:right w:val="none" w:sz="0" w:space="0" w:color="auto"/>
          </w:divBdr>
        </w:div>
        <w:div w:id="1643316479">
          <w:marLeft w:val="0"/>
          <w:marRight w:val="0"/>
          <w:marTop w:val="0"/>
          <w:marBottom w:val="0"/>
          <w:divBdr>
            <w:top w:val="none" w:sz="0" w:space="0" w:color="auto"/>
            <w:left w:val="none" w:sz="0" w:space="0" w:color="auto"/>
            <w:bottom w:val="none" w:sz="0" w:space="0" w:color="auto"/>
            <w:right w:val="none" w:sz="0" w:space="0" w:color="auto"/>
          </w:divBdr>
        </w:div>
        <w:div w:id="1001003994">
          <w:marLeft w:val="0"/>
          <w:marRight w:val="0"/>
          <w:marTop w:val="0"/>
          <w:marBottom w:val="0"/>
          <w:divBdr>
            <w:top w:val="none" w:sz="0" w:space="0" w:color="auto"/>
            <w:left w:val="none" w:sz="0" w:space="0" w:color="auto"/>
            <w:bottom w:val="none" w:sz="0" w:space="0" w:color="auto"/>
            <w:right w:val="none" w:sz="0" w:space="0" w:color="auto"/>
          </w:divBdr>
        </w:div>
        <w:div w:id="153839105">
          <w:marLeft w:val="0"/>
          <w:marRight w:val="0"/>
          <w:marTop w:val="0"/>
          <w:marBottom w:val="0"/>
          <w:divBdr>
            <w:top w:val="none" w:sz="0" w:space="0" w:color="auto"/>
            <w:left w:val="none" w:sz="0" w:space="0" w:color="auto"/>
            <w:bottom w:val="none" w:sz="0" w:space="0" w:color="auto"/>
            <w:right w:val="none" w:sz="0" w:space="0" w:color="auto"/>
          </w:divBdr>
        </w:div>
        <w:div w:id="1638341770">
          <w:marLeft w:val="0"/>
          <w:marRight w:val="0"/>
          <w:marTop w:val="0"/>
          <w:marBottom w:val="0"/>
          <w:divBdr>
            <w:top w:val="none" w:sz="0" w:space="0" w:color="auto"/>
            <w:left w:val="none" w:sz="0" w:space="0" w:color="auto"/>
            <w:bottom w:val="none" w:sz="0" w:space="0" w:color="auto"/>
            <w:right w:val="none" w:sz="0" w:space="0" w:color="auto"/>
          </w:divBdr>
        </w:div>
        <w:div w:id="1907645596">
          <w:marLeft w:val="0"/>
          <w:marRight w:val="0"/>
          <w:marTop w:val="0"/>
          <w:marBottom w:val="0"/>
          <w:divBdr>
            <w:top w:val="none" w:sz="0" w:space="0" w:color="auto"/>
            <w:left w:val="none" w:sz="0" w:space="0" w:color="auto"/>
            <w:bottom w:val="none" w:sz="0" w:space="0" w:color="auto"/>
            <w:right w:val="none" w:sz="0" w:space="0" w:color="auto"/>
          </w:divBdr>
        </w:div>
        <w:div w:id="1941332876">
          <w:marLeft w:val="0"/>
          <w:marRight w:val="0"/>
          <w:marTop w:val="0"/>
          <w:marBottom w:val="0"/>
          <w:divBdr>
            <w:top w:val="none" w:sz="0" w:space="0" w:color="auto"/>
            <w:left w:val="none" w:sz="0" w:space="0" w:color="auto"/>
            <w:bottom w:val="none" w:sz="0" w:space="0" w:color="auto"/>
            <w:right w:val="none" w:sz="0" w:space="0" w:color="auto"/>
          </w:divBdr>
        </w:div>
        <w:div w:id="127629371">
          <w:marLeft w:val="0"/>
          <w:marRight w:val="0"/>
          <w:marTop w:val="0"/>
          <w:marBottom w:val="0"/>
          <w:divBdr>
            <w:top w:val="none" w:sz="0" w:space="0" w:color="auto"/>
            <w:left w:val="none" w:sz="0" w:space="0" w:color="auto"/>
            <w:bottom w:val="none" w:sz="0" w:space="0" w:color="auto"/>
            <w:right w:val="none" w:sz="0" w:space="0" w:color="auto"/>
          </w:divBdr>
        </w:div>
        <w:div w:id="137648333">
          <w:marLeft w:val="0"/>
          <w:marRight w:val="0"/>
          <w:marTop w:val="0"/>
          <w:marBottom w:val="0"/>
          <w:divBdr>
            <w:top w:val="none" w:sz="0" w:space="0" w:color="auto"/>
            <w:left w:val="none" w:sz="0" w:space="0" w:color="auto"/>
            <w:bottom w:val="none" w:sz="0" w:space="0" w:color="auto"/>
            <w:right w:val="none" w:sz="0" w:space="0" w:color="auto"/>
          </w:divBdr>
        </w:div>
        <w:div w:id="1495997061">
          <w:marLeft w:val="0"/>
          <w:marRight w:val="0"/>
          <w:marTop w:val="0"/>
          <w:marBottom w:val="0"/>
          <w:divBdr>
            <w:top w:val="none" w:sz="0" w:space="0" w:color="auto"/>
            <w:left w:val="none" w:sz="0" w:space="0" w:color="auto"/>
            <w:bottom w:val="none" w:sz="0" w:space="0" w:color="auto"/>
            <w:right w:val="none" w:sz="0" w:space="0" w:color="auto"/>
          </w:divBdr>
        </w:div>
        <w:div w:id="1766343778">
          <w:marLeft w:val="0"/>
          <w:marRight w:val="0"/>
          <w:marTop w:val="0"/>
          <w:marBottom w:val="0"/>
          <w:divBdr>
            <w:top w:val="none" w:sz="0" w:space="0" w:color="auto"/>
            <w:left w:val="none" w:sz="0" w:space="0" w:color="auto"/>
            <w:bottom w:val="none" w:sz="0" w:space="0" w:color="auto"/>
            <w:right w:val="none" w:sz="0" w:space="0" w:color="auto"/>
          </w:divBdr>
        </w:div>
        <w:div w:id="285507519">
          <w:marLeft w:val="0"/>
          <w:marRight w:val="0"/>
          <w:marTop w:val="0"/>
          <w:marBottom w:val="0"/>
          <w:divBdr>
            <w:top w:val="none" w:sz="0" w:space="0" w:color="auto"/>
            <w:left w:val="none" w:sz="0" w:space="0" w:color="auto"/>
            <w:bottom w:val="none" w:sz="0" w:space="0" w:color="auto"/>
            <w:right w:val="none" w:sz="0" w:space="0" w:color="auto"/>
          </w:divBdr>
        </w:div>
        <w:div w:id="1711226621">
          <w:marLeft w:val="0"/>
          <w:marRight w:val="0"/>
          <w:marTop w:val="0"/>
          <w:marBottom w:val="0"/>
          <w:divBdr>
            <w:top w:val="none" w:sz="0" w:space="0" w:color="auto"/>
            <w:left w:val="none" w:sz="0" w:space="0" w:color="auto"/>
            <w:bottom w:val="none" w:sz="0" w:space="0" w:color="auto"/>
            <w:right w:val="none" w:sz="0" w:space="0" w:color="auto"/>
          </w:divBdr>
        </w:div>
        <w:div w:id="100103541">
          <w:marLeft w:val="0"/>
          <w:marRight w:val="0"/>
          <w:marTop w:val="0"/>
          <w:marBottom w:val="0"/>
          <w:divBdr>
            <w:top w:val="none" w:sz="0" w:space="0" w:color="auto"/>
            <w:left w:val="none" w:sz="0" w:space="0" w:color="auto"/>
            <w:bottom w:val="none" w:sz="0" w:space="0" w:color="auto"/>
            <w:right w:val="none" w:sz="0" w:space="0" w:color="auto"/>
          </w:divBdr>
        </w:div>
        <w:div w:id="632908103">
          <w:marLeft w:val="0"/>
          <w:marRight w:val="0"/>
          <w:marTop w:val="0"/>
          <w:marBottom w:val="0"/>
          <w:divBdr>
            <w:top w:val="none" w:sz="0" w:space="0" w:color="auto"/>
            <w:left w:val="none" w:sz="0" w:space="0" w:color="auto"/>
            <w:bottom w:val="none" w:sz="0" w:space="0" w:color="auto"/>
            <w:right w:val="none" w:sz="0" w:space="0" w:color="auto"/>
          </w:divBdr>
        </w:div>
        <w:div w:id="39019872">
          <w:marLeft w:val="0"/>
          <w:marRight w:val="0"/>
          <w:marTop w:val="0"/>
          <w:marBottom w:val="0"/>
          <w:divBdr>
            <w:top w:val="none" w:sz="0" w:space="0" w:color="auto"/>
            <w:left w:val="none" w:sz="0" w:space="0" w:color="auto"/>
            <w:bottom w:val="none" w:sz="0" w:space="0" w:color="auto"/>
            <w:right w:val="none" w:sz="0" w:space="0" w:color="auto"/>
          </w:divBdr>
        </w:div>
        <w:div w:id="690103529">
          <w:marLeft w:val="0"/>
          <w:marRight w:val="0"/>
          <w:marTop w:val="0"/>
          <w:marBottom w:val="0"/>
          <w:divBdr>
            <w:top w:val="none" w:sz="0" w:space="0" w:color="auto"/>
            <w:left w:val="none" w:sz="0" w:space="0" w:color="auto"/>
            <w:bottom w:val="none" w:sz="0" w:space="0" w:color="auto"/>
            <w:right w:val="none" w:sz="0" w:space="0" w:color="auto"/>
          </w:divBdr>
        </w:div>
        <w:div w:id="537935898">
          <w:marLeft w:val="0"/>
          <w:marRight w:val="0"/>
          <w:marTop w:val="0"/>
          <w:marBottom w:val="0"/>
          <w:divBdr>
            <w:top w:val="none" w:sz="0" w:space="0" w:color="auto"/>
            <w:left w:val="none" w:sz="0" w:space="0" w:color="auto"/>
            <w:bottom w:val="none" w:sz="0" w:space="0" w:color="auto"/>
            <w:right w:val="none" w:sz="0" w:space="0" w:color="auto"/>
          </w:divBdr>
        </w:div>
        <w:div w:id="1136794081">
          <w:marLeft w:val="0"/>
          <w:marRight w:val="0"/>
          <w:marTop w:val="0"/>
          <w:marBottom w:val="0"/>
          <w:divBdr>
            <w:top w:val="none" w:sz="0" w:space="0" w:color="auto"/>
            <w:left w:val="none" w:sz="0" w:space="0" w:color="auto"/>
            <w:bottom w:val="none" w:sz="0" w:space="0" w:color="auto"/>
            <w:right w:val="none" w:sz="0" w:space="0" w:color="auto"/>
          </w:divBdr>
        </w:div>
        <w:div w:id="1384864818">
          <w:marLeft w:val="0"/>
          <w:marRight w:val="0"/>
          <w:marTop w:val="0"/>
          <w:marBottom w:val="0"/>
          <w:divBdr>
            <w:top w:val="none" w:sz="0" w:space="0" w:color="auto"/>
            <w:left w:val="none" w:sz="0" w:space="0" w:color="auto"/>
            <w:bottom w:val="none" w:sz="0" w:space="0" w:color="auto"/>
            <w:right w:val="none" w:sz="0" w:space="0" w:color="auto"/>
          </w:divBdr>
        </w:div>
        <w:div w:id="404452434">
          <w:marLeft w:val="0"/>
          <w:marRight w:val="0"/>
          <w:marTop w:val="0"/>
          <w:marBottom w:val="0"/>
          <w:divBdr>
            <w:top w:val="none" w:sz="0" w:space="0" w:color="auto"/>
            <w:left w:val="none" w:sz="0" w:space="0" w:color="auto"/>
            <w:bottom w:val="none" w:sz="0" w:space="0" w:color="auto"/>
            <w:right w:val="none" w:sz="0" w:space="0" w:color="auto"/>
          </w:divBdr>
        </w:div>
        <w:div w:id="298848019">
          <w:marLeft w:val="0"/>
          <w:marRight w:val="0"/>
          <w:marTop w:val="0"/>
          <w:marBottom w:val="0"/>
          <w:divBdr>
            <w:top w:val="none" w:sz="0" w:space="0" w:color="auto"/>
            <w:left w:val="none" w:sz="0" w:space="0" w:color="auto"/>
            <w:bottom w:val="none" w:sz="0" w:space="0" w:color="auto"/>
            <w:right w:val="none" w:sz="0" w:space="0" w:color="auto"/>
          </w:divBdr>
        </w:div>
        <w:div w:id="1737781431">
          <w:marLeft w:val="0"/>
          <w:marRight w:val="0"/>
          <w:marTop w:val="0"/>
          <w:marBottom w:val="0"/>
          <w:divBdr>
            <w:top w:val="none" w:sz="0" w:space="0" w:color="auto"/>
            <w:left w:val="none" w:sz="0" w:space="0" w:color="auto"/>
            <w:bottom w:val="none" w:sz="0" w:space="0" w:color="auto"/>
            <w:right w:val="none" w:sz="0" w:space="0" w:color="auto"/>
          </w:divBdr>
        </w:div>
        <w:div w:id="988747892">
          <w:marLeft w:val="0"/>
          <w:marRight w:val="0"/>
          <w:marTop w:val="0"/>
          <w:marBottom w:val="0"/>
          <w:divBdr>
            <w:top w:val="none" w:sz="0" w:space="0" w:color="auto"/>
            <w:left w:val="none" w:sz="0" w:space="0" w:color="auto"/>
            <w:bottom w:val="none" w:sz="0" w:space="0" w:color="auto"/>
            <w:right w:val="none" w:sz="0" w:space="0" w:color="auto"/>
          </w:divBdr>
        </w:div>
        <w:div w:id="378088728">
          <w:marLeft w:val="0"/>
          <w:marRight w:val="0"/>
          <w:marTop w:val="0"/>
          <w:marBottom w:val="0"/>
          <w:divBdr>
            <w:top w:val="none" w:sz="0" w:space="0" w:color="auto"/>
            <w:left w:val="none" w:sz="0" w:space="0" w:color="auto"/>
            <w:bottom w:val="none" w:sz="0" w:space="0" w:color="auto"/>
            <w:right w:val="none" w:sz="0" w:space="0" w:color="auto"/>
          </w:divBdr>
        </w:div>
        <w:div w:id="405303102">
          <w:marLeft w:val="0"/>
          <w:marRight w:val="0"/>
          <w:marTop w:val="0"/>
          <w:marBottom w:val="0"/>
          <w:divBdr>
            <w:top w:val="none" w:sz="0" w:space="0" w:color="auto"/>
            <w:left w:val="none" w:sz="0" w:space="0" w:color="auto"/>
            <w:bottom w:val="none" w:sz="0" w:space="0" w:color="auto"/>
            <w:right w:val="none" w:sz="0" w:space="0" w:color="auto"/>
          </w:divBdr>
        </w:div>
        <w:div w:id="1191797991">
          <w:marLeft w:val="0"/>
          <w:marRight w:val="0"/>
          <w:marTop w:val="0"/>
          <w:marBottom w:val="0"/>
          <w:divBdr>
            <w:top w:val="none" w:sz="0" w:space="0" w:color="auto"/>
            <w:left w:val="none" w:sz="0" w:space="0" w:color="auto"/>
            <w:bottom w:val="none" w:sz="0" w:space="0" w:color="auto"/>
            <w:right w:val="none" w:sz="0" w:space="0" w:color="auto"/>
          </w:divBdr>
        </w:div>
        <w:div w:id="483282959">
          <w:marLeft w:val="0"/>
          <w:marRight w:val="0"/>
          <w:marTop w:val="0"/>
          <w:marBottom w:val="0"/>
          <w:divBdr>
            <w:top w:val="none" w:sz="0" w:space="0" w:color="auto"/>
            <w:left w:val="none" w:sz="0" w:space="0" w:color="auto"/>
            <w:bottom w:val="none" w:sz="0" w:space="0" w:color="auto"/>
            <w:right w:val="none" w:sz="0" w:space="0" w:color="auto"/>
          </w:divBdr>
        </w:div>
        <w:div w:id="1886792150">
          <w:marLeft w:val="0"/>
          <w:marRight w:val="0"/>
          <w:marTop w:val="0"/>
          <w:marBottom w:val="0"/>
          <w:divBdr>
            <w:top w:val="none" w:sz="0" w:space="0" w:color="auto"/>
            <w:left w:val="none" w:sz="0" w:space="0" w:color="auto"/>
            <w:bottom w:val="none" w:sz="0" w:space="0" w:color="auto"/>
            <w:right w:val="none" w:sz="0" w:space="0" w:color="auto"/>
          </w:divBdr>
        </w:div>
      </w:divsChild>
    </w:div>
    <w:div w:id="281618347">
      <w:bodyDiv w:val="1"/>
      <w:marLeft w:val="0"/>
      <w:marRight w:val="0"/>
      <w:marTop w:val="0"/>
      <w:marBottom w:val="0"/>
      <w:divBdr>
        <w:top w:val="none" w:sz="0" w:space="0" w:color="auto"/>
        <w:left w:val="none" w:sz="0" w:space="0" w:color="auto"/>
        <w:bottom w:val="none" w:sz="0" w:space="0" w:color="auto"/>
        <w:right w:val="none" w:sz="0" w:space="0" w:color="auto"/>
      </w:divBdr>
      <w:divsChild>
        <w:div w:id="853418880">
          <w:marLeft w:val="0"/>
          <w:marRight w:val="0"/>
          <w:marTop w:val="0"/>
          <w:marBottom w:val="0"/>
          <w:divBdr>
            <w:top w:val="none" w:sz="0" w:space="0" w:color="auto"/>
            <w:left w:val="none" w:sz="0" w:space="0" w:color="auto"/>
            <w:bottom w:val="none" w:sz="0" w:space="0" w:color="auto"/>
            <w:right w:val="none" w:sz="0" w:space="0" w:color="auto"/>
          </w:divBdr>
        </w:div>
        <w:div w:id="34544890">
          <w:marLeft w:val="0"/>
          <w:marRight w:val="0"/>
          <w:marTop w:val="0"/>
          <w:marBottom w:val="0"/>
          <w:divBdr>
            <w:top w:val="none" w:sz="0" w:space="0" w:color="auto"/>
            <w:left w:val="none" w:sz="0" w:space="0" w:color="auto"/>
            <w:bottom w:val="none" w:sz="0" w:space="0" w:color="auto"/>
            <w:right w:val="none" w:sz="0" w:space="0" w:color="auto"/>
          </w:divBdr>
        </w:div>
        <w:div w:id="1036272435">
          <w:marLeft w:val="0"/>
          <w:marRight w:val="0"/>
          <w:marTop w:val="0"/>
          <w:marBottom w:val="0"/>
          <w:divBdr>
            <w:top w:val="none" w:sz="0" w:space="0" w:color="auto"/>
            <w:left w:val="none" w:sz="0" w:space="0" w:color="auto"/>
            <w:bottom w:val="none" w:sz="0" w:space="0" w:color="auto"/>
            <w:right w:val="none" w:sz="0" w:space="0" w:color="auto"/>
          </w:divBdr>
        </w:div>
        <w:div w:id="132597548">
          <w:marLeft w:val="0"/>
          <w:marRight w:val="0"/>
          <w:marTop w:val="0"/>
          <w:marBottom w:val="0"/>
          <w:divBdr>
            <w:top w:val="none" w:sz="0" w:space="0" w:color="auto"/>
            <w:left w:val="none" w:sz="0" w:space="0" w:color="auto"/>
            <w:bottom w:val="none" w:sz="0" w:space="0" w:color="auto"/>
            <w:right w:val="none" w:sz="0" w:space="0" w:color="auto"/>
          </w:divBdr>
        </w:div>
        <w:div w:id="1894465845">
          <w:marLeft w:val="0"/>
          <w:marRight w:val="0"/>
          <w:marTop w:val="0"/>
          <w:marBottom w:val="0"/>
          <w:divBdr>
            <w:top w:val="none" w:sz="0" w:space="0" w:color="auto"/>
            <w:left w:val="none" w:sz="0" w:space="0" w:color="auto"/>
            <w:bottom w:val="none" w:sz="0" w:space="0" w:color="auto"/>
            <w:right w:val="none" w:sz="0" w:space="0" w:color="auto"/>
          </w:divBdr>
        </w:div>
        <w:div w:id="728578471">
          <w:marLeft w:val="0"/>
          <w:marRight w:val="0"/>
          <w:marTop w:val="0"/>
          <w:marBottom w:val="0"/>
          <w:divBdr>
            <w:top w:val="none" w:sz="0" w:space="0" w:color="auto"/>
            <w:left w:val="none" w:sz="0" w:space="0" w:color="auto"/>
            <w:bottom w:val="none" w:sz="0" w:space="0" w:color="auto"/>
            <w:right w:val="none" w:sz="0" w:space="0" w:color="auto"/>
          </w:divBdr>
        </w:div>
        <w:div w:id="1137995538">
          <w:marLeft w:val="0"/>
          <w:marRight w:val="0"/>
          <w:marTop w:val="0"/>
          <w:marBottom w:val="0"/>
          <w:divBdr>
            <w:top w:val="none" w:sz="0" w:space="0" w:color="auto"/>
            <w:left w:val="none" w:sz="0" w:space="0" w:color="auto"/>
            <w:bottom w:val="none" w:sz="0" w:space="0" w:color="auto"/>
            <w:right w:val="none" w:sz="0" w:space="0" w:color="auto"/>
          </w:divBdr>
        </w:div>
        <w:div w:id="1033578516">
          <w:marLeft w:val="0"/>
          <w:marRight w:val="0"/>
          <w:marTop w:val="0"/>
          <w:marBottom w:val="0"/>
          <w:divBdr>
            <w:top w:val="none" w:sz="0" w:space="0" w:color="auto"/>
            <w:left w:val="none" w:sz="0" w:space="0" w:color="auto"/>
            <w:bottom w:val="none" w:sz="0" w:space="0" w:color="auto"/>
            <w:right w:val="none" w:sz="0" w:space="0" w:color="auto"/>
          </w:divBdr>
        </w:div>
      </w:divsChild>
    </w:div>
    <w:div w:id="291401561">
      <w:bodyDiv w:val="1"/>
      <w:marLeft w:val="0"/>
      <w:marRight w:val="0"/>
      <w:marTop w:val="0"/>
      <w:marBottom w:val="0"/>
      <w:divBdr>
        <w:top w:val="none" w:sz="0" w:space="0" w:color="auto"/>
        <w:left w:val="none" w:sz="0" w:space="0" w:color="auto"/>
        <w:bottom w:val="none" w:sz="0" w:space="0" w:color="auto"/>
        <w:right w:val="none" w:sz="0" w:space="0" w:color="auto"/>
      </w:divBdr>
      <w:divsChild>
        <w:div w:id="625046138">
          <w:marLeft w:val="0"/>
          <w:marRight w:val="0"/>
          <w:marTop w:val="0"/>
          <w:marBottom w:val="0"/>
          <w:divBdr>
            <w:top w:val="none" w:sz="0" w:space="0" w:color="auto"/>
            <w:left w:val="none" w:sz="0" w:space="0" w:color="auto"/>
            <w:bottom w:val="none" w:sz="0" w:space="0" w:color="auto"/>
            <w:right w:val="none" w:sz="0" w:space="0" w:color="auto"/>
          </w:divBdr>
        </w:div>
        <w:div w:id="1639796985">
          <w:marLeft w:val="0"/>
          <w:marRight w:val="0"/>
          <w:marTop w:val="0"/>
          <w:marBottom w:val="0"/>
          <w:divBdr>
            <w:top w:val="none" w:sz="0" w:space="0" w:color="auto"/>
            <w:left w:val="none" w:sz="0" w:space="0" w:color="auto"/>
            <w:bottom w:val="none" w:sz="0" w:space="0" w:color="auto"/>
            <w:right w:val="none" w:sz="0" w:space="0" w:color="auto"/>
          </w:divBdr>
        </w:div>
        <w:div w:id="1864511106">
          <w:marLeft w:val="0"/>
          <w:marRight w:val="0"/>
          <w:marTop w:val="0"/>
          <w:marBottom w:val="0"/>
          <w:divBdr>
            <w:top w:val="none" w:sz="0" w:space="0" w:color="auto"/>
            <w:left w:val="none" w:sz="0" w:space="0" w:color="auto"/>
            <w:bottom w:val="none" w:sz="0" w:space="0" w:color="auto"/>
            <w:right w:val="none" w:sz="0" w:space="0" w:color="auto"/>
          </w:divBdr>
        </w:div>
        <w:div w:id="885021921">
          <w:marLeft w:val="0"/>
          <w:marRight w:val="0"/>
          <w:marTop w:val="0"/>
          <w:marBottom w:val="0"/>
          <w:divBdr>
            <w:top w:val="none" w:sz="0" w:space="0" w:color="auto"/>
            <w:left w:val="none" w:sz="0" w:space="0" w:color="auto"/>
            <w:bottom w:val="none" w:sz="0" w:space="0" w:color="auto"/>
            <w:right w:val="none" w:sz="0" w:space="0" w:color="auto"/>
          </w:divBdr>
        </w:div>
        <w:div w:id="1342581559">
          <w:marLeft w:val="0"/>
          <w:marRight w:val="0"/>
          <w:marTop w:val="0"/>
          <w:marBottom w:val="0"/>
          <w:divBdr>
            <w:top w:val="none" w:sz="0" w:space="0" w:color="auto"/>
            <w:left w:val="none" w:sz="0" w:space="0" w:color="auto"/>
            <w:bottom w:val="none" w:sz="0" w:space="0" w:color="auto"/>
            <w:right w:val="none" w:sz="0" w:space="0" w:color="auto"/>
          </w:divBdr>
        </w:div>
        <w:div w:id="1597054345">
          <w:marLeft w:val="0"/>
          <w:marRight w:val="0"/>
          <w:marTop w:val="0"/>
          <w:marBottom w:val="0"/>
          <w:divBdr>
            <w:top w:val="none" w:sz="0" w:space="0" w:color="auto"/>
            <w:left w:val="none" w:sz="0" w:space="0" w:color="auto"/>
            <w:bottom w:val="none" w:sz="0" w:space="0" w:color="auto"/>
            <w:right w:val="none" w:sz="0" w:space="0" w:color="auto"/>
          </w:divBdr>
        </w:div>
        <w:div w:id="852039035">
          <w:marLeft w:val="0"/>
          <w:marRight w:val="0"/>
          <w:marTop w:val="0"/>
          <w:marBottom w:val="0"/>
          <w:divBdr>
            <w:top w:val="none" w:sz="0" w:space="0" w:color="auto"/>
            <w:left w:val="none" w:sz="0" w:space="0" w:color="auto"/>
            <w:bottom w:val="none" w:sz="0" w:space="0" w:color="auto"/>
            <w:right w:val="none" w:sz="0" w:space="0" w:color="auto"/>
          </w:divBdr>
        </w:div>
        <w:div w:id="356736253">
          <w:marLeft w:val="0"/>
          <w:marRight w:val="0"/>
          <w:marTop w:val="0"/>
          <w:marBottom w:val="0"/>
          <w:divBdr>
            <w:top w:val="none" w:sz="0" w:space="0" w:color="auto"/>
            <w:left w:val="none" w:sz="0" w:space="0" w:color="auto"/>
            <w:bottom w:val="none" w:sz="0" w:space="0" w:color="auto"/>
            <w:right w:val="none" w:sz="0" w:space="0" w:color="auto"/>
          </w:divBdr>
        </w:div>
        <w:div w:id="161089290">
          <w:marLeft w:val="0"/>
          <w:marRight w:val="0"/>
          <w:marTop w:val="0"/>
          <w:marBottom w:val="0"/>
          <w:divBdr>
            <w:top w:val="none" w:sz="0" w:space="0" w:color="auto"/>
            <w:left w:val="none" w:sz="0" w:space="0" w:color="auto"/>
            <w:bottom w:val="none" w:sz="0" w:space="0" w:color="auto"/>
            <w:right w:val="none" w:sz="0" w:space="0" w:color="auto"/>
          </w:divBdr>
        </w:div>
        <w:div w:id="103038622">
          <w:marLeft w:val="0"/>
          <w:marRight w:val="0"/>
          <w:marTop w:val="0"/>
          <w:marBottom w:val="0"/>
          <w:divBdr>
            <w:top w:val="none" w:sz="0" w:space="0" w:color="auto"/>
            <w:left w:val="none" w:sz="0" w:space="0" w:color="auto"/>
            <w:bottom w:val="none" w:sz="0" w:space="0" w:color="auto"/>
            <w:right w:val="none" w:sz="0" w:space="0" w:color="auto"/>
          </w:divBdr>
        </w:div>
        <w:div w:id="1337465499">
          <w:marLeft w:val="0"/>
          <w:marRight w:val="0"/>
          <w:marTop w:val="0"/>
          <w:marBottom w:val="0"/>
          <w:divBdr>
            <w:top w:val="none" w:sz="0" w:space="0" w:color="auto"/>
            <w:left w:val="none" w:sz="0" w:space="0" w:color="auto"/>
            <w:bottom w:val="none" w:sz="0" w:space="0" w:color="auto"/>
            <w:right w:val="none" w:sz="0" w:space="0" w:color="auto"/>
          </w:divBdr>
        </w:div>
        <w:div w:id="919171120">
          <w:marLeft w:val="0"/>
          <w:marRight w:val="0"/>
          <w:marTop w:val="0"/>
          <w:marBottom w:val="0"/>
          <w:divBdr>
            <w:top w:val="none" w:sz="0" w:space="0" w:color="auto"/>
            <w:left w:val="none" w:sz="0" w:space="0" w:color="auto"/>
            <w:bottom w:val="none" w:sz="0" w:space="0" w:color="auto"/>
            <w:right w:val="none" w:sz="0" w:space="0" w:color="auto"/>
          </w:divBdr>
        </w:div>
        <w:div w:id="54284789">
          <w:marLeft w:val="0"/>
          <w:marRight w:val="0"/>
          <w:marTop w:val="0"/>
          <w:marBottom w:val="0"/>
          <w:divBdr>
            <w:top w:val="none" w:sz="0" w:space="0" w:color="auto"/>
            <w:left w:val="none" w:sz="0" w:space="0" w:color="auto"/>
            <w:bottom w:val="none" w:sz="0" w:space="0" w:color="auto"/>
            <w:right w:val="none" w:sz="0" w:space="0" w:color="auto"/>
          </w:divBdr>
        </w:div>
        <w:div w:id="1241020762">
          <w:marLeft w:val="0"/>
          <w:marRight w:val="0"/>
          <w:marTop w:val="0"/>
          <w:marBottom w:val="0"/>
          <w:divBdr>
            <w:top w:val="none" w:sz="0" w:space="0" w:color="auto"/>
            <w:left w:val="none" w:sz="0" w:space="0" w:color="auto"/>
            <w:bottom w:val="none" w:sz="0" w:space="0" w:color="auto"/>
            <w:right w:val="none" w:sz="0" w:space="0" w:color="auto"/>
          </w:divBdr>
        </w:div>
        <w:div w:id="389497337">
          <w:marLeft w:val="0"/>
          <w:marRight w:val="0"/>
          <w:marTop w:val="0"/>
          <w:marBottom w:val="0"/>
          <w:divBdr>
            <w:top w:val="none" w:sz="0" w:space="0" w:color="auto"/>
            <w:left w:val="none" w:sz="0" w:space="0" w:color="auto"/>
            <w:bottom w:val="none" w:sz="0" w:space="0" w:color="auto"/>
            <w:right w:val="none" w:sz="0" w:space="0" w:color="auto"/>
          </w:divBdr>
        </w:div>
        <w:div w:id="347679463">
          <w:marLeft w:val="0"/>
          <w:marRight w:val="0"/>
          <w:marTop w:val="0"/>
          <w:marBottom w:val="0"/>
          <w:divBdr>
            <w:top w:val="none" w:sz="0" w:space="0" w:color="auto"/>
            <w:left w:val="none" w:sz="0" w:space="0" w:color="auto"/>
            <w:bottom w:val="none" w:sz="0" w:space="0" w:color="auto"/>
            <w:right w:val="none" w:sz="0" w:space="0" w:color="auto"/>
          </w:divBdr>
        </w:div>
        <w:div w:id="1877499848">
          <w:marLeft w:val="0"/>
          <w:marRight w:val="0"/>
          <w:marTop w:val="0"/>
          <w:marBottom w:val="0"/>
          <w:divBdr>
            <w:top w:val="none" w:sz="0" w:space="0" w:color="auto"/>
            <w:left w:val="none" w:sz="0" w:space="0" w:color="auto"/>
            <w:bottom w:val="none" w:sz="0" w:space="0" w:color="auto"/>
            <w:right w:val="none" w:sz="0" w:space="0" w:color="auto"/>
          </w:divBdr>
        </w:div>
        <w:div w:id="678120689">
          <w:marLeft w:val="0"/>
          <w:marRight w:val="0"/>
          <w:marTop w:val="0"/>
          <w:marBottom w:val="0"/>
          <w:divBdr>
            <w:top w:val="none" w:sz="0" w:space="0" w:color="auto"/>
            <w:left w:val="none" w:sz="0" w:space="0" w:color="auto"/>
            <w:bottom w:val="none" w:sz="0" w:space="0" w:color="auto"/>
            <w:right w:val="none" w:sz="0" w:space="0" w:color="auto"/>
          </w:divBdr>
        </w:div>
        <w:div w:id="1396509457">
          <w:marLeft w:val="0"/>
          <w:marRight w:val="0"/>
          <w:marTop w:val="0"/>
          <w:marBottom w:val="0"/>
          <w:divBdr>
            <w:top w:val="none" w:sz="0" w:space="0" w:color="auto"/>
            <w:left w:val="none" w:sz="0" w:space="0" w:color="auto"/>
            <w:bottom w:val="none" w:sz="0" w:space="0" w:color="auto"/>
            <w:right w:val="none" w:sz="0" w:space="0" w:color="auto"/>
          </w:divBdr>
        </w:div>
        <w:div w:id="369184960">
          <w:marLeft w:val="0"/>
          <w:marRight w:val="0"/>
          <w:marTop w:val="0"/>
          <w:marBottom w:val="0"/>
          <w:divBdr>
            <w:top w:val="none" w:sz="0" w:space="0" w:color="auto"/>
            <w:left w:val="none" w:sz="0" w:space="0" w:color="auto"/>
            <w:bottom w:val="none" w:sz="0" w:space="0" w:color="auto"/>
            <w:right w:val="none" w:sz="0" w:space="0" w:color="auto"/>
          </w:divBdr>
        </w:div>
        <w:div w:id="1822578133">
          <w:marLeft w:val="0"/>
          <w:marRight w:val="0"/>
          <w:marTop w:val="0"/>
          <w:marBottom w:val="0"/>
          <w:divBdr>
            <w:top w:val="none" w:sz="0" w:space="0" w:color="auto"/>
            <w:left w:val="none" w:sz="0" w:space="0" w:color="auto"/>
            <w:bottom w:val="none" w:sz="0" w:space="0" w:color="auto"/>
            <w:right w:val="none" w:sz="0" w:space="0" w:color="auto"/>
          </w:divBdr>
        </w:div>
        <w:div w:id="2046366821">
          <w:marLeft w:val="0"/>
          <w:marRight w:val="0"/>
          <w:marTop w:val="0"/>
          <w:marBottom w:val="0"/>
          <w:divBdr>
            <w:top w:val="none" w:sz="0" w:space="0" w:color="auto"/>
            <w:left w:val="none" w:sz="0" w:space="0" w:color="auto"/>
            <w:bottom w:val="none" w:sz="0" w:space="0" w:color="auto"/>
            <w:right w:val="none" w:sz="0" w:space="0" w:color="auto"/>
          </w:divBdr>
        </w:div>
        <w:div w:id="1841192123">
          <w:marLeft w:val="0"/>
          <w:marRight w:val="0"/>
          <w:marTop w:val="0"/>
          <w:marBottom w:val="0"/>
          <w:divBdr>
            <w:top w:val="none" w:sz="0" w:space="0" w:color="auto"/>
            <w:left w:val="none" w:sz="0" w:space="0" w:color="auto"/>
            <w:bottom w:val="none" w:sz="0" w:space="0" w:color="auto"/>
            <w:right w:val="none" w:sz="0" w:space="0" w:color="auto"/>
          </w:divBdr>
        </w:div>
        <w:div w:id="581261822">
          <w:marLeft w:val="0"/>
          <w:marRight w:val="0"/>
          <w:marTop w:val="0"/>
          <w:marBottom w:val="0"/>
          <w:divBdr>
            <w:top w:val="none" w:sz="0" w:space="0" w:color="auto"/>
            <w:left w:val="none" w:sz="0" w:space="0" w:color="auto"/>
            <w:bottom w:val="none" w:sz="0" w:space="0" w:color="auto"/>
            <w:right w:val="none" w:sz="0" w:space="0" w:color="auto"/>
          </w:divBdr>
        </w:div>
        <w:div w:id="349188930">
          <w:marLeft w:val="0"/>
          <w:marRight w:val="0"/>
          <w:marTop w:val="0"/>
          <w:marBottom w:val="0"/>
          <w:divBdr>
            <w:top w:val="none" w:sz="0" w:space="0" w:color="auto"/>
            <w:left w:val="none" w:sz="0" w:space="0" w:color="auto"/>
            <w:bottom w:val="none" w:sz="0" w:space="0" w:color="auto"/>
            <w:right w:val="none" w:sz="0" w:space="0" w:color="auto"/>
          </w:divBdr>
        </w:div>
        <w:div w:id="222638605">
          <w:marLeft w:val="0"/>
          <w:marRight w:val="0"/>
          <w:marTop w:val="0"/>
          <w:marBottom w:val="0"/>
          <w:divBdr>
            <w:top w:val="none" w:sz="0" w:space="0" w:color="auto"/>
            <w:left w:val="none" w:sz="0" w:space="0" w:color="auto"/>
            <w:bottom w:val="none" w:sz="0" w:space="0" w:color="auto"/>
            <w:right w:val="none" w:sz="0" w:space="0" w:color="auto"/>
          </w:divBdr>
        </w:div>
        <w:div w:id="1132362963">
          <w:marLeft w:val="0"/>
          <w:marRight w:val="0"/>
          <w:marTop w:val="0"/>
          <w:marBottom w:val="0"/>
          <w:divBdr>
            <w:top w:val="none" w:sz="0" w:space="0" w:color="auto"/>
            <w:left w:val="none" w:sz="0" w:space="0" w:color="auto"/>
            <w:bottom w:val="none" w:sz="0" w:space="0" w:color="auto"/>
            <w:right w:val="none" w:sz="0" w:space="0" w:color="auto"/>
          </w:divBdr>
        </w:div>
        <w:div w:id="1511945004">
          <w:marLeft w:val="0"/>
          <w:marRight w:val="0"/>
          <w:marTop w:val="0"/>
          <w:marBottom w:val="0"/>
          <w:divBdr>
            <w:top w:val="none" w:sz="0" w:space="0" w:color="auto"/>
            <w:left w:val="none" w:sz="0" w:space="0" w:color="auto"/>
            <w:bottom w:val="none" w:sz="0" w:space="0" w:color="auto"/>
            <w:right w:val="none" w:sz="0" w:space="0" w:color="auto"/>
          </w:divBdr>
        </w:div>
        <w:div w:id="91050055">
          <w:marLeft w:val="0"/>
          <w:marRight w:val="0"/>
          <w:marTop w:val="0"/>
          <w:marBottom w:val="0"/>
          <w:divBdr>
            <w:top w:val="none" w:sz="0" w:space="0" w:color="auto"/>
            <w:left w:val="none" w:sz="0" w:space="0" w:color="auto"/>
            <w:bottom w:val="none" w:sz="0" w:space="0" w:color="auto"/>
            <w:right w:val="none" w:sz="0" w:space="0" w:color="auto"/>
          </w:divBdr>
        </w:div>
        <w:div w:id="1694648635">
          <w:marLeft w:val="0"/>
          <w:marRight w:val="0"/>
          <w:marTop w:val="0"/>
          <w:marBottom w:val="0"/>
          <w:divBdr>
            <w:top w:val="none" w:sz="0" w:space="0" w:color="auto"/>
            <w:left w:val="none" w:sz="0" w:space="0" w:color="auto"/>
            <w:bottom w:val="none" w:sz="0" w:space="0" w:color="auto"/>
            <w:right w:val="none" w:sz="0" w:space="0" w:color="auto"/>
          </w:divBdr>
        </w:div>
        <w:div w:id="24790731">
          <w:marLeft w:val="0"/>
          <w:marRight w:val="0"/>
          <w:marTop w:val="0"/>
          <w:marBottom w:val="0"/>
          <w:divBdr>
            <w:top w:val="none" w:sz="0" w:space="0" w:color="auto"/>
            <w:left w:val="none" w:sz="0" w:space="0" w:color="auto"/>
            <w:bottom w:val="none" w:sz="0" w:space="0" w:color="auto"/>
            <w:right w:val="none" w:sz="0" w:space="0" w:color="auto"/>
          </w:divBdr>
        </w:div>
        <w:div w:id="2025672335">
          <w:marLeft w:val="0"/>
          <w:marRight w:val="0"/>
          <w:marTop w:val="0"/>
          <w:marBottom w:val="0"/>
          <w:divBdr>
            <w:top w:val="none" w:sz="0" w:space="0" w:color="auto"/>
            <w:left w:val="none" w:sz="0" w:space="0" w:color="auto"/>
            <w:bottom w:val="none" w:sz="0" w:space="0" w:color="auto"/>
            <w:right w:val="none" w:sz="0" w:space="0" w:color="auto"/>
          </w:divBdr>
        </w:div>
        <w:div w:id="1900048984">
          <w:marLeft w:val="0"/>
          <w:marRight w:val="0"/>
          <w:marTop w:val="0"/>
          <w:marBottom w:val="0"/>
          <w:divBdr>
            <w:top w:val="none" w:sz="0" w:space="0" w:color="auto"/>
            <w:left w:val="none" w:sz="0" w:space="0" w:color="auto"/>
            <w:bottom w:val="none" w:sz="0" w:space="0" w:color="auto"/>
            <w:right w:val="none" w:sz="0" w:space="0" w:color="auto"/>
          </w:divBdr>
        </w:div>
        <w:div w:id="867764711">
          <w:marLeft w:val="0"/>
          <w:marRight w:val="0"/>
          <w:marTop w:val="0"/>
          <w:marBottom w:val="0"/>
          <w:divBdr>
            <w:top w:val="none" w:sz="0" w:space="0" w:color="auto"/>
            <w:left w:val="none" w:sz="0" w:space="0" w:color="auto"/>
            <w:bottom w:val="none" w:sz="0" w:space="0" w:color="auto"/>
            <w:right w:val="none" w:sz="0" w:space="0" w:color="auto"/>
          </w:divBdr>
        </w:div>
        <w:div w:id="1820540219">
          <w:marLeft w:val="0"/>
          <w:marRight w:val="0"/>
          <w:marTop w:val="0"/>
          <w:marBottom w:val="0"/>
          <w:divBdr>
            <w:top w:val="none" w:sz="0" w:space="0" w:color="auto"/>
            <w:left w:val="none" w:sz="0" w:space="0" w:color="auto"/>
            <w:bottom w:val="none" w:sz="0" w:space="0" w:color="auto"/>
            <w:right w:val="none" w:sz="0" w:space="0" w:color="auto"/>
          </w:divBdr>
        </w:div>
        <w:div w:id="541524277">
          <w:marLeft w:val="0"/>
          <w:marRight w:val="0"/>
          <w:marTop w:val="0"/>
          <w:marBottom w:val="0"/>
          <w:divBdr>
            <w:top w:val="none" w:sz="0" w:space="0" w:color="auto"/>
            <w:left w:val="none" w:sz="0" w:space="0" w:color="auto"/>
            <w:bottom w:val="none" w:sz="0" w:space="0" w:color="auto"/>
            <w:right w:val="none" w:sz="0" w:space="0" w:color="auto"/>
          </w:divBdr>
        </w:div>
        <w:div w:id="1136412785">
          <w:marLeft w:val="0"/>
          <w:marRight w:val="0"/>
          <w:marTop w:val="0"/>
          <w:marBottom w:val="0"/>
          <w:divBdr>
            <w:top w:val="none" w:sz="0" w:space="0" w:color="auto"/>
            <w:left w:val="none" w:sz="0" w:space="0" w:color="auto"/>
            <w:bottom w:val="none" w:sz="0" w:space="0" w:color="auto"/>
            <w:right w:val="none" w:sz="0" w:space="0" w:color="auto"/>
          </w:divBdr>
        </w:div>
        <w:div w:id="738865838">
          <w:marLeft w:val="0"/>
          <w:marRight w:val="0"/>
          <w:marTop w:val="0"/>
          <w:marBottom w:val="0"/>
          <w:divBdr>
            <w:top w:val="none" w:sz="0" w:space="0" w:color="auto"/>
            <w:left w:val="none" w:sz="0" w:space="0" w:color="auto"/>
            <w:bottom w:val="none" w:sz="0" w:space="0" w:color="auto"/>
            <w:right w:val="none" w:sz="0" w:space="0" w:color="auto"/>
          </w:divBdr>
        </w:div>
        <w:div w:id="1624266577">
          <w:marLeft w:val="0"/>
          <w:marRight w:val="0"/>
          <w:marTop w:val="0"/>
          <w:marBottom w:val="0"/>
          <w:divBdr>
            <w:top w:val="none" w:sz="0" w:space="0" w:color="auto"/>
            <w:left w:val="none" w:sz="0" w:space="0" w:color="auto"/>
            <w:bottom w:val="none" w:sz="0" w:space="0" w:color="auto"/>
            <w:right w:val="none" w:sz="0" w:space="0" w:color="auto"/>
          </w:divBdr>
        </w:div>
        <w:div w:id="1560936495">
          <w:marLeft w:val="0"/>
          <w:marRight w:val="0"/>
          <w:marTop w:val="0"/>
          <w:marBottom w:val="0"/>
          <w:divBdr>
            <w:top w:val="none" w:sz="0" w:space="0" w:color="auto"/>
            <w:left w:val="none" w:sz="0" w:space="0" w:color="auto"/>
            <w:bottom w:val="none" w:sz="0" w:space="0" w:color="auto"/>
            <w:right w:val="none" w:sz="0" w:space="0" w:color="auto"/>
          </w:divBdr>
        </w:div>
        <w:div w:id="541749049">
          <w:marLeft w:val="0"/>
          <w:marRight w:val="0"/>
          <w:marTop w:val="0"/>
          <w:marBottom w:val="0"/>
          <w:divBdr>
            <w:top w:val="none" w:sz="0" w:space="0" w:color="auto"/>
            <w:left w:val="none" w:sz="0" w:space="0" w:color="auto"/>
            <w:bottom w:val="none" w:sz="0" w:space="0" w:color="auto"/>
            <w:right w:val="none" w:sz="0" w:space="0" w:color="auto"/>
          </w:divBdr>
        </w:div>
        <w:div w:id="76169734">
          <w:marLeft w:val="0"/>
          <w:marRight w:val="0"/>
          <w:marTop w:val="0"/>
          <w:marBottom w:val="0"/>
          <w:divBdr>
            <w:top w:val="none" w:sz="0" w:space="0" w:color="auto"/>
            <w:left w:val="none" w:sz="0" w:space="0" w:color="auto"/>
            <w:bottom w:val="none" w:sz="0" w:space="0" w:color="auto"/>
            <w:right w:val="none" w:sz="0" w:space="0" w:color="auto"/>
          </w:divBdr>
        </w:div>
        <w:div w:id="2015181654">
          <w:marLeft w:val="0"/>
          <w:marRight w:val="0"/>
          <w:marTop w:val="0"/>
          <w:marBottom w:val="0"/>
          <w:divBdr>
            <w:top w:val="none" w:sz="0" w:space="0" w:color="auto"/>
            <w:left w:val="none" w:sz="0" w:space="0" w:color="auto"/>
            <w:bottom w:val="none" w:sz="0" w:space="0" w:color="auto"/>
            <w:right w:val="none" w:sz="0" w:space="0" w:color="auto"/>
          </w:divBdr>
        </w:div>
        <w:div w:id="2112771765">
          <w:marLeft w:val="0"/>
          <w:marRight w:val="0"/>
          <w:marTop w:val="0"/>
          <w:marBottom w:val="0"/>
          <w:divBdr>
            <w:top w:val="none" w:sz="0" w:space="0" w:color="auto"/>
            <w:left w:val="none" w:sz="0" w:space="0" w:color="auto"/>
            <w:bottom w:val="none" w:sz="0" w:space="0" w:color="auto"/>
            <w:right w:val="none" w:sz="0" w:space="0" w:color="auto"/>
          </w:divBdr>
        </w:div>
        <w:div w:id="2052656457">
          <w:marLeft w:val="0"/>
          <w:marRight w:val="0"/>
          <w:marTop w:val="0"/>
          <w:marBottom w:val="0"/>
          <w:divBdr>
            <w:top w:val="none" w:sz="0" w:space="0" w:color="auto"/>
            <w:left w:val="none" w:sz="0" w:space="0" w:color="auto"/>
            <w:bottom w:val="none" w:sz="0" w:space="0" w:color="auto"/>
            <w:right w:val="none" w:sz="0" w:space="0" w:color="auto"/>
          </w:divBdr>
        </w:div>
        <w:div w:id="841358273">
          <w:marLeft w:val="0"/>
          <w:marRight w:val="0"/>
          <w:marTop w:val="0"/>
          <w:marBottom w:val="0"/>
          <w:divBdr>
            <w:top w:val="none" w:sz="0" w:space="0" w:color="auto"/>
            <w:left w:val="none" w:sz="0" w:space="0" w:color="auto"/>
            <w:bottom w:val="none" w:sz="0" w:space="0" w:color="auto"/>
            <w:right w:val="none" w:sz="0" w:space="0" w:color="auto"/>
          </w:divBdr>
        </w:div>
        <w:div w:id="960770584">
          <w:marLeft w:val="0"/>
          <w:marRight w:val="0"/>
          <w:marTop w:val="0"/>
          <w:marBottom w:val="0"/>
          <w:divBdr>
            <w:top w:val="none" w:sz="0" w:space="0" w:color="auto"/>
            <w:left w:val="none" w:sz="0" w:space="0" w:color="auto"/>
            <w:bottom w:val="none" w:sz="0" w:space="0" w:color="auto"/>
            <w:right w:val="none" w:sz="0" w:space="0" w:color="auto"/>
          </w:divBdr>
        </w:div>
        <w:div w:id="1287662359">
          <w:marLeft w:val="0"/>
          <w:marRight w:val="0"/>
          <w:marTop w:val="0"/>
          <w:marBottom w:val="0"/>
          <w:divBdr>
            <w:top w:val="none" w:sz="0" w:space="0" w:color="auto"/>
            <w:left w:val="none" w:sz="0" w:space="0" w:color="auto"/>
            <w:bottom w:val="none" w:sz="0" w:space="0" w:color="auto"/>
            <w:right w:val="none" w:sz="0" w:space="0" w:color="auto"/>
          </w:divBdr>
        </w:div>
        <w:div w:id="546722140">
          <w:marLeft w:val="0"/>
          <w:marRight w:val="0"/>
          <w:marTop w:val="0"/>
          <w:marBottom w:val="0"/>
          <w:divBdr>
            <w:top w:val="none" w:sz="0" w:space="0" w:color="auto"/>
            <w:left w:val="none" w:sz="0" w:space="0" w:color="auto"/>
            <w:bottom w:val="none" w:sz="0" w:space="0" w:color="auto"/>
            <w:right w:val="none" w:sz="0" w:space="0" w:color="auto"/>
          </w:divBdr>
        </w:div>
        <w:div w:id="1349601526">
          <w:marLeft w:val="0"/>
          <w:marRight w:val="0"/>
          <w:marTop w:val="0"/>
          <w:marBottom w:val="0"/>
          <w:divBdr>
            <w:top w:val="none" w:sz="0" w:space="0" w:color="auto"/>
            <w:left w:val="none" w:sz="0" w:space="0" w:color="auto"/>
            <w:bottom w:val="none" w:sz="0" w:space="0" w:color="auto"/>
            <w:right w:val="none" w:sz="0" w:space="0" w:color="auto"/>
          </w:divBdr>
        </w:div>
        <w:div w:id="329867233">
          <w:marLeft w:val="0"/>
          <w:marRight w:val="0"/>
          <w:marTop w:val="0"/>
          <w:marBottom w:val="0"/>
          <w:divBdr>
            <w:top w:val="none" w:sz="0" w:space="0" w:color="auto"/>
            <w:left w:val="none" w:sz="0" w:space="0" w:color="auto"/>
            <w:bottom w:val="none" w:sz="0" w:space="0" w:color="auto"/>
            <w:right w:val="none" w:sz="0" w:space="0" w:color="auto"/>
          </w:divBdr>
        </w:div>
        <w:div w:id="1757245265">
          <w:marLeft w:val="0"/>
          <w:marRight w:val="0"/>
          <w:marTop w:val="0"/>
          <w:marBottom w:val="0"/>
          <w:divBdr>
            <w:top w:val="none" w:sz="0" w:space="0" w:color="auto"/>
            <w:left w:val="none" w:sz="0" w:space="0" w:color="auto"/>
            <w:bottom w:val="none" w:sz="0" w:space="0" w:color="auto"/>
            <w:right w:val="none" w:sz="0" w:space="0" w:color="auto"/>
          </w:divBdr>
        </w:div>
        <w:div w:id="433402571">
          <w:marLeft w:val="0"/>
          <w:marRight w:val="0"/>
          <w:marTop w:val="0"/>
          <w:marBottom w:val="0"/>
          <w:divBdr>
            <w:top w:val="none" w:sz="0" w:space="0" w:color="auto"/>
            <w:left w:val="none" w:sz="0" w:space="0" w:color="auto"/>
            <w:bottom w:val="none" w:sz="0" w:space="0" w:color="auto"/>
            <w:right w:val="none" w:sz="0" w:space="0" w:color="auto"/>
          </w:divBdr>
        </w:div>
        <w:div w:id="437721730">
          <w:marLeft w:val="0"/>
          <w:marRight w:val="0"/>
          <w:marTop w:val="0"/>
          <w:marBottom w:val="0"/>
          <w:divBdr>
            <w:top w:val="none" w:sz="0" w:space="0" w:color="auto"/>
            <w:left w:val="none" w:sz="0" w:space="0" w:color="auto"/>
            <w:bottom w:val="none" w:sz="0" w:space="0" w:color="auto"/>
            <w:right w:val="none" w:sz="0" w:space="0" w:color="auto"/>
          </w:divBdr>
        </w:div>
        <w:div w:id="1951204535">
          <w:marLeft w:val="0"/>
          <w:marRight w:val="0"/>
          <w:marTop w:val="0"/>
          <w:marBottom w:val="0"/>
          <w:divBdr>
            <w:top w:val="none" w:sz="0" w:space="0" w:color="auto"/>
            <w:left w:val="none" w:sz="0" w:space="0" w:color="auto"/>
            <w:bottom w:val="none" w:sz="0" w:space="0" w:color="auto"/>
            <w:right w:val="none" w:sz="0" w:space="0" w:color="auto"/>
          </w:divBdr>
        </w:div>
        <w:div w:id="1617062386">
          <w:marLeft w:val="0"/>
          <w:marRight w:val="0"/>
          <w:marTop w:val="0"/>
          <w:marBottom w:val="0"/>
          <w:divBdr>
            <w:top w:val="none" w:sz="0" w:space="0" w:color="auto"/>
            <w:left w:val="none" w:sz="0" w:space="0" w:color="auto"/>
            <w:bottom w:val="none" w:sz="0" w:space="0" w:color="auto"/>
            <w:right w:val="none" w:sz="0" w:space="0" w:color="auto"/>
          </w:divBdr>
        </w:div>
        <w:div w:id="505829762">
          <w:marLeft w:val="0"/>
          <w:marRight w:val="0"/>
          <w:marTop w:val="0"/>
          <w:marBottom w:val="0"/>
          <w:divBdr>
            <w:top w:val="none" w:sz="0" w:space="0" w:color="auto"/>
            <w:left w:val="none" w:sz="0" w:space="0" w:color="auto"/>
            <w:bottom w:val="none" w:sz="0" w:space="0" w:color="auto"/>
            <w:right w:val="none" w:sz="0" w:space="0" w:color="auto"/>
          </w:divBdr>
        </w:div>
        <w:div w:id="2139030460">
          <w:marLeft w:val="0"/>
          <w:marRight w:val="0"/>
          <w:marTop w:val="0"/>
          <w:marBottom w:val="0"/>
          <w:divBdr>
            <w:top w:val="none" w:sz="0" w:space="0" w:color="auto"/>
            <w:left w:val="none" w:sz="0" w:space="0" w:color="auto"/>
            <w:bottom w:val="none" w:sz="0" w:space="0" w:color="auto"/>
            <w:right w:val="none" w:sz="0" w:space="0" w:color="auto"/>
          </w:divBdr>
        </w:div>
        <w:div w:id="1481194567">
          <w:marLeft w:val="0"/>
          <w:marRight w:val="0"/>
          <w:marTop w:val="0"/>
          <w:marBottom w:val="0"/>
          <w:divBdr>
            <w:top w:val="none" w:sz="0" w:space="0" w:color="auto"/>
            <w:left w:val="none" w:sz="0" w:space="0" w:color="auto"/>
            <w:bottom w:val="none" w:sz="0" w:space="0" w:color="auto"/>
            <w:right w:val="none" w:sz="0" w:space="0" w:color="auto"/>
          </w:divBdr>
        </w:div>
        <w:div w:id="379018697">
          <w:marLeft w:val="0"/>
          <w:marRight w:val="0"/>
          <w:marTop w:val="0"/>
          <w:marBottom w:val="0"/>
          <w:divBdr>
            <w:top w:val="none" w:sz="0" w:space="0" w:color="auto"/>
            <w:left w:val="none" w:sz="0" w:space="0" w:color="auto"/>
            <w:bottom w:val="none" w:sz="0" w:space="0" w:color="auto"/>
            <w:right w:val="none" w:sz="0" w:space="0" w:color="auto"/>
          </w:divBdr>
        </w:div>
        <w:div w:id="167796716">
          <w:marLeft w:val="0"/>
          <w:marRight w:val="0"/>
          <w:marTop w:val="0"/>
          <w:marBottom w:val="0"/>
          <w:divBdr>
            <w:top w:val="none" w:sz="0" w:space="0" w:color="auto"/>
            <w:left w:val="none" w:sz="0" w:space="0" w:color="auto"/>
            <w:bottom w:val="none" w:sz="0" w:space="0" w:color="auto"/>
            <w:right w:val="none" w:sz="0" w:space="0" w:color="auto"/>
          </w:divBdr>
        </w:div>
        <w:div w:id="11877623">
          <w:marLeft w:val="0"/>
          <w:marRight w:val="0"/>
          <w:marTop w:val="0"/>
          <w:marBottom w:val="0"/>
          <w:divBdr>
            <w:top w:val="none" w:sz="0" w:space="0" w:color="auto"/>
            <w:left w:val="none" w:sz="0" w:space="0" w:color="auto"/>
            <w:bottom w:val="none" w:sz="0" w:space="0" w:color="auto"/>
            <w:right w:val="none" w:sz="0" w:space="0" w:color="auto"/>
          </w:divBdr>
        </w:div>
        <w:div w:id="1477143818">
          <w:marLeft w:val="0"/>
          <w:marRight w:val="0"/>
          <w:marTop w:val="0"/>
          <w:marBottom w:val="0"/>
          <w:divBdr>
            <w:top w:val="none" w:sz="0" w:space="0" w:color="auto"/>
            <w:left w:val="none" w:sz="0" w:space="0" w:color="auto"/>
            <w:bottom w:val="none" w:sz="0" w:space="0" w:color="auto"/>
            <w:right w:val="none" w:sz="0" w:space="0" w:color="auto"/>
          </w:divBdr>
        </w:div>
        <w:div w:id="1136066771">
          <w:marLeft w:val="0"/>
          <w:marRight w:val="0"/>
          <w:marTop w:val="0"/>
          <w:marBottom w:val="0"/>
          <w:divBdr>
            <w:top w:val="none" w:sz="0" w:space="0" w:color="auto"/>
            <w:left w:val="none" w:sz="0" w:space="0" w:color="auto"/>
            <w:bottom w:val="none" w:sz="0" w:space="0" w:color="auto"/>
            <w:right w:val="none" w:sz="0" w:space="0" w:color="auto"/>
          </w:divBdr>
        </w:div>
        <w:div w:id="460196586">
          <w:marLeft w:val="0"/>
          <w:marRight w:val="0"/>
          <w:marTop w:val="0"/>
          <w:marBottom w:val="0"/>
          <w:divBdr>
            <w:top w:val="none" w:sz="0" w:space="0" w:color="auto"/>
            <w:left w:val="none" w:sz="0" w:space="0" w:color="auto"/>
            <w:bottom w:val="none" w:sz="0" w:space="0" w:color="auto"/>
            <w:right w:val="none" w:sz="0" w:space="0" w:color="auto"/>
          </w:divBdr>
        </w:div>
        <w:div w:id="1014383816">
          <w:marLeft w:val="0"/>
          <w:marRight w:val="0"/>
          <w:marTop w:val="0"/>
          <w:marBottom w:val="0"/>
          <w:divBdr>
            <w:top w:val="none" w:sz="0" w:space="0" w:color="auto"/>
            <w:left w:val="none" w:sz="0" w:space="0" w:color="auto"/>
            <w:bottom w:val="none" w:sz="0" w:space="0" w:color="auto"/>
            <w:right w:val="none" w:sz="0" w:space="0" w:color="auto"/>
          </w:divBdr>
        </w:div>
        <w:div w:id="1396589035">
          <w:marLeft w:val="0"/>
          <w:marRight w:val="0"/>
          <w:marTop w:val="0"/>
          <w:marBottom w:val="0"/>
          <w:divBdr>
            <w:top w:val="none" w:sz="0" w:space="0" w:color="auto"/>
            <w:left w:val="none" w:sz="0" w:space="0" w:color="auto"/>
            <w:bottom w:val="none" w:sz="0" w:space="0" w:color="auto"/>
            <w:right w:val="none" w:sz="0" w:space="0" w:color="auto"/>
          </w:divBdr>
        </w:div>
        <w:div w:id="2013289151">
          <w:marLeft w:val="0"/>
          <w:marRight w:val="0"/>
          <w:marTop w:val="0"/>
          <w:marBottom w:val="0"/>
          <w:divBdr>
            <w:top w:val="none" w:sz="0" w:space="0" w:color="auto"/>
            <w:left w:val="none" w:sz="0" w:space="0" w:color="auto"/>
            <w:bottom w:val="none" w:sz="0" w:space="0" w:color="auto"/>
            <w:right w:val="none" w:sz="0" w:space="0" w:color="auto"/>
          </w:divBdr>
        </w:div>
        <w:div w:id="1926186048">
          <w:marLeft w:val="0"/>
          <w:marRight w:val="0"/>
          <w:marTop w:val="0"/>
          <w:marBottom w:val="0"/>
          <w:divBdr>
            <w:top w:val="none" w:sz="0" w:space="0" w:color="auto"/>
            <w:left w:val="none" w:sz="0" w:space="0" w:color="auto"/>
            <w:bottom w:val="none" w:sz="0" w:space="0" w:color="auto"/>
            <w:right w:val="none" w:sz="0" w:space="0" w:color="auto"/>
          </w:divBdr>
        </w:div>
        <w:div w:id="1816027279">
          <w:marLeft w:val="0"/>
          <w:marRight w:val="0"/>
          <w:marTop w:val="0"/>
          <w:marBottom w:val="0"/>
          <w:divBdr>
            <w:top w:val="none" w:sz="0" w:space="0" w:color="auto"/>
            <w:left w:val="none" w:sz="0" w:space="0" w:color="auto"/>
            <w:bottom w:val="none" w:sz="0" w:space="0" w:color="auto"/>
            <w:right w:val="none" w:sz="0" w:space="0" w:color="auto"/>
          </w:divBdr>
        </w:div>
        <w:div w:id="2109229818">
          <w:marLeft w:val="0"/>
          <w:marRight w:val="0"/>
          <w:marTop w:val="0"/>
          <w:marBottom w:val="0"/>
          <w:divBdr>
            <w:top w:val="none" w:sz="0" w:space="0" w:color="auto"/>
            <w:left w:val="none" w:sz="0" w:space="0" w:color="auto"/>
            <w:bottom w:val="none" w:sz="0" w:space="0" w:color="auto"/>
            <w:right w:val="none" w:sz="0" w:space="0" w:color="auto"/>
          </w:divBdr>
        </w:div>
        <w:div w:id="2002125229">
          <w:marLeft w:val="0"/>
          <w:marRight w:val="0"/>
          <w:marTop w:val="0"/>
          <w:marBottom w:val="0"/>
          <w:divBdr>
            <w:top w:val="none" w:sz="0" w:space="0" w:color="auto"/>
            <w:left w:val="none" w:sz="0" w:space="0" w:color="auto"/>
            <w:bottom w:val="none" w:sz="0" w:space="0" w:color="auto"/>
            <w:right w:val="none" w:sz="0" w:space="0" w:color="auto"/>
          </w:divBdr>
        </w:div>
        <w:div w:id="1305626900">
          <w:marLeft w:val="0"/>
          <w:marRight w:val="0"/>
          <w:marTop w:val="0"/>
          <w:marBottom w:val="0"/>
          <w:divBdr>
            <w:top w:val="none" w:sz="0" w:space="0" w:color="auto"/>
            <w:left w:val="none" w:sz="0" w:space="0" w:color="auto"/>
            <w:bottom w:val="none" w:sz="0" w:space="0" w:color="auto"/>
            <w:right w:val="none" w:sz="0" w:space="0" w:color="auto"/>
          </w:divBdr>
        </w:div>
        <w:div w:id="886070978">
          <w:marLeft w:val="0"/>
          <w:marRight w:val="0"/>
          <w:marTop w:val="0"/>
          <w:marBottom w:val="0"/>
          <w:divBdr>
            <w:top w:val="none" w:sz="0" w:space="0" w:color="auto"/>
            <w:left w:val="none" w:sz="0" w:space="0" w:color="auto"/>
            <w:bottom w:val="none" w:sz="0" w:space="0" w:color="auto"/>
            <w:right w:val="none" w:sz="0" w:space="0" w:color="auto"/>
          </w:divBdr>
        </w:div>
        <w:div w:id="1394622538">
          <w:marLeft w:val="0"/>
          <w:marRight w:val="0"/>
          <w:marTop w:val="0"/>
          <w:marBottom w:val="0"/>
          <w:divBdr>
            <w:top w:val="none" w:sz="0" w:space="0" w:color="auto"/>
            <w:left w:val="none" w:sz="0" w:space="0" w:color="auto"/>
            <w:bottom w:val="none" w:sz="0" w:space="0" w:color="auto"/>
            <w:right w:val="none" w:sz="0" w:space="0" w:color="auto"/>
          </w:divBdr>
        </w:div>
        <w:div w:id="1743018705">
          <w:marLeft w:val="0"/>
          <w:marRight w:val="0"/>
          <w:marTop w:val="0"/>
          <w:marBottom w:val="0"/>
          <w:divBdr>
            <w:top w:val="none" w:sz="0" w:space="0" w:color="auto"/>
            <w:left w:val="none" w:sz="0" w:space="0" w:color="auto"/>
            <w:bottom w:val="none" w:sz="0" w:space="0" w:color="auto"/>
            <w:right w:val="none" w:sz="0" w:space="0" w:color="auto"/>
          </w:divBdr>
        </w:div>
        <w:div w:id="928345852">
          <w:marLeft w:val="0"/>
          <w:marRight w:val="0"/>
          <w:marTop w:val="0"/>
          <w:marBottom w:val="0"/>
          <w:divBdr>
            <w:top w:val="none" w:sz="0" w:space="0" w:color="auto"/>
            <w:left w:val="none" w:sz="0" w:space="0" w:color="auto"/>
            <w:bottom w:val="none" w:sz="0" w:space="0" w:color="auto"/>
            <w:right w:val="none" w:sz="0" w:space="0" w:color="auto"/>
          </w:divBdr>
        </w:div>
        <w:div w:id="1351639975">
          <w:marLeft w:val="0"/>
          <w:marRight w:val="0"/>
          <w:marTop w:val="0"/>
          <w:marBottom w:val="0"/>
          <w:divBdr>
            <w:top w:val="none" w:sz="0" w:space="0" w:color="auto"/>
            <w:left w:val="none" w:sz="0" w:space="0" w:color="auto"/>
            <w:bottom w:val="none" w:sz="0" w:space="0" w:color="auto"/>
            <w:right w:val="none" w:sz="0" w:space="0" w:color="auto"/>
          </w:divBdr>
        </w:div>
      </w:divsChild>
    </w:div>
    <w:div w:id="303891656">
      <w:bodyDiv w:val="1"/>
      <w:marLeft w:val="0"/>
      <w:marRight w:val="0"/>
      <w:marTop w:val="0"/>
      <w:marBottom w:val="0"/>
      <w:divBdr>
        <w:top w:val="none" w:sz="0" w:space="0" w:color="auto"/>
        <w:left w:val="none" w:sz="0" w:space="0" w:color="auto"/>
        <w:bottom w:val="none" w:sz="0" w:space="0" w:color="auto"/>
        <w:right w:val="none" w:sz="0" w:space="0" w:color="auto"/>
      </w:divBdr>
      <w:divsChild>
        <w:div w:id="1549606071">
          <w:marLeft w:val="0"/>
          <w:marRight w:val="0"/>
          <w:marTop w:val="0"/>
          <w:marBottom w:val="0"/>
          <w:divBdr>
            <w:top w:val="none" w:sz="0" w:space="0" w:color="auto"/>
            <w:left w:val="none" w:sz="0" w:space="0" w:color="auto"/>
            <w:bottom w:val="none" w:sz="0" w:space="0" w:color="auto"/>
            <w:right w:val="none" w:sz="0" w:space="0" w:color="auto"/>
          </w:divBdr>
        </w:div>
        <w:div w:id="697464706">
          <w:marLeft w:val="0"/>
          <w:marRight w:val="0"/>
          <w:marTop w:val="0"/>
          <w:marBottom w:val="0"/>
          <w:divBdr>
            <w:top w:val="none" w:sz="0" w:space="0" w:color="auto"/>
            <w:left w:val="none" w:sz="0" w:space="0" w:color="auto"/>
            <w:bottom w:val="none" w:sz="0" w:space="0" w:color="auto"/>
            <w:right w:val="none" w:sz="0" w:space="0" w:color="auto"/>
          </w:divBdr>
        </w:div>
        <w:div w:id="1374696159">
          <w:marLeft w:val="0"/>
          <w:marRight w:val="0"/>
          <w:marTop w:val="0"/>
          <w:marBottom w:val="0"/>
          <w:divBdr>
            <w:top w:val="none" w:sz="0" w:space="0" w:color="auto"/>
            <w:left w:val="none" w:sz="0" w:space="0" w:color="auto"/>
            <w:bottom w:val="none" w:sz="0" w:space="0" w:color="auto"/>
            <w:right w:val="none" w:sz="0" w:space="0" w:color="auto"/>
          </w:divBdr>
        </w:div>
        <w:div w:id="466356322">
          <w:marLeft w:val="0"/>
          <w:marRight w:val="0"/>
          <w:marTop w:val="0"/>
          <w:marBottom w:val="0"/>
          <w:divBdr>
            <w:top w:val="none" w:sz="0" w:space="0" w:color="auto"/>
            <w:left w:val="none" w:sz="0" w:space="0" w:color="auto"/>
            <w:bottom w:val="none" w:sz="0" w:space="0" w:color="auto"/>
            <w:right w:val="none" w:sz="0" w:space="0" w:color="auto"/>
          </w:divBdr>
        </w:div>
      </w:divsChild>
    </w:div>
    <w:div w:id="310720970">
      <w:bodyDiv w:val="1"/>
      <w:marLeft w:val="0"/>
      <w:marRight w:val="0"/>
      <w:marTop w:val="0"/>
      <w:marBottom w:val="0"/>
      <w:divBdr>
        <w:top w:val="none" w:sz="0" w:space="0" w:color="auto"/>
        <w:left w:val="none" w:sz="0" w:space="0" w:color="auto"/>
        <w:bottom w:val="none" w:sz="0" w:space="0" w:color="auto"/>
        <w:right w:val="none" w:sz="0" w:space="0" w:color="auto"/>
      </w:divBdr>
      <w:divsChild>
        <w:div w:id="1594244020">
          <w:marLeft w:val="0"/>
          <w:marRight w:val="0"/>
          <w:marTop w:val="0"/>
          <w:marBottom w:val="0"/>
          <w:divBdr>
            <w:top w:val="none" w:sz="0" w:space="0" w:color="auto"/>
            <w:left w:val="none" w:sz="0" w:space="0" w:color="auto"/>
            <w:bottom w:val="none" w:sz="0" w:space="0" w:color="auto"/>
            <w:right w:val="none" w:sz="0" w:space="0" w:color="auto"/>
          </w:divBdr>
        </w:div>
        <w:div w:id="1970083930">
          <w:marLeft w:val="0"/>
          <w:marRight w:val="0"/>
          <w:marTop w:val="0"/>
          <w:marBottom w:val="0"/>
          <w:divBdr>
            <w:top w:val="none" w:sz="0" w:space="0" w:color="auto"/>
            <w:left w:val="none" w:sz="0" w:space="0" w:color="auto"/>
            <w:bottom w:val="none" w:sz="0" w:space="0" w:color="auto"/>
            <w:right w:val="none" w:sz="0" w:space="0" w:color="auto"/>
          </w:divBdr>
        </w:div>
        <w:div w:id="1011488985">
          <w:marLeft w:val="0"/>
          <w:marRight w:val="0"/>
          <w:marTop w:val="0"/>
          <w:marBottom w:val="0"/>
          <w:divBdr>
            <w:top w:val="none" w:sz="0" w:space="0" w:color="auto"/>
            <w:left w:val="none" w:sz="0" w:space="0" w:color="auto"/>
            <w:bottom w:val="none" w:sz="0" w:space="0" w:color="auto"/>
            <w:right w:val="none" w:sz="0" w:space="0" w:color="auto"/>
          </w:divBdr>
        </w:div>
        <w:div w:id="1528835740">
          <w:marLeft w:val="0"/>
          <w:marRight w:val="0"/>
          <w:marTop w:val="0"/>
          <w:marBottom w:val="0"/>
          <w:divBdr>
            <w:top w:val="none" w:sz="0" w:space="0" w:color="auto"/>
            <w:left w:val="none" w:sz="0" w:space="0" w:color="auto"/>
            <w:bottom w:val="none" w:sz="0" w:space="0" w:color="auto"/>
            <w:right w:val="none" w:sz="0" w:space="0" w:color="auto"/>
          </w:divBdr>
        </w:div>
        <w:div w:id="657418082">
          <w:marLeft w:val="0"/>
          <w:marRight w:val="0"/>
          <w:marTop w:val="0"/>
          <w:marBottom w:val="0"/>
          <w:divBdr>
            <w:top w:val="none" w:sz="0" w:space="0" w:color="auto"/>
            <w:left w:val="none" w:sz="0" w:space="0" w:color="auto"/>
            <w:bottom w:val="none" w:sz="0" w:space="0" w:color="auto"/>
            <w:right w:val="none" w:sz="0" w:space="0" w:color="auto"/>
          </w:divBdr>
        </w:div>
        <w:div w:id="1123305705">
          <w:marLeft w:val="0"/>
          <w:marRight w:val="0"/>
          <w:marTop w:val="0"/>
          <w:marBottom w:val="0"/>
          <w:divBdr>
            <w:top w:val="none" w:sz="0" w:space="0" w:color="auto"/>
            <w:left w:val="none" w:sz="0" w:space="0" w:color="auto"/>
            <w:bottom w:val="none" w:sz="0" w:space="0" w:color="auto"/>
            <w:right w:val="none" w:sz="0" w:space="0" w:color="auto"/>
          </w:divBdr>
        </w:div>
        <w:div w:id="614946101">
          <w:marLeft w:val="0"/>
          <w:marRight w:val="0"/>
          <w:marTop w:val="0"/>
          <w:marBottom w:val="0"/>
          <w:divBdr>
            <w:top w:val="none" w:sz="0" w:space="0" w:color="auto"/>
            <w:left w:val="none" w:sz="0" w:space="0" w:color="auto"/>
            <w:bottom w:val="none" w:sz="0" w:space="0" w:color="auto"/>
            <w:right w:val="none" w:sz="0" w:space="0" w:color="auto"/>
          </w:divBdr>
        </w:div>
        <w:div w:id="2075278688">
          <w:marLeft w:val="0"/>
          <w:marRight w:val="0"/>
          <w:marTop w:val="0"/>
          <w:marBottom w:val="0"/>
          <w:divBdr>
            <w:top w:val="none" w:sz="0" w:space="0" w:color="auto"/>
            <w:left w:val="none" w:sz="0" w:space="0" w:color="auto"/>
            <w:bottom w:val="none" w:sz="0" w:space="0" w:color="auto"/>
            <w:right w:val="none" w:sz="0" w:space="0" w:color="auto"/>
          </w:divBdr>
        </w:div>
        <w:div w:id="728381845">
          <w:marLeft w:val="0"/>
          <w:marRight w:val="0"/>
          <w:marTop w:val="0"/>
          <w:marBottom w:val="0"/>
          <w:divBdr>
            <w:top w:val="none" w:sz="0" w:space="0" w:color="auto"/>
            <w:left w:val="none" w:sz="0" w:space="0" w:color="auto"/>
            <w:bottom w:val="none" w:sz="0" w:space="0" w:color="auto"/>
            <w:right w:val="none" w:sz="0" w:space="0" w:color="auto"/>
          </w:divBdr>
        </w:div>
        <w:div w:id="696081462">
          <w:marLeft w:val="0"/>
          <w:marRight w:val="0"/>
          <w:marTop w:val="0"/>
          <w:marBottom w:val="0"/>
          <w:divBdr>
            <w:top w:val="none" w:sz="0" w:space="0" w:color="auto"/>
            <w:left w:val="none" w:sz="0" w:space="0" w:color="auto"/>
            <w:bottom w:val="none" w:sz="0" w:space="0" w:color="auto"/>
            <w:right w:val="none" w:sz="0" w:space="0" w:color="auto"/>
          </w:divBdr>
        </w:div>
        <w:div w:id="682975530">
          <w:marLeft w:val="0"/>
          <w:marRight w:val="0"/>
          <w:marTop w:val="0"/>
          <w:marBottom w:val="0"/>
          <w:divBdr>
            <w:top w:val="none" w:sz="0" w:space="0" w:color="auto"/>
            <w:left w:val="none" w:sz="0" w:space="0" w:color="auto"/>
            <w:bottom w:val="none" w:sz="0" w:space="0" w:color="auto"/>
            <w:right w:val="none" w:sz="0" w:space="0" w:color="auto"/>
          </w:divBdr>
        </w:div>
        <w:div w:id="553153735">
          <w:marLeft w:val="0"/>
          <w:marRight w:val="0"/>
          <w:marTop w:val="0"/>
          <w:marBottom w:val="0"/>
          <w:divBdr>
            <w:top w:val="none" w:sz="0" w:space="0" w:color="auto"/>
            <w:left w:val="none" w:sz="0" w:space="0" w:color="auto"/>
            <w:bottom w:val="none" w:sz="0" w:space="0" w:color="auto"/>
            <w:right w:val="none" w:sz="0" w:space="0" w:color="auto"/>
          </w:divBdr>
        </w:div>
      </w:divsChild>
    </w:div>
    <w:div w:id="318383079">
      <w:bodyDiv w:val="1"/>
      <w:marLeft w:val="0"/>
      <w:marRight w:val="0"/>
      <w:marTop w:val="0"/>
      <w:marBottom w:val="0"/>
      <w:divBdr>
        <w:top w:val="none" w:sz="0" w:space="0" w:color="auto"/>
        <w:left w:val="none" w:sz="0" w:space="0" w:color="auto"/>
        <w:bottom w:val="none" w:sz="0" w:space="0" w:color="auto"/>
        <w:right w:val="none" w:sz="0" w:space="0" w:color="auto"/>
      </w:divBdr>
      <w:divsChild>
        <w:div w:id="727535208">
          <w:marLeft w:val="0"/>
          <w:marRight w:val="0"/>
          <w:marTop w:val="0"/>
          <w:marBottom w:val="0"/>
          <w:divBdr>
            <w:top w:val="none" w:sz="0" w:space="0" w:color="auto"/>
            <w:left w:val="none" w:sz="0" w:space="0" w:color="auto"/>
            <w:bottom w:val="none" w:sz="0" w:space="0" w:color="auto"/>
            <w:right w:val="none" w:sz="0" w:space="0" w:color="auto"/>
          </w:divBdr>
        </w:div>
        <w:div w:id="147406618">
          <w:marLeft w:val="0"/>
          <w:marRight w:val="0"/>
          <w:marTop w:val="0"/>
          <w:marBottom w:val="0"/>
          <w:divBdr>
            <w:top w:val="none" w:sz="0" w:space="0" w:color="auto"/>
            <w:left w:val="none" w:sz="0" w:space="0" w:color="auto"/>
            <w:bottom w:val="none" w:sz="0" w:space="0" w:color="auto"/>
            <w:right w:val="none" w:sz="0" w:space="0" w:color="auto"/>
          </w:divBdr>
        </w:div>
        <w:div w:id="1626808453">
          <w:marLeft w:val="0"/>
          <w:marRight w:val="0"/>
          <w:marTop w:val="0"/>
          <w:marBottom w:val="0"/>
          <w:divBdr>
            <w:top w:val="none" w:sz="0" w:space="0" w:color="auto"/>
            <w:left w:val="none" w:sz="0" w:space="0" w:color="auto"/>
            <w:bottom w:val="none" w:sz="0" w:space="0" w:color="auto"/>
            <w:right w:val="none" w:sz="0" w:space="0" w:color="auto"/>
          </w:divBdr>
        </w:div>
        <w:div w:id="639266470">
          <w:marLeft w:val="0"/>
          <w:marRight w:val="0"/>
          <w:marTop w:val="0"/>
          <w:marBottom w:val="0"/>
          <w:divBdr>
            <w:top w:val="none" w:sz="0" w:space="0" w:color="auto"/>
            <w:left w:val="none" w:sz="0" w:space="0" w:color="auto"/>
            <w:bottom w:val="none" w:sz="0" w:space="0" w:color="auto"/>
            <w:right w:val="none" w:sz="0" w:space="0" w:color="auto"/>
          </w:divBdr>
        </w:div>
        <w:div w:id="2045447387">
          <w:marLeft w:val="0"/>
          <w:marRight w:val="0"/>
          <w:marTop w:val="0"/>
          <w:marBottom w:val="0"/>
          <w:divBdr>
            <w:top w:val="none" w:sz="0" w:space="0" w:color="auto"/>
            <w:left w:val="none" w:sz="0" w:space="0" w:color="auto"/>
            <w:bottom w:val="none" w:sz="0" w:space="0" w:color="auto"/>
            <w:right w:val="none" w:sz="0" w:space="0" w:color="auto"/>
          </w:divBdr>
        </w:div>
        <w:div w:id="1206719352">
          <w:marLeft w:val="0"/>
          <w:marRight w:val="0"/>
          <w:marTop w:val="0"/>
          <w:marBottom w:val="0"/>
          <w:divBdr>
            <w:top w:val="none" w:sz="0" w:space="0" w:color="auto"/>
            <w:left w:val="none" w:sz="0" w:space="0" w:color="auto"/>
            <w:bottom w:val="none" w:sz="0" w:space="0" w:color="auto"/>
            <w:right w:val="none" w:sz="0" w:space="0" w:color="auto"/>
          </w:divBdr>
        </w:div>
        <w:div w:id="1659383191">
          <w:marLeft w:val="0"/>
          <w:marRight w:val="0"/>
          <w:marTop w:val="0"/>
          <w:marBottom w:val="0"/>
          <w:divBdr>
            <w:top w:val="none" w:sz="0" w:space="0" w:color="auto"/>
            <w:left w:val="none" w:sz="0" w:space="0" w:color="auto"/>
            <w:bottom w:val="none" w:sz="0" w:space="0" w:color="auto"/>
            <w:right w:val="none" w:sz="0" w:space="0" w:color="auto"/>
          </w:divBdr>
        </w:div>
      </w:divsChild>
    </w:div>
    <w:div w:id="349649300">
      <w:bodyDiv w:val="1"/>
      <w:marLeft w:val="0"/>
      <w:marRight w:val="0"/>
      <w:marTop w:val="0"/>
      <w:marBottom w:val="0"/>
      <w:divBdr>
        <w:top w:val="none" w:sz="0" w:space="0" w:color="auto"/>
        <w:left w:val="none" w:sz="0" w:space="0" w:color="auto"/>
        <w:bottom w:val="none" w:sz="0" w:space="0" w:color="auto"/>
        <w:right w:val="none" w:sz="0" w:space="0" w:color="auto"/>
      </w:divBdr>
    </w:div>
    <w:div w:id="364791733">
      <w:bodyDiv w:val="1"/>
      <w:marLeft w:val="0"/>
      <w:marRight w:val="0"/>
      <w:marTop w:val="0"/>
      <w:marBottom w:val="0"/>
      <w:divBdr>
        <w:top w:val="none" w:sz="0" w:space="0" w:color="auto"/>
        <w:left w:val="none" w:sz="0" w:space="0" w:color="auto"/>
        <w:bottom w:val="none" w:sz="0" w:space="0" w:color="auto"/>
        <w:right w:val="none" w:sz="0" w:space="0" w:color="auto"/>
      </w:divBdr>
      <w:divsChild>
        <w:div w:id="95028101">
          <w:marLeft w:val="0"/>
          <w:marRight w:val="0"/>
          <w:marTop w:val="0"/>
          <w:marBottom w:val="0"/>
          <w:divBdr>
            <w:top w:val="none" w:sz="0" w:space="0" w:color="auto"/>
            <w:left w:val="none" w:sz="0" w:space="0" w:color="auto"/>
            <w:bottom w:val="none" w:sz="0" w:space="0" w:color="auto"/>
            <w:right w:val="none" w:sz="0" w:space="0" w:color="auto"/>
          </w:divBdr>
        </w:div>
        <w:div w:id="158008508">
          <w:marLeft w:val="0"/>
          <w:marRight w:val="0"/>
          <w:marTop w:val="0"/>
          <w:marBottom w:val="0"/>
          <w:divBdr>
            <w:top w:val="none" w:sz="0" w:space="0" w:color="auto"/>
            <w:left w:val="none" w:sz="0" w:space="0" w:color="auto"/>
            <w:bottom w:val="none" w:sz="0" w:space="0" w:color="auto"/>
            <w:right w:val="none" w:sz="0" w:space="0" w:color="auto"/>
          </w:divBdr>
        </w:div>
        <w:div w:id="486672736">
          <w:marLeft w:val="0"/>
          <w:marRight w:val="0"/>
          <w:marTop w:val="0"/>
          <w:marBottom w:val="0"/>
          <w:divBdr>
            <w:top w:val="none" w:sz="0" w:space="0" w:color="auto"/>
            <w:left w:val="none" w:sz="0" w:space="0" w:color="auto"/>
            <w:bottom w:val="none" w:sz="0" w:space="0" w:color="auto"/>
            <w:right w:val="none" w:sz="0" w:space="0" w:color="auto"/>
          </w:divBdr>
        </w:div>
        <w:div w:id="921259108">
          <w:marLeft w:val="0"/>
          <w:marRight w:val="0"/>
          <w:marTop w:val="0"/>
          <w:marBottom w:val="0"/>
          <w:divBdr>
            <w:top w:val="none" w:sz="0" w:space="0" w:color="auto"/>
            <w:left w:val="none" w:sz="0" w:space="0" w:color="auto"/>
            <w:bottom w:val="none" w:sz="0" w:space="0" w:color="auto"/>
            <w:right w:val="none" w:sz="0" w:space="0" w:color="auto"/>
          </w:divBdr>
        </w:div>
        <w:div w:id="906039875">
          <w:marLeft w:val="0"/>
          <w:marRight w:val="0"/>
          <w:marTop w:val="0"/>
          <w:marBottom w:val="0"/>
          <w:divBdr>
            <w:top w:val="none" w:sz="0" w:space="0" w:color="auto"/>
            <w:left w:val="none" w:sz="0" w:space="0" w:color="auto"/>
            <w:bottom w:val="none" w:sz="0" w:space="0" w:color="auto"/>
            <w:right w:val="none" w:sz="0" w:space="0" w:color="auto"/>
          </w:divBdr>
        </w:div>
      </w:divsChild>
    </w:div>
    <w:div w:id="402022162">
      <w:bodyDiv w:val="1"/>
      <w:marLeft w:val="0"/>
      <w:marRight w:val="0"/>
      <w:marTop w:val="0"/>
      <w:marBottom w:val="0"/>
      <w:divBdr>
        <w:top w:val="none" w:sz="0" w:space="0" w:color="auto"/>
        <w:left w:val="none" w:sz="0" w:space="0" w:color="auto"/>
        <w:bottom w:val="none" w:sz="0" w:space="0" w:color="auto"/>
        <w:right w:val="none" w:sz="0" w:space="0" w:color="auto"/>
      </w:divBdr>
      <w:divsChild>
        <w:div w:id="1746685682">
          <w:marLeft w:val="0"/>
          <w:marRight w:val="0"/>
          <w:marTop w:val="0"/>
          <w:marBottom w:val="0"/>
          <w:divBdr>
            <w:top w:val="none" w:sz="0" w:space="0" w:color="auto"/>
            <w:left w:val="none" w:sz="0" w:space="0" w:color="auto"/>
            <w:bottom w:val="none" w:sz="0" w:space="0" w:color="auto"/>
            <w:right w:val="none" w:sz="0" w:space="0" w:color="auto"/>
          </w:divBdr>
        </w:div>
        <w:div w:id="835656737">
          <w:marLeft w:val="0"/>
          <w:marRight w:val="0"/>
          <w:marTop w:val="0"/>
          <w:marBottom w:val="0"/>
          <w:divBdr>
            <w:top w:val="none" w:sz="0" w:space="0" w:color="auto"/>
            <w:left w:val="none" w:sz="0" w:space="0" w:color="auto"/>
            <w:bottom w:val="none" w:sz="0" w:space="0" w:color="auto"/>
            <w:right w:val="none" w:sz="0" w:space="0" w:color="auto"/>
          </w:divBdr>
        </w:div>
        <w:div w:id="463350598">
          <w:marLeft w:val="0"/>
          <w:marRight w:val="0"/>
          <w:marTop w:val="0"/>
          <w:marBottom w:val="0"/>
          <w:divBdr>
            <w:top w:val="none" w:sz="0" w:space="0" w:color="auto"/>
            <w:left w:val="none" w:sz="0" w:space="0" w:color="auto"/>
            <w:bottom w:val="none" w:sz="0" w:space="0" w:color="auto"/>
            <w:right w:val="none" w:sz="0" w:space="0" w:color="auto"/>
          </w:divBdr>
        </w:div>
        <w:div w:id="797408762">
          <w:marLeft w:val="0"/>
          <w:marRight w:val="0"/>
          <w:marTop w:val="0"/>
          <w:marBottom w:val="0"/>
          <w:divBdr>
            <w:top w:val="none" w:sz="0" w:space="0" w:color="auto"/>
            <w:left w:val="none" w:sz="0" w:space="0" w:color="auto"/>
            <w:bottom w:val="none" w:sz="0" w:space="0" w:color="auto"/>
            <w:right w:val="none" w:sz="0" w:space="0" w:color="auto"/>
          </w:divBdr>
        </w:div>
        <w:div w:id="187332329">
          <w:marLeft w:val="0"/>
          <w:marRight w:val="0"/>
          <w:marTop w:val="0"/>
          <w:marBottom w:val="0"/>
          <w:divBdr>
            <w:top w:val="none" w:sz="0" w:space="0" w:color="auto"/>
            <w:left w:val="none" w:sz="0" w:space="0" w:color="auto"/>
            <w:bottom w:val="none" w:sz="0" w:space="0" w:color="auto"/>
            <w:right w:val="none" w:sz="0" w:space="0" w:color="auto"/>
          </w:divBdr>
        </w:div>
        <w:div w:id="1717242808">
          <w:marLeft w:val="0"/>
          <w:marRight w:val="0"/>
          <w:marTop w:val="0"/>
          <w:marBottom w:val="0"/>
          <w:divBdr>
            <w:top w:val="none" w:sz="0" w:space="0" w:color="auto"/>
            <w:left w:val="none" w:sz="0" w:space="0" w:color="auto"/>
            <w:bottom w:val="none" w:sz="0" w:space="0" w:color="auto"/>
            <w:right w:val="none" w:sz="0" w:space="0" w:color="auto"/>
          </w:divBdr>
        </w:div>
        <w:div w:id="414591237">
          <w:marLeft w:val="0"/>
          <w:marRight w:val="0"/>
          <w:marTop w:val="0"/>
          <w:marBottom w:val="0"/>
          <w:divBdr>
            <w:top w:val="none" w:sz="0" w:space="0" w:color="auto"/>
            <w:left w:val="none" w:sz="0" w:space="0" w:color="auto"/>
            <w:bottom w:val="none" w:sz="0" w:space="0" w:color="auto"/>
            <w:right w:val="none" w:sz="0" w:space="0" w:color="auto"/>
          </w:divBdr>
        </w:div>
        <w:div w:id="905798020">
          <w:marLeft w:val="0"/>
          <w:marRight w:val="0"/>
          <w:marTop w:val="0"/>
          <w:marBottom w:val="0"/>
          <w:divBdr>
            <w:top w:val="none" w:sz="0" w:space="0" w:color="auto"/>
            <w:left w:val="none" w:sz="0" w:space="0" w:color="auto"/>
            <w:bottom w:val="none" w:sz="0" w:space="0" w:color="auto"/>
            <w:right w:val="none" w:sz="0" w:space="0" w:color="auto"/>
          </w:divBdr>
        </w:div>
      </w:divsChild>
    </w:div>
    <w:div w:id="410394610">
      <w:bodyDiv w:val="1"/>
      <w:marLeft w:val="0"/>
      <w:marRight w:val="0"/>
      <w:marTop w:val="0"/>
      <w:marBottom w:val="0"/>
      <w:divBdr>
        <w:top w:val="none" w:sz="0" w:space="0" w:color="auto"/>
        <w:left w:val="none" w:sz="0" w:space="0" w:color="auto"/>
        <w:bottom w:val="none" w:sz="0" w:space="0" w:color="auto"/>
        <w:right w:val="none" w:sz="0" w:space="0" w:color="auto"/>
      </w:divBdr>
      <w:divsChild>
        <w:div w:id="978000259">
          <w:marLeft w:val="0"/>
          <w:marRight w:val="0"/>
          <w:marTop w:val="0"/>
          <w:marBottom w:val="0"/>
          <w:divBdr>
            <w:top w:val="none" w:sz="0" w:space="0" w:color="auto"/>
            <w:left w:val="none" w:sz="0" w:space="0" w:color="auto"/>
            <w:bottom w:val="none" w:sz="0" w:space="0" w:color="auto"/>
            <w:right w:val="none" w:sz="0" w:space="0" w:color="auto"/>
          </w:divBdr>
        </w:div>
        <w:div w:id="1459565027">
          <w:marLeft w:val="0"/>
          <w:marRight w:val="0"/>
          <w:marTop w:val="0"/>
          <w:marBottom w:val="0"/>
          <w:divBdr>
            <w:top w:val="none" w:sz="0" w:space="0" w:color="auto"/>
            <w:left w:val="none" w:sz="0" w:space="0" w:color="auto"/>
            <w:bottom w:val="none" w:sz="0" w:space="0" w:color="auto"/>
            <w:right w:val="none" w:sz="0" w:space="0" w:color="auto"/>
          </w:divBdr>
        </w:div>
        <w:div w:id="1488933037">
          <w:marLeft w:val="0"/>
          <w:marRight w:val="0"/>
          <w:marTop w:val="0"/>
          <w:marBottom w:val="0"/>
          <w:divBdr>
            <w:top w:val="none" w:sz="0" w:space="0" w:color="auto"/>
            <w:left w:val="none" w:sz="0" w:space="0" w:color="auto"/>
            <w:bottom w:val="none" w:sz="0" w:space="0" w:color="auto"/>
            <w:right w:val="none" w:sz="0" w:space="0" w:color="auto"/>
          </w:divBdr>
        </w:div>
      </w:divsChild>
    </w:div>
    <w:div w:id="415248140">
      <w:bodyDiv w:val="1"/>
      <w:marLeft w:val="0"/>
      <w:marRight w:val="0"/>
      <w:marTop w:val="0"/>
      <w:marBottom w:val="0"/>
      <w:divBdr>
        <w:top w:val="none" w:sz="0" w:space="0" w:color="auto"/>
        <w:left w:val="none" w:sz="0" w:space="0" w:color="auto"/>
        <w:bottom w:val="none" w:sz="0" w:space="0" w:color="auto"/>
        <w:right w:val="none" w:sz="0" w:space="0" w:color="auto"/>
      </w:divBdr>
      <w:divsChild>
        <w:div w:id="1733656455">
          <w:marLeft w:val="0"/>
          <w:marRight w:val="0"/>
          <w:marTop w:val="0"/>
          <w:marBottom w:val="0"/>
          <w:divBdr>
            <w:top w:val="none" w:sz="0" w:space="0" w:color="auto"/>
            <w:left w:val="none" w:sz="0" w:space="0" w:color="auto"/>
            <w:bottom w:val="none" w:sz="0" w:space="0" w:color="auto"/>
            <w:right w:val="none" w:sz="0" w:space="0" w:color="auto"/>
          </w:divBdr>
        </w:div>
        <w:div w:id="108202613">
          <w:marLeft w:val="0"/>
          <w:marRight w:val="0"/>
          <w:marTop w:val="0"/>
          <w:marBottom w:val="0"/>
          <w:divBdr>
            <w:top w:val="none" w:sz="0" w:space="0" w:color="auto"/>
            <w:left w:val="none" w:sz="0" w:space="0" w:color="auto"/>
            <w:bottom w:val="none" w:sz="0" w:space="0" w:color="auto"/>
            <w:right w:val="none" w:sz="0" w:space="0" w:color="auto"/>
          </w:divBdr>
        </w:div>
        <w:div w:id="721097507">
          <w:marLeft w:val="0"/>
          <w:marRight w:val="0"/>
          <w:marTop w:val="0"/>
          <w:marBottom w:val="0"/>
          <w:divBdr>
            <w:top w:val="none" w:sz="0" w:space="0" w:color="auto"/>
            <w:left w:val="none" w:sz="0" w:space="0" w:color="auto"/>
            <w:bottom w:val="none" w:sz="0" w:space="0" w:color="auto"/>
            <w:right w:val="none" w:sz="0" w:space="0" w:color="auto"/>
          </w:divBdr>
        </w:div>
        <w:div w:id="1127507089">
          <w:marLeft w:val="0"/>
          <w:marRight w:val="0"/>
          <w:marTop w:val="0"/>
          <w:marBottom w:val="0"/>
          <w:divBdr>
            <w:top w:val="none" w:sz="0" w:space="0" w:color="auto"/>
            <w:left w:val="none" w:sz="0" w:space="0" w:color="auto"/>
            <w:bottom w:val="none" w:sz="0" w:space="0" w:color="auto"/>
            <w:right w:val="none" w:sz="0" w:space="0" w:color="auto"/>
          </w:divBdr>
        </w:div>
        <w:div w:id="818427272">
          <w:marLeft w:val="0"/>
          <w:marRight w:val="0"/>
          <w:marTop w:val="0"/>
          <w:marBottom w:val="0"/>
          <w:divBdr>
            <w:top w:val="none" w:sz="0" w:space="0" w:color="auto"/>
            <w:left w:val="none" w:sz="0" w:space="0" w:color="auto"/>
            <w:bottom w:val="none" w:sz="0" w:space="0" w:color="auto"/>
            <w:right w:val="none" w:sz="0" w:space="0" w:color="auto"/>
          </w:divBdr>
        </w:div>
        <w:div w:id="1255436224">
          <w:marLeft w:val="0"/>
          <w:marRight w:val="0"/>
          <w:marTop w:val="0"/>
          <w:marBottom w:val="0"/>
          <w:divBdr>
            <w:top w:val="none" w:sz="0" w:space="0" w:color="auto"/>
            <w:left w:val="none" w:sz="0" w:space="0" w:color="auto"/>
            <w:bottom w:val="none" w:sz="0" w:space="0" w:color="auto"/>
            <w:right w:val="none" w:sz="0" w:space="0" w:color="auto"/>
          </w:divBdr>
        </w:div>
        <w:div w:id="1094597591">
          <w:marLeft w:val="0"/>
          <w:marRight w:val="0"/>
          <w:marTop w:val="0"/>
          <w:marBottom w:val="0"/>
          <w:divBdr>
            <w:top w:val="none" w:sz="0" w:space="0" w:color="auto"/>
            <w:left w:val="none" w:sz="0" w:space="0" w:color="auto"/>
            <w:bottom w:val="none" w:sz="0" w:space="0" w:color="auto"/>
            <w:right w:val="none" w:sz="0" w:space="0" w:color="auto"/>
          </w:divBdr>
        </w:div>
        <w:div w:id="795950650">
          <w:marLeft w:val="0"/>
          <w:marRight w:val="0"/>
          <w:marTop w:val="0"/>
          <w:marBottom w:val="0"/>
          <w:divBdr>
            <w:top w:val="none" w:sz="0" w:space="0" w:color="auto"/>
            <w:left w:val="none" w:sz="0" w:space="0" w:color="auto"/>
            <w:bottom w:val="none" w:sz="0" w:space="0" w:color="auto"/>
            <w:right w:val="none" w:sz="0" w:space="0" w:color="auto"/>
          </w:divBdr>
        </w:div>
        <w:div w:id="1050230921">
          <w:marLeft w:val="0"/>
          <w:marRight w:val="0"/>
          <w:marTop w:val="0"/>
          <w:marBottom w:val="0"/>
          <w:divBdr>
            <w:top w:val="none" w:sz="0" w:space="0" w:color="auto"/>
            <w:left w:val="none" w:sz="0" w:space="0" w:color="auto"/>
            <w:bottom w:val="none" w:sz="0" w:space="0" w:color="auto"/>
            <w:right w:val="none" w:sz="0" w:space="0" w:color="auto"/>
          </w:divBdr>
        </w:div>
        <w:div w:id="1508135300">
          <w:marLeft w:val="0"/>
          <w:marRight w:val="0"/>
          <w:marTop w:val="0"/>
          <w:marBottom w:val="0"/>
          <w:divBdr>
            <w:top w:val="none" w:sz="0" w:space="0" w:color="auto"/>
            <w:left w:val="none" w:sz="0" w:space="0" w:color="auto"/>
            <w:bottom w:val="none" w:sz="0" w:space="0" w:color="auto"/>
            <w:right w:val="none" w:sz="0" w:space="0" w:color="auto"/>
          </w:divBdr>
        </w:div>
        <w:div w:id="1602835099">
          <w:marLeft w:val="0"/>
          <w:marRight w:val="0"/>
          <w:marTop w:val="0"/>
          <w:marBottom w:val="0"/>
          <w:divBdr>
            <w:top w:val="none" w:sz="0" w:space="0" w:color="auto"/>
            <w:left w:val="none" w:sz="0" w:space="0" w:color="auto"/>
            <w:bottom w:val="none" w:sz="0" w:space="0" w:color="auto"/>
            <w:right w:val="none" w:sz="0" w:space="0" w:color="auto"/>
          </w:divBdr>
        </w:div>
        <w:div w:id="793522849">
          <w:marLeft w:val="0"/>
          <w:marRight w:val="0"/>
          <w:marTop w:val="0"/>
          <w:marBottom w:val="0"/>
          <w:divBdr>
            <w:top w:val="none" w:sz="0" w:space="0" w:color="auto"/>
            <w:left w:val="none" w:sz="0" w:space="0" w:color="auto"/>
            <w:bottom w:val="none" w:sz="0" w:space="0" w:color="auto"/>
            <w:right w:val="none" w:sz="0" w:space="0" w:color="auto"/>
          </w:divBdr>
        </w:div>
        <w:div w:id="1828128272">
          <w:marLeft w:val="0"/>
          <w:marRight w:val="0"/>
          <w:marTop w:val="0"/>
          <w:marBottom w:val="0"/>
          <w:divBdr>
            <w:top w:val="none" w:sz="0" w:space="0" w:color="auto"/>
            <w:left w:val="none" w:sz="0" w:space="0" w:color="auto"/>
            <w:bottom w:val="none" w:sz="0" w:space="0" w:color="auto"/>
            <w:right w:val="none" w:sz="0" w:space="0" w:color="auto"/>
          </w:divBdr>
        </w:div>
      </w:divsChild>
    </w:div>
    <w:div w:id="440303337">
      <w:bodyDiv w:val="1"/>
      <w:marLeft w:val="0"/>
      <w:marRight w:val="0"/>
      <w:marTop w:val="0"/>
      <w:marBottom w:val="0"/>
      <w:divBdr>
        <w:top w:val="none" w:sz="0" w:space="0" w:color="auto"/>
        <w:left w:val="none" w:sz="0" w:space="0" w:color="auto"/>
        <w:bottom w:val="none" w:sz="0" w:space="0" w:color="auto"/>
        <w:right w:val="none" w:sz="0" w:space="0" w:color="auto"/>
      </w:divBdr>
    </w:div>
    <w:div w:id="455947884">
      <w:bodyDiv w:val="1"/>
      <w:marLeft w:val="0"/>
      <w:marRight w:val="0"/>
      <w:marTop w:val="0"/>
      <w:marBottom w:val="0"/>
      <w:divBdr>
        <w:top w:val="none" w:sz="0" w:space="0" w:color="auto"/>
        <w:left w:val="none" w:sz="0" w:space="0" w:color="auto"/>
        <w:bottom w:val="none" w:sz="0" w:space="0" w:color="auto"/>
        <w:right w:val="none" w:sz="0" w:space="0" w:color="auto"/>
      </w:divBdr>
    </w:div>
    <w:div w:id="531574295">
      <w:bodyDiv w:val="1"/>
      <w:marLeft w:val="0"/>
      <w:marRight w:val="0"/>
      <w:marTop w:val="0"/>
      <w:marBottom w:val="0"/>
      <w:divBdr>
        <w:top w:val="none" w:sz="0" w:space="0" w:color="auto"/>
        <w:left w:val="none" w:sz="0" w:space="0" w:color="auto"/>
        <w:bottom w:val="none" w:sz="0" w:space="0" w:color="auto"/>
        <w:right w:val="none" w:sz="0" w:space="0" w:color="auto"/>
      </w:divBdr>
    </w:div>
    <w:div w:id="554975074">
      <w:bodyDiv w:val="1"/>
      <w:marLeft w:val="0"/>
      <w:marRight w:val="0"/>
      <w:marTop w:val="0"/>
      <w:marBottom w:val="0"/>
      <w:divBdr>
        <w:top w:val="none" w:sz="0" w:space="0" w:color="auto"/>
        <w:left w:val="none" w:sz="0" w:space="0" w:color="auto"/>
        <w:bottom w:val="none" w:sz="0" w:space="0" w:color="auto"/>
        <w:right w:val="none" w:sz="0" w:space="0" w:color="auto"/>
      </w:divBdr>
      <w:divsChild>
        <w:div w:id="1984506820">
          <w:marLeft w:val="0"/>
          <w:marRight w:val="0"/>
          <w:marTop w:val="0"/>
          <w:marBottom w:val="0"/>
          <w:divBdr>
            <w:top w:val="none" w:sz="0" w:space="0" w:color="auto"/>
            <w:left w:val="none" w:sz="0" w:space="0" w:color="auto"/>
            <w:bottom w:val="none" w:sz="0" w:space="0" w:color="auto"/>
            <w:right w:val="none" w:sz="0" w:space="0" w:color="auto"/>
          </w:divBdr>
          <w:divsChild>
            <w:div w:id="1135179364">
              <w:marLeft w:val="0"/>
              <w:marRight w:val="0"/>
              <w:marTop w:val="0"/>
              <w:marBottom w:val="0"/>
              <w:divBdr>
                <w:top w:val="none" w:sz="0" w:space="0" w:color="auto"/>
                <w:left w:val="none" w:sz="0" w:space="0" w:color="auto"/>
                <w:bottom w:val="none" w:sz="0" w:space="0" w:color="auto"/>
                <w:right w:val="none" w:sz="0" w:space="0" w:color="auto"/>
              </w:divBdr>
              <w:divsChild>
                <w:div w:id="8777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7495">
      <w:bodyDiv w:val="1"/>
      <w:marLeft w:val="0"/>
      <w:marRight w:val="0"/>
      <w:marTop w:val="0"/>
      <w:marBottom w:val="0"/>
      <w:divBdr>
        <w:top w:val="none" w:sz="0" w:space="0" w:color="auto"/>
        <w:left w:val="none" w:sz="0" w:space="0" w:color="auto"/>
        <w:bottom w:val="none" w:sz="0" w:space="0" w:color="auto"/>
        <w:right w:val="none" w:sz="0" w:space="0" w:color="auto"/>
      </w:divBdr>
      <w:divsChild>
        <w:div w:id="545608482">
          <w:marLeft w:val="0"/>
          <w:marRight w:val="0"/>
          <w:marTop w:val="0"/>
          <w:marBottom w:val="0"/>
          <w:divBdr>
            <w:top w:val="none" w:sz="0" w:space="0" w:color="auto"/>
            <w:left w:val="none" w:sz="0" w:space="0" w:color="auto"/>
            <w:bottom w:val="none" w:sz="0" w:space="0" w:color="auto"/>
            <w:right w:val="none" w:sz="0" w:space="0" w:color="auto"/>
          </w:divBdr>
        </w:div>
        <w:div w:id="1667316876">
          <w:marLeft w:val="0"/>
          <w:marRight w:val="0"/>
          <w:marTop w:val="0"/>
          <w:marBottom w:val="0"/>
          <w:divBdr>
            <w:top w:val="none" w:sz="0" w:space="0" w:color="auto"/>
            <w:left w:val="none" w:sz="0" w:space="0" w:color="auto"/>
            <w:bottom w:val="none" w:sz="0" w:space="0" w:color="auto"/>
            <w:right w:val="none" w:sz="0" w:space="0" w:color="auto"/>
          </w:divBdr>
        </w:div>
        <w:div w:id="1902790061">
          <w:marLeft w:val="0"/>
          <w:marRight w:val="0"/>
          <w:marTop w:val="0"/>
          <w:marBottom w:val="0"/>
          <w:divBdr>
            <w:top w:val="none" w:sz="0" w:space="0" w:color="auto"/>
            <w:left w:val="none" w:sz="0" w:space="0" w:color="auto"/>
            <w:bottom w:val="none" w:sz="0" w:space="0" w:color="auto"/>
            <w:right w:val="none" w:sz="0" w:space="0" w:color="auto"/>
          </w:divBdr>
        </w:div>
        <w:div w:id="322969399">
          <w:marLeft w:val="0"/>
          <w:marRight w:val="0"/>
          <w:marTop w:val="0"/>
          <w:marBottom w:val="0"/>
          <w:divBdr>
            <w:top w:val="none" w:sz="0" w:space="0" w:color="auto"/>
            <w:left w:val="none" w:sz="0" w:space="0" w:color="auto"/>
            <w:bottom w:val="none" w:sz="0" w:space="0" w:color="auto"/>
            <w:right w:val="none" w:sz="0" w:space="0" w:color="auto"/>
          </w:divBdr>
        </w:div>
      </w:divsChild>
    </w:div>
    <w:div w:id="560405051">
      <w:bodyDiv w:val="1"/>
      <w:marLeft w:val="0"/>
      <w:marRight w:val="0"/>
      <w:marTop w:val="0"/>
      <w:marBottom w:val="0"/>
      <w:divBdr>
        <w:top w:val="none" w:sz="0" w:space="0" w:color="auto"/>
        <w:left w:val="none" w:sz="0" w:space="0" w:color="auto"/>
        <w:bottom w:val="none" w:sz="0" w:space="0" w:color="auto"/>
        <w:right w:val="none" w:sz="0" w:space="0" w:color="auto"/>
      </w:divBdr>
      <w:divsChild>
        <w:div w:id="548035937">
          <w:marLeft w:val="0"/>
          <w:marRight w:val="0"/>
          <w:marTop w:val="0"/>
          <w:marBottom w:val="0"/>
          <w:divBdr>
            <w:top w:val="none" w:sz="0" w:space="0" w:color="auto"/>
            <w:left w:val="none" w:sz="0" w:space="0" w:color="auto"/>
            <w:bottom w:val="none" w:sz="0" w:space="0" w:color="auto"/>
            <w:right w:val="none" w:sz="0" w:space="0" w:color="auto"/>
          </w:divBdr>
        </w:div>
        <w:div w:id="1938709068">
          <w:marLeft w:val="0"/>
          <w:marRight w:val="0"/>
          <w:marTop w:val="0"/>
          <w:marBottom w:val="0"/>
          <w:divBdr>
            <w:top w:val="none" w:sz="0" w:space="0" w:color="auto"/>
            <w:left w:val="none" w:sz="0" w:space="0" w:color="auto"/>
            <w:bottom w:val="none" w:sz="0" w:space="0" w:color="auto"/>
            <w:right w:val="none" w:sz="0" w:space="0" w:color="auto"/>
          </w:divBdr>
        </w:div>
        <w:div w:id="930351561">
          <w:marLeft w:val="0"/>
          <w:marRight w:val="0"/>
          <w:marTop w:val="0"/>
          <w:marBottom w:val="0"/>
          <w:divBdr>
            <w:top w:val="none" w:sz="0" w:space="0" w:color="auto"/>
            <w:left w:val="none" w:sz="0" w:space="0" w:color="auto"/>
            <w:bottom w:val="none" w:sz="0" w:space="0" w:color="auto"/>
            <w:right w:val="none" w:sz="0" w:space="0" w:color="auto"/>
          </w:divBdr>
        </w:div>
        <w:div w:id="1691299632">
          <w:marLeft w:val="0"/>
          <w:marRight w:val="0"/>
          <w:marTop w:val="0"/>
          <w:marBottom w:val="0"/>
          <w:divBdr>
            <w:top w:val="none" w:sz="0" w:space="0" w:color="auto"/>
            <w:left w:val="none" w:sz="0" w:space="0" w:color="auto"/>
            <w:bottom w:val="none" w:sz="0" w:space="0" w:color="auto"/>
            <w:right w:val="none" w:sz="0" w:space="0" w:color="auto"/>
          </w:divBdr>
        </w:div>
        <w:div w:id="1330251631">
          <w:marLeft w:val="0"/>
          <w:marRight w:val="0"/>
          <w:marTop w:val="0"/>
          <w:marBottom w:val="0"/>
          <w:divBdr>
            <w:top w:val="none" w:sz="0" w:space="0" w:color="auto"/>
            <w:left w:val="none" w:sz="0" w:space="0" w:color="auto"/>
            <w:bottom w:val="none" w:sz="0" w:space="0" w:color="auto"/>
            <w:right w:val="none" w:sz="0" w:space="0" w:color="auto"/>
          </w:divBdr>
        </w:div>
        <w:div w:id="740103850">
          <w:marLeft w:val="0"/>
          <w:marRight w:val="0"/>
          <w:marTop w:val="0"/>
          <w:marBottom w:val="0"/>
          <w:divBdr>
            <w:top w:val="none" w:sz="0" w:space="0" w:color="auto"/>
            <w:left w:val="none" w:sz="0" w:space="0" w:color="auto"/>
            <w:bottom w:val="none" w:sz="0" w:space="0" w:color="auto"/>
            <w:right w:val="none" w:sz="0" w:space="0" w:color="auto"/>
          </w:divBdr>
        </w:div>
        <w:div w:id="110168753">
          <w:marLeft w:val="0"/>
          <w:marRight w:val="0"/>
          <w:marTop w:val="0"/>
          <w:marBottom w:val="0"/>
          <w:divBdr>
            <w:top w:val="none" w:sz="0" w:space="0" w:color="auto"/>
            <w:left w:val="none" w:sz="0" w:space="0" w:color="auto"/>
            <w:bottom w:val="none" w:sz="0" w:space="0" w:color="auto"/>
            <w:right w:val="none" w:sz="0" w:space="0" w:color="auto"/>
          </w:divBdr>
        </w:div>
        <w:div w:id="852493577">
          <w:marLeft w:val="0"/>
          <w:marRight w:val="0"/>
          <w:marTop w:val="0"/>
          <w:marBottom w:val="0"/>
          <w:divBdr>
            <w:top w:val="none" w:sz="0" w:space="0" w:color="auto"/>
            <w:left w:val="none" w:sz="0" w:space="0" w:color="auto"/>
            <w:bottom w:val="none" w:sz="0" w:space="0" w:color="auto"/>
            <w:right w:val="none" w:sz="0" w:space="0" w:color="auto"/>
          </w:divBdr>
        </w:div>
        <w:div w:id="717821462">
          <w:marLeft w:val="0"/>
          <w:marRight w:val="0"/>
          <w:marTop w:val="0"/>
          <w:marBottom w:val="0"/>
          <w:divBdr>
            <w:top w:val="none" w:sz="0" w:space="0" w:color="auto"/>
            <w:left w:val="none" w:sz="0" w:space="0" w:color="auto"/>
            <w:bottom w:val="none" w:sz="0" w:space="0" w:color="auto"/>
            <w:right w:val="none" w:sz="0" w:space="0" w:color="auto"/>
          </w:divBdr>
        </w:div>
        <w:div w:id="1456174272">
          <w:marLeft w:val="0"/>
          <w:marRight w:val="0"/>
          <w:marTop w:val="0"/>
          <w:marBottom w:val="0"/>
          <w:divBdr>
            <w:top w:val="none" w:sz="0" w:space="0" w:color="auto"/>
            <w:left w:val="none" w:sz="0" w:space="0" w:color="auto"/>
            <w:bottom w:val="none" w:sz="0" w:space="0" w:color="auto"/>
            <w:right w:val="none" w:sz="0" w:space="0" w:color="auto"/>
          </w:divBdr>
        </w:div>
        <w:div w:id="168258925">
          <w:marLeft w:val="0"/>
          <w:marRight w:val="0"/>
          <w:marTop w:val="0"/>
          <w:marBottom w:val="0"/>
          <w:divBdr>
            <w:top w:val="none" w:sz="0" w:space="0" w:color="auto"/>
            <w:left w:val="none" w:sz="0" w:space="0" w:color="auto"/>
            <w:bottom w:val="none" w:sz="0" w:space="0" w:color="auto"/>
            <w:right w:val="none" w:sz="0" w:space="0" w:color="auto"/>
          </w:divBdr>
        </w:div>
      </w:divsChild>
    </w:div>
    <w:div w:id="572395646">
      <w:bodyDiv w:val="1"/>
      <w:marLeft w:val="0"/>
      <w:marRight w:val="0"/>
      <w:marTop w:val="0"/>
      <w:marBottom w:val="0"/>
      <w:divBdr>
        <w:top w:val="none" w:sz="0" w:space="0" w:color="auto"/>
        <w:left w:val="none" w:sz="0" w:space="0" w:color="auto"/>
        <w:bottom w:val="none" w:sz="0" w:space="0" w:color="auto"/>
        <w:right w:val="none" w:sz="0" w:space="0" w:color="auto"/>
      </w:divBdr>
      <w:divsChild>
        <w:div w:id="1921333934">
          <w:marLeft w:val="0"/>
          <w:marRight w:val="0"/>
          <w:marTop w:val="0"/>
          <w:marBottom w:val="0"/>
          <w:divBdr>
            <w:top w:val="none" w:sz="0" w:space="0" w:color="auto"/>
            <w:left w:val="none" w:sz="0" w:space="0" w:color="auto"/>
            <w:bottom w:val="none" w:sz="0" w:space="0" w:color="auto"/>
            <w:right w:val="none" w:sz="0" w:space="0" w:color="auto"/>
          </w:divBdr>
        </w:div>
        <w:div w:id="1337998066">
          <w:marLeft w:val="0"/>
          <w:marRight w:val="0"/>
          <w:marTop w:val="0"/>
          <w:marBottom w:val="0"/>
          <w:divBdr>
            <w:top w:val="none" w:sz="0" w:space="0" w:color="auto"/>
            <w:left w:val="none" w:sz="0" w:space="0" w:color="auto"/>
            <w:bottom w:val="none" w:sz="0" w:space="0" w:color="auto"/>
            <w:right w:val="none" w:sz="0" w:space="0" w:color="auto"/>
          </w:divBdr>
        </w:div>
        <w:div w:id="2075544531">
          <w:marLeft w:val="0"/>
          <w:marRight w:val="0"/>
          <w:marTop w:val="0"/>
          <w:marBottom w:val="0"/>
          <w:divBdr>
            <w:top w:val="none" w:sz="0" w:space="0" w:color="auto"/>
            <w:left w:val="none" w:sz="0" w:space="0" w:color="auto"/>
            <w:bottom w:val="none" w:sz="0" w:space="0" w:color="auto"/>
            <w:right w:val="none" w:sz="0" w:space="0" w:color="auto"/>
          </w:divBdr>
        </w:div>
        <w:div w:id="177280458">
          <w:marLeft w:val="0"/>
          <w:marRight w:val="0"/>
          <w:marTop w:val="0"/>
          <w:marBottom w:val="0"/>
          <w:divBdr>
            <w:top w:val="none" w:sz="0" w:space="0" w:color="auto"/>
            <w:left w:val="none" w:sz="0" w:space="0" w:color="auto"/>
            <w:bottom w:val="none" w:sz="0" w:space="0" w:color="auto"/>
            <w:right w:val="none" w:sz="0" w:space="0" w:color="auto"/>
          </w:divBdr>
        </w:div>
        <w:div w:id="2032299882">
          <w:marLeft w:val="0"/>
          <w:marRight w:val="0"/>
          <w:marTop w:val="0"/>
          <w:marBottom w:val="0"/>
          <w:divBdr>
            <w:top w:val="none" w:sz="0" w:space="0" w:color="auto"/>
            <w:left w:val="none" w:sz="0" w:space="0" w:color="auto"/>
            <w:bottom w:val="none" w:sz="0" w:space="0" w:color="auto"/>
            <w:right w:val="none" w:sz="0" w:space="0" w:color="auto"/>
          </w:divBdr>
        </w:div>
        <w:div w:id="1614090087">
          <w:marLeft w:val="0"/>
          <w:marRight w:val="0"/>
          <w:marTop w:val="0"/>
          <w:marBottom w:val="0"/>
          <w:divBdr>
            <w:top w:val="none" w:sz="0" w:space="0" w:color="auto"/>
            <w:left w:val="none" w:sz="0" w:space="0" w:color="auto"/>
            <w:bottom w:val="none" w:sz="0" w:space="0" w:color="auto"/>
            <w:right w:val="none" w:sz="0" w:space="0" w:color="auto"/>
          </w:divBdr>
        </w:div>
        <w:div w:id="1909880307">
          <w:marLeft w:val="0"/>
          <w:marRight w:val="0"/>
          <w:marTop w:val="0"/>
          <w:marBottom w:val="0"/>
          <w:divBdr>
            <w:top w:val="none" w:sz="0" w:space="0" w:color="auto"/>
            <w:left w:val="none" w:sz="0" w:space="0" w:color="auto"/>
            <w:bottom w:val="none" w:sz="0" w:space="0" w:color="auto"/>
            <w:right w:val="none" w:sz="0" w:space="0" w:color="auto"/>
          </w:divBdr>
        </w:div>
        <w:div w:id="135415582">
          <w:marLeft w:val="0"/>
          <w:marRight w:val="0"/>
          <w:marTop w:val="0"/>
          <w:marBottom w:val="0"/>
          <w:divBdr>
            <w:top w:val="none" w:sz="0" w:space="0" w:color="auto"/>
            <w:left w:val="none" w:sz="0" w:space="0" w:color="auto"/>
            <w:bottom w:val="none" w:sz="0" w:space="0" w:color="auto"/>
            <w:right w:val="none" w:sz="0" w:space="0" w:color="auto"/>
          </w:divBdr>
        </w:div>
        <w:div w:id="1552427440">
          <w:marLeft w:val="0"/>
          <w:marRight w:val="0"/>
          <w:marTop w:val="0"/>
          <w:marBottom w:val="0"/>
          <w:divBdr>
            <w:top w:val="none" w:sz="0" w:space="0" w:color="auto"/>
            <w:left w:val="none" w:sz="0" w:space="0" w:color="auto"/>
            <w:bottom w:val="none" w:sz="0" w:space="0" w:color="auto"/>
            <w:right w:val="none" w:sz="0" w:space="0" w:color="auto"/>
          </w:divBdr>
        </w:div>
        <w:div w:id="1657372141">
          <w:marLeft w:val="0"/>
          <w:marRight w:val="0"/>
          <w:marTop w:val="0"/>
          <w:marBottom w:val="0"/>
          <w:divBdr>
            <w:top w:val="none" w:sz="0" w:space="0" w:color="auto"/>
            <w:left w:val="none" w:sz="0" w:space="0" w:color="auto"/>
            <w:bottom w:val="none" w:sz="0" w:space="0" w:color="auto"/>
            <w:right w:val="none" w:sz="0" w:space="0" w:color="auto"/>
          </w:divBdr>
        </w:div>
        <w:div w:id="485585783">
          <w:marLeft w:val="0"/>
          <w:marRight w:val="0"/>
          <w:marTop w:val="0"/>
          <w:marBottom w:val="0"/>
          <w:divBdr>
            <w:top w:val="none" w:sz="0" w:space="0" w:color="auto"/>
            <w:left w:val="none" w:sz="0" w:space="0" w:color="auto"/>
            <w:bottom w:val="none" w:sz="0" w:space="0" w:color="auto"/>
            <w:right w:val="none" w:sz="0" w:space="0" w:color="auto"/>
          </w:divBdr>
        </w:div>
        <w:div w:id="1471900563">
          <w:marLeft w:val="0"/>
          <w:marRight w:val="0"/>
          <w:marTop w:val="0"/>
          <w:marBottom w:val="0"/>
          <w:divBdr>
            <w:top w:val="none" w:sz="0" w:space="0" w:color="auto"/>
            <w:left w:val="none" w:sz="0" w:space="0" w:color="auto"/>
            <w:bottom w:val="none" w:sz="0" w:space="0" w:color="auto"/>
            <w:right w:val="none" w:sz="0" w:space="0" w:color="auto"/>
          </w:divBdr>
        </w:div>
        <w:div w:id="509756475">
          <w:marLeft w:val="0"/>
          <w:marRight w:val="0"/>
          <w:marTop w:val="0"/>
          <w:marBottom w:val="0"/>
          <w:divBdr>
            <w:top w:val="none" w:sz="0" w:space="0" w:color="auto"/>
            <w:left w:val="none" w:sz="0" w:space="0" w:color="auto"/>
            <w:bottom w:val="none" w:sz="0" w:space="0" w:color="auto"/>
            <w:right w:val="none" w:sz="0" w:space="0" w:color="auto"/>
          </w:divBdr>
        </w:div>
        <w:div w:id="411589840">
          <w:marLeft w:val="0"/>
          <w:marRight w:val="0"/>
          <w:marTop w:val="0"/>
          <w:marBottom w:val="0"/>
          <w:divBdr>
            <w:top w:val="none" w:sz="0" w:space="0" w:color="auto"/>
            <w:left w:val="none" w:sz="0" w:space="0" w:color="auto"/>
            <w:bottom w:val="none" w:sz="0" w:space="0" w:color="auto"/>
            <w:right w:val="none" w:sz="0" w:space="0" w:color="auto"/>
          </w:divBdr>
        </w:div>
        <w:div w:id="963316417">
          <w:marLeft w:val="0"/>
          <w:marRight w:val="0"/>
          <w:marTop w:val="0"/>
          <w:marBottom w:val="0"/>
          <w:divBdr>
            <w:top w:val="none" w:sz="0" w:space="0" w:color="auto"/>
            <w:left w:val="none" w:sz="0" w:space="0" w:color="auto"/>
            <w:bottom w:val="none" w:sz="0" w:space="0" w:color="auto"/>
            <w:right w:val="none" w:sz="0" w:space="0" w:color="auto"/>
          </w:divBdr>
        </w:div>
        <w:div w:id="408773454">
          <w:marLeft w:val="0"/>
          <w:marRight w:val="0"/>
          <w:marTop w:val="0"/>
          <w:marBottom w:val="0"/>
          <w:divBdr>
            <w:top w:val="none" w:sz="0" w:space="0" w:color="auto"/>
            <w:left w:val="none" w:sz="0" w:space="0" w:color="auto"/>
            <w:bottom w:val="none" w:sz="0" w:space="0" w:color="auto"/>
            <w:right w:val="none" w:sz="0" w:space="0" w:color="auto"/>
          </w:divBdr>
        </w:div>
        <w:div w:id="1295796125">
          <w:marLeft w:val="0"/>
          <w:marRight w:val="0"/>
          <w:marTop w:val="0"/>
          <w:marBottom w:val="0"/>
          <w:divBdr>
            <w:top w:val="none" w:sz="0" w:space="0" w:color="auto"/>
            <w:left w:val="none" w:sz="0" w:space="0" w:color="auto"/>
            <w:bottom w:val="none" w:sz="0" w:space="0" w:color="auto"/>
            <w:right w:val="none" w:sz="0" w:space="0" w:color="auto"/>
          </w:divBdr>
        </w:div>
        <w:div w:id="2138913308">
          <w:marLeft w:val="0"/>
          <w:marRight w:val="0"/>
          <w:marTop w:val="0"/>
          <w:marBottom w:val="0"/>
          <w:divBdr>
            <w:top w:val="none" w:sz="0" w:space="0" w:color="auto"/>
            <w:left w:val="none" w:sz="0" w:space="0" w:color="auto"/>
            <w:bottom w:val="none" w:sz="0" w:space="0" w:color="auto"/>
            <w:right w:val="none" w:sz="0" w:space="0" w:color="auto"/>
          </w:divBdr>
        </w:div>
        <w:div w:id="1382171491">
          <w:marLeft w:val="0"/>
          <w:marRight w:val="0"/>
          <w:marTop w:val="0"/>
          <w:marBottom w:val="0"/>
          <w:divBdr>
            <w:top w:val="none" w:sz="0" w:space="0" w:color="auto"/>
            <w:left w:val="none" w:sz="0" w:space="0" w:color="auto"/>
            <w:bottom w:val="none" w:sz="0" w:space="0" w:color="auto"/>
            <w:right w:val="none" w:sz="0" w:space="0" w:color="auto"/>
          </w:divBdr>
        </w:div>
        <w:div w:id="955213005">
          <w:marLeft w:val="0"/>
          <w:marRight w:val="0"/>
          <w:marTop w:val="0"/>
          <w:marBottom w:val="0"/>
          <w:divBdr>
            <w:top w:val="none" w:sz="0" w:space="0" w:color="auto"/>
            <w:left w:val="none" w:sz="0" w:space="0" w:color="auto"/>
            <w:bottom w:val="none" w:sz="0" w:space="0" w:color="auto"/>
            <w:right w:val="none" w:sz="0" w:space="0" w:color="auto"/>
          </w:divBdr>
        </w:div>
        <w:div w:id="1113134646">
          <w:marLeft w:val="0"/>
          <w:marRight w:val="0"/>
          <w:marTop w:val="0"/>
          <w:marBottom w:val="0"/>
          <w:divBdr>
            <w:top w:val="none" w:sz="0" w:space="0" w:color="auto"/>
            <w:left w:val="none" w:sz="0" w:space="0" w:color="auto"/>
            <w:bottom w:val="none" w:sz="0" w:space="0" w:color="auto"/>
            <w:right w:val="none" w:sz="0" w:space="0" w:color="auto"/>
          </w:divBdr>
        </w:div>
        <w:div w:id="511604155">
          <w:marLeft w:val="0"/>
          <w:marRight w:val="0"/>
          <w:marTop w:val="0"/>
          <w:marBottom w:val="0"/>
          <w:divBdr>
            <w:top w:val="none" w:sz="0" w:space="0" w:color="auto"/>
            <w:left w:val="none" w:sz="0" w:space="0" w:color="auto"/>
            <w:bottom w:val="none" w:sz="0" w:space="0" w:color="auto"/>
            <w:right w:val="none" w:sz="0" w:space="0" w:color="auto"/>
          </w:divBdr>
        </w:div>
        <w:div w:id="1096827290">
          <w:marLeft w:val="0"/>
          <w:marRight w:val="0"/>
          <w:marTop w:val="0"/>
          <w:marBottom w:val="0"/>
          <w:divBdr>
            <w:top w:val="none" w:sz="0" w:space="0" w:color="auto"/>
            <w:left w:val="none" w:sz="0" w:space="0" w:color="auto"/>
            <w:bottom w:val="none" w:sz="0" w:space="0" w:color="auto"/>
            <w:right w:val="none" w:sz="0" w:space="0" w:color="auto"/>
          </w:divBdr>
        </w:div>
        <w:div w:id="969164391">
          <w:marLeft w:val="0"/>
          <w:marRight w:val="0"/>
          <w:marTop w:val="0"/>
          <w:marBottom w:val="0"/>
          <w:divBdr>
            <w:top w:val="none" w:sz="0" w:space="0" w:color="auto"/>
            <w:left w:val="none" w:sz="0" w:space="0" w:color="auto"/>
            <w:bottom w:val="none" w:sz="0" w:space="0" w:color="auto"/>
            <w:right w:val="none" w:sz="0" w:space="0" w:color="auto"/>
          </w:divBdr>
        </w:div>
        <w:div w:id="1806502647">
          <w:marLeft w:val="0"/>
          <w:marRight w:val="0"/>
          <w:marTop w:val="0"/>
          <w:marBottom w:val="0"/>
          <w:divBdr>
            <w:top w:val="none" w:sz="0" w:space="0" w:color="auto"/>
            <w:left w:val="none" w:sz="0" w:space="0" w:color="auto"/>
            <w:bottom w:val="none" w:sz="0" w:space="0" w:color="auto"/>
            <w:right w:val="none" w:sz="0" w:space="0" w:color="auto"/>
          </w:divBdr>
        </w:div>
        <w:div w:id="604115099">
          <w:marLeft w:val="0"/>
          <w:marRight w:val="0"/>
          <w:marTop w:val="0"/>
          <w:marBottom w:val="0"/>
          <w:divBdr>
            <w:top w:val="none" w:sz="0" w:space="0" w:color="auto"/>
            <w:left w:val="none" w:sz="0" w:space="0" w:color="auto"/>
            <w:bottom w:val="none" w:sz="0" w:space="0" w:color="auto"/>
            <w:right w:val="none" w:sz="0" w:space="0" w:color="auto"/>
          </w:divBdr>
        </w:div>
        <w:div w:id="374014654">
          <w:marLeft w:val="0"/>
          <w:marRight w:val="0"/>
          <w:marTop w:val="0"/>
          <w:marBottom w:val="0"/>
          <w:divBdr>
            <w:top w:val="none" w:sz="0" w:space="0" w:color="auto"/>
            <w:left w:val="none" w:sz="0" w:space="0" w:color="auto"/>
            <w:bottom w:val="none" w:sz="0" w:space="0" w:color="auto"/>
            <w:right w:val="none" w:sz="0" w:space="0" w:color="auto"/>
          </w:divBdr>
        </w:div>
        <w:div w:id="1166438552">
          <w:marLeft w:val="0"/>
          <w:marRight w:val="0"/>
          <w:marTop w:val="0"/>
          <w:marBottom w:val="0"/>
          <w:divBdr>
            <w:top w:val="none" w:sz="0" w:space="0" w:color="auto"/>
            <w:left w:val="none" w:sz="0" w:space="0" w:color="auto"/>
            <w:bottom w:val="none" w:sz="0" w:space="0" w:color="auto"/>
            <w:right w:val="none" w:sz="0" w:space="0" w:color="auto"/>
          </w:divBdr>
        </w:div>
      </w:divsChild>
    </w:div>
    <w:div w:id="611979780">
      <w:bodyDiv w:val="1"/>
      <w:marLeft w:val="0"/>
      <w:marRight w:val="0"/>
      <w:marTop w:val="0"/>
      <w:marBottom w:val="0"/>
      <w:divBdr>
        <w:top w:val="none" w:sz="0" w:space="0" w:color="auto"/>
        <w:left w:val="none" w:sz="0" w:space="0" w:color="auto"/>
        <w:bottom w:val="none" w:sz="0" w:space="0" w:color="auto"/>
        <w:right w:val="none" w:sz="0" w:space="0" w:color="auto"/>
      </w:divBdr>
      <w:divsChild>
        <w:div w:id="392117987">
          <w:marLeft w:val="0"/>
          <w:marRight w:val="0"/>
          <w:marTop w:val="0"/>
          <w:marBottom w:val="0"/>
          <w:divBdr>
            <w:top w:val="none" w:sz="0" w:space="0" w:color="auto"/>
            <w:left w:val="none" w:sz="0" w:space="0" w:color="auto"/>
            <w:bottom w:val="none" w:sz="0" w:space="0" w:color="auto"/>
            <w:right w:val="none" w:sz="0" w:space="0" w:color="auto"/>
          </w:divBdr>
        </w:div>
        <w:div w:id="664163301">
          <w:marLeft w:val="0"/>
          <w:marRight w:val="0"/>
          <w:marTop w:val="0"/>
          <w:marBottom w:val="0"/>
          <w:divBdr>
            <w:top w:val="none" w:sz="0" w:space="0" w:color="auto"/>
            <w:left w:val="none" w:sz="0" w:space="0" w:color="auto"/>
            <w:bottom w:val="none" w:sz="0" w:space="0" w:color="auto"/>
            <w:right w:val="none" w:sz="0" w:space="0" w:color="auto"/>
          </w:divBdr>
        </w:div>
        <w:div w:id="380524417">
          <w:marLeft w:val="0"/>
          <w:marRight w:val="0"/>
          <w:marTop w:val="0"/>
          <w:marBottom w:val="0"/>
          <w:divBdr>
            <w:top w:val="none" w:sz="0" w:space="0" w:color="auto"/>
            <w:left w:val="none" w:sz="0" w:space="0" w:color="auto"/>
            <w:bottom w:val="none" w:sz="0" w:space="0" w:color="auto"/>
            <w:right w:val="none" w:sz="0" w:space="0" w:color="auto"/>
          </w:divBdr>
        </w:div>
      </w:divsChild>
    </w:div>
    <w:div w:id="623577319">
      <w:bodyDiv w:val="1"/>
      <w:marLeft w:val="0"/>
      <w:marRight w:val="0"/>
      <w:marTop w:val="0"/>
      <w:marBottom w:val="0"/>
      <w:divBdr>
        <w:top w:val="none" w:sz="0" w:space="0" w:color="auto"/>
        <w:left w:val="none" w:sz="0" w:space="0" w:color="auto"/>
        <w:bottom w:val="none" w:sz="0" w:space="0" w:color="auto"/>
        <w:right w:val="none" w:sz="0" w:space="0" w:color="auto"/>
      </w:divBdr>
      <w:divsChild>
        <w:div w:id="1597210133">
          <w:marLeft w:val="0"/>
          <w:marRight w:val="0"/>
          <w:marTop w:val="0"/>
          <w:marBottom w:val="0"/>
          <w:divBdr>
            <w:top w:val="none" w:sz="0" w:space="0" w:color="auto"/>
            <w:left w:val="none" w:sz="0" w:space="0" w:color="auto"/>
            <w:bottom w:val="none" w:sz="0" w:space="0" w:color="auto"/>
            <w:right w:val="none" w:sz="0" w:space="0" w:color="auto"/>
          </w:divBdr>
        </w:div>
        <w:div w:id="722486981">
          <w:marLeft w:val="0"/>
          <w:marRight w:val="0"/>
          <w:marTop w:val="0"/>
          <w:marBottom w:val="0"/>
          <w:divBdr>
            <w:top w:val="none" w:sz="0" w:space="0" w:color="auto"/>
            <w:left w:val="none" w:sz="0" w:space="0" w:color="auto"/>
            <w:bottom w:val="none" w:sz="0" w:space="0" w:color="auto"/>
            <w:right w:val="none" w:sz="0" w:space="0" w:color="auto"/>
          </w:divBdr>
        </w:div>
        <w:div w:id="368998194">
          <w:marLeft w:val="0"/>
          <w:marRight w:val="0"/>
          <w:marTop w:val="0"/>
          <w:marBottom w:val="0"/>
          <w:divBdr>
            <w:top w:val="none" w:sz="0" w:space="0" w:color="auto"/>
            <w:left w:val="none" w:sz="0" w:space="0" w:color="auto"/>
            <w:bottom w:val="none" w:sz="0" w:space="0" w:color="auto"/>
            <w:right w:val="none" w:sz="0" w:space="0" w:color="auto"/>
          </w:divBdr>
        </w:div>
        <w:div w:id="1657302358">
          <w:marLeft w:val="0"/>
          <w:marRight w:val="0"/>
          <w:marTop w:val="0"/>
          <w:marBottom w:val="0"/>
          <w:divBdr>
            <w:top w:val="none" w:sz="0" w:space="0" w:color="auto"/>
            <w:left w:val="none" w:sz="0" w:space="0" w:color="auto"/>
            <w:bottom w:val="none" w:sz="0" w:space="0" w:color="auto"/>
            <w:right w:val="none" w:sz="0" w:space="0" w:color="auto"/>
          </w:divBdr>
        </w:div>
        <w:div w:id="802115806">
          <w:marLeft w:val="0"/>
          <w:marRight w:val="0"/>
          <w:marTop w:val="0"/>
          <w:marBottom w:val="0"/>
          <w:divBdr>
            <w:top w:val="none" w:sz="0" w:space="0" w:color="auto"/>
            <w:left w:val="none" w:sz="0" w:space="0" w:color="auto"/>
            <w:bottom w:val="none" w:sz="0" w:space="0" w:color="auto"/>
            <w:right w:val="none" w:sz="0" w:space="0" w:color="auto"/>
          </w:divBdr>
        </w:div>
        <w:div w:id="86465842">
          <w:marLeft w:val="0"/>
          <w:marRight w:val="0"/>
          <w:marTop w:val="0"/>
          <w:marBottom w:val="0"/>
          <w:divBdr>
            <w:top w:val="none" w:sz="0" w:space="0" w:color="auto"/>
            <w:left w:val="none" w:sz="0" w:space="0" w:color="auto"/>
            <w:bottom w:val="none" w:sz="0" w:space="0" w:color="auto"/>
            <w:right w:val="none" w:sz="0" w:space="0" w:color="auto"/>
          </w:divBdr>
        </w:div>
        <w:div w:id="1935935400">
          <w:marLeft w:val="0"/>
          <w:marRight w:val="0"/>
          <w:marTop w:val="0"/>
          <w:marBottom w:val="0"/>
          <w:divBdr>
            <w:top w:val="none" w:sz="0" w:space="0" w:color="auto"/>
            <w:left w:val="none" w:sz="0" w:space="0" w:color="auto"/>
            <w:bottom w:val="none" w:sz="0" w:space="0" w:color="auto"/>
            <w:right w:val="none" w:sz="0" w:space="0" w:color="auto"/>
          </w:divBdr>
        </w:div>
        <w:div w:id="1026638444">
          <w:marLeft w:val="0"/>
          <w:marRight w:val="0"/>
          <w:marTop w:val="0"/>
          <w:marBottom w:val="0"/>
          <w:divBdr>
            <w:top w:val="none" w:sz="0" w:space="0" w:color="auto"/>
            <w:left w:val="none" w:sz="0" w:space="0" w:color="auto"/>
            <w:bottom w:val="none" w:sz="0" w:space="0" w:color="auto"/>
            <w:right w:val="none" w:sz="0" w:space="0" w:color="auto"/>
          </w:divBdr>
        </w:div>
        <w:div w:id="1052532967">
          <w:marLeft w:val="0"/>
          <w:marRight w:val="0"/>
          <w:marTop w:val="0"/>
          <w:marBottom w:val="0"/>
          <w:divBdr>
            <w:top w:val="none" w:sz="0" w:space="0" w:color="auto"/>
            <w:left w:val="none" w:sz="0" w:space="0" w:color="auto"/>
            <w:bottom w:val="none" w:sz="0" w:space="0" w:color="auto"/>
            <w:right w:val="none" w:sz="0" w:space="0" w:color="auto"/>
          </w:divBdr>
        </w:div>
        <w:div w:id="819424418">
          <w:marLeft w:val="0"/>
          <w:marRight w:val="0"/>
          <w:marTop w:val="0"/>
          <w:marBottom w:val="0"/>
          <w:divBdr>
            <w:top w:val="none" w:sz="0" w:space="0" w:color="auto"/>
            <w:left w:val="none" w:sz="0" w:space="0" w:color="auto"/>
            <w:bottom w:val="none" w:sz="0" w:space="0" w:color="auto"/>
            <w:right w:val="none" w:sz="0" w:space="0" w:color="auto"/>
          </w:divBdr>
        </w:div>
      </w:divsChild>
    </w:div>
    <w:div w:id="629556614">
      <w:bodyDiv w:val="1"/>
      <w:marLeft w:val="0"/>
      <w:marRight w:val="0"/>
      <w:marTop w:val="0"/>
      <w:marBottom w:val="0"/>
      <w:divBdr>
        <w:top w:val="none" w:sz="0" w:space="0" w:color="auto"/>
        <w:left w:val="none" w:sz="0" w:space="0" w:color="auto"/>
        <w:bottom w:val="none" w:sz="0" w:space="0" w:color="auto"/>
        <w:right w:val="none" w:sz="0" w:space="0" w:color="auto"/>
      </w:divBdr>
      <w:divsChild>
        <w:div w:id="416947118">
          <w:marLeft w:val="0"/>
          <w:marRight w:val="0"/>
          <w:marTop w:val="0"/>
          <w:marBottom w:val="0"/>
          <w:divBdr>
            <w:top w:val="none" w:sz="0" w:space="0" w:color="auto"/>
            <w:left w:val="none" w:sz="0" w:space="0" w:color="auto"/>
            <w:bottom w:val="none" w:sz="0" w:space="0" w:color="auto"/>
            <w:right w:val="none" w:sz="0" w:space="0" w:color="auto"/>
          </w:divBdr>
        </w:div>
        <w:div w:id="1793476357">
          <w:marLeft w:val="0"/>
          <w:marRight w:val="0"/>
          <w:marTop w:val="0"/>
          <w:marBottom w:val="0"/>
          <w:divBdr>
            <w:top w:val="none" w:sz="0" w:space="0" w:color="auto"/>
            <w:left w:val="none" w:sz="0" w:space="0" w:color="auto"/>
            <w:bottom w:val="none" w:sz="0" w:space="0" w:color="auto"/>
            <w:right w:val="none" w:sz="0" w:space="0" w:color="auto"/>
          </w:divBdr>
        </w:div>
        <w:div w:id="714889404">
          <w:marLeft w:val="0"/>
          <w:marRight w:val="0"/>
          <w:marTop w:val="0"/>
          <w:marBottom w:val="0"/>
          <w:divBdr>
            <w:top w:val="none" w:sz="0" w:space="0" w:color="auto"/>
            <w:left w:val="none" w:sz="0" w:space="0" w:color="auto"/>
            <w:bottom w:val="none" w:sz="0" w:space="0" w:color="auto"/>
            <w:right w:val="none" w:sz="0" w:space="0" w:color="auto"/>
          </w:divBdr>
        </w:div>
        <w:div w:id="1409771274">
          <w:marLeft w:val="0"/>
          <w:marRight w:val="0"/>
          <w:marTop w:val="0"/>
          <w:marBottom w:val="0"/>
          <w:divBdr>
            <w:top w:val="none" w:sz="0" w:space="0" w:color="auto"/>
            <w:left w:val="none" w:sz="0" w:space="0" w:color="auto"/>
            <w:bottom w:val="none" w:sz="0" w:space="0" w:color="auto"/>
            <w:right w:val="none" w:sz="0" w:space="0" w:color="auto"/>
          </w:divBdr>
        </w:div>
        <w:div w:id="590283290">
          <w:marLeft w:val="0"/>
          <w:marRight w:val="0"/>
          <w:marTop w:val="0"/>
          <w:marBottom w:val="0"/>
          <w:divBdr>
            <w:top w:val="none" w:sz="0" w:space="0" w:color="auto"/>
            <w:left w:val="none" w:sz="0" w:space="0" w:color="auto"/>
            <w:bottom w:val="none" w:sz="0" w:space="0" w:color="auto"/>
            <w:right w:val="none" w:sz="0" w:space="0" w:color="auto"/>
          </w:divBdr>
        </w:div>
        <w:div w:id="487593218">
          <w:marLeft w:val="0"/>
          <w:marRight w:val="0"/>
          <w:marTop w:val="0"/>
          <w:marBottom w:val="0"/>
          <w:divBdr>
            <w:top w:val="none" w:sz="0" w:space="0" w:color="auto"/>
            <w:left w:val="none" w:sz="0" w:space="0" w:color="auto"/>
            <w:bottom w:val="none" w:sz="0" w:space="0" w:color="auto"/>
            <w:right w:val="none" w:sz="0" w:space="0" w:color="auto"/>
          </w:divBdr>
        </w:div>
        <w:div w:id="1803185604">
          <w:marLeft w:val="0"/>
          <w:marRight w:val="0"/>
          <w:marTop w:val="0"/>
          <w:marBottom w:val="0"/>
          <w:divBdr>
            <w:top w:val="none" w:sz="0" w:space="0" w:color="auto"/>
            <w:left w:val="none" w:sz="0" w:space="0" w:color="auto"/>
            <w:bottom w:val="none" w:sz="0" w:space="0" w:color="auto"/>
            <w:right w:val="none" w:sz="0" w:space="0" w:color="auto"/>
          </w:divBdr>
        </w:div>
      </w:divsChild>
    </w:div>
    <w:div w:id="649866605">
      <w:bodyDiv w:val="1"/>
      <w:marLeft w:val="0"/>
      <w:marRight w:val="0"/>
      <w:marTop w:val="0"/>
      <w:marBottom w:val="0"/>
      <w:divBdr>
        <w:top w:val="none" w:sz="0" w:space="0" w:color="auto"/>
        <w:left w:val="none" w:sz="0" w:space="0" w:color="auto"/>
        <w:bottom w:val="none" w:sz="0" w:space="0" w:color="auto"/>
        <w:right w:val="none" w:sz="0" w:space="0" w:color="auto"/>
      </w:divBdr>
      <w:divsChild>
        <w:div w:id="1088576752">
          <w:marLeft w:val="0"/>
          <w:marRight w:val="0"/>
          <w:marTop w:val="0"/>
          <w:marBottom w:val="0"/>
          <w:divBdr>
            <w:top w:val="none" w:sz="0" w:space="0" w:color="auto"/>
            <w:left w:val="none" w:sz="0" w:space="0" w:color="auto"/>
            <w:bottom w:val="none" w:sz="0" w:space="0" w:color="auto"/>
            <w:right w:val="none" w:sz="0" w:space="0" w:color="auto"/>
          </w:divBdr>
        </w:div>
        <w:div w:id="1988045843">
          <w:marLeft w:val="0"/>
          <w:marRight w:val="0"/>
          <w:marTop w:val="0"/>
          <w:marBottom w:val="0"/>
          <w:divBdr>
            <w:top w:val="none" w:sz="0" w:space="0" w:color="auto"/>
            <w:left w:val="none" w:sz="0" w:space="0" w:color="auto"/>
            <w:bottom w:val="none" w:sz="0" w:space="0" w:color="auto"/>
            <w:right w:val="none" w:sz="0" w:space="0" w:color="auto"/>
          </w:divBdr>
        </w:div>
        <w:div w:id="2026901254">
          <w:marLeft w:val="0"/>
          <w:marRight w:val="0"/>
          <w:marTop w:val="0"/>
          <w:marBottom w:val="0"/>
          <w:divBdr>
            <w:top w:val="none" w:sz="0" w:space="0" w:color="auto"/>
            <w:left w:val="none" w:sz="0" w:space="0" w:color="auto"/>
            <w:bottom w:val="none" w:sz="0" w:space="0" w:color="auto"/>
            <w:right w:val="none" w:sz="0" w:space="0" w:color="auto"/>
          </w:divBdr>
        </w:div>
        <w:div w:id="1388526089">
          <w:marLeft w:val="0"/>
          <w:marRight w:val="0"/>
          <w:marTop w:val="0"/>
          <w:marBottom w:val="0"/>
          <w:divBdr>
            <w:top w:val="none" w:sz="0" w:space="0" w:color="auto"/>
            <w:left w:val="none" w:sz="0" w:space="0" w:color="auto"/>
            <w:bottom w:val="none" w:sz="0" w:space="0" w:color="auto"/>
            <w:right w:val="none" w:sz="0" w:space="0" w:color="auto"/>
          </w:divBdr>
        </w:div>
        <w:div w:id="2044010988">
          <w:marLeft w:val="0"/>
          <w:marRight w:val="0"/>
          <w:marTop w:val="0"/>
          <w:marBottom w:val="0"/>
          <w:divBdr>
            <w:top w:val="none" w:sz="0" w:space="0" w:color="auto"/>
            <w:left w:val="none" w:sz="0" w:space="0" w:color="auto"/>
            <w:bottom w:val="none" w:sz="0" w:space="0" w:color="auto"/>
            <w:right w:val="none" w:sz="0" w:space="0" w:color="auto"/>
          </w:divBdr>
        </w:div>
        <w:div w:id="1743142164">
          <w:marLeft w:val="0"/>
          <w:marRight w:val="0"/>
          <w:marTop w:val="0"/>
          <w:marBottom w:val="0"/>
          <w:divBdr>
            <w:top w:val="none" w:sz="0" w:space="0" w:color="auto"/>
            <w:left w:val="none" w:sz="0" w:space="0" w:color="auto"/>
            <w:bottom w:val="none" w:sz="0" w:space="0" w:color="auto"/>
            <w:right w:val="none" w:sz="0" w:space="0" w:color="auto"/>
          </w:divBdr>
        </w:div>
        <w:div w:id="1239092792">
          <w:marLeft w:val="0"/>
          <w:marRight w:val="0"/>
          <w:marTop w:val="0"/>
          <w:marBottom w:val="0"/>
          <w:divBdr>
            <w:top w:val="none" w:sz="0" w:space="0" w:color="auto"/>
            <w:left w:val="none" w:sz="0" w:space="0" w:color="auto"/>
            <w:bottom w:val="none" w:sz="0" w:space="0" w:color="auto"/>
            <w:right w:val="none" w:sz="0" w:space="0" w:color="auto"/>
          </w:divBdr>
        </w:div>
        <w:div w:id="2029869419">
          <w:marLeft w:val="0"/>
          <w:marRight w:val="0"/>
          <w:marTop w:val="0"/>
          <w:marBottom w:val="0"/>
          <w:divBdr>
            <w:top w:val="none" w:sz="0" w:space="0" w:color="auto"/>
            <w:left w:val="none" w:sz="0" w:space="0" w:color="auto"/>
            <w:bottom w:val="none" w:sz="0" w:space="0" w:color="auto"/>
            <w:right w:val="none" w:sz="0" w:space="0" w:color="auto"/>
          </w:divBdr>
        </w:div>
        <w:div w:id="94133639">
          <w:marLeft w:val="0"/>
          <w:marRight w:val="0"/>
          <w:marTop w:val="0"/>
          <w:marBottom w:val="0"/>
          <w:divBdr>
            <w:top w:val="none" w:sz="0" w:space="0" w:color="auto"/>
            <w:left w:val="none" w:sz="0" w:space="0" w:color="auto"/>
            <w:bottom w:val="none" w:sz="0" w:space="0" w:color="auto"/>
            <w:right w:val="none" w:sz="0" w:space="0" w:color="auto"/>
          </w:divBdr>
        </w:div>
        <w:div w:id="730156209">
          <w:marLeft w:val="0"/>
          <w:marRight w:val="0"/>
          <w:marTop w:val="0"/>
          <w:marBottom w:val="0"/>
          <w:divBdr>
            <w:top w:val="none" w:sz="0" w:space="0" w:color="auto"/>
            <w:left w:val="none" w:sz="0" w:space="0" w:color="auto"/>
            <w:bottom w:val="none" w:sz="0" w:space="0" w:color="auto"/>
            <w:right w:val="none" w:sz="0" w:space="0" w:color="auto"/>
          </w:divBdr>
        </w:div>
        <w:div w:id="924725569">
          <w:marLeft w:val="0"/>
          <w:marRight w:val="0"/>
          <w:marTop w:val="0"/>
          <w:marBottom w:val="0"/>
          <w:divBdr>
            <w:top w:val="none" w:sz="0" w:space="0" w:color="auto"/>
            <w:left w:val="none" w:sz="0" w:space="0" w:color="auto"/>
            <w:bottom w:val="none" w:sz="0" w:space="0" w:color="auto"/>
            <w:right w:val="none" w:sz="0" w:space="0" w:color="auto"/>
          </w:divBdr>
        </w:div>
      </w:divsChild>
    </w:div>
    <w:div w:id="655105932">
      <w:bodyDiv w:val="1"/>
      <w:marLeft w:val="0"/>
      <w:marRight w:val="0"/>
      <w:marTop w:val="0"/>
      <w:marBottom w:val="0"/>
      <w:divBdr>
        <w:top w:val="none" w:sz="0" w:space="0" w:color="auto"/>
        <w:left w:val="none" w:sz="0" w:space="0" w:color="auto"/>
        <w:bottom w:val="none" w:sz="0" w:space="0" w:color="auto"/>
        <w:right w:val="none" w:sz="0" w:space="0" w:color="auto"/>
      </w:divBdr>
      <w:divsChild>
        <w:div w:id="1455977619">
          <w:marLeft w:val="0"/>
          <w:marRight w:val="0"/>
          <w:marTop w:val="0"/>
          <w:marBottom w:val="0"/>
          <w:divBdr>
            <w:top w:val="none" w:sz="0" w:space="0" w:color="auto"/>
            <w:left w:val="none" w:sz="0" w:space="0" w:color="auto"/>
            <w:bottom w:val="none" w:sz="0" w:space="0" w:color="auto"/>
            <w:right w:val="none" w:sz="0" w:space="0" w:color="auto"/>
          </w:divBdr>
        </w:div>
        <w:div w:id="1352032489">
          <w:marLeft w:val="0"/>
          <w:marRight w:val="0"/>
          <w:marTop w:val="0"/>
          <w:marBottom w:val="0"/>
          <w:divBdr>
            <w:top w:val="none" w:sz="0" w:space="0" w:color="auto"/>
            <w:left w:val="none" w:sz="0" w:space="0" w:color="auto"/>
            <w:bottom w:val="none" w:sz="0" w:space="0" w:color="auto"/>
            <w:right w:val="none" w:sz="0" w:space="0" w:color="auto"/>
          </w:divBdr>
        </w:div>
        <w:div w:id="2002346437">
          <w:marLeft w:val="0"/>
          <w:marRight w:val="0"/>
          <w:marTop w:val="0"/>
          <w:marBottom w:val="0"/>
          <w:divBdr>
            <w:top w:val="none" w:sz="0" w:space="0" w:color="auto"/>
            <w:left w:val="none" w:sz="0" w:space="0" w:color="auto"/>
            <w:bottom w:val="none" w:sz="0" w:space="0" w:color="auto"/>
            <w:right w:val="none" w:sz="0" w:space="0" w:color="auto"/>
          </w:divBdr>
        </w:div>
        <w:div w:id="1772117121">
          <w:marLeft w:val="0"/>
          <w:marRight w:val="0"/>
          <w:marTop w:val="0"/>
          <w:marBottom w:val="0"/>
          <w:divBdr>
            <w:top w:val="none" w:sz="0" w:space="0" w:color="auto"/>
            <w:left w:val="none" w:sz="0" w:space="0" w:color="auto"/>
            <w:bottom w:val="none" w:sz="0" w:space="0" w:color="auto"/>
            <w:right w:val="none" w:sz="0" w:space="0" w:color="auto"/>
          </w:divBdr>
        </w:div>
        <w:div w:id="1451164940">
          <w:marLeft w:val="0"/>
          <w:marRight w:val="0"/>
          <w:marTop w:val="0"/>
          <w:marBottom w:val="0"/>
          <w:divBdr>
            <w:top w:val="none" w:sz="0" w:space="0" w:color="auto"/>
            <w:left w:val="none" w:sz="0" w:space="0" w:color="auto"/>
            <w:bottom w:val="none" w:sz="0" w:space="0" w:color="auto"/>
            <w:right w:val="none" w:sz="0" w:space="0" w:color="auto"/>
          </w:divBdr>
        </w:div>
        <w:div w:id="434860023">
          <w:marLeft w:val="0"/>
          <w:marRight w:val="0"/>
          <w:marTop w:val="0"/>
          <w:marBottom w:val="0"/>
          <w:divBdr>
            <w:top w:val="none" w:sz="0" w:space="0" w:color="auto"/>
            <w:left w:val="none" w:sz="0" w:space="0" w:color="auto"/>
            <w:bottom w:val="none" w:sz="0" w:space="0" w:color="auto"/>
            <w:right w:val="none" w:sz="0" w:space="0" w:color="auto"/>
          </w:divBdr>
        </w:div>
        <w:div w:id="2132749223">
          <w:marLeft w:val="0"/>
          <w:marRight w:val="0"/>
          <w:marTop w:val="0"/>
          <w:marBottom w:val="0"/>
          <w:divBdr>
            <w:top w:val="none" w:sz="0" w:space="0" w:color="auto"/>
            <w:left w:val="none" w:sz="0" w:space="0" w:color="auto"/>
            <w:bottom w:val="none" w:sz="0" w:space="0" w:color="auto"/>
            <w:right w:val="none" w:sz="0" w:space="0" w:color="auto"/>
          </w:divBdr>
        </w:div>
        <w:div w:id="979270271">
          <w:marLeft w:val="0"/>
          <w:marRight w:val="0"/>
          <w:marTop w:val="0"/>
          <w:marBottom w:val="0"/>
          <w:divBdr>
            <w:top w:val="none" w:sz="0" w:space="0" w:color="auto"/>
            <w:left w:val="none" w:sz="0" w:space="0" w:color="auto"/>
            <w:bottom w:val="none" w:sz="0" w:space="0" w:color="auto"/>
            <w:right w:val="none" w:sz="0" w:space="0" w:color="auto"/>
          </w:divBdr>
        </w:div>
        <w:div w:id="39593564">
          <w:marLeft w:val="0"/>
          <w:marRight w:val="0"/>
          <w:marTop w:val="0"/>
          <w:marBottom w:val="0"/>
          <w:divBdr>
            <w:top w:val="none" w:sz="0" w:space="0" w:color="auto"/>
            <w:left w:val="none" w:sz="0" w:space="0" w:color="auto"/>
            <w:bottom w:val="none" w:sz="0" w:space="0" w:color="auto"/>
            <w:right w:val="none" w:sz="0" w:space="0" w:color="auto"/>
          </w:divBdr>
        </w:div>
      </w:divsChild>
    </w:div>
    <w:div w:id="656304218">
      <w:bodyDiv w:val="1"/>
      <w:marLeft w:val="0"/>
      <w:marRight w:val="0"/>
      <w:marTop w:val="0"/>
      <w:marBottom w:val="0"/>
      <w:divBdr>
        <w:top w:val="none" w:sz="0" w:space="0" w:color="auto"/>
        <w:left w:val="none" w:sz="0" w:space="0" w:color="auto"/>
        <w:bottom w:val="none" w:sz="0" w:space="0" w:color="auto"/>
        <w:right w:val="none" w:sz="0" w:space="0" w:color="auto"/>
      </w:divBdr>
      <w:divsChild>
        <w:div w:id="1142163677">
          <w:marLeft w:val="0"/>
          <w:marRight w:val="0"/>
          <w:marTop w:val="0"/>
          <w:marBottom w:val="0"/>
          <w:divBdr>
            <w:top w:val="none" w:sz="0" w:space="0" w:color="auto"/>
            <w:left w:val="none" w:sz="0" w:space="0" w:color="auto"/>
            <w:bottom w:val="none" w:sz="0" w:space="0" w:color="auto"/>
            <w:right w:val="none" w:sz="0" w:space="0" w:color="auto"/>
          </w:divBdr>
        </w:div>
        <w:div w:id="128331433">
          <w:marLeft w:val="0"/>
          <w:marRight w:val="0"/>
          <w:marTop w:val="0"/>
          <w:marBottom w:val="0"/>
          <w:divBdr>
            <w:top w:val="none" w:sz="0" w:space="0" w:color="auto"/>
            <w:left w:val="none" w:sz="0" w:space="0" w:color="auto"/>
            <w:bottom w:val="none" w:sz="0" w:space="0" w:color="auto"/>
            <w:right w:val="none" w:sz="0" w:space="0" w:color="auto"/>
          </w:divBdr>
        </w:div>
      </w:divsChild>
    </w:div>
    <w:div w:id="710306661">
      <w:bodyDiv w:val="1"/>
      <w:marLeft w:val="0"/>
      <w:marRight w:val="0"/>
      <w:marTop w:val="0"/>
      <w:marBottom w:val="0"/>
      <w:divBdr>
        <w:top w:val="none" w:sz="0" w:space="0" w:color="auto"/>
        <w:left w:val="none" w:sz="0" w:space="0" w:color="auto"/>
        <w:bottom w:val="none" w:sz="0" w:space="0" w:color="auto"/>
        <w:right w:val="none" w:sz="0" w:space="0" w:color="auto"/>
      </w:divBdr>
      <w:divsChild>
        <w:div w:id="578248640">
          <w:marLeft w:val="0"/>
          <w:marRight w:val="0"/>
          <w:marTop w:val="0"/>
          <w:marBottom w:val="0"/>
          <w:divBdr>
            <w:top w:val="none" w:sz="0" w:space="0" w:color="auto"/>
            <w:left w:val="none" w:sz="0" w:space="0" w:color="auto"/>
            <w:bottom w:val="none" w:sz="0" w:space="0" w:color="auto"/>
            <w:right w:val="none" w:sz="0" w:space="0" w:color="auto"/>
          </w:divBdr>
        </w:div>
        <w:div w:id="2128154406">
          <w:marLeft w:val="0"/>
          <w:marRight w:val="0"/>
          <w:marTop w:val="0"/>
          <w:marBottom w:val="0"/>
          <w:divBdr>
            <w:top w:val="none" w:sz="0" w:space="0" w:color="auto"/>
            <w:left w:val="none" w:sz="0" w:space="0" w:color="auto"/>
            <w:bottom w:val="none" w:sz="0" w:space="0" w:color="auto"/>
            <w:right w:val="none" w:sz="0" w:space="0" w:color="auto"/>
          </w:divBdr>
        </w:div>
        <w:div w:id="646399038">
          <w:marLeft w:val="0"/>
          <w:marRight w:val="0"/>
          <w:marTop w:val="0"/>
          <w:marBottom w:val="0"/>
          <w:divBdr>
            <w:top w:val="none" w:sz="0" w:space="0" w:color="auto"/>
            <w:left w:val="none" w:sz="0" w:space="0" w:color="auto"/>
            <w:bottom w:val="none" w:sz="0" w:space="0" w:color="auto"/>
            <w:right w:val="none" w:sz="0" w:space="0" w:color="auto"/>
          </w:divBdr>
        </w:div>
        <w:div w:id="763762696">
          <w:marLeft w:val="0"/>
          <w:marRight w:val="0"/>
          <w:marTop w:val="0"/>
          <w:marBottom w:val="0"/>
          <w:divBdr>
            <w:top w:val="none" w:sz="0" w:space="0" w:color="auto"/>
            <w:left w:val="none" w:sz="0" w:space="0" w:color="auto"/>
            <w:bottom w:val="none" w:sz="0" w:space="0" w:color="auto"/>
            <w:right w:val="none" w:sz="0" w:space="0" w:color="auto"/>
          </w:divBdr>
        </w:div>
        <w:div w:id="110513304">
          <w:marLeft w:val="0"/>
          <w:marRight w:val="0"/>
          <w:marTop w:val="0"/>
          <w:marBottom w:val="0"/>
          <w:divBdr>
            <w:top w:val="none" w:sz="0" w:space="0" w:color="auto"/>
            <w:left w:val="none" w:sz="0" w:space="0" w:color="auto"/>
            <w:bottom w:val="none" w:sz="0" w:space="0" w:color="auto"/>
            <w:right w:val="none" w:sz="0" w:space="0" w:color="auto"/>
          </w:divBdr>
        </w:div>
        <w:div w:id="2002780788">
          <w:marLeft w:val="0"/>
          <w:marRight w:val="0"/>
          <w:marTop w:val="0"/>
          <w:marBottom w:val="0"/>
          <w:divBdr>
            <w:top w:val="none" w:sz="0" w:space="0" w:color="auto"/>
            <w:left w:val="none" w:sz="0" w:space="0" w:color="auto"/>
            <w:bottom w:val="none" w:sz="0" w:space="0" w:color="auto"/>
            <w:right w:val="none" w:sz="0" w:space="0" w:color="auto"/>
          </w:divBdr>
        </w:div>
        <w:div w:id="885070009">
          <w:marLeft w:val="0"/>
          <w:marRight w:val="0"/>
          <w:marTop w:val="0"/>
          <w:marBottom w:val="0"/>
          <w:divBdr>
            <w:top w:val="none" w:sz="0" w:space="0" w:color="auto"/>
            <w:left w:val="none" w:sz="0" w:space="0" w:color="auto"/>
            <w:bottom w:val="none" w:sz="0" w:space="0" w:color="auto"/>
            <w:right w:val="none" w:sz="0" w:space="0" w:color="auto"/>
          </w:divBdr>
        </w:div>
        <w:div w:id="2085493498">
          <w:marLeft w:val="0"/>
          <w:marRight w:val="0"/>
          <w:marTop w:val="0"/>
          <w:marBottom w:val="0"/>
          <w:divBdr>
            <w:top w:val="none" w:sz="0" w:space="0" w:color="auto"/>
            <w:left w:val="none" w:sz="0" w:space="0" w:color="auto"/>
            <w:bottom w:val="none" w:sz="0" w:space="0" w:color="auto"/>
            <w:right w:val="none" w:sz="0" w:space="0" w:color="auto"/>
          </w:divBdr>
        </w:div>
        <w:div w:id="8217751">
          <w:marLeft w:val="0"/>
          <w:marRight w:val="0"/>
          <w:marTop w:val="0"/>
          <w:marBottom w:val="0"/>
          <w:divBdr>
            <w:top w:val="none" w:sz="0" w:space="0" w:color="auto"/>
            <w:left w:val="none" w:sz="0" w:space="0" w:color="auto"/>
            <w:bottom w:val="none" w:sz="0" w:space="0" w:color="auto"/>
            <w:right w:val="none" w:sz="0" w:space="0" w:color="auto"/>
          </w:divBdr>
        </w:div>
      </w:divsChild>
    </w:div>
    <w:div w:id="721372331">
      <w:bodyDiv w:val="1"/>
      <w:marLeft w:val="0"/>
      <w:marRight w:val="0"/>
      <w:marTop w:val="0"/>
      <w:marBottom w:val="0"/>
      <w:divBdr>
        <w:top w:val="none" w:sz="0" w:space="0" w:color="auto"/>
        <w:left w:val="none" w:sz="0" w:space="0" w:color="auto"/>
        <w:bottom w:val="none" w:sz="0" w:space="0" w:color="auto"/>
        <w:right w:val="none" w:sz="0" w:space="0" w:color="auto"/>
      </w:divBdr>
      <w:divsChild>
        <w:div w:id="1330478872">
          <w:marLeft w:val="0"/>
          <w:marRight w:val="0"/>
          <w:marTop w:val="0"/>
          <w:marBottom w:val="0"/>
          <w:divBdr>
            <w:top w:val="none" w:sz="0" w:space="0" w:color="auto"/>
            <w:left w:val="none" w:sz="0" w:space="0" w:color="auto"/>
            <w:bottom w:val="none" w:sz="0" w:space="0" w:color="auto"/>
            <w:right w:val="none" w:sz="0" w:space="0" w:color="auto"/>
          </w:divBdr>
        </w:div>
        <w:div w:id="1833372283">
          <w:marLeft w:val="0"/>
          <w:marRight w:val="0"/>
          <w:marTop w:val="0"/>
          <w:marBottom w:val="0"/>
          <w:divBdr>
            <w:top w:val="none" w:sz="0" w:space="0" w:color="auto"/>
            <w:left w:val="none" w:sz="0" w:space="0" w:color="auto"/>
            <w:bottom w:val="none" w:sz="0" w:space="0" w:color="auto"/>
            <w:right w:val="none" w:sz="0" w:space="0" w:color="auto"/>
          </w:divBdr>
        </w:div>
        <w:div w:id="347635256">
          <w:marLeft w:val="0"/>
          <w:marRight w:val="0"/>
          <w:marTop w:val="0"/>
          <w:marBottom w:val="0"/>
          <w:divBdr>
            <w:top w:val="none" w:sz="0" w:space="0" w:color="auto"/>
            <w:left w:val="none" w:sz="0" w:space="0" w:color="auto"/>
            <w:bottom w:val="none" w:sz="0" w:space="0" w:color="auto"/>
            <w:right w:val="none" w:sz="0" w:space="0" w:color="auto"/>
          </w:divBdr>
        </w:div>
        <w:div w:id="1725834741">
          <w:marLeft w:val="0"/>
          <w:marRight w:val="0"/>
          <w:marTop w:val="0"/>
          <w:marBottom w:val="0"/>
          <w:divBdr>
            <w:top w:val="none" w:sz="0" w:space="0" w:color="auto"/>
            <w:left w:val="none" w:sz="0" w:space="0" w:color="auto"/>
            <w:bottom w:val="none" w:sz="0" w:space="0" w:color="auto"/>
            <w:right w:val="none" w:sz="0" w:space="0" w:color="auto"/>
          </w:divBdr>
        </w:div>
        <w:div w:id="1143085182">
          <w:marLeft w:val="0"/>
          <w:marRight w:val="0"/>
          <w:marTop w:val="0"/>
          <w:marBottom w:val="0"/>
          <w:divBdr>
            <w:top w:val="none" w:sz="0" w:space="0" w:color="auto"/>
            <w:left w:val="none" w:sz="0" w:space="0" w:color="auto"/>
            <w:bottom w:val="none" w:sz="0" w:space="0" w:color="auto"/>
            <w:right w:val="none" w:sz="0" w:space="0" w:color="auto"/>
          </w:divBdr>
        </w:div>
        <w:div w:id="985668010">
          <w:marLeft w:val="0"/>
          <w:marRight w:val="0"/>
          <w:marTop w:val="0"/>
          <w:marBottom w:val="0"/>
          <w:divBdr>
            <w:top w:val="none" w:sz="0" w:space="0" w:color="auto"/>
            <w:left w:val="none" w:sz="0" w:space="0" w:color="auto"/>
            <w:bottom w:val="none" w:sz="0" w:space="0" w:color="auto"/>
            <w:right w:val="none" w:sz="0" w:space="0" w:color="auto"/>
          </w:divBdr>
        </w:div>
        <w:div w:id="318194724">
          <w:marLeft w:val="0"/>
          <w:marRight w:val="0"/>
          <w:marTop w:val="0"/>
          <w:marBottom w:val="0"/>
          <w:divBdr>
            <w:top w:val="none" w:sz="0" w:space="0" w:color="auto"/>
            <w:left w:val="none" w:sz="0" w:space="0" w:color="auto"/>
            <w:bottom w:val="none" w:sz="0" w:space="0" w:color="auto"/>
            <w:right w:val="none" w:sz="0" w:space="0" w:color="auto"/>
          </w:divBdr>
        </w:div>
        <w:div w:id="634875820">
          <w:marLeft w:val="0"/>
          <w:marRight w:val="0"/>
          <w:marTop w:val="0"/>
          <w:marBottom w:val="0"/>
          <w:divBdr>
            <w:top w:val="none" w:sz="0" w:space="0" w:color="auto"/>
            <w:left w:val="none" w:sz="0" w:space="0" w:color="auto"/>
            <w:bottom w:val="none" w:sz="0" w:space="0" w:color="auto"/>
            <w:right w:val="none" w:sz="0" w:space="0" w:color="auto"/>
          </w:divBdr>
        </w:div>
        <w:div w:id="1345283908">
          <w:marLeft w:val="0"/>
          <w:marRight w:val="0"/>
          <w:marTop w:val="0"/>
          <w:marBottom w:val="0"/>
          <w:divBdr>
            <w:top w:val="none" w:sz="0" w:space="0" w:color="auto"/>
            <w:left w:val="none" w:sz="0" w:space="0" w:color="auto"/>
            <w:bottom w:val="none" w:sz="0" w:space="0" w:color="auto"/>
            <w:right w:val="none" w:sz="0" w:space="0" w:color="auto"/>
          </w:divBdr>
        </w:div>
        <w:div w:id="875311665">
          <w:marLeft w:val="0"/>
          <w:marRight w:val="0"/>
          <w:marTop w:val="0"/>
          <w:marBottom w:val="0"/>
          <w:divBdr>
            <w:top w:val="none" w:sz="0" w:space="0" w:color="auto"/>
            <w:left w:val="none" w:sz="0" w:space="0" w:color="auto"/>
            <w:bottom w:val="none" w:sz="0" w:space="0" w:color="auto"/>
            <w:right w:val="none" w:sz="0" w:space="0" w:color="auto"/>
          </w:divBdr>
        </w:div>
        <w:div w:id="419060197">
          <w:marLeft w:val="0"/>
          <w:marRight w:val="0"/>
          <w:marTop w:val="0"/>
          <w:marBottom w:val="0"/>
          <w:divBdr>
            <w:top w:val="none" w:sz="0" w:space="0" w:color="auto"/>
            <w:left w:val="none" w:sz="0" w:space="0" w:color="auto"/>
            <w:bottom w:val="none" w:sz="0" w:space="0" w:color="auto"/>
            <w:right w:val="none" w:sz="0" w:space="0" w:color="auto"/>
          </w:divBdr>
        </w:div>
        <w:div w:id="1386877064">
          <w:marLeft w:val="0"/>
          <w:marRight w:val="0"/>
          <w:marTop w:val="0"/>
          <w:marBottom w:val="0"/>
          <w:divBdr>
            <w:top w:val="none" w:sz="0" w:space="0" w:color="auto"/>
            <w:left w:val="none" w:sz="0" w:space="0" w:color="auto"/>
            <w:bottom w:val="none" w:sz="0" w:space="0" w:color="auto"/>
            <w:right w:val="none" w:sz="0" w:space="0" w:color="auto"/>
          </w:divBdr>
        </w:div>
        <w:div w:id="1000625226">
          <w:marLeft w:val="0"/>
          <w:marRight w:val="0"/>
          <w:marTop w:val="0"/>
          <w:marBottom w:val="0"/>
          <w:divBdr>
            <w:top w:val="none" w:sz="0" w:space="0" w:color="auto"/>
            <w:left w:val="none" w:sz="0" w:space="0" w:color="auto"/>
            <w:bottom w:val="none" w:sz="0" w:space="0" w:color="auto"/>
            <w:right w:val="none" w:sz="0" w:space="0" w:color="auto"/>
          </w:divBdr>
        </w:div>
        <w:div w:id="1187018062">
          <w:marLeft w:val="0"/>
          <w:marRight w:val="0"/>
          <w:marTop w:val="0"/>
          <w:marBottom w:val="0"/>
          <w:divBdr>
            <w:top w:val="none" w:sz="0" w:space="0" w:color="auto"/>
            <w:left w:val="none" w:sz="0" w:space="0" w:color="auto"/>
            <w:bottom w:val="none" w:sz="0" w:space="0" w:color="auto"/>
            <w:right w:val="none" w:sz="0" w:space="0" w:color="auto"/>
          </w:divBdr>
        </w:div>
        <w:div w:id="1343122655">
          <w:marLeft w:val="0"/>
          <w:marRight w:val="0"/>
          <w:marTop w:val="0"/>
          <w:marBottom w:val="0"/>
          <w:divBdr>
            <w:top w:val="none" w:sz="0" w:space="0" w:color="auto"/>
            <w:left w:val="none" w:sz="0" w:space="0" w:color="auto"/>
            <w:bottom w:val="none" w:sz="0" w:space="0" w:color="auto"/>
            <w:right w:val="none" w:sz="0" w:space="0" w:color="auto"/>
          </w:divBdr>
        </w:div>
        <w:div w:id="1395078072">
          <w:marLeft w:val="0"/>
          <w:marRight w:val="0"/>
          <w:marTop w:val="0"/>
          <w:marBottom w:val="0"/>
          <w:divBdr>
            <w:top w:val="none" w:sz="0" w:space="0" w:color="auto"/>
            <w:left w:val="none" w:sz="0" w:space="0" w:color="auto"/>
            <w:bottom w:val="none" w:sz="0" w:space="0" w:color="auto"/>
            <w:right w:val="none" w:sz="0" w:space="0" w:color="auto"/>
          </w:divBdr>
        </w:div>
        <w:div w:id="1120145094">
          <w:marLeft w:val="0"/>
          <w:marRight w:val="0"/>
          <w:marTop w:val="0"/>
          <w:marBottom w:val="0"/>
          <w:divBdr>
            <w:top w:val="none" w:sz="0" w:space="0" w:color="auto"/>
            <w:left w:val="none" w:sz="0" w:space="0" w:color="auto"/>
            <w:bottom w:val="none" w:sz="0" w:space="0" w:color="auto"/>
            <w:right w:val="none" w:sz="0" w:space="0" w:color="auto"/>
          </w:divBdr>
        </w:div>
        <w:div w:id="1582643258">
          <w:marLeft w:val="0"/>
          <w:marRight w:val="0"/>
          <w:marTop w:val="0"/>
          <w:marBottom w:val="0"/>
          <w:divBdr>
            <w:top w:val="none" w:sz="0" w:space="0" w:color="auto"/>
            <w:left w:val="none" w:sz="0" w:space="0" w:color="auto"/>
            <w:bottom w:val="none" w:sz="0" w:space="0" w:color="auto"/>
            <w:right w:val="none" w:sz="0" w:space="0" w:color="auto"/>
          </w:divBdr>
        </w:div>
        <w:div w:id="715816866">
          <w:marLeft w:val="0"/>
          <w:marRight w:val="0"/>
          <w:marTop w:val="0"/>
          <w:marBottom w:val="0"/>
          <w:divBdr>
            <w:top w:val="none" w:sz="0" w:space="0" w:color="auto"/>
            <w:left w:val="none" w:sz="0" w:space="0" w:color="auto"/>
            <w:bottom w:val="none" w:sz="0" w:space="0" w:color="auto"/>
            <w:right w:val="none" w:sz="0" w:space="0" w:color="auto"/>
          </w:divBdr>
        </w:div>
        <w:div w:id="634992481">
          <w:marLeft w:val="0"/>
          <w:marRight w:val="0"/>
          <w:marTop w:val="0"/>
          <w:marBottom w:val="0"/>
          <w:divBdr>
            <w:top w:val="none" w:sz="0" w:space="0" w:color="auto"/>
            <w:left w:val="none" w:sz="0" w:space="0" w:color="auto"/>
            <w:bottom w:val="none" w:sz="0" w:space="0" w:color="auto"/>
            <w:right w:val="none" w:sz="0" w:space="0" w:color="auto"/>
          </w:divBdr>
        </w:div>
        <w:div w:id="339235783">
          <w:marLeft w:val="0"/>
          <w:marRight w:val="0"/>
          <w:marTop w:val="0"/>
          <w:marBottom w:val="0"/>
          <w:divBdr>
            <w:top w:val="none" w:sz="0" w:space="0" w:color="auto"/>
            <w:left w:val="none" w:sz="0" w:space="0" w:color="auto"/>
            <w:bottom w:val="none" w:sz="0" w:space="0" w:color="auto"/>
            <w:right w:val="none" w:sz="0" w:space="0" w:color="auto"/>
          </w:divBdr>
        </w:div>
        <w:div w:id="322973656">
          <w:marLeft w:val="0"/>
          <w:marRight w:val="0"/>
          <w:marTop w:val="0"/>
          <w:marBottom w:val="0"/>
          <w:divBdr>
            <w:top w:val="none" w:sz="0" w:space="0" w:color="auto"/>
            <w:left w:val="none" w:sz="0" w:space="0" w:color="auto"/>
            <w:bottom w:val="none" w:sz="0" w:space="0" w:color="auto"/>
            <w:right w:val="none" w:sz="0" w:space="0" w:color="auto"/>
          </w:divBdr>
        </w:div>
        <w:div w:id="372390908">
          <w:marLeft w:val="0"/>
          <w:marRight w:val="0"/>
          <w:marTop w:val="0"/>
          <w:marBottom w:val="0"/>
          <w:divBdr>
            <w:top w:val="none" w:sz="0" w:space="0" w:color="auto"/>
            <w:left w:val="none" w:sz="0" w:space="0" w:color="auto"/>
            <w:bottom w:val="none" w:sz="0" w:space="0" w:color="auto"/>
            <w:right w:val="none" w:sz="0" w:space="0" w:color="auto"/>
          </w:divBdr>
        </w:div>
        <w:div w:id="1168717349">
          <w:marLeft w:val="0"/>
          <w:marRight w:val="0"/>
          <w:marTop w:val="0"/>
          <w:marBottom w:val="0"/>
          <w:divBdr>
            <w:top w:val="none" w:sz="0" w:space="0" w:color="auto"/>
            <w:left w:val="none" w:sz="0" w:space="0" w:color="auto"/>
            <w:bottom w:val="none" w:sz="0" w:space="0" w:color="auto"/>
            <w:right w:val="none" w:sz="0" w:space="0" w:color="auto"/>
          </w:divBdr>
        </w:div>
        <w:div w:id="1309553456">
          <w:marLeft w:val="0"/>
          <w:marRight w:val="0"/>
          <w:marTop w:val="0"/>
          <w:marBottom w:val="0"/>
          <w:divBdr>
            <w:top w:val="none" w:sz="0" w:space="0" w:color="auto"/>
            <w:left w:val="none" w:sz="0" w:space="0" w:color="auto"/>
            <w:bottom w:val="none" w:sz="0" w:space="0" w:color="auto"/>
            <w:right w:val="none" w:sz="0" w:space="0" w:color="auto"/>
          </w:divBdr>
        </w:div>
        <w:div w:id="1500005288">
          <w:marLeft w:val="0"/>
          <w:marRight w:val="0"/>
          <w:marTop w:val="0"/>
          <w:marBottom w:val="0"/>
          <w:divBdr>
            <w:top w:val="none" w:sz="0" w:space="0" w:color="auto"/>
            <w:left w:val="none" w:sz="0" w:space="0" w:color="auto"/>
            <w:bottom w:val="none" w:sz="0" w:space="0" w:color="auto"/>
            <w:right w:val="none" w:sz="0" w:space="0" w:color="auto"/>
          </w:divBdr>
        </w:div>
        <w:div w:id="729579049">
          <w:marLeft w:val="0"/>
          <w:marRight w:val="0"/>
          <w:marTop w:val="0"/>
          <w:marBottom w:val="0"/>
          <w:divBdr>
            <w:top w:val="none" w:sz="0" w:space="0" w:color="auto"/>
            <w:left w:val="none" w:sz="0" w:space="0" w:color="auto"/>
            <w:bottom w:val="none" w:sz="0" w:space="0" w:color="auto"/>
            <w:right w:val="none" w:sz="0" w:space="0" w:color="auto"/>
          </w:divBdr>
        </w:div>
        <w:div w:id="476385908">
          <w:marLeft w:val="0"/>
          <w:marRight w:val="0"/>
          <w:marTop w:val="0"/>
          <w:marBottom w:val="0"/>
          <w:divBdr>
            <w:top w:val="none" w:sz="0" w:space="0" w:color="auto"/>
            <w:left w:val="none" w:sz="0" w:space="0" w:color="auto"/>
            <w:bottom w:val="none" w:sz="0" w:space="0" w:color="auto"/>
            <w:right w:val="none" w:sz="0" w:space="0" w:color="auto"/>
          </w:divBdr>
        </w:div>
        <w:div w:id="1856962568">
          <w:marLeft w:val="0"/>
          <w:marRight w:val="0"/>
          <w:marTop w:val="0"/>
          <w:marBottom w:val="0"/>
          <w:divBdr>
            <w:top w:val="none" w:sz="0" w:space="0" w:color="auto"/>
            <w:left w:val="none" w:sz="0" w:space="0" w:color="auto"/>
            <w:bottom w:val="none" w:sz="0" w:space="0" w:color="auto"/>
            <w:right w:val="none" w:sz="0" w:space="0" w:color="auto"/>
          </w:divBdr>
        </w:div>
        <w:div w:id="1133908925">
          <w:marLeft w:val="0"/>
          <w:marRight w:val="0"/>
          <w:marTop w:val="0"/>
          <w:marBottom w:val="0"/>
          <w:divBdr>
            <w:top w:val="none" w:sz="0" w:space="0" w:color="auto"/>
            <w:left w:val="none" w:sz="0" w:space="0" w:color="auto"/>
            <w:bottom w:val="none" w:sz="0" w:space="0" w:color="auto"/>
            <w:right w:val="none" w:sz="0" w:space="0" w:color="auto"/>
          </w:divBdr>
        </w:div>
        <w:div w:id="1174757003">
          <w:marLeft w:val="0"/>
          <w:marRight w:val="0"/>
          <w:marTop w:val="0"/>
          <w:marBottom w:val="0"/>
          <w:divBdr>
            <w:top w:val="none" w:sz="0" w:space="0" w:color="auto"/>
            <w:left w:val="none" w:sz="0" w:space="0" w:color="auto"/>
            <w:bottom w:val="none" w:sz="0" w:space="0" w:color="auto"/>
            <w:right w:val="none" w:sz="0" w:space="0" w:color="auto"/>
          </w:divBdr>
        </w:div>
        <w:div w:id="590621037">
          <w:marLeft w:val="0"/>
          <w:marRight w:val="0"/>
          <w:marTop w:val="0"/>
          <w:marBottom w:val="0"/>
          <w:divBdr>
            <w:top w:val="none" w:sz="0" w:space="0" w:color="auto"/>
            <w:left w:val="none" w:sz="0" w:space="0" w:color="auto"/>
            <w:bottom w:val="none" w:sz="0" w:space="0" w:color="auto"/>
            <w:right w:val="none" w:sz="0" w:space="0" w:color="auto"/>
          </w:divBdr>
        </w:div>
        <w:div w:id="1418595642">
          <w:marLeft w:val="0"/>
          <w:marRight w:val="0"/>
          <w:marTop w:val="0"/>
          <w:marBottom w:val="0"/>
          <w:divBdr>
            <w:top w:val="none" w:sz="0" w:space="0" w:color="auto"/>
            <w:left w:val="none" w:sz="0" w:space="0" w:color="auto"/>
            <w:bottom w:val="none" w:sz="0" w:space="0" w:color="auto"/>
            <w:right w:val="none" w:sz="0" w:space="0" w:color="auto"/>
          </w:divBdr>
        </w:div>
        <w:div w:id="25058173">
          <w:marLeft w:val="0"/>
          <w:marRight w:val="0"/>
          <w:marTop w:val="0"/>
          <w:marBottom w:val="0"/>
          <w:divBdr>
            <w:top w:val="none" w:sz="0" w:space="0" w:color="auto"/>
            <w:left w:val="none" w:sz="0" w:space="0" w:color="auto"/>
            <w:bottom w:val="none" w:sz="0" w:space="0" w:color="auto"/>
            <w:right w:val="none" w:sz="0" w:space="0" w:color="auto"/>
          </w:divBdr>
        </w:div>
        <w:div w:id="2015958575">
          <w:marLeft w:val="0"/>
          <w:marRight w:val="0"/>
          <w:marTop w:val="0"/>
          <w:marBottom w:val="0"/>
          <w:divBdr>
            <w:top w:val="none" w:sz="0" w:space="0" w:color="auto"/>
            <w:left w:val="none" w:sz="0" w:space="0" w:color="auto"/>
            <w:bottom w:val="none" w:sz="0" w:space="0" w:color="auto"/>
            <w:right w:val="none" w:sz="0" w:space="0" w:color="auto"/>
          </w:divBdr>
        </w:div>
        <w:div w:id="456722223">
          <w:marLeft w:val="0"/>
          <w:marRight w:val="0"/>
          <w:marTop w:val="0"/>
          <w:marBottom w:val="0"/>
          <w:divBdr>
            <w:top w:val="none" w:sz="0" w:space="0" w:color="auto"/>
            <w:left w:val="none" w:sz="0" w:space="0" w:color="auto"/>
            <w:bottom w:val="none" w:sz="0" w:space="0" w:color="auto"/>
            <w:right w:val="none" w:sz="0" w:space="0" w:color="auto"/>
          </w:divBdr>
        </w:div>
        <w:div w:id="552081944">
          <w:marLeft w:val="0"/>
          <w:marRight w:val="0"/>
          <w:marTop w:val="0"/>
          <w:marBottom w:val="0"/>
          <w:divBdr>
            <w:top w:val="none" w:sz="0" w:space="0" w:color="auto"/>
            <w:left w:val="none" w:sz="0" w:space="0" w:color="auto"/>
            <w:bottom w:val="none" w:sz="0" w:space="0" w:color="auto"/>
            <w:right w:val="none" w:sz="0" w:space="0" w:color="auto"/>
          </w:divBdr>
        </w:div>
        <w:div w:id="467210505">
          <w:marLeft w:val="0"/>
          <w:marRight w:val="0"/>
          <w:marTop w:val="0"/>
          <w:marBottom w:val="0"/>
          <w:divBdr>
            <w:top w:val="none" w:sz="0" w:space="0" w:color="auto"/>
            <w:left w:val="none" w:sz="0" w:space="0" w:color="auto"/>
            <w:bottom w:val="none" w:sz="0" w:space="0" w:color="auto"/>
            <w:right w:val="none" w:sz="0" w:space="0" w:color="auto"/>
          </w:divBdr>
        </w:div>
        <w:div w:id="465319787">
          <w:marLeft w:val="0"/>
          <w:marRight w:val="0"/>
          <w:marTop w:val="0"/>
          <w:marBottom w:val="0"/>
          <w:divBdr>
            <w:top w:val="none" w:sz="0" w:space="0" w:color="auto"/>
            <w:left w:val="none" w:sz="0" w:space="0" w:color="auto"/>
            <w:bottom w:val="none" w:sz="0" w:space="0" w:color="auto"/>
            <w:right w:val="none" w:sz="0" w:space="0" w:color="auto"/>
          </w:divBdr>
        </w:div>
        <w:div w:id="388964399">
          <w:marLeft w:val="0"/>
          <w:marRight w:val="0"/>
          <w:marTop w:val="0"/>
          <w:marBottom w:val="0"/>
          <w:divBdr>
            <w:top w:val="none" w:sz="0" w:space="0" w:color="auto"/>
            <w:left w:val="none" w:sz="0" w:space="0" w:color="auto"/>
            <w:bottom w:val="none" w:sz="0" w:space="0" w:color="auto"/>
            <w:right w:val="none" w:sz="0" w:space="0" w:color="auto"/>
          </w:divBdr>
        </w:div>
        <w:div w:id="959142869">
          <w:marLeft w:val="0"/>
          <w:marRight w:val="0"/>
          <w:marTop w:val="0"/>
          <w:marBottom w:val="0"/>
          <w:divBdr>
            <w:top w:val="none" w:sz="0" w:space="0" w:color="auto"/>
            <w:left w:val="none" w:sz="0" w:space="0" w:color="auto"/>
            <w:bottom w:val="none" w:sz="0" w:space="0" w:color="auto"/>
            <w:right w:val="none" w:sz="0" w:space="0" w:color="auto"/>
          </w:divBdr>
        </w:div>
      </w:divsChild>
    </w:div>
    <w:div w:id="735014042">
      <w:bodyDiv w:val="1"/>
      <w:marLeft w:val="0"/>
      <w:marRight w:val="0"/>
      <w:marTop w:val="0"/>
      <w:marBottom w:val="0"/>
      <w:divBdr>
        <w:top w:val="none" w:sz="0" w:space="0" w:color="auto"/>
        <w:left w:val="none" w:sz="0" w:space="0" w:color="auto"/>
        <w:bottom w:val="none" w:sz="0" w:space="0" w:color="auto"/>
        <w:right w:val="none" w:sz="0" w:space="0" w:color="auto"/>
      </w:divBdr>
      <w:divsChild>
        <w:div w:id="649797839">
          <w:marLeft w:val="0"/>
          <w:marRight w:val="0"/>
          <w:marTop w:val="0"/>
          <w:marBottom w:val="0"/>
          <w:divBdr>
            <w:top w:val="none" w:sz="0" w:space="0" w:color="auto"/>
            <w:left w:val="none" w:sz="0" w:space="0" w:color="auto"/>
            <w:bottom w:val="none" w:sz="0" w:space="0" w:color="auto"/>
            <w:right w:val="none" w:sz="0" w:space="0" w:color="auto"/>
          </w:divBdr>
        </w:div>
        <w:div w:id="1227910874">
          <w:marLeft w:val="0"/>
          <w:marRight w:val="0"/>
          <w:marTop w:val="0"/>
          <w:marBottom w:val="0"/>
          <w:divBdr>
            <w:top w:val="none" w:sz="0" w:space="0" w:color="auto"/>
            <w:left w:val="none" w:sz="0" w:space="0" w:color="auto"/>
            <w:bottom w:val="none" w:sz="0" w:space="0" w:color="auto"/>
            <w:right w:val="none" w:sz="0" w:space="0" w:color="auto"/>
          </w:divBdr>
        </w:div>
        <w:div w:id="987899809">
          <w:marLeft w:val="0"/>
          <w:marRight w:val="0"/>
          <w:marTop w:val="0"/>
          <w:marBottom w:val="0"/>
          <w:divBdr>
            <w:top w:val="none" w:sz="0" w:space="0" w:color="auto"/>
            <w:left w:val="none" w:sz="0" w:space="0" w:color="auto"/>
            <w:bottom w:val="none" w:sz="0" w:space="0" w:color="auto"/>
            <w:right w:val="none" w:sz="0" w:space="0" w:color="auto"/>
          </w:divBdr>
        </w:div>
        <w:div w:id="1851723998">
          <w:marLeft w:val="0"/>
          <w:marRight w:val="0"/>
          <w:marTop w:val="0"/>
          <w:marBottom w:val="0"/>
          <w:divBdr>
            <w:top w:val="none" w:sz="0" w:space="0" w:color="auto"/>
            <w:left w:val="none" w:sz="0" w:space="0" w:color="auto"/>
            <w:bottom w:val="none" w:sz="0" w:space="0" w:color="auto"/>
            <w:right w:val="none" w:sz="0" w:space="0" w:color="auto"/>
          </w:divBdr>
        </w:div>
        <w:div w:id="535822908">
          <w:marLeft w:val="0"/>
          <w:marRight w:val="0"/>
          <w:marTop w:val="0"/>
          <w:marBottom w:val="0"/>
          <w:divBdr>
            <w:top w:val="none" w:sz="0" w:space="0" w:color="auto"/>
            <w:left w:val="none" w:sz="0" w:space="0" w:color="auto"/>
            <w:bottom w:val="none" w:sz="0" w:space="0" w:color="auto"/>
            <w:right w:val="none" w:sz="0" w:space="0" w:color="auto"/>
          </w:divBdr>
        </w:div>
        <w:div w:id="894124705">
          <w:marLeft w:val="0"/>
          <w:marRight w:val="0"/>
          <w:marTop w:val="0"/>
          <w:marBottom w:val="0"/>
          <w:divBdr>
            <w:top w:val="none" w:sz="0" w:space="0" w:color="auto"/>
            <w:left w:val="none" w:sz="0" w:space="0" w:color="auto"/>
            <w:bottom w:val="none" w:sz="0" w:space="0" w:color="auto"/>
            <w:right w:val="none" w:sz="0" w:space="0" w:color="auto"/>
          </w:divBdr>
        </w:div>
        <w:div w:id="662590970">
          <w:marLeft w:val="0"/>
          <w:marRight w:val="0"/>
          <w:marTop w:val="0"/>
          <w:marBottom w:val="0"/>
          <w:divBdr>
            <w:top w:val="none" w:sz="0" w:space="0" w:color="auto"/>
            <w:left w:val="none" w:sz="0" w:space="0" w:color="auto"/>
            <w:bottom w:val="none" w:sz="0" w:space="0" w:color="auto"/>
            <w:right w:val="none" w:sz="0" w:space="0" w:color="auto"/>
          </w:divBdr>
        </w:div>
        <w:div w:id="159778391">
          <w:marLeft w:val="0"/>
          <w:marRight w:val="0"/>
          <w:marTop w:val="0"/>
          <w:marBottom w:val="0"/>
          <w:divBdr>
            <w:top w:val="none" w:sz="0" w:space="0" w:color="auto"/>
            <w:left w:val="none" w:sz="0" w:space="0" w:color="auto"/>
            <w:bottom w:val="none" w:sz="0" w:space="0" w:color="auto"/>
            <w:right w:val="none" w:sz="0" w:space="0" w:color="auto"/>
          </w:divBdr>
        </w:div>
        <w:div w:id="1321543321">
          <w:marLeft w:val="0"/>
          <w:marRight w:val="0"/>
          <w:marTop w:val="0"/>
          <w:marBottom w:val="0"/>
          <w:divBdr>
            <w:top w:val="none" w:sz="0" w:space="0" w:color="auto"/>
            <w:left w:val="none" w:sz="0" w:space="0" w:color="auto"/>
            <w:bottom w:val="none" w:sz="0" w:space="0" w:color="auto"/>
            <w:right w:val="none" w:sz="0" w:space="0" w:color="auto"/>
          </w:divBdr>
        </w:div>
        <w:div w:id="1256860270">
          <w:marLeft w:val="0"/>
          <w:marRight w:val="0"/>
          <w:marTop w:val="0"/>
          <w:marBottom w:val="0"/>
          <w:divBdr>
            <w:top w:val="none" w:sz="0" w:space="0" w:color="auto"/>
            <w:left w:val="none" w:sz="0" w:space="0" w:color="auto"/>
            <w:bottom w:val="none" w:sz="0" w:space="0" w:color="auto"/>
            <w:right w:val="none" w:sz="0" w:space="0" w:color="auto"/>
          </w:divBdr>
        </w:div>
        <w:div w:id="1459453545">
          <w:marLeft w:val="0"/>
          <w:marRight w:val="0"/>
          <w:marTop w:val="0"/>
          <w:marBottom w:val="0"/>
          <w:divBdr>
            <w:top w:val="none" w:sz="0" w:space="0" w:color="auto"/>
            <w:left w:val="none" w:sz="0" w:space="0" w:color="auto"/>
            <w:bottom w:val="none" w:sz="0" w:space="0" w:color="auto"/>
            <w:right w:val="none" w:sz="0" w:space="0" w:color="auto"/>
          </w:divBdr>
        </w:div>
        <w:div w:id="733546455">
          <w:marLeft w:val="0"/>
          <w:marRight w:val="0"/>
          <w:marTop w:val="0"/>
          <w:marBottom w:val="0"/>
          <w:divBdr>
            <w:top w:val="none" w:sz="0" w:space="0" w:color="auto"/>
            <w:left w:val="none" w:sz="0" w:space="0" w:color="auto"/>
            <w:bottom w:val="none" w:sz="0" w:space="0" w:color="auto"/>
            <w:right w:val="none" w:sz="0" w:space="0" w:color="auto"/>
          </w:divBdr>
        </w:div>
        <w:div w:id="1473988100">
          <w:marLeft w:val="0"/>
          <w:marRight w:val="0"/>
          <w:marTop w:val="0"/>
          <w:marBottom w:val="0"/>
          <w:divBdr>
            <w:top w:val="none" w:sz="0" w:space="0" w:color="auto"/>
            <w:left w:val="none" w:sz="0" w:space="0" w:color="auto"/>
            <w:bottom w:val="none" w:sz="0" w:space="0" w:color="auto"/>
            <w:right w:val="none" w:sz="0" w:space="0" w:color="auto"/>
          </w:divBdr>
        </w:div>
        <w:div w:id="875239833">
          <w:marLeft w:val="0"/>
          <w:marRight w:val="0"/>
          <w:marTop w:val="0"/>
          <w:marBottom w:val="0"/>
          <w:divBdr>
            <w:top w:val="none" w:sz="0" w:space="0" w:color="auto"/>
            <w:left w:val="none" w:sz="0" w:space="0" w:color="auto"/>
            <w:bottom w:val="none" w:sz="0" w:space="0" w:color="auto"/>
            <w:right w:val="none" w:sz="0" w:space="0" w:color="auto"/>
          </w:divBdr>
        </w:div>
        <w:div w:id="623117609">
          <w:marLeft w:val="0"/>
          <w:marRight w:val="0"/>
          <w:marTop w:val="0"/>
          <w:marBottom w:val="0"/>
          <w:divBdr>
            <w:top w:val="none" w:sz="0" w:space="0" w:color="auto"/>
            <w:left w:val="none" w:sz="0" w:space="0" w:color="auto"/>
            <w:bottom w:val="none" w:sz="0" w:space="0" w:color="auto"/>
            <w:right w:val="none" w:sz="0" w:space="0" w:color="auto"/>
          </w:divBdr>
        </w:div>
        <w:div w:id="2092971119">
          <w:marLeft w:val="0"/>
          <w:marRight w:val="0"/>
          <w:marTop w:val="0"/>
          <w:marBottom w:val="0"/>
          <w:divBdr>
            <w:top w:val="none" w:sz="0" w:space="0" w:color="auto"/>
            <w:left w:val="none" w:sz="0" w:space="0" w:color="auto"/>
            <w:bottom w:val="none" w:sz="0" w:space="0" w:color="auto"/>
            <w:right w:val="none" w:sz="0" w:space="0" w:color="auto"/>
          </w:divBdr>
        </w:div>
        <w:div w:id="341668152">
          <w:marLeft w:val="0"/>
          <w:marRight w:val="0"/>
          <w:marTop w:val="0"/>
          <w:marBottom w:val="0"/>
          <w:divBdr>
            <w:top w:val="none" w:sz="0" w:space="0" w:color="auto"/>
            <w:left w:val="none" w:sz="0" w:space="0" w:color="auto"/>
            <w:bottom w:val="none" w:sz="0" w:space="0" w:color="auto"/>
            <w:right w:val="none" w:sz="0" w:space="0" w:color="auto"/>
          </w:divBdr>
        </w:div>
        <w:div w:id="758988919">
          <w:marLeft w:val="0"/>
          <w:marRight w:val="0"/>
          <w:marTop w:val="0"/>
          <w:marBottom w:val="0"/>
          <w:divBdr>
            <w:top w:val="none" w:sz="0" w:space="0" w:color="auto"/>
            <w:left w:val="none" w:sz="0" w:space="0" w:color="auto"/>
            <w:bottom w:val="none" w:sz="0" w:space="0" w:color="auto"/>
            <w:right w:val="none" w:sz="0" w:space="0" w:color="auto"/>
          </w:divBdr>
        </w:div>
      </w:divsChild>
    </w:div>
    <w:div w:id="773288841">
      <w:bodyDiv w:val="1"/>
      <w:marLeft w:val="0"/>
      <w:marRight w:val="0"/>
      <w:marTop w:val="0"/>
      <w:marBottom w:val="0"/>
      <w:divBdr>
        <w:top w:val="none" w:sz="0" w:space="0" w:color="auto"/>
        <w:left w:val="none" w:sz="0" w:space="0" w:color="auto"/>
        <w:bottom w:val="none" w:sz="0" w:space="0" w:color="auto"/>
        <w:right w:val="none" w:sz="0" w:space="0" w:color="auto"/>
      </w:divBdr>
      <w:divsChild>
        <w:div w:id="880172049">
          <w:marLeft w:val="0"/>
          <w:marRight w:val="0"/>
          <w:marTop w:val="0"/>
          <w:marBottom w:val="0"/>
          <w:divBdr>
            <w:top w:val="none" w:sz="0" w:space="0" w:color="auto"/>
            <w:left w:val="none" w:sz="0" w:space="0" w:color="auto"/>
            <w:bottom w:val="none" w:sz="0" w:space="0" w:color="auto"/>
            <w:right w:val="none" w:sz="0" w:space="0" w:color="auto"/>
          </w:divBdr>
        </w:div>
        <w:div w:id="646205718">
          <w:marLeft w:val="0"/>
          <w:marRight w:val="0"/>
          <w:marTop w:val="0"/>
          <w:marBottom w:val="0"/>
          <w:divBdr>
            <w:top w:val="none" w:sz="0" w:space="0" w:color="auto"/>
            <w:left w:val="none" w:sz="0" w:space="0" w:color="auto"/>
            <w:bottom w:val="none" w:sz="0" w:space="0" w:color="auto"/>
            <w:right w:val="none" w:sz="0" w:space="0" w:color="auto"/>
          </w:divBdr>
        </w:div>
        <w:div w:id="1300304251">
          <w:marLeft w:val="0"/>
          <w:marRight w:val="0"/>
          <w:marTop w:val="0"/>
          <w:marBottom w:val="0"/>
          <w:divBdr>
            <w:top w:val="none" w:sz="0" w:space="0" w:color="auto"/>
            <w:left w:val="none" w:sz="0" w:space="0" w:color="auto"/>
            <w:bottom w:val="none" w:sz="0" w:space="0" w:color="auto"/>
            <w:right w:val="none" w:sz="0" w:space="0" w:color="auto"/>
          </w:divBdr>
        </w:div>
        <w:div w:id="582953361">
          <w:marLeft w:val="0"/>
          <w:marRight w:val="0"/>
          <w:marTop w:val="0"/>
          <w:marBottom w:val="0"/>
          <w:divBdr>
            <w:top w:val="none" w:sz="0" w:space="0" w:color="auto"/>
            <w:left w:val="none" w:sz="0" w:space="0" w:color="auto"/>
            <w:bottom w:val="none" w:sz="0" w:space="0" w:color="auto"/>
            <w:right w:val="none" w:sz="0" w:space="0" w:color="auto"/>
          </w:divBdr>
        </w:div>
        <w:div w:id="795635465">
          <w:marLeft w:val="0"/>
          <w:marRight w:val="0"/>
          <w:marTop w:val="0"/>
          <w:marBottom w:val="0"/>
          <w:divBdr>
            <w:top w:val="none" w:sz="0" w:space="0" w:color="auto"/>
            <w:left w:val="none" w:sz="0" w:space="0" w:color="auto"/>
            <w:bottom w:val="none" w:sz="0" w:space="0" w:color="auto"/>
            <w:right w:val="none" w:sz="0" w:space="0" w:color="auto"/>
          </w:divBdr>
        </w:div>
        <w:div w:id="1659652695">
          <w:marLeft w:val="0"/>
          <w:marRight w:val="0"/>
          <w:marTop w:val="0"/>
          <w:marBottom w:val="0"/>
          <w:divBdr>
            <w:top w:val="none" w:sz="0" w:space="0" w:color="auto"/>
            <w:left w:val="none" w:sz="0" w:space="0" w:color="auto"/>
            <w:bottom w:val="none" w:sz="0" w:space="0" w:color="auto"/>
            <w:right w:val="none" w:sz="0" w:space="0" w:color="auto"/>
          </w:divBdr>
        </w:div>
        <w:div w:id="19087508">
          <w:marLeft w:val="0"/>
          <w:marRight w:val="0"/>
          <w:marTop w:val="0"/>
          <w:marBottom w:val="0"/>
          <w:divBdr>
            <w:top w:val="none" w:sz="0" w:space="0" w:color="auto"/>
            <w:left w:val="none" w:sz="0" w:space="0" w:color="auto"/>
            <w:bottom w:val="none" w:sz="0" w:space="0" w:color="auto"/>
            <w:right w:val="none" w:sz="0" w:space="0" w:color="auto"/>
          </w:divBdr>
        </w:div>
        <w:div w:id="230122668">
          <w:marLeft w:val="0"/>
          <w:marRight w:val="0"/>
          <w:marTop w:val="0"/>
          <w:marBottom w:val="0"/>
          <w:divBdr>
            <w:top w:val="none" w:sz="0" w:space="0" w:color="auto"/>
            <w:left w:val="none" w:sz="0" w:space="0" w:color="auto"/>
            <w:bottom w:val="none" w:sz="0" w:space="0" w:color="auto"/>
            <w:right w:val="none" w:sz="0" w:space="0" w:color="auto"/>
          </w:divBdr>
        </w:div>
        <w:div w:id="1225407130">
          <w:marLeft w:val="0"/>
          <w:marRight w:val="0"/>
          <w:marTop w:val="0"/>
          <w:marBottom w:val="0"/>
          <w:divBdr>
            <w:top w:val="none" w:sz="0" w:space="0" w:color="auto"/>
            <w:left w:val="none" w:sz="0" w:space="0" w:color="auto"/>
            <w:bottom w:val="none" w:sz="0" w:space="0" w:color="auto"/>
            <w:right w:val="none" w:sz="0" w:space="0" w:color="auto"/>
          </w:divBdr>
        </w:div>
      </w:divsChild>
    </w:div>
    <w:div w:id="789668381">
      <w:bodyDiv w:val="1"/>
      <w:marLeft w:val="0"/>
      <w:marRight w:val="0"/>
      <w:marTop w:val="0"/>
      <w:marBottom w:val="0"/>
      <w:divBdr>
        <w:top w:val="none" w:sz="0" w:space="0" w:color="auto"/>
        <w:left w:val="none" w:sz="0" w:space="0" w:color="auto"/>
        <w:bottom w:val="none" w:sz="0" w:space="0" w:color="auto"/>
        <w:right w:val="none" w:sz="0" w:space="0" w:color="auto"/>
      </w:divBdr>
      <w:divsChild>
        <w:div w:id="1048264021">
          <w:marLeft w:val="0"/>
          <w:marRight w:val="0"/>
          <w:marTop w:val="0"/>
          <w:marBottom w:val="0"/>
          <w:divBdr>
            <w:top w:val="none" w:sz="0" w:space="0" w:color="auto"/>
            <w:left w:val="none" w:sz="0" w:space="0" w:color="auto"/>
            <w:bottom w:val="none" w:sz="0" w:space="0" w:color="auto"/>
            <w:right w:val="none" w:sz="0" w:space="0" w:color="auto"/>
          </w:divBdr>
        </w:div>
        <w:div w:id="2120181701">
          <w:marLeft w:val="0"/>
          <w:marRight w:val="0"/>
          <w:marTop w:val="0"/>
          <w:marBottom w:val="0"/>
          <w:divBdr>
            <w:top w:val="none" w:sz="0" w:space="0" w:color="auto"/>
            <w:left w:val="none" w:sz="0" w:space="0" w:color="auto"/>
            <w:bottom w:val="none" w:sz="0" w:space="0" w:color="auto"/>
            <w:right w:val="none" w:sz="0" w:space="0" w:color="auto"/>
          </w:divBdr>
        </w:div>
        <w:div w:id="308218585">
          <w:marLeft w:val="0"/>
          <w:marRight w:val="0"/>
          <w:marTop w:val="0"/>
          <w:marBottom w:val="0"/>
          <w:divBdr>
            <w:top w:val="none" w:sz="0" w:space="0" w:color="auto"/>
            <w:left w:val="none" w:sz="0" w:space="0" w:color="auto"/>
            <w:bottom w:val="none" w:sz="0" w:space="0" w:color="auto"/>
            <w:right w:val="none" w:sz="0" w:space="0" w:color="auto"/>
          </w:divBdr>
        </w:div>
      </w:divsChild>
    </w:div>
    <w:div w:id="801534470">
      <w:bodyDiv w:val="1"/>
      <w:marLeft w:val="0"/>
      <w:marRight w:val="0"/>
      <w:marTop w:val="0"/>
      <w:marBottom w:val="0"/>
      <w:divBdr>
        <w:top w:val="none" w:sz="0" w:space="0" w:color="auto"/>
        <w:left w:val="none" w:sz="0" w:space="0" w:color="auto"/>
        <w:bottom w:val="none" w:sz="0" w:space="0" w:color="auto"/>
        <w:right w:val="none" w:sz="0" w:space="0" w:color="auto"/>
      </w:divBdr>
      <w:divsChild>
        <w:div w:id="1721131050">
          <w:marLeft w:val="0"/>
          <w:marRight w:val="0"/>
          <w:marTop w:val="0"/>
          <w:marBottom w:val="0"/>
          <w:divBdr>
            <w:top w:val="none" w:sz="0" w:space="0" w:color="auto"/>
            <w:left w:val="none" w:sz="0" w:space="0" w:color="auto"/>
            <w:bottom w:val="none" w:sz="0" w:space="0" w:color="auto"/>
            <w:right w:val="none" w:sz="0" w:space="0" w:color="auto"/>
          </w:divBdr>
        </w:div>
        <w:div w:id="1120758831">
          <w:marLeft w:val="0"/>
          <w:marRight w:val="0"/>
          <w:marTop w:val="0"/>
          <w:marBottom w:val="0"/>
          <w:divBdr>
            <w:top w:val="none" w:sz="0" w:space="0" w:color="auto"/>
            <w:left w:val="none" w:sz="0" w:space="0" w:color="auto"/>
            <w:bottom w:val="none" w:sz="0" w:space="0" w:color="auto"/>
            <w:right w:val="none" w:sz="0" w:space="0" w:color="auto"/>
          </w:divBdr>
        </w:div>
        <w:div w:id="2001544690">
          <w:marLeft w:val="0"/>
          <w:marRight w:val="0"/>
          <w:marTop w:val="0"/>
          <w:marBottom w:val="0"/>
          <w:divBdr>
            <w:top w:val="none" w:sz="0" w:space="0" w:color="auto"/>
            <w:left w:val="none" w:sz="0" w:space="0" w:color="auto"/>
            <w:bottom w:val="none" w:sz="0" w:space="0" w:color="auto"/>
            <w:right w:val="none" w:sz="0" w:space="0" w:color="auto"/>
          </w:divBdr>
        </w:div>
        <w:div w:id="1323510048">
          <w:marLeft w:val="0"/>
          <w:marRight w:val="0"/>
          <w:marTop w:val="0"/>
          <w:marBottom w:val="0"/>
          <w:divBdr>
            <w:top w:val="none" w:sz="0" w:space="0" w:color="auto"/>
            <w:left w:val="none" w:sz="0" w:space="0" w:color="auto"/>
            <w:bottom w:val="none" w:sz="0" w:space="0" w:color="auto"/>
            <w:right w:val="none" w:sz="0" w:space="0" w:color="auto"/>
          </w:divBdr>
        </w:div>
        <w:div w:id="1376127152">
          <w:marLeft w:val="0"/>
          <w:marRight w:val="0"/>
          <w:marTop w:val="0"/>
          <w:marBottom w:val="0"/>
          <w:divBdr>
            <w:top w:val="none" w:sz="0" w:space="0" w:color="auto"/>
            <w:left w:val="none" w:sz="0" w:space="0" w:color="auto"/>
            <w:bottom w:val="none" w:sz="0" w:space="0" w:color="auto"/>
            <w:right w:val="none" w:sz="0" w:space="0" w:color="auto"/>
          </w:divBdr>
        </w:div>
        <w:div w:id="1245921675">
          <w:marLeft w:val="0"/>
          <w:marRight w:val="0"/>
          <w:marTop w:val="0"/>
          <w:marBottom w:val="0"/>
          <w:divBdr>
            <w:top w:val="none" w:sz="0" w:space="0" w:color="auto"/>
            <w:left w:val="none" w:sz="0" w:space="0" w:color="auto"/>
            <w:bottom w:val="none" w:sz="0" w:space="0" w:color="auto"/>
            <w:right w:val="none" w:sz="0" w:space="0" w:color="auto"/>
          </w:divBdr>
        </w:div>
        <w:div w:id="2066366608">
          <w:marLeft w:val="0"/>
          <w:marRight w:val="0"/>
          <w:marTop w:val="0"/>
          <w:marBottom w:val="0"/>
          <w:divBdr>
            <w:top w:val="none" w:sz="0" w:space="0" w:color="auto"/>
            <w:left w:val="none" w:sz="0" w:space="0" w:color="auto"/>
            <w:bottom w:val="none" w:sz="0" w:space="0" w:color="auto"/>
            <w:right w:val="none" w:sz="0" w:space="0" w:color="auto"/>
          </w:divBdr>
        </w:div>
        <w:div w:id="1930045864">
          <w:marLeft w:val="0"/>
          <w:marRight w:val="0"/>
          <w:marTop w:val="0"/>
          <w:marBottom w:val="0"/>
          <w:divBdr>
            <w:top w:val="none" w:sz="0" w:space="0" w:color="auto"/>
            <w:left w:val="none" w:sz="0" w:space="0" w:color="auto"/>
            <w:bottom w:val="none" w:sz="0" w:space="0" w:color="auto"/>
            <w:right w:val="none" w:sz="0" w:space="0" w:color="auto"/>
          </w:divBdr>
        </w:div>
        <w:div w:id="571740633">
          <w:marLeft w:val="0"/>
          <w:marRight w:val="0"/>
          <w:marTop w:val="0"/>
          <w:marBottom w:val="0"/>
          <w:divBdr>
            <w:top w:val="none" w:sz="0" w:space="0" w:color="auto"/>
            <w:left w:val="none" w:sz="0" w:space="0" w:color="auto"/>
            <w:bottom w:val="none" w:sz="0" w:space="0" w:color="auto"/>
            <w:right w:val="none" w:sz="0" w:space="0" w:color="auto"/>
          </w:divBdr>
        </w:div>
        <w:div w:id="912157454">
          <w:marLeft w:val="0"/>
          <w:marRight w:val="0"/>
          <w:marTop w:val="0"/>
          <w:marBottom w:val="0"/>
          <w:divBdr>
            <w:top w:val="none" w:sz="0" w:space="0" w:color="auto"/>
            <w:left w:val="none" w:sz="0" w:space="0" w:color="auto"/>
            <w:bottom w:val="none" w:sz="0" w:space="0" w:color="auto"/>
            <w:right w:val="none" w:sz="0" w:space="0" w:color="auto"/>
          </w:divBdr>
        </w:div>
      </w:divsChild>
    </w:div>
    <w:div w:id="811407472">
      <w:bodyDiv w:val="1"/>
      <w:marLeft w:val="0"/>
      <w:marRight w:val="0"/>
      <w:marTop w:val="0"/>
      <w:marBottom w:val="0"/>
      <w:divBdr>
        <w:top w:val="none" w:sz="0" w:space="0" w:color="auto"/>
        <w:left w:val="none" w:sz="0" w:space="0" w:color="auto"/>
        <w:bottom w:val="none" w:sz="0" w:space="0" w:color="auto"/>
        <w:right w:val="none" w:sz="0" w:space="0" w:color="auto"/>
      </w:divBdr>
      <w:divsChild>
        <w:div w:id="1411584817">
          <w:marLeft w:val="0"/>
          <w:marRight w:val="0"/>
          <w:marTop w:val="0"/>
          <w:marBottom w:val="0"/>
          <w:divBdr>
            <w:top w:val="none" w:sz="0" w:space="0" w:color="auto"/>
            <w:left w:val="none" w:sz="0" w:space="0" w:color="auto"/>
            <w:bottom w:val="none" w:sz="0" w:space="0" w:color="auto"/>
            <w:right w:val="none" w:sz="0" w:space="0" w:color="auto"/>
          </w:divBdr>
        </w:div>
        <w:div w:id="1246453927">
          <w:marLeft w:val="0"/>
          <w:marRight w:val="0"/>
          <w:marTop w:val="0"/>
          <w:marBottom w:val="0"/>
          <w:divBdr>
            <w:top w:val="none" w:sz="0" w:space="0" w:color="auto"/>
            <w:left w:val="none" w:sz="0" w:space="0" w:color="auto"/>
            <w:bottom w:val="none" w:sz="0" w:space="0" w:color="auto"/>
            <w:right w:val="none" w:sz="0" w:space="0" w:color="auto"/>
          </w:divBdr>
        </w:div>
        <w:div w:id="2032488023">
          <w:marLeft w:val="0"/>
          <w:marRight w:val="0"/>
          <w:marTop w:val="0"/>
          <w:marBottom w:val="0"/>
          <w:divBdr>
            <w:top w:val="none" w:sz="0" w:space="0" w:color="auto"/>
            <w:left w:val="none" w:sz="0" w:space="0" w:color="auto"/>
            <w:bottom w:val="none" w:sz="0" w:space="0" w:color="auto"/>
            <w:right w:val="none" w:sz="0" w:space="0" w:color="auto"/>
          </w:divBdr>
        </w:div>
        <w:div w:id="1983728015">
          <w:marLeft w:val="0"/>
          <w:marRight w:val="0"/>
          <w:marTop w:val="0"/>
          <w:marBottom w:val="0"/>
          <w:divBdr>
            <w:top w:val="none" w:sz="0" w:space="0" w:color="auto"/>
            <w:left w:val="none" w:sz="0" w:space="0" w:color="auto"/>
            <w:bottom w:val="none" w:sz="0" w:space="0" w:color="auto"/>
            <w:right w:val="none" w:sz="0" w:space="0" w:color="auto"/>
          </w:divBdr>
        </w:div>
        <w:div w:id="375324973">
          <w:marLeft w:val="0"/>
          <w:marRight w:val="0"/>
          <w:marTop w:val="0"/>
          <w:marBottom w:val="0"/>
          <w:divBdr>
            <w:top w:val="none" w:sz="0" w:space="0" w:color="auto"/>
            <w:left w:val="none" w:sz="0" w:space="0" w:color="auto"/>
            <w:bottom w:val="none" w:sz="0" w:space="0" w:color="auto"/>
            <w:right w:val="none" w:sz="0" w:space="0" w:color="auto"/>
          </w:divBdr>
        </w:div>
      </w:divsChild>
    </w:div>
    <w:div w:id="816729409">
      <w:bodyDiv w:val="1"/>
      <w:marLeft w:val="0"/>
      <w:marRight w:val="0"/>
      <w:marTop w:val="0"/>
      <w:marBottom w:val="0"/>
      <w:divBdr>
        <w:top w:val="none" w:sz="0" w:space="0" w:color="auto"/>
        <w:left w:val="none" w:sz="0" w:space="0" w:color="auto"/>
        <w:bottom w:val="none" w:sz="0" w:space="0" w:color="auto"/>
        <w:right w:val="none" w:sz="0" w:space="0" w:color="auto"/>
      </w:divBdr>
      <w:divsChild>
        <w:div w:id="356008446">
          <w:marLeft w:val="0"/>
          <w:marRight w:val="0"/>
          <w:marTop w:val="0"/>
          <w:marBottom w:val="0"/>
          <w:divBdr>
            <w:top w:val="none" w:sz="0" w:space="0" w:color="auto"/>
            <w:left w:val="none" w:sz="0" w:space="0" w:color="auto"/>
            <w:bottom w:val="none" w:sz="0" w:space="0" w:color="auto"/>
            <w:right w:val="none" w:sz="0" w:space="0" w:color="auto"/>
          </w:divBdr>
        </w:div>
        <w:div w:id="952442883">
          <w:marLeft w:val="0"/>
          <w:marRight w:val="0"/>
          <w:marTop w:val="0"/>
          <w:marBottom w:val="0"/>
          <w:divBdr>
            <w:top w:val="none" w:sz="0" w:space="0" w:color="auto"/>
            <w:left w:val="none" w:sz="0" w:space="0" w:color="auto"/>
            <w:bottom w:val="none" w:sz="0" w:space="0" w:color="auto"/>
            <w:right w:val="none" w:sz="0" w:space="0" w:color="auto"/>
          </w:divBdr>
        </w:div>
        <w:div w:id="374354875">
          <w:marLeft w:val="0"/>
          <w:marRight w:val="0"/>
          <w:marTop w:val="0"/>
          <w:marBottom w:val="0"/>
          <w:divBdr>
            <w:top w:val="none" w:sz="0" w:space="0" w:color="auto"/>
            <w:left w:val="none" w:sz="0" w:space="0" w:color="auto"/>
            <w:bottom w:val="none" w:sz="0" w:space="0" w:color="auto"/>
            <w:right w:val="none" w:sz="0" w:space="0" w:color="auto"/>
          </w:divBdr>
        </w:div>
      </w:divsChild>
    </w:div>
    <w:div w:id="860313648">
      <w:bodyDiv w:val="1"/>
      <w:marLeft w:val="0"/>
      <w:marRight w:val="0"/>
      <w:marTop w:val="0"/>
      <w:marBottom w:val="0"/>
      <w:divBdr>
        <w:top w:val="none" w:sz="0" w:space="0" w:color="auto"/>
        <w:left w:val="none" w:sz="0" w:space="0" w:color="auto"/>
        <w:bottom w:val="none" w:sz="0" w:space="0" w:color="auto"/>
        <w:right w:val="none" w:sz="0" w:space="0" w:color="auto"/>
      </w:divBdr>
      <w:divsChild>
        <w:div w:id="395855578">
          <w:marLeft w:val="0"/>
          <w:marRight w:val="0"/>
          <w:marTop w:val="0"/>
          <w:marBottom w:val="0"/>
          <w:divBdr>
            <w:top w:val="none" w:sz="0" w:space="0" w:color="auto"/>
            <w:left w:val="none" w:sz="0" w:space="0" w:color="auto"/>
            <w:bottom w:val="none" w:sz="0" w:space="0" w:color="auto"/>
            <w:right w:val="none" w:sz="0" w:space="0" w:color="auto"/>
          </w:divBdr>
        </w:div>
        <w:div w:id="697897741">
          <w:marLeft w:val="0"/>
          <w:marRight w:val="0"/>
          <w:marTop w:val="0"/>
          <w:marBottom w:val="0"/>
          <w:divBdr>
            <w:top w:val="none" w:sz="0" w:space="0" w:color="auto"/>
            <w:left w:val="none" w:sz="0" w:space="0" w:color="auto"/>
            <w:bottom w:val="none" w:sz="0" w:space="0" w:color="auto"/>
            <w:right w:val="none" w:sz="0" w:space="0" w:color="auto"/>
          </w:divBdr>
        </w:div>
        <w:div w:id="1552183638">
          <w:marLeft w:val="0"/>
          <w:marRight w:val="0"/>
          <w:marTop w:val="0"/>
          <w:marBottom w:val="0"/>
          <w:divBdr>
            <w:top w:val="none" w:sz="0" w:space="0" w:color="auto"/>
            <w:left w:val="none" w:sz="0" w:space="0" w:color="auto"/>
            <w:bottom w:val="none" w:sz="0" w:space="0" w:color="auto"/>
            <w:right w:val="none" w:sz="0" w:space="0" w:color="auto"/>
          </w:divBdr>
        </w:div>
        <w:div w:id="591089752">
          <w:marLeft w:val="0"/>
          <w:marRight w:val="0"/>
          <w:marTop w:val="0"/>
          <w:marBottom w:val="0"/>
          <w:divBdr>
            <w:top w:val="none" w:sz="0" w:space="0" w:color="auto"/>
            <w:left w:val="none" w:sz="0" w:space="0" w:color="auto"/>
            <w:bottom w:val="none" w:sz="0" w:space="0" w:color="auto"/>
            <w:right w:val="none" w:sz="0" w:space="0" w:color="auto"/>
          </w:divBdr>
        </w:div>
        <w:div w:id="1424254013">
          <w:marLeft w:val="0"/>
          <w:marRight w:val="0"/>
          <w:marTop w:val="0"/>
          <w:marBottom w:val="0"/>
          <w:divBdr>
            <w:top w:val="none" w:sz="0" w:space="0" w:color="auto"/>
            <w:left w:val="none" w:sz="0" w:space="0" w:color="auto"/>
            <w:bottom w:val="none" w:sz="0" w:space="0" w:color="auto"/>
            <w:right w:val="none" w:sz="0" w:space="0" w:color="auto"/>
          </w:divBdr>
        </w:div>
        <w:div w:id="411439670">
          <w:marLeft w:val="0"/>
          <w:marRight w:val="0"/>
          <w:marTop w:val="0"/>
          <w:marBottom w:val="0"/>
          <w:divBdr>
            <w:top w:val="none" w:sz="0" w:space="0" w:color="auto"/>
            <w:left w:val="none" w:sz="0" w:space="0" w:color="auto"/>
            <w:bottom w:val="none" w:sz="0" w:space="0" w:color="auto"/>
            <w:right w:val="none" w:sz="0" w:space="0" w:color="auto"/>
          </w:divBdr>
        </w:div>
        <w:div w:id="839612947">
          <w:marLeft w:val="0"/>
          <w:marRight w:val="0"/>
          <w:marTop w:val="0"/>
          <w:marBottom w:val="0"/>
          <w:divBdr>
            <w:top w:val="none" w:sz="0" w:space="0" w:color="auto"/>
            <w:left w:val="none" w:sz="0" w:space="0" w:color="auto"/>
            <w:bottom w:val="none" w:sz="0" w:space="0" w:color="auto"/>
            <w:right w:val="none" w:sz="0" w:space="0" w:color="auto"/>
          </w:divBdr>
        </w:div>
        <w:div w:id="1668441616">
          <w:marLeft w:val="0"/>
          <w:marRight w:val="0"/>
          <w:marTop w:val="0"/>
          <w:marBottom w:val="0"/>
          <w:divBdr>
            <w:top w:val="none" w:sz="0" w:space="0" w:color="auto"/>
            <w:left w:val="none" w:sz="0" w:space="0" w:color="auto"/>
            <w:bottom w:val="none" w:sz="0" w:space="0" w:color="auto"/>
            <w:right w:val="none" w:sz="0" w:space="0" w:color="auto"/>
          </w:divBdr>
        </w:div>
        <w:div w:id="511188149">
          <w:marLeft w:val="0"/>
          <w:marRight w:val="0"/>
          <w:marTop w:val="0"/>
          <w:marBottom w:val="0"/>
          <w:divBdr>
            <w:top w:val="none" w:sz="0" w:space="0" w:color="auto"/>
            <w:left w:val="none" w:sz="0" w:space="0" w:color="auto"/>
            <w:bottom w:val="none" w:sz="0" w:space="0" w:color="auto"/>
            <w:right w:val="none" w:sz="0" w:space="0" w:color="auto"/>
          </w:divBdr>
        </w:div>
        <w:div w:id="1366950980">
          <w:marLeft w:val="0"/>
          <w:marRight w:val="0"/>
          <w:marTop w:val="0"/>
          <w:marBottom w:val="0"/>
          <w:divBdr>
            <w:top w:val="none" w:sz="0" w:space="0" w:color="auto"/>
            <w:left w:val="none" w:sz="0" w:space="0" w:color="auto"/>
            <w:bottom w:val="none" w:sz="0" w:space="0" w:color="auto"/>
            <w:right w:val="none" w:sz="0" w:space="0" w:color="auto"/>
          </w:divBdr>
        </w:div>
        <w:div w:id="804158973">
          <w:marLeft w:val="0"/>
          <w:marRight w:val="0"/>
          <w:marTop w:val="0"/>
          <w:marBottom w:val="0"/>
          <w:divBdr>
            <w:top w:val="none" w:sz="0" w:space="0" w:color="auto"/>
            <w:left w:val="none" w:sz="0" w:space="0" w:color="auto"/>
            <w:bottom w:val="none" w:sz="0" w:space="0" w:color="auto"/>
            <w:right w:val="none" w:sz="0" w:space="0" w:color="auto"/>
          </w:divBdr>
        </w:div>
        <w:div w:id="1882594971">
          <w:marLeft w:val="0"/>
          <w:marRight w:val="0"/>
          <w:marTop w:val="0"/>
          <w:marBottom w:val="0"/>
          <w:divBdr>
            <w:top w:val="none" w:sz="0" w:space="0" w:color="auto"/>
            <w:left w:val="none" w:sz="0" w:space="0" w:color="auto"/>
            <w:bottom w:val="none" w:sz="0" w:space="0" w:color="auto"/>
            <w:right w:val="none" w:sz="0" w:space="0" w:color="auto"/>
          </w:divBdr>
        </w:div>
        <w:div w:id="750004089">
          <w:marLeft w:val="0"/>
          <w:marRight w:val="0"/>
          <w:marTop w:val="0"/>
          <w:marBottom w:val="0"/>
          <w:divBdr>
            <w:top w:val="none" w:sz="0" w:space="0" w:color="auto"/>
            <w:left w:val="none" w:sz="0" w:space="0" w:color="auto"/>
            <w:bottom w:val="none" w:sz="0" w:space="0" w:color="auto"/>
            <w:right w:val="none" w:sz="0" w:space="0" w:color="auto"/>
          </w:divBdr>
        </w:div>
        <w:div w:id="1752043259">
          <w:marLeft w:val="0"/>
          <w:marRight w:val="0"/>
          <w:marTop w:val="0"/>
          <w:marBottom w:val="0"/>
          <w:divBdr>
            <w:top w:val="none" w:sz="0" w:space="0" w:color="auto"/>
            <w:left w:val="none" w:sz="0" w:space="0" w:color="auto"/>
            <w:bottom w:val="none" w:sz="0" w:space="0" w:color="auto"/>
            <w:right w:val="none" w:sz="0" w:space="0" w:color="auto"/>
          </w:divBdr>
        </w:div>
      </w:divsChild>
    </w:div>
    <w:div w:id="863978616">
      <w:bodyDiv w:val="1"/>
      <w:marLeft w:val="0"/>
      <w:marRight w:val="0"/>
      <w:marTop w:val="0"/>
      <w:marBottom w:val="0"/>
      <w:divBdr>
        <w:top w:val="none" w:sz="0" w:space="0" w:color="auto"/>
        <w:left w:val="none" w:sz="0" w:space="0" w:color="auto"/>
        <w:bottom w:val="none" w:sz="0" w:space="0" w:color="auto"/>
        <w:right w:val="none" w:sz="0" w:space="0" w:color="auto"/>
      </w:divBdr>
      <w:divsChild>
        <w:div w:id="263463771">
          <w:marLeft w:val="0"/>
          <w:marRight w:val="0"/>
          <w:marTop w:val="0"/>
          <w:marBottom w:val="0"/>
          <w:divBdr>
            <w:top w:val="none" w:sz="0" w:space="0" w:color="auto"/>
            <w:left w:val="none" w:sz="0" w:space="0" w:color="auto"/>
            <w:bottom w:val="none" w:sz="0" w:space="0" w:color="auto"/>
            <w:right w:val="none" w:sz="0" w:space="0" w:color="auto"/>
          </w:divBdr>
        </w:div>
        <w:div w:id="1546601192">
          <w:marLeft w:val="0"/>
          <w:marRight w:val="0"/>
          <w:marTop w:val="0"/>
          <w:marBottom w:val="0"/>
          <w:divBdr>
            <w:top w:val="none" w:sz="0" w:space="0" w:color="auto"/>
            <w:left w:val="none" w:sz="0" w:space="0" w:color="auto"/>
            <w:bottom w:val="none" w:sz="0" w:space="0" w:color="auto"/>
            <w:right w:val="none" w:sz="0" w:space="0" w:color="auto"/>
          </w:divBdr>
        </w:div>
        <w:div w:id="1575434428">
          <w:marLeft w:val="0"/>
          <w:marRight w:val="0"/>
          <w:marTop w:val="0"/>
          <w:marBottom w:val="0"/>
          <w:divBdr>
            <w:top w:val="none" w:sz="0" w:space="0" w:color="auto"/>
            <w:left w:val="none" w:sz="0" w:space="0" w:color="auto"/>
            <w:bottom w:val="none" w:sz="0" w:space="0" w:color="auto"/>
            <w:right w:val="none" w:sz="0" w:space="0" w:color="auto"/>
          </w:divBdr>
        </w:div>
        <w:div w:id="274561734">
          <w:marLeft w:val="0"/>
          <w:marRight w:val="0"/>
          <w:marTop w:val="0"/>
          <w:marBottom w:val="0"/>
          <w:divBdr>
            <w:top w:val="none" w:sz="0" w:space="0" w:color="auto"/>
            <w:left w:val="none" w:sz="0" w:space="0" w:color="auto"/>
            <w:bottom w:val="none" w:sz="0" w:space="0" w:color="auto"/>
            <w:right w:val="none" w:sz="0" w:space="0" w:color="auto"/>
          </w:divBdr>
        </w:div>
        <w:div w:id="881753022">
          <w:marLeft w:val="0"/>
          <w:marRight w:val="0"/>
          <w:marTop w:val="0"/>
          <w:marBottom w:val="0"/>
          <w:divBdr>
            <w:top w:val="none" w:sz="0" w:space="0" w:color="auto"/>
            <w:left w:val="none" w:sz="0" w:space="0" w:color="auto"/>
            <w:bottom w:val="none" w:sz="0" w:space="0" w:color="auto"/>
            <w:right w:val="none" w:sz="0" w:space="0" w:color="auto"/>
          </w:divBdr>
        </w:div>
        <w:div w:id="1638602756">
          <w:marLeft w:val="0"/>
          <w:marRight w:val="0"/>
          <w:marTop w:val="0"/>
          <w:marBottom w:val="0"/>
          <w:divBdr>
            <w:top w:val="none" w:sz="0" w:space="0" w:color="auto"/>
            <w:left w:val="none" w:sz="0" w:space="0" w:color="auto"/>
            <w:bottom w:val="none" w:sz="0" w:space="0" w:color="auto"/>
            <w:right w:val="none" w:sz="0" w:space="0" w:color="auto"/>
          </w:divBdr>
        </w:div>
        <w:div w:id="1376588005">
          <w:marLeft w:val="0"/>
          <w:marRight w:val="0"/>
          <w:marTop w:val="0"/>
          <w:marBottom w:val="0"/>
          <w:divBdr>
            <w:top w:val="none" w:sz="0" w:space="0" w:color="auto"/>
            <w:left w:val="none" w:sz="0" w:space="0" w:color="auto"/>
            <w:bottom w:val="none" w:sz="0" w:space="0" w:color="auto"/>
            <w:right w:val="none" w:sz="0" w:space="0" w:color="auto"/>
          </w:divBdr>
        </w:div>
        <w:div w:id="1080327089">
          <w:marLeft w:val="0"/>
          <w:marRight w:val="0"/>
          <w:marTop w:val="0"/>
          <w:marBottom w:val="0"/>
          <w:divBdr>
            <w:top w:val="none" w:sz="0" w:space="0" w:color="auto"/>
            <w:left w:val="none" w:sz="0" w:space="0" w:color="auto"/>
            <w:bottom w:val="none" w:sz="0" w:space="0" w:color="auto"/>
            <w:right w:val="none" w:sz="0" w:space="0" w:color="auto"/>
          </w:divBdr>
        </w:div>
        <w:div w:id="1571387182">
          <w:marLeft w:val="0"/>
          <w:marRight w:val="0"/>
          <w:marTop w:val="0"/>
          <w:marBottom w:val="0"/>
          <w:divBdr>
            <w:top w:val="none" w:sz="0" w:space="0" w:color="auto"/>
            <w:left w:val="none" w:sz="0" w:space="0" w:color="auto"/>
            <w:bottom w:val="none" w:sz="0" w:space="0" w:color="auto"/>
            <w:right w:val="none" w:sz="0" w:space="0" w:color="auto"/>
          </w:divBdr>
        </w:div>
        <w:div w:id="1246384214">
          <w:marLeft w:val="0"/>
          <w:marRight w:val="0"/>
          <w:marTop w:val="0"/>
          <w:marBottom w:val="0"/>
          <w:divBdr>
            <w:top w:val="none" w:sz="0" w:space="0" w:color="auto"/>
            <w:left w:val="none" w:sz="0" w:space="0" w:color="auto"/>
            <w:bottom w:val="none" w:sz="0" w:space="0" w:color="auto"/>
            <w:right w:val="none" w:sz="0" w:space="0" w:color="auto"/>
          </w:divBdr>
        </w:div>
        <w:div w:id="39983878">
          <w:marLeft w:val="0"/>
          <w:marRight w:val="0"/>
          <w:marTop w:val="0"/>
          <w:marBottom w:val="0"/>
          <w:divBdr>
            <w:top w:val="none" w:sz="0" w:space="0" w:color="auto"/>
            <w:left w:val="none" w:sz="0" w:space="0" w:color="auto"/>
            <w:bottom w:val="none" w:sz="0" w:space="0" w:color="auto"/>
            <w:right w:val="none" w:sz="0" w:space="0" w:color="auto"/>
          </w:divBdr>
        </w:div>
        <w:div w:id="889808797">
          <w:marLeft w:val="0"/>
          <w:marRight w:val="0"/>
          <w:marTop w:val="0"/>
          <w:marBottom w:val="0"/>
          <w:divBdr>
            <w:top w:val="none" w:sz="0" w:space="0" w:color="auto"/>
            <w:left w:val="none" w:sz="0" w:space="0" w:color="auto"/>
            <w:bottom w:val="none" w:sz="0" w:space="0" w:color="auto"/>
            <w:right w:val="none" w:sz="0" w:space="0" w:color="auto"/>
          </w:divBdr>
        </w:div>
        <w:div w:id="666401151">
          <w:marLeft w:val="0"/>
          <w:marRight w:val="0"/>
          <w:marTop w:val="0"/>
          <w:marBottom w:val="0"/>
          <w:divBdr>
            <w:top w:val="none" w:sz="0" w:space="0" w:color="auto"/>
            <w:left w:val="none" w:sz="0" w:space="0" w:color="auto"/>
            <w:bottom w:val="none" w:sz="0" w:space="0" w:color="auto"/>
            <w:right w:val="none" w:sz="0" w:space="0" w:color="auto"/>
          </w:divBdr>
        </w:div>
        <w:div w:id="444425309">
          <w:marLeft w:val="0"/>
          <w:marRight w:val="0"/>
          <w:marTop w:val="0"/>
          <w:marBottom w:val="0"/>
          <w:divBdr>
            <w:top w:val="none" w:sz="0" w:space="0" w:color="auto"/>
            <w:left w:val="none" w:sz="0" w:space="0" w:color="auto"/>
            <w:bottom w:val="none" w:sz="0" w:space="0" w:color="auto"/>
            <w:right w:val="none" w:sz="0" w:space="0" w:color="auto"/>
          </w:divBdr>
        </w:div>
        <w:div w:id="1749692352">
          <w:marLeft w:val="0"/>
          <w:marRight w:val="0"/>
          <w:marTop w:val="0"/>
          <w:marBottom w:val="0"/>
          <w:divBdr>
            <w:top w:val="none" w:sz="0" w:space="0" w:color="auto"/>
            <w:left w:val="none" w:sz="0" w:space="0" w:color="auto"/>
            <w:bottom w:val="none" w:sz="0" w:space="0" w:color="auto"/>
            <w:right w:val="none" w:sz="0" w:space="0" w:color="auto"/>
          </w:divBdr>
        </w:div>
        <w:div w:id="1883518130">
          <w:marLeft w:val="0"/>
          <w:marRight w:val="0"/>
          <w:marTop w:val="0"/>
          <w:marBottom w:val="0"/>
          <w:divBdr>
            <w:top w:val="none" w:sz="0" w:space="0" w:color="auto"/>
            <w:left w:val="none" w:sz="0" w:space="0" w:color="auto"/>
            <w:bottom w:val="none" w:sz="0" w:space="0" w:color="auto"/>
            <w:right w:val="none" w:sz="0" w:space="0" w:color="auto"/>
          </w:divBdr>
        </w:div>
        <w:div w:id="380633508">
          <w:marLeft w:val="0"/>
          <w:marRight w:val="0"/>
          <w:marTop w:val="0"/>
          <w:marBottom w:val="0"/>
          <w:divBdr>
            <w:top w:val="none" w:sz="0" w:space="0" w:color="auto"/>
            <w:left w:val="none" w:sz="0" w:space="0" w:color="auto"/>
            <w:bottom w:val="none" w:sz="0" w:space="0" w:color="auto"/>
            <w:right w:val="none" w:sz="0" w:space="0" w:color="auto"/>
          </w:divBdr>
        </w:div>
        <w:div w:id="1863977676">
          <w:marLeft w:val="0"/>
          <w:marRight w:val="0"/>
          <w:marTop w:val="0"/>
          <w:marBottom w:val="0"/>
          <w:divBdr>
            <w:top w:val="none" w:sz="0" w:space="0" w:color="auto"/>
            <w:left w:val="none" w:sz="0" w:space="0" w:color="auto"/>
            <w:bottom w:val="none" w:sz="0" w:space="0" w:color="auto"/>
            <w:right w:val="none" w:sz="0" w:space="0" w:color="auto"/>
          </w:divBdr>
        </w:div>
        <w:div w:id="1211309682">
          <w:marLeft w:val="0"/>
          <w:marRight w:val="0"/>
          <w:marTop w:val="0"/>
          <w:marBottom w:val="0"/>
          <w:divBdr>
            <w:top w:val="none" w:sz="0" w:space="0" w:color="auto"/>
            <w:left w:val="none" w:sz="0" w:space="0" w:color="auto"/>
            <w:bottom w:val="none" w:sz="0" w:space="0" w:color="auto"/>
            <w:right w:val="none" w:sz="0" w:space="0" w:color="auto"/>
          </w:divBdr>
        </w:div>
        <w:div w:id="452795280">
          <w:marLeft w:val="0"/>
          <w:marRight w:val="0"/>
          <w:marTop w:val="0"/>
          <w:marBottom w:val="0"/>
          <w:divBdr>
            <w:top w:val="none" w:sz="0" w:space="0" w:color="auto"/>
            <w:left w:val="none" w:sz="0" w:space="0" w:color="auto"/>
            <w:bottom w:val="none" w:sz="0" w:space="0" w:color="auto"/>
            <w:right w:val="none" w:sz="0" w:space="0" w:color="auto"/>
          </w:divBdr>
        </w:div>
        <w:div w:id="1646080349">
          <w:marLeft w:val="0"/>
          <w:marRight w:val="0"/>
          <w:marTop w:val="0"/>
          <w:marBottom w:val="0"/>
          <w:divBdr>
            <w:top w:val="none" w:sz="0" w:space="0" w:color="auto"/>
            <w:left w:val="none" w:sz="0" w:space="0" w:color="auto"/>
            <w:bottom w:val="none" w:sz="0" w:space="0" w:color="auto"/>
            <w:right w:val="none" w:sz="0" w:space="0" w:color="auto"/>
          </w:divBdr>
        </w:div>
        <w:div w:id="1570964609">
          <w:marLeft w:val="0"/>
          <w:marRight w:val="0"/>
          <w:marTop w:val="0"/>
          <w:marBottom w:val="0"/>
          <w:divBdr>
            <w:top w:val="none" w:sz="0" w:space="0" w:color="auto"/>
            <w:left w:val="none" w:sz="0" w:space="0" w:color="auto"/>
            <w:bottom w:val="none" w:sz="0" w:space="0" w:color="auto"/>
            <w:right w:val="none" w:sz="0" w:space="0" w:color="auto"/>
          </w:divBdr>
        </w:div>
        <w:div w:id="1486124355">
          <w:marLeft w:val="0"/>
          <w:marRight w:val="0"/>
          <w:marTop w:val="0"/>
          <w:marBottom w:val="0"/>
          <w:divBdr>
            <w:top w:val="none" w:sz="0" w:space="0" w:color="auto"/>
            <w:left w:val="none" w:sz="0" w:space="0" w:color="auto"/>
            <w:bottom w:val="none" w:sz="0" w:space="0" w:color="auto"/>
            <w:right w:val="none" w:sz="0" w:space="0" w:color="auto"/>
          </w:divBdr>
        </w:div>
      </w:divsChild>
    </w:div>
    <w:div w:id="865488971">
      <w:bodyDiv w:val="1"/>
      <w:marLeft w:val="0"/>
      <w:marRight w:val="0"/>
      <w:marTop w:val="0"/>
      <w:marBottom w:val="0"/>
      <w:divBdr>
        <w:top w:val="none" w:sz="0" w:space="0" w:color="auto"/>
        <w:left w:val="none" w:sz="0" w:space="0" w:color="auto"/>
        <w:bottom w:val="none" w:sz="0" w:space="0" w:color="auto"/>
        <w:right w:val="none" w:sz="0" w:space="0" w:color="auto"/>
      </w:divBdr>
      <w:divsChild>
        <w:div w:id="1135756146">
          <w:marLeft w:val="0"/>
          <w:marRight w:val="0"/>
          <w:marTop w:val="0"/>
          <w:marBottom w:val="0"/>
          <w:divBdr>
            <w:top w:val="none" w:sz="0" w:space="0" w:color="auto"/>
            <w:left w:val="none" w:sz="0" w:space="0" w:color="auto"/>
            <w:bottom w:val="none" w:sz="0" w:space="0" w:color="auto"/>
            <w:right w:val="none" w:sz="0" w:space="0" w:color="auto"/>
          </w:divBdr>
        </w:div>
        <w:div w:id="2138638541">
          <w:marLeft w:val="0"/>
          <w:marRight w:val="0"/>
          <w:marTop w:val="0"/>
          <w:marBottom w:val="0"/>
          <w:divBdr>
            <w:top w:val="none" w:sz="0" w:space="0" w:color="auto"/>
            <w:left w:val="none" w:sz="0" w:space="0" w:color="auto"/>
            <w:bottom w:val="none" w:sz="0" w:space="0" w:color="auto"/>
            <w:right w:val="none" w:sz="0" w:space="0" w:color="auto"/>
          </w:divBdr>
        </w:div>
        <w:div w:id="943264645">
          <w:marLeft w:val="0"/>
          <w:marRight w:val="0"/>
          <w:marTop w:val="0"/>
          <w:marBottom w:val="0"/>
          <w:divBdr>
            <w:top w:val="none" w:sz="0" w:space="0" w:color="auto"/>
            <w:left w:val="none" w:sz="0" w:space="0" w:color="auto"/>
            <w:bottom w:val="none" w:sz="0" w:space="0" w:color="auto"/>
            <w:right w:val="none" w:sz="0" w:space="0" w:color="auto"/>
          </w:divBdr>
        </w:div>
        <w:div w:id="1627657308">
          <w:marLeft w:val="0"/>
          <w:marRight w:val="0"/>
          <w:marTop w:val="0"/>
          <w:marBottom w:val="0"/>
          <w:divBdr>
            <w:top w:val="none" w:sz="0" w:space="0" w:color="auto"/>
            <w:left w:val="none" w:sz="0" w:space="0" w:color="auto"/>
            <w:bottom w:val="none" w:sz="0" w:space="0" w:color="auto"/>
            <w:right w:val="none" w:sz="0" w:space="0" w:color="auto"/>
          </w:divBdr>
        </w:div>
        <w:div w:id="329137572">
          <w:marLeft w:val="0"/>
          <w:marRight w:val="0"/>
          <w:marTop w:val="0"/>
          <w:marBottom w:val="0"/>
          <w:divBdr>
            <w:top w:val="none" w:sz="0" w:space="0" w:color="auto"/>
            <w:left w:val="none" w:sz="0" w:space="0" w:color="auto"/>
            <w:bottom w:val="none" w:sz="0" w:space="0" w:color="auto"/>
            <w:right w:val="none" w:sz="0" w:space="0" w:color="auto"/>
          </w:divBdr>
        </w:div>
        <w:div w:id="1510875914">
          <w:marLeft w:val="0"/>
          <w:marRight w:val="0"/>
          <w:marTop w:val="0"/>
          <w:marBottom w:val="0"/>
          <w:divBdr>
            <w:top w:val="none" w:sz="0" w:space="0" w:color="auto"/>
            <w:left w:val="none" w:sz="0" w:space="0" w:color="auto"/>
            <w:bottom w:val="none" w:sz="0" w:space="0" w:color="auto"/>
            <w:right w:val="none" w:sz="0" w:space="0" w:color="auto"/>
          </w:divBdr>
        </w:div>
        <w:div w:id="1228614716">
          <w:marLeft w:val="0"/>
          <w:marRight w:val="0"/>
          <w:marTop w:val="0"/>
          <w:marBottom w:val="0"/>
          <w:divBdr>
            <w:top w:val="none" w:sz="0" w:space="0" w:color="auto"/>
            <w:left w:val="none" w:sz="0" w:space="0" w:color="auto"/>
            <w:bottom w:val="none" w:sz="0" w:space="0" w:color="auto"/>
            <w:right w:val="none" w:sz="0" w:space="0" w:color="auto"/>
          </w:divBdr>
        </w:div>
        <w:div w:id="216859872">
          <w:marLeft w:val="0"/>
          <w:marRight w:val="0"/>
          <w:marTop w:val="0"/>
          <w:marBottom w:val="0"/>
          <w:divBdr>
            <w:top w:val="none" w:sz="0" w:space="0" w:color="auto"/>
            <w:left w:val="none" w:sz="0" w:space="0" w:color="auto"/>
            <w:bottom w:val="none" w:sz="0" w:space="0" w:color="auto"/>
            <w:right w:val="none" w:sz="0" w:space="0" w:color="auto"/>
          </w:divBdr>
        </w:div>
        <w:div w:id="379129439">
          <w:marLeft w:val="0"/>
          <w:marRight w:val="0"/>
          <w:marTop w:val="0"/>
          <w:marBottom w:val="0"/>
          <w:divBdr>
            <w:top w:val="none" w:sz="0" w:space="0" w:color="auto"/>
            <w:left w:val="none" w:sz="0" w:space="0" w:color="auto"/>
            <w:bottom w:val="none" w:sz="0" w:space="0" w:color="auto"/>
            <w:right w:val="none" w:sz="0" w:space="0" w:color="auto"/>
          </w:divBdr>
        </w:div>
        <w:div w:id="1753773331">
          <w:marLeft w:val="0"/>
          <w:marRight w:val="0"/>
          <w:marTop w:val="0"/>
          <w:marBottom w:val="0"/>
          <w:divBdr>
            <w:top w:val="none" w:sz="0" w:space="0" w:color="auto"/>
            <w:left w:val="none" w:sz="0" w:space="0" w:color="auto"/>
            <w:bottom w:val="none" w:sz="0" w:space="0" w:color="auto"/>
            <w:right w:val="none" w:sz="0" w:space="0" w:color="auto"/>
          </w:divBdr>
        </w:div>
        <w:div w:id="2127774970">
          <w:marLeft w:val="0"/>
          <w:marRight w:val="0"/>
          <w:marTop w:val="0"/>
          <w:marBottom w:val="0"/>
          <w:divBdr>
            <w:top w:val="none" w:sz="0" w:space="0" w:color="auto"/>
            <w:left w:val="none" w:sz="0" w:space="0" w:color="auto"/>
            <w:bottom w:val="none" w:sz="0" w:space="0" w:color="auto"/>
            <w:right w:val="none" w:sz="0" w:space="0" w:color="auto"/>
          </w:divBdr>
        </w:div>
        <w:div w:id="1433667793">
          <w:marLeft w:val="0"/>
          <w:marRight w:val="0"/>
          <w:marTop w:val="0"/>
          <w:marBottom w:val="0"/>
          <w:divBdr>
            <w:top w:val="none" w:sz="0" w:space="0" w:color="auto"/>
            <w:left w:val="none" w:sz="0" w:space="0" w:color="auto"/>
            <w:bottom w:val="none" w:sz="0" w:space="0" w:color="auto"/>
            <w:right w:val="none" w:sz="0" w:space="0" w:color="auto"/>
          </w:divBdr>
        </w:div>
        <w:div w:id="910699466">
          <w:marLeft w:val="0"/>
          <w:marRight w:val="0"/>
          <w:marTop w:val="0"/>
          <w:marBottom w:val="0"/>
          <w:divBdr>
            <w:top w:val="none" w:sz="0" w:space="0" w:color="auto"/>
            <w:left w:val="none" w:sz="0" w:space="0" w:color="auto"/>
            <w:bottom w:val="none" w:sz="0" w:space="0" w:color="auto"/>
            <w:right w:val="none" w:sz="0" w:space="0" w:color="auto"/>
          </w:divBdr>
        </w:div>
        <w:div w:id="2078893525">
          <w:marLeft w:val="0"/>
          <w:marRight w:val="0"/>
          <w:marTop w:val="0"/>
          <w:marBottom w:val="0"/>
          <w:divBdr>
            <w:top w:val="none" w:sz="0" w:space="0" w:color="auto"/>
            <w:left w:val="none" w:sz="0" w:space="0" w:color="auto"/>
            <w:bottom w:val="none" w:sz="0" w:space="0" w:color="auto"/>
            <w:right w:val="none" w:sz="0" w:space="0" w:color="auto"/>
          </w:divBdr>
        </w:div>
        <w:div w:id="1090807077">
          <w:marLeft w:val="0"/>
          <w:marRight w:val="0"/>
          <w:marTop w:val="0"/>
          <w:marBottom w:val="0"/>
          <w:divBdr>
            <w:top w:val="none" w:sz="0" w:space="0" w:color="auto"/>
            <w:left w:val="none" w:sz="0" w:space="0" w:color="auto"/>
            <w:bottom w:val="none" w:sz="0" w:space="0" w:color="auto"/>
            <w:right w:val="none" w:sz="0" w:space="0" w:color="auto"/>
          </w:divBdr>
        </w:div>
        <w:div w:id="1877543910">
          <w:marLeft w:val="0"/>
          <w:marRight w:val="0"/>
          <w:marTop w:val="0"/>
          <w:marBottom w:val="0"/>
          <w:divBdr>
            <w:top w:val="none" w:sz="0" w:space="0" w:color="auto"/>
            <w:left w:val="none" w:sz="0" w:space="0" w:color="auto"/>
            <w:bottom w:val="none" w:sz="0" w:space="0" w:color="auto"/>
            <w:right w:val="none" w:sz="0" w:space="0" w:color="auto"/>
          </w:divBdr>
        </w:div>
        <w:div w:id="2032562555">
          <w:marLeft w:val="0"/>
          <w:marRight w:val="0"/>
          <w:marTop w:val="0"/>
          <w:marBottom w:val="0"/>
          <w:divBdr>
            <w:top w:val="none" w:sz="0" w:space="0" w:color="auto"/>
            <w:left w:val="none" w:sz="0" w:space="0" w:color="auto"/>
            <w:bottom w:val="none" w:sz="0" w:space="0" w:color="auto"/>
            <w:right w:val="none" w:sz="0" w:space="0" w:color="auto"/>
          </w:divBdr>
        </w:div>
        <w:div w:id="334310823">
          <w:marLeft w:val="0"/>
          <w:marRight w:val="0"/>
          <w:marTop w:val="0"/>
          <w:marBottom w:val="0"/>
          <w:divBdr>
            <w:top w:val="none" w:sz="0" w:space="0" w:color="auto"/>
            <w:left w:val="none" w:sz="0" w:space="0" w:color="auto"/>
            <w:bottom w:val="none" w:sz="0" w:space="0" w:color="auto"/>
            <w:right w:val="none" w:sz="0" w:space="0" w:color="auto"/>
          </w:divBdr>
        </w:div>
        <w:div w:id="121533140">
          <w:marLeft w:val="0"/>
          <w:marRight w:val="0"/>
          <w:marTop w:val="0"/>
          <w:marBottom w:val="0"/>
          <w:divBdr>
            <w:top w:val="none" w:sz="0" w:space="0" w:color="auto"/>
            <w:left w:val="none" w:sz="0" w:space="0" w:color="auto"/>
            <w:bottom w:val="none" w:sz="0" w:space="0" w:color="auto"/>
            <w:right w:val="none" w:sz="0" w:space="0" w:color="auto"/>
          </w:divBdr>
        </w:div>
        <w:div w:id="1625772046">
          <w:marLeft w:val="0"/>
          <w:marRight w:val="0"/>
          <w:marTop w:val="0"/>
          <w:marBottom w:val="0"/>
          <w:divBdr>
            <w:top w:val="none" w:sz="0" w:space="0" w:color="auto"/>
            <w:left w:val="none" w:sz="0" w:space="0" w:color="auto"/>
            <w:bottom w:val="none" w:sz="0" w:space="0" w:color="auto"/>
            <w:right w:val="none" w:sz="0" w:space="0" w:color="auto"/>
          </w:divBdr>
        </w:div>
        <w:div w:id="1362441301">
          <w:marLeft w:val="0"/>
          <w:marRight w:val="0"/>
          <w:marTop w:val="0"/>
          <w:marBottom w:val="0"/>
          <w:divBdr>
            <w:top w:val="none" w:sz="0" w:space="0" w:color="auto"/>
            <w:left w:val="none" w:sz="0" w:space="0" w:color="auto"/>
            <w:bottom w:val="none" w:sz="0" w:space="0" w:color="auto"/>
            <w:right w:val="none" w:sz="0" w:space="0" w:color="auto"/>
          </w:divBdr>
        </w:div>
        <w:div w:id="942297636">
          <w:marLeft w:val="0"/>
          <w:marRight w:val="0"/>
          <w:marTop w:val="0"/>
          <w:marBottom w:val="0"/>
          <w:divBdr>
            <w:top w:val="none" w:sz="0" w:space="0" w:color="auto"/>
            <w:left w:val="none" w:sz="0" w:space="0" w:color="auto"/>
            <w:bottom w:val="none" w:sz="0" w:space="0" w:color="auto"/>
            <w:right w:val="none" w:sz="0" w:space="0" w:color="auto"/>
          </w:divBdr>
        </w:div>
        <w:div w:id="1536500377">
          <w:marLeft w:val="0"/>
          <w:marRight w:val="0"/>
          <w:marTop w:val="0"/>
          <w:marBottom w:val="0"/>
          <w:divBdr>
            <w:top w:val="none" w:sz="0" w:space="0" w:color="auto"/>
            <w:left w:val="none" w:sz="0" w:space="0" w:color="auto"/>
            <w:bottom w:val="none" w:sz="0" w:space="0" w:color="auto"/>
            <w:right w:val="none" w:sz="0" w:space="0" w:color="auto"/>
          </w:divBdr>
        </w:div>
        <w:div w:id="1559705449">
          <w:marLeft w:val="0"/>
          <w:marRight w:val="0"/>
          <w:marTop w:val="0"/>
          <w:marBottom w:val="0"/>
          <w:divBdr>
            <w:top w:val="none" w:sz="0" w:space="0" w:color="auto"/>
            <w:left w:val="none" w:sz="0" w:space="0" w:color="auto"/>
            <w:bottom w:val="none" w:sz="0" w:space="0" w:color="auto"/>
            <w:right w:val="none" w:sz="0" w:space="0" w:color="auto"/>
          </w:divBdr>
        </w:div>
        <w:div w:id="1635864703">
          <w:marLeft w:val="0"/>
          <w:marRight w:val="0"/>
          <w:marTop w:val="0"/>
          <w:marBottom w:val="0"/>
          <w:divBdr>
            <w:top w:val="none" w:sz="0" w:space="0" w:color="auto"/>
            <w:left w:val="none" w:sz="0" w:space="0" w:color="auto"/>
            <w:bottom w:val="none" w:sz="0" w:space="0" w:color="auto"/>
            <w:right w:val="none" w:sz="0" w:space="0" w:color="auto"/>
          </w:divBdr>
        </w:div>
        <w:div w:id="833880473">
          <w:marLeft w:val="0"/>
          <w:marRight w:val="0"/>
          <w:marTop w:val="0"/>
          <w:marBottom w:val="0"/>
          <w:divBdr>
            <w:top w:val="none" w:sz="0" w:space="0" w:color="auto"/>
            <w:left w:val="none" w:sz="0" w:space="0" w:color="auto"/>
            <w:bottom w:val="none" w:sz="0" w:space="0" w:color="auto"/>
            <w:right w:val="none" w:sz="0" w:space="0" w:color="auto"/>
          </w:divBdr>
        </w:div>
        <w:div w:id="1653174512">
          <w:marLeft w:val="0"/>
          <w:marRight w:val="0"/>
          <w:marTop w:val="0"/>
          <w:marBottom w:val="0"/>
          <w:divBdr>
            <w:top w:val="none" w:sz="0" w:space="0" w:color="auto"/>
            <w:left w:val="none" w:sz="0" w:space="0" w:color="auto"/>
            <w:bottom w:val="none" w:sz="0" w:space="0" w:color="auto"/>
            <w:right w:val="none" w:sz="0" w:space="0" w:color="auto"/>
          </w:divBdr>
        </w:div>
        <w:div w:id="1502117070">
          <w:marLeft w:val="0"/>
          <w:marRight w:val="0"/>
          <w:marTop w:val="0"/>
          <w:marBottom w:val="0"/>
          <w:divBdr>
            <w:top w:val="none" w:sz="0" w:space="0" w:color="auto"/>
            <w:left w:val="none" w:sz="0" w:space="0" w:color="auto"/>
            <w:bottom w:val="none" w:sz="0" w:space="0" w:color="auto"/>
            <w:right w:val="none" w:sz="0" w:space="0" w:color="auto"/>
          </w:divBdr>
        </w:div>
        <w:div w:id="615405968">
          <w:marLeft w:val="0"/>
          <w:marRight w:val="0"/>
          <w:marTop w:val="0"/>
          <w:marBottom w:val="0"/>
          <w:divBdr>
            <w:top w:val="none" w:sz="0" w:space="0" w:color="auto"/>
            <w:left w:val="none" w:sz="0" w:space="0" w:color="auto"/>
            <w:bottom w:val="none" w:sz="0" w:space="0" w:color="auto"/>
            <w:right w:val="none" w:sz="0" w:space="0" w:color="auto"/>
          </w:divBdr>
        </w:div>
        <w:div w:id="20713568">
          <w:marLeft w:val="0"/>
          <w:marRight w:val="0"/>
          <w:marTop w:val="0"/>
          <w:marBottom w:val="0"/>
          <w:divBdr>
            <w:top w:val="none" w:sz="0" w:space="0" w:color="auto"/>
            <w:left w:val="none" w:sz="0" w:space="0" w:color="auto"/>
            <w:bottom w:val="none" w:sz="0" w:space="0" w:color="auto"/>
            <w:right w:val="none" w:sz="0" w:space="0" w:color="auto"/>
          </w:divBdr>
        </w:div>
        <w:div w:id="1350184305">
          <w:marLeft w:val="0"/>
          <w:marRight w:val="0"/>
          <w:marTop w:val="0"/>
          <w:marBottom w:val="0"/>
          <w:divBdr>
            <w:top w:val="none" w:sz="0" w:space="0" w:color="auto"/>
            <w:left w:val="none" w:sz="0" w:space="0" w:color="auto"/>
            <w:bottom w:val="none" w:sz="0" w:space="0" w:color="auto"/>
            <w:right w:val="none" w:sz="0" w:space="0" w:color="auto"/>
          </w:divBdr>
        </w:div>
        <w:div w:id="1562985539">
          <w:marLeft w:val="0"/>
          <w:marRight w:val="0"/>
          <w:marTop w:val="0"/>
          <w:marBottom w:val="0"/>
          <w:divBdr>
            <w:top w:val="none" w:sz="0" w:space="0" w:color="auto"/>
            <w:left w:val="none" w:sz="0" w:space="0" w:color="auto"/>
            <w:bottom w:val="none" w:sz="0" w:space="0" w:color="auto"/>
            <w:right w:val="none" w:sz="0" w:space="0" w:color="auto"/>
          </w:divBdr>
        </w:div>
        <w:div w:id="1697923289">
          <w:marLeft w:val="0"/>
          <w:marRight w:val="0"/>
          <w:marTop w:val="0"/>
          <w:marBottom w:val="0"/>
          <w:divBdr>
            <w:top w:val="none" w:sz="0" w:space="0" w:color="auto"/>
            <w:left w:val="none" w:sz="0" w:space="0" w:color="auto"/>
            <w:bottom w:val="none" w:sz="0" w:space="0" w:color="auto"/>
            <w:right w:val="none" w:sz="0" w:space="0" w:color="auto"/>
          </w:divBdr>
        </w:div>
        <w:div w:id="1732541417">
          <w:marLeft w:val="0"/>
          <w:marRight w:val="0"/>
          <w:marTop w:val="0"/>
          <w:marBottom w:val="0"/>
          <w:divBdr>
            <w:top w:val="none" w:sz="0" w:space="0" w:color="auto"/>
            <w:left w:val="none" w:sz="0" w:space="0" w:color="auto"/>
            <w:bottom w:val="none" w:sz="0" w:space="0" w:color="auto"/>
            <w:right w:val="none" w:sz="0" w:space="0" w:color="auto"/>
          </w:divBdr>
        </w:div>
        <w:div w:id="881022061">
          <w:marLeft w:val="0"/>
          <w:marRight w:val="0"/>
          <w:marTop w:val="0"/>
          <w:marBottom w:val="0"/>
          <w:divBdr>
            <w:top w:val="none" w:sz="0" w:space="0" w:color="auto"/>
            <w:left w:val="none" w:sz="0" w:space="0" w:color="auto"/>
            <w:bottom w:val="none" w:sz="0" w:space="0" w:color="auto"/>
            <w:right w:val="none" w:sz="0" w:space="0" w:color="auto"/>
          </w:divBdr>
        </w:div>
        <w:div w:id="1815290088">
          <w:marLeft w:val="0"/>
          <w:marRight w:val="0"/>
          <w:marTop w:val="0"/>
          <w:marBottom w:val="0"/>
          <w:divBdr>
            <w:top w:val="none" w:sz="0" w:space="0" w:color="auto"/>
            <w:left w:val="none" w:sz="0" w:space="0" w:color="auto"/>
            <w:bottom w:val="none" w:sz="0" w:space="0" w:color="auto"/>
            <w:right w:val="none" w:sz="0" w:space="0" w:color="auto"/>
          </w:divBdr>
        </w:div>
        <w:div w:id="1741323705">
          <w:marLeft w:val="0"/>
          <w:marRight w:val="0"/>
          <w:marTop w:val="0"/>
          <w:marBottom w:val="0"/>
          <w:divBdr>
            <w:top w:val="none" w:sz="0" w:space="0" w:color="auto"/>
            <w:left w:val="none" w:sz="0" w:space="0" w:color="auto"/>
            <w:bottom w:val="none" w:sz="0" w:space="0" w:color="auto"/>
            <w:right w:val="none" w:sz="0" w:space="0" w:color="auto"/>
          </w:divBdr>
        </w:div>
        <w:div w:id="1461460078">
          <w:marLeft w:val="0"/>
          <w:marRight w:val="0"/>
          <w:marTop w:val="0"/>
          <w:marBottom w:val="0"/>
          <w:divBdr>
            <w:top w:val="none" w:sz="0" w:space="0" w:color="auto"/>
            <w:left w:val="none" w:sz="0" w:space="0" w:color="auto"/>
            <w:bottom w:val="none" w:sz="0" w:space="0" w:color="auto"/>
            <w:right w:val="none" w:sz="0" w:space="0" w:color="auto"/>
          </w:divBdr>
        </w:div>
        <w:div w:id="1206143260">
          <w:marLeft w:val="0"/>
          <w:marRight w:val="0"/>
          <w:marTop w:val="0"/>
          <w:marBottom w:val="0"/>
          <w:divBdr>
            <w:top w:val="none" w:sz="0" w:space="0" w:color="auto"/>
            <w:left w:val="none" w:sz="0" w:space="0" w:color="auto"/>
            <w:bottom w:val="none" w:sz="0" w:space="0" w:color="auto"/>
            <w:right w:val="none" w:sz="0" w:space="0" w:color="auto"/>
          </w:divBdr>
        </w:div>
        <w:div w:id="1340767326">
          <w:marLeft w:val="0"/>
          <w:marRight w:val="0"/>
          <w:marTop w:val="0"/>
          <w:marBottom w:val="0"/>
          <w:divBdr>
            <w:top w:val="none" w:sz="0" w:space="0" w:color="auto"/>
            <w:left w:val="none" w:sz="0" w:space="0" w:color="auto"/>
            <w:bottom w:val="none" w:sz="0" w:space="0" w:color="auto"/>
            <w:right w:val="none" w:sz="0" w:space="0" w:color="auto"/>
          </w:divBdr>
        </w:div>
        <w:div w:id="1498105953">
          <w:marLeft w:val="0"/>
          <w:marRight w:val="0"/>
          <w:marTop w:val="0"/>
          <w:marBottom w:val="0"/>
          <w:divBdr>
            <w:top w:val="none" w:sz="0" w:space="0" w:color="auto"/>
            <w:left w:val="none" w:sz="0" w:space="0" w:color="auto"/>
            <w:bottom w:val="none" w:sz="0" w:space="0" w:color="auto"/>
            <w:right w:val="none" w:sz="0" w:space="0" w:color="auto"/>
          </w:divBdr>
        </w:div>
        <w:div w:id="1383941924">
          <w:marLeft w:val="0"/>
          <w:marRight w:val="0"/>
          <w:marTop w:val="0"/>
          <w:marBottom w:val="0"/>
          <w:divBdr>
            <w:top w:val="none" w:sz="0" w:space="0" w:color="auto"/>
            <w:left w:val="none" w:sz="0" w:space="0" w:color="auto"/>
            <w:bottom w:val="none" w:sz="0" w:space="0" w:color="auto"/>
            <w:right w:val="none" w:sz="0" w:space="0" w:color="auto"/>
          </w:divBdr>
        </w:div>
        <w:div w:id="1481189529">
          <w:marLeft w:val="0"/>
          <w:marRight w:val="0"/>
          <w:marTop w:val="0"/>
          <w:marBottom w:val="0"/>
          <w:divBdr>
            <w:top w:val="none" w:sz="0" w:space="0" w:color="auto"/>
            <w:left w:val="none" w:sz="0" w:space="0" w:color="auto"/>
            <w:bottom w:val="none" w:sz="0" w:space="0" w:color="auto"/>
            <w:right w:val="none" w:sz="0" w:space="0" w:color="auto"/>
          </w:divBdr>
        </w:div>
        <w:div w:id="388236730">
          <w:marLeft w:val="0"/>
          <w:marRight w:val="0"/>
          <w:marTop w:val="0"/>
          <w:marBottom w:val="0"/>
          <w:divBdr>
            <w:top w:val="none" w:sz="0" w:space="0" w:color="auto"/>
            <w:left w:val="none" w:sz="0" w:space="0" w:color="auto"/>
            <w:bottom w:val="none" w:sz="0" w:space="0" w:color="auto"/>
            <w:right w:val="none" w:sz="0" w:space="0" w:color="auto"/>
          </w:divBdr>
        </w:div>
        <w:div w:id="826674816">
          <w:marLeft w:val="0"/>
          <w:marRight w:val="0"/>
          <w:marTop w:val="0"/>
          <w:marBottom w:val="0"/>
          <w:divBdr>
            <w:top w:val="none" w:sz="0" w:space="0" w:color="auto"/>
            <w:left w:val="none" w:sz="0" w:space="0" w:color="auto"/>
            <w:bottom w:val="none" w:sz="0" w:space="0" w:color="auto"/>
            <w:right w:val="none" w:sz="0" w:space="0" w:color="auto"/>
          </w:divBdr>
        </w:div>
        <w:div w:id="1268924627">
          <w:marLeft w:val="0"/>
          <w:marRight w:val="0"/>
          <w:marTop w:val="0"/>
          <w:marBottom w:val="0"/>
          <w:divBdr>
            <w:top w:val="none" w:sz="0" w:space="0" w:color="auto"/>
            <w:left w:val="none" w:sz="0" w:space="0" w:color="auto"/>
            <w:bottom w:val="none" w:sz="0" w:space="0" w:color="auto"/>
            <w:right w:val="none" w:sz="0" w:space="0" w:color="auto"/>
          </w:divBdr>
        </w:div>
        <w:div w:id="1817719391">
          <w:marLeft w:val="0"/>
          <w:marRight w:val="0"/>
          <w:marTop w:val="0"/>
          <w:marBottom w:val="0"/>
          <w:divBdr>
            <w:top w:val="none" w:sz="0" w:space="0" w:color="auto"/>
            <w:left w:val="none" w:sz="0" w:space="0" w:color="auto"/>
            <w:bottom w:val="none" w:sz="0" w:space="0" w:color="auto"/>
            <w:right w:val="none" w:sz="0" w:space="0" w:color="auto"/>
          </w:divBdr>
        </w:div>
        <w:div w:id="2135975427">
          <w:marLeft w:val="0"/>
          <w:marRight w:val="0"/>
          <w:marTop w:val="0"/>
          <w:marBottom w:val="0"/>
          <w:divBdr>
            <w:top w:val="none" w:sz="0" w:space="0" w:color="auto"/>
            <w:left w:val="none" w:sz="0" w:space="0" w:color="auto"/>
            <w:bottom w:val="none" w:sz="0" w:space="0" w:color="auto"/>
            <w:right w:val="none" w:sz="0" w:space="0" w:color="auto"/>
          </w:divBdr>
        </w:div>
        <w:div w:id="379520017">
          <w:marLeft w:val="0"/>
          <w:marRight w:val="0"/>
          <w:marTop w:val="0"/>
          <w:marBottom w:val="0"/>
          <w:divBdr>
            <w:top w:val="none" w:sz="0" w:space="0" w:color="auto"/>
            <w:left w:val="none" w:sz="0" w:space="0" w:color="auto"/>
            <w:bottom w:val="none" w:sz="0" w:space="0" w:color="auto"/>
            <w:right w:val="none" w:sz="0" w:space="0" w:color="auto"/>
          </w:divBdr>
        </w:div>
        <w:div w:id="391125996">
          <w:marLeft w:val="0"/>
          <w:marRight w:val="0"/>
          <w:marTop w:val="0"/>
          <w:marBottom w:val="0"/>
          <w:divBdr>
            <w:top w:val="none" w:sz="0" w:space="0" w:color="auto"/>
            <w:left w:val="none" w:sz="0" w:space="0" w:color="auto"/>
            <w:bottom w:val="none" w:sz="0" w:space="0" w:color="auto"/>
            <w:right w:val="none" w:sz="0" w:space="0" w:color="auto"/>
          </w:divBdr>
        </w:div>
        <w:div w:id="865946743">
          <w:marLeft w:val="0"/>
          <w:marRight w:val="0"/>
          <w:marTop w:val="0"/>
          <w:marBottom w:val="0"/>
          <w:divBdr>
            <w:top w:val="none" w:sz="0" w:space="0" w:color="auto"/>
            <w:left w:val="none" w:sz="0" w:space="0" w:color="auto"/>
            <w:bottom w:val="none" w:sz="0" w:space="0" w:color="auto"/>
            <w:right w:val="none" w:sz="0" w:space="0" w:color="auto"/>
          </w:divBdr>
        </w:div>
        <w:div w:id="245267679">
          <w:marLeft w:val="0"/>
          <w:marRight w:val="0"/>
          <w:marTop w:val="0"/>
          <w:marBottom w:val="0"/>
          <w:divBdr>
            <w:top w:val="none" w:sz="0" w:space="0" w:color="auto"/>
            <w:left w:val="none" w:sz="0" w:space="0" w:color="auto"/>
            <w:bottom w:val="none" w:sz="0" w:space="0" w:color="auto"/>
            <w:right w:val="none" w:sz="0" w:space="0" w:color="auto"/>
          </w:divBdr>
        </w:div>
        <w:div w:id="849367361">
          <w:marLeft w:val="0"/>
          <w:marRight w:val="0"/>
          <w:marTop w:val="0"/>
          <w:marBottom w:val="0"/>
          <w:divBdr>
            <w:top w:val="none" w:sz="0" w:space="0" w:color="auto"/>
            <w:left w:val="none" w:sz="0" w:space="0" w:color="auto"/>
            <w:bottom w:val="none" w:sz="0" w:space="0" w:color="auto"/>
            <w:right w:val="none" w:sz="0" w:space="0" w:color="auto"/>
          </w:divBdr>
        </w:div>
        <w:div w:id="1427995490">
          <w:marLeft w:val="0"/>
          <w:marRight w:val="0"/>
          <w:marTop w:val="0"/>
          <w:marBottom w:val="0"/>
          <w:divBdr>
            <w:top w:val="none" w:sz="0" w:space="0" w:color="auto"/>
            <w:left w:val="none" w:sz="0" w:space="0" w:color="auto"/>
            <w:bottom w:val="none" w:sz="0" w:space="0" w:color="auto"/>
            <w:right w:val="none" w:sz="0" w:space="0" w:color="auto"/>
          </w:divBdr>
        </w:div>
        <w:div w:id="9915841">
          <w:marLeft w:val="0"/>
          <w:marRight w:val="0"/>
          <w:marTop w:val="0"/>
          <w:marBottom w:val="0"/>
          <w:divBdr>
            <w:top w:val="none" w:sz="0" w:space="0" w:color="auto"/>
            <w:left w:val="none" w:sz="0" w:space="0" w:color="auto"/>
            <w:bottom w:val="none" w:sz="0" w:space="0" w:color="auto"/>
            <w:right w:val="none" w:sz="0" w:space="0" w:color="auto"/>
          </w:divBdr>
        </w:div>
        <w:div w:id="2032563677">
          <w:marLeft w:val="0"/>
          <w:marRight w:val="0"/>
          <w:marTop w:val="0"/>
          <w:marBottom w:val="0"/>
          <w:divBdr>
            <w:top w:val="none" w:sz="0" w:space="0" w:color="auto"/>
            <w:left w:val="none" w:sz="0" w:space="0" w:color="auto"/>
            <w:bottom w:val="none" w:sz="0" w:space="0" w:color="auto"/>
            <w:right w:val="none" w:sz="0" w:space="0" w:color="auto"/>
          </w:divBdr>
        </w:div>
        <w:div w:id="1191263490">
          <w:marLeft w:val="0"/>
          <w:marRight w:val="0"/>
          <w:marTop w:val="0"/>
          <w:marBottom w:val="0"/>
          <w:divBdr>
            <w:top w:val="none" w:sz="0" w:space="0" w:color="auto"/>
            <w:left w:val="none" w:sz="0" w:space="0" w:color="auto"/>
            <w:bottom w:val="none" w:sz="0" w:space="0" w:color="auto"/>
            <w:right w:val="none" w:sz="0" w:space="0" w:color="auto"/>
          </w:divBdr>
        </w:div>
        <w:div w:id="296957320">
          <w:marLeft w:val="0"/>
          <w:marRight w:val="0"/>
          <w:marTop w:val="0"/>
          <w:marBottom w:val="0"/>
          <w:divBdr>
            <w:top w:val="none" w:sz="0" w:space="0" w:color="auto"/>
            <w:left w:val="none" w:sz="0" w:space="0" w:color="auto"/>
            <w:bottom w:val="none" w:sz="0" w:space="0" w:color="auto"/>
            <w:right w:val="none" w:sz="0" w:space="0" w:color="auto"/>
          </w:divBdr>
        </w:div>
        <w:div w:id="1167983088">
          <w:marLeft w:val="0"/>
          <w:marRight w:val="0"/>
          <w:marTop w:val="0"/>
          <w:marBottom w:val="0"/>
          <w:divBdr>
            <w:top w:val="none" w:sz="0" w:space="0" w:color="auto"/>
            <w:left w:val="none" w:sz="0" w:space="0" w:color="auto"/>
            <w:bottom w:val="none" w:sz="0" w:space="0" w:color="auto"/>
            <w:right w:val="none" w:sz="0" w:space="0" w:color="auto"/>
          </w:divBdr>
        </w:div>
        <w:div w:id="1262645124">
          <w:marLeft w:val="0"/>
          <w:marRight w:val="0"/>
          <w:marTop w:val="0"/>
          <w:marBottom w:val="0"/>
          <w:divBdr>
            <w:top w:val="none" w:sz="0" w:space="0" w:color="auto"/>
            <w:left w:val="none" w:sz="0" w:space="0" w:color="auto"/>
            <w:bottom w:val="none" w:sz="0" w:space="0" w:color="auto"/>
            <w:right w:val="none" w:sz="0" w:space="0" w:color="auto"/>
          </w:divBdr>
        </w:div>
        <w:div w:id="1005278872">
          <w:marLeft w:val="0"/>
          <w:marRight w:val="0"/>
          <w:marTop w:val="0"/>
          <w:marBottom w:val="0"/>
          <w:divBdr>
            <w:top w:val="none" w:sz="0" w:space="0" w:color="auto"/>
            <w:left w:val="none" w:sz="0" w:space="0" w:color="auto"/>
            <w:bottom w:val="none" w:sz="0" w:space="0" w:color="auto"/>
            <w:right w:val="none" w:sz="0" w:space="0" w:color="auto"/>
          </w:divBdr>
        </w:div>
      </w:divsChild>
    </w:div>
    <w:div w:id="873343960">
      <w:bodyDiv w:val="1"/>
      <w:marLeft w:val="0"/>
      <w:marRight w:val="0"/>
      <w:marTop w:val="0"/>
      <w:marBottom w:val="0"/>
      <w:divBdr>
        <w:top w:val="none" w:sz="0" w:space="0" w:color="auto"/>
        <w:left w:val="none" w:sz="0" w:space="0" w:color="auto"/>
        <w:bottom w:val="none" w:sz="0" w:space="0" w:color="auto"/>
        <w:right w:val="none" w:sz="0" w:space="0" w:color="auto"/>
      </w:divBdr>
      <w:divsChild>
        <w:div w:id="1082143957">
          <w:marLeft w:val="0"/>
          <w:marRight w:val="0"/>
          <w:marTop w:val="0"/>
          <w:marBottom w:val="0"/>
          <w:divBdr>
            <w:top w:val="none" w:sz="0" w:space="0" w:color="auto"/>
            <w:left w:val="none" w:sz="0" w:space="0" w:color="auto"/>
            <w:bottom w:val="none" w:sz="0" w:space="0" w:color="auto"/>
            <w:right w:val="none" w:sz="0" w:space="0" w:color="auto"/>
          </w:divBdr>
        </w:div>
        <w:div w:id="1832404679">
          <w:marLeft w:val="0"/>
          <w:marRight w:val="0"/>
          <w:marTop w:val="0"/>
          <w:marBottom w:val="0"/>
          <w:divBdr>
            <w:top w:val="none" w:sz="0" w:space="0" w:color="auto"/>
            <w:left w:val="none" w:sz="0" w:space="0" w:color="auto"/>
            <w:bottom w:val="none" w:sz="0" w:space="0" w:color="auto"/>
            <w:right w:val="none" w:sz="0" w:space="0" w:color="auto"/>
          </w:divBdr>
        </w:div>
        <w:div w:id="1880168682">
          <w:marLeft w:val="0"/>
          <w:marRight w:val="0"/>
          <w:marTop w:val="0"/>
          <w:marBottom w:val="0"/>
          <w:divBdr>
            <w:top w:val="none" w:sz="0" w:space="0" w:color="auto"/>
            <w:left w:val="none" w:sz="0" w:space="0" w:color="auto"/>
            <w:bottom w:val="none" w:sz="0" w:space="0" w:color="auto"/>
            <w:right w:val="none" w:sz="0" w:space="0" w:color="auto"/>
          </w:divBdr>
        </w:div>
        <w:div w:id="1197546751">
          <w:marLeft w:val="0"/>
          <w:marRight w:val="0"/>
          <w:marTop w:val="0"/>
          <w:marBottom w:val="0"/>
          <w:divBdr>
            <w:top w:val="none" w:sz="0" w:space="0" w:color="auto"/>
            <w:left w:val="none" w:sz="0" w:space="0" w:color="auto"/>
            <w:bottom w:val="none" w:sz="0" w:space="0" w:color="auto"/>
            <w:right w:val="none" w:sz="0" w:space="0" w:color="auto"/>
          </w:divBdr>
        </w:div>
        <w:div w:id="1667243321">
          <w:marLeft w:val="0"/>
          <w:marRight w:val="0"/>
          <w:marTop w:val="0"/>
          <w:marBottom w:val="0"/>
          <w:divBdr>
            <w:top w:val="none" w:sz="0" w:space="0" w:color="auto"/>
            <w:left w:val="none" w:sz="0" w:space="0" w:color="auto"/>
            <w:bottom w:val="none" w:sz="0" w:space="0" w:color="auto"/>
            <w:right w:val="none" w:sz="0" w:space="0" w:color="auto"/>
          </w:divBdr>
        </w:div>
        <w:div w:id="368989521">
          <w:marLeft w:val="0"/>
          <w:marRight w:val="0"/>
          <w:marTop w:val="0"/>
          <w:marBottom w:val="0"/>
          <w:divBdr>
            <w:top w:val="none" w:sz="0" w:space="0" w:color="auto"/>
            <w:left w:val="none" w:sz="0" w:space="0" w:color="auto"/>
            <w:bottom w:val="none" w:sz="0" w:space="0" w:color="auto"/>
            <w:right w:val="none" w:sz="0" w:space="0" w:color="auto"/>
          </w:divBdr>
        </w:div>
        <w:div w:id="540021118">
          <w:marLeft w:val="0"/>
          <w:marRight w:val="0"/>
          <w:marTop w:val="0"/>
          <w:marBottom w:val="0"/>
          <w:divBdr>
            <w:top w:val="none" w:sz="0" w:space="0" w:color="auto"/>
            <w:left w:val="none" w:sz="0" w:space="0" w:color="auto"/>
            <w:bottom w:val="none" w:sz="0" w:space="0" w:color="auto"/>
            <w:right w:val="none" w:sz="0" w:space="0" w:color="auto"/>
          </w:divBdr>
        </w:div>
        <w:div w:id="422991439">
          <w:marLeft w:val="0"/>
          <w:marRight w:val="0"/>
          <w:marTop w:val="0"/>
          <w:marBottom w:val="0"/>
          <w:divBdr>
            <w:top w:val="none" w:sz="0" w:space="0" w:color="auto"/>
            <w:left w:val="none" w:sz="0" w:space="0" w:color="auto"/>
            <w:bottom w:val="none" w:sz="0" w:space="0" w:color="auto"/>
            <w:right w:val="none" w:sz="0" w:space="0" w:color="auto"/>
          </w:divBdr>
        </w:div>
      </w:divsChild>
    </w:div>
    <w:div w:id="886139192">
      <w:bodyDiv w:val="1"/>
      <w:marLeft w:val="0"/>
      <w:marRight w:val="0"/>
      <w:marTop w:val="0"/>
      <w:marBottom w:val="0"/>
      <w:divBdr>
        <w:top w:val="none" w:sz="0" w:space="0" w:color="auto"/>
        <w:left w:val="none" w:sz="0" w:space="0" w:color="auto"/>
        <w:bottom w:val="none" w:sz="0" w:space="0" w:color="auto"/>
        <w:right w:val="none" w:sz="0" w:space="0" w:color="auto"/>
      </w:divBdr>
      <w:divsChild>
        <w:div w:id="1280994896">
          <w:marLeft w:val="0"/>
          <w:marRight w:val="0"/>
          <w:marTop w:val="0"/>
          <w:marBottom w:val="0"/>
          <w:divBdr>
            <w:top w:val="none" w:sz="0" w:space="0" w:color="auto"/>
            <w:left w:val="none" w:sz="0" w:space="0" w:color="auto"/>
            <w:bottom w:val="none" w:sz="0" w:space="0" w:color="auto"/>
            <w:right w:val="none" w:sz="0" w:space="0" w:color="auto"/>
          </w:divBdr>
        </w:div>
        <w:div w:id="608899921">
          <w:marLeft w:val="0"/>
          <w:marRight w:val="0"/>
          <w:marTop w:val="0"/>
          <w:marBottom w:val="0"/>
          <w:divBdr>
            <w:top w:val="none" w:sz="0" w:space="0" w:color="auto"/>
            <w:left w:val="none" w:sz="0" w:space="0" w:color="auto"/>
            <w:bottom w:val="none" w:sz="0" w:space="0" w:color="auto"/>
            <w:right w:val="none" w:sz="0" w:space="0" w:color="auto"/>
          </w:divBdr>
        </w:div>
        <w:div w:id="326903951">
          <w:marLeft w:val="0"/>
          <w:marRight w:val="0"/>
          <w:marTop w:val="0"/>
          <w:marBottom w:val="0"/>
          <w:divBdr>
            <w:top w:val="none" w:sz="0" w:space="0" w:color="auto"/>
            <w:left w:val="none" w:sz="0" w:space="0" w:color="auto"/>
            <w:bottom w:val="none" w:sz="0" w:space="0" w:color="auto"/>
            <w:right w:val="none" w:sz="0" w:space="0" w:color="auto"/>
          </w:divBdr>
        </w:div>
        <w:div w:id="2037997796">
          <w:marLeft w:val="0"/>
          <w:marRight w:val="0"/>
          <w:marTop w:val="0"/>
          <w:marBottom w:val="0"/>
          <w:divBdr>
            <w:top w:val="none" w:sz="0" w:space="0" w:color="auto"/>
            <w:left w:val="none" w:sz="0" w:space="0" w:color="auto"/>
            <w:bottom w:val="none" w:sz="0" w:space="0" w:color="auto"/>
            <w:right w:val="none" w:sz="0" w:space="0" w:color="auto"/>
          </w:divBdr>
        </w:div>
        <w:div w:id="988362055">
          <w:marLeft w:val="0"/>
          <w:marRight w:val="0"/>
          <w:marTop w:val="0"/>
          <w:marBottom w:val="0"/>
          <w:divBdr>
            <w:top w:val="none" w:sz="0" w:space="0" w:color="auto"/>
            <w:left w:val="none" w:sz="0" w:space="0" w:color="auto"/>
            <w:bottom w:val="none" w:sz="0" w:space="0" w:color="auto"/>
            <w:right w:val="none" w:sz="0" w:space="0" w:color="auto"/>
          </w:divBdr>
        </w:div>
        <w:div w:id="1837989735">
          <w:marLeft w:val="0"/>
          <w:marRight w:val="0"/>
          <w:marTop w:val="0"/>
          <w:marBottom w:val="0"/>
          <w:divBdr>
            <w:top w:val="none" w:sz="0" w:space="0" w:color="auto"/>
            <w:left w:val="none" w:sz="0" w:space="0" w:color="auto"/>
            <w:bottom w:val="none" w:sz="0" w:space="0" w:color="auto"/>
            <w:right w:val="none" w:sz="0" w:space="0" w:color="auto"/>
          </w:divBdr>
        </w:div>
        <w:div w:id="958142827">
          <w:marLeft w:val="0"/>
          <w:marRight w:val="0"/>
          <w:marTop w:val="0"/>
          <w:marBottom w:val="0"/>
          <w:divBdr>
            <w:top w:val="none" w:sz="0" w:space="0" w:color="auto"/>
            <w:left w:val="none" w:sz="0" w:space="0" w:color="auto"/>
            <w:bottom w:val="none" w:sz="0" w:space="0" w:color="auto"/>
            <w:right w:val="none" w:sz="0" w:space="0" w:color="auto"/>
          </w:divBdr>
        </w:div>
        <w:div w:id="699890036">
          <w:marLeft w:val="0"/>
          <w:marRight w:val="0"/>
          <w:marTop w:val="0"/>
          <w:marBottom w:val="0"/>
          <w:divBdr>
            <w:top w:val="none" w:sz="0" w:space="0" w:color="auto"/>
            <w:left w:val="none" w:sz="0" w:space="0" w:color="auto"/>
            <w:bottom w:val="none" w:sz="0" w:space="0" w:color="auto"/>
            <w:right w:val="none" w:sz="0" w:space="0" w:color="auto"/>
          </w:divBdr>
        </w:div>
        <w:div w:id="1887571223">
          <w:marLeft w:val="0"/>
          <w:marRight w:val="0"/>
          <w:marTop w:val="0"/>
          <w:marBottom w:val="0"/>
          <w:divBdr>
            <w:top w:val="none" w:sz="0" w:space="0" w:color="auto"/>
            <w:left w:val="none" w:sz="0" w:space="0" w:color="auto"/>
            <w:bottom w:val="none" w:sz="0" w:space="0" w:color="auto"/>
            <w:right w:val="none" w:sz="0" w:space="0" w:color="auto"/>
          </w:divBdr>
        </w:div>
        <w:div w:id="991982465">
          <w:marLeft w:val="0"/>
          <w:marRight w:val="0"/>
          <w:marTop w:val="0"/>
          <w:marBottom w:val="0"/>
          <w:divBdr>
            <w:top w:val="none" w:sz="0" w:space="0" w:color="auto"/>
            <w:left w:val="none" w:sz="0" w:space="0" w:color="auto"/>
            <w:bottom w:val="none" w:sz="0" w:space="0" w:color="auto"/>
            <w:right w:val="none" w:sz="0" w:space="0" w:color="auto"/>
          </w:divBdr>
        </w:div>
      </w:divsChild>
    </w:div>
    <w:div w:id="909274358">
      <w:bodyDiv w:val="1"/>
      <w:marLeft w:val="0"/>
      <w:marRight w:val="0"/>
      <w:marTop w:val="0"/>
      <w:marBottom w:val="0"/>
      <w:divBdr>
        <w:top w:val="none" w:sz="0" w:space="0" w:color="auto"/>
        <w:left w:val="none" w:sz="0" w:space="0" w:color="auto"/>
        <w:bottom w:val="none" w:sz="0" w:space="0" w:color="auto"/>
        <w:right w:val="none" w:sz="0" w:space="0" w:color="auto"/>
      </w:divBdr>
      <w:divsChild>
        <w:div w:id="948391931">
          <w:marLeft w:val="0"/>
          <w:marRight w:val="0"/>
          <w:marTop w:val="0"/>
          <w:marBottom w:val="0"/>
          <w:divBdr>
            <w:top w:val="none" w:sz="0" w:space="0" w:color="auto"/>
            <w:left w:val="none" w:sz="0" w:space="0" w:color="auto"/>
            <w:bottom w:val="none" w:sz="0" w:space="0" w:color="auto"/>
            <w:right w:val="none" w:sz="0" w:space="0" w:color="auto"/>
          </w:divBdr>
        </w:div>
        <w:div w:id="1867938134">
          <w:marLeft w:val="0"/>
          <w:marRight w:val="0"/>
          <w:marTop w:val="0"/>
          <w:marBottom w:val="0"/>
          <w:divBdr>
            <w:top w:val="none" w:sz="0" w:space="0" w:color="auto"/>
            <w:left w:val="none" w:sz="0" w:space="0" w:color="auto"/>
            <w:bottom w:val="none" w:sz="0" w:space="0" w:color="auto"/>
            <w:right w:val="none" w:sz="0" w:space="0" w:color="auto"/>
          </w:divBdr>
        </w:div>
        <w:div w:id="2105566811">
          <w:marLeft w:val="0"/>
          <w:marRight w:val="0"/>
          <w:marTop w:val="0"/>
          <w:marBottom w:val="0"/>
          <w:divBdr>
            <w:top w:val="none" w:sz="0" w:space="0" w:color="auto"/>
            <w:left w:val="none" w:sz="0" w:space="0" w:color="auto"/>
            <w:bottom w:val="none" w:sz="0" w:space="0" w:color="auto"/>
            <w:right w:val="none" w:sz="0" w:space="0" w:color="auto"/>
          </w:divBdr>
        </w:div>
        <w:div w:id="1763794545">
          <w:marLeft w:val="0"/>
          <w:marRight w:val="0"/>
          <w:marTop w:val="0"/>
          <w:marBottom w:val="0"/>
          <w:divBdr>
            <w:top w:val="none" w:sz="0" w:space="0" w:color="auto"/>
            <w:left w:val="none" w:sz="0" w:space="0" w:color="auto"/>
            <w:bottom w:val="none" w:sz="0" w:space="0" w:color="auto"/>
            <w:right w:val="none" w:sz="0" w:space="0" w:color="auto"/>
          </w:divBdr>
        </w:div>
        <w:div w:id="1254823127">
          <w:marLeft w:val="0"/>
          <w:marRight w:val="0"/>
          <w:marTop w:val="0"/>
          <w:marBottom w:val="0"/>
          <w:divBdr>
            <w:top w:val="none" w:sz="0" w:space="0" w:color="auto"/>
            <w:left w:val="none" w:sz="0" w:space="0" w:color="auto"/>
            <w:bottom w:val="none" w:sz="0" w:space="0" w:color="auto"/>
            <w:right w:val="none" w:sz="0" w:space="0" w:color="auto"/>
          </w:divBdr>
        </w:div>
        <w:div w:id="488445049">
          <w:marLeft w:val="0"/>
          <w:marRight w:val="0"/>
          <w:marTop w:val="0"/>
          <w:marBottom w:val="0"/>
          <w:divBdr>
            <w:top w:val="none" w:sz="0" w:space="0" w:color="auto"/>
            <w:left w:val="none" w:sz="0" w:space="0" w:color="auto"/>
            <w:bottom w:val="none" w:sz="0" w:space="0" w:color="auto"/>
            <w:right w:val="none" w:sz="0" w:space="0" w:color="auto"/>
          </w:divBdr>
        </w:div>
        <w:div w:id="1775176466">
          <w:marLeft w:val="0"/>
          <w:marRight w:val="0"/>
          <w:marTop w:val="0"/>
          <w:marBottom w:val="0"/>
          <w:divBdr>
            <w:top w:val="none" w:sz="0" w:space="0" w:color="auto"/>
            <w:left w:val="none" w:sz="0" w:space="0" w:color="auto"/>
            <w:bottom w:val="none" w:sz="0" w:space="0" w:color="auto"/>
            <w:right w:val="none" w:sz="0" w:space="0" w:color="auto"/>
          </w:divBdr>
        </w:div>
        <w:div w:id="1225600483">
          <w:marLeft w:val="0"/>
          <w:marRight w:val="0"/>
          <w:marTop w:val="0"/>
          <w:marBottom w:val="0"/>
          <w:divBdr>
            <w:top w:val="none" w:sz="0" w:space="0" w:color="auto"/>
            <w:left w:val="none" w:sz="0" w:space="0" w:color="auto"/>
            <w:bottom w:val="none" w:sz="0" w:space="0" w:color="auto"/>
            <w:right w:val="none" w:sz="0" w:space="0" w:color="auto"/>
          </w:divBdr>
        </w:div>
        <w:div w:id="1793282104">
          <w:marLeft w:val="0"/>
          <w:marRight w:val="0"/>
          <w:marTop w:val="0"/>
          <w:marBottom w:val="0"/>
          <w:divBdr>
            <w:top w:val="none" w:sz="0" w:space="0" w:color="auto"/>
            <w:left w:val="none" w:sz="0" w:space="0" w:color="auto"/>
            <w:bottom w:val="none" w:sz="0" w:space="0" w:color="auto"/>
            <w:right w:val="none" w:sz="0" w:space="0" w:color="auto"/>
          </w:divBdr>
        </w:div>
        <w:div w:id="103354521">
          <w:marLeft w:val="0"/>
          <w:marRight w:val="0"/>
          <w:marTop w:val="0"/>
          <w:marBottom w:val="0"/>
          <w:divBdr>
            <w:top w:val="none" w:sz="0" w:space="0" w:color="auto"/>
            <w:left w:val="none" w:sz="0" w:space="0" w:color="auto"/>
            <w:bottom w:val="none" w:sz="0" w:space="0" w:color="auto"/>
            <w:right w:val="none" w:sz="0" w:space="0" w:color="auto"/>
          </w:divBdr>
        </w:div>
        <w:div w:id="1040862214">
          <w:marLeft w:val="0"/>
          <w:marRight w:val="0"/>
          <w:marTop w:val="0"/>
          <w:marBottom w:val="0"/>
          <w:divBdr>
            <w:top w:val="none" w:sz="0" w:space="0" w:color="auto"/>
            <w:left w:val="none" w:sz="0" w:space="0" w:color="auto"/>
            <w:bottom w:val="none" w:sz="0" w:space="0" w:color="auto"/>
            <w:right w:val="none" w:sz="0" w:space="0" w:color="auto"/>
          </w:divBdr>
        </w:div>
        <w:div w:id="483358211">
          <w:marLeft w:val="0"/>
          <w:marRight w:val="0"/>
          <w:marTop w:val="0"/>
          <w:marBottom w:val="0"/>
          <w:divBdr>
            <w:top w:val="none" w:sz="0" w:space="0" w:color="auto"/>
            <w:left w:val="none" w:sz="0" w:space="0" w:color="auto"/>
            <w:bottom w:val="none" w:sz="0" w:space="0" w:color="auto"/>
            <w:right w:val="none" w:sz="0" w:space="0" w:color="auto"/>
          </w:divBdr>
        </w:div>
        <w:div w:id="79572739">
          <w:marLeft w:val="0"/>
          <w:marRight w:val="0"/>
          <w:marTop w:val="0"/>
          <w:marBottom w:val="0"/>
          <w:divBdr>
            <w:top w:val="none" w:sz="0" w:space="0" w:color="auto"/>
            <w:left w:val="none" w:sz="0" w:space="0" w:color="auto"/>
            <w:bottom w:val="none" w:sz="0" w:space="0" w:color="auto"/>
            <w:right w:val="none" w:sz="0" w:space="0" w:color="auto"/>
          </w:divBdr>
        </w:div>
        <w:div w:id="422653486">
          <w:marLeft w:val="0"/>
          <w:marRight w:val="0"/>
          <w:marTop w:val="0"/>
          <w:marBottom w:val="0"/>
          <w:divBdr>
            <w:top w:val="none" w:sz="0" w:space="0" w:color="auto"/>
            <w:left w:val="none" w:sz="0" w:space="0" w:color="auto"/>
            <w:bottom w:val="none" w:sz="0" w:space="0" w:color="auto"/>
            <w:right w:val="none" w:sz="0" w:space="0" w:color="auto"/>
          </w:divBdr>
        </w:div>
        <w:div w:id="685643459">
          <w:marLeft w:val="0"/>
          <w:marRight w:val="0"/>
          <w:marTop w:val="0"/>
          <w:marBottom w:val="0"/>
          <w:divBdr>
            <w:top w:val="none" w:sz="0" w:space="0" w:color="auto"/>
            <w:left w:val="none" w:sz="0" w:space="0" w:color="auto"/>
            <w:bottom w:val="none" w:sz="0" w:space="0" w:color="auto"/>
            <w:right w:val="none" w:sz="0" w:space="0" w:color="auto"/>
          </w:divBdr>
        </w:div>
        <w:div w:id="1458178684">
          <w:marLeft w:val="0"/>
          <w:marRight w:val="0"/>
          <w:marTop w:val="0"/>
          <w:marBottom w:val="0"/>
          <w:divBdr>
            <w:top w:val="none" w:sz="0" w:space="0" w:color="auto"/>
            <w:left w:val="none" w:sz="0" w:space="0" w:color="auto"/>
            <w:bottom w:val="none" w:sz="0" w:space="0" w:color="auto"/>
            <w:right w:val="none" w:sz="0" w:space="0" w:color="auto"/>
          </w:divBdr>
        </w:div>
        <w:div w:id="990600360">
          <w:marLeft w:val="0"/>
          <w:marRight w:val="0"/>
          <w:marTop w:val="0"/>
          <w:marBottom w:val="0"/>
          <w:divBdr>
            <w:top w:val="none" w:sz="0" w:space="0" w:color="auto"/>
            <w:left w:val="none" w:sz="0" w:space="0" w:color="auto"/>
            <w:bottom w:val="none" w:sz="0" w:space="0" w:color="auto"/>
            <w:right w:val="none" w:sz="0" w:space="0" w:color="auto"/>
          </w:divBdr>
        </w:div>
      </w:divsChild>
    </w:div>
    <w:div w:id="923487789">
      <w:bodyDiv w:val="1"/>
      <w:marLeft w:val="0"/>
      <w:marRight w:val="0"/>
      <w:marTop w:val="0"/>
      <w:marBottom w:val="0"/>
      <w:divBdr>
        <w:top w:val="none" w:sz="0" w:space="0" w:color="auto"/>
        <w:left w:val="none" w:sz="0" w:space="0" w:color="auto"/>
        <w:bottom w:val="none" w:sz="0" w:space="0" w:color="auto"/>
        <w:right w:val="none" w:sz="0" w:space="0" w:color="auto"/>
      </w:divBdr>
      <w:divsChild>
        <w:div w:id="65614087">
          <w:marLeft w:val="0"/>
          <w:marRight w:val="0"/>
          <w:marTop w:val="0"/>
          <w:marBottom w:val="0"/>
          <w:divBdr>
            <w:top w:val="none" w:sz="0" w:space="0" w:color="auto"/>
            <w:left w:val="none" w:sz="0" w:space="0" w:color="auto"/>
            <w:bottom w:val="none" w:sz="0" w:space="0" w:color="auto"/>
            <w:right w:val="none" w:sz="0" w:space="0" w:color="auto"/>
          </w:divBdr>
        </w:div>
        <w:div w:id="1576626004">
          <w:marLeft w:val="0"/>
          <w:marRight w:val="0"/>
          <w:marTop w:val="0"/>
          <w:marBottom w:val="0"/>
          <w:divBdr>
            <w:top w:val="none" w:sz="0" w:space="0" w:color="auto"/>
            <w:left w:val="none" w:sz="0" w:space="0" w:color="auto"/>
            <w:bottom w:val="none" w:sz="0" w:space="0" w:color="auto"/>
            <w:right w:val="none" w:sz="0" w:space="0" w:color="auto"/>
          </w:divBdr>
        </w:div>
      </w:divsChild>
    </w:div>
    <w:div w:id="975642957">
      <w:bodyDiv w:val="1"/>
      <w:marLeft w:val="0"/>
      <w:marRight w:val="0"/>
      <w:marTop w:val="0"/>
      <w:marBottom w:val="0"/>
      <w:divBdr>
        <w:top w:val="none" w:sz="0" w:space="0" w:color="auto"/>
        <w:left w:val="none" w:sz="0" w:space="0" w:color="auto"/>
        <w:bottom w:val="none" w:sz="0" w:space="0" w:color="auto"/>
        <w:right w:val="none" w:sz="0" w:space="0" w:color="auto"/>
      </w:divBdr>
      <w:divsChild>
        <w:div w:id="1945723795">
          <w:marLeft w:val="0"/>
          <w:marRight w:val="0"/>
          <w:marTop w:val="0"/>
          <w:marBottom w:val="0"/>
          <w:divBdr>
            <w:top w:val="none" w:sz="0" w:space="0" w:color="auto"/>
            <w:left w:val="none" w:sz="0" w:space="0" w:color="auto"/>
            <w:bottom w:val="none" w:sz="0" w:space="0" w:color="auto"/>
            <w:right w:val="none" w:sz="0" w:space="0" w:color="auto"/>
          </w:divBdr>
        </w:div>
        <w:div w:id="888491759">
          <w:marLeft w:val="0"/>
          <w:marRight w:val="0"/>
          <w:marTop w:val="0"/>
          <w:marBottom w:val="0"/>
          <w:divBdr>
            <w:top w:val="none" w:sz="0" w:space="0" w:color="auto"/>
            <w:left w:val="none" w:sz="0" w:space="0" w:color="auto"/>
            <w:bottom w:val="none" w:sz="0" w:space="0" w:color="auto"/>
            <w:right w:val="none" w:sz="0" w:space="0" w:color="auto"/>
          </w:divBdr>
        </w:div>
        <w:div w:id="951087405">
          <w:marLeft w:val="0"/>
          <w:marRight w:val="0"/>
          <w:marTop w:val="0"/>
          <w:marBottom w:val="0"/>
          <w:divBdr>
            <w:top w:val="none" w:sz="0" w:space="0" w:color="auto"/>
            <w:left w:val="none" w:sz="0" w:space="0" w:color="auto"/>
            <w:bottom w:val="none" w:sz="0" w:space="0" w:color="auto"/>
            <w:right w:val="none" w:sz="0" w:space="0" w:color="auto"/>
          </w:divBdr>
        </w:div>
        <w:div w:id="2069067221">
          <w:marLeft w:val="0"/>
          <w:marRight w:val="0"/>
          <w:marTop w:val="0"/>
          <w:marBottom w:val="0"/>
          <w:divBdr>
            <w:top w:val="none" w:sz="0" w:space="0" w:color="auto"/>
            <w:left w:val="none" w:sz="0" w:space="0" w:color="auto"/>
            <w:bottom w:val="none" w:sz="0" w:space="0" w:color="auto"/>
            <w:right w:val="none" w:sz="0" w:space="0" w:color="auto"/>
          </w:divBdr>
        </w:div>
        <w:div w:id="300621564">
          <w:marLeft w:val="0"/>
          <w:marRight w:val="0"/>
          <w:marTop w:val="0"/>
          <w:marBottom w:val="0"/>
          <w:divBdr>
            <w:top w:val="none" w:sz="0" w:space="0" w:color="auto"/>
            <w:left w:val="none" w:sz="0" w:space="0" w:color="auto"/>
            <w:bottom w:val="none" w:sz="0" w:space="0" w:color="auto"/>
            <w:right w:val="none" w:sz="0" w:space="0" w:color="auto"/>
          </w:divBdr>
        </w:div>
        <w:div w:id="761992310">
          <w:marLeft w:val="0"/>
          <w:marRight w:val="0"/>
          <w:marTop w:val="0"/>
          <w:marBottom w:val="0"/>
          <w:divBdr>
            <w:top w:val="none" w:sz="0" w:space="0" w:color="auto"/>
            <w:left w:val="none" w:sz="0" w:space="0" w:color="auto"/>
            <w:bottom w:val="none" w:sz="0" w:space="0" w:color="auto"/>
            <w:right w:val="none" w:sz="0" w:space="0" w:color="auto"/>
          </w:divBdr>
        </w:div>
        <w:div w:id="1888645758">
          <w:marLeft w:val="0"/>
          <w:marRight w:val="0"/>
          <w:marTop w:val="0"/>
          <w:marBottom w:val="0"/>
          <w:divBdr>
            <w:top w:val="none" w:sz="0" w:space="0" w:color="auto"/>
            <w:left w:val="none" w:sz="0" w:space="0" w:color="auto"/>
            <w:bottom w:val="none" w:sz="0" w:space="0" w:color="auto"/>
            <w:right w:val="none" w:sz="0" w:space="0" w:color="auto"/>
          </w:divBdr>
        </w:div>
        <w:div w:id="1868712039">
          <w:marLeft w:val="0"/>
          <w:marRight w:val="0"/>
          <w:marTop w:val="0"/>
          <w:marBottom w:val="0"/>
          <w:divBdr>
            <w:top w:val="none" w:sz="0" w:space="0" w:color="auto"/>
            <w:left w:val="none" w:sz="0" w:space="0" w:color="auto"/>
            <w:bottom w:val="none" w:sz="0" w:space="0" w:color="auto"/>
            <w:right w:val="none" w:sz="0" w:space="0" w:color="auto"/>
          </w:divBdr>
        </w:div>
        <w:div w:id="868641586">
          <w:marLeft w:val="0"/>
          <w:marRight w:val="0"/>
          <w:marTop w:val="0"/>
          <w:marBottom w:val="0"/>
          <w:divBdr>
            <w:top w:val="none" w:sz="0" w:space="0" w:color="auto"/>
            <w:left w:val="none" w:sz="0" w:space="0" w:color="auto"/>
            <w:bottom w:val="none" w:sz="0" w:space="0" w:color="auto"/>
            <w:right w:val="none" w:sz="0" w:space="0" w:color="auto"/>
          </w:divBdr>
        </w:div>
        <w:div w:id="394478144">
          <w:marLeft w:val="0"/>
          <w:marRight w:val="0"/>
          <w:marTop w:val="0"/>
          <w:marBottom w:val="0"/>
          <w:divBdr>
            <w:top w:val="none" w:sz="0" w:space="0" w:color="auto"/>
            <w:left w:val="none" w:sz="0" w:space="0" w:color="auto"/>
            <w:bottom w:val="none" w:sz="0" w:space="0" w:color="auto"/>
            <w:right w:val="none" w:sz="0" w:space="0" w:color="auto"/>
          </w:divBdr>
        </w:div>
        <w:div w:id="596257378">
          <w:marLeft w:val="0"/>
          <w:marRight w:val="0"/>
          <w:marTop w:val="0"/>
          <w:marBottom w:val="0"/>
          <w:divBdr>
            <w:top w:val="none" w:sz="0" w:space="0" w:color="auto"/>
            <w:left w:val="none" w:sz="0" w:space="0" w:color="auto"/>
            <w:bottom w:val="none" w:sz="0" w:space="0" w:color="auto"/>
            <w:right w:val="none" w:sz="0" w:space="0" w:color="auto"/>
          </w:divBdr>
        </w:div>
        <w:div w:id="210193562">
          <w:marLeft w:val="0"/>
          <w:marRight w:val="0"/>
          <w:marTop w:val="0"/>
          <w:marBottom w:val="0"/>
          <w:divBdr>
            <w:top w:val="none" w:sz="0" w:space="0" w:color="auto"/>
            <w:left w:val="none" w:sz="0" w:space="0" w:color="auto"/>
            <w:bottom w:val="none" w:sz="0" w:space="0" w:color="auto"/>
            <w:right w:val="none" w:sz="0" w:space="0" w:color="auto"/>
          </w:divBdr>
        </w:div>
        <w:div w:id="1436483824">
          <w:marLeft w:val="0"/>
          <w:marRight w:val="0"/>
          <w:marTop w:val="0"/>
          <w:marBottom w:val="0"/>
          <w:divBdr>
            <w:top w:val="none" w:sz="0" w:space="0" w:color="auto"/>
            <w:left w:val="none" w:sz="0" w:space="0" w:color="auto"/>
            <w:bottom w:val="none" w:sz="0" w:space="0" w:color="auto"/>
            <w:right w:val="none" w:sz="0" w:space="0" w:color="auto"/>
          </w:divBdr>
        </w:div>
        <w:div w:id="1855224881">
          <w:marLeft w:val="0"/>
          <w:marRight w:val="0"/>
          <w:marTop w:val="0"/>
          <w:marBottom w:val="0"/>
          <w:divBdr>
            <w:top w:val="none" w:sz="0" w:space="0" w:color="auto"/>
            <w:left w:val="none" w:sz="0" w:space="0" w:color="auto"/>
            <w:bottom w:val="none" w:sz="0" w:space="0" w:color="auto"/>
            <w:right w:val="none" w:sz="0" w:space="0" w:color="auto"/>
          </w:divBdr>
        </w:div>
        <w:div w:id="358942524">
          <w:marLeft w:val="0"/>
          <w:marRight w:val="0"/>
          <w:marTop w:val="0"/>
          <w:marBottom w:val="0"/>
          <w:divBdr>
            <w:top w:val="none" w:sz="0" w:space="0" w:color="auto"/>
            <w:left w:val="none" w:sz="0" w:space="0" w:color="auto"/>
            <w:bottom w:val="none" w:sz="0" w:space="0" w:color="auto"/>
            <w:right w:val="none" w:sz="0" w:space="0" w:color="auto"/>
          </w:divBdr>
        </w:div>
        <w:div w:id="326250926">
          <w:marLeft w:val="0"/>
          <w:marRight w:val="0"/>
          <w:marTop w:val="0"/>
          <w:marBottom w:val="0"/>
          <w:divBdr>
            <w:top w:val="none" w:sz="0" w:space="0" w:color="auto"/>
            <w:left w:val="none" w:sz="0" w:space="0" w:color="auto"/>
            <w:bottom w:val="none" w:sz="0" w:space="0" w:color="auto"/>
            <w:right w:val="none" w:sz="0" w:space="0" w:color="auto"/>
          </w:divBdr>
        </w:div>
        <w:div w:id="1754426454">
          <w:marLeft w:val="0"/>
          <w:marRight w:val="0"/>
          <w:marTop w:val="0"/>
          <w:marBottom w:val="0"/>
          <w:divBdr>
            <w:top w:val="none" w:sz="0" w:space="0" w:color="auto"/>
            <w:left w:val="none" w:sz="0" w:space="0" w:color="auto"/>
            <w:bottom w:val="none" w:sz="0" w:space="0" w:color="auto"/>
            <w:right w:val="none" w:sz="0" w:space="0" w:color="auto"/>
          </w:divBdr>
        </w:div>
        <w:div w:id="1019624469">
          <w:marLeft w:val="0"/>
          <w:marRight w:val="0"/>
          <w:marTop w:val="0"/>
          <w:marBottom w:val="0"/>
          <w:divBdr>
            <w:top w:val="none" w:sz="0" w:space="0" w:color="auto"/>
            <w:left w:val="none" w:sz="0" w:space="0" w:color="auto"/>
            <w:bottom w:val="none" w:sz="0" w:space="0" w:color="auto"/>
            <w:right w:val="none" w:sz="0" w:space="0" w:color="auto"/>
          </w:divBdr>
        </w:div>
        <w:div w:id="136923704">
          <w:marLeft w:val="0"/>
          <w:marRight w:val="0"/>
          <w:marTop w:val="0"/>
          <w:marBottom w:val="0"/>
          <w:divBdr>
            <w:top w:val="none" w:sz="0" w:space="0" w:color="auto"/>
            <w:left w:val="none" w:sz="0" w:space="0" w:color="auto"/>
            <w:bottom w:val="none" w:sz="0" w:space="0" w:color="auto"/>
            <w:right w:val="none" w:sz="0" w:space="0" w:color="auto"/>
          </w:divBdr>
        </w:div>
        <w:div w:id="1423182890">
          <w:marLeft w:val="0"/>
          <w:marRight w:val="0"/>
          <w:marTop w:val="0"/>
          <w:marBottom w:val="0"/>
          <w:divBdr>
            <w:top w:val="none" w:sz="0" w:space="0" w:color="auto"/>
            <w:left w:val="none" w:sz="0" w:space="0" w:color="auto"/>
            <w:bottom w:val="none" w:sz="0" w:space="0" w:color="auto"/>
            <w:right w:val="none" w:sz="0" w:space="0" w:color="auto"/>
          </w:divBdr>
        </w:div>
        <w:div w:id="926309988">
          <w:marLeft w:val="0"/>
          <w:marRight w:val="0"/>
          <w:marTop w:val="0"/>
          <w:marBottom w:val="0"/>
          <w:divBdr>
            <w:top w:val="none" w:sz="0" w:space="0" w:color="auto"/>
            <w:left w:val="none" w:sz="0" w:space="0" w:color="auto"/>
            <w:bottom w:val="none" w:sz="0" w:space="0" w:color="auto"/>
            <w:right w:val="none" w:sz="0" w:space="0" w:color="auto"/>
          </w:divBdr>
        </w:div>
        <w:div w:id="1093092387">
          <w:marLeft w:val="0"/>
          <w:marRight w:val="0"/>
          <w:marTop w:val="0"/>
          <w:marBottom w:val="0"/>
          <w:divBdr>
            <w:top w:val="none" w:sz="0" w:space="0" w:color="auto"/>
            <w:left w:val="none" w:sz="0" w:space="0" w:color="auto"/>
            <w:bottom w:val="none" w:sz="0" w:space="0" w:color="auto"/>
            <w:right w:val="none" w:sz="0" w:space="0" w:color="auto"/>
          </w:divBdr>
        </w:div>
        <w:div w:id="128327835">
          <w:marLeft w:val="0"/>
          <w:marRight w:val="0"/>
          <w:marTop w:val="0"/>
          <w:marBottom w:val="0"/>
          <w:divBdr>
            <w:top w:val="none" w:sz="0" w:space="0" w:color="auto"/>
            <w:left w:val="none" w:sz="0" w:space="0" w:color="auto"/>
            <w:bottom w:val="none" w:sz="0" w:space="0" w:color="auto"/>
            <w:right w:val="none" w:sz="0" w:space="0" w:color="auto"/>
          </w:divBdr>
        </w:div>
        <w:div w:id="1946694777">
          <w:marLeft w:val="0"/>
          <w:marRight w:val="0"/>
          <w:marTop w:val="0"/>
          <w:marBottom w:val="0"/>
          <w:divBdr>
            <w:top w:val="none" w:sz="0" w:space="0" w:color="auto"/>
            <w:left w:val="none" w:sz="0" w:space="0" w:color="auto"/>
            <w:bottom w:val="none" w:sz="0" w:space="0" w:color="auto"/>
            <w:right w:val="none" w:sz="0" w:space="0" w:color="auto"/>
          </w:divBdr>
        </w:div>
        <w:div w:id="446706526">
          <w:marLeft w:val="0"/>
          <w:marRight w:val="0"/>
          <w:marTop w:val="0"/>
          <w:marBottom w:val="0"/>
          <w:divBdr>
            <w:top w:val="none" w:sz="0" w:space="0" w:color="auto"/>
            <w:left w:val="none" w:sz="0" w:space="0" w:color="auto"/>
            <w:bottom w:val="none" w:sz="0" w:space="0" w:color="auto"/>
            <w:right w:val="none" w:sz="0" w:space="0" w:color="auto"/>
          </w:divBdr>
        </w:div>
        <w:div w:id="879130380">
          <w:marLeft w:val="0"/>
          <w:marRight w:val="0"/>
          <w:marTop w:val="0"/>
          <w:marBottom w:val="0"/>
          <w:divBdr>
            <w:top w:val="none" w:sz="0" w:space="0" w:color="auto"/>
            <w:left w:val="none" w:sz="0" w:space="0" w:color="auto"/>
            <w:bottom w:val="none" w:sz="0" w:space="0" w:color="auto"/>
            <w:right w:val="none" w:sz="0" w:space="0" w:color="auto"/>
          </w:divBdr>
        </w:div>
        <w:div w:id="991980624">
          <w:marLeft w:val="0"/>
          <w:marRight w:val="0"/>
          <w:marTop w:val="0"/>
          <w:marBottom w:val="0"/>
          <w:divBdr>
            <w:top w:val="none" w:sz="0" w:space="0" w:color="auto"/>
            <w:left w:val="none" w:sz="0" w:space="0" w:color="auto"/>
            <w:bottom w:val="none" w:sz="0" w:space="0" w:color="auto"/>
            <w:right w:val="none" w:sz="0" w:space="0" w:color="auto"/>
          </w:divBdr>
        </w:div>
        <w:div w:id="1875996393">
          <w:marLeft w:val="0"/>
          <w:marRight w:val="0"/>
          <w:marTop w:val="0"/>
          <w:marBottom w:val="0"/>
          <w:divBdr>
            <w:top w:val="none" w:sz="0" w:space="0" w:color="auto"/>
            <w:left w:val="none" w:sz="0" w:space="0" w:color="auto"/>
            <w:bottom w:val="none" w:sz="0" w:space="0" w:color="auto"/>
            <w:right w:val="none" w:sz="0" w:space="0" w:color="auto"/>
          </w:divBdr>
        </w:div>
        <w:div w:id="164635732">
          <w:marLeft w:val="0"/>
          <w:marRight w:val="0"/>
          <w:marTop w:val="0"/>
          <w:marBottom w:val="0"/>
          <w:divBdr>
            <w:top w:val="none" w:sz="0" w:space="0" w:color="auto"/>
            <w:left w:val="none" w:sz="0" w:space="0" w:color="auto"/>
            <w:bottom w:val="none" w:sz="0" w:space="0" w:color="auto"/>
            <w:right w:val="none" w:sz="0" w:space="0" w:color="auto"/>
          </w:divBdr>
        </w:div>
        <w:div w:id="1008872470">
          <w:marLeft w:val="0"/>
          <w:marRight w:val="0"/>
          <w:marTop w:val="0"/>
          <w:marBottom w:val="0"/>
          <w:divBdr>
            <w:top w:val="none" w:sz="0" w:space="0" w:color="auto"/>
            <w:left w:val="none" w:sz="0" w:space="0" w:color="auto"/>
            <w:bottom w:val="none" w:sz="0" w:space="0" w:color="auto"/>
            <w:right w:val="none" w:sz="0" w:space="0" w:color="auto"/>
          </w:divBdr>
        </w:div>
        <w:div w:id="1665622928">
          <w:marLeft w:val="0"/>
          <w:marRight w:val="0"/>
          <w:marTop w:val="0"/>
          <w:marBottom w:val="0"/>
          <w:divBdr>
            <w:top w:val="none" w:sz="0" w:space="0" w:color="auto"/>
            <w:left w:val="none" w:sz="0" w:space="0" w:color="auto"/>
            <w:bottom w:val="none" w:sz="0" w:space="0" w:color="auto"/>
            <w:right w:val="none" w:sz="0" w:space="0" w:color="auto"/>
          </w:divBdr>
        </w:div>
        <w:div w:id="560751983">
          <w:marLeft w:val="0"/>
          <w:marRight w:val="0"/>
          <w:marTop w:val="0"/>
          <w:marBottom w:val="0"/>
          <w:divBdr>
            <w:top w:val="none" w:sz="0" w:space="0" w:color="auto"/>
            <w:left w:val="none" w:sz="0" w:space="0" w:color="auto"/>
            <w:bottom w:val="none" w:sz="0" w:space="0" w:color="auto"/>
            <w:right w:val="none" w:sz="0" w:space="0" w:color="auto"/>
          </w:divBdr>
        </w:div>
        <w:div w:id="2022587087">
          <w:marLeft w:val="0"/>
          <w:marRight w:val="0"/>
          <w:marTop w:val="0"/>
          <w:marBottom w:val="0"/>
          <w:divBdr>
            <w:top w:val="none" w:sz="0" w:space="0" w:color="auto"/>
            <w:left w:val="none" w:sz="0" w:space="0" w:color="auto"/>
            <w:bottom w:val="none" w:sz="0" w:space="0" w:color="auto"/>
            <w:right w:val="none" w:sz="0" w:space="0" w:color="auto"/>
          </w:divBdr>
        </w:div>
        <w:div w:id="944001396">
          <w:marLeft w:val="0"/>
          <w:marRight w:val="0"/>
          <w:marTop w:val="0"/>
          <w:marBottom w:val="0"/>
          <w:divBdr>
            <w:top w:val="none" w:sz="0" w:space="0" w:color="auto"/>
            <w:left w:val="none" w:sz="0" w:space="0" w:color="auto"/>
            <w:bottom w:val="none" w:sz="0" w:space="0" w:color="auto"/>
            <w:right w:val="none" w:sz="0" w:space="0" w:color="auto"/>
          </w:divBdr>
        </w:div>
        <w:div w:id="2118720259">
          <w:marLeft w:val="0"/>
          <w:marRight w:val="0"/>
          <w:marTop w:val="0"/>
          <w:marBottom w:val="0"/>
          <w:divBdr>
            <w:top w:val="none" w:sz="0" w:space="0" w:color="auto"/>
            <w:left w:val="none" w:sz="0" w:space="0" w:color="auto"/>
            <w:bottom w:val="none" w:sz="0" w:space="0" w:color="auto"/>
            <w:right w:val="none" w:sz="0" w:space="0" w:color="auto"/>
          </w:divBdr>
        </w:div>
        <w:div w:id="1265771289">
          <w:marLeft w:val="0"/>
          <w:marRight w:val="0"/>
          <w:marTop w:val="0"/>
          <w:marBottom w:val="0"/>
          <w:divBdr>
            <w:top w:val="none" w:sz="0" w:space="0" w:color="auto"/>
            <w:left w:val="none" w:sz="0" w:space="0" w:color="auto"/>
            <w:bottom w:val="none" w:sz="0" w:space="0" w:color="auto"/>
            <w:right w:val="none" w:sz="0" w:space="0" w:color="auto"/>
          </w:divBdr>
        </w:div>
        <w:div w:id="2144420418">
          <w:marLeft w:val="0"/>
          <w:marRight w:val="0"/>
          <w:marTop w:val="0"/>
          <w:marBottom w:val="0"/>
          <w:divBdr>
            <w:top w:val="none" w:sz="0" w:space="0" w:color="auto"/>
            <w:left w:val="none" w:sz="0" w:space="0" w:color="auto"/>
            <w:bottom w:val="none" w:sz="0" w:space="0" w:color="auto"/>
            <w:right w:val="none" w:sz="0" w:space="0" w:color="auto"/>
          </w:divBdr>
        </w:div>
        <w:div w:id="1990478174">
          <w:marLeft w:val="0"/>
          <w:marRight w:val="0"/>
          <w:marTop w:val="0"/>
          <w:marBottom w:val="0"/>
          <w:divBdr>
            <w:top w:val="none" w:sz="0" w:space="0" w:color="auto"/>
            <w:left w:val="none" w:sz="0" w:space="0" w:color="auto"/>
            <w:bottom w:val="none" w:sz="0" w:space="0" w:color="auto"/>
            <w:right w:val="none" w:sz="0" w:space="0" w:color="auto"/>
          </w:divBdr>
        </w:div>
        <w:div w:id="1207448606">
          <w:marLeft w:val="0"/>
          <w:marRight w:val="0"/>
          <w:marTop w:val="0"/>
          <w:marBottom w:val="0"/>
          <w:divBdr>
            <w:top w:val="none" w:sz="0" w:space="0" w:color="auto"/>
            <w:left w:val="none" w:sz="0" w:space="0" w:color="auto"/>
            <w:bottom w:val="none" w:sz="0" w:space="0" w:color="auto"/>
            <w:right w:val="none" w:sz="0" w:space="0" w:color="auto"/>
          </w:divBdr>
        </w:div>
        <w:div w:id="2075540529">
          <w:marLeft w:val="0"/>
          <w:marRight w:val="0"/>
          <w:marTop w:val="0"/>
          <w:marBottom w:val="0"/>
          <w:divBdr>
            <w:top w:val="none" w:sz="0" w:space="0" w:color="auto"/>
            <w:left w:val="none" w:sz="0" w:space="0" w:color="auto"/>
            <w:bottom w:val="none" w:sz="0" w:space="0" w:color="auto"/>
            <w:right w:val="none" w:sz="0" w:space="0" w:color="auto"/>
          </w:divBdr>
        </w:div>
      </w:divsChild>
    </w:div>
    <w:div w:id="982544193">
      <w:bodyDiv w:val="1"/>
      <w:marLeft w:val="0"/>
      <w:marRight w:val="0"/>
      <w:marTop w:val="0"/>
      <w:marBottom w:val="0"/>
      <w:divBdr>
        <w:top w:val="none" w:sz="0" w:space="0" w:color="auto"/>
        <w:left w:val="none" w:sz="0" w:space="0" w:color="auto"/>
        <w:bottom w:val="none" w:sz="0" w:space="0" w:color="auto"/>
        <w:right w:val="none" w:sz="0" w:space="0" w:color="auto"/>
      </w:divBdr>
      <w:divsChild>
        <w:div w:id="1468015412">
          <w:marLeft w:val="0"/>
          <w:marRight w:val="0"/>
          <w:marTop w:val="0"/>
          <w:marBottom w:val="0"/>
          <w:divBdr>
            <w:top w:val="none" w:sz="0" w:space="0" w:color="auto"/>
            <w:left w:val="none" w:sz="0" w:space="0" w:color="auto"/>
            <w:bottom w:val="none" w:sz="0" w:space="0" w:color="auto"/>
            <w:right w:val="none" w:sz="0" w:space="0" w:color="auto"/>
          </w:divBdr>
        </w:div>
        <w:div w:id="581914580">
          <w:marLeft w:val="0"/>
          <w:marRight w:val="0"/>
          <w:marTop w:val="0"/>
          <w:marBottom w:val="0"/>
          <w:divBdr>
            <w:top w:val="none" w:sz="0" w:space="0" w:color="auto"/>
            <w:left w:val="none" w:sz="0" w:space="0" w:color="auto"/>
            <w:bottom w:val="none" w:sz="0" w:space="0" w:color="auto"/>
            <w:right w:val="none" w:sz="0" w:space="0" w:color="auto"/>
          </w:divBdr>
        </w:div>
        <w:div w:id="500659655">
          <w:marLeft w:val="0"/>
          <w:marRight w:val="0"/>
          <w:marTop w:val="0"/>
          <w:marBottom w:val="0"/>
          <w:divBdr>
            <w:top w:val="none" w:sz="0" w:space="0" w:color="auto"/>
            <w:left w:val="none" w:sz="0" w:space="0" w:color="auto"/>
            <w:bottom w:val="none" w:sz="0" w:space="0" w:color="auto"/>
            <w:right w:val="none" w:sz="0" w:space="0" w:color="auto"/>
          </w:divBdr>
        </w:div>
        <w:div w:id="2037850391">
          <w:marLeft w:val="0"/>
          <w:marRight w:val="0"/>
          <w:marTop w:val="0"/>
          <w:marBottom w:val="0"/>
          <w:divBdr>
            <w:top w:val="none" w:sz="0" w:space="0" w:color="auto"/>
            <w:left w:val="none" w:sz="0" w:space="0" w:color="auto"/>
            <w:bottom w:val="none" w:sz="0" w:space="0" w:color="auto"/>
            <w:right w:val="none" w:sz="0" w:space="0" w:color="auto"/>
          </w:divBdr>
        </w:div>
        <w:div w:id="102766640">
          <w:marLeft w:val="0"/>
          <w:marRight w:val="0"/>
          <w:marTop w:val="0"/>
          <w:marBottom w:val="0"/>
          <w:divBdr>
            <w:top w:val="none" w:sz="0" w:space="0" w:color="auto"/>
            <w:left w:val="none" w:sz="0" w:space="0" w:color="auto"/>
            <w:bottom w:val="none" w:sz="0" w:space="0" w:color="auto"/>
            <w:right w:val="none" w:sz="0" w:space="0" w:color="auto"/>
          </w:divBdr>
        </w:div>
        <w:div w:id="1994721964">
          <w:marLeft w:val="0"/>
          <w:marRight w:val="0"/>
          <w:marTop w:val="0"/>
          <w:marBottom w:val="0"/>
          <w:divBdr>
            <w:top w:val="none" w:sz="0" w:space="0" w:color="auto"/>
            <w:left w:val="none" w:sz="0" w:space="0" w:color="auto"/>
            <w:bottom w:val="none" w:sz="0" w:space="0" w:color="auto"/>
            <w:right w:val="none" w:sz="0" w:space="0" w:color="auto"/>
          </w:divBdr>
        </w:div>
        <w:div w:id="1838567781">
          <w:marLeft w:val="0"/>
          <w:marRight w:val="0"/>
          <w:marTop w:val="0"/>
          <w:marBottom w:val="0"/>
          <w:divBdr>
            <w:top w:val="none" w:sz="0" w:space="0" w:color="auto"/>
            <w:left w:val="none" w:sz="0" w:space="0" w:color="auto"/>
            <w:bottom w:val="none" w:sz="0" w:space="0" w:color="auto"/>
            <w:right w:val="none" w:sz="0" w:space="0" w:color="auto"/>
          </w:divBdr>
        </w:div>
      </w:divsChild>
    </w:div>
    <w:div w:id="1053238603">
      <w:bodyDiv w:val="1"/>
      <w:marLeft w:val="0"/>
      <w:marRight w:val="0"/>
      <w:marTop w:val="0"/>
      <w:marBottom w:val="0"/>
      <w:divBdr>
        <w:top w:val="none" w:sz="0" w:space="0" w:color="auto"/>
        <w:left w:val="none" w:sz="0" w:space="0" w:color="auto"/>
        <w:bottom w:val="none" w:sz="0" w:space="0" w:color="auto"/>
        <w:right w:val="none" w:sz="0" w:space="0" w:color="auto"/>
      </w:divBdr>
      <w:divsChild>
        <w:div w:id="1508867987">
          <w:marLeft w:val="0"/>
          <w:marRight w:val="0"/>
          <w:marTop w:val="0"/>
          <w:marBottom w:val="0"/>
          <w:divBdr>
            <w:top w:val="none" w:sz="0" w:space="0" w:color="auto"/>
            <w:left w:val="none" w:sz="0" w:space="0" w:color="auto"/>
            <w:bottom w:val="none" w:sz="0" w:space="0" w:color="auto"/>
            <w:right w:val="none" w:sz="0" w:space="0" w:color="auto"/>
          </w:divBdr>
        </w:div>
        <w:div w:id="1669139999">
          <w:marLeft w:val="0"/>
          <w:marRight w:val="0"/>
          <w:marTop w:val="0"/>
          <w:marBottom w:val="0"/>
          <w:divBdr>
            <w:top w:val="none" w:sz="0" w:space="0" w:color="auto"/>
            <w:left w:val="none" w:sz="0" w:space="0" w:color="auto"/>
            <w:bottom w:val="none" w:sz="0" w:space="0" w:color="auto"/>
            <w:right w:val="none" w:sz="0" w:space="0" w:color="auto"/>
          </w:divBdr>
        </w:div>
        <w:div w:id="1464809865">
          <w:marLeft w:val="0"/>
          <w:marRight w:val="0"/>
          <w:marTop w:val="0"/>
          <w:marBottom w:val="0"/>
          <w:divBdr>
            <w:top w:val="none" w:sz="0" w:space="0" w:color="auto"/>
            <w:left w:val="none" w:sz="0" w:space="0" w:color="auto"/>
            <w:bottom w:val="none" w:sz="0" w:space="0" w:color="auto"/>
            <w:right w:val="none" w:sz="0" w:space="0" w:color="auto"/>
          </w:divBdr>
        </w:div>
        <w:div w:id="1533886333">
          <w:marLeft w:val="0"/>
          <w:marRight w:val="0"/>
          <w:marTop w:val="0"/>
          <w:marBottom w:val="0"/>
          <w:divBdr>
            <w:top w:val="none" w:sz="0" w:space="0" w:color="auto"/>
            <w:left w:val="none" w:sz="0" w:space="0" w:color="auto"/>
            <w:bottom w:val="none" w:sz="0" w:space="0" w:color="auto"/>
            <w:right w:val="none" w:sz="0" w:space="0" w:color="auto"/>
          </w:divBdr>
        </w:div>
        <w:div w:id="978150017">
          <w:marLeft w:val="0"/>
          <w:marRight w:val="0"/>
          <w:marTop w:val="0"/>
          <w:marBottom w:val="0"/>
          <w:divBdr>
            <w:top w:val="none" w:sz="0" w:space="0" w:color="auto"/>
            <w:left w:val="none" w:sz="0" w:space="0" w:color="auto"/>
            <w:bottom w:val="none" w:sz="0" w:space="0" w:color="auto"/>
            <w:right w:val="none" w:sz="0" w:space="0" w:color="auto"/>
          </w:divBdr>
        </w:div>
        <w:div w:id="612054343">
          <w:marLeft w:val="0"/>
          <w:marRight w:val="0"/>
          <w:marTop w:val="0"/>
          <w:marBottom w:val="0"/>
          <w:divBdr>
            <w:top w:val="none" w:sz="0" w:space="0" w:color="auto"/>
            <w:left w:val="none" w:sz="0" w:space="0" w:color="auto"/>
            <w:bottom w:val="none" w:sz="0" w:space="0" w:color="auto"/>
            <w:right w:val="none" w:sz="0" w:space="0" w:color="auto"/>
          </w:divBdr>
        </w:div>
        <w:div w:id="2102675140">
          <w:marLeft w:val="0"/>
          <w:marRight w:val="0"/>
          <w:marTop w:val="0"/>
          <w:marBottom w:val="0"/>
          <w:divBdr>
            <w:top w:val="none" w:sz="0" w:space="0" w:color="auto"/>
            <w:left w:val="none" w:sz="0" w:space="0" w:color="auto"/>
            <w:bottom w:val="none" w:sz="0" w:space="0" w:color="auto"/>
            <w:right w:val="none" w:sz="0" w:space="0" w:color="auto"/>
          </w:divBdr>
        </w:div>
        <w:div w:id="1614091788">
          <w:marLeft w:val="0"/>
          <w:marRight w:val="0"/>
          <w:marTop w:val="0"/>
          <w:marBottom w:val="0"/>
          <w:divBdr>
            <w:top w:val="none" w:sz="0" w:space="0" w:color="auto"/>
            <w:left w:val="none" w:sz="0" w:space="0" w:color="auto"/>
            <w:bottom w:val="none" w:sz="0" w:space="0" w:color="auto"/>
            <w:right w:val="none" w:sz="0" w:space="0" w:color="auto"/>
          </w:divBdr>
        </w:div>
        <w:div w:id="1402216920">
          <w:marLeft w:val="0"/>
          <w:marRight w:val="0"/>
          <w:marTop w:val="0"/>
          <w:marBottom w:val="0"/>
          <w:divBdr>
            <w:top w:val="none" w:sz="0" w:space="0" w:color="auto"/>
            <w:left w:val="none" w:sz="0" w:space="0" w:color="auto"/>
            <w:bottom w:val="none" w:sz="0" w:space="0" w:color="auto"/>
            <w:right w:val="none" w:sz="0" w:space="0" w:color="auto"/>
          </w:divBdr>
        </w:div>
        <w:div w:id="1686398470">
          <w:marLeft w:val="0"/>
          <w:marRight w:val="0"/>
          <w:marTop w:val="0"/>
          <w:marBottom w:val="0"/>
          <w:divBdr>
            <w:top w:val="none" w:sz="0" w:space="0" w:color="auto"/>
            <w:left w:val="none" w:sz="0" w:space="0" w:color="auto"/>
            <w:bottom w:val="none" w:sz="0" w:space="0" w:color="auto"/>
            <w:right w:val="none" w:sz="0" w:space="0" w:color="auto"/>
          </w:divBdr>
        </w:div>
        <w:div w:id="487091325">
          <w:marLeft w:val="0"/>
          <w:marRight w:val="0"/>
          <w:marTop w:val="0"/>
          <w:marBottom w:val="0"/>
          <w:divBdr>
            <w:top w:val="none" w:sz="0" w:space="0" w:color="auto"/>
            <w:left w:val="none" w:sz="0" w:space="0" w:color="auto"/>
            <w:bottom w:val="none" w:sz="0" w:space="0" w:color="auto"/>
            <w:right w:val="none" w:sz="0" w:space="0" w:color="auto"/>
          </w:divBdr>
        </w:div>
        <w:div w:id="440149446">
          <w:marLeft w:val="0"/>
          <w:marRight w:val="0"/>
          <w:marTop w:val="0"/>
          <w:marBottom w:val="0"/>
          <w:divBdr>
            <w:top w:val="none" w:sz="0" w:space="0" w:color="auto"/>
            <w:left w:val="none" w:sz="0" w:space="0" w:color="auto"/>
            <w:bottom w:val="none" w:sz="0" w:space="0" w:color="auto"/>
            <w:right w:val="none" w:sz="0" w:space="0" w:color="auto"/>
          </w:divBdr>
        </w:div>
        <w:div w:id="888346593">
          <w:marLeft w:val="0"/>
          <w:marRight w:val="0"/>
          <w:marTop w:val="0"/>
          <w:marBottom w:val="0"/>
          <w:divBdr>
            <w:top w:val="none" w:sz="0" w:space="0" w:color="auto"/>
            <w:left w:val="none" w:sz="0" w:space="0" w:color="auto"/>
            <w:bottom w:val="none" w:sz="0" w:space="0" w:color="auto"/>
            <w:right w:val="none" w:sz="0" w:space="0" w:color="auto"/>
          </w:divBdr>
        </w:div>
        <w:div w:id="295764774">
          <w:marLeft w:val="0"/>
          <w:marRight w:val="0"/>
          <w:marTop w:val="0"/>
          <w:marBottom w:val="0"/>
          <w:divBdr>
            <w:top w:val="none" w:sz="0" w:space="0" w:color="auto"/>
            <w:left w:val="none" w:sz="0" w:space="0" w:color="auto"/>
            <w:bottom w:val="none" w:sz="0" w:space="0" w:color="auto"/>
            <w:right w:val="none" w:sz="0" w:space="0" w:color="auto"/>
          </w:divBdr>
        </w:div>
        <w:div w:id="1186821704">
          <w:marLeft w:val="0"/>
          <w:marRight w:val="0"/>
          <w:marTop w:val="0"/>
          <w:marBottom w:val="0"/>
          <w:divBdr>
            <w:top w:val="none" w:sz="0" w:space="0" w:color="auto"/>
            <w:left w:val="none" w:sz="0" w:space="0" w:color="auto"/>
            <w:bottom w:val="none" w:sz="0" w:space="0" w:color="auto"/>
            <w:right w:val="none" w:sz="0" w:space="0" w:color="auto"/>
          </w:divBdr>
        </w:div>
        <w:div w:id="1681927297">
          <w:marLeft w:val="0"/>
          <w:marRight w:val="0"/>
          <w:marTop w:val="0"/>
          <w:marBottom w:val="0"/>
          <w:divBdr>
            <w:top w:val="none" w:sz="0" w:space="0" w:color="auto"/>
            <w:left w:val="none" w:sz="0" w:space="0" w:color="auto"/>
            <w:bottom w:val="none" w:sz="0" w:space="0" w:color="auto"/>
            <w:right w:val="none" w:sz="0" w:space="0" w:color="auto"/>
          </w:divBdr>
        </w:div>
        <w:div w:id="1778286319">
          <w:marLeft w:val="0"/>
          <w:marRight w:val="0"/>
          <w:marTop w:val="0"/>
          <w:marBottom w:val="0"/>
          <w:divBdr>
            <w:top w:val="none" w:sz="0" w:space="0" w:color="auto"/>
            <w:left w:val="none" w:sz="0" w:space="0" w:color="auto"/>
            <w:bottom w:val="none" w:sz="0" w:space="0" w:color="auto"/>
            <w:right w:val="none" w:sz="0" w:space="0" w:color="auto"/>
          </w:divBdr>
        </w:div>
        <w:div w:id="888541706">
          <w:marLeft w:val="0"/>
          <w:marRight w:val="0"/>
          <w:marTop w:val="0"/>
          <w:marBottom w:val="0"/>
          <w:divBdr>
            <w:top w:val="none" w:sz="0" w:space="0" w:color="auto"/>
            <w:left w:val="none" w:sz="0" w:space="0" w:color="auto"/>
            <w:bottom w:val="none" w:sz="0" w:space="0" w:color="auto"/>
            <w:right w:val="none" w:sz="0" w:space="0" w:color="auto"/>
          </w:divBdr>
        </w:div>
        <w:div w:id="480148885">
          <w:marLeft w:val="0"/>
          <w:marRight w:val="0"/>
          <w:marTop w:val="0"/>
          <w:marBottom w:val="0"/>
          <w:divBdr>
            <w:top w:val="none" w:sz="0" w:space="0" w:color="auto"/>
            <w:left w:val="none" w:sz="0" w:space="0" w:color="auto"/>
            <w:bottom w:val="none" w:sz="0" w:space="0" w:color="auto"/>
            <w:right w:val="none" w:sz="0" w:space="0" w:color="auto"/>
          </w:divBdr>
        </w:div>
        <w:div w:id="1484079332">
          <w:marLeft w:val="0"/>
          <w:marRight w:val="0"/>
          <w:marTop w:val="0"/>
          <w:marBottom w:val="0"/>
          <w:divBdr>
            <w:top w:val="none" w:sz="0" w:space="0" w:color="auto"/>
            <w:left w:val="none" w:sz="0" w:space="0" w:color="auto"/>
            <w:bottom w:val="none" w:sz="0" w:space="0" w:color="auto"/>
            <w:right w:val="none" w:sz="0" w:space="0" w:color="auto"/>
          </w:divBdr>
        </w:div>
        <w:div w:id="2093160419">
          <w:marLeft w:val="0"/>
          <w:marRight w:val="0"/>
          <w:marTop w:val="0"/>
          <w:marBottom w:val="0"/>
          <w:divBdr>
            <w:top w:val="none" w:sz="0" w:space="0" w:color="auto"/>
            <w:left w:val="none" w:sz="0" w:space="0" w:color="auto"/>
            <w:bottom w:val="none" w:sz="0" w:space="0" w:color="auto"/>
            <w:right w:val="none" w:sz="0" w:space="0" w:color="auto"/>
          </w:divBdr>
        </w:div>
        <w:div w:id="1856993964">
          <w:marLeft w:val="0"/>
          <w:marRight w:val="0"/>
          <w:marTop w:val="0"/>
          <w:marBottom w:val="0"/>
          <w:divBdr>
            <w:top w:val="none" w:sz="0" w:space="0" w:color="auto"/>
            <w:left w:val="none" w:sz="0" w:space="0" w:color="auto"/>
            <w:bottom w:val="none" w:sz="0" w:space="0" w:color="auto"/>
            <w:right w:val="none" w:sz="0" w:space="0" w:color="auto"/>
          </w:divBdr>
        </w:div>
        <w:div w:id="1019697451">
          <w:marLeft w:val="0"/>
          <w:marRight w:val="0"/>
          <w:marTop w:val="0"/>
          <w:marBottom w:val="0"/>
          <w:divBdr>
            <w:top w:val="none" w:sz="0" w:space="0" w:color="auto"/>
            <w:left w:val="none" w:sz="0" w:space="0" w:color="auto"/>
            <w:bottom w:val="none" w:sz="0" w:space="0" w:color="auto"/>
            <w:right w:val="none" w:sz="0" w:space="0" w:color="auto"/>
          </w:divBdr>
        </w:div>
        <w:div w:id="1623490419">
          <w:marLeft w:val="0"/>
          <w:marRight w:val="0"/>
          <w:marTop w:val="0"/>
          <w:marBottom w:val="0"/>
          <w:divBdr>
            <w:top w:val="none" w:sz="0" w:space="0" w:color="auto"/>
            <w:left w:val="none" w:sz="0" w:space="0" w:color="auto"/>
            <w:bottom w:val="none" w:sz="0" w:space="0" w:color="auto"/>
            <w:right w:val="none" w:sz="0" w:space="0" w:color="auto"/>
          </w:divBdr>
        </w:div>
        <w:div w:id="536968435">
          <w:marLeft w:val="0"/>
          <w:marRight w:val="0"/>
          <w:marTop w:val="0"/>
          <w:marBottom w:val="0"/>
          <w:divBdr>
            <w:top w:val="none" w:sz="0" w:space="0" w:color="auto"/>
            <w:left w:val="none" w:sz="0" w:space="0" w:color="auto"/>
            <w:bottom w:val="none" w:sz="0" w:space="0" w:color="auto"/>
            <w:right w:val="none" w:sz="0" w:space="0" w:color="auto"/>
          </w:divBdr>
        </w:div>
        <w:div w:id="674765872">
          <w:marLeft w:val="0"/>
          <w:marRight w:val="0"/>
          <w:marTop w:val="0"/>
          <w:marBottom w:val="0"/>
          <w:divBdr>
            <w:top w:val="none" w:sz="0" w:space="0" w:color="auto"/>
            <w:left w:val="none" w:sz="0" w:space="0" w:color="auto"/>
            <w:bottom w:val="none" w:sz="0" w:space="0" w:color="auto"/>
            <w:right w:val="none" w:sz="0" w:space="0" w:color="auto"/>
          </w:divBdr>
        </w:div>
        <w:div w:id="1680617333">
          <w:marLeft w:val="0"/>
          <w:marRight w:val="0"/>
          <w:marTop w:val="0"/>
          <w:marBottom w:val="0"/>
          <w:divBdr>
            <w:top w:val="none" w:sz="0" w:space="0" w:color="auto"/>
            <w:left w:val="none" w:sz="0" w:space="0" w:color="auto"/>
            <w:bottom w:val="none" w:sz="0" w:space="0" w:color="auto"/>
            <w:right w:val="none" w:sz="0" w:space="0" w:color="auto"/>
          </w:divBdr>
        </w:div>
        <w:div w:id="1121729376">
          <w:marLeft w:val="0"/>
          <w:marRight w:val="0"/>
          <w:marTop w:val="0"/>
          <w:marBottom w:val="0"/>
          <w:divBdr>
            <w:top w:val="none" w:sz="0" w:space="0" w:color="auto"/>
            <w:left w:val="none" w:sz="0" w:space="0" w:color="auto"/>
            <w:bottom w:val="none" w:sz="0" w:space="0" w:color="auto"/>
            <w:right w:val="none" w:sz="0" w:space="0" w:color="auto"/>
          </w:divBdr>
        </w:div>
        <w:div w:id="1837064734">
          <w:marLeft w:val="0"/>
          <w:marRight w:val="0"/>
          <w:marTop w:val="0"/>
          <w:marBottom w:val="0"/>
          <w:divBdr>
            <w:top w:val="none" w:sz="0" w:space="0" w:color="auto"/>
            <w:left w:val="none" w:sz="0" w:space="0" w:color="auto"/>
            <w:bottom w:val="none" w:sz="0" w:space="0" w:color="auto"/>
            <w:right w:val="none" w:sz="0" w:space="0" w:color="auto"/>
          </w:divBdr>
        </w:div>
        <w:div w:id="894707649">
          <w:marLeft w:val="0"/>
          <w:marRight w:val="0"/>
          <w:marTop w:val="0"/>
          <w:marBottom w:val="0"/>
          <w:divBdr>
            <w:top w:val="none" w:sz="0" w:space="0" w:color="auto"/>
            <w:left w:val="none" w:sz="0" w:space="0" w:color="auto"/>
            <w:bottom w:val="none" w:sz="0" w:space="0" w:color="auto"/>
            <w:right w:val="none" w:sz="0" w:space="0" w:color="auto"/>
          </w:divBdr>
        </w:div>
        <w:div w:id="644428589">
          <w:marLeft w:val="0"/>
          <w:marRight w:val="0"/>
          <w:marTop w:val="0"/>
          <w:marBottom w:val="0"/>
          <w:divBdr>
            <w:top w:val="none" w:sz="0" w:space="0" w:color="auto"/>
            <w:left w:val="none" w:sz="0" w:space="0" w:color="auto"/>
            <w:bottom w:val="none" w:sz="0" w:space="0" w:color="auto"/>
            <w:right w:val="none" w:sz="0" w:space="0" w:color="auto"/>
          </w:divBdr>
        </w:div>
        <w:div w:id="1619680938">
          <w:marLeft w:val="0"/>
          <w:marRight w:val="0"/>
          <w:marTop w:val="0"/>
          <w:marBottom w:val="0"/>
          <w:divBdr>
            <w:top w:val="none" w:sz="0" w:space="0" w:color="auto"/>
            <w:left w:val="none" w:sz="0" w:space="0" w:color="auto"/>
            <w:bottom w:val="none" w:sz="0" w:space="0" w:color="auto"/>
            <w:right w:val="none" w:sz="0" w:space="0" w:color="auto"/>
          </w:divBdr>
        </w:div>
        <w:div w:id="1193111985">
          <w:marLeft w:val="0"/>
          <w:marRight w:val="0"/>
          <w:marTop w:val="0"/>
          <w:marBottom w:val="0"/>
          <w:divBdr>
            <w:top w:val="none" w:sz="0" w:space="0" w:color="auto"/>
            <w:left w:val="none" w:sz="0" w:space="0" w:color="auto"/>
            <w:bottom w:val="none" w:sz="0" w:space="0" w:color="auto"/>
            <w:right w:val="none" w:sz="0" w:space="0" w:color="auto"/>
          </w:divBdr>
        </w:div>
      </w:divsChild>
    </w:div>
    <w:div w:id="1126852503">
      <w:bodyDiv w:val="1"/>
      <w:marLeft w:val="0"/>
      <w:marRight w:val="0"/>
      <w:marTop w:val="0"/>
      <w:marBottom w:val="0"/>
      <w:divBdr>
        <w:top w:val="none" w:sz="0" w:space="0" w:color="auto"/>
        <w:left w:val="none" w:sz="0" w:space="0" w:color="auto"/>
        <w:bottom w:val="none" w:sz="0" w:space="0" w:color="auto"/>
        <w:right w:val="none" w:sz="0" w:space="0" w:color="auto"/>
      </w:divBdr>
      <w:divsChild>
        <w:div w:id="1676762847">
          <w:marLeft w:val="0"/>
          <w:marRight w:val="0"/>
          <w:marTop w:val="0"/>
          <w:marBottom w:val="0"/>
          <w:divBdr>
            <w:top w:val="none" w:sz="0" w:space="0" w:color="auto"/>
            <w:left w:val="none" w:sz="0" w:space="0" w:color="auto"/>
            <w:bottom w:val="none" w:sz="0" w:space="0" w:color="auto"/>
            <w:right w:val="none" w:sz="0" w:space="0" w:color="auto"/>
          </w:divBdr>
        </w:div>
        <w:div w:id="1131365871">
          <w:marLeft w:val="0"/>
          <w:marRight w:val="0"/>
          <w:marTop w:val="0"/>
          <w:marBottom w:val="0"/>
          <w:divBdr>
            <w:top w:val="none" w:sz="0" w:space="0" w:color="auto"/>
            <w:left w:val="none" w:sz="0" w:space="0" w:color="auto"/>
            <w:bottom w:val="none" w:sz="0" w:space="0" w:color="auto"/>
            <w:right w:val="none" w:sz="0" w:space="0" w:color="auto"/>
          </w:divBdr>
        </w:div>
        <w:div w:id="190925298">
          <w:marLeft w:val="0"/>
          <w:marRight w:val="0"/>
          <w:marTop w:val="0"/>
          <w:marBottom w:val="0"/>
          <w:divBdr>
            <w:top w:val="none" w:sz="0" w:space="0" w:color="auto"/>
            <w:left w:val="none" w:sz="0" w:space="0" w:color="auto"/>
            <w:bottom w:val="none" w:sz="0" w:space="0" w:color="auto"/>
            <w:right w:val="none" w:sz="0" w:space="0" w:color="auto"/>
          </w:divBdr>
        </w:div>
        <w:div w:id="1437752007">
          <w:marLeft w:val="0"/>
          <w:marRight w:val="0"/>
          <w:marTop w:val="0"/>
          <w:marBottom w:val="0"/>
          <w:divBdr>
            <w:top w:val="none" w:sz="0" w:space="0" w:color="auto"/>
            <w:left w:val="none" w:sz="0" w:space="0" w:color="auto"/>
            <w:bottom w:val="none" w:sz="0" w:space="0" w:color="auto"/>
            <w:right w:val="none" w:sz="0" w:space="0" w:color="auto"/>
          </w:divBdr>
        </w:div>
        <w:div w:id="877469353">
          <w:marLeft w:val="0"/>
          <w:marRight w:val="0"/>
          <w:marTop w:val="0"/>
          <w:marBottom w:val="0"/>
          <w:divBdr>
            <w:top w:val="none" w:sz="0" w:space="0" w:color="auto"/>
            <w:left w:val="none" w:sz="0" w:space="0" w:color="auto"/>
            <w:bottom w:val="none" w:sz="0" w:space="0" w:color="auto"/>
            <w:right w:val="none" w:sz="0" w:space="0" w:color="auto"/>
          </w:divBdr>
        </w:div>
      </w:divsChild>
    </w:div>
    <w:div w:id="1136528768">
      <w:bodyDiv w:val="1"/>
      <w:marLeft w:val="0"/>
      <w:marRight w:val="0"/>
      <w:marTop w:val="0"/>
      <w:marBottom w:val="0"/>
      <w:divBdr>
        <w:top w:val="none" w:sz="0" w:space="0" w:color="auto"/>
        <w:left w:val="none" w:sz="0" w:space="0" w:color="auto"/>
        <w:bottom w:val="none" w:sz="0" w:space="0" w:color="auto"/>
        <w:right w:val="none" w:sz="0" w:space="0" w:color="auto"/>
      </w:divBdr>
      <w:divsChild>
        <w:div w:id="1989288547">
          <w:marLeft w:val="0"/>
          <w:marRight w:val="0"/>
          <w:marTop w:val="0"/>
          <w:marBottom w:val="0"/>
          <w:divBdr>
            <w:top w:val="none" w:sz="0" w:space="0" w:color="auto"/>
            <w:left w:val="none" w:sz="0" w:space="0" w:color="auto"/>
            <w:bottom w:val="none" w:sz="0" w:space="0" w:color="auto"/>
            <w:right w:val="none" w:sz="0" w:space="0" w:color="auto"/>
          </w:divBdr>
        </w:div>
        <w:div w:id="1240677223">
          <w:marLeft w:val="0"/>
          <w:marRight w:val="0"/>
          <w:marTop w:val="0"/>
          <w:marBottom w:val="0"/>
          <w:divBdr>
            <w:top w:val="none" w:sz="0" w:space="0" w:color="auto"/>
            <w:left w:val="none" w:sz="0" w:space="0" w:color="auto"/>
            <w:bottom w:val="none" w:sz="0" w:space="0" w:color="auto"/>
            <w:right w:val="none" w:sz="0" w:space="0" w:color="auto"/>
          </w:divBdr>
        </w:div>
        <w:div w:id="2103262229">
          <w:marLeft w:val="0"/>
          <w:marRight w:val="0"/>
          <w:marTop w:val="0"/>
          <w:marBottom w:val="0"/>
          <w:divBdr>
            <w:top w:val="none" w:sz="0" w:space="0" w:color="auto"/>
            <w:left w:val="none" w:sz="0" w:space="0" w:color="auto"/>
            <w:bottom w:val="none" w:sz="0" w:space="0" w:color="auto"/>
            <w:right w:val="none" w:sz="0" w:space="0" w:color="auto"/>
          </w:divBdr>
        </w:div>
        <w:div w:id="80878784">
          <w:marLeft w:val="0"/>
          <w:marRight w:val="0"/>
          <w:marTop w:val="0"/>
          <w:marBottom w:val="0"/>
          <w:divBdr>
            <w:top w:val="none" w:sz="0" w:space="0" w:color="auto"/>
            <w:left w:val="none" w:sz="0" w:space="0" w:color="auto"/>
            <w:bottom w:val="none" w:sz="0" w:space="0" w:color="auto"/>
            <w:right w:val="none" w:sz="0" w:space="0" w:color="auto"/>
          </w:divBdr>
        </w:div>
        <w:div w:id="1945336172">
          <w:marLeft w:val="0"/>
          <w:marRight w:val="0"/>
          <w:marTop w:val="0"/>
          <w:marBottom w:val="0"/>
          <w:divBdr>
            <w:top w:val="none" w:sz="0" w:space="0" w:color="auto"/>
            <w:left w:val="none" w:sz="0" w:space="0" w:color="auto"/>
            <w:bottom w:val="none" w:sz="0" w:space="0" w:color="auto"/>
            <w:right w:val="none" w:sz="0" w:space="0" w:color="auto"/>
          </w:divBdr>
        </w:div>
      </w:divsChild>
    </w:div>
    <w:div w:id="1149513631">
      <w:bodyDiv w:val="1"/>
      <w:marLeft w:val="0"/>
      <w:marRight w:val="0"/>
      <w:marTop w:val="0"/>
      <w:marBottom w:val="0"/>
      <w:divBdr>
        <w:top w:val="none" w:sz="0" w:space="0" w:color="auto"/>
        <w:left w:val="none" w:sz="0" w:space="0" w:color="auto"/>
        <w:bottom w:val="none" w:sz="0" w:space="0" w:color="auto"/>
        <w:right w:val="none" w:sz="0" w:space="0" w:color="auto"/>
      </w:divBdr>
      <w:divsChild>
        <w:div w:id="614286122">
          <w:marLeft w:val="0"/>
          <w:marRight w:val="0"/>
          <w:marTop w:val="0"/>
          <w:marBottom w:val="0"/>
          <w:divBdr>
            <w:top w:val="none" w:sz="0" w:space="0" w:color="auto"/>
            <w:left w:val="none" w:sz="0" w:space="0" w:color="auto"/>
            <w:bottom w:val="none" w:sz="0" w:space="0" w:color="auto"/>
            <w:right w:val="none" w:sz="0" w:space="0" w:color="auto"/>
          </w:divBdr>
        </w:div>
        <w:div w:id="1248467381">
          <w:marLeft w:val="0"/>
          <w:marRight w:val="0"/>
          <w:marTop w:val="0"/>
          <w:marBottom w:val="0"/>
          <w:divBdr>
            <w:top w:val="none" w:sz="0" w:space="0" w:color="auto"/>
            <w:left w:val="none" w:sz="0" w:space="0" w:color="auto"/>
            <w:bottom w:val="none" w:sz="0" w:space="0" w:color="auto"/>
            <w:right w:val="none" w:sz="0" w:space="0" w:color="auto"/>
          </w:divBdr>
        </w:div>
        <w:div w:id="1037972478">
          <w:marLeft w:val="0"/>
          <w:marRight w:val="0"/>
          <w:marTop w:val="0"/>
          <w:marBottom w:val="0"/>
          <w:divBdr>
            <w:top w:val="none" w:sz="0" w:space="0" w:color="auto"/>
            <w:left w:val="none" w:sz="0" w:space="0" w:color="auto"/>
            <w:bottom w:val="none" w:sz="0" w:space="0" w:color="auto"/>
            <w:right w:val="none" w:sz="0" w:space="0" w:color="auto"/>
          </w:divBdr>
        </w:div>
        <w:div w:id="481047583">
          <w:marLeft w:val="0"/>
          <w:marRight w:val="0"/>
          <w:marTop w:val="0"/>
          <w:marBottom w:val="0"/>
          <w:divBdr>
            <w:top w:val="none" w:sz="0" w:space="0" w:color="auto"/>
            <w:left w:val="none" w:sz="0" w:space="0" w:color="auto"/>
            <w:bottom w:val="none" w:sz="0" w:space="0" w:color="auto"/>
            <w:right w:val="none" w:sz="0" w:space="0" w:color="auto"/>
          </w:divBdr>
        </w:div>
        <w:div w:id="492648212">
          <w:marLeft w:val="0"/>
          <w:marRight w:val="0"/>
          <w:marTop w:val="0"/>
          <w:marBottom w:val="0"/>
          <w:divBdr>
            <w:top w:val="none" w:sz="0" w:space="0" w:color="auto"/>
            <w:left w:val="none" w:sz="0" w:space="0" w:color="auto"/>
            <w:bottom w:val="none" w:sz="0" w:space="0" w:color="auto"/>
            <w:right w:val="none" w:sz="0" w:space="0" w:color="auto"/>
          </w:divBdr>
        </w:div>
        <w:div w:id="404571586">
          <w:marLeft w:val="0"/>
          <w:marRight w:val="0"/>
          <w:marTop w:val="0"/>
          <w:marBottom w:val="0"/>
          <w:divBdr>
            <w:top w:val="none" w:sz="0" w:space="0" w:color="auto"/>
            <w:left w:val="none" w:sz="0" w:space="0" w:color="auto"/>
            <w:bottom w:val="none" w:sz="0" w:space="0" w:color="auto"/>
            <w:right w:val="none" w:sz="0" w:space="0" w:color="auto"/>
          </w:divBdr>
        </w:div>
        <w:div w:id="967122602">
          <w:marLeft w:val="0"/>
          <w:marRight w:val="0"/>
          <w:marTop w:val="0"/>
          <w:marBottom w:val="0"/>
          <w:divBdr>
            <w:top w:val="none" w:sz="0" w:space="0" w:color="auto"/>
            <w:left w:val="none" w:sz="0" w:space="0" w:color="auto"/>
            <w:bottom w:val="none" w:sz="0" w:space="0" w:color="auto"/>
            <w:right w:val="none" w:sz="0" w:space="0" w:color="auto"/>
          </w:divBdr>
        </w:div>
        <w:div w:id="26764364">
          <w:marLeft w:val="0"/>
          <w:marRight w:val="0"/>
          <w:marTop w:val="0"/>
          <w:marBottom w:val="0"/>
          <w:divBdr>
            <w:top w:val="none" w:sz="0" w:space="0" w:color="auto"/>
            <w:left w:val="none" w:sz="0" w:space="0" w:color="auto"/>
            <w:bottom w:val="none" w:sz="0" w:space="0" w:color="auto"/>
            <w:right w:val="none" w:sz="0" w:space="0" w:color="auto"/>
          </w:divBdr>
        </w:div>
        <w:div w:id="1800607496">
          <w:marLeft w:val="0"/>
          <w:marRight w:val="0"/>
          <w:marTop w:val="0"/>
          <w:marBottom w:val="0"/>
          <w:divBdr>
            <w:top w:val="none" w:sz="0" w:space="0" w:color="auto"/>
            <w:left w:val="none" w:sz="0" w:space="0" w:color="auto"/>
            <w:bottom w:val="none" w:sz="0" w:space="0" w:color="auto"/>
            <w:right w:val="none" w:sz="0" w:space="0" w:color="auto"/>
          </w:divBdr>
        </w:div>
        <w:div w:id="176428715">
          <w:marLeft w:val="0"/>
          <w:marRight w:val="0"/>
          <w:marTop w:val="0"/>
          <w:marBottom w:val="0"/>
          <w:divBdr>
            <w:top w:val="none" w:sz="0" w:space="0" w:color="auto"/>
            <w:left w:val="none" w:sz="0" w:space="0" w:color="auto"/>
            <w:bottom w:val="none" w:sz="0" w:space="0" w:color="auto"/>
            <w:right w:val="none" w:sz="0" w:space="0" w:color="auto"/>
          </w:divBdr>
        </w:div>
        <w:div w:id="958950604">
          <w:marLeft w:val="0"/>
          <w:marRight w:val="0"/>
          <w:marTop w:val="0"/>
          <w:marBottom w:val="0"/>
          <w:divBdr>
            <w:top w:val="none" w:sz="0" w:space="0" w:color="auto"/>
            <w:left w:val="none" w:sz="0" w:space="0" w:color="auto"/>
            <w:bottom w:val="none" w:sz="0" w:space="0" w:color="auto"/>
            <w:right w:val="none" w:sz="0" w:space="0" w:color="auto"/>
          </w:divBdr>
        </w:div>
        <w:div w:id="2026438791">
          <w:marLeft w:val="0"/>
          <w:marRight w:val="0"/>
          <w:marTop w:val="0"/>
          <w:marBottom w:val="0"/>
          <w:divBdr>
            <w:top w:val="none" w:sz="0" w:space="0" w:color="auto"/>
            <w:left w:val="none" w:sz="0" w:space="0" w:color="auto"/>
            <w:bottom w:val="none" w:sz="0" w:space="0" w:color="auto"/>
            <w:right w:val="none" w:sz="0" w:space="0" w:color="auto"/>
          </w:divBdr>
        </w:div>
      </w:divsChild>
    </w:div>
    <w:div w:id="1157957632">
      <w:bodyDiv w:val="1"/>
      <w:marLeft w:val="0"/>
      <w:marRight w:val="0"/>
      <w:marTop w:val="0"/>
      <w:marBottom w:val="0"/>
      <w:divBdr>
        <w:top w:val="none" w:sz="0" w:space="0" w:color="auto"/>
        <w:left w:val="none" w:sz="0" w:space="0" w:color="auto"/>
        <w:bottom w:val="none" w:sz="0" w:space="0" w:color="auto"/>
        <w:right w:val="none" w:sz="0" w:space="0" w:color="auto"/>
      </w:divBdr>
      <w:divsChild>
        <w:div w:id="962418344">
          <w:marLeft w:val="0"/>
          <w:marRight w:val="0"/>
          <w:marTop w:val="0"/>
          <w:marBottom w:val="0"/>
          <w:divBdr>
            <w:top w:val="none" w:sz="0" w:space="0" w:color="auto"/>
            <w:left w:val="none" w:sz="0" w:space="0" w:color="auto"/>
            <w:bottom w:val="none" w:sz="0" w:space="0" w:color="auto"/>
            <w:right w:val="none" w:sz="0" w:space="0" w:color="auto"/>
          </w:divBdr>
        </w:div>
        <w:div w:id="243347428">
          <w:marLeft w:val="0"/>
          <w:marRight w:val="0"/>
          <w:marTop w:val="0"/>
          <w:marBottom w:val="0"/>
          <w:divBdr>
            <w:top w:val="none" w:sz="0" w:space="0" w:color="auto"/>
            <w:left w:val="none" w:sz="0" w:space="0" w:color="auto"/>
            <w:bottom w:val="none" w:sz="0" w:space="0" w:color="auto"/>
            <w:right w:val="none" w:sz="0" w:space="0" w:color="auto"/>
          </w:divBdr>
        </w:div>
        <w:div w:id="1316302766">
          <w:marLeft w:val="0"/>
          <w:marRight w:val="0"/>
          <w:marTop w:val="0"/>
          <w:marBottom w:val="0"/>
          <w:divBdr>
            <w:top w:val="none" w:sz="0" w:space="0" w:color="auto"/>
            <w:left w:val="none" w:sz="0" w:space="0" w:color="auto"/>
            <w:bottom w:val="none" w:sz="0" w:space="0" w:color="auto"/>
            <w:right w:val="none" w:sz="0" w:space="0" w:color="auto"/>
          </w:divBdr>
        </w:div>
        <w:div w:id="1180654905">
          <w:marLeft w:val="0"/>
          <w:marRight w:val="0"/>
          <w:marTop w:val="0"/>
          <w:marBottom w:val="0"/>
          <w:divBdr>
            <w:top w:val="none" w:sz="0" w:space="0" w:color="auto"/>
            <w:left w:val="none" w:sz="0" w:space="0" w:color="auto"/>
            <w:bottom w:val="none" w:sz="0" w:space="0" w:color="auto"/>
            <w:right w:val="none" w:sz="0" w:space="0" w:color="auto"/>
          </w:divBdr>
        </w:div>
        <w:div w:id="158929560">
          <w:marLeft w:val="0"/>
          <w:marRight w:val="0"/>
          <w:marTop w:val="0"/>
          <w:marBottom w:val="0"/>
          <w:divBdr>
            <w:top w:val="none" w:sz="0" w:space="0" w:color="auto"/>
            <w:left w:val="none" w:sz="0" w:space="0" w:color="auto"/>
            <w:bottom w:val="none" w:sz="0" w:space="0" w:color="auto"/>
            <w:right w:val="none" w:sz="0" w:space="0" w:color="auto"/>
          </w:divBdr>
        </w:div>
        <w:div w:id="1356080545">
          <w:marLeft w:val="0"/>
          <w:marRight w:val="0"/>
          <w:marTop w:val="0"/>
          <w:marBottom w:val="0"/>
          <w:divBdr>
            <w:top w:val="none" w:sz="0" w:space="0" w:color="auto"/>
            <w:left w:val="none" w:sz="0" w:space="0" w:color="auto"/>
            <w:bottom w:val="none" w:sz="0" w:space="0" w:color="auto"/>
            <w:right w:val="none" w:sz="0" w:space="0" w:color="auto"/>
          </w:divBdr>
        </w:div>
        <w:div w:id="470632556">
          <w:marLeft w:val="0"/>
          <w:marRight w:val="0"/>
          <w:marTop w:val="0"/>
          <w:marBottom w:val="0"/>
          <w:divBdr>
            <w:top w:val="none" w:sz="0" w:space="0" w:color="auto"/>
            <w:left w:val="none" w:sz="0" w:space="0" w:color="auto"/>
            <w:bottom w:val="none" w:sz="0" w:space="0" w:color="auto"/>
            <w:right w:val="none" w:sz="0" w:space="0" w:color="auto"/>
          </w:divBdr>
        </w:div>
        <w:div w:id="14499112">
          <w:marLeft w:val="0"/>
          <w:marRight w:val="0"/>
          <w:marTop w:val="0"/>
          <w:marBottom w:val="0"/>
          <w:divBdr>
            <w:top w:val="none" w:sz="0" w:space="0" w:color="auto"/>
            <w:left w:val="none" w:sz="0" w:space="0" w:color="auto"/>
            <w:bottom w:val="none" w:sz="0" w:space="0" w:color="auto"/>
            <w:right w:val="none" w:sz="0" w:space="0" w:color="auto"/>
          </w:divBdr>
        </w:div>
        <w:div w:id="973145911">
          <w:marLeft w:val="0"/>
          <w:marRight w:val="0"/>
          <w:marTop w:val="0"/>
          <w:marBottom w:val="0"/>
          <w:divBdr>
            <w:top w:val="none" w:sz="0" w:space="0" w:color="auto"/>
            <w:left w:val="none" w:sz="0" w:space="0" w:color="auto"/>
            <w:bottom w:val="none" w:sz="0" w:space="0" w:color="auto"/>
            <w:right w:val="none" w:sz="0" w:space="0" w:color="auto"/>
          </w:divBdr>
        </w:div>
        <w:div w:id="1107308716">
          <w:marLeft w:val="0"/>
          <w:marRight w:val="0"/>
          <w:marTop w:val="0"/>
          <w:marBottom w:val="0"/>
          <w:divBdr>
            <w:top w:val="none" w:sz="0" w:space="0" w:color="auto"/>
            <w:left w:val="none" w:sz="0" w:space="0" w:color="auto"/>
            <w:bottom w:val="none" w:sz="0" w:space="0" w:color="auto"/>
            <w:right w:val="none" w:sz="0" w:space="0" w:color="auto"/>
          </w:divBdr>
        </w:div>
        <w:div w:id="1281914441">
          <w:marLeft w:val="0"/>
          <w:marRight w:val="0"/>
          <w:marTop w:val="0"/>
          <w:marBottom w:val="0"/>
          <w:divBdr>
            <w:top w:val="none" w:sz="0" w:space="0" w:color="auto"/>
            <w:left w:val="none" w:sz="0" w:space="0" w:color="auto"/>
            <w:bottom w:val="none" w:sz="0" w:space="0" w:color="auto"/>
            <w:right w:val="none" w:sz="0" w:space="0" w:color="auto"/>
          </w:divBdr>
        </w:div>
        <w:div w:id="1999379852">
          <w:marLeft w:val="0"/>
          <w:marRight w:val="0"/>
          <w:marTop w:val="0"/>
          <w:marBottom w:val="0"/>
          <w:divBdr>
            <w:top w:val="none" w:sz="0" w:space="0" w:color="auto"/>
            <w:left w:val="none" w:sz="0" w:space="0" w:color="auto"/>
            <w:bottom w:val="none" w:sz="0" w:space="0" w:color="auto"/>
            <w:right w:val="none" w:sz="0" w:space="0" w:color="auto"/>
          </w:divBdr>
        </w:div>
        <w:div w:id="315961859">
          <w:marLeft w:val="0"/>
          <w:marRight w:val="0"/>
          <w:marTop w:val="0"/>
          <w:marBottom w:val="0"/>
          <w:divBdr>
            <w:top w:val="none" w:sz="0" w:space="0" w:color="auto"/>
            <w:left w:val="none" w:sz="0" w:space="0" w:color="auto"/>
            <w:bottom w:val="none" w:sz="0" w:space="0" w:color="auto"/>
            <w:right w:val="none" w:sz="0" w:space="0" w:color="auto"/>
          </w:divBdr>
        </w:div>
        <w:div w:id="1186091165">
          <w:marLeft w:val="0"/>
          <w:marRight w:val="0"/>
          <w:marTop w:val="0"/>
          <w:marBottom w:val="0"/>
          <w:divBdr>
            <w:top w:val="none" w:sz="0" w:space="0" w:color="auto"/>
            <w:left w:val="none" w:sz="0" w:space="0" w:color="auto"/>
            <w:bottom w:val="none" w:sz="0" w:space="0" w:color="auto"/>
            <w:right w:val="none" w:sz="0" w:space="0" w:color="auto"/>
          </w:divBdr>
        </w:div>
        <w:div w:id="1222598234">
          <w:marLeft w:val="0"/>
          <w:marRight w:val="0"/>
          <w:marTop w:val="0"/>
          <w:marBottom w:val="0"/>
          <w:divBdr>
            <w:top w:val="none" w:sz="0" w:space="0" w:color="auto"/>
            <w:left w:val="none" w:sz="0" w:space="0" w:color="auto"/>
            <w:bottom w:val="none" w:sz="0" w:space="0" w:color="auto"/>
            <w:right w:val="none" w:sz="0" w:space="0" w:color="auto"/>
          </w:divBdr>
        </w:div>
        <w:div w:id="1492525241">
          <w:marLeft w:val="0"/>
          <w:marRight w:val="0"/>
          <w:marTop w:val="0"/>
          <w:marBottom w:val="0"/>
          <w:divBdr>
            <w:top w:val="none" w:sz="0" w:space="0" w:color="auto"/>
            <w:left w:val="none" w:sz="0" w:space="0" w:color="auto"/>
            <w:bottom w:val="none" w:sz="0" w:space="0" w:color="auto"/>
            <w:right w:val="none" w:sz="0" w:space="0" w:color="auto"/>
          </w:divBdr>
        </w:div>
        <w:div w:id="2066440897">
          <w:marLeft w:val="0"/>
          <w:marRight w:val="0"/>
          <w:marTop w:val="0"/>
          <w:marBottom w:val="0"/>
          <w:divBdr>
            <w:top w:val="none" w:sz="0" w:space="0" w:color="auto"/>
            <w:left w:val="none" w:sz="0" w:space="0" w:color="auto"/>
            <w:bottom w:val="none" w:sz="0" w:space="0" w:color="auto"/>
            <w:right w:val="none" w:sz="0" w:space="0" w:color="auto"/>
          </w:divBdr>
        </w:div>
        <w:div w:id="600650314">
          <w:marLeft w:val="0"/>
          <w:marRight w:val="0"/>
          <w:marTop w:val="0"/>
          <w:marBottom w:val="0"/>
          <w:divBdr>
            <w:top w:val="none" w:sz="0" w:space="0" w:color="auto"/>
            <w:left w:val="none" w:sz="0" w:space="0" w:color="auto"/>
            <w:bottom w:val="none" w:sz="0" w:space="0" w:color="auto"/>
            <w:right w:val="none" w:sz="0" w:space="0" w:color="auto"/>
          </w:divBdr>
        </w:div>
        <w:div w:id="1398819564">
          <w:marLeft w:val="0"/>
          <w:marRight w:val="0"/>
          <w:marTop w:val="0"/>
          <w:marBottom w:val="0"/>
          <w:divBdr>
            <w:top w:val="none" w:sz="0" w:space="0" w:color="auto"/>
            <w:left w:val="none" w:sz="0" w:space="0" w:color="auto"/>
            <w:bottom w:val="none" w:sz="0" w:space="0" w:color="auto"/>
            <w:right w:val="none" w:sz="0" w:space="0" w:color="auto"/>
          </w:divBdr>
        </w:div>
        <w:div w:id="1721980775">
          <w:marLeft w:val="0"/>
          <w:marRight w:val="0"/>
          <w:marTop w:val="0"/>
          <w:marBottom w:val="0"/>
          <w:divBdr>
            <w:top w:val="none" w:sz="0" w:space="0" w:color="auto"/>
            <w:left w:val="none" w:sz="0" w:space="0" w:color="auto"/>
            <w:bottom w:val="none" w:sz="0" w:space="0" w:color="auto"/>
            <w:right w:val="none" w:sz="0" w:space="0" w:color="auto"/>
          </w:divBdr>
        </w:div>
        <w:div w:id="958414206">
          <w:marLeft w:val="0"/>
          <w:marRight w:val="0"/>
          <w:marTop w:val="0"/>
          <w:marBottom w:val="0"/>
          <w:divBdr>
            <w:top w:val="none" w:sz="0" w:space="0" w:color="auto"/>
            <w:left w:val="none" w:sz="0" w:space="0" w:color="auto"/>
            <w:bottom w:val="none" w:sz="0" w:space="0" w:color="auto"/>
            <w:right w:val="none" w:sz="0" w:space="0" w:color="auto"/>
          </w:divBdr>
        </w:div>
        <w:div w:id="720137550">
          <w:marLeft w:val="0"/>
          <w:marRight w:val="0"/>
          <w:marTop w:val="0"/>
          <w:marBottom w:val="0"/>
          <w:divBdr>
            <w:top w:val="none" w:sz="0" w:space="0" w:color="auto"/>
            <w:left w:val="none" w:sz="0" w:space="0" w:color="auto"/>
            <w:bottom w:val="none" w:sz="0" w:space="0" w:color="auto"/>
            <w:right w:val="none" w:sz="0" w:space="0" w:color="auto"/>
          </w:divBdr>
        </w:div>
        <w:div w:id="1630162161">
          <w:marLeft w:val="0"/>
          <w:marRight w:val="0"/>
          <w:marTop w:val="0"/>
          <w:marBottom w:val="0"/>
          <w:divBdr>
            <w:top w:val="none" w:sz="0" w:space="0" w:color="auto"/>
            <w:left w:val="none" w:sz="0" w:space="0" w:color="auto"/>
            <w:bottom w:val="none" w:sz="0" w:space="0" w:color="auto"/>
            <w:right w:val="none" w:sz="0" w:space="0" w:color="auto"/>
          </w:divBdr>
        </w:div>
        <w:div w:id="1700010566">
          <w:marLeft w:val="0"/>
          <w:marRight w:val="0"/>
          <w:marTop w:val="0"/>
          <w:marBottom w:val="0"/>
          <w:divBdr>
            <w:top w:val="none" w:sz="0" w:space="0" w:color="auto"/>
            <w:left w:val="none" w:sz="0" w:space="0" w:color="auto"/>
            <w:bottom w:val="none" w:sz="0" w:space="0" w:color="auto"/>
            <w:right w:val="none" w:sz="0" w:space="0" w:color="auto"/>
          </w:divBdr>
        </w:div>
        <w:div w:id="1853257651">
          <w:marLeft w:val="0"/>
          <w:marRight w:val="0"/>
          <w:marTop w:val="0"/>
          <w:marBottom w:val="0"/>
          <w:divBdr>
            <w:top w:val="none" w:sz="0" w:space="0" w:color="auto"/>
            <w:left w:val="none" w:sz="0" w:space="0" w:color="auto"/>
            <w:bottom w:val="none" w:sz="0" w:space="0" w:color="auto"/>
            <w:right w:val="none" w:sz="0" w:space="0" w:color="auto"/>
          </w:divBdr>
        </w:div>
        <w:div w:id="877470149">
          <w:marLeft w:val="0"/>
          <w:marRight w:val="0"/>
          <w:marTop w:val="0"/>
          <w:marBottom w:val="0"/>
          <w:divBdr>
            <w:top w:val="none" w:sz="0" w:space="0" w:color="auto"/>
            <w:left w:val="none" w:sz="0" w:space="0" w:color="auto"/>
            <w:bottom w:val="none" w:sz="0" w:space="0" w:color="auto"/>
            <w:right w:val="none" w:sz="0" w:space="0" w:color="auto"/>
          </w:divBdr>
        </w:div>
        <w:div w:id="474562783">
          <w:marLeft w:val="0"/>
          <w:marRight w:val="0"/>
          <w:marTop w:val="0"/>
          <w:marBottom w:val="0"/>
          <w:divBdr>
            <w:top w:val="none" w:sz="0" w:space="0" w:color="auto"/>
            <w:left w:val="none" w:sz="0" w:space="0" w:color="auto"/>
            <w:bottom w:val="none" w:sz="0" w:space="0" w:color="auto"/>
            <w:right w:val="none" w:sz="0" w:space="0" w:color="auto"/>
          </w:divBdr>
        </w:div>
        <w:div w:id="1261527866">
          <w:marLeft w:val="0"/>
          <w:marRight w:val="0"/>
          <w:marTop w:val="0"/>
          <w:marBottom w:val="0"/>
          <w:divBdr>
            <w:top w:val="none" w:sz="0" w:space="0" w:color="auto"/>
            <w:left w:val="none" w:sz="0" w:space="0" w:color="auto"/>
            <w:bottom w:val="none" w:sz="0" w:space="0" w:color="auto"/>
            <w:right w:val="none" w:sz="0" w:space="0" w:color="auto"/>
          </w:divBdr>
        </w:div>
        <w:div w:id="1309239465">
          <w:marLeft w:val="0"/>
          <w:marRight w:val="0"/>
          <w:marTop w:val="0"/>
          <w:marBottom w:val="0"/>
          <w:divBdr>
            <w:top w:val="none" w:sz="0" w:space="0" w:color="auto"/>
            <w:left w:val="none" w:sz="0" w:space="0" w:color="auto"/>
            <w:bottom w:val="none" w:sz="0" w:space="0" w:color="auto"/>
            <w:right w:val="none" w:sz="0" w:space="0" w:color="auto"/>
          </w:divBdr>
        </w:div>
        <w:div w:id="1358628383">
          <w:marLeft w:val="0"/>
          <w:marRight w:val="0"/>
          <w:marTop w:val="0"/>
          <w:marBottom w:val="0"/>
          <w:divBdr>
            <w:top w:val="none" w:sz="0" w:space="0" w:color="auto"/>
            <w:left w:val="none" w:sz="0" w:space="0" w:color="auto"/>
            <w:bottom w:val="none" w:sz="0" w:space="0" w:color="auto"/>
            <w:right w:val="none" w:sz="0" w:space="0" w:color="auto"/>
          </w:divBdr>
        </w:div>
        <w:div w:id="1701003646">
          <w:marLeft w:val="0"/>
          <w:marRight w:val="0"/>
          <w:marTop w:val="0"/>
          <w:marBottom w:val="0"/>
          <w:divBdr>
            <w:top w:val="none" w:sz="0" w:space="0" w:color="auto"/>
            <w:left w:val="none" w:sz="0" w:space="0" w:color="auto"/>
            <w:bottom w:val="none" w:sz="0" w:space="0" w:color="auto"/>
            <w:right w:val="none" w:sz="0" w:space="0" w:color="auto"/>
          </w:divBdr>
        </w:div>
        <w:div w:id="736325041">
          <w:marLeft w:val="0"/>
          <w:marRight w:val="0"/>
          <w:marTop w:val="0"/>
          <w:marBottom w:val="0"/>
          <w:divBdr>
            <w:top w:val="none" w:sz="0" w:space="0" w:color="auto"/>
            <w:left w:val="none" w:sz="0" w:space="0" w:color="auto"/>
            <w:bottom w:val="none" w:sz="0" w:space="0" w:color="auto"/>
            <w:right w:val="none" w:sz="0" w:space="0" w:color="auto"/>
          </w:divBdr>
        </w:div>
        <w:div w:id="1373457189">
          <w:marLeft w:val="0"/>
          <w:marRight w:val="0"/>
          <w:marTop w:val="0"/>
          <w:marBottom w:val="0"/>
          <w:divBdr>
            <w:top w:val="none" w:sz="0" w:space="0" w:color="auto"/>
            <w:left w:val="none" w:sz="0" w:space="0" w:color="auto"/>
            <w:bottom w:val="none" w:sz="0" w:space="0" w:color="auto"/>
            <w:right w:val="none" w:sz="0" w:space="0" w:color="auto"/>
          </w:divBdr>
        </w:div>
        <w:div w:id="1745181262">
          <w:marLeft w:val="0"/>
          <w:marRight w:val="0"/>
          <w:marTop w:val="0"/>
          <w:marBottom w:val="0"/>
          <w:divBdr>
            <w:top w:val="none" w:sz="0" w:space="0" w:color="auto"/>
            <w:left w:val="none" w:sz="0" w:space="0" w:color="auto"/>
            <w:bottom w:val="none" w:sz="0" w:space="0" w:color="auto"/>
            <w:right w:val="none" w:sz="0" w:space="0" w:color="auto"/>
          </w:divBdr>
        </w:div>
        <w:div w:id="2119517207">
          <w:marLeft w:val="0"/>
          <w:marRight w:val="0"/>
          <w:marTop w:val="0"/>
          <w:marBottom w:val="0"/>
          <w:divBdr>
            <w:top w:val="none" w:sz="0" w:space="0" w:color="auto"/>
            <w:left w:val="none" w:sz="0" w:space="0" w:color="auto"/>
            <w:bottom w:val="none" w:sz="0" w:space="0" w:color="auto"/>
            <w:right w:val="none" w:sz="0" w:space="0" w:color="auto"/>
          </w:divBdr>
        </w:div>
        <w:div w:id="827132067">
          <w:marLeft w:val="0"/>
          <w:marRight w:val="0"/>
          <w:marTop w:val="0"/>
          <w:marBottom w:val="0"/>
          <w:divBdr>
            <w:top w:val="none" w:sz="0" w:space="0" w:color="auto"/>
            <w:left w:val="none" w:sz="0" w:space="0" w:color="auto"/>
            <w:bottom w:val="none" w:sz="0" w:space="0" w:color="auto"/>
            <w:right w:val="none" w:sz="0" w:space="0" w:color="auto"/>
          </w:divBdr>
        </w:div>
        <w:div w:id="1802460254">
          <w:marLeft w:val="0"/>
          <w:marRight w:val="0"/>
          <w:marTop w:val="0"/>
          <w:marBottom w:val="0"/>
          <w:divBdr>
            <w:top w:val="none" w:sz="0" w:space="0" w:color="auto"/>
            <w:left w:val="none" w:sz="0" w:space="0" w:color="auto"/>
            <w:bottom w:val="none" w:sz="0" w:space="0" w:color="auto"/>
            <w:right w:val="none" w:sz="0" w:space="0" w:color="auto"/>
          </w:divBdr>
        </w:div>
        <w:div w:id="837382505">
          <w:marLeft w:val="0"/>
          <w:marRight w:val="0"/>
          <w:marTop w:val="0"/>
          <w:marBottom w:val="0"/>
          <w:divBdr>
            <w:top w:val="none" w:sz="0" w:space="0" w:color="auto"/>
            <w:left w:val="none" w:sz="0" w:space="0" w:color="auto"/>
            <w:bottom w:val="none" w:sz="0" w:space="0" w:color="auto"/>
            <w:right w:val="none" w:sz="0" w:space="0" w:color="auto"/>
          </w:divBdr>
        </w:div>
        <w:div w:id="2005160565">
          <w:marLeft w:val="0"/>
          <w:marRight w:val="0"/>
          <w:marTop w:val="0"/>
          <w:marBottom w:val="0"/>
          <w:divBdr>
            <w:top w:val="none" w:sz="0" w:space="0" w:color="auto"/>
            <w:left w:val="none" w:sz="0" w:space="0" w:color="auto"/>
            <w:bottom w:val="none" w:sz="0" w:space="0" w:color="auto"/>
            <w:right w:val="none" w:sz="0" w:space="0" w:color="auto"/>
          </w:divBdr>
        </w:div>
        <w:div w:id="1664505419">
          <w:marLeft w:val="0"/>
          <w:marRight w:val="0"/>
          <w:marTop w:val="0"/>
          <w:marBottom w:val="0"/>
          <w:divBdr>
            <w:top w:val="none" w:sz="0" w:space="0" w:color="auto"/>
            <w:left w:val="none" w:sz="0" w:space="0" w:color="auto"/>
            <w:bottom w:val="none" w:sz="0" w:space="0" w:color="auto"/>
            <w:right w:val="none" w:sz="0" w:space="0" w:color="auto"/>
          </w:divBdr>
        </w:div>
        <w:div w:id="561142809">
          <w:marLeft w:val="0"/>
          <w:marRight w:val="0"/>
          <w:marTop w:val="0"/>
          <w:marBottom w:val="0"/>
          <w:divBdr>
            <w:top w:val="none" w:sz="0" w:space="0" w:color="auto"/>
            <w:left w:val="none" w:sz="0" w:space="0" w:color="auto"/>
            <w:bottom w:val="none" w:sz="0" w:space="0" w:color="auto"/>
            <w:right w:val="none" w:sz="0" w:space="0" w:color="auto"/>
          </w:divBdr>
        </w:div>
        <w:div w:id="1513881754">
          <w:marLeft w:val="0"/>
          <w:marRight w:val="0"/>
          <w:marTop w:val="0"/>
          <w:marBottom w:val="0"/>
          <w:divBdr>
            <w:top w:val="none" w:sz="0" w:space="0" w:color="auto"/>
            <w:left w:val="none" w:sz="0" w:space="0" w:color="auto"/>
            <w:bottom w:val="none" w:sz="0" w:space="0" w:color="auto"/>
            <w:right w:val="none" w:sz="0" w:space="0" w:color="auto"/>
          </w:divBdr>
        </w:div>
        <w:div w:id="770779429">
          <w:marLeft w:val="0"/>
          <w:marRight w:val="0"/>
          <w:marTop w:val="0"/>
          <w:marBottom w:val="0"/>
          <w:divBdr>
            <w:top w:val="none" w:sz="0" w:space="0" w:color="auto"/>
            <w:left w:val="none" w:sz="0" w:space="0" w:color="auto"/>
            <w:bottom w:val="none" w:sz="0" w:space="0" w:color="auto"/>
            <w:right w:val="none" w:sz="0" w:space="0" w:color="auto"/>
          </w:divBdr>
        </w:div>
        <w:div w:id="239340376">
          <w:marLeft w:val="0"/>
          <w:marRight w:val="0"/>
          <w:marTop w:val="0"/>
          <w:marBottom w:val="0"/>
          <w:divBdr>
            <w:top w:val="none" w:sz="0" w:space="0" w:color="auto"/>
            <w:left w:val="none" w:sz="0" w:space="0" w:color="auto"/>
            <w:bottom w:val="none" w:sz="0" w:space="0" w:color="auto"/>
            <w:right w:val="none" w:sz="0" w:space="0" w:color="auto"/>
          </w:divBdr>
        </w:div>
        <w:div w:id="1143696501">
          <w:marLeft w:val="0"/>
          <w:marRight w:val="0"/>
          <w:marTop w:val="0"/>
          <w:marBottom w:val="0"/>
          <w:divBdr>
            <w:top w:val="none" w:sz="0" w:space="0" w:color="auto"/>
            <w:left w:val="none" w:sz="0" w:space="0" w:color="auto"/>
            <w:bottom w:val="none" w:sz="0" w:space="0" w:color="auto"/>
            <w:right w:val="none" w:sz="0" w:space="0" w:color="auto"/>
          </w:divBdr>
        </w:div>
        <w:div w:id="1600793527">
          <w:marLeft w:val="0"/>
          <w:marRight w:val="0"/>
          <w:marTop w:val="0"/>
          <w:marBottom w:val="0"/>
          <w:divBdr>
            <w:top w:val="none" w:sz="0" w:space="0" w:color="auto"/>
            <w:left w:val="none" w:sz="0" w:space="0" w:color="auto"/>
            <w:bottom w:val="none" w:sz="0" w:space="0" w:color="auto"/>
            <w:right w:val="none" w:sz="0" w:space="0" w:color="auto"/>
          </w:divBdr>
        </w:div>
        <w:div w:id="281377781">
          <w:marLeft w:val="0"/>
          <w:marRight w:val="0"/>
          <w:marTop w:val="0"/>
          <w:marBottom w:val="0"/>
          <w:divBdr>
            <w:top w:val="none" w:sz="0" w:space="0" w:color="auto"/>
            <w:left w:val="none" w:sz="0" w:space="0" w:color="auto"/>
            <w:bottom w:val="none" w:sz="0" w:space="0" w:color="auto"/>
            <w:right w:val="none" w:sz="0" w:space="0" w:color="auto"/>
          </w:divBdr>
        </w:div>
        <w:div w:id="498739790">
          <w:marLeft w:val="0"/>
          <w:marRight w:val="0"/>
          <w:marTop w:val="0"/>
          <w:marBottom w:val="0"/>
          <w:divBdr>
            <w:top w:val="none" w:sz="0" w:space="0" w:color="auto"/>
            <w:left w:val="none" w:sz="0" w:space="0" w:color="auto"/>
            <w:bottom w:val="none" w:sz="0" w:space="0" w:color="auto"/>
            <w:right w:val="none" w:sz="0" w:space="0" w:color="auto"/>
          </w:divBdr>
        </w:div>
        <w:div w:id="187178893">
          <w:marLeft w:val="0"/>
          <w:marRight w:val="0"/>
          <w:marTop w:val="0"/>
          <w:marBottom w:val="0"/>
          <w:divBdr>
            <w:top w:val="none" w:sz="0" w:space="0" w:color="auto"/>
            <w:left w:val="none" w:sz="0" w:space="0" w:color="auto"/>
            <w:bottom w:val="none" w:sz="0" w:space="0" w:color="auto"/>
            <w:right w:val="none" w:sz="0" w:space="0" w:color="auto"/>
          </w:divBdr>
        </w:div>
        <w:div w:id="1792701099">
          <w:marLeft w:val="0"/>
          <w:marRight w:val="0"/>
          <w:marTop w:val="0"/>
          <w:marBottom w:val="0"/>
          <w:divBdr>
            <w:top w:val="none" w:sz="0" w:space="0" w:color="auto"/>
            <w:left w:val="none" w:sz="0" w:space="0" w:color="auto"/>
            <w:bottom w:val="none" w:sz="0" w:space="0" w:color="auto"/>
            <w:right w:val="none" w:sz="0" w:space="0" w:color="auto"/>
          </w:divBdr>
        </w:div>
        <w:div w:id="998653275">
          <w:marLeft w:val="0"/>
          <w:marRight w:val="0"/>
          <w:marTop w:val="0"/>
          <w:marBottom w:val="0"/>
          <w:divBdr>
            <w:top w:val="none" w:sz="0" w:space="0" w:color="auto"/>
            <w:left w:val="none" w:sz="0" w:space="0" w:color="auto"/>
            <w:bottom w:val="none" w:sz="0" w:space="0" w:color="auto"/>
            <w:right w:val="none" w:sz="0" w:space="0" w:color="auto"/>
          </w:divBdr>
        </w:div>
        <w:div w:id="1787846051">
          <w:marLeft w:val="0"/>
          <w:marRight w:val="0"/>
          <w:marTop w:val="0"/>
          <w:marBottom w:val="0"/>
          <w:divBdr>
            <w:top w:val="none" w:sz="0" w:space="0" w:color="auto"/>
            <w:left w:val="none" w:sz="0" w:space="0" w:color="auto"/>
            <w:bottom w:val="none" w:sz="0" w:space="0" w:color="auto"/>
            <w:right w:val="none" w:sz="0" w:space="0" w:color="auto"/>
          </w:divBdr>
        </w:div>
        <w:div w:id="1341547672">
          <w:marLeft w:val="0"/>
          <w:marRight w:val="0"/>
          <w:marTop w:val="0"/>
          <w:marBottom w:val="0"/>
          <w:divBdr>
            <w:top w:val="none" w:sz="0" w:space="0" w:color="auto"/>
            <w:left w:val="none" w:sz="0" w:space="0" w:color="auto"/>
            <w:bottom w:val="none" w:sz="0" w:space="0" w:color="auto"/>
            <w:right w:val="none" w:sz="0" w:space="0" w:color="auto"/>
          </w:divBdr>
        </w:div>
        <w:div w:id="1166483941">
          <w:marLeft w:val="0"/>
          <w:marRight w:val="0"/>
          <w:marTop w:val="0"/>
          <w:marBottom w:val="0"/>
          <w:divBdr>
            <w:top w:val="none" w:sz="0" w:space="0" w:color="auto"/>
            <w:left w:val="none" w:sz="0" w:space="0" w:color="auto"/>
            <w:bottom w:val="none" w:sz="0" w:space="0" w:color="auto"/>
            <w:right w:val="none" w:sz="0" w:space="0" w:color="auto"/>
          </w:divBdr>
        </w:div>
        <w:div w:id="1672100373">
          <w:marLeft w:val="0"/>
          <w:marRight w:val="0"/>
          <w:marTop w:val="0"/>
          <w:marBottom w:val="0"/>
          <w:divBdr>
            <w:top w:val="none" w:sz="0" w:space="0" w:color="auto"/>
            <w:left w:val="none" w:sz="0" w:space="0" w:color="auto"/>
            <w:bottom w:val="none" w:sz="0" w:space="0" w:color="auto"/>
            <w:right w:val="none" w:sz="0" w:space="0" w:color="auto"/>
          </w:divBdr>
        </w:div>
        <w:div w:id="1147278916">
          <w:marLeft w:val="0"/>
          <w:marRight w:val="0"/>
          <w:marTop w:val="0"/>
          <w:marBottom w:val="0"/>
          <w:divBdr>
            <w:top w:val="none" w:sz="0" w:space="0" w:color="auto"/>
            <w:left w:val="none" w:sz="0" w:space="0" w:color="auto"/>
            <w:bottom w:val="none" w:sz="0" w:space="0" w:color="auto"/>
            <w:right w:val="none" w:sz="0" w:space="0" w:color="auto"/>
          </w:divBdr>
        </w:div>
        <w:div w:id="1120487573">
          <w:marLeft w:val="0"/>
          <w:marRight w:val="0"/>
          <w:marTop w:val="0"/>
          <w:marBottom w:val="0"/>
          <w:divBdr>
            <w:top w:val="none" w:sz="0" w:space="0" w:color="auto"/>
            <w:left w:val="none" w:sz="0" w:space="0" w:color="auto"/>
            <w:bottom w:val="none" w:sz="0" w:space="0" w:color="auto"/>
            <w:right w:val="none" w:sz="0" w:space="0" w:color="auto"/>
          </w:divBdr>
        </w:div>
        <w:div w:id="221990000">
          <w:marLeft w:val="0"/>
          <w:marRight w:val="0"/>
          <w:marTop w:val="0"/>
          <w:marBottom w:val="0"/>
          <w:divBdr>
            <w:top w:val="none" w:sz="0" w:space="0" w:color="auto"/>
            <w:left w:val="none" w:sz="0" w:space="0" w:color="auto"/>
            <w:bottom w:val="none" w:sz="0" w:space="0" w:color="auto"/>
            <w:right w:val="none" w:sz="0" w:space="0" w:color="auto"/>
          </w:divBdr>
        </w:div>
        <w:div w:id="2056419389">
          <w:marLeft w:val="0"/>
          <w:marRight w:val="0"/>
          <w:marTop w:val="0"/>
          <w:marBottom w:val="0"/>
          <w:divBdr>
            <w:top w:val="none" w:sz="0" w:space="0" w:color="auto"/>
            <w:left w:val="none" w:sz="0" w:space="0" w:color="auto"/>
            <w:bottom w:val="none" w:sz="0" w:space="0" w:color="auto"/>
            <w:right w:val="none" w:sz="0" w:space="0" w:color="auto"/>
          </w:divBdr>
        </w:div>
        <w:div w:id="1838499382">
          <w:marLeft w:val="0"/>
          <w:marRight w:val="0"/>
          <w:marTop w:val="0"/>
          <w:marBottom w:val="0"/>
          <w:divBdr>
            <w:top w:val="none" w:sz="0" w:space="0" w:color="auto"/>
            <w:left w:val="none" w:sz="0" w:space="0" w:color="auto"/>
            <w:bottom w:val="none" w:sz="0" w:space="0" w:color="auto"/>
            <w:right w:val="none" w:sz="0" w:space="0" w:color="auto"/>
          </w:divBdr>
        </w:div>
        <w:div w:id="578373132">
          <w:marLeft w:val="0"/>
          <w:marRight w:val="0"/>
          <w:marTop w:val="0"/>
          <w:marBottom w:val="0"/>
          <w:divBdr>
            <w:top w:val="none" w:sz="0" w:space="0" w:color="auto"/>
            <w:left w:val="none" w:sz="0" w:space="0" w:color="auto"/>
            <w:bottom w:val="none" w:sz="0" w:space="0" w:color="auto"/>
            <w:right w:val="none" w:sz="0" w:space="0" w:color="auto"/>
          </w:divBdr>
        </w:div>
        <w:div w:id="1488672866">
          <w:marLeft w:val="0"/>
          <w:marRight w:val="0"/>
          <w:marTop w:val="0"/>
          <w:marBottom w:val="0"/>
          <w:divBdr>
            <w:top w:val="none" w:sz="0" w:space="0" w:color="auto"/>
            <w:left w:val="none" w:sz="0" w:space="0" w:color="auto"/>
            <w:bottom w:val="none" w:sz="0" w:space="0" w:color="auto"/>
            <w:right w:val="none" w:sz="0" w:space="0" w:color="auto"/>
          </w:divBdr>
        </w:div>
        <w:div w:id="1384911978">
          <w:marLeft w:val="0"/>
          <w:marRight w:val="0"/>
          <w:marTop w:val="0"/>
          <w:marBottom w:val="0"/>
          <w:divBdr>
            <w:top w:val="none" w:sz="0" w:space="0" w:color="auto"/>
            <w:left w:val="none" w:sz="0" w:space="0" w:color="auto"/>
            <w:bottom w:val="none" w:sz="0" w:space="0" w:color="auto"/>
            <w:right w:val="none" w:sz="0" w:space="0" w:color="auto"/>
          </w:divBdr>
        </w:div>
        <w:div w:id="891160774">
          <w:marLeft w:val="0"/>
          <w:marRight w:val="0"/>
          <w:marTop w:val="0"/>
          <w:marBottom w:val="0"/>
          <w:divBdr>
            <w:top w:val="none" w:sz="0" w:space="0" w:color="auto"/>
            <w:left w:val="none" w:sz="0" w:space="0" w:color="auto"/>
            <w:bottom w:val="none" w:sz="0" w:space="0" w:color="auto"/>
            <w:right w:val="none" w:sz="0" w:space="0" w:color="auto"/>
          </w:divBdr>
        </w:div>
        <w:div w:id="206645679">
          <w:marLeft w:val="0"/>
          <w:marRight w:val="0"/>
          <w:marTop w:val="0"/>
          <w:marBottom w:val="0"/>
          <w:divBdr>
            <w:top w:val="none" w:sz="0" w:space="0" w:color="auto"/>
            <w:left w:val="none" w:sz="0" w:space="0" w:color="auto"/>
            <w:bottom w:val="none" w:sz="0" w:space="0" w:color="auto"/>
            <w:right w:val="none" w:sz="0" w:space="0" w:color="auto"/>
          </w:divBdr>
        </w:div>
        <w:div w:id="587812846">
          <w:marLeft w:val="0"/>
          <w:marRight w:val="0"/>
          <w:marTop w:val="0"/>
          <w:marBottom w:val="0"/>
          <w:divBdr>
            <w:top w:val="none" w:sz="0" w:space="0" w:color="auto"/>
            <w:left w:val="none" w:sz="0" w:space="0" w:color="auto"/>
            <w:bottom w:val="none" w:sz="0" w:space="0" w:color="auto"/>
            <w:right w:val="none" w:sz="0" w:space="0" w:color="auto"/>
          </w:divBdr>
        </w:div>
        <w:div w:id="2116172512">
          <w:marLeft w:val="0"/>
          <w:marRight w:val="0"/>
          <w:marTop w:val="0"/>
          <w:marBottom w:val="0"/>
          <w:divBdr>
            <w:top w:val="none" w:sz="0" w:space="0" w:color="auto"/>
            <w:left w:val="none" w:sz="0" w:space="0" w:color="auto"/>
            <w:bottom w:val="none" w:sz="0" w:space="0" w:color="auto"/>
            <w:right w:val="none" w:sz="0" w:space="0" w:color="auto"/>
          </w:divBdr>
        </w:div>
        <w:div w:id="699748417">
          <w:marLeft w:val="0"/>
          <w:marRight w:val="0"/>
          <w:marTop w:val="0"/>
          <w:marBottom w:val="0"/>
          <w:divBdr>
            <w:top w:val="none" w:sz="0" w:space="0" w:color="auto"/>
            <w:left w:val="none" w:sz="0" w:space="0" w:color="auto"/>
            <w:bottom w:val="none" w:sz="0" w:space="0" w:color="auto"/>
            <w:right w:val="none" w:sz="0" w:space="0" w:color="auto"/>
          </w:divBdr>
        </w:div>
        <w:div w:id="1828132162">
          <w:marLeft w:val="0"/>
          <w:marRight w:val="0"/>
          <w:marTop w:val="0"/>
          <w:marBottom w:val="0"/>
          <w:divBdr>
            <w:top w:val="none" w:sz="0" w:space="0" w:color="auto"/>
            <w:left w:val="none" w:sz="0" w:space="0" w:color="auto"/>
            <w:bottom w:val="none" w:sz="0" w:space="0" w:color="auto"/>
            <w:right w:val="none" w:sz="0" w:space="0" w:color="auto"/>
          </w:divBdr>
        </w:div>
        <w:div w:id="158353794">
          <w:marLeft w:val="0"/>
          <w:marRight w:val="0"/>
          <w:marTop w:val="0"/>
          <w:marBottom w:val="0"/>
          <w:divBdr>
            <w:top w:val="none" w:sz="0" w:space="0" w:color="auto"/>
            <w:left w:val="none" w:sz="0" w:space="0" w:color="auto"/>
            <w:bottom w:val="none" w:sz="0" w:space="0" w:color="auto"/>
            <w:right w:val="none" w:sz="0" w:space="0" w:color="auto"/>
          </w:divBdr>
        </w:div>
        <w:div w:id="502352623">
          <w:marLeft w:val="0"/>
          <w:marRight w:val="0"/>
          <w:marTop w:val="0"/>
          <w:marBottom w:val="0"/>
          <w:divBdr>
            <w:top w:val="none" w:sz="0" w:space="0" w:color="auto"/>
            <w:left w:val="none" w:sz="0" w:space="0" w:color="auto"/>
            <w:bottom w:val="none" w:sz="0" w:space="0" w:color="auto"/>
            <w:right w:val="none" w:sz="0" w:space="0" w:color="auto"/>
          </w:divBdr>
        </w:div>
        <w:div w:id="1508641017">
          <w:marLeft w:val="0"/>
          <w:marRight w:val="0"/>
          <w:marTop w:val="0"/>
          <w:marBottom w:val="0"/>
          <w:divBdr>
            <w:top w:val="none" w:sz="0" w:space="0" w:color="auto"/>
            <w:left w:val="none" w:sz="0" w:space="0" w:color="auto"/>
            <w:bottom w:val="none" w:sz="0" w:space="0" w:color="auto"/>
            <w:right w:val="none" w:sz="0" w:space="0" w:color="auto"/>
          </w:divBdr>
        </w:div>
        <w:div w:id="1388410666">
          <w:marLeft w:val="0"/>
          <w:marRight w:val="0"/>
          <w:marTop w:val="0"/>
          <w:marBottom w:val="0"/>
          <w:divBdr>
            <w:top w:val="none" w:sz="0" w:space="0" w:color="auto"/>
            <w:left w:val="none" w:sz="0" w:space="0" w:color="auto"/>
            <w:bottom w:val="none" w:sz="0" w:space="0" w:color="auto"/>
            <w:right w:val="none" w:sz="0" w:space="0" w:color="auto"/>
          </w:divBdr>
        </w:div>
        <w:div w:id="1054505309">
          <w:marLeft w:val="0"/>
          <w:marRight w:val="0"/>
          <w:marTop w:val="0"/>
          <w:marBottom w:val="0"/>
          <w:divBdr>
            <w:top w:val="none" w:sz="0" w:space="0" w:color="auto"/>
            <w:left w:val="none" w:sz="0" w:space="0" w:color="auto"/>
            <w:bottom w:val="none" w:sz="0" w:space="0" w:color="auto"/>
            <w:right w:val="none" w:sz="0" w:space="0" w:color="auto"/>
          </w:divBdr>
        </w:div>
        <w:div w:id="242226426">
          <w:marLeft w:val="0"/>
          <w:marRight w:val="0"/>
          <w:marTop w:val="0"/>
          <w:marBottom w:val="0"/>
          <w:divBdr>
            <w:top w:val="none" w:sz="0" w:space="0" w:color="auto"/>
            <w:left w:val="none" w:sz="0" w:space="0" w:color="auto"/>
            <w:bottom w:val="none" w:sz="0" w:space="0" w:color="auto"/>
            <w:right w:val="none" w:sz="0" w:space="0" w:color="auto"/>
          </w:divBdr>
        </w:div>
        <w:div w:id="953173780">
          <w:marLeft w:val="0"/>
          <w:marRight w:val="0"/>
          <w:marTop w:val="0"/>
          <w:marBottom w:val="0"/>
          <w:divBdr>
            <w:top w:val="none" w:sz="0" w:space="0" w:color="auto"/>
            <w:left w:val="none" w:sz="0" w:space="0" w:color="auto"/>
            <w:bottom w:val="none" w:sz="0" w:space="0" w:color="auto"/>
            <w:right w:val="none" w:sz="0" w:space="0" w:color="auto"/>
          </w:divBdr>
        </w:div>
        <w:div w:id="1440101158">
          <w:marLeft w:val="0"/>
          <w:marRight w:val="0"/>
          <w:marTop w:val="0"/>
          <w:marBottom w:val="0"/>
          <w:divBdr>
            <w:top w:val="none" w:sz="0" w:space="0" w:color="auto"/>
            <w:left w:val="none" w:sz="0" w:space="0" w:color="auto"/>
            <w:bottom w:val="none" w:sz="0" w:space="0" w:color="auto"/>
            <w:right w:val="none" w:sz="0" w:space="0" w:color="auto"/>
          </w:divBdr>
        </w:div>
        <w:div w:id="1359622098">
          <w:marLeft w:val="0"/>
          <w:marRight w:val="0"/>
          <w:marTop w:val="0"/>
          <w:marBottom w:val="0"/>
          <w:divBdr>
            <w:top w:val="none" w:sz="0" w:space="0" w:color="auto"/>
            <w:left w:val="none" w:sz="0" w:space="0" w:color="auto"/>
            <w:bottom w:val="none" w:sz="0" w:space="0" w:color="auto"/>
            <w:right w:val="none" w:sz="0" w:space="0" w:color="auto"/>
          </w:divBdr>
        </w:div>
        <w:div w:id="562568946">
          <w:marLeft w:val="0"/>
          <w:marRight w:val="0"/>
          <w:marTop w:val="0"/>
          <w:marBottom w:val="0"/>
          <w:divBdr>
            <w:top w:val="none" w:sz="0" w:space="0" w:color="auto"/>
            <w:left w:val="none" w:sz="0" w:space="0" w:color="auto"/>
            <w:bottom w:val="none" w:sz="0" w:space="0" w:color="auto"/>
            <w:right w:val="none" w:sz="0" w:space="0" w:color="auto"/>
          </w:divBdr>
        </w:div>
      </w:divsChild>
    </w:div>
    <w:div w:id="1163936264">
      <w:bodyDiv w:val="1"/>
      <w:marLeft w:val="0"/>
      <w:marRight w:val="0"/>
      <w:marTop w:val="0"/>
      <w:marBottom w:val="0"/>
      <w:divBdr>
        <w:top w:val="none" w:sz="0" w:space="0" w:color="auto"/>
        <w:left w:val="none" w:sz="0" w:space="0" w:color="auto"/>
        <w:bottom w:val="none" w:sz="0" w:space="0" w:color="auto"/>
        <w:right w:val="none" w:sz="0" w:space="0" w:color="auto"/>
      </w:divBdr>
    </w:div>
    <w:div w:id="1178034550">
      <w:bodyDiv w:val="1"/>
      <w:marLeft w:val="0"/>
      <w:marRight w:val="0"/>
      <w:marTop w:val="0"/>
      <w:marBottom w:val="0"/>
      <w:divBdr>
        <w:top w:val="none" w:sz="0" w:space="0" w:color="auto"/>
        <w:left w:val="none" w:sz="0" w:space="0" w:color="auto"/>
        <w:bottom w:val="none" w:sz="0" w:space="0" w:color="auto"/>
        <w:right w:val="none" w:sz="0" w:space="0" w:color="auto"/>
      </w:divBdr>
      <w:divsChild>
        <w:div w:id="183439993">
          <w:marLeft w:val="0"/>
          <w:marRight w:val="0"/>
          <w:marTop w:val="0"/>
          <w:marBottom w:val="0"/>
          <w:divBdr>
            <w:top w:val="none" w:sz="0" w:space="0" w:color="auto"/>
            <w:left w:val="none" w:sz="0" w:space="0" w:color="auto"/>
            <w:bottom w:val="none" w:sz="0" w:space="0" w:color="auto"/>
            <w:right w:val="none" w:sz="0" w:space="0" w:color="auto"/>
          </w:divBdr>
        </w:div>
        <w:div w:id="964432916">
          <w:marLeft w:val="0"/>
          <w:marRight w:val="0"/>
          <w:marTop w:val="0"/>
          <w:marBottom w:val="0"/>
          <w:divBdr>
            <w:top w:val="none" w:sz="0" w:space="0" w:color="auto"/>
            <w:left w:val="none" w:sz="0" w:space="0" w:color="auto"/>
            <w:bottom w:val="none" w:sz="0" w:space="0" w:color="auto"/>
            <w:right w:val="none" w:sz="0" w:space="0" w:color="auto"/>
          </w:divBdr>
        </w:div>
        <w:div w:id="1595166343">
          <w:marLeft w:val="0"/>
          <w:marRight w:val="0"/>
          <w:marTop w:val="0"/>
          <w:marBottom w:val="0"/>
          <w:divBdr>
            <w:top w:val="none" w:sz="0" w:space="0" w:color="auto"/>
            <w:left w:val="none" w:sz="0" w:space="0" w:color="auto"/>
            <w:bottom w:val="none" w:sz="0" w:space="0" w:color="auto"/>
            <w:right w:val="none" w:sz="0" w:space="0" w:color="auto"/>
          </w:divBdr>
        </w:div>
        <w:div w:id="549732838">
          <w:marLeft w:val="0"/>
          <w:marRight w:val="0"/>
          <w:marTop w:val="0"/>
          <w:marBottom w:val="0"/>
          <w:divBdr>
            <w:top w:val="none" w:sz="0" w:space="0" w:color="auto"/>
            <w:left w:val="none" w:sz="0" w:space="0" w:color="auto"/>
            <w:bottom w:val="none" w:sz="0" w:space="0" w:color="auto"/>
            <w:right w:val="none" w:sz="0" w:space="0" w:color="auto"/>
          </w:divBdr>
        </w:div>
        <w:div w:id="696153457">
          <w:marLeft w:val="0"/>
          <w:marRight w:val="0"/>
          <w:marTop w:val="0"/>
          <w:marBottom w:val="0"/>
          <w:divBdr>
            <w:top w:val="none" w:sz="0" w:space="0" w:color="auto"/>
            <w:left w:val="none" w:sz="0" w:space="0" w:color="auto"/>
            <w:bottom w:val="none" w:sz="0" w:space="0" w:color="auto"/>
            <w:right w:val="none" w:sz="0" w:space="0" w:color="auto"/>
          </w:divBdr>
        </w:div>
        <w:div w:id="371539481">
          <w:marLeft w:val="0"/>
          <w:marRight w:val="0"/>
          <w:marTop w:val="0"/>
          <w:marBottom w:val="0"/>
          <w:divBdr>
            <w:top w:val="none" w:sz="0" w:space="0" w:color="auto"/>
            <w:left w:val="none" w:sz="0" w:space="0" w:color="auto"/>
            <w:bottom w:val="none" w:sz="0" w:space="0" w:color="auto"/>
            <w:right w:val="none" w:sz="0" w:space="0" w:color="auto"/>
          </w:divBdr>
        </w:div>
        <w:div w:id="1739981010">
          <w:marLeft w:val="0"/>
          <w:marRight w:val="0"/>
          <w:marTop w:val="0"/>
          <w:marBottom w:val="0"/>
          <w:divBdr>
            <w:top w:val="none" w:sz="0" w:space="0" w:color="auto"/>
            <w:left w:val="none" w:sz="0" w:space="0" w:color="auto"/>
            <w:bottom w:val="none" w:sz="0" w:space="0" w:color="auto"/>
            <w:right w:val="none" w:sz="0" w:space="0" w:color="auto"/>
          </w:divBdr>
        </w:div>
        <w:div w:id="2110274480">
          <w:marLeft w:val="0"/>
          <w:marRight w:val="0"/>
          <w:marTop w:val="0"/>
          <w:marBottom w:val="0"/>
          <w:divBdr>
            <w:top w:val="none" w:sz="0" w:space="0" w:color="auto"/>
            <w:left w:val="none" w:sz="0" w:space="0" w:color="auto"/>
            <w:bottom w:val="none" w:sz="0" w:space="0" w:color="auto"/>
            <w:right w:val="none" w:sz="0" w:space="0" w:color="auto"/>
          </w:divBdr>
        </w:div>
        <w:div w:id="1728258604">
          <w:marLeft w:val="0"/>
          <w:marRight w:val="0"/>
          <w:marTop w:val="0"/>
          <w:marBottom w:val="0"/>
          <w:divBdr>
            <w:top w:val="none" w:sz="0" w:space="0" w:color="auto"/>
            <w:left w:val="none" w:sz="0" w:space="0" w:color="auto"/>
            <w:bottom w:val="none" w:sz="0" w:space="0" w:color="auto"/>
            <w:right w:val="none" w:sz="0" w:space="0" w:color="auto"/>
          </w:divBdr>
        </w:div>
        <w:div w:id="41907322">
          <w:marLeft w:val="0"/>
          <w:marRight w:val="0"/>
          <w:marTop w:val="0"/>
          <w:marBottom w:val="0"/>
          <w:divBdr>
            <w:top w:val="none" w:sz="0" w:space="0" w:color="auto"/>
            <w:left w:val="none" w:sz="0" w:space="0" w:color="auto"/>
            <w:bottom w:val="none" w:sz="0" w:space="0" w:color="auto"/>
            <w:right w:val="none" w:sz="0" w:space="0" w:color="auto"/>
          </w:divBdr>
        </w:div>
        <w:div w:id="638730470">
          <w:marLeft w:val="0"/>
          <w:marRight w:val="0"/>
          <w:marTop w:val="0"/>
          <w:marBottom w:val="0"/>
          <w:divBdr>
            <w:top w:val="none" w:sz="0" w:space="0" w:color="auto"/>
            <w:left w:val="none" w:sz="0" w:space="0" w:color="auto"/>
            <w:bottom w:val="none" w:sz="0" w:space="0" w:color="auto"/>
            <w:right w:val="none" w:sz="0" w:space="0" w:color="auto"/>
          </w:divBdr>
        </w:div>
      </w:divsChild>
    </w:div>
    <w:div w:id="1207450567">
      <w:bodyDiv w:val="1"/>
      <w:marLeft w:val="0"/>
      <w:marRight w:val="0"/>
      <w:marTop w:val="0"/>
      <w:marBottom w:val="0"/>
      <w:divBdr>
        <w:top w:val="none" w:sz="0" w:space="0" w:color="auto"/>
        <w:left w:val="none" w:sz="0" w:space="0" w:color="auto"/>
        <w:bottom w:val="none" w:sz="0" w:space="0" w:color="auto"/>
        <w:right w:val="none" w:sz="0" w:space="0" w:color="auto"/>
      </w:divBdr>
    </w:div>
    <w:div w:id="1218661712">
      <w:bodyDiv w:val="1"/>
      <w:marLeft w:val="0"/>
      <w:marRight w:val="0"/>
      <w:marTop w:val="0"/>
      <w:marBottom w:val="0"/>
      <w:divBdr>
        <w:top w:val="none" w:sz="0" w:space="0" w:color="auto"/>
        <w:left w:val="none" w:sz="0" w:space="0" w:color="auto"/>
        <w:bottom w:val="none" w:sz="0" w:space="0" w:color="auto"/>
        <w:right w:val="none" w:sz="0" w:space="0" w:color="auto"/>
      </w:divBdr>
      <w:divsChild>
        <w:div w:id="405961195">
          <w:marLeft w:val="0"/>
          <w:marRight w:val="0"/>
          <w:marTop w:val="0"/>
          <w:marBottom w:val="0"/>
          <w:divBdr>
            <w:top w:val="none" w:sz="0" w:space="0" w:color="auto"/>
            <w:left w:val="none" w:sz="0" w:space="0" w:color="auto"/>
            <w:bottom w:val="none" w:sz="0" w:space="0" w:color="auto"/>
            <w:right w:val="none" w:sz="0" w:space="0" w:color="auto"/>
          </w:divBdr>
        </w:div>
        <w:div w:id="1397896529">
          <w:marLeft w:val="0"/>
          <w:marRight w:val="0"/>
          <w:marTop w:val="0"/>
          <w:marBottom w:val="0"/>
          <w:divBdr>
            <w:top w:val="none" w:sz="0" w:space="0" w:color="auto"/>
            <w:left w:val="none" w:sz="0" w:space="0" w:color="auto"/>
            <w:bottom w:val="none" w:sz="0" w:space="0" w:color="auto"/>
            <w:right w:val="none" w:sz="0" w:space="0" w:color="auto"/>
          </w:divBdr>
        </w:div>
        <w:div w:id="226308252">
          <w:marLeft w:val="0"/>
          <w:marRight w:val="0"/>
          <w:marTop w:val="0"/>
          <w:marBottom w:val="0"/>
          <w:divBdr>
            <w:top w:val="none" w:sz="0" w:space="0" w:color="auto"/>
            <w:left w:val="none" w:sz="0" w:space="0" w:color="auto"/>
            <w:bottom w:val="none" w:sz="0" w:space="0" w:color="auto"/>
            <w:right w:val="none" w:sz="0" w:space="0" w:color="auto"/>
          </w:divBdr>
        </w:div>
        <w:div w:id="1872448146">
          <w:marLeft w:val="0"/>
          <w:marRight w:val="0"/>
          <w:marTop w:val="0"/>
          <w:marBottom w:val="0"/>
          <w:divBdr>
            <w:top w:val="none" w:sz="0" w:space="0" w:color="auto"/>
            <w:left w:val="none" w:sz="0" w:space="0" w:color="auto"/>
            <w:bottom w:val="none" w:sz="0" w:space="0" w:color="auto"/>
            <w:right w:val="none" w:sz="0" w:space="0" w:color="auto"/>
          </w:divBdr>
        </w:div>
        <w:div w:id="1777561562">
          <w:marLeft w:val="0"/>
          <w:marRight w:val="0"/>
          <w:marTop w:val="0"/>
          <w:marBottom w:val="0"/>
          <w:divBdr>
            <w:top w:val="none" w:sz="0" w:space="0" w:color="auto"/>
            <w:left w:val="none" w:sz="0" w:space="0" w:color="auto"/>
            <w:bottom w:val="none" w:sz="0" w:space="0" w:color="auto"/>
            <w:right w:val="none" w:sz="0" w:space="0" w:color="auto"/>
          </w:divBdr>
        </w:div>
        <w:div w:id="978997115">
          <w:marLeft w:val="0"/>
          <w:marRight w:val="0"/>
          <w:marTop w:val="0"/>
          <w:marBottom w:val="0"/>
          <w:divBdr>
            <w:top w:val="none" w:sz="0" w:space="0" w:color="auto"/>
            <w:left w:val="none" w:sz="0" w:space="0" w:color="auto"/>
            <w:bottom w:val="none" w:sz="0" w:space="0" w:color="auto"/>
            <w:right w:val="none" w:sz="0" w:space="0" w:color="auto"/>
          </w:divBdr>
        </w:div>
        <w:div w:id="1247492218">
          <w:marLeft w:val="0"/>
          <w:marRight w:val="0"/>
          <w:marTop w:val="0"/>
          <w:marBottom w:val="0"/>
          <w:divBdr>
            <w:top w:val="none" w:sz="0" w:space="0" w:color="auto"/>
            <w:left w:val="none" w:sz="0" w:space="0" w:color="auto"/>
            <w:bottom w:val="none" w:sz="0" w:space="0" w:color="auto"/>
            <w:right w:val="none" w:sz="0" w:space="0" w:color="auto"/>
          </w:divBdr>
        </w:div>
      </w:divsChild>
    </w:div>
    <w:div w:id="1227187685">
      <w:bodyDiv w:val="1"/>
      <w:marLeft w:val="0"/>
      <w:marRight w:val="0"/>
      <w:marTop w:val="0"/>
      <w:marBottom w:val="0"/>
      <w:divBdr>
        <w:top w:val="none" w:sz="0" w:space="0" w:color="auto"/>
        <w:left w:val="none" w:sz="0" w:space="0" w:color="auto"/>
        <w:bottom w:val="none" w:sz="0" w:space="0" w:color="auto"/>
        <w:right w:val="none" w:sz="0" w:space="0" w:color="auto"/>
      </w:divBdr>
      <w:divsChild>
        <w:div w:id="1190409987">
          <w:marLeft w:val="0"/>
          <w:marRight w:val="0"/>
          <w:marTop w:val="0"/>
          <w:marBottom w:val="0"/>
          <w:divBdr>
            <w:top w:val="none" w:sz="0" w:space="0" w:color="auto"/>
            <w:left w:val="none" w:sz="0" w:space="0" w:color="auto"/>
            <w:bottom w:val="none" w:sz="0" w:space="0" w:color="auto"/>
            <w:right w:val="none" w:sz="0" w:space="0" w:color="auto"/>
          </w:divBdr>
        </w:div>
        <w:div w:id="79375512">
          <w:marLeft w:val="0"/>
          <w:marRight w:val="0"/>
          <w:marTop w:val="0"/>
          <w:marBottom w:val="0"/>
          <w:divBdr>
            <w:top w:val="none" w:sz="0" w:space="0" w:color="auto"/>
            <w:left w:val="none" w:sz="0" w:space="0" w:color="auto"/>
            <w:bottom w:val="none" w:sz="0" w:space="0" w:color="auto"/>
            <w:right w:val="none" w:sz="0" w:space="0" w:color="auto"/>
          </w:divBdr>
        </w:div>
      </w:divsChild>
    </w:div>
    <w:div w:id="1235047978">
      <w:bodyDiv w:val="1"/>
      <w:marLeft w:val="0"/>
      <w:marRight w:val="0"/>
      <w:marTop w:val="0"/>
      <w:marBottom w:val="0"/>
      <w:divBdr>
        <w:top w:val="none" w:sz="0" w:space="0" w:color="auto"/>
        <w:left w:val="none" w:sz="0" w:space="0" w:color="auto"/>
        <w:bottom w:val="none" w:sz="0" w:space="0" w:color="auto"/>
        <w:right w:val="none" w:sz="0" w:space="0" w:color="auto"/>
      </w:divBdr>
      <w:divsChild>
        <w:div w:id="944191147">
          <w:marLeft w:val="0"/>
          <w:marRight w:val="0"/>
          <w:marTop w:val="0"/>
          <w:marBottom w:val="0"/>
          <w:divBdr>
            <w:top w:val="none" w:sz="0" w:space="0" w:color="auto"/>
            <w:left w:val="none" w:sz="0" w:space="0" w:color="auto"/>
            <w:bottom w:val="none" w:sz="0" w:space="0" w:color="auto"/>
            <w:right w:val="none" w:sz="0" w:space="0" w:color="auto"/>
          </w:divBdr>
        </w:div>
        <w:div w:id="1629121387">
          <w:marLeft w:val="0"/>
          <w:marRight w:val="0"/>
          <w:marTop w:val="0"/>
          <w:marBottom w:val="0"/>
          <w:divBdr>
            <w:top w:val="none" w:sz="0" w:space="0" w:color="auto"/>
            <w:left w:val="none" w:sz="0" w:space="0" w:color="auto"/>
            <w:bottom w:val="none" w:sz="0" w:space="0" w:color="auto"/>
            <w:right w:val="none" w:sz="0" w:space="0" w:color="auto"/>
          </w:divBdr>
        </w:div>
        <w:div w:id="387724010">
          <w:marLeft w:val="0"/>
          <w:marRight w:val="0"/>
          <w:marTop w:val="0"/>
          <w:marBottom w:val="0"/>
          <w:divBdr>
            <w:top w:val="none" w:sz="0" w:space="0" w:color="auto"/>
            <w:left w:val="none" w:sz="0" w:space="0" w:color="auto"/>
            <w:bottom w:val="none" w:sz="0" w:space="0" w:color="auto"/>
            <w:right w:val="none" w:sz="0" w:space="0" w:color="auto"/>
          </w:divBdr>
        </w:div>
        <w:div w:id="1243221185">
          <w:marLeft w:val="0"/>
          <w:marRight w:val="0"/>
          <w:marTop w:val="0"/>
          <w:marBottom w:val="0"/>
          <w:divBdr>
            <w:top w:val="none" w:sz="0" w:space="0" w:color="auto"/>
            <w:left w:val="none" w:sz="0" w:space="0" w:color="auto"/>
            <w:bottom w:val="none" w:sz="0" w:space="0" w:color="auto"/>
            <w:right w:val="none" w:sz="0" w:space="0" w:color="auto"/>
          </w:divBdr>
        </w:div>
        <w:div w:id="1411583136">
          <w:marLeft w:val="0"/>
          <w:marRight w:val="0"/>
          <w:marTop w:val="0"/>
          <w:marBottom w:val="0"/>
          <w:divBdr>
            <w:top w:val="none" w:sz="0" w:space="0" w:color="auto"/>
            <w:left w:val="none" w:sz="0" w:space="0" w:color="auto"/>
            <w:bottom w:val="none" w:sz="0" w:space="0" w:color="auto"/>
            <w:right w:val="none" w:sz="0" w:space="0" w:color="auto"/>
          </w:divBdr>
        </w:div>
        <w:div w:id="1759446414">
          <w:marLeft w:val="0"/>
          <w:marRight w:val="0"/>
          <w:marTop w:val="0"/>
          <w:marBottom w:val="0"/>
          <w:divBdr>
            <w:top w:val="none" w:sz="0" w:space="0" w:color="auto"/>
            <w:left w:val="none" w:sz="0" w:space="0" w:color="auto"/>
            <w:bottom w:val="none" w:sz="0" w:space="0" w:color="auto"/>
            <w:right w:val="none" w:sz="0" w:space="0" w:color="auto"/>
          </w:divBdr>
        </w:div>
        <w:div w:id="677927561">
          <w:marLeft w:val="0"/>
          <w:marRight w:val="0"/>
          <w:marTop w:val="0"/>
          <w:marBottom w:val="0"/>
          <w:divBdr>
            <w:top w:val="none" w:sz="0" w:space="0" w:color="auto"/>
            <w:left w:val="none" w:sz="0" w:space="0" w:color="auto"/>
            <w:bottom w:val="none" w:sz="0" w:space="0" w:color="auto"/>
            <w:right w:val="none" w:sz="0" w:space="0" w:color="auto"/>
          </w:divBdr>
        </w:div>
        <w:div w:id="1556893074">
          <w:marLeft w:val="0"/>
          <w:marRight w:val="0"/>
          <w:marTop w:val="0"/>
          <w:marBottom w:val="0"/>
          <w:divBdr>
            <w:top w:val="none" w:sz="0" w:space="0" w:color="auto"/>
            <w:left w:val="none" w:sz="0" w:space="0" w:color="auto"/>
            <w:bottom w:val="none" w:sz="0" w:space="0" w:color="auto"/>
            <w:right w:val="none" w:sz="0" w:space="0" w:color="auto"/>
          </w:divBdr>
        </w:div>
        <w:div w:id="72708661">
          <w:marLeft w:val="0"/>
          <w:marRight w:val="0"/>
          <w:marTop w:val="0"/>
          <w:marBottom w:val="0"/>
          <w:divBdr>
            <w:top w:val="none" w:sz="0" w:space="0" w:color="auto"/>
            <w:left w:val="none" w:sz="0" w:space="0" w:color="auto"/>
            <w:bottom w:val="none" w:sz="0" w:space="0" w:color="auto"/>
            <w:right w:val="none" w:sz="0" w:space="0" w:color="auto"/>
          </w:divBdr>
        </w:div>
        <w:div w:id="115369840">
          <w:marLeft w:val="0"/>
          <w:marRight w:val="0"/>
          <w:marTop w:val="0"/>
          <w:marBottom w:val="0"/>
          <w:divBdr>
            <w:top w:val="none" w:sz="0" w:space="0" w:color="auto"/>
            <w:left w:val="none" w:sz="0" w:space="0" w:color="auto"/>
            <w:bottom w:val="none" w:sz="0" w:space="0" w:color="auto"/>
            <w:right w:val="none" w:sz="0" w:space="0" w:color="auto"/>
          </w:divBdr>
        </w:div>
        <w:div w:id="1630434821">
          <w:marLeft w:val="0"/>
          <w:marRight w:val="0"/>
          <w:marTop w:val="0"/>
          <w:marBottom w:val="0"/>
          <w:divBdr>
            <w:top w:val="none" w:sz="0" w:space="0" w:color="auto"/>
            <w:left w:val="none" w:sz="0" w:space="0" w:color="auto"/>
            <w:bottom w:val="none" w:sz="0" w:space="0" w:color="auto"/>
            <w:right w:val="none" w:sz="0" w:space="0" w:color="auto"/>
          </w:divBdr>
        </w:div>
        <w:div w:id="1107121236">
          <w:marLeft w:val="0"/>
          <w:marRight w:val="0"/>
          <w:marTop w:val="0"/>
          <w:marBottom w:val="0"/>
          <w:divBdr>
            <w:top w:val="none" w:sz="0" w:space="0" w:color="auto"/>
            <w:left w:val="none" w:sz="0" w:space="0" w:color="auto"/>
            <w:bottom w:val="none" w:sz="0" w:space="0" w:color="auto"/>
            <w:right w:val="none" w:sz="0" w:space="0" w:color="auto"/>
          </w:divBdr>
        </w:div>
      </w:divsChild>
    </w:div>
    <w:div w:id="1247421465">
      <w:bodyDiv w:val="1"/>
      <w:marLeft w:val="0"/>
      <w:marRight w:val="0"/>
      <w:marTop w:val="0"/>
      <w:marBottom w:val="0"/>
      <w:divBdr>
        <w:top w:val="none" w:sz="0" w:space="0" w:color="auto"/>
        <w:left w:val="none" w:sz="0" w:space="0" w:color="auto"/>
        <w:bottom w:val="none" w:sz="0" w:space="0" w:color="auto"/>
        <w:right w:val="none" w:sz="0" w:space="0" w:color="auto"/>
      </w:divBdr>
      <w:divsChild>
        <w:div w:id="1258294560">
          <w:marLeft w:val="0"/>
          <w:marRight w:val="0"/>
          <w:marTop w:val="0"/>
          <w:marBottom w:val="0"/>
          <w:divBdr>
            <w:top w:val="none" w:sz="0" w:space="0" w:color="auto"/>
            <w:left w:val="none" w:sz="0" w:space="0" w:color="auto"/>
            <w:bottom w:val="none" w:sz="0" w:space="0" w:color="auto"/>
            <w:right w:val="none" w:sz="0" w:space="0" w:color="auto"/>
          </w:divBdr>
        </w:div>
        <w:div w:id="410083678">
          <w:marLeft w:val="0"/>
          <w:marRight w:val="0"/>
          <w:marTop w:val="0"/>
          <w:marBottom w:val="0"/>
          <w:divBdr>
            <w:top w:val="none" w:sz="0" w:space="0" w:color="auto"/>
            <w:left w:val="none" w:sz="0" w:space="0" w:color="auto"/>
            <w:bottom w:val="none" w:sz="0" w:space="0" w:color="auto"/>
            <w:right w:val="none" w:sz="0" w:space="0" w:color="auto"/>
          </w:divBdr>
        </w:div>
        <w:div w:id="1848446370">
          <w:marLeft w:val="0"/>
          <w:marRight w:val="0"/>
          <w:marTop w:val="0"/>
          <w:marBottom w:val="0"/>
          <w:divBdr>
            <w:top w:val="none" w:sz="0" w:space="0" w:color="auto"/>
            <w:left w:val="none" w:sz="0" w:space="0" w:color="auto"/>
            <w:bottom w:val="none" w:sz="0" w:space="0" w:color="auto"/>
            <w:right w:val="none" w:sz="0" w:space="0" w:color="auto"/>
          </w:divBdr>
        </w:div>
        <w:div w:id="2063938728">
          <w:marLeft w:val="0"/>
          <w:marRight w:val="0"/>
          <w:marTop w:val="0"/>
          <w:marBottom w:val="0"/>
          <w:divBdr>
            <w:top w:val="none" w:sz="0" w:space="0" w:color="auto"/>
            <w:left w:val="none" w:sz="0" w:space="0" w:color="auto"/>
            <w:bottom w:val="none" w:sz="0" w:space="0" w:color="auto"/>
            <w:right w:val="none" w:sz="0" w:space="0" w:color="auto"/>
          </w:divBdr>
        </w:div>
        <w:div w:id="586112202">
          <w:marLeft w:val="0"/>
          <w:marRight w:val="0"/>
          <w:marTop w:val="0"/>
          <w:marBottom w:val="0"/>
          <w:divBdr>
            <w:top w:val="none" w:sz="0" w:space="0" w:color="auto"/>
            <w:left w:val="none" w:sz="0" w:space="0" w:color="auto"/>
            <w:bottom w:val="none" w:sz="0" w:space="0" w:color="auto"/>
            <w:right w:val="none" w:sz="0" w:space="0" w:color="auto"/>
          </w:divBdr>
        </w:div>
        <w:div w:id="1194148491">
          <w:marLeft w:val="0"/>
          <w:marRight w:val="0"/>
          <w:marTop w:val="0"/>
          <w:marBottom w:val="0"/>
          <w:divBdr>
            <w:top w:val="none" w:sz="0" w:space="0" w:color="auto"/>
            <w:left w:val="none" w:sz="0" w:space="0" w:color="auto"/>
            <w:bottom w:val="none" w:sz="0" w:space="0" w:color="auto"/>
            <w:right w:val="none" w:sz="0" w:space="0" w:color="auto"/>
          </w:divBdr>
        </w:div>
        <w:div w:id="1897082063">
          <w:marLeft w:val="0"/>
          <w:marRight w:val="0"/>
          <w:marTop w:val="0"/>
          <w:marBottom w:val="0"/>
          <w:divBdr>
            <w:top w:val="none" w:sz="0" w:space="0" w:color="auto"/>
            <w:left w:val="none" w:sz="0" w:space="0" w:color="auto"/>
            <w:bottom w:val="none" w:sz="0" w:space="0" w:color="auto"/>
            <w:right w:val="none" w:sz="0" w:space="0" w:color="auto"/>
          </w:divBdr>
        </w:div>
        <w:div w:id="568421379">
          <w:marLeft w:val="0"/>
          <w:marRight w:val="0"/>
          <w:marTop w:val="0"/>
          <w:marBottom w:val="0"/>
          <w:divBdr>
            <w:top w:val="none" w:sz="0" w:space="0" w:color="auto"/>
            <w:left w:val="none" w:sz="0" w:space="0" w:color="auto"/>
            <w:bottom w:val="none" w:sz="0" w:space="0" w:color="auto"/>
            <w:right w:val="none" w:sz="0" w:space="0" w:color="auto"/>
          </w:divBdr>
        </w:div>
        <w:div w:id="1362130697">
          <w:marLeft w:val="0"/>
          <w:marRight w:val="0"/>
          <w:marTop w:val="0"/>
          <w:marBottom w:val="0"/>
          <w:divBdr>
            <w:top w:val="none" w:sz="0" w:space="0" w:color="auto"/>
            <w:left w:val="none" w:sz="0" w:space="0" w:color="auto"/>
            <w:bottom w:val="none" w:sz="0" w:space="0" w:color="auto"/>
            <w:right w:val="none" w:sz="0" w:space="0" w:color="auto"/>
          </w:divBdr>
        </w:div>
        <w:div w:id="1372076903">
          <w:marLeft w:val="0"/>
          <w:marRight w:val="0"/>
          <w:marTop w:val="0"/>
          <w:marBottom w:val="0"/>
          <w:divBdr>
            <w:top w:val="none" w:sz="0" w:space="0" w:color="auto"/>
            <w:left w:val="none" w:sz="0" w:space="0" w:color="auto"/>
            <w:bottom w:val="none" w:sz="0" w:space="0" w:color="auto"/>
            <w:right w:val="none" w:sz="0" w:space="0" w:color="auto"/>
          </w:divBdr>
        </w:div>
        <w:div w:id="2112777250">
          <w:marLeft w:val="0"/>
          <w:marRight w:val="0"/>
          <w:marTop w:val="0"/>
          <w:marBottom w:val="0"/>
          <w:divBdr>
            <w:top w:val="none" w:sz="0" w:space="0" w:color="auto"/>
            <w:left w:val="none" w:sz="0" w:space="0" w:color="auto"/>
            <w:bottom w:val="none" w:sz="0" w:space="0" w:color="auto"/>
            <w:right w:val="none" w:sz="0" w:space="0" w:color="auto"/>
          </w:divBdr>
        </w:div>
        <w:div w:id="2112772605">
          <w:marLeft w:val="0"/>
          <w:marRight w:val="0"/>
          <w:marTop w:val="0"/>
          <w:marBottom w:val="0"/>
          <w:divBdr>
            <w:top w:val="none" w:sz="0" w:space="0" w:color="auto"/>
            <w:left w:val="none" w:sz="0" w:space="0" w:color="auto"/>
            <w:bottom w:val="none" w:sz="0" w:space="0" w:color="auto"/>
            <w:right w:val="none" w:sz="0" w:space="0" w:color="auto"/>
          </w:divBdr>
        </w:div>
        <w:div w:id="1464541085">
          <w:marLeft w:val="0"/>
          <w:marRight w:val="0"/>
          <w:marTop w:val="0"/>
          <w:marBottom w:val="0"/>
          <w:divBdr>
            <w:top w:val="none" w:sz="0" w:space="0" w:color="auto"/>
            <w:left w:val="none" w:sz="0" w:space="0" w:color="auto"/>
            <w:bottom w:val="none" w:sz="0" w:space="0" w:color="auto"/>
            <w:right w:val="none" w:sz="0" w:space="0" w:color="auto"/>
          </w:divBdr>
        </w:div>
        <w:div w:id="1518158805">
          <w:marLeft w:val="0"/>
          <w:marRight w:val="0"/>
          <w:marTop w:val="0"/>
          <w:marBottom w:val="0"/>
          <w:divBdr>
            <w:top w:val="none" w:sz="0" w:space="0" w:color="auto"/>
            <w:left w:val="none" w:sz="0" w:space="0" w:color="auto"/>
            <w:bottom w:val="none" w:sz="0" w:space="0" w:color="auto"/>
            <w:right w:val="none" w:sz="0" w:space="0" w:color="auto"/>
          </w:divBdr>
        </w:div>
        <w:div w:id="1288783277">
          <w:marLeft w:val="0"/>
          <w:marRight w:val="0"/>
          <w:marTop w:val="0"/>
          <w:marBottom w:val="0"/>
          <w:divBdr>
            <w:top w:val="none" w:sz="0" w:space="0" w:color="auto"/>
            <w:left w:val="none" w:sz="0" w:space="0" w:color="auto"/>
            <w:bottom w:val="none" w:sz="0" w:space="0" w:color="auto"/>
            <w:right w:val="none" w:sz="0" w:space="0" w:color="auto"/>
          </w:divBdr>
        </w:div>
        <w:div w:id="604315308">
          <w:marLeft w:val="0"/>
          <w:marRight w:val="0"/>
          <w:marTop w:val="0"/>
          <w:marBottom w:val="0"/>
          <w:divBdr>
            <w:top w:val="none" w:sz="0" w:space="0" w:color="auto"/>
            <w:left w:val="none" w:sz="0" w:space="0" w:color="auto"/>
            <w:bottom w:val="none" w:sz="0" w:space="0" w:color="auto"/>
            <w:right w:val="none" w:sz="0" w:space="0" w:color="auto"/>
          </w:divBdr>
        </w:div>
        <w:div w:id="1234507592">
          <w:marLeft w:val="0"/>
          <w:marRight w:val="0"/>
          <w:marTop w:val="0"/>
          <w:marBottom w:val="0"/>
          <w:divBdr>
            <w:top w:val="none" w:sz="0" w:space="0" w:color="auto"/>
            <w:left w:val="none" w:sz="0" w:space="0" w:color="auto"/>
            <w:bottom w:val="none" w:sz="0" w:space="0" w:color="auto"/>
            <w:right w:val="none" w:sz="0" w:space="0" w:color="auto"/>
          </w:divBdr>
        </w:div>
        <w:div w:id="988438991">
          <w:marLeft w:val="0"/>
          <w:marRight w:val="0"/>
          <w:marTop w:val="0"/>
          <w:marBottom w:val="0"/>
          <w:divBdr>
            <w:top w:val="none" w:sz="0" w:space="0" w:color="auto"/>
            <w:left w:val="none" w:sz="0" w:space="0" w:color="auto"/>
            <w:bottom w:val="none" w:sz="0" w:space="0" w:color="auto"/>
            <w:right w:val="none" w:sz="0" w:space="0" w:color="auto"/>
          </w:divBdr>
        </w:div>
        <w:div w:id="2032953392">
          <w:marLeft w:val="0"/>
          <w:marRight w:val="0"/>
          <w:marTop w:val="0"/>
          <w:marBottom w:val="0"/>
          <w:divBdr>
            <w:top w:val="none" w:sz="0" w:space="0" w:color="auto"/>
            <w:left w:val="none" w:sz="0" w:space="0" w:color="auto"/>
            <w:bottom w:val="none" w:sz="0" w:space="0" w:color="auto"/>
            <w:right w:val="none" w:sz="0" w:space="0" w:color="auto"/>
          </w:divBdr>
        </w:div>
        <w:div w:id="383680173">
          <w:marLeft w:val="0"/>
          <w:marRight w:val="0"/>
          <w:marTop w:val="0"/>
          <w:marBottom w:val="0"/>
          <w:divBdr>
            <w:top w:val="none" w:sz="0" w:space="0" w:color="auto"/>
            <w:left w:val="none" w:sz="0" w:space="0" w:color="auto"/>
            <w:bottom w:val="none" w:sz="0" w:space="0" w:color="auto"/>
            <w:right w:val="none" w:sz="0" w:space="0" w:color="auto"/>
          </w:divBdr>
        </w:div>
        <w:div w:id="1627422567">
          <w:marLeft w:val="0"/>
          <w:marRight w:val="0"/>
          <w:marTop w:val="0"/>
          <w:marBottom w:val="0"/>
          <w:divBdr>
            <w:top w:val="none" w:sz="0" w:space="0" w:color="auto"/>
            <w:left w:val="none" w:sz="0" w:space="0" w:color="auto"/>
            <w:bottom w:val="none" w:sz="0" w:space="0" w:color="auto"/>
            <w:right w:val="none" w:sz="0" w:space="0" w:color="auto"/>
          </w:divBdr>
        </w:div>
        <w:div w:id="1390612473">
          <w:marLeft w:val="0"/>
          <w:marRight w:val="0"/>
          <w:marTop w:val="0"/>
          <w:marBottom w:val="0"/>
          <w:divBdr>
            <w:top w:val="none" w:sz="0" w:space="0" w:color="auto"/>
            <w:left w:val="none" w:sz="0" w:space="0" w:color="auto"/>
            <w:bottom w:val="none" w:sz="0" w:space="0" w:color="auto"/>
            <w:right w:val="none" w:sz="0" w:space="0" w:color="auto"/>
          </w:divBdr>
        </w:div>
        <w:div w:id="1552418380">
          <w:marLeft w:val="0"/>
          <w:marRight w:val="0"/>
          <w:marTop w:val="0"/>
          <w:marBottom w:val="0"/>
          <w:divBdr>
            <w:top w:val="none" w:sz="0" w:space="0" w:color="auto"/>
            <w:left w:val="none" w:sz="0" w:space="0" w:color="auto"/>
            <w:bottom w:val="none" w:sz="0" w:space="0" w:color="auto"/>
            <w:right w:val="none" w:sz="0" w:space="0" w:color="auto"/>
          </w:divBdr>
        </w:div>
        <w:div w:id="587732221">
          <w:marLeft w:val="0"/>
          <w:marRight w:val="0"/>
          <w:marTop w:val="0"/>
          <w:marBottom w:val="0"/>
          <w:divBdr>
            <w:top w:val="none" w:sz="0" w:space="0" w:color="auto"/>
            <w:left w:val="none" w:sz="0" w:space="0" w:color="auto"/>
            <w:bottom w:val="none" w:sz="0" w:space="0" w:color="auto"/>
            <w:right w:val="none" w:sz="0" w:space="0" w:color="auto"/>
          </w:divBdr>
        </w:div>
        <w:div w:id="802582544">
          <w:marLeft w:val="0"/>
          <w:marRight w:val="0"/>
          <w:marTop w:val="0"/>
          <w:marBottom w:val="0"/>
          <w:divBdr>
            <w:top w:val="none" w:sz="0" w:space="0" w:color="auto"/>
            <w:left w:val="none" w:sz="0" w:space="0" w:color="auto"/>
            <w:bottom w:val="none" w:sz="0" w:space="0" w:color="auto"/>
            <w:right w:val="none" w:sz="0" w:space="0" w:color="auto"/>
          </w:divBdr>
        </w:div>
        <w:div w:id="1249655745">
          <w:marLeft w:val="0"/>
          <w:marRight w:val="0"/>
          <w:marTop w:val="0"/>
          <w:marBottom w:val="0"/>
          <w:divBdr>
            <w:top w:val="none" w:sz="0" w:space="0" w:color="auto"/>
            <w:left w:val="none" w:sz="0" w:space="0" w:color="auto"/>
            <w:bottom w:val="none" w:sz="0" w:space="0" w:color="auto"/>
            <w:right w:val="none" w:sz="0" w:space="0" w:color="auto"/>
          </w:divBdr>
        </w:div>
        <w:div w:id="34741553">
          <w:marLeft w:val="0"/>
          <w:marRight w:val="0"/>
          <w:marTop w:val="0"/>
          <w:marBottom w:val="0"/>
          <w:divBdr>
            <w:top w:val="none" w:sz="0" w:space="0" w:color="auto"/>
            <w:left w:val="none" w:sz="0" w:space="0" w:color="auto"/>
            <w:bottom w:val="none" w:sz="0" w:space="0" w:color="auto"/>
            <w:right w:val="none" w:sz="0" w:space="0" w:color="auto"/>
          </w:divBdr>
        </w:div>
        <w:div w:id="2034259538">
          <w:marLeft w:val="0"/>
          <w:marRight w:val="0"/>
          <w:marTop w:val="0"/>
          <w:marBottom w:val="0"/>
          <w:divBdr>
            <w:top w:val="none" w:sz="0" w:space="0" w:color="auto"/>
            <w:left w:val="none" w:sz="0" w:space="0" w:color="auto"/>
            <w:bottom w:val="none" w:sz="0" w:space="0" w:color="auto"/>
            <w:right w:val="none" w:sz="0" w:space="0" w:color="auto"/>
          </w:divBdr>
        </w:div>
        <w:div w:id="568536772">
          <w:marLeft w:val="0"/>
          <w:marRight w:val="0"/>
          <w:marTop w:val="0"/>
          <w:marBottom w:val="0"/>
          <w:divBdr>
            <w:top w:val="none" w:sz="0" w:space="0" w:color="auto"/>
            <w:left w:val="none" w:sz="0" w:space="0" w:color="auto"/>
            <w:bottom w:val="none" w:sz="0" w:space="0" w:color="auto"/>
            <w:right w:val="none" w:sz="0" w:space="0" w:color="auto"/>
          </w:divBdr>
        </w:div>
        <w:div w:id="445737177">
          <w:marLeft w:val="0"/>
          <w:marRight w:val="0"/>
          <w:marTop w:val="0"/>
          <w:marBottom w:val="0"/>
          <w:divBdr>
            <w:top w:val="none" w:sz="0" w:space="0" w:color="auto"/>
            <w:left w:val="none" w:sz="0" w:space="0" w:color="auto"/>
            <w:bottom w:val="none" w:sz="0" w:space="0" w:color="auto"/>
            <w:right w:val="none" w:sz="0" w:space="0" w:color="auto"/>
          </w:divBdr>
        </w:div>
        <w:div w:id="1806315856">
          <w:marLeft w:val="0"/>
          <w:marRight w:val="0"/>
          <w:marTop w:val="0"/>
          <w:marBottom w:val="0"/>
          <w:divBdr>
            <w:top w:val="none" w:sz="0" w:space="0" w:color="auto"/>
            <w:left w:val="none" w:sz="0" w:space="0" w:color="auto"/>
            <w:bottom w:val="none" w:sz="0" w:space="0" w:color="auto"/>
            <w:right w:val="none" w:sz="0" w:space="0" w:color="auto"/>
          </w:divBdr>
        </w:div>
        <w:div w:id="1749304738">
          <w:marLeft w:val="0"/>
          <w:marRight w:val="0"/>
          <w:marTop w:val="0"/>
          <w:marBottom w:val="0"/>
          <w:divBdr>
            <w:top w:val="none" w:sz="0" w:space="0" w:color="auto"/>
            <w:left w:val="none" w:sz="0" w:space="0" w:color="auto"/>
            <w:bottom w:val="none" w:sz="0" w:space="0" w:color="auto"/>
            <w:right w:val="none" w:sz="0" w:space="0" w:color="auto"/>
          </w:divBdr>
        </w:div>
        <w:div w:id="1921599265">
          <w:marLeft w:val="0"/>
          <w:marRight w:val="0"/>
          <w:marTop w:val="0"/>
          <w:marBottom w:val="0"/>
          <w:divBdr>
            <w:top w:val="none" w:sz="0" w:space="0" w:color="auto"/>
            <w:left w:val="none" w:sz="0" w:space="0" w:color="auto"/>
            <w:bottom w:val="none" w:sz="0" w:space="0" w:color="auto"/>
            <w:right w:val="none" w:sz="0" w:space="0" w:color="auto"/>
          </w:divBdr>
        </w:div>
        <w:div w:id="1787851630">
          <w:marLeft w:val="0"/>
          <w:marRight w:val="0"/>
          <w:marTop w:val="0"/>
          <w:marBottom w:val="0"/>
          <w:divBdr>
            <w:top w:val="none" w:sz="0" w:space="0" w:color="auto"/>
            <w:left w:val="none" w:sz="0" w:space="0" w:color="auto"/>
            <w:bottom w:val="none" w:sz="0" w:space="0" w:color="auto"/>
            <w:right w:val="none" w:sz="0" w:space="0" w:color="auto"/>
          </w:divBdr>
        </w:div>
        <w:div w:id="1558323158">
          <w:marLeft w:val="0"/>
          <w:marRight w:val="0"/>
          <w:marTop w:val="0"/>
          <w:marBottom w:val="0"/>
          <w:divBdr>
            <w:top w:val="none" w:sz="0" w:space="0" w:color="auto"/>
            <w:left w:val="none" w:sz="0" w:space="0" w:color="auto"/>
            <w:bottom w:val="none" w:sz="0" w:space="0" w:color="auto"/>
            <w:right w:val="none" w:sz="0" w:space="0" w:color="auto"/>
          </w:divBdr>
        </w:div>
        <w:div w:id="1576665764">
          <w:marLeft w:val="0"/>
          <w:marRight w:val="0"/>
          <w:marTop w:val="0"/>
          <w:marBottom w:val="0"/>
          <w:divBdr>
            <w:top w:val="none" w:sz="0" w:space="0" w:color="auto"/>
            <w:left w:val="none" w:sz="0" w:space="0" w:color="auto"/>
            <w:bottom w:val="none" w:sz="0" w:space="0" w:color="auto"/>
            <w:right w:val="none" w:sz="0" w:space="0" w:color="auto"/>
          </w:divBdr>
        </w:div>
        <w:div w:id="1731688087">
          <w:marLeft w:val="0"/>
          <w:marRight w:val="0"/>
          <w:marTop w:val="0"/>
          <w:marBottom w:val="0"/>
          <w:divBdr>
            <w:top w:val="none" w:sz="0" w:space="0" w:color="auto"/>
            <w:left w:val="none" w:sz="0" w:space="0" w:color="auto"/>
            <w:bottom w:val="none" w:sz="0" w:space="0" w:color="auto"/>
            <w:right w:val="none" w:sz="0" w:space="0" w:color="auto"/>
          </w:divBdr>
        </w:div>
        <w:div w:id="932393717">
          <w:marLeft w:val="0"/>
          <w:marRight w:val="0"/>
          <w:marTop w:val="0"/>
          <w:marBottom w:val="0"/>
          <w:divBdr>
            <w:top w:val="none" w:sz="0" w:space="0" w:color="auto"/>
            <w:left w:val="none" w:sz="0" w:space="0" w:color="auto"/>
            <w:bottom w:val="none" w:sz="0" w:space="0" w:color="auto"/>
            <w:right w:val="none" w:sz="0" w:space="0" w:color="auto"/>
          </w:divBdr>
        </w:div>
        <w:div w:id="1895458944">
          <w:marLeft w:val="0"/>
          <w:marRight w:val="0"/>
          <w:marTop w:val="0"/>
          <w:marBottom w:val="0"/>
          <w:divBdr>
            <w:top w:val="none" w:sz="0" w:space="0" w:color="auto"/>
            <w:left w:val="none" w:sz="0" w:space="0" w:color="auto"/>
            <w:bottom w:val="none" w:sz="0" w:space="0" w:color="auto"/>
            <w:right w:val="none" w:sz="0" w:space="0" w:color="auto"/>
          </w:divBdr>
        </w:div>
        <w:div w:id="244653391">
          <w:marLeft w:val="0"/>
          <w:marRight w:val="0"/>
          <w:marTop w:val="0"/>
          <w:marBottom w:val="0"/>
          <w:divBdr>
            <w:top w:val="none" w:sz="0" w:space="0" w:color="auto"/>
            <w:left w:val="none" w:sz="0" w:space="0" w:color="auto"/>
            <w:bottom w:val="none" w:sz="0" w:space="0" w:color="auto"/>
            <w:right w:val="none" w:sz="0" w:space="0" w:color="auto"/>
          </w:divBdr>
        </w:div>
        <w:div w:id="2081054352">
          <w:marLeft w:val="0"/>
          <w:marRight w:val="0"/>
          <w:marTop w:val="0"/>
          <w:marBottom w:val="0"/>
          <w:divBdr>
            <w:top w:val="none" w:sz="0" w:space="0" w:color="auto"/>
            <w:left w:val="none" w:sz="0" w:space="0" w:color="auto"/>
            <w:bottom w:val="none" w:sz="0" w:space="0" w:color="auto"/>
            <w:right w:val="none" w:sz="0" w:space="0" w:color="auto"/>
          </w:divBdr>
        </w:div>
        <w:div w:id="1445228939">
          <w:marLeft w:val="0"/>
          <w:marRight w:val="0"/>
          <w:marTop w:val="0"/>
          <w:marBottom w:val="0"/>
          <w:divBdr>
            <w:top w:val="none" w:sz="0" w:space="0" w:color="auto"/>
            <w:left w:val="none" w:sz="0" w:space="0" w:color="auto"/>
            <w:bottom w:val="none" w:sz="0" w:space="0" w:color="auto"/>
            <w:right w:val="none" w:sz="0" w:space="0" w:color="auto"/>
          </w:divBdr>
        </w:div>
        <w:div w:id="474025645">
          <w:marLeft w:val="0"/>
          <w:marRight w:val="0"/>
          <w:marTop w:val="0"/>
          <w:marBottom w:val="0"/>
          <w:divBdr>
            <w:top w:val="none" w:sz="0" w:space="0" w:color="auto"/>
            <w:left w:val="none" w:sz="0" w:space="0" w:color="auto"/>
            <w:bottom w:val="none" w:sz="0" w:space="0" w:color="auto"/>
            <w:right w:val="none" w:sz="0" w:space="0" w:color="auto"/>
          </w:divBdr>
        </w:div>
        <w:div w:id="507184005">
          <w:marLeft w:val="0"/>
          <w:marRight w:val="0"/>
          <w:marTop w:val="0"/>
          <w:marBottom w:val="0"/>
          <w:divBdr>
            <w:top w:val="none" w:sz="0" w:space="0" w:color="auto"/>
            <w:left w:val="none" w:sz="0" w:space="0" w:color="auto"/>
            <w:bottom w:val="none" w:sz="0" w:space="0" w:color="auto"/>
            <w:right w:val="none" w:sz="0" w:space="0" w:color="auto"/>
          </w:divBdr>
        </w:div>
        <w:div w:id="441416339">
          <w:marLeft w:val="0"/>
          <w:marRight w:val="0"/>
          <w:marTop w:val="0"/>
          <w:marBottom w:val="0"/>
          <w:divBdr>
            <w:top w:val="none" w:sz="0" w:space="0" w:color="auto"/>
            <w:left w:val="none" w:sz="0" w:space="0" w:color="auto"/>
            <w:bottom w:val="none" w:sz="0" w:space="0" w:color="auto"/>
            <w:right w:val="none" w:sz="0" w:space="0" w:color="auto"/>
          </w:divBdr>
        </w:div>
        <w:div w:id="2101490643">
          <w:marLeft w:val="0"/>
          <w:marRight w:val="0"/>
          <w:marTop w:val="0"/>
          <w:marBottom w:val="0"/>
          <w:divBdr>
            <w:top w:val="none" w:sz="0" w:space="0" w:color="auto"/>
            <w:left w:val="none" w:sz="0" w:space="0" w:color="auto"/>
            <w:bottom w:val="none" w:sz="0" w:space="0" w:color="auto"/>
            <w:right w:val="none" w:sz="0" w:space="0" w:color="auto"/>
          </w:divBdr>
        </w:div>
        <w:div w:id="1204093427">
          <w:marLeft w:val="0"/>
          <w:marRight w:val="0"/>
          <w:marTop w:val="0"/>
          <w:marBottom w:val="0"/>
          <w:divBdr>
            <w:top w:val="none" w:sz="0" w:space="0" w:color="auto"/>
            <w:left w:val="none" w:sz="0" w:space="0" w:color="auto"/>
            <w:bottom w:val="none" w:sz="0" w:space="0" w:color="auto"/>
            <w:right w:val="none" w:sz="0" w:space="0" w:color="auto"/>
          </w:divBdr>
        </w:div>
        <w:div w:id="1187984154">
          <w:marLeft w:val="0"/>
          <w:marRight w:val="0"/>
          <w:marTop w:val="0"/>
          <w:marBottom w:val="0"/>
          <w:divBdr>
            <w:top w:val="none" w:sz="0" w:space="0" w:color="auto"/>
            <w:left w:val="none" w:sz="0" w:space="0" w:color="auto"/>
            <w:bottom w:val="none" w:sz="0" w:space="0" w:color="auto"/>
            <w:right w:val="none" w:sz="0" w:space="0" w:color="auto"/>
          </w:divBdr>
        </w:div>
        <w:div w:id="345788648">
          <w:marLeft w:val="0"/>
          <w:marRight w:val="0"/>
          <w:marTop w:val="0"/>
          <w:marBottom w:val="0"/>
          <w:divBdr>
            <w:top w:val="none" w:sz="0" w:space="0" w:color="auto"/>
            <w:left w:val="none" w:sz="0" w:space="0" w:color="auto"/>
            <w:bottom w:val="none" w:sz="0" w:space="0" w:color="auto"/>
            <w:right w:val="none" w:sz="0" w:space="0" w:color="auto"/>
          </w:divBdr>
        </w:div>
        <w:div w:id="1738092383">
          <w:marLeft w:val="0"/>
          <w:marRight w:val="0"/>
          <w:marTop w:val="0"/>
          <w:marBottom w:val="0"/>
          <w:divBdr>
            <w:top w:val="none" w:sz="0" w:space="0" w:color="auto"/>
            <w:left w:val="none" w:sz="0" w:space="0" w:color="auto"/>
            <w:bottom w:val="none" w:sz="0" w:space="0" w:color="auto"/>
            <w:right w:val="none" w:sz="0" w:space="0" w:color="auto"/>
          </w:divBdr>
        </w:div>
        <w:div w:id="1962107605">
          <w:marLeft w:val="0"/>
          <w:marRight w:val="0"/>
          <w:marTop w:val="0"/>
          <w:marBottom w:val="0"/>
          <w:divBdr>
            <w:top w:val="none" w:sz="0" w:space="0" w:color="auto"/>
            <w:left w:val="none" w:sz="0" w:space="0" w:color="auto"/>
            <w:bottom w:val="none" w:sz="0" w:space="0" w:color="auto"/>
            <w:right w:val="none" w:sz="0" w:space="0" w:color="auto"/>
          </w:divBdr>
        </w:div>
        <w:div w:id="691567373">
          <w:marLeft w:val="0"/>
          <w:marRight w:val="0"/>
          <w:marTop w:val="0"/>
          <w:marBottom w:val="0"/>
          <w:divBdr>
            <w:top w:val="none" w:sz="0" w:space="0" w:color="auto"/>
            <w:left w:val="none" w:sz="0" w:space="0" w:color="auto"/>
            <w:bottom w:val="none" w:sz="0" w:space="0" w:color="auto"/>
            <w:right w:val="none" w:sz="0" w:space="0" w:color="auto"/>
          </w:divBdr>
        </w:div>
      </w:divsChild>
    </w:div>
    <w:div w:id="1290353027">
      <w:bodyDiv w:val="1"/>
      <w:marLeft w:val="0"/>
      <w:marRight w:val="0"/>
      <w:marTop w:val="0"/>
      <w:marBottom w:val="0"/>
      <w:divBdr>
        <w:top w:val="none" w:sz="0" w:space="0" w:color="auto"/>
        <w:left w:val="none" w:sz="0" w:space="0" w:color="auto"/>
        <w:bottom w:val="none" w:sz="0" w:space="0" w:color="auto"/>
        <w:right w:val="none" w:sz="0" w:space="0" w:color="auto"/>
      </w:divBdr>
      <w:divsChild>
        <w:div w:id="1606687777">
          <w:marLeft w:val="0"/>
          <w:marRight w:val="0"/>
          <w:marTop w:val="0"/>
          <w:marBottom w:val="0"/>
          <w:divBdr>
            <w:top w:val="none" w:sz="0" w:space="0" w:color="auto"/>
            <w:left w:val="none" w:sz="0" w:space="0" w:color="auto"/>
            <w:bottom w:val="none" w:sz="0" w:space="0" w:color="auto"/>
            <w:right w:val="none" w:sz="0" w:space="0" w:color="auto"/>
          </w:divBdr>
        </w:div>
        <w:div w:id="910851766">
          <w:marLeft w:val="0"/>
          <w:marRight w:val="0"/>
          <w:marTop w:val="0"/>
          <w:marBottom w:val="0"/>
          <w:divBdr>
            <w:top w:val="none" w:sz="0" w:space="0" w:color="auto"/>
            <w:left w:val="none" w:sz="0" w:space="0" w:color="auto"/>
            <w:bottom w:val="none" w:sz="0" w:space="0" w:color="auto"/>
            <w:right w:val="none" w:sz="0" w:space="0" w:color="auto"/>
          </w:divBdr>
        </w:div>
      </w:divsChild>
    </w:div>
    <w:div w:id="1305349500">
      <w:bodyDiv w:val="1"/>
      <w:marLeft w:val="0"/>
      <w:marRight w:val="0"/>
      <w:marTop w:val="0"/>
      <w:marBottom w:val="0"/>
      <w:divBdr>
        <w:top w:val="none" w:sz="0" w:space="0" w:color="auto"/>
        <w:left w:val="none" w:sz="0" w:space="0" w:color="auto"/>
        <w:bottom w:val="none" w:sz="0" w:space="0" w:color="auto"/>
        <w:right w:val="none" w:sz="0" w:space="0" w:color="auto"/>
      </w:divBdr>
      <w:divsChild>
        <w:div w:id="344476270">
          <w:marLeft w:val="0"/>
          <w:marRight w:val="0"/>
          <w:marTop w:val="0"/>
          <w:marBottom w:val="0"/>
          <w:divBdr>
            <w:top w:val="none" w:sz="0" w:space="0" w:color="auto"/>
            <w:left w:val="none" w:sz="0" w:space="0" w:color="auto"/>
            <w:bottom w:val="none" w:sz="0" w:space="0" w:color="auto"/>
            <w:right w:val="none" w:sz="0" w:space="0" w:color="auto"/>
          </w:divBdr>
        </w:div>
        <w:div w:id="2146771825">
          <w:marLeft w:val="0"/>
          <w:marRight w:val="0"/>
          <w:marTop w:val="0"/>
          <w:marBottom w:val="0"/>
          <w:divBdr>
            <w:top w:val="none" w:sz="0" w:space="0" w:color="auto"/>
            <w:left w:val="none" w:sz="0" w:space="0" w:color="auto"/>
            <w:bottom w:val="none" w:sz="0" w:space="0" w:color="auto"/>
            <w:right w:val="none" w:sz="0" w:space="0" w:color="auto"/>
          </w:divBdr>
        </w:div>
        <w:div w:id="1224874588">
          <w:marLeft w:val="0"/>
          <w:marRight w:val="0"/>
          <w:marTop w:val="0"/>
          <w:marBottom w:val="0"/>
          <w:divBdr>
            <w:top w:val="none" w:sz="0" w:space="0" w:color="auto"/>
            <w:left w:val="none" w:sz="0" w:space="0" w:color="auto"/>
            <w:bottom w:val="none" w:sz="0" w:space="0" w:color="auto"/>
            <w:right w:val="none" w:sz="0" w:space="0" w:color="auto"/>
          </w:divBdr>
        </w:div>
        <w:div w:id="1545677976">
          <w:marLeft w:val="0"/>
          <w:marRight w:val="0"/>
          <w:marTop w:val="0"/>
          <w:marBottom w:val="0"/>
          <w:divBdr>
            <w:top w:val="none" w:sz="0" w:space="0" w:color="auto"/>
            <w:left w:val="none" w:sz="0" w:space="0" w:color="auto"/>
            <w:bottom w:val="none" w:sz="0" w:space="0" w:color="auto"/>
            <w:right w:val="none" w:sz="0" w:space="0" w:color="auto"/>
          </w:divBdr>
        </w:div>
        <w:div w:id="1454179567">
          <w:marLeft w:val="0"/>
          <w:marRight w:val="0"/>
          <w:marTop w:val="0"/>
          <w:marBottom w:val="0"/>
          <w:divBdr>
            <w:top w:val="none" w:sz="0" w:space="0" w:color="auto"/>
            <w:left w:val="none" w:sz="0" w:space="0" w:color="auto"/>
            <w:bottom w:val="none" w:sz="0" w:space="0" w:color="auto"/>
            <w:right w:val="none" w:sz="0" w:space="0" w:color="auto"/>
          </w:divBdr>
        </w:div>
        <w:div w:id="1358655339">
          <w:marLeft w:val="0"/>
          <w:marRight w:val="0"/>
          <w:marTop w:val="0"/>
          <w:marBottom w:val="0"/>
          <w:divBdr>
            <w:top w:val="none" w:sz="0" w:space="0" w:color="auto"/>
            <w:left w:val="none" w:sz="0" w:space="0" w:color="auto"/>
            <w:bottom w:val="none" w:sz="0" w:space="0" w:color="auto"/>
            <w:right w:val="none" w:sz="0" w:space="0" w:color="auto"/>
          </w:divBdr>
        </w:div>
        <w:div w:id="53700827">
          <w:marLeft w:val="0"/>
          <w:marRight w:val="0"/>
          <w:marTop w:val="0"/>
          <w:marBottom w:val="0"/>
          <w:divBdr>
            <w:top w:val="none" w:sz="0" w:space="0" w:color="auto"/>
            <w:left w:val="none" w:sz="0" w:space="0" w:color="auto"/>
            <w:bottom w:val="none" w:sz="0" w:space="0" w:color="auto"/>
            <w:right w:val="none" w:sz="0" w:space="0" w:color="auto"/>
          </w:divBdr>
        </w:div>
        <w:div w:id="874585897">
          <w:marLeft w:val="0"/>
          <w:marRight w:val="0"/>
          <w:marTop w:val="0"/>
          <w:marBottom w:val="0"/>
          <w:divBdr>
            <w:top w:val="none" w:sz="0" w:space="0" w:color="auto"/>
            <w:left w:val="none" w:sz="0" w:space="0" w:color="auto"/>
            <w:bottom w:val="none" w:sz="0" w:space="0" w:color="auto"/>
            <w:right w:val="none" w:sz="0" w:space="0" w:color="auto"/>
          </w:divBdr>
        </w:div>
        <w:div w:id="81684926">
          <w:marLeft w:val="0"/>
          <w:marRight w:val="0"/>
          <w:marTop w:val="0"/>
          <w:marBottom w:val="0"/>
          <w:divBdr>
            <w:top w:val="none" w:sz="0" w:space="0" w:color="auto"/>
            <w:left w:val="none" w:sz="0" w:space="0" w:color="auto"/>
            <w:bottom w:val="none" w:sz="0" w:space="0" w:color="auto"/>
            <w:right w:val="none" w:sz="0" w:space="0" w:color="auto"/>
          </w:divBdr>
        </w:div>
        <w:div w:id="1235160764">
          <w:marLeft w:val="0"/>
          <w:marRight w:val="0"/>
          <w:marTop w:val="0"/>
          <w:marBottom w:val="0"/>
          <w:divBdr>
            <w:top w:val="none" w:sz="0" w:space="0" w:color="auto"/>
            <w:left w:val="none" w:sz="0" w:space="0" w:color="auto"/>
            <w:bottom w:val="none" w:sz="0" w:space="0" w:color="auto"/>
            <w:right w:val="none" w:sz="0" w:space="0" w:color="auto"/>
          </w:divBdr>
        </w:div>
        <w:div w:id="1460218531">
          <w:marLeft w:val="0"/>
          <w:marRight w:val="0"/>
          <w:marTop w:val="0"/>
          <w:marBottom w:val="0"/>
          <w:divBdr>
            <w:top w:val="none" w:sz="0" w:space="0" w:color="auto"/>
            <w:left w:val="none" w:sz="0" w:space="0" w:color="auto"/>
            <w:bottom w:val="none" w:sz="0" w:space="0" w:color="auto"/>
            <w:right w:val="none" w:sz="0" w:space="0" w:color="auto"/>
          </w:divBdr>
        </w:div>
      </w:divsChild>
    </w:div>
    <w:div w:id="1339768118">
      <w:bodyDiv w:val="1"/>
      <w:marLeft w:val="0"/>
      <w:marRight w:val="0"/>
      <w:marTop w:val="0"/>
      <w:marBottom w:val="0"/>
      <w:divBdr>
        <w:top w:val="none" w:sz="0" w:space="0" w:color="auto"/>
        <w:left w:val="none" w:sz="0" w:space="0" w:color="auto"/>
        <w:bottom w:val="none" w:sz="0" w:space="0" w:color="auto"/>
        <w:right w:val="none" w:sz="0" w:space="0" w:color="auto"/>
      </w:divBdr>
      <w:divsChild>
        <w:div w:id="128279314">
          <w:marLeft w:val="0"/>
          <w:marRight w:val="0"/>
          <w:marTop w:val="0"/>
          <w:marBottom w:val="0"/>
          <w:divBdr>
            <w:top w:val="none" w:sz="0" w:space="0" w:color="auto"/>
            <w:left w:val="none" w:sz="0" w:space="0" w:color="auto"/>
            <w:bottom w:val="none" w:sz="0" w:space="0" w:color="auto"/>
            <w:right w:val="none" w:sz="0" w:space="0" w:color="auto"/>
          </w:divBdr>
          <w:divsChild>
            <w:div w:id="318115407">
              <w:marLeft w:val="0"/>
              <w:marRight w:val="0"/>
              <w:marTop w:val="0"/>
              <w:marBottom w:val="0"/>
              <w:divBdr>
                <w:top w:val="none" w:sz="0" w:space="0" w:color="auto"/>
                <w:left w:val="none" w:sz="0" w:space="0" w:color="auto"/>
                <w:bottom w:val="none" w:sz="0" w:space="0" w:color="auto"/>
                <w:right w:val="none" w:sz="0" w:space="0" w:color="auto"/>
              </w:divBdr>
            </w:div>
            <w:div w:id="197474222">
              <w:marLeft w:val="0"/>
              <w:marRight w:val="0"/>
              <w:marTop w:val="0"/>
              <w:marBottom w:val="0"/>
              <w:divBdr>
                <w:top w:val="none" w:sz="0" w:space="0" w:color="auto"/>
                <w:left w:val="none" w:sz="0" w:space="0" w:color="auto"/>
                <w:bottom w:val="none" w:sz="0" w:space="0" w:color="auto"/>
                <w:right w:val="none" w:sz="0" w:space="0" w:color="auto"/>
              </w:divBdr>
            </w:div>
            <w:div w:id="519201907">
              <w:marLeft w:val="0"/>
              <w:marRight w:val="0"/>
              <w:marTop w:val="0"/>
              <w:marBottom w:val="0"/>
              <w:divBdr>
                <w:top w:val="none" w:sz="0" w:space="0" w:color="auto"/>
                <w:left w:val="none" w:sz="0" w:space="0" w:color="auto"/>
                <w:bottom w:val="none" w:sz="0" w:space="0" w:color="auto"/>
                <w:right w:val="none" w:sz="0" w:space="0" w:color="auto"/>
              </w:divBdr>
            </w:div>
            <w:div w:id="1072462128">
              <w:marLeft w:val="0"/>
              <w:marRight w:val="0"/>
              <w:marTop w:val="0"/>
              <w:marBottom w:val="0"/>
              <w:divBdr>
                <w:top w:val="none" w:sz="0" w:space="0" w:color="auto"/>
                <w:left w:val="none" w:sz="0" w:space="0" w:color="auto"/>
                <w:bottom w:val="none" w:sz="0" w:space="0" w:color="auto"/>
                <w:right w:val="none" w:sz="0" w:space="0" w:color="auto"/>
              </w:divBdr>
            </w:div>
            <w:div w:id="1526792512">
              <w:marLeft w:val="0"/>
              <w:marRight w:val="0"/>
              <w:marTop w:val="0"/>
              <w:marBottom w:val="0"/>
              <w:divBdr>
                <w:top w:val="none" w:sz="0" w:space="0" w:color="auto"/>
                <w:left w:val="none" w:sz="0" w:space="0" w:color="auto"/>
                <w:bottom w:val="none" w:sz="0" w:space="0" w:color="auto"/>
                <w:right w:val="none" w:sz="0" w:space="0" w:color="auto"/>
              </w:divBdr>
            </w:div>
            <w:div w:id="73017103">
              <w:marLeft w:val="0"/>
              <w:marRight w:val="0"/>
              <w:marTop w:val="0"/>
              <w:marBottom w:val="0"/>
              <w:divBdr>
                <w:top w:val="none" w:sz="0" w:space="0" w:color="auto"/>
                <w:left w:val="none" w:sz="0" w:space="0" w:color="auto"/>
                <w:bottom w:val="none" w:sz="0" w:space="0" w:color="auto"/>
                <w:right w:val="none" w:sz="0" w:space="0" w:color="auto"/>
              </w:divBdr>
            </w:div>
            <w:div w:id="75516111">
              <w:marLeft w:val="0"/>
              <w:marRight w:val="0"/>
              <w:marTop w:val="0"/>
              <w:marBottom w:val="0"/>
              <w:divBdr>
                <w:top w:val="none" w:sz="0" w:space="0" w:color="auto"/>
                <w:left w:val="none" w:sz="0" w:space="0" w:color="auto"/>
                <w:bottom w:val="none" w:sz="0" w:space="0" w:color="auto"/>
                <w:right w:val="none" w:sz="0" w:space="0" w:color="auto"/>
              </w:divBdr>
            </w:div>
            <w:div w:id="1513908594">
              <w:marLeft w:val="0"/>
              <w:marRight w:val="0"/>
              <w:marTop w:val="0"/>
              <w:marBottom w:val="0"/>
              <w:divBdr>
                <w:top w:val="none" w:sz="0" w:space="0" w:color="auto"/>
                <w:left w:val="none" w:sz="0" w:space="0" w:color="auto"/>
                <w:bottom w:val="none" w:sz="0" w:space="0" w:color="auto"/>
                <w:right w:val="none" w:sz="0" w:space="0" w:color="auto"/>
              </w:divBdr>
            </w:div>
            <w:div w:id="1717700815">
              <w:marLeft w:val="0"/>
              <w:marRight w:val="0"/>
              <w:marTop w:val="0"/>
              <w:marBottom w:val="0"/>
              <w:divBdr>
                <w:top w:val="none" w:sz="0" w:space="0" w:color="auto"/>
                <w:left w:val="none" w:sz="0" w:space="0" w:color="auto"/>
                <w:bottom w:val="none" w:sz="0" w:space="0" w:color="auto"/>
                <w:right w:val="none" w:sz="0" w:space="0" w:color="auto"/>
              </w:divBdr>
            </w:div>
            <w:div w:id="1906527311">
              <w:marLeft w:val="0"/>
              <w:marRight w:val="0"/>
              <w:marTop w:val="0"/>
              <w:marBottom w:val="0"/>
              <w:divBdr>
                <w:top w:val="none" w:sz="0" w:space="0" w:color="auto"/>
                <w:left w:val="none" w:sz="0" w:space="0" w:color="auto"/>
                <w:bottom w:val="none" w:sz="0" w:space="0" w:color="auto"/>
                <w:right w:val="none" w:sz="0" w:space="0" w:color="auto"/>
              </w:divBdr>
            </w:div>
            <w:div w:id="181358713">
              <w:marLeft w:val="0"/>
              <w:marRight w:val="0"/>
              <w:marTop w:val="0"/>
              <w:marBottom w:val="0"/>
              <w:divBdr>
                <w:top w:val="none" w:sz="0" w:space="0" w:color="auto"/>
                <w:left w:val="none" w:sz="0" w:space="0" w:color="auto"/>
                <w:bottom w:val="none" w:sz="0" w:space="0" w:color="auto"/>
                <w:right w:val="none" w:sz="0" w:space="0" w:color="auto"/>
              </w:divBdr>
            </w:div>
            <w:div w:id="1386832887">
              <w:marLeft w:val="0"/>
              <w:marRight w:val="0"/>
              <w:marTop w:val="0"/>
              <w:marBottom w:val="0"/>
              <w:divBdr>
                <w:top w:val="none" w:sz="0" w:space="0" w:color="auto"/>
                <w:left w:val="none" w:sz="0" w:space="0" w:color="auto"/>
                <w:bottom w:val="none" w:sz="0" w:space="0" w:color="auto"/>
                <w:right w:val="none" w:sz="0" w:space="0" w:color="auto"/>
              </w:divBdr>
            </w:div>
            <w:div w:id="616178141">
              <w:marLeft w:val="0"/>
              <w:marRight w:val="0"/>
              <w:marTop w:val="0"/>
              <w:marBottom w:val="0"/>
              <w:divBdr>
                <w:top w:val="none" w:sz="0" w:space="0" w:color="auto"/>
                <w:left w:val="none" w:sz="0" w:space="0" w:color="auto"/>
                <w:bottom w:val="none" w:sz="0" w:space="0" w:color="auto"/>
                <w:right w:val="none" w:sz="0" w:space="0" w:color="auto"/>
              </w:divBdr>
            </w:div>
            <w:div w:id="968897968">
              <w:marLeft w:val="0"/>
              <w:marRight w:val="0"/>
              <w:marTop w:val="0"/>
              <w:marBottom w:val="0"/>
              <w:divBdr>
                <w:top w:val="none" w:sz="0" w:space="0" w:color="auto"/>
                <w:left w:val="none" w:sz="0" w:space="0" w:color="auto"/>
                <w:bottom w:val="none" w:sz="0" w:space="0" w:color="auto"/>
                <w:right w:val="none" w:sz="0" w:space="0" w:color="auto"/>
              </w:divBdr>
            </w:div>
            <w:div w:id="1269194773">
              <w:marLeft w:val="0"/>
              <w:marRight w:val="0"/>
              <w:marTop w:val="0"/>
              <w:marBottom w:val="0"/>
              <w:divBdr>
                <w:top w:val="none" w:sz="0" w:space="0" w:color="auto"/>
                <w:left w:val="none" w:sz="0" w:space="0" w:color="auto"/>
                <w:bottom w:val="none" w:sz="0" w:space="0" w:color="auto"/>
                <w:right w:val="none" w:sz="0" w:space="0" w:color="auto"/>
              </w:divBdr>
            </w:div>
            <w:div w:id="484123159">
              <w:marLeft w:val="0"/>
              <w:marRight w:val="0"/>
              <w:marTop w:val="0"/>
              <w:marBottom w:val="0"/>
              <w:divBdr>
                <w:top w:val="none" w:sz="0" w:space="0" w:color="auto"/>
                <w:left w:val="none" w:sz="0" w:space="0" w:color="auto"/>
                <w:bottom w:val="none" w:sz="0" w:space="0" w:color="auto"/>
                <w:right w:val="none" w:sz="0" w:space="0" w:color="auto"/>
              </w:divBdr>
            </w:div>
            <w:div w:id="1854372156">
              <w:marLeft w:val="0"/>
              <w:marRight w:val="0"/>
              <w:marTop w:val="0"/>
              <w:marBottom w:val="0"/>
              <w:divBdr>
                <w:top w:val="none" w:sz="0" w:space="0" w:color="auto"/>
                <w:left w:val="none" w:sz="0" w:space="0" w:color="auto"/>
                <w:bottom w:val="none" w:sz="0" w:space="0" w:color="auto"/>
                <w:right w:val="none" w:sz="0" w:space="0" w:color="auto"/>
              </w:divBdr>
            </w:div>
            <w:div w:id="291863818">
              <w:marLeft w:val="0"/>
              <w:marRight w:val="0"/>
              <w:marTop w:val="0"/>
              <w:marBottom w:val="0"/>
              <w:divBdr>
                <w:top w:val="none" w:sz="0" w:space="0" w:color="auto"/>
                <w:left w:val="none" w:sz="0" w:space="0" w:color="auto"/>
                <w:bottom w:val="none" w:sz="0" w:space="0" w:color="auto"/>
                <w:right w:val="none" w:sz="0" w:space="0" w:color="auto"/>
              </w:divBdr>
            </w:div>
            <w:div w:id="117265808">
              <w:marLeft w:val="0"/>
              <w:marRight w:val="0"/>
              <w:marTop w:val="0"/>
              <w:marBottom w:val="0"/>
              <w:divBdr>
                <w:top w:val="none" w:sz="0" w:space="0" w:color="auto"/>
                <w:left w:val="none" w:sz="0" w:space="0" w:color="auto"/>
                <w:bottom w:val="none" w:sz="0" w:space="0" w:color="auto"/>
                <w:right w:val="none" w:sz="0" w:space="0" w:color="auto"/>
              </w:divBdr>
            </w:div>
            <w:div w:id="589655267">
              <w:marLeft w:val="0"/>
              <w:marRight w:val="0"/>
              <w:marTop w:val="0"/>
              <w:marBottom w:val="0"/>
              <w:divBdr>
                <w:top w:val="none" w:sz="0" w:space="0" w:color="auto"/>
                <w:left w:val="none" w:sz="0" w:space="0" w:color="auto"/>
                <w:bottom w:val="none" w:sz="0" w:space="0" w:color="auto"/>
                <w:right w:val="none" w:sz="0" w:space="0" w:color="auto"/>
              </w:divBdr>
            </w:div>
            <w:div w:id="1831209273">
              <w:marLeft w:val="0"/>
              <w:marRight w:val="0"/>
              <w:marTop w:val="0"/>
              <w:marBottom w:val="0"/>
              <w:divBdr>
                <w:top w:val="none" w:sz="0" w:space="0" w:color="auto"/>
                <w:left w:val="none" w:sz="0" w:space="0" w:color="auto"/>
                <w:bottom w:val="none" w:sz="0" w:space="0" w:color="auto"/>
                <w:right w:val="none" w:sz="0" w:space="0" w:color="auto"/>
              </w:divBdr>
            </w:div>
            <w:div w:id="1632663228">
              <w:marLeft w:val="0"/>
              <w:marRight w:val="0"/>
              <w:marTop w:val="0"/>
              <w:marBottom w:val="0"/>
              <w:divBdr>
                <w:top w:val="none" w:sz="0" w:space="0" w:color="auto"/>
                <w:left w:val="none" w:sz="0" w:space="0" w:color="auto"/>
                <w:bottom w:val="none" w:sz="0" w:space="0" w:color="auto"/>
                <w:right w:val="none" w:sz="0" w:space="0" w:color="auto"/>
              </w:divBdr>
            </w:div>
            <w:div w:id="663168865">
              <w:marLeft w:val="0"/>
              <w:marRight w:val="0"/>
              <w:marTop w:val="0"/>
              <w:marBottom w:val="0"/>
              <w:divBdr>
                <w:top w:val="none" w:sz="0" w:space="0" w:color="auto"/>
                <w:left w:val="none" w:sz="0" w:space="0" w:color="auto"/>
                <w:bottom w:val="none" w:sz="0" w:space="0" w:color="auto"/>
                <w:right w:val="none" w:sz="0" w:space="0" w:color="auto"/>
              </w:divBdr>
            </w:div>
            <w:div w:id="1352949288">
              <w:marLeft w:val="0"/>
              <w:marRight w:val="0"/>
              <w:marTop w:val="0"/>
              <w:marBottom w:val="0"/>
              <w:divBdr>
                <w:top w:val="none" w:sz="0" w:space="0" w:color="auto"/>
                <w:left w:val="none" w:sz="0" w:space="0" w:color="auto"/>
                <w:bottom w:val="none" w:sz="0" w:space="0" w:color="auto"/>
                <w:right w:val="none" w:sz="0" w:space="0" w:color="auto"/>
              </w:divBdr>
            </w:div>
            <w:div w:id="1308048515">
              <w:marLeft w:val="0"/>
              <w:marRight w:val="0"/>
              <w:marTop w:val="0"/>
              <w:marBottom w:val="0"/>
              <w:divBdr>
                <w:top w:val="none" w:sz="0" w:space="0" w:color="auto"/>
                <w:left w:val="none" w:sz="0" w:space="0" w:color="auto"/>
                <w:bottom w:val="none" w:sz="0" w:space="0" w:color="auto"/>
                <w:right w:val="none" w:sz="0" w:space="0" w:color="auto"/>
              </w:divBdr>
            </w:div>
            <w:div w:id="126047796">
              <w:marLeft w:val="0"/>
              <w:marRight w:val="0"/>
              <w:marTop w:val="0"/>
              <w:marBottom w:val="0"/>
              <w:divBdr>
                <w:top w:val="none" w:sz="0" w:space="0" w:color="auto"/>
                <w:left w:val="none" w:sz="0" w:space="0" w:color="auto"/>
                <w:bottom w:val="none" w:sz="0" w:space="0" w:color="auto"/>
                <w:right w:val="none" w:sz="0" w:space="0" w:color="auto"/>
              </w:divBdr>
            </w:div>
            <w:div w:id="1018237768">
              <w:marLeft w:val="0"/>
              <w:marRight w:val="0"/>
              <w:marTop w:val="0"/>
              <w:marBottom w:val="0"/>
              <w:divBdr>
                <w:top w:val="none" w:sz="0" w:space="0" w:color="auto"/>
                <w:left w:val="none" w:sz="0" w:space="0" w:color="auto"/>
                <w:bottom w:val="none" w:sz="0" w:space="0" w:color="auto"/>
                <w:right w:val="none" w:sz="0" w:space="0" w:color="auto"/>
              </w:divBdr>
            </w:div>
            <w:div w:id="1037269387">
              <w:marLeft w:val="0"/>
              <w:marRight w:val="0"/>
              <w:marTop w:val="0"/>
              <w:marBottom w:val="0"/>
              <w:divBdr>
                <w:top w:val="none" w:sz="0" w:space="0" w:color="auto"/>
                <w:left w:val="none" w:sz="0" w:space="0" w:color="auto"/>
                <w:bottom w:val="none" w:sz="0" w:space="0" w:color="auto"/>
                <w:right w:val="none" w:sz="0" w:space="0" w:color="auto"/>
              </w:divBdr>
            </w:div>
            <w:div w:id="1735155469">
              <w:marLeft w:val="0"/>
              <w:marRight w:val="0"/>
              <w:marTop w:val="0"/>
              <w:marBottom w:val="0"/>
              <w:divBdr>
                <w:top w:val="none" w:sz="0" w:space="0" w:color="auto"/>
                <w:left w:val="none" w:sz="0" w:space="0" w:color="auto"/>
                <w:bottom w:val="none" w:sz="0" w:space="0" w:color="auto"/>
                <w:right w:val="none" w:sz="0" w:space="0" w:color="auto"/>
              </w:divBdr>
            </w:div>
            <w:div w:id="620452381">
              <w:marLeft w:val="0"/>
              <w:marRight w:val="0"/>
              <w:marTop w:val="0"/>
              <w:marBottom w:val="0"/>
              <w:divBdr>
                <w:top w:val="none" w:sz="0" w:space="0" w:color="auto"/>
                <w:left w:val="none" w:sz="0" w:space="0" w:color="auto"/>
                <w:bottom w:val="none" w:sz="0" w:space="0" w:color="auto"/>
                <w:right w:val="none" w:sz="0" w:space="0" w:color="auto"/>
              </w:divBdr>
            </w:div>
            <w:div w:id="656110033">
              <w:marLeft w:val="0"/>
              <w:marRight w:val="0"/>
              <w:marTop w:val="0"/>
              <w:marBottom w:val="0"/>
              <w:divBdr>
                <w:top w:val="none" w:sz="0" w:space="0" w:color="auto"/>
                <w:left w:val="none" w:sz="0" w:space="0" w:color="auto"/>
                <w:bottom w:val="none" w:sz="0" w:space="0" w:color="auto"/>
                <w:right w:val="none" w:sz="0" w:space="0" w:color="auto"/>
              </w:divBdr>
            </w:div>
            <w:div w:id="2135097910">
              <w:marLeft w:val="0"/>
              <w:marRight w:val="0"/>
              <w:marTop w:val="0"/>
              <w:marBottom w:val="0"/>
              <w:divBdr>
                <w:top w:val="none" w:sz="0" w:space="0" w:color="auto"/>
                <w:left w:val="none" w:sz="0" w:space="0" w:color="auto"/>
                <w:bottom w:val="none" w:sz="0" w:space="0" w:color="auto"/>
                <w:right w:val="none" w:sz="0" w:space="0" w:color="auto"/>
              </w:divBdr>
            </w:div>
            <w:div w:id="1736471638">
              <w:marLeft w:val="0"/>
              <w:marRight w:val="0"/>
              <w:marTop w:val="0"/>
              <w:marBottom w:val="0"/>
              <w:divBdr>
                <w:top w:val="none" w:sz="0" w:space="0" w:color="auto"/>
                <w:left w:val="none" w:sz="0" w:space="0" w:color="auto"/>
                <w:bottom w:val="none" w:sz="0" w:space="0" w:color="auto"/>
                <w:right w:val="none" w:sz="0" w:space="0" w:color="auto"/>
              </w:divBdr>
            </w:div>
            <w:div w:id="10482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9218">
      <w:bodyDiv w:val="1"/>
      <w:marLeft w:val="0"/>
      <w:marRight w:val="0"/>
      <w:marTop w:val="0"/>
      <w:marBottom w:val="0"/>
      <w:divBdr>
        <w:top w:val="none" w:sz="0" w:space="0" w:color="auto"/>
        <w:left w:val="none" w:sz="0" w:space="0" w:color="auto"/>
        <w:bottom w:val="none" w:sz="0" w:space="0" w:color="auto"/>
        <w:right w:val="none" w:sz="0" w:space="0" w:color="auto"/>
      </w:divBdr>
      <w:divsChild>
        <w:div w:id="1822890159">
          <w:marLeft w:val="0"/>
          <w:marRight w:val="0"/>
          <w:marTop w:val="0"/>
          <w:marBottom w:val="0"/>
          <w:divBdr>
            <w:top w:val="none" w:sz="0" w:space="0" w:color="auto"/>
            <w:left w:val="none" w:sz="0" w:space="0" w:color="auto"/>
            <w:bottom w:val="none" w:sz="0" w:space="0" w:color="auto"/>
            <w:right w:val="none" w:sz="0" w:space="0" w:color="auto"/>
          </w:divBdr>
        </w:div>
        <w:div w:id="231083979">
          <w:marLeft w:val="0"/>
          <w:marRight w:val="0"/>
          <w:marTop w:val="0"/>
          <w:marBottom w:val="0"/>
          <w:divBdr>
            <w:top w:val="none" w:sz="0" w:space="0" w:color="auto"/>
            <w:left w:val="none" w:sz="0" w:space="0" w:color="auto"/>
            <w:bottom w:val="none" w:sz="0" w:space="0" w:color="auto"/>
            <w:right w:val="none" w:sz="0" w:space="0" w:color="auto"/>
          </w:divBdr>
        </w:div>
        <w:div w:id="1855993786">
          <w:marLeft w:val="0"/>
          <w:marRight w:val="0"/>
          <w:marTop w:val="0"/>
          <w:marBottom w:val="0"/>
          <w:divBdr>
            <w:top w:val="none" w:sz="0" w:space="0" w:color="auto"/>
            <w:left w:val="none" w:sz="0" w:space="0" w:color="auto"/>
            <w:bottom w:val="none" w:sz="0" w:space="0" w:color="auto"/>
            <w:right w:val="none" w:sz="0" w:space="0" w:color="auto"/>
          </w:divBdr>
        </w:div>
        <w:div w:id="1944413855">
          <w:marLeft w:val="0"/>
          <w:marRight w:val="0"/>
          <w:marTop w:val="0"/>
          <w:marBottom w:val="0"/>
          <w:divBdr>
            <w:top w:val="none" w:sz="0" w:space="0" w:color="auto"/>
            <w:left w:val="none" w:sz="0" w:space="0" w:color="auto"/>
            <w:bottom w:val="none" w:sz="0" w:space="0" w:color="auto"/>
            <w:right w:val="none" w:sz="0" w:space="0" w:color="auto"/>
          </w:divBdr>
        </w:div>
        <w:div w:id="391346817">
          <w:marLeft w:val="0"/>
          <w:marRight w:val="0"/>
          <w:marTop w:val="0"/>
          <w:marBottom w:val="0"/>
          <w:divBdr>
            <w:top w:val="none" w:sz="0" w:space="0" w:color="auto"/>
            <w:left w:val="none" w:sz="0" w:space="0" w:color="auto"/>
            <w:bottom w:val="none" w:sz="0" w:space="0" w:color="auto"/>
            <w:right w:val="none" w:sz="0" w:space="0" w:color="auto"/>
          </w:divBdr>
        </w:div>
      </w:divsChild>
    </w:div>
    <w:div w:id="1343708058">
      <w:bodyDiv w:val="1"/>
      <w:marLeft w:val="0"/>
      <w:marRight w:val="0"/>
      <w:marTop w:val="0"/>
      <w:marBottom w:val="0"/>
      <w:divBdr>
        <w:top w:val="none" w:sz="0" w:space="0" w:color="auto"/>
        <w:left w:val="none" w:sz="0" w:space="0" w:color="auto"/>
        <w:bottom w:val="none" w:sz="0" w:space="0" w:color="auto"/>
        <w:right w:val="none" w:sz="0" w:space="0" w:color="auto"/>
      </w:divBdr>
      <w:divsChild>
        <w:div w:id="1375077281">
          <w:marLeft w:val="0"/>
          <w:marRight w:val="0"/>
          <w:marTop w:val="0"/>
          <w:marBottom w:val="0"/>
          <w:divBdr>
            <w:top w:val="none" w:sz="0" w:space="0" w:color="auto"/>
            <w:left w:val="none" w:sz="0" w:space="0" w:color="auto"/>
            <w:bottom w:val="none" w:sz="0" w:space="0" w:color="auto"/>
            <w:right w:val="none" w:sz="0" w:space="0" w:color="auto"/>
          </w:divBdr>
        </w:div>
        <w:div w:id="1182670070">
          <w:marLeft w:val="0"/>
          <w:marRight w:val="0"/>
          <w:marTop w:val="0"/>
          <w:marBottom w:val="0"/>
          <w:divBdr>
            <w:top w:val="none" w:sz="0" w:space="0" w:color="auto"/>
            <w:left w:val="none" w:sz="0" w:space="0" w:color="auto"/>
            <w:bottom w:val="none" w:sz="0" w:space="0" w:color="auto"/>
            <w:right w:val="none" w:sz="0" w:space="0" w:color="auto"/>
          </w:divBdr>
        </w:div>
        <w:div w:id="579943192">
          <w:marLeft w:val="0"/>
          <w:marRight w:val="0"/>
          <w:marTop w:val="0"/>
          <w:marBottom w:val="0"/>
          <w:divBdr>
            <w:top w:val="none" w:sz="0" w:space="0" w:color="auto"/>
            <w:left w:val="none" w:sz="0" w:space="0" w:color="auto"/>
            <w:bottom w:val="none" w:sz="0" w:space="0" w:color="auto"/>
            <w:right w:val="none" w:sz="0" w:space="0" w:color="auto"/>
          </w:divBdr>
        </w:div>
        <w:div w:id="324817306">
          <w:marLeft w:val="0"/>
          <w:marRight w:val="0"/>
          <w:marTop w:val="0"/>
          <w:marBottom w:val="0"/>
          <w:divBdr>
            <w:top w:val="none" w:sz="0" w:space="0" w:color="auto"/>
            <w:left w:val="none" w:sz="0" w:space="0" w:color="auto"/>
            <w:bottom w:val="none" w:sz="0" w:space="0" w:color="auto"/>
            <w:right w:val="none" w:sz="0" w:space="0" w:color="auto"/>
          </w:divBdr>
        </w:div>
        <w:div w:id="800226521">
          <w:marLeft w:val="0"/>
          <w:marRight w:val="0"/>
          <w:marTop w:val="0"/>
          <w:marBottom w:val="0"/>
          <w:divBdr>
            <w:top w:val="none" w:sz="0" w:space="0" w:color="auto"/>
            <w:left w:val="none" w:sz="0" w:space="0" w:color="auto"/>
            <w:bottom w:val="none" w:sz="0" w:space="0" w:color="auto"/>
            <w:right w:val="none" w:sz="0" w:space="0" w:color="auto"/>
          </w:divBdr>
        </w:div>
        <w:div w:id="1223836348">
          <w:marLeft w:val="0"/>
          <w:marRight w:val="0"/>
          <w:marTop w:val="0"/>
          <w:marBottom w:val="0"/>
          <w:divBdr>
            <w:top w:val="none" w:sz="0" w:space="0" w:color="auto"/>
            <w:left w:val="none" w:sz="0" w:space="0" w:color="auto"/>
            <w:bottom w:val="none" w:sz="0" w:space="0" w:color="auto"/>
            <w:right w:val="none" w:sz="0" w:space="0" w:color="auto"/>
          </w:divBdr>
        </w:div>
        <w:div w:id="1189105793">
          <w:marLeft w:val="0"/>
          <w:marRight w:val="0"/>
          <w:marTop w:val="0"/>
          <w:marBottom w:val="0"/>
          <w:divBdr>
            <w:top w:val="none" w:sz="0" w:space="0" w:color="auto"/>
            <w:left w:val="none" w:sz="0" w:space="0" w:color="auto"/>
            <w:bottom w:val="none" w:sz="0" w:space="0" w:color="auto"/>
            <w:right w:val="none" w:sz="0" w:space="0" w:color="auto"/>
          </w:divBdr>
        </w:div>
        <w:div w:id="12415830">
          <w:marLeft w:val="0"/>
          <w:marRight w:val="0"/>
          <w:marTop w:val="0"/>
          <w:marBottom w:val="0"/>
          <w:divBdr>
            <w:top w:val="none" w:sz="0" w:space="0" w:color="auto"/>
            <w:left w:val="none" w:sz="0" w:space="0" w:color="auto"/>
            <w:bottom w:val="none" w:sz="0" w:space="0" w:color="auto"/>
            <w:right w:val="none" w:sz="0" w:space="0" w:color="auto"/>
          </w:divBdr>
        </w:div>
        <w:div w:id="1194538121">
          <w:marLeft w:val="0"/>
          <w:marRight w:val="0"/>
          <w:marTop w:val="0"/>
          <w:marBottom w:val="0"/>
          <w:divBdr>
            <w:top w:val="none" w:sz="0" w:space="0" w:color="auto"/>
            <w:left w:val="none" w:sz="0" w:space="0" w:color="auto"/>
            <w:bottom w:val="none" w:sz="0" w:space="0" w:color="auto"/>
            <w:right w:val="none" w:sz="0" w:space="0" w:color="auto"/>
          </w:divBdr>
        </w:div>
        <w:div w:id="184877195">
          <w:marLeft w:val="0"/>
          <w:marRight w:val="0"/>
          <w:marTop w:val="0"/>
          <w:marBottom w:val="0"/>
          <w:divBdr>
            <w:top w:val="none" w:sz="0" w:space="0" w:color="auto"/>
            <w:left w:val="none" w:sz="0" w:space="0" w:color="auto"/>
            <w:bottom w:val="none" w:sz="0" w:space="0" w:color="auto"/>
            <w:right w:val="none" w:sz="0" w:space="0" w:color="auto"/>
          </w:divBdr>
        </w:div>
        <w:div w:id="1583642887">
          <w:marLeft w:val="0"/>
          <w:marRight w:val="0"/>
          <w:marTop w:val="0"/>
          <w:marBottom w:val="0"/>
          <w:divBdr>
            <w:top w:val="none" w:sz="0" w:space="0" w:color="auto"/>
            <w:left w:val="none" w:sz="0" w:space="0" w:color="auto"/>
            <w:bottom w:val="none" w:sz="0" w:space="0" w:color="auto"/>
            <w:right w:val="none" w:sz="0" w:space="0" w:color="auto"/>
          </w:divBdr>
        </w:div>
        <w:div w:id="721445568">
          <w:marLeft w:val="0"/>
          <w:marRight w:val="0"/>
          <w:marTop w:val="0"/>
          <w:marBottom w:val="0"/>
          <w:divBdr>
            <w:top w:val="none" w:sz="0" w:space="0" w:color="auto"/>
            <w:left w:val="none" w:sz="0" w:space="0" w:color="auto"/>
            <w:bottom w:val="none" w:sz="0" w:space="0" w:color="auto"/>
            <w:right w:val="none" w:sz="0" w:space="0" w:color="auto"/>
          </w:divBdr>
        </w:div>
        <w:div w:id="1938756811">
          <w:marLeft w:val="0"/>
          <w:marRight w:val="0"/>
          <w:marTop w:val="0"/>
          <w:marBottom w:val="0"/>
          <w:divBdr>
            <w:top w:val="none" w:sz="0" w:space="0" w:color="auto"/>
            <w:left w:val="none" w:sz="0" w:space="0" w:color="auto"/>
            <w:bottom w:val="none" w:sz="0" w:space="0" w:color="auto"/>
            <w:right w:val="none" w:sz="0" w:space="0" w:color="auto"/>
          </w:divBdr>
        </w:div>
      </w:divsChild>
    </w:div>
    <w:div w:id="1358895396">
      <w:bodyDiv w:val="1"/>
      <w:marLeft w:val="0"/>
      <w:marRight w:val="0"/>
      <w:marTop w:val="0"/>
      <w:marBottom w:val="0"/>
      <w:divBdr>
        <w:top w:val="none" w:sz="0" w:space="0" w:color="auto"/>
        <w:left w:val="none" w:sz="0" w:space="0" w:color="auto"/>
        <w:bottom w:val="none" w:sz="0" w:space="0" w:color="auto"/>
        <w:right w:val="none" w:sz="0" w:space="0" w:color="auto"/>
      </w:divBdr>
      <w:divsChild>
        <w:div w:id="1320379108">
          <w:marLeft w:val="0"/>
          <w:marRight w:val="0"/>
          <w:marTop w:val="0"/>
          <w:marBottom w:val="0"/>
          <w:divBdr>
            <w:top w:val="none" w:sz="0" w:space="0" w:color="auto"/>
            <w:left w:val="none" w:sz="0" w:space="0" w:color="auto"/>
            <w:bottom w:val="none" w:sz="0" w:space="0" w:color="auto"/>
            <w:right w:val="none" w:sz="0" w:space="0" w:color="auto"/>
          </w:divBdr>
        </w:div>
        <w:div w:id="1850440672">
          <w:marLeft w:val="0"/>
          <w:marRight w:val="0"/>
          <w:marTop w:val="0"/>
          <w:marBottom w:val="0"/>
          <w:divBdr>
            <w:top w:val="none" w:sz="0" w:space="0" w:color="auto"/>
            <w:left w:val="none" w:sz="0" w:space="0" w:color="auto"/>
            <w:bottom w:val="none" w:sz="0" w:space="0" w:color="auto"/>
            <w:right w:val="none" w:sz="0" w:space="0" w:color="auto"/>
          </w:divBdr>
        </w:div>
        <w:div w:id="1945379213">
          <w:marLeft w:val="0"/>
          <w:marRight w:val="0"/>
          <w:marTop w:val="0"/>
          <w:marBottom w:val="0"/>
          <w:divBdr>
            <w:top w:val="none" w:sz="0" w:space="0" w:color="auto"/>
            <w:left w:val="none" w:sz="0" w:space="0" w:color="auto"/>
            <w:bottom w:val="none" w:sz="0" w:space="0" w:color="auto"/>
            <w:right w:val="none" w:sz="0" w:space="0" w:color="auto"/>
          </w:divBdr>
        </w:div>
        <w:div w:id="626468785">
          <w:marLeft w:val="0"/>
          <w:marRight w:val="0"/>
          <w:marTop w:val="0"/>
          <w:marBottom w:val="0"/>
          <w:divBdr>
            <w:top w:val="none" w:sz="0" w:space="0" w:color="auto"/>
            <w:left w:val="none" w:sz="0" w:space="0" w:color="auto"/>
            <w:bottom w:val="none" w:sz="0" w:space="0" w:color="auto"/>
            <w:right w:val="none" w:sz="0" w:space="0" w:color="auto"/>
          </w:divBdr>
        </w:div>
        <w:div w:id="1316715370">
          <w:marLeft w:val="0"/>
          <w:marRight w:val="0"/>
          <w:marTop w:val="0"/>
          <w:marBottom w:val="0"/>
          <w:divBdr>
            <w:top w:val="none" w:sz="0" w:space="0" w:color="auto"/>
            <w:left w:val="none" w:sz="0" w:space="0" w:color="auto"/>
            <w:bottom w:val="none" w:sz="0" w:space="0" w:color="auto"/>
            <w:right w:val="none" w:sz="0" w:space="0" w:color="auto"/>
          </w:divBdr>
        </w:div>
      </w:divsChild>
    </w:div>
    <w:div w:id="1375421658">
      <w:bodyDiv w:val="1"/>
      <w:marLeft w:val="0"/>
      <w:marRight w:val="0"/>
      <w:marTop w:val="0"/>
      <w:marBottom w:val="0"/>
      <w:divBdr>
        <w:top w:val="none" w:sz="0" w:space="0" w:color="auto"/>
        <w:left w:val="none" w:sz="0" w:space="0" w:color="auto"/>
        <w:bottom w:val="none" w:sz="0" w:space="0" w:color="auto"/>
        <w:right w:val="none" w:sz="0" w:space="0" w:color="auto"/>
      </w:divBdr>
    </w:div>
    <w:div w:id="1408503853">
      <w:bodyDiv w:val="1"/>
      <w:marLeft w:val="0"/>
      <w:marRight w:val="0"/>
      <w:marTop w:val="0"/>
      <w:marBottom w:val="0"/>
      <w:divBdr>
        <w:top w:val="none" w:sz="0" w:space="0" w:color="auto"/>
        <w:left w:val="none" w:sz="0" w:space="0" w:color="auto"/>
        <w:bottom w:val="none" w:sz="0" w:space="0" w:color="auto"/>
        <w:right w:val="none" w:sz="0" w:space="0" w:color="auto"/>
      </w:divBdr>
      <w:divsChild>
        <w:div w:id="684095534">
          <w:marLeft w:val="0"/>
          <w:marRight w:val="0"/>
          <w:marTop w:val="0"/>
          <w:marBottom w:val="0"/>
          <w:divBdr>
            <w:top w:val="none" w:sz="0" w:space="0" w:color="auto"/>
            <w:left w:val="none" w:sz="0" w:space="0" w:color="auto"/>
            <w:bottom w:val="none" w:sz="0" w:space="0" w:color="auto"/>
            <w:right w:val="none" w:sz="0" w:space="0" w:color="auto"/>
          </w:divBdr>
        </w:div>
        <w:div w:id="800802228">
          <w:marLeft w:val="0"/>
          <w:marRight w:val="0"/>
          <w:marTop w:val="0"/>
          <w:marBottom w:val="0"/>
          <w:divBdr>
            <w:top w:val="none" w:sz="0" w:space="0" w:color="auto"/>
            <w:left w:val="none" w:sz="0" w:space="0" w:color="auto"/>
            <w:bottom w:val="none" w:sz="0" w:space="0" w:color="auto"/>
            <w:right w:val="none" w:sz="0" w:space="0" w:color="auto"/>
          </w:divBdr>
        </w:div>
        <w:div w:id="456990656">
          <w:marLeft w:val="0"/>
          <w:marRight w:val="0"/>
          <w:marTop w:val="0"/>
          <w:marBottom w:val="0"/>
          <w:divBdr>
            <w:top w:val="none" w:sz="0" w:space="0" w:color="auto"/>
            <w:left w:val="none" w:sz="0" w:space="0" w:color="auto"/>
            <w:bottom w:val="none" w:sz="0" w:space="0" w:color="auto"/>
            <w:right w:val="none" w:sz="0" w:space="0" w:color="auto"/>
          </w:divBdr>
        </w:div>
        <w:div w:id="117067975">
          <w:marLeft w:val="0"/>
          <w:marRight w:val="0"/>
          <w:marTop w:val="0"/>
          <w:marBottom w:val="0"/>
          <w:divBdr>
            <w:top w:val="none" w:sz="0" w:space="0" w:color="auto"/>
            <w:left w:val="none" w:sz="0" w:space="0" w:color="auto"/>
            <w:bottom w:val="none" w:sz="0" w:space="0" w:color="auto"/>
            <w:right w:val="none" w:sz="0" w:space="0" w:color="auto"/>
          </w:divBdr>
        </w:div>
        <w:div w:id="2004165234">
          <w:marLeft w:val="0"/>
          <w:marRight w:val="0"/>
          <w:marTop w:val="0"/>
          <w:marBottom w:val="0"/>
          <w:divBdr>
            <w:top w:val="none" w:sz="0" w:space="0" w:color="auto"/>
            <w:left w:val="none" w:sz="0" w:space="0" w:color="auto"/>
            <w:bottom w:val="none" w:sz="0" w:space="0" w:color="auto"/>
            <w:right w:val="none" w:sz="0" w:space="0" w:color="auto"/>
          </w:divBdr>
        </w:div>
        <w:div w:id="341788283">
          <w:marLeft w:val="0"/>
          <w:marRight w:val="0"/>
          <w:marTop w:val="0"/>
          <w:marBottom w:val="0"/>
          <w:divBdr>
            <w:top w:val="none" w:sz="0" w:space="0" w:color="auto"/>
            <w:left w:val="none" w:sz="0" w:space="0" w:color="auto"/>
            <w:bottom w:val="none" w:sz="0" w:space="0" w:color="auto"/>
            <w:right w:val="none" w:sz="0" w:space="0" w:color="auto"/>
          </w:divBdr>
        </w:div>
        <w:div w:id="1885095600">
          <w:marLeft w:val="0"/>
          <w:marRight w:val="0"/>
          <w:marTop w:val="0"/>
          <w:marBottom w:val="0"/>
          <w:divBdr>
            <w:top w:val="none" w:sz="0" w:space="0" w:color="auto"/>
            <w:left w:val="none" w:sz="0" w:space="0" w:color="auto"/>
            <w:bottom w:val="none" w:sz="0" w:space="0" w:color="auto"/>
            <w:right w:val="none" w:sz="0" w:space="0" w:color="auto"/>
          </w:divBdr>
        </w:div>
        <w:div w:id="1782456725">
          <w:marLeft w:val="0"/>
          <w:marRight w:val="0"/>
          <w:marTop w:val="0"/>
          <w:marBottom w:val="0"/>
          <w:divBdr>
            <w:top w:val="none" w:sz="0" w:space="0" w:color="auto"/>
            <w:left w:val="none" w:sz="0" w:space="0" w:color="auto"/>
            <w:bottom w:val="none" w:sz="0" w:space="0" w:color="auto"/>
            <w:right w:val="none" w:sz="0" w:space="0" w:color="auto"/>
          </w:divBdr>
        </w:div>
        <w:div w:id="1466436305">
          <w:marLeft w:val="0"/>
          <w:marRight w:val="0"/>
          <w:marTop w:val="0"/>
          <w:marBottom w:val="0"/>
          <w:divBdr>
            <w:top w:val="none" w:sz="0" w:space="0" w:color="auto"/>
            <w:left w:val="none" w:sz="0" w:space="0" w:color="auto"/>
            <w:bottom w:val="none" w:sz="0" w:space="0" w:color="auto"/>
            <w:right w:val="none" w:sz="0" w:space="0" w:color="auto"/>
          </w:divBdr>
        </w:div>
        <w:div w:id="169030427">
          <w:marLeft w:val="0"/>
          <w:marRight w:val="0"/>
          <w:marTop w:val="0"/>
          <w:marBottom w:val="0"/>
          <w:divBdr>
            <w:top w:val="none" w:sz="0" w:space="0" w:color="auto"/>
            <w:left w:val="none" w:sz="0" w:space="0" w:color="auto"/>
            <w:bottom w:val="none" w:sz="0" w:space="0" w:color="auto"/>
            <w:right w:val="none" w:sz="0" w:space="0" w:color="auto"/>
          </w:divBdr>
        </w:div>
        <w:div w:id="399602480">
          <w:marLeft w:val="0"/>
          <w:marRight w:val="0"/>
          <w:marTop w:val="0"/>
          <w:marBottom w:val="0"/>
          <w:divBdr>
            <w:top w:val="none" w:sz="0" w:space="0" w:color="auto"/>
            <w:left w:val="none" w:sz="0" w:space="0" w:color="auto"/>
            <w:bottom w:val="none" w:sz="0" w:space="0" w:color="auto"/>
            <w:right w:val="none" w:sz="0" w:space="0" w:color="auto"/>
          </w:divBdr>
        </w:div>
        <w:div w:id="462310179">
          <w:marLeft w:val="0"/>
          <w:marRight w:val="0"/>
          <w:marTop w:val="0"/>
          <w:marBottom w:val="0"/>
          <w:divBdr>
            <w:top w:val="none" w:sz="0" w:space="0" w:color="auto"/>
            <w:left w:val="none" w:sz="0" w:space="0" w:color="auto"/>
            <w:bottom w:val="none" w:sz="0" w:space="0" w:color="auto"/>
            <w:right w:val="none" w:sz="0" w:space="0" w:color="auto"/>
          </w:divBdr>
        </w:div>
        <w:div w:id="277492603">
          <w:marLeft w:val="0"/>
          <w:marRight w:val="0"/>
          <w:marTop w:val="0"/>
          <w:marBottom w:val="0"/>
          <w:divBdr>
            <w:top w:val="none" w:sz="0" w:space="0" w:color="auto"/>
            <w:left w:val="none" w:sz="0" w:space="0" w:color="auto"/>
            <w:bottom w:val="none" w:sz="0" w:space="0" w:color="auto"/>
            <w:right w:val="none" w:sz="0" w:space="0" w:color="auto"/>
          </w:divBdr>
        </w:div>
        <w:div w:id="281308957">
          <w:marLeft w:val="0"/>
          <w:marRight w:val="0"/>
          <w:marTop w:val="0"/>
          <w:marBottom w:val="0"/>
          <w:divBdr>
            <w:top w:val="none" w:sz="0" w:space="0" w:color="auto"/>
            <w:left w:val="none" w:sz="0" w:space="0" w:color="auto"/>
            <w:bottom w:val="none" w:sz="0" w:space="0" w:color="auto"/>
            <w:right w:val="none" w:sz="0" w:space="0" w:color="auto"/>
          </w:divBdr>
        </w:div>
        <w:div w:id="1519847825">
          <w:marLeft w:val="0"/>
          <w:marRight w:val="0"/>
          <w:marTop w:val="0"/>
          <w:marBottom w:val="0"/>
          <w:divBdr>
            <w:top w:val="none" w:sz="0" w:space="0" w:color="auto"/>
            <w:left w:val="none" w:sz="0" w:space="0" w:color="auto"/>
            <w:bottom w:val="none" w:sz="0" w:space="0" w:color="auto"/>
            <w:right w:val="none" w:sz="0" w:space="0" w:color="auto"/>
          </w:divBdr>
        </w:div>
        <w:div w:id="237325330">
          <w:marLeft w:val="0"/>
          <w:marRight w:val="0"/>
          <w:marTop w:val="0"/>
          <w:marBottom w:val="0"/>
          <w:divBdr>
            <w:top w:val="none" w:sz="0" w:space="0" w:color="auto"/>
            <w:left w:val="none" w:sz="0" w:space="0" w:color="auto"/>
            <w:bottom w:val="none" w:sz="0" w:space="0" w:color="auto"/>
            <w:right w:val="none" w:sz="0" w:space="0" w:color="auto"/>
          </w:divBdr>
        </w:div>
        <w:div w:id="1750807088">
          <w:marLeft w:val="0"/>
          <w:marRight w:val="0"/>
          <w:marTop w:val="0"/>
          <w:marBottom w:val="0"/>
          <w:divBdr>
            <w:top w:val="none" w:sz="0" w:space="0" w:color="auto"/>
            <w:left w:val="none" w:sz="0" w:space="0" w:color="auto"/>
            <w:bottom w:val="none" w:sz="0" w:space="0" w:color="auto"/>
            <w:right w:val="none" w:sz="0" w:space="0" w:color="auto"/>
          </w:divBdr>
        </w:div>
        <w:div w:id="1614166121">
          <w:marLeft w:val="0"/>
          <w:marRight w:val="0"/>
          <w:marTop w:val="0"/>
          <w:marBottom w:val="0"/>
          <w:divBdr>
            <w:top w:val="none" w:sz="0" w:space="0" w:color="auto"/>
            <w:left w:val="none" w:sz="0" w:space="0" w:color="auto"/>
            <w:bottom w:val="none" w:sz="0" w:space="0" w:color="auto"/>
            <w:right w:val="none" w:sz="0" w:space="0" w:color="auto"/>
          </w:divBdr>
        </w:div>
        <w:div w:id="1043478284">
          <w:marLeft w:val="0"/>
          <w:marRight w:val="0"/>
          <w:marTop w:val="0"/>
          <w:marBottom w:val="0"/>
          <w:divBdr>
            <w:top w:val="none" w:sz="0" w:space="0" w:color="auto"/>
            <w:left w:val="none" w:sz="0" w:space="0" w:color="auto"/>
            <w:bottom w:val="none" w:sz="0" w:space="0" w:color="auto"/>
            <w:right w:val="none" w:sz="0" w:space="0" w:color="auto"/>
          </w:divBdr>
        </w:div>
        <w:div w:id="1389495384">
          <w:marLeft w:val="0"/>
          <w:marRight w:val="0"/>
          <w:marTop w:val="0"/>
          <w:marBottom w:val="0"/>
          <w:divBdr>
            <w:top w:val="none" w:sz="0" w:space="0" w:color="auto"/>
            <w:left w:val="none" w:sz="0" w:space="0" w:color="auto"/>
            <w:bottom w:val="none" w:sz="0" w:space="0" w:color="auto"/>
            <w:right w:val="none" w:sz="0" w:space="0" w:color="auto"/>
          </w:divBdr>
        </w:div>
        <w:div w:id="1012419965">
          <w:marLeft w:val="0"/>
          <w:marRight w:val="0"/>
          <w:marTop w:val="0"/>
          <w:marBottom w:val="0"/>
          <w:divBdr>
            <w:top w:val="none" w:sz="0" w:space="0" w:color="auto"/>
            <w:left w:val="none" w:sz="0" w:space="0" w:color="auto"/>
            <w:bottom w:val="none" w:sz="0" w:space="0" w:color="auto"/>
            <w:right w:val="none" w:sz="0" w:space="0" w:color="auto"/>
          </w:divBdr>
        </w:div>
        <w:div w:id="1232736946">
          <w:marLeft w:val="0"/>
          <w:marRight w:val="0"/>
          <w:marTop w:val="0"/>
          <w:marBottom w:val="0"/>
          <w:divBdr>
            <w:top w:val="none" w:sz="0" w:space="0" w:color="auto"/>
            <w:left w:val="none" w:sz="0" w:space="0" w:color="auto"/>
            <w:bottom w:val="none" w:sz="0" w:space="0" w:color="auto"/>
            <w:right w:val="none" w:sz="0" w:space="0" w:color="auto"/>
          </w:divBdr>
        </w:div>
      </w:divsChild>
    </w:div>
    <w:div w:id="1436947735">
      <w:bodyDiv w:val="1"/>
      <w:marLeft w:val="0"/>
      <w:marRight w:val="0"/>
      <w:marTop w:val="0"/>
      <w:marBottom w:val="0"/>
      <w:divBdr>
        <w:top w:val="none" w:sz="0" w:space="0" w:color="auto"/>
        <w:left w:val="none" w:sz="0" w:space="0" w:color="auto"/>
        <w:bottom w:val="none" w:sz="0" w:space="0" w:color="auto"/>
        <w:right w:val="none" w:sz="0" w:space="0" w:color="auto"/>
      </w:divBdr>
      <w:divsChild>
        <w:div w:id="1655256417">
          <w:marLeft w:val="0"/>
          <w:marRight w:val="0"/>
          <w:marTop w:val="0"/>
          <w:marBottom w:val="0"/>
          <w:divBdr>
            <w:top w:val="none" w:sz="0" w:space="0" w:color="auto"/>
            <w:left w:val="none" w:sz="0" w:space="0" w:color="auto"/>
            <w:bottom w:val="none" w:sz="0" w:space="0" w:color="auto"/>
            <w:right w:val="none" w:sz="0" w:space="0" w:color="auto"/>
          </w:divBdr>
        </w:div>
        <w:div w:id="1424958372">
          <w:marLeft w:val="0"/>
          <w:marRight w:val="0"/>
          <w:marTop w:val="0"/>
          <w:marBottom w:val="0"/>
          <w:divBdr>
            <w:top w:val="none" w:sz="0" w:space="0" w:color="auto"/>
            <w:left w:val="none" w:sz="0" w:space="0" w:color="auto"/>
            <w:bottom w:val="none" w:sz="0" w:space="0" w:color="auto"/>
            <w:right w:val="none" w:sz="0" w:space="0" w:color="auto"/>
          </w:divBdr>
        </w:div>
        <w:div w:id="1882783941">
          <w:marLeft w:val="0"/>
          <w:marRight w:val="0"/>
          <w:marTop w:val="0"/>
          <w:marBottom w:val="0"/>
          <w:divBdr>
            <w:top w:val="none" w:sz="0" w:space="0" w:color="auto"/>
            <w:left w:val="none" w:sz="0" w:space="0" w:color="auto"/>
            <w:bottom w:val="none" w:sz="0" w:space="0" w:color="auto"/>
            <w:right w:val="none" w:sz="0" w:space="0" w:color="auto"/>
          </w:divBdr>
        </w:div>
        <w:div w:id="404646983">
          <w:marLeft w:val="0"/>
          <w:marRight w:val="0"/>
          <w:marTop w:val="0"/>
          <w:marBottom w:val="0"/>
          <w:divBdr>
            <w:top w:val="none" w:sz="0" w:space="0" w:color="auto"/>
            <w:left w:val="none" w:sz="0" w:space="0" w:color="auto"/>
            <w:bottom w:val="none" w:sz="0" w:space="0" w:color="auto"/>
            <w:right w:val="none" w:sz="0" w:space="0" w:color="auto"/>
          </w:divBdr>
        </w:div>
        <w:div w:id="360203798">
          <w:marLeft w:val="0"/>
          <w:marRight w:val="0"/>
          <w:marTop w:val="0"/>
          <w:marBottom w:val="0"/>
          <w:divBdr>
            <w:top w:val="none" w:sz="0" w:space="0" w:color="auto"/>
            <w:left w:val="none" w:sz="0" w:space="0" w:color="auto"/>
            <w:bottom w:val="none" w:sz="0" w:space="0" w:color="auto"/>
            <w:right w:val="none" w:sz="0" w:space="0" w:color="auto"/>
          </w:divBdr>
        </w:div>
        <w:div w:id="1518084092">
          <w:marLeft w:val="0"/>
          <w:marRight w:val="0"/>
          <w:marTop w:val="0"/>
          <w:marBottom w:val="0"/>
          <w:divBdr>
            <w:top w:val="none" w:sz="0" w:space="0" w:color="auto"/>
            <w:left w:val="none" w:sz="0" w:space="0" w:color="auto"/>
            <w:bottom w:val="none" w:sz="0" w:space="0" w:color="auto"/>
            <w:right w:val="none" w:sz="0" w:space="0" w:color="auto"/>
          </w:divBdr>
        </w:div>
        <w:div w:id="172457061">
          <w:marLeft w:val="0"/>
          <w:marRight w:val="0"/>
          <w:marTop w:val="0"/>
          <w:marBottom w:val="0"/>
          <w:divBdr>
            <w:top w:val="none" w:sz="0" w:space="0" w:color="auto"/>
            <w:left w:val="none" w:sz="0" w:space="0" w:color="auto"/>
            <w:bottom w:val="none" w:sz="0" w:space="0" w:color="auto"/>
            <w:right w:val="none" w:sz="0" w:space="0" w:color="auto"/>
          </w:divBdr>
        </w:div>
        <w:div w:id="1359627432">
          <w:marLeft w:val="0"/>
          <w:marRight w:val="0"/>
          <w:marTop w:val="0"/>
          <w:marBottom w:val="0"/>
          <w:divBdr>
            <w:top w:val="none" w:sz="0" w:space="0" w:color="auto"/>
            <w:left w:val="none" w:sz="0" w:space="0" w:color="auto"/>
            <w:bottom w:val="none" w:sz="0" w:space="0" w:color="auto"/>
            <w:right w:val="none" w:sz="0" w:space="0" w:color="auto"/>
          </w:divBdr>
        </w:div>
        <w:div w:id="2136605648">
          <w:marLeft w:val="0"/>
          <w:marRight w:val="0"/>
          <w:marTop w:val="0"/>
          <w:marBottom w:val="0"/>
          <w:divBdr>
            <w:top w:val="none" w:sz="0" w:space="0" w:color="auto"/>
            <w:left w:val="none" w:sz="0" w:space="0" w:color="auto"/>
            <w:bottom w:val="none" w:sz="0" w:space="0" w:color="auto"/>
            <w:right w:val="none" w:sz="0" w:space="0" w:color="auto"/>
          </w:divBdr>
        </w:div>
      </w:divsChild>
    </w:div>
    <w:div w:id="1494564419">
      <w:bodyDiv w:val="1"/>
      <w:marLeft w:val="0"/>
      <w:marRight w:val="0"/>
      <w:marTop w:val="0"/>
      <w:marBottom w:val="0"/>
      <w:divBdr>
        <w:top w:val="none" w:sz="0" w:space="0" w:color="auto"/>
        <w:left w:val="none" w:sz="0" w:space="0" w:color="auto"/>
        <w:bottom w:val="none" w:sz="0" w:space="0" w:color="auto"/>
        <w:right w:val="none" w:sz="0" w:space="0" w:color="auto"/>
      </w:divBdr>
      <w:divsChild>
        <w:div w:id="1674338767">
          <w:marLeft w:val="0"/>
          <w:marRight w:val="0"/>
          <w:marTop w:val="0"/>
          <w:marBottom w:val="0"/>
          <w:divBdr>
            <w:top w:val="none" w:sz="0" w:space="0" w:color="auto"/>
            <w:left w:val="none" w:sz="0" w:space="0" w:color="auto"/>
            <w:bottom w:val="none" w:sz="0" w:space="0" w:color="auto"/>
            <w:right w:val="none" w:sz="0" w:space="0" w:color="auto"/>
          </w:divBdr>
        </w:div>
        <w:div w:id="1681198106">
          <w:marLeft w:val="0"/>
          <w:marRight w:val="0"/>
          <w:marTop w:val="0"/>
          <w:marBottom w:val="0"/>
          <w:divBdr>
            <w:top w:val="none" w:sz="0" w:space="0" w:color="auto"/>
            <w:left w:val="none" w:sz="0" w:space="0" w:color="auto"/>
            <w:bottom w:val="none" w:sz="0" w:space="0" w:color="auto"/>
            <w:right w:val="none" w:sz="0" w:space="0" w:color="auto"/>
          </w:divBdr>
        </w:div>
        <w:div w:id="1403603758">
          <w:marLeft w:val="0"/>
          <w:marRight w:val="0"/>
          <w:marTop w:val="0"/>
          <w:marBottom w:val="0"/>
          <w:divBdr>
            <w:top w:val="none" w:sz="0" w:space="0" w:color="auto"/>
            <w:left w:val="none" w:sz="0" w:space="0" w:color="auto"/>
            <w:bottom w:val="none" w:sz="0" w:space="0" w:color="auto"/>
            <w:right w:val="none" w:sz="0" w:space="0" w:color="auto"/>
          </w:divBdr>
        </w:div>
        <w:div w:id="1227765925">
          <w:marLeft w:val="0"/>
          <w:marRight w:val="0"/>
          <w:marTop w:val="0"/>
          <w:marBottom w:val="0"/>
          <w:divBdr>
            <w:top w:val="none" w:sz="0" w:space="0" w:color="auto"/>
            <w:left w:val="none" w:sz="0" w:space="0" w:color="auto"/>
            <w:bottom w:val="none" w:sz="0" w:space="0" w:color="auto"/>
            <w:right w:val="none" w:sz="0" w:space="0" w:color="auto"/>
          </w:divBdr>
        </w:div>
        <w:div w:id="545138336">
          <w:marLeft w:val="0"/>
          <w:marRight w:val="0"/>
          <w:marTop w:val="0"/>
          <w:marBottom w:val="0"/>
          <w:divBdr>
            <w:top w:val="none" w:sz="0" w:space="0" w:color="auto"/>
            <w:left w:val="none" w:sz="0" w:space="0" w:color="auto"/>
            <w:bottom w:val="none" w:sz="0" w:space="0" w:color="auto"/>
            <w:right w:val="none" w:sz="0" w:space="0" w:color="auto"/>
          </w:divBdr>
        </w:div>
        <w:div w:id="1491363400">
          <w:marLeft w:val="0"/>
          <w:marRight w:val="0"/>
          <w:marTop w:val="0"/>
          <w:marBottom w:val="0"/>
          <w:divBdr>
            <w:top w:val="none" w:sz="0" w:space="0" w:color="auto"/>
            <w:left w:val="none" w:sz="0" w:space="0" w:color="auto"/>
            <w:bottom w:val="none" w:sz="0" w:space="0" w:color="auto"/>
            <w:right w:val="none" w:sz="0" w:space="0" w:color="auto"/>
          </w:divBdr>
        </w:div>
        <w:div w:id="85149795">
          <w:marLeft w:val="0"/>
          <w:marRight w:val="0"/>
          <w:marTop w:val="0"/>
          <w:marBottom w:val="0"/>
          <w:divBdr>
            <w:top w:val="none" w:sz="0" w:space="0" w:color="auto"/>
            <w:left w:val="none" w:sz="0" w:space="0" w:color="auto"/>
            <w:bottom w:val="none" w:sz="0" w:space="0" w:color="auto"/>
            <w:right w:val="none" w:sz="0" w:space="0" w:color="auto"/>
          </w:divBdr>
        </w:div>
        <w:div w:id="182129267">
          <w:marLeft w:val="0"/>
          <w:marRight w:val="0"/>
          <w:marTop w:val="0"/>
          <w:marBottom w:val="0"/>
          <w:divBdr>
            <w:top w:val="none" w:sz="0" w:space="0" w:color="auto"/>
            <w:left w:val="none" w:sz="0" w:space="0" w:color="auto"/>
            <w:bottom w:val="none" w:sz="0" w:space="0" w:color="auto"/>
            <w:right w:val="none" w:sz="0" w:space="0" w:color="auto"/>
          </w:divBdr>
        </w:div>
      </w:divsChild>
    </w:div>
    <w:div w:id="1522356905">
      <w:bodyDiv w:val="1"/>
      <w:marLeft w:val="0"/>
      <w:marRight w:val="0"/>
      <w:marTop w:val="0"/>
      <w:marBottom w:val="0"/>
      <w:divBdr>
        <w:top w:val="none" w:sz="0" w:space="0" w:color="auto"/>
        <w:left w:val="none" w:sz="0" w:space="0" w:color="auto"/>
        <w:bottom w:val="none" w:sz="0" w:space="0" w:color="auto"/>
        <w:right w:val="none" w:sz="0" w:space="0" w:color="auto"/>
      </w:divBdr>
      <w:divsChild>
        <w:div w:id="1136147383">
          <w:marLeft w:val="0"/>
          <w:marRight w:val="0"/>
          <w:marTop w:val="0"/>
          <w:marBottom w:val="0"/>
          <w:divBdr>
            <w:top w:val="none" w:sz="0" w:space="0" w:color="auto"/>
            <w:left w:val="none" w:sz="0" w:space="0" w:color="auto"/>
            <w:bottom w:val="none" w:sz="0" w:space="0" w:color="auto"/>
            <w:right w:val="none" w:sz="0" w:space="0" w:color="auto"/>
          </w:divBdr>
        </w:div>
        <w:div w:id="69156407">
          <w:marLeft w:val="0"/>
          <w:marRight w:val="0"/>
          <w:marTop w:val="0"/>
          <w:marBottom w:val="0"/>
          <w:divBdr>
            <w:top w:val="none" w:sz="0" w:space="0" w:color="auto"/>
            <w:left w:val="none" w:sz="0" w:space="0" w:color="auto"/>
            <w:bottom w:val="none" w:sz="0" w:space="0" w:color="auto"/>
            <w:right w:val="none" w:sz="0" w:space="0" w:color="auto"/>
          </w:divBdr>
        </w:div>
        <w:div w:id="1870795626">
          <w:marLeft w:val="0"/>
          <w:marRight w:val="0"/>
          <w:marTop w:val="0"/>
          <w:marBottom w:val="0"/>
          <w:divBdr>
            <w:top w:val="none" w:sz="0" w:space="0" w:color="auto"/>
            <w:left w:val="none" w:sz="0" w:space="0" w:color="auto"/>
            <w:bottom w:val="none" w:sz="0" w:space="0" w:color="auto"/>
            <w:right w:val="none" w:sz="0" w:space="0" w:color="auto"/>
          </w:divBdr>
        </w:div>
        <w:div w:id="1184397201">
          <w:marLeft w:val="0"/>
          <w:marRight w:val="0"/>
          <w:marTop w:val="0"/>
          <w:marBottom w:val="0"/>
          <w:divBdr>
            <w:top w:val="none" w:sz="0" w:space="0" w:color="auto"/>
            <w:left w:val="none" w:sz="0" w:space="0" w:color="auto"/>
            <w:bottom w:val="none" w:sz="0" w:space="0" w:color="auto"/>
            <w:right w:val="none" w:sz="0" w:space="0" w:color="auto"/>
          </w:divBdr>
        </w:div>
        <w:div w:id="573391942">
          <w:marLeft w:val="0"/>
          <w:marRight w:val="0"/>
          <w:marTop w:val="0"/>
          <w:marBottom w:val="0"/>
          <w:divBdr>
            <w:top w:val="none" w:sz="0" w:space="0" w:color="auto"/>
            <w:left w:val="none" w:sz="0" w:space="0" w:color="auto"/>
            <w:bottom w:val="none" w:sz="0" w:space="0" w:color="auto"/>
            <w:right w:val="none" w:sz="0" w:space="0" w:color="auto"/>
          </w:divBdr>
        </w:div>
        <w:div w:id="1336417889">
          <w:marLeft w:val="0"/>
          <w:marRight w:val="0"/>
          <w:marTop w:val="0"/>
          <w:marBottom w:val="0"/>
          <w:divBdr>
            <w:top w:val="none" w:sz="0" w:space="0" w:color="auto"/>
            <w:left w:val="none" w:sz="0" w:space="0" w:color="auto"/>
            <w:bottom w:val="none" w:sz="0" w:space="0" w:color="auto"/>
            <w:right w:val="none" w:sz="0" w:space="0" w:color="auto"/>
          </w:divBdr>
        </w:div>
        <w:div w:id="279190211">
          <w:marLeft w:val="0"/>
          <w:marRight w:val="0"/>
          <w:marTop w:val="0"/>
          <w:marBottom w:val="0"/>
          <w:divBdr>
            <w:top w:val="none" w:sz="0" w:space="0" w:color="auto"/>
            <w:left w:val="none" w:sz="0" w:space="0" w:color="auto"/>
            <w:bottom w:val="none" w:sz="0" w:space="0" w:color="auto"/>
            <w:right w:val="none" w:sz="0" w:space="0" w:color="auto"/>
          </w:divBdr>
        </w:div>
        <w:div w:id="1174956916">
          <w:marLeft w:val="0"/>
          <w:marRight w:val="0"/>
          <w:marTop w:val="0"/>
          <w:marBottom w:val="0"/>
          <w:divBdr>
            <w:top w:val="none" w:sz="0" w:space="0" w:color="auto"/>
            <w:left w:val="none" w:sz="0" w:space="0" w:color="auto"/>
            <w:bottom w:val="none" w:sz="0" w:space="0" w:color="auto"/>
            <w:right w:val="none" w:sz="0" w:space="0" w:color="auto"/>
          </w:divBdr>
        </w:div>
        <w:div w:id="1685159748">
          <w:marLeft w:val="0"/>
          <w:marRight w:val="0"/>
          <w:marTop w:val="0"/>
          <w:marBottom w:val="0"/>
          <w:divBdr>
            <w:top w:val="none" w:sz="0" w:space="0" w:color="auto"/>
            <w:left w:val="none" w:sz="0" w:space="0" w:color="auto"/>
            <w:bottom w:val="none" w:sz="0" w:space="0" w:color="auto"/>
            <w:right w:val="none" w:sz="0" w:space="0" w:color="auto"/>
          </w:divBdr>
        </w:div>
        <w:div w:id="2143961748">
          <w:marLeft w:val="0"/>
          <w:marRight w:val="0"/>
          <w:marTop w:val="0"/>
          <w:marBottom w:val="0"/>
          <w:divBdr>
            <w:top w:val="none" w:sz="0" w:space="0" w:color="auto"/>
            <w:left w:val="none" w:sz="0" w:space="0" w:color="auto"/>
            <w:bottom w:val="none" w:sz="0" w:space="0" w:color="auto"/>
            <w:right w:val="none" w:sz="0" w:space="0" w:color="auto"/>
          </w:divBdr>
        </w:div>
        <w:div w:id="1012804303">
          <w:marLeft w:val="0"/>
          <w:marRight w:val="0"/>
          <w:marTop w:val="0"/>
          <w:marBottom w:val="0"/>
          <w:divBdr>
            <w:top w:val="none" w:sz="0" w:space="0" w:color="auto"/>
            <w:left w:val="none" w:sz="0" w:space="0" w:color="auto"/>
            <w:bottom w:val="none" w:sz="0" w:space="0" w:color="auto"/>
            <w:right w:val="none" w:sz="0" w:space="0" w:color="auto"/>
          </w:divBdr>
        </w:div>
        <w:div w:id="1441804155">
          <w:marLeft w:val="0"/>
          <w:marRight w:val="0"/>
          <w:marTop w:val="0"/>
          <w:marBottom w:val="0"/>
          <w:divBdr>
            <w:top w:val="none" w:sz="0" w:space="0" w:color="auto"/>
            <w:left w:val="none" w:sz="0" w:space="0" w:color="auto"/>
            <w:bottom w:val="none" w:sz="0" w:space="0" w:color="auto"/>
            <w:right w:val="none" w:sz="0" w:space="0" w:color="auto"/>
          </w:divBdr>
        </w:div>
        <w:div w:id="153693681">
          <w:marLeft w:val="0"/>
          <w:marRight w:val="0"/>
          <w:marTop w:val="0"/>
          <w:marBottom w:val="0"/>
          <w:divBdr>
            <w:top w:val="none" w:sz="0" w:space="0" w:color="auto"/>
            <w:left w:val="none" w:sz="0" w:space="0" w:color="auto"/>
            <w:bottom w:val="none" w:sz="0" w:space="0" w:color="auto"/>
            <w:right w:val="none" w:sz="0" w:space="0" w:color="auto"/>
          </w:divBdr>
        </w:div>
        <w:div w:id="122191573">
          <w:marLeft w:val="0"/>
          <w:marRight w:val="0"/>
          <w:marTop w:val="0"/>
          <w:marBottom w:val="0"/>
          <w:divBdr>
            <w:top w:val="none" w:sz="0" w:space="0" w:color="auto"/>
            <w:left w:val="none" w:sz="0" w:space="0" w:color="auto"/>
            <w:bottom w:val="none" w:sz="0" w:space="0" w:color="auto"/>
            <w:right w:val="none" w:sz="0" w:space="0" w:color="auto"/>
          </w:divBdr>
        </w:div>
        <w:div w:id="1787043543">
          <w:marLeft w:val="0"/>
          <w:marRight w:val="0"/>
          <w:marTop w:val="0"/>
          <w:marBottom w:val="0"/>
          <w:divBdr>
            <w:top w:val="none" w:sz="0" w:space="0" w:color="auto"/>
            <w:left w:val="none" w:sz="0" w:space="0" w:color="auto"/>
            <w:bottom w:val="none" w:sz="0" w:space="0" w:color="auto"/>
            <w:right w:val="none" w:sz="0" w:space="0" w:color="auto"/>
          </w:divBdr>
        </w:div>
        <w:div w:id="891424648">
          <w:marLeft w:val="0"/>
          <w:marRight w:val="0"/>
          <w:marTop w:val="0"/>
          <w:marBottom w:val="0"/>
          <w:divBdr>
            <w:top w:val="none" w:sz="0" w:space="0" w:color="auto"/>
            <w:left w:val="none" w:sz="0" w:space="0" w:color="auto"/>
            <w:bottom w:val="none" w:sz="0" w:space="0" w:color="auto"/>
            <w:right w:val="none" w:sz="0" w:space="0" w:color="auto"/>
          </w:divBdr>
        </w:div>
        <w:div w:id="1736321129">
          <w:marLeft w:val="0"/>
          <w:marRight w:val="0"/>
          <w:marTop w:val="0"/>
          <w:marBottom w:val="0"/>
          <w:divBdr>
            <w:top w:val="none" w:sz="0" w:space="0" w:color="auto"/>
            <w:left w:val="none" w:sz="0" w:space="0" w:color="auto"/>
            <w:bottom w:val="none" w:sz="0" w:space="0" w:color="auto"/>
            <w:right w:val="none" w:sz="0" w:space="0" w:color="auto"/>
          </w:divBdr>
        </w:div>
        <w:div w:id="1202353531">
          <w:marLeft w:val="0"/>
          <w:marRight w:val="0"/>
          <w:marTop w:val="0"/>
          <w:marBottom w:val="0"/>
          <w:divBdr>
            <w:top w:val="none" w:sz="0" w:space="0" w:color="auto"/>
            <w:left w:val="none" w:sz="0" w:space="0" w:color="auto"/>
            <w:bottom w:val="none" w:sz="0" w:space="0" w:color="auto"/>
            <w:right w:val="none" w:sz="0" w:space="0" w:color="auto"/>
          </w:divBdr>
        </w:div>
        <w:div w:id="282155624">
          <w:marLeft w:val="0"/>
          <w:marRight w:val="0"/>
          <w:marTop w:val="0"/>
          <w:marBottom w:val="0"/>
          <w:divBdr>
            <w:top w:val="none" w:sz="0" w:space="0" w:color="auto"/>
            <w:left w:val="none" w:sz="0" w:space="0" w:color="auto"/>
            <w:bottom w:val="none" w:sz="0" w:space="0" w:color="auto"/>
            <w:right w:val="none" w:sz="0" w:space="0" w:color="auto"/>
          </w:divBdr>
        </w:div>
      </w:divsChild>
    </w:div>
    <w:div w:id="1541745871">
      <w:bodyDiv w:val="1"/>
      <w:marLeft w:val="0"/>
      <w:marRight w:val="0"/>
      <w:marTop w:val="0"/>
      <w:marBottom w:val="0"/>
      <w:divBdr>
        <w:top w:val="none" w:sz="0" w:space="0" w:color="auto"/>
        <w:left w:val="none" w:sz="0" w:space="0" w:color="auto"/>
        <w:bottom w:val="none" w:sz="0" w:space="0" w:color="auto"/>
        <w:right w:val="none" w:sz="0" w:space="0" w:color="auto"/>
      </w:divBdr>
      <w:divsChild>
        <w:div w:id="1836918307">
          <w:marLeft w:val="0"/>
          <w:marRight w:val="0"/>
          <w:marTop w:val="0"/>
          <w:marBottom w:val="0"/>
          <w:divBdr>
            <w:top w:val="none" w:sz="0" w:space="0" w:color="auto"/>
            <w:left w:val="none" w:sz="0" w:space="0" w:color="auto"/>
            <w:bottom w:val="none" w:sz="0" w:space="0" w:color="auto"/>
            <w:right w:val="none" w:sz="0" w:space="0" w:color="auto"/>
          </w:divBdr>
        </w:div>
        <w:div w:id="417604924">
          <w:marLeft w:val="0"/>
          <w:marRight w:val="0"/>
          <w:marTop w:val="0"/>
          <w:marBottom w:val="0"/>
          <w:divBdr>
            <w:top w:val="none" w:sz="0" w:space="0" w:color="auto"/>
            <w:left w:val="none" w:sz="0" w:space="0" w:color="auto"/>
            <w:bottom w:val="none" w:sz="0" w:space="0" w:color="auto"/>
            <w:right w:val="none" w:sz="0" w:space="0" w:color="auto"/>
          </w:divBdr>
        </w:div>
        <w:div w:id="1947350836">
          <w:marLeft w:val="0"/>
          <w:marRight w:val="0"/>
          <w:marTop w:val="0"/>
          <w:marBottom w:val="0"/>
          <w:divBdr>
            <w:top w:val="none" w:sz="0" w:space="0" w:color="auto"/>
            <w:left w:val="none" w:sz="0" w:space="0" w:color="auto"/>
            <w:bottom w:val="none" w:sz="0" w:space="0" w:color="auto"/>
            <w:right w:val="none" w:sz="0" w:space="0" w:color="auto"/>
          </w:divBdr>
        </w:div>
        <w:div w:id="1404185831">
          <w:marLeft w:val="0"/>
          <w:marRight w:val="0"/>
          <w:marTop w:val="0"/>
          <w:marBottom w:val="0"/>
          <w:divBdr>
            <w:top w:val="none" w:sz="0" w:space="0" w:color="auto"/>
            <w:left w:val="none" w:sz="0" w:space="0" w:color="auto"/>
            <w:bottom w:val="none" w:sz="0" w:space="0" w:color="auto"/>
            <w:right w:val="none" w:sz="0" w:space="0" w:color="auto"/>
          </w:divBdr>
        </w:div>
        <w:div w:id="994913108">
          <w:marLeft w:val="0"/>
          <w:marRight w:val="0"/>
          <w:marTop w:val="0"/>
          <w:marBottom w:val="0"/>
          <w:divBdr>
            <w:top w:val="none" w:sz="0" w:space="0" w:color="auto"/>
            <w:left w:val="none" w:sz="0" w:space="0" w:color="auto"/>
            <w:bottom w:val="none" w:sz="0" w:space="0" w:color="auto"/>
            <w:right w:val="none" w:sz="0" w:space="0" w:color="auto"/>
          </w:divBdr>
        </w:div>
        <w:div w:id="1336152384">
          <w:marLeft w:val="0"/>
          <w:marRight w:val="0"/>
          <w:marTop w:val="0"/>
          <w:marBottom w:val="0"/>
          <w:divBdr>
            <w:top w:val="none" w:sz="0" w:space="0" w:color="auto"/>
            <w:left w:val="none" w:sz="0" w:space="0" w:color="auto"/>
            <w:bottom w:val="none" w:sz="0" w:space="0" w:color="auto"/>
            <w:right w:val="none" w:sz="0" w:space="0" w:color="auto"/>
          </w:divBdr>
        </w:div>
        <w:div w:id="1297182371">
          <w:marLeft w:val="0"/>
          <w:marRight w:val="0"/>
          <w:marTop w:val="0"/>
          <w:marBottom w:val="0"/>
          <w:divBdr>
            <w:top w:val="none" w:sz="0" w:space="0" w:color="auto"/>
            <w:left w:val="none" w:sz="0" w:space="0" w:color="auto"/>
            <w:bottom w:val="none" w:sz="0" w:space="0" w:color="auto"/>
            <w:right w:val="none" w:sz="0" w:space="0" w:color="auto"/>
          </w:divBdr>
        </w:div>
        <w:div w:id="204874993">
          <w:marLeft w:val="0"/>
          <w:marRight w:val="0"/>
          <w:marTop w:val="0"/>
          <w:marBottom w:val="0"/>
          <w:divBdr>
            <w:top w:val="none" w:sz="0" w:space="0" w:color="auto"/>
            <w:left w:val="none" w:sz="0" w:space="0" w:color="auto"/>
            <w:bottom w:val="none" w:sz="0" w:space="0" w:color="auto"/>
            <w:right w:val="none" w:sz="0" w:space="0" w:color="auto"/>
          </w:divBdr>
        </w:div>
        <w:div w:id="839663299">
          <w:marLeft w:val="0"/>
          <w:marRight w:val="0"/>
          <w:marTop w:val="0"/>
          <w:marBottom w:val="0"/>
          <w:divBdr>
            <w:top w:val="none" w:sz="0" w:space="0" w:color="auto"/>
            <w:left w:val="none" w:sz="0" w:space="0" w:color="auto"/>
            <w:bottom w:val="none" w:sz="0" w:space="0" w:color="auto"/>
            <w:right w:val="none" w:sz="0" w:space="0" w:color="auto"/>
          </w:divBdr>
        </w:div>
        <w:div w:id="1195078415">
          <w:marLeft w:val="0"/>
          <w:marRight w:val="0"/>
          <w:marTop w:val="0"/>
          <w:marBottom w:val="0"/>
          <w:divBdr>
            <w:top w:val="none" w:sz="0" w:space="0" w:color="auto"/>
            <w:left w:val="none" w:sz="0" w:space="0" w:color="auto"/>
            <w:bottom w:val="none" w:sz="0" w:space="0" w:color="auto"/>
            <w:right w:val="none" w:sz="0" w:space="0" w:color="auto"/>
          </w:divBdr>
        </w:div>
        <w:div w:id="984894209">
          <w:marLeft w:val="0"/>
          <w:marRight w:val="0"/>
          <w:marTop w:val="0"/>
          <w:marBottom w:val="0"/>
          <w:divBdr>
            <w:top w:val="none" w:sz="0" w:space="0" w:color="auto"/>
            <w:left w:val="none" w:sz="0" w:space="0" w:color="auto"/>
            <w:bottom w:val="none" w:sz="0" w:space="0" w:color="auto"/>
            <w:right w:val="none" w:sz="0" w:space="0" w:color="auto"/>
          </w:divBdr>
        </w:div>
        <w:div w:id="2136170962">
          <w:marLeft w:val="0"/>
          <w:marRight w:val="0"/>
          <w:marTop w:val="0"/>
          <w:marBottom w:val="0"/>
          <w:divBdr>
            <w:top w:val="none" w:sz="0" w:space="0" w:color="auto"/>
            <w:left w:val="none" w:sz="0" w:space="0" w:color="auto"/>
            <w:bottom w:val="none" w:sz="0" w:space="0" w:color="auto"/>
            <w:right w:val="none" w:sz="0" w:space="0" w:color="auto"/>
          </w:divBdr>
        </w:div>
        <w:div w:id="1649166522">
          <w:marLeft w:val="0"/>
          <w:marRight w:val="0"/>
          <w:marTop w:val="0"/>
          <w:marBottom w:val="0"/>
          <w:divBdr>
            <w:top w:val="none" w:sz="0" w:space="0" w:color="auto"/>
            <w:left w:val="none" w:sz="0" w:space="0" w:color="auto"/>
            <w:bottom w:val="none" w:sz="0" w:space="0" w:color="auto"/>
            <w:right w:val="none" w:sz="0" w:space="0" w:color="auto"/>
          </w:divBdr>
        </w:div>
        <w:div w:id="773786946">
          <w:marLeft w:val="0"/>
          <w:marRight w:val="0"/>
          <w:marTop w:val="0"/>
          <w:marBottom w:val="0"/>
          <w:divBdr>
            <w:top w:val="none" w:sz="0" w:space="0" w:color="auto"/>
            <w:left w:val="none" w:sz="0" w:space="0" w:color="auto"/>
            <w:bottom w:val="none" w:sz="0" w:space="0" w:color="auto"/>
            <w:right w:val="none" w:sz="0" w:space="0" w:color="auto"/>
          </w:divBdr>
        </w:div>
        <w:div w:id="457533651">
          <w:marLeft w:val="0"/>
          <w:marRight w:val="0"/>
          <w:marTop w:val="0"/>
          <w:marBottom w:val="0"/>
          <w:divBdr>
            <w:top w:val="none" w:sz="0" w:space="0" w:color="auto"/>
            <w:left w:val="none" w:sz="0" w:space="0" w:color="auto"/>
            <w:bottom w:val="none" w:sz="0" w:space="0" w:color="auto"/>
            <w:right w:val="none" w:sz="0" w:space="0" w:color="auto"/>
          </w:divBdr>
        </w:div>
        <w:div w:id="256330289">
          <w:marLeft w:val="0"/>
          <w:marRight w:val="0"/>
          <w:marTop w:val="0"/>
          <w:marBottom w:val="0"/>
          <w:divBdr>
            <w:top w:val="none" w:sz="0" w:space="0" w:color="auto"/>
            <w:left w:val="none" w:sz="0" w:space="0" w:color="auto"/>
            <w:bottom w:val="none" w:sz="0" w:space="0" w:color="auto"/>
            <w:right w:val="none" w:sz="0" w:space="0" w:color="auto"/>
          </w:divBdr>
        </w:div>
      </w:divsChild>
    </w:div>
    <w:div w:id="1568688610">
      <w:bodyDiv w:val="1"/>
      <w:marLeft w:val="0"/>
      <w:marRight w:val="0"/>
      <w:marTop w:val="0"/>
      <w:marBottom w:val="0"/>
      <w:divBdr>
        <w:top w:val="none" w:sz="0" w:space="0" w:color="auto"/>
        <w:left w:val="none" w:sz="0" w:space="0" w:color="auto"/>
        <w:bottom w:val="none" w:sz="0" w:space="0" w:color="auto"/>
        <w:right w:val="none" w:sz="0" w:space="0" w:color="auto"/>
      </w:divBdr>
      <w:divsChild>
        <w:div w:id="1516113187">
          <w:marLeft w:val="0"/>
          <w:marRight w:val="0"/>
          <w:marTop w:val="0"/>
          <w:marBottom w:val="0"/>
          <w:divBdr>
            <w:top w:val="none" w:sz="0" w:space="0" w:color="auto"/>
            <w:left w:val="none" w:sz="0" w:space="0" w:color="auto"/>
            <w:bottom w:val="none" w:sz="0" w:space="0" w:color="auto"/>
            <w:right w:val="none" w:sz="0" w:space="0" w:color="auto"/>
          </w:divBdr>
        </w:div>
        <w:div w:id="148908148">
          <w:marLeft w:val="0"/>
          <w:marRight w:val="0"/>
          <w:marTop w:val="0"/>
          <w:marBottom w:val="0"/>
          <w:divBdr>
            <w:top w:val="none" w:sz="0" w:space="0" w:color="auto"/>
            <w:left w:val="none" w:sz="0" w:space="0" w:color="auto"/>
            <w:bottom w:val="none" w:sz="0" w:space="0" w:color="auto"/>
            <w:right w:val="none" w:sz="0" w:space="0" w:color="auto"/>
          </w:divBdr>
        </w:div>
        <w:div w:id="284655186">
          <w:marLeft w:val="0"/>
          <w:marRight w:val="0"/>
          <w:marTop w:val="0"/>
          <w:marBottom w:val="0"/>
          <w:divBdr>
            <w:top w:val="none" w:sz="0" w:space="0" w:color="auto"/>
            <w:left w:val="none" w:sz="0" w:space="0" w:color="auto"/>
            <w:bottom w:val="none" w:sz="0" w:space="0" w:color="auto"/>
            <w:right w:val="none" w:sz="0" w:space="0" w:color="auto"/>
          </w:divBdr>
        </w:div>
        <w:div w:id="1290671139">
          <w:marLeft w:val="0"/>
          <w:marRight w:val="0"/>
          <w:marTop w:val="0"/>
          <w:marBottom w:val="0"/>
          <w:divBdr>
            <w:top w:val="none" w:sz="0" w:space="0" w:color="auto"/>
            <w:left w:val="none" w:sz="0" w:space="0" w:color="auto"/>
            <w:bottom w:val="none" w:sz="0" w:space="0" w:color="auto"/>
            <w:right w:val="none" w:sz="0" w:space="0" w:color="auto"/>
          </w:divBdr>
        </w:div>
        <w:div w:id="144860002">
          <w:marLeft w:val="0"/>
          <w:marRight w:val="0"/>
          <w:marTop w:val="0"/>
          <w:marBottom w:val="0"/>
          <w:divBdr>
            <w:top w:val="none" w:sz="0" w:space="0" w:color="auto"/>
            <w:left w:val="none" w:sz="0" w:space="0" w:color="auto"/>
            <w:bottom w:val="none" w:sz="0" w:space="0" w:color="auto"/>
            <w:right w:val="none" w:sz="0" w:space="0" w:color="auto"/>
          </w:divBdr>
        </w:div>
      </w:divsChild>
    </w:div>
    <w:div w:id="1568758936">
      <w:bodyDiv w:val="1"/>
      <w:marLeft w:val="0"/>
      <w:marRight w:val="0"/>
      <w:marTop w:val="0"/>
      <w:marBottom w:val="0"/>
      <w:divBdr>
        <w:top w:val="none" w:sz="0" w:space="0" w:color="auto"/>
        <w:left w:val="none" w:sz="0" w:space="0" w:color="auto"/>
        <w:bottom w:val="none" w:sz="0" w:space="0" w:color="auto"/>
        <w:right w:val="none" w:sz="0" w:space="0" w:color="auto"/>
      </w:divBdr>
      <w:divsChild>
        <w:div w:id="1796363599">
          <w:marLeft w:val="0"/>
          <w:marRight w:val="0"/>
          <w:marTop w:val="0"/>
          <w:marBottom w:val="0"/>
          <w:divBdr>
            <w:top w:val="none" w:sz="0" w:space="0" w:color="auto"/>
            <w:left w:val="none" w:sz="0" w:space="0" w:color="auto"/>
            <w:bottom w:val="none" w:sz="0" w:space="0" w:color="auto"/>
            <w:right w:val="none" w:sz="0" w:space="0" w:color="auto"/>
          </w:divBdr>
        </w:div>
        <w:div w:id="1226725710">
          <w:marLeft w:val="0"/>
          <w:marRight w:val="0"/>
          <w:marTop w:val="0"/>
          <w:marBottom w:val="0"/>
          <w:divBdr>
            <w:top w:val="none" w:sz="0" w:space="0" w:color="auto"/>
            <w:left w:val="none" w:sz="0" w:space="0" w:color="auto"/>
            <w:bottom w:val="none" w:sz="0" w:space="0" w:color="auto"/>
            <w:right w:val="none" w:sz="0" w:space="0" w:color="auto"/>
          </w:divBdr>
        </w:div>
        <w:div w:id="570307262">
          <w:marLeft w:val="0"/>
          <w:marRight w:val="0"/>
          <w:marTop w:val="0"/>
          <w:marBottom w:val="0"/>
          <w:divBdr>
            <w:top w:val="none" w:sz="0" w:space="0" w:color="auto"/>
            <w:left w:val="none" w:sz="0" w:space="0" w:color="auto"/>
            <w:bottom w:val="none" w:sz="0" w:space="0" w:color="auto"/>
            <w:right w:val="none" w:sz="0" w:space="0" w:color="auto"/>
          </w:divBdr>
        </w:div>
        <w:div w:id="1208760335">
          <w:marLeft w:val="0"/>
          <w:marRight w:val="0"/>
          <w:marTop w:val="0"/>
          <w:marBottom w:val="0"/>
          <w:divBdr>
            <w:top w:val="none" w:sz="0" w:space="0" w:color="auto"/>
            <w:left w:val="none" w:sz="0" w:space="0" w:color="auto"/>
            <w:bottom w:val="none" w:sz="0" w:space="0" w:color="auto"/>
            <w:right w:val="none" w:sz="0" w:space="0" w:color="auto"/>
          </w:divBdr>
        </w:div>
        <w:div w:id="569267889">
          <w:marLeft w:val="0"/>
          <w:marRight w:val="0"/>
          <w:marTop w:val="0"/>
          <w:marBottom w:val="0"/>
          <w:divBdr>
            <w:top w:val="none" w:sz="0" w:space="0" w:color="auto"/>
            <w:left w:val="none" w:sz="0" w:space="0" w:color="auto"/>
            <w:bottom w:val="none" w:sz="0" w:space="0" w:color="auto"/>
            <w:right w:val="none" w:sz="0" w:space="0" w:color="auto"/>
          </w:divBdr>
        </w:div>
        <w:div w:id="1842350498">
          <w:marLeft w:val="0"/>
          <w:marRight w:val="0"/>
          <w:marTop w:val="0"/>
          <w:marBottom w:val="0"/>
          <w:divBdr>
            <w:top w:val="none" w:sz="0" w:space="0" w:color="auto"/>
            <w:left w:val="none" w:sz="0" w:space="0" w:color="auto"/>
            <w:bottom w:val="none" w:sz="0" w:space="0" w:color="auto"/>
            <w:right w:val="none" w:sz="0" w:space="0" w:color="auto"/>
          </w:divBdr>
        </w:div>
        <w:div w:id="548226085">
          <w:marLeft w:val="0"/>
          <w:marRight w:val="0"/>
          <w:marTop w:val="0"/>
          <w:marBottom w:val="0"/>
          <w:divBdr>
            <w:top w:val="none" w:sz="0" w:space="0" w:color="auto"/>
            <w:left w:val="none" w:sz="0" w:space="0" w:color="auto"/>
            <w:bottom w:val="none" w:sz="0" w:space="0" w:color="auto"/>
            <w:right w:val="none" w:sz="0" w:space="0" w:color="auto"/>
          </w:divBdr>
        </w:div>
      </w:divsChild>
    </w:div>
    <w:div w:id="1573082081">
      <w:bodyDiv w:val="1"/>
      <w:marLeft w:val="0"/>
      <w:marRight w:val="0"/>
      <w:marTop w:val="0"/>
      <w:marBottom w:val="0"/>
      <w:divBdr>
        <w:top w:val="none" w:sz="0" w:space="0" w:color="auto"/>
        <w:left w:val="none" w:sz="0" w:space="0" w:color="auto"/>
        <w:bottom w:val="none" w:sz="0" w:space="0" w:color="auto"/>
        <w:right w:val="none" w:sz="0" w:space="0" w:color="auto"/>
      </w:divBdr>
      <w:divsChild>
        <w:div w:id="280381624">
          <w:marLeft w:val="0"/>
          <w:marRight w:val="0"/>
          <w:marTop w:val="0"/>
          <w:marBottom w:val="0"/>
          <w:divBdr>
            <w:top w:val="none" w:sz="0" w:space="0" w:color="auto"/>
            <w:left w:val="none" w:sz="0" w:space="0" w:color="auto"/>
            <w:bottom w:val="none" w:sz="0" w:space="0" w:color="auto"/>
            <w:right w:val="none" w:sz="0" w:space="0" w:color="auto"/>
          </w:divBdr>
        </w:div>
        <w:div w:id="1587225705">
          <w:marLeft w:val="0"/>
          <w:marRight w:val="0"/>
          <w:marTop w:val="0"/>
          <w:marBottom w:val="0"/>
          <w:divBdr>
            <w:top w:val="none" w:sz="0" w:space="0" w:color="auto"/>
            <w:left w:val="none" w:sz="0" w:space="0" w:color="auto"/>
            <w:bottom w:val="none" w:sz="0" w:space="0" w:color="auto"/>
            <w:right w:val="none" w:sz="0" w:space="0" w:color="auto"/>
          </w:divBdr>
        </w:div>
        <w:div w:id="1667394565">
          <w:marLeft w:val="0"/>
          <w:marRight w:val="0"/>
          <w:marTop w:val="0"/>
          <w:marBottom w:val="0"/>
          <w:divBdr>
            <w:top w:val="none" w:sz="0" w:space="0" w:color="auto"/>
            <w:left w:val="none" w:sz="0" w:space="0" w:color="auto"/>
            <w:bottom w:val="none" w:sz="0" w:space="0" w:color="auto"/>
            <w:right w:val="none" w:sz="0" w:space="0" w:color="auto"/>
          </w:divBdr>
        </w:div>
        <w:div w:id="671494734">
          <w:marLeft w:val="0"/>
          <w:marRight w:val="0"/>
          <w:marTop w:val="0"/>
          <w:marBottom w:val="0"/>
          <w:divBdr>
            <w:top w:val="none" w:sz="0" w:space="0" w:color="auto"/>
            <w:left w:val="none" w:sz="0" w:space="0" w:color="auto"/>
            <w:bottom w:val="none" w:sz="0" w:space="0" w:color="auto"/>
            <w:right w:val="none" w:sz="0" w:space="0" w:color="auto"/>
          </w:divBdr>
        </w:div>
        <w:div w:id="1772314409">
          <w:marLeft w:val="0"/>
          <w:marRight w:val="0"/>
          <w:marTop w:val="0"/>
          <w:marBottom w:val="0"/>
          <w:divBdr>
            <w:top w:val="none" w:sz="0" w:space="0" w:color="auto"/>
            <w:left w:val="none" w:sz="0" w:space="0" w:color="auto"/>
            <w:bottom w:val="none" w:sz="0" w:space="0" w:color="auto"/>
            <w:right w:val="none" w:sz="0" w:space="0" w:color="auto"/>
          </w:divBdr>
        </w:div>
        <w:div w:id="986083251">
          <w:marLeft w:val="0"/>
          <w:marRight w:val="0"/>
          <w:marTop w:val="0"/>
          <w:marBottom w:val="0"/>
          <w:divBdr>
            <w:top w:val="none" w:sz="0" w:space="0" w:color="auto"/>
            <w:left w:val="none" w:sz="0" w:space="0" w:color="auto"/>
            <w:bottom w:val="none" w:sz="0" w:space="0" w:color="auto"/>
            <w:right w:val="none" w:sz="0" w:space="0" w:color="auto"/>
          </w:divBdr>
        </w:div>
      </w:divsChild>
    </w:div>
    <w:div w:id="1577476338">
      <w:bodyDiv w:val="1"/>
      <w:marLeft w:val="0"/>
      <w:marRight w:val="0"/>
      <w:marTop w:val="0"/>
      <w:marBottom w:val="0"/>
      <w:divBdr>
        <w:top w:val="none" w:sz="0" w:space="0" w:color="auto"/>
        <w:left w:val="none" w:sz="0" w:space="0" w:color="auto"/>
        <w:bottom w:val="none" w:sz="0" w:space="0" w:color="auto"/>
        <w:right w:val="none" w:sz="0" w:space="0" w:color="auto"/>
      </w:divBdr>
      <w:divsChild>
        <w:div w:id="746458789">
          <w:marLeft w:val="0"/>
          <w:marRight w:val="0"/>
          <w:marTop w:val="0"/>
          <w:marBottom w:val="0"/>
          <w:divBdr>
            <w:top w:val="none" w:sz="0" w:space="0" w:color="auto"/>
            <w:left w:val="none" w:sz="0" w:space="0" w:color="auto"/>
            <w:bottom w:val="none" w:sz="0" w:space="0" w:color="auto"/>
            <w:right w:val="none" w:sz="0" w:space="0" w:color="auto"/>
          </w:divBdr>
        </w:div>
        <w:div w:id="1822690392">
          <w:marLeft w:val="0"/>
          <w:marRight w:val="0"/>
          <w:marTop w:val="0"/>
          <w:marBottom w:val="0"/>
          <w:divBdr>
            <w:top w:val="none" w:sz="0" w:space="0" w:color="auto"/>
            <w:left w:val="none" w:sz="0" w:space="0" w:color="auto"/>
            <w:bottom w:val="none" w:sz="0" w:space="0" w:color="auto"/>
            <w:right w:val="none" w:sz="0" w:space="0" w:color="auto"/>
          </w:divBdr>
        </w:div>
        <w:div w:id="76099021">
          <w:marLeft w:val="0"/>
          <w:marRight w:val="0"/>
          <w:marTop w:val="0"/>
          <w:marBottom w:val="0"/>
          <w:divBdr>
            <w:top w:val="none" w:sz="0" w:space="0" w:color="auto"/>
            <w:left w:val="none" w:sz="0" w:space="0" w:color="auto"/>
            <w:bottom w:val="none" w:sz="0" w:space="0" w:color="auto"/>
            <w:right w:val="none" w:sz="0" w:space="0" w:color="auto"/>
          </w:divBdr>
        </w:div>
        <w:div w:id="531769551">
          <w:marLeft w:val="0"/>
          <w:marRight w:val="0"/>
          <w:marTop w:val="0"/>
          <w:marBottom w:val="0"/>
          <w:divBdr>
            <w:top w:val="none" w:sz="0" w:space="0" w:color="auto"/>
            <w:left w:val="none" w:sz="0" w:space="0" w:color="auto"/>
            <w:bottom w:val="none" w:sz="0" w:space="0" w:color="auto"/>
            <w:right w:val="none" w:sz="0" w:space="0" w:color="auto"/>
          </w:divBdr>
        </w:div>
        <w:div w:id="789513482">
          <w:marLeft w:val="0"/>
          <w:marRight w:val="0"/>
          <w:marTop w:val="0"/>
          <w:marBottom w:val="0"/>
          <w:divBdr>
            <w:top w:val="none" w:sz="0" w:space="0" w:color="auto"/>
            <w:left w:val="none" w:sz="0" w:space="0" w:color="auto"/>
            <w:bottom w:val="none" w:sz="0" w:space="0" w:color="auto"/>
            <w:right w:val="none" w:sz="0" w:space="0" w:color="auto"/>
          </w:divBdr>
        </w:div>
      </w:divsChild>
    </w:div>
    <w:div w:id="1596472892">
      <w:bodyDiv w:val="1"/>
      <w:marLeft w:val="0"/>
      <w:marRight w:val="0"/>
      <w:marTop w:val="0"/>
      <w:marBottom w:val="0"/>
      <w:divBdr>
        <w:top w:val="none" w:sz="0" w:space="0" w:color="auto"/>
        <w:left w:val="none" w:sz="0" w:space="0" w:color="auto"/>
        <w:bottom w:val="none" w:sz="0" w:space="0" w:color="auto"/>
        <w:right w:val="none" w:sz="0" w:space="0" w:color="auto"/>
      </w:divBdr>
      <w:divsChild>
        <w:div w:id="1101411226">
          <w:marLeft w:val="0"/>
          <w:marRight w:val="0"/>
          <w:marTop w:val="0"/>
          <w:marBottom w:val="0"/>
          <w:divBdr>
            <w:top w:val="none" w:sz="0" w:space="0" w:color="auto"/>
            <w:left w:val="none" w:sz="0" w:space="0" w:color="auto"/>
            <w:bottom w:val="none" w:sz="0" w:space="0" w:color="auto"/>
            <w:right w:val="none" w:sz="0" w:space="0" w:color="auto"/>
          </w:divBdr>
        </w:div>
        <w:div w:id="721834414">
          <w:marLeft w:val="0"/>
          <w:marRight w:val="0"/>
          <w:marTop w:val="0"/>
          <w:marBottom w:val="0"/>
          <w:divBdr>
            <w:top w:val="none" w:sz="0" w:space="0" w:color="auto"/>
            <w:left w:val="none" w:sz="0" w:space="0" w:color="auto"/>
            <w:bottom w:val="none" w:sz="0" w:space="0" w:color="auto"/>
            <w:right w:val="none" w:sz="0" w:space="0" w:color="auto"/>
          </w:divBdr>
        </w:div>
        <w:div w:id="672294243">
          <w:marLeft w:val="0"/>
          <w:marRight w:val="0"/>
          <w:marTop w:val="0"/>
          <w:marBottom w:val="0"/>
          <w:divBdr>
            <w:top w:val="none" w:sz="0" w:space="0" w:color="auto"/>
            <w:left w:val="none" w:sz="0" w:space="0" w:color="auto"/>
            <w:bottom w:val="none" w:sz="0" w:space="0" w:color="auto"/>
            <w:right w:val="none" w:sz="0" w:space="0" w:color="auto"/>
          </w:divBdr>
        </w:div>
        <w:div w:id="1045908914">
          <w:marLeft w:val="0"/>
          <w:marRight w:val="0"/>
          <w:marTop w:val="0"/>
          <w:marBottom w:val="0"/>
          <w:divBdr>
            <w:top w:val="none" w:sz="0" w:space="0" w:color="auto"/>
            <w:left w:val="none" w:sz="0" w:space="0" w:color="auto"/>
            <w:bottom w:val="none" w:sz="0" w:space="0" w:color="auto"/>
            <w:right w:val="none" w:sz="0" w:space="0" w:color="auto"/>
          </w:divBdr>
        </w:div>
        <w:div w:id="1066027132">
          <w:marLeft w:val="0"/>
          <w:marRight w:val="0"/>
          <w:marTop w:val="0"/>
          <w:marBottom w:val="0"/>
          <w:divBdr>
            <w:top w:val="none" w:sz="0" w:space="0" w:color="auto"/>
            <w:left w:val="none" w:sz="0" w:space="0" w:color="auto"/>
            <w:bottom w:val="none" w:sz="0" w:space="0" w:color="auto"/>
            <w:right w:val="none" w:sz="0" w:space="0" w:color="auto"/>
          </w:divBdr>
        </w:div>
        <w:div w:id="1310134905">
          <w:marLeft w:val="0"/>
          <w:marRight w:val="0"/>
          <w:marTop w:val="0"/>
          <w:marBottom w:val="0"/>
          <w:divBdr>
            <w:top w:val="none" w:sz="0" w:space="0" w:color="auto"/>
            <w:left w:val="none" w:sz="0" w:space="0" w:color="auto"/>
            <w:bottom w:val="none" w:sz="0" w:space="0" w:color="auto"/>
            <w:right w:val="none" w:sz="0" w:space="0" w:color="auto"/>
          </w:divBdr>
        </w:div>
        <w:div w:id="1268729414">
          <w:marLeft w:val="0"/>
          <w:marRight w:val="0"/>
          <w:marTop w:val="0"/>
          <w:marBottom w:val="0"/>
          <w:divBdr>
            <w:top w:val="none" w:sz="0" w:space="0" w:color="auto"/>
            <w:left w:val="none" w:sz="0" w:space="0" w:color="auto"/>
            <w:bottom w:val="none" w:sz="0" w:space="0" w:color="auto"/>
            <w:right w:val="none" w:sz="0" w:space="0" w:color="auto"/>
          </w:divBdr>
        </w:div>
        <w:div w:id="421999113">
          <w:marLeft w:val="0"/>
          <w:marRight w:val="0"/>
          <w:marTop w:val="0"/>
          <w:marBottom w:val="0"/>
          <w:divBdr>
            <w:top w:val="none" w:sz="0" w:space="0" w:color="auto"/>
            <w:left w:val="none" w:sz="0" w:space="0" w:color="auto"/>
            <w:bottom w:val="none" w:sz="0" w:space="0" w:color="auto"/>
            <w:right w:val="none" w:sz="0" w:space="0" w:color="auto"/>
          </w:divBdr>
        </w:div>
        <w:div w:id="250552221">
          <w:marLeft w:val="0"/>
          <w:marRight w:val="0"/>
          <w:marTop w:val="0"/>
          <w:marBottom w:val="0"/>
          <w:divBdr>
            <w:top w:val="none" w:sz="0" w:space="0" w:color="auto"/>
            <w:left w:val="none" w:sz="0" w:space="0" w:color="auto"/>
            <w:bottom w:val="none" w:sz="0" w:space="0" w:color="auto"/>
            <w:right w:val="none" w:sz="0" w:space="0" w:color="auto"/>
          </w:divBdr>
        </w:div>
      </w:divsChild>
    </w:div>
    <w:div w:id="1611741565">
      <w:bodyDiv w:val="1"/>
      <w:marLeft w:val="0"/>
      <w:marRight w:val="0"/>
      <w:marTop w:val="0"/>
      <w:marBottom w:val="0"/>
      <w:divBdr>
        <w:top w:val="none" w:sz="0" w:space="0" w:color="auto"/>
        <w:left w:val="none" w:sz="0" w:space="0" w:color="auto"/>
        <w:bottom w:val="none" w:sz="0" w:space="0" w:color="auto"/>
        <w:right w:val="none" w:sz="0" w:space="0" w:color="auto"/>
      </w:divBdr>
      <w:divsChild>
        <w:div w:id="1483424526">
          <w:marLeft w:val="0"/>
          <w:marRight w:val="0"/>
          <w:marTop w:val="0"/>
          <w:marBottom w:val="0"/>
          <w:divBdr>
            <w:top w:val="none" w:sz="0" w:space="0" w:color="auto"/>
            <w:left w:val="none" w:sz="0" w:space="0" w:color="auto"/>
            <w:bottom w:val="none" w:sz="0" w:space="0" w:color="auto"/>
            <w:right w:val="none" w:sz="0" w:space="0" w:color="auto"/>
          </w:divBdr>
        </w:div>
        <w:div w:id="47464219">
          <w:marLeft w:val="0"/>
          <w:marRight w:val="0"/>
          <w:marTop w:val="0"/>
          <w:marBottom w:val="0"/>
          <w:divBdr>
            <w:top w:val="none" w:sz="0" w:space="0" w:color="auto"/>
            <w:left w:val="none" w:sz="0" w:space="0" w:color="auto"/>
            <w:bottom w:val="none" w:sz="0" w:space="0" w:color="auto"/>
            <w:right w:val="none" w:sz="0" w:space="0" w:color="auto"/>
          </w:divBdr>
        </w:div>
        <w:div w:id="13196278">
          <w:marLeft w:val="0"/>
          <w:marRight w:val="0"/>
          <w:marTop w:val="0"/>
          <w:marBottom w:val="0"/>
          <w:divBdr>
            <w:top w:val="none" w:sz="0" w:space="0" w:color="auto"/>
            <w:left w:val="none" w:sz="0" w:space="0" w:color="auto"/>
            <w:bottom w:val="none" w:sz="0" w:space="0" w:color="auto"/>
            <w:right w:val="none" w:sz="0" w:space="0" w:color="auto"/>
          </w:divBdr>
        </w:div>
        <w:div w:id="150222719">
          <w:marLeft w:val="0"/>
          <w:marRight w:val="0"/>
          <w:marTop w:val="0"/>
          <w:marBottom w:val="0"/>
          <w:divBdr>
            <w:top w:val="none" w:sz="0" w:space="0" w:color="auto"/>
            <w:left w:val="none" w:sz="0" w:space="0" w:color="auto"/>
            <w:bottom w:val="none" w:sz="0" w:space="0" w:color="auto"/>
            <w:right w:val="none" w:sz="0" w:space="0" w:color="auto"/>
          </w:divBdr>
        </w:div>
        <w:div w:id="493958789">
          <w:marLeft w:val="0"/>
          <w:marRight w:val="0"/>
          <w:marTop w:val="0"/>
          <w:marBottom w:val="0"/>
          <w:divBdr>
            <w:top w:val="none" w:sz="0" w:space="0" w:color="auto"/>
            <w:left w:val="none" w:sz="0" w:space="0" w:color="auto"/>
            <w:bottom w:val="none" w:sz="0" w:space="0" w:color="auto"/>
            <w:right w:val="none" w:sz="0" w:space="0" w:color="auto"/>
          </w:divBdr>
        </w:div>
        <w:div w:id="698773532">
          <w:marLeft w:val="0"/>
          <w:marRight w:val="0"/>
          <w:marTop w:val="0"/>
          <w:marBottom w:val="0"/>
          <w:divBdr>
            <w:top w:val="none" w:sz="0" w:space="0" w:color="auto"/>
            <w:left w:val="none" w:sz="0" w:space="0" w:color="auto"/>
            <w:bottom w:val="none" w:sz="0" w:space="0" w:color="auto"/>
            <w:right w:val="none" w:sz="0" w:space="0" w:color="auto"/>
          </w:divBdr>
        </w:div>
        <w:div w:id="2131588968">
          <w:marLeft w:val="0"/>
          <w:marRight w:val="0"/>
          <w:marTop w:val="0"/>
          <w:marBottom w:val="0"/>
          <w:divBdr>
            <w:top w:val="none" w:sz="0" w:space="0" w:color="auto"/>
            <w:left w:val="none" w:sz="0" w:space="0" w:color="auto"/>
            <w:bottom w:val="none" w:sz="0" w:space="0" w:color="auto"/>
            <w:right w:val="none" w:sz="0" w:space="0" w:color="auto"/>
          </w:divBdr>
        </w:div>
        <w:div w:id="11879296">
          <w:marLeft w:val="0"/>
          <w:marRight w:val="0"/>
          <w:marTop w:val="0"/>
          <w:marBottom w:val="0"/>
          <w:divBdr>
            <w:top w:val="none" w:sz="0" w:space="0" w:color="auto"/>
            <w:left w:val="none" w:sz="0" w:space="0" w:color="auto"/>
            <w:bottom w:val="none" w:sz="0" w:space="0" w:color="auto"/>
            <w:right w:val="none" w:sz="0" w:space="0" w:color="auto"/>
          </w:divBdr>
        </w:div>
        <w:div w:id="548030875">
          <w:marLeft w:val="0"/>
          <w:marRight w:val="0"/>
          <w:marTop w:val="0"/>
          <w:marBottom w:val="0"/>
          <w:divBdr>
            <w:top w:val="none" w:sz="0" w:space="0" w:color="auto"/>
            <w:left w:val="none" w:sz="0" w:space="0" w:color="auto"/>
            <w:bottom w:val="none" w:sz="0" w:space="0" w:color="auto"/>
            <w:right w:val="none" w:sz="0" w:space="0" w:color="auto"/>
          </w:divBdr>
        </w:div>
        <w:div w:id="1704555633">
          <w:marLeft w:val="0"/>
          <w:marRight w:val="0"/>
          <w:marTop w:val="0"/>
          <w:marBottom w:val="0"/>
          <w:divBdr>
            <w:top w:val="none" w:sz="0" w:space="0" w:color="auto"/>
            <w:left w:val="none" w:sz="0" w:space="0" w:color="auto"/>
            <w:bottom w:val="none" w:sz="0" w:space="0" w:color="auto"/>
            <w:right w:val="none" w:sz="0" w:space="0" w:color="auto"/>
          </w:divBdr>
        </w:div>
        <w:div w:id="791752513">
          <w:marLeft w:val="0"/>
          <w:marRight w:val="0"/>
          <w:marTop w:val="0"/>
          <w:marBottom w:val="0"/>
          <w:divBdr>
            <w:top w:val="none" w:sz="0" w:space="0" w:color="auto"/>
            <w:left w:val="none" w:sz="0" w:space="0" w:color="auto"/>
            <w:bottom w:val="none" w:sz="0" w:space="0" w:color="auto"/>
            <w:right w:val="none" w:sz="0" w:space="0" w:color="auto"/>
          </w:divBdr>
        </w:div>
      </w:divsChild>
    </w:div>
    <w:div w:id="1613243439">
      <w:bodyDiv w:val="1"/>
      <w:marLeft w:val="0"/>
      <w:marRight w:val="0"/>
      <w:marTop w:val="0"/>
      <w:marBottom w:val="0"/>
      <w:divBdr>
        <w:top w:val="none" w:sz="0" w:space="0" w:color="auto"/>
        <w:left w:val="none" w:sz="0" w:space="0" w:color="auto"/>
        <w:bottom w:val="none" w:sz="0" w:space="0" w:color="auto"/>
        <w:right w:val="none" w:sz="0" w:space="0" w:color="auto"/>
      </w:divBdr>
      <w:divsChild>
        <w:div w:id="1763331421">
          <w:marLeft w:val="0"/>
          <w:marRight w:val="0"/>
          <w:marTop w:val="0"/>
          <w:marBottom w:val="0"/>
          <w:divBdr>
            <w:top w:val="none" w:sz="0" w:space="0" w:color="auto"/>
            <w:left w:val="none" w:sz="0" w:space="0" w:color="auto"/>
            <w:bottom w:val="none" w:sz="0" w:space="0" w:color="auto"/>
            <w:right w:val="none" w:sz="0" w:space="0" w:color="auto"/>
          </w:divBdr>
        </w:div>
        <w:div w:id="1996370403">
          <w:marLeft w:val="0"/>
          <w:marRight w:val="0"/>
          <w:marTop w:val="0"/>
          <w:marBottom w:val="0"/>
          <w:divBdr>
            <w:top w:val="none" w:sz="0" w:space="0" w:color="auto"/>
            <w:left w:val="none" w:sz="0" w:space="0" w:color="auto"/>
            <w:bottom w:val="none" w:sz="0" w:space="0" w:color="auto"/>
            <w:right w:val="none" w:sz="0" w:space="0" w:color="auto"/>
          </w:divBdr>
        </w:div>
        <w:div w:id="2052533154">
          <w:marLeft w:val="0"/>
          <w:marRight w:val="0"/>
          <w:marTop w:val="0"/>
          <w:marBottom w:val="0"/>
          <w:divBdr>
            <w:top w:val="none" w:sz="0" w:space="0" w:color="auto"/>
            <w:left w:val="none" w:sz="0" w:space="0" w:color="auto"/>
            <w:bottom w:val="none" w:sz="0" w:space="0" w:color="auto"/>
            <w:right w:val="none" w:sz="0" w:space="0" w:color="auto"/>
          </w:divBdr>
        </w:div>
        <w:div w:id="2118790637">
          <w:marLeft w:val="0"/>
          <w:marRight w:val="0"/>
          <w:marTop w:val="0"/>
          <w:marBottom w:val="0"/>
          <w:divBdr>
            <w:top w:val="none" w:sz="0" w:space="0" w:color="auto"/>
            <w:left w:val="none" w:sz="0" w:space="0" w:color="auto"/>
            <w:bottom w:val="none" w:sz="0" w:space="0" w:color="auto"/>
            <w:right w:val="none" w:sz="0" w:space="0" w:color="auto"/>
          </w:divBdr>
        </w:div>
      </w:divsChild>
    </w:div>
    <w:div w:id="1619413344">
      <w:bodyDiv w:val="1"/>
      <w:marLeft w:val="0"/>
      <w:marRight w:val="0"/>
      <w:marTop w:val="0"/>
      <w:marBottom w:val="0"/>
      <w:divBdr>
        <w:top w:val="none" w:sz="0" w:space="0" w:color="auto"/>
        <w:left w:val="none" w:sz="0" w:space="0" w:color="auto"/>
        <w:bottom w:val="none" w:sz="0" w:space="0" w:color="auto"/>
        <w:right w:val="none" w:sz="0" w:space="0" w:color="auto"/>
      </w:divBdr>
      <w:divsChild>
        <w:div w:id="659424801">
          <w:marLeft w:val="0"/>
          <w:marRight w:val="0"/>
          <w:marTop w:val="0"/>
          <w:marBottom w:val="0"/>
          <w:divBdr>
            <w:top w:val="none" w:sz="0" w:space="0" w:color="auto"/>
            <w:left w:val="none" w:sz="0" w:space="0" w:color="auto"/>
            <w:bottom w:val="none" w:sz="0" w:space="0" w:color="auto"/>
            <w:right w:val="none" w:sz="0" w:space="0" w:color="auto"/>
          </w:divBdr>
        </w:div>
        <w:div w:id="884416693">
          <w:marLeft w:val="0"/>
          <w:marRight w:val="0"/>
          <w:marTop w:val="0"/>
          <w:marBottom w:val="0"/>
          <w:divBdr>
            <w:top w:val="none" w:sz="0" w:space="0" w:color="auto"/>
            <w:left w:val="none" w:sz="0" w:space="0" w:color="auto"/>
            <w:bottom w:val="none" w:sz="0" w:space="0" w:color="auto"/>
            <w:right w:val="none" w:sz="0" w:space="0" w:color="auto"/>
          </w:divBdr>
        </w:div>
        <w:div w:id="1189955571">
          <w:marLeft w:val="0"/>
          <w:marRight w:val="0"/>
          <w:marTop w:val="0"/>
          <w:marBottom w:val="0"/>
          <w:divBdr>
            <w:top w:val="none" w:sz="0" w:space="0" w:color="auto"/>
            <w:left w:val="none" w:sz="0" w:space="0" w:color="auto"/>
            <w:bottom w:val="none" w:sz="0" w:space="0" w:color="auto"/>
            <w:right w:val="none" w:sz="0" w:space="0" w:color="auto"/>
          </w:divBdr>
        </w:div>
        <w:div w:id="1465083170">
          <w:marLeft w:val="0"/>
          <w:marRight w:val="0"/>
          <w:marTop w:val="0"/>
          <w:marBottom w:val="0"/>
          <w:divBdr>
            <w:top w:val="none" w:sz="0" w:space="0" w:color="auto"/>
            <w:left w:val="none" w:sz="0" w:space="0" w:color="auto"/>
            <w:bottom w:val="none" w:sz="0" w:space="0" w:color="auto"/>
            <w:right w:val="none" w:sz="0" w:space="0" w:color="auto"/>
          </w:divBdr>
        </w:div>
      </w:divsChild>
    </w:div>
    <w:div w:id="1637417151">
      <w:bodyDiv w:val="1"/>
      <w:marLeft w:val="0"/>
      <w:marRight w:val="0"/>
      <w:marTop w:val="0"/>
      <w:marBottom w:val="0"/>
      <w:divBdr>
        <w:top w:val="none" w:sz="0" w:space="0" w:color="auto"/>
        <w:left w:val="none" w:sz="0" w:space="0" w:color="auto"/>
        <w:bottom w:val="none" w:sz="0" w:space="0" w:color="auto"/>
        <w:right w:val="none" w:sz="0" w:space="0" w:color="auto"/>
      </w:divBdr>
      <w:divsChild>
        <w:div w:id="1005788368">
          <w:marLeft w:val="0"/>
          <w:marRight w:val="0"/>
          <w:marTop w:val="0"/>
          <w:marBottom w:val="0"/>
          <w:divBdr>
            <w:top w:val="none" w:sz="0" w:space="0" w:color="auto"/>
            <w:left w:val="none" w:sz="0" w:space="0" w:color="auto"/>
            <w:bottom w:val="none" w:sz="0" w:space="0" w:color="auto"/>
            <w:right w:val="none" w:sz="0" w:space="0" w:color="auto"/>
          </w:divBdr>
        </w:div>
        <w:div w:id="1965502215">
          <w:marLeft w:val="0"/>
          <w:marRight w:val="0"/>
          <w:marTop w:val="0"/>
          <w:marBottom w:val="0"/>
          <w:divBdr>
            <w:top w:val="none" w:sz="0" w:space="0" w:color="auto"/>
            <w:left w:val="none" w:sz="0" w:space="0" w:color="auto"/>
            <w:bottom w:val="none" w:sz="0" w:space="0" w:color="auto"/>
            <w:right w:val="none" w:sz="0" w:space="0" w:color="auto"/>
          </w:divBdr>
        </w:div>
        <w:div w:id="947660966">
          <w:marLeft w:val="0"/>
          <w:marRight w:val="0"/>
          <w:marTop w:val="0"/>
          <w:marBottom w:val="0"/>
          <w:divBdr>
            <w:top w:val="none" w:sz="0" w:space="0" w:color="auto"/>
            <w:left w:val="none" w:sz="0" w:space="0" w:color="auto"/>
            <w:bottom w:val="none" w:sz="0" w:space="0" w:color="auto"/>
            <w:right w:val="none" w:sz="0" w:space="0" w:color="auto"/>
          </w:divBdr>
        </w:div>
        <w:div w:id="2001542121">
          <w:marLeft w:val="0"/>
          <w:marRight w:val="0"/>
          <w:marTop w:val="0"/>
          <w:marBottom w:val="0"/>
          <w:divBdr>
            <w:top w:val="none" w:sz="0" w:space="0" w:color="auto"/>
            <w:left w:val="none" w:sz="0" w:space="0" w:color="auto"/>
            <w:bottom w:val="none" w:sz="0" w:space="0" w:color="auto"/>
            <w:right w:val="none" w:sz="0" w:space="0" w:color="auto"/>
          </w:divBdr>
        </w:div>
        <w:div w:id="1157111300">
          <w:marLeft w:val="0"/>
          <w:marRight w:val="0"/>
          <w:marTop w:val="0"/>
          <w:marBottom w:val="0"/>
          <w:divBdr>
            <w:top w:val="none" w:sz="0" w:space="0" w:color="auto"/>
            <w:left w:val="none" w:sz="0" w:space="0" w:color="auto"/>
            <w:bottom w:val="none" w:sz="0" w:space="0" w:color="auto"/>
            <w:right w:val="none" w:sz="0" w:space="0" w:color="auto"/>
          </w:divBdr>
        </w:div>
        <w:div w:id="323094611">
          <w:marLeft w:val="0"/>
          <w:marRight w:val="0"/>
          <w:marTop w:val="0"/>
          <w:marBottom w:val="0"/>
          <w:divBdr>
            <w:top w:val="none" w:sz="0" w:space="0" w:color="auto"/>
            <w:left w:val="none" w:sz="0" w:space="0" w:color="auto"/>
            <w:bottom w:val="none" w:sz="0" w:space="0" w:color="auto"/>
            <w:right w:val="none" w:sz="0" w:space="0" w:color="auto"/>
          </w:divBdr>
        </w:div>
      </w:divsChild>
    </w:div>
    <w:div w:id="1640719832">
      <w:bodyDiv w:val="1"/>
      <w:marLeft w:val="0"/>
      <w:marRight w:val="0"/>
      <w:marTop w:val="0"/>
      <w:marBottom w:val="0"/>
      <w:divBdr>
        <w:top w:val="none" w:sz="0" w:space="0" w:color="auto"/>
        <w:left w:val="none" w:sz="0" w:space="0" w:color="auto"/>
        <w:bottom w:val="none" w:sz="0" w:space="0" w:color="auto"/>
        <w:right w:val="none" w:sz="0" w:space="0" w:color="auto"/>
      </w:divBdr>
      <w:divsChild>
        <w:div w:id="940601203">
          <w:marLeft w:val="0"/>
          <w:marRight w:val="0"/>
          <w:marTop w:val="0"/>
          <w:marBottom w:val="0"/>
          <w:divBdr>
            <w:top w:val="none" w:sz="0" w:space="0" w:color="auto"/>
            <w:left w:val="none" w:sz="0" w:space="0" w:color="auto"/>
            <w:bottom w:val="none" w:sz="0" w:space="0" w:color="auto"/>
            <w:right w:val="none" w:sz="0" w:space="0" w:color="auto"/>
          </w:divBdr>
        </w:div>
        <w:div w:id="794711009">
          <w:marLeft w:val="0"/>
          <w:marRight w:val="0"/>
          <w:marTop w:val="0"/>
          <w:marBottom w:val="0"/>
          <w:divBdr>
            <w:top w:val="none" w:sz="0" w:space="0" w:color="auto"/>
            <w:left w:val="none" w:sz="0" w:space="0" w:color="auto"/>
            <w:bottom w:val="none" w:sz="0" w:space="0" w:color="auto"/>
            <w:right w:val="none" w:sz="0" w:space="0" w:color="auto"/>
          </w:divBdr>
        </w:div>
        <w:div w:id="1928074177">
          <w:marLeft w:val="0"/>
          <w:marRight w:val="0"/>
          <w:marTop w:val="0"/>
          <w:marBottom w:val="0"/>
          <w:divBdr>
            <w:top w:val="none" w:sz="0" w:space="0" w:color="auto"/>
            <w:left w:val="none" w:sz="0" w:space="0" w:color="auto"/>
            <w:bottom w:val="none" w:sz="0" w:space="0" w:color="auto"/>
            <w:right w:val="none" w:sz="0" w:space="0" w:color="auto"/>
          </w:divBdr>
        </w:div>
        <w:div w:id="1741707960">
          <w:marLeft w:val="0"/>
          <w:marRight w:val="0"/>
          <w:marTop w:val="0"/>
          <w:marBottom w:val="0"/>
          <w:divBdr>
            <w:top w:val="none" w:sz="0" w:space="0" w:color="auto"/>
            <w:left w:val="none" w:sz="0" w:space="0" w:color="auto"/>
            <w:bottom w:val="none" w:sz="0" w:space="0" w:color="auto"/>
            <w:right w:val="none" w:sz="0" w:space="0" w:color="auto"/>
          </w:divBdr>
        </w:div>
        <w:div w:id="1597133002">
          <w:marLeft w:val="0"/>
          <w:marRight w:val="0"/>
          <w:marTop w:val="0"/>
          <w:marBottom w:val="0"/>
          <w:divBdr>
            <w:top w:val="none" w:sz="0" w:space="0" w:color="auto"/>
            <w:left w:val="none" w:sz="0" w:space="0" w:color="auto"/>
            <w:bottom w:val="none" w:sz="0" w:space="0" w:color="auto"/>
            <w:right w:val="none" w:sz="0" w:space="0" w:color="auto"/>
          </w:divBdr>
        </w:div>
        <w:div w:id="1693647589">
          <w:marLeft w:val="0"/>
          <w:marRight w:val="0"/>
          <w:marTop w:val="0"/>
          <w:marBottom w:val="0"/>
          <w:divBdr>
            <w:top w:val="none" w:sz="0" w:space="0" w:color="auto"/>
            <w:left w:val="none" w:sz="0" w:space="0" w:color="auto"/>
            <w:bottom w:val="none" w:sz="0" w:space="0" w:color="auto"/>
            <w:right w:val="none" w:sz="0" w:space="0" w:color="auto"/>
          </w:divBdr>
        </w:div>
        <w:div w:id="267733950">
          <w:marLeft w:val="0"/>
          <w:marRight w:val="0"/>
          <w:marTop w:val="0"/>
          <w:marBottom w:val="0"/>
          <w:divBdr>
            <w:top w:val="none" w:sz="0" w:space="0" w:color="auto"/>
            <w:left w:val="none" w:sz="0" w:space="0" w:color="auto"/>
            <w:bottom w:val="none" w:sz="0" w:space="0" w:color="auto"/>
            <w:right w:val="none" w:sz="0" w:space="0" w:color="auto"/>
          </w:divBdr>
        </w:div>
        <w:div w:id="1467893456">
          <w:marLeft w:val="0"/>
          <w:marRight w:val="0"/>
          <w:marTop w:val="0"/>
          <w:marBottom w:val="0"/>
          <w:divBdr>
            <w:top w:val="none" w:sz="0" w:space="0" w:color="auto"/>
            <w:left w:val="none" w:sz="0" w:space="0" w:color="auto"/>
            <w:bottom w:val="none" w:sz="0" w:space="0" w:color="auto"/>
            <w:right w:val="none" w:sz="0" w:space="0" w:color="auto"/>
          </w:divBdr>
        </w:div>
        <w:div w:id="736704546">
          <w:marLeft w:val="0"/>
          <w:marRight w:val="0"/>
          <w:marTop w:val="0"/>
          <w:marBottom w:val="0"/>
          <w:divBdr>
            <w:top w:val="none" w:sz="0" w:space="0" w:color="auto"/>
            <w:left w:val="none" w:sz="0" w:space="0" w:color="auto"/>
            <w:bottom w:val="none" w:sz="0" w:space="0" w:color="auto"/>
            <w:right w:val="none" w:sz="0" w:space="0" w:color="auto"/>
          </w:divBdr>
        </w:div>
        <w:div w:id="436410671">
          <w:marLeft w:val="0"/>
          <w:marRight w:val="0"/>
          <w:marTop w:val="0"/>
          <w:marBottom w:val="0"/>
          <w:divBdr>
            <w:top w:val="none" w:sz="0" w:space="0" w:color="auto"/>
            <w:left w:val="none" w:sz="0" w:space="0" w:color="auto"/>
            <w:bottom w:val="none" w:sz="0" w:space="0" w:color="auto"/>
            <w:right w:val="none" w:sz="0" w:space="0" w:color="auto"/>
          </w:divBdr>
        </w:div>
        <w:div w:id="1081176355">
          <w:marLeft w:val="0"/>
          <w:marRight w:val="0"/>
          <w:marTop w:val="0"/>
          <w:marBottom w:val="0"/>
          <w:divBdr>
            <w:top w:val="none" w:sz="0" w:space="0" w:color="auto"/>
            <w:left w:val="none" w:sz="0" w:space="0" w:color="auto"/>
            <w:bottom w:val="none" w:sz="0" w:space="0" w:color="auto"/>
            <w:right w:val="none" w:sz="0" w:space="0" w:color="auto"/>
          </w:divBdr>
        </w:div>
        <w:div w:id="1982735036">
          <w:marLeft w:val="0"/>
          <w:marRight w:val="0"/>
          <w:marTop w:val="0"/>
          <w:marBottom w:val="0"/>
          <w:divBdr>
            <w:top w:val="none" w:sz="0" w:space="0" w:color="auto"/>
            <w:left w:val="none" w:sz="0" w:space="0" w:color="auto"/>
            <w:bottom w:val="none" w:sz="0" w:space="0" w:color="auto"/>
            <w:right w:val="none" w:sz="0" w:space="0" w:color="auto"/>
          </w:divBdr>
        </w:div>
        <w:div w:id="628440070">
          <w:marLeft w:val="0"/>
          <w:marRight w:val="0"/>
          <w:marTop w:val="0"/>
          <w:marBottom w:val="0"/>
          <w:divBdr>
            <w:top w:val="none" w:sz="0" w:space="0" w:color="auto"/>
            <w:left w:val="none" w:sz="0" w:space="0" w:color="auto"/>
            <w:bottom w:val="none" w:sz="0" w:space="0" w:color="auto"/>
            <w:right w:val="none" w:sz="0" w:space="0" w:color="auto"/>
          </w:divBdr>
        </w:div>
        <w:div w:id="1353612449">
          <w:marLeft w:val="0"/>
          <w:marRight w:val="0"/>
          <w:marTop w:val="0"/>
          <w:marBottom w:val="0"/>
          <w:divBdr>
            <w:top w:val="none" w:sz="0" w:space="0" w:color="auto"/>
            <w:left w:val="none" w:sz="0" w:space="0" w:color="auto"/>
            <w:bottom w:val="none" w:sz="0" w:space="0" w:color="auto"/>
            <w:right w:val="none" w:sz="0" w:space="0" w:color="auto"/>
          </w:divBdr>
        </w:div>
        <w:div w:id="1523931682">
          <w:marLeft w:val="0"/>
          <w:marRight w:val="0"/>
          <w:marTop w:val="0"/>
          <w:marBottom w:val="0"/>
          <w:divBdr>
            <w:top w:val="none" w:sz="0" w:space="0" w:color="auto"/>
            <w:left w:val="none" w:sz="0" w:space="0" w:color="auto"/>
            <w:bottom w:val="none" w:sz="0" w:space="0" w:color="auto"/>
            <w:right w:val="none" w:sz="0" w:space="0" w:color="auto"/>
          </w:divBdr>
        </w:div>
      </w:divsChild>
    </w:div>
    <w:div w:id="1653873406">
      <w:bodyDiv w:val="1"/>
      <w:marLeft w:val="0"/>
      <w:marRight w:val="0"/>
      <w:marTop w:val="0"/>
      <w:marBottom w:val="0"/>
      <w:divBdr>
        <w:top w:val="none" w:sz="0" w:space="0" w:color="auto"/>
        <w:left w:val="none" w:sz="0" w:space="0" w:color="auto"/>
        <w:bottom w:val="none" w:sz="0" w:space="0" w:color="auto"/>
        <w:right w:val="none" w:sz="0" w:space="0" w:color="auto"/>
      </w:divBdr>
      <w:divsChild>
        <w:div w:id="472868550">
          <w:marLeft w:val="0"/>
          <w:marRight w:val="0"/>
          <w:marTop w:val="0"/>
          <w:marBottom w:val="0"/>
          <w:divBdr>
            <w:top w:val="none" w:sz="0" w:space="0" w:color="auto"/>
            <w:left w:val="none" w:sz="0" w:space="0" w:color="auto"/>
            <w:bottom w:val="none" w:sz="0" w:space="0" w:color="auto"/>
            <w:right w:val="none" w:sz="0" w:space="0" w:color="auto"/>
          </w:divBdr>
        </w:div>
        <w:div w:id="1549105774">
          <w:marLeft w:val="0"/>
          <w:marRight w:val="0"/>
          <w:marTop w:val="0"/>
          <w:marBottom w:val="0"/>
          <w:divBdr>
            <w:top w:val="none" w:sz="0" w:space="0" w:color="auto"/>
            <w:left w:val="none" w:sz="0" w:space="0" w:color="auto"/>
            <w:bottom w:val="none" w:sz="0" w:space="0" w:color="auto"/>
            <w:right w:val="none" w:sz="0" w:space="0" w:color="auto"/>
          </w:divBdr>
        </w:div>
        <w:div w:id="1898590966">
          <w:marLeft w:val="0"/>
          <w:marRight w:val="0"/>
          <w:marTop w:val="0"/>
          <w:marBottom w:val="0"/>
          <w:divBdr>
            <w:top w:val="none" w:sz="0" w:space="0" w:color="auto"/>
            <w:left w:val="none" w:sz="0" w:space="0" w:color="auto"/>
            <w:bottom w:val="none" w:sz="0" w:space="0" w:color="auto"/>
            <w:right w:val="none" w:sz="0" w:space="0" w:color="auto"/>
          </w:divBdr>
        </w:div>
        <w:div w:id="398795244">
          <w:marLeft w:val="0"/>
          <w:marRight w:val="0"/>
          <w:marTop w:val="0"/>
          <w:marBottom w:val="0"/>
          <w:divBdr>
            <w:top w:val="none" w:sz="0" w:space="0" w:color="auto"/>
            <w:left w:val="none" w:sz="0" w:space="0" w:color="auto"/>
            <w:bottom w:val="none" w:sz="0" w:space="0" w:color="auto"/>
            <w:right w:val="none" w:sz="0" w:space="0" w:color="auto"/>
          </w:divBdr>
        </w:div>
        <w:div w:id="1623882943">
          <w:marLeft w:val="0"/>
          <w:marRight w:val="0"/>
          <w:marTop w:val="0"/>
          <w:marBottom w:val="0"/>
          <w:divBdr>
            <w:top w:val="none" w:sz="0" w:space="0" w:color="auto"/>
            <w:left w:val="none" w:sz="0" w:space="0" w:color="auto"/>
            <w:bottom w:val="none" w:sz="0" w:space="0" w:color="auto"/>
            <w:right w:val="none" w:sz="0" w:space="0" w:color="auto"/>
          </w:divBdr>
        </w:div>
        <w:div w:id="1422489250">
          <w:marLeft w:val="0"/>
          <w:marRight w:val="0"/>
          <w:marTop w:val="0"/>
          <w:marBottom w:val="0"/>
          <w:divBdr>
            <w:top w:val="none" w:sz="0" w:space="0" w:color="auto"/>
            <w:left w:val="none" w:sz="0" w:space="0" w:color="auto"/>
            <w:bottom w:val="none" w:sz="0" w:space="0" w:color="auto"/>
            <w:right w:val="none" w:sz="0" w:space="0" w:color="auto"/>
          </w:divBdr>
        </w:div>
        <w:div w:id="1385830902">
          <w:marLeft w:val="0"/>
          <w:marRight w:val="0"/>
          <w:marTop w:val="0"/>
          <w:marBottom w:val="0"/>
          <w:divBdr>
            <w:top w:val="none" w:sz="0" w:space="0" w:color="auto"/>
            <w:left w:val="none" w:sz="0" w:space="0" w:color="auto"/>
            <w:bottom w:val="none" w:sz="0" w:space="0" w:color="auto"/>
            <w:right w:val="none" w:sz="0" w:space="0" w:color="auto"/>
          </w:divBdr>
        </w:div>
        <w:div w:id="170946995">
          <w:marLeft w:val="0"/>
          <w:marRight w:val="0"/>
          <w:marTop w:val="0"/>
          <w:marBottom w:val="0"/>
          <w:divBdr>
            <w:top w:val="none" w:sz="0" w:space="0" w:color="auto"/>
            <w:left w:val="none" w:sz="0" w:space="0" w:color="auto"/>
            <w:bottom w:val="none" w:sz="0" w:space="0" w:color="auto"/>
            <w:right w:val="none" w:sz="0" w:space="0" w:color="auto"/>
          </w:divBdr>
        </w:div>
        <w:div w:id="233708326">
          <w:marLeft w:val="0"/>
          <w:marRight w:val="0"/>
          <w:marTop w:val="0"/>
          <w:marBottom w:val="0"/>
          <w:divBdr>
            <w:top w:val="none" w:sz="0" w:space="0" w:color="auto"/>
            <w:left w:val="none" w:sz="0" w:space="0" w:color="auto"/>
            <w:bottom w:val="none" w:sz="0" w:space="0" w:color="auto"/>
            <w:right w:val="none" w:sz="0" w:space="0" w:color="auto"/>
          </w:divBdr>
        </w:div>
        <w:div w:id="496964873">
          <w:marLeft w:val="0"/>
          <w:marRight w:val="0"/>
          <w:marTop w:val="0"/>
          <w:marBottom w:val="0"/>
          <w:divBdr>
            <w:top w:val="none" w:sz="0" w:space="0" w:color="auto"/>
            <w:left w:val="none" w:sz="0" w:space="0" w:color="auto"/>
            <w:bottom w:val="none" w:sz="0" w:space="0" w:color="auto"/>
            <w:right w:val="none" w:sz="0" w:space="0" w:color="auto"/>
          </w:divBdr>
        </w:div>
        <w:div w:id="2037392230">
          <w:marLeft w:val="0"/>
          <w:marRight w:val="0"/>
          <w:marTop w:val="0"/>
          <w:marBottom w:val="0"/>
          <w:divBdr>
            <w:top w:val="none" w:sz="0" w:space="0" w:color="auto"/>
            <w:left w:val="none" w:sz="0" w:space="0" w:color="auto"/>
            <w:bottom w:val="none" w:sz="0" w:space="0" w:color="auto"/>
            <w:right w:val="none" w:sz="0" w:space="0" w:color="auto"/>
          </w:divBdr>
        </w:div>
        <w:div w:id="2140999175">
          <w:marLeft w:val="0"/>
          <w:marRight w:val="0"/>
          <w:marTop w:val="0"/>
          <w:marBottom w:val="0"/>
          <w:divBdr>
            <w:top w:val="none" w:sz="0" w:space="0" w:color="auto"/>
            <w:left w:val="none" w:sz="0" w:space="0" w:color="auto"/>
            <w:bottom w:val="none" w:sz="0" w:space="0" w:color="auto"/>
            <w:right w:val="none" w:sz="0" w:space="0" w:color="auto"/>
          </w:divBdr>
        </w:div>
        <w:div w:id="638346953">
          <w:marLeft w:val="0"/>
          <w:marRight w:val="0"/>
          <w:marTop w:val="0"/>
          <w:marBottom w:val="0"/>
          <w:divBdr>
            <w:top w:val="none" w:sz="0" w:space="0" w:color="auto"/>
            <w:left w:val="none" w:sz="0" w:space="0" w:color="auto"/>
            <w:bottom w:val="none" w:sz="0" w:space="0" w:color="auto"/>
            <w:right w:val="none" w:sz="0" w:space="0" w:color="auto"/>
          </w:divBdr>
        </w:div>
      </w:divsChild>
    </w:div>
    <w:div w:id="1661539475">
      <w:bodyDiv w:val="1"/>
      <w:marLeft w:val="0"/>
      <w:marRight w:val="0"/>
      <w:marTop w:val="0"/>
      <w:marBottom w:val="0"/>
      <w:divBdr>
        <w:top w:val="none" w:sz="0" w:space="0" w:color="auto"/>
        <w:left w:val="none" w:sz="0" w:space="0" w:color="auto"/>
        <w:bottom w:val="none" w:sz="0" w:space="0" w:color="auto"/>
        <w:right w:val="none" w:sz="0" w:space="0" w:color="auto"/>
      </w:divBdr>
      <w:divsChild>
        <w:div w:id="1125080588">
          <w:marLeft w:val="0"/>
          <w:marRight w:val="0"/>
          <w:marTop w:val="0"/>
          <w:marBottom w:val="0"/>
          <w:divBdr>
            <w:top w:val="none" w:sz="0" w:space="0" w:color="auto"/>
            <w:left w:val="none" w:sz="0" w:space="0" w:color="auto"/>
            <w:bottom w:val="none" w:sz="0" w:space="0" w:color="auto"/>
            <w:right w:val="none" w:sz="0" w:space="0" w:color="auto"/>
          </w:divBdr>
        </w:div>
        <w:div w:id="201672490">
          <w:marLeft w:val="0"/>
          <w:marRight w:val="0"/>
          <w:marTop w:val="0"/>
          <w:marBottom w:val="0"/>
          <w:divBdr>
            <w:top w:val="none" w:sz="0" w:space="0" w:color="auto"/>
            <w:left w:val="none" w:sz="0" w:space="0" w:color="auto"/>
            <w:bottom w:val="none" w:sz="0" w:space="0" w:color="auto"/>
            <w:right w:val="none" w:sz="0" w:space="0" w:color="auto"/>
          </w:divBdr>
        </w:div>
        <w:div w:id="800878756">
          <w:marLeft w:val="0"/>
          <w:marRight w:val="0"/>
          <w:marTop w:val="0"/>
          <w:marBottom w:val="0"/>
          <w:divBdr>
            <w:top w:val="none" w:sz="0" w:space="0" w:color="auto"/>
            <w:left w:val="none" w:sz="0" w:space="0" w:color="auto"/>
            <w:bottom w:val="none" w:sz="0" w:space="0" w:color="auto"/>
            <w:right w:val="none" w:sz="0" w:space="0" w:color="auto"/>
          </w:divBdr>
        </w:div>
        <w:div w:id="1948544157">
          <w:marLeft w:val="0"/>
          <w:marRight w:val="0"/>
          <w:marTop w:val="0"/>
          <w:marBottom w:val="0"/>
          <w:divBdr>
            <w:top w:val="none" w:sz="0" w:space="0" w:color="auto"/>
            <w:left w:val="none" w:sz="0" w:space="0" w:color="auto"/>
            <w:bottom w:val="none" w:sz="0" w:space="0" w:color="auto"/>
            <w:right w:val="none" w:sz="0" w:space="0" w:color="auto"/>
          </w:divBdr>
        </w:div>
        <w:div w:id="1849442659">
          <w:marLeft w:val="0"/>
          <w:marRight w:val="0"/>
          <w:marTop w:val="0"/>
          <w:marBottom w:val="0"/>
          <w:divBdr>
            <w:top w:val="none" w:sz="0" w:space="0" w:color="auto"/>
            <w:left w:val="none" w:sz="0" w:space="0" w:color="auto"/>
            <w:bottom w:val="none" w:sz="0" w:space="0" w:color="auto"/>
            <w:right w:val="none" w:sz="0" w:space="0" w:color="auto"/>
          </w:divBdr>
        </w:div>
        <w:div w:id="2108886411">
          <w:marLeft w:val="0"/>
          <w:marRight w:val="0"/>
          <w:marTop w:val="0"/>
          <w:marBottom w:val="0"/>
          <w:divBdr>
            <w:top w:val="none" w:sz="0" w:space="0" w:color="auto"/>
            <w:left w:val="none" w:sz="0" w:space="0" w:color="auto"/>
            <w:bottom w:val="none" w:sz="0" w:space="0" w:color="auto"/>
            <w:right w:val="none" w:sz="0" w:space="0" w:color="auto"/>
          </w:divBdr>
        </w:div>
        <w:div w:id="129982159">
          <w:marLeft w:val="0"/>
          <w:marRight w:val="0"/>
          <w:marTop w:val="0"/>
          <w:marBottom w:val="0"/>
          <w:divBdr>
            <w:top w:val="none" w:sz="0" w:space="0" w:color="auto"/>
            <w:left w:val="none" w:sz="0" w:space="0" w:color="auto"/>
            <w:bottom w:val="none" w:sz="0" w:space="0" w:color="auto"/>
            <w:right w:val="none" w:sz="0" w:space="0" w:color="auto"/>
          </w:divBdr>
        </w:div>
        <w:div w:id="1599479505">
          <w:marLeft w:val="0"/>
          <w:marRight w:val="0"/>
          <w:marTop w:val="0"/>
          <w:marBottom w:val="0"/>
          <w:divBdr>
            <w:top w:val="none" w:sz="0" w:space="0" w:color="auto"/>
            <w:left w:val="none" w:sz="0" w:space="0" w:color="auto"/>
            <w:bottom w:val="none" w:sz="0" w:space="0" w:color="auto"/>
            <w:right w:val="none" w:sz="0" w:space="0" w:color="auto"/>
          </w:divBdr>
        </w:div>
        <w:div w:id="1194272918">
          <w:marLeft w:val="0"/>
          <w:marRight w:val="0"/>
          <w:marTop w:val="0"/>
          <w:marBottom w:val="0"/>
          <w:divBdr>
            <w:top w:val="none" w:sz="0" w:space="0" w:color="auto"/>
            <w:left w:val="none" w:sz="0" w:space="0" w:color="auto"/>
            <w:bottom w:val="none" w:sz="0" w:space="0" w:color="auto"/>
            <w:right w:val="none" w:sz="0" w:space="0" w:color="auto"/>
          </w:divBdr>
        </w:div>
        <w:div w:id="107966223">
          <w:marLeft w:val="0"/>
          <w:marRight w:val="0"/>
          <w:marTop w:val="0"/>
          <w:marBottom w:val="0"/>
          <w:divBdr>
            <w:top w:val="none" w:sz="0" w:space="0" w:color="auto"/>
            <w:left w:val="none" w:sz="0" w:space="0" w:color="auto"/>
            <w:bottom w:val="none" w:sz="0" w:space="0" w:color="auto"/>
            <w:right w:val="none" w:sz="0" w:space="0" w:color="auto"/>
          </w:divBdr>
        </w:div>
        <w:div w:id="1204438517">
          <w:marLeft w:val="0"/>
          <w:marRight w:val="0"/>
          <w:marTop w:val="0"/>
          <w:marBottom w:val="0"/>
          <w:divBdr>
            <w:top w:val="none" w:sz="0" w:space="0" w:color="auto"/>
            <w:left w:val="none" w:sz="0" w:space="0" w:color="auto"/>
            <w:bottom w:val="none" w:sz="0" w:space="0" w:color="auto"/>
            <w:right w:val="none" w:sz="0" w:space="0" w:color="auto"/>
          </w:divBdr>
        </w:div>
        <w:div w:id="1965118145">
          <w:marLeft w:val="0"/>
          <w:marRight w:val="0"/>
          <w:marTop w:val="0"/>
          <w:marBottom w:val="0"/>
          <w:divBdr>
            <w:top w:val="none" w:sz="0" w:space="0" w:color="auto"/>
            <w:left w:val="none" w:sz="0" w:space="0" w:color="auto"/>
            <w:bottom w:val="none" w:sz="0" w:space="0" w:color="auto"/>
            <w:right w:val="none" w:sz="0" w:space="0" w:color="auto"/>
          </w:divBdr>
        </w:div>
      </w:divsChild>
    </w:div>
    <w:div w:id="1696153662">
      <w:bodyDiv w:val="1"/>
      <w:marLeft w:val="0"/>
      <w:marRight w:val="0"/>
      <w:marTop w:val="0"/>
      <w:marBottom w:val="0"/>
      <w:divBdr>
        <w:top w:val="none" w:sz="0" w:space="0" w:color="auto"/>
        <w:left w:val="none" w:sz="0" w:space="0" w:color="auto"/>
        <w:bottom w:val="none" w:sz="0" w:space="0" w:color="auto"/>
        <w:right w:val="none" w:sz="0" w:space="0" w:color="auto"/>
      </w:divBdr>
    </w:div>
    <w:div w:id="1701708218">
      <w:bodyDiv w:val="1"/>
      <w:marLeft w:val="0"/>
      <w:marRight w:val="0"/>
      <w:marTop w:val="0"/>
      <w:marBottom w:val="0"/>
      <w:divBdr>
        <w:top w:val="none" w:sz="0" w:space="0" w:color="auto"/>
        <w:left w:val="none" w:sz="0" w:space="0" w:color="auto"/>
        <w:bottom w:val="none" w:sz="0" w:space="0" w:color="auto"/>
        <w:right w:val="none" w:sz="0" w:space="0" w:color="auto"/>
      </w:divBdr>
    </w:div>
    <w:div w:id="1708917158">
      <w:bodyDiv w:val="1"/>
      <w:marLeft w:val="0"/>
      <w:marRight w:val="0"/>
      <w:marTop w:val="0"/>
      <w:marBottom w:val="0"/>
      <w:divBdr>
        <w:top w:val="none" w:sz="0" w:space="0" w:color="auto"/>
        <w:left w:val="none" w:sz="0" w:space="0" w:color="auto"/>
        <w:bottom w:val="none" w:sz="0" w:space="0" w:color="auto"/>
        <w:right w:val="none" w:sz="0" w:space="0" w:color="auto"/>
      </w:divBdr>
      <w:divsChild>
        <w:div w:id="1305814813">
          <w:marLeft w:val="0"/>
          <w:marRight w:val="0"/>
          <w:marTop w:val="0"/>
          <w:marBottom w:val="0"/>
          <w:divBdr>
            <w:top w:val="none" w:sz="0" w:space="0" w:color="auto"/>
            <w:left w:val="none" w:sz="0" w:space="0" w:color="auto"/>
            <w:bottom w:val="none" w:sz="0" w:space="0" w:color="auto"/>
            <w:right w:val="none" w:sz="0" w:space="0" w:color="auto"/>
          </w:divBdr>
        </w:div>
        <w:div w:id="491602564">
          <w:marLeft w:val="0"/>
          <w:marRight w:val="0"/>
          <w:marTop w:val="0"/>
          <w:marBottom w:val="0"/>
          <w:divBdr>
            <w:top w:val="none" w:sz="0" w:space="0" w:color="auto"/>
            <w:left w:val="none" w:sz="0" w:space="0" w:color="auto"/>
            <w:bottom w:val="none" w:sz="0" w:space="0" w:color="auto"/>
            <w:right w:val="none" w:sz="0" w:space="0" w:color="auto"/>
          </w:divBdr>
        </w:div>
        <w:div w:id="1829516039">
          <w:marLeft w:val="0"/>
          <w:marRight w:val="0"/>
          <w:marTop w:val="0"/>
          <w:marBottom w:val="0"/>
          <w:divBdr>
            <w:top w:val="none" w:sz="0" w:space="0" w:color="auto"/>
            <w:left w:val="none" w:sz="0" w:space="0" w:color="auto"/>
            <w:bottom w:val="none" w:sz="0" w:space="0" w:color="auto"/>
            <w:right w:val="none" w:sz="0" w:space="0" w:color="auto"/>
          </w:divBdr>
        </w:div>
        <w:div w:id="973297132">
          <w:marLeft w:val="0"/>
          <w:marRight w:val="0"/>
          <w:marTop w:val="0"/>
          <w:marBottom w:val="0"/>
          <w:divBdr>
            <w:top w:val="none" w:sz="0" w:space="0" w:color="auto"/>
            <w:left w:val="none" w:sz="0" w:space="0" w:color="auto"/>
            <w:bottom w:val="none" w:sz="0" w:space="0" w:color="auto"/>
            <w:right w:val="none" w:sz="0" w:space="0" w:color="auto"/>
          </w:divBdr>
        </w:div>
        <w:div w:id="1737241927">
          <w:marLeft w:val="0"/>
          <w:marRight w:val="0"/>
          <w:marTop w:val="0"/>
          <w:marBottom w:val="0"/>
          <w:divBdr>
            <w:top w:val="none" w:sz="0" w:space="0" w:color="auto"/>
            <w:left w:val="none" w:sz="0" w:space="0" w:color="auto"/>
            <w:bottom w:val="none" w:sz="0" w:space="0" w:color="auto"/>
            <w:right w:val="none" w:sz="0" w:space="0" w:color="auto"/>
          </w:divBdr>
        </w:div>
        <w:div w:id="1871528008">
          <w:marLeft w:val="0"/>
          <w:marRight w:val="0"/>
          <w:marTop w:val="0"/>
          <w:marBottom w:val="0"/>
          <w:divBdr>
            <w:top w:val="none" w:sz="0" w:space="0" w:color="auto"/>
            <w:left w:val="none" w:sz="0" w:space="0" w:color="auto"/>
            <w:bottom w:val="none" w:sz="0" w:space="0" w:color="auto"/>
            <w:right w:val="none" w:sz="0" w:space="0" w:color="auto"/>
          </w:divBdr>
        </w:div>
        <w:div w:id="807211029">
          <w:marLeft w:val="0"/>
          <w:marRight w:val="0"/>
          <w:marTop w:val="0"/>
          <w:marBottom w:val="0"/>
          <w:divBdr>
            <w:top w:val="none" w:sz="0" w:space="0" w:color="auto"/>
            <w:left w:val="none" w:sz="0" w:space="0" w:color="auto"/>
            <w:bottom w:val="none" w:sz="0" w:space="0" w:color="auto"/>
            <w:right w:val="none" w:sz="0" w:space="0" w:color="auto"/>
          </w:divBdr>
        </w:div>
        <w:div w:id="1868715071">
          <w:marLeft w:val="0"/>
          <w:marRight w:val="0"/>
          <w:marTop w:val="0"/>
          <w:marBottom w:val="0"/>
          <w:divBdr>
            <w:top w:val="none" w:sz="0" w:space="0" w:color="auto"/>
            <w:left w:val="none" w:sz="0" w:space="0" w:color="auto"/>
            <w:bottom w:val="none" w:sz="0" w:space="0" w:color="auto"/>
            <w:right w:val="none" w:sz="0" w:space="0" w:color="auto"/>
          </w:divBdr>
        </w:div>
        <w:div w:id="132717998">
          <w:marLeft w:val="0"/>
          <w:marRight w:val="0"/>
          <w:marTop w:val="0"/>
          <w:marBottom w:val="0"/>
          <w:divBdr>
            <w:top w:val="none" w:sz="0" w:space="0" w:color="auto"/>
            <w:left w:val="none" w:sz="0" w:space="0" w:color="auto"/>
            <w:bottom w:val="none" w:sz="0" w:space="0" w:color="auto"/>
            <w:right w:val="none" w:sz="0" w:space="0" w:color="auto"/>
          </w:divBdr>
        </w:div>
        <w:div w:id="894318400">
          <w:marLeft w:val="0"/>
          <w:marRight w:val="0"/>
          <w:marTop w:val="0"/>
          <w:marBottom w:val="0"/>
          <w:divBdr>
            <w:top w:val="none" w:sz="0" w:space="0" w:color="auto"/>
            <w:left w:val="none" w:sz="0" w:space="0" w:color="auto"/>
            <w:bottom w:val="none" w:sz="0" w:space="0" w:color="auto"/>
            <w:right w:val="none" w:sz="0" w:space="0" w:color="auto"/>
          </w:divBdr>
        </w:div>
        <w:div w:id="861675513">
          <w:marLeft w:val="0"/>
          <w:marRight w:val="0"/>
          <w:marTop w:val="0"/>
          <w:marBottom w:val="0"/>
          <w:divBdr>
            <w:top w:val="none" w:sz="0" w:space="0" w:color="auto"/>
            <w:left w:val="none" w:sz="0" w:space="0" w:color="auto"/>
            <w:bottom w:val="none" w:sz="0" w:space="0" w:color="auto"/>
            <w:right w:val="none" w:sz="0" w:space="0" w:color="auto"/>
          </w:divBdr>
        </w:div>
        <w:div w:id="607856144">
          <w:marLeft w:val="0"/>
          <w:marRight w:val="0"/>
          <w:marTop w:val="0"/>
          <w:marBottom w:val="0"/>
          <w:divBdr>
            <w:top w:val="none" w:sz="0" w:space="0" w:color="auto"/>
            <w:left w:val="none" w:sz="0" w:space="0" w:color="auto"/>
            <w:bottom w:val="none" w:sz="0" w:space="0" w:color="auto"/>
            <w:right w:val="none" w:sz="0" w:space="0" w:color="auto"/>
          </w:divBdr>
        </w:div>
        <w:div w:id="1024331942">
          <w:marLeft w:val="0"/>
          <w:marRight w:val="0"/>
          <w:marTop w:val="0"/>
          <w:marBottom w:val="0"/>
          <w:divBdr>
            <w:top w:val="none" w:sz="0" w:space="0" w:color="auto"/>
            <w:left w:val="none" w:sz="0" w:space="0" w:color="auto"/>
            <w:bottom w:val="none" w:sz="0" w:space="0" w:color="auto"/>
            <w:right w:val="none" w:sz="0" w:space="0" w:color="auto"/>
          </w:divBdr>
        </w:div>
        <w:div w:id="1333683114">
          <w:marLeft w:val="0"/>
          <w:marRight w:val="0"/>
          <w:marTop w:val="0"/>
          <w:marBottom w:val="0"/>
          <w:divBdr>
            <w:top w:val="none" w:sz="0" w:space="0" w:color="auto"/>
            <w:left w:val="none" w:sz="0" w:space="0" w:color="auto"/>
            <w:bottom w:val="none" w:sz="0" w:space="0" w:color="auto"/>
            <w:right w:val="none" w:sz="0" w:space="0" w:color="auto"/>
          </w:divBdr>
        </w:div>
        <w:div w:id="327757442">
          <w:marLeft w:val="0"/>
          <w:marRight w:val="0"/>
          <w:marTop w:val="0"/>
          <w:marBottom w:val="0"/>
          <w:divBdr>
            <w:top w:val="none" w:sz="0" w:space="0" w:color="auto"/>
            <w:left w:val="none" w:sz="0" w:space="0" w:color="auto"/>
            <w:bottom w:val="none" w:sz="0" w:space="0" w:color="auto"/>
            <w:right w:val="none" w:sz="0" w:space="0" w:color="auto"/>
          </w:divBdr>
        </w:div>
        <w:div w:id="921571235">
          <w:marLeft w:val="0"/>
          <w:marRight w:val="0"/>
          <w:marTop w:val="0"/>
          <w:marBottom w:val="0"/>
          <w:divBdr>
            <w:top w:val="none" w:sz="0" w:space="0" w:color="auto"/>
            <w:left w:val="none" w:sz="0" w:space="0" w:color="auto"/>
            <w:bottom w:val="none" w:sz="0" w:space="0" w:color="auto"/>
            <w:right w:val="none" w:sz="0" w:space="0" w:color="auto"/>
          </w:divBdr>
        </w:div>
      </w:divsChild>
    </w:div>
    <w:div w:id="1733042430">
      <w:bodyDiv w:val="1"/>
      <w:marLeft w:val="0"/>
      <w:marRight w:val="0"/>
      <w:marTop w:val="0"/>
      <w:marBottom w:val="0"/>
      <w:divBdr>
        <w:top w:val="none" w:sz="0" w:space="0" w:color="auto"/>
        <w:left w:val="none" w:sz="0" w:space="0" w:color="auto"/>
        <w:bottom w:val="none" w:sz="0" w:space="0" w:color="auto"/>
        <w:right w:val="none" w:sz="0" w:space="0" w:color="auto"/>
      </w:divBdr>
      <w:divsChild>
        <w:div w:id="756248493">
          <w:marLeft w:val="0"/>
          <w:marRight w:val="0"/>
          <w:marTop w:val="0"/>
          <w:marBottom w:val="0"/>
          <w:divBdr>
            <w:top w:val="none" w:sz="0" w:space="0" w:color="auto"/>
            <w:left w:val="none" w:sz="0" w:space="0" w:color="auto"/>
            <w:bottom w:val="none" w:sz="0" w:space="0" w:color="auto"/>
            <w:right w:val="none" w:sz="0" w:space="0" w:color="auto"/>
          </w:divBdr>
        </w:div>
        <w:div w:id="1856727498">
          <w:marLeft w:val="0"/>
          <w:marRight w:val="0"/>
          <w:marTop w:val="0"/>
          <w:marBottom w:val="0"/>
          <w:divBdr>
            <w:top w:val="none" w:sz="0" w:space="0" w:color="auto"/>
            <w:left w:val="none" w:sz="0" w:space="0" w:color="auto"/>
            <w:bottom w:val="none" w:sz="0" w:space="0" w:color="auto"/>
            <w:right w:val="none" w:sz="0" w:space="0" w:color="auto"/>
          </w:divBdr>
        </w:div>
        <w:div w:id="125664282">
          <w:marLeft w:val="0"/>
          <w:marRight w:val="0"/>
          <w:marTop w:val="0"/>
          <w:marBottom w:val="0"/>
          <w:divBdr>
            <w:top w:val="none" w:sz="0" w:space="0" w:color="auto"/>
            <w:left w:val="none" w:sz="0" w:space="0" w:color="auto"/>
            <w:bottom w:val="none" w:sz="0" w:space="0" w:color="auto"/>
            <w:right w:val="none" w:sz="0" w:space="0" w:color="auto"/>
          </w:divBdr>
        </w:div>
        <w:div w:id="718478271">
          <w:marLeft w:val="0"/>
          <w:marRight w:val="0"/>
          <w:marTop w:val="0"/>
          <w:marBottom w:val="0"/>
          <w:divBdr>
            <w:top w:val="none" w:sz="0" w:space="0" w:color="auto"/>
            <w:left w:val="none" w:sz="0" w:space="0" w:color="auto"/>
            <w:bottom w:val="none" w:sz="0" w:space="0" w:color="auto"/>
            <w:right w:val="none" w:sz="0" w:space="0" w:color="auto"/>
          </w:divBdr>
        </w:div>
        <w:div w:id="2012219674">
          <w:marLeft w:val="0"/>
          <w:marRight w:val="0"/>
          <w:marTop w:val="0"/>
          <w:marBottom w:val="0"/>
          <w:divBdr>
            <w:top w:val="none" w:sz="0" w:space="0" w:color="auto"/>
            <w:left w:val="none" w:sz="0" w:space="0" w:color="auto"/>
            <w:bottom w:val="none" w:sz="0" w:space="0" w:color="auto"/>
            <w:right w:val="none" w:sz="0" w:space="0" w:color="auto"/>
          </w:divBdr>
        </w:div>
        <w:div w:id="846481274">
          <w:marLeft w:val="0"/>
          <w:marRight w:val="0"/>
          <w:marTop w:val="0"/>
          <w:marBottom w:val="0"/>
          <w:divBdr>
            <w:top w:val="none" w:sz="0" w:space="0" w:color="auto"/>
            <w:left w:val="none" w:sz="0" w:space="0" w:color="auto"/>
            <w:bottom w:val="none" w:sz="0" w:space="0" w:color="auto"/>
            <w:right w:val="none" w:sz="0" w:space="0" w:color="auto"/>
          </w:divBdr>
        </w:div>
        <w:div w:id="866413391">
          <w:marLeft w:val="0"/>
          <w:marRight w:val="0"/>
          <w:marTop w:val="0"/>
          <w:marBottom w:val="0"/>
          <w:divBdr>
            <w:top w:val="none" w:sz="0" w:space="0" w:color="auto"/>
            <w:left w:val="none" w:sz="0" w:space="0" w:color="auto"/>
            <w:bottom w:val="none" w:sz="0" w:space="0" w:color="auto"/>
            <w:right w:val="none" w:sz="0" w:space="0" w:color="auto"/>
          </w:divBdr>
        </w:div>
        <w:div w:id="1567110383">
          <w:marLeft w:val="0"/>
          <w:marRight w:val="0"/>
          <w:marTop w:val="0"/>
          <w:marBottom w:val="0"/>
          <w:divBdr>
            <w:top w:val="none" w:sz="0" w:space="0" w:color="auto"/>
            <w:left w:val="none" w:sz="0" w:space="0" w:color="auto"/>
            <w:bottom w:val="none" w:sz="0" w:space="0" w:color="auto"/>
            <w:right w:val="none" w:sz="0" w:space="0" w:color="auto"/>
          </w:divBdr>
        </w:div>
        <w:div w:id="1326741276">
          <w:marLeft w:val="0"/>
          <w:marRight w:val="0"/>
          <w:marTop w:val="0"/>
          <w:marBottom w:val="0"/>
          <w:divBdr>
            <w:top w:val="none" w:sz="0" w:space="0" w:color="auto"/>
            <w:left w:val="none" w:sz="0" w:space="0" w:color="auto"/>
            <w:bottom w:val="none" w:sz="0" w:space="0" w:color="auto"/>
            <w:right w:val="none" w:sz="0" w:space="0" w:color="auto"/>
          </w:divBdr>
        </w:div>
        <w:div w:id="273482115">
          <w:marLeft w:val="0"/>
          <w:marRight w:val="0"/>
          <w:marTop w:val="0"/>
          <w:marBottom w:val="0"/>
          <w:divBdr>
            <w:top w:val="none" w:sz="0" w:space="0" w:color="auto"/>
            <w:left w:val="none" w:sz="0" w:space="0" w:color="auto"/>
            <w:bottom w:val="none" w:sz="0" w:space="0" w:color="auto"/>
            <w:right w:val="none" w:sz="0" w:space="0" w:color="auto"/>
          </w:divBdr>
        </w:div>
        <w:div w:id="313223281">
          <w:marLeft w:val="0"/>
          <w:marRight w:val="0"/>
          <w:marTop w:val="0"/>
          <w:marBottom w:val="0"/>
          <w:divBdr>
            <w:top w:val="none" w:sz="0" w:space="0" w:color="auto"/>
            <w:left w:val="none" w:sz="0" w:space="0" w:color="auto"/>
            <w:bottom w:val="none" w:sz="0" w:space="0" w:color="auto"/>
            <w:right w:val="none" w:sz="0" w:space="0" w:color="auto"/>
          </w:divBdr>
        </w:div>
      </w:divsChild>
    </w:div>
    <w:div w:id="1758819130">
      <w:bodyDiv w:val="1"/>
      <w:marLeft w:val="0"/>
      <w:marRight w:val="0"/>
      <w:marTop w:val="0"/>
      <w:marBottom w:val="0"/>
      <w:divBdr>
        <w:top w:val="none" w:sz="0" w:space="0" w:color="auto"/>
        <w:left w:val="none" w:sz="0" w:space="0" w:color="auto"/>
        <w:bottom w:val="none" w:sz="0" w:space="0" w:color="auto"/>
        <w:right w:val="none" w:sz="0" w:space="0" w:color="auto"/>
      </w:divBdr>
      <w:divsChild>
        <w:div w:id="1141774020">
          <w:marLeft w:val="0"/>
          <w:marRight w:val="0"/>
          <w:marTop w:val="0"/>
          <w:marBottom w:val="0"/>
          <w:divBdr>
            <w:top w:val="none" w:sz="0" w:space="0" w:color="auto"/>
            <w:left w:val="none" w:sz="0" w:space="0" w:color="auto"/>
            <w:bottom w:val="none" w:sz="0" w:space="0" w:color="auto"/>
            <w:right w:val="none" w:sz="0" w:space="0" w:color="auto"/>
          </w:divBdr>
        </w:div>
        <w:div w:id="1590431065">
          <w:marLeft w:val="0"/>
          <w:marRight w:val="0"/>
          <w:marTop w:val="0"/>
          <w:marBottom w:val="0"/>
          <w:divBdr>
            <w:top w:val="none" w:sz="0" w:space="0" w:color="auto"/>
            <w:left w:val="none" w:sz="0" w:space="0" w:color="auto"/>
            <w:bottom w:val="none" w:sz="0" w:space="0" w:color="auto"/>
            <w:right w:val="none" w:sz="0" w:space="0" w:color="auto"/>
          </w:divBdr>
        </w:div>
        <w:div w:id="666907718">
          <w:marLeft w:val="0"/>
          <w:marRight w:val="0"/>
          <w:marTop w:val="0"/>
          <w:marBottom w:val="0"/>
          <w:divBdr>
            <w:top w:val="none" w:sz="0" w:space="0" w:color="auto"/>
            <w:left w:val="none" w:sz="0" w:space="0" w:color="auto"/>
            <w:bottom w:val="none" w:sz="0" w:space="0" w:color="auto"/>
            <w:right w:val="none" w:sz="0" w:space="0" w:color="auto"/>
          </w:divBdr>
        </w:div>
      </w:divsChild>
    </w:div>
    <w:div w:id="1760059949">
      <w:bodyDiv w:val="1"/>
      <w:marLeft w:val="0"/>
      <w:marRight w:val="0"/>
      <w:marTop w:val="0"/>
      <w:marBottom w:val="0"/>
      <w:divBdr>
        <w:top w:val="none" w:sz="0" w:space="0" w:color="auto"/>
        <w:left w:val="none" w:sz="0" w:space="0" w:color="auto"/>
        <w:bottom w:val="none" w:sz="0" w:space="0" w:color="auto"/>
        <w:right w:val="none" w:sz="0" w:space="0" w:color="auto"/>
      </w:divBdr>
      <w:divsChild>
        <w:div w:id="791558021">
          <w:marLeft w:val="0"/>
          <w:marRight w:val="0"/>
          <w:marTop w:val="0"/>
          <w:marBottom w:val="0"/>
          <w:divBdr>
            <w:top w:val="none" w:sz="0" w:space="0" w:color="auto"/>
            <w:left w:val="none" w:sz="0" w:space="0" w:color="auto"/>
            <w:bottom w:val="none" w:sz="0" w:space="0" w:color="auto"/>
            <w:right w:val="none" w:sz="0" w:space="0" w:color="auto"/>
          </w:divBdr>
        </w:div>
        <w:div w:id="1936669044">
          <w:marLeft w:val="0"/>
          <w:marRight w:val="0"/>
          <w:marTop w:val="0"/>
          <w:marBottom w:val="0"/>
          <w:divBdr>
            <w:top w:val="none" w:sz="0" w:space="0" w:color="auto"/>
            <w:left w:val="none" w:sz="0" w:space="0" w:color="auto"/>
            <w:bottom w:val="none" w:sz="0" w:space="0" w:color="auto"/>
            <w:right w:val="none" w:sz="0" w:space="0" w:color="auto"/>
          </w:divBdr>
        </w:div>
        <w:div w:id="947929931">
          <w:marLeft w:val="0"/>
          <w:marRight w:val="0"/>
          <w:marTop w:val="0"/>
          <w:marBottom w:val="0"/>
          <w:divBdr>
            <w:top w:val="none" w:sz="0" w:space="0" w:color="auto"/>
            <w:left w:val="none" w:sz="0" w:space="0" w:color="auto"/>
            <w:bottom w:val="none" w:sz="0" w:space="0" w:color="auto"/>
            <w:right w:val="none" w:sz="0" w:space="0" w:color="auto"/>
          </w:divBdr>
        </w:div>
        <w:div w:id="865758097">
          <w:marLeft w:val="0"/>
          <w:marRight w:val="0"/>
          <w:marTop w:val="0"/>
          <w:marBottom w:val="0"/>
          <w:divBdr>
            <w:top w:val="none" w:sz="0" w:space="0" w:color="auto"/>
            <w:left w:val="none" w:sz="0" w:space="0" w:color="auto"/>
            <w:bottom w:val="none" w:sz="0" w:space="0" w:color="auto"/>
            <w:right w:val="none" w:sz="0" w:space="0" w:color="auto"/>
          </w:divBdr>
        </w:div>
        <w:div w:id="1145708290">
          <w:marLeft w:val="0"/>
          <w:marRight w:val="0"/>
          <w:marTop w:val="0"/>
          <w:marBottom w:val="0"/>
          <w:divBdr>
            <w:top w:val="none" w:sz="0" w:space="0" w:color="auto"/>
            <w:left w:val="none" w:sz="0" w:space="0" w:color="auto"/>
            <w:bottom w:val="none" w:sz="0" w:space="0" w:color="auto"/>
            <w:right w:val="none" w:sz="0" w:space="0" w:color="auto"/>
          </w:divBdr>
        </w:div>
        <w:div w:id="511728530">
          <w:marLeft w:val="0"/>
          <w:marRight w:val="0"/>
          <w:marTop w:val="0"/>
          <w:marBottom w:val="0"/>
          <w:divBdr>
            <w:top w:val="none" w:sz="0" w:space="0" w:color="auto"/>
            <w:left w:val="none" w:sz="0" w:space="0" w:color="auto"/>
            <w:bottom w:val="none" w:sz="0" w:space="0" w:color="auto"/>
            <w:right w:val="none" w:sz="0" w:space="0" w:color="auto"/>
          </w:divBdr>
        </w:div>
        <w:div w:id="546839389">
          <w:marLeft w:val="0"/>
          <w:marRight w:val="0"/>
          <w:marTop w:val="0"/>
          <w:marBottom w:val="0"/>
          <w:divBdr>
            <w:top w:val="none" w:sz="0" w:space="0" w:color="auto"/>
            <w:left w:val="none" w:sz="0" w:space="0" w:color="auto"/>
            <w:bottom w:val="none" w:sz="0" w:space="0" w:color="auto"/>
            <w:right w:val="none" w:sz="0" w:space="0" w:color="auto"/>
          </w:divBdr>
        </w:div>
        <w:div w:id="1349257714">
          <w:marLeft w:val="0"/>
          <w:marRight w:val="0"/>
          <w:marTop w:val="0"/>
          <w:marBottom w:val="0"/>
          <w:divBdr>
            <w:top w:val="none" w:sz="0" w:space="0" w:color="auto"/>
            <w:left w:val="none" w:sz="0" w:space="0" w:color="auto"/>
            <w:bottom w:val="none" w:sz="0" w:space="0" w:color="auto"/>
            <w:right w:val="none" w:sz="0" w:space="0" w:color="auto"/>
          </w:divBdr>
        </w:div>
        <w:div w:id="437530708">
          <w:marLeft w:val="0"/>
          <w:marRight w:val="0"/>
          <w:marTop w:val="0"/>
          <w:marBottom w:val="0"/>
          <w:divBdr>
            <w:top w:val="none" w:sz="0" w:space="0" w:color="auto"/>
            <w:left w:val="none" w:sz="0" w:space="0" w:color="auto"/>
            <w:bottom w:val="none" w:sz="0" w:space="0" w:color="auto"/>
            <w:right w:val="none" w:sz="0" w:space="0" w:color="auto"/>
          </w:divBdr>
        </w:div>
        <w:div w:id="474220319">
          <w:marLeft w:val="0"/>
          <w:marRight w:val="0"/>
          <w:marTop w:val="0"/>
          <w:marBottom w:val="0"/>
          <w:divBdr>
            <w:top w:val="none" w:sz="0" w:space="0" w:color="auto"/>
            <w:left w:val="none" w:sz="0" w:space="0" w:color="auto"/>
            <w:bottom w:val="none" w:sz="0" w:space="0" w:color="auto"/>
            <w:right w:val="none" w:sz="0" w:space="0" w:color="auto"/>
          </w:divBdr>
        </w:div>
        <w:div w:id="762921402">
          <w:marLeft w:val="0"/>
          <w:marRight w:val="0"/>
          <w:marTop w:val="0"/>
          <w:marBottom w:val="0"/>
          <w:divBdr>
            <w:top w:val="none" w:sz="0" w:space="0" w:color="auto"/>
            <w:left w:val="none" w:sz="0" w:space="0" w:color="auto"/>
            <w:bottom w:val="none" w:sz="0" w:space="0" w:color="auto"/>
            <w:right w:val="none" w:sz="0" w:space="0" w:color="auto"/>
          </w:divBdr>
        </w:div>
        <w:div w:id="653142511">
          <w:marLeft w:val="0"/>
          <w:marRight w:val="0"/>
          <w:marTop w:val="0"/>
          <w:marBottom w:val="0"/>
          <w:divBdr>
            <w:top w:val="none" w:sz="0" w:space="0" w:color="auto"/>
            <w:left w:val="none" w:sz="0" w:space="0" w:color="auto"/>
            <w:bottom w:val="none" w:sz="0" w:space="0" w:color="auto"/>
            <w:right w:val="none" w:sz="0" w:space="0" w:color="auto"/>
          </w:divBdr>
        </w:div>
        <w:div w:id="1391225690">
          <w:marLeft w:val="0"/>
          <w:marRight w:val="0"/>
          <w:marTop w:val="0"/>
          <w:marBottom w:val="0"/>
          <w:divBdr>
            <w:top w:val="none" w:sz="0" w:space="0" w:color="auto"/>
            <w:left w:val="none" w:sz="0" w:space="0" w:color="auto"/>
            <w:bottom w:val="none" w:sz="0" w:space="0" w:color="auto"/>
            <w:right w:val="none" w:sz="0" w:space="0" w:color="auto"/>
          </w:divBdr>
        </w:div>
        <w:div w:id="321736367">
          <w:marLeft w:val="0"/>
          <w:marRight w:val="0"/>
          <w:marTop w:val="0"/>
          <w:marBottom w:val="0"/>
          <w:divBdr>
            <w:top w:val="none" w:sz="0" w:space="0" w:color="auto"/>
            <w:left w:val="none" w:sz="0" w:space="0" w:color="auto"/>
            <w:bottom w:val="none" w:sz="0" w:space="0" w:color="auto"/>
            <w:right w:val="none" w:sz="0" w:space="0" w:color="auto"/>
          </w:divBdr>
        </w:div>
        <w:div w:id="909314258">
          <w:marLeft w:val="0"/>
          <w:marRight w:val="0"/>
          <w:marTop w:val="0"/>
          <w:marBottom w:val="0"/>
          <w:divBdr>
            <w:top w:val="none" w:sz="0" w:space="0" w:color="auto"/>
            <w:left w:val="none" w:sz="0" w:space="0" w:color="auto"/>
            <w:bottom w:val="none" w:sz="0" w:space="0" w:color="auto"/>
            <w:right w:val="none" w:sz="0" w:space="0" w:color="auto"/>
          </w:divBdr>
        </w:div>
        <w:div w:id="1534030820">
          <w:marLeft w:val="0"/>
          <w:marRight w:val="0"/>
          <w:marTop w:val="0"/>
          <w:marBottom w:val="0"/>
          <w:divBdr>
            <w:top w:val="none" w:sz="0" w:space="0" w:color="auto"/>
            <w:left w:val="none" w:sz="0" w:space="0" w:color="auto"/>
            <w:bottom w:val="none" w:sz="0" w:space="0" w:color="auto"/>
            <w:right w:val="none" w:sz="0" w:space="0" w:color="auto"/>
          </w:divBdr>
        </w:div>
        <w:div w:id="306013230">
          <w:marLeft w:val="0"/>
          <w:marRight w:val="0"/>
          <w:marTop w:val="0"/>
          <w:marBottom w:val="0"/>
          <w:divBdr>
            <w:top w:val="none" w:sz="0" w:space="0" w:color="auto"/>
            <w:left w:val="none" w:sz="0" w:space="0" w:color="auto"/>
            <w:bottom w:val="none" w:sz="0" w:space="0" w:color="auto"/>
            <w:right w:val="none" w:sz="0" w:space="0" w:color="auto"/>
          </w:divBdr>
        </w:div>
        <w:div w:id="1700935436">
          <w:marLeft w:val="0"/>
          <w:marRight w:val="0"/>
          <w:marTop w:val="0"/>
          <w:marBottom w:val="0"/>
          <w:divBdr>
            <w:top w:val="none" w:sz="0" w:space="0" w:color="auto"/>
            <w:left w:val="none" w:sz="0" w:space="0" w:color="auto"/>
            <w:bottom w:val="none" w:sz="0" w:space="0" w:color="auto"/>
            <w:right w:val="none" w:sz="0" w:space="0" w:color="auto"/>
          </w:divBdr>
        </w:div>
        <w:div w:id="1394084960">
          <w:marLeft w:val="0"/>
          <w:marRight w:val="0"/>
          <w:marTop w:val="0"/>
          <w:marBottom w:val="0"/>
          <w:divBdr>
            <w:top w:val="none" w:sz="0" w:space="0" w:color="auto"/>
            <w:left w:val="none" w:sz="0" w:space="0" w:color="auto"/>
            <w:bottom w:val="none" w:sz="0" w:space="0" w:color="auto"/>
            <w:right w:val="none" w:sz="0" w:space="0" w:color="auto"/>
          </w:divBdr>
        </w:div>
        <w:div w:id="1112089292">
          <w:marLeft w:val="0"/>
          <w:marRight w:val="0"/>
          <w:marTop w:val="0"/>
          <w:marBottom w:val="0"/>
          <w:divBdr>
            <w:top w:val="none" w:sz="0" w:space="0" w:color="auto"/>
            <w:left w:val="none" w:sz="0" w:space="0" w:color="auto"/>
            <w:bottom w:val="none" w:sz="0" w:space="0" w:color="auto"/>
            <w:right w:val="none" w:sz="0" w:space="0" w:color="auto"/>
          </w:divBdr>
        </w:div>
        <w:div w:id="214436623">
          <w:marLeft w:val="0"/>
          <w:marRight w:val="0"/>
          <w:marTop w:val="0"/>
          <w:marBottom w:val="0"/>
          <w:divBdr>
            <w:top w:val="none" w:sz="0" w:space="0" w:color="auto"/>
            <w:left w:val="none" w:sz="0" w:space="0" w:color="auto"/>
            <w:bottom w:val="none" w:sz="0" w:space="0" w:color="auto"/>
            <w:right w:val="none" w:sz="0" w:space="0" w:color="auto"/>
          </w:divBdr>
        </w:div>
        <w:div w:id="1211960430">
          <w:marLeft w:val="0"/>
          <w:marRight w:val="0"/>
          <w:marTop w:val="0"/>
          <w:marBottom w:val="0"/>
          <w:divBdr>
            <w:top w:val="none" w:sz="0" w:space="0" w:color="auto"/>
            <w:left w:val="none" w:sz="0" w:space="0" w:color="auto"/>
            <w:bottom w:val="none" w:sz="0" w:space="0" w:color="auto"/>
            <w:right w:val="none" w:sz="0" w:space="0" w:color="auto"/>
          </w:divBdr>
        </w:div>
      </w:divsChild>
    </w:div>
    <w:div w:id="1794057741">
      <w:bodyDiv w:val="1"/>
      <w:marLeft w:val="0"/>
      <w:marRight w:val="0"/>
      <w:marTop w:val="0"/>
      <w:marBottom w:val="0"/>
      <w:divBdr>
        <w:top w:val="none" w:sz="0" w:space="0" w:color="auto"/>
        <w:left w:val="none" w:sz="0" w:space="0" w:color="auto"/>
        <w:bottom w:val="none" w:sz="0" w:space="0" w:color="auto"/>
        <w:right w:val="none" w:sz="0" w:space="0" w:color="auto"/>
      </w:divBdr>
    </w:div>
    <w:div w:id="1794250457">
      <w:bodyDiv w:val="1"/>
      <w:marLeft w:val="0"/>
      <w:marRight w:val="0"/>
      <w:marTop w:val="0"/>
      <w:marBottom w:val="0"/>
      <w:divBdr>
        <w:top w:val="none" w:sz="0" w:space="0" w:color="auto"/>
        <w:left w:val="none" w:sz="0" w:space="0" w:color="auto"/>
        <w:bottom w:val="none" w:sz="0" w:space="0" w:color="auto"/>
        <w:right w:val="none" w:sz="0" w:space="0" w:color="auto"/>
      </w:divBdr>
      <w:divsChild>
        <w:div w:id="179511300">
          <w:marLeft w:val="0"/>
          <w:marRight w:val="0"/>
          <w:marTop w:val="0"/>
          <w:marBottom w:val="0"/>
          <w:divBdr>
            <w:top w:val="none" w:sz="0" w:space="0" w:color="auto"/>
            <w:left w:val="none" w:sz="0" w:space="0" w:color="auto"/>
            <w:bottom w:val="none" w:sz="0" w:space="0" w:color="auto"/>
            <w:right w:val="none" w:sz="0" w:space="0" w:color="auto"/>
          </w:divBdr>
        </w:div>
        <w:div w:id="1297370143">
          <w:marLeft w:val="0"/>
          <w:marRight w:val="0"/>
          <w:marTop w:val="0"/>
          <w:marBottom w:val="0"/>
          <w:divBdr>
            <w:top w:val="none" w:sz="0" w:space="0" w:color="auto"/>
            <w:left w:val="none" w:sz="0" w:space="0" w:color="auto"/>
            <w:bottom w:val="none" w:sz="0" w:space="0" w:color="auto"/>
            <w:right w:val="none" w:sz="0" w:space="0" w:color="auto"/>
          </w:divBdr>
        </w:div>
      </w:divsChild>
    </w:div>
    <w:div w:id="1803229029">
      <w:bodyDiv w:val="1"/>
      <w:marLeft w:val="0"/>
      <w:marRight w:val="0"/>
      <w:marTop w:val="0"/>
      <w:marBottom w:val="0"/>
      <w:divBdr>
        <w:top w:val="none" w:sz="0" w:space="0" w:color="auto"/>
        <w:left w:val="none" w:sz="0" w:space="0" w:color="auto"/>
        <w:bottom w:val="none" w:sz="0" w:space="0" w:color="auto"/>
        <w:right w:val="none" w:sz="0" w:space="0" w:color="auto"/>
      </w:divBdr>
      <w:divsChild>
        <w:div w:id="1918439793">
          <w:marLeft w:val="0"/>
          <w:marRight w:val="0"/>
          <w:marTop w:val="0"/>
          <w:marBottom w:val="0"/>
          <w:divBdr>
            <w:top w:val="none" w:sz="0" w:space="0" w:color="auto"/>
            <w:left w:val="none" w:sz="0" w:space="0" w:color="auto"/>
            <w:bottom w:val="none" w:sz="0" w:space="0" w:color="auto"/>
            <w:right w:val="none" w:sz="0" w:space="0" w:color="auto"/>
          </w:divBdr>
        </w:div>
        <w:div w:id="465782311">
          <w:marLeft w:val="0"/>
          <w:marRight w:val="0"/>
          <w:marTop w:val="0"/>
          <w:marBottom w:val="0"/>
          <w:divBdr>
            <w:top w:val="none" w:sz="0" w:space="0" w:color="auto"/>
            <w:left w:val="none" w:sz="0" w:space="0" w:color="auto"/>
            <w:bottom w:val="none" w:sz="0" w:space="0" w:color="auto"/>
            <w:right w:val="none" w:sz="0" w:space="0" w:color="auto"/>
          </w:divBdr>
        </w:div>
      </w:divsChild>
    </w:div>
    <w:div w:id="1809122901">
      <w:bodyDiv w:val="1"/>
      <w:marLeft w:val="0"/>
      <w:marRight w:val="0"/>
      <w:marTop w:val="0"/>
      <w:marBottom w:val="0"/>
      <w:divBdr>
        <w:top w:val="none" w:sz="0" w:space="0" w:color="auto"/>
        <w:left w:val="none" w:sz="0" w:space="0" w:color="auto"/>
        <w:bottom w:val="none" w:sz="0" w:space="0" w:color="auto"/>
        <w:right w:val="none" w:sz="0" w:space="0" w:color="auto"/>
      </w:divBdr>
      <w:divsChild>
        <w:div w:id="1078944729">
          <w:marLeft w:val="0"/>
          <w:marRight w:val="0"/>
          <w:marTop w:val="0"/>
          <w:marBottom w:val="0"/>
          <w:divBdr>
            <w:top w:val="none" w:sz="0" w:space="0" w:color="auto"/>
            <w:left w:val="none" w:sz="0" w:space="0" w:color="auto"/>
            <w:bottom w:val="none" w:sz="0" w:space="0" w:color="auto"/>
            <w:right w:val="none" w:sz="0" w:space="0" w:color="auto"/>
          </w:divBdr>
        </w:div>
        <w:div w:id="685519987">
          <w:marLeft w:val="0"/>
          <w:marRight w:val="0"/>
          <w:marTop w:val="0"/>
          <w:marBottom w:val="0"/>
          <w:divBdr>
            <w:top w:val="none" w:sz="0" w:space="0" w:color="auto"/>
            <w:left w:val="none" w:sz="0" w:space="0" w:color="auto"/>
            <w:bottom w:val="none" w:sz="0" w:space="0" w:color="auto"/>
            <w:right w:val="none" w:sz="0" w:space="0" w:color="auto"/>
          </w:divBdr>
        </w:div>
        <w:div w:id="865480606">
          <w:marLeft w:val="0"/>
          <w:marRight w:val="0"/>
          <w:marTop w:val="0"/>
          <w:marBottom w:val="0"/>
          <w:divBdr>
            <w:top w:val="none" w:sz="0" w:space="0" w:color="auto"/>
            <w:left w:val="none" w:sz="0" w:space="0" w:color="auto"/>
            <w:bottom w:val="none" w:sz="0" w:space="0" w:color="auto"/>
            <w:right w:val="none" w:sz="0" w:space="0" w:color="auto"/>
          </w:divBdr>
        </w:div>
        <w:div w:id="1453787072">
          <w:marLeft w:val="0"/>
          <w:marRight w:val="0"/>
          <w:marTop w:val="0"/>
          <w:marBottom w:val="0"/>
          <w:divBdr>
            <w:top w:val="none" w:sz="0" w:space="0" w:color="auto"/>
            <w:left w:val="none" w:sz="0" w:space="0" w:color="auto"/>
            <w:bottom w:val="none" w:sz="0" w:space="0" w:color="auto"/>
            <w:right w:val="none" w:sz="0" w:space="0" w:color="auto"/>
          </w:divBdr>
        </w:div>
        <w:div w:id="1299605613">
          <w:marLeft w:val="0"/>
          <w:marRight w:val="0"/>
          <w:marTop w:val="0"/>
          <w:marBottom w:val="0"/>
          <w:divBdr>
            <w:top w:val="none" w:sz="0" w:space="0" w:color="auto"/>
            <w:left w:val="none" w:sz="0" w:space="0" w:color="auto"/>
            <w:bottom w:val="none" w:sz="0" w:space="0" w:color="auto"/>
            <w:right w:val="none" w:sz="0" w:space="0" w:color="auto"/>
          </w:divBdr>
        </w:div>
        <w:div w:id="1179463544">
          <w:marLeft w:val="0"/>
          <w:marRight w:val="0"/>
          <w:marTop w:val="0"/>
          <w:marBottom w:val="0"/>
          <w:divBdr>
            <w:top w:val="none" w:sz="0" w:space="0" w:color="auto"/>
            <w:left w:val="none" w:sz="0" w:space="0" w:color="auto"/>
            <w:bottom w:val="none" w:sz="0" w:space="0" w:color="auto"/>
            <w:right w:val="none" w:sz="0" w:space="0" w:color="auto"/>
          </w:divBdr>
        </w:div>
        <w:div w:id="926767367">
          <w:marLeft w:val="0"/>
          <w:marRight w:val="0"/>
          <w:marTop w:val="0"/>
          <w:marBottom w:val="0"/>
          <w:divBdr>
            <w:top w:val="none" w:sz="0" w:space="0" w:color="auto"/>
            <w:left w:val="none" w:sz="0" w:space="0" w:color="auto"/>
            <w:bottom w:val="none" w:sz="0" w:space="0" w:color="auto"/>
            <w:right w:val="none" w:sz="0" w:space="0" w:color="auto"/>
          </w:divBdr>
        </w:div>
        <w:div w:id="2018000292">
          <w:marLeft w:val="0"/>
          <w:marRight w:val="0"/>
          <w:marTop w:val="0"/>
          <w:marBottom w:val="0"/>
          <w:divBdr>
            <w:top w:val="none" w:sz="0" w:space="0" w:color="auto"/>
            <w:left w:val="none" w:sz="0" w:space="0" w:color="auto"/>
            <w:bottom w:val="none" w:sz="0" w:space="0" w:color="auto"/>
            <w:right w:val="none" w:sz="0" w:space="0" w:color="auto"/>
          </w:divBdr>
        </w:div>
        <w:div w:id="1526598187">
          <w:marLeft w:val="0"/>
          <w:marRight w:val="0"/>
          <w:marTop w:val="0"/>
          <w:marBottom w:val="0"/>
          <w:divBdr>
            <w:top w:val="none" w:sz="0" w:space="0" w:color="auto"/>
            <w:left w:val="none" w:sz="0" w:space="0" w:color="auto"/>
            <w:bottom w:val="none" w:sz="0" w:space="0" w:color="auto"/>
            <w:right w:val="none" w:sz="0" w:space="0" w:color="auto"/>
          </w:divBdr>
        </w:div>
        <w:div w:id="791561266">
          <w:marLeft w:val="0"/>
          <w:marRight w:val="0"/>
          <w:marTop w:val="0"/>
          <w:marBottom w:val="0"/>
          <w:divBdr>
            <w:top w:val="none" w:sz="0" w:space="0" w:color="auto"/>
            <w:left w:val="none" w:sz="0" w:space="0" w:color="auto"/>
            <w:bottom w:val="none" w:sz="0" w:space="0" w:color="auto"/>
            <w:right w:val="none" w:sz="0" w:space="0" w:color="auto"/>
          </w:divBdr>
        </w:div>
        <w:div w:id="1462310696">
          <w:marLeft w:val="0"/>
          <w:marRight w:val="0"/>
          <w:marTop w:val="0"/>
          <w:marBottom w:val="0"/>
          <w:divBdr>
            <w:top w:val="none" w:sz="0" w:space="0" w:color="auto"/>
            <w:left w:val="none" w:sz="0" w:space="0" w:color="auto"/>
            <w:bottom w:val="none" w:sz="0" w:space="0" w:color="auto"/>
            <w:right w:val="none" w:sz="0" w:space="0" w:color="auto"/>
          </w:divBdr>
        </w:div>
        <w:div w:id="1646859867">
          <w:marLeft w:val="0"/>
          <w:marRight w:val="0"/>
          <w:marTop w:val="0"/>
          <w:marBottom w:val="0"/>
          <w:divBdr>
            <w:top w:val="none" w:sz="0" w:space="0" w:color="auto"/>
            <w:left w:val="none" w:sz="0" w:space="0" w:color="auto"/>
            <w:bottom w:val="none" w:sz="0" w:space="0" w:color="auto"/>
            <w:right w:val="none" w:sz="0" w:space="0" w:color="auto"/>
          </w:divBdr>
        </w:div>
        <w:div w:id="647394398">
          <w:marLeft w:val="0"/>
          <w:marRight w:val="0"/>
          <w:marTop w:val="0"/>
          <w:marBottom w:val="0"/>
          <w:divBdr>
            <w:top w:val="none" w:sz="0" w:space="0" w:color="auto"/>
            <w:left w:val="none" w:sz="0" w:space="0" w:color="auto"/>
            <w:bottom w:val="none" w:sz="0" w:space="0" w:color="auto"/>
            <w:right w:val="none" w:sz="0" w:space="0" w:color="auto"/>
          </w:divBdr>
        </w:div>
      </w:divsChild>
    </w:div>
    <w:div w:id="1816337846">
      <w:bodyDiv w:val="1"/>
      <w:marLeft w:val="0"/>
      <w:marRight w:val="0"/>
      <w:marTop w:val="0"/>
      <w:marBottom w:val="0"/>
      <w:divBdr>
        <w:top w:val="none" w:sz="0" w:space="0" w:color="auto"/>
        <w:left w:val="none" w:sz="0" w:space="0" w:color="auto"/>
        <w:bottom w:val="none" w:sz="0" w:space="0" w:color="auto"/>
        <w:right w:val="none" w:sz="0" w:space="0" w:color="auto"/>
      </w:divBdr>
      <w:divsChild>
        <w:div w:id="280193244">
          <w:marLeft w:val="0"/>
          <w:marRight w:val="0"/>
          <w:marTop w:val="0"/>
          <w:marBottom w:val="0"/>
          <w:divBdr>
            <w:top w:val="none" w:sz="0" w:space="0" w:color="auto"/>
            <w:left w:val="none" w:sz="0" w:space="0" w:color="auto"/>
            <w:bottom w:val="none" w:sz="0" w:space="0" w:color="auto"/>
            <w:right w:val="none" w:sz="0" w:space="0" w:color="auto"/>
          </w:divBdr>
        </w:div>
        <w:div w:id="1993486343">
          <w:marLeft w:val="0"/>
          <w:marRight w:val="0"/>
          <w:marTop w:val="0"/>
          <w:marBottom w:val="0"/>
          <w:divBdr>
            <w:top w:val="none" w:sz="0" w:space="0" w:color="auto"/>
            <w:left w:val="none" w:sz="0" w:space="0" w:color="auto"/>
            <w:bottom w:val="none" w:sz="0" w:space="0" w:color="auto"/>
            <w:right w:val="none" w:sz="0" w:space="0" w:color="auto"/>
          </w:divBdr>
        </w:div>
        <w:div w:id="184711981">
          <w:marLeft w:val="0"/>
          <w:marRight w:val="0"/>
          <w:marTop w:val="0"/>
          <w:marBottom w:val="0"/>
          <w:divBdr>
            <w:top w:val="none" w:sz="0" w:space="0" w:color="auto"/>
            <w:left w:val="none" w:sz="0" w:space="0" w:color="auto"/>
            <w:bottom w:val="none" w:sz="0" w:space="0" w:color="auto"/>
            <w:right w:val="none" w:sz="0" w:space="0" w:color="auto"/>
          </w:divBdr>
        </w:div>
        <w:div w:id="689182490">
          <w:marLeft w:val="0"/>
          <w:marRight w:val="0"/>
          <w:marTop w:val="0"/>
          <w:marBottom w:val="0"/>
          <w:divBdr>
            <w:top w:val="none" w:sz="0" w:space="0" w:color="auto"/>
            <w:left w:val="none" w:sz="0" w:space="0" w:color="auto"/>
            <w:bottom w:val="none" w:sz="0" w:space="0" w:color="auto"/>
            <w:right w:val="none" w:sz="0" w:space="0" w:color="auto"/>
          </w:divBdr>
        </w:div>
        <w:div w:id="1288046344">
          <w:marLeft w:val="0"/>
          <w:marRight w:val="0"/>
          <w:marTop w:val="0"/>
          <w:marBottom w:val="0"/>
          <w:divBdr>
            <w:top w:val="none" w:sz="0" w:space="0" w:color="auto"/>
            <w:left w:val="none" w:sz="0" w:space="0" w:color="auto"/>
            <w:bottom w:val="none" w:sz="0" w:space="0" w:color="auto"/>
            <w:right w:val="none" w:sz="0" w:space="0" w:color="auto"/>
          </w:divBdr>
        </w:div>
        <w:div w:id="940453372">
          <w:marLeft w:val="0"/>
          <w:marRight w:val="0"/>
          <w:marTop w:val="0"/>
          <w:marBottom w:val="0"/>
          <w:divBdr>
            <w:top w:val="none" w:sz="0" w:space="0" w:color="auto"/>
            <w:left w:val="none" w:sz="0" w:space="0" w:color="auto"/>
            <w:bottom w:val="none" w:sz="0" w:space="0" w:color="auto"/>
            <w:right w:val="none" w:sz="0" w:space="0" w:color="auto"/>
          </w:divBdr>
        </w:div>
        <w:div w:id="787046968">
          <w:marLeft w:val="0"/>
          <w:marRight w:val="0"/>
          <w:marTop w:val="0"/>
          <w:marBottom w:val="0"/>
          <w:divBdr>
            <w:top w:val="none" w:sz="0" w:space="0" w:color="auto"/>
            <w:left w:val="none" w:sz="0" w:space="0" w:color="auto"/>
            <w:bottom w:val="none" w:sz="0" w:space="0" w:color="auto"/>
            <w:right w:val="none" w:sz="0" w:space="0" w:color="auto"/>
          </w:divBdr>
        </w:div>
        <w:div w:id="341278385">
          <w:marLeft w:val="0"/>
          <w:marRight w:val="0"/>
          <w:marTop w:val="0"/>
          <w:marBottom w:val="0"/>
          <w:divBdr>
            <w:top w:val="none" w:sz="0" w:space="0" w:color="auto"/>
            <w:left w:val="none" w:sz="0" w:space="0" w:color="auto"/>
            <w:bottom w:val="none" w:sz="0" w:space="0" w:color="auto"/>
            <w:right w:val="none" w:sz="0" w:space="0" w:color="auto"/>
          </w:divBdr>
        </w:div>
        <w:div w:id="1852599939">
          <w:marLeft w:val="0"/>
          <w:marRight w:val="0"/>
          <w:marTop w:val="0"/>
          <w:marBottom w:val="0"/>
          <w:divBdr>
            <w:top w:val="none" w:sz="0" w:space="0" w:color="auto"/>
            <w:left w:val="none" w:sz="0" w:space="0" w:color="auto"/>
            <w:bottom w:val="none" w:sz="0" w:space="0" w:color="auto"/>
            <w:right w:val="none" w:sz="0" w:space="0" w:color="auto"/>
          </w:divBdr>
        </w:div>
        <w:div w:id="1079055441">
          <w:marLeft w:val="0"/>
          <w:marRight w:val="0"/>
          <w:marTop w:val="0"/>
          <w:marBottom w:val="0"/>
          <w:divBdr>
            <w:top w:val="none" w:sz="0" w:space="0" w:color="auto"/>
            <w:left w:val="none" w:sz="0" w:space="0" w:color="auto"/>
            <w:bottom w:val="none" w:sz="0" w:space="0" w:color="auto"/>
            <w:right w:val="none" w:sz="0" w:space="0" w:color="auto"/>
          </w:divBdr>
        </w:div>
      </w:divsChild>
    </w:div>
    <w:div w:id="1820076401">
      <w:bodyDiv w:val="1"/>
      <w:marLeft w:val="0"/>
      <w:marRight w:val="0"/>
      <w:marTop w:val="0"/>
      <w:marBottom w:val="0"/>
      <w:divBdr>
        <w:top w:val="none" w:sz="0" w:space="0" w:color="auto"/>
        <w:left w:val="none" w:sz="0" w:space="0" w:color="auto"/>
        <w:bottom w:val="none" w:sz="0" w:space="0" w:color="auto"/>
        <w:right w:val="none" w:sz="0" w:space="0" w:color="auto"/>
      </w:divBdr>
      <w:divsChild>
        <w:div w:id="771972238">
          <w:marLeft w:val="0"/>
          <w:marRight w:val="0"/>
          <w:marTop w:val="0"/>
          <w:marBottom w:val="0"/>
          <w:divBdr>
            <w:top w:val="none" w:sz="0" w:space="0" w:color="auto"/>
            <w:left w:val="none" w:sz="0" w:space="0" w:color="auto"/>
            <w:bottom w:val="none" w:sz="0" w:space="0" w:color="auto"/>
            <w:right w:val="none" w:sz="0" w:space="0" w:color="auto"/>
          </w:divBdr>
        </w:div>
        <w:div w:id="1282802254">
          <w:marLeft w:val="0"/>
          <w:marRight w:val="0"/>
          <w:marTop w:val="0"/>
          <w:marBottom w:val="0"/>
          <w:divBdr>
            <w:top w:val="none" w:sz="0" w:space="0" w:color="auto"/>
            <w:left w:val="none" w:sz="0" w:space="0" w:color="auto"/>
            <w:bottom w:val="none" w:sz="0" w:space="0" w:color="auto"/>
            <w:right w:val="none" w:sz="0" w:space="0" w:color="auto"/>
          </w:divBdr>
        </w:div>
        <w:div w:id="2134902875">
          <w:marLeft w:val="0"/>
          <w:marRight w:val="0"/>
          <w:marTop w:val="0"/>
          <w:marBottom w:val="0"/>
          <w:divBdr>
            <w:top w:val="none" w:sz="0" w:space="0" w:color="auto"/>
            <w:left w:val="none" w:sz="0" w:space="0" w:color="auto"/>
            <w:bottom w:val="none" w:sz="0" w:space="0" w:color="auto"/>
            <w:right w:val="none" w:sz="0" w:space="0" w:color="auto"/>
          </w:divBdr>
        </w:div>
        <w:div w:id="465315355">
          <w:marLeft w:val="0"/>
          <w:marRight w:val="0"/>
          <w:marTop w:val="0"/>
          <w:marBottom w:val="0"/>
          <w:divBdr>
            <w:top w:val="none" w:sz="0" w:space="0" w:color="auto"/>
            <w:left w:val="none" w:sz="0" w:space="0" w:color="auto"/>
            <w:bottom w:val="none" w:sz="0" w:space="0" w:color="auto"/>
            <w:right w:val="none" w:sz="0" w:space="0" w:color="auto"/>
          </w:divBdr>
        </w:div>
        <w:div w:id="1572807815">
          <w:marLeft w:val="0"/>
          <w:marRight w:val="0"/>
          <w:marTop w:val="0"/>
          <w:marBottom w:val="0"/>
          <w:divBdr>
            <w:top w:val="none" w:sz="0" w:space="0" w:color="auto"/>
            <w:left w:val="none" w:sz="0" w:space="0" w:color="auto"/>
            <w:bottom w:val="none" w:sz="0" w:space="0" w:color="auto"/>
            <w:right w:val="none" w:sz="0" w:space="0" w:color="auto"/>
          </w:divBdr>
        </w:div>
        <w:div w:id="1675917992">
          <w:marLeft w:val="0"/>
          <w:marRight w:val="0"/>
          <w:marTop w:val="0"/>
          <w:marBottom w:val="0"/>
          <w:divBdr>
            <w:top w:val="none" w:sz="0" w:space="0" w:color="auto"/>
            <w:left w:val="none" w:sz="0" w:space="0" w:color="auto"/>
            <w:bottom w:val="none" w:sz="0" w:space="0" w:color="auto"/>
            <w:right w:val="none" w:sz="0" w:space="0" w:color="auto"/>
          </w:divBdr>
        </w:div>
        <w:div w:id="736167860">
          <w:marLeft w:val="0"/>
          <w:marRight w:val="0"/>
          <w:marTop w:val="0"/>
          <w:marBottom w:val="0"/>
          <w:divBdr>
            <w:top w:val="none" w:sz="0" w:space="0" w:color="auto"/>
            <w:left w:val="none" w:sz="0" w:space="0" w:color="auto"/>
            <w:bottom w:val="none" w:sz="0" w:space="0" w:color="auto"/>
            <w:right w:val="none" w:sz="0" w:space="0" w:color="auto"/>
          </w:divBdr>
        </w:div>
        <w:div w:id="200944126">
          <w:marLeft w:val="0"/>
          <w:marRight w:val="0"/>
          <w:marTop w:val="0"/>
          <w:marBottom w:val="0"/>
          <w:divBdr>
            <w:top w:val="none" w:sz="0" w:space="0" w:color="auto"/>
            <w:left w:val="none" w:sz="0" w:space="0" w:color="auto"/>
            <w:bottom w:val="none" w:sz="0" w:space="0" w:color="auto"/>
            <w:right w:val="none" w:sz="0" w:space="0" w:color="auto"/>
          </w:divBdr>
        </w:div>
        <w:div w:id="108017019">
          <w:marLeft w:val="0"/>
          <w:marRight w:val="0"/>
          <w:marTop w:val="0"/>
          <w:marBottom w:val="0"/>
          <w:divBdr>
            <w:top w:val="none" w:sz="0" w:space="0" w:color="auto"/>
            <w:left w:val="none" w:sz="0" w:space="0" w:color="auto"/>
            <w:bottom w:val="none" w:sz="0" w:space="0" w:color="auto"/>
            <w:right w:val="none" w:sz="0" w:space="0" w:color="auto"/>
          </w:divBdr>
        </w:div>
        <w:div w:id="1172649411">
          <w:marLeft w:val="0"/>
          <w:marRight w:val="0"/>
          <w:marTop w:val="0"/>
          <w:marBottom w:val="0"/>
          <w:divBdr>
            <w:top w:val="none" w:sz="0" w:space="0" w:color="auto"/>
            <w:left w:val="none" w:sz="0" w:space="0" w:color="auto"/>
            <w:bottom w:val="none" w:sz="0" w:space="0" w:color="auto"/>
            <w:right w:val="none" w:sz="0" w:space="0" w:color="auto"/>
          </w:divBdr>
        </w:div>
        <w:div w:id="159471952">
          <w:marLeft w:val="0"/>
          <w:marRight w:val="0"/>
          <w:marTop w:val="0"/>
          <w:marBottom w:val="0"/>
          <w:divBdr>
            <w:top w:val="none" w:sz="0" w:space="0" w:color="auto"/>
            <w:left w:val="none" w:sz="0" w:space="0" w:color="auto"/>
            <w:bottom w:val="none" w:sz="0" w:space="0" w:color="auto"/>
            <w:right w:val="none" w:sz="0" w:space="0" w:color="auto"/>
          </w:divBdr>
        </w:div>
        <w:div w:id="1912039427">
          <w:marLeft w:val="0"/>
          <w:marRight w:val="0"/>
          <w:marTop w:val="0"/>
          <w:marBottom w:val="0"/>
          <w:divBdr>
            <w:top w:val="none" w:sz="0" w:space="0" w:color="auto"/>
            <w:left w:val="none" w:sz="0" w:space="0" w:color="auto"/>
            <w:bottom w:val="none" w:sz="0" w:space="0" w:color="auto"/>
            <w:right w:val="none" w:sz="0" w:space="0" w:color="auto"/>
          </w:divBdr>
        </w:div>
        <w:div w:id="1343362991">
          <w:marLeft w:val="0"/>
          <w:marRight w:val="0"/>
          <w:marTop w:val="0"/>
          <w:marBottom w:val="0"/>
          <w:divBdr>
            <w:top w:val="none" w:sz="0" w:space="0" w:color="auto"/>
            <w:left w:val="none" w:sz="0" w:space="0" w:color="auto"/>
            <w:bottom w:val="none" w:sz="0" w:space="0" w:color="auto"/>
            <w:right w:val="none" w:sz="0" w:space="0" w:color="auto"/>
          </w:divBdr>
        </w:div>
        <w:div w:id="442456706">
          <w:marLeft w:val="0"/>
          <w:marRight w:val="0"/>
          <w:marTop w:val="0"/>
          <w:marBottom w:val="0"/>
          <w:divBdr>
            <w:top w:val="none" w:sz="0" w:space="0" w:color="auto"/>
            <w:left w:val="none" w:sz="0" w:space="0" w:color="auto"/>
            <w:bottom w:val="none" w:sz="0" w:space="0" w:color="auto"/>
            <w:right w:val="none" w:sz="0" w:space="0" w:color="auto"/>
          </w:divBdr>
        </w:div>
        <w:div w:id="1206792830">
          <w:marLeft w:val="0"/>
          <w:marRight w:val="0"/>
          <w:marTop w:val="0"/>
          <w:marBottom w:val="0"/>
          <w:divBdr>
            <w:top w:val="none" w:sz="0" w:space="0" w:color="auto"/>
            <w:left w:val="none" w:sz="0" w:space="0" w:color="auto"/>
            <w:bottom w:val="none" w:sz="0" w:space="0" w:color="auto"/>
            <w:right w:val="none" w:sz="0" w:space="0" w:color="auto"/>
          </w:divBdr>
        </w:div>
        <w:div w:id="295913663">
          <w:marLeft w:val="0"/>
          <w:marRight w:val="0"/>
          <w:marTop w:val="0"/>
          <w:marBottom w:val="0"/>
          <w:divBdr>
            <w:top w:val="none" w:sz="0" w:space="0" w:color="auto"/>
            <w:left w:val="none" w:sz="0" w:space="0" w:color="auto"/>
            <w:bottom w:val="none" w:sz="0" w:space="0" w:color="auto"/>
            <w:right w:val="none" w:sz="0" w:space="0" w:color="auto"/>
          </w:divBdr>
        </w:div>
        <w:div w:id="1673990152">
          <w:marLeft w:val="0"/>
          <w:marRight w:val="0"/>
          <w:marTop w:val="0"/>
          <w:marBottom w:val="0"/>
          <w:divBdr>
            <w:top w:val="none" w:sz="0" w:space="0" w:color="auto"/>
            <w:left w:val="none" w:sz="0" w:space="0" w:color="auto"/>
            <w:bottom w:val="none" w:sz="0" w:space="0" w:color="auto"/>
            <w:right w:val="none" w:sz="0" w:space="0" w:color="auto"/>
          </w:divBdr>
        </w:div>
        <w:div w:id="425931413">
          <w:marLeft w:val="0"/>
          <w:marRight w:val="0"/>
          <w:marTop w:val="0"/>
          <w:marBottom w:val="0"/>
          <w:divBdr>
            <w:top w:val="none" w:sz="0" w:space="0" w:color="auto"/>
            <w:left w:val="none" w:sz="0" w:space="0" w:color="auto"/>
            <w:bottom w:val="none" w:sz="0" w:space="0" w:color="auto"/>
            <w:right w:val="none" w:sz="0" w:space="0" w:color="auto"/>
          </w:divBdr>
        </w:div>
        <w:div w:id="436826764">
          <w:marLeft w:val="0"/>
          <w:marRight w:val="0"/>
          <w:marTop w:val="0"/>
          <w:marBottom w:val="0"/>
          <w:divBdr>
            <w:top w:val="none" w:sz="0" w:space="0" w:color="auto"/>
            <w:left w:val="none" w:sz="0" w:space="0" w:color="auto"/>
            <w:bottom w:val="none" w:sz="0" w:space="0" w:color="auto"/>
            <w:right w:val="none" w:sz="0" w:space="0" w:color="auto"/>
          </w:divBdr>
        </w:div>
        <w:div w:id="525994261">
          <w:marLeft w:val="0"/>
          <w:marRight w:val="0"/>
          <w:marTop w:val="0"/>
          <w:marBottom w:val="0"/>
          <w:divBdr>
            <w:top w:val="none" w:sz="0" w:space="0" w:color="auto"/>
            <w:left w:val="none" w:sz="0" w:space="0" w:color="auto"/>
            <w:bottom w:val="none" w:sz="0" w:space="0" w:color="auto"/>
            <w:right w:val="none" w:sz="0" w:space="0" w:color="auto"/>
          </w:divBdr>
        </w:div>
        <w:div w:id="1915897264">
          <w:marLeft w:val="0"/>
          <w:marRight w:val="0"/>
          <w:marTop w:val="0"/>
          <w:marBottom w:val="0"/>
          <w:divBdr>
            <w:top w:val="none" w:sz="0" w:space="0" w:color="auto"/>
            <w:left w:val="none" w:sz="0" w:space="0" w:color="auto"/>
            <w:bottom w:val="none" w:sz="0" w:space="0" w:color="auto"/>
            <w:right w:val="none" w:sz="0" w:space="0" w:color="auto"/>
          </w:divBdr>
        </w:div>
        <w:div w:id="530463273">
          <w:marLeft w:val="0"/>
          <w:marRight w:val="0"/>
          <w:marTop w:val="0"/>
          <w:marBottom w:val="0"/>
          <w:divBdr>
            <w:top w:val="none" w:sz="0" w:space="0" w:color="auto"/>
            <w:left w:val="none" w:sz="0" w:space="0" w:color="auto"/>
            <w:bottom w:val="none" w:sz="0" w:space="0" w:color="auto"/>
            <w:right w:val="none" w:sz="0" w:space="0" w:color="auto"/>
          </w:divBdr>
        </w:div>
        <w:div w:id="1139802826">
          <w:marLeft w:val="0"/>
          <w:marRight w:val="0"/>
          <w:marTop w:val="0"/>
          <w:marBottom w:val="0"/>
          <w:divBdr>
            <w:top w:val="none" w:sz="0" w:space="0" w:color="auto"/>
            <w:left w:val="none" w:sz="0" w:space="0" w:color="auto"/>
            <w:bottom w:val="none" w:sz="0" w:space="0" w:color="auto"/>
            <w:right w:val="none" w:sz="0" w:space="0" w:color="auto"/>
          </w:divBdr>
        </w:div>
        <w:div w:id="367876916">
          <w:marLeft w:val="0"/>
          <w:marRight w:val="0"/>
          <w:marTop w:val="0"/>
          <w:marBottom w:val="0"/>
          <w:divBdr>
            <w:top w:val="none" w:sz="0" w:space="0" w:color="auto"/>
            <w:left w:val="none" w:sz="0" w:space="0" w:color="auto"/>
            <w:bottom w:val="none" w:sz="0" w:space="0" w:color="auto"/>
            <w:right w:val="none" w:sz="0" w:space="0" w:color="auto"/>
          </w:divBdr>
        </w:div>
        <w:div w:id="1926062391">
          <w:marLeft w:val="0"/>
          <w:marRight w:val="0"/>
          <w:marTop w:val="0"/>
          <w:marBottom w:val="0"/>
          <w:divBdr>
            <w:top w:val="none" w:sz="0" w:space="0" w:color="auto"/>
            <w:left w:val="none" w:sz="0" w:space="0" w:color="auto"/>
            <w:bottom w:val="none" w:sz="0" w:space="0" w:color="auto"/>
            <w:right w:val="none" w:sz="0" w:space="0" w:color="auto"/>
          </w:divBdr>
        </w:div>
        <w:div w:id="355156017">
          <w:marLeft w:val="0"/>
          <w:marRight w:val="0"/>
          <w:marTop w:val="0"/>
          <w:marBottom w:val="0"/>
          <w:divBdr>
            <w:top w:val="none" w:sz="0" w:space="0" w:color="auto"/>
            <w:left w:val="none" w:sz="0" w:space="0" w:color="auto"/>
            <w:bottom w:val="none" w:sz="0" w:space="0" w:color="auto"/>
            <w:right w:val="none" w:sz="0" w:space="0" w:color="auto"/>
          </w:divBdr>
        </w:div>
        <w:div w:id="836772649">
          <w:marLeft w:val="0"/>
          <w:marRight w:val="0"/>
          <w:marTop w:val="0"/>
          <w:marBottom w:val="0"/>
          <w:divBdr>
            <w:top w:val="none" w:sz="0" w:space="0" w:color="auto"/>
            <w:left w:val="none" w:sz="0" w:space="0" w:color="auto"/>
            <w:bottom w:val="none" w:sz="0" w:space="0" w:color="auto"/>
            <w:right w:val="none" w:sz="0" w:space="0" w:color="auto"/>
          </w:divBdr>
        </w:div>
        <w:div w:id="1824352641">
          <w:marLeft w:val="0"/>
          <w:marRight w:val="0"/>
          <w:marTop w:val="0"/>
          <w:marBottom w:val="0"/>
          <w:divBdr>
            <w:top w:val="none" w:sz="0" w:space="0" w:color="auto"/>
            <w:left w:val="none" w:sz="0" w:space="0" w:color="auto"/>
            <w:bottom w:val="none" w:sz="0" w:space="0" w:color="auto"/>
            <w:right w:val="none" w:sz="0" w:space="0" w:color="auto"/>
          </w:divBdr>
        </w:div>
        <w:div w:id="362823388">
          <w:marLeft w:val="0"/>
          <w:marRight w:val="0"/>
          <w:marTop w:val="0"/>
          <w:marBottom w:val="0"/>
          <w:divBdr>
            <w:top w:val="none" w:sz="0" w:space="0" w:color="auto"/>
            <w:left w:val="none" w:sz="0" w:space="0" w:color="auto"/>
            <w:bottom w:val="none" w:sz="0" w:space="0" w:color="auto"/>
            <w:right w:val="none" w:sz="0" w:space="0" w:color="auto"/>
          </w:divBdr>
        </w:div>
        <w:div w:id="477504433">
          <w:marLeft w:val="0"/>
          <w:marRight w:val="0"/>
          <w:marTop w:val="0"/>
          <w:marBottom w:val="0"/>
          <w:divBdr>
            <w:top w:val="none" w:sz="0" w:space="0" w:color="auto"/>
            <w:left w:val="none" w:sz="0" w:space="0" w:color="auto"/>
            <w:bottom w:val="none" w:sz="0" w:space="0" w:color="auto"/>
            <w:right w:val="none" w:sz="0" w:space="0" w:color="auto"/>
          </w:divBdr>
        </w:div>
        <w:div w:id="1475634457">
          <w:marLeft w:val="0"/>
          <w:marRight w:val="0"/>
          <w:marTop w:val="0"/>
          <w:marBottom w:val="0"/>
          <w:divBdr>
            <w:top w:val="none" w:sz="0" w:space="0" w:color="auto"/>
            <w:left w:val="none" w:sz="0" w:space="0" w:color="auto"/>
            <w:bottom w:val="none" w:sz="0" w:space="0" w:color="auto"/>
            <w:right w:val="none" w:sz="0" w:space="0" w:color="auto"/>
          </w:divBdr>
        </w:div>
        <w:div w:id="55713783">
          <w:marLeft w:val="0"/>
          <w:marRight w:val="0"/>
          <w:marTop w:val="0"/>
          <w:marBottom w:val="0"/>
          <w:divBdr>
            <w:top w:val="none" w:sz="0" w:space="0" w:color="auto"/>
            <w:left w:val="none" w:sz="0" w:space="0" w:color="auto"/>
            <w:bottom w:val="none" w:sz="0" w:space="0" w:color="auto"/>
            <w:right w:val="none" w:sz="0" w:space="0" w:color="auto"/>
          </w:divBdr>
        </w:div>
        <w:div w:id="1787308096">
          <w:marLeft w:val="0"/>
          <w:marRight w:val="0"/>
          <w:marTop w:val="0"/>
          <w:marBottom w:val="0"/>
          <w:divBdr>
            <w:top w:val="none" w:sz="0" w:space="0" w:color="auto"/>
            <w:left w:val="none" w:sz="0" w:space="0" w:color="auto"/>
            <w:bottom w:val="none" w:sz="0" w:space="0" w:color="auto"/>
            <w:right w:val="none" w:sz="0" w:space="0" w:color="auto"/>
          </w:divBdr>
        </w:div>
        <w:div w:id="716128874">
          <w:marLeft w:val="0"/>
          <w:marRight w:val="0"/>
          <w:marTop w:val="0"/>
          <w:marBottom w:val="0"/>
          <w:divBdr>
            <w:top w:val="none" w:sz="0" w:space="0" w:color="auto"/>
            <w:left w:val="none" w:sz="0" w:space="0" w:color="auto"/>
            <w:bottom w:val="none" w:sz="0" w:space="0" w:color="auto"/>
            <w:right w:val="none" w:sz="0" w:space="0" w:color="auto"/>
          </w:divBdr>
        </w:div>
        <w:div w:id="2036073626">
          <w:marLeft w:val="0"/>
          <w:marRight w:val="0"/>
          <w:marTop w:val="0"/>
          <w:marBottom w:val="0"/>
          <w:divBdr>
            <w:top w:val="none" w:sz="0" w:space="0" w:color="auto"/>
            <w:left w:val="none" w:sz="0" w:space="0" w:color="auto"/>
            <w:bottom w:val="none" w:sz="0" w:space="0" w:color="auto"/>
            <w:right w:val="none" w:sz="0" w:space="0" w:color="auto"/>
          </w:divBdr>
        </w:div>
        <w:div w:id="338504066">
          <w:marLeft w:val="0"/>
          <w:marRight w:val="0"/>
          <w:marTop w:val="0"/>
          <w:marBottom w:val="0"/>
          <w:divBdr>
            <w:top w:val="none" w:sz="0" w:space="0" w:color="auto"/>
            <w:left w:val="none" w:sz="0" w:space="0" w:color="auto"/>
            <w:bottom w:val="none" w:sz="0" w:space="0" w:color="auto"/>
            <w:right w:val="none" w:sz="0" w:space="0" w:color="auto"/>
          </w:divBdr>
        </w:div>
        <w:div w:id="1903636692">
          <w:marLeft w:val="0"/>
          <w:marRight w:val="0"/>
          <w:marTop w:val="0"/>
          <w:marBottom w:val="0"/>
          <w:divBdr>
            <w:top w:val="none" w:sz="0" w:space="0" w:color="auto"/>
            <w:left w:val="none" w:sz="0" w:space="0" w:color="auto"/>
            <w:bottom w:val="none" w:sz="0" w:space="0" w:color="auto"/>
            <w:right w:val="none" w:sz="0" w:space="0" w:color="auto"/>
          </w:divBdr>
        </w:div>
        <w:div w:id="1339383899">
          <w:marLeft w:val="0"/>
          <w:marRight w:val="0"/>
          <w:marTop w:val="0"/>
          <w:marBottom w:val="0"/>
          <w:divBdr>
            <w:top w:val="none" w:sz="0" w:space="0" w:color="auto"/>
            <w:left w:val="none" w:sz="0" w:space="0" w:color="auto"/>
            <w:bottom w:val="none" w:sz="0" w:space="0" w:color="auto"/>
            <w:right w:val="none" w:sz="0" w:space="0" w:color="auto"/>
          </w:divBdr>
        </w:div>
        <w:div w:id="454519060">
          <w:marLeft w:val="0"/>
          <w:marRight w:val="0"/>
          <w:marTop w:val="0"/>
          <w:marBottom w:val="0"/>
          <w:divBdr>
            <w:top w:val="none" w:sz="0" w:space="0" w:color="auto"/>
            <w:left w:val="none" w:sz="0" w:space="0" w:color="auto"/>
            <w:bottom w:val="none" w:sz="0" w:space="0" w:color="auto"/>
            <w:right w:val="none" w:sz="0" w:space="0" w:color="auto"/>
          </w:divBdr>
        </w:div>
        <w:div w:id="1375697136">
          <w:marLeft w:val="0"/>
          <w:marRight w:val="0"/>
          <w:marTop w:val="0"/>
          <w:marBottom w:val="0"/>
          <w:divBdr>
            <w:top w:val="none" w:sz="0" w:space="0" w:color="auto"/>
            <w:left w:val="none" w:sz="0" w:space="0" w:color="auto"/>
            <w:bottom w:val="none" w:sz="0" w:space="0" w:color="auto"/>
            <w:right w:val="none" w:sz="0" w:space="0" w:color="auto"/>
          </w:divBdr>
        </w:div>
        <w:div w:id="890458142">
          <w:marLeft w:val="0"/>
          <w:marRight w:val="0"/>
          <w:marTop w:val="0"/>
          <w:marBottom w:val="0"/>
          <w:divBdr>
            <w:top w:val="none" w:sz="0" w:space="0" w:color="auto"/>
            <w:left w:val="none" w:sz="0" w:space="0" w:color="auto"/>
            <w:bottom w:val="none" w:sz="0" w:space="0" w:color="auto"/>
            <w:right w:val="none" w:sz="0" w:space="0" w:color="auto"/>
          </w:divBdr>
        </w:div>
        <w:div w:id="851799278">
          <w:marLeft w:val="0"/>
          <w:marRight w:val="0"/>
          <w:marTop w:val="0"/>
          <w:marBottom w:val="0"/>
          <w:divBdr>
            <w:top w:val="none" w:sz="0" w:space="0" w:color="auto"/>
            <w:left w:val="none" w:sz="0" w:space="0" w:color="auto"/>
            <w:bottom w:val="none" w:sz="0" w:space="0" w:color="auto"/>
            <w:right w:val="none" w:sz="0" w:space="0" w:color="auto"/>
          </w:divBdr>
        </w:div>
        <w:div w:id="441531919">
          <w:marLeft w:val="0"/>
          <w:marRight w:val="0"/>
          <w:marTop w:val="0"/>
          <w:marBottom w:val="0"/>
          <w:divBdr>
            <w:top w:val="none" w:sz="0" w:space="0" w:color="auto"/>
            <w:left w:val="none" w:sz="0" w:space="0" w:color="auto"/>
            <w:bottom w:val="none" w:sz="0" w:space="0" w:color="auto"/>
            <w:right w:val="none" w:sz="0" w:space="0" w:color="auto"/>
          </w:divBdr>
        </w:div>
        <w:div w:id="1333921365">
          <w:marLeft w:val="0"/>
          <w:marRight w:val="0"/>
          <w:marTop w:val="0"/>
          <w:marBottom w:val="0"/>
          <w:divBdr>
            <w:top w:val="none" w:sz="0" w:space="0" w:color="auto"/>
            <w:left w:val="none" w:sz="0" w:space="0" w:color="auto"/>
            <w:bottom w:val="none" w:sz="0" w:space="0" w:color="auto"/>
            <w:right w:val="none" w:sz="0" w:space="0" w:color="auto"/>
          </w:divBdr>
        </w:div>
        <w:div w:id="1648821592">
          <w:marLeft w:val="0"/>
          <w:marRight w:val="0"/>
          <w:marTop w:val="0"/>
          <w:marBottom w:val="0"/>
          <w:divBdr>
            <w:top w:val="none" w:sz="0" w:space="0" w:color="auto"/>
            <w:left w:val="none" w:sz="0" w:space="0" w:color="auto"/>
            <w:bottom w:val="none" w:sz="0" w:space="0" w:color="auto"/>
            <w:right w:val="none" w:sz="0" w:space="0" w:color="auto"/>
          </w:divBdr>
        </w:div>
        <w:div w:id="241646289">
          <w:marLeft w:val="0"/>
          <w:marRight w:val="0"/>
          <w:marTop w:val="0"/>
          <w:marBottom w:val="0"/>
          <w:divBdr>
            <w:top w:val="none" w:sz="0" w:space="0" w:color="auto"/>
            <w:left w:val="none" w:sz="0" w:space="0" w:color="auto"/>
            <w:bottom w:val="none" w:sz="0" w:space="0" w:color="auto"/>
            <w:right w:val="none" w:sz="0" w:space="0" w:color="auto"/>
          </w:divBdr>
        </w:div>
        <w:div w:id="2047949869">
          <w:marLeft w:val="0"/>
          <w:marRight w:val="0"/>
          <w:marTop w:val="0"/>
          <w:marBottom w:val="0"/>
          <w:divBdr>
            <w:top w:val="none" w:sz="0" w:space="0" w:color="auto"/>
            <w:left w:val="none" w:sz="0" w:space="0" w:color="auto"/>
            <w:bottom w:val="none" w:sz="0" w:space="0" w:color="auto"/>
            <w:right w:val="none" w:sz="0" w:space="0" w:color="auto"/>
          </w:divBdr>
        </w:div>
        <w:div w:id="339048624">
          <w:marLeft w:val="0"/>
          <w:marRight w:val="0"/>
          <w:marTop w:val="0"/>
          <w:marBottom w:val="0"/>
          <w:divBdr>
            <w:top w:val="none" w:sz="0" w:space="0" w:color="auto"/>
            <w:left w:val="none" w:sz="0" w:space="0" w:color="auto"/>
            <w:bottom w:val="none" w:sz="0" w:space="0" w:color="auto"/>
            <w:right w:val="none" w:sz="0" w:space="0" w:color="auto"/>
          </w:divBdr>
        </w:div>
        <w:div w:id="898596227">
          <w:marLeft w:val="0"/>
          <w:marRight w:val="0"/>
          <w:marTop w:val="0"/>
          <w:marBottom w:val="0"/>
          <w:divBdr>
            <w:top w:val="none" w:sz="0" w:space="0" w:color="auto"/>
            <w:left w:val="none" w:sz="0" w:space="0" w:color="auto"/>
            <w:bottom w:val="none" w:sz="0" w:space="0" w:color="auto"/>
            <w:right w:val="none" w:sz="0" w:space="0" w:color="auto"/>
          </w:divBdr>
        </w:div>
        <w:div w:id="623124119">
          <w:marLeft w:val="0"/>
          <w:marRight w:val="0"/>
          <w:marTop w:val="0"/>
          <w:marBottom w:val="0"/>
          <w:divBdr>
            <w:top w:val="none" w:sz="0" w:space="0" w:color="auto"/>
            <w:left w:val="none" w:sz="0" w:space="0" w:color="auto"/>
            <w:bottom w:val="none" w:sz="0" w:space="0" w:color="auto"/>
            <w:right w:val="none" w:sz="0" w:space="0" w:color="auto"/>
          </w:divBdr>
        </w:div>
        <w:div w:id="163399795">
          <w:marLeft w:val="0"/>
          <w:marRight w:val="0"/>
          <w:marTop w:val="0"/>
          <w:marBottom w:val="0"/>
          <w:divBdr>
            <w:top w:val="none" w:sz="0" w:space="0" w:color="auto"/>
            <w:left w:val="none" w:sz="0" w:space="0" w:color="auto"/>
            <w:bottom w:val="none" w:sz="0" w:space="0" w:color="auto"/>
            <w:right w:val="none" w:sz="0" w:space="0" w:color="auto"/>
          </w:divBdr>
        </w:div>
        <w:div w:id="2123182270">
          <w:marLeft w:val="0"/>
          <w:marRight w:val="0"/>
          <w:marTop w:val="0"/>
          <w:marBottom w:val="0"/>
          <w:divBdr>
            <w:top w:val="none" w:sz="0" w:space="0" w:color="auto"/>
            <w:left w:val="none" w:sz="0" w:space="0" w:color="auto"/>
            <w:bottom w:val="none" w:sz="0" w:space="0" w:color="auto"/>
            <w:right w:val="none" w:sz="0" w:space="0" w:color="auto"/>
          </w:divBdr>
        </w:div>
        <w:div w:id="1857233607">
          <w:marLeft w:val="0"/>
          <w:marRight w:val="0"/>
          <w:marTop w:val="0"/>
          <w:marBottom w:val="0"/>
          <w:divBdr>
            <w:top w:val="none" w:sz="0" w:space="0" w:color="auto"/>
            <w:left w:val="none" w:sz="0" w:space="0" w:color="auto"/>
            <w:bottom w:val="none" w:sz="0" w:space="0" w:color="auto"/>
            <w:right w:val="none" w:sz="0" w:space="0" w:color="auto"/>
          </w:divBdr>
        </w:div>
        <w:div w:id="835463777">
          <w:marLeft w:val="0"/>
          <w:marRight w:val="0"/>
          <w:marTop w:val="0"/>
          <w:marBottom w:val="0"/>
          <w:divBdr>
            <w:top w:val="none" w:sz="0" w:space="0" w:color="auto"/>
            <w:left w:val="none" w:sz="0" w:space="0" w:color="auto"/>
            <w:bottom w:val="none" w:sz="0" w:space="0" w:color="auto"/>
            <w:right w:val="none" w:sz="0" w:space="0" w:color="auto"/>
          </w:divBdr>
        </w:div>
        <w:div w:id="1415973111">
          <w:marLeft w:val="0"/>
          <w:marRight w:val="0"/>
          <w:marTop w:val="0"/>
          <w:marBottom w:val="0"/>
          <w:divBdr>
            <w:top w:val="none" w:sz="0" w:space="0" w:color="auto"/>
            <w:left w:val="none" w:sz="0" w:space="0" w:color="auto"/>
            <w:bottom w:val="none" w:sz="0" w:space="0" w:color="auto"/>
            <w:right w:val="none" w:sz="0" w:space="0" w:color="auto"/>
          </w:divBdr>
        </w:div>
        <w:div w:id="1902788444">
          <w:marLeft w:val="0"/>
          <w:marRight w:val="0"/>
          <w:marTop w:val="0"/>
          <w:marBottom w:val="0"/>
          <w:divBdr>
            <w:top w:val="none" w:sz="0" w:space="0" w:color="auto"/>
            <w:left w:val="none" w:sz="0" w:space="0" w:color="auto"/>
            <w:bottom w:val="none" w:sz="0" w:space="0" w:color="auto"/>
            <w:right w:val="none" w:sz="0" w:space="0" w:color="auto"/>
          </w:divBdr>
        </w:div>
        <w:div w:id="1476873778">
          <w:marLeft w:val="0"/>
          <w:marRight w:val="0"/>
          <w:marTop w:val="0"/>
          <w:marBottom w:val="0"/>
          <w:divBdr>
            <w:top w:val="none" w:sz="0" w:space="0" w:color="auto"/>
            <w:left w:val="none" w:sz="0" w:space="0" w:color="auto"/>
            <w:bottom w:val="none" w:sz="0" w:space="0" w:color="auto"/>
            <w:right w:val="none" w:sz="0" w:space="0" w:color="auto"/>
          </w:divBdr>
        </w:div>
        <w:div w:id="2025472027">
          <w:marLeft w:val="0"/>
          <w:marRight w:val="0"/>
          <w:marTop w:val="0"/>
          <w:marBottom w:val="0"/>
          <w:divBdr>
            <w:top w:val="none" w:sz="0" w:space="0" w:color="auto"/>
            <w:left w:val="none" w:sz="0" w:space="0" w:color="auto"/>
            <w:bottom w:val="none" w:sz="0" w:space="0" w:color="auto"/>
            <w:right w:val="none" w:sz="0" w:space="0" w:color="auto"/>
          </w:divBdr>
        </w:div>
        <w:div w:id="1737195433">
          <w:marLeft w:val="0"/>
          <w:marRight w:val="0"/>
          <w:marTop w:val="0"/>
          <w:marBottom w:val="0"/>
          <w:divBdr>
            <w:top w:val="none" w:sz="0" w:space="0" w:color="auto"/>
            <w:left w:val="none" w:sz="0" w:space="0" w:color="auto"/>
            <w:bottom w:val="none" w:sz="0" w:space="0" w:color="auto"/>
            <w:right w:val="none" w:sz="0" w:space="0" w:color="auto"/>
          </w:divBdr>
        </w:div>
        <w:div w:id="867913439">
          <w:marLeft w:val="0"/>
          <w:marRight w:val="0"/>
          <w:marTop w:val="0"/>
          <w:marBottom w:val="0"/>
          <w:divBdr>
            <w:top w:val="none" w:sz="0" w:space="0" w:color="auto"/>
            <w:left w:val="none" w:sz="0" w:space="0" w:color="auto"/>
            <w:bottom w:val="none" w:sz="0" w:space="0" w:color="auto"/>
            <w:right w:val="none" w:sz="0" w:space="0" w:color="auto"/>
          </w:divBdr>
        </w:div>
        <w:div w:id="1900169828">
          <w:marLeft w:val="0"/>
          <w:marRight w:val="0"/>
          <w:marTop w:val="0"/>
          <w:marBottom w:val="0"/>
          <w:divBdr>
            <w:top w:val="none" w:sz="0" w:space="0" w:color="auto"/>
            <w:left w:val="none" w:sz="0" w:space="0" w:color="auto"/>
            <w:bottom w:val="none" w:sz="0" w:space="0" w:color="auto"/>
            <w:right w:val="none" w:sz="0" w:space="0" w:color="auto"/>
          </w:divBdr>
        </w:div>
        <w:div w:id="166598673">
          <w:marLeft w:val="0"/>
          <w:marRight w:val="0"/>
          <w:marTop w:val="0"/>
          <w:marBottom w:val="0"/>
          <w:divBdr>
            <w:top w:val="none" w:sz="0" w:space="0" w:color="auto"/>
            <w:left w:val="none" w:sz="0" w:space="0" w:color="auto"/>
            <w:bottom w:val="none" w:sz="0" w:space="0" w:color="auto"/>
            <w:right w:val="none" w:sz="0" w:space="0" w:color="auto"/>
          </w:divBdr>
        </w:div>
        <w:div w:id="1250625979">
          <w:marLeft w:val="0"/>
          <w:marRight w:val="0"/>
          <w:marTop w:val="0"/>
          <w:marBottom w:val="0"/>
          <w:divBdr>
            <w:top w:val="none" w:sz="0" w:space="0" w:color="auto"/>
            <w:left w:val="none" w:sz="0" w:space="0" w:color="auto"/>
            <w:bottom w:val="none" w:sz="0" w:space="0" w:color="auto"/>
            <w:right w:val="none" w:sz="0" w:space="0" w:color="auto"/>
          </w:divBdr>
        </w:div>
        <w:div w:id="1376544483">
          <w:marLeft w:val="0"/>
          <w:marRight w:val="0"/>
          <w:marTop w:val="0"/>
          <w:marBottom w:val="0"/>
          <w:divBdr>
            <w:top w:val="none" w:sz="0" w:space="0" w:color="auto"/>
            <w:left w:val="none" w:sz="0" w:space="0" w:color="auto"/>
            <w:bottom w:val="none" w:sz="0" w:space="0" w:color="auto"/>
            <w:right w:val="none" w:sz="0" w:space="0" w:color="auto"/>
          </w:divBdr>
        </w:div>
        <w:div w:id="1205678456">
          <w:marLeft w:val="0"/>
          <w:marRight w:val="0"/>
          <w:marTop w:val="0"/>
          <w:marBottom w:val="0"/>
          <w:divBdr>
            <w:top w:val="none" w:sz="0" w:space="0" w:color="auto"/>
            <w:left w:val="none" w:sz="0" w:space="0" w:color="auto"/>
            <w:bottom w:val="none" w:sz="0" w:space="0" w:color="auto"/>
            <w:right w:val="none" w:sz="0" w:space="0" w:color="auto"/>
          </w:divBdr>
        </w:div>
        <w:div w:id="1346051526">
          <w:marLeft w:val="0"/>
          <w:marRight w:val="0"/>
          <w:marTop w:val="0"/>
          <w:marBottom w:val="0"/>
          <w:divBdr>
            <w:top w:val="none" w:sz="0" w:space="0" w:color="auto"/>
            <w:left w:val="none" w:sz="0" w:space="0" w:color="auto"/>
            <w:bottom w:val="none" w:sz="0" w:space="0" w:color="auto"/>
            <w:right w:val="none" w:sz="0" w:space="0" w:color="auto"/>
          </w:divBdr>
        </w:div>
        <w:div w:id="1394499426">
          <w:marLeft w:val="0"/>
          <w:marRight w:val="0"/>
          <w:marTop w:val="0"/>
          <w:marBottom w:val="0"/>
          <w:divBdr>
            <w:top w:val="none" w:sz="0" w:space="0" w:color="auto"/>
            <w:left w:val="none" w:sz="0" w:space="0" w:color="auto"/>
            <w:bottom w:val="none" w:sz="0" w:space="0" w:color="auto"/>
            <w:right w:val="none" w:sz="0" w:space="0" w:color="auto"/>
          </w:divBdr>
        </w:div>
        <w:div w:id="1636986199">
          <w:marLeft w:val="0"/>
          <w:marRight w:val="0"/>
          <w:marTop w:val="0"/>
          <w:marBottom w:val="0"/>
          <w:divBdr>
            <w:top w:val="none" w:sz="0" w:space="0" w:color="auto"/>
            <w:left w:val="none" w:sz="0" w:space="0" w:color="auto"/>
            <w:bottom w:val="none" w:sz="0" w:space="0" w:color="auto"/>
            <w:right w:val="none" w:sz="0" w:space="0" w:color="auto"/>
          </w:divBdr>
        </w:div>
        <w:div w:id="1299526680">
          <w:marLeft w:val="0"/>
          <w:marRight w:val="0"/>
          <w:marTop w:val="0"/>
          <w:marBottom w:val="0"/>
          <w:divBdr>
            <w:top w:val="none" w:sz="0" w:space="0" w:color="auto"/>
            <w:left w:val="none" w:sz="0" w:space="0" w:color="auto"/>
            <w:bottom w:val="none" w:sz="0" w:space="0" w:color="auto"/>
            <w:right w:val="none" w:sz="0" w:space="0" w:color="auto"/>
          </w:divBdr>
        </w:div>
        <w:div w:id="175506295">
          <w:marLeft w:val="0"/>
          <w:marRight w:val="0"/>
          <w:marTop w:val="0"/>
          <w:marBottom w:val="0"/>
          <w:divBdr>
            <w:top w:val="none" w:sz="0" w:space="0" w:color="auto"/>
            <w:left w:val="none" w:sz="0" w:space="0" w:color="auto"/>
            <w:bottom w:val="none" w:sz="0" w:space="0" w:color="auto"/>
            <w:right w:val="none" w:sz="0" w:space="0" w:color="auto"/>
          </w:divBdr>
        </w:div>
        <w:div w:id="54280919">
          <w:marLeft w:val="0"/>
          <w:marRight w:val="0"/>
          <w:marTop w:val="0"/>
          <w:marBottom w:val="0"/>
          <w:divBdr>
            <w:top w:val="none" w:sz="0" w:space="0" w:color="auto"/>
            <w:left w:val="none" w:sz="0" w:space="0" w:color="auto"/>
            <w:bottom w:val="none" w:sz="0" w:space="0" w:color="auto"/>
            <w:right w:val="none" w:sz="0" w:space="0" w:color="auto"/>
          </w:divBdr>
        </w:div>
        <w:div w:id="1625505839">
          <w:marLeft w:val="0"/>
          <w:marRight w:val="0"/>
          <w:marTop w:val="0"/>
          <w:marBottom w:val="0"/>
          <w:divBdr>
            <w:top w:val="none" w:sz="0" w:space="0" w:color="auto"/>
            <w:left w:val="none" w:sz="0" w:space="0" w:color="auto"/>
            <w:bottom w:val="none" w:sz="0" w:space="0" w:color="auto"/>
            <w:right w:val="none" w:sz="0" w:space="0" w:color="auto"/>
          </w:divBdr>
        </w:div>
      </w:divsChild>
    </w:div>
    <w:div w:id="1826505984">
      <w:bodyDiv w:val="1"/>
      <w:marLeft w:val="0"/>
      <w:marRight w:val="0"/>
      <w:marTop w:val="0"/>
      <w:marBottom w:val="0"/>
      <w:divBdr>
        <w:top w:val="none" w:sz="0" w:space="0" w:color="auto"/>
        <w:left w:val="none" w:sz="0" w:space="0" w:color="auto"/>
        <w:bottom w:val="none" w:sz="0" w:space="0" w:color="auto"/>
        <w:right w:val="none" w:sz="0" w:space="0" w:color="auto"/>
      </w:divBdr>
      <w:divsChild>
        <w:div w:id="138114912">
          <w:marLeft w:val="0"/>
          <w:marRight w:val="0"/>
          <w:marTop w:val="0"/>
          <w:marBottom w:val="0"/>
          <w:divBdr>
            <w:top w:val="none" w:sz="0" w:space="0" w:color="auto"/>
            <w:left w:val="none" w:sz="0" w:space="0" w:color="auto"/>
            <w:bottom w:val="none" w:sz="0" w:space="0" w:color="auto"/>
            <w:right w:val="none" w:sz="0" w:space="0" w:color="auto"/>
          </w:divBdr>
        </w:div>
        <w:div w:id="1231428201">
          <w:marLeft w:val="0"/>
          <w:marRight w:val="0"/>
          <w:marTop w:val="0"/>
          <w:marBottom w:val="0"/>
          <w:divBdr>
            <w:top w:val="none" w:sz="0" w:space="0" w:color="auto"/>
            <w:left w:val="none" w:sz="0" w:space="0" w:color="auto"/>
            <w:bottom w:val="none" w:sz="0" w:space="0" w:color="auto"/>
            <w:right w:val="none" w:sz="0" w:space="0" w:color="auto"/>
          </w:divBdr>
        </w:div>
        <w:div w:id="1146045747">
          <w:marLeft w:val="0"/>
          <w:marRight w:val="0"/>
          <w:marTop w:val="0"/>
          <w:marBottom w:val="0"/>
          <w:divBdr>
            <w:top w:val="none" w:sz="0" w:space="0" w:color="auto"/>
            <w:left w:val="none" w:sz="0" w:space="0" w:color="auto"/>
            <w:bottom w:val="none" w:sz="0" w:space="0" w:color="auto"/>
            <w:right w:val="none" w:sz="0" w:space="0" w:color="auto"/>
          </w:divBdr>
        </w:div>
        <w:div w:id="1057819190">
          <w:marLeft w:val="0"/>
          <w:marRight w:val="0"/>
          <w:marTop w:val="0"/>
          <w:marBottom w:val="0"/>
          <w:divBdr>
            <w:top w:val="none" w:sz="0" w:space="0" w:color="auto"/>
            <w:left w:val="none" w:sz="0" w:space="0" w:color="auto"/>
            <w:bottom w:val="none" w:sz="0" w:space="0" w:color="auto"/>
            <w:right w:val="none" w:sz="0" w:space="0" w:color="auto"/>
          </w:divBdr>
        </w:div>
        <w:div w:id="1346055646">
          <w:marLeft w:val="0"/>
          <w:marRight w:val="0"/>
          <w:marTop w:val="0"/>
          <w:marBottom w:val="0"/>
          <w:divBdr>
            <w:top w:val="none" w:sz="0" w:space="0" w:color="auto"/>
            <w:left w:val="none" w:sz="0" w:space="0" w:color="auto"/>
            <w:bottom w:val="none" w:sz="0" w:space="0" w:color="auto"/>
            <w:right w:val="none" w:sz="0" w:space="0" w:color="auto"/>
          </w:divBdr>
        </w:div>
        <w:div w:id="961964583">
          <w:marLeft w:val="0"/>
          <w:marRight w:val="0"/>
          <w:marTop w:val="0"/>
          <w:marBottom w:val="0"/>
          <w:divBdr>
            <w:top w:val="none" w:sz="0" w:space="0" w:color="auto"/>
            <w:left w:val="none" w:sz="0" w:space="0" w:color="auto"/>
            <w:bottom w:val="none" w:sz="0" w:space="0" w:color="auto"/>
            <w:right w:val="none" w:sz="0" w:space="0" w:color="auto"/>
          </w:divBdr>
        </w:div>
        <w:div w:id="2083915857">
          <w:marLeft w:val="0"/>
          <w:marRight w:val="0"/>
          <w:marTop w:val="0"/>
          <w:marBottom w:val="0"/>
          <w:divBdr>
            <w:top w:val="none" w:sz="0" w:space="0" w:color="auto"/>
            <w:left w:val="none" w:sz="0" w:space="0" w:color="auto"/>
            <w:bottom w:val="none" w:sz="0" w:space="0" w:color="auto"/>
            <w:right w:val="none" w:sz="0" w:space="0" w:color="auto"/>
          </w:divBdr>
        </w:div>
        <w:div w:id="576481771">
          <w:marLeft w:val="0"/>
          <w:marRight w:val="0"/>
          <w:marTop w:val="0"/>
          <w:marBottom w:val="0"/>
          <w:divBdr>
            <w:top w:val="none" w:sz="0" w:space="0" w:color="auto"/>
            <w:left w:val="none" w:sz="0" w:space="0" w:color="auto"/>
            <w:bottom w:val="none" w:sz="0" w:space="0" w:color="auto"/>
            <w:right w:val="none" w:sz="0" w:space="0" w:color="auto"/>
          </w:divBdr>
        </w:div>
        <w:div w:id="246885796">
          <w:marLeft w:val="0"/>
          <w:marRight w:val="0"/>
          <w:marTop w:val="0"/>
          <w:marBottom w:val="0"/>
          <w:divBdr>
            <w:top w:val="none" w:sz="0" w:space="0" w:color="auto"/>
            <w:left w:val="none" w:sz="0" w:space="0" w:color="auto"/>
            <w:bottom w:val="none" w:sz="0" w:space="0" w:color="auto"/>
            <w:right w:val="none" w:sz="0" w:space="0" w:color="auto"/>
          </w:divBdr>
        </w:div>
        <w:div w:id="306932740">
          <w:marLeft w:val="0"/>
          <w:marRight w:val="0"/>
          <w:marTop w:val="0"/>
          <w:marBottom w:val="0"/>
          <w:divBdr>
            <w:top w:val="none" w:sz="0" w:space="0" w:color="auto"/>
            <w:left w:val="none" w:sz="0" w:space="0" w:color="auto"/>
            <w:bottom w:val="none" w:sz="0" w:space="0" w:color="auto"/>
            <w:right w:val="none" w:sz="0" w:space="0" w:color="auto"/>
          </w:divBdr>
        </w:div>
        <w:div w:id="35008812">
          <w:marLeft w:val="0"/>
          <w:marRight w:val="0"/>
          <w:marTop w:val="0"/>
          <w:marBottom w:val="0"/>
          <w:divBdr>
            <w:top w:val="none" w:sz="0" w:space="0" w:color="auto"/>
            <w:left w:val="none" w:sz="0" w:space="0" w:color="auto"/>
            <w:bottom w:val="none" w:sz="0" w:space="0" w:color="auto"/>
            <w:right w:val="none" w:sz="0" w:space="0" w:color="auto"/>
          </w:divBdr>
        </w:div>
        <w:div w:id="118107121">
          <w:marLeft w:val="0"/>
          <w:marRight w:val="0"/>
          <w:marTop w:val="0"/>
          <w:marBottom w:val="0"/>
          <w:divBdr>
            <w:top w:val="none" w:sz="0" w:space="0" w:color="auto"/>
            <w:left w:val="none" w:sz="0" w:space="0" w:color="auto"/>
            <w:bottom w:val="none" w:sz="0" w:space="0" w:color="auto"/>
            <w:right w:val="none" w:sz="0" w:space="0" w:color="auto"/>
          </w:divBdr>
        </w:div>
        <w:div w:id="1364549825">
          <w:marLeft w:val="0"/>
          <w:marRight w:val="0"/>
          <w:marTop w:val="0"/>
          <w:marBottom w:val="0"/>
          <w:divBdr>
            <w:top w:val="none" w:sz="0" w:space="0" w:color="auto"/>
            <w:left w:val="none" w:sz="0" w:space="0" w:color="auto"/>
            <w:bottom w:val="none" w:sz="0" w:space="0" w:color="auto"/>
            <w:right w:val="none" w:sz="0" w:space="0" w:color="auto"/>
          </w:divBdr>
        </w:div>
        <w:div w:id="2106228125">
          <w:marLeft w:val="0"/>
          <w:marRight w:val="0"/>
          <w:marTop w:val="0"/>
          <w:marBottom w:val="0"/>
          <w:divBdr>
            <w:top w:val="none" w:sz="0" w:space="0" w:color="auto"/>
            <w:left w:val="none" w:sz="0" w:space="0" w:color="auto"/>
            <w:bottom w:val="none" w:sz="0" w:space="0" w:color="auto"/>
            <w:right w:val="none" w:sz="0" w:space="0" w:color="auto"/>
          </w:divBdr>
        </w:div>
        <w:div w:id="487140291">
          <w:marLeft w:val="0"/>
          <w:marRight w:val="0"/>
          <w:marTop w:val="0"/>
          <w:marBottom w:val="0"/>
          <w:divBdr>
            <w:top w:val="none" w:sz="0" w:space="0" w:color="auto"/>
            <w:left w:val="none" w:sz="0" w:space="0" w:color="auto"/>
            <w:bottom w:val="none" w:sz="0" w:space="0" w:color="auto"/>
            <w:right w:val="none" w:sz="0" w:space="0" w:color="auto"/>
          </w:divBdr>
        </w:div>
        <w:div w:id="1975939872">
          <w:marLeft w:val="0"/>
          <w:marRight w:val="0"/>
          <w:marTop w:val="0"/>
          <w:marBottom w:val="0"/>
          <w:divBdr>
            <w:top w:val="none" w:sz="0" w:space="0" w:color="auto"/>
            <w:left w:val="none" w:sz="0" w:space="0" w:color="auto"/>
            <w:bottom w:val="none" w:sz="0" w:space="0" w:color="auto"/>
            <w:right w:val="none" w:sz="0" w:space="0" w:color="auto"/>
          </w:divBdr>
        </w:div>
        <w:div w:id="1095901919">
          <w:marLeft w:val="0"/>
          <w:marRight w:val="0"/>
          <w:marTop w:val="0"/>
          <w:marBottom w:val="0"/>
          <w:divBdr>
            <w:top w:val="none" w:sz="0" w:space="0" w:color="auto"/>
            <w:left w:val="none" w:sz="0" w:space="0" w:color="auto"/>
            <w:bottom w:val="none" w:sz="0" w:space="0" w:color="auto"/>
            <w:right w:val="none" w:sz="0" w:space="0" w:color="auto"/>
          </w:divBdr>
        </w:div>
        <w:div w:id="1191147580">
          <w:marLeft w:val="0"/>
          <w:marRight w:val="0"/>
          <w:marTop w:val="0"/>
          <w:marBottom w:val="0"/>
          <w:divBdr>
            <w:top w:val="none" w:sz="0" w:space="0" w:color="auto"/>
            <w:left w:val="none" w:sz="0" w:space="0" w:color="auto"/>
            <w:bottom w:val="none" w:sz="0" w:space="0" w:color="auto"/>
            <w:right w:val="none" w:sz="0" w:space="0" w:color="auto"/>
          </w:divBdr>
        </w:div>
        <w:div w:id="919682618">
          <w:marLeft w:val="0"/>
          <w:marRight w:val="0"/>
          <w:marTop w:val="0"/>
          <w:marBottom w:val="0"/>
          <w:divBdr>
            <w:top w:val="none" w:sz="0" w:space="0" w:color="auto"/>
            <w:left w:val="none" w:sz="0" w:space="0" w:color="auto"/>
            <w:bottom w:val="none" w:sz="0" w:space="0" w:color="auto"/>
            <w:right w:val="none" w:sz="0" w:space="0" w:color="auto"/>
          </w:divBdr>
        </w:div>
        <w:div w:id="1449665295">
          <w:marLeft w:val="0"/>
          <w:marRight w:val="0"/>
          <w:marTop w:val="0"/>
          <w:marBottom w:val="0"/>
          <w:divBdr>
            <w:top w:val="none" w:sz="0" w:space="0" w:color="auto"/>
            <w:left w:val="none" w:sz="0" w:space="0" w:color="auto"/>
            <w:bottom w:val="none" w:sz="0" w:space="0" w:color="auto"/>
            <w:right w:val="none" w:sz="0" w:space="0" w:color="auto"/>
          </w:divBdr>
        </w:div>
        <w:div w:id="2100757488">
          <w:marLeft w:val="0"/>
          <w:marRight w:val="0"/>
          <w:marTop w:val="0"/>
          <w:marBottom w:val="0"/>
          <w:divBdr>
            <w:top w:val="none" w:sz="0" w:space="0" w:color="auto"/>
            <w:left w:val="none" w:sz="0" w:space="0" w:color="auto"/>
            <w:bottom w:val="none" w:sz="0" w:space="0" w:color="auto"/>
            <w:right w:val="none" w:sz="0" w:space="0" w:color="auto"/>
          </w:divBdr>
        </w:div>
        <w:div w:id="123236036">
          <w:marLeft w:val="0"/>
          <w:marRight w:val="0"/>
          <w:marTop w:val="0"/>
          <w:marBottom w:val="0"/>
          <w:divBdr>
            <w:top w:val="none" w:sz="0" w:space="0" w:color="auto"/>
            <w:left w:val="none" w:sz="0" w:space="0" w:color="auto"/>
            <w:bottom w:val="none" w:sz="0" w:space="0" w:color="auto"/>
            <w:right w:val="none" w:sz="0" w:space="0" w:color="auto"/>
          </w:divBdr>
        </w:div>
        <w:div w:id="1858077174">
          <w:marLeft w:val="0"/>
          <w:marRight w:val="0"/>
          <w:marTop w:val="0"/>
          <w:marBottom w:val="0"/>
          <w:divBdr>
            <w:top w:val="none" w:sz="0" w:space="0" w:color="auto"/>
            <w:left w:val="none" w:sz="0" w:space="0" w:color="auto"/>
            <w:bottom w:val="none" w:sz="0" w:space="0" w:color="auto"/>
            <w:right w:val="none" w:sz="0" w:space="0" w:color="auto"/>
          </w:divBdr>
        </w:div>
        <w:div w:id="1387684678">
          <w:marLeft w:val="0"/>
          <w:marRight w:val="0"/>
          <w:marTop w:val="0"/>
          <w:marBottom w:val="0"/>
          <w:divBdr>
            <w:top w:val="none" w:sz="0" w:space="0" w:color="auto"/>
            <w:left w:val="none" w:sz="0" w:space="0" w:color="auto"/>
            <w:bottom w:val="none" w:sz="0" w:space="0" w:color="auto"/>
            <w:right w:val="none" w:sz="0" w:space="0" w:color="auto"/>
          </w:divBdr>
        </w:div>
        <w:div w:id="229733561">
          <w:marLeft w:val="0"/>
          <w:marRight w:val="0"/>
          <w:marTop w:val="0"/>
          <w:marBottom w:val="0"/>
          <w:divBdr>
            <w:top w:val="none" w:sz="0" w:space="0" w:color="auto"/>
            <w:left w:val="none" w:sz="0" w:space="0" w:color="auto"/>
            <w:bottom w:val="none" w:sz="0" w:space="0" w:color="auto"/>
            <w:right w:val="none" w:sz="0" w:space="0" w:color="auto"/>
          </w:divBdr>
        </w:div>
        <w:div w:id="2054382859">
          <w:marLeft w:val="0"/>
          <w:marRight w:val="0"/>
          <w:marTop w:val="0"/>
          <w:marBottom w:val="0"/>
          <w:divBdr>
            <w:top w:val="none" w:sz="0" w:space="0" w:color="auto"/>
            <w:left w:val="none" w:sz="0" w:space="0" w:color="auto"/>
            <w:bottom w:val="none" w:sz="0" w:space="0" w:color="auto"/>
            <w:right w:val="none" w:sz="0" w:space="0" w:color="auto"/>
          </w:divBdr>
        </w:div>
        <w:div w:id="84692261">
          <w:marLeft w:val="0"/>
          <w:marRight w:val="0"/>
          <w:marTop w:val="0"/>
          <w:marBottom w:val="0"/>
          <w:divBdr>
            <w:top w:val="none" w:sz="0" w:space="0" w:color="auto"/>
            <w:left w:val="none" w:sz="0" w:space="0" w:color="auto"/>
            <w:bottom w:val="none" w:sz="0" w:space="0" w:color="auto"/>
            <w:right w:val="none" w:sz="0" w:space="0" w:color="auto"/>
          </w:divBdr>
        </w:div>
        <w:div w:id="488978811">
          <w:marLeft w:val="0"/>
          <w:marRight w:val="0"/>
          <w:marTop w:val="0"/>
          <w:marBottom w:val="0"/>
          <w:divBdr>
            <w:top w:val="none" w:sz="0" w:space="0" w:color="auto"/>
            <w:left w:val="none" w:sz="0" w:space="0" w:color="auto"/>
            <w:bottom w:val="none" w:sz="0" w:space="0" w:color="auto"/>
            <w:right w:val="none" w:sz="0" w:space="0" w:color="auto"/>
          </w:divBdr>
        </w:div>
        <w:div w:id="883055579">
          <w:marLeft w:val="0"/>
          <w:marRight w:val="0"/>
          <w:marTop w:val="0"/>
          <w:marBottom w:val="0"/>
          <w:divBdr>
            <w:top w:val="none" w:sz="0" w:space="0" w:color="auto"/>
            <w:left w:val="none" w:sz="0" w:space="0" w:color="auto"/>
            <w:bottom w:val="none" w:sz="0" w:space="0" w:color="auto"/>
            <w:right w:val="none" w:sz="0" w:space="0" w:color="auto"/>
          </w:divBdr>
        </w:div>
        <w:div w:id="2105370651">
          <w:marLeft w:val="0"/>
          <w:marRight w:val="0"/>
          <w:marTop w:val="0"/>
          <w:marBottom w:val="0"/>
          <w:divBdr>
            <w:top w:val="none" w:sz="0" w:space="0" w:color="auto"/>
            <w:left w:val="none" w:sz="0" w:space="0" w:color="auto"/>
            <w:bottom w:val="none" w:sz="0" w:space="0" w:color="auto"/>
            <w:right w:val="none" w:sz="0" w:space="0" w:color="auto"/>
          </w:divBdr>
        </w:div>
        <w:div w:id="2072535694">
          <w:marLeft w:val="0"/>
          <w:marRight w:val="0"/>
          <w:marTop w:val="0"/>
          <w:marBottom w:val="0"/>
          <w:divBdr>
            <w:top w:val="none" w:sz="0" w:space="0" w:color="auto"/>
            <w:left w:val="none" w:sz="0" w:space="0" w:color="auto"/>
            <w:bottom w:val="none" w:sz="0" w:space="0" w:color="auto"/>
            <w:right w:val="none" w:sz="0" w:space="0" w:color="auto"/>
          </w:divBdr>
        </w:div>
        <w:div w:id="268663065">
          <w:marLeft w:val="0"/>
          <w:marRight w:val="0"/>
          <w:marTop w:val="0"/>
          <w:marBottom w:val="0"/>
          <w:divBdr>
            <w:top w:val="none" w:sz="0" w:space="0" w:color="auto"/>
            <w:left w:val="none" w:sz="0" w:space="0" w:color="auto"/>
            <w:bottom w:val="none" w:sz="0" w:space="0" w:color="auto"/>
            <w:right w:val="none" w:sz="0" w:space="0" w:color="auto"/>
          </w:divBdr>
        </w:div>
        <w:div w:id="1625695793">
          <w:marLeft w:val="0"/>
          <w:marRight w:val="0"/>
          <w:marTop w:val="0"/>
          <w:marBottom w:val="0"/>
          <w:divBdr>
            <w:top w:val="none" w:sz="0" w:space="0" w:color="auto"/>
            <w:left w:val="none" w:sz="0" w:space="0" w:color="auto"/>
            <w:bottom w:val="none" w:sz="0" w:space="0" w:color="auto"/>
            <w:right w:val="none" w:sz="0" w:space="0" w:color="auto"/>
          </w:divBdr>
        </w:div>
        <w:div w:id="1226720560">
          <w:marLeft w:val="0"/>
          <w:marRight w:val="0"/>
          <w:marTop w:val="0"/>
          <w:marBottom w:val="0"/>
          <w:divBdr>
            <w:top w:val="none" w:sz="0" w:space="0" w:color="auto"/>
            <w:left w:val="none" w:sz="0" w:space="0" w:color="auto"/>
            <w:bottom w:val="none" w:sz="0" w:space="0" w:color="auto"/>
            <w:right w:val="none" w:sz="0" w:space="0" w:color="auto"/>
          </w:divBdr>
        </w:div>
        <w:div w:id="1286227939">
          <w:marLeft w:val="0"/>
          <w:marRight w:val="0"/>
          <w:marTop w:val="0"/>
          <w:marBottom w:val="0"/>
          <w:divBdr>
            <w:top w:val="none" w:sz="0" w:space="0" w:color="auto"/>
            <w:left w:val="none" w:sz="0" w:space="0" w:color="auto"/>
            <w:bottom w:val="none" w:sz="0" w:space="0" w:color="auto"/>
            <w:right w:val="none" w:sz="0" w:space="0" w:color="auto"/>
          </w:divBdr>
        </w:div>
      </w:divsChild>
    </w:div>
    <w:div w:id="1858078832">
      <w:bodyDiv w:val="1"/>
      <w:marLeft w:val="0"/>
      <w:marRight w:val="0"/>
      <w:marTop w:val="0"/>
      <w:marBottom w:val="0"/>
      <w:divBdr>
        <w:top w:val="none" w:sz="0" w:space="0" w:color="auto"/>
        <w:left w:val="none" w:sz="0" w:space="0" w:color="auto"/>
        <w:bottom w:val="none" w:sz="0" w:space="0" w:color="auto"/>
        <w:right w:val="none" w:sz="0" w:space="0" w:color="auto"/>
      </w:divBdr>
      <w:divsChild>
        <w:div w:id="2127581578">
          <w:marLeft w:val="0"/>
          <w:marRight w:val="0"/>
          <w:marTop w:val="0"/>
          <w:marBottom w:val="0"/>
          <w:divBdr>
            <w:top w:val="none" w:sz="0" w:space="0" w:color="auto"/>
            <w:left w:val="none" w:sz="0" w:space="0" w:color="auto"/>
            <w:bottom w:val="none" w:sz="0" w:space="0" w:color="auto"/>
            <w:right w:val="none" w:sz="0" w:space="0" w:color="auto"/>
          </w:divBdr>
        </w:div>
        <w:div w:id="1138567837">
          <w:marLeft w:val="0"/>
          <w:marRight w:val="0"/>
          <w:marTop w:val="0"/>
          <w:marBottom w:val="0"/>
          <w:divBdr>
            <w:top w:val="none" w:sz="0" w:space="0" w:color="auto"/>
            <w:left w:val="none" w:sz="0" w:space="0" w:color="auto"/>
            <w:bottom w:val="none" w:sz="0" w:space="0" w:color="auto"/>
            <w:right w:val="none" w:sz="0" w:space="0" w:color="auto"/>
          </w:divBdr>
        </w:div>
        <w:div w:id="1675916672">
          <w:marLeft w:val="0"/>
          <w:marRight w:val="0"/>
          <w:marTop w:val="0"/>
          <w:marBottom w:val="0"/>
          <w:divBdr>
            <w:top w:val="none" w:sz="0" w:space="0" w:color="auto"/>
            <w:left w:val="none" w:sz="0" w:space="0" w:color="auto"/>
            <w:bottom w:val="none" w:sz="0" w:space="0" w:color="auto"/>
            <w:right w:val="none" w:sz="0" w:space="0" w:color="auto"/>
          </w:divBdr>
        </w:div>
        <w:div w:id="1324821971">
          <w:marLeft w:val="0"/>
          <w:marRight w:val="0"/>
          <w:marTop w:val="0"/>
          <w:marBottom w:val="0"/>
          <w:divBdr>
            <w:top w:val="none" w:sz="0" w:space="0" w:color="auto"/>
            <w:left w:val="none" w:sz="0" w:space="0" w:color="auto"/>
            <w:bottom w:val="none" w:sz="0" w:space="0" w:color="auto"/>
            <w:right w:val="none" w:sz="0" w:space="0" w:color="auto"/>
          </w:divBdr>
        </w:div>
        <w:div w:id="424497481">
          <w:marLeft w:val="0"/>
          <w:marRight w:val="0"/>
          <w:marTop w:val="0"/>
          <w:marBottom w:val="0"/>
          <w:divBdr>
            <w:top w:val="none" w:sz="0" w:space="0" w:color="auto"/>
            <w:left w:val="none" w:sz="0" w:space="0" w:color="auto"/>
            <w:bottom w:val="none" w:sz="0" w:space="0" w:color="auto"/>
            <w:right w:val="none" w:sz="0" w:space="0" w:color="auto"/>
          </w:divBdr>
        </w:div>
        <w:div w:id="2013289657">
          <w:marLeft w:val="0"/>
          <w:marRight w:val="0"/>
          <w:marTop w:val="0"/>
          <w:marBottom w:val="0"/>
          <w:divBdr>
            <w:top w:val="none" w:sz="0" w:space="0" w:color="auto"/>
            <w:left w:val="none" w:sz="0" w:space="0" w:color="auto"/>
            <w:bottom w:val="none" w:sz="0" w:space="0" w:color="auto"/>
            <w:right w:val="none" w:sz="0" w:space="0" w:color="auto"/>
          </w:divBdr>
        </w:div>
        <w:div w:id="1147744735">
          <w:marLeft w:val="0"/>
          <w:marRight w:val="0"/>
          <w:marTop w:val="0"/>
          <w:marBottom w:val="0"/>
          <w:divBdr>
            <w:top w:val="none" w:sz="0" w:space="0" w:color="auto"/>
            <w:left w:val="none" w:sz="0" w:space="0" w:color="auto"/>
            <w:bottom w:val="none" w:sz="0" w:space="0" w:color="auto"/>
            <w:right w:val="none" w:sz="0" w:space="0" w:color="auto"/>
          </w:divBdr>
        </w:div>
        <w:div w:id="1483498870">
          <w:marLeft w:val="0"/>
          <w:marRight w:val="0"/>
          <w:marTop w:val="0"/>
          <w:marBottom w:val="0"/>
          <w:divBdr>
            <w:top w:val="none" w:sz="0" w:space="0" w:color="auto"/>
            <w:left w:val="none" w:sz="0" w:space="0" w:color="auto"/>
            <w:bottom w:val="none" w:sz="0" w:space="0" w:color="auto"/>
            <w:right w:val="none" w:sz="0" w:space="0" w:color="auto"/>
          </w:divBdr>
        </w:div>
        <w:div w:id="374627411">
          <w:marLeft w:val="0"/>
          <w:marRight w:val="0"/>
          <w:marTop w:val="0"/>
          <w:marBottom w:val="0"/>
          <w:divBdr>
            <w:top w:val="none" w:sz="0" w:space="0" w:color="auto"/>
            <w:left w:val="none" w:sz="0" w:space="0" w:color="auto"/>
            <w:bottom w:val="none" w:sz="0" w:space="0" w:color="auto"/>
            <w:right w:val="none" w:sz="0" w:space="0" w:color="auto"/>
          </w:divBdr>
        </w:div>
        <w:div w:id="1864710306">
          <w:marLeft w:val="0"/>
          <w:marRight w:val="0"/>
          <w:marTop w:val="0"/>
          <w:marBottom w:val="0"/>
          <w:divBdr>
            <w:top w:val="none" w:sz="0" w:space="0" w:color="auto"/>
            <w:left w:val="none" w:sz="0" w:space="0" w:color="auto"/>
            <w:bottom w:val="none" w:sz="0" w:space="0" w:color="auto"/>
            <w:right w:val="none" w:sz="0" w:space="0" w:color="auto"/>
          </w:divBdr>
        </w:div>
        <w:div w:id="810829120">
          <w:marLeft w:val="0"/>
          <w:marRight w:val="0"/>
          <w:marTop w:val="0"/>
          <w:marBottom w:val="0"/>
          <w:divBdr>
            <w:top w:val="none" w:sz="0" w:space="0" w:color="auto"/>
            <w:left w:val="none" w:sz="0" w:space="0" w:color="auto"/>
            <w:bottom w:val="none" w:sz="0" w:space="0" w:color="auto"/>
            <w:right w:val="none" w:sz="0" w:space="0" w:color="auto"/>
          </w:divBdr>
        </w:div>
        <w:div w:id="1400597480">
          <w:marLeft w:val="0"/>
          <w:marRight w:val="0"/>
          <w:marTop w:val="0"/>
          <w:marBottom w:val="0"/>
          <w:divBdr>
            <w:top w:val="none" w:sz="0" w:space="0" w:color="auto"/>
            <w:left w:val="none" w:sz="0" w:space="0" w:color="auto"/>
            <w:bottom w:val="none" w:sz="0" w:space="0" w:color="auto"/>
            <w:right w:val="none" w:sz="0" w:space="0" w:color="auto"/>
          </w:divBdr>
        </w:div>
        <w:div w:id="1449860224">
          <w:marLeft w:val="0"/>
          <w:marRight w:val="0"/>
          <w:marTop w:val="0"/>
          <w:marBottom w:val="0"/>
          <w:divBdr>
            <w:top w:val="none" w:sz="0" w:space="0" w:color="auto"/>
            <w:left w:val="none" w:sz="0" w:space="0" w:color="auto"/>
            <w:bottom w:val="none" w:sz="0" w:space="0" w:color="auto"/>
            <w:right w:val="none" w:sz="0" w:space="0" w:color="auto"/>
          </w:divBdr>
        </w:div>
        <w:div w:id="1966040226">
          <w:marLeft w:val="0"/>
          <w:marRight w:val="0"/>
          <w:marTop w:val="0"/>
          <w:marBottom w:val="0"/>
          <w:divBdr>
            <w:top w:val="none" w:sz="0" w:space="0" w:color="auto"/>
            <w:left w:val="none" w:sz="0" w:space="0" w:color="auto"/>
            <w:bottom w:val="none" w:sz="0" w:space="0" w:color="auto"/>
            <w:right w:val="none" w:sz="0" w:space="0" w:color="auto"/>
          </w:divBdr>
        </w:div>
        <w:div w:id="1363827876">
          <w:marLeft w:val="0"/>
          <w:marRight w:val="0"/>
          <w:marTop w:val="0"/>
          <w:marBottom w:val="0"/>
          <w:divBdr>
            <w:top w:val="none" w:sz="0" w:space="0" w:color="auto"/>
            <w:left w:val="none" w:sz="0" w:space="0" w:color="auto"/>
            <w:bottom w:val="none" w:sz="0" w:space="0" w:color="auto"/>
            <w:right w:val="none" w:sz="0" w:space="0" w:color="auto"/>
          </w:divBdr>
        </w:div>
        <w:div w:id="532617385">
          <w:marLeft w:val="0"/>
          <w:marRight w:val="0"/>
          <w:marTop w:val="0"/>
          <w:marBottom w:val="0"/>
          <w:divBdr>
            <w:top w:val="none" w:sz="0" w:space="0" w:color="auto"/>
            <w:left w:val="none" w:sz="0" w:space="0" w:color="auto"/>
            <w:bottom w:val="none" w:sz="0" w:space="0" w:color="auto"/>
            <w:right w:val="none" w:sz="0" w:space="0" w:color="auto"/>
          </w:divBdr>
        </w:div>
        <w:div w:id="216555221">
          <w:marLeft w:val="0"/>
          <w:marRight w:val="0"/>
          <w:marTop w:val="0"/>
          <w:marBottom w:val="0"/>
          <w:divBdr>
            <w:top w:val="none" w:sz="0" w:space="0" w:color="auto"/>
            <w:left w:val="none" w:sz="0" w:space="0" w:color="auto"/>
            <w:bottom w:val="none" w:sz="0" w:space="0" w:color="auto"/>
            <w:right w:val="none" w:sz="0" w:space="0" w:color="auto"/>
          </w:divBdr>
        </w:div>
        <w:div w:id="953287112">
          <w:marLeft w:val="0"/>
          <w:marRight w:val="0"/>
          <w:marTop w:val="0"/>
          <w:marBottom w:val="0"/>
          <w:divBdr>
            <w:top w:val="none" w:sz="0" w:space="0" w:color="auto"/>
            <w:left w:val="none" w:sz="0" w:space="0" w:color="auto"/>
            <w:bottom w:val="none" w:sz="0" w:space="0" w:color="auto"/>
            <w:right w:val="none" w:sz="0" w:space="0" w:color="auto"/>
          </w:divBdr>
        </w:div>
        <w:div w:id="1405685490">
          <w:marLeft w:val="0"/>
          <w:marRight w:val="0"/>
          <w:marTop w:val="0"/>
          <w:marBottom w:val="0"/>
          <w:divBdr>
            <w:top w:val="none" w:sz="0" w:space="0" w:color="auto"/>
            <w:left w:val="none" w:sz="0" w:space="0" w:color="auto"/>
            <w:bottom w:val="none" w:sz="0" w:space="0" w:color="auto"/>
            <w:right w:val="none" w:sz="0" w:space="0" w:color="auto"/>
          </w:divBdr>
        </w:div>
        <w:div w:id="2006202473">
          <w:marLeft w:val="0"/>
          <w:marRight w:val="0"/>
          <w:marTop w:val="0"/>
          <w:marBottom w:val="0"/>
          <w:divBdr>
            <w:top w:val="none" w:sz="0" w:space="0" w:color="auto"/>
            <w:left w:val="none" w:sz="0" w:space="0" w:color="auto"/>
            <w:bottom w:val="none" w:sz="0" w:space="0" w:color="auto"/>
            <w:right w:val="none" w:sz="0" w:space="0" w:color="auto"/>
          </w:divBdr>
        </w:div>
        <w:div w:id="908080292">
          <w:marLeft w:val="0"/>
          <w:marRight w:val="0"/>
          <w:marTop w:val="0"/>
          <w:marBottom w:val="0"/>
          <w:divBdr>
            <w:top w:val="none" w:sz="0" w:space="0" w:color="auto"/>
            <w:left w:val="none" w:sz="0" w:space="0" w:color="auto"/>
            <w:bottom w:val="none" w:sz="0" w:space="0" w:color="auto"/>
            <w:right w:val="none" w:sz="0" w:space="0" w:color="auto"/>
          </w:divBdr>
        </w:div>
        <w:div w:id="176889644">
          <w:marLeft w:val="0"/>
          <w:marRight w:val="0"/>
          <w:marTop w:val="0"/>
          <w:marBottom w:val="0"/>
          <w:divBdr>
            <w:top w:val="none" w:sz="0" w:space="0" w:color="auto"/>
            <w:left w:val="none" w:sz="0" w:space="0" w:color="auto"/>
            <w:bottom w:val="none" w:sz="0" w:space="0" w:color="auto"/>
            <w:right w:val="none" w:sz="0" w:space="0" w:color="auto"/>
          </w:divBdr>
        </w:div>
      </w:divsChild>
    </w:div>
    <w:div w:id="1868447651">
      <w:bodyDiv w:val="1"/>
      <w:marLeft w:val="0"/>
      <w:marRight w:val="0"/>
      <w:marTop w:val="0"/>
      <w:marBottom w:val="0"/>
      <w:divBdr>
        <w:top w:val="none" w:sz="0" w:space="0" w:color="auto"/>
        <w:left w:val="none" w:sz="0" w:space="0" w:color="auto"/>
        <w:bottom w:val="none" w:sz="0" w:space="0" w:color="auto"/>
        <w:right w:val="none" w:sz="0" w:space="0" w:color="auto"/>
      </w:divBdr>
      <w:divsChild>
        <w:div w:id="1127511203">
          <w:marLeft w:val="0"/>
          <w:marRight w:val="0"/>
          <w:marTop w:val="0"/>
          <w:marBottom w:val="0"/>
          <w:divBdr>
            <w:top w:val="none" w:sz="0" w:space="0" w:color="auto"/>
            <w:left w:val="none" w:sz="0" w:space="0" w:color="auto"/>
            <w:bottom w:val="none" w:sz="0" w:space="0" w:color="auto"/>
            <w:right w:val="none" w:sz="0" w:space="0" w:color="auto"/>
          </w:divBdr>
        </w:div>
        <w:div w:id="1124427154">
          <w:marLeft w:val="0"/>
          <w:marRight w:val="0"/>
          <w:marTop w:val="0"/>
          <w:marBottom w:val="0"/>
          <w:divBdr>
            <w:top w:val="none" w:sz="0" w:space="0" w:color="auto"/>
            <w:left w:val="none" w:sz="0" w:space="0" w:color="auto"/>
            <w:bottom w:val="none" w:sz="0" w:space="0" w:color="auto"/>
            <w:right w:val="none" w:sz="0" w:space="0" w:color="auto"/>
          </w:divBdr>
        </w:div>
        <w:div w:id="749737948">
          <w:marLeft w:val="0"/>
          <w:marRight w:val="0"/>
          <w:marTop w:val="0"/>
          <w:marBottom w:val="0"/>
          <w:divBdr>
            <w:top w:val="none" w:sz="0" w:space="0" w:color="auto"/>
            <w:left w:val="none" w:sz="0" w:space="0" w:color="auto"/>
            <w:bottom w:val="none" w:sz="0" w:space="0" w:color="auto"/>
            <w:right w:val="none" w:sz="0" w:space="0" w:color="auto"/>
          </w:divBdr>
        </w:div>
      </w:divsChild>
    </w:div>
    <w:div w:id="1877809208">
      <w:bodyDiv w:val="1"/>
      <w:marLeft w:val="0"/>
      <w:marRight w:val="0"/>
      <w:marTop w:val="0"/>
      <w:marBottom w:val="0"/>
      <w:divBdr>
        <w:top w:val="none" w:sz="0" w:space="0" w:color="auto"/>
        <w:left w:val="none" w:sz="0" w:space="0" w:color="auto"/>
        <w:bottom w:val="none" w:sz="0" w:space="0" w:color="auto"/>
        <w:right w:val="none" w:sz="0" w:space="0" w:color="auto"/>
      </w:divBdr>
    </w:div>
    <w:div w:id="1884948172">
      <w:bodyDiv w:val="1"/>
      <w:marLeft w:val="0"/>
      <w:marRight w:val="0"/>
      <w:marTop w:val="0"/>
      <w:marBottom w:val="0"/>
      <w:divBdr>
        <w:top w:val="none" w:sz="0" w:space="0" w:color="auto"/>
        <w:left w:val="none" w:sz="0" w:space="0" w:color="auto"/>
        <w:bottom w:val="none" w:sz="0" w:space="0" w:color="auto"/>
        <w:right w:val="none" w:sz="0" w:space="0" w:color="auto"/>
      </w:divBdr>
      <w:divsChild>
        <w:div w:id="30812345">
          <w:marLeft w:val="0"/>
          <w:marRight w:val="0"/>
          <w:marTop w:val="0"/>
          <w:marBottom w:val="0"/>
          <w:divBdr>
            <w:top w:val="none" w:sz="0" w:space="0" w:color="auto"/>
            <w:left w:val="none" w:sz="0" w:space="0" w:color="auto"/>
            <w:bottom w:val="none" w:sz="0" w:space="0" w:color="auto"/>
            <w:right w:val="none" w:sz="0" w:space="0" w:color="auto"/>
          </w:divBdr>
        </w:div>
        <w:div w:id="1460026017">
          <w:marLeft w:val="0"/>
          <w:marRight w:val="0"/>
          <w:marTop w:val="0"/>
          <w:marBottom w:val="0"/>
          <w:divBdr>
            <w:top w:val="none" w:sz="0" w:space="0" w:color="auto"/>
            <w:left w:val="none" w:sz="0" w:space="0" w:color="auto"/>
            <w:bottom w:val="none" w:sz="0" w:space="0" w:color="auto"/>
            <w:right w:val="none" w:sz="0" w:space="0" w:color="auto"/>
          </w:divBdr>
        </w:div>
        <w:div w:id="1087731188">
          <w:marLeft w:val="0"/>
          <w:marRight w:val="0"/>
          <w:marTop w:val="0"/>
          <w:marBottom w:val="0"/>
          <w:divBdr>
            <w:top w:val="none" w:sz="0" w:space="0" w:color="auto"/>
            <w:left w:val="none" w:sz="0" w:space="0" w:color="auto"/>
            <w:bottom w:val="none" w:sz="0" w:space="0" w:color="auto"/>
            <w:right w:val="none" w:sz="0" w:space="0" w:color="auto"/>
          </w:divBdr>
        </w:div>
        <w:div w:id="1079594726">
          <w:marLeft w:val="0"/>
          <w:marRight w:val="0"/>
          <w:marTop w:val="0"/>
          <w:marBottom w:val="0"/>
          <w:divBdr>
            <w:top w:val="none" w:sz="0" w:space="0" w:color="auto"/>
            <w:left w:val="none" w:sz="0" w:space="0" w:color="auto"/>
            <w:bottom w:val="none" w:sz="0" w:space="0" w:color="auto"/>
            <w:right w:val="none" w:sz="0" w:space="0" w:color="auto"/>
          </w:divBdr>
        </w:div>
      </w:divsChild>
    </w:div>
    <w:div w:id="1914702721">
      <w:bodyDiv w:val="1"/>
      <w:marLeft w:val="0"/>
      <w:marRight w:val="0"/>
      <w:marTop w:val="0"/>
      <w:marBottom w:val="0"/>
      <w:divBdr>
        <w:top w:val="none" w:sz="0" w:space="0" w:color="auto"/>
        <w:left w:val="none" w:sz="0" w:space="0" w:color="auto"/>
        <w:bottom w:val="none" w:sz="0" w:space="0" w:color="auto"/>
        <w:right w:val="none" w:sz="0" w:space="0" w:color="auto"/>
      </w:divBdr>
      <w:divsChild>
        <w:div w:id="1703241428">
          <w:marLeft w:val="0"/>
          <w:marRight w:val="0"/>
          <w:marTop w:val="0"/>
          <w:marBottom w:val="0"/>
          <w:divBdr>
            <w:top w:val="none" w:sz="0" w:space="0" w:color="auto"/>
            <w:left w:val="none" w:sz="0" w:space="0" w:color="auto"/>
            <w:bottom w:val="none" w:sz="0" w:space="0" w:color="auto"/>
            <w:right w:val="none" w:sz="0" w:space="0" w:color="auto"/>
          </w:divBdr>
        </w:div>
        <w:div w:id="1866403860">
          <w:marLeft w:val="0"/>
          <w:marRight w:val="0"/>
          <w:marTop w:val="0"/>
          <w:marBottom w:val="0"/>
          <w:divBdr>
            <w:top w:val="none" w:sz="0" w:space="0" w:color="auto"/>
            <w:left w:val="none" w:sz="0" w:space="0" w:color="auto"/>
            <w:bottom w:val="none" w:sz="0" w:space="0" w:color="auto"/>
            <w:right w:val="none" w:sz="0" w:space="0" w:color="auto"/>
          </w:divBdr>
        </w:div>
        <w:div w:id="1639728803">
          <w:marLeft w:val="0"/>
          <w:marRight w:val="0"/>
          <w:marTop w:val="0"/>
          <w:marBottom w:val="0"/>
          <w:divBdr>
            <w:top w:val="none" w:sz="0" w:space="0" w:color="auto"/>
            <w:left w:val="none" w:sz="0" w:space="0" w:color="auto"/>
            <w:bottom w:val="none" w:sz="0" w:space="0" w:color="auto"/>
            <w:right w:val="none" w:sz="0" w:space="0" w:color="auto"/>
          </w:divBdr>
        </w:div>
      </w:divsChild>
    </w:div>
    <w:div w:id="1943415229">
      <w:bodyDiv w:val="1"/>
      <w:marLeft w:val="0"/>
      <w:marRight w:val="0"/>
      <w:marTop w:val="0"/>
      <w:marBottom w:val="0"/>
      <w:divBdr>
        <w:top w:val="none" w:sz="0" w:space="0" w:color="auto"/>
        <w:left w:val="none" w:sz="0" w:space="0" w:color="auto"/>
        <w:bottom w:val="none" w:sz="0" w:space="0" w:color="auto"/>
        <w:right w:val="none" w:sz="0" w:space="0" w:color="auto"/>
      </w:divBdr>
    </w:div>
    <w:div w:id="1949653027">
      <w:bodyDiv w:val="1"/>
      <w:marLeft w:val="0"/>
      <w:marRight w:val="0"/>
      <w:marTop w:val="0"/>
      <w:marBottom w:val="0"/>
      <w:divBdr>
        <w:top w:val="none" w:sz="0" w:space="0" w:color="auto"/>
        <w:left w:val="none" w:sz="0" w:space="0" w:color="auto"/>
        <w:bottom w:val="none" w:sz="0" w:space="0" w:color="auto"/>
        <w:right w:val="none" w:sz="0" w:space="0" w:color="auto"/>
      </w:divBdr>
      <w:divsChild>
        <w:div w:id="2094163517">
          <w:marLeft w:val="0"/>
          <w:marRight w:val="0"/>
          <w:marTop w:val="0"/>
          <w:marBottom w:val="0"/>
          <w:divBdr>
            <w:top w:val="none" w:sz="0" w:space="0" w:color="auto"/>
            <w:left w:val="none" w:sz="0" w:space="0" w:color="auto"/>
            <w:bottom w:val="none" w:sz="0" w:space="0" w:color="auto"/>
            <w:right w:val="none" w:sz="0" w:space="0" w:color="auto"/>
          </w:divBdr>
        </w:div>
        <w:div w:id="1558007628">
          <w:marLeft w:val="0"/>
          <w:marRight w:val="0"/>
          <w:marTop w:val="0"/>
          <w:marBottom w:val="0"/>
          <w:divBdr>
            <w:top w:val="none" w:sz="0" w:space="0" w:color="auto"/>
            <w:left w:val="none" w:sz="0" w:space="0" w:color="auto"/>
            <w:bottom w:val="none" w:sz="0" w:space="0" w:color="auto"/>
            <w:right w:val="none" w:sz="0" w:space="0" w:color="auto"/>
          </w:divBdr>
        </w:div>
        <w:div w:id="937251757">
          <w:marLeft w:val="0"/>
          <w:marRight w:val="0"/>
          <w:marTop w:val="0"/>
          <w:marBottom w:val="0"/>
          <w:divBdr>
            <w:top w:val="none" w:sz="0" w:space="0" w:color="auto"/>
            <w:left w:val="none" w:sz="0" w:space="0" w:color="auto"/>
            <w:bottom w:val="none" w:sz="0" w:space="0" w:color="auto"/>
            <w:right w:val="none" w:sz="0" w:space="0" w:color="auto"/>
          </w:divBdr>
        </w:div>
        <w:div w:id="1155101721">
          <w:marLeft w:val="0"/>
          <w:marRight w:val="0"/>
          <w:marTop w:val="0"/>
          <w:marBottom w:val="0"/>
          <w:divBdr>
            <w:top w:val="none" w:sz="0" w:space="0" w:color="auto"/>
            <w:left w:val="none" w:sz="0" w:space="0" w:color="auto"/>
            <w:bottom w:val="none" w:sz="0" w:space="0" w:color="auto"/>
            <w:right w:val="none" w:sz="0" w:space="0" w:color="auto"/>
          </w:divBdr>
        </w:div>
        <w:div w:id="480774753">
          <w:marLeft w:val="0"/>
          <w:marRight w:val="0"/>
          <w:marTop w:val="0"/>
          <w:marBottom w:val="0"/>
          <w:divBdr>
            <w:top w:val="none" w:sz="0" w:space="0" w:color="auto"/>
            <w:left w:val="none" w:sz="0" w:space="0" w:color="auto"/>
            <w:bottom w:val="none" w:sz="0" w:space="0" w:color="auto"/>
            <w:right w:val="none" w:sz="0" w:space="0" w:color="auto"/>
          </w:divBdr>
        </w:div>
        <w:div w:id="814104768">
          <w:marLeft w:val="0"/>
          <w:marRight w:val="0"/>
          <w:marTop w:val="0"/>
          <w:marBottom w:val="0"/>
          <w:divBdr>
            <w:top w:val="none" w:sz="0" w:space="0" w:color="auto"/>
            <w:left w:val="none" w:sz="0" w:space="0" w:color="auto"/>
            <w:bottom w:val="none" w:sz="0" w:space="0" w:color="auto"/>
            <w:right w:val="none" w:sz="0" w:space="0" w:color="auto"/>
          </w:divBdr>
        </w:div>
        <w:div w:id="710030366">
          <w:marLeft w:val="0"/>
          <w:marRight w:val="0"/>
          <w:marTop w:val="0"/>
          <w:marBottom w:val="0"/>
          <w:divBdr>
            <w:top w:val="none" w:sz="0" w:space="0" w:color="auto"/>
            <w:left w:val="none" w:sz="0" w:space="0" w:color="auto"/>
            <w:bottom w:val="none" w:sz="0" w:space="0" w:color="auto"/>
            <w:right w:val="none" w:sz="0" w:space="0" w:color="auto"/>
          </w:divBdr>
        </w:div>
        <w:div w:id="216480910">
          <w:marLeft w:val="0"/>
          <w:marRight w:val="0"/>
          <w:marTop w:val="0"/>
          <w:marBottom w:val="0"/>
          <w:divBdr>
            <w:top w:val="none" w:sz="0" w:space="0" w:color="auto"/>
            <w:left w:val="none" w:sz="0" w:space="0" w:color="auto"/>
            <w:bottom w:val="none" w:sz="0" w:space="0" w:color="auto"/>
            <w:right w:val="none" w:sz="0" w:space="0" w:color="auto"/>
          </w:divBdr>
        </w:div>
        <w:div w:id="844707480">
          <w:marLeft w:val="0"/>
          <w:marRight w:val="0"/>
          <w:marTop w:val="0"/>
          <w:marBottom w:val="0"/>
          <w:divBdr>
            <w:top w:val="none" w:sz="0" w:space="0" w:color="auto"/>
            <w:left w:val="none" w:sz="0" w:space="0" w:color="auto"/>
            <w:bottom w:val="none" w:sz="0" w:space="0" w:color="auto"/>
            <w:right w:val="none" w:sz="0" w:space="0" w:color="auto"/>
          </w:divBdr>
        </w:div>
        <w:div w:id="2034846005">
          <w:marLeft w:val="0"/>
          <w:marRight w:val="0"/>
          <w:marTop w:val="0"/>
          <w:marBottom w:val="0"/>
          <w:divBdr>
            <w:top w:val="none" w:sz="0" w:space="0" w:color="auto"/>
            <w:left w:val="none" w:sz="0" w:space="0" w:color="auto"/>
            <w:bottom w:val="none" w:sz="0" w:space="0" w:color="auto"/>
            <w:right w:val="none" w:sz="0" w:space="0" w:color="auto"/>
          </w:divBdr>
        </w:div>
        <w:div w:id="483015420">
          <w:marLeft w:val="0"/>
          <w:marRight w:val="0"/>
          <w:marTop w:val="0"/>
          <w:marBottom w:val="0"/>
          <w:divBdr>
            <w:top w:val="none" w:sz="0" w:space="0" w:color="auto"/>
            <w:left w:val="none" w:sz="0" w:space="0" w:color="auto"/>
            <w:bottom w:val="none" w:sz="0" w:space="0" w:color="auto"/>
            <w:right w:val="none" w:sz="0" w:space="0" w:color="auto"/>
          </w:divBdr>
        </w:div>
        <w:div w:id="1626623751">
          <w:marLeft w:val="0"/>
          <w:marRight w:val="0"/>
          <w:marTop w:val="0"/>
          <w:marBottom w:val="0"/>
          <w:divBdr>
            <w:top w:val="none" w:sz="0" w:space="0" w:color="auto"/>
            <w:left w:val="none" w:sz="0" w:space="0" w:color="auto"/>
            <w:bottom w:val="none" w:sz="0" w:space="0" w:color="auto"/>
            <w:right w:val="none" w:sz="0" w:space="0" w:color="auto"/>
          </w:divBdr>
        </w:div>
        <w:div w:id="1805998814">
          <w:marLeft w:val="0"/>
          <w:marRight w:val="0"/>
          <w:marTop w:val="0"/>
          <w:marBottom w:val="0"/>
          <w:divBdr>
            <w:top w:val="none" w:sz="0" w:space="0" w:color="auto"/>
            <w:left w:val="none" w:sz="0" w:space="0" w:color="auto"/>
            <w:bottom w:val="none" w:sz="0" w:space="0" w:color="auto"/>
            <w:right w:val="none" w:sz="0" w:space="0" w:color="auto"/>
          </w:divBdr>
        </w:div>
        <w:div w:id="228923928">
          <w:marLeft w:val="0"/>
          <w:marRight w:val="0"/>
          <w:marTop w:val="0"/>
          <w:marBottom w:val="0"/>
          <w:divBdr>
            <w:top w:val="none" w:sz="0" w:space="0" w:color="auto"/>
            <w:left w:val="none" w:sz="0" w:space="0" w:color="auto"/>
            <w:bottom w:val="none" w:sz="0" w:space="0" w:color="auto"/>
            <w:right w:val="none" w:sz="0" w:space="0" w:color="auto"/>
          </w:divBdr>
        </w:div>
        <w:div w:id="731192149">
          <w:marLeft w:val="0"/>
          <w:marRight w:val="0"/>
          <w:marTop w:val="0"/>
          <w:marBottom w:val="0"/>
          <w:divBdr>
            <w:top w:val="none" w:sz="0" w:space="0" w:color="auto"/>
            <w:left w:val="none" w:sz="0" w:space="0" w:color="auto"/>
            <w:bottom w:val="none" w:sz="0" w:space="0" w:color="auto"/>
            <w:right w:val="none" w:sz="0" w:space="0" w:color="auto"/>
          </w:divBdr>
        </w:div>
        <w:div w:id="646712651">
          <w:marLeft w:val="0"/>
          <w:marRight w:val="0"/>
          <w:marTop w:val="0"/>
          <w:marBottom w:val="0"/>
          <w:divBdr>
            <w:top w:val="none" w:sz="0" w:space="0" w:color="auto"/>
            <w:left w:val="none" w:sz="0" w:space="0" w:color="auto"/>
            <w:bottom w:val="none" w:sz="0" w:space="0" w:color="auto"/>
            <w:right w:val="none" w:sz="0" w:space="0" w:color="auto"/>
          </w:divBdr>
        </w:div>
        <w:div w:id="224948791">
          <w:marLeft w:val="0"/>
          <w:marRight w:val="0"/>
          <w:marTop w:val="0"/>
          <w:marBottom w:val="0"/>
          <w:divBdr>
            <w:top w:val="none" w:sz="0" w:space="0" w:color="auto"/>
            <w:left w:val="none" w:sz="0" w:space="0" w:color="auto"/>
            <w:bottom w:val="none" w:sz="0" w:space="0" w:color="auto"/>
            <w:right w:val="none" w:sz="0" w:space="0" w:color="auto"/>
          </w:divBdr>
        </w:div>
        <w:div w:id="1174147311">
          <w:marLeft w:val="0"/>
          <w:marRight w:val="0"/>
          <w:marTop w:val="0"/>
          <w:marBottom w:val="0"/>
          <w:divBdr>
            <w:top w:val="none" w:sz="0" w:space="0" w:color="auto"/>
            <w:left w:val="none" w:sz="0" w:space="0" w:color="auto"/>
            <w:bottom w:val="none" w:sz="0" w:space="0" w:color="auto"/>
            <w:right w:val="none" w:sz="0" w:space="0" w:color="auto"/>
          </w:divBdr>
        </w:div>
        <w:div w:id="850611475">
          <w:marLeft w:val="0"/>
          <w:marRight w:val="0"/>
          <w:marTop w:val="0"/>
          <w:marBottom w:val="0"/>
          <w:divBdr>
            <w:top w:val="none" w:sz="0" w:space="0" w:color="auto"/>
            <w:left w:val="none" w:sz="0" w:space="0" w:color="auto"/>
            <w:bottom w:val="none" w:sz="0" w:space="0" w:color="auto"/>
            <w:right w:val="none" w:sz="0" w:space="0" w:color="auto"/>
          </w:divBdr>
        </w:div>
        <w:div w:id="1967198153">
          <w:marLeft w:val="0"/>
          <w:marRight w:val="0"/>
          <w:marTop w:val="0"/>
          <w:marBottom w:val="0"/>
          <w:divBdr>
            <w:top w:val="none" w:sz="0" w:space="0" w:color="auto"/>
            <w:left w:val="none" w:sz="0" w:space="0" w:color="auto"/>
            <w:bottom w:val="none" w:sz="0" w:space="0" w:color="auto"/>
            <w:right w:val="none" w:sz="0" w:space="0" w:color="auto"/>
          </w:divBdr>
        </w:div>
        <w:div w:id="635720821">
          <w:marLeft w:val="0"/>
          <w:marRight w:val="0"/>
          <w:marTop w:val="0"/>
          <w:marBottom w:val="0"/>
          <w:divBdr>
            <w:top w:val="none" w:sz="0" w:space="0" w:color="auto"/>
            <w:left w:val="none" w:sz="0" w:space="0" w:color="auto"/>
            <w:bottom w:val="none" w:sz="0" w:space="0" w:color="auto"/>
            <w:right w:val="none" w:sz="0" w:space="0" w:color="auto"/>
          </w:divBdr>
        </w:div>
        <w:div w:id="445777037">
          <w:marLeft w:val="0"/>
          <w:marRight w:val="0"/>
          <w:marTop w:val="0"/>
          <w:marBottom w:val="0"/>
          <w:divBdr>
            <w:top w:val="none" w:sz="0" w:space="0" w:color="auto"/>
            <w:left w:val="none" w:sz="0" w:space="0" w:color="auto"/>
            <w:bottom w:val="none" w:sz="0" w:space="0" w:color="auto"/>
            <w:right w:val="none" w:sz="0" w:space="0" w:color="auto"/>
          </w:divBdr>
        </w:div>
        <w:div w:id="527253021">
          <w:marLeft w:val="0"/>
          <w:marRight w:val="0"/>
          <w:marTop w:val="0"/>
          <w:marBottom w:val="0"/>
          <w:divBdr>
            <w:top w:val="none" w:sz="0" w:space="0" w:color="auto"/>
            <w:left w:val="none" w:sz="0" w:space="0" w:color="auto"/>
            <w:bottom w:val="none" w:sz="0" w:space="0" w:color="auto"/>
            <w:right w:val="none" w:sz="0" w:space="0" w:color="auto"/>
          </w:divBdr>
        </w:div>
      </w:divsChild>
    </w:div>
    <w:div w:id="1965233268">
      <w:bodyDiv w:val="1"/>
      <w:marLeft w:val="0"/>
      <w:marRight w:val="0"/>
      <w:marTop w:val="0"/>
      <w:marBottom w:val="0"/>
      <w:divBdr>
        <w:top w:val="none" w:sz="0" w:space="0" w:color="auto"/>
        <w:left w:val="none" w:sz="0" w:space="0" w:color="auto"/>
        <w:bottom w:val="none" w:sz="0" w:space="0" w:color="auto"/>
        <w:right w:val="none" w:sz="0" w:space="0" w:color="auto"/>
      </w:divBdr>
      <w:divsChild>
        <w:div w:id="2013872787">
          <w:marLeft w:val="0"/>
          <w:marRight w:val="0"/>
          <w:marTop w:val="0"/>
          <w:marBottom w:val="0"/>
          <w:divBdr>
            <w:top w:val="none" w:sz="0" w:space="0" w:color="auto"/>
            <w:left w:val="none" w:sz="0" w:space="0" w:color="auto"/>
            <w:bottom w:val="none" w:sz="0" w:space="0" w:color="auto"/>
            <w:right w:val="none" w:sz="0" w:space="0" w:color="auto"/>
          </w:divBdr>
        </w:div>
        <w:div w:id="471404770">
          <w:marLeft w:val="0"/>
          <w:marRight w:val="0"/>
          <w:marTop w:val="0"/>
          <w:marBottom w:val="0"/>
          <w:divBdr>
            <w:top w:val="none" w:sz="0" w:space="0" w:color="auto"/>
            <w:left w:val="none" w:sz="0" w:space="0" w:color="auto"/>
            <w:bottom w:val="none" w:sz="0" w:space="0" w:color="auto"/>
            <w:right w:val="none" w:sz="0" w:space="0" w:color="auto"/>
          </w:divBdr>
        </w:div>
        <w:div w:id="1030841843">
          <w:marLeft w:val="0"/>
          <w:marRight w:val="0"/>
          <w:marTop w:val="0"/>
          <w:marBottom w:val="0"/>
          <w:divBdr>
            <w:top w:val="none" w:sz="0" w:space="0" w:color="auto"/>
            <w:left w:val="none" w:sz="0" w:space="0" w:color="auto"/>
            <w:bottom w:val="none" w:sz="0" w:space="0" w:color="auto"/>
            <w:right w:val="none" w:sz="0" w:space="0" w:color="auto"/>
          </w:divBdr>
        </w:div>
        <w:div w:id="981693878">
          <w:marLeft w:val="0"/>
          <w:marRight w:val="0"/>
          <w:marTop w:val="0"/>
          <w:marBottom w:val="0"/>
          <w:divBdr>
            <w:top w:val="none" w:sz="0" w:space="0" w:color="auto"/>
            <w:left w:val="none" w:sz="0" w:space="0" w:color="auto"/>
            <w:bottom w:val="none" w:sz="0" w:space="0" w:color="auto"/>
            <w:right w:val="none" w:sz="0" w:space="0" w:color="auto"/>
          </w:divBdr>
        </w:div>
        <w:div w:id="1849055791">
          <w:marLeft w:val="0"/>
          <w:marRight w:val="0"/>
          <w:marTop w:val="0"/>
          <w:marBottom w:val="0"/>
          <w:divBdr>
            <w:top w:val="none" w:sz="0" w:space="0" w:color="auto"/>
            <w:left w:val="none" w:sz="0" w:space="0" w:color="auto"/>
            <w:bottom w:val="none" w:sz="0" w:space="0" w:color="auto"/>
            <w:right w:val="none" w:sz="0" w:space="0" w:color="auto"/>
          </w:divBdr>
        </w:div>
        <w:div w:id="1408845223">
          <w:marLeft w:val="0"/>
          <w:marRight w:val="0"/>
          <w:marTop w:val="0"/>
          <w:marBottom w:val="0"/>
          <w:divBdr>
            <w:top w:val="none" w:sz="0" w:space="0" w:color="auto"/>
            <w:left w:val="none" w:sz="0" w:space="0" w:color="auto"/>
            <w:bottom w:val="none" w:sz="0" w:space="0" w:color="auto"/>
            <w:right w:val="none" w:sz="0" w:space="0" w:color="auto"/>
          </w:divBdr>
        </w:div>
        <w:div w:id="718865368">
          <w:marLeft w:val="0"/>
          <w:marRight w:val="0"/>
          <w:marTop w:val="0"/>
          <w:marBottom w:val="0"/>
          <w:divBdr>
            <w:top w:val="none" w:sz="0" w:space="0" w:color="auto"/>
            <w:left w:val="none" w:sz="0" w:space="0" w:color="auto"/>
            <w:bottom w:val="none" w:sz="0" w:space="0" w:color="auto"/>
            <w:right w:val="none" w:sz="0" w:space="0" w:color="auto"/>
          </w:divBdr>
        </w:div>
        <w:div w:id="2080596321">
          <w:marLeft w:val="0"/>
          <w:marRight w:val="0"/>
          <w:marTop w:val="0"/>
          <w:marBottom w:val="0"/>
          <w:divBdr>
            <w:top w:val="none" w:sz="0" w:space="0" w:color="auto"/>
            <w:left w:val="none" w:sz="0" w:space="0" w:color="auto"/>
            <w:bottom w:val="none" w:sz="0" w:space="0" w:color="auto"/>
            <w:right w:val="none" w:sz="0" w:space="0" w:color="auto"/>
          </w:divBdr>
        </w:div>
        <w:div w:id="1717927142">
          <w:marLeft w:val="0"/>
          <w:marRight w:val="0"/>
          <w:marTop w:val="0"/>
          <w:marBottom w:val="0"/>
          <w:divBdr>
            <w:top w:val="none" w:sz="0" w:space="0" w:color="auto"/>
            <w:left w:val="none" w:sz="0" w:space="0" w:color="auto"/>
            <w:bottom w:val="none" w:sz="0" w:space="0" w:color="auto"/>
            <w:right w:val="none" w:sz="0" w:space="0" w:color="auto"/>
          </w:divBdr>
        </w:div>
        <w:div w:id="851601179">
          <w:marLeft w:val="0"/>
          <w:marRight w:val="0"/>
          <w:marTop w:val="0"/>
          <w:marBottom w:val="0"/>
          <w:divBdr>
            <w:top w:val="none" w:sz="0" w:space="0" w:color="auto"/>
            <w:left w:val="none" w:sz="0" w:space="0" w:color="auto"/>
            <w:bottom w:val="none" w:sz="0" w:space="0" w:color="auto"/>
            <w:right w:val="none" w:sz="0" w:space="0" w:color="auto"/>
          </w:divBdr>
        </w:div>
        <w:div w:id="462046362">
          <w:marLeft w:val="0"/>
          <w:marRight w:val="0"/>
          <w:marTop w:val="0"/>
          <w:marBottom w:val="0"/>
          <w:divBdr>
            <w:top w:val="none" w:sz="0" w:space="0" w:color="auto"/>
            <w:left w:val="none" w:sz="0" w:space="0" w:color="auto"/>
            <w:bottom w:val="none" w:sz="0" w:space="0" w:color="auto"/>
            <w:right w:val="none" w:sz="0" w:space="0" w:color="auto"/>
          </w:divBdr>
        </w:div>
      </w:divsChild>
    </w:div>
    <w:div w:id="1970553607">
      <w:bodyDiv w:val="1"/>
      <w:marLeft w:val="0"/>
      <w:marRight w:val="0"/>
      <w:marTop w:val="0"/>
      <w:marBottom w:val="0"/>
      <w:divBdr>
        <w:top w:val="none" w:sz="0" w:space="0" w:color="auto"/>
        <w:left w:val="none" w:sz="0" w:space="0" w:color="auto"/>
        <w:bottom w:val="none" w:sz="0" w:space="0" w:color="auto"/>
        <w:right w:val="none" w:sz="0" w:space="0" w:color="auto"/>
      </w:divBdr>
      <w:divsChild>
        <w:div w:id="1649548751">
          <w:marLeft w:val="0"/>
          <w:marRight w:val="0"/>
          <w:marTop w:val="0"/>
          <w:marBottom w:val="0"/>
          <w:divBdr>
            <w:top w:val="none" w:sz="0" w:space="0" w:color="auto"/>
            <w:left w:val="none" w:sz="0" w:space="0" w:color="auto"/>
            <w:bottom w:val="none" w:sz="0" w:space="0" w:color="auto"/>
            <w:right w:val="none" w:sz="0" w:space="0" w:color="auto"/>
          </w:divBdr>
        </w:div>
        <w:div w:id="713122176">
          <w:marLeft w:val="0"/>
          <w:marRight w:val="0"/>
          <w:marTop w:val="0"/>
          <w:marBottom w:val="0"/>
          <w:divBdr>
            <w:top w:val="none" w:sz="0" w:space="0" w:color="auto"/>
            <w:left w:val="none" w:sz="0" w:space="0" w:color="auto"/>
            <w:bottom w:val="none" w:sz="0" w:space="0" w:color="auto"/>
            <w:right w:val="none" w:sz="0" w:space="0" w:color="auto"/>
          </w:divBdr>
        </w:div>
        <w:div w:id="63188861">
          <w:marLeft w:val="0"/>
          <w:marRight w:val="0"/>
          <w:marTop w:val="0"/>
          <w:marBottom w:val="0"/>
          <w:divBdr>
            <w:top w:val="none" w:sz="0" w:space="0" w:color="auto"/>
            <w:left w:val="none" w:sz="0" w:space="0" w:color="auto"/>
            <w:bottom w:val="none" w:sz="0" w:space="0" w:color="auto"/>
            <w:right w:val="none" w:sz="0" w:space="0" w:color="auto"/>
          </w:divBdr>
        </w:div>
        <w:div w:id="1857647214">
          <w:marLeft w:val="0"/>
          <w:marRight w:val="0"/>
          <w:marTop w:val="0"/>
          <w:marBottom w:val="0"/>
          <w:divBdr>
            <w:top w:val="none" w:sz="0" w:space="0" w:color="auto"/>
            <w:left w:val="none" w:sz="0" w:space="0" w:color="auto"/>
            <w:bottom w:val="none" w:sz="0" w:space="0" w:color="auto"/>
            <w:right w:val="none" w:sz="0" w:space="0" w:color="auto"/>
          </w:divBdr>
        </w:div>
        <w:div w:id="589581538">
          <w:marLeft w:val="0"/>
          <w:marRight w:val="0"/>
          <w:marTop w:val="0"/>
          <w:marBottom w:val="0"/>
          <w:divBdr>
            <w:top w:val="none" w:sz="0" w:space="0" w:color="auto"/>
            <w:left w:val="none" w:sz="0" w:space="0" w:color="auto"/>
            <w:bottom w:val="none" w:sz="0" w:space="0" w:color="auto"/>
            <w:right w:val="none" w:sz="0" w:space="0" w:color="auto"/>
          </w:divBdr>
        </w:div>
        <w:div w:id="427846643">
          <w:marLeft w:val="0"/>
          <w:marRight w:val="0"/>
          <w:marTop w:val="0"/>
          <w:marBottom w:val="0"/>
          <w:divBdr>
            <w:top w:val="none" w:sz="0" w:space="0" w:color="auto"/>
            <w:left w:val="none" w:sz="0" w:space="0" w:color="auto"/>
            <w:bottom w:val="none" w:sz="0" w:space="0" w:color="auto"/>
            <w:right w:val="none" w:sz="0" w:space="0" w:color="auto"/>
          </w:divBdr>
        </w:div>
        <w:div w:id="2070760482">
          <w:marLeft w:val="0"/>
          <w:marRight w:val="0"/>
          <w:marTop w:val="0"/>
          <w:marBottom w:val="0"/>
          <w:divBdr>
            <w:top w:val="none" w:sz="0" w:space="0" w:color="auto"/>
            <w:left w:val="none" w:sz="0" w:space="0" w:color="auto"/>
            <w:bottom w:val="none" w:sz="0" w:space="0" w:color="auto"/>
            <w:right w:val="none" w:sz="0" w:space="0" w:color="auto"/>
          </w:divBdr>
        </w:div>
        <w:div w:id="1445463204">
          <w:marLeft w:val="0"/>
          <w:marRight w:val="0"/>
          <w:marTop w:val="0"/>
          <w:marBottom w:val="0"/>
          <w:divBdr>
            <w:top w:val="none" w:sz="0" w:space="0" w:color="auto"/>
            <w:left w:val="none" w:sz="0" w:space="0" w:color="auto"/>
            <w:bottom w:val="none" w:sz="0" w:space="0" w:color="auto"/>
            <w:right w:val="none" w:sz="0" w:space="0" w:color="auto"/>
          </w:divBdr>
        </w:div>
        <w:div w:id="156045620">
          <w:marLeft w:val="0"/>
          <w:marRight w:val="0"/>
          <w:marTop w:val="0"/>
          <w:marBottom w:val="0"/>
          <w:divBdr>
            <w:top w:val="none" w:sz="0" w:space="0" w:color="auto"/>
            <w:left w:val="none" w:sz="0" w:space="0" w:color="auto"/>
            <w:bottom w:val="none" w:sz="0" w:space="0" w:color="auto"/>
            <w:right w:val="none" w:sz="0" w:space="0" w:color="auto"/>
          </w:divBdr>
        </w:div>
        <w:div w:id="288048770">
          <w:marLeft w:val="0"/>
          <w:marRight w:val="0"/>
          <w:marTop w:val="0"/>
          <w:marBottom w:val="0"/>
          <w:divBdr>
            <w:top w:val="none" w:sz="0" w:space="0" w:color="auto"/>
            <w:left w:val="none" w:sz="0" w:space="0" w:color="auto"/>
            <w:bottom w:val="none" w:sz="0" w:space="0" w:color="auto"/>
            <w:right w:val="none" w:sz="0" w:space="0" w:color="auto"/>
          </w:divBdr>
        </w:div>
        <w:div w:id="160051190">
          <w:marLeft w:val="0"/>
          <w:marRight w:val="0"/>
          <w:marTop w:val="0"/>
          <w:marBottom w:val="0"/>
          <w:divBdr>
            <w:top w:val="none" w:sz="0" w:space="0" w:color="auto"/>
            <w:left w:val="none" w:sz="0" w:space="0" w:color="auto"/>
            <w:bottom w:val="none" w:sz="0" w:space="0" w:color="auto"/>
            <w:right w:val="none" w:sz="0" w:space="0" w:color="auto"/>
          </w:divBdr>
        </w:div>
      </w:divsChild>
    </w:div>
    <w:div w:id="1986201535">
      <w:bodyDiv w:val="1"/>
      <w:marLeft w:val="0"/>
      <w:marRight w:val="0"/>
      <w:marTop w:val="0"/>
      <w:marBottom w:val="0"/>
      <w:divBdr>
        <w:top w:val="none" w:sz="0" w:space="0" w:color="auto"/>
        <w:left w:val="none" w:sz="0" w:space="0" w:color="auto"/>
        <w:bottom w:val="none" w:sz="0" w:space="0" w:color="auto"/>
        <w:right w:val="none" w:sz="0" w:space="0" w:color="auto"/>
      </w:divBdr>
    </w:div>
    <w:div w:id="2033796826">
      <w:bodyDiv w:val="1"/>
      <w:marLeft w:val="0"/>
      <w:marRight w:val="0"/>
      <w:marTop w:val="0"/>
      <w:marBottom w:val="0"/>
      <w:divBdr>
        <w:top w:val="none" w:sz="0" w:space="0" w:color="auto"/>
        <w:left w:val="none" w:sz="0" w:space="0" w:color="auto"/>
        <w:bottom w:val="none" w:sz="0" w:space="0" w:color="auto"/>
        <w:right w:val="none" w:sz="0" w:space="0" w:color="auto"/>
      </w:divBdr>
      <w:divsChild>
        <w:div w:id="1180897766">
          <w:marLeft w:val="0"/>
          <w:marRight w:val="0"/>
          <w:marTop w:val="0"/>
          <w:marBottom w:val="0"/>
          <w:divBdr>
            <w:top w:val="none" w:sz="0" w:space="0" w:color="auto"/>
            <w:left w:val="none" w:sz="0" w:space="0" w:color="auto"/>
            <w:bottom w:val="none" w:sz="0" w:space="0" w:color="auto"/>
            <w:right w:val="none" w:sz="0" w:space="0" w:color="auto"/>
          </w:divBdr>
        </w:div>
        <w:div w:id="761292043">
          <w:marLeft w:val="0"/>
          <w:marRight w:val="0"/>
          <w:marTop w:val="0"/>
          <w:marBottom w:val="0"/>
          <w:divBdr>
            <w:top w:val="none" w:sz="0" w:space="0" w:color="auto"/>
            <w:left w:val="none" w:sz="0" w:space="0" w:color="auto"/>
            <w:bottom w:val="none" w:sz="0" w:space="0" w:color="auto"/>
            <w:right w:val="none" w:sz="0" w:space="0" w:color="auto"/>
          </w:divBdr>
        </w:div>
        <w:div w:id="134566230">
          <w:marLeft w:val="0"/>
          <w:marRight w:val="0"/>
          <w:marTop w:val="0"/>
          <w:marBottom w:val="0"/>
          <w:divBdr>
            <w:top w:val="none" w:sz="0" w:space="0" w:color="auto"/>
            <w:left w:val="none" w:sz="0" w:space="0" w:color="auto"/>
            <w:bottom w:val="none" w:sz="0" w:space="0" w:color="auto"/>
            <w:right w:val="none" w:sz="0" w:space="0" w:color="auto"/>
          </w:divBdr>
        </w:div>
      </w:divsChild>
    </w:div>
    <w:div w:id="2053799662">
      <w:bodyDiv w:val="1"/>
      <w:marLeft w:val="0"/>
      <w:marRight w:val="0"/>
      <w:marTop w:val="0"/>
      <w:marBottom w:val="0"/>
      <w:divBdr>
        <w:top w:val="none" w:sz="0" w:space="0" w:color="auto"/>
        <w:left w:val="none" w:sz="0" w:space="0" w:color="auto"/>
        <w:bottom w:val="none" w:sz="0" w:space="0" w:color="auto"/>
        <w:right w:val="none" w:sz="0" w:space="0" w:color="auto"/>
      </w:divBdr>
    </w:div>
    <w:div w:id="2054890697">
      <w:bodyDiv w:val="1"/>
      <w:marLeft w:val="0"/>
      <w:marRight w:val="0"/>
      <w:marTop w:val="0"/>
      <w:marBottom w:val="0"/>
      <w:divBdr>
        <w:top w:val="none" w:sz="0" w:space="0" w:color="auto"/>
        <w:left w:val="none" w:sz="0" w:space="0" w:color="auto"/>
        <w:bottom w:val="none" w:sz="0" w:space="0" w:color="auto"/>
        <w:right w:val="none" w:sz="0" w:space="0" w:color="auto"/>
      </w:divBdr>
      <w:divsChild>
        <w:div w:id="685449735">
          <w:marLeft w:val="0"/>
          <w:marRight w:val="0"/>
          <w:marTop w:val="0"/>
          <w:marBottom w:val="0"/>
          <w:divBdr>
            <w:top w:val="none" w:sz="0" w:space="0" w:color="auto"/>
            <w:left w:val="none" w:sz="0" w:space="0" w:color="auto"/>
            <w:bottom w:val="none" w:sz="0" w:space="0" w:color="auto"/>
            <w:right w:val="none" w:sz="0" w:space="0" w:color="auto"/>
          </w:divBdr>
        </w:div>
        <w:div w:id="1959868640">
          <w:marLeft w:val="0"/>
          <w:marRight w:val="0"/>
          <w:marTop w:val="0"/>
          <w:marBottom w:val="0"/>
          <w:divBdr>
            <w:top w:val="none" w:sz="0" w:space="0" w:color="auto"/>
            <w:left w:val="none" w:sz="0" w:space="0" w:color="auto"/>
            <w:bottom w:val="none" w:sz="0" w:space="0" w:color="auto"/>
            <w:right w:val="none" w:sz="0" w:space="0" w:color="auto"/>
          </w:divBdr>
        </w:div>
        <w:div w:id="185873919">
          <w:marLeft w:val="0"/>
          <w:marRight w:val="0"/>
          <w:marTop w:val="0"/>
          <w:marBottom w:val="0"/>
          <w:divBdr>
            <w:top w:val="none" w:sz="0" w:space="0" w:color="auto"/>
            <w:left w:val="none" w:sz="0" w:space="0" w:color="auto"/>
            <w:bottom w:val="none" w:sz="0" w:space="0" w:color="auto"/>
            <w:right w:val="none" w:sz="0" w:space="0" w:color="auto"/>
          </w:divBdr>
        </w:div>
        <w:div w:id="443814139">
          <w:marLeft w:val="0"/>
          <w:marRight w:val="0"/>
          <w:marTop w:val="0"/>
          <w:marBottom w:val="0"/>
          <w:divBdr>
            <w:top w:val="none" w:sz="0" w:space="0" w:color="auto"/>
            <w:left w:val="none" w:sz="0" w:space="0" w:color="auto"/>
            <w:bottom w:val="none" w:sz="0" w:space="0" w:color="auto"/>
            <w:right w:val="none" w:sz="0" w:space="0" w:color="auto"/>
          </w:divBdr>
        </w:div>
        <w:div w:id="18436598">
          <w:marLeft w:val="0"/>
          <w:marRight w:val="0"/>
          <w:marTop w:val="0"/>
          <w:marBottom w:val="0"/>
          <w:divBdr>
            <w:top w:val="none" w:sz="0" w:space="0" w:color="auto"/>
            <w:left w:val="none" w:sz="0" w:space="0" w:color="auto"/>
            <w:bottom w:val="none" w:sz="0" w:space="0" w:color="auto"/>
            <w:right w:val="none" w:sz="0" w:space="0" w:color="auto"/>
          </w:divBdr>
        </w:div>
      </w:divsChild>
    </w:div>
    <w:div w:id="2060667439">
      <w:bodyDiv w:val="1"/>
      <w:marLeft w:val="0"/>
      <w:marRight w:val="0"/>
      <w:marTop w:val="0"/>
      <w:marBottom w:val="0"/>
      <w:divBdr>
        <w:top w:val="none" w:sz="0" w:space="0" w:color="auto"/>
        <w:left w:val="none" w:sz="0" w:space="0" w:color="auto"/>
        <w:bottom w:val="none" w:sz="0" w:space="0" w:color="auto"/>
        <w:right w:val="none" w:sz="0" w:space="0" w:color="auto"/>
      </w:divBdr>
      <w:divsChild>
        <w:div w:id="1440486384">
          <w:marLeft w:val="0"/>
          <w:marRight w:val="0"/>
          <w:marTop w:val="0"/>
          <w:marBottom w:val="0"/>
          <w:divBdr>
            <w:top w:val="none" w:sz="0" w:space="0" w:color="auto"/>
            <w:left w:val="none" w:sz="0" w:space="0" w:color="auto"/>
            <w:bottom w:val="none" w:sz="0" w:space="0" w:color="auto"/>
            <w:right w:val="none" w:sz="0" w:space="0" w:color="auto"/>
          </w:divBdr>
        </w:div>
        <w:div w:id="1662852100">
          <w:marLeft w:val="0"/>
          <w:marRight w:val="0"/>
          <w:marTop w:val="0"/>
          <w:marBottom w:val="0"/>
          <w:divBdr>
            <w:top w:val="none" w:sz="0" w:space="0" w:color="auto"/>
            <w:left w:val="none" w:sz="0" w:space="0" w:color="auto"/>
            <w:bottom w:val="none" w:sz="0" w:space="0" w:color="auto"/>
            <w:right w:val="none" w:sz="0" w:space="0" w:color="auto"/>
          </w:divBdr>
        </w:div>
        <w:div w:id="1330402275">
          <w:marLeft w:val="0"/>
          <w:marRight w:val="0"/>
          <w:marTop w:val="0"/>
          <w:marBottom w:val="0"/>
          <w:divBdr>
            <w:top w:val="none" w:sz="0" w:space="0" w:color="auto"/>
            <w:left w:val="none" w:sz="0" w:space="0" w:color="auto"/>
            <w:bottom w:val="none" w:sz="0" w:space="0" w:color="auto"/>
            <w:right w:val="none" w:sz="0" w:space="0" w:color="auto"/>
          </w:divBdr>
        </w:div>
        <w:div w:id="1155537553">
          <w:marLeft w:val="0"/>
          <w:marRight w:val="0"/>
          <w:marTop w:val="0"/>
          <w:marBottom w:val="0"/>
          <w:divBdr>
            <w:top w:val="none" w:sz="0" w:space="0" w:color="auto"/>
            <w:left w:val="none" w:sz="0" w:space="0" w:color="auto"/>
            <w:bottom w:val="none" w:sz="0" w:space="0" w:color="auto"/>
            <w:right w:val="none" w:sz="0" w:space="0" w:color="auto"/>
          </w:divBdr>
        </w:div>
        <w:div w:id="907417090">
          <w:marLeft w:val="0"/>
          <w:marRight w:val="0"/>
          <w:marTop w:val="0"/>
          <w:marBottom w:val="0"/>
          <w:divBdr>
            <w:top w:val="none" w:sz="0" w:space="0" w:color="auto"/>
            <w:left w:val="none" w:sz="0" w:space="0" w:color="auto"/>
            <w:bottom w:val="none" w:sz="0" w:space="0" w:color="auto"/>
            <w:right w:val="none" w:sz="0" w:space="0" w:color="auto"/>
          </w:divBdr>
        </w:div>
        <w:div w:id="1591311518">
          <w:marLeft w:val="0"/>
          <w:marRight w:val="0"/>
          <w:marTop w:val="0"/>
          <w:marBottom w:val="0"/>
          <w:divBdr>
            <w:top w:val="none" w:sz="0" w:space="0" w:color="auto"/>
            <w:left w:val="none" w:sz="0" w:space="0" w:color="auto"/>
            <w:bottom w:val="none" w:sz="0" w:space="0" w:color="auto"/>
            <w:right w:val="none" w:sz="0" w:space="0" w:color="auto"/>
          </w:divBdr>
        </w:div>
        <w:div w:id="1539733504">
          <w:marLeft w:val="0"/>
          <w:marRight w:val="0"/>
          <w:marTop w:val="0"/>
          <w:marBottom w:val="0"/>
          <w:divBdr>
            <w:top w:val="none" w:sz="0" w:space="0" w:color="auto"/>
            <w:left w:val="none" w:sz="0" w:space="0" w:color="auto"/>
            <w:bottom w:val="none" w:sz="0" w:space="0" w:color="auto"/>
            <w:right w:val="none" w:sz="0" w:space="0" w:color="auto"/>
          </w:divBdr>
        </w:div>
        <w:div w:id="1317294909">
          <w:marLeft w:val="0"/>
          <w:marRight w:val="0"/>
          <w:marTop w:val="0"/>
          <w:marBottom w:val="0"/>
          <w:divBdr>
            <w:top w:val="none" w:sz="0" w:space="0" w:color="auto"/>
            <w:left w:val="none" w:sz="0" w:space="0" w:color="auto"/>
            <w:bottom w:val="none" w:sz="0" w:space="0" w:color="auto"/>
            <w:right w:val="none" w:sz="0" w:space="0" w:color="auto"/>
          </w:divBdr>
        </w:div>
        <w:div w:id="2091268593">
          <w:marLeft w:val="0"/>
          <w:marRight w:val="0"/>
          <w:marTop w:val="0"/>
          <w:marBottom w:val="0"/>
          <w:divBdr>
            <w:top w:val="none" w:sz="0" w:space="0" w:color="auto"/>
            <w:left w:val="none" w:sz="0" w:space="0" w:color="auto"/>
            <w:bottom w:val="none" w:sz="0" w:space="0" w:color="auto"/>
            <w:right w:val="none" w:sz="0" w:space="0" w:color="auto"/>
          </w:divBdr>
        </w:div>
      </w:divsChild>
    </w:div>
    <w:div w:id="2062290762">
      <w:bodyDiv w:val="1"/>
      <w:marLeft w:val="0"/>
      <w:marRight w:val="0"/>
      <w:marTop w:val="0"/>
      <w:marBottom w:val="0"/>
      <w:divBdr>
        <w:top w:val="none" w:sz="0" w:space="0" w:color="auto"/>
        <w:left w:val="none" w:sz="0" w:space="0" w:color="auto"/>
        <w:bottom w:val="none" w:sz="0" w:space="0" w:color="auto"/>
        <w:right w:val="none" w:sz="0" w:space="0" w:color="auto"/>
      </w:divBdr>
      <w:divsChild>
        <w:div w:id="1581285133">
          <w:marLeft w:val="0"/>
          <w:marRight w:val="0"/>
          <w:marTop w:val="0"/>
          <w:marBottom w:val="0"/>
          <w:divBdr>
            <w:top w:val="none" w:sz="0" w:space="0" w:color="auto"/>
            <w:left w:val="none" w:sz="0" w:space="0" w:color="auto"/>
            <w:bottom w:val="none" w:sz="0" w:space="0" w:color="auto"/>
            <w:right w:val="none" w:sz="0" w:space="0" w:color="auto"/>
          </w:divBdr>
        </w:div>
        <w:div w:id="1152866058">
          <w:marLeft w:val="0"/>
          <w:marRight w:val="0"/>
          <w:marTop w:val="0"/>
          <w:marBottom w:val="0"/>
          <w:divBdr>
            <w:top w:val="none" w:sz="0" w:space="0" w:color="auto"/>
            <w:left w:val="none" w:sz="0" w:space="0" w:color="auto"/>
            <w:bottom w:val="none" w:sz="0" w:space="0" w:color="auto"/>
            <w:right w:val="none" w:sz="0" w:space="0" w:color="auto"/>
          </w:divBdr>
        </w:div>
        <w:div w:id="1009680381">
          <w:marLeft w:val="0"/>
          <w:marRight w:val="0"/>
          <w:marTop w:val="0"/>
          <w:marBottom w:val="0"/>
          <w:divBdr>
            <w:top w:val="none" w:sz="0" w:space="0" w:color="auto"/>
            <w:left w:val="none" w:sz="0" w:space="0" w:color="auto"/>
            <w:bottom w:val="none" w:sz="0" w:space="0" w:color="auto"/>
            <w:right w:val="none" w:sz="0" w:space="0" w:color="auto"/>
          </w:divBdr>
        </w:div>
        <w:div w:id="707686402">
          <w:marLeft w:val="0"/>
          <w:marRight w:val="0"/>
          <w:marTop w:val="0"/>
          <w:marBottom w:val="0"/>
          <w:divBdr>
            <w:top w:val="none" w:sz="0" w:space="0" w:color="auto"/>
            <w:left w:val="none" w:sz="0" w:space="0" w:color="auto"/>
            <w:bottom w:val="none" w:sz="0" w:space="0" w:color="auto"/>
            <w:right w:val="none" w:sz="0" w:space="0" w:color="auto"/>
          </w:divBdr>
        </w:div>
        <w:div w:id="425882149">
          <w:marLeft w:val="0"/>
          <w:marRight w:val="0"/>
          <w:marTop w:val="0"/>
          <w:marBottom w:val="0"/>
          <w:divBdr>
            <w:top w:val="none" w:sz="0" w:space="0" w:color="auto"/>
            <w:left w:val="none" w:sz="0" w:space="0" w:color="auto"/>
            <w:bottom w:val="none" w:sz="0" w:space="0" w:color="auto"/>
            <w:right w:val="none" w:sz="0" w:space="0" w:color="auto"/>
          </w:divBdr>
        </w:div>
        <w:div w:id="291130597">
          <w:marLeft w:val="0"/>
          <w:marRight w:val="0"/>
          <w:marTop w:val="0"/>
          <w:marBottom w:val="0"/>
          <w:divBdr>
            <w:top w:val="none" w:sz="0" w:space="0" w:color="auto"/>
            <w:left w:val="none" w:sz="0" w:space="0" w:color="auto"/>
            <w:bottom w:val="none" w:sz="0" w:space="0" w:color="auto"/>
            <w:right w:val="none" w:sz="0" w:space="0" w:color="auto"/>
          </w:divBdr>
        </w:div>
      </w:divsChild>
    </w:div>
    <w:div w:id="2067340197">
      <w:bodyDiv w:val="1"/>
      <w:marLeft w:val="0"/>
      <w:marRight w:val="0"/>
      <w:marTop w:val="0"/>
      <w:marBottom w:val="0"/>
      <w:divBdr>
        <w:top w:val="none" w:sz="0" w:space="0" w:color="auto"/>
        <w:left w:val="none" w:sz="0" w:space="0" w:color="auto"/>
        <w:bottom w:val="none" w:sz="0" w:space="0" w:color="auto"/>
        <w:right w:val="none" w:sz="0" w:space="0" w:color="auto"/>
      </w:divBdr>
      <w:divsChild>
        <w:div w:id="1521967962">
          <w:marLeft w:val="0"/>
          <w:marRight w:val="0"/>
          <w:marTop w:val="0"/>
          <w:marBottom w:val="0"/>
          <w:divBdr>
            <w:top w:val="none" w:sz="0" w:space="0" w:color="auto"/>
            <w:left w:val="none" w:sz="0" w:space="0" w:color="auto"/>
            <w:bottom w:val="none" w:sz="0" w:space="0" w:color="auto"/>
            <w:right w:val="none" w:sz="0" w:space="0" w:color="auto"/>
          </w:divBdr>
        </w:div>
        <w:div w:id="254244865">
          <w:marLeft w:val="0"/>
          <w:marRight w:val="0"/>
          <w:marTop w:val="0"/>
          <w:marBottom w:val="0"/>
          <w:divBdr>
            <w:top w:val="none" w:sz="0" w:space="0" w:color="auto"/>
            <w:left w:val="none" w:sz="0" w:space="0" w:color="auto"/>
            <w:bottom w:val="none" w:sz="0" w:space="0" w:color="auto"/>
            <w:right w:val="none" w:sz="0" w:space="0" w:color="auto"/>
          </w:divBdr>
        </w:div>
        <w:div w:id="2020741318">
          <w:marLeft w:val="0"/>
          <w:marRight w:val="0"/>
          <w:marTop w:val="0"/>
          <w:marBottom w:val="0"/>
          <w:divBdr>
            <w:top w:val="none" w:sz="0" w:space="0" w:color="auto"/>
            <w:left w:val="none" w:sz="0" w:space="0" w:color="auto"/>
            <w:bottom w:val="none" w:sz="0" w:space="0" w:color="auto"/>
            <w:right w:val="none" w:sz="0" w:space="0" w:color="auto"/>
          </w:divBdr>
        </w:div>
        <w:div w:id="2084526046">
          <w:marLeft w:val="0"/>
          <w:marRight w:val="0"/>
          <w:marTop w:val="0"/>
          <w:marBottom w:val="0"/>
          <w:divBdr>
            <w:top w:val="none" w:sz="0" w:space="0" w:color="auto"/>
            <w:left w:val="none" w:sz="0" w:space="0" w:color="auto"/>
            <w:bottom w:val="none" w:sz="0" w:space="0" w:color="auto"/>
            <w:right w:val="none" w:sz="0" w:space="0" w:color="auto"/>
          </w:divBdr>
        </w:div>
        <w:div w:id="1864514281">
          <w:marLeft w:val="0"/>
          <w:marRight w:val="0"/>
          <w:marTop w:val="0"/>
          <w:marBottom w:val="0"/>
          <w:divBdr>
            <w:top w:val="none" w:sz="0" w:space="0" w:color="auto"/>
            <w:left w:val="none" w:sz="0" w:space="0" w:color="auto"/>
            <w:bottom w:val="none" w:sz="0" w:space="0" w:color="auto"/>
            <w:right w:val="none" w:sz="0" w:space="0" w:color="auto"/>
          </w:divBdr>
        </w:div>
        <w:div w:id="347755379">
          <w:marLeft w:val="0"/>
          <w:marRight w:val="0"/>
          <w:marTop w:val="0"/>
          <w:marBottom w:val="0"/>
          <w:divBdr>
            <w:top w:val="none" w:sz="0" w:space="0" w:color="auto"/>
            <w:left w:val="none" w:sz="0" w:space="0" w:color="auto"/>
            <w:bottom w:val="none" w:sz="0" w:space="0" w:color="auto"/>
            <w:right w:val="none" w:sz="0" w:space="0" w:color="auto"/>
          </w:divBdr>
        </w:div>
      </w:divsChild>
    </w:div>
    <w:div w:id="2081321946">
      <w:bodyDiv w:val="1"/>
      <w:marLeft w:val="0"/>
      <w:marRight w:val="0"/>
      <w:marTop w:val="0"/>
      <w:marBottom w:val="0"/>
      <w:divBdr>
        <w:top w:val="none" w:sz="0" w:space="0" w:color="auto"/>
        <w:left w:val="none" w:sz="0" w:space="0" w:color="auto"/>
        <w:bottom w:val="none" w:sz="0" w:space="0" w:color="auto"/>
        <w:right w:val="none" w:sz="0" w:space="0" w:color="auto"/>
      </w:divBdr>
      <w:divsChild>
        <w:div w:id="255988566">
          <w:marLeft w:val="0"/>
          <w:marRight w:val="0"/>
          <w:marTop w:val="0"/>
          <w:marBottom w:val="0"/>
          <w:divBdr>
            <w:top w:val="none" w:sz="0" w:space="0" w:color="auto"/>
            <w:left w:val="none" w:sz="0" w:space="0" w:color="auto"/>
            <w:bottom w:val="none" w:sz="0" w:space="0" w:color="auto"/>
            <w:right w:val="none" w:sz="0" w:space="0" w:color="auto"/>
          </w:divBdr>
        </w:div>
        <w:div w:id="1291209202">
          <w:marLeft w:val="0"/>
          <w:marRight w:val="0"/>
          <w:marTop w:val="0"/>
          <w:marBottom w:val="0"/>
          <w:divBdr>
            <w:top w:val="none" w:sz="0" w:space="0" w:color="auto"/>
            <w:left w:val="none" w:sz="0" w:space="0" w:color="auto"/>
            <w:bottom w:val="none" w:sz="0" w:space="0" w:color="auto"/>
            <w:right w:val="none" w:sz="0" w:space="0" w:color="auto"/>
          </w:divBdr>
        </w:div>
        <w:div w:id="1872961359">
          <w:marLeft w:val="0"/>
          <w:marRight w:val="0"/>
          <w:marTop w:val="0"/>
          <w:marBottom w:val="0"/>
          <w:divBdr>
            <w:top w:val="none" w:sz="0" w:space="0" w:color="auto"/>
            <w:left w:val="none" w:sz="0" w:space="0" w:color="auto"/>
            <w:bottom w:val="none" w:sz="0" w:space="0" w:color="auto"/>
            <w:right w:val="none" w:sz="0" w:space="0" w:color="auto"/>
          </w:divBdr>
        </w:div>
        <w:div w:id="822307638">
          <w:marLeft w:val="0"/>
          <w:marRight w:val="0"/>
          <w:marTop w:val="0"/>
          <w:marBottom w:val="0"/>
          <w:divBdr>
            <w:top w:val="none" w:sz="0" w:space="0" w:color="auto"/>
            <w:left w:val="none" w:sz="0" w:space="0" w:color="auto"/>
            <w:bottom w:val="none" w:sz="0" w:space="0" w:color="auto"/>
            <w:right w:val="none" w:sz="0" w:space="0" w:color="auto"/>
          </w:divBdr>
        </w:div>
        <w:div w:id="243227434">
          <w:marLeft w:val="0"/>
          <w:marRight w:val="0"/>
          <w:marTop w:val="0"/>
          <w:marBottom w:val="0"/>
          <w:divBdr>
            <w:top w:val="none" w:sz="0" w:space="0" w:color="auto"/>
            <w:left w:val="none" w:sz="0" w:space="0" w:color="auto"/>
            <w:bottom w:val="none" w:sz="0" w:space="0" w:color="auto"/>
            <w:right w:val="none" w:sz="0" w:space="0" w:color="auto"/>
          </w:divBdr>
        </w:div>
        <w:div w:id="202058683">
          <w:marLeft w:val="0"/>
          <w:marRight w:val="0"/>
          <w:marTop w:val="0"/>
          <w:marBottom w:val="0"/>
          <w:divBdr>
            <w:top w:val="none" w:sz="0" w:space="0" w:color="auto"/>
            <w:left w:val="none" w:sz="0" w:space="0" w:color="auto"/>
            <w:bottom w:val="none" w:sz="0" w:space="0" w:color="auto"/>
            <w:right w:val="none" w:sz="0" w:space="0" w:color="auto"/>
          </w:divBdr>
        </w:div>
        <w:div w:id="934752581">
          <w:marLeft w:val="0"/>
          <w:marRight w:val="0"/>
          <w:marTop w:val="0"/>
          <w:marBottom w:val="0"/>
          <w:divBdr>
            <w:top w:val="none" w:sz="0" w:space="0" w:color="auto"/>
            <w:left w:val="none" w:sz="0" w:space="0" w:color="auto"/>
            <w:bottom w:val="none" w:sz="0" w:space="0" w:color="auto"/>
            <w:right w:val="none" w:sz="0" w:space="0" w:color="auto"/>
          </w:divBdr>
        </w:div>
        <w:div w:id="1262958746">
          <w:marLeft w:val="0"/>
          <w:marRight w:val="0"/>
          <w:marTop w:val="0"/>
          <w:marBottom w:val="0"/>
          <w:divBdr>
            <w:top w:val="none" w:sz="0" w:space="0" w:color="auto"/>
            <w:left w:val="none" w:sz="0" w:space="0" w:color="auto"/>
            <w:bottom w:val="none" w:sz="0" w:space="0" w:color="auto"/>
            <w:right w:val="none" w:sz="0" w:space="0" w:color="auto"/>
          </w:divBdr>
        </w:div>
        <w:div w:id="1988631290">
          <w:marLeft w:val="0"/>
          <w:marRight w:val="0"/>
          <w:marTop w:val="0"/>
          <w:marBottom w:val="0"/>
          <w:divBdr>
            <w:top w:val="none" w:sz="0" w:space="0" w:color="auto"/>
            <w:left w:val="none" w:sz="0" w:space="0" w:color="auto"/>
            <w:bottom w:val="none" w:sz="0" w:space="0" w:color="auto"/>
            <w:right w:val="none" w:sz="0" w:space="0" w:color="auto"/>
          </w:divBdr>
        </w:div>
        <w:div w:id="164903766">
          <w:marLeft w:val="0"/>
          <w:marRight w:val="0"/>
          <w:marTop w:val="0"/>
          <w:marBottom w:val="0"/>
          <w:divBdr>
            <w:top w:val="none" w:sz="0" w:space="0" w:color="auto"/>
            <w:left w:val="none" w:sz="0" w:space="0" w:color="auto"/>
            <w:bottom w:val="none" w:sz="0" w:space="0" w:color="auto"/>
            <w:right w:val="none" w:sz="0" w:space="0" w:color="auto"/>
          </w:divBdr>
        </w:div>
        <w:div w:id="1491290040">
          <w:marLeft w:val="0"/>
          <w:marRight w:val="0"/>
          <w:marTop w:val="0"/>
          <w:marBottom w:val="0"/>
          <w:divBdr>
            <w:top w:val="none" w:sz="0" w:space="0" w:color="auto"/>
            <w:left w:val="none" w:sz="0" w:space="0" w:color="auto"/>
            <w:bottom w:val="none" w:sz="0" w:space="0" w:color="auto"/>
            <w:right w:val="none" w:sz="0" w:space="0" w:color="auto"/>
          </w:divBdr>
        </w:div>
        <w:div w:id="1895464392">
          <w:marLeft w:val="0"/>
          <w:marRight w:val="0"/>
          <w:marTop w:val="0"/>
          <w:marBottom w:val="0"/>
          <w:divBdr>
            <w:top w:val="none" w:sz="0" w:space="0" w:color="auto"/>
            <w:left w:val="none" w:sz="0" w:space="0" w:color="auto"/>
            <w:bottom w:val="none" w:sz="0" w:space="0" w:color="auto"/>
            <w:right w:val="none" w:sz="0" w:space="0" w:color="auto"/>
          </w:divBdr>
        </w:div>
        <w:div w:id="2098625391">
          <w:marLeft w:val="0"/>
          <w:marRight w:val="0"/>
          <w:marTop w:val="0"/>
          <w:marBottom w:val="0"/>
          <w:divBdr>
            <w:top w:val="none" w:sz="0" w:space="0" w:color="auto"/>
            <w:left w:val="none" w:sz="0" w:space="0" w:color="auto"/>
            <w:bottom w:val="none" w:sz="0" w:space="0" w:color="auto"/>
            <w:right w:val="none" w:sz="0" w:space="0" w:color="auto"/>
          </w:divBdr>
        </w:div>
        <w:div w:id="1972246323">
          <w:marLeft w:val="0"/>
          <w:marRight w:val="0"/>
          <w:marTop w:val="0"/>
          <w:marBottom w:val="0"/>
          <w:divBdr>
            <w:top w:val="none" w:sz="0" w:space="0" w:color="auto"/>
            <w:left w:val="none" w:sz="0" w:space="0" w:color="auto"/>
            <w:bottom w:val="none" w:sz="0" w:space="0" w:color="auto"/>
            <w:right w:val="none" w:sz="0" w:space="0" w:color="auto"/>
          </w:divBdr>
        </w:div>
      </w:divsChild>
    </w:div>
    <w:div w:id="2114856060">
      <w:bodyDiv w:val="1"/>
      <w:marLeft w:val="0"/>
      <w:marRight w:val="0"/>
      <w:marTop w:val="0"/>
      <w:marBottom w:val="0"/>
      <w:divBdr>
        <w:top w:val="none" w:sz="0" w:space="0" w:color="auto"/>
        <w:left w:val="none" w:sz="0" w:space="0" w:color="auto"/>
        <w:bottom w:val="none" w:sz="0" w:space="0" w:color="auto"/>
        <w:right w:val="none" w:sz="0" w:space="0" w:color="auto"/>
      </w:divBdr>
      <w:divsChild>
        <w:div w:id="1390610311">
          <w:marLeft w:val="0"/>
          <w:marRight w:val="0"/>
          <w:marTop w:val="0"/>
          <w:marBottom w:val="0"/>
          <w:divBdr>
            <w:top w:val="none" w:sz="0" w:space="0" w:color="auto"/>
            <w:left w:val="none" w:sz="0" w:space="0" w:color="auto"/>
            <w:bottom w:val="none" w:sz="0" w:space="0" w:color="auto"/>
            <w:right w:val="none" w:sz="0" w:space="0" w:color="auto"/>
          </w:divBdr>
        </w:div>
        <w:div w:id="1089617930">
          <w:marLeft w:val="0"/>
          <w:marRight w:val="0"/>
          <w:marTop w:val="0"/>
          <w:marBottom w:val="0"/>
          <w:divBdr>
            <w:top w:val="none" w:sz="0" w:space="0" w:color="auto"/>
            <w:left w:val="none" w:sz="0" w:space="0" w:color="auto"/>
            <w:bottom w:val="none" w:sz="0" w:space="0" w:color="auto"/>
            <w:right w:val="none" w:sz="0" w:space="0" w:color="auto"/>
          </w:divBdr>
        </w:div>
        <w:div w:id="1403140831">
          <w:marLeft w:val="0"/>
          <w:marRight w:val="0"/>
          <w:marTop w:val="0"/>
          <w:marBottom w:val="0"/>
          <w:divBdr>
            <w:top w:val="none" w:sz="0" w:space="0" w:color="auto"/>
            <w:left w:val="none" w:sz="0" w:space="0" w:color="auto"/>
            <w:bottom w:val="none" w:sz="0" w:space="0" w:color="auto"/>
            <w:right w:val="none" w:sz="0" w:space="0" w:color="auto"/>
          </w:divBdr>
        </w:div>
        <w:div w:id="587924482">
          <w:marLeft w:val="0"/>
          <w:marRight w:val="0"/>
          <w:marTop w:val="0"/>
          <w:marBottom w:val="0"/>
          <w:divBdr>
            <w:top w:val="none" w:sz="0" w:space="0" w:color="auto"/>
            <w:left w:val="none" w:sz="0" w:space="0" w:color="auto"/>
            <w:bottom w:val="none" w:sz="0" w:space="0" w:color="auto"/>
            <w:right w:val="none" w:sz="0" w:space="0" w:color="auto"/>
          </w:divBdr>
        </w:div>
        <w:div w:id="1251354628">
          <w:marLeft w:val="0"/>
          <w:marRight w:val="0"/>
          <w:marTop w:val="0"/>
          <w:marBottom w:val="0"/>
          <w:divBdr>
            <w:top w:val="none" w:sz="0" w:space="0" w:color="auto"/>
            <w:left w:val="none" w:sz="0" w:space="0" w:color="auto"/>
            <w:bottom w:val="none" w:sz="0" w:space="0" w:color="auto"/>
            <w:right w:val="none" w:sz="0" w:space="0" w:color="auto"/>
          </w:divBdr>
        </w:div>
        <w:div w:id="717364234">
          <w:marLeft w:val="0"/>
          <w:marRight w:val="0"/>
          <w:marTop w:val="0"/>
          <w:marBottom w:val="0"/>
          <w:divBdr>
            <w:top w:val="none" w:sz="0" w:space="0" w:color="auto"/>
            <w:left w:val="none" w:sz="0" w:space="0" w:color="auto"/>
            <w:bottom w:val="none" w:sz="0" w:space="0" w:color="auto"/>
            <w:right w:val="none" w:sz="0" w:space="0" w:color="auto"/>
          </w:divBdr>
        </w:div>
        <w:div w:id="900752313">
          <w:marLeft w:val="0"/>
          <w:marRight w:val="0"/>
          <w:marTop w:val="0"/>
          <w:marBottom w:val="0"/>
          <w:divBdr>
            <w:top w:val="none" w:sz="0" w:space="0" w:color="auto"/>
            <w:left w:val="none" w:sz="0" w:space="0" w:color="auto"/>
            <w:bottom w:val="none" w:sz="0" w:space="0" w:color="auto"/>
            <w:right w:val="none" w:sz="0" w:space="0" w:color="auto"/>
          </w:divBdr>
        </w:div>
        <w:div w:id="1346781917">
          <w:marLeft w:val="0"/>
          <w:marRight w:val="0"/>
          <w:marTop w:val="0"/>
          <w:marBottom w:val="0"/>
          <w:divBdr>
            <w:top w:val="none" w:sz="0" w:space="0" w:color="auto"/>
            <w:left w:val="none" w:sz="0" w:space="0" w:color="auto"/>
            <w:bottom w:val="none" w:sz="0" w:space="0" w:color="auto"/>
            <w:right w:val="none" w:sz="0" w:space="0" w:color="auto"/>
          </w:divBdr>
        </w:div>
        <w:div w:id="1181627701">
          <w:marLeft w:val="0"/>
          <w:marRight w:val="0"/>
          <w:marTop w:val="0"/>
          <w:marBottom w:val="0"/>
          <w:divBdr>
            <w:top w:val="none" w:sz="0" w:space="0" w:color="auto"/>
            <w:left w:val="none" w:sz="0" w:space="0" w:color="auto"/>
            <w:bottom w:val="none" w:sz="0" w:space="0" w:color="auto"/>
            <w:right w:val="none" w:sz="0" w:space="0" w:color="auto"/>
          </w:divBdr>
        </w:div>
        <w:div w:id="1154955412">
          <w:marLeft w:val="0"/>
          <w:marRight w:val="0"/>
          <w:marTop w:val="0"/>
          <w:marBottom w:val="0"/>
          <w:divBdr>
            <w:top w:val="none" w:sz="0" w:space="0" w:color="auto"/>
            <w:left w:val="none" w:sz="0" w:space="0" w:color="auto"/>
            <w:bottom w:val="none" w:sz="0" w:space="0" w:color="auto"/>
            <w:right w:val="none" w:sz="0" w:space="0" w:color="auto"/>
          </w:divBdr>
        </w:div>
        <w:div w:id="789399867">
          <w:marLeft w:val="0"/>
          <w:marRight w:val="0"/>
          <w:marTop w:val="0"/>
          <w:marBottom w:val="0"/>
          <w:divBdr>
            <w:top w:val="none" w:sz="0" w:space="0" w:color="auto"/>
            <w:left w:val="none" w:sz="0" w:space="0" w:color="auto"/>
            <w:bottom w:val="none" w:sz="0" w:space="0" w:color="auto"/>
            <w:right w:val="none" w:sz="0" w:space="0" w:color="auto"/>
          </w:divBdr>
        </w:div>
        <w:div w:id="1853833186">
          <w:marLeft w:val="0"/>
          <w:marRight w:val="0"/>
          <w:marTop w:val="0"/>
          <w:marBottom w:val="0"/>
          <w:divBdr>
            <w:top w:val="none" w:sz="0" w:space="0" w:color="auto"/>
            <w:left w:val="none" w:sz="0" w:space="0" w:color="auto"/>
            <w:bottom w:val="none" w:sz="0" w:space="0" w:color="auto"/>
            <w:right w:val="none" w:sz="0" w:space="0" w:color="auto"/>
          </w:divBdr>
        </w:div>
        <w:div w:id="1312521820">
          <w:marLeft w:val="0"/>
          <w:marRight w:val="0"/>
          <w:marTop w:val="0"/>
          <w:marBottom w:val="0"/>
          <w:divBdr>
            <w:top w:val="none" w:sz="0" w:space="0" w:color="auto"/>
            <w:left w:val="none" w:sz="0" w:space="0" w:color="auto"/>
            <w:bottom w:val="none" w:sz="0" w:space="0" w:color="auto"/>
            <w:right w:val="none" w:sz="0" w:space="0" w:color="auto"/>
          </w:divBdr>
        </w:div>
        <w:div w:id="1121998064">
          <w:marLeft w:val="0"/>
          <w:marRight w:val="0"/>
          <w:marTop w:val="0"/>
          <w:marBottom w:val="0"/>
          <w:divBdr>
            <w:top w:val="none" w:sz="0" w:space="0" w:color="auto"/>
            <w:left w:val="none" w:sz="0" w:space="0" w:color="auto"/>
            <w:bottom w:val="none" w:sz="0" w:space="0" w:color="auto"/>
            <w:right w:val="none" w:sz="0" w:space="0" w:color="auto"/>
          </w:divBdr>
        </w:div>
        <w:div w:id="358818876">
          <w:marLeft w:val="0"/>
          <w:marRight w:val="0"/>
          <w:marTop w:val="0"/>
          <w:marBottom w:val="0"/>
          <w:divBdr>
            <w:top w:val="none" w:sz="0" w:space="0" w:color="auto"/>
            <w:left w:val="none" w:sz="0" w:space="0" w:color="auto"/>
            <w:bottom w:val="none" w:sz="0" w:space="0" w:color="auto"/>
            <w:right w:val="none" w:sz="0" w:space="0" w:color="auto"/>
          </w:divBdr>
        </w:div>
        <w:div w:id="710688937">
          <w:marLeft w:val="0"/>
          <w:marRight w:val="0"/>
          <w:marTop w:val="0"/>
          <w:marBottom w:val="0"/>
          <w:divBdr>
            <w:top w:val="none" w:sz="0" w:space="0" w:color="auto"/>
            <w:left w:val="none" w:sz="0" w:space="0" w:color="auto"/>
            <w:bottom w:val="none" w:sz="0" w:space="0" w:color="auto"/>
            <w:right w:val="none" w:sz="0" w:space="0" w:color="auto"/>
          </w:divBdr>
        </w:div>
        <w:div w:id="469447228">
          <w:marLeft w:val="0"/>
          <w:marRight w:val="0"/>
          <w:marTop w:val="0"/>
          <w:marBottom w:val="0"/>
          <w:divBdr>
            <w:top w:val="none" w:sz="0" w:space="0" w:color="auto"/>
            <w:left w:val="none" w:sz="0" w:space="0" w:color="auto"/>
            <w:bottom w:val="none" w:sz="0" w:space="0" w:color="auto"/>
            <w:right w:val="none" w:sz="0" w:space="0" w:color="auto"/>
          </w:divBdr>
        </w:div>
        <w:div w:id="1014109488">
          <w:marLeft w:val="0"/>
          <w:marRight w:val="0"/>
          <w:marTop w:val="0"/>
          <w:marBottom w:val="0"/>
          <w:divBdr>
            <w:top w:val="none" w:sz="0" w:space="0" w:color="auto"/>
            <w:left w:val="none" w:sz="0" w:space="0" w:color="auto"/>
            <w:bottom w:val="none" w:sz="0" w:space="0" w:color="auto"/>
            <w:right w:val="none" w:sz="0" w:space="0" w:color="auto"/>
          </w:divBdr>
        </w:div>
        <w:div w:id="1535650797">
          <w:marLeft w:val="0"/>
          <w:marRight w:val="0"/>
          <w:marTop w:val="0"/>
          <w:marBottom w:val="0"/>
          <w:divBdr>
            <w:top w:val="none" w:sz="0" w:space="0" w:color="auto"/>
            <w:left w:val="none" w:sz="0" w:space="0" w:color="auto"/>
            <w:bottom w:val="none" w:sz="0" w:space="0" w:color="auto"/>
            <w:right w:val="none" w:sz="0" w:space="0" w:color="auto"/>
          </w:divBdr>
        </w:div>
        <w:div w:id="674267071">
          <w:marLeft w:val="0"/>
          <w:marRight w:val="0"/>
          <w:marTop w:val="0"/>
          <w:marBottom w:val="0"/>
          <w:divBdr>
            <w:top w:val="none" w:sz="0" w:space="0" w:color="auto"/>
            <w:left w:val="none" w:sz="0" w:space="0" w:color="auto"/>
            <w:bottom w:val="none" w:sz="0" w:space="0" w:color="auto"/>
            <w:right w:val="none" w:sz="0" w:space="0" w:color="auto"/>
          </w:divBdr>
        </w:div>
        <w:div w:id="2106414352">
          <w:marLeft w:val="0"/>
          <w:marRight w:val="0"/>
          <w:marTop w:val="0"/>
          <w:marBottom w:val="0"/>
          <w:divBdr>
            <w:top w:val="none" w:sz="0" w:space="0" w:color="auto"/>
            <w:left w:val="none" w:sz="0" w:space="0" w:color="auto"/>
            <w:bottom w:val="none" w:sz="0" w:space="0" w:color="auto"/>
            <w:right w:val="none" w:sz="0" w:space="0" w:color="auto"/>
          </w:divBdr>
        </w:div>
        <w:div w:id="1918709776">
          <w:marLeft w:val="0"/>
          <w:marRight w:val="0"/>
          <w:marTop w:val="0"/>
          <w:marBottom w:val="0"/>
          <w:divBdr>
            <w:top w:val="none" w:sz="0" w:space="0" w:color="auto"/>
            <w:left w:val="none" w:sz="0" w:space="0" w:color="auto"/>
            <w:bottom w:val="none" w:sz="0" w:space="0" w:color="auto"/>
            <w:right w:val="none" w:sz="0" w:space="0" w:color="auto"/>
          </w:divBdr>
        </w:div>
      </w:divsChild>
    </w:div>
    <w:div w:id="2118521468">
      <w:bodyDiv w:val="1"/>
      <w:marLeft w:val="0"/>
      <w:marRight w:val="0"/>
      <w:marTop w:val="0"/>
      <w:marBottom w:val="0"/>
      <w:divBdr>
        <w:top w:val="none" w:sz="0" w:space="0" w:color="auto"/>
        <w:left w:val="none" w:sz="0" w:space="0" w:color="auto"/>
        <w:bottom w:val="none" w:sz="0" w:space="0" w:color="auto"/>
        <w:right w:val="none" w:sz="0" w:space="0" w:color="auto"/>
      </w:divBdr>
      <w:divsChild>
        <w:div w:id="1243491994">
          <w:marLeft w:val="0"/>
          <w:marRight w:val="0"/>
          <w:marTop w:val="0"/>
          <w:marBottom w:val="0"/>
          <w:divBdr>
            <w:top w:val="none" w:sz="0" w:space="0" w:color="auto"/>
            <w:left w:val="none" w:sz="0" w:space="0" w:color="auto"/>
            <w:bottom w:val="none" w:sz="0" w:space="0" w:color="auto"/>
            <w:right w:val="none" w:sz="0" w:space="0" w:color="auto"/>
          </w:divBdr>
        </w:div>
        <w:div w:id="1778527769">
          <w:marLeft w:val="0"/>
          <w:marRight w:val="0"/>
          <w:marTop w:val="0"/>
          <w:marBottom w:val="0"/>
          <w:divBdr>
            <w:top w:val="none" w:sz="0" w:space="0" w:color="auto"/>
            <w:left w:val="none" w:sz="0" w:space="0" w:color="auto"/>
            <w:bottom w:val="none" w:sz="0" w:space="0" w:color="auto"/>
            <w:right w:val="none" w:sz="0" w:space="0" w:color="auto"/>
          </w:divBdr>
        </w:div>
        <w:div w:id="4945585">
          <w:marLeft w:val="0"/>
          <w:marRight w:val="0"/>
          <w:marTop w:val="0"/>
          <w:marBottom w:val="0"/>
          <w:divBdr>
            <w:top w:val="none" w:sz="0" w:space="0" w:color="auto"/>
            <w:left w:val="none" w:sz="0" w:space="0" w:color="auto"/>
            <w:bottom w:val="none" w:sz="0" w:space="0" w:color="auto"/>
            <w:right w:val="none" w:sz="0" w:space="0" w:color="auto"/>
          </w:divBdr>
        </w:div>
        <w:div w:id="250627988">
          <w:marLeft w:val="0"/>
          <w:marRight w:val="0"/>
          <w:marTop w:val="0"/>
          <w:marBottom w:val="0"/>
          <w:divBdr>
            <w:top w:val="none" w:sz="0" w:space="0" w:color="auto"/>
            <w:left w:val="none" w:sz="0" w:space="0" w:color="auto"/>
            <w:bottom w:val="none" w:sz="0" w:space="0" w:color="auto"/>
            <w:right w:val="none" w:sz="0" w:space="0" w:color="auto"/>
          </w:divBdr>
        </w:div>
        <w:div w:id="678697291">
          <w:marLeft w:val="0"/>
          <w:marRight w:val="0"/>
          <w:marTop w:val="0"/>
          <w:marBottom w:val="0"/>
          <w:divBdr>
            <w:top w:val="none" w:sz="0" w:space="0" w:color="auto"/>
            <w:left w:val="none" w:sz="0" w:space="0" w:color="auto"/>
            <w:bottom w:val="none" w:sz="0" w:space="0" w:color="auto"/>
            <w:right w:val="none" w:sz="0" w:space="0" w:color="auto"/>
          </w:divBdr>
        </w:div>
        <w:div w:id="1447695221">
          <w:marLeft w:val="0"/>
          <w:marRight w:val="0"/>
          <w:marTop w:val="0"/>
          <w:marBottom w:val="0"/>
          <w:divBdr>
            <w:top w:val="none" w:sz="0" w:space="0" w:color="auto"/>
            <w:left w:val="none" w:sz="0" w:space="0" w:color="auto"/>
            <w:bottom w:val="none" w:sz="0" w:space="0" w:color="auto"/>
            <w:right w:val="none" w:sz="0" w:space="0" w:color="auto"/>
          </w:divBdr>
        </w:div>
        <w:div w:id="178393997">
          <w:marLeft w:val="0"/>
          <w:marRight w:val="0"/>
          <w:marTop w:val="0"/>
          <w:marBottom w:val="0"/>
          <w:divBdr>
            <w:top w:val="none" w:sz="0" w:space="0" w:color="auto"/>
            <w:left w:val="none" w:sz="0" w:space="0" w:color="auto"/>
            <w:bottom w:val="none" w:sz="0" w:space="0" w:color="auto"/>
            <w:right w:val="none" w:sz="0" w:space="0" w:color="auto"/>
          </w:divBdr>
        </w:div>
        <w:div w:id="600725327">
          <w:marLeft w:val="0"/>
          <w:marRight w:val="0"/>
          <w:marTop w:val="0"/>
          <w:marBottom w:val="0"/>
          <w:divBdr>
            <w:top w:val="none" w:sz="0" w:space="0" w:color="auto"/>
            <w:left w:val="none" w:sz="0" w:space="0" w:color="auto"/>
            <w:bottom w:val="none" w:sz="0" w:space="0" w:color="auto"/>
            <w:right w:val="none" w:sz="0" w:space="0" w:color="auto"/>
          </w:divBdr>
        </w:div>
        <w:div w:id="551036353">
          <w:marLeft w:val="0"/>
          <w:marRight w:val="0"/>
          <w:marTop w:val="0"/>
          <w:marBottom w:val="0"/>
          <w:divBdr>
            <w:top w:val="none" w:sz="0" w:space="0" w:color="auto"/>
            <w:left w:val="none" w:sz="0" w:space="0" w:color="auto"/>
            <w:bottom w:val="none" w:sz="0" w:space="0" w:color="auto"/>
            <w:right w:val="none" w:sz="0" w:space="0" w:color="auto"/>
          </w:divBdr>
        </w:div>
        <w:div w:id="1801997812">
          <w:marLeft w:val="0"/>
          <w:marRight w:val="0"/>
          <w:marTop w:val="0"/>
          <w:marBottom w:val="0"/>
          <w:divBdr>
            <w:top w:val="none" w:sz="0" w:space="0" w:color="auto"/>
            <w:left w:val="none" w:sz="0" w:space="0" w:color="auto"/>
            <w:bottom w:val="none" w:sz="0" w:space="0" w:color="auto"/>
            <w:right w:val="none" w:sz="0" w:space="0" w:color="auto"/>
          </w:divBdr>
        </w:div>
        <w:div w:id="482814773">
          <w:marLeft w:val="0"/>
          <w:marRight w:val="0"/>
          <w:marTop w:val="0"/>
          <w:marBottom w:val="0"/>
          <w:divBdr>
            <w:top w:val="none" w:sz="0" w:space="0" w:color="auto"/>
            <w:left w:val="none" w:sz="0" w:space="0" w:color="auto"/>
            <w:bottom w:val="none" w:sz="0" w:space="0" w:color="auto"/>
            <w:right w:val="none" w:sz="0" w:space="0" w:color="auto"/>
          </w:divBdr>
        </w:div>
        <w:div w:id="839613598">
          <w:marLeft w:val="0"/>
          <w:marRight w:val="0"/>
          <w:marTop w:val="0"/>
          <w:marBottom w:val="0"/>
          <w:divBdr>
            <w:top w:val="none" w:sz="0" w:space="0" w:color="auto"/>
            <w:left w:val="none" w:sz="0" w:space="0" w:color="auto"/>
            <w:bottom w:val="none" w:sz="0" w:space="0" w:color="auto"/>
            <w:right w:val="none" w:sz="0" w:space="0" w:color="auto"/>
          </w:divBdr>
        </w:div>
        <w:div w:id="1886796583">
          <w:marLeft w:val="0"/>
          <w:marRight w:val="0"/>
          <w:marTop w:val="0"/>
          <w:marBottom w:val="0"/>
          <w:divBdr>
            <w:top w:val="none" w:sz="0" w:space="0" w:color="auto"/>
            <w:left w:val="none" w:sz="0" w:space="0" w:color="auto"/>
            <w:bottom w:val="none" w:sz="0" w:space="0" w:color="auto"/>
            <w:right w:val="none" w:sz="0" w:space="0" w:color="auto"/>
          </w:divBdr>
        </w:div>
        <w:div w:id="1368406215">
          <w:marLeft w:val="0"/>
          <w:marRight w:val="0"/>
          <w:marTop w:val="0"/>
          <w:marBottom w:val="0"/>
          <w:divBdr>
            <w:top w:val="none" w:sz="0" w:space="0" w:color="auto"/>
            <w:left w:val="none" w:sz="0" w:space="0" w:color="auto"/>
            <w:bottom w:val="none" w:sz="0" w:space="0" w:color="auto"/>
            <w:right w:val="none" w:sz="0" w:space="0" w:color="auto"/>
          </w:divBdr>
        </w:div>
        <w:div w:id="1149520931">
          <w:marLeft w:val="0"/>
          <w:marRight w:val="0"/>
          <w:marTop w:val="0"/>
          <w:marBottom w:val="0"/>
          <w:divBdr>
            <w:top w:val="none" w:sz="0" w:space="0" w:color="auto"/>
            <w:left w:val="none" w:sz="0" w:space="0" w:color="auto"/>
            <w:bottom w:val="none" w:sz="0" w:space="0" w:color="auto"/>
            <w:right w:val="none" w:sz="0" w:space="0" w:color="auto"/>
          </w:divBdr>
        </w:div>
        <w:div w:id="1900702976">
          <w:marLeft w:val="0"/>
          <w:marRight w:val="0"/>
          <w:marTop w:val="0"/>
          <w:marBottom w:val="0"/>
          <w:divBdr>
            <w:top w:val="none" w:sz="0" w:space="0" w:color="auto"/>
            <w:left w:val="none" w:sz="0" w:space="0" w:color="auto"/>
            <w:bottom w:val="none" w:sz="0" w:space="0" w:color="auto"/>
            <w:right w:val="none" w:sz="0" w:space="0" w:color="auto"/>
          </w:divBdr>
        </w:div>
        <w:div w:id="893124881">
          <w:marLeft w:val="0"/>
          <w:marRight w:val="0"/>
          <w:marTop w:val="0"/>
          <w:marBottom w:val="0"/>
          <w:divBdr>
            <w:top w:val="none" w:sz="0" w:space="0" w:color="auto"/>
            <w:left w:val="none" w:sz="0" w:space="0" w:color="auto"/>
            <w:bottom w:val="none" w:sz="0" w:space="0" w:color="auto"/>
            <w:right w:val="none" w:sz="0" w:space="0" w:color="auto"/>
          </w:divBdr>
        </w:div>
        <w:div w:id="2136020200">
          <w:marLeft w:val="0"/>
          <w:marRight w:val="0"/>
          <w:marTop w:val="0"/>
          <w:marBottom w:val="0"/>
          <w:divBdr>
            <w:top w:val="none" w:sz="0" w:space="0" w:color="auto"/>
            <w:left w:val="none" w:sz="0" w:space="0" w:color="auto"/>
            <w:bottom w:val="none" w:sz="0" w:space="0" w:color="auto"/>
            <w:right w:val="none" w:sz="0" w:space="0" w:color="auto"/>
          </w:divBdr>
        </w:div>
        <w:div w:id="592856755">
          <w:marLeft w:val="0"/>
          <w:marRight w:val="0"/>
          <w:marTop w:val="0"/>
          <w:marBottom w:val="0"/>
          <w:divBdr>
            <w:top w:val="none" w:sz="0" w:space="0" w:color="auto"/>
            <w:left w:val="none" w:sz="0" w:space="0" w:color="auto"/>
            <w:bottom w:val="none" w:sz="0" w:space="0" w:color="auto"/>
            <w:right w:val="none" w:sz="0" w:space="0" w:color="auto"/>
          </w:divBdr>
        </w:div>
        <w:div w:id="1289780638">
          <w:marLeft w:val="0"/>
          <w:marRight w:val="0"/>
          <w:marTop w:val="0"/>
          <w:marBottom w:val="0"/>
          <w:divBdr>
            <w:top w:val="none" w:sz="0" w:space="0" w:color="auto"/>
            <w:left w:val="none" w:sz="0" w:space="0" w:color="auto"/>
            <w:bottom w:val="none" w:sz="0" w:space="0" w:color="auto"/>
            <w:right w:val="none" w:sz="0" w:space="0" w:color="auto"/>
          </w:divBdr>
        </w:div>
        <w:div w:id="857617781">
          <w:marLeft w:val="0"/>
          <w:marRight w:val="0"/>
          <w:marTop w:val="0"/>
          <w:marBottom w:val="0"/>
          <w:divBdr>
            <w:top w:val="none" w:sz="0" w:space="0" w:color="auto"/>
            <w:left w:val="none" w:sz="0" w:space="0" w:color="auto"/>
            <w:bottom w:val="none" w:sz="0" w:space="0" w:color="auto"/>
            <w:right w:val="none" w:sz="0" w:space="0" w:color="auto"/>
          </w:divBdr>
        </w:div>
        <w:div w:id="1487819573">
          <w:marLeft w:val="0"/>
          <w:marRight w:val="0"/>
          <w:marTop w:val="0"/>
          <w:marBottom w:val="0"/>
          <w:divBdr>
            <w:top w:val="none" w:sz="0" w:space="0" w:color="auto"/>
            <w:left w:val="none" w:sz="0" w:space="0" w:color="auto"/>
            <w:bottom w:val="none" w:sz="0" w:space="0" w:color="auto"/>
            <w:right w:val="none" w:sz="0" w:space="0" w:color="auto"/>
          </w:divBdr>
        </w:div>
        <w:div w:id="694385828">
          <w:marLeft w:val="0"/>
          <w:marRight w:val="0"/>
          <w:marTop w:val="0"/>
          <w:marBottom w:val="0"/>
          <w:divBdr>
            <w:top w:val="none" w:sz="0" w:space="0" w:color="auto"/>
            <w:left w:val="none" w:sz="0" w:space="0" w:color="auto"/>
            <w:bottom w:val="none" w:sz="0" w:space="0" w:color="auto"/>
            <w:right w:val="none" w:sz="0" w:space="0" w:color="auto"/>
          </w:divBdr>
        </w:div>
        <w:div w:id="1017194839">
          <w:marLeft w:val="0"/>
          <w:marRight w:val="0"/>
          <w:marTop w:val="0"/>
          <w:marBottom w:val="0"/>
          <w:divBdr>
            <w:top w:val="none" w:sz="0" w:space="0" w:color="auto"/>
            <w:left w:val="none" w:sz="0" w:space="0" w:color="auto"/>
            <w:bottom w:val="none" w:sz="0" w:space="0" w:color="auto"/>
            <w:right w:val="none" w:sz="0" w:space="0" w:color="auto"/>
          </w:divBdr>
        </w:div>
        <w:div w:id="167185536">
          <w:marLeft w:val="0"/>
          <w:marRight w:val="0"/>
          <w:marTop w:val="0"/>
          <w:marBottom w:val="0"/>
          <w:divBdr>
            <w:top w:val="none" w:sz="0" w:space="0" w:color="auto"/>
            <w:left w:val="none" w:sz="0" w:space="0" w:color="auto"/>
            <w:bottom w:val="none" w:sz="0" w:space="0" w:color="auto"/>
            <w:right w:val="none" w:sz="0" w:space="0" w:color="auto"/>
          </w:divBdr>
        </w:div>
        <w:div w:id="341861102">
          <w:marLeft w:val="0"/>
          <w:marRight w:val="0"/>
          <w:marTop w:val="0"/>
          <w:marBottom w:val="0"/>
          <w:divBdr>
            <w:top w:val="none" w:sz="0" w:space="0" w:color="auto"/>
            <w:left w:val="none" w:sz="0" w:space="0" w:color="auto"/>
            <w:bottom w:val="none" w:sz="0" w:space="0" w:color="auto"/>
            <w:right w:val="none" w:sz="0" w:space="0" w:color="auto"/>
          </w:divBdr>
        </w:div>
        <w:div w:id="1733889854">
          <w:marLeft w:val="0"/>
          <w:marRight w:val="0"/>
          <w:marTop w:val="0"/>
          <w:marBottom w:val="0"/>
          <w:divBdr>
            <w:top w:val="none" w:sz="0" w:space="0" w:color="auto"/>
            <w:left w:val="none" w:sz="0" w:space="0" w:color="auto"/>
            <w:bottom w:val="none" w:sz="0" w:space="0" w:color="auto"/>
            <w:right w:val="none" w:sz="0" w:space="0" w:color="auto"/>
          </w:divBdr>
        </w:div>
        <w:div w:id="1230572793">
          <w:marLeft w:val="0"/>
          <w:marRight w:val="0"/>
          <w:marTop w:val="0"/>
          <w:marBottom w:val="0"/>
          <w:divBdr>
            <w:top w:val="none" w:sz="0" w:space="0" w:color="auto"/>
            <w:left w:val="none" w:sz="0" w:space="0" w:color="auto"/>
            <w:bottom w:val="none" w:sz="0" w:space="0" w:color="auto"/>
            <w:right w:val="none" w:sz="0" w:space="0" w:color="auto"/>
          </w:divBdr>
        </w:div>
        <w:div w:id="1136141720">
          <w:marLeft w:val="0"/>
          <w:marRight w:val="0"/>
          <w:marTop w:val="0"/>
          <w:marBottom w:val="0"/>
          <w:divBdr>
            <w:top w:val="none" w:sz="0" w:space="0" w:color="auto"/>
            <w:left w:val="none" w:sz="0" w:space="0" w:color="auto"/>
            <w:bottom w:val="none" w:sz="0" w:space="0" w:color="auto"/>
            <w:right w:val="none" w:sz="0" w:space="0" w:color="auto"/>
          </w:divBdr>
        </w:div>
        <w:div w:id="1063724310">
          <w:marLeft w:val="0"/>
          <w:marRight w:val="0"/>
          <w:marTop w:val="0"/>
          <w:marBottom w:val="0"/>
          <w:divBdr>
            <w:top w:val="none" w:sz="0" w:space="0" w:color="auto"/>
            <w:left w:val="none" w:sz="0" w:space="0" w:color="auto"/>
            <w:bottom w:val="none" w:sz="0" w:space="0" w:color="auto"/>
            <w:right w:val="none" w:sz="0" w:space="0" w:color="auto"/>
          </w:divBdr>
        </w:div>
        <w:div w:id="1089543247">
          <w:marLeft w:val="0"/>
          <w:marRight w:val="0"/>
          <w:marTop w:val="0"/>
          <w:marBottom w:val="0"/>
          <w:divBdr>
            <w:top w:val="none" w:sz="0" w:space="0" w:color="auto"/>
            <w:left w:val="none" w:sz="0" w:space="0" w:color="auto"/>
            <w:bottom w:val="none" w:sz="0" w:space="0" w:color="auto"/>
            <w:right w:val="none" w:sz="0" w:space="0" w:color="auto"/>
          </w:divBdr>
        </w:div>
        <w:div w:id="607006860">
          <w:marLeft w:val="0"/>
          <w:marRight w:val="0"/>
          <w:marTop w:val="0"/>
          <w:marBottom w:val="0"/>
          <w:divBdr>
            <w:top w:val="none" w:sz="0" w:space="0" w:color="auto"/>
            <w:left w:val="none" w:sz="0" w:space="0" w:color="auto"/>
            <w:bottom w:val="none" w:sz="0" w:space="0" w:color="auto"/>
            <w:right w:val="none" w:sz="0" w:space="0" w:color="auto"/>
          </w:divBdr>
        </w:div>
        <w:div w:id="2056393149">
          <w:marLeft w:val="0"/>
          <w:marRight w:val="0"/>
          <w:marTop w:val="0"/>
          <w:marBottom w:val="0"/>
          <w:divBdr>
            <w:top w:val="none" w:sz="0" w:space="0" w:color="auto"/>
            <w:left w:val="none" w:sz="0" w:space="0" w:color="auto"/>
            <w:bottom w:val="none" w:sz="0" w:space="0" w:color="auto"/>
            <w:right w:val="none" w:sz="0" w:space="0" w:color="auto"/>
          </w:divBdr>
        </w:div>
      </w:divsChild>
    </w:div>
    <w:div w:id="212745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storage.courtlistener.com/recap/gov.uscourts.ded.79218/gov.uscourts.ded.79218.29.0.pdf" TargetMode="External"/><Relationship Id="rId1827" Type="http://schemas.openxmlformats.org/officeDocument/2006/relationships/hyperlink" Target="https://public.fastcase.com/Wl%2B2t%2BeVuI35%2FN70vAMFZjQ0yk8eNGgy%2FibI6B2NDAJYgZ2PRe3I9j%2FKWgfFbNa7" TargetMode="External"/><Relationship Id="rId21" Type="http://schemas.openxmlformats.org/officeDocument/2006/relationships/hyperlink" Target="http://www.waveland.com/browse.php?t=708" TargetMode="External"/><Relationship Id="rId2089" Type="http://schemas.openxmlformats.org/officeDocument/2006/relationships/hyperlink" Target="https://casetext.com/case/newsome-v-inspira-health-network-inc" TargetMode="External"/><Relationship Id="rId170" Type="http://schemas.openxmlformats.org/officeDocument/2006/relationships/hyperlink" Target="https://www.ca4.uscourts.gov/opinions/224307.P.pdf" TargetMode="External"/><Relationship Id="rId2296" Type="http://schemas.openxmlformats.org/officeDocument/2006/relationships/hyperlink" Target="https://public.fastcase.com/Wl%2B2t%2BeVuI35%2FN70vAMFZoN7mlr4hHNtCTnayGEBC4RCM4jvijs5LLDyckRiAx%2Bw" TargetMode="External"/><Relationship Id="rId268" Type="http://schemas.openxmlformats.org/officeDocument/2006/relationships/hyperlink" Target="https://public.fastcase.com/Wl%2B2t%2BeVuI35%2FN70vAMFZnSQz8BzpEWSl4qvcEU%2FNgbENUBBcIuF0iEqrodjguq8" TargetMode="External"/><Relationship Id="rId475" Type="http://schemas.openxmlformats.org/officeDocument/2006/relationships/hyperlink" Target="https://public.fastcase.com/" TargetMode="External"/><Relationship Id="rId682" Type="http://schemas.openxmlformats.org/officeDocument/2006/relationships/hyperlink" Target="https://www.supremecourt.gov/opinions/23pdf/22-1178_p8k0.pdf" TargetMode="External"/><Relationship Id="rId2156" Type="http://schemas.openxmlformats.org/officeDocument/2006/relationships/hyperlink" Target="https://www.nyc.gov/assets/dcas/downloads/pdf/guidelines/faq-vaccine-mandate.pdf" TargetMode="External"/><Relationship Id="rId2363" Type="http://schemas.openxmlformats.org/officeDocument/2006/relationships/hyperlink" Target="https://www.leagle.com/decision/infco20180831084" TargetMode="External"/><Relationship Id="rId2570" Type="http://schemas.openxmlformats.org/officeDocument/2006/relationships/hyperlink" Target="https://public.fastcase.com/H1P9uiW3J20SFp%2BGCG%2BxLYnumIVIfsGACQtvjphi2XY03JuMe7fj8LYdA6mgqlK3BbmtQ%2FoJ5o3JnUu66xez4U0Yi6wQOqSsnYT7%2FU1%2BNuI%3D?utm_medium=email&amp;_hsmi=226712652&amp;_hsenc=p2ANqtz-_mOZCnm_LbXEmI1zB76drE4EDUF13YglxTvTeEnBHhjbPE-34_IMopnnbUF8mE8HxS5G0Ftb4dM_ZSxt2dhhqJsyxB9A&amp;utm_content=226712652&amp;utm_source=hs_email" TargetMode="External"/><Relationship Id="rId128" Type="http://schemas.openxmlformats.org/officeDocument/2006/relationships/hyperlink" Target="https://www.law.cornell.edu/wex/federal_rules_of_evidence" TargetMode="External"/><Relationship Id="rId335" Type="http://schemas.openxmlformats.org/officeDocument/2006/relationships/hyperlink" Target="https://cases.justia.com/illinois/court-of-appeals-fifth-appellate-district/2019-5-18-0064.pdf?ts=1553818548" TargetMode="External"/><Relationship Id="rId542" Type="http://schemas.openxmlformats.org/officeDocument/2006/relationships/hyperlink" Target="https://public.fastcase.com/9SKwsfNqTc6OieYDhNMyM3m3eL%2Bu4x8bx%2FFPqQ706C1Bfi57%2Fsm8VTkLX0Q5d2JY3Hl0cE%2BCK3yDi%2BV1afLDAxYamaVWukse%2F0EpEJzWMdw%3D" TargetMode="External"/><Relationship Id="rId987" Type="http://schemas.openxmlformats.org/officeDocument/2006/relationships/hyperlink" Target="https://public.fastcase.com/Wl%2B2t%2BeVuI35%2FN70vAMFZpcMKjA7NXtV8NizS7yUss6ITpHR1n8JduscQQ47RvF2" TargetMode="External"/><Relationship Id="rId1172" Type="http://schemas.openxmlformats.org/officeDocument/2006/relationships/hyperlink" Target="https://njcourts.gov/attorneys/assets/opinions/appellate/unpublished/a4070-18.pdf" TargetMode="External"/><Relationship Id="rId2016" Type="http://schemas.openxmlformats.org/officeDocument/2006/relationships/hyperlink" Target="https://www.pacourts.us/assets/opinions/Superior/out/J-S30019-25o%20-%20106515413327511102.pdf?cb=1" TargetMode="External"/><Relationship Id="rId2223" Type="http://schemas.openxmlformats.org/officeDocument/2006/relationships/hyperlink" Target="https://www.opn.ca6.uscourts.gov/opinions.pdf/21a0287p-06.pdf" TargetMode="External"/><Relationship Id="rId2430" Type="http://schemas.openxmlformats.org/officeDocument/2006/relationships/hyperlink" Target="https://cases.justia.com/washington/court-of-appeals-division-i/2023-84561-6-0.pdf?ts=1696273779" TargetMode="External"/><Relationship Id="rId2668" Type="http://schemas.openxmlformats.org/officeDocument/2006/relationships/hyperlink" Target="https://public.fastcase.com/" TargetMode="External"/><Relationship Id="rId2875" Type="http://schemas.openxmlformats.org/officeDocument/2006/relationships/hyperlink" Target="https://casetext.com/case/freres-timber-inc-v-the-united-states" TargetMode="External"/><Relationship Id="rId402" Type="http://schemas.openxmlformats.org/officeDocument/2006/relationships/hyperlink" Target="https://www.hbsslaw.com/cases/pfas-firefighter-turnout-gear" TargetMode="External"/><Relationship Id="rId847" Type="http://schemas.openxmlformats.org/officeDocument/2006/relationships/hyperlink" Target="https://caselaw.findlaw.com/court/crt-app-sec-dis-cal-div-fiv/117326152.html" TargetMode="External"/><Relationship Id="rId1032" Type="http://schemas.openxmlformats.org/officeDocument/2006/relationships/hyperlink" Target="https://www.courts.state.md.us/sites/default/files/unreported-opinions/1098s22.pdf" TargetMode="External"/><Relationship Id="rId1477" Type="http://schemas.openxmlformats.org/officeDocument/2006/relationships/hyperlink" Target="https://cases.justia.com/federal/district-courts/kansas/ksdce/2:2023cv02422/149254/113/0.pdf?ts=1756979784" TargetMode="External"/><Relationship Id="rId1684" Type="http://schemas.openxmlformats.org/officeDocument/2006/relationships/hyperlink" Target="https://www.eeoc.gov/laws/guidance/deafness-and-hearing-impairments-workplace-and-americans-disabilities-act" TargetMode="External"/><Relationship Id="rId1891" Type="http://schemas.openxmlformats.org/officeDocument/2006/relationships/hyperlink" Target="https://cases.justia.com/washington/court-of-appeals-division-i/2025-83853-9.pdf?ts=1737494121" TargetMode="External"/><Relationship Id="rId2528" Type="http://schemas.openxmlformats.org/officeDocument/2006/relationships/hyperlink" Target="https://www.wtol.com/article/news/crime/port-clinton-fire-chief-kent-johnson-sentenced-to-jail-for-sexual-harassment-case/512-0facde5b-63e1-457e-9908-521ed4a422af" TargetMode="External"/><Relationship Id="rId2735" Type="http://schemas.openxmlformats.org/officeDocument/2006/relationships/hyperlink" Target="https://www.ethics.ohio.gov/education/factsheets/InfoSheet1-Nepotism.pdf" TargetMode="External"/><Relationship Id="rId707" Type="http://schemas.openxmlformats.org/officeDocument/2006/relationships/hyperlink" Target="https://www.supremecourt.gov/opinions/22pdf/21-1496_d18f.pdf" TargetMode="External"/><Relationship Id="rId914" Type="http://schemas.openxmlformats.org/officeDocument/2006/relationships/hyperlink" Target="http://www.westvalleyfire.com/default.asp?pageid=188&amp;deptid=1" TargetMode="External"/><Relationship Id="rId1337" Type="http://schemas.openxmlformats.org/officeDocument/2006/relationships/hyperlink" Target="https://casetext.com/case/lundberg-v-delta-response-team-llc-1" TargetMode="External"/><Relationship Id="rId1544" Type="http://schemas.openxmlformats.org/officeDocument/2006/relationships/hyperlink" Target="https://public.fastcase.com/J%2FJP6pdidelsXxEE4k%2BLMk9lGZyD2KG1SaKKnXCNSDrJ6FT2zCg0RErRpvbDUp%2FnT1MfNEdoSlzLl4b4xQ1JtBz9n9NoggrYwpv0z6IMwm8%3D" TargetMode="External"/><Relationship Id="rId1751" Type="http://schemas.openxmlformats.org/officeDocument/2006/relationships/hyperlink" Target="https://www.reuters.com/legal/government/us-supreme-court-boosts-companies-defense-wage-lawsuits-2025-01-15/" TargetMode="External"/><Relationship Id="rId1989" Type="http://schemas.openxmlformats.org/officeDocument/2006/relationships/hyperlink" Target="https://flcourts-media.flcourts.gov/content/download/2486201/opinion/Opinion_2025-1955.pdf" TargetMode="External"/><Relationship Id="rId2802" Type="http://schemas.openxmlformats.org/officeDocument/2006/relationships/hyperlink" Target="http://www.lanermuchin.com/assets/htmldocuments/Board%20Decision-%20Baylor.pdf" TargetMode="External"/><Relationship Id="rId43" Type="http://schemas.openxmlformats.org/officeDocument/2006/relationships/hyperlink" Target="https://www.cincinnati-oh.gov/fire/recruiting/requirements-to-apply/" TargetMode="External"/><Relationship Id="rId1404" Type="http://schemas.openxmlformats.org/officeDocument/2006/relationships/hyperlink" Target="https://journalstar.com/news/local/crime-and-courts/federal-judge-denies-request-for-injunction-independent-review-in-firefights-lawsuit/article_57be96fb-75f1-5b57-90b3-87e7c60cfb50.html" TargetMode="External"/><Relationship Id="rId1611" Type="http://schemas.openxmlformats.org/officeDocument/2006/relationships/hyperlink" Target="https://ecf.flmd.uscourts.gov/cgi-bin/show_public_doc?2025-02787-49-8-cv" TargetMode="External"/><Relationship Id="rId1849" Type="http://schemas.openxmlformats.org/officeDocument/2006/relationships/hyperlink" Target="https://www.law.cornell.edu/definitions/uscode.php?width=840&amp;height=800&amp;iframe=true&amp;def_id=29-USC-1193469614-1597622566&amp;term_occur=999&amp;term_src=" TargetMode="External"/><Relationship Id="rId192" Type="http://schemas.openxmlformats.org/officeDocument/2006/relationships/hyperlink" Target="https://www.legislature.ohio.gov/legislation/134/hb99" TargetMode="External"/><Relationship Id="rId1709" Type="http://schemas.openxmlformats.org/officeDocument/2006/relationships/hyperlink" Target="https://caselaw.findlaw.com/court/us-dis-crt-d-con/115860244.html" TargetMode="External"/><Relationship Id="rId1916" Type="http://schemas.openxmlformats.org/officeDocument/2006/relationships/hyperlink" Target="https://www.justice.gov/opa/pr/justice-department-announces-global-resolution-criminal-and-civil-investigations-opioid" TargetMode="External"/><Relationship Id="rId497" Type="http://schemas.openxmlformats.org/officeDocument/2006/relationships/hyperlink" Target="https://casetext.com/statute/california-codes/california-civil-code/division-3-obligations/part-3-obligations-imposed-by-law/section-1714-responsibility-injury-occasioned-by-want-of-ordinary-care-or-skill-in-management-of-property-or-person-firearms-and-ammunition-not-exempted" TargetMode="External"/><Relationship Id="rId2080" Type="http://schemas.openxmlformats.org/officeDocument/2006/relationships/hyperlink" Target="https://cases.justia.com/north-carolina/court-of-appeals/2024-23-881.pdf?ts=1716294565" TargetMode="External"/><Relationship Id="rId2178" Type="http://schemas.openxmlformats.org/officeDocument/2006/relationships/hyperlink" Target="https://public.fastcase.com/J%2FJP6pdidelsXxEE4k%2BLMv5wihlcRVj4L9YHbnV6MVAF3KBJWQtSNgsG4EjgakbdHjeAvtzGQxxiofGv8pQP2WzdDBJrvHehgIHwsEqWl4I%3D?utm_medium=email&amp;_hsmi=226712652&amp;_hsenc=p2ANqtz-8bxe8uEVUAEFxEuakn9lUGLQUwlcgKmV3pJL4LaqF4K3hrnG0m_YdcBfrpGQgthbsaGFQPAZbt-ltRFFMr5oynBxpKXA&amp;utm_content=226712652&amp;utm_source=hs_email" TargetMode="External"/><Relationship Id="rId2385" Type="http://schemas.openxmlformats.org/officeDocument/2006/relationships/hyperlink" Target="https://caselaw.findlaw.com/ny-supreme-court-appellate-division/1893546.html" TargetMode="External"/><Relationship Id="rId357" Type="http://schemas.openxmlformats.org/officeDocument/2006/relationships/hyperlink" Target="https://www.supremecourt.ohio.gov/rod/docs/pdf/0/2018/2018-Ohio-3721.pdf" TargetMode="External"/><Relationship Id="rId1194" Type="http://schemas.openxmlformats.org/officeDocument/2006/relationships/hyperlink" Target="https://www.supremecourt.ohio.gov/rod/docs/pdf/0/2020/2020-Ohio-1047.pdf" TargetMode="External"/><Relationship Id="rId2038" Type="http://schemas.openxmlformats.org/officeDocument/2006/relationships/hyperlink" Target="https://cases.justia.com/louisiana/fourth-circuit-court-of-appeal/2025-2024-ca-0437.pdf?ts=1741310103" TargetMode="External"/><Relationship Id="rId2592" Type="http://schemas.openxmlformats.org/officeDocument/2006/relationships/hyperlink" Target="https://public.fastcase.com/ZZhmr5v9wN%2FXOe5IsQ%2FqD51KXiWhfZ5Tknms713VsyNiKeidGSjUYd5fLyeguf86yRHn46LHKSVIqu1aE%2FP%2F4wzm%2Bs9CN3Gxx%2Fta1hJ8xsU%3D?utm_medium=email&amp;_hsmi=226712652&amp;_hsenc=p2ANqtz--6hfqXp_6GwCwKFg5My80cUvTOTZgLDUuB3F-yLygp7svvTJd39SzNL3yXkJv1N0M6expfT3HAdh1FcYblCg0-pEKOfg&amp;utm_content=226712652&amp;utm_source=hs_email" TargetMode="External"/><Relationship Id="rId2897" Type="http://schemas.openxmlformats.org/officeDocument/2006/relationships/hyperlink" Target="https://project.wnyc.org/disciplinary-records/" TargetMode="External"/><Relationship Id="rId217" Type="http://schemas.openxmlformats.org/officeDocument/2006/relationships/hyperlink" Target="https://www.law.cornell.edu/supct/html/90-5721.ZO.html" TargetMode="External"/><Relationship Id="rId564" Type="http://schemas.openxmlformats.org/officeDocument/2006/relationships/hyperlink" Target="https://www.firerescue1.com/firefighter-training/articles/firefighters-death-highlights-municipal-storm-drain-dangers-VaH0e7nB3CMWpKRS/" TargetMode="External"/><Relationship Id="rId771" Type="http://schemas.openxmlformats.org/officeDocument/2006/relationships/hyperlink" Target="https://www.law.cornell.edu/uscode/text/8/1227" TargetMode="External"/><Relationship Id="rId869" Type="http://schemas.openxmlformats.org/officeDocument/2006/relationships/hyperlink" Target="https://cases.justia.com/federal/district-courts/kansas/ksdce/6:2022cv01032/140026/96/0.pdf?ts=1694273736" TargetMode="External"/><Relationship Id="rId1499" Type="http://schemas.openxmlformats.org/officeDocument/2006/relationships/hyperlink" Target="https://apnews.com/article/dei-trump-executive-order-diversity-834a241a60ee92722ef2443b62572540" TargetMode="External"/><Relationship Id="rId2245" Type="http://schemas.openxmlformats.org/officeDocument/2006/relationships/hyperlink" Target="https://public.fastcase.com/" TargetMode="External"/><Relationship Id="rId2452" Type="http://schemas.openxmlformats.org/officeDocument/2006/relationships/hyperlink" Target="https://public.fastcase.com/9SKwsfNqTc6OieYDhNMyM%2BsbSTu241pOZ38l1fL3GtOxRE1iLhH6RZm0FIyTdVeF1XRK6Ebg7B5equTDg4ZQiMxFMDQEZko4UYsaxrmOuYk%3D" TargetMode="External"/><Relationship Id="rId424" Type="http://schemas.openxmlformats.org/officeDocument/2006/relationships/hyperlink" Target="https://www.nj.com/atlantic/2025/06/jersey-shore-firefighter-wins-court-battle-over-growing-beard-on-religious-grounds.html?mc_cid=2cb6755cd5&amp;mc_eid=cbaa4ade01" TargetMode="External"/><Relationship Id="rId631" Type="http://schemas.openxmlformats.org/officeDocument/2006/relationships/hyperlink" Target="https://www.supremecourt.gov/opinions/24pdf/24a931_2c83.pdf" TargetMode="External"/><Relationship Id="rId729" Type="http://schemas.openxmlformats.org/officeDocument/2006/relationships/hyperlink" Target="https://www.lasc.org/opinions/2022/21-0929.CQ.OPN.pdf" TargetMode="External"/><Relationship Id="rId1054" Type="http://schemas.openxmlformats.org/officeDocument/2006/relationships/hyperlink" Target="https://cases.justia.com/arizona/supreme-court/2025-cv-23-0211-pr.pdf?ts=1743008459" TargetMode="External"/><Relationship Id="rId1261" Type="http://schemas.openxmlformats.org/officeDocument/2006/relationships/hyperlink" Target="https://www.fabf.org/PDF/SummaryOfBenefits.pdf" TargetMode="External"/><Relationship Id="rId1359" Type="http://schemas.openxmlformats.org/officeDocument/2006/relationships/hyperlink" Target="https://www.supremecourt.gov/opinions/23pdf/22-193_q86b.pdf" TargetMode="External"/><Relationship Id="rId2105" Type="http://schemas.openxmlformats.org/officeDocument/2006/relationships/hyperlink" Target="https://www.contracosta.ca.gov/DocumentCenter/View/79107/Final-LEIFI-Ivan-Gutzalenko--2021" TargetMode="External"/><Relationship Id="rId2312" Type="http://schemas.openxmlformats.org/officeDocument/2006/relationships/hyperlink" Target="https://njcourts.gov/attorneys/assets/opinions/appellate/published/a0117-19.pdf?c=WwB" TargetMode="External"/><Relationship Id="rId2757" Type="http://schemas.openxmlformats.org/officeDocument/2006/relationships/hyperlink" Target="https://cases.justia.com/federal/district-courts/illinois/ilndce/1:2024cv01517/455667/32/0.pdf?ts=1773244215" TargetMode="External"/><Relationship Id="rId936" Type="http://schemas.openxmlformats.org/officeDocument/2006/relationships/hyperlink" Target="https://cases.justia.com/colorado/court-of-appeals/2025-24ca1544.pdf?ts=1751643339" TargetMode="External"/><Relationship Id="rId1121" Type="http://schemas.openxmlformats.org/officeDocument/2006/relationships/hyperlink" Target="https://public.fastcase.com/J%2FJP6pdidelsXxEE4k%2BLMqkdD5%2F9vomvqFlCkCXbHBZeshVe9dMO69n26VvOOGQ0AfFNIJdHHotvSTHs4WCcjg4h%2FMs%2B3ZGL0GmuYT%2B2kk4%3D?utm_medium=email&amp;_hsmi=226712652&amp;_hsenc=p2ANqtz-9blRBfGvWcvPfjP94U0OWp5xjRToJRFC1FgT4HNxkVt3pCFWJPlaIDL-9MMTlNfF1ZXM41l3Otj_VuO__ziHrFsLR4IQ&amp;utm_content=226712652&amp;utm_source=hs_email" TargetMode="External"/><Relationship Id="rId1219" Type="http://schemas.openxmlformats.org/officeDocument/2006/relationships/hyperlink" Target="https://public.fastcase.com/Wl%2B2t%2BeVuI35%2FN70vAMFZjoMXHbjadZDEq7kSjk%2BwtWPLJ9YZycRPzxEYilorv6v" TargetMode="External"/><Relationship Id="rId1566" Type="http://schemas.openxmlformats.org/officeDocument/2006/relationships/hyperlink" Target="https://news.bloomberglaw.com/daily-labor-report/doj-says-black-ems-captains-can-prove-bias-without-material-harm" TargetMode="External"/><Relationship Id="rId1773" Type="http://schemas.openxmlformats.org/officeDocument/2006/relationships/hyperlink" Target="http://www.flsa-optin.com/index.cfm?zone=/unionactive/form_page.cfm&amp;formID=108277" TargetMode="External"/><Relationship Id="rId1980" Type="http://schemas.openxmlformats.org/officeDocument/2006/relationships/hyperlink" Target="https://www.dccourts.gov/sites/default/files/2026-05/Dargan%20%20v.%20D.C.%20Office%20of%20Employee%20Appeals.%2024-CV-1001.pdf" TargetMode="External"/><Relationship Id="rId2617" Type="http://schemas.openxmlformats.org/officeDocument/2006/relationships/hyperlink" Target="https://www.cbc.ca/news/canada/edmonton/fires-set-by-firefighters-a-long-standing-problem-experts-say-1.3563183" TargetMode="External"/><Relationship Id="rId2824" Type="http://schemas.openxmlformats.org/officeDocument/2006/relationships/hyperlink" Target="https://www.supremecourt.ohio.gov/rod/docs/pdf/8/2022/2022-Ohio-824.pdf" TargetMode="External"/><Relationship Id="rId65" Type="http://schemas.openxmlformats.org/officeDocument/2006/relationships/hyperlink" Target="https://www.justice.gov/usao-mdla/pr/baton-rouge-man-indicted-use-fire-commit-felony-use-fire-maliciously-damage-property" TargetMode="External"/><Relationship Id="rId1426" Type="http://schemas.openxmlformats.org/officeDocument/2006/relationships/hyperlink" Target="https://public.fastcase.com/Wl%2B2t%2BeVuI35%2FN70vAMFZkY2nPlYZ3wtvIBy3YjdhH4Hysc14LIFQvAQrJXSfUWa" TargetMode="External"/><Relationship Id="rId1633" Type="http://schemas.openxmlformats.org/officeDocument/2006/relationships/hyperlink" Target="https://www.scotusblog.com/2024/06/court-adds-seven-cases-to-next-terms-docket/" TargetMode="External"/><Relationship Id="rId1840" Type="http://schemas.openxmlformats.org/officeDocument/2006/relationships/hyperlink" Target="https://www.dol.gov/sites/dolgov/files/WHD/legacy/files/fab_2020_5.pdf" TargetMode="External"/><Relationship Id="rId1700" Type="http://schemas.openxmlformats.org/officeDocument/2006/relationships/hyperlink" Target="https://www.leagle.com/decision/infdco20190708957" TargetMode="External"/><Relationship Id="rId1938" Type="http://schemas.openxmlformats.org/officeDocument/2006/relationships/hyperlink" Target="https://www.supremecourt.gov/opinions/20pdf/20-645_9p6b.pdf" TargetMode="External"/><Relationship Id="rId281" Type="http://schemas.openxmlformats.org/officeDocument/2006/relationships/hyperlink" Target="https://law.justia.com/cases/washington/court-of-appeals-division-ii/2021/53365-1.html" TargetMode="External"/><Relationship Id="rId141" Type="http://schemas.openxmlformats.org/officeDocument/2006/relationships/hyperlink" Target="https://dronelife.com/2024/05/08/michigan-supreme-court-allows-drone-surveillance-evidence-in-civil-case/" TargetMode="External"/><Relationship Id="rId379" Type="http://schemas.openxmlformats.org/officeDocument/2006/relationships/hyperlink" Target="https://www.casemine.com/judgement/us/6a36782a174bb89f9fdb2fa9" TargetMode="External"/><Relationship Id="rId586" Type="http://schemas.openxmlformats.org/officeDocument/2006/relationships/hyperlink" Target="https://cases.justia.com/kentucky/court-of-appeals/2019-2019-ca-000504-wc.pdf?ts=1562940239" TargetMode="External"/><Relationship Id="rId793" Type="http://schemas.openxmlformats.org/officeDocument/2006/relationships/hyperlink" Target="https://casetext.com/case/in-re-world-trade-ctr-lower-manhattan-disaster-site-litig-8" TargetMode="External"/><Relationship Id="rId2267" Type="http://schemas.openxmlformats.org/officeDocument/2006/relationships/hyperlink" Target="https://casetext.com/case/waybright-v-frederick-county-2" TargetMode="External"/><Relationship Id="rId2474" Type="http://schemas.openxmlformats.org/officeDocument/2006/relationships/hyperlink" Target="https://www.wwlp.com/news/massachusetts/critical-incident-intervention-for-first-responders-bill-signed-into-law/1706453191" TargetMode="External"/><Relationship Id="rId2681" Type="http://schemas.openxmlformats.org/officeDocument/2006/relationships/hyperlink" Target="https://www.opn.ca6.uscourts.gov/opinions.pdf/20a0268p-06.pdf" TargetMode="External"/><Relationship Id="rId7" Type="http://schemas.openxmlformats.org/officeDocument/2006/relationships/endnotes" Target="endnotes.xml"/><Relationship Id="rId239" Type="http://schemas.openxmlformats.org/officeDocument/2006/relationships/hyperlink" Target="https://ohiotimes.news/cincinnati-burglar-arm-fee-struck-down-a-giant-scam-says-lawyer/?doing_wp_cron=1637522583.8115420341491699218750" TargetMode="External"/><Relationship Id="rId446" Type="http://schemas.openxmlformats.org/officeDocument/2006/relationships/hyperlink" Target="https://casetext.com/case/christensen-v-murphy" TargetMode="External"/><Relationship Id="rId653" Type="http://schemas.openxmlformats.org/officeDocument/2006/relationships/hyperlink" Target="https://www.supremecourt.gov/opinions/24pdf/24a1153_l5gm.pdf" TargetMode="External"/><Relationship Id="rId1076" Type="http://schemas.openxmlformats.org/officeDocument/2006/relationships/hyperlink" Target="https://cases.justia.com/federal/district-courts/louisiana/laedce/2:2023cv00439/259406/50/0.pdf?ts=1721728516" TargetMode="External"/><Relationship Id="rId1283" Type="http://schemas.openxmlformats.org/officeDocument/2006/relationships/hyperlink" Target="https://www.courtlistener.com/pdf/2019/02/08/schneider_v._city_of_lawrence.pdf" TargetMode="External"/><Relationship Id="rId1490" Type="http://schemas.openxmlformats.org/officeDocument/2006/relationships/hyperlink" Target="https://www.wlwt.com/article/cincinnati-childrens-investigation-scholarships-minorities/64180173" TargetMode="External"/><Relationship Id="rId2127" Type="http://schemas.openxmlformats.org/officeDocument/2006/relationships/hyperlink" Target="https://cases.justia.com/pennsylvania/superior-court/2023-1846-eda-2021.pdf?ts=1703100172" TargetMode="External"/><Relationship Id="rId2334" Type="http://schemas.openxmlformats.org/officeDocument/2006/relationships/hyperlink" Target="https://scholar.google.com/scholar_case?case=2959279778538737103&amp;hl=en&amp;as_sdt=6,36" TargetMode="External"/><Relationship Id="rId2779" Type="http://schemas.openxmlformats.org/officeDocument/2006/relationships/hyperlink" Target="https://casetext.com/case/teague-v-travis-cnty-emergency-servs-dist" TargetMode="External"/><Relationship Id="rId306" Type="http://schemas.openxmlformats.org/officeDocument/2006/relationships/hyperlink" Target="https://thehill.com/homenews/senate/503496-republican-rift-opens-up-over-qualified-immunity-for-police" TargetMode="External"/><Relationship Id="rId860" Type="http://schemas.openxmlformats.org/officeDocument/2006/relationships/hyperlink" Target="https://cases.justia.com/federal/appellate-courts/ca5/22-40644/22-40644-2023-10-11.pdf?ts=1697067069" TargetMode="External"/><Relationship Id="rId958" Type="http://schemas.openxmlformats.org/officeDocument/2006/relationships/hyperlink" Target="https://search.txcourts.gov/SearchMedia.aspx?MediaVersionID=ce66bb80-60c8-4a68-9e10-0d461411b53e&amp;coa=coa14&amp;DT=Opinion&amp;MediaID=4a32394c-a506-4577-9679-e2747d0b06c4" TargetMode="External"/><Relationship Id="rId1143" Type="http://schemas.openxmlformats.org/officeDocument/2006/relationships/hyperlink" Target="https://capeunion.org/contracts/meyers-milias-brown-act" TargetMode="External"/><Relationship Id="rId1588" Type="http://schemas.openxmlformats.org/officeDocument/2006/relationships/hyperlink" Target="http://www.ca5.uscourts.gov/opinions/pub/19/19-20294-CV0.pdf" TargetMode="External"/><Relationship Id="rId1795" Type="http://schemas.openxmlformats.org/officeDocument/2006/relationships/hyperlink" Target="https://public.fastcase.com/J%2FJP6pdidelsXxEE4k%2BLMlJvV4SJAfGPsaCb1kEJI4NiHVvOih0KoHLgsQ3SFDCtHhkE7RYPh6rKF3vfpYjTBRyXwDRXesvaMheieGfjP1w%3D?utm_medium=email&amp;_hsmi=226712652&amp;_hsenc=p2ANqtz--UObyDUMiaZSwq-4NoEzNR5o4eO8V_D5uKHJYL4ZZ256ZhZPYzbGLx-gR6MhxNsQvJKJXWqSitgcrGqHUpT5pkRHztzQ&amp;utm_content=226712652&amp;utm_source=hs_emai" TargetMode="External"/><Relationship Id="rId2541" Type="http://schemas.openxmlformats.org/officeDocument/2006/relationships/hyperlink" Target="https://www.njcourts.gov/system/files/court-opinions/2025/a1587-23.pdf" TargetMode="External"/><Relationship Id="rId2639" Type="http://schemas.openxmlformats.org/officeDocument/2006/relationships/hyperlink" Target="https://www.supremecourt.ohio.gov/rod/docs/pdf/8/2022/2022-Ohio-824.pdf" TargetMode="External"/><Relationship Id="rId2846" Type="http://schemas.openxmlformats.org/officeDocument/2006/relationships/hyperlink" Target="https://casetext.com/case/new-prime-inc-v-oliveira-1?ref=Sb!ZpcU0M" TargetMode="External"/><Relationship Id="rId87" Type="http://schemas.openxmlformats.org/officeDocument/2006/relationships/hyperlink" Target="https://cases.justia.com/oregon/court-of-appeals/2025-a181038.pdf?ts=1738179139" TargetMode="External"/><Relationship Id="rId513" Type="http://schemas.openxmlformats.org/officeDocument/2006/relationships/hyperlink" Target="https://www.documentcloud.org/documents/23589006-firefighter-suit-terrance-jones-et-al-v-coj-order-finalizing-case011323" TargetMode="External"/><Relationship Id="rId720" Type="http://schemas.openxmlformats.org/officeDocument/2006/relationships/hyperlink" Target="https://middlemarketgrowth.org/podcast-tyler-brennan-racedayquads/" TargetMode="External"/><Relationship Id="rId818" Type="http://schemas.openxmlformats.org/officeDocument/2006/relationships/hyperlink" Target="https://cases.justia.com/connecticut/supreme-court/2019-sc20009.pdf?ts=1554984045" TargetMode="External"/><Relationship Id="rId1350" Type="http://schemas.openxmlformats.org/officeDocument/2006/relationships/hyperlink" Target="https://public.fastcase.com/H1P9uiW3J20SFp%2BGCG%2BxLdAy%2Fo69TrR1K6MVQcVakXAVjkfoheCj%2FALYO7mhCcaM?utm_medium=email&amp;_hsenc=p2ANqtz-_QVKpYjRM7B2Q5-sqKd1q9ccEl8nSIxeJoGOvaUfjL9Y5LBcGC98GOiGM8SvSGdTXKNaMFLIGTEL-_cGBVPHnVUR_G4Q&amp;_hsmi=226712652&amp;utm_content=226712652&amp;utm_source=hs_email" TargetMode="External"/><Relationship Id="rId1448" Type="http://schemas.openxmlformats.org/officeDocument/2006/relationships/hyperlink" Target="https://journalstar.com/news/local/crime-and-courts/female-firefighter-s-discrimination-case-against-the-city-of-lincoln/article_97cf8ac8-bb20-5343-8e10-3faf315b0dd8.html" TargetMode="External"/><Relationship Id="rId1655" Type="http://schemas.openxmlformats.org/officeDocument/2006/relationships/hyperlink" Target="https://www.eeoc.gov/publications/ada-your-responsibilities-employer" TargetMode="External"/><Relationship Id="rId2401" Type="http://schemas.openxmlformats.org/officeDocument/2006/relationships/hyperlink" Target="https://cases.justia.com/federal/district-courts/illinois/ilndce/1:2021cv05327/407800/161/0.pdf?ts=1751450196" TargetMode="External"/><Relationship Id="rId2706" Type="http://schemas.openxmlformats.org/officeDocument/2006/relationships/hyperlink" Target="https://www.opn.ca6.uscourts.gov/opinions.pdf/19a0286p-06.pdf" TargetMode="External"/><Relationship Id="rId1003" Type="http://schemas.openxmlformats.org/officeDocument/2006/relationships/hyperlink" Target="http://www.legallyspeakingohio.com/wordpress/wp-content/uploads/2013/03/anderson-v-massilon.pdf" TargetMode="External"/><Relationship Id="rId1210" Type="http://schemas.openxmlformats.org/officeDocument/2006/relationships/hyperlink" Target="https://www.chandralaw.com/blog/retired-cleveland-fire-division-battalion-chief-files-first-amendment-retaliation-suit-against-city-senior-public-safety-officials" TargetMode="External"/><Relationship Id="rId1308" Type="http://schemas.openxmlformats.org/officeDocument/2006/relationships/hyperlink" Target="file:///C:/Users/lawre/AppData/Local/Microsoft/Windows/INetCache/IE/CTCRXJ99/0788s16.pdf" TargetMode="External"/><Relationship Id="rId1862" Type="http://schemas.openxmlformats.org/officeDocument/2006/relationships/hyperlink" Target="https://www.dol.gov/whd/opinion/search/index.htm?FLSA" TargetMode="External"/><Relationship Id="rId1515" Type="http://schemas.openxmlformats.org/officeDocument/2006/relationships/hyperlink" Target="https://ww3.ca2.uscourts.gov/decisions/isysquery/16788bba-62d9-413f-95b7-7dccd6899f82/2/doc/23-482_so.pdf" TargetMode="External"/><Relationship Id="rId1722" Type="http://schemas.openxmlformats.org/officeDocument/2006/relationships/hyperlink" Target="https://caselaw.findlaw.com/court/us-7th-circuit/2104932.html" TargetMode="External"/><Relationship Id="rId14" Type="http://schemas.openxmlformats.org/officeDocument/2006/relationships/hyperlink" Target="mailto:Lawrence.bennett@uc.edu" TargetMode="External"/><Relationship Id="rId2191" Type="http://schemas.openxmlformats.org/officeDocument/2006/relationships/hyperlink" Target="https://codes.ohio.gov/ohio-revised-code/section-4765.49" TargetMode="External"/><Relationship Id="rId163" Type="http://schemas.openxmlformats.org/officeDocument/2006/relationships/hyperlink" Target="https://public.fastcase.com/ZZhmr5v9wN%2FXOe5IsQ%2FqDx2aoAq%2F1J3XMBw8WA8L1d7o8S2WtY%2BTDnBn3n2%2F0y8X6CyWkgilV2OmVPwbi%2FNntkvFVphnueZifNbADUBhdiU%3D?utm_medium=email&amp;_hsmi=226712652&amp;_hsenc=p2ANqtz--A7cSCsQiKnmkWIbrJV3BH1NDDsIsoOUsxX371tCp7kUULX-TDL4poIpgmi8VFxIZ6Go7w0Api1t7_UP6pxMUzbV5FWQ&amp;utm_content=226712652&amp;utm_source=hs_email" TargetMode="External"/><Relationship Id="rId370" Type="http://schemas.openxmlformats.org/officeDocument/2006/relationships/hyperlink" Target="https://caselaw.findlaw.com/sc-court-of-appeals/1893632.html" TargetMode="External"/><Relationship Id="rId2051" Type="http://schemas.openxmlformats.org/officeDocument/2006/relationships/hyperlink" Target="https://cafc.uscourts.gov/opinions-orders/24-1104.OPINION.12-9-2024_2432337.pdf" TargetMode="External"/><Relationship Id="rId2289" Type="http://schemas.openxmlformats.org/officeDocument/2006/relationships/hyperlink" Target="https://public.fastcase.com/Wl%2B2t%2BeVuI35%2FN70vAMFZu2kCKVGtKJMtqi4A8YrO%2FA1C58cJM7PHa67poZD1rnP" TargetMode="External"/><Relationship Id="rId2496" Type="http://schemas.openxmlformats.org/officeDocument/2006/relationships/hyperlink" Target="https://supreme.justia.com/cases/federal/us/578/14-1280/" TargetMode="External"/><Relationship Id="rId230" Type="http://schemas.openxmlformats.org/officeDocument/2006/relationships/hyperlink" Target="https://www.aar.org/wp-content/uploads/2020/02/AAR-Occupied-Crossings-Fact-Sheet.pdf" TargetMode="External"/><Relationship Id="rId468" Type="http://schemas.openxmlformats.org/officeDocument/2006/relationships/hyperlink" Target="https://casetext.com/statute/florida-statutes/title-x-public-officers-employees-and-records/chapter-112-public-officers-and-employees-general-provisions/part-i-conditions-of-employment-retirement-travel-expenses/section-112182-firefighter-rule-abolished" TargetMode="External"/><Relationship Id="rId675" Type="http://schemas.openxmlformats.org/officeDocument/2006/relationships/hyperlink" Target="https://www.supremecourt.gov/opinions/23pdf/22-915_8o6b.pdf" TargetMode="External"/><Relationship Id="rId882" Type="http://schemas.openxmlformats.org/officeDocument/2006/relationships/hyperlink" Target="https://firstamendmentwatch.org/arizona-governor-signs-bill-to-restrict-recording-of-police-in-public/" TargetMode="External"/><Relationship Id="rId1098" Type="http://schemas.openxmlformats.org/officeDocument/2006/relationships/hyperlink" Target="https://www.wftv.com/news/local/appeals-court-ruling-paves-way-orange-county-firefighters-widow-seek-workers-comp-payout/QFOHSP22XNHLXLGDFDZYKLTKMM/" TargetMode="External"/><Relationship Id="rId2149" Type="http://schemas.openxmlformats.org/officeDocument/2006/relationships/hyperlink" Target="https://public.fastcase.com/ZZhmr5v9wN%2FXOe5IsQ%2FqD6Xk9Se1JBeTiY14mFqaZIC5zf3duAqu51qE94mXCojrTIXHUx6W2UZ5EsVNrKWWswbYRHUo1KFYOQ9M2ppF1oA%3D?utm_medium=email&amp;_hsmi=226712652&amp;_hsenc=p2ANqtz-9aFlMC5FDCM2U0K8x384sblH4I0CGG1sOM-rog5fs89w4bS-qizqdVKzMegY3x51ZczlJkgb2TT7R5d8mF-dWwXy7XkA&amp;utm_content=226712652&amp;utm_source=hs_email" TargetMode="External"/><Relationship Id="rId2356" Type="http://schemas.openxmlformats.org/officeDocument/2006/relationships/hyperlink" Target="http://www.pacourts.us/assets/opinions/Supreme/out/Majority%20Opinion%20%20VacatedRemanded%20%2010378165044604409.pdf?cb=1" TargetMode="External"/><Relationship Id="rId2563" Type="http://schemas.openxmlformats.org/officeDocument/2006/relationships/hyperlink" Target="https://www.rcfp.org/anti-slapp-legal-guide/" TargetMode="External"/><Relationship Id="rId2770" Type="http://schemas.openxmlformats.org/officeDocument/2006/relationships/hyperlink" Target="https://ilcourtsaudio.blob.core.windows.net/antilles-resources/resources/7509d61b-3a3a-4986-bb3a-7cce5964f936/Village%20of%20Roselle%20v.%20Illinois%20Workers'%20Compensation%20Comm'n,%202025%20IL%20App%20(3rd)%20240306WC-U.pdf" TargetMode="External"/><Relationship Id="rId328" Type="http://schemas.openxmlformats.org/officeDocument/2006/relationships/hyperlink" Target="https://cases.justia.com/federal/district-courts/pennsylvania/pawdce/3:2018cv00193/249675/37/0.pdf?ts=1571736238" TargetMode="External"/><Relationship Id="rId535" Type="http://schemas.openxmlformats.org/officeDocument/2006/relationships/hyperlink" Target="https://public.fastcase.com/9SKwsfNqTc6OieYDhNMyM3GFxg7E14LGt6irGiW6D0AdOSai6WztEAqO8TQbOt2UAfcs%2Ff2iM4MWcxpFzO0W88e5H95ADB2MkHVFfrY4yKc%3D" TargetMode="External"/><Relationship Id="rId742" Type="http://schemas.openxmlformats.org/officeDocument/2006/relationships/hyperlink" Target="https://www.law.cornell.edu/definitions/uscode.php?width=840&amp;height=800&amp;iframe=true&amp;def_id=18-USC-1846489032-909420281&amp;term_occur=999&amp;term_src=title:18:part:I:chapter:13:section:249" TargetMode="External"/><Relationship Id="rId1165" Type="http://schemas.openxmlformats.org/officeDocument/2006/relationships/hyperlink" Target="https://www.iaff.org/presumptive-health/" TargetMode="External"/><Relationship Id="rId1372" Type="http://schemas.openxmlformats.org/officeDocument/2006/relationships/hyperlink" Target="https://www.dol.gov/agencies/whd/fact-sheets/73-flsa-break-time-nursing-mothers" TargetMode="External"/><Relationship Id="rId2009" Type="http://schemas.openxmlformats.org/officeDocument/2006/relationships/hyperlink" Target="https://cases.justia.com/georgia/court-of-appeals/2025-a25a1173.pdf?ts=1761847932" TargetMode="External"/><Relationship Id="rId2216" Type="http://schemas.openxmlformats.org/officeDocument/2006/relationships/hyperlink" Target="https://casetext.com/case/imhof-v-del-bd-of-med-licensure-discipline" TargetMode="External"/><Relationship Id="rId2423" Type="http://schemas.openxmlformats.org/officeDocument/2006/relationships/hyperlink" Target="https://caselaw.findlaw.com/court/us-dis-crt-s-d-ohi-wes-div/2089388.html" TargetMode="External"/><Relationship Id="rId2630" Type="http://schemas.openxmlformats.org/officeDocument/2006/relationships/hyperlink" Target="https://iprospectcheck.com/the-adverse-action-process-and-how-it-applies-to-employment-background-checks/" TargetMode="External"/><Relationship Id="rId2868" Type="http://schemas.openxmlformats.org/officeDocument/2006/relationships/hyperlink" Target="https://www.law.cornell.edu/cfr/text/24/291.530" TargetMode="External"/><Relationship Id="rId602" Type="http://schemas.openxmlformats.org/officeDocument/2006/relationships/hyperlink" Target="http://www.caohc.org/updatearticles/2017/Update_v29-i1.pdf" TargetMode="External"/><Relationship Id="rId1025" Type="http://schemas.openxmlformats.org/officeDocument/2006/relationships/hyperlink" Target="https://public.fastcase.com/jaEE2PXzRXmZ99jOLMt1IiCZZZpteOfluZOkYG3wMviTSniVMo5h4kc4WRTpe6V8Jg8IM7MTKJ5SfgRKhZGl2tVI6P4U%2BnkSaEwO2dzM8Rk%3D?utm_medium=email&amp;_hsenc=p2ANqtz--UPexxOwqhUZNftyKJhb3R-qXmsyD2qvqkoufxMeh6uEfEbZVRIKhd7hzivD-PUaEhi0YeikRdDbC9teuqS6ORoDRaLQ&amp;_hsmi=226712652&amp;utm_content=226712652&amp;utm_source=hs_email" TargetMode="External"/><Relationship Id="rId1232" Type="http://schemas.openxmlformats.org/officeDocument/2006/relationships/hyperlink" Target="http://codes.ohio.gov/orc/gp9.481" TargetMode="External"/><Relationship Id="rId1677" Type="http://schemas.openxmlformats.org/officeDocument/2006/relationships/hyperlink" Target="https://www.jacksonville.com/story/news/courts/2020/11/25/jacksonville-lawsuit-cleanshaven-rule-unfair-black-firefighters/6406374002/" TargetMode="External"/><Relationship Id="rId1884" Type="http://schemas.openxmlformats.org/officeDocument/2006/relationships/hyperlink" Target="https://public.fastcase.com/jaEE2PXzRXmZ99jOLMt1It2Tjmgxo5hSPIplN9zr2RKL3xaZLK1Vh5eTa9w8Wk8pfXZv57sP%2BSheWcKHfFgy9Ah5Ev5ZnvIAKgdp6Yn%2FiQI%3D?utm_medium=email&amp;_hsenc=p2ANqtz-_xr08pWLevFeFI8Ge2XvipIP7qRBaDeRzA2aeNOeAMxf3drkc7WBb-blscAE4MgKHVvRlF4GyH0W6s2eAyYhQEv9ZP9w&amp;_hsmi=226712652&amp;utm_content=226712652&amp;utm_source=hs_email" TargetMode="External"/><Relationship Id="rId2728" Type="http://schemas.openxmlformats.org/officeDocument/2006/relationships/hyperlink" Target="http://codes.ohio.gov/orc/gp9.481" TargetMode="External"/><Relationship Id="rId907" Type="http://schemas.openxmlformats.org/officeDocument/2006/relationships/hyperlink" Target="https://www.hamiltoncountyohio.gov/UserFiles/Servers/Server_3788196/File/releases/2020/C-200030_12162020.pdf" TargetMode="External"/><Relationship Id="rId1537" Type="http://schemas.openxmlformats.org/officeDocument/2006/relationships/hyperlink" Target="https://casetext.com/case/brown-v-hennepin-healthcare-sys" TargetMode="External"/><Relationship Id="rId1744" Type="http://schemas.openxmlformats.org/officeDocument/2006/relationships/hyperlink" Target="https://www.dol.gov/agencies/whd/fact-sheets/56a-regular-rate" TargetMode="External"/><Relationship Id="rId1951" Type="http://schemas.openxmlformats.org/officeDocument/2006/relationships/hyperlink" Target="https://codes.ohio.gov/orc/2925.11" TargetMode="External"/><Relationship Id="rId36" Type="http://schemas.openxmlformats.org/officeDocument/2006/relationships/hyperlink" Target="https://www.youtube.com/watch?v=lqmk210Y9sk" TargetMode="External"/><Relationship Id="rId1604" Type="http://schemas.openxmlformats.org/officeDocument/2006/relationships/hyperlink" Target="https://d.docs.live.net/bd9b2eaf6053242e/AppData/Roaming/Microsoft/AppData/Local/Microsoft/Windows/INetCache/IE/XO250S7T/Phillips-FDNY.pdf" TargetMode="External"/><Relationship Id="rId185" Type="http://schemas.openxmlformats.org/officeDocument/2006/relationships/hyperlink" Target="https://www.leagle.com/decision/infdco20230413c44" TargetMode="External"/><Relationship Id="rId1811" Type="http://schemas.openxmlformats.org/officeDocument/2006/relationships/hyperlink" Target="http://www.firefighterovertime.org/wp-content/uploads/2021/11/US_DIS_VAED_2_20cv595_Memorandum_in_Support_re_41_Joint_MOTION_for_Settl.pdf" TargetMode="External"/><Relationship Id="rId1909" Type="http://schemas.openxmlformats.org/officeDocument/2006/relationships/hyperlink" Target="https://cases.justia.com/federal/appellate-courts/ca5/22-20380/22-20380-2023-07-24.pdf?ts=1690219861" TargetMode="External"/><Relationship Id="rId392" Type="http://schemas.openxmlformats.org/officeDocument/2006/relationships/hyperlink" Target="https://cases.justia.com/federal/district-courts/new-hampshire/nhdce/1:2024cv00213/63777/56/0.pdf?ts=1775080109" TargetMode="External"/><Relationship Id="rId697" Type="http://schemas.openxmlformats.org/officeDocument/2006/relationships/hyperlink" Target="https://cases.justia.com/federal/appellate-courts/ca5/22-50212/22-50212-2023-10-27.pdf?ts=1698427826" TargetMode="External"/><Relationship Id="rId2073" Type="http://schemas.openxmlformats.org/officeDocument/2006/relationships/hyperlink" Target="https://www.orangeobserver.com/news/2024/jun/15/breaking-former-orange-county-fire-rescue-battalion-chief-announces-candidacy-for-county-commission-district-1/" TargetMode="External"/><Relationship Id="rId2280" Type="http://schemas.openxmlformats.org/officeDocument/2006/relationships/hyperlink" Target="https://waysandmeans.house.gov/sites/democrats.waysandmeans.house.gov/files/documents/Ways%20and%20Means%20Surprise%20Billing%20Summary_02%2006%2020%20(final).pdf" TargetMode="External"/><Relationship Id="rId2378" Type="http://schemas.openxmlformats.org/officeDocument/2006/relationships/hyperlink" Target="https://cases.justia.com/federal/district-courts/florida/flmdce/8:2025cv02787/448658/35/0.pdf" TargetMode="External"/><Relationship Id="rId252" Type="http://schemas.openxmlformats.org/officeDocument/2006/relationships/hyperlink" Target="https://casetext.com/case/ciempa-v-city-of-del-city" TargetMode="External"/><Relationship Id="rId1187" Type="http://schemas.openxmlformats.org/officeDocument/2006/relationships/hyperlink" Target="https://casetext.com/case/prospect-heights-fire-prot-dist-v-dept-of-empt-sec" TargetMode="External"/><Relationship Id="rId2140" Type="http://schemas.openxmlformats.org/officeDocument/2006/relationships/hyperlink" Target="https://www.foxnews.com/us/court-rules-first-responders-wrongfully-declared-michigan-woman-dead-cannot-be-sued" TargetMode="External"/><Relationship Id="rId2585" Type="http://schemas.openxmlformats.org/officeDocument/2006/relationships/hyperlink" Target="https://cases.justia.com/federal/district-courts/tennessee/tnmdce/3:2021cv00042/85053/46/0.pdf?ts=1695225093" TargetMode="External"/><Relationship Id="rId2792" Type="http://schemas.openxmlformats.org/officeDocument/2006/relationships/hyperlink" Target="https://www.supremecourt.ohio.gov/rod/docs/pdf/0/2023/2023-Ohio-2264.pdf" TargetMode="External"/><Relationship Id="rId112" Type="http://schemas.openxmlformats.org/officeDocument/2006/relationships/hyperlink" Target="https://www.courthousenews.com/wp-content/uploads/2024/09/wholesale-fireworks-ruling.pdf" TargetMode="External"/><Relationship Id="rId557" Type="http://schemas.openxmlformats.org/officeDocument/2006/relationships/hyperlink" Target="https://codes.findlaw.com/ny/general-obligations-law/gob-sect-11-106.html" TargetMode="External"/><Relationship Id="rId764" Type="http://schemas.openxmlformats.org/officeDocument/2006/relationships/hyperlink" Target="https://www.law.cornell.edu/definitions/uscode.php?width=840&amp;height=800&amp;iframe=true&amp;def_id=8-USC-2124716147-1201680062&amp;term_occur=999&amp;term_src=title:8:chapter:12:subchapter:II:part:IV:section:1229b" TargetMode="External"/><Relationship Id="rId971" Type="http://schemas.openxmlformats.org/officeDocument/2006/relationships/hyperlink" Target="https://casetext.com/case/schultz-v-st-clair-cnty-2" TargetMode="External"/><Relationship Id="rId1394" Type="http://schemas.openxmlformats.org/officeDocument/2006/relationships/hyperlink" Target="https://www.natlawreview.com/article/congress-votes-to-end-mandatory-arbitration-sexual-assault-and-sexual-harassment" TargetMode="External"/><Relationship Id="rId1699" Type="http://schemas.openxmlformats.org/officeDocument/2006/relationships/hyperlink" Target="https://www.verywellmind.com/rates-of-ptsd-in-firefighters-2797428" TargetMode="External"/><Relationship Id="rId2000" Type="http://schemas.openxmlformats.org/officeDocument/2006/relationships/hyperlink" Target="https://law.justia.com/cases/new-york/appellate-division-fourth-department/2025/816-1-ca-24-01193.html" TargetMode="External"/><Relationship Id="rId2238" Type="http://schemas.openxmlformats.org/officeDocument/2006/relationships/hyperlink" Target="https://www.whistleblowerllc.com/resources/whistleblower-laws/the-federal-false-claims-act/" TargetMode="External"/><Relationship Id="rId2445" Type="http://schemas.openxmlformats.org/officeDocument/2006/relationships/hyperlink" Target="https://www.ca5.uscourts.gov/opinions/pub/21/21-20085-CV0.pdf" TargetMode="External"/><Relationship Id="rId2652" Type="http://schemas.openxmlformats.org/officeDocument/2006/relationships/hyperlink" Target="https://www.nj.gov/csc/about/meetings/decisions/pdf/2020/4-15-20/A-004%204-15-20.pdf" TargetMode="External"/><Relationship Id="rId417" Type="http://schemas.openxmlformats.org/officeDocument/2006/relationships/hyperlink" Target="https://cases.justia.com/federal/district-courts/new-york/nysdce/7:2024cv04470/623029/85/0.pdf?ts=1756903853" TargetMode="External"/><Relationship Id="rId624" Type="http://schemas.openxmlformats.org/officeDocument/2006/relationships/hyperlink" Target="https://www.hstoday.us/subject-matter-areas/counterterrorism/9-11-litigation-is-building-a-new-legal-framework-for-foreign-terrorist-accountability/" TargetMode="External"/><Relationship Id="rId831" Type="http://schemas.openxmlformats.org/officeDocument/2006/relationships/hyperlink" Target="https://www.law.com/newyorklawjournal/2018/03/29/ny-high-court-allows-nypd-to-evade-giving-foil-requested-information-about-muslim-surveillance/" TargetMode="External"/><Relationship Id="rId1047" Type="http://schemas.openxmlformats.org/officeDocument/2006/relationships/hyperlink" Target="https://cases.justia.com/west-virginia/intermediate-court-of-appeals/2025-24-ica-379.pdf?ts=1745964757" TargetMode="External"/><Relationship Id="rId1254" Type="http://schemas.openxmlformats.org/officeDocument/2006/relationships/hyperlink" Target="https://appellate.nccourts.org/opinions/?c=2&amp;pdf=38946" TargetMode="External"/><Relationship Id="rId1461" Type="http://schemas.openxmlformats.org/officeDocument/2006/relationships/hyperlink" Target="https://cases.justia.com/federal/appellate-courts/ca6/25-3700/25-3700-2026-06-15.pdf?ts=1781553648" TargetMode="External"/><Relationship Id="rId2305" Type="http://schemas.openxmlformats.org/officeDocument/2006/relationships/hyperlink" Target="https://www.courts.state.md.us/sites/default/files/unreported-opinions/0318s19.pdf" TargetMode="External"/><Relationship Id="rId2512" Type="http://schemas.openxmlformats.org/officeDocument/2006/relationships/hyperlink" Target="https://law.justia.com/cases/new-york/appellate-division-second-department/2025/2024-01225.html" TargetMode="External"/><Relationship Id="rId929" Type="http://schemas.openxmlformats.org/officeDocument/2006/relationships/hyperlink" Target="https://cases.justia.com/texas/fourteenth-court-of-appeals/2025-14-24-00811-cv.pdf?ts=1765287556" TargetMode="External"/><Relationship Id="rId1114" Type="http://schemas.openxmlformats.org/officeDocument/2006/relationships/hyperlink" Target="https://casetext.com/case/barnabee-v-the-nyc-fire-pension-fund" TargetMode="External"/><Relationship Id="rId1321" Type="http://schemas.openxmlformats.org/officeDocument/2006/relationships/hyperlink" Target="https://public.fastcase.com/jaEE2PXzRXmZ99jOLMt1Iuq7qc0gfVcydq4UksJKYaPvhnQoV2Tur9kW43Sd%2BCHWkw1LFd5eYMpsqupxEAJwLBiVNyDEOcfOyFpt494LsV4%3D?utm_medium=email&amp;_hsenc=p2ANqtz-9JDPujkqcb7TpRksmi2p_USQgVGerxf-hzLRNOYIOWKeqjT-lj5XLhttLuYWUDIXmtoE1M_nS89zbeKXXmbJi1pvu4VQ&amp;_hsmi=226712652&amp;utm_content=226712652&amp;utm_source=hs_email" TargetMode="External"/><Relationship Id="rId1559" Type="http://schemas.openxmlformats.org/officeDocument/2006/relationships/hyperlink" Target="https://casetext.com/case/smith-v-city-of-toledo" TargetMode="External"/><Relationship Id="rId1766" Type="http://schemas.openxmlformats.org/officeDocument/2006/relationships/hyperlink" Target="https://webapps.dol.gov/elaws/otcalculator.htm" TargetMode="External"/><Relationship Id="rId1973" Type="http://schemas.openxmlformats.org/officeDocument/2006/relationships/hyperlink" Target="https://www.legislature.mi.gov/Laws/MCL?objectName=MCL-691-1405" TargetMode="External"/><Relationship Id="rId2817" Type="http://schemas.openxmlformats.org/officeDocument/2006/relationships/hyperlink" Target="https://www.daytondailynews.com/news/west-carrollton-rehire-fire-chief-after-valentine-week-retirement/XSsYoJpSmxdkIIZtoGUpzJ/" TargetMode="External"/><Relationship Id="rId58" Type="http://schemas.openxmlformats.org/officeDocument/2006/relationships/hyperlink" Target="https://cases.justia.com/federal/district-courts/south-carolina/scdce/2:2024cv02173/290787/65/0.pdf?ts=1756990440" TargetMode="External"/><Relationship Id="rId1419" Type="http://schemas.openxmlformats.org/officeDocument/2006/relationships/hyperlink" Target="https://www.uticaod.com/news/20190925/ex-utica-firefighter-found-guilty-on-all-charges" TargetMode="External"/><Relationship Id="rId1626" Type="http://schemas.openxmlformats.org/officeDocument/2006/relationships/hyperlink" Target="https://www.govinfo.gov/content/pkg/USCOURTS-nyed-1_22-cv-05068/pdf/USCOURTS-nyed-1_22-cv-05068-3.pdf" TargetMode="External"/><Relationship Id="rId1833" Type="http://schemas.openxmlformats.org/officeDocument/2006/relationships/hyperlink" Target="https://www.law.cornell.edu/uscode/text/29/260" TargetMode="External"/><Relationship Id="rId1900" Type="http://schemas.openxmlformats.org/officeDocument/2006/relationships/hyperlink" Target="https://casetext.com/statute/montana-code/title-2-government-structure-and-administration/chapter-4-administrative-procedure-act/part-7-judicial-review-of-contested-cases/section-2-4-701-immediate-review-of-agency-action" TargetMode="External"/><Relationship Id="rId2095" Type="http://schemas.openxmlformats.org/officeDocument/2006/relationships/hyperlink" Target="https://www.postandcourier.com/news/charleston-county-ems-ketamine-lawsuit-settlement/article_682c754c-6d10-11ee-ac1b-ef7daf1ea208.html" TargetMode="External"/><Relationship Id="rId274" Type="http://schemas.openxmlformats.org/officeDocument/2006/relationships/hyperlink" Target="mailto:susan.willeke@ethics.ohio.gov" TargetMode="External"/><Relationship Id="rId481" Type="http://schemas.openxmlformats.org/officeDocument/2006/relationships/hyperlink" Target="https://casetext.com/statute/consolidated-laws-of-new-york/chapter-volunteer-firefighters-benefit/article-2-coverage-and-benefits/section-5-coverage" TargetMode="External"/><Relationship Id="rId2162" Type="http://schemas.openxmlformats.org/officeDocument/2006/relationships/hyperlink" Target="https://law.justia.com/cases/west-virginia/supreme-court/2023/21-0841.html" TargetMode="External"/><Relationship Id="rId134" Type="http://schemas.openxmlformats.org/officeDocument/2006/relationships/hyperlink" Target="https://www.opn.ca6.uscourts.gov/opinions.pdf/24a0323n-06.pdf" TargetMode="External"/><Relationship Id="rId579" Type="http://schemas.openxmlformats.org/officeDocument/2006/relationships/hyperlink" Target="https://www.courts.wa.gov/opinions/pdf/778315.pdf" TargetMode="External"/><Relationship Id="rId786" Type="http://schemas.openxmlformats.org/officeDocument/2006/relationships/hyperlink" Target="https://www.govinfo.gov/content/pkg/FR-2020-08-13/pdf/2020-17468.pdf" TargetMode="External"/><Relationship Id="rId993" Type="http://schemas.openxmlformats.org/officeDocument/2006/relationships/hyperlink" Target="https://cases.justia.com/texas/fourteenth-court-of-appeals/2019-14-17-00811-cv.pdf?ts=1572351542" TargetMode="External"/><Relationship Id="rId2467" Type="http://schemas.openxmlformats.org/officeDocument/2006/relationships/hyperlink" Target="https://law.justia.com/cases/new-york/appellate-division-third-department/2019/527240.html" TargetMode="External"/><Relationship Id="rId2674" Type="http://schemas.openxmlformats.org/officeDocument/2006/relationships/hyperlink" Target="https://www.fireengineering.com/2020/11/02/495783/nj-firefighter-fired-three-hours-into-first-day-can-stay-on-job-court-rules/?utm_medium=email&amp;utm_campaign=2020-11-03&amp;utm_source=fe_daily_newsletter" TargetMode="External"/><Relationship Id="rId341" Type="http://schemas.openxmlformats.org/officeDocument/2006/relationships/hyperlink" Target="https://cases.justia.com/federal/district-courts/colorado/codce/1:2017cv02034/173671/65/0.pdf?ts=1551517811" TargetMode="External"/><Relationship Id="rId439" Type="http://schemas.openxmlformats.org/officeDocument/2006/relationships/hyperlink" Target="https://casetext.com/case/slaughter-v-mayor-city-council-of-balt" TargetMode="External"/><Relationship Id="rId646" Type="http://schemas.openxmlformats.org/officeDocument/2006/relationships/hyperlink" Target="https://rhodeislandcurrent.com/wp-content/uploads/2025/09/IL-v.-FEMA-1.pdf" TargetMode="External"/><Relationship Id="rId1069" Type="http://schemas.openxmlformats.org/officeDocument/2006/relationships/hyperlink" Target="https://www.supremecourt.ohio.gov/rod/docs/pdf/10/2024/2024-Ohio-5010.pdf" TargetMode="External"/><Relationship Id="rId1276" Type="http://schemas.openxmlformats.org/officeDocument/2006/relationships/hyperlink" Target="https://cases.justia.com/ohio/eighth-district-court-of-appeals/2019-108059.pdf?ts=1558624525" TargetMode="External"/><Relationship Id="rId1483" Type="http://schemas.openxmlformats.org/officeDocument/2006/relationships/hyperlink" Target="https://public.fastcase.com/jaEE2PXzRXmZ99jOLMt1Ijy4owdgN11%2FWJRcUJbHoDpxB70E2t6SZ0qkojT0B8Qp?utm_medium=email&amp;_hsenc=p2ANqtz-9VaXpB4njMDCq0a3A4ziHdpnkkhT3_X-uHzr6ZxpzUXb9np6U8cLB4p1ctiAJNyopvqJJhsHP0CMdXEdLkgd2zGecgDw&amp;_hsmi=226712652&amp;utm_content=226712652&amp;utm_source=hs_email" TargetMode="External"/><Relationship Id="rId2022" Type="http://schemas.openxmlformats.org/officeDocument/2006/relationships/hyperlink" Target="https://law.justia.com/cases/new-york/other-courts/2025/2025-ny-slip-op-51480-u.html" TargetMode="External"/><Relationship Id="rId2327" Type="http://schemas.openxmlformats.org/officeDocument/2006/relationships/hyperlink" Target="https://public.fastcase.com/Wl%2B2t%2BeVuI35%2FN70vAMFZiXFpIhEfmm%2F8CTY%2Fzzj67xZNFbM2CzcHQjFO%2Fg%2BhpjG" TargetMode="External"/><Relationship Id="rId2881" Type="http://schemas.openxmlformats.org/officeDocument/2006/relationships/hyperlink" Target="https://www.legislature.ohio.gov/download?key=20348&amp;format=pdf" TargetMode="External"/><Relationship Id="rId201" Type="http://schemas.openxmlformats.org/officeDocument/2006/relationships/hyperlink" Target="https://law.justia.com/cases/new-jersey/appellate-division-published/2022/a-1868-21.html" TargetMode="External"/><Relationship Id="rId506" Type="http://schemas.openxmlformats.org/officeDocument/2006/relationships/hyperlink" Target="https://public.fastcase.com/ZZhmr5v9wN%2FXOe5IsQ%2FqDy4piE023A%2FvmSBZ1OCyQDEvBrcypTxVYbDuh3sY1MRUTGEZ3quKqv94bkTO%2F3v9wUJnk5dj4IB3vpOq4w%2BY%2Blk%3D?utm_medium=email&amp;_hsmi=226712652&amp;_hsenc=p2ANqtz-8dDlTMCBDdR7Y6gBwCrwIFOUd7uQb6M2Q9eK5s_ERy0q0NLXHPkcRz9CocUT1WV-MgV98KLfaLWIoQPZBtf1lJjMQcjw&amp;utm_content=226712652&amp;utm_source=hs_email" TargetMode="External"/><Relationship Id="rId853" Type="http://schemas.openxmlformats.org/officeDocument/2006/relationships/hyperlink" Target="https://www.mass.gov/doc/grenier-pierre-v-springfield-fire-department-related-appeals-court-decision-101124/download" TargetMode="External"/><Relationship Id="rId1136" Type="http://schemas.openxmlformats.org/officeDocument/2006/relationships/hyperlink" Target="https://www.journal-news.com/news/local/fairfield-able-rehire-retired-fire-chief/JMPkJQCqJ2eIDqbu2eI8RK/" TargetMode="External"/><Relationship Id="rId1690" Type="http://schemas.openxmlformats.org/officeDocument/2006/relationships/hyperlink" Target="https://public.fastcase.com/Wl%2B2t%2BeVuI35%2FN70vAMFZhmmbLojT%2FvpqyhULz0IXhVnEOLZ3Ga%2BMf6ctA4VMmca" TargetMode="External"/><Relationship Id="rId1788" Type="http://schemas.openxmlformats.org/officeDocument/2006/relationships/hyperlink" Target="https://public.fastcase.com/ZZhmr5v9wN%2FXOe5IsQ%2FqD6sjDusMj%2BpqHWJB3g3peOqB7r060z1DCjdHIpcn3tRLdaTmRHBEVoaEU7qCAearkbm3vxifIUs5cRZbbsNdVP8%3D?utm_medium=email&amp;_hsmi=226712652&amp;_hsenc=p2ANqtz-8gP-zHi-IOiqpnpXzunEXLHIYbdJXxowLQqk7bE6jqat0-j7JaN5Av0mj-PIwKwb5z_G2Wf06wKlilS-X5H1ndg63rYw&amp;utm_content=226712652&amp;utm_source=hs_email" TargetMode="External"/><Relationship Id="rId1995" Type="http://schemas.openxmlformats.org/officeDocument/2006/relationships/hyperlink" Target="https://www.orangeobserver.com/news/2024/jun/15/breaking-former-orange-county-fire-rescue-battalion-chief-announces-candidacy-for-county-commission-district-1/" TargetMode="External"/><Relationship Id="rId2534" Type="http://schemas.openxmlformats.org/officeDocument/2006/relationships/hyperlink" Target="https://www.youtube.com/watch?v=roZMeWZrCG4" TargetMode="External"/><Relationship Id="rId2741" Type="http://schemas.openxmlformats.org/officeDocument/2006/relationships/hyperlink" Target="http://www.pacourts.us/assets/opinions/Commonwealth/out/380md17_6-12-18.pdf" TargetMode="External"/><Relationship Id="rId2839" Type="http://schemas.openxmlformats.org/officeDocument/2006/relationships/hyperlink" Target="http://www.illinoiscourts.gov/Opinions/AppellateCourt/2019/1stDistrict/1172907.pdf" TargetMode="External"/><Relationship Id="rId713" Type="http://schemas.openxmlformats.org/officeDocument/2006/relationships/hyperlink" Target="https://storage.courtlistener.com/recap/gov.uscourts.nynd.134829/gov.uscourts.nynd.134829.27.0_1.pdf" TargetMode="External"/><Relationship Id="rId920" Type="http://schemas.openxmlformats.org/officeDocument/2006/relationships/hyperlink" Target="https://law.justia.com/cases/california/supreme-court/2019/s242250.html" TargetMode="External"/><Relationship Id="rId1343" Type="http://schemas.openxmlformats.org/officeDocument/2006/relationships/hyperlink" Target="https://www.supremecourt.gov/opinions/19pdf/17-1618_hfci.pdf" TargetMode="External"/><Relationship Id="rId1550" Type="http://schemas.openxmlformats.org/officeDocument/2006/relationships/hyperlink" Target="http://media.ca7.uscourts.gov/cgi-bin/rssExec.pl?Submit=Display&amp;Path=Y2022/D07-12/C:21-2784:J:PerCuriam:aut:T:npDp:N:2902357:S:0" TargetMode="External"/><Relationship Id="rId1648" Type="http://schemas.openxmlformats.org/officeDocument/2006/relationships/hyperlink" Target="https://cases.justia.com/federal/appellate-courts/ca11/22-10002/22-10002-2023-10-11.pdf?ts=1697045568" TargetMode="External"/><Relationship Id="rId2601" Type="http://schemas.openxmlformats.org/officeDocument/2006/relationships/hyperlink" Target="https://public.fastcase.com/ZZhmr5v9wN%2FXOe5IsQ%2FqD%2FbRI5yk0CTLrJ1wUlp23a2jtoF9iRGzOsDdRZIWd9GyXFY2izvgsnflzL0%2FFWSL%2FPpsQUa%2FiEphINoTWEFNJVE%3D?utm_medium=email&amp;_hsmi=226712652&amp;_hsenc=p2ANqtz-8tSxN7q872uN51HDKRs8bBT2KkYc5se6Y34IcB-qusszHk_1kcdMtqv3s-tJTiEGYg-zZ48WEGXoPe6gX9Sz_hnuHHnA&amp;utm_content=226712652&amp;utm_source=hs_email" TargetMode="External"/><Relationship Id="rId1203" Type="http://schemas.openxmlformats.org/officeDocument/2006/relationships/hyperlink" Target="https://public.fastcase.com/Wl%2B2t%2BeVuI35%2FN70vAMFZiwHTxExttVvxvtro3%2Fx3JKRataF5Ade5ddShAB2khcY" TargetMode="External"/><Relationship Id="rId1410" Type="http://schemas.openxmlformats.org/officeDocument/2006/relationships/hyperlink" Target="https://casetext.com/case/mendoza-v-rio-rico-med-1" TargetMode="External"/><Relationship Id="rId1508" Type="http://schemas.openxmlformats.org/officeDocument/2006/relationships/hyperlink" Target="https://www.njcourts.gov/system/files/court-opinions/2024/a3173-22.pdf" TargetMode="External"/><Relationship Id="rId1855" Type="http://schemas.openxmlformats.org/officeDocument/2006/relationships/hyperlink" Target="https://www.dol.gov/agencies/vets/programs/userra" TargetMode="External"/><Relationship Id="rId1715" Type="http://schemas.openxmlformats.org/officeDocument/2006/relationships/hyperlink" Target="https://www.dol.gov/sites/dolgov/files/WHD/legacy/files/fab_2020_8.pdf" TargetMode="External"/><Relationship Id="rId1922" Type="http://schemas.openxmlformats.org/officeDocument/2006/relationships/hyperlink" Target="https://patersontimes.com/2019/12/09/judge-orders-paterson-firefighter-terminated-for-failing-drug-test-reinstated/" TargetMode="External"/><Relationship Id="rId296" Type="http://schemas.openxmlformats.org/officeDocument/2006/relationships/hyperlink" Target="https://www.leagle.com/decision/inctco20171226041" TargetMode="External"/><Relationship Id="rId2184" Type="http://schemas.openxmlformats.org/officeDocument/2006/relationships/hyperlink" Target="https://law.justia.com/cases/wyoming/supreme-court/2022/s-21-0278.html" TargetMode="External"/><Relationship Id="rId2391" Type="http://schemas.openxmlformats.org/officeDocument/2006/relationships/hyperlink" Target="https://www.courts.michigan.gov/494b62/siteassets/case-documents/uploads/opinions/final/coa/20260317_c372830_50_372830.opn.pdf" TargetMode="External"/><Relationship Id="rId156" Type="http://schemas.openxmlformats.org/officeDocument/2006/relationships/hyperlink" Target="https://www.courts.state.co.us/userfiles/file/Court_Probation/Supreme_Court/Opinions/2023/23SA12.pdf?utm_source=substack&amp;utm_medium=email" TargetMode="External"/><Relationship Id="rId363" Type="http://schemas.openxmlformats.org/officeDocument/2006/relationships/hyperlink" Target="https://client.prod.iaff.org/" TargetMode="External"/><Relationship Id="rId570" Type="http://schemas.openxmlformats.org/officeDocument/2006/relationships/hyperlink" Target="https://caselaw.findlaw.com/us-dc-circuit/1363158.html" TargetMode="External"/><Relationship Id="rId2044" Type="http://schemas.openxmlformats.org/officeDocument/2006/relationships/hyperlink" Target="https://casetext.com/statute/general-laws-of-massachusetts/part-i-administration-of-the-government/title-xxi-labor-and-industries/chapter-149-labor-and-industries/section-149187-health-care-providers-protection-from-retaliatory-action-by-health-care-facilities" TargetMode="External"/><Relationship Id="rId2251" Type="http://schemas.openxmlformats.org/officeDocument/2006/relationships/hyperlink" Target="https://casetext.com/case/brown-v-ohio-valley-health-servs-educ-corp" TargetMode="External"/><Relationship Id="rId2489" Type="http://schemas.openxmlformats.org/officeDocument/2006/relationships/hyperlink" Target="https://cases.justia.com/missouri/court-of-appeals/2026-wd88004.pdf?ts=1772555406" TargetMode="External"/><Relationship Id="rId2696" Type="http://schemas.openxmlformats.org/officeDocument/2006/relationships/hyperlink" Target="https://public.fastcase.com/Wl%2B2t%2BeVuI35%2FN70vAMFZiqDSx6E0DPFzBbugd7jDu14ZTk4ABsQUj2F%2Fw3WIuoM" TargetMode="External"/><Relationship Id="rId223" Type="http://schemas.openxmlformats.org/officeDocument/2006/relationships/hyperlink" Target="https://law.justia.com/cases/texas/supreme-court/2022/20-0366-0.html" TargetMode="External"/><Relationship Id="rId430" Type="http://schemas.openxmlformats.org/officeDocument/2006/relationships/hyperlink" Target="https://public.fastcase.com/jaEE2PXzRXmZ99jOLMt1IgoAeG7S%2FykfBuI6YcrwSiPTGWPBCOsZ9U9hhbKPvFCclEcN8%2BwauJ9ACloifFNsJP5SY607BhdVsV5o4yY4x1s%3D?utm_medium=email&amp;_hsenc=p2ANqtz-_cDTCyDUjf-GWGQHLWs90oLVQoI7WEBtlECxGBA_PvhPlM3MPPBeVtmuAidKContkLHE5q5E9gdRGYeBGS5gCqwJlBfg&amp;_hsmi=226712652&amp;utm_content=226712652&amp;utm_source=hs_email" TargetMode="External"/><Relationship Id="rId668" Type="http://schemas.openxmlformats.org/officeDocument/2006/relationships/hyperlink" Target="https://casetext.com/statute/california-codes/california-penal-code/part-2-of-criminal-procedure/title-6-pleadings-and-proceedings-before-trial/chapter-28a-diversion-of-individuals-with-mental-disorders/section-100136-pretrial-diversion-for-persons-with-mental-disorders" TargetMode="External"/><Relationship Id="rId875" Type="http://schemas.openxmlformats.org/officeDocument/2006/relationships/hyperlink" Target="https://public.fastcase.com/J%2FJP6pdidelsXxEE4k%2BLMunJfhe1gfK2oI8CQbirV8GXkmoWfCiXuebhhRyeFmnHeojCURMbUHUM%2FZVW6TuThcVt2kPCx5ANtZZIjUvq4TI%3D?utm_medium=email&amp;_hsmi=226712652&amp;_hsenc=p2ANqtz-_4xSG7CmaPWZQuwsNXY4RTJcvgg4B9LMx8R4vNTvpvb0PqojZFKwGqm6HPbOxappi5A6b2YgFEujAqOwM5oeHjK0AsxA&amp;utm_content=226712652&amp;utm_source=hs_email" TargetMode="External"/><Relationship Id="rId1060" Type="http://schemas.openxmlformats.org/officeDocument/2006/relationships/hyperlink" Target="https://www.nj.gov/treasury/pensions/documents/factsheets/fact15.pdf" TargetMode="External"/><Relationship Id="rId1298" Type="http://schemas.openxmlformats.org/officeDocument/2006/relationships/hyperlink" Target="https://law.justia.com/codes/new-jersey/2013/title-40a/section-40a-14-178/" TargetMode="External"/><Relationship Id="rId2111" Type="http://schemas.openxmlformats.org/officeDocument/2006/relationships/hyperlink" Target="https://cases.justia.com/federal/district-courts/minnesota/mndce/0:2022cv00839/199889/89/0.pdf?ts=1714059506" TargetMode="External"/><Relationship Id="rId2349" Type="http://schemas.openxmlformats.org/officeDocument/2006/relationships/hyperlink" Target="http://business.cch.com/ald/saginawVstat03262019.pdf" TargetMode="External"/><Relationship Id="rId2556" Type="http://schemas.openxmlformats.org/officeDocument/2006/relationships/hyperlink" Target="https://www.courts.michigan.gov/siteassets/case-documents/uploads/OPINIONS/FINAL/COA/20240905_C364971_42_364971.OPN.PDF" TargetMode="External"/><Relationship Id="rId2763" Type="http://schemas.openxmlformats.org/officeDocument/2006/relationships/hyperlink" Target="https://public.fastcase.com/jaEE2PXzRXmZ99jOLMt1IhwREi1fEuXa5IBCMUROo3DApdLLsb4vyoe8B%2BNXnfOO?utm_medium=email&amp;_hsenc=p2ANqtz-8ABWS4rvuUksFiiSiWwUxDOv17WyJKZy-5as8oPUYz_An6byDKPPy12elR6z5qE4TfB84ipL9se-rQu7mIzXpACN0LEw&amp;_hsmi=226712652&amp;utm_content=226712652&amp;utm_source=hs_email" TargetMode="External"/><Relationship Id="rId528" Type="http://schemas.openxmlformats.org/officeDocument/2006/relationships/hyperlink" Target="https://www.newyorker.com/news/our-local-correspondents/what-the-supreme-courts-gun-ruling-means-for-new-york" TargetMode="External"/><Relationship Id="rId735" Type="http://schemas.openxmlformats.org/officeDocument/2006/relationships/hyperlink" Target="https://casetext.com/case/united-states-v-musaibli-1" TargetMode="External"/><Relationship Id="rId942" Type="http://schemas.openxmlformats.org/officeDocument/2006/relationships/hyperlink" Target="https://abc7.com/orange-crash-fire-truck-motorcycle-and/5333918/" TargetMode="External"/><Relationship Id="rId1158" Type="http://schemas.openxmlformats.org/officeDocument/2006/relationships/hyperlink" Target="https://public.fastcase.com/9SKwsfNqTc6OieYDhNMyM7K54qMUE6VagvA5ZeUquJVblXNtT5CMEmLb%2FOI9awGykkKYC2JU7RwfzsQEOAIcP6T5leBqhSKOtHvIUfiLV%2Fs%3D" TargetMode="External"/><Relationship Id="rId1365" Type="http://schemas.openxmlformats.org/officeDocument/2006/relationships/hyperlink" Target="https://corporate.findlaw.com/human-resources/title-vii-damage-caps-calculating-your-maximum-exposure.html" TargetMode="External"/><Relationship Id="rId1572" Type="http://schemas.openxmlformats.org/officeDocument/2006/relationships/hyperlink" Target="https://casetext.com/case/saade-v-city-of-detroit-1" TargetMode="External"/><Relationship Id="rId2209" Type="http://schemas.openxmlformats.org/officeDocument/2006/relationships/hyperlink" Target="https://casetext.com/case/brown-v-medscope-am-corp" TargetMode="External"/><Relationship Id="rId2416" Type="http://schemas.openxmlformats.org/officeDocument/2006/relationships/hyperlink" Target="https://app.leg.wa.gov/RCW/default.aspx?cite=18.71.200" TargetMode="External"/><Relationship Id="rId2623" Type="http://schemas.openxmlformats.org/officeDocument/2006/relationships/hyperlink" Target="https://law.justia.com/cases/federal/appellate-courts/ca10/20-5113/20-5113-2022-08-19.html" TargetMode="External"/><Relationship Id="rId1018" Type="http://schemas.openxmlformats.org/officeDocument/2006/relationships/hyperlink" Target="https://ecf.ctd.uscourts.gov/cgi-bin/show_public_doc?2025cv0824-74" TargetMode="External"/><Relationship Id="rId1225" Type="http://schemas.openxmlformats.org/officeDocument/2006/relationships/hyperlink" Target="https://delcode.delaware.gov/title19/c017/index.shtml" TargetMode="External"/><Relationship Id="rId1432" Type="http://schemas.openxmlformats.org/officeDocument/2006/relationships/hyperlink" Target="https://public.fastcase.com/Wl%2B2t%2BeVuI35%2FN70vAMFZsLQ8Zjgb2jk542DjlxpVQs5PCG3jEwwTTQV0VgsrBHY" TargetMode="External"/><Relationship Id="rId1877" Type="http://schemas.openxmlformats.org/officeDocument/2006/relationships/hyperlink" Target="https://ecf.flmd.uscourts.gov/cgi-bin/show_public_doc?2025-00120-37-8-cv" TargetMode="External"/><Relationship Id="rId2830" Type="http://schemas.openxmlformats.org/officeDocument/2006/relationships/hyperlink" Target="file:///C:/Users/lawre/AppData/Local/Temp/N00008009PUB.pdf" TargetMode="External"/><Relationship Id="rId71" Type="http://schemas.openxmlformats.org/officeDocument/2006/relationships/hyperlink" Target="https://www.usfa.fema.gov/prevention/home-fires/prepare-for-fire/smoke-alarms/" TargetMode="External"/><Relationship Id="rId802" Type="http://schemas.openxmlformats.org/officeDocument/2006/relationships/hyperlink" Target="https://oig.justice.gov/special/s0601/final.pdf" TargetMode="External"/><Relationship Id="rId1737" Type="http://schemas.openxmlformats.org/officeDocument/2006/relationships/hyperlink" Target="https://www.iaff.org/wp-content/uploads/FLSA-Manual-2022-Edition_FINAL.22Aug01.pdf" TargetMode="External"/><Relationship Id="rId1944" Type="http://schemas.openxmlformats.org/officeDocument/2006/relationships/hyperlink" Target="https://www.firerescue1.com/dwi/articles/fire-dept-changes-rules-after-firefighter-dwi-arrests-rmaW6QcL6R9YmTqf/" TargetMode="External"/><Relationship Id="rId29" Type="http://schemas.openxmlformats.org/officeDocument/2006/relationships/hyperlink" Target="https://www.courtswv.gov/sites/default/pubfilesmnt/2026-04/24-79%20Memorandum%20Decision.pdf" TargetMode="External"/><Relationship Id="rId178" Type="http://schemas.openxmlformats.org/officeDocument/2006/relationships/hyperlink" Target="https://casetext.com/case/two-bridges-llc-v-city-of-youngstown" TargetMode="External"/><Relationship Id="rId1804" Type="http://schemas.openxmlformats.org/officeDocument/2006/relationships/hyperlink" Target="https://www.law.cornell.edu/topn/black-connery_fair_labor_standards_act" TargetMode="External"/><Relationship Id="rId385" Type="http://schemas.openxmlformats.org/officeDocument/2006/relationships/hyperlink" Target="https://ilcourtsaudio.blob.core.windows.net/antilles-resources/resources/865bbd6b-111a-42c0-93b7-0362e44b14c7/Carter%20v.%20Fox%20Lake%20Fire%20Protection%20District%202026%20IL%20App%20(2d)%20250374.pdf" TargetMode="External"/><Relationship Id="rId592" Type="http://schemas.openxmlformats.org/officeDocument/2006/relationships/hyperlink" Target="https://www.kansascity.com/news/politics-government/article231974862.html" TargetMode="External"/><Relationship Id="rId2066" Type="http://schemas.openxmlformats.org/officeDocument/2006/relationships/hyperlink" Target="https://stlouiscriminaldefense.com/" TargetMode="External"/><Relationship Id="rId2273" Type="http://schemas.openxmlformats.org/officeDocument/2006/relationships/hyperlink" Target="https://www.supremecourt.ohio.gov/rod/docs/pdf/0/2009/2009-Ohio-1248.pdf" TargetMode="External"/><Relationship Id="rId2480" Type="http://schemas.openxmlformats.org/officeDocument/2006/relationships/hyperlink" Target="https://cases.justia.com/federal/district-courts/virginia/vawdce/6:2024cv00051/132979/41/0.pdf?ts=1779390167" TargetMode="External"/><Relationship Id="rId245" Type="http://schemas.openxmlformats.org/officeDocument/2006/relationships/hyperlink" Target="https://www.ca2.uscourts.gov/decisions/isysquery/024ad429-f3ca-4195-b401-1dbc5e6424a8/1/doc/20-4211_opn.pdf" TargetMode="External"/><Relationship Id="rId452" Type="http://schemas.openxmlformats.org/officeDocument/2006/relationships/hyperlink" Target="https://cases.justia.com/kentucky/supreme-court/2024-2023-sc-0062-dg.pdf?ts=1729778750" TargetMode="External"/><Relationship Id="rId897" Type="http://schemas.openxmlformats.org/officeDocument/2006/relationships/hyperlink" Target="https://www.supremecourt.gov/opinions/21pdf/20-1668_19m2.pdf" TargetMode="External"/><Relationship Id="rId1082" Type="http://schemas.openxmlformats.org/officeDocument/2006/relationships/hyperlink" Target="https://www.ncbi.nlm.nih.gov/pmc/articles/PMC10455106/" TargetMode="External"/><Relationship Id="rId2133" Type="http://schemas.openxmlformats.org/officeDocument/2006/relationships/hyperlink" Target="https://casetext.com/case/sutton-v-rockingham-cnty-1" TargetMode="External"/><Relationship Id="rId2340" Type="http://schemas.openxmlformats.org/officeDocument/2006/relationships/hyperlink" Target="https://www.courts.ca.gov/opinions/nonpub/F076225.PDF" TargetMode="External"/><Relationship Id="rId2578" Type="http://schemas.openxmlformats.org/officeDocument/2006/relationships/hyperlink" Target="https://casetext.com/statute/indiana-code/title-36-local-government/article-8-public-safety/chapter-3-safety-boards-disciplinary-procedures/section-36-8-3-4-police-officers-and-firefighters-discipline-demotion-and-dismissal-hearings-appeals-administrative-leave" TargetMode="External"/><Relationship Id="rId2785" Type="http://schemas.openxmlformats.org/officeDocument/2006/relationships/hyperlink" Target="https://jud.ct.gov/Superiorcourt/MOD/DocumentPreview.aspx?RandomKey=6CFC6C5D-9DDA-4D98-859D-8C6104A0B311" TargetMode="External"/><Relationship Id="rId105" Type="http://schemas.openxmlformats.org/officeDocument/2006/relationships/hyperlink" Target="https://cases.justia.com/pennsylvania/superior-court/2024-1034-mda-2023.pdf?ts=1729535164" TargetMode="External"/><Relationship Id="rId312" Type="http://schemas.openxmlformats.org/officeDocument/2006/relationships/hyperlink" Target="https://www.iowacourts.gov/courtcases/9747/embed/SupremeCourtOpinion" TargetMode="External"/><Relationship Id="rId757" Type="http://schemas.openxmlformats.org/officeDocument/2006/relationships/hyperlink" Target="https://www.law.cornell.edu/definitions/uscode.php?width=840&amp;height=800&amp;iframe=true&amp;def_id=8-USC-2032517217-1201680101&amp;term_occur=999&amp;term_src=" TargetMode="External"/><Relationship Id="rId964" Type="http://schemas.openxmlformats.org/officeDocument/2006/relationships/hyperlink" Target="https://codes.ohio.gov/ohio-administrative-code/rule-3335-21-12" TargetMode="External"/><Relationship Id="rId1387" Type="http://schemas.openxmlformats.org/officeDocument/2006/relationships/hyperlink" Target="https://public.fastcase.com/waZtJvSA54UAurM2rmIZzzCYJhAha3GGo3AEN0d5yD5AXzBU0GIzy8sJKIx0m%2BEEHwIyJuWgbxH4Xd2BL4DW9aTliyBT6bOFBbV5rp7%2BS3s%3D" TargetMode="External"/><Relationship Id="rId1594" Type="http://schemas.openxmlformats.org/officeDocument/2006/relationships/hyperlink" Target="https://cases.justia.com/federal/district-courts/alabama/alsdce/2:2018cv00293/62967/26/0.pdf?ts=1571995051" TargetMode="External"/><Relationship Id="rId2200" Type="http://schemas.openxmlformats.org/officeDocument/2006/relationships/hyperlink" Target="https://www.supremecourt.ohio.gov/rod/docs/pdf/8/2022/2022-Ohio-1489.pdf" TargetMode="External"/><Relationship Id="rId2438" Type="http://schemas.openxmlformats.org/officeDocument/2006/relationships/hyperlink" Target="https://law.justia.com/cases/florida/first-district-court-of-appeal/2022/19-4601.html" TargetMode="External"/><Relationship Id="rId2645" Type="http://schemas.openxmlformats.org/officeDocument/2006/relationships/hyperlink" Target="https://casetext.com/case/fitzgerald-v-botetourt-cnty" TargetMode="External"/><Relationship Id="rId2852" Type="http://schemas.openxmlformats.org/officeDocument/2006/relationships/hyperlink" Target="https://www.flhouse.gov/Sections/Documents/loaddoc.aspx?FileName=_s0184er.DOCX&amp;DocumentType=Bill&amp;BillNumber=184&amp;Session=2024" TargetMode="External"/><Relationship Id="rId93" Type="http://schemas.openxmlformats.org/officeDocument/2006/relationships/hyperlink" Target="https://www.courts.wa.gov/opinions/pdf/855832.pdf" TargetMode="External"/><Relationship Id="rId617" Type="http://schemas.openxmlformats.org/officeDocument/2006/relationships/hyperlink" Target="https://www.supremecourt.gov/opinions/25pdf/25-1083_f204.pdf" TargetMode="External"/><Relationship Id="rId824" Type="http://schemas.openxmlformats.org/officeDocument/2006/relationships/hyperlink" Target="https://www.supremecourt.gov/opinions/17pdf/16-402_h315.pdf" TargetMode="External"/><Relationship Id="rId1247" Type="http://schemas.openxmlformats.org/officeDocument/2006/relationships/hyperlink" Target="https://public.fastcase.com/Wl%2B2t%2BeVuI35%2FN70vAMFZmh5C6Al26quhK4NpqFpqP3dNIvTBMbQP47YmW18oezY" TargetMode="External"/><Relationship Id="rId1454" Type="http://schemas.openxmlformats.org/officeDocument/2006/relationships/hyperlink" Target="https://www.eeoc.gov/eeoc/newsroom/release/6-13-18.cfm" TargetMode="External"/><Relationship Id="rId1661" Type="http://schemas.openxmlformats.org/officeDocument/2006/relationships/hyperlink" Target="https://www.justice.gov/crt/case-document/file/1583736/download" TargetMode="External"/><Relationship Id="rId1899" Type="http://schemas.openxmlformats.org/officeDocument/2006/relationships/hyperlink" Target="https://casetext.com/statute/montana-code/title-2-government-structure-and-administration/chapter-4-administrative-procedure-act/part-6-contested-cases/section-2-4-621-when-absent-members-render-decision-proposal-for-decision-and-opportunity-to-submit-findings-and-conclusions-modification-by-agency" TargetMode="External"/><Relationship Id="rId2505" Type="http://schemas.openxmlformats.org/officeDocument/2006/relationships/hyperlink" Target="https://www.mass.gov/doc/bailey-casley-v-boston-fire-department-2625/download" TargetMode="External"/><Relationship Id="rId2712" Type="http://schemas.openxmlformats.org/officeDocument/2006/relationships/hyperlink" Target="https://cases.justia.com/federal/district-courts/tennessee/tnmdce/3:2018cv00148/73469/36/0.pdf?ts=1576934308" TargetMode="External"/><Relationship Id="rId1107" Type="http://schemas.openxmlformats.org/officeDocument/2006/relationships/hyperlink" Target="https://www.insurancejournal.com/news/east/2023/06/26/727250.htm" TargetMode="External"/><Relationship Id="rId1314" Type="http://schemas.openxmlformats.org/officeDocument/2006/relationships/hyperlink" Target="https://public.fastcase.com/Jhe1Qn%2BmJndQYQU6z%2FeNm28hiR351dlql3mVrX%2BsW%2FImhVx6LSAbrfZ7R6LP8TbVpSsTp59uwiaa1M%2BxYMu%2FQBeMVJpWoOyQUcFN4LagzoA%3D?utm_medium=email&amp;_hsenc=p2ANqtz-_AWahbnWxhCpMGQYhqfNcYdYivaiXkQGNq4hyWsJQjqDO6KUeS-ltttGyoOKYk2fjuNkb2NzSqvCRrJD1Iyf-ei7DoTw&amp;_hsmi=226712652&amp;utm_content=226712652&amp;utm_source=hs_email" TargetMode="External"/><Relationship Id="rId1521" Type="http://schemas.openxmlformats.org/officeDocument/2006/relationships/hyperlink" Target="https://fedsoc.org/commentary/fedsoc-blog/lawsuits-challenge-law-firm-diversity-programs-as-racially-discriminatory" TargetMode="External"/><Relationship Id="rId1759" Type="http://schemas.openxmlformats.org/officeDocument/2006/relationships/hyperlink" Target="https://www.militaryonesource.mil/national-guard/employment-support/uniformed-services-employment-and-reemployment-rights-act/" TargetMode="External"/><Relationship Id="rId1966" Type="http://schemas.openxmlformats.org/officeDocument/2006/relationships/hyperlink" Target="https://www.legalnewsline.com/cook-county-record/chicago-firefighter-says-city-forced-him-to-refuse-all-other-meds-before-granting-covid-vax/article_68ad87a4-9b1a-50d4-8779-f38508fd4aad.html" TargetMode="External"/><Relationship Id="rId1619" Type="http://schemas.openxmlformats.org/officeDocument/2006/relationships/hyperlink" Target="https://cases.justia.com/federal/district-courts/south-carolina/scdce/0:2024cv00826/288831/46/0.pdf" TargetMode="External"/><Relationship Id="rId1826" Type="http://schemas.openxmlformats.org/officeDocument/2006/relationships/hyperlink" Target="https://www.justice.gov/crt/case-document/file/1227366/download" TargetMode="External"/><Relationship Id="rId20" Type="http://schemas.openxmlformats.org/officeDocument/2006/relationships/hyperlink" Target="https://scholar.uc.edu/show/ks65hd707" TargetMode="External"/><Relationship Id="rId2088" Type="http://schemas.openxmlformats.org/officeDocument/2006/relationships/hyperlink" Target="https://www.courts.maine.gov/courts/sjc/lawcourt/2024/24me030.pdf" TargetMode="External"/><Relationship Id="rId2295" Type="http://schemas.openxmlformats.org/officeDocument/2006/relationships/hyperlink" Target="https://public.fastcase.com/Wl%2B2t%2BeVuI35%2FN70vAMFZv50h%2Fykh7FShFoRYs3ZTa26w8rY%2BXvT1%2B6dqL4OkZlK" TargetMode="External"/><Relationship Id="rId267" Type="http://schemas.openxmlformats.org/officeDocument/2006/relationships/hyperlink" Target="https://www.wicourts.gov/ca/opinion/DisplayDocument.pdf?content=pdf&amp;seqNo=342440" TargetMode="External"/><Relationship Id="rId474" Type="http://schemas.openxmlformats.org/officeDocument/2006/relationships/hyperlink" Target="https://public.fastcase.com/H1P9uiW3J20SFp%2BGCG%2BxLYPdFYBU6rXmSQ%2By5I06IYNauAow%2BFD183wwpB9seHw0huG9jZnFzDNjvlfgYqLRMXl7VVMzVdIElYOfNiWEhG4%3D?utm_medium=email&amp;_hsmi=226712652&amp;_hsenc=p2ANqtz-9dIeusfdAjuYcHWZc-tZCt-VYwNMyt2XrZBQ64qnpV1yAnhv8veUFYKRs_yaW_VBF9gsQcut_JaRzapEXH-rHIPbxEPQ&amp;utm_content=226712652&amp;utm_source=hs_email" TargetMode="External"/><Relationship Id="rId2155" Type="http://schemas.openxmlformats.org/officeDocument/2006/relationships/hyperlink" Target="https://public.fastcase.com/J%2FJP6pdidelsXxEE4k%2BLMmkKAOu2og4RFw84MS%2B8ggk3sjpW8vutPxLex2RgGn%2Bt2Jik%2FeX8PJts3C%2F6Q%2Fo%2BG%2BiayCxJf82VEENSX79a%2FfU%3D?utm_medium=email&amp;_hsmi=226712652&amp;_hsenc=p2ANqtz-9IQANQQw8c4G50juoB1YOeI9PRU9K182hoTYcfz0uXjPfI5SdzNRjzRb60ER6nqwMSPaZSSyOzlxBsxtCZ7kFqJFFA4g&amp;utm_content=226712652&amp;utm_source=hs_email" TargetMode="External"/><Relationship Id="rId127" Type="http://schemas.openxmlformats.org/officeDocument/2006/relationships/hyperlink" Target="https://www.law.cornell.edu/wex/evidence" TargetMode="External"/><Relationship Id="rId681" Type="http://schemas.openxmlformats.org/officeDocument/2006/relationships/hyperlink" Target="https://caselaw.findlaw.com/court/us-1st-circuit/116020600.html" TargetMode="External"/><Relationship Id="rId779" Type="http://schemas.openxmlformats.org/officeDocument/2006/relationships/hyperlink" Target="https://casetext.com/case/stahl-v-dept-of-justice" TargetMode="External"/><Relationship Id="rId986" Type="http://schemas.openxmlformats.org/officeDocument/2006/relationships/hyperlink" Target="https://www.tremcopoliceproducts.com/" TargetMode="External"/><Relationship Id="rId2362" Type="http://schemas.openxmlformats.org/officeDocument/2006/relationships/hyperlink" Target="https://www.njcourts.gov/attorneys/assets/opinions/appellate/unpublished/a4258-16.pdf?cacheID=HAxjRbJ" TargetMode="External"/><Relationship Id="rId2667" Type="http://schemas.openxmlformats.org/officeDocument/2006/relationships/hyperlink" Target="https://www.wfmj.com/story/41405965/chief-working-under-last-chance-agreement-angers-youngstown-firefighters" TargetMode="External"/><Relationship Id="rId334" Type="http://schemas.openxmlformats.org/officeDocument/2006/relationships/hyperlink" Target="https://www.iafc.org/topics-and-tools/resources/resource/iafc-position-drug-and-alcohol-free-awareness" TargetMode="External"/><Relationship Id="rId541" Type="http://schemas.openxmlformats.org/officeDocument/2006/relationships/hyperlink" Target="https://www.953mnc.com/2021/07/19/iu-wins-court-case-can-proceed-with-covid-19-vaccine-requirement/" TargetMode="External"/><Relationship Id="rId639" Type="http://schemas.openxmlformats.org/officeDocument/2006/relationships/hyperlink" Target="https://www.courthousenews.com/wp-content/uploads/2025/11/santa-clara-v-noem-preliminary-injunction.pdf" TargetMode="External"/><Relationship Id="rId1171" Type="http://schemas.openxmlformats.org/officeDocument/2006/relationships/hyperlink" Target="https://www.alexdell.com/news/79/NEW-YORK-COURTS-CLARIFY-DEFINITION-OF-ACCIDENT-FOR-DISABILITY-RETIREMENT-PURPOSES/" TargetMode="External"/><Relationship Id="rId1269" Type="http://schemas.openxmlformats.org/officeDocument/2006/relationships/hyperlink" Target="https://www.courts.ri.gov/Courts/SupremeCourt/SupremeOpinions/17-295.pdf" TargetMode="External"/><Relationship Id="rId1476" Type="http://schemas.openxmlformats.org/officeDocument/2006/relationships/hyperlink" Target="https://www.casemine.com/judgement/us/6736ce6c5891a561b0d805aa" TargetMode="External"/><Relationship Id="rId2015" Type="http://schemas.openxmlformats.org/officeDocument/2006/relationships/hyperlink" Target="https://jpr.azcourts.gov/Portals/0/OpinionFiles/Div1/2025/1%20CA-CR%2024-0549%20Johnson.pdf" TargetMode="External"/><Relationship Id="rId2222" Type="http://schemas.openxmlformats.org/officeDocument/2006/relationships/hyperlink" Target="https://public.fastcase.com/9SKwsfNqTc6OieYDhNMyMwDUrDTC81ScbwpTIsrYww9AFfazNo%2F2HwY6ziqtDhg0Y4a0WNWhiQuswT892BHbSQq1RuZX52VcSFrolfmFpsM%3D" TargetMode="External"/><Relationship Id="rId2874" Type="http://schemas.openxmlformats.org/officeDocument/2006/relationships/hyperlink" Target="https://casetext.com/statute/united-states-code/title-5-government-organization-and-employees/part-i-the-agencies-generally/chapter-7-judicial-review/section-706-scope-of-review" TargetMode="External"/><Relationship Id="rId401" Type="http://schemas.openxmlformats.org/officeDocument/2006/relationships/hyperlink" Target="https://www.hbsslaw.com/press/pfas-firefighter-turnout-gear/montana-court-denies-motions-to-dismiss-class-action-lawsuit-fighting-pfas-in-firefighter-turnout-gear" TargetMode="External"/><Relationship Id="rId846" Type="http://schemas.openxmlformats.org/officeDocument/2006/relationships/hyperlink" Target="https://www.justice.gov/usao-wdtx/pr/san-antonio-woman-sentenced-prison-endangering-sapd-helicopter-laser" TargetMode="External"/><Relationship Id="rId1031" Type="http://schemas.openxmlformats.org/officeDocument/2006/relationships/hyperlink" Target="https://www.govinfo.gov/content/pkg/USCOURTS-ncwd-5_24-cv-00192/pdf/USCOURTS-ncwd-5_24-cv-00192-3.pdf" TargetMode="External"/><Relationship Id="rId1129" Type="http://schemas.openxmlformats.org/officeDocument/2006/relationships/hyperlink" Target="https://public.fastcase.com/J%2FJP6pdidelsXxEE4k%2BLMgZsxRPxIagHaOxK3V7dyuXFeFyB6fz1Dln4tTh4Jm%2FUrhr8rAmwFuGj0jKVlSZT92lB7laeHNqW0rDlXNrGxCk%3D?utm_medium=email&amp;_hsmi=226712652&amp;_hsenc=p2ANqtz-88sbIkrx-fKIJNKIHom0LKoVEBAjtP4sRnfpcv7MlL8ga8F7YTwpRtQY7XbucL3D6C1qELcyLUMrsKcjyI3sLUlue5QA&amp;utm_content=226712652&amp;utm_source=hs_email" TargetMode="External"/><Relationship Id="rId1683" Type="http://schemas.openxmlformats.org/officeDocument/2006/relationships/hyperlink" Target="https://www.iafc.org/docs/default-source/1vcos/vws_rrkit_nfpa-1582.pdf?sfvrsn=ca9b9f0d_2" TargetMode="External"/><Relationship Id="rId1890" Type="http://schemas.openxmlformats.org/officeDocument/2006/relationships/hyperlink" Target="https://public.fastcase.com/jaEE2PXzRXmZ99jOLMt1IkeXMb88bktridCVT2cNJQMzpCQ6GgqcAq9z2DsPb3SV?utm_medium=email&amp;_hsenc=p2ANqtz-85xVo1nyN3HdtXmyEBbnKz3steTpDAfhmpvG3xr6TrZ9DYf7Sn2b546JhEk92EHRSHghCxIzSuD7PvUX919GE5tGfx5g&amp;_hsmi=226712652&amp;utm_content=226712652&amp;utm_source=hs_email" TargetMode="External"/><Relationship Id="rId1988" Type="http://schemas.openxmlformats.org/officeDocument/2006/relationships/hyperlink" Target="https://www.revisor.mn.gov/statutes/cite/595.02" TargetMode="External"/><Relationship Id="rId2527" Type="http://schemas.openxmlformats.org/officeDocument/2006/relationships/hyperlink" Target="https://supreme.justia.com/cases/federal/us/376/254/" TargetMode="External"/><Relationship Id="rId2734" Type="http://schemas.openxmlformats.org/officeDocument/2006/relationships/hyperlink" Target="http://www.ncsl.org/research/ethics/50-state-table-nepotism-restrictions.aspx" TargetMode="External"/><Relationship Id="rId706" Type="http://schemas.openxmlformats.org/officeDocument/2006/relationships/hyperlink" Target="https://www.supremecourt.gov/opinions/22pdf/21-1496_d18f.pdf" TargetMode="External"/><Relationship Id="rId913" Type="http://schemas.openxmlformats.org/officeDocument/2006/relationships/hyperlink" Target="https://leginfo.legislature.ca.gov/faces/billTextClient.xhtml?bill_id=201920200AB2655" TargetMode="External"/><Relationship Id="rId1336" Type="http://schemas.openxmlformats.org/officeDocument/2006/relationships/hyperlink" Target="https://cases.justia.com/federal/district-courts/new-york/nyedce/1:2023cv09066/507538/25/0.pdf?ts=1739862975%20https://media.cadc.uscourts.gov/orders/docs/2025/02/25-5028LDSD.pdf" TargetMode="External"/><Relationship Id="rId1543" Type="http://schemas.openxmlformats.org/officeDocument/2006/relationships/hyperlink" Target="https://public.fastcase.com/J%2FJP6pdidelsXxEE4k%2BLMvlYUX0ZAhRbseqqFnL4gi3bRwNf0Z9RCieiQ7wPaXcpaaE7aExMc6ouwIyWJC8qizoR4DyeCOueQnsNxsVE1Ec%3D" TargetMode="External"/><Relationship Id="rId1750" Type="http://schemas.openxmlformats.org/officeDocument/2006/relationships/hyperlink" Target="https://www.supremecourt.gov/opinions/24pdf/23-217_9o6b.pdf" TargetMode="External"/><Relationship Id="rId2801" Type="http://schemas.openxmlformats.org/officeDocument/2006/relationships/hyperlink" Target="https://www.nlrb.gov/news-outreach/news-story/board-rules-that-employers-may-not-offer-severance-agreements-requiring" TargetMode="External"/><Relationship Id="rId42" Type="http://schemas.openxmlformats.org/officeDocument/2006/relationships/hyperlink" Target="https://codes.ohio.gov/ohio-revised-code/section-9.481" TargetMode="External"/><Relationship Id="rId1403" Type="http://schemas.openxmlformats.org/officeDocument/2006/relationships/hyperlink" Target="https://scholar.google.com/scholar_case?case=18355840808386135290&amp;hl=en&amp;as_sdt=6&amp;as_vis=1&amp;oi=scholarr" TargetMode="External"/><Relationship Id="rId1610" Type="http://schemas.openxmlformats.org/officeDocument/2006/relationships/hyperlink" Target="https://cases.justia.com/texas/twelfth-court-of-appeals/2026-12-25-00273-cv.pdf?ts=1775749638" TargetMode="External"/><Relationship Id="rId1848" Type="http://schemas.openxmlformats.org/officeDocument/2006/relationships/hyperlink" Target="https://www.law.cornell.edu/definitions/uscode.php?width=840&amp;height=800&amp;iframe=true&amp;def_id=29-USC-1193469614-1597622566&amp;term_occur=999&amp;term_src=" TargetMode="External"/><Relationship Id="rId191" Type="http://schemas.openxmlformats.org/officeDocument/2006/relationships/hyperlink" Target="https://codes.ohio.gov/ohio-revised-code/section-2925.11" TargetMode="External"/><Relationship Id="rId1708" Type="http://schemas.openxmlformats.org/officeDocument/2006/relationships/hyperlink" Target="https://caselaw.findlaw.com/court/us-dis-crt-d-con/115860244.html" TargetMode="External"/><Relationship Id="rId1915" Type="http://schemas.openxmlformats.org/officeDocument/2006/relationships/hyperlink" Target="https://www.nytimes.com/2019/09/19/health/purdue-sackler-opioid-settlement.html" TargetMode="External"/><Relationship Id="rId289" Type="http://schemas.openxmlformats.org/officeDocument/2006/relationships/hyperlink" Target="https://law.justia.com/cases/california/court-of-appeal/2019/h045524.html" TargetMode="External"/><Relationship Id="rId496" Type="http://schemas.openxmlformats.org/officeDocument/2006/relationships/hyperlink" Target="https://casetext.com/case/gibb-v-stetson" TargetMode="External"/><Relationship Id="rId2177" Type="http://schemas.openxmlformats.org/officeDocument/2006/relationships/hyperlink" Target="https://public.fastcase.com/J%2FJP6pdidelsXxEE4k%2BLMqK%2F7dEyjXc%2F7MSStJKYdkuUI2%2BsluBCAbCgNdX488UO%2BveqO8oLQ0RNBWqaiEFfWGkDgcs9M5oh9hj%2FtPj21RY%3D?utm_medium=email&amp;_hsmi=226712652&amp;_hsenc=p2ANqtz-9TZeiC7Qp2HA_ZU4GxpYYZhIBONOkNnO3yTlBCsoF00PWMECQ5punx4hjGs90LCim5ScH4TNtnDpd9JYQeMwpFQeZwiA&amp;utm_content=226712652&amp;utm_source=hs_email" TargetMode="External"/><Relationship Id="rId2384" Type="http://schemas.openxmlformats.org/officeDocument/2006/relationships/hyperlink" Target="http://media.ca11.uscourts.gov/opinions/pub/files/201814687.pdf" TargetMode="External"/><Relationship Id="rId2591" Type="http://schemas.openxmlformats.org/officeDocument/2006/relationships/hyperlink" Target="https://law.justia.com/cases/federal/appellate-courts/ca5/22-40438/22-40438-2023-08-15.html" TargetMode="External"/><Relationship Id="rId149" Type="http://schemas.openxmlformats.org/officeDocument/2006/relationships/hyperlink" Target="https://cases.justia.com/federal/district-courts/illinois/ilndce/1:2020cv06720/393181/97/0.pdf?ts=1706261425" TargetMode="External"/><Relationship Id="rId356" Type="http://schemas.openxmlformats.org/officeDocument/2006/relationships/hyperlink" Target="https://www.supremecourt.ohio.gov/rod/docs/pdf/8/2018/2018-Ohio-4109.pdf" TargetMode="External"/><Relationship Id="rId563" Type="http://schemas.openxmlformats.org/officeDocument/2006/relationships/hyperlink" Target="https://www.oscn.net/applications/oscn/deliverdocument.asp?citeid=486529" TargetMode="External"/><Relationship Id="rId770" Type="http://schemas.openxmlformats.org/officeDocument/2006/relationships/hyperlink" Target="https://www.law.cornell.edu/uscode/text/8/1227" TargetMode="External"/><Relationship Id="rId1193" Type="http://schemas.openxmlformats.org/officeDocument/2006/relationships/hyperlink" Target="http://www.pacourts.us/assets/opinions/Commonwealth/out/141CD20_3-10-21.pdf?cb=1" TargetMode="External"/><Relationship Id="rId2037" Type="http://schemas.openxmlformats.org/officeDocument/2006/relationships/hyperlink" Target="https://public.fastcase.com/jaEE2PXzRXmZ99jOLMt1IuWGAIUpkkorrJl529LJ3awEx3zEi%2Byx9rGBI4x8eUTPQhULRQSbbdyTI3aaLB6SYlAXn8jJowYQjsFj%2FU%2FJFgg%3D?utm_medium=email&amp;_hsenc=p2ANqtz-83fSGxDadFaAqcLR0jtt8PGQuvqaI_epd1KGRFswTzY3809DqN4cnTFvjtIk9nPU87syAh5PxEK-y1xpj2mK9t5ywDKQ&amp;_hsmi=226712652&amp;utm_content=226712652&amp;utm_source=hs_email" TargetMode="External"/><Relationship Id="rId2244" Type="http://schemas.openxmlformats.org/officeDocument/2006/relationships/hyperlink" Target="https://www.supremecourt.gov/opinions/20pdf/20-18_cb7d.pdf" TargetMode="External"/><Relationship Id="rId2451" Type="http://schemas.openxmlformats.org/officeDocument/2006/relationships/hyperlink" Target="mailto:Birkleea@ucmail.uc.edu" TargetMode="External"/><Relationship Id="rId2689" Type="http://schemas.openxmlformats.org/officeDocument/2006/relationships/hyperlink" Target="https://public.fastcase.com/Wl%2B2t%2BeVuI35%2FN70vAMFZoCDqhYmNsbFLjWVRK8omsgUzbu2OUiVNTenINejQyEj" TargetMode="External"/><Relationship Id="rId2896" Type="http://schemas.openxmlformats.org/officeDocument/2006/relationships/hyperlink" Target="https://www.nytimes.com/2020/06/12/nyregion/50a-repeal-police-floyd.html" TargetMode="External"/><Relationship Id="rId216" Type="http://schemas.openxmlformats.org/officeDocument/2006/relationships/hyperlink" Target="https://www.law.cornell.edu/wex/federal_sentencing_guidelines" TargetMode="External"/><Relationship Id="rId423" Type="http://schemas.openxmlformats.org/officeDocument/2006/relationships/hyperlink" Target="https://cases.justia.com/federal/appellate-courts/ca3/23-3265/23-3265-2025-05-30.pdf?ts=1748624416" TargetMode="External"/><Relationship Id="rId868" Type="http://schemas.openxmlformats.org/officeDocument/2006/relationships/hyperlink" Target="https://search.txcourts.gov/SearchMedia.aspx?MediaVersionID=0759d8f0-c4e1-4852-8390-4190cacb89f6&amp;coa=coa10&amp;DT=Opinion&amp;MediaID=dc9d0fad-acea-4603-a120-a6519744d885" TargetMode="External"/><Relationship Id="rId1053" Type="http://schemas.openxmlformats.org/officeDocument/2006/relationships/hyperlink" Target="https://cases.justia.com/arizona/supreme-court/2025-cv-23-0211-pr.pdf?ts=1743008459" TargetMode="External"/><Relationship Id="rId1260" Type="http://schemas.openxmlformats.org/officeDocument/2006/relationships/hyperlink" Target="https://public.fastcase.com/Wl%2B2t%2BeVuI35%2FN70vAMFZqIZGQiBixrRs%2FhIZFdJSEICCexWSoup5Rgc2fSfyUDA" TargetMode="External"/><Relationship Id="rId1498" Type="http://schemas.openxmlformats.org/officeDocument/2006/relationships/hyperlink" Target="https://apnews.com/hub/diversity-equity-and-inclusion" TargetMode="External"/><Relationship Id="rId2104" Type="http://schemas.openxmlformats.org/officeDocument/2006/relationships/hyperlink" Target="https://casetext.com/case/gutzalenko-v-city-of-richmond" TargetMode="External"/><Relationship Id="rId2549" Type="http://schemas.openxmlformats.org/officeDocument/2006/relationships/hyperlink" Target="https://public.fastcase.com/jaEE2PXzRXmZ99jOLMt1IvnyNWPww1WM4x9Gu%2FtN0VhNRAtIpNmmlJ0KM%2F7ZbO911LK6og3L2kiKY%2FASa5mScG8uOsEhAwFbnlzs62F6rSE%3D?utm_medium=email&amp;_hsenc=p2ANqtz-8WZqH_E7rdb_OeZm87WsAQDzZautt0uiTp2Bj7gwVxym265a6f7pCBzZ-RPNW5j-Z8_i7kqeL1it9h0mjMyyn0Q0mh5A&amp;_hsmi=226712652&amp;utm_content=226712652&amp;utm_source=hs_email" TargetMode="External"/><Relationship Id="rId2756" Type="http://schemas.openxmlformats.org/officeDocument/2006/relationships/hyperlink" Target="https://www.qcnews.com/shannon-park-shooting/one-year-later-a-timeline-of-the-tragic-april-29th-shootout-that-shook-charlotte/" TargetMode="External"/><Relationship Id="rId630" Type="http://schemas.openxmlformats.org/officeDocument/2006/relationships/hyperlink" Target="https://www.casemine.com/judgement/us/694a977ac92f54bb3c63226d" TargetMode="External"/><Relationship Id="rId728" Type="http://schemas.openxmlformats.org/officeDocument/2006/relationships/hyperlink" Target="https://www.lasc.org/opinions/2022/21-0929.CQ.OPN.pdf" TargetMode="External"/><Relationship Id="rId935" Type="http://schemas.openxmlformats.org/officeDocument/2006/relationships/hyperlink" Target="https://cases.justia.com/texas/fourteenth-court-of-appeals/2025-14-24-00312-cv.pdf?ts=1753189995" TargetMode="External"/><Relationship Id="rId1358" Type="http://schemas.openxmlformats.org/officeDocument/2006/relationships/hyperlink" Target="https://codes.ohio.gov/ohio-revised-code/section-4112.022" TargetMode="External"/><Relationship Id="rId1565" Type="http://schemas.openxmlformats.org/officeDocument/2006/relationships/hyperlink" Target="https://www.cleveland19.com/2021/07/27/court-rules-favor-five-cleveland-ems-captains-who-claimed-discrimination-against-their-boss/" TargetMode="External"/><Relationship Id="rId1772" Type="http://schemas.openxmlformats.org/officeDocument/2006/relationships/hyperlink" Target="http://flsa-optin.com/" TargetMode="External"/><Relationship Id="rId2311" Type="http://schemas.openxmlformats.org/officeDocument/2006/relationships/hyperlink" Target="https://www.phillyvoice.com/us-supreme-court-denies-overturn-pennsylvania-non-essential-businesses-coronavirus-gov-wolf/" TargetMode="External"/><Relationship Id="rId2409" Type="http://schemas.openxmlformats.org/officeDocument/2006/relationships/hyperlink" Target="https://afcca.law.af.mil/afcca_opinions/cp/giles_-_40482_u_2091447.pdf" TargetMode="External"/><Relationship Id="rId2616" Type="http://schemas.openxmlformats.org/officeDocument/2006/relationships/hyperlink" Target="https://www.firerescue1.com/arson-investigation/articles/understanding-the-firefighter-arsonist-j06dtElH3OMZMwBS/" TargetMode="External"/><Relationship Id="rId64" Type="http://schemas.openxmlformats.org/officeDocument/2006/relationships/hyperlink" Target="https://www.ca5.uscourts.gov/opinions/unpub/24/24-30496.0.pdf" TargetMode="External"/><Relationship Id="rId1120" Type="http://schemas.openxmlformats.org/officeDocument/2006/relationships/hyperlink" Target="https://law.justia.com/cases/pennsylvania/commonwealth-court/2023/12-c-d-2022.html" TargetMode="External"/><Relationship Id="rId1218" Type="http://schemas.openxmlformats.org/officeDocument/2006/relationships/hyperlink" Target="https://www.eeoc.gov/statutes/age-discrimination-employment-act-1967" TargetMode="External"/><Relationship Id="rId1425" Type="http://schemas.openxmlformats.org/officeDocument/2006/relationships/hyperlink" Target="https://www.justice.gov/opa/pr/justice-department-files-lawsuit-against-city-houston-sex-discrimination-and-retaliation" TargetMode="External"/><Relationship Id="rId2823" Type="http://schemas.openxmlformats.org/officeDocument/2006/relationships/hyperlink" Target="https://www.nwitimes.com/news/local/lake/east-chicago/judge-orders-east-chicago-to-give-firefighters-back-their-old-work-shifts/article_0a0ebd36-f823-513f-a2fc-d1d6d95613d7.html" TargetMode="External"/><Relationship Id="rId1632" Type="http://schemas.openxmlformats.org/officeDocument/2006/relationships/hyperlink" Target="https://www.mspb.gov/decisions/nonprecedential/Remillard_MauricePH-0752-20-0259-I-1_Final_Order.pdf" TargetMode="External"/><Relationship Id="rId1937" Type="http://schemas.openxmlformats.org/officeDocument/2006/relationships/hyperlink" Target="https://law.justia.com/cases/louisiana/fourth-circuit-court-of-appeal/2021/2021-ca-0070.html" TargetMode="External"/><Relationship Id="rId2199" Type="http://schemas.openxmlformats.org/officeDocument/2006/relationships/hyperlink" Target="https://public.fastcase.com/waZtJvSA54UAurM2rmIZz3GImxM8vVu83JjC1hitqCF6J52x3NFj71FjQLuzCLQnmvBPUszpB78vzjnxu9to%2Fq0ClMx7mkWBtvY01d0uDxg%3D" TargetMode="External"/><Relationship Id="rId280" Type="http://schemas.openxmlformats.org/officeDocument/2006/relationships/hyperlink" Target="https://www.ca4.uscourts.gov/opinions/191632.P.pdf" TargetMode="External"/><Relationship Id="rId140" Type="http://schemas.openxmlformats.org/officeDocument/2006/relationships/hyperlink" Target="https://natlawreview.com/article/michigan-supreme-court-case-has-potential-guide-drone-and-air-rights-law-nation" TargetMode="External"/><Relationship Id="rId378" Type="http://schemas.openxmlformats.org/officeDocument/2006/relationships/hyperlink" Target="https://monographs.iarc.who.int/agents-classified-by-the-iarc/" TargetMode="External"/><Relationship Id="rId585" Type="http://schemas.openxmlformats.org/officeDocument/2006/relationships/hyperlink" Target="https://controller.phila.gov/philadelphia-audits/philadelphia-fire-department-department-needs-to-reconsider-its-brownout-rotation-policies/" TargetMode="External"/><Relationship Id="rId792" Type="http://schemas.openxmlformats.org/officeDocument/2006/relationships/hyperlink" Target="https://www.casemine.com/judgement/us/5fa3a7514653d0732d5bedb1" TargetMode="External"/><Relationship Id="rId2059" Type="http://schemas.openxmlformats.org/officeDocument/2006/relationships/image" Target="media/image5.png"/><Relationship Id="rId2266" Type="http://schemas.openxmlformats.org/officeDocument/2006/relationships/hyperlink" Target="https://casetext.com/case/county-of-sacramento-v-lewis" TargetMode="External"/><Relationship Id="rId2473" Type="http://schemas.openxmlformats.org/officeDocument/2006/relationships/hyperlink" Target="https://www.workcompcentral.com/news/article/id/850f78207bb1c8ba2a379062de5cedbf763208fe" TargetMode="External"/><Relationship Id="rId2680" Type="http://schemas.openxmlformats.org/officeDocument/2006/relationships/hyperlink" Target="https://public.fastcase.com/Wl%2B2t%2BeVuI35%2FN70vAMFZiys29g9i6WW2vOdml2B4dJUoMj0gy8QWoByD0pzloLe" TargetMode="External"/><Relationship Id="rId6" Type="http://schemas.openxmlformats.org/officeDocument/2006/relationships/footnotes" Target="footnotes.xml"/><Relationship Id="rId238" Type="http://schemas.openxmlformats.org/officeDocument/2006/relationships/hyperlink" Target="https://www.supremecourt.ohio.gov/rod/docs/pdf/1/2021/2021-Ohio-4003.pdf" TargetMode="External"/><Relationship Id="rId445" Type="http://schemas.openxmlformats.org/officeDocument/2006/relationships/hyperlink" Target="https://grsl.com/firefighters-rule-struck-down-by-new-jersey-supreme-court/" TargetMode="External"/><Relationship Id="rId652" Type="http://schemas.openxmlformats.org/officeDocument/2006/relationships/hyperlink" Target="https://storage.courtlistener.com/recap/gov.uscourts.mad.282404/gov.uscourts.mad.282404.119.0_1.pdf" TargetMode="External"/><Relationship Id="rId1075" Type="http://schemas.openxmlformats.org/officeDocument/2006/relationships/hyperlink" Target="https://ilcourtsaudio.blob.core.windows.net/antilles-resources/resources/b3c62d52-1215-4e2d-8145-22ad48aed626/Ceyer%20v.%20City%20of%20Berwyn,%202024%20IL%20App%20(1st)%20231538.pdf" TargetMode="External"/><Relationship Id="rId1282" Type="http://schemas.openxmlformats.org/officeDocument/2006/relationships/hyperlink" Target="http://publicdocs.courts.mi.gov/opinions/final/coa/20190226_c340579_35_340579.opn.pdf" TargetMode="External"/><Relationship Id="rId2126" Type="http://schemas.openxmlformats.org/officeDocument/2006/relationships/hyperlink" Target="https://www.hhs.gov/hipaa/for-professionals/compliance-enforcement/examples/all-cases/index.html" TargetMode="External"/><Relationship Id="rId2333" Type="http://schemas.openxmlformats.org/officeDocument/2006/relationships/hyperlink" Target="https://oig.hhs.gov/fraud/strike-force/" TargetMode="External"/><Relationship Id="rId2540" Type="http://schemas.openxmlformats.org/officeDocument/2006/relationships/hyperlink" Target="https://www.ca5.uscourts.gov/opinions/pub/23/23-10881-CV0.pdf" TargetMode="External"/><Relationship Id="rId2778" Type="http://schemas.openxmlformats.org/officeDocument/2006/relationships/hyperlink" Target="https://www.supremecourt.ohio.gov/rod/docs/pdf/8/2024/2024-Ohio-3018.pdf" TargetMode="External"/><Relationship Id="rId305" Type="http://schemas.openxmlformats.org/officeDocument/2006/relationships/hyperlink" Target="https://www.ca2.uscourts.gov/decisions/isysquery/93d429af-6bc3-4a16-b287-422f5179acac/1/doc/18-3775_opn.pdf" TargetMode="External"/><Relationship Id="rId512" Type="http://schemas.openxmlformats.org/officeDocument/2006/relationships/hyperlink" Target="https://www.flmd.uscourts.gov/judges/harvey-schlesinger" TargetMode="External"/><Relationship Id="rId957" Type="http://schemas.openxmlformats.org/officeDocument/2006/relationships/hyperlink" Target="https://codes.ohio.gov/ohio-administrative-code/rule-4123:1-3-06" TargetMode="External"/><Relationship Id="rId1142" Type="http://schemas.openxmlformats.org/officeDocument/2006/relationships/hyperlink" Target="https://law.justia.com/cases/california/court-of-appeal/2022/a161575.html" TargetMode="External"/><Relationship Id="rId1587" Type="http://schemas.openxmlformats.org/officeDocument/2006/relationships/hyperlink" Target="https://public.fastcase.com/Wl%2B2t%2BeVuI35%2FN70vAMFZu9WSCqieY3u1gfnWEwDVajGcV1Qbmc97gDjPt%2BB6d9C" TargetMode="External"/><Relationship Id="rId1794" Type="http://schemas.openxmlformats.org/officeDocument/2006/relationships/hyperlink" Target="https://www.shrm.org/resourcesandtools/legal-and-compliance/employment-law/pages/supreme-court-helix-flsa-exemption.aspx" TargetMode="External"/><Relationship Id="rId2400" Type="http://schemas.openxmlformats.org/officeDocument/2006/relationships/hyperlink" Target="file:///C:/Users/lawre/Downloads/US_DIS_NYSD_1_19cv11555_COMPLAINT_against_City_of_New_York_City_of_New_Yor.pdf" TargetMode="External"/><Relationship Id="rId2638" Type="http://schemas.openxmlformats.org/officeDocument/2006/relationships/hyperlink" Target="https://www.supremecourt.ohio.gov/rod/docs/pdf/8/2022/2022-Ohio-824.pdf" TargetMode="External"/><Relationship Id="rId2845" Type="http://schemas.openxmlformats.org/officeDocument/2006/relationships/hyperlink" Target="https://www.sfgate.com/news/article/Supreme-Court-rules-that-companies-can-require-12931130.php" TargetMode="External"/><Relationship Id="rId86" Type="http://schemas.openxmlformats.org/officeDocument/2006/relationships/hyperlink" Target="https://www.garmin.com/en-US/c/outdoor-recreation/handheld-hiking-gps/?gad_source=1&amp;gclid=Cj0KCQiA_Yq-BhC9ARIsAA6fbAg8Hzg7tt3LxTDrvBKQ6Iq20PiW7TlBW7J0osrwHwlbOwcCFzY0rTcaAu65EALw_wcB" TargetMode="External"/><Relationship Id="rId817" Type="http://schemas.openxmlformats.org/officeDocument/2006/relationships/hyperlink" Target="https://www.law.com/newyorklawjournal/2019/04/25/split-2nd-circuit-panel-finds-outrageous-ice-conduct-revives-activists-removal-suit/" TargetMode="External"/><Relationship Id="rId1002" Type="http://schemas.openxmlformats.org/officeDocument/2006/relationships/hyperlink" Target="https://www.youtube.com/watch?v=ga_vHeGYQ34" TargetMode="External"/><Relationship Id="rId1447" Type="http://schemas.openxmlformats.org/officeDocument/2006/relationships/hyperlink" Target="http://41af3k34gprx4f6bg12df75i.wpengine.netdna-cdn.com/wp-content/uploads/sites/19/2016/03/Hurd-v-Lincoln.pdf" TargetMode="External"/><Relationship Id="rId1654" Type="http://schemas.openxmlformats.org/officeDocument/2006/relationships/hyperlink" Target="https://www.supremecourt.gov/opinions/22pdf/22-174_k536.pdf" TargetMode="External"/><Relationship Id="rId1861" Type="http://schemas.openxmlformats.org/officeDocument/2006/relationships/hyperlink" Target="https://www.dol.gov/whd/opinion/FLSA/2019/2019_08_08_11_FLSA.pdf" TargetMode="External"/><Relationship Id="rId2705" Type="http://schemas.openxmlformats.org/officeDocument/2006/relationships/hyperlink" Target="https://supreme.justia.com/cases/federal/us/470/532/" TargetMode="External"/><Relationship Id="rId1307" Type="http://schemas.openxmlformats.org/officeDocument/2006/relationships/hyperlink" Target="https://www.scotusblog.com/case-files/cases/new-prime-inc-v-oliveira/" TargetMode="External"/><Relationship Id="rId1514" Type="http://schemas.openxmlformats.org/officeDocument/2006/relationships/hyperlink" Target="https://cases.justia.com/federal/district-courts/texas/txsdce/4:2023cv04777/1945442/28/0.pdf?ts=1723207973" TargetMode="External"/><Relationship Id="rId1721" Type="http://schemas.openxmlformats.org/officeDocument/2006/relationships/hyperlink" Target="https://cases.justia.com/indiana/court-of-appeals/2026-25a-pl-01609.pdf?ts=1779819186" TargetMode="External"/><Relationship Id="rId1959" Type="http://schemas.openxmlformats.org/officeDocument/2006/relationships/hyperlink" Target="http://www.diversionspecialists.com/wp-content/uploads/Considerations-When-Tampering-Occurs.pdf" TargetMode="External"/><Relationship Id="rId13" Type="http://schemas.openxmlformats.org/officeDocument/2006/relationships/hyperlink" Target="http://www.waveland.com/browse.php?t=708" TargetMode="External"/><Relationship Id="rId1819" Type="http://schemas.openxmlformats.org/officeDocument/2006/relationships/hyperlink" Target="https://www.law.cornell.edu/cfr/text/29/778.215" TargetMode="External"/><Relationship Id="rId2190" Type="http://schemas.openxmlformats.org/officeDocument/2006/relationships/hyperlink" Target="https://public.fastcase.com/J%2FJP6pdidelsXxEE4k%2BLMlzK3ypZvc0Gn%2FjuZDkyq8MI5%2FfINcqrUtBut3YiWnMm%2B6u%2FYbxznYZMXvWFYa2uilbMm7X%2Bw%2FMZe4%2FFjNyk13o%3D" TargetMode="External"/><Relationship Id="rId2288" Type="http://schemas.openxmlformats.org/officeDocument/2006/relationships/hyperlink" Target="https://www.supremecourt.gov/opinions/20pdf/20a87_4g15.pdf" TargetMode="External"/><Relationship Id="rId2495" Type="http://schemas.openxmlformats.org/officeDocument/2006/relationships/hyperlink" Target="https://cases.justia.com/federal/district-courts/illinois/ilndce/1:2025cv10892/485962/24/0.pdf?ts=1769597667" TargetMode="External"/><Relationship Id="rId162" Type="http://schemas.openxmlformats.org/officeDocument/2006/relationships/hyperlink" Target="https://cases.justia.com/tennessee/court-of-criminal-appeals/2023-m2022-00949-cca-r3-cd.pdf?ts=1695676978" TargetMode="External"/><Relationship Id="rId467" Type="http://schemas.openxmlformats.org/officeDocument/2006/relationships/hyperlink" Target="https://cases.justia.com/new-york/other-courts/2024-2024-ny-slip-op-31696-u.pdf?ts=1716238363" TargetMode="External"/><Relationship Id="rId1097" Type="http://schemas.openxmlformats.org/officeDocument/2006/relationships/hyperlink" Target="https://caselaw.findlaw.com/court/fl-district-court-of-appeal/115346402.html" TargetMode="External"/><Relationship Id="rId2050" Type="http://schemas.openxmlformats.org/officeDocument/2006/relationships/hyperlink" Target="https://casetext.com/case/kilpatrick-v-city-of-l-a" TargetMode="External"/><Relationship Id="rId2148" Type="http://schemas.openxmlformats.org/officeDocument/2006/relationships/hyperlink" Target="https://public.fastcase.com/ZZhmr5v9wN%2FXOe5IsQ%2FqD3yVZPtM4gE5qxUG0JmvBs4KZKL0kykfWRWAFzVzGOUSCymfVjFMg8ksTGDwIJSWELTF6XkccOjxJx4J8ta6mPQ%3D?utm_medium=email&amp;_hsmi=226712652&amp;_hsenc=p2ANqtz-91z17HDQg9Q71tjjdfZzo5M0dPvb4mrX2MWXe9g7uh0-gjm69ERrplNGPGusNDxTqNwPz_oB2Mm624G4BOe4pHJTgwVA&amp;utm_content=226712652&amp;utm_source=hs_email" TargetMode="External"/><Relationship Id="rId674" Type="http://schemas.openxmlformats.org/officeDocument/2006/relationships/hyperlink" Target="https://media.cadc.uscourts.gov/opinions/docs/2024/10/22-3042-2081254.pdf" TargetMode="External"/><Relationship Id="rId881" Type="http://schemas.openxmlformats.org/officeDocument/2006/relationships/hyperlink" Target="http://apps.azleg.gov/BillStatus/BillOverview/76770?SessionId=125" TargetMode="External"/><Relationship Id="rId979" Type="http://schemas.openxmlformats.org/officeDocument/2006/relationships/hyperlink" Target="https://codes.ohio.gov/ohio-revised-code/section-4511.03" TargetMode="External"/><Relationship Id="rId2355" Type="http://schemas.openxmlformats.org/officeDocument/2006/relationships/hyperlink" Target="https://scholar.google.com/scholar_case?case=16398402888190855228&amp;q=Dissell+v.+Cleveland&amp;hl=en&amp;as_sdt=6,36&amp;as_vis=1" TargetMode="External"/><Relationship Id="rId2562" Type="http://schemas.openxmlformats.org/officeDocument/2006/relationships/hyperlink" Target="https://casetext.com/case/medina-v-columbia-river-fire-rescue" TargetMode="External"/><Relationship Id="rId327" Type="http://schemas.openxmlformats.org/officeDocument/2006/relationships/hyperlink" Target="https://www.in.gov/judiciary/opinions/pdf/10241902eft.pdf" TargetMode="External"/><Relationship Id="rId534" Type="http://schemas.openxmlformats.org/officeDocument/2006/relationships/hyperlink" Target="https://casetext.com/case/topper-v-thomas" TargetMode="External"/><Relationship Id="rId741" Type="http://schemas.openxmlformats.org/officeDocument/2006/relationships/hyperlink" Target="https://www.law.cornell.edu/definitions/uscode.php?width=840&amp;height=800&amp;iframe=true&amp;def_id=18-USC-849457050-909420280&amp;term_occur=999&amp;term_src=title:18:part:I:chapter:13:section:249" TargetMode="External"/><Relationship Id="rId839" Type="http://schemas.openxmlformats.org/officeDocument/2006/relationships/hyperlink" Target="https://app.midpage.ai/document/pierre-grenier-v-city-of-11209117?refG=true" TargetMode="External"/><Relationship Id="rId1164" Type="http://schemas.openxmlformats.org/officeDocument/2006/relationships/hyperlink" Target="https://casetext.com/case/clark-v-town-of-waterford" TargetMode="External"/><Relationship Id="rId1371" Type="http://schemas.openxmlformats.org/officeDocument/2006/relationships/hyperlink" Target="https://public.fastcase.com/ZZhmr5v9wN%2FXOe5IsQ%2FqDyz5rhb%2FyBrIG8Au%2Ft3V919eqRG814zcJAmxY3jo6zPUS7MBeKfAuG868JSXjuCSoaubFv3fklmg5wPl%2B%2FhuGG8%3D?utm_medium=email&amp;_hsmi=226712652&amp;_hsenc=p2ANqtz-_V_ICNjbd2RZxHYCrc4la9bLeUstsyddFe2y3dzHQoT8LejGxKFn7KSEl6HhmqEbKKnasxkhMyKJsJTXSn_Oay7PK5pg&amp;utm_content=226712652&amp;utm_source=hs_email" TargetMode="External"/><Relationship Id="rId1469" Type="http://schemas.openxmlformats.org/officeDocument/2006/relationships/hyperlink" Target="https://www.supremecourt.gov/opinions/25pdf/24-109_21o3.pdf" TargetMode="External"/><Relationship Id="rId2008" Type="http://schemas.openxmlformats.org/officeDocument/2006/relationships/hyperlink" Target="https://cases.justia.com/federal/district-courts/california/candce/3:2022cv02130/394009/131/0.pdf" TargetMode="External"/><Relationship Id="rId2215" Type="http://schemas.openxmlformats.org/officeDocument/2006/relationships/hyperlink" Target="https://hudsoncountyview.com/2-ex-north-bergen-ems-workers-file-wrongful-termination-suit-against-township-deputy-ems-chief/" TargetMode="External"/><Relationship Id="rId2422" Type="http://schemas.openxmlformats.org/officeDocument/2006/relationships/hyperlink" Target="https://cases.justia.com/ohio/twelfth-district-court-of-appeals/2023-ca2023-06-039.pdf?ts=1703791198" TargetMode="External"/><Relationship Id="rId2867" Type="http://schemas.openxmlformats.org/officeDocument/2006/relationships/hyperlink" Target="https://www.law.cornell.edu/rio/citation/81_FR_53003" TargetMode="External"/><Relationship Id="rId601" Type="http://schemas.openxmlformats.org/officeDocument/2006/relationships/hyperlink" Target="https://www.nfpa.org/codes-and-standards/all-codes-and-standards/list-of-codes-and-standards/detail?code=1582" TargetMode="External"/><Relationship Id="rId1024" Type="http://schemas.openxmlformats.org/officeDocument/2006/relationships/hyperlink" Target="https://www4.courts.ca.gov/opinions/nonpub/B338919.PDF" TargetMode="External"/><Relationship Id="rId1231" Type="http://schemas.openxmlformats.org/officeDocument/2006/relationships/hyperlink" Target="https://www.supremecourt.ohio.gov/rod/docs/pdf/0/2009/2009-Ohio-2597.pdf" TargetMode="External"/><Relationship Id="rId1676" Type="http://schemas.openxmlformats.org/officeDocument/2006/relationships/hyperlink" Target="https://www.nfpa.org/assets/files/AboutTheCodes/1582/1582_A2017_FIX_AAA_SD_SRStatements.pdf" TargetMode="External"/><Relationship Id="rId1883" Type="http://schemas.openxmlformats.org/officeDocument/2006/relationships/hyperlink" Target="https://www.youtube.com/watch?v=1jL6w0_sguI" TargetMode="External"/><Relationship Id="rId2727" Type="http://schemas.openxmlformats.org/officeDocument/2006/relationships/hyperlink" Target="http://www.sconet.state.oh.us/rod/docs/pdf/0/2009/2009-Ohio-2597.pdf" TargetMode="External"/><Relationship Id="rId906" Type="http://schemas.openxmlformats.org/officeDocument/2006/relationships/hyperlink" Target="https://www.law.cornell.edu/rules/fre/rule_702" TargetMode="External"/><Relationship Id="rId1329" Type="http://schemas.openxmlformats.org/officeDocument/2006/relationships/hyperlink" Target="https://cases.justia.com/federal/district-courts/kansas/ksdce/2:2023cv02410/149154/93/0.pdf?ts=1748685326" TargetMode="External"/><Relationship Id="rId1536" Type="http://schemas.openxmlformats.org/officeDocument/2006/relationships/hyperlink" Target="https://public.fastcase.com/J%2FJP6pdidelsXxEE4k%2BLMrA34GsTt5B2s5lqbdzOSKO6ds2%2FFXzTZCAcVKPc5nYGkDv4uUicwcEOayTnLM9q%2BLkNSr7W2Myomwq976TWq68%3D?utm_medium=email&amp;_hsmi=226712652&amp;_hsenc=p2ANqtz--xrBYm_8SOoB1x8n_lzDvQY_7J4w6TZmgBXNCiTskMckRZL1pW5pA7jfVkIgH5lYseuktBIikSAYCDqwL7O8hlSm6fMw&amp;utm_content=226712652&amp;utm_source=hs_email" TargetMode="External"/><Relationship Id="rId1743" Type="http://schemas.openxmlformats.org/officeDocument/2006/relationships/hyperlink" Target="https://natlawreview.com/article/wage-and-hour-watch-regular-rate-pay-primer-employers" TargetMode="External"/><Relationship Id="rId1950" Type="http://schemas.openxmlformats.org/officeDocument/2006/relationships/hyperlink" Target="https://scholar.google.com/scholar_case?case=1228128574784444684&amp;q=Pennsylvania+%22overdose+response%22&amp;hl=en&amp;scisbd=2&amp;as_sdt=6,36&amp;as_ylo=2020" TargetMode="External"/><Relationship Id="rId35" Type="http://schemas.openxmlformats.org/officeDocument/2006/relationships/hyperlink" Target="https://www.supremecourt.gov/opinions/25pdf/24-624_b07d.pdf" TargetMode="External"/><Relationship Id="rId1603" Type="http://schemas.openxmlformats.org/officeDocument/2006/relationships/hyperlink" Target="https://scholar.google.com/scholar_case?case=9814524894618299702&amp;q=+Eric+Peeples,+et+al.+v.+City+of+Detroit,+et+al,+Civil+Action+No.+13-13858&amp;hl=en&amp;as_sdt=6,36" TargetMode="External"/><Relationship Id="rId1810" Type="http://schemas.openxmlformats.org/officeDocument/2006/relationships/hyperlink" Target="https://www.govinfo.gov/content/pkg/USCOURTS-mowd-4_19-cv-00093/pdf/USCOURTS-mowd-4_19-cv-00093-1.pdf" TargetMode="External"/><Relationship Id="rId184" Type="http://schemas.openxmlformats.org/officeDocument/2006/relationships/hyperlink" Target="https://public.fastcase.com/ZZhmr5v9wN%2FXOe5IsQ%2FqDwpaI7JNx0yucAfBBTCYhVf6eRN0F6j2PHZ4Bf4v9PLOEuaobgTYEa8%2BzQGGWxAHAgvFhF3yj4k41BJEkNmdniM%3D?utm_medium=email&amp;_hsmi=226712652&amp;_hsenc=p2ANqtz-_dwT49KfhNPpDq3N3VwSjkZTEUiwZEDoqDlulVdR_yzkAg6581Fi_9SACtWrDkZJ_u8Xp6dukkkP4Lu33go_UmHv0HyQ&amp;utm_content=226712652&amp;utm_source=hs_email" TargetMode="External"/><Relationship Id="rId391" Type="http://schemas.openxmlformats.org/officeDocument/2006/relationships/hyperlink" Target="https://supreme.justia.com/cases/federal/us/487/500/" TargetMode="External"/><Relationship Id="rId1908" Type="http://schemas.openxmlformats.org/officeDocument/2006/relationships/hyperlink" Target="https://www.audacy.com/krld/news/local/former-dfr-firefighter-sent-to-prison-for-dwi-accident" TargetMode="External"/><Relationship Id="rId2072" Type="http://schemas.openxmlformats.org/officeDocument/2006/relationships/hyperlink" Target="https://cases.justia.com/federal/appellate-courts/ca11/23-12759/23-12759-2024-07-23.pdf?ts=1721745066" TargetMode="External"/><Relationship Id="rId251" Type="http://schemas.openxmlformats.org/officeDocument/2006/relationships/hyperlink" Target="https://indianexpress.com/article/world/supreme-court-allows-revival-of-trump-era-remain-in-mexico-asylum-policy-7469812/" TargetMode="External"/><Relationship Id="rId489" Type="http://schemas.openxmlformats.org/officeDocument/2006/relationships/hyperlink" Target="https://apps.usfa.fema.gov/firefighter-fatalities/fatalityData/detail?fatalityId=4784" TargetMode="External"/><Relationship Id="rId696" Type="http://schemas.openxmlformats.org/officeDocument/2006/relationships/hyperlink" Target="https://www.motherjones.com/environment/2015/08/40-percent-californias-fires-are-fought-prison-inmates/" TargetMode="External"/><Relationship Id="rId2377" Type="http://schemas.openxmlformats.org/officeDocument/2006/relationships/hyperlink" Target="https://cases.justia.com/federal/district-courts/maryland/mddce/1:2024cv03580/573207/56/0.pdf?ts=1777474810" TargetMode="External"/><Relationship Id="rId2584" Type="http://schemas.openxmlformats.org/officeDocument/2006/relationships/hyperlink" Target="https://cases.justia.com/federal/district-courts/louisiana/lamdce/3:2021cv00287/59089/59/0.pdf?ts=1697816120" TargetMode="External"/><Relationship Id="rId2791" Type="http://schemas.openxmlformats.org/officeDocument/2006/relationships/hyperlink" Target="http://media.ca1.uscourts.gov/pdf.opinions/22-1320U-01A.pdf" TargetMode="External"/><Relationship Id="rId349" Type="http://schemas.openxmlformats.org/officeDocument/2006/relationships/hyperlink" Target="https://ceas.uc.edu/content/dam/refresh/ceas-62/documents/academics/departments/aerospace-engineering-&amp;-engineering-mechanics/fire-science/1Jan.%202019%20Newsletter%20ADA%200.pdf" TargetMode="External"/><Relationship Id="rId556" Type="http://schemas.openxmlformats.org/officeDocument/2006/relationships/hyperlink" Target="https://law.justia.com/cases/new-york/appellate-division-second-department/2020/2016-13412.html" TargetMode="External"/><Relationship Id="rId763" Type="http://schemas.openxmlformats.org/officeDocument/2006/relationships/hyperlink" Target="https://www.law.cornell.edu/definitions/uscode.php?width=840&amp;height=800&amp;iframe=true&amp;def_id=8-USC-92903111-1485256781&amp;term_occur=999&amp;term_src=" TargetMode="External"/><Relationship Id="rId1186" Type="http://schemas.openxmlformats.org/officeDocument/2006/relationships/hyperlink" Target="https://www.monastlaw.com/library/scheduled-loss-compensation-after-amputation-or-loss-of-use.cfm" TargetMode="External"/><Relationship Id="rId1393" Type="http://schemas.openxmlformats.org/officeDocument/2006/relationships/hyperlink" Target="https://www.kktv.com/2022/03/03/biden-sign-bill-ending-forced-arbitration-sexual-harassment-assault-cases/" TargetMode="External"/><Relationship Id="rId2237" Type="http://schemas.openxmlformats.org/officeDocument/2006/relationships/hyperlink" Target="https://public.fastcase.com/9SKwsfNqTc6OieYDhNMyMyh4iKdUdl33yaqybd0RVUT7BGA%2FcA7dSWVys7nK48GqCBRY0Irwv50JDrMJhhTjndqcgsIMADMauCadEl5HS9U%3D" TargetMode="External"/><Relationship Id="rId2444" Type="http://schemas.openxmlformats.org/officeDocument/2006/relationships/hyperlink" Target="https://www.ca5.uscourts.gov/opinions/pub/21/21-20085-CV0.pdf" TargetMode="External"/><Relationship Id="rId2889" Type="http://schemas.openxmlformats.org/officeDocument/2006/relationships/hyperlink" Target="https://www.kktv.com/2022/03/03/biden-sign-bill-ending-forced-arbitration-sexual-harassment-assault-cases/" TargetMode="External"/><Relationship Id="rId111" Type="http://schemas.openxmlformats.org/officeDocument/2006/relationships/hyperlink" Target="https://www.kfvs12.com/story/30947819/christopher-il-woman-arrested-on-arson-charges/" TargetMode="External"/><Relationship Id="rId209" Type="http://schemas.openxmlformats.org/officeDocument/2006/relationships/hyperlink" Target="https://local12.com/news/local/blocked-railroad-crossings-ohio-supreme-court-ruling-no-more-fines-trains-safety-butler-county-lockland-emergencies-csx-transportation-anti-blocking-law-federal-railroad-administration-cincinnati-local-12-wkrc-tristate-ohio-kentucky-indiana-news" TargetMode="External"/><Relationship Id="rId416" Type="http://schemas.openxmlformats.org/officeDocument/2006/relationships/hyperlink" Target="https://codes.findlaw.com/ny/general-municipal-law/gmu-sect-205-a/" TargetMode="External"/><Relationship Id="rId970" Type="http://schemas.openxmlformats.org/officeDocument/2006/relationships/hyperlink" Target="https://codes.ohio.gov/ohio-revised-code/section-4511.991" TargetMode="External"/><Relationship Id="rId1046" Type="http://schemas.openxmlformats.org/officeDocument/2006/relationships/hyperlink" Target="https://cases.justia.com/louisiana/fourth-circuit-court-of-appeal/2025-2024-ca-0747.pdf?ts=1746576943" TargetMode="External"/><Relationship Id="rId1253" Type="http://schemas.openxmlformats.org/officeDocument/2006/relationships/hyperlink" Target="https://www.azcourts.gov/Portals/0/OpinionFiles/Div1/2020/1%20CA-IC%2019-0036%20-%20Forbach.pdf" TargetMode="External"/><Relationship Id="rId1698" Type="http://schemas.openxmlformats.org/officeDocument/2006/relationships/hyperlink" Target="https://www.verywellmind.com/requirements-for-ptsd-diagnosis-2797637" TargetMode="External"/><Relationship Id="rId2651" Type="http://schemas.openxmlformats.org/officeDocument/2006/relationships/hyperlink" Target="https://public.fastcase.com/9SKwsfNqTc6OieYDhNMyMyDFWJKG68%2FxrxDgF%2ByOzsjPpcL4jvi7QzZ2AR2rzbKPcZbDkGArV5tenVtyFKk%2FX7II2Lot3PKpssqnJQodheI%253" TargetMode="External"/><Relationship Id="rId2749" Type="http://schemas.openxmlformats.org/officeDocument/2006/relationships/hyperlink" Target="https://supreme.justia.com/cases/federal/us/391/563/" TargetMode="External"/><Relationship Id="rId623" Type="http://schemas.openxmlformats.org/officeDocument/2006/relationships/hyperlink" Target="https://www.firehero.org/fallen-firefighter/albert-a-filosa/" TargetMode="External"/><Relationship Id="rId830" Type="http://schemas.openxmlformats.org/officeDocument/2006/relationships/hyperlink" Target="https://d.docs.live.net/bd9b2eaf6053242e/AppData/Roaming/Microsoft/AppData/Local/Microsoft/Windows/INetCache/IE/XO250S7T/Glomar-decision.pdf" TargetMode="External"/><Relationship Id="rId928" Type="http://schemas.openxmlformats.org/officeDocument/2006/relationships/hyperlink" Target="https://cases.justia.com/louisiana/fourth-circuit-court-of-appeal/2025-2025-ca-0386.pdf?ts=1765847814" TargetMode="External"/><Relationship Id="rId1460" Type="http://schemas.openxmlformats.org/officeDocument/2006/relationships/hyperlink" Target="https://cases.justia.com/federal/appellate-courts/ca4/25-1440/25-1440-2026-06-24.pdf?ts=1782325881" TargetMode="External"/><Relationship Id="rId1558" Type="http://schemas.openxmlformats.org/officeDocument/2006/relationships/hyperlink" Target="https://public.fastcase.com/9SKwsfNqTc6OieYDhNMyM2CFW33xyjvV9V9tDamXdBOoRSeaTiz5NEXWtNHJhMGDLmAvOr1CXJk0EV3MUdbM2l1WIYIXZemQzLeI%2BSSBPyk%3D" TargetMode="External"/><Relationship Id="rId1765" Type="http://schemas.openxmlformats.org/officeDocument/2006/relationships/hyperlink" Target="https://www.ecfr.gov/current/title-29/section-778.224" TargetMode="External"/><Relationship Id="rId2304" Type="http://schemas.openxmlformats.org/officeDocument/2006/relationships/hyperlink" Target="https://courts.illinois.gov/Opinions/SupremeCourt/2020/124610.pdf" TargetMode="External"/><Relationship Id="rId2511" Type="http://schemas.openxmlformats.org/officeDocument/2006/relationships/hyperlink" Target="https://cases.justia.com/illinois/court-of-appeals-second-appellate-district/2025-2-24-0565.pdf?ts=1765847849" TargetMode="External"/><Relationship Id="rId2609" Type="http://schemas.openxmlformats.org/officeDocument/2006/relationships/hyperlink" Target="https://public.fastcase.com/J%2FJP6pdidelsXxEE4k%2BLMtME52xOaCaWV6UEDIP7bM8%2BFioZsbaXPEF4Uybj3YzCUfNXrAB4VqpO9mZPyOoJgEUGCgAECduXHqgYvcPti4I%3D?utm_medium=email&amp;_hsmi=226712652&amp;_hsenc=p2ANqtz--o5Z4w0RvL2X6ywspxSAhs9CG2i2QDJ7wcq_MEc7ECUlDYedCzwhXzcOpR3uJdZVvbiJhZF7E92unvtoIdalIehJ_GiA&amp;utm_content=226712652&amp;utm_source=hs_email" TargetMode="External"/><Relationship Id="rId57" Type="http://schemas.openxmlformats.org/officeDocument/2006/relationships/hyperlink" Target="https://cases.justia.com/wyoming/supreme-court/2025-s-24-0295.pdf?ts=1757689246" TargetMode="External"/><Relationship Id="rId1113" Type="http://schemas.openxmlformats.org/officeDocument/2006/relationships/hyperlink" Target="https://casetext.com/case/city-of-wilkes-barre-v-snyder" TargetMode="External"/><Relationship Id="rId1320" Type="http://schemas.openxmlformats.org/officeDocument/2006/relationships/hyperlink" Target="https://cases.justia.com/federal/district-courts/new-york/nysdce/7:2021cv00260/552036/95/0.pdf?ts=1758978240" TargetMode="External"/><Relationship Id="rId1418" Type="http://schemas.openxmlformats.org/officeDocument/2006/relationships/hyperlink" Target="https://www.uticaod.com/story/news/2020/07/21/court-former-utica-firefighter-not-entitled-to-payment/42260661/" TargetMode="External"/><Relationship Id="rId1972" Type="http://schemas.openxmlformats.org/officeDocument/2006/relationships/hyperlink" Target="https://cases.justia.com/michigan/court-of-appeals-unpublished/2026-371690.pdf?ts=1779282004" TargetMode="External"/><Relationship Id="rId2816" Type="http://schemas.openxmlformats.org/officeDocument/2006/relationships/hyperlink" Target="https://www.journal-news.com/news/local/fairfield-able-rehire-retired-fire-chief/JMPkJQCqJ2eIDqbu2eI8RK/" TargetMode="External"/><Relationship Id="rId1625" Type="http://schemas.openxmlformats.org/officeDocument/2006/relationships/hyperlink" Target="https://public.fastcase.com/jaEE2PXzRXmZ99jOLMt1Ipey3nn80Qzm5FjlczUETsDTuQT39ugB8joG6QHEs86OG3nGrKzxwZV4%2Fla6pLxdspdlDpATTrpmmFlVcXapI1M%3D?utm_medium=email&amp;_hsenc=p2ANqtz-8lwnqzIFsmVJzuahWcWVuNvva5eg1m46jktTnS1rNp1Tgpui8ycBPAblsV379ZnZFl8lWnb4zQm5QdddO-2g4KXoMSJQ&amp;_hsmi=226712652&amp;utm_content=226712652&amp;utm_source=hs_email" TargetMode="External"/><Relationship Id="rId1832" Type="http://schemas.openxmlformats.org/officeDocument/2006/relationships/hyperlink" Target="https://casetext.com/case/miller-v-city-of-indianapolis" TargetMode="External"/><Relationship Id="rId2094" Type="http://schemas.openxmlformats.org/officeDocument/2006/relationships/hyperlink" Target="https://www.vermontpublic.org/local-news/2024-01-31/burlington-sued-over-claims-of-excessive-force-and-inappropriate-ketamine-use-on-14-year-old" TargetMode="External"/><Relationship Id="rId273" Type="http://schemas.openxmlformats.org/officeDocument/2006/relationships/hyperlink" Target="http://www.ethics.ohio.gov" TargetMode="External"/><Relationship Id="rId480" Type="http://schemas.openxmlformats.org/officeDocument/2006/relationships/hyperlink" Target="https://casetext.com/case/maines-v-cronomer-val-fire" TargetMode="External"/><Relationship Id="rId2161" Type="http://schemas.openxmlformats.org/officeDocument/2006/relationships/hyperlink" Target="http://www.ca5.uscourts.gov/opinions/unpub/22/22-60374.0.pdf" TargetMode="External"/><Relationship Id="rId2399" Type="http://schemas.openxmlformats.org/officeDocument/2006/relationships/hyperlink" Target="https://cases.justia.com/new-york/other-courts/2025-2025-ny-slip-op-33910-u.pdf?ts=1761341305" TargetMode="External"/><Relationship Id="rId133" Type="http://schemas.openxmlformats.org/officeDocument/2006/relationships/hyperlink" Target="https://www.law.cornell.edu/rules/fre/rule_702" TargetMode="External"/><Relationship Id="rId340" Type="http://schemas.openxmlformats.org/officeDocument/2006/relationships/hyperlink" Target="https://law.justia.com/cases/illinois/court-of-appeals-fifth-appellate-district/2019/5-18-0064.html" TargetMode="External"/><Relationship Id="rId578" Type="http://schemas.openxmlformats.org/officeDocument/2006/relationships/hyperlink" Target="https://www.leagle.com/decision/innvco20191115257" TargetMode="External"/><Relationship Id="rId785" Type="http://schemas.openxmlformats.org/officeDocument/2006/relationships/hyperlink" Target="https://www.govinfo.gov/content/pkg/FR-2020-08-13/pdf/2020-17468.pd" TargetMode="External"/><Relationship Id="rId992" Type="http://schemas.openxmlformats.org/officeDocument/2006/relationships/hyperlink" Target="https://cases.justia.com/louisiana/fourth-circuit-court-of-appeal/2020-2019-ca-0250.pdf?ts=1578564502" TargetMode="External"/><Relationship Id="rId2021" Type="http://schemas.openxmlformats.org/officeDocument/2006/relationships/hyperlink" Target="https://www.courts.wa.gov/opinions/pdf/862057.pdf" TargetMode="External"/><Relationship Id="rId2259" Type="http://schemas.openxmlformats.org/officeDocument/2006/relationships/hyperlink" Target="https://www.firehouse.com/ems/news/21025612/bellingham-wa-investigation-probe-firefighters-intubation-dead-body" TargetMode="External"/><Relationship Id="rId2466" Type="http://schemas.openxmlformats.org/officeDocument/2006/relationships/hyperlink" Target="https://jgpr.net/wp-content/uploads/2020/04/433-MSJ-Order.pdf" TargetMode="External"/><Relationship Id="rId2673" Type="http://schemas.openxmlformats.org/officeDocument/2006/relationships/hyperlink" Target="https://njcourts.gov/attorneys/assets/opinions/appellate/unpublished/a4576-18.pdf?c=len" TargetMode="External"/><Relationship Id="rId2880" Type="http://schemas.openxmlformats.org/officeDocument/2006/relationships/hyperlink" Target="https://cdn.ca9.uscourts.gov/datastore/opinions/2023/04/17/21-16278.pdf" TargetMode="External"/><Relationship Id="rId200" Type="http://schemas.openxmlformats.org/officeDocument/2006/relationships/hyperlink" Target="https://casetext.com/case/united-states-v-raposo-6" TargetMode="External"/><Relationship Id="rId438" Type="http://schemas.openxmlformats.org/officeDocument/2006/relationships/hyperlink" Target="https://casetext.com/case/waybright-v-frederick-county-2" TargetMode="External"/><Relationship Id="rId645" Type="http://schemas.openxmlformats.org/officeDocument/2006/relationships/hyperlink" Target="https://cdn.ca9.uscourts.gov/datastore/opinions/2025/10/30/25-6268.pdf" TargetMode="External"/><Relationship Id="rId852" Type="http://schemas.openxmlformats.org/officeDocument/2006/relationships/hyperlink" Target="https://www.ca5.uscourts.gov/opinions/pub/22/22-40644-CV0.pdf" TargetMode="External"/><Relationship Id="rId1068" Type="http://schemas.openxmlformats.org/officeDocument/2006/relationships/hyperlink" Target="https://cases.justia.com/ohio/tenth-district-court-of-appeals/2024-22ap-431.pdf?ts=1728583884" TargetMode="External"/><Relationship Id="rId1275" Type="http://schemas.openxmlformats.org/officeDocument/2006/relationships/hyperlink" Target="http://www.pacourts.us/assets/opinions/Commonwealth/out/877CD18_3-25-19.pdf?cb=1" TargetMode="External"/><Relationship Id="rId1482" Type="http://schemas.openxmlformats.org/officeDocument/2006/relationships/hyperlink" Target="https://cases.justia.com/federal/district-courts/virginia/vaedce/3:2024cv00108/549376/71/0.pdf?ts=1749905770" TargetMode="External"/><Relationship Id="rId2119" Type="http://schemas.openxmlformats.org/officeDocument/2006/relationships/hyperlink" Target="https://codes.ohio.gov/ohio-revised-code/section-505.381" TargetMode="External"/><Relationship Id="rId2326" Type="http://schemas.openxmlformats.org/officeDocument/2006/relationships/hyperlink" Target="https://casetext.com/case/didonato-v-panatera" TargetMode="External"/><Relationship Id="rId2533" Type="http://schemas.openxmlformats.org/officeDocument/2006/relationships/hyperlink" Target="https://cases.justia.com/indiana/court-of-appeals/2025-24a-pl-02646.pdf?ts=1752863306" TargetMode="External"/><Relationship Id="rId2740" Type="http://schemas.openxmlformats.org/officeDocument/2006/relationships/hyperlink" Target="https://www.usatoday.com/story/news/nation/2014/11/23/florida-deputy-ambush-killed-identified/19446091/" TargetMode="External"/><Relationship Id="rId505" Type="http://schemas.openxmlformats.org/officeDocument/2006/relationships/hyperlink" Target="https://casetext.com/case/city-of-philadelphia-v-healey" TargetMode="External"/><Relationship Id="rId712" Type="http://schemas.openxmlformats.org/officeDocument/2006/relationships/hyperlink" Target="https://www.supremecourt.gov/opinions/21pdf/20-843_7j80.pdf" TargetMode="External"/><Relationship Id="rId1135" Type="http://schemas.openxmlformats.org/officeDocument/2006/relationships/hyperlink" Target="https://www.leagle.com/decision/inohco20220627386" TargetMode="External"/><Relationship Id="rId1342" Type="http://schemas.openxmlformats.org/officeDocument/2006/relationships/hyperlink" Target="uch%20https://www.whitehouse.gov/presidential-actions/2025/01/defending-women-from-gender-ideology-extremism-and-restoring-biological-truth-to-the-federal-government/?utm_medium=email&amp;utm_source=web_app&amp;utm_campaign=digest" TargetMode="External"/><Relationship Id="rId1787" Type="http://schemas.openxmlformats.org/officeDocument/2006/relationships/hyperlink" Target="https://www.littler.com/publication-press/publication/sixth-circuit-establishes-stricter-standard-granting-notice-flsa" TargetMode="External"/><Relationship Id="rId1994" Type="http://schemas.openxmlformats.org/officeDocument/2006/relationships/hyperlink" Target="https://www.govinfo.gov/content/pkg/USCOURTS-ca11-25-11434/pdf/USCOURTS-ca11-25-11434-0.pdf" TargetMode="External"/><Relationship Id="rId2838" Type="http://schemas.openxmlformats.org/officeDocument/2006/relationships/hyperlink" Target="https://law.justia.com/cases/new-york/appellate-division-second-department/2019/2016-10658.html" TargetMode="External"/><Relationship Id="rId79" Type="http://schemas.openxmlformats.org/officeDocument/2006/relationships/hyperlink" Target="https://www.14news.com/2024/06/17/convicted-killer-evansville-firefighter-set-be-sentenced-this-afternoon/" TargetMode="External"/><Relationship Id="rId1202" Type="http://schemas.openxmlformats.org/officeDocument/2006/relationships/hyperlink" Target="https://public.fastcase.com/Wl%2B2t%2BeVuI35%2FN70vAMFZhBwSznuAn%2FrUV3euz1vpuZ8G42r7l80quvA5s5OcZyT" TargetMode="External"/><Relationship Id="rId1647" Type="http://schemas.openxmlformats.org/officeDocument/2006/relationships/hyperlink" Target="https://www.justice.gov/opa/pr/justice-department-secures-agreement-city-blaine-minnesota-resolve-discrimination-claim" TargetMode="External"/><Relationship Id="rId1854" Type="http://schemas.openxmlformats.org/officeDocument/2006/relationships/hyperlink" Target="https://www.justice.gov/servicemembers" TargetMode="External"/><Relationship Id="rId2600" Type="http://schemas.openxmlformats.org/officeDocument/2006/relationships/hyperlink" Target="https://public.fastcase.com/ZZhmr5v9wN%2FXOe5IsQ%2FqD%2FO0LT6Pz0KJcARt671qvqgQi3DbocRDtQ4betl84jRGTGzfHSJMEalmGTdX9780fy05zDa4clbi%2BS%2BLkJBZYf4%3D?utm_medium=email&amp;_hsmi=226712652&amp;_hsenc=p2ANqtz-9l-n7ipvtzcORFmZd03PYol8SHQvcVi0Z6evQ7ScfpqYiZ21zByukFjNZtNWzEIrK0lXEwA0RlErFoyPgnUEJbLhoGpw&amp;utm_content=226712652&amp;utm_source=hs_email" TargetMode="External"/><Relationship Id="rId2905" Type="http://schemas.openxmlformats.org/officeDocument/2006/relationships/theme" Target="theme/theme1.xml"/><Relationship Id="rId1507" Type="http://schemas.openxmlformats.org/officeDocument/2006/relationships/hyperlink" Target="https://casetext.com/case/page-v-clark-cnty-fire-dist-5" TargetMode="External"/><Relationship Id="rId1714" Type="http://schemas.openxmlformats.org/officeDocument/2006/relationships/hyperlink" Target="https://www.dol.gov/sites/dolgov/files/WHD/legacy/files/fab_2020_7.pdf" TargetMode="External"/><Relationship Id="rId295" Type="http://schemas.openxmlformats.org/officeDocument/2006/relationships/hyperlink" Target="https://casetext.com/case/25-grant-st-llc-v-city-of-bridgeport" TargetMode="External"/><Relationship Id="rId1921" Type="http://schemas.openxmlformats.org/officeDocument/2006/relationships/hyperlink" Target="https://public.fastcase.com/J%2FJP6pdidelsXxEE4k%2BLMm7PttKNvW62%2BDA0%2BSJrBHAICFIaFusuxX5Jb%2BuxRPK6Bzlob%2BslGSm9QeXJwFgRUwDQqdPl09RLYbpqdskqtWk%3D" TargetMode="External"/><Relationship Id="rId2183" Type="http://schemas.openxmlformats.org/officeDocument/2006/relationships/hyperlink" Target="https://mdcourts.gov/data/opinions/cosa/2022/1037s21.pdf" TargetMode="External"/><Relationship Id="rId2390" Type="http://schemas.openxmlformats.org/officeDocument/2006/relationships/hyperlink" Target="https://cases.justia.com/texas/twelfth-court-of-appeals/2026-12-25-00273-cv.pdf?ts=1775749638" TargetMode="External"/><Relationship Id="rId2488" Type="http://schemas.openxmlformats.org/officeDocument/2006/relationships/hyperlink" Target="https://search.txcourts.gov/SearchMedia.aspx?MediaVersionID=2b0bcd7a-4ade-4d61-a274-df674ed3857f&amp;coa=coa14&amp;DT=Opinion&amp;MediaID=e76a99e8-4da0-48c8-9433-ea85e5f312cd" TargetMode="External"/><Relationship Id="rId155" Type="http://schemas.openxmlformats.org/officeDocument/2006/relationships/hyperlink" Target="https://www.supremecourt.ohio.gov/forms/all-forms/crime-victims-marsys-law-rights/112" TargetMode="External"/><Relationship Id="rId362" Type="http://schemas.openxmlformats.org/officeDocument/2006/relationships/hyperlink" Target="https://www.supremecourt.gov/opinions/17pdf/16-1466_2b3j.pdf" TargetMode="External"/><Relationship Id="rId1297" Type="http://schemas.openxmlformats.org/officeDocument/2006/relationships/hyperlink" Target="https://www.njcourts.gov/attorneys/assets/opinions/appellate/unpublished/a5206-15.pdf?cacheID=tO9Al6f" TargetMode="External"/><Relationship Id="rId2043" Type="http://schemas.openxmlformats.org/officeDocument/2006/relationships/hyperlink" Target="https://caselaw.findlaw.com/court/ma-court-of-appeals/116890923.html" TargetMode="External"/><Relationship Id="rId2250" Type="http://schemas.openxmlformats.org/officeDocument/2006/relationships/hyperlink" Target="https://fisheldowney.com/texas-federal-court-permits-employer-vaccine-mandates-mean-ohio-employers/" TargetMode="External"/><Relationship Id="rId2695" Type="http://schemas.openxmlformats.org/officeDocument/2006/relationships/hyperlink" Target="https://www.dmlp.org/legal-guide/ohio/ohio-recording-law" TargetMode="External"/><Relationship Id="rId222" Type="http://schemas.openxmlformats.org/officeDocument/2006/relationships/hyperlink" Target="https://law.justia.com/cases/virginia/court-of-appeals-unpublished/2022/0509-21-2.html" TargetMode="External"/><Relationship Id="rId667" Type="http://schemas.openxmlformats.org/officeDocument/2006/relationships/hyperlink" Target="https://casetext.com/case/souverneva-v-the-superior-court" TargetMode="External"/><Relationship Id="rId874" Type="http://schemas.openxmlformats.org/officeDocument/2006/relationships/hyperlink" Target="http://www.courtswv.gov/supreme-court/memo-decisions/spring2023/21-0921%20md.pdf" TargetMode="External"/><Relationship Id="rId2110" Type="http://schemas.openxmlformats.org/officeDocument/2006/relationships/hyperlink" Target="https://cases.justia.com/minnesota/court-of-appeals/2024-a23-1210.pdf?ts=1710536669" TargetMode="External"/><Relationship Id="rId2348" Type="http://schemas.openxmlformats.org/officeDocument/2006/relationships/hyperlink" Target="https://law.justia.com/cases/new-york/other-courts/2019/2019-ny-slip-op-30983-u.html" TargetMode="External"/><Relationship Id="rId2555" Type="http://schemas.openxmlformats.org/officeDocument/2006/relationships/hyperlink" Target="https://cases.justia.com/utah/court-of-appeals-published/2024-20220074-ca.pdf?ts=172806708" TargetMode="External"/><Relationship Id="rId2762" Type="http://schemas.openxmlformats.org/officeDocument/2006/relationships/hyperlink" Target="https://public.fastcase.com/jaEE2PXzRXmZ99jOLMt1Ir%2Bgd4DeQSRcdUE7IJV4ZHQFjK4R6%2FaVKxoGJags6yJ8?utm_medium=email&amp;_hsenc=p2ANqtz-9_dtoT8MCHWol7MkpFQEKniJ3EcCAHTOONesHADifFFZppYBhmnp0t7X96SaR0z0JseLLFRZzCLhs4WSwU0MvvvFbR6g&amp;_hsmi=226712652&amp;utm_content=226712652&amp;utm_source=hs_email" TargetMode="External"/><Relationship Id="rId527" Type="http://schemas.openxmlformats.org/officeDocument/2006/relationships/hyperlink" Target="https://www.supremecourt.gov/opinions/21pdf/20-843_7j80.pdf" TargetMode="External"/><Relationship Id="rId734" Type="http://schemas.openxmlformats.org/officeDocument/2006/relationships/hyperlink" Target="https://public.fastcase.com/9SKwsfNqTc6OieYDhNMyMwgnH2rEWQiRpx4SwB8tOsl9D8EiwJnekd530roHqTrENez3wWnOYZMVTxSfKTsOEtbG3zaICMf20ttzqQEEaDo" TargetMode="External"/><Relationship Id="rId941" Type="http://schemas.openxmlformats.org/officeDocument/2006/relationships/hyperlink" Target="https://casetext.com/case/kneeshaw-v-the-superior-court-of-orange-cnty" TargetMode="External"/><Relationship Id="rId1157" Type="http://schemas.openxmlformats.org/officeDocument/2006/relationships/hyperlink" Target="https://casetext.com/case/bradley-v-city-of-olympia" TargetMode="External"/><Relationship Id="rId1364" Type="http://schemas.openxmlformats.org/officeDocument/2006/relationships/hyperlink" Target="https://cases.justia.com/federal/district-courts/illinois/ilndce/1:2016cv10156/332956/258/0.pdf?ts=1582820345" TargetMode="External"/><Relationship Id="rId1571" Type="http://schemas.openxmlformats.org/officeDocument/2006/relationships/hyperlink" Target="https://casetext.com/case/alamo-v-city-of-chi-2" TargetMode="External"/><Relationship Id="rId2208" Type="http://schemas.openxmlformats.org/officeDocument/2006/relationships/hyperlink" Target="https://www.leagle.com/decision/infdco20220324d64" TargetMode="External"/><Relationship Id="rId2415" Type="http://schemas.openxmlformats.org/officeDocument/2006/relationships/hyperlink" Target="https://app.leg.wa.gov/RCW/default.aspx?cite=41.26.030" TargetMode="External"/><Relationship Id="rId2622" Type="http://schemas.openxmlformats.org/officeDocument/2006/relationships/hyperlink" Target="https://public.fastcase.com/J%2FJP6pdidelsXxEE4k%2BLMjmPooMwsB33SF6fQbdKtm0G0C1GTVTWTSbOoR0BGdHWdmqT3nxx5N34mFb%2FQIY0wnFPK7Gz1IkNE53DDevS6vE%3D?utm_medium=email&amp;_hsmi=226712652&amp;_hsenc=p2ANqtz--MKBV4Y804r56tzWY_uVAuJIZ65L25irdtNU6ZdfUrAAPtscNAIDyxYykxQ2RxJby9_Fy5S6I1PNXJg84F7LwVp6Ejlw&amp;utm_content=226712652&amp;utm_source=hs_email" TargetMode="External"/><Relationship Id="rId70" Type="http://schemas.openxmlformats.org/officeDocument/2006/relationships/hyperlink" Target="https://www.youtube.com/watch?v=pYAlJLy1R8U" TargetMode="External"/><Relationship Id="rId801" Type="http://schemas.openxmlformats.org/officeDocument/2006/relationships/hyperlink" Target="http://www.ca2.uscourts.gov/decisions/isysquery/d136f88b-cd40-4720-ac80-979ab5d9e37d/2/doc/18-943_opn.pdf" TargetMode="External"/><Relationship Id="rId1017" Type="http://schemas.openxmlformats.org/officeDocument/2006/relationships/hyperlink" Target="https://public.fastcase.com/Jhe1Qn%2BmJndQYQU6z%2FeNm1SSbD0G3ZEWJh7YHZP1lKvwyFhreCu4Zs3UIv3EdnBK?utm_medium=email&amp;_hsenc=p2ANqtz-9nqm6pHuxrJA2eqp98a7_eI9fDSv0sKlRywY7jloQaZjhwJh8mlE2JmH7OUYiPvznSiiSBN3erALyoe2ilWNUf5RREvQ&amp;_hsmi=226712652&amp;utm_content=226712652&amp;utm_source=hs_email" TargetMode="External"/><Relationship Id="rId1224" Type="http://schemas.openxmlformats.org/officeDocument/2006/relationships/hyperlink" Target="https://www.natlawreview.com/article/department-justice-report-shows-whistleblowers-consistently-rewarded-through-qui-tam" TargetMode="External"/><Relationship Id="rId1431" Type="http://schemas.openxmlformats.org/officeDocument/2006/relationships/hyperlink" Target="https://public.fastcase.com/Wl%2B2t%2BeVuI35%2FN70vAMFZpwObr9UCo7RpBGKfgPOWwVQBI%2BjVLV%2FylH6ScWLGBY%2F" TargetMode="External"/><Relationship Id="rId1669" Type="http://schemas.openxmlformats.org/officeDocument/2006/relationships/hyperlink" Target="https://public.fastcase.com/J%2FJP6pdidelsXxEE4k%2BLMiM7pwWb%2BJBiIrsmHTSQKCgTGoUCuPbfbRmZbIscWTRrl1YTX4iVhFAcHudcdl9kVeXDJy0GqMwEdaMu5Mx11Z8%3D" TargetMode="External"/><Relationship Id="rId1876" Type="http://schemas.openxmlformats.org/officeDocument/2006/relationships/hyperlink" Target="https://cases.justia.com/louisiana/first-circuit-court-of-appeal/2026-2025cw0332.pdf?ts=1776975731" TargetMode="External"/><Relationship Id="rId1529" Type="http://schemas.openxmlformats.org/officeDocument/2006/relationships/hyperlink" Target="https://www.wkbw.com/news/local-news/city-of-buffalo-updating-training-procedures-rolling-out-diversity-training-for-every-department" TargetMode="External"/><Relationship Id="rId1736" Type="http://schemas.openxmlformats.org/officeDocument/2006/relationships/hyperlink" Target="https://www.opn.ca6.uscourts.gov/opinions.pdf/19a0114p-06.pdf" TargetMode="External"/><Relationship Id="rId1943" Type="http://schemas.openxmlformats.org/officeDocument/2006/relationships/hyperlink" Target="https://casetext.com/case/coppage-v-city-of-raleigh-1" TargetMode="External"/><Relationship Id="rId28" Type="http://schemas.openxmlformats.org/officeDocument/2006/relationships/hyperlink" Target="https://ecf.ca8.uscourts.gov/opndir/26/04/242159P.pdf" TargetMode="External"/><Relationship Id="rId1803" Type="http://schemas.openxmlformats.org/officeDocument/2006/relationships/hyperlink" Target="https://www.law.cornell.edu/definitions/uscode.php?width=840&amp;height=800&amp;iframe=true&amp;def_id=29-USC-3641640-1968318500&amp;term_occur=999&amp;term_src=title:29:chapter:9:section:260" TargetMode="External"/><Relationship Id="rId177" Type="http://schemas.openxmlformats.org/officeDocument/2006/relationships/hyperlink" Target="https://casetext.com/case/people-v-smith-9160" TargetMode="External"/><Relationship Id="rId384" Type="http://schemas.openxmlformats.org/officeDocument/2006/relationships/hyperlink" Target="https://cases.justia.com/missouri/court-of-appeals/2026-wd88291.pdf?ts=1779809421" TargetMode="External"/><Relationship Id="rId591" Type="http://schemas.openxmlformats.org/officeDocument/2006/relationships/hyperlink" Target="https://www.firstrespondercenter.org/cancer/toolsresources/presumptive-legislation-firefighter-cancer-state/" TargetMode="External"/><Relationship Id="rId2065" Type="http://schemas.openxmlformats.org/officeDocument/2006/relationships/hyperlink" Target="https://revisor.mo.gov/main/OneSection.aspx?section=195.205" TargetMode="External"/><Relationship Id="rId2272" Type="http://schemas.openxmlformats.org/officeDocument/2006/relationships/hyperlink" Target="https://law.justia.com/cases/delaware/superior-court/2021/n17c-10-149-alr.html" TargetMode="External"/><Relationship Id="rId244" Type="http://schemas.openxmlformats.org/officeDocument/2006/relationships/hyperlink" Target="https://public.fastcase.com/9SKwsfNqTc6OieYDhNMyM6jgODeMvtNo11ZvDvT9dExI019FDNN4wp%2BIWQLSUMw%2BxfaNzZaXSMuB0brgu1SRuIg3s6kJiaNRSylEv%2FkVP98%3D" TargetMode="External"/><Relationship Id="rId689" Type="http://schemas.openxmlformats.org/officeDocument/2006/relationships/hyperlink" Target="https://caselaw.findlaw.com/court/us-dis-crt-n-d-cal/115575640.html" TargetMode="External"/><Relationship Id="rId896" Type="http://schemas.openxmlformats.org/officeDocument/2006/relationships/hyperlink" Target="https://casetext.com/case/reyes-v-monroe-cnty" TargetMode="External"/><Relationship Id="rId1081" Type="http://schemas.openxmlformats.org/officeDocument/2006/relationships/hyperlink" Target="https://casetext.com/case/doe-v-city-of-philadelphia-5" TargetMode="External"/><Relationship Id="rId2577" Type="http://schemas.openxmlformats.org/officeDocument/2006/relationships/hyperlink" Target="https://casetext.com/case/zahn-v-kenner-mun-fire-police-civil-serv-bd" TargetMode="External"/><Relationship Id="rId2784" Type="http://schemas.openxmlformats.org/officeDocument/2006/relationships/hyperlink" Target="https://trellis.law/doc/60559021/complaint-filed" TargetMode="External"/><Relationship Id="rId451" Type="http://schemas.openxmlformats.org/officeDocument/2006/relationships/hyperlink" Target="https://www.supremecourt.ohio.gov/rod/docs/pdf/10/2024/2024-Ohio-5181.pdf" TargetMode="External"/><Relationship Id="rId549" Type="http://schemas.openxmlformats.org/officeDocument/2006/relationships/hyperlink" Target="https://law.justia.com/cases/michigan/court-of-appeals-unpublished/2021/350129.html" TargetMode="External"/><Relationship Id="rId756" Type="http://schemas.openxmlformats.org/officeDocument/2006/relationships/hyperlink" Target="https://www.law.cornell.edu/definitions/uscode.php?width=840&amp;height=800&amp;iframe=true&amp;def_id=8-USC-92903111-1485256781&amp;term_occur=999&amp;term_src=" TargetMode="External"/><Relationship Id="rId1179" Type="http://schemas.openxmlformats.org/officeDocument/2006/relationships/hyperlink" Target="https://www.hamiltoncountyohio.gov/UserFiles/Servers/Server_3788196/File/releases/2021/C-200202_04142021.pdf" TargetMode="External"/><Relationship Id="rId1386" Type="http://schemas.openxmlformats.org/officeDocument/2006/relationships/hyperlink" Target="https://public.fastcase.com/waZtJvSA54UAurM2rmIZzzCYJhAha3GGo3AEN0d5yD5AXzBU0GIzy8sJKIx0m%2BEEHwIyJuWgbxH4Xd2BL4DW9aTliyBT6bOFBbV5rp7%2BS3s%3D" TargetMode="External"/><Relationship Id="rId1593" Type="http://schemas.openxmlformats.org/officeDocument/2006/relationships/hyperlink" Target="https://ecf.gamd.uscourts.gov/cgi-bin/show_public_doc?2018-00132-29-7-cv" TargetMode="External"/><Relationship Id="rId2132" Type="http://schemas.openxmlformats.org/officeDocument/2006/relationships/hyperlink" Target="http://www.courtswv.gov/supreme-court/docs/fall2023/22-0202-wooton-p.pdf" TargetMode="External"/><Relationship Id="rId2437" Type="http://schemas.openxmlformats.org/officeDocument/2006/relationships/hyperlink" Target="https://law.justia.com/cases/minnesota/court-of-appeals/2022/a22-0507.html" TargetMode="External"/><Relationship Id="rId104" Type="http://schemas.openxmlformats.org/officeDocument/2006/relationships/hyperlink" Target="https://cases.justia.com/ohio/seventh-district-court-of-appeals/2024-24-be-0004.pdf?ts=1730297340" TargetMode="External"/><Relationship Id="rId311" Type="http://schemas.openxmlformats.org/officeDocument/2006/relationships/hyperlink" Target="https://cdm17027.contentdm.oclc.org/digital/collection/p17027coll5/id/26716/rec/1" TargetMode="External"/><Relationship Id="rId409" Type="http://schemas.openxmlformats.org/officeDocument/2006/relationships/hyperlink" Target="https://www.aclufl.org/legislation/hb-75sb-184-criminalizing-bystanders-exercising-first-amendment-rights/" TargetMode="External"/><Relationship Id="rId963" Type="http://schemas.openxmlformats.org/officeDocument/2006/relationships/hyperlink" Target="https://codes.ohio.gov/ohio-revised-code/section-4511.03" TargetMode="External"/><Relationship Id="rId1039" Type="http://schemas.openxmlformats.org/officeDocument/2006/relationships/hyperlink" Target="https://www.socialaw.com/services/slip-opinions/slip-opinion-details/michael-cannata-vs.-town-of-mashpee" TargetMode="External"/><Relationship Id="rId1246" Type="http://schemas.openxmlformats.org/officeDocument/2006/relationships/hyperlink" Target="https://mdcourts.gov/data/opinions/cosa/2020/3381s18.pdf" TargetMode="External"/><Relationship Id="rId1898" Type="http://schemas.openxmlformats.org/officeDocument/2006/relationships/hyperlink" Target="https://casetext.com/statute/montana-code/title-39-labor/chapter-31-collective-bargaining-for-public-employees/part-4-unfair-labor-practices/section-39-31-406-hearing-on-complaint-findings-order" TargetMode="External"/><Relationship Id="rId2644" Type="http://schemas.openxmlformats.org/officeDocument/2006/relationships/hyperlink" Target="https://codes.ohio.gov/ohio-revised-code/section-9.481" TargetMode="External"/><Relationship Id="rId2851" Type="http://schemas.openxmlformats.org/officeDocument/2006/relationships/hyperlink" Target="https://www.flhouse.gov/Sections/Bills/billsdetail.aspx?BillId=78745" TargetMode="External"/><Relationship Id="rId92" Type="http://schemas.openxmlformats.org/officeDocument/2006/relationships/hyperlink" Target="https://cases.justia.com/federal/appellate-courts/ca3/24-1567/24-1567-2024-12-17.pdf?ts=1734458412" TargetMode="External"/><Relationship Id="rId616" Type="http://schemas.openxmlformats.org/officeDocument/2006/relationships/hyperlink" Target="https://d.docs.live.net/bd9b2eaf6053242e/AppData/Roaming/Microsoft/AppData/Local/Microsoft/Windows/INetCache/IE/CTCRXJ99/Alvarez-v-American-LaFrance.pdf" TargetMode="External"/><Relationship Id="rId823" Type="http://schemas.openxmlformats.org/officeDocument/2006/relationships/hyperlink" Target="https://www.supremecourt.gov/opinions/17pdf/17-965_h315.pdf" TargetMode="External"/><Relationship Id="rId1453" Type="http://schemas.openxmlformats.org/officeDocument/2006/relationships/hyperlink" Target="https://www.eeoc.gov/policy/docs/factemployment_procedures.html" TargetMode="External"/><Relationship Id="rId1660" Type="http://schemas.openxmlformats.org/officeDocument/2006/relationships/hyperlink" Target="https://public.fastcase.com/ZZhmr5v9wN%2FXOe5IsQ%2FqD213NfZOkBOT9oUFU2NATn1Aebu4tmd%2Bdm4Fq8wJV%2BgJ%2FUz5tDo4rrQTf5JLsx7PM2RT%2BnNbiLW8av7Jbge%2Fzbw%3D?utm_medium=email&amp;_hsmi=226712652&amp;_hsenc=p2ANqtz-83LxoyDBgyJFjB5J1tvKo9--ehLEBCqV6koHeoTan0Qm4V8taXVkAh8h56UhoHEEE4y9wodFDrH_2nxx13nTAr7JOLdw&amp;utm_content=226712652&amp;utm_source=hs_email" TargetMode="External"/><Relationship Id="rId1758" Type="http://schemas.openxmlformats.org/officeDocument/2006/relationships/hyperlink" Target="https://media.ca11.uscourts.gov/opinions/pub/files/202211322.pdf" TargetMode="External"/><Relationship Id="rId2504" Type="http://schemas.openxmlformats.org/officeDocument/2006/relationships/hyperlink" Target="file:///C:/Users/lawre/Downloads/25P0275.pdf" TargetMode="External"/><Relationship Id="rId2711" Type="http://schemas.openxmlformats.org/officeDocument/2006/relationships/hyperlink" Target="https://public.fastcase.com/Wl%2B2t%2BeVuI35%2FN70vAMFZlZAOd3Yf30gW5GUDA4he8qcwsisxdvBFlR%2Bm9b1UDwt" TargetMode="External"/><Relationship Id="rId2809" Type="http://schemas.openxmlformats.org/officeDocument/2006/relationships/hyperlink" Target="https://law.justia.com/cases/pennsylvania/commonwealth-court/2022/242-c-d-2022.html" TargetMode="External"/><Relationship Id="rId1106" Type="http://schemas.openxmlformats.org/officeDocument/2006/relationships/hyperlink" Target="https://casetext.com/case/clark-v-town-of-waterford-1" TargetMode="External"/><Relationship Id="rId1313" Type="http://schemas.openxmlformats.org/officeDocument/2006/relationships/hyperlink" Target="https://www.casemine.com/judgement/us/6a0be85df21cf013d419bfe6" TargetMode="External"/><Relationship Id="rId1520" Type="http://schemas.openxmlformats.org/officeDocument/2006/relationships/hyperlink" Target="https://www.usnews.com/news/us/articles/2024-01-14/as-legal-challenges-mount-some-companies-retool-diversity-and-inclusion-programs" TargetMode="External"/><Relationship Id="rId1965" Type="http://schemas.openxmlformats.org/officeDocument/2006/relationships/hyperlink" Target="https://s3.amazonaws.com/jnswire/jns-media/cc/cd/14348583/BaumgartnervChicago.pdf" TargetMode="External"/><Relationship Id="rId1618" Type="http://schemas.openxmlformats.org/officeDocument/2006/relationships/hyperlink" Target="https://academicworks.cuny.edu/cgi/viewcontent.cgi?article=6894&amp;context=gc_etds" TargetMode="External"/><Relationship Id="rId1825" Type="http://schemas.openxmlformats.org/officeDocument/2006/relationships/hyperlink" Target="https://www.justice.gov/servicemembers/other-resources" TargetMode="External"/><Relationship Id="rId199" Type="http://schemas.openxmlformats.org/officeDocument/2006/relationships/hyperlink" Target="https://www.sccourts.org/opinions//unpublishedopinions/HTMLFiles/COA/2023-UP-014.pdf" TargetMode="External"/><Relationship Id="rId2087" Type="http://schemas.openxmlformats.org/officeDocument/2006/relationships/hyperlink" Target="https://www.hmpgloballearningnetwork.com/site/emsworld/feature-story/body-cams-help-new-orleans-ems-protect-providers-while-prioritizing" TargetMode="External"/><Relationship Id="rId2294" Type="http://schemas.openxmlformats.org/officeDocument/2006/relationships/hyperlink" Target="file:///C:/Users/lawre/AppData/Local/Temp/19P0716.pdf" TargetMode="External"/><Relationship Id="rId266" Type="http://schemas.openxmlformats.org/officeDocument/2006/relationships/hyperlink" Target="https://www.wicourts.gov/ca/opinion/DisplayDocument.pdf?content=pdf&amp;seqNo=342440" TargetMode="External"/><Relationship Id="rId473" Type="http://schemas.openxmlformats.org/officeDocument/2006/relationships/hyperlink" Target="https://public.fastcase.com/H1P9uiW3J20SFp%2BGCG%2BxLbl0r%2FVDwzY9bFFJYqsh2zfJNVHn0JMcdFbkvIZSEaI0?utm_medium=email&amp;_hsmi=226712652&amp;_hsenc=p2ANqtz-8YA_f1AfCb15SVfFtIs0GBJg2UPhrOC0M_f0Fb9rbVagQyKLN71UFoiLhG6tJj5xQri87F989l3qtQXeXvmTCDhcNwWw&amp;utm_content=226712652&amp;utm_source=hs_email" TargetMode="External"/><Relationship Id="rId680" Type="http://schemas.openxmlformats.org/officeDocument/2006/relationships/hyperlink" Target="https://cases.justia.com/federal/appellate-courts/cadc/22-3064/22-3064-2024-05-28.pdf?ts=1716910338" TargetMode="External"/><Relationship Id="rId2154" Type="http://schemas.openxmlformats.org/officeDocument/2006/relationships/hyperlink" Target="https://law.justia.com/cases/new-york/other-courts/2023/2023-ny-slip-op-31298-u.html" TargetMode="External"/><Relationship Id="rId2361" Type="http://schemas.openxmlformats.org/officeDocument/2006/relationships/hyperlink" Target="http://decisions.courts.state.ny.us/ad3/Decisions/2018/526165.pdf" TargetMode="External"/><Relationship Id="rId2599" Type="http://schemas.openxmlformats.org/officeDocument/2006/relationships/hyperlink" Target="https://www.justice.gov/opa/pr/former-deputy-us-marshal-sentenced-cyberstalking-perjury-and-obstruction" TargetMode="External"/><Relationship Id="rId126" Type="http://schemas.openxmlformats.org/officeDocument/2006/relationships/hyperlink" Target="https://www.law.cornell.edu/wex/hearsay" TargetMode="External"/><Relationship Id="rId333" Type="http://schemas.openxmlformats.org/officeDocument/2006/relationships/hyperlink" Target="https://law.justia.com/cases/federal/appellate-courts/ca7/17-3030/17-3030-2018-08-22.html" TargetMode="External"/><Relationship Id="rId540" Type="http://schemas.openxmlformats.org/officeDocument/2006/relationships/hyperlink" Target="https://www.14news.com/2021/08/12/supreme-court-wont-stop-indiana-universitys-covid-vaccination-requirement/" TargetMode="External"/><Relationship Id="rId778" Type="http://schemas.openxmlformats.org/officeDocument/2006/relationships/hyperlink" Target="https://immigrationequality.org/asylum/asylum-manual/immigration-basics-relief-under-cat/" TargetMode="External"/><Relationship Id="rId985" Type="http://schemas.openxmlformats.org/officeDocument/2006/relationships/hyperlink" Target="https://law.justia.com/cases/michigan/court-of-appeals-unpublished/2020/351871.html" TargetMode="External"/><Relationship Id="rId1170" Type="http://schemas.openxmlformats.org/officeDocument/2006/relationships/hyperlink" Target="https://law.justia.com/cases/new-york/appellate-division-third-department/2021/532333.html" TargetMode="External"/><Relationship Id="rId2014" Type="http://schemas.openxmlformats.org/officeDocument/2006/relationships/hyperlink" Target="https://jpr.azcourts.gov/Portals/0/OpinionFiles/Div1/2025/1%20CA-CR%2024-0549%20Johnson.pdf" TargetMode="External"/><Relationship Id="rId2221" Type="http://schemas.openxmlformats.org/officeDocument/2006/relationships/hyperlink" Target="https://www.nbcnews.com/news/us-news/u-s-supreme-court-hear-challenges-biden-s-vaccine-mandates-n1286536" TargetMode="External"/><Relationship Id="rId2459" Type="http://schemas.openxmlformats.org/officeDocument/2006/relationships/hyperlink" Target="https://www.gerberholderlaw.com/workers-comp-ptsd-by-state/" TargetMode="External"/><Relationship Id="rId2666" Type="http://schemas.openxmlformats.org/officeDocument/2006/relationships/hyperlink" Target="https://public.fastcase.com/Wl%2B2t%2BeVuI35%2FN70vAMFZry7Wdfw%2FJOcYD0w2Kcl2Q1FxaIYO1NAtHxZOlhNOguL" TargetMode="External"/><Relationship Id="rId2873" Type="http://schemas.openxmlformats.org/officeDocument/2006/relationships/hyperlink" Target="https://casetext.com/statute/united-states-code/title-5-government-organization-and-employees/part-i-the-agencies-generally/chapter-7-judicial-review/section-706-scope-of-review" TargetMode="External"/><Relationship Id="rId638" Type="http://schemas.openxmlformats.org/officeDocument/2006/relationships/hyperlink" Target="https://cases.justia.com/federal/district-courts/illinois/ilndce/1:2025cv12765/488308/72/0.pdf?ts=1763809095" TargetMode="External"/><Relationship Id="rId845" Type="http://schemas.openxmlformats.org/officeDocument/2006/relationships/hyperlink" Target="https://cases.justia.com/federal/appellate-courts/ca5/24-50970/24-50970-2025-06-05.pdf?ts=1749144644" TargetMode="External"/><Relationship Id="rId1030" Type="http://schemas.openxmlformats.org/officeDocument/2006/relationships/hyperlink" Target="https://www.govinfo.gov/content/pkg/USCOURTS-ncwd-5_24-cv-00192/pdf/USCOURTS-ncwd-5_24-cv-00192-1.pdf" TargetMode="External"/><Relationship Id="rId1268" Type="http://schemas.openxmlformats.org/officeDocument/2006/relationships/hyperlink" Target="https://public.fastcase.com/Wl%2B2t%2BeVuI35%2FN70vAMFZi2NtCwkTvdiKyrWKXTmtjwARSxGp50rXf7QoqUpwr%2BO" TargetMode="External"/><Relationship Id="rId1475" Type="http://schemas.openxmlformats.org/officeDocument/2006/relationships/hyperlink" Target="https://www.ca5.uscourts.gov/opinions/pub/24/24-30777-CV0.pdf" TargetMode="External"/><Relationship Id="rId1682" Type="http://schemas.openxmlformats.org/officeDocument/2006/relationships/hyperlink" Target="https://www.osha.gov/laws-regs/regulations/standardnumber/1910/1910.95AppF" TargetMode="External"/><Relationship Id="rId2319" Type="http://schemas.openxmlformats.org/officeDocument/2006/relationships/hyperlink" Target="http://www.pacourts.us/assets/opinions/Supreme/out/68MM2020mo%20-%2010439399799476700.pdf?cb=1" TargetMode="External"/><Relationship Id="rId2526" Type="http://schemas.openxmlformats.org/officeDocument/2006/relationships/hyperlink" Target="https://www.supremecourt.ohio.gov/rod/docs/pdf/6/2025/2025-Ohio-3100.pdf" TargetMode="External"/><Relationship Id="rId2733" Type="http://schemas.openxmlformats.org/officeDocument/2006/relationships/hyperlink" Target="https://www.courtlistener.com/recap/gov.uscourts.mad.185693/gov.uscourts.mad.185693.65.0.pdf" TargetMode="External"/><Relationship Id="rId400" Type="http://schemas.openxmlformats.org/officeDocument/2006/relationships/hyperlink" Target="https://cases.justia.com/federal/district-courts/montana/mtdce/2:2025cv00036/80451/160/0.pdf?ts=1768305911" TargetMode="External"/><Relationship Id="rId705" Type="http://schemas.openxmlformats.org/officeDocument/2006/relationships/hyperlink" Target="https://casetext.com/case/baarbe-v-the-syrian-arab-republic" TargetMode="External"/><Relationship Id="rId1128" Type="http://schemas.openxmlformats.org/officeDocument/2006/relationships/hyperlink" Target="https://caselaw.findlaw.com/ny-supreme-court/1972528.html" TargetMode="External"/><Relationship Id="rId1335" Type="http://schemas.openxmlformats.org/officeDocument/2006/relationships/hyperlink" Target="https://cases.justia.com/federal/district-courts/texas/txsdce/6:2022cv00002/1858056/21/0.pdf?ts=1664555743" TargetMode="External"/><Relationship Id="rId1542" Type="http://schemas.openxmlformats.org/officeDocument/2006/relationships/hyperlink" Target="https://boingboing.net/2017/11/06/city-of-miami-demands-media-st.html" TargetMode="External"/><Relationship Id="rId1987" Type="http://schemas.openxmlformats.org/officeDocument/2006/relationships/hyperlink" Target="https://cases.justia.com/minnesota/supreme-court/2026-a23-0516.pdf?ts=1773911973" TargetMode="External"/><Relationship Id="rId912" Type="http://schemas.openxmlformats.org/officeDocument/2006/relationships/hyperlink" Target="https://ktla.com/news/local-news/gov-newsom-signs-new-law-prompted-by-photo-scandal-in-crash-that-killed-kobe-bryant-8-others-in-calabasas/" TargetMode="External"/><Relationship Id="rId1847" Type="http://schemas.openxmlformats.org/officeDocument/2006/relationships/hyperlink" Target="https://www.law.cornell.edu/cfr/text/29/553.201" TargetMode="External"/><Relationship Id="rId2800" Type="http://schemas.openxmlformats.org/officeDocument/2006/relationships/hyperlink" Target="https://apps.nlrb.gov/link/document.aspx/09031d45839af64d" TargetMode="External"/><Relationship Id="rId41" Type="http://schemas.openxmlformats.org/officeDocument/2006/relationships/hyperlink" Target="https://law.justia.com/cases/kentucky/supreme-court/2025/2023-sc-0395-dg.html" TargetMode="External"/><Relationship Id="rId1402" Type="http://schemas.openxmlformats.org/officeDocument/2006/relationships/hyperlink" Target="https://www.firerescue1.com/lawsuit/articles/judge-dismisses-federal-gender-discrimination-suit-of-fdny-emt-who-posed-for-calendar-v4FDLqPObm3t3BSV/?utm_source=FireRescue1&amp;utm_campaign=dfa53e36a0-EMAIL_CAMPAIGN_2021_10_08_06_27&amp;utm_medium=email&amp;utm_term=0_1d76c7ca1b-dfa53e36a0-91025172" TargetMode="External"/><Relationship Id="rId1707" Type="http://schemas.openxmlformats.org/officeDocument/2006/relationships/hyperlink" Target="https://casetext.com/case/kocsis-v-multi-care-management-inc" TargetMode="External"/><Relationship Id="rId190" Type="http://schemas.openxmlformats.org/officeDocument/2006/relationships/hyperlink" Target="https://apps.legislature.ky.gov/law/statutes/statute.aspx?id=44007" TargetMode="External"/><Relationship Id="rId288" Type="http://schemas.openxmlformats.org/officeDocument/2006/relationships/hyperlink" Target="https://supreme.justia.com/cases/federal/us/468/897/" TargetMode="External"/><Relationship Id="rId1914" Type="http://schemas.openxmlformats.org/officeDocument/2006/relationships/hyperlink" Target="https://oag.ca.gov/system/files/attachments/press-docs/Mediator%27s%20Fourth%20Interim%20Report.pdf" TargetMode="External"/><Relationship Id="rId495" Type="http://schemas.openxmlformats.org/officeDocument/2006/relationships/hyperlink" Target="https://casetext.com/statute/california-codes/california-civil-code/division-3-obligations/part-3-obligations-imposed-by-law/section-17149-injury-to-peace-officer-firefighter-or-emergency-medical-personnel" TargetMode="External"/><Relationship Id="rId2176" Type="http://schemas.openxmlformats.org/officeDocument/2006/relationships/hyperlink" Target="https://law.justia.com/cases/michigan/court-of-appeals-unpublished/2022/359110.html" TargetMode="External"/><Relationship Id="rId2383" Type="http://schemas.openxmlformats.org/officeDocument/2006/relationships/hyperlink" Target="https://www.ca4.uscourts.gov/Opinions/201342.P.pdf" TargetMode="External"/><Relationship Id="rId2590" Type="http://schemas.openxmlformats.org/officeDocument/2006/relationships/hyperlink" Target="https://supreme.justia.com/cases/federal/us/405/150/" TargetMode="External"/><Relationship Id="rId148" Type="http://schemas.openxmlformats.org/officeDocument/2006/relationships/hyperlink" Target="https://cases.justia.com/michigan/court-of-appeals-published/2024-364264.pdf?ts=1708092018" TargetMode="External"/><Relationship Id="rId355" Type="http://schemas.openxmlformats.org/officeDocument/2006/relationships/hyperlink" Target="https://www.wicourts.gov/sc/opinion/DisplayDocument.pdf?content=pdf&amp;seqNo=224718" TargetMode="External"/><Relationship Id="rId562" Type="http://schemas.openxmlformats.org/officeDocument/2006/relationships/hyperlink" Target="https://fox13now.com/2019/09/11/family-of-fallen-draper-firefighter-suing-state-of-california-for-wrongful-death/" TargetMode="External"/><Relationship Id="rId1192" Type="http://schemas.openxmlformats.org/officeDocument/2006/relationships/hyperlink" Target="https://www.govexec.com/pay-benefits/2001/08/firefighter-retirement-age-rises-to-57/9846/" TargetMode="External"/><Relationship Id="rId2036" Type="http://schemas.openxmlformats.org/officeDocument/2006/relationships/hyperlink" Target="https://law.justia.com/cases/new-york/other-courts/2025/2025-ny-slip-op-25090.html" TargetMode="External"/><Relationship Id="rId2243" Type="http://schemas.openxmlformats.org/officeDocument/2006/relationships/hyperlink" Target="https://www.denverpost.com/2021/09/02/elijah-mclain-charges-manslaughter-negligent-homicide/" TargetMode="External"/><Relationship Id="rId2450" Type="http://schemas.openxmlformats.org/officeDocument/2006/relationships/hyperlink" Target="file:///C:\Users\lawre\AppData\Local\Microsoft\Windows\INetCache\Content.Outlook\L4F26AG7\Mayer%20%5E0%20Corey%202016%20Current%20Issues%20in%20FFD%20evaluations%20of%20LEOs.pdf" TargetMode="External"/><Relationship Id="rId2688" Type="http://schemas.openxmlformats.org/officeDocument/2006/relationships/hyperlink" Target="https://www.courts.ca.gov/opinions/nonpub/H046246.PDF" TargetMode="External"/><Relationship Id="rId2895" Type="http://schemas.openxmlformats.org/officeDocument/2006/relationships/hyperlink" Target="https://public.fastcase.com/Wl%2B2t%2BeVuI35%2FN70vAMFZlFt1LsN7FOv8IeLOLQpT2HmGMXcCWoYq2MigYjsxegu" TargetMode="External"/><Relationship Id="rId215" Type="http://schemas.openxmlformats.org/officeDocument/2006/relationships/hyperlink" Target="https://ecf.ca8.uscourts.gov/opndir/22/05/212146P.pdf" TargetMode="External"/><Relationship Id="rId422" Type="http://schemas.openxmlformats.org/officeDocument/2006/relationships/hyperlink" Target="https://cases.justia.com/federal/district-courts/kentucky/kyedce/6:2024cv00173/106630/18/0.pdf?ts=1750154108" TargetMode="External"/><Relationship Id="rId867" Type="http://schemas.openxmlformats.org/officeDocument/2006/relationships/hyperlink" Target="https://search.txcourts.gov/SearchMedia.aspx?MediaVersionID=0759d8f0-c4e1-4852-8390-4190cacb89f6&amp;coa=coa10&amp;DT=Opinion&amp;MediaID=dc9d0fad-acea-4603-a120-a6519744d885" TargetMode="External"/><Relationship Id="rId1052" Type="http://schemas.openxmlformats.org/officeDocument/2006/relationships/hyperlink" Target="https://caselaw.findlaw.com/court/la-court-of-appeal/117104839.html" TargetMode="External"/><Relationship Id="rId1497" Type="http://schemas.openxmlformats.org/officeDocument/2006/relationships/hyperlink" Target="https://apnews.com/article/police-discrimination-race-and-ethnicity-racial-injustice-f2c6b37bb79c744582a54652cb86b9d7" TargetMode="External"/><Relationship Id="rId2103" Type="http://schemas.openxmlformats.org/officeDocument/2006/relationships/hyperlink" Target="https://richmondside.org/2025/09/11/civil-rights-trial-forced-sedation-richmond-death/" TargetMode="External"/><Relationship Id="rId2310" Type="http://schemas.openxmlformats.org/officeDocument/2006/relationships/hyperlink" Target="https://www.supremecourt.gov/opinions/19pdf/19a1044_pok0.pdf" TargetMode="External"/><Relationship Id="rId2548" Type="http://schemas.openxmlformats.org/officeDocument/2006/relationships/hyperlink" Target="https://www.govinfo.gov/content/pkg/USCOURTS-cod-1_23-cv-01798/pdf/USCOURTS-cod-1_23-cv-01798-0.pdf" TargetMode="External"/><Relationship Id="rId2755" Type="http://schemas.openxmlformats.org/officeDocument/2006/relationships/hyperlink" Target="https://www.qcnews.com/charlotte/court-sides-with-char-meck-fop-in-cmpd-employee-defamation-case/" TargetMode="External"/><Relationship Id="rId727" Type="http://schemas.openxmlformats.org/officeDocument/2006/relationships/hyperlink" Target="https://www.timesofisrael.com/january-6-defendant-denies-boyfriend-plotted-to-shoot-up-synagogue/" TargetMode="External"/><Relationship Id="rId934" Type="http://schemas.openxmlformats.org/officeDocument/2006/relationships/hyperlink" Target="https://cases.justia.com/virginia/court-of-appeals-unpublished/2025-0990-24-1.pdf?ts=1761062926" TargetMode="External"/><Relationship Id="rId1357" Type="http://schemas.openxmlformats.org/officeDocument/2006/relationships/hyperlink" Target="https://codes.ohio.gov/ohio-revised-code/section-4112.021" TargetMode="External"/><Relationship Id="rId1564" Type="http://schemas.openxmlformats.org/officeDocument/2006/relationships/hyperlink" Target="https://fox8.com/news/i-team-race-and-sex-used-to-schedule-ems-bosses/" TargetMode="External"/><Relationship Id="rId1771" Type="http://schemas.openxmlformats.org/officeDocument/2006/relationships/hyperlink" Target="https://www.firefighterovertime.org/2019/09/16/firefighter-meal-period/" TargetMode="External"/><Relationship Id="rId2408" Type="http://schemas.openxmlformats.org/officeDocument/2006/relationships/hyperlink" Target="https://cases.justia.com/arizona/court-of-appeals-division-two-unpublished/2025-2-ca-ic-2024-0003.pdf?ts=1738026580" TargetMode="External"/><Relationship Id="rId2615" Type="http://schemas.openxmlformats.org/officeDocument/2006/relationships/hyperlink" Target="https://www.nvfc.org/firefighter-arson/" TargetMode="External"/><Relationship Id="rId2822" Type="http://schemas.openxmlformats.org/officeDocument/2006/relationships/hyperlink" Target="https://law.justia.com/cases/federal/district-courts/indiana/inndce/2:2021cv00154/106960/76/" TargetMode="External"/><Relationship Id="rId63" Type="http://schemas.openxmlformats.org/officeDocument/2006/relationships/hyperlink" Target="https://www.casemine.com/judgement/us/66cea7f23f1f7c7a89e60871" TargetMode="External"/><Relationship Id="rId1217" Type="http://schemas.openxmlformats.org/officeDocument/2006/relationships/hyperlink" Target="https://wvrecord.com/stories/511075521-ambulance-service-worker-blames-multiple-defendants-for-injuries" TargetMode="External"/><Relationship Id="rId1424" Type="http://schemas.openxmlformats.org/officeDocument/2006/relationships/hyperlink" Target="https://www.supremecourt.gov/opinions/19pdf/17-1618_hfci.pdf" TargetMode="External"/><Relationship Id="rId1631" Type="http://schemas.openxmlformats.org/officeDocument/2006/relationships/hyperlink" Target="https://casetext.com/case/fitzgerald-v-city-of-lawrence" TargetMode="External"/><Relationship Id="rId1869" Type="http://schemas.openxmlformats.org/officeDocument/2006/relationships/hyperlink" Target="http://www.iaff.org/Legal/PDF/1996FLSAManual.pdf" TargetMode="External"/><Relationship Id="rId1729" Type="http://schemas.openxmlformats.org/officeDocument/2006/relationships/hyperlink" Target="https://public.fastcase.com/Jhe1Qn%2BmJndQYQU6z%2FeNm%2BPcmzEUVte9Pmbex8cM1KJhQVcQIKDJJA5UPuX3qlPH?utm_medium=email&amp;_hsenc=p2ANqtz-9n4bTEROfuVqHNVuq5wnBdHGUWCVVD7aN6VD7jCXCE8dULoI4uW2020fH1jBBreK2QqG5jL3hff-Wxt2LEWhDNRofrqw&amp;_hsmi=226712652&amp;utm_content=226712652&amp;utm_source=hs_email" TargetMode="External"/><Relationship Id="rId1936" Type="http://schemas.openxmlformats.org/officeDocument/2006/relationships/hyperlink" Target="https://public.fastcase.com/9SKwsfNqTc6OieYDhNMyM8QDIumtbytcTIYRS7vEe0pQ3%2BAszz%2FAIWxBBPTdhGkJW%2FsZnkZT639gd%2FCKUheamGpg8tPb2WiD4LZsCmDtik8%3D" TargetMode="External"/><Relationship Id="rId2198" Type="http://schemas.openxmlformats.org/officeDocument/2006/relationships/hyperlink" Target="https://www.dallasobserver.com/news/watch-dallas-paramedic-kicks-mentally-ill-man-several-times-before-police-arrive-on-scene-12638001" TargetMode="External"/><Relationship Id="rId377" Type="http://schemas.openxmlformats.org/officeDocument/2006/relationships/hyperlink" Target="https://codes.ohio.gov/ohio-revised-code/section-4123.68" TargetMode="External"/><Relationship Id="rId584" Type="http://schemas.openxmlformats.org/officeDocument/2006/relationships/hyperlink" Target="https://www.cdc.gov/niosh/fire/pdfs/face201618.pdf" TargetMode="External"/><Relationship Id="rId2058" Type="http://schemas.openxmlformats.org/officeDocument/2006/relationships/hyperlink" Target="https://cases.justia.com/kentucky/court-of-appeals/2024-2023-ca-1033-mr.pdf?ts=1727446176" TargetMode="External"/><Relationship Id="rId2265" Type="http://schemas.openxmlformats.org/officeDocument/2006/relationships/hyperlink" Target="https://law.justia.com/cases/maryland/court-of-special-appeals/2021/2349-19.html" TargetMode="External"/><Relationship Id="rId5" Type="http://schemas.openxmlformats.org/officeDocument/2006/relationships/webSettings" Target="webSettings.xml"/><Relationship Id="rId237" Type="http://schemas.openxmlformats.org/officeDocument/2006/relationships/hyperlink" Target="https://www.mainelegislature.org/legis/statutes/17/title17sec2851.html" TargetMode="External"/><Relationship Id="rId791" Type="http://schemas.openxmlformats.org/officeDocument/2006/relationships/hyperlink" Target="https://www.justice.gov/opa/pr/tampa-man-charged-attempting-provide-material-support-isis" TargetMode="External"/><Relationship Id="rId889" Type="http://schemas.openxmlformats.org/officeDocument/2006/relationships/hyperlink" Target="https://codes.ohio.gov/ohio-revised-code/section-2744.03" TargetMode="External"/><Relationship Id="rId1074" Type="http://schemas.openxmlformats.org/officeDocument/2006/relationships/hyperlink" Target="https://caselaw.findlaw.com/court/ma-court-of-appeals/116528710.html" TargetMode="External"/><Relationship Id="rId2472" Type="http://schemas.openxmlformats.org/officeDocument/2006/relationships/hyperlink" Target="https://www.minnesotacomp.com/blog/2018/11/post-traumatic-stress-disorder-may-become-a-presumptive-condition-for-first-responders/" TargetMode="External"/><Relationship Id="rId2777" Type="http://schemas.openxmlformats.org/officeDocument/2006/relationships/hyperlink" Target="https://casetext.com/case/intl-assn-of-fire-fighters-local-1366-v-city-of-cedar-falls" TargetMode="External"/><Relationship Id="rId444" Type="http://schemas.openxmlformats.org/officeDocument/2006/relationships/hyperlink" Target="https://cases.justia.com/new-york/other-courts/2024-2024-ny-slip-op-33987-u.pdf?ts=1731644847" TargetMode="External"/><Relationship Id="rId651" Type="http://schemas.openxmlformats.org/officeDocument/2006/relationships/hyperlink" Target="https://www.supremecourt.gov/opinions/24pdf/24a1153_l5gm.pdf" TargetMode="External"/><Relationship Id="rId749" Type="http://schemas.openxmlformats.org/officeDocument/2006/relationships/hyperlink" Target="https://www.cincinnati.com/story/news/2020/08/01/dayton-shootings-oregon-district-year-later/5521896002/" TargetMode="External"/><Relationship Id="rId1281" Type="http://schemas.openxmlformats.org/officeDocument/2006/relationships/hyperlink" Target="http://www.pacourts.us/assets/opinions/Commonwealth/out/877CD18_3-25-19.pdf?cb=1" TargetMode="External"/><Relationship Id="rId1379" Type="http://schemas.openxmlformats.org/officeDocument/2006/relationships/hyperlink" Target="https://www.dol.gov/agencies/whd/nursing-mothers/faq" TargetMode="External"/><Relationship Id="rId1586" Type="http://schemas.openxmlformats.org/officeDocument/2006/relationships/hyperlink" Target="https://public.fastcase.com/Wl%2B2t%2BeVuI35%2FN70vAMFZjxlcnGgF4KmxTbsHmdpUnhrKX1xZ8%2F1BaT4X1Cm7%2Fji" TargetMode="External"/><Relationship Id="rId2125" Type="http://schemas.openxmlformats.org/officeDocument/2006/relationships/hyperlink" Target="https://public3.pagefreezer.com/browse/HHS.gov/31-12-2020T08:51/https://www.hhs.gov/about/news/2019/12/30/ambulance-company-pays-65000-settle-allegations-longstanding-hipaa-noncompliance.html" TargetMode="External"/><Relationship Id="rId2332" Type="http://schemas.openxmlformats.org/officeDocument/2006/relationships/hyperlink" Target="https://public.fastcase.com/Wl%2B2t%2BeVuI35%2FN70vAMFZmE2ukal8IvDC5BUTFBRpPNG0o0%2FGYOYjoFH9I91Iplb" TargetMode="External"/><Relationship Id="rId304" Type="http://schemas.openxmlformats.org/officeDocument/2006/relationships/hyperlink" Target="https://public.fastcase.com/Wl%2B2t%2BeVuI35%2FN70vAMFZsoxzsfdSpYQWUHzr4LGn9%2B%2B5efEeYPRxdC77jaiEbzw" TargetMode="External"/><Relationship Id="rId511" Type="http://schemas.openxmlformats.org/officeDocument/2006/relationships/hyperlink" Target="https://www.merckmanuals.com/professional/dermatologic-disorders/hair-disorders/pseudofolliculitis-barbae" TargetMode="External"/><Relationship Id="rId609" Type="http://schemas.openxmlformats.org/officeDocument/2006/relationships/hyperlink" Target="https://d.docs.live.net/bd9b2eaf6053242e/AppData/Roaming/Microsoft/AppData/Local/Temp/0182139.PDF" TargetMode="External"/><Relationship Id="rId956" Type="http://schemas.openxmlformats.org/officeDocument/2006/relationships/hyperlink" Target="https://casetext.com/case/wakefield-v-williamstown-volunteer-fire-co" TargetMode="External"/><Relationship Id="rId1141" Type="http://schemas.openxmlformats.org/officeDocument/2006/relationships/hyperlink" Target="https://law.justia.com/cases/california/court-of-appeal/2022/a161575.html" TargetMode="External"/><Relationship Id="rId1239" Type="http://schemas.openxmlformats.org/officeDocument/2006/relationships/hyperlink" Target="http://app.leg.wa.gov/RCW/default.aspx?cite=41.26.030" TargetMode="External"/><Relationship Id="rId1793" Type="http://schemas.openxmlformats.org/officeDocument/2006/relationships/hyperlink" Target="http://www.firefighterovertime.org/2018/09/17/battalion/" TargetMode="External"/><Relationship Id="rId2637" Type="http://schemas.openxmlformats.org/officeDocument/2006/relationships/hyperlink" Target="https://law.justia.com/cases/federal/appellate-courts/cafc/20-2147/20-2147-2022-04-18.html" TargetMode="External"/><Relationship Id="rId2844" Type="http://schemas.openxmlformats.org/officeDocument/2006/relationships/hyperlink" Target="https://www.supremecourt.gov/opinions/17pdf/16-285_q8l1.pdf" TargetMode="External"/><Relationship Id="rId85" Type="http://schemas.openxmlformats.org/officeDocument/2006/relationships/hyperlink" Target="https://cdn.ca9.uscourts.gov/datastore/opinions/2025/02/24/23-2218.pdf" TargetMode="External"/><Relationship Id="rId816" Type="http://schemas.openxmlformats.org/officeDocument/2006/relationships/hyperlink" Target="https://cases.justia.com/federal/appellate-courts/ca2/18-1597/18-1597-2019-04-25.pdf?ts=1556202606" TargetMode="External"/><Relationship Id="rId1001" Type="http://schemas.openxmlformats.org/officeDocument/2006/relationships/hyperlink" Target="http://codes.ohio.gov/orc/2744.07" TargetMode="External"/><Relationship Id="rId1446" Type="http://schemas.openxmlformats.org/officeDocument/2006/relationships/hyperlink" Target="https://casetext.com/case/benson-v-city-of-lincoln" TargetMode="External"/><Relationship Id="rId1653" Type="http://schemas.openxmlformats.org/officeDocument/2006/relationships/hyperlink" Target="https://www.eeoc.gov/laws/guidance/enforcement-guidance-disability-related-inquiries-and-medical-examinations-employees" TargetMode="External"/><Relationship Id="rId1860" Type="http://schemas.openxmlformats.org/officeDocument/2006/relationships/hyperlink" Target="http://codes.ohio.gov/orc/505.601" TargetMode="External"/><Relationship Id="rId2704" Type="http://schemas.openxmlformats.org/officeDocument/2006/relationships/hyperlink" Target="https://public.fastcase.com/Wl%2B2t%2BeVuI35%2FN70vAMFZp5z3tSAREAgVcTB%2FIqZH8qtvSAHBObLTQiDe9yLc084" TargetMode="External"/><Relationship Id="rId1306" Type="http://schemas.openxmlformats.org/officeDocument/2006/relationships/hyperlink" Target="https://casetext.com/case/new-prime-inc-v-oliveira-1?ref=Sb!ZpcU0M" TargetMode="External"/><Relationship Id="rId1513" Type="http://schemas.openxmlformats.org/officeDocument/2006/relationships/hyperlink" Target="https://cases.justia.com/federal/district-courts/texas/txedce/4:2022cv00397/214410/28/0.pdf?ts=1692978420" TargetMode="External"/><Relationship Id="rId1720" Type="http://schemas.openxmlformats.org/officeDocument/2006/relationships/hyperlink" Target="https://www.dol.gov/whd/opinion/FMLA/2018/2018_08_28_2A_FMLA.pdf" TargetMode="External"/><Relationship Id="rId1958" Type="http://schemas.openxmlformats.org/officeDocument/2006/relationships/hyperlink" Target="https://www.la4th.org/opinion/2019/486077.pdf" TargetMode="External"/><Relationship Id="rId12" Type="http://schemas.openxmlformats.org/officeDocument/2006/relationships/image" Target="media/image4.png"/><Relationship Id="rId1818" Type="http://schemas.openxmlformats.org/officeDocument/2006/relationships/hyperlink" Target="https://www.ecfr.gov/cgi-bin/retrieveECFR?gp=&amp;SID=10f50877082f08568d40dbfeaf119853&amp;mc=true&amp;r=PART&amp;n=pt29.3.778" TargetMode="External"/><Relationship Id="rId161" Type="http://schemas.openxmlformats.org/officeDocument/2006/relationships/hyperlink" Target="https://public.fastcase.com/ppbqSQpNDaJE%2F8PlIk0b8ECWv6%2F0KW8eOOGtTNlYs%2F2eCExN%2BikZLxSyxw9X8iC%2F" TargetMode="External"/><Relationship Id="rId399" Type="http://schemas.openxmlformats.org/officeDocument/2006/relationships/hyperlink" Target="https://cases.justia.com/federal/district-courts/new-york/nyndce/6:2024cv00956/144608/40/0.pdf?ts=1769171952" TargetMode="External"/><Relationship Id="rId2287" Type="http://schemas.openxmlformats.org/officeDocument/2006/relationships/hyperlink" Target="https://njcourts.gov/attorneys/assets/opinions/appellate/unpublished/a0530-19.pdf" TargetMode="External"/><Relationship Id="rId2494" Type="http://schemas.openxmlformats.org/officeDocument/2006/relationships/hyperlink" Target="https://cases.justia.com/federal/district-courts/florida/flmdce/8:2025cv02787/448658/35/0.pdf" TargetMode="External"/><Relationship Id="rId259" Type="http://schemas.openxmlformats.org/officeDocument/2006/relationships/hyperlink" Target="https://media.ca11.uscourts.gov/opinions/pub/files/201713526.pdf" TargetMode="External"/><Relationship Id="rId466" Type="http://schemas.openxmlformats.org/officeDocument/2006/relationships/hyperlink" Target="https://www.firehero.org/fallen-firefighter/thomas-e-royds/" TargetMode="External"/><Relationship Id="rId673" Type="http://schemas.openxmlformats.org/officeDocument/2006/relationships/hyperlink" Target="https://ilcourtsaudio.blob.core.windows.net/antilles-resources/resources/aa9ece1f-338b-4d77-9d21-fd7bfa316d8e/A.A.%20%20v.%20Board%20of%20Education%20of%20Summit%20School%20District%20No.%20104,%202024%20IL%20App%20(1st)%20232451.pdf" TargetMode="External"/><Relationship Id="rId880" Type="http://schemas.openxmlformats.org/officeDocument/2006/relationships/hyperlink" Target="https://www.eff.org/files/2022/07/11/2022-07-11_-_tenth_circuit_-_irizarry_v_yehia.pdf" TargetMode="External"/><Relationship Id="rId1096" Type="http://schemas.openxmlformats.org/officeDocument/2006/relationships/hyperlink" Target="https://casetext.com/case/perez-v-city-of-denver-4" TargetMode="External"/><Relationship Id="rId2147" Type="http://schemas.openxmlformats.org/officeDocument/2006/relationships/hyperlink" Target="https://public.fastcase.com/ZZhmr5v9wN%2FXOe5IsQ%2FqD1tuyppLBnLrMmR86JNFVAlEsCewO4n%2BqmcnLV2ysm6tZCnkIxWDhw4CT9a2YbHZsY59KqRUUsvnj3oq0k4kZUY%3D?utm_medium=email&amp;_hsmi=226712652&amp;_hsenc=p2ANqtz-_TDFfv4pLQcLfqFCn8pFSxh77smp5fK7rovyeiHf7hqXQSyFbPSdIcgszVq5PNSPeSOT64f2E-JPGn2x6-fH_4dd4mvg&amp;utm_content=226712652&amp;utm_source=hs_email" TargetMode="External"/><Relationship Id="rId2354" Type="http://schemas.openxmlformats.org/officeDocument/2006/relationships/hyperlink" Target="https://docs.justia.com/cases/federal/district-courts/washington/wawdce/2:2017cv01133/248111/33" TargetMode="External"/><Relationship Id="rId2561" Type="http://schemas.openxmlformats.org/officeDocument/2006/relationships/hyperlink" Target="https://cdn.ca9.uscourts.gov/datastore/opinions/2023/08/04/22-15485.pdf" TargetMode="External"/><Relationship Id="rId2799" Type="http://schemas.openxmlformats.org/officeDocument/2006/relationships/hyperlink" Target="file:///C:/Users/lawre/Downloads/Board%20Decision.pdf" TargetMode="External"/><Relationship Id="rId119" Type="http://schemas.openxmlformats.org/officeDocument/2006/relationships/hyperlink" Target="https://www.yahoo.com/news/ohio-county-cold-case-ends-102300006.html" TargetMode="External"/><Relationship Id="rId326" Type="http://schemas.openxmlformats.org/officeDocument/2006/relationships/hyperlink" Target="https://catalog.nfpa.org/NFPA-921-Guide-for-Fire-and-Explosion-Investigations-C472.aspx?order_src=C900&amp;gclid=EAIaIQobChMI3pOKsKem5gIVJIVaBR1UwAkCEAAYASAAEgLHSvD_BwE" TargetMode="External"/><Relationship Id="rId533" Type="http://schemas.openxmlformats.org/officeDocument/2006/relationships/hyperlink" Target="https://casetext.com/case/in-re-arbitration-between-city-of-ogdensburg" TargetMode="External"/><Relationship Id="rId978" Type="http://schemas.openxmlformats.org/officeDocument/2006/relationships/hyperlink" Target="https://public.fastcase.com/9SKwsfNqTc6OieYDhNMyMxYFAOB%2B8Exz96lCVjgKZ3LX4kIIj1F%2BwgWx84FRdD2XxPjZrEkhT3uMWAcBEArrI0vrm%2B5Vt5gbBlhQIZhqFuE%3D" TargetMode="External"/><Relationship Id="rId1163" Type="http://schemas.openxmlformats.org/officeDocument/2006/relationships/hyperlink" Target="https://www.cleveland.com/metro/2013/08/cleveland_fire_chief_daryl_mcg.html" TargetMode="External"/><Relationship Id="rId1370" Type="http://schemas.openxmlformats.org/officeDocument/2006/relationships/hyperlink" Target="https://public.fastcase.com/ZZhmr5v9wN%2FXOe5IsQ%2FqD4teBhUqY7wvbGAswNzyBMaksiAAx9CoK%2F0glr7LeyIGy7%2BIvTMMfnsD4C1w01llLSbg%2FSmkDMg22UrZNbleClI%3D?utm_medium=email&amp;_hsmi=226712652&amp;_hsenc=p2ANqtz--0kKIYBqY11A1vHL3K3LnOM9OT3ZDxvHId5EPEJRai0C-xgNPiCQqUNedXVxiPbPjxDggmQ5V534mtY9qGSRF7_b-8gg&amp;utm_content=226712652&amp;utm_source=hs_email" TargetMode="External"/><Relationship Id="rId2007" Type="http://schemas.openxmlformats.org/officeDocument/2006/relationships/hyperlink" Target="https://cases.justia.com/illinois/court-of-appeals-fifth-appellate-district/2025-5-24-0729-0.pdf?ts=1764692248" TargetMode="External"/><Relationship Id="rId2214" Type="http://schemas.openxmlformats.org/officeDocument/2006/relationships/hyperlink" Target="https://public.fastcase.com/waZtJvSA54UAurM2rmIZzwN7i243%2F%2BStZpHYDBkc8sGpJscx%2FQQ27pdU9Jjrp4oC%2BDoaG82WuBlPphdis3f1N3UPtlVqun2jEuCWxYyqQWw%3D" TargetMode="External"/><Relationship Id="rId2659" Type="http://schemas.openxmlformats.org/officeDocument/2006/relationships/hyperlink" Target="https://www.mass.gov/news/wellesley-fire-chief-richard-delorie-pays-10000-civil-penalty-for-violating-conflict-of-interest-law" TargetMode="External"/><Relationship Id="rId2866" Type="http://schemas.openxmlformats.org/officeDocument/2006/relationships/hyperlink" Target="https://www.law.cornell.edu/definitions/index.php?width=840&amp;height=800&amp;iframe=true&amp;def_id=9a9967765d66aa590fb1c23dca01a8bd&amp;term_occur=999&amp;term_src=Title:24:Subtitle:B:Chapter:II:Subchapter:I:Part:291:Subpart:F:291.530" TargetMode="External"/><Relationship Id="rId740" Type="http://schemas.openxmlformats.org/officeDocument/2006/relationships/hyperlink" Target="https://www.law.cornell.edu/definitions/uscode.php?width=840&amp;height=800&amp;iframe=true&amp;def_id=18-USC-64633832-909420282&amp;term_occur=999&amp;term_src=title:18:part:I:chapter:13:section:249" TargetMode="External"/><Relationship Id="rId838" Type="http://schemas.openxmlformats.org/officeDocument/2006/relationships/hyperlink" Target="https://www.fs.usda.gov/r06/willamette/fire/info/beachie-creek-fire" TargetMode="External"/><Relationship Id="rId1023" Type="http://schemas.openxmlformats.org/officeDocument/2006/relationships/hyperlink" Target="https://thedailyrecord.com/files/2025/12/1167s24.pdf" TargetMode="External"/><Relationship Id="rId1468" Type="http://schemas.openxmlformats.org/officeDocument/2006/relationships/hyperlink" Target="https://cases.justia.com/federal/appellate-courts/ca7/24-3262/24-3262-2026-06-08.pdf?ts=1780948846" TargetMode="External"/><Relationship Id="rId1675" Type="http://schemas.openxmlformats.org/officeDocument/2006/relationships/hyperlink" Target="https://www.iafc.org/docs/default-source/1vcos/vws_rrkit_nfpa-1582.pdf?sfvrsn=ca9b9f0d_2" TargetMode="External"/><Relationship Id="rId1882" Type="http://schemas.openxmlformats.org/officeDocument/2006/relationships/hyperlink" Target="https://www.firefighternation.com/fire-leadership/what-does-president-trumps-new-marijuana-directive-mean-for-you-as-a-fire-chief/" TargetMode="External"/><Relationship Id="rId2421" Type="http://schemas.openxmlformats.org/officeDocument/2006/relationships/hyperlink" Target="https://casetext.com/case/mendoza-v-the-city-of-new-york-3" TargetMode="External"/><Relationship Id="rId2519" Type="http://schemas.openxmlformats.org/officeDocument/2006/relationships/hyperlink" Target="https://www.wtsp.com/article/news/local/ex-fire-chief-convicted-in-child-sex-abuse-trial/67-376283027" TargetMode="External"/><Relationship Id="rId2726" Type="http://schemas.openxmlformats.org/officeDocument/2006/relationships/hyperlink" Target="https://www.cleveland.com/cityhall/2009/06/ohio_supreme_court_deals_a_leg.html" TargetMode="External"/><Relationship Id="rId600" Type="http://schemas.openxmlformats.org/officeDocument/2006/relationships/hyperlink" Target="http://www2.ca3.uscourts.gov/opinarch/172183p.pdf" TargetMode="External"/><Relationship Id="rId1230" Type="http://schemas.openxmlformats.org/officeDocument/2006/relationships/hyperlink" Target="https://public.fastcase.com/Wl%2B2t%2BeVuI35%2FN70vAMFZt8kW6J16QTt9TZ%2FuwcLGfAQlmvmDCIs7SYJL9UeqqRt" TargetMode="External"/><Relationship Id="rId1328" Type="http://schemas.openxmlformats.org/officeDocument/2006/relationships/hyperlink" Target="https://ktul.com/resources/pdf/dc103f10-071a-4876-bf70-774bb3ddb220-HurtLynnv.COTSummaryJudgmentDecision.pdf" TargetMode="External"/><Relationship Id="rId1535" Type="http://schemas.openxmlformats.org/officeDocument/2006/relationships/hyperlink" Target="https://public.fastcase.com/J%2FJP6pdidelsXxEE4k%2BLMgHzbJp7ohVf6eJnqqVRZsR3ljYGLWqzA%2BaNrEJEjuoSNSzJxXmSxLQZTPvgqQmcEiF1aE%2BspvM2CCoAx4ikJzY%3D?utm_medium=email&amp;_hsmi=226712652&amp;_hsenc=p2ANqtz-8P0uzvemqlc89p8NGs_MEabF92WO0Yw0J6IjilR3LUZDOGdMMkuiwHYzQhEyPy65nnWBVskQbx-uRxwGqC5jWNg9aYuA&amp;utm_content=226712652&amp;utm_source=hs_email" TargetMode="External"/><Relationship Id="rId905" Type="http://schemas.openxmlformats.org/officeDocument/2006/relationships/hyperlink" Target="https://casetext.com/case/schladetzky-v-doe-1" TargetMode="External"/><Relationship Id="rId1742" Type="http://schemas.openxmlformats.org/officeDocument/2006/relationships/hyperlink" Target="https://cases.justia.com/federal/district-courts/oklahoma/okedce/6:2023cv00241/34830/33/0.pdf?ts=1732294058" TargetMode="External"/><Relationship Id="rId34" Type="http://schemas.openxmlformats.org/officeDocument/2006/relationships/hyperlink" Target="https://www.casemine.com/judgement/us/6995c147d22bd43f3d89db5b" TargetMode="External"/><Relationship Id="rId1602" Type="http://schemas.openxmlformats.org/officeDocument/2006/relationships/hyperlink" Target="https://apps.fastcase.com/Research/Pages/Document.aspx?LTID=nmuHYWyOr%2b3AQipzJYAFoxfLB3OO%2f59bKxwBTjI1BmfqRzjMCJEWOFBsNDL%2by45wqmfNJlXSpZLawvrJl9FKgwtB%2fUqEuGE56NZQIRJncdz5SsmQ19AY6YoAUqCXNuyg7WjzDpnasAs9GwevnZzP8A%3d%3d&amp;ECF=%2c+434+U.S.+412+(1978)" TargetMode="External"/><Relationship Id="rId183" Type="http://schemas.openxmlformats.org/officeDocument/2006/relationships/hyperlink" Target="https://www.justice.gov/opa/pr/false-claims-act-settlements-and-judgments-exceed-2-billion-fiscal-year-2022" TargetMode="External"/><Relationship Id="rId390" Type="http://schemas.openxmlformats.org/officeDocument/2006/relationships/hyperlink" Target="https://public.fastcase.com/Jhe1Qn%2BmJndQYQU6z%2FeNm2HEaeCCWkcBCeUCujqGNVlbyw33GV3OIPoGmz91llGj?utm_medium=email&amp;_hsenc=p2ANqtz--_2koWPJH8aNw9hArqKJahBiDeDbHde9hJY14uLqxi48R0NPU4q8g0_WpBiId9hecTh5LabDNFfk8DSpNZX48Jer-K6w&amp;_hsmi=226712652&amp;utm_content=226712652&amp;utm_source=hs_email" TargetMode="External"/><Relationship Id="rId1907" Type="http://schemas.openxmlformats.org/officeDocument/2006/relationships/hyperlink" Target="https://www.10tv.com/article/news/nation-world/firefighter-charged-killing-pregnant-teen-dui-crash/530-c59458ea-0d76-4ce2-8b1e-022640f424f8" TargetMode="External"/><Relationship Id="rId2071" Type="http://schemas.openxmlformats.org/officeDocument/2006/relationships/hyperlink" Target="https://www.supremecourt.gov/opinions/23pdf/22-193_q86b.pdf" TargetMode="External"/><Relationship Id="rId250" Type="http://schemas.openxmlformats.org/officeDocument/2006/relationships/hyperlink" Target="https://storage.courtlistener.com/recap/gov.uscourts.txnd.346680/gov.uscourts.txnd.346680.94.0.pdf" TargetMode="External"/><Relationship Id="rId488" Type="http://schemas.openxmlformats.org/officeDocument/2006/relationships/hyperlink" Target="https://casetext.com/case/dependent-of-hayes-v-city-of-eldorado-springs" TargetMode="External"/><Relationship Id="rId695" Type="http://schemas.openxmlformats.org/officeDocument/2006/relationships/hyperlink" Target="https://www.theatlantic.com/politics/archive/2021/07/california-inmate-firefighters/619567/" TargetMode="External"/><Relationship Id="rId2169" Type="http://schemas.openxmlformats.org/officeDocument/2006/relationships/hyperlink" Target="https://www.law.cornell.edu/uscode/text/42/1395dd" TargetMode="External"/><Relationship Id="rId2376" Type="http://schemas.openxmlformats.org/officeDocument/2006/relationships/hyperlink" Target="https://www.supremecourt.ohio.gov/rod/docs/pdf/4/2018/2018-Ohio-31.pdf" TargetMode="External"/><Relationship Id="rId2583" Type="http://schemas.openxmlformats.org/officeDocument/2006/relationships/hyperlink" Target="https://caselaw.findlaw.com/court/ma-court-of-appeals/115411600.html" TargetMode="External"/><Relationship Id="rId2790" Type="http://schemas.openxmlformats.org/officeDocument/2006/relationships/hyperlink" Target="https://www.courtnewsohio.gov/cases/2023/SCO/0829/220988.asp" TargetMode="External"/><Relationship Id="rId110" Type="http://schemas.openxmlformats.org/officeDocument/2006/relationships/hyperlink" Target="https://www.wmix94.com/2018/10/11/christopher-woman-found-guilty-of-setting-fire-at-mt-vernon-hotel/" TargetMode="External"/><Relationship Id="rId348" Type="http://schemas.openxmlformats.org/officeDocument/2006/relationships/hyperlink" Target="https://cases.justia.com/pennsylvania/superior-court/2019-1121-mda-2017.pdf?ts=1547235373" TargetMode="External"/><Relationship Id="rId555" Type="http://schemas.openxmlformats.org/officeDocument/2006/relationships/hyperlink" Target="https://www.opn.ca6.uscourts.gov/opinions.pdf/20a0203p-06.pdf" TargetMode="External"/><Relationship Id="rId762" Type="http://schemas.openxmlformats.org/officeDocument/2006/relationships/hyperlink" Target="https://www.law.cornell.edu/definitions/uscode.php?width=840&amp;height=800&amp;iframe=true&amp;def_id=8-USC-133271130-1485256779&amp;term_occur=999&amp;term_src=" TargetMode="External"/><Relationship Id="rId1185" Type="http://schemas.openxmlformats.org/officeDocument/2006/relationships/hyperlink" Target="https://www.monastlaw.com/blog/ohio-workers-compensation-for-hearing-loss.cfm" TargetMode="External"/><Relationship Id="rId1392" Type="http://schemas.openxmlformats.org/officeDocument/2006/relationships/hyperlink" Target="https://fisheldowney.com/moving-away-mandatory-arbitration-sexual-assault-harassment-claims/" TargetMode="External"/><Relationship Id="rId2029" Type="http://schemas.openxmlformats.org/officeDocument/2006/relationships/hyperlink" Target="https://cases.justia.com/west-virginia/intermediate-court-of-appeals/2025-24-ica-364.pdf?ts=1749239242" TargetMode="External"/><Relationship Id="rId2236" Type="http://schemas.openxmlformats.org/officeDocument/2006/relationships/hyperlink" Target="https://media.ca11.uscourts.gov/opinions/unpub/files/201814119.pdf" TargetMode="External"/><Relationship Id="rId2443" Type="http://schemas.openxmlformats.org/officeDocument/2006/relationships/hyperlink" Target="https://casetext.com/case/abler-v-mayor-of-balt" TargetMode="External"/><Relationship Id="rId2650" Type="http://schemas.openxmlformats.org/officeDocument/2006/relationships/hyperlink" Target="https://public.fastcase.com/9SKwsfNqTc6OieYDhNMyMwLbquMieQJJAkWYEouDi7ix05WUlxmQyjrVFv7KR6XMi0MhNDFBQq54%2Fpuo4ib1qnZU%2F1hDs4fMcaW2pIa9a%2BY%3D" TargetMode="External"/><Relationship Id="rId2888" Type="http://schemas.openxmlformats.org/officeDocument/2006/relationships/hyperlink" Target="https://fisheldowney.com/moving-away-mandatory-arbitration-sexual-assault-harassment-claims/" TargetMode="External"/><Relationship Id="rId208" Type="http://schemas.openxmlformats.org/officeDocument/2006/relationships/hyperlink" Target="https://www.supremecourt.ohio.gov/rod/docs/pdf/0/2022/2022-Ohio-2832.pdf" TargetMode="External"/><Relationship Id="rId415" Type="http://schemas.openxmlformats.org/officeDocument/2006/relationships/hyperlink" Target="https://law.justia.com/cases/new-york/appellate-division-second-department/2025/2024-09583.html" TargetMode="External"/><Relationship Id="rId622" Type="http://schemas.openxmlformats.org/officeDocument/2006/relationships/hyperlink" Target="https://www.firehero.org/fallen-firefighter/albert-a-filosa/" TargetMode="External"/><Relationship Id="rId1045" Type="http://schemas.openxmlformats.org/officeDocument/2006/relationships/hyperlink" Target="https://cases.justia.com/louisiana/fourth-circuit-court-of-appeal/2025-2024-ca-0747.pdf?ts=1746576943" TargetMode="External"/><Relationship Id="rId1252" Type="http://schemas.openxmlformats.org/officeDocument/2006/relationships/hyperlink" Target="https://www.opn.ca6.uscourts.gov/opinions.pdf/20a0123p-06.pdf" TargetMode="External"/><Relationship Id="rId1697" Type="http://schemas.openxmlformats.org/officeDocument/2006/relationships/hyperlink" Target="https://law.resource.org/pub/us/case/reporter/F3/002/2.F3d.1112.92-8306.html" TargetMode="External"/><Relationship Id="rId2303" Type="http://schemas.openxmlformats.org/officeDocument/2006/relationships/hyperlink" Target="https://law.justia.com/cases/texas/first-court-of-appeals/2020/01-19-00255-cv.html" TargetMode="External"/><Relationship Id="rId2510" Type="http://schemas.openxmlformats.org/officeDocument/2006/relationships/hyperlink" Target="https://cases.justia.com/federal/appellate-courts/ca7/24-1297/24-1297-2025-12-22.pdf?ts=1766437242" TargetMode="External"/><Relationship Id="rId2748" Type="http://schemas.openxmlformats.org/officeDocument/2006/relationships/hyperlink" Target="https://casetext.com/case/banske-v-city-of-calumet-city" TargetMode="External"/><Relationship Id="rId927" Type="http://schemas.openxmlformats.org/officeDocument/2006/relationships/hyperlink" Target="https://cases.justia.com/texas/fifth-court-of-appeals/2026-05-24-01403-cv.pdf?ts=1769077961" TargetMode="External"/><Relationship Id="rId1112" Type="http://schemas.openxmlformats.org/officeDocument/2006/relationships/hyperlink" Target="https://ilcourtsaudio.blob.core.windows.net/antilles-%20resources/resources/467a406e-7cd0-4d26-a9c9-2d169ea7237c/Ivetic%20v.%20Bensenville%20Fire%20Protection%20District%20No.3,%202023%20IL%20App%20(1st)%20220879-U.pdf" TargetMode="External"/><Relationship Id="rId1557" Type="http://schemas.openxmlformats.org/officeDocument/2006/relationships/hyperlink" Target="https://public.fastcase.com/9SKwsfNqTc6OieYDhNMyMxPWhQYM2NMtpEG66qqzAJJdyGEqs31WbWeslV8WX8U%2F%2BJtRUyjyQVulPfpekvhmAP57MQmPUZf7QhfjsZd5wHk%3D" TargetMode="External"/><Relationship Id="rId1764" Type="http://schemas.openxmlformats.org/officeDocument/2006/relationships/hyperlink" Target="https://www.ecfr.gov/current/title-29/section-778.201" TargetMode="External"/><Relationship Id="rId1971" Type="http://schemas.openxmlformats.org/officeDocument/2006/relationships/hyperlink" Target="https://law.justia.com/codes/tennessee/title-50/chapter-1/part-3/section-50-1-304/" TargetMode="External"/><Relationship Id="rId2608" Type="http://schemas.openxmlformats.org/officeDocument/2006/relationships/hyperlink" Target="https://law.justia.com/cases/federal/appellate-courts/ca6/21-3832/21-3832-2023-01-25.html" TargetMode="External"/><Relationship Id="rId2815" Type="http://schemas.openxmlformats.org/officeDocument/2006/relationships/hyperlink" Target="https://www.leagle.com/decision/inohco20220627386" TargetMode="External"/><Relationship Id="rId56" Type="http://schemas.openxmlformats.org/officeDocument/2006/relationships/hyperlink" Target="https://cases.justia.com/ohio/tenth-district-court-of-appeals/2025-24ap-255.pdf?ts=1757620491" TargetMode="External"/><Relationship Id="rId1417" Type="http://schemas.openxmlformats.org/officeDocument/2006/relationships/hyperlink" Target="https://www.nbcnews.com/news/us-news/federal-judge-dismisses-discrimination-lawsuit-transgender-fire-chief-georgia-n1258452" TargetMode="External"/><Relationship Id="rId1624" Type="http://schemas.openxmlformats.org/officeDocument/2006/relationships/hyperlink" Target="https://www.supremecourt.gov/opinions/24pdf/23-997_6579.pdf" TargetMode="External"/><Relationship Id="rId1831" Type="http://schemas.openxmlformats.org/officeDocument/2006/relationships/hyperlink" Target="https://cdn.ymaws.com/www.roa.org/resource/resmgr/LawReviews/2016/16065-LR.pdf" TargetMode="External"/><Relationship Id="rId1929" Type="http://schemas.openxmlformats.org/officeDocument/2006/relationships/hyperlink" Target="https://dreamcenterforrecovery.com/can-take-suboxone-still-go-work/" TargetMode="External"/><Relationship Id="rId2093" Type="http://schemas.openxmlformats.org/officeDocument/2006/relationships/hyperlink" Target="https://www.cbsnews.com/colorado/news/aurora-colorado-paramedic-peter-cichuniec-sentenced-elijah-mcclain/" TargetMode="External"/><Relationship Id="rId2398" Type="http://schemas.openxmlformats.org/officeDocument/2006/relationships/hyperlink" Target="https://www.firerescue1.com/legal/tenn-supreme-court-reinstates-denial-of-ptsd-benefits-for-former-firefighter?utm_source=delivra&amp;utm_medium=email&amp;utm_campaign=FR1-Daily-10-15-25&amp;utm_id=9641961&amp;dlv-emuid=fed355b8-46a2-4fa4-b55c-4d602dde33c4&amp;dlv-mlid=964196" TargetMode="External"/><Relationship Id="rId272" Type="http://schemas.openxmlformats.org/officeDocument/2006/relationships/hyperlink" Target="https://ethics.ohio.gov/education/newsletters/VOE_21Q1.pdf" TargetMode="External"/><Relationship Id="rId577" Type="http://schemas.openxmlformats.org/officeDocument/2006/relationships/hyperlink" Target="https://law.justia.com/cases/new-york/appellate-division-second-department/2019/2016-10855.html" TargetMode="External"/><Relationship Id="rId2160" Type="http://schemas.openxmlformats.org/officeDocument/2006/relationships/hyperlink" Target="https://public.fastcase.com/J%2FJP6pdidelsXxEE4k%2BLMjJGU1N13mSM0FXq6MPMgI9LSFCmdWs1UmdxMrMk65JbGuZGkm2byIyaUDFttOOFNnpFfmnrOgyejNkkQ3Wd5bI%3D?utm_medium=email&amp;_hsmi=226712652&amp;_hsenc=p2ANqtz--0Qd6DUvdEJ2RTs9adtgmCzU05IEXqUBeE6HSsIcsSfVoNrdaOOcnlphoE_fH7sdYgnejI_LAktN6WZtOuiqSz8dg1eg&amp;utm_content=226712652&amp;utm_source=hs_email" TargetMode="External"/><Relationship Id="rId2258" Type="http://schemas.openxmlformats.org/officeDocument/2006/relationships/hyperlink" Target="https://www.emsworld.com/news/1223006/wash-fire-dept-faces-fourth-lawsuit-intubating-dead-patient" TargetMode="External"/><Relationship Id="rId132" Type="http://schemas.openxmlformats.org/officeDocument/2006/relationships/hyperlink" Target="https://caselaw.findlaw.com/court/in-court-of-appeals/116435959.html" TargetMode="External"/><Relationship Id="rId784" Type="http://schemas.openxmlformats.org/officeDocument/2006/relationships/hyperlink" Target="https://www.justice.gov/opa/pr/two-suburban-chicago-men-convicted-conspiring-provide-material-support-isis" TargetMode="External"/><Relationship Id="rId991" Type="http://schemas.openxmlformats.org/officeDocument/2006/relationships/hyperlink" Target="https://cases.justia.com/texas/seventh-court-of-appeals/2020-07-19-00027-cr.pdf?ts=1586952945" TargetMode="External"/><Relationship Id="rId1067" Type="http://schemas.openxmlformats.org/officeDocument/2006/relationships/hyperlink" Target="https://www.ca4.uscourts.gov/opinions/221081.U.pdf" TargetMode="External"/><Relationship Id="rId2020" Type="http://schemas.openxmlformats.org/officeDocument/2006/relationships/hyperlink" Target="https://cases.justia.com/alabama/supreme-court/2025-sc-2025-0055.pdf?ts=1756474207" TargetMode="External"/><Relationship Id="rId2465" Type="http://schemas.openxmlformats.org/officeDocument/2006/relationships/hyperlink" Target="https://public.fastcase.com/Wl%2B2t%2BeVuI35%2FN70vAMFZkkc03nKI8qkpSJ%2FzmzLggswfoR1RvbDETmM60pPGUhc" TargetMode="External"/><Relationship Id="rId2672" Type="http://schemas.openxmlformats.org/officeDocument/2006/relationships/hyperlink" Target="https://casetext.com/case/parmenter-v-city-of-nowata" TargetMode="External"/><Relationship Id="rId437" Type="http://schemas.openxmlformats.org/officeDocument/2006/relationships/hyperlink" Target="https://supreme.justia.com/cases/federal/us/503/115/" TargetMode="External"/><Relationship Id="rId644" Type="http://schemas.openxmlformats.org/officeDocument/2006/relationships/hyperlink" Target="https://www.portland.gov/federal/documents/10-4-2025-state-city-v-trump-temporary-restraining-order-granted/download" TargetMode="External"/><Relationship Id="rId851" Type="http://schemas.openxmlformats.org/officeDocument/2006/relationships/hyperlink" Target="https://www.wfaa.com/article/news/local/collin-county/supreme-court-declines-case-swat-team-mckinney-hostage-standoff/287-73f00e4e-b131-4285-b541-236c48ef79d0" TargetMode="External"/><Relationship Id="rId1274" Type="http://schemas.openxmlformats.org/officeDocument/2006/relationships/hyperlink" Target="https://courts.illinois.gov/R23_Orders/AppellateCourt/2019/1stDistrict/1181900_R23.pdf" TargetMode="External"/><Relationship Id="rId1481" Type="http://schemas.openxmlformats.org/officeDocument/2006/relationships/hyperlink" Target="https://www.cincinnati-oh.gov/hr/eligible-lists1/promotional/fire-lieutenant/" TargetMode="External"/><Relationship Id="rId1579" Type="http://schemas.openxmlformats.org/officeDocument/2006/relationships/hyperlink" Target="https://casetext.com/case/bey-v-city-of-ny-7" TargetMode="External"/><Relationship Id="rId2118" Type="http://schemas.openxmlformats.org/officeDocument/2006/relationships/hyperlink" Target="https://casetext.com/case/kenn-v-eascare-llc-1" TargetMode="External"/><Relationship Id="rId2325" Type="http://schemas.openxmlformats.org/officeDocument/2006/relationships/hyperlink" Target="https://public.fastcase.com/Wl%2B2t%2BeVuI35%2FN70vAMFZqKFItzKKJAOGXNCbwUcRCkzx%2FKqq12PgRkvPC2fj024" TargetMode="External"/><Relationship Id="rId2532" Type="http://schemas.openxmlformats.org/officeDocument/2006/relationships/hyperlink" Target="https://indianacapitalchronicle.com/2024/10/14/former-indiana-sheriff-jamey-noel-sentenced-to-15-years-in-prison-as-part-of-plea-deal/" TargetMode="External"/><Relationship Id="rId504" Type="http://schemas.openxmlformats.org/officeDocument/2006/relationships/hyperlink" Target="https://www.nytimes.com/1995/08/16/nyregion/storeowner-guilty-of-arson-where-fireman-died.html" TargetMode="External"/><Relationship Id="rId711" Type="http://schemas.openxmlformats.org/officeDocument/2006/relationships/hyperlink" Target="https://www.nyc.gov/assets/home/downloads/pdf/press-releases/2023/Antonyuk_Amicus_Brief.pdf" TargetMode="External"/><Relationship Id="rId949" Type="http://schemas.openxmlformats.org/officeDocument/2006/relationships/hyperlink" Target="https://cases.justia.com/texas/fourteenth-court-of-appeals/2024-14-23-00087-cv.pdf?ts=1709819934" TargetMode="External"/><Relationship Id="rId1134" Type="http://schemas.openxmlformats.org/officeDocument/2006/relationships/hyperlink" Target="https://www.supremecourt.gov/opinions/21pdf/20-603_o758.pdf" TargetMode="External"/><Relationship Id="rId1341" Type="http://schemas.openxmlformats.org/officeDocument/2006/relationships/hyperlink" Target="https://codes.ohio.gov/ohio-revised-code/section-4113.71" TargetMode="External"/><Relationship Id="rId1786" Type="http://schemas.openxmlformats.org/officeDocument/2006/relationships/hyperlink" Target="https://cases.justia.com/federal/appellate-courts/ca5/19-60847/19-60847-2021-01-12.pdf?ts=1610476251" TargetMode="External"/><Relationship Id="rId1993" Type="http://schemas.openxmlformats.org/officeDocument/2006/relationships/hyperlink" Target="https://cases.justia.com/texas/thirteenth-court-of-appeals/2026-13-25-00099-cv.pdf?ts=1772125541" TargetMode="External"/><Relationship Id="rId2837" Type="http://schemas.openxmlformats.org/officeDocument/2006/relationships/hyperlink" Target="https://njcourts.gov/attorneys/assets/opinions/appellate/unpublished/a2277-18.pdf" TargetMode="External"/><Relationship Id="rId78" Type="http://schemas.openxmlformats.org/officeDocument/2006/relationships/hyperlink" Target="https://cases.justia.com/indiana/court-of-appeals/2025-24a-cr-01673.pdf?ts=1746121391" TargetMode="External"/><Relationship Id="rId809" Type="http://schemas.openxmlformats.org/officeDocument/2006/relationships/hyperlink" Target="https://cases.justia.com/federal/appellate-courts/ca9/17-35634/17-35634-2019-10-21.pdf?ts=1571677280" TargetMode="External"/><Relationship Id="rId1201" Type="http://schemas.openxmlformats.org/officeDocument/2006/relationships/hyperlink" Target="http://app.leg.wa.gov/RCW/default.aspx?cite=51.08.140" TargetMode="External"/><Relationship Id="rId1439" Type="http://schemas.openxmlformats.org/officeDocument/2006/relationships/hyperlink" Target="https://cases.justia.com/federal/appellate-courts/ca5/18-40561/18-40561-2019-07-10.pdf?ts=1562779857" TargetMode="External"/><Relationship Id="rId1646" Type="http://schemas.openxmlformats.org/officeDocument/2006/relationships/hyperlink" Target="https://www.mass.gov/doc/grenier-pierre-v-springfield-fire-department-related-superior-court-decision-3823/download" TargetMode="External"/><Relationship Id="rId1853" Type="http://schemas.openxmlformats.org/officeDocument/2006/relationships/hyperlink" Target="https://www.justice.gov/crt-military/employment-rights-userra" TargetMode="External"/><Relationship Id="rId2904" Type="http://schemas.openxmlformats.org/officeDocument/2006/relationships/fontTable" Target="fontTable.xml"/><Relationship Id="rId1506" Type="http://schemas.openxmlformats.org/officeDocument/2006/relationships/hyperlink" Target="https://news.bloomberglaw.com/us-law-week/black-ex-firefighter-barred-from-bringing-racial-bias-lawsuit" TargetMode="External"/><Relationship Id="rId1713" Type="http://schemas.openxmlformats.org/officeDocument/2006/relationships/hyperlink" Target="https://public.fastcase.com/9SKwsfNqTc6OieYDhNMyM%2BsbSTu241pOZ38l1fL3GtOxRE1iLhH6RZm0FIyTdVeF1XRK6Ebg7B5equTDg4ZQiMxFMDQEZko4UYsaxrmOuYk%3D" TargetMode="External"/><Relationship Id="rId1920" Type="http://schemas.openxmlformats.org/officeDocument/2006/relationships/hyperlink" Target="https://www.2dca.org/content/download/849844/opinion/211477_DC13_09232022_081840_i.pdf" TargetMode="External"/><Relationship Id="rId294" Type="http://schemas.openxmlformats.org/officeDocument/2006/relationships/hyperlink" Target="https://law.justia.com/cases/federal/appellate-courts/ca11/18-15033/18-15033-2020-08-24.html" TargetMode="External"/><Relationship Id="rId2182" Type="http://schemas.openxmlformats.org/officeDocument/2006/relationships/hyperlink" Target="https://public.fastcase.com/J%2FJP6pdidelsXxEE4k%2BLMs47M8bX1jWCTU1t0SYWR19Iu9IUPatjWgRJl3RKX2DrLTQazC1ae%2FBWEsyi8L93eaS1AKPtR90SvCK0pYsfZI4%3D" TargetMode="External"/><Relationship Id="rId154" Type="http://schemas.openxmlformats.org/officeDocument/2006/relationships/hyperlink" Target="https://www.anylaw.com/case/state-v-messer/ohio-court-of-appeals/12-04-2023/hMqWTIwBqcoRgE-I70tV" TargetMode="External"/><Relationship Id="rId361" Type="http://schemas.openxmlformats.org/officeDocument/2006/relationships/hyperlink" Target="https://cases.justia.com/federal/district-courts/michigan/miedce/2:2015cv13050/304138/9/0.pdf?ts=1532512098" TargetMode="External"/><Relationship Id="rId599" Type="http://schemas.openxmlformats.org/officeDocument/2006/relationships/hyperlink" Target="https://cases.justia.com/pennsylvania/superior-court/2018-1747-wda-2016.pdf?ts=1534790308" TargetMode="External"/><Relationship Id="rId2042" Type="http://schemas.openxmlformats.org/officeDocument/2006/relationships/hyperlink" Target="https://cases.justia.com/federal/district-courts/pennsylvania/paedce/2:2023cv00155/604825/106/0.pdf?ts=1739281859" TargetMode="External"/><Relationship Id="rId2487" Type="http://schemas.openxmlformats.org/officeDocument/2006/relationships/hyperlink" Target="https://public.fastcase.com/" TargetMode="External"/><Relationship Id="rId2694" Type="http://schemas.openxmlformats.org/officeDocument/2006/relationships/hyperlink" Target="http://codes.ohio.gov/orc/2933.52" TargetMode="External"/><Relationship Id="rId459" Type="http://schemas.openxmlformats.org/officeDocument/2006/relationships/hyperlink" Target="https://www.hometownlife.com/story/news/local/westland/2016/04/15/report-released-westland-firefighter-death/83087498/" TargetMode="External"/><Relationship Id="rId666" Type="http://schemas.openxmlformats.org/officeDocument/2006/relationships/hyperlink" Target="https://casetext.com/case/souverneva-v-the-superior-court" TargetMode="External"/><Relationship Id="rId873" Type="http://schemas.openxmlformats.org/officeDocument/2006/relationships/hyperlink" Target="https://public.fastcase.com/J%2FJP6pdidelsXxEE4k%2BLMku%2FobbeA4O7XFFZreFgRQx%2BWZ7fzC1IhmGay6LSjTfKJi%2F0lJWfruI6T6uwjyLWcTFUlKk%2FJDuh9Eyt0JVbsGk%3D?utm_medium=email&amp;_hsmi=226712652&amp;_hsenc=p2ANqtz-8osvFL3X0gyhLaJKRyW92xrD2GPamYVB-ledl39OimVvrR3SDszthVFmIjtescLBDKIYLBKlOi8FN2nFy4wMQT_YiRlg&amp;utm_content=226712652&amp;utm_source=hs_email" TargetMode="External"/><Relationship Id="rId1089" Type="http://schemas.openxmlformats.org/officeDocument/2006/relationships/hyperlink" Target="https://www.osc.ny.gov/retirement/publications/1512/accidental-disability" TargetMode="External"/><Relationship Id="rId1296" Type="http://schemas.openxmlformats.org/officeDocument/2006/relationships/hyperlink" Target="https://services.courts.state.wy.us/Documents/Opinions/2018WY75.pdf" TargetMode="External"/><Relationship Id="rId2347" Type="http://schemas.openxmlformats.org/officeDocument/2006/relationships/hyperlink" Target="https://www.emsworld.com/article/12091816/language-translation-in-emergencies" TargetMode="External"/><Relationship Id="rId2554" Type="http://schemas.openxmlformats.org/officeDocument/2006/relationships/hyperlink" Target="https://law.justia.com/cases/new-york/appellate-division-third-department/2024/cv-23-1185.html" TargetMode="External"/><Relationship Id="rId221" Type="http://schemas.openxmlformats.org/officeDocument/2006/relationships/hyperlink" Target="https://www.supremecourt.gov/opinions/21pdf/20-1800_7lho.pdf" TargetMode="External"/><Relationship Id="rId319" Type="http://schemas.openxmlformats.org/officeDocument/2006/relationships/hyperlink" Target="https://drive.google.com/file/d/1VWwIseEl7gdzhv6UxgyZNZeTX7Y_8-m_/view" TargetMode="External"/><Relationship Id="rId526" Type="http://schemas.openxmlformats.org/officeDocument/2006/relationships/hyperlink" Target="https://law.justia.com/cases/ohio/twelfth-district-court-of-appeals/2022/ca2022-02-020.html" TargetMode="External"/><Relationship Id="rId1156" Type="http://schemas.openxmlformats.org/officeDocument/2006/relationships/hyperlink" Target="https://apps.leg.wa.gov/rcw/default.aspx?cite=51.32.185" TargetMode="External"/><Relationship Id="rId1363" Type="http://schemas.openxmlformats.org/officeDocument/2006/relationships/hyperlink" Target="https://wtop.com/news/2014/03/dc-firefighter-charged-with-filling-fake-prescriptions/" TargetMode="External"/><Relationship Id="rId2207" Type="http://schemas.openxmlformats.org/officeDocument/2006/relationships/hyperlink" Target="https://www.leagle.com/decision/infdco20220324d64" TargetMode="External"/><Relationship Id="rId2761" Type="http://schemas.openxmlformats.org/officeDocument/2006/relationships/hyperlink" Target="https://cases.justia.com/texas/fourteenth-court-of-appeals/2025-14-24-00613-cv.pdf?ts=1752594731" TargetMode="External"/><Relationship Id="rId2859" Type="http://schemas.openxmlformats.org/officeDocument/2006/relationships/hyperlink" Target="https://isc.idaho.gov/opinions/51312.pdf" TargetMode="External"/><Relationship Id="rId733" Type="http://schemas.openxmlformats.org/officeDocument/2006/relationships/hyperlink" Target="https://www.ca5.uscourts.gov/opinions/pub/22/22-10077-CV0.pdf" TargetMode="External"/><Relationship Id="rId940" Type="http://schemas.openxmlformats.org/officeDocument/2006/relationships/hyperlink" Target="https://www.supremecourt.ohio.gov/rod/docs/pdf/7/2025/2025-Ohio-203.pdf" TargetMode="External"/><Relationship Id="rId1016" Type="http://schemas.openxmlformats.org/officeDocument/2006/relationships/hyperlink" Target="https://www.courtswv.gov/sites/default/pubfilesmnt/2026-02/25-ICA-338_MD.pdf" TargetMode="External"/><Relationship Id="rId1570" Type="http://schemas.openxmlformats.org/officeDocument/2006/relationships/hyperlink" Target="https://casetext.com/case/alston-v-spiegel" TargetMode="External"/><Relationship Id="rId1668" Type="http://schemas.openxmlformats.org/officeDocument/2006/relationships/hyperlink" Target="https://public.fastcase.com/J%2FJP6pdidelsXxEE4k%2BLMidRzLaU3lxo2K4zeZ9a%2B%2Fta152zlny6vY4eG3S7CjdliNR92Qo6%2FTtAP%2FPl4klE6l7lrfhMF2W%2BjlSvdCQeS50%3D?utm_medium=email&amp;_hsmi=226712652&amp;_hsenc=p2ANqtz-_s5_cAHUvs_hrwWV9wgyTdwJuYKaiZto7jMWtL6vDykRwEZ1Wuy9IDC9088xTRtPn7fskJqvzz7SBtC6Rp8cJAGJmTVA&amp;utm_content=226712652&amp;utm_source=hs_email" TargetMode="External"/><Relationship Id="rId1875" Type="http://schemas.openxmlformats.org/officeDocument/2006/relationships/hyperlink" Target="https://www.supremecourt.gov/opinions/25pdf/24-1234_g2bh.pdf" TargetMode="External"/><Relationship Id="rId2414" Type="http://schemas.openxmlformats.org/officeDocument/2006/relationships/hyperlink" Target="https://www.firstresponderptsdclaims.com/faq/" TargetMode="External"/><Relationship Id="rId2621" Type="http://schemas.openxmlformats.org/officeDocument/2006/relationships/hyperlink" Target="https://casetext.com/case/olguin-v-city-of-hollister" TargetMode="External"/><Relationship Id="rId2719" Type="http://schemas.openxmlformats.org/officeDocument/2006/relationships/hyperlink" Target="http://www.fifthcircuit.org/dmzdocs/OI/PO/2019/D2D01276-0CAB-4C3C-8746-E6A5E19BC45A.pdf" TargetMode="External"/><Relationship Id="rId800" Type="http://schemas.openxmlformats.org/officeDocument/2006/relationships/hyperlink" Target="https://www.dhs.gov/news/2020/06/18/dhs-statement-supreme-court-decision-daca" TargetMode="External"/><Relationship Id="rId1223" Type="http://schemas.openxmlformats.org/officeDocument/2006/relationships/hyperlink" Target="https://casetext.com/case/hayman-v-city-of-wilmington" TargetMode="External"/><Relationship Id="rId1430" Type="http://schemas.openxmlformats.org/officeDocument/2006/relationships/hyperlink" Target="https://www.leagle.com/cite/951%20F.2d%20320" TargetMode="External"/><Relationship Id="rId1528" Type="http://schemas.openxmlformats.org/officeDocument/2006/relationships/hyperlink" Target="https://www.supremecourt.gov/opinions/22pdf/20-1199_hgdj.pdf" TargetMode="External"/><Relationship Id="rId1735" Type="http://schemas.openxmlformats.org/officeDocument/2006/relationships/hyperlink" Target="https://www.firefighterovertime.org/2018/09/17/battalion/" TargetMode="External"/><Relationship Id="rId1942" Type="http://schemas.openxmlformats.org/officeDocument/2006/relationships/hyperlink" Target="https://www.fireengineering.com/leadership/marijuana-in-the-fire-service-up-in-smoke-part-ii/" TargetMode="External"/><Relationship Id="rId27" Type="http://schemas.openxmlformats.org/officeDocument/2006/relationships/hyperlink" Target="https://cases.justia.com/federal/appellate-courts/ca6/25-1089/25-1089-2026-05-20.pdf?ts=1779309039" TargetMode="External"/><Relationship Id="rId1802" Type="http://schemas.openxmlformats.org/officeDocument/2006/relationships/hyperlink" Target="https://www.law.cornell.edu/uscode/text/29/260" TargetMode="External"/><Relationship Id="rId176" Type="http://schemas.openxmlformats.org/officeDocument/2006/relationships/hyperlink" Target="https://casetext.com/case/commonwealth-v-smith-1490" TargetMode="External"/><Relationship Id="rId383" Type="http://schemas.openxmlformats.org/officeDocument/2006/relationships/hyperlink" Target="https://stocktonia.org/news/public-safety/2024/08/22/man-given-15-years-to-life-for-fatally-shooting-fire-captain-in-2022/" TargetMode="External"/><Relationship Id="rId590" Type="http://schemas.openxmlformats.org/officeDocument/2006/relationships/hyperlink" Target="https://cases.justia.com/missouri/court-of-appeals/2019-wd81939.pdf?ts=1559661108" TargetMode="External"/><Relationship Id="rId2064" Type="http://schemas.openxmlformats.org/officeDocument/2006/relationships/hyperlink" Target="https://stlouiscriminaldefense.com/missouri-good-samaritan-law/" TargetMode="External"/><Relationship Id="rId2271" Type="http://schemas.openxmlformats.org/officeDocument/2006/relationships/hyperlink" Target="https://www.cdc.gov/niosh/fire/reports/face200709.html" TargetMode="External"/><Relationship Id="rId243" Type="http://schemas.openxmlformats.org/officeDocument/2006/relationships/hyperlink" Target="https://public.fastcase.com/9SKwsfNqTc6OieYDhNMyMxCncQbdnZBHHYClkb%2F5rq5vAcucBX21mkOLoZWomgOrkfyB0T1fu8X9VBZqJtLwyHdQaAVKSMi9mGC9zU6KrUc%3D" TargetMode="External"/><Relationship Id="rId450" Type="http://schemas.openxmlformats.org/officeDocument/2006/relationships/hyperlink" Target="https://cases.justia.com/arizona/court-of-appeals-division-two-unpublished/2024-2-ca-cr-2024-0065.pdf?ts=1730333249" TargetMode="External"/><Relationship Id="rId688" Type="http://schemas.openxmlformats.org/officeDocument/2006/relationships/hyperlink" Target="https://research.wisc.edu/uncategorized/2023/07/13/federal-interim-rule-implements-tiktok-ban-on-devices-used-in-the-performance-of-federal-contracts/" TargetMode="External"/><Relationship Id="rId895" Type="http://schemas.openxmlformats.org/officeDocument/2006/relationships/hyperlink" Target="https://casetext.com/case/county-of-sacramento-v-lewis" TargetMode="External"/><Relationship Id="rId1080" Type="http://schemas.openxmlformats.org/officeDocument/2006/relationships/hyperlink" Target="https://www.iaff.org/presumptive-health/" TargetMode="External"/><Relationship Id="rId2131" Type="http://schemas.openxmlformats.org/officeDocument/2006/relationships/hyperlink" Target="https://codes.ohio.gov/ohio-revised-code/section-149.43" TargetMode="External"/><Relationship Id="rId2369" Type="http://schemas.openxmlformats.org/officeDocument/2006/relationships/hyperlink" Target="https://www.justice.gov/opa/pr/justice-department-recovers-over-37-billion-false-claims-act-cases-fiscal-year-2017" TargetMode="External"/><Relationship Id="rId2576" Type="http://schemas.openxmlformats.org/officeDocument/2006/relationships/hyperlink" Target="https://casetext.com/case/zahn-v-kenner-mun-fire-police-civil-serv-bd" TargetMode="External"/><Relationship Id="rId2783" Type="http://schemas.openxmlformats.org/officeDocument/2006/relationships/hyperlink" Target="https://cases.justia.com/ohio/tenth-district-court-of-appeals/2023-23ap-37.pdf?ts=1703012831" TargetMode="External"/><Relationship Id="rId103" Type="http://schemas.openxmlformats.org/officeDocument/2006/relationships/hyperlink" Target="https://cases.justia.com/iowa/court-of-appeals/2024-23-0625.pdf?ts=1730301434" TargetMode="External"/><Relationship Id="rId310" Type="http://schemas.openxmlformats.org/officeDocument/2006/relationships/hyperlink" Target="https://www.photoshopessentials.com/photo-effects/copyright/" TargetMode="External"/><Relationship Id="rId548" Type="http://schemas.openxmlformats.org/officeDocument/2006/relationships/hyperlink" Target="https://casetext.com/case/state-v-zitney-1" TargetMode="External"/><Relationship Id="rId755" Type="http://schemas.openxmlformats.org/officeDocument/2006/relationships/hyperlink" Target="https://www.ftc.gov/enforcement/statutes/fair-credit-reporting-act" TargetMode="External"/><Relationship Id="rId962" Type="http://schemas.openxmlformats.org/officeDocument/2006/relationships/hyperlink" Target="https://casetext.com/case/city-of-alvin-v-fields" TargetMode="External"/><Relationship Id="rId1178" Type="http://schemas.openxmlformats.org/officeDocument/2006/relationships/hyperlink" Target="https://www.baltimoresun.com/maryland/baltimore-city/bs-md-ci-lawsuit-opinion-20210817-vlhba6nhe5dnfayycibxat2sli-story.html" TargetMode="External"/><Relationship Id="rId1385" Type="http://schemas.openxmlformats.org/officeDocument/2006/relationships/hyperlink" Target="https://apnews.com/article/savannah-discrimination-lawsuits-georgia-courts-181c735cb3d5f318ea6a76e14d237b4a" TargetMode="External"/><Relationship Id="rId1592" Type="http://schemas.openxmlformats.org/officeDocument/2006/relationships/hyperlink" Target="https://public.fastcase.com/Wl%2B2t%2BeVuI35%2FN70vAMFZtTeqjzzEnlP0E9gnOJzg5Beu%2B8e3Ta9mPaMkCNr0Gg4" TargetMode="External"/><Relationship Id="rId2229" Type="http://schemas.openxmlformats.org/officeDocument/2006/relationships/hyperlink" Target="https://codes.ohio.gov/ohio-revised-code/section-4511.19" TargetMode="External"/><Relationship Id="rId2436" Type="http://schemas.openxmlformats.org/officeDocument/2006/relationships/hyperlink" Target="https://public.fastcase.com/J%2FJP6pdidelsXxEE4k%2BLMrxVcam7rKBSdRgmN0M2d%2BrW9J8HXjyMcs%2BCJsDK%2Fusk%2B2E9D%2F1BAqASOG07gYFsTW16dm6lb%2FBgwI52A7gDyzw%3D?utm_medium=email&amp;_hsmi=226712652&amp;_hsenc=p2ANqtz-9PBrRsgZ6dWHR_pYoIAB1lqWQVVefDA3UXzg06QZf9i4O0NAY5ywCEjL-xcfOhIm7moLGvuFP1IQS4Gks-qJ07TvkP3Q&amp;utm_content=226712652&amp;utm_source=hs_email" TargetMode="External"/><Relationship Id="rId2643" Type="http://schemas.openxmlformats.org/officeDocument/2006/relationships/hyperlink" Target="https://www.supremecourt.ohio.gov/rod/docs/pdf/0/2009/2009-ohio-2597.pdf" TargetMode="External"/><Relationship Id="rId2850" Type="http://schemas.openxmlformats.org/officeDocument/2006/relationships/hyperlink" Target="https://www.op-f.org/files/mgdrop.pdf" TargetMode="External"/><Relationship Id="rId91" Type="http://schemas.openxmlformats.org/officeDocument/2006/relationships/hyperlink" Target="https://www.usatoday.com/story/tech/2025/01/22/tiktok-ban-download-app-stores-update/77872210007/" TargetMode="External"/><Relationship Id="rId408" Type="http://schemas.openxmlformats.org/officeDocument/2006/relationships/hyperlink" Target="https://www.muscalaw.com/blog/understanding-floridas-new-halo-law-and-its-impact-first-amendment-rights" TargetMode="External"/><Relationship Id="rId615" Type="http://schemas.openxmlformats.org/officeDocument/2006/relationships/hyperlink" Target="https://d.docs.live.net/bd9b2eaf6053242e/AppData/Roaming/Microsoft/AppData/Local/Microsoft/Windows/INetCache/IE/XO250S7T/memorandum%20%20affirmed%20%2010347948434547371.pdf" TargetMode="External"/><Relationship Id="rId822" Type="http://schemas.openxmlformats.org/officeDocument/2006/relationships/hyperlink" Target="https://www.theguardian.com/world/2014/apr/17/mohammad-hassan-khalid-sentence-five-years-jail-jihad-jane-plot" TargetMode="External"/><Relationship Id="rId1038" Type="http://schemas.openxmlformats.org/officeDocument/2006/relationships/hyperlink" Target="https://www.dol.gov/agencies/vets/programs/userra/USERRA-Pocket-Guide" TargetMode="External"/><Relationship Id="rId1245" Type="http://schemas.openxmlformats.org/officeDocument/2006/relationships/hyperlink" Target="https://supreme.justia.com/cases/federal/us/436/658/" TargetMode="External"/><Relationship Id="rId1452" Type="http://schemas.openxmlformats.org/officeDocument/2006/relationships/hyperlink" Target="https://cases.justia.com/federal/district-courts/illinois/ilndce/1:2016cv10156/332956/114/0.pdf?ts=1547630986" TargetMode="External"/><Relationship Id="rId1897" Type="http://schemas.openxmlformats.org/officeDocument/2006/relationships/hyperlink" Target="https://casetext.com/statute/montana-code/title-2-government-structure-and-administration/chapter-4-administrative-procedure-act/part-7-judicial-review-of-contested-cases/section-2-4-702-effective-until-1012025-initiating-judicial-review-of-contested-cases" TargetMode="External"/><Relationship Id="rId2503" Type="http://schemas.openxmlformats.org/officeDocument/2006/relationships/hyperlink" Target="https://www.wkyc.com/article/news/local/lorain-county/3news-investigates-avon-lake-terminates-fire-chief-investigation-into-workplace-conduct-leadership/95-a94cb6d7-c3ff-4355-be21-18103dc8f3f4" TargetMode="External"/><Relationship Id="rId1105" Type="http://schemas.openxmlformats.org/officeDocument/2006/relationships/hyperlink" Target="https://rilawyersweekly.com/blog/2023/07/05/retired-providence-firefighters-not-barred-from-cancer-benefits/" TargetMode="External"/><Relationship Id="rId1312" Type="http://schemas.openxmlformats.org/officeDocument/2006/relationships/hyperlink" Target="https://www.boston.com/news/local-news/2024/05/15/former-marshfield-fire-chief-won-more-than-1-5-million-in-retaliation-lawsuit-against-town/" TargetMode="External"/><Relationship Id="rId1757" Type="http://schemas.openxmlformats.org/officeDocument/2006/relationships/hyperlink" Target="https://www.firefighterovertime.org/2024/11/24/settlement-proposed-for-ma-firefighters-following-2023-flsa-lawsuit/" TargetMode="External"/><Relationship Id="rId1964" Type="http://schemas.openxmlformats.org/officeDocument/2006/relationships/hyperlink" Target="https://public.fastcase.com/Jhe1Qn%2BmJndQYQU6z%2FeNm00La4tSCrrnQj5Y3npvm8fdoq4TeulewGlEW3bFFA7N?utm_medium=email&amp;_hsenc=p2ANqtz-8ThEk2xAXh6kES_woWZ5vNzcOTlPOgA5SAfsmD2YLCJ8ZqGGe3eNs5iYP9SOCvDgMCA2VIbcxNqC2sINqsn3X7XvkFGA&amp;_hsmi=226712652&amp;utm_content=226712652&amp;utm_source=hs_email" TargetMode="External"/><Relationship Id="rId2710" Type="http://schemas.openxmlformats.org/officeDocument/2006/relationships/hyperlink" Target="https://public.fastcase.com/Wl%2B2t%2BeVuI35%2FN70vAMFZsbNGaY2qJ5U2CI4LnVCoihkt6wfuyNvOKbs8su8KP1J" TargetMode="External"/><Relationship Id="rId2808" Type="http://schemas.openxmlformats.org/officeDocument/2006/relationships/hyperlink" Target="https://law.justia.com/cases/texas/third-court-of-appeals/2022/03-21-00227-cv.html" TargetMode="External"/><Relationship Id="rId49" Type="http://schemas.openxmlformats.org/officeDocument/2006/relationships/hyperlink" Target="https://cases.justia.com/new-york/other-courts/2025-2025-ny-slip-op-33961-u.pdf?ts=1761686709" TargetMode="External"/><Relationship Id="rId1617" Type="http://schemas.openxmlformats.org/officeDocument/2006/relationships/hyperlink" Target="https://acuityinternational.com/blog/nfpa-1582-medication-disqualifications/" TargetMode="External"/><Relationship Id="rId1824" Type="http://schemas.openxmlformats.org/officeDocument/2006/relationships/hyperlink" Target="https://public.fastcase.com/Wl%2B2t%2BeVuI35%2FN70vAMFZq7BNtl3UAn66ukthA6exr4OG2Q55i9ib96ohnNtBuMo" TargetMode="External"/><Relationship Id="rId198" Type="http://schemas.openxmlformats.org/officeDocument/2006/relationships/hyperlink" Target="https://law.justia.com/cases/federal/appellate-courts/ca4/21-2059/21-2059-2023-01-19.html" TargetMode="External"/><Relationship Id="rId2086" Type="http://schemas.openxmlformats.org/officeDocument/2006/relationships/hyperlink" Target="http://www.opn.ca6.uscourts.gov/opinions.pdf/08a0140p-06.pdf" TargetMode="External"/><Relationship Id="rId2293" Type="http://schemas.openxmlformats.org/officeDocument/2006/relationships/hyperlink" Target="https://public.fastcase.com/Wl%2B2t%2BeVuI35%2FN70vAMFZkrYpDR4hQ33Ax6oS1aJkCwq%2BUGCyTcW0uJ1XV2sRjwT" TargetMode="External"/><Relationship Id="rId2598" Type="http://schemas.openxmlformats.org/officeDocument/2006/relationships/hyperlink" Target="https://www.supremecourt.gov/opinions/22pdf/21-476_c185.pdf" TargetMode="External"/><Relationship Id="rId265" Type="http://schemas.openxmlformats.org/officeDocument/2006/relationships/hyperlink" Target="https://ktla.com/news/nationworld/supreme-court-sides-with-new-mexico-woman-shot-by-police-while-fleeing/" TargetMode="External"/><Relationship Id="rId472" Type="http://schemas.openxmlformats.org/officeDocument/2006/relationships/hyperlink" Target="https://caselaw.findlaw.com/court/in-court-of-appeals/116108297.html" TargetMode="External"/><Relationship Id="rId2153" Type="http://schemas.openxmlformats.org/officeDocument/2006/relationships/hyperlink" Target="https://ilcourtsaudio.blob.core.windows.net/antilles-resources/resources/d0a50835-8b8c-4e4e-96d4-c3b209eadd34/People%20v.%20Peters,%202023%20IL%20App%20(1st)%20211591-U.pdf" TargetMode="External"/><Relationship Id="rId2360" Type="http://schemas.openxmlformats.org/officeDocument/2006/relationships/hyperlink" Target="http://www.opn.ca6.uscourts.gov/opinions.pdf/18a0499n-06.pdf" TargetMode="External"/><Relationship Id="rId125" Type="http://schemas.openxmlformats.org/officeDocument/2006/relationships/hyperlink" Target="https://www.law.cornell.edu/wex/inadmissible" TargetMode="External"/><Relationship Id="rId332" Type="http://schemas.openxmlformats.org/officeDocument/2006/relationships/hyperlink" Target="https://www.supremecourt.gov/orders/courtorders/052819zor_2dq3.pdf" TargetMode="External"/><Relationship Id="rId777" Type="http://schemas.openxmlformats.org/officeDocument/2006/relationships/hyperlink" Target="https://fas.org/sgp/crs/intel/RL32276.pdf" TargetMode="External"/><Relationship Id="rId984" Type="http://schemas.openxmlformats.org/officeDocument/2006/relationships/hyperlink" Target="https://law.justia.com/cases/mississippi/court-of-appeals/2021/2019-ca-01406-coa.html" TargetMode="External"/><Relationship Id="rId2013" Type="http://schemas.openxmlformats.org/officeDocument/2006/relationships/hyperlink" Target="https://www.njcourts.gov/system/files/court-opinions/2025/a0275-24.pdf" TargetMode="External"/><Relationship Id="rId2220" Type="http://schemas.openxmlformats.org/officeDocument/2006/relationships/hyperlink" Target="https://law.justia.com/cases/federal/district-courts/illinois/ilndce/1:2021cv05039/407354/52/" TargetMode="External"/><Relationship Id="rId2458" Type="http://schemas.openxmlformats.org/officeDocument/2006/relationships/hyperlink" Target="https://www.firerescue1.com/ptsd/articles/ohio-house-passes-bill-expanding-first-responders-workers-compensation-for-ptsd-QXXQPU6H47rb9Z8o/" TargetMode="External"/><Relationship Id="rId2665" Type="http://schemas.openxmlformats.org/officeDocument/2006/relationships/hyperlink" Target="https://www.leagle.com/decision/infdco20210518900" TargetMode="External"/><Relationship Id="rId2872" Type="http://schemas.openxmlformats.org/officeDocument/2006/relationships/hyperlink" Target="https://casetext.com/case/perez-v-mortg-bankers-assn" TargetMode="External"/><Relationship Id="rId637" Type="http://schemas.openxmlformats.org/officeDocument/2006/relationships/hyperlink" Target="https://www.hstoday.us/subject-matter-areas/unmanned-vehicles/eyes-in-the-sky-do-cities-need-warrants-for-drones/" TargetMode="External"/><Relationship Id="rId844" Type="http://schemas.openxmlformats.org/officeDocument/2006/relationships/hyperlink" Target="https://www.congress.gov/crs-product/R45732" TargetMode="External"/><Relationship Id="rId1267" Type="http://schemas.openxmlformats.org/officeDocument/2006/relationships/hyperlink" Target="https://courts.illinois.gov/R23_Orders/WorkersComp/2020/1190373WC_R23.pdf" TargetMode="External"/><Relationship Id="rId1474" Type="http://schemas.openxmlformats.org/officeDocument/2006/relationships/hyperlink" Target="https://www4.courts.ca.gov/opinions/nonpub/B332575.PDF" TargetMode="External"/><Relationship Id="rId1681" Type="http://schemas.openxmlformats.org/officeDocument/2006/relationships/hyperlink" Target="https://www.mass.gov/files/documents/2020/09/29/q19P0676.pdf" TargetMode="External"/><Relationship Id="rId2318" Type="http://schemas.openxmlformats.org/officeDocument/2006/relationships/hyperlink" Target="https://njcourts.gov/attorneys/assets/opinions/appellate/published/a3846-18.pdf?c=Npo" TargetMode="External"/><Relationship Id="rId2525" Type="http://schemas.openxmlformats.org/officeDocument/2006/relationships/hyperlink" Target="https://cases.justia.com/federal/appellate-courts/ca4/24-1782/24-1782-2025-06-05.pdf?ts=1749150038" TargetMode="External"/><Relationship Id="rId2732" Type="http://schemas.openxmlformats.org/officeDocument/2006/relationships/hyperlink" Target="https://ecf.ksd.uscourts.gov/cgi-bin/show_public_doc?2018cv2084-60" TargetMode="External"/><Relationship Id="rId704" Type="http://schemas.openxmlformats.org/officeDocument/2006/relationships/hyperlink" Target="https://casetext.com/case/baarbe-v-the-syrian-arab-republic" TargetMode="External"/><Relationship Id="rId911" Type="http://schemas.openxmlformats.org/officeDocument/2006/relationships/hyperlink" Target="https://ktla.com/news/local-news/vanessa-bryant-sues-l-a-county-sheriff-over-kobe-bryant-crash-photos/" TargetMode="External"/><Relationship Id="rId1127" Type="http://schemas.openxmlformats.org/officeDocument/2006/relationships/hyperlink" Target="https://ilcourtsaudio.blob.core.windows.net/antilles-resources/resources/afeb172a-b7f7-45e5-889d-a00b38f164df/City%20of%20East%20Peoria%20v.%20Melton,%202022%20IL%20App%20(4th)%20220281-U.pdf" TargetMode="External"/><Relationship Id="rId1334" Type="http://schemas.openxmlformats.org/officeDocument/2006/relationships/hyperlink" Target="https://cases.justia.com/federal/district-courts/texas/txsdce/6:2022cv00002/1858056/21/0.pdf?ts=1664555743" TargetMode="External"/><Relationship Id="rId1541" Type="http://schemas.openxmlformats.org/officeDocument/2006/relationships/hyperlink" Target="https://abcnews.go.com/US/miami-firefighters-fired-hanging-noose-black-colleagues-family/story?id=50884714" TargetMode="External"/><Relationship Id="rId1779" Type="http://schemas.openxmlformats.org/officeDocument/2006/relationships/hyperlink" Target="https://www.ca2.uscourts.gov/decisions/isysquery/8e9e3763-33d2-40e3-8df3-c0e92234493d/2/doc/21-2095_opn.pdf" TargetMode="External"/><Relationship Id="rId1986" Type="http://schemas.openxmlformats.org/officeDocument/2006/relationships/hyperlink" Target="https://www.ojp.gov/pdffiles/posasph.pdf" TargetMode="External"/><Relationship Id="rId40" Type="http://schemas.openxmlformats.org/officeDocument/2006/relationships/hyperlink" Target="https://www.facebook.com/groups/336997465025309/posts/424479052943816/" TargetMode="External"/><Relationship Id="rId1401" Type="http://schemas.openxmlformats.org/officeDocument/2006/relationships/hyperlink" Target="https://www.leagle.com/decision/infdco20210924575" TargetMode="External"/><Relationship Id="rId1639" Type="http://schemas.openxmlformats.org/officeDocument/2006/relationships/hyperlink" Target="https://cases.justia.com/federal/appellate-courts/ca11/22-10002/22-10002-2023-10-11.pdf?ts=1697045568" TargetMode="External"/><Relationship Id="rId1846" Type="http://schemas.openxmlformats.org/officeDocument/2006/relationships/hyperlink" Target="https://public.fastcase.com/Wl%2B2t%2BeVuI35%2FN70vAMFZiOi%2BYkXYMCNnCyjC1oPHdpZa1VeLChap2kxy9UfPfNs" TargetMode="External"/><Relationship Id="rId1706" Type="http://schemas.openxmlformats.org/officeDocument/2006/relationships/hyperlink" Target="https://casetext.com/case/gilbert-v-city-of-newport" TargetMode="External"/><Relationship Id="rId1913" Type="http://schemas.openxmlformats.org/officeDocument/2006/relationships/hyperlink" Target="https://www.nytimes.com/2022/03/03/health/sacklers-purdue-oxycontin-settlement.html" TargetMode="External"/><Relationship Id="rId287" Type="http://schemas.openxmlformats.org/officeDocument/2006/relationships/hyperlink" Target="https://public.fastcase.com/Wl%2B2t%2BeVuI35%2FN70vAMFZn5gKg3cdbP6IN7E7ywDm7QNgGMGGIVm2eo9gH1WNWLv" TargetMode="External"/><Relationship Id="rId494" Type="http://schemas.openxmlformats.org/officeDocument/2006/relationships/hyperlink" Target="https://casetext.com/statute/california-codes/california-civil-code/division-3-obligations/part-3-obligations-imposed-by-law/section-17149-injury-to-peace-officer-firefighter-or-emergency-medical-personnel" TargetMode="External"/><Relationship Id="rId2175" Type="http://schemas.openxmlformats.org/officeDocument/2006/relationships/hyperlink" Target="https://www.law.cornell.edu/definitions/uscode.php?width=840&amp;height=800&amp;iframe=true&amp;def_id=42-USC-638938755-1009355610&amp;term_occur=999&amp;term_src=" TargetMode="External"/><Relationship Id="rId2382" Type="http://schemas.openxmlformats.org/officeDocument/2006/relationships/hyperlink" Target="https://public.fastcase.com/J%2FJP6pdidelsXxEE4k%2BLMiptlpkB0gZD0zq9ZoOKNJuhacmaRfGRvhQDw8Dzjp093sUgUkI4CwYYkhqoix%2B0P6g4YOgoDnx2kMnRYwj%2FWdA%3D" TargetMode="External"/><Relationship Id="rId147" Type="http://schemas.openxmlformats.org/officeDocument/2006/relationships/hyperlink" Target="https://www.supremecourt.gov/opinions/23pdf/22-324_09m1.pdf" TargetMode="External"/><Relationship Id="rId354" Type="http://schemas.openxmlformats.org/officeDocument/2006/relationships/hyperlink" Target="http://client.prod.iaff.org/" TargetMode="External"/><Relationship Id="rId799" Type="http://schemas.openxmlformats.org/officeDocument/2006/relationships/hyperlink" Target="https://www.supremecourt.gov/opinions/19pdf/18-587_5ifl.pdf" TargetMode="External"/><Relationship Id="rId1191" Type="http://schemas.openxmlformats.org/officeDocument/2006/relationships/hyperlink" Target="https://www.courant.com/news/connecticut/hc-xpm-2002-03-02-0203020027-story.html" TargetMode="External"/><Relationship Id="rId2035" Type="http://schemas.openxmlformats.org/officeDocument/2006/relationships/hyperlink" Target="https://cdn.ca9.uscourts.gov/datastore/memoranda/2025/04/30/24-3195.pdf" TargetMode="External"/><Relationship Id="rId2687" Type="http://schemas.openxmlformats.org/officeDocument/2006/relationships/hyperlink" Target="http://www.tncourts.gov/sites/default/files/ronald_ledford_et_al._v._john_ben_sneed_et_al..pdf" TargetMode="External"/><Relationship Id="rId2894" Type="http://schemas.openxmlformats.org/officeDocument/2006/relationships/hyperlink" Target="https://pascrell.house.gov/news/documentsingle.aspx?DocumentID=4933" TargetMode="External"/><Relationship Id="rId561" Type="http://schemas.openxmlformats.org/officeDocument/2006/relationships/hyperlink" Target="https://www.leagle.com/decision/infdco20200526m70" TargetMode="External"/><Relationship Id="rId659" Type="http://schemas.openxmlformats.org/officeDocument/2006/relationships/hyperlink" Target="https://www.supremecourt.gov/opinions/24pdf/24a949_lkhn.pdf" TargetMode="External"/><Relationship Id="rId866" Type="http://schemas.openxmlformats.org/officeDocument/2006/relationships/hyperlink" Target="https://casetext.com/case/borel-v-city-of-murrieta" TargetMode="External"/><Relationship Id="rId1289" Type="http://schemas.openxmlformats.org/officeDocument/2006/relationships/hyperlink" Target="https://caselaw.findlaw.com/us-9th-circuit/1864754.html" TargetMode="External"/><Relationship Id="rId1496" Type="http://schemas.openxmlformats.org/officeDocument/2006/relationships/hyperlink" Target="https://tracking.police1.com/t/8566464/200882223/6399312/0/1006865/?f5d63f87=RlIxLURhaWx5LTItMjctMjU&amp;b44ed14b=ZmVkMzU1YjgtNDZhMi00ZmE0LWI1NWMtNGQ2MDJkZGUzM2M0&amp;x=37c285e3" TargetMode="External"/><Relationship Id="rId2242" Type="http://schemas.openxmlformats.org/officeDocument/2006/relationships/hyperlink" Target="https://www.youtube.com/watch?v=DDCANExSv1Q" TargetMode="External"/><Relationship Id="rId2547" Type="http://schemas.openxmlformats.org/officeDocument/2006/relationships/hyperlink" Target="https://www.coloradopolitics.com/courts/federal-judge-partially-dismisses-ex-florissant-fire-chiefs-wrongful-termination-claims/article_7d67c6be-898a-11ee-b97e-7732fa191308.html" TargetMode="External"/><Relationship Id="rId214" Type="http://schemas.openxmlformats.org/officeDocument/2006/relationships/hyperlink" Target="https://www.cunninghambounds.com/blogs/2022/june/state-immunity-state-agent-immunity-deputy-fire-/" TargetMode="External"/><Relationship Id="rId421" Type="http://schemas.openxmlformats.org/officeDocument/2006/relationships/hyperlink" Target="https://indianacapitalchronicle.com/briefs/buffer-zone-clarification-heads-to-governors-desk/" TargetMode="External"/><Relationship Id="rId519" Type="http://schemas.openxmlformats.org/officeDocument/2006/relationships/hyperlink" Target="https://www.delawareonline.com/story/news/local/2016/12/01/ardythe-hope-firefighter-injured-canby-park-blaze-dies/94758432/" TargetMode="External"/><Relationship Id="rId1051" Type="http://schemas.openxmlformats.org/officeDocument/2006/relationships/hyperlink" Target="https://cases.justia.com/pennsylvania/commonwealth-court/2025-92-c-d-2024.pdf?ts=1743522170" TargetMode="External"/><Relationship Id="rId1149" Type="http://schemas.openxmlformats.org/officeDocument/2006/relationships/hyperlink" Target="https://codes.ohio.gov/ohio-revised-code/section-742.10" TargetMode="External"/><Relationship Id="rId1356" Type="http://schemas.openxmlformats.org/officeDocument/2006/relationships/hyperlink" Target="https://codes.ohio.gov/ohio-revised-code/section-4112.02" TargetMode="External"/><Relationship Id="rId2102" Type="http://schemas.openxmlformats.org/officeDocument/2006/relationships/hyperlink" Target="https://cases.justia.com/federal/appellate-courts/ca10/24-7035/24-7035-2025-08-22.pdf?ts=1755880380" TargetMode="External"/><Relationship Id="rId2754" Type="http://schemas.openxmlformats.org/officeDocument/2006/relationships/hyperlink" Target="https://cases.justia.com/north-carolina/court-of-appeals/2026-25-761.pdf?ts=1772641555" TargetMode="External"/><Relationship Id="rId726" Type="http://schemas.openxmlformats.org/officeDocument/2006/relationships/hyperlink" Target="https://casetext.com/case/united-states-v-williams-3941" TargetMode="External"/><Relationship Id="rId933" Type="http://schemas.openxmlformats.org/officeDocument/2006/relationships/hyperlink" Target="https://cases.justia.com/louisiana/third-circuit-court-of-appeal/2025-ca-0025-0267.pdf?ts=1761751417" TargetMode="External"/><Relationship Id="rId1009" Type="http://schemas.openxmlformats.org/officeDocument/2006/relationships/hyperlink" Target="https://www.casemine.com/judgement/us/6a2a2b87eaa021ae7251d39f" TargetMode="External"/><Relationship Id="rId1563" Type="http://schemas.openxmlformats.org/officeDocument/2006/relationships/hyperlink" Target="https://fox8.com/tag/cleveland-ems/" TargetMode="External"/><Relationship Id="rId1770" Type="http://schemas.openxmlformats.org/officeDocument/2006/relationships/hyperlink" Target="https://webapps.dol.gov/elaws/whd/flsa/hoursworked/screenEE4.asp" TargetMode="External"/><Relationship Id="rId1868" Type="http://schemas.openxmlformats.org/officeDocument/2006/relationships/hyperlink" Target="https://www.dol.gov/whd/opinion/FLSA/2018/2018_11_08_24_FLSA.pdf" TargetMode="External"/><Relationship Id="rId2407" Type="http://schemas.openxmlformats.org/officeDocument/2006/relationships/hyperlink" Target="https://storage.courtlistener.com/recap/gov.uscourts.cod.231472/gov.uscourts.cod.231472.63.0.pdf" TargetMode="External"/><Relationship Id="rId2614" Type="http://schemas.openxmlformats.org/officeDocument/2006/relationships/hyperlink" Target="https://public.courts.in.gov/Decisions/api/Document/Opinion?Id=BlYPkLxVHgH9AX_il3izt1lEOiPnwm0plhkYRvgS1Eap1sEgbSi8um2d6l97LpRN0" TargetMode="External"/><Relationship Id="rId2821" Type="http://schemas.openxmlformats.org/officeDocument/2006/relationships/hyperlink" Target="https://law.justia.com/cases/federal/district-courts/indiana/inndce/2:2021cv00154/106960/76/" TargetMode="External"/><Relationship Id="rId62" Type="http://schemas.openxmlformats.org/officeDocument/2006/relationships/hyperlink" Target="https://cases.justia.com/federal/district-courts/texas/txsdce/3:2023cv00356/1939756/67/0.pdf?ts=1752929790" TargetMode="External"/><Relationship Id="rId1216" Type="http://schemas.openxmlformats.org/officeDocument/2006/relationships/hyperlink" Target="https://www.courtlistener.com/opinion/4836452/terri-smith-v-kanawha-county-emergency-ambulance-authority/" TargetMode="External"/><Relationship Id="rId1423" Type="http://schemas.openxmlformats.org/officeDocument/2006/relationships/hyperlink" Target="https://casetext.com/case/united-states-v-fields-198" TargetMode="External"/><Relationship Id="rId1630" Type="http://schemas.openxmlformats.org/officeDocument/2006/relationships/hyperlink" Target="https://www.njcourts.gov/system/files/court-opinions/2024/a0448-23.pdf" TargetMode="External"/><Relationship Id="rId1728" Type="http://schemas.openxmlformats.org/officeDocument/2006/relationships/hyperlink" Target="https://www.courts.wa.gov/opinions/pdf/1031211.pdf" TargetMode="External"/><Relationship Id="rId1935" Type="http://schemas.openxmlformats.org/officeDocument/2006/relationships/hyperlink" Target="https://www.fox2detroit.com/news/detroit-fire-chief-investigated-for-taking-department-car-to-bar" TargetMode="External"/><Relationship Id="rId2197" Type="http://schemas.openxmlformats.org/officeDocument/2006/relationships/hyperlink" Target="https://www.dallasobserver.com/news/after-dpd-review-no-charges-filed-against-former-paramedic-who-kicked-mentally-ill-man-13536919" TargetMode="External"/><Relationship Id="rId169" Type="http://schemas.openxmlformats.org/officeDocument/2006/relationships/hyperlink" Target="https://public.fastcase.com/ZZhmr5v9wN%2FXOe5IsQ%2FqD3QWuMgnFl%2B3o%2F4uUFiu6RUK1p7KFM%2BXOmaedKhzNCbabAKegQ7cA7QRQh6Aya7idRlRF78qeqCUoqW17wj1IUw%3D?utm_medium=email&amp;_hsmi=226712652&amp;_hsenc=p2ANqtz-87CRXhJMi7biUmbeSml1AgtAY_NVYdYjA00lD_OXsZo9fEN5Imr0EyPY0zfsM2_JyagzI4vAzpnYyJYIEoZ9qDDKxGPw&amp;utm_content=226712652&amp;utm_source=hs_email" TargetMode="External"/><Relationship Id="rId376" Type="http://schemas.openxmlformats.org/officeDocument/2006/relationships/hyperlink" Target="https://www.supremecourt.gov/opinions/25pdf/24-1068_n7ip.pdf" TargetMode="External"/><Relationship Id="rId583" Type="http://schemas.openxmlformats.org/officeDocument/2006/relationships/hyperlink" Target="https://shawkeller.com/wp-content/uploads/opinions-pdf/18-1252-CMMPT.pdf" TargetMode="External"/><Relationship Id="rId790" Type="http://schemas.openxmlformats.org/officeDocument/2006/relationships/hyperlink" Target="https://casetext.com/case/united-states-v-al-azhari-2" TargetMode="External"/><Relationship Id="rId2057" Type="http://schemas.openxmlformats.org/officeDocument/2006/relationships/hyperlink" Target="https://law.justia.com/cases/new-york/appellate-division-second-department/2024/2019-11168.html" TargetMode="External"/><Relationship Id="rId2264" Type="http://schemas.openxmlformats.org/officeDocument/2006/relationships/hyperlink" Target="https://codes.ohio.gov/ohio-revised-code/section-4765.49" TargetMode="External"/><Relationship Id="rId2471" Type="http://schemas.openxmlformats.org/officeDocument/2006/relationships/hyperlink" Target="https://www.wci360.com/update-workers-comp-coverage-for-firefighters/" TargetMode="External"/><Relationship Id="rId4" Type="http://schemas.openxmlformats.org/officeDocument/2006/relationships/settings" Target="settings.xml"/><Relationship Id="rId236" Type="http://schemas.openxmlformats.org/officeDocument/2006/relationships/hyperlink" Target="https://www.mainelegislature.org/legis/statutes/17/title17sec2851.html" TargetMode="External"/><Relationship Id="rId443" Type="http://schemas.openxmlformats.org/officeDocument/2006/relationships/hyperlink" Target="https://www.youtube.com/watch?v=teM31tC2TMo" TargetMode="External"/><Relationship Id="rId650" Type="http://schemas.openxmlformats.org/officeDocument/2006/relationships/hyperlink" Target="https://cdn.ca9.uscourts.gov/datastore/opinions/2025/07/24/24-542.pdf" TargetMode="External"/><Relationship Id="rId888" Type="http://schemas.openxmlformats.org/officeDocument/2006/relationships/hyperlink" Target="https://casetext.com/case/dougherty-v-city-of-detroit" TargetMode="External"/><Relationship Id="rId1073" Type="http://schemas.openxmlformats.org/officeDocument/2006/relationships/hyperlink" Target="https://www.jud.ct.gov/external/supapp/Cases/AROap/AP228/AP228.307.pdf" TargetMode="External"/><Relationship Id="rId1280" Type="http://schemas.openxmlformats.org/officeDocument/2006/relationships/hyperlink" Target="https://law.justia.com/cases/new-york/other-courts/2019/2019-ny-slip-op-50647-u.html" TargetMode="External"/><Relationship Id="rId2124" Type="http://schemas.openxmlformats.org/officeDocument/2006/relationships/hyperlink" Target="https://www.hhs.gov/hipaa/for-professionals/compliance-enforcement/data/enforcement-highlights/index.html" TargetMode="External"/><Relationship Id="rId2331" Type="http://schemas.openxmlformats.org/officeDocument/2006/relationships/hyperlink" Target="https://cases.justia.com/federal/appellate-courts/ca5/18-30932/18-30932-2019-12-17.pdf?ts=1576629071" TargetMode="External"/><Relationship Id="rId2569" Type="http://schemas.openxmlformats.org/officeDocument/2006/relationships/hyperlink" Target="https://indepthnh.org/2023/11/14/rep-jon-stones-records-as-a-cop-are-humiliating-lawyer-tells-nh-supreme-court/" TargetMode="External"/><Relationship Id="rId2776" Type="http://schemas.openxmlformats.org/officeDocument/2006/relationships/hyperlink" Target="https://casetext.com/statute/code-of-iowa/title-i-state-sovereignty-and-management/chapter-17a-iowa-administrative-procedure-act/section-17a19-judicial-review" TargetMode="External"/><Relationship Id="rId303" Type="http://schemas.openxmlformats.org/officeDocument/2006/relationships/hyperlink" Target="http://www.firelawblog.com/wp-content/uploads/sites/19/2011/02/becker_final_ruling1.pdf" TargetMode="External"/><Relationship Id="rId748" Type="http://schemas.openxmlformats.org/officeDocument/2006/relationships/hyperlink" Target="https://www.washingtonpost.com/opinions/2021/07/18/federal-appeals-court-decisions-handguns-opens-door-more-violence/?utm_campaign=wp_todays_headlines&amp;utm_medium=email&amp;utm_source=newsletter&amp;wpisrc=nl_headlines&amp;carta-url=https%3A%2F%2Fs2.washingtonpost.com%2Fcar-ln-tr%2F342e6a3%2F60f54d379d2fda945a0c336b%2F59731235ade4e21a848a56ed%2F42%2F67%2F60f54d379d2fda945a0c336b" TargetMode="External"/><Relationship Id="rId955" Type="http://schemas.openxmlformats.org/officeDocument/2006/relationships/hyperlink" Target="https://cases.justia.com/michigan/court-of-appeals-unpublished/2023-361624.pdf?ts=1700661618" TargetMode="External"/><Relationship Id="rId1140" Type="http://schemas.openxmlformats.org/officeDocument/2006/relationships/hyperlink" Target="https://info.bwc.ohio.gov/for-employers/workers-compensation-claims/recreational-waiver" TargetMode="External"/><Relationship Id="rId1378" Type="http://schemas.openxmlformats.org/officeDocument/2006/relationships/hyperlink" Target="https://www2.ca3.uscourts.gov/opinarch/213272np.pdf" TargetMode="External"/><Relationship Id="rId1585" Type="http://schemas.openxmlformats.org/officeDocument/2006/relationships/hyperlink" Target="http://www.paed.uscourts.gov/documents/opinions/20D0393P.pdf" TargetMode="External"/><Relationship Id="rId1792" Type="http://schemas.openxmlformats.org/officeDocument/2006/relationships/hyperlink" Target="https://www.supremecourt.gov/opinions/22pdf/21-984_j426.pdf" TargetMode="External"/><Relationship Id="rId2429" Type="http://schemas.openxmlformats.org/officeDocument/2006/relationships/hyperlink" Target="https://perma.cc/4EPP-E4TC" TargetMode="External"/><Relationship Id="rId2636" Type="http://schemas.openxmlformats.org/officeDocument/2006/relationships/hyperlink" Target="https://www.waltontribune.com/article_108b8906-f48f-11ea-baf7-07788894fc4c.html" TargetMode="External"/><Relationship Id="rId2843" Type="http://schemas.openxmlformats.org/officeDocument/2006/relationships/hyperlink" Target="https://www.wwnytv.com/story/39893183/watertown-firefighters-win-legal-victory" TargetMode="External"/><Relationship Id="rId84" Type="http://schemas.openxmlformats.org/officeDocument/2006/relationships/hyperlink" Target="https://supreme.justia.com/cases/federal/us/360/264/" TargetMode="External"/><Relationship Id="rId510" Type="http://schemas.openxmlformats.org/officeDocument/2006/relationships/hyperlink" Target="https://www.firstcoastnews.com/article/news/local/judge-jacksonville-has-mechanism-to-deviate-from-rule-making-black-firefighters-shave/77-7e962b25-bfed-4f9c-817e-ba6883a1f94b" TargetMode="External"/><Relationship Id="rId608" Type="http://schemas.openxmlformats.org/officeDocument/2006/relationships/hyperlink" Target="https://www.ca10.uscourts.gov/opinions/14/14-3157.pdf" TargetMode="External"/><Relationship Id="rId815" Type="http://schemas.openxmlformats.org/officeDocument/2006/relationships/hyperlink" Target="https://www.law.com/thelegalintelligencer/2019/09/12/court-students-claim-to-want-to-beat-the-record-following-parkland-shooting-was-terroristic-threat/" TargetMode="External"/><Relationship Id="rId1238" Type="http://schemas.openxmlformats.org/officeDocument/2006/relationships/hyperlink" Target="https://app.leg.wa.gov/rcw/default.aspx?cite=51.32.185" TargetMode="External"/><Relationship Id="rId1445" Type="http://schemas.openxmlformats.org/officeDocument/2006/relationships/hyperlink" Target="https://cases.justia.com/federal/district-courts/illinois/ilndce/1:2018cv03054/351942/211/0.pdf?ts=1558430418" TargetMode="External"/><Relationship Id="rId1652" Type="http://schemas.openxmlformats.org/officeDocument/2006/relationships/hyperlink" Target="https://public.fastcase.com/ZZhmr5v9wN%2FXOe5IsQ%2FqD3krOQsYv7d%2B2FRanieXHrmbYJPE10W29y6OT9Ia%2FWEvM783GCgc1J%2FsNiq8x9hdfsWhS9nPoC1uzPRzllCUOIc%3D?utm_medium=email&amp;_hsmi=226712652&amp;_hsenc=p2ANqtz-8spF1R7Tf8jpK24zY2dxus9kZGwVA1F9Ooj2BZLJ_FR6fOEX3itYzYoKF0bR9AZ1zkqCBHaC-K0F7fdoWy1HLEeYJb6g&amp;utm_content=226712652&amp;utm_source=hs_email" TargetMode="External"/><Relationship Id="rId1000" Type="http://schemas.openxmlformats.org/officeDocument/2006/relationships/hyperlink" Target="https://www.post-gazette.com/local/west/2006/09/15/Jury-awards-5-million-to-families-in-fire-hose-accident/stories/200609150169" TargetMode="External"/><Relationship Id="rId1305" Type="http://schemas.openxmlformats.org/officeDocument/2006/relationships/hyperlink" Target="https://www.sfgate.com/news/article/Supreme-Court-rules-that-companies-can-require-12931130.php" TargetMode="External"/><Relationship Id="rId1957" Type="http://schemas.openxmlformats.org/officeDocument/2006/relationships/hyperlink" Target="https://www.law.com/thelegalintelligencer/2020/06/25/judge-halts-opening-of-safe-injection-site-citing-covid-19-pandemic-and-protests/" TargetMode="External"/><Relationship Id="rId2703" Type="http://schemas.openxmlformats.org/officeDocument/2006/relationships/hyperlink" Target="https://www.courts.ca.gov/opinions/nonpub/D074758.PDF" TargetMode="External"/><Relationship Id="rId1512" Type="http://schemas.openxmlformats.org/officeDocument/2006/relationships/hyperlink" Target="https://www.tncourts.gov/sites/default/files/OpinionsPDFVersion/BoydTaurickOPN.pdf" TargetMode="External"/><Relationship Id="rId1817" Type="http://schemas.openxmlformats.org/officeDocument/2006/relationships/hyperlink" Target="https://www.dol.gov/agencies/whd/fact-sheets/56a-regular-rate" TargetMode="External"/><Relationship Id="rId11" Type="http://schemas.openxmlformats.org/officeDocument/2006/relationships/image" Target="media/image3.jpeg"/><Relationship Id="rId398" Type="http://schemas.openxmlformats.org/officeDocument/2006/relationships/hyperlink" Target="https://cases.justia.com/federal/district-courts/georgia/gasdce/2:2024cv00049/96644/96/0.pdf?ts=1771001361" TargetMode="External"/><Relationship Id="rId2079" Type="http://schemas.openxmlformats.org/officeDocument/2006/relationships/hyperlink" Target="https://cases.justia.com/federal/appellate-courts/ca9/21-15252/21-15252-2024-05-20.pdf?ts=1716226339" TargetMode="External"/><Relationship Id="rId160" Type="http://schemas.openxmlformats.org/officeDocument/2006/relationships/hyperlink" Target="https://cases.justia.com/federal/appellate-courts/ca9/22-16236/22-16236-2023-09-29.pdf?ts=1696005037" TargetMode="External"/><Relationship Id="rId2286" Type="http://schemas.openxmlformats.org/officeDocument/2006/relationships/hyperlink" Target="https://casetext.com/case/maude-v-city-of-phila" TargetMode="External"/><Relationship Id="rId2493" Type="http://schemas.openxmlformats.org/officeDocument/2006/relationships/hyperlink" Target="https://cases.justia.com/texas/thirteenth-court-of-appeals/2026-13-24-00112-cv.pdf?ts=1770913029" TargetMode="External"/><Relationship Id="rId258" Type="http://schemas.openxmlformats.org/officeDocument/2006/relationships/hyperlink" Target="https://media.ca11.uscourts.gov/opinions/pub/files/201814682.pdf" TargetMode="External"/><Relationship Id="rId465" Type="http://schemas.openxmlformats.org/officeDocument/2006/relationships/hyperlink" Target="https://www.pacourts.us/assets/opinions/Superior/out/J-S40043-23m%20-%20105940494266483578.pdf?cb=1" TargetMode="External"/><Relationship Id="rId672" Type="http://schemas.openxmlformats.org/officeDocument/2006/relationships/hyperlink" Target="https://krcrtv.com/news/local/long-awaited-settlement-conference-in-fawn-fire-arson-case-brings-hope-to-victims" TargetMode="External"/><Relationship Id="rId1095" Type="http://schemas.openxmlformats.org/officeDocument/2006/relationships/hyperlink" Target="https://casetext.com/case/n-douglas-cnty-fire-ems-v-shannon-in-re-shannon" TargetMode="External"/><Relationship Id="rId2146" Type="http://schemas.openxmlformats.org/officeDocument/2006/relationships/hyperlink" Target="https://www.youtube.com/watch?v=GHO2Qjk4XIo" TargetMode="External"/><Relationship Id="rId2353" Type="http://schemas.openxmlformats.org/officeDocument/2006/relationships/hyperlink" Target="https://cases.justia.com/ohio/fourth-district-court-of-appeals/2019-18ca8-5.pdf?ts=1553894129" TargetMode="External"/><Relationship Id="rId2560" Type="http://schemas.openxmlformats.org/officeDocument/2006/relationships/hyperlink" Target="https://cases.justia.com/federal/appellate-courts/ca9/22-15485/22-15485-2024-05-17.pdf?ts=1715961637" TargetMode="External"/><Relationship Id="rId2798" Type="http://schemas.openxmlformats.org/officeDocument/2006/relationships/hyperlink" Target="https://casetext.com/case/murchison-v-city-of-waterbury" TargetMode="External"/><Relationship Id="rId118" Type="http://schemas.openxmlformats.org/officeDocument/2006/relationships/hyperlink" Target="https://casetext.com/case/lear-v-commonwealth-95" TargetMode="External"/><Relationship Id="rId325" Type="http://schemas.openxmlformats.org/officeDocument/2006/relationships/hyperlink" Target="https://www.courts.wa.gov/opinions/pdf/953961.pdf" TargetMode="External"/><Relationship Id="rId532" Type="http://schemas.openxmlformats.org/officeDocument/2006/relationships/hyperlink" Target="https://public.fastcase.com/9SKwsfNqTc6OieYDhNMyM9xc2pxP%2FDu9FaHS39uIywoNWZfMpeo5x%2FagXmZgtb6udFSKN2SMusDFZQbDcDfWSogmOURw4QaQEmhtdPNd1MI%3D" TargetMode="External"/><Relationship Id="rId977" Type="http://schemas.openxmlformats.org/officeDocument/2006/relationships/hyperlink" Target="https://www.fireengineering.com/health-safety/tx-firefighter-dies-after-being-struck/" TargetMode="External"/><Relationship Id="rId1162" Type="http://schemas.openxmlformats.org/officeDocument/2006/relationships/hyperlink" Target="https://www.cleveland.com/cityhall/2021/09/federal-appellate-court-upholds-first-amendment-case-brought-against-cleveland-by-retired-battalion-chief.html" TargetMode="External"/><Relationship Id="rId2006" Type="http://schemas.openxmlformats.org/officeDocument/2006/relationships/hyperlink" Target="https://media.ca11.uscourts.gov/opinions/unpub/files/202413197.pdf" TargetMode="External"/><Relationship Id="rId2213" Type="http://schemas.openxmlformats.org/officeDocument/2006/relationships/hyperlink" Target="https://public.fastcase.com/waZtJvSA54UAurM2rmIZzwN7i243%2F%2BStZpHYDBkc8sGpJscx%2FQQ27pdU9Jjrp4oC%2BDoaG82WuBlPphdis3f1N3UPtlVqun2jEuCWxYyqQWw%3D" TargetMode="External"/><Relationship Id="rId2420" Type="http://schemas.openxmlformats.org/officeDocument/2006/relationships/hyperlink" Target="https://casetext.com/case/sotomayor-v-city-of-new-york" TargetMode="External"/><Relationship Id="rId2658" Type="http://schemas.openxmlformats.org/officeDocument/2006/relationships/hyperlink" Target="https://public.fastcase.com/9SKwsfNqTc6OieYDhNMyM4E5bpqRXbc1vzIOBkY5d575kmIDNjPft14UGJ0ygjci" TargetMode="External"/><Relationship Id="rId2865" Type="http://schemas.openxmlformats.org/officeDocument/2006/relationships/hyperlink" Target="https://www.law.cornell.edu/cfr/text/24/291.530" TargetMode="External"/><Relationship Id="rId837" Type="http://schemas.openxmlformats.org/officeDocument/2006/relationships/hyperlink" Target="https://www.fs.usda.gov/r06/willamette/fire/info/beachie-creek-fire" TargetMode="External"/><Relationship Id="rId1022" Type="http://schemas.openxmlformats.org/officeDocument/2006/relationships/hyperlink" Target="https://www.courtswv.gov/sites/default/pubfilesmnt/2025-12/25-ICA-222_MD.pdf" TargetMode="External"/><Relationship Id="rId1467" Type="http://schemas.openxmlformats.org/officeDocument/2006/relationships/hyperlink" Target="https://www.govinfo.gov/content/pkg/USCOURTS-idd-4_24-cv-00303/pdf/USCOURTS-idd-4_24-cv-00303-0.pdf" TargetMode="External"/><Relationship Id="rId1674" Type="http://schemas.openxmlformats.org/officeDocument/2006/relationships/hyperlink" Target="https://www.eeoc.gov/time-limits-filing-charge" TargetMode="External"/><Relationship Id="rId1881" Type="http://schemas.openxmlformats.org/officeDocument/2006/relationships/hyperlink" Target="https://www.youtube.com/watch?v=wVEUB8WSdp8" TargetMode="External"/><Relationship Id="rId2518" Type="http://schemas.openxmlformats.org/officeDocument/2006/relationships/hyperlink" Target="https://app.midpage.ai/document/geer-v-secretary-department-of-11133637?refG=true" TargetMode="External"/><Relationship Id="rId2725" Type="http://schemas.openxmlformats.org/officeDocument/2006/relationships/hyperlink" Target="http://www.illinoiscourts.gov/R23_Orders/AppellateCourt/2019/1stDistrict/1181422_R23.pdf" TargetMode="External"/><Relationship Id="rId904" Type="http://schemas.openxmlformats.org/officeDocument/2006/relationships/hyperlink" Target="https://casetext.com/case/long-lake-twp-v-maxon" TargetMode="External"/><Relationship Id="rId1327" Type="http://schemas.openxmlformats.org/officeDocument/2006/relationships/hyperlink" Target="https://www.supremecourt.gov/opinions/24pdf/23-1039_c0n2.pdf" TargetMode="External"/><Relationship Id="rId1534" Type="http://schemas.openxmlformats.org/officeDocument/2006/relationships/hyperlink" Target="https://casetext.com/case/crudup-v-city-of-omaha-4" TargetMode="External"/><Relationship Id="rId1741" Type="http://schemas.openxmlformats.org/officeDocument/2006/relationships/hyperlink" Target="https://www.dol.gov/agencies/whd/fact-sheets/56c-bonuses" TargetMode="External"/><Relationship Id="rId1979" Type="http://schemas.openxmlformats.org/officeDocument/2006/relationships/hyperlink" Target="https://www.pacourts.us/assets/opinions/Commonwealth/out/196CD25_4-23-26.pdf?cb=1" TargetMode="External"/><Relationship Id="rId33" Type="http://schemas.openxmlformats.org/officeDocument/2006/relationships/hyperlink" Target="https://public.fastcase.com/" TargetMode="External"/><Relationship Id="rId1601" Type="http://schemas.openxmlformats.org/officeDocument/2006/relationships/hyperlink" Target="https://law.justia.com/cases/federal/appellate-courts/ca11/18-10631/18-10631-2019-03-01.html" TargetMode="External"/><Relationship Id="rId1839" Type="http://schemas.openxmlformats.org/officeDocument/2006/relationships/hyperlink" Target="https://www.chestertonin.org/145/Fire-Department" TargetMode="External"/><Relationship Id="rId182" Type="http://schemas.openxmlformats.org/officeDocument/2006/relationships/hyperlink" Target="https://www.supremecourt.gov/opinions/22pdf/21-1158_p8k0.pdf" TargetMode="External"/><Relationship Id="rId1906" Type="http://schemas.openxmlformats.org/officeDocument/2006/relationships/hyperlink" Target="https://cases.justia.com/texas/fifth-court-of-appeals/2024-05-22-01220-cr.pdf?ts=1708523726" TargetMode="External"/><Relationship Id="rId487" Type="http://schemas.openxmlformats.org/officeDocument/2006/relationships/hyperlink" Target="https://casetext.com/case/knipper-v-drill-team-of-lindenhurst-fire-dept" TargetMode="External"/><Relationship Id="rId694" Type="http://schemas.openxmlformats.org/officeDocument/2006/relationships/hyperlink" Target="https://www.kqed.org/news/11784042/inmates-saved-homes-in-the-kincade-fire-theyll-face-an-uphill-battle-getting-firefighting-jobs-after-release" TargetMode="External"/><Relationship Id="rId2070" Type="http://schemas.openxmlformats.org/officeDocument/2006/relationships/hyperlink" Target="https://www.courts.ca.gov/opinions/nonpub/B322004.PDF" TargetMode="External"/><Relationship Id="rId2168" Type="http://schemas.openxmlformats.org/officeDocument/2006/relationships/hyperlink" Target="https://public.fastcase.com/J%2FJP6pdidelsXxEE4k%2BLMmal3pmqwL2M3IcdBRYRq7H5oV2dmSosFOkL4d7k98jG9SuahbInE3n2tMql6kX0QUzRKtcMn83zHZ%2BG%2BG9ZYZQ%3D?utm_medium=email&amp;_hsmi=226712652&amp;_hsenc=p2ANqtz-9uf78hORTgLHe72Nq9qJz-C27iwk_m4r2mdnHF-ngJMSp_ULhMnmBHzq8bpBh7J7k34w9BngwpJd6Z97DDjhMn2bZMQA&amp;utm_content=226712652&amp;utm_source=hs_email" TargetMode="External"/><Relationship Id="rId2375" Type="http://schemas.openxmlformats.org/officeDocument/2006/relationships/hyperlink" Target="http://courtweb.pamd.uscourts.gov/courtwebsearch/ndoh/AlKFf0ZU_k.pdf" TargetMode="External"/><Relationship Id="rId347" Type="http://schemas.openxmlformats.org/officeDocument/2006/relationships/hyperlink" Target="https://d279m997dpfwgl.cloudfront.net/wp/2019/02/EPSON520.pdf" TargetMode="External"/><Relationship Id="rId999" Type="http://schemas.openxmlformats.org/officeDocument/2006/relationships/hyperlink" Target="http://www.cnn.com/2010/US/01/29/massachusetts.fire.hose.deaths/index.html" TargetMode="External"/><Relationship Id="rId1184" Type="http://schemas.openxmlformats.org/officeDocument/2006/relationships/hyperlink" Target="https://codes.ohio.gov/ohio-revised-code/section-4123.57" TargetMode="External"/><Relationship Id="rId2028" Type="http://schemas.openxmlformats.org/officeDocument/2006/relationships/hyperlink" Target="https://cases.justia.com/missouri/court-of-appeals/2025-wd87298.pdf?ts=1750174248" TargetMode="External"/><Relationship Id="rId2582" Type="http://schemas.openxmlformats.org/officeDocument/2006/relationships/hyperlink" Target="https://casetext.com/case/holt-v-florissant-fire-prot-dist" TargetMode="External"/><Relationship Id="rId2887" Type="http://schemas.openxmlformats.org/officeDocument/2006/relationships/hyperlink" Target="https://www.congress.gov/bill/117th-congress/house-bill/4445/text" TargetMode="External"/><Relationship Id="rId554" Type="http://schemas.openxmlformats.org/officeDocument/2006/relationships/hyperlink" Target="https://www2.ca3.uscourts.gov/opinarch/192938p.pdf" TargetMode="External"/><Relationship Id="rId761" Type="http://schemas.openxmlformats.org/officeDocument/2006/relationships/hyperlink" Target="https://www.law.cornell.edu/uscode/text/8/1229b" TargetMode="External"/><Relationship Id="rId859" Type="http://schemas.openxmlformats.org/officeDocument/2006/relationships/hyperlink" Target="https://caselaw.findlaw.com/court/us-5th-circuit/115838888.html" TargetMode="External"/><Relationship Id="rId1391" Type="http://schemas.openxmlformats.org/officeDocument/2006/relationships/hyperlink" Target="https://www.congress.gov/bill/117th-congress/house-bill/4445/text" TargetMode="External"/><Relationship Id="rId1489" Type="http://schemas.openxmlformats.org/officeDocument/2006/relationships/hyperlink" Target="https://public.fastcase.com/jaEE2PXzRXmZ99jOLMt1IpDp0JnVzptdty762p2WdacpKzYcIiQ8l1TBeuMep1jV?utm_medium=email&amp;_hsenc=p2ANqtz-9L1bPrfxst6esq_7Z5KFo1lHVisT0fYVrJpGE-zmUOoXZMhssxRXtfaqB6NAX5aJI_oGim2Kqhabp0MlaGnIdzwB2f4A&amp;_hsmi=226712652&amp;utm_content=226712652&amp;utm_source=hs_email" TargetMode="External"/><Relationship Id="rId1696" Type="http://schemas.openxmlformats.org/officeDocument/2006/relationships/hyperlink" Target="https://www.courthousenews.com/firemans-beard-bias-claims-given-a-trim/" TargetMode="External"/><Relationship Id="rId2235" Type="http://schemas.openxmlformats.org/officeDocument/2006/relationships/hyperlink" Target="https://casetext.com/case/warren-v-cnty-of-sacramento" TargetMode="External"/><Relationship Id="rId2442" Type="http://schemas.openxmlformats.org/officeDocument/2006/relationships/hyperlink" Target="https://casetext.com/case/abler-v-mayor-of-balt" TargetMode="External"/><Relationship Id="rId207" Type="http://schemas.openxmlformats.org/officeDocument/2006/relationships/hyperlink" Target="https://caselaw.findlaw.com/mi-court-of-appeals/1912425.html" TargetMode="External"/><Relationship Id="rId414" Type="http://schemas.openxmlformats.org/officeDocument/2006/relationships/hyperlink" Target="https://cases.justia.com/new-york/other-courts/2025-2025-ny-slip-op-33918-u.pdf?ts=1761341322" TargetMode="External"/><Relationship Id="rId621" Type="http://schemas.openxmlformats.org/officeDocument/2006/relationships/hyperlink" Target="https://public.fastcase.com/Jhe1Qn%2BmJndQYQU6z%2FeNm525CuDWbNdyVkYCPMsZ0T5YpmzSSkpneXijYslIbSF5OmudrAoxw3Ae8PMhEMNZsP67fNH%2FZ%2FwnrBtLVmm5SAU%3D?utm_medium=email&amp;_hsenc=p2ANqtz-9semzM2ZQJ5MEhp_UWNRAg9Ejc_wupFqaRucLy6fQyzUPCHHSZ-OwHACqIjxggJtdwV9jTjO8a6Rf4TL88Oco6y4mJgQ&amp;_hsmi=226712652&amp;utm_content=226712652&amp;utm_source=hs_email" TargetMode="External"/><Relationship Id="rId1044" Type="http://schemas.openxmlformats.org/officeDocument/2006/relationships/hyperlink" Target="https://www.jud.ct.gov/external/supapp/Cases/AROap/AP232/AP232.214.pdf" TargetMode="External"/><Relationship Id="rId1251" Type="http://schemas.openxmlformats.org/officeDocument/2006/relationships/hyperlink" Target="http://www.pacourts.us/assets/opinions/Commonwealth/out/1156cd19_5-6-20.pdf" TargetMode="External"/><Relationship Id="rId1349" Type="http://schemas.openxmlformats.org/officeDocument/2006/relationships/hyperlink" Target="https://cdnsm5-hosted.civiclive.com/UserFiles/Servers/Server_12810747/File/Opinions/2024/st2020cv00154%2029U.pdf" TargetMode="External"/><Relationship Id="rId2302" Type="http://schemas.openxmlformats.org/officeDocument/2006/relationships/hyperlink" Target="https://www.legislature.ohio.gov/legislation/legislation-documents?id=GA133-HB-606" TargetMode="External"/><Relationship Id="rId2747" Type="http://schemas.openxmlformats.org/officeDocument/2006/relationships/hyperlink" Target="https://d.docs.live.net/bd9b2eaf6053242e/AppData/Roaming/Microsoft/AppData/Local/Microsoft/Windows/INetCache/IE/XO250S7T/01171801lmb.pdf" TargetMode="External"/><Relationship Id="rId719" Type="http://schemas.openxmlformats.org/officeDocument/2006/relationships/hyperlink" Target="https://docs-cdn-prod.news-engineering.aws.wapo.pub/publish_document/5c87d9b8-631f-41c7-92e8-129f412d0e0f/published/5c87d9b8-631f-41c7-92e8-129f412d0e0f.pdf" TargetMode="External"/><Relationship Id="rId926" Type="http://schemas.openxmlformats.org/officeDocument/2006/relationships/hyperlink" Target="https://cases.justia.com/texas/fourteenth-court-of-appeals/2026-14-25-00078-cv.pdf?ts=1770741693" TargetMode="External"/><Relationship Id="rId1111" Type="http://schemas.openxmlformats.org/officeDocument/2006/relationships/hyperlink" Target="https://law.justia.com/cases/texas/fourth-court-of-appeals/2023/04-22-00347-cv.html" TargetMode="External"/><Relationship Id="rId1556" Type="http://schemas.openxmlformats.org/officeDocument/2006/relationships/hyperlink" Target="https://public.fastcase.com/9SKwsfNqTc6OieYDhNMyM%2FTSgbZsxamnZMkEnGgxxe%2FrqLPFRApIhr2w3nhFxBI%2F%2BQAM0CcvCjVB30L3LI5a7qA0dv8E2KAwnqlsNAe5EaM%3D" TargetMode="External"/><Relationship Id="rId1763" Type="http://schemas.openxmlformats.org/officeDocument/2006/relationships/hyperlink" Target="https://www.ecfr.gov/current/title-29/section-778.200" TargetMode="External"/><Relationship Id="rId1970" Type="http://schemas.openxmlformats.org/officeDocument/2006/relationships/hyperlink" Target="https://cases.justia.com/tennessee/court-of-appeals/2026-m2025-00288-coa-r3-cv.pdf?ts=1779919242" TargetMode="External"/><Relationship Id="rId2607" Type="http://schemas.openxmlformats.org/officeDocument/2006/relationships/hyperlink" Target="https://public.fastcase.com/J%2FJP6pdidelsXxEE4k%2BLMjaDEWROmrH16cfc6gra3ASxsA6ABb5gmKr7dgTVPZFAyucR%2F24MD4mhTmh6U3JDqNSXBmdIcjdrjArbqC4ueHA%3D?utm_medium=email&amp;_hsmi=226712652&amp;_hsenc=p2ANqtz-8djIG1sQ_3FyKMXC40KW2oDEllslyVj_QIL_DW9IJ-72SY8jUMapn9qVvf0Txy9Aeh2fYzSIF_AEMjkupRX651B5mjNw&amp;utm_content=226712652&amp;utm_source=hs_email" TargetMode="External"/><Relationship Id="rId2814" Type="http://schemas.openxmlformats.org/officeDocument/2006/relationships/hyperlink" Target="https://www.supremecourt.ohio.gov/rod/docs/pdf/8/2022/2022-Ohio-2498.pdf" TargetMode="External"/><Relationship Id="rId55" Type="http://schemas.openxmlformats.org/officeDocument/2006/relationships/hyperlink" Target="https://legal.iml.org/file.cfm?key=29946" TargetMode="External"/><Relationship Id="rId1209" Type="http://schemas.openxmlformats.org/officeDocument/2006/relationships/hyperlink" Target="https://fox8.com/news/cleveland-fire-chief-to-retire-friday/" TargetMode="External"/><Relationship Id="rId1416" Type="http://schemas.openxmlformats.org/officeDocument/2006/relationships/hyperlink" Target="https://www.firerescue1.com/discrimination/articles/judge-dismisses-discrimination-lawsuit-by-transgender-fire-chief-c9ZJzz1mhPH97dsL/?utm_source=FireRescue1+Daily&amp;utm_campaign=34323ded4f-EMAIL_CAMPAIGN_2021_02_19_07_52&amp;utm_medium=email&amp;utm_term=0_758bdbeffe-34323ded4f-41607823" TargetMode="External"/><Relationship Id="rId1623" Type="http://schemas.openxmlformats.org/officeDocument/2006/relationships/hyperlink" Target="https://cases.justia.com/federal/appellate-courts/ca11/24-12910/24-12910-2025-06-23.pdf?ts=1750690858" TargetMode="External"/><Relationship Id="rId1830" Type="http://schemas.openxmlformats.org/officeDocument/2006/relationships/hyperlink" Target="https://www.nbcchicago.com/news/local/reservist-sues-civilian-employer-nbc-investigates/153292/" TargetMode="External"/><Relationship Id="rId1928" Type="http://schemas.openxmlformats.org/officeDocument/2006/relationships/hyperlink" Target="https://casetext.com/case/dufrene-v-northshore-ems-llc" TargetMode="External"/><Relationship Id="rId2092" Type="http://schemas.openxmlformats.org/officeDocument/2006/relationships/hyperlink" Target="https://www.cbsnews.com/colorado/news/former-colorado-paramedic-jeremy-cooper-sentenced-conviction-death-elijah-mcclain/" TargetMode="External"/><Relationship Id="rId271" Type="http://schemas.openxmlformats.org/officeDocument/2006/relationships/hyperlink" Target="https://nam11.safelinks.protection.outlook.com/?url=https%3A%2F%2Fethics.ohio.gov%2Feducation%2Fnewsletters%2FVOE_21Q1.pdf&amp;data=04%7C01%7Cbennetlt%40ucmail.uc.edu%7C21c7cf1b1f7e4058bf7908d8d75e7ed7%7Cf5222e6c5fc648eb8f0373db18203b63%7C1%7C0%7C637496150547267494%7CUnknown%7CTWFpbGZsb3d8eyJWIjoiMC4wLjAwMDAiLCJQIjoiV2luMzIiLCJBTiI6Ik1haWwiLCJXVCI6Mn0%3D%7C1000&amp;sdata=UJS7I0zht0Zw8z4G6aqmFUVw3sZ90mRRc9wJuthINkk%3D&amp;reserved=0" TargetMode="External"/><Relationship Id="rId2397" Type="http://schemas.openxmlformats.org/officeDocument/2006/relationships/hyperlink" Target="https://www.tncourts.gov/sites/default/files/OpinionsPDFVersion/Majority%20Opinion%20-%20E2022-01151-SC-R11-CV.pdf" TargetMode="External"/><Relationship Id="rId131" Type="http://schemas.openxmlformats.org/officeDocument/2006/relationships/hyperlink" Target="https://cases.justia.com/federal/district-courts/illinois/ilndce/1:2017cv02153/337913/236/0.pdf?ts=1723715563" TargetMode="External"/><Relationship Id="rId369" Type="http://schemas.openxmlformats.org/officeDocument/2006/relationships/hyperlink" Target="https://cases.justia.com/ohio/eighth-district-court-of-appeals/2018-105661.pdf?ts=1528147387" TargetMode="External"/><Relationship Id="rId576" Type="http://schemas.openxmlformats.org/officeDocument/2006/relationships/hyperlink" Target="http://www.ca5.uscourts.gov/opinions/pub/18/18-51011-CV0.pdf" TargetMode="External"/><Relationship Id="rId783" Type="http://schemas.openxmlformats.org/officeDocument/2006/relationships/hyperlink" Target="https://public.fastcase.com/Wl%2B2t%2BeVuI35%2FN70vAMFZt9ItawWnHyT6tQhkduyZ%2FXLPY%2FAAJ%2BlLBDJZfxklyiH" TargetMode="External"/><Relationship Id="rId990" Type="http://schemas.openxmlformats.org/officeDocument/2006/relationships/hyperlink" Target="https://acis.alabama.gov/displaydocs.cfm?no=1022968&amp;event=5S20LIXMT" TargetMode="External"/><Relationship Id="rId2257" Type="http://schemas.openxmlformats.org/officeDocument/2006/relationships/hyperlink" Target="https://casetext.com/case/certification-from-us-dist-court-for-w-dist-of-wash-v-city-of-bellingham" TargetMode="External"/><Relationship Id="rId2464" Type="http://schemas.openxmlformats.org/officeDocument/2006/relationships/hyperlink" Target="https://public.fastcase.com/Wl%2B2t%2BeVuI35%2FN70vAMFZhAr68AdbratCNmy2dcHSKg4lqOPhLPvbyL5oFysv%2FPr" TargetMode="External"/><Relationship Id="rId2671" Type="http://schemas.openxmlformats.org/officeDocument/2006/relationships/hyperlink" Target="https://www.supremecourt.ohio.gov/rod/docs/pdf/4/2020/2020-Ohio-5615.pdf" TargetMode="External"/><Relationship Id="rId229" Type="http://schemas.openxmlformats.org/officeDocument/2006/relationships/hyperlink" Target="https://www.ca10.uscourts.gov/sites/ca10/files/opinions/010110630282.pdf" TargetMode="External"/><Relationship Id="rId436" Type="http://schemas.openxmlformats.org/officeDocument/2006/relationships/hyperlink" Target="https://storage.courtlistener.com/recap/gov.uscourts.mdd.559142/gov.uscourts.mdd.559142.21.0.pdf" TargetMode="External"/><Relationship Id="rId643" Type="http://schemas.openxmlformats.org/officeDocument/2006/relationships/hyperlink" Target="https://news.wttw.com/2025/10/16/appeals-court-upholds-federal-judge-s-temporary-order-blocking-national-guard-deployment" TargetMode="External"/><Relationship Id="rId1066" Type="http://schemas.openxmlformats.org/officeDocument/2006/relationships/hyperlink" Target="https://ilcourtsaudio.blob.core.windows.net/antilles-resources/resources/cb295fe3-77b3-494e-ba2f-aabcd601915c/Barz%20v.%20Village%20of%20Hazel%20Crest%20Firefighters%20Pension%20Fund,%202024%20IL%20App%20(1st)%20240137-U.pdf" TargetMode="External"/><Relationship Id="rId1273" Type="http://schemas.openxmlformats.org/officeDocument/2006/relationships/hyperlink" Target="https://patch.com/ohio/mayfield-hillcrest/mayfield-village-introduces-three-new-firefighters" TargetMode="External"/><Relationship Id="rId1480" Type="http://schemas.openxmlformats.org/officeDocument/2006/relationships/hyperlink" Target="https://cases.justia.com/federal/appellate-courts/ca8/24-2646/24-2646-2025-07-08.pdf?ts=1751988624" TargetMode="External"/><Relationship Id="rId2117" Type="http://schemas.openxmlformats.org/officeDocument/2006/relationships/hyperlink" Target="https://casetext.com/case/currid-v-the-city-of-new-york" TargetMode="External"/><Relationship Id="rId2324" Type="http://schemas.openxmlformats.org/officeDocument/2006/relationships/hyperlink" Target="https://www.dailynews.com/2020/04/14/coronavirus-judge-upholds-l-a-city-order-to-close-gun-stores/" TargetMode="External"/><Relationship Id="rId2769" Type="http://schemas.openxmlformats.org/officeDocument/2006/relationships/hyperlink" Target="https://caselaw.findlaw.com/court/ny-supreme-court-appellate-division/117059772.html" TargetMode="External"/><Relationship Id="rId850" Type="http://schemas.openxmlformats.org/officeDocument/2006/relationships/hyperlink" Target="https://www.supremecourt.gov/opinions/24pdf/23-1363_d1o3.pdf" TargetMode="External"/><Relationship Id="rId948" Type="http://schemas.openxmlformats.org/officeDocument/2006/relationships/hyperlink" Target="https://public.fastcase.com/H1P9uiW3J20SFp%2BGCG%2BxLdY6%2FSfit7cxFyw3bnS%2FOidOFypRHxHWNwsmGqo4fSQEV9JpTw1bCRB2JkBf6VgjErq%2BbrT9DkyICOjdjgBVHFs%3D?utm_medium=email&amp;_hsmi=226712652&amp;_hsenc=p2ANqtz-82_plk0g72fbRvFB8NjbgL3Ik8GBcsuuIrmbdbiUiPbF7Kb8UwG6VvxYNyc-qobM2A00y-E3aXbEp-pYTE9TR3ELyYBQ&amp;utm_content=226712652&amp;utm_source=hs_email" TargetMode="External"/><Relationship Id="rId1133" Type="http://schemas.openxmlformats.org/officeDocument/2006/relationships/hyperlink" Target="https://cases.justia.com/new-york/other-courts/2022-2022-ny-slip-op-32197-u.pdf?ts=1657833320" TargetMode="External"/><Relationship Id="rId1578" Type="http://schemas.openxmlformats.org/officeDocument/2006/relationships/hyperlink" Target="https://www.law.georgetown.edu/icap/wp-content/uploads/sites/32/2020/07/Bey-2d-Cir.-Opening-Brief-FINAL-7-7-2020.pdf" TargetMode="External"/><Relationship Id="rId1785" Type="http://schemas.openxmlformats.org/officeDocument/2006/relationships/hyperlink" Target="https://cases.justia.com/federal/appellate-courts/ca6/22-3101/22-3101-2023-05-19.pdf?ts=1684526463" TargetMode="External"/><Relationship Id="rId1992" Type="http://schemas.openxmlformats.org/officeDocument/2006/relationships/hyperlink" Target="https://law.justia.com/cases/new-york/appellate-division-third-department/2026/cv-24-1117-cv-25-0151.html" TargetMode="External"/><Relationship Id="rId2531" Type="http://schemas.openxmlformats.org/officeDocument/2006/relationships/hyperlink" Target="https://www.wvxu.org/politics/2025-08-27/michael-washington-wrongful-termination-lawsuit-trial" TargetMode="External"/><Relationship Id="rId2629" Type="http://schemas.openxmlformats.org/officeDocument/2006/relationships/hyperlink" Target="https://iprospectcheck.com/background-checks-employment-guide/" TargetMode="External"/><Relationship Id="rId2836" Type="http://schemas.openxmlformats.org/officeDocument/2006/relationships/hyperlink" Target="https://public.fastcase.com/Wl%2B2t%2BeVuI35%2FN70vAMFZl7A1gE73iKGMMI%2FPLrMqXgHwn%2FVp9h90PlANd5CkjNU" TargetMode="External"/><Relationship Id="rId77" Type="http://schemas.openxmlformats.org/officeDocument/2006/relationships/hyperlink" Target="https://www.aol.com/trial-delayed-man-accused-fatally-135028116.html" TargetMode="External"/><Relationship Id="rId503" Type="http://schemas.openxmlformats.org/officeDocument/2006/relationships/hyperlink" Target="https://law.justia.com/cases/federal/appellate-courts/ca3/22-1892/22-1892-2023-06-30.html" TargetMode="External"/><Relationship Id="rId710" Type="http://schemas.openxmlformats.org/officeDocument/2006/relationships/hyperlink" Target="https://www.supremecourt.gov/opinions/22pdf/22a557_0pm1.pdf" TargetMode="External"/><Relationship Id="rId808" Type="http://schemas.openxmlformats.org/officeDocument/2006/relationships/hyperlink" Target="http://www.ca2.uscourts.gov/decisions/isysquery/67a05b34-20ad-4c39-bc1a-260008502d15/1/doc/18-1604_complete_opn.pdf" TargetMode="External"/><Relationship Id="rId1340" Type="http://schemas.openxmlformats.org/officeDocument/2006/relationships/hyperlink" Target="https://codes.ohio.gov/ohio-revised-code/section-4112.022" TargetMode="External"/><Relationship Id="rId1438" Type="http://schemas.openxmlformats.org/officeDocument/2006/relationships/hyperlink" Target="https://www.eeoc.gov/federal/reports/upload/pspe.pdf" TargetMode="External"/><Relationship Id="rId1645" Type="http://schemas.openxmlformats.org/officeDocument/2006/relationships/hyperlink" Target="https://www.casemine.com/judgement/us/65a0c054bfe6241981ef91c8" TargetMode="External"/><Relationship Id="rId1200" Type="http://schemas.openxmlformats.org/officeDocument/2006/relationships/hyperlink" Target="http://app.leg.wa.gov/RCW/default.aspx?cite=41.26.030" TargetMode="External"/><Relationship Id="rId1852" Type="http://schemas.openxmlformats.org/officeDocument/2006/relationships/hyperlink" Target="https://public.fastcase.com/Wl%2B2t%2BeVuI35%2FN70vAMFZpr47IXL%2FNqq46QG15nW3r0g0xInlPjrGPn7upgPO%2BUR" TargetMode="External"/><Relationship Id="rId2903" Type="http://schemas.openxmlformats.org/officeDocument/2006/relationships/hyperlink" Target="https://services.courts.state.wy.us/Documents/Opinions/2018WY75.pdf" TargetMode="External"/><Relationship Id="rId1505" Type="http://schemas.openxmlformats.org/officeDocument/2006/relationships/hyperlink" Target="https://cases.justia.com/federal/district-courts/illinois/ilndce/1:2022cv01419/413396/37/0.pdf?ts=1732013718" TargetMode="External"/><Relationship Id="rId1712" Type="http://schemas.openxmlformats.org/officeDocument/2006/relationships/hyperlink" Target="https://public.fastcase.com/waZtJvSA54UAurM2rmIZz88A4DX9zJiHVSCLlaywcCbO%2FsN6H35lRLqBQI5YlUXLkpfw%2B63lWcDnyRlZDlxVAe7N7ayvxJpVWQxxLxisTNc%3D" TargetMode="External"/><Relationship Id="rId293" Type="http://schemas.openxmlformats.org/officeDocument/2006/relationships/hyperlink" Target="http://codes.ohio.gov/oac/123:1-46-02" TargetMode="External"/><Relationship Id="rId2181" Type="http://schemas.openxmlformats.org/officeDocument/2006/relationships/hyperlink" Target="https://media.ca11.uscourts.gov/opinions/unpub/files/201914294.pdf" TargetMode="External"/><Relationship Id="rId153" Type="http://schemas.openxmlformats.org/officeDocument/2006/relationships/hyperlink" Target="https://caselaw.findlaw.com/court/ma-court-of-appeals/115598993.html" TargetMode="External"/><Relationship Id="rId360" Type="http://schemas.openxmlformats.org/officeDocument/2006/relationships/hyperlink" Target="https://cases.justia.com/ohio/ninth-district-court-of-appeals/2018-28746.pdf?ts=1532525904" TargetMode="External"/><Relationship Id="rId598" Type="http://schemas.openxmlformats.org/officeDocument/2006/relationships/hyperlink" Target="https://www.firstrespondercenter.org/cancer/toolsresources/presumptive-legislation-firefighter-cancer-state/" TargetMode="External"/><Relationship Id="rId2041" Type="http://schemas.openxmlformats.org/officeDocument/2006/relationships/hyperlink" Target="https://leginfo.legislature.ca.gov/faces/codes_displaySection.xhtml?sectionNum=1799.106.&amp;lawCode=HSC" TargetMode="External"/><Relationship Id="rId2279" Type="http://schemas.openxmlformats.org/officeDocument/2006/relationships/hyperlink" Target="https://public.fastcase.com/Wl%2B2t%2BeVuI35%2FN70vAMFZhgQRMSlTmc31zPzZvHhe6G3UFiDUpDiHM1BEG64P0h7" TargetMode="External"/><Relationship Id="rId2486" Type="http://schemas.openxmlformats.org/officeDocument/2006/relationships/hyperlink" Target="https://public.fastcase.com/Jhe1Qn%2BmJndQYQU6z%2FeNm0JH5q8gWciAXAF9bixHugWdaYIct3CF769DEA6AolcFot0MADEgf34paIS5RxXYfLHjDYkVz561VNE3Py00FLo%3D?utm_medium=email&amp;_hsenc=p2ANqtz--lMiV9AKrZhOCKCU8G42zfsMnA0WduNXw5NGIFgBNIi3qKeq5uCBwN2k8_bjKsGZk1kObDueEzHePI446cTwvuol4Y2w&amp;_hsmi=226712652&amp;utm_content=226712652&amp;utm_source=hs_email" TargetMode="External"/><Relationship Id="rId2693" Type="http://schemas.openxmlformats.org/officeDocument/2006/relationships/hyperlink" Target="https://www.dmlp.org/legal-guide/recording-phone-calls-and-conversations" TargetMode="External"/><Relationship Id="rId220" Type="http://schemas.openxmlformats.org/officeDocument/2006/relationships/hyperlink" Target="https://ilcourtsaudio.blob.core.windows.net/antilles-resources/resources/d420bdc6-9c63-45de-9274-2f897cb58b7d/People%20v.%20Griffin,%202022%20IL%20App%20(4th)%20210360-U.pdf" TargetMode="External"/><Relationship Id="rId458" Type="http://schemas.openxmlformats.org/officeDocument/2006/relationships/hyperlink" Target="https://www.hometownlife.com/story/news/2023/05/27/westland-firefighters-brian-woehlke-arson-homicide-investigation/70244259007/" TargetMode="External"/><Relationship Id="rId665" Type="http://schemas.openxmlformats.org/officeDocument/2006/relationships/hyperlink" Target="https://www.courthousenews.com/dc-circuit-side-eyes-capitol-rioters-argument-that-pepper-spray-is-not-a-dangerous-weapon/" TargetMode="External"/><Relationship Id="rId872" Type="http://schemas.openxmlformats.org/officeDocument/2006/relationships/hyperlink" Target="https://public.fastcase.com/ZZhmr5v9wN%2FXOe5IsQ%2FqD1CdH2R29LNK8BT0hnz9oKtXR%2FoMxL2xC63e%2BHHuthpWCwncj7bfE4lB3MomO4uqm4E3oXBdMMZD2IWz0SNqHm0%3D?utm_medium=email&amp;_hsmi=226712652&amp;_hsenc=p2ANqtz-_2XBA_cBQDF2xes7gnarhZ-sbkcdxdJUtVuyLwtAqY2WUUI2XYCC6QqVwiuQaE3r8IP3AVZ-ZehQ2YYsnZUf5Qzx_SHw&amp;utm_content=226712652&amp;utm_source=hs_email" TargetMode="External"/><Relationship Id="rId1088" Type="http://schemas.openxmlformats.org/officeDocument/2006/relationships/hyperlink" Target="https://casetext.com/case/pastrana-v-nyc-fire-pension-fund" TargetMode="External"/><Relationship Id="rId1295" Type="http://schemas.openxmlformats.org/officeDocument/2006/relationships/hyperlink" Target="https://cases.justia.com/federal/district-courts/louisiana/lawdce/5:2018cv00034/160852/18/0.pdf?ts=1532079100" TargetMode="External"/><Relationship Id="rId2139" Type="http://schemas.openxmlformats.org/officeDocument/2006/relationships/hyperlink" Target="https://www.opn.ca6.uscourts.gov/opinions.pdf/23a0156p-06.pdf" TargetMode="External"/><Relationship Id="rId2346" Type="http://schemas.openxmlformats.org/officeDocument/2006/relationships/hyperlink" Target="https://www.courts.ca.gov/opinions/nonpub/B284099.PDF" TargetMode="External"/><Relationship Id="rId2553" Type="http://schemas.openxmlformats.org/officeDocument/2006/relationships/hyperlink" Target="https://cases.justia.com/michigan/court-of-appeals-unpublished/2024-365464.pdf?ts=1732024807" TargetMode="External"/><Relationship Id="rId2760" Type="http://schemas.openxmlformats.org/officeDocument/2006/relationships/hyperlink" Target="https://cases.justia.com/georgia/court-of-appeals/2025-a25a0947.pdf?ts=1757355224" TargetMode="External"/><Relationship Id="rId318" Type="http://schemas.openxmlformats.org/officeDocument/2006/relationships/hyperlink" Target="https://www.ohioattorneygeneral.gov/Media/News-Releases/January-2020/Garfield-Heights-Recycling-Center-Held-in-Contempt" TargetMode="External"/><Relationship Id="rId525" Type="http://schemas.openxmlformats.org/officeDocument/2006/relationships/hyperlink" Target="https://www.ems.gov/newsletter/fall2021/dont_let_railroads_become_roadblocks.html" TargetMode="External"/><Relationship Id="rId732" Type="http://schemas.openxmlformats.org/officeDocument/2006/relationships/hyperlink" Target="https://www.supremecourt.gov/opinions/21pdf/21a477_1bo2.pdf" TargetMode="External"/><Relationship Id="rId1155" Type="http://schemas.openxmlformats.org/officeDocument/2006/relationships/hyperlink" Target="http://app.leg.wa.gov/RCW/default.aspx?cite=51.08.140" TargetMode="External"/><Relationship Id="rId1362" Type="http://schemas.openxmlformats.org/officeDocument/2006/relationships/hyperlink" Target="https://public.fastcase.com/ZZhmr5v9wN%2FXOe5IsQ%2FqD6jMQR25voU2zetCo1HgS1zBk8tCI%2FmKZ0pb%2BYQBY4PYbj2YxbwIVSZ2pGprXwG4UQ35c6nwrJlu7u4tvaka%2BGk%3D?utm_medium=email&amp;_hsmi=226712652&amp;_hsenc=p2ANqtz-8k0z7Ow52c-ClX2b2IdaHNx0isoBG6vg98c6p6ibbt9CVV8mr3zs9YYXJjoYif24S7rYOdhr1XcCDTZ_K6Y2uCJJR3PQ&amp;utm_content=226712652&amp;utm_source=hs_email" TargetMode="External"/><Relationship Id="rId2206" Type="http://schemas.openxmlformats.org/officeDocument/2006/relationships/hyperlink" Target="https://www.leagle.com/decision/infdco20220324d64" TargetMode="External"/><Relationship Id="rId2413" Type="http://schemas.openxmlformats.org/officeDocument/2006/relationships/hyperlink" Target="https://casetext.com/case/shaw-v-kittitas-valley-fire-rescue" TargetMode="External"/><Relationship Id="rId2620" Type="http://schemas.openxmlformats.org/officeDocument/2006/relationships/hyperlink" Target="https://law.justia.com/cases/federal/appellate-courts/ca11/22-10132/22-10132-2022-11-22.html" TargetMode="External"/><Relationship Id="rId2858" Type="http://schemas.openxmlformats.org/officeDocument/2006/relationships/hyperlink" Target="https://cases.justia.com/federal/district-courts/connecticut/ctdce/3:2024cv00680/159059/264/0.pdf?ts=1747297635" TargetMode="External"/><Relationship Id="rId99" Type="http://schemas.openxmlformats.org/officeDocument/2006/relationships/hyperlink" Target="https://www.supremecourt.ohio.gov/rod/docs/pdf/8/2024/2024-Ohio-5601.pdf" TargetMode="External"/><Relationship Id="rId1015" Type="http://schemas.openxmlformats.org/officeDocument/2006/relationships/hyperlink" Target="https://cases.justia.com/new-york/other-courts/2026-2026-ny-slip-op-30695-u.pdf?ts=1773178122" TargetMode="External"/><Relationship Id="rId1222" Type="http://schemas.openxmlformats.org/officeDocument/2006/relationships/hyperlink" Target="https://www.delawareonline.com/story/news/2019/04/26/former-wilmington-fire-chief-gets-prison-time-theft/3588123002/" TargetMode="External"/><Relationship Id="rId1667" Type="http://schemas.openxmlformats.org/officeDocument/2006/relationships/hyperlink" Target="https://law.justia.com/cases/federal/district-courts/delaware/dedce/1:2021cv01726/77337/17/" TargetMode="External"/><Relationship Id="rId1874" Type="http://schemas.openxmlformats.org/officeDocument/2006/relationships/hyperlink" Target="https://cases.justia.com/federal/appellate-courts/ca6/14-5053/14-5053-2014-11-14.pdf?ts=1415984433" TargetMode="External"/><Relationship Id="rId2718" Type="http://schemas.openxmlformats.org/officeDocument/2006/relationships/hyperlink" Target="https://www.oregonlaws.org/ors/243.672" TargetMode="External"/><Relationship Id="rId1527" Type="http://schemas.openxmlformats.org/officeDocument/2006/relationships/hyperlink" Target="https://www.cincinnati.com/story/news/2018/12/21/fire-captain-alleges-sexual-harassment-after-any-given-sunday-shown-station/2393196002/" TargetMode="External"/><Relationship Id="rId1734" Type="http://schemas.openxmlformats.org/officeDocument/2006/relationships/hyperlink" Target="https://www.firefighterovertime.org/2026/01/04/fourth-circuit-rules-against-battalion-chiefs-in-virginia-flsa-lawsuit/" TargetMode="External"/><Relationship Id="rId1941" Type="http://schemas.openxmlformats.org/officeDocument/2006/relationships/hyperlink" Target="https://www.lexipol.com/resources/blog/can-fire-departments-prohibit-firefighter-off-duty-medical-marijuana-use/" TargetMode="External"/><Relationship Id="rId26" Type="http://schemas.openxmlformats.org/officeDocument/2006/relationships/hyperlink" Target="https://www.supremecourt.ohio.gov/rod/docs/pdf/9/2026/2026-Ohio-1842.pdf" TargetMode="External"/><Relationship Id="rId175" Type="http://schemas.openxmlformats.org/officeDocument/2006/relationships/hyperlink" Target="https://www.loc.gov/item/usrep509579/" TargetMode="External"/><Relationship Id="rId1801" Type="http://schemas.openxmlformats.org/officeDocument/2006/relationships/hyperlink" Target="https://www.opn.ca6.uscourts.gov/opinions.pdf/21a0485n-06.pdf" TargetMode="External"/><Relationship Id="rId382" Type="http://schemas.openxmlformats.org/officeDocument/2006/relationships/hyperlink" Target="https://www4.courts.ca.gov/opinions/nonpub/C102004.PDF" TargetMode="External"/><Relationship Id="rId687" Type="http://schemas.openxmlformats.org/officeDocument/2006/relationships/hyperlink" Target="https://casetext.com/case/coal-for-indep-tech-research-v-abbott" TargetMode="External"/><Relationship Id="rId2063" Type="http://schemas.openxmlformats.org/officeDocument/2006/relationships/hyperlink" Target="https://cases.justia.com/missouri/court-of-appeals/2024-sd38313.pdf?ts=1724895006" TargetMode="External"/><Relationship Id="rId2270" Type="http://schemas.openxmlformats.org/officeDocument/2006/relationships/hyperlink" Target="https://caselaw.findlaw.com/us-4th-circuit/1602456.html" TargetMode="External"/><Relationship Id="rId2368" Type="http://schemas.openxmlformats.org/officeDocument/2006/relationships/hyperlink" Target="https://cases.justia.com/federal/district-courts/kentucky/kyedce/5:2016cv00446/81785/59/0.pdf?ts=1529661227" TargetMode="External"/><Relationship Id="rId242" Type="http://schemas.openxmlformats.org/officeDocument/2006/relationships/hyperlink" Target="https://www.opn.ca6.uscourts.gov/opinions.pdf/21a0484n-06.pdf" TargetMode="External"/><Relationship Id="rId894" Type="http://schemas.openxmlformats.org/officeDocument/2006/relationships/hyperlink" Target="https://casetext.com/case/doe-v-jackson-local-sch-dist-bd-of-educ" TargetMode="External"/><Relationship Id="rId1177" Type="http://schemas.openxmlformats.org/officeDocument/2006/relationships/hyperlink" Target="https://www.courts.state.md.us/data/opinions/coa/2021/36a20.pdf" TargetMode="External"/><Relationship Id="rId2130" Type="http://schemas.openxmlformats.org/officeDocument/2006/relationships/hyperlink" Target="https://codes.ohio.gov/ohio-revised-code/section-4765.12" TargetMode="External"/><Relationship Id="rId2575" Type="http://schemas.openxmlformats.org/officeDocument/2006/relationships/hyperlink" Target="https://www.courts.ca.gov/opinions/nonpub/C096135.PDF" TargetMode="External"/><Relationship Id="rId2782" Type="http://schemas.openxmlformats.org/officeDocument/2006/relationships/hyperlink" Target="https://www.cadc.uscourts.gov/internet/opinions.nsf/AF29B804749163DE85258AC500547458/$file/22-1261-2040755.pdf" TargetMode="External"/><Relationship Id="rId102" Type="http://schemas.openxmlformats.org/officeDocument/2006/relationships/hyperlink" Target="https://www.cityofsebastopol.gov/city-of-sebastopol-prevails-in-challenge-to-rv-ordinance/" TargetMode="External"/><Relationship Id="rId547" Type="http://schemas.openxmlformats.org/officeDocument/2006/relationships/hyperlink" Target="https://www.firerescue1.com/arson-investigation/articles/court-rules-pa-man-can-be-re-tried-for-allegedly-setting-blaze-that-killed-3-firefighters-lLEkejoGfuP6GGk9/?utm_source=FireRescue1+Daily&amp;utm_campaign=f787a554cb-EMAIL_CAMPAIGN_2021_04_15_07_27&amp;utm_medium=email&amp;utm_term=0_758bdbeffe-f787a554cb-41607823" TargetMode="External"/><Relationship Id="rId754" Type="http://schemas.openxmlformats.org/officeDocument/2006/relationships/hyperlink" Target="https://home.treasury.gov/policy-issues/financial-sanctions" TargetMode="External"/><Relationship Id="rId961" Type="http://schemas.openxmlformats.org/officeDocument/2006/relationships/hyperlink" Target="https://casetext.com/case/city-of-houston-v-wilson-1" TargetMode="External"/><Relationship Id="rId1384" Type="http://schemas.openxmlformats.org/officeDocument/2006/relationships/hyperlink" Target="https://media.ca11.uscourts.gov/opinions/unpub/files/202110377.pdf" TargetMode="External"/><Relationship Id="rId1591" Type="http://schemas.openxmlformats.org/officeDocument/2006/relationships/hyperlink" Target="https://www.law.com/nationallawjournal/2020/03/23/why-ginsburg-joined-a-ruling-civil-rights-advocates-decry-as-terrible/" TargetMode="External"/><Relationship Id="rId1689" Type="http://schemas.openxmlformats.org/officeDocument/2006/relationships/hyperlink" Target="https://www.eeoc.gov/facts/pandemic_flu.html?mc_cid=0f5c4e93d9&amp;mc_eid=3f2d24c371" TargetMode="External"/><Relationship Id="rId2228" Type="http://schemas.openxmlformats.org/officeDocument/2006/relationships/hyperlink" Target="https://codes.ohio.gov/ohio-revised-code/section-4511.191" TargetMode="External"/><Relationship Id="rId2435" Type="http://schemas.openxmlformats.org/officeDocument/2006/relationships/hyperlink" Target="https://mn.gov/workcomp-stat/2021/Juntunen%20-%2012-28-21.html" TargetMode="External"/><Relationship Id="rId2642" Type="http://schemas.openxmlformats.org/officeDocument/2006/relationships/hyperlink" Target="https://www.firehouse.com/careers-education/news/21251649/judge-springfield-ma-city-must-enforce-residency-rules" TargetMode="External"/><Relationship Id="rId90" Type="http://schemas.openxmlformats.org/officeDocument/2006/relationships/hyperlink" Target="https://www.justice.gov/opa/pr/justice-department-statements-supreme-courts-decision-tiktok-et-al-v-garland" TargetMode="External"/><Relationship Id="rId186" Type="http://schemas.openxmlformats.org/officeDocument/2006/relationships/hyperlink" Target="https://www.justice.gov/usao-edca/pr/siskiyou-county-man-sentenced-1-year-prison-major-fraud-against-united-states-taking" TargetMode="External"/><Relationship Id="rId393" Type="http://schemas.openxmlformats.org/officeDocument/2006/relationships/hyperlink" Target="https://cases.justia.com/texas/thirteenth-court-of-appeals/2026-13-24-00335-cr.pdf?ts=1773937817" TargetMode="External"/><Relationship Id="rId407" Type="http://schemas.openxmlformats.org/officeDocument/2006/relationships/hyperlink" Target="https://www.youtube.com/watch?v=US5dFGLzqQo" TargetMode="External"/><Relationship Id="rId614" Type="http://schemas.openxmlformats.org/officeDocument/2006/relationships/hyperlink" Target="https://d.docs.live.net/bd9b2eaf6053242e/AppData/Roaming/Microsoft/AppData/Local/Microsoft/Windows/INetCache/IE/XO250S7T/15-70040-CV0.pdf" TargetMode="External"/><Relationship Id="rId821" Type="http://schemas.openxmlformats.org/officeDocument/2006/relationships/hyperlink" Target="https://ij.org/wp-content/uploads/2018/09/16-3480_complete_opn.pdf" TargetMode="External"/><Relationship Id="rId1037" Type="http://schemas.openxmlformats.org/officeDocument/2006/relationships/hyperlink" Target="https://cases.justia.com/washington/supreme-court/2025-103-121-1.pdf?ts=1750950890" TargetMode="External"/><Relationship Id="rId1244" Type="http://schemas.openxmlformats.org/officeDocument/2006/relationships/hyperlink" Target="https://public.fastcase.com/Wl%2B2t%2BeVuI35%2FN70vAMFZp5steAbFsjz8D5zs28wLVD2J2xhMYzUEH8PyP%2BVbQO%2B" TargetMode="External"/><Relationship Id="rId1451" Type="http://schemas.openxmlformats.org/officeDocument/2006/relationships/hyperlink" Target="https://www.law.com/nationallawjournal/2019/02/22/11th-circuit-pregnancy-bias-case-tests-2015-supreme-court-ruling/" TargetMode="External"/><Relationship Id="rId1896" Type="http://schemas.openxmlformats.org/officeDocument/2006/relationships/hyperlink" Target="https://casetext.com/statute/montana-code/title-2-government-structure-and-administration/chapter-4-administrative-procedure-act/part-7-judicial-review-of-contested-cases/section-2-4-701-immediate-review-of-agency-action" TargetMode="External"/><Relationship Id="rId2074" Type="http://schemas.openxmlformats.org/officeDocument/2006/relationships/hyperlink" Target="https://www.dccourts.gov/sites/default/files/2024-05/Austin%20v.%20US%2022-CF-0085.pdf" TargetMode="External"/><Relationship Id="rId2281" Type="http://schemas.openxmlformats.org/officeDocument/2006/relationships/hyperlink" Target="https://cdn.ymaws.com/aams.site-ym.com/resource/resmgr/website_resources/aams_statements/aams_statementonbalancebilli.pdf" TargetMode="External"/><Relationship Id="rId2502" Type="http://schemas.openxmlformats.org/officeDocument/2006/relationships/hyperlink" Target="https://www.youtube.com/watch?v=NQ_XX2qp684" TargetMode="External"/><Relationship Id="rId253" Type="http://schemas.openxmlformats.org/officeDocument/2006/relationships/hyperlink" Target="https://cases.justia.com/california/court-of-appeal/2021-b295666.pdf?ts=1625180487" TargetMode="External"/><Relationship Id="rId460" Type="http://schemas.openxmlformats.org/officeDocument/2006/relationships/hyperlink" Target="https://www.hometownlife.com/story/news/local/westland/2016/04/15/report-released-westland-firefighter-death/83087498/" TargetMode="External"/><Relationship Id="rId698" Type="http://schemas.openxmlformats.org/officeDocument/2006/relationships/hyperlink" Target="https://www.theguardian.com/us-news/2023/oct/27/lawsuit-dismissed-texas-greg-abbott-transport-immigration" TargetMode="External"/><Relationship Id="rId919" Type="http://schemas.openxmlformats.org/officeDocument/2006/relationships/hyperlink" Target="https://law.justia.com/cases/california/supreme-court/2019/s242250.html" TargetMode="External"/><Relationship Id="rId1090" Type="http://schemas.openxmlformats.org/officeDocument/2006/relationships/hyperlink" Target="https://cases.justia.com/virginia/court-of-appeals-published/2024-0344-23-1.pdf?ts=1706633278" TargetMode="External"/><Relationship Id="rId1104" Type="http://schemas.openxmlformats.org/officeDocument/2006/relationships/hyperlink" Target="https://casetext.com/case/the-providence-retired-police-firefighters-assn-v-city-of-providence" TargetMode="External"/><Relationship Id="rId1311" Type="http://schemas.openxmlformats.org/officeDocument/2006/relationships/hyperlink" Target="https://www.mass.gov/doc/robinson-v-marshfield-sjc-f13825/download" TargetMode="External"/><Relationship Id="rId1549" Type="http://schemas.openxmlformats.org/officeDocument/2006/relationships/hyperlink" Target="https://codes.ohio.gov/ohio-revised-code/section-9.481" TargetMode="External"/><Relationship Id="rId1756" Type="http://schemas.openxmlformats.org/officeDocument/2006/relationships/hyperlink" Target="https://brookline.news/wp-content/uploads/2024/12/jointsettlementfiling.pdf" TargetMode="External"/><Relationship Id="rId1963" Type="http://schemas.openxmlformats.org/officeDocument/2006/relationships/hyperlink" Target="https://public.fastcase.com/Jhe1Qn%2BmJndQYQU6z%2FeNmxd3J8jpmxXxyeidb6WXrTEciJVACoDQGCX04YyoIKQxWs5hBfmCFqjSsPik5w4la1NJYiz6fo5tDOdYnNwjoT0%3D?utm_medium=email&amp;_hsenc=p2ANqtz-9LzrN1R9Pgrlzgu6Bjb006a7Y-7J4xKc7rzHzZp95cTtgFvjhjxyCpE0IXkHF1YdLpVWdu75zDjIRZyumRHM8CB80GGw&amp;_hsmi=226712652&amp;utm_content=226712652&amp;utm_source=hs_email" TargetMode="External"/><Relationship Id="rId2141" Type="http://schemas.openxmlformats.org/officeDocument/2006/relationships/hyperlink" Target="https://www.detroitnews.com/story/news/local/oakland-county/2020/12/10/paramedics-case-dead-woman-alive-can-regain-licenses/3883292001/" TargetMode="External"/><Relationship Id="rId2379" Type="http://schemas.openxmlformats.org/officeDocument/2006/relationships/hyperlink" Target="https://cdn.ca9.uscourts.gov/datastore/memoranda/2025/04/30/24-3195.pdf" TargetMode="External"/><Relationship Id="rId2586" Type="http://schemas.openxmlformats.org/officeDocument/2006/relationships/hyperlink" Target="https://cases.justia.com/north-carolina/court-of-appeals/2023-22-259.pdf?ts=1694553709" TargetMode="External"/><Relationship Id="rId2793" Type="http://schemas.openxmlformats.org/officeDocument/2006/relationships/hyperlink" Target="https://casetext.com/case/state-v-state-empt-relations-bd-2" TargetMode="External"/><Relationship Id="rId2807" Type="http://schemas.openxmlformats.org/officeDocument/2006/relationships/hyperlink" Target="https://www.nycourts.gov/ctapps/Decisions/2022/Dec22/96opn22-Decision.pdf%20\" TargetMode="External"/><Relationship Id="rId48" Type="http://schemas.openxmlformats.org/officeDocument/2006/relationships/hyperlink" Target="https://www.justice.gov/usao-edwi/pr/former-restaurant-owner-indicted-arson-and-related-charges" TargetMode="External"/><Relationship Id="rId113" Type="http://schemas.openxmlformats.org/officeDocument/2006/relationships/hyperlink" Target="https://www.firehero.org/fallen-firefighter/charles-e-morton/" TargetMode="External"/><Relationship Id="rId320" Type="http://schemas.openxmlformats.org/officeDocument/2006/relationships/hyperlink" Target="https://public.fastcase.com/Wl%2B2t%2BeVuI35%2FN70vAMFZiMSkjeFjM9WB95jitKYLwuiXut%2FEoidjwwdPtdsEj9z" TargetMode="External"/><Relationship Id="rId558" Type="http://schemas.openxmlformats.org/officeDocument/2006/relationships/hyperlink" Target="http://www.leg.state.fl.us/statutes/index.cfm?App_mode=Display_Statute&amp;Search_String=&amp;URL=0100-0199/0112/Sections/0112.182.html" TargetMode="External"/><Relationship Id="rId765" Type="http://schemas.openxmlformats.org/officeDocument/2006/relationships/hyperlink" Target="https://www.law.cornell.edu/definitions/uscode.php?width=840&amp;height=800&amp;iframe=true&amp;def_id=8-USC-92903111-1485256781&amp;term_occur=999&amp;term_src=" TargetMode="External"/><Relationship Id="rId972" Type="http://schemas.openxmlformats.org/officeDocument/2006/relationships/hyperlink" Target="https://law.justia.com/cases/virginia/court-of-appeals-unpublished/2022/0124-21-3.html" TargetMode="External"/><Relationship Id="rId1188" Type="http://schemas.openxmlformats.org/officeDocument/2006/relationships/hyperlink" Target="http://www.aele.org/law/Digests/empl6.html" TargetMode="External"/><Relationship Id="rId1395" Type="http://schemas.openxmlformats.org/officeDocument/2006/relationships/hyperlink" Target="https://casetext.com/case/molchan-v-delmar-fire-dept-1" TargetMode="External"/><Relationship Id="rId1409" Type="http://schemas.openxmlformats.org/officeDocument/2006/relationships/hyperlink" Target="https://casetext.com/case/as-v-ocean-cnty-fire-acad-2" TargetMode="External"/><Relationship Id="rId1616" Type="http://schemas.openxmlformats.org/officeDocument/2006/relationships/hyperlink" Target="https://www.iafc.org/docs/default-source/1safehealthshs/vws_rrkit_nfpa-1582.pdf?sfvrsn=ca9b9f0d_4" TargetMode="External"/><Relationship Id="rId1823" Type="http://schemas.openxmlformats.org/officeDocument/2006/relationships/hyperlink" Target="https://www.ca4.uscourts.gov/Opinions/191755.P.pdf" TargetMode="External"/><Relationship Id="rId2001" Type="http://schemas.openxmlformats.org/officeDocument/2006/relationships/hyperlink" Target="https://law.justia.com/cases/new-york/appellate-division-fourth-department/2025/816-1-ca-24-01193.html" TargetMode="External"/><Relationship Id="rId2239" Type="http://schemas.openxmlformats.org/officeDocument/2006/relationships/hyperlink" Target="https://public.fastcase.com/9SKwsfNqTc6OieYDhNMyMzpaZgjHFdPajpMUAUycVEOD1%2FIGYL0bkVi40opLVA3rHt12SE41wYoG8BLshtbo2LNVnd3RJLWIEJH0dBI9oDE%3D" TargetMode="External"/><Relationship Id="rId2446" Type="http://schemas.openxmlformats.org/officeDocument/2006/relationships/hyperlink" Target="https://public.fastcase.com/waZtJvSA54UAurM2rmIZz6DHvxBXKDNOBT4bWQ9B2C2XMExqnhPDmJ4RTlgjq%2FCO3g5z%2BjC1yjBDqKCmneuiR5bS8Q3ELHfgftRpjN8MXvk%3D" TargetMode="External"/><Relationship Id="rId2653" Type="http://schemas.openxmlformats.org/officeDocument/2006/relationships/hyperlink" Target="https://codes.ohio.gov/ohio-revised-code/section-2903.31" TargetMode="External"/><Relationship Id="rId2860" Type="http://schemas.openxmlformats.org/officeDocument/2006/relationships/hyperlink" Target="https://www.hud.gov/program_offices/housing/sfh/reo/abtrevt" TargetMode="External"/><Relationship Id="rId197" Type="http://schemas.openxmlformats.org/officeDocument/2006/relationships/hyperlink" Target="https://www.npr.org/2022/06/13/1104570419/ohio-dewine-guns-teachers" TargetMode="External"/><Relationship Id="rId418" Type="http://schemas.openxmlformats.org/officeDocument/2006/relationships/hyperlink" Target="https://www.nbcnewyork.com/news/local/father-son-sentenced-to-probation-in-deadly-spring-valley-fire-that-killed-2/4696054/" TargetMode="External"/><Relationship Id="rId625" Type="http://schemas.openxmlformats.org/officeDocument/2006/relationships/hyperlink" Target="https://www.pacourts.us/assets/opinions/Superior/out/J-S42019-25m%20-%20106685903347676413.pdf?cb=1" TargetMode="External"/><Relationship Id="rId832" Type="http://schemas.openxmlformats.org/officeDocument/2006/relationships/hyperlink" Target="https://d.docs.live.net/bd9b2eaf6053242e/AppData/Roaming/Microsoft/AppData/Local/Microsoft/Windows/INetCache/IE/XO250S7T/16-534_6jfm.pdf" TargetMode="External"/><Relationship Id="rId1048" Type="http://schemas.openxmlformats.org/officeDocument/2006/relationships/hyperlink" Target="https://caselaw.findlaw.com/court/ny-supreme-court/117196656.html" TargetMode="External"/><Relationship Id="rId1255" Type="http://schemas.openxmlformats.org/officeDocument/2006/relationships/hyperlink" Target="https://public.fastcase.com/Wl%2B2t%2BeVuI35%2FN70vAMFZv4uc1sCbMG5dFxJ8lan7QREifr4yKlj8U3C7mB5N4Yr" TargetMode="External"/><Relationship Id="rId1462" Type="http://schemas.openxmlformats.org/officeDocument/2006/relationships/hyperlink" Target="https://www.govinfo.gov/content/pkg/USCOURTS-idd-4_24-cv-00303/pdf/USCOURTS-idd-4_24-cv-00303-0.pdf" TargetMode="External"/><Relationship Id="rId2085" Type="http://schemas.openxmlformats.org/officeDocument/2006/relationships/hyperlink" Target="https://www.cnn.com/2003/US/Midwest/12/01/died.in.custody/index.html" TargetMode="External"/><Relationship Id="rId2292" Type="http://schemas.openxmlformats.org/officeDocument/2006/relationships/hyperlink" Target="https://www.ems.ohio.gov/links/COVID-19/Legislated%20COVID-19%20Contingency%20Measures%20for%20Ohio%20EMS.pdf" TargetMode="External"/><Relationship Id="rId2306" Type="http://schemas.openxmlformats.org/officeDocument/2006/relationships/hyperlink" Target="https://www.courts.state.md.us/sites/default/files/unreported-opinions/0318s19.pdf" TargetMode="External"/><Relationship Id="rId2513" Type="http://schemas.openxmlformats.org/officeDocument/2006/relationships/hyperlink" Target="https://public.fastcase.com/jaEE2PXzRXmZ99jOLMt1Io06bpL9%2FLcVXr53aaIUyQvAP5%2BtJH87Oz9onDjzcythnenHIV2f708%2FwR4gt4qkO1f7jeRt%2FKEtj1yUDHm75oU%3D?utm_medium=email&amp;_hsenc=p2ANqtz-_2UmH9uPWr2Na6-FEToPkSf6GcL7PU5KfrxYC2lQgS-z6zkFrF54nulArls3PhR-gkNqFrsBzQlt3BvLsHbxpWeUso_A&amp;_hsmi=226712652&amp;utm_content=226712652&amp;utm_source=hs_email" TargetMode="External"/><Relationship Id="rId264" Type="http://schemas.openxmlformats.org/officeDocument/2006/relationships/hyperlink" Target="https://www.usatoday.com/story/news/politics/2021/03/25/supreme-court-police-seizure-includes-shots-fired-fleeing-suspect/6995659002/" TargetMode="External"/><Relationship Id="rId471" Type="http://schemas.openxmlformats.org/officeDocument/2006/relationships/hyperlink" Target="https://livornoandarnett.com/ohios-firemans-rule/" TargetMode="External"/><Relationship Id="rId1115" Type="http://schemas.openxmlformats.org/officeDocument/2006/relationships/hyperlink" Target="https://public.fastcase.com/J%2FJP6pdidelsXxEE4k%2BLMqXEJeUJZsYN8XwYWOyUlC0GPh%2F%2Bwkq0xl5anyRaTE9QaHRZkEBmW2yHOKZORN4PlxYhmnon1IB%2FHyIvmx43UH0%3D?utm_medium=email&amp;_hsmi=226712652&amp;_hsenc=p2ANqtz-9rfqpJ9UH1QBxXvlnF05ow2K3pkk0BVnTTX6Sp6SY3f-pdahd0e2LayjJ1D5QImVRxXi3oa7lL84FVoA8yZRWqxdZ-pA&amp;utm_content=226712652&amp;utm_source=hs_email" TargetMode="External"/><Relationship Id="rId1322" Type="http://schemas.openxmlformats.org/officeDocument/2006/relationships/hyperlink" Target="https://www.iaff.org/cpat/" TargetMode="External"/><Relationship Id="rId1767" Type="http://schemas.openxmlformats.org/officeDocument/2006/relationships/hyperlink" Target="https://public.fastcase.com/H1P9uiW3J20SFp%2BGCG%2BxLeHSDVXVzY4x%2FiI%2F4JAOmhXpvt%2FfNBAZjz4LKds0Mto6?utm_medium=email&amp;_hsmi=226712652&amp;_hsenc=p2ANqtz-_SyWNVWtV5-tteBsEO4doKNFedyWegAxLclup35D1iuddv31pPNK7Mxz83D6yx-CsHYOnImh2IAPqInLsAyxym-pCJTQ&amp;utm_content=226712652&amp;utm_source=hs_email" TargetMode="External"/><Relationship Id="rId1974" Type="http://schemas.openxmlformats.org/officeDocument/2006/relationships/hyperlink" Target="https://cdn.ca9.uscourts.gov/datastore/memoranda/2026/05/27/24-6656.pdf" TargetMode="External"/><Relationship Id="rId2152" Type="http://schemas.openxmlformats.org/officeDocument/2006/relationships/hyperlink" Target="https://cookcountyrecord.com/stories/641740005-labor-board-judge-chicago-trampled-union-bargaining-rights-by-firing-workers-who-refused-covid-vax" TargetMode="External"/><Relationship Id="rId2597" Type="http://schemas.openxmlformats.org/officeDocument/2006/relationships/hyperlink" Target="https://www.dailymail.co.uk/news/article-12240293/Man-accused-stalking-local-Colorado-musician-stalking-conviction-tossed-Supreme-Court.html" TargetMode="External"/><Relationship Id="rId2720" Type="http://schemas.openxmlformats.org/officeDocument/2006/relationships/hyperlink" Target="https://law.justia.com/codes/louisiana/2012/rs/title33/rs33-2181/" TargetMode="External"/><Relationship Id="rId2818" Type="http://schemas.openxmlformats.org/officeDocument/2006/relationships/hyperlink" Target="https://public.fastcase.com/waZtJvSA54UAurM2rmIZzyOaN7WzTWghSlgppuqvnsAjPkds9FfvjtUo5GbcF9G%2FNhiGhSGO5JepPmFj8bD%2B4C9gVbj%2FhO0NJpef3auh%2BAw%3D" TargetMode="External"/><Relationship Id="rId59" Type="http://schemas.openxmlformats.org/officeDocument/2006/relationships/hyperlink" Target="https://ecf.flmd.uscourts.gov/cgi-bin/show_public_doc?2023-01890-113-6-cv" TargetMode="External"/><Relationship Id="rId124" Type="http://schemas.openxmlformats.org/officeDocument/2006/relationships/hyperlink" Target="https://www.law.cornell.edu/wex/admit" TargetMode="External"/><Relationship Id="rId569" Type="http://schemas.openxmlformats.org/officeDocument/2006/relationships/hyperlink" Target="https://www.bwc.ohio.gov/downloads/blankpdf/sviu.pdf" TargetMode="External"/><Relationship Id="rId776" Type="http://schemas.openxmlformats.org/officeDocument/2006/relationships/hyperlink" Target="https://www.ohchr.org/en/professionalinterest/pages/cat.aspx" TargetMode="External"/><Relationship Id="rId983" Type="http://schemas.openxmlformats.org/officeDocument/2006/relationships/hyperlink" Target="https://public.fastcase.com/" TargetMode="External"/><Relationship Id="rId1199" Type="http://schemas.openxmlformats.org/officeDocument/2006/relationships/hyperlink" Target="https://apps.leg.wa.gov/rcw/default.aspx?cite=51.32.185" TargetMode="External"/><Relationship Id="rId1627" Type="http://schemas.openxmlformats.org/officeDocument/2006/relationships/hyperlink" Target="https://abcnews.go.com/Health/1500-nyc-municipal-workers-fired-vaccinated-covid/story?id=82900617" TargetMode="External"/><Relationship Id="rId1834" Type="http://schemas.openxmlformats.org/officeDocument/2006/relationships/hyperlink" Target="https://public.fastcase.com/Wl%2B2t%2BeVuI35%2FN70vAMFZsSjCAViXICEJmEyj88%2Bo6FVmb%2F3MefopOCGEPTmoSc%2F" TargetMode="External"/><Relationship Id="rId2457" Type="http://schemas.openxmlformats.org/officeDocument/2006/relationships/hyperlink" Target="https://dailyvoice.com/pennsylvania/chester/news/comfort-dogs-allowed-for-some-during-criminal-trials-pa-supreme-court-rules/816798/" TargetMode="External"/><Relationship Id="rId2664" Type="http://schemas.openxmlformats.org/officeDocument/2006/relationships/hyperlink" Target="https://convention2018.iaff.org/general-counsels-report/" TargetMode="External"/><Relationship Id="rId331" Type="http://schemas.openxmlformats.org/officeDocument/2006/relationships/hyperlink" Target="https://www.supremecourt.gov/opinions/18pdf/18-6210_2co3.pdf" TargetMode="External"/><Relationship Id="rId429" Type="http://schemas.openxmlformats.org/officeDocument/2006/relationships/hyperlink" Target="https://www.supremecourt.ohio.gov/rod/docs/pdf/0/2025/2025-Ohio-1296.pdf" TargetMode="External"/><Relationship Id="rId636" Type="http://schemas.openxmlformats.org/officeDocument/2006/relationships/hyperlink" Target="https://www.hstoday.us/perspective/eyes-on-preparedness-federal-courts-block-fema-dhs-immigration-grant-conditions-safeguarding-billions-in-emergency-preparedness-funds/" TargetMode="External"/><Relationship Id="rId1059" Type="http://schemas.openxmlformats.org/officeDocument/2006/relationships/hyperlink" Target="https://www.njcourts.gov/system/files/court-opinions/2025/a0585-22.pdf" TargetMode="External"/><Relationship Id="rId1266" Type="http://schemas.openxmlformats.org/officeDocument/2006/relationships/hyperlink" Target="https://courts.illinois.gov/R23_Orders/AppellateCourt/2020/3rdDistrict/3190055_R23.pdf" TargetMode="External"/><Relationship Id="rId1473" Type="http://schemas.openxmlformats.org/officeDocument/2006/relationships/hyperlink" Target="https://www.mdcourts.gov/sites/default/files/unreported-opinions/1234s24.pdf" TargetMode="External"/><Relationship Id="rId2012" Type="http://schemas.openxmlformats.org/officeDocument/2006/relationships/hyperlink" Target="https://www.michbar.org/Portals/0/opinions/appeals/2025/102325/84576.pdf" TargetMode="External"/><Relationship Id="rId2096" Type="http://schemas.openxmlformats.org/officeDocument/2006/relationships/hyperlink" Target="https://www.ems1.com/lawsuit/articles/suit-claims-utah-providers-fatally-injected-teen-with-large-ketamine-dose-after-car-crash-nkmBexayJBAx5TCo/" TargetMode="External"/><Relationship Id="rId2317" Type="http://schemas.openxmlformats.org/officeDocument/2006/relationships/hyperlink" Target="https://firstliberty.org/media/breaking-church-louisville-ky-mayor-reach-agreement-in-dispute-over-drive-in-church-services/" TargetMode="External"/><Relationship Id="rId2871" Type="http://schemas.openxmlformats.org/officeDocument/2006/relationships/hyperlink" Target="https://www.supremecourt.gov/opinions/23pdf/22-451_7m58.pdf" TargetMode="External"/><Relationship Id="rId843" Type="http://schemas.openxmlformats.org/officeDocument/2006/relationships/hyperlink" Target="https://www.supremecourt.gov/opinions/24pdf/24-362_mjn0.pdf" TargetMode="External"/><Relationship Id="rId1126" Type="http://schemas.openxmlformats.org/officeDocument/2006/relationships/hyperlink" Target="https://www.chicagotribune.com/news/breaking/chi-retiring-orland-fire-chief-i-didnt-do-anything-wrong-20110823-story.html" TargetMode="External"/><Relationship Id="rId1680" Type="http://schemas.openxmlformats.org/officeDocument/2006/relationships/hyperlink" Target="https://public.fastcase.com/Wl%2B2t%2BeVuI35%2FN70vAMFZtupy9a3EvXpG9ydLD29CKGnkdsXWzWbFQljc8xBD5GU" TargetMode="External"/><Relationship Id="rId1778" Type="http://schemas.openxmlformats.org/officeDocument/2006/relationships/hyperlink" Target="https://public.fastcase.com/ZZhmr5v9wN%2FXOe5IsQ%2FqD6h7oDGGEaQcvjGxXhP3wdarcxH65lzIz0WHpJ1071%2Fz6z3xzTYinPsWmKTOA4ARnDbKp9ycJPmOcwYRqStxafA%3D?utm_medium=email&amp;_hsmi=226712652&amp;_hsenc=p2ANqtz-8kFbodM_yCEg50hGETq70Ew_rKe4r85tHeNoAUvaEorCUJWcIF_sSd3vzx7ykWUIs8vIjN-q4A8Aji78d1bSF2B0Xuvw&amp;utm_content=226712652&amp;utm_source=hs_email" TargetMode="External"/><Relationship Id="rId1901" Type="http://schemas.openxmlformats.org/officeDocument/2006/relationships/hyperlink" Target="https://caselaw.findlaw.com/court/in-court-of-appeals/116468399.html" TargetMode="External"/><Relationship Id="rId1985" Type="http://schemas.openxmlformats.org/officeDocument/2006/relationships/hyperlink" Target="https://www.youtube.com/watch?v=_LFgzOE_WU8" TargetMode="External"/><Relationship Id="rId2524" Type="http://schemas.openxmlformats.org/officeDocument/2006/relationships/hyperlink" Target="https://cases.justia.com/federal/appellate-courts/ca4/24-1782/24-1782-2025-06-05.pdf?ts=1749150038" TargetMode="External"/><Relationship Id="rId2731" Type="http://schemas.openxmlformats.org/officeDocument/2006/relationships/hyperlink" Target="http://www.iaff421.org/?zone=/unionactive/private_view_page.cfm&amp;page=Know20Your20Rights21" TargetMode="External"/><Relationship Id="rId2829" Type="http://schemas.openxmlformats.org/officeDocument/2006/relationships/hyperlink" Target="https://casetext.com/case/in-re-ryan-542034" TargetMode="External"/><Relationship Id="rId275" Type="http://schemas.openxmlformats.org/officeDocument/2006/relationships/hyperlink" Target="https://www.ethics.ohio.gov/education/gifts.html" TargetMode="External"/><Relationship Id="rId482" Type="http://schemas.openxmlformats.org/officeDocument/2006/relationships/hyperlink" Target="https://casetext.com/statute/consolidated-laws-of-new-york/chapter-volunteer-firefighters-benefit/article-2-coverage-and-benefits/section-19-exclusiveness-of-remedy" TargetMode="External"/><Relationship Id="rId703" Type="http://schemas.openxmlformats.org/officeDocument/2006/relationships/hyperlink" Target="https://www.nytimes.com/2023/07/04/business/federal-judge-biden-social-media.html?campaign_id=60&amp;emc=edit_na_20230704&amp;instance_id=0&amp;nl=breaking-news&amp;ref=cta&amp;regi_id=215376166&amp;segment_id=138360&amp;user_id=c17b05e2b990d0f39049334bb5d3c889" TargetMode="External"/><Relationship Id="rId910" Type="http://schemas.openxmlformats.org/officeDocument/2006/relationships/hyperlink" Target="https://docs.justia.com/cases/federal/district-courts/new-york/nyedce/1:2019cv02400/432390/46" TargetMode="External"/><Relationship Id="rId1333" Type="http://schemas.openxmlformats.org/officeDocument/2006/relationships/hyperlink" Target="https://www.yahoo.com/news/tell-truth-now-girl-addresses-164857744.html" TargetMode="External"/><Relationship Id="rId1540" Type="http://schemas.openxmlformats.org/officeDocument/2006/relationships/hyperlink" Target="https://www.courtlistener.com/opinion/7859269/city-of-miami-v-david-rivera/" TargetMode="External"/><Relationship Id="rId1638" Type="http://schemas.openxmlformats.org/officeDocument/2006/relationships/hyperlink" Target="https://cases.justia.com/federal/appellate-courts/ca11/22-10002/22-10002-2023-10-11.pdf?ts=1697045568" TargetMode="External"/><Relationship Id="rId2163" Type="http://schemas.openxmlformats.org/officeDocument/2006/relationships/hyperlink" Target="https://codes.ohio.gov/ohio-revised-code/section-2745.01" TargetMode="External"/><Relationship Id="rId2370" Type="http://schemas.openxmlformats.org/officeDocument/2006/relationships/hyperlink" Target="https://cases.justia.com/federal/district-courts/virginia/vaedce/3:2017cv00167/360316/92/0.pdf?ts=1527856286" TargetMode="External"/><Relationship Id="rId135" Type="http://schemas.openxmlformats.org/officeDocument/2006/relationships/hyperlink" Target="https://cases.justia.com/federal/district-courts/tennessee/tnedce/3:2023cv00220/110152/57/0.pdf?ts=1727268755" TargetMode="External"/><Relationship Id="rId342" Type="http://schemas.openxmlformats.org/officeDocument/2006/relationships/hyperlink" Target="https://mdcourts.gov/sites/default/files/unreported-opinions/2279s17.pdf" TargetMode="External"/><Relationship Id="rId787" Type="http://schemas.openxmlformats.org/officeDocument/2006/relationships/hyperlink" Target="https://www.govinfo.gov/content/pkg/FR-2020-08-13/pdf/2020-17468.pdf" TargetMode="External"/><Relationship Id="rId994" Type="http://schemas.openxmlformats.org/officeDocument/2006/relationships/hyperlink" Target="http://codes.ohio.gov/orc/4511.03v1" TargetMode="External"/><Relationship Id="rId1400" Type="http://schemas.openxmlformats.org/officeDocument/2006/relationships/hyperlink" Target="https://public.fastcase.com/9SKwsfNqTc6OieYDhNMyM7EtuTmvkEcI7U0T89k%2BFJTh0eKfnpK7LfgjErs00V3IPt4y6nTMDAAfexS5sEGnBSDT8xghzv1Bl3HZnDYTQZc%3D" TargetMode="External"/><Relationship Id="rId1845" Type="http://schemas.openxmlformats.org/officeDocument/2006/relationships/hyperlink" Target="https://www.wtoc.com/2018/10/12/president-savannah-firefighters-association-arrested-incident-colorado/" TargetMode="External"/><Relationship Id="rId2023" Type="http://schemas.openxmlformats.org/officeDocument/2006/relationships/hyperlink" Target="https://law.justia.com/cases/new-york/other-courts/2025/2025-ny-slip-op-51480-u.html" TargetMode="External"/><Relationship Id="rId2230" Type="http://schemas.openxmlformats.org/officeDocument/2006/relationships/hyperlink" Target="https://codes.ohio.gov/ohio-revised-code/section-4511.194" TargetMode="External"/><Relationship Id="rId2468" Type="http://schemas.openxmlformats.org/officeDocument/2006/relationships/hyperlink" Target="https://law.justia.com/cases/illinois/court-of-appeals-first-appellate-district/2019/1-18-0388.html" TargetMode="External"/><Relationship Id="rId2675" Type="http://schemas.openxmlformats.org/officeDocument/2006/relationships/hyperlink" Target="https://www.lasc.org/Opinions/2020/20-0491.CC.OPN.pdf" TargetMode="External"/><Relationship Id="rId2882" Type="http://schemas.openxmlformats.org/officeDocument/2006/relationships/hyperlink" Target="https://www.supremecourt.ohio.gov/marsy-s-law-and-crime-victim-rights/" TargetMode="External"/><Relationship Id="rId202" Type="http://schemas.openxmlformats.org/officeDocument/2006/relationships/hyperlink" Target="https://public.fastcase.com/J%2FJP6pdidelsXxEE4k%2BLMrfSCCaRdL8TI%2B5ioBWNQnh0kDz1GreH4%2B0yNBfnZOTE%2BnPBmU0h571R%2FJckMZe26svndIwXzFkT32fWB37fhjw%3D?utm_medium=email&amp;_hsmi=226712652&amp;_hsenc=p2ANqtz--GP8ZQooCAhfBpKdL9gU4tnEMPEYSQuJhpHC1xgU_R2XIHvEgQGIZy-l9drIqZUjYHZhAeqsmTG1Ww2RK_6TGoVdhMHQ&amp;utm_content=226712652&amp;utm_source=hs_email" TargetMode="External"/><Relationship Id="rId647" Type="http://schemas.openxmlformats.org/officeDocument/2006/relationships/hyperlink" Target="https://cases.justia.com/pennsylvania/superior-court/2025-1252-eda-2024.pdf?ts=1758220361" TargetMode="External"/><Relationship Id="rId854" Type="http://schemas.openxmlformats.org/officeDocument/2006/relationships/hyperlink" Target="https://cases.justia.com/federal/district-courts/federal-claims/cofce/1:2022cv01201/46126/27/0.pdf?ts=1728477951" TargetMode="External"/><Relationship Id="rId1277" Type="http://schemas.openxmlformats.org/officeDocument/2006/relationships/hyperlink" Target="http://www.illinoiscourts.gov/R23_Orders/WorkersComp/2019/3180397WC_R23.pdf" TargetMode="External"/><Relationship Id="rId1484" Type="http://schemas.openxmlformats.org/officeDocument/2006/relationships/hyperlink" Target="https://public.fastcase.com/jaEE2PXzRXmZ99jOLMt1Ih1bY1MIzDyw1U7nvkn0d%2B%2FaFhZR3Gd%2F7kjzaTYbL26VJTUSjJADCaSru%2Bl5NmbtQ7Cz5zh1NuQxuUkDcSWUI8U%3D?utm_medium=email&amp;_hsenc=p2ANqtz-_CCOzgPs_whfplvulLfr2w4HcJ6-0Ih3t3c1pVqqN-_dVSpVNg1X0G63L7_Ww7LMQiA0kuqw-PCcDfPecmXjX4Ld1uNw&amp;_hsmi=226712652&amp;utm_content=226712652&amp;utm_source=hs_email" TargetMode="External"/><Relationship Id="rId1691" Type="http://schemas.openxmlformats.org/officeDocument/2006/relationships/hyperlink" Target="https://www.justice.gov/opa/blog/americans-disabilities-act-30th-anniversary-furthering-promise" TargetMode="External"/><Relationship Id="rId1705" Type="http://schemas.openxmlformats.org/officeDocument/2006/relationships/hyperlink" Target="https://cases.justia.com/federal/district-courts/south-carolina/scdce/0:2024cv00826/288831/46/0.pdf" TargetMode="External"/><Relationship Id="rId1912" Type="http://schemas.openxmlformats.org/officeDocument/2006/relationships/hyperlink" Target="https://portal.ct.gov/ag/press-releases/2022-press-releases/ag-tong-compels-purdue-and-sacklers-to-pay-six-billion-to-victims-survivors-and-states" TargetMode="External"/><Relationship Id="rId2328" Type="http://schemas.openxmlformats.org/officeDocument/2006/relationships/hyperlink" Target="https://cases.justia.com/federal/appellate-courts/ca6/18-5480/18-5480-2020-01-21.pdf?ts=1579627818" TargetMode="External"/><Relationship Id="rId2535" Type="http://schemas.openxmlformats.org/officeDocument/2006/relationships/hyperlink" Target="https://public.fastcase.com/jaEE2PXzRXmZ99jOLMt1IqmI6%2FwIkVosxkHnLXFS%2Fh3vCPBsdexRYsXhu3dcS77RM93%2Fb%2FlmP%2FEht28r%2FEOUuz%2BdIsVF1KqStdKclsmvBXo%3D?utm_medium=email&amp;_hsenc=p2ANqtz-_Dn6dsk63fb2EPfPT1163Ju7zkOyiRsNHg_eV5kST7JoaZI-2AGCvSnryJrMriUeP5UHxNkfyzrDvNunm7WCvoOt678w&amp;_hsmi=226712652&amp;utm_content=226712652&amp;utm_source=hs_email" TargetMode="External"/><Relationship Id="rId2742" Type="http://schemas.openxmlformats.org/officeDocument/2006/relationships/hyperlink" Target="https://cases.justia.com/texas/fourteenth-court-of-appeals/2018-14-17-00156-cv.pdf?ts=1523970132" TargetMode="External"/><Relationship Id="rId286" Type="http://schemas.openxmlformats.org/officeDocument/2006/relationships/hyperlink" Target="https://law.justia.com/cases/massachusetts/court-of-appeals/2020/19-p-903.html" TargetMode="External"/><Relationship Id="rId493" Type="http://schemas.openxmlformats.org/officeDocument/2006/relationships/hyperlink" Target="https://casetext.com/statute/california-codes/california-civil-code/division-3-obligations/part-3-obligations-imposed-by-law/section-17149-injury-to-peace-officer-firefighter-or-emergency-medical-personnel" TargetMode="External"/><Relationship Id="rId507" Type="http://schemas.openxmlformats.org/officeDocument/2006/relationships/hyperlink" Target="http://courtswv.gov/Intermediate-Court/memo-decisions/Spring2023/22-ICA-216%20md.pdf" TargetMode="External"/><Relationship Id="rId714" Type="http://schemas.openxmlformats.org/officeDocument/2006/relationships/hyperlink" Target="https://www.nbc4i.com/news/local-news/columbus/columbus-gun-laws-dodge-block-on-enforcement-going-into-effect-soon/" TargetMode="External"/><Relationship Id="rId921" Type="http://schemas.openxmlformats.org/officeDocument/2006/relationships/hyperlink" Target="http://www.supremecourt.ohio.gov/rod/docs/pdf/5/2018/2018-Ohio-3436.pdf" TargetMode="External"/><Relationship Id="rId1137" Type="http://schemas.openxmlformats.org/officeDocument/2006/relationships/hyperlink" Target="https://www.daytondailynews.com/news/west-carrollton-rehire-fire-chief-after-valentine-week-retirement/XSsYoJpSmxdkIIZtoGUpzJ/" TargetMode="External"/><Relationship Id="rId1344" Type="http://schemas.openxmlformats.org/officeDocument/2006/relationships/hyperlink" Target="https://www.mdcourts.gov/sites/default/files/unreported-opinions/1316s22.pdf" TargetMode="External"/><Relationship Id="rId1551" Type="http://schemas.openxmlformats.org/officeDocument/2006/relationships/hyperlink" Target="http://media.ca7.uscourts.gov/sound/external/mm.21-2784.21-2784_07_07_2022.mp3" TargetMode="External"/><Relationship Id="rId1789" Type="http://schemas.openxmlformats.org/officeDocument/2006/relationships/hyperlink" Target="https://public.fastcase.com/ZZhmr5v9wN%2FXOe5IsQ%2FqD%2Bile%2Foxyp5Z8Q8kvhZNO7gH1c2Z5qHls9xhvmb3awOvR3bsCkmvAqMtioFMMuxMBzUhvRQhP83bmryZorCoTbI%3D?utm_medium=email&amp;_hsmi=226712652&amp;_hsenc=p2ANqtz--nFpNqY7MlHedt-bGY2IVgigc3ATGuPz0zM2ZOCoWHuze-qmefTR0632sWWVlZvaDJFdCD_Gl1V9HSDzdZa4P3MSrw7A&amp;utm_content=226712652&amp;utm_source=hs_email" TargetMode="External"/><Relationship Id="rId1996" Type="http://schemas.openxmlformats.org/officeDocument/2006/relationships/hyperlink" Target="https://cases.justia.com/federal/district-courts/massachusetts/madce/1:2023cv12125/261357/75/0.pdf?ts=1770465752" TargetMode="External"/><Relationship Id="rId2174" Type="http://schemas.openxmlformats.org/officeDocument/2006/relationships/hyperlink" Target="https://www.law.cornell.edu/definitions/uscode.php?width=840&amp;height=800&amp;iframe=true&amp;def_id=42-USC-303628742-1009355614&amp;term_occur=999&amp;term_src=" TargetMode="External"/><Relationship Id="rId2381" Type="http://schemas.openxmlformats.org/officeDocument/2006/relationships/hyperlink" Target="https://casetext.com/case/city-of-tucson-v-the-indus-commn-of-ariz" TargetMode="External"/><Relationship Id="rId2602" Type="http://schemas.openxmlformats.org/officeDocument/2006/relationships/hyperlink" Target="https://public.fastcase.com/ppbqSQpNDaJE%2F8PlIk0b8GrZRoSxZNSyZ1IPMsly8LQqd8zJpEjl6u9Blu91YAS9" TargetMode="External"/><Relationship Id="rId50" Type="http://schemas.openxmlformats.org/officeDocument/2006/relationships/hyperlink" Target="https://www.voltacharger.com/blogs/news/what-causes-phone-chargers-to-explode-and-how-to-avoid-it?srsltid=AfmBOor-D0Mt5iX7UDwb-r4sqdnXak-6s4LPkG62kZWVkLQCSPJSBjBB" TargetMode="External"/><Relationship Id="rId146" Type="http://schemas.openxmlformats.org/officeDocument/2006/relationships/hyperlink" Target="https://www.supremecourt.gov/opinions/23pdf/22-324_09m1.pdf" TargetMode="External"/><Relationship Id="rId353" Type="http://schemas.openxmlformats.org/officeDocument/2006/relationships/hyperlink" Target="https://www.supremecourt.gov/opinions/17pdf/16-1466_2b3j.pdf" TargetMode="External"/><Relationship Id="rId560" Type="http://schemas.openxmlformats.org/officeDocument/2006/relationships/hyperlink" Target="https://www.utcourts.gov/opinions/supopin/Ipsen%20v.%20Diamond%20Tree%20Experts20200520_20181052_30.pdf" TargetMode="External"/><Relationship Id="rId798" Type="http://schemas.openxmlformats.org/officeDocument/2006/relationships/hyperlink" Target="https://www.npr.org/2020/06/25/883312496/supreme-court-sides-with-trump-administration-in-deportation-case" TargetMode="External"/><Relationship Id="rId1190" Type="http://schemas.openxmlformats.org/officeDocument/2006/relationships/hyperlink" Target="https://cbcny.org/research/pension-reform-firefighters-will-not-be-running-burning-buildings-age-65" TargetMode="External"/><Relationship Id="rId1204" Type="http://schemas.openxmlformats.org/officeDocument/2006/relationships/hyperlink" Target="https://www.aclumaine.org/en/press-releases/yarmouth-residents-aclu-challenge-new-restrictions-who-can-run-town-council" TargetMode="External"/><Relationship Id="rId1411" Type="http://schemas.openxmlformats.org/officeDocument/2006/relationships/hyperlink" Target="https://casetext.com/case/mendoza-v-rio-rico-med-1" TargetMode="External"/><Relationship Id="rId1649" Type="http://schemas.openxmlformats.org/officeDocument/2006/relationships/hyperlink" Target="https://www.govinfo.gov/content/pkg/USCOURTS-paed-2_23-cv-00155/pdf/USCOURTS-paed-2_23-cv-00155-0.pdf" TargetMode="External"/><Relationship Id="rId1856" Type="http://schemas.openxmlformats.org/officeDocument/2006/relationships/hyperlink" Target="https://www.justice.gov/opa/pr/justice-department-files-lawsuit-against-city-chicago-enforce-userra-rights-us-army-reservist" TargetMode="External"/><Relationship Id="rId2034" Type="http://schemas.openxmlformats.org/officeDocument/2006/relationships/hyperlink" Target="https://caselaw.findlaw.com/court/ak-supreme-court/117230404.html" TargetMode="External"/><Relationship Id="rId2241" Type="http://schemas.openxmlformats.org/officeDocument/2006/relationships/hyperlink" Target="https://www.leagle.com/decision/infdco20210811a71" TargetMode="External"/><Relationship Id="rId2479" Type="http://schemas.openxmlformats.org/officeDocument/2006/relationships/hyperlink" Target="https://public.fastcase.com/Jhe1Qn%2BmJndQYQU6z%2FeNm3FkCM2jWCAdlM1JWFE9c8I4cu8UE8nnROw9g8pQru3qX50wM6VA5Q6C6W7bTimjewt8baK5LV89G9hOJ3Hoqaw%3D?utm_medium=email&amp;_hsenc=p2ANqtz-_BuWF_rVxZJ_ThXodME56Qn02TlxXtEPZR0pM596-W86IiSz4xrEN_MpysqbI906jQkVOKXR9ddhRRIzUH7APhy4Ve8A&amp;_hsmi=226712652&amp;utm_content=226712652&amp;utm_source=hs_email" TargetMode="External"/><Relationship Id="rId2686" Type="http://schemas.openxmlformats.org/officeDocument/2006/relationships/hyperlink" Target="https://www.nj.com/news/2016/04/ex-nj_firefighter_convicted_of_stealing_disability.html" TargetMode="External"/><Relationship Id="rId2893" Type="http://schemas.openxmlformats.org/officeDocument/2006/relationships/hyperlink" Target="https://urldefense.com/v3/__https:/www.congress.gov/bill/117th-congress/senate-bill/1511__;!!Bg5easoyC-OII2vlEqY8mTBrtW-N4OJKAQ!emPJ4la1tXumEvgbQHWWkqIJXSqd8F6eECBBP8LY2twTexz4LKxtEOPGOo9tKXCW3_TX13KqIA$" TargetMode="External"/><Relationship Id="rId213" Type="http://schemas.openxmlformats.org/officeDocument/2006/relationships/hyperlink" Target="https://acis.alabama.gov/displaydocs.cfm?no=1126944&amp;event=6CD0OUEMB" TargetMode="External"/><Relationship Id="rId420" Type="http://schemas.openxmlformats.org/officeDocument/2006/relationships/hyperlink" Target="https://www.rcfp.org/indiana-buffer-zone-law-7th-circuit/" TargetMode="External"/><Relationship Id="rId658" Type="http://schemas.openxmlformats.org/officeDocument/2006/relationships/hyperlink" Target="https://www.pbs.org/newshour/politics/what-is-the-legal-process-for-deporting-u-s-green-card-and-visa-holders" TargetMode="External"/><Relationship Id="rId865" Type="http://schemas.openxmlformats.org/officeDocument/2006/relationships/hyperlink" Target="https://www.courts.ca.gov/opinions/documents/D082048.PDF" TargetMode="External"/><Relationship Id="rId1050" Type="http://schemas.openxmlformats.org/officeDocument/2006/relationships/hyperlink" Target="https://www.iamresponding.com/" TargetMode="External"/><Relationship Id="rId1288" Type="http://schemas.openxmlformats.org/officeDocument/2006/relationships/hyperlink" Target="https://www.ada.gov/filing_eeoc_complaint.htm" TargetMode="External"/><Relationship Id="rId1495" Type="http://schemas.openxmlformats.org/officeDocument/2006/relationships/hyperlink" Target="https://www.justice.gov/opa/pr/attorney-general-pam-bondi-dismisses-dei-lawsuits-involving-police-officers-and-firefighters" TargetMode="External"/><Relationship Id="rId1509" Type="http://schemas.openxmlformats.org/officeDocument/2006/relationships/hyperlink" Target="https://cases.justia.com/federal/district-courts/illinois/ilndce/1:2022cv04982/419212/136/0.pdf?ts=1728381206" TargetMode="External"/><Relationship Id="rId1716" Type="http://schemas.openxmlformats.org/officeDocument/2006/relationships/hyperlink" Target="https://public.fastcase.com/Wl%2B2t%2BeVuI35%2FN70vAMFZmLHUFluj8t0T%2BAyFM6B%2B2S9SNpejaiKBu7OSzXfoy%2FQ" TargetMode="External"/><Relationship Id="rId1923" Type="http://schemas.openxmlformats.org/officeDocument/2006/relationships/hyperlink" Target="https://www.supremecourt.gov/opinions/21pdf/20-1410_1an2.pdf" TargetMode="External"/><Relationship Id="rId2101" Type="http://schemas.openxmlformats.org/officeDocument/2006/relationships/hyperlink" Target="https://public.fastcase.com/H1P9uiW3J20SFp%2BGCG%2BxLfXb%2FP0Zem%2FZVE%2B6Qs7i4IO1WpaqZWLhEbCf1wzASLCeHTBrNzAeMbTpuOI06nFKgtuOqPD57vVcxacgyHv1UJc%3D?utm_medium=email&amp;_hsmi=226712652&amp;_hsenc=p2ANqtz-8wnxBiWrzuFD2HrdDPkM1g9CGhbZuaZGzbWbXmLdA56OF31_PY2JQBf09BSmDMlHEKBQ_DWKjsPmFM9QlP1xX06T0eGA&amp;utm_content=226712652&amp;utm_source=hs_email" TargetMode="External"/><Relationship Id="rId2339" Type="http://schemas.openxmlformats.org/officeDocument/2006/relationships/hyperlink" Target="https://www.in.gov/judiciary/opinions/pdf/07151902rra.pdf" TargetMode="External"/><Relationship Id="rId2546" Type="http://schemas.openxmlformats.org/officeDocument/2006/relationships/hyperlink" Target="https://public.fastcase.com/jaEE2PXzRXmZ99jOLMt1IhQHA9AMm9CcSN%2BGfYyS2p0Y8T4gWwr35mn7gDgy%2FrLSk1%2BX3TZDVCgonvjR5kmTn9ieZn6lPYykAdycfBPhja8%3D?utm_medium=email&amp;_hsenc=p2ANqtz-96viAoOgtBhpN3k-FXu0IciBKBTpaPEffa5PyEi7FQVITmUz8Kiu79qOEJdxGOe1egzOzFwK07j5P1hSXOAN4VGdmpNA&amp;_hsmi=226712652&amp;utm_content=226712652&amp;utm_source=hs_email" TargetMode="External"/><Relationship Id="rId2753" Type="http://schemas.openxmlformats.org/officeDocument/2006/relationships/hyperlink" Target="https://public.fastcase.com/Jhe1Qn%2BmJndQYQU6z%2FeNm%2FDGnkNPmF%2FGN9ENyHmXzZguwABevXHo%2FJOs4DZQ3ccvXn%2B8i7GPeSKXZ%2FJuUaa2eSmBPBV%2FroWj%2BWUiix8FppM%3D?utm_medium=email&amp;_hsenc=p2ANqtz-9ln45T61k1McKPYzdFhYaqHVpy9H3-ipNGhojNaHNF5Osr6BUzI4NGniJzh20R42JdVxn_jn5CFBBvjphJmsP_Zy8_gA&amp;_hsmi=226712652&amp;utm_content=226712652&amp;utm_source=hs_email" TargetMode="External"/><Relationship Id="rId297" Type="http://schemas.openxmlformats.org/officeDocument/2006/relationships/hyperlink" Target="https://public.fastcase.com/Wl%2B2t%2BeVuI35%2FN70vAMFZuQf%2BCvER%2BbrYG4WrLB4YIQfdBBmlMCsuqEI%2FSqG9cxo" TargetMode="External"/><Relationship Id="rId518" Type="http://schemas.openxmlformats.org/officeDocument/2006/relationships/hyperlink" Target="https://www.delawareonline.com/story/news/local/2016/10/12/injured-wilmington-firefighters-critical-condition/91951672/" TargetMode="External"/><Relationship Id="rId725" Type="http://schemas.openxmlformats.org/officeDocument/2006/relationships/hyperlink" Target="https://puenteaz.org/title42/" TargetMode="External"/><Relationship Id="rId932" Type="http://schemas.openxmlformats.org/officeDocument/2006/relationships/hyperlink" Target="https://codes.ohio.gov/ohio-revised-code/section-2744.02" TargetMode="External"/><Relationship Id="rId1148" Type="http://schemas.openxmlformats.org/officeDocument/2006/relationships/hyperlink" Target="https://codes.ohio.gov/ohio-revised-code/section-742.38" TargetMode="External"/><Relationship Id="rId1355" Type="http://schemas.openxmlformats.org/officeDocument/2006/relationships/hyperlink" Target="https://codes.ohio.gov/ohio-revised-code/section-4113.71" TargetMode="External"/><Relationship Id="rId1562" Type="http://schemas.openxmlformats.org/officeDocument/2006/relationships/hyperlink" Target="https://www.justice.gov/crt/case-document/file/1419071/download" TargetMode="External"/><Relationship Id="rId2185" Type="http://schemas.openxmlformats.org/officeDocument/2006/relationships/hyperlink" Target="https://law.justia.com/cases/texas/first-court-of-appeals/2022/01-21-00422-cv.html" TargetMode="External"/><Relationship Id="rId2392" Type="http://schemas.openxmlformats.org/officeDocument/2006/relationships/hyperlink" Target="https://cases.justia.com/texas/fifteenth-court-of-appeals/2026-15-25-00102-cv.pdf?ts=1771951104" TargetMode="External"/><Relationship Id="rId2406" Type="http://schemas.openxmlformats.org/officeDocument/2006/relationships/hyperlink" Target="https://public.fastcase.com/jaEE2PXzRXmZ99jOLMt1IgF1yYEhvQDwrp3nUQiGNB%2BGSciFeLM%2FmBTuULLxAVc6AJd7N%2FBSzM%2BwBsHVa7Iixu%2BNwJWRs9nDd4Lbk0%2BZyEc%3D?utm_medium=email&amp;_hsenc=p2ANqtz-_AJp8PZettrdOWllyvjduuYkYNLjKGvTo7FG_iUypW4feeCV7HNQpd9yy59szCksxig4Y61bV5hSQSKDqcsmFU4r11KQ&amp;_hsmi=226712652&amp;utm_content=226712652&amp;utm_source=hs_email" TargetMode="External"/><Relationship Id="rId2613" Type="http://schemas.openxmlformats.org/officeDocument/2006/relationships/hyperlink" Target="https://public.fastcase.com/J%2FJP6pdidelsXxEE4k%2BLMpGubXoiBI9N5c5PiCjiKje3s5hlj34tgYA4JUqhEnHu5%2B5A2YVGp5a5q0QWGlZ62xJPhOyoXNaYGEvkYwXaoTE%3D?utm_medium=email&amp;_hsmi=226712652&amp;_hsenc=p2ANqtz-8eQQAtjUmF0fegxTEoYBNzAO-SWgh5MKAZ8ooS_Vj6VgR_AfS9P2NoltKqIQKTjr9fMeFfYMtr9y658qMKNZJxq-ULqA&amp;utm_content=226712652&amp;utm_source=hs_email" TargetMode="External"/><Relationship Id="rId157" Type="http://schemas.openxmlformats.org/officeDocument/2006/relationships/hyperlink" Target="https://www.9news.com/article/news/local/denver-arson-google-data-fatal-house-fire-colorado-supreme-court-ruling/73-aca77fb3-30d9-4bac-b46c-6d4b4402af16" TargetMode="External"/><Relationship Id="rId364" Type="http://schemas.openxmlformats.org/officeDocument/2006/relationships/hyperlink" Target="http://blog.iaff.org/post/2018/06/05/preparing-for-the-janus-v-afscme-council-31-supreme-court-ruling" TargetMode="External"/><Relationship Id="rId1008" Type="http://schemas.openxmlformats.org/officeDocument/2006/relationships/hyperlink" Target="https://www.nycourts.gov/reporter/current/3dseries/2026/2026_03970.shtml" TargetMode="External"/><Relationship Id="rId1215" Type="http://schemas.openxmlformats.org/officeDocument/2006/relationships/hyperlink" Target="http://masscases.com/cases/app/82/82massappct623.html" TargetMode="External"/><Relationship Id="rId1422" Type="http://schemas.openxmlformats.org/officeDocument/2006/relationships/hyperlink" Target="https://public.fastcase.com/Wl%2B2t%2BeVuI35%2FN70vAMFZvXmXpQwu2GjLh16DzgzKzYNu%2FX9mokAK5AXod7BJ9cF" TargetMode="External"/><Relationship Id="rId1867" Type="http://schemas.openxmlformats.org/officeDocument/2006/relationships/hyperlink" Target="https://www.dol.gov/whd/opinion/FLSA/2018/2018_01_05_05_FLSA.pdf" TargetMode="External"/><Relationship Id="rId2045" Type="http://schemas.openxmlformats.org/officeDocument/2006/relationships/hyperlink" Target="https://casetext.com/statute/general-laws-of-massachusetts/part-i-administration-of-the-government/title-xxi-labor-and-industries/chapter-149-labor-and-industries/section-149187-health-care-providers-protection-from-retaliatory-action-by-health-care-facilities" TargetMode="External"/><Relationship Id="rId2697" Type="http://schemas.openxmlformats.org/officeDocument/2006/relationships/hyperlink" Target="https://www.courts.ca.gov/opinions/nonpub/D074721.PDF" TargetMode="External"/><Relationship Id="rId2820" Type="http://schemas.openxmlformats.org/officeDocument/2006/relationships/hyperlink" Target="https://www.theledger.com/story/news/local/2022/05/20/lakeland-fire-department-leaders-retaliated-against-union-members-commission-says/9852984002/?mc_cid=a677467851&amp;mc_eid=3f2d24c371" TargetMode="External"/><Relationship Id="rId61" Type="http://schemas.openxmlformats.org/officeDocument/2006/relationships/hyperlink" Target="https://cases.justia.com/federal/appellate-courts/ca7/24-3163/24-3163-2025-07-22.pdf?ts=1753214416" TargetMode="External"/><Relationship Id="rId571" Type="http://schemas.openxmlformats.org/officeDocument/2006/relationships/hyperlink" Target="https://www.fox29.com/news/woman-gets-30-year-sentence-in-arson-that-killed-3-wilmington-firefighters" TargetMode="External"/><Relationship Id="rId669" Type="http://schemas.openxmlformats.org/officeDocument/2006/relationships/hyperlink" Target="https://casetext.com/case/assn-of-cal-ins-cos-v-jones-8" TargetMode="External"/><Relationship Id="rId876" Type="http://schemas.openxmlformats.org/officeDocument/2006/relationships/hyperlink" Target="https://casetext.com/case/carey-v-town-of-rumford" TargetMode="External"/><Relationship Id="rId1299" Type="http://schemas.openxmlformats.org/officeDocument/2006/relationships/hyperlink" Target="http://client.prod.iaff.org/" TargetMode="External"/><Relationship Id="rId1727" Type="http://schemas.openxmlformats.org/officeDocument/2006/relationships/hyperlink" Target="https://www.dol.gov/agencies/vets/programs/userra/USERRA-Pocket-Guide" TargetMode="External"/><Relationship Id="rId1934" Type="http://schemas.openxmlformats.org/officeDocument/2006/relationships/hyperlink" Target="https://www.npr.org/2021/11/01/1051321580/california-judge-drug-companies-opioid-crisis-allergan-endo-johnson-teva" TargetMode="External"/><Relationship Id="rId2252" Type="http://schemas.openxmlformats.org/officeDocument/2006/relationships/hyperlink" Target="https://www.zanesvilletimesrecorder.com/story/news/local/2016/12/17/two-dead-after-ambulance-rollover/95557626/" TargetMode="External"/><Relationship Id="rId2557" Type="http://schemas.openxmlformats.org/officeDocument/2006/relationships/hyperlink" Target="https://www.opn.ca6.uscourts.gov/opinions.pdf/24a0201p-06.pdf" TargetMode="External"/><Relationship Id="rId19" Type="http://schemas.openxmlformats.org/officeDocument/2006/relationships/hyperlink" Target="https://scholar.uc.edu/concern/documents/ht24wm15r?locale=en" TargetMode="External"/><Relationship Id="rId224" Type="http://schemas.openxmlformats.org/officeDocument/2006/relationships/hyperlink" Target="https://casetext.com/case/2095-stonington-llc-v-vill-of-hoffman-estates" TargetMode="External"/><Relationship Id="rId431" Type="http://schemas.openxmlformats.org/officeDocument/2006/relationships/hyperlink" Target="https://www.ktmc.com/featured-case/norfolk-southern-corporation" TargetMode="External"/><Relationship Id="rId529" Type="http://schemas.openxmlformats.org/officeDocument/2006/relationships/hyperlink" Target="https://www.newyorker.com/news/our-columnists/american-racism-and-the-buffalo-massacre" TargetMode="External"/><Relationship Id="rId736" Type="http://schemas.openxmlformats.org/officeDocument/2006/relationships/hyperlink" Target="https://casetext.com/case/elshinawy-v-united-states-1" TargetMode="External"/><Relationship Id="rId1061" Type="http://schemas.openxmlformats.org/officeDocument/2006/relationships/hyperlink" Target="https://cases.justia.com/west-virginia/supreme-court/2025-24-266.pdf?ts=1736880091" TargetMode="External"/><Relationship Id="rId1159" Type="http://schemas.openxmlformats.org/officeDocument/2006/relationships/hyperlink" Target="https://cases.justia.com/montana/supreme-court/2021-da-20-0594.pdf?ts=1634679339" TargetMode="External"/><Relationship Id="rId1366" Type="http://schemas.openxmlformats.org/officeDocument/2006/relationships/hyperlink" Target="https://public.fastcase.com/ZZhmr5v9wN%2FXOe5IsQ%2FqD6X8aBICmIyWVJScKPpCyRhR7mDWsTx8EU8Grq%2B%2B4ZtL7A%2BZetNPKoBujU7we%2BcNkmURNKpv4aGWRHQtd1T1moA%3D?utm_medium=email&amp;_hsmi=226712652&amp;_hsenc=p2ANqtz-9OBKIBZDi8r8oE28UFobupYGxopyoQah8HvX1c9zj34g5f00t_mZAGDNIEFbeFR3R6TbvecwhsL2yyD5Q92lFJJe2-2g&amp;utm_content=226712652&amp;utm_source=hs_email" TargetMode="External"/><Relationship Id="rId2112" Type="http://schemas.openxmlformats.org/officeDocument/2006/relationships/hyperlink" Target="https://cases.justia.com/kentucky/court-of-appeals/2024-2022-ca-1330-mr.pdf?ts=1709910288" TargetMode="External"/><Relationship Id="rId2196" Type="http://schemas.openxmlformats.org/officeDocument/2006/relationships/hyperlink" Target="https://www.dallasobserver.com/news/kyle-vess-court-rules-lawsuit-against-city-and-former-paramedic-can-move-forward-14303422" TargetMode="External"/><Relationship Id="rId2417" Type="http://schemas.openxmlformats.org/officeDocument/2006/relationships/hyperlink" Target="https://app.leg.wa.gov/RCW/default.aspx?cite=18.73.030" TargetMode="External"/><Relationship Id="rId2764" Type="http://schemas.openxmlformats.org/officeDocument/2006/relationships/hyperlink" Target="https://civilinquiry.jud.ct.gov/DocumentInquiry/DocumentInquiry.aspx?DocumentNo=29998787" TargetMode="External"/><Relationship Id="rId168" Type="http://schemas.openxmlformats.org/officeDocument/2006/relationships/hyperlink" Target="https://www.law.cornell.edu/rules/fre/rule_702" TargetMode="External"/><Relationship Id="rId943" Type="http://schemas.openxmlformats.org/officeDocument/2006/relationships/hyperlink" Target="https://www.youtube.com/watch?v=4rwA-whTxmQ" TargetMode="External"/><Relationship Id="rId1019" Type="http://schemas.openxmlformats.org/officeDocument/2006/relationships/hyperlink" Target="https://www.op-f.org/files/mgdrop.pdf" TargetMode="External"/><Relationship Id="rId1573" Type="http://schemas.openxmlformats.org/officeDocument/2006/relationships/hyperlink" Target="https://casetext.com/case/saade-v-city-of-detroit-1" TargetMode="External"/><Relationship Id="rId1780" Type="http://schemas.openxmlformats.org/officeDocument/2006/relationships/hyperlink" Target="http://www.dol.gov/agencies/whd" TargetMode="External"/><Relationship Id="rId1878" Type="http://schemas.openxmlformats.org/officeDocument/2006/relationships/hyperlink" Target="https://cases.justia.com/federal/district-courts/florida/flmdce/2:2024cv00585/429227/35/0.pdf?ts=1768388107" TargetMode="External"/><Relationship Id="rId2624" Type="http://schemas.openxmlformats.org/officeDocument/2006/relationships/hyperlink" Target="https://www.supremecourt.ohio.gov/rod/docs/pdf/5/2022/2022-Ohio-2757.pdf" TargetMode="External"/><Relationship Id="rId2831" Type="http://schemas.openxmlformats.org/officeDocument/2006/relationships/hyperlink" Target="https://www.ketv.com/article/nebraska-supreme-court-sides-with-omaha-fire-union-chief-in-dispute-with-city/37244601" TargetMode="External"/><Relationship Id="rId72" Type="http://schemas.openxmlformats.org/officeDocument/2006/relationships/hyperlink" Target="https://cases.justia.com/arizona/supreme-court/2025-cr-24-0264-pr.pdf?ts=1747242027" TargetMode="External"/><Relationship Id="rId375" Type="http://schemas.openxmlformats.org/officeDocument/2006/relationships/hyperlink" Target="https://supreme.justia.com/cases/federal/us/391/563/" TargetMode="External"/><Relationship Id="rId582" Type="http://schemas.openxmlformats.org/officeDocument/2006/relationships/hyperlink" Target="https://www.bwc.ohio.gov/downloads/blankpdf/C-265.pdf" TargetMode="External"/><Relationship Id="rId803" Type="http://schemas.openxmlformats.org/officeDocument/2006/relationships/hyperlink" Target="https://public.fastcase.com/Wl%2B2t%2BeVuI35%2FN70vAMFZkKd%2BuUeGYT9r22oA9ty28Exj1jRAAAURPUljfVU2169" TargetMode="External"/><Relationship Id="rId1226" Type="http://schemas.openxmlformats.org/officeDocument/2006/relationships/hyperlink" Target="https://www.opn.ca6.uscourts.gov/opinions.pdf/20a0579n-06.pdf" TargetMode="External"/><Relationship Id="rId1433" Type="http://schemas.openxmlformats.org/officeDocument/2006/relationships/hyperlink" Target="https://public.fastcase.com/Wl%2B2t%2BeVuI35%2FN70vAMFZlbQ%2BrzY3OsVa9hMy3HWGsXkXncgvfLlObTaYTDVckkj" TargetMode="External"/><Relationship Id="rId1640" Type="http://schemas.openxmlformats.org/officeDocument/2006/relationships/hyperlink" Target="https://www.supremecourt.gov/DocketPDF/23/23-997/309679/20240513145152474_23-997%20Brief%20in%20Opposition%20Final.pdf" TargetMode="External"/><Relationship Id="rId1738" Type="http://schemas.openxmlformats.org/officeDocument/2006/relationships/hyperlink" Target="https://www.mass.gov/doc/driscoll-v-city-of-melrose-ac-s24p1114/download" TargetMode="External"/><Relationship Id="rId2056" Type="http://schemas.openxmlformats.org/officeDocument/2006/relationships/hyperlink" Target="https://casetext.com/case/state-v-soliz-24" TargetMode="External"/><Relationship Id="rId2263" Type="http://schemas.openxmlformats.org/officeDocument/2006/relationships/hyperlink" Target="https://codes.ohio.gov/ohio-revised-code/section-4765.49" TargetMode="External"/><Relationship Id="rId2470" Type="http://schemas.openxmlformats.org/officeDocument/2006/relationships/hyperlink" Target="https://www.postbulletin.com/news/public_safety/ptsd-now-an-occupational-disease-for-first-responders/article_27a2353c-15d3-11e9-a864-cb74a37ce7f1.html" TargetMode="External"/><Relationship Id="rId3" Type="http://schemas.openxmlformats.org/officeDocument/2006/relationships/styles" Target="styles.xml"/><Relationship Id="rId235" Type="http://schemas.openxmlformats.org/officeDocument/2006/relationships/hyperlink" Target="https://www.mainelegislature.org/legis/statutes/17/title17sec2857.html" TargetMode="External"/><Relationship Id="rId442" Type="http://schemas.openxmlformats.org/officeDocument/2006/relationships/hyperlink" Target="https://www.youtube.com/watch?v=Y-qURehCp-0" TargetMode="External"/><Relationship Id="rId887" Type="http://schemas.openxmlformats.org/officeDocument/2006/relationships/hyperlink" Target="https://casetext.com/case/dougherty-v-city-of-detroit" TargetMode="External"/><Relationship Id="rId1072" Type="http://schemas.openxmlformats.org/officeDocument/2006/relationships/hyperlink" Target="https://ilcourtsaudio.blob.core.windows.net/antilles-resources/resources/6872cb37-ae61-4b36-815c-de4cd8130990/Sobczyk%20v.%20Board%20of%20Trustees%20of%20the%20Rockford%20Firefighters%e2%80%99%20Pension%20Fund,%202024%20IL%20App%20(4th)%20240261-U.pdf" TargetMode="External"/><Relationship Id="rId1500" Type="http://schemas.openxmlformats.org/officeDocument/2006/relationships/hyperlink" Target="https://www.firerescue1.com/legal/justice-department-drops-alleged-discriminatory-ff-hiring-cases-in-dei-rollback?utm_source=delivra&amp;utm_medium=email&amp;utm_campaign=FR1-Daily-2-27-25&amp;utm_id=8566464&amp;dlv-emuid=fed355b8-46a2-4fa4-b55c-4d602dde33c4&amp;dlv-mlid=8566464" TargetMode="External"/><Relationship Id="rId1945" Type="http://schemas.openxmlformats.org/officeDocument/2006/relationships/hyperlink" Target="http://futurefirefighters.org/firefighter-drinking-driving/" TargetMode="External"/><Relationship Id="rId2123" Type="http://schemas.openxmlformats.org/officeDocument/2006/relationships/hyperlink" Target="https://casetext.com/case/reid-v-med-ctr-healthems" TargetMode="External"/><Relationship Id="rId2330" Type="http://schemas.openxmlformats.org/officeDocument/2006/relationships/hyperlink" Target="https://cases.justia.com/texas/first-court-of-appeals/2019-01-19-00450-cv.pdf?ts=1577798110" TargetMode="External"/><Relationship Id="rId2568" Type="http://schemas.openxmlformats.org/officeDocument/2006/relationships/hyperlink" Target="https://www.vnews.com/Jonathan-Stone-loses-his-appeal-to-state-supreme-court-to-keep-personnel-records-private-54453646" TargetMode="External"/><Relationship Id="rId2775" Type="http://schemas.openxmlformats.org/officeDocument/2006/relationships/hyperlink" Target="https://www.supremecourt.ohio.gov/rod/docs/pdf/8/2024/2024-Ohio-4787.pdf" TargetMode="External"/><Relationship Id="rId302" Type="http://schemas.openxmlformats.org/officeDocument/2006/relationships/hyperlink" Target="https://www.rcfp.org/resources/anti-slapp-laws/" TargetMode="External"/><Relationship Id="rId747" Type="http://schemas.openxmlformats.org/officeDocument/2006/relationships/hyperlink" Target="https://www.washingtonpost.com/nation/interactive/2021/anti-gun-gun-owners/?itid=lk_inline_manual_4" TargetMode="External"/><Relationship Id="rId954" Type="http://schemas.openxmlformats.org/officeDocument/2006/relationships/hyperlink" Target="https://www.supremecourt.ohio.gov/rod/docs/pdf/8/2023/2023-Ohio-4213.pdf" TargetMode="External"/><Relationship Id="rId1377" Type="http://schemas.openxmlformats.org/officeDocument/2006/relationships/hyperlink" Target="https://public.fastcase.com/ZZhmr5v9wN%2FXOe5IsQ%2FqD%2Bhqb5sNCIqd5RJe%2FxM2hjFRyaJ31hb16ZTOa0HcnlDHTYd64r6bH4XUHVSC8TORCsm2%2BcMn7uR9MfnM7VfyK9g%3D?utm_medium=email&amp;_hsmi=226712652&amp;_hsenc=p2ANqtz-9j81kRsw27tcbjTzGhgoW98dbte_kRv0VGtzskzMbh4aiP0Af373qngGXkbsJh41xl15DsBfvJ97QkgeVHOPx0003AwA&amp;utm_content=226712652&amp;utm_source=hs_email" TargetMode="External"/><Relationship Id="rId1584" Type="http://schemas.openxmlformats.org/officeDocument/2006/relationships/hyperlink" Target="https://casetext.com/case/murray-v-city-of-warren-1" TargetMode="External"/><Relationship Id="rId1791" Type="http://schemas.openxmlformats.org/officeDocument/2006/relationships/hyperlink" Target="https://law.justia.com/cases/federal/district-courts/california/casdce/3:2022cv00487/730899/28/" TargetMode="External"/><Relationship Id="rId1805" Type="http://schemas.openxmlformats.org/officeDocument/2006/relationships/hyperlink" Target="https://www.law.cornell.edu/uscode/text/29/201" TargetMode="External"/><Relationship Id="rId2428" Type="http://schemas.openxmlformats.org/officeDocument/2006/relationships/hyperlink" Target="https://public.fastcase.com/ZZhmr5v9wN%2FXOe5IsQ%2FqD7d2ApzwrZCQvAZQlM%2B4VVcvgALpNi2VKyyjI%2Bz22f3P?utm_medium=email&amp;_hsmi=226712652&amp;_hsenc=p2ANqtz-9QV0nznODHw4_m_j0AE4K8p0b7Wes2e9d7AzOOyb86IGbeyJ8jbpovdpcqHFVtvrmWyxti44YX_ZuNCNTYmJshWS7Dxw&amp;utm_content=226712652&amp;utm_source=hs_email" TargetMode="External"/><Relationship Id="rId2635" Type="http://schemas.openxmlformats.org/officeDocument/2006/relationships/hyperlink" Target="https://casetext.com/case/owens-v-propes" TargetMode="External"/><Relationship Id="rId2842" Type="http://schemas.openxmlformats.org/officeDocument/2006/relationships/hyperlink" Target="https://www.watertowndailytimes.com/news03/lawyer-fees-for-watertown-fire-department-dispute-nearing-800000-20190207" TargetMode="External"/><Relationship Id="rId83" Type="http://schemas.openxmlformats.org/officeDocument/2006/relationships/hyperlink" Target="https://www.supremecourt.gov/opinions/24pdf/22-7466new_6479.pdf" TargetMode="External"/><Relationship Id="rId179" Type="http://schemas.openxmlformats.org/officeDocument/2006/relationships/hyperlink" Target="https://public.fastcase.com/ZZhmr5v9wN%2FXOe5IsQ%2FqDyh9W7agvNTeMPH8d1RJsPvP%2Fg5ZmquK03Jneavd35tblyNJzoowc3pRVBJlbMB8OXwMF7nsK7TpaO1eghvi3n8%3D?utm_medium=email&amp;_hsmi=226712652&amp;_hsenc=p2ANqtz-8CWkqPTOXpr4VKRSXFO6n4aimmH3FbbAM7Ve_pkSBcowoTJe6gCXxXh8Df-qrWOoYs_EV26aJQZp9WCJOKGH6IdbP0yQ&amp;utm_content=226712652&amp;utm_source=hs_email" TargetMode="External"/><Relationship Id="rId386" Type="http://schemas.openxmlformats.org/officeDocument/2006/relationships/hyperlink" Target="https://public.fastcase.com/Jhe1Qn%2BmJndQYQU6z%2FeNm1Wc0BhwXqbgUcnfM0G%2F8LGBWKhbC8yUkIyVwLGd8HWj?utm_medium=email&amp;_hsenc=p2ANqtz-85mlG7bjjwBnXQBs8DYGyySvCPBDEvbYyrF7EMhR5VCH2hTuoCLWnOKD3mejXOTkKYawSsNFXD_QLidauQN_0-kPfmHA&amp;_hsmi=226712652&amp;utm_content=226712652&amp;utm_source=hs_email" TargetMode="External"/><Relationship Id="rId593" Type="http://schemas.openxmlformats.org/officeDocument/2006/relationships/hyperlink" Target="http://www.illinoiscourts.gov/Opinions/AppellateCourt/2019/1stDistrict/1181163.pdf" TargetMode="External"/><Relationship Id="rId607" Type="http://schemas.openxmlformats.org/officeDocument/2006/relationships/hyperlink" Target="http://www.ca4.uscourts.gov/Opinions/171419.U.pdf" TargetMode="External"/><Relationship Id="rId814" Type="http://schemas.openxmlformats.org/officeDocument/2006/relationships/hyperlink" Target="http://www.pacourts.us/assets/opinions/Superior/out/j-s12006-19o%20-%2010413599977313050.pdf" TargetMode="External"/><Relationship Id="rId1237" Type="http://schemas.openxmlformats.org/officeDocument/2006/relationships/hyperlink" Target="https://law.justia.com/cases/washington/court-of-appeals-division-ii/2020/52908-4.html" TargetMode="External"/><Relationship Id="rId1444" Type="http://schemas.openxmlformats.org/officeDocument/2006/relationships/hyperlink" Target="https://caselaw.findlaw.com/us-supreme-court/436/658.html" TargetMode="External"/><Relationship Id="rId1651" Type="http://schemas.openxmlformats.org/officeDocument/2006/relationships/hyperlink" Target="https://public.fastcase.com/ZZhmr5v9wN%2FXOe5IsQ%2FqD0vptgQgkTgOc2XpReLMSYnB1s%2FjY6uEmfEHbXjNZYzwjdaE47PHCuenuGKG11vJGyDk8SuwK4ZV%2BjmAhdBj8vo%3D?utm_medium=email&amp;_hsmi=226712652&amp;_hsenc=p2ANqtz-8f3GbrLnvkkmFwGTcrnfHBUbhSWsI9S9n17c5FNvxL__Rb5dkxAl0xkukh9Thg8SYUm21fgYbaYJ57SsEv3B3vwn_tCQ&amp;utm_content=226712652&amp;utm_source=hs_email" TargetMode="External"/><Relationship Id="rId1889" Type="http://schemas.openxmlformats.org/officeDocument/2006/relationships/hyperlink" Target="https://public.fastcase.com/jaEE2PXzRXmZ99jOLMt1IkwLjDIafZivsAf6axO%2B3QZjm6x80NhvTxxrXJiS64do?utm_medium=email&amp;_hsenc=p2ANqtz-_ZLiMFX9yN1wO2MCWrhyQko1U4dUXhzxPQAtrBDBjCrjbe9Dh7_kNIbfrc-1zaAPZ0Y1FmrwNmXCeWeaeUVjh5p5R-nw&amp;_hsmi=226712652&amp;utm_content=226712652&amp;utm_source=hs_email" TargetMode="External"/><Relationship Id="rId2067" Type="http://schemas.openxmlformats.org/officeDocument/2006/relationships/hyperlink" Target="https://revisor.mo.gov/main/OneSection.aspx?section=579.015" TargetMode="External"/><Relationship Id="rId2274" Type="http://schemas.openxmlformats.org/officeDocument/2006/relationships/hyperlink" Target="https://flsenate.gov/Laws/Statutes/2011/112.182" TargetMode="External"/><Relationship Id="rId2481" Type="http://schemas.openxmlformats.org/officeDocument/2006/relationships/hyperlink" Target="https://caselaw.findlaw.com/court/la-court-of-appeal/118312488.html" TargetMode="External"/><Relationship Id="rId2702" Type="http://schemas.openxmlformats.org/officeDocument/2006/relationships/hyperlink" Target="https://www.heraldextra.com/news/local/crime-and-courts/millard-county-fire-chief-charged-with-raping-two-women-will/article_32fa3eae-85cc-5928-a493-88a75082f506.html" TargetMode="External"/><Relationship Id="rId246" Type="http://schemas.openxmlformats.org/officeDocument/2006/relationships/hyperlink" Target="https://abc7ny.com/new-york-city-harlem-fire-edward-norton/3249411/" TargetMode="External"/><Relationship Id="rId453" Type="http://schemas.openxmlformats.org/officeDocument/2006/relationships/hyperlink" Target="https://www.courthousenews.com/wp-content/uploads/2024/09/wholesale-fireworks-ruling.pdf" TargetMode="External"/><Relationship Id="rId660" Type="http://schemas.openxmlformats.org/officeDocument/2006/relationships/hyperlink" Target="https://www.supremecourt.gov/opinions/24pdf/23-852_c07d.pdf" TargetMode="External"/><Relationship Id="rId898" Type="http://schemas.openxmlformats.org/officeDocument/2006/relationships/hyperlink" Target="https://www.supremecourt.gov/opinions/21pdf/20-1539_09m1.pdf" TargetMode="External"/><Relationship Id="rId1083" Type="http://schemas.openxmlformats.org/officeDocument/2006/relationships/hyperlink" Target="https://media.ca11.uscourts.gov/opinions/pub/files/202213626.pdf" TargetMode="External"/><Relationship Id="rId1290" Type="http://schemas.openxmlformats.org/officeDocument/2006/relationships/hyperlink" Target="https://www.legislature.ohio.gov/legislation/legislation-summary?id=GA132-SB-220" TargetMode="External"/><Relationship Id="rId1304" Type="http://schemas.openxmlformats.org/officeDocument/2006/relationships/hyperlink" Target="https://www.supremecourt.gov/opinions/17pdf/16-285_q8l1.pdf" TargetMode="External"/><Relationship Id="rId1511" Type="http://schemas.openxmlformats.org/officeDocument/2006/relationships/hyperlink" Target="https://supreme.justia.com/cases/federal/us/564/338/" TargetMode="External"/><Relationship Id="rId1749" Type="http://schemas.openxmlformats.org/officeDocument/2006/relationships/hyperlink" Target="https://www.carolinajournal.com/wp-content/uploads/2025/04/cleveland-ot-128-033125-courtorder.pdf" TargetMode="External"/><Relationship Id="rId1956" Type="http://schemas.openxmlformats.org/officeDocument/2006/relationships/hyperlink" Target="https://www.law.com/thelegalintelligencer/search/?q=safe+injection+max+mitchell&amp;Submit=Search&amp;publication=The+Legal+Intelligencer&amp;source=falcon&amp;source=decisions&amp;startDate=&amp;endDate=" TargetMode="External"/><Relationship Id="rId2134" Type="http://schemas.openxmlformats.org/officeDocument/2006/relationships/hyperlink" Target="https://www.opn.ca6.uscourts.gov/opinions.pdf/23a0237p-06.pdf" TargetMode="External"/><Relationship Id="rId2341" Type="http://schemas.openxmlformats.org/officeDocument/2006/relationships/hyperlink" Target="https://www.fresnobee.com/news/local/article167656267.html" TargetMode="External"/><Relationship Id="rId2579" Type="http://schemas.openxmlformats.org/officeDocument/2006/relationships/hyperlink" Target="https://casetext.com/case/goodlett-v-town-of-clarksville" TargetMode="External"/><Relationship Id="rId2786" Type="http://schemas.openxmlformats.org/officeDocument/2006/relationships/hyperlink" Target="https://cases.justia.com/federal/district-courts/arizona/azdce/2:2023cv00612/1330978/17/0.pdf?ts=1697297155" TargetMode="External"/><Relationship Id="rId106" Type="http://schemas.openxmlformats.org/officeDocument/2006/relationships/hyperlink" Target="https://caselaw.findlaw.com/court/az-court-of-appeals/116575227.html" TargetMode="External"/><Relationship Id="rId313" Type="http://schemas.openxmlformats.org/officeDocument/2006/relationships/hyperlink" Target="https://www.supremecourt.gov/opinions/19pdf/18-1059_e2p3.pdf" TargetMode="External"/><Relationship Id="rId758" Type="http://schemas.openxmlformats.org/officeDocument/2006/relationships/hyperlink" Target="https://www.law.cornell.edu/definitions/uscode.php?width=840&amp;height=800&amp;iframe=true&amp;def_id=8-USC-92903111-1485256781&amp;term_occur=999&amp;term_src=" TargetMode="External"/><Relationship Id="rId965" Type="http://schemas.openxmlformats.org/officeDocument/2006/relationships/hyperlink" Target="https://public.courts.in.gov/Decisions/api/Document/Opinion?Id=rJRDncpWPHQbq7P5uv2HFHli7-yY9NDpUsGFV_2xhbEFoKT6dBGW8VG2YJisX0M_0" TargetMode="External"/><Relationship Id="rId1150" Type="http://schemas.openxmlformats.org/officeDocument/2006/relationships/hyperlink" Target="https://codes.ohio.gov/ohio-revised-code/section-742.10" TargetMode="External"/><Relationship Id="rId1388" Type="http://schemas.openxmlformats.org/officeDocument/2006/relationships/hyperlink" Target="https://www.wavy.com/news/local-news/norfolk/special-report-norfolk-under-fire-for-treatment-of-female-employees/" TargetMode="External"/><Relationship Id="rId1595" Type="http://schemas.openxmlformats.org/officeDocument/2006/relationships/hyperlink" Target="https://cases.justia.com/federal/appellate-courts/ca11/19-10138/19-10138-2019-10-04.pdf?ts=1570197627" TargetMode="External"/><Relationship Id="rId1609" Type="http://schemas.openxmlformats.org/officeDocument/2006/relationships/hyperlink" Target="https://cases.justia.com/federal/district-courts/maryland/mddce/1:2024cv03580/573207/56/0.pdf?ts=1777474810" TargetMode="External"/><Relationship Id="rId1816" Type="http://schemas.openxmlformats.org/officeDocument/2006/relationships/hyperlink" Target="http://www.firefighterovertime.org/wp-content/uploads/2021/04/KC-MO-FF-FLSA-Complaint-1.pdf" TargetMode="External"/><Relationship Id="rId2439" Type="http://schemas.openxmlformats.org/officeDocument/2006/relationships/hyperlink" Target="https://public.fastcase.com/J%2FJP6pdidelsXxEE4k%2BLMmppr1xeX1%2Bm2bW38%2FPoc%2BjXR15UXAVR8dC2RoWWa4H5Xq9pVObZCpSmCaBhyWr74I1EN1To2hIbHKD6%2F8UayPI%3D" TargetMode="External"/><Relationship Id="rId2646" Type="http://schemas.openxmlformats.org/officeDocument/2006/relationships/hyperlink" Target="https://www.firehouse.com/careers-education/article/12253067/altruism-and-the-fire-service-firefighter-education" TargetMode="External"/><Relationship Id="rId2853" Type="http://schemas.openxmlformats.org/officeDocument/2006/relationships/hyperlink" Target="https://www.youtube.com/watch?v=US5dFGLzqQo" TargetMode="External"/><Relationship Id="rId10" Type="http://schemas.openxmlformats.org/officeDocument/2006/relationships/image" Target="media/image2.jpeg"/><Relationship Id="rId94" Type="http://schemas.openxmlformats.org/officeDocument/2006/relationships/hyperlink" Target="https://casetext.com/case/united-states-v-gibson-453" TargetMode="External"/><Relationship Id="rId397" Type="http://schemas.openxmlformats.org/officeDocument/2006/relationships/hyperlink" Target="https://cases.justia.com/federal/district-courts/maryland/mddce/1:2025cv00796/578117/19/0.pdf?ts=1771692701" TargetMode="External"/><Relationship Id="rId520" Type="http://schemas.openxmlformats.org/officeDocument/2006/relationships/hyperlink" Target="https://law.justia.com/cases/delaware/court-of-chancery/2022/c-a-no-2020-0226-sem.html" TargetMode="External"/><Relationship Id="rId618" Type="http://schemas.openxmlformats.org/officeDocument/2006/relationships/hyperlink" Target="https://cases.justia.com/federal/appellate-courts/ca6/25-5471/25-5471-2026-05-13.pdf?ts=1778702434" TargetMode="External"/><Relationship Id="rId825" Type="http://schemas.openxmlformats.org/officeDocument/2006/relationships/hyperlink" Target="https://www.nytimes.com/2018/06/22/us/politics/supreme-court-warrants-cell-phone-privacy.html" TargetMode="External"/><Relationship Id="rId1248" Type="http://schemas.openxmlformats.org/officeDocument/2006/relationships/hyperlink" Target="https://www.firstrespondercenter.org/cancer/toolsresources/presumptive-legislation-firefighter-cancer-state/" TargetMode="External"/><Relationship Id="rId1455" Type="http://schemas.openxmlformats.org/officeDocument/2006/relationships/hyperlink" Target="https://law.justia.com/cases/federal/district-courts/alabama/alndce/4:2016cv01604/160190/55/" TargetMode="External"/><Relationship Id="rId1662" Type="http://schemas.openxmlformats.org/officeDocument/2006/relationships/hyperlink" Target="https://public.fastcase.com/ZZhmr5v9wN%2FXOe5IsQ%2FqD5cOg4uDiWBiDgRVwEX7HkTgzpDy2YRC9dWsCSpL5q7NwLkYpJ%2BBy0X6CQVC4aXC0tZJlDrCMk2fa2%2Fy73T5jjU%3D?utm_medium=email&amp;_hsmi=226712652&amp;_hsenc=p2ANqtz-8FJorPS84jztogf_8o7olLe4m03Y-oUT6vKuzTkvf9gKaTxn2WPOeYqAoz6gwdnY0JMEeLDG0EyTmUqJkqtPPBYQ-lng&amp;utm_content=226712652&amp;utm_source=hs_email" TargetMode="External"/><Relationship Id="rId2078" Type="http://schemas.openxmlformats.org/officeDocument/2006/relationships/hyperlink" Target="https://www.law.cornell.edu/wex/excited_utterance" TargetMode="External"/><Relationship Id="rId2201" Type="http://schemas.openxmlformats.org/officeDocument/2006/relationships/hyperlink" Target="https://law.justia.com/cases/new-york/other-courts/2022/2022-ny-slip-op-22137.html" TargetMode="External"/><Relationship Id="rId2285" Type="http://schemas.openxmlformats.org/officeDocument/2006/relationships/hyperlink" Target="https://casetext.com/case/benny-v-concord-partners-46th-st-llc-2" TargetMode="External"/><Relationship Id="rId2492" Type="http://schemas.openxmlformats.org/officeDocument/2006/relationships/hyperlink" Target="https://www.orangeobserver.com/news/2024/jun/15/breaking-former-orange-county-fire-rescue-battalion-chief-announces-candidacy-for-county-commission-district-1/" TargetMode="External"/><Relationship Id="rId2506" Type="http://schemas.openxmlformats.org/officeDocument/2006/relationships/hyperlink" Target="https://www.mass.gov/doc/bailey-casley-v-boston-fire-department-62724/download" TargetMode="External"/><Relationship Id="rId257" Type="http://schemas.openxmlformats.org/officeDocument/2006/relationships/hyperlink" Target="https://www.supremecourt.gov/opinions/20pdf/19-1414_8m58.pdf" TargetMode="External"/><Relationship Id="rId464" Type="http://schemas.openxmlformats.org/officeDocument/2006/relationships/hyperlink" Target="https://cases.justia.com/indiana/court-of-appeals/2023-23a-ct-00945.pdf?ts=1698084643" TargetMode="External"/><Relationship Id="rId1010" Type="http://schemas.openxmlformats.org/officeDocument/2006/relationships/hyperlink" Target="https://www.mass.gov/doc/defarias-paul-v-city-of-gloucester-related-appeals-court-decision-52626/download" TargetMode="External"/><Relationship Id="rId1094" Type="http://schemas.openxmlformats.org/officeDocument/2006/relationships/hyperlink" Target="https://casetext.com/case/marion-cnty-fire-dist-1-v-smith-in-re-smith" TargetMode="External"/><Relationship Id="rId1108" Type="http://schemas.openxmlformats.org/officeDocument/2006/relationships/hyperlink" Target="https://casetext.com/case/dasilva-v-esper-1" TargetMode="External"/><Relationship Id="rId1315" Type="http://schemas.openxmlformats.org/officeDocument/2006/relationships/hyperlink" Target="https://cases.justia.com/federal/district-courts/ohio/ohsdce/1:2023cv00273/279746/32/0.pdf?ts=1759344788" TargetMode="External"/><Relationship Id="rId1967" Type="http://schemas.openxmlformats.org/officeDocument/2006/relationships/hyperlink" Target="https://www.coloradojudicial.gov/system/files/opinions-2026-06/24CA1002.pdf" TargetMode="External"/><Relationship Id="rId2145" Type="http://schemas.openxmlformats.org/officeDocument/2006/relationships/hyperlink" Target="https://casetext.com/case/people-v-finley-127" TargetMode="External"/><Relationship Id="rId2713" Type="http://schemas.openxmlformats.org/officeDocument/2006/relationships/hyperlink" Target="https://www.phoenix.gov/firesite/Documents/fire_mp_10518.pdf" TargetMode="External"/><Relationship Id="rId2797" Type="http://schemas.openxmlformats.org/officeDocument/2006/relationships/hyperlink" Target="https://www.jud.ct.gov/external/supapp/Cases/AROap/AP218/218AP115.pdf" TargetMode="External"/><Relationship Id="rId117" Type="http://schemas.openxmlformats.org/officeDocument/2006/relationships/hyperlink" Target="https://www.indeonline.com/story/news/2013/01/30/massillon-woman-gets-7-years/65001393007/" TargetMode="External"/><Relationship Id="rId671" Type="http://schemas.openxmlformats.org/officeDocument/2006/relationships/hyperlink" Target="https://krcrtv.com/news/local/long-awaited-settlement-conference-in-fawn-fire-arson-case-brings-hope-to-victims" TargetMode="External"/><Relationship Id="rId769" Type="http://schemas.openxmlformats.org/officeDocument/2006/relationships/hyperlink" Target="https://www.law.cornell.edu/uscode/text/8/1182" TargetMode="External"/><Relationship Id="rId976" Type="http://schemas.openxmlformats.org/officeDocument/2006/relationships/hyperlink" Target="https://law.justia.com/cases/texas/thirteenth-court-of-appeals/2022/13-20-00315-cv.html" TargetMode="External"/><Relationship Id="rId1399" Type="http://schemas.openxmlformats.org/officeDocument/2006/relationships/hyperlink" Target="https://www.firerescue1.com/lawsuit/articles/mass-ff-emt-files-gender-discrimination-lawsuit-says-she-was-passed-over-for-promotion-k1Q0mMWcivLWcHoy/" TargetMode="External"/><Relationship Id="rId2352" Type="http://schemas.openxmlformats.org/officeDocument/2006/relationships/hyperlink" Target="http://www.pacourts.us/assets/opinions/Superior/out/memorandum%20%20affirmed%20%2010388943251531544.pdf" TargetMode="External"/><Relationship Id="rId2657" Type="http://schemas.openxmlformats.org/officeDocument/2006/relationships/hyperlink" Target="https://www.cleveland19.com/2020/01/26/year-old-woman-loses-life-after-house-goes-up-flames-clevelands-west-side-adults-children-safely-out/" TargetMode="External"/><Relationship Id="rId324" Type="http://schemas.openxmlformats.org/officeDocument/2006/relationships/hyperlink" Target="https://cases.justia.com/ohio/eighth-district-court-of-appeals/2019-108224.pdf?ts=1576167401" TargetMode="External"/><Relationship Id="rId531" Type="http://schemas.openxmlformats.org/officeDocument/2006/relationships/hyperlink" Target="https://cafc.uscourts.gov/opinions-orders/21-1452.OPINION.4-15-2022_1936831.pdf" TargetMode="External"/><Relationship Id="rId629" Type="http://schemas.openxmlformats.org/officeDocument/2006/relationships/hyperlink" Target="https://storage.courtlistener.com/recap/gov.uscourts.cadc.42631/gov.uscourts.cadc.42631.1208806141.0.pdf" TargetMode="External"/><Relationship Id="rId1161" Type="http://schemas.openxmlformats.org/officeDocument/2006/relationships/hyperlink" Target="https://www.opn.ca6.uscourts.gov/opinions.pdf/21a0204p-06.pdf" TargetMode="External"/><Relationship Id="rId1259" Type="http://schemas.openxmlformats.org/officeDocument/2006/relationships/hyperlink" Target="https://www.firstrespondercenter.org/cancer/toolsresources/presumptive-legislation-firefighter-cancer-state/" TargetMode="External"/><Relationship Id="rId1466" Type="http://schemas.openxmlformats.org/officeDocument/2006/relationships/hyperlink" Target="https://cases.justia.com/federal/appellate-courts/ca6/25-3700/25-3700-2026-06-15.pdf?ts=1781553648" TargetMode="External"/><Relationship Id="rId2005" Type="http://schemas.openxmlformats.org/officeDocument/2006/relationships/hyperlink" Target="https://www.govinfo.gov/content/pkg/USCOURTS-mied-1_19-cr-20167/pdf/USCOURTS-mied-1_19-cr-20167-2.pdf" TargetMode="External"/><Relationship Id="rId2212" Type="http://schemas.openxmlformats.org/officeDocument/2006/relationships/hyperlink" Target="https://public.fastcase.com/waZtJvSA54UAurM2rmIZzwvOxdABv7XvwmmlDXNvdvn51CTV3NslG6Rw0yioxZXL%2BjJOhhNAJF%2FpIN8S52jcKAcJWCdsLYpOkU1PQ4W0%2BbA%3D" TargetMode="External"/><Relationship Id="rId2864" Type="http://schemas.openxmlformats.org/officeDocument/2006/relationships/hyperlink" Target="https://www.law.cornell.edu/definitions/index.php?width=840&amp;height=800&amp;iframe=true&amp;def_id=977e8a5a6738f2296549dee03e70816a&amp;term_occur=999&amp;term_src=Title:24:Subtitle:B:Chapter:II:Subchapter:I:Part:291:Subpart:F:291.530" TargetMode="External"/><Relationship Id="rId836" Type="http://schemas.openxmlformats.org/officeDocument/2006/relationships/hyperlink" Target="https://appellate.nccourts.org/opinions/?c=2&amp;pdf=44475" TargetMode="External"/><Relationship Id="rId1021" Type="http://schemas.openxmlformats.org/officeDocument/2006/relationships/hyperlink" Target="https://cases.justia.com/delaware/supreme-court/2025-152-2025.pdf?ts=1764862317" TargetMode="External"/><Relationship Id="rId1119" Type="http://schemas.openxmlformats.org/officeDocument/2006/relationships/hyperlink" Target="https://www.socialaw.com/services/slip-opinions/slip-opinion-details/mark-tetreault-vs.-board-of-selectmen-of-lynnfield" TargetMode="External"/><Relationship Id="rId1673" Type="http://schemas.openxmlformats.org/officeDocument/2006/relationships/hyperlink" Target="https://casetext.com/case/frost-v-provident-life-and-accident-insurance-co-1" TargetMode="External"/><Relationship Id="rId1880" Type="http://schemas.openxmlformats.org/officeDocument/2006/relationships/hyperlink" Target="https://baltimorefishbowl.com/stories/howard-county-firefighters-medical-cannabis/" TargetMode="External"/><Relationship Id="rId1978" Type="http://schemas.openxmlformats.org/officeDocument/2006/relationships/hyperlink" Target="https://www.studicata.com/summaries/court-of-appeals-of-ohio/holycross-v-state-board-of-emergency-med-2005-oor7s1/" TargetMode="External"/><Relationship Id="rId2517" Type="http://schemas.openxmlformats.org/officeDocument/2006/relationships/hyperlink" Target="https://public.fastcase.com/jaEE2PXzRXmZ99jOLMt1Ilcjd44wj1gOUELzUZUXmDmbuUsOiVZitmDUzsj9wpOSz4ErC%2Bb83%2Bac%2Bxbf2Y5XWbaFtY83bMRM%2FnYjCn7PkRA%3D?utm_medium=email&amp;_hsenc=p2ANqtz-_fx1n9_ms4yphjYB4YK1tT4ojMXKWZyFtyDBkZEK1fupUD4WQ_rkXhMfyPQZmyXGwaNXHPYYCETcsN16Fd9R-eiG6PHw&amp;_hsmi=226712652&amp;utm_content=226712652&amp;utm_source=hs_email" TargetMode="External"/><Relationship Id="rId2724" Type="http://schemas.openxmlformats.org/officeDocument/2006/relationships/hyperlink" Target="https://cases.justia.com/texas/ninth-court-of-appeals/2019-09-18-00407-cv-0.pdf?ts=1570180546" TargetMode="External"/><Relationship Id="rId903" Type="http://schemas.openxmlformats.org/officeDocument/2006/relationships/hyperlink" Target="https://ad4.nycourts.gov/njs/term/argument/calendar?date=2021-05-27T00:00:00.000Z&amp;venue=1&amp;calnbr=633" TargetMode="External"/><Relationship Id="rId1326" Type="http://schemas.openxmlformats.org/officeDocument/2006/relationships/hyperlink" Target="https://media.ca7.uscourts.gov/cgi-bin/rssExec.pl?Submit=Display&amp;Path=Y2022/D07-12/C:21-2784:J:PerCuriam:aut:T:npDp:N:2902357:S:0" TargetMode="External"/><Relationship Id="rId1533" Type="http://schemas.openxmlformats.org/officeDocument/2006/relationships/hyperlink" Target="https://casetext.com/case/mendoza-v-the-city-of-new-york-3" TargetMode="External"/><Relationship Id="rId1740" Type="http://schemas.openxmlformats.org/officeDocument/2006/relationships/hyperlink" Target="https://www.dol.gov/sites/dolgov/files/WHD/opinion-letters/FLSA/FLSA-2025-04.pdf" TargetMode="External"/><Relationship Id="rId32" Type="http://schemas.openxmlformats.org/officeDocument/2006/relationships/hyperlink" Target="https://public.fastcase.com/Jhe1Qn%2BmJndQYQU6z%2FeNm57E189vmSMp%2BOS67ay8wFWitKPcCGY4GMdxJS93bY4IOZ1rR%2BpqLAwnmO1MhhKsFw8mOzyCAgo2oZ0ZZPsNViU%3D?utm_medium=email&amp;_hsenc=p2ANqtz-_RDDEsF8WYWrAIUyd_V4g0U3Z9WIVpc4wUXBmJG03XH_ukvjIDW01jf2KlbNNNJy_jYwJIbAOIzBm1vMJk5QjVjhiSog&amp;_hsmi=226712652&amp;utm_content=226712652&amp;utm_source=hs_email" TargetMode="External"/><Relationship Id="rId1600" Type="http://schemas.openxmlformats.org/officeDocument/2006/relationships/hyperlink" Target="https://www.eeoc.gov/employees/timeliness.cfm" TargetMode="External"/><Relationship Id="rId1838" Type="http://schemas.openxmlformats.org/officeDocument/2006/relationships/hyperlink" Target="https://public.fastcase.com/Wl%2B2t%2BeVuI35%2FN70vAMFZtsu4ffMdPWfOx%2BdxBXmfVAnwIw9ms7kbCEt1faHV%2BzM" TargetMode="External"/><Relationship Id="rId181" Type="http://schemas.openxmlformats.org/officeDocument/2006/relationships/hyperlink" Target="https://www.justice.gov/opa/pr/false-claims-act-settlements-and-judgments-exceed-2-billion-fiscal-year-2022" TargetMode="External"/><Relationship Id="rId1905" Type="http://schemas.openxmlformats.org/officeDocument/2006/relationships/hyperlink" Target="https://public.fastcase.com/H1P9uiW3J20SFp%2BGCG%2BxLWxsjT87vgsYeUyD6XhJjN4sWvyHUDi1iD6eePPdFLtF?utm_medium=email&amp;_hsmi=226712652&amp;_hsenc=p2ANqtz-_iI2JExLit36jQEG92m9s-4sdtZgfob1tVRc-o7xFd5g7DvtyOGh3o-vGJ1z88YzXriHS74jMuVuWJoviL5aHAnGRzpg&amp;utm_content=226712652&amp;utm_source=hs_email" TargetMode="External"/><Relationship Id="rId279" Type="http://schemas.openxmlformats.org/officeDocument/2006/relationships/hyperlink" Target="https://www.law.cornell.edu/definitions/uscode.php?width=840&amp;height=800&amp;iframe=true&amp;def_id=18-USC-1230698398-816587252&amp;term_occur=999&amp;term_src=title:18:part:I:chapter:44:section:922" TargetMode="External"/><Relationship Id="rId486" Type="http://schemas.openxmlformats.org/officeDocument/2006/relationships/hyperlink" Target="https://casetext.com/statute/consolidated-laws-of-new-york/chapter-civil-practice-law-and-rules/article-32-accelerated-judgment/section-r3211-motion-to-dismiss" TargetMode="External"/><Relationship Id="rId693" Type="http://schemas.openxmlformats.org/officeDocument/2006/relationships/hyperlink" Target="https://www.cdcr.ca.gov/facility-locator/conservation-camps/camps/" TargetMode="External"/><Relationship Id="rId2167" Type="http://schemas.openxmlformats.org/officeDocument/2006/relationships/hyperlink" Target="https://public.fastcase.com/J%2FJP6pdidelsXxEE4k%2BLMhEAWViZoZCNNVQqGGOJQe0x0uZjPj6basWGo2LdR7ZdZ7mXMibE%2B6q63t6QJEFPzY8xsgWYqrexPGowqeVKLtU%3D?utm_medium=email&amp;_hsmi=226712652&amp;_hsenc=p2ANqtz-_6354qi3IFHsOx1ZsytROIPRrzR7P7WEO-" TargetMode="External"/><Relationship Id="rId2374" Type="http://schemas.openxmlformats.org/officeDocument/2006/relationships/hyperlink" Target="https://scholar.google.com/scholar_case?case=10284773024569378667&amp;hl=en&amp;as_sdt=6&amp;as_vis=1&amp;oi=scholarr" TargetMode="External"/><Relationship Id="rId2581" Type="http://schemas.openxmlformats.org/officeDocument/2006/relationships/hyperlink" Target="https://midmichigannow.com/news/local/judge-rules-lawsuit-filed-by-former-fire-chief-against-flint-mayor-can-continue" TargetMode="External"/><Relationship Id="rId139" Type="http://schemas.openxmlformats.org/officeDocument/2006/relationships/hyperlink" Target="https://www.courts.michigan.gov/49940f/siteassets/case-documents/uploads/opinions/final/sct/164948_142_01.pdf" TargetMode="External"/><Relationship Id="rId346" Type="http://schemas.openxmlformats.org/officeDocument/2006/relationships/hyperlink" Target="https://www.mass.gov/files/documents/2018/06/22/ASAB%2017-04%20%2044%20Mt.%20Vernon%20St.%2C%20Fitchburg.pdf?_ga=2.103697088.170248601.1551215432-2018690554.1551215432" TargetMode="External"/><Relationship Id="rId553" Type="http://schemas.openxmlformats.org/officeDocument/2006/relationships/hyperlink" Target="http://www.legislature.mi.gov/(S(dodu2xg2ouu1vonwqhxqy4i2))/mileg.aspx?page=getObject&amp;objectName=mcl-750-411h" TargetMode="External"/><Relationship Id="rId760" Type="http://schemas.openxmlformats.org/officeDocument/2006/relationships/hyperlink" Target="https://www.supremecourt.gov/opinions/20pdf/19-863_6jgm.pdf" TargetMode="External"/><Relationship Id="rId998" Type="http://schemas.openxmlformats.org/officeDocument/2006/relationships/hyperlink" Target="https://www.fireapparatusmagazine.com/articles/print/volume-22/issue-3/features/hose-alert-a-firefighter-s-commonsense-solution-to-a-serious-problem.html" TargetMode="External"/><Relationship Id="rId1183" Type="http://schemas.openxmlformats.org/officeDocument/2006/relationships/hyperlink" Target="https://www.lasc.org/Opinions/2021/20-0693.C.OPN.pdf" TargetMode="External"/><Relationship Id="rId1390" Type="http://schemas.openxmlformats.org/officeDocument/2006/relationships/hyperlink" Target="https://www.congress.gov/bill/117th-congress/house-bill/4445/text" TargetMode="External"/><Relationship Id="rId2027" Type="http://schemas.openxmlformats.org/officeDocument/2006/relationships/hyperlink" Target="https://caselaw.findlaw.com/court/us-dis-crt-sd-new-yor/117411673.html" TargetMode="External"/><Relationship Id="rId2234" Type="http://schemas.openxmlformats.org/officeDocument/2006/relationships/hyperlink" Target="https://www.cbsnews.com/news/los-angeles-settlement-families-photos-kobe-bryant-helicopter-crash/" TargetMode="External"/><Relationship Id="rId2441" Type="http://schemas.openxmlformats.org/officeDocument/2006/relationships/hyperlink" Target="https://www.njcourts.gov/attorneys/assets/opinions/appellate/unpublished/a3633-19.pdf" TargetMode="External"/><Relationship Id="rId2679" Type="http://schemas.openxmlformats.org/officeDocument/2006/relationships/hyperlink" Target="http://www.ca5.uscourts.gov/opinions/unpub/20/20-20087.0.pdf" TargetMode="External"/><Relationship Id="rId2886" Type="http://schemas.openxmlformats.org/officeDocument/2006/relationships/hyperlink" Target="https://www.congress.gov/bill/117th-congress/house-bill/4445/text" TargetMode="External"/><Relationship Id="rId206" Type="http://schemas.openxmlformats.org/officeDocument/2006/relationships/hyperlink" Target="https://public.fastcase.com/J%2FJP6pdidelsXxEE4k%2BLMkioZ6zkCvVA2f7m8MUdZzFChRnZ9pflbw23TgjkZYaZMPShomsfddWFkLQb1Ctqwom4ggqunMxdJpiD327M8Vc%3D?utm_medium=email&amp;_hsmi=226712652&amp;_hsenc=p2ANqtz-90P1mb2f8SYEeO6UfPTx4asdEjFOhLhRS07BbmdC1-wrC8kVAiG6jT85m4y6VmZBAFGCFSBZmuZ2NfaZLtEQDLtFBeQ&amp;utm_content=226712652&amp;utm_source=hs_email" TargetMode="External"/><Relationship Id="rId413" Type="http://schemas.openxmlformats.org/officeDocument/2006/relationships/hyperlink" Target="https://www.supremecourt.ohio.gov/rod/docs/pdf/12/2025/2025-Ohio-4780.pdf" TargetMode="External"/><Relationship Id="rId858" Type="http://schemas.openxmlformats.org/officeDocument/2006/relationships/hyperlink" Target="https://cases.justia.com/kentucky/court-of-appeals/2024-2023-ca-1204-mr.pdf?ts=1722002681" TargetMode="External"/><Relationship Id="rId1043" Type="http://schemas.openxmlformats.org/officeDocument/2006/relationships/hyperlink" Target="https://cases.justia.com/kentucky/court-of-appeals/2025-2024-ca-0152-mr.pdf?ts=1748009113" TargetMode="External"/><Relationship Id="rId1488" Type="http://schemas.openxmlformats.org/officeDocument/2006/relationships/hyperlink" Target="https://cases.justia.com/federal/appellate-courts/ca5/24-40626/24-40626-2025-05-01.pdf?ts=1746120629" TargetMode="External"/><Relationship Id="rId1695" Type="http://schemas.openxmlformats.org/officeDocument/2006/relationships/hyperlink" Target="https://www.law.com/thelegalintelligencer/2019/08/12/third-circuit-revives-beard-related-discrimination-claims-against-upenn/" TargetMode="External"/><Relationship Id="rId2539" Type="http://schemas.openxmlformats.org/officeDocument/2006/relationships/hyperlink" Target="https://cases.justia.com/delaware/superior-court/2024-2301003924.pdf?ts=1718040749" TargetMode="External"/><Relationship Id="rId2746" Type="http://schemas.openxmlformats.org/officeDocument/2006/relationships/hyperlink" Target="https://d.docs.live.net/bd9b2eaf6053242e/AppData/Roaming/Microsoft/AppData/Local/Microsoft/Windows/INetCache/IE/NZ9VF3P4/Christian-Firefighter.pdf" TargetMode="External"/><Relationship Id="rId620" Type="http://schemas.openxmlformats.org/officeDocument/2006/relationships/hyperlink" Target="https://www.law.cornell.edu/uscode/text/28/1605A" TargetMode="External"/><Relationship Id="rId718" Type="http://schemas.openxmlformats.org/officeDocument/2006/relationships/hyperlink" Target="https://ecf.dcd.uscourts.gov/cgi-bin/show_public_doc?2021cv0100-165" TargetMode="External"/><Relationship Id="rId925" Type="http://schemas.openxmlformats.org/officeDocument/2006/relationships/hyperlink" Target="https://cases.justia.com/federal/district-courts/new-york/nyndce/6:2022cv01157/135604/81/0.pdf?ts=1772211450" TargetMode="External"/><Relationship Id="rId1250" Type="http://schemas.openxmlformats.org/officeDocument/2006/relationships/hyperlink" Target="http://41af3k34gprx4f6bg12df75i.wpengine.netdna-cdn.com/wp-content/uploads/sites/19/2020/05/Hartman-v.-St.-Bernard-Parish-Fire-Dep_t_-2020-La.-App.pdf" TargetMode="External"/><Relationship Id="rId1348" Type="http://schemas.openxmlformats.org/officeDocument/2006/relationships/hyperlink" Target="https://www.ca5.uscourts.gov/opinions/unpub/23/23-30810.0.pdf" TargetMode="External"/><Relationship Id="rId1555" Type="http://schemas.openxmlformats.org/officeDocument/2006/relationships/hyperlink" Target="https://law.justia.com/cases/federal/district-courts/california/caedce/1:2018cv00824/337796/49/" TargetMode="External"/><Relationship Id="rId1762" Type="http://schemas.openxmlformats.org/officeDocument/2006/relationships/hyperlink" Target="https://www.ecfr.gov/current/title-29/subtitle-B/chapter-V/subchapter-B/part-778" TargetMode="External"/><Relationship Id="rId2301" Type="http://schemas.openxmlformats.org/officeDocument/2006/relationships/hyperlink" Target="https://www.hannah.com/ShowDocument.aspx?BTextID=219206" TargetMode="External"/><Relationship Id="rId2606" Type="http://schemas.openxmlformats.org/officeDocument/2006/relationships/hyperlink" Target="https://www.thefire.org/first-amendment-library/decision/pickering-v-board-of-education-of-township-high-school-district-205-will-county/" TargetMode="External"/><Relationship Id="rId1110" Type="http://schemas.openxmlformats.org/officeDocument/2006/relationships/hyperlink" Target="https://casetext.com/case/lexington-fayette-urban-cnty-govt-v-gosper-1" TargetMode="External"/><Relationship Id="rId1208" Type="http://schemas.openxmlformats.org/officeDocument/2006/relationships/hyperlink" Target="https://www.leagle.com/decision/infdco20201228943" TargetMode="External"/><Relationship Id="rId1415" Type="http://schemas.openxmlformats.org/officeDocument/2006/relationships/hyperlink" Target="https://scholar.google.com/scholar_case?case=1979118509333189928&amp;q=Rachel+MOSBY+v.+CITY+OF+BYRON,+GEORGIA,&amp;hl=en&amp;as_sdt=6,36" TargetMode="External"/><Relationship Id="rId2813" Type="http://schemas.openxmlformats.org/officeDocument/2006/relationships/hyperlink" Target="https://public.fastcase.com/J%2FJP6pdidelsXxEE4k%2BLMgRuGoPztfGYl4rgyWIW4hR9R3ye4G%2Brlx4oNbvfkD7bo5Sl3SUFyCNYsXscEScOvl5B7KBk99Bt%2FA1OCEhfyl0%3D" TargetMode="External"/><Relationship Id="rId54" Type="http://schemas.openxmlformats.org/officeDocument/2006/relationships/hyperlink" Target="https://cases.justia.com/georgia/court-of-appeals/2025-a25a0954.pdf?ts=1758208974" TargetMode="External"/><Relationship Id="rId1622" Type="http://schemas.openxmlformats.org/officeDocument/2006/relationships/hyperlink" Target="https://sac.media/2023/05/09/former-west-covina-fire-chief-awarded-4-1-million-in-wrongful-termination-suit/" TargetMode="External"/><Relationship Id="rId1927" Type="http://schemas.openxmlformats.org/officeDocument/2006/relationships/hyperlink" Target="https://casetext.com/case/dufrene-v-northshore-ems-llc" TargetMode="External"/><Relationship Id="rId2091" Type="http://schemas.openxmlformats.org/officeDocument/2006/relationships/hyperlink" Target="https://casetext.com/statute/united-states-code/title-28-judiciary-and-judicial-procedure/part-v-procedure/chapter-123-fees-and-costs/section-1920-taxation-of-costs" TargetMode="External"/><Relationship Id="rId2189" Type="http://schemas.openxmlformats.org/officeDocument/2006/relationships/hyperlink" Target="https://www.ems.ohio.gov/trauma-system.aspx" TargetMode="External"/><Relationship Id="rId270" Type="http://schemas.openxmlformats.org/officeDocument/2006/relationships/hyperlink" Target="https://ethics.ohio.gov/education/elearning/ecourses.html" TargetMode="External"/><Relationship Id="rId2396" Type="http://schemas.openxmlformats.org/officeDocument/2006/relationships/hyperlink" Target="https://www.pacourts.us/assets/opinions/Commonwealth/out/770CD24_10-22-25.pdf?cb=1" TargetMode="External"/><Relationship Id="rId130" Type="http://schemas.openxmlformats.org/officeDocument/2006/relationships/hyperlink" Target="https://law.justia.com/cases/new-york/other-courts/2024/2024-ny-slip-op-51092-u.html" TargetMode="External"/><Relationship Id="rId368" Type="http://schemas.openxmlformats.org/officeDocument/2006/relationships/hyperlink" Target="http://buchanan-labs.com/statutory-damages-for-infringement-of-your-copyrights-and-trademarks/" TargetMode="External"/><Relationship Id="rId575" Type="http://schemas.openxmlformats.org/officeDocument/2006/relationships/hyperlink" Target="https://www.aclu.org/sites/default/files/field_document/mckesson_v_doe_cert_petn_and_appendix.pdf" TargetMode="External"/><Relationship Id="rId782" Type="http://schemas.openxmlformats.org/officeDocument/2006/relationships/hyperlink" Target="https://www.npr.org/2021/03/04/973658292/supreme-court-makes-it-harder-for-undocumented-immigrants-to-fight-deportation" TargetMode="External"/><Relationship Id="rId2049" Type="http://schemas.openxmlformats.org/officeDocument/2006/relationships/hyperlink" Target="https://www4.courts.ca.gov/opinions/nonpub/B335656.PDF" TargetMode="External"/><Relationship Id="rId2256" Type="http://schemas.openxmlformats.org/officeDocument/2006/relationships/hyperlink" Target="https://casetext.com/statute/revised-code-of-washington/title-68-cemeteries-morgues-and-human-remains/chapter-6850-human-remains/section-6850160-right-to-control-disposition-of-remains-liability-of-funeral-establishment-or-cemetery-authority-liability-for-cost" TargetMode="External"/><Relationship Id="rId2463" Type="http://schemas.openxmlformats.org/officeDocument/2006/relationships/hyperlink" Target="http://www.firefighters-exam.com/2019/06/24/tips-on-how-to-pass-your-firefighter-psychological-test/" TargetMode="External"/><Relationship Id="rId2670" Type="http://schemas.openxmlformats.org/officeDocument/2006/relationships/hyperlink" Target="http://masscases.com/cases/app/82/82massappct623.html" TargetMode="External"/><Relationship Id="rId228" Type="http://schemas.openxmlformats.org/officeDocument/2006/relationships/hyperlink" Target="https://www.iafc.org/blogs/blog/iafc/2022/01/13/supreme-court-decision-on-vaccine-mandates-what-it-means-for-fire-departments" TargetMode="External"/><Relationship Id="rId435" Type="http://schemas.openxmlformats.org/officeDocument/2006/relationships/hyperlink" Target="https://www.pacourts.us/assets/opinions/Superior/out/J-A11020-24m%20-%20106209941292398313.pdf?cb=1" TargetMode="External"/><Relationship Id="rId642" Type="http://schemas.openxmlformats.org/officeDocument/2006/relationships/hyperlink" Target="https://media.ca7.uscourts.gov/cgi-bin/OpinionsWeb/processWebInputExternal.pl?Submit=Display&amp;Path=Y2025/D10-16/C:25-2798:J:PerCuriam:aut:T:op:N:3439487:S:0" TargetMode="External"/><Relationship Id="rId1065" Type="http://schemas.openxmlformats.org/officeDocument/2006/relationships/hyperlink" Target="https://cases.justia.com/pennsylvania/commonwealth-court/2024-739-c-d-2023.pdf?ts=1732034168" TargetMode="External"/><Relationship Id="rId1272" Type="http://schemas.openxmlformats.org/officeDocument/2006/relationships/hyperlink" Target="https://www.courtlistener.com/recap/gov.uscourts.ohnd.252466/gov.uscourts.ohnd.252466.26.0.pdf" TargetMode="External"/><Relationship Id="rId2116" Type="http://schemas.openxmlformats.org/officeDocument/2006/relationships/hyperlink" Target="https://public.fastcase.com/ZZhmr5v9wN%2FXOe5IsQ%2FqDx0vrICWCRjPwrPkFejRzcL5IKaE8Rtd1E1QUMzNRkuXg4QLEVUEQQe1JZ8q921vtt1B6ovVwHeC3EtpH3EMOZQ%3D?utm_medium=email&amp;_hsmi=226712652&amp;_hsenc=p2ANqtz-" TargetMode="External"/><Relationship Id="rId2323" Type="http://schemas.openxmlformats.org/officeDocument/2006/relationships/hyperlink" Target="https://brady-static.s3.amazonaws.com/2020-04-06-29-Order-Denying-TRO-App.pdf" TargetMode="External"/><Relationship Id="rId2530" Type="http://schemas.openxmlformats.org/officeDocument/2006/relationships/hyperlink" Target="https://supreme.justia.com/cases/federal/us/470/532/" TargetMode="External"/><Relationship Id="rId2768" Type="http://schemas.openxmlformats.org/officeDocument/2006/relationships/hyperlink" Target="https://cases.justia.com/new-hampshire/supreme-court/2025-2024-0097.pdf?ts=1742996506" TargetMode="External"/><Relationship Id="rId502" Type="http://schemas.openxmlformats.org/officeDocument/2006/relationships/hyperlink" Target="https://www.courts.ca.gov/opinions/nonpub/C096220.PDF" TargetMode="External"/><Relationship Id="rId947" Type="http://schemas.openxmlformats.org/officeDocument/2006/relationships/hyperlink" Target="https://casetext.com/statute/texas-codes/civil-practice-and-remedies-code/title-5-governmental-liability/chapter-101-tort-claims/subchapter-b-tort-liability-of-governmental-units/section-101021-governmental-liability" TargetMode="External"/><Relationship Id="rId1132" Type="http://schemas.openxmlformats.org/officeDocument/2006/relationships/hyperlink" Target="https://www.ilga.gov/legislation/ilcs/ilcs3.asp?ActID=2431&amp;ChapterID=68" TargetMode="External"/><Relationship Id="rId1577" Type="http://schemas.openxmlformats.org/officeDocument/2006/relationships/hyperlink" Target="https://www.jacksonville.com/story/news/courts/2020/11/25/jacksonville-lawsuit-cleanshaven-rule-unfair-black-firefighters/6406374002/" TargetMode="External"/><Relationship Id="rId1784" Type="http://schemas.openxmlformats.org/officeDocument/2006/relationships/hyperlink" Target="https://public.fastcase.com/ZZhmr5v9wN%2FXOe5IsQ%2FqDwe%2Bl2bMb8hsQzBhmq%2BKFWjfsnc%2Brn1NgeRpqQFDQ7VnnNgPvPdQabSyR0vz9Y1rYYCnr8USzlwvvvJ%2BE3sgG14%3D?utm_medium=email&amp;_hsmi=226712652&amp;_hsenc=p2ANqtz-9yLx0aoJRhvv2Vy8uTc7HU3fN6k1djWwCn0_TOB1MuUA7MVtIjTAZu2eDX0z4FTqDgKj_XXmkUdS-aKvCM9lVim5p6Eg&amp;utm_content=226712652&amp;utm_source=hs_email" TargetMode="External"/><Relationship Id="rId1991" Type="http://schemas.openxmlformats.org/officeDocument/2006/relationships/hyperlink" Target="https://cases.justia.com/federal/district-courts/california/caedce/1:2025cv00789/467494/25/0.pdf?ts=1773524860" TargetMode="External"/><Relationship Id="rId2628" Type="http://schemas.openxmlformats.org/officeDocument/2006/relationships/hyperlink" Target="https://public.fastcase.com/J%2FJP6pdidelsXxEE4k%2BLMrj3s4T1D9o6YeH1P6QHRjfPwtPh7UBJw6%2FlyLsxvHVQo4RL4odtX24b6W6EIP3%2BuhoyWwf2ZSyK36dgjdjOjEg%3D" TargetMode="External"/><Relationship Id="rId2835" Type="http://schemas.openxmlformats.org/officeDocument/2006/relationships/hyperlink" Target="file:///C:/Users/lawre/AppData/Local/Temp/%7BC42BFBAC-7840-4BDD-BFF7-18D383BA9C81%7D/19%20CH%2012662%20City%20of%20Chicago%20v.%20Chicago%20Fire%20Fighters%20Union%20Final%20Order%20(12.2.20).pdf" TargetMode="External"/><Relationship Id="rId76" Type="http://schemas.openxmlformats.org/officeDocument/2006/relationships/hyperlink" Target="https://www.cnn.com/2025/05/02/us/oregon-deschutes-national-forest-eviction-hnk" TargetMode="External"/><Relationship Id="rId807" Type="http://schemas.openxmlformats.org/officeDocument/2006/relationships/hyperlink" Target="https://www.law.com/newyorklawjournal/2020/02/26/trump-administration-may-withhold-federal-grants-over-sanctuary-policies-2nd-circuit-rules/" TargetMode="External"/><Relationship Id="rId1437" Type="http://schemas.openxmlformats.org/officeDocument/2006/relationships/hyperlink" Target="https://cases.justia.com/federal/district-courts/illinois/ilndce/1:2016cv10156/332956/114/0.pdf?ts=1547636381" TargetMode="External"/><Relationship Id="rId1644" Type="http://schemas.openxmlformats.org/officeDocument/2006/relationships/hyperlink" Target="https://casetext.com/case/bruno-v-wells-armstrong" TargetMode="External"/><Relationship Id="rId1851" Type="http://schemas.openxmlformats.org/officeDocument/2006/relationships/hyperlink" Target="https://www.justice.gov/opa/pr/covid-19-servicemembers-civil-rights-message-assistant-attorney-general" TargetMode="External"/><Relationship Id="rId2902" Type="http://schemas.openxmlformats.org/officeDocument/2006/relationships/hyperlink" Target="https://cases.justia.com/texas/supreme-court/2020-18-0216-1.pdf?ts=1593180294" TargetMode="External"/><Relationship Id="rId1504" Type="http://schemas.openxmlformats.org/officeDocument/2006/relationships/hyperlink" Target="https://casetext.com/case/corbin-v-black-jack-fire-prot-dist" TargetMode="External"/><Relationship Id="rId1711" Type="http://schemas.openxmlformats.org/officeDocument/2006/relationships/hyperlink" Target="https://www.dol.gov/sites/dolgov/files/WHD/opinion-letters/FMLA/2023_05_30_02_FMLA.pdf" TargetMode="External"/><Relationship Id="rId1949" Type="http://schemas.openxmlformats.org/officeDocument/2006/relationships/hyperlink" Target="https://scholar.google.com/scholar_case?case=8759932085982657853&amp;q=Pennsylvania+%22overdose+response%22&amp;hl=en&amp;as_sdt=6,36&amp;as_ylo=2020" TargetMode="External"/><Relationship Id="rId292" Type="http://schemas.openxmlformats.org/officeDocument/2006/relationships/hyperlink" Target="http://codes.ohio.gov/orc/2921.43" TargetMode="External"/><Relationship Id="rId1809" Type="http://schemas.openxmlformats.org/officeDocument/2006/relationships/hyperlink" Target="https://supreme.justia.com/cases/federal/us/450/728/" TargetMode="External"/><Relationship Id="rId597" Type="http://schemas.openxmlformats.org/officeDocument/2006/relationships/hyperlink" Target="http://www.pacourts.us/assets/opinions/Supreme/out/opinion%20announcing%20judgment%20of%20the%20court%20%20reversedremanded%20%2010373870143091493.pdf" TargetMode="External"/><Relationship Id="rId2180" Type="http://schemas.openxmlformats.org/officeDocument/2006/relationships/hyperlink" Target="https://law.justia.com/cases/california/court-of-appeal/2022/a162508.html" TargetMode="External"/><Relationship Id="rId2278" Type="http://schemas.openxmlformats.org/officeDocument/2006/relationships/hyperlink" Target="https://public.fastcase.com/Wl%2B2t%2BeVuI35%2FN70vAMFZswpqbyXpWGBMOIhfQ%2Fu%2FM0PzW3B3UkJbasWbumeQ3Ct" TargetMode="External"/><Relationship Id="rId2485" Type="http://schemas.openxmlformats.org/officeDocument/2006/relationships/hyperlink" Target="https://nola.gov/getattachment/a5d775b2-685d-43c3-a7ff-ae60a9dcf745/Murphy,-Michael-9697-9698/" TargetMode="External"/><Relationship Id="rId152" Type="http://schemas.openxmlformats.org/officeDocument/2006/relationships/hyperlink" Target="https://cases.justia.com/louisiana/fifth-circuit-court-of-appeal/2023-23-ka-234.pdf?ts=1703704652" TargetMode="External"/><Relationship Id="rId457" Type="http://schemas.openxmlformats.org/officeDocument/2006/relationships/hyperlink" Target="https://www.osha.gov/ords/imis/establishment.inspection_detail?id=315378885" TargetMode="External"/><Relationship Id="rId1087" Type="http://schemas.openxmlformats.org/officeDocument/2006/relationships/hyperlink" Target="https://public.fastcase.com/H1P9uiW3J20SFp%2BGCG%2BxLTokB0aoklJy6U6lHfy%2FfW4XgHUeDnfzCtV2IraSxfBK?utm_medium=email&amp;_hsmi=226712652&amp;_hsenc=p2ANqtz-_gim38WUKhev0Avzaj483M_b7fed8rsJvlzMdOQbFB_Jpk5Z-" TargetMode="External"/><Relationship Id="rId1294" Type="http://schemas.openxmlformats.org/officeDocument/2006/relationships/hyperlink" Target="https://www.courts.state.md.us/data/opinions/cosa/2018/0319s17.pdf" TargetMode="External"/><Relationship Id="rId2040" Type="http://schemas.openxmlformats.org/officeDocument/2006/relationships/hyperlink" Target="https://www4.courts.ca.gov/opinions/nonpub/B332479.PDF" TargetMode="External"/><Relationship Id="rId2138" Type="http://schemas.openxmlformats.org/officeDocument/2006/relationships/hyperlink" Target="https://public.fastcase.com/ZZhmr5v9wN%2FXOe5IsQ%2FqD%2FMrsYybnhzToDs3pNIz1%2FKuVE%2FXrNjXuEwJjzIPMf50bv4pQ7cB9hbsaZ7iWrESGuHFIj%2FFdpWNLAaphAA7k6c%3D?utm_medium=email&amp;_hsmi=226712652&amp;_hsenc=p2ANqtz-_5oWIy3JVMzQhw9Nc4Op3ZwRC559261JhKrpKmwZ_i9sOC_6POwqnLW9vjaTKG4YfwH8U6J7L56i3T2Eyz1DW0ZK0ATw&amp;utm_content=226712652&amp;utm_source=hs_email" TargetMode="External"/><Relationship Id="rId2692" Type="http://schemas.openxmlformats.org/officeDocument/2006/relationships/hyperlink" Target="https://www.dmlp.org/legal-guide/california-recording-law" TargetMode="External"/><Relationship Id="rId664" Type="http://schemas.openxmlformats.org/officeDocument/2006/relationships/hyperlink" Target="https://media.cadc.uscourts.gov/opinions/docs/2025/01/23-3074-2094718.pdf" TargetMode="External"/><Relationship Id="rId871" Type="http://schemas.openxmlformats.org/officeDocument/2006/relationships/hyperlink" Target="https://casetext.com/case/whittaker-v-howard-cnty-md" TargetMode="External"/><Relationship Id="rId969" Type="http://schemas.openxmlformats.org/officeDocument/2006/relationships/hyperlink" Target="https://codes.ohio.gov/ohio-revised-code/section-4511.03" TargetMode="External"/><Relationship Id="rId1599" Type="http://schemas.openxmlformats.org/officeDocument/2006/relationships/hyperlink" Target="https://www.leagle.com/cite/142%20F.3d%201082" TargetMode="External"/><Relationship Id="rId2345" Type="http://schemas.openxmlformats.org/officeDocument/2006/relationships/hyperlink" Target="https://www.unitypoint.org/peoria/filesimages/Documents/EMS%20Documents/EMS%20Policies/PROCTOR%20Policy%20Dr.%20Huff%2032%20Patient%20Right%20of%20Refusal.pdf" TargetMode="External"/><Relationship Id="rId2552" Type="http://schemas.openxmlformats.org/officeDocument/2006/relationships/hyperlink" Target="https://www.pacourts.us/assets/opinions/Superior/out/J-A22023-23o%20-%20106151918288524284.pdf?cb=1" TargetMode="External"/><Relationship Id="rId317" Type="http://schemas.openxmlformats.org/officeDocument/2006/relationships/hyperlink" Target="https://www.supremecourt.gov/opinions/19pdf/18-5924_n6io.pdf" TargetMode="External"/><Relationship Id="rId524" Type="http://schemas.openxmlformats.org/officeDocument/2006/relationships/hyperlink" Target="http://www.ca5.uscourts.gov/opinions/unpub/22/22-30100.0.pdf" TargetMode="External"/><Relationship Id="rId731" Type="http://schemas.openxmlformats.org/officeDocument/2006/relationships/hyperlink" Target="https://www.supremecourt.gov/opinions/21pdf/21a477_1bo2.pdf" TargetMode="External"/><Relationship Id="rId1154" Type="http://schemas.openxmlformats.org/officeDocument/2006/relationships/hyperlink" Target="http://app.leg.wa.gov/RCW/default.aspx?cite=41.26.030" TargetMode="External"/><Relationship Id="rId1361" Type="http://schemas.openxmlformats.org/officeDocument/2006/relationships/hyperlink" Target="https://www.reviewjournal.com/local/sex-cover-up-at-las-vegas-fire-station-alleged-in-document/" TargetMode="External"/><Relationship Id="rId1459" Type="http://schemas.openxmlformats.org/officeDocument/2006/relationships/hyperlink" Target="http://www.5dca.org/Opinions/Opin2018/011518/5D17-1183.op.pdf" TargetMode="External"/><Relationship Id="rId2205" Type="http://schemas.openxmlformats.org/officeDocument/2006/relationships/hyperlink" Target="https://casetext.com/case/cazares-v-rand" TargetMode="External"/><Relationship Id="rId2412" Type="http://schemas.openxmlformats.org/officeDocument/2006/relationships/hyperlink" Target="https://caselaw.findlaw.com/court/us-1st-circuit/116442772.html" TargetMode="External"/><Relationship Id="rId2857" Type="http://schemas.openxmlformats.org/officeDocument/2006/relationships/hyperlink" Target="https://ethics.ohio.gov/education/newsletters/VOE_25Q3.pdf" TargetMode="External"/><Relationship Id="rId98" Type="http://schemas.openxmlformats.org/officeDocument/2006/relationships/hyperlink" Target="https://casetext.com/statute/united-states-code/title-18-crimes-and-criminal-procedure/part-i-crimes/chapter-40-importation-manufacture-distribution-and-storage-of-explosive-materials/section-844-penalties" TargetMode="External"/><Relationship Id="rId829" Type="http://schemas.openxmlformats.org/officeDocument/2006/relationships/hyperlink" Target="https://supreme.justia.com/cases/federal/us/584/17-2/" TargetMode="External"/><Relationship Id="rId1014" Type="http://schemas.openxmlformats.org/officeDocument/2006/relationships/hyperlink" Target="https://cases.justia.com/federal/appellate-courts/ca2/23-1218/23-1218-2026-04-30.pdf?ts=1777566611" TargetMode="External"/><Relationship Id="rId1221" Type="http://schemas.openxmlformats.org/officeDocument/2006/relationships/hyperlink" Target="https://public.fastcase.com/Wl%2B2t%2BeVuI35%2FN70vAMFZvIVF%2BSpwi61gSoehD%2F89NWJSNvj394DBr50iS5GXrLH" TargetMode="External"/><Relationship Id="rId1666" Type="http://schemas.openxmlformats.org/officeDocument/2006/relationships/hyperlink" Target="https://law.justia.com/cases/federal/district-courts/illinois/ilndce/1:2021cv06211/409083/23/" TargetMode="External"/><Relationship Id="rId1873" Type="http://schemas.openxmlformats.org/officeDocument/2006/relationships/hyperlink" Target="https://www.ohioauditor.gov/trainings/lgoc/2018/Fair%20Labor%20Standards%20Act%20for%20Firefighters.pdf" TargetMode="External"/><Relationship Id="rId2717" Type="http://schemas.openxmlformats.org/officeDocument/2006/relationships/hyperlink" Target="https://www.oregonlaws.org/ors/243.782" TargetMode="External"/><Relationship Id="rId1319" Type="http://schemas.openxmlformats.org/officeDocument/2006/relationships/hyperlink" Target="https://cases.justia.com/montana/supreme-court/2025-da-24-0672.pdf?ts=1759872027" TargetMode="External"/><Relationship Id="rId1526" Type="http://schemas.openxmlformats.org/officeDocument/2006/relationships/hyperlink" Target="https://casetext.com/case/roper-v-city-of-cincinnati" TargetMode="External"/><Relationship Id="rId1733" Type="http://schemas.openxmlformats.org/officeDocument/2006/relationships/hyperlink" Target="https://www.ca4.uscourts.gov/opinions/231752.P.pdf" TargetMode="External"/><Relationship Id="rId1940" Type="http://schemas.openxmlformats.org/officeDocument/2006/relationships/hyperlink" Target="https://www.cnn.com/2021/06/29/americas/mexico-cannabis-decriminalization-intl/index.html?utm_content=2021-06-29T08%3A51%3A14&amp;utm_term=link&amp;utm_source=twcnnbrk&amp;utm_medium=social" TargetMode="External"/><Relationship Id="rId25" Type="http://schemas.openxmlformats.org/officeDocument/2006/relationships/hyperlink" Target="https://cases.justia.com/north-carolina/supreme-court/2026-101pa24.pdf?ts=1779464497" TargetMode="External"/><Relationship Id="rId1800" Type="http://schemas.openxmlformats.org/officeDocument/2006/relationships/hyperlink" Target="https://public.fastcase.com/9SKwsfNqTc6OieYDhNMyM6wIjV%2FgrP6%2B9MDXlv1tVkNXweOaDt%2BbGPgPJ0OsLFYAPgMRGXfDo03cnu2EwM1JQQOl%2Bf0LG6cX5zSOobt1xqY%3D" TargetMode="External"/><Relationship Id="rId174" Type="http://schemas.openxmlformats.org/officeDocument/2006/relationships/hyperlink" Target="https://public.fastcase.com/ZZhmr5v9wN%2FXOe5IsQ%2FqD2w3LkpuglI3nASy1X40hEavWq5Hg6BXuOMAb4Q%2F0qYvRQrnGJSyHTBcFYNZH%2FPWinF4W28EQi7cn4B0%2Besltk8%3D?utm_medium=email&amp;_hsmi=226712652&amp;_hsenc=p2ANqtz--58Ne7SxJ1hr6i-F8FakyHT8npVqzhLBvm91HO15BtcmmyFpQh4X3iW-xWGAEBSVd3N4PHQcOA9a0ODtOxMPf5jkgwuw&amp;utm_content=226712652&amp;utm_source=hs_email" TargetMode="External"/><Relationship Id="rId381" Type="http://schemas.openxmlformats.org/officeDocument/2006/relationships/hyperlink" Target="https://www.supremecourt.ohio.gov/rod/docs/pdf/0/2026/2026-Ohio-1965.pdf" TargetMode="External"/><Relationship Id="rId2062" Type="http://schemas.openxmlformats.org/officeDocument/2006/relationships/hyperlink" Target="https://cases.justia.com/ohio/second-district-court-of-appeals/2024-2024-ca-3-0.pdf?ts=1725029311" TargetMode="External"/><Relationship Id="rId241" Type="http://schemas.openxmlformats.org/officeDocument/2006/relationships/hyperlink" Target="https://www.leagle.com/decision/infdco20211108549" TargetMode="External"/><Relationship Id="rId479" Type="http://schemas.openxmlformats.org/officeDocument/2006/relationships/hyperlink" Target="https://casetext.com/statute/consolidated-laws-of-new-york/chapter-volunteer-firefighters-benefit/article-2-coverage-and-benefits/section-19-exclusiveness-of-remedy" TargetMode="External"/><Relationship Id="rId686" Type="http://schemas.openxmlformats.org/officeDocument/2006/relationships/hyperlink" Target="https://casetext.com/case/quinn-v-the-bd-of-trs-of-fire-dept-of-city-of-ny-pension-fund" TargetMode="External"/><Relationship Id="rId893" Type="http://schemas.openxmlformats.org/officeDocument/2006/relationships/hyperlink" Target="https://casetext.com/case/county-of-sacramento-v-lewis" TargetMode="External"/><Relationship Id="rId2367" Type="http://schemas.openxmlformats.org/officeDocument/2006/relationships/hyperlink" Target="https://cases.justia.com/federal/district-courts/louisiana/lawdce/5:2018cv00034/160852/18/0.pdf?ts=1532079100" TargetMode="External"/><Relationship Id="rId2574" Type="http://schemas.openxmlformats.org/officeDocument/2006/relationships/hyperlink" Target="https://www.courtswv.gov/sites/default/pubfilesmnt/2023-12/22-ICA-267_MD.pdf" TargetMode="External"/><Relationship Id="rId2781" Type="http://schemas.openxmlformats.org/officeDocument/2006/relationships/hyperlink" Target="https://www.vindy.com/news/local-news/2024/03/citys-request-to-dismiss-fire-union-case-falters/" TargetMode="External"/><Relationship Id="rId339" Type="http://schemas.openxmlformats.org/officeDocument/2006/relationships/hyperlink" Target="https://law.justia.com/cases/new-york/appellate-division-second-department/2019/2017-01910.html" TargetMode="External"/><Relationship Id="rId546" Type="http://schemas.openxmlformats.org/officeDocument/2006/relationships/hyperlink" Target="https://www2.ca3.uscourts.gov/opinarch/201734p.pdf" TargetMode="External"/><Relationship Id="rId753" Type="http://schemas.openxmlformats.org/officeDocument/2006/relationships/hyperlink" Target="https://home.treasury.gov/policy-issues/financial-sanctions/specially-designated-nationals-and-blocked-persons-list-sdn-human-readable-lists" TargetMode="External"/><Relationship Id="rId1176" Type="http://schemas.openxmlformats.org/officeDocument/2006/relationships/hyperlink" Target="https://www.myarklamiss.com/news/local-news/bastrop-firefighters-fighting-for-their-pay-the-mayor-says-they-deserve-it/" TargetMode="External"/><Relationship Id="rId1383" Type="http://schemas.openxmlformats.org/officeDocument/2006/relationships/hyperlink" Target="https://public.fastcase.com/J%2FJP6pdidelsXxEE4k%2BLMiptlpkB0gZD0zq9ZoOKNJuhacmaRfGRvhQDw8Dzjp093sUgUkI4CwYYkhqoix%2B0P6g4YOgoDnx2kMnRYwj%2FWdA%3D" TargetMode="External"/><Relationship Id="rId2227" Type="http://schemas.openxmlformats.org/officeDocument/2006/relationships/hyperlink" Target="https://nmonesource.com/nmos/nmsc/en/item/517877/index.do" TargetMode="External"/><Relationship Id="rId2434" Type="http://schemas.openxmlformats.org/officeDocument/2006/relationships/hyperlink" Target="https://www.eeoc.gov/disability-discrimination-and-employment-decisions" TargetMode="External"/><Relationship Id="rId2879" Type="http://schemas.openxmlformats.org/officeDocument/2006/relationships/hyperlink" Target="https://www.dispatch.com/story/news/courts/2023/11/30/florida-supreme-court-rules-that-marsys-law-privacy-doesnt-apply-to-police-officers/71758347007/?utm_source=columbusdispatch-dailybriefing-strada&amp;utm_medium=email&amp;utm_campaign=dailybriefing-headline-stack&amp;utm_term=Content%20List%20-%20Stacking%20-%20optimized&amp;utm_content=ncod-columbus-nletter65" TargetMode="External"/><Relationship Id="rId101" Type="http://schemas.openxmlformats.org/officeDocument/2006/relationships/hyperlink" Target="https://public.fastcase.com/H1P9uiW3J20SFp%2BGCG%2BxLdyLNTd%2BNZHrq5Wsvr6dKQeFEDZwgsQrm3TmKDWH2%2B1z?utm_medium=email&amp;_hsenc=p2ANqtz--qDncIsqCSeahqkjvoaWhQNyG1yg2f5tRQPi1w8DS9NFdMbI3pDOffIzG2fuU_g9WmDOo8NJeLM9bCUVMHJsMZyGOdjg&amp;_hsmi=226712652&amp;utm_content=226712652&amp;utm_source=hs_email" TargetMode="External"/><Relationship Id="rId406" Type="http://schemas.openxmlformats.org/officeDocument/2006/relationships/hyperlink" Target="https://www.flhouse.gov/Sections/Documents/loaddoc.aspx?FileName=_s0184er.DOCX&amp;DocumentType=Bill&amp;BillNumber=184&amp;Session=2024" TargetMode="External"/><Relationship Id="rId960" Type="http://schemas.openxmlformats.org/officeDocument/2006/relationships/hyperlink" Target="https://cases.justia.com/georgia/court-of-appeals/2023-a23a1037.pdf?ts=1697652631" TargetMode="External"/><Relationship Id="rId1036" Type="http://schemas.openxmlformats.org/officeDocument/2006/relationships/hyperlink" Target="https://www.ilga.gov/legislation/BillStatus.asp?DocNum=3392&amp;GAID=17&amp;DocTypeID=HB&amp;LegId=148558&amp;SessionID=112&amp;GA=103" TargetMode="External"/><Relationship Id="rId1243" Type="http://schemas.openxmlformats.org/officeDocument/2006/relationships/hyperlink" Target="https://www.courts.ri.gov/Courts/SupremeCourt/SupremeOpinions/17-255,256,257,260.pdf" TargetMode="External"/><Relationship Id="rId1590" Type="http://schemas.openxmlformats.org/officeDocument/2006/relationships/hyperlink" Target="https://www.5dca.org/content/download/632688/7189187/file/183494_DC13_03272020_081652_i.pdf" TargetMode="External"/><Relationship Id="rId1688" Type="http://schemas.openxmlformats.org/officeDocument/2006/relationships/hyperlink" Target="https://public.fastcase.com/Wl%2B2t%2BeVuI35%2FN70vAMFZkkc03nKI8qkpSJ%2FzmzLggswfoR1RvbDETmM60pPGUhc" TargetMode="External"/><Relationship Id="rId1895" Type="http://schemas.openxmlformats.org/officeDocument/2006/relationships/hyperlink" Target="https://casetext.com/statute/montana-code/title-2-government-structure-and-administration/chapter-4-administrative-procedure-act/part-6-contested-cases/section-2-4-621-when-absent-members-render-decision-proposal-for-decision-and-opportunity-to-submit-findings-and-conclusions-modification-by-agency" TargetMode="External"/><Relationship Id="rId2641" Type="http://schemas.openxmlformats.org/officeDocument/2006/relationships/hyperlink" Target="https://ilcourtsaudio.blob.core.windows.net/antilles-resources/resources/1d563ea4-a3fa-4fb5-af89-419baa2c8f0f/Cannici%20v.%20Dept%20of%20Employment%20Security%20Board%20of%20Review,%202021%20IL%20App%20(1st)%20181562.pdf" TargetMode="External"/><Relationship Id="rId2739" Type="http://schemas.openxmlformats.org/officeDocument/2006/relationships/hyperlink" Target="http://media.ca11.uscourts.gov/opinions/unpub/files/201715398.pdf" TargetMode="External"/><Relationship Id="rId613" Type="http://schemas.openxmlformats.org/officeDocument/2006/relationships/hyperlink" Target="https://www.nytimes.com/2018/04/02/us/politics/supreme-court-rules-for-police-officer-in-excessive-force-case.html" TargetMode="External"/><Relationship Id="rId820" Type="http://schemas.openxmlformats.org/officeDocument/2006/relationships/hyperlink" Target="https://www2.ca3.uscourts.gov/opinarch/182648p.pdf" TargetMode="External"/><Relationship Id="rId918" Type="http://schemas.openxmlformats.org/officeDocument/2006/relationships/hyperlink" Target="https://www.in.gov/judiciary/opinions/pdf/10241902eft.pdf" TargetMode="External"/><Relationship Id="rId1450" Type="http://schemas.openxmlformats.org/officeDocument/2006/relationships/hyperlink" Target="https://assets.documentcloud.org/documents/5745040/Better-Balance.pdf" TargetMode="External"/><Relationship Id="rId1548" Type="http://schemas.openxmlformats.org/officeDocument/2006/relationships/hyperlink" Target="https://www.supremecourt.ohio.gov/rod/docs/pdf/0/2009/2009-ohio-2597.pdf" TargetMode="External"/><Relationship Id="rId1755" Type="http://schemas.openxmlformats.org/officeDocument/2006/relationships/hyperlink" Target="https://www.law360.com/employment-authority/articles/1701446/okla-ems-dept-shorts-workers-on-ot-former-emt-says" TargetMode="External"/><Relationship Id="rId2501" Type="http://schemas.openxmlformats.org/officeDocument/2006/relationships/hyperlink" Target="https://public.fastcase.com/Jhe1Qn%2BmJndQYQU6z%2FeNmypmOFzJk4IjV67xdVBvH10%2BbioR%2BE7hDrSDKPa8oeXy4gUzK0dNFlYVAdtPS9qapAikGtcKVY%2BDC%2Fxrd0A1wWk%3D?utm_medium=email&amp;_hsenc=p2ANqtz--Rb3GwipZHtCJJMLiUWpVHk6Q4w73GSXOI_LD5Raf1axu72BnOP1L2YEQ80fNqXbpHCp329zbZOj3hD1ZT_BRNOO8R9w&amp;_hsmi=226712652&amp;utm_content=226712652&amp;utm_source=hs_email" TargetMode="External"/><Relationship Id="rId1103" Type="http://schemas.openxmlformats.org/officeDocument/2006/relationships/hyperlink" Target="https://www.njcourts.gov/system/files/court-opinions/2023/a3333-21.pdf" TargetMode="External"/><Relationship Id="rId1310" Type="http://schemas.openxmlformats.org/officeDocument/2006/relationships/hyperlink" Target="https://public.fastcase.com/Jhe1Qn%2BmJndQYQU6z%2FeNm4EknQ9bna34cDUqwi843otGfsnh4A%2FeYA9Hr6KrteFypi4%2BJsSKfbktA3m%2FwjVXVmU7hL2EQjK1ikmyt15wjVE%3D?utm_medium=email&amp;_hsenc=p2ANqtz--0s-Gqa1uWmBF4bwmJiG-zFePE1DiZBvElWG9MDL4AExGpxO5pGHEbiE5NOgiOIpfGRDMDibK3WS6s5HJa2qaBlry6oQ&amp;_hsmi=226712652&amp;utm_content=226712652&amp;utm_source=hs_email" TargetMode="External"/><Relationship Id="rId1408" Type="http://schemas.openxmlformats.org/officeDocument/2006/relationships/hyperlink" Target="https://public.fastcase.com/9SKwsfNqTc6OieYDhNMyMx8HeCj7%2FDJBNdWBqE3NyzJHPN6vSl1mv%2F8RhqlJqRKR" TargetMode="External"/><Relationship Id="rId1962" Type="http://schemas.openxmlformats.org/officeDocument/2006/relationships/hyperlink" Target="https://www.njcourts.gov/system/files/court-opinions/2026/a_73_24.pdf" TargetMode="External"/><Relationship Id="rId2806" Type="http://schemas.openxmlformats.org/officeDocument/2006/relationships/hyperlink" Target="https://law.justia.com/cases/new-york/court-of-appeals/2022/95.html" TargetMode="External"/><Relationship Id="rId47" Type="http://schemas.openxmlformats.org/officeDocument/2006/relationships/hyperlink" Target="https://public.fastcase.com/jaEE2PXzRXmZ99jOLMt1Io7YtJZzhGRSpWTaEU5VEs33%2BTg9rUAoQurxZOT9gqkAJFaugLm9Mxx2CSeMl9vD0%2FrzAe6H5F%2F5zH2a3krjQxc%3D?utm_medium=email&amp;_hsenc=p2ANqtz--xi3xhqQTQTPjw8tThXPxla5fboNp_lyjnL-u37viXN8Zx1O-9U8osPNb7oBpn1RZ6w4oAGvXBZvBP5z9zhZ_Qvufy4w&amp;_hsmi=226712652&amp;utm_content=226712652&amp;utm_source=hs_email" TargetMode="External"/><Relationship Id="rId1615" Type="http://schemas.openxmlformats.org/officeDocument/2006/relationships/hyperlink" Target="https://cases.justia.com/federal/district-courts/ohio/ohsdce/2:2023cv02466/282351/63/0.pdf?ts=1771088328" TargetMode="External"/><Relationship Id="rId1822" Type="http://schemas.openxmlformats.org/officeDocument/2006/relationships/hyperlink" Target="https://www.dol.gov/sites/dolgov/files/WHD/legacy/files/fab_2020_7.pdf" TargetMode="External"/><Relationship Id="rId196" Type="http://schemas.openxmlformats.org/officeDocument/2006/relationships/hyperlink" Target="https://www.legislature.ohio.gov/legislation/legislation-summary?id=GA134-HB-99" TargetMode="External"/><Relationship Id="rId2084" Type="http://schemas.openxmlformats.org/officeDocument/2006/relationships/hyperlink" Target="http://www.opn.ca6.uscourts.gov/opinions.pdf/08a0140p-06.pdf" TargetMode="External"/><Relationship Id="rId2291" Type="http://schemas.openxmlformats.org/officeDocument/2006/relationships/hyperlink" Target="file:///C:/Users/lawre/AppData/Local/Temp/hb151_05_EN.pdf" TargetMode="External"/><Relationship Id="rId263" Type="http://schemas.openxmlformats.org/officeDocument/2006/relationships/hyperlink" Target="https://www.npr.org/2021/03/25/981297231/supreme-court-dips-gingerly-into-roiling-police-misconduct-waters" TargetMode="External"/><Relationship Id="rId470" Type="http://schemas.openxmlformats.org/officeDocument/2006/relationships/hyperlink" Target="https://www.pralaw.com/articles/the-supreme-court-of-new-jersey-rules-that-the-firefighters-rule-has-been-abolished" TargetMode="External"/><Relationship Id="rId2151" Type="http://schemas.openxmlformats.org/officeDocument/2006/relationships/hyperlink" Target="https://s3.amazonaws.com/jnswire/jns-media/e9/3e/12863006/unions_v_chicago_vax_ilrb_alj.pdf" TargetMode="External"/><Relationship Id="rId2389" Type="http://schemas.openxmlformats.org/officeDocument/2006/relationships/hyperlink" Target="https://cases.justia.com/federal/district-courts/maryland/mddce/1:2024cv03580/573207/56/0.pdf?ts=1777474810" TargetMode="External"/><Relationship Id="rId2596" Type="http://schemas.openxmlformats.org/officeDocument/2006/relationships/hyperlink" Target="https://www.supremecourt.gov/opinions/22pdf/22-138_43j7.pdf" TargetMode="External"/><Relationship Id="rId123" Type="http://schemas.openxmlformats.org/officeDocument/2006/relationships/hyperlink" Target="https://www.law.cornell.edu/wex/res_gestae" TargetMode="External"/><Relationship Id="rId330" Type="http://schemas.openxmlformats.org/officeDocument/2006/relationships/hyperlink" Target="https://cases.justia.com/federal/appellate-courts/ca7/18-2926/18-2926-2019-07-15.pdf?ts=1563219019" TargetMode="External"/><Relationship Id="rId568" Type="http://schemas.openxmlformats.org/officeDocument/2006/relationships/hyperlink" Target="http://codes.ohio.gov/oac/4123:1-21-04v1" TargetMode="External"/><Relationship Id="rId775" Type="http://schemas.openxmlformats.org/officeDocument/2006/relationships/hyperlink" Target="https://www.law.cornell.edu/definitions/uscode.php?width=840&amp;height=800&amp;iframe=true&amp;def_id=8-USC-2124716147-1201680062&amp;term_occur=999&amp;term_src=title:8:chapter:12:subchapter:II:part:IV:section:1229b" TargetMode="External"/><Relationship Id="rId982" Type="http://schemas.openxmlformats.org/officeDocument/2006/relationships/hyperlink" Target="https://law.justia.com/codes/west-virginia/2017/chapter-55/article-7b/section-55-7b-6/" TargetMode="External"/><Relationship Id="rId1198" Type="http://schemas.openxmlformats.org/officeDocument/2006/relationships/hyperlink" Target="https://codes.ohio.gov/orc/gp9.87" TargetMode="External"/><Relationship Id="rId2011" Type="http://schemas.openxmlformats.org/officeDocument/2006/relationships/hyperlink" Target="https://searchdro.kscourts.gov/documents/pdf/caseDecisions/d2d9aca8-0558-406d-9148-9139f4e8d305_125812.pdf" TargetMode="External"/><Relationship Id="rId2249" Type="http://schemas.openxmlformats.org/officeDocument/2006/relationships/hyperlink" Target="https://www.natlawreview.com/article/mandatory-vaccination-policy-lawsuit-update-nurses-take-shot-against-hospital-judge" TargetMode="External"/><Relationship Id="rId2456" Type="http://schemas.openxmlformats.org/officeDocument/2006/relationships/hyperlink" Target="https://casetext.com/case/commonwealth-v-purnell-10" TargetMode="External"/><Relationship Id="rId2663" Type="http://schemas.openxmlformats.org/officeDocument/2006/relationships/hyperlink" Target="https://laborlawlosangeles.com/the-city-of-south-pasadena-illegally-dismissed-a-firefighter-supreme-court-denies-review-the-south-pasadenan/" TargetMode="External"/><Relationship Id="rId2870" Type="http://schemas.openxmlformats.org/officeDocument/2006/relationships/hyperlink" Target="https://casetext.com/statute/united-states-code/title-5-government-organization-and-employees/part-i-the-agencies-generally/chapter-7-judicial-review/section-706-scope-of-review" TargetMode="External"/><Relationship Id="rId428" Type="http://schemas.openxmlformats.org/officeDocument/2006/relationships/hyperlink" Target="https://www.supremecourt.ohio.gov/rod/docs/pdf/8/2024/2024-Ohio-5317.pdf" TargetMode="External"/><Relationship Id="rId635" Type="http://schemas.openxmlformats.org/officeDocument/2006/relationships/hyperlink" Target="https://www.hstoday.us/fema-dhs-federal-pages/column-federal-courts-block-dhs-and-fema-dei-grant-conditions/" TargetMode="External"/><Relationship Id="rId842" Type="http://schemas.openxmlformats.org/officeDocument/2006/relationships/hyperlink" Target="https://supreme.justia.com/cases/federal/us/464/287/" TargetMode="External"/><Relationship Id="rId1058" Type="http://schemas.openxmlformats.org/officeDocument/2006/relationships/hyperlink" Target="https://cases.justia.com/arizona/court-of-appeals-division-two-unpublished/2025-2-ca-ic-2024-0003.pdf?ts=1738026580" TargetMode="External"/><Relationship Id="rId1265" Type="http://schemas.openxmlformats.org/officeDocument/2006/relationships/hyperlink" Target="https://www.leagle.com/decision/inohco20200205714" TargetMode="External"/><Relationship Id="rId1472" Type="http://schemas.openxmlformats.org/officeDocument/2006/relationships/hyperlink" Target="https://public.fastcase.com/Jhe1Qn%2BmJndQYQU6z%2FeNm77nYWugAlzsBoxNmmqkM3E6Q88Vkqy0VZ5SiNrQruK%2B?utm_medium=email&amp;_hsenc=p2ANqtz-9AvFND94NtmZ3W9IwgKnyu4_gZwqiYmIH5_4QpXW_NHE8WVWhb5SJK4Whyo4GFBslMpA9EnrqLvXRYy-" TargetMode="External"/><Relationship Id="rId2109" Type="http://schemas.openxmlformats.org/officeDocument/2006/relationships/hyperlink" Target="https://public.fastcase.com/H1P9uiW3J20SFp%2BGCG%2BxLWaE5rZYr2H4Ujam%2BycZ4mpAt0doHRie9oUlcl2qsPlk?utm_medium=email&amp;_hsmi=226712652&amp;_hsenc=p2ANqtz-_AW42DW2ZKsbYvGhsf40qi8tEpXVEeEydLzmuxudQnQi0lg_TvDjKAtr1z0dXm_j1xtTRfnovBA_RTcYhjFA_6sdUkCw&amp;utm_content=226712652&amp;utm_source=hs_email" TargetMode="External"/><Relationship Id="rId2316" Type="http://schemas.openxmlformats.org/officeDocument/2006/relationships/hyperlink" Target="https://public.fastcase.com/Wl%2B2t%2BeVuI35%2FN70vAMFZmo%2BcULZ%2FcXakIqGXvRrcFYkKri8LBojVsP%2FOvCVPfk0" TargetMode="External"/><Relationship Id="rId2523" Type="http://schemas.openxmlformats.org/officeDocument/2006/relationships/hyperlink" Target="https://www.wtol.com/article/news/local/toledo-fire-lieutenant-fired-investigation-social-media-post-about-charlie-kirk/512-599961fb-9233-4ebc-8628-cfa2b96c7722" TargetMode="External"/><Relationship Id="rId2730" Type="http://schemas.openxmlformats.org/officeDocument/2006/relationships/hyperlink" Target="https://www.law.com/newyorklawjournal/2019/04/29/new-lactation-room-laws-what-employers-need-to-know/" TargetMode="External"/><Relationship Id="rId702" Type="http://schemas.openxmlformats.org/officeDocument/2006/relationships/hyperlink" Target="https://www.washingtonpost.com/documents/738465b3-8221-4ba6-8a91-92171f73482b.pdf?itid=lk_interstitial_manual_10" TargetMode="External"/><Relationship Id="rId1125" Type="http://schemas.openxmlformats.org/officeDocument/2006/relationships/hyperlink" Target="https://ilcourtsaudio.blob.core.windows.net/antilles-resources/resources/aec16a44-b27a-4304-97c1-5c133043b2dd/Brucki%20v.%20Orland%20Fire%20Protection%20District,%202022%20IL%20App%20(1st)%20220288-U.pdf" TargetMode="External"/><Relationship Id="rId1332" Type="http://schemas.openxmlformats.org/officeDocument/2006/relationships/hyperlink" Target="https://cases.justia.com/delaware/superior-court/2025-n24c-08-154-ceb.pdf?ts=1741208566" TargetMode="External"/><Relationship Id="rId1777" Type="http://schemas.openxmlformats.org/officeDocument/2006/relationships/hyperlink" Target="http://www.courtswv.gov/supreme-court/docs/fall2023/22-0185-hutchison-p.pdf" TargetMode="External"/><Relationship Id="rId1984" Type="http://schemas.openxmlformats.org/officeDocument/2006/relationships/hyperlink" Target="https://public.fastcase.com/Jhe1Qn%2BmJndQYQU6z%2FeNm94x%2BjtPzHFQX2c8S%2Bx9Phdmrv4s2ioOEI%2FF1Ai%2FXC71?utm_medium=email&amp;_hsenc=p2ANqtz-9AeMkmBBV7ab-HOOGxYui1F4KaPFQMcLoSV_UpG8Q7nnWqxWkhxKerqRyhPDwCCdLiDrxj3K5C-zreoAE1nVCtmbRsSQ&amp;_hsmi=226712652&amp;utm_content=226712652&amp;utm_source=hs_email" TargetMode="External"/><Relationship Id="rId2828" Type="http://schemas.openxmlformats.org/officeDocument/2006/relationships/hyperlink" Target="https://www.vindy.com/news/local-news/2021/02/judge-rules-city-treated-fire-union-unfairly/" TargetMode="External"/><Relationship Id="rId69" Type="http://schemas.openxmlformats.org/officeDocument/2006/relationships/hyperlink" Target="https://cases.justia.com/federal/district-courts/massachusetts/madce/1:2025mc91106/281992/17/0.pdf?ts=1747471889" TargetMode="External"/><Relationship Id="rId1637" Type="http://schemas.openxmlformats.org/officeDocument/2006/relationships/hyperlink" Target="https://www.supremecourt.gov/orders/courtorders/062424zor_e18f.pdf" TargetMode="External"/><Relationship Id="rId1844" Type="http://schemas.openxmlformats.org/officeDocument/2006/relationships/hyperlink" Target="https://public.fastcase.com/Wl%2B2t%2BeVuI35%2FN70vAMFZqOCIluAWFXT7dyIbWSJtbA2tJbGDR%2F5EmjVBjMYm1QS" TargetMode="External"/><Relationship Id="rId1704" Type="http://schemas.openxmlformats.org/officeDocument/2006/relationships/hyperlink" Target="https://www.justice.gov/opa/pr/justice-department-reaches-agreement-city-and-county-denver-resolve-disability-discrimination" TargetMode="External"/><Relationship Id="rId285" Type="http://schemas.openxmlformats.org/officeDocument/2006/relationships/hyperlink" Target="http://decisions.courts.state.ny.us/ad3/Decisions/2020/530081.pdf" TargetMode="External"/><Relationship Id="rId1911" Type="http://schemas.openxmlformats.org/officeDocument/2006/relationships/hyperlink" Target="https://www.npr.org/2023/05/30/1178850879/sackler-family-purdue-pharma-immunity-lawsuits-oxycontin-opioid" TargetMode="External"/><Relationship Id="rId492" Type="http://schemas.openxmlformats.org/officeDocument/2006/relationships/hyperlink" Target="https://casetext.com/case/vann-v-city-of-san-francisco" TargetMode="External"/><Relationship Id="rId797" Type="http://schemas.openxmlformats.org/officeDocument/2006/relationships/hyperlink" Target="https://www.supremecourt.gov/opinions/19pdf/19-161_g314.pdf" TargetMode="External"/><Relationship Id="rId2173" Type="http://schemas.openxmlformats.org/officeDocument/2006/relationships/hyperlink" Target="https://www.law.cornell.edu/definitions/uscode.php?width=840&amp;height=800&amp;iframe=true&amp;def_id=42-USC-543811625-140307164&amp;term_occur=999&amp;term_src=" TargetMode="External"/><Relationship Id="rId2380" Type="http://schemas.openxmlformats.org/officeDocument/2006/relationships/hyperlink" Target="https://casetext.com/case/city-of-tucson-v-the-indus-commn-of-ariz" TargetMode="External"/><Relationship Id="rId2478" Type="http://schemas.openxmlformats.org/officeDocument/2006/relationships/hyperlink" Target="https://www.supremecourt.ohio.gov/rod/docs/pdf/10/2026/2026-Ohio-1981.pdf" TargetMode="External"/><Relationship Id="rId145" Type="http://schemas.openxmlformats.org/officeDocument/2006/relationships/hyperlink" Target="https://haderhvac.com/blog/rv-hvac-absorption-refrigeration/" TargetMode="External"/><Relationship Id="rId352" Type="http://schemas.openxmlformats.org/officeDocument/2006/relationships/hyperlink" Target="https://cases.justia.com/kentucky/supreme-court/2018-2018-sc-000097-tg.pdf?ts=1542294839" TargetMode="External"/><Relationship Id="rId1287" Type="http://schemas.openxmlformats.org/officeDocument/2006/relationships/hyperlink" Target="http://www.eeoc.gov/contact/index.cfm" TargetMode="External"/><Relationship Id="rId2033" Type="http://schemas.openxmlformats.org/officeDocument/2006/relationships/hyperlink" Target="https://law.justia.com/cases/new-york/other-courts/2025/2025-ny-slip-op-50759-u.html" TargetMode="External"/><Relationship Id="rId2240" Type="http://schemas.openxmlformats.org/officeDocument/2006/relationships/hyperlink" Target="https://public.fastcase.com/9SKwsfNqTc6OieYDhNMyMwbSkTth7KSxZerJ72xuPASz0hfrLKBLsSHZ5wSTH5hTHTRhpFz%2FSUPG8m6eckQDfkjqtfnRAdXjc9mLaHWodGM%3D" TargetMode="External"/><Relationship Id="rId2685" Type="http://schemas.openxmlformats.org/officeDocument/2006/relationships/hyperlink" Target="https://www.nbcphiladelphia.com/news/local/firefighter-fraudulently-collected-disability-pension/151491/" TargetMode="External"/><Relationship Id="rId2892" Type="http://schemas.openxmlformats.org/officeDocument/2006/relationships/hyperlink" Target="https://urldefense.com/v3/__https:/www.congress.gov/bill/117th-congress/house-bill/2936?r=5&amp;s=1__;!!Bg5easoyC-OII2vlEqY8mTBrtW-N4OJKAQ!emPJ4la1tXumEvgbQHWWkqIJXSqd8F6eECBBP8LY2twTexz4LKxtEOPGOo9tKXCW3_TJ6neddA$" TargetMode="External"/><Relationship Id="rId212" Type="http://schemas.openxmlformats.org/officeDocument/2006/relationships/hyperlink" Target="https://casetext.com/case/the-vill-of-downers-grove-v-vill-square-iii-condo-assn" TargetMode="External"/><Relationship Id="rId657" Type="http://schemas.openxmlformats.org/officeDocument/2006/relationships/hyperlink" Target="https://d3i6fh83elv35t.cloudfront.net/static/2025/05/gov.uscourts.txsd_.2000771.58.0_1.pdf" TargetMode="External"/><Relationship Id="rId864" Type="http://schemas.openxmlformats.org/officeDocument/2006/relationships/hyperlink" Target="https://cases.justia.com/federal/district-courts/indiana/inndce/3:2023cv00744/115782/36/0.pdf?ts=1705163579" TargetMode="External"/><Relationship Id="rId1494" Type="http://schemas.openxmlformats.org/officeDocument/2006/relationships/hyperlink" Target="https://www.justsecurity.org/wp-content/uploads/2025/02/National-Association-of-Diversity-Officers-in-Higher-Education-v.-Trump-feb-21-2025.pdf" TargetMode="External"/><Relationship Id="rId1799" Type="http://schemas.openxmlformats.org/officeDocument/2006/relationships/hyperlink" Target="https://www.providencejournal.com/story/news/courts/2020/10/20/central-coventry-firefighters-say-district-stiffed-them-overtime/5990213002/" TargetMode="External"/><Relationship Id="rId2100" Type="http://schemas.openxmlformats.org/officeDocument/2006/relationships/hyperlink" Target="https://www.ems1.com/ill-emts-charged-murder-patients-death/articles/2-ill-emts-charged-with-murder-appear-in-court-lMnB5h9BN09tUYGl/" TargetMode="External"/><Relationship Id="rId2338" Type="http://schemas.openxmlformats.org/officeDocument/2006/relationships/hyperlink" Target="https://cases.justia.com/federal/district-courts/illinois/ilcdce/1:2017cv01212/69571/44/0.pdf?ts=1567070402" TargetMode="External"/><Relationship Id="rId2545" Type="http://schemas.openxmlformats.org/officeDocument/2006/relationships/hyperlink" Target="https://cases.justia.com/michigan/court-of-appeals-unpublished/2025-368047.pdf?ts=1745586008" TargetMode="External"/><Relationship Id="rId2752" Type="http://schemas.openxmlformats.org/officeDocument/2006/relationships/hyperlink" Target="https://www.casemine.com/judgement/us/6a367934174bb89f9fdb2ff2" TargetMode="External"/><Relationship Id="rId517" Type="http://schemas.openxmlformats.org/officeDocument/2006/relationships/hyperlink" Target="https://law.justia.com/cases/new-york/other-courts/2022/2022-ny-slip-op-34279-u.html" TargetMode="External"/><Relationship Id="rId724" Type="http://schemas.openxmlformats.org/officeDocument/2006/relationships/hyperlink" Target="https://www.politico.com/news/2022/06/30/white-house-immigration-supreme-court-win-00043667" TargetMode="External"/><Relationship Id="rId931" Type="http://schemas.openxmlformats.org/officeDocument/2006/relationships/hyperlink" Target="https://cases.justia.com/texas/first-court-of-appeals/2025-01-24-00936-cv.pdf?ts=1762265344" TargetMode="External"/><Relationship Id="rId1147" Type="http://schemas.openxmlformats.org/officeDocument/2006/relationships/hyperlink" Target="https://casetext.com/case/dilaqua-v-city-of-philadelphia-fire-dept-workers-comp-appeal-board" TargetMode="External"/><Relationship Id="rId1354" Type="http://schemas.openxmlformats.org/officeDocument/2006/relationships/hyperlink" Target="https://casetext.com/case/lundberg-v-delta-response-team-llc" TargetMode="External"/><Relationship Id="rId1561" Type="http://schemas.openxmlformats.org/officeDocument/2006/relationships/hyperlink" Target="https://law.justia.com/cases/federal/appellate-courts/ca2/20-456/20-456-2021-06-09.html" TargetMode="External"/><Relationship Id="rId2405" Type="http://schemas.openxmlformats.org/officeDocument/2006/relationships/hyperlink" Target="https://www.vitallaw.com/news/discrimination-disability-w-d-mich-firefighter-with-ptsd-fails-to-show-firehouse-dog-was-reasonable-accommodation/eld0112d25548de2942ffb5b58765cda11301" TargetMode="External"/><Relationship Id="rId2612" Type="http://schemas.openxmlformats.org/officeDocument/2006/relationships/hyperlink" Target="https://public.fastcase.com/J%2FJP6pdidelsXxEE4k%2BLMvAA4wdVAozHclcXP6KMfdj8CYqWYkZ5IhtTDMjNxRFWt37yGVInB8Zz%2FIGBMgeG32vITwI53h9KaHKQGHtOktA%3D?utm_medium=email&amp;_hsmi=226712652&amp;_hsenc=p2ANqtz-_Mw2AEs2jMeK8CMsm-FXL9B_q1HIVWLrxWyxNhgUshAzXtvMAG3R8e40Q3eYuBvp5AUcCDxAlMrpInvyyHAC9DF5hGYw&amp;utm_content=226712652&amp;utm_source=hs_email" TargetMode="External"/><Relationship Id="rId60" Type="http://schemas.openxmlformats.org/officeDocument/2006/relationships/hyperlink" Target="https://supreme.justia.com/cases/federal/us/509/579/" TargetMode="External"/><Relationship Id="rId1007" Type="http://schemas.openxmlformats.org/officeDocument/2006/relationships/hyperlink" Target="https://caselaw.findlaw.com/mi-court-of-appeals/1890718.html" TargetMode="External"/><Relationship Id="rId1214" Type="http://schemas.openxmlformats.org/officeDocument/2006/relationships/hyperlink" Target="https://www.massmunilaw.org/wp-content/uploads/2020/12/DIANE-LAWLESS-v.-CHERYL-ESTRELLA.pdf" TargetMode="External"/><Relationship Id="rId1421" Type="http://schemas.openxmlformats.org/officeDocument/2006/relationships/hyperlink" Target="https://public.fastcase.com/Wl%2B2t%2BeVuI35%2FN70vAMFZs1o8oz3pWgS38oNkfNQDzkHmIv0WM8cJL2w%2BtvmrMCm" TargetMode="External"/><Relationship Id="rId1659" Type="http://schemas.openxmlformats.org/officeDocument/2006/relationships/hyperlink" Target="https://www.justice.gov/crt/case-document/file/1583736/download" TargetMode="External"/><Relationship Id="rId1866" Type="http://schemas.openxmlformats.org/officeDocument/2006/relationships/hyperlink" Target="https://www.dol.gov/whd/overtime/regularrate2019.htm" TargetMode="External"/><Relationship Id="rId1519" Type="http://schemas.openxmlformats.org/officeDocument/2006/relationships/hyperlink" Target="https://www.supremecourt.gov/opinions/22pdf/600us1r53_4g15.pdf" TargetMode="External"/><Relationship Id="rId1726" Type="http://schemas.openxmlformats.org/officeDocument/2006/relationships/hyperlink" Target="https://public.fastcase.com/Jhe1Qn%2BmJndQYQU6z%2FeNm2MBH8jjZypB1KxY%2B3GJWtt3pU7LQ0HG1TD%2BuEAPjcSSqkB%2F2Yca8lDVABp6qaMHSj5ZnKz4h2BUwQ71QZi85m8%3D?utm_medium=email&amp;_hsenc=p2ANqtz-_R5GvzVgy1X05e_vCvuMC9Q5e35U1J1WERhCn0fZcvatolnFVOIwTcjgpntEVG0Zn0QYI5aNrPmOIXD_9eLdzthe8Iwg&amp;_hsmi=226712652&amp;utm_content=226712652&amp;utm_source=hs_email" TargetMode="External"/><Relationship Id="rId1933" Type="http://schemas.openxmlformats.org/officeDocument/2006/relationships/hyperlink" Target="https://www.npr.org/2021/11/23/1058539458/a-jury-in-ohio-says-americas-big-pharmacy-chains-are-liable-for-the-opioid-epide" TargetMode="External"/><Relationship Id="rId18" Type="http://schemas.openxmlformats.org/officeDocument/2006/relationships/hyperlink" Target="https://doi.org/10.7945/av8d-c920" TargetMode="External"/><Relationship Id="rId2195" Type="http://schemas.openxmlformats.org/officeDocument/2006/relationships/hyperlink" Target="https://public.fastcase.com/waZtJvSA54UAurM2rmIZz2loI3SMK51lisNXjYZKph2xHHDuTcicSNaYOQdhESxu4yBG2%2FvlbYv%2BMp6LYbH6Xh9C0n%2BJCkyXjjUwyrGDKNg%3D" TargetMode="External"/><Relationship Id="rId167" Type="http://schemas.openxmlformats.org/officeDocument/2006/relationships/hyperlink" Target="https://www.law.cornell.edu/rules/fre/rule_702" TargetMode="External"/><Relationship Id="rId374" Type="http://schemas.openxmlformats.org/officeDocument/2006/relationships/hyperlink" Target="https://casetext.com/case/banske-v-city-of-calumet-city" TargetMode="External"/><Relationship Id="rId581" Type="http://schemas.openxmlformats.org/officeDocument/2006/relationships/hyperlink" Target="https://law.justia.com/cases/new-york/other-courts/2019/2019-ny-slip-op-51525-u.html" TargetMode="External"/><Relationship Id="rId2055" Type="http://schemas.openxmlformats.org/officeDocument/2006/relationships/hyperlink" Target="https://www.njcourts.gov/system/files/court-opinions/2024/a2968-22.pdf" TargetMode="External"/><Relationship Id="rId2262" Type="http://schemas.openxmlformats.org/officeDocument/2006/relationships/hyperlink" Target="https://www.supremecourt.gov/opinions/11pdf/10-1018.pdf" TargetMode="External"/><Relationship Id="rId234" Type="http://schemas.openxmlformats.org/officeDocument/2006/relationships/hyperlink" Target="https://www.mainelegislature.org/legis/statutes/17/title17sec2851.html" TargetMode="External"/><Relationship Id="rId679" Type="http://schemas.openxmlformats.org/officeDocument/2006/relationships/hyperlink" Target="https://www.supremecourt.gov/opinions/23pdf/22-842_6kg7.pdf" TargetMode="External"/><Relationship Id="rId886" Type="http://schemas.openxmlformats.org/officeDocument/2006/relationships/hyperlink" Target="https://public.fastcase.com/waZtJvSA54UAurM2rmIZz7W%2FsumOmHJRMxx6Xd%2FRMYm%2FGY4cQ9ojWggecoIy6%2FUeVcPjYVPSLOvPb0MEmsZAQF%2FZtsixbezDD9jmkmDKasM%3D" TargetMode="External"/><Relationship Id="rId2567" Type="http://schemas.openxmlformats.org/officeDocument/2006/relationships/hyperlink" Target="https://www.courts.nh.gov/sites/g/files/ehbemt471/files/documents/2024-03/20230083stone.pdf" TargetMode="External"/><Relationship Id="rId2774" Type="http://schemas.openxmlformats.org/officeDocument/2006/relationships/hyperlink" Target="https://law.justia.com/cases/new-york/appellate-division-fourth-department/2024/647-ca-23-01601.html" TargetMode="External"/><Relationship Id="rId2" Type="http://schemas.openxmlformats.org/officeDocument/2006/relationships/numbering" Target="numbering.xml"/><Relationship Id="rId441" Type="http://schemas.openxmlformats.org/officeDocument/2006/relationships/hyperlink" Target="https://www.supremecourt.ohio.gov/rod/docs/pdf/8/2024/2024-Ohio-5317.pdf" TargetMode="External"/><Relationship Id="rId539" Type="http://schemas.openxmlformats.org/officeDocument/2006/relationships/hyperlink" Target="https://public.fastcase.com/9SKwsfNqTc6OieYDhNMyM3Zf%2BPwzrkIbdAwXmhTtl8LsaOGFJIHcsZBv5iyM%2B426E1WD6poza6PbNV5FFspTPxqJQS%2BqrXpJYGMVjXOs9qA%3D" TargetMode="External"/><Relationship Id="rId746" Type="http://schemas.openxmlformats.org/officeDocument/2006/relationships/hyperlink" Target="https://www.cnn.com/2021/07/13/politics/handgun-appeals-court/index.html?utm_term=link&amp;utm_content=2021-07-13T19%3A12%3A10&amp;utm_source=twcnnbrk&amp;utm_medium=social" TargetMode="External"/><Relationship Id="rId1071" Type="http://schemas.openxmlformats.org/officeDocument/2006/relationships/hyperlink" Target="https://cases.justia.com/louisiana/fourth-circuit-court-of-appeal/2024-2024-ca-0114.pdf?ts=1727828103" TargetMode="External"/><Relationship Id="rId1169" Type="http://schemas.openxmlformats.org/officeDocument/2006/relationships/hyperlink" Target="https://www.youtube.com/watch?v=-Y6r01Pmcaw" TargetMode="External"/><Relationship Id="rId1376" Type="http://schemas.openxmlformats.org/officeDocument/2006/relationships/hyperlink" Target="https://public.fastcase.com/ZZhmr5v9wN%2FXOe5IsQ%2FqD5GEiR8JSLFSN2NHQUjL%2BLjuVtwCOTZwj5nD2zQQ%2BwtpHt7pljoilZmodoPEUPL5r9NdmF5u2B1LY%2FXPhwSo6GU%3D?utm_medium=email&amp;_hsmi=226712652&amp;_hsenc=p2ANqtz-8SXYDP1HnWQE4kbMGe0V_9TllXrxMri8_HVcmLnhw39Rwsl622P5fZw6IGKcYm90xDZflJsj-2gnz1pneYjju0n1QAHw&amp;utm_content=226712652&amp;utm_source=hs_email" TargetMode="External"/><Relationship Id="rId1583" Type="http://schemas.openxmlformats.org/officeDocument/2006/relationships/hyperlink" Target="https://law.justia.com/cases/florida/third-district-court-of-appeal/2020/3d19-1144.html" TargetMode="External"/><Relationship Id="rId2122" Type="http://schemas.openxmlformats.org/officeDocument/2006/relationships/hyperlink" Target="https://casetext.com/statute/united-states-code/title-42-the-public-health-and-welfare/chapter-7-social-security/subchapter-xi-general-provisions-peer-review-and-administrative-simplification/part-a-general-provisions/section-1320a-uniform-reporting-systems-for-health-services-facilities-and-organizations" TargetMode="External"/><Relationship Id="rId2427" Type="http://schemas.openxmlformats.org/officeDocument/2006/relationships/hyperlink" Target="https://www.lsc.ohio.gov/assets/organizations/legislative-service-commission/files/involuntary-treatment-for-mental-illness.pdf" TargetMode="External"/><Relationship Id="rId301" Type="http://schemas.openxmlformats.org/officeDocument/2006/relationships/hyperlink" Target="https://www.ca2.uscourts.gov/decisions/isysquery/2a455a3a-04be-4845-88fb-6da61a7004cf/1/doc/19-3574_opn.pdf" TargetMode="External"/><Relationship Id="rId953" Type="http://schemas.openxmlformats.org/officeDocument/2006/relationships/hyperlink" Target="https://www.supremecourt.ohio.gov/rod/docs/pdf/8/2023/2023-Ohio-4213.pdf" TargetMode="External"/><Relationship Id="rId1029" Type="http://schemas.openxmlformats.org/officeDocument/2006/relationships/hyperlink" Target="https://ecf.rid.uscourts.gov/cgi-bin/show_public_doc?2025cv0270-20" TargetMode="External"/><Relationship Id="rId1236" Type="http://schemas.openxmlformats.org/officeDocument/2006/relationships/hyperlink" Target="https://law.justia.com/cases/maryland/court-of-special-appeals/2020/2498-17.html" TargetMode="External"/><Relationship Id="rId1790" Type="http://schemas.openxmlformats.org/officeDocument/2006/relationships/hyperlink" Target="https://ecf.ksd.uscourts.gov/cgi-bin/show_public_doc?2022cv4020-41" TargetMode="External"/><Relationship Id="rId1888" Type="http://schemas.openxmlformats.org/officeDocument/2006/relationships/hyperlink" Target="https://caselaw.findlaw.com/court/al-supreme-court/117080306.html" TargetMode="External"/><Relationship Id="rId2634" Type="http://schemas.openxmlformats.org/officeDocument/2006/relationships/hyperlink" Target="https://www.tncourts.gov/sites/default/files/pryebeverlyopn.pdf" TargetMode="External"/><Relationship Id="rId2841" Type="http://schemas.openxmlformats.org/officeDocument/2006/relationships/hyperlink" Target="https://www.firehouse.com/careers-education/news/21056124/watertownofficials-wants-to-take-firefighters-union-to-new-york-supreme-court" TargetMode="External"/><Relationship Id="rId82" Type="http://schemas.openxmlformats.org/officeDocument/2006/relationships/hyperlink" Target="https://public.fastcase.com/jaEE2PXzRXmZ99jOLMt1IvQQ%2FwWODLAEJBukBPNCALgft0sHziy1G1EiNPA2la2I%2Bz7mV9PFJnpwehw24IHtnmGvfRX%2FCWFczT3vlKR%2B0P0%3D?utm_medium=email&amp;_hsenc=p2ANqtz--SWSAGzwwNdnG_VMPYwGihlDivIcGecVdTRk_nr30XIo07pFHIeVloVzlVGarTG9brlCuLB39_kFjuWt_H_cWvO7FD4A&amp;_hsmi=226712652&amp;utm_content=226712652&amp;utm_source=hs_email" TargetMode="External"/><Relationship Id="rId606" Type="http://schemas.openxmlformats.org/officeDocument/2006/relationships/hyperlink" Target="https://cases.justia.com/kentucky/court-of-appeals/2018-2016-ca-001534-mr.pdf?ts=1527861797" TargetMode="External"/><Relationship Id="rId813" Type="http://schemas.openxmlformats.org/officeDocument/2006/relationships/hyperlink" Target="https://www.foxnews.com/politics/supreme-court-green-lights-trumps-immigration-asylum-ban" TargetMode="External"/><Relationship Id="rId1443" Type="http://schemas.openxmlformats.org/officeDocument/2006/relationships/hyperlink" Target="https://law.justia.com/cases/federal/district-courts/illinois/ilndce/1:2018cv03054/351942/211/" TargetMode="External"/><Relationship Id="rId1650" Type="http://schemas.openxmlformats.org/officeDocument/2006/relationships/hyperlink" Target="https://casetext.com/case/smith-v-city-of-sanford-2" TargetMode="External"/><Relationship Id="rId1748" Type="http://schemas.openxmlformats.org/officeDocument/2006/relationships/hyperlink" Target="https://public.fastcase.com/jaEE2PXzRXmZ99jOLMt1IrF9wD4fG884AOwA%2B%2B8sYndkdlA95em2xjLqn6HHRdZo?utm_medium=email&amp;_hsenc=p2ANqtz-_k9MVaO09mpQi5ToQ_rMR2msPFl5QNhVfsnrFCoGgDXkRnW8gb34HMapH4044HXAEb1Ni6dZoKu1yFSWgbbZwBVX_IXQ&amp;_hsmi=226712652&amp;utm_content=226712652&amp;utm_source=hs_email" TargetMode="External"/><Relationship Id="rId2701" Type="http://schemas.openxmlformats.org/officeDocument/2006/relationships/hyperlink" Target="https://public.fastcase.com/Wl%2B2t%2BeVuI35%2FN70vAMFZpe9nZQy4%2Fh5OlPwYBiXwZiKHRqMJ6M13sKp4yP4%2F%2BSx" TargetMode="External"/><Relationship Id="rId1303" Type="http://schemas.openxmlformats.org/officeDocument/2006/relationships/hyperlink" Target="https://caselaw.findlaw.com/pa-commonwealth-court/1897108.html" TargetMode="External"/><Relationship Id="rId1510" Type="http://schemas.openxmlformats.org/officeDocument/2006/relationships/hyperlink" Target="https://local2507.com/wp-content/uploads/2024/09/Decision-on-Class-Action.pdf" TargetMode="External"/><Relationship Id="rId1955" Type="http://schemas.openxmlformats.org/officeDocument/2006/relationships/hyperlink" Target="https://www.law.com/thelegalintelligencer/2019/10/02/proposed-safe-injection-site-in-philadelphia-clears-legal-hurdle/" TargetMode="External"/><Relationship Id="rId1608" Type="http://schemas.openxmlformats.org/officeDocument/2006/relationships/hyperlink" Target="https://cases.justia.com/federal/district-courts/maryland/mddce/1:2024cv03580/573207/56/0.pdf?ts=1777474810" TargetMode="External"/><Relationship Id="rId1815" Type="http://schemas.openxmlformats.org/officeDocument/2006/relationships/hyperlink" Target="https://casetext.com/case/adams-v-city-of-kan-city-1" TargetMode="External"/><Relationship Id="rId189" Type="http://schemas.openxmlformats.org/officeDocument/2006/relationships/hyperlink" Target="https://law.justia.com/cases/kentucky/court-of-appeals/2023/2022-ca-0276-mr.html" TargetMode="External"/><Relationship Id="rId396" Type="http://schemas.openxmlformats.org/officeDocument/2006/relationships/hyperlink" Target="https://cases.justia.com/federal/district-courts/maryland/mddce/1:2025cv00796/578117/19/0.pdf?ts=1771692701" TargetMode="External"/><Relationship Id="rId2077" Type="http://schemas.openxmlformats.org/officeDocument/2006/relationships/hyperlink" Target="https://www.law.cornell.edu/wex/hearsay" TargetMode="External"/><Relationship Id="rId2284" Type="http://schemas.openxmlformats.org/officeDocument/2006/relationships/hyperlink" Target="https://beta.documentcloud.org/documents/20433223-covid-19-relief-bill" TargetMode="External"/><Relationship Id="rId2491" Type="http://schemas.openxmlformats.org/officeDocument/2006/relationships/hyperlink" Target="https://www.govinfo.gov/content/pkg/USCOURTS-ca11-25-11434/pdf/USCOURTS-ca11-25-11434-0.pdf" TargetMode="External"/><Relationship Id="rId256" Type="http://schemas.openxmlformats.org/officeDocument/2006/relationships/hyperlink" Target="https://www.vulture.com/article/bill-cosby-overturned-sexual-assault-conviction-explained.html" TargetMode="External"/><Relationship Id="rId463" Type="http://schemas.openxmlformats.org/officeDocument/2006/relationships/hyperlink" Target="https://cases.justia.com/kentucky/court-of-appeals/2024-2023-ca-0968-mr.pdf?ts=1724421865" TargetMode="External"/><Relationship Id="rId670" Type="http://schemas.openxmlformats.org/officeDocument/2006/relationships/hyperlink" Target="https://casetext.com/case/people-v-pacheco-286" TargetMode="External"/><Relationship Id="rId1093" Type="http://schemas.openxmlformats.org/officeDocument/2006/relationships/hyperlink" Target="https://public.fastcase.com/ZZhmr5v9wN%2FXOe5IsQ%2FqD597Cj8vEFtFKU6dv%2BnWYID0RND2DGxx0gwPm3LnKjbN?utm_medium=email&amp;_hsmi=226712652&amp;_hsenc=p2ANqtz-9VqkDv3iEaCOhGJ0e7W649YKVFgXPPT1K4rwfEfIma89pOhcAxwCchfIpHNeRMlfH4gAwQhfXkNV3ClRJYpxBL670A4g&amp;utm_content=226712652&amp;utm_source=hs_email" TargetMode="External"/><Relationship Id="rId2144" Type="http://schemas.openxmlformats.org/officeDocument/2006/relationships/hyperlink" Target="https://public.fastcase.com/ZZhmr5v9wN%2FXOe5IsQ%2FqD48qScyjnns4BvOFYThqD1VKn2oC3YL9HIinTf%2Fp30r2wBlFtUUFvRMyBphGDo8K28IC4vVctJZhhayY6V%2Bfn28%3D?utm_medium=email&amp;_hsmi=226712652&amp;_hsenc=p2ANqtz--TIjwUVFjOo5damiP3K6KiM86Ts0N1olRqZ_ArClgxTthTEvnZAd5hvf4I6P2KEFN6nH9cQVmvAvnMp9eheEIqoLW5ew&amp;utm_content=226712652&amp;utm_source=hs_email" TargetMode="External"/><Relationship Id="rId2351" Type="http://schemas.openxmlformats.org/officeDocument/2006/relationships/hyperlink" Target="https://oig.hhs.gov/fraud/docs/advisoryopinions/2019/AdvOpn19-03.pdf" TargetMode="External"/><Relationship Id="rId2589" Type="http://schemas.openxmlformats.org/officeDocument/2006/relationships/hyperlink" Target="https://supreme.justia.com/cases/federal/us/405/150/" TargetMode="External"/><Relationship Id="rId2796" Type="http://schemas.openxmlformats.org/officeDocument/2006/relationships/hyperlink" Target="https://abc13.com/prop-b-update-houston-firefighter-pay-parity-texas-supreme-court-proposition-struck-down/13057363/" TargetMode="External"/><Relationship Id="rId116" Type="http://schemas.openxmlformats.org/officeDocument/2006/relationships/hyperlink" Target="https://www.peoplefor.org/biden-judge-writes-unanimous-opinion-letting-indigent-woman-challenge-her-conviction-unfairly-based" TargetMode="External"/><Relationship Id="rId323" Type="http://schemas.openxmlformats.org/officeDocument/2006/relationships/hyperlink" Target="https://cases.justia.com/federal/appellate-courts/ca11/19-11399/19-11399-2019-12-12.pdf?ts=1576184426" TargetMode="External"/><Relationship Id="rId530" Type="http://schemas.openxmlformats.org/officeDocument/2006/relationships/hyperlink" Target="https://law.justia.com/cases/indiana/court-of-appeals/2022/21a-dn-01379.html" TargetMode="External"/><Relationship Id="rId768" Type="http://schemas.openxmlformats.org/officeDocument/2006/relationships/hyperlink" Target="https://www.law.cornell.edu/definitions/uscode.php?width=840&amp;height=800&amp;iframe=true&amp;def_id=8-USC-2032517217-1201680101&amp;term_occur=999&amp;term_src=" TargetMode="External"/><Relationship Id="rId975" Type="http://schemas.openxmlformats.org/officeDocument/2006/relationships/hyperlink" Target="https://law.justia.com/cases/texas/thirteenth-court-of-appeals/2022/13-20-00315-cv.html" TargetMode="External"/><Relationship Id="rId1160" Type="http://schemas.openxmlformats.org/officeDocument/2006/relationships/hyperlink" Target="https://www.leagle.com/decision/inohco20211007389" TargetMode="External"/><Relationship Id="rId1398" Type="http://schemas.openxmlformats.org/officeDocument/2006/relationships/hyperlink" Target="https://www.firerescue1.com/discrimination/articles/civil-service-commission-sides-with-mass-female-ff-emt-passed-over-for-promotion-OvMbsXKeZfDYHswZ/?utm_source=twitter&amp;utm_medium=social&amp;utm_campaign=dlvrit" TargetMode="External"/><Relationship Id="rId2004" Type="http://schemas.openxmlformats.org/officeDocument/2006/relationships/hyperlink" Target="https://cases.justia.com/federal/district-courts/utah/utdce/2:2025cv00111/154289/32/0.pdf?ts=1765634947" TargetMode="External"/><Relationship Id="rId2211" Type="http://schemas.openxmlformats.org/officeDocument/2006/relationships/hyperlink" Target="https://public.fastcase.com/waZtJvSA54UAurM2rmIZzwvOxdABv7XvwmmlDXNvdvn51CTV3NslG6Rw0yioxZXL%2BjJOhhNAJF%2FpIN8S52jcKAcJWCdsLYpOkU1PQ4W0%2BbA%3D" TargetMode="External"/><Relationship Id="rId2449" Type="http://schemas.openxmlformats.org/officeDocument/2006/relationships/hyperlink" Target="https://ceas.uc.edu/academics/departments/aerospace-engineering-mechanics/fire-science/news.html" TargetMode="External"/><Relationship Id="rId2656" Type="http://schemas.openxmlformats.org/officeDocument/2006/relationships/hyperlink" Target="https://www.leagle.com/decision/infdco20211006817" TargetMode="External"/><Relationship Id="rId2863" Type="http://schemas.openxmlformats.org/officeDocument/2006/relationships/hyperlink" Target="https://www.law.cornell.edu/definitions/index.php?width=840&amp;height=800&amp;iframe=true&amp;def_id=a1910d2b023f8b0308e18d82edf940f8&amp;term_occur=999&amp;term_src=Title:24:Subtitle:B:Chapter:II:Subchapter:I:Part:291:Subpart:F:291.530" TargetMode="External"/><Relationship Id="rId628" Type="http://schemas.openxmlformats.org/officeDocument/2006/relationships/hyperlink" Target="https://www.supremecourt.gov/opinions/25pdf/25a443_ba7d.pdf" TargetMode="External"/><Relationship Id="rId835" Type="http://schemas.openxmlformats.org/officeDocument/2006/relationships/hyperlink" Target="https://www.jud.ct.gov/external/supapp/Cases/AROcr/CR354/CR354.35.pdf" TargetMode="External"/><Relationship Id="rId1258" Type="http://schemas.openxmlformats.org/officeDocument/2006/relationships/hyperlink" Target="http://www.search.txcourts.gov/SearchMedia.aspx?MediaVersionID=0d5f8f8d-dca0-42cf-9f3d-0b9f0ec4a868&amp;coa=coa12&amp;DT=Opinion&amp;MediaID=3cca35a6-dea2-4898-8844-a6d0a0f59f70" TargetMode="External"/><Relationship Id="rId1465" Type="http://schemas.openxmlformats.org/officeDocument/2006/relationships/hyperlink" Target="https://cases.justia.com/federal/appellate-courts/ca4/25-1440/25-1440-2026-06-24.pdf?ts=1782325881" TargetMode="External"/><Relationship Id="rId1672" Type="http://schemas.openxmlformats.org/officeDocument/2006/relationships/hyperlink" Target="https://www.hmpgloballearningnetwork.com/site/emsworld/original-contribution/sworn-therapy-dog-supports-ohio-responders" TargetMode="External"/><Relationship Id="rId2309" Type="http://schemas.openxmlformats.org/officeDocument/2006/relationships/hyperlink" Target="https://public.fastcase.com/Wl%2B2t%2BeVuI35%2FN70vAMFZpHUgoz3hp5Nx0V5b99AFirO%2BO19k2h0p4CgWny%2Fxn0a" TargetMode="External"/><Relationship Id="rId2516" Type="http://schemas.openxmlformats.org/officeDocument/2006/relationships/hyperlink" Target="https://www.firerescue1.com/legal/l-a-county-pays-7-2m-to-family-of-firefighter-killed-in-firehouse-shooting" TargetMode="External"/><Relationship Id="rId2723" Type="http://schemas.openxmlformats.org/officeDocument/2006/relationships/hyperlink" Target="https://supreme.justia.com/cases/federal/us/391/563" TargetMode="External"/><Relationship Id="rId1020" Type="http://schemas.openxmlformats.org/officeDocument/2006/relationships/hyperlink" Target="https://www.pacourts.us/assets/opinions/Commonwealth/out/1089CD24_2-2-26.pdf?cb=1" TargetMode="External"/><Relationship Id="rId1118" Type="http://schemas.openxmlformats.org/officeDocument/2006/relationships/hyperlink" Target="https://www.fifthcircuit.org/dmzdocs/OI/PO/2023/E7D4F8B7-C22B-4814-BFD0-4E0FF0BBD0BE.pdf" TargetMode="External"/><Relationship Id="rId1325" Type="http://schemas.openxmlformats.org/officeDocument/2006/relationships/hyperlink" Target="https://www.supremecourt.gov/opinions/23pdf/22-193_q86b.pdf" TargetMode="External"/><Relationship Id="rId1532" Type="http://schemas.openxmlformats.org/officeDocument/2006/relationships/hyperlink" Target="https://public.fastcase.com/ZZhmr5v9wN%2FXOe5IsQ%2FqDz1M0c7XntbkBFAKdHDge9e%2F8CSFXEi88W%2FVfdIRS4Pi97nH6Fo0Jpcpv2L%2BsFvZPbsE0qA7KMgQlRndt4L6foA%3D?utm_medium=email&amp;_hsmi=226712652&amp;_hsenc=p2ANqtz--PxjvF13xKDxQ7J7F-ifitmDmVZpuVXf36_4emKUQzFhwmn1WPofSx1ry4m9mCDedrl6XMHnLVa4UU0oKcRVjso9raZQ&amp;utm_content=226712652&amp;utm_source=hs_email" TargetMode="External"/><Relationship Id="rId1977" Type="http://schemas.openxmlformats.org/officeDocument/2006/relationships/hyperlink" Target="https://www.nycourts.gov/reporter/current/3dseries/2026/2026_02494.shtml" TargetMode="External"/><Relationship Id="rId902" Type="http://schemas.openxmlformats.org/officeDocument/2006/relationships/hyperlink" Target="https://casetext.com/case/christopher-m-v-mineo" TargetMode="External"/><Relationship Id="rId1837" Type="http://schemas.openxmlformats.org/officeDocument/2006/relationships/hyperlink" Target="https://www.knoe.com/content/news/Bastrop-mayor-proposes-3-mill-increase-to-repay-debt-from-fireman-lawsuit-513531241.html" TargetMode="External"/><Relationship Id="rId31" Type="http://schemas.openxmlformats.org/officeDocument/2006/relationships/hyperlink" Target="https://cases.justia.com/texas/fifteenth-court-of-appeals/2026-15-24-00010-cv.pdf?ts=1772815197" TargetMode="External"/><Relationship Id="rId2099" Type="http://schemas.openxmlformats.org/officeDocument/2006/relationships/hyperlink" Target="https://www.woodtv.com/news/nexstar-media-wire/paramedics-charged-with-murder-after-patient-who-was-in-stretcher-face-down-dies/" TargetMode="External"/><Relationship Id="rId180" Type="http://schemas.openxmlformats.org/officeDocument/2006/relationships/hyperlink" Target="https://www.supremecourt.gov/opinions/22pdf/21-1326_6jfl.pdf" TargetMode="External"/><Relationship Id="rId278" Type="http://schemas.openxmlformats.org/officeDocument/2006/relationships/hyperlink" Target="http://codes.ohio.gov/orc/2921.43" TargetMode="External"/><Relationship Id="rId1904" Type="http://schemas.openxmlformats.org/officeDocument/2006/relationships/hyperlink" Target="http://www.law.cornell.edu/uscode/text/42/12114" TargetMode="External"/><Relationship Id="rId485" Type="http://schemas.openxmlformats.org/officeDocument/2006/relationships/hyperlink" Target="https://casetext.com/case/malone-v-jacobs" TargetMode="External"/><Relationship Id="rId692" Type="http://schemas.openxmlformats.org/officeDocument/2006/relationships/hyperlink" Target="https://www.cdcr.ca.gov/facility-locator/conservation-camps/" TargetMode="External"/><Relationship Id="rId2166" Type="http://schemas.openxmlformats.org/officeDocument/2006/relationships/hyperlink" Target="https://caselaw.findlaw.com/ny-supreme-court/2147274.html" TargetMode="External"/><Relationship Id="rId2373" Type="http://schemas.openxmlformats.org/officeDocument/2006/relationships/hyperlink" Target="https://cases.justia.com/michigan/court-of-appeals-unpublished/2018-335366.pdf?ts=1524229247" TargetMode="External"/><Relationship Id="rId2580" Type="http://schemas.openxmlformats.org/officeDocument/2006/relationships/hyperlink" Target="https://cases.justia.com/federal/district-courts/michigan/miedce/2:2023cv10051/366865/15/0.pdf?ts=1700584910" TargetMode="External"/><Relationship Id="rId138" Type="http://schemas.openxmlformats.org/officeDocument/2006/relationships/hyperlink" Target="https://www.supremecourt.gov/opinions/23pdf/22-982_bq7d.pdf" TargetMode="External"/><Relationship Id="rId345" Type="http://schemas.openxmlformats.org/officeDocument/2006/relationships/hyperlink" Target="https://www.washingtonpost.com/politics/courts_law/abortion-death-penalty-religion-late-night-rulings-show-new-alliances-at-supreme-court/2019/02/08/681cc252-2bb9-11e9-b011-d8500644dc98_story.html?utm_term=.6e954895539e&amp;wpisrc=nl_evening&amp;wpmm=1" TargetMode="External"/><Relationship Id="rId552" Type="http://schemas.openxmlformats.org/officeDocument/2006/relationships/hyperlink" Target="https://www.leagle.com/decision/inmico20201120334" TargetMode="External"/><Relationship Id="rId997" Type="http://schemas.openxmlformats.org/officeDocument/2006/relationships/hyperlink" Target="https://cases.justia.com/illinois/court-of-appeals-first-appellate-district/2019-1-18-0696.pdf?ts=1549320383" TargetMode="External"/><Relationship Id="rId1182" Type="http://schemas.openxmlformats.org/officeDocument/2006/relationships/hyperlink" Target="https://codes.ohio.gov/ohio-revised-code/section-2745.01" TargetMode="External"/><Relationship Id="rId2026" Type="http://schemas.openxmlformats.org/officeDocument/2006/relationships/hyperlink" Target="https://public.fastcase.com/jaEE2PXzRXmZ99jOLMt1Ii3GHq1DqUk6JcIatDazVs2MT6qOPN%2BlSHCpyD6INecs?utm_medium=email&amp;_hsenc=p2ANqtz--mlDS8haOQgu8WvAgxTOdChC-L5bDfnY4D7GnlMH_0KI2lqvAqiMoF8QlUmIn8nD4qRtsgkZAeTqUVI7tJfHdW7459rg&amp;_hsmi=226712652&amp;utm_content=226712652&amp;utm_source=hs_email" TargetMode="External"/><Relationship Id="rId2233" Type="http://schemas.openxmlformats.org/officeDocument/2006/relationships/hyperlink" Target="https://casetext.com/case/ortiz-v-renteria" TargetMode="External"/><Relationship Id="rId2440" Type="http://schemas.openxmlformats.org/officeDocument/2006/relationships/hyperlink" Target="https://www.njcourts.gov/attorneys/assets/opinions/appellate/unpublished/a3633-19.pdf" TargetMode="External"/><Relationship Id="rId2678" Type="http://schemas.openxmlformats.org/officeDocument/2006/relationships/hyperlink" Target="https://www.latimes.com/local/lanow/la-me-ln-ex-cal-fire-chief-convicted-stabbing-girlfriend-20150624-story.html" TargetMode="External"/><Relationship Id="rId2885" Type="http://schemas.openxmlformats.org/officeDocument/2006/relationships/hyperlink" Target="https://fisheldowney.com/new-changes-ohios-public-records-law-new-changes-ohios-public-records-law/" TargetMode="External"/><Relationship Id="rId205" Type="http://schemas.openxmlformats.org/officeDocument/2006/relationships/hyperlink" Target="https://public.fastcase.com/J%2FJP6pdidelsXxEE4k%2BLMrejai%2Bw5%2BeDXQox0zGA5TAAjpgBNhW%2BTu8BKpGDyiMDLNszr4O4A0HJdAcQDg8WWefj18tLbckuVQCC3%2F5jGpg%3D?utm_medium=email&amp;_hsmi=226712652&amp;_hsenc=p2ANqtz-8ZmJA9o4nlUCIURyhETyHKM8lkOE8xo-FU4HGJipx6Boh4nCnx77GsOdK5dPH9YVtR5YzBPx6JahAT-_oeRPGcO0F8pg&amp;utm_content=226712652&amp;utm_source=hs_email" TargetMode="External"/><Relationship Id="rId412" Type="http://schemas.openxmlformats.org/officeDocument/2006/relationships/hyperlink" Target="https://cases.justia.com/montana/supreme-court/2025-da-25-0100.pdf?ts=1761082851" TargetMode="External"/><Relationship Id="rId857" Type="http://schemas.openxmlformats.org/officeDocument/2006/relationships/hyperlink" Target="https://caselaw.findlaw.com/court/us-10th-circuit/116433351.html" TargetMode="External"/><Relationship Id="rId1042" Type="http://schemas.openxmlformats.org/officeDocument/2006/relationships/hyperlink" Target="https://cases.justia.com/kentucky/court-of-appeals/2025-2024-ca-0152-mr.pdf?ts=1748009113" TargetMode="External"/><Relationship Id="rId1487" Type="http://schemas.openxmlformats.org/officeDocument/2006/relationships/hyperlink" Target="https://www.ca5.uscourts.gov/opinions/unpub/24/24-60532.0.pdf" TargetMode="External"/><Relationship Id="rId1694" Type="http://schemas.openxmlformats.org/officeDocument/2006/relationships/hyperlink" Target="https://cases.justia.com/federal/appellate-courts/ca3/18-2706/18-2706-2019-08-09.pdf?ts=1565368208" TargetMode="External"/><Relationship Id="rId2300" Type="http://schemas.openxmlformats.org/officeDocument/2006/relationships/hyperlink" Target="https://www.wkbn.com/news/coronavirus/dewine-signs-law-giving-covid-19-lawsuit-immunity/" TargetMode="External"/><Relationship Id="rId2538" Type="http://schemas.openxmlformats.org/officeDocument/2006/relationships/hyperlink" Target="https://dsp.delaware.gov/2023/01/13/former-deputy-fire-chief-arrested-for-rape/" TargetMode="External"/><Relationship Id="rId2745" Type="http://schemas.openxmlformats.org/officeDocument/2006/relationships/hyperlink" Target="http://www.wpri.com/news/supreme-court-sides-with-providence-in-dispute-over-weightlifting-firefighters-disability-pension/1082484435" TargetMode="External"/><Relationship Id="rId717" Type="http://schemas.openxmlformats.org/officeDocument/2006/relationships/hyperlink" Target="mailto:departmentofhomelandsecurity@messages.dhs.gov" TargetMode="External"/><Relationship Id="rId924" Type="http://schemas.openxmlformats.org/officeDocument/2006/relationships/hyperlink" Target="https://cases.justia.com/texas/first-court-of-appeals/2026-01-25-00359-cv.pdf?ts=1774367002" TargetMode="External"/><Relationship Id="rId1347" Type="http://schemas.openxmlformats.org/officeDocument/2006/relationships/hyperlink" Target="https://coa.nmcourts.gov/wp-content/uploads/sites/43/2024/09/September-30-2024-Eric-Tafoya-v.-City-of-Espanola-No.-A-1-CA-40276.pdf" TargetMode="External"/><Relationship Id="rId1554" Type="http://schemas.openxmlformats.org/officeDocument/2006/relationships/hyperlink" Target="https://law.justia.com/cases/federal/district-courts/california/caedce/1:2018cv00824/337796/49/" TargetMode="External"/><Relationship Id="rId1761" Type="http://schemas.openxmlformats.org/officeDocument/2006/relationships/hyperlink" Target="https://public.fastcase.com/H1P9uiW3J20SFp%2BGCG%2BxLZy365%2FN0MVDalUuZRIy4n4W%2BHhfv4X1Vzo9ca%2F3mj3k?utm_medium=email&amp;_hsenc=p2ANqtz-8KCYiZyhHUOjRg0MO9pgx_C58MSGHRNzoS8NOUFD5AstP_fG6MazYJg2nKApB1QIRI0-vQrIVEAwfGYCTHYw0GOi6xfA&amp;_hsmi=226712652&amp;utm_content=226712652&amp;utm_source=hs_email" TargetMode="External"/><Relationship Id="rId1999" Type="http://schemas.openxmlformats.org/officeDocument/2006/relationships/hyperlink" Target="https://ilcourtsaudio.blob.core.windows.net/" TargetMode="External"/><Relationship Id="rId2605" Type="http://schemas.openxmlformats.org/officeDocument/2006/relationships/hyperlink" Target="https://www.tncourts.gov/sites/default/files/OpinionsPDFVersion/MOSS%20-%20Majority%20Opinion.pdf" TargetMode="External"/><Relationship Id="rId2812" Type="http://schemas.openxmlformats.org/officeDocument/2006/relationships/hyperlink" Target="https://casetext.com/case/reed-v-city-of-conway" TargetMode="External"/><Relationship Id="rId53" Type="http://schemas.openxmlformats.org/officeDocument/2006/relationships/hyperlink" Target="https://public.fastcase.com/jaEE2PXzRXmZ99jOLMt1Ips4C6WkUGp0KzACPcngYbWmPTLfIWMstLJyRryzc8Dq?utm_medium=email&amp;_hsenc=p2ANqtz-94X9-jvo7aphxCTddVbMuFo0h95bmcaFpGEwlnAd6pPwVsx4xOyg-iR7W5WKYYvAnlQWrH3LVFVTBhWCeJd3O3dSBjuA&amp;_hsmi=226712652&amp;utm_content=226712652&amp;utm_source=hs_email" TargetMode="External"/><Relationship Id="rId1207" Type="http://schemas.openxmlformats.org/officeDocument/2006/relationships/hyperlink" Target="https://law.justia.com/cases/new-york/other-courts/2020/2020-ny-slip-op-34353-u.html" TargetMode="External"/><Relationship Id="rId1414" Type="http://schemas.openxmlformats.org/officeDocument/2006/relationships/hyperlink" Target="https://scholar.google.com/scholar_case?case=10119606247499891126&amp;q=Rachel+MOSBY+v.+CITY+OF+BYRON,+GEORGIA,&amp;hl=en&amp;as_sdt=6,36" TargetMode="External"/><Relationship Id="rId1621" Type="http://schemas.openxmlformats.org/officeDocument/2006/relationships/hyperlink" Target="https://www4.courts.ca.gov/opinions/nonpub/B332558.PDF" TargetMode="External"/><Relationship Id="rId1859" Type="http://schemas.openxmlformats.org/officeDocument/2006/relationships/hyperlink" Target="http://codes.ohio.gov/orc/505.60" TargetMode="External"/><Relationship Id="rId1719" Type="http://schemas.openxmlformats.org/officeDocument/2006/relationships/hyperlink" Target="http://chicagoareafire.com/blog/tag/argonne-national-laboratory-fire-department/" TargetMode="External"/><Relationship Id="rId1926" Type="http://schemas.openxmlformats.org/officeDocument/2006/relationships/hyperlink" Target="https://k2radio.com/federal-appellate-court-upholds-former-casper-doctors-drug-conspiracy-verdict/" TargetMode="External"/><Relationship Id="rId2090" Type="http://schemas.openxmlformats.org/officeDocument/2006/relationships/hyperlink" Target="https://casetext.com/case/currie-v-aswegan-1" TargetMode="External"/><Relationship Id="rId2188" Type="http://schemas.openxmlformats.org/officeDocument/2006/relationships/hyperlink" Target="http://lcapps.co.lucas.oh.us/Courts/Appeals/DecisionsPDF/10196.pdf" TargetMode="External"/><Relationship Id="rId2395" Type="http://schemas.openxmlformats.org/officeDocument/2006/relationships/hyperlink" Target="https://public.fastcase.com/Jhe1Qn%2BmJndQYQU6z%2FeNm%2BcFVCy5tJw2gy1zfbpkLaze9U67QqLJTV5FE2cJQCoqnSyWDfbWSo3ic5o1p0zHzyDw8vgxY%2BBok5izm2ejH6U%3D?utm_medium=email&amp;_hsenc=p2ANqtz--bkYiy1pyPlPSsVe74xwULcEQroRrEa3UI3GrVMXxBGgBl78iSBqXQuZMV2NG07-VaF6HXpA1gGzG-xJKwbOenCq2wOg&amp;_hsmi=226712652&amp;utm_content=226712652&amp;utm_source=hs_email" TargetMode="External"/><Relationship Id="rId367" Type="http://schemas.openxmlformats.org/officeDocument/2006/relationships/hyperlink" Target="https://cases.justia.com/federal/district-courts/new-york/nyedce/2:2017cv03480/402865/37/0.pdf?ts=1528277681" TargetMode="External"/><Relationship Id="rId574" Type="http://schemas.openxmlformats.org/officeDocument/2006/relationships/hyperlink" Target="http://www.ca5.uscourts.gov/opinions/pub/17/17-30864-CV2.pdf" TargetMode="External"/><Relationship Id="rId2048" Type="http://schemas.openxmlformats.org/officeDocument/2006/relationships/hyperlink" Target="https://www4.courts.ca.gov/opinions/nonpub/B334048.PDF" TargetMode="External"/><Relationship Id="rId2255" Type="http://schemas.openxmlformats.org/officeDocument/2006/relationships/hyperlink" Target="http://codes.ohio.gov/oac/4765-9-01" TargetMode="External"/><Relationship Id="rId227" Type="http://schemas.openxmlformats.org/officeDocument/2006/relationships/hyperlink" Target="https://www.supremecourt.gov/opinions/21pdf/21a244_hgci.pdf" TargetMode="External"/><Relationship Id="rId781" Type="http://schemas.openxmlformats.org/officeDocument/2006/relationships/hyperlink" Target="https://www.supremecourt.gov/opinions/20pdf/19-438_j4el.pdf" TargetMode="External"/><Relationship Id="rId879" Type="http://schemas.openxmlformats.org/officeDocument/2006/relationships/hyperlink" Target="https://firstamendmentwatch.org/10th-circuit-court-of-appeals-upholds-public-right-to-record-police/" TargetMode="External"/><Relationship Id="rId2462" Type="http://schemas.openxmlformats.org/officeDocument/2006/relationships/hyperlink" Target="https://images.law.com/contrib/content/uploads/documents/399/44956/psych.pdf" TargetMode="External"/><Relationship Id="rId2767" Type="http://schemas.openxmlformats.org/officeDocument/2006/relationships/hyperlink" Target="https://www.universalhub.com/files/jpfirefighter-complaint.pdf" TargetMode="External"/><Relationship Id="rId434" Type="http://schemas.openxmlformats.org/officeDocument/2006/relationships/hyperlink" Target="https://www.firerescue1.com/firefighter-death/articles/miss-fire-lieutenant-killed-in-gas-station-robbery-jMwIEdZ3rDnt54xe/" TargetMode="External"/><Relationship Id="rId641" Type="http://schemas.openxmlformats.org/officeDocument/2006/relationships/hyperlink" Target="https://edition.cnn.com/2025/11/22/politics/judges-block-trump-cutting-grants-cities-counties-hnk" TargetMode="External"/><Relationship Id="rId739" Type="http://schemas.openxmlformats.org/officeDocument/2006/relationships/hyperlink" Target="https://www.thestate.com/news/local/crime/article253733108.html" TargetMode="External"/><Relationship Id="rId1064" Type="http://schemas.openxmlformats.org/officeDocument/2006/relationships/hyperlink" Target="https://ilcourtsaudio.blob.core.windows.net/antilles-resources/resources/19fc956b-c59f-4d15-932a-20de8f3f1feb/Mangiameli%20v.%20Illinois%20Workers%27%20Compensation%20Comm%27n,%202024%20IL%20App%20(1st)%20231397WC-U.pdf" TargetMode="External"/><Relationship Id="rId1271" Type="http://schemas.openxmlformats.org/officeDocument/2006/relationships/hyperlink" Target="https://cases.justia.com/washington/supreme-court/2019-96189-1.pdf?ts=1571325618" TargetMode="External"/><Relationship Id="rId1369" Type="http://schemas.openxmlformats.org/officeDocument/2006/relationships/hyperlink" Target="https://public.fastcase.com/ZZhmr5v9wN%2FXOe5IsQ%2FqD%2FNGb7gFooJuC7EPCkPbb8zYGJ%2BdPMtTRazA4SgxbA0Hq%2Bqtj6iK5eurCbJj4Cn6ySK1qzuHHpkHA9cN2Vx6eWo%3D?utm_medium=email&amp;_hsmi=226712652&amp;_hsenc=p2ANqtz-_M4ZQ75NqvFrlpX3gz1MCu7xTgTM0sg-yZbWDDZft-2cApXVRPMU-C3jBD2GmP4Ff9YuyLw19xTYwQuDOoCvQcSGp93w&amp;utm_content=226712652&amp;utm_source=hs_email" TargetMode="External"/><Relationship Id="rId1576" Type="http://schemas.openxmlformats.org/officeDocument/2006/relationships/hyperlink" Target="https://www.stetson.edu/law/lawreview/media/the-civil-rights-act-of-1991-and-eeoc-enforcement.pdf" TargetMode="External"/><Relationship Id="rId2115" Type="http://schemas.openxmlformats.org/officeDocument/2006/relationships/hyperlink" Target="https://www.courts.maine.gov/courts/sjc/lawcourt/2024/24me012.pdf" TargetMode="External"/><Relationship Id="rId2322" Type="http://schemas.openxmlformats.org/officeDocument/2006/relationships/hyperlink" Target="http://www.ca5.uscourts.gov/opinions/pub/19/19-10280-CV0.pdf" TargetMode="External"/><Relationship Id="rId501" Type="http://schemas.openxmlformats.org/officeDocument/2006/relationships/hyperlink" Target="https://www.supremecourt.ohio.gov/rod/docs/pdf/8/2023/2023-Ohio-3884.pdf" TargetMode="External"/><Relationship Id="rId946" Type="http://schemas.openxmlformats.org/officeDocument/2006/relationships/hyperlink" Target="https://casetext.com/case/the-city-of-houston-v-stoffer" TargetMode="External"/><Relationship Id="rId1131" Type="http://schemas.openxmlformats.org/officeDocument/2006/relationships/hyperlink" Target="https://ilcourtsaudio.blob.core.windows.net/antilles-resources/resources/eba608df-6fa9-4d1a-8a11-f48abce29596/City%20of%20Springfield%20v.%20Illinois%20Workers'%20Compensation%20Comm'n,%202022%20IL%20App%20(4th)%20210604WC-U.pdf" TargetMode="External"/><Relationship Id="rId1229" Type="http://schemas.openxmlformats.org/officeDocument/2006/relationships/hyperlink" Target="https://www.workplacefairness.org/whistleblower-retaliation-claim-OH" TargetMode="External"/><Relationship Id="rId1783" Type="http://schemas.openxmlformats.org/officeDocument/2006/relationships/hyperlink" Target="https://www.opb.org/article/2023/05/28/private-oregon-firefighting-company-fined-180000-dollars-after-us-labor-investigation/" TargetMode="External"/><Relationship Id="rId1990" Type="http://schemas.openxmlformats.org/officeDocument/2006/relationships/hyperlink" Target="https://public.fastcase.com/Jhe1Qn%2BmJndQYQU6z%2FeNm%2BJGkZOBI%2FIR3xMI1hqgTrQGqCoob0t8sJ6Oq4%2B3vNWN?utm_medium=email&amp;_hsenc=p2ANqtz-9C5O8INd3-mOP0XdLpifj0NkMcgvHJMlYVXVlVDxFjxItyF7mxImlUcaWgD0DywBt6olIyvEknUS-SxKw_pSJ1xCMABg&amp;_hsmi=226712652&amp;utm_content=226712652&amp;utm_source=hs_email" TargetMode="External"/><Relationship Id="rId2627" Type="http://schemas.openxmlformats.org/officeDocument/2006/relationships/hyperlink" Target="https://public.fastcase.com/J%2FJP6pdidelsXxEE4k%2BLMrj3s4T1D9o6YeH1P6QHRjfPwtPh7UBJw6%2FlyLsxvHVQo4RL4odtX24b6W6EIP3%2BuhoyWwf2ZSyK36dgjdjOjEg%3D" TargetMode="External"/><Relationship Id="rId2834" Type="http://schemas.openxmlformats.org/officeDocument/2006/relationships/hyperlink" Target="https://www.dailydispatch.com/StateNews/DE/2021/July/02/Wilmington.firefighters.union.wins.Chancery.Court.appeal.in.battle.over.shift.change.aspx" TargetMode="External"/><Relationship Id="rId75" Type="http://schemas.openxmlformats.org/officeDocument/2006/relationships/hyperlink" Target="https://ktvz.b-cdn.net/2025/05/TRO-ruling.pdf" TargetMode="External"/><Relationship Id="rId806" Type="http://schemas.openxmlformats.org/officeDocument/2006/relationships/hyperlink" Target="https://cdn.ca9.uscourts.gov/datastore/opinions/2020/02/28/19-15716.pdf" TargetMode="External"/><Relationship Id="rId1436" Type="http://schemas.openxmlformats.org/officeDocument/2006/relationships/hyperlink" Target="https://www.firerescue1.com/lawsuit/articles/former-kan-fire-inspector-loses-discrimination-lawsuit-7znPnJr96hoozkWc/?utm_source=FireRescue1+Member+Newsletter&amp;utm_campaign=c8726896e1-EMAIL_CAMPAIGN_2020_01_21_07_39&amp;utm_medium=email&amp;utm_term=0_758bdbeffe-c8726896e1-41607823" TargetMode="External"/><Relationship Id="rId1643" Type="http://schemas.openxmlformats.org/officeDocument/2006/relationships/hyperlink" Target="https://cases.justia.com/federal/appellate-courts/ca6/23-3459/23-3459-2024-03-18.pdf?ts=1710795630" TargetMode="External"/><Relationship Id="rId1850" Type="http://schemas.openxmlformats.org/officeDocument/2006/relationships/hyperlink" Target="https://www.law.cornell.edu/uscode/text/29/207" TargetMode="External"/><Relationship Id="rId2901" Type="http://schemas.openxmlformats.org/officeDocument/2006/relationships/hyperlink" Target="https://public.fastcase.com/Wl%2B2t%2BeVuI35%2FN70vAMFZk1fYI9cwrY3IkIgZcFpE1Hk%2FIolkI7JdZ%2BewTVypbzK" TargetMode="External"/><Relationship Id="rId1503" Type="http://schemas.openxmlformats.org/officeDocument/2006/relationships/hyperlink" Target="https://nola.gov/getattachment/e3454bbc-a629-43a1-b296-8d99f21a3e04/Dyer,-Varrick-9485/" TargetMode="External"/><Relationship Id="rId1710" Type="http://schemas.openxmlformats.org/officeDocument/2006/relationships/hyperlink" Target="https://www.dol.gov/agencies/whd/fmla" TargetMode="External"/><Relationship Id="rId1948" Type="http://schemas.openxmlformats.org/officeDocument/2006/relationships/hyperlink" Target="https://scholar.google.com/scholar_case?case=14934683326774120071&amp;q=Pennsylvania+%22overdose+response%22&amp;hl=en&amp;scisbd=2&amp;as_sdt=6,36&amp;as_ylo=2020" TargetMode="External"/><Relationship Id="rId291" Type="http://schemas.openxmlformats.org/officeDocument/2006/relationships/hyperlink" Target="https://www.hamiltoncountyohio.gov/UserFiles/Servers/Server_3788196/File/Government/Departments/Human%20Resources/Ethics%20in%20Government/HamiltonCountyEthicsBooklet.pdf" TargetMode="External"/><Relationship Id="rId1808" Type="http://schemas.openxmlformats.org/officeDocument/2006/relationships/hyperlink" Target="https://www.law.cornell.edu/uscode/text/29/216" TargetMode="External"/><Relationship Id="rId151" Type="http://schemas.openxmlformats.org/officeDocument/2006/relationships/hyperlink" Target="https://wsau.com/2022/03/02/wausau-man-sentenced-in-arson-case/" TargetMode="External"/><Relationship Id="rId389" Type="http://schemas.openxmlformats.org/officeDocument/2006/relationships/hyperlink" Target="https://www.firehero.org/fallen-firefighter/jared-c-lloyd/" TargetMode="External"/><Relationship Id="rId596" Type="http://schemas.openxmlformats.org/officeDocument/2006/relationships/hyperlink" Target="http://www.illinoiscourts.gov/R23_Orders/WorkersComp/2018/2170447WC_R23.pdf" TargetMode="External"/><Relationship Id="rId2277" Type="http://schemas.openxmlformats.org/officeDocument/2006/relationships/hyperlink" Target="https://www.thecut.com/2020/08/the-killing-of-elijah-mcclain-everything-we-know.html" TargetMode="External"/><Relationship Id="rId2484" Type="http://schemas.openxmlformats.org/officeDocument/2006/relationships/hyperlink" Target="https://nola.gov/getattachment/a5d775b2-685d-43c3-a7ff-ae60a9dcf745/Murphy,-Michael-9697-9698/" TargetMode="External"/><Relationship Id="rId2691" Type="http://schemas.openxmlformats.org/officeDocument/2006/relationships/hyperlink" Target="http://www.leginfo.ca.gov/cgi-bin/displaycode?section=pen&amp;group=00001-01000&amp;file=630-638" TargetMode="External"/><Relationship Id="rId249" Type="http://schemas.openxmlformats.org/officeDocument/2006/relationships/hyperlink" Target="https://www.usatoday.com/story/news/politics/2021/08/27/supreme-court-blocks-president-bidens-covid-19-eviction-moratorium/8243599002/" TargetMode="External"/><Relationship Id="rId456" Type="http://schemas.openxmlformats.org/officeDocument/2006/relationships/hyperlink" Target="https://www.opn.ca6.uscourts.gov/opinions.pdf/24a0367n-06.pdf" TargetMode="External"/><Relationship Id="rId663" Type="http://schemas.openxmlformats.org/officeDocument/2006/relationships/hyperlink" Target="https://www.govinfo.gov/content/pkg/USCOURTS-cofc-1_23-cv-00383/pdf/USCOURTS-cofc-1_23-cv-00383-0.pdf" TargetMode="External"/><Relationship Id="rId870" Type="http://schemas.openxmlformats.org/officeDocument/2006/relationships/hyperlink" Target="https://casetext.com/case/gross-v-fbl-fin-servs-inc-3" TargetMode="External"/><Relationship Id="rId1086" Type="http://schemas.openxmlformats.org/officeDocument/2006/relationships/hyperlink" Target="https://public.fastcase.com/H1P9uiW3J20SFp%2BGCG%2BxLadhvM%2BTk6CyYLUbfEuOSnynNWxAhyJMu40rylJQnWa9?utm_medium=email&amp;_hsmi=226712652&amp;_hsenc=p2ANqtz-_Dihe0VmJESjxgjqn36kOhagQU45bmN7CEHRIuj2470_KUhcV7wrW-Y9ruG8-Hj5g_txVmqO_R_d6e-gS-IENa_oPFKQ&amp;utm_content=226712652&amp;utm_source=hs_email" TargetMode="External"/><Relationship Id="rId1293" Type="http://schemas.openxmlformats.org/officeDocument/2006/relationships/hyperlink" Target="http://decisions.courts.state.ny.us/ad3/Decisions/2018/526165.pdf" TargetMode="External"/><Relationship Id="rId2137" Type="http://schemas.openxmlformats.org/officeDocument/2006/relationships/hyperlink" Target="https://public.fastcase.com/ZZhmr5v9wN%2FXOe5IsQ%2FqDwASFNWp2rhZooTaAZ4JTmSP%2Ba577zfXOKFdhmxj2NNxZ%2BfUfh8HTXLnmAlto%2FfEgpJtIv6O1WLjBzQZiKVSV8A%3D?utm_medium=email&amp;_hsmi=226712652&amp;_hsenc=p2ANqtz-9KUYaeGFguXeYoSZu4M54zm4xcFhouQPplq1qZXjy7nqatE34VLjsx4SN3mygo2_n2CHhg7EjDYW1VqsMoJq110-zPJg&amp;utm_content=226712652&amp;utm_source=hs_email" TargetMode="External"/><Relationship Id="rId2344" Type="http://schemas.openxmlformats.org/officeDocument/2006/relationships/hyperlink" Target="http://www.opn.ca6.uscourts.gov/opinions.pdf/19a0272n-06.pdf" TargetMode="External"/><Relationship Id="rId2551" Type="http://schemas.openxmlformats.org/officeDocument/2006/relationships/hyperlink" Target="https://cases.justia.com/michigan/court-of-appeals-unpublished/2024-368783.pdf?ts=1734703212" TargetMode="External"/><Relationship Id="rId2789" Type="http://schemas.openxmlformats.org/officeDocument/2006/relationships/hyperlink" Target="https://codes.ohio.gov/ohio-revised-code/section-124.48" TargetMode="External"/><Relationship Id="rId109" Type="http://schemas.openxmlformats.org/officeDocument/2006/relationships/hyperlink" Target="https://ilcourtsaudio.blob.core.windows.net/antilles-resources/resources/b35fd65d-f662-4e1a-abeb-4f9e1aa279eb/People%20v.%20Parke,%202024%20IL%20App%20(5th)%20220703-U.pdf" TargetMode="External"/><Relationship Id="rId316" Type="http://schemas.openxmlformats.org/officeDocument/2006/relationships/hyperlink" Target="https://scholar.google.com/scholar_case?case=11404623739922196630&amp;q=Kumho+Tire+Co.+v.+Carmichael&amp;hl=en&amp;as_sdt=6,36&amp;as_vis=1" TargetMode="External"/><Relationship Id="rId523" Type="http://schemas.openxmlformats.org/officeDocument/2006/relationships/hyperlink" Target="https://www.fireengineering.com/firefighting/el-paso-tx-firefighter-injured-while-rendering-care/" TargetMode="External"/><Relationship Id="rId968" Type="http://schemas.openxmlformats.org/officeDocument/2006/relationships/hyperlink" Target="https://www.courts.michigan.gov/4a237a/siteassets/case-documents/uploads/opinions/final/coa/20220728_c356829_27_356829.opn.pdf" TargetMode="External"/><Relationship Id="rId1153" Type="http://schemas.openxmlformats.org/officeDocument/2006/relationships/hyperlink" Target="https://law.justia.com/cases/washington/court-of-appeals-division-ii/2021/54914-0.html" TargetMode="External"/><Relationship Id="rId1598" Type="http://schemas.openxmlformats.org/officeDocument/2006/relationships/hyperlink" Target="https://www.leagle.com/cite/223%20F.3d%20749" TargetMode="External"/><Relationship Id="rId2204" Type="http://schemas.openxmlformats.org/officeDocument/2006/relationships/hyperlink" Target="https://casetext.com/case/cazares-v-rand" TargetMode="External"/><Relationship Id="rId2649" Type="http://schemas.openxmlformats.org/officeDocument/2006/relationships/hyperlink" Target="http://www.kcra.com/article/sacramento-firefighter-arrested-on-misdemeanor-sexual-battery-charge/9977725" TargetMode="External"/><Relationship Id="rId2856" Type="http://schemas.openxmlformats.org/officeDocument/2006/relationships/hyperlink" Target="https://ethics.ohio.gov/advice/opinions/2025-02.pdf" TargetMode="External"/><Relationship Id="rId97" Type="http://schemas.openxmlformats.org/officeDocument/2006/relationships/hyperlink" Target="https://casetext.com/case/jones-v-united-states-147" TargetMode="External"/><Relationship Id="rId730" Type="http://schemas.openxmlformats.org/officeDocument/2006/relationships/hyperlink" Target="https://www.supremecourt.gov/opinions/20pdf/19-1108_8n5a.pdf" TargetMode="External"/><Relationship Id="rId828" Type="http://schemas.openxmlformats.org/officeDocument/2006/relationships/hyperlink" Target="http://www.paed.uscourts.gov/documents/opinions/18D0391P.pdf" TargetMode="External"/><Relationship Id="rId1013" Type="http://schemas.openxmlformats.org/officeDocument/2006/relationships/hyperlink" Target="https://codes.ohio.gov/ohio-revised-code/section-109.578" TargetMode="External"/><Relationship Id="rId1360" Type="http://schemas.openxmlformats.org/officeDocument/2006/relationships/hyperlink" Target="https://cases.justia.com/federal/district-courts/nevada/nvdce/2:2021cv01405/151510/46/0.pdf" TargetMode="External"/><Relationship Id="rId1458" Type="http://schemas.openxmlformats.org/officeDocument/2006/relationships/hyperlink" Target="http://www.ca5.uscourts.gov/opinions/unpub/17/17-30574.0.pdf" TargetMode="External"/><Relationship Id="rId1665" Type="http://schemas.openxmlformats.org/officeDocument/2006/relationships/hyperlink" Target="https://public.fastcase.com/J%2FJP6pdidelsXxEE4k%2BLMiteJGWvZUfwvvNNihi30%2B3WDxUCsaXKSaCpKvBtAgs2vLiA9OVuPhL49GE7aECM8IIU6kbJlailTpTCbBqx2w4%3D?utm_medium=email&amp;_hsmi=226712652&amp;_hsenc=p2ANqtz---SEadQ3HE9lUqxxQW5cr7Vybxx0tHPHEXMPHfSJcPHzXu-t4fnJYchJuK4CNgA9WWUPQ6Jxn6Xff3x8kPfGcAZk9K8A&amp;utm_content=226712652&amp;utm_source=hs_email" TargetMode="External"/><Relationship Id="rId1872" Type="http://schemas.openxmlformats.org/officeDocument/2006/relationships/hyperlink" Target="https://www.dol.gov/whd/opinion/FLSA/2018/2018_01_05_16_FLSA.pdf" TargetMode="External"/><Relationship Id="rId2411" Type="http://schemas.openxmlformats.org/officeDocument/2006/relationships/hyperlink" Target="https://ilcourtsaudio.blob.core.windows.net/antilles-resources/resources/519d3cc5-abe9-4494-b624-73bca90ee228/Mayer%20v.%20%20Calumet%20Firefighters%20Pension%20Fund,%202024%20IL%20App%20(1st)%20232059-U.pdf" TargetMode="External"/><Relationship Id="rId2509" Type="http://schemas.openxmlformats.org/officeDocument/2006/relationships/hyperlink" Target="https://codes.ohio.gov/ohio-revised-code/section-117.103" TargetMode="External"/><Relationship Id="rId2716" Type="http://schemas.openxmlformats.org/officeDocument/2006/relationships/hyperlink" Target="https://www.oregonlaws.org/ors/243.650" TargetMode="External"/><Relationship Id="rId1220" Type="http://schemas.openxmlformats.org/officeDocument/2006/relationships/hyperlink" Target="https://www.ncjrs.gov/pdffiles1/Digitization/103277NCJRS.pdf" TargetMode="External"/><Relationship Id="rId1318" Type="http://schemas.openxmlformats.org/officeDocument/2006/relationships/hyperlink" Target="https://cases.justia.com/delaware/superior-court/2025-n25c-08-098-ssa.pdf?ts=1764099129" TargetMode="External"/><Relationship Id="rId1525" Type="http://schemas.openxmlformats.org/officeDocument/2006/relationships/hyperlink" Target="https://casetext.com/statute/ohio-revised-code/title-41-labor-and-industry/chapter-4113-miscellaneous-labor-provisions/section-411352-reporting-violation-of-law-by-employer-or-fellow-employee" TargetMode="External"/><Relationship Id="rId1732" Type="http://schemas.openxmlformats.org/officeDocument/2006/relationships/hyperlink" Target="https://www.cafc.uscourts.gov/opinions-orders/23-1823.OPINION.12-12-2025_2618923.pdf" TargetMode="External"/><Relationship Id="rId24" Type="http://schemas.openxmlformats.org/officeDocument/2006/relationships/hyperlink" Target="https://www.supremecourt.ohio.gov/rod/docs/pdf/0/2026/2026-Ohio-1849.pdf" TargetMode="External"/><Relationship Id="rId2299" Type="http://schemas.openxmlformats.org/officeDocument/2006/relationships/hyperlink" Target="https://codes.ohio.gov/orc/4765.49v1" TargetMode="External"/><Relationship Id="rId173" Type="http://schemas.openxmlformats.org/officeDocument/2006/relationships/hyperlink" Target="https://public.fastcase.com/ZZhmr5v9wN%2FXOe5IsQ%2FqD6Xx7tREqB5H6wemtf0NyhN8u4NUZnGSAantyLeysRAmLMoHIDaVROEStimemn37zFtbEUi2roRyzYg1DUQ2CNY%3D?utm_medium=email&amp;_hsmi=226712652&amp;_hsenc=p2ANqtz--Q_3moeDoiaeECqEOwyhE0ZXPhDkG4WMrF3I2hrcVk-DQ0PMStF7btAcv6bivJ44RNtnNn6LFTST6ermzb3easneInYg&amp;utm_content=226712652&amp;utm_source=hs_email" TargetMode="External"/><Relationship Id="rId380" Type="http://schemas.openxmlformats.org/officeDocument/2006/relationships/hyperlink" Target="file:///C:/Users/lawre/Downloads/0182139.PDF" TargetMode="External"/><Relationship Id="rId2061" Type="http://schemas.openxmlformats.org/officeDocument/2006/relationships/hyperlink" Target="https://casetext.com/case/kuhler-v-phi-health-llc" TargetMode="External"/><Relationship Id="rId240" Type="http://schemas.openxmlformats.org/officeDocument/2006/relationships/hyperlink" Target="https://law.justia.com/cases/federal/appellate-courts/ca6/13-3274/13-3274-2014-03-13.html" TargetMode="External"/><Relationship Id="rId478" Type="http://schemas.openxmlformats.org/officeDocument/2006/relationships/hyperlink" Target="https://casetext.com/case/knipper-v-drill-team-of-lindenhurst-fire-dept" TargetMode="External"/><Relationship Id="rId685" Type="http://schemas.openxmlformats.org/officeDocument/2006/relationships/hyperlink" Target="https://www.newsandsentinel.com/news/local-news/2024/03/appeals-court-ruling-vacating-capitol-rioters-sentence-could-impact-dozens-of-jan-6-cases/" TargetMode="External"/><Relationship Id="rId892" Type="http://schemas.openxmlformats.org/officeDocument/2006/relationships/hyperlink" Target="https://cdn.ca9.uscourts.gov/datastore/opinions/2021/12/17/20-35868.pdf" TargetMode="External"/><Relationship Id="rId2159" Type="http://schemas.openxmlformats.org/officeDocument/2006/relationships/hyperlink" Target="https://casetext.com/case/pierre-v-fire-dept-of-the-city-of-ny" TargetMode="External"/><Relationship Id="rId2366" Type="http://schemas.openxmlformats.org/officeDocument/2006/relationships/hyperlink" Target="https://cases.justia.com/ohio/ninth-district-court-of-appeals/2018-28746.pdf?ts=1532525904" TargetMode="External"/><Relationship Id="rId2573" Type="http://schemas.openxmlformats.org/officeDocument/2006/relationships/hyperlink" Target="https://cases.justia.com/federal/district-courts/illinois/ilndce/1:2021cv03620/405182/52/0.pdf?ts=1706027592" TargetMode="External"/><Relationship Id="rId2780" Type="http://schemas.openxmlformats.org/officeDocument/2006/relationships/hyperlink" Target="https://casetext.com/case/youngstown-profl-firefighters-iaff-local-312-v-city-of-youngstown" TargetMode="External"/><Relationship Id="rId100" Type="http://schemas.openxmlformats.org/officeDocument/2006/relationships/hyperlink" Target="https://www.tncourts.gov/sites/default/files/OpinionsPDFVersion/Majority%20Opinion%20-%20M2023-01176-CCA-R3-CD.pdf" TargetMode="External"/><Relationship Id="rId338" Type="http://schemas.openxmlformats.org/officeDocument/2006/relationships/hyperlink" Target="https://cases.justia.com/texas/second-court-of-appeals/2019-02-18-00333-cr.pdf?ts=1558106104" TargetMode="External"/><Relationship Id="rId545" Type="http://schemas.openxmlformats.org/officeDocument/2006/relationships/hyperlink" Target="https://www.firehouse.com/operations-training/article/21112973/fire-law-should-firefighters-be-armed" TargetMode="External"/><Relationship Id="rId752" Type="http://schemas.openxmlformats.org/officeDocument/2006/relationships/hyperlink" Target="https://www.supremecourt.gov/opinions/20pdf/20-297_4g25.pdf" TargetMode="External"/><Relationship Id="rId1175" Type="http://schemas.openxmlformats.org/officeDocument/2006/relationships/hyperlink" Target="https://www.knoe.com/content/news/Bastrop-ordered-to-pay-more-than-16-million-to-firemen-after-lawsuit-509570521.html" TargetMode="External"/><Relationship Id="rId1382" Type="http://schemas.openxmlformats.org/officeDocument/2006/relationships/hyperlink" Target="https://casetext.com/case/merrill-v-lane-fire-auth-1" TargetMode="External"/><Relationship Id="rId2019" Type="http://schemas.openxmlformats.org/officeDocument/2006/relationships/hyperlink" Target="https://cases.justia.com/alabama/supreme-court/2025-sc-2025-0055.pdf?ts=1756474207" TargetMode="External"/><Relationship Id="rId2226" Type="http://schemas.openxmlformats.org/officeDocument/2006/relationships/hyperlink" Target="https://nmonesource.com/nmos/nmsa/en/item/4422/index.do" TargetMode="External"/><Relationship Id="rId2433" Type="http://schemas.openxmlformats.org/officeDocument/2006/relationships/hyperlink" Target="https://storage.courtlistener.com/recap/gov.uscourts.flmd.392068/gov.uscourts.flmd.392068.43.0.pdf" TargetMode="External"/><Relationship Id="rId2640" Type="http://schemas.openxmlformats.org/officeDocument/2006/relationships/hyperlink" Target="https://casetext.com/case/imhof-v-del-bd-of-med-licensure-discipline" TargetMode="External"/><Relationship Id="rId2878" Type="http://schemas.openxmlformats.org/officeDocument/2006/relationships/hyperlink" Target="https://supremecourt.flcourts.gov/content/download/1172655/opinion/Opinion_SC2021-0651.pdf" TargetMode="External"/><Relationship Id="rId405" Type="http://schemas.openxmlformats.org/officeDocument/2006/relationships/hyperlink" Target="https://www.flhouse.gov/Sections/Bills/billsdetail.aspx?BillId=78745" TargetMode="External"/><Relationship Id="rId612" Type="http://schemas.openxmlformats.org/officeDocument/2006/relationships/hyperlink" Target="https://d.docs.live.net/bd9b2eaf6053242e/AppData/Roaming/Microsoft/AppData/Local/Microsoft/Windows/INetCache/IE/CTCRXJ99/17-467_bqm1.pdf" TargetMode="External"/><Relationship Id="rId1035" Type="http://schemas.openxmlformats.org/officeDocument/2006/relationships/hyperlink" Target="https://ilcourtsaudio.blob.core.windows.net/antilles-resources/resources/b97cd9d5-bd7a-4b80-8ae7-ba3200915f21/Village%20of%20Schaumburg%20v.%20VoS%20Firefighters%E2%80%99%20Pension%20Fund%202025%20IL%20App%20(1st)%20241764.pdf" TargetMode="External"/><Relationship Id="rId1242" Type="http://schemas.openxmlformats.org/officeDocument/2006/relationships/hyperlink" Target="http://www.nycourts.gov/courts/AD2/Handdowns/2020/Decisions/D63333.pdf" TargetMode="External"/><Relationship Id="rId1687" Type="http://schemas.openxmlformats.org/officeDocument/2006/relationships/hyperlink" Target="https://cases.justia.com/new-york/other-courts/2020-2020-ny-slip-op-31890-u.pdf?ts=1592946781" TargetMode="External"/><Relationship Id="rId1894" Type="http://schemas.openxmlformats.org/officeDocument/2006/relationships/hyperlink" Target="https://casetext.com/statute/montana-code/title-39-labor/chapter-31-collective-bargaining-for-public-employees/part-4-unfair-labor-practices/section-39-31-406-hearing-on-complaint-findings-order" TargetMode="External"/><Relationship Id="rId2500" Type="http://schemas.openxmlformats.org/officeDocument/2006/relationships/hyperlink" Target="https://www.youtube.com/watch?v=RmdIuKRFVuU" TargetMode="External"/><Relationship Id="rId2738" Type="http://schemas.openxmlformats.org/officeDocument/2006/relationships/hyperlink" Target="https://cases.justia.com/federal/appellate-courts/ca5/17-40754/17-40754-2018-08-31.pdf?ts=1535736678" TargetMode="External"/><Relationship Id="rId917" Type="http://schemas.openxmlformats.org/officeDocument/2006/relationships/hyperlink" Target="https://public.fastcase.com/Wl%2B2t%2BeVuI35%2FN70vAMFZn8FExk2ons8UFiGzSPZ6Ig%2B2pF54RtCKp9IHiewQM23" TargetMode="External"/><Relationship Id="rId1102" Type="http://schemas.openxmlformats.org/officeDocument/2006/relationships/hyperlink" Target="https://law.justia.com/cases/pennsylvania/commonwealth-court/2023/1040-c-d-2021.html" TargetMode="External"/><Relationship Id="rId1547" Type="http://schemas.openxmlformats.org/officeDocument/2006/relationships/hyperlink" Target="https://www.masslive.com/opinion/2018/05/time_is_now_to_approve_contrac.html" TargetMode="External"/><Relationship Id="rId1754" Type="http://schemas.openxmlformats.org/officeDocument/2006/relationships/hyperlink" Target="https://cases.justia.com/federal/district-courts/oklahoma/okedce/6:2023cv00241/34830/33/0.pdf?ts=1732294058" TargetMode="External"/><Relationship Id="rId1961" Type="http://schemas.openxmlformats.org/officeDocument/2006/relationships/hyperlink" Target="https://www.courts.state.md.us/sites/default/files/unreported-opinions/2605s16.pdf" TargetMode="External"/><Relationship Id="rId2805" Type="http://schemas.openxmlformats.org/officeDocument/2006/relationships/hyperlink" Target="https://law.justia.com/cases/new-york/court-of-appeals/2022/95.html" TargetMode="External"/><Relationship Id="rId46" Type="http://schemas.openxmlformats.org/officeDocument/2006/relationships/hyperlink" Target="https://cases.justia.com/pennsylvania/supreme-court/2025-15-wap-2024-0.pdf?ts=1763559882" TargetMode="External"/><Relationship Id="rId1407" Type="http://schemas.openxmlformats.org/officeDocument/2006/relationships/hyperlink" Target="https://www.wwlp.com/news/local-news/hampden-county/termination-of-3-westfield-firefighters-vacated-commission-orders-investigation-of-chief/" TargetMode="External"/><Relationship Id="rId1614" Type="http://schemas.openxmlformats.org/officeDocument/2006/relationships/hyperlink" Target="https://www.eeoc.gov/laws/guidance/ada-questions-and-answers" TargetMode="External"/><Relationship Id="rId1821" Type="http://schemas.openxmlformats.org/officeDocument/2006/relationships/hyperlink" Target="https://law.justia.com/cases/federal/district-courts/new-york/nysdce/1:2019cv05773/517969/98/" TargetMode="External"/><Relationship Id="rId195" Type="http://schemas.openxmlformats.org/officeDocument/2006/relationships/hyperlink" Target="https://news.wosu.org/politics-government/2022-06-13/ohio-governor-signs-bill-allowing-armed-school-employees" TargetMode="External"/><Relationship Id="rId1919" Type="http://schemas.openxmlformats.org/officeDocument/2006/relationships/hyperlink" Target="https://www.jud.ct.gov/external/supapp/Cases/AROap/AP216/216AP25.pdf" TargetMode="External"/><Relationship Id="rId2083" Type="http://schemas.openxmlformats.org/officeDocument/2006/relationships/hyperlink" Target="https://www.youtube.com/watch?v=o3-MrFOLXFs" TargetMode="External"/><Relationship Id="rId2290" Type="http://schemas.openxmlformats.org/officeDocument/2006/relationships/hyperlink" Target="https://www.exploregeorgia.org/city/sapelo-island" TargetMode="External"/><Relationship Id="rId2388" Type="http://schemas.openxmlformats.org/officeDocument/2006/relationships/hyperlink" Target="https://cases.justia.com/federal/district-courts/kentucky/kyedce/5:2024cv00129/104855/29/0.pdf?ts=1778093974" TargetMode="External"/><Relationship Id="rId2595" Type="http://schemas.openxmlformats.org/officeDocument/2006/relationships/hyperlink" Target="https://caselaw.findlaw.com/court/us-7th-circuit/2204869.html" TargetMode="External"/><Relationship Id="rId262" Type="http://schemas.openxmlformats.org/officeDocument/2006/relationships/hyperlink" Target="https://www.supremecourt.gov/opinions/20pdf/19-292_21p3.pdf" TargetMode="External"/><Relationship Id="rId567" Type="http://schemas.openxmlformats.org/officeDocument/2006/relationships/hyperlink" Target="https://www.courtlistener.com/pdf/2020/02/11/state_ex_rel._madison_fire_dist._v._indus._comm..pdf" TargetMode="External"/><Relationship Id="rId1197" Type="http://schemas.openxmlformats.org/officeDocument/2006/relationships/hyperlink" Target="http://codes.ohio.gov/orc/2744.07" TargetMode="External"/><Relationship Id="rId2150" Type="http://schemas.openxmlformats.org/officeDocument/2006/relationships/hyperlink" Target="https://law.justia.com/cases/kentucky/supreme-court/2023/2021-sc-0479-mr.html" TargetMode="External"/><Relationship Id="rId2248" Type="http://schemas.openxmlformats.org/officeDocument/2006/relationships/hyperlink" Target="https://www.documentcloud.org/documents/20860669-houston-methodist-lawsuit-order-of-dismissal" TargetMode="External"/><Relationship Id="rId122" Type="http://schemas.openxmlformats.org/officeDocument/2006/relationships/hyperlink" Target="https://cases.justia.com/texas/fourteenth-court-of-appeals/2024-14-23-00355-cr.pdf?ts=1724329963" TargetMode="External"/><Relationship Id="rId774" Type="http://schemas.openxmlformats.org/officeDocument/2006/relationships/hyperlink" Target="https://www.law.cornell.edu/definitions/uscode.php?width=840&amp;height=800&amp;iframe=true&amp;def_id=8-USC-92903111-1485256781&amp;term_occur=999&amp;term_src=" TargetMode="External"/><Relationship Id="rId981" Type="http://schemas.openxmlformats.org/officeDocument/2006/relationships/hyperlink" Target="https://www.zanesvilletimesrecorder.com/story/news/local/2016/12/17/two-dead-after-ambulance-rollover/95557626/" TargetMode="External"/><Relationship Id="rId1057" Type="http://schemas.openxmlformats.org/officeDocument/2006/relationships/hyperlink" Target="https://cases.justia.com/missouri/court-of-appeals/2025-wd87111.pdf?ts=1739982610" TargetMode="External"/><Relationship Id="rId2010" Type="http://schemas.openxmlformats.org/officeDocument/2006/relationships/hyperlink" Target="https://www.pacourts.us/assets/opinions/Superior/out/J-A19045-25m%20-%20106549181332513446.pdf?cb=1" TargetMode="External"/><Relationship Id="rId2455" Type="http://schemas.openxmlformats.org/officeDocument/2006/relationships/hyperlink" Target="https://search-prod.lis.state.oh.us/solarapi/v1/general_assembly_133/bills/hb308/EN/06?format=pdf" TargetMode="External"/><Relationship Id="rId2662" Type="http://schemas.openxmlformats.org/officeDocument/2006/relationships/hyperlink" Target="https://appellatecases.courtinfo.ca.gov/search/case/disposition.cfm?dist=0&amp;doc_id=2345572&amp;doc_no=S268086&amp;request_token=NiIwLSEmTkw5W1BRSSItTENJQEg0UDxTJSBeRzJSUCAgCg%3D%3D" TargetMode="External"/><Relationship Id="rId427" Type="http://schemas.openxmlformats.org/officeDocument/2006/relationships/hyperlink" Target="https://law.justia.com/cases/new-york/appellate-division-second-department/2025/2023-00001.html" TargetMode="External"/><Relationship Id="rId634" Type="http://schemas.openxmlformats.org/officeDocument/2006/relationships/hyperlink" Target="https://www.hstoday.us/us-national-guard/column-supreme-court-blocks-national-guard-deployment-to-chicago-restricts-presidential-power-under-title-10/" TargetMode="External"/><Relationship Id="rId841" Type="http://schemas.openxmlformats.org/officeDocument/2006/relationships/hyperlink" Target="https://public.fastcase.com/jaEE2PXzRXmZ99jOLMt1IjaUc7vARjVQ5RdI8he5wvr8CafQJWJ892rNp3h%2B5maD?utm_medium=email&amp;_hsenc=p2ANqtz-9yeYIX9OvUysaWxw5S4NvX23y7n2bM1DKt1TGid5472BDGnDkJHyEbdkJMIqnakyd6KQCi4nGEAs4FOkTAkAKzxnAO3A&amp;_hsmi=226712652&amp;utm_content=226712652&amp;utm_source=hs_email" TargetMode="External"/><Relationship Id="rId1264" Type="http://schemas.openxmlformats.org/officeDocument/2006/relationships/hyperlink" Target="https://public.fastcase.com/Wl%2B2t%2BeVuI35%2FN70vAMFZnbY8dI3hkArUDoxTqO4WI%2Fa6TeM7CmZuz1%2Ftkv0oKJ0" TargetMode="External"/><Relationship Id="rId1471" Type="http://schemas.openxmlformats.org/officeDocument/2006/relationships/hyperlink" Target="https://cases.justia.com/federal/district-courts/ohio/ohndce/5:2025cv00885/316724/27/0.pdf?ts=1767103886" TargetMode="External"/><Relationship Id="rId1569" Type="http://schemas.openxmlformats.org/officeDocument/2006/relationships/hyperlink" Target="https://www.charlotteobserver.com/sports/nascar-auto-racing/article241998186.html" TargetMode="External"/><Relationship Id="rId2108" Type="http://schemas.openxmlformats.org/officeDocument/2006/relationships/hyperlink" Target="https://public.fastcase.com/" TargetMode="External"/><Relationship Id="rId2315" Type="http://schemas.openxmlformats.org/officeDocument/2006/relationships/hyperlink" Target="https://courts.illinois.gov/R23_Orders/AppellateCourt/2020/1stDistrict/1172189_R23.pdf" TargetMode="External"/><Relationship Id="rId2522" Type="http://schemas.openxmlformats.org/officeDocument/2006/relationships/hyperlink" Target="https://cases.justia.com/federal/appellate-courts/ca8/23-3398/23-3398-2025-08-13.pdf?ts=1755099027" TargetMode="External"/><Relationship Id="rId701" Type="http://schemas.openxmlformats.org/officeDocument/2006/relationships/hyperlink" Target="https://ago.mo.gov/docs/default-source/press-releases/missouri-v-biden-ruling.pdf" TargetMode="External"/><Relationship Id="rId939" Type="http://schemas.openxmlformats.org/officeDocument/2006/relationships/hyperlink" Target="https://cases.justia.com/north-carolina/court-of-appeals/2025-24-790.pdf?ts=1744808209" TargetMode="External"/><Relationship Id="rId1124" Type="http://schemas.openxmlformats.org/officeDocument/2006/relationships/hyperlink" Target="https://law.justia.com/cases/south-carolina/court-of-appeals/2022/2022-up-437.html" TargetMode="External"/><Relationship Id="rId1331" Type="http://schemas.openxmlformats.org/officeDocument/2006/relationships/hyperlink" Target="https://public.fastcase.com/jaEE2PXzRXmZ99jOLMt1IsID3yHeWup657c7MnfFCGnetXQu%2F2QtQOpoVmwfdEc%2F?utm_medium=email&amp;_hsenc=p2ANqtz-_zTSxdS0F5WCwBxFxJfAdL2TYRGfHTDF8aVNcZ9gK5T6kDk6rrKhGST-fn4w1vDtBgvaoCFHlAWmUNSPCbepcJBy8zVw&amp;_hsmi=226712652&amp;utm_content=226712652&amp;utm_source=hs_email" TargetMode="External"/><Relationship Id="rId1776" Type="http://schemas.openxmlformats.org/officeDocument/2006/relationships/hyperlink" Target="https://cdn.ca9.uscourts.gov/datastore/opinions/2023/11/30/22-55663.pdf" TargetMode="External"/><Relationship Id="rId1983" Type="http://schemas.openxmlformats.org/officeDocument/2006/relationships/hyperlink" Target="https://public.fastcase.com/Jhe1Qn%2BmJndQYQU6z%2FeNm2IRLtoYkrU6PXL9o8jwzst%2FNdrzc21hLfx%2B7rIFE%2Fjg?utm_medium=email&amp;_hsenc=p2ANqtz--U5QylLiDrvLvgZPxLp1UD1XwB_7biW9lkq8qHdnYocPTAWXoAY4eWtL30hGAHlHHG6f150Lk3QwJZsSzIIPSSPKfBlQ&amp;_hsmi=226712652&amp;utm_content=226712652&amp;utm_source=hs_email" TargetMode="External"/><Relationship Id="rId2827" Type="http://schemas.openxmlformats.org/officeDocument/2006/relationships/hyperlink" Target="https://www.supremecourt.ohio.gov/rod/docs/pdf/7/2021/2021-Ohio-4552.pdf" TargetMode="External"/><Relationship Id="rId68" Type="http://schemas.openxmlformats.org/officeDocument/2006/relationships/hyperlink" Target="https://www.supremecourt.ohio.gov/rod/docs/pdf/7/2025/2025-Ohio-1915.pdf" TargetMode="External"/><Relationship Id="rId1429" Type="http://schemas.openxmlformats.org/officeDocument/2006/relationships/hyperlink" Target="https://www.leagle.com/cite/599%20F.2d%20707" TargetMode="External"/><Relationship Id="rId1636" Type="http://schemas.openxmlformats.org/officeDocument/2006/relationships/hyperlink" Target="https://www.scotusblog.com/case-files/cases/stanley-v-city-of-sanford-florida/" TargetMode="External"/><Relationship Id="rId1843" Type="http://schemas.openxmlformats.org/officeDocument/2006/relationships/hyperlink" Target="https://www.ems1.com/legal/articles/air-medical-company-agrees-to-78m-settlement-for-overtime-ExknCez8O1D6ZfI4/" TargetMode="External"/><Relationship Id="rId1703" Type="http://schemas.openxmlformats.org/officeDocument/2006/relationships/hyperlink" Target="https://cases.justia.com/louisiana/fourth-circuit-court-of-appeal/2018-2018-ca-0507.pdf?ts=1542839104" TargetMode="External"/><Relationship Id="rId1910" Type="http://schemas.openxmlformats.org/officeDocument/2006/relationships/hyperlink" Target="https://www.ca2.uscourts.gov/decisions/isysquery/8c1d712c-7872-4b25-a064-fe1fbb801f2a/1/doc/22-110_complete_opn.pdf" TargetMode="External"/><Relationship Id="rId284" Type="http://schemas.openxmlformats.org/officeDocument/2006/relationships/hyperlink" Target="https://public.fastcase.com/Wl%2B2t%2BeVuI35%2FN70vAMFZsWJ6AvEppVwuFRKTwz4M5aFuXQum0lUiq0Q02rKgFN1" TargetMode="External"/><Relationship Id="rId491" Type="http://schemas.openxmlformats.org/officeDocument/2006/relationships/hyperlink" Target="https://molawyersmedia.com/2024/01/18/volunteer-firefighters-widow-wins-chance-for-higher-benefits/" TargetMode="External"/><Relationship Id="rId2172" Type="http://schemas.openxmlformats.org/officeDocument/2006/relationships/hyperlink" Target="https://www.law.cornell.edu/definitions/uscode.php?width=840&amp;height=800&amp;iframe=true&amp;def_id=42-USC-303628742-1009355614&amp;term_occur=999&amp;term_src=" TargetMode="External"/><Relationship Id="rId144" Type="http://schemas.openxmlformats.org/officeDocument/2006/relationships/hyperlink" Target="https://public.fastcase.com/H1P9uiW3J20SFp%2BGCG%2BxLV1UD86YIpCG84PV7X%2BpnT1bSBvGb5%2F4r%2Bji24INAH28OEKlXyJ%2BAop5b2VZ9ytUlZZgkAmHpAE%2FiqsvJv8QoS0%3D?utm_medium=email&amp;_hsmi=226712652&amp;_hsenc=p2ANqtz--ZkRdN2zXdoxrl3owB4KoaH3odsucPmvtI49_VzIkvckm0OogBea4uvwy0e_nUnYms3ZfEOMqgWPnXMJBVQxzHG3rvjg&amp;utm_content=226712652&amp;utm_source=hs_email" TargetMode="External"/><Relationship Id="rId589" Type="http://schemas.openxmlformats.org/officeDocument/2006/relationships/hyperlink" Target="https://www.cdc.gov/niosh/fire/pdfs/face201314.pdf" TargetMode="External"/><Relationship Id="rId796" Type="http://schemas.openxmlformats.org/officeDocument/2006/relationships/hyperlink" Target="https://public.fastcase.com/Wl%2B2t%2BeVuI35%2FN70vAMFZjEZMJsNZYCv20xfss0VwbYGceb09nWBJue7evWvO5N%2B" TargetMode="External"/><Relationship Id="rId2477" Type="http://schemas.openxmlformats.org/officeDocument/2006/relationships/hyperlink" Target="https://caselaw.findlaw.com/court/co-supreme-court/111256.html" TargetMode="External"/><Relationship Id="rId2684" Type="http://schemas.openxmlformats.org/officeDocument/2006/relationships/hyperlink" Target="https://njcourts.gov/attorneys/assets/opinions/appellate/unpublished/a1619-18.pdf?c=D1L" TargetMode="External"/><Relationship Id="rId351" Type="http://schemas.openxmlformats.org/officeDocument/2006/relationships/hyperlink" Target="https://cases.justia.com/federal/appellate-courts/ca7/17-3060/17-3060-2018-08-14.pdf?ts=1534262420" TargetMode="External"/><Relationship Id="rId449" Type="http://schemas.openxmlformats.org/officeDocument/2006/relationships/hyperlink" Target="https://www.sullivangalleshaw.com/the-professional-rescuers-rule/" TargetMode="External"/><Relationship Id="rId656" Type="http://schemas.openxmlformats.org/officeDocument/2006/relationships/hyperlink" Target="file:///C:\Users\lawre\AppData\Local\Microsoft\Windows\INetCache\Content.Outlook\PSWGR3E2\state-of-illinois-et-al-v-federal-emergency-management-agency-et-al-complaint-2025.pdf" TargetMode="External"/><Relationship Id="rId863" Type="http://schemas.openxmlformats.org/officeDocument/2006/relationships/hyperlink" Target="https://cases.justia.com/federal/district-courts/california/caedce/2:2023cv01147/429644/22/0.pdf?ts=1706172863" TargetMode="External"/><Relationship Id="rId1079" Type="http://schemas.openxmlformats.org/officeDocument/2006/relationships/hyperlink" Target="https://codes.ohio.gov/ohio-revised-code/section-4123.68" TargetMode="External"/><Relationship Id="rId1286" Type="http://schemas.openxmlformats.org/officeDocument/2006/relationships/hyperlink" Target="http://www.eeoc.gov/" TargetMode="External"/><Relationship Id="rId1493" Type="http://schemas.openxmlformats.org/officeDocument/2006/relationships/hyperlink" Target="https://public.fastcase.com/jaEE2PXzRXmZ99jOLMt1Ig73AWbHngoMRgpe4nLWTO53aGFBbi44KCyxbclUQNrRtdkO5InHzTjZEyqBZ0TTu4M3XLXcJtKtBwk6Y3SN%2BfM%3D?utm_medium=email&amp;_hsenc=p2ANqtz--YVrLxgHNVQCg2RIMQiS4XSu1REbqHDD3q7IV_og8sZIryoVLFG1HLWpJaCKB-X4Qy5JqtbBdGIwkTCURiibvlDX5J7A&amp;_hsmi=226712652&amp;utm_content=226712652&amp;utm_source=hs_email" TargetMode="External"/><Relationship Id="rId2032" Type="http://schemas.openxmlformats.org/officeDocument/2006/relationships/hyperlink" Target="https://cases.justia.com/federal/district-courts/washington/wawdce/2:2023cv01558/327312/54/0.pdf?ts=1747918716" TargetMode="External"/><Relationship Id="rId2337" Type="http://schemas.openxmlformats.org/officeDocument/2006/relationships/hyperlink" Target="http://media.ca11.uscourts.gov/opinions/unpub/files/201814142.pdf" TargetMode="External"/><Relationship Id="rId2544" Type="http://schemas.openxmlformats.org/officeDocument/2006/relationships/hyperlink" Target="https://timeero.com/resources-page/employee-gps-tracking-laws" TargetMode="External"/><Relationship Id="rId2891" Type="http://schemas.openxmlformats.org/officeDocument/2006/relationships/hyperlink" Target="https://pascrell.house.gov/news/documentsingle.aspx?DocumentID=4933" TargetMode="External"/><Relationship Id="rId211" Type="http://schemas.openxmlformats.org/officeDocument/2006/relationships/hyperlink" Target="https://casetext.com/case/commonwealth-v-wise-36" TargetMode="External"/><Relationship Id="rId309" Type="http://schemas.openxmlformats.org/officeDocument/2006/relationships/hyperlink" Target="https://public.fastcase.com/Wl%2B2t%2BeVuI35%2FN70vAMFZgQb9URzc30c5cCnjaV%2BywxWbGQAvCbjQKWk6ixjSD1I" TargetMode="External"/><Relationship Id="rId516" Type="http://schemas.openxmlformats.org/officeDocument/2006/relationships/hyperlink" Target="https://www.njcourts.gov/sites/default/files/court-opinions/2023/a2431-20.pdf" TargetMode="External"/><Relationship Id="rId1146" Type="http://schemas.openxmlformats.org/officeDocument/2006/relationships/hyperlink" Target="https://casetext.com/case/barry-v-the-city-of-chicago" TargetMode="External"/><Relationship Id="rId1798" Type="http://schemas.openxmlformats.org/officeDocument/2006/relationships/hyperlink" Target="https://public.fastcase.com/J%2FJP6pdidelsXxEE4k%2BLMr0y9kFOAzIUnYfOqh5rzor5PqJTkzf5B1o34%2FZmTTqCNP3Iy4k13qLiNXQ3dhjTd98I5NdjhvTfnAcaeUtmaKs%3D" TargetMode="External"/><Relationship Id="rId2751" Type="http://schemas.openxmlformats.org/officeDocument/2006/relationships/hyperlink" Target="https://www.coloradopolitics.com/2026/06/22/10th-circuit-grants-boulder-weld-districts-fire-chief-immunity-for-firing-union-leader/" TargetMode="External"/><Relationship Id="rId2849" Type="http://schemas.openxmlformats.org/officeDocument/2006/relationships/hyperlink" Target="https://ecf.ctd.uscourts.gov/cgi-bin/show_public_doc?2025cv0824-74" TargetMode="External"/><Relationship Id="rId723" Type="http://schemas.openxmlformats.org/officeDocument/2006/relationships/hyperlink" Target="https://www.supremecourt.gov/opinions/21pdf/21-954_7l48.pdf" TargetMode="External"/><Relationship Id="rId930" Type="http://schemas.openxmlformats.org/officeDocument/2006/relationships/hyperlink" Target="https://caselaw.findlaw.com/court/tx-court-of-appeals/117928954.html" TargetMode="External"/><Relationship Id="rId1006" Type="http://schemas.openxmlformats.org/officeDocument/2006/relationships/hyperlink" Target="http://www.courts.ca.gov/opinions/nonpub/A154587.PDF" TargetMode="External"/><Relationship Id="rId1353" Type="http://schemas.openxmlformats.org/officeDocument/2006/relationships/hyperlink" Target="https://caselaw.findlaw.com/court/fl-district-court-of-appeal/116085347.html" TargetMode="External"/><Relationship Id="rId1560" Type="http://schemas.openxmlformats.org/officeDocument/2006/relationships/hyperlink" Target="https://www.courts.mi.gov/4a7f39/siteassets/case-documents/uploads/opinions/final/coa/20210916_c353618_41_353618.opn.pdf" TargetMode="External"/><Relationship Id="rId1658" Type="http://schemas.openxmlformats.org/officeDocument/2006/relationships/hyperlink" Target="https://casetext.com/case/mccrea-v-dist-of-columbia-3" TargetMode="External"/><Relationship Id="rId1865" Type="http://schemas.openxmlformats.org/officeDocument/2006/relationships/hyperlink" Target="https://www.dol.gov/whd/opinion/FLSA/2005/2005_10_14_40_FLSA.pdf" TargetMode="External"/><Relationship Id="rId2404" Type="http://schemas.openxmlformats.org/officeDocument/2006/relationships/hyperlink" Target="https://hr.cch.com/ELD/FisherLansing042925.pdf" TargetMode="External"/><Relationship Id="rId2611" Type="http://schemas.openxmlformats.org/officeDocument/2006/relationships/hyperlink" Target="https://abc7ny.com/newark-firefighters-firefighter-arrest-gunfire/1228031/" TargetMode="External"/><Relationship Id="rId2709" Type="http://schemas.openxmlformats.org/officeDocument/2006/relationships/hyperlink" Target="https://cases.justia.com/federal/appellate-courts/ca9/18-16994/18-16994-2020-03-05.pdf?ts=1583442068" TargetMode="External"/><Relationship Id="rId1213" Type="http://schemas.openxmlformats.org/officeDocument/2006/relationships/hyperlink" Target="https://casetext.com/case/heneghan-v-city-of-evanston" TargetMode="External"/><Relationship Id="rId1420" Type="http://schemas.openxmlformats.org/officeDocument/2006/relationships/hyperlink" Target="https://www.uticaod.com/news/20190404/utica-firefighter-fired-after-sexual-harassment-claim" TargetMode="External"/><Relationship Id="rId1518" Type="http://schemas.openxmlformats.org/officeDocument/2006/relationships/hyperlink" Target="https://cases.justia.com/federal/district-courts/mississippi/mssdce/3:2024cv00011/123477/12/0.pdf?ts=1706115384" TargetMode="External"/><Relationship Id="rId1725" Type="http://schemas.openxmlformats.org/officeDocument/2006/relationships/hyperlink" Target="https://www.dol.gov/agencies/whd/fact-sheets/56c-bonuses" TargetMode="External"/><Relationship Id="rId1932" Type="http://schemas.openxmlformats.org/officeDocument/2006/relationships/hyperlink" Target="https://www.npr.org/2021/11/09/1054000996/oklahoma-supreme-court-465-million-opioid-ruling" TargetMode="External"/><Relationship Id="rId17" Type="http://schemas.openxmlformats.org/officeDocument/2006/relationships/hyperlink" Target="https://scholar.uc.edu/show/dn39x307g" TargetMode="External"/><Relationship Id="rId2194" Type="http://schemas.openxmlformats.org/officeDocument/2006/relationships/hyperlink" Target="https://law.justia.com/cases/federal/appellate-courts/ca2/20-4211/20-4211-2021-10-06.html" TargetMode="External"/><Relationship Id="rId166" Type="http://schemas.openxmlformats.org/officeDocument/2006/relationships/hyperlink" Target="https://www.law.cornell.edu/rules/fre/rule_701" TargetMode="External"/><Relationship Id="rId373" Type="http://schemas.openxmlformats.org/officeDocument/2006/relationships/hyperlink" Target="https://d.docs.live.net/bd9b2eaf6053242e/AppData/Roaming/Microsoft/AppData/Local/Microsoft/Windows/INetCache/IE/XO250S7T/15-70040-CV0.pdf" TargetMode="External"/><Relationship Id="rId580" Type="http://schemas.openxmlformats.org/officeDocument/2006/relationships/hyperlink" Target="https://www.justice.gov/opa/pr/justice-department-announces-improvements-public-safety-officers-benefits-program" TargetMode="External"/><Relationship Id="rId2054" Type="http://schemas.openxmlformats.org/officeDocument/2006/relationships/hyperlink" Target="https://caselaw.findlaw.com/court/ca-court-of-appeal/116718051.html" TargetMode="External"/><Relationship Id="rId2261" Type="http://schemas.openxmlformats.org/officeDocument/2006/relationships/hyperlink" Target="https://www.ca10.uscourts.gov/opinions/19/19-2166.pdf" TargetMode="External"/><Relationship Id="rId2499" Type="http://schemas.openxmlformats.org/officeDocument/2006/relationships/hyperlink" Target="https://www.youtube.com/watch?v=5NXiLsCyQwc" TargetMode="External"/><Relationship Id="rId1" Type="http://schemas.openxmlformats.org/officeDocument/2006/relationships/customXml" Target="../customXml/item1.xml"/><Relationship Id="rId233" Type="http://schemas.openxmlformats.org/officeDocument/2006/relationships/hyperlink" Target="https://public.fastcase.com/9SKwsfNqTc6OieYDhNMyM84JhiUntSQtUCBlgd6lzoL5y1g0gwdSndjfCHFHqJkk4vcRDuTZ3RRxLgM1%2Fyx%2BQdiK9wqe8J4wfwe4xg454y8%3D" TargetMode="External"/><Relationship Id="rId440" Type="http://schemas.openxmlformats.org/officeDocument/2006/relationships/hyperlink" Target="https://www.firerescue1.com/legal/judge-tosses-out-lawsuit-from-families-of-baltimore-firefighters-killed-in-2022-blaze?utm_source=delivra&amp;utm_medium=email&amp;utm_campaign=FR1-Daily-12-27-24&amp;utm_id=8279434&amp;dlv-emuid=fed355b8-46a2-4fa4-b55c-4d602dde33c4&amp;dlv-mlid=8279434" TargetMode="External"/><Relationship Id="rId678" Type="http://schemas.openxmlformats.org/officeDocument/2006/relationships/hyperlink" Target="https://www.ca5.uscourts.gov/opinions/pub/17/17-30864-CV4.pdf" TargetMode="External"/><Relationship Id="rId885" Type="http://schemas.openxmlformats.org/officeDocument/2006/relationships/hyperlink" Target="https://www.newscentermaine.com/article/news/local/portland/judge-dismisses-wrongful-death-lawsuit-against-city-all-but-one-portland-police-officer-portland-mental-health/97-9cb6ef72-b53c-4614-9d60-2360cbcd1702" TargetMode="External"/><Relationship Id="rId1070" Type="http://schemas.openxmlformats.org/officeDocument/2006/relationships/hyperlink" Target="https://www.pacourts.us/assets/opinions/Commonwealth/out/1382CD22_10-10-24.pdf?cb=1" TargetMode="External"/><Relationship Id="rId2121" Type="http://schemas.openxmlformats.org/officeDocument/2006/relationships/hyperlink" Target="https://www.lohud.com/story/news/local/rockland/2022/08/16/ramapo-valley-ambulance-corps-defunded/65406353007/" TargetMode="External"/><Relationship Id="rId2359" Type="http://schemas.openxmlformats.org/officeDocument/2006/relationships/hyperlink" Target="https://www.supremecourt.ohio.gov/rod/docs/pdf/8/2018/2018-Ohio-4602.pdf" TargetMode="External"/><Relationship Id="rId2566" Type="http://schemas.openxmlformats.org/officeDocument/2006/relationships/hyperlink" Target="https://www.courts.nh.gov/sites/g/files/ehbemt471/files/documents/2024-03/20230083stone.pdf" TargetMode="External"/><Relationship Id="rId2773" Type="http://schemas.openxmlformats.org/officeDocument/2006/relationships/hyperlink" Target="https://ilcourtsaudio.blob.core.windows.net/antilles-resources/resources/a7e1e4b9-d57b-4bd7-9b5d-a27198847cd7/City%20of%20Park%20Ridge%20v.%20IL%20Labor%20Relations%20Bd%202024%20IL%20App%20(1st)%20221924-U.pdf" TargetMode="External"/><Relationship Id="rId300" Type="http://schemas.openxmlformats.org/officeDocument/2006/relationships/hyperlink" Target="https://www.courts.state.md.us/sites/default/files/unreported-opinions/0614s19.pdf" TargetMode="External"/><Relationship Id="rId538" Type="http://schemas.openxmlformats.org/officeDocument/2006/relationships/hyperlink" Target="http://media.ca1.uscourts.gov/pdf.opinions/21-1826P-01A.pdf" TargetMode="External"/><Relationship Id="rId745" Type="http://schemas.openxmlformats.org/officeDocument/2006/relationships/hyperlink" Target="https://www.ca4.uscourts.gov/opinions/192250.P.pdf" TargetMode="External"/><Relationship Id="rId952" Type="http://schemas.openxmlformats.org/officeDocument/2006/relationships/hyperlink" Target="https://cases.justia.com/texas/first-court-of-appeals/2023-01-22-00496-cv.pdf?ts=1703769793" TargetMode="External"/><Relationship Id="rId1168" Type="http://schemas.openxmlformats.org/officeDocument/2006/relationships/hyperlink" Target="https://wcc.state.ct.us/law/rel-stat/2009/7-314a.htm" TargetMode="External"/><Relationship Id="rId1375" Type="http://schemas.openxmlformats.org/officeDocument/2006/relationships/hyperlink" Target="https://www.justice.gov/usao-sdny/pr/united-states-sues-townvillage-harrison-new-york-and-its-fire-department-discrimination" TargetMode="External"/><Relationship Id="rId1582" Type="http://schemas.openxmlformats.org/officeDocument/2006/relationships/hyperlink" Target="https://casetext.com/case/threat-v-city-of-cleveland" TargetMode="External"/><Relationship Id="rId2219" Type="http://schemas.openxmlformats.org/officeDocument/2006/relationships/hyperlink" Target="https://www.courtlistener.com/opinion/5313531/gauis-horton-individually-and-on-behalf-of-mary-horton-v-st-tammany-fire/" TargetMode="External"/><Relationship Id="rId2426" Type="http://schemas.openxmlformats.org/officeDocument/2006/relationships/hyperlink" Target="https://codes.ohio.gov/ohio-revised-code/section-5122.10/9-17-2014" TargetMode="External"/><Relationship Id="rId2633" Type="http://schemas.openxmlformats.org/officeDocument/2006/relationships/hyperlink" Target="https://iprospectcheck.com/ohio-background-check/" TargetMode="External"/><Relationship Id="rId81" Type="http://schemas.openxmlformats.org/officeDocument/2006/relationships/hyperlink" Target="https://cases.justia.com/pennsylvania/superior-court/2025-76-eda-2024.pdf?ts=1745952844" TargetMode="External"/><Relationship Id="rId605" Type="http://schemas.openxmlformats.org/officeDocument/2006/relationships/hyperlink" Target="https://www.justice.gov/opa/pr/justice-department-announces-improvements-public-safety-officers-benefits-program" TargetMode="External"/><Relationship Id="rId812" Type="http://schemas.openxmlformats.org/officeDocument/2006/relationships/hyperlink" Target="https://www.foxnews.com/politics/doj-asks-supreme-court-to-allow-enforcement-of-trumps-immigration-asylum-restrictions" TargetMode="External"/><Relationship Id="rId1028" Type="http://schemas.openxmlformats.org/officeDocument/2006/relationships/hyperlink" Target="https://cases.justia.com/west-virginia/intermediate-court-of-appeals/2025-25-ica-138.pdf?ts=1761335525" TargetMode="External"/><Relationship Id="rId1235" Type="http://schemas.openxmlformats.org/officeDocument/2006/relationships/hyperlink" Target="https://scholar.google.com/scholar_case?case=5871380462060471996&amp;q=Association+of+Cleveland+Fire+Fighters+IAFF+Local+93+v.+City+of+Cleveland,&amp;hl=en&amp;as_sdt=6,36&amp;as_vis=1" TargetMode="External"/><Relationship Id="rId1442" Type="http://schemas.openxmlformats.org/officeDocument/2006/relationships/hyperlink" Target="https://www.eeoc.gov/laws/types/harassment.cfm" TargetMode="External"/><Relationship Id="rId1887" Type="http://schemas.openxmlformats.org/officeDocument/2006/relationships/hyperlink" Target="https://cases.justia.com/louisiana/first-circuit-court-of-appeal/2025-2023ca0459.pdf?ts=1749828408" TargetMode="External"/><Relationship Id="rId2840" Type="http://schemas.openxmlformats.org/officeDocument/2006/relationships/hyperlink" Target="https://law.justia.com/cases/illinois/court-of-appeals-first-appellate-district/2000/1992647.html" TargetMode="External"/><Relationship Id="rId1302" Type="http://schemas.openxmlformats.org/officeDocument/2006/relationships/hyperlink" Target="https://www.firstrespondercenter.org/cancer/toolsresources/presumptive-legislation-firefighter-cancer-state/" TargetMode="External"/><Relationship Id="rId1747" Type="http://schemas.openxmlformats.org/officeDocument/2006/relationships/hyperlink" Target="https://www.dol.gov/sites/dolgov/files/WHD/legacy/files/2008_05_23_08NA_FLSA.pdf" TargetMode="External"/><Relationship Id="rId1954" Type="http://schemas.openxmlformats.org/officeDocument/2006/relationships/hyperlink" Target="https://www.courthousenews.com/wp-content/uploads/2020/06/safehouse-pa.pdf" TargetMode="External"/><Relationship Id="rId2700" Type="http://schemas.openxmlformats.org/officeDocument/2006/relationships/hyperlink" Target="https://cases.justia.com/utah/court-of-appeals-published/2017-20160099-ca.pdf?ts=1512166432" TargetMode="External"/><Relationship Id="rId39" Type="http://schemas.openxmlformats.org/officeDocument/2006/relationships/hyperlink" Target="https://cases.justia.com/utah/court-of-appeals-published/2025-20241334-ca.pdf?ts=1766864394" TargetMode="External"/><Relationship Id="rId1607" Type="http://schemas.openxmlformats.org/officeDocument/2006/relationships/hyperlink" Target="https://cases.justia.com/federal/district-courts/kentucky/kyedce/5:2024cv00129/104855/29/0.pdf?ts=1778093974" TargetMode="External"/><Relationship Id="rId1814" Type="http://schemas.openxmlformats.org/officeDocument/2006/relationships/hyperlink" Target="https://www.leagle.com/decision/infdco20210518900" TargetMode="External"/><Relationship Id="rId188" Type="http://schemas.openxmlformats.org/officeDocument/2006/relationships/hyperlink" Target="https://public.fastcase.com/J%2FJP6pdidelsXxEE4k%2BLMh%2BxgKCWLadJ0%2BOScffwypyz9KPkH6WwjXpW3uRa%2FlRTPk79L8Q2wc49Eb83uFrfiOwpLA5%2BzEeF6Sl%2BnZohK7o%3D?utm_medium=email&amp;_hsmi=226712652&amp;_hsenc=p2ANqtz--JRFw_odmHYH-3piiElV-hEg_p30YKZr85DqTYsa6cCP0cQTh9qrySQOzbjYsHMVm2otLm7TlEchGQvTofiaLZzRru3Q&amp;utm_content=226712652&amp;utm_source=hs_email" TargetMode="External"/><Relationship Id="rId395" Type="http://schemas.openxmlformats.org/officeDocument/2006/relationships/hyperlink" Target="https://public.fastcase.com/Jhe1Qn%2BmJndQYQU6z%2FeNm3W8hWyjy%2F1qvTK0bYKmSBd7FCE1skWJo447G5Oh2b2vHFVB1fMS7gUR6rAKwE%2FNSCY%2BUXiquDJL%2FDOTOozOi%2FE%3D?utm_medium=email&amp;_hsenc=p2ANqtz--CwMJ1WgahfFouwurH1AvRaq-FpGCK4j_ZGMvVW2VvGo-JzLehL1L025aP9c9K1EJ-bt_z2jfpLFjtfV3Ucq7sQ0mkPQ&amp;_hsmi=226712652&amp;utm_content=226712652&amp;utm_source=hs_email" TargetMode="External"/><Relationship Id="rId2076" Type="http://schemas.openxmlformats.org/officeDocument/2006/relationships/hyperlink" Target="https://www.law.cornell.edu/wex/declarant" TargetMode="External"/><Relationship Id="rId2283" Type="http://schemas.openxmlformats.org/officeDocument/2006/relationships/hyperlink" Target="https://cdn.ymaws.com/aams.site-ym.com/resource/resmgr/website_resources/aams_statements/aams_statementonbalancebilli.pdf" TargetMode="External"/><Relationship Id="rId2490" Type="http://schemas.openxmlformats.org/officeDocument/2006/relationships/hyperlink" Target="https://www.gao.gov/products/gao-24-107322" TargetMode="External"/><Relationship Id="rId2588" Type="http://schemas.openxmlformats.org/officeDocument/2006/relationships/hyperlink" Target="https://www.mspb.gov/decisions/nonprecedential/SANTOS_NICK_SF_0752_20_0114_I_1_FINAL_ORDER_2060932.pdf" TargetMode="External"/><Relationship Id="rId255" Type="http://schemas.openxmlformats.org/officeDocument/2006/relationships/hyperlink" Target="https://www.nolo.com/legal-encyclopedia/immunity-exchange-testimony.html" TargetMode="External"/><Relationship Id="rId462" Type="http://schemas.openxmlformats.org/officeDocument/2006/relationships/hyperlink" Target="https://www.osha.gov/ords/imis/establishment.inspection_detail?id=315378885" TargetMode="External"/><Relationship Id="rId1092" Type="http://schemas.openxmlformats.org/officeDocument/2006/relationships/hyperlink" Target="https://www.google.com/search?channel=frsc&amp;client=firefox-b-1-d&amp;q=MATTHEW+LONG+v.+CHATTANOOGA+FIRE+AND+POLICE+PENSION+FUND+No.+E2022-01151-COA-R3-CV+%7C+June+20%2C+2023+Session+%7C+" TargetMode="External"/><Relationship Id="rId1397" Type="http://schemas.openxmlformats.org/officeDocument/2006/relationships/hyperlink" Target="https://www.mass.gov/doc/blanchette-tracy-v-city-of-methuen-111821/download" TargetMode="External"/><Relationship Id="rId2143" Type="http://schemas.openxmlformats.org/officeDocument/2006/relationships/hyperlink" Target="https://public.fastcase.com/ZZhmr5v9wN%2FXOe5IsQ%2FqD3dz3eOW5zFOFbDDQpgyn5N1g%2BDYcYq%2BQq5MnHYcUlJvjXUWh8aXMHicyBCjMoSMvWkOcK9%2F08vlf7VzRHHVD0g%3D?utm_medium=email&amp;_hsmi=226712652&amp;_hsenc=p2ANqtz-8FJSrnDbpE5SBLnbpgOtm8bsro6mydF1tKlBKSrXXB7U0G_KpVHeRpWqi1b6f_lyKuKYe1ibmLo31OO_-xt7H5dW8mOA&amp;utm_content=226712652&amp;utm_source=hs_email" TargetMode="External"/><Relationship Id="rId2350" Type="http://schemas.openxmlformats.org/officeDocument/2006/relationships/hyperlink" Target="https://lrus.wolterskluwer.com/store/daily-reporting-suite/antitrust-law-daily/" TargetMode="External"/><Relationship Id="rId2795" Type="http://schemas.openxmlformats.org/officeDocument/2006/relationships/hyperlink" Target="https://search.txcourts.gov/SearchMedia.aspx?MediaVersionID=b6a5eb11-d9ee-4713-9079-a7fc018a0d0c&amp;coa=cossup&amp;DT=OPINION&amp;MediaID=180a364b-e3a9-4c3b-bb68-7b88944c20ad" TargetMode="External"/><Relationship Id="rId115" Type="http://schemas.openxmlformats.org/officeDocument/2006/relationships/hyperlink" Target="https://www.opn.ca6.uscourts.gov/opinions.pdf/24a0196p-06.pdf" TargetMode="External"/><Relationship Id="rId322" Type="http://schemas.openxmlformats.org/officeDocument/2006/relationships/hyperlink" Target="http://www.ca5.uscourts.gov/opinions/unpub/19/19-10878.0.pdf" TargetMode="External"/><Relationship Id="rId767" Type="http://schemas.openxmlformats.org/officeDocument/2006/relationships/hyperlink" Target="https://www.law.cornell.edu/definitions/uscode.php?width=840&amp;height=800&amp;iframe=true&amp;def_id=8-USC-92903111-1485256781&amp;term_occur=999&amp;term_src=title:8:chapter:12:subchapter:II:part:IV:section:1229b" TargetMode="External"/><Relationship Id="rId974" Type="http://schemas.openxmlformats.org/officeDocument/2006/relationships/hyperlink" Target="https://law.justia.com/cases/texas/fourteenth-court-of-appeals/2022/14-20-00566-cv.html" TargetMode="External"/><Relationship Id="rId2003" Type="http://schemas.openxmlformats.org/officeDocument/2006/relationships/hyperlink" Target="https://www4.courts.ca.gov/opinions/nonpub/D085716.PDF" TargetMode="External"/><Relationship Id="rId2210" Type="http://schemas.openxmlformats.org/officeDocument/2006/relationships/hyperlink" Target="https://casetext.com/case/brown-v-medscope-am-corp" TargetMode="External"/><Relationship Id="rId2448" Type="http://schemas.openxmlformats.org/officeDocument/2006/relationships/hyperlink" Target="https://gemm.site/2022/02/25/an-off-duty-cop-murdered-his-ex-girlfriend-the-california-highway-patrol-ignored-the-red-flags/" TargetMode="External"/><Relationship Id="rId2655" Type="http://schemas.openxmlformats.org/officeDocument/2006/relationships/hyperlink" Target="https://www.rittgers.com/blog/2021/07/what-does-ohios-new-anti-hazing-law-mean/" TargetMode="External"/><Relationship Id="rId2862" Type="http://schemas.openxmlformats.org/officeDocument/2006/relationships/hyperlink" Target="https://www.hud.gov/program_offices/housing/sfh/reo/goodn/gnndabot" TargetMode="External"/><Relationship Id="rId627" Type="http://schemas.openxmlformats.org/officeDocument/2006/relationships/hyperlink" Target="https://www.google.com/patents/US6848366?dq=inventor+daniel+tanner" TargetMode="External"/><Relationship Id="rId834" Type="http://schemas.openxmlformats.org/officeDocument/2006/relationships/hyperlink" Target="https://cases.justia.com/washington/court-of-appeals-division-i/2026-87600-7.pdf?ts=1780339477" TargetMode="External"/><Relationship Id="rId1257" Type="http://schemas.openxmlformats.org/officeDocument/2006/relationships/hyperlink" Target="http://codes.ohio.gov/orc/gp9.481" TargetMode="External"/><Relationship Id="rId1464" Type="http://schemas.openxmlformats.org/officeDocument/2006/relationships/hyperlink" Target="https://cases.justia.com/federal/district-courts/virginia/vawdce/6:2024cv00051/132979/41/0.pdf?ts=1779390167" TargetMode="External"/><Relationship Id="rId1671" Type="http://schemas.openxmlformats.org/officeDocument/2006/relationships/hyperlink" Target="https://public.fastcase.com/9SKwsfNqTc6OieYDhNMyM6vC7U3N6pFiGGudI%2FRRBa2RM8NFylVCIr30mZgiL1xCGi%2BB4TwUGi23U%2F4WBRTxtqosYxdtzzhHp1yF4K4Z7P8%3D" TargetMode="External"/><Relationship Id="rId2308" Type="http://schemas.openxmlformats.org/officeDocument/2006/relationships/hyperlink" Target="https://www.emsworld.com/press-release/1222611/immi-launches-per4max-restraint-ems-providers" TargetMode="External"/><Relationship Id="rId2515" Type="http://schemas.openxmlformats.org/officeDocument/2006/relationships/hyperlink" Target="https://cases.justia.com/california/court-of-appeal/2025-b327744.pdf?ts=1764194477" TargetMode="External"/><Relationship Id="rId2722" Type="http://schemas.openxmlformats.org/officeDocument/2006/relationships/hyperlink" Target="http://www.search.txcourts.gov/SearchMedia.aspx?MediaVersionID=c3f113f2-1ba2-49ff-a2ab-1b5420c141ac&amp;coa=coa09&amp;DT=Opinion&amp;MediaID=ad82a5f3-c7c6-4b28-8fe8-0de313580d94" TargetMode="External"/><Relationship Id="rId901" Type="http://schemas.openxmlformats.org/officeDocument/2006/relationships/hyperlink" Target="https://public.fastcase.com/9SKwsfNqTc6OieYDhNMyM6VI9jzZ8Wjh0KgpobjMibbiOoRUyOE%2BZu2RC4EQbfMf" TargetMode="External"/><Relationship Id="rId1117" Type="http://schemas.openxmlformats.org/officeDocument/2006/relationships/hyperlink" Target="https://codes.ohio.gov/ohio-revised-code/section-4123.68" TargetMode="External"/><Relationship Id="rId1324" Type="http://schemas.openxmlformats.org/officeDocument/2006/relationships/hyperlink" Target="https://www.courthousenews.com/wp-content/uploads/2025/07/illinois-court-allows-firefighter-emt-to-sue-over-sexually-hostile-environment.pdf" TargetMode="External"/><Relationship Id="rId1531" Type="http://schemas.openxmlformats.org/officeDocument/2006/relationships/hyperlink" Target="http://www.eeoc.gov/laws/statutes/titlevii.cfm" TargetMode="External"/><Relationship Id="rId1769" Type="http://schemas.openxmlformats.org/officeDocument/2006/relationships/hyperlink" Target="https://www.dol.gov/whd/state/state.htm" TargetMode="External"/><Relationship Id="rId1976" Type="http://schemas.openxmlformats.org/officeDocument/2006/relationships/hyperlink" Target="https://law.justia.com/codes/idaho/title-37/chapter-27/article-iv/section-37-2739c/" TargetMode="External"/><Relationship Id="rId30" Type="http://schemas.openxmlformats.org/officeDocument/2006/relationships/hyperlink" Target="https://caselaw.findlaw.com/court/tx-court-of-appeals/118277713.html" TargetMode="External"/><Relationship Id="rId1629" Type="http://schemas.openxmlformats.org/officeDocument/2006/relationships/hyperlink" Target="https://casetext.com/case/hauptrief-v-telford-1" TargetMode="External"/><Relationship Id="rId1836" Type="http://schemas.openxmlformats.org/officeDocument/2006/relationships/hyperlink" Target="https://www.federalregister.gov/documents/2019/12/16/2019-26447/regular-rate-under-the-fair-labor-standards-act" TargetMode="External"/><Relationship Id="rId1903" Type="http://schemas.openxmlformats.org/officeDocument/2006/relationships/hyperlink" Target="https://www.understandingtheada.com/blog/2015/02/03/addiction-ada-current-user-safe-harbor/" TargetMode="External"/><Relationship Id="rId2098" Type="http://schemas.openxmlformats.org/officeDocument/2006/relationships/hyperlink" Target="https://cdn.ca9.uscourts.gov/datastore/opinions/2024/04/15/22-15546.pdf" TargetMode="External"/><Relationship Id="rId277" Type="http://schemas.openxmlformats.org/officeDocument/2006/relationships/hyperlink" Target="http://codes.ohio.gov/orc/102.01" TargetMode="External"/><Relationship Id="rId484" Type="http://schemas.openxmlformats.org/officeDocument/2006/relationships/hyperlink" Target="https://casetext.com/case/theodoreu-v-chester-fire-district" TargetMode="External"/><Relationship Id="rId2165" Type="http://schemas.openxmlformats.org/officeDocument/2006/relationships/hyperlink" Target="https://law.justia.com/cases/iowa/court-of-appeals/2023/22-0302.html" TargetMode="External"/><Relationship Id="rId137" Type="http://schemas.openxmlformats.org/officeDocument/2006/relationships/hyperlink" Target="https://www.reformer.com/local-news/vermont-supreme-court-rejects-rv-housing-appeal-in-brattleboro/article_1aa8b844-48f7-11ef-b1d5-5784c0449d3d.html" TargetMode="External"/><Relationship Id="rId344" Type="http://schemas.openxmlformats.org/officeDocument/2006/relationships/hyperlink" Target="https://www.apnews.com/50ced4152dc74df1975a925e4fa29038" TargetMode="External"/><Relationship Id="rId691" Type="http://schemas.openxmlformats.org/officeDocument/2006/relationships/hyperlink" Target="https://www.cdcr.ca.gov/facility-locator/conservation-camps/" TargetMode="External"/><Relationship Id="rId789" Type="http://schemas.openxmlformats.org/officeDocument/2006/relationships/hyperlink" Target="https://www.securityindustry.org/2020/08/13/heres-what-ndaa-section-889-really-means-for-federal-grants/" TargetMode="External"/><Relationship Id="rId996" Type="http://schemas.openxmlformats.org/officeDocument/2006/relationships/hyperlink" Target="http://www.la-fcca.org/opiniongrid/opinionpdf/2018%20CA%200905%20Decision%20Appeal.pdf" TargetMode="External"/><Relationship Id="rId2025" Type="http://schemas.openxmlformats.org/officeDocument/2006/relationships/hyperlink" Target="https://public.fastcase.com/jaEE2PXzRXmZ99jOLMt1Iur66SqTUHCh2%2F6i5JSa4l6hU%2FvLi%2B5AObhTx2DvFKDq?utm_medium=email&amp;_hsenc=p2ANqtz--swmEKE2bBH1yxnsdN_yPFP1ssqGq5KgURTPyK4vIy-QrvDWKI9I9IkKVZfzKsNc7HzZR6NsXw-W4jNuqGESlXN6G9zw&amp;_hsmi=226712652&amp;utm_content=226712652&amp;utm_source=hs_email" TargetMode="External"/><Relationship Id="rId2372" Type="http://schemas.openxmlformats.org/officeDocument/2006/relationships/hyperlink" Target="https://cases.justia.com/ohio/second-district-court-of-appeals/2018-27685.pdf?ts=1526679598" TargetMode="External"/><Relationship Id="rId2677" Type="http://schemas.openxmlformats.org/officeDocument/2006/relationships/hyperlink" Target="https://www.sacbee.com/news/politics-government/the-state-worker/article23903194.html" TargetMode="External"/><Relationship Id="rId2884" Type="http://schemas.openxmlformats.org/officeDocument/2006/relationships/hyperlink" Target="https://codes.ohio.gov/ohio-revised-code/section-149.43" TargetMode="External"/><Relationship Id="rId551" Type="http://schemas.openxmlformats.org/officeDocument/2006/relationships/hyperlink" Target="https://www.nbcphiladelphia.com/news/local/woman-gets-30-years-in-arson-that-killed-3-delaware-firefighters/2260369/" TargetMode="External"/><Relationship Id="rId649" Type="http://schemas.openxmlformats.org/officeDocument/2006/relationships/hyperlink" Target="https://www2.ca3.uscourts.gov/opinarch/231900p.pdf" TargetMode="External"/><Relationship Id="rId856" Type="http://schemas.openxmlformats.org/officeDocument/2006/relationships/hyperlink" Target="https://www.firelawblog.com/wp-content/uploads/sites/19/2024/10/Light-v.-Pub.-Utils.-Regul.-Auth._-2024-Conn.-Super.-LE.pdf" TargetMode="External"/><Relationship Id="rId1181" Type="http://schemas.openxmlformats.org/officeDocument/2006/relationships/hyperlink" Target="https://law.justia.com/cases/missouri/court-of-appeals/2021/wd83430.html" TargetMode="External"/><Relationship Id="rId1279" Type="http://schemas.openxmlformats.org/officeDocument/2006/relationships/hyperlink" Target="https://www.courierpostonline.com/story/news/2019/05/14/terremce-crowder-camden-fire-department-deputy-chief-loses-disability-benefits-dispute/1194598001/" TargetMode="External"/><Relationship Id="rId1486" Type="http://schemas.openxmlformats.org/officeDocument/2006/relationships/hyperlink" Target="https://www.justice.gov/usao-edpa/pr/downingtown-man-convicted-exploiting-usdot-disadvantaged-business-program" TargetMode="External"/><Relationship Id="rId2232" Type="http://schemas.openxmlformats.org/officeDocument/2006/relationships/hyperlink" Target="https://casetext.com/case/ramirez-v-talos-gulf-coast-offshore-llc" TargetMode="External"/><Relationship Id="rId2537" Type="http://schemas.openxmlformats.org/officeDocument/2006/relationships/hyperlink" Target="https://courts.delaware.gov/Opinions/Download.aspx?id=381340" TargetMode="External"/><Relationship Id="rId204" Type="http://schemas.openxmlformats.org/officeDocument/2006/relationships/hyperlink" Target="https://law.justia.com/cases/kentucky/court-of-appeals/2022/2022-ca-0258-mr.html" TargetMode="External"/><Relationship Id="rId411" Type="http://schemas.openxmlformats.org/officeDocument/2006/relationships/hyperlink" Target="https://public.fastcase.com/jaEE2PXzRXmZ99jOLMt1ItgJpO3cenZHWG8%2BVkmKxH1HTTAbABiD6rHSJp3pZ1gN%2FmUtcGj1MYmfK4vUiVXj%2F7KJALcf9RQ89nZBN4g9WoM%3D?utm_medium=email&amp;_hsenc=p2ANqtz-8GKw_r7YMLn5ao1TZxs4WqNRhri-535W3eCNA3JduD9CnJg4Ez99C9vjqiY3t5lfrKsWh0EQkMPqhDg1IfFNoFLO22ZQ&amp;_hsmi=226712652&amp;utm_content=226712652&amp;utm_source=hs_email" TargetMode="External"/><Relationship Id="rId509" Type="http://schemas.openxmlformats.org/officeDocument/2006/relationships/hyperlink" Target="https://www.documentcloud.org/documents/23589006-firefighter-suit-terrance-jones-et-al-v-coj-order-finalizing-case011323" TargetMode="External"/><Relationship Id="rId1041" Type="http://schemas.openxmlformats.org/officeDocument/2006/relationships/hyperlink" Target="https://www.leg.state.nv.us/App/NELIS/REL/82nd2023/Bill/9844/Overview" TargetMode="External"/><Relationship Id="rId1139" Type="http://schemas.openxmlformats.org/officeDocument/2006/relationships/hyperlink" Target="https://casetext.com/case/city-of-henderson-v-law" TargetMode="External"/><Relationship Id="rId1346" Type="http://schemas.openxmlformats.org/officeDocument/2006/relationships/hyperlink" Target="https://www.opn.ca6.uscourts.gov/opinions.pdf/23a0264p-06.pdf" TargetMode="External"/><Relationship Id="rId1693" Type="http://schemas.openxmlformats.org/officeDocument/2006/relationships/hyperlink" Target="http://media.ca11.uscourts.gov/opinions/unpub/files/201814488.pdf" TargetMode="External"/><Relationship Id="rId1998" Type="http://schemas.openxmlformats.org/officeDocument/2006/relationships/hyperlink" Target="https://www.supremecourt.ohio.gov/rod/docs/pdf/11/2026/2026-Ohio-67.pdf" TargetMode="External"/><Relationship Id="rId2744" Type="http://schemas.openxmlformats.org/officeDocument/2006/relationships/hyperlink" Target="https://d.docs.live.net/bd9b2eaf6053242e/AppData/Roaming/Microsoft/AppData/Local/Microsoft/Windows/INetCache/IE/7HZ56W7X/16-170.pdf" TargetMode="External"/><Relationship Id="rId716" Type="http://schemas.openxmlformats.org/officeDocument/2006/relationships/hyperlink" Target="https://www.supremecourt.gov/opinions/22pdf/22a544_n758.pdf" TargetMode="External"/><Relationship Id="rId923" Type="http://schemas.openxmlformats.org/officeDocument/2006/relationships/hyperlink" Target="https://www.supremecourt.ohio.gov/rod/docs/pdf/8/2026/2026-Ohio-2189.pdf" TargetMode="External"/><Relationship Id="rId1553" Type="http://schemas.openxmlformats.org/officeDocument/2006/relationships/hyperlink" Target="https://casetext.com/case/rice-v-city-of-cincinnati" TargetMode="External"/><Relationship Id="rId1760" Type="http://schemas.openxmlformats.org/officeDocument/2006/relationships/hyperlink" Target="https://www.firefighterovertime.org/wp-content/uploads/2024/07/US_DIS_SCD_9_21cv3964_d87991559e1450_ORDER_denying_40_Motion_for_Summary_Judgment_grant.pdf" TargetMode="External"/><Relationship Id="rId1858" Type="http://schemas.openxmlformats.org/officeDocument/2006/relationships/hyperlink" Target="https://cases.justia.com/georgia/court-of-appeals/2019-a19a1310.pdf?ts=1568657244" TargetMode="External"/><Relationship Id="rId2604" Type="http://schemas.openxmlformats.org/officeDocument/2006/relationships/hyperlink" Target="https://www.cbsnews.com/miami/news/florida-supreme-court-turns-down-miami-firefighter-defamation-case/" TargetMode="External"/><Relationship Id="rId2811" Type="http://schemas.openxmlformats.org/officeDocument/2006/relationships/hyperlink" Target="https://public.fastcase.com/J%2FJP6pdidelsXxEE4k%2BLMpuDgtfUlpNK4l%2BfqZzcsS95ieNoHEqDlI1ajn81HayMXO5%2FuX2%2ByvyKSn9EyfaN7KpFENL2lTAAz2wo8HtdPeY%3D?utm_medium=email&amp;_hsmi=226712652&amp;_hsenc=p2ANqtz-9t2-miGpzcz6HjEKBpKrn-zhw54ySyRz_VGgy44f1dByScW7c1n8avO_4RXLWc5afGZGbJubbxw9DhHyQbca8WHl796A&amp;utm_content=226712652&amp;utm_source=hs_email" TargetMode="External"/><Relationship Id="rId52" Type="http://schemas.openxmlformats.org/officeDocument/2006/relationships/hyperlink" Target="https://www.norriseditorial.com" TargetMode="External"/><Relationship Id="rId1206" Type="http://schemas.openxmlformats.org/officeDocument/2006/relationships/hyperlink" Target="https://casetext.com/case/malone-v-workers-comp-appeal-bd" TargetMode="External"/><Relationship Id="rId1413" Type="http://schemas.openxmlformats.org/officeDocument/2006/relationships/hyperlink" Target="https://scholar.google.com/scholar_case?case=3751539261550257111&amp;q=Rachel+MOSBY+v.+CITY+OF+BYRON,+GEORGIA,&amp;hl=en&amp;as_sdt=6,36" TargetMode="External"/><Relationship Id="rId1620" Type="http://schemas.openxmlformats.org/officeDocument/2006/relationships/hyperlink" Target="https://www.govinfo.gov/content/pkg/USCOURTS-nhd-1_23-cv-00327/pdf/USCOURTS-nhd-1_23-cv-00327-0.pdf" TargetMode="External"/><Relationship Id="rId1718" Type="http://schemas.openxmlformats.org/officeDocument/2006/relationships/hyperlink" Target="https://cases.justia.com/federal/district-courts/illinois/ilndce/1:2018cv08500/359885/139/0.pdf?ts=1594372800" TargetMode="External"/><Relationship Id="rId1925" Type="http://schemas.openxmlformats.org/officeDocument/2006/relationships/hyperlink" Target="https://www.fox10tv.com/2022/06/27/mobile-doctors-supreme-court-win-could-impact-other-pill-mill-convictions/" TargetMode="External"/><Relationship Id="rId299" Type="http://schemas.openxmlformats.org/officeDocument/2006/relationships/hyperlink" Target="https://www.courts.state.md.us/sites/default/files/unreported-opinions/0614s19.pdf" TargetMode="External"/><Relationship Id="rId2187" Type="http://schemas.openxmlformats.org/officeDocument/2006/relationships/hyperlink" Target="https://juddocumentservice.mt.gov/getDocByCTrackId?DocId=398159" TargetMode="External"/><Relationship Id="rId2394" Type="http://schemas.openxmlformats.org/officeDocument/2006/relationships/hyperlink" Target="https://cases.justia.com/federal/district-courts/south-carolina/scdce/0:2024cv00826/288831/46/0.pdf" TargetMode="External"/><Relationship Id="rId159" Type="http://schemas.openxmlformats.org/officeDocument/2006/relationships/hyperlink" Target="https://casetext.com/case/people-v-hailey-43" TargetMode="External"/><Relationship Id="rId366" Type="http://schemas.openxmlformats.org/officeDocument/2006/relationships/hyperlink" Target="http://www.pacourts.us/assets/opinions/Commonwealth/out/380md17_6-12-18.pdf" TargetMode="External"/><Relationship Id="rId573" Type="http://schemas.openxmlformats.org/officeDocument/2006/relationships/hyperlink" Target="http://www.ca5.uscourts.gov/opinions/pub/17/17-30864-CV1.pdf" TargetMode="External"/><Relationship Id="rId780" Type="http://schemas.openxmlformats.org/officeDocument/2006/relationships/hyperlink" Target="https://www.ca4.uscourts.gov/opinions/201119.P.pdf" TargetMode="External"/><Relationship Id="rId2047" Type="http://schemas.openxmlformats.org/officeDocument/2006/relationships/hyperlink" Target="https://cases.justia.com/federal/district-courts/minnesota/mndce/0:2022cv00602/199430/91/0.pdf?ts=1737802391" TargetMode="External"/><Relationship Id="rId2254" Type="http://schemas.openxmlformats.org/officeDocument/2006/relationships/hyperlink" Target="http://lcapps.co.lucas.oh.us/Courts/Appeals/DecisionsPDF/9824.pdf" TargetMode="External"/><Relationship Id="rId2461" Type="http://schemas.openxmlformats.org/officeDocument/2006/relationships/hyperlink" Target="https://public.fastcase.com/Wl%2B2t%2BeVuI35%2FN70vAMFZkQk422sTW9%2BWIlpk%2BnE1B7e7DrNn16tDd9SfmLDmtL4" TargetMode="External"/><Relationship Id="rId2699" Type="http://schemas.openxmlformats.org/officeDocument/2006/relationships/hyperlink" Target="https://www.abc4.com/news/justice-files/the-justice-files-a-rape-in-rural-utah/" TargetMode="External"/><Relationship Id="rId226" Type="http://schemas.openxmlformats.org/officeDocument/2006/relationships/hyperlink" Target="https://www.supremecourt.gov/opinions/21pdf/21a240_d18e.pdf" TargetMode="External"/><Relationship Id="rId433" Type="http://schemas.openxmlformats.org/officeDocument/2006/relationships/hyperlink" Target="https://www.wjtv.com/news/local-news/court-upholds-mans-conviction-for-killing-jackson-firefighter/" TargetMode="External"/><Relationship Id="rId878" Type="http://schemas.openxmlformats.org/officeDocument/2006/relationships/hyperlink" Target="https://www.eff.org/files/2022/07/11/2022-07-11_-_tenth_circuit_-_irizarry_v_yehia.pdf" TargetMode="External"/><Relationship Id="rId1063" Type="http://schemas.openxmlformats.org/officeDocument/2006/relationships/hyperlink" Target="https://cases.justia.com/pennsylvania/commonwealth-court/2024-541-and-589-c-d-2022.pdf?ts=1735057731" TargetMode="External"/><Relationship Id="rId1270" Type="http://schemas.openxmlformats.org/officeDocument/2006/relationships/hyperlink" Target="https://law.justia.com/cases/new-york/other-courts/2019/2019-ny-slip-op-29363.html" TargetMode="External"/><Relationship Id="rId2114" Type="http://schemas.openxmlformats.org/officeDocument/2006/relationships/hyperlink" Target="https://bencrump.com/press/attorney-ben-crump-files-personal-injury-lawsuit-against-paramedics-who-refused-to-provide-emergency-care-to-disabled-teen/" TargetMode="External"/><Relationship Id="rId2559" Type="http://schemas.openxmlformats.org/officeDocument/2006/relationships/hyperlink" Target="https://www.nj.gov/csc/about/meetings/decisions/pdf/2023/01-18-23/A005%20TAYAG-KOSKY%20JOHN.pdf" TargetMode="External"/><Relationship Id="rId2766" Type="http://schemas.openxmlformats.org/officeDocument/2006/relationships/hyperlink" Target="https://public.fastcase.com/jaEE2PXzRXmZ99jOLMt1IpPvzvvllZ7Rrt4VKwyGVntYyQb9IRuNiNqVshy4%2Bl2z%2BsY6VEZuB3eEVHjKlzOdk%2FP8W50g7Bl84BsJ%2BT14tOs%3D?utm_medium=email&amp;_hsenc=p2ANqtz-8_cjXUjI5LfLOi5ALG6MFLDFJJrn3rZsNciOMXnsNsHK54iflcoWeqPuq6ELEpSWLnjpVW4QqFeFKVqziKDzXrD-fT4Q&amp;_hsmi=226712652&amp;utm_content=226712652&amp;utm_source=hs_email" TargetMode="External"/><Relationship Id="rId640" Type="http://schemas.openxmlformats.org/officeDocument/2006/relationships/hyperlink" Target="https://www.californiacountynews.org/news/2025/11/local-governments-win-injunction-against-trump-administration-restoring-access-dhs" TargetMode="External"/><Relationship Id="rId738" Type="http://schemas.openxmlformats.org/officeDocument/2006/relationships/hyperlink" Target="https://www.thestate.com/news/local/crime/article120075733.html" TargetMode="External"/><Relationship Id="rId945" Type="http://schemas.openxmlformats.org/officeDocument/2006/relationships/hyperlink" Target="https://cases.justia.com/michigan/court-of-appeals-unpublished/2024-367862.pdf?ts=1728738006" TargetMode="External"/><Relationship Id="rId1368" Type="http://schemas.openxmlformats.org/officeDocument/2006/relationships/hyperlink" Target="https://public.fastcase.com/" TargetMode="External"/><Relationship Id="rId1575" Type="http://schemas.openxmlformats.org/officeDocument/2006/relationships/hyperlink" Target="https://casetext.com/statute/united-states-code/title-42-the-public-health-and-welfare/chapter-21-civil-rights/subchapter-vi-equal-employment-opportunities/section-2000e-2-unlawful-employment-practices" TargetMode="External"/><Relationship Id="rId1782" Type="http://schemas.openxmlformats.org/officeDocument/2006/relationships/hyperlink" Target="https://www.dol.gov/agencies/whd/flsa/misclassification" TargetMode="External"/><Relationship Id="rId2321" Type="http://schemas.openxmlformats.org/officeDocument/2006/relationships/hyperlink" Target="https://www.npr.org/sections/coronavirus-live-updates/2020/04/12/832644243/kansas-supreme-court-upholds-governors-order-limiting-the-size-of-easter-service" TargetMode="External"/><Relationship Id="rId2419" Type="http://schemas.openxmlformats.org/officeDocument/2006/relationships/hyperlink" Target="https://cases.justia.com/arkansas/court-of-appeals/2024-cv-22-650.pdf?ts=1713971302" TargetMode="External"/><Relationship Id="rId2626" Type="http://schemas.openxmlformats.org/officeDocument/2006/relationships/hyperlink" Target="file:///C:\Users\lawre\AppData\Local\Microsoft\Windows\INetCache\Content.Outlook\L4F26AG7\Case%20Title%20Butler%20v.%20City%20of%20Big%20Spring.pdf" TargetMode="External"/><Relationship Id="rId2833" Type="http://schemas.openxmlformats.org/officeDocument/2006/relationships/hyperlink" Target="https://www.wdel.com/news/wilmington-firefighters-union-wins-chancery-court-appeal-in-battle-over-shift-change/article_9402edda-d9b1-11eb-909c-07bcb0bff090.html" TargetMode="External"/><Relationship Id="rId74" Type="http://schemas.openxmlformats.org/officeDocument/2006/relationships/hyperlink" Target="https://www.cdcr.ca.gov/capital-punishment/" TargetMode="External"/><Relationship Id="rId500" Type="http://schemas.openxmlformats.org/officeDocument/2006/relationships/hyperlink" Target="https://www.anylaw.com/case/smith-v-city-of-atlantic-city-et-al/d-new-jersey/11-28-2023/WMlWRYwBqcoRgE-ICuER" TargetMode="External"/><Relationship Id="rId805" Type="http://schemas.openxmlformats.org/officeDocument/2006/relationships/hyperlink" Target="https://www.courthousenews.com/wp-content/uploads/2020/04/G4S.pdf" TargetMode="External"/><Relationship Id="rId1130" Type="http://schemas.openxmlformats.org/officeDocument/2006/relationships/hyperlink" Target="https://ilcourtsaudio.blob.core.windows.net/antilles-resources/resources/eba608df-6fa9-4d1a-8a11-f48abce29596/City%20of%20Springfield%20v.%20Illinois%20Workers'%20Compensation%20Comm'n,%202022%20IL%20App%20(4th)%20210604WC-U.pdf" TargetMode="External"/><Relationship Id="rId1228" Type="http://schemas.openxmlformats.org/officeDocument/2006/relationships/hyperlink" Target="http://codes.ohio.gov/orc/4113.52" TargetMode="External"/><Relationship Id="rId1435" Type="http://schemas.openxmlformats.org/officeDocument/2006/relationships/hyperlink" Target="http://media.ca11.uscourts.gov/opinions/unpub/files/201810640.pdf" TargetMode="External"/><Relationship Id="rId1642" Type="http://schemas.openxmlformats.org/officeDocument/2006/relationships/hyperlink" Target="https://www.supremecourt.gov/DocketPDF/23/23-997/307313/20240411092101975_Amicus%20Brief.pdf" TargetMode="External"/><Relationship Id="rId1947" Type="http://schemas.openxmlformats.org/officeDocument/2006/relationships/hyperlink" Target="http://www.drugconsumptionroom-international.org/images/pdf/dcr_in_rotterdam_amsterdam.pdf" TargetMode="External"/><Relationship Id="rId2900" Type="http://schemas.openxmlformats.org/officeDocument/2006/relationships/hyperlink" Target="https://www.legislature.ohio.gov/legislation/legislation-documents?id=GA133-HB-606" TargetMode="External"/><Relationship Id="rId1502" Type="http://schemas.openxmlformats.org/officeDocument/2006/relationships/hyperlink" Target="https://casetext.com/case/dyer-v-city-of-new-orleans-2" TargetMode="External"/><Relationship Id="rId1807" Type="http://schemas.openxmlformats.org/officeDocument/2006/relationships/hyperlink" Target="https://www.law.cornell.edu/topn/black-connery_fair_labor_standards_act" TargetMode="External"/><Relationship Id="rId290" Type="http://schemas.openxmlformats.org/officeDocument/2006/relationships/hyperlink" Target="https://public.fastcase.com/Wl%2B2t%2BeVuI35%2FN70vAMFZg2BMAXQvmThuD9oRUd4r3OTVcwOC01J7TzGKhK5Lojo" TargetMode="External"/><Relationship Id="rId388" Type="http://schemas.openxmlformats.org/officeDocument/2006/relationships/hyperlink" Target="https://www.dailymail.com/news/article-9746389/Fatal-assisted-living-fire-linked-cleaning-ritual.html" TargetMode="External"/><Relationship Id="rId2069" Type="http://schemas.openxmlformats.org/officeDocument/2006/relationships/hyperlink" Target="https://stlouiscriminaldefense.com/practice-areas/st-louis-murder-defense-attorney/" TargetMode="External"/><Relationship Id="rId150" Type="http://schemas.openxmlformats.org/officeDocument/2006/relationships/hyperlink" Target="https://caselaw.findlaw.com/court/wi-court-of-appeals/115735506.html" TargetMode="External"/><Relationship Id="rId595" Type="http://schemas.openxmlformats.org/officeDocument/2006/relationships/hyperlink" Target="https://njcourts.gov/attorneys/assets/opinions/appellate/unpublished/a1346-17.pdf" TargetMode="External"/><Relationship Id="rId2276" Type="http://schemas.openxmlformats.org/officeDocument/2006/relationships/hyperlink" Target="https://public.fastcase.com/Wl%2B2t%2BeVuI35%2FN70vAMFZhZJi56QhK5aeAu9BSRcXQy3N2tA%2FHS1iSBZTTlZLCgr" TargetMode="External"/><Relationship Id="rId2483" Type="http://schemas.openxmlformats.org/officeDocument/2006/relationships/hyperlink" Target="https://www.la4th.org/opinion/2025/4959829_1.pdf" TargetMode="External"/><Relationship Id="rId2690" Type="http://schemas.openxmlformats.org/officeDocument/2006/relationships/hyperlink" Target="https://www.dmlp.org/legal-guide/recording-phone-calls-and-conversations" TargetMode="External"/><Relationship Id="rId248" Type="http://schemas.openxmlformats.org/officeDocument/2006/relationships/hyperlink" Target="https://www.supremecourt.gov/DocketPDF/20/20A169/181359/20210610165940894_20A169%20Amicus%20Mot.pdf" TargetMode="External"/><Relationship Id="rId455" Type="http://schemas.openxmlformats.org/officeDocument/2006/relationships/hyperlink" Target="https://cases.justia.com/texas/eleventh-court-of-appeals/2024-11-22-00155-cr.pdf?ts=1726749633" TargetMode="External"/><Relationship Id="rId662" Type="http://schemas.openxmlformats.org/officeDocument/2006/relationships/hyperlink" Target="https://cdn.ca9.uscourts.gov/datastore/opinions/2025/03/20/23-55805.pdf" TargetMode="External"/><Relationship Id="rId1085" Type="http://schemas.openxmlformats.org/officeDocument/2006/relationships/hyperlink" Target="https://www.njcourts.gov/system/files/court-opinions/2024/a3332-21.pdf" TargetMode="External"/><Relationship Id="rId1292" Type="http://schemas.openxmlformats.org/officeDocument/2006/relationships/hyperlink" Target="http://www.opn.ca6.uscourts.gov/opinions.pdf/18a0522n-06.pdf" TargetMode="External"/><Relationship Id="rId2136" Type="http://schemas.openxmlformats.org/officeDocument/2006/relationships/hyperlink" Target="https://www.supremecourt.ohio.gov/rod/docs/pdf/3/2023/2023-Ohio-3429.pdf" TargetMode="External"/><Relationship Id="rId2343" Type="http://schemas.openxmlformats.org/officeDocument/2006/relationships/hyperlink" Target="https://www.plaintiffmagazine.com/recent-issues/item/ems-helicopter-crashes-raise-complex-liability-issues" TargetMode="External"/><Relationship Id="rId2550" Type="http://schemas.openxmlformats.org/officeDocument/2006/relationships/hyperlink" Target="https://www.wvsd.uscourts.gov/sites/wvsd/files/opinions/MOO_20250102_5_22-cr-00182.pdf" TargetMode="External"/><Relationship Id="rId2788" Type="http://schemas.openxmlformats.org/officeDocument/2006/relationships/hyperlink" Target="https://www.supremecourt.ohio.gov/rod/docs/pdf/0/2023/2023-Ohio-2976.pdf" TargetMode="External"/><Relationship Id="rId108" Type="http://schemas.openxmlformats.org/officeDocument/2006/relationships/hyperlink" Target="https://cases.justia.com/minnesota/court-of-appeals/2024-a23-1836.pdf?ts=1726855674" TargetMode="External"/><Relationship Id="rId315" Type="http://schemas.openxmlformats.org/officeDocument/2006/relationships/hyperlink" Target="https://www.law.cornell.edu/supct/html/92-102.ZO.html" TargetMode="External"/><Relationship Id="rId522" Type="http://schemas.openxmlformats.org/officeDocument/2006/relationships/hyperlink" Target="https://www.firerescue1.com/fire-ems/articles/texas-firefighter-plunges-20-feet-off-overpass-at-crash-scene-lBARe4alhxd9zIr4/" TargetMode="External"/><Relationship Id="rId967" Type="http://schemas.openxmlformats.org/officeDocument/2006/relationships/hyperlink" Target="https://casetext.com/case/city-of-hous-v-vogel" TargetMode="External"/><Relationship Id="rId1152" Type="http://schemas.openxmlformats.org/officeDocument/2006/relationships/hyperlink" Target="https://codes.ohio.gov/ohio-revised-code/section-4123.68" TargetMode="External"/><Relationship Id="rId1597" Type="http://schemas.openxmlformats.org/officeDocument/2006/relationships/hyperlink" Target="https://www.leagle.com/decision/infdco20190624a02" TargetMode="External"/><Relationship Id="rId2203" Type="http://schemas.openxmlformats.org/officeDocument/2006/relationships/hyperlink" Target="https://casetext.com/case/sutton-v-rockingham-cnty" TargetMode="External"/><Relationship Id="rId2410" Type="http://schemas.openxmlformats.org/officeDocument/2006/relationships/hyperlink" Target="https://cases.justia.com/arizona/court-of-appeals-division-one-unpublished/2024-1-ca-ic-23-0013.pdf?ts=1727375455" TargetMode="External"/><Relationship Id="rId2648" Type="http://schemas.openxmlformats.org/officeDocument/2006/relationships/hyperlink" Target="https://www.inquisitr.com/4286305/paramedic-and-firefighter-fondle-teen-having-seizures-jared-david-evans-told-intern-i-had-to/" TargetMode="External"/><Relationship Id="rId2855" Type="http://schemas.openxmlformats.org/officeDocument/2006/relationships/hyperlink" Target="https://www.aclufl.org/legislation/hb-75sb-184-criminalizing-bystanders-exercising-first-amendment-rights/" TargetMode="External"/><Relationship Id="rId96" Type="http://schemas.openxmlformats.org/officeDocument/2006/relationships/hyperlink" Target="https://casetext.com/statute/united-states-code/title-18-crimes-and-criminal-procedure/part-i-crimes/chapter-40-importation-manufacture-distribution-and-storage-of-explosive-materials/section-844-penalties" TargetMode="External"/><Relationship Id="rId827" Type="http://schemas.openxmlformats.org/officeDocument/2006/relationships/hyperlink" Target="https://www.law.com/newyorklawjournal/2018/06/06/2nd-circuit-revives-911-workers-suit-against-battery-park-city-authority/" TargetMode="External"/><Relationship Id="rId1012" Type="http://schemas.openxmlformats.org/officeDocument/2006/relationships/hyperlink" Target="https://codes.ohio.gov/ohio-revised-code/section-109.578" TargetMode="External"/><Relationship Id="rId1457" Type="http://schemas.openxmlformats.org/officeDocument/2006/relationships/hyperlink" Target="https://cases.justia.com/michigan/court-of-appeals-unpublished/2018-339016.pdf?ts=1535720483" TargetMode="External"/><Relationship Id="rId1664" Type="http://schemas.openxmlformats.org/officeDocument/2006/relationships/hyperlink" Target="https://public.fastcase.com/J%2FJP6pdidelsXxEE4k%2BLMkpx4Tc1lqsghN0FDa1gb3wMFLVhhLo5FWrnkmMj5%2F%2BBVQtdjf8pXYj06hYu%2BnGwGl7dOZtJUpPBXfNPjPwixAs%3D?utm_medium=email&amp;_hsmi=226712652&amp;_hsenc=p2ANqtz--C2h-0vhrKpmBZ-sfV5NXYWdtLuQagg3T7ZppydHXd8lRUQhheIKUZNhzvLNm0zeXmkYrDIZXEzHKpdEczURzqVa6roA&amp;utm_content=226712652&amp;utm_source=hs_email" TargetMode="External"/><Relationship Id="rId1871" Type="http://schemas.openxmlformats.org/officeDocument/2006/relationships/hyperlink" Target="https://d.docs.live.net/bd9b2eaf6053242e/AppData/Roaming/Microsoft/AppData/Local/Microsoft/Windows/INetCache/IE/CTCRXJ99/whdfs23.pdf" TargetMode="External"/><Relationship Id="rId2508" Type="http://schemas.openxmlformats.org/officeDocument/2006/relationships/hyperlink" Target="https://codes.ohio.gov/ohio-revised-code/section-4113.52" TargetMode="External"/><Relationship Id="rId2715" Type="http://schemas.openxmlformats.org/officeDocument/2006/relationships/hyperlink" Target="https://apps.fastcase.com/Research/Pages/Document.aspx?LTID=ymjJQ%2bnA3gcD0uwW%2fXT8m74LrRSQo4n%2fvIMvSs06sm8gvhQE4Uja7b0PnhuF%2f4C2xuQogpx6q5d2KkmcmH7G9BxVUizxwq9%2bCSXj%2fVTkPcKayiYbCxXnu3qAsQnurF1%2fEGlhVwGun1DCyEjfhN2WDA%3d%3d" TargetMode="External"/><Relationship Id="rId1317" Type="http://schemas.openxmlformats.org/officeDocument/2006/relationships/hyperlink" Target="https://cases.justia.com/federal/district-courts/virginia/vaedce/2:2025cv00255/573201/8/0.pdf?ts=1769187301" TargetMode="External"/><Relationship Id="rId1524" Type="http://schemas.openxmlformats.org/officeDocument/2006/relationships/hyperlink" Target="https://cases.justia.com/federal/district-courts/kansas/ksdce/6:2022cv01032/140026/96/0.pdf?ts=1694273736" TargetMode="External"/><Relationship Id="rId1731" Type="http://schemas.openxmlformats.org/officeDocument/2006/relationships/hyperlink" Target="https://www.dol.gov/agencies/whd/fact-sheets/17c-overtime-administrative" TargetMode="External"/><Relationship Id="rId1969" Type="http://schemas.openxmlformats.org/officeDocument/2006/relationships/hyperlink" Target="https://www.coloradojudicial.gov/system/files/opinions-2026-06/24CA0675.pdf" TargetMode="External"/><Relationship Id="rId23" Type="http://schemas.openxmlformats.org/officeDocument/2006/relationships/hyperlink" Target="https://www.casemine.com/judgement/us/6a2b9a31eaa021ae7251d64e" TargetMode="External"/><Relationship Id="rId1829" Type="http://schemas.openxmlformats.org/officeDocument/2006/relationships/hyperlink" Target="https://public.fastcase.com/Wl%2B2t%2BeVuI35%2FN70vAMFZpdjKXDmRY5LJSAOUJ86zVs5waUL1YS3yBNtSKE8F5Gl" TargetMode="External"/><Relationship Id="rId2298" Type="http://schemas.openxmlformats.org/officeDocument/2006/relationships/hyperlink" Target="https://law.justia.com/cases/new-york/appellate-division-second-department/2020/2018-14386.html" TargetMode="External"/><Relationship Id="rId172" Type="http://schemas.openxmlformats.org/officeDocument/2006/relationships/hyperlink" Target="https://www.justice.gov/usao-wdnc/pr/asheville-jury-convicts-franklin-nc-man-starting-fire-burned-more-70-acres-federal-land" TargetMode="External"/><Relationship Id="rId477" Type="http://schemas.openxmlformats.org/officeDocument/2006/relationships/hyperlink" Target="https://law.justia.com/cases/wisconsin/supreme-court/1989/87-1094-9.html" TargetMode="External"/><Relationship Id="rId684" Type="http://schemas.openxmlformats.org/officeDocument/2006/relationships/hyperlink" Target="https://storage.courtlistener.com/recap/gov.uscourts.cadc.39605/gov.uscourts.cadc.39605.1208600933.0.pdf" TargetMode="External"/><Relationship Id="rId2060" Type="http://schemas.openxmlformats.org/officeDocument/2006/relationships/hyperlink" Target="https://www.njcourts.gov/system/files/court-opinions/2024/a1893-22.pdf" TargetMode="External"/><Relationship Id="rId2158" Type="http://schemas.openxmlformats.org/officeDocument/2006/relationships/hyperlink" Target="https://www.cbsnews.com/newyork/news/judge-strikes-down-pba-vaccine-mandate-orders-new-york-city-to-reinstate-unvaccinated-members/" TargetMode="External"/><Relationship Id="rId2365" Type="http://schemas.openxmlformats.org/officeDocument/2006/relationships/hyperlink" Target="https://www.supremecourt.gov/opinions/18pdf/17-1660_5ifl.pdf" TargetMode="External"/><Relationship Id="rId337" Type="http://schemas.openxmlformats.org/officeDocument/2006/relationships/hyperlink" Target="https://fisheldowney.com/union-dues-deductions-tips-public-employers/" TargetMode="External"/><Relationship Id="rId891" Type="http://schemas.openxmlformats.org/officeDocument/2006/relationships/hyperlink" Target="https://codes.ohio.gov/ohio-revised-code/section-3746.24" TargetMode="External"/><Relationship Id="rId989" Type="http://schemas.openxmlformats.org/officeDocument/2006/relationships/hyperlink" Target="https://courts.illinois.gov/Opinions/SupremeCourt/2020/124610.pdf" TargetMode="External"/><Relationship Id="rId2018" Type="http://schemas.openxmlformats.org/officeDocument/2006/relationships/hyperlink" Target="https://cdn.ca9.uscourts.gov/datastore/opinions/2025/09/02/24-1044.pdf" TargetMode="External"/><Relationship Id="rId2572" Type="http://schemas.openxmlformats.org/officeDocument/2006/relationships/hyperlink" Target="https://www.cincinnati.com/story/news/politics/2024/02/08/court-former-fire-chief-michael-washington-can-sue-city/72523727007/" TargetMode="External"/><Relationship Id="rId2877" Type="http://schemas.openxmlformats.org/officeDocument/2006/relationships/hyperlink" Target="https://www.supremecourt.ohio.gov/rod/docs/pdf/0/2023/2023-Ohio-4593.pdf" TargetMode="External"/><Relationship Id="rId544" Type="http://schemas.openxmlformats.org/officeDocument/2006/relationships/hyperlink" Target="https://www.supremecourt.ohio.gov/rod/docs/pdf/0/2021/2021-Ohio-2067.pdf" TargetMode="External"/><Relationship Id="rId751" Type="http://schemas.openxmlformats.org/officeDocument/2006/relationships/hyperlink" Target="https://www.cincinnati.com/story/news/2021/08/02/attorney-maker-double-drum-magazine-enabled-dayton-mass-shooting/5455812001/" TargetMode="External"/><Relationship Id="rId849" Type="http://schemas.openxmlformats.org/officeDocument/2006/relationships/hyperlink" Target="https://www.fireengineering.com/firefighting/lawsuit-against-mi-firefighters-who-issued-all-clear-at-fatal-fire-can-continue/?utm_source=fe_daily_newsletter&amp;utm_medium=email&amp;utm_campaign" TargetMode="External"/><Relationship Id="rId1174" Type="http://schemas.openxmlformats.org/officeDocument/2006/relationships/hyperlink" Target="https://www.knoe.com/2021/03/21/bastrop-passes-14-million-property-tax/" TargetMode="External"/><Relationship Id="rId1381" Type="http://schemas.openxmlformats.org/officeDocument/2006/relationships/hyperlink" Target="https://public.fastcase.com/J%2FJP6pdidelsXxEE4k%2BLMhHGbq56VzoTk1JFKDMbyAsW64naZ9EKqTmGK9O1R3Wr9GeihMDs1Zh2VHQfJhn6l7jf8Y6MJiDUL4WQvVsRKlE%3D?utm_medium=email&amp;_hsmi=226712652&amp;_hsenc=p2ANqtz-8S41Im3p2bNEgWstI4h7IIgl63Egh37Z-OzcnjQev0mJue-BzqLfMZTGtGKB_KMNSyA32EmSFNwIWzkboUxTkEerO4Tg&amp;utm_content=226712652&amp;utm_source=hs_email" TargetMode="External"/><Relationship Id="rId1479" Type="http://schemas.openxmlformats.org/officeDocument/2006/relationships/hyperlink" Target="https://storage.courtlistener.com/recap/gov.uscourts.moed.198347/gov.uscourts.moed.198347.70.0.pdf" TargetMode="External"/><Relationship Id="rId1686" Type="http://schemas.openxmlformats.org/officeDocument/2006/relationships/hyperlink" Target="https://law.justia.com/cases/louisiana/supreme-court/2015/2013-c-2878.html" TargetMode="External"/><Relationship Id="rId2225" Type="http://schemas.openxmlformats.org/officeDocument/2006/relationships/hyperlink" Target="https://nmonesource.com/nmos/nmsa/en/item/4422/index.do" TargetMode="External"/><Relationship Id="rId2432" Type="http://schemas.openxmlformats.org/officeDocument/2006/relationships/hyperlink" Target="https://law.justia.com/cases/louisiana/second-circuit-court-of-appeal/2023/54-841-ca.html" TargetMode="External"/><Relationship Id="rId404" Type="http://schemas.openxmlformats.org/officeDocument/2006/relationships/hyperlink" Target="https://www.casemine.com/judgement/us/6963a657827d4c0685d5653a" TargetMode="External"/><Relationship Id="rId611" Type="http://schemas.openxmlformats.org/officeDocument/2006/relationships/hyperlink" Target="https://codes.findlaw.com/ny/general-municipal-law/gmu-sect-205-a.html" TargetMode="External"/><Relationship Id="rId1034" Type="http://schemas.openxmlformats.org/officeDocument/2006/relationships/hyperlink" Target="https://ilcourtsaudio.blob.core.windows.net/antilles-resources/resources/f07642b7-1e8b-438e-bd0d-cfbc858fbc9b/Witteman%20v.%20Brookfield%20Firefighters%20Pension%20Fund%202025%20IL%20App%20(1st)%20241278.pdf" TargetMode="External"/><Relationship Id="rId1241" Type="http://schemas.openxmlformats.org/officeDocument/2006/relationships/hyperlink" Target="http://lawfilesext.leg.wa.gov/biennium/2019-20/Pdf/Bills/Session%20Laws/House/1913.SL.pdf?cite=2019%20c%20133%20%C2%A7%201" TargetMode="External"/><Relationship Id="rId1339" Type="http://schemas.openxmlformats.org/officeDocument/2006/relationships/hyperlink" Target="https://codes.ohio.gov/ohio-revised-code/section-4112.021" TargetMode="External"/><Relationship Id="rId1893" Type="http://schemas.openxmlformats.org/officeDocument/2006/relationships/hyperlink" Target="https://casetext.com/statute/montana-code/title-2-government-structure-and-administration/chapter-4-administrative-procedure-act/part-7-judicial-review-of-contested-cases/section-2-4-702-effective-until-1012025-initiating-judicial-review-of-contested-cases" TargetMode="External"/><Relationship Id="rId2737" Type="http://schemas.openxmlformats.org/officeDocument/2006/relationships/hyperlink" Target="http://www.tsc.state.tn.us/sites/default/files/mosspaulzacharyopn.pdf" TargetMode="External"/><Relationship Id="rId709" Type="http://schemas.openxmlformats.org/officeDocument/2006/relationships/hyperlink" Target="https://mdcourts.gov/data/opinions/cosa/2023/0021s22.pdf" TargetMode="External"/><Relationship Id="rId916" Type="http://schemas.openxmlformats.org/officeDocument/2006/relationships/hyperlink" Target="https://www.courts.state.md.us/sites/default/files/unreported-opinions/0614s19.pdf" TargetMode="External"/><Relationship Id="rId1101" Type="http://schemas.openxmlformats.org/officeDocument/2006/relationships/hyperlink" Target="https://public.fastcase.com/ZZhmr5v9wN%2FXOe5IsQ%2FqD%2FaLdDTUZ9Bp4i3kiVRF7d97YDP9rIPdBi21RNkcNkR5tUpl7J0i2aSQMqXbficIjpy79lKVHToNjy22tiJ4vWE%3D?utm_medium=email&amp;_hsmi=226712652&amp;_hsenc=p2ANqtz-9MD5NcRenWzxZK3r0B0IWrLCE0j3XNAkXqR3ZxFb7wcv_xjopQQNgTmJWg80Fq-GGoAscEcs0qRLFtSd9eSgTH9vCqyg&amp;utm_content=226712652&amp;utm_source=hs_email" TargetMode="External"/><Relationship Id="rId1546" Type="http://schemas.openxmlformats.org/officeDocument/2006/relationships/hyperlink" Target="https://www.masslive.com/news/2018/05/springfield_city_council_appro_79.html" TargetMode="External"/><Relationship Id="rId1753" Type="http://schemas.openxmlformats.org/officeDocument/2006/relationships/hyperlink" Target="https://www.supremecourt.gov/DocketPDF/23/23-217/326778/20240924155125392_2024.09.24%20EMD%20v%20Carrera%20-%20Brief%20for%20Respondents.pdf" TargetMode="External"/><Relationship Id="rId1960" Type="http://schemas.openxmlformats.org/officeDocument/2006/relationships/hyperlink" Target="https://law.justia.com/cases/new-york/other-courts/2019/2019-ny-slip-op-51419-u.html" TargetMode="External"/><Relationship Id="rId2804" Type="http://schemas.openxmlformats.org/officeDocument/2006/relationships/hyperlink" Target="https://caselaw.findlaw.com/us-7th-circuit/2104809.html" TargetMode="External"/><Relationship Id="rId45" Type="http://schemas.openxmlformats.org/officeDocument/2006/relationships/hyperlink" Target="https://cases.justia.com/pennsylvania/supreme-court/2025-15-wap-2024.pdf?ts=1763559881" TargetMode="External"/><Relationship Id="rId1406" Type="http://schemas.openxmlformats.org/officeDocument/2006/relationships/hyperlink" Target="https://www.mass.gov/doc/miltimore-boutin-and-kennedy-v-westfield-fire-commission-52121/download" TargetMode="External"/><Relationship Id="rId1613" Type="http://schemas.openxmlformats.org/officeDocument/2006/relationships/hyperlink" Target="https://public.fastcase.com/Jhe1Qn%2BmJndQYQU6z%2FeNm07xnsMMe9XopEXpzbd8wBfIcwWisDZ8Xdk0vkVeza2z?utm_medium=email&amp;_hsenc=p2ANqtz-9GpH5Yl8KbaQKypiwjwBSc5ZewK71TROtHeH7A0Ky0SFDkHfwzpfrGRkv9wpK-L_sBVpNrip23D5GifO3TaI5YS4qT7w&amp;_hsmi=226712652&amp;utm_content=226712652&amp;utm_source=hs_email" TargetMode="External"/><Relationship Id="rId1820" Type="http://schemas.openxmlformats.org/officeDocument/2006/relationships/hyperlink" Target="https://www.lcwlegal.com/news/cash-in-lieu-must-be-included-in-the-regular-rate-for-overtime-purposes-under-the-flsa-4" TargetMode="External"/><Relationship Id="rId194" Type="http://schemas.openxmlformats.org/officeDocument/2006/relationships/hyperlink" Target="https://www.legislature.ohio.gov/download?key=19460&amp;format=pdf" TargetMode="External"/><Relationship Id="rId1918" Type="http://schemas.openxmlformats.org/officeDocument/2006/relationships/hyperlink" Target="https://lawandcrime.com/lawsuit/racism-negligence-at-pennsylvania-emergency-call-center-led-to-deaths-lawsuit/" TargetMode="External"/><Relationship Id="rId2082" Type="http://schemas.openxmlformats.org/officeDocument/2006/relationships/hyperlink" Target="https://www.opn.ca6.uscourts.gov/opinions.pdf/24a0095p-06.pdf" TargetMode="External"/><Relationship Id="rId261" Type="http://schemas.openxmlformats.org/officeDocument/2006/relationships/hyperlink" Target="https://www.tcpalm.com/story/news/crime/st-lucie-county/2018/10/05/verdict-deputy-violated-martin-mans-civil-rights/1526605002/" TargetMode="External"/><Relationship Id="rId499" Type="http://schemas.openxmlformats.org/officeDocument/2006/relationships/hyperlink" Target="https://casetext.com/case/calatayud-iii-v-state" TargetMode="External"/><Relationship Id="rId2387" Type="http://schemas.openxmlformats.org/officeDocument/2006/relationships/hyperlink" Target="http://www.supremecourt.ohio.gov/rod/docs/pdf/2/2018/2018-ohio-512.pdf" TargetMode="External"/><Relationship Id="rId2594" Type="http://schemas.openxmlformats.org/officeDocument/2006/relationships/hyperlink" Target="https://legislation.nysenate.gov/pdf/bills/2021/S8481" TargetMode="External"/><Relationship Id="rId359" Type="http://schemas.openxmlformats.org/officeDocument/2006/relationships/hyperlink" Target="https://cases.justia.com/federal/appellate-courts/ca5/17-40754/17-40754-2018-08-31.pdf?ts=1535736678" TargetMode="External"/><Relationship Id="rId566" Type="http://schemas.openxmlformats.org/officeDocument/2006/relationships/hyperlink" Target="https://www.cdc.gov/niosh/fire/reports/face200837.html" TargetMode="External"/><Relationship Id="rId773" Type="http://schemas.openxmlformats.org/officeDocument/2006/relationships/hyperlink" Target="https://www.law.cornell.edu/definitions/uscode.php?width=840&amp;height=800&amp;iframe=true&amp;def_id=8-USC-2032517217-1201680101&amp;term_occur=999&amp;term_src=" TargetMode="External"/><Relationship Id="rId1196" Type="http://schemas.openxmlformats.org/officeDocument/2006/relationships/hyperlink" Target="https://www.supremecourt.ohio.gov/rod/docs/pdf/0/2020/2020-Ohio-1047.pdf" TargetMode="External"/><Relationship Id="rId2247" Type="http://schemas.openxmlformats.org/officeDocument/2006/relationships/hyperlink" Target="https://codes.ohio.gov/ohio-revised-code/section-4765.49" TargetMode="External"/><Relationship Id="rId2454" Type="http://schemas.openxmlformats.org/officeDocument/2006/relationships/hyperlink" Target="https://law.justia.com/cases/new-york/appellate-division-third-department/2021/532779.html" TargetMode="External"/><Relationship Id="rId2899" Type="http://schemas.openxmlformats.org/officeDocument/2006/relationships/hyperlink" Target="https://www.hannah.com/ShowDocument.aspx?BTextID=219206" TargetMode="External"/><Relationship Id="rId121" Type="http://schemas.openxmlformats.org/officeDocument/2006/relationships/hyperlink" Target="http://kool.corrections.ky.gov/KOOL/Details/61717" TargetMode="External"/><Relationship Id="rId219" Type="http://schemas.openxmlformats.org/officeDocument/2006/relationships/hyperlink" Target="https://www.law.cornell.edu/supct/html/06-5754.ZS.html" TargetMode="External"/><Relationship Id="rId426" Type="http://schemas.openxmlformats.org/officeDocument/2006/relationships/hyperlink" Target="https://cases.justia.com/arkansas/court-of-appeals/2025-cv-22-305.pdf?ts=1746026138" TargetMode="External"/><Relationship Id="rId633" Type="http://schemas.openxmlformats.org/officeDocument/2006/relationships/hyperlink" Target="https://cases.justia.com/federal/appellate-courts/ca3/25-2635/25-2635-2025-12-01.pdf?ts=1764612050" TargetMode="External"/><Relationship Id="rId980" Type="http://schemas.openxmlformats.org/officeDocument/2006/relationships/hyperlink" Target="https://casetext.com/case/brown-v-ohio-valley-health-servs-educ-corp" TargetMode="External"/><Relationship Id="rId1056" Type="http://schemas.openxmlformats.org/officeDocument/2006/relationships/hyperlink" Target="https://ilcourtsaudio.blob.core.windows.net/antilles-resources/resources/09ac8ced-f502-4e22-9f67-a03c9e14d801/Ford%20v.%20Village%20of%20Northbrook,%202025%20IL%20App%20(1st)%20231952-U.pdf" TargetMode="External"/><Relationship Id="rId1263" Type="http://schemas.openxmlformats.org/officeDocument/2006/relationships/hyperlink" Target="http://www.fifthcircuit.org/dmzdocs/OI/PO/2020/54FCDF86-AA62-4720-B56D-B5FDC85663B0.pdf" TargetMode="External"/><Relationship Id="rId2107" Type="http://schemas.openxmlformats.org/officeDocument/2006/relationships/hyperlink" Target="https://casetext.com/case/louis-v-liberty-cnty-emergency-med-servs-3" TargetMode="External"/><Relationship Id="rId2314" Type="http://schemas.openxmlformats.org/officeDocument/2006/relationships/hyperlink" Target="http://www.leg.state.fl.us/statutes/index.cfm?App_mode=Display_Statute&amp;Search_String=&amp;URL=0100-0199/0112/Sections/0112.182.html" TargetMode="External"/><Relationship Id="rId2661" Type="http://schemas.openxmlformats.org/officeDocument/2006/relationships/hyperlink" Target="https://appellatecases.courtinfo.ca.gov/search/case/disposition.cfm?dist=0&amp;doc_id=2345572&amp;doc_no=S268086&amp;request_token=NiIwLSEmTkw5W1BRSSItTENJQEg0UDxTJSBeRzJSUCAgCg%3D%3D" TargetMode="External"/><Relationship Id="rId2759" Type="http://schemas.openxmlformats.org/officeDocument/2006/relationships/hyperlink" Target="https://www4.courts.ca.gov/opinions/nonpub/B342205.PDF" TargetMode="External"/><Relationship Id="rId840" Type="http://schemas.openxmlformats.org/officeDocument/2006/relationships/hyperlink" Target="https://cases.justia.com/federal/district-courts/federal-claims/cofce/1:2020cv00368/40658/107/0.pdf?ts=1757681305" TargetMode="External"/><Relationship Id="rId938" Type="http://schemas.openxmlformats.org/officeDocument/2006/relationships/hyperlink" Target="https://ilcourtsaudio.blob.core.windows.net/antilles-resources/resources/95e9af0e-d4e6-4f14-9f68-6c313ea57cfa/Postula%20v.%20Blackard,%202025%20IL%20App%20(3d)%20240464-U.pdf" TargetMode="External"/><Relationship Id="rId1470" Type="http://schemas.openxmlformats.org/officeDocument/2006/relationships/hyperlink" Target="https://www.supremecourt.gov/opinions/25pdf/24-109_21o3.pdf" TargetMode="External"/><Relationship Id="rId1568" Type="http://schemas.openxmlformats.org/officeDocument/2006/relationships/hyperlink" Target="https://patch.com/massachusetts/brookline/brookline-select-board-votes-appeal-gerald-alston-case" TargetMode="External"/><Relationship Id="rId1775" Type="http://schemas.openxmlformats.org/officeDocument/2006/relationships/hyperlink" Target="https://cases.justia.com/federal/district-courts/mississippi/mssdce/1:2022cv00356/117172/19/0.pdf?ts=1706287990" TargetMode="External"/><Relationship Id="rId2521" Type="http://schemas.openxmlformats.org/officeDocument/2006/relationships/hyperlink" Target="https://cases.justia.com/louisiana/fourth-circuit-court-of-appeal/2025-2025-ca-0114.pdf?ts=1756426619" TargetMode="External"/><Relationship Id="rId2619" Type="http://schemas.openxmlformats.org/officeDocument/2006/relationships/hyperlink" Target="https://edmontonjournal.com/news/crime/firefighters-who-start-fires-a-look-at-the-phenomenon-of-firefighter-arson" TargetMode="External"/><Relationship Id="rId2826" Type="http://schemas.openxmlformats.org/officeDocument/2006/relationships/hyperlink" Target="https://casetext.com/case/in-re-arbitration-between-city-of-ogdensburg" TargetMode="External"/><Relationship Id="rId67" Type="http://schemas.openxmlformats.org/officeDocument/2006/relationships/hyperlink" Target="https://cases.justia.com/florida/third-district-court-of-appeal/2025-3d23-1625.pdf?ts=1750259354" TargetMode="External"/><Relationship Id="rId700" Type="http://schemas.openxmlformats.org/officeDocument/2006/relationships/hyperlink" Target="https://casetext.com/case/baarbe-v-the-syrian-arab-republic" TargetMode="External"/><Relationship Id="rId1123" Type="http://schemas.openxmlformats.org/officeDocument/2006/relationships/hyperlink" Target="https://casetext.com/case/coaxum-v-bd-of-trs" TargetMode="External"/><Relationship Id="rId1330" Type="http://schemas.openxmlformats.org/officeDocument/2006/relationships/hyperlink" Target="https://cases.justia.com/california/court-of-appeal/2025-b327196.pdf?ts=1748039442" TargetMode="External"/><Relationship Id="rId1428" Type="http://schemas.openxmlformats.org/officeDocument/2006/relationships/hyperlink" Target="https://www.leagle.com/cite/653%20F.2d%20180" TargetMode="External"/><Relationship Id="rId1635" Type="http://schemas.openxmlformats.org/officeDocument/2006/relationships/hyperlink" Target="https://caselaw.findlaw.com/court/us-11th-circuit/115273034.html" TargetMode="External"/><Relationship Id="rId1982" Type="http://schemas.openxmlformats.org/officeDocument/2006/relationships/hyperlink" Target="https://www.hipaajournal.com/hipaa-violation-cases/" TargetMode="External"/><Relationship Id="rId1842" Type="http://schemas.openxmlformats.org/officeDocument/2006/relationships/hyperlink" Target="https://law.justia.com/cases/federal/appellate-courts/ca8/19-1414/19-1414-2020-08-17.html" TargetMode="External"/><Relationship Id="rId1702" Type="http://schemas.openxmlformats.org/officeDocument/2006/relationships/hyperlink" Target="http://www.startribune.com/former-mpls-firefighter-will-be-able-to-sue-for-disability-discrimination-high-court-rules/506468082/" TargetMode="External"/><Relationship Id="rId283" Type="http://schemas.openxmlformats.org/officeDocument/2006/relationships/hyperlink" Target="https://www.mwl-law.com/wp-content/uploads/2018/02/SPOLIATION-OF-EVIDENCE-CHART.pdf" TargetMode="External"/><Relationship Id="rId490" Type="http://schemas.openxmlformats.org/officeDocument/2006/relationships/hyperlink" Target="https://www.firehero.org/fallen-firefighter/russell-h-hayes/" TargetMode="External"/><Relationship Id="rId2171" Type="http://schemas.openxmlformats.org/officeDocument/2006/relationships/hyperlink" Target="https://www.law.cornell.edu/definitions/uscode.php?width=840&amp;height=800&amp;iframe=true&amp;def_id=42-USC-303628742-1009355614&amp;term_occur=999&amp;term_src=" TargetMode="External"/><Relationship Id="rId143" Type="http://schemas.openxmlformats.org/officeDocument/2006/relationships/hyperlink" Target="https://www.washingtonexaminer.com/opinion/beltway-confidential/2771350/little-known-michigan-court-case-could-have-massive-constitutional-effects-across-the-nation/" TargetMode="External"/><Relationship Id="rId350" Type="http://schemas.openxmlformats.org/officeDocument/2006/relationships/hyperlink" Target="https://www.supremecourt.gov/opinions/18pdf/17-1660_5ifl.pdf" TargetMode="External"/><Relationship Id="rId588" Type="http://schemas.openxmlformats.org/officeDocument/2006/relationships/hyperlink" Target="http://41af3k34gprx4f6bg12df75i.wpengine.netdna-cdn.com/wp-content/uploads/sites/19/2019/07/Marvaso-v.-Adams_-2019-U.S.-Dist.-LEXIS-114276.pdf" TargetMode="External"/><Relationship Id="rId795" Type="http://schemas.openxmlformats.org/officeDocument/2006/relationships/hyperlink" Target="https://www.prnewswire.com/news-releases/over-95-of-plaintiffs-accept-world-trade-center-settlement-109252704.html" TargetMode="External"/><Relationship Id="rId2031" Type="http://schemas.openxmlformats.org/officeDocument/2006/relationships/hyperlink" Target="https://www.supremecourt.ohio.gov/rod/docs/pdf/5/2025/2025-Ohio-1961.pdf" TargetMode="External"/><Relationship Id="rId2269" Type="http://schemas.openxmlformats.org/officeDocument/2006/relationships/hyperlink" Target="https://casetext.com/case/county-of-sacramento-v-lewis" TargetMode="External"/><Relationship Id="rId2476" Type="http://schemas.openxmlformats.org/officeDocument/2006/relationships/hyperlink" Target="https://public.fastcase.com/Jhe1Qn%2BmJndQYQU6z%2FeNm8xp5bcQpM0LeCpj95rZ5gNEdVG1ibFcIduRcZ%2B3IipaZYnYIym7VYjtpqKVlaUqasfnn8Tz1CVmcjSIlOE%2BPZg%3D?utm_medium=email&amp;_hsenc=p2ANqtz-9jjfQQEOm_2mMKI3z_PNL0spa8WgXuU5UtiIChSVPrFWGJFWa_yPhDa2X3hbtFntOPOz5eOn48J2_-s790WqIcSfBsuw&amp;_hsmi=226712652&amp;utm_content=226712652&amp;utm_source=hs_email" TargetMode="External"/><Relationship Id="rId2683" Type="http://schemas.openxmlformats.org/officeDocument/2006/relationships/hyperlink" Target="https://casetext.com/case/united-states-v-fields-198" TargetMode="External"/><Relationship Id="rId2890" Type="http://schemas.openxmlformats.org/officeDocument/2006/relationships/hyperlink" Target="https://www.natlawreview.com/article/congress-votes-to-end-mandatory-arbitration-sexual-assault-and-sexual-harassment" TargetMode="External"/><Relationship Id="rId9" Type="http://schemas.openxmlformats.org/officeDocument/2006/relationships/image" Target="media/image1.jpeg"/><Relationship Id="rId210" Type="http://schemas.openxmlformats.org/officeDocument/2006/relationships/hyperlink" Target="https://codes.ohio.gov/ohio-revised-code/section-5589.21" TargetMode="External"/><Relationship Id="rId448" Type="http://schemas.openxmlformats.org/officeDocument/2006/relationships/hyperlink" Target="https://casetext.com/case/armstrong-v-mailand" TargetMode="External"/><Relationship Id="rId655" Type="http://schemas.openxmlformats.org/officeDocument/2006/relationships/hyperlink" Target="https://www.supremecourt.gov/opinions/24pdf/24-20_f2bh.pdf" TargetMode="External"/><Relationship Id="rId862" Type="http://schemas.openxmlformats.org/officeDocument/2006/relationships/hyperlink" Target="https://www.supremecourt.gov/DocketPDF/23/23-1363/321368/20240801101848884_Baker%20v.%20City%20of%20McKinney_%20Texas%20-%20Amicus%20Brief%20in%20Support%20of%20Petitioner.pdf" TargetMode="External"/><Relationship Id="rId1078" Type="http://schemas.openxmlformats.org/officeDocument/2006/relationships/hyperlink" Target="https://ilcourtsaudio.blob.core.windows.net/antilles-resources/resources/db67e7e2-0717-4638-8c31-3e01bcc193d9/Faruzzi%20v.%20Illinois%20Workers%27%20Compensation%20Comm%27n,%202024%20IL%20App%20(1st)%20231896WC-U.pdf" TargetMode="External"/><Relationship Id="rId1285" Type="http://schemas.openxmlformats.org/officeDocument/2006/relationships/hyperlink" Target="https://cases.justia.com/federal/district-courts/ohio/ohndce/1:2018cv02242/247535/15/0.pdf?ts=1544190248" TargetMode="External"/><Relationship Id="rId1492" Type="http://schemas.openxmlformats.org/officeDocument/2006/relationships/hyperlink" Target="https://public.fastcase.com/jaEE2PXzRXmZ99jOLMt1IvrAn%2Bvx0cgAdRJLFzEVE5rZOK58n0UQBGfcsDJAKHyq3V35FHlAbNqGcC8r8dPNnejcnyefccFrDQkDZXnULhU%3D?utm_medium=email&amp;_hsenc=p2ANqtz-8kewSXPlrcM1MOnAYiHvCPklkrBuM3zyFieXeXxpBY7QJCt7ROBRst2YRlv6uOnNoYQgLAyEZN4abHQWMttR1q6BIDag&amp;_hsmi=226712652&amp;utm_content=226712652&amp;utm_source=hs_email" TargetMode="External"/><Relationship Id="rId2129" Type="http://schemas.openxmlformats.org/officeDocument/2006/relationships/hyperlink" Target="https://public.fastcase.com/ZZhmr5v9wN%2FXOe5IsQ%2FqD%2B1qjdbNtrbKnJG3uP2WWVmhlF8pu7dlSanIpJbUEtpE?utm_medium=email&amp;_hsmi=226712652&amp;_hsenc=p2ANqtz-_3swjkE_U3wk1h5U8jVat2QL8kZwPHoy86W6A4pHNVHtwV__0ZHK6m0x71w6miyP2O__WwBW9V-f993pnbFbogevKSBQ&amp;utm_content=226712652&amp;utm_source=hs_email" TargetMode="External"/><Relationship Id="rId2336" Type="http://schemas.openxmlformats.org/officeDocument/2006/relationships/hyperlink" Target="https://law.justia.com/cases/federal/appellate-courts/ca10/18-7036/18-7036-2019-09-06.html" TargetMode="External"/><Relationship Id="rId2543" Type="http://schemas.openxmlformats.org/officeDocument/2006/relationships/hyperlink" Target="https://public.fastcase.com/jaEE2PXzRXmZ99jOLMt1Im1keUzBtfiIHvEUrgtpCe4tsCgV6NtJX3IH6wzppmaYdMf24%2B5puOWV6%2FBXnYGObJXUVli9SMl09cYxEMCDiBI%3D?utm_medium=email&amp;_hsenc=p2ANqtz-_d7OiIN91ZAk7Y1LfM1ALZw-U0OSyNxgKb6pVH2Z92AnZk8gKeX6P0Vdjf87FJH4FQPvAXMckV1s5VI4fjARMOTrnriQ&amp;_hsmi=226712652&amp;utm_content=226712652&amp;utm_source=hs_email" TargetMode="External"/><Relationship Id="rId2750" Type="http://schemas.openxmlformats.org/officeDocument/2006/relationships/hyperlink" Target="https://cases.justia.com/federal/appellate-courts/ca10/25-1424/25-1424-2026-06-22.pdf?ts=1782145915" TargetMode="External"/><Relationship Id="rId308" Type="http://schemas.openxmlformats.org/officeDocument/2006/relationships/hyperlink" Target="https://www.supremecourt.ohio.gov/rod/docs/pdf/9/2020/2020-Ohio-3158.pdf" TargetMode="External"/><Relationship Id="rId515" Type="http://schemas.openxmlformats.org/officeDocument/2006/relationships/hyperlink" Target="https://law.justia.com/cases/federal/appellate-courts/ca3/21-3019/21-3019-2023-01-25.html" TargetMode="External"/><Relationship Id="rId722" Type="http://schemas.openxmlformats.org/officeDocument/2006/relationships/hyperlink" Target="https://www.cadc.uscourts.gov/internet/opinions.nsf/55807FB471B60BB08525888E0051AEA6/$file/21-1087-1956978.pdf" TargetMode="External"/><Relationship Id="rId1145" Type="http://schemas.openxmlformats.org/officeDocument/2006/relationships/hyperlink" Target="https://ilcourtsaudio.blob.core.windows.net/antilles-resources/resources/2cab1835-a4bd-4f15-be52-5bbea6ed2024/Roselle%20v.%20BOT%20of%20the%20Roselle%20Firefighters%20Pension%20Fund,%202021%20IL%20App%20(2d)%20200360.pdf" TargetMode="External"/><Relationship Id="rId1352" Type="http://schemas.openxmlformats.org/officeDocument/2006/relationships/hyperlink" Target="https://www.supremecourt.gov/opinions/23pdf/22-193_q86b.pdf" TargetMode="External"/><Relationship Id="rId1797" Type="http://schemas.openxmlformats.org/officeDocument/2006/relationships/hyperlink" Target="http://www.firefighterovertime.org/2022/12/12/ca-county-settles-flsa-suit/" TargetMode="External"/><Relationship Id="rId2403" Type="http://schemas.openxmlformats.org/officeDocument/2006/relationships/hyperlink" Target="https://cases.justia.com/arizona/court-of-appeals-division-one-published/2025-1-ca-ic-24-0009.pdf?ts=1745946035" TargetMode="External"/><Relationship Id="rId2848" Type="http://schemas.openxmlformats.org/officeDocument/2006/relationships/hyperlink" Target="https://caselaw.findlaw.com/court/co-supreme-court/111256.html" TargetMode="External"/><Relationship Id="rId89" Type="http://schemas.openxmlformats.org/officeDocument/2006/relationships/hyperlink" Target="https://www.supremecourt.gov/opinions/24pdf/24-656_ca7d.pdf" TargetMode="External"/><Relationship Id="rId1005" Type="http://schemas.openxmlformats.org/officeDocument/2006/relationships/hyperlink" Target="https://apps.fastcase.com/Research/Pages/Document.aspx?LTID=Xw8aOGbEV5h7mh6RjPEl9n63ZALwBpLWbymlVcyIbGaFEyS5AIee4aT6cgn2wg4uWWJVckzCvxLzei9%2b4Apj1XP1P42mrmnHytE1H7bv0g2rI4G%2bkqbz4sFzRUBCZSj0unPMTNwoqsGxjmJqgIPe%2fA%3d%3d&amp;ECF=(1999)+21+Cal.4th+226" TargetMode="External"/><Relationship Id="rId1212" Type="http://schemas.openxmlformats.org/officeDocument/2006/relationships/hyperlink" Target="https://courts.illinois.gov/opinions/SupremeCourt/2012/110012.pdf" TargetMode="External"/><Relationship Id="rId1657" Type="http://schemas.openxmlformats.org/officeDocument/2006/relationships/hyperlink" Target="https://cases.justia.com/federal/district-courts/tennessee/tnmdce/3:2021cv00807/88141/32/0.pdf" TargetMode="External"/><Relationship Id="rId1864" Type="http://schemas.openxmlformats.org/officeDocument/2006/relationships/hyperlink" Target="http://41af3k34gprx4f6bg12df75i.wpengine.netdna-cdn.com/wp-content/uploads/sites/19/2019/04/Spokane-Valley-Fire-Department-v-IAFF-Local-3701-RULING.pdf" TargetMode="External"/><Relationship Id="rId2610" Type="http://schemas.openxmlformats.org/officeDocument/2006/relationships/hyperlink" Target="https://www.njcourts.gov/sites/default/files/court-opinions/2023/a3688-20.pdf" TargetMode="External"/><Relationship Id="rId2708" Type="http://schemas.openxmlformats.org/officeDocument/2006/relationships/hyperlink" Target="https://www.in.gov/judiciary/opinions/pdf/03062003jsk.pdf" TargetMode="External"/><Relationship Id="rId1517" Type="http://schemas.openxmlformats.org/officeDocument/2006/relationships/hyperlink" Target="https://casetext.com/case/potter-v-district-of-columbia-2" TargetMode="External"/><Relationship Id="rId1724" Type="http://schemas.openxmlformats.org/officeDocument/2006/relationships/hyperlink" Target="https://cases.justia.com/california/court-of-appeal/2026-f089576.pdf?ts=1776802194" TargetMode="External"/><Relationship Id="rId16" Type="http://schemas.openxmlformats.org/officeDocument/2006/relationships/hyperlink" Target="https://doi.org/10.7945/0dwx-fc52" TargetMode="External"/><Relationship Id="rId1931" Type="http://schemas.openxmlformats.org/officeDocument/2006/relationships/hyperlink" Target="https://law.justia.com/cases/oklahoma/supreme-court/2021/118474.html" TargetMode="External"/><Relationship Id="rId2193" Type="http://schemas.openxmlformats.org/officeDocument/2006/relationships/hyperlink" Target="https://www.facebook.com/watch/?v=2586016544950280" TargetMode="External"/><Relationship Id="rId2498" Type="http://schemas.openxmlformats.org/officeDocument/2006/relationships/hyperlink" Target="https://www.2news.com/news/local/former-sparks-fire-chief-pleads-no-contest-to-drug-related-charge/article_484d699c-7023-11ed-b795-ff8664a2c2d9.html" TargetMode="External"/><Relationship Id="rId165" Type="http://schemas.openxmlformats.org/officeDocument/2006/relationships/hyperlink" Target="https://casetext.com/case/united-states-v-weathington-3" TargetMode="External"/><Relationship Id="rId372" Type="http://schemas.openxmlformats.org/officeDocument/2006/relationships/hyperlink" Target="https://www.nytimes.com/2018/04/02/us/politics/supreme-court-rules-for-police-officer-in-excessive-force-case.html" TargetMode="External"/><Relationship Id="rId677" Type="http://schemas.openxmlformats.org/officeDocument/2006/relationships/hyperlink" Target="https://www.courthousenews.com/wp-content/uploads/2024/07/LGBTQ-DNC-ordinance-block-denial.pdf" TargetMode="External"/><Relationship Id="rId2053" Type="http://schemas.openxmlformats.org/officeDocument/2006/relationships/hyperlink" Target="https://www.ems1.com/legal/federal-court-overturns-va-rule-reducing-ambulance-payments" TargetMode="External"/><Relationship Id="rId2260" Type="http://schemas.openxmlformats.org/officeDocument/2006/relationships/hyperlink" Target="https://www.ca8.uscourts.gov/sites/ca8/files/opinions/191343P.pdf" TargetMode="External"/><Relationship Id="rId2358" Type="http://schemas.openxmlformats.org/officeDocument/2006/relationships/hyperlink" Target="https://www.bizjournals.com/columbus/news/2018/09/20/new-ohio-law-incentivizes-businesses-that-comply.html" TargetMode="External"/><Relationship Id="rId232" Type="http://schemas.openxmlformats.org/officeDocument/2006/relationships/hyperlink" Target="https://public.fastcase.com/9SKwsfNqTc6OieYDhNMyM7D5VS5NTHGa%2BVbO5LbgTVCol88giq6gEwqG77t7xxlVdoZinV7rGr3Vonxjs0f%2FBj%2FzJq07gNCdlFI%2FOtwWHGw%3D" TargetMode="External"/><Relationship Id="rId884" Type="http://schemas.openxmlformats.org/officeDocument/2006/relationships/hyperlink" Target="https://public.fastcase.com/waZtJvSA54UAurM2rmIZzzd7nmMG05wthWSY4rh3YOX2SQqdjQ2bWm74KVsbZSPmzEoqJnKOxl0hCOa8LdPZAi50MjJV0MwcRqnMVHWnvKI%3D" TargetMode="External"/><Relationship Id="rId2120" Type="http://schemas.openxmlformats.org/officeDocument/2006/relationships/hyperlink" Target="https://cases.justia.com/federal/district-courts/new-york/nysdce/7:2022cv04047/580058/37/0.pdf?ts=1703868116" TargetMode="External"/><Relationship Id="rId2565" Type="http://schemas.openxmlformats.org/officeDocument/2006/relationships/hyperlink" Target="https://public.fastcase.com/H1P9uiW3J20SFp%2BGCG%2BxLf0QXfMdGqdqZlQXVQLOVSo%2BRVxC5joRx%2Bn0W0bwooepXLY2KUKQY%2FNa4DzAR11NEG8M8s0LDdmLgDmSoVIjHEI%3D?utm_medium=email&amp;_hsmi=226712652&amp;_hsenc=p2ANqtz--j20uR-GYo6WCSGz4uB5jXz0CJaW80ssMVqf4KPGqbFwk9_LUt6on4Dgf3xdmVustFIoMmyBcwEiGPMrkJq9j9MAGPKA&amp;utm_content=226712652&amp;utm_source=hs_email" TargetMode="External"/><Relationship Id="rId2772" Type="http://schemas.openxmlformats.org/officeDocument/2006/relationships/hyperlink" Target="https://www.supremecourt.ohio.gov/rod/docs/pdf/0/2024/2024-Ohio-5174.pdf" TargetMode="External"/><Relationship Id="rId537" Type="http://schemas.openxmlformats.org/officeDocument/2006/relationships/hyperlink" Target="https://public.fastcase.com/9SKwsfNqTc6OieYDhNMyMw%2FXypC%2BGCgzOI8YVtEGVa9n7jEOxoaSK8egV%2FDY7vKxD%2FnkzijiMqV0cvRDHM3YNZxTynpkQChMaJvb9tBM2DY%3D" TargetMode="External"/><Relationship Id="rId744" Type="http://schemas.openxmlformats.org/officeDocument/2006/relationships/hyperlink" Target="https://www.law.cornell.edu/uscode/text/18/249" TargetMode="External"/><Relationship Id="rId951" Type="http://schemas.openxmlformats.org/officeDocument/2006/relationships/hyperlink" Target="https://www.courts.mo.gov/file.jsp?id=205075" TargetMode="External"/><Relationship Id="rId1167" Type="http://schemas.openxmlformats.org/officeDocument/2006/relationships/hyperlink" Target="https://www.schafer-and-schafer.com/workers-compensation/heart-and-hypertension/" TargetMode="External"/><Relationship Id="rId1374" Type="http://schemas.openxmlformats.org/officeDocument/2006/relationships/hyperlink" Target="https://casetext.com/case/united-states-v-townvill-of-harrison" TargetMode="External"/><Relationship Id="rId1581" Type="http://schemas.openxmlformats.org/officeDocument/2006/relationships/hyperlink" Target="https://law.justia.com/cases/michigan/court-of-appeals-unpublished/2020/350474.html" TargetMode="External"/><Relationship Id="rId1679" Type="http://schemas.openxmlformats.org/officeDocument/2006/relationships/hyperlink" Target="https://casetext.com/case/bey-v-city-of-ny-7" TargetMode="External"/><Relationship Id="rId2218" Type="http://schemas.openxmlformats.org/officeDocument/2006/relationships/hyperlink" Target="https://www.courts.ri.gov/Courts/SupremeCourt/SupremeOpinions/19-373.pdf?fbclid=IwAR381gBQH8M88N6_xqsP3bwAIxYvF38ngnKZywLKveA_XCbfEKJg9F5lDvI" TargetMode="External"/><Relationship Id="rId2425" Type="http://schemas.openxmlformats.org/officeDocument/2006/relationships/hyperlink" Target="https://casetext.com/case/wilson-v-gregory-4" TargetMode="External"/><Relationship Id="rId2632" Type="http://schemas.openxmlformats.org/officeDocument/2006/relationships/hyperlink" Target="https://codes.ohio.gov/ohio-revised-code/section-2953.32/4-7-2021" TargetMode="External"/><Relationship Id="rId80" Type="http://schemas.openxmlformats.org/officeDocument/2006/relationships/hyperlink" Target="https://www.14news.com/2022/08/18/wife-convicted-murderer-both-charged-death-evansville-firefighter/" TargetMode="External"/><Relationship Id="rId604" Type="http://schemas.openxmlformats.org/officeDocument/2006/relationships/hyperlink" Target="https://caselaw.findlaw.com/md-court-of-special-appeals/1897275.html" TargetMode="External"/><Relationship Id="rId811" Type="http://schemas.openxmlformats.org/officeDocument/2006/relationships/hyperlink" Target="https://www.leagle.com/cite/557%20F.3d%201117" TargetMode="External"/><Relationship Id="rId1027" Type="http://schemas.openxmlformats.org/officeDocument/2006/relationships/hyperlink" Target="https://www.kvoa.com/news/arizona/arizona-supreme-court-rules-in-favor-of-firefighter-in-compensation-claim/article_63a696b0-5894-4bcc-94e3-966091411b00.html" TargetMode="External"/><Relationship Id="rId1234" Type="http://schemas.openxmlformats.org/officeDocument/2006/relationships/hyperlink" Target="https://law.justia.com/codes/ohio/2006/orc/jd_14943-4d7.html" TargetMode="External"/><Relationship Id="rId1441" Type="http://schemas.openxmlformats.org/officeDocument/2006/relationships/hyperlink" Target="https://cases.justia.com/federal/district-courts/pennsylvania/paedce/2:2017cv05388/537208/50/0.pdf?ts=1562761562" TargetMode="External"/><Relationship Id="rId1886" Type="http://schemas.openxmlformats.org/officeDocument/2006/relationships/hyperlink" Target="https://www.fireengineering.com/firefighting/medical-marijuana-and-firefighters-creating-a-medical-marijuana-use-policy/" TargetMode="External"/><Relationship Id="rId909" Type="http://schemas.openxmlformats.org/officeDocument/2006/relationships/hyperlink" Target="https://www.nct911.org/how-location-works-for-911/" TargetMode="External"/><Relationship Id="rId1301" Type="http://schemas.openxmlformats.org/officeDocument/2006/relationships/hyperlink" Target="http://tkolb.net/firereports/presumptionreport2009.pdf" TargetMode="External"/><Relationship Id="rId1539" Type="http://schemas.openxmlformats.org/officeDocument/2006/relationships/hyperlink" Target="https://public.fastcase.com/J%2FJP6pdidelsXxEE4k%2BLMlZWglMtowNFAELJodU5Ey8OhOeImHtUqedyG3gviX1KHWia8kZp1W6BpRYSHWWuxJPhh3XCqhBA0xYwY8ImSqA%3D?utm_medium=email&amp;_hsmi=226712652&amp;_hsenc=p2ANqtz-8Opm8993SGrvNEYVYffjIdnWwQ_39Y6IGa88rGJPHsNdF2T_bOfK_XBqNF_9dQMkZM8ini867XF3tJMXcIH4Ec_0OJdg&amp;utm_content=226712652&amp;utm_source=hs_email" TargetMode="External"/><Relationship Id="rId1746" Type="http://schemas.openxmlformats.org/officeDocument/2006/relationships/hyperlink" Target="https://www.dol.gov/agencies/whd/fact-sheets/22-flsa-hours-worked" TargetMode="External"/><Relationship Id="rId1953" Type="http://schemas.openxmlformats.org/officeDocument/2006/relationships/hyperlink" Target="https://www.networkforphl.org/_asset/qz5pvn/legal-interventions-to-reduce-overdose.pdf" TargetMode="External"/><Relationship Id="rId38" Type="http://schemas.openxmlformats.org/officeDocument/2006/relationships/hyperlink" Target="https://www.njcourts.gov/system/files/court-opinions/2025/a_1_25.pdf" TargetMode="External"/><Relationship Id="rId1606" Type="http://schemas.openxmlformats.org/officeDocument/2006/relationships/hyperlink" Target="https://public.fastcase.com/Jhe1Qn%2BmJndQYQU6z%2FeNm2kS7VI9AQpJ451BKRyshBDGiqezkPNA%2BJ4Mc%2Fomhxj3zuPpdWN764R4JuE3lYQbe83p1Nq1XHA6CB8LuiXwXBM%3D?utm_medium=email&amp;_hsenc=p2ANqtz-_xBqvIlP1bgLDQ7-gr0MsyD2cqh9I-7H0nRbwq_ndvk4N-HbAk55liN5jXfY0IgeNEDhFcwLKOWXCSzt7avhQkvFQDlA&amp;_hsmi=226712652&amp;utm_content=226712652&amp;utm_source=hs_email" TargetMode="External"/><Relationship Id="rId1813" Type="http://schemas.openxmlformats.org/officeDocument/2006/relationships/hyperlink" Target="https://public.fastcase.com/9SKwsfNqTc6OieYDhNMyM%2Bd%2B2eK88WBpQndaMaa6S5BNLFOYsG1I8lL7zJutyS4p" TargetMode="External"/><Relationship Id="rId187" Type="http://schemas.openxmlformats.org/officeDocument/2006/relationships/hyperlink" Target="https://www.cdc.gov/niosh/fire/pdfs/face201314.pdf" TargetMode="External"/><Relationship Id="rId394" Type="http://schemas.openxmlformats.org/officeDocument/2006/relationships/hyperlink" Target="https://www.pacourts.us/assets/opinions/Superior/out/J-S01044-26m%20-%20106707559350028927.pdf?cb=1" TargetMode="External"/><Relationship Id="rId2075" Type="http://schemas.openxmlformats.org/officeDocument/2006/relationships/hyperlink" Target="https://www.law.cornell.edu/rules/fre/" TargetMode="External"/><Relationship Id="rId2282" Type="http://schemas.openxmlformats.org/officeDocument/2006/relationships/hyperlink" Target="https://aams.org/aams-member-alert-negotiated-balance-billing-solution-included-in-legislation/" TargetMode="External"/><Relationship Id="rId254" Type="http://schemas.openxmlformats.org/officeDocument/2006/relationships/hyperlink" Target="http://www.pacourts.us/assets/opinions/Supreme/out/j-100-2020mo%20-%20104821740139246918.pdf" TargetMode="External"/><Relationship Id="rId699" Type="http://schemas.openxmlformats.org/officeDocument/2006/relationships/hyperlink" Target="https://caselaw.findlaw.com/court/us-7th-circuit/114903686.html" TargetMode="External"/><Relationship Id="rId1091" Type="http://schemas.openxmlformats.org/officeDocument/2006/relationships/hyperlink" Target="https://cases.justia.com/tennessee/court-of-appeals/2023-e2022-01151-coa-r3-cv.pdf?ts=1703121841" TargetMode="External"/><Relationship Id="rId2587" Type="http://schemas.openxmlformats.org/officeDocument/2006/relationships/hyperlink" Target="https://www.wxii12.com/article/former-ymca-counselor-volunteer-firefighter-pleads-guilty-to-sexually-assaulting-young-boys/28196918" TargetMode="External"/><Relationship Id="rId2794" Type="http://schemas.openxmlformats.org/officeDocument/2006/relationships/hyperlink" Target="https://law.justia.com/cases/federal/district-courts/virginia/vawdce/6:2021cv00025/122367/36/" TargetMode="External"/><Relationship Id="rId114" Type="http://schemas.openxmlformats.org/officeDocument/2006/relationships/hyperlink" Target="https://law.justia.com/cases/new-york/other-courts/2024/2024-ny-slip-op-51294-u.html" TargetMode="External"/><Relationship Id="rId461" Type="http://schemas.openxmlformats.org/officeDocument/2006/relationships/hyperlink" Target="https://www.scribd.com/document/312245216/Career-Probationary-Firefighter-Runs-Out-of-Air-and-Dies-in-Commercial-Structure-Fire" TargetMode="External"/><Relationship Id="rId559" Type="http://schemas.openxmlformats.org/officeDocument/2006/relationships/hyperlink" Target="https://mdcourts.gov/data/opinions/coa/2020/49a19.pdf" TargetMode="External"/><Relationship Id="rId766" Type="http://schemas.openxmlformats.org/officeDocument/2006/relationships/hyperlink" Target="https://www.law.cornell.edu/definitions/uscode.php?width=840&amp;height=800&amp;iframe=true&amp;def_id=8-USC-2032517217-1201680101&amp;term_occur=999&amp;term_src=" TargetMode="External"/><Relationship Id="rId1189" Type="http://schemas.openxmlformats.org/officeDocument/2006/relationships/hyperlink" Target="https://www.doi.gov/sites/doi.gov/files/migrated/flert/training/upload/General-FF-LEO-Retirement-Information-Pamphlet.pdf" TargetMode="External"/><Relationship Id="rId1396" Type="http://schemas.openxmlformats.org/officeDocument/2006/relationships/hyperlink" Target="https://casetext.com/case/molchan-v-delmar-fire-dept-1" TargetMode="External"/><Relationship Id="rId2142" Type="http://schemas.openxmlformats.org/officeDocument/2006/relationships/hyperlink" Target="https://public.fastcase.com/ZZhmr5v9wN%2FXOe5IsQ%2FqD7GCKb2IB3J54e7ItSmUYP%2BWMLglINdF7XSY%2Fk9VEPoTx4QWBItn6mQ9CDY1KKV2Qj7lzwy8FX40VrBADcTdOUs%3D?utm_medium=email&amp;_hsmi=226712652&amp;_hsenc=p2ANqtz-_DK7zem2LwgE_Zwv-o_RP9UByjQ85WHbLNpM1Ddz9HLFMrLo4_e5BuKmezeF9cnjUjmpRGuKlpbVs2F5114RUdRnDuAQ&amp;utm_content=226712652&amp;utm_source=hs_email" TargetMode="External"/><Relationship Id="rId2447" Type="http://schemas.openxmlformats.org/officeDocument/2006/relationships/hyperlink" Target="https://www.sacbee.com/news/local/article257698263.html" TargetMode="External"/><Relationship Id="rId321" Type="http://schemas.openxmlformats.org/officeDocument/2006/relationships/hyperlink" Target="https://public.fastcase.com/Wl%2B2t%2BeVuI35%2FN70vAMFZj1n7kcpr8halXGGcU2zGib4k7w6DLSXX7%2BQNj%2B4S4J7" TargetMode="External"/><Relationship Id="rId419" Type="http://schemas.openxmlformats.org/officeDocument/2006/relationships/hyperlink" Target="https://www.rcfp.org/wp-content/uploads/2025/08/2025-08-05-RCFP-v.-Rokita-Seventh-Circuit-opinion.pdf" TargetMode="External"/><Relationship Id="rId626" Type="http://schemas.openxmlformats.org/officeDocument/2006/relationships/hyperlink" Target="https://pubs.acs.org/doi/10.1021/cen-09438-notw2" TargetMode="External"/><Relationship Id="rId973" Type="http://schemas.openxmlformats.org/officeDocument/2006/relationships/hyperlink" Target="https://law.justia.com/cases/texas/fourteenth-court-of-appeals/2022/14-20-00566-cv.html" TargetMode="External"/><Relationship Id="rId1049" Type="http://schemas.openxmlformats.org/officeDocument/2006/relationships/hyperlink" Target="https://caselaw.findlaw.com/court/ny-supreme-court/117196656.html" TargetMode="External"/><Relationship Id="rId1256" Type="http://schemas.openxmlformats.org/officeDocument/2006/relationships/hyperlink" Target="https://courts.illinois.gov/R23_Orders/AppellateCourt/2020/1stDistrict/1181708_R23.pdf" TargetMode="External"/><Relationship Id="rId2002" Type="http://schemas.openxmlformats.org/officeDocument/2006/relationships/hyperlink" Target="https://law.justia.com/cases/new-york/appellate-division-first-department/2025/index-no-153104-18-appeal-no-5428-case-no-2024-01885.html" TargetMode="External"/><Relationship Id="rId2307" Type="http://schemas.openxmlformats.org/officeDocument/2006/relationships/hyperlink" Target="https://www.txcourts.gov/media/1447243/181085f-1.pdf" TargetMode="External"/><Relationship Id="rId2654" Type="http://schemas.openxmlformats.org/officeDocument/2006/relationships/hyperlink" Target="https://www.dispatch.com/in-depth/news/2021/05/17/broken-pledge-fraternity-hazing-collin-wiant-death-ohio-university/5071265001/" TargetMode="External"/><Relationship Id="rId2861" Type="http://schemas.openxmlformats.org/officeDocument/2006/relationships/hyperlink" Target="https://public.fastcase.com/jaEE2PXzRXmZ99jOLMt1InNcYbqVaI0RKJVNmSUWwC4uBfhrqEaMCXW4t6jftSIgD4%2FHoHLdH48y39slr7kZWrEMnvLTwJnn0bFKh%2B9XZVQ%3D?utm_medium=email&amp;_hsenc=p2ANqtz-9jIRW7ECQxdsfZzinN3lzy-N6WwmOPS0xWaDDWCvHvPAgLyigDSOvaGk0u5IT3PeW4EZ19aOxVZon74RIrJmMQwWSuhw&amp;_hsmi=226712652&amp;utm_content=226712652&amp;utm_source=hs_email" TargetMode="External"/><Relationship Id="rId833" Type="http://schemas.openxmlformats.org/officeDocument/2006/relationships/hyperlink" Target="https://in.reuters.com/article/usa-court-iran/u-s-top-court-forbids-seizure-of-ancient-persian-artifacts-idINKCN1G51ZY" TargetMode="External"/><Relationship Id="rId1116" Type="http://schemas.openxmlformats.org/officeDocument/2006/relationships/hyperlink" Target="https://public.fastcase.com/J%2FJP6pdidelsXxEE4k%2BLMk0xZflerRl5zZ1fWOEI5mhvpVlhWjp%2F9QDqlOI9DDnF8Aa9%2BfFIJaxfznSW2LItCr2%2FIZnHCYIIWW3H5dl8900%3D?utm_medium=email&amp;_hsmi=226712652&amp;_hsenc=p2ANqtz-9FKeS83U96VoJDZ5OFHU1pICbtYjQvhKtRkoV1KLCJmMon6gHAySjMj0YQylycLU_jnNetJR4aMTbAa4E7Rm7YwE3nmg&amp;utm_content=226712652&amp;utm_source=hs_email" TargetMode="External"/><Relationship Id="rId1463" Type="http://schemas.openxmlformats.org/officeDocument/2006/relationships/hyperlink" Target="https://cases.justia.com/federal/appellate-courts/ca7/24-3262/24-3262-2026-06-08.pdf?ts=1780948846" TargetMode="External"/><Relationship Id="rId1670" Type="http://schemas.openxmlformats.org/officeDocument/2006/relationships/hyperlink" Target="https://www.leagle.com/decision/infdco20211215796" TargetMode="External"/><Relationship Id="rId1768" Type="http://schemas.openxmlformats.org/officeDocument/2006/relationships/hyperlink" Target="https://www.ecfr.gov/current/title-29/subtitle-B/chapter-V/subchapter-B/part-785/subpart-C/subject-group-ECFR3d1222debcd8ec6/section-785.19" TargetMode="External"/><Relationship Id="rId2514" Type="http://schemas.openxmlformats.org/officeDocument/2006/relationships/hyperlink" Target="https://www.dispatch.com/story/news/crime/2025/05/22/columbus-firefighter-child-porn-charges-lancaster-ohio-carson-bigham/83795834007/" TargetMode="External"/><Relationship Id="rId2721" Type="http://schemas.openxmlformats.org/officeDocument/2006/relationships/hyperlink" Target="https://www.opn.ca6.uscourts.gov/opinions.pdf/19a0286p-06.pdf" TargetMode="External"/><Relationship Id="rId2819" Type="http://schemas.openxmlformats.org/officeDocument/2006/relationships/hyperlink" Target="http://perc.myflorida.com/download.aspx/Prefix=CA/CaseYr=21/CaseNo=012/File=CA21012_Ord10_05192022_163540.pdf" TargetMode="External"/><Relationship Id="rId900" Type="http://schemas.openxmlformats.org/officeDocument/2006/relationships/hyperlink" Target="https://www.npr.org/2021/10/18/1047085626/supreme-court-police-qualified-immunity-cases" TargetMode="External"/><Relationship Id="rId1323" Type="http://schemas.openxmlformats.org/officeDocument/2006/relationships/hyperlink" Target="https://public.fastcase.com/jaEE2PXzRXmZ99jOLMt1Ith2qIaSeggCoLDpY1bED9tguFhWPV6Zo6qPtk3o63Z4?utm_medium=email&amp;_hsenc=p2ANqtz-_k3-Q52FXjJQN9NeOgWdHNDXhdU7FtsE1Qhtjng3_RTOztkpkvOWiDZxLNU-kndNaS-F1RaBe3KZirW8vwSyzK6BF9eQ&amp;_hsmi=226712652&amp;utm_content=226712652&amp;utm_source=hs_email" TargetMode="External"/><Relationship Id="rId1530" Type="http://schemas.openxmlformats.org/officeDocument/2006/relationships/hyperlink" Target="https://www.iafc.org/membership/iCHIEFS/iCHIEFS-article/department-of-justice-consent-decrees-and-the-fire-service" TargetMode="External"/><Relationship Id="rId1628" Type="http://schemas.openxmlformats.org/officeDocument/2006/relationships/hyperlink" Target="https://www.eeoc.gov/laws/guidance/enforcement-guidance-reasonable-accommodation-and-undue-hardship-under-ada" TargetMode="External"/><Relationship Id="rId1975" Type="http://schemas.openxmlformats.org/officeDocument/2006/relationships/hyperlink" Target="https://cases.justia.com/idaho/supreme-court-criminal/2026-51595.pdf?ts=1778169780" TargetMode="External"/><Relationship Id="rId1835" Type="http://schemas.openxmlformats.org/officeDocument/2006/relationships/hyperlink" Target="http://www.firefighterovertime.org/wp-content/uploads/2018/03/DFW-FLSA-Complaint-2018.pdf" TargetMode="External"/><Relationship Id="rId1902" Type="http://schemas.openxmlformats.org/officeDocument/2006/relationships/hyperlink" Target="https://cases.justia.com/federal/district-courts/california/candce/3:2024cv00614/424391/24/0.pdf" TargetMode="External"/><Relationship Id="rId2097" Type="http://schemas.openxmlformats.org/officeDocument/2006/relationships/hyperlink" Target="https://casetext.com/case/vaughn-v-klamath-cnty-fire-dist-no1-1" TargetMode="External"/><Relationship Id="rId276" Type="http://schemas.openxmlformats.org/officeDocument/2006/relationships/hyperlink" Target="https://www.ethics.ohio.gov/advice/formaltopics.html" TargetMode="External"/><Relationship Id="rId483" Type="http://schemas.openxmlformats.org/officeDocument/2006/relationships/hyperlink" Target="https://casetext.com/case/brady-v-village-of-malverne" TargetMode="External"/><Relationship Id="rId690" Type="http://schemas.openxmlformats.org/officeDocument/2006/relationships/hyperlink" Target="https://www.smithsonianmag.com/history/the-history-of-californias-inmate-firefighter-program-180980662/" TargetMode="External"/><Relationship Id="rId2164" Type="http://schemas.openxmlformats.org/officeDocument/2006/relationships/hyperlink" Target="https://www.courts.wa.gov/opinions/pdf/1001002.pdf" TargetMode="External"/><Relationship Id="rId2371" Type="http://schemas.openxmlformats.org/officeDocument/2006/relationships/hyperlink" Target="https://www.law.cornell.edu/rules/frcp/rule_26" TargetMode="External"/><Relationship Id="rId136" Type="http://schemas.openxmlformats.org/officeDocument/2006/relationships/hyperlink" Target="https://casetext.com/case/in-re-daims" TargetMode="External"/><Relationship Id="rId343" Type="http://schemas.openxmlformats.org/officeDocument/2006/relationships/hyperlink" Target="https://www.supremecourt.gov/opinions/18pdf/18a815_3d9g.pdf" TargetMode="External"/><Relationship Id="rId550" Type="http://schemas.openxmlformats.org/officeDocument/2006/relationships/hyperlink" Target="https://www.radio.com/kcbsradio/news/local/oakland-fire-stations-may-close-due-to-budget-deficit" TargetMode="External"/><Relationship Id="rId788" Type="http://schemas.openxmlformats.org/officeDocument/2006/relationships/hyperlink" Target="https://www.congress.gov/115/plaws/publ232/PLAW-115publ232.pdf" TargetMode="External"/><Relationship Id="rId995" Type="http://schemas.openxmlformats.org/officeDocument/2006/relationships/hyperlink" Target="https://casetext.com/case/hicks-v-city-of-ofallon" TargetMode="External"/><Relationship Id="rId1180" Type="http://schemas.openxmlformats.org/officeDocument/2006/relationships/hyperlink" Target="https://law.justia.com/cases/ohio/first-district-court-of-appeals/2020/c-190708.html" TargetMode="External"/><Relationship Id="rId2024" Type="http://schemas.openxmlformats.org/officeDocument/2006/relationships/hyperlink" Target="https://cases.justia.com/texas/fifteenth-court-of-appeals/2025-15-24-00048-cv.pdf?ts=1753365777" TargetMode="External"/><Relationship Id="rId2231" Type="http://schemas.openxmlformats.org/officeDocument/2006/relationships/hyperlink" Target="https://www.ca4.uscourts.gov/Opinions/201906.U.pdf" TargetMode="External"/><Relationship Id="rId2469" Type="http://schemas.openxmlformats.org/officeDocument/2006/relationships/hyperlink" Target="https://www.firerescue1.com/fallen-firefighters/articles/379994018-Study-More-firefighters-died-by-suicide-than-in-the-line-of-duty-in-2017/" TargetMode="External"/><Relationship Id="rId2676" Type="http://schemas.openxmlformats.org/officeDocument/2006/relationships/hyperlink" Target="https://www.courts.ca.gov/opinions/documents/A155107.PDF" TargetMode="External"/><Relationship Id="rId2883" Type="http://schemas.openxmlformats.org/officeDocument/2006/relationships/hyperlink" Target="https://cases.justia.com/florida/fifth-district-court-of-appeal/2022-5d21-1620.pdf?ts=1666365198" TargetMode="External"/><Relationship Id="rId203" Type="http://schemas.openxmlformats.org/officeDocument/2006/relationships/hyperlink" Target="https://law.justia.com/cases/federal/appellate-courts/ca3/22-1079/22-1079-2022-11-29.html" TargetMode="External"/><Relationship Id="rId648" Type="http://schemas.openxmlformats.org/officeDocument/2006/relationships/hyperlink" Target="https://www2.ca3.uscourts.gov/opinarch/231900p.pdf" TargetMode="External"/><Relationship Id="rId855" Type="http://schemas.openxmlformats.org/officeDocument/2006/relationships/hyperlink" Target="https://casetext.com/case/portillo-v-madera-cnty" TargetMode="External"/><Relationship Id="rId1040" Type="http://schemas.openxmlformats.org/officeDocument/2006/relationships/hyperlink" Target="file:///C:/Users/lawre/Downloads/25-26180-1.pdf" TargetMode="External"/><Relationship Id="rId1278" Type="http://schemas.openxmlformats.org/officeDocument/2006/relationships/hyperlink" Target="http://inmanfitzgibbons.com/illinois-wc-alert-rebutting-the-6f-presumption/" TargetMode="External"/><Relationship Id="rId1485" Type="http://schemas.openxmlformats.org/officeDocument/2006/relationships/hyperlink" Target="https://www.supremecourt.gov/opinions/24pdf/23-909_f2q3.pdf" TargetMode="External"/><Relationship Id="rId1692" Type="http://schemas.openxmlformats.org/officeDocument/2006/relationships/hyperlink" Target="https://www.justice.gov/opa/pr/justice-department-settles-college-resolve-disability-discrimination-complaint" TargetMode="External"/><Relationship Id="rId2329" Type="http://schemas.openxmlformats.org/officeDocument/2006/relationships/hyperlink" Target="https://ecf.flmd.uscourts.gov/cgi-bin/show_public_doc?2019-00439-60-2-cv" TargetMode="External"/><Relationship Id="rId2536" Type="http://schemas.openxmlformats.org/officeDocument/2006/relationships/hyperlink" Target="https://www.courts.state.hi.us/wp-content/uploads/2025/06/CAAP-22-0000641sdo.pdf" TargetMode="External"/><Relationship Id="rId2743" Type="http://schemas.openxmlformats.org/officeDocument/2006/relationships/hyperlink" Target="https://d.docs.live.net/bd9b2eaf6053242e/AppData/Roaming/Microsoft/AppData/Local/Microsoft/Windows/INetCache/IE/7HZ56W7X/sweat.joseph.opn_.pdf" TargetMode="External"/><Relationship Id="rId410" Type="http://schemas.openxmlformats.org/officeDocument/2006/relationships/hyperlink" Target="https://cases.justia.com/connecticut/court-of-appeals/2025-ac46735.pdf?ts=1766582340" TargetMode="External"/><Relationship Id="rId508" Type="http://schemas.openxmlformats.org/officeDocument/2006/relationships/hyperlink" Target="https://www.whsv.com/content/news/West-Virginia-firefighter-killed-in-crash-while-responding-to-fire-566946181.html" TargetMode="External"/><Relationship Id="rId715" Type="http://schemas.openxmlformats.org/officeDocument/2006/relationships/hyperlink" Target="https://www.justice.gov/opa/speech/deputy-attorney-general-lisa-o-monaco-delivers-remarks-atf-academy-graduation" TargetMode="External"/><Relationship Id="rId922" Type="http://schemas.openxmlformats.org/officeDocument/2006/relationships/hyperlink" Target="https://cases.justia.com/texas/fourth-court-of-appeals/2026-04-25-00487-cr.pdf?ts=1782304969" TargetMode="External"/><Relationship Id="rId1138" Type="http://schemas.openxmlformats.org/officeDocument/2006/relationships/hyperlink" Target="https://isc.idaho.gov/opinions/49171.pdf" TargetMode="External"/><Relationship Id="rId1345" Type="http://schemas.openxmlformats.org/officeDocument/2006/relationships/hyperlink" Target="https://www.supremecourt.gov/DocketPDF/23/23-1039/335322/20241216192608136_23-1039_Ames_Amicus_Brief_iso_Vacatur.pdf" TargetMode="External"/><Relationship Id="rId1552" Type="http://schemas.openxmlformats.org/officeDocument/2006/relationships/hyperlink" Target="https://law.justia.com/cases/texas/fourteenth-court-of-appeals/2022/14-20-00688-cv.html" TargetMode="External"/><Relationship Id="rId1997" Type="http://schemas.openxmlformats.org/officeDocument/2006/relationships/hyperlink" Target="https://public.fastcase.com/Jhe1Qn%2BmJndQYQU6z%2FeNm1LICE259A5ulYHxnw3lcJtDWEaUq57rExGHQXd3hU8EgaPHTdGS%2FRk5aoRP0crRKmeZauTqc6nD5gh3xIKTEMg%3D?utm_medium=email&amp;_hsenc=p2ANqtz-9zYvhQr5QF-kHvOgqVEwwEjeDJW6aa7G89aGppWtTq6GnIfdSTK1neKuS-jEFNuUA2B3hULaVGvwBQIPV_0qoJel6h4w&amp;_hsmi=226712652&amp;utm_content=226712652&amp;utm_source=hs_email" TargetMode="External"/><Relationship Id="rId2603" Type="http://schemas.openxmlformats.org/officeDocument/2006/relationships/hyperlink" Target="https://law.justia.com/cases/florida/third-district-court-of-appeal/2022/3d21-2413.html" TargetMode="External"/><Relationship Id="rId1205" Type="http://schemas.openxmlformats.org/officeDocument/2006/relationships/hyperlink" Target="https://www.ethics.ohio.gov/advice/opinions/91-002.pdf" TargetMode="External"/><Relationship Id="rId1857" Type="http://schemas.openxmlformats.org/officeDocument/2006/relationships/hyperlink" Target="https://www.justice.gov/crt/case-document/file/1227366/download" TargetMode="External"/><Relationship Id="rId2810" Type="http://schemas.openxmlformats.org/officeDocument/2006/relationships/hyperlink" Target="https://public.fastcase.com/J%2FJP6pdidelsXxEE4k%2BLMtVWis%2BjrVT91gBFG4uyJWEPcpNLWXxLmz%2FQC7BVJHEFVVKmRnSKx2JFHo6ASClx4LYOJwrUPHRSA%2B3C21y5uNo%3D?utm_medium=email&amp;_hsmi=226712652&amp;_hsenc=p2ANqtz-_Z7uUMGtz89TwJ8h7fDGtfvV3sIYognKNnX4gprWQ41uEM6WKF6eTc5YmYCWiY12JCxBXlLKEbrm5nDUGgSrncCZSdVg&amp;utm_content=226712652&amp;utm_source=hs_email" TargetMode="External"/><Relationship Id="rId51" Type="http://schemas.openxmlformats.org/officeDocument/2006/relationships/hyperlink" Target="https://www.hstoday.us/subject-matter-areas/unmanned-vehicles/eyes-in-the-sky-do-cities-need-warrants-for-drones/" TargetMode="External"/><Relationship Id="rId1412" Type="http://schemas.openxmlformats.org/officeDocument/2006/relationships/hyperlink" Target="https://scholar.google.com/scholar_case?case=10119606247499891126&amp;q=Rachel+MOSBY+v.+CITY+OF+BYRON,+GEORGIA,&amp;hl=en&amp;as_sdt=6,36" TargetMode="External"/><Relationship Id="rId1717" Type="http://schemas.openxmlformats.org/officeDocument/2006/relationships/hyperlink" Target="https://public.fastcase.com/Wl%2B2t%2BeVuI35%2FN70vAMFZmLHUFluj8t0T%2BAyFM6B%2B2S9SNpejaiKBu7OSzXfoy%2FQ" TargetMode="External"/><Relationship Id="rId1924" Type="http://schemas.openxmlformats.org/officeDocument/2006/relationships/hyperlink" Target="https://www.supremecourt.gov/docket/docketfiles/html/public/20-7934.html" TargetMode="External"/><Relationship Id="rId298" Type="http://schemas.openxmlformats.org/officeDocument/2006/relationships/hyperlink" Target="https://www.myfloridacfo.com/division/agents/Industry/News/PubAdjRegs.htm" TargetMode="External"/><Relationship Id="rId158" Type="http://schemas.openxmlformats.org/officeDocument/2006/relationships/hyperlink" Target="https://www.denver7.com/news/local-news/colorado-supreme-court-ruled-in-favor-of-reverse-keyword-search-denver-police-used-to-track-arson-suspects" TargetMode="External"/><Relationship Id="rId2186" Type="http://schemas.openxmlformats.org/officeDocument/2006/relationships/hyperlink" Target="https://public.fastcase.com/J%2FJP6pdidelsXxEE4k%2BLMlnZT9Hwtbb0RSX5AXtKQie%2FaJxcYuONay3v%2BauGycaLZPl2uZFZiVR3n7gLzEpChzWsXN2J3yktMkRz%2BOu%2BxAQ%3D" TargetMode="External"/><Relationship Id="rId2393" Type="http://schemas.openxmlformats.org/officeDocument/2006/relationships/hyperlink" Target="https://www.casemine.com/judgement/us/698dd4328a508cf645e20167" TargetMode="External"/><Relationship Id="rId2698" Type="http://schemas.openxmlformats.org/officeDocument/2006/relationships/hyperlink" Target="https://public.fastcase.com/Wl%2B2t%2BeVuI35%2FN70vAMFZp9w48IhR7rqnPPjn28%2FbaO7JZNoqz%2Fb8m3w7iUI6Fbj" TargetMode="External"/><Relationship Id="rId365" Type="http://schemas.openxmlformats.org/officeDocument/2006/relationships/hyperlink" Target="https://www.supremecourt.gov/opinions/17pdf/16-402_h315.pdf" TargetMode="External"/><Relationship Id="rId572" Type="http://schemas.openxmlformats.org/officeDocument/2006/relationships/hyperlink" Target="https://www.newsday.com/long-island/crime/west-hempstead-man-menaced-fire-volunteer-with-gun-police-say-1.12068135" TargetMode="External"/><Relationship Id="rId2046" Type="http://schemas.openxmlformats.org/officeDocument/2006/relationships/hyperlink" Target="https://casetext.com/statute/general-laws-of-massachusetts/part-i-administration-of-the-government/title-xxi-labor-and-industries/chapter-149-labor-and-industries/section-149187-health-care-providers-protection-from-retaliatory-action-by-health-care-facilities" TargetMode="External"/><Relationship Id="rId2253" Type="http://schemas.openxmlformats.org/officeDocument/2006/relationships/hyperlink" Target="https://law.justia.com/codes/west-virginia/2017/chapter-55/article-7b/section-55-7b-6/" TargetMode="External"/><Relationship Id="rId2460" Type="http://schemas.openxmlformats.org/officeDocument/2006/relationships/hyperlink" Target="https://public.fastcase.com/Wl%2B2t%2BeVuI35%2FN70vAMFZlfrbL2Iv9t8X190JkA%2BKSgGR212V5tgaR0%2FcTyilOxc" TargetMode="External"/><Relationship Id="rId225" Type="http://schemas.openxmlformats.org/officeDocument/2006/relationships/hyperlink" Target="https://casetext.com/case/2095-stonington-llc-v-vill-of-hoffman-estates" TargetMode="External"/><Relationship Id="rId432" Type="http://schemas.openxmlformats.org/officeDocument/2006/relationships/hyperlink" Target="https://www.courts.ms.gov/images/Opinions/CO182132.pdf" TargetMode="External"/><Relationship Id="rId877" Type="http://schemas.openxmlformats.org/officeDocument/2006/relationships/hyperlink" Target="https://public.fastcase.com/J%2FJP6pdidelsXxEE4k%2BLMn3rhSw89wni4akrGgclH4tY407nVvfTRwhYpyTytqAww5i%2BcjDR8DFfgYYxUNnhOrZ4pPx8rv87OEAaoYdIWaw%3D?utm_medium=email&amp;_hsmi=226712652&amp;_hsenc=p2ANqtz--lPKcQUZ00Y_ImXZh39HMz6UO0kEIbng7bmb6odI7o6fRRwj_-I6PCBlRwjLhuflNpZQs-1Wu84wEID-VmUx_pZGrr8w&amp;utm_content=226712652&amp;utm_source=hs_email" TargetMode="External"/><Relationship Id="rId1062" Type="http://schemas.openxmlformats.org/officeDocument/2006/relationships/hyperlink" Target="https://www.courtswv.gov/sites/default/pubfilesmnt/2024-03/23-ICA-446_MD.pdf" TargetMode="External"/><Relationship Id="rId2113" Type="http://schemas.openxmlformats.org/officeDocument/2006/relationships/hyperlink" Target="https://www.ca5.uscourts.gov/opinions/unpub/23/23-20375.0.pdf" TargetMode="External"/><Relationship Id="rId2320" Type="http://schemas.openxmlformats.org/officeDocument/2006/relationships/hyperlink" Target="https://www.pennlive.com/news/2020/04/split-pa-supreme-court-rejects-latest-challenge-to-gov-wolfs-coronavirus-business-shutdown-order.html" TargetMode="External"/><Relationship Id="rId2558" Type="http://schemas.openxmlformats.org/officeDocument/2006/relationships/hyperlink" Target="https://www.njcourts.gov/system/files/court-opinions/2024/a1537-22.pdf" TargetMode="External"/><Relationship Id="rId2765" Type="http://schemas.openxmlformats.org/officeDocument/2006/relationships/hyperlink" Target="https://insideinvestigator.org/court-upholds-finding-of-retaliation-against-suffield-firefighter/" TargetMode="External"/><Relationship Id="rId737" Type="http://schemas.openxmlformats.org/officeDocument/2006/relationships/hyperlink" Target="https://www.ca4.uscourts.gov/opinions/173.P.pdf" TargetMode="External"/><Relationship Id="rId944" Type="http://schemas.openxmlformats.org/officeDocument/2006/relationships/hyperlink" Target="https://cases.justia.com/pennsylvania/commonwealth-court/2024-1232-c-d-2023.pdf?ts=1729783758" TargetMode="External"/><Relationship Id="rId1367" Type="http://schemas.openxmlformats.org/officeDocument/2006/relationships/hyperlink" Target="https://public.fastcase.com/ZZhmr5v9wN%2FXOe5IsQ%2FqD9BUVBv1kUZp9ZGh4udwVOZOikyKuqCQ4FBlGwYEPhOQ?utm_medium=email&amp;_hsmi=226712652&amp;_hsenc=p2ANqtz-8T0ew8oNT-12TbgKrs2ORAj7WbRAGASG77xIYUvebbTcAbFOuK4r9xkTZLpSPqAw77_8KgP47FqlehaZADxsQlpR3k0g&amp;utm_content=226712652&amp;utm_source=hs_email" TargetMode="External"/><Relationship Id="rId1574" Type="http://schemas.openxmlformats.org/officeDocument/2006/relationships/hyperlink" Target="https://casetext.com/case/alexander-v-bahou/?PHONE_NUMBER_GROUP=P" TargetMode="External"/><Relationship Id="rId1781" Type="http://schemas.openxmlformats.org/officeDocument/2006/relationships/hyperlink" Target="https://www.dol.gov/newsroom/releases/whd/whd20230524-0" TargetMode="External"/><Relationship Id="rId2418" Type="http://schemas.openxmlformats.org/officeDocument/2006/relationships/hyperlink" Target="https://app.leg.wa.gov/RCW/default.aspx?cite=18.73.030" TargetMode="External"/><Relationship Id="rId2625" Type="http://schemas.openxmlformats.org/officeDocument/2006/relationships/hyperlink" Target="https://cases.justia.com/texas/eleventh-court-of-appeals/2022-11-21-00026-cv.pdf?ts=1659010960" TargetMode="External"/><Relationship Id="rId2832" Type="http://schemas.openxmlformats.org/officeDocument/2006/relationships/hyperlink" Target="https://perb.delaware.gov/wp-content/uploads/sites/127/2021/07/2020-0765-Order-of-reversal-and-remand-6-28-21-website.pdf" TargetMode="External"/><Relationship Id="rId73" Type="http://schemas.openxmlformats.org/officeDocument/2006/relationships/hyperlink" Target="https://cases.justia.com/california/supreme-court/2025-s173784.pdf?ts=1746464481" TargetMode="External"/><Relationship Id="rId804" Type="http://schemas.openxmlformats.org/officeDocument/2006/relationships/hyperlink" Target="https://supreme.justia.com/cases/federal/us/444/507/" TargetMode="External"/><Relationship Id="rId1227" Type="http://schemas.openxmlformats.org/officeDocument/2006/relationships/hyperlink" Target="https://law.justia.com/cases/federal/appellate-courts/ca6/19-1416/19-1416-2020-06-05.html" TargetMode="External"/><Relationship Id="rId1434" Type="http://schemas.openxmlformats.org/officeDocument/2006/relationships/hyperlink" Target="https://www.law.cornell.edu/uscode/text/29/207" TargetMode="External"/><Relationship Id="rId1641" Type="http://schemas.openxmlformats.org/officeDocument/2006/relationships/hyperlink" Target="https://www.supremecourt.gov/DocketPDF/23/23-997/311779/20240528141949268_23-997%20Stanley%20Reply%20In%20Support%20of%20Certiorari.pdf" TargetMode="External"/><Relationship Id="rId1879" Type="http://schemas.openxmlformats.org/officeDocument/2006/relationships/hyperlink" Target="https://www.federalregister.gov/documents/2025/12/23/2025-23846/increasing-medical-marijuana-and-cannabidiol-research" TargetMode="External"/><Relationship Id="rId1501" Type="http://schemas.openxmlformats.org/officeDocument/2006/relationships/hyperlink" Target="https://cases.justia.com/federal/district-courts/alabama/alndce/2:2023cv01098/186589/44/0.pdf?ts=1737802006" TargetMode="External"/><Relationship Id="rId1739" Type="http://schemas.openxmlformats.org/officeDocument/2006/relationships/hyperlink" Target="https://osc.gov/Services/Pages/USERRA-Employee.aspx" TargetMode="External"/><Relationship Id="rId1946" Type="http://schemas.openxmlformats.org/officeDocument/2006/relationships/hyperlink" Target="https://law.justia.com/cases/federal/appellate-courts/ca3/20-1422/20-1422-2021-01-12.html" TargetMode="External"/><Relationship Id="rId1806" Type="http://schemas.openxmlformats.org/officeDocument/2006/relationships/hyperlink" Target="https://www.law.cornell.edu/definitions/uscode.php?width=840&amp;height=800&amp;iframe=true&amp;def_id=29-USC-1193469627-1968318500&amp;term_occur=999&amp;term_src=title:29:chapter:9:section:260" TargetMode="External"/><Relationship Id="rId387" Type="http://schemas.openxmlformats.org/officeDocument/2006/relationships/hyperlink" Target="https://www.newsbreak.com/news-12-2283883/4553774051867-today-is-the-fifth-anniversary-of-a-rockland-county-fire-that-killed-two-including-a-local-firefighter" TargetMode="External"/><Relationship Id="rId594" Type="http://schemas.openxmlformats.org/officeDocument/2006/relationships/hyperlink" Target="https://www.courts.ca.gov/opinions/nonpub/A150651.PD" TargetMode="External"/><Relationship Id="rId2068" Type="http://schemas.openxmlformats.org/officeDocument/2006/relationships/hyperlink" Target="https://revisor.mo.gov/main/OneSection.aspx?section=579.020" TargetMode="External"/><Relationship Id="rId2275" Type="http://schemas.openxmlformats.org/officeDocument/2006/relationships/hyperlink" Target="https://www.aele.org/law/Digests/civil168b.html" TargetMode="External"/><Relationship Id="rId247" Type="http://schemas.openxmlformats.org/officeDocument/2006/relationships/hyperlink" Target="https://www.supremecourt.gov/opinions/20pdf/21a23_ap6c.pdf" TargetMode="External"/><Relationship Id="rId899" Type="http://schemas.openxmlformats.org/officeDocument/2006/relationships/hyperlink" Target="https://www.supremecourt.gov/opinions/21pdf/20-1668_19m2.pdf" TargetMode="External"/><Relationship Id="rId1084" Type="http://schemas.openxmlformats.org/officeDocument/2006/relationships/hyperlink" Target="https://www.nj.gov/treasury/pensions/documents/factsheets/fact15.pdf" TargetMode="External"/><Relationship Id="rId2482" Type="http://schemas.openxmlformats.org/officeDocument/2006/relationships/hyperlink" Target="https://cases.justia.com/louisiana/fourth-circuit-court-of-appeal/2026-2025-ca-0639-0.pdf?ts=1777519082" TargetMode="External"/><Relationship Id="rId2787" Type="http://schemas.openxmlformats.org/officeDocument/2006/relationships/hyperlink" Target="https://cases.justia.com/new-jersey/appellate-division-unpublished/2023-a-1747-21.pdf?ts=1696950933" TargetMode="External"/><Relationship Id="rId107" Type="http://schemas.openxmlformats.org/officeDocument/2006/relationships/hyperlink" Target="https://caselaw.findlaw.com/court/az-court-of-appeals/116575227.html" TargetMode="External"/><Relationship Id="rId454" Type="http://schemas.openxmlformats.org/officeDocument/2006/relationships/hyperlink" Target="https://www.firehero.org/fallen-firefighter/charles-e-morton/" TargetMode="External"/><Relationship Id="rId661" Type="http://schemas.openxmlformats.org/officeDocument/2006/relationships/hyperlink" Target="https://www.youtube.com/watch?v=DMC7Ntd4d4c" TargetMode="External"/><Relationship Id="rId759" Type="http://schemas.openxmlformats.org/officeDocument/2006/relationships/hyperlink" Target="https://www.law.cornell.edu/definitions/uscode.php?width=840&amp;height=800&amp;iframe=true&amp;def_id=8-USC-2124716147-1201680062&amp;term_occur=999&amp;term_src=title:8:chapter:12:subchapter:II:part:IV:section:1229b" TargetMode="External"/><Relationship Id="rId966" Type="http://schemas.openxmlformats.org/officeDocument/2006/relationships/hyperlink" Target="https://cms7files1.revize.com/starkcountyoh/f22-16.wbh.sl.pdf" TargetMode="External"/><Relationship Id="rId1291" Type="http://schemas.openxmlformats.org/officeDocument/2006/relationships/hyperlink" Target="https://www.bizjournals.com/columbus/news/2018/09/20/new-ohio-law-incentivizes-businesses-that-comply.html" TargetMode="External"/><Relationship Id="rId1389" Type="http://schemas.openxmlformats.org/officeDocument/2006/relationships/hyperlink" Target="https://www.firelawblog.com/2022/03/13/court-refuses-to-dismiss-state-law-claims-in-norfolk-retaliation-suit/" TargetMode="External"/><Relationship Id="rId1596" Type="http://schemas.openxmlformats.org/officeDocument/2006/relationships/hyperlink" Target="https://scholar.google.com/scholar_case?case=2959279778538737103&amp;hl=en&amp;as_sdt=6,36" TargetMode="External"/><Relationship Id="rId2135" Type="http://schemas.openxmlformats.org/officeDocument/2006/relationships/hyperlink" Target="https://cases.justia.com/kentucky/court-of-appeals/2023-2022-ca-1113-mr.pdf?ts=1697205894" TargetMode="External"/><Relationship Id="rId2342" Type="http://schemas.openxmlformats.org/officeDocument/2006/relationships/hyperlink" Target="https://assets.documentcloud.org/documents/3933644/Order-Granting-Summary-Judgment.pdf" TargetMode="External"/><Relationship Id="rId2647" Type="http://schemas.openxmlformats.org/officeDocument/2006/relationships/hyperlink" Target="https://public.fastcase.com/9SKwsfNqTc6OieYDhNMyM%2B9QVlF%2Fi0C7FBtpVDfGBEJTuxz2gLXEBOyZ2MTUN6p67t66EUS4%2BwzN2KZQmb95HSCpSxhJK4uvhgP9XZ8nBIo%3D" TargetMode="External"/><Relationship Id="rId314" Type="http://schemas.openxmlformats.org/officeDocument/2006/relationships/hyperlink" Target="https://www.courtlistener.com/opinion/4747432/cid-torrez-v-state-of-florida/" TargetMode="External"/><Relationship Id="rId521" Type="http://schemas.openxmlformats.org/officeDocument/2006/relationships/hyperlink" Target="https://casetext.com/case/as-horner-inc-v-navarrette-4" TargetMode="External"/><Relationship Id="rId619" Type="http://schemas.openxmlformats.org/officeDocument/2006/relationships/hyperlink" Target="https://www.supremecourt.gov/opinions/25pdf/24-924_3d9g.pdf" TargetMode="External"/><Relationship Id="rId1151" Type="http://schemas.openxmlformats.org/officeDocument/2006/relationships/hyperlink" Target="https://casetext.com/case/regan-v-city-of-philadelphia-workers-comp-appeal-board" TargetMode="External"/><Relationship Id="rId1249" Type="http://schemas.openxmlformats.org/officeDocument/2006/relationships/hyperlink" Target="https://ohsonline.com/articles/2010/01/04/expanded-cancer-presumption-law.aspx" TargetMode="External"/><Relationship Id="rId2202" Type="http://schemas.openxmlformats.org/officeDocument/2006/relationships/hyperlink" Target="https://casetext.com/case/sutton-v-rockingham-cnty" TargetMode="External"/><Relationship Id="rId2854" Type="http://schemas.openxmlformats.org/officeDocument/2006/relationships/hyperlink" Target="https://www.muscalaw.com/blog/understanding-floridas-new-halo-law-and-its-impact-first-amendment-rights" TargetMode="External"/><Relationship Id="rId95" Type="http://schemas.openxmlformats.org/officeDocument/2006/relationships/hyperlink" Target="https://casetext.com/statute/united-states-code/title-18-crimes-and-criminal-procedure/part-i-crimes/chapter-40-importation-manufacture-distribution-and-storage-of-explosive-materials/section-844-penalties" TargetMode="External"/><Relationship Id="rId826" Type="http://schemas.openxmlformats.org/officeDocument/2006/relationships/hyperlink" Target="http://www.ca2.uscourts.gov/decisions/isysquery/8c537d01-8133-4435-b4f6-e87aa585d8e4/1/doc/15-2181_opn_2.pdf" TargetMode="External"/><Relationship Id="rId1011" Type="http://schemas.openxmlformats.org/officeDocument/2006/relationships/hyperlink" Target="https://codes.ohio.gov/ohio-revised-code/section-505.381" TargetMode="External"/><Relationship Id="rId1109" Type="http://schemas.openxmlformats.org/officeDocument/2006/relationships/hyperlink" Target="https://public.fastcase.com/ZZhmr5v9wN%2FXOe5IsQ%2FqD20iR7BWmLId4hSDI3nXqVWgPhPXw%2BQtkDECKs6HrcpaaA0bYVe7yei9SfZEfso10IPB%2B%2BM5XAOSsASvTO6V770%3D?utm_medium=email&amp;_hsmi=226712652&amp;_hsenc=p2ANqtz-8Ok8gGNpyLe8hTDi80EaJgVLaHo-pifPeTe8oohUIZEvo8GKO7wbe6cb01t7sw656xUcVdVRiPGkXPM8qU1b5G_smouQ&amp;utm_content=226712652&amp;utm_source=hs_email" TargetMode="External"/><Relationship Id="rId1456" Type="http://schemas.openxmlformats.org/officeDocument/2006/relationships/hyperlink" Target="https://www.eeoc.gov/laws/guidance/pregnancy_guidance.cfm" TargetMode="External"/><Relationship Id="rId1663" Type="http://schemas.openxmlformats.org/officeDocument/2006/relationships/hyperlink" Target="https://www.eeoc.gov/laws/guidance/questions-and-answers-final-rule-implementing-ada-amendments-act-2008" TargetMode="External"/><Relationship Id="rId1870" Type="http://schemas.openxmlformats.org/officeDocument/2006/relationships/hyperlink" Target="https://law.justia.com/cases/federal/district-courts/new-york/nysdce/1:2013cv01015/407972/168/" TargetMode="External"/><Relationship Id="rId1968" Type="http://schemas.openxmlformats.org/officeDocument/2006/relationships/hyperlink" Target="https://www.coloradojudicial.gov/system/files/opinions-2026-06/24CA0675.pdf" TargetMode="External"/><Relationship Id="rId2507" Type="http://schemas.openxmlformats.org/officeDocument/2006/relationships/hyperlink" Target="https://www4.courts.ca.gov/opinions/nonpub/B333041.PDF" TargetMode="External"/><Relationship Id="rId2714" Type="http://schemas.openxmlformats.org/officeDocument/2006/relationships/hyperlink" Target="https://www.supremecourt.ohio.gov/rod/docs/pdf/11/2019/2019-Ohio-5062.pdf" TargetMode="External"/><Relationship Id="rId1316" Type="http://schemas.openxmlformats.org/officeDocument/2006/relationships/hyperlink" Target="https://cases.justia.com/federal/district-courts/connecticut/ctdce/3:2025cv00524/164327/45/0.pdf?ts=1773222843" TargetMode="External"/><Relationship Id="rId1523" Type="http://schemas.openxmlformats.org/officeDocument/2006/relationships/hyperlink" Target="https://www.casemine.com/judgement/us/6527768e0e33307ee3c25e6b" TargetMode="External"/><Relationship Id="rId1730" Type="http://schemas.openxmlformats.org/officeDocument/2006/relationships/hyperlink" Target="https://cases.justia.com/federal/appellate-courts/ca11/25-10673/25-10673-2026-02-10.pdf?ts=1770737597" TargetMode="External"/><Relationship Id="rId22" Type="http://schemas.openxmlformats.org/officeDocument/2006/relationships/hyperlink" Target="https://cases.justia.com/virginia/court-of-appeals-unpublished/2026-2083-24-1.pdf?ts=1782229177" TargetMode="External"/><Relationship Id="rId1828" Type="http://schemas.openxmlformats.org/officeDocument/2006/relationships/hyperlink" Target="https://law.justia.com/cases/federal/district-courts/indiana/inndce/2:2019cv00065/97508/61/" TargetMode="External"/><Relationship Id="rId171" Type="http://schemas.openxmlformats.org/officeDocument/2006/relationships/hyperlink" Target="https://www.carolinajournal.com/federal-appeals-court-throws-out-conviction-for-burning-of-federal-nantahala-forest/" TargetMode="External"/><Relationship Id="rId2297" Type="http://schemas.openxmlformats.org/officeDocument/2006/relationships/hyperlink" Target="https://mdcourts.gov/data/opinions/cosa/2020/0318s19.pdf" TargetMode="External"/><Relationship Id="rId269" Type="http://schemas.openxmlformats.org/officeDocument/2006/relationships/hyperlink" Target="https://supreme.justia.com/cases/federal/us/547/410/" TargetMode="External"/><Relationship Id="rId476" Type="http://schemas.openxmlformats.org/officeDocument/2006/relationships/hyperlink" Target="https://casetext.com/case/hering-v-rural-mut-ins-co" TargetMode="External"/><Relationship Id="rId683" Type="http://schemas.openxmlformats.org/officeDocument/2006/relationships/hyperlink" Target="https://www.supremecourt.gov/opinions/23pdf/22-1178_p8k0.pdf" TargetMode="External"/><Relationship Id="rId890" Type="http://schemas.openxmlformats.org/officeDocument/2006/relationships/hyperlink" Target="https://codes.ohio.gov/ohio-revised-code/section-3314.07" TargetMode="External"/><Relationship Id="rId2157" Type="http://schemas.openxmlformats.org/officeDocument/2006/relationships/hyperlink" Target="https://www.advisory.com/daily-briefing/2022/10/26/vaccine-mandate" TargetMode="External"/><Relationship Id="rId2364" Type="http://schemas.openxmlformats.org/officeDocument/2006/relationships/hyperlink" Target="https://cases.justia.com/federal/appellate-courts/ca7/17-3060/17-3060-2018-08-14.pdf?ts=1534262420" TargetMode="External"/><Relationship Id="rId2571" Type="http://schemas.openxmlformats.org/officeDocument/2006/relationships/hyperlink" Target="https://cases.justia.com/federal/district-courts/ohio/ohsdce/1:2023cv00230/279336/13/0.pdf?ts=1707452867" TargetMode="External"/><Relationship Id="rId129" Type="http://schemas.openxmlformats.org/officeDocument/2006/relationships/hyperlink" Target="https://www.law.cornell.edu/rules/fre/rule_803" TargetMode="External"/><Relationship Id="rId336" Type="http://schemas.openxmlformats.org/officeDocument/2006/relationships/hyperlink" Target="https://www.leagle.com/decision/iniaco20190517282" TargetMode="External"/><Relationship Id="rId543" Type="http://schemas.openxmlformats.org/officeDocument/2006/relationships/hyperlink" Target="https://casetext.com/case/taylor-v-bd-of-trs-of-firefighters-ret-plan-of-st-louis" TargetMode="External"/><Relationship Id="rId988" Type="http://schemas.openxmlformats.org/officeDocument/2006/relationships/hyperlink" Target="http://www.nycourts.gov/courts/AD2/Handdowns/2020/Decisions/D63290.pdf" TargetMode="External"/><Relationship Id="rId1173" Type="http://schemas.openxmlformats.org/officeDocument/2006/relationships/hyperlink" Target="https://www.lasc.org/Opinions/2021/20-1231.C.OPN.pdf" TargetMode="External"/><Relationship Id="rId1380" Type="http://schemas.openxmlformats.org/officeDocument/2006/relationships/hyperlink" Target="https://supremecourt.nebraska.gov/sites/default/files/a21-954m.pdf" TargetMode="External"/><Relationship Id="rId2017" Type="http://schemas.openxmlformats.org/officeDocument/2006/relationships/hyperlink" Target="https://www.mass.gov/doc/commonwealth-v-verrier-ac-g24p446/download" TargetMode="External"/><Relationship Id="rId2224" Type="http://schemas.openxmlformats.org/officeDocument/2006/relationships/hyperlink" Target="https://www.supremecourt.gov/opinions/21pdf/21a145_gfbi.pdf" TargetMode="External"/><Relationship Id="rId2669" Type="http://schemas.openxmlformats.org/officeDocument/2006/relationships/hyperlink" Target="https://www.massmunilaw.org/wp-content/uploads/2020/12/DIANE-LAWLESS-v.-CHERYL-ESTRELLA.pdf" TargetMode="External"/><Relationship Id="rId2876" Type="http://schemas.openxmlformats.org/officeDocument/2006/relationships/hyperlink" Target="https://www.courts.michigan.gov/4a7b7c/siteassets/case-documents/uploads/sct/public/orders/166885_47_01.pdf" TargetMode="External"/><Relationship Id="rId403" Type="http://schemas.openxmlformats.org/officeDocument/2006/relationships/hyperlink" Target="https://www.hbsslaw.com/press/pfas-firefighter-turnout-gear/butte-montana-files-class-action-lawsuit-fighting-pfas-in-firefighter-turnout-gear-to-aid-those-facing-costly-replacements" TargetMode="External"/><Relationship Id="rId750" Type="http://schemas.openxmlformats.org/officeDocument/2006/relationships/hyperlink" Target="https://www.cincinnati.com/story/news/2019/08/05/how-dayton-shooting-happened-maps-video-and-graphics/1923063001/" TargetMode="External"/><Relationship Id="rId848" Type="http://schemas.openxmlformats.org/officeDocument/2006/relationships/hyperlink" Target="https://cases.justia.com/michigan/court-of-appeals-unpublished/2025-368583.pdf?ts=1747314007" TargetMode="External"/><Relationship Id="rId1033" Type="http://schemas.openxmlformats.org/officeDocument/2006/relationships/hyperlink" Target="https://cases.justia.com/new-york/other-courts/2025-2025-ny-slip-op-33207-u.pdf?ts=1757714614" TargetMode="External"/><Relationship Id="rId1478" Type="http://schemas.openxmlformats.org/officeDocument/2006/relationships/hyperlink" Target="https://public.fastcase.com/jaEE2PXzRXmZ99jOLMt1IuS%2F9HpBr5oZUxWDfnHZUAClV0FMS0FkyPj2D073HVCd?utm_medium=email&amp;_hsenc=p2ANqtz-8Af1EW_JVwBhx0UDxsfrXH8_2s6MlC6Pm7CWzCebAgUkWejdyZMRNp9kjbmr3YiOjRBOAIc4DZsyAhk1nZpl--uaoeAg&amp;_hsmi=226712652&amp;utm_content=226712652&amp;utm_source=hs_email" TargetMode="External"/><Relationship Id="rId1685" Type="http://schemas.openxmlformats.org/officeDocument/2006/relationships/hyperlink" Target="https://law.justia.com/cases/louisiana/fifth-circuit-court-of-appeal/2020/19-ca-613.html" TargetMode="External"/><Relationship Id="rId1892" Type="http://schemas.openxmlformats.org/officeDocument/2006/relationships/hyperlink" Target="https://casetext.com/case/city-of-great-falls-v-intl-assn-of-fire-fighters-loca" TargetMode="External"/><Relationship Id="rId2431" Type="http://schemas.openxmlformats.org/officeDocument/2006/relationships/hyperlink" Target="https://ilcourtsaudio.blob.core.windows.net/antilles-resources/resources/92cdfb54-2dda-4342-acee-d86ea11493ea/Szymala%20v.%20Romeoville%20Firefighters%27%20Pension%20Fund,%202023%20IL%20App%20(3d)%20220093-U.pdf" TargetMode="External"/><Relationship Id="rId2529" Type="http://schemas.openxmlformats.org/officeDocument/2006/relationships/hyperlink" Target="https://cases.justia.com/federal/district-courts/ohio/ohsdce/1:2023cv00230/279336/47/0.pdf?ts=1756299215" TargetMode="External"/><Relationship Id="rId2736" Type="http://schemas.openxmlformats.org/officeDocument/2006/relationships/hyperlink" Target="https://www.njcourts.gov/attorneys/assets/opinions/supreme/a_58_16.pdf" TargetMode="External"/><Relationship Id="rId610" Type="http://schemas.openxmlformats.org/officeDocument/2006/relationships/hyperlink" Target="https://caselaw.findlaw.com/ny-supreme-court-appellate-division/1893546.html" TargetMode="External"/><Relationship Id="rId708" Type="http://schemas.openxmlformats.org/officeDocument/2006/relationships/hyperlink" Target="https://casetext.com/case/chairnoff-v-islamic-republic-of-iran-in-re-terrorist-attacks" TargetMode="External"/><Relationship Id="rId915" Type="http://schemas.openxmlformats.org/officeDocument/2006/relationships/hyperlink" Target="https://www.courts.state.md.us/sites/default/files/unreported-opinions/0614s19.pdf" TargetMode="External"/><Relationship Id="rId1240" Type="http://schemas.openxmlformats.org/officeDocument/2006/relationships/hyperlink" Target="http://app.leg.wa.gov/RCW/default.aspx?cite=51.08.140" TargetMode="External"/><Relationship Id="rId1338" Type="http://schemas.openxmlformats.org/officeDocument/2006/relationships/hyperlink" Target="https://codes.ohio.gov/ohio-revised-code/section-4112.02" TargetMode="External"/><Relationship Id="rId1545" Type="http://schemas.openxmlformats.org/officeDocument/2006/relationships/hyperlink" Target="https://public.fastcase.com/J%2FJP6pdidelsXxEE4k%2BLMkGcJRI5fEIWTRrrr5g307eiV2fonCWWxfQ8%2FgFOC0SXeLTzITpIpaPKGCBs2ZuJTAu1fIsNckzREaOIJEOyjuU%3D" TargetMode="External"/><Relationship Id="rId1100" Type="http://schemas.openxmlformats.org/officeDocument/2006/relationships/hyperlink" Target="https://www.pacourts.us/assets/opinions/Commonwealth/out/726CD22_10-3-23.pdf?cb=1" TargetMode="External"/><Relationship Id="rId1405" Type="http://schemas.openxmlformats.org/officeDocument/2006/relationships/hyperlink" Target="https://www.leagle.com/decision/infdco20210812991" TargetMode="External"/><Relationship Id="rId1752" Type="http://schemas.openxmlformats.org/officeDocument/2006/relationships/hyperlink" Target="https://www.supremecourt.gov/opinions/24pdf/23-217_9o6b.pdf" TargetMode="External"/><Relationship Id="rId2803" Type="http://schemas.openxmlformats.org/officeDocument/2006/relationships/hyperlink" Target="https://www.jacksonlewis.com/sites/default/files/docs/IGTBoardDecision.pdf" TargetMode="External"/><Relationship Id="rId44" Type="http://schemas.openxmlformats.org/officeDocument/2006/relationships/hyperlink" Target="https://cases.justia.com/new-jersey/appellate-division-unpublished/2025-a-1179-23.pdf?ts=1765469961" TargetMode="External"/><Relationship Id="rId1612" Type="http://schemas.openxmlformats.org/officeDocument/2006/relationships/hyperlink" Target="https://cases.justia.com/federal/district-courts/arkansas/aredce/4:2024cv00350/143122/28/0.pdf?ts=1775058402" TargetMode="External"/><Relationship Id="rId1917" Type="http://schemas.openxmlformats.org/officeDocument/2006/relationships/hyperlink" Target="https://public.fastcase.com/J%2FJP6pdidelsXxEE4k%2BLMjguDlksD8dKELdpfFWP9cYBmH83FdbmlTzl%2FYR%2FGHKVJmTrfPX2dR0kqVK5JcTrQwWj0Xyj7G2BHa1wkLBWvR8%3D?utm_medium=email&amp;_hsmi=226712652&amp;_hsenc=p2ANqtz-8X8hd1OyKx9xBVWTYyyRcKWZqDrqGklavKHA9oFy03k-3f0cMxPP9GwSn13jNQOldot2axaAKjxlo1irLgFnquT2grYg&amp;utm_content=226712652&amp;utm_source=hs_email" TargetMode="External"/><Relationship Id="rId193" Type="http://schemas.openxmlformats.org/officeDocument/2006/relationships/hyperlink" Target="https://www.supremecourt.ohio.gov/rod/docs/pdf/0/2021/2021-ohio-2067.pdf" TargetMode="External"/><Relationship Id="rId498" Type="http://schemas.openxmlformats.org/officeDocument/2006/relationships/hyperlink" Target="https://casetext.com/case/boon-v-rivera" TargetMode="External"/><Relationship Id="rId2081" Type="http://schemas.openxmlformats.org/officeDocument/2006/relationships/hyperlink" Target="https://webservices.courthousenews.com/sites/Data/AppellateOpinionUploads/2024-17-5--13-46-27-048b5eb5-2700-4a37-ac11-5deaa284f5ce.pdf" TargetMode="External"/><Relationship Id="rId2179" Type="http://schemas.openxmlformats.org/officeDocument/2006/relationships/hyperlink" Target="https://law.justia.com/cases/michigan/court-of-appeals-unpublished/2022/357887.html" TargetMode="External"/><Relationship Id="rId260" Type="http://schemas.openxmlformats.org/officeDocument/2006/relationships/hyperlink" Target="https://casetext.com/case/smith-v-city-of-cumming" TargetMode="External"/><Relationship Id="rId2386" Type="http://schemas.openxmlformats.org/officeDocument/2006/relationships/hyperlink" Target="https://codes.findlaw.com/ny/general-municipal-law/gmu-sect-205-a.html" TargetMode="External"/><Relationship Id="rId2593" Type="http://schemas.openxmlformats.org/officeDocument/2006/relationships/hyperlink" Target="https://law.justia.com/cases/new-york/appellate-division-third-department/2023/535052.html" TargetMode="External"/><Relationship Id="rId120" Type="http://schemas.openxmlformats.org/officeDocument/2006/relationships/hyperlink" Target="http://kool.corrections.ky.gov/KOOL/Details/54918" TargetMode="External"/><Relationship Id="rId358" Type="http://schemas.openxmlformats.org/officeDocument/2006/relationships/hyperlink" Target="https://www.cincinnati.com/story/news/crime/crime-and-courts/2018/11/13/pike-county-massacre-wagner-family-arrested-rhoden-family-homicides/1373456002/" TargetMode="External"/><Relationship Id="rId565" Type="http://schemas.openxmlformats.org/officeDocument/2006/relationships/hyperlink" Target="http://publicdocs.courts.mi.gov/OPINIONS/FINAL/COA/20200416_C346057_26_346057OPNORDER.PDF" TargetMode="External"/><Relationship Id="rId772" Type="http://schemas.openxmlformats.org/officeDocument/2006/relationships/hyperlink" Target="https://www.law.cornell.edu/definitions/uscode.php?width=840&amp;height=800&amp;iframe=true&amp;def_id=8-USC-92903111-1485256781&amp;term_occur=999&amp;term_src=" TargetMode="External"/><Relationship Id="rId1195" Type="http://schemas.openxmlformats.org/officeDocument/2006/relationships/hyperlink" Target="https://www.fox19.com/2020/12/16/kyle-plush-wrongful-death-lawsuit-can-proceed-against-cincinnati-employees-appeals-court-says/" TargetMode="External"/><Relationship Id="rId2039" Type="http://schemas.openxmlformats.org/officeDocument/2006/relationships/hyperlink" Target="https://storage.courtlistener.com/recap/gov.uscourts.cod.231472/gov.uscourts.cod.231472.63.0.pdf" TargetMode="External"/><Relationship Id="rId2246" Type="http://schemas.openxmlformats.org/officeDocument/2006/relationships/hyperlink" Target="https://public.fastcase.com/9SKwsfNqTc6OieYDhNMyM83%2FYLJrcCtVmui0iqpJLDORGkxVmnXPTmwbGH4uC0ci" TargetMode="External"/><Relationship Id="rId2453" Type="http://schemas.openxmlformats.org/officeDocument/2006/relationships/hyperlink" Target="https://public.fastcase.com/9SKwsfNqTc6OieYDhNMyM%2BsbSTu241pOZ38l1fL3GtOxRE1iLhH6RZm0FIyTdVeF1XRK6Ebg7B5equTDg4ZQiMxFMDQEZko4UYsaxrmOuYk%3D" TargetMode="External"/><Relationship Id="rId2660" Type="http://schemas.openxmlformats.org/officeDocument/2006/relationships/hyperlink" Target="https://boston.cbslocal.com/2021/08/05/wellesley-fire-chief-richard-delorie-conflict-of-interest/" TargetMode="External"/><Relationship Id="rId2898" Type="http://schemas.openxmlformats.org/officeDocument/2006/relationships/hyperlink" Target="https://www.wkbn.com/news/coronavirus/dewine-signs-law-giving-covid-19-lawsuit-immunity/" TargetMode="External"/><Relationship Id="rId218" Type="http://schemas.openxmlformats.org/officeDocument/2006/relationships/hyperlink" Target="https://www.law.cornell.edu/supct-cgi/get-us-cite?543+70" TargetMode="External"/><Relationship Id="rId425" Type="http://schemas.openxmlformats.org/officeDocument/2006/relationships/hyperlink" Target="https://www.supremecourt.gov/opinions/24pdf/23-1239_onjq.pdf" TargetMode="External"/><Relationship Id="rId632" Type="http://schemas.openxmlformats.org/officeDocument/2006/relationships/hyperlink" Target="https://ecf.rid.uscourts.gov/cgi-bin/show_public_doc?2025cv0495-53" TargetMode="External"/><Relationship Id="rId1055" Type="http://schemas.openxmlformats.org/officeDocument/2006/relationships/hyperlink" Target="https://cases.justia.com/pennsylvania/commonwealth-court/2025-923-c-d-2021.pdf?ts=1742398374" TargetMode="External"/><Relationship Id="rId1262" Type="http://schemas.openxmlformats.org/officeDocument/2006/relationships/hyperlink" Target="https://www.jud.ct.gov/external/supapp/Cases/AROcr/CR334/334CR12.pdf" TargetMode="External"/><Relationship Id="rId2106" Type="http://schemas.openxmlformats.org/officeDocument/2006/relationships/hyperlink" Target="https://public.fastcase.com/H1P9uiW3J20SFp%2BGCG%2BxLaemfayQbOUv%2BEh6FB5s8DQhIQ87YMziPJITlyqe%2FhSH?utm_medium=email&amp;_hsmi=226712652&amp;_hsenc=p2ANqtz-8exNZIeYxIQOzMK262tD3IHaMXGJDKKAxfpMPtjNaE7kcerp9c9vm-ypoKl8zd2ZG1HbM5kXW5cAGwdVsTDfl2ZJRdHw&amp;utm_content=226712652&amp;utm_source=hs_email" TargetMode="External"/><Relationship Id="rId2313" Type="http://schemas.openxmlformats.org/officeDocument/2006/relationships/hyperlink" Target="https://iapps.courts.state.ny.us/search/wicket/page?2-IResourceListener-pnlResultContainer-pnlResult-2-lnkDocument" TargetMode="External"/><Relationship Id="rId2520" Type="http://schemas.openxmlformats.org/officeDocument/2006/relationships/hyperlink" Target="https://www.youtube.com/watch?v=J9a7dzpchr4" TargetMode="External"/><Relationship Id="rId2758" Type="http://schemas.openxmlformats.org/officeDocument/2006/relationships/hyperlink" Target="https://public.fastcase.com/Jhe1Qn%2BmJndQYQU6z%2FeNmxCPiZizVlc11JYA3odTB4IhzrCNgoXQd5cis%2BDwnvItMWVDGFMSfq0NQT9Gs0Nt1TNd1VW0h9sJNC6uT%2FjNAHc%3D?utm_medium=email&amp;_hsenc=p2ANqtz-8-aEXaYfaNma4DTW9HUN_1FUQQoclWpkG9e_9BTRsreHlU-cWJ1LgKYyHosOTXLG__w-panONGFSrnN_jSAOz_10UwNA&amp;_hsmi=226712652&amp;utm_content=226712652&amp;utm_source=hs_email" TargetMode="External"/><Relationship Id="rId937" Type="http://schemas.openxmlformats.org/officeDocument/2006/relationships/hyperlink" Target="https://cases.justia.com/texas/fourteenth-court-of-appeals/2025-14-24-00251-cv.pdf?ts=1745499568" TargetMode="External"/><Relationship Id="rId1122" Type="http://schemas.openxmlformats.org/officeDocument/2006/relationships/hyperlink" Target="https://casetext.com/case/bolling-v-city-of-montgomery" TargetMode="External"/><Relationship Id="rId1567" Type="http://schemas.openxmlformats.org/officeDocument/2006/relationships/hyperlink" Target="https://public.fastcase.com/9SKwsfNqTc6OieYDhNMyM6Hs9QyuQxgDWvshWHam%2BmmecJULtiEuwgF0cJ0eF8SA" TargetMode="External"/><Relationship Id="rId1774" Type="http://schemas.openxmlformats.org/officeDocument/2006/relationships/hyperlink" Target="http://flsa-optin.com/My%20Docs/2023/Consent%20to%20Sue%20-%20IAFF%20781.pdf" TargetMode="External"/><Relationship Id="rId1981" Type="http://schemas.openxmlformats.org/officeDocument/2006/relationships/hyperlink" Target="https://www.ca4.uscourts.gov/opinions/244620.P.pd" TargetMode="External"/><Relationship Id="rId2618" Type="http://schemas.openxmlformats.org/officeDocument/2006/relationships/hyperlink" Target="https://burned.journalism.cuny.edu/the-diverse-minds-of-arsonists/" TargetMode="External"/><Relationship Id="rId2825" Type="http://schemas.openxmlformats.org/officeDocument/2006/relationships/hyperlink" Target="https://www.supremecourt.ohio.gov/rod/docs/pdf/8/2022/2022-Ohio-824.pdf" TargetMode="External"/><Relationship Id="rId66" Type="http://schemas.openxmlformats.org/officeDocument/2006/relationships/hyperlink" Target="https://caselaw.findlaw.com/court/ga-court-of-appeals/117421566.html" TargetMode="External"/><Relationship Id="rId1427" Type="http://schemas.openxmlformats.org/officeDocument/2006/relationships/hyperlink" Target="http://media.ca11.uscourts.gov/opinions/pub/files/201814687.pdf" TargetMode="External"/><Relationship Id="rId1634" Type="http://schemas.openxmlformats.org/officeDocument/2006/relationships/hyperlink" Target="https://www.scotusblog.com/case-files/cases/stanley-v-city-of-sanford-florida/" TargetMode="External"/><Relationship Id="rId1841" Type="http://schemas.openxmlformats.org/officeDocument/2006/relationships/hyperlink" Target="https://www.leagle.com/decision/infco20170803124" TargetMode="External"/><Relationship Id="rId1939" Type="http://schemas.openxmlformats.org/officeDocument/2006/relationships/hyperlink" Target="https://cases.justia.com/federal/appellate-courts/ca10/19-1049/19-1049-2020-04-07.pdf?ts=1586277066" TargetMode="External"/><Relationship Id="rId1701" Type="http://schemas.openxmlformats.org/officeDocument/2006/relationships/hyperlink" Target="https://cases.justia.com/minnesota/supreme-court/2019-a17-0141.pdf?ts=1551286256" TargetMode="External"/><Relationship Id="rId282" Type="http://schemas.openxmlformats.org/officeDocument/2006/relationships/hyperlink" Target="https://law.justia.com/cases/iowa/court-of-appeals/2021/18-1821.html" TargetMode="External"/><Relationship Id="rId587" Type="http://schemas.openxmlformats.org/officeDocument/2006/relationships/hyperlink" Target="https://comped.net/opinions_recentdisp.php?ID=7270" TargetMode="External"/><Relationship Id="rId2170" Type="http://schemas.openxmlformats.org/officeDocument/2006/relationships/hyperlink" Target="https://www.law.cornell.edu/definitions/uscode.php?width=840&amp;height=800&amp;iframe=true&amp;def_id=42-USC-303628742-1009355614&amp;term_occur=999&amp;term_src=" TargetMode="External"/><Relationship Id="rId2268" Type="http://schemas.openxmlformats.org/officeDocument/2006/relationships/hyperlink" Target="https://casetext.com/case/county-of-sacramento-v-lewis" TargetMode="External"/><Relationship Id="rId8" Type="http://schemas.openxmlformats.org/officeDocument/2006/relationships/hyperlink" Target="https://doi.org/10.7945/j6c2-q930" TargetMode="External"/><Relationship Id="rId142" Type="http://schemas.openxmlformats.org/officeDocument/2006/relationships/hyperlink" Target="https://apnews.com/article/michigan-drone-photos-constitution-3c30154b6f1af1b234c1cc8f64945237" TargetMode="External"/><Relationship Id="rId447" Type="http://schemas.openxmlformats.org/officeDocument/2006/relationships/hyperlink" Target="https://codes.findlaw.com/fl/title-x-public-officers-employees-and-records/fl-st-sect-112-182/" TargetMode="External"/><Relationship Id="rId794" Type="http://schemas.openxmlformats.org/officeDocument/2006/relationships/hyperlink" Target="https://www.ca2.uscourts.gov/decisions/isysquery/d1288cae-9c73-4842-93cb-329cdd38edc3/3/doc/19-2934_so.pdf" TargetMode="External"/><Relationship Id="rId1077" Type="http://schemas.openxmlformats.org/officeDocument/2006/relationships/hyperlink" Target="https://www.360connect.com/product-blog/kronos-time-and-attendance-system-types-features-pricing/" TargetMode="External"/><Relationship Id="rId2030" Type="http://schemas.openxmlformats.org/officeDocument/2006/relationships/hyperlink" Target="https://code.wvlegislature.gov/email/24-6/" TargetMode="External"/><Relationship Id="rId2128" Type="http://schemas.openxmlformats.org/officeDocument/2006/relationships/hyperlink" Target="https://casetext.com/case/baker-v-city-of-woodbury" TargetMode="External"/><Relationship Id="rId2475" Type="http://schemas.openxmlformats.org/officeDocument/2006/relationships/hyperlink" Target="https://law.justia.com/cases/new-jersey/supreme-court/2018/a-9-16.html" TargetMode="External"/><Relationship Id="rId2682" Type="http://schemas.openxmlformats.org/officeDocument/2006/relationships/hyperlink" Target="https://public.fastcase.com/Wl%2B2t%2BeVuI35%2FN70vAMFZqQ7Gx1lZ4VLPzvmh59TfRHYGD4c0wvhFgn%2Bs0ncYh62" TargetMode="External"/><Relationship Id="rId654" Type="http://schemas.openxmlformats.org/officeDocument/2006/relationships/hyperlink" Target="https://www.supremecourt.gov/opinions/24pdf/24a884_8n59.pdf" TargetMode="External"/><Relationship Id="rId861" Type="http://schemas.openxmlformats.org/officeDocument/2006/relationships/hyperlink" Target="https://harvardlawreview.org/print/vol-137/baker-v-city-of-mckinney/" TargetMode="External"/><Relationship Id="rId959" Type="http://schemas.openxmlformats.org/officeDocument/2006/relationships/hyperlink" Target="https://www.njcourts.gov/system/files/court-opinions/2023/a0009-22.pdf" TargetMode="External"/><Relationship Id="rId1284" Type="http://schemas.openxmlformats.org/officeDocument/2006/relationships/hyperlink" Target="http://www.kwgd.com/ohio-general-assembly-alters-statute-of-limitation-for-workers-compensation-claims" TargetMode="External"/><Relationship Id="rId1491" Type="http://schemas.openxmlformats.org/officeDocument/2006/relationships/hyperlink" Target="https://www.americanbar.org/groups/diversity/diversity_pipeline/projects_initiatives/legal_opportunity_scholarship/" TargetMode="External"/><Relationship Id="rId1589" Type="http://schemas.openxmlformats.org/officeDocument/2006/relationships/hyperlink" Target="http://www.ca2.uscourts.gov/decisions/isysquery/83382276-eb3d-4d56-b5fe-4596b6d0f64b/1/doc/19-1265_so.pdf" TargetMode="External"/><Relationship Id="rId2335" Type="http://schemas.openxmlformats.org/officeDocument/2006/relationships/hyperlink" Target="https://www.leagle.com/decision/infdco20190624a02" TargetMode="External"/><Relationship Id="rId2542" Type="http://schemas.openxmlformats.org/officeDocument/2006/relationships/hyperlink" Target="https://www.njcourts.gov/system/files/court-opinions/2025/a1587-23.pdf" TargetMode="External"/><Relationship Id="rId307" Type="http://schemas.openxmlformats.org/officeDocument/2006/relationships/hyperlink" Target="https://www.opn.ca6.uscourts.gov/opinions.pdf/20a0374n-06.pdf" TargetMode="External"/><Relationship Id="rId514" Type="http://schemas.openxmlformats.org/officeDocument/2006/relationships/hyperlink" Target="https://www.jacksonville.com/story/news/crime/2016/01/16/city-black-firefighters-group-disagree-over-ban-beards/15696316007/" TargetMode="External"/><Relationship Id="rId721" Type="http://schemas.openxmlformats.org/officeDocument/2006/relationships/hyperlink" Target="https://www.cadc.uscourts.gov/internet/opinions.nsf/55807FB471B60BB08525888E0051AEA6/$file/21-1087-1956978.pdf" TargetMode="External"/><Relationship Id="rId1144" Type="http://schemas.openxmlformats.org/officeDocument/2006/relationships/hyperlink" Target="https://ilcourtsaudio.blob.core.windows.net/antilles-resources/resources/51e43aff-4d85-414d-b8bb-128a5f970896/Int%20Assn%20of%20Fire%20Fighters,%20Local%2050%20v.%20City%20of%20Peoria,%202021%20IL%20127040.pdf" TargetMode="External"/><Relationship Id="rId1351" Type="http://schemas.openxmlformats.org/officeDocument/2006/relationships/hyperlink" Target="https://www.1011now.com/2024/02/05/city-lincoln-settles-lfr-sexual-discrimination-lawsuits-900000/" TargetMode="External"/><Relationship Id="rId1449" Type="http://schemas.openxmlformats.org/officeDocument/2006/relationships/hyperlink" Target="https://assets.documentcloud.org/documents/5745041/Eeoc.pdf" TargetMode="External"/><Relationship Id="rId1796" Type="http://schemas.openxmlformats.org/officeDocument/2006/relationships/hyperlink" Target="https://public.fastcase.com/J%2FJP6pdidelsXxEE4k%2BLMiCd6Oijia%2Fc6dpDEIpvDgGdBy7usCtPvTYolvlwqFI2OWdzcN0GLk8kd6eOjq%2BBgMFCfp0NjuKJ0H4Eu6Lk4a8%3D?utm_medium=email&amp;_hsmi=226712652&amp;_hsenc=p2ANqtz-_pRHETuUebeWpUr_lBMH_-KDZL8nDlWZhRdTrL-TINRZ0QEuK3FTmopjSHxO-qjinMuMJlbokRF3HYxxN6yYg5FnBUqg&amp;utm_content=226712652&amp;utm_source=hs_email" TargetMode="External"/><Relationship Id="rId2402" Type="http://schemas.openxmlformats.org/officeDocument/2006/relationships/hyperlink" Target="https://www.courts.wa.gov/opinions/pdf/D2%2058295-3-II%20Unpublished%20Opinion.pdf" TargetMode="External"/><Relationship Id="rId2847" Type="http://schemas.openxmlformats.org/officeDocument/2006/relationships/hyperlink" Target="https://www.scotusblog.com/case-files/cases/new-prime-inc-v-oliveira/" TargetMode="External"/><Relationship Id="rId88" Type="http://schemas.openxmlformats.org/officeDocument/2006/relationships/hyperlink" Target="https://www.rcfp.org/resources/anti-slapp-laws/" TargetMode="External"/><Relationship Id="rId819" Type="http://schemas.openxmlformats.org/officeDocument/2006/relationships/hyperlink" Target="https://d.docs.live.net/bd9b2eaf6053242e/AppData/Local/Microsoft/Windows/INetCache/Content.Outlook/YEHISW7P/331CR865.pdf" TargetMode="External"/><Relationship Id="rId1004" Type="http://schemas.openxmlformats.org/officeDocument/2006/relationships/hyperlink" Target="http://www.cantonrep.com/news/20160713/massillon-family-awarded-362k-in-2008-firetruck-crash-settlement" TargetMode="External"/><Relationship Id="rId1211" Type="http://schemas.openxmlformats.org/officeDocument/2006/relationships/hyperlink" Target="https://casetext.com/case/heneghan-v-city-of-evanston" TargetMode="External"/><Relationship Id="rId1656" Type="http://schemas.openxmlformats.org/officeDocument/2006/relationships/hyperlink" Target="https://casetext.com/case/meyer-v-city-of-chehalis" TargetMode="External"/><Relationship Id="rId1863" Type="http://schemas.openxmlformats.org/officeDocument/2006/relationships/hyperlink" Target="http://41af3k34gprx4f6bg12df75i.wpengine.netdna-cdn.com/wp-content/uploads/sites/19/2019/05/Ramirez-v.-City-of-Fort-Lauderdale-Fire-Rescue_-2019-U.pdf" TargetMode="External"/><Relationship Id="rId2707" Type="http://schemas.openxmlformats.org/officeDocument/2006/relationships/hyperlink" Target="http://www.tncourts.gov/sites/default/files/moss.paul_.opn_.pdf" TargetMode="External"/><Relationship Id="rId1309" Type="http://schemas.openxmlformats.org/officeDocument/2006/relationships/hyperlink" Target="https://www.courts.ri.gov/Courts/SupremeCourt/SupremeOpinions/16-170.pdf" TargetMode="External"/><Relationship Id="rId1516" Type="http://schemas.openxmlformats.org/officeDocument/2006/relationships/hyperlink" Target="https://public.fastcase.com/H1P9uiW3J20SFp%2BGCG%2BxLZkQf01yoKKyjTHIQ3i58nX%2B%2FAIlJ7l43hvEF8qKhahXQJQ44fkPKDzD6joZ4LsI7iTOFXPdH5%2Fv%2FKD427ldKjE%3D?utm_medium=email&amp;_hsmi=226712652&amp;_hsenc=p2ANqtz-_U89LkNl4P4fsnOucPHRbeGtR2XeKR1phEbD7-UuIt_KCX3oxL0CAr1yX56v7BapUY4ITdG8_rGIJJyhgPBOVmvvkgdg&amp;utm_content=226712652&amp;utm_source=hs_email" TargetMode="External"/><Relationship Id="rId1723" Type="http://schemas.openxmlformats.org/officeDocument/2006/relationships/hyperlink" Target="https://www.njcourts.gov/system/files/court-opinions/2026/a1218-25.pdf" TargetMode="External"/><Relationship Id="rId1930" Type="http://schemas.openxmlformats.org/officeDocument/2006/relationships/hyperlink" Target="https://law.justia.com/cases/louisiana/fourth-circuit-court-of-appeal/2021/2021-ca-0454.html" TargetMode="External"/><Relationship Id="rId15" Type="http://schemas.openxmlformats.org/officeDocument/2006/relationships/hyperlink" Target="https://doi.org/10.7945/j6c2-q930" TargetMode="External"/><Relationship Id="rId2192" Type="http://schemas.openxmlformats.org/officeDocument/2006/relationships/hyperlink" Target="https://law.justia.com/cases/federal/district-courts/new-york/nysdce/1:2020cv04452/538491/83/" TargetMode="External"/><Relationship Id="rId164" Type="http://schemas.openxmlformats.org/officeDocument/2006/relationships/hyperlink" Target="https://public.fastcase.com/ZZhmr5v9wN%2FXOe5IsQ%2FqD2fzv3LeHoflue5q9psYL7ORT%2BZZIoU2RVo8o6kc8WH7t7R2fWOBL%2B6EWJeWP%2BK6nygdTJbos59lEHeljv9w%2F%2Bc%3D?utm_medium=email&amp;_hsmi=226712652&amp;_hsenc=p2ANqtz-9_BwSf3Cp56T9vKm_WV06wXpWhxnLFIP0rTKtRtiI7Ej-XlIsGIA-Piz3XwrAq08q95_o9LD6MRwwtLQfaW73VBnYSKQ&amp;utm_content=226712652&amp;utm_source=hs_email" TargetMode="External"/><Relationship Id="rId371" Type="http://schemas.openxmlformats.org/officeDocument/2006/relationships/hyperlink" Target="https://supreme.justia.com/cases/federal/us/584/17-467/" TargetMode="External"/><Relationship Id="rId2052" Type="http://schemas.openxmlformats.org/officeDocument/2006/relationships/hyperlink" Target="https://www.supremecourt.gov/opinions/23pdf/22-451_7m58.pdf" TargetMode="External"/><Relationship Id="rId2497" Type="http://schemas.openxmlformats.org/officeDocument/2006/relationships/hyperlink" Target="https://cases.justia.com/federal/district-courts/nevada/nvdce/3:2025cv00159/173760/49/0.pdf" TargetMode="External"/><Relationship Id="rId469" Type="http://schemas.openxmlformats.org/officeDocument/2006/relationships/hyperlink" Target="https://www.revisor.mn.gov/statutes/cite/604.06" TargetMode="External"/><Relationship Id="rId676" Type="http://schemas.openxmlformats.org/officeDocument/2006/relationships/hyperlink" Target="https://ww3.ca2.uscourts.gov/decisions/isysquery/c68b6681-8ae3-446b-8305-2841de8ec224/1/doc/22-2745_opn.pdf" TargetMode="External"/><Relationship Id="rId883" Type="http://schemas.openxmlformats.org/officeDocument/2006/relationships/hyperlink" Target="https://public.fastcase.com/waZtJvSA54UAurM2rmIZz%2BDBDza2Dcvrp2SE0zpDRm3uGB65hvSCPfK4VjLpx5do7UnCIAIPH2MB5FJFO94Wb3w6W7ePwbFST%2FncfNL0phQ%3D" TargetMode="External"/><Relationship Id="rId1099" Type="http://schemas.openxmlformats.org/officeDocument/2006/relationships/hyperlink" Target="https://casetext.com/case/state-ex-rel-city-of-cincinnati-v-indus-commn-of-ohio" TargetMode="External"/><Relationship Id="rId2357" Type="http://schemas.openxmlformats.org/officeDocument/2006/relationships/hyperlink" Target="https://www.legislature.ohio.gov/legislation/legislation-summary?id=GA132-SB-220" TargetMode="External"/><Relationship Id="rId2564" Type="http://schemas.openxmlformats.org/officeDocument/2006/relationships/hyperlink" Target="https://ilcourtsaudio.blob.core.windows.net/antilles-resources/resources/3038c42d-d9bb-4837-b172-ba33498af3cf/Trapp%20v.%20City%20of%20Burbank%20Firefighters'%20Pension%20Fund,%202024%20IL%20App%20(1st)%20231311-U.pdf" TargetMode="External"/><Relationship Id="rId231" Type="http://schemas.openxmlformats.org/officeDocument/2006/relationships/hyperlink" Target="https://www.supremecourt.ohio.gov/rod/docs/pdf/11/2021/2021-Ohio-4568.pdf" TargetMode="External"/><Relationship Id="rId329" Type="http://schemas.openxmlformats.org/officeDocument/2006/relationships/hyperlink" Target="https://www.courts.ca.gov/opinions/nonpub/C087060.PDF" TargetMode="External"/><Relationship Id="rId536" Type="http://schemas.openxmlformats.org/officeDocument/2006/relationships/hyperlink" Target="https://casetext.com/case/oneal-v-city-of-hutchinson" TargetMode="External"/><Relationship Id="rId1166" Type="http://schemas.openxmlformats.org/officeDocument/2006/relationships/hyperlink" Target="https://www.schafer-and-schafer.com/workers-compensation/" TargetMode="External"/><Relationship Id="rId1373" Type="http://schemas.openxmlformats.org/officeDocument/2006/relationships/hyperlink" Target="https://www.dol.gov/sites/dolgov/files/WHD/flsa/PUMP-act_hr2617.pdf" TargetMode="External"/><Relationship Id="rId2217" Type="http://schemas.openxmlformats.org/officeDocument/2006/relationships/hyperlink" Target="https://cms7files1.revize.com/starkcountyoh/S21-57.pdf" TargetMode="External"/><Relationship Id="rId2771" Type="http://schemas.openxmlformats.org/officeDocument/2006/relationships/hyperlink" Target="https://www.supremecourt.ohio.gov/rod/docs/pdf/11/2024/2024-Ohio-6002.pdf" TargetMode="External"/><Relationship Id="rId2869" Type="http://schemas.openxmlformats.org/officeDocument/2006/relationships/hyperlink" Target="https://casetext.com/case/dolan-v-fed-emergency-mgmt-agency" TargetMode="External"/><Relationship Id="rId743" Type="http://schemas.openxmlformats.org/officeDocument/2006/relationships/hyperlink" Target="https://www.law.cornell.edu/definitions/uscode.php?width=840&amp;height=800&amp;iframe=true&amp;def_id=18-USC-64633832-909420282&amp;term_occur=999&amp;term_src=title:18:part:I:chapter:13:section:249" TargetMode="External"/><Relationship Id="rId950" Type="http://schemas.openxmlformats.org/officeDocument/2006/relationships/hyperlink" Target="https://law.justia.com/cases/oklahoma/supreme-court/2024/121510.html" TargetMode="External"/><Relationship Id="rId1026" Type="http://schemas.openxmlformats.org/officeDocument/2006/relationships/hyperlink" Target="https://cases.justia.com/arizona/supreme-court/2025-cv-23-0211-pr.pdf?ts=1743008459" TargetMode="External"/><Relationship Id="rId1580" Type="http://schemas.openxmlformats.org/officeDocument/2006/relationships/hyperlink" Target="https://public.fastcase.com/Wl%2B2t%2BeVuI35%2FN70vAMFZkzhJOnk32e7%2BdWn1xTx2jApuUgRdcLBLFJLG9W4RHCQ" TargetMode="External"/><Relationship Id="rId1678" Type="http://schemas.openxmlformats.org/officeDocument/2006/relationships/hyperlink" Target="https://www.law.georgetown.edu/icap/wp-content/uploads/sites/32/2020/07/Bey-2d-Cir.-Opening-Brief-FINAL-7-7-2020.pdf" TargetMode="External"/><Relationship Id="rId1885" Type="http://schemas.openxmlformats.org/officeDocument/2006/relationships/hyperlink" Target="https://public.fastcase.com/jaEE2PXzRXmZ99jOLMt1It2Tjmgxo5hSPIplN9zr2RKL3xaZLK1Vh5eTa9w8Wk8pfXZv57sP%2BSheWcKHfFgy9Ah5Ev5ZnvIAKgdp6Yn%2FiQI%3D?utm_medium=email&amp;_hsenc=p2ANqtz-_xr08pWLevFeFI8Ge2XvipIP7qRBaDeRzA2aeNOeAMxf3drkc7WBb-blscAE4MgKHVvRlF4GyH0W6s2eAyYhQEv9ZP9w&amp;_hsmi=226712652&amp;utm_content=226712652&amp;utm_source=hs_email" TargetMode="External"/><Relationship Id="rId2424" Type="http://schemas.openxmlformats.org/officeDocument/2006/relationships/hyperlink" Target="https://www.opn.ca6.uscourts.gov/opinions.pdf/21a0151p-06.pdf" TargetMode="External"/><Relationship Id="rId2631" Type="http://schemas.openxmlformats.org/officeDocument/2006/relationships/hyperlink" Target="https://das.ohio.gov/Portals/0/DASDivisions/HumanResources/Policy/pdf/HR-29%20Implementation%20Guide%20.pdf" TargetMode="External"/><Relationship Id="rId2729" Type="http://schemas.openxmlformats.org/officeDocument/2006/relationships/hyperlink" Target="http://codes.ohio.gov/orc/gp9.61" TargetMode="External"/><Relationship Id="rId603" Type="http://schemas.openxmlformats.org/officeDocument/2006/relationships/hyperlink" Target="https://www.audiology.org/sites/default/files/audiologytoday/AT%2024.6%20-%20LOW.pdf" TargetMode="External"/><Relationship Id="rId810" Type="http://schemas.openxmlformats.org/officeDocument/2006/relationships/hyperlink" Target="https://www.leagle.com/decision/infdco20190919804" TargetMode="External"/><Relationship Id="rId908" Type="http://schemas.openxmlformats.org/officeDocument/2006/relationships/hyperlink" Target="https://www.nct911.org/how-location-works-for-911/" TargetMode="External"/><Relationship Id="rId1233" Type="http://schemas.openxmlformats.org/officeDocument/2006/relationships/hyperlink" Target="http://codes.ohio.gov/orc/2743.75" TargetMode="External"/><Relationship Id="rId1440" Type="http://schemas.openxmlformats.org/officeDocument/2006/relationships/hyperlink" Target="http://www.ca5.uscourts.gov/opinions/unpub/18/18-40561.1.pdf" TargetMode="External"/><Relationship Id="rId1538" Type="http://schemas.openxmlformats.org/officeDocument/2006/relationships/hyperlink" Target="https://www.fiercehealthcare.com/providers/hennepin-health-accused-deeply-rooted-racism-following-blackface-excited-delirium" TargetMode="External"/><Relationship Id="rId1300" Type="http://schemas.openxmlformats.org/officeDocument/2006/relationships/hyperlink" Target="https://legislature.vermont.gov/assets/Documents/2018/WorkGroups/House%20Commerce/Bills/H.197/H.197~Laura%20Backus%20Hall~NCCI%20White%20Paper%20on%20Firefighter%20Presumptive%20Coverage~3-16-2017.pdf" TargetMode="External"/><Relationship Id="rId1745" Type="http://schemas.openxmlformats.org/officeDocument/2006/relationships/hyperlink" Target="https://cases.justia.com/federal/district-courts/minnesota/mndce/0:2023cv01780/208467/146/0.pdf?ts=1750499803" TargetMode="External"/><Relationship Id="rId1952" Type="http://schemas.openxmlformats.org/officeDocument/2006/relationships/hyperlink" Target="https://www.networkforphl.org/news-insights/overdose-good-samaritan-laws-should-protect-not-punish/" TargetMode="External"/><Relationship Id="rId37" Type="http://schemas.openxmlformats.org/officeDocument/2006/relationships/hyperlink" Target="https://cases.justia.com/texas/first-court-of-appeals/2025-01-23-00905-cv.pdf?ts=1767189326" TargetMode="External"/><Relationship Id="rId1605" Type="http://schemas.openxmlformats.org/officeDocument/2006/relationships/hyperlink" Target="http://www.nydailynews.com/new-york/city-pay-98-million-fdny-discrimination-case-article-1.1725702" TargetMode="External"/><Relationship Id="rId1812" Type="http://schemas.openxmlformats.org/officeDocument/2006/relationships/hyperlink" Target="http://www.firefighterovertime.org/2021/11/08/va-beach-settles-flsa-laws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2C58-E3D9-4450-945B-3C981AE1C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1328</Pages>
  <Words>640715</Words>
  <Characters>3652076</Characters>
  <Application>Microsoft Office Word</Application>
  <DocSecurity>0</DocSecurity>
  <Lines>30433</Lines>
  <Paragraphs>8568</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Note:  </vt:lpstr>
      <vt:lpstr>Rule 701. Opinion Testimony by Lay Witnesses; https://www.law.cornell.edu/rules/</vt:lpstr>
      <vt:lpstr>Rule 702. Testimony by Expert Witnesses; https://www.law.cornell.edu/rules/fre/r</vt:lpstr>
      <vt:lpstr>Note: See July 25, 2023 article, “Federal Appeals Court throws out conviction fo</vt:lpstr>
      <vt:lpstr>See Jan. 6, 2022 DoJ Press Release: “Asheville Jury Convicts Franklin, N.C. Man </vt:lpstr>
      <vt:lpstr>Note: See Feb. 7, 2023, the U.S. Department of Justice press release: “False Cla</vt:lpstr>
      <vt:lpstr>Note: See Feb. 7, 2023, the U.S. Department of Justice press release: “False Cla</vt:lpstr>
      <vt:lpstr>    OH: TEACHERS CAN HAVE FIREARMS – WITH SCHOOL PERMISSION - 24 HRS TRAINING – REQU</vt:lpstr>
      <vt:lpstr>See also Ohio Revised Code: Section 5589.21 | Obstruction of roads by railroads.</vt:lpstr>
      <vt:lpstr>IL: ANNUAL TESTING FIRE ALARMS REQ. EACH 48 UNITS – CONDO ASSOC. MUST GET OWNERS</vt:lpstr>
      <vt:lpstr>On June 21, 2022, in The Village of Downers Grove v. Village Square III Condomin</vt:lpstr>
    </vt:vector>
  </TitlesOfParts>
  <Company>University of Cincinnati</Company>
  <LinksUpToDate>false</LinksUpToDate>
  <CharactersWithSpaces>4284223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Lawrence Bennett</dc:creator>
  <cp:lastModifiedBy>Lawrence Bennett</cp:lastModifiedBy>
  <cp:revision>1847</cp:revision>
  <cp:lastPrinted>2020-10-31T11:04:00Z</cp:lastPrinted>
  <dcterms:created xsi:type="dcterms:W3CDTF">2024-06-22T16:03:00Z</dcterms:created>
  <dcterms:modified xsi:type="dcterms:W3CDTF">2026-06-29T19:22:00Z</dcterms:modified>
</cp:coreProperties>
</file>